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0.xml" ContentType="application/vnd.openxmlformats-officedocument.wordprocessingml.footer+xml"/>
  <Override PartName="/word/header32.xml" ContentType="application/vnd.openxmlformats-officedocument.wordprocessingml.header+xml"/>
  <Override PartName="/word/footer21.xml" ContentType="application/vnd.openxmlformats-officedocument.wordprocessingml.footer+xml"/>
  <Override PartName="/word/header33.xml" ContentType="application/vnd.openxmlformats-officedocument.wordprocessingml.header+xml"/>
  <Override PartName="/word/footer22.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1.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32.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33.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3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9A0" w:rsidRPr="0050146A" w:rsidRDefault="009D4D60" w:rsidP="004D09A0">
      <w:pPr>
        <w:ind w:left="0"/>
        <w:jc w:val="center"/>
        <w:rPr>
          <w:rFonts w:cs="Guttman Hodes"/>
          <w:sz w:val="32"/>
          <w:szCs w:val="32"/>
          <w:rtl/>
        </w:rPr>
      </w:pPr>
      <w:bookmarkStart w:id="0" w:name="_Toc522028101"/>
      <w:bookmarkStart w:id="1" w:name="_Toc522086103"/>
      <w:bookmarkStart w:id="2" w:name="_Toc522099519"/>
      <w:r w:rsidRPr="0050146A">
        <w:rPr>
          <w:rFonts w:cs="Guttman Hodes"/>
          <w:noProof/>
          <w:sz w:val="32"/>
          <w:szCs w:val="32"/>
          <w:rtl/>
        </w:rPr>
        <mc:AlternateContent>
          <mc:Choice Requires="wps">
            <w:drawing>
              <wp:anchor distT="0" distB="0" distL="114300" distR="114300" simplePos="0" relativeHeight="251671552" behindDoc="1" locked="0" layoutInCell="1" allowOverlap="1">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651E3B" w:rsidRDefault="00651E3B" w:rsidP="00EF1AB5">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16" o:spid="_x0000_s1026" style="position:absolute;left:0;text-align:left;margin-left:-3pt;margin-top:0;width:526.5pt;height:763.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" filled="f" strokecolor="black [3213]" strokeweight="2.5pt">
                <v:stroke linestyle="thickBetweenThin" endcap="round"/>
                <v:textbox>
                  <w:txbxContent>
                    <w:p w:rsidR="00651E3B" w:rsidRDefault="00651E3B" w:rsidP="00EF1AB5">
                      <w:pPr>
                        <w:ind w:left="0"/>
                        <w:jc w:val="center"/>
                      </w:pPr>
                    </w:p>
                  </w:txbxContent>
                </v:textbox>
              </v:roundrect>
            </w:pict>
          </mc:Fallback>
        </mc:AlternateContent>
      </w:r>
    </w:p>
    <w:p w:rsidR="004D09A0" w:rsidRPr="0050146A" w:rsidRDefault="004D09A0" w:rsidP="004D09A0">
      <w:pPr>
        <w:ind w:left="0"/>
        <w:jc w:val="center"/>
        <w:rPr>
          <w:rFonts w:cs="Guttman Hodes"/>
          <w:sz w:val="32"/>
          <w:szCs w:val="32"/>
          <w:rtl/>
        </w:rPr>
      </w:pPr>
    </w:p>
    <w:p w:rsidR="004D09A0" w:rsidRPr="0050146A" w:rsidRDefault="004D09A0" w:rsidP="004D09A0">
      <w:pPr>
        <w:ind w:left="0"/>
        <w:jc w:val="center"/>
        <w:rPr>
          <w:rFonts w:cs="Guttman Hodes"/>
          <w:sz w:val="32"/>
          <w:szCs w:val="32"/>
          <w:rtl/>
        </w:rPr>
      </w:pPr>
    </w:p>
    <w:p w:rsidR="004D09A0" w:rsidRPr="0050146A" w:rsidRDefault="004D09A0" w:rsidP="004D09A0">
      <w:pPr>
        <w:ind w:left="0"/>
        <w:jc w:val="center"/>
        <w:rPr>
          <w:rFonts w:cs="Guttman Hodes"/>
          <w:sz w:val="32"/>
          <w:szCs w:val="32"/>
          <w:rtl/>
        </w:rPr>
      </w:pPr>
      <w:r w:rsidRPr="0050146A">
        <w:rPr>
          <w:rFonts w:cs="Guttman Hodes" w:hint="cs"/>
          <w:sz w:val="32"/>
          <w:szCs w:val="32"/>
          <w:rtl/>
        </w:rPr>
        <w:t>מראי מקומות וביאורים</w:t>
      </w:r>
    </w:p>
    <w:p w:rsidR="004D09A0" w:rsidRPr="0050146A" w:rsidRDefault="004D09A0" w:rsidP="004D09A0">
      <w:pPr>
        <w:pStyle w:val="a8"/>
        <w:ind w:left="0"/>
        <w:jc w:val="center"/>
        <w:rPr>
          <w:rFonts w:cs="Guttman Hodes"/>
          <w:b/>
          <w:bCs/>
          <w:sz w:val="96"/>
          <w:szCs w:val="96"/>
          <w:rtl/>
        </w:rPr>
      </w:pPr>
      <w:r w:rsidRPr="0050146A">
        <w:rPr>
          <w:rFonts w:cs="Guttman Hodes" w:hint="cs"/>
          <w:b/>
          <w:bCs/>
          <w:sz w:val="96"/>
          <w:szCs w:val="96"/>
          <w:rtl/>
        </w:rPr>
        <w:t>משנתם סדורה</w:t>
      </w:r>
    </w:p>
    <w:p w:rsidR="004D09A0" w:rsidRPr="0050146A" w:rsidRDefault="004D09A0" w:rsidP="004D09A0">
      <w:pPr>
        <w:ind w:left="0"/>
        <w:jc w:val="center"/>
        <w:rPr>
          <w:rFonts w:cs="Guttman Hodes"/>
          <w:sz w:val="32"/>
          <w:szCs w:val="32"/>
          <w:rtl/>
        </w:rPr>
      </w:pPr>
    </w:p>
    <w:p w:rsidR="008C7135" w:rsidRPr="00600560" w:rsidRDefault="008C7135" w:rsidP="00F3032B">
      <w:pPr>
        <w:ind w:left="0"/>
        <w:jc w:val="center"/>
        <w:rPr>
          <w:rFonts w:cs="Guttman Hodes"/>
          <w:b/>
          <w:bCs/>
          <w:sz w:val="44"/>
          <w:szCs w:val="44"/>
        </w:rPr>
      </w:pPr>
      <w:r>
        <w:rPr>
          <w:rFonts w:cs="Guttman Hodes" w:hint="cs"/>
          <w:b/>
          <w:bCs/>
          <w:sz w:val="44"/>
          <w:szCs w:val="44"/>
          <w:rtl/>
        </w:rPr>
        <w:t>על תערובות</w:t>
      </w:r>
    </w:p>
    <w:p w:rsidR="008C7135" w:rsidRPr="00600560" w:rsidRDefault="008C7135" w:rsidP="008C7135">
      <w:pPr>
        <w:ind w:left="0"/>
        <w:jc w:val="center"/>
        <w:rPr>
          <w:rFonts w:cs="Guttman Hodes"/>
          <w:b/>
          <w:bCs/>
          <w:sz w:val="36"/>
          <w:szCs w:val="36"/>
          <w:rtl/>
        </w:rPr>
      </w:pPr>
      <w:r w:rsidRPr="00600560">
        <w:rPr>
          <w:rFonts w:cs="Guttman Hodes" w:hint="cs"/>
          <w:b/>
          <w:bCs/>
          <w:sz w:val="36"/>
          <w:szCs w:val="36"/>
          <w:rtl/>
        </w:rPr>
        <w:t>בעניני ביטול בשישים וטעם כעיקר</w:t>
      </w:r>
    </w:p>
    <w:p w:rsidR="007809D6" w:rsidRDefault="007809D6" w:rsidP="00DD03DA">
      <w:pPr>
        <w:ind w:left="0"/>
        <w:jc w:val="center"/>
        <w:rPr>
          <w:rFonts w:cs="Guttman Hodes"/>
          <w:b/>
          <w:bCs/>
          <w:sz w:val="44"/>
          <w:szCs w:val="44"/>
          <w:rtl/>
        </w:rPr>
      </w:pPr>
      <w:r w:rsidRPr="00600560">
        <w:rPr>
          <w:rFonts w:cs="Guttman Hodes" w:hint="cs"/>
          <w:b/>
          <w:bCs/>
          <w:sz w:val="36"/>
          <w:szCs w:val="36"/>
          <w:rtl/>
        </w:rPr>
        <w:t>ונותן טעם לפגם</w:t>
      </w:r>
      <w:r w:rsidR="00DD03DA" w:rsidRPr="00600560">
        <w:rPr>
          <w:sz w:val="18"/>
          <w:szCs w:val="18"/>
          <w:rtl/>
        </w:rPr>
        <w:t xml:space="preserve"> </w:t>
      </w:r>
      <w:r w:rsidR="00DD03DA" w:rsidRPr="00600560">
        <w:rPr>
          <w:rFonts w:cs="Guttman Hodes" w:hint="cs"/>
          <w:b/>
          <w:bCs/>
          <w:sz w:val="36"/>
          <w:szCs w:val="36"/>
          <w:rtl/>
        </w:rPr>
        <w:t xml:space="preserve"> ו</w:t>
      </w:r>
      <w:r w:rsidR="00DD03DA" w:rsidRPr="00600560">
        <w:rPr>
          <w:rFonts w:cs="Guttman Hodes"/>
          <w:b/>
          <w:bCs/>
          <w:sz w:val="36"/>
          <w:szCs w:val="36"/>
          <w:rtl/>
        </w:rPr>
        <w:t xml:space="preserve">ביטול יבש ביבש וחוזר וניעור </w:t>
      </w:r>
    </w:p>
    <w:p w:rsidR="008C7135" w:rsidRPr="00600560" w:rsidRDefault="007809D6" w:rsidP="008C7135">
      <w:pPr>
        <w:ind w:left="0"/>
        <w:jc w:val="center"/>
        <w:rPr>
          <w:rFonts w:cs="Guttman Hodes"/>
          <w:b/>
          <w:bCs/>
          <w:sz w:val="32"/>
          <w:szCs w:val="32"/>
          <w:rtl/>
        </w:rPr>
      </w:pPr>
      <w:r w:rsidRPr="00600560">
        <w:rPr>
          <w:rFonts w:cs="Guttman Hodes" w:hint="cs"/>
          <w:b/>
          <w:bCs/>
          <w:sz w:val="44"/>
          <w:szCs w:val="44"/>
          <w:rtl/>
        </w:rPr>
        <w:t>ב</w:t>
      </w:r>
      <w:r w:rsidR="00F3032B" w:rsidRPr="00600560">
        <w:rPr>
          <w:rFonts w:cs="Guttman Hodes" w:hint="cs"/>
          <w:b/>
          <w:bCs/>
          <w:sz w:val="44"/>
          <w:szCs w:val="44"/>
          <w:rtl/>
        </w:rPr>
        <w:t xml:space="preserve">מסכתות </w:t>
      </w:r>
      <w:r w:rsidR="008C7135" w:rsidRPr="00600560">
        <w:rPr>
          <w:rFonts w:cs="Guttman Hodes" w:hint="cs"/>
          <w:b/>
          <w:bCs/>
          <w:sz w:val="44"/>
          <w:szCs w:val="44"/>
          <w:rtl/>
        </w:rPr>
        <w:t>חולין</w:t>
      </w:r>
      <w:r w:rsidR="00600560">
        <w:rPr>
          <w:rFonts w:cs="Guttman Hodes" w:hint="cs"/>
          <w:b/>
          <w:bCs/>
          <w:sz w:val="44"/>
          <w:szCs w:val="44"/>
          <w:rtl/>
        </w:rPr>
        <w:t xml:space="preserve"> ו</w:t>
      </w:r>
      <w:r w:rsidRPr="00600560">
        <w:rPr>
          <w:rFonts w:cs="Guttman Hodes" w:hint="cs"/>
          <w:b/>
          <w:bCs/>
          <w:sz w:val="44"/>
          <w:szCs w:val="44"/>
          <w:rtl/>
        </w:rPr>
        <w:t>ע"ז</w:t>
      </w:r>
    </w:p>
    <w:p w:rsidR="004D09A0" w:rsidRPr="0050146A" w:rsidRDefault="004D09A0" w:rsidP="004D09A0">
      <w:pPr>
        <w:ind w:left="0"/>
        <w:jc w:val="center"/>
        <w:rPr>
          <w:rFonts w:cs="Guttman Hodes"/>
          <w:sz w:val="32"/>
          <w:szCs w:val="32"/>
          <w:rtl/>
        </w:rPr>
      </w:pPr>
    </w:p>
    <w:p w:rsidR="004D09A0" w:rsidRPr="0050146A" w:rsidRDefault="004D09A0" w:rsidP="004D09A0">
      <w:pPr>
        <w:ind w:left="0"/>
        <w:jc w:val="center"/>
        <w:rPr>
          <w:rFonts w:cs="Guttman Hodes"/>
          <w:sz w:val="32"/>
          <w:szCs w:val="32"/>
          <w:rtl/>
        </w:rPr>
      </w:pPr>
    </w:p>
    <w:p w:rsidR="004D09A0" w:rsidRPr="0050146A" w:rsidRDefault="004D09A0" w:rsidP="004D09A0">
      <w:pPr>
        <w:ind w:left="0"/>
        <w:jc w:val="center"/>
        <w:rPr>
          <w:rFonts w:cs="Guttman Hodes"/>
          <w:sz w:val="32"/>
          <w:szCs w:val="32"/>
          <w:rtl/>
        </w:rPr>
      </w:pPr>
      <w:r w:rsidRPr="0050146A">
        <w:rPr>
          <w:rFonts w:cs="Guttman Hodes" w:hint="cs"/>
          <w:sz w:val="32"/>
          <w:szCs w:val="32"/>
          <w:rtl/>
        </w:rPr>
        <w:t>כולל ביאורי ראשי הישיבות</w:t>
      </w:r>
    </w:p>
    <w:p w:rsidR="004D09A0" w:rsidRPr="0050146A" w:rsidRDefault="004D09A0" w:rsidP="004D09A0">
      <w:pPr>
        <w:ind w:left="0"/>
        <w:jc w:val="center"/>
        <w:rPr>
          <w:rFonts w:cs="Guttman Hodes"/>
          <w:sz w:val="32"/>
          <w:szCs w:val="32"/>
          <w:rtl/>
          <w14:textOutline w14:w="9525" w14:cap="rnd" w14:cmpd="sng" w14:algn="ctr">
            <w14:solidFill>
              <w14:schemeClr w14:val="tx1"/>
            </w14:solidFill>
            <w14:prstDash w14:val="solid"/>
            <w14:bevel/>
          </w14:textOutline>
        </w:rPr>
      </w:pPr>
    </w:p>
    <w:p w:rsidR="004D09A0" w:rsidRPr="0050146A" w:rsidRDefault="004D09A0" w:rsidP="004D09A0">
      <w:pPr>
        <w:spacing w:line="240" w:lineRule="auto"/>
        <w:ind w:left="0"/>
        <w:jc w:val="center"/>
        <w:rPr>
          <w:rFonts w:ascii="Times New Roman" w:eastAsia="Times New Roman" w:hAnsi="Times New Roman" w:cs="Guttman Hodes"/>
          <w:sz w:val="36"/>
          <w:szCs w:val="36"/>
          <w:rtl/>
          <w:lang w:eastAsia="he-IL"/>
        </w:rPr>
      </w:pPr>
    </w:p>
    <w:p w:rsidR="004D09A0" w:rsidRPr="0050146A" w:rsidRDefault="004D09A0" w:rsidP="004D09A0">
      <w:pPr>
        <w:spacing w:line="240" w:lineRule="auto"/>
        <w:ind w:left="0"/>
        <w:jc w:val="center"/>
        <w:rPr>
          <w:rFonts w:ascii="Times New Roman" w:eastAsia="Times New Roman" w:hAnsi="Times New Roman" w:cs="Guttman Hodes"/>
          <w:sz w:val="36"/>
          <w:szCs w:val="36"/>
          <w:rtl/>
          <w:lang w:eastAsia="he-IL"/>
        </w:rPr>
      </w:pPr>
    </w:p>
    <w:p w:rsidR="004D09A0" w:rsidRPr="0050146A" w:rsidRDefault="004D09A0" w:rsidP="004D09A0">
      <w:pPr>
        <w:spacing w:line="240" w:lineRule="auto"/>
        <w:ind w:left="0"/>
        <w:jc w:val="center"/>
        <w:rPr>
          <w:rFonts w:ascii="Times New Roman" w:eastAsia="Times New Roman" w:hAnsi="Times New Roman" w:cs="Guttman Hodes"/>
          <w:b/>
          <w:bCs/>
          <w:sz w:val="36"/>
          <w:szCs w:val="36"/>
          <w:rtl/>
          <w:lang w:eastAsia="he-IL"/>
        </w:rPr>
      </w:pPr>
      <w:r w:rsidRPr="0050146A">
        <w:rPr>
          <w:rFonts w:ascii="Times New Roman" w:eastAsia="Times New Roman" w:hAnsi="Times New Roman" w:cs="Guttman Hodes" w:hint="cs"/>
          <w:b/>
          <w:bCs/>
          <w:sz w:val="40"/>
          <w:szCs w:val="40"/>
          <w:rtl/>
          <w:lang w:eastAsia="he-IL"/>
        </w:rPr>
        <w:t>שלמה זושא הכהן הנדל</w:t>
      </w:r>
    </w:p>
    <w:p w:rsidR="004D09A0" w:rsidRPr="0050146A" w:rsidRDefault="004D09A0" w:rsidP="004D09A0">
      <w:pPr>
        <w:spacing w:line="240" w:lineRule="auto"/>
        <w:ind w:left="0"/>
        <w:jc w:val="center"/>
        <w:rPr>
          <w:rFonts w:ascii="Times New Roman" w:eastAsia="Times New Roman" w:hAnsi="Times New Roman" w:cs="Guttman Hodes"/>
          <w:sz w:val="36"/>
          <w:szCs w:val="36"/>
          <w:rtl/>
          <w:lang w:eastAsia="he-IL"/>
        </w:rPr>
      </w:pPr>
      <w:r w:rsidRPr="0050146A">
        <w:rPr>
          <w:rFonts w:ascii="Times New Roman" w:eastAsia="Times New Roman" w:hAnsi="Times New Roman" w:cs="Guttman Hodes" w:hint="cs"/>
          <w:sz w:val="36"/>
          <w:szCs w:val="36"/>
          <w:rtl/>
          <w:lang w:eastAsia="he-IL"/>
        </w:rPr>
        <w:t xml:space="preserve">בלאאמו"ר הרב </w:t>
      </w:r>
      <w:r w:rsidRPr="0050146A">
        <w:rPr>
          <w:rFonts w:ascii="Times New Roman" w:eastAsia="Times New Roman" w:hAnsi="Times New Roman" w:cs="Guttman Hodes" w:hint="cs"/>
          <w:b/>
          <w:bCs/>
          <w:sz w:val="40"/>
          <w:szCs w:val="40"/>
          <w:rtl/>
          <w:lang w:eastAsia="he-IL"/>
        </w:rPr>
        <w:t>אהרן</w:t>
      </w:r>
      <w:r w:rsidRPr="0050146A">
        <w:rPr>
          <w:rFonts w:ascii="Times New Roman" w:eastAsia="Times New Roman" w:hAnsi="Times New Roman" w:cs="Guttman Hodes" w:hint="cs"/>
          <w:sz w:val="36"/>
          <w:szCs w:val="36"/>
          <w:rtl/>
          <w:lang w:eastAsia="he-IL"/>
        </w:rPr>
        <w:t xml:space="preserve"> שליט"א</w:t>
      </w:r>
    </w:p>
    <w:p w:rsidR="004D09A0" w:rsidRPr="0050146A" w:rsidRDefault="004D09A0" w:rsidP="004D09A0">
      <w:pPr>
        <w:spacing w:line="240" w:lineRule="auto"/>
        <w:ind w:left="0"/>
        <w:jc w:val="center"/>
        <w:rPr>
          <w:rFonts w:ascii="Times New Roman" w:eastAsia="Times New Roman" w:hAnsi="Times New Roman" w:cs="Guttman Hodes"/>
          <w:sz w:val="36"/>
          <w:szCs w:val="36"/>
          <w:rtl/>
          <w:lang w:eastAsia="he-IL"/>
        </w:rPr>
      </w:pPr>
    </w:p>
    <w:p w:rsidR="004D09A0" w:rsidRPr="0050146A" w:rsidRDefault="004D09A0" w:rsidP="004D09A0">
      <w:pPr>
        <w:spacing w:line="240" w:lineRule="auto"/>
        <w:ind w:left="0"/>
        <w:jc w:val="center"/>
        <w:rPr>
          <w:rFonts w:ascii="Times New Roman" w:eastAsia="Times New Roman" w:hAnsi="Times New Roman" w:cs="Guttman Hodes"/>
          <w:sz w:val="36"/>
          <w:szCs w:val="36"/>
          <w:rtl/>
          <w:lang w:eastAsia="he-IL"/>
        </w:rPr>
      </w:pPr>
      <w:r w:rsidRPr="0050146A">
        <w:rPr>
          <w:rFonts w:ascii="Times New Roman" w:eastAsia="Times New Roman" w:hAnsi="Times New Roman" w:cs="Guttman Hodes" w:hint="cs"/>
          <w:sz w:val="36"/>
          <w:szCs w:val="36"/>
          <w:rtl/>
          <w:lang w:eastAsia="he-IL"/>
        </w:rPr>
        <w:t xml:space="preserve">ישיבת בית הלל </w:t>
      </w:r>
    </w:p>
    <w:p w:rsidR="00C273D6" w:rsidRPr="0050146A" w:rsidRDefault="004D09A0" w:rsidP="004D09A0">
      <w:pPr>
        <w:spacing w:line="240" w:lineRule="auto"/>
        <w:ind w:left="0"/>
        <w:jc w:val="center"/>
        <w:rPr>
          <w:rFonts w:ascii="Guttman Hodes" w:eastAsia="Guttman Hodes" w:hAnsi="Guttman Hodes" w:cs="Guttman Hodes"/>
          <w:b/>
          <w:bCs/>
          <w:rtl/>
        </w:rPr>
        <w:sectPr w:rsidR="00C273D6" w:rsidRPr="0050146A" w:rsidSect="00852065">
          <w:footerReference w:type="default" r:id="rId8"/>
          <w:headerReference w:type="first" r:id="rId9"/>
          <w:footerReference w:type="first" r:id="rId10"/>
          <w:pgSz w:w="11906" w:h="16838"/>
          <w:pgMar w:top="720" w:right="720" w:bottom="720" w:left="720" w:header="283" w:footer="283" w:gutter="0"/>
          <w:pgNumType w:fmt="hebrew1"/>
          <w:cols w:space="567"/>
          <w:bidi/>
          <w:rtlGutter/>
          <w:docGrid w:linePitch="299"/>
        </w:sectPr>
      </w:pPr>
      <w:r w:rsidRPr="0050146A">
        <w:rPr>
          <w:rFonts w:ascii="Times New Roman" w:eastAsia="Times New Roman" w:hAnsi="Times New Roman" w:cs="Guttman Hodes" w:hint="cs"/>
          <w:sz w:val="36"/>
          <w:szCs w:val="36"/>
          <w:rtl/>
          <w:lang w:eastAsia="he-IL"/>
        </w:rPr>
        <w:t>בני ברק</w:t>
      </w: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3064FD" w:rsidRDefault="003064FD" w:rsidP="006D6D32">
      <w:pPr>
        <w:pStyle w:val="a2"/>
        <w:rPr>
          <w:rtl/>
        </w:rPr>
      </w:pPr>
    </w:p>
    <w:p w:rsidR="00FF765F" w:rsidRPr="0050146A" w:rsidRDefault="006D6D32" w:rsidP="006D6D32">
      <w:pPr>
        <w:pStyle w:val="a2"/>
        <w:rPr>
          <w:rtl/>
        </w:rPr>
      </w:pPr>
      <w:r w:rsidRPr="0050146A">
        <w:rPr>
          <w:rFonts w:hint="cs"/>
          <w:rtl/>
        </w:rPr>
        <w:t>© כל הזכויות שמורות</w:t>
      </w:r>
    </w:p>
    <w:p w:rsidR="00FF765F" w:rsidRPr="0050146A" w:rsidRDefault="00FF765F" w:rsidP="00FF765F">
      <w:pPr>
        <w:spacing w:line="240" w:lineRule="auto"/>
        <w:jc w:val="center"/>
        <w:rPr>
          <w:rFonts w:cs="Guttman Hodes"/>
          <w:rtl/>
        </w:rPr>
      </w:pPr>
    </w:p>
    <w:p w:rsidR="00FF765F" w:rsidRPr="0050146A" w:rsidRDefault="00FF765F" w:rsidP="00FF765F">
      <w:pPr>
        <w:spacing w:line="240" w:lineRule="auto"/>
        <w:ind w:left="0"/>
        <w:jc w:val="center"/>
        <w:rPr>
          <w:rFonts w:cs="Guttman Hodes"/>
          <w:rtl/>
        </w:rPr>
      </w:pPr>
      <w:r w:rsidRPr="0050146A">
        <w:rPr>
          <w:rFonts w:cs="Guttman Hodes" w:hint="cs"/>
          <w:rtl/>
        </w:rPr>
        <w:t>בכל עניני הספר</w:t>
      </w:r>
    </w:p>
    <w:p w:rsidR="00FF765F" w:rsidRPr="0050146A" w:rsidRDefault="00FF765F" w:rsidP="00FF765F">
      <w:pPr>
        <w:spacing w:line="240" w:lineRule="auto"/>
        <w:ind w:left="0"/>
        <w:jc w:val="center"/>
        <w:rPr>
          <w:rFonts w:cs="Guttman Hodes"/>
          <w:rtl/>
        </w:rPr>
      </w:pPr>
      <w:r w:rsidRPr="0050146A">
        <w:rPr>
          <w:rFonts w:cs="Guttman Hodes" w:hint="cs"/>
          <w:rtl/>
        </w:rPr>
        <w:t>ניתן לפנות:</w:t>
      </w:r>
    </w:p>
    <w:p w:rsidR="00FF765F" w:rsidRPr="0050146A" w:rsidRDefault="00FF765F" w:rsidP="00FF765F">
      <w:pPr>
        <w:spacing w:line="240" w:lineRule="auto"/>
        <w:ind w:left="0"/>
        <w:jc w:val="center"/>
        <w:rPr>
          <w:rFonts w:cs="Guttman Hodes"/>
          <w:rtl/>
        </w:rPr>
      </w:pPr>
      <w:r w:rsidRPr="0050146A">
        <w:rPr>
          <w:rFonts w:cs="Guttman Hodes" w:hint="cs"/>
          <w:rtl/>
        </w:rPr>
        <w:t>שלמה הנדל</w:t>
      </w:r>
    </w:p>
    <w:p w:rsidR="00FF765F" w:rsidRPr="0050146A" w:rsidRDefault="006D6D32" w:rsidP="00FF765F">
      <w:pPr>
        <w:spacing w:line="240" w:lineRule="auto"/>
        <w:ind w:left="0"/>
        <w:jc w:val="center"/>
        <w:rPr>
          <w:rFonts w:cs="Guttman Hodes"/>
          <w:rtl/>
        </w:rPr>
      </w:pPr>
      <w:r w:rsidRPr="0050146A">
        <w:rPr>
          <w:rFonts w:cs="Guttman Hodes" w:hint="cs"/>
          <w:rtl/>
        </w:rPr>
        <w:t xml:space="preserve">רבי יהושע 13 </w:t>
      </w:r>
      <w:r w:rsidR="00FF765F" w:rsidRPr="0050146A">
        <w:rPr>
          <w:rFonts w:cs="Guttman Hodes" w:hint="cs"/>
          <w:rtl/>
        </w:rPr>
        <w:t>בני ברק</w:t>
      </w:r>
    </w:p>
    <w:p w:rsidR="00FF765F" w:rsidRPr="0050146A" w:rsidRDefault="00FF765F" w:rsidP="00FF765F">
      <w:pPr>
        <w:spacing w:line="240" w:lineRule="auto"/>
        <w:ind w:left="0"/>
        <w:jc w:val="center"/>
        <w:rPr>
          <w:rFonts w:cs="Guttman Hodes"/>
          <w:rtl/>
        </w:rPr>
      </w:pPr>
      <w:r w:rsidRPr="0050146A">
        <w:rPr>
          <w:rFonts w:cs="Guttman Hodes" w:hint="cs"/>
          <w:rtl/>
        </w:rPr>
        <w:t>טל 052-7676412</w:t>
      </w:r>
    </w:p>
    <w:p w:rsidR="00FF765F" w:rsidRPr="0050146A" w:rsidRDefault="00FF765F" w:rsidP="00FF765F">
      <w:pPr>
        <w:spacing w:line="240" w:lineRule="auto"/>
        <w:ind w:left="0"/>
        <w:jc w:val="center"/>
        <w:rPr>
          <w:rFonts w:cs="Guttman Hodes"/>
          <w:rtl/>
        </w:rPr>
      </w:pPr>
    </w:p>
    <w:p w:rsidR="003064FD" w:rsidRDefault="003064FD" w:rsidP="00FF765F">
      <w:pPr>
        <w:spacing w:line="240" w:lineRule="auto"/>
        <w:ind w:left="0"/>
        <w:jc w:val="center"/>
        <w:rPr>
          <w:rFonts w:cs="Guttman Hodes"/>
          <w:rtl/>
        </w:rPr>
      </w:pPr>
    </w:p>
    <w:p w:rsidR="00FF765F" w:rsidRPr="0050146A" w:rsidRDefault="00FF765F" w:rsidP="00FF765F">
      <w:pPr>
        <w:spacing w:line="240" w:lineRule="auto"/>
        <w:ind w:left="0"/>
        <w:jc w:val="center"/>
        <w:rPr>
          <w:rFonts w:cs="Guttman Hodes"/>
          <w:rtl/>
        </w:rPr>
      </w:pPr>
      <w:r w:rsidRPr="0050146A">
        <w:rPr>
          <w:rFonts w:cs="Guttman Hodes" w:hint="cs"/>
          <w:rtl/>
        </w:rPr>
        <w:t>הערות והארות</w:t>
      </w:r>
    </w:p>
    <w:p w:rsidR="00FF765F" w:rsidRPr="0050146A" w:rsidRDefault="00FF765F" w:rsidP="00FF765F">
      <w:pPr>
        <w:spacing w:line="240" w:lineRule="auto"/>
        <w:ind w:left="0"/>
        <w:jc w:val="center"/>
        <w:rPr>
          <w:rFonts w:cs="Cambria"/>
          <w:rtl/>
        </w:rPr>
      </w:pPr>
      <w:r w:rsidRPr="0050146A">
        <w:rPr>
          <w:rFonts w:cs="Guttman Hodes" w:hint="cs"/>
          <w:rtl/>
        </w:rPr>
        <w:t xml:space="preserve">ניתן לשלוח גם לכתובת מייל: </w:t>
      </w:r>
    </w:p>
    <w:p w:rsidR="00FF765F" w:rsidRPr="0050146A" w:rsidRDefault="00F51F41" w:rsidP="00FF765F">
      <w:pPr>
        <w:bidi w:val="0"/>
        <w:spacing w:line="240" w:lineRule="auto"/>
        <w:ind w:left="0"/>
        <w:jc w:val="center"/>
        <w:rPr>
          <w:rFonts w:cs="Arial"/>
        </w:rPr>
      </w:pPr>
      <w:r>
        <w:rPr>
          <w:rFonts w:cs="Cambria" w:hint="cs"/>
        </w:rPr>
        <w:t>SH</w:t>
      </w:r>
      <w:r w:rsidR="00FF765F" w:rsidRPr="0050146A">
        <w:rPr>
          <w:rFonts w:cs="Cambria" w:hint="cs"/>
          <w:rtl/>
        </w:rPr>
        <w:t>527676412</w:t>
      </w:r>
      <w:r w:rsidR="00FF765F" w:rsidRPr="0050146A">
        <w:rPr>
          <w:rFonts w:cs="Cambria"/>
        </w:rPr>
        <w:t>@GMAIL</w:t>
      </w:r>
      <w:r w:rsidR="00FF765F" w:rsidRPr="0050146A">
        <w:rPr>
          <w:rFonts w:cs="Arial" w:hint="cs"/>
          <w:rtl/>
        </w:rPr>
        <w:t>.</w:t>
      </w:r>
      <w:r w:rsidR="00FF765F" w:rsidRPr="0050146A">
        <w:rPr>
          <w:rFonts w:cs="Arial"/>
        </w:rPr>
        <w:t>COM</w:t>
      </w:r>
    </w:p>
    <w:p w:rsidR="00A47934" w:rsidRDefault="00A47934" w:rsidP="00AD31F4">
      <w:pPr>
        <w:pStyle w:val="a2"/>
        <w:spacing w:before="0" w:line="240" w:lineRule="auto"/>
        <w:rPr>
          <w:noProof/>
          <w:sz w:val="20"/>
          <w:szCs w:val="20"/>
          <w:rtl/>
        </w:rPr>
      </w:pPr>
    </w:p>
    <w:p w:rsidR="003064FD" w:rsidRDefault="003064FD" w:rsidP="00AD31F4">
      <w:pPr>
        <w:pStyle w:val="a2"/>
        <w:spacing w:before="0" w:line="240" w:lineRule="auto"/>
        <w:rPr>
          <w:b/>
          <w:bCs/>
          <w:noProof/>
          <w:sz w:val="20"/>
          <w:szCs w:val="20"/>
          <w:rtl/>
        </w:rPr>
      </w:pPr>
    </w:p>
    <w:p w:rsidR="003064FD" w:rsidRDefault="003064FD" w:rsidP="00AD31F4">
      <w:pPr>
        <w:pStyle w:val="a2"/>
        <w:spacing w:before="0" w:line="240" w:lineRule="auto"/>
        <w:rPr>
          <w:b/>
          <w:bCs/>
          <w:noProof/>
          <w:sz w:val="20"/>
          <w:szCs w:val="20"/>
          <w:rtl/>
        </w:rPr>
      </w:pPr>
    </w:p>
    <w:p w:rsidR="003064FD" w:rsidRDefault="003064FD" w:rsidP="0010646E">
      <w:pPr>
        <w:pStyle w:val="11"/>
        <w:rPr>
          <w:noProof/>
          <w:rtl/>
        </w:rPr>
      </w:pPr>
    </w:p>
    <w:p w:rsidR="0010646E" w:rsidRDefault="0010646E" w:rsidP="0010646E">
      <w:pPr>
        <w:pStyle w:val="11"/>
        <w:rPr>
          <w:rtl/>
        </w:rPr>
      </w:pPr>
    </w:p>
    <w:p w:rsidR="0010646E" w:rsidRDefault="0010646E" w:rsidP="0010646E">
      <w:pPr>
        <w:pStyle w:val="11"/>
        <w:rPr>
          <w:rtl/>
        </w:rPr>
      </w:pPr>
    </w:p>
    <w:p w:rsidR="0010646E" w:rsidRDefault="0010646E" w:rsidP="0010646E">
      <w:pPr>
        <w:pStyle w:val="11"/>
        <w:rPr>
          <w:rtl/>
        </w:rPr>
      </w:pPr>
    </w:p>
    <w:p w:rsidR="0010646E" w:rsidRDefault="0010646E" w:rsidP="0010646E">
      <w:pPr>
        <w:pStyle w:val="11"/>
        <w:rPr>
          <w:rtl/>
        </w:rPr>
      </w:pPr>
    </w:p>
    <w:p w:rsidR="0010646E" w:rsidRDefault="0010646E" w:rsidP="0010646E">
      <w:pPr>
        <w:pStyle w:val="11"/>
        <w:rPr>
          <w:rtl/>
        </w:rPr>
      </w:pPr>
    </w:p>
    <w:p w:rsidR="0010646E" w:rsidRDefault="0010646E" w:rsidP="0010646E">
      <w:pPr>
        <w:pStyle w:val="11"/>
        <w:rPr>
          <w:rtl/>
        </w:rPr>
      </w:pPr>
    </w:p>
    <w:p w:rsidR="0010646E" w:rsidRDefault="0010646E" w:rsidP="0010646E">
      <w:pPr>
        <w:pStyle w:val="11"/>
        <w:rPr>
          <w:rtl/>
        </w:rPr>
      </w:pPr>
    </w:p>
    <w:p w:rsidR="0010646E" w:rsidRPr="0010646E" w:rsidRDefault="0010646E" w:rsidP="0010646E">
      <w:pPr>
        <w:pStyle w:val="11"/>
        <w:rPr>
          <w:rtl/>
        </w:rPr>
      </w:pPr>
    </w:p>
    <w:p w:rsidR="003064FD" w:rsidRDefault="003064FD" w:rsidP="0010646E">
      <w:pPr>
        <w:pStyle w:val="11"/>
        <w:rPr>
          <w:noProof/>
          <w:rtl/>
        </w:rPr>
      </w:pPr>
    </w:p>
    <w:p w:rsidR="008D0597" w:rsidRDefault="008D0597" w:rsidP="008D0597">
      <w:pPr>
        <w:pStyle w:val="a2"/>
        <w:spacing w:before="0" w:line="240" w:lineRule="auto"/>
        <w:rPr>
          <w:b/>
          <w:bCs/>
          <w:noProof/>
          <w:sz w:val="20"/>
          <w:szCs w:val="20"/>
        </w:rPr>
      </w:pPr>
      <w:r>
        <w:rPr>
          <w:rFonts w:hint="cs"/>
          <w:b/>
          <w:bCs/>
          <w:noProof/>
          <w:sz w:val="20"/>
          <w:szCs w:val="20"/>
          <w:rtl/>
        </w:rPr>
        <w:t>כמו"כ ניתן להשיג בכתובת הנ"ל את ספרי "משנתם סדורה":</w:t>
      </w:r>
    </w:p>
    <w:p w:rsidR="00F51F41" w:rsidRPr="008D0597" w:rsidRDefault="00F51F41" w:rsidP="00AD31F4">
      <w:pPr>
        <w:pStyle w:val="11"/>
        <w:rPr>
          <w:noProof/>
          <w:sz w:val="20"/>
          <w:szCs w:val="20"/>
          <w:rtl/>
        </w:rPr>
      </w:pPr>
    </w:p>
    <w:p w:rsidR="00F51F41" w:rsidRPr="008D0597" w:rsidRDefault="00F51F41" w:rsidP="00AD31F4">
      <w:pPr>
        <w:pStyle w:val="11"/>
        <w:bidi w:val="0"/>
        <w:rPr>
          <w:rFonts w:asciiTheme="minorHAnsi" w:hAnsiTheme="minorHAnsi"/>
          <w:sz w:val="20"/>
          <w:szCs w:val="20"/>
          <w:rtl/>
        </w:rPr>
        <w:sectPr w:rsidR="00F51F41" w:rsidRPr="008D0597">
          <w:pgSz w:w="11906" w:h="16838"/>
          <w:pgMar w:top="1440" w:right="1800" w:bottom="1440" w:left="1800" w:header="708" w:footer="708" w:gutter="0"/>
          <w:cols w:space="720"/>
          <w:bidi/>
          <w:rtlGutter/>
        </w:sectPr>
      </w:pPr>
    </w:p>
    <w:p w:rsidR="00F51F41" w:rsidRPr="00AD31F4" w:rsidRDefault="00F51F41" w:rsidP="00AD31F4">
      <w:pPr>
        <w:pStyle w:val="11"/>
        <w:rPr>
          <w:b/>
          <w:bCs/>
          <w:sz w:val="20"/>
          <w:szCs w:val="20"/>
          <w:rtl/>
        </w:rPr>
      </w:pPr>
      <w:r w:rsidRPr="00AD31F4">
        <w:rPr>
          <w:rFonts w:hint="cs"/>
          <w:b/>
          <w:bCs/>
          <w:sz w:val="20"/>
          <w:szCs w:val="20"/>
          <w:rtl/>
        </w:rPr>
        <w:t>על פרק "המפקיד"</w:t>
      </w:r>
    </w:p>
    <w:p w:rsidR="00B05EBE" w:rsidRPr="00AD31F4" w:rsidRDefault="00B05EBE" w:rsidP="00AD31F4">
      <w:pPr>
        <w:pStyle w:val="11"/>
        <w:rPr>
          <w:b/>
          <w:bCs/>
          <w:sz w:val="20"/>
          <w:szCs w:val="20"/>
          <w:rtl/>
        </w:rPr>
      </w:pPr>
    </w:p>
    <w:p w:rsidR="00F51F41" w:rsidRPr="00AD31F4" w:rsidRDefault="00F51F41" w:rsidP="00AD31F4">
      <w:pPr>
        <w:pStyle w:val="11"/>
        <w:rPr>
          <w:b/>
          <w:bCs/>
          <w:noProof/>
          <w:sz w:val="20"/>
          <w:szCs w:val="20"/>
          <w:rtl/>
        </w:rPr>
      </w:pPr>
      <w:r w:rsidRPr="00AD31F4">
        <w:rPr>
          <w:rFonts w:hint="cs"/>
          <w:b/>
          <w:bCs/>
          <w:noProof/>
          <w:sz w:val="20"/>
          <w:szCs w:val="20"/>
          <w:rtl/>
        </w:rPr>
        <w:t>על פרק "איזהו נשך"</w:t>
      </w:r>
    </w:p>
    <w:p w:rsidR="004B0176" w:rsidRPr="004B0176" w:rsidRDefault="004B0176" w:rsidP="004B0176">
      <w:pPr>
        <w:pStyle w:val="11"/>
        <w:rPr>
          <w:b/>
          <w:bCs/>
          <w:sz w:val="20"/>
          <w:szCs w:val="20"/>
          <w:rtl/>
        </w:rPr>
      </w:pPr>
      <w:r w:rsidRPr="004B0176">
        <w:rPr>
          <w:b/>
          <w:bCs/>
          <w:sz w:val="20"/>
          <w:szCs w:val="20"/>
          <w:rtl/>
        </w:rPr>
        <w:t>על עניני רוב וחזקה הגרמה ובן פקועה</w:t>
      </w:r>
    </w:p>
    <w:p w:rsidR="00F51F41" w:rsidRPr="00AD31F4" w:rsidRDefault="004B0176" w:rsidP="004B0176">
      <w:pPr>
        <w:pStyle w:val="11"/>
        <w:rPr>
          <w:b/>
          <w:bCs/>
          <w:sz w:val="20"/>
          <w:szCs w:val="20"/>
          <w:rtl/>
        </w:rPr>
      </w:pPr>
      <w:r w:rsidRPr="004B0176">
        <w:rPr>
          <w:b/>
          <w:bCs/>
          <w:sz w:val="20"/>
          <w:szCs w:val="20"/>
          <w:rtl/>
        </w:rPr>
        <w:t>במסכת חולין</w:t>
      </w:r>
      <w:r w:rsidR="00F51F41" w:rsidRPr="00AD31F4">
        <w:rPr>
          <w:rFonts w:hint="cs"/>
          <w:b/>
          <w:bCs/>
          <w:sz w:val="20"/>
          <w:szCs w:val="20"/>
          <w:rtl/>
        </w:rPr>
        <w:t>.</w:t>
      </w:r>
    </w:p>
    <w:p w:rsidR="00B05EBE" w:rsidRPr="00AD31F4" w:rsidRDefault="00B05EBE" w:rsidP="00AD31F4">
      <w:pPr>
        <w:pStyle w:val="11"/>
        <w:rPr>
          <w:b/>
          <w:bCs/>
          <w:sz w:val="20"/>
          <w:szCs w:val="20"/>
          <w:rtl/>
        </w:rPr>
      </w:pPr>
    </w:p>
    <w:p w:rsidR="00F51F41" w:rsidRPr="00AD31F4" w:rsidRDefault="00F51F41" w:rsidP="00AD31F4">
      <w:pPr>
        <w:pStyle w:val="11"/>
        <w:rPr>
          <w:noProof/>
          <w:sz w:val="20"/>
          <w:szCs w:val="20"/>
          <w:rtl/>
        </w:rPr>
        <w:sectPr w:rsidR="00F51F41" w:rsidRPr="00AD31F4" w:rsidSect="00A47934">
          <w:type w:val="continuous"/>
          <w:pgSz w:w="11906" w:h="16838"/>
          <w:pgMar w:top="1440" w:right="1800" w:bottom="1440" w:left="1800" w:header="708" w:footer="708" w:gutter="0"/>
          <w:cols w:num="2" w:space="113"/>
          <w:bidi/>
          <w:rtlGutter/>
        </w:sectPr>
      </w:pPr>
    </w:p>
    <w:p w:rsidR="00F51F41" w:rsidRPr="00AD31F4" w:rsidRDefault="00F51F41" w:rsidP="00F51F41">
      <w:pPr>
        <w:bidi w:val="0"/>
        <w:spacing w:line="240" w:lineRule="auto"/>
        <w:ind w:left="0"/>
        <w:jc w:val="left"/>
        <w:rPr>
          <w:rFonts w:eastAsia="Guttman Hodes" w:cs="Guttman Hodes"/>
          <w:noProof/>
          <w:sz w:val="20"/>
          <w:szCs w:val="20"/>
        </w:rPr>
        <w:sectPr w:rsidR="00F51F41" w:rsidRPr="00AD31F4">
          <w:type w:val="continuous"/>
          <w:pgSz w:w="11906" w:h="16838"/>
          <w:pgMar w:top="1440" w:right="1800" w:bottom="1440" w:left="1800" w:header="708" w:footer="708" w:gutter="0"/>
          <w:cols w:num="2" w:space="709"/>
          <w:bidi/>
          <w:rtlGutter/>
        </w:sectPr>
      </w:pPr>
    </w:p>
    <w:p w:rsidR="00FF765F" w:rsidRPr="0050146A" w:rsidRDefault="00FF765F" w:rsidP="00FF765F">
      <w:pPr>
        <w:ind w:left="0"/>
        <w:jc w:val="center"/>
        <w:rPr>
          <w:rFonts w:ascii="Guttman Hodes" w:eastAsia="Guttman Hodes" w:hAnsi="Guttman Hodes" w:cs="Guttman Hodes"/>
          <w:b/>
          <w:bCs/>
        </w:rPr>
      </w:pPr>
      <w:r w:rsidRPr="0050146A">
        <w:rPr>
          <w:rFonts w:ascii="Guttman Hodes" w:eastAsia="Guttman Hodes" w:hAnsi="Guttman Hodes" w:cs="Guttman Hodes" w:hint="cs"/>
          <w:b/>
          <w:bCs/>
          <w:rtl/>
        </w:rPr>
        <w:lastRenderedPageBreak/>
        <w:t>דברים אחדים</w:t>
      </w:r>
    </w:p>
    <w:p w:rsidR="00FF765F" w:rsidRPr="0050146A" w:rsidRDefault="00FF765F" w:rsidP="00FF765F">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"אודה ה' בכל לבב בסוד ישרים ועדה", על הזכות הגדולה שנפלה בחלקי, לערוך ולסדר לפני עמלי התורה, את דברי הראשונים, האחרונים, וראשי הישיבות, לפי סדר ה</w:t>
      </w:r>
      <w:r w:rsidR="00715158">
        <w:rPr>
          <w:rFonts w:ascii="Guttman Hodes" w:eastAsia="Guttman Hodes" w:hAnsi="Guttman Hodes" w:cs="Guttman Hodes" w:hint="cs"/>
          <w:sz w:val="18"/>
          <w:szCs w:val="18"/>
          <w:rtl/>
        </w:rPr>
        <w:t>סוגית</w:t>
      </w:r>
      <w:r w:rsidRPr="0050146A">
        <w:rPr>
          <w:rFonts w:ascii="Guttman Hodes" w:eastAsia="Guttman Hodes" w:hAnsi="Guttman Hodes" w:cs="Guttman Hodes" w:hint="cs"/>
          <w:sz w:val="18"/>
          <w:szCs w:val="18"/>
          <w:rtl/>
        </w:rPr>
        <w:t xml:space="preserve">. </w:t>
      </w:r>
    </w:p>
    <w:p w:rsidR="00FF765F" w:rsidRPr="0050146A" w:rsidRDefault="00FF765F" w:rsidP="00AB10E5">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לתועלת הלומדים אפרט את סדר העריכה שבספר זה, בכל </w:t>
      </w:r>
      <w:r w:rsidR="00715158">
        <w:rPr>
          <w:rFonts w:ascii="Guttman Hodes" w:eastAsia="Guttman Hodes" w:hAnsi="Guttman Hodes" w:cs="Guttman Hodes" w:hint="cs"/>
          <w:sz w:val="18"/>
          <w:szCs w:val="18"/>
          <w:rtl/>
        </w:rPr>
        <w:t>סוגית</w:t>
      </w:r>
      <w:r w:rsidRPr="0050146A">
        <w:rPr>
          <w:rFonts w:ascii="Guttman Hodes" w:eastAsia="Guttman Hodes" w:hAnsi="Guttman Hodes" w:cs="Guttman Hodes" w:hint="cs"/>
          <w:sz w:val="18"/>
          <w:szCs w:val="18"/>
          <w:rtl/>
        </w:rPr>
        <w:t xml:space="preserve"> ו</w:t>
      </w:r>
      <w:r w:rsidR="00715158">
        <w:rPr>
          <w:rFonts w:ascii="Guttman Hodes" w:eastAsia="Guttman Hodes" w:hAnsi="Guttman Hodes" w:cs="Guttman Hodes" w:hint="cs"/>
          <w:sz w:val="18"/>
          <w:szCs w:val="18"/>
          <w:rtl/>
        </w:rPr>
        <w:t>סוגית</w:t>
      </w:r>
      <w:r w:rsidRPr="0050146A">
        <w:rPr>
          <w:rFonts w:ascii="Guttman Hodes" w:eastAsia="Guttman Hodes" w:hAnsi="Guttman Hodes" w:cs="Guttman Hodes" w:hint="cs"/>
          <w:sz w:val="18"/>
          <w:szCs w:val="18"/>
          <w:rtl/>
        </w:rPr>
        <w:t xml:space="preserve"> ערוכה לפני הלומד "משנתם" של הראשונים, האחרונים וראשי הישיבות בלשון קלה ובהירה, ואף שלא הובאו דבריהם "בלשונם", מ"מ נעשתה השתדלות גדולה שיהיו הדברים "ככתבם", בלא להוסיף ולפרשם יותר מן הנצרך להבנת הדברים,</w:t>
      </w:r>
      <w:r w:rsidR="003E1BBF">
        <w:rPr>
          <w:rFonts w:ascii="Guttman Hodes" w:eastAsia="Guttman Hodes" w:hAnsi="Guttman Hodes" w:cs="Guttman Hodes" w:hint="cs"/>
          <w:sz w:val="18"/>
          <w:szCs w:val="18"/>
          <w:rtl/>
        </w:rPr>
        <w:t xml:space="preserve"> אלא שנסדרו וחולקו </w:t>
      </w:r>
      <w:r w:rsidR="00AB10E5">
        <w:rPr>
          <w:rFonts w:ascii="Guttman Hodes" w:eastAsia="Guttman Hodes" w:hAnsi="Guttman Hodes" w:cs="Guttman Hodes" w:hint="cs"/>
          <w:sz w:val="18"/>
          <w:szCs w:val="18"/>
          <w:rtl/>
        </w:rPr>
        <w:t>לפי עניני וסדרי</w:t>
      </w:r>
      <w:r w:rsidR="003E1BBF">
        <w:rPr>
          <w:rFonts w:ascii="Guttman Hodes" w:eastAsia="Guttman Hodes" w:hAnsi="Guttman Hodes" w:cs="Guttman Hodes" w:hint="cs"/>
          <w:sz w:val="18"/>
          <w:szCs w:val="18"/>
          <w:rtl/>
        </w:rPr>
        <w:t xml:space="preserve"> ה</w:t>
      </w:r>
      <w:r w:rsidR="00715158">
        <w:rPr>
          <w:rFonts w:ascii="Guttman Hodes" w:eastAsia="Guttman Hodes" w:hAnsi="Guttman Hodes" w:cs="Guttman Hodes" w:hint="cs"/>
          <w:sz w:val="18"/>
          <w:szCs w:val="18"/>
          <w:rtl/>
        </w:rPr>
        <w:t>סוגית</w:t>
      </w:r>
      <w:r w:rsidR="003E1BBF">
        <w:rPr>
          <w:rFonts w:ascii="Guttman Hodes" w:eastAsia="Guttman Hodes" w:hAnsi="Guttman Hodes" w:cs="Guttman Hodes" w:hint="cs"/>
          <w:sz w:val="18"/>
          <w:szCs w:val="18"/>
          <w:rtl/>
        </w:rPr>
        <w:t>, כך שהלומד</w:t>
      </w:r>
      <w:r w:rsidR="00AB10E5">
        <w:rPr>
          <w:rFonts w:ascii="Guttman Hodes" w:eastAsia="Guttman Hodes" w:hAnsi="Guttman Hodes" w:cs="Guttman Hodes" w:hint="cs"/>
          <w:sz w:val="18"/>
          <w:szCs w:val="18"/>
          <w:rtl/>
        </w:rPr>
        <w:t xml:space="preserve"> שעוסק בתוך ה</w:t>
      </w:r>
      <w:r w:rsidR="00715158">
        <w:rPr>
          <w:rFonts w:ascii="Guttman Hodes" w:eastAsia="Guttman Hodes" w:hAnsi="Guttman Hodes" w:cs="Guttman Hodes" w:hint="cs"/>
          <w:sz w:val="18"/>
          <w:szCs w:val="18"/>
          <w:rtl/>
        </w:rPr>
        <w:t>סוגית</w:t>
      </w:r>
      <w:r w:rsidR="00AB10E5">
        <w:rPr>
          <w:rFonts w:ascii="Guttman Hodes" w:eastAsia="Guttman Hodes" w:hAnsi="Guttman Hodes" w:cs="Guttman Hodes" w:hint="cs"/>
          <w:sz w:val="18"/>
          <w:szCs w:val="18"/>
          <w:rtl/>
        </w:rPr>
        <w:t>, יכול למצא בהם תועלת גדולה, ובפרט כשיראה את הדברים במקומם, וכן קראתי את שם הספר</w:t>
      </w:r>
      <w:r w:rsidR="003E1BBF">
        <w:rPr>
          <w:rFonts w:ascii="Guttman Hodes" w:eastAsia="Guttman Hodes" w:hAnsi="Guttman Hodes" w:cs="Guttman Hodes" w:hint="cs"/>
          <w:sz w:val="18"/>
          <w:szCs w:val="18"/>
          <w:rtl/>
        </w:rPr>
        <w:t xml:space="preserve"> </w:t>
      </w:r>
      <w:r w:rsidRPr="0050146A">
        <w:rPr>
          <w:rFonts w:ascii="Guttman Hodes" w:eastAsia="Guttman Hodes" w:hAnsi="Guttman Hodes" w:cs="Guttman Hodes" w:hint="cs"/>
          <w:sz w:val="18"/>
          <w:szCs w:val="18"/>
          <w:rtl/>
        </w:rPr>
        <w:t>"</w:t>
      </w:r>
      <w:r w:rsidRPr="0050146A">
        <w:rPr>
          <w:rFonts w:ascii="Guttman Hodes" w:eastAsia="Guttman Hodes" w:hAnsi="Guttman Hodes" w:cs="Guttman Hodes" w:hint="cs"/>
          <w:b/>
          <w:bCs/>
          <w:sz w:val="18"/>
          <w:szCs w:val="18"/>
          <w:rtl/>
        </w:rPr>
        <w:t>משנתם סדורה</w:t>
      </w:r>
      <w:r w:rsidRPr="0050146A">
        <w:rPr>
          <w:rFonts w:ascii="Guttman Hodes" w:eastAsia="Guttman Hodes" w:hAnsi="Guttman Hodes" w:cs="Guttman Hodes" w:hint="cs"/>
          <w:sz w:val="18"/>
          <w:szCs w:val="18"/>
          <w:rtl/>
        </w:rPr>
        <w:t>"</w:t>
      </w:r>
      <w:r w:rsidR="00AB10E5">
        <w:rPr>
          <w:rFonts w:ascii="Guttman Hodes" w:eastAsia="Guttman Hodes" w:hAnsi="Guttman Hodes" w:cs="Guttman Hodes" w:hint="cs"/>
          <w:sz w:val="18"/>
          <w:szCs w:val="18"/>
          <w:rtl/>
        </w:rPr>
        <w:t>, שהוא "משנתם" של הראשונים והאחרונים וראשי הישיבות, אשר נערכו ונסדרו כדי שתהיה ה</w:t>
      </w:r>
      <w:r w:rsidR="00715158">
        <w:rPr>
          <w:rFonts w:ascii="Guttman Hodes" w:eastAsia="Guttman Hodes" w:hAnsi="Guttman Hodes" w:cs="Guttman Hodes" w:hint="cs"/>
          <w:sz w:val="18"/>
          <w:szCs w:val="18"/>
          <w:rtl/>
        </w:rPr>
        <w:t>סוגית</w:t>
      </w:r>
      <w:r w:rsidR="00AB10E5">
        <w:rPr>
          <w:rFonts w:ascii="Guttman Hodes" w:eastAsia="Guttman Hodes" w:hAnsi="Guttman Hodes" w:cs="Guttman Hodes" w:hint="cs"/>
          <w:sz w:val="18"/>
          <w:szCs w:val="18"/>
          <w:rtl/>
        </w:rPr>
        <w:t xml:space="preserve"> "סדורה"</w:t>
      </w:r>
      <w:r w:rsidRPr="0050146A">
        <w:rPr>
          <w:rFonts w:ascii="Guttman Hodes" w:eastAsia="Guttman Hodes" w:hAnsi="Guttman Hodes" w:cs="Guttman Hodes" w:hint="cs"/>
          <w:sz w:val="18"/>
          <w:szCs w:val="18"/>
          <w:rtl/>
        </w:rPr>
        <w:t xml:space="preserve"> לפני הלומד.</w:t>
      </w:r>
    </w:p>
    <w:p w:rsidR="008C7135" w:rsidRDefault="008C7135" w:rsidP="009B0993">
      <w:pPr>
        <w:spacing w:before="240" w:line="240" w:lineRule="auto"/>
        <w:ind w:left="0"/>
        <w:rPr>
          <w:rFonts w:ascii="Guttman Hodes" w:eastAsia="Guttman Hodes" w:hAnsi="Guttman Hodes" w:cs="Guttman Hodes"/>
          <w:sz w:val="18"/>
          <w:szCs w:val="18"/>
        </w:rPr>
      </w:pPr>
      <w:r>
        <w:rPr>
          <w:rFonts w:ascii="Guttman Hodes" w:eastAsia="Guttman Hodes" w:hAnsi="Guttman Hodes" w:cs="Guttman Hodes" w:hint="cs"/>
          <w:sz w:val="18"/>
          <w:szCs w:val="18"/>
          <w:rtl/>
        </w:rPr>
        <w:t>בתחילת כל סימן נכתב "</w:t>
      </w:r>
      <w:r w:rsidR="002916D7">
        <w:rPr>
          <w:rFonts w:ascii="Guttman Hodes" w:eastAsia="Guttman Hodes" w:hAnsi="Guttman Hodes" w:cs="Guttman Hodes" w:hint="cs"/>
          <w:b/>
          <w:bCs/>
          <w:sz w:val="18"/>
          <w:szCs w:val="18"/>
          <w:rtl/>
        </w:rPr>
        <w:t>מפתח הסוגיא</w:t>
      </w:r>
      <w:r>
        <w:rPr>
          <w:rFonts w:ascii="Guttman Hodes" w:eastAsia="Guttman Hodes" w:hAnsi="Guttman Hodes" w:cs="Guttman Hodes" w:hint="cs"/>
          <w:sz w:val="18"/>
          <w:szCs w:val="18"/>
          <w:rtl/>
        </w:rPr>
        <w:t xml:space="preserve">", בו הובאו כל הכותרות וכותרות המשנה, מסודרים לפי סדר האותיות שבתוך הסימן, עיקר מטרתו של מדור זה הוא בכדי שימצא הלומד בקל את מבוקשו </w:t>
      </w:r>
      <w:r w:rsidR="00715158">
        <w:rPr>
          <w:rFonts w:ascii="Guttman Hodes" w:eastAsia="Guttman Hodes" w:hAnsi="Guttman Hodes" w:cs="Guttman Hodes" w:hint="cs"/>
          <w:sz w:val="18"/>
          <w:szCs w:val="18"/>
          <w:rtl/>
        </w:rPr>
        <w:t>סוגית</w:t>
      </w:r>
      <w:r>
        <w:rPr>
          <w:rFonts w:ascii="Guttman Hodes" w:eastAsia="Guttman Hodes" w:hAnsi="Guttman Hodes" w:cs="Guttman Hodes" w:hint="cs"/>
          <w:sz w:val="18"/>
          <w:szCs w:val="18"/>
          <w:rtl/>
        </w:rPr>
        <w:t>, ויוכל לעיין בתוך הסימן באותיות של הנושא שעוסק בו, ולא יצטרך לטרוח ולראות בתחילת ה</w:t>
      </w:r>
      <w:r w:rsidR="00715158">
        <w:rPr>
          <w:rFonts w:ascii="Guttman Hodes" w:eastAsia="Guttman Hodes" w:hAnsi="Guttman Hodes" w:cs="Guttman Hodes" w:hint="cs"/>
          <w:sz w:val="18"/>
          <w:szCs w:val="18"/>
          <w:rtl/>
        </w:rPr>
        <w:t>סוגית</w:t>
      </w:r>
      <w:r>
        <w:rPr>
          <w:rFonts w:ascii="Guttman Hodes" w:eastAsia="Guttman Hodes" w:hAnsi="Guttman Hodes" w:cs="Guttman Hodes" w:hint="cs"/>
          <w:sz w:val="18"/>
          <w:szCs w:val="18"/>
          <w:rtl/>
        </w:rPr>
        <w:t xml:space="preserve"> את כל דברי הראשונים והאחרונים</w:t>
      </w:r>
      <w:r w:rsidR="00757C7D">
        <w:rPr>
          <w:rFonts w:ascii="Guttman Hodes" w:eastAsia="Guttman Hodes" w:hAnsi="Guttman Hodes" w:cs="Guttman Hodes" w:hint="cs"/>
          <w:sz w:val="18"/>
          <w:szCs w:val="18"/>
          <w:rtl/>
        </w:rPr>
        <w:t>,</w:t>
      </w:r>
      <w:r>
        <w:rPr>
          <w:rFonts w:ascii="Guttman Hodes" w:eastAsia="Guttman Hodes" w:hAnsi="Guttman Hodes" w:cs="Guttman Hodes" w:hint="cs"/>
          <w:sz w:val="18"/>
          <w:szCs w:val="18"/>
          <w:rtl/>
        </w:rPr>
        <w:t xml:space="preserve"> </w:t>
      </w:r>
      <w:r w:rsidR="00757C7D">
        <w:rPr>
          <w:rFonts w:ascii="Guttman Hodes" w:eastAsia="Guttman Hodes" w:hAnsi="Guttman Hodes" w:cs="Guttman Hodes" w:hint="cs"/>
          <w:sz w:val="18"/>
          <w:szCs w:val="18"/>
          <w:rtl/>
        </w:rPr>
        <w:t xml:space="preserve">בכמה נושאים שונים, כפי </w:t>
      </w:r>
      <w:r>
        <w:rPr>
          <w:rFonts w:ascii="Guttman Hodes" w:eastAsia="Guttman Hodes" w:hAnsi="Guttman Hodes" w:cs="Guttman Hodes" w:hint="cs"/>
          <w:sz w:val="18"/>
          <w:szCs w:val="18"/>
          <w:rtl/>
        </w:rPr>
        <w:t>שהובאו באריכות בתוך הסימן</w:t>
      </w:r>
      <w:r w:rsidR="001575E6">
        <w:rPr>
          <w:rFonts w:ascii="Guttman Hodes" w:eastAsia="Guttman Hodes" w:hAnsi="Guttman Hodes" w:cs="Guttman Hodes" w:hint="cs"/>
          <w:sz w:val="18"/>
          <w:szCs w:val="18"/>
          <w:rtl/>
        </w:rPr>
        <w:t>, כמו"כ</w:t>
      </w:r>
      <w:r w:rsidR="007D29B4">
        <w:rPr>
          <w:rFonts w:ascii="Guttman Hodes" w:eastAsia="Guttman Hodes" w:hAnsi="Guttman Hodes" w:cs="Guttman Hodes" w:hint="cs"/>
          <w:sz w:val="18"/>
          <w:szCs w:val="18"/>
          <w:rtl/>
        </w:rPr>
        <w:t xml:space="preserve"> בתחילת ה</w:t>
      </w:r>
      <w:r w:rsidR="00715158">
        <w:rPr>
          <w:rFonts w:ascii="Guttman Hodes" w:eastAsia="Guttman Hodes" w:hAnsi="Guttman Hodes" w:cs="Guttman Hodes" w:hint="cs"/>
          <w:sz w:val="18"/>
          <w:szCs w:val="18"/>
          <w:rtl/>
        </w:rPr>
        <w:t>סוגית</w:t>
      </w:r>
      <w:r w:rsidR="001575E6">
        <w:rPr>
          <w:rFonts w:ascii="Guttman Hodes" w:eastAsia="Guttman Hodes" w:hAnsi="Guttman Hodes" w:cs="Guttman Hodes" w:hint="cs"/>
          <w:sz w:val="18"/>
          <w:szCs w:val="18"/>
          <w:rtl/>
        </w:rPr>
        <w:t xml:space="preserve"> יכול הלומד </w:t>
      </w:r>
      <w:r w:rsidR="009B0993">
        <w:rPr>
          <w:rFonts w:ascii="Guttman Hodes" w:eastAsia="Guttman Hodes" w:hAnsi="Guttman Hodes" w:cs="Guttman Hodes" w:hint="cs"/>
          <w:sz w:val="18"/>
          <w:szCs w:val="18"/>
          <w:rtl/>
        </w:rPr>
        <w:t>לעיין במהירות בכל הכותרות שהובאו בתוך הסימן ו</w:t>
      </w:r>
      <w:r w:rsidR="001575E6">
        <w:rPr>
          <w:rFonts w:ascii="Guttman Hodes" w:eastAsia="Guttman Hodes" w:hAnsi="Guttman Hodes" w:cs="Guttman Hodes" w:hint="cs"/>
          <w:sz w:val="18"/>
          <w:szCs w:val="18"/>
          <w:rtl/>
        </w:rPr>
        <w:t xml:space="preserve">לראות </w:t>
      </w:r>
      <w:r w:rsidR="007D29B4">
        <w:rPr>
          <w:rFonts w:ascii="Guttman Hodes" w:eastAsia="Guttman Hodes" w:hAnsi="Guttman Hodes" w:cs="Guttman Hodes" w:hint="cs"/>
          <w:sz w:val="18"/>
          <w:szCs w:val="18"/>
          <w:rtl/>
        </w:rPr>
        <w:t>מהם</w:t>
      </w:r>
      <w:r w:rsidR="001575E6">
        <w:rPr>
          <w:rFonts w:ascii="Guttman Hodes" w:eastAsia="Guttman Hodes" w:hAnsi="Guttman Hodes" w:cs="Guttman Hodes" w:hint="cs"/>
          <w:sz w:val="18"/>
          <w:szCs w:val="18"/>
          <w:rtl/>
        </w:rPr>
        <w:t xml:space="preserve"> הנדונים </w:t>
      </w:r>
      <w:r w:rsidR="00715158">
        <w:rPr>
          <w:rFonts w:ascii="Guttman Hodes" w:eastAsia="Guttman Hodes" w:hAnsi="Guttman Hodes" w:cs="Guttman Hodes" w:hint="cs"/>
          <w:sz w:val="18"/>
          <w:szCs w:val="18"/>
          <w:rtl/>
        </w:rPr>
        <w:t>סוגית</w:t>
      </w:r>
      <w:r w:rsidR="007D29B4">
        <w:rPr>
          <w:rFonts w:ascii="Guttman Hodes" w:eastAsia="Guttman Hodes" w:hAnsi="Guttman Hodes" w:cs="Guttman Hodes" w:hint="cs"/>
          <w:sz w:val="18"/>
          <w:szCs w:val="18"/>
          <w:rtl/>
        </w:rPr>
        <w:t>, ולעיין במה שלבו חפץ</w:t>
      </w:r>
      <w:r>
        <w:rPr>
          <w:rFonts w:ascii="Guttman Hodes" w:eastAsia="Guttman Hodes" w:hAnsi="Guttman Hodes" w:cs="Guttman Hodes" w:hint="cs"/>
          <w:sz w:val="18"/>
          <w:szCs w:val="18"/>
          <w:rtl/>
        </w:rPr>
        <w:t>.</w:t>
      </w:r>
    </w:p>
    <w:p w:rsidR="00FF765F" w:rsidRPr="0050146A" w:rsidRDefault="008C7135" w:rsidP="00E117D6">
      <w:pPr>
        <w:spacing w:before="240" w:line="240" w:lineRule="auto"/>
        <w:ind w:left="0"/>
        <w:rPr>
          <w:rFonts w:ascii="Cambria" w:eastAsia="Guttman Hodes" w:hAnsi="Cambria" w:cs="Guttman Hodes"/>
          <w:sz w:val="18"/>
          <w:szCs w:val="18"/>
          <w:rtl/>
        </w:rPr>
      </w:pPr>
      <w:r>
        <w:rPr>
          <w:rFonts w:ascii="Guttman Hodes" w:eastAsia="Guttman Hodes" w:hAnsi="Guttman Hodes" w:cs="Guttman Hodes" w:hint="cs"/>
          <w:sz w:val="18"/>
          <w:szCs w:val="18"/>
          <w:rtl/>
        </w:rPr>
        <w:t xml:space="preserve">בתוך הסימן הובאו באריכות </w:t>
      </w:r>
      <w:r w:rsidR="00FF765F" w:rsidRPr="0050146A">
        <w:rPr>
          <w:rFonts w:ascii="Guttman Hodes" w:eastAsia="Guttman Hodes" w:hAnsi="Guttman Hodes" w:cs="Guttman Hodes" w:hint="cs"/>
          <w:sz w:val="18"/>
          <w:szCs w:val="18"/>
          <w:rtl/>
        </w:rPr>
        <w:t xml:space="preserve">דברי הראשונים והאחרונים, </w:t>
      </w:r>
      <w:r>
        <w:rPr>
          <w:rFonts w:ascii="Guttman Hodes" w:eastAsia="Guttman Hodes" w:hAnsi="Guttman Hodes" w:cs="Guttman Hodes" w:hint="cs"/>
          <w:sz w:val="18"/>
          <w:szCs w:val="18"/>
          <w:rtl/>
        </w:rPr>
        <w:t>ו</w:t>
      </w:r>
      <w:r w:rsidRPr="0050146A">
        <w:rPr>
          <w:rFonts w:ascii="Guttman Hodes" w:eastAsia="Guttman Hodes" w:hAnsi="Guttman Hodes" w:cs="Guttman Hodes" w:hint="cs"/>
          <w:sz w:val="18"/>
          <w:szCs w:val="18"/>
          <w:rtl/>
        </w:rPr>
        <w:t>אחר</w:t>
      </w:r>
      <w:r>
        <w:rPr>
          <w:rFonts w:ascii="Guttman Hodes" w:eastAsia="Guttman Hodes" w:hAnsi="Guttman Hodes" w:cs="Guttman Hodes" w:hint="cs"/>
          <w:sz w:val="18"/>
          <w:szCs w:val="18"/>
          <w:rtl/>
        </w:rPr>
        <w:t>יהם</w:t>
      </w:r>
      <w:r w:rsidRPr="0050146A">
        <w:rPr>
          <w:rFonts w:ascii="Guttman Hodes" w:eastAsia="Guttman Hodes" w:hAnsi="Guttman Hodes" w:cs="Guttman Hodes" w:hint="cs"/>
          <w:sz w:val="18"/>
          <w:szCs w:val="18"/>
          <w:rtl/>
        </w:rPr>
        <w:t xml:space="preserve"> </w:t>
      </w:r>
      <w:r w:rsidR="00FF765F" w:rsidRPr="0050146A">
        <w:rPr>
          <w:rFonts w:ascii="Guttman Hodes" w:eastAsia="Guttman Hodes" w:hAnsi="Guttman Hodes" w:cs="Guttman Hodes" w:hint="cs"/>
          <w:sz w:val="18"/>
          <w:szCs w:val="18"/>
          <w:rtl/>
        </w:rPr>
        <w:t xml:space="preserve">נכתבו </w:t>
      </w:r>
      <w:r w:rsidR="00FF765F" w:rsidRPr="0050146A">
        <w:rPr>
          <w:rFonts w:ascii="Cambria" w:eastAsia="Guttman Hodes" w:hAnsi="Cambria" w:cs="Guttman Hodes" w:hint="cs"/>
          <w:sz w:val="18"/>
          <w:szCs w:val="18"/>
          <w:rtl/>
        </w:rPr>
        <w:t>במדור נפרד "</w:t>
      </w:r>
      <w:r w:rsidR="00FF765F" w:rsidRPr="0050146A">
        <w:rPr>
          <w:rFonts w:ascii="Cambria" w:eastAsia="Guttman Hodes" w:hAnsi="Cambria" w:cs="Guttman Hodes" w:hint="cs"/>
          <w:b/>
          <w:bCs/>
          <w:sz w:val="18"/>
          <w:szCs w:val="18"/>
          <w:rtl/>
        </w:rPr>
        <w:t>ביאורי ראשי הישיבות</w:t>
      </w:r>
      <w:r w:rsidR="00FF765F" w:rsidRPr="0050146A">
        <w:rPr>
          <w:rFonts w:ascii="Cambria" w:eastAsia="Guttman Hodes" w:hAnsi="Cambria" w:cs="Guttman Hodes" w:hint="cs"/>
          <w:sz w:val="18"/>
          <w:szCs w:val="18"/>
          <w:rtl/>
        </w:rPr>
        <w:t>", בו הובאו דבריהם של רבותינו ראשי הישיבות</w:t>
      </w:r>
      <w:r w:rsidR="00E117D6">
        <w:rPr>
          <w:rFonts w:ascii="Cambria" w:eastAsia="Guttman Hodes" w:hAnsi="Cambria" w:cs="Guttman Hodes" w:hint="cs"/>
          <w:sz w:val="18"/>
          <w:szCs w:val="18"/>
          <w:rtl/>
        </w:rPr>
        <w:t>, החל מרבינו הגר"ח מבריסק ואילך, כאשר המטרה בחלוקה זו, היא בכדי להעמיד בבירור את גדרי הדינים והבנת הסברות, כפי דרך הלימוד המקובלת בישיבות</w:t>
      </w:r>
      <w:r w:rsidR="00FF765F" w:rsidRPr="0050146A">
        <w:rPr>
          <w:rFonts w:ascii="Cambria" w:eastAsia="Guttman Hodes" w:hAnsi="Cambria" w:cs="Guttman Hodes" w:hint="cs"/>
          <w:sz w:val="18"/>
          <w:szCs w:val="18"/>
          <w:rtl/>
        </w:rPr>
        <w:t>.</w:t>
      </w:r>
    </w:p>
    <w:p w:rsidR="00FF765F" w:rsidRPr="0050146A" w:rsidRDefault="00FF765F" w:rsidP="00FF765F">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מראי מקומות אלו נכתבו תוך כדי לימוד ה</w:t>
      </w:r>
      <w:r w:rsidR="00715158">
        <w:rPr>
          <w:rFonts w:ascii="Guttman Hodes" w:eastAsia="Guttman Hodes" w:hAnsi="Guttman Hodes" w:cs="Guttman Hodes" w:hint="cs"/>
          <w:sz w:val="18"/>
          <w:szCs w:val="18"/>
          <w:rtl/>
        </w:rPr>
        <w:t>סוגית</w:t>
      </w:r>
      <w:r w:rsidRPr="0050146A">
        <w:rPr>
          <w:rFonts w:ascii="Guttman Hodes" w:eastAsia="Guttman Hodes" w:hAnsi="Guttman Hodes" w:cs="Guttman Hodes" w:hint="cs"/>
          <w:sz w:val="18"/>
          <w:szCs w:val="18"/>
          <w:rtl/>
        </w:rPr>
        <w:t xml:space="preserve"> </w:t>
      </w:r>
      <w:r w:rsidR="00292690">
        <w:rPr>
          <w:rFonts w:ascii="Guttman Hodes" w:eastAsia="Guttman Hodes" w:hAnsi="Guttman Hodes" w:cs="Guttman Hodes" w:hint="cs"/>
          <w:sz w:val="18"/>
          <w:szCs w:val="18"/>
          <w:rtl/>
        </w:rPr>
        <w:t xml:space="preserve">בזמן קיץ ה' תשע"ט, </w:t>
      </w:r>
      <w:r w:rsidRPr="0050146A">
        <w:rPr>
          <w:rFonts w:ascii="Guttman Hodes" w:eastAsia="Guttman Hodes" w:hAnsi="Guttman Hodes" w:cs="Guttman Hodes" w:hint="cs"/>
          <w:sz w:val="18"/>
          <w:szCs w:val="18"/>
          <w:rtl/>
        </w:rPr>
        <w:t>במבצר התורה "</w:t>
      </w:r>
      <w:r w:rsidRPr="0050146A">
        <w:rPr>
          <w:rFonts w:ascii="Guttman Hodes" w:eastAsia="Guttman Hodes" w:hAnsi="Guttman Hodes" w:cs="Guttman Hodes" w:hint="cs"/>
          <w:b/>
          <w:bCs/>
          <w:sz w:val="18"/>
          <w:szCs w:val="18"/>
          <w:rtl/>
        </w:rPr>
        <w:t>ישיבת בית הלל"</w:t>
      </w:r>
      <w:r w:rsidRPr="0050146A">
        <w:rPr>
          <w:rFonts w:ascii="Guttman Hodes" w:eastAsia="Guttman Hodes" w:hAnsi="Guttman Hodes" w:cs="Guttman Hodes" w:hint="cs"/>
          <w:sz w:val="18"/>
          <w:szCs w:val="18"/>
          <w:rtl/>
        </w:rPr>
        <w:t xml:space="preserve"> בעיה"ת בני ברק, ובראש ובראשונה נתונה התודה למורינו ראש הכולל</w:t>
      </w:r>
      <w:r w:rsidRPr="0050146A">
        <w:rPr>
          <w:rFonts w:ascii="Guttman Hodes" w:eastAsia="Guttman Hodes" w:hAnsi="Guttman Hodes" w:cs="Guttman Hodes" w:hint="cs"/>
          <w:b/>
          <w:bCs/>
          <w:sz w:val="18"/>
          <w:szCs w:val="18"/>
          <w:rtl/>
        </w:rPr>
        <w:t xml:space="preserve"> הגאון רבי יוסף יעקב מן שליט"א</w:t>
      </w:r>
      <w:r w:rsidRPr="0050146A">
        <w:rPr>
          <w:rFonts w:ascii="Guttman Hodes" w:eastAsia="Guttman Hodes" w:hAnsi="Guttman Hodes" w:cs="Guttman Hodes" w:hint="cs"/>
          <w:sz w:val="18"/>
          <w:szCs w:val="18"/>
          <w:rtl/>
        </w:rPr>
        <w:t>,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לראות איך כל אברך ואברך יקיף בעיון את כל ה</w:t>
      </w:r>
      <w:r w:rsidR="00715158">
        <w:rPr>
          <w:rFonts w:ascii="Guttman Hodes" w:eastAsia="Guttman Hodes" w:hAnsi="Guttman Hodes" w:cs="Guttman Hodes" w:hint="cs"/>
          <w:sz w:val="18"/>
          <w:szCs w:val="18"/>
          <w:rtl/>
        </w:rPr>
        <w:t>סוגית</w:t>
      </w:r>
      <w:r w:rsidRPr="0050146A">
        <w:rPr>
          <w:rFonts w:ascii="Guttman Hodes" w:eastAsia="Guttman Hodes" w:hAnsi="Guttman Hodes" w:cs="Guttman Hodes" w:hint="cs"/>
          <w:sz w:val="18"/>
          <w:szCs w:val="18"/>
          <w:rtl/>
        </w:rPr>
        <w:t xml:space="preserve"> מכל עבריה מחד, ומאידך יספיק ללמוד בהספק גדול ככל הניתן,</w:t>
      </w:r>
      <w:r w:rsidRPr="0050146A">
        <w:rPr>
          <w:rtl/>
        </w:rPr>
        <w:t xml:space="preserve"> </w:t>
      </w:r>
      <w:r w:rsidRPr="0050146A">
        <w:rPr>
          <w:rFonts w:ascii="Guttman Hodes" w:eastAsia="Guttman Hodes" w:hAnsi="Guttman Hodes" w:cs="Guttman Hodes" w:hint="cs"/>
          <w:sz w:val="18"/>
          <w:szCs w:val="18"/>
          <w:rtl/>
        </w:rPr>
        <w:t>וכל זאת בהשקפה גדולה להמשיך את צורת הישיבה, כפי שהנחילו אביו הגאון הגדול רבי מרדכי לייב מן זצוק"ל, הברכה אחת היא שיזכה להגדיל תורה ולהאדירה, וירחיב ה' את גבולו בעמלי תורה, מתוך מנוחת הדעת ושלוות הנפש.</w:t>
      </w:r>
    </w:p>
    <w:p w:rsidR="00E35A93" w:rsidRPr="0050146A" w:rsidRDefault="00FB5641" w:rsidP="00E35A93">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יזכו להמשיך ולהרביץ תורה, ולהעמיד תלמידים הרבה, מעוטרים בכתרה של תורה.</w:t>
      </w:r>
    </w:p>
    <w:p w:rsidR="00272D33" w:rsidRPr="0050146A" w:rsidRDefault="00FF765F" w:rsidP="00DB7125">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וניתן לומר שהכתיבה היתה כידא אריכתא של בני הכולל,</w:t>
      </w:r>
      <w:r w:rsidR="00272D33" w:rsidRPr="0050146A">
        <w:rPr>
          <w:rFonts w:ascii="Guttman Hodes" w:eastAsia="Guttman Hodes" w:hAnsi="Guttman Hodes" w:cs="Guttman Hodes" w:hint="cs"/>
          <w:sz w:val="18"/>
          <w:szCs w:val="18"/>
          <w:rtl/>
        </w:rPr>
        <w:t xml:space="preserve"> אברכם שיזכו להמשיך לעמול </w:t>
      </w:r>
      <w:r w:rsidR="00E35A93" w:rsidRPr="0050146A">
        <w:rPr>
          <w:rFonts w:ascii="Guttman Hodes" w:eastAsia="Guttman Hodes" w:hAnsi="Guttman Hodes" w:cs="Guttman Hodes" w:hint="cs"/>
          <w:sz w:val="18"/>
          <w:szCs w:val="18"/>
          <w:rtl/>
        </w:rPr>
        <w:t xml:space="preserve">ולהתיגע </w:t>
      </w:r>
      <w:r w:rsidR="00272D33" w:rsidRPr="0050146A">
        <w:rPr>
          <w:rFonts w:ascii="Guttman Hodes" w:eastAsia="Guttman Hodes" w:hAnsi="Guttman Hodes" w:cs="Guttman Hodes" w:hint="cs"/>
          <w:sz w:val="18"/>
          <w:szCs w:val="18"/>
          <w:rtl/>
        </w:rPr>
        <w:t>בתורה, ולא תמוש התורה מפיהם ומפי זרעם עד עולם.</w:t>
      </w:r>
    </w:p>
    <w:p w:rsidR="00FF765F" w:rsidRPr="0050146A" w:rsidRDefault="00FF765F" w:rsidP="00DE222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וכן אודה לכל הת"ח הגדולים </w:t>
      </w:r>
      <w:r w:rsidRPr="0050146A">
        <w:rPr>
          <w:rFonts w:ascii="Guttman Hodes" w:eastAsia="Guttman Hodes" w:hAnsi="Guttman Hodes" w:cs="Guttman Hodes" w:hint="cs"/>
          <w:b/>
          <w:bCs/>
          <w:sz w:val="18"/>
          <w:szCs w:val="18"/>
          <w:rtl/>
        </w:rPr>
        <w:t>מחברי הספרים</w:t>
      </w:r>
      <w:r w:rsidRPr="0050146A">
        <w:rPr>
          <w:rFonts w:ascii="Guttman Hodes" w:eastAsia="Guttman Hodes" w:hAnsi="Guttman Hodes" w:cs="Guttman Hodes" w:hint="cs"/>
          <w:sz w:val="18"/>
          <w:szCs w:val="18"/>
          <w:rtl/>
        </w:rPr>
        <w:t xml:space="preserve"> והמראי מקומות על מסכת חולין, ועל ענייני </w:t>
      </w:r>
      <w:r w:rsidR="00DE222A" w:rsidRPr="0050146A">
        <w:rPr>
          <w:rFonts w:ascii="Guttman Hodes" w:eastAsia="Guttman Hodes" w:hAnsi="Guttman Hodes" w:cs="Guttman Hodes" w:hint="cs"/>
          <w:sz w:val="18"/>
          <w:szCs w:val="18"/>
          <w:rtl/>
        </w:rPr>
        <w:t>תערובות</w:t>
      </w:r>
      <w:r w:rsidRPr="0050146A">
        <w:rPr>
          <w:rFonts w:ascii="Guttman Hodes" w:eastAsia="Guttman Hodes" w:hAnsi="Guttman Hodes" w:cs="Guttman Hodes" w:hint="cs"/>
          <w:sz w:val="18"/>
          <w:szCs w:val="18"/>
          <w:rtl/>
        </w:rPr>
        <w:t>, אשר העמידו בבהירות את מראי המקומות והנקודות הנחוצות להבנת הסוגיות, שנעזרתי בהם רבות בלימוד המסכת, לכולם אודה מעומק לבי, ואברכם בברכת כהן שיזכו להמשיך להגדיל תורה ולהאדירה.</w:t>
      </w:r>
    </w:p>
    <w:p w:rsidR="00FF765F" w:rsidRPr="0050146A" w:rsidRDefault="00FF765F" w:rsidP="00FF765F">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rsidR="00FF765F" w:rsidRPr="0050146A" w:rsidRDefault="00FF765F" w:rsidP="00FF765F">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rsidR="00FF765F" w:rsidRPr="0050146A" w:rsidRDefault="00FF765F" w:rsidP="00FF765F">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rsidR="00FF765F" w:rsidRPr="0050146A" w:rsidRDefault="00FF765F" w:rsidP="00FF765F">
      <w:pPr>
        <w:spacing w:before="240" w:line="240" w:lineRule="auto"/>
        <w:ind w:left="0"/>
        <w:rPr>
          <w:rFonts w:ascii="Guttman Hodes" w:eastAsia="Guttman Hodes" w:hAnsi="Guttman Hodes" w:cs="Guttman Hodes"/>
          <w:sz w:val="18"/>
          <w:szCs w:val="18"/>
          <w:rtl/>
        </w:rPr>
      </w:pPr>
    </w:p>
    <w:p w:rsidR="008C7135" w:rsidRDefault="008C7135" w:rsidP="00FF765F">
      <w:pPr>
        <w:pStyle w:val="11"/>
        <w:jc w:val="right"/>
        <w:rPr>
          <w:sz w:val="18"/>
          <w:szCs w:val="18"/>
          <w:rtl/>
        </w:rPr>
      </w:pPr>
      <w:r>
        <w:rPr>
          <w:rFonts w:hint="cs"/>
          <w:sz w:val="18"/>
          <w:szCs w:val="18"/>
          <w:rtl/>
        </w:rPr>
        <w:t>מנחם אב ה' תשע"ט</w:t>
      </w:r>
    </w:p>
    <w:p w:rsidR="008C7135" w:rsidRDefault="008C7135" w:rsidP="00FF765F">
      <w:pPr>
        <w:pStyle w:val="11"/>
        <w:jc w:val="right"/>
        <w:rPr>
          <w:sz w:val="18"/>
          <w:szCs w:val="18"/>
          <w:rtl/>
        </w:rPr>
      </w:pPr>
    </w:p>
    <w:p w:rsidR="00FF765F" w:rsidRPr="0050146A" w:rsidRDefault="00FF765F" w:rsidP="00FF765F">
      <w:pPr>
        <w:pStyle w:val="11"/>
        <w:jc w:val="right"/>
        <w:rPr>
          <w:sz w:val="18"/>
          <w:szCs w:val="18"/>
          <w:rtl/>
        </w:rPr>
      </w:pPr>
      <w:r w:rsidRPr="0050146A">
        <w:rPr>
          <w:rFonts w:hint="cs"/>
          <w:sz w:val="18"/>
          <w:szCs w:val="18"/>
          <w:rtl/>
        </w:rPr>
        <w:t>שלמה זושא הכהן הנדל</w:t>
      </w:r>
    </w:p>
    <w:p w:rsidR="00FF765F" w:rsidRPr="0050146A" w:rsidRDefault="00FF765F" w:rsidP="00FF765F">
      <w:pPr>
        <w:pStyle w:val="11"/>
        <w:jc w:val="right"/>
        <w:rPr>
          <w:sz w:val="18"/>
          <w:szCs w:val="18"/>
          <w:rtl/>
        </w:rPr>
      </w:pPr>
      <w:r w:rsidRPr="0050146A">
        <w:rPr>
          <w:rFonts w:hint="cs"/>
          <w:sz w:val="18"/>
          <w:szCs w:val="18"/>
          <w:rtl/>
        </w:rPr>
        <w:t>ישיבת בית הלל בני ברק</w:t>
      </w:r>
    </w:p>
    <w:p w:rsidR="00FF765F" w:rsidRPr="0050146A" w:rsidRDefault="00FF765F" w:rsidP="00FF765F">
      <w:pPr>
        <w:bidi w:val="0"/>
        <w:spacing w:line="240" w:lineRule="auto"/>
        <w:ind w:left="0"/>
        <w:jc w:val="left"/>
        <w:rPr>
          <w:rFonts w:eastAsia="Guttman Hodes" w:cs="Guttman Hodes"/>
          <w:sz w:val="18"/>
          <w:szCs w:val="18"/>
        </w:rPr>
        <w:sectPr w:rsidR="00FF765F" w:rsidRPr="0050146A">
          <w:headerReference w:type="default" r:id="rId11"/>
          <w:pgSz w:w="11906" w:h="16838"/>
          <w:pgMar w:top="720" w:right="720" w:bottom="720" w:left="720" w:header="283" w:footer="283" w:gutter="0"/>
          <w:pgNumType w:fmt="hebrew1"/>
          <w:cols w:space="720"/>
          <w:bidi/>
          <w:rtlGutter/>
        </w:sectPr>
      </w:pPr>
    </w:p>
    <w:p w:rsidR="00FF765F" w:rsidRPr="0050146A" w:rsidRDefault="00FF765F" w:rsidP="00FF765F">
      <w:pPr>
        <w:spacing w:line="240" w:lineRule="auto"/>
        <w:ind w:left="0"/>
        <w:jc w:val="center"/>
        <w:rPr>
          <w:rFonts w:ascii="Guttman Hodes" w:eastAsia="Guttman Hodes" w:hAnsi="Guttman Hodes" w:cs="Guttman Hodes"/>
          <w:b/>
          <w:bCs/>
        </w:rPr>
      </w:pPr>
    </w:p>
    <w:p w:rsidR="00F84FBA" w:rsidRPr="0050146A" w:rsidRDefault="00F84FBA" w:rsidP="00F84FBA">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t>מכתב ברכה ממורינו ראש הכולל הגאון רבי יעקב יוסף מן שליט"א</w:t>
      </w:r>
    </w:p>
    <w:p w:rsidR="00F84FBA" w:rsidRPr="0050146A" w:rsidRDefault="00F84FBA" w:rsidP="00F84FBA">
      <w:pPr>
        <w:spacing w:line="240" w:lineRule="auto"/>
        <w:ind w:left="0"/>
        <w:jc w:val="center"/>
        <w:rPr>
          <w:rFonts w:ascii="Guttman Hodes" w:eastAsia="Guttman Hodes" w:hAnsi="Guttman Hodes" w:cs="Guttman Hodes"/>
          <w:b/>
          <w:bCs/>
          <w:rtl/>
        </w:rPr>
      </w:pPr>
    </w:p>
    <w:p w:rsidR="00F84FBA" w:rsidRPr="0050146A" w:rsidRDefault="00F84FBA" w:rsidP="00F84FBA">
      <w:pPr>
        <w:spacing w:line="240" w:lineRule="auto"/>
        <w:ind w:left="0"/>
        <w:jc w:val="center"/>
        <w:rPr>
          <w:rFonts w:ascii="Guttman Hodes" w:eastAsia="Guttman Hodes" w:hAnsi="Guttman Hodes" w:cs="Guttman Hodes"/>
          <w:b/>
          <w:bCs/>
          <w:rtl/>
        </w:rPr>
      </w:pPr>
    </w:p>
    <w:p w:rsidR="00F84FBA" w:rsidRPr="0050146A" w:rsidRDefault="00F84FBA" w:rsidP="00F84FBA">
      <w:pPr>
        <w:spacing w:line="240" w:lineRule="auto"/>
        <w:ind w:left="0"/>
        <w:jc w:val="center"/>
        <w:rPr>
          <w:rFonts w:ascii="Guttman Hodes" w:eastAsia="Guttman Hodes" w:hAnsi="Guttman Hodes" w:cs="Guttman Hodes"/>
          <w:b/>
          <w:bCs/>
          <w:noProof/>
          <w:rtl/>
        </w:rPr>
      </w:pPr>
      <w:r w:rsidRPr="0050146A">
        <w:rPr>
          <w:rFonts w:ascii="Guttman Hodes" w:eastAsia="Guttman Hodes" w:hAnsi="Guttman Hodes" w:cs="Guttman Hodes"/>
          <w:b/>
          <w:bCs/>
          <w:noProof/>
          <w:rtl/>
        </w:rPr>
        <w:drawing>
          <wp:inline distT="0" distB="0" distL="0" distR="0" wp14:anchorId="23A954F6" wp14:editId="322D2C39">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rsidR="00F84FBA" w:rsidRPr="0050146A" w:rsidRDefault="00F84FBA" w:rsidP="00F84FBA">
      <w:pPr>
        <w:spacing w:line="240" w:lineRule="auto"/>
        <w:ind w:left="0"/>
        <w:jc w:val="center"/>
        <w:rPr>
          <w:rFonts w:ascii="Guttman Hodes" w:eastAsia="Guttman Hodes" w:hAnsi="Guttman Hodes" w:cs="Guttman Hodes"/>
          <w:b/>
          <w:bCs/>
          <w:rtl/>
        </w:rPr>
      </w:pPr>
    </w:p>
    <w:p w:rsidR="00F84FBA" w:rsidRPr="0050146A" w:rsidRDefault="00F84FBA" w:rsidP="00F84FBA">
      <w:pPr>
        <w:spacing w:line="240" w:lineRule="auto"/>
        <w:ind w:left="0"/>
        <w:jc w:val="center"/>
        <w:rPr>
          <w:rFonts w:ascii="Guttman Hodes" w:eastAsia="Guttman Hodes" w:hAnsi="Guttman Hodes" w:cs="Guttman Hodes"/>
          <w:b/>
          <w:bCs/>
          <w:rtl/>
        </w:rPr>
      </w:pPr>
    </w:p>
    <w:p w:rsidR="00F84FBA" w:rsidRPr="0050146A" w:rsidRDefault="00F84FBA" w:rsidP="00F84FBA">
      <w:pPr>
        <w:spacing w:line="240" w:lineRule="auto"/>
        <w:ind w:left="0"/>
        <w:jc w:val="center"/>
        <w:rPr>
          <w:rFonts w:ascii="Guttman Hodes" w:eastAsia="Guttman Hodes" w:hAnsi="Guttman Hodes" w:cs="Guttman Hodes"/>
          <w:b/>
          <w:bCs/>
          <w:rtl/>
        </w:rPr>
        <w:sectPr w:rsidR="00F84FBA" w:rsidRPr="0050146A" w:rsidSect="00553801">
          <w:pgSz w:w="11906" w:h="16838"/>
          <w:pgMar w:top="1440" w:right="1800" w:bottom="1440" w:left="1800" w:header="708" w:footer="708" w:gutter="0"/>
          <w:cols w:space="709"/>
          <w:bidi/>
          <w:rtlGutter/>
          <w:docGrid w:linePitch="360"/>
        </w:sectPr>
      </w:pPr>
    </w:p>
    <w:p w:rsidR="00FF765F" w:rsidRPr="0050146A" w:rsidRDefault="00FF765F" w:rsidP="00FF765F">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lastRenderedPageBreak/>
        <w:t xml:space="preserve">מכתב ברכה </w:t>
      </w:r>
      <w:r w:rsidR="00EF597C" w:rsidRPr="0050146A">
        <w:rPr>
          <w:rFonts w:ascii="Guttman Hodes" w:eastAsia="Guttman Hodes" w:hAnsi="Guttman Hodes" w:cs="Guttman Hodes" w:hint="cs"/>
          <w:b/>
          <w:bCs/>
          <w:rtl/>
        </w:rPr>
        <w:t xml:space="preserve">מהגאון רבי </w:t>
      </w:r>
      <w:r w:rsidRPr="0050146A">
        <w:rPr>
          <w:rFonts w:ascii="Guttman Hodes" w:eastAsia="Guttman Hodes" w:hAnsi="Guttman Hodes" w:cs="Guttman Hodes" w:hint="cs"/>
          <w:b/>
          <w:bCs/>
          <w:rtl/>
        </w:rPr>
        <w:t>דוד מילר שליט"א מראשי ישיבת פוניבז'</w:t>
      </w:r>
    </w:p>
    <w:p w:rsidR="00FF765F" w:rsidRPr="0050146A" w:rsidRDefault="00FF765F" w:rsidP="00FF765F">
      <w:pPr>
        <w:tabs>
          <w:tab w:val="left" w:pos="1163"/>
        </w:tabs>
        <w:spacing w:after="120" w:line="240" w:lineRule="auto"/>
        <w:ind w:left="284" w:right="284"/>
        <w:rPr>
          <w:rFonts w:ascii="David" w:eastAsia="Guttman Hodes" w:hAnsi="David" w:cs="David"/>
          <w:b/>
          <w:bCs/>
          <w:noProof/>
          <w:sz w:val="30"/>
          <w:szCs w:val="30"/>
          <w:rtl/>
        </w:rPr>
      </w:pPr>
    </w:p>
    <w:p w:rsidR="00FF765F" w:rsidRPr="0050146A" w:rsidRDefault="006345E2" w:rsidP="00FF765F">
      <w:pPr>
        <w:tabs>
          <w:tab w:val="left" w:pos="1163"/>
        </w:tabs>
        <w:spacing w:after="120" w:line="240" w:lineRule="auto"/>
        <w:ind w:left="284" w:right="284"/>
        <w:rPr>
          <w:rFonts w:ascii="David" w:eastAsia="Guttman Hodes" w:hAnsi="David" w:cs="David"/>
          <w:b/>
          <w:bCs/>
          <w:noProof/>
          <w:sz w:val="30"/>
          <w:szCs w:val="30"/>
          <w:rtl/>
        </w:rPr>
      </w:pPr>
      <w:r w:rsidRPr="0050146A">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0A45FCE1" wp14:editId="3A0308BF">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65F" w:rsidRPr="0050146A" w:rsidRDefault="00FF765F" w:rsidP="00FF765F">
      <w:pPr>
        <w:tabs>
          <w:tab w:val="left" w:pos="1163"/>
        </w:tabs>
        <w:spacing w:after="120" w:line="240" w:lineRule="auto"/>
        <w:ind w:left="284" w:right="284"/>
        <w:rPr>
          <w:rFonts w:ascii="David" w:eastAsia="Guttman Hodes" w:hAnsi="David" w:cs="David"/>
          <w:b/>
          <w:bCs/>
          <w:noProof/>
          <w:sz w:val="30"/>
          <w:szCs w:val="30"/>
          <w:rtl/>
        </w:rPr>
      </w:pPr>
    </w:p>
    <w:p w:rsidR="00FF765F" w:rsidRPr="0050146A" w:rsidRDefault="00FF765F" w:rsidP="00FF765F">
      <w:pPr>
        <w:tabs>
          <w:tab w:val="left" w:pos="1163"/>
        </w:tabs>
        <w:spacing w:after="120" w:line="240" w:lineRule="auto"/>
        <w:ind w:left="284" w:right="284"/>
        <w:rPr>
          <w:rFonts w:ascii="David" w:eastAsia="Guttman Hodes" w:hAnsi="David" w:cs="David"/>
          <w:b/>
          <w:bCs/>
          <w:noProof/>
          <w:sz w:val="30"/>
          <w:szCs w:val="30"/>
          <w:rtl/>
        </w:rPr>
      </w:pPr>
    </w:p>
    <w:p w:rsidR="00FF765F" w:rsidRPr="0050146A" w:rsidRDefault="00FF765F" w:rsidP="00FF765F">
      <w:pPr>
        <w:tabs>
          <w:tab w:val="left" w:pos="1163"/>
        </w:tabs>
        <w:spacing w:after="120" w:line="240" w:lineRule="auto"/>
        <w:ind w:left="284" w:right="284"/>
        <w:rPr>
          <w:rFonts w:ascii="David" w:eastAsia="Guttman Hodes" w:hAnsi="David" w:cs="David"/>
          <w:b/>
          <w:bCs/>
          <w:noProof/>
          <w:sz w:val="30"/>
          <w:szCs w:val="30"/>
          <w:rtl/>
        </w:rPr>
      </w:pPr>
    </w:p>
    <w:p w:rsidR="00FF765F" w:rsidRPr="0050146A" w:rsidRDefault="00FF765F" w:rsidP="00FF765F">
      <w:pPr>
        <w:tabs>
          <w:tab w:val="left" w:pos="1163"/>
        </w:tabs>
        <w:spacing w:after="120" w:line="240" w:lineRule="auto"/>
        <w:ind w:left="284" w:right="284"/>
        <w:rPr>
          <w:rFonts w:ascii="David" w:eastAsia="Guttman Hodes" w:hAnsi="David" w:cs="David"/>
          <w:b/>
          <w:bCs/>
          <w:noProof/>
          <w:sz w:val="30"/>
          <w:szCs w:val="30"/>
          <w:rtl/>
        </w:rPr>
      </w:pPr>
    </w:p>
    <w:p w:rsidR="00FF765F" w:rsidRPr="0050146A" w:rsidRDefault="00FF765F" w:rsidP="00FF765F">
      <w:pPr>
        <w:tabs>
          <w:tab w:val="left" w:pos="1163"/>
        </w:tabs>
        <w:spacing w:after="120" w:line="240" w:lineRule="auto"/>
        <w:ind w:left="284" w:right="284"/>
        <w:rPr>
          <w:rFonts w:ascii="David" w:eastAsia="Guttman Hodes" w:hAnsi="David" w:cs="David"/>
          <w:b/>
          <w:bCs/>
          <w:noProof/>
          <w:sz w:val="30"/>
          <w:szCs w:val="30"/>
          <w:rtl/>
        </w:rPr>
      </w:pPr>
    </w:p>
    <w:p w:rsidR="00FF765F" w:rsidRPr="0050146A" w:rsidRDefault="00FF765F" w:rsidP="00FF765F">
      <w:pPr>
        <w:tabs>
          <w:tab w:val="left" w:pos="1163"/>
        </w:tabs>
        <w:spacing w:after="120" w:line="240" w:lineRule="auto"/>
        <w:ind w:left="284" w:right="284"/>
        <w:rPr>
          <w:rFonts w:ascii="David" w:eastAsia="Guttman Hodes" w:hAnsi="David" w:cs="David"/>
          <w:b/>
          <w:bCs/>
          <w:noProof/>
          <w:sz w:val="31"/>
          <w:szCs w:val="31"/>
          <w:rtl/>
        </w:rPr>
      </w:pPr>
    </w:p>
    <w:p w:rsidR="00FF765F" w:rsidRPr="0050146A" w:rsidRDefault="00FF765F" w:rsidP="00FF765F">
      <w:pPr>
        <w:tabs>
          <w:tab w:val="left" w:pos="1163"/>
        </w:tabs>
        <w:spacing w:after="120" w:line="240" w:lineRule="auto"/>
        <w:ind w:left="454" w:right="454"/>
        <w:rPr>
          <w:rFonts w:ascii="David" w:eastAsia="Guttman Hodes" w:hAnsi="David" w:cs="David"/>
          <w:b/>
          <w:bCs/>
          <w:noProof/>
          <w:sz w:val="31"/>
          <w:szCs w:val="31"/>
          <w:rtl/>
        </w:rPr>
      </w:pPr>
    </w:p>
    <w:p w:rsidR="000D0284" w:rsidRDefault="000D0284" w:rsidP="00FF765F">
      <w:pPr>
        <w:tabs>
          <w:tab w:val="left" w:pos="1163"/>
        </w:tabs>
        <w:spacing w:after="120" w:line="240" w:lineRule="auto"/>
        <w:ind w:left="454" w:right="454"/>
        <w:rPr>
          <w:rFonts w:ascii="David" w:eastAsia="Guttman Hodes" w:hAnsi="David" w:cs="David"/>
          <w:b/>
          <w:bCs/>
          <w:noProof/>
          <w:sz w:val="36"/>
          <w:szCs w:val="36"/>
          <w:rtl/>
        </w:rPr>
      </w:pPr>
    </w:p>
    <w:p w:rsidR="00FF765F" w:rsidRPr="0050146A" w:rsidRDefault="00FF765F" w:rsidP="00FF765F">
      <w:pPr>
        <w:tabs>
          <w:tab w:val="left" w:pos="1163"/>
        </w:tabs>
        <w:spacing w:after="120" w:line="240" w:lineRule="auto"/>
        <w:ind w:left="454" w:right="454"/>
        <w:rPr>
          <w:rFonts w:ascii="David" w:eastAsia="Guttman Hodes" w:hAnsi="David" w:cs="David"/>
          <w:b/>
          <w:bCs/>
          <w:noProof/>
          <w:sz w:val="36"/>
          <w:szCs w:val="36"/>
        </w:rPr>
      </w:pPr>
      <w:r w:rsidRPr="0050146A">
        <w:rPr>
          <w:rFonts w:ascii="David" w:eastAsia="Guttman Hodes" w:hAnsi="David" w:cs="David"/>
          <w:b/>
          <w:bCs/>
          <w:noProof/>
          <w:sz w:val="36"/>
          <w:szCs w:val="36"/>
          <w:rtl/>
        </w:rPr>
        <w:t>לכב' הרב הגאון ר' שלמה הנדל שליט"א</w:t>
      </w:r>
    </w:p>
    <w:p w:rsidR="00FF765F" w:rsidRPr="0050146A" w:rsidRDefault="00FF765F" w:rsidP="00FF765F">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שלום וברכה !</w:t>
      </w:r>
    </w:p>
    <w:p w:rsidR="00FF765F" w:rsidRPr="0050146A" w:rsidRDefault="00FF765F" w:rsidP="00FF765F">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הנני להודות לכת"ר על הקונטרס הנפלא "ליקוטי </w:t>
      </w:r>
      <w:r w:rsidR="00A25FA5">
        <w:rPr>
          <w:rFonts w:ascii="David" w:eastAsia="Guttman Hodes" w:hAnsi="David" w:cs="David" w:hint="cs"/>
          <w:b/>
          <w:bCs/>
          <w:noProof/>
          <w:sz w:val="36"/>
          <w:szCs w:val="36"/>
          <w:rtl/>
        </w:rPr>
        <w:t>הרמב"ם</w:t>
      </w:r>
      <w:r w:rsidR="00A25FA5" w:rsidRPr="00A25FA5">
        <w:rPr>
          <w:rFonts w:ascii="David" w:eastAsia="Guttman Hodes" w:hAnsi="David" w:cs="David" w:hint="cs"/>
          <w:b/>
          <w:bCs/>
          <w:noProof/>
          <w:sz w:val="36"/>
          <w:szCs w:val="36"/>
          <w:vertAlign w:val="superscript"/>
          <w:rtl/>
        </w:rPr>
        <w:t>*</w:t>
      </w:r>
      <w:r w:rsidRPr="0050146A">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w:t>
      </w:r>
      <w:r w:rsidR="00715158">
        <w:rPr>
          <w:rFonts w:ascii="David" w:eastAsia="Guttman Hodes" w:hAnsi="David" w:cs="David"/>
          <w:b/>
          <w:bCs/>
          <w:noProof/>
          <w:sz w:val="36"/>
          <w:szCs w:val="36"/>
          <w:rtl/>
        </w:rPr>
        <w:t>סוגית</w:t>
      </w:r>
      <w:r w:rsidRPr="0050146A">
        <w:rPr>
          <w:rFonts w:ascii="David" w:eastAsia="Guttman Hodes" w:hAnsi="David" w:cs="David"/>
          <w:b/>
          <w:bCs/>
          <w:noProof/>
          <w:sz w:val="36"/>
          <w:szCs w:val="36"/>
          <w:rtl/>
        </w:rPr>
        <w:t>, בהבאת השיטות השונות ובביאורם, ובחישוב הנפ"מ שביניהם, והמו"מ בדבריהם, מתוך ה</w:t>
      </w:r>
      <w:r w:rsidR="00715158">
        <w:rPr>
          <w:rFonts w:ascii="David" w:eastAsia="Guttman Hodes" w:hAnsi="David" w:cs="David"/>
          <w:b/>
          <w:bCs/>
          <w:noProof/>
          <w:sz w:val="36"/>
          <w:szCs w:val="36"/>
          <w:rtl/>
        </w:rPr>
        <w:t>סוגית</w:t>
      </w:r>
      <w:r w:rsidRPr="0050146A">
        <w:rPr>
          <w:rFonts w:ascii="David" w:eastAsia="Guttman Hodes" w:hAnsi="David" w:cs="David"/>
          <w:b/>
          <w:bCs/>
          <w:noProof/>
          <w:sz w:val="36"/>
          <w:szCs w:val="36"/>
          <w:rtl/>
        </w:rPr>
        <w:t xml:space="preserve"> בבהירות נפלאה, ובלשון צחה וקצרה מועט המחזיק את המרובה</w:t>
      </w:r>
      <w:r w:rsidRPr="0050146A">
        <w:rPr>
          <w:rFonts w:ascii="David" w:eastAsia="Guttman Hodes" w:hAnsi="David" w:cs="David" w:hint="cs"/>
          <w:b/>
          <w:bCs/>
          <w:noProof/>
          <w:sz w:val="36"/>
          <w:szCs w:val="36"/>
          <w:rtl/>
        </w:rPr>
        <w:t>.</w:t>
      </w:r>
    </w:p>
    <w:p w:rsidR="00FF765F" w:rsidRPr="0050146A" w:rsidRDefault="00FF765F" w:rsidP="00FF765F">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כולו "חכמה" ואינה מלאכה</w:t>
      </w:r>
      <w:r w:rsidRPr="0050146A">
        <w:rPr>
          <w:rFonts w:ascii="David" w:eastAsia="Guttman Hodes" w:hAnsi="David" w:cs="David" w:hint="cs"/>
          <w:b/>
          <w:bCs/>
          <w:noProof/>
          <w:sz w:val="36"/>
          <w:szCs w:val="36"/>
          <w:rtl/>
        </w:rPr>
        <w:t>.</w:t>
      </w:r>
    </w:p>
    <w:p w:rsidR="00FF765F" w:rsidRPr="0050146A" w:rsidRDefault="00FF765F" w:rsidP="00FF765F">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ישר כוחכם על כך.</w:t>
      </w:r>
    </w:p>
    <w:p w:rsidR="00FF765F" w:rsidRPr="0050146A" w:rsidRDefault="00FF765F" w:rsidP="00FF765F">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rsidR="00FF765F" w:rsidRPr="0050146A" w:rsidRDefault="00FF765F" w:rsidP="00FF765F">
      <w:pPr>
        <w:spacing w:after="160" w:line="259" w:lineRule="auto"/>
        <w:ind w:left="0"/>
        <w:jc w:val="left"/>
        <w:rPr>
          <w:rFonts w:ascii="Calibri" w:eastAsia="Calibri" w:hAnsi="Calibri" w:cs="Aria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6345E2" w:rsidP="000F04C6">
      <w:pPr>
        <w:spacing w:after="160" w:line="259" w:lineRule="auto"/>
        <w:ind w:left="0"/>
        <w:jc w:val="left"/>
        <w:rPr>
          <w:rFonts w:ascii="Calibri" w:eastAsia="Calibri" w:hAnsi="Calibri" w:cs="Arial"/>
          <w:b/>
          <w:bCs/>
          <w:rtl/>
        </w:rPr>
      </w:pPr>
      <w:r w:rsidRPr="00A25FA5">
        <w:rPr>
          <w:rFonts w:ascii="David" w:eastAsia="Guttman Hodes" w:hAnsi="David" w:cs="David" w:hint="cs"/>
          <w:b/>
          <w:bCs/>
          <w:noProof/>
          <w:sz w:val="36"/>
          <w:szCs w:val="36"/>
          <w:vertAlign w:val="superscript"/>
          <w:rtl/>
        </w:rPr>
        <w:t>*</w:t>
      </w:r>
      <w:r>
        <w:rPr>
          <w:rFonts w:ascii="Calibri" w:eastAsia="Calibri" w:hAnsi="Calibri" w:cs="Arial" w:hint="cs"/>
          <w:b/>
          <w:bCs/>
          <w:rtl/>
        </w:rPr>
        <w:t xml:space="preserve"> </w:t>
      </w:r>
      <w:r w:rsidRPr="006345E2">
        <w:rPr>
          <w:rFonts w:ascii="David" w:eastAsia="Guttman Hodes" w:hAnsi="David" w:cs="David" w:hint="cs"/>
          <w:noProof/>
          <w:sz w:val="18"/>
          <w:szCs w:val="18"/>
          <w:rtl/>
        </w:rPr>
        <w:t xml:space="preserve">ספר </w:t>
      </w:r>
      <w:r w:rsidR="000F04C6">
        <w:rPr>
          <w:rFonts w:ascii="David" w:eastAsia="Guttman Hodes" w:hAnsi="David" w:cs="David" w:hint="cs"/>
          <w:noProof/>
          <w:sz w:val="18"/>
          <w:szCs w:val="18"/>
          <w:rtl/>
        </w:rPr>
        <w:t>"</w:t>
      </w:r>
      <w:r w:rsidRPr="006345E2">
        <w:rPr>
          <w:rFonts w:ascii="David" w:eastAsia="Guttman Hodes" w:hAnsi="David" w:cs="David" w:hint="cs"/>
          <w:noProof/>
          <w:sz w:val="18"/>
          <w:szCs w:val="18"/>
          <w:rtl/>
        </w:rPr>
        <w:t>משנתם סדורה</w:t>
      </w:r>
      <w:r w:rsidR="000F04C6">
        <w:rPr>
          <w:rFonts w:ascii="David" w:eastAsia="Guttman Hodes" w:hAnsi="David" w:cs="David" w:hint="cs"/>
          <w:noProof/>
          <w:sz w:val="18"/>
          <w:szCs w:val="18"/>
          <w:rtl/>
        </w:rPr>
        <w:t>"</w:t>
      </w:r>
      <w:r w:rsidRPr="006345E2">
        <w:rPr>
          <w:rFonts w:ascii="David" w:eastAsia="Guttman Hodes" w:hAnsi="David" w:cs="David" w:hint="cs"/>
          <w:noProof/>
          <w:sz w:val="18"/>
          <w:szCs w:val="18"/>
          <w:rtl/>
        </w:rPr>
        <w:t xml:space="preserve"> </w:t>
      </w:r>
      <w:r w:rsidR="000F04C6">
        <w:rPr>
          <w:rFonts w:ascii="David" w:eastAsia="Guttman Hodes" w:hAnsi="David" w:cs="David" w:hint="cs"/>
          <w:noProof/>
          <w:sz w:val="18"/>
          <w:szCs w:val="18"/>
          <w:rtl/>
        </w:rPr>
        <w:t>נד'</w:t>
      </w:r>
      <w:r w:rsidRPr="006345E2">
        <w:rPr>
          <w:rFonts w:ascii="David" w:eastAsia="Guttman Hodes" w:hAnsi="David" w:cs="David" w:hint="cs"/>
          <w:noProof/>
          <w:sz w:val="18"/>
          <w:szCs w:val="18"/>
          <w:rtl/>
        </w:rPr>
        <w:t xml:space="preserve"> בתחילה </w:t>
      </w:r>
      <w:r w:rsidR="000F04C6">
        <w:rPr>
          <w:rFonts w:ascii="David" w:eastAsia="Guttman Hodes" w:hAnsi="David" w:cs="David" w:hint="cs"/>
          <w:noProof/>
          <w:sz w:val="18"/>
          <w:szCs w:val="18"/>
          <w:rtl/>
        </w:rPr>
        <w:t xml:space="preserve">בקונט' </w:t>
      </w:r>
      <w:r w:rsidRPr="006345E2">
        <w:rPr>
          <w:rFonts w:ascii="David" w:eastAsia="Guttman Hodes" w:hAnsi="David" w:cs="David" w:hint="cs"/>
          <w:noProof/>
          <w:sz w:val="18"/>
          <w:szCs w:val="18"/>
          <w:rtl/>
        </w:rPr>
        <w:t>בשם זה.</w:t>
      </w: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259" w:lineRule="auto"/>
        <w:ind w:left="0"/>
        <w:jc w:val="left"/>
        <w:rPr>
          <w:rFonts w:ascii="Calibri" w:eastAsia="Calibri" w:hAnsi="Calibri" w:cs="Arial"/>
          <w:b/>
          <w:bCs/>
          <w:rtl/>
        </w:rPr>
      </w:pPr>
    </w:p>
    <w:p w:rsidR="00FF765F" w:rsidRPr="0050146A" w:rsidRDefault="00FF765F" w:rsidP="00FF765F">
      <w:pPr>
        <w:spacing w:after="160" w:line="480" w:lineRule="auto"/>
        <w:ind w:left="0" w:right="1418"/>
        <w:jc w:val="left"/>
        <w:rPr>
          <w:rFonts w:ascii="David" w:eastAsia="Calibri" w:hAnsi="David" w:cs="David"/>
          <w:b/>
          <w:bCs/>
          <w:sz w:val="36"/>
          <w:szCs w:val="36"/>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sidR="009E053E">
        <w:rPr>
          <w:rFonts w:ascii="Guttman Hodes" w:eastAsia="Guttman Hodes" w:hAnsi="Guttman Hodes" w:cs="Guttman Hodes" w:hint="cs"/>
          <w:sz w:val="20"/>
          <w:szCs w:val="20"/>
          <w:rtl/>
        </w:rPr>
        <w:t xml:space="preserve"> ונדפס כאן ברשות ראש הישיבה שליט"א</w:t>
      </w:r>
    </w:p>
    <w:p w:rsidR="00FF765F" w:rsidRPr="0050146A" w:rsidRDefault="00FF765F" w:rsidP="00FF765F">
      <w:pPr>
        <w:spacing w:line="240" w:lineRule="auto"/>
        <w:ind w:left="0"/>
        <w:jc w:val="center"/>
        <w:rPr>
          <w:rFonts w:ascii="Guttman Hodes" w:eastAsia="Guttman Hodes" w:hAnsi="Guttman Hodes" w:cs="Guttman Hodes"/>
          <w:b/>
          <w:bCs/>
          <w:rtl/>
        </w:rPr>
      </w:pPr>
    </w:p>
    <w:p w:rsidR="00FF765F" w:rsidRPr="0050146A" w:rsidRDefault="00FF765F" w:rsidP="00FF765F">
      <w:pPr>
        <w:spacing w:line="240" w:lineRule="auto"/>
        <w:ind w:left="0"/>
        <w:jc w:val="center"/>
        <w:rPr>
          <w:rFonts w:ascii="Guttman Hodes" w:eastAsia="Guttman Hodes" w:hAnsi="Guttman Hodes" w:cs="Guttman Hodes"/>
          <w:b/>
          <w:bCs/>
          <w:rtl/>
        </w:rPr>
      </w:pPr>
    </w:p>
    <w:p w:rsidR="00FF765F" w:rsidRPr="0050146A" w:rsidRDefault="00FF765F" w:rsidP="00FF765F">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t xml:space="preserve">מכתב ברכה </w:t>
      </w:r>
      <w:r w:rsidR="00EF597C" w:rsidRPr="0050146A">
        <w:rPr>
          <w:rFonts w:ascii="Guttman Hodes" w:eastAsia="Guttman Hodes" w:hAnsi="Guttman Hodes" w:cs="Guttman Hodes" w:hint="cs"/>
          <w:b/>
          <w:bCs/>
          <w:rtl/>
        </w:rPr>
        <w:t xml:space="preserve">מהגאון רבי </w:t>
      </w:r>
      <w:r w:rsidRPr="0050146A">
        <w:rPr>
          <w:rFonts w:ascii="Guttman Hodes" w:eastAsia="Guttman Hodes" w:hAnsi="Guttman Hodes" w:cs="Guttman Hodes" w:hint="cs"/>
          <w:b/>
          <w:bCs/>
          <w:rtl/>
        </w:rPr>
        <w:t>איתמר גרבוז שליט"א ראש ישיבת אורחות תורה</w:t>
      </w:r>
    </w:p>
    <w:p w:rsidR="00FF765F" w:rsidRPr="0050146A" w:rsidRDefault="00FF765F" w:rsidP="00FF765F">
      <w:pPr>
        <w:spacing w:after="160" w:line="480" w:lineRule="auto"/>
        <w:ind w:left="0" w:right="1418"/>
        <w:jc w:val="left"/>
        <w:rPr>
          <w:rFonts w:ascii="David" w:eastAsia="Calibri" w:hAnsi="David" w:cs="David"/>
          <w:b/>
          <w:bCs/>
          <w:sz w:val="36"/>
          <w:szCs w:val="36"/>
          <w:rtl/>
        </w:rPr>
      </w:pPr>
      <w:r w:rsidRPr="0050146A">
        <w:rPr>
          <w:rFonts w:hint="cs"/>
          <w:noProof/>
          <w:rtl/>
        </w:rPr>
        <w:drawing>
          <wp:anchor distT="0" distB="0" distL="114300" distR="114300" simplePos="0" relativeHeight="251659264" behindDoc="1" locked="0" layoutInCell="1" allowOverlap="1" wp14:anchorId="21736C64" wp14:editId="64120C79">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50146A">
        <w:rPr>
          <w:rFonts w:ascii="David" w:eastAsia="Calibri" w:hAnsi="David" w:cs="David"/>
          <w:b/>
          <w:bCs/>
          <w:sz w:val="36"/>
          <w:szCs w:val="36"/>
          <w:rtl/>
        </w:rPr>
        <w:t xml:space="preserve">  </w:t>
      </w:r>
    </w:p>
    <w:p w:rsidR="00FF765F" w:rsidRPr="0050146A" w:rsidRDefault="00FF765F" w:rsidP="00FF765F">
      <w:pPr>
        <w:spacing w:after="160" w:line="480" w:lineRule="auto"/>
        <w:ind w:left="0" w:right="1418"/>
        <w:jc w:val="left"/>
        <w:rPr>
          <w:rFonts w:ascii="David" w:eastAsia="Calibri" w:hAnsi="David" w:cs="David"/>
          <w:b/>
          <w:bCs/>
          <w:sz w:val="36"/>
          <w:szCs w:val="36"/>
          <w:rtl/>
        </w:rPr>
      </w:pPr>
    </w:p>
    <w:p w:rsidR="00FF765F" w:rsidRPr="0050146A" w:rsidRDefault="00FF765F" w:rsidP="00FF765F">
      <w:pPr>
        <w:spacing w:after="160" w:line="480" w:lineRule="auto"/>
        <w:ind w:left="0" w:right="1418"/>
        <w:jc w:val="left"/>
        <w:rPr>
          <w:rFonts w:ascii="David" w:eastAsia="Calibri" w:hAnsi="David" w:cs="David"/>
          <w:b/>
          <w:bCs/>
          <w:sz w:val="36"/>
          <w:szCs w:val="36"/>
          <w:rtl/>
        </w:rPr>
      </w:pPr>
    </w:p>
    <w:p w:rsidR="00FF765F" w:rsidRPr="0050146A" w:rsidRDefault="00FF765F" w:rsidP="00FF765F">
      <w:pPr>
        <w:spacing w:after="160" w:line="480" w:lineRule="auto"/>
        <w:ind w:left="0" w:right="1418"/>
        <w:jc w:val="left"/>
        <w:rPr>
          <w:rFonts w:ascii="David" w:eastAsia="Calibri" w:hAnsi="David" w:cs="David"/>
          <w:b/>
          <w:bCs/>
          <w:sz w:val="16"/>
          <w:szCs w:val="16"/>
          <w:rtl/>
        </w:rPr>
      </w:pPr>
    </w:p>
    <w:p w:rsidR="00FF765F" w:rsidRPr="0050146A" w:rsidRDefault="00FF765F" w:rsidP="00FF765F">
      <w:pPr>
        <w:spacing w:after="160" w:line="480" w:lineRule="auto"/>
        <w:ind w:left="340" w:right="1418"/>
        <w:jc w:val="left"/>
        <w:rPr>
          <w:rFonts w:ascii="David" w:eastAsia="Calibri" w:hAnsi="David" w:cs="David"/>
          <w:b/>
          <w:bCs/>
          <w:sz w:val="36"/>
          <w:szCs w:val="36"/>
          <w:rtl/>
        </w:rPr>
      </w:pP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הנני בזה להוקיר את הרה"ג הנעלה והמצויין</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רבי שלמה הנדל שליט"א מטובי האברכים</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בישיבת בית הלל, אשר עורך ומסדר בטוטו"ד</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יסודות הסוגיות החמורות דפרק איזהו נשך,</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מדברי רבותינו ראשי הישיבות,</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 xml:space="preserve">וגם מאריך לבאר שיטת הרמב"ם בכל </w:t>
      </w:r>
      <w:r w:rsidR="00715158">
        <w:rPr>
          <w:rFonts w:ascii="David" w:eastAsia="Calibri" w:hAnsi="David" w:cs="David"/>
          <w:b/>
          <w:bCs/>
          <w:sz w:val="36"/>
          <w:szCs w:val="36"/>
          <w:rtl/>
        </w:rPr>
        <w:t>סוגית</w:t>
      </w:r>
      <w:r w:rsidRPr="0050146A">
        <w:rPr>
          <w:rFonts w:ascii="David" w:eastAsia="Calibri" w:hAnsi="David" w:cs="David"/>
          <w:b/>
          <w:bCs/>
          <w:sz w:val="36"/>
          <w:szCs w:val="36"/>
          <w:rtl/>
        </w:rPr>
        <w:t xml:space="preserve"> ו</w:t>
      </w:r>
      <w:r w:rsidR="00715158">
        <w:rPr>
          <w:rFonts w:ascii="David" w:eastAsia="Calibri" w:hAnsi="David" w:cs="David"/>
          <w:b/>
          <w:bCs/>
          <w:sz w:val="36"/>
          <w:szCs w:val="36"/>
          <w:rtl/>
        </w:rPr>
        <w:t>סוגית</w:t>
      </w:r>
      <w:r w:rsidRPr="0050146A">
        <w:rPr>
          <w:rFonts w:ascii="David" w:eastAsia="Calibri" w:hAnsi="David" w:cs="David"/>
          <w:b/>
          <w:bCs/>
          <w:sz w:val="36"/>
          <w:szCs w:val="36"/>
          <w:rtl/>
        </w:rPr>
        <w:t>,</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בדברים מאירים ומשמחים,</w:t>
      </w:r>
    </w:p>
    <w:p w:rsidR="00FF765F" w:rsidRPr="0050146A" w:rsidRDefault="00FF765F" w:rsidP="00FF765F">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ורבים נהנו מזה והיה לתועלת.</w:t>
      </w: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p>
    <w:p w:rsidR="00FF765F" w:rsidRPr="0050146A" w:rsidRDefault="00FF765F" w:rsidP="00FF765F">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sidR="003C66B2" w:rsidRPr="003C66B2">
        <w:rPr>
          <w:rFonts w:ascii="Guttman Hodes" w:eastAsia="Guttman Hodes" w:hAnsi="Guttman Hodes" w:cs="Guttman Hodes" w:hint="cs"/>
          <w:sz w:val="20"/>
          <w:szCs w:val="20"/>
          <w:rtl/>
        </w:rPr>
        <w:t xml:space="preserve"> </w:t>
      </w:r>
      <w:r w:rsidR="003C66B2">
        <w:rPr>
          <w:rFonts w:ascii="Guttman Hodes" w:eastAsia="Guttman Hodes" w:hAnsi="Guttman Hodes" w:cs="Guttman Hodes" w:hint="cs"/>
          <w:sz w:val="20"/>
          <w:szCs w:val="20"/>
          <w:rtl/>
        </w:rPr>
        <w:t>ונדפס כאן ברשות ראש הישיבה שליט"א</w:t>
      </w:r>
    </w:p>
    <w:p w:rsidR="004D09A0" w:rsidRPr="0050146A" w:rsidRDefault="004D09A0" w:rsidP="00C273D6">
      <w:pPr>
        <w:ind w:left="0"/>
        <w:jc w:val="right"/>
        <w:rPr>
          <w:rtl/>
        </w:rPr>
        <w:sectPr w:rsidR="004D09A0" w:rsidRPr="0050146A" w:rsidSect="00852065">
          <w:headerReference w:type="default" r:id="rId15"/>
          <w:pgSz w:w="11906" w:h="16838"/>
          <w:pgMar w:top="720" w:right="720" w:bottom="720" w:left="720" w:header="283" w:footer="283" w:gutter="0"/>
          <w:pgNumType w:fmt="hebrew1"/>
          <w:cols w:space="567"/>
          <w:bidi/>
          <w:rtlGutter/>
          <w:docGrid w:linePitch="299"/>
        </w:sectPr>
      </w:pPr>
    </w:p>
    <w:p w:rsidR="003064FD" w:rsidRPr="0050146A" w:rsidRDefault="003064FD" w:rsidP="003064FD">
      <w:pPr>
        <w:rPr>
          <w:rtl/>
        </w:rPr>
      </w:pPr>
      <w:r w:rsidRPr="0050146A">
        <w:rPr>
          <w:noProof/>
          <w:rtl/>
        </w:rPr>
        <w:lastRenderedPageBreak/>
        <mc:AlternateContent>
          <mc:Choice Requires="wps">
            <w:drawing>
              <wp:anchor distT="45720" distB="45720" distL="114300" distR="114300" simplePos="0" relativeHeight="251679744" behindDoc="0" locked="0" layoutInCell="1" allowOverlap="1" wp14:anchorId="37C798D0" wp14:editId="7F3E3575">
                <wp:simplePos x="0" y="0"/>
                <wp:positionH relativeFrom="margin">
                  <wp:align>right</wp:align>
                </wp:positionH>
                <wp:positionV relativeFrom="paragraph">
                  <wp:posOffset>283210</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chemeClr val="tx1"/>
                          </a:solidFill>
                          <a:prstDash val="solid"/>
                          <a:round/>
                          <a:headEnd/>
                          <a:tailEnd/>
                        </a:ln>
                      </wps:spPr>
                      <wps:txbx>
                        <w:txbxContent>
                          <w:p w:rsidR="00651E3B" w:rsidRPr="00E94D6C" w:rsidRDefault="00651E3B" w:rsidP="003064FD">
                            <w:pPr>
                              <w:ind w:left="0"/>
                              <w:jc w:val="center"/>
                              <w:rPr>
                                <w:rFonts w:cs="Guttman Hodes"/>
                                <w:sz w:val="24"/>
                                <w:szCs w:val="24"/>
                                <w:rtl/>
                              </w:rPr>
                            </w:pPr>
                            <w:r w:rsidRPr="00E94D6C">
                              <w:rPr>
                                <w:rFonts w:cs="Guttman Hodes" w:hint="cs"/>
                                <w:sz w:val="24"/>
                                <w:szCs w:val="24"/>
                                <w:rtl/>
                              </w:rPr>
                              <w:t>לע"נ</w:t>
                            </w:r>
                          </w:p>
                          <w:p w:rsidR="00651E3B" w:rsidRPr="00807603" w:rsidRDefault="00651E3B" w:rsidP="003064FD">
                            <w:pPr>
                              <w:ind w:left="0"/>
                              <w:jc w:val="center"/>
                              <w:rPr>
                                <w:rFonts w:cs="Guttman Hodes"/>
                                <w:b/>
                                <w:bCs/>
                                <w:sz w:val="44"/>
                                <w:szCs w:val="44"/>
                                <w:rtl/>
                              </w:rPr>
                            </w:pPr>
                            <w:r w:rsidRPr="00807603">
                              <w:rPr>
                                <w:rFonts w:cs="Guttman Hodes" w:hint="cs"/>
                                <w:b/>
                                <w:bCs/>
                                <w:sz w:val="44"/>
                                <w:szCs w:val="44"/>
                                <w:rtl/>
                              </w:rPr>
                              <w:t xml:space="preserve"> אמי מורתי</w:t>
                            </w:r>
                          </w:p>
                          <w:p w:rsidR="00651E3B" w:rsidRDefault="00651E3B" w:rsidP="003064FD">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651E3B" w:rsidRPr="009A3AD9" w:rsidRDefault="00651E3B" w:rsidP="003064FD">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651E3B" w:rsidRPr="005723BD" w:rsidRDefault="00651E3B" w:rsidP="003064FD">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651E3B" w:rsidRPr="003F2095" w:rsidRDefault="00651E3B" w:rsidP="003064FD">
                            <w:pPr>
                              <w:ind w:left="0"/>
                              <w:jc w:val="center"/>
                              <w:rPr>
                                <w:rFonts w:cs="Guttman Hodes"/>
                                <w:sz w:val="10"/>
                                <w:szCs w:val="10"/>
                                <w:rtl/>
                                <w:cs/>
                              </w:rPr>
                            </w:pPr>
                          </w:p>
                          <w:p w:rsidR="00651E3B" w:rsidRPr="005723BD" w:rsidRDefault="00651E3B" w:rsidP="003064FD">
                            <w:pPr>
                              <w:ind w:left="0"/>
                              <w:jc w:val="center"/>
                              <w:rPr>
                                <w:rFonts w:cs="Guttman Hodes"/>
                                <w:rtl/>
                                <w:cs/>
                              </w:rPr>
                            </w:pPr>
                            <w:r w:rsidRPr="005723BD">
                              <w:rPr>
                                <w:rFonts w:cs="Guttman Hodes" w:hint="cs"/>
                                <w:rtl/>
                                <w:cs/>
                              </w:rPr>
                              <w:t>אהבת התורה שפיעמה בקרבה, ושמחתה השלימה בגומרה של תורה,</w:t>
                            </w:r>
                          </w:p>
                          <w:p w:rsidR="00651E3B" w:rsidRPr="005723BD" w:rsidRDefault="00651E3B" w:rsidP="003064FD">
                            <w:pPr>
                              <w:ind w:left="0"/>
                              <w:jc w:val="center"/>
                              <w:rPr>
                                <w:rFonts w:cs="Guttman Hodes"/>
                                <w:rtl/>
                                <w:cs/>
                              </w:rPr>
                            </w:pPr>
                            <w:r w:rsidRPr="005723BD">
                              <w:rPr>
                                <w:rFonts w:cs="Guttman Hodes" w:hint="cs"/>
                                <w:rtl/>
                                <w:cs/>
                              </w:rPr>
                              <w:t>הם שנתנו לי את הכוח למלאכה גדולה זו.</w:t>
                            </w:r>
                          </w:p>
                          <w:p w:rsidR="00651E3B" w:rsidRPr="003F2095" w:rsidRDefault="00651E3B" w:rsidP="003064FD">
                            <w:pPr>
                              <w:ind w:left="0"/>
                              <w:jc w:val="center"/>
                              <w:rPr>
                                <w:rFonts w:cs="Guttman Hodes"/>
                                <w:sz w:val="10"/>
                                <w:szCs w:val="10"/>
                                <w:rtl/>
                                <w:cs/>
                              </w:rPr>
                            </w:pPr>
                          </w:p>
                          <w:p w:rsidR="00651E3B" w:rsidRDefault="00651E3B" w:rsidP="003064FD">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651E3B" w:rsidRDefault="00651E3B" w:rsidP="003064FD">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651E3B" w:rsidRDefault="00651E3B" w:rsidP="003064FD">
                            <w:pPr>
                              <w:ind w:left="0"/>
                              <w:jc w:val="center"/>
                              <w:rPr>
                                <w:rFonts w:cs="Guttman Hodes"/>
                                <w:rtl/>
                                <w:cs/>
                              </w:rPr>
                            </w:pPr>
                            <w:r>
                              <w:rPr>
                                <w:rFonts w:cs="Guttman Hodes" w:hint="cs"/>
                                <w:rtl/>
                                <w:cs/>
                              </w:rPr>
                              <w:t>ת.נ.צ.ב.ה.</w:t>
                            </w:r>
                            <w:r w:rsidRPr="005723BD">
                              <w:rPr>
                                <w:rFonts w:cs="Guttman Hodes" w:hint="cs"/>
                                <w:rtl/>
                                <w:cs/>
                              </w:rPr>
                              <w:t xml:space="preserve"> </w:t>
                            </w:r>
                          </w:p>
                          <w:p w:rsidR="00651E3B" w:rsidRDefault="00651E3B" w:rsidP="003064FD">
                            <w:pPr>
                              <w:jc w:val="center"/>
                              <w:rPr>
                                <w:rFonts w:cs="Guttman Hodes"/>
                                <w:rtl/>
                                <w:cs/>
                              </w:rPr>
                            </w:pPr>
                          </w:p>
                          <w:p w:rsidR="00651E3B" w:rsidRDefault="00651E3B" w:rsidP="003064FD">
                            <w:pPr>
                              <w:jc w:val="center"/>
                              <w:rPr>
                                <w:rFonts w:cs="Guttman Hodes"/>
                                <w:rtl/>
                                <w:cs/>
                              </w:rPr>
                            </w:pPr>
                          </w:p>
                          <w:p w:rsidR="00651E3B" w:rsidRPr="005723BD" w:rsidRDefault="00651E3B" w:rsidP="003064FD">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7C798D0" id="תיבת טקסט 2" o:spid="_x0000_s1027" style="position:absolute;left:0;text-align:left;margin-left:447.35pt;margin-top:22.3pt;width:498.55pt;height:362.2pt;flip:x;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" strokecolor="black [3213]" strokeweight="2.25pt">
                <v:stroke linestyle="thickThin" endcap="round"/>
                <v:textbox>
                  <w:txbxContent>
                    <w:p w:rsidR="00651E3B" w:rsidRPr="00E94D6C" w:rsidRDefault="00651E3B" w:rsidP="003064FD">
                      <w:pPr>
                        <w:ind w:left="0"/>
                        <w:jc w:val="center"/>
                        <w:rPr>
                          <w:rFonts w:cs="Guttman Hodes"/>
                          <w:sz w:val="24"/>
                          <w:szCs w:val="24"/>
                          <w:rtl/>
                        </w:rPr>
                      </w:pPr>
                      <w:r w:rsidRPr="00E94D6C">
                        <w:rPr>
                          <w:rFonts w:cs="Guttman Hodes" w:hint="cs"/>
                          <w:sz w:val="24"/>
                          <w:szCs w:val="24"/>
                          <w:rtl/>
                        </w:rPr>
                        <w:t>לע"נ</w:t>
                      </w:r>
                    </w:p>
                    <w:p w:rsidR="00651E3B" w:rsidRPr="00807603" w:rsidRDefault="00651E3B" w:rsidP="003064FD">
                      <w:pPr>
                        <w:ind w:left="0"/>
                        <w:jc w:val="center"/>
                        <w:rPr>
                          <w:rFonts w:cs="Guttman Hodes"/>
                          <w:b/>
                          <w:bCs/>
                          <w:sz w:val="44"/>
                          <w:szCs w:val="44"/>
                          <w:rtl/>
                        </w:rPr>
                      </w:pPr>
                      <w:r w:rsidRPr="00807603">
                        <w:rPr>
                          <w:rFonts w:cs="Guttman Hodes" w:hint="cs"/>
                          <w:b/>
                          <w:bCs/>
                          <w:sz w:val="44"/>
                          <w:szCs w:val="44"/>
                          <w:rtl/>
                        </w:rPr>
                        <w:t xml:space="preserve"> אמי מורתי</w:t>
                      </w:r>
                    </w:p>
                    <w:p w:rsidR="00651E3B" w:rsidRDefault="00651E3B" w:rsidP="003064FD">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651E3B" w:rsidRPr="009A3AD9" w:rsidRDefault="00651E3B" w:rsidP="003064FD">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651E3B" w:rsidRPr="005723BD" w:rsidRDefault="00651E3B" w:rsidP="003064FD">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651E3B" w:rsidRPr="003F2095" w:rsidRDefault="00651E3B" w:rsidP="003064FD">
                      <w:pPr>
                        <w:ind w:left="0"/>
                        <w:jc w:val="center"/>
                        <w:rPr>
                          <w:rFonts w:cs="Guttman Hodes"/>
                          <w:sz w:val="10"/>
                          <w:szCs w:val="10"/>
                          <w:rtl/>
                          <w:cs/>
                        </w:rPr>
                      </w:pPr>
                    </w:p>
                    <w:p w:rsidR="00651E3B" w:rsidRPr="005723BD" w:rsidRDefault="00651E3B" w:rsidP="003064FD">
                      <w:pPr>
                        <w:ind w:left="0"/>
                        <w:jc w:val="center"/>
                        <w:rPr>
                          <w:rFonts w:cs="Guttman Hodes"/>
                          <w:rtl/>
                          <w:cs/>
                        </w:rPr>
                      </w:pPr>
                      <w:r w:rsidRPr="005723BD">
                        <w:rPr>
                          <w:rFonts w:cs="Guttman Hodes" w:hint="cs"/>
                          <w:rtl/>
                          <w:cs/>
                        </w:rPr>
                        <w:t>אהבת התורה שפיעמה בקרבה, ושמחתה השלימה בגומרה של תורה,</w:t>
                      </w:r>
                    </w:p>
                    <w:p w:rsidR="00651E3B" w:rsidRPr="005723BD" w:rsidRDefault="00651E3B" w:rsidP="003064FD">
                      <w:pPr>
                        <w:ind w:left="0"/>
                        <w:jc w:val="center"/>
                        <w:rPr>
                          <w:rFonts w:cs="Guttman Hodes"/>
                          <w:rtl/>
                          <w:cs/>
                        </w:rPr>
                      </w:pPr>
                      <w:r w:rsidRPr="005723BD">
                        <w:rPr>
                          <w:rFonts w:cs="Guttman Hodes" w:hint="cs"/>
                          <w:rtl/>
                          <w:cs/>
                        </w:rPr>
                        <w:t>הם שנתנו לי את הכוח למלאכה גדולה זו.</w:t>
                      </w:r>
                    </w:p>
                    <w:p w:rsidR="00651E3B" w:rsidRPr="003F2095" w:rsidRDefault="00651E3B" w:rsidP="003064FD">
                      <w:pPr>
                        <w:ind w:left="0"/>
                        <w:jc w:val="center"/>
                        <w:rPr>
                          <w:rFonts w:cs="Guttman Hodes"/>
                          <w:sz w:val="10"/>
                          <w:szCs w:val="10"/>
                          <w:rtl/>
                          <w:cs/>
                        </w:rPr>
                      </w:pPr>
                    </w:p>
                    <w:p w:rsidR="00651E3B" w:rsidRDefault="00651E3B" w:rsidP="003064FD">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651E3B" w:rsidRDefault="00651E3B" w:rsidP="003064FD">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651E3B" w:rsidRDefault="00651E3B" w:rsidP="003064FD">
                      <w:pPr>
                        <w:ind w:left="0"/>
                        <w:jc w:val="center"/>
                        <w:rPr>
                          <w:rFonts w:cs="Guttman Hodes"/>
                          <w:rtl/>
                          <w:cs/>
                        </w:rPr>
                      </w:pPr>
                      <w:r>
                        <w:rPr>
                          <w:rFonts w:cs="Guttman Hodes" w:hint="cs"/>
                          <w:rtl/>
                          <w:cs/>
                        </w:rPr>
                        <w:t>ת.נ.צ.ב.ה.</w:t>
                      </w:r>
                      <w:r w:rsidRPr="005723BD">
                        <w:rPr>
                          <w:rFonts w:cs="Guttman Hodes" w:hint="cs"/>
                          <w:rtl/>
                          <w:cs/>
                        </w:rPr>
                        <w:t xml:space="preserve"> </w:t>
                      </w:r>
                    </w:p>
                    <w:p w:rsidR="00651E3B" w:rsidRDefault="00651E3B" w:rsidP="003064FD">
                      <w:pPr>
                        <w:jc w:val="center"/>
                        <w:rPr>
                          <w:rFonts w:cs="Guttman Hodes"/>
                          <w:rtl/>
                          <w:cs/>
                        </w:rPr>
                      </w:pPr>
                    </w:p>
                    <w:p w:rsidR="00651E3B" w:rsidRDefault="00651E3B" w:rsidP="003064FD">
                      <w:pPr>
                        <w:jc w:val="center"/>
                        <w:rPr>
                          <w:rFonts w:cs="Guttman Hodes"/>
                          <w:rtl/>
                          <w:cs/>
                        </w:rPr>
                      </w:pPr>
                    </w:p>
                    <w:p w:rsidR="00651E3B" w:rsidRPr="005723BD" w:rsidRDefault="00651E3B" w:rsidP="003064FD">
                      <w:pPr>
                        <w:jc w:val="center"/>
                        <w:rPr>
                          <w:rFonts w:cs="Guttman Hodes"/>
                          <w:rtl/>
                          <w:cs/>
                        </w:rPr>
                      </w:pPr>
                    </w:p>
                  </w:txbxContent>
                </v:textbox>
                <w10:wrap type="square" anchorx="margin"/>
              </v:roundrect>
            </w:pict>
          </mc:Fallback>
        </mc:AlternateContent>
      </w:r>
    </w:p>
    <w:p w:rsidR="002364E8" w:rsidRDefault="002364E8" w:rsidP="00961775">
      <w:pPr>
        <w:tabs>
          <w:tab w:val="center" w:pos="4153"/>
          <w:tab w:val="right" w:pos="8306"/>
        </w:tabs>
        <w:spacing w:line="240" w:lineRule="auto"/>
        <w:ind w:left="0"/>
        <w:jc w:val="center"/>
        <w:rPr>
          <w:rFonts w:ascii="Calibri" w:eastAsia="Calibri" w:hAnsi="Calibri" w:cs="Guttman Hodes"/>
          <w:b/>
          <w:bCs/>
          <w:sz w:val="36"/>
          <w:szCs w:val="36"/>
          <w:rtl/>
        </w:rPr>
        <w:sectPr w:rsidR="002364E8" w:rsidSect="00852065">
          <w:headerReference w:type="default" r:id="rId16"/>
          <w:pgSz w:w="11906" w:h="16838"/>
          <w:pgMar w:top="720" w:right="720" w:bottom="720" w:left="720" w:header="283" w:footer="283" w:gutter="0"/>
          <w:pgNumType w:fmt="hebrew1"/>
          <w:cols w:space="567"/>
          <w:bidi/>
          <w:rtlGutter/>
          <w:docGrid w:linePitch="299"/>
        </w:sectPr>
      </w:pPr>
    </w:p>
    <w:p w:rsidR="00E7123F"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b/>
          <w:bCs/>
          <w:noProof/>
          <w:sz w:val="28"/>
          <w:szCs w:val="28"/>
          <w:rtl/>
        </w:rPr>
        <w:lastRenderedPageBreak/>
        <mc:AlternateContent>
          <mc:Choice Requires="wps">
            <w:drawing>
              <wp:anchor distT="45720" distB="45720" distL="114300" distR="114300" simplePos="0" relativeHeight="251682816" behindDoc="1" locked="0" layoutInCell="1" allowOverlap="1" wp14:anchorId="1098DCA9" wp14:editId="53560680">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rsidR="00651E3B" w:rsidRDefault="00651E3B" w:rsidP="00E7123F">
                            <w:pPr>
                              <w:jc w:val="center"/>
                              <w:rPr>
                                <w:rFonts w:cs="Guttman Hodes"/>
                                <w:rtl/>
                                <w:cs/>
                              </w:rPr>
                            </w:pPr>
                          </w:p>
                          <w:p w:rsidR="00651E3B" w:rsidRDefault="00651E3B" w:rsidP="00E7123F">
                            <w:pPr>
                              <w:jc w:val="center"/>
                              <w:rPr>
                                <w:rFonts w:cs="Guttman Hodes"/>
                                <w:rtl/>
                                <w:cs/>
                              </w:rPr>
                            </w:pPr>
                          </w:p>
                          <w:p w:rsidR="00651E3B" w:rsidRDefault="00651E3B" w:rsidP="00E7123F">
                            <w:pPr>
                              <w:jc w:val="center"/>
                              <w:rPr>
                                <w:rFonts w:cs="Guttman Hodes"/>
                                <w:rtl/>
                                <w:cs/>
                              </w:rPr>
                            </w:pPr>
                          </w:p>
                          <w:p w:rsidR="00651E3B" w:rsidRPr="005723BD" w:rsidRDefault="00651E3B" w:rsidP="00E7123F">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098DCA9" id="_x0000_s1028" style="position:absolute;left:0;text-align:left;margin-left:28.5pt;margin-top:1.5pt;width:361.35pt;height:157.5pt;flip:x;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651E3B" w:rsidRDefault="00651E3B" w:rsidP="00E7123F">
                      <w:pPr>
                        <w:jc w:val="center"/>
                        <w:rPr>
                          <w:rFonts w:cs="Guttman Hodes"/>
                          <w:rtl/>
                          <w:cs/>
                        </w:rPr>
                      </w:pPr>
                    </w:p>
                    <w:p w:rsidR="00651E3B" w:rsidRDefault="00651E3B" w:rsidP="00E7123F">
                      <w:pPr>
                        <w:jc w:val="center"/>
                        <w:rPr>
                          <w:rFonts w:cs="Guttman Hodes"/>
                          <w:rtl/>
                          <w:cs/>
                        </w:rPr>
                      </w:pPr>
                    </w:p>
                    <w:p w:rsidR="00651E3B" w:rsidRDefault="00651E3B" w:rsidP="00E7123F">
                      <w:pPr>
                        <w:jc w:val="center"/>
                        <w:rPr>
                          <w:rFonts w:cs="Guttman Hodes"/>
                          <w:rtl/>
                          <w:cs/>
                        </w:rPr>
                      </w:pPr>
                    </w:p>
                    <w:p w:rsidR="00651E3B" w:rsidRPr="005723BD" w:rsidRDefault="00651E3B" w:rsidP="00E7123F">
                      <w:pPr>
                        <w:jc w:val="center"/>
                        <w:rPr>
                          <w:rFonts w:cs="Guttman Hodes"/>
                          <w:rtl/>
                          <w:cs/>
                        </w:rPr>
                      </w:pPr>
                    </w:p>
                  </w:txbxContent>
                </v:textbox>
              </v:roundrect>
            </w:pict>
          </mc:Fallback>
        </mc:AlternateContent>
      </w:r>
    </w:p>
    <w:p w:rsidR="00E7123F" w:rsidRPr="00553801" w:rsidRDefault="00E7123F" w:rsidP="00E7123F">
      <w:pPr>
        <w:spacing w:line="240" w:lineRule="auto"/>
        <w:ind w:left="0"/>
        <w:jc w:val="center"/>
        <w:rPr>
          <w:rFonts w:ascii="Calibri" w:eastAsia="Calibri" w:hAnsi="Calibri" w:cs="Guttman Hodes"/>
          <w:b/>
          <w:bCs/>
          <w:sz w:val="28"/>
          <w:szCs w:val="28"/>
          <w:rtl/>
        </w:rPr>
      </w:pPr>
      <w:r w:rsidRPr="00553801">
        <w:rPr>
          <w:rFonts w:ascii="Calibri" w:eastAsia="Calibri" w:hAnsi="Calibri" w:cs="Guttman Hodes" w:hint="cs"/>
          <w:b/>
          <w:bCs/>
          <w:sz w:val="28"/>
          <w:szCs w:val="28"/>
          <w:rtl/>
        </w:rPr>
        <w:t>לזכר עולם יהיה צדיק</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hint="cs"/>
          <w:rtl/>
        </w:rPr>
        <w:t>לע"נ מוח"ז הגה"ק</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hint="cs"/>
          <w:rtl/>
        </w:rPr>
        <w:t xml:space="preserve">רבי </w:t>
      </w:r>
      <w:r w:rsidRPr="00553801">
        <w:rPr>
          <w:rFonts w:ascii="Calibri" w:eastAsia="Calibri" w:hAnsi="Calibri" w:cs="Guttman Hodes" w:hint="cs"/>
          <w:b/>
          <w:bCs/>
          <w:sz w:val="28"/>
          <w:szCs w:val="28"/>
          <w:rtl/>
        </w:rPr>
        <w:t xml:space="preserve">חיים משה </w:t>
      </w:r>
      <w:r w:rsidRPr="00553801">
        <w:rPr>
          <w:rFonts w:ascii="Calibri" w:eastAsia="Calibri" w:hAnsi="Calibri" w:cs="Guttman Hodes" w:hint="cs"/>
          <w:rtl/>
        </w:rPr>
        <w:t xml:space="preserve">ב"ר מאיר יוסף </w:t>
      </w:r>
      <w:r w:rsidRPr="00553801">
        <w:rPr>
          <w:rFonts w:ascii="Calibri" w:eastAsia="Calibri" w:hAnsi="Calibri" w:cs="Guttman Hodes" w:hint="cs"/>
          <w:b/>
          <w:bCs/>
          <w:sz w:val="28"/>
          <w:szCs w:val="28"/>
          <w:rtl/>
        </w:rPr>
        <w:t>מנדל</w:t>
      </w:r>
      <w:r w:rsidRPr="00553801">
        <w:rPr>
          <w:rFonts w:ascii="Calibri" w:eastAsia="Calibri" w:hAnsi="Calibri" w:cs="Guttman Hodes" w:hint="cs"/>
          <w:rtl/>
        </w:rPr>
        <w:t xml:space="preserve"> זצוקלל"ה</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ד' תמוז</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rsidR="00E7123F" w:rsidRPr="00553801" w:rsidRDefault="00E7123F" w:rsidP="00E7123F">
      <w:pPr>
        <w:spacing w:line="240" w:lineRule="auto"/>
        <w:ind w:left="0"/>
        <w:jc w:val="center"/>
        <w:rPr>
          <w:rFonts w:ascii="Calibri" w:eastAsia="Calibri" w:hAnsi="Calibri" w:cs="Guttman Hodes"/>
          <w:rtl/>
        </w:rPr>
      </w:pPr>
    </w:p>
    <w:p w:rsidR="00E7123F" w:rsidRPr="00465A71" w:rsidRDefault="00E7123F" w:rsidP="00E7123F">
      <w:pPr>
        <w:spacing w:line="240" w:lineRule="auto"/>
        <w:ind w:left="0"/>
        <w:jc w:val="center"/>
        <w:rPr>
          <w:rFonts w:ascii="Calibri" w:eastAsia="Calibri" w:hAnsi="Calibri" w:cs="Guttman Hodes"/>
          <w:rtl/>
        </w:rPr>
      </w:pPr>
      <w:r w:rsidRPr="00465A71">
        <w:rPr>
          <w:rFonts w:ascii="Calibri" w:eastAsia="Calibri" w:hAnsi="Calibri" w:cs="Guttman Hodes" w:hint="cs"/>
          <w:rtl/>
        </w:rPr>
        <w:t xml:space="preserve">ורעיתו </w:t>
      </w:r>
      <w:r>
        <w:rPr>
          <w:rFonts w:ascii="Calibri" w:eastAsia="Calibri" w:hAnsi="Calibri" w:cs="Guttman Hodes" w:hint="cs"/>
          <w:rtl/>
        </w:rPr>
        <w:t xml:space="preserve">הרבנית </w:t>
      </w:r>
      <w:r w:rsidRPr="00465A71">
        <w:rPr>
          <w:rFonts w:ascii="Calibri" w:eastAsia="Calibri" w:hAnsi="Calibri" w:cs="Guttman Hodes" w:hint="cs"/>
          <w:rtl/>
        </w:rPr>
        <w:t>מרת פערל ע"ה ב"ר ישראל זצ</w:t>
      </w:r>
      <w:r>
        <w:rPr>
          <w:rFonts w:ascii="Calibri" w:eastAsia="Calibri" w:hAnsi="Calibri" w:cs="Guttman Hodes" w:hint="cs"/>
          <w:rtl/>
        </w:rPr>
        <w:t>וק</w:t>
      </w:r>
      <w:r w:rsidRPr="00465A71">
        <w:rPr>
          <w:rFonts w:ascii="Calibri" w:eastAsia="Calibri" w:hAnsi="Calibri" w:cs="Guttman Hodes" w:hint="cs"/>
          <w:rtl/>
        </w:rPr>
        <w:t>"ל</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ג' חשון</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rsidR="00E7123F" w:rsidRPr="00553801" w:rsidRDefault="00E7123F" w:rsidP="00E7123F">
      <w:pPr>
        <w:spacing w:line="240" w:lineRule="auto"/>
        <w:ind w:left="0"/>
        <w:jc w:val="center"/>
        <w:rPr>
          <w:rFonts w:ascii="Calibri" w:eastAsia="Calibri" w:hAnsi="Calibri" w:cs="Guttman Hodes"/>
          <w:rtl/>
        </w:rPr>
      </w:pPr>
      <w:r w:rsidRPr="00553801">
        <w:rPr>
          <w:rFonts w:ascii="Calibri" w:eastAsia="Calibri" w:hAnsi="Calibri" w:cs="Arial"/>
          <w:noProof/>
          <w:rtl/>
        </w:rPr>
        <mc:AlternateContent>
          <mc:Choice Requires="wps">
            <w:drawing>
              <wp:anchor distT="45720" distB="45720" distL="114300" distR="114300" simplePos="0" relativeHeight="251681792" behindDoc="1" locked="0" layoutInCell="1" allowOverlap="1" wp14:anchorId="264444CD" wp14:editId="24104052">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rsidR="00651E3B" w:rsidRDefault="00651E3B" w:rsidP="00E7123F">
                            <w:pPr>
                              <w:jc w:val="center"/>
                              <w:rPr>
                                <w:rFonts w:cs="Guttman Hodes"/>
                                <w:rtl/>
                                <w:cs/>
                              </w:rPr>
                            </w:pPr>
                          </w:p>
                          <w:p w:rsidR="00651E3B" w:rsidRDefault="00651E3B" w:rsidP="00E7123F">
                            <w:pPr>
                              <w:jc w:val="center"/>
                              <w:rPr>
                                <w:rFonts w:cs="Guttman Hodes"/>
                                <w:rtl/>
                                <w:cs/>
                              </w:rPr>
                            </w:pPr>
                          </w:p>
                          <w:p w:rsidR="00651E3B" w:rsidRPr="005723BD" w:rsidRDefault="00651E3B" w:rsidP="00E7123F">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64444CD" id="תיבת טקסט 34" o:spid="_x0000_s1029" style="position:absolute;left:0;text-align:left;margin-left:-26.35pt;margin-top:15.3pt;width:472.75pt;height:356.3pt;flip:x;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651E3B" w:rsidRDefault="00651E3B" w:rsidP="00E7123F">
                      <w:pPr>
                        <w:jc w:val="center"/>
                        <w:rPr>
                          <w:rFonts w:cs="Guttman Hodes"/>
                          <w:rtl/>
                          <w:cs/>
                        </w:rPr>
                      </w:pPr>
                    </w:p>
                    <w:p w:rsidR="00651E3B" w:rsidRDefault="00651E3B" w:rsidP="00E7123F">
                      <w:pPr>
                        <w:jc w:val="center"/>
                        <w:rPr>
                          <w:rFonts w:cs="Guttman Hodes"/>
                          <w:rtl/>
                          <w:cs/>
                        </w:rPr>
                      </w:pPr>
                    </w:p>
                    <w:p w:rsidR="00651E3B" w:rsidRPr="005723BD" w:rsidRDefault="00651E3B" w:rsidP="00E7123F">
                      <w:pPr>
                        <w:jc w:val="center"/>
                        <w:rPr>
                          <w:rFonts w:cs="Guttman Hodes"/>
                          <w:rtl/>
                          <w:cs/>
                        </w:rPr>
                      </w:pPr>
                    </w:p>
                  </w:txbxContent>
                </v:textbox>
                <w10:wrap anchorx="margin"/>
              </v:roundrect>
            </w:pict>
          </mc:Fallback>
        </mc:AlternateContent>
      </w:r>
    </w:p>
    <w:p w:rsidR="00E7123F" w:rsidRPr="00553801" w:rsidRDefault="00E7123F" w:rsidP="00E7123F">
      <w:pPr>
        <w:spacing w:line="240" w:lineRule="auto"/>
        <w:ind w:left="0"/>
        <w:jc w:val="center"/>
        <w:rPr>
          <w:rFonts w:ascii="Calibri" w:eastAsia="Calibri" w:hAnsi="Calibri" w:cs="Guttman Hodes"/>
          <w:rtl/>
        </w:rPr>
        <w:sectPr w:rsidR="00E7123F" w:rsidRPr="00553801" w:rsidSect="00553801">
          <w:pgSz w:w="11906" w:h="16838"/>
          <w:pgMar w:top="1440" w:right="1800" w:bottom="1440" w:left="1800" w:header="708" w:footer="708" w:gutter="0"/>
          <w:cols w:space="709"/>
          <w:bidi/>
          <w:rtlGutter/>
          <w:docGrid w:linePitch="360"/>
        </w:sectPr>
      </w:pPr>
    </w:p>
    <w:p w:rsidR="00E7123F" w:rsidRPr="00A4779E" w:rsidRDefault="00E7123F" w:rsidP="00E7123F">
      <w:pPr>
        <w:spacing w:line="240" w:lineRule="auto"/>
        <w:ind w:left="0"/>
        <w:jc w:val="center"/>
        <w:rPr>
          <w:rFonts w:ascii="Calibri" w:eastAsia="Calibri" w:hAnsi="Calibri" w:cs="Guttman Hodes"/>
          <w:sz w:val="20"/>
          <w:szCs w:val="20"/>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דוד משה הכהן הנדל זצ"ל</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בן ציון ז"ל</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ט"ו אב</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א"ז מרת רחל פייגא הנדל ע"ה</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אהרן הי"ד</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ח' טבת</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E7123F" w:rsidRPr="00A4779E" w:rsidRDefault="00E7123F" w:rsidP="00E7123F">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הרב שמחה גרינבוים זצ"ל</w:t>
      </w:r>
    </w:p>
    <w:p w:rsidR="00E7123F" w:rsidRPr="00A4779E" w:rsidRDefault="00E7123F" w:rsidP="00E7123F">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ב"ר יהודה זצ"ל</w:t>
      </w:r>
    </w:p>
    <w:p w:rsidR="00E7123F" w:rsidRPr="00A4779E" w:rsidRDefault="00E7123F" w:rsidP="00E7123F">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נלב"ע כ"ג שבט</w:t>
      </w:r>
    </w:p>
    <w:p w:rsidR="00E7123F" w:rsidRPr="00A4779E" w:rsidRDefault="00E7123F" w:rsidP="00E7123F">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יהודה גרינבוים זצ"ל</w:t>
      </w:r>
    </w:p>
    <w:p w:rsidR="00E7123F"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ב"ר שמחה זצ"ל </w:t>
      </w:r>
    </w:p>
    <w:p w:rsidR="00E7123F" w:rsidRPr="00A4779E" w:rsidRDefault="00E7123F" w:rsidP="00E7123F">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י"ב אב</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לע"ז מוח"ז</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גבריאל שטרנפלד זצ"ל</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מיכאל ז"ל נלב"ע ז' ניסן</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מרת מרת רעכל שטרנפלד ע"ה</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יוסף יצחק זצ"ל</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 כסליו</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לע"נ אמי זקנתי </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הרבנית מרת רחל לאה בירנצוויג ע"ה</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בת הרה"צ רבי חיים משה מנדל זצוק"ל </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י"א ניסן</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sectPr w:rsidR="00E7123F" w:rsidRPr="00A4779E" w:rsidSect="009D4D60">
          <w:type w:val="continuous"/>
          <w:pgSz w:w="11906" w:h="16838"/>
          <w:pgMar w:top="1440" w:right="1800" w:bottom="1440" w:left="1800" w:header="708" w:footer="708" w:gutter="0"/>
          <w:cols w:num="2" w:space="709"/>
          <w:bidi/>
          <w:rtlGutter/>
          <w:docGrid w:linePitch="360"/>
        </w:sect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ורעיתו א"ז מרת ביילא גרינבוים ע"ה </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אליעזר ליפא הי"ד</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כ"ט ניסן</w:t>
      </w:r>
    </w:p>
    <w:p w:rsidR="00E7123F" w:rsidRPr="00A4779E" w:rsidRDefault="00E7123F" w:rsidP="00E7123F">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17ABF" w:rsidRDefault="00E7123F" w:rsidP="00E7123F">
      <w:pPr>
        <w:spacing w:line="240" w:lineRule="auto"/>
        <w:ind w:left="0"/>
        <w:jc w:val="center"/>
        <w:rPr>
          <w:rFonts w:ascii="Calibri" w:eastAsia="Calibri" w:hAnsi="Calibri" w:cs="Guttman Hodes"/>
          <w:sz w:val="18"/>
          <w:szCs w:val="18"/>
          <w:rtl/>
        </w:rPr>
      </w:pPr>
    </w:p>
    <w:p w:rsidR="00E7123F" w:rsidRPr="00A17ABF" w:rsidRDefault="00E7123F" w:rsidP="00E7123F">
      <w:pPr>
        <w:spacing w:line="240" w:lineRule="auto"/>
        <w:ind w:left="0"/>
        <w:jc w:val="center"/>
        <w:rPr>
          <w:rFonts w:ascii="Calibri" w:eastAsia="Calibri" w:hAnsi="Calibri" w:cs="Guttman Hodes"/>
          <w:sz w:val="18"/>
          <w:szCs w:val="18"/>
          <w:rtl/>
        </w:rPr>
      </w:pPr>
    </w:p>
    <w:p w:rsidR="00E7123F" w:rsidRDefault="00E7123F" w:rsidP="00E7123F">
      <w:pPr>
        <w:spacing w:line="240" w:lineRule="auto"/>
        <w:ind w:left="0"/>
        <w:jc w:val="center"/>
        <w:rPr>
          <w:rFonts w:ascii="Calibri" w:eastAsia="Calibri" w:hAnsi="Calibri" w:cs="Guttman Hodes"/>
          <w:sz w:val="16"/>
          <w:szCs w:val="16"/>
          <w:rtl/>
        </w:rPr>
      </w:pPr>
    </w:p>
    <w:p w:rsidR="00E7123F" w:rsidRPr="00A4779E" w:rsidRDefault="00E7123F" w:rsidP="00E7123F">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 xml:space="preserve">אברהם אבא הכהן רובין </w:t>
      </w:r>
      <w:r w:rsidRPr="00A4779E">
        <w:rPr>
          <w:rFonts w:ascii="Calibri" w:eastAsia="Calibri" w:hAnsi="Calibri" w:cs="Guttman Hodes" w:hint="cs"/>
          <w:sz w:val="16"/>
          <w:szCs w:val="16"/>
          <w:rtl/>
        </w:rPr>
        <w:t>זצ"ל</w:t>
      </w:r>
    </w:p>
    <w:p w:rsidR="00E7123F" w:rsidRPr="00A4779E" w:rsidRDefault="00E7123F" w:rsidP="00E7123F">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 xml:space="preserve">ב"ר יחיאל מיכל </w:t>
      </w:r>
      <w:r w:rsidRPr="00A4779E">
        <w:rPr>
          <w:rFonts w:ascii="Calibri" w:eastAsia="Calibri" w:hAnsi="Calibri" w:cs="Guttman Hodes" w:hint="cs"/>
          <w:sz w:val="16"/>
          <w:szCs w:val="16"/>
          <w:rtl/>
        </w:rPr>
        <w:t>שיבלט"א</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י"ד תשרי</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rsidR="00E7123F" w:rsidRPr="00A4779E" w:rsidRDefault="00E7123F" w:rsidP="00E7123F">
      <w:pPr>
        <w:spacing w:line="240" w:lineRule="auto"/>
        <w:ind w:left="0"/>
        <w:jc w:val="center"/>
        <w:rPr>
          <w:rFonts w:ascii="Calibri" w:eastAsia="Calibri" w:hAnsi="Calibri" w:cs="Guttman Hodes"/>
          <w:sz w:val="16"/>
          <w:szCs w:val="16"/>
          <w:rtl/>
        </w:rPr>
      </w:pPr>
    </w:p>
    <w:p w:rsidR="00E7123F" w:rsidRPr="00A4779E" w:rsidRDefault="00E7123F" w:rsidP="00E7123F">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משה שטרנפלד</w:t>
      </w:r>
      <w:r w:rsidRPr="00A4779E">
        <w:rPr>
          <w:rFonts w:ascii="Calibri" w:eastAsia="Calibri" w:hAnsi="Calibri" w:cs="Guttman Hodes" w:hint="cs"/>
          <w:sz w:val="16"/>
          <w:szCs w:val="16"/>
          <w:rtl/>
        </w:rPr>
        <w:t xml:space="preserve"> זצ"ל</w:t>
      </w:r>
    </w:p>
    <w:p w:rsidR="00E7123F" w:rsidRPr="00A4779E" w:rsidRDefault="00E7123F" w:rsidP="00E7123F">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ב"ר גבריאל ז</w:t>
      </w:r>
      <w:r w:rsidRPr="00A4779E">
        <w:rPr>
          <w:rFonts w:ascii="Calibri" w:eastAsia="Calibri" w:hAnsi="Calibri" w:cs="Guttman Hodes" w:hint="cs"/>
          <w:sz w:val="16"/>
          <w:szCs w:val="16"/>
          <w:rtl/>
        </w:rPr>
        <w:t>צ</w:t>
      </w:r>
      <w:r w:rsidRPr="00A4779E">
        <w:rPr>
          <w:rFonts w:ascii="Calibri" w:eastAsia="Calibri" w:hAnsi="Calibri" w:cs="Guttman Hodes"/>
          <w:sz w:val="16"/>
          <w:szCs w:val="16"/>
          <w:rtl/>
        </w:rPr>
        <w:t>"ל</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כ"ג אב</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לע"נ</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הרב אליעזר דוד</w:t>
      </w:r>
      <w:r w:rsidRPr="00627AB4">
        <w:rPr>
          <w:rFonts w:ascii="Calibri" w:eastAsia="Calibri" w:hAnsi="Calibri" w:cs="Guttman Hodes" w:hint="cs"/>
          <w:sz w:val="16"/>
          <w:szCs w:val="16"/>
          <w:rtl/>
        </w:rPr>
        <w:t xml:space="preserve"> זצ"ל</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ב"ר משה יהושע ז</w:t>
      </w:r>
      <w:r w:rsidRPr="00627AB4">
        <w:rPr>
          <w:rFonts w:ascii="Calibri" w:eastAsia="Calibri" w:hAnsi="Calibri" w:cs="Guttman Hodes" w:hint="cs"/>
          <w:sz w:val="16"/>
          <w:szCs w:val="16"/>
          <w:rtl/>
        </w:rPr>
        <w:t>צ</w:t>
      </w:r>
      <w:r w:rsidRPr="00627AB4">
        <w:rPr>
          <w:rFonts w:ascii="Calibri" w:eastAsia="Calibri" w:hAnsi="Calibri" w:cs="Guttman Hodes"/>
          <w:sz w:val="16"/>
          <w:szCs w:val="16"/>
          <w:rtl/>
        </w:rPr>
        <w:t>"ל</w:t>
      </w:r>
    </w:p>
    <w:p w:rsidR="00E7123F" w:rsidRPr="00627AB4" w:rsidRDefault="00E7123F" w:rsidP="00E7123F">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נלב"ע כ"ד אייר</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p>
    <w:p w:rsidR="00E7123F" w:rsidRDefault="00E7123F" w:rsidP="00E7123F">
      <w:pPr>
        <w:spacing w:line="240" w:lineRule="auto"/>
        <w:ind w:left="0"/>
        <w:jc w:val="center"/>
        <w:rPr>
          <w:rFonts w:ascii="Calibri" w:eastAsia="Calibri" w:hAnsi="Calibri" w:cs="Guttman Hodes"/>
          <w:sz w:val="16"/>
          <w:szCs w:val="16"/>
          <w:rtl/>
        </w:rPr>
      </w:pPr>
    </w:p>
    <w:p w:rsidR="00E7123F" w:rsidRPr="00A4779E" w:rsidRDefault="00E7123F" w:rsidP="00E7123F">
      <w:pPr>
        <w:spacing w:line="240" w:lineRule="auto"/>
        <w:ind w:left="0"/>
        <w:jc w:val="center"/>
        <w:rPr>
          <w:rFonts w:ascii="Calibri" w:eastAsia="Calibri" w:hAnsi="Calibri" w:cs="Guttman Hodes"/>
          <w:sz w:val="16"/>
          <w:szCs w:val="16"/>
          <w:rtl/>
        </w:rPr>
      </w:pPr>
    </w:p>
    <w:p w:rsidR="00E7123F" w:rsidRPr="00A4779E" w:rsidRDefault="00E7123F" w:rsidP="00E7123F">
      <w:pPr>
        <w:spacing w:line="240" w:lineRule="auto"/>
        <w:ind w:left="0"/>
        <w:jc w:val="center"/>
        <w:rPr>
          <w:rFonts w:ascii="Calibri" w:eastAsia="Calibri" w:hAnsi="Calibri" w:cs="Guttman Hodes"/>
          <w:sz w:val="16"/>
          <w:szCs w:val="16"/>
          <w:rtl/>
        </w:rPr>
      </w:pPr>
    </w:p>
    <w:p w:rsidR="00E7123F" w:rsidRPr="00A4779E" w:rsidRDefault="00E7123F" w:rsidP="00E7123F">
      <w:pPr>
        <w:spacing w:line="240" w:lineRule="auto"/>
        <w:ind w:left="0"/>
        <w:jc w:val="center"/>
        <w:rPr>
          <w:rFonts w:ascii="Calibri" w:eastAsia="Calibri" w:hAnsi="Calibri" w:cs="Guttman Hodes"/>
          <w:sz w:val="16"/>
          <w:szCs w:val="16"/>
          <w:rtl/>
        </w:rPr>
      </w:pPr>
    </w:p>
    <w:p w:rsidR="00E7123F" w:rsidRPr="00A4779E" w:rsidRDefault="00E7123F" w:rsidP="00E7123F">
      <w:pPr>
        <w:spacing w:line="240" w:lineRule="auto"/>
        <w:ind w:left="0"/>
        <w:jc w:val="center"/>
        <w:rPr>
          <w:rFonts w:ascii="Calibri" w:eastAsia="Calibri" w:hAnsi="Calibri" w:cs="Guttman Hodes"/>
          <w:sz w:val="16"/>
          <w:szCs w:val="16"/>
          <w:rtl/>
        </w:rPr>
      </w:pPr>
      <w:r w:rsidRPr="00A4779E">
        <w:rPr>
          <w:rFonts w:ascii="Calibri" w:eastAsia="Calibri" w:hAnsi="Calibri" w:cs="Arial"/>
          <w:noProof/>
          <w:sz w:val="18"/>
          <w:szCs w:val="18"/>
          <w:rtl/>
        </w:rPr>
        <mc:AlternateContent>
          <mc:Choice Requires="wps">
            <w:drawing>
              <wp:anchor distT="45720" distB="45720" distL="114300" distR="114300" simplePos="0" relativeHeight="251683840" behindDoc="1" locked="0" layoutInCell="1" allowOverlap="1" wp14:anchorId="1E804715" wp14:editId="3A33BA6F">
                <wp:simplePos x="0" y="0"/>
                <wp:positionH relativeFrom="margin">
                  <wp:posOffset>-470475</wp:posOffset>
                </wp:positionH>
                <wp:positionV relativeFrom="paragraph">
                  <wp:posOffset>188636</wp:posOffset>
                </wp:positionV>
                <wp:extent cx="6003925" cy="1675417"/>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417"/>
                        </a:xfrm>
                        <a:prstGeom prst="roundRect">
                          <a:avLst/>
                        </a:prstGeom>
                        <a:solidFill>
                          <a:srgbClr val="FFFFFF"/>
                        </a:solidFill>
                        <a:ln w="28575" cap="rnd">
                          <a:solidFill>
                            <a:sysClr val="windowText" lastClr="000000"/>
                          </a:solidFill>
                          <a:prstDash val="solid"/>
                          <a:round/>
                          <a:headEnd/>
                          <a:tailEnd/>
                        </a:ln>
                      </wps:spPr>
                      <wps:txbx>
                        <w:txbxContent>
                          <w:p w:rsidR="00651E3B" w:rsidRDefault="00651E3B" w:rsidP="00E7123F">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E804715" id="תיבת טקסט 40" o:spid="_x0000_s1030" style="position:absolute;left:0;text-align:left;margin-left:-37.05pt;margin-top:14.85pt;width:472.75pt;height:131.9pt;flip:x;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" strokecolor="windowText" strokeweight="2.25pt">
                <v:stroke endcap="round"/>
                <v:textbox>
                  <w:txbxContent>
                    <w:p w:rsidR="00651E3B" w:rsidRDefault="00651E3B" w:rsidP="00E7123F">
                      <w:pPr>
                        <w:rPr>
                          <w:rFonts w:cs="Guttman Hodes"/>
                          <w:rtl/>
                          <w:cs/>
                        </w:rPr>
                      </w:pPr>
                    </w:p>
                  </w:txbxContent>
                </v:textbox>
                <w10:wrap anchorx="margin"/>
              </v:roundrect>
            </w:pict>
          </mc:Fallback>
        </mc:AlternateContent>
      </w: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Pr="00A4779E" w:rsidRDefault="00E7123F" w:rsidP="00E7123F">
      <w:pPr>
        <w:spacing w:line="240" w:lineRule="auto"/>
        <w:ind w:left="0"/>
        <w:jc w:val="center"/>
        <w:rPr>
          <w:rFonts w:ascii="Calibri" w:eastAsia="Calibri" w:hAnsi="Calibri" w:cs="Guttman Hodes"/>
          <w:sz w:val="18"/>
          <w:szCs w:val="18"/>
          <w:rtl/>
        </w:rPr>
      </w:pPr>
    </w:p>
    <w:p w:rsidR="00E7123F" w:rsidRDefault="00E7123F" w:rsidP="00E7123F">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ירמיהו זצ"ל</w:t>
      </w:r>
    </w:p>
    <w:p w:rsidR="00E7123F" w:rsidRDefault="00E7123F" w:rsidP="00E7123F">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כ"ו אב תשע"ט ת.נ.צ.ב.ה.</w:t>
      </w:r>
    </w:p>
    <w:p w:rsidR="00E7123F" w:rsidRDefault="00E7123F" w:rsidP="00E7123F">
      <w:pPr>
        <w:spacing w:line="240" w:lineRule="auto"/>
        <w:ind w:left="0"/>
        <w:jc w:val="center"/>
        <w:rPr>
          <w:rFonts w:ascii="Calibri" w:eastAsia="Calibri" w:hAnsi="Calibri" w:cs="Guttman Hodes"/>
          <w:sz w:val="18"/>
          <w:szCs w:val="18"/>
          <w:rtl/>
        </w:rPr>
      </w:pPr>
    </w:p>
    <w:p w:rsidR="00E7123F" w:rsidRDefault="00E7123F" w:rsidP="00E7123F">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נתן זצ"ל</w:t>
      </w:r>
    </w:p>
    <w:p w:rsidR="00E7123F" w:rsidRDefault="00E7123F" w:rsidP="00E7123F">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ח' סיון תשע"ו ת.נ.צ.ב.ה.</w:t>
      </w:r>
    </w:p>
    <w:p w:rsidR="00E7123F" w:rsidRDefault="00E7123F" w:rsidP="00E7123F">
      <w:pPr>
        <w:spacing w:line="240" w:lineRule="auto"/>
        <w:ind w:left="0"/>
        <w:jc w:val="center"/>
        <w:rPr>
          <w:rFonts w:ascii="Calibri" w:eastAsia="Calibri" w:hAnsi="Calibri" w:cs="Guttman Hodes"/>
          <w:sz w:val="16"/>
          <w:szCs w:val="16"/>
          <w:rtl/>
        </w:rPr>
      </w:pPr>
    </w:p>
    <w:p w:rsidR="00E7123F" w:rsidRPr="00627AB4" w:rsidRDefault="00E7123F" w:rsidP="00E7123F">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 xml:space="preserve">לע"נ </w:t>
      </w:r>
      <w:r w:rsidRPr="00627AB4">
        <w:rPr>
          <w:rFonts w:ascii="Calibri" w:eastAsia="Calibri" w:hAnsi="Calibri" w:cs="Guttman Hodes" w:hint="cs"/>
          <w:sz w:val="16"/>
          <w:szCs w:val="16"/>
          <w:rtl/>
        </w:rPr>
        <w:t>הרב משה זצ"ל</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ב"ר יצחק זצ"ל</w:t>
      </w:r>
    </w:p>
    <w:p w:rsidR="00E7123F" w:rsidRPr="00627AB4" w:rsidRDefault="00E7123F" w:rsidP="00E7123F">
      <w:pPr>
        <w:spacing w:line="240" w:lineRule="auto"/>
        <w:ind w:left="0"/>
        <w:jc w:val="center"/>
        <w:rPr>
          <w:rFonts w:ascii="Calibri" w:eastAsia="Calibri" w:hAnsi="Calibri" w:cs="Guttman Hodes"/>
          <w:sz w:val="16"/>
          <w:szCs w:val="16"/>
          <w:rtl/>
        </w:rPr>
      </w:pPr>
      <w:r w:rsidRPr="00627AB4">
        <w:rPr>
          <w:rFonts w:ascii="Calibri" w:eastAsia="Calibri" w:hAnsi="Calibri" w:cs="Guttman Hodes" w:hint="cs"/>
          <w:sz w:val="16"/>
          <w:szCs w:val="16"/>
          <w:rtl/>
        </w:rPr>
        <w:t>נלב"ע י"ז סיון</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rsidR="00E7123F" w:rsidRPr="00627AB4" w:rsidRDefault="00E7123F" w:rsidP="00E7123F">
      <w:pPr>
        <w:spacing w:line="240" w:lineRule="auto"/>
        <w:ind w:left="0"/>
        <w:jc w:val="center"/>
        <w:rPr>
          <w:rFonts w:ascii="Calibri" w:eastAsia="Calibri" w:hAnsi="Calibri" w:cs="Guttman Hodes"/>
          <w:sz w:val="16"/>
          <w:szCs w:val="16"/>
          <w:rtl/>
        </w:rPr>
      </w:pPr>
    </w:p>
    <w:p w:rsidR="00E7123F" w:rsidRPr="00553801" w:rsidRDefault="00E7123F" w:rsidP="00E7123F">
      <w:pPr>
        <w:spacing w:line="240" w:lineRule="auto"/>
        <w:ind w:left="0"/>
        <w:rPr>
          <w:rFonts w:ascii="Calibri" w:eastAsia="Calibri" w:hAnsi="Calibri" w:cs="Guttman Hodes"/>
          <w:rtl/>
        </w:rPr>
        <w:sectPr w:rsidR="00E7123F" w:rsidRPr="00553801" w:rsidSect="009D4D60">
          <w:type w:val="continuous"/>
          <w:pgSz w:w="11906" w:h="16838"/>
          <w:pgMar w:top="1440" w:right="1800" w:bottom="1440" w:left="1800" w:header="708" w:footer="708" w:gutter="0"/>
          <w:cols w:num="2" w:space="709"/>
          <w:bidi/>
          <w:rtlGutter/>
          <w:docGrid w:linePitch="360"/>
        </w:sectPr>
      </w:pPr>
    </w:p>
    <w:p w:rsidR="00E7123F" w:rsidRPr="00553801" w:rsidRDefault="00E7123F" w:rsidP="00E7123F">
      <w:pPr>
        <w:spacing w:line="240" w:lineRule="auto"/>
        <w:ind w:left="0"/>
        <w:jc w:val="left"/>
        <w:rPr>
          <w:rFonts w:ascii="Calibri" w:eastAsia="Calibri" w:hAnsi="Calibri" w:cs="Arial"/>
          <w:rtl/>
        </w:rPr>
        <w:sectPr w:rsidR="00E7123F" w:rsidRPr="00553801" w:rsidSect="009D4D60">
          <w:type w:val="continuous"/>
          <w:pgSz w:w="11906" w:h="16838"/>
          <w:pgMar w:top="1440" w:right="1800" w:bottom="1440" w:left="1800" w:header="708" w:footer="708" w:gutter="0"/>
          <w:cols w:space="708"/>
          <w:bidi/>
          <w:rtlGutter/>
          <w:docGrid w:linePitch="360"/>
        </w:sectPr>
      </w:pPr>
    </w:p>
    <w:p w:rsidR="00E7123F" w:rsidRPr="00BF39B2" w:rsidRDefault="00E7123F" w:rsidP="00E7123F">
      <w:pPr>
        <w:tabs>
          <w:tab w:val="center" w:pos="4153"/>
          <w:tab w:val="right" w:pos="8306"/>
        </w:tabs>
        <w:spacing w:line="240" w:lineRule="auto"/>
        <w:ind w:left="0"/>
        <w:jc w:val="center"/>
        <w:rPr>
          <w:rFonts w:ascii="Calibri" w:eastAsia="Calibri" w:hAnsi="Calibri" w:cs="Guttman Hodes"/>
          <w:b/>
          <w:bCs/>
          <w:sz w:val="28"/>
          <w:szCs w:val="28"/>
          <w:rtl/>
        </w:rPr>
      </w:pPr>
      <w:r w:rsidRPr="00BF39B2">
        <w:rPr>
          <w:rFonts w:ascii="Calibri" w:eastAsia="Calibri" w:hAnsi="Calibri" w:cs="Guttman Hodes" w:hint="cs"/>
          <w:b/>
          <w:bCs/>
          <w:sz w:val="28"/>
          <w:szCs w:val="28"/>
          <w:rtl/>
        </w:rPr>
        <w:lastRenderedPageBreak/>
        <w:t>תוכן העניינים</w:t>
      </w:r>
    </w:p>
    <w:p w:rsidR="00E41EDA" w:rsidRDefault="00E41EDA" w:rsidP="00961775">
      <w:pPr>
        <w:tabs>
          <w:tab w:val="center" w:pos="4153"/>
          <w:tab w:val="right" w:pos="8306"/>
        </w:tabs>
        <w:spacing w:line="240" w:lineRule="auto"/>
        <w:ind w:left="0"/>
        <w:jc w:val="center"/>
        <w:rPr>
          <w:rFonts w:ascii="Calibri" w:eastAsia="Calibri" w:hAnsi="Calibri" w:cs="Guttman Hodes"/>
          <w:rtl/>
        </w:rPr>
      </w:pPr>
    </w:p>
    <w:p w:rsidR="00E41EDA" w:rsidRPr="00E41EDA" w:rsidRDefault="00E41EDA" w:rsidP="00961775">
      <w:pPr>
        <w:tabs>
          <w:tab w:val="center" w:pos="4153"/>
          <w:tab w:val="right" w:pos="8306"/>
        </w:tabs>
        <w:spacing w:line="240" w:lineRule="auto"/>
        <w:ind w:left="0"/>
        <w:jc w:val="center"/>
        <w:rPr>
          <w:rFonts w:ascii="Calibri" w:eastAsia="Calibri" w:hAnsi="Calibri" w:cs="Guttman Hodes"/>
          <w:rtl/>
        </w:rPr>
      </w:pPr>
      <w:r w:rsidRPr="00E41EDA">
        <w:rPr>
          <w:rFonts w:ascii="Calibri" w:eastAsia="Calibri" w:hAnsi="Calibri" w:cs="Guttman Hodes" w:hint="cs"/>
          <w:rtl/>
        </w:rPr>
        <w:t xml:space="preserve">תוכן עניינים מורחב נדפס בתחילת כל סימן במדור </w:t>
      </w:r>
      <w:r w:rsidR="002916D7">
        <w:rPr>
          <w:rFonts w:ascii="Calibri" w:eastAsia="Calibri" w:hAnsi="Calibri" w:cs="Guttman Hodes" w:hint="cs"/>
          <w:rtl/>
        </w:rPr>
        <w:t>מפתח הסוגיא</w:t>
      </w:r>
    </w:p>
    <w:p w:rsidR="00475C55" w:rsidRDefault="00475C55" w:rsidP="00475C55">
      <w:pPr>
        <w:tabs>
          <w:tab w:val="center" w:pos="4153"/>
          <w:tab w:val="right" w:pos="8306"/>
        </w:tabs>
        <w:spacing w:line="240" w:lineRule="auto"/>
        <w:ind w:left="0"/>
        <w:jc w:val="center"/>
        <w:rPr>
          <w:rFonts w:ascii="Calibri" w:eastAsia="Calibri" w:hAnsi="Calibri" w:cs="Guttman Hodes"/>
          <w:b/>
          <w:bCs/>
          <w:sz w:val="28"/>
          <w:szCs w:val="28"/>
          <w:rtl/>
        </w:rPr>
      </w:pPr>
    </w:p>
    <w:p w:rsidR="00475C55" w:rsidRPr="00EF7F90" w:rsidRDefault="00475C55" w:rsidP="00475C55">
      <w:pPr>
        <w:tabs>
          <w:tab w:val="center" w:pos="4153"/>
          <w:tab w:val="right" w:pos="8306"/>
        </w:tabs>
        <w:spacing w:line="240" w:lineRule="auto"/>
        <w:ind w:left="0"/>
        <w:jc w:val="center"/>
        <w:rPr>
          <w:rFonts w:ascii="Calibri" w:eastAsia="Calibri" w:hAnsi="Calibri" w:cs="Guttman Hodes"/>
          <w:b/>
          <w:bCs/>
          <w:sz w:val="28"/>
          <w:szCs w:val="28"/>
        </w:rPr>
      </w:pPr>
      <w:r>
        <w:rPr>
          <w:rFonts w:ascii="Calibri" w:eastAsia="Calibri" w:hAnsi="Calibri" w:cs="Guttman Hodes" w:hint="cs"/>
          <w:b/>
          <w:bCs/>
          <w:sz w:val="28"/>
          <w:szCs w:val="28"/>
          <w:rtl/>
        </w:rPr>
        <w:t xml:space="preserve">בענייני ביטול בשישים </w:t>
      </w:r>
      <w:r w:rsidRPr="00EF7F90">
        <w:rPr>
          <w:rFonts w:ascii="Calibri" w:eastAsia="Calibri" w:hAnsi="Calibri" w:cs="Guttman Hodes" w:hint="cs"/>
          <w:b/>
          <w:bCs/>
          <w:sz w:val="28"/>
          <w:szCs w:val="28"/>
          <w:rtl/>
        </w:rPr>
        <w:t xml:space="preserve">במסכת </w:t>
      </w:r>
      <w:r>
        <w:rPr>
          <w:rFonts w:ascii="Calibri" w:eastAsia="Calibri" w:hAnsi="Calibri" w:cs="Guttman Hodes" w:hint="cs"/>
          <w:b/>
          <w:bCs/>
          <w:sz w:val="28"/>
          <w:szCs w:val="28"/>
          <w:rtl/>
        </w:rPr>
        <w:t>חולין</w:t>
      </w:r>
    </w:p>
    <w:p w:rsidR="00475C55" w:rsidRPr="00EF7F90" w:rsidRDefault="00475C55" w:rsidP="00475C55">
      <w:pPr>
        <w:pStyle w:val="TOC2"/>
        <w:tabs>
          <w:tab w:val="right" w:leader="dot" w:pos="10456"/>
        </w:tabs>
        <w:rPr>
          <w:rFonts w:ascii="Calibri" w:eastAsia="Calibri" w:hAnsi="Calibri" w:cs="Guttman Hodes"/>
          <w:i w:val="0"/>
          <w:iCs w:val="0"/>
          <w:rtl/>
        </w:rPr>
      </w:pPr>
    </w:p>
    <w:p w:rsidR="002D7168" w:rsidRPr="00715158" w:rsidRDefault="00572AF5">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rtl/>
        </w:rPr>
        <w:fldChar w:fldCharType="begin"/>
      </w:r>
      <w:r w:rsidRPr="00715158">
        <w:rPr>
          <w:rFonts w:ascii="Calibri" w:eastAsia="Calibri" w:hAnsi="Calibri" w:cs="Guttman Hodes"/>
          <w:i w:val="0"/>
          <w:iCs w:val="0"/>
          <w:rtl/>
        </w:rPr>
        <w:instrText xml:space="preserve"> </w:instrText>
      </w:r>
      <w:r w:rsidRPr="00715158">
        <w:rPr>
          <w:rFonts w:ascii="Calibri" w:eastAsia="Calibri" w:hAnsi="Calibri" w:cs="Guttman Hodes"/>
          <w:i w:val="0"/>
          <w:iCs w:val="0"/>
        </w:rPr>
        <w:instrText>TOC</w:instrText>
      </w:r>
      <w:r w:rsidRPr="00715158">
        <w:rPr>
          <w:rFonts w:ascii="Calibri" w:eastAsia="Calibri" w:hAnsi="Calibri" w:cs="Guttman Hodes"/>
          <w:i w:val="0"/>
          <w:iCs w:val="0"/>
          <w:rtl/>
        </w:rPr>
        <w:instrText xml:space="preserve"> \</w:instrText>
      </w:r>
      <w:r w:rsidRPr="00715158">
        <w:rPr>
          <w:rFonts w:ascii="Calibri" w:eastAsia="Calibri" w:hAnsi="Calibri" w:cs="Guttman Hodes"/>
          <w:i w:val="0"/>
          <w:iCs w:val="0"/>
        </w:rPr>
        <w:instrText>t</w:instrText>
      </w:r>
      <w:r w:rsidRPr="00715158">
        <w:rPr>
          <w:rFonts w:ascii="Calibri" w:eastAsia="Calibri" w:hAnsi="Calibri" w:cs="Guttman Hodes"/>
          <w:i w:val="0"/>
          <w:iCs w:val="0"/>
          <w:rtl/>
        </w:rPr>
        <w:instrText xml:space="preserve"> "כות מקטע,2" </w:instrText>
      </w:r>
      <w:r w:rsidRPr="00715158">
        <w:rPr>
          <w:rFonts w:ascii="Calibri" w:eastAsia="Calibri" w:hAnsi="Calibri" w:cs="Guttman Hodes"/>
          <w:i w:val="0"/>
          <w:iCs w:val="0"/>
          <w:rtl/>
        </w:rPr>
        <w:fldChar w:fldCharType="separate"/>
      </w:r>
      <w:r w:rsidR="002D7168" w:rsidRPr="00715158">
        <w:rPr>
          <w:rFonts w:ascii="Calibri" w:eastAsia="Calibri" w:hAnsi="Calibri" w:cs="Guttman Hodes"/>
          <w:i w:val="0"/>
          <w:iCs w:val="0"/>
          <w:noProof/>
          <w:rtl/>
        </w:rPr>
        <w:t>סימן א'</w:t>
      </w:r>
      <w:r w:rsidR="001C2A93" w:rsidRPr="00715158">
        <w:rPr>
          <w:rFonts w:ascii="Calibri" w:eastAsia="Calibri" w:hAnsi="Calibri" w:cs="Guttman Hodes"/>
          <w:i w:val="0"/>
          <w:iCs w:val="0"/>
          <w:noProof/>
          <w:rtl/>
        </w:rPr>
        <w:t xml:space="preserve"> </w:t>
      </w:r>
      <w:r w:rsidR="00715158">
        <w:rPr>
          <w:rFonts w:ascii="Calibri" w:eastAsia="Calibri" w:hAnsi="Calibri" w:cs="Guttman Hodes"/>
          <w:i w:val="0"/>
          <w:iCs w:val="0"/>
          <w:noProof/>
          <w:rtl/>
        </w:rPr>
        <w:t>סוגית</w:t>
      </w:r>
      <w:r w:rsidR="001C2A93" w:rsidRPr="00715158">
        <w:rPr>
          <w:rFonts w:ascii="Calibri" w:eastAsia="Calibri" w:hAnsi="Calibri" w:cs="Guttman Hodes"/>
          <w:i w:val="0"/>
          <w:iCs w:val="0"/>
          <w:noProof/>
          <w:rtl/>
        </w:rPr>
        <w:t xml:space="preserve"> דירך שנתבשל בה גיד </w:t>
      </w:r>
      <w:r w:rsidR="005F0605" w:rsidRPr="00715158">
        <w:rPr>
          <w:rFonts w:ascii="Calibri" w:eastAsia="Calibri" w:hAnsi="Calibri" w:cs="Guttman Hodes" w:hint="cs"/>
          <w:i w:val="0"/>
          <w:iCs w:val="0"/>
          <w:noProof/>
          <w:rtl/>
        </w:rPr>
        <w:t xml:space="preserve">- </w:t>
      </w:r>
      <w:r w:rsidR="001C2A93" w:rsidRPr="00715158">
        <w:rPr>
          <w:rFonts w:ascii="Calibri" w:eastAsia="Calibri" w:hAnsi="Calibri" w:cs="Guttman Hodes"/>
          <w:i w:val="0"/>
          <w:iCs w:val="0"/>
          <w:noProof/>
          <w:rtl/>
        </w:rPr>
        <w:t>בשיעור בשר בלפת ובחתיכה שמקצתה ברוטב ובאיסור דבוק ובגיד שנצלה בירך</w:t>
      </w:r>
      <w:r w:rsidR="002D7168" w:rsidRPr="00715158">
        <w:rPr>
          <w:rFonts w:ascii="Calibri" w:eastAsia="Calibri" w:hAnsi="Calibri" w:cs="Guttman Hodes"/>
          <w:i w:val="0"/>
          <w:iCs w:val="0"/>
          <w:noProof/>
          <w:rtl/>
        </w:rPr>
        <w:tab/>
      </w:r>
      <w:r w:rsidR="002D7168" w:rsidRPr="00715158">
        <w:rPr>
          <w:rFonts w:ascii="Calibri" w:eastAsia="Calibri" w:hAnsi="Calibri" w:cs="Guttman Hodes"/>
          <w:i w:val="0"/>
          <w:iCs w:val="0"/>
          <w:noProof/>
          <w:rtl/>
        </w:rPr>
        <w:fldChar w:fldCharType="begin"/>
      </w:r>
      <w:r w:rsidR="002D7168" w:rsidRPr="00715158">
        <w:rPr>
          <w:rFonts w:ascii="Calibri" w:eastAsia="Calibri" w:hAnsi="Calibri" w:cs="Guttman Hodes"/>
          <w:i w:val="0"/>
          <w:iCs w:val="0"/>
          <w:noProof/>
          <w:rtl/>
        </w:rPr>
        <w:instrText xml:space="preserve"> </w:instrText>
      </w:r>
      <w:r w:rsidR="002D7168" w:rsidRPr="00715158">
        <w:rPr>
          <w:rFonts w:ascii="Calibri" w:eastAsia="Calibri" w:hAnsi="Calibri" w:cs="Guttman Hodes"/>
          <w:i w:val="0"/>
          <w:iCs w:val="0"/>
          <w:noProof/>
        </w:rPr>
        <w:instrText>PAGEREF</w:instrText>
      </w:r>
      <w:r w:rsidR="002D7168" w:rsidRPr="00715158">
        <w:rPr>
          <w:rFonts w:ascii="Calibri" w:eastAsia="Calibri" w:hAnsi="Calibri" w:cs="Guttman Hodes"/>
          <w:i w:val="0"/>
          <w:iCs w:val="0"/>
          <w:noProof/>
          <w:rtl/>
        </w:rPr>
        <w:instrText xml:space="preserve"> _</w:instrText>
      </w:r>
      <w:r w:rsidR="002D7168" w:rsidRPr="00715158">
        <w:rPr>
          <w:rFonts w:ascii="Calibri" w:eastAsia="Calibri" w:hAnsi="Calibri" w:cs="Guttman Hodes"/>
          <w:i w:val="0"/>
          <w:iCs w:val="0"/>
          <w:noProof/>
        </w:rPr>
        <w:instrText>Toc20468133 \h</w:instrText>
      </w:r>
      <w:r w:rsidR="002D7168" w:rsidRPr="00715158">
        <w:rPr>
          <w:rFonts w:ascii="Calibri" w:eastAsia="Calibri" w:hAnsi="Calibri" w:cs="Guttman Hodes"/>
          <w:i w:val="0"/>
          <w:iCs w:val="0"/>
          <w:noProof/>
          <w:rtl/>
        </w:rPr>
        <w:instrText xml:space="preserve"> </w:instrText>
      </w:r>
      <w:r w:rsidR="002D7168" w:rsidRPr="00715158">
        <w:rPr>
          <w:rFonts w:ascii="Calibri" w:eastAsia="Calibri" w:hAnsi="Calibri" w:cs="Guttman Hodes"/>
          <w:i w:val="0"/>
          <w:iCs w:val="0"/>
          <w:noProof/>
          <w:rtl/>
        </w:rPr>
      </w:r>
      <w:r w:rsidR="002D7168"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12</w:t>
      </w:r>
      <w:r w:rsidR="002D7168"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ב'</w:t>
      </w:r>
      <w:r w:rsidR="001C2A93" w:rsidRPr="00715158">
        <w:rPr>
          <w:rFonts w:ascii="Calibri" w:eastAsia="Calibri" w:hAnsi="Calibri" w:cs="Guttman Hodes"/>
          <w:i w:val="0"/>
          <w:iCs w:val="0"/>
          <w:noProof/>
          <w:rtl/>
        </w:rPr>
        <w:t xml:space="preserve"> בשיעור שישים ובדין טעימת קפילא ונאמנותו</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Toc20468136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15</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ג'</w:t>
      </w:r>
      <w:r w:rsidR="005F0605" w:rsidRPr="00715158">
        <w:rPr>
          <w:rFonts w:ascii="Calibri" w:eastAsia="Calibri" w:hAnsi="Calibri" w:cs="Guttman Hodes"/>
          <w:i w:val="0"/>
          <w:iCs w:val="0"/>
          <w:noProof/>
          <w:rtl/>
        </w:rPr>
        <w:t xml:space="preserve"> בשיעור שישים בקדירה ובמה שבלוע בקדירה</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Toc20468138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29</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ד'</w:t>
      </w:r>
      <w:r w:rsidR="005F0605" w:rsidRPr="00715158">
        <w:rPr>
          <w:rFonts w:ascii="Calibri" w:eastAsia="Calibri" w:hAnsi="Calibri" w:cs="Guttman Hodes"/>
          <w:i w:val="0"/>
          <w:iCs w:val="0"/>
          <w:noProof/>
          <w:rtl/>
        </w:rPr>
        <w:t xml:space="preserve"> </w:t>
      </w:r>
      <w:r w:rsidR="00715158">
        <w:rPr>
          <w:rFonts w:ascii="Calibri" w:eastAsia="Calibri" w:hAnsi="Calibri" w:cs="Guttman Hodes"/>
          <w:i w:val="0"/>
          <w:iCs w:val="0"/>
          <w:noProof/>
          <w:rtl/>
        </w:rPr>
        <w:t>סוגית כחל</w:t>
      </w:r>
      <w:r w:rsidR="005F0605" w:rsidRPr="00715158">
        <w:rPr>
          <w:rFonts w:ascii="Calibri" w:eastAsia="Calibri" w:hAnsi="Calibri" w:cs="Guttman Hodes"/>
          <w:i w:val="0"/>
          <w:iCs w:val="0"/>
          <w:noProof/>
          <w:rtl/>
        </w:rPr>
        <w:t xml:space="preserve"> (א') בדין שישים בכחל שהתבשל עם בשר בקדירה</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Toc20468140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41</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ה'</w:t>
      </w:r>
      <w:r w:rsidR="005F0605" w:rsidRPr="00715158">
        <w:rPr>
          <w:rFonts w:ascii="Calibri" w:eastAsia="Calibri" w:hAnsi="Calibri" w:cs="Guttman Hodes"/>
          <w:i w:val="0"/>
          <w:iCs w:val="0"/>
          <w:noProof/>
          <w:rtl/>
        </w:rPr>
        <w:t xml:space="preserve"> </w:t>
      </w:r>
      <w:r w:rsidR="00715158">
        <w:rPr>
          <w:rFonts w:ascii="Calibri" w:eastAsia="Calibri" w:hAnsi="Calibri" w:cs="Guttman Hodes"/>
          <w:i w:val="0"/>
          <w:iCs w:val="0"/>
          <w:noProof/>
          <w:rtl/>
        </w:rPr>
        <w:t>סוגית כחל</w:t>
      </w:r>
      <w:r w:rsidR="005F0605" w:rsidRPr="00715158">
        <w:rPr>
          <w:rFonts w:ascii="Calibri" w:eastAsia="Calibri" w:hAnsi="Calibri" w:cs="Guttman Hodes"/>
          <w:i w:val="0"/>
          <w:iCs w:val="0"/>
          <w:noProof/>
          <w:rtl/>
        </w:rPr>
        <w:t xml:space="preserve"> (ב') בדין כחל ושאר איסורים אי משערים בו או ביוצא ממנו ובאיסור כחל בקדירה שניה</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Toc20468143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49</w:t>
      </w:r>
      <w:r w:rsidRPr="00715158">
        <w:rPr>
          <w:rFonts w:ascii="Calibri" w:eastAsia="Calibri" w:hAnsi="Calibri" w:cs="Guttman Hodes"/>
          <w:i w:val="0"/>
          <w:iCs w:val="0"/>
          <w:noProof/>
          <w:rtl/>
        </w:rPr>
        <w:fldChar w:fldCharType="end"/>
      </w:r>
    </w:p>
    <w:p w:rsidR="00475C55" w:rsidRDefault="00475C55" w:rsidP="00475C55">
      <w:pPr>
        <w:tabs>
          <w:tab w:val="center" w:pos="4153"/>
          <w:tab w:val="right" w:pos="8306"/>
        </w:tabs>
        <w:spacing w:line="240" w:lineRule="auto"/>
        <w:ind w:left="0"/>
        <w:jc w:val="center"/>
        <w:rPr>
          <w:rFonts w:ascii="Calibri" w:eastAsia="Calibri" w:hAnsi="Calibri" w:cs="Guttman Hodes"/>
          <w:b/>
          <w:bCs/>
          <w:noProof/>
          <w:sz w:val="28"/>
          <w:szCs w:val="28"/>
          <w:rtl/>
        </w:rPr>
      </w:pPr>
    </w:p>
    <w:p w:rsidR="00475C55" w:rsidRPr="00EF7F90" w:rsidRDefault="00475C55" w:rsidP="00BB34F4">
      <w:pPr>
        <w:tabs>
          <w:tab w:val="center" w:pos="4153"/>
          <w:tab w:val="right" w:pos="8306"/>
        </w:tabs>
        <w:spacing w:line="240" w:lineRule="auto"/>
        <w:ind w:left="0"/>
        <w:jc w:val="center"/>
        <w:rPr>
          <w:rFonts w:ascii="Calibri" w:eastAsia="Calibri" w:hAnsi="Calibri" w:cs="Guttman Hodes"/>
          <w:b/>
          <w:bCs/>
          <w:noProof/>
          <w:sz w:val="28"/>
          <w:szCs w:val="28"/>
        </w:rPr>
      </w:pPr>
      <w:r w:rsidRPr="00EF7F90">
        <w:rPr>
          <w:rFonts w:ascii="Calibri" w:eastAsia="Calibri" w:hAnsi="Calibri" w:cs="Guttman Hodes" w:hint="cs"/>
          <w:b/>
          <w:bCs/>
          <w:noProof/>
          <w:sz w:val="28"/>
          <w:szCs w:val="28"/>
          <w:rtl/>
        </w:rPr>
        <w:t xml:space="preserve">סוגית </w:t>
      </w:r>
      <w:r>
        <w:rPr>
          <w:rFonts w:ascii="Calibri" w:eastAsia="Calibri" w:hAnsi="Calibri" w:cs="Guttman Hodes" w:hint="cs"/>
          <w:b/>
          <w:bCs/>
          <w:noProof/>
          <w:sz w:val="28"/>
          <w:szCs w:val="28"/>
          <w:rtl/>
        </w:rPr>
        <w:t>טעם כעיקר</w:t>
      </w:r>
      <w:r w:rsidR="00BB34F4">
        <w:rPr>
          <w:rFonts w:ascii="Calibri" w:eastAsia="Calibri" w:hAnsi="Calibri" w:cs="Guttman Hodes" w:hint="cs"/>
          <w:b/>
          <w:bCs/>
          <w:noProof/>
          <w:sz w:val="28"/>
          <w:szCs w:val="28"/>
          <w:rtl/>
        </w:rPr>
        <w:t xml:space="preserve"> </w:t>
      </w:r>
      <w:r w:rsidRPr="00EF7F90">
        <w:rPr>
          <w:rFonts w:ascii="Calibri" w:eastAsia="Calibri" w:hAnsi="Calibri" w:cs="Guttman Hodes" w:hint="cs"/>
          <w:b/>
          <w:bCs/>
          <w:noProof/>
          <w:sz w:val="28"/>
          <w:szCs w:val="28"/>
          <w:rtl/>
        </w:rPr>
        <w:t>במסכת</w:t>
      </w:r>
      <w:r w:rsidR="00BB34F4">
        <w:rPr>
          <w:rFonts w:ascii="Calibri" w:eastAsia="Calibri" w:hAnsi="Calibri" w:cs="Guttman Hodes" w:hint="cs"/>
          <w:b/>
          <w:bCs/>
          <w:noProof/>
          <w:sz w:val="28"/>
          <w:szCs w:val="28"/>
          <w:rtl/>
        </w:rPr>
        <w:t>ות</w:t>
      </w:r>
      <w:r w:rsidRPr="00EF7F90">
        <w:rPr>
          <w:rFonts w:ascii="Calibri" w:eastAsia="Calibri" w:hAnsi="Calibri" w:cs="Guttman Hodes" w:hint="cs"/>
          <w:b/>
          <w:bCs/>
          <w:noProof/>
          <w:sz w:val="28"/>
          <w:szCs w:val="28"/>
          <w:rtl/>
        </w:rPr>
        <w:t xml:space="preserve"> </w:t>
      </w:r>
      <w:r>
        <w:rPr>
          <w:rFonts w:ascii="Calibri" w:eastAsia="Calibri" w:hAnsi="Calibri" w:cs="Guttman Hodes" w:hint="cs"/>
          <w:b/>
          <w:bCs/>
          <w:noProof/>
          <w:sz w:val="28"/>
          <w:szCs w:val="28"/>
          <w:rtl/>
        </w:rPr>
        <w:t>חולין</w:t>
      </w:r>
      <w:r w:rsidR="00BB34F4">
        <w:rPr>
          <w:rFonts w:ascii="Calibri" w:eastAsia="Calibri" w:hAnsi="Calibri" w:cs="Guttman Hodes" w:hint="cs"/>
          <w:b/>
          <w:bCs/>
          <w:noProof/>
          <w:sz w:val="28"/>
          <w:szCs w:val="28"/>
          <w:rtl/>
        </w:rPr>
        <w:t xml:space="preserve"> וע"ז</w:t>
      </w:r>
    </w:p>
    <w:p w:rsidR="00475C55" w:rsidRPr="00EF7F90" w:rsidRDefault="00475C55" w:rsidP="00475C55">
      <w:pPr>
        <w:pStyle w:val="TOC2"/>
        <w:tabs>
          <w:tab w:val="right" w:leader="dot" w:pos="10456"/>
        </w:tabs>
        <w:rPr>
          <w:rFonts w:ascii="Calibri" w:eastAsia="Calibri" w:hAnsi="Calibri" w:cs="Guttman Hodes"/>
          <w:i w:val="0"/>
          <w:iCs w:val="0"/>
          <w:noProof/>
          <w:rtl/>
        </w:rPr>
      </w:pP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ו'</w:t>
      </w:r>
      <w:r w:rsidR="005F0605" w:rsidRPr="00715158">
        <w:rPr>
          <w:rFonts w:ascii="Calibri" w:eastAsia="Calibri" w:hAnsi="Calibri" w:cs="Guttman Hodes"/>
          <w:i w:val="0"/>
          <w:iCs w:val="0"/>
          <w:noProof/>
          <w:rtl/>
        </w:rPr>
        <w:t xml:space="preserve"> סוגית טעם כעיקר (א') בילפותא לביטול בשישים מזרוע בשלה ובדין טעם הנרגש ביותר משישים</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Toc20468146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57</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ז'</w:t>
      </w:r>
      <w:r w:rsidR="005F0605" w:rsidRPr="00715158">
        <w:rPr>
          <w:rFonts w:ascii="Calibri" w:eastAsia="Calibri" w:hAnsi="Calibri" w:cs="Guttman Hodes"/>
          <w:i w:val="0"/>
          <w:iCs w:val="0"/>
          <w:noProof/>
          <w:rtl/>
        </w:rPr>
        <w:t xml:space="preserve"> סוגית טעם כעיקר (ב') בביאור דברי רבא בילפותא דזרוע בשלה ובדין טעם כעיקר בקדשים</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Toc20468149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73</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ח'</w:t>
      </w:r>
      <w:r w:rsidR="005F0605" w:rsidRPr="00715158">
        <w:rPr>
          <w:rFonts w:ascii="Calibri" w:eastAsia="Calibri" w:hAnsi="Calibri" w:cs="Guttman Hodes"/>
          <w:i w:val="0"/>
          <w:iCs w:val="0"/>
          <w:noProof/>
          <w:rtl/>
        </w:rPr>
        <w:t xml:space="preserve"> סוגית טעם כעיקר (ג') בדין טעם כעיקר מדאו' ומדרבנן ובגדר איסור הטעם עצמו ובביטול הטעם ברוב</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Toc20468152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83</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ט'</w:t>
      </w:r>
      <w:r w:rsidR="005F0605" w:rsidRPr="00715158">
        <w:rPr>
          <w:rFonts w:ascii="Calibri" w:eastAsia="Calibri" w:hAnsi="Calibri" w:cs="Guttman Hodes"/>
          <w:i w:val="0"/>
          <w:iCs w:val="0"/>
          <w:noProof/>
          <w:rtl/>
        </w:rPr>
        <w:t xml:space="preserve"> סוגית טעם כעיקר (ד') בביאור טעמו וממשו וטעמו ולא ממשו</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Toc20468155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100</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י'</w:t>
      </w:r>
      <w:r w:rsidR="005F0605" w:rsidRPr="00715158">
        <w:rPr>
          <w:rFonts w:ascii="Calibri" w:eastAsia="Calibri" w:hAnsi="Calibri" w:cs="Guttman Hodes"/>
          <w:i w:val="0"/>
          <w:iCs w:val="0"/>
          <w:noProof/>
          <w:rtl/>
        </w:rPr>
        <w:t xml:space="preserve"> סוגית טעם כעיקר (ה') בפלוגתת הראשונים בדין נהפך בטעם כעיקר</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Toc20468158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112</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י"א</w:t>
      </w:r>
      <w:r w:rsidR="00DC1054" w:rsidRPr="00715158">
        <w:rPr>
          <w:rFonts w:ascii="Calibri" w:eastAsia="Calibri" w:hAnsi="Calibri" w:cs="Guttman Hodes"/>
          <w:i w:val="0"/>
          <w:iCs w:val="0"/>
          <w:noProof/>
          <w:rtl/>
        </w:rPr>
        <w:t xml:space="preserve"> סוגית טעם כעיקר (ו') בביאור דעת הרמב"ם בטעם כעיקר</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Toc20468161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128</w:t>
      </w:r>
      <w:r w:rsidRPr="00715158">
        <w:rPr>
          <w:rFonts w:ascii="Calibri" w:eastAsia="Calibri" w:hAnsi="Calibri" w:cs="Guttman Hodes"/>
          <w:i w:val="0"/>
          <w:iCs w:val="0"/>
          <w:noProof/>
          <w:rtl/>
        </w:rPr>
        <w:fldChar w:fldCharType="end"/>
      </w:r>
    </w:p>
    <w:p w:rsidR="00EF7F90" w:rsidRDefault="00EF7F90" w:rsidP="00EF7F90">
      <w:pPr>
        <w:tabs>
          <w:tab w:val="center" w:pos="4153"/>
          <w:tab w:val="right" w:pos="8306"/>
        </w:tabs>
        <w:spacing w:line="240" w:lineRule="auto"/>
        <w:ind w:left="0"/>
        <w:jc w:val="center"/>
        <w:rPr>
          <w:rFonts w:ascii="Calibri" w:eastAsia="Calibri" w:hAnsi="Calibri" w:cs="Guttman Hodes"/>
          <w:b/>
          <w:bCs/>
          <w:noProof/>
          <w:sz w:val="28"/>
          <w:szCs w:val="28"/>
          <w:rtl/>
        </w:rPr>
      </w:pPr>
    </w:p>
    <w:p w:rsidR="00EF7F90" w:rsidRPr="00EF7F90" w:rsidRDefault="00EF7F90" w:rsidP="00EF7F90">
      <w:pPr>
        <w:tabs>
          <w:tab w:val="center" w:pos="4153"/>
          <w:tab w:val="right" w:pos="8306"/>
        </w:tabs>
        <w:spacing w:line="240" w:lineRule="auto"/>
        <w:ind w:left="0"/>
        <w:jc w:val="center"/>
        <w:rPr>
          <w:rFonts w:ascii="Calibri" w:eastAsia="Calibri" w:hAnsi="Calibri" w:cs="Guttman Hodes"/>
          <w:b/>
          <w:bCs/>
          <w:noProof/>
          <w:sz w:val="28"/>
          <w:szCs w:val="28"/>
        </w:rPr>
      </w:pPr>
      <w:r w:rsidRPr="00EF7F90">
        <w:rPr>
          <w:rFonts w:ascii="Calibri" w:eastAsia="Calibri" w:hAnsi="Calibri" w:cs="Guttman Hodes" w:hint="cs"/>
          <w:b/>
          <w:bCs/>
          <w:noProof/>
          <w:sz w:val="28"/>
          <w:szCs w:val="28"/>
          <w:rtl/>
        </w:rPr>
        <w:t>סוגית נותן טעם לפגם</w:t>
      </w:r>
      <w:r>
        <w:rPr>
          <w:rFonts w:ascii="Calibri" w:eastAsia="Calibri" w:hAnsi="Calibri" w:cs="Guttman Hodes" w:hint="cs"/>
          <w:b/>
          <w:bCs/>
          <w:noProof/>
          <w:sz w:val="28"/>
          <w:szCs w:val="28"/>
          <w:rtl/>
        </w:rPr>
        <w:t xml:space="preserve"> </w:t>
      </w:r>
      <w:r w:rsidRPr="00EF7F90">
        <w:rPr>
          <w:rFonts w:ascii="Calibri" w:eastAsia="Calibri" w:hAnsi="Calibri" w:cs="Guttman Hodes" w:hint="cs"/>
          <w:b/>
          <w:bCs/>
          <w:noProof/>
          <w:sz w:val="28"/>
          <w:szCs w:val="28"/>
          <w:rtl/>
        </w:rPr>
        <w:t>במסכת ע"ז</w:t>
      </w:r>
    </w:p>
    <w:p w:rsidR="00EF7F90" w:rsidRPr="00EF7F90" w:rsidRDefault="00EF7F90">
      <w:pPr>
        <w:pStyle w:val="TOC2"/>
        <w:tabs>
          <w:tab w:val="right" w:leader="dot" w:pos="10456"/>
        </w:tabs>
        <w:rPr>
          <w:rFonts w:ascii="Calibri" w:eastAsia="Calibri" w:hAnsi="Calibri" w:cs="Guttman Hodes"/>
          <w:i w:val="0"/>
          <w:iCs w:val="0"/>
          <w:noProof/>
          <w:rtl/>
        </w:rPr>
      </w:pP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י</w:t>
      </w:r>
      <w:r w:rsidR="00715158">
        <w:rPr>
          <w:rFonts w:ascii="Calibri" w:eastAsia="Calibri" w:hAnsi="Calibri" w:cs="Guttman Hodes" w:hint="cs"/>
          <w:i w:val="0"/>
          <w:iCs w:val="0"/>
          <w:noProof/>
          <w:rtl/>
        </w:rPr>
        <w:t xml:space="preserve">"ב </w:t>
      </w:r>
      <w:r w:rsidR="00715158">
        <w:rPr>
          <w:rFonts w:ascii="Calibri" w:eastAsia="Calibri" w:hAnsi="Calibri" w:cs="Guttman Hodes"/>
          <w:i w:val="0"/>
          <w:iCs w:val="0"/>
          <w:noProof/>
          <w:rtl/>
        </w:rPr>
        <w:t xml:space="preserve">סוגית נותן </w:t>
      </w:r>
      <w:r w:rsidR="001809B8" w:rsidRPr="00715158">
        <w:rPr>
          <w:rFonts w:ascii="Calibri" w:eastAsia="Calibri" w:hAnsi="Calibri" w:cs="Guttman Hodes"/>
          <w:i w:val="0"/>
          <w:iCs w:val="0"/>
          <w:noProof/>
          <w:rtl/>
        </w:rPr>
        <w:t>טעם לפגם (א') בפלוגתת הראשונים בדין פגום במקצת ובנבילה שאינה ראויה לגר</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Toc20468164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144</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יג'</w:t>
      </w:r>
      <w:r w:rsidR="001809B8" w:rsidRPr="00715158">
        <w:rPr>
          <w:rFonts w:ascii="Calibri" w:eastAsia="Calibri" w:hAnsi="Calibri" w:cs="Guttman Hodes"/>
          <w:i w:val="0"/>
          <w:iCs w:val="0"/>
          <w:noProof/>
          <w:rtl/>
        </w:rPr>
        <w:t xml:space="preserve"> </w:t>
      </w:r>
      <w:r w:rsidR="00715158">
        <w:rPr>
          <w:rFonts w:ascii="Calibri" w:eastAsia="Calibri" w:hAnsi="Calibri" w:cs="Guttman Hodes"/>
          <w:i w:val="0"/>
          <w:iCs w:val="0"/>
          <w:noProof/>
          <w:rtl/>
        </w:rPr>
        <w:t xml:space="preserve">סוגית נותן </w:t>
      </w:r>
      <w:r w:rsidR="001809B8" w:rsidRPr="00715158">
        <w:rPr>
          <w:rFonts w:ascii="Calibri" w:eastAsia="Calibri" w:hAnsi="Calibri" w:cs="Guttman Hodes"/>
          <w:i w:val="0"/>
          <w:iCs w:val="0"/>
          <w:noProof/>
          <w:rtl/>
        </w:rPr>
        <w:t>טעם לפגם (ב') בגדרי ודיני נבילה שאינה ראויה לגר ונותן טעם לפגם</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Toc20468167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161</w:t>
      </w:r>
      <w:r w:rsidRPr="00715158">
        <w:rPr>
          <w:rFonts w:ascii="Calibri" w:eastAsia="Calibri" w:hAnsi="Calibri" w:cs="Guttman Hodes"/>
          <w:i w:val="0"/>
          <w:iCs w:val="0"/>
          <w:noProof/>
          <w:rtl/>
        </w:rPr>
        <w:fldChar w:fldCharType="end"/>
      </w:r>
    </w:p>
    <w:p w:rsidR="002D7168" w:rsidRPr="00715158" w:rsidRDefault="002D716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יד'</w:t>
      </w:r>
      <w:r w:rsidR="001809B8" w:rsidRPr="00715158">
        <w:rPr>
          <w:rFonts w:ascii="Calibri" w:eastAsia="Calibri" w:hAnsi="Calibri" w:cs="Guttman Hodes"/>
          <w:i w:val="0"/>
          <w:iCs w:val="0"/>
          <w:noProof/>
          <w:rtl/>
        </w:rPr>
        <w:t xml:space="preserve"> </w:t>
      </w:r>
      <w:r w:rsidR="00715158">
        <w:rPr>
          <w:rFonts w:ascii="Calibri" w:eastAsia="Calibri" w:hAnsi="Calibri" w:cs="Guttman Hodes"/>
          <w:i w:val="0"/>
          <w:iCs w:val="0"/>
          <w:noProof/>
          <w:rtl/>
        </w:rPr>
        <w:t xml:space="preserve">סוגית נותן </w:t>
      </w:r>
      <w:r w:rsidR="001809B8" w:rsidRPr="00715158">
        <w:rPr>
          <w:rFonts w:ascii="Calibri" w:eastAsia="Calibri" w:hAnsi="Calibri" w:cs="Guttman Hodes"/>
          <w:i w:val="0"/>
          <w:iCs w:val="0"/>
          <w:noProof/>
          <w:rtl/>
        </w:rPr>
        <w:t>טעם לפגם (ג') בדין השביח ולבסוף פגם ופגם ולבסוף השביח ובדברי עולא וריו"ח בזה</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Toc20468170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174</w:t>
      </w:r>
      <w:r w:rsidRPr="00715158">
        <w:rPr>
          <w:rFonts w:ascii="Calibri" w:eastAsia="Calibri" w:hAnsi="Calibri" w:cs="Guttman Hodes"/>
          <w:i w:val="0"/>
          <w:iCs w:val="0"/>
          <w:noProof/>
          <w:rtl/>
        </w:rPr>
        <w:fldChar w:fldCharType="end"/>
      </w:r>
    </w:p>
    <w:p w:rsidR="002D7168" w:rsidRPr="00715158" w:rsidRDefault="002D7168" w:rsidP="001809B8">
      <w:pPr>
        <w:pStyle w:val="TOC2"/>
        <w:tabs>
          <w:tab w:val="right" w:leader="dot" w:pos="10456"/>
        </w:tabs>
        <w:rPr>
          <w:rFonts w:ascii="Calibri" w:eastAsia="Calibri" w:hAnsi="Calibri" w:cs="Guttman Hodes"/>
          <w:i w:val="0"/>
          <w:iCs w:val="0"/>
          <w:noProof/>
          <w:rtl/>
        </w:rPr>
      </w:pPr>
      <w:r w:rsidRPr="00715158">
        <w:rPr>
          <w:rFonts w:ascii="Calibri" w:eastAsia="Calibri" w:hAnsi="Calibri" w:cs="Guttman Hodes"/>
          <w:i w:val="0"/>
          <w:iCs w:val="0"/>
          <w:noProof/>
          <w:rtl/>
        </w:rPr>
        <w:t>סימן  ט"ו</w:t>
      </w:r>
      <w:r w:rsidR="001809B8" w:rsidRPr="00715158">
        <w:rPr>
          <w:rFonts w:ascii="Calibri" w:eastAsia="Calibri" w:hAnsi="Calibri" w:cs="Guttman Hodes"/>
          <w:i w:val="0"/>
          <w:iCs w:val="0"/>
          <w:noProof/>
          <w:rtl/>
        </w:rPr>
        <w:t xml:space="preserve"> </w:t>
      </w:r>
      <w:r w:rsidR="00715158">
        <w:rPr>
          <w:rFonts w:ascii="Calibri" w:eastAsia="Calibri" w:hAnsi="Calibri" w:cs="Guttman Hodes"/>
          <w:i w:val="0"/>
          <w:iCs w:val="0"/>
          <w:noProof/>
          <w:rtl/>
        </w:rPr>
        <w:t xml:space="preserve">סוגית נותן </w:t>
      </w:r>
      <w:r w:rsidR="001809B8" w:rsidRPr="00715158">
        <w:rPr>
          <w:rFonts w:ascii="Calibri" w:eastAsia="Calibri" w:hAnsi="Calibri" w:cs="Guttman Hodes"/>
          <w:i w:val="0"/>
          <w:iCs w:val="0"/>
          <w:noProof/>
          <w:rtl/>
        </w:rPr>
        <w:t>טעם לפגם (ד') בדין נותן טעם לפגם באיסור שמאוס מעיקרו</w:t>
      </w:r>
      <w:r w:rsidRPr="00715158">
        <w:rPr>
          <w:rFonts w:ascii="Calibri" w:eastAsia="Calibri" w:hAnsi="Calibri" w:cs="Guttman Hodes"/>
          <w:i w:val="0"/>
          <w:iCs w:val="0"/>
          <w:noProof/>
          <w:rtl/>
        </w:rPr>
        <w:tab/>
      </w:r>
      <w:r w:rsidRPr="00715158">
        <w:rPr>
          <w:rFonts w:ascii="Calibri" w:eastAsia="Calibri" w:hAnsi="Calibri" w:cs="Guttman Hodes"/>
          <w:i w:val="0"/>
          <w:iCs w:val="0"/>
          <w:noProof/>
          <w:rtl/>
        </w:rPr>
        <w:fldChar w:fldCharType="begin"/>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Pr>
        <w:instrText>PAGEREF</w:instrText>
      </w:r>
      <w:r w:rsidRPr="00715158">
        <w:rPr>
          <w:rFonts w:ascii="Calibri" w:eastAsia="Calibri" w:hAnsi="Calibri" w:cs="Guttman Hodes"/>
          <w:i w:val="0"/>
          <w:iCs w:val="0"/>
          <w:noProof/>
          <w:rtl/>
        </w:rPr>
        <w:instrText xml:space="preserve"> _</w:instrText>
      </w:r>
      <w:r w:rsidRPr="00715158">
        <w:rPr>
          <w:rFonts w:ascii="Calibri" w:eastAsia="Calibri" w:hAnsi="Calibri" w:cs="Guttman Hodes"/>
          <w:i w:val="0"/>
          <w:iCs w:val="0"/>
          <w:noProof/>
        </w:rPr>
        <w:instrText>Toc20468175 \h</w:instrText>
      </w:r>
      <w:r w:rsidRPr="00715158">
        <w:rPr>
          <w:rFonts w:ascii="Calibri" w:eastAsia="Calibri" w:hAnsi="Calibri" w:cs="Guttman Hodes"/>
          <w:i w:val="0"/>
          <w:iCs w:val="0"/>
          <w:noProof/>
          <w:rtl/>
        </w:rPr>
        <w:instrText xml:space="preserve"> </w:instrText>
      </w:r>
      <w:r w:rsidRPr="00715158">
        <w:rPr>
          <w:rFonts w:ascii="Calibri" w:eastAsia="Calibri" w:hAnsi="Calibri" w:cs="Guttman Hodes"/>
          <w:i w:val="0"/>
          <w:iCs w:val="0"/>
          <w:noProof/>
          <w:rtl/>
        </w:rPr>
      </w:r>
      <w:r w:rsidRPr="00715158">
        <w:rPr>
          <w:rFonts w:ascii="Calibri" w:eastAsia="Calibri" w:hAnsi="Calibri" w:cs="Guttman Hodes"/>
          <w:i w:val="0"/>
          <w:iCs w:val="0"/>
          <w:noProof/>
          <w:rtl/>
        </w:rPr>
        <w:fldChar w:fldCharType="separate"/>
      </w:r>
      <w:r w:rsidR="004D1C5B">
        <w:rPr>
          <w:rFonts w:ascii="Calibri" w:eastAsia="Calibri" w:hAnsi="Calibri" w:cs="Guttman Hodes"/>
          <w:i w:val="0"/>
          <w:iCs w:val="0"/>
          <w:noProof/>
          <w:rtl/>
        </w:rPr>
        <w:t>188</w:t>
      </w:r>
      <w:r w:rsidRPr="00715158">
        <w:rPr>
          <w:rFonts w:ascii="Calibri" w:eastAsia="Calibri" w:hAnsi="Calibri" w:cs="Guttman Hodes"/>
          <w:i w:val="0"/>
          <w:iCs w:val="0"/>
          <w:noProof/>
          <w:rtl/>
        </w:rPr>
        <w:fldChar w:fldCharType="end"/>
      </w:r>
    </w:p>
    <w:p w:rsidR="00DD03DA" w:rsidRDefault="00572AF5" w:rsidP="00DD03DA">
      <w:pPr>
        <w:tabs>
          <w:tab w:val="center" w:pos="4153"/>
          <w:tab w:val="right" w:pos="8306"/>
        </w:tabs>
        <w:spacing w:line="240" w:lineRule="auto"/>
        <w:ind w:left="0"/>
        <w:jc w:val="center"/>
        <w:rPr>
          <w:rFonts w:ascii="Calibri" w:eastAsia="Calibri" w:hAnsi="Calibri" w:cs="Guttman Hodes"/>
          <w:b/>
          <w:bCs/>
          <w:noProof/>
          <w:sz w:val="28"/>
          <w:szCs w:val="28"/>
          <w:rtl/>
        </w:rPr>
      </w:pPr>
      <w:r w:rsidRPr="00715158">
        <w:rPr>
          <w:rFonts w:ascii="Calibri" w:eastAsia="Calibri" w:hAnsi="Calibri" w:cs="Guttman Hodes"/>
          <w:i/>
          <w:iCs/>
          <w:rtl/>
        </w:rPr>
        <w:fldChar w:fldCharType="end"/>
      </w:r>
      <w:r w:rsidR="00DD03DA" w:rsidRPr="00DD03DA">
        <w:rPr>
          <w:rFonts w:ascii="Calibri" w:eastAsia="Calibri" w:hAnsi="Calibri" w:cs="Guttman Hodes"/>
          <w:b/>
          <w:bCs/>
          <w:noProof/>
          <w:sz w:val="28"/>
          <w:szCs w:val="28"/>
          <w:rtl/>
        </w:rPr>
        <w:t xml:space="preserve"> </w:t>
      </w:r>
    </w:p>
    <w:p w:rsidR="00DD03DA" w:rsidRPr="00DD03DA" w:rsidRDefault="00DD03DA" w:rsidP="00DD03DA">
      <w:pPr>
        <w:tabs>
          <w:tab w:val="center" w:pos="4153"/>
          <w:tab w:val="right" w:pos="8306"/>
        </w:tabs>
        <w:spacing w:line="240" w:lineRule="auto"/>
        <w:ind w:left="0"/>
        <w:jc w:val="center"/>
        <w:rPr>
          <w:rFonts w:ascii="Calibri" w:eastAsia="Calibri" w:hAnsi="Calibri" w:cs="Guttman Hodes"/>
          <w:b/>
          <w:bCs/>
          <w:noProof/>
          <w:sz w:val="28"/>
          <w:szCs w:val="28"/>
        </w:rPr>
      </w:pPr>
      <w:r w:rsidRPr="00DD03DA">
        <w:rPr>
          <w:rFonts w:ascii="Calibri" w:eastAsia="Calibri" w:hAnsi="Calibri" w:cs="Guttman Hodes"/>
          <w:b/>
          <w:bCs/>
          <w:noProof/>
          <w:sz w:val="28"/>
          <w:szCs w:val="28"/>
          <w:rtl/>
        </w:rPr>
        <w:t>בענייני ביטול יבש ביבש וחוזר וניעור במסכתות חולין וע"ז</w:t>
      </w:r>
    </w:p>
    <w:p w:rsidR="00DD03DA" w:rsidRPr="00EF7F90" w:rsidRDefault="00DD03DA" w:rsidP="00DD03DA">
      <w:pPr>
        <w:pStyle w:val="TOC2"/>
        <w:tabs>
          <w:tab w:val="right" w:leader="dot" w:pos="10456"/>
        </w:tabs>
        <w:rPr>
          <w:rFonts w:ascii="Calibri" w:eastAsia="Calibri" w:hAnsi="Calibri" w:cs="Guttman Hodes"/>
          <w:i w:val="0"/>
          <w:iCs w:val="0"/>
          <w:noProof/>
          <w:rtl/>
        </w:rPr>
      </w:pPr>
    </w:p>
    <w:p w:rsidR="00DD03DA" w:rsidRPr="00DD03DA" w:rsidRDefault="00DD03DA" w:rsidP="00F3032B">
      <w:pPr>
        <w:pStyle w:val="TOC2"/>
        <w:tabs>
          <w:tab w:val="right" w:leader="dot" w:pos="10456"/>
        </w:tabs>
        <w:rPr>
          <w:rFonts w:ascii="Calibri" w:eastAsia="Calibri" w:hAnsi="Calibri" w:cs="Guttman Hodes"/>
          <w:i w:val="0"/>
          <w:iCs w:val="0"/>
          <w:noProof/>
          <w:rtl/>
        </w:rPr>
      </w:pPr>
      <w:r w:rsidRPr="00DD03DA">
        <w:rPr>
          <w:rFonts w:ascii="Calibri" w:eastAsia="Calibri" w:hAnsi="Calibri" w:cs="Guttman Hodes"/>
          <w:i w:val="0"/>
          <w:iCs w:val="0"/>
          <w:noProof/>
          <w:rtl/>
        </w:rPr>
        <w:t>סימן  ט"ז סוגית ביטול יבש ביבש (א') בביטול ברוב ביבש ובלח במב"מ ובמבשא"מ ובמקור וגדר דין ביטול ברוב</w:t>
      </w:r>
      <w:r w:rsidRPr="00DD03DA">
        <w:rPr>
          <w:rFonts w:ascii="Calibri" w:eastAsia="Calibri" w:hAnsi="Calibri" w:cs="Guttman Hodes"/>
          <w:i w:val="0"/>
          <w:iCs w:val="0"/>
          <w:noProof/>
          <w:rtl/>
        </w:rPr>
        <w:tab/>
      </w:r>
      <w:r w:rsidR="00F3032B">
        <w:rPr>
          <w:rFonts w:ascii="Calibri" w:eastAsia="Calibri" w:hAnsi="Calibri" w:cs="Guttman Hodes" w:hint="cs"/>
          <w:i w:val="0"/>
          <w:iCs w:val="0"/>
          <w:noProof/>
          <w:rtl/>
        </w:rPr>
        <w:t>203</w:t>
      </w:r>
    </w:p>
    <w:p w:rsidR="00DD03DA" w:rsidRPr="00DD03DA" w:rsidRDefault="00DD03DA" w:rsidP="00F6039C">
      <w:pPr>
        <w:pStyle w:val="TOC2"/>
        <w:tabs>
          <w:tab w:val="right" w:leader="dot" w:pos="10456"/>
        </w:tabs>
        <w:rPr>
          <w:rFonts w:ascii="Calibri" w:eastAsia="Calibri" w:hAnsi="Calibri" w:cs="Guttman Hodes"/>
          <w:i w:val="0"/>
          <w:iCs w:val="0"/>
          <w:noProof/>
          <w:rtl/>
        </w:rPr>
      </w:pPr>
      <w:r w:rsidRPr="00DD03DA">
        <w:rPr>
          <w:rFonts w:ascii="Calibri" w:eastAsia="Calibri" w:hAnsi="Calibri" w:cs="Guttman Hodes"/>
          <w:i w:val="0"/>
          <w:iCs w:val="0"/>
          <w:noProof/>
          <w:rtl/>
        </w:rPr>
        <w:t xml:space="preserve">סימן  </w:t>
      </w:r>
      <w:r w:rsidR="00F6039C">
        <w:rPr>
          <w:rFonts w:ascii="Calibri" w:eastAsia="Calibri" w:hAnsi="Calibri" w:cs="Guttman Hodes" w:hint="cs"/>
          <w:i w:val="0"/>
          <w:iCs w:val="0"/>
          <w:noProof/>
          <w:rtl/>
        </w:rPr>
        <w:t>י</w:t>
      </w:r>
      <w:r w:rsidRPr="00DD03DA">
        <w:rPr>
          <w:rFonts w:ascii="Calibri" w:eastAsia="Calibri" w:hAnsi="Calibri" w:cs="Guttman Hodes"/>
          <w:i w:val="0"/>
          <w:iCs w:val="0"/>
          <w:noProof/>
          <w:rtl/>
        </w:rPr>
        <w:t>"ז סוגית ביטול יבש ביבש (ב') בפלוגתת הראשונים באופני היתר אכילת התערובת בביטול ברוב</w:t>
      </w:r>
      <w:r w:rsidRPr="00DD03DA">
        <w:rPr>
          <w:rFonts w:ascii="Calibri" w:eastAsia="Calibri" w:hAnsi="Calibri" w:cs="Guttman Hodes"/>
          <w:i w:val="0"/>
          <w:iCs w:val="0"/>
          <w:noProof/>
          <w:rtl/>
        </w:rPr>
        <w:tab/>
      </w:r>
      <w:r>
        <w:rPr>
          <w:rFonts w:ascii="Calibri" w:eastAsia="Calibri" w:hAnsi="Calibri" w:cs="Guttman Hodes" w:hint="cs"/>
          <w:i w:val="0"/>
          <w:iCs w:val="0"/>
          <w:noProof/>
          <w:rtl/>
        </w:rPr>
        <w:t>215</w:t>
      </w:r>
    </w:p>
    <w:p w:rsidR="00DD03DA" w:rsidRPr="00DD03DA" w:rsidRDefault="00DD03DA" w:rsidP="00DD03DA">
      <w:pPr>
        <w:pStyle w:val="TOC2"/>
        <w:tabs>
          <w:tab w:val="right" w:leader="dot" w:pos="10456"/>
        </w:tabs>
        <w:rPr>
          <w:rFonts w:ascii="Calibri" w:eastAsia="Calibri" w:hAnsi="Calibri" w:cs="Guttman Hodes"/>
          <w:i w:val="0"/>
          <w:iCs w:val="0"/>
          <w:noProof/>
          <w:rtl/>
        </w:rPr>
      </w:pPr>
      <w:r w:rsidRPr="00DD03DA">
        <w:rPr>
          <w:rFonts w:ascii="Calibri" w:eastAsia="Calibri" w:hAnsi="Calibri" w:cs="Guttman Hodes"/>
          <w:i w:val="0"/>
          <w:iCs w:val="0"/>
          <w:noProof/>
          <w:rtl/>
        </w:rPr>
        <w:lastRenderedPageBreak/>
        <w:t>סימן  י"ח סוגית ביטול יבש ביבש (ג') בתערובת יבש ביבש שבישלה יחד במינו ובאינו מינו ובדין נודעה התערובת</w:t>
      </w:r>
      <w:r w:rsidRPr="00DD03DA">
        <w:rPr>
          <w:rFonts w:ascii="Calibri" w:eastAsia="Calibri" w:hAnsi="Calibri" w:cs="Guttman Hodes"/>
          <w:i w:val="0"/>
          <w:iCs w:val="0"/>
          <w:noProof/>
          <w:rtl/>
        </w:rPr>
        <w:tab/>
      </w:r>
      <w:r>
        <w:rPr>
          <w:rFonts w:ascii="Calibri" w:eastAsia="Calibri" w:hAnsi="Calibri" w:cs="Guttman Hodes" w:hint="cs"/>
          <w:i w:val="0"/>
          <w:iCs w:val="0"/>
          <w:noProof/>
          <w:rtl/>
        </w:rPr>
        <w:t>231</w:t>
      </w:r>
    </w:p>
    <w:p w:rsidR="00DD03DA" w:rsidRPr="00DD03DA" w:rsidRDefault="00DD03DA" w:rsidP="00DD03DA">
      <w:pPr>
        <w:pStyle w:val="TOC2"/>
        <w:tabs>
          <w:tab w:val="right" w:leader="dot" w:pos="10456"/>
        </w:tabs>
        <w:rPr>
          <w:rFonts w:ascii="Calibri" w:eastAsia="Calibri" w:hAnsi="Calibri" w:cs="Guttman Hodes"/>
          <w:i w:val="0"/>
          <w:iCs w:val="0"/>
          <w:noProof/>
          <w:rtl/>
        </w:rPr>
      </w:pPr>
      <w:r w:rsidRPr="00DD03DA">
        <w:rPr>
          <w:rFonts w:ascii="Calibri" w:eastAsia="Calibri" w:hAnsi="Calibri" w:cs="Guttman Hodes"/>
          <w:i w:val="0"/>
          <w:iCs w:val="0"/>
          <w:noProof/>
          <w:rtl/>
        </w:rPr>
        <w:t>סימן י"ט סוגית ביטול יבש ביבש (ד') בדברי הרא"ש בדין חוזר וני</w:t>
      </w:r>
      <w:r>
        <w:rPr>
          <w:rFonts w:ascii="Calibri" w:eastAsia="Calibri" w:hAnsi="Calibri" w:cs="Guttman Hodes"/>
          <w:i w:val="0"/>
          <w:iCs w:val="0"/>
          <w:noProof/>
          <w:rtl/>
        </w:rPr>
        <w:t>עור ובדין ביטול ברוב במגע ומשא</w:t>
      </w:r>
      <w:r>
        <w:rPr>
          <w:rFonts w:ascii="Calibri" w:eastAsia="Calibri" w:hAnsi="Calibri" w:cs="Guttman Hodes"/>
          <w:i w:val="0"/>
          <w:iCs w:val="0"/>
          <w:noProof/>
          <w:rtl/>
        </w:rPr>
        <w:tab/>
      </w:r>
      <w:r>
        <w:rPr>
          <w:rFonts w:ascii="Calibri" w:eastAsia="Calibri" w:hAnsi="Calibri" w:cs="Guttman Hodes" w:hint="cs"/>
          <w:i w:val="0"/>
          <w:iCs w:val="0"/>
          <w:noProof/>
          <w:rtl/>
        </w:rPr>
        <w:t>246</w:t>
      </w:r>
    </w:p>
    <w:p w:rsidR="00DD03DA" w:rsidRDefault="00DD03DA" w:rsidP="00F3032B">
      <w:pPr>
        <w:pStyle w:val="TOC2"/>
        <w:tabs>
          <w:tab w:val="right" w:leader="dot" w:pos="10456"/>
        </w:tabs>
        <w:rPr>
          <w:noProof/>
          <w:rtl/>
        </w:rPr>
      </w:pPr>
      <w:r w:rsidRPr="00DD03DA">
        <w:rPr>
          <w:rFonts w:ascii="Calibri" w:eastAsia="Calibri" w:hAnsi="Calibri" w:cs="Guttman Hodes"/>
          <w:i w:val="0"/>
          <w:iCs w:val="0"/>
          <w:noProof/>
          <w:rtl/>
        </w:rPr>
        <w:t>סימן כ' בפלוגתת הראשונים בדין קמא קמא בטיל ובחוזר וניעור</w:t>
      </w:r>
      <w:r w:rsidRPr="00DD03DA">
        <w:rPr>
          <w:rFonts w:ascii="Calibri" w:eastAsia="Calibri" w:hAnsi="Calibri" w:cs="Guttman Hodes"/>
          <w:i w:val="0"/>
          <w:iCs w:val="0"/>
          <w:noProof/>
          <w:rtl/>
        </w:rPr>
        <w:tab/>
      </w:r>
      <w:r w:rsidR="00F3032B" w:rsidRPr="00F3032B">
        <w:rPr>
          <w:rFonts w:ascii="Calibri" w:eastAsia="Calibri" w:hAnsi="Calibri" w:cs="Guttman Hodes" w:hint="cs"/>
          <w:i w:val="0"/>
          <w:iCs w:val="0"/>
          <w:noProof/>
          <w:rtl/>
        </w:rPr>
        <w:t>256</w:t>
      </w:r>
    </w:p>
    <w:p w:rsidR="00572AF5" w:rsidRPr="0050146A" w:rsidRDefault="00572AF5" w:rsidP="00DD03DA">
      <w:pPr>
        <w:pStyle w:val="TOC2"/>
        <w:tabs>
          <w:tab w:val="right" w:leader="dot" w:pos="10456"/>
        </w:tabs>
        <w:rPr>
          <w:noProof/>
          <w:rtl/>
        </w:rPr>
        <w:sectPr w:rsidR="00572AF5" w:rsidRPr="0050146A" w:rsidSect="00852065">
          <w:pgSz w:w="11906" w:h="16838"/>
          <w:pgMar w:top="720" w:right="720" w:bottom="720" w:left="720" w:header="283" w:footer="283" w:gutter="0"/>
          <w:pgNumType w:fmt="hebrew1"/>
          <w:cols w:space="567"/>
          <w:bidi/>
          <w:rtlGutter/>
          <w:docGrid w:linePitch="299"/>
        </w:sectPr>
      </w:pPr>
    </w:p>
    <w:bookmarkEnd w:id="0"/>
    <w:bookmarkEnd w:id="1"/>
    <w:bookmarkEnd w:id="2"/>
    <w:p w:rsidR="00496A98" w:rsidRPr="0050146A" w:rsidRDefault="00496A98" w:rsidP="009F44AF">
      <w:pPr>
        <w:pStyle w:val="a"/>
        <w:numPr>
          <w:ilvl w:val="0"/>
          <w:numId w:val="0"/>
        </w:numPr>
        <w:rPr>
          <w:rtl/>
        </w:rPr>
        <w:sectPr w:rsidR="00496A98" w:rsidRPr="0050146A" w:rsidSect="005049E2">
          <w:footerReference w:type="default" r:id="rId17"/>
          <w:type w:val="continuous"/>
          <w:pgSz w:w="11906" w:h="16838"/>
          <w:pgMar w:top="720" w:right="720" w:bottom="720" w:left="720" w:header="283" w:footer="283" w:gutter="0"/>
          <w:cols w:num="2" w:space="567"/>
          <w:titlePg/>
          <w:bidi/>
          <w:rtlGutter/>
          <w:docGrid w:linePitch="299"/>
        </w:sectPr>
      </w:pPr>
    </w:p>
    <w:p w:rsidR="003064FD" w:rsidRDefault="003064FD" w:rsidP="004F247F">
      <w:pPr>
        <w:ind w:left="0"/>
        <w:jc w:val="center"/>
        <w:rPr>
          <w:rFonts w:cs="Guttman Hodes"/>
          <w:sz w:val="32"/>
          <w:szCs w:val="32"/>
          <w:rtl/>
        </w:rPr>
        <w:sectPr w:rsidR="003064FD" w:rsidSect="005C335A">
          <w:headerReference w:type="default" r:id="rId18"/>
          <w:pgSz w:w="11906" w:h="16838"/>
          <w:pgMar w:top="720" w:right="720" w:bottom="720" w:left="720" w:header="283" w:footer="283" w:gutter="0"/>
          <w:cols w:space="113"/>
          <w:bidi/>
          <w:rtlGutter/>
          <w:docGrid w:linePitch="299"/>
        </w:sectPr>
      </w:pPr>
      <w:bookmarkStart w:id="3" w:name="_Toc533585372"/>
      <w:bookmarkStart w:id="4" w:name="_Toc7614060"/>
      <w:bookmarkStart w:id="5" w:name="_Toc523397167"/>
      <w:bookmarkStart w:id="6" w:name="_Toc523490269"/>
      <w:bookmarkStart w:id="7" w:name="_Toc523760814"/>
      <w:bookmarkStart w:id="8" w:name="_Toc532810051"/>
      <w:bookmarkStart w:id="9" w:name="_Toc532550688"/>
      <w:bookmarkStart w:id="10" w:name="_Toc532550622"/>
      <w:bookmarkStart w:id="11" w:name="_Toc532453981"/>
      <w:bookmarkStart w:id="12" w:name="_Toc532453947"/>
      <w:bookmarkStart w:id="13" w:name="_Toc532302152"/>
      <w:bookmarkStart w:id="14" w:name="_Toc532202991"/>
      <w:bookmarkStart w:id="15" w:name="_Toc531894183"/>
      <w:bookmarkStart w:id="16" w:name="_Toc531894158"/>
      <w:bookmarkStart w:id="17" w:name="_Toc531638963"/>
      <w:bookmarkStart w:id="18" w:name="_Toc531629692"/>
      <w:bookmarkStart w:id="19" w:name="_Toc531622036"/>
      <w:bookmarkStart w:id="20" w:name="_Toc531258160"/>
      <w:bookmarkStart w:id="21" w:name="_Toc531251618"/>
      <w:bookmarkStart w:id="22" w:name="_Toc531251475"/>
      <w:bookmarkStart w:id="23" w:name="_Toc531193273"/>
      <w:bookmarkStart w:id="24" w:name="_Toc533441186"/>
      <w:bookmarkStart w:id="25" w:name="_Toc533413296"/>
      <w:bookmarkStart w:id="26" w:name="_Toc533490152"/>
      <w:bookmarkStart w:id="27" w:name="_Toc533506082"/>
      <w:bookmarkStart w:id="28" w:name="_Toc533544290"/>
      <w:bookmarkStart w:id="29" w:name="_Toc533585359"/>
      <w:bookmarkStart w:id="30" w:name="_Toc7711773"/>
      <w:bookmarkStart w:id="31" w:name="_Toc7724598"/>
      <w:bookmarkStart w:id="32" w:name="_Toc8069025"/>
      <w:bookmarkStart w:id="33" w:name="_Toc8069097"/>
      <w:bookmarkStart w:id="34" w:name="_Toc8105971"/>
      <w:bookmarkStart w:id="35" w:name="_Toc8117813"/>
      <w:bookmarkStart w:id="36" w:name="_Toc8122460"/>
      <w:bookmarkStart w:id="37" w:name="_Toc8142911"/>
      <w:bookmarkStart w:id="38" w:name="_Toc8160672"/>
      <w:bookmarkStart w:id="39" w:name="_Toc8209156"/>
      <w:bookmarkStart w:id="40" w:name="_Toc8209294"/>
      <w:bookmarkStart w:id="41" w:name="_Toc8246317"/>
      <w:bookmarkStart w:id="42" w:name="_Toc15849552"/>
      <w:bookmarkStart w:id="43" w:name="_Toc20429186"/>
      <w:bookmarkStart w:id="44" w:name="_Toc20468133"/>
      <w:bookmarkStart w:id="45" w:name="_Toc524638689"/>
      <w:bookmarkStart w:id="46" w:name="_Toc523760816"/>
      <w:bookmarkStart w:id="47" w:name="_Toc523697879"/>
      <w:bookmarkStart w:id="48" w:name="_Toc523490273"/>
      <w:bookmarkStart w:id="49" w:name="_Toc523397169"/>
    </w:p>
    <w:p w:rsidR="004F247F" w:rsidRPr="0061156C" w:rsidRDefault="004F247F" w:rsidP="004F247F">
      <w:pPr>
        <w:ind w:left="0"/>
        <w:jc w:val="center"/>
        <w:rPr>
          <w:rFonts w:cs="Guttman Hodes"/>
          <w:sz w:val="32"/>
          <w:szCs w:val="32"/>
        </w:rPr>
      </w:pPr>
    </w:p>
    <w:p w:rsidR="004F247F" w:rsidRPr="0061156C" w:rsidRDefault="004F247F" w:rsidP="004F247F">
      <w:pPr>
        <w:ind w:left="0"/>
        <w:jc w:val="center"/>
        <w:rPr>
          <w:rFonts w:cs="Guttman Hodes"/>
          <w:sz w:val="32"/>
          <w:szCs w:val="32"/>
          <w:rtl/>
        </w:rPr>
      </w:pPr>
    </w:p>
    <w:p w:rsidR="004F247F" w:rsidRPr="0061156C" w:rsidRDefault="00506179" w:rsidP="004F247F">
      <w:pPr>
        <w:ind w:left="0"/>
        <w:jc w:val="center"/>
        <w:rPr>
          <w:rFonts w:cs="Guttman Hodes"/>
          <w:sz w:val="32"/>
          <w:szCs w:val="32"/>
          <w:rtl/>
        </w:rPr>
      </w:pPr>
      <w:r>
        <w:rPr>
          <w:noProof/>
        </w:rPr>
        <mc:AlternateContent>
          <mc:Choice Requires="wps">
            <w:drawing>
              <wp:anchor distT="0" distB="0" distL="114300" distR="114300" simplePos="0" relativeHeight="251677696" behindDoc="1" locked="0" layoutInCell="1" allowOverlap="1" wp14:anchorId="6D6A7001" wp14:editId="2757BE37">
                <wp:simplePos x="0" y="0"/>
                <wp:positionH relativeFrom="margin">
                  <wp:align>left</wp:align>
                </wp:positionH>
                <wp:positionV relativeFrom="paragraph">
                  <wp:posOffset>60325</wp:posOffset>
                </wp:positionV>
                <wp:extent cx="6686550" cy="2950234"/>
                <wp:effectExtent l="19050" t="19050" r="19050" b="21590"/>
                <wp:wrapNone/>
                <wp:docPr id="14" name="מלבן מעוגל 14"/>
                <wp:cNvGraphicFramePr/>
                <a:graphic xmlns:a="http://schemas.openxmlformats.org/drawingml/2006/main">
                  <a:graphicData uri="http://schemas.microsoft.com/office/word/2010/wordprocessingShape">
                    <wps:wsp>
                      <wps:cNvSpPr/>
                      <wps:spPr>
                        <a:xfrm>
                          <a:off x="0" y="0"/>
                          <a:ext cx="6686550" cy="2950234"/>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651E3B" w:rsidRDefault="00651E3B" w:rsidP="004F247F">
                            <w:pPr>
                              <w:ind w:left="0"/>
                              <w:jc w:val="center"/>
                              <w:rPr>
                                <w:rFonts w:cs="Guttman Hodes"/>
                                <w:sz w:val="32"/>
                                <w:szCs w:val="32"/>
                              </w:rPr>
                            </w:pPr>
                          </w:p>
                          <w:p w:rsidR="00651E3B" w:rsidRDefault="00651E3B" w:rsidP="004F247F">
                            <w:pPr>
                              <w:ind w:left="0"/>
                              <w:jc w:val="center"/>
                              <w:rPr>
                                <w:rFonts w:cs="Guttman Hodes"/>
                                <w:sz w:val="32"/>
                                <w:szCs w:val="32"/>
                                <w:rtl/>
                              </w:rPr>
                            </w:pPr>
                          </w:p>
                          <w:p w:rsidR="00651E3B" w:rsidRDefault="00651E3B" w:rsidP="004F247F">
                            <w:pPr>
                              <w:ind w:left="0"/>
                              <w:jc w:val="center"/>
                              <w:rPr>
                                <w:rFonts w:cs="Guttman Hodes"/>
                                <w:sz w:val="32"/>
                                <w:szCs w:val="32"/>
                                <w:rtl/>
                              </w:rPr>
                            </w:pPr>
                          </w:p>
                          <w:p w:rsidR="00651E3B" w:rsidRDefault="00651E3B" w:rsidP="004F247F">
                            <w:pPr>
                              <w:pStyle w:val="a8"/>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rsidR="00651E3B" w:rsidRDefault="00651E3B" w:rsidP="004F247F">
                            <w:pPr>
                              <w:ind w:left="0"/>
                              <w:jc w:val="center"/>
                              <w:rPr>
                                <w:rFonts w:cs="Guttman Hodes"/>
                                <w:b/>
                                <w:bCs/>
                                <w:sz w:val="44"/>
                                <w:szCs w:val="44"/>
                                <w:rtl/>
                              </w:rPr>
                            </w:pPr>
                          </w:p>
                          <w:p w:rsidR="00651E3B" w:rsidRDefault="00651E3B" w:rsidP="004F247F">
                            <w:pPr>
                              <w:ind w:left="0"/>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6A7001" id="מלבן מעוגל 14" o:spid="_x0000_s1031" style="position:absolute;left:0;text-align:left;margin-left:0;margin-top:4.75pt;width:526.5pt;height:232.3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" filled="f" strokecolor="black [3213]" strokeweight="2.5pt">
                <v:stroke linestyle="thickBetweenThin" endcap="round"/>
                <v:textbox>
                  <w:txbxContent>
                    <w:p w:rsidR="00651E3B" w:rsidRDefault="00651E3B" w:rsidP="004F247F">
                      <w:pPr>
                        <w:ind w:left="0"/>
                        <w:jc w:val="center"/>
                        <w:rPr>
                          <w:rFonts w:cs="Guttman Hodes"/>
                          <w:sz w:val="32"/>
                          <w:szCs w:val="32"/>
                        </w:rPr>
                      </w:pPr>
                    </w:p>
                    <w:p w:rsidR="00651E3B" w:rsidRDefault="00651E3B" w:rsidP="004F247F">
                      <w:pPr>
                        <w:ind w:left="0"/>
                        <w:jc w:val="center"/>
                        <w:rPr>
                          <w:rFonts w:cs="Guttman Hodes"/>
                          <w:sz w:val="32"/>
                          <w:szCs w:val="32"/>
                          <w:rtl/>
                        </w:rPr>
                      </w:pPr>
                    </w:p>
                    <w:p w:rsidR="00651E3B" w:rsidRDefault="00651E3B" w:rsidP="004F247F">
                      <w:pPr>
                        <w:ind w:left="0"/>
                        <w:jc w:val="center"/>
                        <w:rPr>
                          <w:rFonts w:cs="Guttman Hodes"/>
                          <w:sz w:val="32"/>
                          <w:szCs w:val="32"/>
                          <w:rtl/>
                        </w:rPr>
                      </w:pPr>
                    </w:p>
                    <w:p w:rsidR="00651E3B" w:rsidRDefault="00651E3B" w:rsidP="004F247F">
                      <w:pPr>
                        <w:pStyle w:val="a8"/>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rsidR="00651E3B" w:rsidRDefault="00651E3B" w:rsidP="004F247F">
                      <w:pPr>
                        <w:ind w:left="0"/>
                        <w:jc w:val="center"/>
                        <w:rPr>
                          <w:rFonts w:cs="Guttman Hodes"/>
                          <w:b/>
                          <w:bCs/>
                          <w:sz w:val="44"/>
                          <w:szCs w:val="44"/>
                          <w:rtl/>
                        </w:rPr>
                      </w:pPr>
                    </w:p>
                    <w:p w:rsidR="00651E3B" w:rsidRDefault="00651E3B" w:rsidP="004F247F">
                      <w:pPr>
                        <w:ind w:left="0"/>
                      </w:pPr>
                    </w:p>
                  </w:txbxContent>
                </v:textbox>
                <w10:wrap anchorx="margin"/>
              </v:roundrect>
            </w:pict>
          </mc:Fallback>
        </mc:AlternateContent>
      </w:r>
    </w:p>
    <w:p w:rsidR="004F247F" w:rsidRPr="0061156C" w:rsidRDefault="004F247F" w:rsidP="004F247F">
      <w:pPr>
        <w:ind w:left="0"/>
        <w:jc w:val="center"/>
        <w:rPr>
          <w:rFonts w:cs="Guttman Hodes"/>
          <w:b/>
          <w:bCs/>
          <w:sz w:val="44"/>
          <w:szCs w:val="44"/>
          <w:rtl/>
        </w:rPr>
      </w:pPr>
      <w:r w:rsidRPr="004F247F">
        <w:rPr>
          <w:rFonts w:cs="Guttman Hodes"/>
          <w:b/>
          <w:bCs/>
          <w:sz w:val="96"/>
          <w:szCs w:val="96"/>
          <w:rtl/>
        </w:rPr>
        <w:t>בענייני ביטול בשישים במסכת חולין</w:t>
      </w:r>
    </w:p>
    <w:p w:rsidR="004F247F" w:rsidRDefault="004F247F" w:rsidP="005B1A17">
      <w:pPr>
        <w:pStyle w:val="afc"/>
        <w:rPr>
          <w:rtl/>
        </w:rPr>
        <w:sectPr w:rsidR="004F247F" w:rsidSect="005C335A">
          <w:pgSz w:w="11906" w:h="16838"/>
          <w:pgMar w:top="720" w:right="720" w:bottom="720" w:left="720" w:header="283" w:footer="283" w:gutter="0"/>
          <w:cols w:space="113"/>
          <w:bidi/>
          <w:rtlGutter/>
          <w:docGrid w:linePitch="299"/>
        </w:sectPr>
      </w:pPr>
    </w:p>
    <w:p w:rsidR="004F247F" w:rsidRDefault="004F247F" w:rsidP="005B1A17">
      <w:pPr>
        <w:pStyle w:val="afc"/>
        <w:rPr>
          <w:rtl/>
        </w:rPr>
        <w:sectPr w:rsidR="004F247F" w:rsidSect="004905DF">
          <w:headerReference w:type="default" r:id="rId19"/>
          <w:footerReference w:type="default" r:id="rId20"/>
          <w:headerReference w:type="first" r:id="rId21"/>
          <w:footerReference w:type="first" r:id="rId22"/>
          <w:pgSz w:w="11906" w:h="16838"/>
          <w:pgMar w:top="720" w:right="720" w:bottom="720" w:left="720" w:header="283" w:footer="283" w:gutter="0"/>
          <w:pgNumType w:start="1"/>
          <w:cols w:space="113"/>
          <w:bidi/>
          <w:rtlGutter/>
          <w:docGrid w:linePitch="299"/>
        </w:sectPr>
      </w:pPr>
    </w:p>
    <w:p w:rsidR="008442F8" w:rsidRPr="0050146A" w:rsidRDefault="008442F8" w:rsidP="005B1A17">
      <w:pPr>
        <w:pStyle w:val="afc"/>
        <w:rPr>
          <w:rtl/>
        </w:rPr>
      </w:pPr>
      <w:r w:rsidRPr="0050146A">
        <w:rPr>
          <w:rFonts w:hint="cs"/>
          <w:rtl/>
        </w:rPr>
        <w:lastRenderedPageBreak/>
        <w:t>סימן</w:t>
      </w:r>
      <w:bookmarkEnd w:id="3"/>
      <w:bookmarkEnd w:id="4"/>
      <w:r w:rsidRPr="0050146A">
        <w:rPr>
          <w:rFonts w:hint="cs"/>
          <w:rtl/>
        </w:rPr>
        <w:t xml:space="preserve"> </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50146A">
        <w:rPr>
          <w:rFonts w:hint="cs"/>
          <w:rtl/>
        </w:rPr>
        <w:t>א'</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442F8" w:rsidRPr="0050146A" w:rsidRDefault="00715158" w:rsidP="005B1A17">
      <w:pPr>
        <w:pStyle w:val="afc"/>
        <w:rPr>
          <w:rtl/>
        </w:rPr>
      </w:pPr>
      <w:bookmarkStart w:id="50" w:name="_Toc8069026"/>
      <w:bookmarkStart w:id="51" w:name="_Toc8069098"/>
      <w:bookmarkStart w:id="52" w:name="_Toc8105972"/>
      <w:bookmarkStart w:id="53" w:name="_Toc8117814"/>
      <w:bookmarkStart w:id="54" w:name="_Toc8122461"/>
      <w:bookmarkStart w:id="55" w:name="_Toc8142912"/>
      <w:bookmarkStart w:id="56" w:name="_Toc8160673"/>
      <w:bookmarkStart w:id="57" w:name="_Toc8209157"/>
      <w:bookmarkStart w:id="58" w:name="_Toc8209295"/>
      <w:bookmarkStart w:id="59" w:name="_Toc8246318"/>
      <w:bookmarkStart w:id="60" w:name="_Toc14425900"/>
      <w:bookmarkStart w:id="61" w:name="_Toc15849553"/>
      <w:bookmarkStart w:id="62" w:name="_Toc20429187"/>
      <w:bookmarkStart w:id="63" w:name="_Toc20468134"/>
      <w:r>
        <w:rPr>
          <w:rFonts w:hint="cs"/>
          <w:rtl/>
        </w:rPr>
        <w:t>סוגית</w:t>
      </w:r>
      <w:r w:rsidR="008442F8" w:rsidRPr="0050146A">
        <w:rPr>
          <w:rFonts w:hint="cs"/>
          <w:rtl/>
        </w:rPr>
        <w:t xml:space="preserve"> דירך שנתבשל בה גיד</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8442F8" w:rsidRPr="0050146A" w:rsidRDefault="008442F8" w:rsidP="005B1A17">
      <w:pPr>
        <w:pStyle w:val="afc"/>
        <w:rPr>
          <w:rtl/>
        </w:rPr>
      </w:pPr>
      <w:bookmarkStart w:id="64" w:name="_Toc8160674"/>
      <w:bookmarkStart w:id="65" w:name="_Toc8209158"/>
      <w:bookmarkStart w:id="66" w:name="_Toc8209296"/>
      <w:bookmarkStart w:id="67" w:name="_Toc8246319"/>
      <w:bookmarkStart w:id="68" w:name="_Toc14425901"/>
      <w:bookmarkStart w:id="69" w:name="_Toc20429188"/>
      <w:bookmarkStart w:id="70" w:name="_Toc20468135"/>
      <w:r w:rsidRPr="0050146A">
        <w:rPr>
          <w:rFonts w:hint="cs"/>
          <w:rtl/>
        </w:rPr>
        <w:t>בשיעור בשר בלפת ובחתיכה שמקצתה ברוטב ובאיסור דבוק ובגיד שנצלה בירך</w:t>
      </w:r>
      <w:bookmarkEnd w:id="64"/>
      <w:bookmarkEnd w:id="65"/>
      <w:bookmarkEnd w:id="66"/>
      <w:bookmarkEnd w:id="67"/>
      <w:bookmarkEnd w:id="68"/>
      <w:bookmarkEnd w:id="69"/>
      <w:bookmarkEnd w:id="70"/>
      <w:r w:rsidRPr="0050146A">
        <w:rPr>
          <w:rFonts w:hint="cs"/>
          <w:rtl/>
        </w:rPr>
        <w:t xml:space="preserve"> </w:t>
      </w:r>
    </w:p>
    <w:p w:rsidR="008442F8" w:rsidRPr="0050146A" w:rsidRDefault="002916D7" w:rsidP="00C668F1">
      <w:pPr>
        <w:pStyle w:val="2"/>
        <w:keepNext w:val="0"/>
        <w:keepLines w:val="0"/>
        <w:rPr>
          <w:rtl/>
        </w:rPr>
      </w:pPr>
      <w:r>
        <w:rPr>
          <w:rtl/>
        </w:rPr>
        <w:t>מפתח הסוגיא</w:t>
      </w:r>
    </w:p>
    <w:p w:rsidR="00C668F1" w:rsidRPr="0050146A" w:rsidRDefault="00C668F1" w:rsidP="00C668F1">
      <w:pPr>
        <w:keepNext/>
        <w:keepLines/>
        <w:ind w:left="0"/>
        <w:jc w:val="center"/>
        <w:outlineLvl w:val="1"/>
        <w:rPr>
          <w:rFonts w:ascii="Guttman Adii-Light" w:eastAsia="Guttman Adii-Light" w:hAnsi="Guttman Adii-Light" w:cs="Guttman Adii-Light"/>
          <w:noProof/>
          <w:sz w:val="24"/>
          <w:szCs w:val="24"/>
          <w:rtl/>
        </w:rPr>
        <w:sectPr w:rsidR="00C668F1" w:rsidRPr="0050146A" w:rsidSect="004905DF">
          <w:headerReference w:type="default" r:id="rId23"/>
          <w:footerReference w:type="default" r:id="rId24"/>
          <w:pgSz w:w="11906" w:h="16838"/>
          <w:pgMar w:top="720" w:right="720" w:bottom="720" w:left="720" w:header="283" w:footer="283" w:gutter="0"/>
          <w:pgNumType w:start="1"/>
          <w:cols w:space="113"/>
          <w:bidi/>
          <w:rtlGutter/>
          <w:docGrid w:linePitch="299"/>
        </w:sectPr>
      </w:pP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מראי מקומות וביאורים</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בשיעורי בשר בלפת ובצל בקפלוט</w:t>
      </w:r>
    </w:p>
    <w:p w:rsidR="00C668F1" w:rsidRPr="0050146A" w:rsidRDefault="00C668F1" w:rsidP="00C668F1">
      <w:pPr>
        <w:spacing w:after="120" w:line="240" w:lineRule="auto"/>
        <w:ind w:left="0"/>
        <w:jc w:val="center"/>
        <w:outlineLvl w:val="2"/>
        <w:rPr>
          <w:rFonts w:ascii="Guttman Hodes" w:eastAsia="Guttman Hodes" w:hAnsi="Guttman Hodes" w:cs="Guttman Hodes"/>
          <w:b/>
          <w:bCs/>
          <w:sz w:val="18"/>
          <w:szCs w:val="18"/>
          <w:rtl/>
        </w:rPr>
      </w:pPr>
      <w:r w:rsidRPr="0050146A">
        <w:rPr>
          <w:rFonts w:ascii="Guttman Hodes" w:eastAsia="Guttman Hodes" w:hAnsi="Guttman Hodes" w:cs="Guttman Hodes"/>
          <w:b/>
          <w:bCs/>
          <w:noProof/>
          <w:sz w:val="18"/>
          <w:szCs w:val="18"/>
          <w:rtl/>
        </w:rPr>
        <w:t>דברי ר</w:t>
      </w:r>
      <w:r w:rsidRPr="0050146A">
        <w:rPr>
          <w:rFonts w:ascii="Guttman Hodes" w:eastAsia="Guttman Hodes" w:hAnsi="Guttman Hodes" w:cs="Guttman Hodes"/>
          <w:b/>
          <w:bCs/>
          <w:sz w:val="18"/>
          <w:szCs w:val="18"/>
          <w:rtl/>
        </w:rPr>
        <w:t>ש"י בשיעור בשר בלפת</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דהשיעור בגיד בירך דאם הגיד היה בשר והיה נותן טעם בלפת בשיעור הירך אסור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דהשיעור הוא מהלמ"מ וגמירי דהשיעור הוא דוקא בבשר בלפת</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הנימוק"י ורבינו יהונתן דא"א לשער טעם הגיד בבשר וגמירי דשיעורו מהלמ"מ דשיעורין</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לעיל בביאור מתני' דגיד בירך דרבנן שיערו בשישים בכל נותן טעם סתם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דבגיד בין הגידים שהוא מין במינו שיעורו בנותן טעם דהוא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לקמן דמשערים בראש הלפת דטעם הבשר ניכר בו רק בשיעור גמור</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פלוגתת האחרונים בדעת רש"י אי בשר ולפת הוא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w:t>
      </w:r>
      <w:r w:rsidR="00250230">
        <w:rPr>
          <w:rFonts w:ascii="Guttman Hodes" w:eastAsia="Guttman Hodes" w:hAnsi="Guttman Hodes" w:cs="Guttman Hodes"/>
          <w:noProof/>
          <w:sz w:val="12"/>
          <w:szCs w:val="12"/>
          <w:rtl/>
        </w:rPr>
        <w:t>פלתי</w:t>
      </w:r>
      <w:r w:rsidRPr="0050146A">
        <w:rPr>
          <w:rFonts w:ascii="Guttman Hodes" w:eastAsia="Guttman Hodes" w:hAnsi="Guttman Hodes" w:cs="Guttman Hodes"/>
          <w:noProof/>
          <w:sz w:val="12"/>
          <w:szCs w:val="12"/>
          <w:rtl/>
        </w:rPr>
        <w:t xml:space="preserve"> דברש"י לעיל מבואר דשיעור בשר בלפת הוא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המלא הרועים ברש"י דשיעור בשר בלפת הוא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התפארת יעקב ברש"י דשיעור בשר בלפת אינו שיעור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התפארת יעקב דאף דברש"י לעיל משמע דהוא שיעור שישים צ"ל דאי"ז כוונתו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ביאורי התפארת יעקב ברש"י בנתינת הטעם בגיד בירך ובבשר בלפת</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היד יהודה ברש"י דשיעור בשר בלפת אינו שישים דרק בשר בשיעור גדול מורגש בראש הלפת</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רש"י לקמן בשיעור בצל וקפלוט</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דדברי ריו"ח דמשערים בבצל בקפלוט הוא בשאר איסורים ולא בגיד ב</w:t>
      </w:r>
      <w:r w:rsidRPr="0050146A">
        <w:rPr>
          <w:rFonts w:ascii="Guttman Hodes" w:eastAsia="Guttman Hodes" w:hAnsi="Guttman Hodes" w:cs="Guttman Hodes" w:hint="cs"/>
          <w:noProof/>
          <w:sz w:val="12"/>
          <w:szCs w:val="12"/>
          <w:rtl/>
        </w:rPr>
        <w:t>ירך</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לקמן דדברי ריו"ח הם לפני שנפסק דמשערים בשישים</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התוס' דלר"נ בשר בלפת הוא שישים ולא קיי"ל כריו"ח</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דגיד שאינו נותן טעם כ"כ שיעורו בבשר ולפת ושאר איסורים בבצל וקפלוט</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דבר"נ מבואר דבשר בלפת היינו שישים ולרבא שאר איסורין בשישים ודלא כריו"ח</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הבית מאיר דאי בשר בלפת הוא שישים אמאי חילקה מתני' בין גיד בירך לסיפא</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הבית מאיר דאפש"ל דאף לר"נ שיעור גיד אינו כשאר איסורין ולכו"ע גיד אינו בשישים</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רבינו גרשום והרא"ה והר"ן דבשר בלפת הוא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הר"ן והרא"ה דשיעור בשר בלפת הוא שיעור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הר"ן לקמן דכיון דבצל בקפלוט נותן טעם בשישים החמירו רבנן בשישים בכל הטעמים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הגרעק"א והיד יהודה על הר"ן דא"א לומר דשיעור בצל בקפלוט הוא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רבינו גרשום דמשערים בבשר ולפת ואם יש בזה שיעור שישים מותר ובפחות משישים אסור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רבינו גרשום לקמן דבצל בקפלוט נותנים טעם עד שישים ואין נתינת טעם ביותר משישים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הרי"ד דבשר בלפת לאו דוקא וה"ה לכרוב או קפלוט והיינו שיעור שישים</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המאירי דבשר בלפת הוא פחות משישים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המאירי דכיון דטעם הגיד אינו ניכר כ"כ בבשר לכן שיעורו בבשר בלפת שהוא פחות משישים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המאירי דלהלכה השיעור אינו בבשר בלפת או בצל וקפלוט אלא בשישים דבטל בו הטעם</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הרמב"ם בפיהמ"ש דבשר בלפת היינו בטעם המורגש</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הרמב"ם בפיהמ"ש דשיעור בשר בלפת היינו שמורגש טעם הבשר בלפת יותר משאר צמחים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התפארת יעקב דהיאך אפש"ל דשייך להרגיש את טעם הגיד בבשר הא אין בו בנו"ט</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ביאור הראש יוסף בפיהמ"ש דבשר בלפת הוא בנו"ט ולא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הראש יוסף ברמב"ם בפיהמ"ש דבשר בלפת היינו נתינת טעם ממש ולא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הראש יוסף דמשמעות מתני' דבגיד בירך צריך טעם שמורגש ממש ובסיפא בשישים</w:t>
      </w:r>
    </w:p>
    <w:p w:rsidR="00C668F1" w:rsidRPr="0050146A" w:rsidRDefault="00C668F1" w:rsidP="00C668F1">
      <w:pPr>
        <w:numPr>
          <w:ilvl w:val="0"/>
          <w:numId w:val="3"/>
        </w:numPr>
        <w:jc w:val="left"/>
        <w:rPr>
          <w:rFonts w:ascii="Guttman Hodes" w:eastAsiaTheme="minorEastAsia" w:hAnsi="Guttman Hodes"/>
          <w:noProof/>
        </w:rPr>
      </w:pPr>
      <w:r w:rsidRPr="0050146A">
        <w:rPr>
          <w:rFonts w:ascii="Guttman Hodes" w:eastAsia="Guttman Hodes" w:hAnsi="Guttman Hodes" w:cs="Guttman Hodes"/>
          <w:noProof/>
          <w:sz w:val="12"/>
          <w:szCs w:val="12"/>
          <w:rtl/>
        </w:rPr>
        <w:t>הביאור הב' בראש יוסף דלהרמב"ם בפיהמ"ש בשר בלפת הוא שיעור קצוב אך אינו שישים</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 xml:space="preserve">קושיות האחרונים על רש"י דשישים מהלמ"מ הא </w:t>
      </w:r>
      <w:r w:rsidRPr="0050146A">
        <w:rPr>
          <w:rFonts w:ascii="Guttman Hodes" w:eastAsia="Guttman Hodes" w:hAnsi="Guttman Hodes" w:cs="Guttman Hodes"/>
          <w:b/>
          <w:bCs/>
          <w:sz w:val="18"/>
          <w:szCs w:val="18"/>
          <w:rtl/>
        </w:rPr>
        <w:t>ט</w:t>
      </w:r>
      <w:r w:rsidRPr="0050146A">
        <w:rPr>
          <w:rFonts w:ascii="Guttman Hodes" w:eastAsia="Guttman Hodes" w:hAnsi="Guttman Hodes" w:cs="Guttman Hodes" w:hint="cs"/>
          <w:b/>
          <w:bCs/>
          <w:sz w:val="18"/>
          <w:szCs w:val="18"/>
          <w:rtl/>
        </w:rPr>
        <w:t>ע"</w:t>
      </w:r>
      <w:r w:rsidRPr="0050146A">
        <w:rPr>
          <w:rFonts w:ascii="Guttman Hodes" w:eastAsia="Guttman Hodes" w:hAnsi="Guttman Hodes" w:cs="Guttman Hodes"/>
          <w:b/>
          <w:bCs/>
          <w:sz w:val="18"/>
          <w:szCs w:val="18"/>
          <w:rtl/>
        </w:rPr>
        <w:t>כ</w:t>
      </w:r>
      <w:r w:rsidRPr="0050146A">
        <w:rPr>
          <w:rFonts w:ascii="Guttman Hodes" w:eastAsia="Guttman Hodes" w:hAnsi="Guttman Hodes" w:cs="Guttman Hodes" w:hint="cs"/>
          <w:b/>
          <w:bCs/>
          <w:noProof/>
          <w:sz w:val="18"/>
          <w:szCs w:val="18"/>
          <w:rtl/>
        </w:rPr>
        <w:t xml:space="preserve"> </w:t>
      </w:r>
      <w:r w:rsidRPr="0050146A">
        <w:rPr>
          <w:rFonts w:ascii="Guttman Hodes" w:eastAsia="Guttman Hodes" w:hAnsi="Guttman Hodes" w:cs="Guttman Hodes"/>
          <w:b/>
          <w:bCs/>
          <w:noProof/>
          <w:sz w:val="18"/>
          <w:szCs w:val="18"/>
          <w:rtl/>
        </w:rPr>
        <w:t>דרבנן</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הגרעק"א והחת"ס על רש"י דכיון דטעם כעיקר אינו מדאו' א"א לומר דבשר בלפת מהלמ"מ</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תירוץ החת"ס דההל"מ נאמרה במקום שהאיסור נימוח דבזה אף לרש"י טעם כעיקר מדאו'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ת</w:t>
      </w:r>
      <w:r w:rsidRPr="0050146A">
        <w:rPr>
          <w:rFonts w:ascii="Guttman Hodes" w:eastAsia="Guttman Hodes" w:hAnsi="Guttman Hodes" w:cs="Guttman Hodes" w:hint="cs"/>
          <w:noProof/>
          <w:sz w:val="12"/>
          <w:szCs w:val="12"/>
          <w:rtl/>
        </w:rPr>
        <w:t>י</w:t>
      </w:r>
      <w:r w:rsidRPr="0050146A">
        <w:rPr>
          <w:rFonts w:ascii="Guttman Hodes" w:eastAsia="Guttman Hodes" w:hAnsi="Guttman Hodes" w:cs="Guttman Hodes"/>
          <w:noProof/>
          <w:sz w:val="12"/>
          <w:szCs w:val="12"/>
          <w:rtl/>
        </w:rPr>
        <w:t>רוץ ה</w:t>
      </w:r>
      <w:r w:rsidR="00250230">
        <w:rPr>
          <w:rFonts w:ascii="Guttman Hodes" w:eastAsia="Guttman Hodes" w:hAnsi="Guttman Hodes" w:cs="Guttman Hodes"/>
          <w:noProof/>
          <w:sz w:val="12"/>
          <w:szCs w:val="12"/>
          <w:rtl/>
        </w:rPr>
        <w:t>פלתי</w:t>
      </w:r>
      <w:r w:rsidRPr="0050146A">
        <w:rPr>
          <w:rFonts w:ascii="Guttman Hodes" w:eastAsia="Guttman Hodes" w:hAnsi="Guttman Hodes" w:cs="Guttman Hodes"/>
          <w:noProof/>
          <w:sz w:val="12"/>
          <w:szCs w:val="12"/>
          <w:rtl/>
        </w:rPr>
        <w:t xml:space="preserve"> והחת"ס דההל"מ נאמרה לענין קדשים ובשר וחלב דטעם כעיקר מדאו'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הגרעק"א על רש"י דאמאי משערים בבשר ולא בגיד עצמו כמה טעם  נותן בלפת</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החזו"א על רש"י דבגמ' לקמן מבואר דשישים הוא מדרבנן והאיך אפש"ל דהוא הלמ"מ</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ירך בגיד מין במינו או מין בשאינו מינו</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הסוברים דגיד בירך הוא מין במינו ואין הטעם ניכר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הראב"ד והגרעק"א והפר"ח דגיד בירך הוא מין במינו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המאירי והרי"ד דכיון שטעם הגיד כטעם הבשר ואין הטעם מורגש שיעור בבשר בלפת</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w:t>
      </w:r>
      <w:r w:rsidR="00250230">
        <w:rPr>
          <w:rFonts w:ascii="Guttman Hodes" w:eastAsia="Guttman Hodes" w:hAnsi="Guttman Hodes" w:cs="Guttman Hodes"/>
          <w:noProof/>
          <w:sz w:val="12"/>
          <w:szCs w:val="12"/>
          <w:rtl/>
        </w:rPr>
        <w:t>פלתי</w:t>
      </w:r>
      <w:r w:rsidRPr="0050146A">
        <w:rPr>
          <w:rFonts w:ascii="Guttman Hodes" w:eastAsia="Guttman Hodes" w:hAnsi="Guttman Hodes" w:cs="Guttman Hodes"/>
          <w:noProof/>
          <w:sz w:val="12"/>
          <w:szCs w:val="12"/>
          <w:rtl/>
        </w:rPr>
        <w:t xml:space="preserve"> והראש יוסף דא"א להוכיח מדברי התוס' לקמן דבגיד בירך הטעם ניכר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w:t>
      </w:r>
      <w:r w:rsidR="00250230">
        <w:rPr>
          <w:rFonts w:ascii="Guttman Hodes" w:eastAsia="Guttman Hodes" w:hAnsi="Guttman Hodes" w:cs="Guttman Hodes"/>
          <w:noProof/>
          <w:sz w:val="12"/>
          <w:szCs w:val="12"/>
          <w:rtl/>
        </w:rPr>
        <w:t>פלתי</w:t>
      </w:r>
      <w:r w:rsidRPr="0050146A">
        <w:rPr>
          <w:rFonts w:ascii="Guttman Hodes" w:eastAsia="Guttman Hodes" w:hAnsi="Guttman Hodes" w:cs="Guttman Hodes"/>
          <w:noProof/>
          <w:sz w:val="12"/>
          <w:szCs w:val="12"/>
          <w:rtl/>
        </w:rPr>
        <w:t xml:space="preserve"> והמהר"ם שיף דברש"י לעיל מוכח דהוי מין במינו</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הסוברים דגיד בירך הטעם ניכר והוי מין בשאינו מינו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הראש יוסף דברמב"ם בפיהמ"ש מוכח דטעם הגיד מורגש בירך</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הכנה"ג ברש"י דגיד בירך הוי מין בשאינו מינו ודברי הפרי תאר דאין בו טעם ואינו מין הבשר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w:t>
      </w:r>
      <w:r w:rsidR="00250230">
        <w:rPr>
          <w:rFonts w:ascii="Guttman Hodes" w:eastAsia="Guttman Hodes" w:hAnsi="Guttman Hodes" w:cs="Guttman Hodes"/>
          <w:noProof/>
          <w:sz w:val="12"/>
          <w:szCs w:val="12"/>
          <w:rtl/>
        </w:rPr>
        <w:t>פלתי</w:t>
      </w:r>
      <w:r w:rsidRPr="0050146A">
        <w:rPr>
          <w:rFonts w:ascii="Guttman Hodes" w:eastAsia="Guttman Hodes" w:hAnsi="Guttman Hodes" w:cs="Guttman Hodes"/>
          <w:noProof/>
          <w:sz w:val="12"/>
          <w:szCs w:val="12"/>
          <w:rtl/>
        </w:rPr>
        <w:t xml:space="preserve"> והחוו"ד דמדכתב רש"י דהשיעור מהלמ"מ מוכח דהוי מין בשאינו מינו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דחיית ה</w:t>
      </w:r>
      <w:r w:rsidR="00250230">
        <w:rPr>
          <w:rFonts w:ascii="Guttman Hodes" w:eastAsia="Guttman Hodes" w:hAnsi="Guttman Hodes" w:cs="Guttman Hodes"/>
          <w:noProof/>
          <w:sz w:val="12"/>
          <w:szCs w:val="12"/>
          <w:rtl/>
        </w:rPr>
        <w:t>פלתי</w:t>
      </w:r>
      <w:r w:rsidRPr="0050146A">
        <w:rPr>
          <w:rFonts w:ascii="Guttman Hodes" w:eastAsia="Guttman Hodes" w:hAnsi="Guttman Hodes" w:cs="Guttman Hodes"/>
          <w:noProof/>
          <w:sz w:val="12"/>
          <w:szCs w:val="12"/>
          <w:rtl/>
        </w:rPr>
        <w:t xml:space="preserve"> דאפש"ל דההלכה נאמרה בשאר מינים ולא רק בגיד</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בדין חנ"נ בכדי קליפה שסביב הגיד</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פלוגתת התוס' ורבינו אפרים אם בגיד יש חנ"נ בכדי קליפה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דשיעור נתינת הטעם הוא של הגיד והכדי קליפה שסביבו שנאסר בשעת המליחה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דלרבינו אפרים דדין חנ"נ הוא רק בבשר וחלב מבוארת מתני' דמשערים רק בגיד</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הר"א ממי"ץ דאין חנ"נ בחצי חתיכה ובכדי קליפה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בשם הר"א ממי"ץ דאין דין חנ"נ במקצת חתיכה ואין הכדי קליפה נעשה חנ"נ</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הר"א ממי"ץ ביראים דדין חנ"נ הוא גזירה רק בחתיכה שיש בכולה שם איסור אטו נבילה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 ממי"ץ ביראים דמהא דהכדי קליפה אינו אוסר הכל מוכח דאין חנ"נ בחצי חתיכה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דחיית התוס' דאף דכדי קליפה נעשה חנ"נ מ"מ האיסור אינו עובר יותר מכדי קליפה ואינו אוסר הכל</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בעיקר דין חנ"נ</w:t>
      </w:r>
    </w:p>
    <w:p w:rsidR="00C668F1" w:rsidRPr="0050146A" w:rsidRDefault="00C668F1" w:rsidP="00C668F1">
      <w:pPr>
        <w:spacing w:after="120" w:line="240" w:lineRule="auto"/>
        <w:ind w:left="0"/>
        <w:jc w:val="center"/>
        <w:outlineLvl w:val="2"/>
        <w:rPr>
          <w:rFonts w:ascii="Guttman Hodes" w:eastAsiaTheme="minorEastAsia" w:hAnsi="Guttman Hodes"/>
          <w:b/>
          <w:bCs/>
        </w:rPr>
      </w:pPr>
      <w:r w:rsidRPr="0050146A">
        <w:rPr>
          <w:rFonts w:ascii="Guttman Hodes" w:eastAsia="Guttman Hodes" w:hAnsi="Guttman Hodes" w:cs="Guttman Hodes"/>
          <w:b/>
          <w:bCs/>
          <w:sz w:val="18"/>
          <w:szCs w:val="18"/>
          <w:rtl/>
        </w:rPr>
        <w:t>דעת ר"ת דדין חנ"נ הוא בכל נתינת טעם במין בשאינו מינו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לקמן דכשנאסרה החתיכה ע"י שקיבלה טעם מהאיסור היא אוסרת את שאר החתיכות</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התוס' לקמן דאף בפחות משישים החתיכה אוסרת דמין במינו אוסר במשהו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דעת ר"ת דרק חתיכה שקיבלה טעם מהאיסור יש לה דין חנ"נ אבל בנאסרה במשהו אין בה חנ"נ</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רבינו אפרים דדין חנ"נ הוא רק בבשר וחלב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רבינו אפרים דרק הטעם שבחתיכה אוסר ובמין במינו לעולם יש משהו טעם שאוסר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רבינו אפרים דבמין במינו שנאסר במשהו אם סילק את האיסור דאינו בעין אין דין חנ"נ</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רבינו אפרים דדין חנ"נ הוא רק בבשר בחלב דהכל נעשה איסור והאיסור נמצא בעין</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הר"ן דבשאר איסורים חנ"נ הוא מדרבנן ורק בדרך בישול</w:t>
      </w:r>
    </w:p>
    <w:p w:rsidR="00C668F1" w:rsidRPr="0050146A" w:rsidRDefault="00C668F1" w:rsidP="00C668F1">
      <w:pPr>
        <w:numPr>
          <w:ilvl w:val="0"/>
          <w:numId w:val="3"/>
        </w:numPr>
        <w:jc w:val="left"/>
        <w:rPr>
          <w:rFonts w:ascii="Guttman Hodes" w:eastAsiaTheme="minorEastAsia" w:hAnsi="Guttman Hodes"/>
          <w:noProof/>
        </w:rPr>
      </w:pPr>
      <w:r w:rsidRPr="0050146A">
        <w:rPr>
          <w:rFonts w:ascii="Guttman Hodes" w:eastAsia="Guttman Hodes" w:hAnsi="Guttman Hodes" w:cs="Guttman Hodes"/>
          <w:noProof/>
          <w:sz w:val="12"/>
          <w:szCs w:val="12"/>
          <w:rtl/>
        </w:rPr>
        <w:t>דברי הר"ן דבבשר וחלב יש חנ"נ מדאו</w:t>
      </w:r>
      <w:r w:rsidRPr="0050146A">
        <w:rPr>
          <w:rFonts w:ascii="Guttman Hodes" w:eastAsia="Guttman Hodes" w:hAnsi="Guttman Hodes" w:cs="Guttman Hodes" w:hint="cs"/>
          <w:noProof/>
          <w:sz w:val="12"/>
          <w:szCs w:val="12"/>
          <w:rtl/>
        </w:rPr>
        <w:t>'</w:t>
      </w:r>
      <w:r w:rsidRPr="0050146A">
        <w:rPr>
          <w:rFonts w:ascii="Guttman Hodes" w:eastAsia="Guttman Hodes" w:hAnsi="Guttman Hodes" w:cs="Guttman Hodes"/>
          <w:noProof/>
          <w:sz w:val="12"/>
          <w:szCs w:val="12"/>
          <w:rtl/>
        </w:rPr>
        <w:t xml:space="preserve"> ובשאר איסורים אסרו רבנן חנ"נ בדרך בישול אטו בשר בחלב</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בדין חנ"נ בחתיכה שמקצתה ברוטב</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התוס' בשם רש"י דבמקצתה ברוטב הרוטב אינו מצטרף</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דמבואר במתני' דהרוטב אינו מצטרף לירך לבטל את הגיד</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לקמן דבניער וכיסה דהרתיחות מוליכות את האיסור בכל הקדירה אין חנ"נ</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דמבואר ברש"י לקמן דחתיכה שמקצתה ברוטב הרוטב לא מסייע לבטל בלא ניער וכיסה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המהרש"א בתוס' דמשמע ברש"י דדוקא כשהרתיחות עולות לפי הקדירה ומכסות הכל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הב"י דמדכתב רש"י דנתנה טעם בחתיכה שבצדה תמיד משמע ד</w:t>
      </w:r>
      <w:r w:rsidRPr="0050146A">
        <w:rPr>
          <w:rFonts w:ascii="Guttman Hodes" w:eastAsia="Guttman Hodes" w:hAnsi="Guttman Hodes" w:cs="Guttman Hodes" w:hint="cs"/>
          <w:noProof/>
          <w:sz w:val="12"/>
          <w:szCs w:val="12"/>
          <w:rtl/>
        </w:rPr>
        <w:t>י</w:t>
      </w:r>
      <w:r w:rsidRPr="0050146A">
        <w:rPr>
          <w:rFonts w:ascii="Guttman Hodes" w:eastAsia="Guttman Hodes" w:hAnsi="Guttman Hodes" w:cs="Guttman Hodes"/>
          <w:noProof/>
          <w:sz w:val="12"/>
          <w:szCs w:val="12"/>
          <w:rtl/>
        </w:rPr>
        <w:t>ש חנ"נ במקצתה ברוטב</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התוס' דבמקצתה ברוטב הרוטב מצטרף לבטל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lastRenderedPageBreak/>
        <w:t>דעת ר"י בתוס' דבמקצתה ברוטב הרוטב מסייע לבטל ודין חנ"נ הוא רק בכולה מחוץ לרוטב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התוס' הרא"ש דרק כשכולה מחוץ לרוטב אין האיסור מפעפע מחתיכה לחתיכה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ר"י בתוס' דהא דגיד אוסר את הירך הוא רק כשאין בירך וברוטב שישים לבטל את הגיד</w:t>
      </w:r>
    </w:p>
    <w:p w:rsidR="00C668F1" w:rsidRPr="0050146A" w:rsidRDefault="00C668F1" w:rsidP="00C668F1">
      <w:pPr>
        <w:spacing w:after="120" w:line="240" w:lineRule="auto"/>
        <w:ind w:left="0"/>
        <w:jc w:val="center"/>
        <w:outlineLvl w:val="2"/>
        <w:rPr>
          <w:rFonts w:ascii="Guttman Hodes" w:eastAsia="Guttman Hodes" w:hAnsi="Guttman Hodes" w:cs="Guttman Hodes"/>
          <w:b/>
          <w:bCs/>
          <w:sz w:val="18"/>
          <w:szCs w:val="18"/>
          <w:rtl/>
        </w:rPr>
      </w:pPr>
      <w:r w:rsidRPr="0050146A">
        <w:rPr>
          <w:rFonts w:ascii="Guttman Hodes" w:eastAsia="Guttman Hodes" w:hAnsi="Guttman Hodes" w:cs="Guttman Hodes" w:hint="cs"/>
          <w:b/>
          <w:bCs/>
          <w:sz w:val="18"/>
          <w:szCs w:val="18"/>
          <w:rtl/>
        </w:rPr>
        <w:t>ביאורי הגרעק"א והפרמ"ג בדין הירך בכולה חוץ לרוטב</w:t>
      </w:r>
    </w:p>
    <w:p w:rsidR="00C668F1" w:rsidRPr="0050146A" w:rsidRDefault="00C668F1" w:rsidP="00C668F1">
      <w:pPr>
        <w:numPr>
          <w:ilvl w:val="0"/>
          <w:numId w:val="3"/>
        </w:numPr>
        <w:jc w:val="left"/>
        <w:rPr>
          <w:rFonts w:ascii="Guttman Hodes" w:eastAsia="Guttman Hodes" w:hAnsi="Guttman Hodes" w:cs="Guttman Hodes"/>
          <w:noProof/>
          <w:sz w:val="12"/>
          <w:szCs w:val="12"/>
          <w:rtl/>
        </w:rPr>
      </w:pPr>
      <w:r w:rsidRPr="0050146A">
        <w:rPr>
          <w:rFonts w:ascii="Guttman Hodes" w:eastAsia="Guttman Hodes" w:hAnsi="Guttman Hodes" w:cs="Guttman Hodes" w:hint="cs"/>
          <w:noProof/>
          <w:sz w:val="12"/>
          <w:szCs w:val="12"/>
          <w:rtl/>
        </w:rPr>
        <w:t>קושית הגרעק"א דאף לדעת תוס' אפשר להעמיד דבמתני' משערים רק בירך דכולה חוץ לרוטב</w:t>
      </w:r>
    </w:p>
    <w:p w:rsidR="00C668F1" w:rsidRPr="0050146A" w:rsidRDefault="00C668F1" w:rsidP="00C668F1">
      <w:pPr>
        <w:numPr>
          <w:ilvl w:val="0"/>
          <w:numId w:val="3"/>
        </w:numPr>
        <w:jc w:val="left"/>
        <w:rPr>
          <w:rFonts w:ascii="Guttman Hodes" w:eastAsia="Guttman Hodes" w:hAnsi="Guttman Hodes" w:cs="Guttman Hodes"/>
          <w:noProof/>
          <w:sz w:val="12"/>
          <w:szCs w:val="12"/>
          <w:rtl/>
        </w:rPr>
      </w:pPr>
      <w:r w:rsidRPr="0050146A">
        <w:rPr>
          <w:rFonts w:ascii="Guttman Hodes" w:eastAsia="Guttman Hodes" w:hAnsi="Guttman Hodes" w:cs="Guttman Hodes" w:hint="cs"/>
          <w:noProof/>
          <w:sz w:val="12"/>
          <w:szCs w:val="12"/>
          <w:rtl/>
        </w:rPr>
        <w:t>תירוץ הגרעק"א דבכולה חוץ לרוטב הגיד אוסר רק כדי קליפה ומוכח דמתני' איירי במקצתה ברוטב</w:t>
      </w:r>
    </w:p>
    <w:p w:rsidR="00C668F1" w:rsidRPr="0050146A" w:rsidRDefault="00C668F1" w:rsidP="00C668F1">
      <w:pPr>
        <w:numPr>
          <w:ilvl w:val="0"/>
          <w:numId w:val="3"/>
        </w:numPr>
        <w:jc w:val="left"/>
        <w:rPr>
          <w:rFonts w:ascii="Guttman Hodes" w:eastAsia="Guttman Hodes" w:hAnsi="Guttman Hodes" w:cs="Guttman Hodes"/>
          <w:noProof/>
          <w:sz w:val="12"/>
          <w:szCs w:val="12"/>
          <w:rtl/>
        </w:rPr>
      </w:pPr>
      <w:r w:rsidRPr="0050146A">
        <w:rPr>
          <w:rFonts w:ascii="Guttman Hodes" w:eastAsia="Guttman Hodes" w:hAnsi="Guttman Hodes" w:cs="Guttman Hodes" w:hint="cs"/>
          <w:noProof/>
          <w:sz w:val="12"/>
          <w:szCs w:val="12"/>
          <w:rtl/>
        </w:rPr>
        <w:t>דברי הפרמ"ג דבכולה חוץ לרוטב לרש"י אסור רק בכדי נטילה ולתוס' צ"ל דקדירה אינה כצלי</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ביאור החוו"ד ברש"י דאין כח ברוטב להוציא את טעם הגיד</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החוו"ד ברש"י דבגיד בירך מוכח דא"א לומר שרק חלק מהחתיכה בולע את האיסור</w:t>
      </w:r>
    </w:p>
    <w:p w:rsidR="00C668F1" w:rsidRPr="0050146A" w:rsidRDefault="00C668F1" w:rsidP="00C668F1">
      <w:pPr>
        <w:numPr>
          <w:ilvl w:val="0"/>
          <w:numId w:val="3"/>
        </w:numPr>
        <w:jc w:val="left"/>
        <w:rPr>
          <w:rFonts w:ascii="Guttman Hodes" w:eastAsiaTheme="minorEastAsia" w:hAnsi="Guttman Hodes"/>
          <w:noProof/>
        </w:rPr>
      </w:pPr>
      <w:r w:rsidRPr="0050146A">
        <w:rPr>
          <w:rFonts w:ascii="Guttman Hodes" w:eastAsia="Guttman Hodes" w:hAnsi="Guttman Hodes" w:cs="Guttman Hodes"/>
          <w:noProof/>
          <w:sz w:val="12"/>
          <w:szCs w:val="12"/>
          <w:rtl/>
        </w:rPr>
        <w:t>דברי החוו"ד ברש"י דכל החתיכה בולעת את האיסור אלא שאין כח ברוטב להוציא את האיסור</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בדעת רש"י כשרק גג החתיכה מחוץ לרוטב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הב"י דמשמעות דברי רש"י דכשכל החתיכה בתוך הרוטב מודה רש"י דהרוטב מצטרף</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הב"י דבסמ"ג מבואר דלרש"י אף בכולה ברוטב וגגה בחוץ אין הרוטב מצטרף</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הפר"ח דברש"י לקמן מוכח דבגגה מחוץ לרוטב חשיב כמקצתה ברוטב דיש בה חנ"נ</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הראבי"ה דלרש"י האיסור אינו מפעפע בחלק שברוטב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המרדכי בשם הראבי"ה דלרש"י האיסור אינו מפעפע לחלק שבתוך הרוטב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המרדכי בדעת הראבי"ה דס"ל כר"א ממיץ דאין חנ"נ במקצת חתיכה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הש"ך בארוך מש"ך על הראבי"ה דמנלן שאינו מפעפע לחלק שברוטב</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המרדכי בביאור דעת התוס' במקצתה ברוטב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המרדכי דבחציה ברוטב הרוטב מושך את טיפת החלב לכל הקדירה ואין לה דין חנ"נ</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רבינו פרץ בשם י"א דבמקצתה ברוטב מה שברוטב מותר ומה שחוץ לרוטב אסור</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רבינו פרץ על התוס' דהיאך הרוטב מבטל את האיסור בחצי שחוץ לרוטב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הר"פ בתוס' דבתוך החתיכה האיסור מתפשט בלא רוטב וע"י הרוטב מתפשט אף חוץ לחתיכה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הדרכ"מ בדעת רש"י אי חנ"נ אוסר הכל בלא ניער וכיסה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הדרכ"מ בדעת הר"ן דלרש"י אחר שנעשית החתיכה חנ"נ היא אוסרת הכל בלא ניער וכיסה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הט"ז ברש"י דהחלק העליון בחתיכה אוסר את התחתון ואח"כ נאסרת כל הקדירה ע"י הרוטב</w:t>
      </w:r>
    </w:p>
    <w:p w:rsidR="00C668F1" w:rsidRPr="0050146A" w:rsidRDefault="00C668F1" w:rsidP="00C668F1">
      <w:pPr>
        <w:numPr>
          <w:ilvl w:val="0"/>
          <w:numId w:val="3"/>
        </w:numPr>
        <w:jc w:val="left"/>
        <w:rPr>
          <w:rFonts w:ascii="Guttman Hodes" w:eastAsia="Guttman Hodes" w:hAnsi="Guttman Hodes" w:cs="Guttman Hodes"/>
          <w:noProof/>
          <w:sz w:val="12"/>
          <w:szCs w:val="12"/>
          <w:rtl/>
        </w:rPr>
      </w:pPr>
      <w:r w:rsidRPr="0050146A">
        <w:rPr>
          <w:rFonts w:ascii="Guttman Hodes" w:eastAsia="Guttman Hodes" w:hAnsi="Guttman Hodes" w:cs="Guttman Hodes"/>
          <w:noProof/>
          <w:sz w:val="12"/>
          <w:szCs w:val="12"/>
          <w:rtl/>
        </w:rPr>
        <w:t>דברי הדרכ"מ דבמרדכי משמע דלרש"י רק אחר שיש לה דין חנ"נ אם ניער וכיסה נאסר הכל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הדרכ"מ דבטור משמע דאף שכל החתיכה נאסרה מ"מ אינה אוסרת הכל בלא ניער וכיסה</w:t>
      </w:r>
    </w:p>
    <w:p w:rsidR="00C668F1" w:rsidRPr="0050146A" w:rsidRDefault="00C668F1" w:rsidP="00C668F1">
      <w:pPr>
        <w:spacing w:after="120" w:line="240" w:lineRule="auto"/>
        <w:ind w:left="0"/>
        <w:jc w:val="center"/>
        <w:outlineLvl w:val="2"/>
        <w:rPr>
          <w:rFonts w:ascii="Guttman Hodes" w:eastAsia="Guttman Hodes" w:hAnsi="Guttman Hodes" w:cs="Guttman Hodes"/>
          <w:b/>
          <w:bCs/>
          <w:noProof/>
          <w:sz w:val="18"/>
          <w:szCs w:val="18"/>
          <w:rtl/>
        </w:rPr>
      </w:pPr>
      <w:r w:rsidRPr="0050146A">
        <w:rPr>
          <w:rFonts w:ascii="Guttman Hodes" w:eastAsia="Guttman Hodes" w:hAnsi="Guttman Hodes" w:cs="Guttman Hodes"/>
          <w:b/>
          <w:bCs/>
          <w:noProof/>
          <w:sz w:val="18"/>
          <w:szCs w:val="18"/>
          <w:rtl/>
        </w:rPr>
        <w:t>ביאור החזו"א בדעת רש"י</w:t>
      </w:r>
      <w:r w:rsidRPr="0050146A">
        <w:rPr>
          <w:rFonts w:ascii="Guttman Hodes" w:eastAsia="Guttman Hodes" w:hAnsi="Guttman Hodes" w:cs="Guttman Hodes" w:hint="cs"/>
          <w:b/>
          <w:bCs/>
          <w:noProof/>
          <w:sz w:val="18"/>
          <w:szCs w:val="18"/>
          <w:rtl/>
        </w:rPr>
        <w:t xml:space="preserve"> דהאיסור מתפשט בכל החתיכה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החזו"א דלרש"י האיסור מתפשט בכל החתיכה כדמוכח במתני' דכולה מצטרפת לבטל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תמיהת החזו"א על הדרכ"מ דדברי המרדכי אינם לדעת רש"י אלא לדעת התוס'</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 xml:space="preserve">דברי </w:t>
      </w:r>
      <w:r w:rsidRPr="0050146A">
        <w:rPr>
          <w:rFonts w:ascii="Guttman Hodes" w:eastAsia="Guttman Hodes" w:hAnsi="Guttman Hodes" w:cs="Guttman Hodes" w:hint="cs"/>
          <w:noProof/>
          <w:sz w:val="12"/>
          <w:szCs w:val="12"/>
          <w:rtl/>
        </w:rPr>
        <w:t>החזו"א</w:t>
      </w:r>
      <w:r w:rsidRPr="0050146A">
        <w:rPr>
          <w:rFonts w:ascii="Guttman Hodes" w:eastAsia="Guttman Hodes" w:hAnsi="Guttman Hodes" w:cs="Guttman Hodes"/>
          <w:noProof/>
          <w:sz w:val="12"/>
          <w:szCs w:val="12"/>
          <w:rtl/>
        </w:rPr>
        <w:t xml:space="preserve"> דנדון</w:t>
      </w:r>
      <w:r w:rsidRPr="0050146A">
        <w:rPr>
          <w:rFonts w:ascii="Guttman Hodes" w:eastAsia="Guttman Hodes" w:hAnsi="Guttman Hodes" w:cs="Guttman Hodes" w:hint="cs"/>
          <w:noProof/>
          <w:sz w:val="12"/>
          <w:szCs w:val="12"/>
          <w:rtl/>
        </w:rPr>
        <w:t xml:space="preserve"> </w:t>
      </w:r>
      <w:r w:rsidRPr="0050146A">
        <w:rPr>
          <w:rFonts w:ascii="Guttman Hodes" w:eastAsia="Guttman Hodes" w:hAnsi="Guttman Hodes" w:cs="Guttman Hodes"/>
          <w:noProof/>
          <w:sz w:val="12"/>
          <w:szCs w:val="12"/>
          <w:rtl/>
        </w:rPr>
        <w:t>הדרכ"מ אי חתיכת החנ"נ אוסרת אף בלא ניער וכיסה היא בין לרש"י ובין לתוס'</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באיסור דבוק בגיד שנתבשל בירך</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רש"י לקמן דחתיכה שדבוק בה איסור יש לה דין חנ"נ</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רש"י דחתיכה שנפלה עליה טיפת חלב וכן חתיכה שדבוק בה איסור היא יש לה דין חנ"נ</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התוס' הרא"ש והאו"ז בשם תלמידי רש"י באיסור דבוק</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תוס' הרא"ש דלרש"י דיש חנ"נ במקצתה ברוטב כל שדבוק איסור לחתיכה צריך שישים כנגדה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האו"ז דמבואר במתני' דמשערים בירך ולא בגיד ומוכח דבדבוק צריך שישים כנגד כל החתיכה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האו"ז דמבואר במתני' דאיסור הגיד מתפשט בתוך הירך ואינו מתפשט ברוטב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האו"ז דדין דבוק מבואר ברש"י בדין טיפת חלב דהחתיכה אסורה כל שלא ניער וכיסה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הרשב"א דבמתני' מוכח דאין הגיד אוסר את הירך הדבוק</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הרשב"א מהי סברת רש"י דמשערים בכל החתיכה באיסור דבוק</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דא"א לומר דדבוק אסור מדין חנ"נ דאיתא במתני' דמשערים בגיד ולא בכל הירך</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בסברת איסור דבוק</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המרדכי דבתחילה נאסרת החתיכה הדבוקה לאיסור ויש לה דין חנ"נ ואח"כ אוסרת הכל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האיסור והיתר דחיישינן שמא פעם אחת הייתה החתיכה עם האיסור הדבוק לבדה ברוטב</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הש"ך דהחתיכה הדבוקה לאיסור ממהרת לבלוע את האיסור ויש לה דין חנ"נ</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איסור דבוק לדעת רבינו אפרים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הש"ך דאיסור דבוק הוא רק למאן דאוסר בחנ"נ ולרבינו אפרים אין איסור דבוק בשאר איסורים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דעת הגרעק"א דאף לרבינו אפרים דאין חנ"נ בשאר איסורים מ"מ יש איסור דבוק</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בדין גיד שנצלה או נמלח בירך</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ביאורי הראשונים בחידוש דברי שמואל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התוס' דפשיטא דצליה אינו אוסרת את כל הגיד דא"כ כל בשר נאסר במליחה דהיא כצליה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תירוצי הראשונים דלולי דברי שמואל היה הו"א דאין כוונת המשנה רק לבישול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הרמב"ן והרשב"א דלרבינא דמליחה כרותח דבישול מתני' איירי אף בבישול</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רש"י והרמב"ם דבצליה אין הגיד אוסר אף כדי קליפה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האו"ז ברש"י דמותר לקלוף את כל הבשר עד הגיד עצמו וא"צ להניח כדי קליפה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הכס"מ ברמב"ם דגיד אינו אוסר בצליה אף כדי קליפה ושומנו אינו מפעפע</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הלח"מ ברמב"ם דבבישול אוסר הגיד כדי קליפה ובצליה אינו אוסר כלל דשמנו הוא דרבנן</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התוס' דבצליה הגיד אוסר בירך כדי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והרא"ש דאין כוונת שמואל לומר דקולף עד הגיד אלא דמניח כדי קליפה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והרא"ש דבפסחים מבואר דברוטב צריך להניח כדי נטילה  ואפש"ל דבגיד סגי בקליפה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דחיית התוס' והרא"ש דלא מצינו בשום מקום דסגי בצליה בכדי קליפה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פלוגתת התוס' והרא"ש בדין גיד שנמלח בירך</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המהרש"א דלתוס' במליחה צריך להניח כדי נטילה כמו בצליה אך להרא"ש סגי בקליפה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הרשב"א דבצליה הגיד אוסר בירך בכדי קליפה או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והריטב"א דגיד שנצלה בירך צריך להניח כדי קליפה או כדי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הריטב"א בדברי שמואל דקולף סביב הגיד שיעור כדי נטילה ואח"כ אוכל עד הגיד</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דכן מוכח בגמ' לקמן דמליחה כצליה והגיד אינו אוסר את כל הירך דאינו מפעפע</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דבמליחה וצליה סגי בקליפה וי"א דאף שאינו מפעפע צריך להניח כדי נטילה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מסקנת הרשב"א דסגי בקליפה וראוי להחמיר בנטילה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מסקנת הרשב"א דסגי בכדי קליפה כדמשמע בדברי שמואל אך ראוי לחוש להניח כדי נטילה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דעת הרא"ה דבצליה הגיד אוסר בירך כדי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הרא"ה דבגיד צריך להניח כדי נטילה כדמוכח ברוטב דהוא דבר מועט וצריך כדי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דחיית הרשב"א במשה"ב דאפש"ל דרוטב הוא שמן ואף שהוא מועט מפעפע ולכן אוסר כדי נטילה</w:t>
      </w:r>
    </w:p>
    <w:p w:rsidR="00C668F1" w:rsidRPr="0050146A" w:rsidRDefault="00C668F1" w:rsidP="00C668F1">
      <w:pPr>
        <w:keepNext/>
        <w:keepLines/>
        <w:ind w:left="0"/>
        <w:jc w:val="center"/>
        <w:outlineLvl w:val="1"/>
        <w:rPr>
          <w:rFonts w:ascii="Guttman Adii-Light" w:eastAsiaTheme="minorEastAsia" w:hAnsi="Guttman Adii-Light"/>
          <w:i/>
          <w:iCs/>
          <w:noProof/>
          <w:rtl/>
        </w:rPr>
      </w:pPr>
      <w:r w:rsidRPr="0050146A">
        <w:rPr>
          <w:rFonts w:ascii="Guttman Adii-Light" w:eastAsia="Guttman Adii-Light" w:hAnsi="Guttman Adii-Light" w:cs="Guttman Adii-Light"/>
          <w:noProof/>
          <w:sz w:val="24"/>
          <w:szCs w:val="24"/>
          <w:rtl/>
        </w:rPr>
        <w:t>בדין צליה ומליחה בחֵלֶב שמן וכחוש</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התוס' בדין שומן הגיד שנצלה עם הירך</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דרוטב אוסר כדי נטילה דהוא ציר בעלמא אינו מפעפע כמו חלב שמן דאוסר בכולו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תירוץ ר"ת דהשומן של הגיד אינו מפעפע כמו חלב שמן</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תירוץ הר"מ בתוס' דשומן דגיד איסורו מדרבנן ולא גזרו בו יותר מאיסור הגיד שאינו מפעפע</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דלתירוץ הר"מ להלכה דאין בגידין בנותן טעם אינו אוסר אף בבישול ובמליחה</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דברי התוס' בדין שישים בגדי כחוש שנצלה בחלבו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בתירוץ הא'  דכיון שהגדי כחוש אין חלבו מפעפע</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דלתירוץ הא' בתוס' גדי כחוש אוסר רק כדי קליפה או נטילה אף בפחות משישים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התוס' בתירוץ הב' והרמב"ן דלגדי כחוש יש מעט חלב והוא בטל בשישים בבשר הגדי</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דחיית הרמב"ן דרבינא אסר במליחה בשומן הגיד אעפ"י שהוא כחוש ומוכח דאינו בטל בשישים</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פלוגתת הרמב"ן והרשב"א בדין שישים בחֵלֶב בצליה ובמליחה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הרמב"ן דבצליה בחלב שמן צריך שישים ובשומן הגיד שהוא כחוש א"צ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הרמב"ן דבמליחה אף בחלב שמן א"צ שישים דאינו מפעפע</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דבחלב של בהמה שמנה צריך שישים בין במליחה ובין בצליה אף באיסור דרבנן</w:t>
      </w:r>
    </w:p>
    <w:p w:rsidR="00C668F1" w:rsidRPr="0050146A" w:rsidRDefault="00C668F1" w:rsidP="00C668F1">
      <w:pPr>
        <w:spacing w:after="120" w:line="240" w:lineRule="auto"/>
        <w:ind w:left="0"/>
        <w:jc w:val="center"/>
        <w:outlineLvl w:val="2"/>
        <w:rPr>
          <w:rFonts w:ascii="Guttman Hodes" w:eastAsiaTheme="minorEastAsia" w:hAnsi="Guttman Hodes"/>
          <w:b/>
          <w:bCs/>
          <w:i/>
          <w:iCs/>
          <w:noProof/>
          <w:rtl/>
        </w:rPr>
      </w:pPr>
      <w:r w:rsidRPr="0050146A">
        <w:rPr>
          <w:rFonts w:ascii="Guttman Hodes" w:eastAsia="Guttman Hodes" w:hAnsi="Guttman Hodes" w:cs="Guttman Hodes"/>
          <w:b/>
          <w:bCs/>
          <w:noProof/>
          <w:sz w:val="18"/>
          <w:szCs w:val="18"/>
          <w:rtl/>
        </w:rPr>
        <w:t>פלוגתת הרשב"א והרא"ה אי מהני שישים בצליה או רק בבישול</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דבדבר שמפעפע אף שבטל בשישים צריך ליטול את מקומו</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דחיית הרא"ה דדין שישים הוא בבישול שבולע בכל החתיכה בשווה ולא שייך כדי קליפה או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פלוגתת הרא"ה והרשב"א אי רוטב גדי שצריך כדי נטילה הוא מפעפע</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הרא"ה דשישים הוא רק בקדירה בניער וכיסה שהכל מתערב בשווה ולא שייך קליפה ונטילה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הרא"ה דבצליה ומליחה שאינם מתערבים בשווה בשמן הכל אסור ובכחוש כדי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הרא"ה בשמואל דקולף ואוכל לאו דוקא אלא שאין כולו אסור ומניח כדי נטילה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ביאור הר"ן בשם הרא"ה דבצליה יתכן שבלוע הרבה במקום אחד כיון שאין רוטב שמוליך לכולה</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קושית הר"ן על הרא"ה דלדבריו אף במליחה לא מהני שישים ולקמן מבואר דמהני שישים</w:t>
      </w:r>
    </w:p>
    <w:p w:rsidR="00C668F1" w:rsidRPr="0050146A" w:rsidRDefault="00C668F1" w:rsidP="00C668F1">
      <w:pPr>
        <w:numPr>
          <w:ilvl w:val="0"/>
          <w:numId w:val="3"/>
        </w:numPr>
        <w:jc w:val="left"/>
        <w:rPr>
          <w:rFonts w:ascii="Guttman Hodes" w:eastAsiaTheme="minorEastAsia" w:hAnsi="Guttman Hodes"/>
          <w:noProof/>
          <w:rtl/>
        </w:rPr>
      </w:pPr>
      <w:r w:rsidRPr="0050146A">
        <w:rPr>
          <w:rFonts w:ascii="Guttman Hodes" w:eastAsia="Guttman Hodes" w:hAnsi="Guttman Hodes" w:cs="Guttman Hodes"/>
          <w:noProof/>
          <w:sz w:val="12"/>
          <w:szCs w:val="12"/>
          <w:rtl/>
        </w:rPr>
        <w:t>דברי הרשב"א דבפסחים הרוטב מתבטל בשישים אך מ"מ צריך להניח כדי נטילה דנפל למקום ידוע</w:t>
      </w:r>
    </w:p>
    <w:p w:rsidR="00C668F1" w:rsidRPr="0050146A" w:rsidRDefault="00C668F1" w:rsidP="000E3C5C">
      <w:pPr>
        <w:pStyle w:val="aff2"/>
        <w:rPr>
          <w:rtl/>
        </w:rPr>
        <w:sectPr w:rsidR="00C668F1" w:rsidRPr="0050146A" w:rsidSect="00C668F1">
          <w:type w:val="continuous"/>
          <w:pgSz w:w="11906" w:h="16838"/>
          <w:pgMar w:top="720" w:right="720" w:bottom="720" w:left="720" w:header="283" w:footer="283" w:gutter="0"/>
          <w:pgNumType w:start="1"/>
          <w:cols w:num="2" w:space="113"/>
          <w:bidi/>
          <w:rtlGutter/>
          <w:docGrid w:linePitch="299"/>
        </w:sectPr>
      </w:pPr>
      <w:r w:rsidRPr="0050146A">
        <w:rPr>
          <w:rtl/>
        </w:rPr>
        <w:t>קושית הרשב"א על הרא"ה דאי לא מהני שישים בצליה א"כ צליה חמורה מבישול</w:t>
      </w:r>
    </w:p>
    <w:p w:rsidR="003C66B2" w:rsidRDefault="003C66B2" w:rsidP="00E669F8">
      <w:pPr>
        <w:pStyle w:val="afd"/>
        <w:rPr>
          <w:rtl/>
        </w:rPr>
      </w:pPr>
      <w:bookmarkStart w:id="71" w:name="_Toc530583080"/>
      <w:bookmarkStart w:id="72" w:name="_Toc530647758"/>
      <w:bookmarkStart w:id="73" w:name="_Toc531193276"/>
      <w:bookmarkStart w:id="74" w:name="_Toc531251478"/>
      <w:bookmarkStart w:id="75" w:name="_Toc531251621"/>
      <w:bookmarkStart w:id="76" w:name="_Toc531258163"/>
      <w:bookmarkStart w:id="77" w:name="_Toc531622039"/>
      <w:bookmarkStart w:id="78" w:name="_Toc531629695"/>
      <w:bookmarkStart w:id="79" w:name="_Toc531638966"/>
      <w:bookmarkStart w:id="80" w:name="_Toc531894161"/>
      <w:bookmarkStart w:id="81" w:name="_Toc531894186"/>
      <w:bookmarkStart w:id="82" w:name="_Toc532202994"/>
      <w:bookmarkStart w:id="83" w:name="_Toc532302155"/>
      <w:bookmarkStart w:id="84" w:name="_Toc532453950"/>
      <w:bookmarkStart w:id="85" w:name="_Toc532453984"/>
      <w:bookmarkStart w:id="86" w:name="_Toc532550625"/>
      <w:bookmarkStart w:id="87" w:name="_Toc532550691"/>
      <w:bookmarkStart w:id="88" w:name="_Toc532810054"/>
      <w:bookmarkStart w:id="89" w:name="_Toc533413299"/>
      <w:bookmarkStart w:id="90" w:name="_Toc533441190"/>
      <w:bookmarkStart w:id="91" w:name="_Toc533441236"/>
      <w:bookmarkStart w:id="92" w:name="_Toc533490156"/>
      <w:bookmarkStart w:id="93" w:name="_Toc533506086"/>
      <w:bookmarkStart w:id="94" w:name="_Toc533544294"/>
      <w:bookmarkStart w:id="95" w:name="_Toc533544491"/>
      <w:bookmarkStart w:id="96" w:name="_Toc533585363"/>
      <w:bookmarkStart w:id="97" w:name="_Toc533585374"/>
      <w:bookmarkStart w:id="98" w:name="_Toc7614062"/>
      <w:bookmarkStart w:id="99" w:name="_Toc7711775"/>
      <w:bookmarkStart w:id="100" w:name="_Toc7724600"/>
      <w:bookmarkStart w:id="101" w:name="_Toc8069028"/>
      <w:bookmarkStart w:id="102" w:name="_Toc8069100"/>
      <w:bookmarkStart w:id="103" w:name="_Toc8105974"/>
      <w:bookmarkStart w:id="104" w:name="_Toc8117816"/>
      <w:bookmarkStart w:id="105" w:name="_Toc8122463"/>
      <w:bookmarkStart w:id="106" w:name="_Toc8142914"/>
      <w:bookmarkStart w:id="107" w:name="_Toc8160676"/>
      <w:bookmarkStart w:id="108" w:name="_Toc8209160"/>
      <w:bookmarkStart w:id="109" w:name="_Toc8209298"/>
      <w:bookmarkStart w:id="110" w:name="_Toc8246321"/>
      <w:r>
        <w:rPr>
          <w:rtl/>
        </w:rPr>
        <w:br w:type="page"/>
      </w:r>
    </w:p>
    <w:p w:rsidR="008442F8" w:rsidRPr="0050146A" w:rsidRDefault="008442F8" w:rsidP="00E669F8">
      <w:pPr>
        <w:pStyle w:val="afd"/>
        <w:rPr>
          <w:rtl/>
        </w:rPr>
      </w:pPr>
      <w:r w:rsidRPr="0050146A">
        <w:rPr>
          <w:rFonts w:hint="cs"/>
          <w:rtl/>
        </w:rPr>
        <w:lastRenderedPageBreak/>
        <w:t>מראי מקומות וביאורי</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50146A">
        <w:rPr>
          <w:rFonts w:hint="cs"/>
          <w:rtl/>
        </w:rPr>
        <w:t>ם</w:t>
      </w:r>
      <w:bookmarkEnd w:id="99"/>
      <w:bookmarkEnd w:id="100"/>
      <w:bookmarkEnd w:id="101"/>
      <w:bookmarkEnd w:id="102"/>
      <w:bookmarkEnd w:id="103"/>
      <w:bookmarkEnd w:id="104"/>
      <w:bookmarkEnd w:id="105"/>
      <w:bookmarkEnd w:id="106"/>
      <w:bookmarkEnd w:id="107"/>
      <w:bookmarkEnd w:id="108"/>
      <w:bookmarkEnd w:id="109"/>
      <w:bookmarkEnd w:id="110"/>
    </w:p>
    <w:p w:rsidR="008442F8" w:rsidRPr="0050146A" w:rsidRDefault="008442F8" w:rsidP="008442F8">
      <w:pPr>
        <w:pStyle w:val="2"/>
        <w:keepNext w:val="0"/>
        <w:keepLines w:val="0"/>
        <w:bidi w:val="0"/>
        <w:rPr>
          <w:rFonts w:asciiTheme="minorHAnsi" w:hAnsiTheme="minorHAnsi"/>
          <w:bCs/>
          <w:sz w:val="18"/>
          <w:szCs w:val="28"/>
          <w:rtl/>
        </w:rPr>
        <w:sectPr w:rsidR="008442F8" w:rsidRPr="0050146A" w:rsidSect="00C668F1">
          <w:type w:val="continuous"/>
          <w:pgSz w:w="11906" w:h="16838"/>
          <w:pgMar w:top="720" w:right="720" w:bottom="720" w:left="720" w:header="283" w:footer="283" w:gutter="0"/>
          <w:cols w:space="720"/>
          <w:bidi/>
          <w:rtlGutter/>
          <w:docGrid w:linePitch="299"/>
        </w:sectPr>
      </w:pPr>
    </w:p>
    <w:p w:rsidR="008442F8" w:rsidRPr="0050146A" w:rsidRDefault="008442F8" w:rsidP="00E669F8">
      <w:pPr>
        <w:pStyle w:val="afd"/>
        <w:rPr>
          <w:rtl/>
        </w:rPr>
      </w:pPr>
      <w:bookmarkStart w:id="111" w:name="_Toc4962694"/>
      <w:bookmarkStart w:id="112" w:name="_Toc5692562"/>
      <w:bookmarkStart w:id="113" w:name="_Toc5692602"/>
      <w:bookmarkStart w:id="114" w:name="_Toc5965278"/>
      <w:bookmarkStart w:id="115" w:name="_Toc6226558"/>
      <w:bookmarkStart w:id="116" w:name="_Toc6491227"/>
      <w:bookmarkStart w:id="117" w:name="_Toc6581280"/>
      <w:bookmarkStart w:id="118" w:name="_Toc6823613"/>
      <w:bookmarkStart w:id="119" w:name="_Toc6953524"/>
      <w:bookmarkStart w:id="120" w:name="_Toc8069029"/>
      <w:bookmarkStart w:id="121" w:name="_Toc8069101"/>
      <w:bookmarkStart w:id="122" w:name="_Toc8105975"/>
      <w:bookmarkStart w:id="123" w:name="_Toc8117817"/>
      <w:bookmarkStart w:id="124" w:name="_Toc8122464"/>
      <w:bookmarkStart w:id="125" w:name="_Toc8142915"/>
      <w:bookmarkStart w:id="126" w:name="_Toc8160677"/>
      <w:bookmarkStart w:id="127" w:name="_Toc8209161"/>
      <w:bookmarkStart w:id="128" w:name="_Toc8209299"/>
      <w:bookmarkStart w:id="129" w:name="_Toc8246322"/>
      <w:bookmarkStart w:id="130" w:name="_Toc7614063"/>
      <w:bookmarkStart w:id="131" w:name="_Toc7711776"/>
      <w:bookmarkStart w:id="132" w:name="_Toc7724601"/>
      <w:bookmarkEnd w:id="45"/>
      <w:bookmarkEnd w:id="46"/>
      <w:bookmarkEnd w:id="47"/>
      <w:bookmarkEnd w:id="48"/>
      <w:bookmarkEnd w:id="49"/>
      <w:r w:rsidRPr="0050146A">
        <w:rPr>
          <w:rFonts w:hint="cs"/>
          <w:rtl/>
        </w:rPr>
        <w:t>בשיעור</w:t>
      </w:r>
      <w:bookmarkEnd w:id="111"/>
      <w:bookmarkEnd w:id="112"/>
      <w:bookmarkEnd w:id="113"/>
      <w:bookmarkEnd w:id="114"/>
      <w:bookmarkEnd w:id="115"/>
      <w:bookmarkEnd w:id="116"/>
      <w:bookmarkEnd w:id="117"/>
      <w:bookmarkEnd w:id="118"/>
      <w:bookmarkEnd w:id="119"/>
      <w:bookmarkEnd w:id="120"/>
      <w:bookmarkEnd w:id="121"/>
      <w:r w:rsidRPr="0050146A">
        <w:rPr>
          <w:rFonts w:hint="cs"/>
          <w:rtl/>
        </w:rPr>
        <w:t>י בשר בלפת</w:t>
      </w:r>
      <w:bookmarkEnd w:id="122"/>
      <w:bookmarkEnd w:id="123"/>
      <w:r w:rsidRPr="0050146A">
        <w:rPr>
          <w:rFonts w:hint="cs"/>
          <w:rtl/>
        </w:rPr>
        <w:t xml:space="preserve"> ובצל בקפלוט</w:t>
      </w:r>
      <w:bookmarkEnd w:id="124"/>
      <w:bookmarkEnd w:id="125"/>
      <w:bookmarkEnd w:id="126"/>
      <w:bookmarkEnd w:id="127"/>
      <w:bookmarkEnd w:id="128"/>
      <w:bookmarkEnd w:id="129"/>
    </w:p>
    <w:p w:rsidR="008442F8" w:rsidRPr="0050146A" w:rsidRDefault="008442F8" w:rsidP="008442F8">
      <w:pPr>
        <w:pStyle w:val="1"/>
        <w:rPr>
          <w:rtl/>
        </w:rPr>
      </w:pPr>
      <w:bookmarkStart w:id="133" w:name="_Toc4962695"/>
      <w:bookmarkStart w:id="134" w:name="_Toc5692563"/>
      <w:bookmarkStart w:id="135" w:name="_Toc5692603"/>
      <w:bookmarkStart w:id="136" w:name="_Toc5965279"/>
      <w:bookmarkStart w:id="137" w:name="_Toc6226559"/>
      <w:bookmarkStart w:id="138" w:name="_Toc6491228"/>
      <w:bookmarkStart w:id="139" w:name="_Toc6581281"/>
      <w:bookmarkStart w:id="140" w:name="_Toc6823614"/>
      <w:bookmarkStart w:id="141" w:name="_Toc6953525"/>
      <w:bookmarkStart w:id="142" w:name="_Toc8069030"/>
      <w:bookmarkStart w:id="143" w:name="_Toc8069102"/>
      <w:bookmarkStart w:id="144" w:name="_Toc8105976"/>
      <w:bookmarkStart w:id="145" w:name="_Toc8117818"/>
      <w:bookmarkStart w:id="146" w:name="_Toc8122465"/>
      <w:bookmarkStart w:id="147" w:name="_Toc8142916"/>
      <w:bookmarkStart w:id="148" w:name="_Toc8160678"/>
      <w:bookmarkStart w:id="149" w:name="_Toc8209162"/>
      <w:bookmarkStart w:id="150" w:name="_Toc8209300"/>
      <w:bookmarkStart w:id="151" w:name="_Toc8246323"/>
      <w:r w:rsidRPr="0050146A">
        <w:rPr>
          <w:rFonts w:hint="cs"/>
          <w:rtl/>
        </w:rPr>
        <w:t>דברי רש"י</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50146A">
        <w:rPr>
          <w:rFonts w:hint="cs"/>
          <w:rtl/>
        </w:rPr>
        <w:t xml:space="preserve"> בשיעור בשר בלפת</w:t>
      </w:r>
    </w:p>
    <w:p w:rsidR="008442F8" w:rsidRPr="0050146A" w:rsidRDefault="008442F8" w:rsidP="008442F8">
      <w:pPr>
        <w:pStyle w:val="a2"/>
        <w:rPr>
          <w:rtl/>
        </w:rPr>
      </w:pPr>
      <w:bookmarkStart w:id="152" w:name="_Toc8105977"/>
      <w:bookmarkStart w:id="153" w:name="_Toc8117819"/>
      <w:bookmarkStart w:id="154" w:name="_Toc8122466"/>
      <w:bookmarkStart w:id="155" w:name="_Toc8142917"/>
      <w:bookmarkStart w:id="156" w:name="_Toc8160679"/>
      <w:bookmarkStart w:id="157" w:name="_Toc8209163"/>
      <w:bookmarkStart w:id="158" w:name="_Toc8209301"/>
      <w:bookmarkStart w:id="159" w:name="_Toc8246324"/>
      <w:r w:rsidRPr="0050146A">
        <w:rPr>
          <w:rFonts w:hint="cs"/>
          <w:rtl/>
        </w:rPr>
        <w:t>דברי רש"י דהשיעור בגיד בירך דאם הגיד היה בשר והיה נותן טעם בלפת בשיעור הירך אסור</w:t>
      </w:r>
      <w:bookmarkEnd w:id="152"/>
      <w:bookmarkEnd w:id="153"/>
      <w:bookmarkEnd w:id="154"/>
      <w:bookmarkEnd w:id="155"/>
      <w:bookmarkEnd w:id="156"/>
      <w:bookmarkEnd w:id="157"/>
      <w:bookmarkEnd w:id="158"/>
      <w:bookmarkEnd w:id="159"/>
    </w:p>
    <w:p w:rsidR="008442F8" w:rsidRPr="0050146A" w:rsidRDefault="008442F8" w:rsidP="009F44AF">
      <w:pPr>
        <w:pStyle w:val="a"/>
      </w:pPr>
      <w:bookmarkStart w:id="160" w:name="_Ref8147619"/>
      <w:bookmarkStart w:id="161" w:name="_Ref6222365"/>
      <w:r w:rsidRPr="0050146A">
        <w:rPr>
          <w:rFonts w:hint="cs"/>
          <w:rtl/>
        </w:rPr>
        <w:t xml:space="preserve">כתב </w:t>
      </w:r>
      <w:r w:rsidRPr="0050146A">
        <w:rPr>
          <w:rStyle w:val="af8"/>
          <w:rFonts w:hint="cs"/>
          <w:rtl/>
        </w:rPr>
        <w:t>רש"י</w:t>
      </w:r>
      <w:r w:rsidRPr="0050146A">
        <w:rPr>
          <w:rFonts w:hint="cs"/>
          <w:rtl/>
        </w:rPr>
        <w:t xml:space="preserve"> </w:t>
      </w:r>
      <w:r w:rsidRPr="0050146A">
        <w:rPr>
          <w:rStyle w:val="af6"/>
          <w:rFonts w:eastAsia="Guttman Hodes" w:hint="cs"/>
          <w:rtl/>
        </w:rPr>
        <w:t>(ד"ה כבשר)</w:t>
      </w:r>
      <w:r w:rsidRPr="0050146A">
        <w:rPr>
          <w:rFonts w:hint="cs"/>
          <w:rtl/>
        </w:rPr>
        <w:t xml:space="preserve"> דבגיד שנתבשל עם הירך, משערים כאילו הירך לפת והגיד בשר, ואם בשר בשיעור של הגיד היה נותן טעם בלפת, בשיעור של הירך, אסור.</w:t>
      </w:r>
      <w:bookmarkEnd w:id="160"/>
    </w:p>
    <w:p w:rsidR="008442F8" w:rsidRPr="0050146A" w:rsidRDefault="008442F8" w:rsidP="008442F8">
      <w:pPr>
        <w:pStyle w:val="a2"/>
      </w:pPr>
      <w:bookmarkStart w:id="162" w:name="_Toc8105978"/>
      <w:bookmarkStart w:id="163" w:name="_Toc8117820"/>
      <w:bookmarkStart w:id="164" w:name="_Toc8122467"/>
      <w:bookmarkStart w:id="165" w:name="_Toc8142918"/>
      <w:bookmarkStart w:id="166" w:name="_Toc8160680"/>
      <w:bookmarkStart w:id="167" w:name="_Toc8209164"/>
      <w:bookmarkStart w:id="168" w:name="_Toc8209302"/>
      <w:bookmarkStart w:id="169" w:name="_Toc8246325"/>
      <w:bookmarkEnd w:id="161"/>
      <w:r w:rsidRPr="0050146A">
        <w:rPr>
          <w:rFonts w:hint="cs"/>
          <w:rtl/>
        </w:rPr>
        <w:t>דברי רש"י דהשיעור הוא מהלמ"מ וגמירי דהשיעור הוא דוקא בבשר בלפת</w:t>
      </w:r>
      <w:bookmarkEnd w:id="162"/>
      <w:bookmarkEnd w:id="163"/>
      <w:bookmarkEnd w:id="164"/>
      <w:bookmarkEnd w:id="165"/>
      <w:bookmarkEnd w:id="166"/>
      <w:bookmarkEnd w:id="167"/>
      <w:bookmarkEnd w:id="168"/>
      <w:bookmarkEnd w:id="169"/>
    </w:p>
    <w:p w:rsidR="008442F8" w:rsidRPr="0050146A" w:rsidRDefault="008442F8" w:rsidP="009F44AF">
      <w:pPr>
        <w:pStyle w:val="a"/>
        <w:rPr>
          <w:rtl/>
        </w:rPr>
      </w:pPr>
      <w:bookmarkStart w:id="170" w:name="_Ref5651374"/>
      <w:r w:rsidRPr="0050146A">
        <w:rPr>
          <w:rFonts w:hint="cs"/>
          <w:rtl/>
        </w:rPr>
        <w:t xml:space="preserve">והוסיף </w:t>
      </w:r>
      <w:r w:rsidRPr="0050146A">
        <w:rPr>
          <w:rStyle w:val="af8"/>
          <w:rFonts w:hint="cs"/>
          <w:rtl/>
        </w:rPr>
        <w:t>רש"י</w:t>
      </w:r>
      <w:r w:rsidRPr="0050146A">
        <w:rPr>
          <w:rFonts w:hint="cs"/>
          <w:rtl/>
        </w:rPr>
        <w:t xml:space="preserve"> דשיעורין הם הלכה למשה מסיני, וגמירי דהשיעור הוא כמו בשר ולפת, אעפ"י שאם היינו משערים בכרוב או בקפלוט, היה משתנה השיעור ליותר או פחות, ועי' במה שהקשו </w:t>
      </w:r>
      <w:r w:rsidRPr="0050146A">
        <w:rPr>
          <w:rStyle w:val="af8"/>
          <w:rFonts w:hint="cs"/>
          <w:rtl/>
        </w:rPr>
        <w:t>הגרעק"א והחת"ס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Ref5651781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50146A">
        <w:rPr>
          <w:rStyle w:val="af6"/>
          <w:rFonts w:eastAsia="Guttman Hodes"/>
          <w:rtl/>
        </w:rPr>
        <w:fldChar w:fldCharType="end"/>
      </w:r>
      <w:r w:rsidRPr="0050146A">
        <w:rPr>
          <w:rFonts w:hint="cs"/>
          <w:rtl/>
        </w:rPr>
        <w:t xml:space="preserve"> </w:t>
      </w:r>
      <w:r w:rsidRPr="0050146A">
        <w:rPr>
          <w:rStyle w:val="af8"/>
          <w:rFonts w:hint="cs"/>
          <w:rtl/>
        </w:rPr>
        <w:t xml:space="preserve">והחזו"א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Ref8142484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50146A">
        <w:rPr>
          <w:rStyle w:val="af6"/>
          <w:rFonts w:eastAsia="Guttman Hodes"/>
          <w:rtl/>
        </w:rPr>
        <w:fldChar w:fldCharType="end"/>
      </w:r>
      <w:r w:rsidRPr="0050146A">
        <w:rPr>
          <w:rFonts w:hint="cs"/>
          <w:rtl/>
        </w:rPr>
        <w:t xml:space="preserve"> על </w:t>
      </w:r>
      <w:r w:rsidRPr="0050146A">
        <w:rPr>
          <w:rStyle w:val="af8"/>
          <w:rFonts w:hint="cs"/>
          <w:rtl/>
        </w:rPr>
        <w:t>רש"י</w:t>
      </w:r>
      <w:r w:rsidRPr="0050146A">
        <w:rPr>
          <w:rFonts w:hint="cs"/>
          <w:rtl/>
        </w:rPr>
        <w:t>.</w:t>
      </w:r>
      <w:bookmarkEnd w:id="170"/>
    </w:p>
    <w:p w:rsidR="008442F8" w:rsidRPr="0050146A" w:rsidRDefault="008442F8" w:rsidP="008442F8">
      <w:pPr>
        <w:pStyle w:val="a2"/>
        <w:rPr>
          <w:rtl/>
        </w:rPr>
      </w:pPr>
      <w:bookmarkStart w:id="171" w:name="_Toc8122468"/>
      <w:bookmarkStart w:id="172" w:name="_Toc8142919"/>
      <w:bookmarkStart w:id="173" w:name="_Toc8160681"/>
      <w:bookmarkStart w:id="174" w:name="_Toc8209165"/>
      <w:bookmarkStart w:id="175" w:name="_Toc8209303"/>
      <w:bookmarkStart w:id="176" w:name="_Toc8246326"/>
      <w:r w:rsidRPr="0050146A">
        <w:rPr>
          <w:rFonts w:hint="cs"/>
          <w:rtl/>
        </w:rPr>
        <w:t>ביאור הנימוק"י ורבינו יהונתן דא"א לשער טעם הגיד בבשר וגמירי דשיעורו מהלמ"מ דשיעורין</w:t>
      </w:r>
      <w:bookmarkEnd w:id="171"/>
      <w:bookmarkEnd w:id="172"/>
      <w:bookmarkEnd w:id="173"/>
      <w:bookmarkEnd w:id="174"/>
      <w:bookmarkEnd w:id="175"/>
      <w:bookmarkEnd w:id="176"/>
    </w:p>
    <w:p w:rsidR="008442F8" w:rsidRPr="0050146A" w:rsidRDefault="008442F8" w:rsidP="009F44AF">
      <w:pPr>
        <w:pStyle w:val="a"/>
        <w:rPr>
          <w:rtl/>
        </w:rPr>
      </w:pPr>
      <w:bookmarkStart w:id="177" w:name="_Ref8143680"/>
      <w:r w:rsidRPr="0050146A">
        <w:rPr>
          <w:rFonts w:hint="cs"/>
          <w:rtl/>
        </w:rPr>
        <w:t xml:space="preserve">וביארו </w:t>
      </w:r>
      <w:r w:rsidRPr="0050146A">
        <w:rPr>
          <w:rStyle w:val="af8"/>
          <w:rFonts w:hint="cs"/>
          <w:rtl/>
        </w:rPr>
        <w:t>הנימוק"י</w:t>
      </w:r>
      <w:r w:rsidRPr="0050146A">
        <w:rPr>
          <w:rFonts w:hint="cs"/>
          <w:rtl/>
        </w:rPr>
        <w:t xml:space="preserve"> </w:t>
      </w:r>
      <w:r w:rsidRPr="0050146A">
        <w:rPr>
          <w:rStyle w:val="af6"/>
          <w:rFonts w:eastAsia="Guttman Hodes" w:hint="cs"/>
          <w:rtl/>
        </w:rPr>
        <w:t xml:space="preserve">(ד"ה ירך, הועתק בקובץ שיטות קמאי חולין ח"ג עמ' ב' אלף ק"ח) </w:t>
      </w:r>
      <w:r w:rsidRPr="0050146A">
        <w:rPr>
          <w:rStyle w:val="af8"/>
          <w:rFonts w:hint="cs"/>
          <w:rtl/>
        </w:rPr>
        <w:t>ורבינו יהונתן</w:t>
      </w:r>
      <w:r w:rsidRPr="0050146A">
        <w:rPr>
          <w:rStyle w:val="af6"/>
          <w:rFonts w:eastAsia="Guttman Hodes" w:hint="cs"/>
          <w:rtl/>
        </w:rPr>
        <w:t xml:space="preserve"> (ד"ה ירך, הועתק בקובץ שיטות קמאי חולין ח"ג עמ' ב' אלף ק"ד) </w:t>
      </w:r>
      <w:r w:rsidRPr="0050146A">
        <w:rPr>
          <w:rFonts w:hint="cs"/>
          <w:rtl/>
        </w:rPr>
        <w:t xml:space="preserve">דמשערים שאם הגיד גדול כ"כ שאם היה בשר היה יכול לתת טעם בהרבה ראשי לפתות, בשיעור כזה הירך אסור, וכיון דטעמו כטעם הבשר וא"א לשער את טעם הגיד בירך, לכן שיעורו כבשר בלפת, והוא מההלכה למשה מסיני דשיעורין ומחיצין, דהרי שיעור בשר בלפת הוא רק בגיד בירך, ולא בשאר איסורים, וגמירי שזהו השיעור, אף שאם היה כרוב או קפלוט היה צריך פחות או יותר, והוסיף </w:t>
      </w:r>
      <w:r w:rsidRPr="0050146A">
        <w:rPr>
          <w:rStyle w:val="af8"/>
          <w:rFonts w:hint="cs"/>
          <w:rtl/>
        </w:rPr>
        <w:t>הנימוק"י</w:t>
      </w:r>
      <w:r w:rsidRPr="0050146A">
        <w:rPr>
          <w:rFonts w:hint="cs"/>
          <w:rtl/>
        </w:rPr>
        <w:t xml:space="preserve"> דאיירי בראשי לפתות, שצריך טעם מרובה כמבואר בגמ' לקמן </w:t>
      </w:r>
      <w:r w:rsidRPr="0050146A">
        <w:rPr>
          <w:rStyle w:val="af6"/>
          <w:rFonts w:eastAsia="Guttman Hodes" w:hint="cs"/>
          <w:rtl/>
        </w:rPr>
        <w:t>(צט:)</w:t>
      </w:r>
      <w:r w:rsidRPr="0050146A">
        <w:rPr>
          <w:rFonts w:hint="cs"/>
          <w:rtl/>
        </w:rPr>
        <w:t>.</w:t>
      </w:r>
      <w:bookmarkEnd w:id="177"/>
    </w:p>
    <w:p w:rsidR="008442F8" w:rsidRPr="0050146A" w:rsidRDefault="008442F8" w:rsidP="008442F8">
      <w:pPr>
        <w:pStyle w:val="a2"/>
        <w:rPr>
          <w:rtl/>
        </w:rPr>
      </w:pPr>
      <w:bookmarkStart w:id="178" w:name="_Toc8105979"/>
      <w:bookmarkStart w:id="179" w:name="_Toc8117821"/>
      <w:bookmarkStart w:id="180" w:name="_Toc8122469"/>
      <w:bookmarkStart w:id="181" w:name="_Toc8142920"/>
      <w:bookmarkStart w:id="182" w:name="_Toc8160682"/>
      <w:bookmarkStart w:id="183" w:name="_Toc8209166"/>
      <w:bookmarkStart w:id="184" w:name="_Toc8209304"/>
      <w:bookmarkStart w:id="185" w:name="_Toc8246327"/>
      <w:r w:rsidRPr="0050146A">
        <w:rPr>
          <w:rFonts w:hint="cs"/>
          <w:rtl/>
        </w:rPr>
        <w:t>דברי רש"י לעיל בביאור מתני' דגיד בירך דרבנן שיערו בשישים בכל נותן טעם סתם</w:t>
      </w:r>
      <w:bookmarkEnd w:id="178"/>
      <w:bookmarkEnd w:id="179"/>
      <w:bookmarkEnd w:id="180"/>
      <w:bookmarkEnd w:id="181"/>
      <w:bookmarkEnd w:id="182"/>
      <w:bookmarkEnd w:id="183"/>
      <w:bookmarkEnd w:id="184"/>
      <w:bookmarkEnd w:id="185"/>
    </w:p>
    <w:p w:rsidR="008442F8" w:rsidRPr="0050146A" w:rsidRDefault="008442F8" w:rsidP="009F44AF">
      <w:pPr>
        <w:pStyle w:val="a"/>
        <w:rPr>
          <w:rtl/>
        </w:rPr>
      </w:pPr>
      <w:bookmarkStart w:id="186" w:name="_Ref6218810"/>
      <w:r w:rsidRPr="0050146A">
        <w:rPr>
          <w:rFonts w:hint="cs"/>
          <w:rtl/>
        </w:rPr>
        <w:t xml:space="preserve">ובגמ' לעיל </w:t>
      </w:r>
      <w:r w:rsidRPr="0050146A">
        <w:rPr>
          <w:rStyle w:val="af6"/>
          <w:rFonts w:eastAsia="Guttman Hodes" w:hint="cs"/>
          <w:rtl/>
        </w:rPr>
        <w:t>(פט:)</w:t>
      </w:r>
      <w:r w:rsidRPr="0050146A">
        <w:rPr>
          <w:rFonts w:hint="cs"/>
          <w:rtl/>
        </w:rPr>
        <w:t xml:space="preserve"> שהביאה את מתני' דגיד שנתבשל בירך אם יש בה בנותן טעם אסור, כתב </w:t>
      </w:r>
      <w:r w:rsidRPr="0050146A">
        <w:rPr>
          <w:rStyle w:val="af8"/>
          <w:rFonts w:hint="cs"/>
          <w:rtl/>
        </w:rPr>
        <w:t>רש"י לעיל</w:t>
      </w:r>
      <w:r w:rsidRPr="0050146A">
        <w:rPr>
          <w:rFonts w:hint="cs"/>
          <w:rtl/>
        </w:rPr>
        <w:t xml:space="preserve"> </w:t>
      </w:r>
      <w:r w:rsidRPr="0050146A">
        <w:rPr>
          <w:rStyle w:val="af6"/>
          <w:rFonts w:eastAsia="Guttman Hodes" w:hint="cs"/>
          <w:rtl/>
        </w:rPr>
        <w:t>(פט: ד"ה אם יש)</w:t>
      </w:r>
      <w:r w:rsidRPr="0050146A">
        <w:rPr>
          <w:rFonts w:hint="cs"/>
          <w:rtl/>
        </w:rPr>
        <w:t xml:space="preserve"> דחכמים שיערו בשישים, בכל נותן טעם סתם, ועי' בדברי </w:t>
      </w:r>
      <w:r w:rsidRPr="0050146A">
        <w:rPr>
          <w:rStyle w:val="af8"/>
          <w:rFonts w:hint="cs"/>
          <w:rtl/>
        </w:rPr>
        <w:t>המהר"ם שיף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Ref6903402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w:t>
      </w:r>
      <w:r w:rsidRPr="0050146A">
        <w:rPr>
          <w:rStyle w:val="af6"/>
          <w:rFonts w:eastAsia="Guttman Hodes"/>
          <w:rtl/>
        </w:rPr>
        <w:fldChar w:fldCharType="end"/>
      </w:r>
      <w:r w:rsidRPr="0050146A">
        <w:rPr>
          <w:rFonts w:hint="cs"/>
          <w:rtl/>
        </w:rPr>
        <w:t xml:space="preserve"> </w:t>
      </w:r>
      <w:r w:rsidRPr="0050146A">
        <w:rPr>
          <w:rStyle w:val="af8"/>
          <w:rFonts w:hint="cs"/>
          <w:rtl/>
        </w:rPr>
        <w:t>והתפארת יעקב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Ref8070338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50146A">
        <w:rPr>
          <w:rStyle w:val="af6"/>
          <w:rFonts w:eastAsia="Guttman Hodes"/>
          <w:rtl/>
        </w:rPr>
        <w:fldChar w:fldCharType="end"/>
      </w:r>
      <w:r w:rsidRPr="0050146A">
        <w:rPr>
          <w:rFonts w:hint="cs"/>
          <w:rtl/>
        </w:rPr>
        <w:t>.</w:t>
      </w:r>
      <w:bookmarkEnd w:id="186"/>
    </w:p>
    <w:p w:rsidR="008442F8" w:rsidRPr="0050146A" w:rsidRDefault="008442F8" w:rsidP="008442F8">
      <w:pPr>
        <w:pStyle w:val="a2"/>
        <w:rPr>
          <w:rtl/>
        </w:rPr>
      </w:pPr>
      <w:bookmarkStart w:id="187" w:name="_Toc8117822"/>
      <w:bookmarkStart w:id="188" w:name="_Toc8122470"/>
      <w:bookmarkStart w:id="189" w:name="_Toc8142921"/>
      <w:bookmarkStart w:id="190" w:name="_Toc8160683"/>
      <w:bookmarkStart w:id="191" w:name="_Toc8209167"/>
      <w:bookmarkStart w:id="192" w:name="_Toc8209305"/>
      <w:bookmarkStart w:id="193" w:name="_Toc8246328"/>
      <w:r w:rsidRPr="0050146A">
        <w:rPr>
          <w:rFonts w:hint="cs"/>
          <w:rtl/>
        </w:rPr>
        <w:t>דברי רש"י דבגיד בין הגידים שהוא מין במינו שיעורו בנותן טעם דהוא שישים</w:t>
      </w:r>
      <w:bookmarkEnd w:id="187"/>
      <w:bookmarkEnd w:id="188"/>
      <w:bookmarkEnd w:id="189"/>
      <w:bookmarkEnd w:id="190"/>
      <w:bookmarkEnd w:id="191"/>
      <w:bookmarkEnd w:id="192"/>
      <w:bookmarkEnd w:id="193"/>
    </w:p>
    <w:p w:rsidR="008442F8" w:rsidRPr="0050146A" w:rsidRDefault="008442F8" w:rsidP="009F44AF">
      <w:pPr>
        <w:pStyle w:val="a"/>
        <w:rPr>
          <w:rtl/>
        </w:rPr>
      </w:pPr>
      <w:bookmarkStart w:id="194" w:name="_Ref5695677"/>
      <w:r w:rsidRPr="0050146A">
        <w:rPr>
          <w:rFonts w:hint="cs"/>
          <w:rtl/>
        </w:rPr>
        <w:t xml:space="preserve">ובסיפא דמתני' בדין גיד שנתבשל עם הגידים, כתב </w:t>
      </w:r>
      <w:r w:rsidRPr="0050146A">
        <w:rPr>
          <w:rStyle w:val="af8"/>
          <w:rFonts w:hint="cs"/>
          <w:rtl/>
        </w:rPr>
        <w:t>רש"י</w:t>
      </w:r>
      <w:r w:rsidRPr="0050146A">
        <w:rPr>
          <w:rFonts w:hint="cs"/>
          <w:rtl/>
        </w:rPr>
        <w:t xml:space="preserve"> </w:t>
      </w:r>
      <w:r w:rsidRPr="0050146A">
        <w:rPr>
          <w:rStyle w:val="af6"/>
          <w:rFonts w:eastAsia="Guttman Hodes" w:hint="cs"/>
          <w:rtl/>
        </w:rPr>
        <w:t>(ד"ה בנותן טעם וד"ה כולן)</w:t>
      </w:r>
      <w:r w:rsidRPr="0050146A">
        <w:rPr>
          <w:rFonts w:hint="cs"/>
          <w:rtl/>
        </w:rPr>
        <w:t xml:space="preserve"> דאם יש בגיד האסור נתינת טעם בשאר הגידים, שיערו אותו בשישים, כיון שהוא מין במינו שאדם אינו יכול להבחין אם נתן טעם, ועי' בדברי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Ref5875486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50146A">
        <w:rPr>
          <w:rStyle w:val="af6"/>
          <w:rFonts w:eastAsia="Guttman Hodes"/>
          <w:rtl/>
        </w:rPr>
        <w:fldChar w:fldCharType="end"/>
      </w:r>
      <w:r w:rsidRPr="0050146A">
        <w:rPr>
          <w:rFonts w:hint="cs"/>
          <w:rtl/>
        </w:rPr>
        <w:t>.</w:t>
      </w:r>
      <w:bookmarkEnd w:id="194"/>
    </w:p>
    <w:p w:rsidR="008442F8" w:rsidRPr="0050146A" w:rsidRDefault="008442F8" w:rsidP="008442F8">
      <w:pPr>
        <w:pStyle w:val="a2"/>
        <w:rPr>
          <w:rtl/>
        </w:rPr>
      </w:pPr>
      <w:bookmarkStart w:id="195" w:name="_Toc8142922"/>
      <w:bookmarkStart w:id="196" w:name="_Toc8160684"/>
      <w:bookmarkStart w:id="197" w:name="_Toc8209168"/>
      <w:bookmarkStart w:id="198" w:name="_Toc8209306"/>
      <w:bookmarkStart w:id="199" w:name="_Toc8246329"/>
      <w:r w:rsidRPr="0050146A">
        <w:rPr>
          <w:rFonts w:hint="cs"/>
          <w:rtl/>
        </w:rPr>
        <w:t>דברי רש"י לקמן דמשערים בראש הלפת דטעם הבשר ניכר בו רק בשיעור גמור</w:t>
      </w:r>
      <w:bookmarkEnd w:id="195"/>
      <w:bookmarkEnd w:id="196"/>
      <w:bookmarkEnd w:id="197"/>
      <w:bookmarkEnd w:id="198"/>
      <w:bookmarkEnd w:id="199"/>
    </w:p>
    <w:p w:rsidR="008442F8" w:rsidRPr="0050146A" w:rsidRDefault="008442F8" w:rsidP="009F44AF">
      <w:pPr>
        <w:pStyle w:val="a"/>
        <w:rPr>
          <w:rStyle w:val="afa"/>
          <w:rtl/>
        </w:rPr>
      </w:pPr>
      <w:bookmarkStart w:id="200" w:name="_Ref8141102"/>
      <w:r w:rsidRPr="0050146A">
        <w:rPr>
          <w:rFonts w:hint="cs"/>
          <w:rtl/>
        </w:rPr>
        <w:t xml:space="preserve">ובהא דאיתא בגמ' לקמן </w:t>
      </w:r>
      <w:r w:rsidRPr="0050146A">
        <w:rPr>
          <w:rStyle w:val="af6"/>
          <w:rFonts w:eastAsia="Guttman Hodes" w:hint="cs"/>
          <w:rtl/>
        </w:rPr>
        <w:t xml:space="preserve">(צט:) </w:t>
      </w:r>
      <w:r w:rsidRPr="0050146A">
        <w:rPr>
          <w:rFonts w:hint="cs"/>
          <w:rtl/>
        </w:rPr>
        <w:t xml:space="preserve">דשיעור בשר בלפת היינו בראשי לפתות, כתב </w:t>
      </w:r>
      <w:r w:rsidRPr="0050146A">
        <w:rPr>
          <w:rStyle w:val="af8"/>
          <w:rFonts w:hint="cs"/>
          <w:rtl/>
        </w:rPr>
        <w:t>רש"י לקמן</w:t>
      </w:r>
      <w:r w:rsidRPr="0050146A">
        <w:rPr>
          <w:rFonts w:hint="cs"/>
          <w:rtl/>
        </w:rPr>
        <w:t xml:space="preserve"> </w:t>
      </w:r>
      <w:r w:rsidRPr="0050146A">
        <w:rPr>
          <w:rStyle w:val="af6"/>
          <w:rFonts w:eastAsia="Guttman Hodes" w:hint="cs"/>
          <w:rtl/>
        </w:rPr>
        <w:t xml:space="preserve">(צט: ד"ה בראשי) </w:t>
      </w:r>
      <w:r w:rsidRPr="0050146A">
        <w:rPr>
          <w:rFonts w:hint="cs"/>
          <w:rtl/>
        </w:rPr>
        <w:t xml:space="preserve">דראש הלפת מתוק מזנבו, והטעם של הבשר ניכר בזנב הלפת בשיעור מועט, אבל בראש הלפת ניכר הטעם רק בשיעור גמור. </w:t>
      </w:r>
      <w:r w:rsidRPr="0050146A">
        <w:rPr>
          <w:rStyle w:val="afa"/>
          <w:rFonts w:hint="cs"/>
          <w:rtl/>
        </w:rPr>
        <w:t xml:space="preserve">[וע"ע </w:t>
      </w:r>
      <w:r w:rsidRPr="0050146A">
        <w:rPr>
          <w:rStyle w:val="affa"/>
          <w:rFonts w:hint="cs"/>
          <w:rtl/>
        </w:rPr>
        <w:t>בשאילתות דרב אחאי</w:t>
      </w:r>
      <w:r w:rsidRPr="0050146A">
        <w:rPr>
          <w:rStyle w:val="afa"/>
          <w:rFonts w:hint="cs"/>
          <w:rtl/>
        </w:rPr>
        <w:t xml:space="preserve"> </w:t>
      </w:r>
      <w:r w:rsidRPr="0050146A">
        <w:rPr>
          <w:rStyle w:val="aff6"/>
          <w:rFonts w:hint="cs"/>
          <w:rtl/>
        </w:rPr>
        <w:t>(פ' וישלח שאילתא כ"ד)</w:t>
      </w:r>
      <w:r w:rsidRPr="0050146A">
        <w:rPr>
          <w:rStyle w:val="afa"/>
          <w:rFonts w:hint="cs"/>
          <w:rtl/>
        </w:rPr>
        <w:t xml:space="preserve"> דכתב דראשי לפתות הם מרות ביותר, ואין הבשר נותן בהם טעם].</w:t>
      </w:r>
      <w:bookmarkEnd w:id="200"/>
    </w:p>
    <w:p w:rsidR="008442F8" w:rsidRPr="0050146A" w:rsidRDefault="008442F8" w:rsidP="008442F8">
      <w:pPr>
        <w:pStyle w:val="1"/>
        <w:rPr>
          <w:rtl/>
        </w:rPr>
      </w:pPr>
      <w:bookmarkStart w:id="201" w:name="_Toc6226571"/>
      <w:bookmarkStart w:id="202" w:name="_Toc6491243"/>
      <w:bookmarkStart w:id="203" w:name="_Toc6581295"/>
      <w:bookmarkStart w:id="204" w:name="_Toc6823619"/>
      <w:bookmarkStart w:id="205" w:name="_Toc6953530"/>
      <w:bookmarkStart w:id="206" w:name="_Toc8069036"/>
      <w:bookmarkStart w:id="207" w:name="_Toc8069108"/>
      <w:bookmarkStart w:id="208" w:name="_Toc8105980"/>
      <w:bookmarkStart w:id="209" w:name="_Toc8117823"/>
      <w:bookmarkStart w:id="210" w:name="_Toc8122471"/>
      <w:bookmarkStart w:id="211" w:name="_Toc8142923"/>
      <w:bookmarkStart w:id="212" w:name="_Toc8160685"/>
      <w:bookmarkStart w:id="213" w:name="_Toc8209169"/>
      <w:bookmarkStart w:id="214" w:name="_Toc8209307"/>
      <w:bookmarkStart w:id="215" w:name="_Toc8246330"/>
      <w:bookmarkStart w:id="216" w:name="_Toc5692564"/>
      <w:bookmarkStart w:id="217" w:name="_Toc5692604"/>
      <w:bookmarkStart w:id="218" w:name="_Toc5965280"/>
      <w:bookmarkStart w:id="219" w:name="_Toc6226560"/>
      <w:bookmarkStart w:id="220" w:name="_Toc6491229"/>
      <w:bookmarkStart w:id="221" w:name="_Toc6581282"/>
      <w:bookmarkStart w:id="222" w:name="_Toc6823615"/>
      <w:bookmarkStart w:id="223" w:name="_Toc6953526"/>
      <w:bookmarkStart w:id="224" w:name="_Toc8069031"/>
      <w:bookmarkStart w:id="225" w:name="_Toc8069103"/>
      <w:r w:rsidRPr="0050146A">
        <w:rPr>
          <w:rFonts w:hint="cs"/>
          <w:rtl/>
        </w:rPr>
        <w:t>פלוגתת האחרונים בדעת רש"י</w:t>
      </w:r>
      <w:bookmarkEnd w:id="201"/>
      <w:bookmarkEnd w:id="202"/>
      <w:bookmarkEnd w:id="203"/>
      <w:bookmarkEnd w:id="204"/>
      <w:bookmarkEnd w:id="205"/>
      <w:bookmarkEnd w:id="206"/>
      <w:bookmarkEnd w:id="207"/>
      <w:r w:rsidRPr="0050146A">
        <w:rPr>
          <w:rFonts w:hint="cs"/>
          <w:rtl/>
        </w:rPr>
        <w:t xml:space="preserve"> אי בשר ולפת הוא שישים</w:t>
      </w:r>
      <w:bookmarkEnd w:id="208"/>
      <w:bookmarkEnd w:id="209"/>
      <w:bookmarkEnd w:id="210"/>
      <w:bookmarkEnd w:id="211"/>
      <w:bookmarkEnd w:id="212"/>
      <w:bookmarkEnd w:id="213"/>
      <w:bookmarkEnd w:id="214"/>
      <w:bookmarkEnd w:id="215"/>
    </w:p>
    <w:p w:rsidR="008442F8" w:rsidRPr="0050146A" w:rsidRDefault="008442F8" w:rsidP="008442F8">
      <w:pPr>
        <w:pStyle w:val="a2"/>
        <w:rPr>
          <w:rtl/>
        </w:rPr>
      </w:pPr>
      <w:bookmarkStart w:id="226" w:name="_Toc8142924"/>
      <w:bookmarkStart w:id="227" w:name="_Toc8160686"/>
      <w:bookmarkStart w:id="228" w:name="_Toc8209170"/>
      <w:bookmarkStart w:id="229" w:name="_Toc8209308"/>
      <w:bookmarkStart w:id="230" w:name="_Toc8246331"/>
      <w:bookmarkStart w:id="231" w:name="_Toc8105982"/>
      <w:bookmarkStart w:id="232" w:name="_Toc8117824"/>
      <w:bookmarkStart w:id="233" w:name="_Toc8122472"/>
      <w:r w:rsidRPr="0050146A">
        <w:rPr>
          <w:rFonts w:hint="cs"/>
          <w:rtl/>
        </w:rPr>
        <w:t>דברי ה</w:t>
      </w:r>
      <w:r w:rsidR="00250230">
        <w:rPr>
          <w:rFonts w:hint="cs"/>
          <w:rtl/>
        </w:rPr>
        <w:t>פלתי</w:t>
      </w:r>
      <w:r w:rsidRPr="0050146A">
        <w:rPr>
          <w:rFonts w:hint="cs"/>
          <w:rtl/>
        </w:rPr>
        <w:t xml:space="preserve"> דברש"י לעיל מבואר דשיעור בשר בלפת הוא שישים</w:t>
      </w:r>
      <w:bookmarkEnd w:id="226"/>
      <w:bookmarkEnd w:id="227"/>
      <w:bookmarkEnd w:id="228"/>
      <w:bookmarkEnd w:id="229"/>
      <w:bookmarkEnd w:id="230"/>
    </w:p>
    <w:p w:rsidR="002D7168" w:rsidRDefault="008442F8" w:rsidP="009F44AF">
      <w:pPr>
        <w:pStyle w:val="a"/>
        <w:rPr>
          <w:rtl/>
        </w:rPr>
      </w:pPr>
      <w:r w:rsidRPr="0050146A">
        <w:rPr>
          <w:rFonts w:hint="cs"/>
          <w:rtl/>
        </w:rPr>
        <w:t xml:space="preserve">כתב </w:t>
      </w:r>
      <w:r w:rsidRPr="0050146A">
        <w:rPr>
          <w:rStyle w:val="af8"/>
          <w:rFonts w:hint="cs"/>
          <w:rtl/>
        </w:rPr>
        <w:t>ה</w:t>
      </w:r>
      <w:r w:rsidR="00250230">
        <w:rPr>
          <w:rStyle w:val="af8"/>
          <w:rFonts w:hint="cs"/>
          <w:rtl/>
        </w:rPr>
        <w:t>פלתי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Ref8141014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50146A">
        <w:rPr>
          <w:rStyle w:val="af6"/>
          <w:rFonts w:eastAsia="Guttman Hodes"/>
          <w:rtl/>
        </w:rPr>
        <w:fldChar w:fldCharType="end"/>
      </w:r>
      <w:r w:rsidRPr="0050146A">
        <w:rPr>
          <w:rFonts w:hint="cs"/>
          <w:rtl/>
        </w:rPr>
        <w:t xml:space="preserve"> דמדברי </w:t>
      </w:r>
      <w:r w:rsidRPr="0050146A">
        <w:rPr>
          <w:rStyle w:val="af8"/>
          <w:rFonts w:hint="cs"/>
          <w:rtl/>
        </w:rPr>
        <w:t xml:space="preserve">רש"י לעיל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Ref6218810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מבואר דשיעור בשר בלפת הוא בשישים, ואין חילוק בין שיעור גיד, לשיעור שאר האיסורים.</w:t>
      </w:r>
    </w:p>
    <w:p w:rsidR="008442F8" w:rsidRPr="0050146A" w:rsidRDefault="008442F8" w:rsidP="008442F8">
      <w:pPr>
        <w:pStyle w:val="a2"/>
        <w:rPr>
          <w:rtl/>
        </w:rPr>
      </w:pPr>
      <w:bookmarkStart w:id="234" w:name="_Toc8142925"/>
      <w:bookmarkStart w:id="235" w:name="_Toc8160687"/>
      <w:bookmarkStart w:id="236" w:name="_Toc8209171"/>
      <w:bookmarkStart w:id="237" w:name="_Toc8209309"/>
      <w:bookmarkStart w:id="238" w:name="_Toc8246332"/>
      <w:r w:rsidRPr="0050146A">
        <w:rPr>
          <w:rFonts w:hint="cs"/>
          <w:rtl/>
        </w:rPr>
        <w:t>ביאור המלא הרועים ברש"י דשיעור בשר בלפת הוא שישים</w:t>
      </w:r>
      <w:bookmarkEnd w:id="231"/>
      <w:bookmarkEnd w:id="232"/>
      <w:bookmarkEnd w:id="233"/>
      <w:bookmarkEnd w:id="234"/>
      <w:bookmarkEnd w:id="235"/>
      <w:bookmarkEnd w:id="236"/>
      <w:bookmarkEnd w:id="237"/>
      <w:bookmarkEnd w:id="238"/>
    </w:p>
    <w:p w:rsidR="008442F8" w:rsidRPr="0050146A" w:rsidRDefault="008442F8" w:rsidP="009F44AF">
      <w:pPr>
        <w:pStyle w:val="a"/>
        <w:rPr>
          <w:rStyle w:val="afa"/>
        </w:rPr>
      </w:pPr>
      <w:bookmarkStart w:id="239" w:name="_Ref5695655"/>
      <w:bookmarkStart w:id="240" w:name="_Toc8105983"/>
      <w:bookmarkStart w:id="241" w:name="_Toc8117825"/>
      <w:bookmarkStart w:id="242" w:name="_Toc8122473"/>
      <w:bookmarkStart w:id="243" w:name="_Toc8142926"/>
      <w:bookmarkStart w:id="244" w:name="_Toc8160688"/>
      <w:bookmarkStart w:id="245" w:name="_Toc8209172"/>
      <w:bookmarkStart w:id="246" w:name="_Toc8209310"/>
      <w:bookmarkStart w:id="247" w:name="_Toc8246333"/>
      <w:r w:rsidRPr="0050146A">
        <w:rPr>
          <w:rStyle w:val="af8"/>
          <w:rFonts w:hint="cs"/>
          <w:rtl/>
        </w:rPr>
        <w:t>והמלא הרועים</w:t>
      </w:r>
      <w:r w:rsidRPr="0050146A">
        <w:rPr>
          <w:rFonts w:hint="cs"/>
          <w:rtl/>
        </w:rPr>
        <w:t xml:space="preserve"> </w:t>
      </w:r>
      <w:r w:rsidRPr="0050146A">
        <w:rPr>
          <w:rStyle w:val="af6"/>
          <w:rFonts w:eastAsia="Guttman Hodes" w:hint="cs"/>
          <w:rtl/>
        </w:rPr>
        <w:t>(על רש"י ד"ה בנותן טעם)</w:t>
      </w:r>
      <w:r w:rsidRPr="0050146A">
        <w:rPr>
          <w:rFonts w:hint="cs"/>
          <w:rtl/>
        </w:rPr>
        <w:t xml:space="preserve"> כתב דמדברי </w:t>
      </w:r>
      <w:r w:rsidRPr="0050146A">
        <w:rPr>
          <w:rStyle w:val="af8"/>
          <w:rFonts w:hint="cs"/>
          <w:rtl/>
        </w:rPr>
        <w:t>רש"י במתני'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Ref5695677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מבואר דס"ל </w:t>
      </w:r>
      <w:r w:rsidRPr="0050146A">
        <w:rPr>
          <w:rStyle w:val="af8"/>
          <w:rFonts w:hint="cs"/>
          <w:rtl/>
        </w:rPr>
        <w:t>כתוס'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Ref5652579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Fonts w:hint="cs"/>
          <w:rtl/>
        </w:rPr>
        <w:t xml:space="preserve"> דשיעור בשר בלפת הוא שישים, </w:t>
      </w:r>
      <w:r w:rsidRPr="0050146A">
        <w:rPr>
          <w:rFonts w:hint="cs"/>
          <w:rtl/>
        </w:rPr>
        <w:t xml:space="preserve">וא"א לומר דס"ל </w:t>
      </w:r>
      <w:r w:rsidRPr="0050146A">
        <w:rPr>
          <w:rStyle w:val="af8"/>
          <w:rFonts w:hint="cs"/>
          <w:rtl/>
        </w:rPr>
        <w:t>לרש"י</w:t>
      </w:r>
      <w:r w:rsidRPr="0050146A">
        <w:rPr>
          <w:rFonts w:hint="cs"/>
          <w:rtl/>
        </w:rPr>
        <w:t xml:space="preserve"> דשיעור בשר בלפת הוא פחות משיעור שישים, והקילו בגיד בירך כיון שאינו נותן טעם, דאי הוא פחות משישים א"כ אמאי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Ref5695677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דבגיד שנתבשל עם הגידים מחמירים לשער בשישים, הרי אי במין בשאינו מינו שאסור מדאו' סגי בשיעור בשר בלפת </w:t>
      </w:r>
      <w:r w:rsidRPr="0050146A">
        <w:rPr>
          <w:rStyle w:val="afa"/>
          <w:rFonts w:hint="cs"/>
          <w:rtl/>
        </w:rPr>
        <w:t>[דהיינו פחות משישים]</w:t>
      </w:r>
      <w:r w:rsidRPr="0050146A">
        <w:rPr>
          <w:rFonts w:hint="cs"/>
          <w:rtl/>
        </w:rPr>
        <w:t xml:space="preserve">, כ"ש במין במינו שהוא אסור רק מדרבנן דגזרו אטו מין בשאינו מינו, דסגי בשישים. </w:t>
      </w:r>
      <w:r w:rsidRPr="0050146A">
        <w:rPr>
          <w:rStyle w:val="afa"/>
          <w:rFonts w:hint="cs"/>
          <w:rtl/>
        </w:rPr>
        <w:t xml:space="preserve">[אך ציין </w:t>
      </w:r>
      <w:r w:rsidRPr="0050146A">
        <w:rPr>
          <w:rStyle w:val="affa"/>
          <w:rFonts w:hint="cs"/>
          <w:rtl/>
        </w:rPr>
        <w:t>המלא הרועים</w:t>
      </w:r>
      <w:r w:rsidRPr="0050146A">
        <w:rPr>
          <w:rStyle w:val="afa"/>
          <w:rFonts w:hint="cs"/>
          <w:rtl/>
        </w:rPr>
        <w:t xml:space="preserve"> לדבריו לקמן </w:t>
      </w:r>
      <w:r w:rsidRPr="0050146A">
        <w:rPr>
          <w:rStyle w:val="aff6"/>
          <w:rFonts w:hint="cs"/>
          <w:rtl/>
        </w:rPr>
        <w:t>(צז. על תוד"ה אבל, בהגה"ה)</w:t>
      </w:r>
      <w:r w:rsidRPr="0050146A">
        <w:rPr>
          <w:rStyle w:val="afa"/>
          <w:rFonts w:hint="cs"/>
          <w:rtl/>
        </w:rPr>
        <w:t xml:space="preserve"> דכתב דכיון דבסיפא כתב </w:t>
      </w:r>
      <w:r w:rsidRPr="0050146A">
        <w:rPr>
          <w:rStyle w:val="affa"/>
          <w:rFonts w:hint="cs"/>
          <w:rtl/>
        </w:rPr>
        <w:t>רש"י</w:t>
      </w:r>
      <w:r w:rsidRPr="0050146A">
        <w:rPr>
          <w:rStyle w:val="afa"/>
          <w:rFonts w:hint="cs"/>
          <w:rtl/>
        </w:rPr>
        <w:t xml:space="preserve"> דהשיעור בגיד בין הגידים הוא בשישים, א"כ משמע דברישא השיעור אינו בשישים].</w:t>
      </w:r>
      <w:bookmarkEnd w:id="239"/>
    </w:p>
    <w:p w:rsidR="008442F8" w:rsidRPr="0050146A" w:rsidRDefault="008442F8" w:rsidP="008442F8">
      <w:pPr>
        <w:pStyle w:val="a2"/>
        <w:rPr>
          <w:rtl/>
        </w:rPr>
      </w:pPr>
      <w:r w:rsidRPr="0050146A">
        <w:rPr>
          <w:rFonts w:hint="cs"/>
          <w:rtl/>
        </w:rPr>
        <w:t>ביאור התפארת יעקב ברש"י דשיעור בשר בלפת אינו שיעור שישים</w:t>
      </w:r>
      <w:bookmarkEnd w:id="240"/>
      <w:bookmarkEnd w:id="241"/>
      <w:bookmarkEnd w:id="242"/>
      <w:bookmarkEnd w:id="243"/>
      <w:bookmarkEnd w:id="244"/>
      <w:bookmarkEnd w:id="245"/>
      <w:bookmarkEnd w:id="246"/>
      <w:bookmarkEnd w:id="247"/>
    </w:p>
    <w:p w:rsidR="008442F8" w:rsidRPr="0050146A" w:rsidRDefault="008442F8" w:rsidP="009F44AF">
      <w:pPr>
        <w:pStyle w:val="a"/>
        <w:rPr>
          <w:rtl/>
        </w:rPr>
      </w:pPr>
      <w:bookmarkStart w:id="248" w:name="_Ref8070626"/>
      <w:r w:rsidRPr="0050146A">
        <w:rPr>
          <w:rFonts w:hint="cs"/>
          <w:rtl/>
        </w:rPr>
        <w:t xml:space="preserve">אבל </w:t>
      </w:r>
      <w:r w:rsidRPr="0050146A">
        <w:rPr>
          <w:rStyle w:val="af8"/>
          <w:rFonts w:hint="cs"/>
          <w:rtl/>
        </w:rPr>
        <w:t>התפארת יעקב</w:t>
      </w:r>
      <w:r w:rsidRPr="0050146A">
        <w:rPr>
          <w:rFonts w:hint="cs"/>
          <w:rtl/>
        </w:rPr>
        <w:t xml:space="preserve"> </w:t>
      </w:r>
      <w:r w:rsidRPr="0050146A">
        <w:rPr>
          <w:rStyle w:val="af6"/>
          <w:rFonts w:eastAsia="Guttman Hodes" w:hint="cs"/>
          <w:rtl/>
        </w:rPr>
        <w:t>(ד"ה כיצד)</w:t>
      </w:r>
      <w:r w:rsidRPr="0050146A">
        <w:rPr>
          <w:rFonts w:hint="cs"/>
          <w:rtl/>
        </w:rPr>
        <w:t xml:space="preserve"> כתב דמדכתב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Ref5651374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דשיעור בשר בלפת הוא מהלכה למשה מסיני, א"כ משמע שאינו שיעור שישים, דהא שישים הוא מדרבנן כדכתב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Ref5695677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והוא מהנסיון בטבע ואינו מהלכה, והוסיף </w:t>
      </w:r>
      <w:r w:rsidRPr="0050146A">
        <w:rPr>
          <w:rStyle w:val="af8"/>
          <w:rFonts w:hint="cs"/>
          <w:rtl/>
        </w:rPr>
        <w:t>התפארת יעקב</w:t>
      </w:r>
      <w:r w:rsidRPr="0050146A">
        <w:rPr>
          <w:rFonts w:hint="cs"/>
          <w:rtl/>
        </w:rPr>
        <w:t xml:space="preserve"> דאי ס"ל </w:t>
      </w:r>
      <w:r w:rsidRPr="0050146A">
        <w:rPr>
          <w:rStyle w:val="af8"/>
          <w:rFonts w:hint="cs"/>
          <w:rtl/>
        </w:rPr>
        <w:t>לרש"י</w:t>
      </w:r>
      <w:r w:rsidRPr="0050146A">
        <w:rPr>
          <w:rFonts w:hint="cs"/>
          <w:rtl/>
        </w:rPr>
        <w:t xml:space="preserve"> דהם שיעור אחד אמאי תנן במתני' בשר בלפת, ולא תנן שישים שהוא ההלכה, דהיאך אפש"ל דההלכה למשה מסיני לא נאמרה בשיעור הקצוב שהוא השישים, וכן מהא דבסיפא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Ref5695677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דבבמין במינו שא"א לעמוד על הטעם אמרו שיעור שישים, משמע דאינו אותו השיעור ברישא, עיי"ש בדבריו, אלא כתב </w:t>
      </w:r>
      <w:r w:rsidRPr="0050146A">
        <w:rPr>
          <w:rStyle w:val="af8"/>
          <w:rFonts w:hint="cs"/>
          <w:rtl/>
        </w:rPr>
        <w:t>התפארת יעקב</w:t>
      </w:r>
      <w:r w:rsidRPr="0050146A">
        <w:rPr>
          <w:rFonts w:hint="cs"/>
          <w:rtl/>
        </w:rPr>
        <w:t xml:space="preserve"> דמוכח </w:t>
      </w:r>
      <w:r w:rsidRPr="0050146A">
        <w:rPr>
          <w:rStyle w:val="af8"/>
          <w:rFonts w:hint="cs"/>
          <w:rtl/>
        </w:rPr>
        <w:t>דרש"י</w:t>
      </w:r>
      <w:r w:rsidRPr="0050146A">
        <w:rPr>
          <w:rFonts w:hint="cs"/>
          <w:rtl/>
        </w:rPr>
        <w:t xml:space="preserve"> פליג על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Ref6218819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וס"ל </w:t>
      </w:r>
      <w:r w:rsidRPr="0050146A">
        <w:rPr>
          <w:rStyle w:val="af8"/>
          <w:rFonts w:hint="cs"/>
          <w:rtl/>
        </w:rPr>
        <w:t>לרש"י</w:t>
      </w:r>
      <w:r w:rsidRPr="0050146A">
        <w:rPr>
          <w:rFonts w:hint="cs"/>
          <w:rtl/>
        </w:rPr>
        <w:t xml:space="preserve"> דשיעור בשר בלפת אינו שיעור שישים.</w:t>
      </w:r>
      <w:bookmarkEnd w:id="248"/>
    </w:p>
    <w:p w:rsidR="008442F8" w:rsidRPr="0050146A" w:rsidRDefault="008442F8" w:rsidP="008442F8">
      <w:pPr>
        <w:pStyle w:val="a2"/>
      </w:pPr>
      <w:bookmarkStart w:id="249" w:name="_Toc8105984"/>
      <w:bookmarkStart w:id="250" w:name="_Toc8117826"/>
      <w:bookmarkStart w:id="251" w:name="_Toc8122474"/>
      <w:bookmarkStart w:id="252" w:name="_Toc8142927"/>
      <w:bookmarkStart w:id="253" w:name="_Toc8160689"/>
      <w:bookmarkStart w:id="254" w:name="_Toc8209173"/>
      <w:bookmarkStart w:id="255" w:name="_Toc8209311"/>
      <w:bookmarkStart w:id="256" w:name="_Toc8246334"/>
      <w:r w:rsidRPr="0050146A">
        <w:rPr>
          <w:rFonts w:hint="cs"/>
          <w:rtl/>
        </w:rPr>
        <w:t>דברי התפארת יעקב דאף דברש"י לעיל משמע דהוא שיעור שישים צ"ל דאי"ז כוונתו</w:t>
      </w:r>
      <w:bookmarkEnd w:id="249"/>
      <w:bookmarkEnd w:id="250"/>
      <w:bookmarkEnd w:id="251"/>
      <w:bookmarkEnd w:id="252"/>
      <w:bookmarkEnd w:id="253"/>
      <w:bookmarkEnd w:id="254"/>
      <w:bookmarkEnd w:id="255"/>
      <w:bookmarkEnd w:id="256"/>
    </w:p>
    <w:p w:rsidR="008442F8" w:rsidRPr="0050146A" w:rsidRDefault="008442F8" w:rsidP="009F44AF">
      <w:pPr>
        <w:pStyle w:val="a"/>
      </w:pPr>
      <w:bookmarkStart w:id="257" w:name="_Ref8070338"/>
      <w:r w:rsidRPr="0050146A">
        <w:rPr>
          <w:rFonts w:hint="cs"/>
          <w:rtl/>
        </w:rPr>
        <w:t xml:space="preserve">והוסיף </w:t>
      </w:r>
      <w:r w:rsidRPr="0050146A">
        <w:rPr>
          <w:rStyle w:val="af8"/>
          <w:rFonts w:hint="cs"/>
          <w:rtl/>
        </w:rPr>
        <w:t>התפארת יעקב</w:t>
      </w:r>
      <w:r w:rsidRPr="0050146A">
        <w:rPr>
          <w:rFonts w:hint="cs"/>
          <w:rtl/>
        </w:rPr>
        <w:t xml:space="preserve"> דאף </w:t>
      </w:r>
      <w:r w:rsidRPr="0050146A">
        <w:rPr>
          <w:rStyle w:val="af8"/>
          <w:rFonts w:hint="cs"/>
          <w:rtl/>
        </w:rPr>
        <w:t>דרש"י לעיל</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Ref6218810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כתב על דברי המשנה בסוגיין דבכל נותן טעם שיערו חכמים בשישים, ובפשטות משמע דס"ל </w:t>
      </w:r>
      <w:r w:rsidRPr="0050146A">
        <w:rPr>
          <w:rStyle w:val="af8"/>
          <w:rFonts w:hint="cs"/>
          <w:rtl/>
        </w:rPr>
        <w:t>לרש"י לעיל</w:t>
      </w:r>
      <w:r w:rsidRPr="0050146A">
        <w:rPr>
          <w:rFonts w:hint="cs"/>
          <w:rtl/>
        </w:rPr>
        <w:t xml:space="preserve"> דשיעור בשר בלפת הוא שיעור שישים, מ"מ דחה </w:t>
      </w:r>
      <w:r w:rsidRPr="0050146A">
        <w:rPr>
          <w:rStyle w:val="af8"/>
          <w:rFonts w:hint="cs"/>
          <w:rtl/>
        </w:rPr>
        <w:t>התפארת יעקב</w:t>
      </w:r>
      <w:r w:rsidRPr="0050146A">
        <w:rPr>
          <w:rFonts w:hint="cs"/>
          <w:rtl/>
        </w:rPr>
        <w:t xml:space="preserve"> דאי"ז כוונת </w:t>
      </w:r>
      <w:r w:rsidRPr="0050146A">
        <w:rPr>
          <w:rStyle w:val="af8"/>
          <w:rFonts w:hint="cs"/>
          <w:rtl/>
        </w:rPr>
        <w:t>רש"י לעיל</w:t>
      </w:r>
      <w:r w:rsidRPr="0050146A">
        <w:rPr>
          <w:rFonts w:hint="cs"/>
          <w:rtl/>
        </w:rPr>
        <w:t xml:space="preserve"> עיי"ש בדבריו.</w:t>
      </w:r>
      <w:bookmarkEnd w:id="257"/>
    </w:p>
    <w:p w:rsidR="008442F8" w:rsidRPr="0050146A" w:rsidRDefault="008442F8" w:rsidP="008442F8">
      <w:pPr>
        <w:pStyle w:val="a2"/>
      </w:pPr>
      <w:bookmarkStart w:id="258" w:name="_Toc8117827"/>
      <w:bookmarkStart w:id="259" w:name="_Toc8122475"/>
      <w:bookmarkStart w:id="260" w:name="_Toc8142928"/>
      <w:bookmarkStart w:id="261" w:name="_Toc8160690"/>
      <w:bookmarkStart w:id="262" w:name="_Toc8209174"/>
      <w:bookmarkStart w:id="263" w:name="_Toc8209312"/>
      <w:bookmarkStart w:id="264" w:name="_Toc8246335"/>
      <w:bookmarkStart w:id="265" w:name="_Toc5692565"/>
      <w:bookmarkStart w:id="266" w:name="_Toc5692605"/>
      <w:bookmarkStart w:id="267" w:name="_Toc5965281"/>
      <w:bookmarkStart w:id="268" w:name="_Toc6226561"/>
      <w:bookmarkStart w:id="269" w:name="_Toc6491230"/>
      <w:bookmarkStart w:id="270" w:name="_Toc6581283"/>
      <w:bookmarkStart w:id="271" w:name="_Toc6823616"/>
      <w:bookmarkStart w:id="272" w:name="_Toc6953527"/>
      <w:bookmarkStart w:id="273" w:name="_Toc8069032"/>
      <w:bookmarkStart w:id="274" w:name="_Toc8069104"/>
      <w:bookmarkStart w:id="275" w:name="_Toc8105989"/>
      <w:bookmarkEnd w:id="216"/>
      <w:bookmarkEnd w:id="217"/>
      <w:bookmarkEnd w:id="218"/>
      <w:bookmarkEnd w:id="219"/>
      <w:bookmarkEnd w:id="220"/>
      <w:bookmarkEnd w:id="221"/>
      <w:bookmarkEnd w:id="222"/>
      <w:bookmarkEnd w:id="223"/>
      <w:bookmarkEnd w:id="224"/>
      <w:bookmarkEnd w:id="225"/>
      <w:r w:rsidRPr="0050146A">
        <w:rPr>
          <w:rFonts w:hint="cs"/>
          <w:rtl/>
        </w:rPr>
        <w:t>ביאורי התפארת יעקב ברש"י בנתינת הטעם בגיד בירך ובבשר בלפת</w:t>
      </w:r>
      <w:bookmarkEnd w:id="258"/>
      <w:bookmarkEnd w:id="259"/>
      <w:bookmarkEnd w:id="260"/>
      <w:bookmarkEnd w:id="261"/>
      <w:bookmarkEnd w:id="262"/>
      <w:bookmarkEnd w:id="263"/>
      <w:bookmarkEnd w:id="264"/>
    </w:p>
    <w:p w:rsidR="008442F8" w:rsidRPr="0050146A" w:rsidRDefault="008442F8" w:rsidP="009F44AF">
      <w:pPr>
        <w:pStyle w:val="a"/>
        <w:rPr>
          <w:rtl/>
        </w:rPr>
      </w:pPr>
      <w:bookmarkStart w:id="276" w:name="_Ref8640246"/>
      <w:r w:rsidRPr="0050146A">
        <w:rPr>
          <w:rFonts w:hint="cs"/>
          <w:rtl/>
        </w:rPr>
        <w:t xml:space="preserve">וכתב </w:t>
      </w:r>
      <w:r w:rsidRPr="0050146A">
        <w:rPr>
          <w:rStyle w:val="af8"/>
          <w:rFonts w:hint="cs"/>
          <w:rtl/>
        </w:rPr>
        <w:t>התפארת יעקב</w:t>
      </w:r>
      <w:r w:rsidRPr="0050146A">
        <w:rPr>
          <w:rFonts w:hint="cs"/>
          <w:rtl/>
        </w:rPr>
        <w:t xml:space="preserve"> </w:t>
      </w:r>
      <w:r w:rsidRPr="0050146A">
        <w:rPr>
          <w:rStyle w:val="af6"/>
          <w:rFonts w:eastAsia="Guttman Hodes" w:hint="cs"/>
          <w:rtl/>
        </w:rPr>
        <w:t>(ד"ה ומעתה)</w:t>
      </w:r>
      <w:r w:rsidRPr="0050146A">
        <w:rPr>
          <w:rFonts w:hint="cs"/>
          <w:rtl/>
        </w:rPr>
        <w:t xml:space="preserve"> דמשמע בדברי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Ref6222365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דאף שאין הגיד נותן טעם, מ"מ משערים שאם היה הגיד בשר והירך לפת היה נותן בו טעם, והלכה למשה מסיני דכך הוא השיעור, או דס"ל </w:t>
      </w:r>
      <w:r w:rsidRPr="0050146A">
        <w:rPr>
          <w:rStyle w:val="af8"/>
          <w:rFonts w:hint="cs"/>
          <w:rtl/>
        </w:rPr>
        <w:t>לרש"י</w:t>
      </w:r>
      <w:r w:rsidRPr="0050146A">
        <w:rPr>
          <w:rFonts w:hint="cs"/>
          <w:rtl/>
        </w:rPr>
        <w:t xml:space="preserve"> דבשר אינו נותן כ"כ טעם בלפת כיון שהיא מתוקה, ולכן משערים בגיד שאינו נותן הרבה טעם בירך, אף למ"ד דיש בגידין בנותן טעם, ועיי"ש בדברי </w:t>
      </w:r>
      <w:r w:rsidRPr="0050146A">
        <w:rPr>
          <w:rStyle w:val="af8"/>
          <w:rFonts w:hint="cs"/>
          <w:rtl/>
        </w:rPr>
        <w:t>התפארת יעקב</w:t>
      </w:r>
      <w:r w:rsidRPr="0050146A">
        <w:rPr>
          <w:rFonts w:hint="cs"/>
          <w:rtl/>
        </w:rPr>
        <w:t xml:space="preserve"> דכתב ב' פירושים בדעת </w:t>
      </w:r>
      <w:r w:rsidRPr="0050146A">
        <w:rPr>
          <w:rStyle w:val="af8"/>
          <w:rFonts w:hint="cs"/>
          <w:rtl/>
        </w:rPr>
        <w:t>רש"י</w:t>
      </w:r>
      <w:r w:rsidRPr="0050146A">
        <w:rPr>
          <w:rFonts w:hint="cs"/>
          <w:rtl/>
        </w:rPr>
        <w:t xml:space="preserve"> בזה, וע"ע במ"ש </w:t>
      </w:r>
      <w:r w:rsidRPr="0050146A">
        <w:rPr>
          <w:rStyle w:val="af8"/>
          <w:rFonts w:hint="cs"/>
          <w:rtl/>
        </w:rPr>
        <w:t>התפארת יעקב</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Ref8117408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בדברי </w:t>
      </w:r>
      <w:r w:rsidRPr="0050146A">
        <w:rPr>
          <w:rStyle w:val="af8"/>
          <w:rFonts w:hint="cs"/>
          <w:rtl/>
        </w:rPr>
        <w:t>הרמב"ם בפיהמ"ש</w:t>
      </w:r>
      <w:r w:rsidRPr="0050146A">
        <w:rPr>
          <w:rFonts w:hint="cs"/>
          <w:rtl/>
        </w:rPr>
        <w:t>.</w:t>
      </w:r>
      <w:bookmarkEnd w:id="276"/>
    </w:p>
    <w:p w:rsidR="008442F8" w:rsidRPr="0050146A" w:rsidRDefault="008442F8" w:rsidP="008442F8">
      <w:pPr>
        <w:pStyle w:val="a2"/>
        <w:rPr>
          <w:rtl/>
        </w:rPr>
      </w:pPr>
      <w:bookmarkStart w:id="277" w:name="_Toc8142929"/>
      <w:bookmarkStart w:id="278" w:name="_Toc8160691"/>
      <w:bookmarkStart w:id="279" w:name="_Toc8209175"/>
      <w:bookmarkStart w:id="280" w:name="_Toc8209313"/>
      <w:bookmarkStart w:id="281" w:name="_Toc8246336"/>
      <w:r w:rsidRPr="0050146A">
        <w:rPr>
          <w:rFonts w:hint="cs"/>
          <w:rtl/>
        </w:rPr>
        <w:t>דברי היד יהודה ברש"י דשיעור בשר בלפת אינו שישים דרק בשר בשיעור גדול מורגש בראש הלפת</w:t>
      </w:r>
      <w:bookmarkEnd w:id="277"/>
      <w:bookmarkEnd w:id="278"/>
      <w:bookmarkEnd w:id="279"/>
      <w:bookmarkEnd w:id="280"/>
      <w:bookmarkEnd w:id="281"/>
    </w:p>
    <w:p w:rsidR="008442F8" w:rsidRPr="0050146A" w:rsidRDefault="008442F8" w:rsidP="009F44AF">
      <w:pPr>
        <w:pStyle w:val="a"/>
      </w:pPr>
      <w:r w:rsidRPr="0050146A">
        <w:rPr>
          <w:rStyle w:val="af8"/>
          <w:rFonts w:hint="cs"/>
          <w:rtl/>
        </w:rPr>
        <w:t xml:space="preserve">והיד יהודה </w:t>
      </w:r>
      <w:r w:rsidRPr="0050146A">
        <w:rPr>
          <w:rStyle w:val="af6"/>
          <w:rFonts w:eastAsia="Guttman Hodes" w:hint="cs"/>
          <w:rtl/>
        </w:rPr>
        <w:t>(סי</w:t>
      </w:r>
      <w:r w:rsidRPr="0050146A">
        <w:rPr>
          <w:rStyle w:val="af6"/>
          <w:rFonts w:eastAsia="Guttman Hodes"/>
          <w:rtl/>
        </w:rPr>
        <w:t>'</w:t>
      </w:r>
      <w:r w:rsidRPr="0050146A">
        <w:rPr>
          <w:rStyle w:val="af6"/>
          <w:rFonts w:eastAsia="Guttman Hodes" w:hint="cs"/>
          <w:rtl/>
        </w:rPr>
        <w:t xml:space="preserve"> צ</w:t>
      </w:r>
      <w:r w:rsidRPr="0050146A">
        <w:rPr>
          <w:rStyle w:val="af6"/>
          <w:rFonts w:eastAsia="Guttman Hodes"/>
          <w:rtl/>
        </w:rPr>
        <w:t>"</w:t>
      </w:r>
      <w:r w:rsidRPr="0050146A">
        <w:rPr>
          <w:rStyle w:val="af6"/>
          <w:rFonts w:eastAsia="Guttman Hodes" w:hint="cs"/>
          <w:rtl/>
        </w:rPr>
        <w:t>ח סק</w:t>
      </w:r>
      <w:r w:rsidRPr="0050146A">
        <w:rPr>
          <w:rStyle w:val="af6"/>
          <w:rFonts w:eastAsia="Guttman Hodes"/>
          <w:rtl/>
        </w:rPr>
        <w:t>"</w:t>
      </w:r>
      <w:r w:rsidRPr="0050146A">
        <w:rPr>
          <w:rStyle w:val="af6"/>
          <w:rFonts w:eastAsia="Guttman Hodes" w:hint="cs"/>
          <w:rtl/>
        </w:rPr>
        <w:t xml:space="preserve">ג ד"ה עוד הקשו) </w:t>
      </w:r>
      <w:r w:rsidRPr="0050146A">
        <w:rPr>
          <w:rFonts w:hint="cs"/>
          <w:rtl/>
        </w:rPr>
        <w:t xml:space="preserve">כתב דמדברי </w:t>
      </w:r>
      <w:r w:rsidRPr="0050146A">
        <w:rPr>
          <w:rStyle w:val="af8"/>
          <w:rFonts w:hint="cs"/>
          <w:rtl/>
        </w:rPr>
        <w:t>רש"י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Ref8141102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50146A">
        <w:rPr>
          <w:rStyle w:val="af6"/>
          <w:rFonts w:eastAsia="Guttman Hodes"/>
          <w:rtl/>
        </w:rPr>
        <w:fldChar w:fldCharType="end"/>
      </w:r>
      <w:r w:rsidRPr="0050146A">
        <w:rPr>
          <w:rFonts w:hint="cs"/>
          <w:rtl/>
        </w:rPr>
        <w:t xml:space="preserve"> דכתב דמשערים בראשי לפתות שהטעם ניכר בהם רק בשיעור גמור, מוכח דשיעור בשר בלפת אינו שיעור שישים, אלא רק כשיש שיעור גדול של בשר ניכר הטעם, וא"כ רק גיד בשיעור גדול אוסר, עיי"ש בדבריו. </w:t>
      </w:r>
    </w:p>
    <w:p w:rsidR="008442F8" w:rsidRPr="0050146A" w:rsidRDefault="008442F8" w:rsidP="008442F8">
      <w:pPr>
        <w:pStyle w:val="1"/>
        <w:rPr>
          <w:rtl/>
        </w:rPr>
      </w:pPr>
      <w:bookmarkStart w:id="282" w:name="_Toc8117828"/>
      <w:bookmarkStart w:id="283" w:name="_Toc8122476"/>
      <w:bookmarkStart w:id="284" w:name="_Toc8142930"/>
      <w:bookmarkStart w:id="285" w:name="_Toc8160692"/>
      <w:bookmarkStart w:id="286" w:name="_Toc8209176"/>
      <w:bookmarkStart w:id="287" w:name="_Toc8209314"/>
      <w:bookmarkStart w:id="288" w:name="_Toc8246337"/>
      <w:r w:rsidRPr="0050146A">
        <w:rPr>
          <w:rFonts w:hint="cs"/>
          <w:rtl/>
        </w:rPr>
        <w:t>דברי רש"י לקמן בשיעור בצל וקפלוט</w:t>
      </w:r>
      <w:bookmarkEnd w:id="282"/>
      <w:bookmarkEnd w:id="283"/>
      <w:bookmarkEnd w:id="284"/>
      <w:bookmarkEnd w:id="285"/>
      <w:bookmarkEnd w:id="286"/>
      <w:bookmarkEnd w:id="287"/>
      <w:bookmarkEnd w:id="288"/>
    </w:p>
    <w:p w:rsidR="008442F8" w:rsidRPr="0050146A" w:rsidRDefault="008442F8" w:rsidP="008442F8">
      <w:pPr>
        <w:pStyle w:val="a2"/>
        <w:rPr>
          <w:rtl/>
        </w:rPr>
      </w:pPr>
      <w:bookmarkStart w:id="289" w:name="_Toc8117829"/>
      <w:bookmarkStart w:id="290" w:name="_Toc8122477"/>
      <w:bookmarkStart w:id="291" w:name="_Toc8142931"/>
      <w:bookmarkStart w:id="292" w:name="_Toc8160693"/>
      <w:bookmarkStart w:id="293" w:name="_Toc8209177"/>
      <w:bookmarkStart w:id="294" w:name="_Toc8209315"/>
      <w:bookmarkStart w:id="295" w:name="_Toc8246338"/>
      <w:r w:rsidRPr="0050146A">
        <w:rPr>
          <w:rFonts w:hint="cs"/>
          <w:rtl/>
        </w:rPr>
        <w:t>דברי רש"י דדברי ריו"ח דמשערים בבצל בקפלוט הוא בשאר איסורים ולא בגיד בירך</w:t>
      </w:r>
      <w:bookmarkEnd w:id="289"/>
      <w:bookmarkEnd w:id="290"/>
      <w:bookmarkEnd w:id="291"/>
      <w:bookmarkEnd w:id="292"/>
      <w:bookmarkEnd w:id="293"/>
      <w:bookmarkEnd w:id="294"/>
      <w:bookmarkEnd w:id="295"/>
      <w:r w:rsidRPr="0050146A">
        <w:rPr>
          <w:rFonts w:hint="cs"/>
          <w:rtl/>
        </w:rPr>
        <w:t xml:space="preserve"> </w:t>
      </w:r>
    </w:p>
    <w:p w:rsidR="008442F8" w:rsidRPr="0050146A" w:rsidRDefault="008442F8" w:rsidP="009F44AF">
      <w:pPr>
        <w:pStyle w:val="a"/>
        <w:rPr>
          <w:rtl/>
        </w:rPr>
      </w:pPr>
      <w:bookmarkStart w:id="296" w:name="_Ref6738503"/>
      <w:r w:rsidRPr="0050146A">
        <w:rPr>
          <w:rFonts w:hint="cs"/>
          <w:rtl/>
        </w:rPr>
        <w:t xml:space="preserve">בהא דאמר ריו"ח בגמ' לקמן </w:t>
      </w:r>
      <w:r w:rsidRPr="0050146A">
        <w:rPr>
          <w:rStyle w:val="af6"/>
          <w:rFonts w:eastAsia="Guttman Hodes" w:hint="cs"/>
          <w:rtl/>
        </w:rPr>
        <w:t>(צז:)</w:t>
      </w:r>
      <w:r w:rsidRPr="0050146A">
        <w:rPr>
          <w:rFonts w:hint="cs"/>
          <w:rtl/>
        </w:rPr>
        <w:t xml:space="preserve"> דבכל איסורין שבתורה משערינן בבצל וקפלוט, ביאר </w:t>
      </w:r>
      <w:r w:rsidRPr="0050146A">
        <w:rPr>
          <w:rStyle w:val="af8"/>
          <w:rFonts w:hint="cs"/>
          <w:rtl/>
        </w:rPr>
        <w:t>רש"י לקמן</w:t>
      </w:r>
      <w:r w:rsidRPr="0050146A">
        <w:rPr>
          <w:rFonts w:hint="cs"/>
          <w:rtl/>
        </w:rPr>
        <w:t xml:space="preserve"> </w:t>
      </w:r>
      <w:r w:rsidRPr="0050146A">
        <w:rPr>
          <w:rStyle w:val="af6"/>
          <w:rFonts w:eastAsia="Guttman Hodes" w:hint="cs"/>
          <w:rtl/>
        </w:rPr>
        <w:t>(צז: ד"ה כל)</w:t>
      </w:r>
      <w:r w:rsidRPr="0050146A">
        <w:rPr>
          <w:rFonts w:hint="cs"/>
          <w:rtl/>
        </w:rPr>
        <w:t xml:space="preserve"> דכוונת ריו"ח לומר דרק שאר איסורין משערים אותם כאילו האיסור בצל או קפלוט, אבל בגיד הנשה השיעור הוא כבשר בלפת. </w:t>
      </w:r>
      <w:r w:rsidRPr="0050146A">
        <w:rPr>
          <w:rStyle w:val="afa"/>
          <w:rFonts w:hint="cs"/>
          <w:rtl/>
        </w:rPr>
        <w:t xml:space="preserve">[אמנם </w:t>
      </w:r>
      <w:r w:rsidRPr="0050146A">
        <w:rPr>
          <w:rStyle w:val="affa"/>
          <w:rFonts w:hint="cs"/>
          <w:rtl/>
        </w:rPr>
        <w:t>בהג' השיטמ"ק</w:t>
      </w:r>
      <w:r w:rsidRPr="0050146A">
        <w:rPr>
          <w:rStyle w:val="afa"/>
          <w:rFonts w:hint="cs"/>
          <w:rtl/>
        </w:rPr>
        <w:t xml:space="preserve"> </w:t>
      </w:r>
      <w:r w:rsidRPr="0050146A">
        <w:rPr>
          <w:rStyle w:val="aff6"/>
          <w:rFonts w:hint="cs"/>
          <w:rtl/>
        </w:rPr>
        <w:t xml:space="preserve">(על הדף אות ג', מהדו' עוז והדר אות כ') </w:t>
      </w:r>
      <w:r w:rsidRPr="0050146A">
        <w:rPr>
          <w:rStyle w:val="afa"/>
          <w:rFonts w:hint="cs"/>
          <w:rtl/>
        </w:rPr>
        <w:t xml:space="preserve">כתב דלא גרסינן כן בדברי </w:t>
      </w:r>
      <w:r w:rsidRPr="0050146A">
        <w:rPr>
          <w:rStyle w:val="affa"/>
          <w:rFonts w:hint="cs"/>
          <w:rtl/>
        </w:rPr>
        <w:t>רש"י</w:t>
      </w:r>
      <w:r w:rsidRPr="0050146A">
        <w:rPr>
          <w:rStyle w:val="afa"/>
          <w:rFonts w:hint="cs"/>
          <w:rtl/>
        </w:rPr>
        <w:t>].</w:t>
      </w:r>
      <w:bookmarkEnd w:id="296"/>
    </w:p>
    <w:p w:rsidR="008442F8" w:rsidRPr="0050146A" w:rsidRDefault="008442F8" w:rsidP="008442F8">
      <w:pPr>
        <w:pStyle w:val="a2"/>
      </w:pPr>
      <w:bookmarkStart w:id="297" w:name="_Toc8117830"/>
      <w:bookmarkStart w:id="298" w:name="_Toc8122478"/>
      <w:bookmarkStart w:id="299" w:name="_Toc8142932"/>
      <w:bookmarkStart w:id="300" w:name="_Toc8160694"/>
      <w:bookmarkStart w:id="301" w:name="_Toc8209178"/>
      <w:bookmarkStart w:id="302" w:name="_Toc8209316"/>
      <w:bookmarkStart w:id="303" w:name="_Toc8246339"/>
      <w:r w:rsidRPr="0050146A">
        <w:rPr>
          <w:rFonts w:hint="cs"/>
          <w:rtl/>
        </w:rPr>
        <w:t>דברי רש"י לקמן דדברי ריו"ח הם לפני שנפסק דמשערים בשישים</w:t>
      </w:r>
      <w:bookmarkEnd w:id="297"/>
      <w:bookmarkEnd w:id="298"/>
      <w:bookmarkEnd w:id="299"/>
      <w:bookmarkEnd w:id="300"/>
      <w:bookmarkEnd w:id="301"/>
      <w:bookmarkEnd w:id="302"/>
      <w:bookmarkEnd w:id="303"/>
    </w:p>
    <w:p w:rsidR="008442F8" w:rsidRPr="0050146A" w:rsidRDefault="008442F8" w:rsidP="009F44AF">
      <w:pPr>
        <w:pStyle w:val="a"/>
        <w:rPr>
          <w:rtl/>
        </w:rPr>
      </w:pPr>
      <w:r w:rsidRPr="0050146A">
        <w:rPr>
          <w:rFonts w:hint="cs"/>
          <w:rtl/>
        </w:rPr>
        <w:t xml:space="preserve">והוסיף </w:t>
      </w:r>
      <w:r w:rsidRPr="0050146A">
        <w:rPr>
          <w:rStyle w:val="af8"/>
          <w:rFonts w:hint="cs"/>
          <w:rtl/>
        </w:rPr>
        <w:t>רש"י לקמן</w:t>
      </w:r>
      <w:r w:rsidRPr="0050146A">
        <w:rPr>
          <w:rFonts w:hint="cs"/>
          <w:rtl/>
        </w:rPr>
        <w:t xml:space="preserve"> </w:t>
      </w:r>
      <w:r w:rsidRPr="0050146A">
        <w:rPr>
          <w:rStyle w:val="af6"/>
          <w:rFonts w:eastAsia="Guttman Hodes" w:hint="cs"/>
          <w:rtl/>
        </w:rPr>
        <w:t>(צז: ד"ה משערינן)</w:t>
      </w:r>
      <w:r w:rsidRPr="0050146A">
        <w:rPr>
          <w:rFonts w:hint="cs"/>
          <w:rtl/>
        </w:rPr>
        <w:t xml:space="preserve"> דבשאר איסורין משערינן שאם היו בצל וקפלוט היה האיסור נותן טעם בהיתר שלפנינו אסור, </w:t>
      </w:r>
      <w:r w:rsidRPr="0050146A">
        <w:rPr>
          <w:rStyle w:val="afa"/>
          <w:rFonts w:hint="cs"/>
          <w:rtl/>
        </w:rPr>
        <w:t xml:space="preserve">[וכתב </w:t>
      </w:r>
      <w:r w:rsidRPr="0050146A">
        <w:rPr>
          <w:rStyle w:val="affa"/>
          <w:rFonts w:hint="cs"/>
          <w:rtl/>
        </w:rPr>
        <w:t>רש"י לקמן</w:t>
      </w:r>
      <w:r w:rsidRPr="0050146A">
        <w:rPr>
          <w:rStyle w:val="afa"/>
          <w:rFonts w:hint="cs"/>
          <w:rtl/>
        </w:rPr>
        <w:t xml:space="preserve"> דאיירי באיסור שא"א לטעום אותו כגון במין במינו, או אף במין שאינו מינו </w:t>
      </w:r>
      <w:r w:rsidRPr="0050146A">
        <w:rPr>
          <w:rStyle w:val="afa"/>
          <w:rFonts w:hint="cs"/>
          <w:rtl/>
        </w:rPr>
        <w:lastRenderedPageBreak/>
        <w:t xml:space="preserve">באיסור ואין כאן קפילא שיטעם], </w:t>
      </w:r>
      <w:bookmarkStart w:id="304" w:name="_Ref5878783"/>
      <w:r w:rsidRPr="0050146A">
        <w:rPr>
          <w:rFonts w:hint="cs"/>
          <w:rtl/>
        </w:rPr>
        <w:t xml:space="preserve">וכתב </w:t>
      </w:r>
      <w:r w:rsidRPr="0050146A">
        <w:rPr>
          <w:rStyle w:val="af8"/>
          <w:rFonts w:hint="cs"/>
          <w:rtl/>
        </w:rPr>
        <w:t>רש"י לקמן</w:t>
      </w:r>
      <w:r w:rsidRPr="0050146A">
        <w:rPr>
          <w:rFonts w:hint="cs"/>
          <w:rtl/>
        </w:rPr>
        <w:t xml:space="preserve"> דכל דברי ריו"ח הם לפני שנפסק דמשערים בשישים.</w:t>
      </w:r>
      <w:bookmarkEnd w:id="304"/>
    </w:p>
    <w:p w:rsidR="008442F8" w:rsidRPr="0050146A" w:rsidRDefault="008442F8" w:rsidP="008442F8">
      <w:pPr>
        <w:pStyle w:val="1"/>
        <w:rPr>
          <w:rtl/>
        </w:rPr>
      </w:pPr>
      <w:bookmarkStart w:id="305" w:name="_Toc5965286"/>
      <w:bookmarkStart w:id="306" w:name="_Toc6226567"/>
      <w:bookmarkStart w:id="307" w:name="_Toc6491238"/>
      <w:bookmarkStart w:id="308" w:name="_Toc6581290"/>
      <w:bookmarkStart w:id="309" w:name="_Toc6823617"/>
      <w:bookmarkStart w:id="310" w:name="_Toc6953528"/>
      <w:bookmarkStart w:id="311" w:name="_Toc8069034"/>
      <w:bookmarkStart w:id="312" w:name="_Toc8069106"/>
      <w:bookmarkStart w:id="313" w:name="_Toc8105991"/>
      <w:bookmarkStart w:id="314" w:name="_Toc8117831"/>
      <w:bookmarkStart w:id="315" w:name="_Toc8122479"/>
      <w:bookmarkStart w:id="316" w:name="_Toc8142933"/>
      <w:bookmarkStart w:id="317" w:name="_Toc8160695"/>
      <w:bookmarkStart w:id="318" w:name="_Toc8209179"/>
      <w:bookmarkStart w:id="319" w:name="_Toc8209317"/>
      <w:bookmarkStart w:id="320" w:name="_Toc8246340"/>
      <w:r w:rsidRPr="0050146A">
        <w:rPr>
          <w:rFonts w:hint="cs"/>
          <w:rtl/>
        </w:rPr>
        <w:t>דעת התוס'</w:t>
      </w:r>
      <w:bookmarkEnd w:id="305"/>
      <w:bookmarkEnd w:id="306"/>
      <w:bookmarkEnd w:id="307"/>
      <w:bookmarkEnd w:id="308"/>
      <w:bookmarkEnd w:id="309"/>
      <w:bookmarkEnd w:id="310"/>
      <w:bookmarkEnd w:id="311"/>
      <w:bookmarkEnd w:id="312"/>
      <w:bookmarkEnd w:id="313"/>
      <w:r w:rsidRPr="0050146A">
        <w:rPr>
          <w:rFonts w:hint="cs"/>
          <w:rtl/>
        </w:rPr>
        <w:t xml:space="preserve"> דלר"נ בשר בלפת הוא שישים ולא קיי"ל כריו"ח</w:t>
      </w:r>
      <w:bookmarkEnd w:id="314"/>
      <w:bookmarkEnd w:id="315"/>
      <w:bookmarkEnd w:id="316"/>
      <w:bookmarkEnd w:id="317"/>
      <w:bookmarkEnd w:id="318"/>
      <w:bookmarkEnd w:id="319"/>
      <w:bookmarkEnd w:id="320"/>
    </w:p>
    <w:p w:rsidR="008442F8" w:rsidRPr="0050146A" w:rsidRDefault="008442F8" w:rsidP="008442F8">
      <w:pPr>
        <w:pStyle w:val="a2"/>
        <w:rPr>
          <w:rtl/>
        </w:rPr>
      </w:pPr>
      <w:bookmarkStart w:id="321" w:name="_Toc8117832"/>
      <w:bookmarkStart w:id="322" w:name="_Toc8122480"/>
      <w:bookmarkStart w:id="323" w:name="_Toc8142934"/>
      <w:bookmarkStart w:id="324" w:name="_Toc8160696"/>
      <w:bookmarkStart w:id="325" w:name="_Toc8209180"/>
      <w:bookmarkStart w:id="326" w:name="_Toc8209318"/>
      <w:bookmarkStart w:id="327" w:name="_Toc8246341"/>
      <w:r w:rsidRPr="0050146A">
        <w:rPr>
          <w:rFonts w:hint="cs"/>
          <w:rtl/>
        </w:rPr>
        <w:t>דברי התוס' דגיד שאינו נותן טעם כ"כ שיעורו בבשר ולפת ושאר איסורים בבצל וקפלוט</w:t>
      </w:r>
      <w:bookmarkEnd w:id="321"/>
      <w:bookmarkEnd w:id="322"/>
      <w:bookmarkEnd w:id="323"/>
      <w:bookmarkEnd w:id="324"/>
      <w:bookmarkEnd w:id="325"/>
      <w:bookmarkEnd w:id="326"/>
      <w:bookmarkEnd w:id="327"/>
    </w:p>
    <w:p w:rsidR="008442F8" w:rsidRPr="0050146A" w:rsidRDefault="008442F8" w:rsidP="009F44AF">
      <w:pPr>
        <w:pStyle w:val="a"/>
        <w:rPr>
          <w:rtl/>
        </w:rPr>
      </w:pPr>
      <w:bookmarkStart w:id="328" w:name="_Ref8125101"/>
      <w:r w:rsidRPr="0050146A">
        <w:rPr>
          <w:rStyle w:val="af8"/>
          <w:rFonts w:hint="cs"/>
          <w:rtl/>
        </w:rPr>
        <w:t>ובתוס' לקמן</w:t>
      </w:r>
      <w:r w:rsidRPr="0050146A">
        <w:rPr>
          <w:rFonts w:hint="cs"/>
          <w:rtl/>
        </w:rPr>
        <w:t xml:space="preserve"> </w:t>
      </w:r>
      <w:r w:rsidRPr="0050146A">
        <w:rPr>
          <w:rStyle w:val="af6"/>
          <w:rFonts w:eastAsia="Guttman Hodes" w:hint="cs"/>
          <w:rtl/>
        </w:rPr>
        <w:t>(צז: ד"ה כל)</w:t>
      </w:r>
      <w:r w:rsidRPr="0050146A">
        <w:rPr>
          <w:rFonts w:hint="cs"/>
          <w:rtl/>
        </w:rPr>
        <w:t xml:space="preserve"> כתבו דכיון דאמר ריו"ח לקמן </w:t>
      </w:r>
      <w:r w:rsidRPr="0050146A">
        <w:rPr>
          <w:rStyle w:val="af6"/>
          <w:rFonts w:eastAsia="Guttman Hodes" w:hint="cs"/>
          <w:rtl/>
        </w:rPr>
        <w:t>(צז:)</w:t>
      </w:r>
      <w:r w:rsidRPr="0050146A">
        <w:rPr>
          <w:rFonts w:hint="cs"/>
          <w:rtl/>
        </w:rPr>
        <w:t xml:space="preserve"> דשאר איסורין הם בבצל בקפלוט, ואילו במתני' תני דגיד הנשה הוא בבשר ולפת, א"כ מבואר דהשיעור בגיד אינו כשאר איסורין, וביארו </w:t>
      </w:r>
      <w:r w:rsidRPr="0050146A">
        <w:rPr>
          <w:rStyle w:val="af8"/>
          <w:rFonts w:hint="cs"/>
          <w:rtl/>
        </w:rPr>
        <w:t xml:space="preserve">התוס' לקמן </w:t>
      </w:r>
      <w:r w:rsidRPr="0050146A">
        <w:rPr>
          <w:rFonts w:hint="cs"/>
          <w:rtl/>
        </w:rPr>
        <w:t>דכיון שהגיד שאינו נותן טעם כל כך, לכן לריו"ח שיעורו בבשר ולפת, אבל שאר איסורין שנותנים טעם, שיעורם הוא בבצל וקפלוט.</w:t>
      </w:r>
      <w:bookmarkEnd w:id="328"/>
    </w:p>
    <w:p w:rsidR="008442F8" w:rsidRPr="0050146A" w:rsidRDefault="008442F8" w:rsidP="008442F8">
      <w:pPr>
        <w:pStyle w:val="a2"/>
        <w:rPr>
          <w:rtl/>
        </w:rPr>
      </w:pPr>
      <w:bookmarkStart w:id="329" w:name="_Toc8117833"/>
      <w:bookmarkStart w:id="330" w:name="_Toc8122481"/>
      <w:bookmarkStart w:id="331" w:name="_Toc8142935"/>
      <w:bookmarkStart w:id="332" w:name="_Toc8160697"/>
      <w:bookmarkStart w:id="333" w:name="_Toc8209181"/>
      <w:bookmarkStart w:id="334" w:name="_Toc8209319"/>
      <w:bookmarkStart w:id="335" w:name="_Toc8246342"/>
      <w:r w:rsidRPr="0050146A">
        <w:rPr>
          <w:rFonts w:hint="cs"/>
          <w:rtl/>
        </w:rPr>
        <w:t>דברי התוס' דבר"נ מבואר דבשר בלפת היינו שישים ולרבא שאר איסורין בשישים ודלא כריו"ח</w:t>
      </w:r>
      <w:bookmarkEnd w:id="329"/>
      <w:bookmarkEnd w:id="330"/>
      <w:bookmarkEnd w:id="331"/>
      <w:bookmarkEnd w:id="332"/>
      <w:bookmarkEnd w:id="333"/>
      <w:bookmarkEnd w:id="334"/>
      <w:bookmarkEnd w:id="335"/>
    </w:p>
    <w:p w:rsidR="008442F8" w:rsidRPr="0050146A" w:rsidRDefault="008442F8" w:rsidP="009F44AF">
      <w:pPr>
        <w:pStyle w:val="a"/>
        <w:rPr>
          <w:rtl/>
        </w:rPr>
      </w:pPr>
      <w:bookmarkStart w:id="336" w:name="_Ref5652579"/>
      <w:r w:rsidRPr="0050146A">
        <w:rPr>
          <w:rFonts w:hint="cs"/>
          <w:rtl/>
        </w:rPr>
        <w:t xml:space="preserve">אך כתבו </w:t>
      </w:r>
      <w:r w:rsidRPr="0050146A">
        <w:rPr>
          <w:rStyle w:val="af8"/>
          <w:rFonts w:hint="cs"/>
          <w:rtl/>
        </w:rPr>
        <w:t>התוס' לקמן</w:t>
      </w:r>
      <w:r w:rsidRPr="0050146A">
        <w:rPr>
          <w:rFonts w:hint="cs"/>
          <w:rtl/>
        </w:rPr>
        <w:t xml:space="preserve"> דכיון דאמר רב נחמן לקמן </w:t>
      </w:r>
      <w:r w:rsidRPr="0050146A">
        <w:rPr>
          <w:rStyle w:val="af6"/>
          <w:rFonts w:eastAsia="Guttman Hodes" w:hint="cs"/>
          <w:rtl/>
        </w:rPr>
        <w:t>(צז:)</w:t>
      </w:r>
      <w:r w:rsidRPr="0050146A">
        <w:rPr>
          <w:rFonts w:hint="cs"/>
          <w:rtl/>
        </w:rPr>
        <w:t xml:space="preserve"> דשיעור גיד הוא בשישים, א"כ מבואר דס"ל דבשר בלפת היינו בשישים, ולפי"ז רבא דאמר לקמן </w:t>
      </w:r>
      <w:r w:rsidRPr="0050146A">
        <w:rPr>
          <w:rStyle w:val="af6"/>
          <w:rFonts w:eastAsia="Guttman Hodes" w:hint="cs"/>
          <w:rtl/>
        </w:rPr>
        <w:t>(צז:)</w:t>
      </w:r>
      <w:r w:rsidRPr="0050146A">
        <w:rPr>
          <w:rFonts w:hint="cs"/>
          <w:rtl/>
        </w:rPr>
        <w:t xml:space="preserve"> דכל איסורין שבתורה הם בשישים, פליג על ריו"ח דס"ל שאר איסורין הם בבצל וקפלוט, וכתבו </w:t>
      </w:r>
      <w:r w:rsidRPr="0050146A">
        <w:rPr>
          <w:rStyle w:val="af8"/>
          <w:rFonts w:hint="cs"/>
          <w:rtl/>
        </w:rPr>
        <w:t>התוס' לקמן</w:t>
      </w:r>
      <w:r w:rsidRPr="0050146A">
        <w:rPr>
          <w:rFonts w:hint="cs"/>
          <w:rtl/>
        </w:rPr>
        <w:t xml:space="preserve"> דקיי"ל כרבא, וכן נפסק בגמ' בע"ז </w:t>
      </w:r>
      <w:r w:rsidRPr="0050146A">
        <w:rPr>
          <w:rStyle w:val="af6"/>
          <w:rFonts w:eastAsia="Guttman Hodes" w:hint="cs"/>
          <w:rtl/>
        </w:rPr>
        <w:t>(סט.)</w:t>
      </w:r>
      <w:r w:rsidRPr="0050146A">
        <w:rPr>
          <w:rFonts w:hint="cs"/>
          <w:rtl/>
        </w:rPr>
        <w:t>.</w:t>
      </w:r>
      <w:bookmarkEnd w:id="336"/>
    </w:p>
    <w:p w:rsidR="008442F8" w:rsidRPr="0050146A" w:rsidRDefault="008442F8" w:rsidP="008442F8">
      <w:pPr>
        <w:pStyle w:val="a2"/>
        <w:rPr>
          <w:rtl/>
        </w:rPr>
      </w:pPr>
      <w:bookmarkStart w:id="337" w:name="_Toc8117835"/>
      <w:bookmarkStart w:id="338" w:name="_Toc8122483"/>
      <w:bookmarkStart w:id="339" w:name="_Toc8142936"/>
      <w:bookmarkStart w:id="340" w:name="_Toc8160698"/>
      <w:bookmarkStart w:id="341" w:name="_Toc8209182"/>
      <w:bookmarkStart w:id="342" w:name="_Toc8209320"/>
      <w:bookmarkStart w:id="343" w:name="_Toc8246343"/>
      <w:r w:rsidRPr="0050146A">
        <w:rPr>
          <w:rFonts w:hint="cs"/>
          <w:rtl/>
        </w:rPr>
        <w:t>קושית הבית מאיר דאי בשר בלפת הוא שישים אמאי חילקה מתני' בין גיד בירך לסיפא</w:t>
      </w:r>
      <w:bookmarkEnd w:id="337"/>
      <w:bookmarkEnd w:id="338"/>
      <w:bookmarkEnd w:id="339"/>
      <w:bookmarkEnd w:id="340"/>
      <w:bookmarkEnd w:id="341"/>
      <w:bookmarkEnd w:id="342"/>
      <w:bookmarkEnd w:id="343"/>
    </w:p>
    <w:p w:rsidR="008442F8" w:rsidRPr="0050146A" w:rsidRDefault="008442F8" w:rsidP="009F44AF">
      <w:pPr>
        <w:pStyle w:val="a"/>
        <w:rPr>
          <w:rStyle w:val="afa"/>
          <w:rtl/>
        </w:rPr>
      </w:pPr>
      <w:bookmarkStart w:id="344" w:name="_Ref5875486"/>
      <w:r w:rsidRPr="0050146A">
        <w:rPr>
          <w:rFonts w:hint="cs"/>
          <w:rtl/>
        </w:rPr>
        <w:t xml:space="preserve">והקשה </w:t>
      </w:r>
      <w:r w:rsidRPr="0050146A">
        <w:rPr>
          <w:rStyle w:val="af8"/>
          <w:rFonts w:hint="cs"/>
          <w:rtl/>
        </w:rPr>
        <w:t xml:space="preserve">הבית מאיר בחי' </w:t>
      </w:r>
      <w:r w:rsidRPr="0050146A">
        <w:rPr>
          <w:rStyle w:val="af6"/>
          <w:rFonts w:eastAsia="Guttman Hodes" w:hint="cs"/>
          <w:rtl/>
        </w:rPr>
        <w:t>(צז: על תוד"ה כל)</w:t>
      </w:r>
      <w:r w:rsidRPr="0050146A">
        <w:rPr>
          <w:rFonts w:hint="cs"/>
          <w:rtl/>
        </w:rPr>
        <w:t xml:space="preserve"> על הא דכתבו </w:t>
      </w:r>
      <w:r w:rsidRPr="0050146A">
        <w:rPr>
          <w:rStyle w:val="af8"/>
          <w:rFonts w:hint="cs"/>
          <w:rtl/>
        </w:rPr>
        <w:t xml:space="preserve">התוס' לקמן </w:t>
      </w:r>
      <w:r w:rsidRPr="0050146A">
        <w:rPr>
          <w:rFonts w:hint="cs"/>
          <w:rtl/>
        </w:rPr>
        <w:t xml:space="preserve">דר"נ ס"ל דשיעור בשר בלפת הוא שישים, דא"כ אמאי חילקה המשנה בין הרישא דגיד בירך, לסיפא דחתיכת נבילה ודג טמא דשיעורם בנותן טעם, וביאר </w:t>
      </w:r>
      <w:r w:rsidRPr="0050146A">
        <w:rPr>
          <w:rStyle w:val="af8"/>
          <w:rFonts w:hint="cs"/>
          <w:rtl/>
        </w:rPr>
        <w:t xml:space="preserve">הריטב"א </w:t>
      </w:r>
      <w:r w:rsidRPr="0050146A">
        <w:rPr>
          <w:rStyle w:val="af6"/>
          <w:rFonts w:eastAsia="Guttman Hodes" w:hint="cs"/>
          <w:rtl/>
        </w:rPr>
        <w:t xml:space="preserve">(צז. סוד"ה סמכינן) </w:t>
      </w:r>
      <w:r w:rsidRPr="0050146A">
        <w:rPr>
          <w:rFonts w:hint="cs"/>
          <w:rtl/>
        </w:rPr>
        <w:t xml:space="preserve">דהשיעור בסיפא הוא בשישים, מדלא תני כיצד משערין אותן כדתני ברישא בירך וגיד, ועי' בדברי </w:t>
      </w:r>
      <w:r w:rsidRPr="0050146A">
        <w:rPr>
          <w:rStyle w:val="af8"/>
          <w:rFonts w:hint="cs"/>
          <w:rtl/>
        </w:rPr>
        <w:t>הראש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Ref8116724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w:t>
      </w:r>
      <w:r w:rsidRPr="0050146A">
        <w:rPr>
          <w:rStyle w:val="af6"/>
          <w:rFonts w:eastAsia="Guttman Hodes"/>
          <w:rtl/>
        </w:rPr>
        <w:fldChar w:fldCharType="end"/>
      </w:r>
      <w:r w:rsidRPr="0050146A">
        <w:rPr>
          <w:rFonts w:hint="cs"/>
          <w:rtl/>
        </w:rPr>
        <w:t>.</w:t>
      </w:r>
      <w:bookmarkEnd w:id="344"/>
      <w:r w:rsidRPr="0050146A">
        <w:rPr>
          <w:rFonts w:hint="cs"/>
          <w:rtl/>
        </w:rPr>
        <w:t xml:space="preserve"> </w:t>
      </w:r>
      <w:r w:rsidRPr="0050146A">
        <w:rPr>
          <w:rStyle w:val="afa"/>
          <w:rFonts w:hint="cs"/>
          <w:rtl/>
        </w:rPr>
        <w:t xml:space="preserve">[אמנם </w:t>
      </w:r>
      <w:r w:rsidRPr="0050146A">
        <w:rPr>
          <w:rStyle w:val="affa"/>
          <w:rFonts w:hint="cs"/>
          <w:rtl/>
        </w:rPr>
        <w:t xml:space="preserve">הריטב"א לקמן </w:t>
      </w:r>
      <w:r w:rsidRPr="0050146A">
        <w:rPr>
          <w:rStyle w:val="aff6"/>
          <w:rFonts w:hint="cs"/>
          <w:rtl/>
        </w:rPr>
        <w:t>(צט: ד"ה כבשר)</w:t>
      </w:r>
      <w:r w:rsidRPr="0050146A">
        <w:rPr>
          <w:rStyle w:val="afa"/>
          <w:rFonts w:hint="cs"/>
          <w:rtl/>
        </w:rPr>
        <w:t xml:space="preserve"> כתב להדיא </w:t>
      </w:r>
      <w:r w:rsidRPr="0050146A">
        <w:rPr>
          <w:rStyle w:val="affa"/>
          <w:rFonts w:hint="cs"/>
          <w:rtl/>
        </w:rPr>
        <w:t>כתוס'</w:t>
      </w:r>
      <w:r w:rsidRPr="0050146A">
        <w:rPr>
          <w:rStyle w:val="afa"/>
          <w:rFonts w:hint="cs"/>
          <w:rtl/>
        </w:rPr>
        <w:t>].</w:t>
      </w:r>
    </w:p>
    <w:p w:rsidR="008442F8" w:rsidRPr="0050146A" w:rsidRDefault="008442F8" w:rsidP="008442F8">
      <w:pPr>
        <w:pStyle w:val="a2"/>
        <w:rPr>
          <w:rtl/>
        </w:rPr>
      </w:pPr>
      <w:bookmarkStart w:id="345" w:name="_Toc8117836"/>
      <w:bookmarkStart w:id="346" w:name="_Toc8122484"/>
      <w:bookmarkStart w:id="347" w:name="_Toc8142937"/>
      <w:bookmarkStart w:id="348" w:name="_Toc8160699"/>
      <w:bookmarkStart w:id="349" w:name="_Toc8209183"/>
      <w:bookmarkStart w:id="350" w:name="_Toc8209321"/>
      <w:bookmarkStart w:id="351" w:name="_Toc8246344"/>
      <w:r w:rsidRPr="0050146A">
        <w:rPr>
          <w:rFonts w:hint="cs"/>
          <w:rtl/>
        </w:rPr>
        <w:t>דברי הבית מאיר דאפש"ל דאף לר"נ שיעור גיד אינו כשאר איסורין ולכו"ע גיד אינו בשישים</w:t>
      </w:r>
      <w:bookmarkEnd w:id="345"/>
      <w:bookmarkEnd w:id="346"/>
      <w:bookmarkEnd w:id="347"/>
      <w:bookmarkEnd w:id="348"/>
      <w:bookmarkEnd w:id="349"/>
      <w:bookmarkEnd w:id="350"/>
      <w:bookmarkEnd w:id="351"/>
    </w:p>
    <w:p w:rsidR="008442F8" w:rsidRPr="0050146A" w:rsidRDefault="008442F8" w:rsidP="009F44AF">
      <w:pPr>
        <w:pStyle w:val="a"/>
        <w:rPr>
          <w:rStyle w:val="afa"/>
          <w:rtl/>
        </w:rPr>
      </w:pPr>
      <w:r w:rsidRPr="0050146A">
        <w:rPr>
          <w:rFonts w:hint="cs"/>
          <w:rtl/>
        </w:rPr>
        <w:t xml:space="preserve">אלא כתב </w:t>
      </w:r>
      <w:r w:rsidRPr="0050146A">
        <w:rPr>
          <w:rStyle w:val="af8"/>
          <w:rFonts w:hint="cs"/>
          <w:rtl/>
        </w:rPr>
        <w:t xml:space="preserve">הבית מאיר </w:t>
      </w:r>
      <w:r w:rsidRPr="0050146A">
        <w:rPr>
          <w:rFonts w:hint="cs"/>
          <w:rtl/>
        </w:rPr>
        <w:t xml:space="preserve">דלולי דברי </w:t>
      </w:r>
      <w:r w:rsidRPr="0050146A">
        <w:rPr>
          <w:rStyle w:val="af8"/>
          <w:rFonts w:hint="cs"/>
          <w:rtl/>
        </w:rPr>
        <w:t>התוס' לקמן</w:t>
      </w:r>
      <w:r w:rsidRPr="0050146A">
        <w:rPr>
          <w:rFonts w:hint="cs"/>
          <w:rtl/>
        </w:rPr>
        <w:t xml:space="preserve"> אפש"ל דר"נ לא פליג על (רבא) [ריו"ח], ומודה דהשיעור של גיד אינו כשאר איסורין, אלא דהחמיר ר"נ דשיעור גיד הוא בשישים, כיון שדורו לא היו בקיאין בשיעור גיד כבשר בלפת, ולכן פסק ר"נ כן להלכה, אבל ריו"ח ס"ל דהשיעור בסיפא דמתני' דכל האיסורין שיעורן בבצל בקפלוט, חוץ מגיד דשיעורו בבשר בלפת, אך בין לר"נ ובין לריו"ח השיעור בסיפא </w:t>
      </w:r>
      <w:r w:rsidRPr="0050146A">
        <w:rPr>
          <w:rStyle w:val="afa"/>
          <w:rFonts w:hint="cs"/>
          <w:rtl/>
        </w:rPr>
        <w:t>[דנותן טעם בסתם דהיינו שישים]</w:t>
      </w:r>
      <w:r w:rsidRPr="0050146A">
        <w:rPr>
          <w:rFonts w:hint="cs"/>
          <w:rtl/>
        </w:rPr>
        <w:t xml:space="preserve">, אינו כשיעור ברישא, </w:t>
      </w:r>
      <w:r w:rsidRPr="0050146A">
        <w:rPr>
          <w:rStyle w:val="afa"/>
          <w:rFonts w:hint="cs"/>
          <w:rtl/>
        </w:rPr>
        <w:t xml:space="preserve">[וכדביאר </w:t>
      </w:r>
      <w:r w:rsidRPr="0050146A">
        <w:rPr>
          <w:rStyle w:val="affa"/>
          <w:rFonts w:hint="cs"/>
          <w:rtl/>
        </w:rPr>
        <w:t>הריטב"א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Ref5875486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יז)</w:t>
      </w:r>
      <w:r w:rsidRPr="0050146A">
        <w:rPr>
          <w:rStyle w:val="aff6"/>
          <w:rtl/>
        </w:rPr>
        <w:fldChar w:fldCharType="end"/>
      </w:r>
      <w:r w:rsidRPr="0050146A">
        <w:rPr>
          <w:rStyle w:val="afa"/>
          <w:rFonts w:hint="cs"/>
          <w:rtl/>
        </w:rPr>
        <w:t xml:space="preserve"> דבסיפא תנן נותן טעם סתם ולא תנן כיצד],</w:t>
      </w:r>
      <w:r w:rsidRPr="0050146A">
        <w:rPr>
          <w:rFonts w:hint="cs"/>
          <w:rtl/>
        </w:rPr>
        <w:t xml:space="preserve"> וכ"כ </w:t>
      </w:r>
      <w:r w:rsidRPr="0050146A">
        <w:rPr>
          <w:rStyle w:val="af8"/>
          <w:rFonts w:hint="cs"/>
          <w:rtl/>
        </w:rPr>
        <w:t>המלא הרועים</w:t>
      </w:r>
      <w:r w:rsidRPr="0050146A">
        <w:rPr>
          <w:rFonts w:hint="cs"/>
          <w:rtl/>
        </w:rPr>
        <w:t xml:space="preserve"> </w:t>
      </w:r>
      <w:r w:rsidRPr="0050146A">
        <w:rPr>
          <w:rStyle w:val="af6"/>
          <w:rFonts w:eastAsia="Guttman Hodes" w:hint="cs"/>
          <w:rtl/>
        </w:rPr>
        <w:t>(צז. על תוד"ה כל)</w:t>
      </w:r>
      <w:r w:rsidRPr="0050146A">
        <w:rPr>
          <w:rFonts w:hint="cs"/>
          <w:rtl/>
        </w:rPr>
        <w:t xml:space="preserve"> דלולי דברי </w:t>
      </w:r>
      <w:r w:rsidRPr="0050146A">
        <w:rPr>
          <w:rStyle w:val="af8"/>
          <w:rFonts w:hint="cs"/>
          <w:rtl/>
        </w:rPr>
        <w:t>התוס'</w:t>
      </w:r>
      <w:r w:rsidRPr="0050146A">
        <w:rPr>
          <w:rFonts w:hint="cs"/>
          <w:rtl/>
        </w:rPr>
        <w:t xml:space="preserve"> היה אפש"ל דרבא לא פליג על ריו"ח, ובצל בקפלוט הוא שישים, ובשר בלפת הוא פחות משישים, ועיי"ש במה שביאר </w:t>
      </w:r>
      <w:r w:rsidRPr="0050146A">
        <w:rPr>
          <w:rStyle w:val="af8"/>
          <w:rFonts w:hint="cs"/>
          <w:rtl/>
        </w:rPr>
        <w:t>המלא הרועים</w:t>
      </w:r>
      <w:r w:rsidRPr="0050146A">
        <w:rPr>
          <w:rFonts w:hint="cs"/>
          <w:rtl/>
        </w:rPr>
        <w:t xml:space="preserve"> בדברי ר"נ.</w:t>
      </w:r>
    </w:p>
    <w:p w:rsidR="008442F8" w:rsidRPr="0050146A" w:rsidRDefault="008442F8" w:rsidP="008442F8">
      <w:pPr>
        <w:pStyle w:val="1"/>
        <w:rPr>
          <w:rtl/>
        </w:rPr>
      </w:pPr>
      <w:bookmarkStart w:id="352" w:name="_Toc8105985"/>
      <w:bookmarkStart w:id="353" w:name="_Toc8117837"/>
      <w:bookmarkStart w:id="354" w:name="_Toc8122485"/>
      <w:bookmarkStart w:id="355" w:name="_Toc8142938"/>
      <w:bookmarkStart w:id="356" w:name="_Toc8160700"/>
      <w:bookmarkStart w:id="357" w:name="_Toc8209184"/>
      <w:bookmarkStart w:id="358" w:name="_Toc8209322"/>
      <w:bookmarkStart w:id="359" w:name="_Toc8246345"/>
      <w:r w:rsidRPr="0050146A">
        <w:rPr>
          <w:rFonts w:hint="cs"/>
          <w:rtl/>
        </w:rPr>
        <w:t>דעת רבינו גרשום והרא"ה והר"ן דבשר בלפת הוא שישים</w:t>
      </w:r>
      <w:bookmarkEnd w:id="352"/>
      <w:bookmarkEnd w:id="353"/>
      <w:bookmarkEnd w:id="354"/>
      <w:bookmarkEnd w:id="355"/>
      <w:bookmarkEnd w:id="356"/>
      <w:bookmarkEnd w:id="357"/>
      <w:bookmarkEnd w:id="358"/>
      <w:bookmarkEnd w:id="359"/>
    </w:p>
    <w:p w:rsidR="008442F8" w:rsidRPr="0050146A" w:rsidRDefault="008442F8" w:rsidP="008442F8">
      <w:pPr>
        <w:pStyle w:val="a2"/>
      </w:pPr>
      <w:bookmarkStart w:id="360" w:name="_Toc8105986"/>
      <w:bookmarkStart w:id="361" w:name="_Toc8117838"/>
      <w:bookmarkStart w:id="362" w:name="_Toc8122486"/>
      <w:bookmarkStart w:id="363" w:name="_Toc8142939"/>
      <w:bookmarkStart w:id="364" w:name="_Toc8160701"/>
      <w:bookmarkStart w:id="365" w:name="_Toc8209185"/>
      <w:bookmarkStart w:id="366" w:name="_Toc8209323"/>
      <w:bookmarkStart w:id="367" w:name="_Toc8246346"/>
      <w:r w:rsidRPr="0050146A">
        <w:rPr>
          <w:rFonts w:hint="cs"/>
          <w:rtl/>
        </w:rPr>
        <w:t>דברי הר"ן והרא"ה דשיעור בשר בלפת הוא שיעור שישים</w:t>
      </w:r>
      <w:bookmarkEnd w:id="360"/>
      <w:bookmarkEnd w:id="361"/>
      <w:bookmarkEnd w:id="362"/>
      <w:bookmarkEnd w:id="363"/>
      <w:bookmarkEnd w:id="364"/>
      <w:bookmarkEnd w:id="365"/>
      <w:bookmarkEnd w:id="366"/>
      <w:bookmarkEnd w:id="367"/>
    </w:p>
    <w:p w:rsidR="008442F8" w:rsidRPr="0050146A" w:rsidRDefault="008442F8" w:rsidP="009F44AF">
      <w:pPr>
        <w:pStyle w:val="a"/>
        <w:rPr>
          <w:rtl/>
        </w:rPr>
      </w:pPr>
      <w:bookmarkStart w:id="368" w:name="_Ref6218819"/>
      <w:r w:rsidRPr="0050146A">
        <w:rPr>
          <w:rStyle w:val="af8"/>
          <w:rFonts w:hint="cs"/>
          <w:rtl/>
        </w:rPr>
        <w:t>והר"ן על הרי"ף</w:t>
      </w:r>
      <w:r w:rsidRPr="0050146A">
        <w:rPr>
          <w:rFonts w:hint="cs"/>
          <w:rtl/>
        </w:rPr>
        <w:t xml:space="preserve"> </w:t>
      </w:r>
      <w:r w:rsidRPr="0050146A">
        <w:rPr>
          <w:rStyle w:val="af6"/>
          <w:rFonts w:eastAsia="Guttman Hodes" w:hint="cs"/>
          <w:rtl/>
        </w:rPr>
        <w:t>(לד. מדפי הרי"ף ד"ה כיצד)</w:t>
      </w:r>
      <w:r w:rsidRPr="0050146A">
        <w:rPr>
          <w:rFonts w:hint="cs"/>
          <w:rtl/>
        </w:rPr>
        <w:t xml:space="preserve"> העתיק את דברי </w:t>
      </w:r>
      <w:r w:rsidRPr="0050146A">
        <w:rPr>
          <w:rStyle w:val="af8"/>
          <w:rFonts w:hint="cs"/>
          <w:rtl/>
        </w:rPr>
        <w:t xml:space="preserve">רש"י במתני'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Ref5651374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בשיעור בשר בלפת, והוסיף </w:t>
      </w:r>
      <w:r w:rsidRPr="0050146A">
        <w:rPr>
          <w:rStyle w:val="af8"/>
          <w:rFonts w:hint="cs"/>
          <w:rtl/>
        </w:rPr>
        <w:t>הר"ן</w:t>
      </w:r>
      <w:r w:rsidRPr="0050146A">
        <w:rPr>
          <w:rFonts w:hint="cs"/>
          <w:rtl/>
        </w:rPr>
        <w:t xml:space="preserve"> דשיעור זה הוא בשישים, וכ"כ</w:t>
      </w:r>
      <w:r w:rsidRPr="0050146A">
        <w:rPr>
          <w:rStyle w:val="af8"/>
          <w:rFonts w:hint="cs"/>
          <w:rtl/>
        </w:rPr>
        <w:t xml:space="preserve"> הרא"ה בחי'</w:t>
      </w:r>
      <w:r w:rsidRPr="0050146A">
        <w:rPr>
          <w:rFonts w:hint="cs"/>
          <w:rtl/>
        </w:rPr>
        <w:t xml:space="preserve"> </w:t>
      </w:r>
      <w:r w:rsidRPr="0050146A">
        <w:rPr>
          <w:rStyle w:val="af6"/>
          <w:rFonts w:eastAsia="Guttman Hodes" w:hint="cs"/>
          <w:rtl/>
        </w:rPr>
        <w:t>(ד"ה ירך, הועתק בקובץ שיטות קמאי חולין ח"ג עמ' ב' אלף ק"ט)</w:t>
      </w:r>
      <w:r w:rsidRPr="0050146A">
        <w:rPr>
          <w:rFonts w:hint="cs"/>
          <w:rtl/>
        </w:rPr>
        <w:t xml:space="preserve"> דשיעור בשר בלפת הוא שיעור בינוני, וזהו שיעור שישים ששיערו חכמים בסתם איסורין כדמוכח בגמ'</w:t>
      </w:r>
      <w:r w:rsidRPr="0050146A">
        <w:rPr>
          <w:rStyle w:val="af6"/>
          <w:rFonts w:eastAsia="Guttman Hodes" w:hint="cs"/>
          <w:rtl/>
        </w:rPr>
        <w:t xml:space="preserve"> (צז:)</w:t>
      </w:r>
      <w:r w:rsidRPr="0050146A">
        <w:rPr>
          <w:rFonts w:hint="cs"/>
          <w:rtl/>
        </w:rPr>
        <w:t>.</w:t>
      </w:r>
      <w:bookmarkEnd w:id="368"/>
    </w:p>
    <w:p w:rsidR="008442F8" w:rsidRPr="0050146A" w:rsidRDefault="008442F8" w:rsidP="008442F8">
      <w:pPr>
        <w:pStyle w:val="a2"/>
        <w:rPr>
          <w:rtl/>
        </w:rPr>
      </w:pPr>
      <w:bookmarkStart w:id="369" w:name="_Toc8122487"/>
      <w:bookmarkStart w:id="370" w:name="_Toc8142940"/>
      <w:bookmarkStart w:id="371" w:name="_Toc8160702"/>
      <w:bookmarkStart w:id="372" w:name="_Toc8209186"/>
      <w:bookmarkStart w:id="373" w:name="_Toc8209324"/>
      <w:bookmarkStart w:id="374" w:name="_Toc8246347"/>
      <w:bookmarkStart w:id="375" w:name="_Toc8105987"/>
      <w:bookmarkStart w:id="376" w:name="_Toc8117839"/>
      <w:r w:rsidRPr="0050146A">
        <w:rPr>
          <w:rFonts w:hint="cs"/>
          <w:rtl/>
        </w:rPr>
        <w:t>דברי הר"ן לקמן דכיון דבצל בקפלוט נותן טעם בשישים החמירו רבנן בשישים בכל הטעמים</w:t>
      </w:r>
      <w:bookmarkEnd w:id="369"/>
      <w:bookmarkEnd w:id="370"/>
      <w:bookmarkEnd w:id="371"/>
      <w:bookmarkEnd w:id="372"/>
      <w:bookmarkEnd w:id="373"/>
      <w:bookmarkEnd w:id="374"/>
    </w:p>
    <w:p w:rsidR="008442F8" w:rsidRPr="0050146A" w:rsidRDefault="008442F8" w:rsidP="009F44AF">
      <w:pPr>
        <w:pStyle w:val="a"/>
        <w:rPr>
          <w:rtl/>
        </w:rPr>
      </w:pPr>
      <w:r w:rsidRPr="0050146A">
        <w:rPr>
          <w:rFonts w:hint="cs"/>
          <w:rtl/>
        </w:rPr>
        <w:t xml:space="preserve">עו"כ </w:t>
      </w:r>
      <w:r w:rsidRPr="0050146A">
        <w:rPr>
          <w:rStyle w:val="af8"/>
          <w:rFonts w:hint="cs"/>
          <w:rtl/>
        </w:rPr>
        <w:t>הר"ן על הרי"ף לקמן</w:t>
      </w:r>
      <w:r w:rsidRPr="0050146A">
        <w:rPr>
          <w:rFonts w:hint="cs"/>
          <w:rtl/>
        </w:rPr>
        <w:t xml:space="preserve"> </w:t>
      </w:r>
      <w:r w:rsidRPr="0050146A">
        <w:rPr>
          <w:rStyle w:val="af6"/>
          <w:rFonts w:eastAsia="Guttman Hodes" w:hint="cs"/>
          <w:rtl/>
        </w:rPr>
        <w:t>(לה: מדפי הרי"ף)</w:t>
      </w:r>
      <w:r w:rsidRPr="0050146A">
        <w:rPr>
          <w:rFonts w:hint="cs"/>
          <w:rtl/>
        </w:rPr>
        <w:t xml:space="preserve"> דשיעור שישים הוא חומרא דרבנן, דכיון שיש איסורים כגון בצל בקפלוט שנותנים טעם בשישים, </w:t>
      </w:r>
      <w:r w:rsidRPr="0050146A">
        <w:rPr>
          <w:rStyle w:val="afa"/>
          <w:rFonts w:hint="cs"/>
          <w:rtl/>
        </w:rPr>
        <w:t>[וכשיש טעם של איסור לא מהני ביטול מדאו'],</w:t>
      </w:r>
      <w:r w:rsidRPr="0050146A">
        <w:rPr>
          <w:rFonts w:hint="cs"/>
          <w:rtl/>
        </w:rPr>
        <w:t xml:space="preserve"> לכן החמירו רבנן להצריך בכל נותני הטעמים שלא יתבטלו בפחות משישים.</w:t>
      </w:r>
    </w:p>
    <w:p w:rsidR="008442F8" w:rsidRPr="0050146A" w:rsidRDefault="008442F8" w:rsidP="008442F8">
      <w:pPr>
        <w:pStyle w:val="a2"/>
      </w:pPr>
      <w:bookmarkStart w:id="377" w:name="_Toc8142941"/>
      <w:bookmarkStart w:id="378" w:name="_Toc8160703"/>
      <w:bookmarkStart w:id="379" w:name="_Toc8209187"/>
      <w:bookmarkStart w:id="380" w:name="_Toc8209325"/>
      <w:bookmarkStart w:id="381" w:name="_Toc8246348"/>
      <w:r w:rsidRPr="0050146A">
        <w:rPr>
          <w:rFonts w:hint="cs"/>
          <w:rtl/>
        </w:rPr>
        <w:t>קושית הגרעק"א והיד יהודה על הר"ן דא"א לומר דשיעור בצל בקפלוט הוא שישים</w:t>
      </w:r>
      <w:bookmarkEnd w:id="377"/>
      <w:bookmarkEnd w:id="378"/>
      <w:bookmarkEnd w:id="379"/>
      <w:bookmarkEnd w:id="380"/>
      <w:bookmarkEnd w:id="381"/>
    </w:p>
    <w:p w:rsidR="008442F8" w:rsidRPr="0050146A" w:rsidRDefault="008442F8" w:rsidP="009F44AF">
      <w:pPr>
        <w:pStyle w:val="a"/>
      </w:pPr>
      <w:r w:rsidRPr="0050146A">
        <w:rPr>
          <w:rFonts w:hint="cs"/>
          <w:rtl/>
        </w:rPr>
        <w:t xml:space="preserve">והקשה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(צח: ד"ה מה דתמה מעכ"ת) </w:t>
      </w:r>
      <w:r w:rsidRPr="0050146A">
        <w:rPr>
          <w:rFonts w:hint="cs"/>
          <w:rtl/>
        </w:rPr>
        <w:t xml:space="preserve">על </w:t>
      </w:r>
      <w:r w:rsidRPr="0050146A">
        <w:rPr>
          <w:rStyle w:val="af8"/>
          <w:rFonts w:hint="cs"/>
          <w:rtl/>
        </w:rPr>
        <w:t>הר"ן</w:t>
      </w:r>
      <w:r w:rsidRPr="0050146A">
        <w:rPr>
          <w:rFonts w:hint="cs"/>
          <w:rtl/>
        </w:rPr>
        <w:t xml:space="preserve">, דהא </w:t>
      </w:r>
      <w:r w:rsidRPr="0050146A">
        <w:rPr>
          <w:rStyle w:val="af8"/>
          <w:rFonts w:hint="cs"/>
          <w:rtl/>
        </w:rPr>
        <w:t>התוס'</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Ref8125101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הוכיחו דא"א לומר דשיעור בצל וקפלוט הוא שיעור בשר בלפת, מדנקטה הגמ' </w:t>
      </w:r>
      <w:r w:rsidRPr="0050146A">
        <w:rPr>
          <w:rStyle w:val="af6"/>
          <w:rFonts w:eastAsia="Guttman Hodes" w:hint="cs"/>
          <w:rtl/>
        </w:rPr>
        <w:t xml:space="preserve">(צז:) </w:t>
      </w:r>
      <w:r w:rsidRPr="0050146A">
        <w:rPr>
          <w:rFonts w:hint="cs"/>
          <w:rtl/>
        </w:rPr>
        <w:t xml:space="preserve">בצל וקפלוט ולא כשיעור מתני' בבשר בלפת, </w:t>
      </w:r>
      <w:r w:rsidRPr="0050146A">
        <w:rPr>
          <w:rFonts w:hint="cs"/>
          <w:rtl/>
        </w:rPr>
        <w:t xml:space="preserve">ומדברי ר"נ מוכח דבשר בלפת היינו שישים, וא"כ היאך כתב </w:t>
      </w:r>
      <w:r w:rsidRPr="0050146A">
        <w:rPr>
          <w:rStyle w:val="af8"/>
          <w:rFonts w:hint="cs"/>
          <w:rtl/>
        </w:rPr>
        <w:t>הר"ן</w:t>
      </w:r>
      <w:r w:rsidRPr="0050146A">
        <w:rPr>
          <w:rFonts w:hint="cs"/>
          <w:rtl/>
        </w:rPr>
        <w:t xml:space="preserve"> דבצל בקפלוט היינו שישים, </w:t>
      </w:r>
      <w:r w:rsidRPr="0050146A">
        <w:rPr>
          <w:rStyle w:val="afa"/>
          <w:rFonts w:hint="cs"/>
          <w:rtl/>
        </w:rPr>
        <w:t xml:space="preserve">[ועיי"ש במ"ש </w:t>
      </w:r>
      <w:r w:rsidRPr="0050146A">
        <w:rPr>
          <w:rStyle w:val="affa"/>
          <w:rFonts w:hint="cs"/>
          <w:rtl/>
        </w:rPr>
        <w:t>הגרעק"א</w:t>
      </w:r>
      <w:r w:rsidRPr="0050146A">
        <w:rPr>
          <w:rStyle w:val="afa"/>
          <w:rFonts w:hint="cs"/>
          <w:rtl/>
        </w:rPr>
        <w:t xml:space="preserve"> בדברי </w:t>
      </w:r>
      <w:r w:rsidRPr="0050146A">
        <w:rPr>
          <w:rStyle w:val="affa"/>
          <w:rFonts w:hint="cs"/>
          <w:rtl/>
        </w:rPr>
        <w:t>התוס'</w:t>
      </w:r>
      <w:r w:rsidRPr="0050146A">
        <w:rPr>
          <w:rStyle w:val="afa"/>
          <w:rFonts w:hint="cs"/>
          <w:rtl/>
        </w:rPr>
        <w:t xml:space="preserve">], </w:t>
      </w:r>
      <w:r w:rsidRPr="0050146A">
        <w:rPr>
          <w:rFonts w:hint="cs"/>
          <w:rtl/>
        </w:rPr>
        <w:t xml:space="preserve">ועוד הקשה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(צח: ד"ה ואולם) </w:t>
      </w:r>
      <w:r w:rsidRPr="0050146A">
        <w:rPr>
          <w:rFonts w:hint="cs"/>
          <w:rtl/>
        </w:rPr>
        <w:t xml:space="preserve">דהא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Ref6218819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גופיה ביאר דהשיעור במתני' דבשר בלפת הוא שישים עיי"ש בדברי</w:t>
      </w:r>
      <w:r w:rsidRPr="0050146A">
        <w:rPr>
          <w:rStyle w:val="af8"/>
          <w:rFonts w:hint="cs"/>
          <w:rtl/>
        </w:rPr>
        <w:t xml:space="preserve"> הגרעק"א</w:t>
      </w:r>
      <w:r w:rsidRPr="0050146A">
        <w:rPr>
          <w:rFonts w:hint="cs"/>
          <w:rtl/>
        </w:rPr>
        <w:t xml:space="preserve">, וכן הקשה </w:t>
      </w:r>
      <w:r w:rsidRPr="0050146A">
        <w:rPr>
          <w:rStyle w:val="af8"/>
          <w:rFonts w:hint="cs"/>
          <w:rtl/>
        </w:rPr>
        <w:t xml:space="preserve">היד יהודה </w:t>
      </w:r>
      <w:r w:rsidRPr="0050146A">
        <w:rPr>
          <w:rStyle w:val="af6"/>
          <w:rFonts w:eastAsia="Guttman Hodes" w:hint="cs"/>
          <w:rtl/>
        </w:rPr>
        <w:t>(סי</w:t>
      </w:r>
      <w:r w:rsidRPr="0050146A">
        <w:rPr>
          <w:rStyle w:val="af6"/>
          <w:rFonts w:eastAsia="Guttman Hodes"/>
          <w:rtl/>
        </w:rPr>
        <w:t>'</w:t>
      </w:r>
      <w:r w:rsidRPr="0050146A">
        <w:rPr>
          <w:rStyle w:val="af6"/>
          <w:rFonts w:eastAsia="Guttman Hodes" w:hint="cs"/>
          <w:rtl/>
        </w:rPr>
        <w:t xml:space="preserve"> צ</w:t>
      </w:r>
      <w:r w:rsidRPr="0050146A">
        <w:rPr>
          <w:rStyle w:val="af6"/>
          <w:rFonts w:eastAsia="Guttman Hodes"/>
          <w:rtl/>
        </w:rPr>
        <w:t>"</w:t>
      </w:r>
      <w:r w:rsidRPr="0050146A">
        <w:rPr>
          <w:rStyle w:val="af6"/>
          <w:rFonts w:eastAsia="Guttman Hodes" w:hint="cs"/>
          <w:rtl/>
        </w:rPr>
        <w:t>ח סק</w:t>
      </w:r>
      <w:r w:rsidRPr="0050146A">
        <w:rPr>
          <w:rStyle w:val="af6"/>
          <w:rFonts w:eastAsia="Guttman Hodes"/>
          <w:rtl/>
        </w:rPr>
        <w:t>"</w:t>
      </w:r>
      <w:r w:rsidRPr="0050146A">
        <w:rPr>
          <w:rStyle w:val="af6"/>
          <w:rFonts w:eastAsia="Guttman Hodes" w:hint="cs"/>
          <w:rtl/>
        </w:rPr>
        <w:t xml:space="preserve">ג ד"ה עוד הקשו) </w:t>
      </w:r>
      <w:r w:rsidRPr="0050146A">
        <w:rPr>
          <w:rFonts w:hint="cs"/>
          <w:rtl/>
        </w:rPr>
        <w:t>יעויי"ש במה שתירץ.</w:t>
      </w:r>
    </w:p>
    <w:p w:rsidR="008442F8" w:rsidRPr="0050146A" w:rsidRDefault="008442F8" w:rsidP="008442F8">
      <w:pPr>
        <w:pStyle w:val="a2"/>
        <w:rPr>
          <w:rtl/>
        </w:rPr>
      </w:pPr>
      <w:bookmarkStart w:id="382" w:name="_Toc8122488"/>
      <w:bookmarkStart w:id="383" w:name="_Toc8142942"/>
      <w:bookmarkStart w:id="384" w:name="_Toc8160704"/>
      <w:bookmarkStart w:id="385" w:name="_Toc8209188"/>
      <w:bookmarkStart w:id="386" w:name="_Toc8209326"/>
      <w:bookmarkStart w:id="387" w:name="_Toc8246349"/>
      <w:r w:rsidRPr="0050146A">
        <w:rPr>
          <w:rFonts w:hint="cs"/>
          <w:rtl/>
        </w:rPr>
        <w:t>דברי רבינו גרשום דמשערים בבשר ולפת ואם יש בזה שיעור שישים מותר ובפחות משישים אסור</w:t>
      </w:r>
      <w:bookmarkEnd w:id="375"/>
      <w:bookmarkEnd w:id="376"/>
      <w:bookmarkEnd w:id="382"/>
      <w:bookmarkEnd w:id="383"/>
      <w:bookmarkEnd w:id="384"/>
      <w:bookmarkEnd w:id="385"/>
      <w:bookmarkEnd w:id="386"/>
      <w:bookmarkEnd w:id="387"/>
    </w:p>
    <w:p w:rsidR="008442F8" w:rsidRPr="0050146A" w:rsidRDefault="008442F8" w:rsidP="009F44AF">
      <w:pPr>
        <w:pStyle w:val="a"/>
        <w:rPr>
          <w:rtl/>
        </w:rPr>
      </w:pPr>
      <w:bookmarkStart w:id="388" w:name="_Ref5650659"/>
      <w:r w:rsidRPr="0050146A">
        <w:rPr>
          <w:rStyle w:val="af8"/>
          <w:rFonts w:hint="cs"/>
          <w:rtl/>
        </w:rPr>
        <w:t>ורבינו גרשום</w:t>
      </w:r>
      <w:r w:rsidRPr="0050146A">
        <w:rPr>
          <w:rFonts w:hint="cs"/>
          <w:rtl/>
        </w:rPr>
        <w:t xml:space="preserve"> </w:t>
      </w:r>
      <w:r w:rsidRPr="0050146A">
        <w:rPr>
          <w:rStyle w:val="af6"/>
          <w:rFonts w:eastAsia="Guttman Hodes" w:hint="cs"/>
          <w:rtl/>
        </w:rPr>
        <w:t>(ד"ה כיצד)</w:t>
      </w:r>
      <w:r w:rsidRPr="0050146A">
        <w:rPr>
          <w:rFonts w:hint="cs"/>
          <w:rtl/>
        </w:rPr>
        <w:t xml:space="preserve"> כתב דמשערין כאילו הירך הוא לפת והגיד הוא בשר, ואם בכה"ג יש נותן טעם זהו שיעור שישים, והוא מותר, אבל בפחות משישים אסור, וע"ע בדברי </w:t>
      </w:r>
      <w:r w:rsidRPr="0050146A">
        <w:rPr>
          <w:rStyle w:val="af8"/>
          <w:rFonts w:hint="cs"/>
          <w:rtl/>
        </w:rPr>
        <w:t>רבינו גרשום לקמן</w:t>
      </w:r>
      <w:r w:rsidRPr="0050146A">
        <w:rPr>
          <w:rFonts w:hint="cs"/>
          <w:rtl/>
        </w:rPr>
        <w:t xml:space="preserve"> </w:t>
      </w:r>
      <w:r w:rsidRPr="0050146A">
        <w:rPr>
          <w:rStyle w:val="af6"/>
          <w:rFonts w:eastAsia="Guttman Hodes" w:hint="cs"/>
          <w:rtl/>
        </w:rPr>
        <w:t>(צט: ד"ה כבשר בראשי לפתות)</w:t>
      </w:r>
      <w:r w:rsidRPr="0050146A">
        <w:rPr>
          <w:rFonts w:hint="cs"/>
          <w:rtl/>
        </w:rPr>
        <w:t>.</w:t>
      </w:r>
      <w:bookmarkEnd w:id="388"/>
    </w:p>
    <w:p w:rsidR="008442F8" w:rsidRPr="0050146A" w:rsidRDefault="008442F8" w:rsidP="008442F8">
      <w:pPr>
        <w:pStyle w:val="a2"/>
        <w:rPr>
          <w:rtl/>
        </w:rPr>
      </w:pPr>
      <w:bookmarkStart w:id="389" w:name="_Toc8122489"/>
      <w:bookmarkStart w:id="390" w:name="_Toc8142943"/>
      <w:bookmarkStart w:id="391" w:name="_Toc8160705"/>
      <w:bookmarkStart w:id="392" w:name="_Toc8209189"/>
      <w:bookmarkStart w:id="393" w:name="_Toc8209327"/>
      <w:bookmarkStart w:id="394" w:name="_Toc8246350"/>
      <w:bookmarkStart w:id="395" w:name="_Toc8117840"/>
      <w:r w:rsidRPr="0050146A">
        <w:rPr>
          <w:rFonts w:hint="cs"/>
          <w:rtl/>
        </w:rPr>
        <w:t>דברי רבינו גרשום לקמן דבצל בקפלוט נותנים טעם עד שישים ואין נתינת טעם ביותר משישים</w:t>
      </w:r>
      <w:bookmarkEnd w:id="389"/>
      <w:bookmarkEnd w:id="390"/>
      <w:bookmarkEnd w:id="391"/>
      <w:bookmarkEnd w:id="392"/>
      <w:bookmarkEnd w:id="393"/>
      <w:bookmarkEnd w:id="394"/>
    </w:p>
    <w:p w:rsidR="008442F8" w:rsidRPr="0050146A" w:rsidRDefault="008442F8" w:rsidP="009F44AF">
      <w:pPr>
        <w:pStyle w:val="a"/>
        <w:rPr>
          <w:rtl/>
        </w:rPr>
      </w:pPr>
      <w:bookmarkStart w:id="396" w:name="_Ref5650651"/>
      <w:r w:rsidRPr="0050146A">
        <w:rPr>
          <w:rStyle w:val="af8"/>
          <w:rtl/>
        </w:rPr>
        <w:t>וברבינו גרשום לקמן</w:t>
      </w:r>
      <w:r w:rsidRPr="0050146A">
        <w:rPr>
          <w:rFonts w:hint="cs"/>
          <w:rtl/>
        </w:rPr>
        <w:t xml:space="preserve"> </w:t>
      </w:r>
      <w:r w:rsidRPr="0050146A">
        <w:rPr>
          <w:rStyle w:val="af6"/>
          <w:rFonts w:eastAsia="Guttman Hodes" w:hint="cs"/>
          <w:rtl/>
        </w:rPr>
        <w:t>(צז: ד"ה כל)</w:t>
      </w:r>
      <w:r w:rsidRPr="0050146A">
        <w:rPr>
          <w:rFonts w:hint="cs"/>
          <w:rtl/>
        </w:rPr>
        <w:t xml:space="preserve"> כתב דבכל האיסורים שבתורה משערינן בבצל וקפלוט, שנותנים טעם עד שישים, אבל ביותר משישים אינם נותנים טעם, והוסיף </w:t>
      </w:r>
      <w:r w:rsidRPr="0050146A">
        <w:rPr>
          <w:rStyle w:val="af8"/>
          <w:rtl/>
        </w:rPr>
        <w:t>רבינו גרשום</w:t>
      </w:r>
      <w:r w:rsidRPr="0050146A">
        <w:rPr>
          <w:rFonts w:hint="cs"/>
          <w:rtl/>
        </w:rPr>
        <w:t xml:space="preserve"> דאין איסור שנותן טעם </w:t>
      </w:r>
      <w:r w:rsidRPr="0050146A">
        <w:rPr>
          <w:rStyle w:val="afa"/>
          <w:rFonts w:hint="cs"/>
          <w:rtl/>
        </w:rPr>
        <w:t xml:space="preserve">[ביותר משישים] </w:t>
      </w:r>
      <w:r w:rsidRPr="0050146A">
        <w:rPr>
          <w:rFonts w:hint="cs"/>
          <w:rtl/>
        </w:rPr>
        <w:t>כגון חתיכה של נבילה וכגון דג טמא וגיד הנשה.</w:t>
      </w:r>
      <w:bookmarkEnd w:id="396"/>
    </w:p>
    <w:p w:rsidR="008442F8" w:rsidRPr="0050146A" w:rsidRDefault="008442F8" w:rsidP="008442F8">
      <w:pPr>
        <w:pStyle w:val="a2"/>
        <w:rPr>
          <w:rtl/>
        </w:rPr>
      </w:pPr>
      <w:bookmarkStart w:id="397" w:name="_Toc8122490"/>
      <w:bookmarkStart w:id="398" w:name="_Toc8142944"/>
      <w:bookmarkStart w:id="399" w:name="_Toc8160706"/>
      <w:bookmarkStart w:id="400" w:name="_Toc8209190"/>
      <w:bookmarkStart w:id="401" w:name="_Toc8209328"/>
      <w:bookmarkStart w:id="402" w:name="_Toc8246351"/>
      <w:r w:rsidRPr="0050146A">
        <w:rPr>
          <w:rFonts w:hint="cs"/>
          <w:rtl/>
        </w:rPr>
        <w:t>דברי הרי"ד דבשר בלפת לאו דוקא וה"ה לכרוב או קפלוט והיינו שיעור שישים</w:t>
      </w:r>
      <w:bookmarkEnd w:id="395"/>
      <w:bookmarkEnd w:id="397"/>
      <w:bookmarkEnd w:id="398"/>
      <w:bookmarkEnd w:id="399"/>
      <w:bookmarkEnd w:id="400"/>
      <w:bookmarkEnd w:id="401"/>
      <w:bookmarkEnd w:id="402"/>
    </w:p>
    <w:p w:rsidR="008442F8" w:rsidRPr="0050146A" w:rsidRDefault="008442F8" w:rsidP="009F44AF">
      <w:pPr>
        <w:pStyle w:val="a"/>
        <w:rPr>
          <w:rtl/>
        </w:rPr>
      </w:pPr>
      <w:bookmarkStart w:id="403" w:name="_Ref8142708"/>
      <w:r w:rsidRPr="0050146A">
        <w:rPr>
          <w:rFonts w:hint="cs"/>
          <w:rtl/>
        </w:rPr>
        <w:t xml:space="preserve">וע"ע בדברי </w:t>
      </w:r>
      <w:r w:rsidRPr="0050146A">
        <w:rPr>
          <w:rStyle w:val="af8"/>
          <w:rFonts w:hint="cs"/>
          <w:rtl/>
        </w:rPr>
        <w:t>פסקי הרי"ד</w:t>
      </w:r>
      <w:r w:rsidRPr="0050146A">
        <w:rPr>
          <w:rFonts w:hint="cs"/>
          <w:rtl/>
        </w:rPr>
        <w:t xml:space="preserve"> </w:t>
      </w:r>
      <w:r w:rsidRPr="0050146A">
        <w:rPr>
          <w:rStyle w:val="af6"/>
          <w:rFonts w:eastAsia="Guttman Hodes" w:hint="cs"/>
          <w:rtl/>
        </w:rPr>
        <w:t>(ד"ה כיצד, הועתק בקובץ שיטות קמאי חולין ח"ג עמ' ב' אלף ק"ה)</w:t>
      </w:r>
      <w:r w:rsidRPr="0050146A">
        <w:rPr>
          <w:rFonts w:hint="cs"/>
          <w:rtl/>
        </w:rPr>
        <w:t xml:space="preserve"> דכתב דשיעור גיד בירך כיון שהוא מין במינו וא"א לעמוד על טעמו, לכן שיעורו הוא בבשר בלפת, והוסיף </w:t>
      </w:r>
      <w:r w:rsidRPr="0050146A">
        <w:rPr>
          <w:rStyle w:val="af8"/>
          <w:rFonts w:hint="cs"/>
          <w:rtl/>
        </w:rPr>
        <w:t>בפסקי הרי"ד</w:t>
      </w:r>
      <w:r w:rsidRPr="0050146A">
        <w:rPr>
          <w:rFonts w:hint="cs"/>
          <w:rtl/>
        </w:rPr>
        <w:t xml:space="preserve"> דלפת הוא לאו דוקא, אלא ה"ה בכרוב או קפלוט, </w:t>
      </w:r>
      <w:r w:rsidRPr="0050146A">
        <w:rPr>
          <w:rStyle w:val="afa"/>
          <w:rFonts w:hint="cs"/>
          <w:rtl/>
        </w:rPr>
        <w:t xml:space="preserve">[ודלא </w:t>
      </w:r>
      <w:r w:rsidRPr="0050146A">
        <w:rPr>
          <w:rStyle w:val="affa"/>
          <w:rFonts w:hint="cs"/>
          <w:rtl/>
        </w:rPr>
        <w:t>כרש"י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Ref5651374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ב)</w:t>
      </w:r>
      <w:r w:rsidRPr="0050146A">
        <w:rPr>
          <w:rStyle w:val="aff6"/>
          <w:rtl/>
        </w:rPr>
        <w:fldChar w:fldCharType="end"/>
      </w:r>
      <w:r w:rsidRPr="0050146A">
        <w:rPr>
          <w:rStyle w:val="afa"/>
          <w:rFonts w:hint="cs"/>
          <w:rtl/>
        </w:rPr>
        <w:t>],</w:t>
      </w:r>
      <w:r w:rsidRPr="0050146A">
        <w:rPr>
          <w:rFonts w:hint="cs"/>
          <w:rtl/>
        </w:rPr>
        <w:t xml:space="preserve"> וזהו שיעור שישים.</w:t>
      </w:r>
      <w:bookmarkEnd w:id="403"/>
    </w:p>
    <w:p w:rsidR="008442F8" w:rsidRPr="0050146A" w:rsidRDefault="008442F8" w:rsidP="008442F8">
      <w:pPr>
        <w:pStyle w:val="1"/>
        <w:rPr>
          <w:rtl/>
        </w:rPr>
      </w:pPr>
      <w:bookmarkStart w:id="404" w:name="_Toc8117841"/>
      <w:bookmarkStart w:id="405" w:name="_Toc8122491"/>
      <w:bookmarkStart w:id="406" w:name="_Toc8142945"/>
      <w:bookmarkStart w:id="407" w:name="_Toc8160707"/>
      <w:bookmarkStart w:id="408" w:name="_Toc8209191"/>
      <w:bookmarkStart w:id="409" w:name="_Toc8209329"/>
      <w:bookmarkStart w:id="410" w:name="_Toc8246352"/>
      <w:r w:rsidRPr="0050146A">
        <w:rPr>
          <w:rFonts w:hint="cs"/>
          <w:rtl/>
        </w:rPr>
        <w:t>דעת המאירי דבשר בלפת הוא פחות משישים</w:t>
      </w:r>
      <w:bookmarkEnd w:id="265"/>
      <w:bookmarkEnd w:id="266"/>
      <w:bookmarkEnd w:id="267"/>
      <w:bookmarkEnd w:id="268"/>
      <w:bookmarkEnd w:id="269"/>
      <w:bookmarkEnd w:id="270"/>
      <w:bookmarkEnd w:id="271"/>
      <w:bookmarkEnd w:id="272"/>
      <w:bookmarkEnd w:id="273"/>
      <w:bookmarkEnd w:id="274"/>
      <w:bookmarkEnd w:id="275"/>
      <w:bookmarkEnd w:id="404"/>
      <w:bookmarkEnd w:id="405"/>
      <w:bookmarkEnd w:id="406"/>
      <w:bookmarkEnd w:id="407"/>
      <w:bookmarkEnd w:id="408"/>
      <w:bookmarkEnd w:id="409"/>
      <w:bookmarkEnd w:id="410"/>
    </w:p>
    <w:p w:rsidR="008442F8" w:rsidRPr="0050146A" w:rsidRDefault="008442F8" w:rsidP="008442F8">
      <w:pPr>
        <w:pStyle w:val="a2"/>
        <w:rPr>
          <w:rtl/>
        </w:rPr>
      </w:pPr>
      <w:bookmarkStart w:id="411" w:name="_Toc8117842"/>
      <w:bookmarkStart w:id="412" w:name="_Toc8122492"/>
      <w:bookmarkStart w:id="413" w:name="_Toc8142946"/>
      <w:bookmarkStart w:id="414" w:name="_Toc8160708"/>
      <w:bookmarkStart w:id="415" w:name="_Toc8209192"/>
      <w:bookmarkStart w:id="416" w:name="_Toc8209330"/>
      <w:bookmarkStart w:id="417" w:name="_Toc8246353"/>
      <w:r w:rsidRPr="0050146A">
        <w:rPr>
          <w:rFonts w:hint="cs"/>
          <w:rtl/>
        </w:rPr>
        <w:t>דברי המאירי דכיון דטעם הגיד אינו ניכר כ"כ בבשר לכן שיעורו בבשר בלפת שהוא פחות משישים</w:t>
      </w:r>
      <w:bookmarkEnd w:id="411"/>
      <w:bookmarkEnd w:id="412"/>
      <w:bookmarkEnd w:id="413"/>
      <w:bookmarkEnd w:id="414"/>
      <w:bookmarkEnd w:id="415"/>
      <w:bookmarkEnd w:id="416"/>
      <w:bookmarkEnd w:id="417"/>
    </w:p>
    <w:p w:rsidR="008442F8" w:rsidRPr="0050146A" w:rsidRDefault="008442F8" w:rsidP="009F44AF">
      <w:pPr>
        <w:pStyle w:val="a"/>
        <w:rPr>
          <w:rtl/>
        </w:rPr>
      </w:pPr>
      <w:bookmarkStart w:id="418" w:name="_Ref8142624"/>
      <w:r w:rsidRPr="0050146A">
        <w:rPr>
          <w:rStyle w:val="af8"/>
          <w:rFonts w:hint="cs"/>
          <w:rtl/>
        </w:rPr>
        <w:t>והמאירי</w:t>
      </w:r>
      <w:r w:rsidRPr="0050146A">
        <w:rPr>
          <w:rFonts w:hint="cs"/>
          <w:rtl/>
        </w:rPr>
        <w:t xml:space="preserve"> </w:t>
      </w:r>
      <w:r w:rsidRPr="0050146A">
        <w:rPr>
          <w:rStyle w:val="af6"/>
          <w:rFonts w:eastAsia="Guttman Hodes" w:hint="cs"/>
          <w:rtl/>
        </w:rPr>
        <w:t>(ד"ה אמר המאירי)</w:t>
      </w:r>
      <w:r w:rsidRPr="0050146A">
        <w:rPr>
          <w:rFonts w:hint="cs"/>
          <w:rtl/>
        </w:rPr>
        <w:t xml:space="preserve"> כתב דאף למ"ד דיש בגידין בנותן טעם, מ"מ טעם הגיד אינו ניכר כל כך בבשר, כיון שטעם הגיד הוא אותו הטעם של הבשר, וגם אם הטעם היה ניכר אסור לישראל לטעום אותו, לכן משערים כבשר בלפת שהוא שיעור פחות משישים, דכיון שהלפת היא מרה לא ניכרת בה המתיקות של הבשר, אף כשהשיעור של הלפת הוא פחות בהרבה משיעור שישים כנגד הבשר, וכתב </w:t>
      </w:r>
      <w:r w:rsidRPr="0050146A">
        <w:rPr>
          <w:rStyle w:val="af8"/>
          <w:rFonts w:hint="cs"/>
          <w:rtl/>
        </w:rPr>
        <w:t xml:space="preserve">המאירי </w:t>
      </w:r>
      <w:r w:rsidRPr="0050146A">
        <w:rPr>
          <w:rFonts w:hint="cs"/>
          <w:rtl/>
        </w:rPr>
        <w:t xml:space="preserve">דא"כ אף כשאין שישים בירך כנגד גיד מותר, אך כתב </w:t>
      </w:r>
      <w:r w:rsidRPr="0050146A">
        <w:rPr>
          <w:rStyle w:val="af8"/>
          <w:rFonts w:hint="cs"/>
          <w:rtl/>
        </w:rPr>
        <w:t>המאירי</w:t>
      </w:r>
      <w:r w:rsidRPr="0050146A">
        <w:rPr>
          <w:rStyle w:val="af6"/>
          <w:rFonts w:eastAsia="Guttman Hodes" w:hint="cs"/>
          <w:rtl/>
        </w:rPr>
        <w:t xml:space="preserve"> (ד"ה זהו) </w:t>
      </w:r>
      <w:r w:rsidRPr="0050146A">
        <w:rPr>
          <w:rFonts w:hint="cs"/>
          <w:rtl/>
        </w:rPr>
        <w:t>דמתני' אינה להלכה דקיי"ל דאין בגידין בנותן טעם, והגיד אינו אוסר את הירך כלל, וא"א לומר דכוונת המשנה להתיר את הגיד עצמו בתערובת, דכיון שהוא בריה אינו מתבטל.</w:t>
      </w:r>
      <w:bookmarkEnd w:id="418"/>
    </w:p>
    <w:p w:rsidR="008442F8" w:rsidRPr="0050146A" w:rsidRDefault="008442F8" w:rsidP="008442F8">
      <w:pPr>
        <w:pStyle w:val="a2"/>
        <w:rPr>
          <w:rtl/>
        </w:rPr>
      </w:pPr>
      <w:bookmarkStart w:id="419" w:name="_Toc8117843"/>
      <w:bookmarkStart w:id="420" w:name="_Toc8122493"/>
      <w:bookmarkStart w:id="421" w:name="_Toc8142947"/>
      <w:bookmarkStart w:id="422" w:name="_Toc8160709"/>
      <w:bookmarkStart w:id="423" w:name="_Toc8209193"/>
      <w:bookmarkStart w:id="424" w:name="_Toc8209331"/>
      <w:bookmarkStart w:id="425" w:name="_Toc8246354"/>
      <w:r w:rsidRPr="0050146A">
        <w:rPr>
          <w:rFonts w:hint="cs"/>
          <w:rtl/>
        </w:rPr>
        <w:t>דברי המאירי דלהלכה השיעור אינו בבשר בלפת או בצל וקפלוט אלא בשישים דבטל בו הטעם</w:t>
      </w:r>
      <w:bookmarkEnd w:id="419"/>
      <w:bookmarkEnd w:id="420"/>
      <w:bookmarkEnd w:id="421"/>
      <w:bookmarkEnd w:id="422"/>
      <w:bookmarkEnd w:id="423"/>
      <w:bookmarkEnd w:id="424"/>
      <w:bookmarkEnd w:id="425"/>
    </w:p>
    <w:p w:rsidR="008442F8" w:rsidRPr="0050146A" w:rsidRDefault="008442F8" w:rsidP="009F44AF">
      <w:pPr>
        <w:pStyle w:val="a"/>
        <w:rPr>
          <w:rtl/>
        </w:rPr>
      </w:pPr>
      <w:r w:rsidRPr="0050146A">
        <w:rPr>
          <w:rFonts w:hint="cs"/>
          <w:rtl/>
        </w:rPr>
        <w:t xml:space="preserve">והוסיף </w:t>
      </w:r>
      <w:r w:rsidRPr="0050146A">
        <w:rPr>
          <w:rStyle w:val="af8"/>
          <w:rFonts w:hint="cs"/>
          <w:rtl/>
        </w:rPr>
        <w:t xml:space="preserve">המאירי </w:t>
      </w:r>
      <w:r w:rsidRPr="0050146A">
        <w:rPr>
          <w:rFonts w:hint="cs"/>
          <w:rtl/>
        </w:rPr>
        <w:t xml:space="preserve">דאף למ"ד דיש בגידין בנותן טעם, לא קיי"ל כמתני' לענין שיעור בשר בלפת, אלא השיעור הוא בשישים, ולא כבשר ולפת וכן לא כשיעור של הגמ' לקמן </w:t>
      </w:r>
      <w:r w:rsidRPr="0050146A">
        <w:rPr>
          <w:rStyle w:val="af6"/>
          <w:rFonts w:eastAsia="Guttman Hodes" w:hint="cs"/>
          <w:rtl/>
        </w:rPr>
        <w:t xml:space="preserve">(צז:) </w:t>
      </w:r>
      <w:r w:rsidRPr="0050146A">
        <w:rPr>
          <w:rFonts w:hint="cs"/>
          <w:rtl/>
        </w:rPr>
        <w:t>לגבי שאר האיסורין בבצל וקפלוט, אעפ"י שהשיעור של נתינת הטעם של הבצל בקפלוט היא פחות משיעור נתינת הטעם של בשר בלפת, מ"מ משערינן רק בשישים כיון שהשיעור של רוב האיסורין הוא מחמת נתינת הטעם, ובשישים א"א לעמוד על הטעם שנתן האיסור בהיתר.</w:t>
      </w:r>
    </w:p>
    <w:p w:rsidR="008442F8" w:rsidRPr="0050146A" w:rsidRDefault="008442F8" w:rsidP="008442F8">
      <w:pPr>
        <w:pStyle w:val="1"/>
        <w:rPr>
          <w:rtl/>
        </w:rPr>
      </w:pPr>
      <w:bookmarkStart w:id="426" w:name="_Toc5692567"/>
      <w:bookmarkStart w:id="427" w:name="_Toc5692607"/>
      <w:bookmarkStart w:id="428" w:name="_Toc5965289"/>
      <w:bookmarkStart w:id="429" w:name="_Toc6226570"/>
      <w:bookmarkStart w:id="430" w:name="_Toc6491242"/>
      <w:bookmarkStart w:id="431" w:name="_Toc6581294"/>
      <w:bookmarkStart w:id="432" w:name="_Toc6823620"/>
      <w:bookmarkStart w:id="433" w:name="_Toc6953531"/>
      <w:bookmarkStart w:id="434" w:name="_Toc8069037"/>
      <w:bookmarkStart w:id="435" w:name="_Toc8069109"/>
      <w:bookmarkStart w:id="436" w:name="_Toc8105993"/>
      <w:bookmarkStart w:id="437" w:name="_Toc8117844"/>
      <w:bookmarkStart w:id="438" w:name="_Toc8122494"/>
      <w:bookmarkStart w:id="439" w:name="_Toc8142948"/>
      <w:bookmarkStart w:id="440" w:name="_Toc8160710"/>
      <w:bookmarkStart w:id="441" w:name="_Toc8209194"/>
      <w:bookmarkStart w:id="442" w:name="_Toc8209332"/>
      <w:bookmarkStart w:id="443" w:name="_Toc8246355"/>
      <w:r w:rsidRPr="0050146A">
        <w:rPr>
          <w:rFonts w:hint="cs"/>
          <w:rtl/>
        </w:rPr>
        <w:t xml:space="preserve">דברי הרמב"ם בפיהמ"ש דבשר בלפת </w:t>
      </w:r>
      <w:bookmarkEnd w:id="426"/>
      <w:bookmarkEnd w:id="427"/>
      <w:bookmarkEnd w:id="428"/>
      <w:bookmarkEnd w:id="429"/>
      <w:bookmarkEnd w:id="430"/>
      <w:bookmarkEnd w:id="431"/>
      <w:bookmarkEnd w:id="432"/>
      <w:bookmarkEnd w:id="433"/>
      <w:bookmarkEnd w:id="434"/>
      <w:bookmarkEnd w:id="435"/>
      <w:bookmarkEnd w:id="436"/>
      <w:r w:rsidRPr="0050146A">
        <w:rPr>
          <w:rFonts w:hint="cs"/>
          <w:rtl/>
        </w:rPr>
        <w:t>היינו בטעם המורגש</w:t>
      </w:r>
      <w:bookmarkEnd w:id="437"/>
      <w:bookmarkEnd w:id="438"/>
      <w:bookmarkEnd w:id="439"/>
      <w:bookmarkEnd w:id="440"/>
      <w:bookmarkEnd w:id="441"/>
      <w:bookmarkEnd w:id="442"/>
      <w:bookmarkEnd w:id="443"/>
    </w:p>
    <w:p w:rsidR="008442F8" w:rsidRPr="0050146A" w:rsidRDefault="008442F8" w:rsidP="008442F8">
      <w:pPr>
        <w:pStyle w:val="a2"/>
        <w:rPr>
          <w:rtl/>
        </w:rPr>
      </w:pPr>
      <w:bookmarkStart w:id="444" w:name="_Toc8117845"/>
      <w:bookmarkStart w:id="445" w:name="_Toc8122495"/>
      <w:bookmarkStart w:id="446" w:name="_Toc8142949"/>
      <w:bookmarkStart w:id="447" w:name="_Toc8160711"/>
      <w:bookmarkStart w:id="448" w:name="_Toc8209195"/>
      <w:bookmarkStart w:id="449" w:name="_Toc8209333"/>
      <w:bookmarkStart w:id="450" w:name="_Toc8246356"/>
      <w:r w:rsidRPr="0050146A">
        <w:rPr>
          <w:rFonts w:hint="cs"/>
          <w:rtl/>
        </w:rPr>
        <w:t>דברי הרמב"ם בפיהמ"ש דשיעור בשר בלפת היינו שמורגש טעם הבשר בלפת יותר משאר צמחים</w:t>
      </w:r>
      <w:bookmarkEnd w:id="444"/>
      <w:bookmarkEnd w:id="445"/>
      <w:bookmarkEnd w:id="446"/>
      <w:bookmarkEnd w:id="447"/>
      <w:bookmarkEnd w:id="448"/>
      <w:bookmarkEnd w:id="449"/>
      <w:bookmarkEnd w:id="450"/>
    </w:p>
    <w:p w:rsidR="008442F8" w:rsidRPr="0050146A" w:rsidRDefault="008442F8" w:rsidP="009F44AF">
      <w:pPr>
        <w:pStyle w:val="a"/>
        <w:rPr>
          <w:rtl/>
        </w:rPr>
      </w:pPr>
      <w:bookmarkStart w:id="451" w:name="_Ref8227989"/>
      <w:r w:rsidRPr="0050146A">
        <w:rPr>
          <w:rFonts w:hint="cs"/>
          <w:rtl/>
        </w:rPr>
        <w:t xml:space="preserve">כתב </w:t>
      </w:r>
      <w:r w:rsidRPr="0050146A">
        <w:rPr>
          <w:rStyle w:val="af8"/>
          <w:rFonts w:hint="cs"/>
          <w:rtl/>
        </w:rPr>
        <w:t>הרמב"ם בפיהמ"ש</w:t>
      </w:r>
      <w:r w:rsidRPr="0050146A">
        <w:rPr>
          <w:rFonts w:hint="cs"/>
          <w:rtl/>
        </w:rPr>
        <w:t xml:space="preserve"> </w:t>
      </w:r>
      <w:r w:rsidRPr="0050146A">
        <w:rPr>
          <w:rStyle w:val="af6"/>
          <w:rFonts w:eastAsia="Guttman Hodes" w:hint="cs"/>
          <w:rtl/>
        </w:rPr>
        <w:t>(פ"ז מ"ד)</w:t>
      </w:r>
      <w:r w:rsidRPr="0050146A">
        <w:rPr>
          <w:rFonts w:hint="cs"/>
          <w:rtl/>
        </w:rPr>
        <w:t xml:space="preserve"> דשיעור בשר בלפת, היינו כשמורגש בחיך טעם הבשר בלפת שהתבשל עם בשר, </w:t>
      </w:r>
      <w:r w:rsidRPr="0050146A">
        <w:rPr>
          <w:rStyle w:val="afa"/>
          <w:rFonts w:hint="cs"/>
          <w:rtl/>
        </w:rPr>
        <w:t>[</w:t>
      </w:r>
      <w:r w:rsidRPr="0050146A">
        <w:rPr>
          <w:rStyle w:val="affa"/>
          <w:rFonts w:hint="cs"/>
          <w:rtl/>
        </w:rPr>
        <w:t>ובפיהמ"ש הנדמ"ח</w:t>
      </w:r>
      <w:r w:rsidRPr="0050146A">
        <w:rPr>
          <w:rStyle w:val="afa"/>
          <w:rFonts w:hint="cs"/>
          <w:rtl/>
        </w:rPr>
        <w:t xml:space="preserve"> </w:t>
      </w:r>
      <w:r w:rsidRPr="0050146A">
        <w:rPr>
          <w:rStyle w:val="aff6"/>
          <w:rFonts w:hint="cs"/>
          <w:rtl/>
        </w:rPr>
        <w:t>(מהדו' מוה"ק ומהדו' המאור)</w:t>
      </w:r>
      <w:r w:rsidRPr="0050146A">
        <w:rPr>
          <w:rStyle w:val="afa"/>
          <w:rFonts w:hint="cs"/>
          <w:rtl/>
        </w:rPr>
        <w:t xml:space="preserve"> נוסף שניכר ההבדל בטעם בחיך בין לפת שהתבשלה עם בשר, ללפת שלא התבשלה עם הבשר], </w:t>
      </w:r>
      <w:r w:rsidRPr="0050146A">
        <w:rPr>
          <w:rFonts w:hint="cs"/>
          <w:rtl/>
        </w:rPr>
        <w:t xml:space="preserve">וביאר </w:t>
      </w:r>
      <w:r w:rsidRPr="0050146A">
        <w:rPr>
          <w:rStyle w:val="af8"/>
          <w:rFonts w:hint="cs"/>
          <w:rtl/>
        </w:rPr>
        <w:t>הרמב"ם בפיהמ"ש</w:t>
      </w:r>
      <w:r w:rsidRPr="0050146A">
        <w:rPr>
          <w:rFonts w:hint="cs"/>
          <w:rtl/>
        </w:rPr>
        <w:t xml:space="preserve"> דהשיעור הוא בלפת, כיון שהבשר נותן טעם בלפת, יותר משנותן בשאר צמחים.</w:t>
      </w:r>
      <w:bookmarkEnd w:id="451"/>
    </w:p>
    <w:p w:rsidR="008442F8" w:rsidRPr="0050146A" w:rsidRDefault="008442F8" w:rsidP="008442F8">
      <w:pPr>
        <w:pStyle w:val="a2"/>
        <w:rPr>
          <w:rtl/>
        </w:rPr>
      </w:pPr>
      <w:bookmarkStart w:id="452" w:name="_Toc8117846"/>
      <w:bookmarkStart w:id="453" w:name="_Toc8122496"/>
      <w:bookmarkStart w:id="454" w:name="_Toc8142950"/>
      <w:bookmarkStart w:id="455" w:name="_Toc8160712"/>
      <w:bookmarkStart w:id="456" w:name="_Toc8209196"/>
      <w:bookmarkStart w:id="457" w:name="_Toc8209334"/>
      <w:bookmarkStart w:id="458" w:name="_Toc8246357"/>
      <w:r w:rsidRPr="0050146A">
        <w:rPr>
          <w:rFonts w:hint="cs"/>
          <w:rtl/>
        </w:rPr>
        <w:t>קושית התפארת יעקב דהיאך אפש"ל דשייך להרגיש את טעם הגיד בבשר הא אין בו בנו"ט</w:t>
      </w:r>
      <w:bookmarkEnd w:id="452"/>
      <w:bookmarkEnd w:id="453"/>
      <w:bookmarkEnd w:id="454"/>
      <w:bookmarkEnd w:id="455"/>
      <w:bookmarkEnd w:id="456"/>
      <w:bookmarkEnd w:id="457"/>
      <w:bookmarkEnd w:id="458"/>
    </w:p>
    <w:p w:rsidR="008442F8" w:rsidRPr="0050146A" w:rsidRDefault="008442F8" w:rsidP="009F44AF">
      <w:pPr>
        <w:pStyle w:val="a"/>
      </w:pPr>
      <w:bookmarkStart w:id="459" w:name="_Ref8117408"/>
      <w:bookmarkStart w:id="460" w:name="_Toc5965290"/>
      <w:r w:rsidRPr="0050146A">
        <w:rPr>
          <w:rFonts w:hint="cs"/>
          <w:rtl/>
        </w:rPr>
        <w:lastRenderedPageBreak/>
        <w:t xml:space="preserve">וכתב </w:t>
      </w:r>
      <w:r w:rsidRPr="0050146A">
        <w:rPr>
          <w:rStyle w:val="af8"/>
          <w:rFonts w:hint="cs"/>
          <w:rtl/>
        </w:rPr>
        <w:t>התפארת יעקב</w:t>
      </w:r>
      <w:r w:rsidRPr="0050146A">
        <w:rPr>
          <w:rFonts w:hint="cs"/>
          <w:rtl/>
        </w:rPr>
        <w:t xml:space="preserve"> </w:t>
      </w:r>
      <w:r w:rsidRPr="0050146A">
        <w:rPr>
          <w:rStyle w:val="af6"/>
          <w:rFonts w:eastAsia="Guttman Hodes" w:hint="cs"/>
          <w:rtl/>
        </w:rPr>
        <w:t>(ד"ה ומעתה)</w:t>
      </w:r>
      <w:r w:rsidRPr="0050146A">
        <w:rPr>
          <w:rFonts w:hint="cs"/>
          <w:rtl/>
        </w:rPr>
        <w:t xml:space="preserve"> דמשמע </w:t>
      </w:r>
      <w:r w:rsidRPr="0050146A">
        <w:rPr>
          <w:rStyle w:val="af8"/>
          <w:rFonts w:hint="cs"/>
          <w:rtl/>
        </w:rPr>
        <w:t>מדברי הרמב"ם בפיהמ"ש</w:t>
      </w:r>
      <w:r w:rsidRPr="0050146A">
        <w:rPr>
          <w:rFonts w:hint="cs"/>
          <w:rtl/>
        </w:rPr>
        <w:t xml:space="preserve"> דשיעור בשר בלפת, היינו שיעור שמורגש טעם הגיד בירך ממש, כמו שמורגש טעם הבשר בלפת עצמה, והקשה </w:t>
      </w:r>
      <w:r w:rsidRPr="0050146A">
        <w:rPr>
          <w:rStyle w:val="af8"/>
          <w:rFonts w:hint="cs"/>
          <w:rtl/>
        </w:rPr>
        <w:t>התפארת יעקב</w:t>
      </w:r>
      <w:r w:rsidRPr="0050146A">
        <w:rPr>
          <w:rFonts w:hint="cs"/>
          <w:rtl/>
        </w:rPr>
        <w:t xml:space="preserve"> הא קיי"ל דאין בגידין בנותן טעם, ואי שייך להרגיש את טעם הגיד בירך, א"כ למ"ד דיש בו בנותן טעם היינו שמורגש בו טעם ממש, והיאך אפש"ל דנחלקו במציאות אם יש בו טעם או אין בו טעם כלל, ועי' במ"ש </w:t>
      </w:r>
      <w:r w:rsidRPr="0050146A">
        <w:rPr>
          <w:rStyle w:val="af8"/>
          <w:rFonts w:hint="cs"/>
          <w:rtl/>
        </w:rPr>
        <w:t>התפארת יעקב</w:t>
      </w:r>
      <w:r w:rsidRPr="0050146A">
        <w:rPr>
          <w:rFonts w:hint="cs"/>
          <w:rtl/>
        </w:rPr>
        <w:t xml:space="preserve"> בדברי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Ref8640246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50146A">
        <w:rPr>
          <w:rStyle w:val="af6"/>
          <w:rFonts w:eastAsia="Guttman Hodes"/>
          <w:rtl/>
        </w:rPr>
        <w:fldChar w:fldCharType="end"/>
      </w:r>
      <w:r w:rsidRPr="0050146A">
        <w:rPr>
          <w:rFonts w:hint="cs"/>
          <w:rtl/>
        </w:rPr>
        <w:t>.</w:t>
      </w:r>
      <w:bookmarkEnd w:id="459"/>
    </w:p>
    <w:p w:rsidR="008442F8" w:rsidRPr="0050146A" w:rsidRDefault="008442F8" w:rsidP="008442F8">
      <w:pPr>
        <w:pStyle w:val="1"/>
        <w:rPr>
          <w:rtl/>
        </w:rPr>
      </w:pPr>
      <w:bookmarkStart w:id="461" w:name="_Toc8117847"/>
      <w:bookmarkStart w:id="462" w:name="_Toc8122497"/>
      <w:bookmarkStart w:id="463" w:name="_Toc8142951"/>
      <w:bookmarkStart w:id="464" w:name="_Toc8160713"/>
      <w:bookmarkStart w:id="465" w:name="_Toc8209197"/>
      <w:bookmarkStart w:id="466" w:name="_Toc8209335"/>
      <w:bookmarkStart w:id="467" w:name="_Toc8246358"/>
      <w:bookmarkEnd w:id="460"/>
      <w:r w:rsidRPr="0050146A">
        <w:rPr>
          <w:rFonts w:hint="cs"/>
          <w:rtl/>
        </w:rPr>
        <w:t>ביאור הראש יוסף בפיהמ"ש דבשר בלפת הוא בנו"ט ולא שישים</w:t>
      </w:r>
      <w:bookmarkEnd w:id="461"/>
      <w:bookmarkEnd w:id="462"/>
      <w:bookmarkEnd w:id="463"/>
      <w:bookmarkEnd w:id="464"/>
      <w:bookmarkEnd w:id="465"/>
      <w:bookmarkEnd w:id="466"/>
      <w:bookmarkEnd w:id="467"/>
    </w:p>
    <w:p w:rsidR="008442F8" w:rsidRPr="0050146A" w:rsidRDefault="008442F8" w:rsidP="008442F8">
      <w:pPr>
        <w:pStyle w:val="a2"/>
        <w:rPr>
          <w:rtl/>
        </w:rPr>
      </w:pPr>
      <w:bookmarkStart w:id="468" w:name="_Toc8117848"/>
      <w:bookmarkStart w:id="469" w:name="_Toc8122498"/>
      <w:bookmarkStart w:id="470" w:name="_Toc8142952"/>
      <w:bookmarkStart w:id="471" w:name="_Toc8160714"/>
      <w:bookmarkStart w:id="472" w:name="_Toc8209198"/>
      <w:bookmarkStart w:id="473" w:name="_Toc8209336"/>
      <w:bookmarkStart w:id="474" w:name="_Toc8246359"/>
      <w:r w:rsidRPr="0050146A">
        <w:rPr>
          <w:rFonts w:hint="cs"/>
          <w:rtl/>
        </w:rPr>
        <w:t>ביאור הראש יוסף ברמב"ם בפיהמ"ש דבשר בלפת היינו נתינת טעם ממש ולא שישים</w:t>
      </w:r>
      <w:bookmarkEnd w:id="468"/>
      <w:bookmarkEnd w:id="469"/>
      <w:bookmarkEnd w:id="470"/>
      <w:bookmarkEnd w:id="471"/>
      <w:bookmarkEnd w:id="472"/>
      <w:bookmarkEnd w:id="473"/>
      <w:bookmarkEnd w:id="474"/>
    </w:p>
    <w:p w:rsidR="008442F8" w:rsidRPr="0050146A" w:rsidRDefault="008442F8"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w:t>
      </w:r>
      <w:r w:rsidRPr="0050146A">
        <w:rPr>
          <w:rStyle w:val="af6"/>
          <w:rFonts w:eastAsia="Guttman Hodes" w:hint="cs"/>
          <w:rtl/>
        </w:rPr>
        <w:t>(ד"ה לשון הר"מ)</w:t>
      </w:r>
      <w:r w:rsidRPr="0050146A">
        <w:rPr>
          <w:rFonts w:hint="cs"/>
          <w:rtl/>
        </w:rPr>
        <w:t xml:space="preserve"> דקשה להבין את דברי </w:t>
      </w:r>
      <w:r w:rsidRPr="0050146A">
        <w:rPr>
          <w:rStyle w:val="af8"/>
          <w:rFonts w:hint="cs"/>
          <w:rtl/>
        </w:rPr>
        <w:t>הרמב"ם בפיהמ"ש</w:t>
      </w:r>
      <w:r w:rsidRPr="0050146A">
        <w:rPr>
          <w:rFonts w:hint="cs"/>
          <w:rtl/>
        </w:rPr>
        <w:t xml:space="preserve">, וביאר </w:t>
      </w:r>
      <w:r w:rsidRPr="0050146A">
        <w:rPr>
          <w:rStyle w:val="af8"/>
          <w:rFonts w:hint="cs"/>
          <w:rtl/>
        </w:rPr>
        <w:t>הראש יוסף</w:t>
      </w:r>
      <w:r w:rsidRPr="0050146A">
        <w:rPr>
          <w:rFonts w:hint="cs"/>
          <w:rtl/>
        </w:rPr>
        <w:t xml:space="preserve"> דס"ל דשיעור בשר בלפת היינו שיעור נתינת טעם ממש, דאם בכה"ג יש טעם בלפת הירך אסורה, וכתב </w:t>
      </w:r>
      <w:r w:rsidRPr="0050146A">
        <w:rPr>
          <w:rStyle w:val="af8"/>
          <w:rFonts w:hint="cs"/>
          <w:rtl/>
        </w:rPr>
        <w:t>הראש יוסף דהרמב"ם בפיהמ"ש</w:t>
      </w:r>
      <w:r w:rsidRPr="0050146A">
        <w:rPr>
          <w:rFonts w:hint="cs"/>
          <w:rtl/>
        </w:rPr>
        <w:t xml:space="preserve"> פליג על דברי </w:t>
      </w:r>
      <w:r w:rsidRPr="0050146A">
        <w:rPr>
          <w:rStyle w:val="af8"/>
          <w:rFonts w:hint="cs"/>
          <w:rtl/>
        </w:rPr>
        <w:t>התוס'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Ref5652579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Fonts w:hint="cs"/>
          <w:rtl/>
        </w:rPr>
        <w:t xml:space="preserve"> דכתבו דשיעור בשר בלפת הוא שיעור שישים, כיון דכתב </w:t>
      </w:r>
      <w:r w:rsidRPr="0050146A">
        <w:rPr>
          <w:rStyle w:val="af8"/>
          <w:rFonts w:hint="cs"/>
          <w:rtl/>
        </w:rPr>
        <w:t>הרמב"ם בפיהמ"ש</w:t>
      </w:r>
      <w:r w:rsidRPr="0050146A">
        <w:rPr>
          <w:rFonts w:hint="cs"/>
          <w:rtl/>
        </w:rPr>
        <w:t xml:space="preserve"> דהשיעור הוא כפי שמורגש הטעם, ולא כתב דהשיעור הוא בשישים, ומוכח דס"ל דהשיעור הוא נתינת טעם ממש, וכעי"ז כתב </w:t>
      </w:r>
      <w:r w:rsidRPr="0050146A">
        <w:rPr>
          <w:rStyle w:val="af8"/>
          <w:rtl/>
        </w:rPr>
        <w:t xml:space="preserve">היד יהודה </w:t>
      </w:r>
      <w:r w:rsidRPr="0050146A">
        <w:rPr>
          <w:rStyle w:val="af6"/>
          <w:rFonts w:eastAsiaTheme="minorHAnsi" w:hint="cs"/>
          <w:rtl/>
        </w:rPr>
        <w:t>(סי</w:t>
      </w:r>
      <w:r w:rsidRPr="0050146A">
        <w:rPr>
          <w:rStyle w:val="af6"/>
          <w:rFonts w:eastAsiaTheme="minorHAnsi"/>
          <w:rtl/>
        </w:rPr>
        <w:t>'</w:t>
      </w:r>
      <w:r w:rsidRPr="0050146A">
        <w:rPr>
          <w:rStyle w:val="af6"/>
          <w:rFonts w:eastAsiaTheme="minorHAnsi" w:hint="cs"/>
          <w:rtl/>
        </w:rPr>
        <w:t xml:space="preserve"> צ</w:t>
      </w:r>
      <w:r w:rsidRPr="0050146A">
        <w:rPr>
          <w:rStyle w:val="af6"/>
          <w:rFonts w:eastAsiaTheme="minorHAnsi"/>
          <w:rtl/>
        </w:rPr>
        <w:t>"</w:t>
      </w:r>
      <w:r w:rsidRPr="0050146A">
        <w:rPr>
          <w:rStyle w:val="af6"/>
          <w:rFonts w:eastAsiaTheme="minorHAnsi" w:hint="cs"/>
          <w:rtl/>
        </w:rPr>
        <w:t>ח סק</w:t>
      </w:r>
      <w:r w:rsidRPr="0050146A">
        <w:rPr>
          <w:rStyle w:val="af6"/>
          <w:rFonts w:eastAsiaTheme="minorHAnsi"/>
          <w:rtl/>
        </w:rPr>
        <w:t>"</w:t>
      </w:r>
      <w:r w:rsidRPr="0050146A">
        <w:rPr>
          <w:rStyle w:val="af6"/>
          <w:rFonts w:eastAsiaTheme="minorHAnsi" w:hint="cs"/>
          <w:rtl/>
        </w:rPr>
        <w:t>ג סוד"ה עוד הקשו)</w:t>
      </w:r>
      <w:r w:rsidRPr="0050146A">
        <w:rPr>
          <w:rFonts w:hint="cs"/>
          <w:rtl/>
        </w:rPr>
        <w:t>.</w:t>
      </w:r>
    </w:p>
    <w:p w:rsidR="008442F8" w:rsidRPr="0050146A" w:rsidRDefault="008442F8" w:rsidP="008442F8">
      <w:pPr>
        <w:pStyle w:val="a2"/>
        <w:rPr>
          <w:rtl/>
        </w:rPr>
      </w:pPr>
      <w:bookmarkStart w:id="475" w:name="_Toc8117849"/>
      <w:bookmarkStart w:id="476" w:name="_Toc8122499"/>
      <w:bookmarkStart w:id="477" w:name="_Toc8142953"/>
      <w:bookmarkStart w:id="478" w:name="_Toc8160715"/>
      <w:bookmarkStart w:id="479" w:name="_Toc8209199"/>
      <w:bookmarkStart w:id="480" w:name="_Toc8209337"/>
      <w:bookmarkStart w:id="481" w:name="_Toc8246360"/>
      <w:r w:rsidRPr="0050146A">
        <w:rPr>
          <w:rFonts w:hint="cs"/>
          <w:rtl/>
        </w:rPr>
        <w:t>דברי הראש יוסף דמשמעות מתני' דבגיד בירך צריך טעם שמורגש ממש ובסיפא בשישים</w:t>
      </w:r>
      <w:bookmarkEnd w:id="475"/>
      <w:bookmarkEnd w:id="476"/>
      <w:bookmarkEnd w:id="477"/>
      <w:bookmarkEnd w:id="478"/>
      <w:bookmarkEnd w:id="479"/>
      <w:bookmarkEnd w:id="480"/>
      <w:bookmarkEnd w:id="481"/>
    </w:p>
    <w:p w:rsidR="008442F8" w:rsidRPr="0050146A" w:rsidRDefault="008442F8" w:rsidP="009F44AF">
      <w:pPr>
        <w:pStyle w:val="a"/>
        <w:rPr>
          <w:rtl/>
        </w:rPr>
      </w:pPr>
      <w:bookmarkStart w:id="482" w:name="_Ref8116724"/>
      <w:r w:rsidRPr="0050146A">
        <w:rPr>
          <w:rFonts w:hint="cs"/>
          <w:rtl/>
        </w:rPr>
        <w:t xml:space="preserve">והוסיף </w:t>
      </w:r>
      <w:r w:rsidRPr="0050146A">
        <w:rPr>
          <w:rStyle w:val="af8"/>
          <w:rFonts w:hint="cs"/>
          <w:rtl/>
        </w:rPr>
        <w:t>הראש יוסף</w:t>
      </w:r>
      <w:r w:rsidRPr="0050146A">
        <w:rPr>
          <w:rFonts w:hint="cs"/>
          <w:rtl/>
        </w:rPr>
        <w:t xml:space="preserve"> דאפש"ל דס"ל </w:t>
      </w:r>
      <w:r w:rsidRPr="0050146A">
        <w:rPr>
          <w:rStyle w:val="af8"/>
          <w:rFonts w:hint="cs"/>
          <w:rtl/>
        </w:rPr>
        <w:t>להרמב"ם בפיהמ"ש</w:t>
      </w:r>
      <w:r w:rsidRPr="0050146A">
        <w:rPr>
          <w:rFonts w:hint="cs"/>
          <w:rtl/>
        </w:rPr>
        <w:t xml:space="preserve"> דאעפ"י דהנותן טעם דתנן בסיפא ודאי דהוא שישים, כיון דאיירי בגיד בין הגידין שהוא מין במינו, מ"מ תנן בסיפא נותן טעם בסתמא, אבל ברישא תנן "כיצד משערין", ומזה משמע דהשיעור הוא כפי הטעם שמורגש בו, וכוונת המשנה לומר דהגיד אוסר את הירך דוקא אם מורגש בו טעם ממש, כמו השיעור של הטעם המורגש בלפת שנתבשלה עם הבשר, אבל אם מורגש בו רק קצת טעם אינו אוסר, ועי' בדברי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Ref5875486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50146A">
        <w:rPr>
          <w:rStyle w:val="af6"/>
          <w:rFonts w:eastAsia="Guttman Hodes"/>
          <w:rtl/>
        </w:rPr>
        <w:fldChar w:fldCharType="end"/>
      </w:r>
      <w:r w:rsidRPr="0050146A">
        <w:rPr>
          <w:rFonts w:hint="cs"/>
          <w:rtl/>
        </w:rPr>
        <w:t>.</w:t>
      </w:r>
      <w:bookmarkEnd w:id="482"/>
    </w:p>
    <w:p w:rsidR="008442F8" w:rsidRPr="0050146A" w:rsidRDefault="008442F8" w:rsidP="008442F8">
      <w:pPr>
        <w:pStyle w:val="a2"/>
      </w:pPr>
      <w:bookmarkStart w:id="483" w:name="_Toc8117850"/>
      <w:bookmarkStart w:id="484" w:name="_Toc8122500"/>
      <w:bookmarkStart w:id="485" w:name="_Toc8142954"/>
      <w:bookmarkStart w:id="486" w:name="_Toc8160716"/>
      <w:bookmarkStart w:id="487" w:name="_Toc8209200"/>
      <w:bookmarkStart w:id="488" w:name="_Toc8209338"/>
      <w:bookmarkStart w:id="489" w:name="_Toc8246361"/>
      <w:r w:rsidRPr="0050146A">
        <w:rPr>
          <w:rFonts w:hint="cs"/>
          <w:rtl/>
        </w:rPr>
        <w:t>הביאור הב' בראש יוסף דלהרמב"ם בפיהמ"ש בשר בלפת הוא שיעור קצוב אך אינו שישים</w:t>
      </w:r>
      <w:bookmarkEnd w:id="483"/>
      <w:bookmarkEnd w:id="484"/>
      <w:bookmarkEnd w:id="485"/>
      <w:bookmarkEnd w:id="486"/>
      <w:bookmarkEnd w:id="487"/>
      <w:bookmarkEnd w:id="488"/>
      <w:bookmarkEnd w:id="489"/>
    </w:p>
    <w:p w:rsidR="008442F8" w:rsidRPr="0050146A" w:rsidRDefault="008442F8" w:rsidP="009F44AF">
      <w:pPr>
        <w:pStyle w:val="a"/>
        <w:rPr>
          <w:rtl/>
        </w:rPr>
      </w:pPr>
      <w:r w:rsidRPr="0050146A">
        <w:rPr>
          <w:rFonts w:hint="cs"/>
          <w:rtl/>
        </w:rPr>
        <w:t xml:space="preserve">ועו"כ </w:t>
      </w:r>
      <w:r w:rsidRPr="0050146A">
        <w:rPr>
          <w:rStyle w:val="af8"/>
          <w:rFonts w:hint="cs"/>
          <w:rtl/>
        </w:rPr>
        <w:t>הראש יוסף</w:t>
      </w:r>
      <w:r w:rsidRPr="0050146A">
        <w:rPr>
          <w:rFonts w:hint="cs"/>
          <w:rtl/>
        </w:rPr>
        <w:t xml:space="preserve"> דאפש"ל דס"ל </w:t>
      </w:r>
      <w:r w:rsidRPr="0050146A">
        <w:rPr>
          <w:rStyle w:val="af8"/>
          <w:rFonts w:hint="cs"/>
          <w:rtl/>
        </w:rPr>
        <w:t>להרמב"ם בפיהמ"ש</w:t>
      </w:r>
      <w:r w:rsidRPr="0050146A">
        <w:rPr>
          <w:rFonts w:hint="cs"/>
          <w:rtl/>
        </w:rPr>
        <w:t xml:space="preserve"> דשיעור בשר בלפת הוא שיעור קצוב, למשל שיעור שלושים, וזהו השיעור של גיד בירך, ולפי"ז הא דמהני טעימת קפילא, הוא דוקא כשיש בו יותר משיעור שלושים, אך מ"מ כתב </w:t>
      </w:r>
      <w:r w:rsidRPr="0050146A">
        <w:rPr>
          <w:rStyle w:val="af8"/>
          <w:rFonts w:hint="cs"/>
          <w:rtl/>
        </w:rPr>
        <w:t>הראש יוסף</w:t>
      </w:r>
      <w:r w:rsidRPr="0050146A">
        <w:rPr>
          <w:rFonts w:hint="cs"/>
          <w:rtl/>
        </w:rPr>
        <w:t xml:space="preserve"> דלב' הביאורים ודאי דס"ל </w:t>
      </w:r>
      <w:r w:rsidRPr="0050146A">
        <w:rPr>
          <w:rStyle w:val="af8"/>
          <w:rFonts w:hint="cs"/>
          <w:rtl/>
        </w:rPr>
        <w:t>להרמב"ם בפיהמ"ש</w:t>
      </w:r>
      <w:r w:rsidRPr="0050146A">
        <w:rPr>
          <w:rFonts w:hint="cs"/>
          <w:rtl/>
        </w:rPr>
        <w:t xml:space="preserve"> דהשיעור ברישא הוא כשמורגש בו ממש טעם.</w:t>
      </w:r>
    </w:p>
    <w:p w:rsidR="008442F8" w:rsidRPr="0050146A" w:rsidRDefault="008442F8" w:rsidP="008442F8">
      <w:pPr>
        <w:pStyle w:val="1"/>
        <w:rPr>
          <w:rtl/>
        </w:rPr>
      </w:pPr>
      <w:bookmarkStart w:id="490" w:name="_Toc5965288"/>
      <w:bookmarkStart w:id="491" w:name="_Toc6226569"/>
      <w:bookmarkStart w:id="492" w:name="_Toc6491241"/>
      <w:bookmarkStart w:id="493" w:name="_Toc6581293"/>
      <w:bookmarkStart w:id="494" w:name="_Toc6823618"/>
      <w:bookmarkStart w:id="495" w:name="_Toc6953529"/>
      <w:bookmarkStart w:id="496" w:name="_Toc8069035"/>
      <w:bookmarkStart w:id="497" w:name="_Toc8069107"/>
      <w:bookmarkStart w:id="498" w:name="_Toc8105992"/>
      <w:bookmarkStart w:id="499" w:name="_Toc8117851"/>
      <w:bookmarkStart w:id="500" w:name="_Toc8122501"/>
      <w:bookmarkStart w:id="501" w:name="_Toc8142955"/>
      <w:bookmarkStart w:id="502" w:name="_Toc8160717"/>
      <w:bookmarkStart w:id="503" w:name="_Toc8209201"/>
      <w:bookmarkStart w:id="504" w:name="_Toc8209339"/>
      <w:bookmarkStart w:id="505" w:name="_Toc8246362"/>
      <w:bookmarkStart w:id="506" w:name="_Toc6581299"/>
      <w:bookmarkStart w:id="507" w:name="_Toc6823621"/>
      <w:bookmarkStart w:id="508" w:name="_Toc6953532"/>
      <w:bookmarkStart w:id="509" w:name="_Toc8069038"/>
      <w:bookmarkStart w:id="510" w:name="_Toc8069110"/>
      <w:bookmarkStart w:id="511" w:name="_Toc8105994"/>
      <w:r w:rsidRPr="0050146A">
        <w:rPr>
          <w:rFonts w:hint="cs"/>
          <w:rtl/>
        </w:rPr>
        <w:t>קושיות האחרונים על רש"י דשישים מהלמ"מ</w:t>
      </w:r>
      <w:bookmarkEnd w:id="490"/>
      <w:bookmarkEnd w:id="491"/>
      <w:r w:rsidRPr="0050146A">
        <w:rPr>
          <w:rFonts w:hint="cs"/>
          <w:rtl/>
        </w:rPr>
        <w:t xml:space="preserve"> הא </w:t>
      </w:r>
      <w:r w:rsidRPr="0050146A">
        <w:rPr>
          <w:rtl/>
        </w:rPr>
        <w:t>ט</w:t>
      </w:r>
      <w:r w:rsidRPr="0050146A">
        <w:rPr>
          <w:rFonts w:hint="cs"/>
          <w:rtl/>
        </w:rPr>
        <w:t>ע"</w:t>
      </w:r>
      <w:r w:rsidRPr="0050146A">
        <w:rPr>
          <w:rtl/>
        </w:rPr>
        <w:t>כ</w:t>
      </w:r>
      <w:r w:rsidRPr="0050146A">
        <w:rPr>
          <w:rFonts w:hint="cs"/>
          <w:rtl/>
        </w:rPr>
        <w:t xml:space="preserve"> דרבנן</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rsidR="008442F8" w:rsidRPr="0050146A" w:rsidRDefault="008442F8" w:rsidP="008442F8">
      <w:pPr>
        <w:pStyle w:val="a2"/>
        <w:rPr>
          <w:rtl/>
        </w:rPr>
      </w:pPr>
      <w:bookmarkStart w:id="512" w:name="_Toc8142956"/>
      <w:bookmarkStart w:id="513" w:name="_Toc8160718"/>
      <w:bookmarkStart w:id="514" w:name="_Toc8209202"/>
      <w:bookmarkStart w:id="515" w:name="_Toc8209340"/>
      <w:bookmarkStart w:id="516" w:name="_Toc8246363"/>
      <w:r w:rsidRPr="0050146A">
        <w:rPr>
          <w:rFonts w:hint="cs"/>
          <w:rtl/>
        </w:rPr>
        <w:t>קושית הגרעק"א והחת"ס על רש"י דכיון דטעם כעיקר אינו מדאו' א"א לומר דבשר בלפת מהלמ"מ</w:t>
      </w:r>
      <w:bookmarkEnd w:id="512"/>
      <w:bookmarkEnd w:id="513"/>
      <w:bookmarkEnd w:id="514"/>
      <w:bookmarkEnd w:id="515"/>
      <w:bookmarkEnd w:id="516"/>
    </w:p>
    <w:p w:rsidR="008442F8" w:rsidRPr="0050146A" w:rsidRDefault="008442F8" w:rsidP="009F44AF">
      <w:pPr>
        <w:pStyle w:val="a"/>
        <w:rPr>
          <w:rStyle w:val="afa"/>
          <w:rtl/>
        </w:rPr>
      </w:pPr>
      <w:bookmarkStart w:id="517" w:name="_Ref5651781"/>
      <w:r w:rsidRPr="0050146A">
        <w:rPr>
          <w:rFonts w:hint="cs"/>
          <w:rtl/>
        </w:rPr>
        <w:t xml:space="preserve">במ"ש </w:t>
      </w:r>
      <w:r w:rsidRPr="0050146A">
        <w:rPr>
          <w:rStyle w:val="af8"/>
          <w:rFonts w:hint="cs"/>
          <w:rtl/>
        </w:rPr>
        <w:t>רש"י במתני'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Ref5651374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דשיעור בשר בלפת הוא מהלכה למשה מסיני, וגמירי דזהו השיעור, הקשה </w:t>
      </w:r>
      <w:r w:rsidRPr="0050146A">
        <w:rPr>
          <w:rStyle w:val="af8"/>
          <w:rFonts w:hint="cs"/>
          <w:rtl/>
        </w:rPr>
        <w:t>הגרעק"א</w:t>
      </w:r>
      <w:r w:rsidRPr="0050146A">
        <w:rPr>
          <w:rFonts w:hint="cs"/>
          <w:rtl/>
        </w:rPr>
        <w:t xml:space="preserve"> </w:t>
      </w:r>
      <w:r w:rsidRPr="0050146A">
        <w:rPr>
          <w:rStyle w:val="af6"/>
          <w:rFonts w:eastAsia="Guttman Hodes" w:hint="cs"/>
          <w:rtl/>
        </w:rPr>
        <w:t>(ד"ה כיצד)</w:t>
      </w:r>
      <w:r w:rsidRPr="0050146A">
        <w:rPr>
          <w:rFonts w:hint="cs"/>
          <w:rtl/>
        </w:rPr>
        <w:t xml:space="preserve"> דהרי לדעת </w:t>
      </w:r>
      <w:r w:rsidRPr="0050146A">
        <w:rPr>
          <w:rStyle w:val="af8"/>
          <w:rFonts w:hint="cs"/>
          <w:rtl/>
        </w:rPr>
        <w:t>רש"י</w:t>
      </w:r>
      <w:r w:rsidRPr="0050146A">
        <w:rPr>
          <w:rStyle w:val="af6"/>
          <w:rFonts w:eastAsia="Guttman Hodes" w:hint="cs"/>
          <w:rtl/>
        </w:rPr>
        <w:t xml:space="preserve"> (צח: ד"ה לטעם)</w:t>
      </w:r>
      <w:r w:rsidRPr="0050146A">
        <w:rPr>
          <w:rFonts w:hint="cs"/>
          <w:rtl/>
        </w:rPr>
        <w:t xml:space="preserve"> דטעם כעיקר דרבנן,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 ועי' בדברי </w:t>
      </w:r>
      <w:r w:rsidRPr="0050146A">
        <w:rPr>
          <w:rStyle w:val="affa"/>
          <w:rFonts w:hint="cs"/>
          <w:rtl/>
        </w:rPr>
        <w:t>החת"ס</w:t>
      </w:r>
      <w:r w:rsidRPr="0050146A">
        <w:rPr>
          <w:rStyle w:val="afa"/>
          <w:rFonts w:hint="cs"/>
          <w:rtl/>
        </w:rPr>
        <w:t xml:space="preserve"> </w:t>
      </w:r>
      <w:r w:rsidRPr="0050146A">
        <w:rPr>
          <w:rStyle w:val="aff6"/>
          <w:rFonts w:hint="cs"/>
          <w:rtl/>
        </w:rPr>
        <w:t>(הובא לקמן סימן ו' אות</w:t>
      </w:r>
      <w:r w:rsidR="00544A69">
        <w:rPr>
          <w:rStyle w:val="aff6"/>
          <w:rFonts w:hint="cs"/>
          <w:rtl/>
        </w:rPr>
        <w:t xml:space="preserve"> </w:t>
      </w:r>
      <w:r w:rsidR="00544A69">
        <w:rPr>
          <w:rStyle w:val="aff6"/>
          <w:rtl/>
        </w:rPr>
        <w:fldChar w:fldCharType="begin"/>
      </w:r>
      <w:r w:rsidR="00544A69">
        <w:rPr>
          <w:rStyle w:val="aff6"/>
          <w:rtl/>
        </w:rPr>
        <w:instrText xml:space="preserve"> </w:instrText>
      </w:r>
      <w:r w:rsidR="00544A69">
        <w:rPr>
          <w:rStyle w:val="aff6"/>
          <w:rFonts w:hint="cs"/>
        </w:rPr>
        <w:instrText>REF</w:instrText>
      </w:r>
      <w:r w:rsidR="00544A69">
        <w:rPr>
          <w:rStyle w:val="aff6"/>
          <w:rFonts w:hint="cs"/>
          <w:rtl/>
        </w:rPr>
        <w:instrText xml:space="preserve"> _</w:instrText>
      </w:r>
      <w:r w:rsidR="00544A69">
        <w:rPr>
          <w:rStyle w:val="aff6"/>
          <w:rFonts w:hint="cs"/>
        </w:rPr>
        <w:instrText>Ref12006022 \r \h</w:instrText>
      </w:r>
      <w:r w:rsidR="00544A69">
        <w:rPr>
          <w:rStyle w:val="aff6"/>
          <w:rtl/>
        </w:rPr>
        <w:instrText xml:space="preserve"> </w:instrText>
      </w:r>
      <w:r w:rsidR="00544A69">
        <w:rPr>
          <w:rStyle w:val="aff6"/>
          <w:rtl/>
        </w:rPr>
      </w:r>
      <w:r w:rsidR="00544A69">
        <w:rPr>
          <w:rStyle w:val="aff6"/>
          <w:rtl/>
        </w:rPr>
        <w:fldChar w:fldCharType="separate"/>
      </w:r>
      <w:r w:rsidR="004D1C5B">
        <w:rPr>
          <w:rStyle w:val="aff6"/>
          <w:cs/>
        </w:rPr>
        <w:t>‎</w:t>
      </w:r>
      <w:r w:rsidR="004D1C5B">
        <w:rPr>
          <w:rStyle w:val="aff6"/>
          <w:rtl/>
        </w:rPr>
        <w:t>מה)</w:t>
      </w:r>
      <w:r w:rsidR="00544A69">
        <w:rPr>
          <w:rStyle w:val="aff6"/>
          <w:rtl/>
        </w:rPr>
        <w:fldChar w:fldCharType="end"/>
      </w:r>
      <w:r w:rsidRPr="0050146A">
        <w:rPr>
          <w:rStyle w:val="afa"/>
          <w:rFonts w:hint="cs"/>
          <w:rtl/>
        </w:rPr>
        <w:t>]</w:t>
      </w:r>
      <w:r w:rsidRPr="0050146A">
        <w:rPr>
          <w:rFonts w:hint="cs"/>
          <w:rtl/>
        </w:rPr>
        <w:t>, א"כ אם בישלו מין בשאינו מינו אינו אסור מדאו, ואם בישלו במינו הוא מתבטל ברוב, וכן הקשו</w:t>
      </w:r>
      <w:r w:rsidRPr="0050146A">
        <w:rPr>
          <w:rStyle w:val="af8"/>
          <w:rFonts w:hint="cs"/>
          <w:rtl/>
        </w:rPr>
        <w:t xml:space="preserve"> החת"ס</w:t>
      </w:r>
      <w:r w:rsidRPr="0050146A">
        <w:rPr>
          <w:rFonts w:hint="cs"/>
          <w:rtl/>
        </w:rPr>
        <w:t xml:space="preserve"> </w:t>
      </w:r>
      <w:r w:rsidRPr="0050146A">
        <w:rPr>
          <w:rStyle w:val="af6"/>
          <w:rFonts w:eastAsia="Guttman Hodes" w:hint="cs"/>
          <w:rtl/>
        </w:rPr>
        <w:t xml:space="preserve">(ד"ה אמנם) </w:t>
      </w:r>
      <w:r w:rsidRPr="0050146A">
        <w:rPr>
          <w:rStyle w:val="af8"/>
          <w:rFonts w:hint="cs"/>
          <w:rtl/>
        </w:rPr>
        <w:t>ו</w:t>
      </w:r>
      <w:r w:rsidRPr="0050146A">
        <w:rPr>
          <w:rStyle w:val="af8"/>
          <w:rtl/>
        </w:rPr>
        <w:t xml:space="preserve">היד יהודה </w:t>
      </w:r>
      <w:r w:rsidRPr="0050146A">
        <w:rPr>
          <w:rStyle w:val="af6"/>
          <w:rFonts w:eastAsiaTheme="minorHAnsi" w:hint="cs"/>
          <w:rtl/>
        </w:rPr>
        <w:t>(סי</w:t>
      </w:r>
      <w:r w:rsidRPr="0050146A">
        <w:rPr>
          <w:rStyle w:val="af6"/>
          <w:rFonts w:eastAsiaTheme="minorHAnsi"/>
          <w:rtl/>
        </w:rPr>
        <w:t>'</w:t>
      </w:r>
      <w:r w:rsidRPr="0050146A">
        <w:rPr>
          <w:rStyle w:val="af6"/>
          <w:rFonts w:eastAsiaTheme="minorHAnsi" w:hint="cs"/>
          <w:rtl/>
        </w:rPr>
        <w:t xml:space="preserve"> צ</w:t>
      </w:r>
      <w:r w:rsidRPr="0050146A">
        <w:rPr>
          <w:rStyle w:val="af6"/>
          <w:rFonts w:eastAsiaTheme="minorHAnsi"/>
          <w:rtl/>
        </w:rPr>
        <w:t>"</w:t>
      </w:r>
      <w:r w:rsidRPr="0050146A">
        <w:rPr>
          <w:rStyle w:val="af6"/>
          <w:rFonts w:eastAsiaTheme="minorHAnsi" w:hint="cs"/>
          <w:rtl/>
        </w:rPr>
        <w:t>ח סק</w:t>
      </w:r>
      <w:r w:rsidRPr="0050146A">
        <w:rPr>
          <w:rStyle w:val="af6"/>
          <w:rFonts w:eastAsiaTheme="minorHAnsi"/>
          <w:rtl/>
        </w:rPr>
        <w:t>"</w:t>
      </w:r>
      <w:r w:rsidRPr="0050146A">
        <w:rPr>
          <w:rStyle w:val="af6"/>
          <w:rFonts w:eastAsiaTheme="minorHAnsi" w:hint="cs"/>
          <w:rtl/>
        </w:rPr>
        <w:t>ג ד"ה עוד הקשו)</w:t>
      </w:r>
      <w:r w:rsidRPr="0050146A">
        <w:rPr>
          <w:rFonts w:hint="cs"/>
          <w:rtl/>
        </w:rPr>
        <w:t xml:space="preserve"> עיי"ש במה שתירץ.</w:t>
      </w:r>
      <w:bookmarkEnd w:id="517"/>
    </w:p>
    <w:p w:rsidR="008442F8" w:rsidRPr="0050146A" w:rsidRDefault="008442F8" w:rsidP="008442F8">
      <w:pPr>
        <w:pStyle w:val="a2"/>
        <w:rPr>
          <w:rtl/>
        </w:rPr>
      </w:pPr>
      <w:bookmarkStart w:id="518" w:name="_Toc8142957"/>
      <w:bookmarkStart w:id="519" w:name="_Toc8160719"/>
      <w:bookmarkStart w:id="520" w:name="_Toc8209203"/>
      <w:bookmarkStart w:id="521" w:name="_Toc8209341"/>
      <w:bookmarkStart w:id="522" w:name="_Toc8246364"/>
      <w:r w:rsidRPr="0050146A">
        <w:rPr>
          <w:rFonts w:hint="cs"/>
          <w:rtl/>
        </w:rPr>
        <w:t>תירוץ החת"ס דההל"מ נאמרה במקום שהאיסור נימוח דבזה אף לרש"י טעם כעיקר מדאו'</w:t>
      </w:r>
      <w:bookmarkEnd w:id="518"/>
      <w:bookmarkEnd w:id="519"/>
      <w:bookmarkEnd w:id="520"/>
      <w:bookmarkEnd w:id="521"/>
      <w:bookmarkEnd w:id="522"/>
      <w:r w:rsidRPr="0050146A">
        <w:rPr>
          <w:rFonts w:hint="cs"/>
          <w:rtl/>
        </w:rPr>
        <w:t xml:space="preserve"> </w:t>
      </w:r>
    </w:p>
    <w:p w:rsidR="008442F8" w:rsidRPr="0050146A" w:rsidRDefault="008442F8" w:rsidP="009F44AF">
      <w:pPr>
        <w:pStyle w:val="a"/>
        <w:rPr>
          <w:rtl/>
        </w:rPr>
      </w:pPr>
      <w:r w:rsidRPr="0050146A">
        <w:rPr>
          <w:rFonts w:hint="cs"/>
          <w:rtl/>
        </w:rPr>
        <w:t xml:space="preserve">ותירץ </w:t>
      </w:r>
      <w:r w:rsidRPr="0050146A">
        <w:rPr>
          <w:rStyle w:val="af8"/>
          <w:rFonts w:hint="cs"/>
          <w:rtl/>
        </w:rPr>
        <w:t>החת"ס</w:t>
      </w:r>
      <w:r w:rsidRPr="0050146A">
        <w:rPr>
          <w:rFonts w:hint="cs"/>
          <w:rtl/>
        </w:rPr>
        <w:t xml:space="preserve"> דההלכה למשה מסיני נאמרה במקום שהאיסור נימוח ונתערב בהיתר, דבזה אף </w:t>
      </w:r>
      <w:r w:rsidRPr="0050146A">
        <w:rPr>
          <w:rStyle w:val="af8"/>
          <w:rFonts w:hint="cs"/>
          <w:rtl/>
        </w:rPr>
        <w:t>רש"י</w:t>
      </w:r>
      <w:r w:rsidRPr="0050146A">
        <w:rPr>
          <w:rStyle w:val="af6"/>
          <w:rFonts w:eastAsia="Guttman Hodes" w:hint="cs"/>
          <w:rtl/>
        </w:rPr>
        <w:t xml:space="preserve"> </w:t>
      </w:r>
      <w:r w:rsidRPr="0050146A">
        <w:rPr>
          <w:rFonts w:hint="cs"/>
          <w:rtl/>
        </w:rPr>
        <w:t xml:space="preserve"> מודה דטעם כעיקר מדאו'.</w:t>
      </w:r>
    </w:p>
    <w:p w:rsidR="008442F8" w:rsidRPr="0050146A" w:rsidRDefault="008442F8" w:rsidP="008442F8">
      <w:pPr>
        <w:pStyle w:val="a2"/>
        <w:rPr>
          <w:rtl/>
        </w:rPr>
      </w:pPr>
      <w:bookmarkStart w:id="523" w:name="_Toc8142958"/>
      <w:bookmarkStart w:id="524" w:name="_Toc8160720"/>
      <w:bookmarkStart w:id="525" w:name="_Toc8209204"/>
      <w:bookmarkStart w:id="526" w:name="_Toc8209342"/>
      <w:bookmarkStart w:id="527" w:name="_Toc8246365"/>
      <w:r w:rsidRPr="0050146A">
        <w:rPr>
          <w:rFonts w:hint="cs"/>
          <w:rtl/>
        </w:rPr>
        <w:t>תירוץ ה</w:t>
      </w:r>
      <w:r w:rsidR="00250230">
        <w:rPr>
          <w:rFonts w:hint="cs"/>
          <w:rtl/>
        </w:rPr>
        <w:t>פלתי</w:t>
      </w:r>
      <w:r w:rsidRPr="0050146A">
        <w:rPr>
          <w:rFonts w:hint="cs"/>
          <w:rtl/>
        </w:rPr>
        <w:t xml:space="preserve"> והחת"ס דההל"מ נאמרה לענין קדשים ובשר וחלב דטעם כעיקר מדאו'</w:t>
      </w:r>
      <w:bookmarkEnd w:id="523"/>
      <w:bookmarkEnd w:id="524"/>
      <w:bookmarkEnd w:id="525"/>
      <w:bookmarkEnd w:id="526"/>
      <w:bookmarkEnd w:id="527"/>
    </w:p>
    <w:p w:rsidR="008442F8" w:rsidRPr="0050146A" w:rsidRDefault="008442F8" w:rsidP="009F44AF">
      <w:pPr>
        <w:pStyle w:val="a"/>
        <w:rPr>
          <w:rStyle w:val="afa"/>
          <w:rtl/>
        </w:rPr>
      </w:pPr>
      <w:bookmarkStart w:id="528" w:name="_Ref8141014"/>
      <w:r w:rsidRPr="0050146A">
        <w:rPr>
          <w:rFonts w:hint="cs"/>
          <w:rtl/>
        </w:rPr>
        <w:t>ו</w:t>
      </w:r>
      <w:r w:rsidRPr="0050146A">
        <w:rPr>
          <w:rStyle w:val="af8"/>
          <w:rFonts w:hint="cs"/>
          <w:rtl/>
        </w:rPr>
        <w:t>ה</w:t>
      </w:r>
      <w:r w:rsidR="00250230">
        <w:rPr>
          <w:rStyle w:val="af8"/>
          <w:rFonts w:hint="cs"/>
          <w:rtl/>
        </w:rPr>
        <w:t>פלתי</w:t>
      </w:r>
      <w:r w:rsidRPr="0050146A">
        <w:rPr>
          <w:rStyle w:val="af8"/>
          <w:rFonts w:hint="cs"/>
          <w:rtl/>
        </w:rPr>
        <w:t xml:space="preserve"> </w:t>
      </w:r>
      <w:r w:rsidRPr="0050146A">
        <w:rPr>
          <w:rStyle w:val="af6"/>
          <w:rFonts w:eastAsia="Guttman Hodes" w:hint="cs"/>
          <w:rtl/>
        </w:rPr>
        <w:t>(סי' צ"ח סק"ד)</w:t>
      </w:r>
      <w:r w:rsidRPr="0050146A">
        <w:rPr>
          <w:rFonts w:hint="cs"/>
          <w:rtl/>
        </w:rPr>
        <w:t xml:space="preserve"> תירץ דההלכה למשה מסיני נאמרה בקדשים, דלכו"ע טעם כעיקר בקדשים הוא מדאו', </w:t>
      </w:r>
      <w:r w:rsidRPr="0050146A">
        <w:rPr>
          <w:rStyle w:val="afa"/>
          <w:rFonts w:hint="cs"/>
          <w:rtl/>
        </w:rPr>
        <w:t xml:space="preserve">[ואף למ"ד דאין בגידין בנותן טעם, צ"ל דההלכה נאמרה בשאר דברים, וממנה למדו לגיד], </w:t>
      </w:r>
      <w:r w:rsidRPr="0050146A">
        <w:rPr>
          <w:rFonts w:hint="cs"/>
          <w:rtl/>
        </w:rPr>
        <w:t xml:space="preserve">דהרי </w:t>
      </w:r>
      <w:r w:rsidRPr="0050146A">
        <w:rPr>
          <w:rStyle w:val="af8"/>
          <w:rFonts w:hint="cs"/>
          <w:rtl/>
        </w:rPr>
        <w:t xml:space="preserve">רש"י לעיל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Ref6218810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ס"ל דשיעור בשר בלפת הוא שיעור שישים, וכדברי ר"נ לקמן </w:t>
      </w:r>
      <w:r w:rsidRPr="0050146A">
        <w:rPr>
          <w:rStyle w:val="af6"/>
          <w:rFonts w:eastAsia="Guttman Hodes" w:hint="cs"/>
          <w:rtl/>
        </w:rPr>
        <w:t>(צז:)</w:t>
      </w:r>
      <w:r w:rsidRPr="0050146A">
        <w:rPr>
          <w:rFonts w:hint="cs"/>
          <w:rtl/>
        </w:rPr>
        <w:t xml:space="preserve"> דגיד בשישים, ומבואר דאין חילוק בין שיעור גיד, לשאר האיסורים, </w:t>
      </w:r>
      <w:r w:rsidRPr="0050146A">
        <w:rPr>
          <w:rStyle w:val="afa"/>
          <w:rFonts w:hint="cs"/>
          <w:rtl/>
        </w:rPr>
        <w:t xml:space="preserve">[והוסיף </w:t>
      </w:r>
      <w:r w:rsidRPr="0050146A">
        <w:rPr>
          <w:rStyle w:val="affa"/>
          <w:rFonts w:hint="cs"/>
          <w:rtl/>
        </w:rPr>
        <w:t>ה</w:t>
      </w:r>
      <w:r w:rsidR="00250230">
        <w:rPr>
          <w:rStyle w:val="affa"/>
          <w:rFonts w:hint="cs"/>
          <w:rtl/>
        </w:rPr>
        <w:t>פלתי</w:t>
      </w:r>
      <w:r w:rsidRPr="0050146A">
        <w:rPr>
          <w:rStyle w:val="afa"/>
          <w:rFonts w:hint="cs"/>
          <w:rtl/>
        </w:rPr>
        <w:t xml:space="preserve"> דאף דכתבו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Ref5652579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טז)</w:t>
      </w:r>
      <w:r w:rsidRPr="0050146A">
        <w:rPr>
          <w:rStyle w:val="aff6"/>
          <w:rtl/>
        </w:rPr>
        <w:fldChar w:fldCharType="end"/>
      </w:r>
      <w:r w:rsidRPr="0050146A">
        <w:rPr>
          <w:rStyle w:val="aff6"/>
          <w:rFonts w:hint="cs"/>
          <w:rtl/>
        </w:rPr>
        <w:t xml:space="preserve"> </w:t>
      </w:r>
      <w:r w:rsidRPr="0050146A">
        <w:rPr>
          <w:rStyle w:val="afa"/>
          <w:rFonts w:hint="cs"/>
          <w:rtl/>
        </w:rPr>
        <w:t xml:space="preserve">דריו"ח פליג על ר"נ, מ"מ הא כתבו </w:t>
      </w:r>
      <w:r w:rsidRPr="0050146A">
        <w:rPr>
          <w:rStyle w:val="affa"/>
          <w:rFonts w:hint="cs"/>
          <w:rtl/>
        </w:rPr>
        <w:t>התוס'</w:t>
      </w:r>
      <w:r w:rsidRPr="0050146A">
        <w:rPr>
          <w:rStyle w:val="afa"/>
          <w:rFonts w:hint="cs"/>
          <w:rtl/>
        </w:rPr>
        <w:t xml:space="preserve"> </w:t>
      </w:r>
      <w:r w:rsidRPr="0050146A">
        <w:rPr>
          <w:rStyle w:val="afa"/>
          <w:rFonts w:hint="cs"/>
          <w:rtl/>
        </w:rPr>
        <w:t>דלא קיי"ל כריו"ח, ואף ריו"ח מודה דמדאו' השיעור הוא בשר בלפת</w:t>
      </w:r>
      <w:bookmarkEnd w:id="528"/>
      <w:r w:rsidRPr="0050146A">
        <w:rPr>
          <w:rStyle w:val="afa"/>
          <w:rFonts w:hint="cs"/>
          <w:rtl/>
        </w:rPr>
        <w:t xml:space="preserve">], </w:t>
      </w:r>
      <w:r w:rsidRPr="0050146A">
        <w:rPr>
          <w:rFonts w:hint="cs"/>
          <w:rtl/>
        </w:rPr>
        <w:t xml:space="preserve">וכן תירץ </w:t>
      </w:r>
      <w:r w:rsidRPr="0050146A">
        <w:rPr>
          <w:rStyle w:val="af8"/>
          <w:rFonts w:hint="cs"/>
          <w:rtl/>
        </w:rPr>
        <w:t>החת"ס בתירוצו הב'</w:t>
      </w:r>
      <w:r w:rsidRPr="0050146A">
        <w:rPr>
          <w:rFonts w:hint="cs"/>
          <w:rtl/>
        </w:rPr>
        <w:t xml:space="preserve"> דאפש"ל דההלכה למשה מסיני נאמרה לענין קדשים או לענין בשר בחלב, ושיעור בשר בלפת הוא שישים והוא שיעור בכל התורה, ולא רק בגיד בירך. </w:t>
      </w:r>
      <w:r w:rsidRPr="0050146A">
        <w:rPr>
          <w:rStyle w:val="afa"/>
          <w:rFonts w:hint="cs"/>
          <w:rtl/>
        </w:rPr>
        <w:t xml:space="preserve">[ובדעת ריו"ח דביארו </w:t>
      </w:r>
      <w:r w:rsidRPr="0050146A">
        <w:rPr>
          <w:rStyle w:val="affa"/>
          <w:rFonts w:hint="cs"/>
          <w:rtl/>
        </w:rPr>
        <w:t xml:space="preserve">התוס' </w:t>
      </w:r>
      <w:r w:rsidRPr="0050146A">
        <w:rPr>
          <w:rStyle w:val="afa"/>
          <w:rFonts w:hint="cs"/>
          <w:rtl/>
        </w:rPr>
        <w:t xml:space="preserve">דס"ל דהשיעור בגיד דבשר בלפת הוא שיעור קל יותר משאר האיסורין שהם בבצל בקפלוט, ביאר </w:t>
      </w:r>
      <w:r w:rsidRPr="0050146A">
        <w:rPr>
          <w:rStyle w:val="affa"/>
          <w:rFonts w:hint="cs"/>
          <w:rtl/>
        </w:rPr>
        <w:t>החת"ס</w:t>
      </w:r>
      <w:r w:rsidRPr="0050146A">
        <w:rPr>
          <w:rStyle w:val="afa"/>
          <w:rFonts w:hint="cs"/>
          <w:rtl/>
        </w:rPr>
        <w:t xml:space="preserve"> דס"ל לריו"ח דתנא דמתני' ס"ל דאין בגידין בנותן טעם אף לענין קדשים ובהמה טמאה, עיי"ש בדבריו].</w:t>
      </w:r>
    </w:p>
    <w:p w:rsidR="008442F8" w:rsidRPr="0050146A" w:rsidRDefault="008442F8" w:rsidP="008442F8">
      <w:pPr>
        <w:pStyle w:val="a2"/>
        <w:rPr>
          <w:rtl/>
        </w:rPr>
      </w:pPr>
      <w:bookmarkStart w:id="529" w:name="_Toc8142959"/>
      <w:bookmarkStart w:id="530" w:name="_Toc8160721"/>
      <w:bookmarkStart w:id="531" w:name="_Toc8209205"/>
      <w:bookmarkStart w:id="532" w:name="_Toc8209343"/>
      <w:bookmarkStart w:id="533" w:name="_Toc8246366"/>
      <w:r w:rsidRPr="0050146A">
        <w:rPr>
          <w:rFonts w:hint="cs"/>
          <w:rtl/>
        </w:rPr>
        <w:t>קושית הגרעק"א על רש"י דאמאי משערים בבשר ולא בגיד עצמו כמה טעם  נותן בלפת</w:t>
      </w:r>
      <w:bookmarkEnd w:id="529"/>
      <w:bookmarkEnd w:id="530"/>
      <w:bookmarkEnd w:id="531"/>
      <w:bookmarkEnd w:id="532"/>
      <w:bookmarkEnd w:id="533"/>
    </w:p>
    <w:p w:rsidR="008442F8" w:rsidRPr="0050146A" w:rsidRDefault="008442F8" w:rsidP="009F44AF">
      <w:pPr>
        <w:pStyle w:val="a"/>
        <w:rPr>
          <w:rtl/>
        </w:rPr>
      </w:pPr>
      <w:r w:rsidRPr="0050146A">
        <w:rPr>
          <w:rFonts w:hint="cs"/>
          <w:rtl/>
        </w:rPr>
        <w:t xml:space="preserve">עוד הקשה </w:t>
      </w:r>
      <w:r w:rsidRPr="0050146A">
        <w:rPr>
          <w:rStyle w:val="af8"/>
          <w:rFonts w:hint="cs"/>
          <w:rtl/>
        </w:rPr>
        <w:t>הגרעק"א</w:t>
      </w:r>
      <w:r w:rsidRPr="0050146A">
        <w:rPr>
          <w:rFonts w:hint="cs"/>
          <w:rtl/>
        </w:rPr>
        <w:t xml:space="preserve"> </w:t>
      </w:r>
      <w:r w:rsidRPr="0050146A">
        <w:rPr>
          <w:rStyle w:val="af6"/>
          <w:rFonts w:eastAsia="Guttman Hodes" w:hint="cs"/>
          <w:rtl/>
        </w:rPr>
        <w:t>(ד"ה כיצד)</w:t>
      </w:r>
      <w:r w:rsidRPr="0050146A">
        <w:rPr>
          <w:rFonts w:hint="cs"/>
          <w:rtl/>
        </w:rPr>
        <w:t xml:space="preserve"> על </w:t>
      </w:r>
      <w:r w:rsidRPr="0050146A">
        <w:rPr>
          <w:rStyle w:val="af8"/>
          <w:rFonts w:hint="cs"/>
          <w:rtl/>
        </w:rPr>
        <w:t>רש"י</w:t>
      </w:r>
      <w:r w:rsidRPr="0050146A">
        <w:rPr>
          <w:rFonts w:hint="cs"/>
          <w:rtl/>
        </w:rPr>
        <w:t xml:space="preserve"> דאמאי משערים את הגיד כאילו הוא בשר, ולא משערים כמה הגיד עצמו נותן טעם בלפת, דהא כל מה דמשערינן בבבשר ולפת הוא כיון שהטעם של הגיד ושל הירך הוא אותו הטעם, וא"כ אפשר לשער בגיד בלפת.</w:t>
      </w:r>
    </w:p>
    <w:p w:rsidR="008442F8" w:rsidRPr="0050146A" w:rsidRDefault="008442F8" w:rsidP="008442F8">
      <w:pPr>
        <w:pStyle w:val="a2"/>
        <w:rPr>
          <w:rtl/>
        </w:rPr>
      </w:pPr>
      <w:bookmarkStart w:id="534" w:name="_Toc8142960"/>
      <w:bookmarkStart w:id="535" w:name="_Toc8160722"/>
      <w:bookmarkStart w:id="536" w:name="_Toc8209206"/>
      <w:bookmarkStart w:id="537" w:name="_Toc8209344"/>
      <w:bookmarkStart w:id="538" w:name="_Toc8246367"/>
      <w:r w:rsidRPr="0050146A">
        <w:rPr>
          <w:rFonts w:hint="cs"/>
          <w:rtl/>
        </w:rPr>
        <w:t>קושית החזו"א על רש"י דבגמ' לקמן מבואר דשישים הוא מדרבנן והאיך אפש"ל דהוא הלמ"מ</w:t>
      </w:r>
      <w:bookmarkEnd w:id="534"/>
      <w:bookmarkEnd w:id="535"/>
      <w:bookmarkEnd w:id="536"/>
      <w:bookmarkEnd w:id="537"/>
      <w:bookmarkEnd w:id="538"/>
    </w:p>
    <w:p w:rsidR="008442F8" w:rsidRPr="0050146A" w:rsidRDefault="008442F8" w:rsidP="009F44AF">
      <w:pPr>
        <w:pStyle w:val="a"/>
        <w:rPr>
          <w:rStyle w:val="afa"/>
        </w:rPr>
      </w:pPr>
      <w:bookmarkStart w:id="539" w:name="_Ref8142484"/>
      <w:r w:rsidRPr="0050146A">
        <w:rPr>
          <w:rStyle w:val="af8"/>
          <w:rFonts w:hint="cs"/>
          <w:rtl/>
        </w:rPr>
        <w:t>והחזו"א</w:t>
      </w:r>
      <w:r w:rsidRPr="0050146A">
        <w:rPr>
          <w:rFonts w:hint="cs"/>
          <w:rtl/>
        </w:rPr>
        <w:t xml:space="preserve"> </w:t>
      </w:r>
      <w:r w:rsidRPr="0050146A">
        <w:rPr>
          <w:rStyle w:val="af6"/>
          <w:rFonts w:eastAsia="Guttman Hodes" w:hint="cs"/>
          <w:rtl/>
        </w:rPr>
        <w:t>(סי' כ"ז סק"ב)</w:t>
      </w:r>
      <w:r w:rsidRPr="0050146A">
        <w:rPr>
          <w:rFonts w:hint="cs"/>
          <w:rtl/>
        </w:rPr>
        <w:t xml:space="preserve"> הביא את דברי </w:t>
      </w:r>
      <w:r w:rsidRPr="0050146A">
        <w:rPr>
          <w:rStyle w:val="af8"/>
          <w:rFonts w:hint="cs"/>
          <w:rtl/>
        </w:rPr>
        <w:t>התוס' לקמן</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Ref8125101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דכתבו דשיעור בשר בלפת הוא בשישים, והקשה </w:t>
      </w:r>
      <w:r w:rsidRPr="0050146A">
        <w:rPr>
          <w:rStyle w:val="af8"/>
          <w:rFonts w:hint="cs"/>
          <w:rtl/>
        </w:rPr>
        <w:t>החזו"א</w:t>
      </w:r>
      <w:r w:rsidRPr="0050146A">
        <w:rPr>
          <w:rFonts w:hint="cs"/>
          <w:rtl/>
        </w:rPr>
        <w:t xml:space="preserve"> על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Ref5651374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דכתב דשיעור בשר בלפת הוא מהלכה למשה מסיני, דהא מבואר בגמ' לקמן </w:t>
      </w:r>
      <w:r w:rsidRPr="0050146A">
        <w:rPr>
          <w:rStyle w:val="af6"/>
          <w:rFonts w:eastAsia="Guttman Hodes" w:hint="cs"/>
          <w:rtl/>
        </w:rPr>
        <w:t>(צז:)</w:t>
      </w:r>
      <w:r w:rsidRPr="0050146A">
        <w:rPr>
          <w:rFonts w:hint="cs"/>
          <w:rtl/>
        </w:rPr>
        <w:t xml:space="preserve"> דכל השיעורים הם מדרבנן, ומדאו' כל שאין בו טעם מותר, וכדכתבו </w:t>
      </w:r>
      <w:r w:rsidRPr="0050146A">
        <w:rPr>
          <w:rStyle w:val="af8"/>
          <w:rFonts w:hint="cs"/>
          <w:rtl/>
        </w:rPr>
        <w:t xml:space="preserve">התוס' לקמן </w:t>
      </w:r>
      <w:r w:rsidRPr="0050146A">
        <w:rPr>
          <w:rStyle w:val="af6"/>
          <w:rFonts w:eastAsia="Guttman Hodes" w:hint="cs"/>
          <w:rtl/>
        </w:rPr>
        <w:t>(צח: ד"ה לחומרא)</w:t>
      </w:r>
      <w:r w:rsidRPr="0050146A">
        <w:rPr>
          <w:rFonts w:hint="cs"/>
          <w:rtl/>
        </w:rPr>
        <w:t>.</w:t>
      </w:r>
      <w:bookmarkEnd w:id="539"/>
      <w:r w:rsidRPr="0050146A">
        <w:rPr>
          <w:rStyle w:val="afa"/>
          <w:rFonts w:hint="cs"/>
          <w:rtl/>
        </w:rPr>
        <w:t xml:space="preserve"> </w:t>
      </w:r>
    </w:p>
    <w:p w:rsidR="008442F8" w:rsidRPr="0050146A" w:rsidRDefault="008442F8" w:rsidP="00E669F8">
      <w:pPr>
        <w:pStyle w:val="afd"/>
        <w:rPr>
          <w:rtl/>
        </w:rPr>
      </w:pPr>
      <w:bookmarkStart w:id="540" w:name="_Toc8117852"/>
      <w:bookmarkStart w:id="541" w:name="_Toc8122502"/>
      <w:bookmarkStart w:id="542" w:name="_Toc8142961"/>
      <w:bookmarkStart w:id="543" w:name="_Toc8160723"/>
      <w:bookmarkStart w:id="544" w:name="_Toc8209207"/>
      <w:bookmarkStart w:id="545" w:name="_Toc8209345"/>
      <w:bookmarkStart w:id="546" w:name="_Toc8246368"/>
      <w:r w:rsidRPr="0050146A">
        <w:rPr>
          <w:rFonts w:hint="cs"/>
          <w:rtl/>
        </w:rPr>
        <w:t>ירך בגיד מין במינו או מין בשאינו מינו</w:t>
      </w:r>
      <w:bookmarkEnd w:id="506"/>
      <w:bookmarkEnd w:id="507"/>
      <w:bookmarkEnd w:id="508"/>
      <w:bookmarkEnd w:id="509"/>
      <w:bookmarkEnd w:id="510"/>
      <w:bookmarkEnd w:id="511"/>
      <w:bookmarkEnd w:id="540"/>
      <w:bookmarkEnd w:id="541"/>
      <w:bookmarkEnd w:id="542"/>
      <w:bookmarkEnd w:id="543"/>
      <w:bookmarkEnd w:id="544"/>
      <w:bookmarkEnd w:id="545"/>
      <w:bookmarkEnd w:id="546"/>
    </w:p>
    <w:p w:rsidR="008442F8" w:rsidRPr="0050146A" w:rsidRDefault="008442F8" w:rsidP="008442F8">
      <w:pPr>
        <w:pStyle w:val="1"/>
        <w:rPr>
          <w:rtl/>
        </w:rPr>
      </w:pPr>
      <w:bookmarkStart w:id="547" w:name="_Toc8142962"/>
      <w:bookmarkStart w:id="548" w:name="_Toc8160724"/>
      <w:bookmarkStart w:id="549" w:name="_Toc8209208"/>
      <w:bookmarkStart w:id="550" w:name="_Toc8209346"/>
      <w:bookmarkStart w:id="551" w:name="_Toc8246369"/>
      <w:r w:rsidRPr="0050146A">
        <w:rPr>
          <w:rFonts w:hint="cs"/>
          <w:rtl/>
        </w:rPr>
        <w:t>דעת הסוברים דגיד בירך הוא מין במינו</w:t>
      </w:r>
      <w:bookmarkEnd w:id="547"/>
      <w:r w:rsidRPr="0050146A">
        <w:rPr>
          <w:rFonts w:hint="cs"/>
          <w:rtl/>
        </w:rPr>
        <w:t xml:space="preserve"> ואין הטעם ניכר</w:t>
      </w:r>
      <w:bookmarkEnd w:id="548"/>
      <w:bookmarkEnd w:id="549"/>
      <w:bookmarkEnd w:id="550"/>
      <w:bookmarkEnd w:id="551"/>
    </w:p>
    <w:p w:rsidR="008442F8" w:rsidRPr="0050146A" w:rsidRDefault="008442F8" w:rsidP="008442F8">
      <w:pPr>
        <w:pStyle w:val="a2"/>
        <w:rPr>
          <w:rtl/>
        </w:rPr>
      </w:pPr>
      <w:bookmarkStart w:id="552" w:name="_Toc8160725"/>
      <w:bookmarkStart w:id="553" w:name="_Toc8209209"/>
      <w:bookmarkStart w:id="554" w:name="_Toc8209347"/>
      <w:bookmarkStart w:id="555" w:name="_Toc8246370"/>
      <w:r w:rsidRPr="0050146A">
        <w:rPr>
          <w:rFonts w:hint="cs"/>
          <w:rtl/>
        </w:rPr>
        <w:t>דברי הראב"ד והגרעק"א והפר"ח דגיד בירך הוא מין במינו</w:t>
      </w:r>
      <w:bookmarkEnd w:id="552"/>
      <w:bookmarkEnd w:id="553"/>
      <w:bookmarkEnd w:id="554"/>
      <w:bookmarkEnd w:id="555"/>
    </w:p>
    <w:p w:rsidR="008442F8" w:rsidRPr="0050146A" w:rsidRDefault="008442F8" w:rsidP="009F44AF">
      <w:pPr>
        <w:pStyle w:val="a"/>
        <w:rPr>
          <w:rtl/>
        </w:rPr>
      </w:pPr>
      <w:bookmarkStart w:id="556" w:name="_Ref8116979"/>
      <w:r w:rsidRPr="0050146A">
        <w:rPr>
          <w:rFonts w:hint="cs"/>
          <w:rtl/>
        </w:rPr>
        <w:t xml:space="preserve">כתב </w:t>
      </w:r>
      <w:r w:rsidRPr="0050146A">
        <w:rPr>
          <w:rStyle w:val="af8"/>
          <w:rFonts w:hint="cs"/>
          <w:rtl/>
        </w:rPr>
        <w:t xml:space="preserve">הראב"ד בספר איסור משהו </w:t>
      </w:r>
      <w:r w:rsidRPr="0050146A">
        <w:rPr>
          <w:rStyle w:val="af6"/>
          <w:rFonts w:eastAsia="Guttman Hodes" w:hint="cs"/>
          <w:rtl/>
        </w:rPr>
        <w:t>(פ"ב עמ' קכ"א)</w:t>
      </w:r>
      <w:r w:rsidRPr="0050146A">
        <w:rPr>
          <w:rFonts w:hint="cs"/>
          <w:rtl/>
        </w:rPr>
        <w:t xml:space="preserve"> דאין כל ספק דגיד בירך חשיב מין במינו, וכ"כ </w:t>
      </w:r>
      <w:r w:rsidRPr="0050146A">
        <w:rPr>
          <w:rStyle w:val="af8"/>
          <w:rFonts w:hint="cs"/>
          <w:rtl/>
        </w:rPr>
        <w:t>הפר"ח</w:t>
      </w:r>
      <w:r w:rsidRPr="0050146A">
        <w:rPr>
          <w:rFonts w:hint="cs"/>
          <w:rtl/>
        </w:rPr>
        <w:t xml:space="preserve"> </w:t>
      </w:r>
      <w:r w:rsidRPr="0050146A">
        <w:rPr>
          <w:rStyle w:val="af6"/>
          <w:rFonts w:eastAsia="Guttman Hodes" w:hint="cs"/>
          <w:rtl/>
        </w:rPr>
        <w:t>(סי' צ"ח סק"ז)</w:t>
      </w:r>
      <w:r w:rsidRPr="0050146A">
        <w:rPr>
          <w:rFonts w:hint="cs"/>
          <w:rtl/>
        </w:rPr>
        <w:t xml:space="preserve"> דהגיד הוא בכלל הבשר וחשיב מין במינו, וכ"כ </w:t>
      </w:r>
      <w:r w:rsidRPr="0050146A">
        <w:rPr>
          <w:rStyle w:val="af8"/>
          <w:rFonts w:hint="cs"/>
          <w:rtl/>
        </w:rPr>
        <w:t>הגרעק"א</w:t>
      </w:r>
      <w:r w:rsidRPr="0050146A">
        <w:rPr>
          <w:rFonts w:hint="cs"/>
          <w:rtl/>
        </w:rPr>
        <w:t xml:space="preserve"> </w:t>
      </w:r>
      <w:r w:rsidRPr="0050146A">
        <w:rPr>
          <w:rStyle w:val="af6"/>
          <w:rFonts w:eastAsia="Guttman Hodes" w:hint="cs"/>
          <w:rtl/>
        </w:rPr>
        <w:t>(על תוד"ה אם)</w:t>
      </w:r>
      <w:r w:rsidRPr="0050146A">
        <w:rPr>
          <w:rFonts w:hint="cs"/>
          <w:rtl/>
        </w:rPr>
        <w:t>.</w:t>
      </w:r>
      <w:bookmarkEnd w:id="556"/>
    </w:p>
    <w:p w:rsidR="008442F8" w:rsidRPr="0050146A" w:rsidRDefault="008442F8" w:rsidP="008442F8">
      <w:pPr>
        <w:pStyle w:val="a2"/>
        <w:rPr>
          <w:rtl/>
        </w:rPr>
      </w:pPr>
      <w:bookmarkStart w:id="557" w:name="_Toc8142963"/>
      <w:bookmarkStart w:id="558" w:name="_Toc8160726"/>
      <w:bookmarkStart w:id="559" w:name="_Toc8209210"/>
      <w:bookmarkStart w:id="560" w:name="_Toc8209348"/>
      <w:bookmarkStart w:id="561" w:name="_Toc8246371"/>
      <w:bookmarkStart w:id="562" w:name="_Toc8117853"/>
      <w:bookmarkStart w:id="563" w:name="_Toc8122503"/>
      <w:r w:rsidRPr="0050146A">
        <w:rPr>
          <w:rFonts w:hint="cs"/>
          <w:rtl/>
        </w:rPr>
        <w:t>דברי המאירי והרי"ד דכיון שטעם הגיד כטעם הבשר ואין הטעם מורגש שיעור בבשר בלפת</w:t>
      </w:r>
      <w:bookmarkEnd w:id="557"/>
      <w:bookmarkEnd w:id="558"/>
      <w:bookmarkEnd w:id="559"/>
      <w:bookmarkEnd w:id="560"/>
      <w:bookmarkEnd w:id="561"/>
    </w:p>
    <w:p w:rsidR="008442F8" w:rsidRPr="0050146A" w:rsidRDefault="008442F8" w:rsidP="009F44AF">
      <w:pPr>
        <w:pStyle w:val="a"/>
        <w:rPr>
          <w:rtl/>
        </w:rPr>
      </w:pPr>
      <w:r w:rsidRPr="0050146A">
        <w:rPr>
          <w:rStyle w:val="af8"/>
          <w:rFonts w:hint="cs"/>
          <w:rtl/>
        </w:rPr>
        <w:t>והמאירי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Ref8142624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50146A">
        <w:rPr>
          <w:rStyle w:val="af6"/>
          <w:rFonts w:eastAsia="Guttman Hodes"/>
          <w:rtl/>
        </w:rPr>
        <w:fldChar w:fldCharType="end"/>
      </w:r>
      <w:r w:rsidRPr="0050146A">
        <w:rPr>
          <w:rFonts w:hint="cs"/>
          <w:rtl/>
        </w:rPr>
        <w:t xml:space="preserve"> כתב דאף למ"ד דיש בגידין בנותן טעם, מ"מ טעם הגיד אינו ניכר כל כך בבשר, כיון שטעם הגיד הוא אותו הטעם של הבשר, לכן משערים כבשר בלפת, וכ"כ </w:t>
      </w:r>
      <w:r w:rsidRPr="0050146A">
        <w:rPr>
          <w:rStyle w:val="af8"/>
          <w:rFonts w:hint="cs"/>
          <w:rtl/>
        </w:rPr>
        <w:t>בפסקי הרי"ד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Ref8142708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דשיעור גיד בירך כיון שהוא מין במינו וא"א לעמוד על טעמו, לכן שיעורו הוא בבשר בלפת, </w:t>
      </w:r>
      <w:r w:rsidRPr="0050146A">
        <w:rPr>
          <w:rStyle w:val="af8"/>
          <w:rFonts w:hint="cs"/>
          <w:rtl/>
        </w:rPr>
        <w:t>והתוס' הרי"ד בע"ז</w:t>
      </w:r>
      <w:r w:rsidRPr="0050146A">
        <w:rPr>
          <w:rFonts w:hint="cs"/>
          <w:rtl/>
        </w:rPr>
        <w:t xml:space="preserve"> </w:t>
      </w:r>
      <w:r w:rsidRPr="0050146A">
        <w:rPr>
          <w:rStyle w:val="af6"/>
          <w:rFonts w:eastAsia="Guttman Hodes" w:hint="cs"/>
          <w:rtl/>
        </w:rPr>
        <w:t>(סז. ד"ה אמר)</w:t>
      </w:r>
      <w:r w:rsidRPr="0050146A">
        <w:rPr>
          <w:rFonts w:hint="cs"/>
          <w:rtl/>
        </w:rPr>
        <w:t xml:space="preserve"> כתב דבגיד בירך מדאו' כיון שהטעם של האיסור אינו ניכר, לכן הוא בטל ברוב, והא דצריך לשער בבשר בלפת הוא מדרבנן, וכעי"ז כתבו </w:t>
      </w:r>
      <w:r w:rsidRPr="0050146A">
        <w:rPr>
          <w:rStyle w:val="af8"/>
          <w:rFonts w:hint="cs"/>
          <w:rtl/>
        </w:rPr>
        <w:t>הנימוק"י ורבינו יהונתן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Ref8143680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ג)</w:t>
      </w:r>
      <w:r w:rsidRPr="0050146A">
        <w:rPr>
          <w:rStyle w:val="af6"/>
          <w:rFonts w:eastAsia="Guttman Hodes"/>
          <w:rtl/>
        </w:rPr>
        <w:fldChar w:fldCharType="end"/>
      </w:r>
      <w:r w:rsidRPr="0050146A">
        <w:rPr>
          <w:rFonts w:hint="cs"/>
          <w:rtl/>
        </w:rPr>
        <w:t xml:space="preserve">, וכ"כ </w:t>
      </w:r>
      <w:r w:rsidRPr="0050146A">
        <w:rPr>
          <w:rStyle w:val="af8"/>
          <w:rFonts w:hint="cs"/>
          <w:rtl/>
        </w:rPr>
        <w:t>הרא"ה בחי'</w:t>
      </w:r>
      <w:r w:rsidRPr="0050146A">
        <w:rPr>
          <w:rFonts w:hint="cs"/>
          <w:rtl/>
        </w:rPr>
        <w:t xml:space="preserve"> </w:t>
      </w:r>
      <w:r w:rsidRPr="0050146A">
        <w:rPr>
          <w:rStyle w:val="af6"/>
          <w:rFonts w:eastAsia="Guttman Hodes" w:hint="cs"/>
          <w:rtl/>
        </w:rPr>
        <w:t>(ד"ה מתני')</w:t>
      </w:r>
      <w:r w:rsidRPr="0050146A">
        <w:rPr>
          <w:rFonts w:hint="cs"/>
          <w:rtl/>
        </w:rPr>
        <w:t xml:space="preserve"> דאין הטעם ניכר.</w:t>
      </w:r>
    </w:p>
    <w:p w:rsidR="008442F8" w:rsidRPr="0050146A" w:rsidRDefault="008442F8" w:rsidP="008442F8">
      <w:pPr>
        <w:pStyle w:val="a2"/>
        <w:rPr>
          <w:rtl/>
        </w:rPr>
      </w:pPr>
      <w:bookmarkStart w:id="564" w:name="_Toc8160727"/>
      <w:bookmarkStart w:id="565" w:name="_Toc8209211"/>
      <w:bookmarkStart w:id="566" w:name="_Toc8209349"/>
      <w:bookmarkStart w:id="567" w:name="_Toc8246372"/>
      <w:r w:rsidRPr="0050146A">
        <w:rPr>
          <w:rFonts w:hint="cs"/>
          <w:rtl/>
        </w:rPr>
        <w:t>דברי ה</w:t>
      </w:r>
      <w:r w:rsidR="00250230">
        <w:rPr>
          <w:rFonts w:hint="cs"/>
          <w:rtl/>
        </w:rPr>
        <w:t>פלתי</w:t>
      </w:r>
      <w:r w:rsidRPr="0050146A">
        <w:rPr>
          <w:rFonts w:hint="cs"/>
          <w:rtl/>
        </w:rPr>
        <w:t xml:space="preserve"> והראש יוסף דא"א להוכיח מדברי התוס' לקמן דבגיד בירך הטעם ניכר</w:t>
      </w:r>
      <w:bookmarkEnd w:id="564"/>
      <w:bookmarkEnd w:id="565"/>
      <w:bookmarkEnd w:id="566"/>
      <w:bookmarkEnd w:id="567"/>
    </w:p>
    <w:p w:rsidR="008442F8" w:rsidRPr="0050146A" w:rsidRDefault="008442F8" w:rsidP="009F44AF">
      <w:pPr>
        <w:pStyle w:val="a"/>
        <w:rPr>
          <w:rtl/>
        </w:rPr>
      </w:pPr>
      <w:bookmarkStart w:id="568" w:name="_Toc8142964"/>
      <w:r w:rsidRPr="0050146A">
        <w:rPr>
          <w:rFonts w:hint="cs"/>
          <w:rtl/>
        </w:rPr>
        <w:t xml:space="preserve">ויעוי' בדברי </w:t>
      </w:r>
      <w:r w:rsidRPr="0050146A">
        <w:rPr>
          <w:rStyle w:val="af8"/>
          <w:rFonts w:hint="cs"/>
          <w:rtl/>
        </w:rPr>
        <w:t xml:space="preserve">התוס' לקמן </w:t>
      </w:r>
      <w:r w:rsidRPr="0050146A">
        <w:rPr>
          <w:rStyle w:val="af6"/>
          <w:rFonts w:eastAsia="Guttman Hodes" w:hint="cs"/>
          <w:rtl/>
        </w:rPr>
        <w:t>(צז. ד"ה אבל)</w:t>
      </w:r>
      <w:r w:rsidRPr="0050146A">
        <w:rPr>
          <w:rFonts w:hint="cs"/>
          <w:rtl/>
        </w:rPr>
        <w:t xml:space="preserve"> דהקשו אמאי מקשה הגמ' היאך אפשר לטעום בשר בחלב שהוא איסור, ולא מקשה כן על מתני' דגיד בירך, ותירצו </w:t>
      </w:r>
      <w:r w:rsidRPr="0050146A">
        <w:rPr>
          <w:rStyle w:val="af8"/>
          <w:rFonts w:hint="cs"/>
          <w:rtl/>
        </w:rPr>
        <w:t>התוס'</w:t>
      </w:r>
      <w:r w:rsidRPr="0050146A">
        <w:rPr>
          <w:rFonts w:hint="cs"/>
          <w:rtl/>
        </w:rPr>
        <w:t xml:space="preserve"> דכיון דמשערינן להו בבשר בלפת, לכן א"צ לטעום, וכתב </w:t>
      </w:r>
      <w:r w:rsidRPr="0050146A">
        <w:rPr>
          <w:rStyle w:val="af8"/>
          <w:rFonts w:hint="cs"/>
          <w:rtl/>
        </w:rPr>
        <w:t>ה</w:t>
      </w:r>
      <w:r w:rsidR="00250230">
        <w:rPr>
          <w:rStyle w:val="af8"/>
          <w:rFonts w:hint="cs"/>
          <w:rtl/>
        </w:rPr>
        <w:t>פלתי</w:t>
      </w:r>
      <w:r w:rsidRPr="0050146A">
        <w:rPr>
          <w:rFonts w:hint="cs"/>
          <w:rtl/>
        </w:rPr>
        <w:t xml:space="preserve"> </w:t>
      </w:r>
      <w:r w:rsidRPr="0050146A">
        <w:rPr>
          <w:rStyle w:val="af6"/>
          <w:rFonts w:eastAsia="Guttman Hodes" w:hint="cs"/>
          <w:rtl/>
        </w:rPr>
        <w:t>(סי' צ"ח סק"ד)</w:t>
      </w:r>
      <w:r w:rsidRPr="0050146A">
        <w:rPr>
          <w:rFonts w:hint="cs"/>
          <w:rtl/>
        </w:rPr>
        <w:t xml:space="preserve"> דמדלא תירצו </w:t>
      </w:r>
      <w:r w:rsidRPr="0050146A">
        <w:rPr>
          <w:rStyle w:val="af8"/>
          <w:rFonts w:hint="cs"/>
          <w:rtl/>
        </w:rPr>
        <w:t>התוס'</w:t>
      </w:r>
      <w:r w:rsidRPr="0050146A">
        <w:rPr>
          <w:rFonts w:hint="cs"/>
          <w:rtl/>
        </w:rPr>
        <w:t xml:space="preserve"> דגיד בירך הוא מין במינו, משמע דס"ל דאפשר להרגיש את טעם הגיד בבשר, אך דחה </w:t>
      </w:r>
      <w:r w:rsidRPr="0050146A">
        <w:rPr>
          <w:rStyle w:val="af8"/>
          <w:rFonts w:hint="cs"/>
          <w:rtl/>
        </w:rPr>
        <w:t>ה</w:t>
      </w:r>
      <w:r w:rsidR="00250230">
        <w:rPr>
          <w:rStyle w:val="af8"/>
          <w:rFonts w:hint="cs"/>
          <w:rtl/>
        </w:rPr>
        <w:t>פלתי</w:t>
      </w:r>
      <w:r w:rsidRPr="0050146A">
        <w:rPr>
          <w:rStyle w:val="af8"/>
          <w:rFonts w:hint="cs"/>
          <w:rtl/>
        </w:rPr>
        <w:t xml:space="preserve"> דהתוס'</w:t>
      </w:r>
      <w:r w:rsidRPr="0050146A">
        <w:rPr>
          <w:rFonts w:hint="cs"/>
          <w:rtl/>
        </w:rPr>
        <w:t xml:space="preserve"> תירצו אליבא דאמת דהשיעור הוא בבשר בלפת, וכ"כ </w:t>
      </w:r>
      <w:r w:rsidRPr="0050146A">
        <w:rPr>
          <w:rStyle w:val="af8"/>
          <w:rFonts w:hint="cs"/>
          <w:rtl/>
        </w:rPr>
        <w:t xml:space="preserve">הראש יוסף </w:t>
      </w:r>
      <w:r w:rsidRPr="0050146A">
        <w:rPr>
          <w:rStyle w:val="af6"/>
          <w:rFonts w:eastAsia="Guttman Hodes" w:hint="cs"/>
          <w:rtl/>
        </w:rPr>
        <w:t>(צז. על תוד"ה אבל)</w:t>
      </w:r>
      <w:r w:rsidRPr="0050146A">
        <w:rPr>
          <w:rFonts w:hint="cs"/>
          <w:rtl/>
        </w:rPr>
        <w:t xml:space="preserve"> דכוונת </w:t>
      </w:r>
      <w:r w:rsidRPr="0050146A">
        <w:rPr>
          <w:rStyle w:val="af8"/>
          <w:rFonts w:hint="cs"/>
          <w:rtl/>
        </w:rPr>
        <w:t xml:space="preserve">התוס' </w:t>
      </w:r>
      <w:r w:rsidRPr="0050146A">
        <w:rPr>
          <w:rFonts w:hint="cs"/>
          <w:rtl/>
        </w:rPr>
        <w:t xml:space="preserve">לתרץ דכיון דבשר בלפת הוא שיעור שישים </w:t>
      </w:r>
      <w:r w:rsidRPr="0050146A">
        <w:rPr>
          <w:rStyle w:val="afa"/>
          <w:rFonts w:hint="cs"/>
          <w:rtl/>
        </w:rPr>
        <w:t xml:space="preserve">[כדס"ל </w:t>
      </w:r>
      <w:r w:rsidRPr="0050146A">
        <w:rPr>
          <w:rStyle w:val="affa"/>
          <w:rFonts w:hint="cs"/>
          <w:rtl/>
        </w:rPr>
        <w:t>להתוס'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Ref5652579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טז)</w:t>
      </w:r>
      <w:r w:rsidRPr="0050146A">
        <w:rPr>
          <w:rStyle w:val="aff6"/>
          <w:rtl/>
        </w:rPr>
        <w:fldChar w:fldCharType="end"/>
      </w:r>
      <w:r w:rsidRPr="0050146A">
        <w:rPr>
          <w:rStyle w:val="afa"/>
          <w:rFonts w:hint="cs"/>
          <w:rtl/>
        </w:rPr>
        <w:t>]</w:t>
      </w:r>
      <w:r w:rsidRPr="0050146A">
        <w:rPr>
          <w:rFonts w:hint="cs"/>
          <w:rtl/>
        </w:rPr>
        <w:t xml:space="preserve"> דהוא מין במינו, לכן א"צ לטעום אותו.</w:t>
      </w:r>
    </w:p>
    <w:p w:rsidR="008442F8" w:rsidRPr="0050146A" w:rsidRDefault="008442F8" w:rsidP="008442F8">
      <w:pPr>
        <w:pStyle w:val="a2"/>
        <w:rPr>
          <w:rtl/>
        </w:rPr>
      </w:pPr>
      <w:bookmarkStart w:id="569" w:name="_Toc8160728"/>
      <w:bookmarkStart w:id="570" w:name="_Toc8209212"/>
      <w:bookmarkStart w:id="571" w:name="_Toc8209350"/>
      <w:bookmarkStart w:id="572" w:name="_Toc8246373"/>
      <w:r w:rsidRPr="0050146A">
        <w:rPr>
          <w:rFonts w:hint="cs"/>
          <w:rtl/>
        </w:rPr>
        <w:t>דברי ה</w:t>
      </w:r>
      <w:r w:rsidR="00250230">
        <w:rPr>
          <w:rFonts w:hint="cs"/>
          <w:rtl/>
        </w:rPr>
        <w:t>פלתי</w:t>
      </w:r>
      <w:r w:rsidRPr="0050146A">
        <w:rPr>
          <w:rFonts w:hint="cs"/>
          <w:rtl/>
        </w:rPr>
        <w:t xml:space="preserve"> והמהר"ם שיף דברש"י לעיל מוכח דהוי מין במינו</w:t>
      </w:r>
      <w:bookmarkEnd w:id="569"/>
      <w:bookmarkEnd w:id="570"/>
      <w:bookmarkEnd w:id="571"/>
      <w:bookmarkEnd w:id="572"/>
    </w:p>
    <w:p w:rsidR="008442F8" w:rsidRPr="0050146A" w:rsidRDefault="008442F8" w:rsidP="009F44AF">
      <w:pPr>
        <w:pStyle w:val="a"/>
        <w:rPr>
          <w:rtl/>
        </w:rPr>
      </w:pPr>
      <w:bookmarkStart w:id="573" w:name="_Ref6903402"/>
      <w:bookmarkStart w:id="574" w:name="_Toc6491239"/>
      <w:bookmarkStart w:id="575" w:name="_Toc6581291"/>
      <w:bookmarkStart w:id="576" w:name="_Toc6823631"/>
      <w:bookmarkStart w:id="577" w:name="_Toc6953543"/>
      <w:bookmarkStart w:id="578" w:name="_Toc5965287"/>
      <w:bookmarkStart w:id="579" w:name="_Toc6226568"/>
      <w:bookmarkStart w:id="580" w:name="_Toc8069039"/>
      <w:bookmarkStart w:id="581" w:name="_Toc8069111"/>
      <w:bookmarkStart w:id="582" w:name="_Toc8105995"/>
      <w:r w:rsidRPr="0050146A">
        <w:rPr>
          <w:rFonts w:hint="cs"/>
          <w:rtl/>
        </w:rPr>
        <w:t xml:space="preserve">ובדברי </w:t>
      </w:r>
      <w:r w:rsidRPr="0050146A">
        <w:rPr>
          <w:rStyle w:val="af8"/>
          <w:rFonts w:hint="cs"/>
          <w:rtl/>
        </w:rPr>
        <w:t>רש"י לעיל</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Ref6218810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דכתב על מתני' דגיד בירך בנותן טעם, דחכמים שיערו בשישים בכל נותן טעם סתם, הקשה </w:t>
      </w:r>
      <w:r w:rsidRPr="0050146A">
        <w:rPr>
          <w:rStyle w:val="aff5"/>
          <w:rFonts w:hint="cs"/>
          <w:rtl/>
        </w:rPr>
        <w:t>ה</w:t>
      </w:r>
      <w:r w:rsidR="00250230">
        <w:rPr>
          <w:rStyle w:val="aff5"/>
          <w:rFonts w:hint="cs"/>
          <w:rtl/>
        </w:rPr>
        <w:t>פלתי</w:t>
      </w:r>
      <w:r w:rsidRPr="0050146A">
        <w:rPr>
          <w:rFonts w:hint="cs"/>
          <w:rtl/>
        </w:rPr>
        <w:t xml:space="preserve"> </w:t>
      </w:r>
      <w:r w:rsidRPr="0050146A">
        <w:rPr>
          <w:rStyle w:val="af6"/>
          <w:rFonts w:eastAsia="Guttman Hodes" w:hint="cs"/>
          <w:rtl/>
        </w:rPr>
        <w:t>(צ"ח סוס"ק ד' ד"ה איברא מרש"י)</w:t>
      </w:r>
      <w:r w:rsidRPr="0050146A">
        <w:rPr>
          <w:rFonts w:hint="cs"/>
          <w:rtl/>
        </w:rPr>
        <w:t xml:space="preserve"> דהרי </w:t>
      </w:r>
      <w:r w:rsidRPr="0050146A">
        <w:rPr>
          <w:rStyle w:val="af8"/>
          <w:rFonts w:hint="cs"/>
          <w:rtl/>
        </w:rPr>
        <w:t>רש"י</w:t>
      </w:r>
      <w:r w:rsidRPr="0050146A">
        <w:rPr>
          <w:rFonts w:hint="cs"/>
          <w:rtl/>
        </w:rPr>
        <w:t xml:space="preserve"> </w:t>
      </w:r>
      <w:r w:rsidRPr="0050146A">
        <w:rPr>
          <w:rStyle w:val="af6"/>
          <w:rFonts w:eastAsia="Guttman Hodes" w:hint="cs"/>
          <w:rtl/>
        </w:rPr>
        <w:t>(צח. ד"ה בס')</w:t>
      </w:r>
      <w:r w:rsidRPr="0050146A">
        <w:rPr>
          <w:rFonts w:hint="cs"/>
          <w:rtl/>
        </w:rPr>
        <w:t xml:space="preserve"> ס"ל דבמין בשאינו מינו לא סגי בשישים וצריך גם קפילא, והיאך כתב </w:t>
      </w:r>
      <w:r w:rsidRPr="0050146A">
        <w:rPr>
          <w:rStyle w:val="af8"/>
          <w:rFonts w:hint="cs"/>
          <w:rtl/>
        </w:rPr>
        <w:t>רש"י</w:t>
      </w:r>
      <w:r w:rsidRPr="0050146A">
        <w:rPr>
          <w:rFonts w:hint="cs"/>
          <w:rtl/>
        </w:rPr>
        <w:t xml:space="preserve"> דסגי בשישים בנותן טעם, אלא כתב </w:t>
      </w:r>
      <w:r w:rsidRPr="0050146A">
        <w:rPr>
          <w:rStyle w:val="af8"/>
          <w:rFonts w:hint="cs"/>
          <w:rtl/>
        </w:rPr>
        <w:t>ה</w:t>
      </w:r>
      <w:r w:rsidR="00250230">
        <w:rPr>
          <w:rStyle w:val="af8"/>
          <w:rFonts w:hint="cs"/>
          <w:rtl/>
        </w:rPr>
        <w:t>פלתי</w:t>
      </w:r>
      <w:r w:rsidRPr="0050146A">
        <w:rPr>
          <w:rFonts w:hint="cs"/>
          <w:rtl/>
        </w:rPr>
        <w:t xml:space="preserve"> דמבואר מדברי </w:t>
      </w:r>
      <w:r w:rsidRPr="0050146A">
        <w:rPr>
          <w:rStyle w:val="af8"/>
          <w:rFonts w:hint="cs"/>
          <w:rtl/>
        </w:rPr>
        <w:t>רש"י לעיל</w:t>
      </w:r>
      <w:r w:rsidRPr="0050146A">
        <w:rPr>
          <w:rFonts w:hint="cs"/>
          <w:rtl/>
        </w:rPr>
        <w:t xml:space="preserve"> דגיד בירך הוא מין במינו, ולכן סגי בשישים, והביא </w:t>
      </w:r>
      <w:r w:rsidRPr="0050146A">
        <w:rPr>
          <w:rStyle w:val="af8"/>
          <w:rFonts w:hint="cs"/>
          <w:rtl/>
        </w:rPr>
        <w:t>ה</w:t>
      </w:r>
      <w:r w:rsidR="00250230">
        <w:rPr>
          <w:rStyle w:val="af8"/>
          <w:rFonts w:hint="cs"/>
          <w:rtl/>
        </w:rPr>
        <w:t>פלתי</w:t>
      </w:r>
      <w:r w:rsidRPr="0050146A">
        <w:rPr>
          <w:rStyle w:val="af8"/>
          <w:rFonts w:hint="cs"/>
          <w:rtl/>
        </w:rPr>
        <w:t xml:space="preserve"> </w:t>
      </w:r>
      <w:r w:rsidRPr="0050146A">
        <w:rPr>
          <w:rFonts w:hint="cs"/>
          <w:rtl/>
        </w:rPr>
        <w:t xml:space="preserve">דכ"כ </w:t>
      </w:r>
      <w:r w:rsidRPr="0050146A">
        <w:rPr>
          <w:rStyle w:val="af8"/>
          <w:rFonts w:hint="cs"/>
          <w:rtl/>
        </w:rPr>
        <w:t>המהר"ם שיף</w:t>
      </w:r>
      <w:r w:rsidRPr="0050146A">
        <w:rPr>
          <w:rFonts w:hint="cs"/>
          <w:rtl/>
        </w:rPr>
        <w:t xml:space="preserve"> </w:t>
      </w:r>
      <w:r w:rsidRPr="0050146A">
        <w:rPr>
          <w:rStyle w:val="af6"/>
          <w:rFonts w:eastAsia="Guttman Hodes" w:hint="cs"/>
          <w:rtl/>
        </w:rPr>
        <w:t>(פט: על רש"י ד"ה אם)</w:t>
      </w:r>
      <w:r w:rsidRPr="0050146A">
        <w:rPr>
          <w:rFonts w:hint="cs"/>
          <w:rtl/>
        </w:rPr>
        <w:t xml:space="preserve"> דכוונת </w:t>
      </w:r>
      <w:r w:rsidRPr="0050146A">
        <w:rPr>
          <w:rStyle w:val="af8"/>
          <w:rFonts w:hint="cs"/>
          <w:rtl/>
        </w:rPr>
        <w:t>רש"י</w:t>
      </w:r>
      <w:r w:rsidRPr="0050146A">
        <w:rPr>
          <w:rFonts w:hint="cs"/>
          <w:rtl/>
        </w:rPr>
        <w:t xml:space="preserve"> לומר דכיון שטעם הגיד הוא אותו הטעם </w:t>
      </w:r>
      <w:r w:rsidRPr="0050146A">
        <w:rPr>
          <w:rFonts w:hint="cs"/>
          <w:rtl/>
        </w:rPr>
        <w:lastRenderedPageBreak/>
        <w:t xml:space="preserve">של הבשר, וא"א לעמוד אם נתן הגיד טעם בבשר, ולכן ביאר </w:t>
      </w:r>
      <w:r w:rsidRPr="0050146A">
        <w:rPr>
          <w:rStyle w:val="af8"/>
          <w:rFonts w:hint="cs"/>
          <w:rtl/>
        </w:rPr>
        <w:t>רש"י</w:t>
      </w:r>
      <w:r w:rsidRPr="0050146A">
        <w:rPr>
          <w:rFonts w:hint="cs"/>
          <w:rtl/>
        </w:rPr>
        <w:t xml:space="preserve"> דהשיעור הוא בשישים</w:t>
      </w:r>
      <w:bookmarkEnd w:id="573"/>
      <w:r w:rsidRPr="0050146A">
        <w:rPr>
          <w:rFonts w:hint="cs"/>
          <w:rtl/>
        </w:rPr>
        <w:t xml:space="preserve">, והוסיף </w:t>
      </w:r>
      <w:r w:rsidRPr="0050146A">
        <w:rPr>
          <w:rStyle w:val="aff5"/>
          <w:rFonts w:hint="cs"/>
          <w:rtl/>
        </w:rPr>
        <w:t>ה</w:t>
      </w:r>
      <w:r w:rsidR="00250230">
        <w:rPr>
          <w:rStyle w:val="aff5"/>
          <w:rFonts w:hint="cs"/>
          <w:rtl/>
        </w:rPr>
        <w:t>פלתי</w:t>
      </w:r>
      <w:r w:rsidRPr="0050146A">
        <w:rPr>
          <w:rFonts w:hint="cs"/>
          <w:rtl/>
        </w:rPr>
        <w:t xml:space="preserve"> דכן מוכח במתני' דאי גיד בירך הוא מין בשאינו מינו, א"כ היה למתני' לומר דאפשר להתיר ע"י קפילא, ועיקר הדין חסר במשנה, ומוכח דהוי מין במינו. </w:t>
      </w:r>
    </w:p>
    <w:p w:rsidR="008442F8" w:rsidRPr="0050146A" w:rsidRDefault="008442F8" w:rsidP="008442F8">
      <w:pPr>
        <w:pStyle w:val="1"/>
        <w:rPr>
          <w:rtl/>
        </w:rPr>
      </w:pPr>
      <w:bookmarkStart w:id="583" w:name="_Toc8160729"/>
      <w:bookmarkStart w:id="584" w:name="_Toc8209213"/>
      <w:bookmarkStart w:id="585" w:name="_Toc8209351"/>
      <w:bookmarkStart w:id="586" w:name="_Toc8246374"/>
      <w:bookmarkEnd w:id="574"/>
      <w:bookmarkEnd w:id="575"/>
      <w:bookmarkEnd w:id="576"/>
      <w:bookmarkEnd w:id="577"/>
      <w:bookmarkEnd w:id="578"/>
      <w:bookmarkEnd w:id="579"/>
      <w:bookmarkEnd w:id="580"/>
      <w:bookmarkEnd w:id="581"/>
      <w:bookmarkEnd w:id="582"/>
      <w:r w:rsidRPr="0050146A">
        <w:rPr>
          <w:rFonts w:hint="cs"/>
          <w:rtl/>
        </w:rPr>
        <w:t>דעת הסוברים דגיד בירך הטעם ניכר והוי מין בשאינו מינו</w:t>
      </w:r>
      <w:bookmarkEnd w:id="583"/>
      <w:bookmarkEnd w:id="584"/>
      <w:bookmarkEnd w:id="585"/>
      <w:bookmarkEnd w:id="586"/>
    </w:p>
    <w:p w:rsidR="008442F8" w:rsidRPr="0050146A" w:rsidRDefault="008442F8" w:rsidP="008442F8">
      <w:pPr>
        <w:pStyle w:val="a2"/>
        <w:rPr>
          <w:rtl/>
        </w:rPr>
      </w:pPr>
      <w:bookmarkStart w:id="587" w:name="_Toc8160730"/>
      <w:bookmarkStart w:id="588" w:name="_Toc8209214"/>
      <w:bookmarkStart w:id="589" w:name="_Toc8209352"/>
      <w:bookmarkStart w:id="590" w:name="_Toc8246375"/>
      <w:bookmarkEnd w:id="562"/>
      <w:bookmarkEnd w:id="563"/>
      <w:bookmarkEnd w:id="568"/>
      <w:r w:rsidRPr="0050146A">
        <w:rPr>
          <w:rFonts w:hint="cs"/>
          <w:rtl/>
        </w:rPr>
        <w:t>דברי הראש יוסף דברמב"ם בפיהמ"ש מוכח דטעם הגיד מורגש בירך</w:t>
      </w:r>
      <w:bookmarkEnd w:id="587"/>
      <w:bookmarkEnd w:id="588"/>
      <w:bookmarkEnd w:id="589"/>
      <w:bookmarkEnd w:id="590"/>
    </w:p>
    <w:p w:rsidR="008442F8" w:rsidRPr="0050146A" w:rsidRDefault="008442F8" w:rsidP="009F44AF">
      <w:pPr>
        <w:pStyle w:val="a"/>
        <w:rPr>
          <w:rtl/>
        </w:rPr>
      </w:pPr>
      <w:r w:rsidRPr="0050146A">
        <w:rPr>
          <w:rStyle w:val="af8"/>
          <w:rFonts w:hint="cs"/>
          <w:rtl/>
        </w:rPr>
        <w:t>והראש יוסף</w:t>
      </w:r>
      <w:r w:rsidRPr="0050146A">
        <w:rPr>
          <w:rFonts w:hint="cs"/>
          <w:rtl/>
        </w:rPr>
        <w:t xml:space="preserve"> </w:t>
      </w:r>
      <w:r w:rsidRPr="0050146A">
        <w:rPr>
          <w:rStyle w:val="af6"/>
          <w:rFonts w:eastAsia="Guttman Hodes" w:hint="cs"/>
          <w:rtl/>
        </w:rPr>
        <w:t>(ד"ה לשון הר"מ)</w:t>
      </w:r>
      <w:r w:rsidRPr="0050146A">
        <w:rPr>
          <w:rFonts w:hint="cs"/>
          <w:rtl/>
        </w:rPr>
        <w:t xml:space="preserve"> כתב דמדברי </w:t>
      </w:r>
      <w:r w:rsidRPr="0050146A">
        <w:rPr>
          <w:rStyle w:val="af8"/>
          <w:rFonts w:hint="cs"/>
          <w:rtl/>
        </w:rPr>
        <w:t>הרמב"ם בפיהמ"ש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Ref8227989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דס"ל דשיעור בשר בלפת, היינו שיעור נתינת טעם ממש כפי שמורגש הטעם, א"כ מבואר דטעם הגיד אינו אותו הטעם של הבשר, ולכן אפשר לשערו בנתינת הטעם.</w:t>
      </w:r>
    </w:p>
    <w:p w:rsidR="008442F8" w:rsidRPr="0050146A" w:rsidRDefault="008442F8" w:rsidP="008442F8">
      <w:pPr>
        <w:pStyle w:val="a2"/>
      </w:pPr>
      <w:bookmarkStart w:id="591" w:name="_Toc8160731"/>
      <w:bookmarkStart w:id="592" w:name="_Toc8209215"/>
      <w:bookmarkStart w:id="593" w:name="_Toc8209353"/>
      <w:bookmarkStart w:id="594" w:name="_Toc8246376"/>
      <w:r w:rsidRPr="0050146A">
        <w:rPr>
          <w:rFonts w:hint="cs"/>
          <w:rtl/>
        </w:rPr>
        <w:t>דברי הכנה"ג ברש"י דגיד בירך הוי מין בשאינו מינו ודברי הפרי תאר דאין בו טעם ואינו מין הבשר</w:t>
      </w:r>
      <w:bookmarkEnd w:id="591"/>
      <w:bookmarkEnd w:id="592"/>
      <w:bookmarkEnd w:id="593"/>
      <w:bookmarkEnd w:id="594"/>
    </w:p>
    <w:p w:rsidR="008442F8" w:rsidRPr="0050146A" w:rsidRDefault="008442F8" w:rsidP="009F44AF">
      <w:pPr>
        <w:pStyle w:val="a"/>
        <w:rPr>
          <w:rtl/>
        </w:rPr>
      </w:pPr>
      <w:r w:rsidRPr="0050146A">
        <w:rPr>
          <w:rFonts w:hint="cs"/>
          <w:rtl/>
        </w:rPr>
        <w:t xml:space="preserve">כתב </w:t>
      </w:r>
      <w:r w:rsidRPr="0050146A">
        <w:rPr>
          <w:rStyle w:val="af8"/>
          <w:rFonts w:hint="cs"/>
          <w:rtl/>
        </w:rPr>
        <w:t>הכנה"ג</w:t>
      </w:r>
      <w:r w:rsidRPr="0050146A">
        <w:rPr>
          <w:rFonts w:hint="cs"/>
          <w:rtl/>
        </w:rPr>
        <w:t xml:space="preserve"> </w:t>
      </w:r>
      <w:r w:rsidRPr="0050146A">
        <w:rPr>
          <w:rStyle w:val="af6"/>
          <w:rFonts w:eastAsia="Guttman Hodes" w:hint="cs"/>
          <w:rtl/>
        </w:rPr>
        <w:t>(סי' צ"ח הג' ב"י אות ע"ה)</w:t>
      </w:r>
      <w:r w:rsidRPr="0050146A">
        <w:rPr>
          <w:rFonts w:hint="cs"/>
          <w:rtl/>
        </w:rPr>
        <w:t xml:space="preserve"> דמדברי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Ref8147619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מבואר דגיד בירך הוא מין בשאינו מינו, וכ"כ </w:t>
      </w:r>
      <w:r w:rsidRPr="0050146A">
        <w:rPr>
          <w:rStyle w:val="af8"/>
          <w:rFonts w:hint="cs"/>
          <w:rtl/>
        </w:rPr>
        <w:t>הפרי תאר</w:t>
      </w:r>
      <w:r w:rsidRPr="0050146A">
        <w:rPr>
          <w:rFonts w:hint="cs"/>
          <w:rtl/>
        </w:rPr>
        <w:t xml:space="preserve"> [</w:t>
      </w:r>
      <w:r w:rsidRPr="0050146A">
        <w:rPr>
          <w:rStyle w:val="af8"/>
          <w:rFonts w:hint="cs"/>
          <w:rtl/>
        </w:rPr>
        <w:t>לבעל האוה"ח</w:t>
      </w:r>
      <w:r w:rsidRPr="0050146A">
        <w:rPr>
          <w:rFonts w:hint="cs"/>
          <w:rtl/>
        </w:rPr>
        <w:t xml:space="preserve">] </w:t>
      </w:r>
      <w:r w:rsidRPr="0050146A">
        <w:rPr>
          <w:rStyle w:val="af6"/>
          <w:rFonts w:eastAsia="Guttman Hodes" w:hint="cs"/>
          <w:rtl/>
        </w:rPr>
        <w:t>(סי' צ"ח סוס"ק ה' ד"ה גם מה שכתב)</w:t>
      </w:r>
      <w:r w:rsidRPr="0050146A">
        <w:rPr>
          <w:rFonts w:hint="cs"/>
          <w:rtl/>
        </w:rPr>
        <w:t xml:space="preserve"> דכיון דאין בגידין בנותן טעם, לכן חשיבי כלפי הבשר שיש בו טעם כמין בשאינו מינו. </w:t>
      </w:r>
      <w:r w:rsidRPr="0050146A">
        <w:rPr>
          <w:rStyle w:val="afa"/>
          <w:rFonts w:hint="cs"/>
          <w:rtl/>
        </w:rPr>
        <w:t>[</w:t>
      </w:r>
      <w:r w:rsidRPr="0050146A">
        <w:rPr>
          <w:rStyle w:val="affa"/>
          <w:rFonts w:hint="cs"/>
          <w:rtl/>
        </w:rPr>
        <w:t>וביד אברהם</w:t>
      </w:r>
      <w:r w:rsidRPr="0050146A">
        <w:rPr>
          <w:rStyle w:val="afa"/>
          <w:rFonts w:hint="cs"/>
          <w:rtl/>
        </w:rPr>
        <w:t xml:space="preserve"> </w:t>
      </w:r>
      <w:r w:rsidRPr="0050146A">
        <w:rPr>
          <w:rStyle w:val="aff6"/>
          <w:rFonts w:hint="cs"/>
          <w:rtl/>
        </w:rPr>
        <w:t>(הג' שו"ע סי' צ"ח א')</w:t>
      </w:r>
      <w:r w:rsidRPr="0050146A">
        <w:rPr>
          <w:rStyle w:val="afa"/>
          <w:rFonts w:hint="cs"/>
          <w:rtl/>
        </w:rPr>
        <w:t xml:space="preserve"> כתב דכן מוכח בגמ' בנדרים].</w:t>
      </w:r>
    </w:p>
    <w:p w:rsidR="008442F8" w:rsidRPr="0050146A" w:rsidRDefault="008442F8" w:rsidP="008442F8">
      <w:pPr>
        <w:pStyle w:val="a2"/>
        <w:rPr>
          <w:rtl/>
        </w:rPr>
      </w:pPr>
      <w:bookmarkStart w:id="595" w:name="_Toc8160732"/>
      <w:bookmarkStart w:id="596" w:name="_Toc8209216"/>
      <w:bookmarkStart w:id="597" w:name="_Toc8209354"/>
      <w:bookmarkStart w:id="598" w:name="_Toc8246377"/>
      <w:r w:rsidRPr="0050146A">
        <w:rPr>
          <w:rFonts w:hint="cs"/>
          <w:rtl/>
        </w:rPr>
        <w:t>דברי ה</w:t>
      </w:r>
      <w:r w:rsidR="00250230">
        <w:rPr>
          <w:rFonts w:hint="cs"/>
          <w:rtl/>
        </w:rPr>
        <w:t>פלתי</w:t>
      </w:r>
      <w:r w:rsidRPr="0050146A">
        <w:rPr>
          <w:rFonts w:hint="cs"/>
          <w:rtl/>
        </w:rPr>
        <w:t xml:space="preserve"> והחוו"ד דמדכתב רש"י דהשיעור מהלמ"מ מוכח דהוי מין בשאינו מינו</w:t>
      </w:r>
      <w:bookmarkEnd w:id="595"/>
      <w:bookmarkEnd w:id="596"/>
      <w:bookmarkEnd w:id="597"/>
      <w:bookmarkEnd w:id="598"/>
    </w:p>
    <w:p w:rsidR="008442F8" w:rsidRPr="0050146A" w:rsidRDefault="008442F8" w:rsidP="009F44AF">
      <w:pPr>
        <w:pStyle w:val="a"/>
        <w:rPr>
          <w:rtl/>
        </w:rPr>
      </w:pPr>
      <w:r w:rsidRPr="0050146A">
        <w:rPr>
          <w:rFonts w:hint="cs"/>
          <w:rtl/>
        </w:rPr>
        <w:t xml:space="preserve">והקשה </w:t>
      </w:r>
      <w:r w:rsidRPr="0050146A">
        <w:rPr>
          <w:rStyle w:val="af8"/>
          <w:rFonts w:hint="cs"/>
          <w:rtl/>
        </w:rPr>
        <w:t>ה</w:t>
      </w:r>
      <w:r w:rsidR="00250230">
        <w:rPr>
          <w:rStyle w:val="af8"/>
          <w:rFonts w:hint="cs"/>
          <w:rtl/>
        </w:rPr>
        <w:t>פלתי</w:t>
      </w:r>
      <w:r w:rsidRPr="0050146A">
        <w:rPr>
          <w:rFonts w:hint="cs"/>
          <w:rtl/>
        </w:rPr>
        <w:t xml:space="preserve"> </w:t>
      </w:r>
      <w:r w:rsidRPr="0050146A">
        <w:rPr>
          <w:rStyle w:val="af6"/>
          <w:rFonts w:eastAsia="Guttman Hodes" w:hint="cs"/>
          <w:rtl/>
        </w:rPr>
        <w:t>(צ"ח סק"ד)</w:t>
      </w:r>
      <w:r w:rsidRPr="0050146A">
        <w:rPr>
          <w:rFonts w:hint="cs"/>
          <w:rtl/>
        </w:rPr>
        <w:t xml:space="preserve"> על דברי </w:t>
      </w:r>
      <w:r w:rsidRPr="0050146A">
        <w:rPr>
          <w:rStyle w:val="af8"/>
          <w:rFonts w:hint="cs"/>
          <w:rtl/>
        </w:rPr>
        <w:t xml:space="preserve">הכנה"ג והפרי תואר </w:t>
      </w:r>
      <w:r w:rsidRPr="0050146A">
        <w:rPr>
          <w:rFonts w:hint="cs"/>
          <w:rtl/>
        </w:rPr>
        <w:t xml:space="preserve">דמנא להו דגיד עם בשר הוא מין בשאינו מינו, וכתב </w:t>
      </w:r>
      <w:r w:rsidRPr="0050146A">
        <w:rPr>
          <w:rStyle w:val="af8"/>
          <w:rFonts w:hint="cs"/>
          <w:rtl/>
        </w:rPr>
        <w:t>ה</w:t>
      </w:r>
      <w:r w:rsidR="00250230">
        <w:rPr>
          <w:rStyle w:val="af8"/>
          <w:rFonts w:hint="cs"/>
          <w:rtl/>
        </w:rPr>
        <w:t>פלתי</w:t>
      </w:r>
      <w:r w:rsidRPr="0050146A">
        <w:rPr>
          <w:rStyle w:val="af8"/>
          <w:rFonts w:hint="cs"/>
          <w:rtl/>
        </w:rPr>
        <w:t xml:space="preserve"> </w:t>
      </w:r>
      <w:r w:rsidRPr="0050146A">
        <w:rPr>
          <w:rFonts w:hint="cs"/>
          <w:rtl/>
        </w:rPr>
        <w:t xml:space="preserve">דאולי הוכיחו כן מדברי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Ref5651374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דכתב דשיעור בשר בלפת הוא מהלכה למשה מסיני, ואי ירך בגיד הוא מין במינו א"כ מדאו' בטל ברוב, וכל השיעור שלו הוא מדרבנן ולא יתכן דשיעורו הוא מהלכה למשה מסיני, וא"כ מוכח דירך בגיד הוא מין בשאינו מינו, וכ"כ </w:t>
      </w:r>
      <w:r w:rsidRPr="0050146A">
        <w:rPr>
          <w:rStyle w:val="af8"/>
          <w:rFonts w:hint="cs"/>
          <w:rtl/>
        </w:rPr>
        <w:t>החוו"ד</w:t>
      </w:r>
      <w:r w:rsidRPr="0050146A">
        <w:rPr>
          <w:rFonts w:hint="cs"/>
          <w:rtl/>
        </w:rPr>
        <w:t xml:space="preserve"> </w:t>
      </w:r>
      <w:r w:rsidRPr="0050146A">
        <w:rPr>
          <w:rStyle w:val="af6"/>
          <w:rFonts w:eastAsia="Guttman Hodes" w:hint="cs"/>
          <w:rtl/>
        </w:rPr>
        <w:t>(סי' צ"ח סק"ח)</w:t>
      </w:r>
      <w:r w:rsidRPr="0050146A">
        <w:rPr>
          <w:rFonts w:hint="cs"/>
          <w:rtl/>
        </w:rPr>
        <w:t xml:space="preserve"> דמדכתב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Ref5651374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דבגיד בירך מדאו' צריך שישים לבטל, א"כ מבואר דהטעם של הגיד אינו שווה לטעם הבשר.</w:t>
      </w:r>
    </w:p>
    <w:p w:rsidR="008442F8" w:rsidRPr="0050146A" w:rsidRDefault="008442F8" w:rsidP="008442F8">
      <w:pPr>
        <w:pStyle w:val="a2"/>
        <w:rPr>
          <w:rtl/>
        </w:rPr>
      </w:pPr>
      <w:bookmarkStart w:id="599" w:name="_Toc8160733"/>
      <w:bookmarkStart w:id="600" w:name="_Toc8209217"/>
      <w:bookmarkStart w:id="601" w:name="_Toc8209355"/>
      <w:bookmarkStart w:id="602" w:name="_Toc8246378"/>
      <w:r w:rsidRPr="0050146A">
        <w:rPr>
          <w:rFonts w:hint="cs"/>
          <w:rtl/>
        </w:rPr>
        <w:t>דחיית ה</w:t>
      </w:r>
      <w:r w:rsidR="00250230">
        <w:rPr>
          <w:rFonts w:hint="cs"/>
          <w:rtl/>
        </w:rPr>
        <w:t>פלתי</w:t>
      </w:r>
      <w:r w:rsidRPr="0050146A">
        <w:rPr>
          <w:rFonts w:hint="cs"/>
          <w:rtl/>
        </w:rPr>
        <w:t xml:space="preserve"> דאפש"ל דההלכה נאמרה בשאר מינים ולא רק בגיד</w:t>
      </w:r>
      <w:bookmarkEnd w:id="599"/>
      <w:bookmarkEnd w:id="600"/>
      <w:bookmarkEnd w:id="601"/>
      <w:bookmarkEnd w:id="602"/>
    </w:p>
    <w:p w:rsidR="008442F8" w:rsidRPr="0050146A" w:rsidRDefault="008442F8" w:rsidP="009F44AF">
      <w:pPr>
        <w:pStyle w:val="a"/>
        <w:rPr>
          <w:rtl/>
        </w:rPr>
      </w:pPr>
      <w:r w:rsidRPr="0050146A">
        <w:rPr>
          <w:rFonts w:hint="cs"/>
          <w:rtl/>
        </w:rPr>
        <w:t>אך כתב</w:t>
      </w:r>
      <w:r w:rsidRPr="0050146A">
        <w:rPr>
          <w:rStyle w:val="af8"/>
          <w:rFonts w:hint="cs"/>
          <w:rtl/>
        </w:rPr>
        <w:t xml:space="preserve"> ה</w:t>
      </w:r>
      <w:r w:rsidR="00250230">
        <w:rPr>
          <w:rStyle w:val="af8"/>
          <w:rFonts w:hint="cs"/>
          <w:rtl/>
        </w:rPr>
        <w:t>פלתי</w:t>
      </w:r>
      <w:r w:rsidRPr="0050146A">
        <w:rPr>
          <w:rStyle w:val="affa"/>
          <w:rFonts w:hint="cs"/>
          <w:rtl/>
        </w:rPr>
        <w:t xml:space="preserve"> </w:t>
      </w:r>
      <w:r w:rsidRPr="0050146A">
        <w:rPr>
          <w:rFonts w:hint="cs"/>
          <w:rtl/>
        </w:rPr>
        <w:t xml:space="preserve">דאפשר לדחות דגיד בירך הוא מין במינו, וההלכה למשה מסיני נאמרה לענין גיד שנתבשל עם שאר המינים, וגזרו רבנן דה"ה למין במינו אטו בשאינו מינו, וכתב </w:t>
      </w:r>
      <w:r w:rsidRPr="0050146A">
        <w:rPr>
          <w:rStyle w:val="af8"/>
          <w:rFonts w:hint="cs"/>
          <w:rtl/>
        </w:rPr>
        <w:t>ה</w:t>
      </w:r>
      <w:r w:rsidR="00250230">
        <w:rPr>
          <w:rStyle w:val="af8"/>
          <w:rFonts w:hint="cs"/>
          <w:rtl/>
        </w:rPr>
        <w:t>פלתי</w:t>
      </w:r>
      <w:r w:rsidRPr="0050146A">
        <w:rPr>
          <w:rFonts w:hint="cs"/>
          <w:rtl/>
        </w:rPr>
        <w:t xml:space="preserve"> דאף דס"ל </w:t>
      </w:r>
      <w:r w:rsidRPr="0050146A">
        <w:rPr>
          <w:rStyle w:val="af8"/>
          <w:rFonts w:hint="cs"/>
          <w:rtl/>
        </w:rPr>
        <w:t>לרש"י</w:t>
      </w:r>
      <w:r w:rsidRPr="0050146A">
        <w:rPr>
          <w:rStyle w:val="af6"/>
          <w:rFonts w:eastAsia="Guttman Hodes" w:hint="cs"/>
          <w:rtl/>
        </w:rPr>
        <w:t xml:space="preserve"> (צח: ד"ה לטעם)</w:t>
      </w:r>
      <w:r w:rsidRPr="0050146A">
        <w:rPr>
          <w:rFonts w:hint="cs"/>
          <w:rtl/>
        </w:rPr>
        <w:t xml:space="preserve"> דטעם כעיקר אינו מדאו'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w:t>
      </w:r>
      <w:r w:rsidRPr="0050146A">
        <w:rPr>
          <w:rFonts w:hint="cs"/>
          <w:rtl/>
        </w:rPr>
        <w:t xml:space="preserve">,  מ"מ אפש"ל דנאמרה ההלכה במין בשאינו מינו, לענין קדשים דכו"ע מודו דבקדשים טעם כעיקר הוא מדאו', והוסיף </w:t>
      </w:r>
      <w:r w:rsidRPr="0050146A">
        <w:rPr>
          <w:rStyle w:val="af8"/>
          <w:rFonts w:hint="cs"/>
          <w:rtl/>
        </w:rPr>
        <w:t>ה</w:t>
      </w:r>
      <w:r w:rsidR="00250230">
        <w:rPr>
          <w:rStyle w:val="af8"/>
          <w:rFonts w:hint="cs"/>
          <w:rtl/>
        </w:rPr>
        <w:t>פלתי</w:t>
      </w:r>
      <w:r w:rsidRPr="0050146A">
        <w:rPr>
          <w:rStyle w:val="af8"/>
          <w:rFonts w:hint="cs"/>
          <w:rtl/>
        </w:rPr>
        <w:t xml:space="preserve"> </w:t>
      </w:r>
      <w:r w:rsidRPr="0050146A">
        <w:rPr>
          <w:rFonts w:hint="cs"/>
          <w:rtl/>
        </w:rPr>
        <w:t>דאף למ"ד דאין בגידין בנותן טעם, אפש"ל דההלכה נאמרה בשאר דברים, ולמדו רבנן אף לגיד.</w:t>
      </w:r>
    </w:p>
    <w:p w:rsidR="008442F8" w:rsidRPr="0050146A" w:rsidRDefault="008442F8" w:rsidP="00E669F8">
      <w:pPr>
        <w:pStyle w:val="afd"/>
        <w:rPr>
          <w:rtl/>
        </w:rPr>
      </w:pPr>
      <w:bookmarkStart w:id="603" w:name="_Toc8069041"/>
      <w:bookmarkStart w:id="604" w:name="_Toc8069113"/>
      <w:bookmarkStart w:id="605" w:name="_Toc8105997"/>
      <w:bookmarkStart w:id="606" w:name="_Toc8117857"/>
      <w:bookmarkStart w:id="607" w:name="_Toc8122505"/>
      <w:bookmarkStart w:id="608" w:name="_Toc8142965"/>
      <w:bookmarkStart w:id="609" w:name="_Toc8160734"/>
      <w:bookmarkStart w:id="610" w:name="_Toc8209218"/>
      <w:bookmarkStart w:id="611" w:name="_Toc8209356"/>
      <w:bookmarkStart w:id="612" w:name="_Toc8246379"/>
      <w:r w:rsidRPr="0050146A">
        <w:rPr>
          <w:rFonts w:hint="cs"/>
          <w:rtl/>
        </w:rPr>
        <w:t>בדין חנ</w:t>
      </w:r>
      <w:r w:rsidRPr="0050146A">
        <w:rPr>
          <w:rtl/>
        </w:rPr>
        <w:t>"</w:t>
      </w:r>
      <w:r w:rsidRPr="0050146A">
        <w:rPr>
          <w:rFonts w:hint="cs"/>
          <w:rtl/>
        </w:rPr>
        <w:t>נ בכדי קליפה שסביב הגיד</w:t>
      </w:r>
      <w:bookmarkEnd w:id="130"/>
      <w:bookmarkEnd w:id="131"/>
      <w:bookmarkEnd w:id="132"/>
      <w:bookmarkEnd w:id="603"/>
      <w:bookmarkEnd w:id="604"/>
      <w:bookmarkEnd w:id="605"/>
      <w:bookmarkEnd w:id="606"/>
      <w:bookmarkEnd w:id="607"/>
      <w:bookmarkEnd w:id="608"/>
      <w:bookmarkEnd w:id="609"/>
      <w:bookmarkEnd w:id="610"/>
      <w:bookmarkEnd w:id="611"/>
      <w:bookmarkEnd w:id="612"/>
    </w:p>
    <w:p w:rsidR="008442F8" w:rsidRPr="0050146A" w:rsidRDefault="008442F8" w:rsidP="008442F8">
      <w:pPr>
        <w:pStyle w:val="1"/>
        <w:rPr>
          <w:rtl/>
        </w:rPr>
      </w:pPr>
      <w:bookmarkStart w:id="613" w:name="_Toc8160735"/>
      <w:bookmarkStart w:id="614" w:name="_Toc8209219"/>
      <w:bookmarkStart w:id="615" w:name="_Toc8209357"/>
      <w:bookmarkStart w:id="616" w:name="_Toc8246380"/>
      <w:r w:rsidRPr="0050146A">
        <w:rPr>
          <w:rFonts w:hint="cs"/>
          <w:rtl/>
        </w:rPr>
        <w:t>פלוגתת התוס' ורבינו אפרים אם בגיד יש חנ</w:t>
      </w:r>
      <w:r w:rsidRPr="0050146A">
        <w:rPr>
          <w:rtl/>
        </w:rPr>
        <w:t>"</w:t>
      </w:r>
      <w:r w:rsidRPr="0050146A">
        <w:rPr>
          <w:rFonts w:hint="cs"/>
          <w:rtl/>
        </w:rPr>
        <w:t>נ בכדי קליפה</w:t>
      </w:r>
      <w:bookmarkEnd w:id="613"/>
      <w:bookmarkEnd w:id="614"/>
      <w:bookmarkEnd w:id="615"/>
      <w:bookmarkEnd w:id="616"/>
      <w:r w:rsidRPr="0050146A">
        <w:rPr>
          <w:rFonts w:hint="cs"/>
          <w:rtl/>
        </w:rPr>
        <w:t xml:space="preserve"> </w:t>
      </w:r>
    </w:p>
    <w:p w:rsidR="008442F8" w:rsidRPr="0050146A" w:rsidRDefault="008442F8" w:rsidP="008442F8">
      <w:pPr>
        <w:pStyle w:val="a2"/>
        <w:rPr>
          <w:rtl/>
        </w:rPr>
      </w:pPr>
      <w:bookmarkStart w:id="617" w:name="_Toc8160736"/>
      <w:bookmarkStart w:id="618" w:name="_Toc8209220"/>
      <w:bookmarkStart w:id="619" w:name="_Toc8209358"/>
      <w:bookmarkStart w:id="620" w:name="_Toc8246381"/>
      <w:r w:rsidRPr="0050146A">
        <w:rPr>
          <w:rFonts w:hint="cs"/>
          <w:rtl/>
        </w:rPr>
        <w:t>דברי התוס' דשיעור נתינת הטעם הוא של הגיד והכדי קליפה שסביבו שנאסר בשעת המליחה</w:t>
      </w:r>
      <w:bookmarkEnd w:id="617"/>
      <w:bookmarkEnd w:id="618"/>
      <w:bookmarkEnd w:id="619"/>
      <w:bookmarkEnd w:id="620"/>
    </w:p>
    <w:p w:rsidR="008442F8" w:rsidRPr="0050146A" w:rsidRDefault="008442F8" w:rsidP="009F44AF">
      <w:pPr>
        <w:pStyle w:val="a"/>
        <w:rPr>
          <w:rtl/>
        </w:rPr>
      </w:pPr>
      <w:bookmarkStart w:id="621" w:name="_Ref7614625"/>
      <w:r w:rsidRPr="0050146A">
        <w:rPr>
          <w:rFonts w:hint="cs"/>
          <w:rtl/>
        </w:rPr>
        <w:t xml:space="preserve">כתבו </w:t>
      </w:r>
      <w:r w:rsidRPr="0050146A">
        <w:rPr>
          <w:rStyle w:val="af8"/>
          <w:rFonts w:hint="cs"/>
          <w:rtl/>
        </w:rPr>
        <w:t>התוס'</w:t>
      </w:r>
      <w:r w:rsidRPr="0050146A">
        <w:rPr>
          <w:rStyle w:val="af6"/>
          <w:rFonts w:eastAsia="Guttman Hodes" w:hint="cs"/>
          <w:rtl/>
        </w:rPr>
        <w:t xml:space="preserve"> (ד"ה אם)</w:t>
      </w:r>
      <w:r w:rsidRPr="0050146A">
        <w:rPr>
          <w:rFonts w:hint="cs"/>
          <w:rtl/>
        </w:rPr>
        <w:t xml:space="preserve"> </w:t>
      </w:r>
      <w:r w:rsidRPr="0050146A">
        <w:rPr>
          <w:rStyle w:val="af8"/>
          <w:rFonts w:hint="cs"/>
          <w:rtl/>
        </w:rPr>
        <w:t xml:space="preserve">והתוס' הרא"ש </w:t>
      </w:r>
      <w:r w:rsidRPr="0050146A">
        <w:rPr>
          <w:rStyle w:val="af6"/>
          <w:rFonts w:eastAsia="Guttman Hodes" w:hint="cs"/>
          <w:rtl/>
        </w:rPr>
        <w:t>(ד"ה אם)</w:t>
      </w:r>
      <w:r w:rsidRPr="0050146A">
        <w:rPr>
          <w:rFonts w:hint="cs"/>
          <w:rtl/>
        </w:rPr>
        <w:t xml:space="preserve"> דהשיעור נתינת טעם של הגיד בירך, אינו רק בגיד עצמו, אלא אף בכדי קליפה שסביב הגיד, </w:t>
      </w:r>
      <w:r w:rsidRPr="0050146A">
        <w:rPr>
          <w:rStyle w:val="afa"/>
          <w:rFonts w:hint="cs"/>
          <w:rtl/>
        </w:rPr>
        <w:t xml:space="preserve">[ועי' בדברי </w:t>
      </w:r>
      <w:r w:rsidRPr="0050146A">
        <w:rPr>
          <w:rStyle w:val="affa"/>
          <w:rFonts w:hint="cs"/>
          <w:rtl/>
        </w:rPr>
        <w:t xml:space="preserve">המהרש"א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Ref8242728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קט)</w:t>
      </w:r>
      <w:r w:rsidRPr="0050146A">
        <w:rPr>
          <w:rStyle w:val="aff6"/>
          <w:rtl/>
        </w:rPr>
        <w:fldChar w:fldCharType="end"/>
      </w:r>
      <w:r w:rsidRPr="0050146A">
        <w:rPr>
          <w:rStyle w:val="afa"/>
          <w:rFonts w:hint="cs"/>
          <w:rtl/>
        </w:rPr>
        <w:t xml:space="preserve"> דלמסקנת </w:t>
      </w:r>
      <w:r w:rsidRPr="0050146A">
        <w:rPr>
          <w:rStyle w:val="affa"/>
          <w:rFonts w:hint="cs"/>
          <w:rtl/>
        </w:rPr>
        <w:t>התוס'</w:t>
      </w:r>
      <w:r w:rsidRPr="0050146A">
        <w:rPr>
          <w:rStyle w:val="afa"/>
          <w:rFonts w:hint="cs"/>
          <w:rtl/>
        </w:rPr>
        <w:t xml:space="preserve"> הגיד אוסר כדי נטילה],</w:t>
      </w:r>
      <w:r w:rsidRPr="0050146A">
        <w:rPr>
          <w:rFonts w:hint="cs"/>
          <w:rtl/>
        </w:rPr>
        <w:t xml:space="preserve"> דכיון שאסור לבשל את הירך בלא מליחה, ואיתא בגמ' לקמן </w:t>
      </w:r>
      <w:r w:rsidRPr="0050146A">
        <w:rPr>
          <w:rStyle w:val="af6"/>
          <w:rFonts w:eastAsia="Guttman Hodes" w:hint="cs"/>
          <w:rtl/>
        </w:rPr>
        <w:t>(צז:)</w:t>
      </w:r>
      <w:r w:rsidRPr="0050146A">
        <w:rPr>
          <w:rFonts w:hint="cs"/>
          <w:rtl/>
        </w:rPr>
        <w:t xml:space="preserve"> דמליח הוא כרותח דצליה, וא"כ משעה שנמלחה הירך עם הגיד נאסר כדי קליפה שסביב הגיד, וממילא הכדי קליפה מצטרפת לגיד לאסור, </w:t>
      </w:r>
      <w:r w:rsidRPr="0050146A">
        <w:rPr>
          <w:rStyle w:val="afa"/>
          <w:rFonts w:hint="cs"/>
          <w:rtl/>
        </w:rPr>
        <w:t>[מדין חנ</w:t>
      </w:r>
      <w:r w:rsidRPr="0050146A">
        <w:rPr>
          <w:rStyle w:val="afa"/>
          <w:rtl/>
        </w:rPr>
        <w:t>"</w:t>
      </w:r>
      <w:r w:rsidRPr="0050146A">
        <w:rPr>
          <w:rStyle w:val="afa"/>
          <w:rFonts w:hint="cs"/>
          <w:rtl/>
        </w:rPr>
        <w:t xml:space="preserve">נ כדאיתא בגמ' לקמן </w:t>
      </w:r>
      <w:r w:rsidRPr="0050146A">
        <w:rPr>
          <w:rStyle w:val="aff6"/>
          <w:rFonts w:hint="cs"/>
          <w:rtl/>
        </w:rPr>
        <w:t>(ק.)</w:t>
      </w:r>
      <w:r w:rsidRPr="0050146A">
        <w:rPr>
          <w:rStyle w:val="afa"/>
          <w:rFonts w:hint="cs"/>
          <w:rtl/>
        </w:rPr>
        <w:t>],</w:t>
      </w:r>
      <w:r w:rsidRPr="0050146A">
        <w:rPr>
          <w:rFonts w:hint="cs"/>
          <w:rtl/>
        </w:rPr>
        <w:t xml:space="preserve"> ולכן צריך לשער אם יש בירך שיעור ביטול, כנגד הגיד עצמו יחד עם הכדי קליפה שסביבו, ועי' במ"ש </w:t>
      </w:r>
      <w:r w:rsidRPr="0050146A">
        <w:rPr>
          <w:rStyle w:val="af8"/>
          <w:rFonts w:hint="cs"/>
          <w:rtl/>
        </w:rPr>
        <w:t>הגרעק"א</w:t>
      </w:r>
      <w:r w:rsidRPr="0050146A">
        <w:rPr>
          <w:rFonts w:hint="cs"/>
          <w:rtl/>
        </w:rPr>
        <w:t xml:space="preserve"> </w:t>
      </w:r>
      <w:r w:rsidRPr="0050146A">
        <w:rPr>
          <w:rStyle w:val="af6"/>
          <w:rFonts w:eastAsia="Guttman Hodes" w:hint="cs"/>
          <w:rtl/>
        </w:rPr>
        <w:t>(על תוד"ה אם)</w:t>
      </w:r>
      <w:r w:rsidRPr="0050146A">
        <w:rPr>
          <w:rFonts w:hint="cs"/>
          <w:rtl/>
        </w:rPr>
        <w:t>.</w:t>
      </w:r>
      <w:bookmarkEnd w:id="621"/>
    </w:p>
    <w:p w:rsidR="008442F8" w:rsidRPr="0050146A" w:rsidRDefault="008442F8" w:rsidP="008442F8">
      <w:pPr>
        <w:pStyle w:val="a2"/>
        <w:rPr>
          <w:rtl/>
        </w:rPr>
      </w:pPr>
      <w:bookmarkStart w:id="622" w:name="_Toc8160737"/>
      <w:bookmarkStart w:id="623" w:name="_Toc8209221"/>
      <w:bookmarkStart w:id="624" w:name="_Toc8209359"/>
      <w:bookmarkStart w:id="625" w:name="_Toc8246382"/>
      <w:r w:rsidRPr="0050146A">
        <w:rPr>
          <w:rFonts w:hint="cs"/>
          <w:rtl/>
        </w:rPr>
        <w:t>דברי התוס' דלרבינו אפרים דדין חנ</w:t>
      </w:r>
      <w:r w:rsidRPr="0050146A">
        <w:rPr>
          <w:rtl/>
        </w:rPr>
        <w:t>"</w:t>
      </w:r>
      <w:r w:rsidRPr="0050146A">
        <w:rPr>
          <w:rFonts w:hint="cs"/>
          <w:rtl/>
        </w:rPr>
        <w:t>נ הוא רק בבשר וחלב מבוארת מתני' דמשערים רק בגיד</w:t>
      </w:r>
      <w:bookmarkEnd w:id="622"/>
      <w:bookmarkEnd w:id="623"/>
      <w:bookmarkEnd w:id="624"/>
      <w:bookmarkEnd w:id="625"/>
    </w:p>
    <w:p w:rsidR="008442F8" w:rsidRPr="0050146A" w:rsidRDefault="008442F8" w:rsidP="009F44AF">
      <w:pPr>
        <w:pStyle w:val="a"/>
        <w:rPr>
          <w:rStyle w:val="afa"/>
          <w:rtl/>
        </w:rPr>
      </w:pPr>
      <w:r w:rsidRPr="0050146A">
        <w:rPr>
          <w:rFonts w:hint="cs"/>
          <w:rtl/>
        </w:rPr>
        <w:t xml:space="preserve">אך כתבו </w:t>
      </w:r>
      <w:r w:rsidRPr="0050146A">
        <w:rPr>
          <w:rStyle w:val="af8"/>
          <w:rFonts w:hint="cs"/>
          <w:rtl/>
        </w:rPr>
        <w:t xml:space="preserve">התוס' </w:t>
      </w:r>
      <w:r w:rsidRPr="0050146A">
        <w:rPr>
          <w:rFonts w:hint="cs"/>
          <w:rtl/>
        </w:rPr>
        <w:t xml:space="preserve">דלדעת </w:t>
      </w:r>
      <w:r w:rsidRPr="0050146A">
        <w:rPr>
          <w:rStyle w:val="af8"/>
          <w:rFonts w:hint="cs"/>
          <w:rtl/>
        </w:rPr>
        <w:t xml:space="preserve">רבינו אפרים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Ref7603012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נו)</w:t>
      </w:r>
      <w:r w:rsidRPr="0050146A">
        <w:rPr>
          <w:rStyle w:val="af6"/>
          <w:rFonts w:eastAsia="Guttman Hodes"/>
          <w:rtl/>
        </w:rPr>
        <w:fldChar w:fldCharType="end"/>
      </w:r>
      <w:r w:rsidRPr="0050146A">
        <w:rPr>
          <w:rFonts w:hint="cs"/>
          <w:rtl/>
        </w:rPr>
        <w:t xml:space="preserve"> דס"ל דדין חנ</w:t>
      </w:r>
      <w:r w:rsidRPr="0050146A">
        <w:rPr>
          <w:rtl/>
        </w:rPr>
        <w:t>"</w:t>
      </w:r>
      <w:r w:rsidRPr="0050146A">
        <w:rPr>
          <w:rFonts w:hint="cs"/>
          <w:rtl/>
        </w:rPr>
        <w:t>נ הוא רק בבשר וחלב, אבל חתיכת היתר שנתבשלה עם חתיכת איסור אין לה דין חנ</w:t>
      </w:r>
      <w:r w:rsidRPr="0050146A">
        <w:rPr>
          <w:rtl/>
        </w:rPr>
        <w:t>"</w:t>
      </w:r>
      <w:r w:rsidRPr="0050146A">
        <w:rPr>
          <w:rFonts w:hint="cs"/>
          <w:rtl/>
        </w:rPr>
        <w:t xml:space="preserve">נ, א"כ מתני' אתי שפיר דצריך לשער את הירך רק כנגד הגיד עצמו, ולא כנגד הכדי קליפה שסביבו, דאף שנאסרה הכדי קליפה בשעת המליחה, מ"מ אינה אוסרת את שאר הירך. </w:t>
      </w:r>
      <w:r w:rsidRPr="0050146A">
        <w:rPr>
          <w:rStyle w:val="afa"/>
          <w:rFonts w:hint="cs"/>
          <w:rtl/>
        </w:rPr>
        <w:t xml:space="preserve">[וכתב </w:t>
      </w:r>
      <w:r w:rsidRPr="0050146A">
        <w:rPr>
          <w:rStyle w:val="affa"/>
          <w:rFonts w:hint="cs"/>
          <w:rtl/>
        </w:rPr>
        <w:t>הראש יוסף</w:t>
      </w:r>
      <w:r w:rsidRPr="0050146A">
        <w:rPr>
          <w:rStyle w:val="afa"/>
          <w:rFonts w:hint="cs"/>
          <w:rtl/>
        </w:rPr>
        <w:t xml:space="preserve"> </w:t>
      </w:r>
      <w:r w:rsidRPr="0050146A">
        <w:rPr>
          <w:rStyle w:val="aff6"/>
          <w:rFonts w:hint="cs"/>
          <w:rtl/>
        </w:rPr>
        <w:t>(על תוד"ה אם)</w:t>
      </w:r>
      <w:r w:rsidRPr="0050146A">
        <w:rPr>
          <w:rStyle w:val="afa"/>
          <w:rFonts w:hint="cs"/>
          <w:rtl/>
        </w:rPr>
        <w:t xml:space="preserve"> דמדכתבו </w:t>
      </w:r>
      <w:r w:rsidRPr="0050146A">
        <w:rPr>
          <w:rStyle w:val="affa"/>
          <w:rFonts w:hint="cs"/>
          <w:rtl/>
        </w:rPr>
        <w:t>התוס'</w:t>
      </w:r>
      <w:r w:rsidRPr="0050146A">
        <w:rPr>
          <w:rStyle w:val="afa"/>
          <w:rFonts w:hint="cs"/>
          <w:rtl/>
        </w:rPr>
        <w:t xml:space="preserve"> לדברי </w:t>
      </w:r>
      <w:r w:rsidRPr="0050146A">
        <w:rPr>
          <w:rStyle w:val="affa"/>
          <w:rFonts w:hint="cs"/>
          <w:rtl/>
        </w:rPr>
        <w:t>רבינו אפרים</w:t>
      </w:r>
      <w:r w:rsidRPr="0050146A">
        <w:rPr>
          <w:rStyle w:val="afa"/>
          <w:rFonts w:hint="cs"/>
          <w:rtl/>
        </w:rPr>
        <w:t xml:space="preserve"> אתי שפיר, מבואר דדייקו </w:t>
      </w:r>
      <w:r w:rsidRPr="0050146A">
        <w:rPr>
          <w:rStyle w:val="affa"/>
          <w:rFonts w:hint="cs"/>
          <w:rtl/>
        </w:rPr>
        <w:t>התוס'</w:t>
      </w:r>
      <w:r w:rsidRPr="0050146A">
        <w:rPr>
          <w:rStyle w:val="afa"/>
          <w:rFonts w:hint="cs"/>
          <w:rtl/>
        </w:rPr>
        <w:t xml:space="preserve"> מלשון מתני' אם יש "בה" בנותן טעם דרק הגיד אוסר את הירך, אבל הכדי קליפה אינו מצטרף לאסור את הירך, ועיי"ש במה שהקשה </w:t>
      </w:r>
      <w:r w:rsidRPr="0050146A">
        <w:rPr>
          <w:rStyle w:val="affa"/>
          <w:rFonts w:hint="cs"/>
          <w:rtl/>
        </w:rPr>
        <w:t>הראש יוסף</w:t>
      </w:r>
      <w:r w:rsidRPr="0050146A">
        <w:rPr>
          <w:rStyle w:val="afa"/>
          <w:rFonts w:hint="cs"/>
          <w:rtl/>
        </w:rPr>
        <w:t>].</w:t>
      </w:r>
    </w:p>
    <w:p w:rsidR="008442F8" w:rsidRPr="0050146A" w:rsidRDefault="008442F8" w:rsidP="008442F8">
      <w:pPr>
        <w:pStyle w:val="1"/>
        <w:rPr>
          <w:rtl/>
        </w:rPr>
      </w:pPr>
      <w:bookmarkStart w:id="626" w:name="_Toc7724602"/>
      <w:bookmarkStart w:id="627" w:name="_Toc8069042"/>
      <w:bookmarkStart w:id="628" w:name="_Toc8069114"/>
      <w:bookmarkStart w:id="629" w:name="_Toc8105998"/>
      <w:bookmarkStart w:id="630" w:name="_Toc8117858"/>
      <w:bookmarkStart w:id="631" w:name="_Toc8122506"/>
      <w:bookmarkStart w:id="632" w:name="_Toc8142966"/>
      <w:bookmarkStart w:id="633" w:name="_Toc8160738"/>
      <w:bookmarkStart w:id="634" w:name="_Toc8209222"/>
      <w:bookmarkStart w:id="635" w:name="_Toc8209360"/>
      <w:bookmarkStart w:id="636" w:name="_Toc8246383"/>
      <w:bookmarkStart w:id="637" w:name="_Toc7614064"/>
      <w:bookmarkStart w:id="638" w:name="_Toc7711777"/>
      <w:r w:rsidRPr="0050146A">
        <w:rPr>
          <w:rFonts w:hint="cs"/>
          <w:rtl/>
        </w:rPr>
        <w:t>דעת הר"א ממי"ץ</w:t>
      </w:r>
      <w:bookmarkEnd w:id="626"/>
      <w:bookmarkEnd w:id="627"/>
      <w:bookmarkEnd w:id="628"/>
      <w:bookmarkEnd w:id="629"/>
      <w:bookmarkEnd w:id="630"/>
      <w:bookmarkEnd w:id="631"/>
      <w:bookmarkEnd w:id="632"/>
      <w:r w:rsidRPr="0050146A">
        <w:rPr>
          <w:rFonts w:hint="cs"/>
          <w:rtl/>
        </w:rPr>
        <w:t xml:space="preserve"> דאין חנ</w:t>
      </w:r>
      <w:r w:rsidRPr="0050146A">
        <w:rPr>
          <w:rtl/>
        </w:rPr>
        <w:t>"</w:t>
      </w:r>
      <w:r w:rsidRPr="0050146A">
        <w:rPr>
          <w:rFonts w:hint="cs"/>
          <w:rtl/>
        </w:rPr>
        <w:t>נ בחצי חתיכה ובכדי קליפה</w:t>
      </w:r>
      <w:bookmarkEnd w:id="633"/>
      <w:bookmarkEnd w:id="634"/>
      <w:bookmarkEnd w:id="635"/>
      <w:bookmarkEnd w:id="636"/>
    </w:p>
    <w:p w:rsidR="008442F8" w:rsidRPr="0050146A" w:rsidRDefault="008442F8" w:rsidP="008442F8">
      <w:pPr>
        <w:pStyle w:val="a2"/>
        <w:rPr>
          <w:rtl/>
        </w:rPr>
      </w:pPr>
      <w:bookmarkStart w:id="639" w:name="_Toc8160739"/>
      <w:bookmarkStart w:id="640" w:name="_Toc8209223"/>
      <w:bookmarkStart w:id="641" w:name="_Toc8209361"/>
      <w:bookmarkStart w:id="642" w:name="_Toc8246384"/>
      <w:r w:rsidRPr="0050146A">
        <w:rPr>
          <w:rFonts w:hint="cs"/>
          <w:rtl/>
        </w:rPr>
        <w:t>דברי התוס' בשם הר"א ממי"ץ דאין דין חנ</w:t>
      </w:r>
      <w:r w:rsidRPr="0050146A">
        <w:rPr>
          <w:rtl/>
        </w:rPr>
        <w:t>"</w:t>
      </w:r>
      <w:r w:rsidRPr="0050146A">
        <w:rPr>
          <w:rFonts w:hint="cs"/>
          <w:rtl/>
        </w:rPr>
        <w:t>נ במקצת חתיכה ואין הכדי קליפה נעשה חנ</w:t>
      </w:r>
      <w:r w:rsidRPr="0050146A">
        <w:rPr>
          <w:rtl/>
        </w:rPr>
        <w:t>"</w:t>
      </w:r>
      <w:r w:rsidRPr="0050146A">
        <w:rPr>
          <w:rFonts w:hint="cs"/>
          <w:rtl/>
        </w:rPr>
        <w:t>נ</w:t>
      </w:r>
      <w:bookmarkEnd w:id="639"/>
      <w:bookmarkEnd w:id="640"/>
      <w:bookmarkEnd w:id="641"/>
      <w:bookmarkEnd w:id="642"/>
    </w:p>
    <w:p w:rsidR="008442F8" w:rsidRPr="0050146A" w:rsidRDefault="008442F8" w:rsidP="009F44AF">
      <w:pPr>
        <w:pStyle w:val="a"/>
        <w:rPr>
          <w:rtl/>
        </w:rPr>
      </w:pPr>
      <w:bookmarkStart w:id="643" w:name="_Ref8159986"/>
      <w:r w:rsidRPr="0050146A">
        <w:rPr>
          <w:rFonts w:hint="cs"/>
          <w:rtl/>
        </w:rPr>
        <w:t xml:space="preserve">עוד כתבו </w:t>
      </w:r>
      <w:r w:rsidRPr="0050146A">
        <w:rPr>
          <w:rStyle w:val="af8"/>
          <w:rFonts w:hint="cs"/>
          <w:rtl/>
        </w:rPr>
        <w:t>התוס'</w:t>
      </w:r>
      <w:r w:rsidRPr="0050146A">
        <w:rPr>
          <w:rFonts w:hint="cs"/>
          <w:rtl/>
        </w:rPr>
        <w:t xml:space="preserve"> </w:t>
      </w:r>
      <w:r w:rsidRPr="0050146A">
        <w:rPr>
          <w:rStyle w:val="af6"/>
          <w:rFonts w:eastAsia="Guttman Hodes" w:hint="cs"/>
          <w:rtl/>
        </w:rPr>
        <w:t>(ד"ה אפילו)</w:t>
      </w:r>
      <w:r w:rsidRPr="0050146A">
        <w:rPr>
          <w:rFonts w:hint="cs"/>
          <w:rtl/>
        </w:rPr>
        <w:t xml:space="preserve"> בשם </w:t>
      </w:r>
      <w:r w:rsidRPr="0050146A">
        <w:rPr>
          <w:rStyle w:val="af8"/>
          <w:rFonts w:hint="cs"/>
          <w:rtl/>
        </w:rPr>
        <w:t xml:space="preserve">הר"א ממי"ץ </w:t>
      </w:r>
      <w:r w:rsidRPr="0050146A">
        <w:rPr>
          <w:rFonts w:hint="cs"/>
          <w:rtl/>
        </w:rPr>
        <w:t>דדין חנ</w:t>
      </w:r>
      <w:r w:rsidRPr="0050146A">
        <w:rPr>
          <w:rtl/>
        </w:rPr>
        <w:t>"</w:t>
      </w:r>
      <w:r w:rsidRPr="0050146A">
        <w:rPr>
          <w:rFonts w:hint="cs"/>
          <w:rtl/>
        </w:rPr>
        <w:t>נ נאמר רק במקום שכל החתיכה נאסרה, אבל במקום שרק חלק מהחתיכה נאסרה, כגון במקום שאסור רק בכדי קליפה, אין בזה דין חנ</w:t>
      </w:r>
      <w:r w:rsidRPr="0050146A">
        <w:rPr>
          <w:rtl/>
        </w:rPr>
        <w:t>"</w:t>
      </w:r>
      <w:r w:rsidRPr="0050146A">
        <w:rPr>
          <w:rFonts w:hint="cs"/>
          <w:rtl/>
        </w:rPr>
        <w:t>נ והכדי קליפה שנאסר אינו אוסר את שאר החתיכה מדין חנ</w:t>
      </w:r>
      <w:r w:rsidRPr="0050146A">
        <w:rPr>
          <w:rtl/>
        </w:rPr>
        <w:t>"</w:t>
      </w:r>
      <w:r w:rsidRPr="0050146A">
        <w:rPr>
          <w:rFonts w:hint="cs"/>
          <w:rtl/>
        </w:rPr>
        <w:t>נ.</w:t>
      </w:r>
      <w:bookmarkEnd w:id="643"/>
    </w:p>
    <w:p w:rsidR="008442F8" w:rsidRPr="0050146A" w:rsidRDefault="008442F8" w:rsidP="008442F8">
      <w:pPr>
        <w:pStyle w:val="a2"/>
        <w:rPr>
          <w:rtl/>
        </w:rPr>
      </w:pPr>
      <w:bookmarkStart w:id="644" w:name="_Toc8160740"/>
      <w:bookmarkStart w:id="645" w:name="_Toc8209224"/>
      <w:bookmarkStart w:id="646" w:name="_Toc8209362"/>
      <w:bookmarkStart w:id="647" w:name="_Toc8246385"/>
      <w:r w:rsidRPr="0050146A">
        <w:rPr>
          <w:rFonts w:hint="cs"/>
          <w:rtl/>
        </w:rPr>
        <w:t>ביאור הר"א ממי"ץ ביראים דדין חנ</w:t>
      </w:r>
      <w:r w:rsidRPr="0050146A">
        <w:rPr>
          <w:rtl/>
        </w:rPr>
        <w:t>"</w:t>
      </w:r>
      <w:r w:rsidRPr="0050146A">
        <w:rPr>
          <w:rFonts w:hint="cs"/>
          <w:rtl/>
        </w:rPr>
        <w:t>נ הוא גזירה רק בחתיכה שיש בכולה שם איסור אטו נבילה</w:t>
      </w:r>
      <w:bookmarkEnd w:id="644"/>
      <w:bookmarkEnd w:id="645"/>
      <w:bookmarkEnd w:id="646"/>
      <w:bookmarkEnd w:id="647"/>
      <w:r w:rsidRPr="0050146A">
        <w:rPr>
          <w:rFonts w:hint="cs"/>
          <w:rtl/>
        </w:rPr>
        <w:t xml:space="preserve">  </w:t>
      </w:r>
    </w:p>
    <w:p w:rsidR="008442F8" w:rsidRPr="0050146A" w:rsidRDefault="008442F8" w:rsidP="009F44AF">
      <w:pPr>
        <w:pStyle w:val="a"/>
        <w:rPr>
          <w:rStyle w:val="afa"/>
          <w:rtl/>
        </w:rPr>
      </w:pPr>
      <w:bookmarkStart w:id="648" w:name="_Toc7724603"/>
      <w:r w:rsidRPr="0050146A">
        <w:rPr>
          <w:rFonts w:hint="cs"/>
          <w:rtl/>
        </w:rPr>
        <w:t xml:space="preserve">וביאר </w:t>
      </w:r>
      <w:r w:rsidRPr="0050146A">
        <w:rPr>
          <w:rStyle w:val="af8"/>
          <w:rFonts w:hint="cs"/>
          <w:rtl/>
        </w:rPr>
        <w:t>הר"א ממי"ץ בספר היראים</w:t>
      </w:r>
      <w:r w:rsidRPr="0050146A">
        <w:rPr>
          <w:rFonts w:hint="cs"/>
          <w:rtl/>
        </w:rPr>
        <w:t xml:space="preserve"> </w:t>
      </w:r>
      <w:r w:rsidRPr="0050146A">
        <w:rPr>
          <w:rStyle w:val="af6"/>
          <w:rFonts w:eastAsia="Guttman Hodes" w:hint="cs"/>
          <w:rtl/>
        </w:rPr>
        <w:t>(סי' מ"ח, הועתק בקובץ שיטות קמאי חולין ח"ג עמ' ב' אלף שפ"ד)</w:t>
      </w:r>
      <w:r w:rsidRPr="0050146A">
        <w:rPr>
          <w:rFonts w:hint="cs"/>
          <w:rtl/>
        </w:rPr>
        <w:t xml:space="preserve"> דכל דין חנ</w:t>
      </w:r>
      <w:r w:rsidRPr="0050146A">
        <w:rPr>
          <w:rtl/>
        </w:rPr>
        <w:t>"</w:t>
      </w:r>
      <w:r w:rsidRPr="0050146A">
        <w:rPr>
          <w:rFonts w:hint="cs"/>
          <w:rtl/>
        </w:rPr>
        <w:t>נ הוא באיסור שמעורב בחתיכת היתר, וא"א להפריד את האיסור מההיתר, וכיון שלחלק מחתיכת ההיתר יש בה איסור מחמת הנבילה הבלועה בה, לכן אמרו רבנן דכל החתיכה דינה כנבילה, דכיון שיש לה שם איסור, אם יתירו לשער רק לפי חלק מהחתיכה יבואו להתיר לשער בחלק מחתיכת נבילה עצמה, ולכן אמרו דמשערים בכל החתיכה כאילו היא נבילה, אבל באיסור שאפשר להפרידו מההיתר, כצליה דאינו נבלע בכל האיסור לא אמרו בו חנ</w:t>
      </w:r>
      <w:r w:rsidRPr="0050146A">
        <w:rPr>
          <w:rtl/>
        </w:rPr>
        <w:t>"</w:t>
      </w:r>
      <w:r w:rsidRPr="0050146A">
        <w:rPr>
          <w:rFonts w:hint="cs"/>
          <w:rtl/>
        </w:rPr>
        <w:t>נ כלל, דחשיב כאילו האיסור מונח ע"ג ההיתר ואינו מעורב בו. [</w:t>
      </w:r>
      <w:r w:rsidRPr="0050146A">
        <w:rPr>
          <w:rStyle w:val="afa"/>
          <w:rFonts w:hint="cs"/>
          <w:rtl/>
        </w:rPr>
        <w:t>וע"ע בדברי</w:t>
      </w:r>
      <w:r w:rsidRPr="0050146A">
        <w:rPr>
          <w:rStyle w:val="affa"/>
          <w:rFonts w:hint="cs"/>
          <w:rtl/>
        </w:rPr>
        <w:t xml:space="preserve"> המרדכי</w:t>
      </w:r>
      <w:r w:rsidRPr="0050146A">
        <w:rPr>
          <w:rFonts w:hint="cs"/>
          <w:rtl/>
        </w:rPr>
        <w:t xml:space="preserve"> </w:t>
      </w:r>
      <w:r w:rsidRPr="0050146A">
        <w:rPr>
          <w:rStyle w:val="aff6"/>
          <w:rFonts w:hint="cs"/>
          <w:rtl/>
        </w:rPr>
        <w:t>(עי' הערה</w:t>
      </w:r>
      <w:r w:rsidRPr="0050146A">
        <w:rPr>
          <w:vertAlign w:val="superscript"/>
          <w:rtl/>
        </w:rPr>
        <w:fldChar w:fldCharType="begin"/>
      </w:r>
      <w:r w:rsidRPr="0050146A">
        <w:rPr>
          <w:vertAlign w:val="superscript"/>
          <w:rtl/>
        </w:rPr>
        <w:instrText xml:space="preserve"> </w:instrText>
      </w:r>
      <w:r w:rsidRPr="0050146A">
        <w:rPr>
          <w:rFonts w:hint="cs"/>
          <w:vertAlign w:val="superscript"/>
        </w:rPr>
        <w:instrText>NOTEREF</w:instrText>
      </w:r>
      <w:r w:rsidRPr="0050146A">
        <w:rPr>
          <w:rFonts w:hint="cs"/>
          <w:vertAlign w:val="superscript"/>
          <w:rtl/>
        </w:rPr>
        <w:instrText xml:space="preserve"> _</w:instrText>
      </w:r>
      <w:r w:rsidRPr="0050146A">
        <w:rPr>
          <w:rFonts w:hint="cs"/>
          <w:vertAlign w:val="superscript"/>
        </w:rPr>
        <w:instrText>Ref8749078 \h</w:instrText>
      </w:r>
      <w:r w:rsidRPr="0050146A">
        <w:rPr>
          <w:vertAlign w:val="superscript"/>
          <w:rtl/>
        </w:rPr>
        <w:instrText xml:space="preserve">  \* </w:instrText>
      </w:r>
      <w:r w:rsidRPr="0050146A">
        <w:rPr>
          <w:vertAlign w:val="superscript"/>
        </w:rPr>
        <w:instrText>MERGEFORMAT</w:instrText>
      </w:r>
      <w:r w:rsidRPr="0050146A">
        <w:rPr>
          <w:vertAlign w:val="superscript"/>
          <w:rtl/>
        </w:rPr>
        <w:instrText xml:space="preserve"> </w:instrText>
      </w:r>
      <w:r w:rsidRPr="0050146A">
        <w:rPr>
          <w:vertAlign w:val="superscript"/>
          <w:rtl/>
        </w:rPr>
      </w:r>
      <w:r w:rsidRPr="0050146A">
        <w:rPr>
          <w:vertAlign w:val="superscript"/>
          <w:rtl/>
        </w:rPr>
        <w:fldChar w:fldCharType="separate"/>
      </w:r>
      <w:r w:rsidR="004D1C5B">
        <w:rPr>
          <w:vertAlign w:val="superscript"/>
          <w:rtl/>
        </w:rPr>
        <w:t>1</w:t>
      </w:r>
      <w:r w:rsidRPr="0050146A">
        <w:rPr>
          <w:vertAlign w:val="superscript"/>
          <w:rtl/>
        </w:rPr>
        <w:fldChar w:fldCharType="end"/>
      </w:r>
      <w:r w:rsidRPr="0050146A">
        <w:rPr>
          <w:rStyle w:val="aff6"/>
          <w:rFonts w:hint="cs"/>
          <w:rtl/>
        </w:rPr>
        <w:t xml:space="preserve">) </w:t>
      </w:r>
      <w:r w:rsidRPr="0050146A">
        <w:rPr>
          <w:rStyle w:val="afa"/>
          <w:rFonts w:hint="cs"/>
          <w:rtl/>
        </w:rPr>
        <w:t xml:space="preserve">דכתב </w:t>
      </w:r>
      <w:r w:rsidRPr="0050146A">
        <w:rPr>
          <w:rStyle w:val="affa"/>
          <w:rFonts w:hint="cs"/>
          <w:rtl/>
        </w:rPr>
        <w:t>דהראבי"ה</w:t>
      </w:r>
      <w:r w:rsidRPr="0050146A">
        <w:rPr>
          <w:rStyle w:val="afa"/>
          <w:rFonts w:hint="cs"/>
          <w:rtl/>
        </w:rPr>
        <w:t xml:space="preserve"> ס"ל כדעת </w:t>
      </w:r>
      <w:r w:rsidRPr="0050146A">
        <w:rPr>
          <w:rStyle w:val="affa"/>
          <w:rFonts w:hint="cs"/>
          <w:rtl/>
        </w:rPr>
        <w:t>הר"א</w:t>
      </w:r>
      <w:r w:rsidRPr="0050146A">
        <w:rPr>
          <w:rStyle w:val="afa"/>
          <w:rFonts w:hint="cs"/>
          <w:rtl/>
        </w:rPr>
        <w:t xml:space="preserve"> </w:t>
      </w:r>
      <w:r w:rsidRPr="0050146A">
        <w:rPr>
          <w:rStyle w:val="affa"/>
          <w:rFonts w:hint="cs"/>
          <w:rtl/>
        </w:rPr>
        <w:t>ממי"ץ</w:t>
      </w:r>
      <w:r w:rsidRPr="0050146A">
        <w:rPr>
          <w:rStyle w:val="afa"/>
          <w:rFonts w:hint="cs"/>
          <w:rtl/>
        </w:rPr>
        <w:t>, עיי"ש בדבריו].</w:t>
      </w:r>
    </w:p>
    <w:p w:rsidR="008442F8" w:rsidRPr="0050146A" w:rsidRDefault="008442F8" w:rsidP="008442F8">
      <w:pPr>
        <w:pStyle w:val="a2"/>
        <w:rPr>
          <w:rtl/>
        </w:rPr>
      </w:pPr>
      <w:bookmarkStart w:id="649" w:name="_Toc8160741"/>
      <w:bookmarkStart w:id="650" w:name="_Toc8209225"/>
      <w:bookmarkStart w:id="651" w:name="_Toc8209363"/>
      <w:bookmarkStart w:id="652" w:name="_Toc8246386"/>
      <w:r w:rsidRPr="0050146A">
        <w:rPr>
          <w:rFonts w:hint="cs"/>
          <w:rtl/>
        </w:rPr>
        <w:t>דברי הר"א ממי"ץ ביראים דמהא דהכדי קליפה אינו אוסר הכל מוכח דאין חנ</w:t>
      </w:r>
      <w:r w:rsidRPr="0050146A">
        <w:rPr>
          <w:rtl/>
        </w:rPr>
        <w:t>"</w:t>
      </w:r>
      <w:r w:rsidRPr="0050146A">
        <w:rPr>
          <w:rFonts w:hint="cs"/>
          <w:rtl/>
        </w:rPr>
        <w:t>נ בחצי חתיכה</w:t>
      </w:r>
      <w:bookmarkEnd w:id="649"/>
      <w:bookmarkEnd w:id="650"/>
      <w:bookmarkEnd w:id="651"/>
      <w:bookmarkEnd w:id="652"/>
    </w:p>
    <w:p w:rsidR="008442F8" w:rsidRPr="0050146A" w:rsidRDefault="008442F8" w:rsidP="009F44AF">
      <w:pPr>
        <w:pStyle w:val="a"/>
        <w:rPr>
          <w:rStyle w:val="afa"/>
          <w:rtl/>
        </w:rPr>
      </w:pPr>
      <w:r w:rsidRPr="0050146A">
        <w:rPr>
          <w:rFonts w:hint="cs"/>
          <w:rtl/>
        </w:rPr>
        <w:t xml:space="preserve">וכתב </w:t>
      </w:r>
      <w:r w:rsidRPr="0050146A">
        <w:rPr>
          <w:rStyle w:val="af8"/>
          <w:rFonts w:hint="cs"/>
          <w:rtl/>
        </w:rPr>
        <w:t xml:space="preserve">הר"א ממי"ץ בספר היראים </w:t>
      </w:r>
      <w:r w:rsidRPr="0050146A">
        <w:rPr>
          <w:rFonts w:hint="cs"/>
          <w:rtl/>
        </w:rPr>
        <w:t>דכן מוכח בסוגיין דאף שהגיד אוסר כדי קליפה, מ"מ אין הכדי קליפה אוסר את הבשר הסמוך לו מדין חנ</w:t>
      </w:r>
      <w:r w:rsidRPr="0050146A">
        <w:rPr>
          <w:rtl/>
        </w:rPr>
        <w:t>"</w:t>
      </w:r>
      <w:r w:rsidRPr="0050146A">
        <w:rPr>
          <w:rFonts w:hint="cs"/>
          <w:rtl/>
        </w:rPr>
        <w:t>נ, דכיון דכל מה שהחמירו רבנן בדין חנ</w:t>
      </w:r>
      <w:r w:rsidRPr="0050146A">
        <w:rPr>
          <w:rtl/>
        </w:rPr>
        <w:t>"</w:t>
      </w:r>
      <w:r w:rsidRPr="0050146A">
        <w:rPr>
          <w:rFonts w:hint="cs"/>
          <w:rtl/>
        </w:rPr>
        <w:t>נ הוא אחר שיש על החתיכה שם איסור, ואם ישערו בחלק ממנה יבואו לשער בחלק מחתיכת הנבילה עצמה, אבל במקום שהאיסור נבלע רק בכדי קליפה, אין לחתיכה שם חתיכת איסור, דכל שלא נבלעה האיסור בכולה היא נקראת חתיכת היתר, ולא יבואו להחליפה בחתיכת נבילה, דדין חנ</w:t>
      </w:r>
      <w:r w:rsidRPr="0050146A">
        <w:rPr>
          <w:rtl/>
        </w:rPr>
        <w:t>"</w:t>
      </w:r>
      <w:r w:rsidRPr="0050146A">
        <w:rPr>
          <w:rFonts w:hint="cs"/>
          <w:rtl/>
        </w:rPr>
        <w:t xml:space="preserve">נ נאמר רק בחתיכה שלימה ולא במקצת החתיכה. </w:t>
      </w:r>
      <w:r w:rsidRPr="0050146A">
        <w:rPr>
          <w:rStyle w:val="afa"/>
          <w:rFonts w:hint="cs"/>
          <w:rtl/>
        </w:rPr>
        <w:t>[היינו דאף שלכדי קליפה יש שם איסור, מ"מ כיון שלכל החתיכה אין שם איסור, לא אמרו רבנן דמקצת החתיכה שיש לה שם איסור תחשב כנבילה, כיון לא יבואו להחליף מקצת חתיכה בחתיכת נבילה].</w:t>
      </w:r>
    </w:p>
    <w:p w:rsidR="008442F8" w:rsidRPr="0050146A" w:rsidRDefault="008442F8" w:rsidP="008442F8">
      <w:pPr>
        <w:pStyle w:val="a2"/>
        <w:rPr>
          <w:rtl/>
        </w:rPr>
      </w:pPr>
      <w:bookmarkStart w:id="653" w:name="_Toc8160742"/>
      <w:bookmarkStart w:id="654" w:name="_Toc8209226"/>
      <w:bookmarkStart w:id="655" w:name="_Toc8209364"/>
      <w:bookmarkStart w:id="656" w:name="_Toc8246387"/>
      <w:bookmarkStart w:id="657" w:name="_Toc8069043"/>
      <w:bookmarkStart w:id="658" w:name="_Toc8069115"/>
      <w:bookmarkStart w:id="659" w:name="_Toc8105999"/>
      <w:bookmarkStart w:id="660" w:name="_Toc8117859"/>
      <w:bookmarkStart w:id="661" w:name="_Toc8122507"/>
      <w:bookmarkStart w:id="662" w:name="_Toc8142967"/>
      <w:r w:rsidRPr="0050146A">
        <w:rPr>
          <w:rFonts w:hint="cs"/>
          <w:rtl/>
        </w:rPr>
        <w:t>דחיית התוס' דאף דכדי קליפה נעשה חנ</w:t>
      </w:r>
      <w:r w:rsidRPr="0050146A">
        <w:rPr>
          <w:rtl/>
        </w:rPr>
        <w:t>"</w:t>
      </w:r>
      <w:r w:rsidRPr="0050146A">
        <w:rPr>
          <w:rFonts w:hint="cs"/>
          <w:rtl/>
        </w:rPr>
        <w:t>נ מ"מ האיסור אינו עובר יותר מכדי קליפה ואינו אוסר הכל</w:t>
      </w:r>
      <w:bookmarkEnd w:id="653"/>
      <w:bookmarkEnd w:id="654"/>
      <w:bookmarkEnd w:id="655"/>
      <w:bookmarkEnd w:id="656"/>
    </w:p>
    <w:p w:rsidR="002D7168" w:rsidRDefault="008442F8" w:rsidP="009F44AF">
      <w:pPr>
        <w:pStyle w:val="a"/>
        <w:rPr>
          <w:rtl/>
        </w:rPr>
      </w:pPr>
      <w:r w:rsidRPr="0050146A">
        <w:rPr>
          <w:rFonts w:hint="cs"/>
          <w:rtl/>
        </w:rPr>
        <w:t xml:space="preserve">ודחו </w:t>
      </w:r>
      <w:r w:rsidRPr="0050146A">
        <w:rPr>
          <w:rStyle w:val="af8"/>
          <w:rFonts w:hint="cs"/>
          <w:rtl/>
        </w:rPr>
        <w:t>התוס'</w:t>
      </w:r>
      <w:r w:rsidRPr="0050146A">
        <w:rPr>
          <w:rFonts w:hint="cs"/>
          <w:rtl/>
        </w:rPr>
        <w:t xml:space="preserve"> </w:t>
      </w:r>
      <w:r w:rsidRPr="0050146A">
        <w:rPr>
          <w:rStyle w:val="af6"/>
          <w:rFonts w:eastAsia="Guttman Hodes" w:hint="cs"/>
          <w:rtl/>
        </w:rPr>
        <w:t>(ד"ה אפילו)</w:t>
      </w:r>
      <w:r w:rsidRPr="0050146A">
        <w:rPr>
          <w:rFonts w:hint="cs"/>
          <w:rtl/>
        </w:rPr>
        <w:t xml:space="preserve"> את דברי </w:t>
      </w:r>
      <w:r w:rsidRPr="0050146A">
        <w:rPr>
          <w:rStyle w:val="af8"/>
          <w:rFonts w:hint="cs"/>
          <w:rtl/>
        </w:rPr>
        <w:t xml:space="preserve">הר"א ממי"ץ </w:t>
      </w:r>
      <w:r w:rsidRPr="0050146A">
        <w:rPr>
          <w:rFonts w:hint="cs"/>
          <w:rtl/>
        </w:rPr>
        <w:t>דאין סברא לומר דאין חנ</w:t>
      </w:r>
      <w:r w:rsidRPr="0050146A">
        <w:rPr>
          <w:rtl/>
        </w:rPr>
        <w:t>"</w:t>
      </w:r>
      <w:r w:rsidRPr="0050146A">
        <w:rPr>
          <w:rFonts w:hint="cs"/>
          <w:rtl/>
        </w:rPr>
        <w:t>נ במקצת חתיכה, אלא כתבו ה</w:t>
      </w:r>
      <w:r w:rsidRPr="0050146A">
        <w:rPr>
          <w:rStyle w:val="af8"/>
          <w:rFonts w:hint="cs"/>
          <w:rtl/>
        </w:rPr>
        <w:t xml:space="preserve">תוס' </w:t>
      </w:r>
      <w:r w:rsidRPr="0050146A">
        <w:rPr>
          <w:rFonts w:hint="cs"/>
          <w:rtl/>
        </w:rPr>
        <w:t xml:space="preserve">דבכדי קליפה האיסור אינו עובר יותר מכדי קליפה ולכן אינו אוסר את שאר החתיכה, וכתבו </w:t>
      </w:r>
      <w:r w:rsidRPr="0050146A">
        <w:rPr>
          <w:rStyle w:val="af8"/>
          <w:rFonts w:hint="cs"/>
          <w:rtl/>
        </w:rPr>
        <w:t>התוס'</w:t>
      </w:r>
      <w:r w:rsidRPr="0050146A">
        <w:rPr>
          <w:rFonts w:hint="cs"/>
          <w:rtl/>
        </w:rPr>
        <w:t xml:space="preserve"> דכן מוכח מהא דבכל בשר שנמלח אינו נאסר ע"י המלח שנאסר מחמת הדם, ומוכח דאף שטעם המלח נבלע בבשר, מ"מ הדם הבלוע במלח אינו נבלע בבשר.</w:t>
      </w:r>
    </w:p>
    <w:p w:rsidR="00E30F57" w:rsidRPr="00E30F57" w:rsidRDefault="00E30F57" w:rsidP="00E30F57">
      <w:pPr>
        <w:pStyle w:val="a2"/>
        <w:rPr>
          <w:rtl/>
        </w:rPr>
      </w:pPr>
    </w:p>
    <w:p w:rsidR="008442F8" w:rsidRPr="0050146A" w:rsidRDefault="008442F8" w:rsidP="00E669F8">
      <w:pPr>
        <w:pStyle w:val="afd"/>
        <w:rPr>
          <w:rtl/>
        </w:rPr>
      </w:pPr>
      <w:bookmarkStart w:id="663" w:name="_Toc8160743"/>
      <w:bookmarkStart w:id="664" w:name="_Toc8209227"/>
      <w:bookmarkStart w:id="665" w:name="_Toc8209365"/>
      <w:bookmarkStart w:id="666" w:name="_Toc8246388"/>
      <w:r w:rsidRPr="0050146A">
        <w:rPr>
          <w:rFonts w:hint="cs"/>
          <w:rtl/>
        </w:rPr>
        <w:t>בעיקר דין חנ</w:t>
      </w:r>
      <w:r w:rsidRPr="0050146A">
        <w:rPr>
          <w:rtl/>
        </w:rPr>
        <w:t>"</w:t>
      </w:r>
      <w:r w:rsidRPr="0050146A">
        <w:rPr>
          <w:rFonts w:hint="cs"/>
          <w:rtl/>
        </w:rPr>
        <w:t>נ</w:t>
      </w:r>
      <w:bookmarkEnd w:id="637"/>
      <w:bookmarkEnd w:id="638"/>
      <w:bookmarkEnd w:id="648"/>
      <w:bookmarkEnd w:id="657"/>
      <w:bookmarkEnd w:id="658"/>
      <w:bookmarkEnd w:id="659"/>
      <w:bookmarkEnd w:id="660"/>
      <w:bookmarkEnd w:id="661"/>
      <w:bookmarkEnd w:id="662"/>
      <w:bookmarkEnd w:id="663"/>
      <w:bookmarkEnd w:id="664"/>
      <w:bookmarkEnd w:id="665"/>
      <w:bookmarkEnd w:id="666"/>
    </w:p>
    <w:p w:rsidR="008442F8" w:rsidRPr="0050146A" w:rsidRDefault="008442F8" w:rsidP="008442F8">
      <w:pPr>
        <w:pStyle w:val="1"/>
        <w:rPr>
          <w:rtl/>
        </w:rPr>
      </w:pPr>
      <w:bookmarkStart w:id="667" w:name="_Toc8160744"/>
      <w:bookmarkStart w:id="668" w:name="_Toc8209228"/>
      <w:bookmarkStart w:id="669" w:name="_Toc8209366"/>
      <w:bookmarkStart w:id="670" w:name="_Toc8246389"/>
      <w:r w:rsidRPr="0050146A">
        <w:rPr>
          <w:rFonts w:hint="cs"/>
          <w:rtl/>
        </w:rPr>
        <w:t>דעת ר"ת דדין חנ</w:t>
      </w:r>
      <w:r w:rsidRPr="0050146A">
        <w:rPr>
          <w:rtl/>
        </w:rPr>
        <w:t>"</w:t>
      </w:r>
      <w:r w:rsidRPr="0050146A">
        <w:rPr>
          <w:rFonts w:hint="cs"/>
          <w:rtl/>
        </w:rPr>
        <w:t>נ הוא בכל נתינת טעם במין בשאינו מינו</w:t>
      </w:r>
      <w:bookmarkEnd w:id="667"/>
      <w:bookmarkEnd w:id="668"/>
      <w:bookmarkEnd w:id="669"/>
      <w:bookmarkEnd w:id="670"/>
      <w:r w:rsidRPr="0050146A">
        <w:rPr>
          <w:rFonts w:hint="cs"/>
          <w:rtl/>
        </w:rPr>
        <w:t xml:space="preserve"> </w:t>
      </w:r>
    </w:p>
    <w:p w:rsidR="008442F8" w:rsidRPr="0050146A" w:rsidRDefault="008442F8" w:rsidP="008442F8">
      <w:pPr>
        <w:pStyle w:val="a2"/>
        <w:rPr>
          <w:rtl/>
        </w:rPr>
      </w:pPr>
      <w:bookmarkStart w:id="671" w:name="_Toc8160745"/>
      <w:bookmarkStart w:id="672" w:name="_Toc8209229"/>
      <w:bookmarkStart w:id="673" w:name="_Toc8209367"/>
      <w:bookmarkStart w:id="674" w:name="_Toc8246390"/>
      <w:r w:rsidRPr="0050146A">
        <w:rPr>
          <w:rFonts w:hint="cs"/>
          <w:rtl/>
        </w:rPr>
        <w:t>דברי רש"י לקמן דכשנאסרה החתיכה ע"י שקיבלה טעם מהאיסור היא אוסרת את שאר החתיכות</w:t>
      </w:r>
      <w:bookmarkEnd w:id="671"/>
      <w:bookmarkEnd w:id="672"/>
      <w:bookmarkEnd w:id="673"/>
      <w:bookmarkEnd w:id="674"/>
    </w:p>
    <w:p w:rsidR="008442F8" w:rsidRPr="0050146A" w:rsidRDefault="008442F8" w:rsidP="009F44AF">
      <w:pPr>
        <w:pStyle w:val="a"/>
        <w:rPr>
          <w:rtl/>
        </w:rPr>
      </w:pPr>
      <w:bookmarkStart w:id="675" w:name="_Ref8227915"/>
      <w:r w:rsidRPr="0050146A">
        <w:rPr>
          <w:rFonts w:hint="cs"/>
          <w:rtl/>
        </w:rPr>
        <w:lastRenderedPageBreak/>
        <w:t>והנה בדין חנ</w:t>
      </w:r>
      <w:r w:rsidRPr="0050146A">
        <w:rPr>
          <w:rtl/>
        </w:rPr>
        <w:t>"</w:t>
      </w:r>
      <w:r w:rsidRPr="0050146A">
        <w:rPr>
          <w:rFonts w:hint="cs"/>
          <w:rtl/>
        </w:rPr>
        <w:t xml:space="preserve">נ ביאר </w:t>
      </w:r>
      <w:r w:rsidRPr="0050146A">
        <w:rPr>
          <w:rStyle w:val="af8"/>
          <w:rFonts w:hint="cs"/>
          <w:rtl/>
        </w:rPr>
        <w:t>רש"י לקמן</w:t>
      </w:r>
      <w:r w:rsidRPr="0050146A">
        <w:rPr>
          <w:rFonts w:hint="cs"/>
          <w:rtl/>
        </w:rPr>
        <w:t xml:space="preserve"> </w:t>
      </w:r>
      <w:r w:rsidRPr="0050146A">
        <w:rPr>
          <w:rStyle w:val="af6"/>
          <w:rFonts w:eastAsia="Guttman Hodes" w:hint="cs"/>
          <w:rtl/>
        </w:rPr>
        <w:t>(ק. ד"ה כיון, ד"ה בשקדם)</w:t>
      </w:r>
      <w:r w:rsidRPr="0050146A">
        <w:rPr>
          <w:rFonts w:hint="cs"/>
          <w:rtl/>
        </w:rPr>
        <w:t xml:space="preserve"> דכשבישל ב' חתיכות אחת של איסור ואחת של היתר בקדירה אחת, ולא היה שישים בחתיכה ההיתר כנגד האיסור, וחתיכת האיסור נתנה טעם בחתיכת ההיתר ואסרתה, ואח"כ סילק את חתיכת האיסור והוסיף לקדירה חתיכות אחרות של היתר, ובישלם יחד עם החתיכה שנאסרה היא אוסרתם בנתינת טעם, דכיון שהחתיכה קיבלה טעם מהאיסור, היא עצמה נעשית נבילה ואוסרת את שאר החתיכות בפליטתה.</w:t>
      </w:r>
      <w:bookmarkEnd w:id="675"/>
    </w:p>
    <w:p w:rsidR="008442F8" w:rsidRPr="0050146A" w:rsidRDefault="008442F8" w:rsidP="008442F8">
      <w:pPr>
        <w:pStyle w:val="a2"/>
        <w:rPr>
          <w:rtl/>
        </w:rPr>
      </w:pPr>
      <w:bookmarkStart w:id="676" w:name="_Toc8160746"/>
      <w:bookmarkStart w:id="677" w:name="_Toc8209230"/>
      <w:bookmarkStart w:id="678" w:name="_Toc8209368"/>
      <w:bookmarkStart w:id="679" w:name="_Toc8246391"/>
      <w:r w:rsidRPr="0050146A">
        <w:rPr>
          <w:rFonts w:hint="cs"/>
          <w:rtl/>
        </w:rPr>
        <w:t>קושית התוס' לקמן דאף בפחות משישים החתיכה אוסרת דמין במינו אוסר במשהו</w:t>
      </w:r>
      <w:bookmarkEnd w:id="676"/>
      <w:bookmarkEnd w:id="677"/>
      <w:bookmarkEnd w:id="678"/>
      <w:bookmarkEnd w:id="679"/>
    </w:p>
    <w:p w:rsidR="008442F8" w:rsidRPr="0050146A" w:rsidRDefault="008442F8" w:rsidP="009F44AF">
      <w:pPr>
        <w:pStyle w:val="a"/>
        <w:rPr>
          <w:rtl/>
        </w:rPr>
      </w:pPr>
      <w:r w:rsidRPr="0050146A">
        <w:rPr>
          <w:rFonts w:hint="cs"/>
          <w:rtl/>
        </w:rPr>
        <w:t xml:space="preserve">והקשו </w:t>
      </w:r>
      <w:r w:rsidRPr="0050146A">
        <w:rPr>
          <w:rStyle w:val="af8"/>
          <w:rFonts w:hint="cs"/>
          <w:rtl/>
        </w:rPr>
        <w:t>התוס' לקמן</w:t>
      </w:r>
      <w:r w:rsidRPr="0050146A">
        <w:rPr>
          <w:rFonts w:hint="cs"/>
          <w:rtl/>
        </w:rPr>
        <w:t xml:space="preserve"> </w:t>
      </w:r>
      <w:r w:rsidRPr="0050146A">
        <w:rPr>
          <w:rStyle w:val="af6"/>
          <w:rFonts w:eastAsia="Guttman Hodes" w:hint="cs"/>
          <w:rtl/>
        </w:rPr>
        <w:t>(ק. ד"ה בשקדם)</w:t>
      </w:r>
      <w:r w:rsidRPr="0050146A">
        <w:rPr>
          <w:rFonts w:hint="cs"/>
          <w:rtl/>
        </w:rPr>
        <w:t xml:space="preserve"> דאמאי העמידה הגמ' לקמן </w:t>
      </w:r>
      <w:r w:rsidRPr="0050146A">
        <w:rPr>
          <w:rStyle w:val="af6"/>
          <w:rFonts w:eastAsia="Guttman Hodes" w:hint="cs"/>
          <w:rtl/>
        </w:rPr>
        <w:t>(ק.)</w:t>
      </w:r>
      <w:r w:rsidRPr="0050146A">
        <w:rPr>
          <w:rFonts w:hint="cs"/>
          <w:rtl/>
        </w:rPr>
        <w:t xml:space="preserve"> בדין חנ</w:t>
      </w:r>
      <w:r w:rsidRPr="0050146A">
        <w:rPr>
          <w:rtl/>
        </w:rPr>
        <w:t>"</w:t>
      </w:r>
      <w:r w:rsidRPr="0050146A">
        <w:rPr>
          <w:rFonts w:hint="cs"/>
          <w:rtl/>
        </w:rPr>
        <w:t xml:space="preserve">נ כשלא היה שישים בחתיכת ההיתר כנגד ונאסרה מדין נתינת טעם, הא אף אם היה בחתיכת ההיתר שישים כנגד האיסור ואין בה טעם איסור, מ"מ היא נאסרת מדין מין במינו דאוסר במשהו, לדעת רב בגמ' לקמן </w:t>
      </w:r>
      <w:r w:rsidRPr="0050146A">
        <w:rPr>
          <w:rStyle w:val="af6"/>
          <w:rFonts w:eastAsia="Guttman Hodes" w:hint="cs"/>
          <w:rtl/>
        </w:rPr>
        <w:t>(ק.)</w:t>
      </w:r>
      <w:r w:rsidRPr="0050146A">
        <w:rPr>
          <w:rFonts w:hint="cs"/>
          <w:rtl/>
        </w:rPr>
        <w:t xml:space="preserve"> דפסק כר"י דמין במינו במשהו.</w:t>
      </w:r>
    </w:p>
    <w:p w:rsidR="008442F8" w:rsidRPr="0050146A" w:rsidRDefault="008442F8" w:rsidP="008442F8">
      <w:pPr>
        <w:pStyle w:val="a2"/>
        <w:rPr>
          <w:rtl/>
        </w:rPr>
      </w:pPr>
      <w:bookmarkStart w:id="680" w:name="_Toc8160747"/>
      <w:bookmarkStart w:id="681" w:name="_Toc8209231"/>
      <w:bookmarkStart w:id="682" w:name="_Toc8209369"/>
      <w:bookmarkStart w:id="683" w:name="_Toc8246392"/>
      <w:r w:rsidRPr="0050146A">
        <w:rPr>
          <w:rFonts w:hint="cs"/>
          <w:rtl/>
        </w:rPr>
        <w:t>דעת ר"ת דרק חתיכה שקיבלה טעם מהאיסור יש לה דין חנ</w:t>
      </w:r>
      <w:r w:rsidRPr="0050146A">
        <w:rPr>
          <w:rtl/>
        </w:rPr>
        <w:t>"</w:t>
      </w:r>
      <w:r w:rsidRPr="0050146A">
        <w:rPr>
          <w:rFonts w:hint="cs"/>
          <w:rtl/>
        </w:rPr>
        <w:t>נ אבל בנאסרה במשהו אין בה חנ</w:t>
      </w:r>
      <w:r w:rsidRPr="0050146A">
        <w:rPr>
          <w:rtl/>
        </w:rPr>
        <w:t>"</w:t>
      </w:r>
      <w:r w:rsidRPr="0050146A">
        <w:rPr>
          <w:rFonts w:hint="cs"/>
          <w:rtl/>
        </w:rPr>
        <w:t>נ</w:t>
      </w:r>
      <w:bookmarkEnd w:id="680"/>
      <w:bookmarkEnd w:id="681"/>
      <w:bookmarkEnd w:id="682"/>
      <w:bookmarkEnd w:id="683"/>
    </w:p>
    <w:p w:rsidR="008442F8" w:rsidRPr="0050146A" w:rsidRDefault="008442F8" w:rsidP="009F44AF">
      <w:pPr>
        <w:pStyle w:val="a"/>
        <w:rPr>
          <w:rtl/>
        </w:rPr>
      </w:pPr>
      <w:r w:rsidRPr="0050146A">
        <w:rPr>
          <w:rFonts w:hint="cs"/>
          <w:rtl/>
        </w:rPr>
        <w:t>ותירץ ר</w:t>
      </w:r>
      <w:r w:rsidRPr="0050146A">
        <w:rPr>
          <w:rStyle w:val="af8"/>
          <w:rFonts w:hint="cs"/>
          <w:rtl/>
        </w:rPr>
        <w:t>"ת בתוס' לקמן</w:t>
      </w:r>
      <w:r w:rsidRPr="0050146A">
        <w:rPr>
          <w:rFonts w:hint="cs"/>
          <w:rtl/>
        </w:rPr>
        <w:t xml:space="preserve"> דאף שהחתיכה נאסרה במשהו מדין מין במינו, מ"מ אינה נעשית נבילה לאסור את החתיכות האחרות כיון שנאסרה רק ע"י משהו, ורק באופן שהאיסור נתן טעם בחתיכת ההיתר שלא היה שישים כנגדה, נעשית חתיכת ההיתר כנבילה ואוסרת את שאר החתיכות.</w:t>
      </w:r>
    </w:p>
    <w:p w:rsidR="008442F8" w:rsidRPr="0050146A" w:rsidRDefault="008442F8" w:rsidP="008442F8">
      <w:pPr>
        <w:pStyle w:val="1"/>
        <w:rPr>
          <w:rtl/>
        </w:rPr>
      </w:pPr>
      <w:bookmarkStart w:id="684" w:name="_Toc7711778"/>
      <w:bookmarkStart w:id="685" w:name="_Toc7724604"/>
      <w:bookmarkStart w:id="686" w:name="_Toc8069044"/>
      <w:bookmarkStart w:id="687" w:name="_Toc8069116"/>
      <w:bookmarkStart w:id="688" w:name="_Toc8106000"/>
      <w:bookmarkStart w:id="689" w:name="_Toc8117860"/>
      <w:bookmarkStart w:id="690" w:name="_Toc8122508"/>
      <w:bookmarkStart w:id="691" w:name="_Toc8142968"/>
      <w:bookmarkStart w:id="692" w:name="_Toc8160748"/>
      <w:bookmarkStart w:id="693" w:name="_Toc8209232"/>
      <w:bookmarkStart w:id="694" w:name="_Toc8209370"/>
      <w:bookmarkStart w:id="695" w:name="_Toc8246393"/>
      <w:r w:rsidRPr="0050146A">
        <w:rPr>
          <w:rFonts w:hint="cs"/>
          <w:rtl/>
        </w:rPr>
        <w:t>דעת רבינו אפרים דדין חנ</w:t>
      </w:r>
      <w:r w:rsidRPr="0050146A">
        <w:rPr>
          <w:rtl/>
        </w:rPr>
        <w:t>"</w:t>
      </w:r>
      <w:r w:rsidRPr="0050146A">
        <w:rPr>
          <w:rFonts w:hint="cs"/>
          <w:rtl/>
        </w:rPr>
        <w:t>נ הוא רק בבשר וחלב</w:t>
      </w:r>
      <w:bookmarkEnd w:id="684"/>
      <w:bookmarkEnd w:id="685"/>
      <w:bookmarkEnd w:id="686"/>
      <w:bookmarkEnd w:id="687"/>
      <w:bookmarkEnd w:id="688"/>
      <w:bookmarkEnd w:id="689"/>
      <w:bookmarkEnd w:id="690"/>
      <w:bookmarkEnd w:id="691"/>
      <w:bookmarkEnd w:id="692"/>
      <w:bookmarkEnd w:id="693"/>
      <w:bookmarkEnd w:id="694"/>
      <w:bookmarkEnd w:id="695"/>
    </w:p>
    <w:p w:rsidR="008442F8" w:rsidRPr="0050146A" w:rsidRDefault="008442F8" w:rsidP="008442F8">
      <w:pPr>
        <w:pStyle w:val="a2"/>
        <w:rPr>
          <w:rtl/>
        </w:rPr>
      </w:pPr>
      <w:bookmarkStart w:id="696" w:name="_Toc8160749"/>
      <w:bookmarkStart w:id="697" w:name="_Toc8209233"/>
      <w:bookmarkStart w:id="698" w:name="_Toc8209371"/>
      <w:bookmarkStart w:id="699" w:name="_Toc8246394"/>
      <w:r w:rsidRPr="0050146A">
        <w:rPr>
          <w:rFonts w:hint="cs"/>
          <w:rtl/>
        </w:rPr>
        <w:t>דברי רבינו אפרים דרק הטעם שבחתיכה אוסר ובמין במינו לעולם יש משהו טעם שאוסר</w:t>
      </w:r>
      <w:bookmarkEnd w:id="696"/>
      <w:bookmarkEnd w:id="697"/>
      <w:bookmarkEnd w:id="698"/>
      <w:bookmarkEnd w:id="699"/>
    </w:p>
    <w:p w:rsidR="008442F8" w:rsidRPr="0050146A" w:rsidRDefault="008442F8" w:rsidP="009F44AF">
      <w:pPr>
        <w:pStyle w:val="a"/>
        <w:rPr>
          <w:rtl/>
        </w:rPr>
      </w:pPr>
      <w:r w:rsidRPr="0050146A">
        <w:rPr>
          <w:rFonts w:hint="cs"/>
          <w:rtl/>
        </w:rPr>
        <w:t xml:space="preserve">אך הביאו </w:t>
      </w:r>
      <w:r w:rsidRPr="0050146A">
        <w:rPr>
          <w:rStyle w:val="af8"/>
          <w:rFonts w:hint="cs"/>
          <w:rtl/>
        </w:rPr>
        <w:t>התוס' לקמן</w:t>
      </w:r>
      <w:r w:rsidRPr="0050146A">
        <w:rPr>
          <w:rFonts w:hint="cs"/>
          <w:rtl/>
        </w:rPr>
        <w:t xml:space="preserve"> את דעת </w:t>
      </w:r>
      <w:r w:rsidRPr="0050146A">
        <w:rPr>
          <w:rStyle w:val="af8"/>
          <w:rFonts w:hint="cs"/>
          <w:rtl/>
        </w:rPr>
        <w:t>רבינו אפרים</w:t>
      </w:r>
      <w:r w:rsidRPr="0050146A">
        <w:rPr>
          <w:rFonts w:hint="cs"/>
          <w:rtl/>
        </w:rPr>
        <w:t xml:space="preserve"> דכתב דמהא דאיתא בגמ' לקמן </w:t>
      </w:r>
      <w:r w:rsidRPr="0050146A">
        <w:rPr>
          <w:rStyle w:val="af6"/>
          <w:rFonts w:eastAsia="Guttman Hodes" w:hint="cs"/>
          <w:rtl/>
        </w:rPr>
        <w:t>(ק.)</w:t>
      </w:r>
      <w:r w:rsidRPr="0050146A">
        <w:rPr>
          <w:rFonts w:hint="cs"/>
          <w:rtl/>
        </w:rPr>
        <w:t xml:space="preserve"> דהחתיכה נעשית נבילה דוקא כשקיבלה טעם מחתיכת הנבילה, מוכח דאף כשקיבלה החתיכה טעם מהאיסור אין כולה נעשית נבילה, ואין צריך שישים של היתר כנגד כל חתיכת האיסור, אלא סגי בשישים כנגד האיסור שבלוע בחתיכה, ולכן במין במינו דאינו בטל, כיון שלא היה שישים בחתיכת ההיתר כנגד הנבילה, וחתיכת ההיתר קיבלה טעם מהאיסור, אף כשקדם וסילק את חתיכת הנבילה, עדיין חשיב שהאיסור נמצא בעין בקדירה, ולכן נאסרו שאר החתיכות מדין מין במינו במשהו.</w:t>
      </w:r>
    </w:p>
    <w:p w:rsidR="008442F8" w:rsidRPr="0050146A" w:rsidRDefault="008442F8" w:rsidP="008442F8">
      <w:pPr>
        <w:pStyle w:val="a2"/>
        <w:rPr>
          <w:rtl/>
        </w:rPr>
      </w:pPr>
      <w:bookmarkStart w:id="700" w:name="_Toc8160750"/>
      <w:bookmarkStart w:id="701" w:name="_Toc8209234"/>
      <w:bookmarkStart w:id="702" w:name="_Toc8209372"/>
      <w:bookmarkStart w:id="703" w:name="_Toc8246395"/>
      <w:r w:rsidRPr="0050146A">
        <w:rPr>
          <w:rFonts w:hint="cs"/>
          <w:rtl/>
        </w:rPr>
        <w:t>דברי רבינו אפרים דבמין במינו שנאסר במשהו אם סילק את האיסור דאינו בעין אין דין חנ</w:t>
      </w:r>
      <w:r w:rsidRPr="0050146A">
        <w:rPr>
          <w:rtl/>
        </w:rPr>
        <w:t>"</w:t>
      </w:r>
      <w:r w:rsidRPr="0050146A">
        <w:rPr>
          <w:rFonts w:hint="cs"/>
          <w:rtl/>
        </w:rPr>
        <w:t>נ</w:t>
      </w:r>
      <w:bookmarkEnd w:id="700"/>
      <w:bookmarkEnd w:id="701"/>
      <w:bookmarkEnd w:id="702"/>
      <w:bookmarkEnd w:id="703"/>
    </w:p>
    <w:p w:rsidR="008442F8" w:rsidRPr="0050146A" w:rsidRDefault="008442F8" w:rsidP="009F44AF">
      <w:pPr>
        <w:pStyle w:val="a"/>
        <w:rPr>
          <w:rtl/>
        </w:rPr>
      </w:pPr>
      <w:r w:rsidRPr="0050146A">
        <w:rPr>
          <w:rFonts w:hint="cs"/>
          <w:rtl/>
        </w:rPr>
        <w:t xml:space="preserve">אבל אם היה שישים בחתיכת ההיתר כנגד הנבילה, ונאסרה חתיכת ההיתר רק מדין מין במינו במשהו, כתבו </w:t>
      </w:r>
      <w:r w:rsidRPr="0050146A">
        <w:rPr>
          <w:rStyle w:val="af8"/>
          <w:rFonts w:hint="cs"/>
          <w:rtl/>
        </w:rPr>
        <w:t>התוס' לקמן</w:t>
      </w:r>
      <w:r w:rsidRPr="0050146A">
        <w:rPr>
          <w:rFonts w:hint="cs"/>
          <w:rtl/>
        </w:rPr>
        <w:t xml:space="preserve"> בשם </w:t>
      </w:r>
      <w:r w:rsidRPr="0050146A">
        <w:rPr>
          <w:rStyle w:val="af8"/>
          <w:rFonts w:hint="cs"/>
          <w:rtl/>
        </w:rPr>
        <w:t>רבינו אפרים</w:t>
      </w:r>
      <w:r w:rsidRPr="0050146A">
        <w:rPr>
          <w:rFonts w:hint="cs"/>
          <w:rtl/>
        </w:rPr>
        <w:t xml:space="preserve"> דאחר שסילק את הנבילה, אין החתיכה שנאסרה אוסרת את שאר החתיכות, דכיון שהיא לא קיבלה טעם מהאיסור לא חשיב כאילו האיסור בעין, וצריך שישים בהיתר רק כנגד פליטת הנבילה שיש בחתיכה שנאסרה.</w:t>
      </w:r>
    </w:p>
    <w:p w:rsidR="008442F8" w:rsidRPr="0050146A" w:rsidRDefault="008442F8" w:rsidP="008442F8">
      <w:pPr>
        <w:pStyle w:val="a2"/>
        <w:rPr>
          <w:rtl/>
        </w:rPr>
      </w:pPr>
      <w:bookmarkStart w:id="704" w:name="_Toc8160751"/>
      <w:bookmarkStart w:id="705" w:name="_Toc8209235"/>
      <w:bookmarkStart w:id="706" w:name="_Toc8209373"/>
      <w:bookmarkStart w:id="707" w:name="_Toc8246396"/>
      <w:r w:rsidRPr="0050146A">
        <w:rPr>
          <w:rFonts w:hint="cs"/>
          <w:rtl/>
        </w:rPr>
        <w:t>דברי רבינו אפרים דדין חנ</w:t>
      </w:r>
      <w:r w:rsidRPr="0050146A">
        <w:rPr>
          <w:rtl/>
        </w:rPr>
        <w:t>"</w:t>
      </w:r>
      <w:r w:rsidRPr="0050146A">
        <w:rPr>
          <w:rFonts w:hint="cs"/>
          <w:rtl/>
        </w:rPr>
        <w:t>נ הוא רק בבשר בחלב דהכל נעשה איסור והאיסור נמצא בעין</w:t>
      </w:r>
      <w:bookmarkEnd w:id="704"/>
      <w:bookmarkEnd w:id="705"/>
      <w:bookmarkEnd w:id="706"/>
      <w:bookmarkEnd w:id="707"/>
      <w:r w:rsidRPr="0050146A">
        <w:rPr>
          <w:rFonts w:hint="cs"/>
          <w:rtl/>
        </w:rPr>
        <w:t xml:space="preserve"> </w:t>
      </w:r>
    </w:p>
    <w:p w:rsidR="008442F8" w:rsidRPr="0050146A" w:rsidRDefault="008442F8" w:rsidP="009F44AF">
      <w:pPr>
        <w:pStyle w:val="a"/>
        <w:rPr>
          <w:rtl/>
        </w:rPr>
      </w:pPr>
      <w:bookmarkStart w:id="708" w:name="_Ref7603012"/>
      <w:r w:rsidRPr="0050146A">
        <w:rPr>
          <w:rFonts w:hint="cs"/>
          <w:rtl/>
        </w:rPr>
        <w:t xml:space="preserve">וכתבו </w:t>
      </w:r>
      <w:r w:rsidRPr="0050146A">
        <w:rPr>
          <w:rStyle w:val="af8"/>
          <w:rFonts w:hint="cs"/>
          <w:rtl/>
        </w:rPr>
        <w:t>התוס' לקמן</w:t>
      </w:r>
      <w:r w:rsidRPr="0050146A">
        <w:rPr>
          <w:rFonts w:hint="cs"/>
          <w:rtl/>
        </w:rPr>
        <w:t xml:space="preserve"> בשם </w:t>
      </w:r>
      <w:r w:rsidRPr="0050146A">
        <w:rPr>
          <w:rStyle w:val="af8"/>
          <w:rFonts w:hint="cs"/>
          <w:rtl/>
        </w:rPr>
        <w:t>רבינו אפרים</w:t>
      </w:r>
      <w:r w:rsidRPr="0050146A">
        <w:rPr>
          <w:rFonts w:hint="cs"/>
          <w:rtl/>
        </w:rPr>
        <w:t xml:space="preserve"> דדין חנ</w:t>
      </w:r>
      <w:r w:rsidRPr="0050146A">
        <w:rPr>
          <w:rtl/>
        </w:rPr>
        <w:t>"</w:t>
      </w:r>
      <w:r w:rsidRPr="0050146A">
        <w:rPr>
          <w:rFonts w:hint="cs"/>
          <w:rtl/>
        </w:rPr>
        <w:t xml:space="preserve">נ הוא רק בבשר וחלב, כדאיתא בגמ' לקמן </w:t>
      </w:r>
      <w:r w:rsidRPr="0050146A">
        <w:rPr>
          <w:rStyle w:val="af6"/>
          <w:rFonts w:eastAsia="Guttman Hodes" w:hint="cs"/>
          <w:rtl/>
        </w:rPr>
        <w:t>(קח.)</w:t>
      </w:r>
      <w:r w:rsidRPr="0050146A">
        <w:rPr>
          <w:rFonts w:hint="cs"/>
          <w:rtl/>
        </w:rPr>
        <w:t xml:space="preserve"> דטיפת חלב שנפלה על חתיכת בשר, ולא היה בחתיכה שישים כנגד טיפת החלב, דבכה"ג חתיכת הבשר נעשית כנבילה, וכשבשילה אם שאר החתיכות צריך שישים כנגדה, וביאר </w:t>
      </w:r>
      <w:r w:rsidRPr="0050146A">
        <w:rPr>
          <w:rStyle w:val="af8"/>
          <w:rFonts w:hint="cs"/>
          <w:rtl/>
        </w:rPr>
        <w:t>רבינו אפרים</w:t>
      </w:r>
      <w:r w:rsidRPr="0050146A">
        <w:rPr>
          <w:rFonts w:hint="cs"/>
          <w:rtl/>
        </w:rPr>
        <w:t xml:space="preserve"> דכיון דהבשר והחלב כ"א מהם מותר בפנ"ע, והאיסור שלהם הוא רק כשנתבשלו יחד, לכן אף הבשר עצמו שנתבשל עם החלב נעשה איסור, ולכן צריך שישים של היתר כנגד החתיכה שנאסרה ע"י טיפת החלב, אבל בבישל חתיכת היתר עם חתיכת נבילה, ונתנה הנבילה בה טעם ואסרתה, א"צ שישים של היתר כנגד החתיכה שנאסרה, ועיי"ש בדברי </w:t>
      </w:r>
      <w:r w:rsidRPr="0050146A">
        <w:rPr>
          <w:rStyle w:val="af8"/>
          <w:rFonts w:hint="cs"/>
          <w:rtl/>
        </w:rPr>
        <w:t>התוס' לקמן</w:t>
      </w:r>
      <w:r w:rsidRPr="0050146A">
        <w:rPr>
          <w:rFonts w:hint="cs"/>
          <w:rtl/>
        </w:rPr>
        <w:t xml:space="preserve"> במה שהאריכו בדברי </w:t>
      </w:r>
      <w:r w:rsidRPr="0050146A">
        <w:rPr>
          <w:rStyle w:val="af8"/>
          <w:rFonts w:hint="cs"/>
          <w:rtl/>
        </w:rPr>
        <w:t>רבינו אפרים</w:t>
      </w:r>
      <w:r w:rsidRPr="0050146A">
        <w:rPr>
          <w:rFonts w:hint="cs"/>
          <w:rtl/>
        </w:rPr>
        <w:t>.</w:t>
      </w:r>
      <w:bookmarkEnd w:id="708"/>
    </w:p>
    <w:p w:rsidR="008442F8" w:rsidRPr="0050146A" w:rsidRDefault="008442F8" w:rsidP="008442F8">
      <w:pPr>
        <w:pStyle w:val="1"/>
        <w:rPr>
          <w:rtl/>
        </w:rPr>
      </w:pPr>
      <w:bookmarkStart w:id="709" w:name="_Toc7614065"/>
      <w:bookmarkStart w:id="710" w:name="_Toc7711779"/>
      <w:bookmarkStart w:id="711" w:name="_Toc7724605"/>
      <w:bookmarkStart w:id="712" w:name="_Toc8069045"/>
      <w:bookmarkStart w:id="713" w:name="_Toc8069117"/>
      <w:bookmarkStart w:id="714" w:name="_Toc8106001"/>
      <w:bookmarkStart w:id="715" w:name="_Toc8117861"/>
      <w:bookmarkStart w:id="716" w:name="_Toc8122509"/>
      <w:bookmarkStart w:id="717" w:name="_Toc8142969"/>
      <w:bookmarkStart w:id="718" w:name="_Toc8160752"/>
      <w:bookmarkStart w:id="719" w:name="_Toc8209236"/>
      <w:bookmarkStart w:id="720" w:name="_Toc8209374"/>
      <w:bookmarkStart w:id="721" w:name="_Toc8246397"/>
      <w:r w:rsidRPr="0050146A">
        <w:rPr>
          <w:rFonts w:hint="cs"/>
          <w:rtl/>
        </w:rPr>
        <w:t>דעת הר"ן</w:t>
      </w:r>
      <w:bookmarkEnd w:id="709"/>
      <w:r w:rsidRPr="0050146A">
        <w:rPr>
          <w:rFonts w:hint="cs"/>
          <w:rtl/>
        </w:rPr>
        <w:t xml:space="preserve"> דבשאר איסורים חנ</w:t>
      </w:r>
      <w:r w:rsidRPr="0050146A">
        <w:rPr>
          <w:rtl/>
        </w:rPr>
        <w:t>"</w:t>
      </w:r>
      <w:r w:rsidRPr="0050146A">
        <w:rPr>
          <w:rFonts w:hint="cs"/>
          <w:rtl/>
        </w:rPr>
        <w:t>נ הוא מדרבנן ורק בדרך בישול</w:t>
      </w:r>
      <w:bookmarkEnd w:id="710"/>
      <w:bookmarkEnd w:id="711"/>
      <w:bookmarkEnd w:id="712"/>
      <w:bookmarkEnd w:id="713"/>
      <w:bookmarkEnd w:id="714"/>
      <w:bookmarkEnd w:id="715"/>
      <w:bookmarkEnd w:id="716"/>
      <w:bookmarkEnd w:id="717"/>
      <w:bookmarkEnd w:id="718"/>
      <w:bookmarkEnd w:id="719"/>
      <w:bookmarkEnd w:id="720"/>
      <w:bookmarkEnd w:id="721"/>
    </w:p>
    <w:p w:rsidR="008442F8" w:rsidRPr="0050146A" w:rsidRDefault="008442F8" w:rsidP="008442F8">
      <w:pPr>
        <w:pStyle w:val="a2"/>
        <w:rPr>
          <w:rtl/>
        </w:rPr>
      </w:pPr>
      <w:bookmarkStart w:id="722" w:name="_Toc8160753"/>
      <w:bookmarkStart w:id="723" w:name="_Toc8209237"/>
      <w:bookmarkStart w:id="724" w:name="_Toc8209375"/>
      <w:bookmarkStart w:id="725" w:name="_Toc8246398"/>
      <w:r w:rsidRPr="0050146A">
        <w:rPr>
          <w:rFonts w:hint="cs"/>
          <w:rtl/>
        </w:rPr>
        <w:t>דברי הר"ן דבבשר וחלב יש חנ</w:t>
      </w:r>
      <w:r w:rsidRPr="0050146A">
        <w:rPr>
          <w:rtl/>
        </w:rPr>
        <w:t>"</w:t>
      </w:r>
      <w:r w:rsidRPr="0050146A">
        <w:rPr>
          <w:rFonts w:hint="cs"/>
          <w:rtl/>
        </w:rPr>
        <w:t>נ מדאו' ובשאר איסורים אסרו רבנן חנ</w:t>
      </w:r>
      <w:r w:rsidRPr="0050146A">
        <w:rPr>
          <w:rtl/>
        </w:rPr>
        <w:t>"</w:t>
      </w:r>
      <w:r w:rsidRPr="0050146A">
        <w:rPr>
          <w:rFonts w:hint="cs"/>
          <w:rtl/>
        </w:rPr>
        <w:t>נ בדרך בישול אטו בשר בחלב</w:t>
      </w:r>
      <w:bookmarkEnd w:id="722"/>
      <w:bookmarkEnd w:id="723"/>
      <w:bookmarkEnd w:id="724"/>
      <w:bookmarkEnd w:id="725"/>
    </w:p>
    <w:p w:rsidR="008442F8" w:rsidRPr="0050146A" w:rsidRDefault="008442F8" w:rsidP="009F44AF">
      <w:pPr>
        <w:pStyle w:val="a"/>
        <w:rPr>
          <w:rtl/>
        </w:rPr>
      </w:pPr>
      <w:r w:rsidRPr="0050146A">
        <w:rPr>
          <w:rStyle w:val="af8"/>
          <w:rFonts w:hint="cs"/>
          <w:rtl/>
        </w:rPr>
        <w:t>והר"ן על הרי"ף לקמן</w:t>
      </w:r>
      <w:r w:rsidRPr="0050146A">
        <w:rPr>
          <w:rFonts w:hint="cs"/>
          <w:rtl/>
        </w:rPr>
        <w:t xml:space="preserve"> </w:t>
      </w:r>
      <w:r w:rsidRPr="0050146A">
        <w:rPr>
          <w:rStyle w:val="af6"/>
          <w:rFonts w:eastAsia="Guttman Hodes" w:hint="cs"/>
          <w:rtl/>
        </w:rPr>
        <w:t>(מד: מדפי הרי"ף)</w:t>
      </w:r>
      <w:r w:rsidRPr="0050146A">
        <w:rPr>
          <w:rFonts w:hint="cs"/>
          <w:rtl/>
        </w:rPr>
        <w:t xml:space="preserve"> כתב דבבשר וחלב דין חנ</w:t>
      </w:r>
      <w:r w:rsidRPr="0050146A">
        <w:rPr>
          <w:rtl/>
        </w:rPr>
        <w:t>"</w:t>
      </w:r>
      <w:r w:rsidRPr="0050146A">
        <w:rPr>
          <w:rFonts w:hint="cs"/>
          <w:rtl/>
        </w:rPr>
        <w:t>נ הוא מדאו', ובשאר איסורים דין חנ</w:t>
      </w:r>
      <w:r w:rsidRPr="0050146A">
        <w:rPr>
          <w:rtl/>
        </w:rPr>
        <w:t>"</w:t>
      </w:r>
      <w:r w:rsidRPr="0050146A">
        <w:rPr>
          <w:rFonts w:hint="cs"/>
          <w:rtl/>
        </w:rPr>
        <w:t xml:space="preserve">נ הוא מדרבנן דהשוו את דין שאר האיסורים לבשר וחלב, והוסיף </w:t>
      </w:r>
      <w:r w:rsidRPr="0050146A">
        <w:rPr>
          <w:rStyle w:val="af8"/>
          <w:rFonts w:hint="cs"/>
          <w:rtl/>
        </w:rPr>
        <w:t>הר"ן</w:t>
      </w:r>
      <w:r w:rsidRPr="0050146A">
        <w:rPr>
          <w:rFonts w:hint="cs"/>
          <w:rtl/>
        </w:rPr>
        <w:t xml:space="preserve"> דכיון דדין חנ</w:t>
      </w:r>
      <w:r w:rsidRPr="0050146A">
        <w:rPr>
          <w:rtl/>
        </w:rPr>
        <w:t>"</w:t>
      </w:r>
      <w:r w:rsidRPr="0050146A">
        <w:rPr>
          <w:rFonts w:hint="cs"/>
          <w:rtl/>
        </w:rPr>
        <w:t>נ בשאר האיסורים הוא מחמת לתא דבשר וחלב, לכן כל דין חנ</w:t>
      </w:r>
      <w:r w:rsidRPr="0050146A">
        <w:rPr>
          <w:rtl/>
        </w:rPr>
        <w:t>"</w:t>
      </w:r>
      <w:r w:rsidRPr="0050146A">
        <w:rPr>
          <w:rFonts w:hint="cs"/>
          <w:rtl/>
        </w:rPr>
        <w:t xml:space="preserve">נ הוא רק באיסור שנתבשל עם היתר דומיא דבשר וחלב, וכתב </w:t>
      </w:r>
      <w:r w:rsidRPr="0050146A">
        <w:rPr>
          <w:rStyle w:val="af8"/>
          <w:rFonts w:hint="cs"/>
          <w:rtl/>
        </w:rPr>
        <w:t>היד אברהם</w:t>
      </w:r>
      <w:r w:rsidRPr="0050146A">
        <w:rPr>
          <w:rFonts w:hint="cs"/>
          <w:rtl/>
        </w:rPr>
        <w:t xml:space="preserve"> </w:t>
      </w:r>
      <w:r w:rsidRPr="0050146A">
        <w:rPr>
          <w:rStyle w:val="af6"/>
          <w:rFonts w:eastAsia="Guttman Hodes" w:hint="cs"/>
          <w:rtl/>
        </w:rPr>
        <w:t>(סי' ק"ה ס"ח)</w:t>
      </w:r>
      <w:r w:rsidRPr="0050146A">
        <w:rPr>
          <w:rFonts w:hint="cs"/>
          <w:rtl/>
        </w:rPr>
        <w:t xml:space="preserve"> דלפי"ז במליחה בשאר האיסורים אין דין חנ</w:t>
      </w:r>
      <w:r w:rsidRPr="0050146A">
        <w:rPr>
          <w:rtl/>
        </w:rPr>
        <w:t>"</w:t>
      </w:r>
      <w:r w:rsidRPr="0050146A">
        <w:rPr>
          <w:rFonts w:hint="cs"/>
          <w:rtl/>
        </w:rPr>
        <w:t xml:space="preserve">נ, </w:t>
      </w:r>
      <w:r w:rsidRPr="0050146A">
        <w:rPr>
          <w:rStyle w:val="afa"/>
          <w:rFonts w:hint="cs"/>
          <w:rtl/>
        </w:rPr>
        <w:t xml:space="preserve">[ודלא כמבואר </w:t>
      </w:r>
      <w:r w:rsidRPr="0050146A">
        <w:rPr>
          <w:rStyle w:val="affa"/>
          <w:rFonts w:hint="cs"/>
          <w:rtl/>
        </w:rPr>
        <w:t>בתוס'</w:t>
      </w:r>
      <w:r w:rsidRPr="0050146A">
        <w:rPr>
          <w:rStyle w:val="afa"/>
          <w:rFonts w:hint="cs"/>
          <w:rtl/>
        </w:rPr>
        <w:t xml:space="preserve"> </w:t>
      </w:r>
      <w:r w:rsidRPr="0050146A">
        <w:rPr>
          <w:rStyle w:val="aff1"/>
          <w:rFonts w:hint="cs"/>
          <w:rtl/>
        </w:rPr>
        <w:t xml:space="preserve">(עי' אות </w:t>
      </w:r>
      <w:r w:rsidRPr="0050146A">
        <w:rPr>
          <w:rStyle w:val="aff1"/>
          <w:rtl/>
        </w:rPr>
        <w:fldChar w:fldCharType="begin"/>
      </w:r>
      <w:r w:rsidRPr="0050146A">
        <w:rPr>
          <w:rStyle w:val="aff1"/>
          <w:rtl/>
        </w:rPr>
        <w:instrText xml:space="preserve"> </w:instrText>
      </w:r>
      <w:r w:rsidRPr="0050146A">
        <w:rPr>
          <w:rStyle w:val="aff1"/>
          <w:rFonts w:hint="cs"/>
        </w:rPr>
        <w:instrText>REF</w:instrText>
      </w:r>
      <w:r w:rsidRPr="0050146A">
        <w:rPr>
          <w:rStyle w:val="aff1"/>
          <w:rFonts w:hint="cs"/>
          <w:rtl/>
        </w:rPr>
        <w:instrText xml:space="preserve"> _</w:instrText>
      </w:r>
      <w:r w:rsidRPr="0050146A">
        <w:rPr>
          <w:rStyle w:val="aff1"/>
          <w:rFonts w:hint="cs"/>
        </w:rPr>
        <w:instrText>Ref7614625 \r \h</w:instrText>
      </w:r>
      <w:r w:rsidRPr="0050146A">
        <w:rPr>
          <w:rStyle w:val="aff1"/>
          <w:rtl/>
        </w:rPr>
        <w:instrText xml:space="preserve">  \* </w:instrText>
      </w:r>
      <w:r w:rsidRPr="0050146A">
        <w:rPr>
          <w:rStyle w:val="aff1"/>
        </w:rPr>
        <w:instrText>MERGEFORMAT</w:instrText>
      </w:r>
      <w:r w:rsidRPr="0050146A">
        <w:rPr>
          <w:rStyle w:val="aff1"/>
          <w:rtl/>
        </w:rPr>
        <w:instrText xml:space="preserve"> </w:instrText>
      </w:r>
      <w:r w:rsidRPr="0050146A">
        <w:rPr>
          <w:rStyle w:val="aff1"/>
          <w:rtl/>
        </w:rPr>
      </w:r>
      <w:r w:rsidRPr="0050146A">
        <w:rPr>
          <w:rStyle w:val="aff1"/>
          <w:rtl/>
        </w:rPr>
        <w:fldChar w:fldCharType="separate"/>
      </w:r>
      <w:r w:rsidR="004D1C5B">
        <w:rPr>
          <w:rStyle w:val="aff1"/>
          <w:cs/>
        </w:rPr>
        <w:t>‎</w:t>
      </w:r>
      <w:r w:rsidR="004D1C5B">
        <w:rPr>
          <w:rStyle w:val="aff1"/>
          <w:rtl/>
        </w:rPr>
        <w:t>מה)</w:t>
      </w:r>
      <w:r w:rsidRPr="0050146A">
        <w:rPr>
          <w:rStyle w:val="aff1"/>
          <w:rtl/>
        </w:rPr>
        <w:fldChar w:fldCharType="end"/>
      </w:r>
      <w:r w:rsidRPr="0050146A">
        <w:rPr>
          <w:rStyle w:val="afa"/>
          <w:rFonts w:hint="cs"/>
          <w:rtl/>
        </w:rPr>
        <w:t>]</w:t>
      </w:r>
      <w:r w:rsidRPr="0050146A">
        <w:rPr>
          <w:rFonts w:hint="cs"/>
          <w:rtl/>
        </w:rPr>
        <w:t xml:space="preserve">. </w:t>
      </w:r>
    </w:p>
    <w:p w:rsidR="008442F8" w:rsidRPr="0050146A" w:rsidRDefault="008442F8" w:rsidP="00E669F8">
      <w:pPr>
        <w:pStyle w:val="afd"/>
        <w:rPr>
          <w:rtl/>
        </w:rPr>
      </w:pPr>
      <w:bookmarkStart w:id="726" w:name="_Toc7711780"/>
      <w:bookmarkStart w:id="727" w:name="_Toc7724606"/>
      <w:bookmarkStart w:id="728" w:name="_Toc8069046"/>
      <w:bookmarkStart w:id="729" w:name="_Toc8069118"/>
      <w:bookmarkStart w:id="730" w:name="_Toc8106002"/>
      <w:bookmarkStart w:id="731" w:name="_Toc8117862"/>
      <w:bookmarkStart w:id="732" w:name="_Toc8122510"/>
      <w:bookmarkStart w:id="733" w:name="_Toc8142970"/>
      <w:bookmarkStart w:id="734" w:name="_Toc8160754"/>
      <w:bookmarkStart w:id="735" w:name="_Toc8209238"/>
      <w:bookmarkStart w:id="736" w:name="_Toc8209376"/>
      <w:bookmarkStart w:id="737" w:name="_Toc8246399"/>
      <w:bookmarkStart w:id="738" w:name="_Toc7614066"/>
      <w:r w:rsidRPr="0050146A">
        <w:rPr>
          <w:rFonts w:hint="cs"/>
          <w:rtl/>
        </w:rPr>
        <w:t>בדין חנ</w:t>
      </w:r>
      <w:r w:rsidRPr="0050146A">
        <w:rPr>
          <w:rtl/>
        </w:rPr>
        <w:t>"</w:t>
      </w:r>
      <w:r w:rsidRPr="0050146A">
        <w:rPr>
          <w:rFonts w:hint="cs"/>
          <w:rtl/>
        </w:rPr>
        <w:t>נ בחתיכה שמקצתה ברוטב</w:t>
      </w:r>
      <w:bookmarkEnd w:id="726"/>
      <w:bookmarkEnd w:id="727"/>
      <w:bookmarkEnd w:id="728"/>
      <w:bookmarkEnd w:id="729"/>
      <w:bookmarkEnd w:id="730"/>
      <w:bookmarkEnd w:id="731"/>
      <w:bookmarkEnd w:id="732"/>
      <w:bookmarkEnd w:id="733"/>
      <w:bookmarkEnd w:id="734"/>
      <w:bookmarkEnd w:id="735"/>
      <w:bookmarkEnd w:id="736"/>
      <w:bookmarkEnd w:id="737"/>
    </w:p>
    <w:p w:rsidR="008442F8" w:rsidRPr="0050146A" w:rsidRDefault="008442F8" w:rsidP="008442F8">
      <w:pPr>
        <w:pStyle w:val="1"/>
        <w:rPr>
          <w:rtl/>
        </w:rPr>
      </w:pPr>
      <w:bookmarkStart w:id="739" w:name="_Toc7711781"/>
      <w:bookmarkStart w:id="740" w:name="_Toc7724607"/>
      <w:bookmarkStart w:id="741" w:name="_Toc8069047"/>
      <w:bookmarkStart w:id="742" w:name="_Toc8069119"/>
      <w:bookmarkStart w:id="743" w:name="_Toc8106003"/>
      <w:bookmarkStart w:id="744" w:name="_Toc8117863"/>
      <w:bookmarkStart w:id="745" w:name="_Toc8122511"/>
      <w:bookmarkStart w:id="746" w:name="_Toc8142971"/>
      <w:bookmarkStart w:id="747" w:name="_Toc8160755"/>
      <w:bookmarkStart w:id="748" w:name="_Toc8209239"/>
      <w:bookmarkStart w:id="749" w:name="_Toc8209377"/>
      <w:bookmarkStart w:id="750" w:name="_Toc8246400"/>
      <w:r w:rsidRPr="0050146A">
        <w:rPr>
          <w:rFonts w:hint="cs"/>
          <w:rtl/>
        </w:rPr>
        <w:t>דברי התוס' בשם רש"י דבמקצתה ברוטב הרוטב אינו מצטרף</w:t>
      </w:r>
      <w:bookmarkEnd w:id="739"/>
      <w:bookmarkEnd w:id="740"/>
      <w:bookmarkEnd w:id="741"/>
      <w:bookmarkEnd w:id="742"/>
      <w:bookmarkEnd w:id="743"/>
      <w:bookmarkEnd w:id="744"/>
      <w:bookmarkEnd w:id="745"/>
      <w:bookmarkEnd w:id="746"/>
      <w:bookmarkEnd w:id="747"/>
      <w:bookmarkEnd w:id="748"/>
      <w:bookmarkEnd w:id="749"/>
      <w:bookmarkEnd w:id="750"/>
    </w:p>
    <w:p w:rsidR="008442F8" w:rsidRPr="0050146A" w:rsidRDefault="008442F8" w:rsidP="008442F8">
      <w:pPr>
        <w:pStyle w:val="a2"/>
        <w:rPr>
          <w:rtl/>
        </w:rPr>
      </w:pPr>
      <w:bookmarkStart w:id="751" w:name="_Toc8160756"/>
      <w:bookmarkStart w:id="752" w:name="_Toc8209240"/>
      <w:bookmarkStart w:id="753" w:name="_Toc8209378"/>
      <w:bookmarkStart w:id="754" w:name="_Toc8246401"/>
      <w:r w:rsidRPr="0050146A">
        <w:rPr>
          <w:rFonts w:hint="cs"/>
          <w:rtl/>
        </w:rPr>
        <w:t>דברי התוס' דמבואר במתני' דהרוטב אינו מצטרף לירך לבטל את הגיד</w:t>
      </w:r>
      <w:bookmarkEnd w:id="751"/>
      <w:bookmarkEnd w:id="752"/>
      <w:bookmarkEnd w:id="753"/>
      <w:bookmarkEnd w:id="754"/>
    </w:p>
    <w:p w:rsidR="008442F8" w:rsidRPr="0050146A" w:rsidRDefault="008442F8" w:rsidP="009F44AF">
      <w:pPr>
        <w:pStyle w:val="a"/>
        <w:rPr>
          <w:rtl/>
        </w:rPr>
      </w:pPr>
      <w:r w:rsidRPr="0050146A">
        <w:rPr>
          <w:rFonts w:hint="cs"/>
          <w:rtl/>
        </w:rPr>
        <w:t xml:space="preserve">כתבו </w:t>
      </w:r>
      <w:r w:rsidRPr="0050146A">
        <w:rPr>
          <w:rStyle w:val="af8"/>
          <w:rFonts w:hint="cs"/>
          <w:rtl/>
        </w:rPr>
        <w:t>התוס'</w:t>
      </w:r>
      <w:r w:rsidRPr="0050146A">
        <w:rPr>
          <w:rFonts w:hint="cs"/>
          <w:rtl/>
        </w:rPr>
        <w:t xml:space="preserve"> </w:t>
      </w:r>
      <w:r w:rsidRPr="0050146A">
        <w:rPr>
          <w:rStyle w:val="af6"/>
          <w:rFonts w:eastAsia="Guttman Hodes" w:hint="cs"/>
          <w:rtl/>
        </w:rPr>
        <w:t>(ד"ה אם)</w:t>
      </w:r>
      <w:r w:rsidRPr="0050146A">
        <w:rPr>
          <w:rFonts w:hint="cs"/>
          <w:rtl/>
        </w:rPr>
        <w:t xml:space="preserve"> דמהא דתנן במתני' דאם יש בירך בנותן טעם היא אסורה, משמע דדוקא כשיש בירך עצמה שיעור שמבטל את הגיד היא מותרת, אבל הרוטב אינו מצטרף לירך לביטול, מדלא תנן במתני' דהנתינת טעם היא  בירך וברוטב.</w:t>
      </w:r>
    </w:p>
    <w:p w:rsidR="008442F8" w:rsidRPr="0050146A" w:rsidRDefault="008442F8" w:rsidP="008442F8">
      <w:pPr>
        <w:pStyle w:val="a2"/>
        <w:rPr>
          <w:rtl/>
        </w:rPr>
      </w:pPr>
      <w:bookmarkStart w:id="755" w:name="_Toc8160757"/>
      <w:bookmarkStart w:id="756" w:name="_Toc8209241"/>
      <w:bookmarkStart w:id="757" w:name="_Toc8209379"/>
      <w:bookmarkStart w:id="758" w:name="_Toc8246402"/>
      <w:r w:rsidRPr="0050146A">
        <w:rPr>
          <w:rFonts w:hint="cs"/>
          <w:rtl/>
        </w:rPr>
        <w:t>דברי רש"י לקמן דבניער וכיסה דהרתיחות מוליכות את האיסור בכל הקדירה אין חנ</w:t>
      </w:r>
      <w:r w:rsidRPr="0050146A">
        <w:rPr>
          <w:rtl/>
        </w:rPr>
        <w:t>"</w:t>
      </w:r>
      <w:r w:rsidRPr="0050146A">
        <w:rPr>
          <w:rFonts w:hint="cs"/>
          <w:rtl/>
        </w:rPr>
        <w:t>נ</w:t>
      </w:r>
      <w:bookmarkEnd w:id="755"/>
      <w:bookmarkEnd w:id="756"/>
      <w:bookmarkEnd w:id="757"/>
      <w:bookmarkEnd w:id="758"/>
    </w:p>
    <w:p w:rsidR="008442F8" w:rsidRPr="0050146A" w:rsidRDefault="008442F8" w:rsidP="009F44AF">
      <w:pPr>
        <w:pStyle w:val="a"/>
        <w:rPr>
          <w:rtl/>
        </w:rPr>
      </w:pPr>
      <w:bookmarkStart w:id="759" w:name="_Ref8159198"/>
      <w:r w:rsidRPr="0050146A">
        <w:rPr>
          <w:rFonts w:hint="cs"/>
          <w:rtl/>
        </w:rPr>
        <w:t xml:space="preserve">והביאו </w:t>
      </w:r>
      <w:r w:rsidRPr="0050146A">
        <w:rPr>
          <w:rStyle w:val="af8"/>
          <w:rFonts w:hint="cs"/>
          <w:rtl/>
        </w:rPr>
        <w:t xml:space="preserve">התוס' </w:t>
      </w:r>
      <w:r w:rsidRPr="0050146A">
        <w:rPr>
          <w:rFonts w:hint="cs"/>
          <w:rtl/>
        </w:rPr>
        <w:t xml:space="preserve">את דברי הגמ' לקמן </w:t>
      </w:r>
      <w:r w:rsidRPr="0050146A">
        <w:rPr>
          <w:rStyle w:val="af6"/>
          <w:rFonts w:eastAsia="Guttman Hodes" w:hint="cs"/>
          <w:rtl/>
        </w:rPr>
        <w:t>(קח.)</w:t>
      </w:r>
      <w:r w:rsidRPr="0050146A">
        <w:rPr>
          <w:rFonts w:hint="cs"/>
          <w:rtl/>
        </w:rPr>
        <w:t xml:space="preserve"> דטיפת חלב שנפלה על חתיכת בשר בתוך קדירה, ואין בחתיכה שישים כנגד הטיפה, דהחתיכה נעשית נבילה, והיינו דוקא כשלא ניער וכיסה את הקדירה, אבל בניער וכיסה משערים בכל הקדירה ולא רק בחתיכה,  והביאו </w:t>
      </w:r>
      <w:r w:rsidRPr="0050146A">
        <w:rPr>
          <w:rStyle w:val="af8"/>
          <w:rFonts w:hint="cs"/>
          <w:rtl/>
        </w:rPr>
        <w:t>התוס' דרש"י לקמן</w:t>
      </w:r>
      <w:r w:rsidRPr="0050146A">
        <w:rPr>
          <w:rFonts w:hint="cs"/>
          <w:rtl/>
        </w:rPr>
        <w:t xml:space="preserve"> ביאר דכשניער את הקדירה, הוא מוליך בזה את הטיפה בכל הקדירה, ולכן כל מה שיש בקדירה מסייע לבטל את טיפת החלב, ולא רק החתיכה לבדה צריכה לבטל את הטיפה, וכן כשכיסה את הקדירה, הרתיחות עולות משולי הקדירה לפי הקדירה, ומוליכות את טיפת החלב בכל הקדירה, ולכן כל  מה שבקדירה מסייע לבטל את טיפת החלב.</w:t>
      </w:r>
      <w:bookmarkEnd w:id="759"/>
    </w:p>
    <w:p w:rsidR="008442F8" w:rsidRPr="0050146A" w:rsidRDefault="008442F8" w:rsidP="008442F8">
      <w:pPr>
        <w:pStyle w:val="a2"/>
        <w:rPr>
          <w:rtl/>
        </w:rPr>
      </w:pPr>
      <w:bookmarkStart w:id="760" w:name="_Toc8160758"/>
      <w:bookmarkStart w:id="761" w:name="_Toc8209242"/>
      <w:bookmarkStart w:id="762" w:name="_Toc8209380"/>
      <w:bookmarkStart w:id="763" w:name="_Toc8246403"/>
      <w:r w:rsidRPr="0050146A">
        <w:rPr>
          <w:rFonts w:hint="cs"/>
          <w:rtl/>
        </w:rPr>
        <w:t>דברי התוס' דמבואר ברש"י לקמן דחתיכה שמקצתה ברוטב הרוטב לא מסייע לבטל בלא ניער וכיסה</w:t>
      </w:r>
      <w:bookmarkEnd w:id="760"/>
      <w:bookmarkEnd w:id="761"/>
      <w:bookmarkEnd w:id="762"/>
      <w:bookmarkEnd w:id="763"/>
    </w:p>
    <w:p w:rsidR="008442F8" w:rsidRPr="0050146A" w:rsidRDefault="008442F8" w:rsidP="009F44AF">
      <w:pPr>
        <w:pStyle w:val="a"/>
        <w:rPr>
          <w:rtl/>
        </w:rPr>
      </w:pPr>
      <w:bookmarkStart w:id="764" w:name="_Ref8227961"/>
      <w:r w:rsidRPr="0050146A">
        <w:rPr>
          <w:rFonts w:hint="cs"/>
          <w:rtl/>
        </w:rPr>
        <w:t xml:space="preserve">וכתבו </w:t>
      </w:r>
      <w:r w:rsidRPr="0050146A">
        <w:rPr>
          <w:rStyle w:val="af8"/>
          <w:rFonts w:hint="cs"/>
          <w:rtl/>
        </w:rPr>
        <w:t>התוס'</w:t>
      </w:r>
      <w:r w:rsidRPr="0050146A">
        <w:rPr>
          <w:rFonts w:hint="cs"/>
          <w:rtl/>
        </w:rPr>
        <w:t xml:space="preserve"> דמשמע מדברי </w:t>
      </w:r>
      <w:r w:rsidRPr="0050146A">
        <w:rPr>
          <w:rStyle w:val="af8"/>
          <w:rFonts w:hint="cs"/>
          <w:rtl/>
        </w:rPr>
        <w:t xml:space="preserve">רש"י לקמן </w:t>
      </w:r>
      <w:r w:rsidRPr="0050146A">
        <w:rPr>
          <w:rFonts w:hint="cs"/>
          <w:rtl/>
        </w:rPr>
        <w:t xml:space="preserve">דאף אם החתיכה שנפלה עליה הטיפה, מקצתה בתוך הרוטב, ג"כ אין הרוטב ושאר החתיכות מסייעים לבטל את טיפת החלב אם לא ניער וכיסה, וכתבו </w:t>
      </w:r>
      <w:r w:rsidRPr="0050146A">
        <w:rPr>
          <w:rStyle w:val="af8"/>
          <w:rFonts w:hint="cs"/>
          <w:rtl/>
        </w:rPr>
        <w:t>התוס'</w:t>
      </w:r>
      <w:r w:rsidRPr="0050146A">
        <w:rPr>
          <w:rFonts w:hint="cs"/>
          <w:rtl/>
        </w:rPr>
        <w:t xml:space="preserve"> דלפי"ז בגיד בירך ג"כ איירי שלא ניער וכיסה, ולכן אין הרוטב ושאר החתיכות מסייעים לירך לבטל את הגיד, ועי' בדברי </w:t>
      </w:r>
      <w:r w:rsidRPr="0050146A">
        <w:rPr>
          <w:rStyle w:val="af8"/>
          <w:rFonts w:hint="cs"/>
          <w:rtl/>
        </w:rPr>
        <w:t>האבהא"ז</w:t>
      </w:r>
      <w:r w:rsidRPr="0050146A">
        <w:rPr>
          <w:rFonts w:hint="cs"/>
          <w:rtl/>
        </w:rPr>
        <w:t xml:space="preserve"> </w:t>
      </w:r>
      <w:r w:rsidRPr="0050146A">
        <w:rPr>
          <w:rStyle w:val="af6"/>
          <w:rFonts w:eastAsia="Guttman Hodes" w:hint="cs"/>
          <w:rtl/>
        </w:rPr>
        <w:t>(מאכ"א פ"ט סוף ה"ט ד"ה אכן דעת רש"י)</w:t>
      </w:r>
      <w:r w:rsidRPr="0050146A">
        <w:rPr>
          <w:rFonts w:hint="cs"/>
          <w:rtl/>
        </w:rPr>
        <w:t xml:space="preserve"> במ"ש בביאור דברי </w:t>
      </w:r>
      <w:r w:rsidRPr="0050146A">
        <w:rPr>
          <w:rStyle w:val="af8"/>
          <w:rFonts w:hint="cs"/>
          <w:rtl/>
        </w:rPr>
        <w:t>רש"י</w:t>
      </w:r>
      <w:r w:rsidRPr="0050146A">
        <w:rPr>
          <w:rFonts w:hint="cs"/>
          <w:rtl/>
        </w:rPr>
        <w:t>.</w:t>
      </w:r>
      <w:bookmarkEnd w:id="764"/>
    </w:p>
    <w:p w:rsidR="008442F8" w:rsidRPr="0050146A" w:rsidRDefault="008442F8" w:rsidP="008442F8">
      <w:pPr>
        <w:pStyle w:val="a2"/>
        <w:rPr>
          <w:rtl/>
        </w:rPr>
      </w:pPr>
      <w:bookmarkStart w:id="765" w:name="_Toc8160759"/>
      <w:bookmarkStart w:id="766" w:name="_Toc8209243"/>
      <w:bookmarkStart w:id="767" w:name="_Toc8209381"/>
      <w:bookmarkStart w:id="768" w:name="_Toc8246404"/>
      <w:r w:rsidRPr="0050146A">
        <w:rPr>
          <w:rFonts w:hint="cs"/>
          <w:rtl/>
        </w:rPr>
        <w:t>ביאור המהרש"א בתוס' דמשמע ברש"י דדוק</w:t>
      </w:r>
      <w:bookmarkEnd w:id="765"/>
      <w:bookmarkEnd w:id="766"/>
      <w:bookmarkEnd w:id="767"/>
      <w:r w:rsidRPr="0050146A">
        <w:rPr>
          <w:rFonts w:hint="cs"/>
          <w:rtl/>
        </w:rPr>
        <w:t>א כשהרתיחות עולות לפי הקדירה ומכסות הכל</w:t>
      </w:r>
      <w:bookmarkEnd w:id="768"/>
    </w:p>
    <w:p w:rsidR="008442F8" w:rsidRPr="0050146A" w:rsidRDefault="008442F8" w:rsidP="009F44AF">
      <w:pPr>
        <w:pStyle w:val="a"/>
        <w:rPr>
          <w:rtl/>
        </w:rPr>
      </w:pPr>
      <w:r w:rsidRPr="0050146A">
        <w:rPr>
          <w:rFonts w:hint="cs"/>
          <w:rtl/>
        </w:rPr>
        <w:t xml:space="preserve">וביאר </w:t>
      </w:r>
      <w:r w:rsidRPr="0050146A">
        <w:rPr>
          <w:rStyle w:val="af8"/>
          <w:rFonts w:hint="cs"/>
          <w:rtl/>
        </w:rPr>
        <w:t>המהרש"א</w:t>
      </w:r>
      <w:r w:rsidRPr="0050146A">
        <w:rPr>
          <w:rFonts w:hint="cs"/>
          <w:rtl/>
        </w:rPr>
        <w:t xml:space="preserve"> </w:t>
      </w:r>
      <w:r w:rsidRPr="0050146A">
        <w:rPr>
          <w:rStyle w:val="af6"/>
          <w:rFonts w:eastAsia="Guttman Hodes" w:hint="cs"/>
          <w:rtl/>
        </w:rPr>
        <w:t>(ד"ה בא"ד משמע)</w:t>
      </w:r>
      <w:r w:rsidRPr="0050146A">
        <w:rPr>
          <w:rFonts w:hint="cs"/>
          <w:rtl/>
        </w:rPr>
        <w:t xml:space="preserve"> </w:t>
      </w:r>
      <w:r w:rsidRPr="0050146A">
        <w:rPr>
          <w:rStyle w:val="af8"/>
          <w:rFonts w:hint="cs"/>
          <w:rtl/>
        </w:rPr>
        <w:t>דהתוס'</w:t>
      </w:r>
      <w:r w:rsidRPr="0050146A">
        <w:rPr>
          <w:rFonts w:hint="cs"/>
          <w:rtl/>
        </w:rPr>
        <w:t xml:space="preserve"> דייקו כן מדכתב </w:t>
      </w:r>
      <w:r w:rsidRPr="0050146A">
        <w:rPr>
          <w:rStyle w:val="af8"/>
          <w:rFonts w:hint="cs"/>
          <w:rtl/>
        </w:rPr>
        <w:t>רש"י לקמן</w:t>
      </w:r>
      <w:r w:rsidRPr="0050146A">
        <w:rPr>
          <w:rFonts w:hint="cs"/>
          <w:rtl/>
        </w:rPr>
        <w:t xml:space="preserve"> דבכיסה הרתיחות עולות משולי הקדירה לפי הקדירה, ומשמע דלא סגי במה שהרתיחות עולות על מקצת החתיכה, וצריך שיעלו לפי הקדירה.</w:t>
      </w:r>
    </w:p>
    <w:p w:rsidR="008442F8" w:rsidRPr="0050146A" w:rsidRDefault="008442F8" w:rsidP="008442F8">
      <w:pPr>
        <w:pStyle w:val="a2"/>
        <w:rPr>
          <w:rtl/>
        </w:rPr>
      </w:pPr>
      <w:bookmarkStart w:id="769" w:name="_Toc8160760"/>
      <w:bookmarkStart w:id="770" w:name="_Toc8209244"/>
      <w:bookmarkStart w:id="771" w:name="_Toc8209382"/>
      <w:bookmarkStart w:id="772" w:name="_Toc8246405"/>
      <w:r w:rsidRPr="0050146A">
        <w:rPr>
          <w:rFonts w:hint="cs"/>
          <w:rtl/>
        </w:rPr>
        <w:t>דברי הב"י דמדכתב רש"י דנתנה טעם בחתיכה שבצדה תמיד משמע דיש חנ</w:t>
      </w:r>
      <w:r w:rsidRPr="0050146A">
        <w:rPr>
          <w:rtl/>
        </w:rPr>
        <w:t>"</w:t>
      </w:r>
      <w:r w:rsidRPr="0050146A">
        <w:rPr>
          <w:rFonts w:hint="cs"/>
          <w:rtl/>
        </w:rPr>
        <w:t>נ במקצתה ברוטב</w:t>
      </w:r>
      <w:bookmarkEnd w:id="769"/>
      <w:bookmarkEnd w:id="770"/>
      <w:bookmarkEnd w:id="771"/>
      <w:bookmarkEnd w:id="772"/>
    </w:p>
    <w:p w:rsidR="008442F8" w:rsidRPr="0050146A" w:rsidRDefault="008442F8" w:rsidP="009F44AF">
      <w:pPr>
        <w:pStyle w:val="a"/>
        <w:rPr>
          <w:rtl/>
        </w:rPr>
      </w:pPr>
      <w:r w:rsidRPr="0050146A">
        <w:rPr>
          <w:rFonts w:hint="cs"/>
          <w:rtl/>
        </w:rPr>
        <w:t xml:space="preserve">כתב </w:t>
      </w:r>
      <w:r w:rsidRPr="0050146A">
        <w:rPr>
          <w:rStyle w:val="af8"/>
          <w:rFonts w:hint="cs"/>
          <w:rtl/>
        </w:rPr>
        <w:t>הטור</w:t>
      </w:r>
      <w:r w:rsidRPr="0050146A">
        <w:rPr>
          <w:rFonts w:hint="cs"/>
          <w:rtl/>
        </w:rPr>
        <w:t xml:space="preserve"> </w:t>
      </w:r>
      <w:r w:rsidRPr="0050146A">
        <w:rPr>
          <w:rStyle w:val="af6"/>
          <w:rFonts w:eastAsia="Guttman Hodes" w:hint="cs"/>
          <w:rtl/>
        </w:rPr>
        <w:t>(סי' צ"ב ב')</w:t>
      </w:r>
      <w:r w:rsidRPr="0050146A">
        <w:rPr>
          <w:rFonts w:hint="cs"/>
          <w:rtl/>
        </w:rPr>
        <w:t xml:space="preserve"> דלדעת </w:t>
      </w:r>
      <w:r w:rsidRPr="0050146A">
        <w:rPr>
          <w:rStyle w:val="af8"/>
          <w:rFonts w:hint="cs"/>
          <w:rtl/>
        </w:rPr>
        <w:t>רש"י</w:t>
      </w:r>
      <w:r w:rsidRPr="0050146A">
        <w:rPr>
          <w:rFonts w:hint="cs"/>
          <w:rtl/>
        </w:rPr>
        <w:t xml:space="preserve"> אף כשמקצת החתיכה בתוך הרוטב, הרוטב אינו מצטרף לבטל את טיפת החלב, אא"כ ניער וכיסה, </w:t>
      </w:r>
      <w:bookmarkStart w:id="773" w:name="_Toc7711782"/>
      <w:bookmarkStart w:id="774" w:name="_Toc7724608"/>
      <w:bookmarkStart w:id="775" w:name="_Toc8069048"/>
      <w:bookmarkStart w:id="776" w:name="_Toc8069120"/>
      <w:bookmarkStart w:id="777" w:name="_Toc8106004"/>
      <w:bookmarkStart w:id="778" w:name="_Toc8117864"/>
      <w:bookmarkStart w:id="779" w:name="_Toc8122512"/>
      <w:bookmarkStart w:id="780" w:name="_Toc8142972"/>
      <w:r w:rsidRPr="0050146A">
        <w:rPr>
          <w:rFonts w:hint="cs"/>
          <w:rtl/>
        </w:rPr>
        <w:t xml:space="preserve">וכתב </w:t>
      </w:r>
      <w:r w:rsidRPr="0050146A">
        <w:rPr>
          <w:rStyle w:val="af8"/>
          <w:rFonts w:hint="cs"/>
          <w:rtl/>
        </w:rPr>
        <w:t>הב"י</w:t>
      </w:r>
      <w:r w:rsidRPr="0050146A">
        <w:rPr>
          <w:rFonts w:hint="cs"/>
          <w:rtl/>
        </w:rPr>
        <w:t xml:space="preserve"> </w:t>
      </w:r>
      <w:r w:rsidRPr="0050146A">
        <w:rPr>
          <w:rStyle w:val="af6"/>
          <w:rFonts w:eastAsia="Guttman Hodes" w:hint="cs"/>
          <w:rtl/>
        </w:rPr>
        <w:t>(סי צ"ב ב')</w:t>
      </w:r>
      <w:r w:rsidRPr="0050146A">
        <w:rPr>
          <w:rFonts w:hint="cs"/>
          <w:rtl/>
        </w:rPr>
        <w:t xml:space="preserve"> דאינו מבואר כ"כ בדברי </w:t>
      </w:r>
      <w:r w:rsidRPr="0050146A">
        <w:rPr>
          <w:rStyle w:val="af8"/>
          <w:rFonts w:hint="cs"/>
          <w:rtl/>
        </w:rPr>
        <w:t>רש"י</w:t>
      </w:r>
      <w:r w:rsidRPr="0050146A">
        <w:rPr>
          <w:rFonts w:hint="cs"/>
          <w:rtl/>
        </w:rPr>
        <w:t xml:space="preserve">, אלא שכן משמע מדברי  </w:t>
      </w:r>
      <w:r w:rsidRPr="0050146A">
        <w:rPr>
          <w:rStyle w:val="af8"/>
          <w:rFonts w:hint="cs"/>
          <w:rtl/>
        </w:rPr>
        <w:t>רש"י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Ref8227915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דלא כתב דדין חנ</w:t>
      </w:r>
      <w:r w:rsidRPr="0050146A">
        <w:rPr>
          <w:rtl/>
        </w:rPr>
        <w:t>"</w:t>
      </w:r>
      <w:r w:rsidRPr="0050146A">
        <w:rPr>
          <w:rFonts w:hint="cs"/>
          <w:rtl/>
        </w:rPr>
        <w:t>נ הוא דוקא במקום שכל החתיכה היא מחוץ לרוטב, אלא כתב דחתיכת האיסור נתנה טעם בחתיכה אחת של היתר שהיתה בצדה תמיד, ומשמע דמקצת החתיכה בתוך הרוטב, דאי דין חנ</w:t>
      </w:r>
      <w:r w:rsidRPr="0050146A">
        <w:rPr>
          <w:rtl/>
        </w:rPr>
        <w:t>"</w:t>
      </w:r>
      <w:r w:rsidRPr="0050146A">
        <w:rPr>
          <w:rFonts w:hint="cs"/>
          <w:rtl/>
        </w:rPr>
        <w:t xml:space="preserve">נ הוא דוקא כשכולה מחוץ לרוטב, היה </w:t>
      </w:r>
      <w:r w:rsidRPr="0050146A">
        <w:rPr>
          <w:rStyle w:val="af8"/>
          <w:rFonts w:hint="cs"/>
          <w:rtl/>
        </w:rPr>
        <w:t>לרש"י</w:t>
      </w:r>
      <w:r w:rsidRPr="0050146A">
        <w:rPr>
          <w:rFonts w:hint="cs"/>
          <w:rtl/>
        </w:rPr>
        <w:t xml:space="preserve"> לומר כן בפירוש, וכן אי ס"ל </w:t>
      </w:r>
      <w:r w:rsidRPr="0050146A">
        <w:rPr>
          <w:rStyle w:val="af8"/>
          <w:rFonts w:hint="cs"/>
          <w:rtl/>
        </w:rPr>
        <w:t xml:space="preserve">כהתוס' </w:t>
      </w:r>
      <w:r w:rsidRPr="0050146A">
        <w:rPr>
          <w:rFonts w:hint="cs"/>
          <w:rtl/>
        </w:rPr>
        <w:t xml:space="preserve">דכשמקצתה בתוך הרוטב, הרוטב מצטרף לבטל את האיסור, לא </w:t>
      </w:r>
      <w:r w:rsidRPr="0050146A">
        <w:rPr>
          <w:rFonts w:hint="cs"/>
          <w:rtl/>
        </w:rPr>
        <w:lastRenderedPageBreak/>
        <w:t xml:space="preserve">היה </w:t>
      </w:r>
      <w:r w:rsidRPr="0050146A">
        <w:rPr>
          <w:rStyle w:val="af8"/>
          <w:rFonts w:hint="cs"/>
          <w:rtl/>
        </w:rPr>
        <w:t>לרש"י</w:t>
      </w:r>
      <w:r w:rsidRPr="0050146A">
        <w:rPr>
          <w:rFonts w:hint="cs"/>
          <w:rtl/>
        </w:rPr>
        <w:t xml:space="preserve"> להזכיר דוקא את החתיכה הזו שנמצאת בצד חתיכת האיסור, וכתב </w:t>
      </w:r>
      <w:r w:rsidRPr="0050146A">
        <w:rPr>
          <w:rStyle w:val="af8"/>
          <w:rFonts w:hint="cs"/>
          <w:rtl/>
        </w:rPr>
        <w:t>הב"י</w:t>
      </w:r>
      <w:r w:rsidRPr="0050146A">
        <w:rPr>
          <w:rFonts w:hint="cs"/>
          <w:rtl/>
        </w:rPr>
        <w:t xml:space="preserve"> דמבואר מדברי </w:t>
      </w:r>
      <w:r w:rsidRPr="0050146A">
        <w:rPr>
          <w:rStyle w:val="af8"/>
          <w:rFonts w:hint="cs"/>
          <w:rtl/>
        </w:rPr>
        <w:t>רש"י</w:t>
      </w:r>
      <w:r w:rsidRPr="0050146A">
        <w:rPr>
          <w:rFonts w:hint="cs"/>
          <w:rtl/>
        </w:rPr>
        <w:t xml:space="preserve"> דכיון דהאיסור נגע בחלק החתיכה שמחוץ לרוטב, לכן אף שמקצתה האחר הוא בתוך הרוטב, הרוטב אינו מצטרף לבטל. </w:t>
      </w:r>
      <w:r w:rsidRPr="0050146A">
        <w:rPr>
          <w:rStyle w:val="afa"/>
          <w:rFonts w:hint="cs"/>
          <w:rtl/>
        </w:rPr>
        <w:t xml:space="preserve">[ועוד הביא </w:t>
      </w:r>
      <w:r w:rsidRPr="0050146A">
        <w:rPr>
          <w:rStyle w:val="affa"/>
          <w:rFonts w:hint="cs"/>
          <w:rtl/>
        </w:rPr>
        <w:t>הב"י</w:t>
      </w:r>
      <w:r w:rsidRPr="0050146A">
        <w:rPr>
          <w:rStyle w:val="afa"/>
          <w:rFonts w:hint="cs"/>
          <w:rtl/>
        </w:rPr>
        <w:t xml:space="preserve"> את דברי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Ref8227961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w:t>
      </w:r>
      <w:r w:rsidRPr="0050146A">
        <w:rPr>
          <w:rStyle w:val="aff6"/>
          <w:rtl/>
        </w:rPr>
        <w:fldChar w:fldCharType="end"/>
      </w:r>
      <w:r w:rsidRPr="0050146A">
        <w:rPr>
          <w:rStyle w:val="aff6"/>
          <w:rFonts w:hint="cs"/>
          <w:rtl/>
        </w:rPr>
        <w:t xml:space="preserve"> </w:t>
      </w:r>
      <w:r w:rsidRPr="0050146A">
        <w:rPr>
          <w:rStyle w:val="afa"/>
          <w:rFonts w:hint="cs"/>
          <w:rtl/>
        </w:rPr>
        <w:t xml:space="preserve">דלמדו כן מדברי </w:t>
      </w:r>
      <w:r w:rsidRPr="0050146A">
        <w:rPr>
          <w:rStyle w:val="affa"/>
          <w:rFonts w:hint="cs"/>
          <w:rtl/>
        </w:rPr>
        <w:t>רש"י</w:t>
      </w:r>
      <w:r w:rsidRPr="0050146A">
        <w:rPr>
          <w:rStyle w:val="afa"/>
          <w:rFonts w:hint="cs"/>
          <w:rtl/>
        </w:rPr>
        <w:t xml:space="preserve"> בניער וכיסה],</w:t>
      </w:r>
      <w:r w:rsidRPr="0050146A">
        <w:rPr>
          <w:rFonts w:hint="cs"/>
          <w:rtl/>
        </w:rPr>
        <w:t xml:space="preserve"> ועי' במ"ש </w:t>
      </w:r>
      <w:r w:rsidRPr="0050146A">
        <w:rPr>
          <w:rStyle w:val="af8"/>
          <w:rFonts w:hint="cs"/>
          <w:rtl/>
        </w:rPr>
        <w:t>הב"ח</w:t>
      </w:r>
      <w:r w:rsidRPr="0050146A">
        <w:rPr>
          <w:rFonts w:hint="cs"/>
          <w:rtl/>
        </w:rPr>
        <w:t xml:space="preserve"> </w:t>
      </w:r>
      <w:r w:rsidRPr="0050146A">
        <w:rPr>
          <w:rStyle w:val="af6"/>
          <w:rFonts w:eastAsia="Guttman Hodes" w:hint="cs"/>
          <w:rtl/>
        </w:rPr>
        <w:t>(סי' צ"ב ד')</w:t>
      </w:r>
      <w:r w:rsidRPr="0050146A">
        <w:rPr>
          <w:rFonts w:hint="cs"/>
          <w:rtl/>
        </w:rPr>
        <w:t>.</w:t>
      </w:r>
    </w:p>
    <w:p w:rsidR="008442F8" w:rsidRPr="0050146A" w:rsidRDefault="008442F8" w:rsidP="008442F8">
      <w:pPr>
        <w:pStyle w:val="1"/>
        <w:rPr>
          <w:rtl/>
        </w:rPr>
      </w:pPr>
      <w:bookmarkStart w:id="781" w:name="_Toc8160761"/>
      <w:bookmarkStart w:id="782" w:name="_Toc8209245"/>
      <w:bookmarkStart w:id="783" w:name="_Toc8209383"/>
      <w:bookmarkStart w:id="784" w:name="_Toc8246406"/>
      <w:r w:rsidRPr="0050146A">
        <w:rPr>
          <w:rFonts w:hint="cs"/>
          <w:rtl/>
        </w:rPr>
        <w:t>דעת התוס' דבמקצתה ברוטב הרוטב מצטרף לבטל</w:t>
      </w:r>
      <w:bookmarkEnd w:id="773"/>
      <w:bookmarkEnd w:id="774"/>
      <w:bookmarkEnd w:id="775"/>
      <w:bookmarkEnd w:id="776"/>
      <w:bookmarkEnd w:id="777"/>
      <w:bookmarkEnd w:id="778"/>
      <w:bookmarkEnd w:id="779"/>
      <w:bookmarkEnd w:id="780"/>
      <w:bookmarkEnd w:id="781"/>
      <w:bookmarkEnd w:id="782"/>
      <w:bookmarkEnd w:id="783"/>
      <w:bookmarkEnd w:id="784"/>
    </w:p>
    <w:p w:rsidR="008442F8" w:rsidRPr="0050146A" w:rsidRDefault="008442F8" w:rsidP="008442F8">
      <w:pPr>
        <w:pStyle w:val="a2"/>
        <w:rPr>
          <w:rtl/>
        </w:rPr>
      </w:pPr>
      <w:bookmarkStart w:id="785" w:name="_Toc8160762"/>
      <w:bookmarkStart w:id="786" w:name="_Toc8209246"/>
      <w:bookmarkStart w:id="787" w:name="_Toc8209384"/>
      <w:bookmarkStart w:id="788" w:name="_Toc8246407"/>
      <w:r w:rsidRPr="0050146A">
        <w:rPr>
          <w:rFonts w:hint="cs"/>
          <w:rtl/>
        </w:rPr>
        <w:t>דעת ר"י בתוס' דבמקצתה ברוטב הרוטב מסייע לבטל ודין חנ</w:t>
      </w:r>
      <w:r w:rsidRPr="0050146A">
        <w:rPr>
          <w:rtl/>
        </w:rPr>
        <w:t>"</w:t>
      </w:r>
      <w:r w:rsidRPr="0050146A">
        <w:rPr>
          <w:rFonts w:hint="cs"/>
          <w:rtl/>
        </w:rPr>
        <w:t>נ הוא רק בכולה מחוץ לרוטב</w:t>
      </w:r>
      <w:bookmarkEnd w:id="785"/>
      <w:bookmarkEnd w:id="786"/>
      <w:bookmarkEnd w:id="787"/>
      <w:bookmarkEnd w:id="788"/>
    </w:p>
    <w:p w:rsidR="008442F8" w:rsidRPr="0050146A" w:rsidRDefault="008442F8" w:rsidP="009F44AF">
      <w:pPr>
        <w:pStyle w:val="a"/>
        <w:rPr>
          <w:rtl/>
        </w:rPr>
      </w:pPr>
      <w:bookmarkStart w:id="789" w:name="_Ref8725364"/>
      <w:r w:rsidRPr="0050146A">
        <w:rPr>
          <w:rFonts w:hint="cs"/>
          <w:rtl/>
        </w:rPr>
        <w:t xml:space="preserve">אבל </w:t>
      </w:r>
      <w:r w:rsidRPr="0050146A">
        <w:rPr>
          <w:rStyle w:val="af8"/>
          <w:rFonts w:hint="cs"/>
          <w:rtl/>
        </w:rPr>
        <w:t xml:space="preserve">ר"י בתוס' </w:t>
      </w:r>
      <w:r w:rsidRPr="0050146A">
        <w:rPr>
          <w:rStyle w:val="af6"/>
          <w:rFonts w:eastAsia="Guttman Hodes" w:hint="cs"/>
          <w:rtl/>
        </w:rPr>
        <w:t>(ד"ה אם, לקמן קח. ד"ה טיפת)</w:t>
      </w:r>
      <w:r w:rsidRPr="0050146A">
        <w:rPr>
          <w:rFonts w:hint="cs"/>
          <w:rtl/>
        </w:rPr>
        <w:t xml:space="preserve"> כתב דאף אם  רק מקצת מהחתיכה שנפלה עליה הטיפה נמצאת בתוך הרוטב, הרוטב מסייע לחתיכה לבטל את הטיפה, אף כשלא ניער וכיסה, והא דאיתא בגמ' לקמן </w:t>
      </w:r>
      <w:r w:rsidRPr="0050146A">
        <w:rPr>
          <w:rStyle w:val="af6"/>
          <w:rFonts w:eastAsia="Guttman Hodes" w:hint="cs"/>
          <w:rtl/>
        </w:rPr>
        <w:t>(קח.)</w:t>
      </w:r>
      <w:r w:rsidRPr="0050146A">
        <w:rPr>
          <w:rFonts w:hint="cs"/>
          <w:rtl/>
        </w:rPr>
        <w:t xml:space="preserve"> דבלא ניער וכיסה הרוטב אינו מסייע לבטל את הטיפת חלב, היינו דוקא כשכל החתיכה נמצאת מחוץ לרוטב, דבכה"ג הטיפה מתפשטת בכל הקדירה רק בניער וכיסה, והוסיף </w:t>
      </w:r>
      <w:r w:rsidRPr="0050146A">
        <w:rPr>
          <w:rStyle w:val="af8"/>
          <w:rFonts w:hint="cs"/>
          <w:rtl/>
        </w:rPr>
        <w:t xml:space="preserve">ר"י בתוס' </w:t>
      </w:r>
      <w:r w:rsidRPr="0050146A">
        <w:rPr>
          <w:rFonts w:hint="cs"/>
          <w:rtl/>
        </w:rPr>
        <w:t>דהגמ' לקמן יכולה לחלק בין מקום שמקצת החתיכה בתוך הרוטב למקום שכולה מחוץ לרוטב, אלא דהגמ' נקטה ניער וכיסה, כיון דבניער וכיסה בכל האופנים הרוטב מכסה את כל החתיכות, גם אם החתיכה שנפלה עליה טיפת החלב הייתה מחוץ לרוטב.</w:t>
      </w:r>
      <w:bookmarkEnd w:id="789"/>
    </w:p>
    <w:p w:rsidR="008442F8" w:rsidRPr="0050146A" w:rsidRDefault="008442F8" w:rsidP="008442F8">
      <w:pPr>
        <w:pStyle w:val="a2"/>
      </w:pPr>
      <w:bookmarkStart w:id="790" w:name="_Toc8160763"/>
      <w:bookmarkStart w:id="791" w:name="_Toc8209247"/>
      <w:bookmarkStart w:id="792" w:name="_Toc8209385"/>
      <w:bookmarkStart w:id="793" w:name="_Toc8246408"/>
      <w:r w:rsidRPr="0050146A">
        <w:rPr>
          <w:rFonts w:hint="cs"/>
          <w:rtl/>
        </w:rPr>
        <w:t>ביאור התוס' הרא"ש דרק כשכולה מחוץ לרוטב אין האיסור מפעפע מחתיכה לחתיכה</w:t>
      </w:r>
      <w:bookmarkEnd w:id="790"/>
      <w:bookmarkEnd w:id="791"/>
      <w:bookmarkEnd w:id="792"/>
      <w:bookmarkEnd w:id="793"/>
    </w:p>
    <w:p w:rsidR="008442F8" w:rsidRPr="0050146A" w:rsidRDefault="008442F8" w:rsidP="009F44AF">
      <w:pPr>
        <w:pStyle w:val="a"/>
        <w:rPr>
          <w:rtl/>
        </w:rPr>
      </w:pPr>
      <w:r w:rsidRPr="0050146A">
        <w:rPr>
          <w:rFonts w:hint="cs"/>
          <w:rtl/>
        </w:rPr>
        <w:t xml:space="preserve">וביאר </w:t>
      </w:r>
      <w:r w:rsidRPr="0050146A">
        <w:rPr>
          <w:rStyle w:val="af8"/>
          <w:rFonts w:hint="cs"/>
          <w:rtl/>
        </w:rPr>
        <w:t xml:space="preserve">התוס' הרא"ש </w:t>
      </w:r>
      <w:r w:rsidRPr="0050146A">
        <w:rPr>
          <w:rStyle w:val="af6"/>
          <w:rFonts w:eastAsia="Guttman Hodes" w:hint="cs"/>
          <w:rtl/>
        </w:rPr>
        <w:t xml:space="preserve">(ד"ה ירך) </w:t>
      </w:r>
      <w:r w:rsidRPr="0050146A">
        <w:rPr>
          <w:rFonts w:hint="cs"/>
          <w:rtl/>
        </w:rPr>
        <w:t xml:space="preserve">בשם </w:t>
      </w:r>
      <w:r w:rsidRPr="0050146A">
        <w:rPr>
          <w:rStyle w:val="af8"/>
          <w:rFonts w:hint="cs"/>
          <w:rtl/>
        </w:rPr>
        <w:t xml:space="preserve">ר"י </w:t>
      </w:r>
      <w:r w:rsidRPr="0050146A">
        <w:rPr>
          <w:rFonts w:hint="cs"/>
          <w:rtl/>
        </w:rPr>
        <w:t xml:space="preserve">דכשמקצת החתיכה בתוך הרוטב, מתפשט טעם החלב בכל מה שבקדירה, ולכן אף בלא ניער וכיסה, כל מה שבקדירה מסייע לבטל את טיפת החלב, אבל כשכל החתיכה מחוץ לרוטב, והיא מונחת על החתיכות האחרות שמקצתן בתוך הרוטב ומקצתן מחוץ לרוטב, טעם החלב אינו מתפשט ואינו מפעפע מחתיכה לחתיכה, אא"כ ניער וכיסה, וע"ע בדברי </w:t>
      </w:r>
      <w:r w:rsidRPr="0050146A">
        <w:rPr>
          <w:rStyle w:val="af8"/>
          <w:rFonts w:hint="cs"/>
          <w:rtl/>
        </w:rPr>
        <w:t>המרדכי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Ref8725433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50146A">
        <w:rPr>
          <w:rStyle w:val="af6"/>
          <w:rFonts w:eastAsia="Guttman Hodes"/>
          <w:rtl/>
        </w:rPr>
        <w:fldChar w:fldCharType="end"/>
      </w:r>
      <w:r w:rsidRPr="0050146A">
        <w:rPr>
          <w:rFonts w:hint="cs"/>
          <w:rtl/>
        </w:rPr>
        <w:t xml:space="preserve"> </w:t>
      </w:r>
      <w:r w:rsidRPr="0050146A">
        <w:rPr>
          <w:rStyle w:val="af8"/>
          <w:rFonts w:hint="cs"/>
          <w:rtl/>
        </w:rPr>
        <w:t>ורבינו פרץ</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Ref8725446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50146A">
        <w:rPr>
          <w:rStyle w:val="af6"/>
          <w:rFonts w:eastAsia="Guttman Hodes"/>
          <w:rtl/>
        </w:rPr>
        <w:fldChar w:fldCharType="end"/>
      </w:r>
      <w:r w:rsidRPr="0050146A">
        <w:rPr>
          <w:rFonts w:hint="cs"/>
          <w:rtl/>
        </w:rPr>
        <w:t>.</w:t>
      </w:r>
    </w:p>
    <w:p w:rsidR="008442F8" w:rsidRPr="0050146A" w:rsidRDefault="008442F8" w:rsidP="008442F8">
      <w:pPr>
        <w:pStyle w:val="a2"/>
        <w:rPr>
          <w:rtl/>
        </w:rPr>
      </w:pPr>
      <w:bookmarkStart w:id="794" w:name="_Toc8160764"/>
      <w:bookmarkStart w:id="795" w:name="_Toc8209248"/>
      <w:bookmarkStart w:id="796" w:name="_Toc8209386"/>
      <w:bookmarkStart w:id="797" w:name="_Toc8246409"/>
      <w:r w:rsidRPr="0050146A">
        <w:rPr>
          <w:rFonts w:hint="cs"/>
          <w:rtl/>
        </w:rPr>
        <w:t>דברי ר"י בתוס' דהא דגיד אוסר את הירך הוא רק כשאין בירך וברוטב שישים לבטל את הגיד</w:t>
      </w:r>
      <w:bookmarkEnd w:id="794"/>
      <w:bookmarkEnd w:id="795"/>
      <w:bookmarkEnd w:id="796"/>
      <w:bookmarkEnd w:id="797"/>
    </w:p>
    <w:p w:rsidR="008442F8" w:rsidRPr="0050146A" w:rsidRDefault="008442F8" w:rsidP="009F44AF">
      <w:pPr>
        <w:pStyle w:val="a"/>
        <w:rPr>
          <w:rtl/>
        </w:rPr>
      </w:pPr>
      <w:r w:rsidRPr="0050146A">
        <w:rPr>
          <w:rFonts w:hint="cs"/>
          <w:rtl/>
        </w:rPr>
        <w:t>וכתב ר</w:t>
      </w:r>
      <w:r w:rsidRPr="0050146A">
        <w:rPr>
          <w:rStyle w:val="af8"/>
          <w:rFonts w:hint="cs"/>
          <w:rtl/>
        </w:rPr>
        <w:t xml:space="preserve">"י בתוס' </w:t>
      </w:r>
      <w:r w:rsidRPr="0050146A">
        <w:rPr>
          <w:rFonts w:hint="cs"/>
          <w:rtl/>
        </w:rPr>
        <w:t>דלפי"ז הא דתנן במתני' דהירך אסורה אם יש בה נתינת טעם מהגיד, היינו במקום שאין בירך והרוטב יחד שישים לבטל את הטעם של הגיד.</w:t>
      </w:r>
    </w:p>
    <w:p w:rsidR="008442F8" w:rsidRPr="0050146A" w:rsidRDefault="008442F8" w:rsidP="008442F8">
      <w:pPr>
        <w:pStyle w:val="1"/>
        <w:rPr>
          <w:rtl/>
        </w:rPr>
      </w:pPr>
      <w:r w:rsidRPr="0050146A">
        <w:rPr>
          <w:rFonts w:hint="cs"/>
          <w:rtl/>
        </w:rPr>
        <w:t>ביאורי הגרעק"א והפרמ"ג בדין הירך בכולה חוץ לרוטב</w:t>
      </w:r>
    </w:p>
    <w:p w:rsidR="008442F8" w:rsidRPr="0050146A" w:rsidRDefault="008442F8" w:rsidP="008442F8">
      <w:pPr>
        <w:pStyle w:val="a2"/>
        <w:rPr>
          <w:rtl/>
        </w:rPr>
      </w:pPr>
      <w:r w:rsidRPr="0050146A">
        <w:rPr>
          <w:rFonts w:hint="cs"/>
          <w:rtl/>
        </w:rPr>
        <w:t>קושית הגרעק"א דאף לדעת תוס' אפשר להעמיד דבמתני' משערים רק בירך דכולה חוץ לרוטב</w:t>
      </w:r>
    </w:p>
    <w:p w:rsidR="008442F8" w:rsidRPr="0050146A" w:rsidRDefault="008442F8" w:rsidP="009F44AF">
      <w:pPr>
        <w:pStyle w:val="a"/>
        <w:rPr>
          <w:rtl/>
        </w:rPr>
      </w:pPr>
      <w:bookmarkStart w:id="798" w:name="_Toc8069050"/>
      <w:bookmarkStart w:id="799" w:name="_Toc8069122"/>
      <w:bookmarkStart w:id="800" w:name="_Toc8106006"/>
      <w:bookmarkStart w:id="801" w:name="_Toc8117866"/>
      <w:bookmarkStart w:id="802" w:name="_Toc8122514"/>
      <w:bookmarkStart w:id="803" w:name="_Toc8142974"/>
      <w:bookmarkStart w:id="804" w:name="_Toc8160767"/>
      <w:bookmarkStart w:id="805" w:name="_Toc8209251"/>
      <w:bookmarkStart w:id="806" w:name="_Toc8209389"/>
      <w:bookmarkStart w:id="807" w:name="_Toc8246411"/>
      <w:r w:rsidRPr="0050146A">
        <w:rPr>
          <w:rFonts w:hint="cs"/>
          <w:rtl/>
        </w:rPr>
        <w:t xml:space="preserve">כתב </w:t>
      </w:r>
      <w:r w:rsidRPr="0050146A">
        <w:rPr>
          <w:rStyle w:val="af8"/>
          <w:rFonts w:hint="cs"/>
          <w:rtl/>
        </w:rPr>
        <w:t>הגרעק"א</w:t>
      </w:r>
      <w:r w:rsidRPr="0050146A">
        <w:rPr>
          <w:rFonts w:hint="cs"/>
          <w:rtl/>
        </w:rPr>
        <w:t xml:space="preserve"> </w:t>
      </w:r>
      <w:r w:rsidRPr="0050146A">
        <w:rPr>
          <w:rStyle w:val="af6"/>
          <w:rFonts w:eastAsia="Guttman Hodes" w:hint="cs"/>
          <w:rtl/>
        </w:rPr>
        <w:t>(ד"ה בא"ד דלרש"י)</w:t>
      </w:r>
      <w:r w:rsidRPr="0050146A">
        <w:rPr>
          <w:rFonts w:hint="cs"/>
          <w:rtl/>
        </w:rPr>
        <w:t xml:space="preserve"> דמבואר </w:t>
      </w:r>
      <w:r w:rsidRPr="0050146A">
        <w:rPr>
          <w:rStyle w:val="af8"/>
          <w:rFonts w:hint="cs"/>
          <w:rtl/>
        </w:rPr>
        <w:t>בתוס'</w:t>
      </w:r>
      <w:r w:rsidRPr="0050146A">
        <w:rPr>
          <w:rFonts w:hint="cs"/>
          <w:rtl/>
        </w:rPr>
        <w:t xml:space="preserve"> דלדעת </w:t>
      </w:r>
      <w:r w:rsidRPr="0050146A">
        <w:rPr>
          <w:rStyle w:val="af8"/>
          <w:rFonts w:hint="cs"/>
          <w:rtl/>
        </w:rPr>
        <w:t>רש"י</w:t>
      </w:r>
      <w:r w:rsidRPr="0050146A">
        <w:rPr>
          <w:rFonts w:hint="cs"/>
          <w:rtl/>
        </w:rPr>
        <w:t xml:space="preserve"> לשון מתני' "אם יש בה" הוא בדוקא, דמשערים רק בירך והרוטב אינו מצטרף, ולדעת </w:t>
      </w:r>
      <w:r w:rsidRPr="0050146A">
        <w:rPr>
          <w:rStyle w:val="af8"/>
          <w:rFonts w:hint="cs"/>
          <w:rtl/>
        </w:rPr>
        <w:t>ר"י</w:t>
      </w:r>
      <w:r w:rsidRPr="0050146A">
        <w:rPr>
          <w:rFonts w:hint="cs"/>
          <w:rtl/>
        </w:rPr>
        <w:t xml:space="preserve"> לשון המשנה הוא לאו דוקא, ואף אם חצי מהירך הוא מחוץ לרוטב, מ"מ הרוטב מצטרף לבטל את הגיד, והקשה </w:t>
      </w:r>
      <w:r w:rsidRPr="0050146A">
        <w:rPr>
          <w:rStyle w:val="af8"/>
          <w:rFonts w:hint="cs"/>
          <w:rtl/>
        </w:rPr>
        <w:t>הגרעק"א</w:t>
      </w:r>
      <w:r w:rsidRPr="0050146A">
        <w:rPr>
          <w:rFonts w:hint="cs"/>
          <w:rtl/>
        </w:rPr>
        <w:t xml:space="preserve"> דאף לדעת </w:t>
      </w:r>
      <w:r w:rsidRPr="0050146A">
        <w:rPr>
          <w:rStyle w:val="af8"/>
          <w:rFonts w:hint="cs"/>
          <w:rtl/>
        </w:rPr>
        <w:t>ר"י</w:t>
      </w:r>
      <w:r w:rsidRPr="0050146A">
        <w:rPr>
          <w:rFonts w:hint="cs"/>
          <w:rtl/>
        </w:rPr>
        <w:t xml:space="preserve"> אפשר לפרש דלשון מתני' "אם יש בה" הוא בדוקא, ואיירי במתני' כשכל הירך מחוץ לרוטב, דאף </w:t>
      </w:r>
      <w:r w:rsidRPr="0050146A">
        <w:rPr>
          <w:rStyle w:val="af8"/>
          <w:rFonts w:hint="cs"/>
          <w:rtl/>
        </w:rPr>
        <w:t>ר"י</w:t>
      </w:r>
      <w:r w:rsidRPr="0050146A">
        <w:rPr>
          <w:rFonts w:hint="cs"/>
          <w:rtl/>
        </w:rPr>
        <w:t xml:space="preserve"> מודה דבכה"ג הרוטב אינו מצטרף, וע"ע במ"ש </w:t>
      </w:r>
      <w:r w:rsidRPr="0050146A">
        <w:rPr>
          <w:rStyle w:val="af8"/>
          <w:rFonts w:hint="cs"/>
          <w:rtl/>
        </w:rPr>
        <w:t>הצל"ח</w:t>
      </w:r>
      <w:r w:rsidRPr="0050146A">
        <w:rPr>
          <w:rFonts w:hint="cs"/>
          <w:rtl/>
        </w:rPr>
        <w:t xml:space="preserve"> </w:t>
      </w:r>
      <w:r w:rsidRPr="0050146A">
        <w:rPr>
          <w:rStyle w:val="af6"/>
          <w:rFonts w:eastAsia="Guttman Hodes" w:hint="cs"/>
          <w:rtl/>
        </w:rPr>
        <w:t>(ד"ה ובזה נלע"ד לתרץ)</w:t>
      </w:r>
      <w:r w:rsidRPr="0050146A">
        <w:rPr>
          <w:rFonts w:hint="cs"/>
          <w:rtl/>
        </w:rPr>
        <w:t>.</w:t>
      </w:r>
    </w:p>
    <w:p w:rsidR="008442F8" w:rsidRPr="0050146A" w:rsidRDefault="008442F8" w:rsidP="008442F8">
      <w:pPr>
        <w:pStyle w:val="a2"/>
        <w:rPr>
          <w:rtl/>
        </w:rPr>
      </w:pPr>
      <w:r w:rsidRPr="0050146A">
        <w:rPr>
          <w:rFonts w:hint="cs"/>
          <w:rtl/>
        </w:rPr>
        <w:t>תירוץ הגרעק"א דבכולה חוץ לרוטב הגיד אוסר רק כדי קליפה ומוכח דמתני' איירי במקצתה ברוטב</w:t>
      </w:r>
    </w:p>
    <w:p w:rsidR="008442F8" w:rsidRPr="0050146A" w:rsidRDefault="008442F8" w:rsidP="009F44AF">
      <w:pPr>
        <w:pStyle w:val="a"/>
        <w:rPr>
          <w:rtl/>
        </w:rPr>
      </w:pPr>
      <w:r w:rsidRPr="0050146A">
        <w:rPr>
          <w:rFonts w:hint="cs"/>
          <w:rtl/>
        </w:rPr>
        <w:t xml:space="preserve">ותירץ </w:t>
      </w:r>
      <w:r w:rsidRPr="0050146A">
        <w:rPr>
          <w:rStyle w:val="af8"/>
          <w:rFonts w:hint="cs"/>
          <w:rtl/>
        </w:rPr>
        <w:t>הגרעק"א</w:t>
      </w:r>
      <w:r w:rsidRPr="0050146A">
        <w:rPr>
          <w:rFonts w:hint="cs"/>
          <w:rtl/>
        </w:rPr>
        <w:t xml:space="preserve"> דס"ל ל</w:t>
      </w:r>
      <w:r w:rsidRPr="0050146A">
        <w:rPr>
          <w:rStyle w:val="af8"/>
          <w:rFonts w:hint="cs"/>
          <w:rtl/>
        </w:rPr>
        <w:t>התוס'</w:t>
      </w:r>
      <w:r w:rsidRPr="0050146A">
        <w:rPr>
          <w:rFonts w:hint="cs"/>
          <w:rtl/>
        </w:rPr>
        <w:t xml:space="preserve"> דמוכח במתני' דלא איירי שהירך מחוץ לרוטב, דאי כל הירך מחוץ לרוטב דינה כצליה ולא כבישול, והגיד אוסר בזה רק כדי קליפה, וא"כ מדתנן דמשערים בבשר ולפת, מוכח דאיירי שהירך חציה מחוץ לרוטב, </w:t>
      </w:r>
      <w:r w:rsidRPr="0050146A">
        <w:rPr>
          <w:rStyle w:val="afa"/>
          <w:rFonts w:hint="cs"/>
          <w:rtl/>
        </w:rPr>
        <w:t xml:space="preserve">[והוסיף </w:t>
      </w:r>
      <w:r w:rsidRPr="0050146A">
        <w:rPr>
          <w:rStyle w:val="affa"/>
          <w:rFonts w:hint="cs"/>
          <w:rtl/>
        </w:rPr>
        <w:t>הגרעק"א</w:t>
      </w:r>
      <w:r w:rsidRPr="0050146A">
        <w:rPr>
          <w:rStyle w:val="afa"/>
          <w:rFonts w:hint="cs"/>
          <w:rtl/>
        </w:rPr>
        <w:t xml:space="preserve"> דאף דבטיפת חלב שנפלה ע"ג החתיכה, אמרינן דאף שהחתיכה כולה מחוץ לרוטב, מ"מ אין דינה כצלי דשהחתיכה היא בתוך הקדירה ההבל מושך אותה לכל החתיכה, משא"כ בגיד שאינו איסור לח, דאין כח בהבל של הקדירה למשוך את האיסור לכל החתיכה ודינו כצלי, וכעי"ז כתב </w:t>
      </w:r>
      <w:r w:rsidRPr="0050146A">
        <w:rPr>
          <w:rStyle w:val="affa"/>
          <w:rFonts w:hint="cs"/>
          <w:rtl/>
        </w:rPr>
        <w:t>הנוב"י</w:t>
      </w:r>
      <w:r w:rsidRPr="0050146A">
        <w:rPr>
          <w:rStyle w:val="afa"/>
          <w:rFonts w:hint="cs"/>
          <w:rtl/>
        </w:rPr>
        <w:t xml:space="preserve"> </w:t>
      </w:r>
      <w:r w:rsidRPr="0050146A">
        <w:rPr>
          <w:rStyle w:val="aff6"/>
          <w:rFonts w:hint="cs"/>
          <w:rtl/>
        </w:rPr>
        <w:t>(מהדו"ק יו"ד סי' כ"ה)</w:t>
      </w:r>
      <w:r w:rsidRPr="0050146A">
        <w:rPr>
          <w:rStyle w:val="afa"/>
          <w:rFonts w:hint="cs"/>
          <w:rtl/>
        </w:rPr>
        <w:t>],</w:t>
      </w:r>
      <w:r w:rsidRPr="0050146A">
        <w:rPr>
          <w:rFonts w:hint="cs"/>
          <w:rtl/>
        </w:rPr>
        <w:t xml:space="preserve"> ועיי"ש במה שתירץ </w:t>
      </w:r>
      <w:r w:rsidRPr="0050146A">
        <w:rPr>
          <w:rStyle w:val="af8"/>
          <w:rFonts w:hint="cs"/>
          <w:rtl/>
        </w:rPr>
        <w:t>הגרעק"א</w:t>
      </w:r>
      <w:r w:rsidRPr="0050146A">
        <w:rPr>
          <w:rFonts w:hint="cs"/>
          <w:rtl/>
        </w:rPr>
        <w:t xml:space="preserve"> לפי"ז את קושית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Ref8333486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50146A">
        <w:rPr>
          <w:rStyle w:val="af6"/>
          <w:rFonts w:eastAsia="Guttman Hodes"/>
          <w:rtl/>
        </w:rPr>
        <w:fldChar w:fldCharType="end"/>
      </w:r>
      <w:r w:rsidRPr="0050146A">
        <w:rPr>
          <w:rFonts w:hint="cs"/>
          <w:rtl/>
        </w:rPr>
        <w:t>.</w:t>
      </w:r>
    </w:p>
    <w:p w:rsidR="008442F8" w:rsidRPr="0050146A" w:rsidRDefault="008442F8" w:rsidP="008442F8">
      <w:pPr>
        <w:pStyle w:val="a2"/>
        <w:rPr>
          <w:rtl/>
        </w:rPr>
      </w:pPr>
      <w:bookmarkStart w:id="808" w:name="_Toc8160765"/>
      <w:bookmarkStart w:id="809" w:name="_Toc8209249"/>
      <w:bookmarkStart w:id="810" w:name="_Toc8209387"/>
      <w:bookmarkStart w:id="811" w:name="_Toc8246410"/>
      <w:bookmarkStart w:id="812" w:name="_Toc8209284"/>
      <w:bookmarkStart w:id="813" w:name="_Toc8209422"/>
      <w:bookmarkStart w:id="814" w:name="_Toc8246444"/>
      <w:r w:rsidRPr="0050146A">
        <w:rPr>
          <w:rFonts w:hint="cs"/>
          <w:rtl/>
        </w:rPr>
        <w:t>דברי הפרמ"ג דבכולה חוץ לרוטב לרש"י אסור רק בכדי נטילה ולתוס' צ"ל דקדירה אינה כצלי</w:t>
      </w:r>
      <w:bookmarkEnd w:id="808"/>
      <w:bookmarkEnd w:id="809"/>
      <w:bookmarkEnd w:id="810"/>
      <w:bookmarkEnd w:id="811"/>
    </w:p>
    <w:p w:rsidR="008442F8" w:rsidRPr="0050146A" w:rsidRDefault="008442F8" w:rsidP="009F44AF">
      <w:pPr>
        <w:pStyle w:val="a"/>
        <w:rPr>
          <w:rtl/>
        </w:rPr>
      </w:pPr>
      <w:r w:rsidRPr="0050146A">
        <w:rPr>
          <w:rFonts w:hint="cs"/>
          <w:rtl/>
        </w:rPr>
        <w:t xml:space="preserve">וכתב </w:t>
      </w:r>
      <w:r w:rsidRPr="0050146A">
        <w:rPr>
          <w:rStyle w:val="af8"/>
          <w:rFonts w:hint="cs"/>
          <w:rtl/>
        </w:rPr>
        <w:t xml:space="preserve">הפרמ"ג </w:t>
      </w:r>
      <w:r w:rsidRPr="0050146A">
        <w:rPr>
          <w:rStyle w:val="af6"/>
          <w:rFonts w:eastAsia="Guttman Hodes" w:hint="cs"/>
          <w:rtl/>
        </w:rPr>
        <w:t>(סי' צ"ב משב"ז סק"ג)</w:t>
      </w:r>
      <w:r w:rsidRPr="0050146A">
        <w:rPr>
          <w:rFonts w:hint="cs"/>
          <w:rtl/>
        </w:rPr>
        <w:t xml:space="preserve"> דלדעת </w:t>
      </w:r>
      <w:r w:rsidRPr="0050146A">
        <w:rPr>
          <w:rStyle w:val="af8"/>
          <w:rFonts w:hint="cs"/>
          <w:rtl/>
        </w:rPr>
        <w:t xml:space="preserve">רש"י </w:t>
      </w:r>
      <w:r w:rsidRPr="0050146A">
        <w:rPr>
          <w:rFonts w:hint="cs"/>
          <w:rtl/>
        </w:rPr>
        <w:t xml:space="preserve">בכולה חוץ לרוטב, היא אוסרת רק בכדי נטילה, </w:t>
      </w:r>
      <w:r w:rsidRPr="0050146A">
        <w:rPr>
          <w:rStyle w:val="af8"/>
          <w:rFonts w:hint="cs"/>
          <w:rtl/>
        </w:rPr>
        <w:t>והתוס'</w:t>
      </w:r>
      <w:r w:rsidRPr="0050146A">
        <w:rPr>
          <w:rFonts w:hint="cs"/>
          <w:rtl/>
        </w:rPr>
        <w:t xml:space="preserve"> דס"ל דבכולה חוץ לרוטב כולה </w:t>
      </w:r>
      <w:r w:rsidRPr="0050146A">
        <w:rPr>
          <w:rFonts w:hint="cs"/>
          <w:rtl/>
        </w:rPr>
        <w:t>אסורה, צ"ל שיש חילוק בין חום של צלי שאוסר רק בכדי נטילה, לחום של קדירה שאוסר בכולה.</w:t>
      </w:r>
    </w:p>
    <w:p w:rsidR="008442F8" w:rsidRPr="0050146A" w:rsidRDefault="008442F8" w:rsidP="008442F8">
      <w:pPr>
        <w:pStyle w:val="1"/>
        <w:rPr>
          <w:rtl/>
        </w:rPr>
      </w:pPr>
      <w:r w:rsidRPr="0050146A">
        <w:rPr>
          <w:rFonts w:hint="cs"/>
          <w:rtl/>
        </w:rPr>
        <w:t>ביאור החוו"ד ברש"י דאין כח ברוטב להוציא את טעם הגיד</w:t>
      </w:r>
      <w:bookmarkEnd w:id="812"/>
      <w:bookmarkEnd w:id="813"/>
      <w:bookmarkEnd w:id="814"/>
    </w:p>
    <w:p w:rsidR="008442F8" w:rsidRPr="0050146A" w:rsidRDefault="008442F8" w:rsidP="008442F8">
      <w:pPr>
        <w:pStyle w:val="a2"/>
        <w:rPr>
          <w:rtl/>
        </w:rPr>
      </w:pPr>
      <w:bookmarkStart w:id="815" w:name="_Toc8209285"/>
      <w:bookmarkStart w:id="816" w:name="_Toc8209423"/>
      <w:bookmarkStart w:id="817" w:name="_Toc8246445"/>
      <w:r w:rsidRPr="0050146A">
        <w:rPr>
          <w:rFonts w:hint="cs"/>
          <w:rtl/>
        </w:rPr>
        <w:t>דברי החוו"ד ברש"י דבגיד בירך מוכח דא"א לומר שרק חלק מהחתיכה בולע את האיסור</w:t>
      </w:r>
      <w:bookmarkEnd w:id="815"/>
      <w:bookmarkEnd w:id="816"/>
      <w:bookmarkEnd w:id="817"/>
    </w:p>
    <w:p w:rsidR="008442F8" w:rsidRPr="0050146A" w:rsidRDefault="008442F8" w:rsidP="009F44AF">
      <w:pPr>
        <w:pStyle w:val="a"/>
        <w:rPr>
          <w:rtl/>
        </w:rPr>
      </w:pPr>
      <w:r w:rsidRPr="0050146A">
        <w:rPr>
          <w:rFonts w:hint="cs"/>
          <w:rtl/>
        </w:rPr>
        <w:t xml:space="preserve">הביא </w:t>
      </w:r>
      <w:r w:rsidRPr="0050146A">
        <w:rPr>
          <w:rStyle w:val="af8"/>
          <w:rFonts w:hint="cs"/>
          <w:rtl/>
        </w:rPr>
        <w:t>החוו"ד</w:t>
      </w:r>
      <w:r w:rsidRPr="0050146A">
        <w:rPr>
          <w:rFonts w:hint="cs"/>
          <w:rtl/>
        </w:rPr>
        <w:t xml:space="preserve"> </w:t>
      </w:r>
      <w:r w:rsidRPr="0050146A">
        <w:rPr>
          <w:rStyle w:val="af6"/>
          <w:rFonts w:eastAsia="Guttman Hodes" w:hint="cs"/>
          <w:rtl/>
        </w:rPr>
        <w:t>(סי' צ"ב סק"ו)</w:t>
      </w:r>
      <w:r w:rsidRPr="0050146A">
        <w:rPr>
          <w:rFonts w:hint="cs"/>
          <w:rtl/>
        </w:rPr>
        <w:t xml:space="preserve"> את דברי </w:t>
      </w:r>
      <w:r w:rsidRPr="0050146A">
        <w:rPr>
          <w:rStyle w:val="af8"/>
          <w:rFonts w:hint="cs"/>
          <w:rtl/>
        </w:rPr>
        <w:t>המנחת יעקב</w:t>
      </w:r>
      <w:r w:rsidRPr="0050146A">
        <w:rPr>
          <w:rFonts w:hint="cs"/>
          <w:rtl/>
        </w:rPr>
        <w:t xml:space="preserve"> </w:t>
      </w:r>
      <w:r w:rsidRPr="0050146A">
        <w:rPr>
          <w:rStyle w:val="af6"/>
          <w:rFonts w:eastAsia="Guttman Hodes" w:hint="cs"/>
          <w:rtl/>
        </w:rPr>
        <w:t>(כלל כ"ז סקי"ז)</w:t>
      </w:r>
      <w:r w:rsidRPr="0050146A">
        <w:rPr>
          <w:rFonts w:hint="cs"/>
          <w:rtl/>
        </w:rPr>
        <w:t xml:space="preserve"> דכתב דלדעת </w:t>
      </w:r>
      <w:r w:rsidRPr="0050146A">
        <w:rPr>
          <w:rStyle w:val="af8"/>
          <w:rFonts w:hint="cs"/>
          <w:rtl/>
        </w:rPr>
        <w:t>רש"י</w:t>
      </w:r>
      <w:r w:rsidRPr="0050146A">
        <w:rPr>
          <w:rFonts w:hint="cs"/>
          <w:rtl/>
        </w:rPr>
        <w:t xml:space="preserve"> דבאיסור דבוק כשהאיסור נמצא בחלקו שבתוך הרוטב, החלק שחוץ לרוטב אינו מצטרף לבטל את האיסור, וכתב </w:t>
      </w:r>
      <w:r w:rsidRPr="0050146A">
        <w:rPr>
          <w:rStyle w:val="af8"/>
          <w:rFonts w:hint="cs"/>
          <w:rtl/>
        </w:rPr>
        <w:t>החוו"ד</w:t>
      </w:r>
      <w:r w:rsidRPr="0050146A">
        <w:rPr>
          <w:rFonts w:hint="cs"/>
          <w:rtl/>
        </w:rPr>
        <w:t xml:space="preserve"> דא"א לבאר כן </w:t>
      </w:r>
      <w:r w:rsidRPr="0050146A">
        <w:rPr>
          <w:rStyle w:val="af8"/>
          <w:rFonts w:hint="cs"/>
          <w:rtl/>
        </w:rPr>
        <w:t>ברש"י</w:t>
      </w:r>
      <w:r w:rsidRPr="0050146A">
        <w:rPr>
          <w:rFonts w:hint="cs"/>
          <w:rtl/>
        </w:rPr>
        <w:t xml:space="preserve"> דאי נימא דלדעת </w:t>
      </w:r>
      <w:r w:rsidRPr="0050146A">
        <w:rPr>
          <w:rStyle w:val="af8"/>
          <w:rFonts w:hint="cs"/>
          <w:rtl/>
        </w:rPr>
        <w:t>רש"י</w:t>
      </w:r>
      <w:r w:rsidRPr="0050146A">
        <w:rPr>
          <w:rFonts w:hint="cs"/>
          <w:rtl/>
        </w:rPr>
        <w:t xml:space="preserve"> חלק מהחתיכה בולע את האיסור וחלק אינו בולע, דא"כ בירך שנתבשל בה גיד אם הגיד הוא מחוץ לרוטב, הגיד אוסר רק בכדי נטילה כיון שהגיד הוא גוש וכחוש, </w:t>
      </w:r>
      <w:r w:rsidRPr="0050146A">
        <w:rPr>
          <w:rStyle w:val="afa"/>
          <w:rFonts w:hint="cs"/>
          <w:rtl/>
        </w:rPr>
        <w:t xml:space="preserve">[וכתב </w:t>
      </w:r>
      <w:r w:rsidRPr="0050146A">
        <w:rPr>
          <w:rStyle w:val="affa"/>
          <w:rFonts w:hint="cs"/>
          <w:rtl/>
        </w:rPr>
        <w:t>הש"ך</w:t>
      </w:r>
      <w:r w:rsidRPr="0050146A">
        <w:rPr>
          <w:rStyle w:val="afa"/>
          <w:rFonts w:hint="cs"/>
          <w:rtl/>
        </w:rPr>
        <w:t xml:space="preserve"> </w:t>
      </w:r>
      <w:r w:rsidRPr="0050146A">
        <w:rPr>
          <w:rStyle w:val="aff6"/>
          <w:rFonts w:hint="cs"/>
          <w:rtl/>
        </w:rPr>
        <w:t>(סי' צ"ב סק"ג)</w:t>
      </w:r>
      <w:r w:rsidRPr="0050146A">
        <w:rPr>
          <w:rStyle w:val="afa"/>
          <w:rFonts w:hint="cs"/>
          <w:rtl/>
        </w:rPr>
        <w:t xml:space="preserve"> דגוש וכחוש אוסר רק בכדי נטילה],</w:t>
      </w:r>
      <w:r w:rsidRPr="0050146A">
        <w:rPr>
          <w:rFonts w:hint="cs"/>
          <w:rtl/>
        </w:rPr>
        <w:t xml:space="preserve"> ואי הגיד הוא בחלק של הירך שבתוך הרוטב, א"כ אמאי תנן במתני' דאם יש "בה" נתינת טעם, ומשמע דכל הירך מצטרף לבטל את הגיד, הרי החלק שמחוץ לרוטב אינו מצטרף לדעת </w:t>
      </w:r>
      <w:r w:rsidRPr="0050146A">
        <w:rPr>
          <w:rStyle w:val="af8"/>
          <w:rFonts w:hint="cs"/>
          <w:rtl/>
        </w:rPr>
        <w:t>המנחת יעקב</w:t>
      </w:r>
      <w:r w:rsidRPr="0050146A">
        <w:rPr>
          <w:rFonts w:hint="cs"/>
          <w:rtl/>
        </w:rPr>
        <w:t>.</w:t>
      </w:r>
    </w:p>
    <w:p w:rsidR="008442F8" w:rsidRPr="0050146A" w:rsidRDefault="008442F8" w:rsidP="008442F8">
      <w:pPr>
        <w:pStyle w:val="a2"/>
        <w:rPr>
          <w:rtl/>
        </w:rPr>
      </w:pPr>
      <w:bookmarkStart w:id="818" w:name="_Toc8209286"/>
      <w:bookmarkStart w:id="819" w:name="_Toc8209424"/>
      <w:bookmarkStart w:id="820" w:name="_Toc8246446"/>
      <w:r w:rsidRPr="0050146A">
        <w:rPr>
          <w:rFonts w:hint="cs"/>
          <w:rtl/>
        </w:rPr>
        <w:t>דברי החוו"ד ברש"י דכל החתיכה בולעת את האיסור אלא שאין כח ברוטב להוציא את האיסור</w:t>
      </w:r>
      <w:bookmarkEnd w:id="818"/>
      <w:bookmarkEnd w:id="819"/>
      <w:bookmarkEnd w:id="820"/>
    </w:p>
    <w:p w:rsidR="008442F8" w:rsidRPr="0050146A" w:rsidRDefault="008442F8" w:rsidP="009F44AF">
      <w:pPr>
        <w:pStyle w:val="a"/>
        <w:rPr>
          <w:rtl/>
        </w:rPr>
      </w:pPr>
      <w:r w:rsidRPr="0050146A">
        <w:rPr>
          <w:rFonts w:hint="cs"/>
          <w:rtl/>
        </w:rPr>
        <w:t xml:space="preserve">אלא כתב </w:t>
      </w:r>
      <w:r w:rsidRPr="0050146A">
        <w:rPr>
          <w:rStyle w:val="af8"/>
          <w:rFonts w:hint="cs"/>
          <w:rtl/>
        </w:rPr>
        <w:t>החוו"ד</w:t>
      </w:r>
      <w:r w:rsidRPr="0050146A">
        <w:rPr>
          <w:rFonts w:hint="cs"/>
          <w:rtl/>
        </w:rPr>
        <w:t xml:space="preserve"> דמוכח דלדעת </w:t>
      </w:r>
      <w:r w:rsidRPr="0050146A">
        <w:rPr>
          <w:rStyle w:val="af8"/>
          <w:rFonts w:hint="cs"/>
          <w:rtl/>
        </w:rPr>
        <w:t>רש"י</w:t>
      </w:r>
      <w:r w:rsidRPr="0050146A">
        <w:rPr>
          <w:rFonts w:hint="cs"/>
          <w:rtl/>
        </w:rPr>
        <w:t xml:space="preserve"> כל החתיכה בולעת את האיסור בשוה, אלא שאין כח ברוטב להוציא מהחתיכה את האיסור הבלוע, ולכן כיון שהגיד מכוסה ע"י הירך, חשיב הטעם של הגיד כבלוע בבשר, ואין כח ברוטב להוציא את טעם הגיד מהירך.</w:t>
      </w:r>
    </w:p>
    <w:p w:rsidR="008442F8" w:rsidRPr="0050146A" w:rsidRDefault="008442F8" w:rsidP="008442F8">
      <w:pPr>
        <w:pStyle w:val="1"/>
        <w:rPr>
          <w:rtl/>
        </w:rPr>
      </w:pPr>
      <w:r w:rsidRPr="0050146A">
        <w:rPr>
          <w:rFonts w:hint="cs"/>
          <w:rtl/>
        </w:rPr>
        <w:t>בדעת רש"י כשרק גג החתיכה מחוץ לרוטב</w:t>
      </w:r>
      <w:bookmarkEnd w:id="798"/>
      <w:bookmarkEnd w:id="799"/>
      <w:bookmarkEnd w:id="800"/>
      <w:bookmarkEnd w:id="801"/>
      <w:bookmarkEnd w:id="802"/>
      <w:bookmarkEnd w:id="803"/>
      <w:bookmarkEnd w:id="804"/>
      <w:bookmarkEnd w:id="805"/>
      <w:bookmarkEnd w:id="806"/>
      <w:bookmarkEnd w:id="807"/>
    </w:p>
    <w:p w:rsidR="008442F8" w:rsidRPr="0050146A" w:rsidRDefault="008442F8" w:rsidP="008442F8">
      <w:pPr>
        <w:pStyle w:val="a2"/>
        <w:rPr>
          <w:rtl/>
        </w:rPr>
      </w:pPr>
      <w:bookmarkStart w:id="821" w:name="_Toc8160768"/>
      <w:bookmarkStart w:id="822" w:name="_Toc8209252"/>
      <w:bookmarkStart w:id="823" w:name="_Toc8209390"/>
      <w:bookmarkStart w:id="824" w:name="_Toc8246412"/>
      <w:r w:rsidRPr="0050146A">
        <w:rPr>
          <w:rFonts w:hint="cs"/>
          <w:rtl/>
        </w:rPr>
        <w:t>דברי הב"י דמשמעות דברי רש"י דכשכל החתיכה בתוך הרוטב מודה רש"י דהרוטב מצטרף</w:t>
      </w:r>
      <w:bookmarkEnd w:id="821"/>
      <w:bookmarkEnd w:id="822"/>
      <w:bookmarkEnd w:id="823"/>
      <w:bookmarkEnd w:id="824"/>
    </w:p>
    <w:p w:rsidR="008442F8" w:rsidRPr="0050146A" w:rsidRDefault="008442F8" w:rsidP="009F44AF">
      <w:pPr>
        <w:pStyle w:val="a"/>
        <w:rPr>
          <w:rtl/>
        </w:rPr>
      </w:pPr>
      <w:r w:rsidRPr="0050146A">
        <w:rPr>
          <w:rFonts w:hint="cs"/>
          <w:rtl/>
        </w:rPr>
        <w:t xml:space="preserve">כתב </w:t>
      </w:r>
      <w:r w:rsidRPr="0050146A">
        <w:rPr>
          <w:rStyle w:val="af8"/>
          <w:rFonts w:hint="cs"/>
          <w:rtl/>
        </w:rPr>
        <w:t>הב"י</w:t>
      </w:r>
      <w:r w:rsidRPr="0050146A">
        <w:rPr>
          <w:rFonts w:hint="cs"/>
          <w:rtl/>
        </w:rPr>
        <w:t xml:space="preserve"> </w:t>
      </w:r>
      <w:r w:rsidRPr="0050146A">
        <w:rPr>
          <w:rStyle w:val="af6"/>
          <w:rFonts w:eastAsia="Guttman Hodes" w:hint="cs"/>
          <w:rtl/>
        </w:rPr>
        <w:t>(סי' צ"ב ב')</w:t>
      </w:r>
      <w:r w:rsidRPr="0050146A">
        <w:rPr>
          <w:rFonts w:hint="cs"/>
          <w:rtl/>
        </w:rPr>
        <w:t xml:space="preserve"> דמשמע דכשכל החתיכה בתוך הרוטב, מודה </w:t>
      </w:r>
      <w:r w:rsidRPr="0050146A">
        <w:rPr>
          <w:rStyle w:val="af8"/>
          <w:rFonts w:hint="cs"/>
          <w:rtl/>
        </w:rPr>
        <w:t>רש"י</w:t>
      </w:r>
      <w:r w:rsidRPr="0050146A">
        <w:rPr>
          <w:rFonts w:hint="cs"/>
          <w:rtl/>
        </w:rPr>
        <w:t xml:space="preserve"> דהרוטב מצטרף לבטל את טיפת החלב.</w:t>
      </w:r>
    </w:p>
    <w:p w:rsidR="008442F8" w:rsidRPr="0050146A" w:rsidRDefault="008442F8" w:rsidP="008442F8">
      <w:pPr>
        <w:pStyle w:val="a2"/>
      </w:pPr>
      <w:bookmarkStart w:id="825" w:name="_Toc8160769"/>
      <w:bookmarkStart w:id="826" w:name="_Toc8209253"/>
      <w:bookmarkStart w:id="827" w:name="_Toc8209391"/>
      <w:bookmarkStart w:id="828" w:name="_Toc8246413"/>
      <w:r w:rsidRPr="0050146A">
        <w:rPr>
          <w:rFonts w:hint="cs"/>
          <w:rtl/>
        </w:rPr>
        <w:t>דברי הב"י דבסמ"ג מבואר דלרש"י אף בכולה ברוטב וגגה בחוץ אין הרוטב מצטרף</w:t>
      </w:r>
      <w:bookmarkEnd w:id="825"/>
      <w:bookmarkEnd w:id="826"/>
      <w:bookmarkEnd w:id="827"/>
      <w:bookmarkEnd w:id="828"/>
    </w:p>
    <w:p w:rsidR="008442F8" w:rsidRPr="0050146A" w:rsidRDefault="008442F8" w:rsidP="009F44AF">
      <w:pPr>
        <w:pStyle w:val="a"/>
        <w:rPr>
          <w:rtl/>
        </w:rPr>
      </w:pPr>
      <w:r w:rsidRPr="0050146A">
        <w:rPr>
          <w:rFonts w:hint="cs"/>
          <w:rtl/>
        </w:rPr>
        <w:t xml:space="preserve">אך כתב </w:t>
      </w:r>
      <w:r w:rsidRPr="0050146A">
        <w:rPr>
          <w:rStyle w:val="af8"/>
          <w:rFonts w:hint="cs"/>
          <w:rtl/>
        </w:rPr>
        <w:t>הב"י</w:t>
      </w:r>
      <w:r w:rsidRPr="0050146A">
        <w:rPr>
          <w:rFonts w:hint="cs"/>
          <w:rtl/>
        </w:rPr>
        <w:t xml:space="preserve"> </w:t>
      </w:r>
      <w:r w:rsidRPr="0050146A">
        <w:rPr>
          <w:rStyle w:val="af8"/>
          <w:rFonts w:hint="cs"/>
          <w:rtl/>
        </w:rPr>
        <w:t>דהסמ"ג</w:t>
      </w:r>
      <w:r w:rsidRPr="0050146A">
        <w:rPr>
          <w:rFonts w:hint="cs"/>
          <w:rtl/>
        </w:rPr>
        <w:t xml:space="preserve"> </w:t>
      </w:r>
      <w:r w:rsidRPr="0050146A">
        <w:rPr>
          <w:rStyle w:val="af6"/>
          <w:rFonts w:eastAsia="Guttman Hodes" w:hint="cs"/>
          <w:rtl/>
        </w:rPr>
        <w:t>(לאוין ק"מ קמ"א ד"ה שנינו, הועתק בקובץ שיטות קמאי חולין ח"ג עמ' ב' אלף תרל"ב)</w:t>
      </w:r>
      <w:r w:rsidRPr="0050146A">
        <w:rPr>
          <w:rFonts w:hint="cs"/>
          <w:rtl/>
        </w:rPr>
        <w:t xml:space="preserve"> כתב דמשמע מדברי </w:t>
      </w:r>
      <w:r w:rsidRPr="0050146A">
        <w:rPr>
          <w:rStyle w:val="af8"/>
          <w:rFonts w:hint="cs"/>
          <w:rtl/>
        </w:rPr>
        <w:t>רש"י</w:t>
      </w:r>
      <w:r w:rsidRPr="0050146A">
        <w:rPr>
          <w:rFonts w:hint="cs"/>
          <w:rtl/>
        </w:rPr>
        <w:t xml:space="preserve"> דאף אם החתיכה הייתה בתוך הרוטב בשעה שנפלה עליה הטיפה, אינה אוסרת את שאר הקדירה אם לא ניער וכיסה, וכתב </w:t>
      </w:r>
      <w:r w:rsidRPr="0050146A">
        <w:rPr>
          <w:rStyle w:val="af8"/>
          <w:rFonts w:hint="cs"/>
          <w:rtl/>
        </w:rPr>
        <w:t>הב"י</w:t>
      </w:r>
      <w:r w:rsidRPr="0050146A">
        <w:rPr>
          <w:rFonts w:hint="cs"/>
          <w:rtl/>
        </w:rPr>
        <w:t xml:space="preserve"> דכוונת </w:t>
      </w:r>
      <w:r w:rsidRPr="0050146A">
        <w:rPr>
          <w:rStyle w:val="af8"/>
          <w:rFonts w:hint="cs"/>
          <w:rtl/>
        </w:rPr>
        <w:t>הסמ"ג</w:t>
      </w:r>
      <w:r w:rsidRPr="0050146A">
        <w:rPr>
          <w:rFonts w:hint="cs"/>
          <w:rtl/>
        </w:rPr>
        <w:t xml:space="preserve"> לומר דאף אם כל החתיכה ברוטב ורק גג החתיכה מחוץ לרוטב ג"כ אין הרוטב מצטרף לבטל, דא"א לומר דכוונתו דכולה שקועה ברוטב והרוטב צף ע"ג החתיכה, דבכה"ג פשיטא דהרוטב מבטל.</w:t>
      </w:r>
    </w:p>
    <w:p w:rsidR="008442F8" w:rsidRPr="0050146A" w:rsidRDefault="008442F8" w:rsidP="008442F8">
      <w:pPr>
        <w:pStyle w:val="a2"/>
        <w:rPr>
          <w:rtl/>
        </w:rPr>
      </w:pPr>
      <w:bookmarkStart w:id="829" w:name="_Toc8160770"/>
      <w:bookmarkStart w:id="830" w:name="_Toc8209254"/>
      <w:bookmarkStart w:id="831" w:name="_Toc8209392"/>
      <w:bookmarkStart w:id="832" w:name="_Toc8246414"/>
      <w:r w:rsidRPr="0050146A">
        <w:rPr>
          <w:rFonts w:hint="cs"/>
          <w:rtl/>
        </w:rPr>
        <w:t>דברי הפר"ח דברש"י לקמן מוכח דבגגה מחוץ לרוטב חשיב כמקצתה ברוטב דיש בה חנ</w:t>
      </w:r>
      <w:r w:rsidRPr="0050146A">
        <w:rPr>
          <w:rtl/>
        </w:rPr>
        <w:t>"</w:t>
      </w:r>
      <w:r w:rsidRPr="0050146A">
        <w:rPr>
          <w:rFonts w:hint="cs"/>
          <w:rtl/>
        </w:rPr>
        <w:t>נ</w:t>
      </w:r>
      <w:bookmarkEnd w:id="829"/>
      <w:bookmarkEnd w:id="830"/>
      <w:bookmarkEnd w:id="831"/>
      <w:bookmarkEnd w:id="832"/>
    </w:p>
    <w:p w:rsidR="008442F8" w:rsidRPr="0050146A" w:rsidRDefault="008442F8" w:rsidP="009F44AF">
      <w:pPr>
        <w:pStyle w:val="a"/>
        <w:rPr>
          <w:rtl/>
        </w:rPr>
      </w:pPr>
      <w:r w:rsidRPr="0050146A">
        <w:rPr>
          <w:rStyle w:val="af8"/>
          <w:rFonts w:hint="cs"/>
          <w:rtl/>
        </w:rPr>
        <w:t>והפר"ח</w:t>
      </w:r>
      <w:r w:rsidRPr="0050146A">
        <w:rPr>
          <w:rStyle w:val="af6"/>
          <w:rFonts w:eastAsia="Guttman Hodes" w:hint="cs"/>
          <w:rtl/>
        </w:rPr>
        <w:t xml:space="preserve"> (סי' צ"ב סק"ד)</w:t>
      </w:r>
      <w:r w:rsidRPr="0050146A">
        <w:rPr>
          <w:rFonts w:hint="cs"/>
          <w:rtl/>
        </w:rPr>
        <w:t xml:space="preserve"> הביא את  דברי</w:t>
      </w:r>
      <w:r w:rsidRPr="0050146A">
        <w:rPr>
          <w:rStyle w:val="af8"/>
          <w:rFonts w:hint="cs"/>
          <w:rtl/>
        </w:rPr>
        <w:t xml:space="preserve"> רש"י לקמן</w:t>
      </w:r>
      <w:r w:rsidRPr="0050146A">
        <w:rPr>
          <w:rStyle w:val="af6"/>
          <w:rFonts w:eastAsia="Guttman Hodes" w:hint="cs"/>
          <w:rtl/>
        </w:rPr>
        <w:t xml:space="preserve"> (קח: ד"ה מפלט)</w:t>
      </w:r>
      <w:r w:rsidRPr="0050146A">
        <w:rPr>
          <w:rFonts w:hint="cs"/>
          <w:rtl/>
        </w:rPr>
        <w:t xml:space="preserve"> דכתב דבלא ניער וכיסה החתיכה בולעת את החלב, ואינו פולטת אותו כיון שטעם החלב נמצא בגג החתיכה, וכתב </w:t>
      </w:r>
      <w:r w:rsidRPr="0050146A">
        <w:rPr>
          <w:rStyle w:val="af8"/>
          <w:rFonts w:hint="cs"/>
          <w:rtl/>
        </w:rPr>
        <w:t>הפר"ח</w:t>
      </w:r>
      <w:r w:rsidRPr="0050146A">
        <w:rPr>
          <w:rFonts w:hint="cs"/>
          <w:rtl/>
        </w:rPr>
        <w:t xml:space="preserve"> דמוכח מדברי </w:t>
      </w:r>
      <w:r w:rsidRPr="0050146A">
        <w:rPr>
          <w:rStyle w:val="af8"/>
          <w:rFonts w:hint="cs"/>
          <w:rtl/>
        </w:rPr>
        <w:t>רש"י לקמן</w:t>
      </w:r>
      <w:r w:rsidRPr="0050146A">
        <w:rPr>
          <w:rFonts w:hint="cs"/>
          <w:rtl/>
        </w:rPr>
        <w:t xml:space="preserve"> דאף כשכל החתיכה בתוך הרוטב, ורק גגה מחוץ לרוטב, חשיב כמקצתה בתוך הרוטב, שיש לה דין חנ</w:t>
      </w:r>
      <w:r w:rsidRPr="0050146A">
        <w:rPr>
          <w:rtl/>
        </w:rPr>
        <w:t>"</w:t>
      </w:r>
      <w:r w:rsidRPr="0050146A">
        <w:rPr>
          <w:rFonts w:hint="cs"/>
          <w:rtl/>
        </w:rPr>
        <w:t>נ</w:t>
      </w:r>
      <w:r w:rsidRPr="0050146A">
        <w:rPr>
          <w:rStyle w:val="afa"/>
          <w:rFonts w:hint="cs"/>
          <w:rtl/>
        </w:rPr>
        <w:t xml:space="preserve">, </w:t>
      </w:r>
      <w:r w:rsidRPr="0050146A">
        <w:rPr>
          <w:rFonts w:hint="cs"/>
          <w:rtl/>
        </w:rPr>
        <w:t xml:space="preserve">וע"ע במ"ש </w:t>
      </w:r>
      <w:r w:rsidRPr="0050146A">
        <w:rPr>
          <w:rStyle w:val="af8"/>
          <w:rFonts w:hint="cs"/>
          <w:rtl/>
        </w:rPr>
        <w:t>הב"ח</w:t>
      </w:r>
      <w:r w:rsidRPr="0050146A">
        <w:rPr>
          <w:rFonts w:hint="cs"/>
          <w:rtl/>
        </w:rPr>
        <w:t xml:space="preserve"> </w:t>
      </w:r>
      <w:r w:rsidRPr="0050146A">
        <w:rPr>
          <w:rStyle w:val="af6"/>
          <w:rFonts w:eastAsia="Guttman Hodes" w:hint="cs"/>
          <w:rtl/>
        </w:rPr>
        <w:t>(סי' צ"ב ד')</w:t>
      </w:r>
      <w:r w:rsidRPr="0050146A">
        <w:rPr>
          <w:rFonts w:hint="cs"/>
          <w:rtl/>
        </w:rPr>
        <w:t>.</w:t>
      </w:r>
    </w:p>
    <w:p w:rsidR="008442F8" w:rsidRPr="0050146A" w:rsidRDefault="008442F8" w:rsidP="008442F8">
      <w:pPr>
        <w:pStyle w:val="1"/>
        <w:rPr>
          <w:rtl/>
        </w:rPr>
      </w:pPr>
      <w:bookmarkStart w:id="833" w:name="_Toc8069051"/>
      <w:bookmarkStart w:id="834" w:name="_Toc8069123"/>
      <w:bookmarkStart w:id="835" w:name="_Toc8106007"/>
      <w:bookmarkStart w:id="836" w:name="_Toc8117867"/>
      <w:bookmarkStart w:id="837" w:name="_Toc8122515"/>
      <w:bookmarkStart w:id="838" w:name="_Toc8142975"/>
      <w:bookmarkStart w:id="839" w:name="_Toc8160771"/>
      <w:bookmarkStart w:id="840" w:name="_Toc8209255"/>
      <w:bookmarkStart w:id="841" w:name="_Toc8209393"/>
      <w:bookmarkStart w:id="842" w:name="_Toc8246415"/>
      <w:r w:rsidRPr="0050146A">
        <w:rPr>
          <w:rFonts w:hint="cs"/>
          <w:rtl/>
        </w:rPr>
        <w:t>דברי ה</w:t>
      </w:r>
      <w:bookmarkEnd w:id="833"/>
      <w:bookmarkEnd w:id="834"/>
      <w:bookmarkEnd w:id="835"/>
      <w:bookmarkEnd w:id="836"/>
      <w:bookmarkEnd w:id="837"/>
      <w:bookmarkEnd w:id="838"/>
      <w:r w:rsidRPr="0050146A">
        <w:rPr>
          <w:rFonts w:hint="cs"/>
          <w:rtl/>
        </w:rPr>
        <w:t>ראבי"ה דלרש"י האיסור אינו מפעפע בחלק שברוטב</w:t>
      </w:r>
      <w:bookmarkEnd w:id="839"/>
      <w:bookmarkEnd w:id="840"/>
      <w:bookmarkEnd w:id="841"/>
      <w:bookmarkEnd w:id="842"/>
    </w:p>
    <w:p w:rsidR="008442F8" w:rsidRPr="0050146A" w:rsidRDefault="008442F8" w:rsidP="008442F8">
      <w:pPr>
        <w:pStyle w:val="a2"/>
        <w:rPr>
          <w:rtl/>
        </w:rPr>
      </w:pPr>
      <w:bookmarkStart w:id="843" w:name="_Toc8160772"/>
      <w:bookmarkStart w:id="844" w:name="_Toc8209256"/>
      <w:bookmarkStart w:id="845" w:name="_Toc8209394"/>
      <w:bookmarkStart w:id="846" w:name="_Toc8246416"/>
      <w:r w:rsidRPr="0050146A">
        <w:rPr>
          <w:rFonts w:hint="cs"/>
          <w:rtl/>
        </w:rPr>
        <w:t>דברי המרדכי בשם הראבי"ה דלרש"י האיסור אינו מפעפע לחלק שבתוך הרוטב</w:t>
      </w:r>
      <w:bookmarkEnd w:id="843"/>
      <w:bookmarkEnd w:id="844"/>
      <w:bookmarkEnd w:id="845"/>
      <w:bookmarkEnd w:id="846"/>
    </w:p>
    <w:p w:rsidR="008442F8" w:rsidRPr="0050146A" w:rsidRDefault="008442F8" w:rsidP="009F44AF">
      <w:pPr>
        <w:pStyle w:val="a"/>
        <w:rPr>
          <w:rStyle w:val="afa"/>
          <w:rtl/>
        </w:rPr>
      </w:pPr>
      <w:bookmarkStart w:id="847" w:name="_Ref8726614"/>
      <w:bookmarkStart w:id="848" w:name="_Ref8729391"/>
      <w:bookmarkStart w:id="849" w:name="_Toc8160773"/>
      <w:bookmarkStart w:id="850" w:name="_Toc8209257"/>
      <w:bookmarkStart w:id="851" w:name="_Toc8209395"/>
      <w:bookmarkStart w:id="852" w:name="_Toc8246417"/>
      <w:r w:rsidRPr="0050146A">
        <w:rPr>
          <w:rFonts w:hint="cs"/>
          <w:rtl/>
        </w:rPr>
        <w:t xml:space="preserve">הביא </w:t>
      </w:r>
      <w:r w:rsidRPr="0050146A">
        <w:rPr>
          <w:rStyle w:val="af8"/>
          <w:rFonts w:hint="cs"/>
          <w:rtl/>
        </w:rPr>
        <w:t>המרדכי לקמן</w:t>
      </w:r>
      <w:r w:rsidRPr="0050146A">
        <w:rPr>
          <w:rFonts w:hint="cs"/>
          <w:rtl/>
        </w:rPr>
        <w:t xml:space="preserve"> </w:t>
      </w:r>
      <w:r w:rsidRPr="0050146A">
        <w:rPr>
          <w:rStyle w:val="af6"/>
          <w:rFonts w:eastAsia="Guttman Hodes" w:hint="cs"/>
          <w:rtl/>
        </w:rPr>
        <w:t>(קח. רמז תרצ"א ד"ה אמר רבי)</w:t>
      </w:r>
      <w:r w:rsidRPr="0050146A">
        <w:rPr>
          <w:rFonts w:hint="cs"/>
          <w:rtl/>
        </w:rPr>
        <w:t xml:space="preserve"> את דברי </w:t>
      </w:r>
      <w:r w:rsidRPr="0050146A">
        <w:rPr>
          <w:rStyle w:val="af8"/>
          <w:rFonts w:hint="cs"/>
          <w:rtl/>
        </w:rPr>
        <w:t>הראבי"ה</w:t>
      </w:r>
      <w:r w:rsidRPr="0050146A">
        <w:rPr>
          <w:rFonts w:hint="cs"/>
          <w:rtl/>
        </w:rPr>
        <w:t xml:space="preserve"> </w:t>
      </w:r>
      <w:r w:rsidRPr="0050146A">
        <w:rPr>
          <w:rStyle w:val="af6"/>
          <w:rFonts w:eastAsia="Guttman Hodes" w:hint="cs"/>
          <w:rtl/>
        </w:rPr>
        <w:t>(סי' אלף ק"ו ד"ה וכן נ"ל, הועתק בקובץ שיטות קמאי חולין ח"ג עמ' ב' אלף שצ"ט)</w:t>
      </w:r>
      <w:r w:rsidRPr="0050146A">
        <w:rPr>
          <w:rFonts w:hint="cs"/>
          <w:rtl/>
        </w:rPr>
        <w:t xml:space="preserve"> דכתב דלדעת </w:t>
      </w:r>
      <w:r w:rsidRPr="0050146A">
        <w:rPr>
          <w:rStyle w:val="af8"/>
          <w:rFonts w:hint="cs"/>
          <w:rtl/>
        </w:rPr>
        <w:t>רש"י</w:t>
      </w:r>
      <w:r w:rsidRPr="0050146A">
        <w:rPr>
          <w:rFonts w:hint="cs"/>
          <w:rtl/>
        </w:rPr>
        <w:t xml:space="preserve"> צ"ל שב' שלישים מהחתיכה הם מחוץ לרוטב, ועל כרחך איירי דפעפוע החלב אינו מגיע לשליש התחתון שבתוך הרוטב, דאי החלב מפעפע עד הרוטב, ודאי דהרוטב מוליך ומבלבל את החלב בכל הקדירה, והוסיף </w:t>
      </w:r>
      <w:r w:rsidRPr="0050146A">
        <w:rPr>
          <w:rStyle w:val="af8"/>
          <w:rFonts w:hint="cs"/>
          <w:rtl/>
        </w:rPr>
        <w:t>המרדכי</w:t>
      </w:r>
      <w:r w:rsidRPr="0050146A">
        <w:rPr>
          <w:rFonts w:hint="cs"/>
          <w:rtl/>
        </w:rPr>
        <w:t xml:space="preserve"> בשם </w:t>
      </w:r>
      <w:r w:rsidRPr="0050146A">
        <w:rPr>
          <w:rStyle w:val="af8"/>
          <w:rFonts w:hint="cs"/>
          <w:rtl/>
        </w:rPr>
        <w:t>הראבי"ה</w:t>
      </w:r>
      <w:r w:rsidRPr="0050146A">
        <w:rPr>
          <w:rFonts w:hint="cs"/>
          <w:rtl/>
        </w:rPr>
        <w:t xml:space="preserve"> דמשמע שהחתיכה שנאסרה אינה אוסרת את שאר החתיכות כיון שאפילו משהו מפעפוע של החלב שהוא גוף האיסור, אינו מגיע לשאר החתיכות, </w:t>
      </w:r>
      <w:r w:rsidRPr="0050146A">
        <w:rPr>
          <w:rFonts w:hint="cs"/>
          <w:rtl/>
        </w:rPr>
        <w:lastRenderedPageBreak/>
        <w:t>ולא אמרינן דמקצת החתיכה שלא הגיע עליה פעפוע החלב, יש לה דין חנ</w:t>
      </w:r>
      <w:r w:rsidRPr="0050146A">
        <w:rPr>
          <w:rtl/>
        </w:rPr>
        <w:t>"</w:t>
      </w:r>
      <w:r w:rsidRPr="0050146A">
        <w:rPr>
          <w:rFonts w:hint="cs"/>
          <w:rtl/>
        </w:rPr>
        <w:t>נ</w:t>
      </w:r>
      <w:bookmarkEnd w:id="847"/>
      <w:r w:rsidRPr="0050146A">
        <w:rPr>
          <w:rFonts w:hint="cs"/>
          <w:rtl/>
        </w:rPr>
        <w:t>,</w:t>
      </w:r>
      <w:r w:rsidRPr="0050146A">
        <w:rPr>
          <w:rStyle w:val="afa"/>
          <w:rFonts w:hint="cs"/>
          <w:rtl/>
        </w:rPr>
        <w:t xml:space="preserve"> </w:t>
      </w:r>
      <w:r w:rsidRPr="0050146A">
        <w:rPr>
          <w:rFonts w:hint="cs"/>
          <w:rtl/>
        </w:rPr>
        <w:t xml:space="preserve">ועי' היטב בדברי </w:t>
      </w:r>
      <w:r w:rsidRPr="0050146A">
        <w:rPr>
          <w:rStyle w:val="af8"/>
          <w:rFonts w:hint="cs"/>
          <w:rtl/>
        </w:rPr>
        <w:t>הראבי"ה</w:t>
      </w:r>
      <w:r w:rsidRPr="0050146A">
        <w:rPr>
          <w:rFonts w:hint="cs"/>
          <w:rtl/>
        </w:rPr>
        <w:t xml:space="preserve"> באריכות בהערה</w:t>
      </w:r>
      <w:bookmarkStart w:id="853" w:name="_Ref8749078"/>
      <w:r w:rsidRPr="0050146A">
        <w:rPr>
          <w:rStyle w:val="af0"/>
          <w:rtl/>
        </w:rPr>
        <w:footnoteReference w:id="1"/>
      </w:r>
      <w:bookmarkEnd w:id="853"/>
      <w:r w:rsidRPr="0050146A">
        <w:rPr>
          <w:rFonts w:hint="cs"/>
          <w:rtl/>
        </w:rPr>
        <w:t>.</w:t>
      </w:r>
      <w:bookmarkEnd w:id="848"/>
    </w:p>
    <w:p w:rsidR="008442F8" w:rsidRPr="0050146A" w:rsidRDefault="008442F8" w:rsidP="008442F8">
      <w:pPr>
        <w:pStyle w:val="a2"/>
      </w:pPr>
      <w:r w:rsidRPr="0050146A">
        <w:rPr>
          <w:rFonts w:hint="cs"/>
          <w:rtl/>
        </w:rPr>
        <w:t>ביאור המרדכי בדעת הראבי"ה דס"ל כר"א ממיץ דאין חנ</w:t>
      </w:r>
      <w:r w:rsidRPr="0050146A">
        <w:rPr>
          <w:rtl/>
        </w:rPr>
        <w:t>"</w:t>
      </w:r>
      <w:r w:rsidRPr="0050146A">
        <w:rPr>
          <w:rFonts w:hint="cs"/>
          <w:rtl/>
        </w:rPr>
        <w:t>נ במקצת חתיכה</w:t>
      </w:r>
    </w:p>
    <w:p w:rsidR="008442F8" w:rsidRPr="0050146A" w:rsidRDefault="008442F8" w:rsidP="009F44AF">
      <w:pPr>
        <w:pStyle w:val="a"/>
        <w:rPr>
          <w:rStyle w:val="afa"/>
          <w:rtl/>
        </w:rPr>
      </w:pPr>
      <w:bookmarkStart w:id="854" w:name="_Ref8728216"/>
      <w:bookmarkStart w:id="855" w:name="_Toc7711785"/>
      <w:bookmarkStart w:id="856" w:name="_Toc7724611"/>
      <w:bookmarkStart w:id="857" w:name="_Toc8069053"/>
      <w:bookmarkStart w:id="858" w:name="_Toc8069125"/>
      <w:bookmarkStart w:id="859" w:name="_Toc8106009"/>
      <w:bookmarkStart w:id="860" w:name="_Toc8117869"/>
      <w:bookmarkStart w:id="861" w:name="_Toc8122517"/>
      <w:bookmarkStart w:id="862" w:name="_Toc8142977"/>
      <w:bookmarkStart w:id="863" w:name="_Toc8160779"/>
      <w:bookmarkStart w:id="864" w:name="_Toc8209263"/>
      <w:bookmarkStart w:id="865" w:name="_Toc8209401"/>
      <w:bookmarkStart w:id="866" w:name="_Toc8246423"/>
      <w:r w:rsidRPr="0050146A">
        <w:rPr>
          <w:rFonts w:hint="cs"/>
          <w:rtl/>
        </w:rPr>
        <w:t xml:space="preserve">וכתב </w:t>
      </w:r>
      <w:r w:rsidRPr="0050146A">
        <w:rPr>
          <w:rStyle w:val="af8"/>
          <w:rFonts w:hint="cs"/>
          <w:rtl/>
        </w:rPr>
        <w:t xml:space="preserve">המרדכי לקמן </w:t>
      </w:r>
      <w:r w:rsidRPr="0050146A">
        <w:rPr>
          <w:rFonts w:hint="cs"/>
          <w:rtl/>
        </w:rPr>
        <w:t xml:space="preserve">דנראה </w:t>
      </w:r>
      <w:r w:rsidRPr="0050146A">
        <w:rPr>
          <w:rStyle w:val="af8"/>
          <w:rFonts w:hint="cs"/>
          <w:rtl/>
        </w:rPr>
        <w:t>דהראבי"ה</w:t>
      </w:r>
      <w:r w:rsidRPr="0050146A">
        <w:rPr>
          <w:rFonts w:hint="cs"/>
          <w:rtl/>
        </w:rPr>
        <w:t xml:space="preserve"> ס"ל כדעת </w:t>
      </w:r>
      <w:r w:rsidRPr="0050146A">
        <w:rPr>
          <w:rStyle w:val="af8"/>
          <w:rFonts w:hint="cs"/>
          <w:rtl/>
        </w:rPr>
        <w:t>הר"א ממי"ץ</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Ref8159986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50146A">
        <w:rPr>
          <w:rStyle w:val="af6"/>
          <w:rFonts w:eastAsia="Guttman Hodes"/>
          <w:rtl/>
        </w:rPr>
        <w:fldChar w:fldCharType="end"/>
      </w:r>
      <w:r w:rsidRPr="0050146A">
        <w:rPr>
          <w:rFonts w:hint="cs"/>
          <w:rtl/>
        </w:rPr>
        <w:t xml:space="preserve"> דלא אמרינן חנ</w:t>
      </w:r>
      <w:r w:rsidRPr="0050146A">
        <w:rPr>
          <w:rtl/>
        </w:rPr>
        <w:t>"</w:t>
      </w:r>
      <w:r w:rsidRPr="0050146A">
        <w:rPr>
          <w:rFonts w:hint="cs"/>
          <w:rtl/>
        </w:rPr>
        <w:t xml:space="preserve">נ בחצי חתיכה. </w:t>
      </w:r>
      <w:r w:rsidRPr="0050146A">
        <w:rPr>
          <w:rStyle w:val="afa"/>
          <w:rFonts w:hint="cs"/>
          <w:rtl/>
        </w:rPr>
        <w:t>[אך יעוי' ב</w:t>
      </w:r>
      <w:r w:rsidRPr="0050146A">
        <w:rPr>
          <w:rStyle w:val="afa"/>
          <w:rtl/>
        </w:rPr>
        <w:t>קובץ מפרשים</w:t>
      </w:r>
      <w:r w:rsidRPr="0050146A">
        <w:rPr>
          <w:rStyle w:val="afa"/>
          <w:rFonts w:hint="cs"/>
          <w:rtl/>
        </w:rPr>
        <w:t xml:space="preserve"> על המרדכי </w:t>
      </w:r>
      <w:r w:rsidRPr="0050146A">
        <w:rPr>
          <w:rStyle w:val="aff6"/>
          <w:rFonts w:hint="cs"/>
          <w:rtl/>
        </w:rPr>
        <w:t>(מהדו' "עוז והדר)</w:t>
      </w:r>
      <w:r w:rsidRPr="0050146A">
        <w:rPr>
          <w:rStyle w:val="afa"/>
          <w:rFonts w:hint="cs"/>
          <w:rtl/>
        </w:rPr>
        <w:t xml:space="preserve"> דכתב </w:t>
      </w:r>
      <w:r w:rsidRPr="0050146A">
        <w:rPr>
          <w:rStyle w:val="affa"/>
          <w:rFonts w:hint="cs"/>
          <w:rtl/>
        </w:rPr>
        <w:t>ה</w:t>
      </w:r>
      <w:r w:rsidRPr="0050146A">
        <w:rPr>
          <w:rStyle w:val="affa"/>
          <w:rtl/>
        </w:rPr>
        <w:t>ר"ש מרובזעוויץ</w:t>
      </w:r>
      <w:r w:rsidRPr="0050146A">
        <w:rPr>
          <w:rStyle w:val="afa"/>
          <w:rtl/>
        </w:rPr>
        <w:t xml:space="preserve"> </w:t>
      </w:r>
      <w:r w:rsidRPr="0050146A">
        <w:rPr>
          <w:rStyle w:val="afa"/>
          <w:rFonts w:hint="cs"/>
          <w:rtl/>
        </w:rPr>
        <w:t xml:space="preserve">דצריך לגרוס בדברי </w:t>
      </w:r>
      <w:r w:rsidRPr="0050146A">
        <w:rPr>
          <w:rStyle w:val="affa"/>
          <w:rFonts w:hint="cs"/>
          <w:rtl/>
        </w:rPr>
        <w:t>המרדכי</w:t>
      </w:r>
      <w:r w:rsidRPr="0050146A">
        <w:rPr>
          <w:rStyle w:val="afa"/>
          <w:rFonts w:hint="cs"/>
          <w:rtl/>
        </w:rPr>
        <w:t xml:space="preserve"> להיפך, </w:t>
      </w:r>
      <w:r w:rsidRPr="0050146A">
        <w:rPr>
          <w:rStyle w:val="affa"/>
          <w:rFonts w:hint="cs"/>
          <w:rtl/>
        </w:rPr>
        <w:t>דהראבי"ה</w:t>
      </w:r>
      <w:r w:rsidRPr="0050146A">
        <w:rPr>
          <w:rStyle w:val="afa"/>
          <w:rFonts w:hint="cs"/>
          <w:rtl/>
        </w:rPr>
        <w:t xml:space="preserve"> הוא דלא </w:t>
      </w:r>
      <w:r w:rsidRPr="0050146A">
        <w:rPr>
          <w:rStyle w:val="affa"/>
          <w:rFonts w:hint="cs"/>
          <w:rtl/>
        </w:rPr>
        <w:t>כר"א ממי"ץ</w:t>
      </w:r>
      <w:r w:rsidRPr="0050146A">
        <w:rPr>
          <w:rStyle w:val="afa"/>
          <w:rFonts w:hint="cs"/>
          <w:rtl/>
        </w:rPr>
        <w:t>, עיי"ש בדבריו].</w:t>
      </w:r>
      <w:bookmarkEnd w:id="854"/>
    </w:p>
    <w:p w:rsidR="008442F8" w:rsidRPr="0050146A" w:rsidRDefault="008442F8" w:rsidP="008442F8">
      <w:pPr>
        <w:pStyle w:val="a2"/>
        <w:rPr>
          <w:rtl/>
        </w:rPr>
      </w:pPr>
      <w:r w:rsidRPr="0050146A">
        <w:rPr>
          <w:rFonts w:hint="cs"/>
          <w:rtl/>
        </w:rPr>
        <w:t>קושית הש"ך בארוך מש"ך על הראבי"ה דמנלן שאינו מפעפע לחלק שברוטב</w:t>
      </w:r>
    </w:p>
    <w:p w:rsidR="008442F8" w:rsidRPr="0050146A" w:rsidRDefault="008442F8" w:rsidP="009F44AF">
      <w:pPr>
        <w:pStyle w:val="a"/>
        <w:rPr>
          <w:rtl/>
        </w:rPr>
      </w:pPr>
      <w:r w:rsidRPr="0050146A">
        <w:rPr>
          <w:rFonts w:hint="cs"/>
          <w:rtl/>
        </w:rPr>
        <w:t xml:space="preserve">וכתב </w:t>
      </w:r>
      <w:r w:rsidRPr="0050146A">
        <w:rPr>
          <w:rStyle w:val="af8"/>
          <w:rFonts w:hint="cs"/>
          <w:rtl/>
        </w:rPr>
        <w:t>הש"ך בהארוך מש"ך</w:t>
      </w:r>
      <w:r w:rsidRPr="0050146A">
        <w:rPr>
          <w:rFonts w:hint="cs"/>
          <w:rtl/>
        </w:rPr>
        <w:t xml:space="preserve"> </w:t>
      </w:r>
      <w:r w:rsidRPr="0050146A">
        <w:rPr>
          <w:rStyle w:val="af6"/>
          <w:rFonts w:eastAsia="Guttman Hodes" w:hint="cs"/>
          <w:rtl/>
        </w:rPr>
        <w:t>(סי' צ"ב, נד' בסוף הטור)</w:t>
      </w:r>
      <w:r w:rsidRPr="0050146A">
        <w:rPr>
          <w:rFonts w:hint="cs"/>
          <w:rtl/>
        </w:rPr>
        <w:t xml:space="preserve"> דסברת </w:t>
      </w:r>
      <w:r w:rsidRPr="0050146A">
        <w:rPr>
          <w:rStyle w:val="af8"/>
          <w:rFonts w:hint="cs"/>
          <w:rtl/>
        </w:rPr>
        <w:t>הראבי"ה</w:t>
      </w:r>
      <w:r w:rsidRPr="0050146A">
        <w:rPr>
          <w:rFonts w:hint="cs"/>
          <w:rtl/>
        </w:rPr>
        <w:t xml:space="preserve"> היא דחוקה, דמנלן שהחלב אינו מפעפע למקצת החתיכה שברוטב,  והוסיף </w:t>
      </w:r>
      <w:r w:rsidRPr="0050146A">
        <w:rPr>
          <w:rStyle w:val="af8"/>
          <w:rFonts w:hint="cs"/>
          <w:rtl/>
        </w:rPr>
        <w:t>הש"ך</w:t>
      </w:r>
      <w:r w:rsidRPr="0050146A">
        <w:rPr>
          <w:rFonts w:hint="cs"/>
          <w:rtl/>
        </w:rPr>
        <w:t xml:space="preserve"> דלדברי </w:t>
      </w:r>
      <w:r w:rsidRPr="0050146A">
        <w:rPr>
          <w:rStyle w:val="af8"/>
          <w:rFonts w:hint="cs"/>
          <w:rtl/>
        </w:rPr>
        <w:t>הראבי"ה</w:t>
      </w:r>
      <w:r w:rsidRPr="0050146A">
        <w:rPr>
          <w:rFonts w:hint="cs"/>
          <w:rtl/>
        </w:rPr>
        <w:t xml:space="preserve"> משערים בשישים רק את החלק של החתיכה שמחוץ לרוטב.</w:t>
      </w:r>
    </w:p>
    <w:p w:rsidR="008442F8" w:rsidRPr="0050146A" w:rsidRDefault="008442F8" w:rsidP="008442F8">
      <w:pPr>
        <w:pStyle w:val="1"/>
        <w:rPr>
          <w:rtl/>
        </w:rPr>
      </w:pPr>
      <w:r w:rsidRPr="0050146A">
        <w:rPr>
          <w:rFonts w:hint="cs"/>
          <w:noProof/>
          <w:rtl/>
        </w:rPr>
        <w:t>דברי המרדכי</w:t>
      </w:r>
      <w:r w:rsidRPr="0050146A">
        <w:rPr>
          <w:rFonts w:hint="cs"/>
          <w:rtl/>
        </w:rPr>
        <w:t xml:space="preserve"> בביאור דעת התוס'</w:t>
      </w:r>
      <w:bookmarkEnd w:id="855"/>
      <w:bookmarkEnd w:id="856"/>
      <w:bookmarkEnd w:id="857"/>
      <w:bookmarkEnd w:id="858"/>
      <w:bookmarkEnd w:id="859"/>
      <w:bookmarkEnd w:id="860"/>
      <w:bookmarkEnd w:id="861"/>
      <w:bookmarkEnd w:id="862"/>
      <w:bookmarkEnd w:id="863"/>
      <w:r w:rsidRPr="0050146A">
        <w:rPr>
          <w:rFonts w:hint="cs"/>
          <w:rtl/>
        </w:rPr>
        <w:t xml:space="preserve"> במקצתה ברוטב</w:t>
      </w:r>
      <w:bookmarkEnd w:id="864"/>
      <w:bookmarkEnd w:id="865"/>
      <w:bookmarkEnd w:id="866"/>
    </w:p>
    <w:p w:rsidR="008442F8" w:rsidRPr="0050146A" w:rsidRDefault="008442F8" w:rsidP="008442F8">
      <w:pPr>
        <w:pStyle w:val="a2"/>
        <w:rPr>
          <w:rtl/>
        </w:rPr>
      </w:pPr>
      <w:r w:rsidRPr="0050146A">
        <w:rPr>
          <w:rFonts w:hint="cs"/>
          <w:rtl/>
        </w:rPr>
        <w:t>דברי המרדכי דבחציה ברוטב הרוטב מושך את טיפת החלב לכל הקדירה ואין לה דין חנ</w:t>
      </w:r>
      <w:r w:rsidRPr="0050146A">
        <w:rPr>
          <w:rtl/>
        </w:rPr>
        <w:t>"</w:t>
      </w:r>
      <w:r w:rsidRPr="0050146A">
        <w:rPr>
          <w:rFonts w:hint="cs"/>
          <w:rtl/>
        </w:rPr>
        <w:t>נ</w:t>
      </w:r>
    </w:p>
    <w:p w:rsidR="008442F8" w:rsidRPr="0050146A" w:rsidRDefault="008442F8" w:rsidP="009F44AF">
      <w:pPr>
        <w:pStyle w:val="a"/>
      </w:pPr>
      <w:bookmarkStart w:id="867" w:name="_Ref8725433"/>
      <w:r w:rsidRPr="0050146A">
        <w:rPr>
          <w:rFonts w:hint="cs"/>
          <w:rtl/>
        </w:rPr>
        <w:t xml:space="preserve">אבל </w:t>
      </w:r>
      <w:r w:rsidRPr="0050146A">
        <w:rPr>
          <w:rStyle w:val="af8"/>
          <w:rFonts w:hint="cs"/>
          <w:rtl/>
        </w:rPr>
        <w:t>המרדכי לקמן</w:t>
      </w:r>
      <w:r w:rsidRPr="0050146A">
        <w:rPr>
          <w:rFonts w:hint="cs"/>
          <w:rtl/>
        </w:rPr>
        <w:t xml:space="preserve"> </w:t>
      </w:r>
      <w:r w:rsidRPr="0050146A">
        <w:rPr>
          <w:rStyle w:val="af6"/>
          <w:rFonts w:eastAsia="Guttman Hodes" w:hint="cs"/>
          <w:rtl/>
        </w:rPr>
        <w:t>(קח. רמז תרצ"א ד"ה תנן טיפת)</w:t>
      </w:r>
      <w:r w:rsidRPr="0050146A">
        <w:rPr>
          <w:rFonts w:hint="cs"/>
          <w:rtl/>
        </w:rPr>
        <w:t xml:space="preserve"> כתב דהביאור במתני' לקמן </w:t>
      </w:r>
      <w:r w:rsidRPr="0050146A">
        <w:rPr>
          <w:rStyle w:val="af6"/>
          <w:rFonts w:eastAsia="Guttman Hodes" w:hint="cs"/>
          <w:rtl/>
        </w:rPr>
        <w:t>(קח.)</w:t>
      </w:r>
      <w:r w:rsidRPr="0050146A">
        <w:rPr>
          <w:rFonts w:hint="cs"/>
          <w:rtl/>
        </w:rPr>
        <w:t xml:space="preserve"> הוא דטיפת חלב שנפלה על החתיכה איירי שכולה מחוץ לרוטב, </w:t>
      </w:r>
      <w:r w:rsidRPr="0050146A">
        <w:rPr>
          <w:rStyle w:val="afa"/>
          <w:rFonts w:hint="cs"/>
          <w:rtl/>
        </w:rPr>
        <w:t xml:space="preserve">[כדעת </w:t>
      </w:r>
      <w:r w:rsidRPr="0050146A">
        <w:rPr>
          <w:rStyle w:val="affa"/>
          <w:rFonts w:hint="cs"/>
          <w:rtl/>
        </w:rPr>
        <w:t xml:space="preserve">התוס'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Ref8725364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סג)</w:t>
      </w:r>
      <w:r w:rsidRPr="0050146A">
        <w:rPr>
          <w:rStyle w:val="aff6"/>
          <w:rtl/>
        </w:rPr>
        <w:fldChar w:fldCharType="end"/>
      </w:r>
      <w:r w:rsidRPr="0050146A">
        <w:rPr>
          <w:rStyle w:val="afa"/>
          <w:rFonts w:hint="cs"/>
          <w:rtl/>
        </w:rPr>
        <w:t>],</w:t>
      </w:r>
      <w:r w:rsidRPr="0050146A">
        <w:rPr>
          <w:rFonts w:hint="cs"/>
          <w:rtl/>
        </w:rPr>
        <w:t xml:space="preserve"> אבל אם חציה בתוך הרוטב, טיפת החלב נמשכת בתוך החתיכה עד מקום הרוטב, והרוטב מסייע שכל החתיכות שבקדירה מצטרפות לבטל את הטיפה, אבל כשכולה מחוץ לרוטב, רק החתיכה נאסרת, ואם אח"כ ניער את הקדירה צריך שישים כנגדה כיון שהחתיכה נעשית נבילה, ואם יש שישים כנגדה הכל מותר, חוץ מהחתיכה עצמה שיש לה דין חנ</w:t>
      </w:r>
      <w:r w:rsidRPr="0050146A">
        <w:rPr>
          <w:rtl/>
        </w:rPr>
        <w:t>"</w:t>
      </w:r>
      <w:r w:rsidRPr="0050146A">
        <w:rPr>
          <w:rFonts w:hint="cs"/>
          <w:rtl/>
        </w:rPr>
        <w:t>נ.</w:t>
      </w:r>
      <w:bookmarkEnd w:id="867"/>
    </w:p>
    <w:p w:rsidR="008442F8" w:rsidRPr="0050146A" w:rsidRDefault="008442F8" w:rsidP="008442F8">
      <w:pPr>
        <w:pStyle w:val="a2"/>
        <w:rPr>
          <w:rtl/>
        </w:rPr>
      </w:pPr>
      <w:bookmarkStart w:id="868" w:name="_Toc8209264"/>
      <w:bookmarkStart w:id="869" w:name="_Toc8209402"/>
      <w:bookmarkStart w:id="870" w:name="_Toc8246424"/>
      <w:r w:rsidRPr="0050146A">
        <w:rPr>
          <w:rFonts w:hint="cs"/>
          <w:rtl/>
        </w:rPr>
        <w:t>דברי רבינו פרץ בשם י"א דבמקצתה ברוטב מה שברוטב מותר ומה שחוץ לרוטב אסור</w:t>
      </w:r>
      <w:bookmarkEnd w:id="868"/>
      <w:bookmarkEnd w:id="869"/>
      <w:bookmarkEnd w:id="870"/>
    </w:p>
    <w:p w:rsidR="008442F8" w:rsidRPr="0050146A" w:rsidRDefault="008442F8" w:rsidP="009F44AF">
      <w:pPr>
        <w:pStyle w:val="a"/>
        <w:rPr>
          <w:rtl/>
        </w:rPr>
      </w:pPr>
      <w:bookmarkStart w:id="871" w:name="_Ref8725446"/>
      <w:r w:rsidRPr="0050146A">
        <w:rPr>
          <w:rFonts w:hint="cs"/>
          <w:rtl/>
        </w:rPr>
        <w:t xml:space="preserve">והביא </w:t>
      </w:r>
      <w:r w:rsidRPr="0050146A">
        <w:rPr>
          <w:rStyle w:val="af8"/>
          <w:rFonts w:hint="cs"/>
          <w:rtl/>
        </w:rPr>
        <w:t>המרדכי לקמן</w:t>
      </w:r>
      <w:r w:rsidRPr="0050146A">
        <w:rPr>
          <w:rFonts w:hint="cs"/>
          <w:rtl/>
        </w:rPr>
        <w:t xml:space="preserve"> </w:t>
      </w:r>
      <w:r w:rsidRPr="0050146A">
        <w:rPr>
          <w:rStyle w:val="af6"/>
          <w:rFonts w:eastAsia="Guttman Hodes" w:hint="cs"/>
          <w:rtl/>
        </w:rPr>
        <w:t>(קח. רמז תרצ"א [ויש שהיו רוצין וכו'] באמצע ד"ה תנן טיפת)</w:t>
      </w:r>
      <w:r w:rsidRPr="0050146A">
        <w:rPr>
          <w:rFonts w:hint="cs"/>
          <w:rtl/>
        </w:rPr>
        <w:t xml:space="preserve"> את דברי </w:t>
      </w:r>
      <w:r w:rsidRPr="0050146A">
        <w:rPr>
          <w:rStyle w:val="af8"/>
          <w:rFonts w:hint="cs"/>
          <w:rtl/>
        </w:rPr>
        <w:t>הג' רבינו פרץ על הסמ"ק</w:t>
      </w:r>
      <w:r w:rsidRPr="0050146A">
        <w:rPr>
          <w:rFonts w:hint="cs"/>
          <w:rtl/>
        </w:rPr>
        <w:t xml:space="preserve"> </w:t>
      </w:r>
      <w:r w:rsidRPr="0050146A">
        <w:rPr>
          <w:rStyle w:val="af6"/>
          <w:rFonts w:eastAsia="Guttman Hodes" w:hint="cs"/>
          <w:rtl/>
        </w:rPr>
        <w:t xml:space="preserve">(מצוה רי"ג אות י', הועתק בקובץ שיטות קמאי חולין ח"ג סוף עמ' </w:t>
      </w:r>
      <w:r w:rsidRPr="0050146A">
        <w:rPr>
          <w:rStyle w:val="af6"/>
          <w:rFonts w:eastAsia="Guttman Hodes"/>
          <w:rtl/>
        </w:rPr>
        <w:t>ב' אלף תר</w:t>
      </w:r>
      <w:r w:rsidRPr="0050146A">
        <w:rPr>
          <w:rStyle w:val="af6"/>
          <w:rFonts w:eastAsia="Guttman Hodes" w:hint="cs"/>
          <w:rtl/>
        </w:rPr>
        <w:t>ס"</w:t>
      </w:r>
      <w:r w:rsidRPr="0050146A">
        <w:rPr>
          <w:rStyle w:val="af6"/>
          <w:rFonts w:eastAsia="Guttman Hodes"/>
          <w:rtl/>
        </w:rPr>
        <w:t>ו</w:t>
      </w:r>
      <w:r w:rsidRPr="0050146A">
        <w:rPr>
          <w:rStyle w:val="af6"/>
          <w:rFonts w:eastAsia="Guttman Hodes" w:hint="cs"/>
          <w:rtl/>
        </w:rPr>
        <w:t>)</w:t>
      </w:r>
      <w:r w:rsidRPr="0050146A">
        <w:rPr>
          <w:rFonts w:hint="cs"/>
          <w:rtl/>
        </w:rPr>
        <w:t xml:space="preserve"> דכתב בשם </w:t>
      </w:r>
      <w:r w:rsidRPr="0050146A">
        <w:rPr>
          <w:rStyle w:val="af8"/>
          <w:rFonts w:hint="cs"/>
          <w:rtl/>
        </w:rPr>
        <w:t>י"א</w:t>
      </w:r>
      <w:r w:rsidRPr="0050146A">
        <w:rPr>
          <w:rFonts w:hint="cs"/>
          <w:rtl/>
        </w:rPr>
        <w:t xml:space="preserve"> דבחתיכה שחציה ברוטב וחציה חוץ לרוטב, ונפלה טיפת החלב על חציה שחוץ לרוטב, דמה שבתוך הרוטב מותר, דהרוטב מסייע לבטל את הטיפה, אך מה שמחוץ לרוטב אסור, וצריך להמתין עד שתצנן החתיכה, וחותכין את המקצת שחוץ לרוטב דהוא נאסר, </w:t>
      </w:r>
      <w:r w:rsidRPr="0050146A">
        <w:rPr>
          <w:rStyle w:val="afa"/>
          <w:rFonts w:hint="cs"/>
          <w:rtl/>
        </w:rPr>
        <w:t>[</w:t>
      </w:r>
      <w:r w:rsidRPr="0050146A">
        <w:rPr>
          <w:rStyle w:val="affa"/>
          <w:rFonts w:hint="cs"/>
          <w:rtl/>
        </w:rPr>
        <w:t xml:space="preserve">ובדרכ"מ </w:t>
      </w:r>
      <w:r w:rsidRPr="0050146A">
        <w:rPr>
          <w:rStyle w:val="aff6"/>
          <w:rFonts w:hint="cs"/>
          <w:rtl/>
        </w:rPr>
        <w:t xml:space="preserve">(עי' </w:t>
      </w:r>
      <w:r w:rsidR="009C00D3">
        <w:rPr>
          <w:rStyle w:val="aff6"/>
          <w:rFonts w:hint="cs"/>
          <w:rtl/>
        </w:rPr>
        <w:t xml:space="preserve">אות </w:t>
      </w:r>
      <w:r w:rsidR="009C00D3">
        <w:rPr>
          <w:rStyle w:val="aff6"/>
          <w:rtl/>
        </w:rPr>
        <w:fldChar w:fldCharType="begin"/>
      </w:r>
      <w:r w:rsidR="009C00D3">
        <w:rPr>
          <w:rStyle w:val="aff6"/>
          <w:rtl/>
        </w:rPr>
        <w:instrText xml:space="preserve"> </w:instrText>
      </w:r>
      <w:r w:rsidR="009C00D3">
        <w:rPr>
          <w:rStyle w:val="aff6"/>
          <w:rFonts w:hint="cs"/>
        </w:rPr>
        <w:instrText>REF</w:instrText>
      </w:r>
      <w:r w:rsidR="009C00D3">
        <w:rPr>
          <w:rStyle w:val="aff6"/>
          <w:rFonts w:hint="cs"/>
          <w:rtl/>
        </w:rPr>
        <w:instrText xml:space="preserve"> _</w:instrText>
      </w:r>
      <w:r w:rsidR="009C00D3">
        <w:rPr>
          <w:rStyle w:val="aff6"/>
          <w:rFonts w:hint="cs"/>
        </w:rPr>
        <w:instrText>Ref20428500 \r \h</w:instrText>
      </w:r>
      <w:r w:rsidR="009C00D3">
        <w:rPr>
          <w:rStyle w:val="aff6"/>
          <w:rtl/>
        </w:rPr>
        <w:instrText xml:space="preserve"> </w:instrText>
      </w:r>
      <w:r w:rsidR="009C00D3">
        <w:rPr>
          <w:rStyle w:val="aff6"/>
          <w:rtl/>
        </w:rPr>
      </w:r>
      <w:r w:rsidR="009C00D3">
        <w:rPr>
          <w:rStyle w:val="aff6"/>
          <w:rtl/>
        </w:rPr>
        <w:fldChar w:fldCharType="separate"/>
      </w:r>
      <w:r w:rsidR="004D1C5B">
        <w:rPr>
          <w:rStyle w:val="aff6"/>
          <w:cs/>
        </w:rPr>
        <w:t>‎</w:t>
      </w:r>
      <w:r w:rsidR="004D1C5B">
        <w:rPr>
          <w:rStyle w:val="aff6"/>
          <w:rtl/>
        </w:rPr>
        <w:t>פג)</w:t>
      </w:r>
      <w:r w:rsidR="009C00D3">
        <w:rPr>
          <w:rStyle w:val="aff6"/>
          <w:rtl/>
        </w:rPr>
        <w:fldChar w:fldCharType="end"/>
      </w:r>
      <w:r w:rsidR="009C00D3">
        <w:rPr>
          <w:rStyle w:val="aff6"/>
          <w:rFonts w:hint="cs"/>
          <w:rtl/>
        </w:rPr>
        <w:t xml:space="preserve"> </w:t>
      </w:r>
      <w:r w:rsidRPr="0050146A">
        <w:rPr>
          <w:rStyle w:val="afa"/>
          <w:rFonts w:hint="cs"/>
          <w:rtl/>
        </w:rPr>
        <w:t xml:space="preserve">מבואר </w:t>
      </w:r>
      <w:r w:rsidRPr="0050146A">
        <w:rPr>
          <w:rStyle w:val="affa"/>
          <w:rFonts w:hint="cs"/>
          <w:rtl/>
        </w:rPr>
        <w:t xml:space="preserve">דהי"א </w:t>
      </w:r>
      <w:r w:rsidRPr="0050146A">
        <w:rPr>
          <w:rStyle w:val="afa"/>
          <w:rFonts w:hint="cs"/>
          <w:rtl/>
        </w:rPr>
        <w:t xml:space="preserve">ס"ל כדעת </w:t>
      </w:r>
      <w:r w:rsidRPr="0050146A">
        <w:rPr>
          <w:rStyle w:val="affa"/>
          <w:rFonts w:hint="cs"/>
          <w:rtl/>
        </w:rPr>
        <w:t>רש"י</w:t>
      </w:r>
      <w:r w:rsidRPr="0050146A">
        <w:rPr>
          <w:rStyle w:val="afa"/>
          <w:rFonts w:hint="cs"/>
          <w:rtl/>
        </w:rPr>
        <w:t xml:space="preserve">, </w:t>
      </w:r>
      <w:r w:rsidRPr="0050146A">
        <w:rPr>
          <w:rStyle w:val="affa"/>
          <w:rFonts w:hint="cs"/>
          <w:rtl/>
        </w:rPr>
        <w:t xml:space="preserve">והחזו"א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Ref8737295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פו)</w:t>
      </w:r>
      <w:r w:rsidRPr="0050146A">
        <w:rPr>
          <w:rStyle w:val="aff6"/>
          <w:rtl/>
        </w:rPr>
        <w:fldChar w:fldCharType="end"/>
      </w:r>
      <w:r w:rsidRPr="0050146A">
        <w:rPr>
          <w:rStyle w:val="afa"/>
          <w:rFonts w:hint="cs"/>
          <w:rtl/>
        </w:rPr>
        <w:t xml:space="preserve"> כתב </w:t>
      </w:r>
      <w:r w:rsidRPr="0050146A">
        <w:rPr>
          <w:rStyle w:val="affa"/>
          <w:rFonts w:hint="cs"/>
          <w:rtl/>
        </w:rPr>
        <w:t xml:space="preserve">דהי"א </w:t>
      </w:r>
      <w:r w:rsidRPr="0050146A">
        <w:rPr>
          <w:rStyle w:val="afa"/>
          <w:rFonts w:hint="cs"/>
          <w:rtl/>
        </w:rPr>
        <w:t xml:space="preserve">ס"ל כדעת </w:t>
      </w:r>
      <w:r w:rsidRPr="0050146A">
        <w:rPr>
          <w:rStyle w:val="affa"/>
          <w:rFonts w:hint="cs"/>
          <w:rtl/>
        </w:rPr>
        <w:t>התוס'</w:t>
      </w:r>
      <w:r w:rsidRPr="0050146A">
        <w:rPr>
          <w:rStyle w:val="afa"/>
          <w:rFonts w:hint="cs"/>
          <w:rtl/>
        </w:rPr>
        <w:t xml:space="preserve">]. </w:t>
      </w:r>
      <w:r w:rsidRPr="0050146A">
        <w:rPr>
          <w:rFonts w:hint="cs"/>
          <w:rtl/>
        </w:rPr>
        <w:t xml:space="preserve">ודחה </w:t>
      </w:r>
      <w:r w:rsidRPr="0050146A">
        <w:rPr>
          <w:rStyle w:val="af8"/>
          <w:rFonts w:hint="cs"/>
          <w:rtl/>
        </w:rPr>
        <w:t>המרדכי לקמן</w:t>
      </w:r>
      <w:r w:rsidRPr="0050146A">
        <w:rPr>
          <w:rFonts w:hint="cs"/>
          <w:rtl/>
        </w:rPr>
        <w:t xml:space="preserve"> בשם </w:t>
      </w:r>
      <w:r w:rsidRPr="0050146A">
        <w:rPr>
          <w:rStyle w:val="af8"/>
          <w:rFonts w:hint="cs"/>
          <w:rtl/>
        </w:rPr>
        <w:t>הג' רבינו פרץ על הסמ"ק</w:t>
      </w:r>
      <w:r w:rsidRPr="0050146A">
        <w:rPr>
          <w:rFonts w:hint="cs"/>
          <w:rtl/>
        </w:rPr>
        <w:t xml:space="preserve"> את דברי </w:t>
      </w:r>
      <w:r w:rsidRPr="0050146A">
        <w:rPr>
          <w:rStyle w:val="af8"/>
          <w:rFonts w:hint="cs"/>
          <w:rtl/>
        </w:rPr>
        <w:t>הי"א</w:t>
      </w:r>
      <w:r w:rsidRPr="0050146A">
        <w:rPr>
          <w:rFonts w:hint="cs"/>
          <w:rtl/>
        </w:rPr>
        <w:t xml:space="preserve"> דמבואר </w:t>
      </w:r>
      <w:r w:rsidRPr="0050146A">
        <w:rPr>
          <w:rStyle w:val="af8"/>
          <w:rFonts w:hint="cs"/>
          <w:rtl/>
        </w:rPr>
        <w:t xml:space="preserve">בתוס'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Ref8725364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50146A">
        <w:rPr>
          <w:rStyle w:val="af6"/>
          <w:rFonts w:eastAsia="Guttman Hodes"/>
          <w:rtl/>
        </w:rPr>
        <w:fldChar w:fldCharType="end"/>
      </w:r>
      <w:r w:rsidRPr="0050146A">
        <w:rPr>
          <w:rFonts w:hint="cs"/>
          <w:rtl/>
        </w:rPr>
        <w:t xml:space="preserve"> דהרוטב מסייע לבטל את החלב גם בחלק החתיכה שמחוץ לרוטב, ובמתני' לקמן איירי שכולה חוץ לרוטב, ובמתני' בסוגיין בירך בגיד איירי שאין בירך וברוטב שישים כנגד הגיד, ולכן הכל נאסר.</w:t>
      </w:r>
      <w:bookmarkEnd w:id="871"/>
    </w:p>
    <w:p w:rsidR="008442F8" w:rsidRPr="0050146A" w:rsidRDefault="008442F8" w:rsidP="008442F8">
      <w:pPr>
        <w:pStyle w:val="a2"/>
        <w:rPr>
          <w:rtl/>
        </w:rPr>
      </w:pPr>
      <w:r w:rsidRPr="0050146A">
        <w:rPr>
          <w:rFonts w:hint="cs"/>
          <w:rtl/>
        </w:rPr>
        <w:t>קושית רבינו פרץ על התוס' דהיאך הרוטב מבטל את האיסור בחצי שחוץ לרוטב</w:t>
      </w:r>
    </w:p>
    <w:p w:rsidR="002D7168" w:rsidRDefault="008442F8" w:rsidP="009F44AF">
      <w:pPr>
        <w:pStyle w:val="a"/>
        <w:rPr>
          <w:rtl/>
        </w:rPr>
      </w:pPr>
      <w:bookmarkStart w:id="872" w:name="_Toc8209265"/>
      <w:bookmarkStart w:id="873" w:name="_Toc8209403"/>
      <w:bookmarkStart w:id="874" w:name="_Toc8246425"/>
      <w:bookmarkStart w:id="875" w:name="_Toc7711784"/>
      <w:bookmarkStart w:id="876" w:name="_Toc7724610"/>
      <w:bookmarkStart w:id="877" w:name="_Toc8069052"/>
      <w:bookmarkStart w:id="878" w:name="_Toc8069124"/>
      <w:bookmarkStart w:id="879" w:name="_Toc8106008"/>
      <w:bookmarkStart w:id="880" w:name="_Toc8117868"/>
      <w:bookmarkStart w:id="881" w:name="_Toc8122516"/>
      <w:bookmarkStart w:id="882" w:name="_Toc8142976"/>
      <w:bookmarkStart w:id="883" w:name="_Toc8160774"/>
      <w:bookmarkStart w:id="884" w:name="_Toc8209258"/>
      <w:bookmarkStart w:id="885" w:name="_Toc8209396"/>
      <w:bookmarkStart w:id="886" w:name="_Toc8246418"/>
      <w:bookmarkEnd w:id="849"/>
      <w:bookmarkEnd w:id="850"/>
      <w:bookmarkEnd w:id="851"/>
      <w:bookmarkEnd w:id="852"/>
      <w:r w:rsidRPr="0050146A">
        <w:rPr>
          <w:rFonts w:hint="cs"/>
          <w:rtl/>
        </w:rPr>
        <w:t xml:space="preserve">והביא </w:t>
      </w:r>
      <w:r w:rsidRPr="0050146A">
        <w:rPr>
          <w:rStyle w:val="af8"/>
          <w:rFonts w:hint="cs"/>
          <w:rtl/>
        </w:rPr>
        <w:t>המרדכי</w:t>
      </w:r>
      <w:r w:rsidRPr="0050146A">
        <w:rPr>
          <w:rFonts w:hint="cs"/>
          <w:rtl/>
        </w:rPr>
        <w:t xml:space="preserve"> את דברי </w:t>
      </w:r>
      <w:r w:rsidRPr="0050146A">
        <w:rPr>
          <w:rStyle w:val="af8"/>
          <w:rFonts w:hint="cs"/>
          <w:rtl/>
        </w:rPr>
        <w:t>הג' רבינו פרץ על הסמ"ק</w:t>
      </w:r>
      <w:r w:rsidRPr="0050146A">
        <w:rPr>
          <w:rFonts w:hint="cs"/>
          <w:rtl/>
        </w:rPr>
        <w:t xml:space="preserve"> דהקשה על </w:t>
      </w:r>
      <w:r w:rsidRPr="0050146A">
        <w:rPr>
          <w:rStyle w:val="af8"/>
          <w:rFonts w:hint="cs"/>
          <w:rtl/>
        </w:rPr>
        <w:t>התוס'</w:t>
      </w:r>
      <w:r w:rsidRPr="0050146A">
        <w:rPr>
          <w:rFonts w:hint="cs"/>
          <w:rtl/>
        </w:rPr>
        <w:t xml:space="preserve"> דמה הסברא לומר דהרוטב מועיל לבטל את האיסור, ולהתיר אף את חלק החתיכה שמחוץ לרוטב שנבלע בו האיסור.</w:t>
      </w:r>
    </w:p>
    <w:p w:rsidR="008442F8" w:rsidRPr="0050146A" w:rsidRDefault="008442F8" w:rsidP="008442F8">
      <w:pPr>
        <w:pStyle w:val="a2"/>
        <w:rPr>
          <w:rtl/>
        </w:rPr>
      </w:pPr>
      <w:r w:rsidRPr="0050146A">
        <w:rPr>
          <w:rFonts w:hint="cs"/>
          <w:rtl/>
        </w:rPr>
        <w:t>ביאור הר"פ בתוס' דבתוך החתיכה האיסור מתפשט בלא רוטב וע"י הרוטב מתפשט אף חוץ לחתיכה</w:t>
      </w:r>
      <w:bookmarkEnd w:id="872"/>
      <w:bookmarkEnd w:id="873"/>
      <w:bookmarkEnd w:id="874"/>
      <w:r w:rsidRPr="0050146A">
        <w:rPr>
          <w:rFonts w:hint="cs"/>
          <w:rtl/>
        </w:rPr>
        <w:t xml:space="preserve"> </w:t>
      </w:r>
    </w:p>
    <w:p w:rsidR="00AA6DCE" w:rsidRPr="0050146A" w:rsidRDefault="008442F8" w:rsidP="009F44AF">
      <w:pPr>
        <w:pStyle w:val="a"/>
        <w:rPr>
          <w:rtl/>
        </w:rPr>
      </w:pPr>
      <w:r w:rsidRPr="0050146A">
        <w:rPr>
          <w:rFonts w:hint="cs"/>
          <w:rtl/>
        </w:rPr>
        <w:t xml:space="preserve">והביא </w:t>
      </w:r>
      <w:r w:rsidRPr="0050146A">
        <w:rPr>
          <w:rStyle w:val="af8"/>
          <w:rFonts w:hint="cs"/>
          <w:rtl/>
        </w:rPr>
        <w:t>המרדכי</w:t>
      </w:r>
      <w:r w:rsidRPr="0050146A">
        <w:rPr>
          <w:rFonts w:hint="cs"/>
          <w:rtl/>
        </w:rPr>
        <w:t xml:space="preserve"> את דברי </w:t>
      </w:r>
      <w:r w:rsidRPr="0050146A">
        <w:rPr>
          <w:rStyle w:val="af8"/>
          <w:rFonts w:hint="cs"/>
          <w:rtl/>
        </w:rPr>
        <w:t>הג' רבינו פרץ על הסמ"ק</w:t>
      </w:r>
      <w:r w:rsidRPr="0050146A">
        <w:rPr>
          <w:rFonts w:hint="cs"/>
          <w:rtl/>
        </w:rPr>
        <w:t xml:space="preserve"> דתירץ דאף שאיסור שנבלע בהיתר יכול להתפשט לשאר החתיכות רק ע"י הרוטב, מ"מ בתוך החתיכה עצמה האיסור מתפשט אף בלא הרוטב, </w:t>
      </w:r>
      <w:r w:rsidRPr="0050146A">
        <w:rPr>
          <w:rFonts w:hint="cs"/>
          <w:rtl/>
        </w:rPr>
        <w:t xml:space="preserve">כדמשמע במתני' לקמן </w:t>
      </w:r>
      <w:r w:rsidRPr="0050146A">
        <w:rPr>
          <w:rStyle w:val="af6"/>
          <w:rFonts w:eastAsia="Guttman Hodes" w:hint="cs"/>
          <w:rtl/>
        </w:rPr>
        <w:t xml:space="preserve">(קח.) </w:t>
      </w:r>
      <w:r w:rsidRPr="0050146A">
        <w:rPr>
          <w:rFonts w:hint="cs"/>
          <w:rtl/>
        </w:rPr>
        <w:t>בדין טיפת חלב, ולכן אחר שנפלה טיפת החלב על מקצת החתיכה שמחוץ לרוטב, נאסרה כל החתיכה דהחלב מתפשט בלא הרוטב אף בחלק שבתוך הרוטב, ואחר שנאסרה החתיכה הטיפה מתפשטת בכל הקדירה ע"י הרוטב.</w:t>
      </w:r>
    </w:p>
    <w:p w:rsidR="008442F8" w:rsidRPr="0050146A" w:rsidRDefault="008442F8" w:rsidP="008442F8">
      <w:pPr>
        <w:pStyle w:val="1"/>
        <w:rPr>
          <w:rtl/>
        </w:rPr>
      </w:pPr>
      <w:r w:rsidRPr="0050146A">
        <w:rPr>
          <w:rFonts w:hint="cs"/>
          <w:rtl/>
        </w:rPr>
        <w:t>דברי הדרכ"מ בדעת רש"י</w:t>
      </w:r>
      <w:bookmarkEnd w:id="875"/>
      <w:bookmarkEnd w:id="876"/>
      <w:bookmarkEnd w:id="877"/>
      <w:bookmarkEnd w:id="878"/>
      <w:bookmarkEnd w:id="879"/>
      <w:bookmarkEnd w:id="880"/>
      <w:bookmarkEnd w:id="881"/>
      <w:bookmarkEnd w:id="882"/>
      <w:r w:rsidRPr="0050146A">
        <w:rPr>
          <w:rFonts w:hint="cs"/>
          <w:rtl/>
        </w:rPr>
        <w:t xml:space="preserve"> אי חנ</w:t>
      </w:r>
      <w:r w:rsidRPr="0050146A">
        <w:rPr>
          <w:rtl/>
        </w:rPr>
        <w:t>"</w:t>
      </w:r>
      <w:r w:rsidRPr="0050146A">
        <w:rPr>
          <w:rFonts w:hint="cs"/>
          <w:rtl/>
        </w:rPr>
        <w:t>נ אוסר הכל בלא ניער וכיסה</w:t>
      </w:r>
      <w:bookmarkEnd w:id="883"/>
      <w:bookmarkEnd w:id="884"/>
      <w:bookmarkEnd w:id="885"/>
      <w:bookmarkEnd w:id="886"/>
    </w:p>
    <w:p w:rsidR="008442F8" w:rsidRPr="0050146A" w:rsidRDefault="008442F8" w:rsidP="008442F8">
      <w:pPr>
        <w:pStyle w:val="a2"/>
        <w:rPr>
          <w:rtl/>
        </w:rPr>
      </w:pPr>
      <w:bookmarkStart w:id="887" w:name="_Toc8160775"/>
      <w:bookmarkStart w:id="888" w:name="_Toc8209259"/>
      <w:bookmarkStart w:id="889" w:name="_Toc8209397"/>
      <w:bookmarkStart w:id="890" w:name="_Toc8246419"/>
      <w:r w:rsidRPr="0050146A">
        <w:rPr>
          <w:rFonts w:hint="cs"/>
          <w:rtl/>
        </w:rPr>
        <w:t>דברי הדרכ"מ בדעת הר"ן דלרש"י אחר שנעשית החתיכה חנ</w:t>
      </w:r>
      <w:r w:rsidRPr="0050146A">
        <w:rPr>
          <w:rtl/>
        </w:rPr>
        <w:t>"</w:t>
      </w:r>
      <w:r w:rsidRPr="0050146A">
        <w:rPr>
          <w:rFonts w:hint="cs"/>
          <w:rtl/>
        </w:rPr>
        <w:t>נ היא אוסרת הכל בלא ניער וכיסה</w:t>
      </w:r>
      <w:bookmarkEnd w:id="887"/>
      <w:bookmarkEnd w:id="888"/>
      <w:bookmarkEnd w:id="889"/>
      <w:bookmarkEnd w:id="890"/>
    </w:p>
    <w:p w:rsidR="008442F8" w:rsidRPr="0050146A" w:rsidRDefault="008442F8" w:rsidP="009F44AF">
      <w:pPr>
        <w:pStyle w:val="a"/>
        <w:rPr>
          <w:rtl/>
        </w:rPr>
      </w:pPr>
      <w:bookmarkStart w:id="891" w:name="_Ref8729344"/>
      <w:bookmarkStart w:id="892" w:name="_Toc8160776"/>
      <w:bookmarkStart w:id="893" w:name="_Toc8209260"/>
      <w:bookmarkStart w:id="894" w:name="_Toc8209398"/>
      <w:bookmarkStart w:id="895" w:name="_Toc8246420"/>
      <w:r w:rsidRPr="0050146A">
        <w:rPr>
          <w:rFonts w:hint="cs"/>
          <w:rtl/>
        </w:rPr>
        <w:t xml:space="preserve">כתב </w:t>
      </w:r>
      <w:r w:rsidRPr="0050146A">
        <w:rPr>
          <w:rStyle w:val="af8"/>
          <w:rFonts w:hint="cs"/>
          <w:rtl/>
        </w:rPr>
        <w:t>הדרכ"מ</w:t>
      </w:r>
      <w:r w:rsidRPr="0050146A">
        <w:rPr>
          <w:rFonts w:hint="cs"/>
          <w:rtl/>
        </w:rPr>
        <w:t xml:space="preserve"> </w:t>
      </w:r>
      <w:r w:rsidRPr="0050146A">
        <w:rPr>
          <w:rStyle w:val="af6"/>
          <w:rFonts w:eastAsia="Guttman Hodes" w:hint="cs"/>
          <w:rtl/>
        </w:rPr>
        <w:t>(סי' צ"ב ב')</w:t>
      </w:r>
      <w:r w:rsidRPr="0050146A">
        <w:rPr>
          <w:rFonts w:hint="cs"/>
          <w:rtl/>
        </w:rPr>
        <w:t xml:space="preserve"> דבדברי </w:t>
      </w:r>
      <w:r w:rsidRPr="0050146A">
        <w:rPr>
          <w:rStyle w:val="af8"/>
          <w:rFonts w:hint="cs"/>
          <w:rtl/>
        </w:rPr>
        <w:t>הר"ן על הרי"ף</w:t>
      </w:r>
      <w:r w:rsidRPr="0050146A">
        <w:rPr>
          <w:rFonts w:hint="cs"/>
          <w:rtl/>
        </w:rPr>
        <w:t xml:space="preserve"> </w:t>
      </w:r>
      <w:r w:rsidRPr="0050146A">
        <w:rPr>
          <w:rStyle w:val="af6"/>
          <w:rFonts w:eastAsia="Guttman Hodes" w:hint="cs"/>
          <w:rtl/>
        </w:rPr>
        <w:t>(מג. מדפי הרי"ף ד"ה תנן)</w:t>
      </w:r>
      <w:r w:rsidRPr="0050146A">
        <w:rPr>
          <w:rFonts w:hint="cs"/>
          <w:rtl/>
        </w:rPr>
        <w:t xml:space="preserve"> מבואר דלדעת </w:t>
      </w:r>
      <w:r w:rsidRPr="0050146A">
        <w:rPr>
          <w:rStyle w:val="af8"/>
          <w:rFonts w:hint="cs"/>
          <w:rtl/>
        </w:rPr>
        <w:t>רש"י</w:t>
      </w:r>
      <w:r w:rsidRPr="0050146A">
        <w:rPr>
          <w:rFonts w:hint="cs"/>
          <w:rtl/>
        </w:rPr>
        <w:t xml:space="preserve"> אף דבתחילה החלב אינו מתפשט בכל הקדירה, ואוסר רק את החתיכה עצמה, והרוטב אינו מצטרף לבטל את טיפת החלב, מ"מ אחר שנאסרה החתיכה בדין חנ</w:t>
      </w:r>
      <w:r w:rsidRPr="0050146A">
        <w:rPr>
          <w:rtl/>
        </w:rPr>
        <w:t>"</w:t>
      </w:r>
      <w:r w:rsidRPr="0050146A">
        <w:rPr>
          <w:rFonts w:hint="cs"/>
          <w:rtl/>
        </w:rPr>
        <w:t xml:space="preserve">נ היא אוסרת את כל הקדירה, אף כשלא ניער וכיסה, כיון שמקצתה מונחת בתוך הרוטב, </w:t>
      </w:r>
      <w:r w:rsidRPr="0050146A">
        <w:rPr>
          <w:rStyle w:val="afa"/>
          <w:rFonts w:hint="cs"/>
          <w:rtl/>
        </w:rPr>
        <w:t xml:space="preserve">[יעויי"ש בדברי </w:t>
      </w:r>
      <w:r w:rsidRPr="0050146A">
        <w:rPr>
          <w:rStyle w:val="affa"/>
          <w:rFonts w:hint="cs"/>
          <w:rtl/>
        </w:rPr>
        <w:t>הר"ן</w:t>
      </w:r>
      <w:r w:rsidRPr="0050146A">
        <w:rPr>
          <w:rStyle w:val="afa"/>
          <w:rFonts w:hint="cs"/>
          <w:rtl/>
        </w:rPr>
        <w:t xml:space="preserve"> דכ"כ למסקנת הגמ' דקיי"ל כמ"ד דאפשר לסוחטו אסור, ולכן חתיכת החנ</w:t>
      </w:r>
      <w:r w:rsidRPr="0050146A">
        <w:rPr>
          <w:rStyle w:val="afa"/>
          <w:rtl/>
        </w:rPr>
        <w:t>"</w:t>
      </w:r>
      <w:r w:rsidRPr="0050146A">
        <w:rPr>
          <w:rStyle w:val="afa"/>
          <w:rFonts w:hint="cs"/>
          <w:rtl/>
        </w:rPr>
        <w:t xml:space="preserve">נ אוסרת את כל הקדירה אף בלא ניער וכיסה כיון שכל החתיכות הם בתוך ההבל של הקדירה, וע"ז כתב </w:t>
      </w:r>
      <w:r w:rsidRPr="0050146A">
        <w:rPr>
          <w:rStyle w:val="affa"/>
          <w:rFonts w:hint="cs"/>
          <w:rtl/>
        </w:rPr>
        <w:t>הר"ן</w:t>
      </w:r>
      <w:r w:rsidRPr="0050146A">
        <w:rPr>
          <w:rStyle w:val="afa"/>
          <w:rFonts w:hint="cs"/>
          <w:rtl/>
        </w:rPr>
        <w:t xml:space="preserve"> דלכן נראה ביאור </w:t>
      </w:r>
      <w:r w:rsidRPr="0050146A">
        <w:rPr>
          <w:rStyle w:val="affa"/>
          <w:rFonts w:hint="cs"/>
          <w:rtl/>
        </w:rPr>
        <w:t>רש"י</w:t>
      </w:r>
      <w:r w:rsidRPr="0050146A">
        <w:rPr>
          <w:rStyle w:val="afa"/>
          <w:rFonts w:hint="cs"/>
          <w:rtl/>
        </w:rPr>
        <w:t xml:space="preserve"> דביאר את ביאור רב במתני' לקמן דהחתיכה עצמה יש לה דין חנ</w:t>
      </w:r>
      <w:r w:rsidRPr="0050146A">
        <w:rPr>
          <w:rStyle w:val="afa"/>
          <w:rtl/>
        </w:rPr>
        <w:t>"</w:t>
      </w:r>
      <w:r w:rsidRPr="0050146A">
        <w:rPr>
          <w:rStyle w:val="afa"/>
          <w:rFonts w:hint="cs"/>
          <w:rtl/>
        </w:rPr>
        <w:t>נ והיא אוסרת את כל הקדירה],</w:t>
      </w:r>
      <w:r w:rsidRPr="0050146A">
        <w:rPr>
          <w:rFonts w:hint="cs"/>
          <w:rtl/>
        </w:rPr>
        <w:t xml:space="preserve"> והביא </w:t>
      </w:r>
      <w:r w:rsidRPr="0050146A">
        <w:rPr>
          <w:rStyle w:val="af8"/>
          <w:rFonts w:hint="cs"/>
          <w:rtl/>
        </w:rPr>
        <w:t>הדרכ"מ</w:t>
      </w:r>
      <w:r w:rsidRPr="0050146A">
        <w:rPr>
          <w:rFonts w:hint="cs"/>
          <w:rtl/>
        </w:rPr>
        <w:t xml:space="preserve"> דכ"כ </w:t>
      </w:r>
      <w:r w:rsidRPr="0050146A">
        <w:rPr>
          <w:rStyle w:val="af8"/>
          <w:rFonts w:hint="cs"/>
          <w:rtl/>
        </w:rPr>
        <w:t>המ"מ</w:t>
      </w:r>
      <w:r w:rsidRPr="0050146A">
        <w:rPr>
          <w:rFonts w:hint="cs"/>
          <w:rtl/>
        </w:rPr>
        <w:t xml:space="preserve"> </w:t>
      </w:r>
      <w:r w:rsidRPr="0050146A">
        <w:rPr>
          <w:rStyle w:val="af6"/>
          <w:rFonts w:eastAsia="Guttman Hodes" w:hint="cs"/>
          <w:rtl/>
        </w:rPr>
        <w:t xml:space="preserve">(מאכ"א פ"ט ה"ח) </w:t>
      </w:r>
      <w:r w:rsidRPr="0050146A">
        <w:rPr>
          <w:rFonts w:hint="cs"/>
          <w:rtl/>
        </w:rPr>
        <w:t xml:space="preserve">בשם </w:t>
      </w:r>
      <w:r w:rsidRPr="0050146A">
        <w:rPr>
          <w:rStyle w:val="af8"/>
          <w:rFonts w:hint="cs"/>
          <w:rtl/>
        </w:rPr>
        <w:t>י"א</w:t>
      </w:r>
      <w:r w:rsidRPr="0050146A">
        <w:rPr>
          <w:rFonts w:hint="cs"/>
          <w:rtl/>
        </w:rPr>
        <w:t xml:space="preserve">, ועיי"ש בדברי </w:t>
      </w:r>
      <w:r w:rsidRPr="0050146A">
        <w:rPr>
          <w:rStyle w:val="af8"/>
          <w:rFonts w:hint="cs"/>
          <w:rtl/>
        </w:rPr>
        <w:t>הדרכ"מ</w:t>
      </w:r>
      <w:r w:rsidRPr="0050146A">
        <w:rPr>
          <w:rFonts w:hint="cs"/>
          <w:rtl/>
        </w:rPr>
        <w:t xml:space="preserve"> דמספקא ליה מהי דעת </w:t>
      </w:r>
      <w:r w:rsidRPr="0050146A">
        <w:rPr>
          <w:rStyle w:val="af8"/>
          <w:rFonts w:hint="cs"/>
          <w:rtl/>
        </w:rPr>
        <w:t>הרשב"א</w:t>
      </w:r>
      <w:r w:rsidRPr="0050146A">
        <w:rPr>
          <w:rFonts w:hint="cs"/>
          <w:rtl/>
        </w:rPr>
        <w:t xml:space="preserve"> בזה.</w:t>
      </w:r>
      <w:bookmarkEnd w:id="891"/>
      <w:r w:rsidRPr="0050146A">
        <w:rPr>
          <w:rFonts w:hint="cs"/>
          <w:rtl/>
        </w:rPr>
        <w:t xml:space="preserve"> </w:t>
      </w:r>
    </w:p>
    <w:p w:rsidR="008442F8" w:rsidRPr="0050146A" w:rsidRDefault="008442F8" w:rsidP="008442F8">
      <w:pPr>
        <w:pStyle w:val="a2"/>
        <w:rPr>
          <w:rtl/>
        </w:rPr>
      </w:pPr>
      <w:r w:rsidRPr="0050146A">
        <w:rPr>
          <w:rFonts w:hint="cs"/>
          <w:rtl/>
        </w:rPr>
        <w:t>ביאור הט"ז ברש"י דהחלק העליון בחתיכה אוסר את התחתון ואח"כ נאסרת כל הקדירה ע"י הרוטב</w:t>
      </w:r>
      <w:bookmarkEnd w:id="892"/>
      <w:bookmarkEnd w:id="893"/>
      <w:bookmarkEnd w:id="894"/>
      <w:bookmarkEnd w:id="895"/>
    </w:p>
    <w:p w:rsidR="008442F8" w:rsidRPr="0050146A" w:rsidRDefault="008442F8" w:rsidP="009F44AF">
      <w:pPr>
        <w:pStyle w:val="a"/>
        <w:rPr>
          <w:rtl/>
        </w:rPr>
      </w:pPr>
      <w:bookmarkStart w:id="896" w:name="_Ref8729350"/>
      <w:r w:rsidRPr="0050146A">
        <w:rPr>
          <w:rFonts w:hint="cs"/>
          <w:rtl/>
        </w:rPr>
        <w:t xml:space="preserve">וכן ביאר </w:t>
      </w:r>
      <w:r w:rsidRPr="0050146A">
        <w:rPr>
          <w:rStyle w:val="af8"/>
          <w:rFonts w:hint="cs"/>
          <w:rtl/>
        </w:rPr>
        <w:t>הט"ז</w:t>
      </w:r>
      <w:r w:rsidRPr="0050146A">
        <w:rPr>
          <w:rFonts w:hint="cs"/>
          <w:rtl/>
        </w:rPr>
        <w:t xml:space="preserve"> </w:t>
      </w:r>
      <w:r w:rsidRPr="0050146A">
        <w:rPr>
          <w:rStyle w:val="af6"/>
          <w:rFonts w:eastAsia="Guttman Hodes" w:hint="cs"/>
          <w:rtl/>
        </w:rPr>
        <w:t>(סי' צ"ב סק"ב)</w:t>
      </w:r>
      <w:r w:rsidRPr="0050146A">
        <w:rPr>
          <w:rFonts w:hint="cs"/>
          <w:rtl/>
        </w:rPr>
        <w:t xml:space="preserve"> בדעת </w:t>
      </w:r>
      <w:r w:rsidRPr="0050146A">
        <w:rPr>
          <w:rStyle w:val="af8"/>
          <w:rFonts w:hint="cs"/>
          <w:rtl/>
        </w:rPr>
        <w:t>רש"י</w:t>
      </w:r>
      <w:r w:rsidRPr="0050146A">
        <w:rPr>
          <w:rFonts w:hint="cs"/>
          <w:rtl/>
        </w:rPr>
        <w:t xml:space="preserve"> דהא דהרוטב אינו מסייע לבטל את טיפת החלב, הוא כיון שרתיחת הרוטב אינה מגיעה לטיפת החלב, אך אותה החתיכה עצמה כולה אסורה, דהחלק העליון אוסר את החלק התחתון, ואחר שהיא נאסרה היא אוסרת את כל החתיכות כיון שמקצתה בתוך הרוטב והרוטב מוליך את איסורה לשאר החתיכות.</w:t>
      </w:r>
      <w:bookmarkEnd w:id="896"/>
    </w:p>
    <w:p w:rsidR="008442F8" w:rsidRPr="0050146A" w:rsidRDefault="008442F8" w:rsidP="008442F8">
      <w:pPr>
        <w:pStyle w:val="a2"/>
        <w:rPr>
          <w:rtl/>
        </w:rPr>
      </w:pPr>
      <w:bookmarkStart w:id="897" w:name="_Toc8160777"/>
      <w:bookmarkStart w:id="898" w:name="_Toc8209261"/>
      <w:bookmarkStart w:id="899" w:name="_Toc8209399"/>
      <w:bookmarkStart w:id="900" w:name="_Toc8246421"/>
      <w:r w:rsidRPr="0050146A">
        <w:rPr>
          <w:rFonts w:hint="cs"/>
          <w:rtl/>
        </w:rPr>
        <w:t>דברי הדרכ"מ דבמרדכי משמע דלרש"י רק אחר שיש לה דין חנ</w:t>
      </w:r>
      <w:r w:rsidRPr="0050146A">
        <w:rPr>
          <w:rtl/>
        </w:rPr>
        <w:t>"</w:t>
      </w:r>
      <w:r w:rsidRPr="0050146A">
        <w:rPr>
          <w:rFonts w:hint="cs"/>
          <w:rtl/>
        </w:rPr>
        <w:t xml:space="preserve">נ אם ניער וכיסה נאסר הכל </w:t>
      </w:r>
      <w:bookmarkStart w:id="901" w:name="_Ref8726959"/>
      <w:bookmarkStart w:id="902" w:name="_Toc8160778"/>
      <w:bookmarkStart w:id="903" w:name="_Toc8209262"/>
      <w:bookmarkStart w:id="904" w:name="_Toc8209400"/>
      <w:bookmarkStart w:id="905" w:name="_Toc8246422"/>
      <w:bookmarkEnd w:id="897"/>
      <w:bookmarkEnd w:id="898"/>
      <w:bookmarkEnd w:id="899"/>
      <w:bookmarkEnd w:id="900"/>
    </w:p>
    <w:p w:rsidR="008442F8" w:rsidRPr="0050146A" w:rsidRDefault="008442F8" w:rsidP="009F44AF">
      <w:pPr>
        <w:pStyle w:val="a"/>
      </w:pPr>
      <w:bookmarkStart w:id="906" w:name="_Ref20428500"/>
      <w:r w:rsidRPr="0050146A">
        <w:rPr>
          <w:rFonts w:hint="cs"/>
          <w:rtl/>
        </w:rPr>
        <w:t xml:space="preserve">אך כתב </w:t>
      </w:r>
      <w:r w:rsidRPr="0050146A">
        <w:rPr>
          <w:rStyle w:val="af8"/>
          <w:rFonts w:hint="cs"/>
          <w:rtl/>
        </w:rPr>
        <w:t>הדרכ"מ</w:t>
      </w:r>
      <w:r w:rsidRPr="0050146A">
        <w:rPr>
          <w:rFonts w:hint="cs"/>
          <w:rtl/>
        </w:rPr>
        <w:t xml:space="preserve"> </w:t>
      </w:r>
      <w:r w:rsidRPr="0050146A">
        <w:rPr>
          <w:rStyle w:val="af6"/>
          <w:rFonts w:eastAsia="Guttman Hodes" w:hint="cs"/>
          <w:rtl/>
        </w:rPr>
        <w:t>(סי' צ"ב ב')</w:t>
      </w:r>
      <w:r w:rsidRPr="0050146A">
        <w:rPr>
          <w:rFonts w:hint="cs"/>
          <w:rtl/>
        </w:rPr>
        <w:t xml:space="preserve"> דמדברי </w:t>
      </w:r>
      <w:r w:rsidRPr="0050146A">
        <w:rPr>
          <w:rStyle w:val="af8"/>
          <w:rFonts w:hint="cs"/>
          <w:rtl/>
        </w:rPr>
        <w:t>המרדכי</w:t>
      </w:r>
      <w:r w:rsidRPr="0050146A">
        <w:rPr>
          <w:rFonts w:hint="cs"/>
          <w:rtl/>
        </w:rPr>
        <w:t xml:space="preserve"> משמע החתיכה שמקצתה ברוטב שיש לה דין חנ</w:t>
      </w:r>
      <w:r w:rsidRPr="0050146A">
        <w:rPr>
          <w:rtl/>
        </w:rPr>
        <w:t>"</w:t>
      </w:r>
      <w:r w:rsidRPr="0050146A">
        <w:rPr>
          <w:rFonts w:hint="cs"/>
          <w:rtl/>
        </w:rPr>
        <w:t xml:space="preserve">נ אינה אוסרת את שאר הקדירה, אם לא ניער וכיסה, וביאר </w:t>
      </w:r>
      <w:r w:rsidRPr="0050146A">
        <w:rPr>
          <w:rStyle w:val="af8"/>
          <w:rFonts w:hint="cs"/>
          <w:rtl/>
        </w:rPr>
        <w:t>הדרכ"מ</w:t>
      </w:r>
      <w:r w:rsidRPr="0050146A">
        <w:rPr>
          <w:rFonts w:hint="cs"/>
          <w:rtl/>
        </w:rPr>
        <w:t xml:space="preserve"> דמשמע מדברי </w:t>
      </w:r>
      <w:r w:rsidRPr="0050146A">
        <w:rPr>
          <w:rStyle w:val="af8"/>
          <w:rFonts w:hint="cs"/>
          <w:rtl/>
        </w:rPr>
        <w:t xml:space="preserve">המרדכי </w:t>
      </w:r>
      <w:r w:rsidRPr="0050146A">
        <w:rPr>
          <w:rFonts w:hint="cs"/>
          <w:rtl/>
        </w:rPr>
        <w:t xml:space="preserve">דלדעת </w:t>
      </w:r>
      <w:r w:rsidRPr="0050146A">
        <w:rPr>
          <w:rStyle w:val="af8"/>
          <w:rFonts w:hint="cs"/>
          <w:rtl/>
        </w:rPr>
        <w:t>רש"י</w:t>
      </w:r>
      <w:r w:rsidRPr="0050146A">
        <w:rPr>
          <w:rFonts w:hint="cs"/>
          <w:rtl/>
        </w:rPr>
        <w:t xml:space="preserve"> החלק של החתיכה שבתוך הרוטב אינו נאסר כלל, </w:t>
      </w:r>
      <w:r w:rsidRPr="0050146A">
        <w:rPr>
          <w:rStyle w:val="afa"/>
          <w:rFonts w:hint="cs"/>
          <w:rtl/>
        </w:rPr>
        <w:t xml:space="preserve">[כדהביא </w:t>
      </w:r>
      <w:r w:rsidRPr="0050146A">
        <w:rPr>
          <w:rStyle w:val="affa"/>
          <w:rFonts w:hint="cs"/>
          <w:rtl/>
        </w:rPr>
        <w:t xml:space="preserve">המרדכי </w:t>
      </w:r>
      <w:r w:rsidRPr="0050146A">
        <w:rPr>
          <w:rStyle w:val="afa"/>
          <w:rFonts w:hint="cs"/>
          <w:rtl/>
        </w:rPr>
        <w:t xml:space="preserve">את דברי </w:t>
      </w:r>
      <w:r w:rsidRPr="0050146A">
        <w:rPr>
          <w:rStyle w:val="affa"/>
          <w:rFonts w:hint="cs"/>
          <w:rtl/>
        </w:rPr>
        <w:t xml:space="preserve">הג' רבינו פרץ </w:t>
      </w:r>
      <w:r w:rsidRPr="0050146A">
        <w:rPr>
          <w:rStyle w:val="afa"/>
          <w:rFonts w:hint="cs"/>
          <w:rtl/>
        </w:rPr>
        <w:t xml:space="preserve">בשם </w:t>
      </w:r>
      <w:r w:rsidRPr="0050146A">
        <w:rPr>
          <w:rStyle w:val="affa"/>
          <w:rFonts w:hint="cs"/>
          <w:rtl/>
        </w:rPr>
        <w:t xml:space="preserve">י"א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Ref8725446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עח)</w:t>
      </w:r>
      <w:r w:rsidRPr="0050146A">
        <w:rPr>
          <w:rStyle w:val="aff6"/>
          <w:rtl/>
        </w:rPr>
        <w:fldChar w:fldCharType="end"/>
      </w:r>
      <w:r w:rsidRPr="0050146A">
        <w:rPr>
          <w:rStyle w:val="afa"/>
          <w:rFonts w:hint="cs"/>
          <w:rtl/>
        </w:rPr>
        <w:t xml:space="preserve">], </w:t>
      </w:r>
      <w:r w:rsidRPr="0050146A">
        <w:rPr>
          <w:rFonts w:hint="cs"/>
          <w:rtl/>
        </w:rPr>
        <w:t xml:space="preserve">כיון שפעפוע החלב אינו מגיע לחלק שבתוך הרוטב אפילו משהו, </w:t>
      </w:r>
      <w:r w:rsidRPr="0050146A">
        <w:rPr>
          <w:rStyle w:val="afa"/>
          <w:rFonts w:hint="cs"/>
          <w:rtl/>
        </w:rPr>
        <w:t xml:space="preserve">[כדשמע בדברי </w:t>
      </w:r>
      <w:r w:rsidRPr="0050146A">
        <w:rPr>
          <w:rStyle w:val="affa"/>
          <w:rFonts w:hint="cs"/>
          <w:rtl/>
        </w:rPr>
        <w:t>המרדכי</w:t>
      </w:r>
      <w:r w:rsidRPr="0050146A">
        <w:rPr>
          <w:rStyle w:val="afa"/>
          <w:rFonts w:hint="cs"/>
          <w:rtl/>
        </w:rPr>
        <w:t xml:space="preserve"> בשם </w:t>
      </w:r>
      <w:r w:rsidRPr="0050146A">
        <w:rPr>
          <w:rStyle w:val="affa"/>
          <w:rFonts w:hint="cs"/>
          <w:rtl/>
        </w:rPr>
        <w:t xml:space="preserve">הראבי"ה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Ref8726614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עד)</w:t>
      </w:r>
      <w:r w:rsidRPr="0050146A">
        <w:rPr>
          <w:rStyle w:val="aff6"/>
          <w:rtl/>
        </w:rPr>
        <w:fldChar w:fldCharType="end"/>
      </w:r>
      <w:r w:rsidRPr="0050146A">
        <w:rPr>
          <w:rStyle w:val="afa"/>
          <w:rFonts w:hint="cs"/>
          <w:rtl/>
        </w:rPr>
        <w:t xml:space="preserve">], </w:t>
      </w:r>
      <w:r w:rsidRPr="0050146A">
        <w:rPr>
          <w:rFonts w:hint="cs"/>
          <w:rtl/>
        </w:rPr>
        <w:t xml:space="preserve">דאי פעפוע החלב מגיע לחלק שבתוך החתיכה, אמאי אין כל הקדירה מצטרפת לבטל את טיפת החלב, ולכן צריך להמתין עד שתצטנן החתיכה ולחתוך את החלק שמחוץ לרוטב, </w:t>
      </w:r>
      <w:r w:rsidRPr="0050146A">
        <w:rPr>
          <w:rStyle w:val="afa"/>
          <w:rtl/>
        </w:rPr>
        <w:t>[</w:t>
      </w:r>
      <w:r w:rsidRPr="0050146A">
        <w:rPr>
          <w:rStyle w:val="afa"/>
          <w:rFonts w:hint="cs"/>
          <w:rtl/>
        </w:rPr>
        <w:t xml:space="preserve">כדהביא </w:t>
      </w:r>
      <w:r w:rsidRPr="0050146A">
        <w:rPr>
          <w:rStyle w:val="affa"/>
          <w:rFonts w:hint="cs"/>
          <w:rtl/>
        </w:rPr>
        <w:t xml:space="preserve">המרדכי </w:t>
      </w:r>
      <w:r w:rsidRPr="0050146A">
        <w:rPr>
          <w:rStyle w:val="afa"/>
          <w:rFonts w:hint="cs"/>
          <w:rtl/>
        </w:rPr>
        <w:t xml:space="preserve">את דברי </w:t>
      </w:r>
      <w:r w:rsidRPr="0050146A">
        <w:rPr>
          <w:rStyle w:val="affa"/>
          <w:rFonts w:hint="cs"/>
          <w:rtl/>
        </w:rPr>
        <w:t xml:space="preserve">הג' רבינו פרץ </w:t>
      </w:r>
      <w:r w:rsidRPr="0050146A">
        <w:rPr>
          <w:rStyle w:val="afa"/>
          <w:rFonts w:hint="cs"/>
          <w:rtl/>
        </w:rPr>
        <w:t xml:space="preserve">בשם </w:t>
      </w:r>
      <w:r w:rsidRPr="0050146A">
        <w:rPr>
          <w:rStyle w:val="affa"/>
          <w:rFonts w:hint="cs"/>
          <w:rtl/>
        </w:rPr>
        <w:t>י"א</w:t>
      </w:r>
      <w:r w:rsidRPr="0050146A">
        <w:rPr>
          <w:rStyle w:val="aff6"/>
          <w:rtl/>
        </w:rPr>
        <w:t xml:space="preserve"> (עי' אות </w:t>
      </w:r>
      <w:r w:rsidRPr="0050146A">
        <w:rPr>
          <w:rStyle w:val="aff6"/>
          <w:rtl/>
        </w:rPr>
        <w:fldChar w:fldCharType="begin"/>
      </w:r>
      <w:r w:rsidRPr="0050146A">
        <w:rPr>
          <w:rStyle w:val="aff6"/>
          <w:rtl/>
        </w:rPr>
        <w:instrText xml:space="preserve"> </w:instrText>
      </w:r>
      <w:r w:rsidRPr="0050146A">
        <w:rPr>
          <w:rStyle w:val="aff6"/>
        </w:rPr>
        <w:instrText>REF</w:instrText>
      </w:r>
      <w:r w:rsidRPr="0050146A">
        <w:rPr>
          <w:rStyle w:val="aff6"/>
          <w:rtl/>
        </w:rPr>
        <w:instrText xml:space="preserve"> _</w:instrText>
      </w:r>
      <w:r w:rsidRPr="0050146A">
        <w:rPr>
          <w:rStyle w:val="aff6"/>
        </w:rPr>
        <w:instrText>Ref8725446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עח)</w:t>
      </w:r>
      <w:r w:rsidRPr="0050146A">
        <w:rPr>
          <w:rStyle w:val="aff6"/>
          <w:rtl/>
        </w:rPr>
        <w:fldChar w:fldCharType="end"/>
      </w:r>
      <w:r w:rsidRPr="0050146A">
        <w:rPr>
          <w:rStyle w:val="afa"/>
          <w:rtl/>
        </w:rPr>
        <w:t>]</w:t>
      </w:r>
      <w:r w:rsidRPr="0050146A">
        <w:rPr>
          <w:rStyle w:val="afa"/>
          <w:rFonts w:hint="cs"/>
          <w:rtl/>
        </w:rPr>
        <w:t>,</w:t>
      </w:r>
      <w:r w:rsidRPr="0050146A">
        <w:rPr>
          <w:rFonts w:hint="cs"/>
          <w:rtl/>
        </w:rPr>
        <w:t xml:space="preserve"> וכתב </w:t>
      </w:r>
      <w:r w:rsidRPr="0050146A">
        <w:rPr>
          <w:rStyle w:val="af8"/>
          <w:rFonts w:hint="cs"/>
          <w:rtl/>
        </w:rPr>
        <w:t xml:space="preserve">הדרכ"מ </w:t>
      </w:r>
      <w:r w:rsidRPr="0050146A">
        <w:rPr>
          <w:rFonts w:hint="cs"/>
          <w:rtl/>
        </w:rPr>
        <w:t xml:space="preserve">דכיון דמבואר </w:t>
      </w:r>
      <w:r w:rsidRPr="0050146A">
        <w:rPr>
          <w:rStyle w:val="af8"/>
          <w:rFonts w:hint="cs"/>
          <w:rtl/>
        </w:rPr>
        <w:t xml:space="preserve">במרדכי </w:t>
      </w:r>
      <w:r w:rsidRPr="0050146A">
        <w:rPr>
          <w:rFonts w:hint="cs"/>
          <w:rtl/>
        </w:rPr>
        <w:t xml:space="preserve">דלדעת </w:t>
      </w:r>
      <w:r w:rsidRPr="0050146A">
        <w:rPr>
          <w:rStyle w:val="af8"/>
          <w:rFonts w:hint="cs"/>
          <w:rtl/>
        </w:rPr>
        <w:t xml:space="preserve">רש"י </w:t>
      </w:r>
      <w:r w:rsidRPr="0050146A">
        <w:rPr>
          <w:rFonts w:hint="cs"/>
          <w:rtl/>
        </w:rPr>
        <w:t>אף בחתיכה עצמה החלק שבתוך הרוטב מותר, א"כ כ"ש דשאר הקדירה אינה נאסרת אם לא ניער וכיסה.</w:t>
      </w:r>
      <w:bookmarkEnd w:id="901"/>
      <w:bookmarkEnd w:id="906"/>
    </w:p>
    <w:p w:rsidR="008442F8" w:rsidRPr="0050146A" w:rsidRDefault="008442F8" w:rsidP="008442F8">
      <w:pPr>
        <w:pStyle w:val="a2"/>
        <w:rPr>
          <w:rtl/>
        </w:rPr>
      </w:pPr>
      <w:r w:rsidRPr="0050146A">
        <w:rPr>
          <w:rFonts w:hint="cs"/>
          <w:rtl/>
        </w:rPr>
        <w:t>דברי הדרכ"מ דבטור משמע דאף שכל החתיכה נאסרה מ"מ אינה אוסרת הכל בלא ניער וכיסה</w:t>
      </w:r>
      <w:bookmarkEnd w:id="902"/>
      <w:bookmarkEnd w:id="903"/>
      <w:bookmarkEnd w:id="904"/>
      <w:bookmarkEnd w:id="905"/>
    </w:p>
    <w:p w:rsidR="008442F8" w:rsidRPr="0050146A" w:rsidRDefault="008442F8" w:rsidP="009F44AF">
      <w:pPr>
        <w:pStyle w:val="a"/>
        <w:rPr>
          <w:rtl/>
        </w:rPr>
      </w:pPr>
      <w:r w:rsidRPr="0050146A">
        <w:rPr>
          <w:rFonts w:hint="cs"/>
          <w:rtl/>
        </w:rPr>
        <w:t xml:space="preserve">וכתב </w:t>
      </w:r>
      <w:r w:rsidRPr="0050146A">
        <w:rPr>
          <w:rStyle w:val="af8"/>
          <w:rFonts w:hint="cs"/>
          <w:rtl/>
        </w:rPr>
        <w:t>הדרכ"מ</w:t>
      </w:r>
      <w:r w:rsidRPr="0050146A">
        <w:rPr>
          <w:rFonts w:hint="cs"/>
          <w:rtl/>
        </w:rPr>
        <w:t xml:space="preserve"> דמדברי ה</w:t>
      </w:r>
      <w:r w:rsidRPr="0050146A">
        <w:rPr>
          <w:rStyle w:val="af8"/>
          <w:rFonts w:hint="cs"/>
          <w:rtl/>
        </w:rPr>
        <w:t>טור</w:t>
      </w:r>
      <w:r w:rsidRPr="0050146A">
        <w:rPr>
          <w:rFonts w:hint="cs"/>
          <w:rtl/>
        </w:rPr>
        <w:t xml:space="preserve"> </w:t>
      </w:r>
      <w:r w:rsidRPr="0050146A">
        <w:rPr>
          <w:rStyle w:val="af6"/>
          <w:rFonts w:eastAsia="Guttman Hodes" w:hint="cs"/>
          <w:rtl/>
        </w:rPr>
        <w:t>(סי' צ"ב ב')</w:t>
      </w:r>
      <w:r w:rsidRPr="0050146A">
        <w:rPr>
          <w:rFonts w:hint="cs"/>
          <w:rtl/>
        </w:rPr>
        <w:t xml:space="preserve"> משמע דלדעת </w:t>
      </w:r>
      <w:r w:rsidRPr="0050146A">
        <w:rPr>
          <w:rStyle w:val="af8"/>
          <w:rFonts w:hint="cs"/>
          <w:rtl/>
        </w:rPr>
        <w:t>רש"י</w:t>
      </w:r>
      <w:r w:rsidRPr="0050146A">
        <w:rPr>
          <w:rFonts w:hint="cs"/>
          <w:rtl/>
        </w:rPr>
        <w:t xml:space="preserve"> כל החתיכה אסורה ולא רק מה שמחוץ לרוטב, ודלא </w:t>
      </w:r>
      <w:r w:rsidRPr="0050146A">
        <w:rPr>
          <w:rStyle w:val="af8"/>
          <w:rFonts w:hint="cs"/>
          <w:rtl/>
        </w:rPr>
        <w:t>כהמרדכי</w:t>
      </w:r>
      <w:r w:rsidRPr="0050146A">
        <w:rPr>
          <w:rFonts w:hint="cs"/>
          <w:rtl/>
        </w:rPr>
        <w:t xml:space="preserve">, אך מ"מ ס"ל </w:t>
      </w:r>
      <w:r w:rsidRPr="0050146A">
        <w:rPr>
          <w:rStyle w:val="af8"/>
          <w:rFonts w:hint="cs"/>
          <w:rtl/>
        </w:rPr>
        <w:t>להטור</w:t>
      </w:r>
      <w:r w:rsidRPr="0050146A">
        <w:rPr>
          <w:rFonts w:hint="cs"/>
          <w:rtl/>
        </w:rPr>
        <w:t xml:space="preserve"> דהחתיכה אינה אוסרת את שאר הקדירות וכדהוכיח </w:t>
      </w:r>
      <w:r w:rsidRPr="0050146A">
        <w:rPr>
          <w:rStyle w:val="af8"/>
          <w:rFonts w:hint="cs"/>
          <w:rtl/>
        </w:rPr>
        <w:t>הדרכ"מ</w:t>
      </w:r>
      <w:r w:rsidRPr="0050146A">
        <w:rPr>
          <w:rFonts w:hint="cs"/>
          <w:rtl/>
        </w:rPr>
        <w:t xml:space="preserve"> מדברי </w:t>
      </w:r>
      <w:r w:rsidRPr="0050146A">
        <w:rPr>
          <w:rStyle w:val="af8"/>
          <w:rFonts w:hint="cs"/>
          <w:rtl/>
        </w:rPr>
        <w:t>המרדכי</w:t>
      </w:r>
      <w:r w:rsidRPr="0050146A">
        <w:rPr>
          <w:rFonts w:hint="cs"/>
          <w:rtl/>
        </w:rPr>
        <w:t xml:space="preserve">, וביאר </w:t>
      </w:r>
      <w:r w:rsidRPr="0050146A">
        <w:rPr>
          <w:rStyle w:val="af8"/>
          <w:rFonts w:hint="cs"/>
          <w:rtl/>
        </w:rPr>
        <w:t>הדרכ"מ</w:t>
      </w:r>
      <w:r w:rsidRPr="0050146A">
        <w:rPr>
          <w:rFonts w:hint="cs"/>
          <w:rtl/>
        </w:rPr>
        <w:t xml:space="preserve"> דאף שהחלב </w:t>
      </w:r>
      <w:r w:rsidRPr="0050146A">
        <w:rPr>
          <w:rFonts w:hint="cs"/>
          <w:rtl/>
        </w:rPr>
        <w:lastRenderedPageBreak/>
        <w:t>מתפשט בכל החתיכה, מ"מ כיון שאין כל החתיכה בתוך הרוטב, אין החלב יוצא ממנה לשאר החתיכות.</w:t>
      </w:r>
    </w:p>
    <w:p w:rsidR="008442F8" w:rsidRPr="0050146A" w:rsidRDefault="008442F8" w:rsidP="008442F8">
      <w:pPr>
        <w:pStyle w:val="1"/>
        <w:rPr>
          <w:noProof/>
          <w:rtl/>
        </w:rPr>
      </w:pPr>
      <w:r w:rsidRPr="0050146A">
        <w:rPr>
          <w:noProof/>
          <w:rtl/>
        </w:rPr>
        <w:t>ביאור החזו"א בדעת רש"י</w:t>
      </w:r>
      <w:r w:rsidRPr="0050146A">
        <w:rPr>
          <w:rFonts w:hint="cs"/>
          <w:noProof/>
          <w:rtl/>
        </w:rPr>
        <w:t xml:space="preserve"> דהאיסור מתפשט בכל החתיכה</w:t>
      </w:r>
    </w:p>
    <w:p w:rsidR="008442F8" w:rsidRPr="0050146A" w:rsidRDefault="008442F8" w:rsidP="008442F8">
      <w:pPr>
        <w:pStyle w:val="a2"/>
      </w:pPr>
      <w:r w:rsidRPr="0050146A">
        <w:rPr>
          <w:rFonts w:hint="cs"/>
          <w:rtl/>
        </w:rPr>
        <w:t>דברי החזו"א דלרש"י האיסור מתפשט בכל החתיכה כדמוכח במתני' דכולה מצטרפת לבטל</w:t>
      </w:r>
    </w:p>
    <w:p w:rsidR="008442F8" w:rsidRPr="0050146A" w:rsidRDefault="008442F8" w:rsidP="009F44AF">
      <w:pPr>
        <w:pStyle w:val="a"/>
        <w:rPr>
          <w:rtl/>
        </w:rPr>
      </w:pPr>
      <w:r w:rsidRPr="0050146A">
        <w:rPr>
          <w:rFonts w:hint="cs"/>
          <w:rtl/>
        </w:rPr>
        <w:t xml:space="preserve">אבל </w:t>
      </w:r>
      <w:r w:rsidRPr="0050146A">
        <w:rPr>
          <w:rStyle w:val="af8"/>
          <w:rFonts w:hint="cs"/>
          <w:rtl/>
        </w:rPr>
        <w:t>החזו"א</w:t>
      </w:r>
      <w:r w:rsidRPr="0050146A">
        <w:rPr>
          <w:rFonts w:hint="cs"/>
          <w:rtl/>
        </w:rPr>
        <w:t xml:space="preserve"> </w:t>
      </w:r>
      <w:r w:rsidRPr="0050146A">
        <w:rPr>
          <w:rStyle w:val="af6"/>
          <w:rFonts w:eastAsia="Guttman Hodes" w:hint="cs"/>
          <w:rtl/>
        </w:rPr>
        <w:t>(סי' ט"ז סק"א)</w:t>
      </w:r>
      <w:r w:rsidRPr="0050146A">
        <w:rPr>
          <w:rFonts w:hint="cs"/>
          <w:rtl/>
        </w:rPr>
        <w:t xml:space="preserve"> כתב דלדעת </w:t>
      </w:r>
      <w:r w:rsidRPr="0050146A">
        <w:rPr>
          <w:rStyle w:val="af8"/>
          <w:rFonts w:hint="cs"/>
          <w:rtl/>
        </w:rPr>
        <w:t>רש"י</w:t>
      </w:r>
      <w:r w:rsidRPr="0050146A">
        <w:rPr>
          <w:rFonts w:hint="cs"/>
          <w:rtl/>
        </w:rPr>
        <w:t xml:space="preserve"> דבאותה החתיכה עצמה האיסור מתפשט בכולה, כדמוכח במתני' לקמן </w:t>
      </w:r>
      <w:r w:rsidRPr="0050146A">
        <w:rPr>
          <w:rStyle w:val="af6"/>
          <w:rFonts w:eastAsia="Guttman Hodes" w:hint="cs"/>
          <w:rtl/>
        </w:rPr>
        <w:t>(קח.)</w:t>
      </w:r>
      <w:r w:rsidRPr="0050146A">
        <w:rPr>
          <w:rFonts w:hint="cs"/>
          <w:rtl/>
        </w:rPr>
        <w:t xml:space="preserve"> דאם יש בכל החתיכה שישים כנגד טיפת החלב, היא מבטלת את הטיפה, ומה שהביא </w:t>
      </w:r>
      <w:r w:rsidRPr="0050146A">
        <w:rPr>
          <w:rStyle w:val="af8"/>
          <w:rFonts w:hint="cs"/>
          <w:rtl/>
        </w:rPr>
        <w:t>המרדכי</w:t>
      </w:r>
      <w:r w:rsidRPr="0050146A">
        <w:rPr>
          <w:rFonts w:hint="cs"/>
          <w:rtl/>
        </w:rPr>
        <w:t xml:space="preserve"> </w:t>
      </w:r>
      <w:r w:rsidRPr="0050146A">
        <w:rPr>
          <w:rStyle w:val="afa"/>
          <w:rFonts w:hint="cs"/>
          <w:rtl/>
        </w:rPr>
        <w:t xml:space="preserve">[את דברי </w:t>
      </w:r>
      <w:r w:rsidRPr="0050146A">
        <w:rPr>
          <w:rStyle w:val="affa"/>
          <w:rFonts w:hint="cs"/>
          <w:rtl/>
        </w:rPr>
        <w:t>הג' ר"פ</w:t>
      </w:r>
      <w:r w:rsidRPr="0050146A">
        <w:rPr>
          <w:rStyle w:val="afa"/>
          <w:rFonts w:hint="cs"/>
          <w:rtl/>
        </w:rPr>
        <w:t>]</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Ref8725446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50146A">
        <w:rPr>
          <w:rStyle w:val="af6"/>
          <w:rFonts w:eastAsia="Guttman Hodes"/>
          <w:rtl/>
        </w:rPr>
        <w:fldChar w:fldCharType="end"/>
      </w:r>
      <w:r w:rsidRPr="0050146A">
        <w:rPr>
          <w:rFonts w:hint="cs"/>
          <w:rtl/>
        </w:rPr>
        <w:t xml:space="preserve"> בשם </w:t>
      </w:r>
      <w:r w:rsidRPr="0050146A">
        <w:rPr>
          <w:rStyle w:val="af8"/>
          <w:rFonts w:hint="cs"/>
          <w:rtl/>
        </w:rPr>
        <w:t>י"א</w:t>
      </w:r>
      <w:r w:rsidRPr="0050146A">
        <w:rPr>
          <w:rFonts w:hint="cs"/>
          <w:rtl/>
        </w:rPr>
        <w:t xml:space="preserve"> דאוסרים את המקצת שמחוץ לרוטב, כתב </w:t>
      </w:r>
      <w:r w:rsidRPr="0050146A">
        <w:rPr>
          <w:rStyle w:val="af8"/>
          <w:rFonts w:hint="cs"/>
          <w:rtl/>
        </w:rPr>
        <w:t>החזו"א</w:t>
      </w:r>
      <w:r w:rsidRPr="0050146A">
        <w:rPr>
          <w:rFonts w:hint="cs"/>
          <w:rtl/>
        </w:rPr>
        <w:t xml:space="preserve"> דהיינו לדעת </w:t>
      </w:r>
      <w:r w:rsidRPr="0050146A">
        <w:rPr>
          <w:rStyle w:val="af8"/>
          <w:rFonts w:hint="cs"/>
          <w:rtl/>
        </w:rPr>
        <w:t>ר"י בתוס'</w:t>
      </w:r>
      <w:r w:rsidRPr="0050146A">
        <w:rPr>
          <w:rFonts w:hint="cs"/>
          <w:rtl/>
        </w:rPr>
        <w:t xml:space="preserve"> דכשמקצת החתיכה ברוטב מצטרפת כל הקדירה לבטל את טיפת החלב, ובזה החמירו </w:t>
      </w:r>
      <w:r w:rsidRPr="0050146A">
        <w:rPr>
          <w:rStyle w:val="af8"/>
          <w:rFonts w:hint="cs"/>
          <w:rtl/>
        </w:rPr>
        <w:t>הי"א</w:t>
      </w:r>
      <w:r w:rsidRPr="0050146A">
        <w:rPr>
          <w:rFonts w:hint="cs"/>
          <w:rtl/>
        </w:rPr>
        <w:t xml:space="preserve"> דמ"מ המקצת שחוץ לרוטב אסור, וע"ז דחה ה</w:t>
      </w:r>
      <w:r w:rsidRPr="0050146A">
        <w:rPr>
          <w:rStyle w:val="af8"/>
          <w:rFonts w:hint="cs"/>
          <w:rtl/>
        </w:rPr>
        <w:t>מרדכי</w:t>
      </w:r>
      <w:r w:rsidRPr="0050146A">
        <w:rPr>
          <w:rFonts w:hint="cs"/>
          <w:rtl/>
        </w:rPr>
        <w:t xml:space="preserve"> </w:t>
      </w:r>
      <w:r w:rsidRPr="0050146A">
        <w:rPr>
          <w:rStyle w:val="afa"/>
          <w:rFonts w:hint="cs"/>
          <w:rtl/>
        </w:rPr>
        <w:t xml:space="preserve">[את דברי </w:t>
      </w:r>
      <w:r w:rsidRPr="0050146A">
        <w:rPr>
          <w:rStyle w:val="affa"/>
          <w:rFonts w:hint="cs"/>
          <w:rtl/>
        </w:rPr>
        <w:t>הג' ר"פ</w:t>
      </w:r>
      <w:r w:rsidRPr="0050146A">
        <w:rPr>
          <w:rStyle w:val="afa"/>
          <w:rFonts w:hint="cs"/>
          <w:rtl/>
        </w:rPr>
        <w:t>]</w:t>
      </w:r>
      <w:r w:rsidRPr="0050146A">
        <w:rPr>
          <w:rFonts w:hint="cs"/>
          <w:rtl/>
        </w:rPr>
        <w:t xml:space="preserve"> דמבואר </w:t>
      </w:r>
      <w:r w:rsidRPr="0050146A">
        <w:rPr>
          <w:rStyle w:val="af8"/>
          <w:rFonts w:hint="cs"/>
          <w:rtl/>
        </w:rPr>
        <w:t>בתוס'</w:t>
      </w:r>
      <w:r w:rsidRPr="0050146A">
        <w:rPr>
          <w:rFonts w:hint="cs"/>
          <w:rtl/>
        </w:rPr>
        <w:t xml:space="preserve"> דהכל מותר. </w:t>
      </w:r>
    </w:p>
    <w:p w:rsidR="008442F8" w:rsidRPr="0050146A" w:rsidRDefault="008442F8" w:rsidP="008442F8">
      <w:pPr>
        <w:pStyle w:val="a2"/>
        <w:rPr>
          <w:rtl/>
        </w:rPr>
      </w:pPr>
      <w:r w:rsidRPr="0050146A">
        <w:rPr>
          <w:rFonts w:hint="cs"/>
          <w:rtl/>
        </w:rPr>
        <w:t>תמיהת החזו"א על הדרכ"מ דדברי המרדכי אינם לדעת רש"י אלא לדעת התוס'</w:t>
      </w:r>
    </w:p>
    <w:p w:rsidR="008442F8" w:rsidRPr="0050146A" w:rsidRDefault="008442F8" w:rsidP="009F44AF">
      <w:pPr>
        <w:pStyle w:val="a"/>
        <w:rPr>
          <w:rtl/>
        </w:rPr>
      </w:pPr>
      <w:bookmarkStart w:id="907" w:name="_Ref8737295"/>
      <w:r w:rsidRPr="0050146A">
        <w:rPr>
          <w:rFonts w:hint="cs"/>
          <w:rtl/>
        </w:rPr>
        <w:t xml:space="preserve">והביא </w:t>
      </w:r>
      <w:r w:rsidRPr="0050146A">
        <w:rPr>
          <w:rStyle w:val="af8"/>
          <w:rFonts w:hint="cs"/>
          <w:rtl/>
        </w:rPr>
        <w:t>החזו"א</w:t>
      </w:r>
      <w:r w:rsidRPr="0050146A">
        <w:rPr>
          <w:rFonts w:hint="cs"/>
          <w:rtl/>
        </w:rPr>
        <w:t xml:space="preserve"> את דברי </w:t>
      </w:r>
      <w:r w:rsidRPr="0050146A">
        <w:rPr>
          <w:rStyle w:val="af8"/>
          <w:rFonts w:hint="cs"/>
          <w:rtl/>
        </w:rPr>
        <w:t>הדרכ"מ</w:t>
      </w:r>
      <w:r w:rsidRPr="0050146A">
        <w:rPr>
          <w:rFonts w:hint="cs"/>
          <w:rtl/>
        </w:rPr>
        <w:t xml:space="preserve"> </w:t>
      </w:r>
      <w:r w:rsidRPr="0050146A">
        <w:rPr>
          <w:rStyle w:val="af6"/>
          <w:rFonts w:eastAsia="Guttman Hodes" w:hint="cs"/>
          <w:rtl/>
        </w:rPr>
        <w:t>(עי'</w:t>
      </w:r>
      <w:r w:rsidR="009C00D3">
        <w:rPr>
          <w:rStyle w:val="af6"/>
          <w:rFonts w:eastAsia="Guttman Hodes" w:hint="cs"/>
          <w:rtl/>
        </w:rPr>
        <w:t xml:space="preserve"> אות </w:t>
      </w:r>
      <w:r w:rsidR="009C00D3">
        <w:rPr>
          <w:rStyle w:val="af6"/>
          <w:rFonts w:eastAsia="Guttman Hodes"/>
          <w:rtl/>
        </w:rPr>
        <w:fldChar w:fldCharType="begin"/>
      </w:r>
      <w:r w:rsidR="009C00D3">
        <w:rPr>
          <w:rStyle w:val="af6"/>
          <w:rFonts w:eastAsia="Guttman Hodes"/>
          <w:rtl/>
        </w:rPr>
        <w:instrText xml:space="preserve"> </w:instrText>
      </w:r>
      <w:r w:rsidR="009C00D3">
        <w:rPr>
          <w:rStyle w:val="af6"/>
          <w:rFonts w:eastAsia="Guttman Hodes" w:hint="cs"/>
        </w:rPr>
        <w:instrText>REF</w:instrText>
      </w:r>
      <w:r w:rsidR="009C00D3">
        <w:rPr>
          <w:rStyle w:val="af6"/>
          <w:rFonts w:eastAsia="Guttman Hodes" w:hint="cs"/>
          <w:rtl/>
        </w:rPr>
        <w:instrText xml:space="preserve"> _</w:instrText>
      </w:r>
      <w:r w:rsidR="009C00D3">
        <w:rPr>
          <w:rStyle w:val="af6"/>
          <w:rFonts w:eastAsia="Guttman Hodes" w:hint="cs"/>
        </w:rPr>
        <w:instrText>Ref20428500 \r \h</w:instrText>
      </w:r>
      <w:r w:rsidR="009C00D3">
        <w:rPr>
          <w:rStyle w:val="af6"/>
          <w:rFonts w:eastAsia="Guttman Hodes"/>
          <w:rtl/>
        </w:rPr>
        <w:instrText xml:space="preserve"> </w:instrText>
      </w:r>
      <w:r w:rsidR="009C00D3">
        <w:rPr>
          <w:rStyle w:val="af6"/>
          <w:rFonts w:eastAsia="Guttman Hodes"/>
          <w:rtl/>
        </w:rPr>
      </w:r>
      <w:r w:rsidR="009C00D3">
        <w:rPr>
          <w:rStyle w:val="af6"/>
          <w:rFonts w:eastAsia="Guttman Hodes"/>
          <w:rtl/>
        </w:rPr>
        <w:fldChar w:fldCharType="separate"/>
      </w:r>
      <w:r w:rsidR="004D1C5B">
        <w:rPr>
          <w:rStyle w:val="af6"/>
          <w:rFonts w:eastAsia="Guttman Hodes"/>
          <w:cs/>
        </w:rPr>
        <w:t>‎</w:t>
      </w:r>
      <w:r w:rsidR="004D1C5B">
        <w:rPr>
          <w:rStyle w:val="af6"/>
          <w:rFonts w:eastAsia="Guttman Hodes"/>
          <w:rtl/>
        </w:rPr>
        <w:t>פג)</w:t>
      </w:r>
      <w:r w:rsidR="009C00D3">
        <w:rPr>
          <w:rStyle w:val="af6"/>
          <w:rFonts w:eastAsia="Guttman Hodes"/>
          <w:rtl/>
        </w:rPr>
        <w:fldChar w:fldCharType="end"/>
      </w:r>
      <w:r w:rsidRPr="0050146A">
        <w:rPr>
          <w:rStyle w:val="af6"/>
          <w:rFonts w:eastAsia="Guttman Hodes" w:hint="cs"/>
          <w:rtl/>
        </w:rPr>
        <w:t xml:space="preserve"> </w:t>
      </w:r>
      <w:r w:rsidRPr="0050146A">
        <w:rPr>
          <w:rFonts w:hint="cs"/>
          <w:rtl/>
        </w:rPr>
        <w:t xml:space="preserve">שביאר את דברי המרדכי לדעת </w:t>
      </w:r>
      <w:r w:rsidRPr="0050146A">
        <w:rPr>
          <w:rStyle w:val="af8"/>
          <w:rFonts w:hint="cs"/>
          <w:rtl/>
        </w:rPr>
        <w:t>רש"י</w:t>
      </w:r>
      <w:r w:rsidRPr="0050146A">
        <w:rPr>
          <w:rFonts w:hint="cs"/>
          <w:rtl/>
        </w:rPr>
        <w:t xml:space="preserve">, דרק החצי שמחוץ לרוטב נאסר, ותמה </w:t>
      </w:r>
      <w:r w:rsidRPr="0050146A">
        <w:rPr>
          <w:rStyle w:val="af8"/>
          <w:rFonts w:hint="cs"/>
          <w:rtl/>
        </w:rPr>
        <w:t>החזו"א</w:t>
      </w:r>
      <w:r w:rsidRPr="0050146A">
        <w:rPr>
          <w:rFonts w:hint="cs"/>
          <w:rtl/>
        </w:rPr>
        <w:t xml:space="preserve"> דבדברי </w:t>
      </w:r>
      <w:r w:rsidRPr="0050146A">
        <w:rPr>
          <w:rStyle w:val="af8"/>
          <w:rFonts w:hint="cs"/>
          <w:rtl/>
        </w:rPr>
        <w:t>המרדכי</w:t>
      </w:r>
      <w:r w:rsidRPr="0050146A">
        <w:rPr>
          <w:rFonts w:hint="cs"/>
          <w:rtl/>
        </w:rPr>
        <w:t xml:space="preserve"> מבואר להדיא דכוונתו לדעת </w:t>
      </w:r>
      <w:r w:rsidRPr="0050146A">
        <w:rPr>
          <w:rStyle w:val="af8"/>
          <w:rFonts w:hint="cs"/>
          <w:rtl/>
        </w:rPr>
        <w:t>התוס'</w:t>
      </w:r>
      <w:r w:rsidRPr="0050146A">
        <w:rPr>
          <w:rFonts w:hint="cs"/>
          <w:rtl/>
        </w:rPr>
        <w:t xml:space="preserve"> ולא לדעת </w:t>
      </w:r>
      <w:r w:rsidRPr="0050146A">
        <w:rPr>
          <w:rStyle w:val="af8"/>
          <w:rFonts w:hint="cs"/>
          <w:rtl/>
        </w:rPr>
        <w:t>רש"י</w:t>
      </w:r>
      <w:r w:rsidRPr="0050146A">
        <w:rPr>
          <w:rFonts w:hint="cs"/>
          <w:rtl/>
        </w:rPr>
        <w:t xml:space="preserve">, ועוד דבמתני' לקמן מוכח להדיא דכל החתיכה מצטרפת לשיעור שישים לבטל את טיפת החלב. </w:t>
      </w:r>
      <w:r w:rsidRPr="0050146A">
        <w:rPr>
          <w:rStyle w:val="afa"/>
          <w:rFonts w:hint="cs"/>
          <w:rtl/>
        </w:rPr>
        <w:t xml:space="preserve">[אמנם יעוי' בדברי </w:t>
      </w:r>
      <w:r w:rsidRPr="0050146A">
        <w:rPr>
          <w:rStyle w:val="affa"/>
          <w:rFonts w:hint="cs"/>
          <w:rtl/>
        </w:rPr>
        <w:t xml:space="preserve">הדרכ"מ </w:t>
      </w:r>
      <w:r w:rsidRPr="0050146A">
        <w:rPr>
          <w:rStyle w:val="afa"/>
          <w:rFonts w:hint="cs"/>
          <w:rtl/>
        </w:rPr>
        <w:t xml:space="preserve">דהעתיק בתו"ד גם את דברי </w:t>
      </w:r>
      <w:r w:rsidRPr="0050146A">
        <w:rPr>
          <w:rStyle w:val="affa"/>
          <w:rFonts w:hint="cs"/>
          <w:rtl/>
        </w:rPr>
        <w:t xml:space="preserve">המרדכי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Ref8729391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עד)</w:t>
      </w:r>
      <w:r w:rsidRPr="0050146A">
        <w:rPr>
          <w:rStyle w:val="aff6"/>
          <w:rtl/>
        </w:rPr>
        <w:fldChar w:fldCharType="end"/>
      </w:r>
      <w:r w:rsidRPr="0050146A">
        <w:rPr>
          <w:rStyle w:val="afa"/>
          <w:rFonts w:hint="cs"/>
          <w:rtl/>
        </w:rPr>
        <w:t xml:space="preserve"> בשם </w:t>
      </w:r>
      <w:r w:rsidRPr="0050146A">
        <w:rPr>
          <w:rStyle w:val="affa"/>
          <w:rFonts w:hint="cs"/>
          <w:rtl/>
        </w:rPr>
        <w:t xml:space="preserve">הראבי"ה </w:t>
      </w:r>
      <w:r w:rsidRPr="0050146A">
        <w:rPr>
          <w:rStyle w:val="afa"/>
          <w:rFonts w:hint="cs"/>
          <w:rtl/>
        </w:rPr>
        <w:t xml:space="preserve">בדעת </w:t>
      </w:r>
      <w:r w:rsidRPr="0050146A">
        <w:rPr>
          <w:rStyle w:val="affa"/>
          <w:rFonts w:hint="cs"/>
          <w:rtl/>
        </w:rPr>
        <w:t>רש"י</w:t>
      </w:r>
      <w:r w:rsidRPr="0050146A">
        <w:rPr>
          <w:rStyle w:val="afa"/>
          <w:rFonts w:hint="cs"/>
          <w:rtl/>
        </w:rPr>
        <w:t>].</w:t>
      </w:r>
      <w:bookmarkEnd w:id="907"/>
    </w:p>
    <w:p w:rsidR="008442F8" w:rsidRPr="0050146A" w:rsidRDefault="008442F8" w:rsidP="008442F8">
      <w:pPr>
        <w:pStyle w:val="a2"/>
        <w:rPr>
          <w:rtl/>
        </w:rPr>
      </w:pPr>
      <w:r w:rsidRPr="0050146A">
        <w:rPr>
          <w:rFonts w:hint="cs"/>
          <w:rtl/>
        </w:rPr>
        <w:t>דברי החזו"א</w:t>
      </w:r>
      <w:r w:rsidRPr="0050146A">
        <w:rPr>
          <w:rtl/>
        </w:rPr>
        <w:t xml:space="preserve"> ד</w:t>
      </w:r>
      <w:r w:rsidRPr="0050146A">
        <w:rPr>
          <w:noProof/>
          <w:rtl/>
        </w:rPr>
        <w:t>נדון</w:t>
      </w:r>
      <w:r w:rsidRPr="0050146A">
        <w:rPr>
          <w:rFonts w:hint="cs"/>
          <w:rtl/>
        </w:rPr>
        <w:t xml:space="preserve"> </w:t>
      </w:r>
      <w:r w:rsidRPr="0050146A">
        <w:rPr>
          <w:rtl/>
        </w:rPr>
        <w:t>הדרכ"מ</w:t>
      </w:r>
      <w:r w:rsidRPr="0050146A">
        <w:rPr>
          <w:rFonts w:hint="cs"/>
          <w:rtl/>
        </w:rPr>
        <w:t xml:space="preserve"> אי חתיכת החנ</w:t>
      </w:r>
      <w:r w:rsidRPr="0050146A">
        <w:rPr>
          <w:rtl/>
        </w:rPr>
        <w:t>"</w:t>
      </w:r>
      <w:r w:rsidRPr="0050146A">
        <w:rPr>
          <w:rFonts w:hint="cs"/>
          <w:rtl/>
        </w:rPr>
        <w:t>נ אוסרת אף בלא ניער וכיסה היא בין לרש"י ובין לתוס'</w:t>
      </w:r>
    </w:p>
    <w:p w:rsidR="008442F8" w:rsidRPr="0050146A" w:rsidRDefault="008442F8" w:rsidP="009F44AF">
      <w:pPr>
        <w:pStyle w:val="a"/>
        <w:rPr>
          <w:rtl/>
        </w:rPr>
      </w:pPr>
      <w:r w:rsidRPr="0050146A">
        <w:rPr>
          <w:rFonts w:hint="cs"/>
          <w:rtl/>
        </w:rPr>
        <w:t xml:space="preserve">וכתב </w:t>
      </w:r>
      <w:r w:rsidRPr="0050146A">
        <w:rPr>
          <w:rStyle w:val="af8"/>
          <w:rFonts w:hint="cs"/>
          <w:rtl/>
        </w:rPr>
        <w:t>החזו"א</w:t>
      </w:r>
      <w:r w:rsidRPr="0050146A">
        <w:rPr>
          <w:rStyle w:val="af6"/>
          <w:rFonts w:eastAsia="Guttman Hodes" w:hint="cs"/>
          <w:rtl/>
        </w:rPr>
        <w:t xml:space="preserve"> (סי' ט"ז סק"ב) </w:t>
      </w:r>
      <w:r w:rsidRPr="0050146A">
        <w:rPr>
          <w:rFonts w:hint="cs"/>
          <w:rtl/>
        </w:rPr>
        <w:t xml:space="preserve">דהנדון שהביא </w:t>
      </w:r>
      <w:r w:rsidRPr="0050146A">
        <w:rPr>
          <w:rStyle w:val="af8"/>
          <w:rFonts w:hint="cs"/>
          <w:rtl/>
        </w:rPr>
        <w:t>הדרכ"מ</w:t>
      </w:r>
      <w:r w:rsidRPr="0050146A">
        <w:rPr>
          <w:rFonts w:hint="cs"/>
          <w:rtl/>
        </w:rPr>
        <w:t xml:space="preserve"> אי חתיכת החנ</w:t>
      </w:r>
      <w:r w:rsidRPr="0050146A">
        <w:rPr>
          <w:rtl/>
        </w:rPr>
        <w:t>"</w:t>
      </w:r>
      <w:r w:rsidRPr="0050146A">
        <w:rPr>
          <w:rFonts w:hint="cs"/>
          <w:rtl/>
        </w:rPr>
        <w:t>נ אוסרת את שאר הקדירה רק אם ניער וכיסה, או אף בלא ניער וכיסה, אינו שייך לפלוגתת רש"י ור"י</w:t>
      </w:r>
      <w:r w:rsidRPr="0050146A">
        <w:rPr>
          <w:rStyle w:val="af8"/>
          <w:rFonts w:hint="cs"/>
          <w:rtl/>
        </w:rPr>
        <w:t xml:space="preserve"> בתוס'</w:t>
      </w:r>
      <w:r w:rsidRPr="0050146A">
        <w:rPr>
          <w:rFonts w:hint="cs"/>
          <w:rtl/>
        </w:rPr>
        <w:t xml:space="preserve"> כלל, אלא </w:t>
      </w:r>
      <w:r w:rsidRPr="0050146A">
        <w:rPr>
          <w:rStyle w:val="af8"/>
          <w:rFonts w:hint="cs"/>
          <w:rtl/>
        </w:rPr>
        <w:t>דלרש"י</w:t>
      </w:r>
      <w:r w:rsidRPr="0050146A">
        <w:rPr>
          <w:rFonts w:hint="cs"/>
          <w:rtl/>
        </w:rPr>
        <w:t xml:space="preserve"> הנדון הוא בחתיכה שחציה ברוטב, </w:t>
      </w:r>
      <w:r w:rsidRPr="0050146A">
        <w:rPr>
          <w:rStyle w:val="af8"/>
          <w:rFonts w:hint="cs"/>
          <w:rtl/>
        </w:rPr>
        <w:t>ולר"י בתוס'</w:t>
      </w:r>
      <w:r w:rsidRPr="0050146A">
        <w:rPr>
          <w:rFonts w:hint="cs"/>
          <w:rtl/>
        </w:rPr>
        <w:t xml:space="preserve"> הנדון הוא דוקא אם כולה מחוץ לרוטב, וכתב </w:t>
      </w:r>
      <w:r w:rsidRPr="0050146A">
        <w:rPr>
          <w:rStyle w:val="af8"/>
          <w:rFonts w:hint="cs"/>
          <w:rtl/>
        </w:rPr>
        <w:t>החזו"א</w:t>
      </w:r>
      <w:r w:rsidRPr="0050146A">
        <w:rPr>
          <w:rFonts w:hint="cs"/>
          <w:rtl/>
        </w:rPr>
        <w:t xml:space="preserve"> דדברי </w:t>
      </w:r>
      <w:r w:rsidRPr="0050146A">
        <w:rPr>
          <w:rStyle w:val="af8"/>
          <w:rFonts w:hint="cs"/>
          <w:rtl/>
        </w:rPr>
        <w:t>הדרכ"מ</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Ref8729344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פא)</w:t>
      </w:r>
      <w:r w:rsidRPr="0050146A">
        <w:rPr>
          <w:rStyle w:val="af6"/>
          <w:rFonts w:eastAsia="Guttman Hodes"/>
          <w:rtl/>
        </w:rPr>
        <w:fldChar w:fldCharType="end"/>
      </w:r>
      <w:r w:rsidRPr="0050146A">
        <w:rPr>
          <w:rFonts w:hint="cs"/>
          <w:rtl/>
        </w:rPr>
        <w:t xml:space="preserve"> </w:t>
      </w:r>
      <w:r w:rsidRPr="0050146A">
        <w:rPr>
          <w:rStyle w:val="af8"/>
          <w:rFonts w:hint="cs"/>
          <w:rtl/>
        </w:rPr>
        <w:t>והט"ז</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Ref8729350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50146A">
        <w:rPr>
          <w:rStyle w:val="af6"/>
          <w:rFonts w:eastAsia="Guttman Hodes"/>
          <w:rtl/>
        </w:rPr>
        <w:fldChar w:fldCharType="end"/>
      </w:r>
      <w:r w:rsidRPr="0050146A">
        <w:rPr>
          <w:rFonts w:hint="cs"/>
          <w:rtl/>
        </w:rPr>
        <w:t xml:space="preserve"> בזה הם תמוהים.</w:t>
      </w:r>
    </w:p>
    <w:p w:rsidR="008442F8" w:rsidRPr="0050146A" w:rsidRDefault="008442F8" w:rsidP="00E669F8">
      <w:pPr>
        <w:pStyle w:val="afd"/>
        <w:rPr>
          <w:rtl/>
        </w:rPr>
      </w:pPr>
      <w:bookmarkStart w:id="908" w:name="_Toc8069054"/>
      <w:bookmarkStart w:id="909" w:name="_Toc8069126"/>
      <w:bookmarkStart w:id="910" w:name="_Toc8106010"/>
      <w:bookmarkStart w:id="911" w:name="_Toc8117870"/>
      <w:bookmarkStart w:id="912" w:name="_Toc8122518"/>
      <w:bookmarkStart w:id="913" w:name="_Toc8142978"/>
      <w:bookmarkStart w:id="914" w:name="_Toc8160780"/>
      <w:bookmarkStart w:id="915" w:name="_Toc8209266"/>
      <w:bookmarkStart w:id="916" w:name="_Toc8209404"/>
      <w:bookmarkStart w:id="917" w:name="_Toc8246426"/>
      <w:bookmarkStart w:id="918" w:name="_Toc7711786"/>
      <w:bookmarkStart w:id="919" w:name="_Toc7724612"/>
      <w:r w:rsidRPr="0050146A">
        <w:rPr>
          <w:rFonts w:hint="cs"/>
          <w:rtl/>
        </w:rPr>
        <w:t>באיסור דבוק</w:t>
      </w:r>
      <w:bookmarkEnd w:id="908"/>
      <w:bookmarkEnd w:id="909"/>
      <w:bookmarkEnd w:id="910"/>
      <w:bookmarkEnd w:id="911"/>
      <w:bookmarkEnd w:id="912"/>
      <w:bookmarkEnd w:id="913"/>
      <w:bookmarkEnd w:id="914"/>
      <w:r w:rsidRPr="0050146A">
        <w:rPr>
          <w:rFonts w:hint="cs"/>
          <w:rtl/>
        </w:rPr>
        <w:t xml:space="preserve"> בגיד שנתבשל בירך</w:t>
      </w:r>
      <w:bookmarkEnd w:id="915"/>
      <w:bookmarkEnd w:id="916"/>
      <w:bookmarkEnd w:id="917"/>
    </w:p>
    <w:p w:rsidR="008442F8" w:rsidRPr="0050146A" w:rsidRDefault="008442F8" w:rsidP="008442F8">
      <w:pPr>
        <w:pStyle w:val="1"/>
        <w:rPr>
          <w:rtl/>
        </w:rPr>
      </w:pPr>
      <w:bookmarkStart w:id="920" w:name="_Toc8209267"/>
      <w:bookmarkStart w:id="921" w:name="_Toc8209405"/>
      <w:bookmarkStart w:id="922" w:name="_Toc8246427"/>
      <w:r w:rsidRPr="0050146A">
        <w:rPr>
          <w:rFonts w:hint="cs"/>
          <w:rtl/>
        </w:rPr>
        <w:t>דברי רש"י לקמן דחתיכה שדבוק בה איסור יש לה דין חנ</w:t>
      </w:r>
      <w:r w:rsidRPr="0050146A">
        <w:rPr>
          <w:rtl/>
        </w:rPr>
        <w:t>"</w:t>
      </w:r>
      <w:r w:rsidRPr="0050146A">
        <w:rPr>
          <w:rFonts w:hint="cs"/>
          <w:rtl/>
        </w:rPr>
        <w:t>נ</w:t>
      </w:r>
      <w:bookmarkEnd w:id="920"/>
      <w:bookmarkEnd w:id="921"/>
      <w:bookmarkEnd w:id="922"/>
    </w:p>
    <w:p w:rsidR="008442F8" w:rsidRPr="0050146A" w:rsidRDefault="008442F8" w:rsidP="008442F8">
      <w:pPr>
        <w:pStyle w:val="a2"/>
        <w:rPr>
          <w:rtl/>
        </w:rPr>
      </w:pPr>
      <w:bookmarkStart w:id="923" w:name="_Toc8209268"/>
      <w:bookmarkStart w:id="924" w:name="_Toc8209406"/>
      <w:bookmarkStart w:id="925" w:name="_Toc8246428"/>
      <w:r w:rsidRPr="0050146A">
        <w:rPr>
          <w:rFonts w:hint="cs"/>
          <w:rtl/>
        </w:rPr>
        <w:t>דברי רש"י דחתיכה שנפלה עליה טיפת חלב וכן חתיכה שדבוק בה איסור היא יש לה דין חנ</w:t>
      </w:r>
      <w:r w:rsidRPr="0050146A">
        <w:rPr>
          <w:rtl/>
        </w:rPr>
        <w:t>"</w:t>
      </w:r>
      <w:r w:rsidRPr="0050146A">
        <w:rPr>
          <w:rFonts w:hint="cs"/>
          <w:rtl/>
        </w:rPr>
        <w:t>נ</w:t>
      </w:r>
      <w:bookmarkEnd w:id="923"/>
      <w:bookmarkEnd w:id="924"/>
      <w:bookmarkEnd w:id="925"/>
    </w:p>
    <w:p w:rsidR="008442F8" w:rsidRPr="0050146A" w:rsidRDefault="008442F8" w:rsidP="009F44AF">
      <w:pPr>
        <w:pStyle w:val="a"/>
        <w:rPr>
          <w:rtl/>
        </w:rPr>
      </w:pPr>
      <w:r w:rsidRPr="0050146A">
        <w:rPr>
          <w:rFonts w:hint="cs"/>
          <w:rtl/>
        </w:rPr>
        <w:t xml:space="preserve">כתב </w:t>
      </w:r>
      <w:r w:rsidRPr="0050146A">
        <w:rPr>
          <w:rStyle w:val="af8"/>
          <w:rFonts w:hint="cs"/>
          <w:rtl/>
        </w:rPr>
        <w:t>רש"י לקמן</w:t>
      </w:r>
      <w:r w:rsidRPr="0050146A">
        <w:rPr>
          <w:rStyle w:val="af6"/>
          <w:rFonts w:eastAsia="Guttman Hodes" w:hint="cs"/>
          <w:rtl/>
        </w:rPr>
        <w:t xml:space="preserve"> (קט. ד"ה ותו) </w:t>
      </w:r>
      <w:r w:rsidRPr="0050146A">
        <w:rPr>
          <w:rFonts w:hint="cs"/>
          <w:rtl/>
        </w:rPr>
        <w:t xml:space="preserve">דטיפת </w:t>
      </w:r>
      <w:r w:rsidRPr="0050146A">
        <w:rPr>
          <w:rtl/>
        </w:rPr>
        <w:t>חָלָב</w:t>
      </w:r>
      <w:r w:rsidRPr="0050146A">
        <w:rPr>
          <w:rFonts w:hint="cs"/>
          <w:rtl/>
        </w:rPr>
        <w:t xml:space="preserve"> שנפלה על החתיכה, ולא ניער וכיסה, וכן חתיכה שדבוק בה </w:t>
      </w:r>
      <w:r w:rsidRPr="0050146A">
        <w:rPr>
          <w:rtl/>
        </w:rPr>
        <w:t>חֵלֶב</w:t>
      </w:r>
      <w:r w:rsidRPr="0050146A">
        <w:rPr>
          <w:rFonts w:hint="cs"/>
          <w:rtl/>
        </w:rPr>
        <w:t>, ויש באיסור כדי נתינת טעם בהיתר, דיש לחתיכה דין חנ</w:t>
      </w:r>
      <w:r w:rsidRPr="0050146A">
        <w:rPr>
          <w:rtl/>
        </w:rPr>
        <w:t>"</w:t>
      </w:r>
      <w:r w:rsidRPr="0050146A">
        <w:rPr>
          <w:rFonts w:hint="cs"/>
          <w:rtl/>
        </w:rPr>
        <w:t>נ.</w:t>
      </w:r>
    </w:p>
    <w:p w:rsidR="008442F8" w:rsidRPr="0050146A" w:rsidRDefault="008442F8" w:rsidP="008442F8">
      <w:pPr>
        <w:pStyle w:val="1"/>
        <w:rPr>
          <w:rtl/>
        </w:rPr>
      </w:pPr>
      <w:bookmarkStart w:id="926" w:name="_Toc8209269"/>
      <w:bookmarkStart w:id="927" w:name="_Toc8209407"/>
      <w:bookmarkStart w:id="928" w:name="_Toc8246429"/>
      <w:r w:rsidRPr="0050146A">
        <w:rPr>
          <w:rFonts w:hint="cs"/>
          <w:rtl/>
        </w:rPr>
        <w:t>דברי התוס' הרא"ש והאו"ז בשם תלמידי רש"י באיסור דבוק</w:t>
      </w:r>
      <w:bookmarkEnd w:id="926"/>
      <w:bookmarkEnd w:id="927"/>
      <w:bookmarkEnd w:id="928"/>
    </w:p>
    <w:p w:rsidR="008442F8" w:rsidRPr="0050146A" w:rsidRDefault="008442F8" w:rsidP="008442F8">
      <w:pPr>
        <w:pStyle w:val="a2"/>
        <w:rPr>
          <w:rtl/>
        </w:rPr>
      </w:pPr>
      <w:bookmarkStart w:id="929" w:name="_Toc8209270"/>
      <w:bookmarkStart w:id="930" w:name="_Toc8209408"/>
      <w:bookmarkStart w:id="931" w:name="_Toc8246430"/>
      <w:r w:rsidRPr="0050146A">
        <w:rPr>
          <w:rFonts w:hint="cs"/>
          <w:rtl/>
        </w:rPr>
        <w:t>דברי תוס' הרא"ש דלרש"י דיש חנ</w:t>
      </w:r>
      <w:r w:rsidRPr="0050146A">
        <w:rPr>
          <w:rtl/>
        </w:rPr>
        <w:t>"</w:t>
      </w:r>
      <w:r w:rsidRPr="0050146A">
        <w:rPr>
          <w:rFonts w:hint="cs"/>
          <w:rtl/>
        </w:rPr>
        <w:t>נ במקצתה ברוטב כל שדבוק איסור לחתיכה צריך שישים כנגדה</w:t>
      </w:r>
      <w:bookmarkEnd w:id="929"/>
      <w:bookmarkEnd w:id="930"/>
      <w:bookmarkEnd w:id="931"/>
    </w:p>
    <w:p w:rsidR="008442F8" w:rsidRPr="0050146A" w:rsidRDefault="008442F8" w:rsidP="009F44AF">
      <w:pPr>
        <w:pStyle w:val="a"/>
        <w:rPr>
          <w:rtl/>
        </w:rPr>
      </w:pPr>
      <w:r w:rsidRPr="0050146A">
        <w:rPr>
          <w:rFonts w:hint="cs"/>
          <w:rtl/>
        </w:rPr>
        <w:t xml:space="preserve">כתב </w:t>
      </w:r>
      <w:r w:rsidRPr="0050146A">
        <w:rPr>
          <w:rStyle w:val="af8"/>
          <w:rFonts w:hint="cs"/>
          <w:rtl/>
        </w:rPr>
        <w:t>בתוס' הרא"ש</w:t>
      </w:r>
      <w:r w:rsidRPr="0050146A">
        <w:rPr>
          <w:rFonts w:hint="cs"/>
          <w:rtl/>
        </w:rPr>
        <w:t xml:space="preserve"> </w:t>
      </w:r>
      <w:r w:rsidRPr="0050146A">
        <w:rPr>
          <w:rStyle w:val="af6"/>
          <w:rFonts w:eastAsia="Guttman Hodes" w:hint="cs"/>
          <w:rtl/>
        </w:rPr>
        <w:t>(ד"ה ירך)</w:t>
      </w:r>
      <w:r w:rsidRPr="0050146A">
        <w:rPr>
          <w:rFonts w:hint="cs"/>
          <w:rtl/>
        </w:rPr>
        <w:t xml:space="preserve"> דכיון דס"ל </w:t>
      </w:r>
      <w:r w:rsidRPr="0050146A">
        <w:rPr>
          <w:rStyle w:val="af8"/>
          <w:rFonts w:hint="cs"/>
          <w:rtl/>
        </w:rPr>
        <w:t>לרש"י</w:t>
      </w:r>
      <w:r w:rsidRPr="0050146A">
        <w:rPr>
          <w:rFonts w:hint="cs"/>
          <w:rtl/>
        </w:rPr>
        <w:t xml:space="preserve"> דיש דין חנ</w:t>
      </w:r>
      <w:r w:rsidRPr="0050146A">
        <w:rPr>
          <w:rtl/>
        </w:rPr>
        <w:t>"</w:t>
      </w:r>
      <w:r w:rsidRPr="0050146A">
        <w:rPr>
          <w:rFonts w:hint="cs"/>
          <w:rtl/>
        </w:rPr>
        <w:t xml:space="preserve">נ בחתיכה שמקצתה ברוטב, לכן כתבו </w:t>
      </w:r>
      <w:r w:rsidRPr="0050146A">
        <w:rPr>
          <w:rStyle w:val="af8"/>
          <w:rFonts w:hint="cs"/>
          <w:rtl/>
        </w:rPr>
        <w:t>תלמידי רש"י</w:t>
      </w:r>
      <w:r w:rsidRPr="0050146A">
        <w:rPr>
          <w:rFonts w:hint="cs"/>
          <w:rtl/>
        </w:rPr>
        <w:t xml:space="preserve"> ד</w:t>
      </w:r>
      <w:r w:rsidRPr="0050146A">
        <w:rPr>
          <w:rtl/>
        </w:rPr>
        <w:t>חֵלֶב</w:t>
      </w:r>
      <w:r w:rsidRPr="0050146A">
        <w:rPr>
          <w:rFonts w:hint="cs"/>
          <w:rtl/>
        </w:rPr>
        <w:t xml:space="preserve"> שדבוק בחתיכות של בשר שהתבשלו בקדירה, צריך שישים כנגד כל החתיכות.</w:t>
      </w:r>
    </w:p>
    <w:p w:rsidR="008442F8" w:rsidRPr="0050146A" w:rsidRDefault="008442F8" w:rsidP="008442F8">
      <w:pPr>
        <w:pStyle w:val="a2"/>
        <w:rPr>
          <w:rtl/>
        </w:rPr>
      </w:pPr>
      <w:bookmarkStart w:id="932" w:name="_Toc8209271"/>
      <w:bookmarkStart w:id="933" w:name="_Toc8209409"/>
      <w:bookmarkStart w:id="934" w:name="_Toc8246431"/>
      <w:r w:rsidRPr="0050146A">
        <w:rPr>
          <w:rFonts w:hint="cs"/>
          <w:rtl/>
        </w:rPr>
        <w:t>דברי האו"ז דמבואר במתני' דמשערים בירך ולא בגיד ומוכח דבדבוק צריך שישים כנגד כל החתיכה</w:t>
      </w:r>
      <w:bookmarkEnd w:id="932"/>
      <w:bookmarkEnd w:id="933"/>
      <w:bookmarkEnd w:id="934"/>
      <w:r w:rsidRPr="0050146A">
        <w:rPr>
          <w:rFonts w:hint="cs"/>
          <w:rtl/>
        </w:rPr>
        <w:t xml:space="preserve"> </w:t>
      </w:r>
    </w:p>
    <w:p w:rsidR="008442F8" w:rsidRPr="0050146A" w:rsidRDefault="008442F8" w:rsidP="009F44AF">
      <w:pPr>
        <w:pStyle w:val="a"/>
        <w:rPr>
          <w:rtl/>
        </w:rPr>
      </w:pPr>
      <w:bookmarkStart w:id="935" w:name="_Ref8205019"/>
      <w:r w:rsidRPr="0050146A">
        <w:rPr>
          <w:rStyle w:val="af8"/>
          <w:rFonts w:hint="cs"/>
          <w:rtl/>
        </w:rPr>
        <w:t xml:space="preserve">ההג' אשר"י </w:t>
      </w:r>
      <w:r w:rsidRPr="0050146A">
        <w:rPr>
          <w:rStyle w:val="af6"/>
          <w:rFonts w:eastAsia="Guttman Hodes" w:hint="cs"/>
          <w:rtl/>
        </w:rPr>
        <w:t>(על הרא"ש סי' כ"ד)</w:t>
      </w:r>
      <w:r w:rsidRPr="0050146A">
        <w:rPr>
          <w:rStyle w:val="af8"/>
          <w:rFonts w:hint="cs"/>
          <w:rtl/>
        </w:rPr>
        <w:t xml:space="preserve"> </w:t>
      </w:r>
      <w:r w:rsidRPr="0050146A">
        <w:rPr>
          <w:rFonts w:hint="cs"/>
          <w:rtl/>
        </w:rPr>
        <w:t>הביא את דברי</w:t>
      </w:r>
      <w:r w:rsidRPr="0050146A">
        <w:rPr>
          <w:rStyle w:val="af8"/>
          <w:rFonts w:hint="cs"/>
          <w:rtl/>
        </w:rPr>
        <w:t xml:space="preserve"> האו"ז</w:t>
      </w:r>
      <w:r w:rsidRPr="0050146A">
        <w:rPr>
          <w:rFonts w:hint="cs"/>
          <w:rtl/>
        </w:rPr>
        <w:t xml:space="preserve"> </w:t>
      </w:r>
      <w:r w:rsidRPr="0050146A">
        <w:rPr>
          <w:rStyle w:val="af6"/>
          <w:rFonts w:eastAsia="Guttman Hodes" w:hint="cs"/>
          <w:rtl/>
        </w:rPr>
        <w:t>(ח"א תנ"ב, הועתק בקובץ שיטות קמאי חולין ח"ג עמ' ב' אלף ק"ד)</w:t>
      </w:r>
      <w:r w:rsidRPr="0050146A">
        <w:rPr>
          <w:rFonts w:hint="cs"/>
          <w:rtl/>
        </w:rPr>
        <w:t xml:space="preserve"> דכתב בשם </w:t>
      </w:r>
      <w:r w:rsidRPr="0050146A">
        <w:rPr>
          <w:rStyle w:val="af8"/>
          <w:rFonts w:hint="cs"/>
          <w:rtl/>
        </w:rPr>
        <w:t>רבינו יהודה ב"ר יצחק</w:t>
      </w:r>
      <w:r w:rsidRPr="0050146A">
        <w:rPr>
          <w:rFonts w:hint="cs"/>
          <w:rtl/>
        </w:rPr>
        <w:t xml:space="preserve"> דכיון דתנן במתני' שיש בה בנותן טעם, משמע דמשערים רק בירך עצמה, ואם נתן בה הגיד טעם היא אסורה, אף שיש ברוטב בכדי לבטל את הטעם, וכתב </w:t>
      </w:r>
      <w:r w:rsidRPr="0050146A">
        <w:rPr>
          <w:rStyle w:val="af8"/>
          <w:rFonts w:hint="cs"/>
          <w:rtl/>
        </w:rPr>
        <w:t xml:space="preserve">האו"ז </w:t>
      </w:r>
      <w:r w:rsidRPr="0050146A">
        <w:rPr>
          <w:rFonts w:hint="cs"/>
          <w:rtl/>
        </w:rPr>
        <w:t xml:space="preserve">דמוכח מזה כדברי </w:t>
      </w:r>
      <w:r w:rsidRPr="0050146A">
        <w:rPr>
          <w:rStyle w:val="af8"/>
          <w:rFonts w:hint="cs"/>
          <w:rtl/>
        </w:rPr>
        <w:t xml:space="preserve">תלמידי רש"י </w:t>
      </w:r>
      <w:r w:rsidRPr="0050146A">
        <w:rPr>
          <w:rFonts w:hint="cs"/>
          <w:rtl/>
        </w:rPr>
        <w:t xml:space="preserve">דכתבו דאם נתבשלה חתיכה בשר, והיה דבוק לה כבד, </w:t>
      </w:r>
      <w:r w:rsidRPr="0050146A">
        <w:rPr>
          <w:rStyle w:val="afa"/>
          <w:rFonts w:hint="cs"/>
          <w:rtl/>
        </w:rPr>
        <w:t xml:space="preserve">[שאסור בבישול בלא צליה], </w:t>
      </w:r>
      <w:r w:rsidRPr="0050146A">
        <w:rPr>
          <w:rFonts w:hint="cs"/>
          <w:rtl/>
        </w:rPr>
        <w:t xml:space="preserve">דצריך שיעור שישים כנגד כל החתיכה, ולא רק כנגד הכבד, וכ"כ </w:t>
      </w:r>
      <w:r w:rsidRPr="0050146A">
        <w:rPr>
          <w:rStyle w:val="af8"/>
          <w:rFonts w:hint="cs"/>
          <w:rtl/>
        </w:rPr>
        <w:t>הש"ך</w:t>
      </w:r>
      <w:r w:rsidRPr="0050146A">
        <w:rPr>
          <w:rStyle w:val="af6"/>
          <w:rFonts w:eastAsia="Guttman Hodes" w:hint="cs"/>
          <w:rtl/>
        </w:rPr>
        <w:t xml:space="preserve"> (סי' ק' סק"ח) </w:t>
      </w:r>
      <w:r w:rsidRPr="0050146A">
        <w:rPr>
          <w:rFonts w:hint="cs"/>
          <w:rtl/>
        </w:rPr>
        <w:t>דמקור איסור דבוק הוא ממתני'.</w:t>
      </w:r>
      <w:bookmarkEnd w:id="935"/>
    </w:p>
    <w:p w:rsidR="008442F8" w:rsidRPr="0050146A" w:rsidRDefault="008442F8" w:rsidP="008442F8">
      <w:pPr>
        <w:pStyle w:val="a2"/>
        <w:rPr>
          <w:rtl/>
        </w:rPr>
      </w:pPr>
      <w:bookmarkStart w:id="936" w:name="_Toc8209272"/>
      <w:bookmarkStart w:id="937" w:name="_Toc8209410"/>
      <w:bookmarkStart w:id="938" w:name="_Toc8246432"/>
      <w:r w:rsidRPr="0050146A">
        <w:rPr>
          <w:rFonts w:hint="cs"/>
          <w:rtl/>
        </w:rPr>
        <w:t>ביאור האו"ז דמבואר במתני' דאיסור הגיד מתפשט בתוך הירך ואינו מתפשט ברוטב</w:t>
      </w:r>
      <w:bookmarkEnd w:id="936"/>
      <w:bookmarkEnd w:id="937"/>
      <w:bookmarkEnd w:id="938"/>
      <w:r w:rsidRPr="0050146A">
        <w:rPr>
          <w:rFonts w:hint="cs"/>
          <w:rtl/>
        </w:rPr>
        <w:t xml:space="preserve"> </w:t>
      </w:r>
    </w:p>
    <w:p w:rsidR="008442F8" w:rsidRPr="0050146A" w:rsidRDefault="008442F8" w:rsidP="009F44AF">
      <w:pPr>
        <w:pStyle w:val="a"/>
        <w:rPr>
          <w:rtl/>
        </w:rPr>
      </w:pPr>
      <w:r w:rsidRPr="0050146A">
        <w:rPr>
          <w:rFonts w:hint="cs"/>
          <w:rtl/>
        </w:rPr>
        <w:t xml:space="preserve">וביאר </w:t>
      </w:r>
      <w:r w:rsidRPr="0050146A">
        <w:rPr>
          <w:rStyle w:val="af8"/>
          <w:rFonts w:hint="cs"/>
          <w:rtl/>
        </w:rPr>
        <w:t>האו"ז</w:t>
      </w:r>
      <w:r w:rsidRPr="0050146A">
        <w:rPr>
          <w:rFonts w:hint="cs"/>
          <w:rtl/>
        </w:rPr>
        <w:t xml:space="preserve"> דהאיסור של הכבד נותן טעם בכל החתיכה, אך אינו מתפשט ברוטב והרוטב אינו מצטרף לבטלו בשישים, אלא האיסור מתפשט רק בחתיכה עצמה, וכדמשמע במתני' דטעם הגיד מתפשט בירך, ואינו מתפשט במים.</w:t>
      </w:r>
    </w:p>
    <w:p w:rsidR="008442F8" w:rsidRPr="0050146A" w:rsidRDefault="008442F8" w:rsidP="008442F8">
      <w:pPr>
        <w:pStyle w:val="a2"/>
        <w:rPr>
          <w:rtl/>
        </w:rPr>
      </w:pPr>
      <w:bookmarkStart w:id="939" w:name="_Toc8209273"/>
      <w:bookmarkStart w:id="940" w:name="_Toc8209411"/>
      <w:bookmarkStart w:id="941" w:name="_Toc8246433"/>
      <w:r w:rsidRPr="0050146A">
        <w:rPr>
          <w:rFonts w:hint="cs"/>
          <w:rtl/>
        </w:rPr>
        <w:t>דברי האו"ז דדין דבוק מבואר ברש"י בדין טיפת חלב דהחתיכה אסורה כל שלא ניער וכיסה</w:t>
      </w:r>
      <w:bookmarkEnd w:id="939"/>
      <w:bookmarkEnd w:id="940"/>
      <w:bookmarkEnd w:id="941"/>
    </w:p>
    <w:p w:rsidR="008442F8" w:rsidRPr="0050146A" w:rsidRDefault="008442F8" w:rsidP="009F44AF">
      <w:pPr>
        <w:pStyle w:val="a"/>
        <w:rPr>
          <w:rtl/>
        </w:rPr>
      </w:pPr>
      <w:r w:rsidRPr="0050146A">
        <w:rPr>
          <w:rFonts w:hint="cs"/>
          <w:rtl/>
        </w:rPr>
        <w:t xml:space="preserve">והוסיף </w:t>
      </w:r>
      <w:r w:rsidRPr="0050146A">
        <w:rPr>
          <w:rStyle w:val="af8"/>
          <w:rFonts w:hint="cs"/>
          <w:rtl/>
        </w:rPr>
        <w:t>האו"ז</w:t>
      </w:r>
      <w:r w:rsidRPr="0050146A">
        <w:rPr>
          <w:rFonts w:hint="cs"/>
          <w:rtl/>
        </w:rPr>
        <w:t xml:space="preserve"> דכן משמע בדברי </w:t>
      </w:r>
      <w:r w:rsidRPr="0050146A">
        <w:rPr>
          <w:rStyle w:val="af8"/>
          <w:rFonts w:hint="cs"/>
          <w:rtl/>
        </w:rPr>
        <w:t>רש"י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Ref8159198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50146A">
        <w:rPr>
          <w:rStyle w:val="af6"/>
          <w:rFonts w:eastAsia="Guttman Hodes"/>
          <w:rtl/>
        </w:rPr>
        <w:fldChar w:fldCharType="end"/>
      </w:r>
      <w:r w:rsidRPr="0050146A">
        <w:rPr>
          <w:rFonts w:hint="cs"/>
          <w:rtl/>
        </w:rPr>
        <w:t xml:space="preserve"> דכתב בדין טיפת חלב דכל שלא ניער וכיסה, החתיכה אסורה, וביאר </w:t>
      </w:r>
      <w:r w:rsidRPr="0050146A">
        <w:rPr>
          <w:rStyle w:val="af8"/>
          <w:rFonts w:hint="cs"/>
          <w:rtl/>
        </w:rPr>
        <w:t>האו"ז</w:t>
      </w:r>
      <w:r w:rsidRPr="0050146A">
        <w:rPr>
          <w:rFonts w:hint="cs"/>
          <w:rtl/>
        </w:rPr>
        <w:t xml:space="preserve"> דהאיסור מתפשט בחתיכה עצמה, ואחר שהתפשט בה האיסור יש לה דין חנ</w:t>
      </w:r>
      <w:r w:rsidRPr="0050146A">
        <w:rPr>
          <w:rtl/>
        </w:rPr>
        <w:t>"</w:t>
      </w:r>
      <w:r w:rsidRPr="0050146A">
        <w:rPr>
          <w:rFonts w:hint="cs"/>
          <w:rtl/>
        </w:rPr>
        <w:t>נ, וצריך שיעור שישים ברוטב בכדי לבטל את כל החתיכה.</w:t>
      </w:r>
    </w:p>
    <w:p w:rsidR="008442F8" w:rsidRPr="0050146A" w:rsidRDefault="008442F8" w:rsidP="008442F8">
      <w:pPr>
        <w:pStyle w:val="1"/>
        <w:rPr>
          <w:rtl/>
        </w:rPr>
      </w:pPr>
      <w:bookmarkStart w:id="942" w:name="_Toc8209274"/>
      <w:bookmarkStart w:id="943" w:name="_Toc8209412"/>
      <w:bookmarkStart w:id="944" w:name="_Toc8246434"/>
      <w:bookmarkStart w:id="945" w:name="_Toc8069055"/>
      <w:bookmarkStart w:id="946" w:name="_Toc8069127"/>
      <w:bookmarkStart w:id="947" w:name="_Toc8106011"/>
      <w:bookmarkStart w:id="948" w:name="_Toc8117871"/>
      <w:bookmarkStart w:id="949" w:name="_Toc8122519"/>
      <w:bookmarkStart w:id="950" w:name="_Toc8142979"/>
      <w:bookmarkStart w:id="951" w:name="_Toc8160781"/>
      <w:r w:rsidRPr="0050146A">
        <w:rPr>
          <w:rFonts w:hint="cs"/>
          <w:rtl/>
        </w:rPr>
        <w:t>דברי הרשב"א דבמתני' מוכח דאין הגיד אוסר את הירך הדבוק</w:t>
      </w:r>
      <w:bookmarkEnd w:id="942"/>
      <w:bookmarkEnd w:id="943"/>
      <w:bookmarkEnd w:id="944"/>
    </w:p>
    <w:p w:rsidR="008442F8" w:rsidRPr="0050146A" w:rsidRDefault="008442F8" w:rsidP="008442F8">
      <w:pPr>
        <w:pStyle w:val="a2"/>
        <w:rPr>
          <w:rtl/>
        </w:rPr>
      </w:pPr>
      <w:bookmarkStart w:id="952" w:name="_Toc8209275"/>
      <w:bookmarkStart w:id="953" w:name="_Toc8209413"/>
      <w:bookmarkStart w:id="954" w:name="_Toc8246435"/>
      <w:r w:rsidRPr="0050146A">
        <w:rPr>
          <w:rFonts w:hint="cs"/>
          <w:rtl/>
        </w:rPr>
        <w:t>קושית הרשב"א מהי סברת רש"י דמשערים בכל החתיכה באיסור דבוק</w:t>
      </w:r>
      <w:bookmarkEnd w:id="952"/>
      <w:bookmarkEnd w:id="953"/>
      <w:bookmarkEnd w:id="954"/>
    </w:p>
    <w:p w:rsidR="008442F8" w:rsidRPr="0050146A" w:rsidRDefault="008442F8" w:rsidP="009F44AF">
      <w:pPr>
        <w:pStyle w:val="a"/>
        <w:rPr>
          <w:rtl/>
        </w:rPr>
      </w:pPr>
      <w:r w:rsidRPr="0050146A">
        <w:rPr>
          <w:rStyle w:val="af8"/>
          <w:rFonts w:hint="cs"/>
          <w:rtl/>
        </w:rPr>
        <w:t xml:space="preserve">הרשב"א בתוה"ב </w:t>
      </w:r>
      <w:r w:rsidRPr="0050146A">
        <w:rPr>
          <w:rStyle w:val="af6"/>
          <w:rFonts w:eastAsia="Guttman Hodes" w:hint="cs"/>
          <w:rtl/>
        </w:rPr>
        <w:t>(ב"ג ש"א דף פ. מדה"ס)</w:t>
      </w:r>
      <w:r w:rsidRPr="0050146A">
        <w:rPr>
          <w:rFonts w:hint="cs"/>
          <w:rtl/>
        </w:rPr>
        <w:t xml:space="preserve"> הביא ששמע בשם </w:t>
      </w:r>
      <w:r w:rsidRPr="0050146A">
        <w:rPr>
          <w:rStyle w:val="af8"/>
          <w:rFonts w:hint="cs"/>
          <w:rtl/>
        </w:rPr>
        <w:t xml:space="preserve">רש"י </w:t>
      </w:r>
      <w:r w:rsidRPr="0050146A">
        <w:rPr>
          <w:rFonts w:hint="cs"/>
          <w:rtl/>
        </w:rPr>
        <w:t xml:space="preserve">דלב </w:t>
      </w:r>
      <w:r w:rsidRPr="0050146A">
        <w:rPr>
          <w:rStyle w:val="afa"/>
          <w:rFonts w:hint="cs"/>
          <w:rtl/>
        </w:rPr>
        <w:t>[שאסור מחמת דמו]</w:t>
      </w:r>
      <w:r w:rsidRPr="0050146A">
        <w:rPr>
          <w:rFonts w:hint="cs"/>
          <w:rtl/>
        </w:rPr>
        <w:t xml:space="preserve"> שדבוק לעוף ונתבשל עמו, דמשערים כנגד כל העוף, ולא רק כנגד הלב, והקשה </w:t>
      </w:r>
      <w:r w:rsidRPr="0050146A">
        <w:rPr>
          <w:rStyle w:val="af8"/>
          <w:rFonts w:hint="cs"/>
          <w:rtl/>
        </w:rPr>
        <w:t xml:space="preserve">הרשב"א </w:t>
      </w:r>
      <w:r w:rsidRPr="0050146A">
        <w:rPr>
          <w:rFonts w:hint="cs"/>
          <w:rtl/>
        </w:rPr>
        <w:t xml:space="preserve">מהי סברת </w:t>
      </w:r>
      <w:r w:rsidRPr="0050146A">
        <w:rPr>
          <w:rStyle w:val="af8"/>
          <w:rFonts w:hint="cs"/>
          <w:rtl/>
        </w:rPr>
        <w:t>רש"י</w:t>
      </w:r>
      <w:r w:rsidRPr="0050146A">
        <w:rPr>
          <w:rFonts w:hint="cs"/>
          <w:rtl/>
        </w:rPr>
        <w:t>.</w:t>
      </w:r>
    </w:p>
    <w:p w:rsidR="008442F8" w:rsidRPr="0050146A" w:rsidRDefault="008442F8" w:rsidP="008442F8">
      <w:pPr>
        <w:pStyle w:val="a2"/>
        <w:rPr>
          <w:rtl/>
        </w:rPr>
      </w:pPr>
      <w:bookmarkStart w:id="955" w:name="_Toc8209276"/>
      <w:bookmarkStart w:id="956" w:name="_Toc8209414"/>
      <w:bookmarkStart w:id="957" w:name="_Toc8246436"/>
      <w:r w:rsidRPr="0050146A">
        <w:rPr>
          <w:rFonts w:hint="cs"/>
          <w:rtl/>
        </w:rPr>
        <w:t>דברי הרשב"א דא"א לומר דדבוק אסור מדין חנ</w:t>
      </w:r>
      <w:r w:rsidRPr="0050146A">
        <w:rPr>
          <w:rtl/>
        </w:rPr>
        <w:t>"</w:t>
      </w:r>
      <w:r w:rsidRPr="0050146A">
        <w:rPr>
          <w:rFonts w:hint="cs"/>
          <w:rtl/>
        </w:rPr>
        <w:t>נ דאיתא במתני' דמשערים בגיד ולא בכל הירך</w:t>
      </w:r>
      <w:bookmarkEnd w:id="955"/>
      <w:bookmarkEnd w:id="956"/>
      <w:bookmarkEnd w:id="957"/>
    </w:p>
    <w:p w:rsidR="008442F8" w:rsidRPr="0050146A" w:rsidRDefault="008442F8" w:rsidP="009F44AF">
      <w:pPr>
        <w:pStyle w:val="a"/>
        <w:rPr>
          <w:rtl/>
        </w:rPr>
      </w:pPr>
      <w:r w:rsidRPr="0050146A">
        <w:rPr>
          <w:rFonts w:hint="cs"/>
          <w:rtl/>
        </w:rPr>
        <w:t xml:space="preserve">וכתב </w:t>
      </w:r>
      <w:r w:rsidRPr="0050146A">
        <w:rPr>
          <w:rStyle w:val="af8"/>
          <w:rFonts w:hint="cs"/>
          <w:rtl/>
        </w:rPr>
        <w:t xml:space="preserve">הרשב"א בתוה"ב </w:t>
      </w:r>
      <w:r w:rsidRPr="0050146A">
        <w:rPr>
          <w:rFonts w:hint="cs"/>
          <w:rtl/>
        </w:rPr>
        <w:t xml:space="preserve">דא"א לומר דס"ל </w:t>
      </w:r>
      <w:r w:rsidRPr="0050146A">
        <w:rPr>
          <w:rStyle w:val="af8"/>
          <w:rFonts w:hint="cs"/>
          <w:rtl/>
        </w:rPr>
        <w:t xml:space="preserve">לרש"י </w:t>
      </w:r>
      <w:r w:rsidRPr="0050146A">
        <w:rPr>
          <w:rFonts w:hint="cs"/>
          <w:rtl/>
        </w:rPr>
        <w:t>דדנים את כל העוף כחתיכה אחת, וכדין חנ</w:t>
      </w:r>
      <w:r w:rsidRPr="0050146A">
        <w:rPr>
          <w:rtl/>
        </w:rPr>
        <w:t>"</w:t>
      </w:r>
      <w:r w:rsidRPr="0050146A">
        <w:rPr>
          <w:rFonts w:hint="cs"/>
          <w:rtl/>
        </w:rPr>
        <w:t xml:space="preserve">נ דמשערינן בכל החתיכה, דהא תנן במתני' דמשערים בגיד לבדו, ולא בכל הירך אף למ"ד דיש בגידין בנותן טעם, וא"כ ה"ה בלב שדבוק לעוף, וכן פסק </w:t>
      </w:r>
      <w:r w:rsidRPr="0050146A">
        <w:rPr>
          <w:rStyle w:val="af8"/>
          <w:rFonts w:hint="cs"/>
          <w:rtl/>
        </w:rPr>
        <w:t>הרשב"א בתוה"ב הקצר</w:t>
      </w:r>
      <w:r w:rsidRPr="0050146A">
        <w:rPr>
          <w:rStyle w:val="af6"/>
          <w:rFonts w:eastAsia="Guttman Hodes" w:hint="cs"/>
          <w:rtl/>
        </w:rPr>
        <w:t xml:space="preserve"> (ב"ג ש"ג עג: מדה"ס) </w:t>
      </w:r>
      <w:r w:rsidRPr="0050146A">
        <w:rPr>
          <w:rFonts w:hint="cs"/>
          <w:rtl/>
        </w:rPr>
        <w:t>דמשערין בלב לבדו, ולא נראה להחמיר לשער בכל העוף.</w:t>
      </w:r>
    </w:p>
    <w:p w:rsidR="008442F8" w:rsidRPr="0050146A" w:rsidRDefault="008442F8" w:rsidP="008442F8">
      <w:pPr>
        <w:pStyle w:val="1"/>
        <w:rPr>
          <w:rtl/>
        </w:rPr>
      </w:pPr>
      <w:bookmarkStart w:id="958" w:name="_Toc8209277"/>
      <w:bookmarkStart w:id="959" w:name="_Toc8209415"/>
      <w:bookmarkStart w:id="960" w:name="_Toc8246437"/>
      <w:r w:rsidRPr="0050146A">
        <w:rPr>
          <w:rFonts w:hint="cs"/>
          <w:rtl/>
        </w:rPr>
        <w:t>בסברת איסור דבוק</w:t>
      </w:r>
      <w:bookmarkEnd w:id="958"/>
      <w:bookmarkEnd w:id="959"/>
      <w:bookmarkEnd w:id="960"/>
    </w:p>
    <w:p w:rsidR="008442F8" w:rsidRPr="0050146A" w:rsidRDefault="008442F8" w:rsidP="008442F8">
      <w:pPr>
        <w:pStyle w:val="a2"/>
        <w:rPr>
          <w:rtl/>
        </w:rPr>
      </w:pPr>
      <w:bookmarkStart w:id="961" w:name="_Toc8209278"/>
      <w:bookmarkStart w:id="962" w:name="_Toc8209416"/>
      <w:bookmarkStart w:id="963" w:name="_Toc8246438"/>
      <w:r w:rsidRPr="0050146A">
        <w:rPr>
          <w:rFonts w:hint="cs"/>
          <w:rtl/>
        </w:rPr>
        <w:t>ביאור המרדכי דבתחילה נאסרת החתיכה הדבוקה לאיסור ויש לה דין חנ</w:t>
      </w:r>
      <w:r w:rsidRPr="0050146A">
        <w:rPr>
          <w:rtl/>
        </w:rPr>
        <w:t>"</w:t>
      </w:r>
      <w:r w:rsidRPr="0050146A">
        <w:rPr>
          <w:rFonts w:hint="cs"/>
          <w:rtl/>
        </w:rPr>
        <w:t>נ ואח"כ אוסרת הכל</w:t>
      </w:r>
      <w:bookmarkEnd w:id="961"/>
      <w:bookmarkEnd w:id="962"/>
      <w:bookmarkEnd w:id="963"/>
    </w:p>
    <w:p w:rsidR="008442F8" w:rsidRPr="0050146A" w:rsidRDefault="008442F8" w:rsidP="009F44AF">
      <w:pPr>
        <w:pStyle w:val="a"/>
        <w:rPr>
          <w:rtl/>
        </w:rPr>
      </w:pPr>
      <w:r w:rsidRPr="0050146A">
        <w:rPr>
          <w:rFonts w:hint="cs"/>
          <w:rtl/>
        </w:rPr>
        <w:t xml:space="preserve">וביאר </w:t>
      </w:r>
      <w:r w:rsidRPr="0050146A">
        <w:rPr>
          <w:rStyle w:val="af8"/>
          <w:rFonts w:hint="cs"/>
          <w:rtl/>
        </w:rPr>
        <w:t>והמרדכי</w:t>
      </w:r>
      <w:r w:rsidRPr="0050146A">
        <w:rPr>
          <w:rFonts w:hint="cs"/>
          <w:rtl/>
        </w:rPr>
        <w:t xml:space="preserve"> </w:t>
      </w:r>
      <w:r w:rsidRPr="0050146A">
        <w:rPr>
          <w:rStyle w:val="af6"/>
          <w:rFonts w:eastAsia="Guttman Hodes" w:hint="cs"/>
          <w:rtl/>
        </w:rPr>
        <w:t>(רמז תר"פ)</w:t>
      </w:r>
      <w:r w:rsidRPr="0050146A">
        <w:rPr>
          <w:rFonts w:hint="cs"/>
          <w:rtl/>
        </w:rPr>
        <w:t xml:space="preserve"> הביא את דברי </w:t>
      </w:r>
      <w:r w:rsidRPr="0050146A">
        <w:rPr>
          <w:rStyle w:val="af8"/>
          <w:rFonts w:hint="cs"/>
          <w:rtl/>
        </w:rPr>
        <w:t xml:space="preserve">האו"ז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Ref8205019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50146A">
        <w:rPr>
          <w:rStyle w:val="af6"/>
          <w:rFonts w:eastAsia="Guttman Hodes"/>
          <w:rtl/>
        </w:rPr>
        <w:fldChar w:fldCharType="end"/>
      </w:r>
      <w:r w:rsidRPr="0050146A">
        <w:rPr>
          <w:rFonts w:hint="cs"/>
          <w:rtl/>
        </w:rPr>
        <w:t xml:space="preserve"> דכתב דבדבוק יש דין חנ</w:t>
      </w:r>
      <w:r w:rsidRPr="0050146A">
        <w:rPr>
          <w:rtl/>
        </w:rPr>
        <w:t>"</w:t>
      </w:r>
      <w:r w:rsidRPr="0050146A">
        <w:rPr>
          <w:rFonts w:hint="cs"/>
          <w:rtl/>
        </w:rPr>
        <w:t xml:space="preserve">נ בכל החתיכה, וביאר </w:t>
      </w:r>
      <w:r w:rsidRPr="0050146A">
        <w:rPr>
          <w:rStyle w:val="af8"/>
          <w:rFonts w:hint="cs"/>
          <w:rtl/>
        </w:rPr>
        <w:t>המרדכי</w:t>
      </w:r>
      <w:r w:rsidRPr="0050146A">
        <w:rPr>
          <w:rFonts w:hint="cs"/>
          <w:rtl/>
        </w:rPr>
        <w:t xml:space="preserve"> דס"ל </w:t>
      </w:r>
      <w:r w:rsidRPr="0050146A">
        <w:rPr>
          <w:rStyle w:val="af8"/>
          <w:rFonts w:hint="cs"/>
          <w:rtl/>
        </w:rPr>
        <w:t>להאו"ז</w:t>
      </w:r>
      <w:r w:rsidRPr="0050146A">
        <w:rPr>
          <w:rFonts w:hint="cs"/>
          <w:rtl/>
        </w:rPr>
        <w:t xml:space="preserve"> דמסתמא החתיכה שדבוק לה האיסור נמלחה תחילה, ונאסרה בשעת המליחה, ולכן היא אוסרת את שאר החתיכות, ועי' במ"ש </w:t>
      </w:r>
      <w:r w:rsidRPr="0050146A">
        <w:rPr>
          <w:rStyle w:val="af8"/>
          <w:rFonts w:hint="cs"/>
          <w:rtl/>
        </w:rPr>
        <w:t>בהג' הרמ"א על המרדכי</w:t>
      </w:r>
      <w:r w:rsidRPr="0050146A">
        <w:rPr>
          <w:rFonts w:hint="cs"/>
          <w:rtl/>
        </w:rPr>
        <w:t>.</w:t>
      </w:r>
    </w:p>
    <w:p w:rsidR="008442F8" w:rsidRPr="0050146A" w:rsidRDefault="008442F8" w:rsidP="008442F8">
      <w:pPr>
        <w:pStyle w:val="a2"/>
        <w:rPr>
          <w:rtl/>
        </w:rPr>
      </w:pPr>
      <w:bookmarkStart w:id="964" w:name="_Toc8209279"/>
      <w:bookmarkStart w:id="965" w:name="_Toc8209417"/>
      <w:bookmarkStart w:id="966" w:name="_Toc8246439"/>
      <w:r w:rsidRPr="0050146A">
        <w:rPr>
          <w:rFonts w:hint="cs"/>
          <w:rtl/>
        </w:rPr>
        <w:t>ביאור האיסור והיתר דחיישינן שמא פעם אחת הייתה החתיכה עם האיסור הדבוק לבדה ברוטב</w:t>
      </w:r>
      <w:bookmarkEnd w:id="964"/>
      <w:bookmarkEnd w:id="965"/>
      <w:bookmarkEnd w:id="966"/>
    </w:p>
    <w:p w:rsidR="008442F8" w:rsidRPr="0050146A" w:rsidRDefault="008442F8" w:rsidP="009F44AF">
      <w:pPr>
        <w:pStyle w:val="a"/>
        <w:rPr>
          <w:rtl/>
        </w:rPr>
      </w:pPr>
      <w:r w:rsidRPr="0050146A">
        <w:rPr>
          <w:rStyle w:val="af8"/>
          <w:rFonts w:hint="cs"/>
          <w:rtl/>
        </w:rPr>
        <w:t>והדרכ"מ</w:t>
      </w:r>
      <w:r w:rsidRPr="0050146A">
        <w:rPr>
          <w:rFonts w:hint="cs"/>
          <w:rtl/>
        </w:rPr>
        <w:t xml:space="preserve"> </w:t>
      </w:r>
      <w:r w:rsidRPr="0050146A">
        <w:rPr>
          <w:rStyle w:val="af6"/>
          <w:rFonts w:eastAsia="Guttman Hodes" w:hint="cs"/>
          <w:rtl/>
        </w:rPr>
        <w:t>(סי' צ"ב א')</w:t>
      </w:r>
      <w:r w:rsidRPr="0050146A">
        <w:rPr>
          <w:rFonts w:hint="cs"/>
          <w:rtl/>
        </w:rPr>
        <w:t xml:space="preserve"> הביא את דברי </w:t>
      </w:r>
      <w:r w:rsidRPr="0050146A">
        <w:rPr>
          <w:rStyle w:val="af8"/>
          <w:rFonts w:hint="cs"/>
          <w:rtl/>
        </w:rPr>
        <w:t>האיסור והיתר הארוך</w:t>
      </w:r>
      <w:r w:rsidRPr="0050146A">
        <w:rPr>
          <w:rFonts w:hint="cs"/>
          <w:rtl/>
        </w:rPr>
        <w:t xml:space="preserve"> </w:t>
      </w:r>
      <w:r w:rsidRPr="0050146A">
        <w:rPr>
          <w:rStyle w:val="af6"/>
          <w:rFonts w:eastAsia="Guttman Hodes" w:hint="cs"/>
          <w:rtl/>
        </w:rPr>
        <w:t>(שער כ"ח ג')</w:t>
      </w:r>
      <w:r w:rsidRPr="0050146A">
        <w:rPr>
          <w:rFonts w:hint="cs"/>
          <w:rtl/>
        </w:rPr>
        <w:t xml:space="preserve"> דביאר דבאיסור דבוק חיישינן שמא החתיכה והאיסור הדבוק לה נשארו פעם אחת לבדם בתוך הרוטב בסוף העירוי, או שמא הוציאוה פעם אחת כשהיא רותחת אל מחוץ לקדירה, ויש לה דין חנ</w:t>
      </w:r>
      <w:r w:rsidRPr="0050146A">
        <w:rPr>
          <w:rtl/>
        </w:rPr>
        <w:t>"</w:t>
      </w:r>
      <w:r w:rsidRPr="0050146A">
        <w:rPr>
          <w:rFonts w:hint="cs"/>
          <w:rtl/>
        </w:rPr>
        <w:t xml:space="preserve">נ, וכ"כ </w:t>
      </w:r>
      <w:r w:rsidRPr="0050146A">
        <w:rPr>
          <w:rStyle w:val="af8"/>
          <w:rFonts w:hint="cs"/>
          <w:rtl/>
        </w:rPr>
        <w:t>הסמ"ק</w:t>
      </w:r>
      <w:r w:rsidRPr="0050146A">
        <w:rPr>
          <w:rFonts w:hint="cs"/>
          <w:rtl/>
        </w:rPr>
        <w:t xml:space="preserve"> </w:t>
      </w:r>
      <w:r w:rsidRPr="0050146A">
        <w:rPr>
          <w:rStyle w:val="af6"/>
          <w:rFonts w:eastAsia="Guttman Hodes" w:hint="cs"/>
          <w:rtl/>
        </w:rPr>
        <w:t>(סי' ר"ה ד"ה הלב, הועתק בקובץ שיטות קמאי חולין ח"ג עמ' ב' אלף תשל"ח)</w:t>
      </w:r>
      <w:r w:rsidRPr="0050146A">
        <w:rPr>
          <w:rFonts w:hint="cs"/>
          <w:rtl/>
        </w:rPr>
        <w:t xml:space="preserve">, ועי' במ"ש </w:t>
      </w:r>
      <w:r w:rsidRPr="0050146A">
        <w:rPr>
          <w:rStyle w:val="af8"/>
          <w:rFonts w:hint="cs"/>
          <w:rtl/>
        </w:rPr>
        <w:t>החוו"ד</w:t>
      </w:r>
      <w:r w:rsidRPr="0050146A">
        <w:rPr>
          <w:rFonts w:hint="cs"/>
          <w:rtl/>
        </w:rPr>
        <w:t xml:space="preserve"> </w:t>
      </w:r>
      <w:r w:rsidRPr="0050146A">
        <w:rPr>
          <w:rStyle w:val="af6"/>
          <w:rFonts w:eastAsia="Guttman Hodes" w:hint="cs"/>
          <w:rtl/>
        </w:rPr>
        <w:t>(סי' ע"ב סק"ג)</w:t>
      </w:r>
      <w:r w:rsidRPr="0050146A">
        <w:rPr>
          <w:rFonts w:hint="cs"/>
          <w:rtl/>
        </w:rPr>
        <w:t>.</w:t>
      </w:r>
    </w:p>
    <w:p w:rsidR="008442F8" w:rsidRPr="0050146A" w:rsidRDefault="008442F8" w:rsidP="008442F8">
      <w:pPr>
        <w:pStyle w:val="a2"/>
        <w:rPr>
          <w:rtl/>
        </w:rPr>
      </w:pPr>
      <w:bookmarkStart w:id="967" w:name="_Toc8209280"/>
      <w:bookmarkStart w:id="968" w:name="_Toc8209418"/>
      <w:bookmarkStart w:id="969" w:name="_Toc8246440"/>
      <w:r w:rsidRPr="0050146A">
        <w:rPr>
          <w:rFonts w:hint="cs"/>
          <w:rtl/>
        </w:rPr>
        <w:t>ביאור הש"ך דהחתיכה הדבוקה לאיסור ממהרת לבלוע את האיסור ויש לה דין חנ</w:t>
      </w:r>
      <w:r w:rsidRPr="0050146A">
        <w:rPr>
          <w:rtl/>
        </w:rPr>
        <w:t>"</w:t>
      </w:r>
      <w:r w:rsidRPr="0050146A">
        <w:rPr>
          <w:rFonts w:hint="cs"/>
          <w:rtl/>
        </w:rPr>
        <w:t>נ</w:t>
      </w:r>
      <w:bookmarkEnd w:id="967"/>
      <w:bookmarkEnd w:id="968"/>
      <w:bookmarkEnd w:id="969"/>
    </w:p>
    <w:p w:rsidR="002D7168" w:rsidRDefault="008442F8" w:rsidP="009F44AF">
      <w:pPr>
        <w:pStyle w:val="a"/>
        <w:rPr>
          <w:rtl/>
        </w:rPr>
      </w:pPr>
      <w:r w:rsidRPr="0050146A">
        <w:rPr>
          <w:rStyle w:val="af8"/>
          <w:rFonts w:hint="cs"/>
          <w:rtl/>
        </w:rPr>
        <w:t>והש"ך</w:t>
      </w:r>
      <w:r w:rsidRPr="0050146A">
        <w:rPr>
          <w:rFonts w:hint="cs"/>
          <w:rtl/>
        </w:rPr>
        <w:t xml:space="preserve"> </w:t>
      </w:r>
      <w:r w:rsidRPr="0050146A">
        <w:rPr>
          <w:rStyle w:val="af6"/>
          <w:rFonts w:eastAsia="Guttman Hodes" w:hint="cs"/>
          <w:rtl/>
        </w:rPr>
        <w:t>(סי' ע"ב סקי"ח)</w:t>
      </w:r>
      <w:r w:rsidRPr="0050146A">
        <w:rPr>
          <w:rFonts w:hint="cs"/>
          <w:rtl/>
        </w:rPr>
        <w:t xml:space="preserve"> ביאר דהחתיכה שדבוקה לאיסור, ממהרת לבלוע את האיסור בתחילה, ולכן היא יש לה דין חנ</w:t>
      </w:r>
      <w:r w:rsidRPr="0050146A">
        <w:rPr>
          <w:rtl/>
        </w:rPr>
        <w:t>"</w:t>
      </w:r>
      <w:r w:rsidRPr="0050146A">
        <w:rPr>
          <w:rFonts w:hint="cs"/>
          <w:rtl/>
        </w:rPr>
        <w:t xml:space="preserve">נ מיד, ועי' במה שביאר בזה </w:t>
      </w:r>
      <w:r w:rsidRPr="0050146A">
        <w:rPr>
          <w:rStyle w:val="af8"/>
          <w:rFonts w:hint="cs"/>
          <w:rtl/>
        </w:rPr>
        <w:t>היד יהודה</w:t>
      </w:r>
      <w:r w:rsidRPr="0050146A">
        <w:rPr>
          <w:rFonts w:hint="cs"/>
          <w:rtl/>
        </w:rPr>
        <w:t xml:space="preserve"> </w:t>
      </w:r>
      <w:r w:rsidRPr="0050146A">
        <w:rPr>
          <w:rStyle w:val="af6"/>
          <w:rFonts w:eastAsia="Guttman Hodes" w:hint="cs"/>
          <w:rtl/>
        </w:rPr>
        <w:t>(סי' ע"ב סקי"א ד"ה והנה בטעם)</w:t>
      </w:r>
      <w:r w:rsidRPr="0050146A">
        <w:rPr>
          <w:rFonts w:hint="cs"/>
          <w:rtl/>
        </w:rPr>
        <w:t>.</w:t>
      </w:r>
    </w:p>
    <w:p w:rsidR="008442F8" w:rsidRPr="0050146A" w:rsidRDefault="008442F8" w:rsidP="008442F8">
      <w:pPr>
        <w:pStyle w:val="1"/>
        <w:rPr>
          <w:rtl/>
        </w:rPr>
      </w:pPr>
      <w:bookmarkStart w:id="970" w:name="_Toc8209281"/>
      <w:bookmarkStart w:id="971" w:name="_Toc8209419"/>
      <w:bookmarkStart w:id="972" w:name="_Toc8246441"/>
      <w:r w:rsidRPr="0050146A">
        <w:rPr>
          <w:rFonts w:hint="cs"/>
          <w:rtl/>
        </w:rPr>
        <w:t>איסור דבוק לדעת רבינו אפרים</w:t>
      </w:r>
      <w:bookmarkEnd w:id="970"/>
      <w:bookmarkEnd w:id="971"/>
      <w:bookmarkEnd w:id="972"/>
    </w:p>
    <w:p w:rsidR="008442F8" w:rsidRPr="0050146A" w:rsidRDefault="008442F8" w:rsidP="008442F8">
      <w:pPr>
        <w:pStyle w:val="a2"/>
        <w:rPr>
          <w:rtl/>
        </w:rPr>
      </w:pPr>
      <w:bookmarkStart w:id="973" w:name="_Toc8209282"/>
      <w:bookmarkStart w:id="974" w:name="_Toc8209420"/>
      <w:bookmarkStart w:id="975" w:name="_Toc8246442"/>
      <w:r w:rsidRPr="0050146A">
        <w:rPr>
          <w:rFonts w:hint="cs"/>
          <w:rtl/>
        </w:rPr>
        <w:t>דברי הש"ך דאיסור דבוק הוא רק למאן דאוסר בחנ</w:t>
      </w:r>
      <w:r w:rsidRPr="0050146A">
        <w:rPr>
          <w:rtl/>
        </w:rPr>
        <w:t>"</w:t>
      </w:r>
      <w:r w:rsidRPr="0050146A">
        <w:rPr>
          <w:rFonts w:hint="cs"/>
          <w:rtl/>
        </w:rPr>
        <w:t>נ ולרבינו אפרים אין איסור דבוק בשאר איסורים</w:t>
      </w:r>
      <w:bookmarkEnd w:id="973"/>
      <w:bookmarkEnd w:id="974"/>
      <w:bookmarkEnd w:id="975"/>
    </w:p>
    <w:p w:rsidR="008442F8" w:rsidRPr="0050146A" w:rsidRDefault="008442F8" w:rsidP="009F44AF">
      <w:pPr>
        <w:pStyle w:val="a"/>
        <w:rPr>
          <w:rtl/>
        </w:rPr>
      </w:pPr>
      <w:r w:rsidRPr="0050146A">
        <w:rPr>
          <w:rFonts w:hint="cs"/>
          <w:rtl/>
        </w:rPr>
        <w:lastRenderedPageBreak/>
        <w:t xml:space="preserve">כתב </w:t>
      </w:r>
      <w:r w:rsidRPr="0050146A">
        <w:rPr>
          <w:rStyle w:val="af8"/>
          <w:rFonts w:hint="cs"/>
          <w:rtl/>
        </w:rPr>
        <w:t>הש"ך</w:t>
      </w:r>
      <w:r w:rsidRPr="0050146A">
        <w:rPr>
          <w:rFonts w:hint="cs"/>
          <w:rtl/>
        </w:rPr>
        <w:t xml:space="preserve"> </w:t>
      </w:r>
      <w:r w:rsidRPr="0050146A">
        <w:rPr>
          <w:rStyle w:val="af6"/>
          <w:rFonts w:eastAsia="Guttman Hodes" w:hint="cs"/>
          <w:rtl/>
        </w:rPr>
        <w:t xml:space="preserve">(סי' ס"ט סקל"ה) </w:t>
      </w:r>
      <w:r w:rsidRPr="0050146A">
        <w:rPr>
          <w:rFonts w:hint="cs"/>
          <w:rtl/>
        </w:rPr>
        <w:t xml:space="preserve">דלדעת </w:t>
      </w:r>
      <w:r w:rsidRPr="0050146A">
        <w:rPr>
          <w:rStyle w:val="af8"/>
          <w:rFonts w:hint="cs"/>
          <w:rtl/>
        </w:rPr>
        <w:t>השו"ע</w:t>
      </w:r>
      <w:r w:rsidRPr="0050146A">
        <w:rPr>
          <w:rFonts w:hint="cs"/>
          <w:rtl/>
        </w:rPr>
        <w:t xml:space="preserve"> </w:t>
      </w:r>
      <w:r w:rsidRPr="0050146A">
        <w:rPr>
          <w:rStyle w:val="af6"/>
          <w:rFonts w:eastAsia="Guttman Hodes" w:hint="cs"/>
          <w:rtl/>
        </w:rPr>
        <w:t xml:space="preserve">(סי' צ"ב ד') </w:t>
      </w:r>
      <w:r w:rsidRPr="0050146A">
        <w:rPr>
          <w:rFonts w:hint="cs"/>
          <w:rtl/>
        </w:rPr>
        <w:t xml:space="preserve">דפסק </w:t>
      </w:r>
      <w:r w:rsidRPr="0050146A">
        <w:rPr>
          <w:rStyle w:val="af8"/>
          <w:rFonts w:hint="cs"/>
          <w:rtl/>
        </w:rPr>
        <w:t>כרבינו אפרים</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Ref7603012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דרק בבשר וחלב יש דין חנ</w:t>
      </w:r>
      <w:r w:rsidRPr="0050146A">
        <w:rPr>
          <w:rtl/>
        </w:rPr>
        <w:t>"</w:t>
      </w:r>
      <w:r w:rsidRPr="0050146A">
        <w:rPr>
          <w:rFonts w:hint="cs"/>
          <w:rtl/>
        </w:rPr>
        <w:t>נ, א"כ ס"ל דבאיסור דבוק, לא נאסרת כל החתיכה, והיינו דאיסור דבוק הוא מדין חנ</w:t>
      </w:r>
      <w:r w:rsidRPr="0050146A">
        <w:rPr>
          <w:rtl/>
        </w:rPr>
        <w:t>"</w:t>
      </w:r>
      <w:r w:rsidRPr="0050146A">
        <w:rPr>
          <w:rFonts w:hint="cs"/>
          <w:rtl/>
        </w:rPr>
        <w:t>נ.</w:t>
      </w:r>
    </w:p>
    <w:p w:rsidR="008442F8" w:rsidRPr="0050146A" w:rsidRDefault="008442F8" w:rsidP="008442F8">
      <w:pPr>
        <w:pStyle w:val="a2"/>
        <w:rPr>
          <w:rtl/>
        </w:rPr>
      </w:pPr>
      <w:bookmarkStart w:id="976" w:name="_Toc8209283"/>
      <w:bookmarkStart w:id="977" w:name="_Toc8209421"/>
      <w:bookmarkStart w:id="978" w:name="_Toc8246443"/>
      <w:r w:rsidRPr="0050146A">
        <w:rPr>
          <w:rFonts w:hint="cs"/>
          <w:rtl/>
        </w:rPr>
        <w:t>דעת הגרעק"א דאף לרבינו אפרים דאין חנ</w:t>
      </w:r>
      <w:r w:rsidRPr="0050146A">
        <w:rPr>
          <w:rtl/>
        </w:rPr>
        <w:t>"</w:t>
      </w:r>
      <w:r w:rsidRPr="0050146A">
        <w:rPr>
          <w:rFonts w:hint="cs"/>
          <w:rtl/>
        </w:rPr>
        <w:t>נ בשאר איסורים מ"מ יש איסור דבוק</w:t>
      </w:r>
      <w:bookmarkEnd w:id="976"/>
      <w:bookmarkEnd w:id="977"/>
      <w:bookmarkEnd w:id="978"/>
    </w:p>
    <w:p w:rsidR="00AA6DCE" w:rsidRPr="0050146A" w:rsidRDefault="008442F8" w:rsidP="009F44AF">
      <w:pPr>
        <w:pStyle w:val="a"/>
        <w:rPr>
          <w:rtl/>
        </w:rPr>
      </w:pPr>
      <w:r w:rsidRPr="0050146A">
        <w:rPr>
          <w:rFonts w:hint="cs"/>
          <w:rtl/>
        </w:rPr>
        <w:t xml:space="preserve">אבל </w:t>
      </w:r>
      <w:r w:rsidRPr="0050146A">
        <w:rPr>
          <w:rStyle w:val="af8"/>
          <w:rFonts w:hint="cs"/>
          <w:rtl/>
        </w:rPr>
        <w:t>הגרעק"א</w:t>
      </w:r>
      <w:r w:rsidRPr="0050146A">
        <w:rPr>
          <w:rFonts w:hint="cs"/>
          <w:rtl/>
        </w:rPr>
        <w:t xml:space="preserve"> </w:t>
      </w:r>
      <w:r w:rsidRPr="0050146A">
        <w:rPr>
          <w:rStyle w:val="af6"/>
          <w:rFonts w:eastAsia="Guttman Hodes" w:hint="cs"/>
          <w:rtl/>
        </w:rPr>
        <w:t>(שו"ת חדשות יו"ד סי' ט' אות ה')</w:t>
      </w:r>
      <w:r w:rsidRPr="0050146A">
        <w:rPr>
          <w:rFonts w:hint="cs"/>
          <w:rtl/>
        </w:rPr>
        <w:t xml:space="preserve"> כתב דאין הכרח לומר </w:t>
      </w:r>
      <w:r w:rsidRPr="0050146A">
        <w:rPr>
          <w:rStyle w:val="af8"/>
          <w:rFonts w:hint="cs"/>
          <w:rtl/>
        </w:rPr>
        <w:t>כש"ך</w:t>
      </w:r>
      <w:r w:rsidRPr="0050146A">
        <w:rPr>
          <w:rFonts w:hint="cs"/>
          <w:rtl/>
        </w:rPr>
        <w:t xml:space="preserve">, דאפש"ל דאף לדעת </w:t>
      </w:r>
      <w:r w:rsidRPr="0050146A">
        <w:rPr>
          <w:rStyle w:val="af8"/>
          <w:rFonts w:hint="cs"/>
          <w:rtl/>
        </w:rPr>
        <w:t>רבינו אפרים</w:t>
      </w:r>
      <w:r w:rsidRPr="0050146A">
        <w:rPr>
          <w:rFonts w:hint="cs"/>
          <w:rtl/>
        </w:rPr>
        <w:t xml:space="preserve"> דאין דין חנ</w:t>
      </w:r>
      <w:r w:rsidRPr="0050146A">
        <w:rPr>
          <w:rtl/>
        </w:rPr>
        <w:t>"</w:t>
      </w:r>
      <w:r w:rsidRPr="0050146A">
        <w:rPr>
          <w:rFonts w:hint="cs"/>
          <w:rtl/>
        </w:rPr>
        <w:t xml:space="preserve">נ בשאר איסורים, מ"מ יש איסור דבוק, דאמרינן שהאיסור לא נתפשט בשוה, ונשאר האיסור שבלוע בחתיכה הדבוקה לאיסור, או דחיישינן שמא החתיכה הייתה פעם אחת חוץ לרוטב, ועי' </w:t>
      </w:r>
      <w:r w:rsidRPr="0050146A">
        <w:rPr>
          <w:rStyle w:val="af8"/>
          <w:rFonts w:hint="cs"/>
          <w:rtl/>
        </w:rPr>
        <w:t>בפרמ"ג</w:t>
      </w:r>
      <w:r w:rsidRPr="0050146A">
        <w:rPr>
          <w:rFonts w:hint="cs"/>
          <w:rtl/>
        </w:rPr>
        <w:t xml:space="preserve"> </w:t>
      </w:r>
      <w:r w:rsidRPr="0050146A">
        <w:rPr>
          <w:rStyle w:val="af6"/>
          <w:rFonts w:eastAsia="Guttman Hodes" w:hint="cs"/>
          <w:rtl/>
        </w:rPr>
        <w:t>(סי' כ"ב שפ"ד סק"ח)</w:t>
      </w:r>
      <w:r w:rsidRPr="0050146A">
        <w:rPr>
          <w:rFonts w:hint="cs"/>
          <w:rtl/>
        </w:rPr>
        <w:t xml:space="preserve"> במה שהאריך בזה.</w:t>
      </w:r>
    </w:p>
    <w:p w:rsidR="008442F8" w:rsidRPr="0050146A" w:rsidRDefault="008442F8" w:rsidP="00E669F8">
      <w:pPr>
        <w:pStyle w:val="afd"/>
        <w:rPr>
          <w:rtl/>
        </w:rPr>
      </w:pPr>
      <w:bookmarkStart w:id="979" w:name="_Toc8246447"/>
      <w:bookmarkEnd w:id="738"/>
      <w:bookmarkEnd w:id="918"/>
      <w:bookmarkEnd w:id="919"/>
      <w:bookmarkEnd w:id="945"/>
      <w:bookmarkEnd w:id="946"/>
      <w:bookmarkEnd w:id="947"/>
      <w:bookmarkEnd w:id="948"/>
      <w:bookmarkEnd w:id="949"/>
      <w:bookmarkEnd w:id="950"/>
      <w:bookmarkEnd w:id="951"/>
      <w:r w:rsidRPr="0050146A">
        <w:rPr>
          <w:rFonts w:hint="cs"/>
          <w:rtl/>
        </w:rPr>
        <w:t>בדין גיד שנצלה או נמלח בירך</w:t>
      </w:r>
      <w:bookmarkEnd w:id="979"/>
    </w:p>
    <w:p w:rsidR="008442F8" w:rsidRPr="0050146A" w:rsidRDefault="008442F8" w:rsidP="008442F8">
      <w:pPr>
        <w:pStyle w:val="1"/>
        <w:rPr>
          <w:rtl/>
        </w:rPr>
      </w:pPr>
      <w:bookmarkStart w:id="980" w:name="_Toc7711787"/>
      <w:bookmarkStart w:id="981" w:name="_Toc7724613"/>
      <w:bookmarkStart w:id="982" w:name="_Toc8069056"/>
      <w:bookmarkStart w:id="983" w:name="_Toc8069128"/>
      <w:bookmarkStart w:id="984" w:name="_Toc8106012"/>
      <w:bookmarkStart w:id="985" w:name="_Toc8117872"/>
      <w:bookmarkStart w:id="986" w:name="_Toc8122520"/>
      <w:bookmarkStart w:id="987" w:name="_Toc8142980"/>
      <w:bookmarkStart w:id="988" w:name="_Toc8160782"/>
      <w:bookmarkStart w:id="989" w:name="_Toc8209288"/>
      <w:bookmarkStart w:id="990" w:name="_Toc8209426"/>
      <w:bookmarkStart w:id="991" w:name="_Toc8246448"/>
      <w:r w:rsidRPr="0050146A">
        <w:rPr>
          <w:rFonts w:hint="cs"/>
          <w:rtl/>
        </w:rPr>
        <w:t>ביאורי הראשונים בחידוש דברי שמואל</w:t>
      </w:r>
      <w:bookmarkEnd w:id="980"/>
      <w:bookmarkEnd w:id="981"/>
      <w:bookmarkEnd w:id="982"/>
      <w:bookmarkEnd w:id="983"/>
      <w:bookmarkEnd w:id="984"/>
      <w:bookmarkEnd w:id="985"/>
      <w:bookmarkEnd w:id="986"/>
      <w:bookmarkEnd w:id="987"/>
      <w:bookmarkEnd w:id="988"/>
      <w:bookmarkEnd w:id="989"/>
      <w:bookmarkEnd w:id="990"/>
      <w:bookmarkEnd w:id="991"/>
    </w:p>
    <w:p w:rsidR="008442F8" w:rsidRPr="0050146A" w:rsidRDefault="008442F8" w:rsidP="008442F8">
      <w:pPr>
        <w:pStyle w:val="a2"/>
        <w:rPr>
          <w:rtl/>
        </w:rPr>
      </w:pPr>
      <w:bookmarkStart w:id="992" w:name="_Toc8246449"/>
      <w:r w:rsidRPr="0050146A">
        <w:rPr>
          <w:rFonts w:hint="cs"/>
          <w:rtl/>
        </w:rPr>
        <w:t>קושית התוס' דפשיטא דצליה אינו אוסרת את כל הגיד דא"כ כל בשר נאסר במליחה דהיא כצליה</w:t>
      </w:r>
      <w:bookmarkEnd w:id="992"/>
    </w:p>
    <w:p w:rsidR="008442F8" w:rsidRPr="0050146A" w:rsidRDefault="008442F8" w:rsidP="009F44AF">
      <w:pPr>
        <w:pStyle w:val="a"/>
        <w:rPr>
          <w:rtl/>
        </w:rPr>
      </w:pPr>
      <w:bookmarkStart w:id="993" w:name="_Ref8333486"/>
      <w:r w:rsidRPr="0050146A">
        <w:rPr>
          <w:rFonts w:hint="cs"/>
          <w:rtl/>
        </w:rPr>
        <w:t>הקשו</w:t>
      </w:r>
      <w:r w:rsidRPr="0050146A">
        <w:rPr>
          <w:rStyle w:val="af8"/>
          <w:rFonts w:hint="cs"/>
          <w:rtl/>
        </w:rPr>
        <w:t xml:space="preserve"> התוס' </w:t>
      </w:r>
      <w:r w:rsidRPr="0050146A">
        <w:rPr>
          <w:rStyle w:val="af6"/>
          <w:rFonts w:eastAsia="Guttman Hodes" w:hint="cs"/>
          <w:rtl/>
        </w:rPr>
        <w:t>(ד"ה אבל)</w:t>
      </w:r>
      <w:r w:rsidRPr="0050146A">
        <w:rPr>
          <w:rFonts w:hint="cs"/>
          <w:rtl/>
        </w:rPr>
        <w:t xml:space="preserve"> מה חידש שמואל דדינא דמתני' דירך שנתבשל בה גיד, הוא רק בבישול ולא בצליה, דהרי כיון דלפני הבישול חייבים למלוח את הבשר כדי שיצא הדם, ואמר שמואל לקמן </w:t>
      </w:r>
      <w:r w:rsidRPr="0050146A">
        <w:rPr>
          <w:rStyle w:val="af6"/>
          <w:rFonts w:eastAsia="Guttman Hodes" w:hint="cs"/>
          <w:rtl/>
        </w:rPr>
        <w:t>(צז:)</w:t>
      </w:r>
      <w:r w:rsidRPr="0050146A">
        <w:rPr>
          <w:rFonts w:hint="cs"/>
          <w:rtl/>
        </w:rPr>
        <w:t xml:space="preserve"> דמליח הוא כרותח דצליה, ואי צליה אוסרת היה הירך אוסר את הגיד כשנמלח, ועוד הקשה </w:t>
      </w:r>
      <w:r w:rsidRPr="0050146A">
        <w:rPr>
          <w:rStyle w:val="af8"/>
          <w:rFonts w:hint="cs"/>
          <w:rtl/>
        </w:rPr>
        <w:t>הריטב"א</w:t>
      </w:r>
      <w:r w:rsidRPr="0050146A">
        <w:rPr>
          <w:rFonts w:hint="cs"/>
          <w:rtl/>
        </w:rPr>
        <w:t xml:space="preserve"> </w:t>
      </w:r>
      <w:r w:rsidRPr="0050146A">
        <w:rPr>
          <w:rStyle w:val="af6"/>
          <w:rFonts w:eastAsia="Guttman Hodes" w:hint="cs"/>
          <w:rtl/>
        </w:rPr>
        <w:t>(ד"ה אמר)</w:t>
      </w:r>
      <w:r w:rsidRPr="0050146A">
        <w:rPr>
          <w:rFonts w:hint="cs"/>
          <w:rtl/>
        </w:rPr>
        <w:t xml:space="preserve"> דכיון דתנן במתני' בישול ולא צליה, פשיטא דדינא דמתני' הוא בבישול ולא בצליה.</w:t>
      </w:r>
      <w:bookmarkEnd w:id="993"/>
    </w:p>
    <w:p w:rsidR="008442F8" w:rsidRPr="0050146A" w:rsidRDefault="008442F8" w:rsidP="008442F8">
      <w:pPr>
        <w:pStyle w:val="a2"/>
        <w:rPr>
          <w:rtl/>
        </w:rPr>
      </w:pPr>
      <w:bookmarkStart w:id="994" w:name="_Toc8246450"/>
      <w:r w:rsidRPr="0050146A">
        <w:rPr>
          <w:rFonts w:hint="cs"/>
          <w:rtl/>
        </w:rPr>
        <w:t>תירוצי הראשונים דלולי דברי שמואל היה הו"א דאין כוונת המשנה רק לבישול</w:t>
      </w:r>
      <w:bookmarkEnd w:id="994"/>
    </w:p>
    <w:p w:rsidR="008442F8" w:rsidRPr="0050146A" w:rsidRDefault="008442F8" w:rsidP="009F44AF">
      <w:pPr>
        <w:pStyle w:val="a"/>
        <w:rPr>
          <w:rtl/>
        </w:rPr>
      </w:pPr>
      <w:r w:rsidRPr="0050146A">
        <w:rPr>
          <w:rFonts w:hint="cs"/>
          <w:rtl/>
        </w:rPr>
        <w:t xml:space="preserve">ותירצו </w:t>
      </w:r>
      <w:r w:rsidRPr="0050146A">
        <w:rPr>
          <w:rStyle w:val="af8"/>
          <w:rFonts w:hint="cs"/>
          <w:rtl/>
        </w:rPr>
        <w:t xml:space="preserve">התוס' והרמב"ן </w:t>
      </w:r>
      <w:r w:rsidRPr="0050146A">
        <w:rPr>
          <w:rStyle w:val="af6"/>
          <w:rFonts w:eastAsia="Guttman Hodes" w:hint="cs"/>
          <w:rtl/>
        </w:rPr>
        <w:t>(ד"ה לא שנו)</w:t>
      </w:r>
      <w:r w:rsidRPr="0050146A">
        <w:rPr>
          <w:rFonts w:hint="cs"/>
          <w:rtl/>
        </w:rPr>
        <w:t xml:space="preserve"> </w:t>
      </w:r>
      <w:r w:rsidRPr="0050146A">
        <w:rPr>
          <w:rStyle w:val="af8"/>
          <w:rFonts w:hint="cs"/>
          <w:rtl/>
        </w:rPr>
        <w:t xml:space="preserve">והרשב"א </w:t>
      </w:r>
      <w:r w:rsidRPr="0050146A">
        <w:rPr>
          <w:rStyle w:val="af6"/>
          <w:rFonts w:eastAsia="Guttman Hodes" w:hint="cs"/>
          <w:rtl/>
        </w:rPr>
        <w:t>(ד"ה אמר)</w:t>
      </w:r>
      <w:r w:rsidRPr="0050146A">
        <w:rPr>
          <w:rStyle w:val="af8"/>
          <w:rFonts w:hint="cs"/>
          <w:rtl/>
        </w:rPr>
        <w:t xml:space="preserve"> והריטב"א</w:t>
      </w:r>
      <w:r w:rsidRPr="0050146A">
        <w:rPr>
          <w:rFonts w:hint="cs"/>
          <w:rtl/>
        </w:rPr>
        <w:t xml:space="preserve"> </w:t>
      </w:r>
      <w:r w:rsidRPr="0050146A">
        <w:rPr>
          <w:rStyle w:val="af6"/>
          <w:rFonts w:eastAsia="Guttman Hodes" w:hint="cs"/>
          <w:rtl/>
        </w:rPr>
        <w:t>(ד"ה אמר)</w:t>
      </w:r>
      <w:r w:rsidRPr="0050146A">
        <w:rPr>
          <w:rFonts w:hint="cs"/>
          <w:rtl/>
        </w:rPr>
        <w:t xml:space="preserve"> </w:t>
      </w:r>
      <w:r w:rsidRPr="0050146A">
        <w:rPr>
          <w:rStyle w:val="af8"/>
          <w:rFonts w:hint="cs"/>
          <w:rtl/>
        </w:rPr>
        <w:t>והר"ן</w:t>
      </w:r>
      <w:r w:rsidRPr="0050146A">
        <w:rPr>
          <w:rFonts w:hint="cs"/>
          <w:rtl/>
        </w:rPr>
        <w:t xml:space="preserve"> </w:t>
      </w:r>
      <w:r w:rsidRPr="0050146A">
        <w:rPr>
          <w:rStyle w:val="af6"/>
          <w:rFonts w:eastAsia="Guttman Hodes" w:hint="cs"/>
          <w:rtl/>
        </w:rPr>
        <w:t>(ד"ה קולף)</w:t>
      </w:r>
      <w:r w:rsidRPr="0050146A">
        <w:rPr>
          <w:rFonts w:hint="cs"/>
          <w:rtl/>
        </w:rPr>
        <w:t xml:space="preserve"> דכיון שמצינו מקומות דקרי לצליה בישול, לכן הוצרך שמואל לבאר דהא דתנן במתני' ירך שנתבשל בה גיד, היינו בישול ולא צליה, והוסיף </w:t>
      </w:r>
      <w:r w:rsidRPr="0050146A">
        <w:rPr>
          <w:rStyle w:val="af8"/>
          <w:rFonts w:hint="cs"/>
          <w:rtl/>
        </w:rPr>
        <w:t xml:space="preserve">הרמב"ן </w:t>
      </w:r>
      <w:r w:rsidRPr="0050146A">
        <w:rPr>
          <w:rFonts w:hint="cs"/>
          <w:rtl/>
        </w:rPr>
        <w:t xml:space="preserve">דלולי דברי שמואל היה אפש"ל דאין כוונת המשנה דוקא לבישול, אלא כוונת המשנה לומר  דהגיד אוסר את הירך בכל האופנים שהוא חשיב כרותח ובין במליחה ובין בצלוי וכבוש, ואף בישול הוא בכלל זה, אף שהבשר כבר נאסר משעה שנמלח, וקמ"ל שמואל דלשון בישול דתנן במתני' היינו דוקא בבישול של קדירה, ולא לצליה ומליחה, ועוד תירץ </w:t>
      </w:r>
      <w:r w:rsidRPr="0050146A">
        <w:rPr>
          <w:rStyle w:val="af8"/>
          <w:rFonts w:hint="cs"/>
          <w:rtl/>
        </w:rPr>
        <w:t>הריטב"א</w:t>
      </w:r>
      <w:r w:rsidRPr="0050146A">
        <w:rPr>
          <w:rFonts w:hint="cs"/>
          <w:rtl/>
        </w:rPr>
        <w:t xml:space="preserve"> בשם </w:t>
      </w:r>
      <w:r w:rsidRPr="0050146A">
        <w:rPr>
          <w:rStyle w:val="af8"/>
          <w:rFonts w:hint="cs"/>
          <w:rtl/>
        </w:rPr>
        <w:t>י"א</w:t>
      </w:r>
      <w:r w:rsidRPr="0050146A">
        <w:rPr>
          <w:rFonts w:hint="cs"/>
          <w:rtl/>
        </w:rPr>
        <w:t xml:space="preserve"> דאפשר להעמיד את המשנה בבישול בלא שמלח קודם, כגון שנתנו בקדירה רותחת מאוד, דהמים צומתים את הבשר, ודחה </w:t>
      </w:r>
      <w:r w:rsidRPr="0050146A">
        <w:rPr>
          <w:rStyle w:val="af8"/>
          <w:rFonts w:hint="cs"/>
          <w:rtl/>
        </w:rPr>
        <w:t>הריטב"א</w:t>
      </w:r>
      <w:r w:rsidRPr="0050146A">
        <w:rPr>
          <w:rFonts w:hint="cs"/>
          <w:rtl/>
        </w:rPr>
        <w:t xml:space="preserve"> דסתם בישול לא איירי בכה"ג.</w:t>
      </w:r>
    </w:p>
    <w:p w:rsidR="008442F8" w:rsidRPr="0050146A" w:rsidRDefault="008442F8" w:rsidP="008442F8">
      <w:pPr>
        <w:pStyle w:val="a2"/>
        <w:rPr>
          <w:rtl/>
        </w:rPr>
      </w:pPr>
      <w:bookmarkStart w:id="995" w:name="_Toc8246451"/>
      <w:r w:rsidRPr="0050146A">
        <w:rPr>
          <w:rFonts w:hint="cs"/>
          <w:rtl/>
        </w:rPr>
        <w:t>דברי הרמב"ן והרשב"א דלרבינא דמליחה כרותח דבישול מתני' איירי אף בבישול</w:t>
      </w:r>
      <w:bookmarkEnd w:id="995"/>
    </w:p>
    <w:p w:rsidR="008442F8" w:rsidRPr="0050146A" w:rsidRDefault="008442F8" w:rsidP="009F44AF">
      <w:pPr>
        <w:pStyle w:val="a"/>
        <w:rPr>
          <w:rtl/>
        </w:rPr>
      </w:pPr>
      <w:r w:rsidRPr="0050146A">
        <w:rPr>
          <w:rFonts w:hint="cs"/>
          <w:rtl/>
        </w:rPr>
        <w:t xml:space="preserve">וכתבו </w:t>
      </w:r>
      <w:r w:rsidRPr="0050146A">
        <w:rPr>
          <w:rStyle w:val="af8"/>
          <w:rFonts w:hint="cs"/>
          <w:rtl/>
        </w:rPr>
        <w:t xml:space="preserve">הרמב"ן והרשב"א </w:t>
      </w:r>
      <w:r w:rsidRPr="0050146A">
        <w:rPr>
          <w:rFonts w:hint="cs"/>
          <w:rtl/>
        </w:rPr>
        <w:t xml:space="preserve">דלדעת רבינא לקמן </w:t>
      </w:r>
      <w:r w:rsidRPr="0050146A">
        <w:rPr>
          <w:rStyle w:val="af6"/>
          <w:rFonts w:eastAsia="Guttman Hodes" w:hint="cs"/>
          <w:rtl/>
        </w:rPr>
        <w:t>(צז:)</w:t>
      </w:r>
      <w:r w:rsidRPr="0050146A">
        <w:rPr>
          <w:rFonts w:hint="cs"/>
          <w:rtl/>
        </w:rPr>
        <w:t xml:space="preserve"> דהא דאמר שמואל דמליח כרותח היינו לרותח דבישול, צ"ל דהא דתנן במתני' בישול הוא לאו דוקא, דהא בבישול נאסר הבשר כבר משעת מליחתו, וכתבו </w:t>
      </w:r>
      <w:r w:rsidRPr="0050146A">
        <w:rPr>
          <w:rStyle w:val="af8"/>
          <w:rFonts w:hint="cs"/>
          <w:rtl/>
        </w:rPr>
        <w:t>הרמב"ן והרשב"א והריטב"א</w:t>
      </w:r>
      <w:r w:rsidRPr="0050146A">
        <w:rPr>
          <w:rFonts w:hint="cs"/>
          <w:rtl/>
        </w:rPr>
        <w:t xml:space="preserve"> </w:t>
      </w:r>
      <w:r w:rsidRPr="0050146A">
        <w:rPr>
          <w:rStyle w:val="af8"/>
          <w:rFonts w:hint="cs"/>
          <w:rtl/>
        </w:rPr>
        <w:t>והר"ן</w:t>
      </w:r>
      <w:r w:rsidRPr="0050146A">
        <w:rPr>
          <w:rFonts w:hint="cs"/>
          <w:rtl/>
        </w:rPr>
        <w:t xml:space="preserve"> דלמ"ד בגמ' לקמן </w:t>
      </w:r>
      <w:r w:rsidRPr="0050146A">
        <w:rPr>
          <w:rStyle w:val="af6"/>
          <w:rFonts w:eastAsia="Guttman Hodes" w:hint="cs"/>
          <w:rtl/>
        </w:rPr>
        <w:t>(קיב.)</w:t>
      </w:r>
      <w:r w:rsidRPr="0050146A">
        <w:rPr>
          <w:rFonts w:hint="cs"/>
          <w:rtl/>
        </w:rPr>
        <w:t xml:space="preserve"> דמליח כרותח היינו דוקא באופן שאינו נאכל מחמת מלחו, כגון כשצריך לאוכלו לאח"ז, לא קשה קושית </w:t>
      </w:r>
      <w:r w:rsidRPr="0050146A">
        <w:rPr>
          <w:rStyle w:val="af8"/>
          <w:rFonts w:hint="cs"/>
          <w:rtl/>
        </w:rPr>
        <w:t>התוס'</w:t>
      </w:r>
      <w:r w:rsidRPr="0050146A">
        <w:rPr>
          <w:rFonts w:hint="cs"/>
          <w:rtl/>
        </w:rPr>
        <w:t xml:space="preserve"> כלל, דמליחה שלפני הבישול אין דינה כרותח.</w:t>
      </w:r>
    </w:p>
    <w:p w:rsidR="008442F8" w:rsidRPr="0050146A" w:rsidRDefault="008442F8" w:rsidP="008442F8">
      <w:pPr>
        <w:pStyle w:val="1"/>
        <w:rPr>
          <w:rtl/>
        </w:rPr>
      </w:pPr>
      <w:bookmarkStart w:id="996" w:name="_Toc8069057"/>
      <w:bookmarkStart w:id="997" w:name="_Toc8069129"/>
      <w:bookmarkStart w:id="998" w:name="_Toc8106013"/>
      <w:bookmarkStart w:id="999" w:name="_Toc8117873"/>
      <w:bookmarkStart w:id="1000" w:name="_Toc8122521"/>
      <w:bookmarkStart w:id="1001" w:name="_Toc8142981"/>
      <w:bookmarkStart w:id="1002" w:name="_Toc8160783"/>
      <w:bookmarkStart w:id="1003" w:name="_Toc8209289"/>
      <w:bookmarkStart w:id="1004" w:name="_Toc8209427"/>
      <w:bookmarkStart w:id="1005" w:name="_Toc8246452"/>
      <w:r w:rsidRPr="0050146A">
        <w:rPr>
          <w:rFonts w:hint="cs"/>
          <w:rtl/>
        </w:rPr>
        <w:t>דעת רש"י</w:t>
      </w:r>
      <w:bookmarkEnd w:id="996"/>
      <w:bookmarkEnd w:id="997"/>
      <w:bookmarkEnd w:id="998"/>
      <w:bookmarkEnd w:id="999"/>
      <w:bookmarkEnd w:id="1000"/>
      <w:bookmarkEnd w:id="1001"/>
      <w:bookmarkEnd w:id="1002"/>
      <w:bookmarkEnd w:id="1003"/>
      <w:bookmarkEnd w:id="1004"/>
      <w:r w:rsidRPr="0050146A">
        <w:rPr>
          <w:rFonts w:hint="cs"/>
          <w:rtl/>
        </w:rPr>
        <w:t xml:space="preserve"> והרמב"ם דבצליה אין הגיד אוסר אף כדי קליפה</w:t>
      </w:r>
      <w:bookmarkEnd w:id="1005"/>
    </w:p>
    <w:p w:rsidR="008442F8" w:rsidRPr="0050146A" w:rsidRDefault="008442F8" w:rsidP="008442F8">
      <w:pPr>
        <w:pStyle w:val="a2"/>
        <w:rPr>
          <w:rtl/>
        </w:rPr>
      </w:pPr>
      <w:bookmarkStart w:id="1006" w:name="_Toc8246453"/>
      <w:r w:rsidRPr="0050146A">
        <w:rPr>
          <w:rFonts w:hint="cs"/>
          <w:rtl/>
        </w:rPr>
        <w:t>ביאור האו"ז ברש"י דמותר לקלוף את כל הבשר עד הגיד עצמו וא"צ להניח כדי קליפה</w:t>
      </w:r>
      <w:bookmarkEnd w:id="1006"/>
    </w:p>
    <w:p w:rsidR="008442F8" w:rsidRPr="0050146A" w:rsidRDefault="008442F8" w:rsidP="009F44AF">
      <w:pPr>
        <w:pStyle w:val="a"/>
        <w:rPr>
          <w:rtl/>
        </w:rPr>
      </w:pPr>
      <w:bookmarkStart w:id="1007" w:name="_Ref8244632"/>
      <w:r w:rsidRPr="0050146A">
        <w:rPr>
          <w:rFonts w:hint="cs"/>
          <w:rtl/>
        </w:rPr>
        <w:t xml:space="preserve">בהא דאמר שמואל דבצליה קולף ואוכל עד שמגיע לגיד, ביאר </w:t>
      </w:r>
      <w:r w:rsidRPr="0050146A">
        <w:rPr>
          <w:rStyle w:val="af8"/>
          <w:rFonts w:hint="cs"/>
          <w:rtl/>
        </w:rPr>
        <w:t>רש"י</w:t>
      </w:r>
      <w:r w:rsidRPr="0050146A">
        <w:rPr>
          <w:rFonts w:hint="cs"/>
          <w:rtl/>
        </w:rPr>
        <w:t xml:space="preserve"> </w:t>
      </w:r>
      <w:r w:rsidRPr="0050146A">
        <w:rPr>
          <w:rStyle w:val="af6"/>
          <w:rFonts w:eastAsia="Guttman Hodes" w:hint="cs"/>
          <w:rtl/>
        </w:rPr>
        <w:t>(ד"ה אבל וד"ה קולף)</w:t>
      </w:r>
      <w:r w:rsidRPr="0050146A">
        <w:rPr>
          <w:rFonts w:hint="cs"/>
          <w:rtl/>
        </w:rPr>
        <w:t xml:space="preserve"> דהגיד נצמת בתוך עצמו ואינו מפעפע ויוצא לבשר, ולכן יכול לקלוף את הבשר העליון ולאוכלו עד שמגיע לגיד, וכתב </w:t>
      </w:r>
      <w:r w:rsidRPr="0050146A">
        <w:rPr>
          <w:rStyle w:val="af8"/>
          <w:rFonts w:hint="cs"/>
          <w:rtl/>
        </w:rPr>
        <w:t>האו"ז</w:t>
      </w:r>
      <w:r w:rsidRPr="0050146A">
        <w:rPr>
          <w:rFonts w:hint="cs"/>
          <w:rtl/>
        </w:rPr>
        <w:t xml:space="preserve"> </w:t>
      </w:r>
      <w:r w:rsidRPr="0050146A">
        <w:rPr>
          <w:rStyle w:val="af6"/>
          <w:rFonts w:eastAsia="Guttman Hodes" w:hint="cs"/>
          <w:rtl/>
        </w:rPr>
        <w:t>(ח"א סי' תנ"ג, הועתק בקובץ שיטות קמאי חולין ח"ג עמ' ב' אלף קכ"ח)</w:t>
      </w:r>
      <w:r w:rsidRPr="0050146A">
        <w:rPr>
          <w:rFonts w:hint="cs"/>
          <w:rtl/>
        </w:rPr>
        <w:t xml:space="preserve"> דמשמע מדברי </w:t>
      </w:r>
      <w:r w:rsidRPr="0050146A">
        <w:rPr>
          <w:rStyle w:val="af8"/>
          <w:rFonts w:hint="cs"/>
          <w:rtl/>
        </w:rPr>
        <w:t>רש"י</w:t>
      </w:r>
      <w:r w:rsidRPr="0050146A">
        <w:rPr>
          <w:rFonts w:hint="cs"/>
          <w:rtl/>
        </w:rPr>
        <w:t xml:space="preserve"> שא"צ  להניח אף כדי קליפה</w:t>
      </w:r>
      <w:r w:rsidRPr="0050146A">
        <w:rPr>
          <w:rStyle w:val="af0"/>
          <w:rtl/>
        </w:rPr>
        <w:footnoteReference w:id="2"/>
      </w:r>
      <w:r w:rsidRPr="0050146A">
        <w:rPr>
          <w:rFonts w:hint="cs"/>
          <w:rtl/>
        </w:rPr>
        <w:t xml:space="preserve">, </w:t>
      </w:r>
      <w:r w:rsidRPr="0050146A">
        <w:rPr>
          <w:rStyle w:val="afa"/>
          <w:rFonts w:hint="cs"/>
          <w:rtl/>
        </w:rPr>
        <w:t xml:space="preserve">[ולשון שמואל קולף ואוכל, היינו שקולף את הבשר העליון, עד שמגיע לגיד עצמו], </w:t>
      </w:r>
      <w:r w:rsidRPr="0050146A">
        <w:rPr>
          <w:rFonts w:hint="cs"/>
          <w:rtl/>
        </w:rPr>
        <w:t xml:space="preserve">וע"ע בדברי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Ref8244666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קכד)</w:t>
      </w:r>
      <w:r w:rsidRPr="0050146A">
        <w:rPr>
          <w:rStyle w:val="af6"/>
          <w:rFonts w:eastAsia="Guttman Hodes"/>
          <w:rtl/>
        </w:rPr>
        <w:fldChar w:fldCharType="end"/>
      </w:r>
      <w:r w:rsidRPr="0050146A">
        <w:rPr>
          <w:rFonts w:hint="cs"/>
          <w:rtl/>
        </w:rPr>
        <w:t xml:space="preserve"> במ"ש בשם </w:t>
      </w:r>
      <w:r w:rsidRPr="0050146A">
        <w:rPr>
          <w:rStyle w:val="af8"/>
          <w:rFonts w:hint="cs"/>
          <w:rtl/>
        </w:rPr>
        <w:t>רש"י</w:t>
      </w:r>
      <w:r w:rsidRPr="0050146A">
        <w:rPr>
          <w:rFonts w:hint="cs"/>
          <w:rtl/>
        </w:rPr>
        <w:t>.</w:t>
      </w:r>
      <w:bookmarkEnd w:id="1007"/>
    </w:p>
    <w:p w:rsidR="008442F8" w:rsidRPr="0050146A" w:rsidRDefault="008442F8" w:rsidP="008442F8">
      <w:pPr>
        <w:pStyle w:val="a2"/>
        <w:rPr>
          <w:rtl/>
        </w:rPr>
      </w:pPr>
      <w:bookmarkStart w:id="1008" w:name="_Toc8246454"/>
      <w:r w:rsidRPr="0050146A">
        <w:rPr>
          <w:rFonts w:hint="cs"/>
          <w:rtl/>
        </w:rPr>
        <w:t>ביאור הכס"מ ברמב"ם דגיד אינו אוסר בצליה אף כדי קליפה ושומנו אינו מפעפע</w:t>
      </w:r>
      <w:bookmarkEnd w:id="1008"/>
    </w:p>
    <w:p w:rsidR="008442F8" w:rsidRPr="0050146A" w:rsidRDefault="008442F8" w:rsidP="009F44AF">
      <w:pPr>
        <w:pStyle w:val="a"/>
        <w:rPr>
          <w:rtl/>
        </w:rPr>
      </w:pPr>
      <w:r w:rsidRPr="0050146A">
        <w:rPr>
          <w:rFonts w:hint="cs"/>
          <w:rtl/>
        </w:rPr>
        <w:t xml:space="preserve">וכ"כ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הל' ל"ב)</w:t>
      </w:r>
      <w:r w:rsidRPr="0050146A">
        <w:rPr>
          <w:rFonts w:hint="cs"/>
          <w:rtl/>
        </w:rPr>
        <w:t xml:space="preserve"> דירך שצלאה בגידה קולף ואוכל עד שמגיע לגיד ומשליכו, כיון שאין בגידין בנותן טעם וא"צ לשער בהם, וביאר </w:t>
      </w:r>
      <w:r w:rsidRPr="0050146A">
        <w:rPr>
          <w:rStyle w:val="af8"/>
          <w:rFonts w:hint="cs"/>
          <w:rtl/>
        </w:rPr>
        <w:t>הכס"מ</w:t>
      </w:r>
      <w:r w:rsidRPr="0050146A">
        <w:rPr>
          <w:rStyle w:val="af6"/>
          <w:rFonts w:eastAsia="Guttman Hodes" w:hint="cs"/>
          <w:rtl/>
        </w:rPr>
        <w:t xml:space="preserve"> (מאכ"א פט"ו הל' ל"ב)</w:t>
      </w:r>
      <w:r w:rsidRPr="0050146A">
        <w:rPr>
          <w:rFonts w:hint="cs"/>
          <w:rtl/>
        </w:rPr>
        <w:t xml:space="preserve"> דס"ל </w:t>
      </w:r>
      <w:r w:rsidRPr="0050146A">
        <w:rPr>
          <w:rStyle w:val="af8"/>
          <w:rFonts w:hint="cs"/>
          <w:rtl/>
        </w:rPr>
        <w:t>להרמב"ם</w:t>
      </w:r>
      <w:r w:rsidRPr="0050146A">
        <w:rPr>
          <w:rFonts w:hint="cs"/>
          <w:rtl/>
        </w:rPr>
        <w:t xml:space="preserve"> דשומן הגיד אינו מפעפע, ואינו אוסר אף כדי קליפה, וכתב </w:t>
      </w:r>
      <w:r w:rsidRPr="0050146A">
        <w:rPr>
          <w:rStyle w:val="af8"/>
          <w:rFonts w:hint="cs"/>
          <w:rtl/>
        </w:rPr>
        <w:t>הכס"מ</w:t>
      </w:r>
      <w:r w:rsidRPr="0050146A">
        <w:rPr>
          <w:rFonts w:hint="cs"/>
          <w:rtl/>
        </w:rPr>
        <w:t xml:space="preserve"> דכן מבואר בדברי </w:t>
      </w:r>
      <w:r w:rsidRPr="0050146A">
        <w:rPr>
          <w:rStyle w:val="af8"/>
          <w:rFonts w:hint="cs"/>
          <w:rtl/>
        </w:rPr>
        <w:t>המ"מ</w:t>
      </w:r>
      <w:r w:rsidRPr="0050146A">
        <w:rPr>
          <w:rFonts w:hint="cs"/>
          <w:rtl/>
        </w:rPr>
        <w:t xml:space="preserve"> </w:t>
      </w:r>
      <w:r w:rsidRPr="0050146A">
        <w:rPr>
          <w:rStyle w:val="af6"/>
          <w:rFonts w:eastAsia="Guttman Hodes" w:hint="cs"/>
          <w:rtl/>
        </w:rPr>
        <w:t>(מאכ"א פ"ז הי"ז)</w:t>
      </w:r>
      <w:r w:rsidRPr="0050146A">
        <w:rPr>
          <w:rFonts w:hint="cs"/>
          <w:rtl/>
        </w:rPr>
        <w:t xml:space="preserve"> בדעת </w:t>
      </w:r>
      <w:r w:rsidRPr="0050146A">
        <w:rPr>
          <w:rStyle w:val="af8"/>
          <w:rFonts w:hint="cs"/>
          <w:rtl/>
        </w:rPr>
        <w:t>הרמב"ם</w:t>
      </w:r>
      <w:r w:rsidRPr="0050146A">
        <w:rPr>
          <w:rFonts w:hint="cs"/>
          <w:rtl/>
        </w:rPr>
        <w:t>.</w:t>
      </w:r>
    </w:p>
    <w:p w:rsidR="008442F8" w:rsidRPr="0050146A" w:rsidRDefault="008442F8" w:rsidP="008442F8">
      <w:pPr>
        <w:pStyle w:val="a2"/>
        <w:rPr>
          <w:rtl/>
        </w:rPr>
      </w:pPr>
      <w:bookmarkStart w:id="1009" w:name="_Toc8246455"/>
      <w:r w:rsidRPr="0050146A">
        <w:rPr>
          <w:rFonts w:hint="cs"/>
          <w:rtl/>
        </w:rPr>
        <w:t>ביאור הלח"מ ברמב"ם דבבישול אוסר הגיד כדי קליפה ובצליה אינו אוסר כלל דשמנו הוא דרבנן</w:t>
      </w:r>
      <w:bookmarkEnd w:id="1009"/>
    </w:p>
    <w:p w:rsidR="008442F8" w:rsidRPr="0050146A" w:rsidRDefault="008442F8" w:rsidP="009F44AF">
      <w:pPr>
        <w:pStyle w:val="a"/>
        <w:rPr>
          <w:rtl/>
        </w:rPr>
      </w:pPr>
      <w:bookmarkStart w:id="1010" w:name="_Toc8069058"/>
      <w:bookmarkStart w:id="1011" w:name="_Toc8069130"/>
      <w:bookmarkStart w:id="1012" w:name="_Toc8106014"/>
      <w:bookmarkStart w:id="1013" w:name="_Toc8117874"/>
      <w:bookmarkStart w:id="1014" w:name="_Toc8122522"/>
      <w:bookmarkStart w:id="1015" w:name="_Toc8142982"/>
      <w:bookmarkStart w:id="1016" w:name="_Toc8160784"/>
      <w:bookmarkStart w:id="1017" w:name="_Toc8209290"/>
      <w:bookmarkStart w:id="1018" w:name="_Toc8209428"/>
      <w:r w:rsidRPr="0050146A">
        <w:rPr>
          <w:rStyle w:val="af8"/>
          <w:rFonts w:hint="cs"/>
          <w:rtl/>
        </w:rPr>
        <w:t>והלח"מ</w:t>
      </w:r>
      <w:r w:rsidRPr="0050146A">
        <w:rPr>
          <w:rFonts w:hint="cs"/>
          <w:rtl/>
        </w:rPr>
        <w:t xml:space="preserve"> </w:t>
      </w:r>
      <w:r w:rsidRPr="0050146A">
        <w:rPr>
          <w:rStyle w:val="af6"/>
          <w:rFonts w:eastAsia="Guttman Hodes" w:hint="cs"/>
          <w:rtl/>
        </w:rPr>
        <w:t xml:space="preserve">(מאכ"א פט"ו הל"ב ד"ה וכן) </w:t>
      </w:r>
      <w:r w:rsidRPr="0050146A">
        <w:rPr>
          <w:rFonts w:hint="cs"/>
          <w:rtl/>
        </w:rPr>
        <w:t xml:space="preserve">כתב דס"ל </w:t>
      </w:r>
      <w:r w:rsidRPr="0050146A">
        <w:rPr>
          <w:rStyle w:val="af8"/>
          <w:rFonts w:hint="cs"/>
          <w:rtl/>
        </w:rPr>
        <w:t>להרמב"ם</w:t>
      </w:r>
      <w:r w:rsidRPr="0050146A">
        <w:rPr>
          <w:rFonts w:hint="cs"/>
          <w:rtl/>
        </w:rPr>
        <w:t xml:space="preserve"> דכיון דקיי"ל דאין בגידין בנותן טעם, לכן בבישול הגיד אוסר כדי קליפה, ובצליה אינו אוסר כלל, ואף דבשמנו יש נתינת טעם, מ"מ כיון דהוא מדרבנן אינו אוסר אף כדי קליפה.</w:t>
      </w:r>
    </w:p>
    <w:p w:rsidR="008442F8" w:rsidRPr="0050146A" w:rsidRDefault="008442F8" w:rsidP="008442F8">
      <w:pPr>
        <w:pStyle w:val="1"/>
        <w:rPr>
          <w:rtl/>
        </w:rPr>
      </w:pPr>
      <w:bookmarkStart w:id="1019" w:name="_Toc8246456"/>
      <w:r w:rsidRPr="0050146A">
        <w:rPr>
          <w:rFonts w:hint="cs"/>
          <w:rtl/>
        </w:rPr>
        <w:t xml:space="preserve">דברי התוס' דבצליה הגיד אוסר בירך כדי </w:t>
      </w:r>
      <w:bookmarkEnd w:id="1010"/>
      <w:bookmarkEnd w:id="1011"/>
      <w:bookmarkEnd w:id="1012"/>
      <w:bookmarkEnd w:id="1013"/>
      <w:bookmarkEnd w:id="1014"/>
      <w:bookmarkEnd w:id="1015"/>
      <w:bookmarkEnd w:id="1016"/>
      <w:bookmarkEnd w:id="1017"/>
      <w:bookmarkEnd w:id="1018"/>
      <w:r w:rsidRPr="0050146A">
        <w:rPr>
          <w:rFonts w:hint="cs"/>
          <w:rtl/>
        </w:rPr>
        <w:t>נטילה</w:t>
      </w:r>
      <w:bookmarkEnd w:id="1019"/>
    </w:p>
    <w:p w:rsidR="008442F8" w:rsidRPr="0050146A" w:rsidRDefault="008442F8" w:rsidP="008442F8">
      <w:pPr>
        <w:pStyle w:val="a2"/>
        <w:rPr>
          <w:rtl/>
        </w:rPr>
      </w:pPr>
      <w:bookmarkStart w:id="1020" w:name="_Toc8246457"/>
      <w:r w:rsidRPr="0050146A">
        <w:rPr>
          <w:rFonts w:hint="cs"/>
          <w:rtl/>
        </w:rPr>
        <w:t>דברי התוס' והרא"ש דאין כוונת שמואל לומר דקולף עד הגיד אלא דמניח כדי קליפה</w:t>
      </w:r>
      <w:bookmarkEnd w:id="1020"/>
    </w:p>
    <w:p w:rsidR="008442F8" w:rsidRPr="0050146A" w:rsidRDefault="008442F8" w:rsidP="009F44AF">
      <w:pPr>
        <w:pStyle w:val="a"/>
        <w:rPr>
          <w:rtl/>
        </w:rPr>
      </w:pPr>
      <w:bookmarkStart w:id="1021" w:name="_Ref7971141"/>
      <w:r w:rsidRPr="0050146A">
        <w:rPr>
          <w:rStyle w:val="af8"/>
          <w:rFonts w:hint="cs"/>
          <w:rtl/>
        </w:rPr>
        <w:t>והתוס'</w:t>
      </w:r>
      <w:r w:rsidRPr="0050146A">
        <w:rPr>
          <w:rFonts w:hint="cs"/>
          <w:rtl/>
        </w:rPr>
        <w:t xml:space="preserve"> </w:t>
      </w:r>
      <w:r w:rsidRPr="0050146A">
        <w:rPr>
          <w:rStyle w:val="af6"/>
          <w:rFonts w:eastAsia="Guttman Hodes" w:hint="cs"/>
          <w:rtl/>
        </w:rPr>
        <w:t xml:space="preserve">(ד"ה עד) </w:t>
      </w:r>
      <w:r w:rsidRPr="0050146A">
        <w:rPr>
          <w:rStyle w:val="af8"/>
          <w:rFonts w:hint="cs"/>
          <w:rtl/>
        </w:rPr>
        <w:t>והרא"ש</w:t>
      </w:r>
      <w:r w:rsidRPr="0050146A">
        <w:rPr>
          <w:rFonts w:hint="cs"/>
          <w:rtl/>
        </w:rPr>
        <w:t xml:space="preserve"> </w:t>
      </w:r>
      <w:r w:rsidRPr="0050146A">
        <w:rPr>
          <w:rStyle w:val="af6"/>
          <w:rFonts w:eastAsia="Guttman Hodes" w:hint="cs"/>
          <w:rtl/>
        </w:rPr>
        <w:t>(סי' כ"ד)</w:t>
      </w:r>
      <w:r w:rsidRPr="0050146A">
        <w:rPr>
          <w:rFonts w:hint="cs"/>
          <w:rtl/>
        </w:rPr>
        <w:t xml:space="preserve"> כתבו דאין כוונת שמואל לומר דבצליה קולף עד הגיד עצמו, דהא צריך להניח כדי קליפה סמוך לגיד.</w:t>
      </w:r>
      <w:bookmarkEnd w:id="1021"/>
    </w:p>
    <w:p w:rsidR="008442F8" w:rsidRPr="0050146A" w:rsidRDefault="008442F8" w:rsidP="008442F8">
      <w:pPr>
        <w:pStyle w:val="a2"/>
        <w:rPr>
          <w:rtl/>
        </w:rPr>
      </w:pPr>
      <w:bookmarkStart w:id="1022" w:name="_Toc8246458"/>
      <w:r w:rsidRPr="0050146A">
        <w:rPr>
          <w:rFonts w:hint="cs"/>
          <w:rtl/>
        </w:rPr>
        <w:t>דברי התוס' והרא"ש דבפסחים מבואר דברוטב צריך להניח כדי נטילה  ואפש"ל דבגיד סגי בקליפה</w:t>
      </w:r>
      <w:bookmarkEnd w:id="1022"/>
    </w:p>
    <w:p w:rsidR="008442F8" w:rsidRPr="0050146A" w:rsidRDefault="008442F8" w:rsidP="009F44AF">
      <w:pPr>
        <w:pStyle w:val="a"/>
        <w:rPr>
          <w:rStyle w:val="afa"/>
          <w:rtl/>
        </w:rPr>
      </w:pPr>
      <w:bookmarkStart w:id="1023" w:name="_Ref8243495"/>
      <w:r w:rsidRPr="0050146A">
        <w:rPr>
          <w:rFonts w:hint="cs"/>
          <w:rtl/>
        </w:rPr>
        <w:t xml:space="preserve">והוסיפו </w:t>
      </w:r>
      <w:r w:rsidRPr="0050146A">
        <w:rPr>
          <w:rStyle w:val="af8"/>
          <w:rFonts w:hint="cs"/>
          <w:rtl/>
        </w:rPr>
        <w:t>התוס' והרא"ש</w:t>
      </w:r>
      <w:r w:rsidRPr="0050146A">
        <w:rPr>
          <w:rFonts w:hint="cs"/>
          <w:rtl/>
        </w:rPr>
        <w:t xml:space="preserve"> דבגמ' בפסחים </w:t>
      </w:r>
      <w:r w:rsidRPr="0050146A">
        <w:rPr>
          <w:rStyle w:val="af6"/>
          <w:rFonts w:eastAsia="Guttman Hodes" w:hint="cs"/>
          <w:rtl/>
        </w:rPr>
        <w:t xml:space="preserve">(עה:) </w:t>
      </w:r>
      <w:r w:rsidRPr="0050146A">
        <w:rPr>
          <w:rFonts w:hint="cs"/>
          <w:rtl/>
        </w:rPr>
        <w:t xml:space="preserve">מבואר דלא סגי בכדי קליפה, וצריך להניח כדי נטילה, דאיתא בגמ' בפסחים דקרבן פסח שנצלה ונטף מרוטבו על החרס וחזר הרוטב על הקרבן, דצריך ליטול את מקום הרוטב, אך כתבו </w:t>
      </w:r>
      <w:r w:rsidRPr="0050146A">
        <w:rPr>
          <w:rStyle w:val="af8"/>
          <w:rFonts w:hint="cs"/>
          <w:rtl/>
        </w:rPr>
        <w:t>התוס'</w:t>
      </w:r>
      <w:r w:rsidRPr="0050146A">
        <w:rPr>
          <w:rFonts w:hint="cs"/>
          <w:rtl/>
        </w:rPr>
        <w:t xml:space="preserve"> דאפש"ל דדוקא ברוטב צריך להניח כדי נטילה, אבל בגיד סגי בכדי קליפה, כיון שרוטב מתפשט יותר מהגיד. </w:t>
      </w:r>
      <w:r w:rsidRPr="0050146A">
        <w:rPr>
          <w:rStyle w:val="afa"/>
          <w:rFonts w:hint="cs"/>
          <w:rtl/>
        </w:rPr>
        <w:t xml:space="preserve">[וכתב </w:t>
      </w:r>
      <w:r w:rsidRPr="0050146A">
        <w:rPr>
          <w:rStyle w:val="affa"/>
          <w:rFonts w:hint="cs"/>
          <w:rtl/>
        </w:rPr>
        <w:t>הרא"ש</w:t>
      </w:r>
      <w:r w:rsidRPr="0050146A">
        <w:rPr>
          <w:rStyle w:val="afa"/>
          <w:rFonts w:hint="cs"/>
          <w:rtl/>
        </w:rPr>
        <w:t xml:space="preserve"> </w:t>
      </w:r>
      <w:r w:rsidRPr="0050146A">
        <w:rPr>
          <w:rStyle w:val="aff6"/>
          <w:rFonts w:hint="cs"/>
          <w:rtl/>
        </w:rPr>
        <w:t xml:space="preserve">(סי' כ"ד, </w:t>
      </w:r>
      <w:r w:rsidRPr="0050146A">
        <w:rPr>
          <w:rStyle w:val="aff6"/>
          <w:rtl/>
        </w:rPr>
        <w:t xml:space="preserve">תוס' הרא"ש </w:t>
      </w:r>
      <w:r w:rsidRPr="0050146A">
        <w:rPr>
          <w:rStyle w:val="aff6"/>
          <w:rFonts w:hint="cs"/>
          <w:rtl/>
        </w:rPr>
        <w:t>ד"ה אבל)</w:t>
      </w:r>
      <w:r w:rsidRPr="0050146A">
        <w:rPr>
          <w:rStyle w:val="afa"/>
          <w:rFonts w:hint="cs"/>
          <w:rtl/>
        </w:rPr>
        <w:t xml:space="preserve"> דכדי נטילה היינו בעובי אצבע, </w:t>
      </w:r>
      <w:r w:rsidRPr="0050146A">
        <w:rPr>
          <w:rStyle w:val="affa"/>
          <w:rFonts w:hint="cs"/>
          <w:rtl/>
        </w:rPr>
        <w:t>והרשב"א בתוה"ב</w:t>
      </w:r>
      <w:r w:rsidRPr="0050146A">
        <w:rPr>
          <w:rStyle w:val="afa"/>
          <w:rFonts w:hint="cs"/>
          <w:rtl/>
        </w:rPr>
        <w:t xml:space="preserve"> </w:t>
      </w:r>
      <w:r w:rsidRPr="0050146A">
        <w:rPr>
          <w:rStyle w:val="aff6"/>
          <w:rFonts w:hint="cs"/>
          <w:rtl/>
        </w:rPr>
        <w:t>(ב"ד ש"א כא. מדה"ס)</w:t>
      </w:r>
      <w:r w:rsidRPr="0050146A">
        <w:rPr>
          <w:rStyle w:val="afa"/>
          <w:rFonts w:hint="cs"/>
          <w:rtl/>
        </w:rPr>
        <w:t xml:space="preserve"> כתב דכדי קליפה היינו שיעור שיטול קליפה דקה, אבל כדי נטילה היינו דצריך ליטול יותר בעומק, וכ"כ </w:t>
      </w:r>
      <w:r w:rsidRPr="0050146A">
        <w:rPr>
          <w:rStyle w:val="affa"/>
          <w:rFonts w:hint="cs"/>
          <w:rtl/>
        </w:rPr>
        <w:t>הר"ן על הרי"ף</w:t>
      </w:r>
      <w:r w:rsidRPr="0050146A">
        <w:rPr>
          <w:rStyle w:val="afa"/>
          <w:rFonts w:hint="cs"/>
          <w:rtl/>
        </w:rPr>
        <w:t xml:space="preserve"> </w:t>
      </w:r>
      <w:r w:rsidRPr="0050146A">
        <w:rPr>
          <w:rStyle w:val="aff6"/>
          <w:rFonts w:hint="cs"/>
          <w:rtl/>
        </w:rPr>
        <w:t>(לד: מדפי הרי"ף ד"ה וירך)</w:t>
      </w:r>
      <w:r w:rsidRPr="0050146A">
        <w:rPr>
          <w:rStyle w:val="afa"/>
          <w:rFonts w:hint="cs"/>
          <w:rtl/>
        </w:rPr>
        <w:t xml:space="preserve"> דכדי נטילה הוא מעט יותר מכדי קליפה].</w:t>
      </w:r>
      <w:bookmarkEnd w:id="1023"/>
    </w:p>
    <w:p w:rsidR="008442F8" w:rsidRPr="0050146A" w:rsidRDefault="008442F8" w:rsidP="008442F8">
      <w:pPr>
        <w:pStyle w:val="a2"/>
        <w:rPr>
          <w:rtl/>
        </w:rPr>
      </w:pPr>
      <w:bookmarkStart w:id="1024" w:name="_Toc8246459"/>
      <w:r w:rsidRPr="0050146A">
        <w:rPr>
          <w:rFonts w:hint="cs"/>
          <w:rtl/>
        </w:rPr>
        <w:t>דחיית התוס' והרא"ש דלא מצינו בשום מקום דסגי בצליה בכדי קליפה</w:t>
      </w:r>
      <w:bookmarkEnd w:id="1024"/>
    </w:p>
    <w:p w:rsidR="008442F8" w:rsidRPr="0050146A" w:rsidRDefault="008442F8" w:rsidP="009F44AF">
      <w:pPr>
        <w:pStyle w:val="a"/>
        <w:rPr>
          <w:rtl/>
        </w:rPr>
      </w:pPr>
      <w:r w:rsidRPr="0050146A">
        <w:rPr>
          <w:rFonts w:hint="cs"/>
          <w:rtl/>
        </w:rPr>
        <w:t xml:space="preserve">אך כתבו </w:t>
      </w:r>
      <w:r w:rsidRPr="0050146A">
        <w:rPr>
          <w:rStyle w:val="af8"/>
          <w:rFonts w:hint="cs"/>
          <w:rtl/>
        </w:rPr>
        <w:t>התוס' והרא"ש</w:t>
      </w:r>
      <w:r w:rsidRPr="0050146A">
        <w:rPr>
          <w:rFonts w:hint="cs"/>
          <w:rtl/>
        </w:rPr>
        <w:t xml:space="preserve"> </w:t>
      </w:r>
      <w:r w:rsidRPr="0050146A">
        <w:rPr>
          <w:rStyle w:val="af6"/>
          <w:rFonts w:eastAsia="Guttman Hodes" w:hint="cs"/>
          <w:rtl/>
        </w:rPr>
        <w:t xml:space="preserve"> </w:t>
      </w:r>
      <w:r w:rsidRPr="0050146A">
        <w:rPr>
          <w:rFonts w:hint="cs"/>
          <w:rtl/>
        </w:rPr>
        <w:t xml:space="preserve">דלא מצינו בשום מקום דסגי בכדי קליפה בצליה, ואף דבגמ' בפסחים </w:t>
      </w:r>
      <w:r w:rsidRPr="0050146A">
        <w:rPr>
          <w:rStyle w:val="af6"/>
          <w:rFonts w:eastAsia="Guttman Hodes" w:hint="cs"/>
          <w:rtl/>
        </w:rPr>
        <w:t xml:space="preserve">(עו.) </w:t>
      </w:r>
      <w:r w:rsidRPr="0050146A">
        <w:rPr>
          <w:rFonts w:hint="cs"/>
          <w:rtl/>
        </w:rPr>
        <w:t xml:space="preserve">בשנפל חם לתוך צונן אמר שמואל דקולף ואוכל, כיון דתתאה גמר, ומשמע דסגי בכדי קליפה, כתבו </w:t>
      </w:r>
      <w:r w:rsidRPr="0050146A">
        <w:rPr>
          <w:rStyle w:val="af8"/>
          <w:rFonts w:hint="cs"/>
          <w:rtl/>
        </w:rPr>
        <w:t>התוס'</w:t>
      </w:r>
      <w:r w:rsidRPr="0050146A">
        <w:rPr>
          <w:rFonts w:hint="cs"/>
          <w:rtl/>
        </w:rPr>
        <w:t xml:space="preserve"> דאפש"ל דצלי שהוא רותח </w:t>
      </w:r>
      <w:r w:rsidRPr="0050146A">
        <w:rPr>
          <w:rStyle w:val="afa"/>
          <w:rFonts w:hint="cs"/>
          <w:rtl/>
        </w:rPr>
        <w:t>[ואינו רק חם]</w:t>
      </w:r>
      <w:r w:rsidRPr="0050146A">
        <w:rPr>
          <w:rFonts w:hint="cs"/>
          <w:rtl/>
        </w:rPr>
        <w:t xml:space="preserve"> בולע יותר, ולא סגי ליה בכדי קליפה, והא דאיתא בגמ' לקמן </w:t>
      </w:r>
      <w:r w:rsidRPr="0050146A">
        <w:rPr>
          <w:rStyle w:val="af6"/>
          <w:rFonts w:eastAsia="Guttman Hodes" w:hint="cs"/>
          <w:rtl/>
        </w:rPr>
        <w:t xml:space="preserve">(קיב.) </w:t>
      </w:r>
      <w:r w:rsidRPr="0050146A">
        <w:rPr>
          <w:rFonts w:hint="cs"/>
          <w:rtl/>
        </w:rPr>
        <w:t xml:space="preserve">דגוזל צלוי שנפל לתוך כותח </w:t>
      </w:r>
      <w:r w:rsidRPr="0050146A">
        <w:rPr>
          <w:rStyle w:val="afa"/>
          <w:rFonts w:hint="cs"/>
          <w:rtl/>
        </w:rPr>
        <w:t>[העשוי מחלב]</w:t>
      </w:r>
      <w:r w:rsidRPr="0050146A">
        <w:rPr>
          <w:rFonts w:hint="cs"/>
          <w:rtl/>
        </w:rPr>
        <w:t xml:space="preserve"> דבעי קליפה, כתבו </w:t>
      </w:r>
      <w:r w:rsidRPr="0050146A">
        <w:rPr>
          <w:rStyle w:val="af8"/>
          <w:rFonts w:hint="cs"/>
          <w:rtl/>
        </w:rPr>
        <w:t xml:space="preserve">התוס' </w:t>
      </w:r>
      <w:r w:rsidRPr="0050146A">
        <w:rPr>
          <w:rFonts w:hint="cs"/>
          <w:rtl/>
        </w:rPr>
        <w:t xml:space="preserve">דאיירי בגוזל צונן, וכיון דגוזל הוא רך מאוד, הוא בולע כדי קליפה אף בצונן, ועיי"ש במה שהאריכו </w:t>
      </w:r>
      <w:r w:rsidRPr="0050146A">
        <w:rPr>
          <w:rStyle w:val="af8"/>
          <w:rFonts w:hint="cs"/>
          <w:rtl/>
        </w:rPr>
        <w:t xml:space="preserve">התוס' </w:t>
      </w:r>
      <w:r w:rsidRPr="0050146A">
        <w:rPr>
          <w:rFonts w:hint="cs"/>
          <w:rtl/>
        </w:rPr>
        <w:t>בזה.</w:t>
      </w:r>
    </w:p>
    <w:p w:rsidR="008442F8" w:rsidRPr="0050146A" w:rsidRDefault="008442F8" w:rsidP="008442F8">
      <w:pPr>
        <w:pStyle w:val="1"/>
        <w:rPr>
          <w:rtl/>
        </w:rPr>
      </w:pPr>
      <w:bookmarkStart w:id="1025" w:name="_Toc8246460"/>
      <w:r w:rsidRPr="0050146A">
        <w:rPr>
          <w:rFonts w:hint="cs"/>
          <w:rtl/>
        </w:rPr>
        <w:t>פלוגתת התוס' והרא"ש בדין גיד שנמלח בירך</w:t>
      </w:r>
      <w:bookmarkEnd w:id="1025"/>
    </w:p>
    <w:p w:rsidR="008442F8" w:rsidRPr="0050146A" w:rsidRDefault="008442F8" w:rsidP="008442F8">
      <w:pPr>
        <w:pStyle w:val="a2"/>
        <w:rPr>
          <w:rtl/>
        </w:rPr>
      </w:pPr>
      <w:bookmarkStart w:id="1026" w:name="_Toc8246461"/>
      <w:r w:rsidRPr="0050146A">
        <w:rPr>
          <w:rFonts w:hint="cs"/>
          <w:rtl/>
        </w:rPr>
        <w:t>דברי המהרש"א דלתוס' במליחה צריך להניח כדי נטילה כמו בצליה אך להרא"ש סגי בקליפה</w:t>
      </w:r>
      <w:bookmarkEnd w:id="1026"/>
    </w:p>
    <w:p w:rsidR="008442F8" w:rsidRPr="0050146A" w:rsidRDefault="008442F8" w:rsidP="009F44AF">
      <w:pPr>
        <w:pStyle w:val="a"/>
        <w:rPr>
          <w:rtl/>
        </w:rPr>
      </w:pPr>
      <w:bookmarkStart w:id="1027" w:name="_Ref8242728"/>
      <w:r w:rsidRPr="0050146A">
        <w:rPr>
          <w:rFonts w:hint="cs"/>
          <w:rtl/>
        </w:rPr>
        <w:t xml:space="preserve">וכתב </w:t>
      </w:r>
      <w:r w:rsidRPr="0050146A">
        <w:rPr>
          <w:rStyle w:val="af8"/>
          <w:rFonts w:hint="cs"/>
          <w:rtl/>
        </w:rPr>
        <w:t>המהרש"א</w:t>
      </w:r>
      <w:r w:rsidRPr="0050146A">
        <w:rPr>
          <w:rFonts w:hint="cs"/>
          <w:rtl/>
        </w:rPr>
        <w:t xml:space="preserve"> </w:t>
      </w:r>
      <w:r w:rsidRPr="0050146A">
        <w:rPr>
          <w:rStyle w:val="af6"/>
          <w:rFonts w:eastAsia="Guttman Hodes" w:hint="cs"/>
          <w:rtl/>
        </w:rPr>
        <w:t>(על תוד"ה עד)</w:t>
      </w:r>
      <w:r w:rsidRPr="0050146A">
        <w:rPr>
          <w:rFonts w:hint="cs"/>
          <w:rtl/>
        </w:rPr>
        <w:t xml:space="preserve"> דכיון דכתבו </w:t>
      </w:r>
      <w:r w:rsidRPr="0050146A">
        <w:rPr>
          <w:rStyle w:val="af8"/>
          <w:rFonts w:hint="cs"/>
          <w:rtl/>
        </w:rPr>
        <w:t>התוס'</w:t>
      </w:r>
      <w:r w:rsidRPr="0050146A">
        <w:rPr>
          <w:rFonts w:hint="cs"/>
          <w:rtl/>
        </w:rPr>
        <w:t xml:space="preserve"> דבצליה צריך להניח כדי נטילה, ה"ה במליחה, כמבואר בגמ' לקמן </w:t>
      </w:r>
      <w:r w:rsidRPr="0050146A">
        <w:rPr>
          <w:rStyle w:val="af6"/>
          <w:rFonts w:eastAsia="Guttman Hodes" w:hint="cs"/>
          <w:rtl/>
        </w:rPr>
        <w:t>(צז:)</w:t>
      </w:r>
      <w:r w:rsidRPr="0050146A">
        <w:rPr>
          <w:rFonts w:hint="cs"/>
          <w:rtl/>
        </w:rPr>
        <w:t xml:space="preserve"> דמליח </w:t>
      </w:r>
      <w:r w:rsidRPr="0050146A">
        <w:rPr>
          <w:rFonts w:hint="cs"/>
          <w:rtl/>
        </w:rPr>
        <w:lastRenderedPageBreak/>
        <w:t xml:space="preserve">כרותח דצלי, </w:t>
      </w:r>
      <w:r w:rsidRPr="0050146A">
        <w:rPr>
          <w:rStyle w:val="afa"/>
          <w:rFonts w:hint="cs"/>
          <w:rtl/>
        </w:rPr>
        <w:t xml:space="preserve">[והוסיף </w:t>
      </w:r>
      <w:r w:rsidRPr="0050146A">
        <w:rPr>
          <w:rStyle w:val="affa"/>
          <w:rFonts w:hint="cs"/>
          <w:rtl/>
        </w:rPr>
        <w:t xml:space="preserve">המהרש"א </w:t>
      </w:r>
      <w:r w:rsidRPr="0050146A">
        <w:rPr>
          <w:rStyle w:val="afa"/>
          <w:rFonts w:hint="cs"/>
          <w:rtl/>
        </w:rPr>
        <w:t xml:space="preserve">דמ"ש </w:t>
      </w:r>
      <w:r w:rsidRPr="0050146A">
        <w:rPr>
          <w:rStyle w:val="affa"/>
          <w:rFonts w:hint="cs"/>
          <w:rtl/>
        </w:rPr>
        <w:t xml:space="preserve">התוס'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Ref7614625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מה)</w:t>
      </w:r>
      <w:r w:rsidRPr="0050146A">
        <w:rPr>
          <w:rStyle w:val="aff6"/>
          <w:rtl/>
        </w:rPr>
        <w:fldChar w:fldCharType="end"/>
      </w:r>
      <w:r w:rsidRPr="0050146A">
        <w:rPr>
          <w:rStyle w:val="afa"/>
          <w:rFonts w:hint="cs"/>
          <w:rtl/>
        </w:rPr>
        <w:t xml:space="preserve"> דבמליחה צריך כדי קליפה, היינו דלכו"ע בעי לכה"פ כדי קליפה, אך למסקנתם צריך כדי נטילה],</w:t>
      </w:r>
      <w:r w:rsidRPr="0050146A">
        <w:rPr>
          <w:rFonts w:hint="cs"/>
          <w:rtl/>
        </w:rPr>
        <w:t xml:space="preserve"> אך הביא </w:t>
      </w:r>
      <w:r w:rsidRPr="0050146A">
        <w:rPr>
          <w:rStyle w:val="af8"/>
          <w:rFonts w:hint="cs"/>
          <w:rtl/>
        </w:rPr>
        <w:t>המהרש"א</w:t>
      </w:r>
      <w:r w:rsidRPr="0050146A">
        <w:rPr>
          <w:rFonts w:hint="cs"/>
          <w:rtl/>
        </w:rPr>
        <w:t xml:space="preserve"> את דברי </w:t>
      </w:r>
      <w:r w:rsidRPr="0050146A">
        <w:rPr>
          <w:rStyle w:val="af8"/>
          <w:rFonts w:hint="cs"/>
          <w:rtl/>
        </w:rPr>
        <w:t>הרא"ש</w:t>
      </w:r>
      <w:r w:rsidRPr="0050146A">
        <w:rPr>
          <w:rFonts w:hint="cs"/>
          <w:rtl/>
        </w:rPr>
        <w:t xml:space="preserve"> </w:t>
      </w:r>
      <w:r w:rsidRPr="0050146A">
        <w:rPr>
          <w:rStyle w:val="af6"/>
          <w:rFonts w:eastAsia="Guttman Hodes" w:hint="cs"/>
          <w:rtl/>
        </w:rPr>
        <w:t>(סי' כ"ד)</w:t>
      </w:r>
      <w:r w:rsidRPr="0050146A">
        <w:rPr>
          <w:rFonts w:hint="cs"/>
          <w:rtl/>
        </w:rPr>
        <w:t xml:space="preserve"> דכתב דאף דבצלי צריך להניח כדי נטילה, מ"מ במליחה א"צ להחמיר וסגי בכדי קליפה.</w:t>
      </w:r>
      <w:bookmarkEnd w:id="1027"/>
    </w:p>
    <w:p w:rsidR="008442F8" w:rsidRPr="0050146A" w:rsidRDefault="008442F8" w:rsidP="008442F8">
      <w:pPr>
        <w:pStyle w:val="1"/>
        <w:rPr>
          <w:rtl/>
        </w:rPr>
      </w:pPr>
      <w:bookmarkStart w:id="1028" w:name="_Toc8246462"/>
      <w:r w:rsidRPr="0050146A">
        <w:rPr>
          <w:rFonts w:hint="cs"/>
          <w:rtl/>
        </w:rPr>
        <w:t>דברי הרשב"א דבצליה הגיד אוסר בירך בכדי קליפה או נטילה</w:t>
      </w:r>
      <w:bookmarkEnd w:id="1028"/>
    </w:p>
    <w:p w:rsidR="008442F8" w:rsidRPr="0050146A" w:rsidRDefault="008442F8" w:rsidP="008442F8">
      <w:pPr>
        <w:pStyle w:val="a2"/>
        <w:rPr>
          <w:rtl/>
        </w:rPr>
      </w:pPr>
      <w:bookmarkStart w:id="1029" w:name="_Toc8246463"/>
      <w:r w:rsidRPr="0050146A">
        <w:rPr>
          <w:rFonts w:hint="cs"/>
          <w:rtl/>
        </w:rPr>
        <w:t>דברי הרשב"א והריטב"א דגיד שנצלה בירך צריך להניח כדי קליפה או כדי נטילה</w:t>
      </w:r>
      <w:bookmarkEnd w:id="1029"/>
    </w:p>
    <w:p w:rsidR="008442F8" w:rsidRPr="0050146A" w:rsidRDefault="008442F8" w:rsidP="009F44AF">
      <w:pPr>
        <w:pStyle w:val="a"/>
        <w:rPr>
          <w:rtl/>
        </w:rPr>
      </w:pPr>
      <w:r w:rsidRPr="0050146A">
        <w:rPr>
          <w:rFonts w:hint="cs"/>
          <w:rtl/>
        </w:rPr>
        <w:t xml:space="preserve">אבל </w:t>
      </w:r>
      <w:r w:rsidRPr="0050146A">
        <w:rPr>
          <w:rStyle w:val="af8"/>
          <w:rFonts w:hint="cs"/>
          <w:rtl/>
        </w:rPr>
        <w:t>הרשב"א בחי'</w:t>
      </w:r>
      <w:r w:rsidRPr="0050146A">
        <w:rPr>
          <w:rFonts w:hint="cs"/>
          <w:rtl/>
        </w:rPr>
        <w:t xml:space="preserve"> </w:t>
      </w:r>
      <w:r w:rsidRPr="0050146A">
        <w:rPr>
          <w:rStyle w:val="af6"/>
          <w:rFonts w:eastAsia="Guttman Hodes" w:hint="cs"/>
          <w:rtl/>
        </w:rPr>
        <w:t>(ד"ה קולף)</w:t>
      </w:r>
      <w:r w:rsidRPr="0050146A">
        <w:rPr>
          <w:rFonts w:hint="cs"/>
          <w:rtl/>
        </w:rPr>
        <w:t xml:space="preserve"> </w:t>
      </w:r>
      <w:r w:rsidRPr="0050146A">
        <w:rPr>
          <w:rStyle w:val="af8"/>
          <w:rFonts w:hint="cs"/>
          <w:rtl/>
        </w:rPr>
        <w:t>והריטב"א</w:t>
      </w:r>
      <w:r w:rsidRPr="0050146A">
        <w:rPr>
          <w:rFonts w:hint="cs"/>
          <w:rtl/>
        </w:rPr>
        <w:t xml:space="preserve"> </w:t>
      </w:r>
      <w:r w:rsidRPr="0050146A">
        <w:rPr>
          <w:rStyle w:val="af6"/>
          <w:rFonts w:eastAsia="Guttman Hodes" w:hint="cs"/>
          <w:rtl/>
        </w:rPr>
        <w:t>(ד"ה אמר)</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ד: מדה"ס) </w:t>
      </w:r>
      <w:r w:rsidRPr="0050146A">
        <w:rPr>
          <w:rFonts w:hint="cs"/>
          <w:rtl/>
        </w:rPr>
        <w:t xml:space="preserve">כתבו דבצליה צריך להניח כדי קליפה או כדי נטילה סמוך לגיד, ואינו אוסר את כל הירך, כדאיתא בפסחים </w:t>
      </w:r>
      <w:r w:rsidRPr="0050146A">
        <w:rPr>
          <w:rStyle w:val="af6"/>
          <w:rFonts w:eastAsia="Guttman Hodes" w:hint="cs"/>
          <w:rtl/>
        </w:rPr>
        <w:t>(עה:)</w:t>
      </w:r>
      <w:r w:rsidRPr="0050146A">
        <w:rPr>
          <w:rFonts w:hint="cs"/>
          <w:rtl/>
        </w:rPr>
        <w:t xml:space="preserve"> בנטף מרוטבו על החרס, וכתב </w:t>
      </w:r>
      <w:r w:rsidRPr="0050146A">
        <w:rPr>
          <w:rStyle w:val="af8"/>
          <w:rFonts w:hint="cs"/>
          <w:rtl/>
        </w:rPr>
        <w:t>הרשב"א בחי'</w:t>
      </w:r>
      <w:r w:rsidRPr="0050146A">
        <w:rPr>
          <w:rFonts w:hint="cs"/>
          <w:rtl/>
        </w:rPr>
        <w:t xml:space="preserve"> דאף שהרוטב שנטף הוא מועט שבמועט, מ"מ צריך להניח כדי נטילה, וה"ה לגיד דאף שאינו מפעפע, מ"מ צריך להניח כדי נטילה.</w:t>
      </w:r>
    </w:p>
    <w:p w:rsidR="008442F8" w:rsidRPr="0050146A" w:rsidRDefault="008442F8" w:rsidP="008442F8">
      <w:pPr>
        <w:pStyle w:val="a2"/>
      </w:pPr>
      <w:bookmarkStart w:id="1030" w:name="_Toc8246464"/>
      <w:r w:rsidRPr="0050146A">
        <w:rPr>
          <w:rFonts w:hint="cs"/>
          <w:rtl/>
        </w:rPr>
        <w:t>ביאור הריטב"א בדברי שמואל דקולף סביב הגיד שיעור כדי נטילה ואח"כ אוכל עד הגיד</w:t>
      </w:r>
      <w:bookmarkEnd w:id="1030"/>
    </w:p>
    <w:p w:rsidR="008442F8" w:rsidRPr="0050146A" w:rsidRDefault="008442F8" w:rsidP="009F44AF">
      <w:pPr>
        <w:pStyle w:val="a"/>
        <w:rPr>
          <w:rtl/>
        </w:rPr>
      </w:pPr>
      <w:r w:rsidRPr="0050146A">
        <w:rPr>
          <w:rFonts w:hint="cs"/>
          <w:rtl/>
        </w:rPr>
        <w:t xml:space="preserve">והוסיף </w:t>
      </w:r>
      <w:r w:rsidRPr="0050146A">
        <w:rPr>
          <w:rStyle w:val="af8"/>
          <w:rFonts w:hint="cs"/>
          <w:rtl/>
        </w:rPr>
        <w:t>הריטב"א</w:t>
      </w:r>
      <w:r w:rsidRPr="0050146A">
        <w:rPr>
          <w:rFonts w:hint="cs"/>
          <w:rtl/>
        </w:rPr>
        <w:t xml:space="preserve"> דצריך לבאר את דברי שמואל דאמר דקולף ואוכל עד שמגיע לגיד, דכוונתו לומר דבתחילה קולף מסביב לגיד בשיעור של כדי נטילה, ואח"כ אוכל עד שמגיע לגיד.</w:t>
      </w:r>
    </w:p>
    <w:p w:rsidR="008442F8" w:rsidRPr="0050146A" w:rsidRDefault="008442F8" w:rsidP="008442F8">
      <w:pPr>
        <w:pStyle w:val="a2"/>
        <w:rPr>
          <w:rtl/>
        </w:rPr>
      </w:pPr>
      <w:bookmarkStart w:id="1031" w:name="_Toc8246465"/>
      <w:r w:rsidRPr="0050146A">
        <w:rPr>
          <w:rFonts w:hint="cs"/>
          <w:rtl/>
        </w:rPr>
        <w:t>דברי הרשב"א דכן מוכח בגמ' לקמן דמליחה כצליה והגיד אינו אוסר את כל הירך דאינו מפעפע</w:t>
      </w:r>
      <w:bookmarkEnd w:id="1031"/>
    </w:p>
    <w:p w:rsidR="008442F8" w:rsidRPr="0050146A" w:rsidRDefault="008442F8" w:rsidP="009F44AF">
      <w:pPr>
        <w:pStyle w:val="a"/>
        <w:rPr>
          <w:rStyle w:val="afa"/>
          <w:rtl/>
        </w:rPr>
      </w:pPr>
      <w:r w:rsidRPr="0050146A">
        <w:rPr>
          <w:rFonts w:hint="cs"/>
          <w:rtl/>
        </w:rPr>
        <w:t xml:space="preserve">וכתב </w:t>
      </w:r>
      <w:r w:rsidRPr="0050146A">
        <w:rPr>
          <w:rStyle w:val="af8"/>
          <w:rFonts w:hint="cs"/>
          <w:rtl/>
        </w:rPr>
        <w:t>הרשב"א בתוה"ב</w:t>
      </w:r>
      <w:r w:rsidRPr="0050146A">
        <w:rPr>
          <w:rFonts w:hint="cs"/>
          <w:rtl/>
        </w:rPr>
        <w:t xml:space="preserve"> דכן מוכח בגמ' לקמן </w:t>
      </w:r>
      <w:r w:rsidRPr="0050146A">
        <w:rPr>
          <w:rStyle w:val="af6"/>
          <w:rFonts w:eastAsia="Guttman Hodes" w:hint="cs"/>
          <w:rtl/>
        </w:rPr>
        <w:t xml:space="preserve">(צז:) </w:t>
      </w:r>
      <w:r w:rsidRPr="0050146A">
        <w:rPr>
          <w:rFonts w:hint="cs"/>
          <w:rtl/>
        </w:rPr>
        <w:t xml:space="preserve">דמסקנת הגמ' דירך שנמלח בגיד אינו אוסר את כל הירך אף דמליח כרותח, וביאר </w:t>
      </w:r>
      <w:r w:rsidRPr="0050146A">
        <w:rPr>
          <w:rStyle w:val="af8"/>
          <w:rFonts w:hint="cs"/>
          <w:rtl/>
        </w:rPr>
        <w:t>הרשב"א בתוה"ב</w:t>
      </w:r>
      <w:r w:rsidRPr="0050146A">
        <w:rPr>
          <w:rFonts w:hint="cs"/>
          <w:rtl/>
        </w:rPr>
        <w:t xml:space="preserve"> דהחלב של הגיד הוא כחוש ואינו מפעפע, וכן דעת </w:t>
      </w:r>
      <w:r w:rsidRPr="0050146A">
        <w:rPr>
          <w:rStyle w:val="af8"/>
          <w:rFonts w:hint="cs"/>
          <w:rtl/>
        </w:rPr>
        <w:t>הרמב"ן</w:t>
      </w:r>
      <w:r w:rsidRPr="0050146A">
        <w:rPr>
          <w:rFonts w:hint="cs"/>
          <w:rtl/>
        </w:rPr>
        <w:t xml:space="preserve">. </w:t>
      </w:r>
      <w:r w:rsidRPr="0050146A">
        <w:rPr>
          <w:rStyle w:val="afa"/>
          <w:rFonts w:hint="cs"/>
          <w:rtl/>
        </w:rPr>
        <w:t xml:space="preserve">[וכתב </w:t>
      </w:r>
      <w:r w:rsidRPr="0050146A">
        <w:rPr>
          <w:rStyle w:val="affa"/>
          <w:rFonts w:hint="cs"/>
          <w:rtl/>
        </w:rPr>
        <w:t xml:space="preserve">הרשב"א </w:t>
      </w:r>
      <w:r w:rsidRPr="0050146A">
        <w:rPr>
          <w:rStyle w:val="afa"/>
          <w:rFonts w:hint="cs"/>
          <w:rtl/>
        </w:rPr>
        <w:t>דה"ה בצליה של כל חלב שיש קרום המפסיק בינו לבשר, דסגי בכדי קליפה].</w:t>
      </w:r>
    </w:p>
    <w:p w:rsidR="008442F8" w:rsidRPr="0050146A" w:rsidRDefault="008442F8" w:rsidP="008442F8">
      <w:pPr>
        <w:pStyle w:val="a2"/>
        <w:rPr>
          <w:rtl/>
        </w:rPr>
      </w:pPr>
      <w:bookmarkStart w:id="1032" w:name="_Toc8246466"/>
      <w:r w:rsidRPr="0050146A">
        <w:rPr>
          <w:rFonts w:hint="cs"/>
          <w:rtl/>
        </w:rPr>
        <w:t>דברי הרשב"א דבמליחה וצליה סגי בקליפה וי"א דאף שאינו מפעפע צריך להניח כדי נטילה</w:t>
      </w:r>
      <w:bookmarkEnd w:id="1032"/>
      <w:r w:rsidRPr="0050146A">
        <w:rPr>
          <w:rFonts w:hint="cs"/>
          <w:rtl/>
        </w:rPr>
        <w:t xml:space="preserve"> </w:t>
      </w:r>
    </w:p>
    <w:p w:rsidR="008442F8" w:rsidRPr="0050146A" w:rsidRDefault="008442F8" w:rsidP="009F44AF">
      <w:pPr>
        <w:pStyle w:val="a"/>
        <w:rPr>
          <w:rtl/>
        </w:rPr>
      </w:pPr>
      <w:r w:rsidRPr="0050146A">
        <w:rPr>
          <w:rFonts w:hint="cs"/>
          <w:rtl/>
        </w:rPr>
        <w:t xml:space="preserve">וכתב </w:t>
      </w:r>
      <w:r w:rsidRPr="0050146A">
        <w:rPr>
          <w:rStyle w:val="af8"/>
          <w:rFonts w:hint="cs"/>
          <w:rtl/>
        </w:rPr>
        <w:t>הרשב"א בתוה"ב</w:t>
      </w:r>
      <w:r w:rsidRPr="0050146A">
        <w:rPr>
          <w:rFonts w:hint="cs"/>
          <w:rtl/>
        </w:rPr>
        <w:t xml:space="preserve"> דמבואר דבצליה או מליחה של כל איסור שאינו מפעפע כשמנו של גיד, סגי בכדי קליפה והשאר מותר, </w:t>
      </w:r>
      <w:r w:rsidRPr="0050146A">
        <w:rPr>
          <w:rStyle w:val="afa"/>
          <w:rFonts w:hint="cs"/>
          <w:rtl/>
        </w:rPr>
        <w:t xml:space="preserve">[וה"ה בחלב שיש קרום המפסיק בינו לבשר, או חלב של בהמה כחושה], </w:t>
      </w:r>
      <w:r w:rsidRPr="0050146A">
        <w:rPr>
          <w:rFonts w:hint="cs"/>
          <w:rtl/>
        </w:rPr>
        <w:t xml:space="preserve">אך הביא </w:t>
      </w:r>
      <w:r w:rsidRPr="0050146A">
        <w:rPr>
          <w:rStyle w:val="af8"/>
          <w:rFonts w:hint="cs"/>
          <w:rtl/>
        </w:rPr>
        <w:t>הרשב"א בתוה"ב</w:t>
      </w:r>
      <w:r w:rsidRPr="0050146A">
        <w:rPr>
          <w:rFonts w:hint="cs"/>
          <w:rtl/>
        </w:rPr>
        <w:t xml:space="preserve"> בשם </w:t>
      </w:r>
      <w:r w:rsidRPr="0050146A">
        <w:rPr>
          <w:rStyle w:val="af8"/>
          <w:rFonts w:hint="cs"/>
          <w:rtl/>
        </w:rPr>
        <w:t>י"א</w:t>
      </w:r>
      <w:r w:rsidRPr="0050146A">
        <w:rPr>
          <w:rFonts w:hint="cs"/>
          <w:rtl/>
        </w:rPr>
        <w:t xml:space="preserve"> דשמנו של גיד </w:t>
      </w:r>
      <w:r w:rsidRPr="0050146A">
        <w:rPr>
          <w:rStyle w:val="afa"/>
          <w:rFonts w:hint="cs"/>
          <w:rtl/>
        </w:rPr>
        <w:t>[וכן חלב כחוש]</w:t>
      </w:r>
      <w:r w:rsidRPr="0050146A">
        <w:rPr>
          <w:rFonts w:hint="cs"/>
          <w:rtl/>
        </w:rPr>
        <w:t xml:space="preserve"> אוסר בכדי נטילה שהוא מעט יותר מכדי קליפה, וכדמוכח מהגמ' בפסחים </w:t>
      </w:r>
      <w:r w:rsidRPr="0050146A">
        <w:rPr>
          <w:rStyle w:val="af6"/>
          <w:rFonts w:eastAsia="Guttman Hodes" w:hint="cs"/>
          <w:rtl/>
        </w:rPr>
        <w:t>(עה:)</w:t>
      </w:r>
      <w:r w:rsidRPr="0050146A">
        <w:rPr>
          <w:rFonts w:hint="cs"/>
          <w:rtl/>
        </w:rPr>
        <w:t xml:space="preserve"> בנטף מרוטבו על החרס, דאף שהוא שומן מועט ואינו מפעפע יותר מחלב כחוש של גיד </w:t>
      </w:r>
      <w:r w:rsidRPr="0050146A">
        <w:rPr>
          <w:rStyle w:val="afa"/>
          <w:rFonts w:hint="cs"/>
          <w:rtl/>
        </w:rPr>
        <w:t>[וחלב הכליות]</w:t>
      </w:r>
      <w:r w:rsidRPr="0050146A">
        <w:rPr>
          <w:rFonts w:hint="cs"/>
          <w:rtl/>
        </w:rPr>
        <w:t>, ומ"מ צריך כדי נטילה.</w:t>
      </w:r>
    </w:p>
    <w:p w:rsidR="008442F8" w:rsidRPr="0050146A" w:rsidRDefault="008442F8" w:rsidP="008442F8">
      <w:pPr>
        <w:pStyle w:val="1"/>
        <w:rPr>
          <w:rtl/>
        </w:rPr>
      </w:pPr>
      <w:bookmarkStart w:id="1033" w:name="_Toc8246467"/>
      <w:r w:rsidRPr="0050146A">
        <w:rPr>
          <w:rFonts w:hint="cs"/>
          <w:rtl/>
        </w:rPr>
        <w:t>מסקנת הרשב"א דסגי בקליפה וראוי להחמיר בנטילה</w:t>
      </w:r>
      <w:bookmarkEnd w:id="1033"/>
    </w:p>
    <w:p w:rsidR="008442F8" w:rsidRPr="0050146A" w:rsidRDefault="008442F8" w:rsidP="008442F8">
      <w:pPr>
        <w:pStyle w:val="a2"/>
        <w:rPr>
          <w:rtl/>
        </w:rPr>
      </w:pPr>
      <w:bookmarkStart w:id="1034" w:name="_Toc8246468"/>
      <w:r w:rsidRPr="0050146A">
        <w:rPr>
          <w:rFonts w:hint="cs"/>
          <w:rtl/>
        </w:rPr>
        <w:t>מסקנת הרשב"א דסגי בכדי קליפה כדמשמע בדברי שמואל אך ראוי לחוש להניח כדי נטילה</w:t>
      </w:r>
      <w:bookmarkEnd w:id="1034"/>
    </w:p>
    <w:p w:rsidR="008442F8" w:rsidRPr="0050146A" w:rsidRDefault="008442F8" w:rsidP="009F44AF">
      <w:pPr>
        <w:pStyle w:val="a"/>
        <w:rPr>
          <w:rtl/>
        </w:rPr>
      </w:pPr>
      <w:r w:rsidRPr="0050146A">
        <w:rPr>
          <w:rFonts w:hint="cs"/>
          <w:rtl/>
        </w:rPr>
        <w:t xml:space="preserve">וכתב </w:t>
      </w:r>
      <w:r w:rsidRPr="0050146A">
        <w:rPr>
          <w:rStyle w:val="af8"/>
          <w:rFonts w:hint="cs"/>
          <w:rtl/>
        </w:rPr>
        <w:t>הרשב"א בתוה"ב</w:t>
      </w:r>
      <w:r w:rsidRPr="0050146A">
        <w:rPr>
          <w:rFonts w:hint="cs"/>
          <w:rtl/>
        </w:rPr>
        <w:t xml:space="preserve"> דלהלכה קיי"ל כדעה הראשונה דסגי בכדי קליפה, וכדמוכח מדברי שמואל דאמר דקולף ואוכל, ואי צריך להניח כדי נטילה היה לשמואל לומר כן להדיא, ורק בכדי קליפה שאינו חשוב כ"כ שייך לומר לשון דקולף ואוכל עד שמגיע לגיד, אך כתב </w:t>
      </w:r>
      <w:r w:rsidRPr="0050146A">
        <w:rPr>
          <w:rStyle w:val="af8"/>
          <w:rFonts w:hint="cs"/>
          <w:rtl/>
        </w:rPr>
        <w:t>הרשב"א בתוה"ב</w:t>
      </w:r>
      <w:r w:rsidRPr="0050146A">
        <w:rPr>
          <w:rFonts w:hint="cs"/>
          <w:rtl/>
        </w:rPr>
        <w:t xml:space="preserve"> דראוי לחוש להניח כדי נטילה.</w:t>
      </w:r>
    </w:p>
    <w:p w:rsidR="008442F8" w:rsidRPr="0050146A" w:rsidRDefault="008442F8" w:rsidP="008442F8">
      <w:pPr>
        <w:pStyle w:val="1"/>
        <w:rPr>
          <w:rtl/>
        </w:rPr>
      </w:pPr>
      <w:bookmarkStart w:id="1035" w:name="_Toc8246469"/>
      <w:r w:rsidRPr="0050146A">
        <w:rPr>
          <w:rFonts w:hint="cs"/>
          <w:rtl/>
        </w:rPr>
        <w:t>דעת הרא"ה דבצליה הגיד אוסר בירך כדי נטילה</w:t>
      </w:r>
      <w:bookmarkEnd w:id="1035"/>
    </w:p>
    <w:p w:rsidR="008442F8" w:rsidRPr="0050146A" w:rsidRDefault="008442F8" w:rsidP="008442F8">
      <w:pPr>
        <w:pStyle w:val="a2"/>
        <w:rPr>
          <w:rtl/>
        </w:rPr>
      </w:pPr>
      <w:bookmarkStart w:id="1036" w:name="_Toc8246470"/>
      <w:r w:rsidRPr="0050146A">
        <w:rPr>
          <w:rFonts w:hint="cs"/>
          <w:rtl/>
        </w:rPr>
        <w:t>דברי הרא"ה דבגיד צריך להניח כדי נטילה כדמוכח ברוטב דהוא דבר מועט וצריך כדי נטילה</w:t>
      </w:r>
      <w:bookmarkEnd w:id="1036"/>
    </w:p>
    <w:p w:rsidR="008442F8" w:rsidRPr="0050146A" w:rsidRDefault="008442F8" w:rsidP="009F44AF">
      <w:pPr>
        <w:pStyle w:val="a"/>
        <w:rPr>
          <w:rStyle w:val="afa"/>
          <w:rtl/>
        </w:rPr>
      </w:pPr>
      <w:r w:rsidRPr="0050146A">
        <w:rPr>
          <w:rStyle w:val="af8"/>
          <w:rFonts w:hint="cs"/>
          <w:rtl/>
        </w:rPr>
        <w:t>והרא"ה בבד"ה</w:t>
      </w:r>
      <w:r w:rsidRPr="0050146A">
        <w:rPr>
          <w:rFonts w:hint="cs"/>
          <w:rtl/>
        </w:rPr>
        <w:t xml:space="preserve"> </w:t>
      </w:r>
      <w:r w:rsidRPr="0050146A">
        <w:rPr>
          <w:rStyle w:val="af6"/>
          <w:rFonts w:eastAsia="Guttman Hodes" w:hint="cs"/>
          <w:rtl/>
        </w:rPr>
        <w:t>(ב"ד ש"א ג: מדה"ס)</w:t>
      </w:r>
      <w:r w:rsidRPr="0050146A">
        <w:rPr>
          <w:rFonts w:hint="cs"/>
          <w:rtl/>
        </w:rPr>
        <w:t xml:space="preserve"> כתב דבגיד שנצלה בירך צריך להניח כדי נטילה, וכדמוכח בגמ' בפסחים </w:t>
      </w:r>
      <w:r w:rsidRPr="0050146A">
        <w:rPr>
          <w:rStyle w:val="af6"/>
          <w:rFonts w:eastAsia="Guttman Hodes" w:hint="cs"/>
          <w:rtl/>
        </w:rPr>
        <w:t>(עה:)</w:t>
      </w:r>
      <w:r w:rsidRPr="0050146A">
        <w:rPr>
          <w:rFonts w:hint="cs"/>
          <w:rtl/>
        </w:rPr>
        <w:t xml:space="preserve"> בנטף מרוטבו על החרס, דאף שהרוטב הוא דבר מועט צריך ליטול כדי נטילה, וה"ה בגיד בירך, וכתב </w:t>
      </w:r>
      <w:r w:rsidRPr="0050146A">
        <w:rPr>
          <w:rStyle w:val="af8"/>
          <w:rFonts w:hint="cs"/>
          <w:rtl/>
        </w:rPr>
        <w:t>הרא"ה</w:t>
      </w:r>
      <w:r w:rsidRPr="0050146A">
        <w:rPr>
          <w:rFonts w:hint="cs"/>
          <w:rtl/>
        </w:rPr>
        <w:t xml:space="preserve"> דהוא דלא כדברי </w:t>
      </w:r>
      <w:r w:rsidRPr="0050146A">
        <w:rPr>
          <w:rStyle w:val="af8"/>
          <w:rFonts w:hint="cs"/>
          <w:rtl/>
        </w:rPr>
        <w:t>הרשב"א בתוה"ב</w:t>
      </w:r>
      <w:r w:rsidRPr="0050146A">
        <w:rPr>
          <w:rFonts w:hint="cs"/>
          <w:rtl/>
        </w:rPr>
        <w:t xml:space="preserve">. </w:t>
      </w:r>
      <w:r w:rsidRPr="0050146A">
        <w:rPr>
          <w:rStyle w:val="afa"/>
          <w:rFonts w:hint="cs"/>
          <w:rtl/>
        </w:rPr>
        <w:t>[דכתב דרק ראוי להחמיר להניח כדי נטילה, ומדינא סגי בכדי קליפה].</w:t>
      </w:r>
    </w:p>
    <w:p w:rsidR="008442F8" w:rsidRPr="0050146A" w:rsidRDefault="008442F8" w:rsidP="008442F8">
      <w:pPr>
        <w:pStyle w:val="a2"/>
        <w:rPr>
          <w:rtl/>
        </w:rPr>
      </w:pPr>
      <w:bookmarkStart w:id="1037" w:name="_Toc8246471"/>
      <w:r w:rsidRPr="0050146A">
        <w:rPr>
          <w:rFonts w:hint="cs"/>
          <w:rtl/>
        </w:rPr>
        <w:t>דחיית הרשב"א במשה"ב דאפש"ל דרוטב הוא שמן ואף שהוא מועט מפעפע ולכן אוסר כדי נטילה</w:t>
      </w:r>
      <w:bookmarkEnd w:id="1037"/>
    </w:p>
    <w:p w:rsidR="008442F8" w:rsidRPr="0050146A" w:rsidRDefault="008442F8" w:rsidP="009F44AF">
      <w:pPr>
        <w:pStyle w:val="a"/>
        <w:rPr>
          <w:rStyle w:val="afa"/>
          <w:rtl/>
        </w:rPr>
      </w:pPr>
      <w:r w:rsidRPr="0050146A">
        <w:rPr>
          <w:rFonts w:hint="cs"/>
          <w:rtl/>
        </w:rPr>
        <w:t xml:space="preserve">ודחה </w:t>
      </w:r>
      <w:r w:rsidRPr="0050146A">
        <w:rPr>
          <w:rStyle w:val="af8"/>
          <w:rFonts w:hint="cs"/>
          <w:rtl/>
        </w:rPr>
        <w:t>הרשב"א במשה"ב</w:t>
      </w:r>
      <w:r w:rsidRPr="0050146A">
        <w:rPr>
          <w:rFonts w:hint="cs"/>
          <w:rtl/>
        </w:rPr>
        <w:t xml:space="preserve"> </w:t>
      </w:r>
      <w:r w:rsidRPr="0050146A">
        <w:rPr>
          <w:rStyle w:val="af6"/>
          <w:rFonts w:eastAsia="Guttman Hodes" w:hint="cs"/>
          <w:rtl/>
        </w:rPr>
        <w:t>(ב"ד ש"א ד: מדה"ס)</w:t>
      </w:r>
      <w:r w:rsidRPr="0050146A">
        <w:rPr>
          <w:rFonts w:hint="cs"/>
          <w:rtl/>
        </w:rPr>
        <w:t xml:space="preserve"> דאף בדבריו </w:t>
      </w:r>
      <w:r w:rsidRPr="0050146A">
        <w:rPr>
          <w:rStyle w:val="af8"/>
          <w:rFonts w:hint="cs"/>
          <w:rtl/>
        </w:rPr>
        <w:t>בתוה"ב</w:t>
      </w:r>
      <w:r w:rsidRPr="0050146A">
        <w:rPr>
          <w:rFonts w:hint="cs"/>
          <w:rtl/>
        </w:rPr>
        <w:t xml:space="preserve"> מבואר דיש להחמיר להניח כדי נטילה, והוסיף </w:t>
      </w:r>
      <w:r w:rsidRPr="0050146A">
        <w:rPr>
          <w:rStyle w:val="af8"/>
          <w:rFonts w:hint="cs"/>
          <w:rtl/>
        </w:rPr>
        <w:t>הרשב"א במשה"ב</w:t>
      </w:r>
      <w:r w:rsidRPr="0050146A">
        <w:rPr>
          <w:rFonts w:hint="cs"/>
          <w:rtl/>
        </w:rPr>
        <w:t xml:space="preserve"> דא"א להביא ראיה מהגמ' בפסחים </w:t>
      </w:r>
      <w:r w:rsidRPr="0050146A">
        <w:rPr>
          <w:rStyle w:val="af6"/>
          <w:rFonts w:eastAsia="Guttman Hodes" w:hint="cs"/>
          <w:rtl/>
        </w:rPr>
        <w:t>(עה:)</w:t>
      </w:r>
      <w:r w:rsidRPr="0050146A">
        <w:rPr>
          <w:rFonts w:hint="cs"/>
          <w:rtl/>
        </w:rPr>
        <w:t xml:space="preserve"> להצריך מדינא כדי נטילה, כיון דאפש"ל דדוקא ברוטב שהוא שמן ולכן אף שהוא דבר מועט </w:t>
      </w:r>
      <w:r w:rsidRPr="0050146A">
        <w:rPr>
          <w:rFonts w:hint="cs"/>
          <w:rtl/>
        </w:rPr>
        <w:t xml:space="preserve">הוא מפעפע כדי נטילה, אבל חלב כחוש אף אם הוא הרבה אינו מפעפע. </w:t>
      </w:r>
      <w:r w:rsidRPr="0050146A">
        <w:rPr>
          <w:rStyle w:val="afa"/>
          <w:rFonts w:hint="cs"/>
          <w:rtl/>
        </w:rPr>
        <w:t xml:space="preserve">[ועי' בדברי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Ref8244802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קיז)</w:t>
      </w:r>
      <w:r w:rsidRPr="0050146A">
        <w:rPr>
          <w:rStyle w:val="aff6"/>
          <w:rtl/>
        </w:rPr>
        <w:fldChar w:fldCharType="end"/>
      </w:r>
      <w:r w:rsidRPr="0050146A">
        <w:rPr>
          <w:rStyle w:val="afa"/>
          <w:rFonts w:hint="cs"/>
          <w:rtl/>
        </w:rPr>
        <w:t>].</w:t>
      </w:r>
    </w:p>
    <w:p w:rsidR="008442F8" w:rsidRPr="0050146A" w:rsidRDefault="008442F8" w:rsidP="00E669F8">
      <w:pPr>
        <w:pStyle w:val="afd"/>
        <w:rPr>
          <w:rtl/>
        </w:rPr>
      </w:pPr>
      <w:bookmarkStart w:id="1038" w:name="_Toc8069059"/>
      <w:bookmarkStart w:id="1039" w:name="_Toc8069131"/>
      <w:bookmarkStart w:id="1040" w:name="_Toc8106015"/>
      <w:bookmarkStart w:id="1041" w:name="_Toc8117875"/>
      <w:bookmarkStart w:id="1042" w:name="_Toc8122523"/>
      <w:bookmarkStart w:id="1043" w:name="_Toc8142983"/>
      <w:bookmarkStart w:id="1044" w:name="_Toc8160785"/>
      <w:bookmarkStart w:id="1045" w:name="_Toc8209291"/>
      <w:bookmarkStart w:id="1046" w:name="_Toc8209429"/>
      <w:bookmarkStart w:id="1047" w:name="_Toc8246472"/>
      <w:r w:rsidRPr="0050146A">
        <w:rPr>
          <w:rFonts w:hint="cs"/>
          <w:rtl/>
        </w:rPr>
        <w:t>בדין צליה ומליחה ב</w:t>
      </w:r>
      <w:r w:rsidRPr="0050146A">
        <w:rPr>
          <w:rtl/>
        </w:rPr>
        <w:t>חֵלֶב</w:t>
      </w:r>
      <w:r w:rsidRPr="0050146A">
        <w:rPr>
          <w:rFonts w:hint="cs"/>
          <w:rtl/>
        </w:rPr>
        <w:t xml:space="preserve"> </w:t>
      </w:r>
      <w:bookmarkEnd w:id="1038"/>
      <w:bookmarkEnd w:id="1039"/>
      <w:bookmarkEnd w:id="1040"/>
      <w:bookmarkEnd w:id="1041"/>
      <w:bookmarkEnd w:id="1042"/>
      <w:bookmarkEnd w:id="1043"/>
      <w:bookmarkEnd w:id="1044"/>
      <w:bookmarkEnd w:id="1045"/>
      <w:bookmarkEnd w:id="1046"/>
      <w:r w:rsidRPr="0050146A">
        <w:rPr>
          <w:rFonts w:hint="cs"/>
          <w:rtl/>
        </w:rPr>
        <w:t>שמן וכחוש</w:t>
      </w:r>
      <w:bookmarkEnd w:id="1047"/>
      <w:r w:rsidRPr="0050146A">
        <w:rPr>
          <w:rFonts w:hint="cs"/>
          <w:rtl/>
        </w:rPr>
        <w:t xml:space="preserve"> </w:t>
      </w:r>
    </w:p>
    <w:p w:rsidR="008442F8" w:rsidRPr="0050146A" w:rsidRDefault="008442F8" w:rsidP="008442F8">
      <w:pPr>
        <w:pStyle w:val="1"/>
        <w:rPr>
          <w:rtl/>
        </w:rPr>
      </w:pPr>
      <w:bookmarkStart w:id="1048" w:name="_Toc8246473"/>
      <w:r w:rsidRPr="0050146A">
        <w:rPr>
          <w:rFonts w:hint="cs"/>
          <w:rtl/>
        </w:rPr>
        <w:t>דברי התוס' בדין שומן הגיד שנצלה עם הירך</w:t>
      </w:r>
      <w:bookmarkEnd w:id="1048"/>
    </w:p>
    <w:p w:rsidR="008442F8" w:rsidRPr="0050146A" w:rsidRDefault="008442F8" w:rsidP="008442F8">
      <w:pPr>
        <w:pStyle w:val="a2"/>
        <w:rPr>
          <w:rtl/>
        </w:rPr>
      </w:pPr>
      <w:bookmarkStart w:id="1049" w:name="_Toc8246474"/>
      <w:r w:rsidRPr="0050146A">
        <w:rPr>
          <w:rFonts w:hint="cs"/>
          <w:rtl/>
        </w:rPr>
        <w:t>דברי התוס' דרוטב אוסר כדי נטילה דהוא ציר בעלמא אינו מפעפע כמו חלב שמן דאוסר בכולו</w:t>
      </w:r>
      <w:bookmarkEnd w:id="1049"/>
    </w:p>
    <w:p w:rsidR="008442F8" w:rsidRPr="0050146A" w:rsidRDefault="008442F8" w:rsidP="009F44AF">
      <w:pPr>
        <w:pStyle w:val="a"/>
        <w:rPr>
          <w:rtl/>
        </w:rPr>
      </w:pPr>
      <w:bookmarkStart w:id="1050" w:name="_Ref8244802"/>
      <w:r w:rsidRPr="0050146A">
        <w:rPr>
          <w:rFonts w:hint="cs"/>
          <w:rtl/>
        </w:rPr>
        <w:t xml:space="preserve">בתירוץ הגמ' דבחלב דמפעפע אוסר את כולו, כתבו </w:t>
      </w:r>
      <w:r w:rsidRPr="0050146A">
        <w:rPr>
          <w:rStyle w:val="af8"/>
          <w:rFonts w:hint="cs"/>
          <w:rtl/>
        </w:rPr>
        <w:t>התוס'</w:t>
      </w:r>
      <w:r w:rsidRPr="0050146A">
        <w:rPr>
          <w:rFonts w:hint="cs"/>
          <w:rtl/>
        </w:rPr>
        <w:t xml:space="preserve"> </w:t>
      </w:r>
      <w:r w:rsidRPr="0050146A">
        <w:rPr>
          <w:rStyle w:val="af6"/>
          <w:rFonts w:eastAsia="Guttman Hodes" w:hint="cs"/>
          <w:rtl/>
        </w:rPr>
        <w:t>(צז. ד"ה שאני)</w:t>
      </w:r>
      <w:r w:rsidRPr="0050146A">
        <w:rPr>
          <w:rFonts w:hint="cs"/>
          <w:rtl/>
        </w:rPr>
        <w:t xml:space="preserve"> דלא דמי לגמ' בפסחים </w:t>
      </w:r>
      <w:r w:rsidRPr="0050146A">
        <w:rPr>
          <w:rStyle w:val="af6"/>
          <w:rFonts w:eastAsia="Guttman Hodes" w:hint="cs"/>
          <w:rtl/>
        </w:rPr>
        <w:t>(עה:)</w:t>
      </w:r>
      <w:r w:rsidRPr="0050146A">
        <w:rPr>
          <w:rFonts w:hint="cs"/>
          <w:rtl/>
        </w:rPr>
        <w:t xml:space="preserve"> בנטף מרוטבו על החרס, דסגי בנטילת מקומו, כיון שרוטב הוא ציר בעלמא, ואינו מפעפע כמו חלב שהוא שומן, אך הקשו </w:t>
      </w:r>
      <w:r w:rsidRPr="0050146A">
        <w:rPr>
          <w:rStyle w:val="af8"/>
          <w:rFonts w:hint="cs"/>
          <w:rtl/>
        </w:rPr>
        <w:t>התוס'</w:t>
      </w:r>
      <w:r w:rsidRPr="0050146A">
        <w:rPr>
          <w:rFonts w:hint="cs"/>
          <w:rtl/>
        </w:rPr>
        <w:t xml:space="preserve"> דא"כ אמאי בירך בגיד אינו אוסר את כולו אף כשנצלה, דהרי יש בגיד שומן שהוא מפעפע.</w:t>
      </w:r>
      <w:bookmarkEnd w:id="1050"/>
    </w:p>
    <w:p w:rsidR="008442F8" w:rsidRPr="0050146A" w:rsidRDefault="008442F8" w:rsidP="008442F8">
      <w:pPr>
        <w:pStyle w:val="a2"/>
        <w:rPr>
          <w:rtl/>
        </w:rPr>
      </w:pPr>
      <w:bookmarkStart w:id="1051" w:name="_Toc8246475"/>
      <w:r w:rsidRPr="0050146A">
        <w:rPr>
          <w:rFonts w:hint="cs"/>
          <w:rtl/>
        </w:rPr>
        <w:t>תירוץ ר"ת דהשומן של הגיד אינו מפעפע כמו חלב שמן</w:t>
      </w:r>
      <w:bookmarkEnd w:id="1051"/>
    </w:p>
    <w:p w:rsidR="008442F8" w:rsidRPr="0050146A" w:rsidRDefault="008442F8" w:rsidP="009F44AF">
      <w:pPr>
        <w:pStyle w:val="a"/>
        <w:rPr>
          <w:rtl/>
        </w:rPr>
      </w:pPr>
      <w:r w:rsidRPr="0050146A">
        <w:rPr>
          <w:rFonts w:hint="cs"/>
          <w:rtl/>
        </w:rPr>
        <w:t xml:space="preserve">ותירץ </w:t>
      </w:r>
      <w:r w:rsidRPr="0050146A">
        <w:rPr>
          <w:rStyle w:val="af8"/>
          <w:rFonts w:hint="cs"/>
          <w:rtl/>
        </w:rPr>
        <w:t xml:space="preserve">ר"ת בתוס' </w:t>
      </w:r>
      <w:r w:rsidRPr="0050146A">
        <w:rPr>
          <w:rFonts w:hint="cs"/>
          <w:rtl/>
        </w:rPr>
        <w:t>דאף שיש שומן בגיד, מ"מ אינו מפעפע.</w:t>
      </w:r>
    </w:p>
    <w:p w:rsidR="008442F8" w:rsidRPr="0050146A" w:rsidRDefault="008442F8" w:rsidP="008442F8">
      <w:pPr>
        <w:pStyle w:val="a2"/>
      </w:pPr>
      <w:bookmarkStart w:id="1052" w:name="_Toc8246476"/>
      <w:r w:rsidRPr="0050146A">
        <w:rPr>
          <w:rFonts w:hint="cs"/>
          <w:rtl/>
        </w:rPr>
        <w:t>תירוץ הר"מ בתוס' דשומן דגיד איסורו מדרבנן ולא גזרו בו יותר מאיסור הגיד שאינו מפעפע</w:t>
      </w:r>
      <w:bookmarkEnd w:id="1052"/>
    </w:p>
    <w:p w:rsidR="008442F8" w:rsidRPr="0050146A" w:rsidRDefault="008442F8" w:rsidP="009F44AF">
      <w:pPr>
        <w:pStyle w:val="a"/>
        <w:rPr>
          <w:rtl/>
        </w:rPr>
      </w:pPr>
      <w:r w:rsidRPr="0050146A">
        <w:rPr>
          <w:rFonts w:hint="cs"/>
          <w:rtl/>
        </w:rPr>
        <w:t xml:space="preserve">ועוד תירצו </w:t>
      </w:r>
      <w:r w:rsidRPr="0050146A">
        <w:rPr>
          <w:rStyle w:val="af8"/>
          <w:rFonts w:hint="cs"/>
          <w:rtl/>
        </w:rPr>
        <w:t>התוס'</w:t>
      </w:r>
      <w:r w:rsidRPr="0050146A">
        <w:rPr>
          <w:rFonts w:hint="cs"/>
          <w:rtl/>
        </w:rPr>
        <w:t xml:space="preserve"> בשם </w:t>
      </w:r>
      <w:r w:rsidRPr="0050146A">
        <w:rPr>
          <w:rStyle w:val="af8"/>
          <w:rFonts w:hint="cs"/>
          <w:rtl/>
        </w:rPr>
        <w:t>הר"מ</w:t>
      </w:r>
      <w:r w:rsidRPr="0050146A">
        <w:rPr>
          <w:rFonts w:hint="cs"/>
          <w:rtl/>
        </w:rPr>
        <w:t xml:space="preserve"> דכיון דאיסור שומן גיד הוא רק מדרבנן, דגזרו בו אטו הגיד עצמו, לא החמירו לאסור מחמתו.</w:t>
      </w:r>
    </w:p>
    <w:p w:rsidR="008442F8" w:rsidRPr="0050146A" w:rsidRDefault="008442F8" w:rsidP="008442F8">
      <w:pPr>
        <w:pStyle w:val="a2"/>
        <w:rPr>
          <w:rtl/>
        </w:rPr>
      </w:pPr>
      <w:bookmarkStart w:id="1053" w:name="_Toc8246477"/>
      <w:r w:rsidRPr="0050146A">
        <w:rPr>
          <w:rFonts w:hint="cs"/>
          <w:rtl/>
        </w:rPr>
        <w:t>דברי התוס' דלתירוץ הר"מ להלכה דאין בגידין בנותן טעם אינו אוסר אף בבישול ובמליחה</w:t>
      </w:r>
      <w:bookmarkEnd w:id="1053"/>
    </w:p>
    <w:p w:rsidR="008442F8" w:rsidRPr="0050146A" w:rsidRDefault="008442F8" w:rsidP="009F44AF">
      <w:pPr>
        <w:pStyle w:val="a"/>
        <w:rPr>
          <w:rtl/>
        </w:rPr>
      </w:pPr>
      <w:bookmarkStart w:id="1054" w:name="_Ref8244475"/>
      <w:r w:rsidRPr="0050146A">
        <w:rPr>
          <w:rFonts w:hint="cs"/>
          <w:rtl/>
        </w:rPr>
        <w:t xml:space="preserve">וכתבו </w:t>
      </w:r>
      <w:r w:rsidRPr="0050146A">
        <w:rPr>
          <w:rStyle w:val="af8"/>
          <w:rFonts w:hint="cs"/>
          <w:rtl/>
        </w:rPr>
        <w:t>התוס'</w:t>
      </w:r>
      <w:r w:rsidRPr="0050146A">
        <w:rPr>
          <w:rFonts w:hint="cs"/>
          <w:rtl/>
        </w:rPr>
        <w:t xml:space="preserve"> דלדעת </w:t>
      </w:r>
      <w:r w:rsidRPr="0050146A">
        <w:rPr>
          <w:rStyle w:val="af8"/>
          <w:rFonts w:hint="cs"/>
          <w:rtl/>
        </w:rPr>
        <w:t>הר"מ</w:t>
      </w:r>
      <w:r w:rsidRPr="0050146A">
        <w:rPr>
          <w:rFonts w:hint="cs"/>
          <w:rtl/>
        </w:rPr>
        <w:t xml:space="preserve"> כיון דקיי"ל דאין בגידין בנותן טעם, א"כ אינו אוסר אף בבישול ולא רק בצליה, וא"כ הא דאסר רבינא בגמ' לקמן </w:t>
      </w:r>
      <w:r w:rsidRPr="0050146A">
        <w:rPr>
          <w:rStyle w:val="af6"/>
          <w:rFonts w:eastAsia="Guttman Hodes" w:hint="cs"/>
          <w:rtl/>
        </w:rPr>
        <w:t>(צז:)</w:t>
      </w:r>
      <w:r w:rsidRPr="0050146A">
        <w:rPr>
          <w:rFonts w:hint="cs"/>
          <w:rtl/>
        </w:rPr>
        <w:t xml:space="preserve"> ירך שנמלח בגידו, צ"ל דס"ל כמ"ד דיש בגידין בנותן טעם, כתנא דמתני', ועי' במה שדחה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Ref8244666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קכד)</w:t>
      </w:r>
      <w:r w:rsidRPr="0050146A">
        <w:rPr>
          <w:rStyle w:val="af6"/>
          <w:rFonts w:eastAsia="Guttman Hodes"/>
          <w:rtl/>
        </w:rPr>
        <w:fldChar w:fldCharType="end"/>
      </w:r>
      <w:r w:rsidRPr="0050146A">
        <w:rPr>
          <w:rFonts w:hint="cs"/>
          <w:rtl/>
        </w:rPr>
        <w:t xml:space="preserve"> דלא מסתבר להעמיד את רבינא שהוא בתרא דלא כהלכתא.</w:t>
      </w:r>
      <w:bookmarkEnd w:id="1054"/>
    </w:p>
    <w:p w:rsidR="008442F8" w:rsidRPr="0050146A" w:rsidRDefault="008442F8" w:rsidP="008442F8">
      <w:pPr>
        <w:pStyle w:val="1"/>
        <w:rPr>
          <w:rtl/>
        </w:rPr>
      </w:pPr>
      <w:bookmarkStart w:id="1055" w:name="_Toc8069060"/>
      <w:bookmarkStart w:id="1056" w:name="_Toc8069132"/>
      <w:bookmarkStart w:id="1057" w:name="_Toc8106016"/>
      <w:bookmarkStart w:id="1058" w:name="_Toc8117876"/>
      <w:bookmarkStart w:id="1059" w:name="_Toc8122524"/>
      <w:bookmarkStart w:id="1060" w:name="_Toc8142984"/>
      <w:bookmarkStart w:id="1061" w:name="_Toc8160786"/>
      <w:bookmarkStart w:id="1062" w:name="_Toc8209292"/>
      <w:bookmarkStart w:id="1063" w:name="_Toc8209430"/>
      <w:bookmarkStart w:id="1064" w:name="_Toc8246478"/>
      <w:r w:rsidRPr="0050146A">
        <w:rPr>
          <w:rFonts w:hint="cs"/>
          <w:rtl/>
        </w:rPr>
        <w:t>דברי התוס' בדין שישים בגדי כחוש</w:t>
      </w:r>
      <w:bookmarkEnd w:id="1055"/>
      <w:bookmarkEnd w:id="1056"/>
      <w:bookmarkEnd w:id="1057"/>
      <w:bookmarkEnd w:id="1058"/>
      <w:bookmarkEnd w:id="1059"/>
      <w:bookmarkEnd w:id="1060"/>
      <w:bookmarkEnd w:id="1061"/>
      <w:bookmarkEnd w:id="1062"/>
      <w:bookmarkEnd w:id="1063"/>
      <w:r w:rsidRPr="0050146A">
        <w:rPr>
          <w:rFonts w:hint="cs"/>
          <w:rtl/>
        </w:rPr>
        <w:t xml:space="preserve"> שנצלה בחלבו</w:t>
      </w:r>
      <w:bookmarkEnd w:id="1064"/>
    </w:p>
    <w:p w:rsidR="008442F8" w:rsidRPr="0050146A" w:rsidRDefault="008442F8" w:rsidP="008442F8">
      <w:pPr>
        <w:pStyle w:val="a2"/>
        <w:rPr>
          <w:rtl/>
        </w:rPr>
      </w:pPr>
      <w:bookmarkStart w:id="1065" w:name="_Toc8246479"/>
      <w:r w:rsidRPr="0050146A">
        <w:rPr>
          <w:rFonts w:hint="cs"/>
          <w:rtl/>
        </w:rPr>
        <w:t>דברי התוס' בתירוץ הא'  דכיון שהגדי כחוש אין חלבו מפעפע</w:t>
      </w:r>
      <w:bookmarkEnd w:id="1065"/>
    </w:p>
    <w:p w:rsidR="008442F8" w:rsidRPr="0050146A" w:rsidRDefault="008442F8" w:rsidP="009F44AF">
      <w:pPr>
        <w:pStyle w:val="a"/>
        <w:rPr>
          <w:rtl/>
        </w:rPr>
      </w:pPr>
      <w:r w:rsidRPr="0050146A">
        <w:rPr>
          <w:rFonts w:hint="cs"/>
          <w:rtl/>
        </w:rPr>
        <w:t xml:space="preserve">בתירוץ הגמ' דהא דהתיר ריו"ח גדי שצלאו בחלבו בכדי קליפה, ביאר </w:t>
      </w:r>
      <w:r w:rsidRPr="0050146A">
        <w:rPr>
          <w:rStyle w:val="af8"/>
          <w:rFonts w:hint="cs"/>
          <w:rtl/>
        </w:rPr>
        <w:t>ר"ת בתירוץ הא' בתוס'</w:t>
      </w:r>
      <w:r w:rsidRPr="0050146A">
        <w:rPr>
          <w:rFonts w:hint="cs"/>
          <w:rtl/>
        </w:rPr>
        <w:t xml:space="preserve"> </w:t>
      </w:r>
      <w:r w:rsidRPr="0050146A">
        <w:rPr>
          <w:rStyle w:val="af6"/>
          <w:rFonts w:eastAsia="Guttman Hodes" w:hint="cs"/>
          <w:rtl/>
        </w:rPr>
        <w:t>(צז. ד"ה ההוא)</w:t>
      </w:r>
      <w:r w:rsidRPr="0050146A">
        <w:rPr>
          <w:rFonts w:hint="cs"/>
          <w:rtl/>
        </w:rPr>
        <w:t xml:space="preserve"> דכיון שהגדי הוא כחוש לכן אין חלבו מפעפע.</w:t>
      </w:r>
    </w:p>
    <w:p w:rsidR="008442F8" w:rsidRPr="0050146A" w:rsidRDefault="008442F8" w:rsidP="008442F8">
      <w:pPr>
        <w:pStyle w:val="a2"/>
      </w:pPr>
      <w:bookmarkStart w:id="1066" w:name="_Toc8246480"/>
      <w:r w:rsidRPr="0050146A">
        <w:rPr>
          <w:rFonts w:hint="cs"/>
          <w:rtl/>
        </w:rPr>
        <w:t>דברי הרשב"א דלתירוץ הא' בתוס' גדי כחוש אוסר רק כדי קליפה או נטילה אף בפחות משישים</w:t>
      </w:r>
      <w:bookmarkEnd w:id="1066"/>
      <w:r w:rsidRPr="0050146A">
        <w:rPr>
          <w:rFonts w:hint="cs"/>
          <w:rtl/>
        </w:rPr>
        <w:t xml:space="preserve"> </w:t>
      </w:r>
    </w:p>
    <w:p w:rsidR="008442F8" w:rsidRPr="0050146A" w:rsidRDefault="008442F8" w:rsidP="009F44AF">
      <w:pPr>
        <w:pStyle w:val="a"/>
        <w:rPr>
          <w:rtl/>
        </w:rPr>
      </w:pPr>
      <w:r w:rsidRPr="0050146A">
        <w:rPr>
          <w:rFonts w:hint="cs"/>
          <w:rtl/>
        </w:rPr>
        <w:t xml:space="preserve">וכתב </w:t>
      </w:r>
      <w:r w:rsidRPr="0050146A">
        <w:rPr>
          <w:rStyle w:val="af8"/>
          <w:rFonts w:hint="cs"/>
          <w:rtl/>
        </w:rPr>
        <w:t>הרשב"א בחי'</w:t>
      </w:r>
      <w:r w:rsidRPr="0050146A">
        <w:rPr>
          <w:rFonts w:hint="cs"/>
          <w:rtl/>
        </w:rPr>
        <w:t xml:space="preserve"> </w:t>
      </w:r>
      <w:r w:rsidRPr="0050146A">
        <w:rPr>
          <w:rStyle w:val="af6"/>
          <w:rFonts w:eastAsia="Guttman Hodes" w:hint="cs"/>
          <w:rtl/>
        </w:rPr>
        <w:t>(צז. ד"ה הא)</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ד: מדה"ס) </w:t>
      </w:r>
      <w:r w:rsidRPr="0050146A">
        <w:rPr>
          <w:rFonts w:hint="cs"/>
          <w:rtl/>
        </w:rPr>
        <w:t>דכן נראה עיקר, ולפי"ז אף כשאין בגדי שישים סגי בכדי קליפה או בכדי נטילה, כשומנו של גיד שאינו מפעפע בצליה כיון שהוא כחוש, ומותר אף בפחות משישים.</w:t>
      </w:r>
    </w:p>
    <w:p w:rsidR="008442F8" w:rsidRPr="0050146A" w:rsidRDefault="008442F8" w:rsidP="008442F8">
      <w:pPr>
        <w:pStyle w:val="a2"/>
        <w:rPr>
          <w:rtl/>
        </w:rPr>
      </w:pPr>
      <w:bookmarkStart w:id="1067" w:name="_Toc8246481"/>
      <w:r w:rsidRPr="0050146A">
        <w:rPr>
          <w:rFonts w:hint="cs"/>
          <w:rtl/>
        </w:rPr>
        <w:t>דברי התוס' בתירוץ הב' והרמב"ן דלגדי כחוש יש מעט חלב והוא בטל בשישים בבשר הגדי</w:t>
      </w:r>
      <w:bookmarkEnd w:id="1067"/>
    </w:p>
    <w:p w:rsidR="008442F8" w:rsidRPr="0050146A" w:rsidRDefault="008442F8" w:rsidP="009F44AF">
      <w:pPr>
        <w:pStyle w:val="a"/>
        <w:rPr>
          <w:rtl/>
        </w:rPr>
      </w:pPr>
      <w:r w:rsidRPr="0050146A">
        <w:rPr>
          <w:rFonts w:hint="cs"/>
          <w:rtl/>
        </w:rPr>
        <w:t xml:space="preserve">ועוד תירצו </w:t>
      </w:r>
      <w:r w:rsidRPr="0050146A">
        <w:rPr>
          <w:rStyle w:val="af8"/>
          <w:rFonts w:hint="cs"/>
          <w:rtl/>
        </w:rPr>
        <w:t>התוס' בתירוץ הב'</w:t>
      </w:r>
      <w:r w:rsidRPr="0050146A">
        <w:rPr>
          <w:rFonts w:hint="cs"/>
          <w:rtl/>
        </w:rPr>
        <w:t xml:space="preserve"> דכיון שהגדי הוא כחוש יש בו מעט </w:t>
      </w:r>
      <w:r w:rsidRPr="0050146A">
        <w:rPr>
          <w:rtl/>
        </w:rPr>
        <w:t>חֵלֶב</w:t>
      </w:r>
      <w:r w:rsidRPr="0050146A">
        <w:rPr>
          <w:rFonts w:hint="cs"/>
          <w:rtl/>
        </w:rPr>
        <w:t xml:space="preserve">, לכן חלבו מתבטל בשישים, וביאר </w:t>
      </w:r>
      <w:r w:rsidRPr="0050146A">
        <w:rPr>
          <w:rStyle w:val="af8"/>
          <w:rFonts w:hint="cs"/>
          <w:rtl/>
        </w:rPr>
        <w:t>הרמב"ן</w:t>
      </w:r>
      <w:r w:rsidRPr="0050146A">
        <w:rPr>
          <w:rFonts w:hint="cs"/>
          <w:rtl/>
        </w:rPr>
        <w:t xml:space="preserve"> </w:t>
      </w:r>
      <w:r w:rsidRPr="0050146A">
        <w:rPr>
          <w:rStyle w:val="af6"/>
          <w:rFonts w:eastAsia="Guttman Hodes" w:hint="cs"/>
          <w:rtl/>
        </w:rPr>
        <w:t xml:space="preserve">(צז. ד"ה ההוא) </w:t>
      </w:r>
      <w:r w:rsidRPr="0050146A">
        <w:rPr>
          <w:rFonts w:hint="cs"/>
          <w:rtl/>
        </w:rPr>
        <w:t>דכיון שה</w:t>
      </w:r>
      <w:r w:rsidRPr="0050146A">
        <w:rPr>
          <w:rtl/>
        </w:rPr>
        <w:t>חֵלֶב</w:t>
      </w:r>
      <w:r w:rsidRPr="0050146A">
        <w:rPr>
          <w:rFonts w:hint="cs"/>
          <w:rtl/>
        </w:rPr>
        <w:t xml:space="preserve"> של הגדי הוא אחד משישים בבשר, הבשר מבטלו כדין בישול בקדירה דבטל בשישים, וכתב </w:t>
      </w:r>
      <w:r w:rsidRPr="0050146A">
        <w:rPr>
          <w:rStyle w:val="af8"/>
          <w:rFonts w:hint="cs"/>
          <w:rtl/>
        </w:rPr>
        <w:t>הגר"א</w:t>
      </w:r>
      <w:r w:rsidRPr="0050146A">
        <w:rPr>
          <w:rFonts w:hint="cs"/>
          <w:rtl/>
        </w:rPr>
        <w:t xml:space="preserve"> </w:t>
      </w:r>
      <w:r w:rsidRPr="0050146A">
        <w:rPr>
          <w:rStyle w:val="af6"/>
          <w:rFonts w:eastAsia="Guttman Hodes" w:hint="cs"/>
          <w:rtl/>
        </w:rPr>
        <w:t>(סי' ק"ה סקל"א)</w:t>
      </w:r>
      <w:r w:rsidRPr="0050146A">
        <w:rPr>
          <w:rFonts w:hint="cs"/>
          <w:rtl/>
        </w:rPr>
        <w:t xml:space="preserve"> דאף </w:t>
      </w:r>
      <w:r w:rsidRPr="0050146A">
        <w:rPr>
          <w:rStyle w:val="af8"/>
          <w:rFonts w:hint="cs"/>
          <w:rtl/>
        </w:rPr>
        <w:t>התירוץ הא' בתוס'</w:t>
      </w:r>
      <w:r w:rsidRPr="0050146A">
        <w:rPr>
          <w:rFonts w:hint="cs"/>
          <w:rtl/>
        </w:rPr>
        <w:t xml:space="preserve"> ס"ל דמהני ביטול בשישים, ודלא </w:t>
      </w:r>
      <w:r w:rsidRPr="0050146A">
        <w:rPr>
          <w:rStyle w:val="af8"/>
          <w:rFonts w:hint="cs"/>
          <w:rtl/>
        </w:rPr>
        <w:t>כהרא"ה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Ref8232557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קכח)</w:t>
      </w:r>
      <w:r w:rsidRPr="0050146A">
        <w:rPr>
          <w:rStyle w:val="af6"/>
          <w:rFonts w:eastAsia="Guttman Hodes"/>
          <w:rtl/>
        </w:rPr>
        <w:fldChar w:fldCharType="end"/>
      </w:r>
      <w:r w:rsidRPr="0050146A">
        <w:rPr>
          <w:rFonts w:hint="cs"/>
          <w:rtl/>
        </w:rPr>
        <w:t>.</w:t>
      </w:r>
    </w:p>
    <w:p w:rsidR="008442F8" w:rsidRPr="0050146A" w:rsidRDefault="008442F8" w:rsidP="008442F8">
      <w:pPr>
        <w:pStyle w:val="a2"/>
        <w:rPr>
          <w:rtl/>
        </w:rPr>
      </w:pPr>
      <w:bookmarkStart w:id="1068" w:name="_Toc8246482"/>
      <w:r w:rsidRPr="0050146A">
        <w:rPr>
          <w:rFonts w:hint="cs"/>
          <w:rtl/>
        </w:rPr>
        <w:t>דחיית הרמב"ן דרבינא אסר במליחה בשומן הגיד אעפ"י שהוא כחוש ומוכח דאינו בטל בשישים</w:t>
      </w:r>
      <w:bookmarkEnd w:id="1068"/>
    </w:p>
    <w:p w:rsidR="008442F8" w:rsidRPr="0050146A" w:rsidRDefault="008442F8" w:rsidP="009F44AF">
      <w:pPr>
        <w:pStyle w:val="a"/>
        <w:rPr>
          <w:rtl/>
        </w:rPr>
      </w:pPr>
      <w:bookmarkStart w:id="1069" w:name="_Ref8244666"/>
      <w:r w:rsidRPr="0050146A">
        <w:rPr>
          <w:rFonts w:hint="cs"/>
          <w:rtl/>
        </w:rPr>
        <w:t xml:space="preserve">ודחה </w:t>
      </w:r>
      <w:r w:rsidRPr="0050146A">
        <w:rPr>
          <w:rStyle w:val="af8"/>
          <w:rFonts w:hint="cs"/>
          <w:rtl/>
        </w:rPr>
        <w:t xml:space="preserve">הרמב"ן </w:t>
      </w:r>
      <w:r w:rsidRPr="0050146A">
        <w:rPr>
          <w:rStyle w:val="af6"/>
          <w:rFonts w:eastAsia="Guttman Hodes" w:hint="cs"/>
          <w:rtl/>
        </w:rPr>
        <w:t xml:space="preserve">(צז. ד"ה ההוא) </w:t>
      </w:r>
      <w:r w:rsidRPr="0050146A">
        <w:rPr>
          <w:rFonts w:hint="cs"/>
          <w:rtl/>
        </w:rPr>
        <w:t xml:space="preserve">את </w:t>
      </w:r>
      <w:r w:rsidRPr="0050146A">
        <w:rPr>
          <w:rStyle w:val="af8"/>
          <w:rFonts w:hint="cs"/>
          <w:rtl/>
        </w:rPr>
        <w:t xml:space="preserve">התירוץ הב' בתוס' </w:t>
      </w:r>
      <w:r w:rsidRPr="0050146A">
        <w:rPr>
          <w:rFonts w:hint="cs"/>
          <w:rtl/>
        </w:rPr>
        <w:t xml:space="preserve">דא"כ אמאי אסר רבינא בגמ' לקמן </w:t>
      </w:r>
      <w:r w:rsidRPr="0050146A">
        <w:rPr>
          <w:rStyle w:val="af6"/>
          <w:rFonts w:eastAsia="Guttman Hodes" w:hint="cs"/>
          <w:rtl/>
        </w:rPr>
        <w:t>(צז:)</w:t>
      </w:r>
      <w:r w:rsidRPr="0050146A">
        <w:rPr>
          <w:rFonts w:hint="cs"/>
          <w:rtl/>
        </w:rPr>
        <w:t xml:space="preserve"> את הירך שנמלח בגידו, הרי כיון דקיי"ל דאין בגידין בנותן טעם, א"כ מוכח דרבינא אסר מחמת שומן הגיד, והרי השומן שהוא כחוש בטל בשישים, וכתב</w:t>
      </w:r>
      <w:r w:rsidRPr="0050146A">
        <w:rPr>
          <w:rStyle w:val="af8"/>
          <w:rFonts w:hint="cs"/>
          <w:rtl/>
        </w:rPr>
        <w:t xml:space="preserve"> הרמב"ן </w:t>
      </w:r>
      <w:r w:rsidRPr="0050146A">
        <w:rPr>
          <w:rFonts w:hint="cs"/>
          <w:rtl/>
        </w:rPr>
        <w:t xml:space="preserve">דדוחק לומר דרבינא ס"ל דיש בגידין בנותן טעם, </w:t>
      </w:r>
      <w:r w:rsidRPr="0050146A">
        <w:rPr>
          <w:rStyle w:val="afa"/>
          <w:rFonts w:hint="cs"/>
          <w:rtl/>
        </w:rPr>
        <w:t xml:space="preserve">[כדעת </w:t>
      </w:r>
      <w:r w:rsidRPr="0050146A">
        <w:rPr>
          <w:rStyle w:val="affa"/>
          <w:rFonts w:hint="cs"/>
          <w:rtl/>
        </w:rPr>
        <w:t>הר"מ בתוס'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Ref8244475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קכ)</w:t>
      </w:r>
      <w:r w:rsidRPr="0050146A">
        <w:rPr>
          <w:rStyle w:val="aff6"/>
          <w:rtl/>
        </w:rPr>
        <w:fldChar w:fldCharType="end"/>
      </w:r>
      <w:r w:rsidRPr="0050146A">
        <w:rPr>
          <w:rStyle w:val="afa"/>
          <w:rFonts w:hint="cs"/>
          <w:rtl/>
        </w:rPr>
        <w:t xml:space="preserve">], </w:t>
      </w:r>
      <w:r w:rsidRPr="0050146A">
        <w:rPr>
          <w:rFonts w:hint="cs"/>
          <w:rtl/>
        </w:rPr>
        <w:t xml:space="preserve">דלא מסתבר להעמיד את רבינא שהוא בתרא דלא כהלכתא, אלא דרבינא אסר מחמת שמנו של הגיד, ומבואר דאינו מתבטל בשישים בבשר, ומ"מ ס"ל לרבינא דבצלי הוא מותר, ומוכח דא"צ שישים לצליה בחלב כחוש, אלא קולף ואוכל עד שמגיע לגיד כדכתב </w:t>
      </w:r>
      <w:r w:rsidRPr="0050146A">
        <w:rPr>
          <w:rStyle w:val="af8"/>
          <w:rFonts w:hint="cs"/>
          <w:rtl/>
        </w:rPr>
        <w:t xml:space="preserve">רש"י </w:t>
      </w:r>
      <w:r w:rsidRPr="0050146A">
        <w:rPr>
          <w:rStyle w:val="af6"/>
          <w:rFonts w:eastAsia="Guttman Hodes" w:hint="cs"/>
          <w:rtl/>
        </w:rPr>
        <w:lastRenderedPageBreak/>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Ref8244632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50146A">
        <w:rPr>
          <w:rStyle w:val="af6"/>
          <w:rFonts w:eastAsia="Guttman Hodes"/>
          <w:rtl/>
        </w:rPr>
        <w:fldChar w:fldCharType="end"/>
      </w:r>
      <w:r w:rsidRPr="0050146A">
        <w:rPr>
          <w:rFonts w:hint="cs"/>
          <w:rtl/>
        </w:rPr>
        <w:t xml:space="preserve">, וע"ע במה שהקשה </w:t>
      </w:r>
      <w:r w:rsidRPr="0050146A">
        <w:rPr>
          <w:rStyle w:val="af8"/>
          <w:rFonts w:hint="cs"/>
          <w:rtl/>
        </w:rPr>
        <w:t xml:space="preserve">הרשב"א בחי' </w:t>
      </w:r>
      <w:r w:rsidRPr="0050146A">
        <w:rPr>
          <w:rStyle w:val="af6"/>
          <w:rFonts w:eastAsia="Guttman Hodes" w:hint="cs"/>
          <w:rtl/>
        </w:rPr>
        <w:t>(צז. ד"ה הא)</w:t>
      </w:r>
      <w:r w:rsidRPr="0050146A">
        <w:rPr>
          <w:rFonts w:hint="cs"/>
          <w:rtl/>
        </w:rPr>
        <w:t xml:space="preserve"> על </w:t>
      </w:r>
      <w:r w:rsidRPr="0050146A">
        <w:rPr>
          <w:rStyle w:val="af8"/>
          <w:rFonts w:hint="cs"/>
          <w:rtl/>
        </w:rPr>
        <w:t>התירוץ הב' בתוס'</w:t>
      </w:r>
      <w:r w:rsidRPr="0050146A">
        <w:rPr>
          <w:rFonts w:hint="cs"/>
          <w:rtl/>
        </w:rPr>
        <w:t>.</w:t>
      </w:r>
      <w:bookmarkEnd w:id="1069"/>
    </w:p>
    <w:p w:rsidR="008442F8" w:rsidRPr="0050146A" w:rsidRDefault="008442F8" w:rsidP="008442F8">
      <w:pPr>
        <w:pStyle w:val="1"/>
        <w:rPr>
          <w:rtl/>
        </w:rPr>
      </w:pPr>
      <w:bookmarkStart w:id="1070" w:name="_Toc8246483"/>
      <w:bookmarkStart w:id="1071" w:name="_Toc8069061"/>
      <w:bookmarkStart w:id="1072" w:name="_Toc8069133"/>
      <w:bookmarkStart w:id="1073" w:name="_Toc8106017"/>
      <w:bookmarkStart w:id="1074" w:name="_Toc8117877"/>
      <w:bookmarkStart w:id="1075" w:name="_Toc8122525"/>
      <w:bookmarkStart w:id="1076" w:name="_Toc8142985"/>
      <w:bookmarkStart w:id="1077" w:name="_Toc8160787"/>
      <w:bookmarkStart w:id="1078" w:name="_Toc8209293"/>
      <w:bookmarkStart w:id="1079" w:name="_Toc8209431"/>
      <w:r w:rsidRPr="0050146A">
        <w:rPr>
          <w:rFonts w:hint="cs"/>
          <w:rtl/>
        </w:rPr>
        <w:t>פלוגתת הרמב"ן והרשב"א בדין שישים ב</w:t>
      </w:r>
      <w:r w:rsidRPr="0050146A">
        <w:rPr>
          <w:rtl/>
        </w:rPr>
        <w:t>חֵלֶב</w:t>
      </w:r>
      <w:r w:rsidRPr="0050146A">
        <w:rPr>
          <w:rFonts w:hint="cs"/>
          <w:rtl/>
        </w:rPr>
        <w:t xml:space="preserve"> בצליה ובמליחה</w:t>
      </w:r>
      <w:bookmarkEnd w:id="1070"/>
    </w:p>
    <w:p w:rsidR="008442F8" w:rsidRPr="0050146A" w:rsidRDefault="008442F8" w:rsidP="008442F8">
      <w:pPr>
        <w:pStyle w:val="a2"/>
      </w:pPr>
      <w:bookmarkStart w:id="1080" w:name="_Toc8246484"/>
      <w:bookmarkEnd w:id="1071"/>
      <w:bookmarkEnd w:id="1072"/>
      <w:bookmarkEnd w:id="1073"/>
      <w:bookmarkEnd w:id="1074"/>
      <w:bookmarkEnd w:id="1075"/>
      <w:bookmarkEnd w:id="1076"/>
      <w:bookmarkEnd w:id="1077"/>
      <w:bookmarkEnd w:id="1078"/>
      <w:bookmarkEnd w:id="1079"/>
      <w:r w:rsidRPr="0050146A">
        <w:rPr>
          <w:rFonts w:hint="cs"/>
          <w:rtl/>
        </w:rPr>
        <w:t>דברי הרמב"ן דבצליה בחלב שמן צריך שישים ובשומן הגיד שהוא כחוש א"צ שישים</w:t>
      </w:r>
      <w:bookmarkEnd w:id="1080"/>
      <w:r w:rsidRPr="0050146A">
        <w:rPr>
          <w:rFonts w:hint="cs"/>
          <w:rtl/>
        </w:rPr>
        <w:t xml:space="preserve"> </w:t>
      </w:r>
    </w:p>
    <w:p w:rsidR="008442F8" w:rsidRPr="0050146A" w:rsidRDefault="008442F8" w:rsidP="009F44AF">
      <w:pPr>
        <w:pStyle w:val="a"/>
        <w:rPr>
          <w:rtl/>
        </w:rPr>
      </w:pPr>
      <w:r w:rsidRPr="0050146A">
        <w:rPr>
          <w:rFonts w:hint="cs"/>
          <w:rtl/>
        </w:rPr>
        <w:t xml:space="preserve">וכתב </w:t>
      </w:r>
      <w:r w:rsidRPr="0050146A">
        <w:rPr>
          <w:rStyle w:val="af8"/>
          <w:rFonts w:hint="cs"/>
          <w:rtl/>
        </w:rPr>
        <w:t xml:space="preserve">הרמב"ן </w:t>
      </w:r>
      <w:r w:rsidRPr="0050146A">
        <w:rPr>
          <w:rStyle w:val="af6"/>
          <w:rFonts w:eastAsia="Guttman Hodes" w:hint="cs"/>
          <w:rtl/>
        </w:rPr>
        <w:t xml:space="preserve">(צז. ד"ה ההוא) </w:t>
      </w:r>
      <w:r w:rsidRPr="0050146A">
        <w:rPr>
          <w:rFonts w:hint="cs"/>
          <w:rtl/>
        </w:rPr>
        <w:t xml:space="preserve">דרק בחלב שמן שהוא מפעפע צריך שישים בצלי, והוסיף </w:t>
      </w:r>
      <w:r w:rsidRPr="0050146A">
        <w:rPr>
          <w:rStyle w:val="af8"/>
          <w:rFonts w:hint="cs"/>
          <w:rtl/>
        </w:rPr>
        <w:t>הרמב"ן</w:t>
      </w:r>
      <w:r w:rsidRPr="0050146A">
        <w:rPr>
          <w:rFonts w:hint="cs"/>
          <w:rtl/>
        </w:rPr>
        <w:t xml:space="preserve"> דהשומן של הגיד אינו מפעפע אף בגדי שמן.</w:t>
      </w:r>
    </w:p>
    <w:p w:rsidR="008442F8" w:rsidRPr="0050146A" w:rsidRDefault="008442F8" w:rsidP="008442F8">
      <w:pPr>
        <w:pStyle w:val="a2"/>
      </w:pPr>
      <w:bookmarkStart w:id="1081" w:name="_Toc8246485"/>
      <w:r w:rsidRPr="0050146A">
        <w:rPr>
          <w:rFonts w:hint="cs"/>
          <w:rtl/>
        </w:rPr>
        <w:t>דברי הרמב"ן דבמליחה אף בחלב שמן א"צ שישים דאינו מפעפע</w:t>
      </w:r>
      <w:bookmarkEnd w:id="1081"/>
    </w:p>
    <w:p w:rsidR="008442F8" w:rsidRPr="0050146A" w:rsidRDefault="008442F8" w:rsidP="009F44AF">
      <w:pPr>
        <w:pStyle w:val="a"/>
        <w:rPr>
          <w:rtl/>
        </w:rPr>
      </w:pPr>
      <w:r w:rsidRPr="0050146A">
        <w:rPr>
          <w:rFonts w:hint="cs"/>
          <w:rtl/>
        </w:rPr>
        <w:t xml:space="preserve">אך כתב </w:t>
      </w:r>
      <w:r w:rsidRPr="0050146A">
        <w:rPr>
          <w:rStyle w:val="af8"/>
          <w:rFonts w:hint="cs"/>
          <w:rtl/>
        </w:rPr>
        <w:t>הרמב"ן</w:t>
      </w:r>
      <w:r w:rsidRPr="0050146A">
        <w:rPr>
          <w:rFonts w:hint="cs"/>
          <w:rtl/>
        </w:rPr>
        <w:t xml:space="preserve"> דבמליחה אף חלב של גדי שמן לא אמרינן דהוא מפעפע.</w:t>
      </w:r>
    </w:p>
    <w:p w:rsidR="008442F8" w:rsidRPr="0050146A" w:rsidRDefault="008442F8" w:rsidP="008442F8">
      <w:pPr>
        <w:pStyle w:val="a2"/>
      </w:pPr>
      <w:bookmarkStart w:id="1082" w:name="_Toc8246486"/>
      <w:r w:rsidRPr="0050146A">
        <w:rPr>
          <w:rFonts w:hint="cs"/>
          <w:rtl/>
        </w:rPr>
        <w:t>דברי הרשב"א דבחלב של בהמה שמנה צריך שישים בין במליחה ובין בצליה אף באיסור דרבנן</w:t>
      </w:r>
      <w:bookmarkEnd w:id="1082"/>
    </w:p>
    <w:p w:rsidR="008442F8" w:rsidRPr="0050146A" w:rsidRDefault="008442F8" w:rsidP="009F44AF">
      <w:pPr>
        <w:pStyle w:val="a"/>
        <w:rPr>
          <w:rtl/>
        </w:rPr>
      </w:pPr>
      <w:r w:rsidRPr="0050146A">
        <w:rPr>
          <w:rFonts w:hint="cs"/>
          <w:rtl/>
        </w:rPr>
        <w:t xml:space="preserve">ועי' בדברי </w:t>
      </w:r>
      <w:r w:rsidRPr="0050146A">
        <w:rPr>
          <w:rStyle w:val="af8"/>
          <w:rFonts w:hint="cs"/>
          <w:rtl/>
        </w:rPr>
        <w:t>הרשב"א בחי'</w:t>
      </w:r>
      <w:r w:rsidRPr="0050146A">
        <w:rPr>
          <w:rFonts w:hint="cs"/>
          <w:rtl/>
        </w:rPr>
        <w:t xml:space="preserve"> </w:t>
      </w:r>
      <w:r w:rsidRPr="0050146A">
        <w:rPr>
          <w:rStyle w:val="af6"/>
          <w:rFonts w:eastAsia="Guttman Hodes" w:hint="cs"/>
          <w:rtl/>
        </w:rPr>
        <w:t>(צז. ד"ה הא)</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ה. מדה"ס) </w:t>
      </w:r>
      <w:r w:rsidRPr="0050146A">
        <w:rPr>
          <w:rFonts w:hint="cs"/>
          <w:rtl/>
        </w:rPr>
        <w:t xml:space="preserve">דהקשה על </w:t>
      </w:r>
      <w:r w:rsidRPr="0050146A">
        <w:rPr>
          <w:rStyle w:val="af8"/>
          <w:rFonts w:hint="cs"/>
          <w:rtl/>
        </w:rPr>
        <w:t>הרמב"ן</w:t>
      </w:r>
      <w:r w:rsidRPr="0050146A">
        <w:rPr>
          <w:rFonts w:hint="cs"/>
          <w:rtl/>
        </w:rPr>
        <w:t xml:space="preserve"> דבדברי רבינא בגמ' לקמן </w:t>
      </w:r>
      <w:r w:rsidRPr="0050146A">
        <w:rPr>
          <w:rStyle w:val="af6"/>
          <w:rFonts w:eastAsia="Guttman Hodes" w:hint="cs"/>
          <w:rtl/>
        </w:rPr>
        <w:t>(צז:)</w:t>
      </w:r>
      <w:r w:rsidRPr="0050146A">
        <w:rPr>
          <w:rFonts w:hint="cs"/>
          <w:rtl/>
        </w:rPr>
        <w:t xml:space="preserve"> מוכח דאף במליחה חלב שמן מפעפע כמו בצליה, עיי"ש בדבריו, אלא כתב </w:t>
      </w:r>
      <w:r w:rsidRPr="0050146A">
        <w:rPr>
          <w:rStyle w:val="af8"/>
          <w:rFonts w:hint="cs"/>
          <w:rtl/>
        </w:rPr>
        <w:t>הרשב"א בתוה"ב</w:t>
      </w:r>
      <w:r w:rsidRPr="0050146A">
        <w:rPr>
          <w:rFonts w:hint="cs"/>
          <w:rtl/>
        </w:rPr>
        <w:t xml:space="preserve"> דכל דבר שהוא מפעפע כחלב של בהמה שמנה, הוא אוסר בין בבישול ובין במליחה ובין בצליה, וצריך שישים כנגד האיסור, בין באיסור דאו' ובין בדרבנן, דכל דתקון כעין דאו' תקון.</w:t>
      </w:r>
    </w:p>
    <w:p w:rsidR="008442F8" w:rsidRPr="0050146A" w:rsidRDefault="008442F8" w:rsidP="008442F8">
      <w:pPr>
        <w:pStyle w:val="1"/>
        <w:rPr>
          <w:rtl/>
        </w:rPr>
      </w:pPr>
      <w:bookmarkStart w:id="1083" w:name="_Toc8246487"/>
      <w:r w:rsidRPr="0050146A">
        <w:rPr>
          <w:rFonts w:hint="cs"/>
          <w:rtl/>
        </w:rPr>
        <w:t>פלוגתת הרשב"א והרא"ה אי מהני שישים בצליה או רק בבישול</w:t>
      </w:r>
      <w:bookmarkEnd w:id="1083"/>
    </w:p>
    <w:p w:rsidR="008442F8" w:rsidRPr="0050146A" w:rsidRDefault="008442F8" w:rsidP="008442F8">
      <w:pPr>
        <w:pStyle w:val="a2"/>
        <w:rPr>
          <w:rtl/>
        </w:rPr>
      </w:pPr>
      <w:bookmarkStart w:id="1084" w:name="_Toc8246488"/>
      <w:r w:rsidRPr="0050146A">
        <w:rPr>
          <w:rFonts w:hint="cs"/>
          <w:rtl/>
        </w:rPr>
        <w:t>דברי הרשב"א דבדבר שמפעפע אף שבטל בשישים צריך ליטול את מקומו</w:t>
      </w:r>
      <w:bookmarkEnd w:id="1084"/>
    </w:p>
    <w:p w:rsidR="008442F8" w:rsidRPr="0050146A" w:rsidRDefault="008442F8" w:rsidP="009F44AF">
      <w:pPr>
        <w:pStyle w:val="a"/>
        <w:rPr>
          <w:rtl/>
        </w:rPr>
      </w:pPr>
      <w:bookmarkStart w:id="1085" w:name="_Ref8232557"/>
      <w:r w:rsidRPr="0050146A">
        <w:rPr>
          <w:rFonts w:hint="cs"/>
          <w:rtl/>
        </w:rPr>
        <w:t xml:space="preserve">כתב </w:t>
      </w:r>
      <w:r w:rsidRPr="0050146A">
        <w:rPr>
          <w:rStyle w:val="af8"/>
          <w:rFonts w:hint="cs"/>
          <w:rtl/>
        </w:rPr>
        <w:t xml:space="preserve">הרשב"א בתוה"ב </w:t>
      </w:r>
      <w:r w:rsidRPr="0050146A">
        <w:rPr>
          <w:rStyle w:val="af6"/>
          <w:rFonts w:eastAsia="Guttman Hodes" w:hint="cs"/>
          <w:rtl/>
        </w:rPr>
        <w:t xml:space="preserve">(ב"ד ש"א כא. מדה"ס) </w:t>
      </w:r>
      <w:r w:rsidRPr="0050146A">
        <w:rPr>
          <w:rFonts w:hint="cs"/>
          <w:rtl/>
        </w:rPr>
        <w:t xml:space="preserve">דבדבר מפעפע שנפל במקום ידוע בתוך החתיכה, צריך כדי נטילה, דאף שיש שישים כנגד בחתיכה לבטל את האיסור, מ"מ צריך ליטול את מקומו כדמוכח בגמ' בפסחים </w:t>
      </w:r>
      <w:r w:rsidRPr="0050146A">
        <w:rPr>
          <w:rStyle w:val="af6"/>
          <w:rFonts w:eastAsia="Guttman Hodes" w:hint="cs"/>
          <w:rtl/>
        </w:rPr>
        <w:t>(עה:)</w:t>
      </w:r>
      <w:r w:rsidRPr="0050146A">
        <w:rPr>
          <w:rFonts w:hint="cs"/>
          <w:rtl/>
        </w:rPr>
        <w:t xml:space="preserve"> בנפל מרוטבו על החרס, וכתב </w:t>
      </w:r>
      <w:r w:rsidRPr="0050146A">
        <w:rPr>
          <w:rStyle w:val="af8"/>
          <w:rFonts w:hint="cs"/>
          <w:rtl/>
        </w:rPr>
        <w:t xml:space="preserve">הגר"א </w:t>
      </w:r>
      <w:r w:rsidRPr="0050146A">
        <w:rPr>
          <w:rStyle w:val="af6"/>
          <w:rFonts w:eastAsia="Guttman Hodes" w:hint="cs"/>
          <w:rtl/>
        </w:rPr>
        <w:t xml:space="preserve">(סי' ק"ה סקל"ד) </w:t>
      </w:r>
      <w:r w:rsidRPr="0050146A">
        <w:rPr>
          <w:rFonts w:hint="cs"/>
          <w:rtl/>
        </w:rPr>
        <w:t xml:space="preserve">דבדברי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Ref8244802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קיז)</w:t>
      </w:r>
      <w:r w:rsidRPr="0050146A">
        <w:rPr>
          <w:rStyle w:val="af6"/>
          <w:rFonts w:eastAsia="Guttman Hodes"/>
          <w:rtl/>
        </w:rPr>
        <w:fldChar w:fldCharType="end"/>
      </w:r>
      <w:r w:rsidRPr="0050146A">
        <w:rPr>
          <w:rFonts w:hint="cs"/>
          <w:rtl/>
        </w:rPr>
        <w:t xml:space="preserve"> משמע דלא </w:t>
      </w:r>
      <w:r w:rsidRPr="0050146A">
        <w:rPr>
          <w:rStyle w:val="af8"/>
          <w:rFonts w:hint="cs"/>
          <w:rtl/>
        </w:rPr>
        <w:t>כהרשב"א</w:t>
      </w:r>
      <w:r w:rsidRPr="0050146A">
        <w:rPr>
          <w:rFonts w:hint="cs"/>
          <w:rtl/>
        </w:rPr>
        <w:t>.</w:t>
      </w:r>
      <w:bookmarkEnd w:id="1085"/>
    </w:p>
    <w:p w:rsidR="008442F8" w:rsidRPr="0050146A" w:rsidRDefault="008442F8" w:rsidP="008442F8">
      <w:pPr>
        <w:pStyle w:val="a2"/>
        <w:rPr>
          <w:rtl/>
        </w:rPr>
      </w:pPr>
      <w:bookmarkStart w:id="1086" w:name="_Toc8246489"/>
      <w:r w:rsidRPr="0050146A">
        <w:rPr>
          <w:rFonts w:hint="cs"/>
          <w:rtl/>
        </w:rPr>
        <w:t>דחיית הרא"ה דדין שישים הוא בבישול שבולע בכל החתיכה בשווה ולא שייך כדי קליפה או נטילה</w:t>
      </w:r>
      <w:bookmarkEnd w:id="1086"/>
    </w:p>
    <w:p w:rsidR="002D7168" w:rsidRDefault="008442F8" w:rsidP="009F44AF">
      <w:pPr>
        <w:pStyle w:val="a"/>
        <w:rPr>
          <w:rtl/>
        </w:rPr>
      </w:pPr>
      <w:bookmarkStart w:id="1087" w:name="_Ref14427652"/>
      <w:r w:rsidRPr="0050146A">
        <w:rPr>
          <w:rFonts w:hint="cs"/>
          <w:rtl/>
        </w:rPr>
        <w:t xml:space="preserve">ודחה </w:t>
      </w:r>
      <w:r w:rsidRPr="0050146A">
        <w:rPr>
          <w:rStyle w:val="af8"/>
          <w:rFonts w:hint="cs"/>
          <w:rtl/>
        </w:rPr>
        <w:t xml:space="preserve">הרא"ה בבד"ה </w:t>
      </w:r>
      <w:r w:rsidRPr="0050146A">
        <w:rPr>
          <w:rStyle w:val="af6"/>
          <w:rFonts w:eastAsia="Guttman Hodes" w:hint="cs"/>
          <w:rtl/>
        </w:rPr>
        <w:t xml:space="preserve">(ב"ד ש"א כא. מדה"ס) </w:t>
      </w:r>
      <w:r w:rsidRPr="0050146A">
        <w:rPr>
          <w:rFonts w:hint="cs"/>
          <w:rtl/>
        </w:rPr>
        <w:t xml:space="preserve">דבדבר ששייך בו שיעור שישים כבישול, ודאי שא"צ כדי קליפה או כדי נטילה, שהוא בטל במנין של השישים, דכל דין שישים נאמר בדבר שנבלע בשוה בכל החתיכה, וכיון שנבלע בכולה לא שייך בו כדי קליפה או כדי נטילה, ובמה שהביא </w:t>
      </w:r>
      <w:r w:rsidRPr="0050146A">
        <w:rPr>
          <w:rStyle w:val="af8"/>
          <w:rFonts w:hint="cs"/>
          <w:rtl/>
        </w:rPr>
        <w:t xml:space="preserve">הרשב"א </w:t>
      </w:r>
      <w:r w:rsidRPr="0050146A">
        <w:rPr>
          <w:rFonts w:hint="cs"/>
          <w:rtl/>
        </w:rPr>
        <w:t xml:space="preserve">ראיה מהגמ' בפסחים </w:t>
      </w:r>
      <w:r w:rsidRPr="0050146A">
        <w:rPr>
          <w:rStyle w:val="af6"/>
          <w:rFonts w:eastAsia="Guttman Hodes" w:hint="cs"/>
          <w:rtl/>
        </w:rPr>
        <w:t xml:space="preserve">(עה:) </w:t>
      </w:r>
      <w:r w:rsidRPr="0050146A">
        <w:rPr>
          <w:rFonts w:hint="cs"/>
          <w:rtl/>
        </w:rPr>
        <w:t xml:space="preserve">דחה </w:t>
      </w:r>
      <w:r w:rsidRPr="0050146A">
        <w:rPr>
          <w:rStyle w:val="af8"/>
          <w:rFonts w:hint="cs"/>
          <w:rtl/>
        </w:rPr>
        <w:t xml:space="preserve">הרא"ה </w:t>
      </w:r>
      <w:r w:rsidRPr="0050146A">
        <w:rPr>
          <w:rFonts w:hint="cs"/>
          <w:rtl/>
        </w:rPr>
        <w:t xml:space="preserve">דהתם איירי בצלי שאין בו דין שישים כלל, ועי' </w:t>
      </w:r>
      <w:r w:rsidRPr="0050146A">
        <w:rPr>
          <w:rStyle w:val="af8"/>
          <w:rFonts w:hint="cs"/>
          <w:rtl/>
        </w:rPr>
        <w:t xml:space="preserve">באור </w:t>
      </w:r>
      <w:r w:rsidRPr="0050146A">
        <w:rPr>
          <w:rStyle w:val="af8"/>
          <w:rtl/>
        </w:rPr>
        <w:t>שמח</w:t>
      </w:r>
      <w:r w:rsidRPr="0050146A">
        <w:rPr>
          <w:rtl/>
        </w:rPr>
        <w:t xml:space="preserve"> </w:t>
      </w:r>
      <w:r w:rsidRPr="0050146A">
        <w:rPr>
          <w:rStyle w:val="af6"/>
          <w:rFonts w:eastAsia="Guttman Hodes" w:hint="cs"/>
          <w:rtl/>
        </w:rPr>
        <w:t xml:space="preserve">(מאכ"א פט"ו הל"ב) </w:t>
      </w:r>
      <w:r w:rsidRPr="0050146A">
        <w:rPr>
          <w:rFonts w:hint="cs"/>
          <w:rtl/>
        </w:rPr>
        <w:t xml:space="preserve">במה שהאריך טובא בביאור פלוגתת </w:t>
      </w:r>
      <w:r w:rsidRPr="0050146A">
        <w:rPr>
          <w:rStyle w:val="af8"/>
          <w:rFonts w:hint="cs"/>
          <w:rtl/>
        </w:rPr>
        <w:t>הרשב"א והרא"ה</w:t>
      </w:r>
      <w:r w:rsidRPr="0050146A">
        <w:rPr>
          <w:rFonts w:hint="cs"/>
          <w:rtl/>
        </w:rPr>
        <w:t>.</w:t>
      </w:r>
      <w:bookmarkEnd w:id="1087"/>
    </w:p>
    <w:p w:rsidR="008442F8" w:rsidRPr="0050146A" w:rsidRDefault="008442F8" w:rsidP="008442F8">
      <w:pPr>
        <w:pStyle w:val="a2"/>
        <w:rPr>
          <w:rtl/>
        </w:rPr>
      </w:pPr>
      <w:bookmarkStart w:id="1088" w:name="_Toc8246490"/>
      <w:r w:rsidRPr="0050146A">
        <w:rPr>
          <w:rFonts w:hint="cs"/>
          <w:rtl/>
        </w:rPr>
        <w:t>פלוגתת הרא"ה והרשב"א אי רוטב גדי שצריך כדי נטילה הוא מפעפע</w:t>
      </w:r>
      <w:bookmarkEnd w:id="1088"/>
    </w:p>
    <w:p w:rsidR="008442F8" w:rsidRPr="0050146A" w:rsidRDefault="008442F8" w:rsidP="009F44AF">
      <w:pPr>
        <w:pStyle w:val="a"/>
        <w:rPr>
          <w:rtl/>
        </w:rPr>
      </w:pPr>
      <w:r w:rsidRPr="0050146A">
        <w:rPr>
          <w:rFonts w:hint="cs"/>
          <w:rtl/>
        </w:rPr>
        <w:t xml:space="preserve">ובמ"ש </w:t>
      </w:r>
      <w:r w:rsidRPr="0050146A">
        <w:rPr>
          <w:rStyle w:val="af8"/>
          <w:rFonts w:hint="cs"/>
          <w:rtl/>
        </w:rPr>
        <w:t xml:space="preserve">הרשב"א בתוה"ב </w:t>
      </w:r>
      <w:r w:rsidRPr="0050146A">
        <w:rPr>
          <w:rFonts w:hint="cs"/>
          <w:rtl/>
        </w:rPr>
        <w:t xml:space="preserve">דכדי נטילה הוא דוקא בדבר שהוא מפעפע, הקשה </w:t>
      </w:r>
      <w:r w:rsidRPr="0050146A">
        <w:rPr>
          <w:rStyle w:val="af8"/>
          <w:rFonts w:hint="cs"/>
          <w:rtl/>
        </w:rPr>
        <w:t xml:space="preserve">הרא"ה בבד"ה </w:t>
      </w:r>
      <w:r w:rsidRPr="0050146A">
        <w:rPr>
          <w:rFonts w:hint="cs"/>
          <w:rtl/>
        </w:rPr>
        <w:t xml:space="preserve">דמהגמ' בפסחים מוכח להיפך דאף רוטב שאינו מפעפע צריך נטילת מקום, ודחה </w:t>
      </w:r>
      <w:r w:rsidRPr="0050146A">
        <w:rPr>
          <w:rStyle w:val="af8"/>
          <w:rFonts w:hint="cs"/>
          <w:rtl/>
        </w:rPr>
        <w:t xml:space="preserve">הרשב"א במשה"ב </w:t>
      </w:r>
      <w:r w:rsidRPr="0050146A">
        <w:rPr>
          <w:rStyle w:val="af6"/>
          <w:rFonts w:eastAsia="Guttman Hodes" w:hint="cs"/>
          <w:rtl/>
        </w:rPr>
        <w:t xml:space="preserve">(ב"ד </w:t>
      </w:r>
      <w:r w:rsidRPr="0050146A">
        <w:rPr>
          <w:rStyle w:val="af6"/>
          <w:rFonts w:eastAsia="Guttman Hodes" w:hint="cs"/>
          <w:rtl/>
        </w:rPr>
        <w:t xml:space="preserve">ש"א כא. מדה"ס) </w:t>
      </w:r>
      <w:r w:rsidRPr="0050146A">
        <w:rPr>
          <w:rFonts w:hint="cs"/>
          <w:rtl/>
        </w:rPr>
        <w:t xml:space="preserve">דרוטב של גדי הוא דבר המפעפע, דהוא השומן שלו שנוטף ממנו, ואי אין הרוטב מפעפע, א"צ אף כדי קליפה. </w:t>
      </w:r>
    </w:p>
    <w:p w:rsidR="008442F8" w:rsidRPr="0050146A" w:rsidRDefault="008442F8" w:rsidP="008442F8">
      <w:pPr>
        <w:pStyle w:val="a2"/>
        <w:rPr>
          <w:rtl/>
        </w:rPr>
      </w:pPr>
      <w:bookmarkStart w:id="1089" w:name="_Toc8246491"/>
      <w:r w:rsidRPr="0050146A">
        <w:rPr>
          <w:rFonts w:hint="cs"/>
          <w:rtl/>
        </w:rPr>
        <w:t>דברי הרא"ה דשישים הוא רק בקדירה בניער וכיסה שהכל מתערב בשווה ולא שייך קליפה ונטילה</w:t>
      </w:r>
      <w:bookmarkEnd w:id="1089"/>
    </w:p>
    <w:p w:rsidR="00AA6DCE" w:rsidRPr="0050146A" w:rsidRDefault="008442F8" w:rsidP="009F44AF">
      <w:pPr>
        <w:pStyle w:val="a"/>
        <w:rPr>
          <w:rtl/>
        </w:rPr>
      </w:pPr>
      <w:r w:rsidRPr="0050146A">
        <w:rPr>
          <w:rFonts w:hint="cs"/>
          <w:rtl/>
        </w:rPr>
        <w:t xml:space="preserve">ובדבר שמפעפע כחלב שמן, כתב </w:t>
      </w:r>
      <w:r w:rsidRPr="0050146A">
        <w:rPr>
          <w:rStyle w:val="af8"/>
          <w:rFonts w:hint="cs"/>
          <w:rtl/>
        </w:rPr>
        <w:t xml:space="preserve">הרא"ה בבד"ה </w:t>
      </w:r>
      <w:r w:rsidRPr="0050146A">
        <w:rPr>
          <w:rStyle w:val="af6"/>
          <w:rFonts w:eastAsia="Guttman Hodes" w:hint="cs"/>
          <w:rtl/>
        </w:rPr>
        <w:t xml:space="preserve">(ב"ד ש"א כא. מדה"ס) </w:t>
      </w:r>
      <w:r w:rsidRPr="0050146A">
        <w:rPr>
          <w:rStyle w:val="af8"/>
          <w:rFonts w:hint="cs"/>
          <w:rtl/>
        </w:rPr>
        <w:t>ובחי'</w:t>
      </w:r>
      <w:r w:rsidRPr="0050146A">
        <w:rPr>
          <w:rStyle w:val="af6"/>
          <w:rFonts w:eastAsia="Guttman Hodes" w:hint="cs"/>
          <w:rtl/>
        </w:rPr>
        <w:t xml:space="preserve"> (ד"ה אמר רב הונא) </w:t>
      </w:r>
      <w:r w:rsidRPr="0050146A">
        <w:rPr>
          <w:rFonts w:hint="cs"/>
          <w:rtl/>
        </w:rPr>
        <w:t>דבצליה לא מהני לו כדי קליפה או כדי נטילה, דהא כולו אסור, ולא מהני בו שישים כלל, דכל שיעור שישים נאמר רק בקדירה בניער וכיסה, דכל החתיכות מתערבות בקדירה בשוה, ובלא ניער וכיסה אף בקדירה משערים רק באותה החתיכה.</w:t>
      </w:r>
    </w:p>
    <w:p w:rsidR="008442F8" w:rsidRPr="0050146A" w:rsidRDefault="008442F8" w:rsidP="008442F8">
      <w:pPr>
        <w:pStyle w:val="a2"/>
      </w:pPr>
      <w:bookmarkStart w:id="1090" w:name="_Toc8246492"/>
      <w:r w:rsidRPr="0050146A">
        <w:rPr>
          <w:rFonts w:hint="cs"/>
          <w:rtl/>
        </w:rPr>
        <w:t>דברי הרא"ה דבצליה ומליחה שאינם מתערבים בשווה בשמן הכל אסור ובכחוש כדי נטילה</w:t>
      </w:r>
      <w:bookmarkEnd w:id="1090"/>
    </w:p>
    <w:p w:rsidR="008442F8" w:rsidRPr="0050146A" w:rsidRDefault="008442F8" w:rsidP="009F44AF">
      <w:pPr>
        <w:pStyle w:val="a"/>
        <w:rPr>
          <w:rtl/>
        </w:rPr>
      </w:pPr>
      <w:r w:rsidRPr="0050146A">
        <w:rPr>
          <w:rFonts w:hint="cs"/>
          <w:rtl/>
        </w:rPr>
        <w:t xml:space="preserve">אבל בצליה ומליחה ביאר </w:t>
      </w:r>
      <w:r w:rsidRPr="0050146A">
        <w:rPr>
          <w:rStyle w:val="af8"/>
          <w:rFonts w:hint="cs"/>
          <w:rtl/>
        </w:rPr>
        <w:t xml:space="preserve">הרא"ה בבד"ה </w:t>
      </w:r>
      <w:r w:rsidRPr="0050146A">
        <w:rPr>
          <w:rFonts w:hint="cs"/>
          <w:rtl/>
        </w:rPr>
        <w:t xml:space="preserve">דכיון דאין בהם עירוב של החלקים בשווה, אין בו דין שישים, ואי האיסור מפעפע כחלב שמן כולו אסור, ובאינו מפעפע כחלב כחוש סגי בכדי נטילה, אך לא מהני כדי קליפה, וכדמוכח מהגמ' בפסחים </w:t>
      </w:r>
      <w:r w:rsidRPr="0050146A">
        <w:rPr>
          <w:rStyle w:val="af6"/>
          <w:rFonts w:eastAsia="Guttman Hodes" w:hint="cs"/>
          <w:rtl/>
        </w:rPr>
        <w:t xml:space="preserve">(עה:) </w:t>
      </w:r>
      <w:r w:rsidRPr="0050146A">
        <w:rPr>
          <w:rFonts w:hint="cs"/>
          <w:rtl/>
        </w:rPr>
        <w:t xml:space="preserve">דרוטב שאינו מפעפע צריך כדי קליפה, וכ"כ </w:t>
      </w:r>
      <w:r w:rsidRPr="0050146A">
        <w:rPr>
          <w:rStyle w:val="af8"/>
          <w:rFonts w:hint="cs"/>
          <w:rtl/>
        </w:rPr>
        <w:t>הריטב"א</w:t>
      </w:r>
      <w:r w:rsidRPr="0050146A">
        <w:rPr>
          <w:rFonts w:hint="cs"/>
          <w:rtl/>
        </w:rPr>
        <w:t xml:space="preserve"> </w:t>
      </w:r>
      <w:r w:rsidRPr="0050146A">
        <w:rPr>
          <w:rStyle w:val="af6"/>
          <w:rFonts w:eastAsia="Guttman Hodes" w:hint="cs"/>
          <w:rtl/>
        </w:rPr>
        <w:t>(ד"ה והאמר)</w:t>
      </w:r>
      <w:r w:rsidRPr="0050146A">
        <w:rPr>
          <w:rFonts w:hint="cs"/>
          <w:rtl/>
        </w:rPr>
        <w:t>.</w:t>
      </w:r>
    </w:p>
    <w:p w:rsidR="008442F8" w:rsidRPr="0050146A" w:rsidRDefault="008442F8" w:rsidP="008442F8">
      <w:pPr>
        <w:pStyle w:val="a2"/>
      </w:pPr>
      <w:bookmarkStart w:id="1091" w:name="_Toc8246493"/>
      <w:r w:rsidRPr="0050146A">
        <w:rPr>
          <w:rFonts w:hint="cs"/>
          <w:rtl/>
        </w:rPr>
        <w:t>ביאור הרא"ה בשמואל דקולף ואוכל לאו דוקא אלא שאין כולו אסור ומניח כדי נטילה</w:t>
      </w:r>
      <w:bookmarkEnd w:id="1091"/>
    </w:p>
    <w:p w:rsidR="008442F8" w:rsidRPr="0050146A" w:rsidRDefault="008442F8" w:rsidP="009F44AF">
      <w:pPr>
        <w:pStyle w:val="a"/>
        <w:rPr>
          <w:rtl/>
        </w:rPr>
      </w:pPr>
      <w:r w:rsidRPr="0050146A">
        <w:rPr>
          <w:rFonts w:hint="cs"/>
          <w:rtl/>
        </w:rPr>
        <w:t xml:space="preserve">ובביאור דברי שמואל דאמר קולף ואוכל, כתב </w:t>
      </w:r>
      <w:r w:rsidRPr="0050146A">
        <w:rPr>
          <w:rStyle w:val="af8"/>
          <w:rFonts w:hint="cs"/>
          <w:rtl/>
        </w:rPr>
        <w:t xml:space="preserve">הרא"ה בבד"ה </w:t>
      </w:r>
      <w:r w:rsidRPr="0050146A">
        <w:rPr>
          <w:rFonts w:hint="cs"/>
          <w:rtl/>
        </w:rPr>
        <w:t>דאין כוונתו שצריך להניח כדי קליפה, דהא צריך להניח כדי נטילה, אלא דבא שמואל לומר שאין כולו אסור כמו בחלב שמן.</w:t>
      </w:r>
    </w:p>
    <w:p w:rsidR="008442F8" w:rsidRPr="0050146A" w:rsidRDefault="008442F8" w:rsidP="008442F8">
      <w:pPr>
        <w:pStyle w:val="a2"/>
      </w:pPr>
      <w:bookmarkStart w:id="1092" w:name="_Toc8246494"/>
      <w:r w:rsidRPr="0050146A">
        <w:rPr>
          <w:rFonts w:hint="cs"/>
          <w:rtl/>
        </w:rPr>
        <w:t>ביאור הר"ן בשם הרא"ה דבצליה יתכן שבלוע הרבה במקום אחד כיון שאין רוטב שמוליך לכולה</w:t>
      </w:r>
      <w:bookmarkEnd w:id="1092"/>
    </w:p>
    <w:p w:rsidR="008442F8" w:rsidRPr="0050146A" w:rsidRDefault="008442F8" w:rsidP="009F44AF">
      <w:pPr>
        <w:pStyle w:val="a"/>
        <w:rPr>
          <w:rtl/>
        </w:rPr>
      </w:pPr>
      <w:r w:rsidRPr="0050146A">
        <w:rPr>
          <w:rStyle w:val="af8"/>
          <w:rFonts w:hint="cs"/>
          <w:rtl/>
        </w:rPr>
        <w:t xml:space="preserve">והר"ן על הרי"ף </w:t>
      </w:r>
      <w:r w:rsidRPr="0050146A">
        <w:rPr>
          <w:rStyle w:val="af6"/>
          <w:rFonts w:eastAsia="Guttman Hodes" w:hint="cs"/>
          <w:rtl/>
        </w:rPr>
        <w:t xml:space="preserve">(לד: מדפי הרי"ף ד"ה אסור) </w:t>
      </w:r>
      <w:r w:rsidRPr="0050146A">
        <w:rPr>
          <w:rFonts w:hint="cs"/>
          <w:rtl/>
        </w:rPr>
        <w:t xml:space="preserve">הביא בשם </w:t>
      </w:r>
      <w:r w:rsidRPr="0050146A">
        <w:rPr>
          <w:rStyle w:val="af8"/>
          <w:rFonts w:hint="cs"/>
          <w:rtl/>
        </w:rPr>
        <w:t xml:space="preserve">הרא"ה </w:t>
      </w:r>
      <w:r w:rsidRPr="0050146A">
        <w:rPr>
          <w:rFonts w:hint="cs"/>
          <w:rtl/>
        </w:rPr>
        <w:t xml:space="preserve">דביאר דבקדירה יש שישים כיון שהרוטב מוליך את את האיסור בשווה, אבל בצלי שהוא מפעפע מעצמו, יתכן שבמקום אחד בלוע הרבה מהאיסור, לכן אף כשיש בו שישים אינו מתבטל, ועי' במ"ש </w:t>
      </w:r>
      <w:r w:rsidRPr="0050146A">
        <w:rPr>
          <w:rStyle w:val="af8"/>
          <w:rFonts w:hint="cs"/>
          <w:rtl/>
        </w:rPr>
        <w:t xml:space="preserve">הגרעק"א </w:t>
      </w:r>
      <w:r w:rsidRPr="0050146A">
        <w:rPr>
          <w:rStyle w:val="af6"/>
          <w:rFonts w:eastAsia="Guttman Hodes" w:hint="cs"/>
          <w:rtl/>
        </w:rPr>
        <w:t xml:space="preserve">(הג' שו"ע סי' ק"ה סעיף ט', צז. ד"ה ובחלב) </w:t>
      </w:r>
      <w:r w:rsidRPr="0050146A">
        <w:rPr>
          <w:rFonts w:hint="cs"/>
          <w:rtl/>
        </w:rPr>
        <w:t xml:space="preserve">על דברי </w:t>
      </w:r>
      <w:r w:rsidRPr="0050146A">
        <w:rPr>
          <w:rStyle w:val="af8"/>
          <w:rFonts w:hint="cs"/>
          <w:rtl/>
        </w:rPr>
        <w:t>הרא"ה</w:t>
      </w:r>
      <w:r w:rsidRPr="0050146A">
        <w:rPr>
          <w:rFonts w:hint="cs"/>
          <w:rtl/>
        </w:rPr>
        <w:t>.</w:t>
      </w:r>
    </w:p>
    <w:p w:rsidR="008442F8" w:rsidRPr="0050146A" w:rsidRDefault="008442F8" w:rsidP="008442F8">
      <w:pPr>
        <w:pStyle w:val="a2"/>
        <w:rPr>
          <w:rtl/>
        </w:rPr>
      </w:pPr>
      <w:bookmarkStart w:id="1093" w:name="_Toc8246495"/>
      <w:r w:rsidRPr="0050146A">
        <w:rPr>
          <w:rFonts w:hint="cs"/>
          <w:rtl/>
        </w:rPr>
        <w:t>קושית הר"ן על הרא"ה דלדבריו אף במליחה לא מהני שישים ולקמן מבואר דמהני שישים</w:t>
      </w:r>
      <w:bookmarkEnd w:id="1093"/>
    </w:p>
    <w:p w:rsidR="008442F8" w:rsidRPr="0050146A" w:rsidRDefault="008442F8" w:rsidP="009F44AF">
      <w:pPr>
        <w:pStyle w:val="a"/>
        <w:rPr>
          <w:rtl/>
        </w:rPr>
      </w:pPr>
      <w:r w:rsidRPr="0050146A">
        <w:rPr>
          <w:rFonts w:hint="cs"/>
          <w:rtl/>
        </w:rPr>
        <w:t xml:space="preserve">וכתב </w:t>
      </w:r>
      <w:r w:rsidRPr="0050146A">
        <w:rPr>
          <w:rStyle w:val="af8"/>
          <w:rFonts w:hint="cs"/>
          <w:rtl/>
        </w:rPr>
        <w:t xml:space="preserve">הר"ן </w:t>
      </w:r>
      <w:r w:rsidRPr="0050146A">
        <w:rPr>
          <w:rFonts w:hint="cs"/>
          <w:rtl/>
        </w:rPr>
        <w:t xml:space="preserve">דלפי דברי </w:t>
      </w:r>
      <w:r w:rsidRPr="0050146A">
        <w:rPr>
          <w:rStyle w:val="af8"/>
          <w:rFonts w:hint="cs"/>
          <w:rtl/>
        </w:rPr>
        <w:t xml:space="preserve">הרא"ה </w:t>
      </w:r>
      <w:r w:rsidRPr="0050146A">
        <w:rPr>
          <w:rFonts w:hint="cs"/>
          <w:rtl/>
        </w:rPr>
        <w:t xml:space="preserve">אף במליחה לא מהני שישים לבטל, כיון שהוא מפעפע מעצמו, והקשה </w:t>
      </w:r>
      <w:r w:rsidRPr="0050146A">
        <w:rPr>
          <w:rStyle w:val="af8"/>
          <w:rFonts w:hint="cs"/>
          <w:rtl/>
        </w:rPr>
        <w:t xml:space="preserve">הר"ן </w:t>
      </w:r>
      <w:r w:rsidRPr="0050146A">
        <w:rPr>
          <w:rFonts w:hint="cs"/>
          <w:rtl/>
        </w:rPr>
        <w:t xml:space="preserve">על </w:t>
      </w:r>
      <w:r w:rsidRPr="0050146A">
        <w:rPr>
          <w:rStyle w:val="af8"/>
          <w:rFonts w:hint="cs"/>
          <w:rtl/>
        </w:rPr>
        <w:t xml:space="preserve">הרא"ה </w:t>
      </w:r>
      <w:r w:rsidRPr="0050146A">
        <w:rPr>
          <w:rFonts w:hint="cs"/>
          <w:rtl/>
        </w:rPr>
        <w:t xml:space="preserve">דהא בגמ' לקמן </w:t>
      </w:r>
      <w:r w:rsidRPr="0050146A">
        <w:rPr>
          <w:rStyle w:val="af6"/>
          <w:rFonts w:eastAsia="Guttman Hodes" w:hint="cs"/>
          <w:rtl/>
        </w:rPr>
        <w:t xml:space="preserve">(צח.) </w:t>
      </w:r>
      <w:r w:rsidRPr="0050146A">
        <w:rPr>
          <w:rFonts w:hint="cs"/>
          <w:rtl/>
        </w:rPr>
        <w:t>מבואר דמהני שישים במליחה.</w:t>
      </w:r>
    </w:p>
    <w:p w:rsidR="008442F8" w:rsidRPr="0050146A" w:rsidRDefault="008442F8" w:rsidP="008442F8">
      <w:pPr>
        <w:pStyle w:val="a2"/>
        <w:rPr>
          <w:rtl/>
        </w:rPr>
      </w:pPr>
      <w:bookmarkStart w:id="1094" w:name="_Toc8246496"/>
      <w:r w:rsidRPr="0050146A">
        <w:rPr>
          <w:rFonts w:hint="cs"/>
          <w:rtl/>
        </w:rPr>
        <w:t>דברי הרשב"א דבפסחים הרוטב מתבטל בשישים אך מ"מ צריך להניח כדי נטילה דנפל למקום ידוע</w:t>
      </w:r>
      <w:bookmarkEnd w:id="1094"/>
    </w:p>
    <w:p w:rsidR="008442F8" w:rsidRPr="0050146A" w:rsidRDefault="008442F8" w:rsidP="009F44AF">
      <w:pPr>
        <w:pStyle w:val="a"/>
        <w:rPr>
          <w:rtl/>
        </w:rPr>
      </w:pPr>
      <w:r w:rsidRPr="0050146A">
        <w:rPr>
          <w:rStyle w:val="af8"/>
          <w:rFonts w:hint="cs"/>
          <w:rtl/>
        </w:rPr>
        <w:t xml:space="preserve">והרשב"א במשה"ב </w:t>
      </w:r>
      <w:r w:rsidRPr="0050146A">
        <w:rPr>
          <w:rStyle w:val="af6"/>
          <w:rFonts w:eastAsia="Guttman Hodes" w:hint="cs"/>
          <w:rtl/>
        </w:rPr>
        <w:t xml:space="preserve">(ב"ד ש"א כא. מדה"ס) </w:t>
      </w:r>
      <w:r w:rsidRPr="0050146A">
        <w:rPr>
          <w:rFonts w:hint="cs"/>
          <w:rtl/>
        </w:rPr>
        <w:t xml:space="preserve">דחה את דברי </w:t>
      </w:r>
      <w:r w:rsidRPr="0050146A">
        <w:rPr>
          <w:rStyle w:val="af8"/>
          <w:rFonts w:hint="cs"/>
          <w:rtl/>
        </w:rPr>
        <w:t xml:space="preserve">הרא"ה בבד"ה </w:t>
      </w:r>
      <w:r w:rsidRPr="0050146A">
        <w:rPr>
          <w:rFonts w:hint="cs"/>
          <w:rtl/>
        </w:rPr>
        <w:t xml:space="preserve">דכתב דדבר שמפעפע צריך לאסור את הכל, והא דמבואר בגמ' בפסחים דהרוטב אינו אוסר את כל הגדי, הוא כיון שיש בגדי שיעור </w:t>
      </w:r>
      <w:r w:rsidRPr="0050146A">
        <w:rPr>
          <w:rStyle w:val="afa"/>
          <w:rFonts w:hint="cs"/>
          <w:rtl/>
        </w:rPr>
        <w:t>[שישים]</w:t>
      </w:r>
      <w:r w:rsidRPr="0050146A">
        <w:rPr>
          <w:rFonts w:hint="cs"/>
          <w:rtl/>
        </w:rPr>
        <w:t xml:space="preserve"> שמבטל את הרוטב, אך מ"מ כיון שהמקום שהרוטב נטף לשם ידוע, צריך להניח כדי נטילה, וכ"כ </w:t>
      </w:r>
      <w:r w:rsidRPr="0050146A">
        <w:rPr>
          <w:rStyle w:val="af8"/>
          <w:rFonts w:hint="cs"/>
          <w:rtl/>
        </w:rPr>
        <w:t>הרשב"א בחי' לעיל</w:t>
      </w:r>
      <w:r w:rsidRPr="0050146A">
        <w:rPr>
          <w:rFonts w:hint="cs"/>
          <w:rtl/>
        </w:rPr>
        <w:t xml:space="preserve"> </w:t>
      </w:r>
      <w:r w:rsidRPr="0050146A">
        <w:rPr>
          <w:rStyle w:val="af6"/>
          <w:rFonts w:eastAsia="Guttman Hodes" w:hint="cs"/>
          <w:rtl/>
        </w:rPr>
        <w:t>(ח: ד"ה קשיא)</w:t>
      </w:r>
      <w:r w:rsidRPr="0050146A">
        <w:rPr>
          <w:rFonts w:hint="cs"/>
          <w:rtl/>
        </w:rPr>
        <w:t>.</w:t>
      </w:r>
    </w:p>
    <w:p w:rsidR="008442F8" w:rsidRPr="0050146A" w:rsidRDefault="008442F8" w:rsidP="008442F8">
      <w:pPr>
        <w:pStyle w:val="a2"/>
        <w:rPr>
          <w:rtl/>
        </w:rPr>
      </w:pPr>
      <w:bookmarkStart w:id="1095" w:name="_Toc8246497"/>
      <w:r w:rsidRPr="0050146A">
        <w:rPr>
          <w:rFonts w:hint="cs"/>
          <w:rtl/>
        </w:rPr>
        <w:t>קושית הרשב"א על הרא"ה דאי לא מהני שישים בצליה א"כ צליה חמורה מבישול</w:t>
      </w:r>
      <w:bookmarkEnd w:id="1095"/>
    </w:p>
    <w:p w:rsidR="00C940DD" w:rsidRDefault="008442F8" w:rsidP="009F44AF">
      <w:pPr>
        <w:pStyle w:val="a"/>
        <w:rPr>
          <w:rtl/>
        </w:rPr>
        <w:sectPr w:rsidR="00C940DD" w:rsidSect="005049E2">
          <w:type w:val="continuous"/>
          <w:pgSz w:w="11906" w:h="16838"/>
          <w:pgMar w:top="720" w:right="720" w:bottom="720" w:left="720" w:header="283" w:footer="283" w:gutter="0"/>
          <w:cols w:num="2" w:space="567"/>
          <w:titlePg/>
          <w:bidi/>
          <w:rtlGutter/>
          <w:docGrid w:linePitch="299"/>
        </w:sectPr>
      </w:pPr>
      <w:r w:rsidRPr="0050146A">
        <w:rPr>
          <w:rFonts w:hint="cs"/>
          <w:rtl/>
        </w:rPr>
        <w:t xml:space="preserve">ובמ"ש </w:t>
      </w:r>
      <w:r w:rsidRPr="0050146A">
        <w:rPr>
          <w:rStyle w:val="af8"/>
          <w:rFonts w:hint="cs"/>
          <w:rtl/>
        </w:rPr>
        <w:t xml:space="preserve">הרא"ה בבד"ה </w:t>
      </w:r>
      <w:r w:rsidRPr="0050146A">
        <w:rPr>
          <w:rFonts w:hint="cs"/>
          <w:rtl/>
        </w:rPr>
        <w:t xml:space="preserve">דשיעור שישים נאמר רק בקדירה, דחה </w:t>
      </w:r>
      <w:r w:rsidRPr="0050146A">
        <w:rPr>
          <w:rStyle w:val="af8"/>
          <w:rFonts w:hint="cs"/>
          <w:rtl/>
        </w:rPr>
        <w:t xml:space="preserve">הרשב"א במשה"ב </w:t>
      </w:r>
      <w:r w:rsidRPr="0050146A">
        <w:rPr>
          <w:rFonts w:hint="cs"/>
          <w:rtl/>
        </w:rPr>
        <w:t xml:space="preserve">דא"כ דין צלי חמור יותר מדין בישול, דבישול אוסר רק בפחות משישים, וצלי אוסר הכל, ובגמ' לקמן </w:t>
      </w:r>
      <w:r w:rsidRPr="0050146A">
        <w:rPr>
          <w:rStyle w:val="af6"/>
          <w:rFonts w:eastAsia="Guttman Hodes" w:hint="cs"/>
          <w:rtl/>
        </w:rPr>
        <w:t>(צז.)</w:t>
      </w:r>
      <w:r w:rsidRPr="0050146A">
        <w:rPr>
          <w:rFonts w:hint="cs"/>
          <w:rtl/>
        </w:rPr>
        <w:t xml:space="preserve"> מבואר להדיא דרותח דבישול, חמור יותר מרותח דצלי, ולא חילקה הגמ' בין איסור מפעפע לאיסור שאינו מפעפע, עיי"ש בדברי </w:t>
      </w:r>
      <w:r w:rsidRPr="0050146A">
        <w:rPr>
          <w:rStyle w:val="af8"/>
          <w:rFonts w:hint="cs"/>
          <w:rtl/>
        </w:rPr>
        <w:t>הרשב"א</w:t>
      </w:r>
      <w:r w:rsidRPr="0050146A">
        <w:rPr>
          <w:rFonts w:hint="cs"/>
          <w:rtl/>
        </w:rPr>
        <w:t>.</w:t>
      </w:r>
    </w:p>
    <w:p w:rsidR="008442F8" w:rsidRPr="0050146A" w:rsidRDefault="008442F8" w:rsidP="009F44AF">
      <w:pPr>
        <w:pStyle w:val="a"/>
        <w:numPr>
          <w:ilvl w:val="0"/>
          <w:numId w:val="0"/>
        </w:numPr>
        <w:rPr>
          <w:rtl/>
        </w:rPr>
      </w:pPr>
    </w:p>
    <w:p w:rsidR="00F06369" w:rsidRDefault="00F06369" w:rsidP="009F44AF">
      <w:pPr>
        <w:pStyle w:val="a"/>
        <w:numPr>
          <w:ilvl w:val="0"/>
          <w:numId w:val="0"/>
        </w:numPr>
        <w:rPr>
          <w:rtl/>
        </w:rPr>
        <w:sectPr w:rsidR="00F06369" w:rsidSect="005049E2">
          <w:type w:val="continuous"/>
          <w:pgSz w:w="11906" w:h="16838"/>
          <w:pgMar w:top="720" w:right="720" w:bottom="720" w:left="720" w:header="283" w:footer="283" w:gutter="0"/>
          <w:cols w:num="2" w:space="567"/>
          <w:titlePg/>
          <w:bidi/>
          <w:rtlGutter/>
          <w:docGrid w:linePitch="299"/>
        </w:sectPr>
      </w:pPr>
    </w:p>
    <w:p w:rsidR="008442F8" w:rsidRPr="0050146A" w:rsidRDefault="008442F8" w:rsidP="009F44AF">
      <w:pPr>
        <w:pStyle w:val="a"/>
        <w:numPr>
          <w:ilvl w:val="0"/>
          <w:numId w:val="0"/>
        </w:numPr>
        <w:rPr>
          <w:rtl/>
        </w:rPr>
        <w:sectPr w:rsidR="008442F8" w:rsidRPr="0050146A" w:rsidSect="00F06369">
          <w:pgSz w:w="11906" w:h="16838"/>
          <w:pgMar w:top="720" w:right="720" w:bottom="720" w:left="720" w:header="283" w:footer="283" w:gutter="0"/>
          <w:cols w:num="2" w:space="567"/>
          <w:titlePg/>
          <w:bidi/>
          <w:rtlGutter/>
          <w:docGrid w:linePitch="299"/>
        </w:sectPr>
      </w:pPr>
    </w:p>
    <w:p w:rsidR="00AA6DCE" w:rsidRPr="0050146A" w:rsidRDefault="00AA6DCE" w:rsidP="009F44AF">
      <w:pPr>
        <w:pStyle w:val="a"/>
        <w:numPr>
          <w:ilvl w:val="0"/>
          <w:numId w:val="0"/>
        </w:numPr>
        <w:rPr>
          <w:rtl/>
        </w:rPr>
        <w:sectPr w:rsidR="00AA6DCE" w:rsidRPr="0050146A" w:rsidSect="005049E2">
          <w:type w:val="continuous"/>
          <w:pgSz w:w="11906" w:h="16838"/>
          <w:pgMar w:top="720" w:right="720" w:bottom="720" w:left="720" w:header="283" w:footer="283" w:gutter="0"/>
          <w:cols w:num="2" w:space="567"/>
          <w:titlePg/>
          <w:bidi/>
          <w:rtlGutter/>
          <w:docGrid w:linePitch="299"/>
        </w:sectPr>
      </w:pPr>
    </w:p>
    <w:p w:rsidR="00BE3B3A" w:rsidRPr="0050146A" w:rsidRDefault="00BE3B3A" w:rsidP="005B1A17">
      <w:pPr>
        <w:pStyle w:val="afc"/>
        <w:rPr>
          <w:rtl/>
        </w:rPr>
      </w:pPr>
      <w:bookmarkStart w:id="1096" w:name="_Toc6823608"/>
      <w:bookmarkStart w:id="1097" w:name="_Toc6953519"/>
      <w:bookmarkStart w:id="1098" w:name="_Toc8578646"/>
      <w:bookmarkStart w:id="1099" w:name="_Toc8765420"/>
      <w:bookmarkStart w:id="1100" w:name="_Toc8923143"/>
      <w:bookmarkStart w:id="1101" w:name="_Toc8933343"/>
      <w:bookmarkStart w:id="1102" w:name="_Toc8937192"/>
      <w:bookmarkStart w:id="1103" w:name="_Toc8938178"/>
      <w:bookmarkStart w:id="1104" w:name="_Toc8979075"/>
      <w:bookmarkStart w:id="1105" w:name="_Toc8986219"/>
      <w:bookmarkStart w:id="1106" w:name="_Toc9108534"/>
      <w:bookmarkStart w:id="1107" w:name="_Toc9110089"/>
      <w:bookmarkStart w:id="1108" w:name="_Toc9114451"/>
      <w:bookmarkStart w:id="1109" w:name="_Toc9149494"/>
      <w:bookmarkStart w:id="1110" w:name="_Toc9289678"/>
      <w:bookmarkStart w:id="1111" w:name="_Toc11573325"/>
      <w:bookmarkStart w:id="1112" w:name="_Toc14377072"/>
      <w:bookmarkStart w:id="1113" w:name="_Toc15849555"/>
      <w:bookmarkStart w:id="1114" w:name="_Toc20429189"/>
      <w:bookmarkStart w:id="1115" w:name="_Toc20468136"/>
      <w:bookmarkStart w:id="1116" w:name="_Toc6226555"/>
      <w:bookmarkStart w:id="1117" w:name="_Toc6491224"/>
      <w:bookmarkStart w:id="1118" w:name="_Toc6581276"/>
      <w:r w:rsidRPr="0050146A">
        <w:rPr>
          <w:rFonts w:hint="cs"/>
          <w:rtl/>
        </w:rPr>
        <w:lastRenderedPageBreak/>
        <w:t>סימן ב'</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p w:rsidR="00BE3B3A" w:rsidRPr="0050146A" w:rsidRDefault="00BE3B3A" w:rsidP="005B1A17">
      <w:pPr>
        <w:pStyle w:val="afc"/>
        <w:rPr>
          <w:rtl/>
        </w:rPr>
      </w:pPr>
      <w:bookmarkStart w:id="1119" w:name="_Toc6823609"/>
      <w:bookmarkStart w:id="1120" w:name="_Toc6953520"/>
      <w:bookmarkStart w:id="1121" w:name="_Toc8578647"/>
      <w:bookmarkStart w:id="1122" w:name="_Toc8765421"/>
      <w:bookmarkStart w:id="1123" w:name="_Toc8923144"/>
      <w:bookmarkStart w:id="1124" w:name="_Toc8933344"/>
      <w:bookmarkStart w:id="1125" w:name="_Toc8937193"/>
      <w:bookmarkStart w:id="1126" w:name="_Toc8938179"/>
      <w:bookmarkStart w:id="1127" w:name="_Toc8979076"/>
      <w:bookmarkStart w:id="1128" w:name="_Toc8986220"/>
      <w:bookmarkStart w:id="1129" w:name="_Toc9108535"/>
      <w:bookmarkStart w:id="1130" w:name="_Toc9110090"/>
      <w:bookmarkStart w:id="1131" w:name="_Toc9114452"/>
      <w:bookmarkStart w:id="1132" w:name="_Toc9149495"/>
      <w:bookmarkStart w:id="1133" w:name="_Toc9289679"/>
      <w:bookmarkStart w:id="1134" w:name="_Toc11573326"/>
      <w:bookmarkStart w:id="1135" w:name="_Toc14425903"/>
      <w:bookmarkStart w:id="1136" w:name="_Toc20429190"/>
      <w:bookmarkStart w:id="1137" w:name="_Toc20468137"/>
      <w:r w:rsidRPr="0050146A">
        <w:rPr>
          <w:rFonts w:hint="cs"/>
          <w:rtl/>
        </w:rPr>
        <w:t>בשיעור שישים ו</w:t>
      </w:r>
      <w:r w:rsidRPr="0050146A">
        <w:rPr>
          <w:rFonts w:ascii="Cambria" w:hAnsi="Cambria" w:hint="cs"/>
          <w:rtl/>
        </w:rPr>
        <w:t>בדין טעימת</w:t>
      </w:r>
      <w:r w:rsidRPr="0050146A">
        <w:rPr>
          <w:rFonts w:hint="cs"/>
          <w:rtl/>
        </w:rPr>
        <w:t xml:space="preserve"> קפילא</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r w:rsidRPr="0050146A">
        <w:rPr>
          <w:rFonts w:hint="cs"/>
          <w:rtl/>
        </w:rPr>
        <w:t xml:space="preserve"> ונאמנותו</w:t>
      </w:r>
      <w:bookmarkEnd w:id="1129"/>
      <w:bookmarkEnd w:id="1130"/>
      <w:bookmarkEnd w:id="1131"/>
      <w:bookmarkEnd w:id="1132"/>
      <w:bookmarkEnd w:id="1133"/>
      <w:bookmarkEnd w:id="1134"/>
      <w:bookmarkEnd w:id="1135"/>
      <w:bookmarkEnd w:id="1136"/>
      <w:bookmarkEnd w:id="1137"/>
    </w:p>
    <w:p w:rsidR="00BE3B3A" w:rsidRPr="0050146A" w:rsidRDefault="002916D7" w:rsidP="00BE3B3A">
      <w:pPr>
        <w:pStyle w:val="2"/>
        <w:rPr>
          <w:rtl/>
        </w:rPr>
        <w:sectPr w:rsidR="00BE3B3A" w:rsidRPr="0050146A" w:rsidSect="00BE3B3A">
          <w:headerReference w:type="default" r:id="rId25"/>
          <w:pgSz w:w="11906" w:h="16838"/>
          <w:pgMar w:top="720" w:right="720" w:bottom="720" w:left="720" w:header="283" w:footer="283" w:gutter="0"/>
          <w:cols w:space="113"/>
          <w:bidi/>
          <w:rtlGutter/>
          <w:docGrid w:linePitch="299"/>
        </w:sectPr>
      </w:pPr>
      <w:r>
        <w:rPr>
          <w:rtl/>
        </w:rPr>
        <w:t>מפתח הסוגיא</w:t>
      </w:r>
      <w:r w:rsidR="00BE3B3A" w:rsidRPr="0050146A">
        <w:rPr>
          <w:rtl/>
        </w:rPr>
        <w:t xml:space="preserve"> </w:t>
      </w:r>
    </w:p>
    <w:p w:rsidR="00BE3B3A" w:rsidRPr="0050146A" w:rsidRDefault="00BE3B3A" w:rsidP="00BE3B3A">
      <w:pPr>
        <w:pStyle w:val="2"/>
        <w:rPr>
          <w:rFonts w:eastAsiaTheme="minorEastAsia" w:cstheme="minorBidi"/>
          <w:i/>
          <w:iCs/>
          <w:noProof/>
          <w:sz w:val="22"/>
          <w:szCs w:val="22"/>
          <w:rtl/>
        </w:rPr>
      </w:pPr>
      <w:r w:rsidRPr="0050146A">
        <w:rPr>
          <w:bCs/>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bCs/>
          <w:rtl/>
        </w:rPr>
        <w:fldChar w:fldCharType="separate"/>
      </w:r>
      <w:r w:rsidRPr="0050146A">
        <w:rPr>
          <w:noProof/>
          <w:rtl/>
        </w:rPr>
        <w:t>מראי מקומות וביאורים על ה</w:t>
      </w:r>
      <w:r w:rsidR="00715158">
        <w:rPr>
          <w:noProof/>
          <w:rtl/>
        </w:rPr>
        <w:t>סוגית</w:t>
      </w:r>
    </w:p>
    <w:p w:rsidR="00BE3B3A" w:rsidRPr="0050146A" w:rsidRDefault="00BE3B3A" w:rsidP="00BE3B3A">
      <w:pPr>
        <w:pStyle w:val="2"/>
        <w:rPr>
          <w:rFonts w:eastAsiaTheme="minorEastAsia" w:cstheme="minorBidi"/>
          <w:i/>
          <w:iCs/>
          <w:noProof/>
          <w:sz w:val="22"/>
          <w:szCs w:val="22"/>
          <w:rtl/>
        </w:rPr>
      </w:pPr>
      <w:r w:rsidRPr="0050146A">
        <w:rPr>
          <w:noProof/>
          <w:rtl/>
        </w:rPr>
        <w:t>בדעת רש"י דבעינן גם שישים וגם קפילא</w:t>
      </w:r>
    </w:p>
    <w:p w:rsidR="00BE3B3A" w:rsidRPr="0050146A" w:rsidRDefault="00BE3B3A" w:rsidP="00BE3B3A">
      <w:pPr>
        <w:pStyle w:val="aff4"/>
        <w:rPr>
          <w:rFonts w:eastAsiaTheme="minorEastAsia" w:cstheme="minorBidi"/>
          <w:i/>
          <w:iCs/>
          <w:noProof/>
          <w:sz w:val="22"/>
          <w:szCs w:val="22"/>
          <w:rtl/>
        </w:rPr>
      </w:pPr>
      <w:r w:rsidRPr="0050146A">
        <w:rPr>
          <w:noProof/>
          <w:rtl/>
        </w:rPr>
        <w:t>דברי רש"י בביאור דברי רבא בטעמא ובקפילא ובשישים</w:t>
      </w:r>
    </w:p>
    <w:p w:rsidR="00BE3B3A" w:rsidRPr="00B46839" w:rsidRDefault="00BE3B3A" w:rsidP="004D1C5B">
      <w:pPr>
        <w:pStyle w:val="TOC9"/>
        <w:numPr>
          <w:ilvl w:val="0"/>
          <w:numId w:val="21"/>
        </w:numPr>
        <w:rPr>
          <w:rtl/>
        </w:rPr>
      </w:pPr>
      <w:r w:rsidRPr="006F3376">
        <w:rPr>
          <w:rtl/>
        </w:rPr>
        <w:t>דברי רש"י דתבשיל חולין שנתערב בו תרומה וטעם כהן ואמר שאין בו טעם תרומה מותר לזרים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רש"י דתבשיל שנתערב בו איסור במין בשאינו מינו ואמר הקפילא שאין בו טעם איסור מותר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רש"י דבמין במינו או בשאינו מינו ואין כאן קפילא דא"א לעמוד על טעמו שיעורו בשישים</w:t>
      </w:r>
    </w:p>
    <w:p w:rsidR="00BE3B3A" w:rsidRPr="0050146A" w:rsidRDefault="00BE3B3A" w:rsidP="00BE3B3A">
      <w:pPr>
        <w:pStyle w:val="aff4"/>
        <w:rPr>
          <w:rFonts w:eastAsiaTheme="minorEastAsia" w:cstheme="minorBidi"/>
          <w:i/>
          <w:iCs/>
          <w:noProof/>
          <w:sz w:val="22"/>
          <w:szCs w:val="22"/>
          <w:rtl/>
        </w:rPr>
      </w:pPr>
      <w:r w:rsidRPr="0050146A">
        <w:rPr>
          <w:noProof/>
          <w:rtl/>
        </w:rPr>
        <w:t>דעת רש"י דבכדי להתיר בעינן גם קפילא וגם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רש"י דבאמר הקפילא שאין טעם איסור מהני שישים להתיר אך כשיש טעם לא מהני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הוכחת רש"י מהגמ' לקמן דאף במקום שאין טעם עדיין צריך שישים להתיר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רש"י דהא דאריו"ח דמשערים בבצל וקפלוט בליכא קפילא ולפני שנפסק דמשערים בשישים</w:t>
      </w:r>
    </w:p>
    <w:p w:rsidR="00BE3B3A" w:rsidRPr="0050146A" w:rsidRDefault="00BE3B3A" w:rsidP="00BE3B3A">
      <w:pPr>
        <w:pStyle w:val="aff4"/>
        <w:rPr>
          <w:rFonts w:eastAsiaTheme="minorEastAsia" w:cstheme="minorBidi"/>
          <w:i/>
          <w:iCs/>
          <w:noProof/>
          <w:sz w:val="22"/>
          <w:szCs w:val="22"/>
          <w:rtl/>
        </w:rPr>
      </w:pPr>
      <w:r w:rsidRPr="0050146A">
        <w:rPr>
          <w:noProof/>
          <w:rtl/>
        </w:rPr>
        <w:t>ביאורי הראשונים בדברי רש"י דאף בשישים צריך גם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הרשב"א והרא"ש והר"ן ברש"י דהא דמהני שישים להתיר הוא רק כשא"א לעמוד על הטעם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המעדני יו"ט דכן מוכח ממ"ש רש"י דדוקא כשא"א לעמוד על הטעם משערים בשישים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דלרש"י כוונת רבא לומר ב' שיעורים דקפילא ושישים דכ"א מהם הוא עומד בפנ"ע</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הרמב"ן והרשב"א והרא"ש ברש"י ריו"ח התיר בכילכית ע"י קפילא דאיירי שהיה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האיסור והיתר הארוך ברש"י דסגי בשישים ובפחות משישים לא פלוג רבנן ול"מ קפילא</w:t>
      </w:r>
    </w:p>
    <w:p w:rsidR="00BE3B3A" w:rsidRPr="0050146A" w:rsidRDefault="00BE3B3A" w:rsidP="00BE3B3A">
      <w:pPr>
        <w:pStyle w:val="aff4"/>
        <w:rPr>
          <w:rFonts w:eastAsiaTheme="minorEastAsia" w:cstheme="minorBidi"/>
          <w:i/>
          <w:iCs/>
          <w:noProof/>
          <w:sz w:val="22"/>
          <w:szCs w:val="22"/>
          <w:rtl/>
        </w:rPr>
      </w:pPr>
      <w:r w:rsidRPr="0050146A">
        <w:rPr>
          <w:noProof/>
          <w:rtl/>
        </w:rPr>
        <w:t>קושיות הראשונים על דברי רש"י דאף בשישים צריך גם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הרא"ש והר"ן והרא"ה דלשון סמכינן על קפילא משמע לקולא ולרש"י הקפילא בא להחמיר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הר"ן דא"א לומר דצריך שישים וקפילא דהא חכמים השוו מידותיהם ושיערו תמיד בשישים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הרמב"ן והרשב"א דאי קפילא בא להחמיר מה הוכיח רבא מריו"ח דסמכינן על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החזו"א בקושית הרמב"ן דשיעור שישים הוא חומרא וא"כ הקפילא בא להקל</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הריטב"א דלדברי רש"י הקפילא לא מועיל כלל ובגמ' משמע דיש מעלה בקפילא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הרא"ש דבגמ' משמע דבשישים לבד סגי ובמקום שאין טעם סגי בקפילא וא"צ שישים</w:t>
      </w:r>
    </w:p>
    <w:p w:rsidR="00BE3B3A" w:rsidRPr="0050146A" w:rsidRDefault="00BE3B3A" w:rsidP="00BE3B3A">
      <w:pPr>
        <w:pStyle w:val="aff4"/>
        <w:rPr>
          <w:rFonts w:eastAsiaTheme="minorEastAsia" w:cstheme="minorBidi"/>
          <w:i/>
          <w:iCs/>
          <w:noProof/>
          <w:sz w:val="22"/>
          <w:szCs w:val="22"/>
          <w:rtl/>
        </w:rPr>
      </w:pPr>
      <w:r w:rsidRPr="0050146A">
        <w:rPr>
          <w:noProof/>
          <w:rtl/>
        </w:rPr>
        <w:t>דחיית התוס' את ראיית רש"י דאף כשאין טעם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התוס' דכוונת הגמ' לקמן דבסתמא צריך שישים אבל כשטעם הכהן מותר אף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הרא"ש דכוונת הגמ' דבמקום שאמר הכהן שיש טעם אסור אף במאה ובסתמא סגי בשישים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האחרונים ברש"י דשישים מדין רוב וצריך לברר בקפילא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המנחת כהן ברש"י דבפחות משישים בסתמא יש טעם וחיישינן שהקפילא משקר או לא בקי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המנחת כהן ברש"י דאף דבסתמא אין טעם ביותר משישים צריך לברר ע"י קפילא כשאפשר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הראש יוסף דהיאך מהני שישים במקום דליכא קפילא דאף בדרבנן ספק בידיעה לחומרא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הראש יוסף ברש"י דשיעור שישים הוא מדין רוב ובאיכא לברורי בקפילא מבררינן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הראש יוסף דלא רצו רבנן לסמוך על קפילא דהוא דבר המסור לכל</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הראש יוסף דאפש"ל דרש"י מודה לרמב"ן דרק בנימוח גוף האיסור צריך שישים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החת"ס ברש"י דמדאו' הטעם מתבטל בס' וקפילא מדרבנן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החת"ס דלדעת רש"י שיעור שישים הוא מדאו' מילפותא דזרוע בשלה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החת"ס ברש"י דמדין טע"כ דרבנן אסור אף בשישים כשיש טעם ואפשר לברר ע"י קפילא</w:t>
      </w:r>
    </w:p>
    <w:p w:rsidR="00BE3B3A" w:rsidRPr="0050146A" w:rsidRDefault="00BE3B3A" w:rsidP="00BE3B3A">
      <w:pPr>
        <w:pStyle w:val="aff4"/>
        <w:rPr>
          <w:rFonts w:eastAsiaTheme="minorEastAsia" w:cstheme="minorBidi"/>
          <w:i/>
          <w:iCs/>
          <w:noProof/>
          <w:sz w:val="22"/>
          <w:szCs w:val="22"/>
          <w:rtl/>
        </w:rPr>
      </w:pPr>
      <w:r w:rsidRPr="0050146A">
        <w:rPr>
          <w:noProof/>
          <w:rtl/>
        </w:rPr>
        <w:t>ביאור היד יהודה והחזו"א ברש"י דשישים הוא חומרא דרבנן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היד יהודה דאף כשאין טעם גזרו חכמים שישים כיון שיש איסורים שנותנים טעם בשישים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רש"י דאף כשאמר הקפילא שאין טעם החמירו להצריך שישים דהוא שיעור קבוע</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החזו"א דמוכח בגמ' דכל השיעורים דרבנן אבל מדאו' כל שיש טעם מותר</w:t>
      </w:r>
    </w:p>
    <w:p w:rsidR="00BE3B3A" w:rsidRPr="0050146A" w:rsidRDefault="00BE3B3A" w:rsidP="00BE3B3A">
      <w:pPr>
        <w:pStyle w:val="aff4"/>
        <w:rPr>
          <w:rFonts w:eastAsiaTheme="minorEastAsia" w:cstheme="minorBidi"/>
          <w:i/>
          <w:iCs/>
          <w:noProof/>
          <w:sz w:val="22"/>
          <w:szCs w:val="22"/>
          <w:rtl/>
        </w:rPr>
      </w:pPr>
      <w:r w:rsidRPr="0050146A">
        <w:rPr>
          <w:noProof/>
          <w:rtl/>
        </w:rPr>
        <w:t>ביאור הרי"ד דקפילא בא להחמיר ושיעור שישים הוא מדין רוב</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הרי"ד דלא סמכינן על קפילא לקולא בפחות משישים דאין איסור שבטל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הרי"ד דכוונת הגמ' להחמיר במין בשאינו מינו דאף כשיש שישים צריך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הרי"ד דבמין במינו מהני שישים דסמכינן על רוב האיסורים שאין נותנים טעם ביותר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הרי"ד דבפחות משישים אי אמר קפילא שאין טעם אמרינן דלא קים ליה שפיר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הפרמ"ג דבשישים עפ"י רוב אין טעם ואזלינן בתר רובא אף דלפעמים יש טעם ביותר משישים</w:t>
      </w:r>
    </w:p>
    <w:p w:rsidR="00BE3B3A" w:rsidRPr="0050146A" w:rsidRDefault="00BE3B3A" w:rsidP="00BE3B3A">
      <w:pPr>
        <w:pStyle w:val="2"/>
        <w:rPr>
          <w:rFonts w:eastAsiaTheme="minorEastAsia" w:cstheme="minorBidi"/>
          <w:i/>
          <w:iCs/>
          <w:noProof/>
          <w:sz w:val="22"/>
          <w:szCs w:val="22"/>
          <w:rtl/>
        </w:rPr>
      </w:pPr>
      <w:r w:rsidRPr="0050146A">
        <w:rPr>
          <w:noProof/>
          <w:rtl/>
        </w:rPr>
        <w:t>דעת האחרונים דלרש"י סגי בקפילא</w:t>
      </w:r>
    </w:p>
    <w:p w:rsidR="00BE3B3A" w:rsidRPr="0050146A" w:rsidRDefault="00BE3B3A" w:rsidP="00BE3B3A">
      <w:pPr>
        <w:pStyle w:val="aff4"/>
        <w:rPr>
          <w:rFonts w:eastAsiaTheme="minorEastAsia" w:cstheme="minorBidi"/>
          <w:i/>
          <w:iCs/>
          <w:noProof/>
          <w:sz w:val="22"/>
          <w:szCs w:val="22"/>
          <w:rtl/>
        </w:rPr>
      </w:pPr>
      <w:r w:rsidRPr="0050146A">
        <w:rPr>
          <w:noProof/>
          <w:rtl/>
        </w:rPr>
        <w:t>ביאור האור גדול והלב אריה ברש"י דמהני קפילא בלא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האור גדול והלב אריה דברש"י מוכח דריו"ח סמך בקפילא לקולא וא"א לומר דהוא לחומרא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הלב אריה והאור גדול דלהלכה אף לרש"י סגי בקפילא ורק לדעת ריב"ל הצריך רש"י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תירוץ הלב אריה והאור גדול על קושית הראשונים דאף לדעת רש"י מהני קפילא לקולא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היד יהודה דריו"ח דהתיר בכילכית ע"י קפילא פליג על ריב"ל דמצריך שישים</w:t>
      </w:r>
    </w:p>
    <w:p w:rsidR="00BE3B3A" w:rsidRPr="0050146A" w:rsidRDefault="00BE3B3A" w:rsidP="00BE3B3A">
      <w:pPr>
        <w:pStyle w:val="2"/>
        <w:rPr>
          <w:rFonts w:eastAsiaTheme="minorEastAsia" w:cstheme="minorBidi"/>
          <w:i/>
          <w:iCs/>
          <w:noProof/>
          <w:sz w:val="22"/>
          <w:szCs w:val="22"/>
          <w:rtl/>
        </w:rPr>
      </w:pPr>
      <w:r w:rsidRPr="0050146A">
        <w:rPr>
          <w:noProof/>
          <w:rtl/>
        </w:rPr>
        <w:t>בדעת התוס' דסגי או בשישים או בקפילא</w:t>
      </w:r>
    </w:p>
    <w:p w:rsidR="00BE3B3A" w:rsidRPr="0050146A" w:rsidRDefault="00BE3B3A" w:rsidP="00BE3B3A">
      <w:pPr>
        <w:pStyle w:val="aff4"/>
        <w:rPr>
          <w:rFonts w:eastAsiaTheme="minorEastAsia" w:cstheme="minorBidi"/>
          <w:i/>
          <w:iCs/>
          <w:noProof/>
          <w:sz w:val="22"/>
          <w:szCs w:val="22"/>
          <w:rtl/>
        </w:rPr>
      </w:pPr>
      <w:r w:rsidRPr="0050146A">
        <w:rPr>
          <w:noProof/>
          <w:rtl/>
        </w:rPr>
        <w:t>דברי התוס' והרא"ש דכשאומר הקפילא שאין טעם א"צ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התוס' דבמקום שאמר הקפילא שאין טעם איסור א"צ שיעור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הרא"ש דמוכח בגמ' דמהני קפילא אף בפחות משישים ורק בא"א להבחין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המאירי דבשישים שיערו חכמים שאין טעם וממילא כשאומר הקפילא שאין טעם א"צ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הראבי"ה דבשישים א"צ קפילא דרבנן ירדו לסוף הדברים וסמכו לגמרי על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הראבי"ה דמוכח בגמ' דא"א לומר דרק רוב האיסורים אינם נותנים טעם ביותר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רבינו גרשום דבצל בקפלוט נותנים טעם בשישים וביותר משישים אין איסור שנותן טעם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התוס' והרא"ש בדברי הגמ' לקמן בשיעור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התוס' על ראיית הגמ' דא"צ מאה הא  אפש"ל דאיירי כשאין טעם ומותר אף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התוס' דמייתור לשון המשנה משמע דאף בסתמא שלא ידוע שאין טעם צריך שיעור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הרא"ש בגמ' לקמן דכשיש טעם לא סגי בשישים להתיר ובסתמא סגי בשישים ולא במאה</w:t>
      </w:r>
    </w:p>
    <w:p w:rsidR="00BE3B3A" w:rsidRPr="0050146A" w:rsidRDefault="00BE3B3A" w:rsidP="00BE3B3A">
      <w:pPr>
        <w:pStyle w:val="2"/>
        <w:rPr>
          <w:rFonts w:eastAsiaTheme="minorEastAsia" w:cstheme="minorBidi"/>
          <w:i/>
          <w:iCs/>
          <w:noProof/>
          <w:sz w:val="22"/>
          <w:szCs w:val="22"/>
          <w:rtl/>
        </w:rPr>
      </w:pPr>
      <w:r w:rsidRPr="0050146A">
        <w:rPr>
          <w:noProof/>
          <w:rtl/>
        </w:rPr>
        <w:t>בביאור דעת הרמב"ן בשישים וקפילא</w:t>
      </w:r>
    </w:p>
    <w:p w:rsidR="00BE3B3A" w:rsidRPr="0050146A" w:rsidRDefault="00BE3B3A" w:rsidP="00BE3B3A">
      <w:pPr>
        <w:pStyle w:val="aff4"/>
        <w:rPr>
          <w:rFonts w:eastAsiaTheme="minorEastAsia" w:cstheme="minorBidi"/>
          <w:i/>
          <w:iCs/>
          <w:noProof/>
          <w:sz w:val="22"/>
          <w:szCs w:val="22"/>
          <w:rtl/>
        </w:rPr>
      </w:pPr>
      <w:r w:rsidRPr="0050146A">
        <w:rPr>
          <w:noProof/>
          <w:rtl/>
        </w:rPr>
        <w:t>ביאור הרמב"ן בדעת רש"י דצריך שישים וקפילא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ברש"י דבקדירה שבישל בה בשר שא"א לשער בשישים מהני קפילא להתיר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ברש"י דבמקום שאפשר לעמוד על הטעם צריך גם שישים וגם קפילא</w:t>
      </w:r>
    </w:p>
    <w:p w:rsidR="00BE3B3A" w:rsidRPr="0050146A" w:rsidRDefault="00BE3B3A" w:rsidP="00BE3B3A">
      <w:pPr>
        <w:pStyle w:val="aff4"/>
        <w:rPr>
          <w:rFonts w:eastAsiaTheme="minorEastAsia" w:cstheme="minorBidi"/>
          <w:i/>
          <w:iCs/>
          <w:noProof/>
          <w:sz w:val="22"/>
          <w:szCs w:val="22"/>
          <w:rtl/>
        </w:rPr>
      </w:pPr>
      <w:r w:rsidRPr="0050146A">
        <w:rPr>
          <w:noProof/>
          <w:rtl/>
        </w:rPr>
        <w:t>דעת הרמב"ן דרק בנימוח גוף האיסור ואין טעם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דדוקא במקום שגוף האיסור נימוח צריך גם שישים כיון שאוכל את האיסור עצמו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דכנתערב רק הציר והרוטב של האיסור סגי או בקפילא או בשישים כנגד גוף האיסור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דבכילכית שהיא בריה ודאי דלא נתערב גוף האיסור ולכן מהני קפילא בלא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הרמב"ן דכשנימוח גוף האיסור לא מהני קפילא בלא שישים וכשיש טעם אסור אף בשישים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הרשב"א והריטב"א והר"ן ברמב"ן דכשלא ידוע כמה נתערב ע"י הקפילא תלינן שיש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הרשב"א והרא"ה דלרמב"ן כשיש שישים א"צ לחזר אחר קפילא דמסתמא אין בו 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ישוב הרא"ה לראיה שהביא רש"י מהגמ' לקמן לדעת הרמב"ן</w:t>
      </w:r>
    </w:p>
    <w:p w:rsidR="00BE3B3A" w:rsidRPr="0050146A" w:rsidRDefault="00BE3B3A" w:rsidP="00BE3B3A">
      <w:pPr>
        <w:pStyle w:val="aff4"/>
        <w:rPr>
          <w:rFonts w:eastAsiaTheme="minorEastAsia" w:cstheme="minorBidi"/>
          <w:i/>
          <w:iCs/>
          <w:noProof/>
          <w:sz w:val="22"/>
          <w:szCs w:val="22"/>
          <w:rtl/>
        </w:rPr>
      </w:pPr>
      <w:r w:rsidRPr="0050146A">
        <w:rPr>
          <w:noProof/>
          <w:rtl/>
        </w:rPr>
        <w:t>ביאור הר"ן בגדר שישים דהחמירו חכמים להשוות מידותיהם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הר"ן דבפחות משישים ל"מ קפילא כיון שחכמים השוו מידותיהם דכל האיסורים בשישים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הר"ן דבלא ידוע כמה נימוח מגוף האיסור ולא ידוע אם יש שישים כנגדו ל"מ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הר"ן דשיעור שישים הוא חומרא דרבנן אף במקום שאין טעם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הר"ן דכיון שיש איסורים שנותנים טעם בשישים ומדאו' אסור החמירו בכל האיסורים בשישים</w:t>
      </w:r>
    </w:p>
    <w:p w:rsidR="00BE3B3A" w:rsidRPr="0050146A" w:rsidRDefault="00BE3B3A" w:rsidP="00BE3B3A">
      <w:pPr>
        <w:pStyle w:val="aff4"/>
        <w:rPr>
          <w:rFonts w:eastAsiaTheme="minorEastAsia" w:cstheme="minorBidi"/>
          <w:i/>
          <w:iCs/>
          <w:noProof/>
          <w:sz w:val="22"/>
          <w:szCs w:val="22"/>
          <w:rtl/>
        </w:rPr>
      </w:pPr>
      <w:r w:rsidRPr="0050146A">
        <w:rPr>
          <w:noProof/>
          <w:rtl/>
        </w:rPr>
        <w:t>בדברי הרמב"ן והר"ן בנימוח מקצת מהאיסור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הב"י דמבואר בר"ן דאף כשנימוח קצת מהאיסור סמכינן על קפילא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הפרישה דבטור בשם הרמב"ן משמע דרק בציר ורוטב סמכינן על קפילא ולא בגוף האיסור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הפרישה דאפש"ל דלרמב"ן כשנימוח האיסור חשיב כרוטב ומהני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הפרישה דאפשר לחלק לרמב"ן בין נימוח מקצתו דמהני קפילא לנימוח כולו דלא מהני</w:t>
      </w:r>
    </w:p>
    <w:p w:rsidR="00BE3B3A" w:rsidRPr="0050146A" w:rsidRDefault="00BE3B3A" w:rsidP="00BE3B3A">
      <w:pPr>
        <w:pStyle w:val="aff4"/>
        <w:rPr>
          <w:rFonts w:eastAsiaTheme="minorEastAsia" w:cstheme="minorBidi"/>
          <w:i/>
          <w:iCs/>
          <w:noProof/>
          <w:sz w:val="22"/>
          <w:szCs w:val="22"/>
          <w:rtl/>
        </w:rPr>
      </w:pPr>
      <w:r w:rsidRPr="0050146A">
        <w:rPr>
          <w:noProof/>
          <w:rtl/>
        </w:rPr>
        <w:t>ביאורי האחרונים ברמב"ן דהקפילא לא נאמן בגוף האיסור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המנחת כהן ברמב"ן דבנימוח האיסור מסתמא יש טעם בפחות משישים והקפילא משקר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המנחת כהן דלרמב"ן השיעור הוא רק שישים וקפילא מהני רק כשלא ידוע כמה האיסור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הפרמ"ג דבנימוח האיסור מסתמא יש טעם בפחות משישים  והקפילא משקר שאין 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הב"ח דבאומר ישראל שאין טעם איסור אף לרמב"ן מהני בגוף האיסור דאינו משקר</w:t>
      </w:r>
    </w:p>
    <w:p w:rsidR="00BE3B3A" w:rsidRPr="0050146A" w:rsidRDefault="00BE3B3A" w:rsidP="00BE3B3A">
      <w:pPr>
        <w:pStyle w:val="aff4"/>
        <w:rPr>
          <w:rFonts w:eastAsiaTheme="minorEastAsia" w:cstheme="minorBidi"/>
          <w:i/>
          <w:iCs/>
          <w:noProof/>
          <w:sz w:val="22"/>
          <w:szCs w:val="22"/>
          <w:rtl/>
        </w:rPr>
      </w:pPr>
      <w:r w:rsidRPr="0050146A">
        <w:rPr>
          <w:noProof/>
          <w:rtl/>
        </w:rPr>
        <w:lastRenderedPageBreak/>
        <w:t>ביאור היד יהודה והחת"ס ברמב"ן דצריך שישים דלא פלוג רבנן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היד יהודה דבנימוח האיסור ס"ל להרמב"ן דגזרו חכמים שלא יתבטל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החת"ס דלרמב"ן לא פלוג רבנן בשיעורים ולכן אף כשאין טעם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החת"ס ברמב"ן דמקובל לחז"ל דרוב האיסורים אינם נותנים טעם ביותר משישים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החוו"ד ברמב"ן דמדאו' ל"מ קפילא בפחות משישים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החוו"ד דשיעור שישים הוא מדאו' ולכן בנימוח גוף האיסור ל"מ קפילא בפחות משישים</w:t>
      </w:r>
    </w:p>
    <w:p w:rsidR="00BE3B3A" w:rsidRPr="0050146A" w:rsidRDefault="00BE3B3A" w:rsidP="00BE3B3A">
      <w:pPr>
        <w:pStyle w:val="2"/>
        <w:rPr>
          <w:rFonts w:eastAsiaTheme="minorEastAsia" w:cstheme="minorBidi"/>
          <w:i/>
          <w:iCs/>
          <w:noProof/>
          <w:sz w:val="22"/>
          <w:szCs w:val="22"/>
          <w:rtl/>
        </w:rPr>
      </w:pPr>
      <w:r w:rsidRPr="0050146A">
        <w:rPr>
          <w:noProof/>
          <w:rtl/>
        </w:rPr>
        <w:t>בדעת הרמב"ם דצריך קפילא ולא שישים</w:t>
      </w:r>
    </w:p>
    <w:p w:rsidR="00BE3B3A" w:rsidRPr="0050146A" w:rsidRDefault="00BE3B3A" w:rsidP="00BE3B3A">
      <w:pPr>
        <w:pStyle w:val="aff4"/>
        <w:rPr>
          <w:rFonts w:eastAsiaTheme="minorEastAsia" w:cstheme="minorBidi"/>
          <w:i/>
          <w:iCs/>
          <w:noProof/>
          <w:sz w:val="22"/>
          <w:szCs w:val="22"/>
          <w:rtl/>
        </w:rPr>
      </w:pPr>
      <w:r w:rsidRPr="0050146A">
        <w:rPr>
          <w:noProof/>
          <w:rtl/>
        </w:rPr>
        <w:t>דברי הרמב"ם דמין בשאינו מינו בנותן טעם ובלא ניכר בשישים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הרמב"ם דבמין בשאינו מינו בנו"ט ובנימוח גופו אסור מדאו' וביש בו רק טעם איסור מדרבנן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הרמב"ם דמין במינו אסור מדרבנן עד שיאבד מעוצם מיעוטו ולא יחשב בפנ"ע דהוא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הרמב"ם דהא דמין במינו בשישים הוא כיון שא"א לעמוד על טעמו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הרמב"ם דמין במינו ודבר אחר ונמחה גוף האיסור משערים בשישים דא"א לעמוד על הטעם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הב"י ברמב"ם דבאפשר להבחין בטעם אין שיעור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הב"י ברמב"ם דכשאפשר לעמוד על הטעם צריך קפילא וא"צ שישים וכשיש טעם ל"מ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הב"י דלהרמב"ם שישים מהני רק במקום שא"א לעמוד על הטעם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הב"י דלהרמב"ם במין ושאינו מינו וליכא קפילא מהני שישים כיון שא"א לעמוד על הטעם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הב"י דלהרמב"ם בליכא קפילא כוונת רבא לומר דנתערב בדבר אחר שא"א לעמוד על הטעם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הש"ך והפרמ"ג דהשו"ע פסק כהרמב"ם דצריך קפילא ולא מהני שישים</w:t>
      </w:r>
    </w:p>
    <w:p w:rsidR="00BE3B3A" w:rsidRPr="0050146A" w:rsidRDefault="00BE3B3A" w:rsidP="00BE3B3A">
      <w:pPr>
        <w:pStyle w:val="aff4"/>
        <w:rPr>
          <w:rFonts w:eastAsiaTheme="minorEastAsia" w:cstheme="minorBidi"/>
          <w:i/>
          <w:iCs/>
          <w:noProof/>
          <w:sz w:val="22"/>
          <w:szCs w:val="22"/>
          <w:rtl/>
        </w:rPr>
      </w:pPr>
      <w:r w:rsidRPr="0050146A">
        <w:rPr>
          <w:noProof/>
          <w:rtl/>
        </w:rPr>
        <w:t>ביאורי האחרונים ברמב"ם דמהני קפילא אף לקולא בלא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המנחת כהן דבפחות משישים מקל הרמב"ם בקפילא וביותר משישים מחמיר דצריך גם קפילא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הפרמ"ג דמבואר ברמב"ם דכל שאפשר לעמוד על הטעם סגי בקפילא וא"צ שישים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היד יהודה ברמב"ם דשישים אינו מדין טעם כלל</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היד יהודה דלהרמב"ם שישים הוא שמתבטל בשיעור מועט ואינו מדין 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היד יהודה דכל שיעור שישים נאמר רק במקום שא"א לעמוד על הטעם</w:t>
      </w:r>
    </w:p>
    <w:p w:rsidR="00BE3B3A" w:rsidRPr="0050146A" w:rsidRDefault="00BE3B3A" w:rsidP="00BE3B3A">
      <w:pPr>
        <w:pStyle w:val="aff4"/>
        <w:rPr>
          <w:rFonts w:eastAsiaTheme="minorEastAsia" w:cstheme="minorBidi"/>
          <w:i/>
          <w:iCs/>
          <w:noProof/>
          <w:sz w:val="22"/>
          <w:szCs w:val="22"/>
          <w:rtl/>
        </w:rPr>
      </w:pPr>
      <w:r w:rsidRPr="0050146A">
        <w:rPr>
          <w:noProof/>
          <w:rtl/>
        </w:rPr>
        <w:t>ביאור האור גדול בפלוגתת הראשונים בדין שישים בגמ' לקמן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האור גדול דלרש"י הביאור בגמ' לקמן דצריך שישים אף כשאמר הקפילא שאין טעם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האור גדול דלרמב"ן בגמ' לקמן נימוח גוף האיסור ולכן אף כשאין טעם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האור גדול דלתוס' והרא"ש בגמ' לקמן איריי בסתמא שלא טעם הקפילא ולכן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האור גדול האיך יבאר הרמב"ם את הגמ' לקמן דבמקום שאין טעם צריך שישים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האור גדול דהרמב"ם פסק כריו"ח אבל בדעת ריב"ל לקמן ס"ל דאף כשאין טעם צריך שישים</w:t>
      </w:r>
    </w:p>
    <w:p w:rsidR="00BE3B3A" w:rsidRPr="0050146A" w:rsidRDefault="00BE3B3A" w:rsidP="00BE3B3A">
      <w:pPr>
        <w:pStyle w:val="2"/>
        <w:rPr>
          <w:rFonts w:eastAsiaTheme="minorEastAsia" w:cstheme="minorBidi"/>
          <w:i/>
          <w:iCs/>
          <w:noProof/>
          <w:sz w:val="22"/>
          <w:szCs w:val="22"/>
          <w:rtl/>
        </w:rPr>
      </w:pPr>
      <w:r w:rsidRPr="0050146A">
        <w:rPr>
          <w:noProof/>
          <w:rtl/>
        </w:rPr>
        <w:t>בגדר טעימת הקפילא</w:t>
      </w:r>
    </w:p>
    <w:p w:rsidR="00BE3B3A" w:rsidRPr="0050146A" w:rsidRDefault="00BE3B3A" w:rsidP="00BE3B3A">
      <w:pPr>
        <w:pStyle w:val="aff4"/>
        <w:rPr>
          <w:rFonts w:eastAsiaTheme="minorEastAsia" w:cstheme="minorBidi"/>
          <w:i/>
          <w:iCs/>
          <w:noProof/>
          <w:sz w:val="22"/>
          <w:szCs w:val="22"/>
          <w:rtl/>
        </w:rPr>
      </w:pPr>
      <w:r w:rsidRPr="0050146A">
        <w:rPr>
          <w:noProof/>
          <w:rtl/>
        </w:rPr>
        <w:t>דעת הסוברים דסגי בטעימה של סתם בנ"א וא"צ טעימת בקי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ספק הרשב"א אי צריך דוקא טעימה של בקי או דסגי בטעם שסתם בנ"א מרגישים בו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הרשב"א דמסתבר לומר דא"צ דוקא טעימה של בקי וסגי בטעם שסתם בנ"א מרגישים בו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הוכחת הרשב"א מדברי רבא ומטעימת כהן דא"צ טעימה של קפילא בדוקא וסגי בסתם בנ"א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הב"י בדעת התוס' והרמב"ם דסגי בטעם שסתם בנ"א מרגישים בו וא"צ בקי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הרשב"א בתשו' דא"צ טעימה של בקי כיון דהאיסור בטעם הוא מדרבנן וספק דרבנן לקולא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הש"ך והמנחת כהן בסתירת דברי הרשב"א אי ס"ל דטעם כעיקר דאו' או דרבנן</w:t>
      </w:r>
    </w:p>
    <w:p w:rsidR="00BE3B3A" w:rsidRPr="0050146A" w:rsidRDefault="00BE3B3A" w:rsidP="00BE3B3A">
      <w:pPr>
        <w:pStyle w:val="aff4"/>
        <w:rPr>
          <w:rFonts w:eastAsiaTheme="minorEastAsia" w:cstheme="minorBidi"/>
          <w:i/>
          <w:iCs/>
          <w:noProof/>
          <w:sz w:val="22"/>
          <w:szCs w:val="22"/>
          <w:rtl/>
        </w:rPr>
      </w:pPr>
      <w:r w:rsidRPr="0050146A">
        <w:rPr>
          <w:noProof/>
          <w:rtl/>
        </w:rPr>
        <w:t>דעת הסוברים דמהני טעימה רק של בקי שמרגיש טעם מועט</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המאירי דבסתם בנ"א חיישינן שמא אינו מרגיש טעם מועט וצריך טעימה רק של בקי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דחיית המאירי דסתם כהן הוא בקי בטעימה כמו קפילא דעוסק בכך תמיד</w:t>
      </w:r>
    </w:p>
    <w:p w:rsidR="002D7168" w:rsidRDefault="00BE3B3A" w:rsidP="00BE3B3A">
      <w:pPr>
        <w:pStyle w:val="aff2"/>
        <w:numPr>
          <w:ilvl w:val="0"/>
          <w:numId w:val="3"/>
        </w:numPr>
        <w:rPr>
          <w:rFonts w:eastAsiaTheme="minorEastAsia" w:cstheme="minorBidi"/>
          <w:sz w:val="22"/>
          <w:szCs w:val="22"/>
        </w:rPr>
      </w:pPr>
      <w:r w:rsidRPr="0050146A">
        <w:rPr>
          <w:rtl/>
        </w:rPr>
        <w:t>דברי הראש יוסף ברש"י דמהני קפילא שבקי בטעמים ולא מהני אדם סתם דיתכן שלא יחוש בטעם</w:t>
      </w:r>
    </w:p>
    <w:p w:rsidR="00BE3B3A" w:rsidRPr="0050146A" w:rsidRDefault="00BE3B3A" w:rsidP="00BE3B3A">
      <w:pPr>
        <w:pStyle w:val="2"/>
        <w:rPr>
          <w:rFonts w:eastAsiaTheme="minorEastAsia" w:cstheme="minorBidi"/>
          <w:i/>
          <w:iCs/>
          <w:noProof/>
          <w:sz w:val="22"/>
          <w:szCs w:val="22"/>
          <w:rtl/>
        </w:rPr>
      </w:pPr>
      <w:r w:rsidRPr="0050146A">
        <w:rPr>
          <w:noProof/>
          <w:rtl/>
        </w:rPr>
        <w:t>נאמנות הקפילא</w:t>
      </w:r>
    </w:p>
    <w:p w:rsidR="00BE3B3A" w:rsidRPr="0050146A" w:rsidRDefault="00BE3B3A" w:rsidP="00BE3B3A">
      <w:pPr>
        <w:pStyle w:val="aff4"/>
        <w:rPr>
          <w:rFonts w:eastAsiaTheme="minorEastAsia" w:cstheme="minorBidi"/>
          <w:i/>
          <w:iCs/>
          <w:noProof/>
          <w:sz w:val="22"/>
          <w:szCs w:val="22"/>
          <w:rtl/>
        </w:rPr>
      </w:pPr>
      <w:r w:rsidRPr="0050146A">
        <w:rPr>
          <w:noProof/>
          <w:rtl/>
        </w:rPr>
        <w:t>דברי רש"י דאיירי במסיח לפי תומו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ש"י דהנאמנות של הקפילא היא דוקא במסיח לפי תומו דבכה"ג אין חשש שישקר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הראש יוסף ברש"י דבאינו מסל"ת אינו נאמן ולא אמרינן דאומן לא מרע אומנותיה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הראש יוסף ברש"י דנקטה הגמ' דוקא קפילא כיון שהוא בקי בטעמים</w:t>
      </w:r>
    </w:p>
    <w:p w:rsidR="00BE3B3A" w:rsidRPr="0050146A" w:rsidRDefault="00BE3B3A" w:rsidP="00BE3B3A">
      <w:pPr>
        <w:pStyle w:val="aff4"/>
        <w:rPr>
          <w:rFonts w:eastAsiaTheme="minorEastAsia" w:cstheme="minorBidi"/>
          <w:i/>
          <w:iCs/>
          <w:noProof/>
          <w:sz w:val="22"/>
          <w:szCs w:val="22"/>
          <w:rtl/>
        </w:rPr>
      </w:pPr>
      <w:r w:rsidRPr="0050146A">
        <w:rPr>
          <w:noProof/>
          <w:rtl/>
        </w:rPr>
        <w:t>דעת התוס' והרשב"א והר"ן דקפילא לא מרע אומנותיה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התוס' דהקפילא אינו משקר דאומן לא מרע אומנותיה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הב"י והראש יוסף בתוס' דהקפילא נאמן אף שאינו מסל"ת ומודיעים לו שנאמן לאיסור והיתר</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הראש יוסף דלתוס' סגי בטעם שמרגיש כל אדם וא"צ טעימה של בקי ולכן כל כהן נאמן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הרשב"א דהקפילא נאמן כיון דאומן לא מרע אומנותיה וסתם בנ"א  נאמנים במסל"ת</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המאירי דסמכינן על קפילא דלא מרע אומנותיה רק בדבר שביד ישראל ולא בשאר עדויות</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הר"ן דקפילא דלא מרע אומנותיה הוא נאמנות יותר ממסל"ת דנזהר כיון שהישראל מקפיד</w:t>
      </w:r>
    </w:p>
    <w:p w:rsidR="00BE3B3A" w:rsidRPr="0050146A" w:rsidRDefault="00BE3B3A" w:rsidP="00BE3B3A">
      <w:pPr>
        <w:pStyle w:val="aff2"/>
        <w:numPr>
          <w:ilvl w:val="0"/>
          <w:numId w:val="3"/>
        </w:numPr>
        <w:rPr>
          <w:rFonts w:eastAsiaTheme="minorEastAsia" w:cstheme="minorBidi"/>
          <w:sz w:val="22"/>
          <w:szCs w:val="22"/>
          <w:rtl/>
        </w:rPr>
      </w:pPr>
      <w:r w:rsidRPr="0050146A">
        <w:rPr>
          <w:rtl/>
        </w:rPr>
        <w:t>מסקנת הרשב"א דיש לחוש לדעת הסוברים דצריך דוקא קפילא ולא סתם עכו"ם ונאמן רק במסל"ת</w:t>
      </w:r>
    </w:p>
    <w:p w:rsidR="00BE3B3A" w:rsidRPr="0050146A" w:rsidRDefault="00BE3B3A" w:rsidP="00BE3B3A">
      <w:pPr>
        <w:pStyle w:val="aff4"/>
        <w:rPr>
          <w:rFonts w:eastAsiaTheme="minorEastAsia" w:cstheme="minorBidi"/>
          <w:i/>
          <w:iCs/>
          <w:noProof/>
          <w:sz w:val="22"/>
          <w:szCs w:val="22"/>
          <w:rtl/>
        </w:rPr>
      </w:pPr>
      <w:r w:rsidRPr="0050146A">
        <w:rPr>
          <w:noProof/>
          <w:rtl/>
        </w:rPr>
        <w:t>דעת הרא"ה והריטב"א דקפילא לא מרע נפשיה בעביד לאיגלויי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הרא"ה והריטב"א  דהוי עבידא לאיגלויי דהישראל טועם אח"כ והקפילא לא מרע אנפשיה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הרא"ה דבמילתא דעבידא לאיגלויי אינו נחשב עדות ומשו"ה עכו"ם נאמן בעדות אשה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הרא"ה דסתם עכו"ם אינו נאמן אף במסל"ת דבאיסורין אין נאמנות למסל"ת</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הריטב"א דא"צ קפילא מסיח לפי תומו דכיון ש</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רבינו יהונתן דהקפילא חושש שיתנו לקפילא אחר לטעום אחריו</w:t>
      </w:r>
    </w:p>
    <w:p w:rsidR="00BE3B3A" w:rsidRPr="0050146A" w:rsidRDefault="00BE3B3A" w:rsidP="00BE3B3A">
      <w:pPr>
        <w:pStyle w:val="aff4"/>
        <w:rPr>
          <w:rFonts w:eastAsiaTheme="minorEastAsia" w:cstheme="minorBidi"/>
          <w:i/>
          <w:iCs/>
          <w:noProof/>
          <w:sz w:val="22"/>
          <w:szCs w:val="22"/>
          <w:rtl/>
        </w:rPr>
      </w:pPr>
      <w:r w:rsidRPr="0050146A">
        <w:rPr>
          <w:noProof/>
          <w:rtl/>
        </w:rPr>
        <w:t>בביאור דעת הרא"ש אי צריך רק מסל"ת או גם אומן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ביאורי הטור והתרוה"ד ברא"ש שצריך גם שיהיה אומן וגם מסל"ת ורק בכה"ג נאמן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הב"י דלא מפורש ברא"ש שצריך שיהיה קפילא אומן</w:t>
      </w:r>
    </w:p>
    <w:p w:rsidR="00BE3B3A" w:rsidRPr="0050146A" w:rsidRDefault="00BE3B3A" w:rsidP="00BE3B3A">
      <w:pPr>
        <w:pStyle w:val="aff4"/>
        <w:rPr>
          <w:rFonts w:eastAsiaTheme="minorEastAsia" w:cstheme="minorBidi"/>
          <w:i/>
          <w:iCs/>
          <w:noProof/>
          <w:sz w:val="22"/>
          <w:szCs w:val="22"/>
          <w:rtl/>
        </w:rPr>
      </w:pPr>
      <w:r w:rsidRPr="0050146A">
        <w:rPr>
          <w:noProof/>
          <w:rtl/>
        </w:rPr>
        <w:t>דעת הריב"ש דקפילא אומן נאמן וסתם עכו"ם נאמן במסל"ת</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הריב"ש דקפילא נאמן אף שאינו מסל"ת וכל עכו"ם נאמן במסל"ת רק בעבידא לאיגלויי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הריב"ש דלשון קפילא הוא כיון שרק קפילא נאמן או כיון שהוא בקי בהכרת הטעם</w:t>
      </w:r>
    </w:p>
    <w:p w:rsidR="00BE3B3A" w:rsidRPr="0050146A" w:rsidRDefault="00BE3B3A" w:rsidP="00BE3B3A">
      <w:pPr>
        <w:pStyle w:val="aff4"/>
        <w:rPr>
          <w:rFonts w:eastAsiaTheme="minorEastAsia" w:cstheme="minorBidi"/>
          <w:i/>
          <w:iCs/>
          <w:noProof/>
          <w:sz w:val="22"/>
          <w:szCs w:val="22"/>
          <w:rtl/>
        </w:rPr>
      </w:pPr>
      <w:r w:rsidRPr="0050146A">
        <w:rPr>
          <w:noProof/>
          <w:rtl/>
        </w:rPr>
        <w:t>בביאור דעת הרמב"ם דהשמיט קפילא וכתב סתם עכו"ם</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הרמב"ם דבנתערב איסור בהיתר טועם העכו"ם וסומכים עליו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הב"י ברמב"ם דא"צ דוקא קפילא וכן א"צ מסיח לפי תומו ונאמן אף שיודע שסומכין עליו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ביאור הגר"א ברמב"ם דהקפילא נאמן כיון דעבידא לאיגלויי</w:t>
      </w:r>
    </w:p>
    <w:p w:rsidR="00BE3B3A" w:rsidRPr="0050146A" w:rsidRDefault="00BE3B3A" w:rsidP="00BE3B3A">
      <w:pPr>
        <w:pStyle w:val="aff4"/>
        <w:rPr>
          <w:rFonts w:eastAsiaTheme="minorEastAsia" w:cstheme="minorBidi"/>
          <w:i/>
          <w:iCs/>
          <w:noProof/>
          <w:sz w:val="22"/>
          <w:szCs w:val="22"/>
          <w:rtl/>
        </w:rPr>
      </w:pPr>
      <w:r w:rsidRPr="0050146A">
        <w:rPr>
          <w:noProof/>
          <w:rtl/>
        </w:rPr>
        <w:t>דברי התרוה"ד בדין קפילא אי טעם כעיקר דאו' או דרבנן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התרוה"ד לר"ת דטעם כעיקר מדאו' הא עכו"ם אינו נאמן במסל"ת בדאו'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התרוה"ד דאף במסל"ת רק קפילא נאמן דלא מרע אומנותיה</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התרוה"ד דלהרשב"א דסגי או בקפילא או בסתם עכו"ם במסל"ת צ"ל דטעם כעיקר דרבנן</w:t>
      </w:r>
    </w:p>
    <w:p w:rsidR="00BE3B3A" w:rsidRPr="0050146A" w:rsidRDefault="00BE3B3A" w:rsidP="00BE3B3A">
      <w:pPr>
        <w:pStyle w:val="aff4"/>
        <w:rPr>
          <w:rFonts w:eastAsiaTheme="minorEastAsia" w:cstheme="minorBidi"/>
          <w:i/>
          <w:iCs/>
          <w:noProof/>
          <w:sz w:val="22"/>
          <w:szCs w:val="22"/>
          <w:rtl/>
        </w:rPr>
      </w:pPr>
      <w:r w:rsidRPr="0050146A">
        <w:rPr>
          <w:noProof/>
          <w:rtl/>
        </w:rPr>
        <w:t>דעת הש"ך דבדאו' מסל"ת נאמן רק בעביד לאיגלויי</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הש"ך דקפילא נאמן דהוא אומן וכל עכו"ם נאמן רק במסל"ת</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הש"ך על התרוה"ד דא"א לומר דלרשב"א טעם כעיקר דרבנן דהא ס"ל דהוא דאו'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הט"ז דאפש"ל דרק לענין נאמנות מסל"ת סמך הרשב"א על רש"י והרמב"ם ד</w:t>
      </w:r>
      <w:r w:rsidRPr="0050146A">
        <w:rPr>
          <w:rFonts w:hint="cs"/>
          <w:rtl/>
        </w:rPr>
        <w:t xml:space="preserve">טע"כ </w:t>
      </w:r>
      <w:r w:rsidRPr="0050146A">
        <w:rPr>
          <w:rtl/>
        </w:rPr>
        <w:t>דרבנן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הש"ך בשם עבודת הגרשוני דברא"ש משמע דבבקי בטעמים מהני מסל"ת אף דטע"כ דאו'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קושית הש"ך בשם עבודת הגרשוני דאי הצריך הרא"ש שיהיה מסל"ת אמאי צריך שיהיה גם אומן</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הש"ך דבדאו' אין נאמנות במסל"ת אף במקום שלא איתחזק איסורא</w:t>
      </w:r>
    </w:p>
    <w:p w:rsidR="00BE3B3A" w:rsidRPr="0050146A" w:rsidRDefault="00BE3B3A" w:rsidP="00BE3B3A">
      <w:pPr>
        <w:pStyle w:val="aff2"/>
        <w:numPr>
          <w:ilvl w:val="0"/>
          <w:numId w:val="3"/>
        </w:numPr>
        <w:rPr>
          <w:rFonts w:eastAsiaTheme="minorEastAsia" w:cstheme="minorBidi"/>
          <w:sz w:val="22"/>
          <w:szCs w:val="22"/>
          <w:rtl/>
        </w:rPr>
      </w:pPr>
      <w:r w:rsidRPr="0050146A">
        <w:rPr>
          <w:rtl/>
        </w:rPr>
        <w:t>מסקנת הש"ך דהנאמנות במסל"ת הוא רק במילתא דעבידא לאיגלויי</w:t>
      </w:r>
    </w:p>
    <w:p w:rsidR="00BE3B3A" w:rsidRPr="0050146A" w:rsidRDefault="00BE3B3A" w:rsidP="00BE3B3A">
      <w:pPr>
        <w:pStyle w:val="aff4"/>
        <w:rPr>
          <w:rFonts w:eastAsiaTheme="minorEastAsia" w:cstheme="minorBidi"/>
          <w:i/>
          <w:iCs/>
          <w:noProof/>
          <w:sz w:val="22"/>
          <w:szCs w:val="22"/>
          <w:rtl/>
        </w:rPr>
      </w:pPr>
      <w:r w:rsidRPr="0050146A">
        <w:rPr>
          <w:noProof/>
          <w:rtl/>
        </w:rPr>
        <w:t>דעת הט"ז דבאיסור והיתר שאינו עדות מסל"ת נאמן אף בדאו'</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הט"ז דבאיסור והיתר שא"צ נאמנות גמורה אף בדאו' סמכינן על מסל"ת</w:t>
      </w:r>
    </w:p>
    <w:p w:rsidR="00BE3B3A" w:rsidRPr="0050146A" w:rsidRDefault="00BE3B3A" w:rsidP="00BE3B3A">
      <w:pPr>
        <w:pStyle w:val="aff2"/>
        <w:numPr>
          <w:ilvl w:val="0"/>
          <w:numId w:val="3"/>
        </w:numPr>
        <w:rPr>
          <w:rFonts w:eastAsiaTheme="minorEastAsia" w:cstheme="minorBidi"/>
          <w:sz w:val="22"/>
          <w:szCs w:val="22"/>
          <w:rtl/>
        </w:rPr>
      </w:pPr>
      <w:r w:rsidRPr="0050146A">
        <w:rPr>
          <w:rtl/>
        </w:rPr>
        <w:t>דברי הט"ז דמוכח דא"צ עדות מהא דסמכינן על קפילא דלא מרע חזקתו אף שאינו מסל"ת</w:t>
      </w:r>
    </w:p>
    <w:p w:rsidR="00BE3B3A" w:rsidRPr="0050146A" w:rsidRDefault="00BE3B3A" w:rsidP="005B1A17">
      <w:pPr>
        <w:pStyle w:val="afc"/>
        <w:rPr>
          <w:rtl/>
        </w:rPr>
      </w:pPr>
      <w:r w:rsidRPr="0050146A">
        <w:rPr>
          <w:rtl/>
        </w:rPr>
        <w:fldChar w:fldCharType="end"/>
      </w:r>
    </w:p>
    <w:p w:rsidR="00BE3B3A" w:rsidRPr="0050146A" w:rsidRDefault="00BE3B3A" w:rsidP="00BE3B3A">
      <w:pPr>
        <w:pStyle w:val="aff4"/>
        <w:rPr>
          <w:rtl/>
        </w:rPr>
        <w:sectPr w:rsidR="00BE3B3A" w:rsidRPr="0050146A" w:rsidSect="007C6A7B">
          <w:footerReference w:type="default" r:id="rId26"/>
          <w:type w:val="continuous"/>
          <w:pgSz w:w="11906" w:h="16838"/>
          <w:pgMar w:top="720" w:right="720" w:bottom="720" w:left="720" w:header="283" w:footer="283" w:gutter="0"/>
          <w:cols w:num="2" w:space="113"/>
          <w:bidi/>
          <w:rtlGutter/>
          <w:docGrid w:linePitch="299"/>
        </w:sectPr>
      </w:pPr>
    </w:p>
    <w:p w:rsidR="00BE3B3A" w:rsidRPr="0050146A" w:rsidRDefault="00BE3B3A" w:rsidP="00BE3B3A">
      <w:pPr>
        <w:pStyle w:val="aff4"/>
        <w:rPr>
          <w:rtl/>
        </w:rPr>
        <w:sectPr w:rsidR="00BE3B3A" w:rsidRPr="0050146A" w:rsidSect="007C6A7B">
          <w:type w:val="continuous"/>
          <w:pgSz w:w="11906" w:h="16838"/>
          <w:pgMar w:top="720" w:right="720" w:bottom="720" w:left="720" w:header="283" w:footer="283" w:gutter="0"/>
          <w:cols w:num="2" w:space="113"/>
          <w:bidi/>
          <w:rtlGutter/>
          <w:docGrid w:linePitch="299"/>
        </w:sectPr>
      </w:pPr>
    </w:p>
    <w:p w:rsidR="00BE3B3A" w:rsidRPr="0050146A" w:rsidRDefault="00BE3B3A" w:rsidP="00E669F8">
      <w:pPr>
        <w:pStyle w:val="afd"/>
        <w:rPr>
          <w:rtl/>
        </w:rPr>
      </w:pPr>
      <w:bookmarkStart w:id="1138" w:name="_Toc4962693"/>
      <w:bookmarkStart w:id="1139" w:name="_Toc5692561"/>
      <w:bookmarkStart w:id="1140" w:name="_Toc5692601"/>
      <w:bookmarkStart w:id="1141" w:name="_Toc5965277"/>
      <w:bookmarkStart w:id="1142" w:name="_Toc6226557"/>
      <w:bookmarkStart w:id="1143" w:name="_Toc6491226"/>
      <w:bookmarkStart w:id="1144" w:name="_Toc6581279"/>
      <w:bookmarkStart w:id="1145" w:name="_Toc6823612"/>
      <w:bookmarkStart w:id="1146" w:name="_Toc6953523"/>
      <w:bookmarkStart w:id="1147" w:name="_Toc8578650"/>
      <w:bookmarkStart w:id="1148" w:name="_Toc8765423"/>
      <w:bookmarkStart w:id="1149" w:name="_Toc8923146"/>
      <w:bookmarkStart w:id="1150" w:name="_Toc8933346"/>
      <w:bookmarkStart w:id="1151" w:name="_Toc8937195"/>
      <w:bookmarkStart w:id="1152" w:name="_Toc8938181"/>
      <w:bookmarkStart w:id="1153" w:name="_Toc8979078"/>
      <w:bookmarkStart w:id="1154" w:name="_Toc8986222"/>
      <w:bookmarkStart w:id="1155" w:name="_Toc9108537"/>
      <w:bookmarkStart w:id="1156" w:name="_Toc9110092"/>
      <w:bookmarkStart w:id="1157" w:name="_Toc9114454"/>
      <w:bookmarkStart w:id="1158" w:name="_Toc9149497"/>
      <w:bookmarkStart w:id="1159" w:name="_Toc9289681"/>
      <w:bookmarkStart w:id="1160" w:name="_Toc11573328"/>
      <w:r w:rsidRPr="0050146A">
        <w:rPr>
          <w:rFonts w:hint="cs"/>
          <w:rtl/>
        </w:rPr>
        <w:lastRenderedPageBreak/>
        <w:t>מראי מקומות וביאורים על ה</w:t>
      </w:r>
      <w:r w:rsidR="00715158">
        <w:rPr>
          <w:rFonts w:hint="cs"/>
          <w:rtl/>
        </w:rPr>
        <w:t>סוגית</w:t>
      </w:r>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rsidR="00346F46" w:rsidRPr="0050146A" w:rsidRDefault="00346F46" w:rsidP="00E669F8">
      <w:pPr>
        <w:pStyle w:val="afd"/>
        <w:rPr>
          <w:rtl/>
        </w:rPr>
        <w:sectPr w:rsidR="00346F46" w:rsidRPr="0050146A" w:rsidSect="00346F46">
          <w:pgSz w:w="11906" w:h="16838"/>
          <w:pgMar w:top="720" w:right="720" w:bottom="720" w:left="720" w:header="283" w:footer="283" w:gutter="0"/>
          <w:cols w:space="567"/>
          <w:bidi/>
          <w:rtlGutter/>
          <w:docGrid w:linePitch="299"/>
        </w:sectPr>
      </w:pPr>
      <w:bookmarkStart w:id="1161" w:name="_Toc6953533"/>
      <w:bookmarkStart w:id="1162" w:name="_Toc8578651"/>
      <w:bookmarkStart w:id="1163" w:name="_Toc8765424"/>
      <w:bookmarkStart w:id="1164" w:name="_Toc8923147"/>
      <w:bookmarkStart w:id="1165" w:name="_Toc8933347"/>
      <w:bookmarkStart w:id="1166" w:name="_Toc8937196"/>
      <w:bookmarkStart w:id="1167" w:name="_Toc8938182"/>
      <w:bookmarkStart w:id="1168" w:name="_Toc8979079"/>
      <w:bookmarkStart w:id="1169" w:name="_Toc8986223"/>
      <w:bookmarkStart w:id="1170" w:name="_Toc9108538"/>
      <w:bookmarkStart w:id="1171" w:name="_Toc9110093"/>
      <w:bookmarkStart w:id="1172" w:name="_Toc9114455"/>
      <w:bookmarkStart w:id="1173" w:name="_Toc9149498"/>
      <w:bookmarkStart w:id="1174" w:name="_Toc9289682"/>
      <w:bookmarkStart w:id="1175" w:name="_Toc11573329"/>
    </w:p>
    <w:p w:rsidR="00BE3B3A" w:rsidRPr="0050146A" w:rsidRDefault="00BE3B3A" w:rsidP="00E669F8">
      <w:pPr>
        <w:pStyle w:val="afd"/>
        <w:rPr>
          <w:rtl/>
        </w:rPr>
      </w:pPr>
      <w:r w:rsidRPr="0050146A">
        <w:rPr>
          <w:rFonts w:hint="cs"/>
          <w:rtl/>
        </w:rPr>
        <w:t xml:space="preserve">בדעת רש"י דבעינן גם </w:t>
      </w:r>
      <w:bookmarkEnd w:id="1161"/>
      <w:r w:rsidRPr="0050146A">
        <w:rPr>
          <w:rFonts w:hint="cs"/>
          <w:rtl/>
        </w:rPr>
        <w:t>שישים וגם קפילא</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rsidR="00BE3B3A" w:rsidRPr="0050146A" w:rsidRDefault="00BE3B3A" w:rsidP="00BE3B3A">
      <w:pPr>
        <w:pStyle w:val="1"/>
        <w:rPr>
          <w:rtl/>
        </w:rPr>
      </w:pPr>
      <w:bookmarkStart w:id="1176" w:name="_Toc8923148"/>
      <w:bookmarkStart w:id="1177" w:name="_Toc8933348"/>
      <w:bookmarkStart w:id="1178" w:name="_Toc8937197"/>
      <w:bookmarkStart w:id="1179" w:name="_Toc8938183"/>
      <w:bookmarkStart w:id="1180" w:name="_Toc8979080"/>
      <w:bookmarkStart w:id="1181" w:name="_Toc8986224"/>
      <w:bookmarkStart w:id="1182" w:name="_Toc9108539"/>
      <w:bookmarkStart w:id="1183" w:name="_Toc9110094"/>
      <w:bookmarkStart w:id="1184" w:name="_Toc9114456"/>
      <w:bookmarkStart w:id="1185" w:name="_Toc9149499"/>
      <w:bookmarkStart w:id="1186" w:name="_Toc9289683"/>
      <w:bookmarkStart w:id="1187" w:name="_Toc11573330"/>
      <w:bookmarkStart w:id="1188" w:name="_Toc5965283"/>
      <w:bookmarkStart w:id="1189" w:name="_Toc6226563"/>
      <w:bookmarkStart w:id="1190" w:name="_Toc6491232"/>
      <w:bookmarkStart w:id="1191" w:name="_Toc6581285"/>
      <w:bookmarkStart w:id="1192" w:name="_Toc6823623"/>
      <w:bookmarkStart w:id="1193" w:name="_Toc6953534"/>
      <w:r w:rsidRPr="0050146A">
        <w:rPr>
          <w:rFonts w:hint="cs"/>
          <w:rtl/>
        </w:rPr>
        <w:t>דברי רש"י בביאור דברי רבא בטעמא ובקפילא ובשישים</w:t>
      </w:r>
      <w:bookmarkEnd w:id="1176"/>
      <w:bookmarkEnd w:id="1177"/>
      <w:bookmarkEnd w:id="1178"/>
      <w:bookmarkEnd w:id="1179"/>
      <w:bookmarkEnd w:id="1180"/>
      <w:bookmarkEnd w:id="1181"/>
      <w:bookmarkEnd w:id="1182"/>
      <w:bookmarkEnd w:id="1183"/>
      <w:bookmarkEnd w:id="1184"/>
      <w:bookmarkEnd w:id="1185"/>
      <w:bookmarkEnd w:id="1186"/>
      <w:bookmarkEnd w:id="1187"/>
    </w:p>
    <w:p w:rsidR="00BE3B3A" w:rsidRPr="0050146A" w:rsidRDefault="00BE3B3A" w:rsidP="00BE3B3A">
      <w:pPr>
        <w:pStyle w:val="a2"/>
        <w:rPr>
          <w:rtl/>
        </w:rPr>
      </w:pPr>
      <w:bookmarkStart w:id="1194" w:name="_Toc8923149"/>
      <w:bookmarkStart w:id="1195" w:name="_Toc8933349"/>
      <w:bookmarkStart w:id="1196" w:name="_Toc8937198"/>
      <w:bookmarkStart w:id="1197" w:name="_Toc8938184"/>
      <w:bookmarkStart w:id="1198" w:name="_Toc8979081"/>
      <w:bookmarkStart w:id="1199" w:name="_Toc8986225"/>
      <w:bookmarkStart w:id="1200" w:name="_Toc9108540"/>
      <w:bookmarkStart w:id="1201" w:name="_Toc9110095"/>
      <w:bookmarkStart w:id="1202" w:name="_Toc9114457"/>
      <w:bookmarkStart w:id="1203" w:name="_Toc9149500"/>
      <w:bookmarkStart w:id="1204" w:name="_Toc9289684"/>
      <w:bookmarkStart w:id="1205" w:name="_Toc11573331"/>
      <w:r w:rsidRPr="0050146A">
        <w:rPr>
          <w:rFonts w:hint="cs"/>
          <w:rtl/>
        </w:rPr>
        <w:t>דברי רש"י דתבשיל חולין שנתערב בו תרומה וטעם כהן ואמר שאין בו טעם תרומה מותר לזרים</w:t>
      </w:r>
      <w:bookmarkEnd w:id="1194"/>
      <w:bookmarkEnd w:id="1195"/>
      <w:bookmarkEnd w:id="1196"/>
      <w:bookmarkEnd w:id="1197"/>
      <w:bookmarkEnd w:id="1198"/>
      <w:bookmarkEnd w:id="1199"/>
      <w:bookmarkEnd w:id="1200"/>
      <w:bookmarkEnd w:id="1201"/>
      <w:bookmarkEnd w:id="1202"/>
      <w:bookmarkEnd w:id="1203"/>
      <w:bookmarkEnd w:id="1204"/>
      <w:bookmarkEnd w:id="1205"/>
    </w:p>
    <w:p w:rsidR="00BE3B3A" w:rsidRPr="0050146A" w:rsidRDefault="00BE3B3A" w:rsidP="009F44AF">
      <w:pPr>
        <w:pStyle w:val="a"/>
        <w:numPr>
          <w:ilvl w:val="0"/>
          <w:numId w:val="4"/>
        </w:numPr>
        <w:rPr>
          <w:rtl/>
        </w:rPr>
      </w:pPr>
      <w:r w:rsidRPr="0050146A">
        <w:rPr>
          <w:rFonts w:hint="cs"/>
          <w:rtl/>
        </w:rPr>
        <w:t xml:space="preserve">בדברי רבא דאמור רבנן בטעמא ובקפילא ובשישים, ובמין בשאינו מינו דהיתרא דאמור רבנן בטעמא, ביאר </w:t>
      </w:r>
      <w:r w:rsidRPr="0050146A">
        <w:rPr>
          <w:rStyle w:val="af8"/>
          <w:rFonts w:hint="cs"/>
          <w:rtl/>
        </w:rPr>
        <w:t>רש"י</w:t>
      </w:r>
      <w:r w:rsidRPr="0050146A">
        <w:rPr>
          <w:rFonts w:hint="cs"/>
          <w:rtl/>
        </w:rPr>
        <w:t xml:space="preserve"> </w:t>
      </w:r>
      <w:r w:rsidRPr="009F44AF">
        <w:rPr>
          <w:rStyle w:val="af6"/>
          <w:rFonts w:eastAsia="Guttman Hodes" w:hint="cs"/>
          <w:rtl/>
        </w:rPr>
        <w:t xml:space="preserve">(צז: ד"ה בטעמא) </w:t>
      </w:r>
      <w:r w:rsidRPr="0050146A">
        <w:rPr>
          <w:rFonts w:hint="cs"/>
          <w:rtl/>
        </w:rPr>
        <w:t>דבתרומה שנתערבה בחולין, טועם הכהן, ואם אמר שהתרומה לא נתנה טעם בחולין, מותר התבשיל אף לזרים.</w:t>
      </w:r>
    </w:p>
    <w:p w:rsidR="00BE3B3A" w:rsidRPr="0050146A" w:rsidRDefault="00BE3B3A" w:rsidP="00BE3B3A">
      <w:pPr>
        <w:pStyle w:val="a2"/>
      </w:pPr>
      <w:bookmarkStart w:id="1206" w:name="_Toc8923150"/>
      <w:bookmarkStart w:id="1207" w:name="_Toc8933350"/>
      <w:bookmarkStart w:id="1208" w:name="_Toc8937199"/>
      <w:bookmarkStart w:id="1209" w:name="_Toc8938185"/>
      <w:bookmarkStart w:id="1210" w:name="_Toc8979082"/>
      <w:bookmarkStart w:id="1211" w:name="_Toc8986226"/>
      <w:bookmarkStart w:id="1212" w:name="_Toc9108541"/>
      <w:bookmarkStart w:id="1213" w:name="_Toc9110096"/>
      <w:bookmarkStart w:id="1214" w:name="_Toc9114458"/>
      <w:bookmarkStart w:id="1215" w:name="_Toc9149501"/>
      <w:bookmarkStart w:id="1216" w:name="_Toc9289685"/>
      <w:bookmarkStart w:id="1217" w:name="_Toc11573332"/>
      <w:r w:rsidRPr="0050146A">
        <w:rPr>
          <w:rFonts w:hint="cs"/>
          <w:rtl/>
        </w:rPr>
        <w:t>דברי רש"י דתבשיל שנתערב בו איסור במין בשאינו מינו ואמר הקפילא שאין בו טעם איסור מותר</w:t>
      </w:r>
      <w:bookmarkEnd w:id="1206"/>
      <w:bookmarkEnd w:id="1207"/>
      <w:bookmarkEnd w:id="1208"/>
      <w:bookmarkEnd w:id="1209"/>
      <w:bookmarkEnd w:id="1210"/>
      <w:bookmarkEnd w:id="1211"/>
      <w:bookmarkEnd w:id="1212"/>
      <w:bookmarkEnd w:id="1213"/>
      <w:bookmarkEnd w:id="1214"/>
      <w:bookmarkEnd w:id="1215"/>
      <w:bookmarkEnd w:id="1216"/>
      <w:bookmarkEnd w:id="1217"/>
    </w:p>
    <w:p w:rsidR="00BE3B3A" w:rsidRPr="0050146A" w:rsidRDefault="00BE3B3A" w:rsidP="009F44AF">
      <w:pPr>
        <w:pStyle w:val="a"/>
        <w:rPr>
          <w:rtl/>
        </w:rPr>
      </w:pPr>
      <w:r w:rsidRPr="0050146A">
        <w:rPr>
          <w:rFonts w:hint="cs"/>
          <w:rtl/>
        </w:rPr>
        <w:t xml:space="preserve">ובמין בשאינו מינו דאיסורא דאמור רבנן בקפילא,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(צז: ד"ה דאיסורא, צז. ד"ה ליטעמיה) </w:t>
      </w:r>
      <w:r w:rsidRPr="0050146A">
        <w:rPr>
          <w:rFonts w:hint="cs"/>
          <w:rtl/>
        </w:rPr>
        <w:t xml:space="preserve">כגון בשר וחלב שהוא מין בשאינו מינו, דכיון שאסור לישראל לטועמו, לכן סמכינן על קפילא שהוא נחתום עכו"ם. </w:t>
      </w:r>
    </w:p>
    <w:p w:rsidR="00BE3B3A" w:rsidRPr="0050146A" w:rsidRDefault="00BE3B3A" w:rsidP="00BE3B3A">
      <w:pPr>
        <w:pStyle w:val="a2"/>
      </w:pPr>
      <w:bookmarkStart w:id="1218" w:name="_Toc8923151"/>
      <w:bookmarkStart w:id="1219" w:name="_Toc8933351"/>
      <w:bookmarkStart w:id="1220" w:name="_Toc8937200"/>
      <w:bookmarkStart w:id="1221" w:name="_Toc8938186"/>
      <w:bookmarkStart w:id="1222" w:name="_Toc8979083"/>
      <w:bookmarkStart w:id="1223" w:name="_Toc8986227"/>
      <w:bookmarkStart w:id="1224" w:name="_Toc9108542"/>
      <w:bookmarkStart w:id="1225" w:name="_Toc9110097"/>
      <w:bookmarkStart w:id="1226" w:name="_Toc9114459"/>
      <w:bookmarkStart w:id="1227" w:name="_Toc9149502"/>
      <w:bookmarkStart w:id="1228" w:name="_Toc9289686"/>
      <w:bookmarkStart w:id="1229" w:name="_Toc11573333"/>
      <w:r w:rsidRPr="0050146A">
        <w:rPr>
          <w:rFonts w:hint="cs"/>
          <w:rtl/>
        </w:rPr>
        <w:t>דברי רש"י דבמין במינו או בשאינו מינו ואין כאן קפילא דא"א לעמוד על טעמו שיעורו בשישים</w:t>
      </w:r>
      <w:bookmarkEnd w:id="1218"/>
      <w:bookmarkEnd w:id="1219"/>
      <w:bookmarkEnd w:id="1220"/>
      <w:bookmarkEnd w:id="1221"/>
      <w:bookmarkEnd w:id="1222"/>
      <w:bookmarkEnd w:id="1223"/>
      <w:bookmarkEnd w:id="1224"/>
      <w:bookmarkEnd w:id="1225"/>
      <w:bookmarkEnd w:id="1226"/>
      <w:bookmarkEnd w:id="1227"/>
      <w:bookmarkEnd w:id="1228"/>
      <w:bookmarkEnd w:id="1229"/>
    </w:p>
    <w:p w:rsidR="00BE3B3A" w:rsidRPr="0050146A" w:rsidRDefault="00BE3B3A" w:rsidP="009F44AF">
      <w:pPr>
        <w:pStyle w:val="a"/>
        <w:rPr>
          <w:rtl/>
        </w:rPr>
      </w:pPr>
      <w:r w:rsidRPr="0050146A">
        <w:rPr>
          <w:rFonts w:hint="cs"/>
          <w:rtl/>
        </w:rPr>
        <w:t xml:space="preserve">ובמין במינו דאמור רבנן בשישים,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(צז: ד"ה ומין) </w:t>
      </w:r>
      <w:r w:rsidRPr="0050146A">
        <w:rPr>
          <w:rFonts w:hint="cs"/>
          <w:rtl/>
        </w:rPr>
        <w:t xml:space="preserve">דבין בהיתרא, ובין באיסורא, משערים בשישים, דכיון שהוא מין במינו א"א להבחין אם יש בו טעם איסור או תרומה, </w:t>
      </w:r>
      <w:r w:rsidRPr="0050146A">
        <w:rPr>
          <w:rStyle w:val="afa"/>
          <w:rFonts w:hint="cs"/>
          <w:rtl/>
        </w:rPr>
        <w:t>[</w:t>
      </w:r>
      <w:r w:rsidRPr="0050146A">
        <w:rPr>
          <w:rStyle w:val="affa"/>
          <w:rFonts w:hint="cs"/>
          <w:rtl/>
        </w:rPr>
        <w:t>וברבינו גרשום</w:t>
      </w:r>
      <w:r w:rsidRPr="0050146A">
        <w:rPr>
          <w:rStyle w:val="afa"/>
          <w:rFonts w:hint="cs"/>
          <w:rtl/>
        </w:rPr>
        <w:t xml:space="preserve"> </w:t>
      </w:r>
      <w:r w:rsidRPr="0050146A">
        <w:rPr>
          <w:rStyle w:val="aff6"/>
          <w:rFonts w:hint="cs"/>
          <w:rtl/>
        </w:rPr>
        <w:t>(ד"ה מין)</w:t>
      </w:r>
      <w:r w:rsidRPr="0050146A">
        <w:rPr>
          <w:rStyle w:val="afa"/>
          <w:rFonts w:hint="cs"/>
          <w:rtl/>
        </w:rPr>
        <w:t xml:space="preserve"> הוסיף כגון בחתיכה של נבילה שהתבשלה עם חתיכות טהורות, שהוא מין במינו], </w:t>
      </w:r>
      <w:r w:rsidRPr="0050146A">
        <w:rPr>
          <w:rFonts w:hint="cs"/>
          <w:rtl/>
        </w:rPr>
        <w:t xml:space="preserve">וכן במין בשאינו מינו בליכא קפילא, דאמור רבנן בשישים,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(צז: ד"ה אי נמי) </w:t>
      </w:r>
      <w:r w:rsidRPr="0050146A">
        <w:rPr>
          <w:rFonts w:hint="cs"/>
          <w:rtl/>
        </w:rPr>
        <w:t xml:space="preserve">דכיון שאין קפילא לפנינו שיכול לטעום, לכן משערינן בשישים, ועי' במ"ש </w:t>
      </w:r>
      <w:r w:rsidRPr="0050146A">
        <w:rPr>
          <w:rStyle w:val="af8"/>
          <w:rFonts w:hint="cs"/>
          <w:rtl/>
        </w:rPr>
        <w:t>הרמב"ן והרשב"א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Ref8850100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w:t>
      </w:r>
      <w:r w:rsidRPr="0050146A">
        <w:rPr>
          <w:rStyle w:val="af6"/>
          <w:rFonts w:eastAsia="Guttman Hodes"/>
          <w:rtl/>
        </w:rPr>
        <w:fldChar w:fldCharType="end"/>
      </w:r>
      <w:r w:rsidRPr="0050146A">
        <w:rPr>
          <w:rFonts w:hint="cs"/>
          <w:rtl/>
        </w:rPr>
        <w:t xml:space="preserve"> </w:t>
      </w:r>
      <w:r w:rsidRPr="0050146A">
        <w:rPr>
          <w:rStyle w:val="af8"/>
          <w:rFonts w:hint="cs"/>
          <w:rtl/>
        </w:rPr>
        <w:t>ו</w:t>
      </w:r>
      <w:r w:rsidRPr="0050146A">
        <w:rPr>
          <w:rStyle w:val="af8"/>
          <w:rtl/>
        </w:rPr>
        <w:t>הראש יוסף</w:t>
      </w:r>
      <w:r w:rsidRPr="0050146A">
        <w:rPr>
          <w:rStyle w:val="affa"/>
          <w:rtl/>
        </w:rPr>
        <w:t xml:space="preserve"> </w:t>
      </w:r>
      <w:r w:rsidRPr="0050146A">
        <w:rPr>
          <w:rStyle w:val="af6"/>
          <w:rFonts w:eastAsia="Guttman Rashi"/>
          <w:rtl/>
        </w:rPr>
        <w:t>(ד"ה הנה דעת רש"י)</w:t>
      </w:r>
      <w:r w:rsidRPr="0050146A">
        <w:rPr>
          <w:rStyle w:val="afa"/>
          <w:rtl/>
        </w:rPr>
        <w:t xml:space="preserve"> </w:t>
      </w:r>
      <w:r w:rsidRPr="0050146A">
        <w:rPr>
          <w:rFonts w:hint="cs"/>
          <w:rtl/>
        </w:rPr>
        <w:t xml:space="preserve">בביאור דעת </w:t>
      </w:r>
      <w:r w:rsidRPr="0050146A">
        <w:rPr>
          <w:rStyle w:val="af8"/>
          <w:rFonts w:hint="cs"/>
          <w:rtl/>
        </w:rPr>
        <w:t>רש"י</w:t>
      </w:r>
      <w:r w:rsidRPr="0050146A">
        <w:rPr>
          <w:rFonts w:hint="cs"/>
          <w:rtl/>
        </w:rPr>
        <w:t xml:space="preserve"> בדברי רבא.</w:t>
      </w:r>
    </w:p>
    <w:p w:rsidR="00BE3B3A" w:rsidRPr="0050146A" w:rsidRDefault="00BE3B3A" w:rsidP="00BE3B3A">
      <w:pPr>
        <w:pStyle w:val="1"/>
        <w:rPr>
          <w:rtl/>
        </w:rPr>
      </w:pPr>
      <w:bookmarkStart w:id="1230" w:name="_Toc8578654"/>
      <w:bookmarkStart w:id="1231" w:name="_Toc8765427"/>
      <w:bookmarkStart w:id="1232" w:name="_Toc8923152"/>
      <w:bookmarkStart w:id="1233" w:name="_Toc8933352"/>
      <w:bookmarkStart w:id="1234" w:name="_Toc8937201"/>
      <w:bookmarkStart w:id="1235" w:name="_Toc8938187"/>
      <w:bookmarkStart w:id="1236" w:name="_Toc8979085"/>
      <w:bookmarkStart w:id="1237" w:name="_Toc8986228"/>
      <w:bookmarkStart w:id="1238" w:name="_Toc9108543"/>
      <w:bookmarkStart w:id="1239" w:name="_Toc9110098"/>
      <w:bookmarkStart w:id="1240" w:name="_Toc9114460"/>
      <w:bookmarkStart w:id="1241" w:name="_Toc9149503"/>
      <w:bookmarkStart w:id="1242" w:name="_Toc9289687"/>
      <w:bookmarkStart w:id="1243" w:name="_Toc11573334"/>
      <w:r w:rsidRPr="0050146A">
        <w:rPr>
          <w:rFonts w:hint="cs"/>
          <w:rtl/>
        </w:rPr>
        <w:t>דעת רש"י</w:t>
      </w:r>
      <w:bookmarkEnd w:id="1188"/>
      <w:bookmarkEnd w:id="1189"/>
      <w:bookmarkEnd w:id="1190"/>
      <w:bookmarkEnd w:id="1191"/>
      <w:bookmarkEnd w:id="1192"/>
      <w:bookmarkEnd w:id="1193"/>
      <w:r w:rsidRPr="0050146A">
        <w:rPr>
          <w:rFonts w:hint="cs"/>
          <w:rtl/>
        </w:rPr>
        <w:t xml:space="preserve"> דבכדי להתיר בעינן גם קפילא וגם שישים</w:t>
      </w:r>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r w:rsidRPr="0050146A">
        <w:rPr>
          <w:rFonts w:hint="cs"/>
          <w:rtl/>
        </w:rPr>
        <w:t xml:space="preserve"> </w:t>
      </w:r>
    </w:p>
    <w:p w:rsidR="00BE3B3A" w:rsidRPr="0050146A" w:rsidRDefault="00BE3B3A" w:rsidP="00BE3B3A">
      <w:pPr>
        <w:pStyle w:val="a2"/>
        <w:rPr>
          <w:rtl/>
        </w:rPr>
      </w:pPr>
      <w:bookmarkStart w:id="1244" w:name="_Toc8578655"/>
      <w:bookmarkStart w:id="1245" w:name="_Toc8765428"/>
      <w:bookmarkStart w:id="1246" w:name="_Toc8923153"/>
      <w:bookmarkStart w:id="1247" w:name="_Toc8933353"/>
      <w:bookmarkStart w:id="1248" w:name="_Toc8937202"/>
      <w:bookmarkStart w:id="1249" w:name="_Toc8938188"/>
      <w:bookmarkStart w:id="1250" w:name="_Toc8979086"/>
      <w:bookmarkStart w:id="1251" w:name="_Toc8986229"/>
      <w:bookmarkStart w:id="1252" w:name="_Toc9108544"/>
      <w:bookmarkStart w:id="1253" w:name="_Toc9110099"/>
      <w:bookmarkStart w:id="1254" w:name="_Toc9114461"/>
      <w:bookmarkStart w:id="1255" w:name="_Toc9149504"/>
      <w:bookmarkStart w:id="1256" w:name="_Toc9289688"/>
      <w:bookmarkStart w:id="1257" w:name="_Toc11573335"/>
      <w:r w:rsidRPr="0050146A">
        <w:rPr>
          <w:rFonts w:hint="cs"/>
          <w:rtl/>
        </w:rPr>
        <w:t>דברי רש"י דבאמר הקפילא שאין טעם איסור מהני שישים להתיר אך כשיש טעם לא מהני שישים</w:t>
      </w:r>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rsidR="00BE3B3A" w:rsidRPr="0050146A" w:rsidRDefault="00BE3B3A" w:rsidP="009F44AF">
      <w:pPr>
        <w:pStyle w:val="a"/>
        <w:rPr>
          <w:rtl/>
        </w:rPr>
      </w:pPr>
      <w:bookmarkStart w:id="1258" w:name="_Ref6225215"/>
      <w:bookmarkStart w:id="1259" w:name="_Toc8578656"/>
      <w:bookmarkStart w:id="1260" w:name="_Toc8765429"/>
      <w:bookmarkStart w:id="1261" w:name="_Ref5879893"/>
      <w:r w:rsidRPr="0050146A">
        <w:rPr>
          <w:rFonts w:hint="cs"/>
          <w:rtl/>
        </w:rPr>
        <w:t xml:space="preserve">בדברי ריב"ל לקמן </w:t>
      </w:r>
      <w:r w:rsidRPr="0050146A">
        <w:rPr>
          <w:rStyle w:val="af6"/>
          <w:rFonts w:eastAsia="Guttman Hodes" w:hint="cs"/>
          <w:rtl/>
        </w:rPr>
        <w:t>(צח.)</w:t>
      </w:r>
      <w:r w:rsidRPr="0050146A">
        <w:rPr>
          <w:rFonts w:hint="cs"/>
          <w:rtl/>
        </w:rPr>
        <w:t xml:space="preserve"> דכל איסורים שבתורה בשישים, כתב </w:t>
      </w:r>
      <w:r w:rsidRPr="0050146A">
        <w:rPr>
          <w:rStyle w:val="af8"/>
          <w:rFonts w:hint="cs"/>
          <w:rtl/>
        </w:rPr>
        <w:t xml:space="preserve">רש"י לקמן </w:t>
      </w:r>
      <w:r w:rsidRPr="0050146A">
        <w:rPr>
          <w:rStyle w:val="af6"/>
          <w:rFonts w:eastAsia="Guttman Hodes" w:hint="cs"/>
          <w:rtl/>
        </w:rPr>
        <w:t>(צח. ד"ה בס')</w:t>
      </w:r>
      <w:r w:rsidRPr="0050146A">
        <w:rPr>
          <w:rFonts w:hint="cs"/>
          <w:rtl/>
        </w:rPr>
        <w:t xml:space="preserve"> דשיעור שישים הוא במקום שבדקנו והאיסור לא נתן טעם, </w:t>
      </w:r>
      <w:r w:rsidRPr="0050146A">
        <w:rPr>
          <w:rStyle w:val="afa"/>
          <w:rFonts w:hint="cs"/>
          <w:rtl/>
        </w:rPr>
        <w:t>[דאמר הקפילא שאין בו טעם איסור],</w:t>
      </w:r>
      <w:r w:rsidRPr="0050146A">
        <w:rPr>
          <w:rFonts w:hint="cs"/>
          <w:rtl/>
        </w:rPr>
        <w:t xml:space="preserve"> וכן במין במינו שא"א לעמוד על הטעם, אבל במקום שבדקנו ויש נתינת טעם,</w:t>
      </w:r>
      <w:r w:rsidRPr="0050146A">
        <w:rPr>
          <w:rStyle w:val="afa"/>
          <w:rFonts w:hint="cs"/>
          <w:rtl/>
        </w:rPr>
        <w:t xml:space="preserve"> [דאמר הקפילא שיש בו טעם איסור],</w:t>
      </w:r>
      <w:r w:rsidRPr="0050146A">
        <w:rPr>
          <w:rFonts w:hint="cs"/>
          <w:rtl/>
        </w:rPr>
        <w:t xml:space="preserve"> לא מהני שישים להתיר, דטעמא לעולם לא בטיל, והוסיף </w:t>
      </w:r>
      <w:r w:rsidRPr="0050146A">
        <w:rPr>
          <w:rStyle w:val="af8"/>
          <w:rFonts w:hint="cs"/>
          <w:rtl/>
        </w:rPr>
        <w:t>הריטב"א לקמן</w:t>
      </w:r>
      <w:r w:rsidRPr="0050146A">
        <w:rPr>
          <w:rFonts w:hint="cs"/>
          <w:rtl/>
        </w:rPr>
        <w:t xml:space="preserve"> </w:t>
      </w:r>
      <w:r w:rsidRPr="0050146A">
        <w:rPr>
          <w:rStyle w:val="af6"/>
          <w:rFonts w:eastAsia="Guttman Rashi" w:hint="cs"/>
          <w:rtl/>
        </w:rPr>
        <w:t>(צח. ד"ה כל)</w:t>
      </w:r>
      <w:r w:rsidRPr="0050146A">
        <w:rPr>
          <w:rFonts w:hint="cs"/>
          <w:rtl/>
        </w:rPr>
        <w:t xml:space="preserve"> בשם </w:t>
      </w:r>
      <w:r w:rsidRPr="0050146A">
        <w:rPr>
          <w:rStyle w:val="af8"/>
          <w:rFonts w:hint="cs"/>
          <w:rtl/>
        </w:rPr>
        <w:t>רש"י</w:t>
      </w:r>
      <w:r w:rsidRPr="0050146A">
        <w:rPr>
          <w:rFonts w:hint="cs"/>
          <w:rtl/>
        </w:rPr>
        <w:t xml:space="preserve"> דמהא דכלל ריב"ל את כל האיסורין בסתמא, א"כ מבואר דשיעור שישים הוא בין במין במינו, ובין במין בשאינו מינו.</w:t>
      </w:r>
      <w:bookmarkEnd w:id="1258"/>
    </w:p>
    <w:p w:rsidR="00BE3B3A" w:rsidRPr="0050146A" w:rsidRDefault="00BE3B3A" w:rsidP="00BE3B3A">
      <w:pPr>
        <w:pStyle w:val="a2"/>
      </w:pPr>
      <w:bookmarkStart w:id="1262" w:name="_Toc8923154"/>
      <w:bookmarkStart w:id="1263" w:name="_Toc8933354"/>
      <w:bookmarkStart w:id="1264" w:name="_Toc8937203"/>
      <w:bookmarkStart w:id="1265" w:name="_Toc8938189"/>
      <w:bookmarkStart w:id="1266" w:name="_Toc8979087"/>
      <w:bookmarkStart w:id="1267" w:name="_Toc8986230"/>
      <w:bookmarkStart w:id="1268" w:name="_Toc9108545"/>
      <w:bookmarkStart w:id="1269" w:name="_Toc9110100"/>
      <w:bookmarkStart w:id="1270" w:name="_Toc9114462"/>
      <w:bookmarkStart w:id="1271" w:name="_Toc9149505"/>
      <w:bookmarkStart w:id="1272" w:name="_Toc9289689"/>
      <w:bookmarkStart w:id="1273" w:name="_Toc11573336"/>
      <w:r w:rsidRPr="0050146A">
        <w:rPr>
          <w:rFonts w:hint="cs"/>
          <w:rtl/>
        </w:rPr>
        <w:t>הוכחת רש"י מהגמ' לקמן דאף במקום שאין טעם עדיין צריך שישים להתיר</w:t>
      </w:r>
      <w:bookmarkEnd w:id="1259"/>
      <w:bookmarkEnd w:id="1260"/>
      <w:bookmarkEnd w:id="1262"/>
      <w:bookmarkEnd w:id="1263"/>
      <w:bookmarkEnd w:id="1264"/>
      <w:bookmarkEnd w:id="1265"/>
      <w:bookmarkEnd w:id="1266"/>
      <w:bookmarkEnd w:id="1267"/>
      <w:bookmarkEnd w:id="1268"/>
      <w:bookmarkEnd w:id="1269"/>
      <w:bookmarkEnd w:id="1270"/>
      <w:bookmarkEnd w:id="1271"/>
      <w:bookmarkEnd w:id="1272"/>
      <w:bookmarkEnd w:id="1273"/>
    </w:p>
    <w:p w:rsidR="002D7168" w:rsidRDefault="00BE3B3A" w:rsidP="009F44AF">
      <w:pPr>
        <w:pStyle w:val="a"/>
        <w:rPr>
          <w:rtl/>
        </w:rPr>
      </w:pPr>
      <w:bookmarkStart w:id="1274" w:name="_Ref5960885"/>
      <w:bookmarkStart w:id="1275" w:name="_Ref8895922"/>
      <w:bookmarkStart w:id="1276" w:name="_Toc8578653"/>
      <w:bookmarkStart w:id="1277" w:name="_Toc8765426"/>
      <w:bookmarkStart w:id="1278" w:name="_Toc8578657"/>
      <w:bookmarkStart w:id="1279" w:name="_Toc8765430"/>
      <w:bookmarkStart w:id="1280" w:name="_Toc6823625"/>
      <w:bookmarkStart w:id="1281" w:name="_Toc6953536"/>
      <w:bookmarkEnd w:id="1261"/>
      <w:r w:rsidRPr="0050146A">
        <w:rPr>
          <w:rFonts w:hint="cs"/>
          <w:rtl/>
        </w:rPr>
        <w:t xml:space="preserve">והוסיף </w:t>
      </w:r>
      <w:r w:rsidRPr="0050146A">
        <w:rPr>
          <w:rStyle w:val="af8"/>
          <w:rFonts w:hint="cs"/>
          <w:rtl/>
        </w:rPr>
        <w:t xml:space="preserve">רש"י לקמן </w:t>
      </w:r>
      <w:r w:rsidRPr="0050146A">
        <w:rPr>
          <w:rFonts w:hint="cs"/>
          <w:rtl/>
        </w:rPr>
        <w:t xml:space="preserve">דכן מוכח בגמ' לקמן </w:t>
      </w:r>
      <w:r w:rsidRPr="0050146A">
        <w:rPr>
          <w:rStyle w:val="af6"/>
          <w:rFonts w:eastAsia="Guttman Hodes" w:hint="cs"/>
          <w:rtl/>
        </w:rPr>
        <w:t>(צט.)</w:t>
      </w:r>
      <w:r w:rsidRPr="0050146A">
        <w:rPr>
          <w:rFonts w:hint="cs"/>
          <w:rtl/>
        </w:rPr>
        <w:t xml:space="preserve"> שהביאה הגמ' ראיה דמהני ביטול בשישים וא"צ מאה, </w:t>
      </w:r>
      <w:r w:rsidRPr="0050146A">
        <w:rPr>
          <w:rStyle w:val="afa"/>
          <w:rFonts w:hint="cs"/>
          <w:rtl/>
        </w:rPr>
        <w:t xml:space="preserve">[ודלא כמ"ד דצריך מאה], </w:t>
      </w:r>
      <w:r w:rsidRPr="0050146A">
        <w:rPr>
          <w:rFonts w:hint="cs"/>
          <w:rtl/>
        </w:rPr>
        <w:t xml:space="preserve">מהא דתנן במתני' בערלה </w:t>
      </w:r>
      <w:r w:rsidRPr="0050146A">
        <w:rPr>
          <w:rStyle w:val="af6"/>
          <w:rFonts w:eastAsia="Guttman Hodes" w:hint="cs"/>
          <w:rtl/>
        </w:rPr>
        <w:t xml:space="preserve">(פ"ב מ"ז) </w:t>
      </w:r>
      <w:r w:rsidRPr="0050146A">
        <w:rPr>
          <w:rFonts w:hint="cs"/>
          <w:rtl/>
        </w:rPr>
        <w:t xml:space="preserve">דתרומה שנתערבה בחולין במקום שיש נתינת טעם לא מהני מאה ואחד להתיר, </w:t>
      </w:r>
      <w:r w:rsidRPr="0050146A">
        <w:rPr>
          <w:rStyle w:val="afa"/>
          <w:rFonts w:hint="cs"/>
          <w:rtl/>
        </w:rPr>
        <w:t xml:space="preserve">[כדין תרומה שעולה במאה ואחד], </w:t>
      </w:r>
      <w:r w:rsidRPr="0050146A">
        <w:rPr>
          <w:rFonts w:hint="cs"/>
          <w:rtl/>
        </w:rPr>
        <w:t xml:space="preserve">ובמקום שאין נתינת טעם מותר אף כשאין מאה ואחד, ודייקה הגמ' לקמן דאף שאין מאה ואחד, מ"מ צריך שישים להתיר אף שאין נתינת טעם, וכתב </w:t>
      </w:r>
      <w:r w:rsidRPr="0050146A">
        <w:rPr>
          <w:rStyle w:val="af8"/>
          <w:rFonts w:hint="cs"/>
          <w:rtl/>
        </w:rPr>
        <w:t>רש"י לקמן</w:t>
      </w:r>
      <w:r w:rsidRPr="0050146A">
        <w:rPr>
          <w:rFonts w:hint="cs"/>
          <w:rtl/>
        </w:rPr>
        <w:t xml:space="preserve"> דמוכח בגמ' דאף במקום שבדקנו ולא נמצא טעם, מ"מ צריך שיעור פחות משישים בכדי להתיר, </w:t>
      </w:r>
      <w:r w:rsidRPr="0050146A">
        <w:rPr>
          <w:rStyle w:val="afa"/>
          <w:rFonts w:hint="cs"/>
          <w:rtl/>
        </w:rPr>
        <w:t>[ולמ"ד במאה צריך מאה להתיר]</w:t>
      </w:r>
      <w:bookmarkEnd w:id="1274"/>
      <w:r w:rsidRPr="0050146A">
        <w:rPr>
          <w:rStyle w:val="afa"/>
          <w:rFonts w:hint="cs"/>
          <w:rtl/>
        </w:rPr>
        <w:t xml:space="preserve">, </w:t>
      </w:r>
      <w:r w:rsidRPr="0050146A">
        <w:rPr>
          <w:rFonts w:hint="cs"/>
          <w:rtl/>
        </w:rPr>
        <w:t xml:space="preserve">ועי' במה שדחו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Ref8896382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0146A">
        <w:rPr>
          <w:rStyle w:val="af6"/>
          <w:rFonts w:eastAsia="Guttman Hodes"/>
          <w:rtl/>
        </w:rPr>
        <w:fldChar w:fldCharType="end"/>
      </w:r>
      <w:r w:rsidRPr="0050146A">
        <w:rPr>
          <w:rStyle w:val="af8"/>
          <w:rFonts w:hint="cs"/>
          <w:rtl/>
        </w:rPr>
        <w:t xml:space="preserve"> והרא"ש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Ref8896415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Fonts w:hint="cs"/>
          <w:rtl/>
        </w:rPr>
        <w:t xml:space="preserve"> את ראיית </w:t>
      </w:r>
      <w:r w:rsidRPr="0050146A">
        <w:rPr>
          <w:rStyle w:val="af8"/>
          <w:rFonts w:hint="cs"/>
          <w:rtl/>
        </w:rPr>
        <w:t>רש"י</w:t>
      </w:r>
      <w:r w:rsidRPr="0050146A">
        <w:rPr>
          <w:rFonts w:hint="cs"/>
          <w:rtl/>
        </w:rPr>
        <w:t xml:space="preserve">, ובמ"ש </w:t>
      </w:r>
      <w:r w:rsidRPr="0050146A">
        <w:rPr>
          <w:rStyle w:val="af8"/>
          <w:rFonts w:hint="cs"/>
          <w:rtl/>
        </w:rPr>
        <w:t>הרא"ה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Ref8978951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50146A">
        <w:rPr>
          <w:rStyle w:val="af6"/>
          <w:rFonts w:eastAsia="Guttman Hodes"/>
          <w:rtl/>
        </w:rPr>
        <w:fldChar w:fldCharType="end"/>
      </w:r>
      <w:r w:rsidRPr="0050146A">
        <w:rPr>
          <w:rFonts w:hint="cs"/>
          <w:rtl/>
        </w:rPr>
        <w:t xml:space="preserve"> בישוב הראיה שהביא </w:t>
      </w:r>
      <w:r w:rsidRPr="0050146A">
        <w:rPr>
          <w:rStyle w:val="af8"/>
          <w:rFonts w:hint="cs"/>
          <w:rtl/>
        </w:rPr>
        <w:t>רש"י</w:t>
      </w:r>
      <w:r w:rsidRPr="0050146A">
        <w:rPr>
          <w:rFonts w:hint="cs"/>
          <w:rtl/>
        </w:rPr>
        <w:t xml:space="preserve"> לדעת </w:t>
      </w:r>
      <w:r w:rsidRPr="0050146A">
        <w:rPr>
          <w:rStyle w:val="af8"/>
          <w:rFonts w:hint="cs"/>
          <w:rtl/>
        </w:rPr>
        <w:t>הרמב"ן</w:t>
      </w:r>
      <w:r w:rsidRPr="0050146A">
        <w:rPr>
          <w:rFonts w:hint="cs"/>
          <w:rtl/>
        </w:rPr>
        <w:t xml:space="preserve">, וע"ע במה שביאר </w:t>
      </w:r>
      <w:r w:rsidRPr="0050146A">
        <w:rPr>
          <w:rStyle w:val="af8"/>
          <w:rFonts w:hint="cs"/>
          <w:rtl/>
        </w:rPr>
        <w:t xml:space="preserve">האור גדול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Ref8979040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50146A">
        <w:rPr>
          <w:rStyle w:val="af6"/>
          <w:rFonts w:eastAsia="Guttman Hodes"/>
          <w:rtl/>
        </w:rPr>
        <w:fldChar w:fldCharType="end"/>
      </w:r>
      <w:r w:rsidRPr="0050146A">
        <w:rPr>
          <w:rFonts w:hint="cs"/>
          <w:rtl/>
        </w:rPr>
        <w:t xml:space="preserve"> בפלוגתת </w:t>
      </w:r>
      <w:r w:rsidRPr="0050146A">
        <w:rPr>
          <w:rStyle w:val="af8"/>
          <w:rFonts w:hint="cs"/>
          <w:rtl/>
        </w:rPr>
        <w:t>הראשונים</w:t>
      </w:r>
      <w:r w:rsidRPr="0050146A">
        <w:rPr>
          <w:rFonts w:hint="cs"/>
          <w:rtl/>
        </w:rPr>
        <w:t xml:space="preserve"> בביאור הגמ' לקמן.</w:t>
      </w:r>
      <w:bookmarkEnd w:id="1275"/>
      <w:bookmarkEnd w:id="1276"/>
      <w:bookmarkEnd w:id="1277"/>
    </w:p>
    <w:p w:rsidR="00BE3B3A" w:rsidRPr="0050146A" w:rsidRDefault="00BE3B3A" w:rsidP="00BE3B3A">
      <w:pPr>
        <w:pStyle w:val="a2"/>
      </w:pPr>
      <w:bookmarkStart w:id="1282" w:name="_Toc8923155"/>
      <w:bookmarkStart w:id="1283" w:name="_Toc8933355"/>
      <w:bookmarkStart w:id="1284" w:name="_Toc8937204"/>
      <w:bookmarkStart w:id="1285" w:name="_Toc8938190"/>
      <w:bookmarkStart w:id="1286" w:name="_Toc8979088"/>
      <w:bookmarkStart w:id="1287" w:name="_Toc8986231"/>
      <w:bookmarkStart w:id="1288" w:name="_Toc9108546"/>
      <w:bookmarkStart w:id="1289" w:name="_Toc9110101"/>
      <w:bookmarkStart w:id="1290" w:name="_Toc9114463"/>
      <w:bookmarkStart w:id="1291" w:name="_Toc9149506"/>
      <w:bookmarkStart w:id="1292" w:name="_Toc9289690"/>
      <w:bookmarkStart w:id="1293" w:name="_Toc11573337"/>
      <w:r w:rsidRPr="0050146A">
        <w:rPr>
          <w:rFonts w:hint="cs"/>
          <w:rtl/>
        </w:rPr>
        <w:t>דברי רש"י דהא דאריו"ח דמשערים בבצל וקפלוט בליכא קפילא ולפני שנפסק דמשערים בשישים</w:t>
      </w:r>
      <w:bookmarkEnd w:id="1282"/>
      <w:bookmarkEnd w:id="1283"/>
      <w:bookmarkEnd w:id="1284"/>
      <w:bookmarkEnd w:id="1285"/>
      <w:bookmarkEnd w:id="1286"/>
      <w:bookmarkEnd w:id="1287"/>
      <w:bookmarkEnd w:id="1288"/>
      <w:bookmarkEnd w:id="1289"/>
      <w:bookmarkEnd w:id="1290"/>
      <w:bookmarkEnd w:id="1291"/>
      <w:bookmarkEnd w:id="1292"/>
      <w:bookmarkEnd w:id="1293"/>
    </w:p>
    <w:p w:rsidR="00BE3B3A" w:rsidRPr="0050146A" w:rsidRDefault="00BE3B3A" w:rsidP="009F44AF">
      <w:pPr>
        <w:pStyle w:val="a"/>
        <w:rPr>
          <w:rtl/>
        </w:rPr>
      </w:pPr>
      <w:bookmarkStart w:id="1294" w:name="_Ref8983475"/>
      <w:r w:rsidRPr="0050146A">
        <w:rPr>
          <w:rFonts w:hint="cs"/>
          <w:rtl/>
        </w:rPr>
        <w:t xml:space="preserve">ובהא דאמר ריו"ח דבכל איסורין שבתורה משערינן בבצל וקפלוט, ביאר </w:t>
      </w:r>
      <w:r w:rsidRPr="0050146A">
        <w:rPr>
          <w:rStyle w:val="af8"/>
          <w:rFonts w:hint="cs"/>
          <w:rtl/>
        </w:rPr>
        <w:t xml:space="preserve">רש"י </w:t>
      </w:r>
      <w:r w:rsidRPr="0050146A">
        <w:rPr>
          <w:rStyle w:val="af6"/>
          <w:rFonts w:eastAsia="Guttman Hodes" w:hint="cs"/>
          <w:rtl/>
        </w:rPr>
        <w:t>(צז: ד"ה משערינן)</w:t>
      </w:r>
      <w:r w:rsidRPr="0050146A">
        <w:rPr>
          <w:rFonts w:hint="cs"/>
          <w:rtl/>
        </w:rPr>
        <w:t xml:space="preserve"> דמשערינן שאם היו בצל וקפלוט, והיה האיסור נותן טעם בהיתר שלפנינו שנתבשל עם האיסור, היה נאסר ההיתר, והוסיף </w:t>
      </w:r>
      <w:r w:rsidRPr="0050146A">
        <w:rPr>
          <w:rStyle w:val="af8"/>
          <w:rFonts w:hint="cs"/>
          <w:rtl/>
        </w:rPr>
        <w:t xml:space="preserve">רש"י </w:t>
      </w:r>
      <w:r w:rsidRPr="0050146A">
        <w:rPr>
          <w:rFonts w:hint="cs"/>
          <w:rtl/>
        </w:rPr>
        <w:t xml:space="preserve">דאיירי באיסור שא"א לטעום אותו כגון במין במינו, או אף במין שאינו מינו באיסור, ואין כאן קפילא שיטעם, וכתב </w:t>
      </w:r>
      <w:r w:rsidRPr="0050146A">
        <w:rPr>
          <w:rStyle w:val="af8"/>
          <w:rFonts w:hint="cs"/>
          <w:rtl/>
        </w:rPr>
        <w:t xml:space="preserve">רש"י </w:t>
      </w:r>
      <w:r w:rsidRPr="0050146A">
        <w:rPr>
          <w:rFonts w:hint="cs"/>
          <w:rtl/>
        </w:rPr>
        <w:t>דכל דברי ריו"ח הם לפני שנפסק דמשערים בשישים.</w:t>
      </w:r>
      <w:bookmarkEnd w:id="1294"/>
    </w:p>
    <w:p w:rsidR="00BE3B3A" w:rsidRPr="0050146A" w:rsidRDefault="00BE3B3A" w:rsidP="00BE3B3A">
      <w:pPr>
        <w:pStyle w:val="1"/>
        <w:rPr>
          <w:rtl/>
        </w:rPr>
      </w:pPr>
      <w:bookmarkStart w:id="1295" w:name="_Toc8923156"/>
      <w:bookmarkStart w:id="1296" w:name="_Toc8933356"/>
      <w:bookmarkStart w:id="1297" w:name="_Toc8937205"/>
      <w:bookmarkStart w:id="1298" w:name="_Toc8938191"/>
      <w:bookmarkStart w:id="1299" w:name="_Toc8979089"/>
      <w:bookmarkStart w:id="1300" w:name="_Toc8986232"/>
      <w:bookmarkStart w:id="1301" w:name="_Toc9108547"/>
      <w:bookmarkStart w:id="1302" w:name="_Toc9110102"/>
      <w:bookmarkStart w:id="1303" w:name="_Toc9114464"/>
      <w:bookmarkStart w:id="1304" w:name="_Toc9149507"/>
      <w:bookmarkStart w:id="1305" w:name="_Toc9289691"/>
      <w:bookmarkStart w:id="1306" w:name="_Toc11573338"/>
      <w:bookmarkStart w:id="1307" w:name="_Toc6491233"/>
      <w:bookmarkStart w:id="1308" w:name="_Toc6581286"/>
      <w:bookmarkStart w:id="1309" w:name="_Toc6823624"/>
      <w:bookmarkStart w:id="1310" w:name="_Toc6953535"/>
      <w:bookmarkStart w:id="1311" w:name="_Toc8578659"/>
      <w:bookmarkStart w:id="1312" w:name="_Toc8765432"/>
      <w:r w:rsidRPr="0050146A">
        <w:rPr>
          <w:rFonts w:hint="cs"/>
          <w:rtl/>
        </w:rPr>
        <w:t>ביאורי הראשונים בדברי רש"י</w:t>
      </w:r>
      <w:bookmarkEnd w:id="1295"/>
      <w:bookmarkEnd w:id="1296"/>
      <w:bookmarkEnd w:id="1297"/>
      <w:bookmarkEnd w:id="1298"/>
      <w:bookmarkEnd w:id="1299"/>
      <w:bookmarkEnd w:id="1300"/>
      <w:bookmarkEnd w:id="1301"/>
      <w:bookmarkEnd w:id="1302"/>
      <w:bookmarkEnd w:id="1303"/>
      <w:bookmarkEnd w:id="1304"/>
      <w:r w:rsidRPr="0050146A">
        <w:rPr>
          <w:rFonts w:hint="cs"/>
          <w:rtl/>
        </w:rPr>
        <w:t xml:space="preserve"> דאף בשישים צריך גם קפילא</w:t>
      </w:r>
      <w:bookmarkEnd w:id="1305"/>
      <w:bookmarkEnd w:id="1306"/>
    </w:p>
    <w:p w:rsidR="00BE3B3A" w:rsidRPr="0050146A" w:rsidRDefault="00BE3B3A" w:rsidP="00BE3B3A">
      <w:pPr>
        <w:pStyle w:val="a2"/>
        <w:rPr>
          <w:rtl/>
        </w:rPr>
      </w:pPr>
      <w:bookmarkStart w:id="1313" w:name="_Toc8923157"/>
      <w:bookmarkStart w:id="1314" w:name="_Toc8933357"/>
      <w:bookmarkStart w:id="1315" w:name="_Toc8937206"/>
      <w:bookmarkStart w:id="1316" w:name="_Toc8938192"/>
      <w:bookmarkStart w:id="1317" w:name="_Toc8979090"/>
      <w:bookmarkStart w:id="1318" w:name="_Toc8986233"/>
      <w:bookmarkStart w:id="1319" w:name="_Toc9108548"/>
      <w:bookmarkStart w:id="1320" w:name="_Toc9110103"/>
      <w:bookmarkStart w:id="1321" w:name="_Toc9114465"/>
      <w:bookmarkStart w:id="1322" w:name="_Toc9149508"/>
      <w:bookmarkStart w:id="1323" w:name="_Toc9289692"/>
      <w:bookmarkStart w:id="1324" w:name="_Toc11573339"/>
      <w:r w:rsidRPr="0050146A">
        <w:rPr>
          <w:rFonts w:hint="cs"/>
          <w:rtl/>
        </w:rPr>
        <w:t>דברי הרשב"א והרא"ש והר"ן ברש"י דהא דמהני שישים להתיר הוא רק כשא"א לעמוד על הטעם</w:t>
      </w:r>
      <w:bookmarkEnd w:id="1313"/>
      <w:bookmarkEnd w:id="1314"/>
      <w:bookmarkEnd w:id="1315"/>
      <w:bookmarkEnd w:id="1316"/>
      <w:bookmarkEnd w:id="1317"/>
      <w:bookmarkEnd w:id="1318"/>
      <w:bookmarkEnd w:id="1319"/>
      <w:bookmarkEnd w:id="1320"/>
      <w:bookmarkEnd w:id="1321"/>
      <w:bookmarkEnd w:id="1322"/>
      <w:bookmarkEnd w:id="1323"/>
      <w:bookmarkEnd w:id="1324"/>
    </w:p>
    <w:p w:rsidR="00BE3B3A" w:rsidRPr="0050146A" w:rsidRDefault="00BE3B3A" w:rsidP="009F44AF">
      <w:pPr>
        <w:pStyle w:val="a"/>
        <w:rPr>
          <w:rtl/>
        </w:rPr>
      </w:pPr>
      <w:r w:rsidRPr="0050146A">
        <w:rPr>
          <w:rFonts w:hint="cs"/>
          <w:rtl/>
        </w:rPr>
        <w:t xml:space="preserve">כתבו </w:t>
      </w:r>
      <w:r w:rsidRPr="0050146A">
        <w:rPr>
          <w:rStyle w:val="af8"/>
          <w:rFonts w:hint="cs"/>
          <w:rtl/>
        </w:rPr>
        <w:t>הרשב"א בחי'</w:t>
      </w:r>
      <w:r w:rsidRPr="0050146A">
        <w:rPr>
          <w:rStyle w:val="af6"/>
          <w:rFonts w:eastAsia="Guttman Hodes" w:hint="cs"/>
          <w:rtl/>
        </w:rPr>
        <w:t xml:space="preserve"> (צח. ד"ה כל)</w:t>
      </w:r>
      <w:r w:rsidRPr="0050146A">
        <w:rPr>
          <w:rFonts w:hint="cs"/>
          <w:rtl/>
        </w:rPr>
        <w:t xml:space="preserve"> </w:t>
      </w:r>
      <w:r w:rsidRPr="0050146A">
        <w:rPr>
          <w:rStyle w:val="af8"/>
          <w:rFonts w:hint="cs"/>
          <w:rtl/>
        </w:rPr>
        <w:t xml:space="preserve">ובתוה"ב </w:t>
      </w:r>
      <w:r w:rsidRPr="0050146A">
        <w:rPr>
          <w:rStyle w:val="af6"/>
          <w:rFonts w:eastAsia="Guttman Hodes" w:hint="cs"/>
          <w:rtl/>
        </w:rPr>
        <w:t>(ב"ד ש"א ד"ף טז. מדה"ס)</w:t>
      </w:r>
      <w:r w:rsidRPr="0050146A">
        <w:rPr>
          <w:rFonts w:hint="cs"/>
          <w:rtl/>
        </w:rPr>
        <w:t xml:space="preserve"> </w:t>
      </w:r>
      <w:r w:rsidRPr="0050146A">
        <w:rPr>
          <w:rStyle w:val="af8"/>
          <w:rFonts w:hint="cs"/>
          <w:rtl/>
        </w:rPr>
        <w:t>והרא"ש</w:t>
      </w:r>
      <w:r w:rsidRPr="0050146A">
        <w:rPr>
          <w:rStyle w:val="af6"/>
          <w:rFonts w:eastAsia="Guttman Hodes" w:hint="cs"/>
          <w:rtl/>
        </w:rPr>
        <w:t xml:space="preserve"> (סי' כ"ט)</w:t>
      </w:r>
      <w:r w:rsidRPr="0050146A">
        <w:rPr>
          <w:rFonts w:hint="cs"/>
          <w:rtl/>
        </w:rPr>
        <w:t xml:space="preserve"> </w:t>
      </w:r>
      <w:r w:rsidRPr="0050146A">
        <w:rPr>
          <w:rStyle w:val="af8"/>
          <w:rFonts w:hint="cs"/>
          <w:rtl/>
        </w:rPr>
        <w:t>והר"ן על הרי"ף</w:t>
      </w:r>
      <w:r w:rsidRPr="0050146A">
        <w:rPr>
          <w:rFonts w:hint="cs"/>
          <w:rtl/>
        </w:rPr>
        <w:t xml:space="preserve"> </w:t>
      </w:r>
      <w:r w:rsidRPr="0050146A">
        <w:rPr>
          <w:rStyle w:val="af6"/>
          <w:rFonts w:eastAsia="Guttman Hodes" w:hint="cs"/>
          <w:rtl/>
        </w:rPr>
        <w:t xml:space="preserve">(לד. מדפי הרי"ף ד"ה ומין) </w:t>
      </w:r>
      <w:r w:rsidRPr="0050146A">
        <w:rPr>
          <w:rFonts w:hint="cs"/>
          <w:rtl/>
        </w:rPr>
        <w:t xml:space="preserve">דמשמע מדברי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Ref5879893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דכל ההיתר בשישים הוא דוקא במקום שאין קפילא שיטעם, אבל במקום שאפשר לעמוד על הטעם, בתרומה ע"י כהן ובאיסורא ע"י קפילא, לא סמכינן על שישים עד שיטעום, וכתב </w:t>
      </w:r>
      <w:r w:rsidRPr="0050146A">
        <w:rPr>
          <w:rStyle w:val="af8"/>
          <w:rFonts w:hint="cs"/>
          <w:rtl/>
        </w:rPr>
        <w:t>הרא"ש</w:t>
      </w:r>
      <w:r w:rsidRPr="0050146A">
        <w:rPr>
          <w:rFonts w:hint="cs"/>
          <w:rtl/>
        </w:rPr>
        <w:t xml:space="preserve"> דבפחות משישים לא מהני קפילא דלא אזלינן בתר טעמא כלל.</w:t>
      </w:r>
    </w:p>
    <w:p w:rsidR="00BE3B3A" w:rsidRPr="0050146A" w:rsidRDefault="00BE3B3A" w:rsidP="00BE3B3A">
      <w:pPr>
        <w:pStyle w:val="a2"/>
        <w:rPr>
          <w:rtl/>
        </w:rPr>
      </w:pPr>
      <w:bookmarkStart w:id="1325" w:name="_Toc8923158"/>
      <w:bookmarkStart w:id="1326" w:name="_Toc8933358"/>
      <w:bookmarkStart w:id="1327" w:name="_Toc8937207"/>
      <w:bookmarkStart w:id="1328" w:name="_Toc8938193"/>
      <w:bookmarkStart w:id="1329" w:name="_Toc8979091"/>
      <w:bookmarkStart w:id="1330" w:name="_Toc8986234"/>
      <w:bookmarkStart w:id="1331" w:name="_Toc9108549"/>
      <w:bookmarkStart w:id="1332" w:name="_Toc9110104"/>
      <w:bookmarkStart w:id="1333" w:name="_Toc9114466"/>
      <w:bookmarkStart w:id="1334" w:name="_Toc9149509"/>
      <w:bookmarkStart w:id="1335" w:name="_Toc9289693"/>
      <w:bookmarkStart w:id="1336" w:name="_Toc11573340"/>
      <w:r w:rsidRPr="0050146A">
        <w:rPr>
          <w:rFonts w:hint="cs"/>
          <w:rtl/>
        </w:rPr>
        <w:t>ביאור המעדני יו"ט דכן מוכח ממ"ש רש"י דדוקא כשא"א לעמוד על הטעם משערים בשישים</w:t>
      </w:r>
      <w:bookmarkEnd w:id="1325"/>
      <w:bookmarkEnd w:id="1326"/>
      <w:bookmarkEnd w:id="1327"/>
      <w:bookmarkEnd w:id="1328"/>
      <w:bookmarkEnd w:id="1329"/>
      <w:bookmarkEnd w:id="1330"/>
      <w:bookmarkEnd w:id="1331"/>
      <w:bookmarkEnd w:id="1332"/>
      <w:bookmarkEnd w:id="1333"/>
      <w:bookmarkEnd w:id="1334"/>
      <w:bookmarkEnd w:id="1335"/>
      <w:bookmarkEnd w:id="1336"/>
    </w:p>
    <w:p w:rsidR="00BE3B3A" w:rsidRPr="0050146A" w:rsidRDefault="00BE3B3A" w:rsidP="009F44AF">
      <w:pPr>
        <w:pStyle w:val="a"/>
        <w:rPr>
          <w:rtl/>
        </w:rPr>
      </w:pPr>
      <w:r w:rsidRPr="0050146A">
        <w:rPr>
          <w:rFonts w:hint="cs"/>
          <w:rtl/>
        </w:rPr>
        <w:t xml:space="preserve">וכתב </w:t>
      </w:r>
      <w:r w:rsidRPr="0050146A">
        <w:rPr>
          <w:rStyle w:val="af8"/>
          <w:rFonts w:hint="cs"/>
          <w:rtl/>
        </w:rPr>
        <w:t>המעדני יו"ט</w:t>
      </w:r>
      <w:r w:rsidRPr="0050146A">
        <w:rPr>
          <w:rFonts w:hint="cs"/>
          <w:rtl/>
        </w:rPr>
        <w:t xml:space="preserve"> </w:t>
      </w:r>
      <w:r w:rsidRPr="0050146A">
        <w:rPr>
          <w:rStyle w:val="af6"/>
          <w:rFonts w:eastAsia="Guttman Hodes" w:hint="cs"/>
          <w:rtl/>
        </w:rPr>
        <w:t xml:space="preserve">(על הרא"ש סי' כ"ט אות מ') </w:t>
      </w:r>
      <w:r w:rsidRPr="0050146A">
        <w:rPr>
          <w:rFonts w:hint="cs"/>
          <w:rtl/>
        </w:rPr>
        <w:t xml:space="preserve">דכוונת </w:t>
      </w:r>
      <w:r w:rsidRPr="0050146A">
        <w:rPr>
          <w:rStyle w:val="af8"/>
          <w:rFonts w:hint="cs"/>
          <w:rtl/>
        </w:rPr>
        <w:t>הרא"ש</w:t>
      </w:r>
      <w:r w:rsidRPr="0050146A">
        <w:rPr>
          <w:rFonts w:hint="cs"/>
          <w:rtl/>
        </w:rPr>
        <w:t xml:space="preserve"> לומר דהיה אפשר לפרש בדברי </w:t>
      </w:r>
      <w:r w:rsidRPr="0050146A">
        <w:rPr>
          <w:rStyle w:val="af8"/>
          <w:rFonts w:hint="cs"/>
          <w:rtl/>
        </w:rPr>
        <w:t>רש"י</w:t>
      </w:r>
      <w:r w:rsidRPr="0050146A">
        <w:rPr>
          <w:rFonts w:hint="cs"/>
          <w:rtl/>
        </w:rPr>
        <w:t xml:space="preserve"> דאין חיוב להטעים לקפילא במקום שיש שישים, אלא שאם בדקנו ונמצא טעם אסור אף כשיש שישים, אלא דדייק </w:t>
      </w:r>
      <w:r w:rsidRPr="0050146A">
        <w:rPr>
          <w:rStyle w:val="af8"/>
          <w:rFonts w:hint="cs"/>
          <w:rtl/>
        </w:rPr>
        <w:t>הרא"ש</w:t>
      </w:r>
      <w:r w:rsidRPr="0050146A">
        <w:rPr>
          <w:rFonts w:hint="cs"/>
          <w:rtl/>
        </w:rPr>
        <w:t xml:space="preserve"> דמדכתב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Ref5879893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דבמקום שא"א לעמוד על הטעם משערים בשישים, משמע דבמקום שאפשר לעמוד על הטעם ולהטעים לקפילא, לא סמכינן על שיעור שישים. </w:t>
      </w:r>
    </w:p>
    <w:p w:rsidR="00BE3B3A" w:rsidRPr="0050146A" w:rsidRDefault="00BE3B3A" w:rsidP="00BE3B3A">
      <w:pPr>
        <w:pStyle w:val="a2"/>
        <w:rPr>
          <w:rtl/>
        </w:rPr>
      </w:pPr>
      <w:bookmarkStart w:id="1337" w:name="_Toc8923160"/>
      <w:bookmarkStart w:id="1338" w:name="_Toc8933360"/>
      <w:bookmarkStart w:id="1339" w:name="_Toc8937209"/>
      <w:bookmarkStart w:id="1340" w:name="_Toc8938195"/>
      <w:bookmarkStart w:id="1341" w:name="_Toc8979093"/>
      <w:bookmarkStart w:id="1342" w:name="_Toc8986236"/>
      <w:bookmarkStart w:id="1343" w:name="_Toc9108551"/>
      <w:bookmarkStart w:id="1344" w:name="_Toc9110106"/>
      <w:bookmarkStart w:id="1345" w:name="_Toc9114468"/>
      <w:bookmarkStart w:id="1346" w:name="_Toc9149511"/>
      <w:bookmarkStart w:id="1347" w:name="_Toc9289695"/>
      <w:bookmarkStart w:id="1348" w:name="_Toc11573341"/>
      <w:r w:rsidRPr="0050146A">
        <w:rPr>
          <w:rFonts w:hint="cs"/>
          <w:rtl/>
        </w:rPr>
        <w:t>דברי הרמב"ן דלרש"י כוונת רבא לומר ב' שיעורים דקפילא ושישים דכ"א מהם הוא עומד בפנ"ע</w:t>
      </w:r>
      <w:bookmarkEnd w:id="1337"/>
      <w:bookmarkEnd w:id="1338"/>
      <w:bookmarkEnd w:id="1339"/>
      <w:bookmarkEnd w:id="1340"/>
      <w:bookmarkEnd w:id="1341"/>
      <w:bookmarkEnd w:id="1342"/>
      <w:bookmarkEnd w:id="1343"/>
      <w:bookmarkEnd w:id="1344"/>
      <w:bookmarkEnd w:id="1345"/>
      <w:bookmarkEnd w:id="1346"/>
      <w:bookmarkEnd w:id="1347"/>
      <w:bookmarkEnd w:id="1348"/>
    </w:p>
    <w:p w:rsidR="00BE3B3A" w:rsidRPr="0050146A" w:rsidRDefault="00BE3B3A" w:rsidP="009F44AF">
      <w:pPr>
        <w:pStyle w:val="a"/>
        <w:rPr>
          <w:rtl/>
        </w:rPr>
      </w:pPr>
      <w:bookmarkStart w:id="1349" w:name="_Ref8850100"/>
      <w:r w:rsidRPr="0050146A">
        <w:rPr>
          <w:rStyle w:val="af8"/>
          <w:rFonts w:hint="cs"/>
          <w:rtl/>
        </w:rPr>
        <w:t>והרמב"ן לקמן</w:t>
      </w:r>
      <w:r w:rsidRPr="0050146A">
        <w:rPr>
          <w:rStyle w:val="af6"/>
          <w:rFonts w:eastAsia="Guttman Hodes" w:hint="cs"/>
          <w:rtl/>
        </w:rPr>
        <w:t xml:space="preserve"> </w:t>
      </w:r>
      <w:r w:rsidRPr="0050146A">
        <w:rPr>
          <w:rStyle w:val="af6"/>
          <w:rFonts w:eastAsia="Guttman Hodes" w:hint="eastAsia"/>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Ref8918545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כתב דדברי </w:t>
      </w:r>
      <w:r w:rsidRPr="0050146A">
        <w:rPr>
          <w:rStyle w:val="af8"/>
          <w:rFonts w:hint="cs"/>
          <w:rtl/>
        </w:rPr>
        <w:t>רש"י</w:t>
      </w:r>
      <w:r w:rsidRPr="0050146A">
        <w:rPr>
          <w:rFonts w:hint="cs"/>
          <w:rtl/>
        </w:rPr>
        <w:t xml:space="preserve"> נכונים, וביאר </w:t>
      </w:r>
      <w:r w:rsidRPr="0050146A">
        <w:rPr>
          <w:rStyle w:val="af8"/>
          <w:rFonts w:hint="cs"/>
          <w:rtl/>
        </w:rPr>
        <w:t xml:space="preserve">הרמב"ן </w:t>
      </w:r>
      <w:r w:rsidRPr="0050146A">
        <w:rPr>
          <w:rFonts w:hint="cs"/>
          <w:rtl/>
        </w:rPr>
        <w:t xml:space="preserve">בדעת </w:t>
      </w:r>
      <w:r w:rsidRPr="0050146A">
        <w:rPr>
          <w:rStyle w:val="af8"/>
          <w:rFonts w:hint="cs"/>
          <w:rtl/>
        </w:rPr>
        <w:t>רש"י</w:t>
      </w:r>
      <w:r w:rsidRPr="0050146A">
        <w:rPr>
          <w:rFonts w:hint="cs"/>
          <w:rtl/>
        </w:rPr>
        <w:t xml:space="preserve"> דהא דאמר רבא דאמור רבנן בקפילא ואמור רבנן בשישים, היינו דכל שיעור הוא עומד בפנ"ע, דבמקום שא"א לשער שיעור שישים, מהני קפילא להתיר, ובמקום שא"א לעמוד על הטעם כמין במינו או כשאין קפילא מהני שישים להתיר, אבל במקום שאפשר לעמוד על הטעם, צריך גם קפילא וגם שישים בכדי להתיר, ועי' במה שביאר בזה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Ref8918545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sidRPr="0050146A">
        <w:rPr>
          <w:rStyle w:val="af6"/>
          <w:rFonts w:eastAsia="Guttman Hodes"/>
          <w:rtl/>
        </w:rPr>
        <w:fldChar w:fldCharType="end"/>
      </w:r>
      <w:r w:rsidRPr="0050146A">
        <w:rPr>
          <w:rFonts w:hint="cs"/>
          <w:rtl/>
        </w:rPr>
        <w:t xml:space="preserve"> באריכות, וכ"כ </w:t>
      </w:r>
      <w:r w:rsidRPr="0050146A">
        <w:rPr>
          <w:rStyle w:val="af8"/>
          <w:rFonts w:hint="cs"/>
          <w:rtl/>
        </w:rPr>
        <w:t>הרשב"א בחי'</w:t>
      </w:r>
      <w:r w:rsidRPr="0050146A">
        <w:rPr>
          <w:rStyle w:val="af6"/>
          <w:rFonts w:eastAsia="Guttman Hodes" w:hint="cs"/>
          <w:rtl/>
        </w:rPr>
        <w:t xml:space="preserve"> (צח. ד"ה כל)</w:t>
      </w:r>
      <w:r w:rsidRPr="0050146A">
        <w:rPr>
          <w:rFonts w:hint="cs"/>
          <w:rtl/>
        </w:rPr>
        <w:t xml:space="preserve"> </w:t>
      </w:r>
      <w:r w:rsidRPr="0050146A">
        <w:rPr>
          <w:rStyle w:val="af8"/>
          <w:rFonts w:hint="cs"/>
          <w:rtl/>
        </w:rPr>
        <w:t xml:space="preserve">ובתוה"ב </w:t>
      </w:r>
      <w:r w:rsidRPr="0050146A">
        <w:rPr>
          <w:rStyle w:val="af6"/>
          <w:rFonts w:eastAsia="Guttman Hodes" w:hint="cs"/>
          <w:rtl/>
        </w:rPr>
        <w:t>(ב"ד ש"א ד"ף טז. מדה"ס)</w:t>
      </w:r>
      <w:r w:rsidRPr="0050146A">
        <w:rPr>
          <w:rFonts w:hint="cs"/>
          <w:rtl/>
        </w:rPr>
        <w:t xml:space="preserve"> דלדברי </w:t>
      </w:r>
      <w:r w:rsidRPr="0050146A">
        <w:rPr>
          <w:rStyle w:val="af8"/>
          <w:rFonts w:hint="cs"/>
          <w:rtl/>
        </w:rPr>
        <w:t>רש"י</w:t>
      </w:r>
      <w:r w:rsidRPr="0050146A">
        <w:rPr>
          <w:rFonts w:hint="cs"/>
          <w:rtl/>
        </w:rPr>
        <w:t xml:space="preserve"> מבואר דהא דהתיר רבא בשישים, היינו דוקא במין במינו שא"א לעמוד על הטעם, או כשאין קפילא.</w:t>
      </w:r>
      <w:bookmarkEnd w:id="1349"/>
      <w:r w:rsidRPr="0050146A">
        <w:rPr>
          <w:rFonts w:hint="cs"/>
          <w:rtl/>
        </w:rPr>
        <w:t xml:space="preserve"> </w:t>
      </w:r>
    </w:p>
    <w:p w:rsidR="00BE3B3A" w:rsidRPr="0050146A" w:rsidRDefault="00BE3B3A" w:rsidP="00BE3B3A">
      <w:pPr>
        <w:pStyle w:val="a2"/>
      </w:pPr>
      <w:bookmarkStart w:id="1350" w:name="_Toc8923161"/>
      <w:bookmarkStart w:id="1351" w:name="_Toc8933361"/>
      <w:bookmarkStart w:id="1352" w:name="_Toc8937210"/>
      <w:bookmarkStart w:id="1353" w:name="_Toc8938196"/>
      <w:bookmarkStart w:id="1354" w:name="_Toc8979094"/>
      <w:bookmarkStart w:id="1355" w:name="_Toc8986237"/>
      <w:bookmarkStart w:id="1356" w:name="_Toc9108552"/>
      <w:bookmarkStart w:id="1357" w:name="_Toc9110107"/>
      <w:bookmarkStart w:id="1358" w:name="_Toc9114469"/>
      <w:bookmarkStart w:id="1359" w:name="_Toc9149512"/>
      <w:bookmarkStart w:id="1360" w:name="_Toc9289696"/>
      <w:bookmarkStart w:id="1361" w:name="_Toc11573342"/>
      <w:r w:rsidRPr="0050146A">
        <w:rPr>
          <w:rFonts w:hint="cs"/>
          <w:rtl/>
        </w:rPr>
        <w:t>ביאור הרמב"ן והרשב"א והרא"ש ברש"י ריו"ח התיר בכילכית ע"י קפילא דאיירי שהיה שישים</w:t>
      </w:r>
      <w:bookmarkEnd w:id="1350"/>
      <w:bookmarkEnd w:id="1351"/>
      <w:bookmarkEnd w:id="1352"/>
      <w:bookmarkEnd w:id="1353"/>
      <w:bookmarkEnd w:id="1354"/>
      <w:bookmarkEnd w:id="1355"/>
      <w:bookmarkEnd w:id="1356"/>
      <w:bookmarkEnd w:id="1357"/>
      <w:bookmarkEnd w:id="1358"/>
      <w:bookmarkEnd w:id="1359"/>
      <w:bookmarkEnd w:id="1360"/>
      <w:bookmarkEnd w:id="1361"/>
    </w:p>
    <w:p w:rsidR="00BE3B3A" w:rsidRPr="0050146A" w:rsidRDefault="00BE3B3A" w:rsidP="009F44AF">
      <w:pPr>
        <w:pStyle w:val="a"/>
        <w:rPr>
          <w:rtl/>
        </w:rPr>
      </w:pPr>
      <w:bookmarkStart w:id="1362" w:name="_Ref8898916"/>
      <w:r w:rsidRPr="0050146A">
        <w:rPr>
          <w:rFonts w:hint="cs"/>
          <w:rtl/>
        </w:rPr>
        <w:t xml:space="preserve">וכתבו </w:t>
      </w:r>
      <w:r w:rsidRPr="0050146A">
        <w:rPr>
          <w:rStyle w:val="af8"/>
          <w:rFonts w:hint="cs"/>
          <w:rtl/>
        </w:rPr>
        <w:t>הרמב"ן לקמן</w:t>
      </w:r>
      <w:r w:rsidRPr="0050146A">
        <w:rPr>
          <w:rFonts w:hint="cs"/>
          <w:rtl/>
        </w:rPr>
        <w:t xml:space="preserve"> </w:t>
      </w:r>
      <w:r w:rsidRPr="0050146A">
        <w:rPr>
          <w:rStyle w:val="af6"/>
          <w:rFonts w:eastAsia="Guttman Hodes" w:hint="cs"/>
          <w:rtl/>
        </w:rPr>
        <w:t>(צח. ד"ה כל)</w:t>
      </w:r>
      <w:r w:rsidRPr="0050146A">
        <w:rPr>
          <w:rFonts w:hint="cs"/>
          <w:rtl/>
        </w:rPr>
        <w:t xml:space="preserve"> </w:t>
      </w:r>
      <w:r w:rsidRPr="0050146A">
        <w:rPr>
          <w:rStyle w:val="af8"/>
          <w:rFonts w:hint="cs"/>
          <w:rtl/>
        </w:rPr>
        <w:t>והרשב"א בחי'</w:t>
      </w:r>
      <w:r w:rsidRPr="0050146A">
        <w:rPr>
          <w:rStyle w:val="af6"/>
          <w:rFonts w:eastAsia="Guttman Hodes" w:hint="cs"/>
          <w:rtl/>
        </w:rPr>
        <w:t xml:space="preserve"> (צח. ד"ה כל)</w:t>
      </w:r>
      <w:r w:rsidRPr="0050146A">
        <w:rPr>
          <w:rFonts w:hint="cs"/>
          <w:rtl/>
        </w:rPr>
        <w:t xml:space="preserve"> </w:t>
      </w:r>
      <w:r w:rsidRPr="0050146A">
        <w:rPr>
          <w:rStyle w:val="af8"/>
          <w:rFonts w:hint="cs"/>
          <w:rtl/>
        </w:rPr>
        <w:t xml:space="preserve">ובתוה"ב </w:t>
      </w:r>
      <w:r w:rsidRPr="0050146A">
        <w:rPr>
          <w:rStyle w:val="af6"/>
          <w:rFonts w:eastAsia="Guttman Hodes" w:hint="cs"/>
          <w:rtl/>
        </w:rPr>
        <w:t>(ב"ד ש"א ד"ף טז. מדה"ס)</w:t>
      </w:r>
      <w:r w:rsidRPr="0050146A">
        <w:rPr>
          <w:rFonts w:hint="cs"/>
          <w:rtl/>
        </w:rPr>
        <w:t xml:space="preserve"> </w:t>
      </w:r>
      <w:r w:rsidRPr="0050146A">
        <w:rPr>
          <w:rStyle w:val="af8"/>
          <w:rFonts w:hint="cs"/>
          <w:rtl/>
        </w:rPr>
        <w:t>והרא"ש</w:t>
      </w:r>
      <w:r w:rsidRPr="0050146A">
        <w:rPr>
          <w:rStyle w:val="af6"/>
          <w:rFonts w:eastAsia="Guttman Hodes" w:hint="cs"/>
          <w:rtl/>
        </w:rPr>
        <w:t xml:space="preserve"> (סי' כ"ט)</w:t>
      </w:r>
      <w:r w:rsidRPr="0050146A">
        <w:rPr>
          <w:rFonts w:hint="cs"/>
          <w:rtl/>
        </w:rPr>
        <w:t xml:space="preserve"> דלדעת </w:t>
      </w:r>
      <w:r w:rsidRPr="0050146A">
        <w:rPr>
          <w:rStyle w:val="af8"/>
          <w:rFonts w:hint="cs"/>
          <w:rtl/>
        </w:rPr>
        <w:t>רש"י</w:t>
      </w:r>
      <w:r w:rsidRPr="0050146A">
        <w:rPr>
          <w:rFonts w:hint="cs"/>
          <w:rtl/>
        </w:rPr>
        <w:t xml:space="preserve"> הא דהתיר ריו"ח כילכית באילפס ע"י קפילא, איירי שהיה שם שישים, אבל בלא שישים לא היה ריו"ח מתיר בקפילא.</w:t>
      </w:r>
      <w:bookmarkEnd w:id="1362"/>
    </w:p>
    <w:p w:rsidR="00BE3B3A" w:rsidRPr="0050146A" w:rsidRDefault="00BE3B3A" w:rsidP="00BE3B3A">
      <w:pPr>
        <w:pStyle w:val="a2"/>
        <w:rPr>
          <w:rtl/>
        </w:rPr>
      </w:pPr>
      <w:bookmarkStart w:id="1363" w:name="_Toc8933362"/>
      <w:bookmarkStart w:id="1364" w:name="_Toc8937211"/>
      <w:bookmarkStart w:id="1365" w:name="_Toc8938197"/>
      <w:bookmarkStart w:id="1366" w:name="_Toc8979095"/>
      <w:bookmarkStart w:id="1367" w:name="_Toc8986238"/>
      <w:bookmarkStart w:id="1368" w:name="_Toc9108553"/>
      <w:bookmarkStart w:id="1369" w:name="_Toc9110108"/>
      <w:bookmarkStart w:id="1370" w:name="_Toc9114470"/>
      <w:bookmarkStart w:id="1371" w:name="_Toc9149513"/>
      <w:bookmarkStart w:id="1372" w:name="_Toc9289697"/>
      <w:bookmarkStart w:id="1373" w:name="_Toc11573343"/>
      <w:r w:rsidRPr="0050146A">
        <w:rPr>
          <w:rFonts w:hint="cs"/>
          <w:rtl/>
        </w:rPr>
        <w:t>ביאור האיסור והיתר הארוך ברש"י דסגי בשישים ובפחות משישים לא פלוג רבנן ול"מ קפילא</w:t>
      </w:r>
      <w:bookmarkEnd w:id="1363"/>
      <w:bookmarkEnd w:id="1364"/>
      <w:bookmarkEnd w:id="1365"/>
      <w:bookmarkEnd w:id="1366"/>
      <w:bookmarkEnd w:id="1367"/>
      <w:bookmarkEnd w:id="1368"/>
      <w:bookmarkEnd w:id="1369"/>
      <w:bookmarkEnd w:id="1370"/>
      <w:bookmarkEnd w:id="1371"/>
      <w:bookmarkEnd w:id="1372"/>
      <w:bookmarkEnd w:id="1373"/>
    </w:p>
    <w:p w:rsidR="002D7168" w:rsidRDefault="00BE3B3A" w:rsidP="009F44AF">
      <w:pPr>
        <w:pStyle w:val="a"/>
        <w:rPr>
          <w:rtl/>
        </w:rPr>
      </w:pPr>
      <w:r w:rsidRPr="0050146A">
        <w:rPr>
          <w:rFonts w:hint="cs"/>
          <w:rtl/>
        </w:rPr>
        <w:t xml:space="preserve">אמנם </w:t>
      </w:r>
      <w:r w:rsidRPr="0050146A">
        <w:rPr>
          <w:rStyle w:val="af8"/>
          <w:rFonts w:hint="cs"/>
          <w:rtl/>
        </w:rPr>
        <w:t>באיסור והיתר הארוך</w:t>
      </w:r>
      <w:r w:rsidRPr="0050146A">
        <w:rPr>
          <w:rFonts w:hint="cs"/>
          <w:rtl/>
        </w:rPr>
        <w:t xml:space="preserve"> </w:t>
      </w:r>
      <w:r w:rsidRPr="0050146A">
        <w:rPr>
          <w:rStyle w:val="af6"/>
          <w:rFonts w:eastAsia="Guttman Hodes" w:hint="cs"/>
          <w:rtl/>
        </w:rPr>
        <w:t xml:space="preserve">(שער כ"ג א') </w:t>
      </w:r>
      <w:r w:rsidRPr="0050146A">
        <w:rPr>
          <w:rFonts w:hint="cs"/>
          <w:rtl/>
        </w:rPr>
        <w:t xml:space="preserve">כתב </w:t>
      </w:r>
      <w:r w:rsidRPr="0050146A">
        <w:rPr>
          <w:rStyle w:val="af8"/>
          <w:rFonts w:hint="cs"/>
          <w:rtl/>
        </w:rPr>
        <w:t>דרש"י</w:t>
      </w:r>
      <w:r w:rsidRPr="0050146A">
        <w:rPr>
          <w:rFonts w:hint="cs"/>
          <w:rtl/>
        </w:rPr>
        <w:t xml:space="preserve"> ס"ל</w:t>
      </w:r>
      <w:r w:rsidRPr="0050146A">
        <w:rPr>
          <w:rStyle w:val="af8"/>
          <w:rFonts w:hint="cs"/>
          <w:rtl/>
        </w:rPr>
        <w:t xml:space="preserve"> כתוס'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Ref8923606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Ref8923631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דבמקום שיש שישים א"צ קפילא, וכתב </w:t>
      </w:r>
      <w:r w:rsidRPr="0050146A">
        <w:rPr>
          <w:rStyle w:val="af8"/>
          <w:rFonts w:hint="cs"/>
          <w:rtl/>
        </w:rPr>
        <w:t>באיסור והיתר הארוך</w:t>
      </w:r>
      <w:r w:rsidRPr="0050146A">
        <w:rPr>
          <w:rFonts w:hint="cs"/>
          <w:rtl/>
        </w:rPr>
        <w:t xml:space="preserve"> דהוסיף </w:t>
      </w:r>
      <w:r w:rsidRPr="0050146A">
        <w:rPr>
          <w:rStyle w:val="af8"/>
          <w:rFonts w:hint="cs"/>
          <w:rtl/>
        </w:rPr>
        <w:t>רש"י</w:t>
      </w:r>
      <w:r w:rsidRPr="0050146A">
        <w:rPr>
          <w:rFonts w:hint="cs"/>
          <w:rtl/>
        </w:rPr>
        <w:t xml:space="preserve"> דבפחות משישים אם טעם הקפילא ואמר שאין בו טעם, דאף שאין בו טעם אסור דלא פלוג רבנן. </w:t>
      </w:r>
    </w:p>
    <w:p w:rsidR="00BE3B3A" w:rsidRPr="0050146A" w:rsidRDefault="00BE3B3A" w:rsidP="00BE3B3A">
      <w:pPr>
        <w:pStyle w:val="1"/>
        <w:rPr>
          <w:rtl/>
        </w:rPr>
      </w:pPr>
      <w:bookmarkStart w:id="1374" w:name="_Toc8923162"/>
      <w:bookmarkStart w:id="1375" w:name="_Toc8933363"/>
      <w:bookmarkStart w:id="1376" w:name="_Toc8937212"/>
      <w:bookmarkStart w:id="1377" w:name="_Toc8938198"/>
      <w:bookmarkStart w:id="1378" w:name="_Toc8979096"/>
      <w:bookmarkStart w:id="1379" w:name="_Toc8986239"/>
      <w:bookmarkStart w:id="1380" w:name="_Toc9108554"/>
      <w:bookmarkStart w:id="1381" w:name="_Toc9110109"/>
      <w:bookmarkStart w:id="1382" w:name="_Toc9114471"/>
      <w:bookmarkStart w:id="1383" w:name="_Toc9149514"/>
      <w:bookmarkStart w:id="1384" w:name="_Toc9289698"/>
      <w:bookmarkStart w:id="1385" w:name="_Toc11573344"/>
      <w:r w:rsidRPr="0050146A">
        <w:rPr>
          <w:rFonts w:hint="cs"/>
          <w:rtl/>
        </w:rPr>
        <w:t>קושיות הראשונים על דברי רש"י</w:t>
      </w:r>
      <w:bookmarkEnd w:id="1374"/>
      <w:bookmarkEnd w:id="1375"/>
      <w:bookmarkEnd w:id="1376"/>
      <w:bookmarkEnd w:id="1377"/>
      <w:bookmarkEnd w:id="1378"/>
      <w:bookmarkEnd w:id="1379"/>
      <w:bookmarkEnd w:id="1380"/>
      <w:bookmarkEnd w:id="1381"/>
      <w:bookmarkEnd w:id="1382"/>
      <w:bookmarkEnd w:id="1383"/>
      <w:r w:rsidRPr="0050146A">
        <w:rPr>
          <w:rFonts w:hint="cs"/>
          <w:rtl/>
        </w:rPr>
        <w:t xml:space="preserve"> דאף בשישים צריך גם קפילא</w:t>
      </w:r>
      <w:bookmarkEnd w:id="1384"/>
      <w:bookmarkEnd w:id="1385"/>
    </w:p>
    <w:p w:rsidR="00BE3B3A" w:rsidRPr="0050146A" w:rsidRDefault="00BE3B3A" w:rsidP="00BE3B3A">
      <w:pPr>
        <w:pStyle w:val="a2"/>
        <w:rPr>
          <w:rtl/>
        </w:rPr>
      </w:pPr>
      <w:bookmarkStart w:id="1386" w:name="_Toc8923163"/>
      <w:bookmarkStart w:id="1387" w:name="_Toc8933364"/>
      <w:bookmarkStart w:id="1388" w:name="_Toc8937213"/>
      <w:bookmarkStart w:id="1389" w:name="_Toc8938199"/>
      <w:bookmarkStart w:id="1390" w:name="_Toc8979097"/>
      <w:bookmarkStart w:id="1391" w:name="_Toc8986240"/>
      <w:bookmarkStart w:id="1392" w:name="_Toc9108555"/>
      <w:bookmarkStart w:id="1393" w:name="_Toc9110110"/>
      <w:bookmarkStart w:id="1394" w:name="_Toc9114472"/>
      <w:bookmarkStart w:id="1395" w:name="_Toc9149515"/>
      <w:bookmarkStart w:id="1396" w:name="_Toc9289699"/>
      <w:bookmarkStart w:id="1397" w:name="_Toc11573345"/>
      <w:r w:rsidRPr="0050146A">
        <w:rPr>
          <w:rFonts w:hint="cs"/>
          <w:rtl/>
        </w:rPr>
        <w:t>קושית הרא"ש והר"ן והרא"ה דלשון סמכינן על קפילא משמע לקולא ולרש"י הקפילא בא להחמיר</w:t>
      </w:r>
      <w:bookmarkEnd w:id="1386"/>
      <w:bookmarkEnd w:id="1387"/>
      <w:bookmarkEnd w:id="1388"/>
      <w:bookmarkEnd w:id="1389"/>
      <w:bookmarkEnd w:id="1390"/>
      <w:bookmarkEnd w:id="1391"/>
      <w:bookmarkEnd w:id="1392"/>
      <w:bookmarkEnd w:id="1393"/>
      <w:bookmarkEnd w:id="1394"/>
      <w:bookmarkEnd w:id="1395"/>
      <w:bookmarkEnd w:id="1396"/>
      <w:bookmarkEnd w:id="1397"/>
    </w:p>
    <w:p w:rsidR="00BE3B3A" w:rsidRPr="0050146A" w:rsidRDefault="00BE3B3A" w:rsidP="009F44AF">
      <w:pPr>
        <w:pStyle w:val="a"/>
        <w:rPr>
          <w:rtl/>
        </w:rPr>
      </w:pPr>
      <w:bookmarkStart w:id="1398" w:name="_Ref8917178"/>
      <w:r w:rsidRPr="0050146A">
        <w:rPr>
          <w:rFonts w:hint="cs"/>
          <w:rtl/>
        </w:rPr>
        <w:t>הקשו</w:t>
      </w:r>
      <w:r w:rsidRPr="0050146A">
        <w:rPr>
          <w:rStyle w:val="af8"/>
          <w:rFonts w:hint="cs"/>
          <w:rtl/>
        </w:rPr>
        <w:t xml:space="preserve"> הרא"ש</w:t>
      </w:r>
      <w:r w:rsidRPr="0050146A">
        <w:rPr>
          <w:rFonts w:hint="cs"/>
          <w:rtl/>
        </w:rPr>
        <w:t xml:space="preserve"> </w:t>
      </w:r>
      <w:r w:rsidRPr="0050146A">
        <w:rPr>
          <w:rStyle w:val="af6"/>
          <w:rFonts w:eastAsia="Guttman Hodes" w:hint="cs"/>
          <w:rtl/>
        </w:rPr>
        <w:t xml:space="preserve">(סי כ"ט) </w:t>
      </w:r>
      <w:r w:rsidRPr="0050146A">
        <w:rPr>
          <w:rStyle w:val="af8"/>
          <w:rFonts w:hint="cs"/>
          <w:rtl/>
        </w:rPr>
        <w:t>והר"ן על הרי"ף</w:t>
      </w:r>
      <w:r w:rsidRPr="0050146A">
        <w:rPr>
          <w:rFonts w:hint="cs"/>
          <w:rtl/>
        </w:rPr>
        <w:t xml:space="preserve"> </w:t>
      </w:r>
      <w:r w:rsidRPr="0050146A">
        <w:rPr>
          <w:rStyle w:val="af6"/>
          <w:rFonts w:eastAsia="Guttman Hodes" w:hint="cs"/>
          <w:rtl/>
        </w:rPr>
        <w:t xml:space="preserve">(לד. מדפי הרי"ף ד"ה ומין) </w:t>
      </w:r>
      <w:r w:rsidRPr="0050146A">
        <w:rPr>
          <w:rStyle w:val="af8"/>
          <w:rFonts w:hint="cs"/>
          <w:rtl/>
        </w:rPr>
        <w:t>והרא"ה בחי'</w:t>
      </w:r>
      <w:r w:rsidRPr="0050146A">
        <w:rPr>
          <w:rFonts w:hint="cs"/>
          <w:rtl/>
        </w:rPr>
        <w:t xml:space="preserve"> </w:t>
      </w:r>
      <w:r w:rsidRPr="0050146A">
        <w:rPr>
          <w:rStyle w:val="af6"/>
          <w:rFonts w:eastAsia="Guttman Hodes" w:hint="cs"/>
          <w:rtl/>
        </w:rPr>
        <w:t>(ד"ה מתני')</w:t>
      </w:r>
      <w:r w:rsidRPr="0050146A">
        <w:rPr>
          <w:rFonts w:hint="cs"/>
          <w:rtl/>
        </w:rPr>
        <w:t xml:space="preserve"> על</w:t>
      </w:r>
      <w:r w:rsidRPr="0050146A">
        <w:rPr>
          <w:rStyle w:val="af8"/>
          <w:rFonts w:hint="cs"/>
          <w:rtl/>
        </w:rPr>
        <w:t xml:space="preserve"> רש"י</w:t>
      </w:r>
      <w:r w:rsidRPr="0050146A">
        <w:rPr>
          <w:rFonts w:hint="cs"/>
          <w:rtl/>
        </w:rPr>
        <w:t xml:space="preserve"> דמלשון הגמ' "סמכינן אקפילא" משמע דלקולא סמכינן עליה, ואילו לדעת </w:t>
      </w:r>
      <w:r w:rsidRPr="0050146A">
        <w:rPr>
          <w:rStyle w:val="af8"/>
          <w:rFonts w:hint="cs"/>
          <w:rtl/>
        </w:rPr>
        <w:t>רש"י</w:t>
      </w:r>
      <w:r w:rsidRPr="0050146A">
        <w:rPr>
          <w:rFonts w:hint="cs"/>
          <w:rtl/>
        </w:rPr>
        <w:t xml:space="preserve"> הקפילא בא להחמיר, ואי </w:t>
      </w:r>
      <w:r w:rsidRPr="0050146A">
        <w:rPr>
          <w:rFonts w:hint="cs"/>
          <w:rtl/>
        </w:rPr>
        <w:lastRenderedPageBreak/>
        <w:t>כ"מ דמהני קפילא הוא במקום שיש שישים, מה הרבותא של הקפילא דסמכינן עליה, הרי גם אם לא היה קפילא היה מותר בשישים, כדאמר רבא דמין בשאינו מינו וליכא קפילא בשישים, וא"כ הקפילא בא להחמיר ולאסור אף במקום שיש שישים, דצריך להטעימו לקפילא.</w:t>
      </w:r>
      <w:bookmarkEnd w:id="1398"/>
    </w:p>
    <w:p w:rsidR="00BE3B3A" w:rsidRPr="0050146A" w:rsidRDefault="00BE3B3A" w:rsidP="00BE3B3A">
      <w:pPr>
        <w:pStyle w:val="a2"/>
        <w:rPr>
          <w:rtl/>
        </w:rPr>
      </w:pPr>
      <w:bookmarkStart w:id="1399" w:name="_Toc8923164"/>
      <w:bookmarkStart w:id="1400" w:name="_Toc8933365"/>
      <w:bookmarkStart w:id="1401" w:name="_Toc8937214"/>
      <w:bookmarkStart w:id="1402" w:name="_Toc8938200"/>
      <w:bookmarkStart w:id="1403" w:name="_Toc8979098"/>
      <w:bookmarkStart w:id="1404" w:name="_Toc8986241"/>
      <w:bookmarkStart w:id="1405" w:name="_Toc9108556"/>
      <w:bookmarkStart w:id="1406" w:name="_Toc9110111"/>
      <w:bookmarkStart w:id="1407" w:name="_Toc9114473"/>
      <w:bookmarkStart w:id="1408" w:name="_Toc9149516"/>
      <w:bookmarkStart w:id="1409" w:name="_Toc9289700"/>
      <w:bookmarkStart w:id="1410" w:name="_Toc11573346"/>
      <w:r w:rsidRPr="0050146A">
        <w:rPr>
          <w:rFonts w:hint="cs"/>
          <w:rtl/>
        </w:rPr>
        <w:t>דברי הר"ן דא"א לומר דצריך שישים וקפילא דהא חכמים השוו מידותיהם ושיערו תמיד בשישים</w:t>
      </w:r>
      <w:bookmarkEnd w:id="1399"/>
      <w:bookmarkEnd w:id="1400"/>
      <w:bookmarkEnd w:id="1401"/>
      <w:bookmarkEnd w:id="1402"/>
      <w:bookmarkEnd w:id="1403"/>
      <w:bookmarkEnd w:id="1404"/>
      <w:bookmarkEnd w:id="1405"/>
      <w:bookmarkEnd w:id="1406"/>
      <w:bookmarkEnd w:id="1407"/>
      <w:bookmarkEnd w:id="1408"/>
      <w:bookmarkEnd w:id="1409"/>
      <w:bookmarkEnd w:id="1410"/>
    </w:p>
    <w:p w:rsidR="00BE3B3A" w:rsidRPr="0050146A" w:rsidRDefault="00BE3B3A" w:rsidP="009F44AF">
      <w:pPr>
        <w:pStyle w:val="a"/>
        <w:rPr>
          <w:rtl/>
        </w:rPr>
      </w:pPr>
      <w:r w:rsidRPr="0050146A">
        <w:rPr>
          <w:rFonts w:hint="cs"/>
          <w:rtl/>
        </w:rPr>
        <w:t xml:space="preserve">והוסיף </w:t>
      </w:r>
      <w:r w:rsidRPr="0050146A">
        <w:rPr>
          <w:rStyle w:val="af8"/>
          <w:rFonts w:hint="cs"/>
          <w:rtl/>
        </w:rPr>
        <w:t>הר"ן על הרי"ף</w:t>
      </w:r>
      <w:r w:rsidRPr="0050146A">
        <w:rPr>
          <w:rFonts w:hint="cs"/>
          <w:rtl/>
        </w:rPr>
        <w:t xml:space="preserve"> דא"א לומר דהא דמהני קפילא הוא דוקא בפחות משישים, דהא חכמים השוו את מדותיהם דכל איסורין שבתורה בשישים, ובמקום שיש שישים לא מועיל הקפילא כלום, דהרי אף בלא קפילא סגי בשישים להתיר.</w:t>
      </w:r>
    </w:p>
    <w:p w:rsidR="00BE3B3A" w:rsidRPr="0050146A" w:rsidRDefault="00BE3B3A" w:rsidP="00BE3B3A">
      <w:pPr>
        <w:pStyle w:val="a2"/>
        <w:rPr>
          <w:rtl/>
        </w:rPr>
      </w:pPr>
      <w:bookmarkStart w:id="1411" w:name="_Toc8923165"/>
      <w:bookmarkStart w:id="1412" w:name="_Toc8933366"/>
      <w:bookmarkStart w:id="1413" w:name="_Toc8937215"/>
      <w:bookmarkStart w:id="1414" w:name="_Toc8938201"/>
      <w:bookmarkStart w:id="1415" w:name="_Toc8979099"/>
      <w:bookmarkStart w:id="1416" w:name="_Toc8986242"/>
      <w:bookmarkStart w:id="1417" w:name="_Toc9108557"/>
      <w:bookmarkStart w:id="1418" w:name="_Toc9110112"/>
      <w:bookmarkStart w:id="1419" w:name="_Toc9114474"/>
      <w:bookmarkStart w:id="1420" w:name="_Toc9149517"/>
      <w:bookmarkStart w:id="1421" w:name="_Toc9289701"/>
      <w:bookmarkStart w:id="1422" w:name="_Toc11573347"/>
      <w:r w:rsidRPr="0050146A">
        <w:rPr>
          <w:rFonts w:hint="cs"/>
          <w:rtl/>
        </w:rPr>
        <w:t>קושית הרמב"ן והרשב"א דאי קפילא בא להחמיר מה הוכיח רבא מריו"ח דסמכינן על קפילא</w:t>
      </w:r>
      <w:bookmarkEnd w:id="1411"/>
      <w:bookmarkEnd w:id="1412"/>
      <w:bookmarkEnd w:id="1413"/>
      <w:bookmarkEnd w:id="1414"/>
      <w:bookmarkEnd w:id="1415"/>
      <w:bookmarkEnd w:id="1416"/>
      <w:bookmarkEnd w:id="1417"/>
      <w:bookmarkEnd w:id="1418"/>
      <w:bookmarkEnd w:id="1419"/>
      <w:bookmarkEnd w:id="1420"/>
      <w:bookmarkEnd w:id="1421"/>
      <w:bookmarkEnd w:id="1422"/>
    </w:p>
    <w:p w:rsidR="00BE3B3A" w:rsidRPr="0050146A" w:rsidRDefault="00BE3B3A" w:rsidP="009F44AF">
      <w:pPr>
        <w:pStyle w:val="a"/>
        <w:rPr>
          <w:rStyle w:val="afa"/>
          <w:rtl/>
        </w:rPr>
      </w:pPr>
      <w:r w:rsidRPr="0050146A">
        <w:rPr>
          <w:rStyle w:val="af8"/>
          <w:rFonts w:hint="cs"/>
          <w:rtl/>
        </w:rPr>
        <w:t>והרמב"ן לקמן</w:t>
      </w:r>
      <w:r w:rsidRPr="0050146A">
        <w:rPr>
          <w:rFonts w:hint="cs"/>
          <w:rtl/>
        </w:rPr>
        <w:t xml:space="preserve"> </w:t>
      </w:r>
      <w:r w:rsidRPr="0050146A">
        <w:rPr>
          <w:rStyle w:val="af6"/>
          <w:rFonts w:eastAsia="Guttman Hodes" w:hint="cs"/>
          <w:rtl/>
        </w:rPr>
        <w:t>(צח. ד"ה כל)</w:t>
      </w:r>
      <w:r w:rsidRPr="0050146A">
        <w:rPr>
          <w:rFonts w:hint="cs"/>
          <w:rtl/>
        </w:rPr>
        <w:t xml:space="preserve"> </w:t>
      </w:r>
      <w:r w:rsidRPr="0050146A">
        <w:rPr>
          <w:rStyle w:val="af8"/>
          <w:rFonts w:hint="cs"/>
          <w:rtl/>
        </w:rPr>
        <w:t>והרשב"א בחי'</w:t>
      </w:r>
      <w:r w:rsidRPr="0050146A">
        <w:rPr>
          <w:rStyle w:val="af6"/>
          <w:rFonts w:eastAsia="Guttman Hodes" w:hint="cs"/>
          <w:rtl/>
        </w:rPr>
        <w:t xml:space="preserve"> (צח. ד"ה כל)</w:t>
      </w:r>
      <w:r w:rsidRPr="0050146A">
        <w:rPr>
          <w:rFonts w:hint="cs"/>
          <w:rtl/>
        </w:rPr>
        <w:t xml:space="preserve"> </w:t>
      </w:r>
      <w:r w:rsidRPr="0050146A">
        <w:rPr>
          <w:rStyle w:val="af8"/>
          <w:rFonts w:hint="cs"/>
          <w:rtl/>
        </w:rPr>
        <w:t xml:space="preserve">ובתוה"ב </w:t>
      </w:r>
      <w:r w:rsidRPr="0050146A">
        <w:rPr>
          <w:rStyle w:val="af6"/>
          <w:rFonts w:eastAsia="Guttman Hodes" w:hint="cs"/>
          <w:rtl/>
        </w:rPr>
        <w:t>(ב"ד ש"א ד"ף טז. מדה"ס)</w:t>
      </w:r>
      <w:r w:rsidRPr="0050146A">
        <w:rPr>
          <w:rFonts w:hint="cs"/>
          <w:rtl/>
        </w:rPr>
        <w:t xml:space="preserve"> הקשו על </w:t>
      </w:r>
      <w:r w:rsidRPr="0050146A">
        <w:rPr>
          <w:rStyle w:val="af8"/>
          <w:rFonts w:hint="cs"/>
          <w:rtl/>
        </w:rPr>
        <w:t>רש"י</w:t>
      </w:r>
      <w:r w:rsidRPr="0050146A">
        <w:rPr>
          <w:rFonts w:hint="cs"/>
          <w:rtl/>
        </w:rPr>
        <w:t xml:space="preserve"> דאי כל מה דבא הקפילא הוא להחמיר דאף כשיש שישים צריך להטעימו לקפילא, א"כ היאך הוכיח רבא מדברי ריו"ח בכילכית באילפס דסמכינן על הקפילא. </w:t>
      </w:r>
      <w:r w:rsidRPr="0050146A">
        <w:rPr>
          <w:rStyle w:val="afa"/>
          <w:rFonts w:hint="cs"/>
          <w:rtl/>
        </w:rPr>
        <w:t xml:space="preserve">[וכדביארו </w:t>
      </w:r>
      <w:r w:rsidRPr="0050146A">
        <w:rPr>
          <w:rStyle w:val="affa"/>
          <w:rFonts w:hint="cs"/>
          <w:rtl/>
        </w:rPr>
        <w:t>הרמב"ן והרשב"א</w:t>
      </w:r>
      <w:r w:rsidRPr="0050146A">
        <w:rPr>
          <w:rStyle w:val="afa"/>
          <w:rFonts w:hint="cs"/>
          <w:rtl/>
        </w:rPr>
        <w:t xml:space="preserve"> דלדעת </w:t>
      </w:r>
      <w:r w:rsidRPr="0050146A">
        <w:rPr>
          <w:rStyle w:val="affa"/>
          <w:rFonts w:hint="cs"/>
          <w:rtl/>
        </w:rPr>
        <w:t>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Ref8898916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י)</w:t>
      </w:r>
      <w:r w:rsidRPr="0050146A">
        <w:rPr>
          <w:rStyle w:val="aff6"/>
          <w:rtl/>
        </w:rPr>
        <w:fldChar w:fldCharType="end"/>
      </w:r>
      <w:r w:rsidRPr="0050146A">
        <w:rPr>
          <w:rStyle w:val="afa"/>
          <w:rFonts w:hint="cs"/>
          <w:rtl/>
        </w:rPr>
        <w:t xml:space="preserve"> בכילכית באילפס איירי שהיה שם שישים].  </w:t>
      </w:r>
    </w:p>
    <w:p w:rsidR="00BE3B3A" w:rsidRPr="0050146A" w:rsidRDefault="00BE3B3A" w:rsidP="00BE3B3A">
      <w:pPr>
        <w:pStyle w:val="a2"/>
        <w:rPr>
          <w:rtl/>
        </w:rPr>
      </w:pPr>
      <w:bookmarkStart w:id="1423" w:name="_Toc8937216"/>
      <w:bookmarkStart w:id="1424" w:name="_Toc8938202"/>
      <w:bookmarkStart w:id="1425" w:name="_Toc8979100"/>
      <w:bookmarkStart w:id="1426" w:name="_Toc8986243"/>
      <w:bookmarkStart w:id="1427" w:name="_Toc9108558"/>
      <w:bookmarkStart w:id="1428" w:name="_Toc9110113"/>
      <w:bookmarkStart w:id="1429" w:name="_Toc9114475"/>
      <w:bookmarkStart w:id="1430" w:name="_Toc9149518"/>
      <w:bookmarkStart w:id="1431" w:name="_Toc9289702"/>
      <w:bookmarkStart w:id="1432" w:name="_Toc11573348"/>
      <w:r w:rsidRPr="0050146A">
        <w:rPr>
          <w:rFonts w:hint="cs"/>
          <w:rtl/>
        </w:rPr>
        <w:t>ביאור החזו"א בקושית הרמב"ן דשיעור שישים הוא חומרא וא"כ הקפילא בא להקל</w:t>
      </w:r>
      <w:bookmarkEnd w:id="1423"/>
      <w:bookmarkEnd w:id="1424"/>
      <w:bookmarkEnd w:id="1425"/>
      <w:bookmarkEnd w:id="1426"/>
      <w:bookmarkEnd w:id="1427"/>
      <w:bookmarkEnd w:id="1428"/>
      <w:bookmarkEnd w:id="1429"/>
      <w:bookmarkEnd w:id="1430"/>
      <w:bookmarkEnd w:id="1431"/>
      <w:bookmarkEnd w:id="1432"/>
    </w:p>
    <w:p w:rsidR="00BE3B3A" w:rsidRPr="0050146A" w:rsidRDefault="00BE3B3A" w:rsidP="009F44AF">
      <w:pPr>
        <w:pStyle w:val="a"/>
      </w:pPr>
      <w:bookmarkStart w:id="1433" w:name="_Ref8973483"/>
      <w:bookmarkStart w:id="1434" w:name="_Toc8923166"/>
      <w:bookmarkStart w:id="1435" w:name="_Toc8933367"/>
      <w:r w:rsidRPr="0050146A">
        <w:rPr>
          <w:rFonts w:hint="cs"/>
          <w:rtl/>
        </w:rPr>
        <w:t>וביאר</w:t>
      </w:r>
      <w:r w:rsidRPr="0050146A">
        <w:rPr>
          <w:rtl/>
        </w:rPr>
        <w:t xml:space="preserve"> </w:t>
      </w:r>
      <w:r w:rsidRPr="0050146A">
        <w:rPr>
          <w:rStyle w:val="af8"/>
          <w:rtl/>
        </w:rPr>
        <w:t>החזו"א</w:t>
      </w:r>
      <w:r w:rsidRPr="0050146A">
        <w:rPr>
          <w:rtl/>
        </w:rPr>
        <w:t xml:space="preserve"> </w:t>
      </w:r>
      <w:r w:rsidRPr="0050146A">
        <w:rPr>
          <w:rStyle w:val="af6"/>
          <w:rFonts w:eastAsia="Guttman Hodes"/>
          <w:rtl/>
        </w:rPr>
        <w:t>(סי' כ"ז סק"ב)</w:t>
      </w:r>
      <w:r w:rsidRPr="0050146A">
        <w:rPr>
          <w:rtl/>
        </w:rPr>
        <w:t xml:space="preserve"> </w:t>
      </w:r>
      <w:r w:rsidRPr="0050146A">
        <w:rPr>
          <w:rFonts w:hint="cs"/>
          <w:rtl/>
        </w:rPr>
        <w:t xml:space="preserve">את קושית </w:t>
      </w:r>
      <w:r w:rsidRPr="0050146A">
        <w:rPr>
          <w:rStyle w:val="af8"/>
          <w:rtl/>
        </w:rPr>
        <w:t>הרמב"ן</w:t>
      </w:r>
      <w:r w:rsidRPr="0050146A">
        <w:rPr>
          <w:rtl/>
        </w:rPr>
        <w:t xml:space="preserve"> </w:t>
      </w:r>
      <w:r w:rsidRPr="0050146A">
        <w:rPr>
          <w:rFonts w:hint="cs"/>
          <w:rtl/>
        </w:rPr>
        <w:t xml:space="preserve">על רש"י דלדבריו הקפילא בא להחמיר, </w:t>
      </w:r>
      <w:r w:rsidRPr="0050146A">
        <w:rPr>
          <w:rtl/>
        </w:rPr>
        <w:t>ד</w:t>
      </w:r>
      <w:r w:rsidRPr="0050146A">
        <w:rPr>
          <w:rFonts w:hint="cs"/>
          <w:rtl/>
        </w:rPr>
        <w:t xml:space="preserve">הרי </w:t>
      </w:r>
      <w:r w:rsidRPr="0050146A">
        <w:rPr>
          <w:rtl/>
        </w:rPr>
        <w:t>שיעור שישים הוא לחומרא</w:t>
      </w:r>
      <w:r w:rsidRPr="0050146A">
        <w:rPr>
          <w:rFonts w:hint="cs"/>
          <w:rtl/>
        </w:rPr>
        <w:t>,</w:t>
      </w:r>
      <w:r w:rsidRPr="0050146A">
        <w:rPr>
          <w:rtl/>
        </w:rPr>
        <w:t xml:space="preserve"> דנתנו חכמים שיעור גדול כדי שאם יהיה האיסור דבר שנותן הרבה טעם</w:t>
      </w:r>
      <w:r w:rsidRPr="0050146A">
        <w:rPr>
          <w:rFonts w:hint="cs"/>
          <w:rtl/>
        </w:rPr>
        <w:t>,</w:t>
      </w:r>
      <w:r w:rsidRPr="0050146A">
        <w:rPr>
          <w:rtl/>
        </w:rPr>
        <w:t xml:space="preserve"> וההיתר דבר שמקבל הרבה טעם, מ"מ בשישים אינו נותן טעם, וא"כ הקפילא שטועם צריך ל</w:t>
      </w:r>
      <w:r w:rsidRPr="0050146A">
        <w:rPr>
          <w:rFonts w:hint="cs"/>
          <w:rtl/>
        </w:rPr>
        <w:t>הקל ול</w:t>
      </w:r>
      <w:r w:rsidRPr="0050146A">
        <w:rPr>
          <w:rtl/>
        </w:rPr>
        <w:t>התיר אף בפחות משישים.</w:t>
      </w:r>
      <w:bookmarkEnd w:id="1433"/>
    </w:p>
    <w:p w:rsidR="00BE3B3A" w:rsidRPr="0050146A" w:rsidRDefault="00BE3B3A" w:rsidP="00BE3B3A">
      <w:pPr>
        <w:pStyle w:val="a2"/>
      </w:pPr>
      <w:bookmarkStart w:id="1436" w:name="_Toc8937217"/>
      <w:bookmarkStart w:id="1437" w:name="_Toc8938203"/>
      <w:bookmarkStart w:id="1438" w:name="_Toc8979101"/>
      <w:bookmarkStart w:id="1439" w:name="_Toc8986244"/>
      <w:bookmarkStart w:id="1440" w:name="_Toc9108559"/>
      <w:bookmarkStart w:id="1441" w:name="_Toc9110114"/>
      <w:bookmarkStart w:id="1442" w:name="_Toc9114476"/>
      <w:bookmarkStart w:id="1443" w:name="_Toc9149519"/>
      <w:bookmarkStart w:id="1444" w:name="_Toc9289703"/>
      <w:bookmarkStart w:id="1445" w:name="_Toc11573349"/>
      <w:r w:rsidRPr="0050146A">
        <w:rPr>
          <w:rFonts w:hint="cs"/>
          <w:rtl/>
        </w:rPr>
        <w:t>קושית הריטב"א דלדברי רש"י הקפילא לא מועיל כלל ובגמ' משמע דיש מעלה בקפילא</w:t>
      </w:r>
      <w:bookmarkEnd w:id="1434"/>
      <w:bookmarkEnd w:id="1435"/>
      <w:bookmarkEnd w:id="1436"/>
      <w:bookmarkEnd w:id="1437"/>
      <w:bookmarkEnd w:id="1438"/>
      <w:bookmarkEnd w:id="1439"/>
      <w:bookmarkEnd w:id="1440"/>
      <w:bookmarkEnd w:id="1441"/>
      <w:bookmarkEnd w:id="1442"/>
      <w:bookmarkEnd w:id="1443"/>
      <w:bookmarkEnd w:id="1444"/>
      <w:bookmarkEnd w:id="1445"/>
    </w:p>
    <w:p w:rsidR="00BE3B3A" w:rsidRPr="0050146A" w:rsidRDefault="00BE3B3A" w:rsidP="009F44AF">
      <w:pPr>
        <w:pStyle w:val="a"/>
        <w:rPr>
          <w:rtl/>
        </w:rPr>
      </w:pPr>
      <w:r w:rsidRPr="0050146A">
        <w:rPr>
          <w:rStyle w:val="af8"/>
          <w:rFonts w:hint="cs"/>
          <w:rtl/>
        </w:rPr>
        <w:t>והריטב"א</w:t>
      </w:r>
      <w:r w:rsidRPr="0050146A">
        <w:rPr>
          <w:rFonts w:hint="cs"/>
          <w:rtl/>
        </w:rPr>
        <w:t xml:space="preserve"> </w:t>
      </w:r>
      <w:r w:rsidRPr="0050146A">
        <w:rPr>
          <w:rStyle w:val="af6"/>
          <w:rFonts w:eastAsia="Guttman Hodes" w:hint="cs"/>
          <w:rtl/>
        </w:rPr>
        <w:t>(ד"ה סמכינן)</w:t>
      </w:r>
      <w:r w:rsidRPr="0050146A">
        <w:rPr>
          <w:rFonts w:hint="cs"/>
          <w:rtl/>
        </w:rPr>
        <w:t xml:space="preserve"> בשם </w:t>
      </w:r>
      <w:r w:rsidRPr="0050146A">
        <w:rPr>
          <w:rStyle w:val="af8"/>
          <w:rFonts w:hint="cs"/>
          <w:rtl/>
        </w:rPr>
        <w:t>הרמב"ן</w:t>
      </w:r>
      <w:r w:rsidRPr="0050146A">
        <w:rPr>
          <w:rFonts w:hint="cs"/>
          <w:rtl/>
        </w:rPr>
        <w:t xml:space="preserve"> הוסיף להקשות על </w:t>
      </w:r>
      <w:r w:rsidRPr="0050146A">
        <w:rPr>
          <w:rStyle w:val="af8"/>
          <w:rFonts w:hint="cs"/>
          <w:rtl/>
        </w:rPr>
        <w:t>רש"י</w:t>
      </w:r>
      <w:r w:rsidRPr="0050146A">
        <w:rPr>
          <w:rFonts w:hint="cs"/>
          <w:rtl/>
        </w:rPr>
        <w:t xml:space="preserve"> דמה הרבותא של הקפילא דאמרינן בגמ' דסמכינן עליה, הרי גם כשאומר הקפילא שאין טעם איסור, מ"מ אם הוא פחות משישים אסור, כדהוכיח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מהגמ' לקמן </w:t>
      </w:r>
      <w:r w:rsidRPr="0050146A">
        <w:rPr>
          <w:rStyle w:val="af6"/>
          <w:rFonts w:eastAsia="Guttman Hodes" w:hint="cs"/>
          <w:rtl/>
        </w:rPr>
        <w:t>(צט.)</w:t>
      </w:r>
      <w:r w:rsidRPr="0050146A">
        <w:rPr>
          <w:rFonts w:hint="cs"/>
          <w:rtl/>
        </w:rPr>
        <w:t xml:space="preserve"> דאף כשיש קפילא צריך שישים להתיר, ובמקום שיש שישים מותר וא"צ להטעים לקפילא, דבסתמא כל שיש שישים אין בו טעם איסור, וכדאיתא בגמ' בהרבה מקומות דהביטול הוא בשישים, וכן מוכח מהגמ' דאמור רבנן בטעמא ואמור רבנן בשישים, וא"כ מה מהני הקפילא הא לא בא להקל כלל.</w:t>
      </w:r>
    </w:p>
    <w:p w:rsidR="00BE3B3A" w:rsidRPr="0050146A" w:rsidRDefault="00BE3B3A" w:rsidP="00BE3B3A">
      <w:pPr>
        <w:pStyle w:val="a2"/>
        <w:rPr>
          <w:rtl/>
        </w:rPr>
      </w:pPr>
      <w:bookmarkStart w:id="1446" w:name="_Toc8923167"/>
      <w:bookmarkStart w:id="1447" w:name="_Toc8933368"/>
      <w:bookmarkStart w:id="1448" w:name="_Toc8937218"/>
      <w:bookmarkStart w:id="1449" w:name="_Toc8938204"/>
      <w:bookmarkStart w:id="1450" w:name="_Toc8979102"/>
      <w:bookmarkStart w:id="1451" w:name="_Toc8986245"/>
      <w:bookmarkStart w:id="1452" w:name="_Toc9108560"/>
      <w:bookmarkStart w:id="1453" w:name="_Toc9110115"/>
      <w:bookmarkStart w:id="1454" w:name="_Toc9114477"/>
      <w:bookmarkStart w:id="1455" w:name="_Toc9149520"/>
      <w:bookmarkStart w:id="1456" w:name="_Toc9289704"/>
      <w:bookmarkStart w:id="1457" w:name="_Toc11573350"/>
      <w:r w:rsidRPr="0050146A">
        <w:rPr>
          <w:rFonts w:hint="cs"/>
          <w:rtl/>
        </w:rPr>
        <w:t>קושית הרא"ש דבגמ' משמע דבשישים לבד סגי ובמקום שאין טעם סגי בקפילא וא"צ שישים</w:t>
      </w:r>
      <w:bookmarkEnd w:id="1446"/>
      <w:bookmarkEnd w:id="1447"/>
      <w:bookmarkEnd w:id="1448"/>
      <w:bookmarkEnd w:id="1449"/>
      <w:bookmarkEnd w:id="1450"/>
      <w:bookmarkEnd w:id="1451"/>
      <w:bookmarkEnd w:id="1452"/>
      <w:bookmarkEnd w:id="1453"/>
      <w:bookmarkEnd w:id="1454"/>
      <w:bookmarkEnd w:id="1455"/>
      <w:bookmarkEnd w:id="1456"/>
      <w:bookmarkEnd w:id="1457"/>
    </w:p>
    <w:p w:rsidR="00BE3B3A" w:rsidRPr="0050146A" w:rsidRDefault="00BE3B3A" w:rsidP="009F44AF">
      <w:pPr>
        <w:pStyle w:val="a"/>
        <w:rPr>
          <w:rtl/>
        </w:rPr>
      </w:pPr>
      <w:r w:rsidRPr="0050146A">
        <w:rPr>
          <w:rFonts w:hint="cs"/>
          <w:rtl/>
        </w:rPr>
        <w:t xml:space="preserve">וכן הקשה </w:t>
      </w:r>
      <w:r w:rsidRPr="0050146A">
        <w:rPr>
          <w:rStyle w:val="af8"/>
          <w:rFonts w:hint="cs"/>
          <w:rtl/>
        </w:rPr>
        <w:t>הרא"ש</w:t>
      </w:r>
      <w:r w:rsidRPr="0050146A">
        <w:rPr>
          <w:rFonts w:hint="cs"/>
          <w:rtl/>
        </w:rPr>
        <w:t xml:space="preserve"> </w:t>
      </w:r>
      <w:r w:rsidRPr="0050146A">
        <w:rPr>
          <w:rStyle w:val="af6"/>
          <w:rFonts w:eastAsia="Guttman Hodes" w:hint="cs"/>
          <w:rtl/>
        </w:rPr>
        <w:t xml:space="preserve">(סי כ"ט) </w:t>
      </w:r>
      <w:r w:rsidRPr="0050146A">
        <w:rPr>
          <w:rFonts w:hint="cs"/>
          <w:rtl/>
        </w:rPr>
        <w:t xml:space="preserve">דבכל הש"ס אמרינן בסתמא דכל איסורים שבתורה בשישים, ולא משמע שצריך לחזר עם אחר קפילא בכדי להתיר במקום שיש שישים, ועוד הקשה </w:t>
      </w:r>
      <w:r w:rsidRPr="0050146A">
        <w:rPr>
          <w:rStyle w:val="af8"/>
          <w:rFonts w:hint="cs"/>
          <w:rtl/>
        </w:rPr>
        <w:t>הרא"ש</w:t>
      </w:r>
      <w:r w:rsidRPr="0050146A">
        <w:rPr>
          <w:rFonts w:hint="cs"/>
          <w:rtl/>
        </w:rPr>
        <w:t xml:space="preserve"> מדברי רבא דאמר דשיעורו בשישים, רק במקום שא"א לעמוד על הטעם, כמין במינו או במין בשאינו מינו דאין קפילא, אבל במקום שאפשר לעמוד על הטעם במין בשאינו מינו דאמר רבא בקפילא, משמע שא"צ שישים כלל, דכל שאמר הקפילא שאין בו טעם מותר אף בפחות משישים ועי' במ"ש </w:t>
      </w:r>
      <w:r w:rsidRPr="0050146A">
        <w:rPr>
          <w:rStyle w:val="af8"/>
          <w:rtl/>
        </w:rPr>
        <w:t>הראש יוסף</w:t>
      </w:r>
      <w:r w:rsidRPr="0050146A">
        <w:rPr>
          <w:rStyle w:val="affa"/>
          <w:rtl/>
        </w:rPr>
        <w:t xml:space="preserve"> </w:t>
      </w:r>
      <w:r w:rsidRPr="0050146A">
        <w:rPr>
          <w:rStyle w:val="af6"/>
          <w:rFonts w:eastAsia="Guttman Rashi"/>
          <w:rtl/>
        </w:rPr>
        <w:t>(ד"ה הנה דעת רש"י)</w:t>
      </w:r>
      <w:r w:rsidRPr="0050146A">
        <w:rPr>
          <w:rStyle w:val="afa"/>
          <w:rtl/>
        </w:rPr>
        <w:t xml:space="preserve"> </w:t>
      </w:r>
      <w:r w:rsidRPr="0050146A">
        <w:rPr>
          <w:rFonts w:hint="cs"/>
          <w:rtl/>
        </w:rPr>
        <w:t xml:space="preserve">בביאור דעת </w:t>
      </w:r>
      <w:r w:rsidRPr="0050146A">
        <w:rPr>
          <w:rStyle w:val="af8"/>
          <w:rFonts w:hint="cs"/>
          <w:rtl/>
        </w:rPr>
        <w:t>רש"י</w:t>
      </w:r>
      <w:r w:rsidRPr="0050146A">
        <w:rPr>
          <w:rFonts w:hint="cs"/>
          <w:rtl/>
        </w:rPr>
        <w:t xml:space="preserve"> בדברי רבא.</w:t>
      </w:r>
    </w:p>
    <w:p w:rsidR="00BE3B3A" w:rsidRPr="0050146A" w:rsidRDefault="00BE3B3A" w:rsidP="00BE3B3A">
      <w:pPr>
        <w:pStyle w:val="1"/>
        <w:rPr>
          <w:rtl/>
        </w:rPr>
      </w:pPr>
      <w:bookmarkStart w:id="1458" w:name="_Toc8923168"/>
      <w:bookmarkStart w:id="1459" w:name="_Toc8933369"/>
      <w:bookmarkStart w:id="1460" w:name="_Toc8937219"/>
      <w:bookmarkStart w:id="1461" w:name="_Toc8938205"/>
      <w:bookmarkStart w:id="1462" w:name="_Toc8979103"/>
      <w:bookmarkStart w:id="1463" w:name="_Toc8986246"/>
      <w:bookmarkStart w:id="1464" w:name="_Toc9108561"/>
      <w:bookmarkStart w:id="1465" w:name="_Toc9110116"/>
      <w:bookmarkStart w:id="1466" w:name="_Toc9114478"/>
      <w:bookmarkStart w:id="1467" w:name="_Toc9149521"/>
      <w:bookmarkStart w:id="1468" w:name="_Toc9289705"/>
      <w:bookmarkStart w:id="1469" w:name="_Toc11573351"/>
      <w:r w:rsidRPr="0050146A">
        <w:rPr>
          <w:rFonts w:hint="cs"/>
          <w:rtl/>
        </w:rPr>
        <w:t xml:space="preserve">דחיית התוס' את ראיית רש"י </w:t>
      </w:r>
      <w:bookmarkEnd w:id="1458"/>
      <w:bookmarkEnd w:id="1459"/>
      <w:bookmarkEnd w:id="1460"/>
      <w:bookmarkEnd w:id="1461"/>
      <w:bookmarkEnd w:id="1462"/>
      <w:bookmarkEnd w:id="1463"/>
      <w:bookmarkEnd w:id="1464"/>
      <w:bookmarkEnd w:id="1465"/>
      <w:bookmarkEnd w:id="1466"/>
      <w:bookmarkEnd w:id="1467"/>
      <w:r w:rsidRPr="0050146A">
        <w:rPr>
          <w:rFonts w:hint="cs"/>
          <w:rtl/>
        </w:rPr>
        <w:t>דאף כשאין טעם צריך שישים</w:t>
      </w:r>
      <w:bookmarkEnd w:id="1468"/>
      <w:bookmarkEnd w:id="1469"/>
    </w:p>
    <w:p w:rsidR="00BE3B3A" w:rsidRPr="0050146A" w:rsidRDefault="00BE3B3A" w:rsidP="00BE3B3A">
      <w:pPr>
        <w:pStyle w:val="a2"/>
        <w:rPr>
          <w:rtl/>
        </w:rPr>
      </w:pPr>
      <w:bookmarkStart w:id="1470" w:name="_Toc8923169"/>
      <w:bookmarkStart w:id="1471" w:name="_Toc8933370"/>
      <w:bookmarkStart w:id="1472" w:name="_Toc8937220"/>
      <w:bookmarkStart w:id="1473" w:name="_Toc8938206"/>
      <w:bookmarkStart w:id="1474" w:name="_Toc8979104"/>
      <w:bookmarkStart w:id="1475" w:name="_Toc8986247"/>
      <w:bookmarkStart w:id="1476" w:name="_Toc9108562"/>
      <w:bookmarkStart w:id="1477" w:name="_Toc9110117"/>
      <w:bookmarkStart w:id="1478" w:name="_Toc9114479"/>
      <w:bookmarkStart w:id="1479" w:name="_Toc9149522"/>
      <w:bookmarkStart w:id="1480" w:name="_Toc9289706"/>
      <w:bookmarkStart w:id="1481" w:name="_Toc11573352"/>
      <w:r w:rsidRPr="0050146A">
        <w:rPr>
          <w:rFonts w:hint="cs"/>
          <w:rtl/>
        </w:rPr>
        <w:t>ביאור התוס' דכוונת הגמ' לקמן דבסתמא צריך שישים אבל כשטעם הכהן מותר אף בפחות משישים</w:t>
      </w:r>
      <w:bookmarkEnd w:id="1470"/>
      <w:bookmarkEnd w:id="1471"/>
      <w:bookmarkEnd w:id="1472"/>
      <w:bookmarkEnd w:id="1473"/>
      <w:bookmarkEnd w:id="1474"/>
      <w:bookmarkEnd w:id="1475"/>
      <w:bookmarkEnd w:id="1476"/>
      <w:bookmarkEnd w:id="1477"/>
      <w:bookmarkEnd w:id="1478"/>
      <w:bookmarkEnd w:id="1479"/>
      <w:bookmarkEnd w:id="1480"/>
      <w:bookmarkEnd w:id="1481"/>
    </w:p>
    <w:p w:rsidR="00BE3B3A" w:rsidRPr="0050146A" w:rsidRDefault="00BE3B3A" w:rsidP="009F44AF">
      <w:pPr>
        <w:pStyle w:val="a"/>
        <w:rPr>
          <w:rtl/>
        </w:rPr>
      </w:pPr>
      <w:bookmarkStart w:id="1482" w:name="_Ref8896382"/>
      <w:r w:rsidRPr="0050146A">
        <w:rPr>
          <w:rFonts w:hint="cs"/>
          <w:rtl/>
        </w:rPr>
        <w:t xml:space="preserve">ובמה שהביא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Ref5960885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ראיה מהגמ' לקמן </w:t>
      </w:r>
      <w:r w:rsidRPr="0050146A">
        <w:rPr>
          <w:rStyle w:val="af6"/>
          <w:rFonts w:eastAsia="Guttman Hodes" w:hint="cs"/>
          <w:rtl/>
        </w:rPr>
        <w:t xml:space="preserve">(צט.) </w:t>
      </w:r>
      <w:r w:rsidRPr="0050146A">
        <w:rPr>
          <w:rFonts w:hint="cs"/>
          <w:rtl/>
        </w:rPr>
        <w:t xml:space="preserve">דמשמע דאף במקום שאמר הקפילא שאין טעם עדיין צריך שישים, דחו </w:t>
      </w:r>
      <w:r w:rsidRPr="0050146A">
        <w:rPr>
          <w:rStyle w:val="af8"/>
          <w:rFonts w:hint="cs"/>
          <w:rtl/>
        </w:rPr>
        <w:t>התוס'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Ref8896021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דאין כוונת הגמ' לקמן לומר דבמקום שאין טעם איסור ג"כ צריך שישים להתיר, אלא דבסתמא במקום שלא ידוע אם יש טעם צריך שישים להתיר, ועי' בדברי </w:t>
      </w:r>
      <w:r w:rsidRPr="0050146A">
        <w:rPr>
          <w:rStyle w:val="af8"/>
          <w:rFonts w:hint="cs"/>
          <w:rtl/>
        </w:rPr>
        <w:t>התוס'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Ref8896036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50146A">
        <w:rPr>
          <w:rStyle w:val="af6"/>
          <w:rFonts w:eastAsia="Guttman Hodes"/>
          <w:rtl/>
        </w:rPr>
        <w:fldChar w:fldCharType="end"/>
      </w:r>
      <w:r w:rsidRPr="0050146A">
        <w:rPr>
          <w:rFonts w:hint="cs"/>
          <w:rtl/>
        </w:rPr>
        <w:t xml:space="preserve"> במ"ש בביאור הגמ'.</w:t>
      </w:r>
      <w:bookmarkEnd w:id="1482"/>
    </w:p>
    <w:p w:rsidR="00BE3B3A" w:rsidRPr="0050146A" w:rsidRDefault="00BE3B3A" w:rsidP="00BE3B3A">
      <w:pPr>
        <w:pStyle w:val="a2"/>
        <w:rPr>
          <w:rtl/>
        </w:rPr>
      </w:pPr>
      <w:bookmarkStart w:id="1483" w:name="_Toc8923170"/>
      <w:bookmarkStart w:id="1484" w:name="_Toc8933371"/>
      <w:bookmarkStart w:id="1485" w:name="_Toc8937221"/>
      <w:bookmarkStart w:id="1486" w:name="_Toc8938207"/>
      <w:bookmarkStart w:id="1487" w:name="_Toc8979105"/>
      <w:bookmarkStart w:id="1488" w:name="_Toc8986248"/>
      <w:bookmarkStart w:id="1489" w:name="_Toc9108563"/>
      <w:bookmarkStart w:id="1490" w:name="_Toc9110118"/>
      <w:bookmarkStart w:id="1491" w:name="_Toc9114480"/>
      <w:bookmarkStart w:id="1492" w:name="_Toc9149523"/>
      <w:bookmarkStart w:id="1493" w:name="_Toc9289707"/>
      <w:bookmarkStart w:id="1494" w:name="_Toc11573353"/>
      <w:r w:rsidRPr="0050146A">
        <w:rPr>
          <w:rFonts w:hint="cs"/>
          <w:rtl/>
        </w:rPr>
        <w:t>ביאור הרא"ש דכוונת הגמ' דבמקום שאמר הכהן שיש טעם אסור אף במאה ובסתמא סגי בשישים</w:t>
      </w:r>
      <w:bookmarkEnd w:id="1483"/>
      <w:bookmarkEnd w:id="1484"/>
      <w:bookmarkEnd w:id="1485"/>
      <w:bookmarkEnd w:id="1486"/>
      <w:bookmarkEnd w:id="1487"/>
      <w:bookmarkEnd w:id="1488"/>
      <w:bookmarkEnd w:id="1489"/>
      <w:bookmarkEnd w:id="1490"/>
      <w:bookmarkEnd w:id="1491"/>
      <w:bookmarkEnd w:id="1492"/>
      <w:bookmarkEnd w:id="1493"/>
      <w:bookmarkEnd w:id="1494"/>
    </w:p>
    <w:p w:rsidR="00BE3B3A" w:rsidRPr="0050146A" w:rsidRDefault="00BE3B3A" w:rsidP="009F44AF">
      <w:pPr>
        <w:pStyle w:val="a"/>
        <w:rPr>
          <w:rtl/>
        </w:rPr>
      </w:pPr>
      <w:bookmarkStart w:id="1495" w:name="_Ref8896415"/>
      <w:r w:rsidRPr="0050146A">
        <w:rPr>
          <w:rStyle w:val="af8"/>
          <w:rFonts w:hint="cs"/>
          <w:rtl/>
        </w:rPr>
        <w:t>והרא"ש</w:t>
      </w:r>
      <w:r w:rsidRPr="0050146A">
        <w:rPr>
          <w:rFonts w:hint="cs"/>
          <w:rtl/>
        </w:rPr>
        <w:t xml:space="preserve"> </w:t>
      </w:r>
      <w:r w:rsidRPr="0050146A">
        <w:rPr>
          <w:rStyle w:val="af6"/>
          <w:rFonts w:eastAsia="Guttman Hodes" w:hint="cs"/>
          <w:rtl/>
        </w:rPr>
        <w:t>(סי' כ"ט)</w:t>
      </w:r>
      <w:r w:rsidRPr="0050146A">
        <w:rPr>
          <w:rFonts w:hint="cs"/>
          <w:rtl/>
        </w:rPr>
        <w:t xml:space="preserve"> דחה את הראיה שהביא </w:t>
      </w:r>
      <w:r w:rsidRPr="0050146A">
        <w:rPr>
          <w:rStyle w:val="af8"/>
          <w:rFonts w:hint="cs"/>
          <w:rtl/>
        </w:rPr>
        <w:t xml:space="preserve">רש"י </w:t>
      </w:r>
      <w:r w:rsidRPr="0050146A">
        <w:rPr>
          <w:rFonts w:hint="cs"/>
          <w:rtl/>
        </w:rPr>
        <w:t xml:space="preserve">דכוונת הגמ' לקמן לומר דבמקום שהכהן טעם והרגיש בטעם התרומה, אסור אף במקום שיש מאה </w:t>
      </w:r>
      <w:r w:rsidRPr="0050146A">
        <w:rPr>
          <w:rStyle w:val="afa"/>
          <w:rFonts w:hint="cs"/>
          <w:rtl/>
        </w:rPr>
        <w:t>[בתרומה, ובאיסורין שישים],</w:t>
      </w:r>
      <w:r w:rsidRPr="0050146A">
        <w:rPr>
          <w:rFonts w:hint="cs"/>
          <w:rtl/>
        </w:rPr>
        <w:t xml:space="preserve"> דכיון שידוע שהייתה נתינת טעם </w:t>
      </w:r>
      <w:r w:rsidRPr="0050146A">
        <w:rPr>
          <w:rFonts w:hint="cs"/>
          <w:rtl/>
        </w:rPr>
        <w:t xml:space="preserve">אסור, דטעמא לא בטיל, אבל בסתמא שהכהן לא טעם כלל, בין אם יש מאה ואחד ובין אם אין מאה ואחד מותר, ודייקה הגמ' לקמן מהמשנה בערלה דהשיעור להתיר כשא"צ מאה הוא שישים, ומוכח דכשלא ידוע אם הייתה נתינת טעם מהני שישים להתיר, והוסיף </w:t>
      </w:r>
      <w:r w:rsidRPr="0050146A">
        <w:rPr>
          <w:rStyle w:val="af8"/>
          <w:rFonts w:hint="cs"/>
          <w:rtl/>
        </w:rPr>
        <w:t>הרא"ש</w:t>
      </w:r>
      <w:r w:rsidRPr="0050146A">
        <w:rPr>
          <w:rFonts w:hint="cs"/>
          <w:rtl/>
        </w:rPr>
        <w:t xml:space="preserve"> דכעי"ז ס"ל </w:t>
      </w:r>
      <w:r w:rsidRPr="0050146A">
        <w:rPr>
          <w:rStyle w:val="af8"/>
          <w:rFonts w:hint="cs"/>
          <w:rtl/>
        </w:rPr>
        <w:t>להתוס'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Ref8896021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דכתבו דהא דמהני שישים היינו כשטעם הכהן, ובכה"ג מותר אף בפחות משישים.</w:t>
      </w:r>
      <w:bookmarkEnd w:id="1495"/>
    </w:p>
    <w:p w:rsidR="00BE3B3A" w:rsidRPr="0050146A" w:rsidRDefault="00BE3B3A" w:rsidP="00BE3B3A">
      <w:pPr>
        <w:pStyle w:val="1"/>
        <w:rPr>
          <w:rtl/>
        </w:rPr>
      </w:pPr>
      <w:bookmarkStart w:id="1496" w:name="_Toc8923171"/>
      <w:bookmarkStart w:id="1497" w:name="_Toc8933372"/>
      <w:bookmarkStart w:id="1498" w:name="_Toc8937222"/>
      <w:bookmarkStart w:id="1499" w:name="_Toc8938208"/>
      <w:bookmarkStart w:id="1500" w:name="_Toc8979106"/>
      <w:bookmarkStart w:id="1501" w:name="_Toc8986249"/>
      <w:bookmarkStart w:id="1502" w:name="_Toc9108564"/>
      <w:bookmarkStart w:id="1503" w:name="_Toc9110119"/>
      <w:bookmarkStart w:id="1504" w:name="_Toc9114481"/>
      <w:bookmarkStart w:id="1505" w:name="_Toc9149524"/>
      <w:bookmarkStart w:id="1506" w:name="_Toc9289708"/>
      <w:bookmarkStart w:id="1507" w:name="_Toc11573354"/>
      <w:bookmarkEnd w:id="1307"/>
      <w:bookmarkEnd w:id="1308"/>
      <w:bookmarkEnd w:id="1309"/>
      <w:bookmarkEnd w:id="1310"/>
      <w:bookmarkEnd w:id="1311"/>
      <w:bookmarkEnd w:id="1312"/>
      <w:r w:rsidRPr="0050146A">
        <w:rPr>
          <w:rFonts w:hint="cs"/>
          <w:rtl/>
        </w:rPr>
        <w:t>ביאור האחרונים ברש"י</w:t>
      </w:r>
      <w:bookmarkEnd w:id="1278"/>
      <w:bookmarkEnd w:id="1279"/>
      <w:r w:rsidRPr="0050146A">
        <w:rPr>
          <w:rFonts w:hint="cs"/>
          <w:rtl/>
        </w:rPr>
        <w:t xml:space="preserve"> דשישים מדין רוב וצריך לברר בקפילא</w:t>
      </w:r>
      <w:bookmarkEnd w:id="1496"/>
      <w:bookmarkEnd w:id="1497"/>
      <w:bookmarkEnd w:id="1498"/>
      <w:bookmarkEnd w:id="1499"/>
      <w:bookmarkEnd w:id="1500"/>
      <w:bookmarkEnd w:id="1501"/>
      <w:bookmarkEnd w:id="1502"/>
      <w:bookmarkEnd w:id="1503"/>
      <w:bookmarkEnd w:id="1504"/>
      <w:bookmarkEnd w:id="1505"/>
      <w:bookmarkEnd w:id="1506"/>
      <w:bookmarkEnd w:id="1507"/>
      <w:r w:rsidRPr="0050146A">
        <w:rPr>
          <w:rFonts w:hint="cs"/>
          <w:rtl/>
        </w:rPr>
        <w:t xml:space="preserve"> </w:t>
      </w:r>
    </w:p>
    <w:p w:rsidR="00BE3B3A" w:rsidRPr="0050146A" w:rsidRDefault="00BE3B3A" w:rsidP="00BE3B3A">
      <w:pPr>
        <w:pStyle w:val="a2"/>
        <w:rPr>
          <w:rtl/>
        </w:rPr>
      </w:pPr>
      <w:bookmarkStart w:id="1508" w:name="_Toc8923172"/>
      <w:bookmarkStart w:id="1509" w:name="_Toc8933373"/>
      <w:bookmarkStart w:id="1510" w:name="_Toc8937223"/>
      <w:bookmarkStart w:id="1511" w:name="_Toc8938209"/>
      <w:bookmarkStart w:id="1512" w:name="_Toc8979107"/>
      <w:bookmarkStart w:id="1513" w:name="_Toc8986250"/>
      <w:bookmarkStart w:id="1514" w:name="_Toc9108565"/>
      <w:bookmarkStart w:id="1515" w:name="_Toc9110120"/>
      <w:bookmarkStart w:id="1516" w:name="_Toc9114482"/>
      <w:bookmarkStart w:id="1517" w:name="_Toc9149525"/>
      <w:bookmarkStart w:id="1518" w:name="_Toc9289709"/>
      <w:bookmarkStart w:id="1519" w:name="_Toc11573355"/>
      <w:r w:rsidRPr="0050146A">
        <w:rPr>
          <w:rFonts w:hint="cs"/>
          <w:rtl/>
        </w:rPr>
        <w:t>ביאור המנחת כהן ברש"י דבפחות משישים בסתמא יש טעם וחיישינן שהקפילא משקר או לא בקי</w:t>
      </w:r>
      <w:bookmarkEnd w:id="1508"/>
      <w:bookmarkEnd w:id="1509"/>
      <w:bookmarkEnd w:id="1510"/>
      <w:bookmarkEnd w:id="1511"/>
      <w:bookmarkEnd w:id="1512"/>
      <w:bookmarkEnd w:id="1513"/>
      <w:bookmarkEnd w:id="1514"/>
      <w:bookmarkEnd w:id="1515"/>
      <w:bookmarkEnd w:id="1516"/>
      <w:bookmarkEnd w:id="1517"/>
      <w:bookmarkEnd w:id="1518"/>
      <w:bookmarkEnd w:id="1519"/>
    </w:p>
    <w:p w:rsidR="00BE3B3A" w:rsidRPr="0050146A" w:rsidRDefault="00BE3B3A" w:rsidP="009F44AF">
      <w:pPr>
        <w:pStyle w:val="a"/>
        <w:rPr>
          <w:rtl/>
        </w:rPr>
      </w:pPr>
      <w:bookmarkStart w:id="1520" w:name="_Ref8902790"/>
      <w:r w:rsidRPr="0050146A">
        <w:rPr>
          <w:rFonts w:hint="cs"/>
          <w:rtl/>
        </w:rPr>
        <w:t xml:space="preserve">כתב </w:t>
      </w:r>
      <w:r w:rsidR="00920811">
        <w:rPr>
          <w:rStyle w:val="af8"/>
          <w:rFonts w:hint="cs"/>
          <w:rtl/>
        </w:rPr>
        <w:t>המנחת כהן (ס</w:t>
      </w:r>
      <w:r w:rsidR="00920811">
        <w:rPr>
          <w:rStyle w:val="af8"/>
          <w:rtl/>
        </w:rPr>
        <w:t>'</w:t>
      </w:r>
      <w:r w:rsidR="00920811">
        <w:rPr>
          <w:rStyle w:val="af8"/>
          <w:rFonts w:hint="cs"/>
          <w:rtl/>
        </w:rPr>
        <w:t xml:space="preserve"> התערובות ח</w:t>
      </w:r>
      <w:r w:rsidR="00920811">
        <w:rPr>
          <w:rStyle w:val="af8"/>
          <w:rtl/>
        </w:rPr>
        <w:t>"</w:t>
      </w:r>
      <w:r w:rsidR="00920811">
        <w:rPr>
          <w:rStyle w:val="af8"/>
          <w:rFonts w:hint="cs"/>
          <w:rtl/>
        </w:rPr>
        <w:t xml:space="preserve">א </w:t>
      </w:r>
      <w:r w:rsidRPr="0050146A">
        <w:rPr>
          <w:rStyle w:val="af6"/>
          <w:rFonts w:eastAsia="Guttman Hodes" w:hint="cs"/>
          <w:rtl/>
        </w:rPr>
        <w:t>פ"ז ד"ה הדעת הראשונה)</w:t>
      </w:r>
      <w:r w:rsidRPr="0050146A">
        <w:rPr>
          <w:rFonts w:hint="cs"/>
          <w:rtl/>
        </w:rPr>
        <w:t xml:space="preserve"> בביאור דעת </w:t>
      </w:r>
      <w:r w:rsidRPr="0050146A">
        <w:rPr>
          <w:rStyle w:val="af8"/>
          <w:rFonts w:hint="cs"/>
          <w:rtl/>
        </w:rPr>
        <w:t>רש"י</w:t>
      </w:r>
      <w:r w:rsidRPr="0050146A">
        <w:rPr>
          <w:rFonts w:hint="cs"/>
          <w:rtl/>
        </w:rPr>
        <w:t xml:space="preserve"> דהא דלא מהני קפילא להתיר בפחות משישים, הוא כיון דבסתמא האיסור נותן טעם בהיתר בפחות משישים, ולכן כשאומר הקפילא שאין בו טעם א"א לסמוך עליו דשמא הוא משקר או שאינו בקי בטעם, וכעי"ז כתב </w:t>
      </w:r>
      <w:r w:rsidRPr="0050146A">
        <w:rPr>
          <w:rStyle w:val="af8"/>
          <w:rFonts w:hint="cs"/>
          <w:rtl/>
        </w:rPr>
        <w:t>בפסקי הרי"ד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Ref8902753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50146A">
        <w:rPr>
          <w:rStyle w:val="af6"/>
          <w:rFonts w:eastAsia="Guttman Hodes"/>
          <w:rtl/>
        </w:rPr>
        <w:fldChar w:fldCharType="end"/>
      </w:r>
      <w:r w:rsidRPr="0050146A">
        <w:rPr>
          <w:rFonts w:hint="cs"/>
          <w:rtl/>
        </w:rPr>
        <w:t>.</w:t>
      </w:r>
      <w:bookmarkEnd w:id="1520"/>
    </w:p>
    <w:p w:rsidR="00BE3B3A" w:rsidRPr="0050146A" w:rsidRDefault="00BE3B3A" w:rsidP="00BE3B3A">
      <w:pPr>
        <w:pStyle w:val="a2"/>
      </w:pPr>
      <w:bookmarkStart w:id="1521" w:name="_Toc8923173"/>
      <w:bookmarkStart w:id="1522" w:name="_Toc8933374"/>
      <w:bookmarkStart w:id="1523" w:name="_Toc8937224"/>
      <w:bookmarkStart w:id="1524" w:name="_Toc8938210"/>
      <w:bookmarkStart w:id="1525" w:name="_Toc8979108"/>
      <w:bookmarkStart w:id="1526" w:name="_Toc8986251"/>
      <w:bookmarkStart w:id="1527" w:name="_Toc9108566"/>
      <w:bookmarkStart w:id="1528" w:name="_Toc9110121"/>
      <w:bookmarkStart w:id="1529" w:name="_Toc9114483"/>
      <w:bookmarkStart w:id="1530" w:name="_Toc9149526"/>
      <w:bookmarkStart w:id="1531" w:name="_Toc9289710"/>
      <w:bookmarkStart w:id="1532" w:name="_Toc11573356"/>
      <w:r w:rsidRPr="0050146A">
        <w:rPr>
          <w:rFonts w:hint="cs"/>
          <w:rtl/>
        </w:rPr>
        <w:t>ביאור המנחת כהן ברש"י דאף דבסתמא אין טעם ביותר משישים צריך לברר ע"י קפילא כשאפשר</w:t>
      </w:r>
      <w:bookmarkEnd w:id="1521"/>
      <w:bookmarkEnd w:id="1522"/>
      <w:bookmarkEnd w:id="1523"/>
      <w:bookmarkEnd w:id="1524"/>
      <w:bookmarkEnd w:id="1525"/>
      <w:bookmarkEnd w:id="1526"/>
      <w:bookmarkEnd w:id="1527"/>
      <w:bookmarkEnd w:id="1528"/>
      <w:bookmarkEnd w:id="1529"/>
      <w:bookmarkEnd w:id="1530"/>
      <w:bookmarkEnd w:id="1531"/>
      <w:bookmarkEnd w:id="1532"/>
    </w:p>
    <w:p w:rsidR="00BE3B3A" w:rsidRPr="0050146A" w:rsidRDefault="00BE3B3A" w:rsidP="009F44AF">
      <w:pPr>
        <w:pStyle w:val="a"/>
        <w:rPr>
          <w:rtl/>
        </w:rPr>
      </w:pPr>
      <w:bookmarkStart w:id="1533" w:name="_Ref8902978"/>
      <w:r w:rsidRPr="0050146A">
        <w:rPr>
          <w:rFonts w:hint="cs"/>
          <w:rtl/>
        </w:rPr>
        <w:t xml:space="preserve">והא דלא מהני שישים להתיר במין בשאינו מינו במקום שיש קפילא, כתב </w:t>
      </w:r>
      <w:r w:rsidRPr="0050146A">
        <w:rPr>
          <w:rStyle w:val="af8"/>
          <w:rFonts w:hint="cs"/>
          <w:rtl/>
        </w:rPr>
        <w:t>המנחת כהן</w:t>
      </w:r>
      <w:r w:rsidRPr="0050146A">
        <w:rPr>
          <w:rFonts w:hint="cs"/>
          <w:rtl/>
        </w:rPr>
        <w:t xml:space="preserve"> דס"ל </w:t>
      </w:r>
      <w:r w:rsidRPr="0050146A">
        <w:rPr>
          <w:rStyle w:val="af8"/>
          <w:rFonts w:hint="cs"/>
          <w:rtl/>
        </w:rPr>
        <w:t>לרש"י</w:t>
      </w:r>
      <w:r w:rsidRPr="0050146A">
        <w:rPr>
          <w:rFonts w:hint="cs"/>
          <w:rtl/>
        </w:rPr>
        <w:t xml:space="preserve"> דאף דבסתמא איסור אינו נותן טעם בהיתר ביותר משישים, מ"מ כיון שאפשר לעמוד על הטעם ע"י קפילא, לכן לא סמכינן על שיעור שישים לבד להתיר, ורק כשאין קפילא לפנינו סמכינן על הסתמא דבשישים אין האיסור נותן טעם, וכעי"ז כתב </w:t>
      </w:r>
      <w:r w:rsidRPr="0050146A">
        <w:rPr>
          <w:rStyle w:val="af8"/>
          <w:rFonts w:hint="cs"/>
          <w:rtl/>
        </w:rPr>
        <w:t>בפסקי הרי"ד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Ref8902569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50146A">
        <w:rPr>
          <w:rStyle w:val="af6"/>
          <w:rFonts w:eastAsia="Guttman Hodes"/>
          <w:rtl/>
        </w:rPr>
        <w:fldChar w:fldCharType="end"/>
      </w:r>
      <w:r w:rsidRPr="0050146A">
        <w:rPr>
          <w:rFonts w:hint="cs"/>
          <w:rtl/>
        </w:rPr>
        <w:t>.</w:t>
      </w:r>
      <w:bookmarkEnd w:id="1533"/>
    </w:p>
    <w:p w:rsidR="00BE3B3A" w:rsidRPr="0050146A" w:rsidRDefault="00BE3B3A" w:rsidP="00BE3B3A">
      <w:pPr>
        <w:pStyle w:val="a2"/>
        <w:rPr>
          <w:rtl/>
        </w:rPr>
      </w:pPr>
      <w:bookmarkStart w:id="1534" w:name="_Toc8923174"/>
      <w:bookmarkStart w:id="1535" w:name="_Toc8933375"/>
      <w:bookmarkStart w:id="1536" w:name="_Toc8937225"/>
      <w:bookmarkStart w:id="1537" w:name="_Toc8938211"/>
      <w:bookmarkStart w:id="1538" w:name="_Toc8979109"/>
      <w:bookmarkStart w:id="1539" w:name="_Toc8986252"/>
      <w:bookmarkStart w:id="1540" w:name="_Toc9108567"/>
      <w:bookmarkStart w:id="1541" w:name="_Toc9110122"/>
      <w:bookmarkStart w:id="1542" w:name="_Toc9114484"/>
      <w:bookmarkStart w:id="1543" w:name="_Toc9149527"/>
      <w:bookmarkStart w:id="1544" w:name="_Toc9289711"/>
      <w:bookmarkStart w:id="1545" w:name="_Toc11573357"/>
      <w:r w:rsidRPr="0050146A">
        <w:rPr>
          <w:rFonts w:hint="cs"/>
          <w:rtl/>
        </w:rPr>
        <w:t>קושית הראש יוסף דהיאך מהני שישים במקום דליכא קפילא דאף בדרבנן ספק בידיעה לחומרא</w:t>
      </w:r>
      <w:bookmarkEnd w:id="1534"/>
      <w:bookmarkEnd w:id="1535"/>
      <w:bookmarkEnd w:id="1536"/>
      <w:bookmarkEnd w:id="1537"/>
      <w:bookmarkEnd w:id="1538"/>
      <w:bookmarkEnd w:id="1539"/>
      <w:bookmarkEnd w:id="1540"/>
      <w:bookmarkEnd w:id="1541"/>
      <w:bookmarkEnd w:id="1542"/>
      <w:bookmarkEnd w:id="1543"/>
      <w:bookmarkEnd w:id="1544"/>
      <w:bookmarkEnd w:id="1545"/>
      <w:r w:rsidRPr="0050146A">
        <w:rPr>
          <w:rFonts w:hint="cs"/>
          <w:rtl/>
        </w:rPr>
        <w:t xml:space="preserve"> </w:t>
      </w:r>
    </w:p>
    <w:p w:rsidR="00BE3B3A" w:rsidRPr="0050146A" w:rsidRDefault="00BE3B3A" w:rsidP="009F44AF">
      <w:pPr>
        <w:pStyle w:val="a"/>
        <w:rPr>
          <w:rStyle w:val="afa"/>
          <w:rtl/>
        </w:rPr>
      </w:pPr>
      <w:r w:rsidRPr="0050146A">
        <w:rPr>
          <w:rStyle w:val="af8"/>
          <w:rFonts w:hint="cs"/>
          <w:rtl/>
        </w:rPr>
        <w:t>והראש יוסף לקמן</w:t>
      </w:r>
      <w:r w:rsidRPr="0050146A">
        <w:rPr>
          <w:rFonts w:hint="cs"/>
          <w:rtl/>
        </w:rPr>
        <w:t xml:space="preserve"> </w:t>
      </w:r>
      <w:r w:rsidRPr="0050146A">
        <w:rPr>
          <w:rStyle w:val="af6"/>
          <w:rFonts w:eastAsia="Guttman Hodes" w:hint="cs"/>
          <w:rtl/>
        </w:rPr>
        <w:t>(צח. ד"ה והריטב"א)</w:t>
      </w:r>
      <w:r w:rsidRPr="0050146A">
        <w:rPr>
          <w:rFonts w:hint="cs"/>
          <w:rtl/>
        </w:rPr>
        <w:t xml:space="preserve"> הקשה על </w:t>
      </w:r>
      <w:r w:rsidRPr="0050146A">
        <w:rPr>
          <w:rStyle w:val="af8"/>
          <w:rFonts w:hint="cs"/>
          <w:rtl/>
        </w:rPr>
        <w:t>רש"י</w:t>
      </w:r>
      <w:r w:rsidRPr="0050146A">
        <w:rPr>
          <w:rFonts w:hint="cs"/>
          <w:rtl/>
        </w:rPr>
        <w:t xml:space="preserve"> דאי ס"ל דמדינא צריך שישים וקפילא, א"כ היאך במין במינו וכן במין בשאינו מינו דאין קפילא סמכינן על שישים, דא"א לומר דכיון דס"ל</w:t>
      </w:r>
      <w:r w:rsidRPr="0050146A">
        <w:rPr>
          <w:rStyle w:val="af8"/>
          <w:rFonts w:hint="cs"/>
          <w:rtl/>
        </w:rPr>
        <w:t xml:space="preserve"> לרש"י</w:t>
      </w:r>
      <w:r w:rsidRPr="0050146A">
        <w:rPr>
          <w:rFonts w:hint="cs"/>
          <w:rtl/>
        </w:rPr>
        <w:t xml:space="preserve"> </w:t>
      </w:r>
      <w:r w:rsidRPr="0050146A">
        <w:rPr>
          <w:rStyle w:val="af6"/>
          <w:rFonts w:eastAsia="Guttman Hodes" w:hint="cs"/>
          <w:rtl/>
        </w:rPr>
        <w:t>(צח: ד"ה לטעם)</w:t>
      </w:r>
      <w:r w:rsidRPr="0050146A">
        <w:rPr>
          <w:rFonts w:hint="cs"/>
          <w:rtl/>
        </w:rPr>
        <w:t xml:space="preserve"> דטעם כעיקר דרבנן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w:t>
      </w:r>
      <w:r w:rsidRPr="0050146A">
        <w:rPr>
          <w:rFonts w:hint="cs"/>
          <w:rtl/>
        </w:rPr>
        <w:t xml:space="preserve">,  הוי ספק דרבנן לקולא דהא ספק בידיעה לא חשיב ספק דרבנן. </w:t>
      </w:r>
      <w:r w:rsidRPr="0050146A">
        <w:rPr>
          <w:rStyle w:val="afa"/>
          <w:rFonts w:hint="cs"/>
          <w:rtl/>
        </w:rPr>
        <w:t xml:space="preserve">[עיי"ש </w:t>
      </w:r>
      <w:r w:rsidRPr="0050146A">
        <w:rPr>
          <w:rStyle w:val="affa"/>
          <w:rFonts w:hint="cs"/>
          <w:rtl/>
        </w:rPr>
        <w:t>בראש יוסף</w:t>
      </w:r>
      <w:r w:rsidRPr="0050146A">
        <w:rPr>
          <w:rStyle w:val="afa"/>
          <w:rFonts w:hint="cs"/>
          <w:rtl/>
        </w:rPr>
        <w:t xml:space="preserve"> דביאר דזוהי קושית </w:t>
      </w:r>
      <w:r w:rsidRPr="0050146A">
        <w:rPr>
          <w:rStyle w:val="affa"/>
          <w:rFonts w:hint="cs"/>
          <w:rtl/>
        </w:rPr>
        <w:t>הריטב"א לקמן</w:t>
      </w:r>
      <w:r w:rsidRPr="0050146A">
        <w:rPr>
          <w:rStyle w:val="afa"/>
          <w:rFonts w:hint="cs"/>
          <w:rtl/>
        </w:rPr>
        <w:t xml:space="preserve"> </w:t>
      </w:r>
      <w:r w:rsidRPr="0050146A">
        <w:rPr>
          <w:rStyle w:val="aff6"/>
          <w:rFonts w:hint="cs"/>
          <w:rtl/>
        </w:rPr>
        <w:t>(צח. ד"ה וכתב)</w:t>
      </w:r>
      <w:r w:rsidRPr="0050146A">
        <w:rPr>
          <w:rStyle w:val="afa"/>
          <w:rFonts w:hint="cs"/>
          <w:rtl/>
        </w:rPr>
        <w:t xml:space="preserve"> על </w:t>
      </w:r>
      <w:r w:rsidRPr="0050146A">
        <w:rPr>
          <w:rStyle w:val="affa"/>
          <w:rFonts w:hint="cs"/>
          <w:rtl/>
        </w:rPr>
        <w:t>רש"י</w:t>
      </w:r>
      <w:r w:rsidRPr="0050146A">
        <w:rPr>
          <w:rStyle w:val="afa"/>
          <w:rFonts w:hint="cs"/>
          <w:rtl/>
        </w:rPr>
        <w:t>].</w:t>
      </w:r>
    </w:p>
    <w:p w:rsidR="00BE3B3A" w:rsidRPr="0050146A" w:rsidRDefault="00BE3B3A" w:rsidP="00BE3B3A">
      <w:pPr>
        <w:pStyle w:val="a2"/>
        <w:rPr>
          <w:rtl/>
        </w:rPr>
      </w:pPr>
      <w:bookmarkStart w:id="1546" w:name="_Toc8923175"/>
      <w:bookmarkStart w:id="1547" w:name="_Toc8933376"/>
      <w:bookmarkStart w:id="1548" w:name="_Toc8937226"/>
      <w:bookmarkStart w:id="1549" w:name="_Toc8938212"/>
      <w:bookmarkStart w:id="1550" w:name="_Toc8979110"/>
      <w:bookmarkStart w:id="1551" w:name="_Toc8986253"/>
      <w:bookmarkStart w:id="1552" w:name="_Toc9108568"/>
      <w:bookmarkStart w:id="1553" w:name="_Toc9110123"/>
      <w:bookmarkStart w:id="1554" w:name="_Toc9114485"/>
      <w:bookmarkStart w:id="1555" w:name="_Toc9149528"/>
      <w:bookmarkStart w:id="1556" w:name="_Toc9289712"/>
      <w:bookmarkStart w:id="1557" w:name="_Toc11573358"/>
      <w:r w:rsidRPr="0050146A">
        <w:rPr>
          <w:rFonts w:hint="cs"/>
          <w:rtl/>
        </w:rPr>
        <w:t>ביאור הראש יוסף ברש"י דשיעור שישים הוא מדין רוב ובאיכא לברורי בקפילא מבררינן</w:t>
      </w:r>
      <w:bookmarkEnd w:id="1546"/>
      <w:bookmarkEnd w:id="1547"/>
      <w:bookmarkEnd w:id="1548"/>
      <w:bookmarkEnd w:id="1549"/>
      <w:bookmarkEnd w:id="1550"/>
      <w:bookmarkEnd w:id="1551"/>
      <w:bookmarkEnd w:id="1552"/>
      <w:bookmarkEnd w:id="1553"/>
      <w:bookmarkEnd w:id="1554"/>
      <w:bookmarkEnd w:id="1555"/>
      <w:bookmarkEnd w:id="1556"/>
      <w:bookmarkEnd w:id="1557"/>
    </w:p>
    <w:p w:rsidR="00BE3B3A" w:rsidRPr="0050146A" w:rsidRDefault="00BE3B3A" w:rsidP="009F44AF">
      <w:pPr>
        <w:pStyle w:val="a"/>
        <w:rPr>
          <w:rtl/>
        </w:rPr>
      </w:pPr>
      <w:bookmarkStart w:id="1558" w:name="_Ref8902629"/>
      <w:r w:rsidRPr="0050146A">
        <w:rPr>
          <w:rFonts w:hint="cs"/>
          <w:rtl/>
        </w:rPr>
        <w:t xml:space="preserve">וכתב </w:t>
      </w:r>
      <w:r w:rsidRPr="0050146A">
        <w:rPr>
          <w:rStyle w:val="af8"/>
          <w:rFonts w:hint="cs"/>
          <w:rtl/>
        </w:rPr>
        <w:t>הראש יוסף</w:t>
      </w:r>
      <w:r w:rsidRPr="0050146A">
        <w:rPr>
          <w:rFonts w:hint="cs"/>
          <w:rtl/>
        </w:rPr>
        <w:t xml:space="preserve"> דצריך ליישב בדוחק דאף </w:t>
      </w:r>
      <w:r w:rsidRPr="0050146A">
        <w:rPr>
          <w:rStyle w:val="af8"/>
          <w:rFonts w:hint="cs"/>
          <w:rtl/>
        </w:rPr>
        <w:t>רש"י</w:t>
      </w:r>
      <w:r w:rsidRPr="0050146A">
        <w:rPr>
          <w:rFonts w:hint="cs"/>
          <w:rtl/>
        </w:rPr>
        <w:t xml:space="preserve"> מודה דבסתמא אין טעם בשישים, </w:t>
      </w:r>
      <w:r w:rsidRPr="0050146A">
        <w:rPr>
          <w:rStyle w:val="afa"/>
          <w:rFonts w:hint="cs"/>
          <w:rtl/>
        </w:rPr>
        <w:t>[או במאה למ"ד במאה],</w:t>
      </w:r>
      <w:r w:rsidRPr="0050146A">
        <w:rPr>
          <w:rFonts w:hint="cs"/>
          <w:rtl/>
        </w:rPr>
        <w:t xml:space="preserve"> ולכן במקום שאין קפילא מותר לסמוך על הרוב, אבל במקום שיש קפילא, חשיב מילתא דאיכא לברורי, ולכן צריך להטעימו לקפילא בכדי לברר שודאי אין בו טעם איסור, וכעי"ז כתב </w:t>
      </w:r>
      <w:r w:rsidRPr="0050146A">
        <w:rPr>
          <w:rStyle w:val="af8"/>
          <w:rFonts w:hint="cs"/>
          <w:rtl/>
        </w:rPr>
        <w:t>בפסקי הרי"ד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Ref8902569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50146A">
        <w:rPr>
          <w:rStyle w:val="af6"/>
          <w:rFonts w:eastAsia="Guttman Hodes"/>
          <w:rtl/>
        </w:rPr>
        <w:fldChar w:fldCharType="end"/>
      </w:r>
      <w:r w:rsidRPr="0050146A">
        <w:rPr>
          <w:rFonts w:hint="cs"/>
          <w:rtl/>
        </w:rPr>
        <w:t>.</w:t>
      </w:r>
      <w:bookmarkEnd w:id="1558"/>
    </w:p>
    <w:p w:rsidR="00BE3B3A" w:rsidRPr="0050146A" w:rsidRDefault="00BE3B3A" w:rsidP="00BE3B3A">
      <w:pPr>
        <w:pStyle w:val="a2"/>
        <w:rPr>
          <w:rtl/>
        </w:rPr>
      </w:pPr>
      <w:bookmarkStart w:id="1559" w:name="_Toc9289713"/>
      <w:bookmarkStart w:id="1560" w:name="_Toc11573359"/>
      <w:r w:rsidRPr="0050146A">
        <w:rPr>
          <w:rFonts w:hint="cs"/>
          <w:rtl/>
        </w:rPr>
        <w:t>דברי הראש יוסף דלא רצו רבנן לסמוך על קפילא דהוא דבר המסור לכל</w:t>
      </w:r>
      <w:bookmarkEnd w:id="1559"/>
      <w:bookmarkEnd w:id="1560"/>
    </w:p>
    <w:p w:rsidR="00BE3B3A" w:rsidRPr="0050146A" w:rsidRDefault="00BE3B3A" w:rsidP="009F44AF">
      <w:pPr>
        <w:pStyle w:val="a"/>
        <w:rPr>
          <w:rtl/>
        </w:rPr>
      </w:pPr>
      <w:bookmarkStart w:id="1561" w:name="_Toc8923176"/>
      <w:bookmarkStart w:id="1562" w:name="_Toc8933377"/>
      <w:bookmarkStart w:id="1563" w:name="_Toc8937227"/>
      <w:bookmarkStart w:id="1564" w:name="_Toc8938213"/>
      <w:bookmarkStart w:id="1565" w:name="_Toc8979111"/>
      <w:bookmarkStart w:id="1566" w:name="_Toc8986254"/>
      <w:bookmarkStart w:id="1567" w:name="_Toc9108569"/>
      <w:bookmarkStart w:id="1568" w:name="_Toc9110124"/>
      <w:bookmarkStart w:id="1569" w:name="_Toc9114486"/>
      <w:bookmarkStart w:id="1570" w:name="_Toc9149529"/>
      <w:r w:rsidRPr="0050146A">
        <w:rPr>
          <w:rFonts w:hint="cs"/>
          <w:rtl/>
        </w:rPr>
        <w:t xml:space="preserve">עוד כתב </w:t>
      </w:r>
      <w:r w:rsidRPr="0050146A">
        <w:rPr>
          <w:rStyle w:val="af8"/>
          <w:rFonts w:hint="cs"/>
          <w:rtl/>
        </w:rPr>
        <w:t>הראש יוסף</w:t>
      </w:r>
      <w:r w:rsidRPr="0050146A">
        <w:rPr>
          <w:rFonts w:hint="cs"/>
          <w:rtl/>
        </w:rPr>
        <w:t xml:space="preserve"> </w:t>
      </w:r>
      <w:r w:rsidRPr="0050146A">
        <w:rPr>
          <w:rStyle w:val="af6"/>
          <w:rFonts w:eastAsia="Guttman Hodes" w:hint="cs"/>
          <w:rtl/>
        </w:rPr>
        <w:t>(צז. ד"ה הן אמת)</w:t>
      </w:r>
      <w:r w:rsidRPr="0050146A">
        <w:rPr>
          <w:rFonts w:hint="cs"/>
          <w:rtl/>
        </w:rPr>
        <w:t xml:space="preserve"> דאפש"ל דס"ל </w:t>
      </w:r>
      <w:r w:rsidRPr="0050146A">
        <w:rPr>
          <w:rStyle w:val="af8"/>
          <w:rFonts w:hint="cs"/>
          <w:rtl/>
        </w:rPr>
        <w:t>לרש"י</w:t>
      </w:r>
      <w:r w:rsidRPr="0050146A">
        <w:rPr>
          <w:rFonts w:hint="cs"/>
          <w:rtl/>
        </w:rPr>
        <w:t xml:space="preserve"> דאף דמדינא סגי בקפילא, מ"מ הצריכו רבנן שישים והסמיכו לילפותא דזרוע בשלה, כדי שלא יבאו להקל בטעימה שהוא דבר שמסור לכל, או דקים להו דבפחות משישים ודאי שיש טעם, וכשאומר הקפילא שאין טעם הוא משקר.</w:t>
      </w:r>
    </w:p>
    <w:p w:rsidR="00BE3B3A" w:rsidRPr="0050146A" w:rsidRDefault="00BE3B3A" w:rsidP="00BE3B3A">
      <w:pPr>
        <w:pStyle w:val="a2"/>
      </w:pPr>
      <w:bookmarkStart w:id="1571" w:name="_Toc9289714"/>
      <w:bookmarkStart w:id="1572" w:name="_Toc11573360"/>
      <w:r w:rsidRPr="0050146A">
        <w:rPr>
          <w:rFonts w:hint="cs"/>
          <w:rtl/>
        </w:rPr>
        <w:t>דברי הראש יוסף דאפש"ל דרש"י מודה לרמב"ן דרק בנימוח גוף האיסור צריך שישים</w:t>
      </w:r>
      <w:bookmarkEnd w:id="1571"/>
      <w:bookmarkEnd w:id="1572"/>
    </w:p>
    <w:p w:rsidR="00BE3B3A" w:rsidRPr="0050146A" w:rsidRDefault="00BE3B3A" w:rsidP="009F44AF">
      <w:pPr>
        <w:pStyle w:val="a"/>
        <w:rPr>
          <w:rtl/>
        </w:rPr>
      </w:pPr>
      <w:r w:rsidRPr="0050146A">
        <w:rPr>
          <w:rFonts w:hint="cs"/>
          <w:rtl/>
        </w:rPr>
        <w:t xml:space="preserve">ועיי"ש עוד בדברי </w:t>
      </w:r>
      <w:r w:rsidRPr="0050146A">
        <w:rPr>
          <w:rStyle w:val="af8"/>
          <w:rFonts w:hint="cs"/>
          <w:rtl/>
        </w:rPr>
        <w:t>הראש יוסף</w:t>
      </w:r>
      <w:r w:rsidRPr="0050146A">
        <w:rPr>
          <w:rFonts w:hint="cs"/>
          <w:rtl/>
        </w:rPr>
        <w:t xml:space="preserve"> </w:t>
      </w:r>
      <w:r w:rsidRPr="0050146A">
        <w:rPr>
          <w:rStyle w:val="af6"/>
          <w:rFonts w:eastAsia="Guttman Hodes" w:hint="cs"/>
          <w:rtl/>
        </w:rPr>
        <w:t>(צז. ד"ה הן אמת, ד"ה ואם נאמר)</w:t>
      </w:r>
      <w:r w:rsidRPr="0050146A">
        <w:rPr>
          <w:rFonts w:hint="cs"/>
          <w:rtl/>
        </w:rPr>
        <w:t xml:space="preserve"> דרצה לחלק לדעת </w:t>
      </w:r>
      <w:r w:rsidRPr="0050146A">
        <w:rPr>
          <w:rStyle w:val="af8"/>
          <w:rFonts w:hint="cs"/>
          <w:rtl/>
        </w:rPr>
        <w:t>רש"י</w:t>
      </w:r>
      <w:r w:rsidRPr="0050146A">
        <w:rPr>
          <w:rFonts w:hint="cs"/>
          <w:rtl/>
        </w:rPr>
        <w:t xml:space="preserve"> בין היכא דאיתא לאיסורא בעין להיכא דהאיסור נימוח, </w:t>
      </w:r>
      <w:r w:rsidRPr="0050146A">
        <w:rPr>
          <w:rStyle w:val="af8"/>
          <w:rFonts w:hint="cs"/>
          <w:rtl/>
        </w:rPr>
        <w:t>דרש"י</w:t>
      </w:r>
      <w:r w:rsidRPr="0050146A">
        <w:rPr>
          <w:rFonts w:hint="cs"/>
          <w:rtl/>
        </w:rPr>
        <w:t xml:space="preserve"> מודה לעיקר סברת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Ref8986546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50146A">
        <w:rPr>
          <w:rStyle w:val="af6"/>
          <w:rFonts w:eastAsia="Guttman Hodes"/>
          <w:rtl/>
        </w:rPr>
        <w:fldChar w:fldCharType="end"/>
      </w:r>
      <w:r w:rsidRPr="0050146A">
        <w:rPr>
          <w:rFonts w:hint="cs"/>
          <w:rtl/>
        </w:rPr>
        <w:t xml:space="preserve"> דדוקא כשנימוח גוף האיסור צריך שישים, וביאר </w:t>
      </w:r>
      <w:r w:rsidRPr="0050146A">
        <w:rPr>
          <w:rStyle w:val="af8"/>
          <w:rFonts w:hint="cs"/>
          <w:rtl/>
        </w:rPr>
        <w:t>הראש יוסף</w:t>
      </w:r>
      <w:r w:rsidRPr="0050146A">
        <w:rPr>
          <w:rFonts w:hint="cs"/>
          <w:rtl/>
        </w:rPr>
        <w:t xml:space="preserve"> לפי"ז את הגמ' לקמן </w:t>
      </w:r>
      <w:r w:rsidRPr="0050146A">
        <w:rPr>
          <w:rStyle w:val="af6"/>
          <w:rFonts w:eastAsia="Guttman Hodes" w:hint="cs"/>
          <w:rtl/>
        </w:rPr>
        <w:t xml:space="preserve">(צט.), </w:t>
      </w:r>
      <w:r w:rsidRPr="0050146A">
        <w:rPr>
          <w:rFonts w:hint="cs"/>
          <w:rtl/>
        </w:rPr>
        <w:t>וישב את קושיות ה</w:t>
      </w:r>
      <w:r w:rsidRPr="0050146A">
        <w:rPr>
          <w:rStyle w:val="af8"/>
          <w:rFonts w:hint="cs"/>
          <w:rtl/>
        </w:rPr>
        <w:t>ראשונים</w:t>
      </w:r>
      <w:r w:rsidRPr="0050146A">
        <w:rPr>
          <w:rFonts w:hint="cs"/>
          <w:rtl/>
        </w:rPr>
        <w:t xml:space="preserve"> על </w:t>
      </w:r>
      <w:r w:rsidRPr="0050146A">
        <w:rPr>
          <w:rStyle w:val="af8"/>
          <w:rFonts w:hint="cs"/>
          <w:rtl/>
        </w:rPr>
        <w:t>רש"י</w:t>
      </w:r>
      <w:r w:rsidRPr="0050146A">
        <w:rPr>
          <w:rFonts w:hint="cs"/>
          <w:rtl/>
        </w:rPr>
        <w:t xml:space="preserve"> עיי"ש בדבריו באריכות, אבל </w:t>
      </w:r>
      <w:r w:rsidRPr="0050146A">
        <w:rPr>
          <w:rStyle w:val="af8"/>
          <w:rFonts w:hint="cs"/>
          <w:rtl/>
        </w:rPr>
        <w:t>בר"ן על הרי"ף</w:t>
      </w:r>
      <w:r w:rsidRPr="0050146A">
        <w:rPr>
          <w:rFonts w:hint="cs"/>
          <w:rtl/>
        </w:rPr>
        <w:t xml:space="preserve"> </w:t>
      </w:r>
      <w:r w:rsidRPr="0050146A">
        <w:rPr>
          <w:rStyle w:val="af6"/>
          <w:rFonts w:eastAsia="Guttman Hodes" w:hint="cs"/>
          <w:rtl/>
        </w:rPr>
        <w:t>(לד. מדפי הרי"ף ד"ה ומין)</w:t>
      </w:r>
      <w:r w:rsidRPr="0050146A">
        <w:rPr>
          <w:rFonts w:hint="cs"/>
          <w:rtl/>
        </w:rPr>
        <w:t xml:space="preserve"> מבואר </w:t>
      </w:r>
      <w:r w:rsidRPr="0050146A">
        <w:rPr>
          <w:rStyle w:val="af8"/>
          <w:rFonts w:hint="cs"/>
          <w:rtl/>
        </w:rPr>
        <w:t>דרש"י</w:t>
      </w:r>
      <w:r w:rsidRPr="0050146A">
        <w:rPr>
          <w:rFonts w:hint="cs"/>
          <w:rtl/>
        </w:rPr>
        <w:t xml:space="preserve"> פליג על </w:t>
      </w:r>
      <w:r w:rsidRPr="0050146A">
        <w:rPr>
          <w:rStyle w:val="af8"/>
          <w:rFonts w:hint="cs"/>
          <w:rtl/>
        </w:rPr>
        <w:t>הרמב"ן</w:t>
      </w:r>
      <w:r w:rsidRPr="0050146A">
        <w:rPr>
          <w:rFonts w:hint="cs"/>
          <w:rtl/>
        </w:rPr>
        <w:t>.</w:t>
      </w:r>
    </w:p>
    <w:p w:rsidR="00BE3B3A" w:rsidRPr="0050146A" w:rsidRDefault="00BE3B3A" w:rsidP="00BE3B3A">
      <w:pPr>
        <w:pStyle w:val="1"/>
        <w:rPr>
          <w:rtl/>
        </w:rPr>
      </w:pPr>
      <w:bookmarkStart w:id="1573" w:name="_Toc9289715"/>
      <w:bookmarkStart w:id="1574" w:name="_Toc11573361"/>
      <w:r w:rsidRPr="0050146A">
        <w:rPr>
          <w:rFonts w:hint="cs"/>
          <w:rtl/>
        </w:rPr>
        <w:t>ביאור החת"ס ברש"י דמדאו' הטעם מתבטל בס' וקפילא מדרבנן</w:t>
      </w:r>
      <w:bookmarkEnd w:id="1561"/>
      <w:bookmarkEnd w:id="1562"/>
      <w:bookmarkEnd w:id="1563"/>
      <w:bookmarkEnd w:id="1564"/>
      <w:bookmarkEnd w:id="1565"/>
      <w:bookmarkEnd w:id="1566"/>
      <w:bookmarkEnd w:id="1567"/>
      <w:bookmarkEnd w:id="1568"/>
      <w:bookmarkEnd w:id="1569"/>
      <w:bookmarkEnd w:id="1570"/>
      <w:bookmarkEnd w:id="1573"/>
      <w:bookmarkEnd w:id="1574"/>
    </w:p>
    <w:p w:rsidR="00BE3B3A" w:rsidRPr="0050146A" w:rsidRDefault="00BE3B3A" w:rsidP="00BE3B3A">
      <w:pPr>
        <w:pStyle w:val="a2"/>
        <w:rPr>
          <w:rtl/>
        </w:rPr>
      </w:pPr>
      <w:bookmarkStart w:id="1575" w:name="_Toc8923177"/>
      <w:bookmarkStart w:id="1576" w:name="_Toc8933378"/>
      <w:bookmarkStart w:id="1577" w:name="_Toc8937228"/>
      <w:bookmarkStart w:id="1578" w:name="_Toc8938214"/>
      <w:bookmarkStart w:id="1579" w:name="_Toc8979112"/>
      <w:bookmarkStart w:id="1580" w:name="_Toc8986255"/>
      <w:bookmarkStart w:id="1581" w:name="_Toc9108570"/>
      <w:bookmarkStart w:id="1582" w:name="_Toc9110125"/>
      <w:bookmarkStart w:id="1583" w:name="_Toc9114487"/>
      <w:bookmarkStart w:id="1584" w:name="_Toc9149530"/>
      <w:bookmarkStart w:id="1585" w:name="_Toc9289716"/>
      <w:bookmarkStart w:id="1586" w:name="_Toc11573362"/>
      <w:r w:rsidRPr="0050146A">
        <w:rPr>
          <w:rFonts w:hint="cs"/>
          <w:rtl/>
        </w:rPr>
        <w:t>דברי החת"ס דלדעת רש"י שיעור שישים הוא מדאו' מילפותא דזרוע בשלה</w:t>
      </w:r>
      <w:bookmarkEnd w:id="1575"/>
      <w:bookmarkEnd w:id="1576"/>
      <w:bookmarkEnd w:id="1577"/>
      <w:bookmarkEnd w:id="1578"/>
      <w:bookmarkEnd w:id="1579"/>
      <w:bookmarkEnd w:id="1580"/>
      <w:bookmarkEnd w:id="1581"/>
      <w:bookmarkEnd w:id="1582"/>
      <w:bookmarkEnd w:id="1583"/>
      <w:bookmarkEnd w:id="1584"/>
      <w:bookmarkEnd w:id="1585"/>
      <w:bookmarkEnd w:id="1586"/>
    </w:p>
    <w:p w:rsidR="00010471" w:rsidRPr="0050146A" w:rsidRDefault="00BE3B3A" w:rsidP="009F44AF">
      <w:pPr>
        <w:pStyle w:val="a"/>
        <w:rPr>
          <w:rtl/>
        </w:rPr>
      </w:pPr>
      <w:bookmarkStart w:id="1587" w:name="_Ref8832530"/>
      <w:bookmarkStart w:id="1588" w:name="_Toc8578658"/>
      <w:r w:rsidRPr="0050146A">
        <w:rPr>
          <w:rStyle w:val="af8"/>
          <w:rFonts w:hint="cs"/>
          <w:rtl/>
        </w:rPr>
        <w:t xml:space="preserve">והחת"ס לקמן </w:t>
      </w:r>
      <w:r w:rsidRPr="0050146A">
        <w:rPr>
          <w:rStyle w:val="af6"/>
          <w:rFonts w:eastAsia="Guttman Hodes" w:hint="cs"/>
          <w:rtl/>
        </w:rPr>
        <w:t xml:space="preserve">(צח. ד"ה כל) </w:t>
      </w:r>
      <w:r w:rsidRPr="0050146A">
        <w:rPr>
          <w:rFonts w:hint="cs"/>
          <w:rtl/>
        </w:rPr>
        <w:t xml:space="preserve">ביאר דס"ל </w:t>
      </w:r>
      <w:r w:rsidRPr="0050146A">
        <w:rPr>
          <w:rStyle w:val="af8"/>
          <w:rFonts w:hint="cs"/>
          <w:rtl/>
        </w:rPr>
        <w:t>לרש"י</w:t>
      </w:r>
      <w:r w:rsidRPr="0050146A">
        <w:rPr>
          <w:rFonts w:hint="cs"/>
          <w:rtl/>
        </w:rPr>
        <w:t xml:space="preserve"> דשיעור שישים הוא מדאו' או שהוא קרוב לדאו', וכדילפינן מזרוע בשלה.</w:t>
      </w:r>
      <w:r w:rsidRPr="0050146A">
        <w:rPr>
          <w:rStyle w:val="afa"/>
          <w:rFonts w:hint="cs"/>
          <w:rtl/>
        </w:rPr>
        <w:t xml:space="preserve"> [ודלא כביאור </w:t>
      </w:r>
      <w:r w:rsidRPr="0050146A">
        <w:rPr>
          <w:rStyle w:val="affa"/>
          <w:rFonts w:hint="cs"/>
          <w:rtl/>
        </w:rPr>
        <w:t>החת"ס</w:t>
      </w:r>
      <w:r w:rsidRPr="0050146A">
        <w:rPr>
          <w:rStyle w:val="afa"/>
          <w:rFonts w:hint="cs"/>
          <w:rtl/>
        </w:rPr>
        <w:t xml:space="preserve"> בדעת </w:t>
      </w:r>
      <w:r w:rsidRPr="0050146A">
        <w:rPr>
          <w:rStyle w:val="affa"/>
          <w:rFonts w:hint="cs"/>
          <w:rtl/>
        </w:rPr>
        <w:t>הרמב"ן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Ref8831052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עא)</w:t>
      </w:r>
      <w:r w:rsidRPr="0050146A">
        <w:rPr>
          <w:rStyle w:val="aff6"/>
          <w:rtl/>
        </w:rPr>
        <w:fldChar w:fldCharType="end"/>
      </w:r>
      <w:r w:rsidRPr="0050146A">
        <w:rPr>
          <w:rStyle w:val="aff6"/>
          <w:rFonts w:hint="cs"/>
          <w:rtl/>
        </w:rPr>
        <w:t xml:space="preserve"> </w:t>
      </w:r>
      <w:r w:rsidRPr="0050146A">
        <w:rPr>
          <w:rStyle w:val="afa"/>
          <w:rFonts w:hint="cs"/>
          <w:rtl/>
        </w:rPr>
        <w:t>דשיעור שישים הוא מדרבנן].</w:t>
      </w:r>
      <w:bookmarkEnd w:id="1587"/>
    </w:p>
    <w:p w:rsidR="00BE3B3A" w:rsidRPr="0050146A" w:rsidRDefault="00BE3B3A" w:rsidP="00BE3B3A">
      <w:pPr>
        <w:pStyle w:val="a2"/>
      </w:pPr>
      <w:bookmarkStart w:id="1589" w:name="_Toc8923178"/>
      <w:bookmarkStart w:id="1590" w:name="_Toc8933379"/>
      <w:bookmarkStart w:id="1591" w:name="_Toc8937229"/>
      <w:bookmarkStart w:id="1592" w:name="_Toc8938215"/>
      <w:bookmarkStart w:id="1593" w:name="_Toc8979113"/>
      <w:bookmarkStart w:id="1594" w:name="_Toc8986256"/>
      <w:bookmarkStart w:id="1595" w:name="_Toc9108571"/>
      <w:bookmarkStart w:id="1596" w:name="_Toc9110126"/>
      <w:bookmarkStart w:id="1597" w:name="_Toc9114488"/>
      <w:bookmarkStart w:id="1598" w:name="_Toc9149531"/>
      <w:bookmarkStart w:id="1599" w:name="_Toc9289717"/>
      <w:bookmarkStart w:id="1600" w:name="_Toc11573363"/>
      <w:r w:rsidRPr="0050146A">
        <w:rPr>
          <w:rFonts w:hint="cs"/>
          <w:rtl/>
        </w:rPr>
        <w:lastRenderedPageBreak/>
        <w:t xml:space="preserve">ביאור החת"ס ברש"י דמדין </w:t>
      </w:r>
      <w:r w:rsidRPr="0050146A">
        <w:rPr>
          <w:rtl/>
        </w:rPr>
        <w:t>ט</w:t>
      </w:r>
      <w:r w:rsidRPr="0050146A">
        <w:rPr>
          <w:rFonts w:hint="cs"/>
          <w:rtl/>
        </w:rPr>
        <w:t>ע"</w:t>
      </w:r>
      <w:r w:rsidRPr="0050146A">
        <w:rPr>
          <w:rtl/>
        </w:rPr>
        <w:t>כ</w:t>
      </w:r>
      <w:r w:rsidRPr="0050146A">
        <w:rPr>
          <w:rFonts w:hint="cs"/>
          <w:rtl/>
        </w:rPr>
        <w:t xml:space="preserve"> דרבנן אסור אף בשישים כשיש טעם ואפשר לברר ע"י קפילא</w:t>
      </w:r>
      <w:bookmarkEnd w:id="1589"/>
      <w:bookmarkEnd w:id="1590"/>
      <w:bookmarkEnd w:id="1591"/>
      <w:bookmarkEnd w:id="1592"/>
      <w:bookmarkEnd w:id="1593"/>
      <w:bookmarkEnd w:id="1594"/>
      <w:bookmarkEnd w:id="1595"/>
      <w:bookmarkEnd w:id="1596"/>
      <w:bookmarkEnd w:id="1597"/>
      <w:bookmarkEnd w:id="1598"/>
      <w:bookmarkEnd w:id="1599"/>
      <w:bookmarkEnd w:id="1600"/>
    </w:p>
    <w:p w:rsidR="00BE3B3A" w:rsidRPr="0050146A" w:rsidRDefault="00BE3B3A" w:rsidP="009F44AF">
      <w:pPr>
        <w:pStyle w:val="a"/>
        <w:rPr>
          <w:rStyle w:val="afa"/>
          <w:rtl/>
        </w:rPr>
      </w:pPr>
      <w:bookmarkStart w:id="1601" w:name="_Ref14427577"/>
      <w:r w:rsidRPr="0050146A">
        <w:rPr>
          <w:rFonts w:hint="cs"/>
          <w:rtl/>
        </w:rPr>
        <w:t xml:space="preserve">וכתב </w:t>
      </w:r>
      <w:r w:rsidRPr="0050146A">
        <w:rPr>
          <w:rStyle w:val="af8"/>
          <w:rFonts w:hint="cs"/>
          <w:rtl/>
        </w:rPr>
        <w:t>החת"ס</w:t>
      </w:r>
      <w:r w:rsidRPr="0050146A">
        <w:rPr>
          <w:rFonts w:hint="cs"/>
          <w:rtl/>
        </w:rPr>
        <w:t xml:space="preserve"> דלדעת </w:t>
      </w:r>
      <w:r w:rsidRPr="0050146A">
        <w:rPr>
          <w:rStyle w:val="af8"/>
          <w:rFonts w:hint="cs"/>
          <w:rtl/>
        </w:rPr>
        <w:t>רש"י</w:t>
      </w:r>
      <w:r w:rsidRPr="0050146A">
        <w:rPr>
          <w:rFonts w:hint="cs"/>
          <w:rtl/>
        </w:rPr>
        <w:t xml:space="preserve"> אף במקום שיש שישים יתכן שתהיה נתינת טעם, אלא שיש גזיה"כ שבשישים יש ביטול, אבל כיון דס"ל </w:t>
      </w:r>
      <w:r w:rsidRPr="0050146A">
        <w:rPr>
          <w:rStyle w:val="af8"/>
          <w:rFonts w:hint="cs"/>
          <w:rtl/>
        </w:rPr>
        <w:t>לרש"י</w:t>
      </w:r>
      <w:r w:rsidRPr="0050146A">
        <w:rPr>
          <w:rFonts w:hint="cs"/>
          <w:rtl/>
        </w:rPr>
        <w:t xml:space="preserve"> </w:t>
      </w:r>
      <w:r w:rsidRPr="0050146A">
        <w:rPr>
          <w:rStyle w:val="af6"/>
          <w:rFonts w:eastAsia="Guttman Hodes" w:hint="cs"/>
          <w:rtl/>
        </w:rPr>
        <w:t>(צח: ד"ה לטעם)</w:t>
      </w:r>
      <w:r w:rsidRPr="0050146A">
        <w:rPr>
          <w:rFonts w:hint="cs"/>
          <w:rtl/>
        </w:rPr>
        <w:t xml:space="preserve"> דטעם כעיקר דרבנן, </w:t>
      </w:r>
      <w:r w:rsidRPr="0050146A">
        <w:rPr>
          <w:rStyle w:val="afa"/>
          <w:rFonts w:hint="cs"/>
          <w:rtl/>
        </w:rPr>
        <w:t xml:space="preserve">[כדכתב </w:t>
      </w:r>
      <w:r w:rsidRPr="0050146A">
        <w:rPr>
          <w:rStyle w:val="affa"/>
          <w:rFonts w:hint="cs"/>
          <w:rtl/>
        </w:rPr>
        <w:t>רש"י</w:t>
      </w:r>
      <w:r w:rsidRPr="0050146A">
        <w:rPr>
          <w:rStyle w:val="afa"/>
          <w:rFonts w:hint="cs"/>
          <w:rtl/>
        </w:rPr>
        <w:t xml:space="preserve"> בדעת רבא, ועי' בדברי </w:t>
      </w:r>
      <w:r w:rsidRPr="0050146A">
        <w:rPr>
          <w:rStyle w:val="affa"/>
          <w:rFonts w:hint="cs"/>
          <w:rtl/>
        </w:rPr>
        <w:t>החת"ס</w:t>
      </w:r>
      <w:r w:rsidRPr="0050146A">
        <w:rPr>
          <w:rStyle w:val="afa"/>
          <w:rFonts w:hint="cs"/>
          <w:rtl/>
        </w:rPr>
        <w:t xml:space="preserve"> </w:t>
      </w:r>
      <w:r w:rsidR="00544A69" w:rsidRPr="0050146A">
        <w:rPr>
          <w:rStyle w:val="aff6"/>
          <w:rFonts w:hint="cs"/>
          <w:rtl/>
        </w:rPr>
        <w:t>(הובא לקמן סימן ו' אות</w:t>
      </w:r>
      <w:r w:rsidR="00544A69">
        <w:rPr>
          <w:rStyle w:val="aff6"/>
          <w:rFonts w:hint="cs"/>
          <w:rtl/>
        </w:rPr>
        <w:t xml:space="preserve"> </w:t>
      </w:r>
      <w:r w:rsidR="00544A69">
        <w:rPr>
          <w:rStyle w:val="aff6"/>
          <w:rtl/>
        </w:rPr>
        <w:fldChar w:fldCharType="begin"/>
      </w:r>
      <w:r w:rsidR="00544A69">
        <w:rPr>
          <w:rStyle w:val="aff6"/>
          <w:rtl/>
        </w:rPr>
        <w:instrText xml:space="preserve"> </w:instrText>
      </w:r>
      <w:r w:rsidR="00544A69">
        <w:rPr>
          <w:rStyle w:val="aff6"/>
          <w:rFonts w:hint="cs"/>
        </w:rPr>
        <w:instrText>REF</w:instrText>
      </w:r>
      <w:r w:rsidR="00544A69">
        <w:rPr>
          <w:rStyle w:val="aff6"/>
          <w:rFonts w:hint="cs"/>
          <w:rtl/>
        </w:rPr>
        <w:instrText xml:space="preserve"> _</w:instrText>
      </w:r>
      <w:r w:rsidR="00544A69">
        <w:rPr>
          <w:rStyle w:val="aff6"/>
          <w:rFonts w:hint="cs"/>
        </w:rPr>
        <w:instrText>Ref12006022 \r \h</w:instrText>
      </w:r>
      <w:r w:rsidR="00544A69">
        <w:rPr>
          <w:rStyle w:val="aff6"/>
          <w:rtl/>
        </w:rPr>
        <w:instrText xml:space="preserve"> </w:instrText>
      </w:r>
      <w:r w:rsidR="00544A69">
        <w:rPr>
          <w:rStyle w:val="aff6"/>
          <w:rtl/>
        </w:rPr>
      </w:r>
      <w:r w:rsidR="00544A69">
        <w:rPr>
          <w:rStyle w:val="aff6"/>
          <w:rtl/>
        </w:rPr>
        <w:fldChar w:fldCharType="separate"/>
      </w:r>
      <w:r w:rsidR="004D1C5B">
        <w:rPr>
          <w:rStyle w:val="aff6"/>
          <w:cs/>
        </w:rPr>
        <w:t>‎</w:t>
      </w:r>
      <w:r w:rsidR="004D1C5B">
        <w:rPr>
          <w:rStyle w:val="aff6"/>
          <w:rtl/>
        </w:rPr>
        <w:t>מה)</w:t>
      </w:r>
      <w:r w:rsidR="00544A69">
        <w:rPr>
          <w:rStyle w:val="aff6"/>
          <w:rtl/>
        </w:rPr>
        <w:fldChar w:fldCharType="end"/>
      </w:r>
      <w:r w:rsidR="00544A69" w:rsidRPr="0050146A">
        <w:rPr>
          <w:rStyle w:val="afa"/>
          <w:rFonts w:hint="cs"/>
          <w:rtl/>
        </w:rPr>
        <w:t>]</w:t>
      </w:r>
      <w:r w:rsidR="00544A69" w:rsidRPr="0050146A">
        <w:rPr>
          <w:rFonts w:hint="cs"/>
          <w:rtl/>
        </w:rPr>
        <w:t xml:space="preserve">, </w:t>
      </w:r>
      <w:r w:rsidRPr="0050146A">
        <w:rPr>
          <w:rFonts w:hint="cs"/>
          <w:rtl/>
        </w:rPr>
        <w:t xml:space="preserve">א"כ מדרבנן כל שיש טעם אינו בטל אף בשישים, </w:t>
      </w:r>
      <w:r w:rsidRPr="0050146A">
        <w:rPr>
          <w:rStyle w:val="afa"/>
          <w:rFonts w:hint="cs"/>
          <w:rtl/>
        </w:rPr>
        <w:t xml:space="preserve">[ולא ס"ל </w:t>
      </w:r>
      <w:r w:rsidRPr="0050146A">
        <w:rPr>
          <w:rStyle w:val="affa"/>
          <w:rFonts w:hint="cs"/>
          <w:rtl/>
        </w:rPr>
        <w:t>לרש"י</w:t>
      </w:r>
      <w:r w:rsidRPr="0050146A">
        <w:rPr>
          <w:rStyle w:val="afa"/>
          <w:rFonts w:hint="cs"/>
          <w:rtl/>
        </w:rPr>
        <w:t xml:space="preserve"> כביאור </w:t>
      </w:r>
      <w:r w:rsidRPr="0050146A">
        <w:rPr>
          <w:rStyle w:val="affa"/>
          <w:rFonts w:hint="cs"/>
          <w:rtl/>
        </w:rPr>
        <w:t>החת"ס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Ref8831062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עב)</w:t>
      </w:r>
      <w:r w:rsidRPr="0050146A">
        <w:rPr>
          <w:rStyle w:val="aff6"/>
          <w:rtl/>
        </w:rPr>
        <w:fldChar w:fldCharType="end"/>
      </w:r>
      <w:r w:rsidRPr="0050146A">
        <w:rPr>
          <w:rStyle w:val="aff6"/>
          <w:rFonts w:hint="cs"/>
          <w:rtl/>
        </w:rPr>
        <w:t xml:space="preserve"> </w:t>
      </w:r>
      <w:r w:rsidRPr="0050146A">
        <w:rPr>
          <w:rStyle w:val="afa"/>
          <w:rFonts w:hint="cs"/>
          <w:rtl/>
        </w:rPr>
        <w:t xml:space="preserve">בדעת </w:t>
      </w:r>
      <w:r w:rsidRPr="0050146A">
        <w:rPr>
          <w:rStyle w:val="affa"/>
          <w:rFonts w:hint="cs"/>
          <w:rtl/>
        </w:rPr>
        <w:t>הרמב"ן</w:t>
      </w:r>
      <w:r w:rsidRPr="0050146A">
        <w:rPr>
          <w:rStyle w:val="afa"/>
          <w:rFonts w:hint="cs"/>
          <w:rtl/>
        </w:rPr>
        <w:t xml:space="preserve"> דיש קבלה לחז"ל דברוב האיסורים אין נתינת טעם ביותר משישים],</w:t>
      </w:r>
      <w:r w:rsidRPr="0050146A">
        <w:rPr>
          <w:rFonts w:hint="cs"/>
          <w:rtl/>
        </w:rPr>
        <w:t xml:space="preserve"> וכתב </w:t>
      </w:r>
      <w:r w:rsidRPr="0050146A">
        <w:rPr>
          <w:rStyle w:val="af8"/>
          <w:rFonts w:hint="cs"/>
          <w:rtl/>
        </w:rPr>
        <w:t>החת"ס</w:t>
      </w:r>
      <w:r w:rsidRPr="0050146A">
        <w:rPr>
          <w:rFonts w:hint="cs"/>
          <w:rtl/>
        </w:rPr>
        <w:t xml:space="preserve"> דלכן ס"ל </w:t>
      </w:r>
      <w:r w:rsidRPr="0050146A">
        <w:rPr>
          <w:rStyle w:val="af8"/>
          <w:rFonts w:hint="cs"/>
          <w:rtl/>
        </w:rPr>
        <w:t>לרש"י</w:t>
      </w:r>
      <w:r w:rsidRPr="0050146A">
        <w:rPr>
          <w:rFonts w:hint="cs"/>
          <w:rtl/>
        </w:rPr>
        <w:t xml:space="preserve"> דכשיש קפילא לא סגי בשישים, בכדי לברר שאין איסור דרבנן דטעם כעיקר, אבל כשאין קפילא סמכינן על דינא דאו' וסגי בשישים. </w:t>
      </w:r>
      <w:r w:rsidRPr="0050146A">
        <w:rPr>
          <w:rStyle w:val="afa"/>
          <w:rFonts w:hint="cs"/>
          <w:rtl/>
        </w:rPr>
        <w:t>[והוסיף</w:t>
      </w:r>
      <w:r w:rsidRPr="0050146A">
        <w:rPr>
          <w:rStyle w:val="affa"/>
          <w:rFonts w:hint="cs"/>
          <w:rtl/>
        </w:rPr>
        <w:t xml:space="preserve"> החת"ס</w:t>
      </w:r>
      <w:r w:rsidRPr="0050146A">
        <w:rPr>
          <w:rStyle w:val="afa"/>
          <w:rFonts w:hint="cs"/>
          <w:rtl/>
        </w:rPr>
        <w:t xml:space="preserve"> דאף במין במינו קרוב לודאי דדעת </w:t>
      </w:r>
      <w:r w:rsidRPr="0050146A">
        <w:rPr>
          <w:rStyle w:val="affa"/>
          <w:rFonts w:hint="cs"/>
          <w:rtl/>
        </w:rPr>
        <w:t>רש"י והרמב"ם והראב"ד</w:t>
      </w:r>
      <w:r w:rsidRPr="0050146A">
        <w:rPr>
          <w:rStyle w:val="afa"/>
          <w:rFonts w:hint="cs"/>
          <w:rtl/>
        </w:rPr>
        <w:t xml:space="preserve"> דמדאו' צריך שישים, מהילפותא דזרוע בשלה, אלא דס"ל </w:t>
      </w:r>
      <w:r w:rsidRPr="0050146A">
        <w:rPr>
          <w:rStyle w:val="affa"/>
          <w:rFonts w:hint="cs"/>
          <w:rtl/>
        </w:rPr>
        <w:t>לרש"י</w:t>
      </w:r>
      <w:r w:rsidRPr="0050146A">
        <w:rPr>
          <w:rStyle w:val="afa"/>
          <w:rFonts w:hint="cs"/>
          <w:rtl/>
        </w:rPr>
        <w:t xml:space="preserve"> דלהלכה מין במינו לא בטיל].</w:t>
      </w:r>
      <w:bookmarkEnd w:id="1601"/>
    </w:p>
    <w:p w:rsidR="00BE3B3A" w:rsidRPr="0050146A" w:rsidRDefault="00BE3B3A" w:rsidP="00BE3B3A">
      <w:pPr>
        <w:pStyle w:val="1"/>
        <w:rPr>
          <w:rtl/>
        </w:rPr>
      </w:pPr>
      <w:bookmarkStart w:id="1602" w:name="_Toc8765431"/>
      <w:bookmarkStart w:id="1603" w:name="_Toc8923179"/>
      <w:bookmarkStart w:id="1604" w:name="_Toc8933380"/>
      <w:bookmarkStart w:id="1605" w:name="_Toc8937230"/>
      <w:bookmarkStart w:id="1606" w:name="_Toc8938216"/>
      <w:bookmarkStart w:id="1607" w:name="_Toc8979114"/>
      <w:bookmarkStart w:id="1608" w:name="_Toc8986257"/>
      <w:bookmarkStart w:id="1609" w:name="_Toc9108572"/>
      <w:bookmarkStart w:id="1610" w:name="_Toc9110127"/>
      <w:bookmarkStart w:id="1611" w:name="_Toc9114489"/>
      <w:bookmarkStart w:id="1612" w:name="_Toc9149532"/>
      <w:bookmarkStart w:id="1613" w:name="_Toc9289718"/>
      <w:bookmarkStart w:id="1614" w:name="_Toc11573364"/>
      <w:r w:rsidRPr="0050146A">
        <w:rPr>
          <w:rFonts w:hint="cs"/>
          <w:rtl/>
        </w:rPr>
        <w:t>ביאור היד יהודה והחזו"א ברש"י</w:t>
      </w:r>
      <w:bookmarkEnd w:id="1280"/>
      <w:bookmarkEnd w:id="1281"/>
      <w:bookmarkEnd w:id="1588"/>
      <w:bookmarkEnd w:id="1602"/>
      <w:bookmarkEnd w:id="1603"/>
      <w:bookmarkEnd w:id="1604"/>
      <w:bookmarkEnd w:id="1605"/>
      <w:bookmarkEnd w:id="1606"/>
      <w:bookmarkEnd w:id="1607"/>
      <w:r w:rsidRPr="0050146A">
        <w:rPr>
          <w:rFonts w:hint="cs"/>
          <w:rtl/>
        </w:rPr>
        <w:t xml:space="preserve"> דשישים הוא חומרא דרבנן</w:t>
      </w:r>
      <w:bookmarkEnd w:id="1608"/>
      <w:bookmarkEnd w:id="1609"/>
      <w:bookmarkEnd w:id="1610"/>
      <w:bookmarkEnd w:id="1611"/>
      <w:bookmarkEnd w:id="1612"/>
      <w:bookmarkEnd w:id="1613"/>
      <w:bookmarkEnd w:id="1614"/>
    </w:p>
    <w:p w:rsidR="00BE3B3A" w:rsidRPr="0050146A" w:rsidRDefault="00BE3B3A" w:rsidP="00BE3B3A">
      <w:pPr>
        <w:pStyle w:val="a2"/>
        <w:rPr>
          <w:rtl/>
        </w:rPr>
      </w:pPr>
      <w:bookmarkStart w:id="1615" w:name="_Toc8986258"/>
      <w:bookmarkStart w:id="1616" w:name="_Toc9108573"/>
      <w:bookmarkStart w:id="1617" w:name="_Toc9110128"/>
      <w:bookmarkStart w:id="1618" w:name="_Toc9114490"/>
      <w:bookmarkStart w:id="1619" w:name="_Toc9149533"/>
      <w:bookmarkStart w:id="1620" w:name="_Toc9289719"/>
      <w:bookmarkStart w:id="1621" w:name="_Toc11573365"/>
      <w:r w:rsidRPr="0050146A">
        <w:rPr>
          <w:rFonts w:hint="cs"/>
          <w:rtl/>
        </w:rPr>
        <w:t>דברי היד יהודה דאף כשאין טעם גזרו חכמים שישים כיון שיש איסורים שנותנים טעם בשישים</w:t>
      </w:r>
      <w:bookmarkEnd w:id="1615"/>
      <w:bookmarkEnd w:id="1616"/>
      <w:bookmarkEnd w:id="1617"/>
      <w:bookmarkEnd w:id="1618"/>
      <w:bookmarkEnd w:id="1619"/>
      <w:bookmarkEnd w:id="1620"/>
      <w:bookmarkEnd w:id="1621"/>
    </w:p>
    <w:p w:rsidR="00BE3B3A" w:rsidRPr="0050146A" w:rsidRDefault="00BE3B3A" w:rsidP="009F44AF">
      <w:pPr>
        <w:pStyle w:val="a"/>
        <w:rPr>
          <w:rtl/>
        </w:rPr>
      </w:pPr>
      <w:bookmarkStart w:id="1622" w:name="_Ref8984719"/>
      <w:bookmarkStart w:id="1623" w:name="_Toc8923180"/>
      <w:bookmarkStart w:id="1624" w:name="_Toc8933381"/>
      <w:bookmarkStart w:id="1625" w:name="_Toc8937231"/>
      <w:bookmarkStart w:id="1626" w:name="_Toc8938217"/>
      <w:bookmarkStart w:id="1627" w:name="_Toc8979115"/>
      <w:r w:rsidRPr="0050146A">
        <w:rPr>
          <w:rStyle w:val="af8"/>
          <w:rFonts w:hint="cs"/>
          <w:rtl/>
        </w:rPr>
        <w:t>והיד יהודה</w:t>
      </w:r>
      <w:r w:rsidRPr="0050146A">
        <w:rPr>
          <w:rFonts w:hint="cs"/>
          <w:rtl/>
        </w:rPr>
        <w:t xml:space="preserve"> </w:t>
      </w:r>
      <w:r w:rsidRPr="0050146A">
        <w:rPr>
          <w:rStyle w:val="af6"/>
          <w:rFonts w:eastAsia="Guttman Hodes" w:hint="cs"/>
          <w:rtl/>
        </w:rPr>
        <w:t>(סי' צ"ח סק"ג ד"ה אבל התוס')</w:t>
      </w:r>
      <w:r w:rsidRPr="0050146A">
        <w:rPr>
          <w:rFonts w:hint="cs"/>
          <w:rtl/>
        </w:rPr>
        <w:t xml:space="preserve"> ביאר דס"ל </w:t>
      </w:r>
      <w:r w:rsidRPr="0050146A">
        <w:rPr>
          <w:rStyle w:val="af8"/>
          <w:rFonts w:hint="cs"/>
          <w:rtl/>
        </w:rPr>
        <w:t>לרש"י</w:t>
      </w:r>
      <w:r w:rsidRPr="0050146A">
        <w:rPr>
          <w:rFonts w:hint="cs"/>
          <w:rtl/>
        </w:rPr>
        <w:t xml:space="preserve"> דאף שאמר הקפילא שאין טעם, מ"מ כיון שיש איסורים שנותנים טעם ביותר משישים, לכן גזרו חכמים שלא יתבטל שום איסור בפחות משישים, וכדכתב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Ref8978750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50146A">
        <w:rPr>
          <w:rStyle w:val="af6"/>
          <w:rFonts w:eastAsia="Guttman Hodes"/>
          <w:rtl/>
        </w:rPr>
        <w:fldChar w:fldCharType="end"/>
      </w:r>
      <w:r w:rsidRPr="0050146A">
        <w:rPr>
          <w:rFonts w:hint="cs"/>
          <w:rtl/>
        </w:rPr>
        <w:t xml:space="preserve">, וכן ביאר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Ref8984814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w:t>
      </w:r>
      <w:r w:rsidRPr="0050146A">
        <w:rPr>
          <w:rStyle w:val="af6"/>
          <w:rFonts w:eastAsia="Guttman Hodes"/>
          <w:rtl/>
        </w:rPr>
        <w:fldChar w:fldCharType="end"/>
      </w:r>
      <w:r w:rsidRPr="0050146A">
        <w:rPr>
          <w:rFonts w:hint="cs"/>
          <w:rtl/>
        </w:rPr>
        <w:t xml:space="preserve"> בדעת </w:t>
      </w:r>
      <w:r w:rsidRPr="0050146A">
        <w:rPr>
          <w:rStyle w:val="af8"/>
          <w:rFonts w:hint="cs"/>
          <w:rtl/>
        </w:rPr>
        <w:t>הרמב"ן והרשב"א</w:t>
      </w:r>
      <w:r w:rsidRPr="0050146A">
        <w:rPr>
          <w:rFonts w:hint="cs"/>
          <w:rtl/>
        </w:rPr>
        <w:t xml:space="preserve"> כשנימוח גוף האיסור.</w:t>
      </w:r>
      <w:bookmarkEnd w:id="1622"/>
    </w:p>
    <w:p w:rsidR="00BE3B3A" w:rsidRPr="0050146A" w:rsidRDefault="00BE3B3A" w:rsidP="00BE3B3A">
      <w:pPr>
        <w:pStyle w:val="a2"/>
      </w:pPr>
      <w:bookmarkStart w:id="1628" w:name="_Toc8986259"/>
      <w:bookmarkStart w:id="1629" w:name="_Toc9108574"/>
      <w:bookmarkStart w:id="1630" w:name="_Toc9110129"/>
      <w:bookmarkStart w:id="1631" w:name="_Toc9114491"/>
      <w:bookmarkStart w:id="1632" w:name="_Toc9149534"/>
      <w:bookmarkStart w:id="1633" w:name="_Toc9289720"/>
      <w:bookmarkStart w:id="1634" w:name="_Toc11573366"/>
      <w:r w:rsidRPr="0050146A">
        <w:rPr>
          <w:rFonts w:hint="cs"/>
          <w:rtl/>
        </w:rPr>
        <w:t>דברי רש"י דאף כשאמר הקפילא שאין טעם החמירו להצריך שישים דהוא שיעור קבוע</w:t>
      </w:r>
      <w:bookmarkEnd w:id="1623"/>
      <w:bookmarkEnd w:id="1624"/>
      <w:bookmarkEnd w:id="1625"/>
      <w:bookmarkEnd w:id="1626"/>
      <w:bookmarkEnd w:id="1627"/>
      <w:bookmarkEnd w:id="1628"/>
      <w:bookmarkEnd w:id="1629"/>
      <w:bookmarkEnd w:id="1630"/>
      <w:bookmarkEnd w:id="1631"/>
      <w:bookmarkEnd w:id="1632"/>
      <w:bookmarkEnd w:id="1633"/>
      <w:bookmarkEnd w:id="1634"/>
    </w:p>
    <w:p w:rsidR="00BE3B3A" w:rsidRPr="0050146A" w:rsidRDefault="00BE3B3A" w:rsidP="009F44AF">
      <w:pPr>
        <w:pStyle w:val="a"/>
        <w:rPr>
          <w:rtl/>
        </w:rPr>
      </w:pPr>
      <w:r w:rsidRPr="0050146A">
        <w:rPr>
          <w:rFonts w:hint="cs"/>
          <w:rtl/>
        </w:rPr>
        <w:t xml:space="preserve">כתב </w:t>
      </w:r>
      <w:r w:rsidRPr="0050146A">
        <w:rPr>
          <w:rStyle w:val="af8"/>
          <w:rFonts w:hint="cs"/>
          <w:rtl/>
        </w:rPr>
        <w:t>החזו"א</w:t>
      </w:r>
      <w:r w:rsidRPr="0050146A">
        <w:rPr>
          <w:rFonts w:hint="cs"/>
          <w:rtl/>
        </w:rPr>
        <w:t xml:space="preserve"> </w:t>
      </w:r>
      <w:r w:rsidRPr="0050146A">
        <w:rPr>
          <w:rStyle w:val="af6"/>
          <w:rFonts w:eastAsia="Guttman Hodes" w:hint="cs"/>
          <w:rtl/>
        </w:rPr>
        <w:t>(סי' כ"ז סק"ב)</w:t>
      </w:r>
      <w:r w:rsidRPr="0050146A">
        <w:rPr>
          <w:rFonts w:hint="cs"/>
          <w:rtl/>
        </w:rPr>
        <w:t xml:space="preserve"> דהא דלדעת </w:t>
      </w:r>
      <w:r w:rsidRPr="0050146A">
        <w:rPr>
          <w:rStyle w:val="af8"/>
          <w:rFonts w:hint="cs"/>
          <w:rtl/>
        </w:rPr>
        <w:t>רש"י</w:t>
      </w:r>
      <w:r w:rsidRPr="0050146A">
        <w:rPr>
          <w:rFonts w:hint="cs"/>
          <w:rtl/>
        </w:rPr>
        <w:t xml:space="preserve"> אף כשטעם הקפילא ולא נמצא טעם, אסור בפחות משישים, הוא כיון דבכל דיני טעם אמרו חכמים דאזלינן בתר החומרא, דכיון שיש דברים שנותנים הרבה טעם, ויש דברים שמקבלים הרבה טעם, לכן נתנו חכמים שיעור קבוע דהוא שישים.</w:t>
      </w:r>
    </w:p>
    <w:p w:rsidR="00BE3B3A" w:rsidRPr="0050146A" w:rsidRDefault="00BE3B3A" w:rsidP="00BE3B3A">
      <w:pPr>
        <w:pStyle w:val="a2"/>
        <w:rPr>
          <w:rtl/>
        </w:rPr>
      </w:pPr>
      <w:bookmarkStart w:id="1635" w:name="_Toc8923181"/>
      <w:bookmarkStart w:id="1636" w:name="_Toc8933382"/>
      <w:bookmarkStart w:id="1637" w:name="_Toc8937232"/>
      <w:bookmarkStart w:id="1638" w:name="_Toc8938218"/>
      <w:bookmarkStart w:id="1639" w:name="_Toc8979116"/>
      <w:bookmarkStart w:id="1640" w:name="_Toc8986260"/>
      <w:bookmarkStart w:id="1641" w:name="_Toc9108575"/>
      <w:bookmarkStart w:id="1642" w:name="_Toc9110130"/>
      <w:bookmarkStart w:id="1643" w:name="_Toc9114492"/>
      <w:bookmarkStart w:id="1644" w:name="_Toc9149535"/>
      <w:bookmarkStart w:id="1645" w:name="_Toc9289721"/>
      <w:bookmarkStart w:id="1646" w:name="_Toc11573367"/>
      <w:r w:rsidRPr="0050146A">
        <w:rPr>
          <w:rFonts w:hint="cs"/>
          <w:rtl/>
        </w:rPr>
        <w:t>דברי החזו"א דמוכח בגמ' דכל השיעורים דרבנן אבל מדאו' כל שיש טעם מותר</w:t>
      </w:r>
      <w:bookmarkEnd w:id="1635"/>
      <w:bookmarkEnd w:id="1636"/>
      <w:bookmarkEnd w:id="1637"/>
      <w:bookmarkEnd w:id="1638"/>
      <w:bookmarkEnd w:id="1639"/>
      <w:bookmarkEnd w:id="1640"/>
      <w:bookmarkEnd w:id="1641"/>
      <w:bookmarkEnd w:id="1642"/>
      <w:bookmarkEnd w:id="1643"/>
      <w:bookmarkEnd w:id="1644"/>
      <w:bookmarkEnd w:id="1645"/>
      <w:bookmarkEnd w:id="1646"/>
    </w:p>
    <w:p w:rsidR="00BE3B3A" w:rsidRPr="0050146A" w:rsidRDefault="00BE3B3A" w:rsidP="009F44AF">
      <w:pPr>
        <w:pStyle w:val="a"/>
        <w:rPr>
          <w:rtl/>
        </w:rPr>
      </w:pPr>
      <w:r w:rsidRPr="0050146A">
        <w:rPr>
          <w:rFonts w:hint="cs"/>
          <w:rtl/>
        </w:rPr>
        <w:t xml:space="preserve">והוסיף </w:t>
      </w:r>
      <w:r w:rsidRPr="0050146A">
        <w:rPr>
          <w:rStyle w:val="af8"/>
          <w:rFonts w:hint="cs"/>
          <w:rtl/>
        </w:rPr>
        <w:t>החזו"א</w:t>
      </w:r>
      <w:r w:rsidRPr="0050146A">
        <w:rPr>
          <w:rFonts w:hint="cs"/>
          <w:rtl/>
        </w:rPr>
        <w:t xml:space="preserve"> דכל השיעורים הם מדרבנן, ומדאו' כל שאין בו טעם מותר והוסיף </w:t>
      </w:r>
      <w:r w:rsidRPr="0050146A">
        <w:rPr>
          <w:rStyle w:val="af8"/>
          <w:rFonts w:hint="cs"/>
          <w:rtl/>
        </w:rPr>
        <w:t>החזו"א</w:t>
      </w:r>
      <w:r w:rsidRPr="0050146A">
        <w:rPr>
          <w:rFonts w:hint="cs"/>
          <w:rtl/>
        </w:rPr>
        <w:t xml:space="preserve"> דכן מבואר בגמ' לקמן </w:t>
      </w:r>
      <w:r w:rsidRPr="0050146A">
        <w:rPr>
          <w:rStyle w:val="af6"/>
          <w:rFonts w:eastAsia="Guttman Hodes" w:hint="cs"/>
          <w:rtl/>
        </w:rPr>
        <w:t>(צח:)</w:t>
      </w:r>
      <w:r w:rsidRPr="0050146A">
        <w:rPr>
          <w:rFonts w:hint="cs"/>
          <w:rtl/>
        </w:rPr>
        <w:t xml:space="preserve"> דשיעור שישים הוא לחומרא, וכדכתבו </w:t>
      </w:r>
      <w:r w:rsidRPr="0050146A">
        <w:rPr>
          <w:rStyle w:val="af8"/>
          <w:rFonts w:hint="cs"/>
          <w:rtl/>
        </w:rPr>
        <w:t xml:space="preserve">התוס' לקמן </w:t>
      </w:r>
      <w:r w:rsidRPr="0050146A">
        <w:rPr>
          <w:rStyle w:val="af6"/>
          <w:rFonts w:eastAsia="Guttman Hodes" w:hint="cs"/>
          <w:rtl/>
        </w:rPr>
        <w:t>(צח: ד"ה לחומרא)</w:t>
      </w:r>
      <w:r w:rsidRPr="0050146A">
        <w:rPr>
          <w:rFonts w:hint="cs"/>
          <w:rtl/>
        </w:rPr>
        <w:t xml:space="preserve">, אך הקשה </w:t>
      </w:r>
      <w:r w:rsidRPr="0050146A">
        <w:rPr>
          <w:rStyle w:val="af8"/>
          <w:rFonts w:hint="cs"/>
          <w:rtl/>
        </w:rPr>
        <w:t>החזו"א</w:t>
      </w:r>
      <w:r w:rsidRPr="0050146A">
        <w:rPr>
          <w:rFonts w:hint="cs"/>
          <w:rtl/>
        </w:rPr>
        <w:t xml:space="preserve"> </w:t>
      </w:r>
      <w:r w:rsidRPr="0050146A">
        <w:rPr>
          <w:rStyle w:val="af8"/>
          <w:rFonts w:hint="cs"/>
          <w:rtl/>
        </w:rPr>
        <w:t>דרש"י במתני'</w:t>
      </w:r>
      <w:r w:rsidRPr="0050146A">
        <w:rPr>
          <w:rFonts w:hint="cs"/>
          <w:rtl/>
        </w:rPr>
        <w:t xml:space="preserve"> </w:t>
      </w:r>
      <w:r w:rsidRPr="0050146A">
        <w:rPr>
          <w:rStyle w:val="af6"/>
          <w:rFonts w:eastAsia="Guttman Hodes" w:hint="cs"/>
          <w:rtl/>
        </w:rPr>
        <w:t>(צו: ד"ה כבשר)</w:t>
      </w:r>
      <w:r w:rsidRPr="0050146A">
        <w:rPr>
          <w:rFonts w:hint="cs"/>
          <w:rtl/>
        </w:rPr>
        <w:t xml:space="preserve"> כתב דהשיעורים הם מהלכה למשה מסיני.</w:t>
      </w:r>
    </w:p>
    <w:p w:rsidR="00BE3B3A" w:rsidRPr="0050146A" w:rsidRDefault="00BE3B3A" w:rsidP="00BE3B3A">
      <w:pPr>
        <w:pStyle w:val="1"/>
        <w:rPr>
          <w:rtl/>
        </w:rPr>
      </w:pPr>
      <w:bookmarkStart w:id="1647" w:name="_Toc8923182"/>
      <w:bookmarkStart w:id="1648" w:name="_Toc8933383"/>
      <w:bookmarkStart w:id="1649" w:name="_Toc8937233"/>
      <w:bookmarkStart w:id="1650" w:name="_Toc8938219"/>
      <w:bookmarkStart w:id="1651" w:name="_Toc8979117"/>
      <w:bookmarkStart w:id="1652" w:name="_Toc8986261"/>
      <w:bookmarkStart w:id="1653" w:name="_Toc9108576"/>
      <w:bookmarkStart w:id="1654" w:name="_Toc9110131"/>
      <w:bookmarkStart w:id="1655" w:name="_Toc9114493"/>
      <w:bookmarkStart w:id="1656" w:name="_Toc9149536"/>
      <w:bookmarkStart w:id="1657" w:name="_Toc9289722"/>
      <w:bookmarkStart w:id="1658" w:name="_Toc11573368"/>
      <w:bookmarkStart w:id="1659" w:name="_Toc8578660"/>
      <w:bookmarkStart w:id="1660" w:name="_Toc8765433"/>
      <w:r w:rsidRPr="0050146A">
        <w:rPr>
          <w:rFonts w:hint="cs"/>
          <w:rtl/>
        </w:rPr>
        <w:t>ביאור הרי"ד דקפילא בא להחמיר ושיעור שישים הוא מדין רוב</w:t>
      </w:r>
      <w:bookmarkEnd w:id="1647"/>
      <w:bookmarkEnd w:id="1648"/>
      <w:bookmarkEnd w:id="1649"/>
      <w:bookmarkEnd w:id="1650"/>
      <w:bookmarkEnd w:id="1651"/>
      <w:bookmarkEnd w:id="1652"/>
      <w:bookmarkEnd w:id="1653"/>
      <w:bookmarkEnd w:id="1654"/>
      <w:bookmarkEnd w:id="1655"/>
      <w:bookmarkEnd w:id="1656"/>
      <w:bookmarkEnd w:id="1657"/>
      <w:bookmarkEnd w:id="1658"/>
    </w:p>
    <w:p w:rsidR="00BE3B3A" w:rsidRPr="0050146A" w:rsidRDefault="00BE3B3A" w:rsidP="00BE3B3A">
      <w:pPr>
        <w:pStyle w:val="a2"/>
        <w:rPr>
          <w:rtl/>
        </w:rPr>
      </w:pPr>
      <w:bookmarkStart w:id="1661" w:name="_Toc8923183"/>
      <w:bookmarkStart w:id="1662" w:name="_Toc8933384"/>
      <w:bookmarkStart w:id="1663" w:name="_Toc8937234"/>
      <w:bookmarkStart w:id="1664" w:name="_Toc8938220"/>
      <w:bookmarkStart w:id="1665" w:name="_Toc8979118"/>
      <w:bookmarkStart w:id="1666" w:name="_Toc8986262"/>
      <w:bookmarkStart w:id="1667" w:name="_Toc9108577"/>
      <w:bookmarkStart w:id="1668" w:name="_Toc9110132"/>
      <w:bookmarkStart w:id="1669" w:name="_Toc9114494"/>
      <w:bookmarkStart w:id="1670" w:name="_Toc9149537"/>
      <w:bookmarkStart w:id="1671" w:name="_Toc9289723"/>
      <w:bookmarkStart w:id="1672" w:name="_Toc11573369"/>
      <w:r w:rsidRPr="0050146A">
        <w:rPr>
          <w:rFonts w:hint="cs"/>
          <w:rtl/>
        </w:rPr>
        <w:t>דברי הרי"ד דלא סמכינן על קפילא לקולא בפחות משישים דאין איסור שבטל בפחות משישים</w:t>
      </w:r>
      <w:bookmarkEnd w:id="1661"/>
      <w:bookmarkEnd w:id="1662"/>
      <w:bookmarkEnd w:id="1663"/>
      <w:bookmarkEnd w:id="1664"/>
      <w:bookmarkEnd w:id="1665"/>
      <w:bookmarkEnd w:id="1666"/>
      <w:bookmarkEnd w:id="1667"/>
      <w:bookmarkEnd w:id="1668"/>
      <w:bookmarkEnd w:id="1669"/>
      <w:bookmarkEnd w:id="1670"/>
      <w:bookmarkEnd w:id="1671"/>
      <w:bookmarkEnd w:id="1672"/>
    </w:p>
    <w:p w:rsidR="00BE3B3A" w:rsidRPr="0050146A" w:rsidRDefault="00BE3B3A" w:rsidP="009F44AF">
      <w:pPr>
        <w:pStyle w:val="a"/>
        <w:rPr>
          <w:rtl/>
        </w:rPr>
      </w:pPr>
      <w:r w:rsidRPr="0050146A">
        <w:rPr>
          <w:rStyle w:val="af8"/>
          <w:rFonts w:hint="cs"/>
          <w:rtl/>
        </w:rPr>
        <w:t>בפסקי הרי"ד לקמן</w:t>
      </w:r>
      <w:r w:rsidRPr="0050146A">
        <w:rPr>
          <w:rFonts w:hint="cs"/>
          <w:rtl/>
        </w:rPr>
        <w:t xml:space="preserve"> </w:t>
      </w:r>
      <w:r w:rsidRPr="0050146A">
        <w:rPr>
          <w:rStyle w:val="af6"/>
          <w:rFonts w:eastAsia="Guttman Hodes" w:hint="cs"/>
          <w:rtl/>
        </w:rPr>
        <w:t>(צט. ד"ה יתיב, הועתק בקובץ שיטות קמאי חולין ח"ג עמ' ב' אלף ש"ח)</w:t>
      </w:r>
      <w:r w:rsidRPr="0050146A">
        <w:rPr>
          <w:rFonts w:hint="cs"/>
          <w:rtl/>
        </w:rPr>
        <w:t xml:space="preserve"> כתב </w:t>
      </w:r>
      <w:r w:rsidRPr="0050146A">
        <w:rPr>
          <w:rStyle w:val="af8"/>
          <w:rFonts w:hint="cs"/>
          <w:rtl/>
        </w:rPr>
        <w:t>כרש"י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Ref5960885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דבגמ' לקמן </w:t>
      </w:r>
      <w:r w:rsidRPr="0050146A">
        <w:rPr>
          <w:rStyle w:val="af6"/>
          <w:rFonts w:eastAsia="Guttman Hodes" w:hint="cs"/>
          <w:rtl/>
        </w:rPr>
        <w:t>(צט.)</w:t>
      </w:r>
      <w:r w:rsidRPr="0050146A">
        <w:rPr>
          <w:rFonts w:hint="cs"/>
          <w:rtl/>
        </w:rPr>
        <w:t xml:space="preserve"> מוכח שצריך גם שישים וגם שלא יהיה טעם איסור, וביאר </w:t>
      </w:r>
      <w:r w:rsidRPr="0050146A">
        <w:rPr>
          <w:rStyle w:val="af8"/>
          <w:rFonts w:hint="cs"/>
          <w:rtl/>
        </w:rPr>
        <w:t xml:space="preserve">בפסקי הרי"ד </w:t>
      </w:r>
      <w:r w:rsidRPr="0050146A">
        <w:rPr>
          <w:rStyle w:val="af6"/>
          <w:rFonts w:eastAsia="Guttman Hodes" w:hint="cs"/>
          <w:rtl/>
        </w:rPr>
        <w:t>(צז: ד"ה ואמור, הועתק בקובץ שיטות קמאי חולין ח"ג עמ' ב' אלף ק"נ)</w:t>
      </w:r>
      <w:r w:rsidRPr="0050146A">
        <w:rPr>
          <w:rFonts w:hint="cs"/>
          <w:rtl/>
        </w:rPr>
        <w:t xml:space="preserve"> דהא דאמרינן בגמ' דמין בשאינו מינו בטעמא, אין כוונת הגמ' לומר דמהני טעימת קפילא להקל ולהתיר אף בפחות משישים, דאין איסור שבטל בפחות משישים.</w:t>
      </w:r>
    </w:p>
    <w:p w:rsidR="00BE3B3A" w:rsidRPr="0050146A" w:rsidRDefault="00BE3B3A" w:rsidP="00BE3B3A">
      <w:pPr>
        <w:pStyle w:val="a2"/>
      </w:pPr>
      <w:bookmarkStart w:id="1673" w:name="_Toc8923184"/>
      <w:bookmarkStart w:id="1674" w:name="_Toc8933385"/>
      <w:bookmarkStart w:id="1675" w:name="_Toc8937235"/>
      <w:bookmarkStart w:id="1676" w:name="_Toc8938221"/>
      <w:bookmarkStart w:id="1677" w:name="_Toc8979119"/>
      <w:bookmarkStart w:id="1678" w:name="_Toc8986263"/>
      <w:bookmarkStart w:id="1679" w:name="_Toc9108578"/>
      <w:bookmarkStart w:id="1680" w:name="_Toc9110133"/>
      <w:bookmarkStart w:id="1681" w:name="_Toc9114495"/>
      <w:bookmarkStart w:id="1682" w:name="_Toc9149538"/>
      <w:bookmarkStart w:id="1683" w:name="_Toc9289724"/>
      <w:bookmarkStart w:id="1684" w:name="_Toc11573370"/>
      <w:r w:rsidRPr="0050146A">
        <w:rPr>
          <w:rFonts w:hint="cs"/>
          <w:rtl/>
        </w:rPr>
        <w:t>דברי הרי"ד דכוונת הגמ' להחמיר במין בשאינו מינו דאף כשיש שישים צריך קפילא</w:t>
      </w:r>
      <w:bookmarkEnd w:id="1673"/>
      <w:bookmarkEnd w:id="1674"/>
      <w:bookmarkEnd w:id="1675"/>
      <w:bookmarkEnd w:id="1676"/>
      <w:bookmarkEnd w:id="1677"/>
      <w:bookmarkEnd w:id="1678"/>
      <w:bookmarkEnd w:id="1679"/>
      <w:bookmarkEnd w:id="1680"/>
      <w:bookmarkEnd w:id="1681"/>
      <w:bookmarkEnd w:id="1682"/>
      <w:bookmarkEnd w:id="1683"/>
      <w:bookmarkEnd w:id="1684"/>
    </w:p>
    <w:p w:rsidR="00BE3B3A" w:rsidRPr="0050146A" w:rsidRDefault="00BE3B3A" w:rsidP="009F44AF">
      <w:pPr>
        <w:pStyle w:val="a"/>
        <w:rPr>
          <w:rtl/>
        </w:rPr>
      </w:pPr>
      <w:r w:rsidRPr="0050146A">
        <w:rPr>
          <w:rFonts w:hint="cs"/>
          <w:rtl/>
        </w:rPr>
        <w:t xml:space="preserve">אלא כתב </w:t>
      </w:r>
      <w:r w:rsidRPr="0050146A">
        <w:rPr>
          <w:rStyle w:val="af8"/>
          <w:rFonts w:hint="cs"/>
          <w:rtl/>
        </w:rPr>
        <w:t xml:space="preserve">בפסקי הרי"ד </w:t>
      </w:r>
      <w:r w:rsidRPr="0050146A">
        <w:rPr>
          <w:rFonts w:hint="cs"/>
          <w:rtl/>
        </w:rPr>
        <w:t>דכוונת הגמ' להחמיר במין בשאינו מינו דאף כשיש שישים, מ"מ אם אפשר לטועמו ע"י כהן או קפילא לא סמכינן על שישים להתיר, עד שיטעם הקפילא, ואם יש בו טעם אסור.</w:t>
      </w:r>
    </w:p>
    <w:p w:rsidR="00BE3B3A" w:rsidRPr="0050146A" w:rsidRDefault="00BE3B3A" w:rsidP="00BE3B3A">
      <w:pPr>
        <w:pStyle w:val="a2"/>
      </w:pPr>
      <w:bookmarkStart w:id="1685" w:name="_Toc8923185"/>
      <w:bookmarkStart w:id="1686" w:name="_Toc8933386"/>
      <w:bookmarkStart w:id="1687" w:name="_Toc8937236"/>
      <w:bookmarkStart w:id="1688" w:name="_Toc8938222"/>
      <w:bookmarkStart w:id="1689" w:name="_Toc8979120"/>
      <w:bookmarkStart w:id="1690" w:name="_Toc8986264"/>
      <w:bookmarkStart w:id="1691" w:name="_Toc9108579"/>
      <w:bookmarkStart w:id="1692" w:name="_Toc9110134"/>
      <w:bookmarkStart w:id="1693" w:name="_Toc9114496"/>
      <w:bookmarkStart w:id="1694" w:name="_Toc9149539"/>
      <w:bookmarkStart w:id="1695" w:name="_Toc9289725"/>
      <w:bookmarkStart w:id="1696" w:name="_Toc11573371"/>
      <w:r w:rsidRPr="0050146A">
        <w:rPr>
          <w:rFonts w:hint="cs"/>
          <w:rtl/>
        </w:rPr>
        <w:t>ביאור הרי"ד דבמין במינו מהני שישים דסמכינן על רוב האיסורים שאין נותנים טעם ביותר משישים</w:t>
      </w:r>
      <w:bookmarkEnd w:id="1685"/>
      <w:bookmarkEnd w:id="1686"/>
      <w:bookmarkEnd w:id="1687"/>
      <w:bookmarkEnd w:id="1688"/>
      <w:bookmarkEnd w:id="1689"/>
      <w:bookmarkEnd w:id="1690"/>
      <w:bookmarkEnd w:id="1691"/>
      <w:bookmarkEnd w:id="1692"/>
      <w:bookmarkEnd w:id="1693"/>
      <w:bookmarkEnd w:id="1694"/>
      <w:bookmarkEnd w:id="1695"/>
      <w:bookmarkEnd w:id="1696"/>
    </w:p>
    <w:p w:rsidR="00BE3B3A" w:rsidRPr="0050146A" w:rsidRDefault="00BE3B3A" w:rsidP="009F44AF">
      <w:pPr>
        <w:pStyle w:val="a"/>
        <w:rPr>
          <w:rtl/>
        </w:rPr>
      </w:pPr>
      <w:bookmarkStart w:id="1697" w:name="_Ref8902569"/>
      <w:r w:rsidRPr="0050146A">
        <w:rPr>
          <w:rFonts w:hint="cs"/>
          <w:rtl/>
        </w:rPr>
        <w:t xml:space="preserve">וכתב </w:t>
      </w:r>
      <w:r w:rsidRPr="0050146A">
        <w:rPr>
          <w:rStyle w:val="af8"/>
          <w:rFonts w:hint="cs"/>
          <w:rtl/>
        </w:rPr>
        <w:t xml:space="preserve">בפסקי הרי"ד </w:t>
      </w:r>
      <w:r w:rsidRPr="0050146A">
        <w:rPr>
          <w:rFonts w:hint="cs"/>
          <w:rtl/>
        </w:rPr>
        <w:t xml:space="preserve">דכ"מ דמהני שישים להתיר הוא רק בא"א לעמוד על הטעם כמין במינו, או כשאין קפילא, וביאר </w:t>
      </w:r>
      <w:r w:rsidRPr="0050146A">
        <w:rPr>
          <w:rStyle w:val="af8"/>
          <w:rFonts w:hint="cs"/>
          <w:rtl/>
        </w:rPr>
        <w:t xml:space="preserve">בפסקי הרי"ד </w:t>
      </w:r>
      <w:r w:rsidRPr="0050146A">
        <w:rPr>
          <w:rFonts w:hint="cs"/>
          <w:rtl/>
        </w:rPr>
        <w:t xml:space="preserve">דהא דסמכינן על שישים להתיר, הוא כיון דאמרינן דרוב האיסורים </w:t>
      </w:r>
      <w:r w:rsidRPr="0050146A">
        <w:rPr>
          <w:rFonts w:hint="cs"/>
          <w:rtl/>
        </w:rPr>
        <w:t xml:space="preserve">אינם נותנים טעם ביותר משישים, ואף שיתכן שנמצא לפעמים טעם אף ביותר משישים, מ"מ סמכינן על הרוב דרוב, האיסורים אינם נותנים טעם ביותר משישים, וכעי"ז כתבו </w:t>
      </w:r>
      <w:r w:rsidRPr="0050146A">
        <w:rPr>
          <w:rStyle w:val="af8"/>
          <w:rFonts w:hint="cs"/>
          <w:rtl/>
        </w:rPr>
        <w:t xml:space="preserve">הראש יוסף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Ref8902629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50146A">
        <w:rPr>
          <w:rStyle w:val="af6"/>
          <w:rFonts w:eastAsia="Guttman Hodes"/>
          <w:rtl/>
        </w:rPr>
        <w:fldChar w:fldCharType="end"/>
      </w:r>
      <w:r w:rsidRPr="0050146A">
        <w:rPr>
          <w:rFonts w:hint="cs"/>
          <w:rtl/>
        </w:rPr>
        <w:t xml:space="preserve"> </w:t>
      </w:r>
      <w:r w:rsidRPr="0050146A">
        <w:rPr>
          <w:rStyle w:val="af8"/>
          <w:rFonts w:hint="cs"/>
          <w:rtl/>
        </w:rPr>
        <w:t>והמנחת כהן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Ref8902978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50146A">
        <w:rPr>
          <w:rStyle w:val="af6"/>
          <w:rFonts w:eastAsia="Guttman Hodes"/>
          <w:rtl/>
        </w:rPr>
        <w:fldChar w:fldCharType="end"/>
      </w:r>
      <w:r w:rsidRPr="0050146A">
        <w:rPr>
          <w:rFonts w:hint="cs"/>
          <w:rtl/>
        </w:rPr>
        <w:t xml:space="preserve"> בדעת</w:t>
      </w:r>
      <w:r w:rsidRPr="0050146A">
        <w:rPr>
          <w:rStyle w:val="af8"/>
          <w:rFonts w:hint="cs"/>
          <w:rtl/>
        </w:rPr>
        <w:t xml:space="preserve"> רש"י</w:t>
      </w:r>
      <w:r w:rsidRPr="0050146A">
        <w:rPr>
          <w:rFonts w:hint="cs"/>
          <w:rtl/>
        </w:rPr>
        <w:t xml:space="preserve">, ועי' בדברי </w:t>
      </w:r>
      <w:r w:rsidRPr="0050146A">
        <w:rPr>
          <w:rStyle w:val="af8"/>
          <w:rFonts w:hint="cs"/>
          <w:rtl/>
        </w:rPr>
        <w:t>הראבי"ה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Ref8977885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50146A">
        <w:rPr>
          <w:rStyle w:val="af6"/>
          <w:rFonts w:eastAsia="Guttman Hodes"/>
          <w:rtl/>
        </w:rPr>
        <w:fldChar w:fldCharType="end"/>
      </w:r>
      <w:r w:rsidRPr="0050146A">
        <w:rPr>
          <w:rFonts w:hint="cs"/>
          <w:rtl/>
        </w:rPr>
        <w:t xml:space="preserve"> במה שדחה ביאור זה, וע"ע בדברי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Ref8978750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50146A">
        <w:rPr>
          <w:rStyle w:val="af6"/>
          <w:rFonts w:eastAsia="Guttman Hodes"/>
          <w:rtl/>
        </w:rPr>
        <w:fldChar w:fldCharType="end"/>
      </w:r>
      <w:r w:rsidRPr="0050146A">
        <w:rPr>
          <w:rFonts w:hint="cs"/>
          <w:rtl/>
        </w:rPr>
        <w:t>.</w:t>
      </w:r>
      <w:bookmarkEnd w:id="1697"/>
    </w:p>
    <w:p w:rsidR="00BE3B3A" w:rsidRPr="0050146A" w:rsidRDefault="00BE3B3A" w:rsidP="00BE3B3A">
      <w:pPr>
        <w:pStyle w:val="a2"/>
      </w:pPr>
      <w:bookmarkStart w:id="1698" w:name="_Toc8923186"/>
      <w:bookmarkStart w:id="1699" w:name="_Toc8933387"/>
      <w:bookmarkStart w:id="1700" w:name="_Toc8937237"/>
      <w:bookmarkStart w:id="1701" w:name="_Toc8938223"/>
      <w:bookmarkStart w:id="1702" w:name="_Toc8979121"/>
      <w:bookmarkStart w:id="1703" w:name="_Toc8986265"/>
      <w:bookmarkStart w:id="1704" w:name="_Toc9108580"/>
      <w:bookmarkStart w:id="1705" w:name="_Toc9110135"/>
      <w:bookmarkStart w:id="1706" w:name="_Toc9114497"/>
      <w:bookmarkStart w:id="1707" w:name="_Toc9149540"/>
      <w:bookmarkStart w:id="1708" w:name="_Toc9289726"/>
      <w:bookmarkStart w:id="1709" w:name="_Toc11573372"/>
      <w:r w:rsidRPr="0050146A">
        <w:rPr>
          <w:rFonts w:hint="cs"/>
          <w:rtl/>
        </w:rPr>
        <w:t>ביאור הרי"ד דבפחות משישים אי אמר קפילא שאין טעם אמרינן דלא קים ליה שפיר</w:t>
      </w:r>
      <w:bookmarkEnd w:id="1698"/>
      <w:bookmarkEnd w:id="1699"/>
      <w:bookmarkEnd w:id="1700"/>
      <w:bookmarkEnd w:id="1701"/>
      <w:bookmarkEnd w:id="1702"/>
      <w:bookmarkEnd w:id="1703"/>
      <w:bookmarkEnd w:id="1704"/>
      <w:bookmarkEnd w:id="1705"/>
      <w:bookmarkEnd w:id="1706"/>
      <w:bookmarkEnd w:id="1707"/>
      <w:bookmarkEnd w:id="1708"/>
      <w:bookmarkEnd w:id="1709"/>
    </w:p>
    <w:p w:rsidR="00BE3B3A" w:rsidRPr="0050146A" w:rsidRDefault="00BE3B3A" w:rsidP="009F44AF">
      <w:pPr>
        <w:pStyle w:val="a"/>
        <w:rPr>
          <w:rtl/>
        </w:rPr>
      </w:pPr>
      <w:bookmarkStart w:id="1710" w:name="_Ref8902753"/>
      <w:r w:rsidRPr="0050146A">
        <w:rPr>
          <w:rFonts w:hint="cs"/>
          <w:rtl/>
        </w:rPr>
        <w:t xml:space="preserve">וכתב </w:t>
      </w:r>
      <w:r w:rsidRPr="0050146A">
        <w:rPr>
          <w:rStyle w:val="af8"/>
          <w:rFonts w:hint="cs"/>
          <w:rtl/>
        </w:rPr>
        <w:t xml:space="preserve">בפסקי הרי"ד </w:t>
      </w:r>
      <w:r w:rsidRPr="0050146A">
        <w:rPr>
          <w:rFonts w:hint="cs"/>
          <w:rtl/>
        </w:rPr>
        <w:t xml:space="preserve">דבמין בשאינו מינו ויש קפילא שאפשר לעמוד על טעמו, לא סמכינן על שישים, ואסור עד שיטעמנו הקפילא, ובכדי להתיר צריך גם שיעור שישים וגם טעימת קפילא, אבל כשיש טעם איסור לא מהני שישים להתיר, ובמקום שאין שישים אסור אף כשאומר הקפילא שאין בו טעם, דאין איסור שבטל בפחות משישים, וביאר </w:t>
      </w:r>
      <w:r w:rsidRPr="0050146A">
        <w:rPr>
          <w:rStyle w:val="af8"/>
          <w:rFonts w:hint="cs"/>
          <w:rtl/>
        </w:rPr>
        <w:t xml:space="preserve">בפסקי הרי"ד </w:t>
      </w:r>
      <w:r w:rsidRPr="0050146A">
        <w:rPr>
          <w:rFonts w:hint="cs"/>
          <w:rtl/>
        </w:rPr>
        <w:t xml:space="preserve">דאמרינן דהקפילא אמר שלא הרגיש טעם הוא כיון דלא קים ליה שפיר, וכעי"ז כתב </w:t>
      </w:r>
      <w:r w:rsidRPr="0050146A">
        <w:rPr>
          <w:rStyle w:val="af8"/>
          <w:rFonts w:hint="cs"/>
          <w:rtl/>
        </w:rPr>
        <w:t>המנחת כהן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Ref8902790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50146A">
        <w:rPr>
          <w:rStyle w:val="af6"/>
          <w:rFonts w:eastAsia="Guttman Hodes"/>
          <w:rtl/>
        </w:rPr>
        <w:fldChar w:fldCharType="end"/>
      </w:r>
      <w:r w:rsidRPr="0050146A">
        <w:rPr>
          <w:rFonts w:hint="cs"/>
          <w:rtl/>
        </w:rPr>
        <w:t xml:space="preserve"> בדעת</w:t>
      </w:r>
      <w:r w:rsidRPr="0050146A">
        <w:rPr>
          <w:rStyle w:val="af8"/>
          <w:rFonts w:hint="cs"/>
          <w:rtl/>
        </w:rPr>
        <w:t xml:space="preserve"> רש"י</w:t>
      </w:r>
      <w:r w:rsidRPr="0050146A">
        <w:rPr>
          <w:rFonts w:hint="cs"/>
          <w:rtl/>
        </w:rPr>
        <w:t>.</w:t>
      </w:r>
      <w:bookmarkEnd w:id="1710"/>
    </w:p>
    <w:p w:rsidR="00BE3B3A" w:rsidRPr="0050146A" w:rsidRDefault="00BE3B3A" w:rsidP="00BE3B3A">
      <w:pPr>
        <w:pStyle w:val="a2"/>
        <w:rPr>
          <w:rtl/>
        </w:rPr>
      </w:pPr>
      <w:bookmarkStart w:id="1711" w:name="_Toc8986266"/>
      <w:bookmarkStart w:id="1712" w:name="_Toc9108581"/>
      <w:bookmarkStart w:id="1713" w:name="_Toc9110136"/>
      <w:bookmarkStart w:id="1714" w:name="_Toc9114498"/>
      <w:bookmarkStart w:id="1715" w:name="_Toc9149541"/>
      <w:bookmarkStart w:id="1716" w:name="_Toc9289727"/>
      <w:bookmarkStart w:id="1717" w:name="_Toc11573373"/>
      <w:r w:rsidRPr="0050146A">
        <w:rPr>
          <w:rFonts w:hint="cs"/>
          <w:rtl/>
        </w:rPr>
        <w:t>דברי הפרמ"ג דבשישים עפ"י רוב אין טעם ואזלינן בתר רובא אף דלפעמים יש טעם ביותר משישים</w:t>
      </w:r>
      <w:bookmarkEnd w:id="1711"/>
      <w:bookmarkEnd w:id="1712"/>
      <w:bookmarkEnd w:id="1713"/>
      <w:bookmarkEnd w:id="1714"/>
      <w:bookmarkEnd w:id="1715"/>
      <w:bookmarkEnd w:id="1716"/>
      <w:bookmarkEnd w:id="1717"/>
    </w:p>
    <w:p w:rsidR="00BE3B3A" w:rsidRPr="0050146A" w:rsidRDefault="00BE3B3A" w:rsidP="009F44AF">
      <w:pPr>
        <w:pStyle w:val="a"/>
        <w:rPr>
          <w:rtl/>
        </w:rPr>
      </w:pPr>
      <w:r w:rsidRPr="0050146A">
        <w:rPr>
          <w:rFonts w:hint="cs"/>
          <w:rtl/>
        </w:rPr>
        <w:t xml:space="preserve">וכ"כ </w:t>
      </w:r>
      <w:r w:rsidRPr="0050146A">
        <w:rPr>
          <w:rStyle w:val="af8"/>
          <w:rFonts w:hint="cs"/>
          <w:rtl/>
        </w:rPr>
        <w:t>הפרמ"ג</w:t>
      </w:r>
      <w:r w:rsidRPr="0050146A">
        <w:rPr>
          <w:rFonts w:hint="cs"/>
          <w:rtl/>
        </w:rPr>
        <w:t xml:space="preserve"> </w:t>
      </w:r>
      <w:r w:rsidRPr="0050146A">
        <w:rPr>
          <w:rStyle w:val="af6"/>
          <w:rFonts w:eastAsia="Guttman Hodes" w:hint="cs"/>
          <w:rtl/>
        </w:rPr>
        <w:t>(פתיחה להל' תערובות ח"ג ריש פ"א)</w:t>
      </w:r>
      <w:r w:rsidRPr="0050146A">
        <w:rPr>
          <w:rFonts w:hint="cs"/>
          <w:rtl/>
        </w:rPr>
        <w:t xml:space="preserve"> דשיעור שישים הוא כיון דעל פי הרוב כל שיש בו שישים כנגד האיסור, אין האיסור נותן בו טעם, ואף דלפעמים נותן האיסור טעם אף ביותר משישים, דיש דברים דאינם בטלים אף באלף, מ"מ אזלינן בתר רובא.</w:t>
      </w:r>
    </w:p>
    <w:p w:rsidR="00BE3B3A" w:rsidRPr="0050146A" w:rsidRDefault="00BE3B3A" w:rsidP="00E669F8">
      <w:pPr>
        <w:pStyle w:val="afd"/>
        <w:rPr>
          <w:rtl/>
        </w:rPr>
      </w:pPr>
      <w:bookmarkStart w:id="1718" w:name="_Toc8923187"/>
      <w:bookmarkStart w:id="1719" w:name="_Toc8933388"/>
      <w:bookmarkStart w:id="1720" w:name="_Toc8937238"/>
      <w:bookmarkStart w:id="1721" w:name="_Toc8938224"/>
      <w:bookmarkStart w:id="1722" w:name="_Toc8979122"/>
      <w:bookmarkStart w:id="1723" w:name="_Toc8986267"/>
      <w:bookmarkStart w:id="1724" w:name="_Toc9108582"/>
      <w:bookmarkStart w:id="1725" w:name="_Toc9110137"/>
      <w:bookmarkStart w:id="1726" w:name="_Toc9114499"/>
      <w:bookmarkStart w:id="1727" w:name="_Toc9149542"/>
      <w:bookmarkStart w:id="1728" w:name="_Toc9289728"/>
      <w:bookmarkStart w:id="1729" w:name="_Toc11573374"/>
      <w:bookmarkStart w:id="1730" w:name="_Toc6823628"/>
      <w:bookmarkStart w:id="1731" w:name="_Toc6953540"/>
      <w:bookmarkStart w:id="1732" w:name="_Toc8578663"/>
      <w:bookmarkStart w:id="1733" w:name="_Toc8765437"/>
      <w:r w:rsidRPr="0050146A">
        <w:rPr>
          <w:rFonts w:hint="cs"/>
          <w:rtl/>
        </w:rPr>
        <w:t>דעת האחרונים דלרש"י סגי בקפילא</w:t>
      </w:r>
      <w:bookmarkEnd w:id="1718"/>
      <w:bookmarkEnd w:id="1719"/>
      <w:bookmarkEnd w:id="1720"/>
      <w:bookmarkEnd w:id="1721"/>
      <w:bookmarkEnd w:id="1722"/>
      <w:bookmarkEnd w:id="1723"/>
      <w:bookmarkEnd w:id="1724"/>
      <w:bookmarkEnd w:id="1725"/>
      <w:bookmarkEnd w:id="1726"/>
      <w:bookmarkEnd w:id="1727"/>
      <w:bookmarkEnd w:id="1728"/>
      <w:bookmarkEnd w:id="1729"/>
    </w:p>
    <w:p w:rsidR="00BE3B3A" w:rsidRPr="0050146A" w:rsidRDefault="00BE3B3A" w:rsidP="00BE3B3A">
      <w:pPr>
        <w:pStyle w:val="1"/>
        <w:rPr>
          <w:rtl/>
        </w:rPr>
      </w:pPr>
      <w:bookmarkStart w:id="1734" w:name="_Toc8923188"/>
      <w:bookmarkStart w:id="1735" w:name="_Toc8933389"/>
      <w:bookmarkStart w:id="1736" w:name="_Toc8937239"/>
      <w:bookmarkStart w:id="1737" w:name="_Toc8938225"/>
      <w:bookmarkStart w:id="1738" w:name="_Toc8979123"/>
      <w:bookmarkStart w:id="1739" w:name="_Toc8986268"/>
      <w:bookmarkStart w:id="1740" w:name="_Toc9108583"/>
      <w:bookmarkStart w:id="1741" w:name="_Toc9110138"/>
      <w:bookmarkStart w:id="1742" w:name="_Toc9114500"/>
      <w:bookmarkStart w:id="1743" w:name="_Toc9149543"/>
      <w:bookmarkStart w:id="1744" w:name="_Toc9289729"/>
      <w:bookmarkStart w:id="1745" w:name="_Toc11573375"/>
      <w:r w:rsidRPr="0050146A">
        <w:rPr>
          <w:rFonts w:hint="cs"/>
          <w:rtl/>
        </w:rPr>
        <w:t>ביאור האור גדול והלב אריה ברש"י דמהני קפילא בלא שישים</w:t>
      </w:r>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p>
    <w:p w:rsidR="00BE3B3A" w:rsidRPr="0050146A" w:rsidRDefault="00BE3B3A" w:rsidP="00BE3B3A">
      <w:pPr>
        <w:pStyle w:val="a2"/>
        <w:rPr>
          <w:rtl/>
        </w:rPr>
      </w:pPr>
      <w:bookmarkStart w:id="1746" w:name="_Toc8923189"/>
      <w:bookmarkStart w:id="1747" w:name="_Toc8933390"/>
      <w:bookmarkStart w:id="1748" w:name="_Toc8937240"/>
      <w:bookmarkStart w:id="1749" w:name="_Toc8938226"/>
      <w:bookmarkStart w:id="1750" w:name="_Toc8979124"/>
      <w:bookmarkStart w:id="1751" w:name="_Toc8986269"/>
      <w:bookmarkStart w:id="1752" w:name="_Toc9108584"/>
      <w:bookmarkStart w:id="1753" w:name="_Toc9110139"/>
      <w:bookmarkStart w:id="1754" w:name="_Toc9114501"/>
      <w:bookmarkStart w:id="1755" w:name="_Toc9149544"/>
      <w:bookmarkStart w:id="1756" w:name="_Toc9289730"/>
      <w:bookmarkStart w:id="1757" w:name="_Toc11573376"/>
      <w:r w:rsidRPr="0050146A">
        <w:rPr>
          <w:rFonts w:hint="cs"/>
          <w:rtl/>
        </w:rPr>
        <w:t>קושית האור גדול והלב אריה דברש"י מוכח דריו"ח סמך בקפילא לקולא וא"א לומר דהוא לחומרא</w:t>
      </w:r>
      <w:bookmarkEnd w:id="1746"/>
      <w:bookmarkEnd w:id="1747"/>
      <w:bookmarkEnd w:id="1748"/>
      <w:bookmarkEnd w:id="1749"/>
      <w:bookmarkEnd w:id="1750"/>
      <w:bookmarkEnd w:id="1751"/>
      <w:bookmarkEnd w:id="1752"/>
      <w:bookmarkEnd w:id="1753"/>
      <w:bookmarkEnd w:id="1754"/>
      <w:bookmarkEnd w:id="1755"/>
      <w:bookmarkEnd w:id="1756"/>
      <w:bookmarkEnd w:id="1757"/>
    </w:p>
    <w:p w:rsidR="00BE3B3A" w:rsidRPr="0050146A" w:rsidRDefault="00BE3B3A" w:rsidP="009F44AF">
      <w:pPr>
        <w:pStyle w:val="a"/>
        <w:rPr>
          <w:rtl/>
        </w:rPr>
      </w:pPr>
      <w:bookmarkStart w:id="1758" w:name="_Ref6740664"/>
      <w:r w:rsidRPr="0050146A">
        <w:rPr>
          <w:rFonts w:hint="cs"/>
          <w:rtl/>
        </w:rPr>
        <w:t xml:space="preserve">במ"ש </w:t>
      </w:r>
      <w:r w:rsidRPr="0050146A">
        <w:rPr>
          <w:rStyle w:val="af8"/>
          <w:rFonts w:hint="cs"/>
          <w:rtl/>
        </w:rPr>
        <w:t>הרמב"ן והרשב"א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Ref8898916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50146A">
        <w:rPr>
          <w:rStyle w:val="af6"/>
          <w:rFonts w:eastAsia="Guttman Hodes"/>
          <w:rtl/>
        </w:rPr>
        <w:fldChar w:fldCharType="end"/>
      </w:r>
      <w:r w:rsidRPr="0050146A">
        <w:rPr>
          <w:rFonts w:hint="cs"/>
          <w:rtl/>
        </w:rPr>
        <w:t xml:space="preserve"> בביאור דעת </w:t>
      </w:r>
      <w:r w:rsidRPr="0050146A">
        <w:rPr>
          <w:rStyle w:val="af8"/>
          <w:rFonts w:hint="cs"/>
          <w:rtl/>
        </w:rPr>
        <w:t>רש"י</w:t>
      </w:r>
      <w:r w:rsidRPr="0050146A">
        <w:rPr>
          <w:rFonts w:hint="cs"/>
          <w:rtl/>
        </w:rPr>
        <w:t xml:space="preserve"> דהקפילא בא להחמיר ולא להקל, ובכילכית באילפס איירי שהיה בה שישים ולכן אמר ריו"ח ליטעמיה קפילא, דהיינו דמלבד שישים החמיר ריו"ח להצריך קפילא, הקשה </w:t>
      </w:r>
      <w:r w:rsidRPr="0050146A">
        <w:rPr>
          <w:rStyle w:val="af8"/>
          <w:rFonts w:hint="cs"/>
          <w:rtl/>
        </w:rPr>
        <w:t>האור גדול</w:t>
      </w:r>
      <w:r w:rsidRPr="0050146A">
        <w:rPr>
          <w:rFonts w:hint="cs"/>
          <w:rtl/>
        </w:rPr>
        <w:t xml:space="preserve"> </w:t>
      </w:r>
      <w:r w:rsidRPr="0050146A">
        <w:rPr>
          <w:rStyle w:val="af6"/>
          <w:rFonts w:eastAsia="Guttman Hodes" w:hint="cs"/>
          <w:rtl/>
        </w:rPr>
        <w:t>(סי' נ"ט א' ד"ה ובזה יבואר)</w:t>
      </w:r>
      <w:r w:rsidRPr="0050146A">
        <w:rPr>
          <w:rFonts w:hint="cs"/>
          <w:rtl/>
        </w:rPr>
        <w:t xml:space="preserve"> דהרי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Ref8315394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xml:space="preserve"> גופיה כתב דאשמועינן ריו"ח בכילכית באילפס דמותר לסמוך על קפילא במסיח לפי תומו, ומוכח מלשון </w:t>
      </w:r>
      <w:r w:rsidRPr="0050146A">
        <w:rPr>
          <w:rStyle w:val="af8"/>
          <w:rFonts w:hint="cs"/>
          <w:rtl/>
        </w:rPr>
        <w:t>רש"י</w:t>
      </w:r>
      <w:r w:rsidRPr="0050146A">
        <w:rPr>
          <w:rFonts w:hint="cs"/>
          <w:rtl/>
        </w:rPr>
        <w:t xml:space="preserve"> דמדברי ריו"ח שמעינן סמכינן על הקפילא אף לקולא, דהא לא שייך לומר את הלשון "מותר לסמוך" לחומרא, ועי' במה שהאריך </w:t>
      </w:r>
      <w:r w:rsidRPr="0050146A">
        <w:rPr>
          <w:rStyle w:val="af8"/>
          <w:rFonts w:hint="cs"/>
          <w:rtl/>
        </w:rPr>
        <w:t>האור גדול</w:t>
      </w:r>
      <w:r w:rsidRPr="0050146A">
        <w:rPr>
          <w:rFonts w:hint="cs"/>
          <w:rtl/>
        </w:rPr>
        <w:t xml:space="preserve"> בזה, וכן הקשה </w:t>
      </w:r>
      <w:r w:rsidRPr="0050146A">
        <w:rPr>
          <w:rStyle w:val="af8"/>
          <w:rFonts w:hint="cs"/>
          <w:rtl/>
        </w:rPr>
        <w:t>הלב אריה</w:t>
      </w:r>
      <w:r w:rsidRPr="0050146A">
        <w:rPr>
          <w:rFonts w:hint="cs"/>
          <w:rtl/>
        </w:rPr>
        <w:t xml:space="preserve"> </w:t>
      </w:r>
      <w:r w:rsidRPr="0050146A">
        <w:rPr>
          <w:rStyle w:val="af6"/>
          <w:rFonts w:eastAsia="Guttman Hodes" w:hint="cs"/>
          <w:rtl/>
        </w:rPr>
        <w:t>(צט. על תוד"ה אלא)</w:t>
      </w:r>
      <w:r w:rsidRPr="0050146A">
        <w:rPr>
          <w:rFonts w:hint="cs"/>
          <w:rtl/>
        </w:rPr>
        <w:t>.</w:t>
      </w:r>
      <w:bookmarkEnd w:id="1758"/>
    </w:p>
    <w:p w:rsidR="00BE3B3A" w:rsidRPr="0050146A" w:rsidRDefault="00BE3B3A" w:rsidP="00BE3B3A">
      <w:pPr>
        <w:pStyle w:val="a2"/>
        <w:rPr>
          <w:rtl/>
        </w:rPr>
      </w:pPr>
      <w:bookmarkStart w:id="1759" w:name="_Toc8923190"/>
      <w:bookmarkStart w:id="1760" w:name="_Toc8933391"/>
      <w:bookmarkStart w:id="1761" w:name="_Toc8937241"/>
      <w:bookmarkStart w:id="1762" w:name="_Toc8938227"/>
      <w:bookmarkStart w:id="1763" w:name="_Toc8979125"/>
      <w:bookmarkStart w:id="1764" w:name="_Toc8986270"/>
      <w:bookmarkStart w:id="1765" w:name="_Toc9108585"/>
      <w:bookmarkStart w:id="1766" w:name="_Toc9110140"/>
      <w:bookmarkStart w:id="1767" w:name="_Toc9114502"/>
      <w:bookmarkStart w:id="1768" w:name="_Toc9149545"/>
      <w:bookmarkStart w:id="1769" w:name="_Toc9289731"/>
      <w:bookmarkStart w:id="1770" w:name="_Toc11573377"/>
      <w:r w:rsidRPr="0050146A">
        <w:rPr>
          <w:rFonts w:hint="cs"/>
          <w:rtl/>
        </w:rPr>
        <w:t>דברי הלב אריה והאור גדול דלהלכה אף לרש"י סגי בקפילא ורק לדעת ריב"ל הצריך רש"י שישים</w:t>
      </w:r>
      <w:bookmarkEnd w:id="1759"/>
      <w:bookmarkEnd w:id="1760"/>
      <w:bookmarkEnd w:id="1761"/>
      <w:bookmarkEnd w:id="1762"/>
      <w:bookmarkEnd w:id="1763"/>
      <w:bookmarkEnd w:id="1764"/>
      <w:bookmarkEnd w:id="1765"/>
      <w:bookmarkEnd w:id="1766"/>
      <w:bookmarkEnd w:id="1767"/>
      <w:bookmarkEnd w:id="1768"/>
      <w:bookmarkEnd w:id="1769"/>
      <w:bookmarkEnd w:id="1770"/>
    </w:p>
    <w:p w:rsidR="002D7168" w:rsidRDefault="00BE3B3A" w:rsidP="009F44AF">
      <w:pPr>
        <w:pStyle w:val="a"/>
        <w:rPr>
          <w:rtl/>
        </w:rPr>
      </w:pPr>
      <w:r w:rsidRPr="0050146A">
        <w:rPr>
          <w:rFonts w:hint="cs"/>
          <w:rtl/>
        </w:rPr>
        <w:t xml:space="preserve">וכתבו </w:t>
      </w:r>
      <w:r w:rsidRPr="0050146A">
        <w:rPr>
          <w:rStyle w:val="af8"/>
          <w:rFonts w:hint="cs"/>
          <w:rtl/>
        </w:rPr>
        <w:t>הלב אריה</w:t>
      </w:r>
      <w:r w:rsidRPr="0050146A">
        <w:rPr>
          <w:rFonts w:hint="cs"/>
          <w:rtl/>
        </w:rPr>
        <w:t xml:space="preserve"> </w:t>
      </w:r>
      <w:r w:rsidRPr="0050146A">
        <w:rPr>
          <w:rStyle w:val="af8"/>
          <w:rFonts w:hint="cs"/>
          <w:rtl/>
        </w:rPr>
        <w:t>והאור גדול</w:t>
      </w:r>
      <w:r w:rsidRPr="0050146A">
        <w:rPr>
          <w:rFonts w:hint="cs"/>
          <w:rtl/>
        </w:rPr>
        <w:t xml:space="preserve"> </w:t>
      </w:r>
      <w:r w:rsidRPr="0050146A">
        <w:rPr>
          <w:rStyle w:val="af6"/>
          <w:rFonts w:eastAsia="Guttman Hodes" w:hint="cs"/>
          <w:rtl/>
        </w:rPr>
        <w:t xml:space="preserve">(סי' נ"ט ב' ד"ה ואיך שיהיה) </w:t>
      </w:r>
      <w:r w:rsidRPr="0050146A">
        <w:rPr>
          <w:rFonts w:hint="cs"/>
          <w:rtl/>
        </w:rPr>
        <w:t xml:space="preserve">דמבואר דלהלכה מודה </w:t>
      </w:r>
      <w:r w:rsidRPr="0050146A">
        <w:rPr>
          <w:rStyle w:val="af8"/>
          <w:rFonts w:hint="cs"/>
          <w:rtl/>
        </w:rPr>
        <w:t>רש"י</w:t>
      </w:r>
      <w:r w:rsidRPr="0050146A">
        <w:rPr>
          <w:rFonts w:hint="cs"/>
          <w:rtl/>
        </w:rPr>
        <w:t xml:space="preserve"> דמהני קפילא להתיר אף בפחות משישים, וכ"מ 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Ref6225215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שצריך שישים וקפילא, זהו רק לדעת ריב"ל בגמ' לקמן </w:t>
      </w:r>
      <w:r w:rsidRPr="0050146A">
        <w:rPr>
          <w:rStyle w:val="af6"/>
          <w:rFonts w:eastAsia="Guttman Hodes" w:hint="cs"/>
          <w:rtl/>
        </w:rPr>
        <w:t>(צח.)</w:t>
      </w:r>
      <w:r w:rsidRPr="0050146A">
        <w:rPr>
          <w:rFonts w:hint="cs"/>
          <w:rtl/>
        </w:rPr>
        <w:t xml:space="preserve">, ועי' בדברי </w:t>
      </w:r>
      <w:r w:rsidRPr="0050146A">
        <w:rPr>
          <w:rStyle w:val="af8"/>
          <w:rFonts w:hint="cs"/>
          <w:rtl/>
        </w:rPr>
        <w:t>האור גדול</w:t>
      </w:r>
      <w:r w:rsidRPr="0050146A">
        <w:rPr>
          <w:rFonts w:hint="cs"/>
          <w:rtl/>
        </w:rPr>
        <w:t xml:space="preserve"> </w:t>
      </w:r>
      <w:r w:rsidRPr="0050146A">
        <w:rPr>
          <w:rStyle w:val="af6"/>
          <w:rFonts w:eastAsia="Guttman Hodes" w:hint="cs"/>
          <w:rtl/>
        </w:rPr>
        <w:t xml:space="preserve">(סי' נ"ט ב') </w:t>
      </w:r>
      <w:r w:rsidRPr="0050146A">
        <w:rPr>
          <w:rFonts w:hint="cs"/>
          <w:rtl/>
        </w:rPr>
        <w:t xml:space="preserve">דהאריך להוכיח דכן מבואר בדברי </w:t>
      </w:r>
      <w:r w:rsidRPr="0050146A">
        <w:rPr>
          <w:rStyle w:val="af8"/>
          <w:rFonts w:hint="cs"/>
          <w:rtl/>
        </w:rPr>
        <w:t xml:space="preserve">רש"י לקמן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Ref6738503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50146A">
        <w:rPr>
          <w:rStyle w:val="af6"/>
          <w:rFonts w:eastAsia="Guttman Hodes"/>
          <w:rtl/>
        </w:rPr>
        <w:fldChar w:fldCharType="end"/>
      </w:r>
      <w:r w:rsidRPr="0050146A">
        <w:rPr>
          <w:rFonts w:hint="cs"/>
          <w:rtl/>
        </w:rPr>
        <w:t xml:space="preserve"> בדעת ריו"ח דאמר דשאר איסורין הם בבצל בקפלוט</w:t>
      </w:r>
      <w:r w:rsidRPr="0050146A">
        <w:rPr>
          <w:rStyle w:val="af0"/>
          <w:rtl/>
        </w:rPr>
        <w:footnoteReference w:id="3"/>
      </w:r>
      <w:r w:rsidRPr="0050146A">
        <w:rPr>
          <w:rFonts w:hint="cs"/>
          <w:rtl/>
        </w:rPr>
        <w:t xml:space="preserve">, וע"ע בדברי </w:t>
      </w:r>
      <w:r w:rsidRPr="0050146A">
        <w:rPr>
          <w:rStyle w:val="af8"/>
          <w:rFonts w:hint="cs"/>
          <w:rtl/>
        </w:rPr>
        <w:t>האור גדול</w:t>
      </w:r>
      <w:r w:rsidRPr="0050146A">
        <w:rPr>
          <w:rFonts w:hint="cs"/>
          <w:rtl/>
        </w:rPr>
        <w:t xml:space="preserve"> דהאריך טובא דכן מוכח מדברי </w:t>
      </w:r>
      <w:r w:rsidRPr="0050146A">
        <w:rPr>
          <w:rStyle w:val="af8"/>
          <w:rFonts w:hint="cs"/>
          <w:rtl/>
        </w:rPr>
        <w:t>רש"י והרמב"ם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Ref8983804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50146A">
        <w:rPr>
          <w:rStyle w:val="af6"/>
          <w:rFonts w:eastAsia="Guttman Hodes"/>
          <w:rtl/>
        </w:rPr>
        <w:fldChar w:fldCharType="end"/>
      </w:r>
      <w:r w:rsidRPr="0050146A">
        <w:rPr>
          <w:rFonts w:hint="cs"/>
          <w:rtl/>
        </w:rPr>
        <w:t>.</w:t>
      </w:r>
    </w:p>
    <w:p w:rsidR="00BE3B3A" w:rsidRPr="0050146A" w:rsidRDefault="00BE3B3A" w:rsidP="00BE3B3A">
      <w:pPr>
        <w:pStyle w:val="a2"/>
      </w:pPr>
      <w:bookmarkStart w:id="1771" w:name="_Toc8923191"/>
      <w:bookmarkStart w:id="1772" w:name="_Toc8933392"/>
      <w:bookmarkStart w:id="1773" w:name="_Toc8937242"/>
      <w:bookmarkStart w:id="1774" w:name="_Toc8938228"/>
      <w:bookmarkStart w:id="1775" w:name="_Toc8979126"/>
      <w:bookmarkStart w:id="1776" w:name="_Toc8986271"/>
      <w:bookmarkStart w:id="1777" w:name="_Toc9108586"/>
      <w:bookmarkStart w:id="1778" w:name="_Toc9110141"/>
      <w:bookmarkStart w:id="1779" w:name="_Toc9114503"/>
      <w:bookmarkStart w:id="1780" w:name="_Toc9149546"/>
      <w:bookmarkStart w:id="1781" w:name="_Toc9289732"/>
      <w:bookmarkStart w:id="1782" w:name="_Toc11573378"/>
      <w:r w:rsidRPr="0050146A">
        <w:rPr>
          <w:rFonts w:hint="cs"/>
          <w:rtl/>
        </w:rPr>
        <w:t>תירוץ הלב אריה והאור גדול על קושית הראשונים דאף לדעת רש"י מהני קפילא לקולא</w:t>
      </w:r>
      <w:bookmarkEnd w:id="1771"/>
      <w:bookmarkEnd w:id="1772"/>
      <w:bookmarkEnd w:id="1773"/>
      <w:bookmarkEnd w:id="1774"/>
      <w:bookmarkEnd w:id="1775"/>
      <w:bookmarkEnd w:id="1776"/>
      <w:bookmarkEnd w:id="1777"/>
      <w:bookmarkEnd w:id="1778"/>
      <w:bookmarkEnd w:id="1779"/>
      <w:bookmarkEnd w:id="1780"/>
      <w:bookmarkEnd w:id="1781"/>
      <w:bookmarkEnd w:id="1782"/>
    </w:p>
    <w:p w:rsidR="00BE3B3A" w:rsidRPr="0050146A" w:rsidRDefault="00BE3B3A" w:rsidP="009F44AF">
      <w:pPr>
        <w:pStyle w:val="a"/>
      </w:pPr>
      <w:r w:rsidRPr="0050146A">
        <w:rPr>
          <w:rFonts w:hint="cs"/>
          <w:rtl/>
        </w:rPr>
        <w:t xml:space="preserve">וכתבו </w:t>
      </w:r>
      <w:r w:rsidRPr="0050146A">
        <w:rPr>
          <w:rStyle w:val="af8"/>
          <w:rFonts w:hint="cs"/>
          <w:rtl/>
        </w:rPr>
        <w:t>הלב אריה</w:t>
      </w:r>
      <w:r w:rsidRPr="0050146A">
        <w:rPr>
          <w:rFonts w:hint="cs"/>
          <w:rtl/>
        </w:rPr>
        <w:t xml:space="preserve"> </w:t>
      </w:r>
      <w:r w:rsidRPr="0050146A">
        <w:rPr>
          <w:rStyle w:val="af8"/>
          <w:rFonts w:hint="cs"/>
          <w:rtl/>
        </w:rPr>
        <w:t>והאור גדול</w:t>
      </w:r>
      <w:r w:rsidRPr="0050146A">
        <w:rPr>
          <w:rFonts w:hint="cs"/>
          <w:rtl/>
        </w:rPr>
        <w:t xml:space="preserve"> </w:t>
      </w:r>
      <w:r w:rsidRPr="0050146A">
        <w:rPr>
          <w:rStyle w:val="af6"/>
          <w:rFonts w:eastAsia="Guttman Hodes" w:hint="cs"/>
          <w:rtl/>
        </w:rPr>
        <w:t xml:space="preserve">(סי' נ"ט ב' ד"ה ובזה היו) </w:t>
      </w:r>
      <w:r w:rsidRPr="0050146A">
        <w:rPr>
          <w:rFonts w:hint="cs"/>
          <w:rtl/>
        </w:rPr>
        <w:t xml:space="preserve">דלפי"ז מיושבת קושית </w:t>
      </w:r>
      <w:r w:rsidRPr="0050146A">
        <w:rPr>
          <w:rStyle w:val="af8"/>
          <w:rFonts w:hint="cs"/>
          <w:rtl/>
        </w:rPr>
        <w:t>הרא"ש והר"ן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Ref8917178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יב)</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על </w:t>
      </w:r>
      <w:r w:rsidRPr="0050146A">
        <w:rPr>
          <w:rStyle w:val="af8"/>
          <w:rFonts w:hint="cs"/>
          <w:rtl/>
        </w:rPr>
        <w:t>רש"י</w:t>
      </w:r>
      <w:r w:rsidRPr="0050146A">
        <w:rPr>
          <w:rFonts w:hint="cs"/>
          <w:rtl/>
        </w:rPr>
        <w:t xml:space="preserve"> דמלשון ריו"ח סמכינן על קפילא משמע דהוא בא להקל ולא להחמיר, דאף לדעת </w:t>
      </w:r>
      <w:r w:rsidRPr="0050146A">
        <w:rPr>
          <w:rStyle w:val="af8"/>
          <w:rFonts w:hint="cs"/>
          <w:rtl/>
        </w:rPr>
        <w:t>רש"י</w:t>
      </w:r>
      <w:r w:rsidRPr="0050146A">
        <w:rPr>
          <w:rFonts w:hint="cs"/>
          <w:rtl/>
        </w:rPr>
        <w:t xml:space="preserve"> מהני קפילא לקולא אף כשאין שישים, וכתבו </w:t>
      </w:r>
      <w:r w:rsidRPr="0050146A">
        <w:rPr>
          <w:rStyle w:val="af8"/>
          <w:rFonts w:hint="cs"/>
          <w:rtl/>
        </w:rPr>
        <w:t>הלב אריה</w:t>
      </w:r>
      <w:r w:rsidRPr="0050146A">
        <w:rPr>
          <w:rFonts w:hint="cs"/>
          <w:rtl/>
        </w:rPr>
        <w:t xml:space="preserve"> </w:t>
      </w:r>
      <w:r w:rsidRPr="0050146A">
        <w:rPr>
          <w:rStyle w:val="af8"/>
          <w:rFonts w:hint="cs"/>
          <w:rtl/>
        </w:rPr>
        <w:t>והאור גדול</w:t>
      </w:r>
      <w:r w:rsidRPr="0050146A">
        <w:rPr>
          <w:rFonts w:hint="cs"/>
          <w:rtl/>
        </w:rPr>
        <w:t xml:space="preserve"> </w:t>
      </w:r>
      <w:r w:rsidRPr="0050146A">
        <w:rPr>
          <w:rStyle w:val="af6"/>
          <w:rFonts w:eastAsia="Guttman Hodes" w:hint="cs"/>
          <w:rtl/>
        </w:rPr>
        <w:t>(סי' נ"ט ה')</w:t>
      </w:r>
      <w:r w:rsidRPr="0050146A">
        <w:rPr>
          <w:rFonts w:hint="cs"/>
          <w:rtl/>
        </w:rPr>
        <w:t xml:space="preserve"> דבזה מיושבת קושייתם 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Ref6740664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50146A">
        <w:rPr>
          <w:rStyle w:val="af6"/>
          <w:rFonts w:eastAsia="Guttman Hodes"/>
          <w:rtl/>
        </w:rPr>
        <w:fldChar w:fldCharType="end"/>
      </w:r>
      <w:r w:rsidRPr="0050146A">
        <w:rPr>
          <w:rFonts w:hint="cs"/>
          <w:rtl/>
        </w:rPr>
        <w:t xml:space="preserve"> בכילכית באילפס </w:t>
      </w:r>
      <w:r w:rsidRPr="0050146A">
        <w:rPr>
          <w:rFonts w:hint="cs"/>
          <w:rtl/>
        </w:rPr>
        <w:lastRenderedPageBreak/>
        <w:t xml:space="preserve">דמוכח דריו"ח בא להקל ולא להחמיר, דלהלכה מודה </w:t>
      </w:r>
      <w:r w:rsidRPr="0050146A">
        <w:rPr>
          <w:rStyle w:val="af8"/>
          <w:rFonts w:hint="cs"/>
          <w:rtl/>
        </w:rPr>
        <w:t>רש"י</w:t>
      </w:r>
      <w:r w:rsidRPr="0050146A">
        <w:rPr>
          <w:rFonts w:hint="cs"/>
          <w:rtl/>
        </w:rPr>
        <w:t xml:space="preserve"> דמהני קפילא להקל אף כשיש פחות משישים.</w:t>
      </w:r>
    </w:p>
    <w:p w:rsidR="00BE3B3A" w:rsidRPr="0050146A" w:rsidRDefault="00BE3B3A" w:rsidP="00BE3B3A">
      <w:pPr>
        <w:pStyle w:val="a2"/>
        <w:rPr>
          <w:rtl/>
        </w:rPr>
      </w:pPr>
      <w:bookmarkStart w:id="1783" w:name="_Toc8986272"/>
      <w:bookmarkStart w:id="1784" w:name="_Toc9108587"/>
      <w:bookmarkStart w:id="1785" w:name="_Toc9110142"/>
      <w:bookmarkStart w:id="1786" w:name="_Toc9114504"/>
      <w:bookmarkStart w:id="1787" w:name="_Toc9149547"/>
      <w:bookmarkStart w:id="1788" w:name="_Toc9289733"/>
      <w:bookmarkStart w:id="1789" w:name="_Toc11573379"/>
      <w:bookmarkStart w:id="1790" w:name="_Toc8923192"/>
      <w:bookmarkStart w:id="1791" w:name="_Toc8933393"/>
      <w:bookmarkStart w:id="1792" w:name="_Toc8937243"/>
      <w:bookmarkStart w:id="1793" w:name="_Toc8938229"/>
      <w:bookmarkStart w:id="1794" w:name="_Toc8979127"/>
      <w:r w:rsidRPr="0050146A">
        <w:rPr>
          <w:rFonts w:hint="cs"/>
          <w:rtl/>
        </w:rPr>
        <w:t>דברי היד יהודה דריו"ח דהתיר בכילכית ע"י קפילא פליג על ריב"ל דמצריך שישים</w:t>
      </w:r>
      <w:bookmarkEnd w:id="1783"/>
      <w:bookmarkEnd w:id="1784"/>
      <w:bookmarkEnd w:id="1785"/>
      <w:bookmarkEnd w:id="1786"/>
      <w:bookmarkEnd w:id="1787"/>
      <w:bookmarkEnd w:id="1788"/>
      <w:bookmarkEnd w:id="1789"/>
    </w:p>
    <w:p w:rsidR="00BE3B3A" w:rsidRPr="0050146A" w:rsidRDefault="00BE3B3A" w:rsidP="009F44AF">
      <w:pPr>
        <w:pStyle w:val="a"/>
        <w:rPr>
          <w:rtl/>
        </w:rPr>
      </w:pPr>
      <w:r w:rsidRPr="0050146A">
        <w:rPr>
          <w:rFonts w:hint="cs"/>
          <w:rtl/>
        </w:rPr>
        <w:t xml:space="preserve">וכ"כ </w:t>
      </w:r>
      <w:r w:rsidRPr="0050146A">
        <w:rPr>
          <w:rStyle w:val="af8"/>
          <w:rFonts w:hint="cs"/>
          <w:rtl/>
        </w:rPr>
        <w:t>היד יהודה</w:t>
      </w:r>
      <w:r w:rsidRPr="0050146A">
        <w:rPr>
          <w:rFonts w:hint="cs"/>
          <w:rtl/>
        </w:rPr>
        <w:t xml:space="preserve"> </w:t>
      </w:r>
      <w:r w:rsidRPr="0050146A">
        <w:rPr>
          <w:rStyle w:val="af6"/>
          <w:rFonts w:eastAsia="Guttman Hodes" w:hint="cs"/>
          <w:rtl/>
        </w:rPr>
        <w:t>(סי' צ"ח סק"ג ד"ה הנה)</w:t>
      </w:r>
      <w:r w:rsidRPr="0050146A">
        <w:rPr>
          <w:rFonts w:hint="cs"/>
          <w:rtl/>
        </w:rPr>
        <w:t xml:space="preserve"> ד</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Ref8983475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50146A">
        <w:rPr>
          <w:rStyle w:val="af6"/>
          <w:rFonts w:eastAsia="Guttman Hodes"/>
          <w:rtl/>
        </w:rPr>
        <w:fldChar w:fldCharType="end"/>
      </w:r>
      <w:r w:rsidRPr="0050146A">
        <w:rPr>
          <w:rFonts w:hint="cs"/>
          <w:rtl/>
        </w:rPr>
        <w:t xml:space="preserve"> פירש דריו"ח ס"ל דא"צ שישים, וריו"ח פליג על ביאור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Ref6225215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בדברי ריב"ל דאף כשיש קפילא צריך שישים, ותמה </w:t>
      </w:r>
      <w:r w:rsidRPr="0050146A">
        <w:rPr>
          <w:rStyle w:val="af8"/>
          <w:rFonts w:hint="cs"/>
          <w:rtl/>
        </w:rPr>
        <w:t>היד יהודה</w:t>
      </w:r>
      <w:r w:rsidRPr="0050146A">
        <w:rPr>
          <w:rFonts w:hint="cs"/>
          <w:rtl/>
        </w:rPr>
        <w:t xml:space="preserve"> על מה שהקשו</w:t>
      </w:r>
      <w:r w:rsidRPr="0050146A">
        <w:rPr>
          <w:rStyle w:val="af8"/>
          <w:rFonts w:hint="cs"/>
          <w:rtl/>
        </w:rPr>
        <w:t xml:space="preserve"> הרמב"ן והרשב"א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Ref8898916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50146A">
        <w:rPr>
          <w:rStyle w:val="af6"/>
          <w:rFonts w:eastAsia="Guttman Hodes"/>
          <w:rtl/>
        </w:rPr>
        <w:fldChar w:fldCharType="end"/>
      </w:r>
      <w:r w:rsidRPr="0050146A">
        <w:rPr>
          <w:rFonts w:hint="cs"/>
          <w:rtl/>
        </w:rPr>
        <w:t xml:space="preserve"> </w:t>
      </w:r>
      <w:r w:rsidRPr="0050146A">
        <w:rPr>
          <w:rStyle w:val="af8"/>
          <w:rFonts w:hint="cs"/>
          <w:rtl/>
        </w:rPr>
        <w:t>רש"י</w:t>
      </w:r>
      <w:r w:rsidRPr="0050146A">
        <w:rPr>
          <w:rFonts w:hint="cs"/>
          <w:rtl/>
        </w:rPr>
        <w:t xml:space="preserve"> מהא דהתיר ריו"ח בכילכית באילפס ע"י קפילא.</w:t>
      </w:r>
    </w:p>
    <w:p w:rsidR="00BE3B3A" w:rsidRPr="0050146A" w:rsidRDefault="00BE3B3A" w:rsidP="00E669F8">
      <w:pPr>
        <w:pStyle w:val="afd"/>
        <w:rPr>
          <w:rtl/>
        </w:rPr>
      </w:pPr>
      <w:bookmarkStart w:id="1795" w:name="_Toc8986273"/>
      <w:bookmarkStart w:id="1796" w:name="_Toc9108588"/>
      <w:bookmarkStart w:id="1797" w:name="_Toc9110143"/>
      <w:bookmarkStart w:id="1798" w:name="_Toc9114505"/>
      <w:bookmarkStart w:id="1799" w:name="_Toc9149548"/>
      <w:bookmarkStart w:id="1800" w:name="_Toc9289734"/>
      <w:bookmarkStart w:id="1801" w:name="_Toc11573380"/>
      <w:r w:rsidRPr="0050146A">
        <w:rPr>
          <w:rFonts w:hint="cs"/>
          <w:rtl/>
        </w:rPr>
        <w:t>בדעת התוס'</w:t>
      </w:r>
      <w:bookmarkEnd w:id="1659"/>
      <w:bookmarkEnd w:id="1660"/>
      <w:r w:rsidRPr="0050146A">
        <w:rPr>
          <w:rFonts w:hint="cs"/>
          <w:rtl/>
        </w:rPr>
        <w:t xml:space="preserve"> דסגי או בשישים או בקפילא</w:t>
      </w:r>
      <w:bookmarkEnd w:id="1790"/>
      <w:bookmarkEnd w:id="1791"/>
      <w:bookmarkEnd w:id="1792"/>
      <w:bookmarkEnd w:id="1793"/>
      <w:bookmarkEnd w:id="1794"/>
      <w:bookmarkEnd w:id="1795"/>
      <w:bookmarkEnd w:id="1796"/>
      <w:bookmarkEnd w:id="1797"/>
      <w:bookmarkEnd w:id="1798"/>
      <w:bookmarkEnd w:id="1799"/>
      <w:bookmarkEnd w:id="1800"/>
      <w:bookmarkEnd w:id="1801"/>
    </w:p>
    <w:p w:rsidR="00BE3B3A" w:rsidRPr="0050146A" w:rsidRDefault="00BE3B3A" w:rsidP="00BE3B3A">
      <w:pPr>
        <w:pStyle w:val="1"/>
        <w:rPr>
          <w:rtl/>
        </w:rPr>
      </w:pPr>
      <w:bookmarkStart w:id="1802" w:name="_Toc8923193"/>
      <w:bookmarkStart w:id="1803" w:name="_Toc8933394"/>
      <w:bookmarkStart w:id="1804" w:name="_Toc8937244"/>
      <w:bookmarkStart w:id="1805" w:name="_Toc8938230"/>
      <w:bookmarkStart w:id="1806" w:name="_Toc8979128"/>
      <w:bookmarkStart w:id="1807" w:name="_Toc8986274"/>
      <w:bookmarkStart w:id="1808" w:name="_Toc9108589"/>
      <w:bookmarkStart w:id="1809" w:name="_Toc9110144"/>
      <w:bookmarkStart w:id="1810" w:name="_Toc9114506"/>
      <w:bookmarkStart w:id="1811" w:name="_Toc9149549"/>
      <w:bookmarkStart w:id="1812" w:name="_Toc9289735"/>
      <w:bookmarkStart w:id="1813" w:name="_Toc11573381"/>
      <w:r w:rsidRPr="0050146A">
        <w:rPr>
          <w:rFonts w:hint="cs"/>
          <w:rtl/>
        </w:rPr>
        <w:t>דברי התוס' והרא"ש</w:t>
      </w:r>
      <w:bookmarkEnd w:id="1802"/>
      <w:bookmarkEnd w:id="1803"/>
      <w:bookmarkEnd w:id="1804"/>
      <w:bookmarkEnd w:id="1805"/>
      <w:bookmarkEnd w:id="1806"/>
      <w:r w:rsidRPr="0050146A">
        <w:rPr>
          <w:rFonts w:hint="cs"/>
          <w:rtl/>
        </w:rPr>
        <w:t xml:space="preserve"> דכשאומר הקפילא שאין טעם א"צ שישים</w:t>
      </w:r>
      <w:bookmarkEnd w:id="1807"/>
      <w:bookmarkEnd w:id="1808"/>
      <w:bookmarkEnd w:id="1809"/>
      <w:bookmarkEnd w:id="1810"/>
      <w:bookmarkEnd w:id="1811"/>
      <w:bookmarkEnd w:id="1812"/>
      <w:bookmarkEnd w:id="1813"/>
    </w:p>
    <w:p w:rsidR="00BE3B3A" w:rsidRPr="0050146A" w:rsidRDefault="00BE3B3A" w:rsidP="00BE3B3A">
      <w:pPr>
        <w:pStyle w:val="a2"/>
        <w:rPr>
          <w:rtl/>
        </w:rPr>
      </w:pPr>
      <w:bookmarkStart w:id="1814" w:name="_Toc8923194"/>
      <w:bookmarkStart w:id="1815" w:name="_Toc8933395"/>
      <w:bookmarkStart w:id="1816" w:name="_Toc8937245"/>
      <w:bookmarkStart w:id="1817" w:name="_Toc8938231"/>
      <w:bookmarkStart w:id="1818" w:name="_Toc8979129"/>
      <w:bookmarkStart w:id="1819" w:name="_Toc8986275"/>
      <w:bookmarkStart w:id="1820" w:name="_Toc9108590"/>
      <w:bookmarkStart w:id="1821" w:name="_Toc9110145"/>
      <w:bookmarkStart w:id="1822" w:name="_Toc9114507"/>
      <w:bookmarkStart w:id="1823" w:name="_Toc9149550"/>
      <w:bookmarkStart w:id="1824" w:name="_Toc9289736"/>
      <w:bookmarkStart w:id="1825" w:name="_Toc11573382"/>
      <w:r w:rsidRPr="0050146A">
        <w:rPr>
          <w:rFonts w:hint="cs"/>
          <w:rtl/>
        </w:rPr>
        <w:t>דברי התוס' דבמקום שאמר הקפילא שאין טעם איסור א"צ שיעור שישים</w:t>
      </w:r>
      <w:bookmarkEnd w:id="1814"/>
      <w:bookmarkEnd w:id="1815"/>
      <w:bookmarkEnd w:id="1816"/>
      <w:bookmarkEnd w:id="1817"/>
      <w:bookmarkEnd w:id="1818"/>
      <w:bookmarkEnd w:id="1819"/>
      <w:bookmarkEnd w:id="1820"/>
      <w:bookmarkEnd w:id="1821"/>
      <w:bookmarkEnd w:id="1822"/>
      <w:bookmarkEnd w:id="1823"/>
      <w:bookmarkEnd w:id="1824"/>
      <w:bookmarkEnd w:id="1825"/>
    </w:p>
    <w:p w:rsidR="00BE3B3A" w:rsidRPr="0050146A" w:rsidRDefault="00BE3B3A" w:rsidP="009F44AF">
      <w:pPr>
        <w:pStyle w:val="a"/>
        <w:rPr>
          <w:rtl/>
        </w:rPr>
      </w:pPr>
      <w:bookmarkStart w:id="1826" w:name="_Ref8923606"/>
      <w:r w:rsidRPr="0050146A">
        <w:rPr>
          <w:rStyle w:val="af8"/>
          <w:rFonts w:hint="cs"/>
          <w:rtl/>
        </w:rPr>
        <w:t xml:space="preserve">התוס' לקמן </w:t>
      </w:r>
      <w:r w:rsidRPr="0050146A">
        <w:rPr>
          <w:rStyle w:val="af6"/>
          <w:rFonts w:eastAsia="Guttman Hodes" w:hint="cs"/>
          <w:rtl/>
        </w:rPr>
        <w:t>(צח. ד"ה כל)</w:t>
      </w:r>
      <w:r w:rsidRPr="0050146A">
        <w:rPr>
          <w:rFonts w:hint="cs"/>
          <w:rtl/>
        </w:rPr>
        <w:t xml:space="preserve"> הביאו את דברי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Ref6225215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דכתב דאף במקום שאין נתינת טעם צריך שיעור שישים, וכתבו </w:t>
      </w:r>
      <w:r w:rsidRPr="0050146A">
        <w:rPr>
          <w:rStyle w:val="af8"/>
          <w:rFonts w:hint="cs"/>
          <w:rtl/>
        </w:rPr>
        <w:t xml:space="preserve">התוס' לקמן </w:t>
      </w:r>
      <w:r w:rsidRPr="0050146A">
        <w:rPr>
          <w:rFonts w:hint="cs"/>
          <w:rtl/>
        </w:rPr>
        <w:t xml:space="preserve">דדברי </w:t>
      </w:r>
      <w:r w:rsidRPr="0050146A">
        <w:rPr>
          <w:rStyle w:val="af8"/>
          <w:rFonts w:hint="cs"/>
          <w:rtl/>
        </w:rPr>
        <w:t>רש"י</w:t>
      </w:r>
      <w:r w:rsidRPr="0050146A">
        <w:rPr>
          <w:rFonts w:hint="cs"/>
          <w:rtl/>
        </w:rPr>
        <w:t xml:space="preserve"> אינם נראים, וציינו </w:t>
      </w:r>
      <w:r w:rsidRPr="0050146A">
        <w:rPr>
          <w:rStyle w:val="af8"/>
          <w:rFonts w:hint="cs"/>
          <w:rtl/>
        </w:rPr>
        <w:t>התוס'</w:t>
      </w:r>
      <w:r w:rsidRPr="0050146A">
        <w:rPr>
          <w:rFonts w:hint="cs"/>
          <w:rtl/>
        </w:rPr>
        <w:t xml:space="preserve"> לדבריהם בביאור הגמ' לקמן דכתבו </w:t>
      </w:r>
      <w:r w:rsidRPr="0050146A">
        <w:rPr>
          <w:rStyle w:val="af8"/>
          <w:rFonts w:hint="cs"/>
          <w:rtl/>
        </w:rPr>
        <w:t>התוס'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Ref8896021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דבמקום שידוע שאין טעם ע"י טעימת הכהן </w:t>
      </w:r>
      <w:r w:rsidRPr="0050146A">
        <w:rPr>
          <w:rStyle w:val="afa"/>
          <w:rFonts w:hint="cs"/>
          <w:rtl/>
        </w:rPr>
        <w:t>[או קפילא]</w:t>
      </w:r>
      <w:r w:rsidRPr="0050146A">
        <w:rPr>
          <w:rFonts w:hint="cs"/>
          <w:rtl/>
        </w:rPr>
        <w:t>, מותר אף בפחות משישים, ולא כביאור</w:t>
      </w:r>
      <w:r w:rsidRPr="0050146A">
        <w:rPr>
          <w:rStyle w:val="af8"/>
          <w:rFonts w:hint="cs"/>
          <w:rtl/>
        </w:rPr>
        <w:t xml:space="preserve"> 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בגמ' לקמן.</w:t>
      </w:r>
      <w:bookmarkEnd w:id="1826"/>
    </w:p>
    <w:p w:rsidR="00BE3B3A" w:rsidRPr="0050146A" w:rsidRDefault="00BE3B3A" w:rsidP="00BE3B3A">
      <w:pPr>
        <w:pStyle w:val="a2"/>
        <w:rPr>
          <w:rtl/>
        </w:rPr>
      </w:pPr>
      <w:bookmarkStart w:id="1827" w:name="_Toc8923195"/>
      <w:bookmarkStart w:id="1828" w:name="_Toc8933396"/>
      <w:bookmarkStart w:id="1829" w:name="_Toc8937246"/>
      <w:bookmarkStart w:id="1830" w:name="_Toc8938232"/>
      <w:bookmarkStart w:id="1831" w:name="_Toc8979130"/>
      <w:bookmarkStart w:id="1832" w:name="_Toc8986276"/>
      <w:bookmarkStart w:id="1833" w:name="_Toc9108591"/>
      <w:bookmarkStart w:id="1834" w:name="_Toc9110146"/>
      <w:bookmarkStart w:id="1835" w:name="_Toc9114508"/>
      <w:bookmarkStart w:id="1836" w:name="_Toc9149551"/>
      <w:bookmarkStart w:id="1837" w:name="_Toc9289737"/>
      <w:bookmarkStart w:id="1838" w:name="_Toc11573383"/>
      <w:r w:rsidRPr="0050146A">
        <w:rPr>
          <w:rFonts w:hint="cs"/>
          <w:rtl/>
        </w:rPr>
        <w:t>דברי הרא"ש דמוכח בגמ' דמהני קפילא אף בפחות משישים ורק בא"א להבחין צריך שישים</w:t>
      </w:r>
      <w:bookmarkEnd w:id="1827"/>
      <w:bookmarkEnd w:id="1828"/>
      <w:bookmarkEnd w:id="1829"/>
      <w:bookmarkEnd w:id="1830"/>
      <w:bookmarkEnd w:id="1831"/>
      <w:bookmarkEnd w:id="1832"/>
      <w:bookmarkEnd w:id="1833"/>
      <w:bookmarkEnd w:id="1834"/>
      <w:bookmarkEnd w:id="1835"/>
      <w:bookmarkEnd w:id="1836"/>
      <w:bookmarkEnd w:id="1837"/>
      <w:bookmarkEnd w:id="1838"/>
    </w:p>
    <w:p w:rsidR="00BE3B3A" w:rsidRPr="0050146A" w:rsidRDefault="00BE3B3A" w:rsidP="009F44AF">
      <w:pPr>
        <w:pStyle w:val="a"/>
        <w:rPr>
          <w:rtl/>
        </w:rPr>
      </w:pPr>
      <w:bookmarkStart w:id="1839" w:name="_Ref8923631"/>
      <w:r w:rsidRPr="0050146A">
        <w:rPr>
          <w:rFonts w:hint="cs"/>
          <w:rtl/>
        </w:rPr>
        <w:t xml:space="preserve">וכ"כ </w:t>
      </w:r>
      <w:r w:rsidRPr="0050146A">
        <w:rPr>
          <w:rStyle w:val="af8"/>
          <w:rFonts w:hint="cs"/>
          <w:rtl/>
        </w:rPr>
        <w:t>הרא"ש</w:t>
      </w:r>
      <w:r w:rsidRPr="0050146A">
        <w:rPr>
          <w:rFonts w:hint="cs"/>
          <w:rtl/>
        </w:rPr>
        <w:t xml:space="preserve"> </w:t>
      </w:r>
      <w:r w:rsidRPr="0050146A">
        <w:rPr>
          <w:rStyle w:val="af6"/>
          <w:rFonts w:eastAsia="Guttman Hodes" w:hint="cs"/>
          <w:rtl/>
        </w:rPr>
        <w:t>(סי' כ"ט)</w:t>
      </w:r>
      <w:r w:rsidRPr="0050146A">
        <w:rPr>
          <w:rFonts w:hint="cs"/>
          <w:rtl/>
        </w:rPr>
        <w:t xml:space="preserve"> דסמכינן על קפילא להתיר איסורא אף בפחות משישים, וסמכינן על כהן להתיר בתרומה בפחות ממאה, והוסיף </w:t>
      </w:r>
      <w:r w:rsidRPr="0050146A">
        <w:rPr>
          <w:rStyle w:val="af8"/>
          <w:rFonts w:hint="cs"/>
          <w:rtl/>
        </w:rPr>
        <w:t>הרא"ש</w:t>
      </w:r>
      <w:r w:rsidRPr="0050146A">
        <w:rPr>
          <w:rFonts w:hint="cs"/>
          <w:rtl/>
        </w:rPr>
        <w:t xml:space="preserve"> דכן משמע בכל הש"ס דאמרינן בסתמא דכל איסורין שבתורה בשישים, ולא מצינו שאחר שיש שישים צריך שיהיה היתר נוסף ע"י טעימת קפילא, והוסיף </w:t>
      </w:r>
      <w:r w:rsidRPr="0050146A">
        <w:rPr>
          <w:rStyle w:val="af8"/>
          <w:rFonts w:hint="cs"/>
          <w:rtl/>
        </w:rPr>
        <w:t>הרא"ש</w:t>
      </w:r>
      <w:r w:rsidRPr="0050146A">
        <w:rPr>
          <w:rFonts w:hint="cs"/>
          <w:rtl/>
        </w:rPr>
        <w:t xml:space="preserve"> דכן משמע מדברי רבא דאמר דמין בשאינו מינו בקפילא, ומין במינו שא"א לעמוד על טעמו או מין בשאינו מינו ואין קפילא שיעורו בשישים, ומשמע דשיעור שישים נאמר רק במקום שא"א לעמוד על הטעם, אבל במקום שאפשר לעמוד על הטעם א"צ שישים, ובמקום שאינו נותן טעם מותר אף בפחות משישים.</w:t>
      </w:r>
      <w:bookmarkEnd w:id="1839"/>
    </w:p>
    <w:p w:rsidR="00BE3B3A" w:rsidRPr="0050146A" w:rsidRDefault="00BE3B3A" w:rsidP="00BE3B3A">
      <w:pPr>
        <w:pStyle w:val="a2"/>
        <w:rPr>
          <w:rtl/>
        </w:rPr>
      </w:pPr>
      <w:bookmarkStart w:id="1840" w:name="_Toc8979131"/>
      <w:bookmarkStart w:id="1841" w:name="_Toc8986277"/>
      <w:bookmarkStart w:id="1842" w:name="_Toc9108592"/>
      <w:bookmarkStart w:id="1843" w:name="_Toc9110147"/>
      <w:bookmarkStart w:id="1844" w:name="_Toc9114509"/>
      <w:bookmarkStart w:id="1845" w:name="_Toc9149552"/>
      <w:bookmarkStart w:id="1846" w:name="_Toc9289738"/>
      <w:bookmarkStart w:id="1847" w:name="_Toc11573384"/>
      <w:bookmarkStart w:id="1848" w:name="_Toc8923196"/>
      <w:bookmarkStart w:id="1849" w:name="_Toc8933397"/>
      <w:bookmarkStart w:id="1850" w:name="_Toc8937247"/>
      <w:bookmarkStart w:id="1851" w:name="_Toc8938233"/>
      <w:r w:rsidRPr="0050146A">
        <w:rPr>
          <w:rFonts w:hint="cs"/>
          <w:rtl/>
        </w:rPr>
        <w:t>דברי המאירי דבשישים שיערו חכמים שאין טעם וממילא כשאומר הקפילא שאין טעם א"צ שישים</w:t>
      </w:r>
      <w:bookmarkEnd w:id="1840"/>
      <w:bookmarkEnd w:id="1841"/>
      <w:bookmarkEnd w:id="1842"/>
      <w:bookmarkEnd w:id="1843"/>
      <w:bookmarkEnd w:id="1844"/>
      <w:bookmarkEnd w:id="1845"/>
      <w:bookmarkEnd w:id="1846"/>
      <w:bookmarkEnd w:id="1847"/>
    </w:p>
    <w:p w:rsidR="00BE3B3A" w:rsidRPr="0050146A" w:rsidRDefault="00BE3B3A" w:rsidP="009F44AF">
      <w:pPr>
        <w:pStyle w:val="a"/>
        <w:rPr>
          <w:rtl/>
        </w:rPr>
      </w:pPr>
      <w:r w:rsidRPr="0050146A">
        <w:rPr>
          <w:rFonts w:hint="cs"/>
          <w:rtl/>
        </w:rPr>
        <w:t xml:space="preserve">וכ"כ </w:t>
      </w:r>
      <w:r w:rsidRPr="0050146A">
        <w:rPr>
          <w:rStyle w:val="af8"/>
          <w:rFonts w:hint="cs"/>
          <w:rtl/>
        </w:rPr>
        <w:t>המאירי</w:t>
      </w:r>
      <w:r w:rsidRPr="0050146A">
        <w:rPr>
          <w:rFonts w:hint="cs"/>
          <w:rtl/>
        </w:rPr>
        <w:t xml:space="preserve"> </w:t>
      </w:r>
      <w:r w:rsidRPr="0050146A">
        <w:rPr>
          <w:rStyle w:val="af6"/>
          <w:rFonts w:eastAsia="Guttman Hodes" w:hint="cs"/>
          <w:rtl/>
        </w:rPr>
        <w:t>(ד"ה כל שאמור)</w:t>
      </w:r>
      <w:r w:rsidRPr="0050146A">
        <w:rPr>
          <w:rFonts w:hint="cs"/>
          <w:rtl/>
        </w:rPr>
        <w:t xml:space="preserve"> דשיעור שישים הוא מחמת דכך שיערו חכמים, דכל שאין בהיתר שישים לבטל את טעם האיסור, האדם מרגיש את טעם האיסור בהיתר, ובשישים לא מורגש טעם האיסור ולכן שיערו בשישים, וא"כ במקום שיש קפילא שאפשר לברר אם האיסור נותן טעם בהיתר או לא, ודאי דא"צ לשער בשישים, דכל שיעור שישים הוא בכדי לברר שאין נתינת טעם.</w:t>
      </w:r>
    </w:p>
    <w:p w:rsidR="00BE3B3A" w:rsidRPr="0050146A" w:rsidRDefault="00BE3B3A" w:rsidP="00BE3B3A">
      <w:pPr>
        <w:pStyle w:val="a2"/>
        <w:rPr>
          <w:rtl/>
        </w:rPr>
      </w:pPr>
      <w:bookmarkStart w:id="1852" w:name="_Toc8979132"/>
      <w:bookmarkStart w:id="1853" w:name="_Toc8986278"/>
      <w:bookmarkStart w:id="1854" w:name="_Toc9108593"/>
      <w:bookmarkStart w:id="1855" w:name="_Toc9110148"/>
      <w:bookmarkStart w:id="1856" w:name="_Toc9114510"/>
      <w:bookmarkStart w:id="1857" w:name="_Toc9149553"/>
      <w:bookmarkStart w:id="1858" w:name="_Toc9289739"/>
      <w:bookmarkStart w:id="1859" w:name="_Toc11573385"/>
      <w:r w:rsidRPr="0050146A">
        <w:rPr>
          <w:rFonts w:hint="cs"/>
          <w:rtl/>
        </w:rPr>
        <w:t>דברי הראבי"ה דבשישים א"צ קפילא דרבנן ירדו לסוף הדברים וסמכו לגמרי על שישים</w:t>
      </w:r>
      <w:bookmarkEnd w:id="1852"/>
      <w:bookmarkEnd w:id="1853"/>
      <w:bookmarkEnd w:id="1854"/>
      <w:bookmarkEnd w:id="1855"/>
      <w:bookmarkEnd w:id="1856"/>
      <w:bookmarkEnd w:id="1857"/>
      <w:bookmarkEnd w:id="1858"/>
      <w:bookmarkEnd w:id="1859"/>
    </w:p>
    <w:p w:rsidR="002D7168" w:rsidRDefault="00BE3B3A" w:rsidP="009F44AF">
      <w:pPr>
        <w:pStyle w:val="a"/>
        <w:rPr>
          <w:rtl/>
        </w:rPr>
      </w:pPr>
      <w:bookmarkStart w:id="1860" w:name="_Ref10104384"/>
      <w:r w:rsidRPr="0050146A">
        <w:rPr>
          <w:rFonts w:hint="cs"/>
          <w:rtl/>
        </w:rPr>
        <w:t xml:space="preserve">כתב </w:t>
      </w:r>
      <w:r w:rsidRPr="0050146A">
        <w:rPr>
          <w:rStyle w:val="af8"/>
          <w:rFonts w:hint="cs"/>
          <w:rtl/>
        </w:rPr>
        <w:t>הראבי"ה</w:t>
      </w:r>
      <w:r w:rsidRPr="0050146A">
        <w:rPr>
          <w:rFonts w:hint="cs"/>
          <w:rtl/>
        </w:rPr>
        <w:t xml:space="preserve"> </w:t>
      </w:r>
      <w:r w:rsidRPr="0050146A">
        <w:rPr>
          <w:rStyle w:val="af6"/>
          <w:rFonts w:eastAsia="Guttman Hodes" w:hint="cs"/>
          <w:rtl/>
        </w:rPr>
        <w:t>(סי' אלף ק"ב, הועתק בקובץ שיטות קמאי חולין ח"ג עמ' ב' אלף קס"א)</w:t>
      </w:r>
      <w:r w:rsidRPr="0050146A">
        <w:rPr>
          <w:rFonts w:hint="cs"/>
          <w:rtl/>
        </w:rPr>
        <w:t xml:space="preserve"> דמשמע מדברי </w:t>
      </w:r>
      <w:r w:rsidRPr="0050146A">
        <w:rPr>
          <w:rStyle w:val="af8"/>
          <w:rFonts w:hint="cs"/>
          <w:rtl/>
        </w:rPr>
        <w:t>ר"ח</w:t>
      </w:r>
      <w:r w:rsidRPr="0050146A">
        <w:rPr>
          <w:rFonts w:hint="cs"/>
          <w:rtl/>
        </w:rPr>
        <w:t xml:space="preserve"> דסמכינן על קפילא בין להקל בפחות משישים, ובין להחמיר ביותר משישים, וכתב </w:t>
      </w:r>
      <w:r w:rsidRPr="0050146A">
        <w:rPr>
          <w:rStyle w:val="af8"/>
          <w:rFonts w:hint="cs"/>
          <w:rtl/>
        </w:rPr>
        <w:t>הראבי"ה</w:t>
      </w:r>
      <w:r w:rsidRPr="0050146A">
        <w:rPr>
          <w:rFonts w:hint="cs"/>
          <w:rtl/>
        </w:rPr>
        <w:t xml:space="preserve"> דלא נראה להצריך קפילא להחמיר ביותר משישים, דכיון שרבנן ירדו לסוף הדברים ואמרו שאין איסור שנותן טעם ביותר משישים, לכן סמכינן על שישים לגמרי.</w:t>
      </w:r>
      <w:bookmarkEnd w:id="1860"/>
    </w:p>
    <w:p w:rsidR="00BE3B3A" w:rsidRPr="0050146A" w:rsidRDefault="00BE3B3A" w:rsidP="00BE3B3A">
      <w:pPr>
        <w:pStyle w:val="a2"/>
      </w:pPr>
      <w:bookmarkStart w:id="1861" w:name="_Toc8979133"/>
      <w:bookmarkStart w:id="1862" w:name="_Toc8986279"/>
      <w:bookmarkStart w:id="1863" w:name="_Toc9108594"/>
      <w:bookmarkStart w:id="1864" w:name="_Toc9110149"/>
      <w:bookmarkStart w:id="1865" w:name="_Toc9114511"/>
      <w:bookmarkStart w:id="1866" w:name="_Toc9149554"/>
      <w:bookmarkStart w:id="1867" w:name="_Toc9289740"/>
      <w:bookmarkStart w:id="1868" w:name="_Toc11573386"/>
      <w:r w:rsidRPr="0050146A">
        <w:rPr>
          <w:rFonts w:hint="cs"/>
          <w:rtl/>
        </w:rPr>
        <w:t>דברי הראבי"ה דמוכח בגמ' דא"א לומר דרק רוב האיסורים אינם נותנים טעם ביותר משישים</w:t>
      </w:r>
      <w:bookmarkEnd w:id="1861"/>
      <w:bookmarkEnd w:id="1862"/>
      <w:bookmarkEnd w:id="1863"/>
      <w:bookmarkEnd w:id="1864"/>
      <w:bookmarkEnd w:id="1865"/>
      <w:bookmarkEnd w:id="1866"/>
      <w:bookmarkEnd w:id="1867"/>
      <w:bookmarkEnd w:id="1868"/>
      <w:r w:rsidRPr="0050146A">
        <w:rPr>
          <w:rFonts w:hint="cs"/>
          <w:rtl/>
        </w:rPr>
        <w:t xml:space="preserve"> </w:t>
      </w:r>
    </w:p>
    <w:p w:rsidR="00BE3B3A" w:rsidRPr="0050146A" w:rsidRDefault="00BE3B3A" w:rsidP="009F44AF">
      <w:pPr>
        <w:pStyle w:val="a"/>
        <w:rPr>
          <w:rtl/>
        </w:rPr>
      </w:pPr>
      <w:bookmarkStart w:id="1869" w:name="_Ref8977885"/>
      <w:r w:rsidRPr="0050146A">
        <w:rPr>
          <w:rFonts w:hint="cs"/>
          <w:rtl/>
        </w:rPr>
        <w:t xml:space="preserve">והוסיף </w:t>
      </w:r>
      <w:r w:rsidRPr="0050146A">
        <w:rPr>
          <w:rStyle w:val="af8"/>
          <w:rFonts w:hint="cs"/>
          <w:rtl/>
        </w:rPr>
        <w:t>הראבי"ה</w:t>
      </w:r>
      <w:r w:rsidRPr="0050146A">
        <w:rPr>
          <w:rFonts w:hint="cs"/>
          <w:rtl/>
        </w:rPr>
        <w:t xml:space="preserve"> דא"א לומר דרבנן סמכו על הרוב, דרוב הדברים אינם נותנים טעם ביותר משישים, </w:t>
      </w:r>
      <w:r w:rsidRPr="0050146A">
        <w:rPr>
          <w:rStyle w:val="afa"/>
          <w:rFonts w:hint="cs"/>
          <w:rtl/>
        </w:rPr>
        <w:t xml:space="preserve">[כביאור </w:t>
      </w:r>
      <w:r w:rsidRPr="0050146A">
        <w:rPr>
          <w:rStyle w:val="affa"/>
          <w:rFonts w:hint="cs"/>
          <w:rtl/>
        </w:rPr>
        <w:t>הפסקי הרי"ד</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Ref8902569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לג)</w:t>
      </w:r>
      <w:r w:rsidRPr="0050146A">
        <w:rPr>
          <w:rStyle w:val="aff6"/>
          <w:rtl/>
        </w:rPr>
        <w:fldChar w:fldCharType="end"/>
      </w:r>
      <w:r w:rsidRPr="0050146A">
        <w:rPr>
          <w:rStyle w:val="afa"/>
          <w:rFonts w:hint="cs"/>
          <w:rtl/>
        </w:rPr>
        <w:t xml:space="preserve"> </w:t>
      </w:r>
      <w:r w:rsidRPr="0050146A">
        <w:rPr>
          <w:rStyle w:val="affa"/>
          <w:rFonts w:hint="cs"/>
          <w:rtl/>
        </w:rPr>
        <w:t>והמנחת כהן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Ref8902978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כא)</w:t>
      </w:r>
      <w:r w:rsidRPr="0050146A">
        <w:rPr>
          <w:rStyle w:val="aff6"/>
          <w:rtl/>
        </w:rPr>
        <w:fldChar w:fldCharType="end"/>
      </w:r>
      <w:r w:rsidRPr="0050146A">
        <w:rPr>
          <w:rFonts w:hint="cs"/>
          <w:rtl/>
        </w:rPr>
        <w:t xml:space="preserve"> </w:t>
      </w:r>
      <w:r w:rsidRPr="0050146A">
        <w:rPr>
          <w:rStyle w:val="affa"/>
          <w:rFonts w:hint="cs"/>
          <w:rtl/>
        </w:rPr>
        <w:t>ברש"י</w:t>
      </w:r>
      <w:r w:rsidRPr="0050146A">
        <w:rPr>
          <w:rStyle w:val="afa"/>
          <w:rFonts w:hint="cs"/>
          <w:rtl/>
        </w:rPr>
        <w:t xml:space="preserve">], </w:t>
      </w:r>
      <w:r w:rsidRPr="0050146A">
        <w:rPr>
          <w:rFonts w:hint="cs"/>
          <w:rtl/>
        </w:rPr>
        <w:t>דהרי אמרינן בגמ' שאין דבר שנותן טעם יותר מבצל וקפלוט, ואם היו דברים שנותנים טעם ביותר משישים היו משערים בפלפלים ותבלין.</w:t>
      </w:r>
      <w:bookmarkEnd w:id="1869"/>
    </w:p>
    <w:p w:rsidR="00BE3B3A" w:rsidRPr="0050146A" w:rsidRDefault="00BE3B3A" w:rsidP="00BE3B3A">
      <w:pPr>
        <w:pStyle w:val="a2"/>
        <w:rPr>
          <w:rtl/>
        </w:rPr>
      </w:pPr>
      <w:r w:rsidRPr="0050146A">
        <w:rPr>
          <w:rFonts w:hint="cs"/>
          <w:rtl/>
        </w:rPr>
        <w:t xml:space="preserve">דברי רבינו גרשום דבצל בקפלוט נותנים טעם בשישים וביותר משישים אין איסור שנותן טעם </w:t>
      </w:r>
    </w:p>
    <w:p w:rsidR="00BE3B3A" w:rsidRPr="0050146A" w:rsidRDefault="00BE3B3A" w:rsidP="009F44AF">
      <w:pPr>
        <w:pStyle w:val="a"/>
        <w:rPr>
          <w:rtl/>
        </w:rPr>
      </w:pPr>
      <w:r w:rsidRPr="0050146A">
        <w:rPr>
          <w:rFonts w:hint="cs"/>
          <w:rtl/>
        </w:rPr>
        <w:t xml:space="preserve">וע"ע בדברי </w:t>
      </w:r>
      <w:r w:rsidRPr="0050146A">
        <w:rPr>
          <w:rStyle w:val="af8"/>
          <w:rFonts w:hint="cs"/>
          <w:rtl/>
        </w:rPr>
        <w:t xml:space="preserve">רבינו גרשום </w:t>
      </w:r>
      <w:r w:rsidRPr="0050146A">
        <w:rPr>
          <w:rStyle w:val="af6"/>
          <w:rFonts w:eastAsia="Guttman Hodes" w:hint="cs"/>
          <w:rtl/>
        </w:rPr>
        <w:t>(צז: ד"ה כל)</w:t>
      </w:r>
      <w:r w:rsidRPr="0050146A">
        <w:rPr>
          <w:rFonts w:hint="cs"/>
          <w:rtl/>
        </w:rPr>
        <w:t xml:space="preserve"> דכתב דבכל איסורין שבתורה, משערינן בבצל וקפלוט שנותנים טעם עד שישים, אבל ביותר משישים אינם נותנים טעם, והוסיף </w:t>
      </w:r>
      <w:r w:rsidRPr="0050146A">
        <w:rPr>
          <w:rStyle w:val="af8"/>
          <w:rFonts w:hint="cs"/>
          <w:rtl/>
        </w:rPr>
        <w:t>רבינו גרשום</w:t>
      </w:r>
      <w:r w:rsidRPr="0050146A">
        <w:rPr>
          <w:rFonts w:hint="cs"/>
          <w:rtl/>
        </w:rPr>
        <w:t xml:space="preserve"> דאין נותן טעם באיסור </w:t>
      </w:r>
      <w:r w:rsidRPr="0050146A">
        <w:rPr>
          <w:rStyle w:val="afa"/>
          <w:rFonts w:hint="cs"/>
          <w:rtl/>
        </w:rPr>
        <w:t xml:space="preserve">[דהיינו ביותר משישים] </w:t>
      </w:r>
      <w:r w:rsidRPr="0050146A">
        <w:rPr>
          <w:rFonts w:hint="cs"/>
          <w:rtl/>
        </w:rPr>
        <w:t xml:space="preserve">כגון חתיכה של נבילה וכגון דג טמא וגיד הנשה, וע"ע בדברי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Ref8978750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50146A">
        <w:rPr>
          <w:rStyle w:val="af6"/>
          <w:rFonts w:eastAsia="Guttman Hodes"/>
          <w:rtl/>
        </w:rPr>
        <w:fldChar w:fldCharType="end"/>
      </w:r>
      <w:r w:rsidRPr="0050146A">
        <w:rPr>
          <w:rFonts w:hint="cs"/>
          <w:rtl/>
        </w:rPr>
        <w:t>.</w:t>
      </w:r>
    </w:p>
    <w:p w:rsidR="00BE3B3A" w:rsidRPr="0050146A" w:rsidRDefault="00BE3B3A" w:rsidP="00BE3B3A">
      <w:pPr>
        <w:pStyle w:val="1"/>
        <w:rPr>
          <w:rtl/>
        </w:rPr>
      </w:pPr>
      <w:bookmarkStart w:id="1870" w:name="_Toc8979135"/>
      <w:bookmarkStart w:id="1871" w:name="_Toc8986281"/>
      <w:bookmarkStart w:id="1872" w:name="_Toc9108596"/>
      <w:bookmarkStart w:id="1873" w:name="_Toc9110151"/>
      <w:bookmarkStart w:id="1874" w:name="_Toc9114513"/>
      <w:bookmarkStart w:id="1875" w:name="_Toc9149556"/>
      <w:bookmarkStart w:id="1876" w:name="_Toc9289742"/>
      <w:bookmarkStart w:id="1877" w:name="_Toc11573388"/>
      <w:r w:rsidRPr="0050146A">
        <w:rPr>
          <w:rFonts w:hint="cs"/>
          <w:rtl/>
        </w:rPr>
        <w:t>ביאור התוס' והרא"ש בדברי הגמ' לקמן בשיעור שישים</w:t>
      </w:r>
      <w:bookmarkEnd w:id="1848"/>
      <w:bookmarkEnd w:id="1849"/>
      <w:bookmarkEnd w:id="1850"/>
      <w:bookmarkEnd w:id="1851"/>
      <w:bookmarkEnd w:id="1870"/>
      <w:bookmarkEnd w:id="1871"/>
      <w:bookmarkEnd w:id="1872"/>
      <w:bookmarkEnd w:id="1873"/>
      <w:bookmarkEnd w:id="1874"/>
      <w:bookmarkEnd w:id="1875"/>
      <w:bookmarkEnd w:id="1876"/>
      <w:bookmarkEnd w:id="1877"/>
    </w:p>
    <w:p w:rsidR="00BE3B3A" w:rsidRPr="0050146A" w:rsidRDefault="00BE3B3A" w:rsidP="00BE3B3A">
      <w:pPr>
        <w:pStyle w:val="a2"/>
        <w:rPr>
          <w:rtl/>
        </w:rPr>
      </w:pPr>
      <w:bookmarkStart w:id="1878" w:name="_Toc8923197"/>
      <w:bookmarkStart w:id="1879" w:name="_Toc8933398"/>
      <w:bookmarkStart w:id="1880" w:name="_Toc8937248"/>
      <w:bookmarkStart w:id="1881" w:name="_Toc8938234"/>
      <w:bookmarkStart w:id="1882" w:name="_Toc8979136"/>
      <w:bookmarkStart w:id="1883" w:name="_Toc8986282"/>
      <w:bookmarkStart w:id="1884" w:name="_Toc9108597"/>
      <w:bookmarkStart w:id="1885" w:name="_Toc9110152"/>
      <w:bookmarkStart w:id="1886" w:name="_Toc9114514"/>
      <w:bookmarkStart w:id="1887" w:name="_Toc9149557"/>
      <w:bookmarkStart w:id="1888" w:name="_Toc9289743"/>
      <w:bookmarkStart w:id="1889" w:name="_Toc11573389"/>
      <w:r w:rsidRPr="0050146A">
        <w:rPr>
          <w:rFonts w:hint="cs"/>
          <w:rtl/>
        </w:rPr>
        <w:t>קושית התוס' על ראיית הגמ' דא"צ מאה הא  אפש"ל דאיירי כשאין טעם ומותר אף בפחות משישים</w:t>
      </w:r>
      <w:bookmarkEnd w:id="1878"/>
      <w:bookmarkEnd w:id="1879"/>
      <w:bookmarkEnd w:id="1880"/>
      <w:bookmarkEnd w:id="1881"/>
      <w:bookmarkEnd w:id="1882"/>
      <w:bookmarkEnd w:id="1883"/>
      <w:bookmarkEnd w:id="1884"/>
      <w:bookmarkEnd w:id="1885"/>
      <w:bookmarkEnd w:id="1886"/>
      <w:bookmarkEnd w:id="1887"/>
      <w:bookmarkEnd w:id="1888"/>
      <w:bookmarkEnd w:id="1889"/>
    </w:p>
    <w:p w:rsidR="00BE3B3A" w:rsidRPr="0050146A" w:rsidRDefault="00BE3B3A" w:rsidP="009F44AF">
      <w:pPr>
        <w:pStyle w:val="a"/>
        <w:rPr>
          <w:rtl/>
        </w:rPr>
      </w:pPr>
      <w:bookmarkStart w:id="1890" w:name="_Ref8896021"/>
      <w:r w:rsidRPr="0050146A">
        <w:rPr>
          <w:rFonts w:hint="cs"/>
          <w:rtl/>
        </w:rPr>
        <w:t xml:space="preserve">בהא דהגמ' לקמן </w:t>
      </w:r>
      <w:r w:rsidRPr="0050146A">
        <w:rPr>
          <w:rStyle w:val="af6"/>
          <w:rFonts w:eastAsia="Guttman Hodes" w:hint="cs"/>
          <w:rtl/>
        </w:rPr>
        <w:t>(צט.)</w:t>
      </w:r>
      <w:r w:rsidRPr="0050146A">
        <w:rPr>
          <w:rFonts w:hint="cs"/>
          <w:rtl/>
        </w:rPr>
        <w:t xml:space="preserve"> הביאה ראיה דמהני ביטול בשישים וא"צ מאה, </w:t>
      </w:r>
      <w:r w:rsidRPr="0050146A">
        <w:rPr>
          <w:rStyle w:val="afa"/>
          <w:rFonts w:hint="cs"/>
          <w:rtl/>
        </w:rPr>
        <w:t xml:space="preserve">[ודלא כמ"ד דצריך מאה], </w:t>
      </w:r>
      <w:r w:rsidRPr="0050146A">
        <w:rPr>
          <w:rFonts w:hint="cs"/>
          <w:rtl/>
        </w:rPr>
        <w:t xml:space="preserve">מהא דתנן במתני' בערלה </w:t>
      </w:r>
      <w:r w:rsidRPr="0050146A">
        <w:rPr>
          <w:rStyle w:val="af6"/>
          <w:rFonts w:eastAsia="Guttman Hodes" w:hint="cs"/>
          <w:rtl/>
        </w:rPr>
        <w:t>(פ"ב מ"ז)</w:t>
      </w:r>
      <w:r w:rsidRPr="0050146A">
        <w:rPr>
          <w:rStyle w:val="af8"/>
          <w:rFonts w:hint="cs"/>
          <w:rtl/>
        </w:rPr>
        <w:t xml:space="preserve"> </w:t>
      </w:r>
      <w:r w:rsidRPr="0050146A">
        <w:rPr>
          <w:rFonts w:hint="cs"/>
          <w:rtl/>
        </w:rPr>
        <w:t xml:space="preserve">דתרומה שנתערבה בחולין במקום שיש נתינת טעם לא מהני מאה ואחד להתיר, </w:t>
      </w:r>
      <w:r w:rsidRPr="0050146A">
        <w:rPr>
          <w:rStyle w:val="afa"/>
          <w:rFonts w:hint="cs"/>
          <w:rtl/>
        </w:rPr>
        <w:t xml:space="preserve">[כדין תרומה שעולה במאה ואחד], </w:t>
      </w:r>
      <w:r w:rsidRPr="0050146A">
        <w:rPr>
          <w:rFonts w:hint="cs"/>
          <w:rtl/>
        </w:rPr>
        <w:t xml:space="preserve">ובמקום שאין נתינת טעם מותר אף כשאין מאה ואחד, ודייקה הגמ' לקמן דאף שאין מאה ואחד, מ"מ צריך שישים להתיר אף שאין נתינת טעם, הקשו </w:t>
      </w:r>
      <w:r w:rsidRPr="0050146A">
        <w:rPr>
          <w:rStyle w:val="af8"/>
          <w:rFonts w:hint="cs"/>
          <w:rtl/>
        </w:rPr>
        <w:t>התוס'  לקמן</w:t>
      </w:r>
      <w:r w:rsidRPr="0050146A">
        <w:rPr>
          <w:rFonts w:hint="cs"/>
          <w:rtl/>
        </w:rPr>
        <w:t xml:space="preserve"> </w:t>
      </w:r>
      <w:r w:rsidRPr="0050146A">
        <w:rPr>
          <w:rStyle w:val="af6"/>
          <w:rFonts w:eastAsia="Guttman Hodes" w:hint="cs"/>
          <w:rtl/>
        </w:rPr>
        <w:t>(צט. ד"ה אלא)</w:t>
      </w:r>
      <w:r w:rsidRPr="0050146A">
        <w:rPr>
          <w:rFonts w:hint="cs"/>
          <w:rtl/>
        </w:rPr>
        <w:t xml:space="preserve"> דהרי ברישא של המשנה בערלה תנן שאם יש בהם בנותן טעם אסור אף במאה ואחד, ומוכח דאיירי דהכהן טעם את התרומה ואמר שיש טעם, ולכן לא מהני ביטול במאה ואחד, וא"כ אף בסיפא דאין בהם בנותן טעם, ג"כ איירי שהכהן טעם ואמר שאין בהם טעם תרומה, וא"כ מה הוכיחה הגמ' לקמן מהמשנה בערלה, דבסתמא שלא ידוע אם יש נתינת טעם סגי בשישים, הרי אפש"ל דבסתמא באמת צריך מאה וכמ"ד דהביטול הוא במאה ולא בשישים, והא דמבואר במתני' בערלה דמותר באין בהם טעם, היינו כשידוע שאין בהם טעם ע"י נתינת הכהן, ובכה"ג כתבו </w:t>
      </w:r>
      <w:r w:rsidRPr="0050146A">
        <w:rPr>
          <w:rStyle w:val="af8"/>
          <w:rFonts w:hint="cs"/>
          <w:rtl/>
        </w:rPr>
        <w:t>התוס' לקמן</w:t>
      </w:r>
      <w:r w:rsidRPr="0050146A">
        <w:rPr>
          <w:rFonts w:hint="cs"/>
          <w:rtl/>
        </w:rPr>
        <w:t xml:space="preserve"> דמותר אף בפחות משישים, ודלא </w:t>
      </w:r>
      <w:r w:rsidRPr="0050146A">
        <w:rPr>
          <w:rStyle w:val="af8"/>
          <w:rFonts w:hint="cs"/>
          <w:rtl/>
        </w:rPr>
        <w:t>כרש"י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w:t>
      </w:r>
      <w:bookmarkEnd w:id="1890"/>
    </w:p>
    <w:p w:rsidR="00BE3B3A" w:rsidRPr="0050146A" w:rsidRDefault="00BE3B3A" w:rsidP="00BE3B3A">
      <w:pPr>
        <w:pStyle w:val="a2"/>
      </w:pPr>
      <w:bookmarkStart w:id="1891" w:name="_Toc8923198"/>
      <w:bookmarkStart w:id="1892" w:name="_Toc8933399"/>
      <w:bookmarkStart w:id="1893" w:name="_Toc8937249"/>
      <w:bookmarkStart w:id="1894" w:name="_Toc8938235"/>
      <w:bookmarkStart w:id="1895" w:name="_Toc8979137"/>
      <w:bookmarkStart w:id="1896" w:name="_Toc8986283"/>
      <w:bookmarkStart w:id="1897" w:name="_Toc9108598"/>
      <w:bookmarkStart w:id="1898" w:name="_Toc9110153"/>
      <w:bookmarkStart w:id="1899" w:name="_Toc9114515"/>
      <w:bookmarkStart w:id="1900" w:name="_Toc9149558"/>
      <w:bookmarkStart w:id="1901" w:name="_Toc9289744"/>
      <w:bookmarkStart w:id="1902" w:name="_Toc11573390"/>
      <w:r w:rsidRPr="0050146A">
        <w:rPr>
          <w:rFonts w:hint="cs"/>
          <w:rtl/>
        </w:rPr>
        <w:t>ביאור התוס' דמייתור לשון המשנה משמע דאף בסתמא שלא ידוע שאין טעם צריך שיעור שישים</w:t>
      </w:r>
      <w:bookmarkEnd w:id="1891"/>
      <w:bookmarkEnd w:id="1892"/>
      <w:bookmarkEnd w:id="1893"/>
      <w:bookmarkEnd w:id="1894"/>
      <w:bookmarkEnd w:id="1895"/>
      <w:bookmarkEnd w:id="1896"/>
      <w:bookmarkEnd w:id="1897"/>
      <w:bookmarkEnd w:id="1898"/>
      <w:bookmarkEnd w:id="1899"/>
      <w:bookmarkEnd w:id="1900"/>
      <w:bookmarkEnd w:id="1901"/>
      <w:bookmarkEnd w:id="1902"/>
    </w:p>
    <w:p w:rsidR="00BE3B3A" w:rsidRPr="0050146A" w:rsidRDefault="00BE3B3A" w:rsidP="009F44AF">
      <w:pPr>
        <w:pStyle w:val="a"/>
        <w:rPr>
          <w:rtl/>
        </w:rPr>
      </w:pPr>
      <w:bookmarkStart w:id="1903" w:name="_Ref8896036"/>
      <w:r w:rsidRPr="0050146A">
        <w:rPr>
          <w:rFonts w:hint="cs"/>
          <w:rtl/>
        </w:rPr>
        <w:t xml:space="preserve">ותירצו </w:t>
      </w:r>
      <w:r w:rsidRPr="0050146A">
        <w:rPr>
          <w:rStyle w:val="af8"/>
          <w:rFonts w:hint="cs"/>
          <w:rtl/>
        </w:rPr>
        <w:t>התוס' לקמן</w:t>
      </w:r>
      <w:r w:rsidRPr="0050146A">
        <w:rPr>
          <w:rFonts w:hint="cs"/>
          <w:rtl/>
        </w:rPr>
        <w:t xml:space="preserve"> דההוכחה של הגמ' מהמשנה בערלה היא מהא דבסיפא דבמקום שאין נתינת טעם מותר, לא היה למשנה להוסיף דהוא בין אם יש מאה ואחד ובין אם אין מאה ואחד, דכבר תני לה ברישא, אלא מהא דהוסיפה המשנה כן דייקה הגמ' מזה, דלא סגי במה שאין נתינת טעם להתיר, אלא צריך שיעור היתר, ומוכח דבשאר איסורין </w:t>
      </w:r>
      <w:r w:rsidRPr="0050146A">
        <w:rPr>
          <w:rStyle w:val="afa"/>
          <w:rFonts w:hint="cs"/>
          <w:rtl/>
        </w:rPr>
        <w:t>[שאינם תרומה]</w:t>
      </w:r>
      <w:r w:rsidRPr="0050146A">
        <w:rPr>
          <w:rFonts w:hint="cs"/>
          <w:rtl/>
        </w:rPr>
        <w:t xml:space="preserve"> צריך שישים, ועי' במה שביאר </w:t>
      </w:r>
      <w:r w:rsidRPr="0050146A">
        <w:rPr>
          <w:rStyle w:val="af8"/>
          <w:rFonts w:hint="cs"/>
          <w:rtl/>
        </w:rPr>
        <w:t xml:space="preserve">האור גדול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Ref8989979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פט)</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בביאור </w:t>
      </w:r>
      <w:r w:rsidRPr="0050146A">
        <w:rPr>
          <w:rStyle w:val="af8"/>
          <w:rFonts w:hint="cs"/>
          <w:rtl/>
        </w:rPr>
        <w:t>התוס'</w:t>
      </w:r>
      <w:r w:rsidRPr="0050146A">
        <w:rPr>
          <w:rFonts w:hint="cs"/>
          <w:rtl/>
        </w:rPr>
        <w:t xml:space="preserve"> בגמ' לקמן.</w:t>
      </w:r>
      <w:bookmarkEnd w:id="1903"/>
    </w:p>
    <w:p w:rsidR="00BE3B3A" w:rsidRPr="0050146A" w:rsidRDefault="00BE3B3A" w:rsidP="00BE3B3A">
      <w:pPr>
        <w:pStyle w:val="a2"/>
        <w:rPr>
          <w:rtl/>
        </w:rPr>
      </w:pPr>
      <w:bookmarkStart w:id="1904" w:name="_Toc8923199"/>
      <w:bookmarkStart w:id="1905" w:name="_Toc8933400"/>
      <w:bookmarkStart w:id="1906" w:name="_Toc8937250"/>
      <w:bookmarkStart w:id="1907" w:name="_Toc8938236"/>
      <w:bookmarkStart w:id="1908" w:name="_Toc8979138"/>
      <w:bookmarkStart w:id="1909" w:name="_Toc8986284"/>
      <w:bookmarkStart w:id="1910" w:name="_Toc9108599"/>
      <w:bookmarkStart w:id="1911" w:name="_Toc9110154"/>
      <w:bookmarkStart w:id="1912" w:name="_Toc9114516"/>
      <w:bookmarkStart w:id="1913" w:name="_Toc9149559"/>
      <w:bookmarkStart w:id="1914" w:name="_Toc9289745"/>
      <w:bookmarkStart w:id="1915" w:name="_Toc11573391"/>
      <w:r w:rsidRPr="0050146A">
        <w:rPr>
          <w:rFonts w:hint="cs"/>
          <w:rtl/>
        </w:rPr>
        <w:t>ביאור הרא"ש בגמ' לקמן דכשיש טעם לא סגי בשישים להתיר ובסתמא סגי בשישים ולא במאה</w:t>
      </w:r>
      <w:bookmarkEnd w:id="1904"/>
      <w:bookmarkEnd w:id="1905"/>
      <w:bookmarkEnd w:id="1906"/>
      <w:bookmarkEnd w:id="1907"/>
      <w:bookmarkEnd w:id="1908"/>
      <w:bookmarkEnd w:id="1909"/>
      <w:bookmarkEnd w:id="1910"/>
      <w:bookmarkEnd w:id="1911"/>
      <w:bookmarkEnd w:id="1912"/>
      <w:bookmarkEnd w:id="1913"/>
      <w:bookmarkEnd w:id="1914"/>
      <w:bookmarkEnd w:id="1915"/>
    </w:p>
    <w:p w:rsidR="002D7168" w:rsidRDefault="00BE3B3A" w:rsidP="009F44AF">
      <w:pPr>
        <w:pStyle w:val="a"/>
        <w:rPr>
          <w:rtl/>
        </w:rPr>
      </w:pPr>
      <w:bookmarkStart w:id="1916" w:name="_Ref8935912"/>
      <w:r w:rsidRPr="0050146A">
        <w:rPr>
          <w:rStyle w:val="af8"/>
          <w:rFonts w:hint="cs"/>
          <w:rtl/>
        </w:rPr>
        <w:t>והרא"ש</w:t>
      </w:r>
      <w:r w:rsidRPr="0050146A">
        <w:rPr>
          <w:rFonts w:hint="cs"/>
          <w:rtl/>
        </w:rPr>
        <w:t xml:space="preserve"> </w:t>
      </w:r>
      <w:r w:rsidRPr="0050146A">
        <w:rPr>
          <w:rStyle w:val="af6"/>
          <w:rFonts w:eastAsia="Guttman Hodes" w:hint="cs"/>
          <w:rtl/>
        </w:rPr>
        <w:t>(סי' כ"ט)</w:t>
      </w:r>
      <w:r w:rsidRPr="0050146A">
        <w:rPr>
          <w:rFonts w:hint="cs"/>
          <w:rtl/>
        </w:rPr>
        <w:t xml:space="preserve"> ביאר</w:t>
      </w:r>
      <w:r w:rsidRPr="0050146A">
        <w:rPr>
          <w:rStyle w:val="af8"/>
          <w:rFonts w:hint="cs"/>
          <w:rtl/>
        </w:rPr>
        <w:t xml:space="preserve"> </w:t>
      </w:r>
      <w:r w:rsidRPr="0050146A">
        <w:rPr>
          <w:rFonts w:hint="cs"/>
          <w:rtl/>
        </w:rPr>
        <w:t xml:space="preserve">דכוונת הגמ' לקמן לומר דמבקום שהכהן טעם והרגיש בטעם התרומה, אסור אף במקום שיש מאה, </w:t>
      </w:r>
      <w:r w:rsidRPr="0050146A">
        <w:rPr>
          <w:rStyle w:val="afa"/>
          <w:rFonts w:hint="cs"/>
          <w:rtl/>
        </w:rPr>
        <w:t>[בתרומה, ובאיסורין שישים],</w:t>
      </w:r>
      <w:r w:rsidRPr="0050146A">
        <w:rPr>
          <w:rFonts w:hint="cs"/>
          <w:rtl/>
        </w:rPr>
        <w:t xml:space="preserve"> דכיון שידוע שהייתה נתינת טעם אסור, דטעמא לא בטיל, אבל במקום שלא ידוע שהייתה נתינת טעם, דהיינו כשלא טעם הכהן, בין אם יש מאה ואחד ובין אם אין מאה ואחד מותר, ודייקה הגמ' לקמן מהמשנה בערלה דהשיעור להתיר כשא"צ מאה הוא שישים, ומוכח דבסתמא שלא ידוע אם הייתה נתינת טעם מהני שישים להתיר.</w:t>
      </w:r>
      <w:bookmarkEnd w:id="1916"/>
    </w:p>
    <w:p w:rsidR="00401FDE" w:rsidRPr="00401FDE" w:rsidRDefault="00401FDE" w:rsidP="00401FDE">
      <w:pPr>
        <w:pStyle w:val="a2"/>
        <w:rPr>
          <w:rtl/>
        </w:rPr>
      </w:pPr>
    </w:p>
    <w:p w:rsidR="00BE3B3A" w:rsidRPr="0050146A" w:rsidRDefault="00BE3B3A" w:rsidP="00E669F8">
      <w:pPr>
        <w:pStyle w:val="afd"/>
        <w:rPr>
          <w:rtl/>
        </w:rPr>
      </w:pPr>
      <w:bookmarkStart w:id="1917" w:name="_Toc5965284"/>
      <w:bookmarkStart w:id="1918" w:name="_Toc6226564"/>
      <w:bookmarkStart w:id="1919" w:name="_Toc6491235"/>
      <w:bookmarkStart w:id="1920" w:name="_Toc6581287"/>
      <w:bookmarkStart w:id="1921" w:name="_Toc6823627"/>
      <w:bookmarkStart w:id="1922" w:name="_Toc6953538"/>
      <w:bookmarkStart w:id="1923" w:name="_Toc8578661"/>
      <w:bookmarkStart w:id="1924" w:name="_Toc8765434"/>
      <w:bookmarkStart w:id="1925" w:name="_Toc8923200"/>
      <w:bookmarkStart w:id="1926" w:name="_Toc8933401"/>
      <w:bookmarkStart w:id="1927" w:name="_Toc8937251"/>
      <w:bookmarkStart w:id="1928" w:name="_Toc8938237"/>
      <w:bookmarkStart w:id="1929" w:name="_Toc8979139"/>
      <w:bookmarkStart w:id="1930" w:name="_Toc8986285"/>
      <w:bookmarkStart w:id="1931" w:name="_Toc9108600"/>
      <w:bookmarkStart w:id="1932" w:name="_Toc9110155"/>
      <w:bookmarkStart w:id="1933" w:name="_Toc9114517"/>
      <w:bookmarkStart w:id="1934" w:name="_Toc9149560"/>
      <w:bookmarkStart w:id="1935" w:name="_Toc9289746"/>
      <w:bookmarkStart w:id="1936" w:name="_Toc11573392"/>
      <w:r w:rsidRPr="0050146A">
        <w:rPr>
          <w:rFonts w:hint="cs"/>
          <w:rtl/>
        </w:rPr>
        <w:t>בביאור דעת הרמב"ן</w:t>
      </w:r>
      <w:bookmarkEnd w:id="1917"/>
      <w:bookmarkEnd w:id="1918"/>
      <w:bookmarkEnd w:id="1919"/>
      <w:bookmarkEnd w:id="1920"/>
      <w:bookmarkEnd w:id="1921"/>
      <w:bookmarkEnd w:id="1922"/>
      <w:bookmarkEnd w:id="1923"/>
      <w:bookmarkEnd w:id="1924"/>
      <w:r w:rsidRPr="0050146A">
        <w:rPr>
          <w:rFonts w:hint="cs"/>
          <w:rtl/>
        </w:rPr>
        <w:t xml:space="preserve"> בשישים וקפילא</w:t>
      </w:r>
      <w:bookmarkEnd w:id="1925"/>
      <w:bookmarkEnd w:id="1926"/>
      <w:bookmarkEnd w:id="1927"/>
      <w:bookmarkEnd w:id="1928"/>
      <w:bookmarkEnd w:id="1929"/>
      <w:bookmarkEnd w:id="1930"/>
      <w:bookmarkEnd w:id="1931"/>
      <w:bookmarkEnd w:id="1932"/>
      <w:bookmarkEnd w:id="1933"/>
      <w:bookmarkEnd w:id="1934"/>
      <w:bookmarkEnd w:id="1935"/>
      <w:bookmarkEnd w:id="1936"/>
    </w:p>
    <w:p w:rsidR="00BE3B3A" w:rsidRPr="0050146A" w:rsidRDefault="00BE3B3A" w:rsidP="00BE3B3A">
      <w:pPr>
        <w:pStyle w:val="1"/>
        <w:rPr>
          <w:rtl/>
        </w:rPr>
      </w:pPr>
      <w:bookmarkStart w:id="1937" w:name="_Toc8923201"/>
      <w:bookmarkStart w:id="1938" w:name="_Toc8933402"/>
      <w:bookmarkStart w:id="1939" w:name="_Toc8937252"/>
      <w:bookmarkStart w:id="1940" w:name="_Toc8938238"/>
      <w:bookmarkStart w:id="1941" w:name="_Toc8979140"/>
      <w:bookmarkStart w:id="1942" w:name="_Toc8986286"/>
      <w:bookmarkStart w:id="1943" w:name="_Toc9108601"/>
      <w:bookmarkStart w:id="1944" w:name="_Toc9110156"/>
      <w:bookmarkStart w:id="1945" w:name="_Toc9114518"/>
      <w:bookmarkStart w:id="1946" w:name="_Toc9149561"/>
      <w:bookmarkStart w:id="1947" w:name="_Toc9289747"/>
      <w:bookmarkStart w:id="1948" w:name="_Toc11573393"/>
      <w:r w:rsidRPr="0050146A">
        <w:rPr>
          <w:rFonts w:hint="cs"/>
          <w:rtl/>
        </w:rPr>
        <w:t>ביאור הרמב"ן בדעת רש"י דצריך שישים וקפילא</w:t>
      </w:r>
      <w:bookmarkEnd w:id="1937"/>
      <w:bookmarkEnd w:id="1938"/>
      <w:bookmarkEnd w:id="1939"/>
      <w:bookmarkEnd w:id="1940"/>
      <w:bookmarkEnd w:id="1941"/>
      <w:bookmarkEnd w:id="1942"/>
      <w:bookmarkEnd w:id="1943"/>
      <w:bookmarkEnd w:id="1944"/>
      <w:bookmarkEnd w:id="1945"/>
      <w:bookmarkEnd w:id="1946"/>
      <w:bookmarkEnd w:id="1947"/>
      <w:bookmarkEnd w:id="1948"/>
    </w:p>
    <w:p w:rsidR="00BE3B3A" w:rsidRPr="0050146A" w:rsidRDefault="00BE3B3A" w:rsidP="00BE3B3A">
      <w:pPr>
        <w:pStyle w:val="a2"/>
        <w:rPr>
          <w:rtl/>
        </w:rPr>
      </w:pPr>
      <w:bookmarkStart w:id="1949" w:name="_Toc8923202"/>
      <w:bookmarkStart w:id="1950" w:name="_Toc8933403"/>
      <w:bookmarkStart w:id="1951" w:name="_Toc8937253"/>
      <w:bookmarkStart w:id="1952" w:name="_Toc8938239"/>
      <w:bookmarkStart w:id="1953" w:name="_Toc8979141"/>
      <w:bookmarkStart w:id="1954" w:name="_Toc8986287"/>
      <w:bookmarkStart w:id="1955" w:name="_Toc9108602"/>
      <w:bookmarkStart w:id="1956" w:name="_Toc9110157"/>
      <w:bookmarkStart w:id="1957" w:name="_Toc9114519"/>
      <w:bookmarkStart w:id="1958" w:name="_Toc9149562"/>
      <w:bookmarkStart w:id="1959" w:name="_Toc9289748"/>
      <w:bookmarkStart w:id="1960" w:name="_Toc11573394"/>
      <w:r w:rsidRPr="0050146A">
        <w:rPr>
          <w:rFonts w:hint="cs"/>
          <w:rtl/>
        </w:rPr>
        <w:t>דברי הרמב"ן ברש"י דבקדירה שבישל בה בשר שא"א לשער בשישים מהני קפילא להתיר</w:t>
      </w:r>
      <w:bookmarkEnd w:id="1949"/>
      <w:bookmarkEnd w:id="1950"/>
      <w:bookmarkEnd w:id="1951"/>
      <w:bookmarkEnd w:id="1952"/>
      <w:bookmarkEnd w:id="1953"/>
      <w:bookmarkEnd w:id="1954"/>
      <w:bookmarkEnd w:id="1955"/>
      <w:bookmarkEnd w:id="1956"/>
      <w:bookmarkEnd w:id="1957"/>
      <w:bookmarkEnd w:id="1958"/>
      <w:bookmarkEnd w:id="1959"/>
      <w:bookmarkEnd w:id="1960"/>
    </w:p>
    <w:p w:rsidR="00BE3B3A" w:rsidRPr="0050146A" w:rsidRDefault="00BE3B3A" w:rsidP="009F44AF">
      <w:pPr>
        <w:pStyle w:val="a"/>
        <w:rPr>
          <w:rStyle w:val="afa"/>
        </w:rPr>
      </w:pPr>
      <w:bookmarkStart w:id="1961" w:name="_Ref8918545"/>
      <w:r w:rsidRPr="0050146A">
        <w:rPr>
          <w:rStyle w:val="af8"/>
          <w:rFonts w:hint="cs"/>
          <w:rtl/>
        </w:rPr>
        <w:t>הרמב"ן לקמן</w:t>
      </w:r>
      <w:r w:rsidRPr="0050146A">
        <w:rPr>
          <w:rFonts w:hint="cs"/>
          <w:rtl/>
        </w:rPr>
        <w:t xml:space="preserve"> </w:t>
      </w:r>
      <w:r w:rsidRPr="0050146A">
        <w:rPr>
          <w:rStyle w:val="af6"/>
          <w:rFonts w:eastAsia="Guttman Hodes" w:hint="cs"/>
          <w:rtl/>
        </w:rPr>
        <w:t>(צח. ד"ה כל)</w:t>
      </w:r>
      <w:r w:rsidRPr="0050146A">
        <w:rPr>
          <w:rFonts w:hint="cs"/>
          <w:rtl/>
        </w:rPr>
        <w:t xml:space="preserve"> הביא את 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Ref6225215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דכתב דאף במקום שאמר הקפילא שהאיסור לא נתן טעם צריך שישים, ובמקום שיש נתינת טעם אף באלף לא בטיל, וכדהוכיח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מהגמ' לקמן </w:t>
      </w:r>
      <w:r w:rsidRPr="0050146A">
        <w:rPr>
          <w:rStyle w:val="af6"/>
          <w:rFonts w:eastAsia="Guttman Hodes" w:hint="cs"/>
          <w:rtl/>
        </w:rPr>
        <w:t>(צט.)</w:t>
      </w:r>
      <w:r w:rsidRPr="0050146A">
        <w:rPr>
          <w:rFonts w:hint="cs"/>
          <w:rtl/>
        </w:rPr>
        <w:t xml:space="preserve"> דבמקום שאין נתינת טעם צריך שישים להתיר, וכתב </w:t>
      </w:r>
      <w:r w:rsidRPr="0050146A">
        <w:rPr>
          <w:rStyle w:val="af8"/>
          <w:rFonts w:hint="cs"/>
          <w:rtl/>
        </w:rPr>
        <w:t xml:space="preserve">הרמב"ן </w:t>
      </w:r>
      <w:r w:rsidRPr="0050146A">
        <w:rPr>
          <w:rFonts w:hint="cs"/>
          <w:rtl/>
        </w:rPr>
        <w:t xml:space="preserve">דדברי </w:t>
      </w:r>
      <w:r w:rsidRPr="0050146A">
        <w:rPr>
          <w:rStyle w:val="af8"/>
          <w:rFonts w:hint="cs"/>
          <w:rtl/>
        </w:rPr>
        <w:t>רש"י</w:t>
      </w:r>
      <w:r w:rsidRPr="0050146A">
        <w:rPr>
          <w:rFonts w:hint="cs"/>
          <w:rtl/>
        </w:rPr>
        <w:t xml:space="preserve"> נכונים, וביאר </w:t>
      </w:r>
      <w:r w:rsidRPr="0050146A">
        <w:rPr>
          <w:rStyle w:val="af8"/>
          <w:rFonts w:hint="cs"/>
          <w:rtl/>
        </w:rPr>
        <w:t xml:space="preserve">הרמב"ן </w:t>
      </w:r>
      <w:r w:rsidRPr="0050146A">
        <w:rPr>
          <w:rFonts w:hint="cs"/>
          <w:rtl/>
        </w:rPr>
        <w:t xml:space="preserve">בדעת </w:t>
      </w:r>
      <w:r w:rsidRPr="0050146A">
        <w:rPr>
          <w:rStyle w:val="af8"/>
          <w:rFonts w:hint="cs"/>
          <w:rtl/>
        </w:rPr>
        <w:t>רש"י</w:t>
      </w:r>
      <w:r w:rsidRPr="0050146A">
        <w:rPr>
          <w:rFonts w:hint="cs"/>
          <w:rtl/>
        </w:rPr>
        <w:t xml:space="preserve"> דהא דאמר </w:t>
      </w:r>
      <w:r w:rsidRPr="0050146A">
        <w:rPr>
          <w:rFonts w:hint="cs"/>
          <w:rtl/>
        </w:rPr>
        <w:lastRenderedPageBreak/>
        <w:t>רבא דאמור רבנן בקפילא ואמור רבנן בשישים, היינו דכל שיעור הוא עומד בפנ"ע, דבקדירה שבישל בה בשר שא"א לשער שיעור שישים, מהני קפילא להתיר</w:t>
      </w:r>
      <w:r w:rsidRPr="0050146A">
        <w:rPr>
          <w:rStyle w:val="af0"/>
          <w:rtl/>
        </w:rPr>
        <w:footnoteReference w:id="4"/>
      </w:r>
      <w:r w:rsidRPr="0050146A">
        <w:rPr>
          <w:rFonts w:hint="cs"/>
          <w:rtl/>
        </w:rPr>
        <w:t>.</w:t>
      </w:r>
      <w:bookmarkEnd w:id="1961"/>
      <w:r w:rsidRPr="0050146A">
        <w:rPr>
          <w:rStyle w:val="afa"/>
          <w:rFonts w:hint="cs"/>
          <w:rtl/>
        </w:rPr>
        <w:t xml:space="preserve"> </w:t>
      </w:r>
    </w:p>
    <w:p w:rsidR="00BE3B3A" w:rsidRPr="0050146A" w:rsidRDefault="00BE3B3A" w:rsidP="00BE3B3A">
      <w:pPr>
        <w:pStyle w:val="a2"/>
      </w:pPr>
      <w:bookmarkStart w:id="1962" w:name="_Toc8923203"/>
      <w:bookmarkStart w:id="1963" w:name="_Toc8933404"/>
      <w:bookmarkStart w:id="1964" w:name="_Toc8937254"/>
      <w:bookmarkStart w:id="1965" w:name="_Toc8938240"/>
      <w:bookmarkStart w:id="1966" w:name="_Toc8979142"/>
      <w:bookmarkStart w:id="1967" w:name="_Toc8986288"/>
      <w:bookmarkStart w:id="1968" w:name="_Toc9108603"/>
      <w:bookmarkStart w:id="1969" w:name="_Toc9110158"/>
      <w:bookmarkStart w:id="1970" w:name="_Toc9114520"/>
      <w:bookmarkStart w:id="1971" w:name="_Toc9149563"/>
      <w:bookmarkStart w:id="1972" w:name="_Toc9289749"/>
      <w:bookmarkStart w:id="1973" w:name="_Toc11573395"/>
      <w:r w:rsidRPr="0050146A">
        <w:rPr>
          <w:rFonts w:hint="cs"/>
          <w:rtl/>
        </w:rPr>
        <w:t>דברי הרמב"ן ברש"י דבמקום שאפשר לעמוד על הטעם צריך גם שישים וגם קפילא</w:t>
      </w:r>
      <w:bookmarkEnd w:id="1962"/>
      <w:bookmarkEnd w:id="1963"/>
      <w:bookmarkEnd w:id="1964"/>
      <w:bookmarkEnd w:id="1965"/>
      <w:bookmarkEnd w:id="1966"/>
      <w:bookmarkEnd w:id="1967"/>
      <w:bookmarkEnd w:id="1968"/>
      <w:bookmarkEnd w:id="1969"/>
      <w:bookmarkEnd w:id="1970"/>
      <w:bookmarkEnd w:id="1971"/>
      <w:bookmarkEnd w:id="1972"/>
      <w:bookmarkEnd w:id="1973"/>
    </w:p>
    <w:p w:rsidR="00BE3B3A" w:rsidRPr="0050146A" w:rsidRDefault="00BE3B3A" w:rsidP="009F44AF">
      <w:pPr>
        <w:pStyle w:val="a"/>
        <w:rPr>
          <w:rtl/>
        </w:rPr>
      </w:pPr>
      <w:r w:rsidRPr="0050146A">
        <w:rPr>
          <w:rFonts w:hint="cs"/>
          <w:rtl/>
        </w:rPr>
        <w:t xml:space="preserve">ובמקום שא"א לעמוד על הטעם כמין במינו או כשאין קפילא, כתב </w:t>
      </w:r>
      <w:r w:rsidRPr="0050146A">
        <w:rPr>
          <w:rStyle w:val="af8"/>
          <w:rFonts w:hint="cs"/>
          <w:rtl/>
        </w:rPr>
        <w:t>הרמב"ן לקמן</w:t>
      </w:r>
      <w:r w:rsidRPr="0050146A">
        <w:rPr>
          <w:rFonts w:hint="cs"/>
          <w:rtl/>
        </w:rPr>
        <w:t xml:space="preserve"> בדעת </w:t>
      </w:r>
      <w:r w:rsidRPr="0050146A">
        <w:rPr>
          <w:rStyle w:val="af8"/>
          <w:rFonts w:hint="cs"/>
          <w:rtl/>
        </w:rPr>
        <w:t>רש"י</w:t>
      </w:r>
      <w:r w:rsidRPr="0050146A">
        <w:rPr>
          <w:rFonts w:hint="cs"/>
          <w:rtl/>
        </w:rPr>
        <w:t xml:space="preserve"> דמהני שישים להתיר, אבל במקום שאפשר לעמוד על הטעם צריך גם קפילא וגם שישים בכדי להתיר, והא דריו"ח התיר כילכית באילפס ע"י קפילא, איירי שהיה שם שישים.</w:t>
      </w:r>
    </w:p>
    <w:p w:rsidR="00BE3B3A" w:rsidRPr="0050146A" w:rsidRDefault="00BE3B3A" w:rsidP="00BE3B3A">
      <w:pPr>
        <w:pStyle w:val="1"/>
        <w:rPr>
          <w:rtl/>
        </w:rPr>
      </w:pPr>
      <w:bookmarkStart w:id="1974" w:name="_Toc8923204"/>
      <w:bookmarkStart w:id="1975" w:name="_Toc8933405"/>
      <w:bookmarkStart w:id="1976" w:name="_Toc8937255"/>
      <w:bookmarkStart w:id="1977" w:name="_Toc8938241"/>
      <w:bookmarkStart w:id="1978" w:name="_Toc8979143"/>
      <w:bookmarkStart w:id="1979" w:name="_Toc8986289"/>
      <w:bookmarkStart w:id="1980" w:name="_Toc9108604"/>
      <w:bookmarkStart w:id="1981" w:name="_Toc9110159"/>
      <w:bookmarkStart w:id="1982" w:name="_Toc9114521"/>
      <w:bookmarkStart w:id="1983" w:name="_Toc9149564"/>
      <w:bookmarkStart w:id="1984" w:name="_Toc9289750"/>
      <w:bookmarkStart w:id="1985" w:name="_Toc11573396"/>
      <w:r w:rsidRPr="0050146A">
        <w:rPr>
          <w:rFonts w:hint="cs"/>
          <w:rtl/>
        </w:rPr>
        <w:t>דעת הרמב"ן דרק בנימוח גוף האיסור ואין טעם צריך שישים</w:t>
      </w:r>
      <w:bookmarkEnd w:id="1974"/>
      <w:bookmarkEnd w:id="1975"/>
      <w:bookmarkEnd w:id="1976"/>
      <w:bookmarkEnd w:id="1977"/>
      <w:bookmarkEnd w:id="1978"/>
      <w:bookmarkEnd w:id="1979"/>
      <w:bookmarkEnd w:id="1980"/>
      <w:bookmarkEnd w:id="1981"/>
      <w:bookmarkEnd w:id="1982"/>
      <w:bookmarkEnd w:id="1983"/>
      <w:bookmarkEnd w:id="1984"/>
      <w:bookmarkEnd w:id="1985"/>
      <w:r w:rsidRPr="0050146A">
        <w:rPr>
          <w:rFonts w:hint="cs"/>
          <w:rtl/>
        </w:rPr>
        <w:t xml:space="preserve"> </w:t>
      </w:r>
    </w:p>
    <w:p w:rsidR="00BE3B3A" w:rsidRPr="0050146A" w:rsidRDefault="00BE3B3A" w:rsidP="00BE3B3A">
      <w:pPr>
        <w:pStyle w:val="a2"/>
        <w:rPr>
          <w:rtl/>
        </w:rPr>
      </w:pPr>
      <w:bookmarkStart w:id="1986" w:name="_Toc8937256"/>
      <w:bookmarkStart w:id="1987" w:name="_Toc8938242"/>
      <w:bookmarkStart w:id="1988" w:name="_Toc8979144"/>
      <w:bookmarkStart w:id="1989" w:name="_Toc8986290"/>
      <w:bookmarkStart w:id="1990" w:name="_Toc9108605"/>
      <w:bookmarkStart w:id="1991" w:name="_Toc9110160"/>
      <w:bookmarkStart w:id="1992" w:name="_Toc9114522"/>
      <w:bookmarkStart w:id="1993" w:name="_Toc9149565"/>
      <w:bookmarkStart w:id="1994" w:name="_Toc9289751"/>
      <w:bookmarkStart w:id="1995" w:name="_Toc11573397"/>
      <w:r w:rsidRPr="0050146A">
        <w:rPr>
          <w:rFonts w:hint="cs"/>
          <w:rtl/>
        </w:rPr>
        <w:t>דברי הרמב"ן דדוקא במקום שגוף האיסור נימוח צריך גם שישים כיון שאוכל את האיסור עצמו</w:t>
      </w:r>
      <w:bookmarkEnd w:id="1986"/>
      <w:bookmarkEnd w:id="1987"/>
      <w:bookmarkEnd w:id="1988"/>
      <w:bookmarkEnd w:id="1989"/>
      <w:bookmarkEnd w:id="1990"/>
      <w:bookmarkEnd w:id="1991"/>
      <w:bookmarkEnd w:id="1992"/>
      <w:bookmarkEnd w:id="1993"/>
      <w:bookmarkEnd w:id="1994"/>
      <w:bookmarkEnd w:id="1995"/>
    </w:p>
    <w:p w:rsidR="00BE3B3A" w:rsidRPr="0050146A" w:rsidRDefault="00BE3B3A" w:rsidP="009F44AF">
      <w:pPr>
        <w:pStyle w:val="a"/>
        <w:rPr>
          <w:rtl/>
        </w:rPr>
      </w:pPr>
      <w:bookmarkStart w:id="1996" w:name="_Ref8986546"/>
      <w:r w:rsidRPr="0050146A">
        <w:rPr>
          <w:rFonts w:hint="cs"/>
          <w:rtl/>
        </w:rPr>
        <w:t xml:space="preserve">אך כתב </w:t>
      </w:r>
      <w:r w:rsidRPr="0050146A">
        <w:rPr>
          <w:rStyle w:val="af8"/>
          <w:rFonts w:hint="cs"/>
          <w:rtl/>
        </w:rPr>
        <w:t>הרמב"ן לקמן</w:t>
      </w:r>
      <w:r w:rsidRPr="0050146A">
        <w:rPr>
          <w:rFonts w:hint="cs"/>
          <w:rtl/>
        </w:rPr>
        <w:t xml:space="preserve"> </w:t>
      </w:r>
      <w:r w:rsidRPr="0050146A">
        <w:rPr>
          <w:rStyle w:val="af6"/>
          <w:rFonts w:eastAsia="Guttman Hodes" w:hint="cs"/>
          <w:rtl/>
        </w:rPr>
        <w:t>(צח. ד"ה כל)</w:t>
      </w:r>
      <w:r w:rsidRPr="0050146A">
        <w:rPr>
          <w:rFonts w:hint="cs"/>
          <w:rtl/>
        </w:rPr>
        <w:t xml:space="preserve"> דהא דבעינן שישים אף כשאומר הקפילא שאין טעם איסור, היינו דוקא במקום שנתערב גוף האיסור, כגריסין עם העדשים בגמ' לקמן </w:t>
      </w:r>
      <w:r w:rsidRPr="0050146A">
        <w:rPr>
          <w:rStyle w:val="af6"/>
          <w:rFonts w:eastAsia="Guttman Hodes" w:hint="cs"/>
          <w:rtl/>
        </w:rPr>
        <w:t>(צט.)</w:t>
      </w:r>
      <w:r w:rsidRPr="0050146A">
        <w:rPr>
          <w:rFonts w:hint="cs"/>
          <w:rtl/>
        </w:rPr>
        <w:t>, דכיון שע"י הביטול הוא אוכל את האיסור עצמו שנתערב, לכן החמירו להצריך שישים.</w:t>
      </w:r>
      <w:bookmarkEnd w:id="1996"/>
    </w:p>
    <w:p w:rsidR="00BE3B3A" w:rsidRPr="0050146A" w:rsidRDefault="00BE3B3A" w:rsidP="00BE3B3A">
      <w:pPr>
        <w:pStyle w:val="a2"/>
      </w:pPr>
      <w:bookmarkStart w:id="1997" w:name="_Toc8937257"/>
      <w:bookmarkStart w:id="1998" w:name="_Toc8938243"/>
      <w:bookmarkStart w:id="1999" w:name="_Toc8979145"/>
      <w:bookmarkStart w:id="2000" w:name="_Toc8986291"/>
      <w:bookmarkStart w:id="2001" w:name="_Toc9108606"/>
      <w:bookmarkStart w:id="2002" w:name="_Toc9110161"/>
      <w:bookmarkStart w:id="2003" w:name="_Toc9114523"/>
      <w:bookmarkStart w:id="2004" w:name="_Toc9149566"/>
      <w:bookmarkStart w:id="2005" w:name="_Toc9289752"/>
      <w:bookmarkStart w:id="2006" w:name="_Toc11573398"/>
      <w:r w:rsidRPr="0050146A">
        <w:rPr>
          <w:rFonts w:hint="cs"/>
          <w:rtl/>
        </w:rPr>
        <w:t>דברי הרמב"ן דכנתערב רק הציר והרוטב של האיסור סגי או בקפילא או בשישים כנגד גוף האיסור</w:t>
      </w:r>
      <w:bookmarkEnd w:id="1997"/>
      <w:bookmarkEnd w:id="1998"/>
      <w:bookmarkEnd w:id="1999"/>
      <w:bookmarkEnd w:id="2000"/>
      <w:bookmarkEnd w:id="2001"/>
      <w:bookmarkEnd w:id="2002"/>
      <w:bookmarkEnd w:id="2003"/>
      <w:bookmarkEnd w:id="2004"/>
      <w:bookmarkEnd w:id="2005"/>
      <w:bookmarkEnd w:id="2006"/>
    </w:p>
    <w:p w:rsidR="00BE3B3A" w:rsidRPr="0050146A" w:rsidRDefault="00BE3B3A" w:rsidP="009F44AF">
      <w:pPr>
        <w:pStyle w:val="a"/>
      </w:pPr>
      <w:bookmarkStart w:id="2007" w:name="_Ref8986565"/>
      <w:r w:rsidRPr="0050146A">
        <w:rPr>
          <w:rFonts w:hint="cs"/>
          <w:rtl/>
        </w:rPr>
        <w:t xml:space="preserve">אבל במקום שהאיסור ניכר, כתב </w:t>
      </w:r>
      <w:r w:rsidRPr="0050146A">
        <w:rPr>
          <w:rStyle w:val="af8"/>
          <w:rFonts w:hint="cs"/>
          <w:rtl/>
        </w:rPr>
        <w:t>הרמב"ן לקמן</w:t>
      </w:r>
      <w:r w:rsidRPr="0050146A">
        <w:rPr>
          <w:rFonts w:hint="cs"/>
          <w:rtl/>
        </w:rPr>
        <w:t xml:space="preserve"> דכיון שצריך לשער רק כמה ציר ורוטב יצאו מהאיסור, לכן בכה"ג אף בפחות משישים, מהני קפילא להתיר כשאומר שהאיסור לא נתן טעם, ורק במקום שאין קפילא החמירו לשער בשישים כנגד כל האיסור, כיון שלא ידוע כמה רוטב וציר יצאו מהאיסור, אבל כשיש קפילא שאומר שאין טעם של איסור מותר, וכתב </w:t>
      </w:r>
      <w:r w:rsidRPr="0050146A">
        <w:rPr>
          <w:rStyle w:val="af8"/>
          <w:rFonts w:hint="cs"/>
          <w:rtl/>
        </w:rPr>
        <w:t xml:space="preserve">הרמב"ן </w:t>
      </w:r>
      <w:r w:rsidRPr="0050146A">
        <w:rPr>
          <w:rFonts w:hint="cs"/>
          <w:rtl/>
        </w:rPr>
        <w:t xml:space="preserve">דהוא כמו שביאר בדעת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Ref8918545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sidRPr="0050146A">
        <w:rPr>
          <w:rStyle w:val="af6"/>
          <w:rFonts w:eastAsia="Guttman Hodes"/>
          <w:rtl/>
        </w:rPr>
        <w:fldChar w:fldCharType="end"/>
      </w:r>
      <w:r w:rsidRPr="0050146A">
        <w:rPr>
          <w:rFonts w:hint="cs"/>
          <w:rtl/>
        </w:rPr>
        <w:t xml:space="preserve"> בקדירה, וכ"כ </w:t>
      </w:r>
      <w:r w:rsidRPr="0050146A">
        <w:rPr>
          <w:rStyle w:val="af8"/>
          <w:rFonts w:hint="cs"/>
          <w:rtl/>
        </w:rPr>
        <w:t>הר"ן על הרי"ף</w:t>
      </w:r>
      <w:r w:rsidRPr="0050146A">
        <w:rPr>
          <w:rFonts w:hint="cs"/>
          <w:rtl/>
        </w:rPr>
        <w:t xml:space="preserve"> </w:t>
      </w:r>
      <w:r w:rsidRPr="0050146A">
        <w:rPr>
          <w:rStyle w:val="af6"/>
          <w:rFonts w:eastAsia="Guttman Hodes" w:hint="cs"/>
          <w:rtl/>
        </w:rPr>
        <w:t>(לד. מדפי הרי"ף ד"ה</w:t>
      </w:r>
      <w:r w:rsidRPr="0050146A">
        <w:rPr>
          <w:rFonts w:hint="cs"/>
          <w:rtl/>
        </w:rPr>
        <w:t xml:space="preserve"> </w:t>
      </w:r>
      <w:r w:rsidRPr="0050146A">
        <w:rPr>
          <w:rStyle w:val="af6"/>
          <w:rFonts w:eastAsia="Guttman Hodes" w:hint="cs"/>
          <w:rtl/>
        </w:rPr>
        <w:t>ומין)</w:t>
      </w:r>
      <w:r w:rsidRPr="0050146A">
        <w:rPr>
          <w:rFonts w:hint="cs"/>
          <w:rtl/>
        </w:rPr>
        <w:t xml:space="preserve"> דבמקום שלא נתערב גוף האיסור, ורק פלט טעם לתוך ההיתר, כגון בקדירה שבישל בה בשר ואח"כ בישל בה חלב, סגי בקפילא.</w:t>
      </w:r>
      <w:bookmarkEnd w:id="2007"/>
      <w:r w:rsidRPr="0050146A">
        <w:rPr>
          <w:rFonts w:hint="cs"/>
          <w:rtl/>
        </w:rPr>
        <w:t xml:space="preserve">  </w:t>
      </w:r>
      <w:bookmarkStart w:id="2008" w:name="_Toc8937258"/>
      <w:bookmarkStart w:id="2009" w:name="_Toc8938244"/>
      <w:bookmarkStart w:id="2010" w:name="_Toc8979146"/>
    </w:p>
    <w:p w:rsidR="00BE3B3A" w:rsidRPr="0050146A" w:rsidRDefault="00BE3B3A" w:rsidP="00BE3B3A">
      <w:pPr>
        <w:pStyle w:val="a2"/>
      </w:pPr>
      <w:bookmarkStart w:id="2011" w:name="_Toc8986292"/>
      <w:bookmarkStart w:id="2012" w:name="_Toc9108607"/>
      <w:bookmarkStart w:id="2013" w:name="_Toc9110162"/>
      <w:bookmarkStart w:id="2014" w:name="_Toc9114524"/>
      <w:bookmarkStart w:id="2015" w:name="_Toc9149567"/>
      <w:bookmarkStart w:id="2016" w:name="_Toc9289753"/>
      <w:bookmarkStart w:id="2017" w:name="_Toc11573399"/>
      <w:r w:rsidRPr="0050146A">
        <w:rPr>
          <w:rFonts w:hint="cs"/>
          <w:rtl/>
        </w:rPr>
        <w:t xml:space="preserve">דברי הרמב"ן דבכילכית שהיא בריה ודאי דלא נתערב גוף האיסור ולכן </w:t>
      </w:r>
      <w:bookmarkEnd w:id="2008"/>
      <w:bookmarkEnd w:id="2009"/>
      <w:bookmarkEnd w:id="2010"/>
      <w:bookmarkEnd w:id="2011"/>
      <w:bookmarkEnd w:id="2012"/>
      <w:bookmarkEnd w:id="2013"/>
      <w:bookmarkEnd w:id="2014"/>
      <w:bookmarkEnd w:id="2015"/>
      <w:r w:rsidRPr="0050146A">
        <w:rPr>
          <w:rFonts w:hint="cs"/>
          <w:rtl/>
        </w:rPr>
        <w:t>מהני קפילא בלא שישים</w:t>
      </w:r>
      <w:bookmarkEnd w:id="2016"/>
      <w:bookmarkEnd w:id="2017"/>
    </w:p>
    <w:p w:rsidR="00BE3B3A" w:rsidRPr="0050146A" w:rsidRDefault="00BE3B3A" w:rsidP="009F44AF">
      <w:pPr>
        <w:pStyle w:val="a"/>
        <w:rPr>
          <w:rtl/>
        </w:rPr>
      </w:pPr>
      <w:r w:rsidRPr="0050146A">
        <w:rPr>
          <w:rFonts w:hint="cs"/>
          <w:rtl/>
        </w:rPr>
        <w:t xml:space="preserve">וכתב </w:t>
      </w:r>
      <w:r w:rsidRPr="0050146A">
        <w:rPr>
          <w:rStyle w:val="af8"/>
          <w:rFonts w:hint="cs"/>
          <w:rtl/>
        </w:rPr>
        <w:t>הרמב"ן לקמן</w:t>
      </w:r>
      <w:r w:rsidRPr="0050146A">
        <w:rPr>
          <w:rFonts w:hint="cs"/>
          <w:rtl/>
        </w:rPr>
        <w:t xml:space="preserve"> דכן מוכח מדהתיר ריו"ח כילכית באילפס בקפילא, דהא א"א לומר שהאיסור בכילכית אינו ניכר כיון שהיא בריה ואינה מתבטלת אם נתערבה, ולכן כיון שצריך לשער רק את הציר והרוטב שיצא ממנה, התיר ריו"ח בקפילא אף בלא שישים. </w:t>
      </w:r>
    </w:p>
    <w:p w:rsidR="00BE3B3A" w:rsidRPr="0050146A" w:rsidRDefault="00BE3B3A" w:rsidP="00BE3B3A">
      <w:pPr>
        <w:pStyle w:val="a2"/>
        <w:rPr>
          <w:rtl/>
        </w:rPr>
      </w:pPr>
      <w:bookmarkStart w:id="2018" w:name="_Toc8937259"/>
      <w:bookmarkStart w:id="2019" w:name="_Toc8938245"/>
      <w:bookmarkStart w:id="2020" w:name="_Toc8979147"/>
      <w:bookmarkStart w:id="2021" w:name="_Toc8986293"/>
      <w:bookmarkStart w:id="2022" w:name="_Toc9108608"/>
      <w:bookmarkStart w:id="2023" w:name="_Toc9110163"/>
      <w:bookmarkStart w:id="2024" w:name="_Toc9114525"/>
      <w:bookmarkStart w:id="2025" w:name="_Toc9149568"/>
      <w:bookmarkStart w:id="2026" w:name="_Toc9289754"/>
      <w:bookmarkStart w:id="2027" w:name="_Toc11573400"/>
      <w:r w:rsidRPr="0050146A">
        <w:rPr>
          <w:rFonts w:hint="cs"/>
          <w:rtl/>
        </w:rPr>
        <w:t>דברי הרמב"ן דכשנימוח גוף האיסור לא מהני קפילא בלא שישים וכשיש טעם אסור אף בשישים</w:t>
      </w:r>
      <w:bookmarkEnd w:id="2018"/>
      <w:bookmarkEnd w:id="2019"/>
      <w:bookmarkEnd w:id="2020"/>
      <w:bookmarkEnd w:id="2021"/>
      <w:bookmarkEnd w:id="2022"/>
      <w:bookmarkEnd w:id="2023"/>
      <w:bookmarkEnd w:id="2024"/>
      <w:bookmarkEnd w:id="2025"/>
      <w:bookmarkEnd w:id="2026"/>
      <w:bookmarkEnd w:id="2027"/>
    </w:p>
    <w:p w:rsidR="00BE3B3A" w:rsidRPr="0050146A" w:rsidRDefault="00BE3B3A" w:rsidP="009F44AF">
      <w:pPr>
        <w:pStyle w:val="a"/>
        <w:rPr>
          <w:rtl/>
        </w:rPr>
      </w:pPr>
      <w:r w:rsidRPr="0050146A">
        <w:rPr>
          <w:rFonts w:hint="cs"/>
          <w:rtl/>
        </w:rPr>
        <w:t xml:space="preserve">וכתב </w:t>
      </w:r>
      <w:r w:rsidRPr="0050146A">
        <w:rPr>
          <w:rStyle w:val="af8"/>
          <w:rFonts w:hint="cs"/>
          <w:rtl/>
        </w:rPr>
        <w:t>הרמב"ן לקמן</w:t>
      </w:r>
      <w:r w:rsidRPr="0050146A">
        <w:rPr>
          <w:rFonts w:hint="cs"/>
          <w:rtl/>
        </w:rPr>
        <w:t xml:space="preserve"> דכשהאיסור עצמו נתערב ונימוח בתבשיל,  אף כשטעם הקפילא ואמר שאין בתבשיל טעם אסור בפחות שישים, וכדהביאה הגמ' לקמן </w:t>
      </w:r>
      <w:r w:rsidRPr="0050146A">
        <w:rPr>
          <w:rStyle w:val="af6"/>
          <w:rFonts w:eastAsia="Guttman Hodes" w:hint="cs"/>
          <w:rtl/>
        </w:rPr>
        <w:t xml:space="preserve">(צט.) </w:t>
      </w:r>
      <w:r w:rsidRPr="0050146A">
        <w:rPr>
          <w:rFonts w:hint="cs"/>
          <w:rtl/>
        </w:rPr>
        <w:t xml:space="preserve">מהמשנה בערלה דאין בהם נותן טעם צריך שיעור להתיר, אבל במקום שיש שישים מותר וא"צ לחזר אחר קפילא, וכדאיתא בגמ' לקמן </w:t>
      </w:r>
      <w:r w:rsidRPr="0050146A">
        <w:rPr>
          <w:rStyle w:val="af6"/>
          <w:rFonts w:eastAsia="Guttman Hodes" w:hint="cs"/>
          <w:rtl/>
        </w:rPr>
        <w:t xml:space="preserve">(צח.) </w:t>
      </w:r>
      <w:r w:rsidRPr="0050146A">
        <w:rPr>
          <w:rFonts w:hint="cs"/>
          <w:rtl/>
        </w:rPr>
        <w:t xml:space="preserve">ובגמ' בע"ז </w:t>
      </w:r>
      <w:r w:rsidRPr="0050146A">
        <w:rPr>
          <w:rStyle w:val="af6"/>
          <w:rFonts w:eastAsia="Guttman Hodes" w:hint="cs"/>
          <w:rtl/>
        </w:rPr>
        <w:t xml:space="preserve">(סט.) </w:t>
      </w:r>
      <w:r w:rsidRPr="0050146A">
        <w:rPr>
          <w:rFonts w:hint="cs"/>
          <w:rtl/>
        </w:rPr>
        <w:t xml:space="preserve">דכל איסורים שבתורה בשישים, אבל במקום שיש נתינת טעם אף בפחות משישים אסור, דטעם אינו מתבטל כלל, וכ"כ </w:t>
      </w:r>
      <w:r w:rsidRPr="0050146A">
        <w:rPr>
          <w:rStyle w:val="af8"/>
          <w:rFonts w:hint="cs"/>
          <w:rtl/>
        </w:rPr>
        <w:t xml:space="preserve">הר"ן על הרי"ף </w:t>
      </w:r>
      <w:r w:rsidRPr="0050146A">
        <w:rPr>
          <w:rStyle w:val="af6"/>
          <w:rFonts w:eastAsia="Guttman Hodes" w:hint="cs"/>
          <w:rtl/>
        </w:rPr>
        <w:t>(לד. מדפי הרי"ף ד"ה</w:t>
      </w:r>
      <w:r w:rsidRPr="0050146A">
        <w:rPr>
          <w:rFonts w:hint="cs"/>
          <w:rtl/>
        </w:rPr>
        <w:t xml:space="preserve"> </w:t>
      </w:r>
      <w:r w:rsidRPr="0050146A">
        <w:rPr>
          <w:rStyle w:val="af6"/>
          <w:rFonts w:eastAsia="Guttman Hodes" w:hint="cs"/>
          <w:rtl/>
        </w:rPr>
        <w:t>ומין)</w:t>
      </w:r>
      <w:r w:rsidRPr="0050146A">
        <w:rPr>
          <w:rFonts w:hint="cs"/>
          <w:rtl/>
        </w:rPr>
        <w:t>.</w:t>
      </w:r>
    </w:p>
    <w:p w:rsidR="00BE3B3A" w:rsidRPr="0050146A" w:rsidRDefault="00BE3B3A" w:rsidP="00BE3B3A">
      <w:pPr>
        <w:pStyle w:val="a2"/>
        <w:rPr>
          <w:rtl/>
        </w:rPr>
      </w:pPr>
      <w:bookmarkStart w:id="2028" w:name="_Toc8937260"/>
      <w:bookmarkStart w:id="2029" w:name="_Toc8938246"/>
      <w:bookmarkStart w:id="2030" w:name="_Toc8979148"/>
      <w:bookmarkStart w:id="2031" w:name="_Toc8986294"/>
      <w:bookmarkStart w:id="2032" w:name="_Toc9108609"/>
      <w:bookmarkStart w:id="2033" w:name="_Toc9110164"/>
      <w:bookmarkStart w:id="2034" w:name="_Toc9114526"/>
      <w:bookmarkStart w:id="2035" w:name="_Toc9149569"/>
      <w:bookmarkStart w:id="2036" w:name="_Toc9289755"/>
      <w:bookmarkStart w:id="2037" w:name="_Toc11573401"/>
      <w:r w:rsidRPr="0050146A">
        <w:rPr>
          <w:rFonts w:hint="cs"/>
          <w:rtl/>
        </w:rPr>
        <w:t>ביאור הרשב"א והריטב"א והר"ן ברמב"ן דכשלא ידוע כמה נתערב ע"י הקפילא תלינן שיש שישים</w:t>
      </w:r>
      <w:bookmarkEnd w:id="2028"/>
      <w:bookmarkEnd w:id="2029"/>
      <w:bookmarkEnd w:id="2030"/>
      <w:bookmarkEnd w:id="2031"/>
      <w:bookmarkEnd w:id="2032"/>
      <w:bookmarkEnd w:id="2033"/>
      <w:bookmarkEnd w:id="2034"/>
      <w:bookmarkEnd w:id="2035"/>
      <w:bookmarkEnd w:id="2036"/>
      <w:bookmarkEnd w:id="2037"/>
    </w:p>
    <w:p w:rsidR="00BE3B3A" w:rsidRPr="0050146A" w:rsidRDefault="00BE3B3A" w:rsidP="009F44AF">
      <w:pPr>
        <w:pStyle w:val="a"/>
        <w:rPr>
          <w:rtl/>
        </w:rPr>
      </w:pPr>
      <w:bookmarkStart w:id="2038" w:name="_Ref8973624"/>
      <w:bookmarkStart w:id="2039" w:name="_Ref8986501"/>
      <w:r w:rsidRPr="0050146A">
        <w:rPr>
          <w:rFonts w:hint="cs"/>
          <w:rtl/>
        </w:rPr>
        <w:t xml:space="preserve">וביאר </w:t>
      </w:r>
      <w:r w:rsidRPr="0050146A">
        <w:rPr>
          <w:rStyle w:val="af8"/>
          <w:rFonts w:hint="cs"/>
          <w:rtl/>
        </w:rPr>
        <w:t xml:space="preserve">הרשב"א </w:t>
      </w:r>
      <w:r w:rsidRPr="0050146A">
        <w:rPr>
          <w:rStyle w:val="af8"/>
          <w:rtl/>
        </w:rPr>
        <w:t>בחי'</w:t>
      </w:r>
      <w:r w:rsidRPr="0050146A">
        <w:rPr>
          <w:rStyle w:val="af6"/>
          <w:rFonts w:eastAsia="Guttman Hodes" w:hint="cs"/>
          <w:rtl/>
        </w:rPr>
        <w:t xml:space="preserve"> (צח. ד"ה כל, צז: סוד"ה הא </w:t>
      </w:r>
      <w:r w:rsidRPr="0050146A">
        <w:rPr>
          <w:rStyle w:val="af6"/>
          <w:rFonts w:eastAsia="Guttman Hodes"/>
          <w:rtl/>
        </w:rPr>
        <w:t>דאיבעיא</w:t>
      </w:r>
      <w:r w:rsidRPr="0050146A">
        <w:rPr>
          <w:rStyle w:val="af6"/>
          <w:rFonts w:eastAsia="Guttman Hodes" w:hint="cs"/>
          <w:rtl/>
        </w:rPr>
        <w:t>)</w:t>
      </w:r>
      <w:r w:rsidRPr="0050146A">
        <w:rPr>
          <w:rtl/>
        </w:rPr>
        <w:t xml:space="preserve"> </w:t>
      </w:r>
      <w:r w:rsidRPr="0050146A">
        <w:rPr>
          <w:rStyle w:val="af8"/>
          <w:rtl/>
        </w:rPr>
        <w:t xml:space="preserve">ובתוה"ב </w:t>
      </w:r>
      <w:r w:rsidRPr="0050146A">
        <w:rPr>
          <w:rStyle w:val="af6"/>
          <w:rFonts w:eastAsia="Guttman Hodes" w:hint="cs"/>
          <w:rtl/>
        </w:rPr>
        <w:t>(ב"ד ש"א ד"ף טז. מדה"ס)</w:t>
      </w:r>
      <w:r w:rsidRPr="0050146A">
        <w:rPr>
          <w:rtl/>
        </w:rPr>
        <w:t xml:space="preserve"> </w:t>
      </w:r>
      <w:r w:rsidRPr="0050146A">
        <w:rPr>
          <w:rFonts w:hint="cs"/>
          <w:rtl/>
        </w:rPr>
        <w:t xml:space="preserve">בשם </w:t>
      </w:r>
      <w:r w:rsidRPr="0050146A">
        <w:rPr>
          <w:rStyle w:val="af8"/>
          <w:rFonts w:hint="cs"/>
          <w:rtl/>
        </w:rPr>
        <w:t>הרמב"ן</w:t>
      </w:r>
      <w:r w:rsidRPr="0050146A">
        <w:rPr>
          <w:rFonts w:hint="cs"/>
          <w:rtl/>
        </w:rPr>
        <w:t xml:space="preserve"> דהא דסמכינן על קפילא במקום שהאיסור ניכר, הוא כיון שצריך לשער רק כמה ציר ורוטב יצאו מהאיסור, ולא ידוע כמה השיעור של האיסור, ולכן כשאומר הקפילא שאין בו טעם, ידוע שנתבטלו הציר והרוטב בתוך ההיתר, דלא יצא מהאיסור יותר </w:t>
      </w:r>
      <w:r w:rsidRPr="0050146A">
        <w:rPr>
          <w:rFonts w:hint="cs"/>
          <w:rtl/>
        </w:rPr>
        <w:t>מאחד משישים בהיתר,</w:t>
      </w:r>
      <w:r w:rsidRPr="0050146A">
        <w:rPr>
          <w:rStyle w:val="af8"/>
          <w:rFonts w:hint="cs"/>
          <w:rtl/>
        </w:rPr>
        <w:t xml:space="preserve"> </w:t>
      </w:r>
      <w:r w:rsidRPr="0050146A">
        <w:rPr>
          <w:rFonts w:hint="cs"/>
          <w:rtl/>
        </w:rPr>
        <w:t xml:space="preserve">אף כשאין בו שישים כנגד גוף האיסור, וכ"כ </w:t>
      </w:r>
      <w:r w:rsidRPr="0050146A">
        <w:rPr>
          <w:rStyle w:val="af8"/>
          <w:rFonts w:hint="cs"/>
          <w:rtl/>
        </w:rPr>
        <w:t>הריטב"א</w:t>
      </w:r>
      <w:r w:rsidRPr="0050146A">
        <w:rPr>
          <w:rFonts w:hint="cs"/>
          <w:rtl/>
        </w:rPr>
        <w:t xml:space="preserve"> </w:t>
      </w:r>
      <w:r w:rsidRPr="0050146A">
        <w:rPr>
          <w:rStyle w:val="af6"/>
          <w:rFonts w:eastAsia="Guttman Hodes" w:hint="cs"/>
          <w:rtl/>
        </w:rPr>
        <w:t>(ד"ה סמכינן)</w:t>
      </w:r>
      <w:r w:rsidRPr="0050146A">
        <w:rPr>
          <w:rFonts w:hint="cs"/>
          <w:rtl/>
        </w:rPr>
        <w:t xml:space="preserve"> בשם </w:t>
      </w:r>
      <w:r w:rsidRPr="0050146A">
        <w:rPr>
          <w:rStyle w:val="af8"/>
          <w:rFonts w:hint="cs"/>
          <w:rtl/>
        </w:rPr>
        <w:t>הרמב"ן</w:t>
      </w:r>
      <w:r w:rsidRPr="0050146A">
        <w:rPr>
          <w:rFonts w:hint="cs"/>
          <w:rtl/>
        </w:rPr>
        <w:t xml:space="preserve"> שכשאומר הקפילא שאין בו טעם, תלינן שיש בהיתר שישים כנגד מה שפלט האיסור, דהא נתברר שהציר והרוטב נתבטלו בהיתר דאין בו טעם של איסור, וכ"כ </w:t>
      </w:r>
      <w:r w:rsidRPr="0050146A">
        <w:rPr>
          <w:rStyle w:val="af8"/>
          <w:rFonts w:hint="cs"/>
          <w:rtl/>
        </w:rPr>
        <w:t>הר"ן על הרי"ף</w:t>
      </w:r>
      <w:r w:rsidRPr="0050146A">
        <w:rPr>
          <w:rFonts w:hint="cs"/>
          <w:rtl/>
        </w:rPr>
        <w:t xml:space="preserve">, </w:t>
      </w:r>
      <w:bookmarkEnd w:id="2038"/>
      <w:r w:rsidRPr="0050146A">
        <w:rPr>
          <w:rFonts w:hint="cs"/>
          <w:rtl/>
        </w:rPr>
        <w:t xml:space="preserve">וכ"כ </w:t>
      </w:r>
      <w:r w:rsidRPr="0050146A">
        <w:rPr>
          <w:rStyle w:val="af8"/>
          <w:rFonts w:hint="cs"/>
          <w:rtl/>
        </w:rPr>
        <w:t>החזו"א</w:t>
      </w:r>
      <w:r w:rsidRPr="0050146A">
        <w:rPr>
          <w:rFonts w:hint="cs"/>
          <w:rtl/>
        </w:rPr>
        <w:t xml:space="preserve"> </w:t>
      </w:r>
      <w:r w:rsidRPr="0050146A">
        <w:rPr>
          <w:rStyle w:val="af6"/>
          <w:rFonts w:eastAsia="Guttman Hodes"/>
          <w:rtl/>
        </w:rPr>
        <w:t>(סי' כ"ז סק"ב)</w:t>
      </w:r>
      <w:r w:rsidRPr="0050146A">
        <w:rPr>
          <w:rtl/>
        </w:rPr>
        <w:t xml:space="preserve"> </w:t>
      </w:r>
      <w:r w:rsidRPr="0050146A">
        <w:rPr>
          <w:rFonts w:hint="cs"/>
          <w:rtl/>
        </w:rPr>
        <w:t xml:space="preserve">בדעת </w:t>
      </w:r>
      <w:r w:rsidRPr="0050146A">
        <w:rPr>
          <w:rStyle w:val="af8"/>
          <w:rFonts w:hint="cs"/>
          <w:rtl/>
        </w:rPr>
        <w:t>הרמב"ן</w:t>
      </w:r>
      <w:r w:rsidRPr="0050146A">
        <w:rPr>
          <w:rFonts w:hint="cs"/>
          <w:rtl/>
        </w:rPr>
        <w:t>.</w:t>
      </w:r>
      <w:bookmarkEnd w:id="2039"/>
    </w:p>
    <w:p w:rsidR="00BE3B3A" w:rsidRPr="0050146A" w:rsidRDefault="00BE3B3A" w:rsidP="00BE3B3A">
      <w:pPr>
        <w:pStyle w:val="a2"/>
        <w:rPr>
          <w:rtl/>
        </w:rPr>
      </w:pPr>
      <w:bookmarkStart w:id="2040" w:name="_Toc8937261"/>
      <w:bookmarkStart w:id="2041" w:name="_Toc8938247"/>
      <w:bookmarkStart w:id="2042" w:name="_Toc8979149"/>
      <w:bookmarkStart w:id="2043" w:name="_Toc8986295"/>
      <w:bookmarkStart w:id="2044" w:name="_Toc9108610"/>
      <w:bookmarkStart w:id="2045" w:name="_Toc9110165"/>
      <w:bookmarkStart w:id="2046" w:name="_Toc9114527"/>
      <w:bookmarkStart w:id="2047" w:name="_Toc9149570"/>
      <w:bookmarkStart w:id="2048" w:name="_Toc9289756"/>
      <w:bookmarkStart w:id="2049" w:name="_Toc11573402"/>
      <w:r w:rsidRPr="0050146A">
        <w:rPr>
          <w:rFonts w:hint="cs"/>
          <w:rtl/>
        </w:rPr>
        <w:t>דברי הרשב"א והרא"ה דלרמב"ן כשיש שישים א"צ לחזר אחר קפילא דמסתמא אין בו טעם</w:t>
      </w:r>
      <w:bookmarkEnd w:id="2040"/>
      <w:bookmarkEnd w:id="2041"/>
      <w:bookmarkEnd w:id="2042"/>
      <w:bookmarkEnd w:id="2043"/>
      <w:bookmarkEnd w:id="2044"/>
      <w:bookmarkEnd w:id="2045"/>
      <w:bookmarkEnd w:id="2046"/>
      <w:bookmarkEnd w:id="2047"/>
      <w:bookmarkEnd w:id="2048"/>
      <w:bookmarkEnd w:id="2049"/>
    </w:p>
    <w:p w:rsidR="00BE3B3A" w:rsidRPr="0050146A" w:rsidRDefault="00BE3B3A" w:rsidP="009F44AF">
      <w:pPr>
        <w:pStyle w:val="a"/>
        <w:rPr>
          <w:rtl/>
        </w:rPr>
      </w:pPr>
      <w:r w:rsidRPr="0050146A">
        <w:rPr>
          <w:rFonts w:hint="cs"/>
          <w:rtl/>
        </w:rPr>
        <w:t xml:space="preserve">והוסיף </w:t>
      </w:r>
      <w:r w:rsidRPr="0050146A">
        <w:rPr>
          <w:rStyle w:val="af8"/>
          <w:rFonts w:hint="cs"/>
          <w:rtl/>
        </w:rPr>
        <w:t>הרשב"א בחי'</w:t>
      </w:r>
      <w:r w:rsidRPr="0050146A">
        <w:rPr>
          <w:rFonts w:hint="cs"/>
          <w:rtl/>
        </w:rPr>
        <w:t xml:space="preserve"> </w:t>
      </w:r>
      <w:r w:rsidRPr="0050146A">
        <w:rPr>
          <w:rStyle w:val="af8"/>
          <w:rtl/>
        </w:rPr>
        <w:t xml:space="preserve">ובתוה"ב </w:t>
      </w:r>
      <w:r w:rsidRPr="0050146A">
        <w:rPr>
          <w:rFonts w:hint="cs"/>
          <w:rtl/>
        </w:rPr>
        <w:t xml:space="preserve">בשם </w:t>
      </w:r>
      <w:r w:rsidRPr="0050146A">
        <w:rPr>
          <w:rStyle w:val="af8"/>
          <w:rFonts w:hint="cs"/>
          <w:rtl/>
        </w:rPr>
        <w:t>הרמב"ן</w:t>
      </w:r>
      <w:r w:rsidRPr="0050146A">
        <w:rPr>
          <w:rFonts w:hint="cs"/>
          <w:rtl/>
        </w:rPr>
        <w:t xml:space="preserve"> דבשישים א"צ לחזר אחר הקפילא כלל אלא הוא מותר מיד, וכדאיתא בכל הש"ס דכל איסורין שבתורה בשישים, דכל שיש שיעור שישים לא חיישינן שיש בו טעם, וכ"כ </w:t>
      </w:r>
      <w:r w:rsidRPr="0050146A">
        <w:rPr>
          <w:rStyle w:val="af8"/>
          <w:rFonts w:hint="cs"/>
          <w:rtl/>
        </w:rPr>
        <w:t>הרא"ה בחי'</w:t>
      </w:r>
      <w:r w:rsidRPr="0050146A">
        <w:rPr>
          <w:rFonts w:hint="cs"/>
          <w:rtl/>
        </w:rPr>
        <w:t xml:space="preserve"> </w:t>
      </w:r>
      <w:r w:rsidRPr="0050146A">
        <w:rPr>
          <w:rStyle w:val="af6"/>
          <w:rFonts w:eastAsia="Guttman Hodes" w:hint="cs"/>
          <w:rtl/>
        </w:rPr>
        <w:t>(ד"ה מתני')</w:t>
      </w:r>
      <w:r w:rsidRPr="0050146A">
        <w:rPr>
          <w:rFonts w:hint="cs"/>
          <w:rtl/>
        </w:rPr>
        <w:t xml:space="preserve"> דבמקום שיש שישים מותר דבסתמא אמרינן שאין בו טעם איסור, וא"צ להטעימו לקפילא אף כשיש קפילא לפנינו.</w:t>
      </w:r>
    </w:p>
    <w:p w:rsidR="00BE3B3A" w:rsidRPr="0050146A" w:rsidRDefault="00BE3B3A" w:rsidP="00BE3B3A">
      <w:pPr>
        <w:pStyle w:val="a2"/>
        <w:rPr>
          <w:rtl/>
        </w:rPr>
      </w:pPr>
      <w:bookmarkStart w:id="2050" w:name="_Toc8937262"/>
      <w:bookmarkStart w:id="2051" w:name="_Toc8938248"/>
      <w:bookmarkStart w:id="2052" w:name="_Toc8979150"/>
      <w:bookmarkStart w:id="2053" w:name="_Toc8986296"/>
      <w:bookmarkStart w:id="2054" w:name="_Toc9108611"/>
      <w:bookmarkStart w:id="2055" w:name="_Toc9110166"/>
      <w:bookmarkStart w:id="2056" w:name="_Toc9114528"/>
      <w:bookmarkStart w:id="2057" w:name="_Toc9149571"/>
      <w:bookmarkStart w:id="2058" w:name="_Toc9289757"/>
      <w:bookmarkStart w:id="2059" w:name="_Toc11573403"/>
      <w:r w:rsidRPr="0050146A">
        <w:rPr>
          <w:rFonts w:hint="cs"/>
          <w:rtl/>
        </w:rPr>
        <w:t>ישוב הרא"ה לראיה שהביא רש"י מהגמ' לקמן לדעת הרמב"ן</w:t>
      </w:r>
      <w:bookmarkEnd w:id="2050"/>
      <w:bookmarkEnd w:id="2051"/>
      <w:bookmarkEnd w:id="2052"/>
      <w:bookmarkEnd w:id="2053"/>
      <w:bookmarkEnd w:id="2054"/>
      <w:bookmarkEnd w:id="2055"/>
      <w:bookmarkEnd w:id="2056"/>
      <w:bookmarkEnd w:id="2057"/>
      <w:bookmarkEnd w:id="2058"/>
      <w:bookmarkEnd w:id="2059"/>
    </w:p>
    <w:p w:rsidR="00BE3B3A" w:rsidRPr="0050146A" w:rsidRDefault="00BE3B3A" w:rsidP="009F44AF">
      <w:pPr>
        <w:pStyle w:val="a"/>
        <w:rPr>
          <w:rtl/>
        </w:rPr>
      </w:pPr>
      <w:bookmarkStart w:id="2060" w:name="_Ref8978951"/>
      <w:r w:rsidRPr="0050146A">
        <w:rPr>
          <w:rFonts w:hint="cs"/>
          <w:rtl/>
        </w:rPr>
        <w:t xml:space="preserve">והוסיף </w:t>
      </w:r>
      <w:r w:rsidRPr="0050146A">
        <w:rPr>
          <w:rStyle w:val="af8"/>
          <w:rFonts w:hint="cs"/>
          <w:rtl/>
        </w:rPr>
        <w:t>הרא"ה בחי'</w:t>
      </w:r>
      <w:r w:rsidRPr="0050146A">
        <w:rPr>
          <w:rFonts w:hint="cs"/>
          <w:rtl/>
        </w:rPr>
        <w:t xml:space="preserve"> </w:t>
      </w:r>
      <w:r w:rsidRPr="0050146A">
        <w:rPr>
          <w:rStyle w:val="afa"/>
          <w:rFonts w:hint="cs"/>
          <w:rtl/>
        </w:rPr>
        <w:t xml:space="preserve">[בדעת </w:t>
      </w:r>
      <w:r w:rsidRPr="0050146A">
        <w:rPr>
          <w:rStyle w:val="affa"/>
          <w:rFonts w:hint="cs"/>
          <w:rtl/>
        </w:rPr>
        <w:t>הרמב"ן</w:t>
      </w:r>
      <w:r w:rsidRPr="0050146A">
        <w:rPr>
          <w:rStyle w:val="afa"/>
          <w:rFonts w:hint="cs"/>
          <w:rtl/>
        </w:rPr>
        <w:t>]</w:t>
      </w:r>
      <w:r w:rsidRPr="0050146A">
        <w:rPr>
          <w:rFonts w:hint="cs"/>
          <w:rtl/>
        </w:rPr>
        <w:t xml:space="preserve"> דהראיה שהביא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מהגמ' לקמן דצריך גם שישים וגם קפילא, מתקיימת בכמה אופנים, כגון במקום שטעם הקפילא ואמר שיש טעם איסור, דאינו בטל אף שיש שישים, וכן כשהאיסור כולו נימוח וידעינן שאין שישים בהיתר כנגדו, דאף שאומר הקפילא שאין בו טעם מ"מ אסור, וכן במקום שלא ידוע כמה פלט האיסור, ואם יש שישים כנגדה, דבכה"ג מטעמינן לקפילא, ועי' במה שביאר </w:t>
      </w:r>
      <w:r w:rsidRPr="0050146A">
        <w:rPr>
          <w:rStyle w:val="af8"/>
          <w:rFonts w:hint="cs"/>
          <w:rtl/>
        </w:rPr>
        <w:t xml:space="preserve">האור גדול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Ref8973659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בביאור </w:t>
      </w:r>
      <w:r w:rsidRPr="0050146A">
        <w:rPr>
          <w:rStyle w:val="af8"/>
          <w:rFonts w:hint="cs"/>
          <w:rtl/>
        </w:rPr>
        <w:t>הרמב"ן</w:t>
      </w:r>
      <w:r w:rsidRPr="0050146A">
        <w:rPr>
          <w:rFonts w:hint="cs"/>
          <w:rtl/>
        </w:rPr>
        <w:t xml:space="preserve"> בגמ' לקמן.</w:t>
      </w:r>
      <w:bookmarkEnd w:id="2060"/>
    </w:p>
    <w:p w:rsidR="00BE3B3A" w:rsidRPr="0050146A" w:rsidRDefault="00BE3B3A" w:rsidP="00BE3B3A">
      <w:pPr>
        <w:pStyle w:val="1"/>
        <w:rPr>
          <w:rtl/>
        </w:rPr>
      </w:pPr>
      <w:r w:rsidRPr="0050146A">
        <w:rPr>
          <w:rFonts w:hint="cs"/>
          <w:rtl/>
        </w:rPr>
        <w:t xml:space="preserve"> </w:t>
      </w:r>
      <w:bookmarkStart w:id="2061" w:name="_Toc8986297"/>
      <w:bookmarkStart w:id="2062" w:name="_Toc9108612"/>
      <w:bookmarkStart w:id="2063" w:name="_Toc9110167"/>
      <w:bookmarkStart w:id="2064" w:name="_Toc9114529"/>
      <w:bookmarkStart w:id="2065" w:name="_Toc9149572"/>
      <w:bookmarkStart w:id="2066" w:name="_Toc9289758"/>
      <w:bookmarkStart w:id="2067" w:name="_Toc11573404"/>
      <w:r w:rsidRPr="0050146A">
        <w:rPr>
          <w:rFonts w:hint="cs"/>
          <w:rtl/>
        </w:rPr>
        <w:t>ביאור</w:t>
      </w:r>
      <w:r w:rsidRPr="0050146A">
        <w:rPr>
          <w:rtl/>
        </w:rPr>
        <w:t xml:space="preserve"> הר"ן בגדר שישים דהחמירו חכמים להשוות מידותיהם</w:t>
      </w:r>
      <w:bookmarkEnd w:id="2061"/>
      <w:bookmarkEnd w:id="2062"/>
      <w:bookmarkEnd w:id="2063"/>
      <w:bookmarkEnd w:id="2064"/>
      <w:bookmarkEnd w:id="2065"/>
      <w:bookmarkEnd w:id="2066"/>
      <w:bookmarkEnd w:id="2067"/>
    </w:p>
    <w:p w:rsidR="00BE3B3A" w:rsidRPr="0050146A" w:rsidRDefault="00BE3B3A" w:rsidP="00BE3B3A">
      <w:pPr>
        <w:pStyle w:val="a2"/>
        <w:rPr>
          <w:rtl/>
        </w:rPr>
      </w:pPr>
      <w:bookmarkStart w:id="2068" w:name="_Toc8937264"/>
      <w:bookmarkStart w:id="2069" w:name="_Toc8938250"/>
      <w:bookmarkStart w:id="2070" w:name="_Toc8979152"/>
      <w:bookmarkStart w:id="2071" w:name="_Toc8986298"/>
      <w:bookmarkStart w:id="2072" w:name="_Toc9108613"/>
      <w:bookmarkStart w:id="2073" w:name="_Toc9110168"/>
      <w:bookmarkStart w:id="2074" w:name="_Toc9114530"/>
      <w:bookmarkStart w:id="2075" w:name="_Toc9149573"/>
      <w:bookmarkStart w:id="2076" w:name="_Toc9289759"/>
      <w:bookmarkStart w:id="2077" w:name="_Toc11573405"/>
      <w:r w:rsidRPr="0050146A">
        <w:rPr>
          <w:rFonts w:hint="cs"/>
          <w:rtl/>
        </w:rPr>
        <w:t>ביאור הר"ן דבפחות משישים ל"מ קפילא כיון שחכמים השוו מידותיהם דכל האיסורים בשישים</w:t>
      </w:r>
      <w:bookmarkEnd w:id="2068"/>
      <w:bookmarkEnd w:id="2069"/>
      <w:bookmarkEnd w:id="2070"/>
      <w:bookmarkEnd w:id="2071"/>
      <w:bookmarkEnd w:id="2072"/>
      <w:bookmarkEnd w:id="2073"/>
      <w:bookmarkEnd w:id="2074"/>
      <w:bookmarkEnd w:id="2075"/>
      <w:bookmarkEnd w:id="2076"/>
      <w:bookmarkEnd w:id="2077"/>
    </w:p>
    <w:p w:rsidR="00BE3B3A" w:rsidRPr="0050146A" w:rsidRDefault="00BE3B3A" w:rsidP="009F44AF">
      <w:pPr>
        <w:pStyle w:val="a"/>
        <w:rPr>
          <w:rtl/>
        </w:rPr>
      </w:pPr>
      <w:r w:rsidRPr="0050146A">
        <w:rPr>
          <w:rStyle w:val="af8"/>
          <w:rFonts w:hint="cs"/>
          <w:rtl/>
        </w:rPr>
        <w:t xml:space="preserve">והר"ן על הרי"ף </w:t>
      </w:r>
      <w:r w:rsidRPr="0050146A">
        <w:rPr>
          <w:rStyle w:val="af6"/>
          <w:rFonts w:eastAsia="Guttman Hodes" w:hint="cs"/>
          <w:rtl/>
        </w:rPr>
        <w:t>(לד. מדפי הרי"ף ד"ה</w:t>
      </w:r>
      <w:r w:rsidRPr="0050146A">
        <w:rPr>
          <w:rFonts w:hint="cs"/>
          <w:rtl/>
        </w:rPr>
        <w:t xml:space="preserve"> </w:t>
      </w:r>
      <w:r w:rsidRPr="0050146A">
        <w:rPr>
          <w:rStyle w:val="af6"/>
          <w:rFonts w:eastAsia="Guttman Hodes" w:hint="cs"/>
          <w:rtl/>
        </w:rPr>
        <w:t>ומין)</w:t>
      </w:r>
      <w:r w:rsidRPr="0050146A">
        <w:rPr>
          <w:rFonts w:hint="cs"/>
          <w:rtl/>
        </w:rPr>
        <w:t xml:space="preserve"> כתב כדברי </w:t>
      </w:r>
      <w:r w:rsidRPr="0050146A">
        <w:rPr>
          <w:rStyle w:val="af8"/>
          <w:rFonts w:hint="cs"/>
          <w:rtl/>
        </w:rPr>
        <w:t>הרמב"ן</w:t>
      </w:r>
      <w:r w:rsidRPr="0050146A">
        <w:rPr>
          <w:rFonts w:hint="cs"/>
          <w:rtl/>
        </w:rPr>
        <w:t xml:space="preserve"> דבנימוח האיסור צריך שישים, וכשהאיסור נתן רק ציר ורוטב סגי בקפילא בלא שישים, והוסיף </w:t>
      </w:r>
      <w:r w:rsidRPr="0050146A">
        <w:rPr>
          <w:rStyle w:val="af8"/>
          <w:rFonts w:hint="cs"/>
          <w:rtl/>
        </w:rPr>
        <w:t xml:space="preserve">הר"ן </w:t>
      </w:r>
      <w:r w:rsidRPr="0050146A">
        <w:rPr>
          <w:rFonts w:hint="cs"/>
          <w:rtl/>
        </w:rPr>
        <w:t>לבאר דבמקום שאין שישים ודאי דלא מהני קפילא, כיון שחכמים השוו את מדותיהם, דשיערו את כל האיסורים שבתורה בשישים.</w:t>
      </w:r>
    </w:p>
    <w:p w:rsidR="00BE3B3A" w:rsidRPr="0050146A" w:rsidRDefault="00BE3B3A" w:rsidP="00BE3B3A">
      <w:pPr>
        <w:pStyle w:val="a2"/>
        <w:rPr>
          <w:rtl/>
        </w:rPr>
      </w:pPr>
      <w:bookmarkStart w:id="2078" w:name="_Toc8937265"/>
      <w:bookmarkStart w:id="2079" w:name="_Toc8938251"/>
      <w:bookmarkStart w:id="2080" w:name="_Toc8979153"/>
      <w:bookmarkStart w:id="2081" w:name="_Toc8986299"/>
      <w:bookmarkStart w:id="2082" w:name="_Toc9108614"/>
      <w:bookmarkStart w:id="2083" w:name="_Toc9110169"/>
      <w:bookmarkStart w:id="2084" w:name="_Toc9114531"/>
      <w:bookmarkStart w:id="2085" w:name="_Toc9149574"/>
      <w:bookmarkStart w:id="2086" w:name="_Toc9289760"/>
      <w:bookmarkStart w:id="2087" w:name="_Toc11573406"/>
      <w:r w:rsidRPr="0050146A">
        <w:rPr>
          <w:rFonts w:hint="cs"/>
          <w:rtl/>
        </w:rPr>
        <w:t>דברי הר"ן דבלא ידוע כמה נימוח מגוף האיסור ולא ידוע אם יש שישים כנגדו ל"מ קפילא</w:t>
      </w:r>
      <w:bookmarkEnd w:id="2078"/>
      <w:bookmarkEnd w:id="2079"/>
      <w:bookmarkEnd w:id="2080"/>
      <w:bookmarkEnd w:id="2081"/>
      <w:bookmarkEnd w:id="2082"/>
      <w:bookmarkEnd w:id="2083"/>
      <w:bookmarkEnd w:id="2084"/>
      <w:bookmarkEnd w:id="2085"/>
      <w:bookmarkEnd w:id="2086"/>
      <w:bookmarkEnd w:id="2087"/>
      <w:r w:rsidRPr="0050146A">
        <w:rPr>
          <w:rFonts w:hint="cs"/>
          <w:rtl/>
        </w:rPr>
        <w:t xml:space="preserve"> </w:t>
      </w:r>
    </w:p>
    <w:p w:rsidR="00BE3B3A" w:rsidRPr="0050146A" w:rsidRDefault="00BE3B3A" w:rsidP="009F44AF">
      <w:pPr>
        <w:pStyle w:val="a"/>
        <w:rPr>
          <w:rtl/>
        </w:rPr>
      </w:pPr>
      <w:bookmarkStart w:id="2088" w:name="_Ref8934662"/>
      <w:bookmarkStart w:id="2089" w:name="_Toc8937266"/>
      <w:bookmarkStart w:id="2090" w:name="_Toc8938252"/>
      <w:bookmarkStart w:id="2091" w:name="_Toc8979154"/>
      <w:bookmarkStart w:id="2092" w:name="_Toc8986300"/>
      <w:bookmarkStart w:id="2093" w:name="_Toc9108615"/>
      <w:bookmarkStart w:id="2094" w:name="_Toc9110170"/>
      <w:bookmarkStart w:id="2095" w:name="_Toc9114532"/>
      <w:bookmarkStart w:id="2096" w:name="_Toc9149575"/>
      <w:r w:rsidRPr="0050146A">
        <w:rPr>
          <w:rFonts w:hint="cs"/>
          <w:rtl/>
        </w:rPr>
        <w:t xml:space="preserve">ובמקום שגוף האיסור נימוח בהיתר, כתב </w:t>
      </w:r>
      <w:r w:rsidRPr="0050146A">
        <w:rPr>
          <w:rStyle w:val="af8"/>
          <w:rFonts w:hint="cs"/>
          <w:rtl/>
        </w:rPr>
        <w:t>הר"ן על הרי"ף</w:t>
      </w:r>
      <w:r w:rsidRPr="0050146A">
        <w:rPr>
          <w:rFonts w:hint="cs"/>
          <w:rtl/>
        </w:rPr>
        <w:t xml:space="preserve"> דא"צ קפילא כלל, דההיתר הוא דוקא בשישים, וכשיש שישים א"צ קפילא, ובפחות משישים, או במקום שלא ידוע כמה נימוח מגוף האיסור, לא מהני קפילא, ועי' במה שביאר </w:t>
      </w:r>
      <w:r w:rsidRPr="0050146A">
        <w:rPr>
          <w:rStyle w:val="af8"/>
          <w:rFonts w:hint="cs"/>
          <w:rtl/>
        </w:rPr>
        <w:t>הב"י</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Ref8972783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סב)</w:t>
      </w:r>
      <w:r w:rsidRPr="0050146A">
        <w:rPr>
          <w:rStyle w:val="af6"/>
          <w:rFonts w:eastAsia="Guttman Hodes"/>
          <w:rtl/>
        </w:rPr>
        <w:fldChar w:fldCharType="end"/>
      </w:r>
      <w:r w:rsidRPr="0050146A">
        <w:rPr>
          <w:rFonts w:hint="cs"/>
          <w:rtl/>
        </w:rPr>
        <w:t xml:space="preserve"> בדברי </w:t>
      </w:r>
      <w:r w:rsidRPr="0050146A">
        <w:rPr>
          <w:rStyle w:val="af8"/>
          <w:rFonts w:hint="cs"/>
          <w:rtl/>
        </w:rPr>
        <w:t>הר"ן</w:t>
      </w:r>
      <w:r w:rsidRPr="0050146A">
        <w:rPr>
          <w:rFonts w:hint="cs"/>
          <w:rtl/>
        </w:rPr>
        <w:t>, ובמ"ש</w:t>
      </w:r>
      <w:r w:rsidRPr="0050146A">
        <w:rPr>
          <w:rStyle w:val="af8"/>
          <w:rFonts w:hint="cs"/>
          <w:rtl/>
        </w:rPr>
        <w:t xml:space="preserve"> הפרישה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Ref8972792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50146A">
        <w:rPr>
          <w:rStyle w:val="af6"/>
          <w:rFonts w:eastAsia="Guttman Hodes"/>
          <w:rtl/>
        </w:rPr>
        <w:fldChar w:fldCharType="end"/>
      </w:r>
      <w:r w:rsidRPr="0050146A">
        <w:rPr>
          <w:rFonts w:hint="cs"/>
          <w:rtl/>
        </w:rPr>
        <w:t xml:space="preserve"> בדעת </w:t>
      </w:r>
      <w:r w:rsidRPr="0050146A">
        <w:rPr>
          <w:rStyle w:val="af8"/>
          <w:rFonts w:hint="cs"/>
          <w:rtl/>
        </w:rPr>
        <w:t>הרמב"ן</w:t>
      </w:r>
      <w:r w:rsidRPr="0050146A">
        <w:rPr>
          <w:rFonts w:hint="cs"/>
          <w:rtl/>
        </w:rPr>
        <w:t xml:space="preserve"> בזה.</w:t>
      </w:r>
      <w:bookmarkEnd w:id="2088"/>
    </w:p>
    <w:p w:rsidR="00BE3B3A" w:rsidRPr="0050146A" w:rsidRDefault="00BE3B3A" w:rsidP="00BE3B3A">
      <w:pPr>
        <w:pStyle w:val="a2"/>
        <w:rPr>
          <w:rtl/>
        </w:rPr>
      </w:pPr>
      <w:bookmarkStart w:id="2097" w:name="_Toc9289761"/>
      <w:bookmarkStart w:id="2098" w:name="_Toc11573407"/>
      <w:r w:rsidRPr="0050146A">
        <w:rPr>
          <w:rFonts w:hint="cs"/>
          <w:rtl/>
        </w:rPr>
        <w:t>דברי הר"ן דשיעור שישים הוא חומרא דרבנן אף במקום שאין טעם בפחות משישים</w:t>
      </w:r>
      <w:bookmarkEnd w:id="2089"/>
      <w:bookmarkEnd w:id="2090"/>
      <w:bookmarkEnd w:id="2091"/>
      <w:bookmarkEnd w:id="2092"/>
      <w:bookmarkEnd w:id="2093"/>
      <w:bookmarkEnd w:id="2094"/>
      <w:bookmarkEnd w:id="2095"/>
      <w:bookmarkEnd w:id="2096"/>
      <w:bookmarkEnd w:id="2097"/>
      <w:bookmarkEnd w:id="2098"/>
    </w:p>
    <w:p w:rsidR="00BE3B3A" w:rsidRPr="0050146A" w:rsidRDefault="00BE3B3A" w:rsidP="009F44AF">
      <w:pPr>
        <w:pStyle w:val="a"/>
        <w:rPr>
          <w:rtl/>
        </w:rPr>
      </w:pPr>
      <w:bookmarkStart w:id="2099" w:name="_Ref8978750"/>
      <w:r w:rsidRPr="0050146A">
        <w:rPr>
          <w:rFonts w:hint="cs"/>
          <w:rtl/>
        </w:rPr>
        <w:t xml:space="preserve">ובעיקר שיעור שישים כתב </w:t>
      </w:r>
      <w:r w:rsidRPr="0050146A">
        <w:rPr>
          <w:rStyle w:val="af8"/>
          <w:rFonts w:hint="cs"/>
          <w:rtl/>
        </w:rPr>
        <w:t>הר"ן על הרי"ף</w:t>
      </w:r>
      <w:r w:rsidRPr="0050146A">
        <w:rPr>
          <w:rFonts w:hint="cs"/>
          <w:rtl/>
        </w:rPr>
        <w:t xml:space="preserve"> </w:t>
      </w:r>
      <w:r w:rsidRPr="0050146A">
        <w:rPr>
          <w:rStyle w:val="af6"/>
          <w:rFonts w:eastAsia="Guttman Hodes" w:hint="cs"/>
          <w:rtl/>
        </w:rPr>
        <w:t>(לה. מדפי הרי"ף)</w:t>
      </w:r>
      <w:r w:rsidRPr="0050146A">
        <w:rPr>
          <w:rFonts w:hint="cs"/>
          <w:rtl/>
        </w:rPr>
        <w:t xml:space="preserve"> דהוא ביטול מדרבנן דכיון דבמקום שיש טעם אסור מדאו', ואין איסור דאו' שנותן טעם ביותר משישים, ויש הרבה איסורים שאינם נותנים טעם אף בעשרים, א"כ מבואר דהא דבכל האיסורים השיעור הוא שישים, היינו חומרא מדרבנן דאסרו בפחות משישים אף במקום שאין בו טעם, אבל מדאו' כל שאין בו טעם מתבטל, ועיי"ש במ"ש</w:t>
      </w:r>
      <w:r w:rsidRPr="0050146A">
        <w:rPr>
          <w:rtl/>
        </w:rPr>
        <w:t xml:space="preserve"> </w:t>
      </w:r>
      <w:r w:rsidRPr="0050146A">
        <w:rPr>
          <w:rStyle w:val="af8"/>
          <w:rtl/>
        </w:rPr>
        <w:t>הר"ן</w:t>
      </w:r>
      <w:r w:rsidRPr="0050146A">
        <w:rPr>
          <w:rtl/>
        </w:rPr>
        <w:t xml:space="preserve"> דהילפותא מזרוע בשלה היא אסמכתא</w:t>
      </w:r>
      <w:r w:rsidRPr="0050146A">
        <w:rPr>
          <w:rFonts w:hint="cs"/>
          <w:rtl/>
        </w:rPr>
        <w:t>.</w:t>
      </w:r>
      <w:bookmarkEnd w:id="2099"/>
    </w:p>
    <w:p w:rsidR="00BE3B3A" w:rsidRPr="0050146A" w:rsidRDefault="00BE3B3A" w:rsidP="00BE3B3A">
      <w:pPr>
        <w:pStyle w:val="a2"/>
        <w:rPr>
          <w:rtl/>
        </w:rPr>
      </w:pPr>
      <w:bookmarkStart w:id="2100" w:name="_Toc8937267"/>
      <w:bookmarkStart w:id="2101" w:name="_Toc8938253"/>
      <w:bookmarkStart w:id="2102" w:name="_Toc8979155"/>
      <w:bookmarkStart w:id="2103" w:name="_Toc8986301"/>
      <w:bookmarkStart w:id="2104" w:name="_Toc9108616"/>
      <w:bookmarkStart w:id="2105" w:name="_Toc9110171"/>
      <w:bookmarkStart w:id="2106" w:name="_Toc9114533"/>
      <w:bookmarkStart w:id="2107" w:name="_Toc9149576"/>
      <w:bookmarkStart w:id="2108" w:name="_Toc9289762"/>
      <w:bookmarkStart w:id="2109" w:name="_Toc11573408"/>
      <w:r w:rsidRPr="0050146A">
        <w:rPr>
          <w:rFonts w:hint="cs"/>
          <w:rtl/>
        </w:rPr>
        <w:t>ביאור הר"ן דכיון שיש איסורים שנותנים טעם בשישים ומדאו' אסור החמירו בכל האיסורים בשישים</w:t>
      </w:r>
      <w:bookmarkEnd w:id="2100"/>
      <w:bookmarkEnd w:id="2101"/>
      <w:bookmarkEnd w:id="2102"/>
      <w:bookmarkEnd w:id="2103"/>
      <w:bookmarkEnd w:id="2104"/>
      <w:bookmarkEnd w:id="2105"/>
      <w:bookmarkEnd w:id="2106"/>
      <w:bookmarkEnd w:id="2107"/>
      <w:bookmarkEnd w:id="2108"/>
      <w:bookmarkEnd w:id="2109"/>
    </w:p>
    <w:p w:rsidR="00BE3B3A" w:rsidRPr="0050146A" w:rsidRDefault="00BE3B3A" w:rsidP="009F44AF">
      <w:pPr>
        <w:pStyle w:val="a"/>
        <w:rPr>
          <w:rtl/>
        </w:rPr>
      </w:pPr>
      <w:r w:rsidRPr="0050146A">
        <w:rPr>
          <w:rFonts w:hint="cs"/>
          <w:rtl/>
        </w:rPr>
        <w:t>וביאר</w:t>
      </w:r>
      <w:r w:rsidRPr="0050146A">
        <w:rPr>
          <w:rStyle w:val="af8"/>
          <w:rFonts w:hint="cs"/>
          <w:rtl/>
        </w:rPr>
        <w:t xml:space="preserve"> הר"ן על הרי"ף</w:t>
      </w:r>
      <w:r w:rsidRPr="0050146A">
        <w:rPr>
          <w:rFonts w:hint="cs"/>
          <w:rtl/>
        </w:rPr>
        <w:t xml:space="preserve"> דהא דהחמירו רבנן להצריך שישים, הוא כיון שיש איסורים כגון בצל בקפלוט שנותנים טעם בשישים, וכיון </w:t>
      </w:r>
      <w:r w:rsidRPr="0050146A">
        <w:rPr>
          <w:rFonts w:hint="cs"/>
          <w:rtl/>
        </w:rPr>
        <w:lastRenderedPageBreak/>
        <w:t>שהוא מין בשאינו מינו ויש בו טעם איסור, אינו מתבטל מדאו', ולכן החמירו רבנן להשוות את כל הדברים שנותנים טעם, שכולם אינם מתבטלים בפחות משישים, אף שהטעם עצמו מתבטל ברוב האיסורים בפחות משישים.</w:t>
      </w:r>
    </w:p>
    <w:p w:rsidR="00BE3B3A" w:rsidRPr="0050146A" w:rsidRDefault="00BE3B3A" w:rsidP="00BE3B3A">
      <w:pPr>
        <w:pStyle w:val="1"/>
        <w:rPr>
          <w:rtl/>
        </w:rPr>
      </w:pPr>
      <w:bookmarkStart w:id="2110" w:name="_Toc8933407"/>
      <w:bookmarkStart w:id="2111" w:name="_Toc8937268"/>
      <w:bookmarkStart w:id="2112" w:name="_Toc8938254"/>
      <w:bookmarkStart w:id="2113" w:name="_Toc8979156"/>
      <w:bookmarkStart w:id="2114" w:name="_Toc8986302"/>
      <w:bookmarkStart w:id="2115" w:name="_Toc9108617"/>
      <w:bookmarkStart w:id="2116" w:name="_Toc9110172"/>
      <w:bookmarkStart w:id="2117" w:name="_Toc9114534"/>
      <w:bookmarkStart w:id="2118" w:name="_Toc9149577"/>
      <w:bookmarkStart w:id="2119" w:name="_Toc9289763"/>
      <w:bookmarkStart w:id="2120" w:name="_Toc11573409"/>
      <w:r w:rsidRPr="0050146A">
        <w:rPr>
          <w:rFonts w:hint="cs"/>
          <w:rtl/>
        </w:rPr>
        <w:t>בדברי הרמב"ן והר"ן בנימוח מקצת מהאיסור</w:t>
      </w:r>
      <w:bookmarkEnd w:id="2110"/>
      <w:bookmarkEnd w:id="2111"/>
      <w:bookmarkEnd w:id="2112"/>
      <w:bookmarkEnd w:id="2113"/>
      <w:bookmarkEnd w:id="2114"/>
      <w:bookmarkEnd w:id="2115"/>
      <w:bookmarkEnd w:id="2116"/>
      <w:bookmarkEnd w:id="2117"/>
      <w:bookmarkEnd w:id="2118"/>
      <w:bookmarkEnd w:id="2119"/>
      <w:bookmarkEnd w:id="2120"/>
    </w:p>
    <w:p w:rsidR="00BE3B3A" w:rsidRPr="0050146A" w:rsidRDefault="00BE3B3A" w:rsidP="00BE3B3A">
      <w:pPr>
        <w:pStyle w:val="a2"/>
        <w:rPr>
          <w:rtl/>
        </w:rPr>
      </w:pPr>
      <w:bookmarkStart w:id="2121" w:name="_Toc8937269"/>
      <w:bookmarkStart w:id="2122" w:name="_Toc8938255"/>
      <w:bookmarkStart w:id="2123" w:name="_Toc8979157"/>
      <w:bookmarkStart w:id="2124" w:name="_Toc8986303"/>
      <w:bookmarkStart w:id="2125" w:name="_Toc9108618"/>
      <w:bookmarkStart w:id="2126" w:name="_Toc9110173"/>
      <w:bookmarkStart w:id="2127" w:name="_Toc9114535"/>
      <w:bookmarkStart w:id="2128" w:name="_Toc9149578"/>
      <w:bookmarkStart w:id="2129" w:name="_Toc9289764"/>
      <w:bookmarkStart w:id="2130" w:name="_Toc11573410"/>
      <w:r w:rsidRPr="0050146A">
        <w:rPr>
          <w:rFonts w:hint="cs"/>
          <w:rtl/>
        </w:rPr>
        <w:t>דברי הב"י דמבואר בר"ן דאף כשנימוח קצת מהאיסור סמכינן על קפילא בפחות משישים</w:t>
      </w:r>
      <w:bookmarkEnd w:id="2121"/>
      <w:bookmarkEnd w:id="2122"/>
      <w:bookmarkEnd w:id="2123"/>
      <w:bookmarkEnd w:id="2124"/>
      <w:bookmarkEnd w:id="2125"/>
      <w:bookmarkEnd w:id="2126"/>
      <w:bookmarkEnd w:id="2127"/>
      <w:bookmarkEnd w:id="2128"/>
      <w:bookmarkEnd w:id="2129"/>
      <w:bookmarkEnd w:id="2130"/>
    </w:p>
    <w:p w:rsidR="00BE3B3A" w:rsidRPr="0050146A" w:rsidRDefault="00BE3B3A" w:rsidP="009F44AF">
      <w:pPr>
        <w:pStyle w:val="a"/>
        <w:rPr>
          <w:rtl/>
        </w:rPr>
      </w:pPr>
      <w:bookmarkStart w:id="2131" w:name="_Ref8972783"/>
      <w:r w:rsidRPr="0050146A">
        <w:rPr>
          <w:rFonts w:hint="cs"/>
          <w:rtl/>
        </w:rPr>
        <w:t xml:space="preserve">וכתב </w:t>
      </w:r>
      <w:r w:rsidRPr="0050146A">
        <w:rPr>
          <w:rStyle w:val="af8"/>
          <w:rFonts w:hint="cs"/>
          <w:rtl/>
        </w:rPr>
        <w:t>הב"י</w:t>
      </w:r>
      <w:r w:rsidRPr="0050146A">
        <w:rPr>
          <w:rFonts w:hint="cs"/>
          <w:rtl/>
        </w:rPr>
        <w:t xml:space="preserve"> </w:t>
      </w:r>
      <w:r w:rsidRPr="0050146A">
        <w:rPr>
          <w:rStyle w:val="af6"/>
          <w:rFonts w:eastAsia="Guttman Hodes" w:hint="cs"/>
          <w:rtl/>
        </w:rPr>
        <w:t>(סי' צ"ח ד' ד"ה ומ"ש רבינו)</w:t>
      </w:r>
      <w:r w:rsidRPr="0050146A">
        <w:rPr>
          <w:rFonts w:hint="cs"/>
          <w:rtl/>
        </w:rPr>
        <w:t xml:space="preserve"> דמשמע מדברי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Ref8934662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50146A">
        <w:rPr>
          <w:rStyle w:val="af6"/>
          <w:rFonts w:eastAsia="Guttman Hodes"/>
          <w:rtl/>
        </w:rPr>
        <w:fldChar w:fldCharType="end"/>
      </w:r>
      <w:r w:rsidRPr="0050146A">
        <w:rPr>
          <w:rFonts w:hint="cs"/>
          <w:rtl/>
        </w:rPr>
        <w:t xml:space="preserve"> דאף אם חלק מהאיסור עצמו נמחה בהיתר, ולא ידוע כמה מגוף האיסור נמחה, דבכה"ג סמכינן על הקפילא שאומר שאין בו טעם איסור, אף בפחות משישים מגוף האיסור, כיון שאנו משערים בכל גוף האיסור בשישים דלא ידוע כמה נמחה ממנו, וכשאומר הקפילא שאין בו טעם איסור סמכינן עליה, ואמרינן דמה שנמחה ממנו בטל בשישים.</w:t>
      </w:r>
      <w:bookmarkEnd w:id="2131"/>
    </w:p>
    <w:p w:rsidR="00BE3B3A" w:rsidRPr="0050146A" w:rsidRDefault="00BE3B3A" w:rsidP="00BE3B3A">
      <w:pPr>
        <w:pStyle w:val="a2"/>
        <w:rPr>
          <w:rtl/>
        </w:rPr>
      </w:pPr>
      <w:bookmarkStart w:id="2132" w:name="_Toc8937270"/>
      <w:bookmarkStart w:id="2133" w:name="_Toc8938256"/>
      <w:bookmarkStart w:id="2134" w:name="_Toc8979158"/>
      <w:bookmarkStart w:id="2135" w:name="_Toc8986304"/>
      <w:bookmarkStart w:id="2136" w:name="_Toc9108619"/>
      <w:bookmarkStart w:id="2137" w:name="_Toc9110174"/>
      <w:bookmarkStart w:id="2138" w:name="_Toc9114536"/>
      <w:bookmarkStart w:id="2139" w:name="_Toc9149579"/>
      <w:bookmarkStart w:id="2140" w:name="_Toc9289765"/>
      <w:bookmarkStart w:id="2141" w:name="_Toc11573411"/>
      <w:r w:rsidRPr="0050146A">
        <w:rPr>
          <w:rFonts w:hint="cs"/>
          <w:rtl/>
        </w:rPr>
        <w:t>דברי הפרישה דבטור בשם הרמב"ן משמע דרק בציר ורוטב סמכינן על קפילא ולא בגוף האיסור</w:t>
      </w:r>
      <w:bookmarkEnd w:id="2132"/>
      <w:bookmarkEnd w:id="2133"/>
      <w:bookmarkEnd w:id="2134"/>
      <w:bookmarkEnd w:id="2135"/>
      <w:bookmarkEnd w:id="2136"/>
      <w:bookmarkEnd w:id="2137"/>
      <w:bookmarkEnd w:id="2138"/>
      <w:bookmarkEnd w:id="2139"/>
      <w:bookmarkEnd w:id="2140"/>
      <w:bookmarkEnd w:id="2141"/>
    </w:p>
    <w:p w:rsidR="00BE3B3A" w:rsidRPr="0050146A" w:rsidRDefault="00BE3B3A" w:rsidP="009F44AF">
      <w:pPr>
        <w:pStyle w:val="a"/>
        <w:rPr>
          <w:rtl/>
        </w:rPr>
      </w:pPr>
      <w:bookmarkStart w:id="2142" w:name="_Ref8972792"/>
      <w:r w:rsidRPr="0050146A">
        <w:rPr>
          <w:rFonts w:hint="cs"/>
          <w:rtl/>
        </w:rPr>
        <w:t xml:space="preserve">אך </w:t>
      </w:r>
      <w:r w:rsidRPr="0050146A">
        <w:rPr>
          <w:rStyle w:val="af8"/>
          <w:rFonts w:hint="cs"/>
          <w:rtl/>
        </w:rPr>
        <w:t>הפרישה</w:t>
      </w:r>
      <w:r w:rsidRPr="0050146A">
        <w:rPr>
          <w:rFonts w:hint="cs"/>
          <w:rtl/>
        </w:rPr>
        <w:t xml:space="preserve"> </w:t>
      </w:r>
      <w:r w:rsidRPr="0050146A">
        <w:rPr>
          <w:rStyle w:val="af6"/>
          <w:rFonts w:eastAsia="Guttman Hodes" w:hint="cs"/>
          <w:rtl/>
        </w:rPr>
        <w:t>(סי' צ"ח ט')</w:t>
      </w:r>
      <w:r w:rsidRPr="0050146A">
        <w:rPr>
          <w:rFonts w:hint="cs"/>
          <w:rtl/>
        </w:rPr>
        <w:t xml:space="preserve"> כתב דמלשון </w:t>
      </w:r>
      <w:r w:rsidRPr="0050146A">
        <w:rPr>
          <w:rStyle w:val="af8"/>
          <w:rFonts w:hint="cs"/>
          <w:rtl/>
        </w:rPr>
        <w:t>הטור</w:t>
      </w:r>
      <w:r w:rsidRPr="0050146A">
        <w:rPr>
          <w:rFonts w:hint="cs"/>
          <w:rtl/>
        </w:rPr>
        <w:t xml:space="preserve"> בשם </w:t>
      </w:r>
      <w:r w:rsidRPr="0050146A">
        <w:rPr>
          <w:rStyle w:val="af8"/>
          <w:rFonts w:hint="cs"/>
          <w:rtl/>
        </w:rPr>
        <w:t>הרמב"ן</w:t>
      </w:r>
      <w:r w:rsidRPr="0050146A">
        <w:rPr>
          <w:rFonts w:hint="cs"/>
          <w:rtl/>
        </w:rPr>
        <w:t xml:space="preserve"> משמע דהא דמהני קפילא להתיר בפחות משישים הוא רק אם הציר והרוטב נתערבו בהיתר, אבל אם גוף האיסור נימוח בהיתר צריך שישים להתיר, אך הביא </w:t>
      </w:r>
      <w:r w:rsidRPr="0050146A">
        <w:rPr>
          <w:rStyle w:val="af8"/>
          <w:rFonts w:hint="cs"/>
          <w:rtl/>
        </w:rPr>
        <w:t>הפרישה</w:t>
      </w:r>
      <w:r w:rsidRPr="0050146A">
        <w:rPr>
          <w:rFonts w:hint="cs"/>
          <w:rtl/>
        </w:rPr>
        <w:t xml:space="preserve"> </w:t>
      </w:r>
      <w:r w:rsidRPr="0050146A">
        <w:rPr>
          <w:rStyle w:val="af8"/>
          <w:rFonts w:hint="cs"/>
          <w:rtl/>
        </w:rPr>
        <w:t>דהב"י</w:t>
      </w:r>
      <w:r w:rsidRPr="0050146A">
        <w:rPr>
          <w:rFonts w:hint="cs"/>
          <w:rtl/>
        </w:rPr>
        <w:t xml:space="preserve"> כתב </w:t>
      </w:r>
      <w:r w:rsidRPr="0050146A">
        <w:rPr>
          <w:rStyle w:val="af8"/>
          <w:rFonts w:hint="cs"/>
          <w:rtl/>
        </w:rPr>
        <w:t>דהרשב"א והר"ן</w:t>
      </w:r>
      <w:r w:rsidRPr="0050146A">
        <w:rPr>
          <w:rFonts w:hint="cs"/>
          <w:rtl/>
        </w:rPr>
        <w:t xml:space="preserve"> ס"ל </w:t>
      </w:r>
      <w:r w:rsidRPr="0050146A">
        <w:rPr>
          <w:rStyle w:val="af8"/>
          <w:rFonts w:hint="cs"/>
          <w:rtl/>
        </w:rPr>
        <w:t>כהרמב"ן</w:t>
      </w:r>
      <w:r w:rsidRPr="0050146A">
        <w:rPr>
          <w:rFonts w:hint="cs"/>
          <w:rtl/>
        </w:rPr>
        <w:t xml:space="preserve">, ובדעת </w:t>
      </w:r>
      <w:r w:rsidRPr="0050146A">
        <w:rPr>
          <w:rStyle w:val="af8"/>
          <w:rFonts w:hint="cs"/>
          <w:rtl/>
        </w:rPr>
        <w:t>הר"ן</w:t>
      </w:r>
      <w:r w:rsidRPr="0050146A">
        <w:rPr>
          <w:rFonts w:hint="cs"/>
          <w:rtl/>
        </w:rPr>
        <w:t xml:space="preserve"> כתב </w:t>
      </w:r>
      <w:r w:rsidRPr="0050146A">
        <w:rPr>
          <w:rStyle w:val="af8"/>
          <w:rFonts w:hint="cs"/>
          <w:rtl/>
        </w:rPr>
        <w:t>הב"י</w:t>
      </w:r>
      <w:r w:rsidRPr="0050146A">
        <w:rPr>
          <w:rFonts w:hint="cs"/>
          <w:rtl/>
        </w:rPr>
        <w:t xml:space="preserve"> דאף במקום שגוף האיסור נימוח, סמכינן על קפילא להתיר אף בפחות משישים, וכתב </w:t>
      </w:r>
      <w:r w:rsidRPr="0050146A">
        <w:rPr>
          <w:rStyle w:val="af8"/>
          <w:rFonts w:hint="cs"/>
          <w:rtl/>
        </w:rPr>
        <w:t>הפרישה</w:t>
      </w:r>
      <w:r w:rsidRPr="0050146A">
        <w:rPr>
          <w:rFonts w:hint="cs"/>
          <w:rtl/>
        </w:rPr>
        <w:t xml:space="preserve"> דמשמע מדברי </w:t>
      </w:r>
      <w:r w:rsidRPr="0050146A">
        <w:rPr>
          <w:rStyle w:val="af8"/>
          <w:rFonts w:hint="cs"/>
          <w:rtl/>
        </w:rPr>
        <w:t>הב"י</w:t>
      </w:r>
      <w:r w:rsidRPr="0050146A">
        <w:rPr>
          <w:rFonts w:hint="cs"/>
          <w:rtl/>
        </w:rPr>
        <w:t xml:space="preserve"> דאף לדעת </w:t>
      </w:r>
      <w:r w:rsidRPr="0050146A">
        <w:rPr>
          <w:rStyle w:val="af8"/>
          <w:rFonts w:hint="cs"/>
          <w:rtl/>
        </w:rPr>
        <w:t>הרמב"ן</w:t>
      </w:r>
      <w:r w:rsidRPr="0050146A">
        <w:rPr>
          <w:rFonts w:hint="cs"/>
          <w:rtl/>
        </w:rPr>
        <w:t xml:space="preserve"> כשנימוח גוף האיסור סמכינן על קפילא בפחות משישים, ודלא כמשמעות לשון </w:t>
      </w:r>
      <w:r w:rsidRPr="0050146A">
        <w:rPr>
          <w:rStyle w:val="af8"/>
          <w:rFonts w:hint="cs"/>
          <w:rtl/>
        </w:rPr>
        <w:t>הטור</w:t>
      </w:r>
      <w:r w:rsidRPr="0050146A">
        <w:rPr>
          <w:rFonts w:hint="cs"/>
          <w:rtl/>
        </w:rPr>
        <w:t xml:space="preserve"> בשם </w:t>
      </w:r>
      <w:r w:rsidRPr="0050146A">
        <w:rPr>
          <w:rStyle w:val="af8"/>
          <w:rFonts w:hint="cs"/>
          <w:rtl/>
        </w:rPr>
        <w:t>הרמב"ן</w:t>
      </w:r>
      <w:r w:rsidRPr="0050146A">
        <w:rPr>
          <w:rFonts w:hint="cs"/>
          <w:rtl/>
        </w:rPr>
        <w:t>.</w:t>
      </w:r>
      <w:bookmarkEnd w:id="2142"/>
    </w:p>
    <w:p w:rsidR="00BE3B3A" w:rsidRPr="0050146A" w:rsidRDefault="00BE3B3A" w:rsidP="00BE3B3A">
      <w:pPr>
        <w:pStyle w:val="a2"/>
      </w:pPr>
      <w:bookmarkStart w:id="2143" w:name="_Toc8937271"/>
      <w:bookmarkStart w:id="2144" w:name="_Toc8938257"/>
      <w:bookmarkStart w:id="2145" w:name="_Toc8979159"/>
      <w:bookmarkStart w:id="2146" w:name="_Toc8986305"/>
      <w:bookmarkStart w:id="2147" w:name="_Toc9108620"/>
      <w:bookmarkStart w:id="2148" w:name="_Toc9110175"/>
      <w:bookmarkStart w:id="2149" w:name="_Toc9114537"/>
      <w:bookmarkStart w:id="2150" w:name="_Toc9149580"/>
      <w:bookmarkStart w:id="2151" w:name="_Toc9289766"/>
      <w:bookmarkStart w:id="2152" w:name="_Toc11573412"/>
      <w:r w:rsidRPr="0050146A">
        <w:rPr>
          <w:rFonts w:hint="cs"/>
          <w:rtl/>
        </w:rPr>
        <w:t>דברי הפרישה דאפש"ל דלרמב"ן כשנימוח האיסור חשיב כרוטב ומהני קפילא</w:t>
      </w:r>
      <w:bookmarkEnd w:id="2143"/>
      <w:bookmarkEnd w:id="2144"/>
      <w:bookmarkEnd w:id="2145"/>
      <w:bookmarkEnd w:id="2146"/>
      <w:bookmarkEnd w:id="2147"/>
      <w:bookmarkEnd w:id="2148"/>
      <w:bookmarkEnd w:id="2149"/>
      <w:bookmarkEnd w:id="2150"/>
      <w:bookmarkEnd w:id="2151"/>
      <w:bookmarkEnd w:id="2152"/>
    </w:p>
    <w:p w:rsidR="00BE3B3A" w:rsidRPr="0050146A" w:rsidRDefault="00BE3B3A" w:rsidP="009F44AF">
      <w:pPr>
        <w:pStyle w:val="a"/>
        <w:rPr>
          <w:rtl/>
        </w:rPr>
      </w:pPr>
      <w:r w:rsidRPr="0050146A">
        <w:rPr>
          <w:rFonts w:hint="cs"/>
          <w:rtl/>
        </w:rPr>
        <w:t xml:space="preserve">וכתב </w:t>
      </w:r>
      <w:r w:rsidRPr="0050146A">
        <w:rPr>
          <w:rStyle w:val="af8"/>
          <w:rFonts w:hint="cs"/>
          <w:rtl/>
        </w:rPr>
        <w:t>הפרישה</w:t>
      </w:r>
      <w:r w:rsidRPr="0050146A">
        <w:rPr>
          <w:rFonts w:hint="cs"/>
          <w:rtl/>
        </w:rPr>
        <w:t xml:space="preserve"> דאפש"ל דכוונת </w:t>
      </w:r>
      <w:r w:rsidRPr="0050146A">
        <w:rPr>
          <w:rStyle w:val="af8"/>
          <w:rFonts w:hint="cs"/>
          <w:rtl/>
        </w:rPr>
        <w:t>הטור</w:t>
      </w:r>
      <w:r w:rsidRPr="0050146A">
        <w:rPr>
          <w:rFonts w:hint="cs"/>
          <w:rtl/>
        </w:rPr>
        <w:t xml:space="preserve"> בשם </w:t>
      </w:r>
      <w:r w:rsidRPr="0050146A">
        <w:rPr>
          <w:rStyle w:val="af8"/>
          <w:rFonts w:hint="cs"/>
          <w:rtl/>
        </w:rPr>
        <w:t>הרמב"ן</w:t>
      </w:r>
      <w:r w:rsidRPr="0050146A">
        <w:rPr>
          <w:rFonts w:hint="cs"/>
          <w:rtl/>
        </w:rPr>
        <w:t xml:space="preserve"> לומר דדוקא כשגוף האיסור נתערב לא מהני קפילא, אבל אם האיסור נימוח קרינן ליה ציר, ואף לדעת </w:t>
      </w:r>
      <w:r w:rsidRPr="0050146A">
        <w:rPr>
          <w:rStyle w:val="af8"/>
          <w:rFonts w:hint="cs"/>
          <w:rtl/>
        </w:rPr>
        <w:t>הרמב"ן</w:t>
      </w:r>
      <w:r w:rsidRPr="0050146A">
        <w:rPr>
          <w:rFonts w:hint="cs"/>
          <w:rtl/>
        </w:rPr>
        <w:t xml:space="preserve"> מהני קפילא בפחות משישים, אמנם יעוי' בדברי </w:t>
      </w:r>
      <w:r w:rsidRPr="0050146A">
        <w:rPr>
          <w:rStyle w:val="af8"/>
          <w:rFonts w:hint="cs"/>
          <w:rtl/>
        </w:rPr>
        <w:t xml:space="preserve">הרשב"א </w:t>
      </w:r>
      <w:r w:rsidRPr="0050146A">
        <w:rPr>
          <w:rStyle w:val="af8"/>
          <w:rtl/>
        </w:rPr>
        <w:t>בחי'</w:t>
      </w:r>
      <w:r w:rsidRPr="0050146A">
        <w:rPr>
          <w:rStyle w:val="af6"/>
          <w:rFonts w:eastAsia="Guttman Hodes" w:hint="cs"/>
          <w:rtl/>
        </w:rPr>
        <w:t xml:space="preserve"> (צח. ד"ה כל)</w:t>
      </w:r>
      <w:r w:rsidRPr="0050146A">
        <w:rPr>
          <w:rtl/>
        </w:rPr>
        <w:t xml:space="preserve"> </w:t>
      </w:r>
      <w:r w:rsidRPr="0050146A">
        <w:rPr>
          <w:rStyle w:val="af8"/>
          <w:rtl/>
        </w:rPr>
        <w:t xml:space="preserve">ובתוה"ב </w:t>
      </w:r>
      <w:r w:rsidRPr="0050146A">
        <w:rPr>
          <w:rStyle w:val="af6"/>
          <w:rFonts w:eastAsia="Guttman Hodes" w:hint="cs"/>
          <w:rtl/>
        </w:rPr>
        <w:t>(ב"ד ש"א ד"ף טז. מדה"ס)</w:t>
      </w:r>
      <w:r w:rsidRPr="0050146A">
        <w:rPr>
          <w:rtl/>
        </w:rPr>
        <w:t xml:space="preserve"> </w:t>
      </w:r>
      <w:r w:rsidRPr="0050146A">
        <w:rPr>
          <w:rFonts w:hint="cs"/>
          <w:rtl/>
        </w:rPr>
        <w:t xml:space="preserve">דכתב להדיא בשם </w:t>
      </w:r>
      <w:r w:rsidRPr="0050146A">
        <w:rPr>
          <w:rStyle w:val="af8"/>
          <w:rFonts w:hint="cs"/>
          <w:rtl/>
        </w:rPr>
        <w:t>הרמב"ן</w:t>
      </w:r>
      <w:r w:rsidRPr="0050146A">
        <w:rPr>
          <w:rFonts w:hint="cs"/>
          <w:rtl/>
        </w:rPr>
        <w:t xml:space="preserve"> דכשגוף האיסור נימוח לא מהני קפילא בפחות משישים.</w:t>
      </w:r>
    </w:p>
    <w:p w:rsidR="00BE3B3A" w:rsidRPr="0050146A" w:rsidRDefault="00BE3B3A" w:rsidP="00BE3B3A">
      <w:pPr>
        <w:pStyle w:val="a2"/>
        <w:rPr>
          <w:rtl/>
        </w:rPr>
      </w:pPr>
      <w:bookmarkStart w:id="2153" w:name="_Toc8937272"/>
      <w:bookmarkStart w:id="2154" w:name="_Toc8938258"/>
      <w:bookmarkStart w:id="2155" w:name="_Toc8979160"/>
      <w:bookmarkStart w:id="2156" w:name="_Toc8986306"/>
      <w:bookmarkStart w:id="2157" w:name="_Toc9108621"/>
      <w:bookmarkStart w:id="2158" w:name="_Toc9110176"/>
      <w:bookmarkStart w:id="2159" w:name="_Toc9114538"/>
      <w:bookmarkStart w:id="2160" w:name="_Toc9149581"/>
      <w:bookmarkStart w:id="2161" w:name="_Toc9289767"/>
      <w:bookmarkStart w:id="2162" w:name="_Toc11573413"/>
      <w:r w:rsidRPr="0050146A">
        <w:rPr>
          <w:rFonts w:hint="cs"/>
          <w:rtl/>
        </w:rPr>
        <w:t>דברי הפרישה דאפשר לחלק לרמב"ן בין נימוח מקצתו דמהני קפילא לנימוח כולו דלא מהני</w:t>
      </w:r>
      <w:bookmarkEnd w:id="2153"/>
      <w:bookmarkEnd w:id="2154"/>
      <w:bookmarkEnd w:id="2155"/>
      <w:bookmarkEnd w:id="2156"/>
      <w:bookmarkEnd w:id="2157"/>
      <w:bookmarkEnd w:id="2158"/>
      <w:bookmarkEnd w:id="2159"/>
      <w:bookmarkEnd w:id="2160"/>
      <w:bookmarkEnd w:id="2161"/>
      <w:bookmarkEnd w:id="2162"/>
    </w:p>
    <w:p w:rsidR="00BE3B3A" w:rsidRPr="0050146A" w:rsidRDefault="00BE3B3A" w:rsidP="009F44AF">
      <w:pPr>
        <w:pStyle w:val="a"/>
        <w:rPr>
          <w:rtl/>
        </w:rPr>
      </w:pPr>
      <w:r w:rsidRPr="0050146A">
        <w:rPr>
          <w:rFonts w:hint="cs"/>
          <w:rtl/>
        </w:rPr>
        <w:t xml:space="preserve">ועו"כ </w:t>
      </w:r>
      <w:r w:rsidRPr="0050146A">
        <w:rPr>
          <w:rStyle w:val="af8"/>
          <w:rFonts w:hint="cs"/>
          <w:rtl/>
        </w:rPr>
        <w:t>הפרישה</w:t>
      </w:r>
      <w:r w:rsidRPr="0050146A">
        <w:rPr>
          <w:rFonts w:hint="cs"/>
          <w:rtl/>
        </w:rPr>
        <w:t xml:space="preserve"> דאפש"ל דלדעת </w:t>
      </w:r>
      <w:r w:rsidRPr="0050146A">
        <w:rPr>
          <w:rStyle w:val="af8"/>
          <w:rFonts w:hint="cs"/>
          <w:rtl/>
        </w:rPr>
        <w:t>הרמב"ן</w:t>
      </w:r>
      <w:r w:rsidRPr="0050146A">
        <w:rPr>
          <w:rFonts w:hint="cs"/>
          <w:rtl/>
        </w:rPr>
        <w:t xml:space="preserve"> יש חילוק אם נימוח קצת מגוף האיסור דבכה"ג מהני קפילא בפחות משישים, דכיון שלא ידעינן כמה נימוח מגוף האיסור, לכן דינו כציר ורוטב דמהני קפילא בפחות משישים, </w:t>
      </w:r>
      <w:r w:rsidRPr="0050146A">
        <w:rPr>
          <w:rStyle w:val="afa"/>
          <w:rFonts w:hint="cs"/>
          <w:rtl/>
        </w:rPr>
        <w:t xml:space="preserve">[דכיון שאומר הקפילא שאין בו טעם, אמרינן שיש שישים בהיתר כנגד מה שיצא ונימוח מהאיסור], </w:t>
      </w:r>
      <w:r w:rsidRPr="0050146A">
        <w:rPr>
          <w:rFonts w:hint="cs"/>
          <w:rtl/>
        </w:rPr>
        <w:t xml:space="preserve">אבל כשנמחה כל גוף האיסור, דמדינא צריך שישים כנגד כולו, בכה"ג ס"ל </w:t>
      </w:r>
      <w:r w:rsidRPr="0050146A">
        <w:rPr>
          <w:rStyle w:val="af8"/>
          <w:rFonts w:hint="cs"/>
          <w:rtl/>
        </w:rPr>
        <w:t>להרמב"ן</w:t>
      </w:r>
      <w:r w:rsidRPr="0050146A">
        <w:rPr>
          <w:rFonts w:hint="cs"/>
          <w:rtl/>
        </w:rPr>
        <w:t xml:space="preserve"> דלא מהני קפילא בפחות משישים.</w:t>
      </w:r>
    </w:p>
    <w:p w:rsidR="00BE3B3A" w:rsidRPr="0050146A" w:rsidRDefault="00BE3B3A" w:rsidP="00BE3B3A">
      <w:pPr>
        <w:pStyle w:val="1"/>
        <w:rPr>
          <w:rtl/>
        </w:rPr>
      </w:pPr>
      <w:bookmarkStart w:id="2163" w:name="_Toc8937273"/>
      <w:bookmarkStart w:id="2164" w:name="_Toc8938259"/>
      <w:bookmarkStart w:id="2165" w:name="_Toc8979161"/>
      <w:bookmarkStart w:id="2166" w:name="_Toc8986307"/>
      <w:bookmarkStart w:id="2167" w:name="_Toc9108622"/>
      <w:bookmarkStart w:id="2168" w:name="_Toc9110177"/>
      <w:bookmarkStart w:id="2169" w:name="_Toc9114539"/>
      <w:bookmarkStart w:id="2170" w:name="_Toc9149582"/>
      <w:bookmarkStart w:id="2171" w:name="_Toc9289768"/>
      <w:bookmarkStart w:id="2172" w:name="_Toc11573414"/>
      <w:bookmarkStart w:id="2173" w:name="_Toc8765435"/>
      <w:r w:rsidRPr="0050146A">
        <w:rPr>
          <w:rFonts w:hint="cs"/>
          <w:rtl/>
        </w:rPr>
        <w:t>ביאורי האחרונים ברמב"ן</w:t>
      </w:r>
      <w:bookmarkEnd w:id="2163"/>
      <w:bookmarkEnd w:id="2164"/>
      <w:bookmarkEnd w:id="2165"/>
      <w:r w:rsidRPr="0050146A">
        <w:rPr>
          <w:rFonts w:hint="cs"/>
          <w:rtl/>
        </w:rPr>
        <w:t xml:space="preserve"> דהקפילא לא נאמן בגוף האיסור</w:t>
      </w:r>
      <w:bookmarkEnd w:id="2166"/>
      <w:bookmarkEnd w:id="2167"/>
      <w:bookmarkEnd w:id="2168"/>
      <w:bookmarkEnd w:id="2169"/>
      <w:bookmarkEnd w:id="2170"/>
      <w:bookmarkEnd w:id="2171"/>
      <w:bookmarkEnd w:id="2172"/>
    </w:p>
    <w:p w:rsidR="00BE3B3A" w:rsidRPr="0050146A" w:rsidRDefault="00BE3B3A" w:rsidP="00BE3B3A">
      <w:pPr>
        <w:pStyle w:val="a2"/>
        <w:rPr>
          <w:rtl/>
        </w:rPr>
      </w:pPr>
      <w:bookmarkStart w:id="2174" w:name="_Toc8937274"/>
      <w:bookmarkStart w:id="2175" w:name="_Toc8938260"/>
      <w:bookmarkStart w:id="2176" w:name="_Toc8979162"/>
      <w:bookmarkStart w:id="2177" w:name="_Toc8986308"/>
      <w:bookmarkStart w:id="2178" w:name="_Toc9108623"/>
      <w:bookmarkStart w:id="2179" w:name="_Toc9110178"/>
      <w:bookmarkStart w:id="2180" w:name="_Toc9114540"/>
      <w:bookmarkStart w:id="2181" w:name="_Toc9149583"/>
      <w:bookmarkStart w:id="2182" w:name="_Toc9289769"/>
      <w:bookmarkStart w:id="2183" w:name="_Toc11573415"/>
      <w:bookmarkEnd w:id="2173"/>
      <w:r w:rsidRPr="0050146A">
        <w:rPr>
          <w:rFonts w:hint="cs"/>
          <w:rtl/>
        </w:rPr>
        <w:t>ביאור המנחת כהן ברמב"ן דבנימוח האיסור מסתמא יש טעם בפחות משישים והקפילא משקר</w:t>
      </w:r>
      <w:bookmarkEnd w:id="2174"/>
      <w:bookmarkEnd w:id="2175"/>
      <w:bookmarkEnd w:id="2176"/>
      <w:bookmarkEnd w:id="2177"/>
      <w:bookmarkEnd w:id="2178"/>
      <w:bookmarkEnd w:id="2179"/>
      <w:bookmarkEnd w:id="2180"/>
      <w:bookmarkEnd w:id="2181"/>
      <w:bookmarkEnd w:id="2182"/>
      <w:bookmarkEnd w:id="2183"/>
    </w:p>
    <w:p w:rsidR="00BE3B3A" w:rsidRPr="0050146A" w:rsidRDefault="00BE3B3A" w:rsidP="009F44AF">
      <w:pPr>
        <w:pStyle w:val="a"/>
        <w:rPr>
          <w:rStyle w:val="afa"/>
          <w:rtl/>
        </w:rPr>
      </w:pPr>
      <w:r w:rsidRPr="0050146A">
        <w:rPr>
          <w:rFonts w:hint="cs"/>
          <w:rtl/>
        </w:rPr>
        <w:t xml:space="preserve">וכתב </w:t>
      </w:r>
      <w:r w:rsidR="00920811">
        <w:rPr>
          <w:rStyle w:val="af8"/>
          <w:rFonts w:hint="cs"/>
          <w:rtl/>
        </w:rPr>
        <w:t>המנחת כהן (ס</w:t>
      </w:r>
      <w:r w:rsidR="00920811">
        <w:rPr>
          <w:rStyle w:val="af8"/>
          <w:rtl/>
        </w:rPr>
        <w:t>'</w:t>
      </w:r>
      <w:r w:rsidR="00920811">
        <w:rPr>
          <w:rStyle w:val="af8"/>
          <w:rFonts w:hint="cs"/>
          <w:rtl/>
        </w:rPr>
        <w:t xml:space="preserve"> התערובות ח</w:t>
      </w:r>
      <w:r w:rsidR="00920811">
        <w:rPr>
          <w:rStyle w:val="af8"/>
          <w:rtl/>
        </w:rPr>
        <w:t>"</w:t>
      </w:r>
      <w:r w:rsidR="00920811">
        <w:rPr>
          <w:rStyle w:val="af8"/>
          <w:rFonts w:hint="cs"/>
          <w:rtl/>
        </w:rPr>
        <w:t xml:space="preserve">א </w:t>
      </w:r>
      <w:r w:rsidRPr="0050146A">
        <w:rPr>
          <w:rStyle w:val="af6"/>
          <w:rFonts w:eastAsia="Guttman Hodes" w:hint="cs"/>
          <w:rtl/>
        </w:rPr>
        <w:t>פ"ז ד"ה הדעת הרביעית)</w:t>
      </w:r>
      <w:r w:rsidRPr="0050146A">
        <w:rPr>
          <w:rFonts w:hint="cs"/>
          <w:rtl/>
        </w:rPr>
        <w:t xml:space="preserve"> </w:t>
      </w:r>
      <w:r w:rsidRPr="0050146A">
        <w:rPr>
          <w:rStyle w:val="af8"/>
          <w:rFonts w:hint="cs"/>
          <w:rtl/>
        </w:rPr>
        <w:t>דהרמב"ן והרשב"א</w:t>
      </w:r>
      <w:r w:rsidRPr="0050146A">
        <w:rPr>
          <w:rFonts w:hint="cs"/>
          <w:rtl/>
        </w:rPr>
        <w:t xml:space="preserve"> </w:t>
      </w:r>
      <w:r w:rsidRPr="0050146A">
        <w:rPr>
          <w:rStyle w:val="af8"/>
          <w:rFonts w:hint="cs"/>
          <w:rtl/>
        </w:rPr>
        <w:t>והר"ן</w:t>
      </w:r>
      <w:r w:rsidRPr="0050146A">
        <w:rPr>
          <w:rFonts w:hint="cs"/>
          <w:rtl/>
        </w:rPr>
        <w:t xml:space="preserve"> ס"ל דבמקום שגוף האיסור נימוח בהיתר לא מהני קפילא להתיר בפחות משישים, כיון דבפחות משישים בסתמא האיסור נותן טעם בהיתר, ולכן אף אם הקפילא צווח שאין בו טעם איסור, אמרינן דהוא משקר או שאינו בקי בטעמים, </w:t>
      </w:r>
      <w:r w:rsidRPr="0050146A">
        <w:rPr>
          <w:rStyle w:val="afa"/>
          <w:rFonts w:hint="cs"/>
          <w:rtl/>
        </w:rPr>
        <w:t xml:space="preserve">[וכדביאר </w:t>
      </w:r>
      <w:r w:rsidRPr="0050146A">
        <w:rPr>
          <w:rStyle w:val="affa"/>
          <w:rFonts w:hint="cs"/>
          <w:rtl/>
        </w:rPr>
        <w:t>המנחת כהן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Ref8902790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w:t>
      </w:r>
      <w:r w:rsidRPr="0050146A">
        <w:rPr>
          <w:rStyle w:val="aff6"/>
          <w:rtl/>
        </w:rPr>
        <w:fldChar w:fldCharType="end"/>
      </w:r>
      <w:r w:rsidRPr="0050146A">
        <w:rPr>
          <w:rStyle w:val="afa"/>
          <w:rFonts w:hint="cs"/>
          <w:rtl/>
        </w:rPr>
        <w:t xml:space="preserve"> בדעת </w:t>
      </w:r>
      <w:r w:rsidRPr="0050146A">
        <w:rPr>
          <w:rStyle w:val="affa"/>
          <w:rFonts w:hint="cs"/>
          <w:rtl/>
        </w:rPr>
        <w:t>רש"י</w:t>
      </w:r>
      <w:r w:rsidRPr="0050146A">
        <w:rPr>
          <w:rStyle w:val="afa"/>
          <w:rFonts w:hint="cs"/>
          <w:rtl/>
        </w:rPr>
        <w:t xml:space="preserve">, וכתב </w:t>
      </w:r>
      <w:r w:rsidRPr="0050146A">
        <w:rPr>
          <w:rStyle w:val="affa"/>
          <w:rFonts w:hint="cs"/>
          <w:rtl/>
        </w:rPr>
        <w:t>המנחת כהן</w:t>
      </w:r>
      <w:r w:rsidRPr="0050146A">
        <w:rPr>
          <w:rStyle w:val="afa"/>
          <w:rFonts w:hint="cs"/>
          <w:rtl/>
        </w:rPr>
        <w:t xml:space="preserve"> דבזה ס"ל </w:t>
      </w:r>
      <w:r w:rsidRPr="0050146A">
        <w:rPr>
          <w:rStyle w:val="affa"/>
          <w:rFonts w:hint="cs"/>
          <w:rtl/>
        </w:rPr>
        <w:t>להרמב"ן והרשב"א</w:t>
      </w:r>
      <w:r w:rsidRPr="0050146A">
        <w:rPr>
          <w:rStyle w:val="afa"/>
          <w:rFonts w:hint="cs"/>
          <w:rtl/>
        </w:rPr>
        <w:t xml:space="preserve"> לחומרא </w:t>
      </w:r>
      <w:r w:rsidRPr="0050146A">
        <w:rPr>
          <w:rStyle w:val="affa"/>
          <w:rFonts w:hint="cs"/>
          <w:rtl/>
        </w:rPr>
        <w:t>כרש"י</w:t>
      </w:r>
      <w:r w:rsidRPr="0050146A">
        <w:rPr>
          <w:rStyle w:val="afa"/>
          <w:rFonts w:hint="cs"/>
          <w:rtl/>
        </w:rPr>
        <w:t>, ודלא</w:t>
      </w:r>
      <w:r w:rsidRPr="0050146A">
        <w:rPr>
          <w:rStyle w:val="affa"/>
          <w:rFonts w:hint="cs"/>
          <w:rtl/>
        </w:rPr>
        <w:t xml:space="preserve"> כהתוס'</w:t>
      </w:r>
      <w:r w:rsidRPr="0050146A">
        <w:rPr>
          <w:rStyle w:val="afa"/>
          <w:rFonts w:hint="cs"/>
          <w:rtl/>
        </w:rPr>
        <w:t xml:space="preserve"> </w:t>
      </w:r>
      <w:r w:rsidRPr="0050146A">
        <w:rPr>
          <w:rStyle w:val="af6"/>
          <w:rFonts w:eastAsia="Guttman Hodes" w:hint="cs"/>
          <w:rtl/>
        </w:rPr>
        <w:t>(</w:t>
      </w:r>
      <w:r w:rsidRPr="0050146A">
        <w:rPr>
          <w:rStyle w:val="af6"/>
          <w:rFonts w:eastAsia="Guttman Rashi" w:hint="cs"/>
          <w:rtl/>
        </w:rPr>
        <w:t>ע</w:t>
      </w:r>
      <w:r w:rsidRPr="0050146A">
        <w:rPr>
          <w:rStyle w:val="aff6"/>
          <w:rFonts w:hint="cs"/>
          <w:rtl/>
        </w:rPr>
        <w:t xml:space="preserve">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Ref8923606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w:t>
      </w:r>
      <w:r w:rsidRPr="0050146A">
        <w:rPr>
          <w:rStyle w:val="aff6"/>
          <w:rtl/>
        </w:rPr>
        <w:fldChar w:fldCharType="end"/>
      </w:r>
      <w:r w:rsidRPr="0050146A">
        <w:rPr>
          <w:rStyle w:val="afa"/>
          <w:rFonts w:hint="cs"/>
          <w:rtl/>
        </w:rPr>
        <w:t xml:space="preserve"> </w:t>
      </w:r>
      <w:r w:rsidRPr="0050146A">
        <w:rPr>
          <w:rStyle w:val="affa"/>
          <w:rFonts w:hint="cs"/>
          <w:rtl/>
        </w:rPr>
        <w:t>והרמב"ם</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Ref8973120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פג)</w:t>
      </w:r>
      <w:r w:rsidRPr="0050146A">
        <w:rPr>
          <w:rStyle w:val="aff6"/>
          <w:rtl/>
        </w:rPr>
        <w:fldChar w:fldCharType="end"/>
      </w:r>
      <w:r w:rsidRPr="0050146A">
        <w:rPr>
          <w:rStyle w:val="afa"/>
          <w:rFonts w:hint="cs"/>
          <w:rtl/>
        </w:rPr>
        <w:t>].</w:t>
      </w:r>
      <w:r w:rsidRPr="0050146A">
        <w:t xml:space="preserve"> </w:t>
      </w:r>
      <w:r w:rsidRPr="0050146A">
        <w:rPr>
          <w:rFonts w:hint="cs"/>
          <w:rtl/>
        </w:rPr>
        <w:t xml:space="preserve">ובנימוח גוף האיסור ושיש כנגדו שישים בהיתר, כתב </w:t>
      </w:r>
      <w:r w:rsidRPr="0050146A">
        <w:rPr>
          <w:rStyle w:val="af8"/>
          <w:rFonts w:hint="cs"/>
          <w:rtl/>
        </w:rPr>
        <w:t>המנחת כהן</w:t>
      </w:r>
      <w:r w:rsidRPr="0050146A">
        <w:rPr>
          <w:rFonts w:hint="cs"/>
          <w:rtl/>
        </w:rPr>
        <w:t xml:space="preserve"> דס"ל </w:t>
      </w:r>
      <w:r w:rsidRPr="0050146A">
        <w:rPr>
          <w:rStyle w:val="af8"/>
          <w:rFonts w:hint="cs"/>
          <w:rtl/>
        </w:rPr>
        <w:t>להרמב"ן והרשב"א</w:t>
      </w:r>
      <w:r w:rsidRPr="0050146A">
        <w:rPr>
          <w:rFonts w:hint="cs"/>
          <w:rtl/>
        </w:rPr>
        <w:t xml:space="preserve"> </w:t>
      </w:r>
      <w:r w:rsidRPr="0050146A">
        <w:rPr>
          <w:rStyle w:val="af8"/>
          <w:rFonts w:hint="cs"/>
          <w:rtl/>
        </w:rPr>
        <w:t>והר"ן</w:t>
      </w:r>
      <w:r w:rsidRPr="0050146A">
        <w:rPr>
          <w:rFonts w:hint="cs"/>
          <w:rtl/>
        </w:rPr>
        <w:t xml:space="preserve"> דא"צ קפילא להתיר. </w:t>
      </w:r>
      <w:r w:rsidRPr="0050146A">
        <w:rPr>
          <w:rStyle w:val="afa"/>
          <w:rFonts w:hint="cs"/>
          <w:rtl/>
        </w:rPr>
        <w:t xml:space="preserve">[וכדעת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Ref8923606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w:t>
      </w:r>
      <w:r w:rsidRPr="0050146A">
        <w:rPr>
          <w:rStyle w:val="aff6"/>
          <w:rtl/>
        </w:rPr>
        <w:fldChar w:fldCharType="end"/>
      </w:r>
      <w:r w:rsidRPr="0050146A">
        <w:rPr>
          <w:rStyle w:val="afa"/>
          <w:rFonts w:hint="cs"/>
          <w:rtl/>
        </w:rPr>
        <w:t xml:space="preserve">  ודלא </w:t>
      </w:r>
      <w:r w:rsidRPr="0050146A">
        <w:rPr>
          <w:rStyle w:val="affa"/>
          <w:rFonts w:hint="cs"/>
          <w:rtl/>
        </w:rPr>
        <w:t>כרש"י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Ref8902978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כא)</w:t>
      </w:r>
      <w:r w:rsidRPr="0050146A">
        <w:rPr>
          <w:rStyle w:val="aff6"/>
          <w:rtl/>
        </w:rPr>
        <w:fldChar w:fldCharType="end"/>
      </w:r>
      <w:r w:rsidRPr="0050146A">
        <w:rPr>
          <w:rStyle w:val="aff6"/>
          <w:rFonts w:hint="cs"/>
          <w:rtl/>
        </w:rPr>
        <w:t xml:space="preserve"> </w:t>
      </w:r>
      <w:r w:rsidRPr="0050146A">
        <w:rPr>
          <w:rStyle w:val="affa"/>
          <w:rFonts w:hint="cs"/>
          <w:rtl/>
        </w:rPr>
        <w:t>והרמב"ם</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Ref8973120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פג)</w:t>
      </w:r>
      <w:r w:rsidRPr="0050146A">
        <w:rPr>
          <w:rStyle w:val="aff6"/>
          <w:rtl/>
        </w:rPr>
        <w:fldChar w:fldCharType="end"/>
      </w:r>
      <w:r w:rsidRPr="0050146A">
        <w:rPr>
          <w:rStyle w:val="afa"/>
          <w:rFonts w:hint="cs"/>
          <w:rtl/>
        </w:rPr>
        <w:t>].</w:t>
      </w:r>
    </w:p>
    <w:p w:rsidR="00BE3B3A" w:rsidRPr="0050146A" w:rsidRDefault="00BE3B3A" w:rsidP="00BE3B3A">
      <w:pPr>
        <w:pStyle w:val="a2"/>
      </w:pPr>
      <w:bookmarkStart w:id="2184" w:name="_Toc8937275"/>
      <w:bookmarkStart w:id="2185" w:name="_Toc8938261"/>
      <w:bookmarkStart w:id="2186" w:name="_Toc8979163"/>
      <w:bookmarkStart w:id="2187" w:name="_Toc8986309"/>
      <w:bookmarkStart w:id="2188" w:name="_Toc9108624"/>
      <w:bookmarkStart w:id="2189" w:name="_Toc9110179"/>
      <w:bookmarkStart w:id="2190" w:name="_Toc9114541"/>
      <w:bookmarkStart w:id="2191" w:name="_Toc9149584"/>
      <w:bookmarkStart w:id="2192" w:name="_Toc9289770"/>
      <w:bookmarkStart w:id="2193" w:name="_Toc11573416"/>
      <w:r w:rsidRPr="0050146A">
        <w:rPr>
          <w:rFonts w:hint="cs"/>
          <w:rtl/>
        </w:rPr>
        <w:t>דברי המנחת כהן דלרמב"ן השיעור הוא רק שישים וקפילא מהני רק כשלא ידוע כמה האיסור</w:t>
      </w:r>
      <w:bookmarkEnd w:id="2184"/>
      <w:bookmarkEnd w:id="2185"/>
      <w:bookmarkEnd w:id="2186"/>
      <w:bookmarkEnd w:id="2187"/>
      <w:bookmarkEnd w:id="2188"/>
      <w:bookmarkEnd w:id="2189"/>
      <w:bookmarkEnd w:id="2190"/>
      <w:bookmarkEnd w:id="2191"/>
      <w:bookmarkEnd w:id="2192"/>
      <w:bookmarkEnd w:id="2193"/>
    </w:p>
    <w:p w:rsidR="00BE3B3A" w:rsidRPr="0050146A" w:rsidRDefault="00BE3B3A" w:rsidP="009F44AF">
      <w:pPr>
        <w:pStyle w:val="a"/>
        <w:rPr>
          <w:rtl/>
        </w:rPr>
      </w:pPr>
      <w:r w:rsidRPr="0050146A">
        <w:rPr>
          <w:rFonts w:hint="cs"/>
          <w:rtl/>
        </w:rPr>
        <w:t xml:space="preserve">וכתב </w:t>
      </w:r>
      <w:r w:rsidRPr="0050146A">
        <w:rPr>
          <w:rStyle w:val="af8"/>
          <w:rFonts w:hint="cs"/>
          <w:rtl/>
        </w:rPr>
        <w:t>המנחת כהן</w:t>
      </w:r>
      <w:r w:rsidRPr="0050146A">
        <w:rPr>
          <w:rFonts w:hint="cs"/>
          <w:rtl/>
        </w:rPr>
        <w:t xml:space="preserve"> דא"כ מבואר דלדעת </w:t>
      </w:r>
      <w:r w:rsidRPr="0050146A">
        <w:rPr>
          <w:rStyle w:val="af8"/>
          <w:rFonts w:hint="cs"/>
          <w:rtl/>
        </w:rPr>
        <w:t>הרמב"ן והרשב"א והר"ן</w:t>
      </w:r>
      <w:r w:rsidRPr="0050146A">
        <w:rPr>
          <w:rFonts w:hint="cs"/>
          <w:rtl/>
        </w:rPr>
        <w:t xml:space="preserve"> שיעור ההיתר רק בשישים, וכ"מ שנאמר דין קפילא הוא </w:t>
      </w:r>
      <w:r w:rsidRPr="0050146A">
        <w:rPr>
          <w:rFonts w:hint="cs"/>
          <w:rtl/>
        </w:rPr>
        <w:t>במקום שלא נמחה גוף האיסור, ורק צירו ורוטבו נתערבו בהיתר, דכיון שלא ידוע כמה יצא מהאיסור לכן נאמן הקפילא לומר שטעם האיסור נתבטל בהיתר.</w:t>
      </w:r>
    </w:p>
    <w:p w:rsidR="00BE3B3A" w:rsidRPr="0050146A" w:rsidRDefault="00BE3B3A" w:rsidP="00BE3B3A">
      <w:pPr>
        <w:pStyle w:val="a2"/>
        <w:rPr>
          <w:rtl/>
        </w:rPr>
      </w:pPr>
      <w:bookmarkStart w:id="2194" w:name="_Toc8986310"/>
      <w:bookmarkStart w:id="2195" w:name="_Toc9108625"/>
      <w:bookmarkStart w:id="2196" w:name="_Toc9110180"/>
      <w:bookmarkStart w:id="2197" w:name="_Toc9114542"/>
      <w:bookmarkStart w:id="2198" w:name="_Toc9149585"/>
      <w:bookmarkStart w:id="2199" w:name="_Toc9289771"/>
      <w:bookmarkStart w:id="2200" w:name="_Toc11573417"/>
      <w:r w:rsidRPr="0050146A">
        <w:rPr>
          <w:rFonts w:hint="cs"/>
          <w:rtl/>
        </w:rPr>
        <w:t>דברי הפרמ"ג דבנימוח האיסור מסתמא יש טעם בפחות משישים  והקפילא משקר שאין טעם</w:t>
      </w:r>
      <w:bookmarkEnd w:id="2194"/>
      <w:bookmarkEnd w:id="2195"/>
      <w:bookmarkEnd w:id="2196"/>
      <w:bookmarkEnd w:id="2197"/>
      <w:bookmarkEnd w:id="2198"/>
      <w:bookmarkEnd w:id="2199"/>
      <w:bookmarkEnd w:id="2200"/>
    </w:p>
    <w:p w:rsidR="00BE3B3A" w:rsidRPr="0050146A" w:rsidRDefault="00BE3B3A" w:rsidP="009F44AF">
      <w:pPr>
        <w:pStyle w:val="a"/>
        <w:rPr>
          <w:rtl/>
        </w:rPr>
      </w:pPr>
      <w:r w:rsidRPr="0050146A">
        <w:rPr>
          <w:rFonts w:hint="cs"/>
          <w:rtl/>
        </w:rPr>
        <w:t xml:space="preserve">וכן ביאר </w:t>
      </w:r>
      <w:r w:rsidRPr="0050146A">
        <w:rPr>
          <w:rStyle w:val="af8"/>
          <w:rFonts w:hint="cs"/>
          <w:rtl/>
        </w:rPr>
        <w:t>הפרמ"ג</w:t>
      </w:r>
      <w:r w:rsidRPr="0050146A">
        <w:rPr>
          <w:rFonts w:hint="cs"/>
          <w:rtl/>
        </w:rPr>
        <w:t xml:space="preserve"> </w:t>
      </w:r>
      <w:r w:rsidRPr="0050146A">
        <w:rPr>
          <w:rStyle w:val="af6"/>
          <w:rFonts w:eastAsia="Guttman Hodes" w:hint="cs"/>
          <w:rtl/>
        </w:rPr>
        <w:t>(פתיחה להל' תערובות ח"ג פ"ה ד"ה ואחר העיון)</w:t>
      </w:r>
      <w:r w:rsidRPr="0050146A">
        <w:rPr>
          <w:rFonts w:hint="cs"/>
          <w:rtl/>
        </w:rPr>
        <w:t xml:space="preserve"> בדעת </w:t>
      </w:r>
      <w:r w:rsidRPr="0050146A">
        <w:rPr>
          <w:rStyle w:val="af8"/>
          <w:rFonts w:hint="cs"/>
          <w:rtl/>
        </w:rPr>
        <w:t>הרמב"ן</w:t>
      </w:r>
      <w:r w:rsidRPr="0050146A">
        <w:rPr>
          <w:rFonts w:hint="cs"/>
          <w:rtl/>
        </w:rPr>
        <w:t xml:space="preserve"> דבפחות משישים כל שאומר הקפילא שאין בו טעם, אמרינן דהוא משקר, דהא יש נתינת טעם בפחות משישים, אך זהו דוקא בנימוח גוף האיסור, אבל במקום שהאיסור ניכר, ויש בהיתר רק את פליטת האיסור, כשאומר הקפילא שאין בו טעם מוכח שיש שישים בהיתר, כנגד מה שפלט האיסור.</w:t>
      </w:r>
    </w:p>
    <w:p w:rsidR="00BE3B3A" w:rsidRPr="0050146A" w:rsidRDefault="00BE3B3A" w:rsidP="00BE3B3A">
      <w:pPr>
        <w:pStyle w:val="a2"/>
        <w:rPr>
          <w:rtl/>
        </w:rPr>
      </w:pPr>
      <w:bookmarkStart w:id="2201" w:name="_Toc8937276"/>
      <w:bookmarkStart w:id="2202" w:name="_Toc8938262"/>
      <w:bookmarkStart w:id="2203" w:name="_Toc8979164"/>
      <w:bookmarkStart w:id="2204" w:name="_Toc8986311"/>
      <w:bookmarkStart w:id="2205" w:name="_Toc9108626"/>
      <w:bookmarkStart w:id="2206" w:name="_Toc9110181"/>
      <w:bookmarkStart w:id="2207" w:name="_Toc9114543"/>
      <w:bookmarkStart w:id="2208" w:name="_Toc9149586"/>
      <w:bookmarkStart w:id="2209" w:name="_Toc9289772"/>
      <w:bookmarkStart w:id="2210" w:name="_Toc11573418"/>
      <w:r w:rsidRPr="0050146A">
        <w:rPr>
          <w:rFonts w:hint="cs"/>
          <w:rtl/>
        </w:rPr>
        <w:t>דברי הב"ח דבאומר ישראל שאין טעם איסור אף לרמב"ן מהני בגוף האיסור דאינו משקר</w:t>
      </w:r>
      <w:bookmarkEnd w:id="2201"/>
      <w:bookmarkEnd w:id="2202"/>
      <w:bookmarkEnd w:id="2203"/>
      <w:bookmarkEnd w:id="2204"/>
      <w:bookmarkEnd w:id="2205"/>
      <w:bookmarkEnd w:id="2206"/>
      <w:bookmarkEnd w:id="2207"/>
      <w:bookmarkEnd w:id="2208"/>
      <w:bookmarkEnd w:id="2209"/>
      <w:bookmarkEnd w:id="2210"/>
    </w:p>
    <w:p w:rsidR="00BE3B3A" w:rsidRPr="0050146A" w:rsidRDefault="00BE3B3A" w:rsidP="009F44AF">
      <w:pPr>
        <w:pStyle w:val="a"/>
        <w:rPr>
          <w:rtl/>
        </w:rPr>
      </w:pPr>
      <w:r w:rsidRPr="0050146A">
        <w:rPr>
          <w:rFonts w:hint="cs"/>
          <w:rtl/>
        </w:rPr>
        <w:t xml:space="preserve">וע"ע בדברי </w:t>
      </w:r>
      <w:r w:rsidRPr="0050146A">
        <w:rPr>
          <w:rStyle w:val="af8"/>
          <w:rFonts w:hint="cs"/>
          <w:rtl/>
        </w:rPr>
        <w:t>הב"ח</w:t>
      </w:r>
      <w:r w:rsidRPr="0050146A">
        <w:rPr>
          <w:rFonts w:hint="cs"/>
          <w:rtl/>
        </w:rPr>
        <w:t xml:space="preserve"> </w:t>
      </w:r>
      <w:r w:rsidRPr="0050146A">
        <w:rPr>
          <w:rStyle w:val="af6"/>
          <w:rFonts w:eastAsia="Guttman Hodes" w:hint="cs"/>
          <w:rtl/>
        </w:rPr>
        <w:t>(סי' צ"ח ג')</w:t>
      </w:r>
      <w:r w:rsidRPr="0050146A">
        <w:rPr>
          <w:rFonts w:hint="cs"/>
          <w:rtl/>
        </w:rPr>
        <w:t xml:space="preserve"> דכתב דאף לדעת </w:t>
      </w:r>
      <w:r w:rsidRPr="0050146A">
        <w:rPr>
          <w:rStyle w:val="af8"/>
          <w:rFonts w:hint="cs"/>
          <w:rtl/>
        </w:rPr>
        <w:t>הרמב"ן</w:t>
      </w:r>
      <w:r w:rsidRPr="0050146A">
        <w:rPr>
          <w:rFonts w:hint="cs"/>
          <w:rtl/>
        </w:rPr>
        <w:t xml:space="preserve"> דבגוף האיסור לא מהני קפילא, היינו דוקא בעכו"ם דכיון שגוף האיסור מעורב בהיתר לא סמכינן עליה שאין בו טעם איסור בפחות משישים, כיון שיש רוב דבפחות משישים מרגישים את האיסור, אבל כשאומר ישראל שאין בו טעם איסור, סמכינן עליה אף בפחות משישים, דהא אינו משקר.</w:t>
      </w:r>
    </w:p>
    <w:p w:rsidR="00BE3B3A" w:rsidRPr="0050146A" w:rsidRDefault="00BE3B3A" w:rsidP="00BE3B3A">
      <w:pPr>
        <w:pStyle w:val="1"/>
        <w:rPr>
          <w:rtl/>
        </w:rPr>
      </w:pPr>
      <w:bookmarkStart w:id="2211" w:name="_Toc8933408"/>
      <w:bookmarkStart w:id="2212" w:name="_Toc8937277"/>
      <w:bookmarkStart w:id="2213" w:name="_Toc8938263"/>
      <w:bookmarkStart w:id="2214" w:name="_Toc8979165"/>
      <w:bookmarkStart w:id="2215" w:name="_Toc8986312"/>
      <w:bookmarkStart w:id="2216" w:name="_Toc9108627"/>
      <w:bookmarkStart w:id="2217" w:name="_Toc9110182"/>
      <w:bookmarkStart w:id="2218" w:name="_Toc9114544"/>
      <w:bookmarkStart w:id="2219" w:name="_Toc9149587"/>
      <w:bookmarkStart w:id="2220" w:name="_Toc9289773"/>
      <w:bookmarkStart w:id="2221" w:name="_Toc11573419"/>
      <w:bookmarkStart w:id="2222" w:name="_Toc6953539"/>
      <w:bookmarkStart w:id="2223" w:name="_Toc8578662"/>
      <w:bookmarkStart w:id="2224" w:name="_Toc8765436"/>
      <w:bookmarkStart w:id="2225" w:name="_Toc8923205"/>
      <w:bookmarkStart w:id="2226" w:name="_Toc8933409"/>
      <w:r w:rsidRPr="0050146A">
        <w:rPr>
          <w:rFonts w:hint="cs"/>
          <w:rtl/>
        </w:rPr>
        <w:t>ביאור היד יהודה והחת"ס ברמב"ן</w:t>
      </w:r>
      <w:bookmarkEnd w:id="2211"/>
      <w:bookmarkEnd w:id="2212"/>
      <w:bookmarkEnd w:id="2213"/>
      <w:bookmarkEnd w:id="2214"/>
      <w:r w:rsidRPr="0050146A">
        <w:rPr>
          <w:rFonts w:hint="cs"/>
          <w:rtl/>
        </w:rPr>
        <w:t xml:space="preserve"> דצריך שישים דלא פלוג רבנן</w:t>
      </w:r>
      <w:bookmarkEnd w:id="2215"/>
      <w:bookmarkEnd w:id="2216"/>
      <w:bookmarkEnd w:id="2217"/>
      <w:bookmarkEnd w:id="2218"/>
      <w:bookmarkEnd w:id="2219"/>
      <w:bookmarkEnd w:id="2220"/>
      <w:bookmarkEnd w:id="2221"/>
    </w:p>
    <w:p w:rsidR="00BE3B3A" w:rsidRPr="0050146A" w:rsidRDefault="00BE3B3A" w:rsidP="00BE3B3A">
      <w:pPr>
        <w:pStyle w:val="a2"/>
        <w:rPr>
          <w:rtl/>
        </w:rPr>
      </w:pPr>
      <w:bookmarkStart w:id="2227" w:name="_Toc8986313"/>
      <w:bookmarkStart w:id="2228" w:name="_Toc9108628"/>
      <w:bookmarkStart w:id="2229" w:name="_Toc9110183"/>
      <w:bookmarkStart w:id="2230" w:name="_Toc9114545"/>
      <w:bookmarkStart w:id="2231" w:name="_Toc9149588"/>
      <w:bookmarkStart w:id="2232" w:name="_Toc9289774"/>
      <w:bookmarkStart w:id="2233" w:name="_Toc11573420"/>
      <w:r w:rsidRPr="0050146A">
        <w:rPr>
          <w:rFonts w:hint="cs"/>
          <w:rtl/>
        </w:rPr>
        <w:t>דברי היד יהודה דבנימוח האיסור ס"ל להרמב"ן דגזרו חכמים שלא יתבטל בפחות משישים</w:t>
      </w:r>
      <w:bookmarkEnd w:id="2227"/>
      <w:bookmarkEnd w:id="2228"/>
      <w:bookmarkEnd w:id="2229"/>
      <w:bookmarkEnd w:id="2230"/>
      <w:bookmarkEnd w:id="2231"/>
      <w:bookmarkEnd w:id="2232"/>
      <w:bookmarkEnd w:id="2233"/>
    </w:p>
    <w:p w:rsidR="00BE3B3A" w:rsidRPr="0050146A" w:rsidRDefault="00BE3B3A" w:rsidP="009F44AF">
      <w:pPr>
        <w:pStyle w:val="a"/>
      </w:pPr>
      <w:bookmarkStart w:id="2234" w:name="_Ref8984814"/>
      <w:bookmarkStart w:id="2235" w:name="_Toc8937278"/>
      <w:bookmarkStart w:id="2236" w:name="_Toc8938264"/>
      <w:bookmarkStart w:id="2237" w:name="_Toc8979166"/>
      <w:r w:rsidRPr="0050146A">
        <w:rPr>
          <w:rStyle w:val="af8"/>
          <w:rFonts w:hint="cs"/>
          <w:rtl/>
        </w:rPr>
        <w:t>והיד יהודה</w:t>
      </w:r>
      <w:r w:rsidRPr="0050146A">
        <w:rPr>
          <w:rFonts w:hint="cs"/>
          <w:rtl/>
        </w:rPr>
        <w:t xml:space="preserve"> </w:t>
      </w:r>
      <w:r w:rsidRPr="0050146A">
        <w:rPr>
          <w:rStyle w:val="af6"/>
          <w:rFonts w:eastAsia="Guttman Hodes" w:hint="cs"/>
          <w:rtl/>
        </w:rPr>
        <w:t>(סי' צ"ח סק"ג ד"ה אבל התוס')</w:t>
      </w:r>
      <w:r w:rsidRPr="0050146A">
        <w:rPr>
          <w:rFonts w:hint="cs"/>
          <w:rtl/>
        </w:rPr>
        <w:t xml:space="preserve"> ביאר דבנימוח גוף האיסור ס"ל </w:t>
      </w:r>
      <w:r w:rsidRPr="0050146A">
        <w:rPr>
          <w:rStyle w:val="af8"/>
          <w:rFonts w:hint="cs"/>
          <w:rtl/>
        </w:rPr>
        <w:t>להרמב"ן והרשב"א</w:t>
      </w:r>
      <w:r w:rsidRPr="0050146A">
        <w:rPr>
          <w:rStyle w:val="afa"/>
          <w:rFonts w:hint="cs"/>
          <w:rtl/>
        </w:rPr>
        <w:t xml:space="preserve"> [וכדביאר </w:t>
      </w:r>
      <w:r w:rsidRPr="0050146A">
        <w:rPr>
          <w:rStyle w:val="affa"/>
          <w:rFonts w:hint="cs"/>
          <w:rtl/>
        </w:rPr>
        <w:t>היד יהודה</w:t>
      </w:r>
      <w:r w:rsidRPr="0050146A">
        <w:rPr>
          <w:rStyle w:val="afa"/>
          <w:rFonts w:hint="cs"/>
          <w:rtl/>
        </w:rPr>
        <w:t xml:space="preserve"> בדעת </w:t>
      </w:r>
      <w:r w:rsidRPr="0050146A">
        <w:rPr>
          <w:rStyle w:val="affa"/>
          <w:rFonts w:hint="cs"/>
          <w:rtl/>
        </w:rPr>
        <w:t>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Ref8984719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כח)</w:t>
      </w:r>
      <w:r w:rsidRPr="0050146A">
        <w:rPr>
          <w:rStyle w:val="aff6"/>
          <w:rtl/>
        </w:rPr>
        <w:fldChar w:fldCharType="end"/>
      </w:r>
      <w:r w:rsidRPr="0050146A">
        <w:rPr>
          <w:rStyle w:val="afa"/>
          <w:rFonts w:hint="cs"/>
          <w:rtl/>
        </w:rPr>
        <w:t xml:space="preserve">] </w:t>
      </w:r>
      <w:r w:rsidRPr="0050146A">
        <w:rPr>
          <w:rFonts w:hint="cs"/>
          <w:rtl/>
        </w:rPr>
        <w:t xml:space="preserve">דאף שאמר הקפילא שאין טעם, מ"מ כיון שיש איסורים שנותנים טעם ביותר משישים, לכן גזרו חכמים שלא יתבטל שום איסור בפחות משישים, וכדכתב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Ref8978750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50146A">
        <w:rPr>
          <w:rStyle w:val="af6"/>
          <w:rFonts w:eastAsia="Guttman Hodes"/>
          <w:rtl/>
        </w:rPr>
        <w:fldChar w:fldCharType="end"/>
      </w:r>
      <w:r w:rsidRPr="0050146A">
        <w:rPr>
          <w:rFonts w:hint="cs"/>
          <w:rtl/>
        </w:rPr>
        <w:t>.</w:t>
      </w:r>
      <w:bookmarkEnd w:id="2234"/>
    </w:p>
    <w:p w:rsidR="00BE3B3A" w:rsidRPr="0050146A" w:rsidRDefault="00BE3B3A" w:rsidP="00BE3B3A">
      <w:pPr>
        <w:pStyle w:val="a2"/>
        <w:rPr>
          <w:rtl/>
        </w:rPr>
      </w:pPr>
      <w:bookmarkStart w:id="2238" w:name="_Toc8986314"/>
      <w:bookmarkStart w:id="2239" w:name="_Toc9108629"/>
      <w:bookmarkStart w:id="2240" w:name="_Toc9110184"/>
      <w:bookmarkStart w:id="2241" w:name="_Toc9114546"/>
      <w:bookmarkStart w:id="2242" w:name="_Toc9149589"/>
      <w:bookmarkStart w:id="2243" w:name="_Toc9289775"/>
      <w:bookmarkStart w:id="2244" w:name="_Toc11573421"/>
      <w:r w:rsidRPr="0050146A">
        <w:rPr>
          <w:rFonts w:hint="cs"/>
          <w:rtl/>
        </w:rPr>
        <w:t>דברי החת"ס דלרמב"ן לא פלוג רבנן בשיעורים ולכן אף כשאין טעם צריך שישים</w:t>
      </w:r>
      <w:bookmarkEnd w:id="2235"/>
      <w:bookmarkEnd w:id="2236"/>
      <w:bookmarkEnd w:id="2237"/>
      <w:bookmarkEnd w:id="2238"/>
      <w:bookmarkEnd w:id="2239"/>
      <w:bookmarkEnd w:id="2240"/>
      <w:bookmarkEnd w:id="2241"/>
      <w:bookmarkEnd w:id="2242"/>
      <w:bookmarkEnd w:id="2243"/>
      <w:bookmarkEnd w:id="2244"/>
    </w:p>
    <w:p w:rsidR="00BE3B3A" w:rsidRPr="0050146A" w:rsidRDefault="00BE3B3A" w:rsidP="009F44AF">
      <w:pPr>
        <w:pStyle w:val="a"/>
        <w:rPr>
          <w:rStyle w:val="afa"/>
          <w:rtl/>
        </w:rPr>
      </w:pPr>
      <w:bookmarkStart w:id="2245" w:name="_Ref8831052"/>
      <w:r w:rsidRPr="0050146A">
        <w:rPr>
          <w:rStyle w:val="af8"/>
          <w:rFonts w:hint="cs"/>
          <w:rtl/>
        </w:rPr>
        <w:t>והחת"ס לקמן</w:t>
      </w:r>
      <w:r w:rsidRPr="0050146A">
        <w:rPr>
          <w:rFonts w:hint="cs"/>
          <w:rtl/>
        </w:rPr>
        <w:t xml:space="preserve"> </w:t>
      </w:r>
      <w:r w:rsidRPr="0050146A">
        <w:rPr>
          <w:rStyle w:val="af6"/>
          <w:rFonts w:eastAsia="Guttman Hodes" w:hint="cs"/>
          <w:rtl/>
        </w:rPr>
        <w:t xml:space="preserve">(צח. ד"ה כל) </w:t>
      </w:r>
      <w:r w:rsidRPr="0050146A">
        <w:rPr>
          <w:rFonts w:hint="cs"/>
          <w:rtl/>
        </w:rPr>
        <w:t xml:space="preserve">כתב דדעת </w:t>
      </w:r>
      <w:r w:rsidRPr="0050146A">
        <w:rPr>
          <w:rStyle w:val="af8"/>
          <w:rFonts w:hint="cs"/>
          <w:rtl/>
        </w:rPr>
        <w:t>הרמב"ן</w:t>
      </w:r>
      <w:r w:rsidRPr="0050146A">
        <w:rPr>
          <w:rFonts w:hint="cs"/>
          <w:rtl/>
        </w:rPr>
        <w:t xml:space="preserve"> דלא פלוג רבנן בשיעורים, ולכן הצריכו שישים אף במקום שאמר הקפילא שאין טעם, ובמקום שיש טעם אף שיש שישים לא בטיל, ואפש"ל דס"ל </w:t>
      </w:r>
      <w:r w:rsidRPr="0050146A">
        <w:rPr>
          <w:rStyle w:val="af8"/>
          <w:rFonts w:hint="cs"/>
          <w:rtl/>
        </w:rPr>
        <w:t>להרמב"ן</w:t>
      </w:r>
      <w:r w:rsidRPr="0050146A">
        <w:rPr>
          <w:rFonts w:hint="cs"/>
          <w:rtl/>
        </w:rPr>
        <w:t xml:space="preserve"> דטעם כעיקר דאו'. </w:t>
      </w:r>
      <w:r w:rsidRPr="0050146A">
        <w:rPr>
          <w:rStyle w:val="afa"/>
          <w:rFonts w:hint="cs"/>
          <w:rtl/>
        </w:rPr>
        <w:t xml:space="preserve">[ודלא כביאור </w:t>
      </w:r>
      <w:r w:rsidRPr="0050146A">
        <w:rPr>
          <w:rStyle w:val="affa"/>
          <w:rFonts w:hint="cs"/>
          <w:rtl/>
        </w:rPr>
        <w:t>החת"ס</w:t>
      </w:r>
      <w:r w:rsidRPr="0050146A">
        <w:rPr>
          <w:rStyle w:val="afa"/>
          <w:rFonts w:hint="cs"/>
          <w:rtl/>
        </w:rPr>
        <w:t xml:space="preserve"> בדעת </w:t>
      </w:r>
      <w:r w:rsidRPr="0050146A">
        <w:rPr>
          <w:rStyle w:val="affa"/>
          <w:rFonts w:hint="cs"/>
          <w:rtl/>
        </w:rPr>
        <w:t>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Ref8832530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כו)</w:t>
      </w:r>
      <w:r w:rsidRPr="0050146A">
        <w:rPr>
          <w:rStyle w:val="aff6"/>
          <w:rtl/>
        </w:rPr>
        <w:fldChar w:fldCharType="end"/>
      </w:r>
      <w:r w:rsidRPr="0050146A">
        <w:rPr>
          <w:rStyle w:val="afa"/>
          <w:rFonts w:hint="cs"/>
          <w:rtl/>
        </w:rPr>
        <w:t xml:space="preserve"> דשיעור שישים הוא מדאו'].</w:t>
      </w:r>
      <w:bookmarkEnd w:id="2245"/>
    </w:p>
    <w:p w:rsidR="00BE3B3A" w:rsidRPr="0050146A" w:rsidRDefault="00BE3B3A" w:rsidP="00BE3B3A">
      <w:pPr>
        <w:pStyle w:val="a2"/>
      </w:pPr>
      <w:bookmarkStart w:id="2246" w:name="_Toc8937279"/>
      <w:bookmarkStart w:id="2247" w:name="_Toc8938265"/>
      <w:bookmarkStart w:id="2248" w:name="_Toc8979167"/>
      <w:bookmarkStart w:id="2249" w:name="_Toc8986315"/>
      <w:bookmarkStart w:id="2250" w:name="_Toc9108630"/>
      <w:bookmarkStart w:id="2251" w:name="_Toc9110185"/>
      <w:bookmarkStart w:id="2252" w:name="_Toc9114547"/>
      <w:bookmarkStart w:id="2253" w:name="_Toc9149590"/>
      <w:bookmarkStart w:id="2254" w:name="_Toc9289776"/>
      <w:bookmarkStart w:id="2255" w:name="_Toc11573422"/>
      <w:r w:rsidRPr="0050146A">
        <w:rPr>
          <w:rFonts w:hint="cs"/>
          <w:rtl/>
        </w:rPr>
        <w:t>ביאור החת"ס ברמב"ן דמקובל לחז"ל דרוב האיסורים אינם נותנים טעם ביותר משישים</w:t>
      </w:r>
      <w:bookmarkEnd w:id="2246"/>
      <w:bookmarkEnd w:id="2247"/>
      <w:bookmarkEnd w:id="2248"/>
      <w:bookmarkEnd w:id="2249"/>
      <w:bookmarkEnd w:id="2250"/>
      <w:bookmarkEnd w:id="2251"/>
      <w:bookmarkEnd w:id="2252"/>
      <w:bookmarkEnd w:id="2253"/>
      <w:bookmarkEnd w:id="2254"/>
      <w:bookmarkEnd w:id="2255"/>
    </w:p>
    <w:p w:rsidR="00BE3B3A" w:rsidRPr="0050146A" w:rsidRDefault="00BE3B3A" w:rsidP="009F44AF">
      <w:pPr>
        <w:pStyle w:val="a"/>
        <w:rPr>
          <w:rtl/>
        </w:rPr>
      </w:pPr>
      <w:bookmarkStart w:id="2256" w:name="_Ref8831062"/>
      <w:r w:rsidRPr="0050146A">
        <w:rPr>
          <w:rFonts w:hint="cs"/>
          <w:rtl/>
        </w:rPr>
        <w:t xml:space="preserve">וביאר </w:t>
      </w:r>
      <w:r w:rsidRPr="0050146A">
        <w:rPr>
          <w:rStyle w:val="af8"/>
          <w:rFonts w:hint="cs"/>
          <w:rtl/>
        </w:rPr>
        <w:t>החת"ס</w:t>
      </w:r>
      <w:r w:rsidRPr="0050146A">
        <w:rPr>
          <w:rFonts w:hint="cs"/>
          <w:rtl/>
        </w:rPr>
        <w:t xml:space="preserve"> דיש לחז"ל קבלה שרוב האיסורים אינם נותנים טעם ביותר משישים, ולכן במקום שיש שישים, אף שיש קפילא א"צ להטעימו, דסמכינן על קבלת חז"ל שהסמיכוה על קרא דזרוע בשלה.</w:t>
      </w:r>
      <w:bookmarkEnd w:id="2256"/>
      <w:r w:rsidRPr="0050146A">
        <w:rPr>
          <w:rFonts w:hint="cs"/>
          <w:rtl/>
        </w:rPr>
        <w:t xml:space="preserve"> </w:t>
      </w:r>
    </w:p>
    <w:p w:rsidR="00BE3B3A" w:rsidRPr="0050146A" w:rsidRDefault="00BE3B3A" w:rsidP="00BE3B3A">
      <w:pPr>
        <w:pStyle w:val="1"/>
        <w:rPr>
          <w:rtl/>
        </w:rPr>
      </w:pPr>
      <w:bookmarkStart w:id="2257" w:name="_Toc8986317"/>
      <w:bookmarkStart w:id="2258" w:name="_Toc9108632"/>
      <w:bookmarkStart w:id="2259" w:name="_Toc9110187"/>
      <w:bookmarkStart w:id="2260" w:name="_Toc9114549"/>
      <w:bookmarkStart w:id="2261" w:name="_Toc9149592"/>
      <w:bookmarkStart w:id="2262" w:name="_Toc9289777"/>
      <w:bookmarkStart w:id="2263" w:name="_Toc11573423"/>
      <w:bookmarkStart w:id="2264" w:name="_Toc8938267"/>
      <w:bookmarkStart w:id="2265" w:name="_Toc8979169"/>
      <w:bookmarkStart w:id="2266" w:name="_Toc6823633"/>
      <w:bookmarkStart w:id="2267" w:name="_Toc6953545"/>
      <w:bookmarkStart w:id="2268" w:name="_Toc8578668"/>
      <w:bookmarkStart w:id="2269" w:name="_Toc8765442"/>
      <w:bookmarkStart w:id="2270" w:name="_Toc8923209"/>
      <w:bookmarkStart w:id="2271" w:name="_Toc8933411"/>
      <w:bookmarkStart w:id="2272" w:name="_Toc8937281"/>
      <w:bookmarkEnd w:id="2222"/>
      <w:bookmarkEnd w:id="2223"/>
      <w:bookmarkEnd w:id="2224"/>
      <w:bookmarkEnd w:id="2225"/>
      <w:bookmarkEnd w:id="2226"/>
      <w:r w:rsidRPr="0050146A">
        <w:rPr>
          <w:rFonts w:hint="cs"/>
          <w:rtl/>
        </w:rPr>
        <w:t>ביאור החוו"ד ברמב"ן דמדאו' ל"מ קפילא בפחות משישים</w:t>
      </w:r>
      <w:bookmarkEnd w:id="2257"/>
      <w:bookmarkEnd w:id="2258"/>
      <w:bookmarkEnd w:id="2259"/>
      <w:bookmarkEnd w:id="2260"/>
      <w:bookmarkEnd w:id="2261"/>
      <w:bookmarkEnd w:id="2262"/>
      <w:bookmarkEnd w:id="2263"/>
      <w:r w:rsidRPr="0050146A">
        <w:rPr>
          <w:rFonts w:hint="cs"/>
          <w:rtl/>
        </w:rPr>
        <w:t xml:space="preserve"> </w:t>
      </w:r>
    </w:p>
    <w:p w:rsidR="00BE3B3A" w:rsidRPr="0050146A" w:rsidRDefault="00BE3B3A" w:rsidP="00BE3B3A">
      <w:pPr>
        <w:pStyle w:val="a2"/>
        <w:rPr>
          <w:rtl/>
        </w:rPr>
      </w:pPr>
      <w:bookmarkStart w:id="2273" w:name="_Toc8986318"/>
      <w:bookmarkStart w:id="2274" w:name="_Toc9108633"/>
      <w:bookmarkStart w:id="2275" w:name="_Toc9110188"/>
      <w:bookmarkStart w:id="2276" w:name="_Toc9114550"/>
      <w:bookmarkStart w:id="2277" w:name="_Toc9149593"/>
      <w:bookmarkStart w:id="2278" w:name="_Toc9289778"/>
      <w:bookmarkStart w:id="2279" w:name="_Toc11573424"/>
      <w:r w:rsidRPr="0050146A">
        <w:rPr>
          <w:rFonts w:hint="cs"/>
          <w:rtl/>
        </w:rPr>
        <w:t>ביאור החוו"ד דשיעור שישים הוא מדאו' ולכן בנימוח גוף האיסור ל"מ קפילא בפחות משישים</w:t>
      </w:r>
      <w:bookmarkEnd w:id="2273"/>
      <w:bookmarkEnd w:id="2274"/>
      <w:bookmarkEnd w:id="2275"/>
      <w:bookmarkEnd w:id="2276"/>
      <w:bookmarkEnd w:id="2277"/>
      <w:bookmarkEnd w:id="2278"/>
      <w:bookmarkEnd w:id="2279"/>
    </w:p>
    <w:p w:rsidR="00BE3B3A" w:rsidRPr="0050146A" w:rsidRDefault="00BE3B3A" w:rsidP="009F44AF">
      <w:pPr>
        <w:pStyle w:val="a"/>
        <w:rPr>
          <w:rtl/>
        </w:rPr>
      </w:pPr>
      <w:r w:rsidRPr="0050146A">
        <w:rPr>
          <w:rFonts w:hint="cs"/>
          <w:rtl/>
        </w:rPr>
        <w:t xml:space="preserve">אבל </w:t>
      </w:r>
      <w:r w:rsidRPr="0050146A">
        <w:rPr>
          <w:rStyle w:val="af8"/>
          <w:rFonts w:hint="cs"/>
          <w:rtl/>
        </w:rPr>
        <w:t>החוו"ד</w:t>
      </w:r>
      <w:r w:rsidRPr="0050146A">
        <w:rPr>
          <w:rFonts w:hint="cs"/>
          <w:rtl/>
        </w:rPr>
        <w:t xml:space="preserve"> </w:t>
      </w:r>
      <w:r w:rsidRPr="0050146A">
        <w:rPr>
          <w:rStyle w:val="af6"/>
          <w:rFonts w:eastAsia="Guttman Hodes" w:hint="cs"/>
          <w:rtl/>
        </w:rPr>
        <w:t xml:space="preserve">(סי' צ"ח סק"ג בתו"ד) </w:t>
      </w:r>
      <w:r w:rsidRPr="0050146A">
        <w:rPr>
          <w:rFonts w:hint="cs"/>
          <w:rtl/>
        </w:rPr>
        <w:t xml:space="preserve">כתב דס"ל </w:t>
      </w:r>
      <w:r w:rsidRPr="0050146A">
        <w:rPr>
          <w:rStyle w:val="af8"/>
          <w:rFonts w:hint="cs"/>
          <w:rtl/>
        </w:rPr>
        <w:t>להרמב"ן</w:t>
      </w:r>
      <w:r w:rsidRPr="0050146A">
        <w:rPr>
          <w:rFonts w:hint="cs"/>
          <w:rtl/>
        </w:rPr>
        <w:t xml:space="preserve"> דשיעור שישים הוא מדאו' מילפותא דזרוע בשילה, ולכן כשנימוח גוף האיסור לא מהני קפילא בפחות משישים.</w:t>
      </w:r>
    </w:p>
    <w:p w:rsidR="00BE3B3A" w:rsidRPr="0050146A" w:rsidRDefault="00BE3B3A" w:rsidP="00E669F8">
      <w:pPr>
        <w:pStyle w:val="afd"/>
        <w:rPr>
          <w:rtl/>
        </w:rPr>
      </w:pPr>
      <w:bookmarkStart w:id="2280" w:name="_Toc8986319"/>
      <w:bookmarkStart w:id="2281" w:name="_Toc9108634"/>
      <w:bookmarkStart w:id="2282" w:name="_Toc9110189"/>
      <w:bookmarkStart w:id="2283" w:name="_Toc9114551"/>
      <w:bookmarkStart w:id="2284" w:name="_Toc9149594"/>
      <w:bookmarkStart w:id="2285" w:name="_Toc9289779"/>
      <w:bookmarkStart w:id="2286" w:name="_Toc11573425"/>
      <w:r w:rsidRPr="0050146A">
        <w:rPr>
          <w:rFonts w:hint="cs"/>
          <w:rtl/>
        </w:rPr>
        <w:t>בדעת הרמב"ם ד</w:t>
      </w:r>
      <w:bookmarkEnd w:id="2264"/>
      <w:r w:rsidRPr="0050146A">
        <w:rPr>
          <w:rFonts w:hint="cs"/>
          <w:rtl/>
        </w:rPr>
        <w:t>צריך קפילא ולא שישים</w:t>
      </w:r>
      <w:bookmarkEnd w:id="2265"/>
      <w:bookmarkEnd w:id="2280"/>
      <w:bookmarkEnd w:id="2281"/>
      <w:bookmarkEnd w:id="2282"/>
      <w:bookmarkEnd w:id="2283"/>
      <w:bookmarkEnd w:id="2284"/>
      <w:bookmarkEnd w:id="2285"/>
      <w:bookmarkEnd w:id="2286"/>
    </w:p>
    <w:p w:rsidR="00BE3B3A" w:rsidRPr="0050146A" w:rsidRDefault="00BE3B3A" w:rsidP="00BE3B3A">
      <w:pPr>
        <w:pStyle w:val="1"/>
        <w:rPr>
          <w:rtl/>
        </w:rPr>
      </w:pPr>
      <w:bookmarkStart w:id="2287" w:name="_Toc8938268"/>
      <w:bookmarkStart w:id="2288" w:name="_Toc8979170"/>
      <w:bookmarkStart w:id="2289" w:name="_Toc8986320"/>
      <w:bookmarkStart w:id="2290" w:name="_Toc9108635"/>
      <w:bookmarkStart w:id="2291" w:name="_Toc9110190"/>
      <w:bookmarkStart w:id="2292" w:name="_Toc9114552"/>
      <w:bookmarkStart w:id="2293" w:name="_Toc9149595"/>
      <w:bookmarkStart w:id="2294" w:name="_Toc9289780"/>
      <w:bookmarkStart w:id="2295" w:name="_Toc11573426"/>
      <w:r w:rsidRPr="0050146A">
        <w:rPr>
          <w:rFonts w:hint="cs"/>
          <w:rtl/>
        </w:rPr>
        <w:t>דברי הרמב"ם</w:t>
      </w:r>
      <w:bookmarkEnd w:id="2266"/>
      <w:bookmarkEnd w:id="2267"/>
      <w:bookmarkEnd w:id="2268"/>
      <w:bookmarkEnd w:id="2269"/>
      <w:bookmarkEnd w:id="2270"/>
      <w:bookmarkEnd w:id="2271"/>
      <w:bookmarkEnd w:id="2272"/>
      <w:bookmarkEnd w:id="2287"/>
      <w:bookmarkEnd w:id="2288"/>
      <w:r w:rsidRPr="0050146A">
        <w:rPr>
          <w:rFonts w:hint="cs"/>
          <w:rtl/>
        </w:rPr>
        <w:t xml:space="preserve"> דמין בשאינו מינו בנותן טעם ובלא ניכר בשישים</w:t>
      </w:r>
      <w:bookmarkEnd w:id="2289"/>
      <w:bookmarkEnd w:id="2290"/>
      <w:bookmarkEnd w:id="2291"/>
      <w:bookmarkEnd w:id="2292"/>
      <w:bookmarkEnd w:id="2293"/>
      <w:bookmarkEnd w:id="2294"/>
      <w:bookmarkEnd w:id="2295"/>
    </w:p>
    <w:p w:rsidR="00BE3B3A" w:rsidRPr="0050146A" w:rsidRDefault="00BE3B3A" w:rsidP="00BE3B3A">
      <w:pPr>
        <w:pStyle w:val="a2"/>
        <w:rPr>
          <w:rtl/>
        </w:rPr>
      </w:pPr>
      <w:bookmarkStart w:id="2296" w:name="_Toc8938269"/>
      <w:bookmarkStart w:id="2297" w:name="_Toc8979171"/>
      <w:bookmarkStart w:id="2298" w:name="_Toc8986321"/>
      <w:bookmarkStart w:id="2299" w:name="_Toc9108636"/>
      <w:bookmarkStart w:id="2300" w:name="_Toc9110191"/>
      <w:bookmarkStart w:id="2301" w:name="_Toc9114553"/>
      <w:bookmarkStart w:id="2302" w:name="_Toc9149596"/>
      <w:bookmarkStart w:id="2303" w:name="_Toc9289781"/>
      <w:bookmarkStart w:id="2304" w:name="_Toc11573427"/>
      <w:r w:rsidRPr="0050146A">
        <w:rPr>
          <w:rFonts w:hint="cs"/>
          <w:rtl/>
        </w:rPr>
        <w:t>דברי הרמב"ם דבמין בשאינו מינו בנו"ט ובנימוח גופו אסור מדאו' וביש בו רק טעם איסור מדרבנן</w:t>
      </w:r>
      <w:bookmarkEnd w:id="2296"/>
      <w:bookmarkEnd w:id="2297"/>
      <w:bookmarkEnd w:id="2298"/>
      <w:bookmarkEnd w:id="2299"/>
      <w:bookmarkEnd w:id="2300"/>
      <w:bookmarkEnd w:id="2301"/>
      <w:bookmarkEnd w:id="2302"/>
      <w:bookmarkEnd w:id="2303"/>
      <w:bookmarkEnd w:id="2304"/>
    </w:p>
    <w:p w:rsidR="00BE3B3A" w:rsidRPr="0050146A" w:rsidRDefault="00BE3B3A" w:rsidP="009F44AF">
      <w:pPr>
        <w:pStyle w:val="a"/>
        <w:rPr>
          <w:rtl/>
        </w:rPr>
      </w:pPr>
      <w:bookmarkStart w:id="2305" w:name="_Ref8938153"/>
      <w:r w:rsidRPr="0050146A">
        <w:rPr>
          <w:rFonts w:hint="cs"/>
          <w:rtl/>
        </w:rPr>
        <w:t xml:space="preserve">כתב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ה"א)</w:t>
      </w:r>
      <w:r w:rsidRPr="0050146A">
        <w:rPr>
          <w:rFonts w:hint="cs"/>
          <w:rtl/>
        </w:rPr>
        <w:t xml:space="preserve"> דמין בשאינו מינו שיעורו הוא בנותן טעם, והוסיף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ה"ב)</w:t>
      </w:r>
      <w:r w:rsidRPr="0050146A">
        <w:rPr>
          <w:rFonts w:hint="cs"/>
          <w:rtl/>
        </w:rPr>
        <w:t xml:space="preserve"> אם גוף האיסור נימוח בהיתר, ויש </w:t>
      </w:r>
      <w:r w:rsidRPr="0050146A">
        <w:rPr>
          <w:rFonts w:hint="cs"/>
          <w:rtl/>
        </w:rPr>
        <w:lastRenderedPageBreak/>
        <w:t>בהם טעם איסור אסור מדאו', ואם גוף האיסור לא נתערב, אלא יש בהיתר רק את טעם האיסור, אסור מדרבנן.</w:t>
      </w:r>
      <w:bookmarkEnd w:id="2305"/>
    </w:p>
    <w:p w:rsidR="00BE3B3A" w:rsidRPr="0050146A" w:rsidRDefault="00BE3B3A" w:rsidP="00BE3B3A">
      <w:pPr>
        <w:pStyle w:val="a2"/>
        <w:rPr>
          <w:rtl/>
        </w:rPr>
      </w:pPr>
      <w:bookmarkStart w:id="2306" w:name="_Toc8938270"/>
      <w:bookmarkStart w:id="2307" w:name="_Toc8979172"/>
      <w:bookmarkStart w:id="2308" w:name="_Toc8986322"/>
      <w:bookmarkStart w:id="2309" w:name="_Toc9108637"/>
      <w:bookmarkStart w:id="2310" w:name="_Toc9110192"/>
      <w:bookmarkStart w:id="2311" w:name="_Toc9114554"/>
      <w:bookmarkStart w:id="2312" w:name="_Toc9149597"/>
      <w:bookmarkStart w:id="2313" w:name="_Toc9289782"/>
      <w:bookmarkStart w:id="2314" w:name="_Toc11573428"/>
      <w:r w:rsidRPr="0050146A">
        <w:rPr>
          <w:rFonts w:hint="cs"/>
          <w:rtl/>
        </w:rPr>
        <w:t>דברי הרמב"ם דמין במינו אסור מדרבנן עד שיאבד מעוצם מיעוטו ולא יחשב בפנ"ע דהוא שישים</w:t>
      </w:r>
      <w:bookmarkEnd w:id="2306"/>
      <w:bookmarkEnd w:id="2307"/>
      <w:bookmarkEnd w:id="2308"/>
      <w:bookmarkEnd w:id="2309"/>
      <w:bookmarkEnd w:id="2310"/>
      <w:bookmarkEnd w:id="2311"/>
      <w:bookmarkEnd w:id="2312"/>
      <w:bookmarkEnd w:id="2313"/>
      <w:bookmarkEnd w:id="2314"/>
    </w:p>
    <w:p w:rsidR="00010471" w:rsidRPr="0050146A" w:rsidRDefault="00BE3B3A" w:rsidP="009F44AF">
      <w:pPr>
        <w:pStyle w:val="a"/>
        <w:rPr>
          <w:rtl/>
        </w:rPr>
      </w:pPr>
      <w:bookmarkStart w:id="2315" w:name="_Ref8973995"/>
      <w:r w:rsidRPr="0050146A">
        <w:rPr>
          <w:rFonts w:hint="cs"/>
          <w:rtl/>
        </w:rPr>
        <w:t xml:space="preserve">ובמין במינו כתב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ה"א)</w:t>
      </w:r>
      <w:r w:rsidRPr="0050146A">
        <w:rPr>
          <w:rFonts w:hint="cs"/>
          <w:rtl/>
        </w:rPr>
        <w:t xml:space="preserve"> דהוא בטל ברוב, והוסיף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ה"ד)</w:t>
      </w:r>
      <w:r w:rsidRPr="0050146A">
        <w:rPr>
          <w:rFonts w:hint="cs"/>
          <w:rtl/>
        </w:rPr>
        <w:t xml:space="preserve"> דמדאו' חד בתרי בטיל, אבל מדרבנן מין במינו אסור עד שיאבד הדבר האסור מעוצם מיעוטו ולא יהיה האיסור דבר חשוב שעומד בפנ"ע, וביאר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ה"ה)</w:t>
      </w:r>
      <w:r w:rsidRPr="0050146A">
        <w:rPr>
          <w:rFonts w:hint="cs"/>
          <w:rtl/>
        </w:rPr>
        <w:t xml:space="preserve"> דהשיעור שיאבד בעוצם מיעוטו בכל האיסורים שבתורה הוא בשישים.</w:t>
      </w:r>
      <w:bookmarkEnd w:id="2315"/>
    </w:p>
    <w:p w:rsidR="00BE3B3A" w:rsidRPr="0050146A" w:rsidRDefault="00BE3B3A" w:rsidP="00BE3B3A">
      <w:pPr>
        <w:pStyle w:val="a2"/>
      </w:pPr>
      <w:bookmarkStart w:id="2316" w:name="_Toc6953546"/>
      <w:bookmarkStart w:id="2317" w:name="_Toc8578669"/>
      <w:bookmarkStart w:id="2318" w:name="_Toc8765443"/>
      <w:bookmarkStart w:id="2319" w:name="_Toc8923210"/>
      <w:bookmarkStart w:id="2320" w:name="_Toc8933412"/>
      <w:bookmarkStart w:id="2321" w:name="_Toc8937282"/>
      <w:bookmarkStart w:id="2322" w:name="_Toc8938271"/>
      <w:bookmarkStart w:id="2323" w:name="_Toc8979173"/>
      <w:bookmarkStart w:id="2324" w:name="_Toc8986323"/>
      <w:bookmarkStart w:id="2325" w:name="_Toc9108638"/>
      <w:bookmarkStart w:id="2326" w:name="_Toc9110193"/>
      <w:bookmarkStart w:id="2327" w:name="_Toc9114555"/>
      <w:bookmarkStart w:id="2328" w:name="_Toc9149598"/>
      <w:bookmarkStart w:id="2329" w:name="_Toc9289783"/>
      <w:bookmarkStart w:id="2330" w:name="_Toc11573429"/>
      <w:r w:rsidRPr="0050146A">
        <w:rPr>
          <w:rFonts w:hint="cs"/>
          <w:rtl/>
        </w:rPr>
        <w:t>דברי הרמב"ם דהא דמין במינו בשישים הוא כיון שא"א לעמוד על טעמו</w:t>
      </w:r>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p>
    <w:p w:rsidR="00BE3B3A" w:rsidRPr="0050146A" w:rsidRDefault="00BE3B3A" w:rsidP="009F44AF">
      <w:pPr>
        <w:pStyle w:val="a"/>
        <w:rPr>
          <w:rStyle w:val="afa"/>
          <w:rtl/>
        </w:rPr>
      </w:pPr>
      <w:r w:rsidRPr="0050146A">
        <w:rPr>
          <w:rFonts w:hint="cs"/>
          <w:rtl/>
        </w:rPr>
        <w:t xml:space="preserve">והוסיף </w:t>
      </w:r>
      <w:r w:rsidRPr="0050146A">
        <w:rPr>
          <w:rFonts w:hint="cs"/>
          <w:b/>
          <w:bCs/>
          <w:rtl/>
        </w:rPr>
        <w:t>הרמב"ם</w:t>
      </w:r>
      <w:r w:rsidRPr="0050146A">
        <w:rPr>
          <w:rStyle w:val="af6"/>
          <w:rFonts w:eastAsia="Guttman Hodes" w:hint="cs"/>
          <w:rtl/>
        </w:rPr>
        <w:t xml:space="preserve"> (מאכ"א פט"ו ה"ו) </w:t>
      </w:r>
      <w:r w:rsidRPr="0050146A">
        <w:rPr>
          <w:rFonts w:hint="cs"/>
          <w:rtl/>
        </w:rPr>
        <w:t>דבמין בשאינו מינו שיעורו הוא בנותן טעם, ובמין במינו כיון שא"א לעמוד על טעמו, לכן שיעורו הוא בשישים.</w:t>
      </w:r>
      <w:r w:rsidRPr="0050146A">
        <w:rPr>
          <w:rStyle w:val="afa"/>
          <w:rFonts w:hint="cs"/>
          <w:rtl/>
        </w:rPr>
        <w:t xml:space="preserve"> [מלבד תרומה דבמין במינו במאה, ובערלה במאתיים, ויין נסך וטבל בכל שהוא, ובמין בשאינו מינו בכולם השיעור הוא בנותן טעם].</w:t>
      </w:r>
    </w:p>
    <w:p w:rsidR="00BE3B3A" w:rsidRPr="0050146A" w:rsidRDefault="00BE3B3A" w:rsidP="00BE3B3A">
      <w:pPr>
        <w:pStyle w:val="a2"/>
        <w:rPr>
          <w:rtl/>
        </w:rPr>
      </w:pPr>
      <w:bookmarkStart w:id="2331" w:name="_Toc8938272"/>
      <w:bookmarkStart w:id="2332" w:name="_Toc8979174"/>
      <w:bookmarkStart w:id="2333" w:name="_Toc8986324"/>
      <w:bookmarkStart w:id="2334" w:name="_Toc9108639"/>
      <w:bookmarkStart w:id="2335" w:name="_Toc9110194"/>
      <w:bookmarkStart w:id="2336" w:name="_Toc9114556"/>
      <w:bookmarkStart w:id="2337" w:name="_Toc9149599"/>
      <w:bookmarkStart w:id="2338" w:name="_Toc9289784"/>
      <w:bookmarkStart w:id="2339" w:name="_Toc11573430"/>
      <w:r w:rsidRPr="0050146A">
        <w:rPr>
          <w:rFonts w:hint="cs"/>
          <w:rtl/>
        </w:rPr>
        <w:t>דברי הרמב"ם דמין במינו ודבר אחר ונמחה גוף האיסור משערים בשישים דא"א לעמוד על הטעם</w:t>
      </w:r>
      <w:bookmarkEnd w:id="2331"/>
      <w:bookmarkEnd w:id="2332"/>
      <w:bookmarkEnd w:id="2333"/>
      <w:bookmarkEnd w:id="2334"/>
      <w:bookmarkEnd w:id="2335"/>
      <w:bookmarkEnd w:id="2336"/>
      <w:bookmarkEnd w:id="2337"/>
      <w:bookmarkEnd w:id="2338"/>
      <w:bookmarkEnd w:id="2339"/>
    </w:p>
    <w:p w:rsidR="00BE3B3A" w:rsidRPr="0050146A" w:rsidRDefault="00BE3B3A" w:rsidP="009F44AF">
      <w:pPr>
        <w:pStyle w:val="a"/>
        <w:rPr>
          <w:rtl/>
        </w:rPr>
      </w:pPr>
      <w:bookmarkStart w:id="2340" w:name="_Ref8974029"/>
      <w:r w:rsidRPr="0050146A">
        <w:rPr>
          <w:rFonts w:hint="cs"/>
          <w:rtl/>
        </w:rPr>
        <w:t xml:space="preserve">ועו"כ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הכ"ב)</w:t>
      </w:r>
      <w:r w:rsidRPr="0050146A">
        <w:rPr>
          <w:rFonts w:hint="cs"/>
          <w:rtl/>
        </w:rPr>
        <w:t xml:space="preserve"> דבמין במינו שנתערבו עם דבר אחר, כגון </w:t>
      </w:r>
      <w:r w:rsidRPr="0050146A">
        <w:rPr>
          <w:rtl/>
        </w:rPr>
        <w:t xml:space="preserve">חֵלֶב </w:t>
      </w:r>
      <w:r w:rsidRPr="0050146A">
        <w:rPr>
          <w:rFonts w:hint="cs"/>
          <w:rtl/>
        </w:rPr>
        <w:t xml:space="preserve">מותר וגריסין שנפל לתוכן </w:t>
      </w:r>
      <w:r w:rsidRPr="0050146A">
        <w:rPr>
          <w:rtl/>
        </w:rPr>
        <w:t>חֵלֶב</w:t>
      </w:r>
      <w:r w:rsidRPr="0050146A">
        <w:rPr>
          <w:rFonts w:hint="cs"/>
          <w:rtl/>
        </w:rPr>
        <w:t xml:space="preserve"> אסור, ונמחה גוף האיסור ונעשה הכל גוף אחד, דרואין את</w:t>
      </w:r>
      <w:r w:rsidRPr="0050146A">
        <w:rPr>
          <w:rtl/>
        </w:rPr>
        <w:t xml:space="preserve"> </w:t>
      </w:r>
      <w:r w:rsidRPr="0050146A">
        <w:rPr>
          <w:rFonts w:hint="cs"/>
          <w:rtl/>
        </w:rPr>
        <w:t>ה</w:t>
      </w:r>
      <w:r w:rsidRPr="0050146A">
        <w:rPr>
          <w:rtl/>
        </w:rPr>
        <w:t xml:space="preserve">חֵלֶב </w:t>
      </w:r>
      <w:r w:rsidRPr="0050146A">
        <w:rPr>
          <w:rFonts w:hint="cs"/>
          <w:rtl/>
        </w:rPr>
        <w:t>המותר והגריסין כאילו הם גוף אחד, ומשערים את ה</w:t>
      </w:r>
      <w:r w:rsidRPr="0050146A">
        <w:rPr>
          <w:rtl/>
        </w:rPr>
        <w:t xml:space="preserve">חֵלֶב </w:t>
      </w:r>
      <w:r w:rsidRPr="0050146A">
        <w:rPr>
          <w:rFonts w:hint="cs"/>
          <w:rtl/>
        </w:rPr>
        <w:t>האסור בשישים, כיון שא"א לעמוד על הטעם.</w:t>
      </w:r>
      <w:bookmarkEnd w:id="2340"/>
    </w:p>
    <w:p w:rsidR="00BE3B3A" w:rsidRPr="0050146A" w:rsidRDefault="00BE3B3A" w:rsidP="00BE3B3A">
      <w:pPr>
        <w:pStyle w:val="1"/>
        <w:rPr>
          <w:rtl/>
        </w:rPr>
      </w:pPr>
      <w:bookmarkStart w:id="2341" w:name="_Toc8938273"/>
      <w:bookmarkStart w:id="2342" w:name="_Toc8979175"/>
      <w:bookmarkStart w:id="2343" w:name="_Toc8986325"/>
      <w:bookmarkStart w:id="2344" w:name="_Toc9108640"/>
      <w:bookmarkStart w:id="2345" w:name="_Toc9110195"/>
      <w:bookmarkStart w:id="2346" w:name="_Toc9114557"/>
      <w:bookmarkStart w:id="2347" w:name="_Toc9149600"/>
      <w:bookmarkStart w:id="2348" w:name="_Toc9289785"/>
      <w:bookmarkStart w:id="2349" w:name="_Toc11573431"/>
      <w:r w:rsidRPr="0050146A">
        <w:rPr>
          <w:rFonts w:hint="cs"/>
          <w:rtl/>
        </w:rPr>
        <w:t>ביאור הב"י ברמב"ם</w:t>
      </w:r>
      <w:bookmarkEnd w:id="2341"/>
      <w:bookmarkEnd w:id="2342"/>
      <w:r w:rsidRPr="0050146A">
        <w:rPr>
          <w:rFonts w:hint="cs"/>
          <w:rtl/>
        </w:rPr>
        <w:t xml:space="preserve"> דבאפשר להבחין בטעם אין שיעור שישים</w:t>
      </w:r>
      <w:bookmarkEnd w:id="2343"/>
      <w:bookmarkEnd w:id="2344"/>
      <w:bookmarkEnd w:id="2345"/>
      <w:bookmarkEnd w:id="2346"/>
      <w:bookmarkEnd w:id="2347"/>
      <w:bookmarkEnd w:id="2348"/>
      <w:bookmarkEnd w:id="2349"/>
    </w:p>
    <w:p w:rsidR="00BE3B3A" w:rsidRPr="0050146A" w:rsidRDefault="00BE3B3A" w:rsidP="00BE3B3A">
      <w:pPr>
        <w:pStyle w:val="a2"/>
        <w:rPr>
          <w:rtl/>
        </w:rPr>
      </w:pPr>
      <w:bookmarkStart w:id="2350" w:name="_Toc8979176"/>
      <w:bookmarkStart w:id="2351" w:name="_Toc8986326"/>
      <w:bookmarkStart w:id="2352" w:name="_Toc9108641"/>
      <w:bookmarkStart w:id="2353" w:name="_Toc9110196"/>
      <w:bookmarkStart w:id="2354" w:name="_Toc9114558"/>
      <w:bookmarkStart w:id="2355" w:name="_Toc9149601"/>
      <w:bookmarkStart w:id="2356" w:name="_Toc9289786"/>
      <w:bookmarkStart w:id="2357" w:name="_Toc11573432"/>
      <w:r w:rsidRPr="0050146A">
        <w:rPr>
          <w:rFonts w:hint="cs"/>
          <w:rtl/>
        </w:rPr>
        <w:t>ביאור הב"י ברמב"ם דכשאפשר לעמוד על הטעם צריך קפילא וא"צ שישים וכשיש טעם ל"מ שישים</w:t>
      </w:r>
      <w:bookmarkEnd w:id="2350"/>
      <w:bookmarkEnd w:id="2351"/>
      <w:bookmarkEnd w:id="2352"/>
      <w:bookmarkEnd w:id="2353"/>
      <w:bookmarkEnd w:id="2354"/>
      <w:bookmarkEnd w:id="2355"/>
      <w:bookmarkEnd w:id="2356"/>
      <w:bookmarkEnd w:id="2357"/>
    </w:p>
    <w:p w:rsidR="00BE3B3A" w:rsidRPr="0050146A" w:rsidRDefault="00BE3B3A" w:rsidP="009F44AF">
      <w:pPr>
        <w:pStyle w:val="a"/>
        <w:rPr>
          <w:rtl/>
        </w:rPr>
      </w:pPr>
      <w:r w:rsidRPr="0050146A">
        <w:rPr>
          <w:rFonts w:hint="cs"/>
          <w:rtl/>
        </w:rPr>
        <w:t xml:space="preserve">וכתב </w:t>
      </w:r>
      <w:r w:rsidRPr="0050146A">
        <w:rPr>
          <w:rStyle w:val="af8"/>
          <w:rFonts w:hint="cs"/>
          <w:rtl/>
        </w:rPr>
        <w:t>הב"י</w:t>
      </w:r>
      <w:r w:rsidRPr="0050146A">
        <w:rPr>
          <w:rFonts w:hint="cs"/>
          <w:rtl/>
        </w:rPr>
        <w:t xml:space="preserve"> </w:t>
      </w:r>
      <w:r w:rsidRPr="0050146A">
        <w:rPr>
          <w:rStyle w:val="af6"/>
          <w:rFonts w:eastAsia="Guttman Hodes" w:hint="cs"/>
          <w:rtl/>
        </w:rPr>
        <w:t>(סי' צ"ח א' ד"ה ומדברי הרמב"ם)</w:t>
      </w:r>
      <w:r w:rsidRPr="0050146A">
        <w:rPr>
          <w:rFonts w:hint="cs"/>
          <w:rtl/>
        </w:rPr>
        <w:t xml:space="preserve"> דמבואר מדברי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Ref8938153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דבמין בשאינו מינו שאפשר לעמוד על הטעם, אף כשיש שישים אסור בלא שיטעם הקפילא, ואם אמר הקפילא שאין בו טעם מותר אף בפחות משישים, וכשיש בו טעם אסור אף ביותר משישים, דכיון דבמין בשאינו מינו לא הזכיר </w:t>
      </w:r>
      <w:r w:rsidRPr="0050146A">
        <w:rPr>
          <w:rStyle w:val="af8"/>
          <w:rFonts w:hint="cs"/>
          <w:rtl/>
        </w:rPr>
        <w:t>הרמב"ם</w:t>
      </w:r>
      <w:r w:rsidRPr="0050146A">
        <w:rPr>
          <w:rFonts w:hint="cs"/>
          <w:rtl/>
        </w:rPr>
        <w:t xml:space="preserve"> שיעור שישים כלל, כיון שאפשר לעמוד על הטעם, א"כ מבואר דבכל דבר שאפשר לעמוד על טעמו לא מהני שישים לבטל בלא קפילא, וכעי"ז כתב </w:t>
      </w:r>
      <w:r w:rsidRPr="0050146A">
        <w:rPr>
          <w:rStyle w:val="af8"/>
          <w:rFonts w:hint="cs"/>
          <w:rtl/>
        </w:rPr>
        <w:t>הראבי"ה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Ref10104384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דמשמע מדברי </w:t>
      </w:r>
      <w:r w:rsidRPr="0050146A">
        <w:rPr>
          <w:rStyle w:val="af8"/>
          <w:rFonts w:hint="cs"/>
          <w:rtl/>
        </w:rPr>
        <w:t>ר"ח</w:t>
      </w:r>
      <w:r w:rsidRPr="0050146A">
        <w:rPr>
          <w:rFonts w:hint="cs"/>
          <w:rtl/>
        </w:rPr>
        <w:t xml:space="preserve"> דסמכינן על קפילא בין להקל בפחות משישים, ובין להחמיר ביותר משישים.</w:t>
      </w:r>
    </w:p>
    <w:p w:rsidR="00BE3B3A" w:rsidRPr="0050146A" w:rsidRDefault="00BE3B3A" w:rsidP="00BE3B3A">
      <w:pPr>
        <w:pStyle w:val="a2"/>
      </w:pPr>
      <w:bookmarkStart w:id="2358" w:name="_Toc8979177"/>
      <w:bookmarkStart w:id="2359" w:name="_Toc8986327"/>
      <w:bookmarkStart w:id="2360" w:name="_Toc9108642"/>
      <w:bookmarkStart w:id="2361" w:name="_Toc9110197"/>
      <w:bookmarkStart w:id="2362" w:name="_Toc9114559"/>
      <w:bookmarkStart w:id="2363" w:name="_Toc9149602"/>
      <w:bookmarkStart w:id="2364" w:name="_Toc9289787"/>
      <w:bookmarkStart w:id="2365" w:name="_Toc11573433"/>
      <w:r w:rsidRPr="0050146A">
        <w:rPr>
          <w:rFonts w:hint="cs"/>
          <w:rtl/>
        </w:rPr>
        <w:t>דברי הב"י דלהרמב"ם שישים מהני רק במקום שא"א לעמוד על הטעם</w:t>
      </w:r>
      <w:bookmarkEnd w:id="2358"/>
      <w:bookmarkEnd w:id="2359"/>
      <w:bookmarkEnd w:id="2360"/>
      <w:bookmarkEnd w:id="2361"/>
      <w:bookmarkEnd w:id="2362"/>
      <w:bookmarkEnd w:id="2363"/>
      <w:bookmarkEnd w:id="2364"/>
      <w:bookmarkEnd w:id="2365"/>
    </w:p>
    <w:p w:rsidR="002D7168" w:rsidRDefault="00BE3B3A" w:rsidP="009F44AF">
      <w:pPr>
        <w:pStyle w:val="a"/>
        <w:rPr>
          <w:rtl/>
        </w:rPr>
      </w:pPr>
      <w:r w:rsidRPr="0050146A">
        <w:rPr>
          <w:rFonts w:hint="cs"/>
          <w:rtl/>
        </w:rPr>
        <w:t xml:space="preserve">וכתב </w:t>
      </w:r>
      <w:r w:rsidRPr="0050146A">
        <w:rPr>
          <w:rStyle w:val="af8"/>
          <w:rFonts w:hint="cs"/>
          <w:rtl/>
        </w:rPr>
        <w:t>הב"י</w:t>
      </w:r>
      <w:r w:rsidRPr="0050146A">
        <w:rPr>
          <w:rFonts w:hint="cs"/>
          <w:rtl/>
        </w:rPr>
        <w:t xml:space="preserve"> דס"ל </w:t>
      </w:r>
      <w:r w:rsidRPr="0050146A">
        <w:rPr>
          <w:rStyle w:val="af8"/>
          <w:rFonts w:hint="cs"/>
          <w:rtl/>
        </w:rPr>
        <w:t>להרמב"ם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Ref8973995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50146A">
        <w:rPr>
          <w:rStyle w:val="af6"/>
          <w:rFonts w:eastAsia="Guttman Hodes"/>
          <w:rtl/>
        </w:rPr>
        <w:fldChar w:fldCharType="end"/>
      </w:r>
      <w:r w:rsidRPr="0050146A">
        <w:rPr>
          <w:rFonts w:hint="cs"/>
          <w:rtl/>
        </w:rPr>
        <w:t xml:space="preserve"> דהא דמהני שישים הוא רק במקום שא"א לעמוד על הטעם כמין במינו, או במין במינו שנתערבו יחד עם דבר שאינו מינו, וכדכתב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Ref8974029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50146A">
        <w:rPr>
          <w:rStyle w:val="af6"/>
          <w:rFonts w:eastAsia="Guttman Hodes"/>
          <w:rtl/>
        </w:rPr>
        <w:fldChar w:fldCharType="end"/>
      </w:r>
      <w:r w:rsidRPr="0050146A">
        <w:rPr>
          <w:rFonts w:hint="cs"/>
          <w:rtl/>
        </w:rPr>
        <w:t xml:space="preserve"> דכיון שיש דבר ממינו שמעורב וא"א לעמוד על הטעם מהני שישים.</w:t>
      </w:r>
    </w:p>
    <w:p w:rsidR="00BE3B3A" w:rsidRPr="0050146A" w:rsidRDefault="00BE3B3A" w:rsidP="00BE3B3A">
      <w:pPr>
        <w:pStyle w:val="a2"/>
      </w:pPr>
      <w:bookmarkStart w:id="2366" w:name="_Toc8979178"/>
      <w:bookmarkStart w:id="2367" w:name="_Toc8986328"/>
      <w:bookmarkStart w:id="2368" w:name="_Toc9108643"/>
      <w:bookmarkStart w:id="2369" w:name="_Toc9110198"/>
      <w:bookmarkStart w:id="2370" w:name="_Toc9114560"/>
      <w:bookmarkStart w:id="2371" w:name="_Toc9149603"/>
      <w:bookmarkStart w:id="2372" w:name="_Toc9289788"/>
      <w:bookmarkStart w:id="2373" w:name="_Toc11573434"/>
      <w:r w:rsidRPr="0050146A">
        <w:rPr>
          <w:rFonts w:hint="cs"/>
          <w:rtl/>
        </w:rPr>
        <w:t>דברי הב"י דלהרמב"ם במין ושאינו מינו וליכא קפילא מהני שישים כיון שא"א לעמוד על הטעם</w:t>
      </w:r>
      <w:bookmarkEnd w:id="2366"/>
      <w:bookmarkEnd w:id="2367"/>
      <w:bookmarkEnd w:id="2368"/>
      <w:bookmarkEnd w:id="2369"/>
      <w:bookmarkEnd w:id="2370"/>
      <w:bookmarkEnd w:id="2371"/>
      <w:bookmarkEnd w:id="2372"/>
      <w:bookmarkEnd w:id="2373"/>
    </w:p>
    <w:p w:rsidR="00BE3B3A" w:rsidRPr="0050146A" w:rsidRDefault="00BE3B3A" w:rsidP="009F44AF">
      <w:pPr>
        <w:pStyle w:val="a"/>
        <w:rPr>
          <w:rtl/>
        </w:rPr>
      </w:pPr>
      <w:r w:rsidRPr="0050146A">
        <w:rPr>
          <w:rFonts w:hint="cs"/>
          <w:rtl/>
        </w:rPr>
        <w:t xml:space="preserve">וכן במין בשאינו מינו ואין שם קפילא, כתב </w:t>
      </w:r>
      <w:r w:rsidRPr="0050146A">
        <w:rPr>
          <w:rStyle w:val="af8"/>
          <w:rFonts w:hint="cs"/>
          <w:rtl/>
        </w:rPr>
        <w:t>הב"י</w:t>
      </w:r>
      <w:r w:rsidRPr="0050146A">
        <w:rPr>
          <w:rFonts w:hint="cs"/>
          <w:rtl/>
        </w:rPr>
        <w:t xml:space="preserve"> דמבואר מדברי </w:t>
      </w:r>
      <w:r w:rsidRPr="0050146A">
        <w:rPr>
          <w:rStyle w:val="af8"/>
          <w:rFonts w:hint="cs"/>
          <w:rtl/>
        </w:rPr>
        <w:t>הרמב"ם</w:t>
      </w:r>
      <w:r w:rsidRPr="0050146A">
        <w:rPr>
          <w:rFonts w:hint="cs"/>
          <w:rtl/>
        </w:rPr>
        <w:t xml:space="preserve"> דהוא מותר בשישים, כיון דכתב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Ref8974029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50146A">
        <w:rPr>
          <w:rStyle w:val="af6"/>
          <w:rFonts w:eastAsia="Guttman Hodes"/>
          <w:rtl/>
        </w:rPr>
        <w:fldChar w:fldCharType="end"/>
      </w:r>
      <w:r w:rsidRPr="0050146A">
        <w:rPr>
          <w:rFonts w:hint="cs"/>
          <w:rtl/>
        </w:rPr>
        <w:t xml:space="preserve"> דבמין במינו שנתערבו עם דבר שאינו מינו, דמותר בשישים כיון שא"א לעמוד על הטעם.</w:t>
      </w:r>
    </w:p>
    <w:p w:rsidR="00BE3B3A" w:rsidRPr="0050146A" w:rsidRDefault="00BE3B3A" w:rsidP="00BE3B3A">
      <w:pPr>
        <w:pStyle w:val="a2"/>
        <w:rPr>
          <w:rtl/>
        </w:rPr>
      </w:pPr>
      <w:bookmarkStart w:id="2374" w:name="_Toc8979179"/>
      <w:bookmarkStart w:id="2375" w:name="_Toc8986329"/>
      <w:bookmarkStart w:id="2376" w:name="_Toc9108644"/>
      <w:bookmarkStart w:id="2377" w:name="_Toc9110199"/>
      <w:bookmarkStart w:id="2378" w:name="_Toc9114561"/>
      <w:bookmarkStart w:id="2379" w:name="_Toc9149604"/>
      <w:bookmarkStart w:id="2380" w:name="_Toc9289789"/>
      <w:bookmarkStart w:id="2381" w:name="_Toc11573435"/>
      <w:r w:rsidRPr="0050146A">
        <w:rPr>
          <w:rFonts w:hint="cs"/>
          <w:rtl/>
        </w:rPr>
        <w:t>ביאור הב"י דלהרמב"ם בליכא קפילא כוונת רבא לומר דנתערב בדבר אחר שא"א לעמוד על הטעם</w:t>
      </w:r>
      <w:bookmarkEnd w:id="2374"/>
      <w:bookmarkEnd w:id="2375"/>
      <w:bookmarkEnd w:id="2376"/>
      <w:bookmarkEnd w:id="2377"/>
      <w:bookmarkEnd w:id="2378"/>
      <w:bookmarkEnd w:id="2379"/>
      <w:bookmarkEnd w:id="2380"/>
      <w:bookmarkEnd w:id="2381"/>
    </w:p>
    <w:p w:rsidR="00BE3B3A" w:rsidRPr="0050146A" w:rsidRDefault="00BE3B3A" w:rsidP="009F44AF">
      <w:pPr>
        <w:pStyle w:val="a"/>
        <w:rPr>
          <w:rtl/>
        </w:rPr>
      </w:pPr>
      <w:r w:rsidRPr="0050146A">
        <w:rPr>
          <w:rFonts w:hint="cs"/>
          <w:rtl/>
        </w:rPr>
        <w:t xml:space="preserve">ובהא דאמר רבא דמין במינו וליכא קפילא בשישים, כתב </w:t>
      </w:r>
      <w:r w:rsidRPr="0050146A">
        <w:rPr>
          <w:rStyle w:val="af8"/>
          <w:rFonts w:hint="cs"/>
          <w:rtl/>
        </w:rPr>
        <w:t>הב"י דהרמב"ם</w:t>
      </w:r>
      <w:r w:rsidRPr="0050146A">
        <w:rPr>
          <w:rFonts w:hint="cs"/>
          <w:rtl/>
        </w:rPr>
        <w:t xml:space="preserve"> ביאר דאין כוונת רבא לומר דדוקא במקום שאין קפילא לפנינו השיעור הוא בשישים, אלא דאף אם יש קפילא לפנינו וא"א לעמוד על הטעם השיעור הוא בשישים, כגון במין במינו שנתערבו עם דבר אחר, דאף שיש קפילא הוא כמאן דליתא דהא א"א לעמוד על הטעם, אבל במקום שאפשר לעמוד על הטעם כמין בשאינו מינו, לא מהני שישים להתיר בלא טעימת קפילא.</w:t>
      </w:r>
    </w:p>
    <w:p w:rsidR="00BE3B3A" w:rsidRPr="0050146A" w:rsidRDefault="00BE3B3A" w:rsidP="00BE3B3A">
      <w:pPr>
        <w:pStyle w:val="a2"/>
        <w:rPr>
          <w:rtl/>
        </w:rPr>
      </w:pPr>
      <w:bookmarkStart w:id="2382" w:name="_Toc8979180"/>
      <w:bookmarkStart w:id="2383" w:name="_Toc8986330"/>
      <w:bookmarkStart w:id="2384" w:name="_Toc9108645"/>
      <w:bookmarkStart w:id="2385" w:name="_Toc9110200"/>
      <w:bookmarkStart w:id="2386" w:name="_Toc9114562"/>
      <w:bookmarkStart w:id="2387" w:name="_Toc9149605"/>
      <w:bookmarkStart w:id="2388" w:name="_Toc9289790"/>
      <w:bookmarkStart w:id="2389" w:name="_Toc11573436"/>
      <w:r w:rsidRPr="0050146A">
        <w:rPr>
          <w:rFonts w:hint="cs"/>
          <w:rtl/>
        </w:rPr>
        <w:t>דברי הש"ך והפרמ"ג דהשו"ע פסק כהרמב"ם דצריך קפילא ולא מהני שישים</w:t>
      </w:r>
      <w:bookmarkEnd w:id="2382"/>
      <w:bookmarkEnd w:id="2383"/>
      <w:bookmarkEnd w:id="2384"/>
      <w:bookmarkEnd w:id="2385"/>
      <w:bookmarkEnd w:id="2386"/>
      <w:bookmarkEnd w:id="2387"/>
      <w:bookmarkEnd w:id="2388"/>
      <w:bookmarkEnd w:id="2389"/>
    </w:p>
    <w:p w:rsidR="00010471" w:rsidRPr="0050146A" w:rsidRDefault="00BE3B3A" w:rsidP="009F44AF">
      <w:pPr>
        <w:pStyle w:val="a"/>
        <w:rPr>
          <w:rtl/>
        </w:rPr>
      </w:pPr>
      <w:r w:rsidRPr="0050146A">
        <w:rPr>
          <w:rFonts w:hint="cs"/>
          <w:rtl/>
        </w:rPr>
        <w:t xml:space="preserve">כתב </w:t>
      </w:r>
      <w:r w:rsidRPr="0050146A">
        <w:rPr>
          <w:rStyle w:val="af8"/>
          <w:rFonts w:hint="cs"/>
          <w:rtl/>
        </w:rPr>
        <w:t>השו"ע</w:t>
      </w:r>
      <w:r w:rsidRPr="0050146A">
        <w:rPr>
          <w:rFonts w:hint="cs"/>
          <w:rtl/>
        </w:rPr>
        <w:t xml:space="preserve"> </w:t>
      </w:r>
      <w:r w:rsidRPr="0050146A">
        <w:rPr>
          <w:rStyle w:val="af6"/>
          <w:rFonts w:eastAsia="Guttman Hodes" w:hint="cs"/>
          <w:rtl/>
        </w:rPr>
        <w:t xml:space="preserve">(סי' צ"ח א') </w:t>
      </w:r>
      <w:r w:rsidRPr="0050146A">
        <w:rPr>
          <w:rFonts w:hint="cs"/>
          <w:rtl/>
        </w:rPr>
        <w:t xml:space="preserve">דבמקום שאין קפילא משערים בשישים, וכתב </w:t>
      </w:r>
      <w:r w:rsidRPr="0050146A">
        <w:rPr>
          <w:rStyle w:val="af8"/>
          <w:rFonts w:hint="cs"/>
          <w:rtl/>
        </w:rPr>
        <w:t>הש"ך</w:t>
      </w:r>
      <w:r w:rsidRPr="0050146A">
        <w:rPr>
          <w:rStyle w:val="af6"/>
          <w:rFonts w:eastAsia="Guttman Hodes" w:hint="cs"/>
          <w:rtl/>
        </w:rPr>
        <w:t xml:space="preserve"> (סי' צ"ח סק"ד) </w:t>
      </w:r>
      <w:r w:rsidRPr="0050146A">
        <w:rPr>
          <w:rFonts w:hint="cs"/>
          <w:rtl/>
        </w:rPr>
        <w:t xml:space="preserve">דמשמע דס"ל </w:t>
      </w:r>
      <w:r w:rsidRPr="0050146A">
        <w:rPr>
          <w:rStyle w:val="af8"/>
          <w:rFonts w:hint="cs"/>
          <w:rtl/>
        </w:rPr>
        <w:t>להשו"ע</w:t>
      </w:r>
      <w:r w:rsidRPr="0050146A">
        <w:rPr>
          <w:rFonts w:hint="cs"/>
          <w:rtl/>
        </w:rPr>
        <w:t xml:space="preserve"> דבמקום שיש קפילא, אף ביותר משישים אסור בלא שיטעם הקפילא, וכשאומר הקפילא שאין בו טעם איסור משמע </w:t>
      </w:r>
      <w:r w:rsidRPr="0050146A">
        <w:rPr>
          <w:rStyle w:val="af8"/>
          <w:rFonts w:hint="cs"/>
          <w:rtl/>
        </w:rPr>
        <w:t>בשו"ע</w:t>
      </w:r>
      <w:r w:rsidRPr="0050146A">
        <w:rPr>
          <w:rFonts w:hint="cs"/>
          <w:rtl/>
        </w:rPr>
        <w:t xml:space="preserve"> דמותר אף בפחות משישים, וא"כ </w:t>
      </w:r>
      <w:r w:rsidRPr="0050146A">
        <w:rPr>
          <w:rFonts w:hint="cs"/>
          <w:rtl/>
        </w:rPr>
        <w:t xml:space="preserve">שיעור שישים הוא רק במקום שאין קפילא, או במין במינו, וכדביאר </w:t>
      </w:r>
      <w:r w:rsidRPr="0050146A">
        <w:rPr>
          <w:rStyle w:val="af8"/>
          <w:rFonts w:hint="cs"/>
          <w:rtl/>
        </w:rPr>
        <w:t>הב"י</w:t>
      </w:r>
      <w:r w:rsidRPr="0050146A">
        <w:rPr>
          <w:rFonts w:hint="cs"/>
          <w:rtl/>
        </w:rPr>
        <w:t xml:space="preserve"> בדעת </w:t>
      </w:r>
      <w:r w:rsidRPr="0050146A">
        <w:rPr>
          <w:rStyle w:val="af8"/>
          <w:rFonts w:hint="cs"/>
          <w:rtl/>
        </w:rPr>
        <w:t>הרמב"ם, וכ"כ הפרמ"ג</w:t>
      </w:r>
      <w:r w:rsidRPr="0050146A">
        <w:rPr>
          <w:rFonts w:hint="cs"/>
          <w:rtl/>
        </w:rPr>
        <w:t xml:space="preserve"> </w:t>
      </w:r>
      <w:r w:rsidRPr="0050146A">
        <w:rPr>
          <w:rStyle w:val="af6"/>
          <w:rFonts w:eastAsia="Guttman Hodes" w:hint="cs"/>
          <w:rtl/>
        </w:rPr>
        <w:t xml:space="preserve">(סי' צ"ח שפ"ד סק"ד) </w:t>
      </w:r>
      <w:r w:rsidRPr="0050146A">
        <w:rPr>
          <w:rFonts w:hint="cs"/>
          <w:rtl/>
        </w:rPr>
        <w:t xml:space="preserve">דמדברי </w:t>
      </w:r>
      <w:r w:rsidRPr="0050146A">
        <w:rPr>
          <w:rStyle w:val="af8"/>
          <w:rFonts w:hint="cs"/>
          <w:rtl/>
        </w:rPr>
        <w:t>השו"ע</w:t>
      </w:r>
      <w:r w:rsidRPr="0050146A">
        <w:rPr>
          <w:rFonts w:hint="cs"/>
          <w:rtl/>
        </w:rPr>
        <w:t xml:space="preserve"> משמע </w:t>
      </w:r>
      <w:r w:rsidRPr="0050146A">
        <w:rPr>
          <w:rStyle w:val="af8"/>
          <w:rFonts w:hint="cs"/>
          <w:rtl/>
        </w:rPr>
        <w:t>כהרמב"ם</w:t>
      </w:r>
      <w:r w:rsidRPr="0050146A">
        <w:rPr>
          <w:rFonts w:hint="cs"/>
          <w:rtl/>
        </w:rPr>
        <w:t xml:space="preserve">, אך כתב </w:t>
      </w:r>
      <w:r w:rsidRPr="0050146A">
        <w:rPr>
          <w:rStyle w:val="af8"/>
          <w:rFonts w:hint="cs"/>
          <w:rtl/>
        </w:rPr>
        <w:t>הפרמ"ג</w:t>
      </w:r>
      <w:r w:rsidRPr="0050146A">
        <w:rPr>
          <w:rFonts w:hint="cs"/>
          <w:rtl/>
        </w:rPr>
        <w:t xml:space="preserve"> דלהלכה לא נוהגים לסמוך על קפילא לקולא, וכן לא מחמירים להצריך קפילא ביותר משישים.</w:t>
      </w:r>
    </w:p>
    <w:p w:rsidR="00BE3B3A" w:rsidRPr="0050146A" w:rsidRDefault="00BE3B3A" w:rsidP="00BE3B3A">
      <w:pPr>
        <w:pStyle w:val="1"/>
        <w:rPr>
          <w:rtl/>
        </w:rPr>
      </w:pPr>
      <w:bookmarkStart w:id="2390" w:name="_Toc8979181"/>
      <w:bookmarkStart w:id="2391" w:name="_Toc8986331"/>
      <w:bookmarkStart w:id="2392" w:name="_Toc9108646"/>
      <w:bookmarkStart w:id="2393" w:name="_Toc9110201"/>
      <w:bookmarkStart w:id="2394" w:name="_Toc9114563"/>
      <w:bookmarkStart w:id="2395" w:name="_Toc9149606"/>
      <w:bookmarkStart w:id="2396" w:name="_Toc9289791"/>
      <w:bookmarkStart w:id="2397" w:name="_Toc11573437"/>
      <w:r w:rsidRPr="0050146A">
        <w:rPr>
          <w:rFonts w:hint="cs"/>
          <w:rtl/>
        </w:rPr>
        <w:t>ביאורי האחרונים ברמב"ם</w:t>
      </w:r>
      <w:bookmarkEnd w:id="2390"/>
      <w:r w:rsidRPr="0050146A">
        <w:rPr>
          <w:rFonts w:hint="cs"/>
          <w:rtl/>
        </w:rPr>
        <w:t xml:space="preserve"> דמהני קפילא אף לקולא בלא שישים</w:t>
      </w:r>
      <w:bookmarkEnd w:id="2391"/>
      <w:bookmarkEnd w:id="2392"/>
      <w:bookmarkEnd w:id="2393"/>
      <w:bookmarkEnd w:id="2394"/>
      <w:bookmarkEnd w:id="2395"/>
      <w:bookmarkEnd w:id="2396"/>
      <w:bookmarkEnd w:id="2397"/>
    </w:p>
    <w:p w:rsidR="00BE3B3A" w:rsidRPr="0050146A" w:rsidRDefault="00BE3B3A" w:rsidP="00BE3B3A">
      <w:pPr>
        <w:pStyle w:val="a2"/>
        <w:rPr>
          <w:rtl/>
        </w:rPr>
      </w:pPr>
      <w:bookmarkStart w:id="2398" w:name="_Toc8979183"/>
      <w:bookmarkStart w:id="2399" w:name="_Toc8986332"/>
      <w:bookmarkStart w:id="2400" w:name="_Toc9108647"/>
      <w:bookmarkStart w:id="2401" w:name="_Toc9110202"/>
      <w:bookmarkStart w:id="2402" w:name="_Toc9114564"/>
      <w:bookmarkStart w:id="2403" w:name="_Toc9149607"/>
      <w:bookmarkStart w:id="2404" w:name="_Toc9289792"/>
      <w:bookmarkStart w:id="2405" w:name="_Toc11573438"/>
      <w:bookmarkStart w:id="2406" w:name="_Toc8979182"/>
      <w:r w:rsidRPr="0050146A">
        <w:rPr>
          <w:rFonts w:hint="cs"/>
          <w:rtl/>
        </w:rPr>
        <w:t>דברי המנחת כהן דבפחות משישים מקל הרמב"ם בקפילא וביותר משישים מחמיר דצריך גם קפילא</w:t>
      </w:r>
      <w:bookmarkEnd w:id="2398"/>
      <w:bookmarkEnd w:id="2399"/>
      <w:bookmarkEnd w:id="2400"/>
      <w:bookmarkEnd w:id="2401"/>
      <w:bookmarkEnd w:id="2402"/>
      <w:bookmarkEnd w:id="2403"/>
      <w:bookmarkEnd w:id="2404"/>
      <w:bookmarkEnd w:id="2405"/>
    </w:p>
    <w:p w:rsidR="00BE3B3A" w:rsidRPr="0050146A" w:rsidRDefault="00BE3B3A" w:rsidP="009F44AF">
      <w:pPr>
        <w:pStyle w:val="a"/>
        <w:rPr>
          <w:rtl/>
        </w:rPr>
      </w:pPr>
      <w:bookmarkStart w:id="2407" w:name="_Ref8973120"/>
      <w:r w:rsidRPr="0050146A">
        <w:rPr>
          <w:rFonts w:hint="cs"/>
          <w:rtl/>
        </w:rPr>
        <w:t xml:space="preserve">כתב </w:t>
      </w:r>
      <w:r w:rsidR="00920811">
        <w:rPr>
          <w:rStyle w:val="af8"/>
          <w:rFonts w:hint="cs"/>
          <w:rtl/>
        </w:rPr>
        <w:t>המנחת כהן (ס</w:t>
      </w:r>
      <w:r w:rsidR="00920811">
        <w:rPr>
          <w:rStyle w:val="af8"/>
          <w:rtl/>
        </w:rPr>
        <w:t>'</w:t>
      </w:r>
      <w:r w:rsidR="00920811">
        <w:rPr>
          <w:rStyle w:val="af8"/>
          <w:rFonts w:hint="cs"/>
          <w:rtl/>
        </w:rPr>
        <w:t xml:space="preserve"> התערובות ח</w:t>
      </w:r>
      <w:r w:rsidR="00920811">
        <w:rPr>
          <w:rStyle w:val="af8"/>
          <w:rtl/>
        </w:rPr>
        <w:t>"</w:t>
      </w:r>
      <w:r w:rsidR="00920811">
        <w:rPr>
          <w:rStyle w:val="af8"/>
          <w:rFonts w:hint="cs"/>
          <w:rtl/>
        </w:rPr>
        <w:t xml:space="preserve">א </w:t>
      </w:r>
      <w:r w:rsidRPr="0050146A">
        <w:rPr>
          <w:rStyle w:val="af6"/>
          <w:rFonts w:eastAsia="Guttman Hodes" w:hint="cs"/>
          <w:rtl/>
        </w:rPr>
        <w:t>פ"ז ד"ה הדעת השלישית)</w:t>
      </w:r>
      <w:r w:rsidRPr="0050146A">
        <w:rPr>
          <w:rFonts w:hint="cs"/>
          <w:rtl/>
        </w:rPr>
        <w:t xml:space="preserve"> דלדעת </w:t>
      </w:r>
      <w:r w:rsidRPr="0050146A">
        <w:rPr>
          <w:rStyle w:val="af8"/>
          <w:rFonts w:hint="cs"/>
          <w:rtl/>
        </w:rPr>
        <w:t>הרמב"ם</w:t>
      </w:r>
      <w:r w:rsidRPr="0050146A">
        <w:rPr>
          <w:rFonts w:hint="cs"/>
          <w:rtl/>
        </w:rPr>
        <w:t xml:space="preserve"> דס"ל דאף בפחות משישים מהני קפילא, </w:t>
      </w:r>
      <w:r w:rsidRPr="0050146A">
        <w:rPr>
          <w:rStyle w:val="afa"/>
          <w:rFonts w:hint="cs"/>
          <w:rtl/>
        </w:rPr>
        <w:t xml:space="preserve">[וכתב </w:t>
      </w:r>
      <w:r w:rsidRPr="0050146A">
        <w:rPr>
          <w:rStyle w:val="affa"/>
          <w:rFonts w:hint="cs"/>
          <w:rtl/>
        </w:rPr>
        <w:t>המנחת כהן</w:t>
      </w:r>
      <w:r w:rsidRPr="0050146A">
        <w:rPr>
          <w:rStyle w:val="afa"/>
          <w:rFonts w:hint="cs"/>
          <w:rtl/>
        </w:rPr>
        <w:t xml:space="preserve"> דבזה ס"ל לקולא כדעת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Ref8923606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w:t>
      </w:r>
      <w:r w:rsidRPr="0050146A">
        <w:rPr>
          <w:rStyle w:val="aff6"/>
          <w:rtl/>
        </w:rPr>
        <w:fldChar w:fldCharType="end"/>
      </w:r>
      <w:r w:rsidRPr="0050146A">
        <w:rPr>
          <w:rStyle w:val="afa"/>
          <w:rFonts w:hint="cs"/>
          <w:rtl/>
        </w:rPr>
        <w:t xml:space="preserve">], </w:t>
      </w:r>
      <w:r w:rsidRPr="0050146A">
        <w:rPr>
          <w:rFonts w:hint="cs"/>
          <w:rtl/>
        </w:rPr>
        <w:t xml:space="preserve">וס"ל דבמקום שיש קפילא א"א להתיר ע"י שישים בלא קפילא, </w:t>
      </w:r>
      <w:r w:rsidRPr="0050146A">
        <w:rPr>
          <w:rStyle w:val="afa"/>
          <w:rFonts w:hint="cs"/>
          <w:rtl/>
        </w:rPr>
        <w:t xml:space="preserve">[וכתב </w:t>
      </w:r>
      <w:r w:rsidRPr="0050146A">
        <w:rPr>
          <w:rStyle w:val="affa"/>
          <w:rFonts w:hint="cs"/>
          <w:rtl/>
        </w:rPr>
        <w:t>המנחת כהן</w:t>
      </w:r>
      <w:r w:rsidRPr="0050146A">
        <w:rPr>
          <w:rStyle w:val="afa"/>
          <w:rFonts w:hint="cs"/>
          <w:rtl/>
        </w:rPr>
        <w:t xml:space="preserve"> דבזה ס"ל לחומרא כדעת </w:t>
      </w:r>
      <w:r w:rsidRPr="0050146A">
        <w:rPr>
          <w:rStyle w:val="affa"/>
          <w:rFonts w:hint="cs"/>
          <w:rtl/>
        </w:rPr>
        <w:t xml:space="preserve">רש"י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Ref8902978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כא)</w:t>
      </w:r>
      <w:r w:rsidRPr="0050146A">
        <w:rPr>
          <w:rStyle w:val="aff6"/>
          <w:rtl/>
        </w:rPr>
        <w:fldChar w:fldCharType="end"/>
      </w:r>
      <w:r w:rsidRPr="0050146A">
        <w:rPr>
          <w:rStyle w:val="afa"/>
          <w:rFonts w:hint="cs"/>
          <w:rtl/>
        </w:rPr>
        <w:t xml:space="preserve">], </w:t>
      </w:r>
      <w:r w:rsidRPr="0050146A">
        <w:rPr>
          <w:rFonts w:hint="cs"/>
          <w:rtl/>
        </w:rPr>
        <w:t>א"כ מבואר דשיעור שישים נאמר רק במין במינו, או במין בשאינו מינו במקום שאין קפילא.</w:t>
      </w:r>
      <w:bookmarkEnd w:id="2407"/>
    </w:p>
    <w:p w:rsidR="00BE3B3A" w:rsidRPr="0050146A" w:rsidRDefault="00BE3B3A" w:rsidP="00BE3B3A">
      <w:pPr>
        <w:pStyle w:val="a2"/>
      </w:pPr>
      <w:bookmarkStart w:id="2408" w:name="_Toc8986333"/>
      <w:bookmarkStart w:id="2409" w:name="_Toc9108648"/>
      <w:bookmarkStart w:id="2410" w:name="_Toc9110203"/>
      <w:bookmarkStart w:id="2411" w:name="_Toc9114565"/>
      <w:bookmarkStart w:id="2412" w:name="_Toc9149608"/>
      <w:bookmarkStart w:id="2413" w:name="_Toc9289793"/>
      <w:bookmarkStart w:id="2414" w:name="_Toc11573439"/>
      <w:r w:rsidRPr="0050146A">
        <w:rPr>
          <w:rFonts w:hint="cs"/>
          <w:rtl/>
        </w:rPr>
        <w:t>ביאור הפרמ"ג דמבואר ברמב"ם דכל שאפשר לעמוד על הטעם סגי בקפילא וא"צ שישים</w:t>
      </w:r>
      <w:bookmarkEnd w:id="2406"/>
      <w:bookmarkEnd w:id="2408"/>
      <w:bookmarkEnd w:id="2409"/>
      <w:bookmarkEnd w:id="2410"/>
      <w:bookmarkEnd w:id="2411"/>
      <w:bookmarkEnd w:id="2412"/>
      <w:bookmarkEnd w:id="2413"/>
      <w:bookmarkEnd w:id="2414"/>
    </w:p>
    <w:p w:rsidR="00BE3B3A" w:rsidRPr="0050146A" w:rsidRDefault="00BE3B3A" w:rsidP="009F44AF">
      <w:pPr>
        <w:pStyle w:val="a"/>
        <w:rPr>
          <w:rtl/>
        </w:rPr>
      </w:pPr>
      <w:r w:rsidRPr="0050146A">
        <w:rPr>
          <w:rFonts w:hint="cs"/>
          <w:rtl/>
        </w:rPr>
        <w:t xml:space="preserve">כתב </w:t>
      </w:r>
      <w:r w:rsidRPr="0050146A">
        <w:rPr>
          <w:rStyle w:val="af8"/>
          <w:rFonts w:hint="cs"/>
          <w:rtl/>
        </w:rPr>
        <w:t>הפרמ"ג</w:t>
      </w:r>
      <w:r w:rsidRPr="0050146A">
        <w:rPr>
          <w:rFonts w:hint="cs"/>
          <w:rtl/>
        </w:rPr>
        <w:t xml:space="preserve"> </w:t>
      </w:r>
      <w:r w:rsidRPr="0050146A">
        <w:rPr>
          <w:rStyle w:val="af6"/>
          <w:rFonts w:eastAsia="Guttman Hodes" w:hint="cs"/>
          <w:rtl/>
        </w:rPr>
        <w:t xml:space="preserve">(סי' צ"ח שפ"ד סק"ד) </w:t>
      </w:r>
      <w:r w:rsidRPr="0050146A">
        <w:rPr>
          <w:rFonts w:hint="cs"/>
          <w:rtl/>
        </w:rPr>
        <w:t xml:space="preserve">דדעת </w:t>
      </w:r>
      <w:r w:rsidRPr="0050146A">
        <w:rPr>
          <w:rStyle w:val="af8"/>
          <w:rFonts w:hint="cs"/>
          <w:rtl/>
        </w:rPr>
        <w:t>הרמב"ם</w:t>
      </w:r>
      <w:r w:rsidRPr="0050146A">
        <w:rPr>
          <w:rFonts w:hint="cs"/>
          <w:rtl/>
        </w:rPr>
        <w:t xml:space="preserve"> דבמקום שיש קפילא צריך להטעימו לקפילא וסגי בזה בין אם יש שישים ובין אם אין שישים, וכדמוכח מהא דכתב </w:t>
      </w:r>
      <w:r w:rsidRPr="0050146A">
        <w:rPr>
          <w:rStyle w:val="af8"/>
          <w:rFonts w:hint="cs"/>
          <w:rtl/>
        </w:rPr>
        <w:t>הרמב"ם</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Ref8974029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דבמין במינו שנתערבו עם דבר אחר ד</w:t>
      </w:r>
      <w:r w:rsidRPr="0050146A">
        <w:rPr>
          <w:rtl/>
        </w:rPr>
        <w:t xml:space="preserve">אם היה אחד מששים מותר, </w:t>
      </w:r>
      <w:r w:rsidRPr="0050146A">
        <w:rPr>
          <w:rFonts w:hint="cs"/>
          <w:rtl/>
        </w:rPr>
        <w:t xml:space="preserve">כיון שא"א לעמוד על הטעם, וביאר </w:t>
      </w:r>
      <w:r w:rsidRPr="0050146A">
        <w:rPr>
          <w:rStyle w:val="af8"/>
          <w:rFonts w:hint="cs"/>
          <w:rtl/>
        </w:rPr>
        <w:t>הפרמ"ג</w:t>
      </w:r>
      <w:r w:rsidRPr="0050146A">
        <w:rPr>
          <w:rFonts w:hint="cs"/>
          <w:rtl/>
        </w:rPr>
        <w:t xml:space="preserve"> דמשמע מדברי </w:t>
      </w:r>
      <w:r w:rsidRPr="0050146A">
        <w:rPr>
          <w:rStyle w:val="af8"/>
          <w:rFonts w:hint="cs"/>
          <w:rtl/>
        </w:rPr>
        <w:t>הרמב"ם</w:t>
      </w:r>
      <w:r w:rsidRPr="0050146A">
        <w:rPr>
          <w:rFonts w:hint="cs"/>
          <w:rtl/>
        </w:rPr>
        <w:t xml:space="preserve"> דהוא בא להקל דכיון שא"א לעמוד על הטעם א"צ קפילא וסגי בשישים, </w:t>
      </w:r>
      <w:r w:rsidRPr="0050146A">
        <w:rPr>
          <w:rStyle w:val="afa"/>
          <w:rFonts w:hint="cs"/>
          <w:rtl/>
        </w:rPr>
        <w:t>[ומשמע דבמקום שאפשר לעמוד על הטעם סגי בקפילא וא"צ שישים],</w:t>
      </w:r>
      <w:r w:rsidRPr="0050146A">
        <w:rPr>
          <w:rFonts w:hint="cs"/>
          <w:rtl/>
        </w:rPr>
        <w:t xml:space="preserve"> דאי כוונתו להחמיר במקום שא"א לעמוד על הטעם ולאסור בפחות משישים, היה </w:t>
      </w:r>
      <w:r w:rsidRPr="0050146A">
        <w:rPr>
          <w:rStyle w:val="af8"/>
          <w:rFonts w:hint="cs"/>
          <w:rtl/>
        </w:rPr>
        <w:t>להרמב"ם</w:t>
      </w:r>
      <w:r w:rsidRPr="0050146A">
        <w:rPr>
          <w:rFonts w:hint="cs"/>
          <w:rtl/>
        </w:rPr>
        <w:t xml:space="preserve"> לומר שצריך שישים כיון שא"א לעמוד על הטעם.</w:t>
      </w:r>
    </w:p>
    <w:p w:rsidR="00BE3B3A" w:rsidRPr="0050146A" w:rsidRDefault="00BE3B3A" w:rsidP="00BE3B3A">
      <w:pPr>
        <w:pStyle w:val="1"/>
        <w:rPr>
          <w:rtl/>
        </w:rPr>
      </w:pPr>
      <w:bookmarkStart w:id="2415" w:name="_Toc8986334"/>
      <w:bookmarkStart w:id="2416" w:name="_Toc9108649"/>
      <w:bookmarkStart w:id="2417" w:name="_Toc9110204"/>
      <w:bookmarkStart w:id="2418" w:name="_Toc9114566"/>
      <w:bookmarkStart w:id="2419" w:name="_Toc9149609"/>
      <w:bookmarkStart w:id="2420" w:name="_Toc9289794"/>
      <w:bookmarkStart w:id="2421" w:name="_Toc11573440"/>
      <w:r w:rsidRPr="0050146A">
        <w:rPr>
          <w:rFonts w:hint="cs"/>
          <w:rtl/>
        </w:rPr>
        <w:t>ביאור היד יהודה ברמב"ם דשישים אינו מדין טעם כלל</w:t>
      </w:r>
      <w:bookmarkEnd w:id="2415"/>
      <w:bookmarkEnd w:id="2416"/>
      <w:bookmarkEnd w:id="2417"/>
      <w:bookmarkEnd w:id="2418"/>
      <w:bookmarkEnd w:id="2419"/>
      <w:bookmarkEnd w:id="2420"/>
      <w:bookmarkEnd w:id="2421"/>
    </w:p>
    <w:p w:rsidR="00BE3B3A" w:rsidRPr="0050146A" w:rsidRDefault="00BE3B3A" w:rsidP="00BE3B3A">
      <w:pPr>
        <w:pStyle w:val="a2"/>
        <w:rPr>
          <w:rtl/>
        </w:rPr>
      </w:pPr>
      <w:bookmarkStart w:id="2422" w:name="_Toc8986335"/>
      <w:bookmarkStart w:id="2423" w:name="_Toc9108650"/>
      <w:bookmarkStart w:id="2424" w:name="_Toc9110205"/>
      <w:bookmarkStart w:id="2425" w:name="_Toc9114567"/>
      <w:bookmarkStart w:id="2426" w:name="_Toc9149610"/>
      <w:bookmarkStart w:id="2427" w:name="_Toc9289795"/>
      <w:bookmarkStart w:id="2428" w:name="_Toc11573441"/>
      <w:r w:rsidRPr="0050146A">
        <w:rPr>
          <w:rFonts w:hint="cs"/>
          <w:rtl/>
        </w:rPr>
        <w:t>דברי היד יהודה דלהרמב"ם שישים הוא שמתבטל בשיעור מועט ואינו מדין טעם</w:t>
      </w:r>
      <w:bookmarkEnd w:id="2422"/>
      <w:bookmarkEnd w:id="2423"/>
      <w:bookmarkEnd w:id="2424"/>
      <w:bookmarkEnd w:id="2425"/>
      <w:bookmarkEnd w:id="2426"/>
      <w:bookmarkEnd w:id="2427"/>
      <w:bookmarkEnd w:id="2428"/>
    </w:p>
    <w:p w:rsidR="002D7168" w:rsidRDefault="00BE3B3A" w:rsidP="009F44AF">
      <w:pPr>
        <w:pStyle w:val="a"/>
        <w:rPr>
          <w:rtl/>
        </w:rPr>
      </w:pPr>
      <w:bookmarkStart w:id="2429" w:name="_Toc6953547"/>
      <w:bookmarkStart w:id="2430" w:name="_Toc8578670"/>
      <w:bookmarkStart w:id="2431" w:name="_Toc8765444"/>
      <w:bookmarkStart w:id="2432" w:name="_Toc8923211"/>
      <w:bookmarkStart w:id="2433" w:name="_Toc8933413"/>
      <w:bookmarkStart w:id="2434" w:name="_Toc8937283"/>
      <w:bookmarkStart w:id="2435" w:name="_Toc8938274"/>
      <w:bookmarkStart w:id="2436" w:name="_Toc8979184"/>
      <w:r w:rsidRPr="0050146A">
        <w:rPr>
          <w:rFonts w:hint="cs"/>
          <w:rtl/>
        </w:rPr>
        <w:t xml:space="preserve">בדברי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Ref8973995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50146A">
        <w:rPr>
          <w:rStyle w:val="af6"/>
          <w:rFonts w:eastAsia="Guttman Hodes"/>
          <w:rtl/>
        </w:rPr>
        <w:fldChar w:fldCharType="end"/>
      </w:r>
      <w:r w:rsidRPr="0050146A">
        <w:rPr>
          <w:rFonts w:hint="cs"/>
          <w:rtl/>
        </w:rPr>
        <w:t xml:space="preserve"> דגדר שישים הוא שהאיסור יתבטל בעוצם מיעוטו, ביאר </w:t>
      </w:r>
      <w:r w:rsidRPr="0050146A">
        <w:rPr>
          <w:rStyle w:val="af8"/>
          <w:rFonts w:hint="cs"/>
          <w:rtl/>
        </w:rPr>
        <w:t>היד יהודה</w:t>
      </w:r>
      <w:r w:rsidRPr="0050146A">
        <w:rPr>
          <w:rFonts w:hint="cs"/>
          <w:rtl/>
        </w:rPr>
        <w:t xml:space="preserve"> </w:t>
      </w:r>
      <w:r w:rsidRPr="0050146A">
        <w:rPr>
          <w:rStyle w:val="af6"/>
          <w:rFonts w:eastAsia="Guttman Hodes" w:hint="cs"/>
          <w:rtl/>
        </w:rPr>
        <w:t>(סי' צ"ח סק"ג ד"ה אבל הרמב"ם)</w:t>
      </w:r>
      <w:r w:rsidRPr="0050146A">
        <w:rPr>
          <w:rFonts w:hint="cs"/>
          <w:rtl/>
        </w:rPr>
        <w:t xml:space="preserve"> </w:t>
      </w:r>
      <w:r w:rsidRPr="0050146A">
        <w:rPr>
          <w:rStyle w:val="af8"/>
          <w:rFonts w:hint="cs"/>
          <w:rtl/>
        </w:rPr>
        <w:t>דהרמב"ם</w:t>
      </w:r>
      <w:r w:rsidRPr="0050146A">
        <w:rPr>
          <w:rFonts w:hint="cs"/>
          <w:rtl/>
        </w:rPr>
        <w:t xml:space="preserve"> פליג על דעת </w:t>
      </w:r>
      <w:r w:rsidRPr="0050146A">
        <w:rPr>
          <w:rStyle w:val="af8"/>
          <w:rFonts w:hint="cs"/>
          <w:rtl/>
        </w:rPr>
        <w:t>רוב הראשונים</w:t>
      </w:r>
      <w:r w:rsidRPr="0050146A">
        <w:rPr>
          <w:rFonts w:hint="cs"/>
          <w:rtl/>
        </w:rPr>
        <w:t xml:space="preserve"> דביארו דשיעור שישים הוא מחמת דבשישים בטל הטעם, אלא ס"ל דאף בפחות משישים יתכן שמתטל הטעם, אלא דגזרו רבנן, שכל האיסורים יתבטל בשיעור מועט של שישים, שמצאו לו חז"ל אסמכתא בזרוע בשילה, וכן מצאו אסמכתא בתרומה במאה, ובערלה במאתיים.</w:t>
      </w:r>
    </w:p>
    <w:p w:rsidR="00BE3B3A" w:rsidRPr="0050146A" w:rsidRDefault="00BE3B3A" w:rsidP="00BE3B3A">
      <w:pPr>
        <w:pStyle w:val="a2"/>
        <w:rPr>
          <w:rtl/>
        </w:rPr>
      </w:pPr>
      <w:bookmarkStart w:id="2437" w:name="_Toc8986336"/>
      <w:bookmarkStart w:id="2438" w:name="_Toc9108651"/>
      <w:bookmarkStart w:id="2439" w:name="_Toc9110206"/>
      <w:bookmarkStart w:id="2440" w:name="_Toc9114568"/>
      <w:bookmarkStart w:id="2441" w:name="_Toc9149611"/>
      <w:bookmarkStart w:id="2442" w:name="_Toc9289796"/>
      <w:bookmarkStart w:id="2443" w:name="_Toc11573442"/>
      <w:r w:rsidRPr="0050146A">
        <w:rPr>
          <w:rFonts w:hint="cs"/>
          <w:rtl/>
        </w:rPr>
        <w:t>דברי היד יהודה דכל שיעור שישים נאמר רק במקום שא"א לעמוד על הטעם</w:t>
      </w:r>
      <w:bookmarkEnd w:id="2437"/>
      <w:bookmarkEnd w:id="2438"/>
      <w:bookmarkEnd w:id="2439"/>
      <w:bookmarkEnd w:id="2440"/>
      <w:bookmarkEnd w:id="2441"/>
      <w:bookmarkEnd w:id="2442"/>
      <w:bookmarkEnd w:id="2443"/>
    </w:p>
    <w:p w:rsidR="00BE3B3A" w:rsidRPr="0050146A" w:rsidRDefault="00BE3B3A" w:rsidP="009F44AF">
      <w:pPr>
        <w:pStyle w:val="a"/>
      </w:pPr>
      <w:r w:rsidRPr="0050146A">
        <w:rPr>
          <w:rFonts w:hint="cs"/>
          <w:rtl/>
        </w:rPr>
        <w:t xml:space="preserve">אך ביאר </w:t>
      </w:r>
      <w:r w:rsidRPr="0050146A">
        <w:rPr>
          <w:rStyle w:val="af8"/>
          <w:rFonts w:hint="cs"/>
          <w:rtl/>
        </w:rPr>
        <w:t>היד יהודה</w:t>
      </w:r>
      <w:r w:rsidRPr="0050146A">
        <w:rPr>
          <w:rFonts w:hint="cs"/>
          <w:rtl/>
        </w:rPr>
        <w:t xml:space="preserve"> דס"ל </w:t>
      </w:r>
      <w:r w:rsidRPr="0050146A">
        <w:rPr>
          <w:rStyle w:val="af8"/>
          <w:rFonts w:hint="cs"/>
          <w:rtl/>
        </w:rPr>
        <w:t>להרמב"ם</w:t>
      </w:r>
      <w:r w:rsidRPr="0050146A">
        <w:rPr>
          <w:rFonts w:hint="cs"/>
          <w:rtl/>
        </w:rPr>
        <w:t xml:space="preserve"> דכל מה שנאמר שיעור שישים הוא במקום שא"א לעמוד על טעמו, אבל כשאפשר לעמוד על הטעם ע"י קפילא לא גזרו חכמים כלל, ולכן כשאפשר לעמוד על הטעם לא מהני כל שיעור לבטל, דהדין הוא לבדוק ע"י קפילא אם יש בהם טעם, עיי"ש בדברי </w:t>
      </w:r>
      <w:r w:rsidRPr="0050146A">
        <w:rPr>
          <w:rStyle w:val="af8"/>
          <w:rFonts w:hint="cs"/>
          <w:rtl/>
        </w:rPr>
        <w:t>היד יהודה</w:t>
      </w:r>
      <w:r w:rsidRPr="0050146A">
        <w:rPr>
          <w:rFonts w:hint="cs"/>
          <w:rtl/>
        </w:rPr>
        <w:t xml:space="preserve"> במה שהאריך להוכיח כן מדברי </w:t>
      </w:r>
      <w:r w:rsidRPr="0050146A">
        <w:rPr>
          <w:rStyle w:val="af8"/>
          <w:rFonts w:hint="cs"/>
          <w:rtl/>
        </w:rPr>
        <w:t>הרמב"ם</w:t>
      </w:r>
      <w:r w:rsidRPr="0050146A">
        <w:rPr>
          <w:rFonts w:hint="cs"/>
          <w:rtl/>
        </w:rPr>
        <w:t>.</w:t>
      </w:r>
    </w:p>
    <w:p w:rsidR="00BE3B3A" w:rsidRPr="0050146A" w:rsidRDefault="00BE3B3A" w:rsidP="00BE3B3A">
      <w:pPr>
        <w:pStyle w:val="1"/>
        <w:rPr>
          <w:rtl/>
        </w:rPr>
      </w:pPr>
      <w:bookmarkStart w:id="2444" w:name="_Toc8937284"/>
      <w:bookmarkStart w:id="2445" w:name="_Toc8938275"/>
      <w:bookmarkStart w:id="2446" w:name="_Toc8979185"/>
      <w:bookmarkStart w:id="2447" w:name="_Toc8986337"/>
      <w:bookmarkStart w:id="2448" w:name="_Toc9108652"/>
      <w:bookmarkStart w:id="2449" w:name="_Toc9110207"/>
      <w:bookmarkStart w:id="2450" w:name="_Toc9114569"/>
      <w:bookmarkStart w:id="2451" w:name="_Toc9149612"/>
      <w:bookmarkStart w:id="2452" w:name="_Toc9289797"/>
      <w:bookmarkStart w:id="2453" w:name="_Toc11573443"/>
      <w:bookmarkStart w:id="2454" w:name="_Toc6491240"/>
      <w:bookmarkStart w:id="2455" w:name="_Toc6581292"/>
      <w:bookmarkStart w:id="2456" w:name="_Toc6823632"/>
      <w:bookmarkStart w:id="2457" w:name="_Toc6953544"/>
      <w:bookmarkStart w:id="2458" w:name="_Toc8578667"/>
      <w:bookmarkStart w:id="2459" w:name="_Toc8765441"/>
      <w:bookmarkStart w:id="2460" w:name="_Toc8923208"/>
      <w:bookmarkStart w:id="2461" w:name="_Toc8933414"/>
      <w:bookmarkEnd w:id="2429"/>
      <w:bookmarkEnd w:id="2430"/>
      <w:bookmarkEnd w:id="2431"/>
      <w:bookmarkEnd w:id="2432"/>
      <w:bookmarkEnd w:id="2433"/>
      <w:bookmarkEnd w:id="2434"/>
      <w:bookmarkEnd w:id="2435"/>
      <w:bookmarkEnd w:id="2436"/>
      <w:r w:rsidRPr="0050146A">
        <w:rPr>
          <w:rFonts w:hint="cs"/>
          <w:rtl/>
        </w:rPr>
        <w:t>ביאור האור גדול בפלוגתת הראשונים בדין שישים בגמ' לקמן</w:t>
      </w:r>
      <w:bookmarkEnd w:id="2444"/>
      <w:bookmarkEnd w:id="2445"/>
      <w:bookmarkEnd w:id="2446"/>
      <w:bookmarkEnd w:id="2447"/>
      <w:bookmarkEnd w:id="2448"/>
      <w:bookmarkEnd w:id="2449"/>
      <w:bookmarkEnd w:id="2450"/>
      <w:bookmarkEnd w:id="2451"/>
      <w:bookmarkEnd w:id="2452"/>
      <w:bookmarkEnd w:id="2453"/>
    </w:p>
    <w:p w:rsidR="00BE3B3A" w:rsidRPr="0050146A" w:rsidRDefault="00BE3B3A" w:rsidP="00BE3B3A">
      <w:pPr>
        <w:pStyle w:val="a2"/>
        <w:rPr>
          <w:rtl/>
        </w:rPr>
      </w:pPr>
      <w:bookmarkStart w:id="2462" w:name="_Toc8937285"/>
      <w:bookmarkStart w:id="2463" w:name="_Toc8938276"/>
      <w:bookmarkStart w:id="2464" w:name="_Toc8979186"/>
      <w:bookmarkStart w:id="2465" w:name="_Toc8986338"/>
      <w:bookmarkStart w:id="2466" w:name="_Toc9108653"/>
      <w:bookmarkStart w:id="2467" w:name="_Toc9110208"/>
      <w:bookmarkStart w:id="2468" w:name="_Toc9114570"/>
      <w:bookmarkStart w:id="2469" w:name="_Toc9149613"/>
      <w:bookmarkStart w:id="2470" w:name="_Toc9289798"/>
      <w:bookmarkStart w:id="2471" w:name="_Toc11573444"/>
      <w:r w:rsidRPr="0050146A">
        <w:rPr>
          <w:rFonts w:hint="cs"/>
          <w:rtl/>
        </w:rPr>
        <w:t>דברי האור גדול דלרש"י הביאור בגמ' לקמן דצריך שישים אף כשאמר הקפילא שאין טעם</w:t>
      </w:r>
      <w:bookmarkEnd w:id="2462"/>
      <w:bookmarkEnd w:id="2463"/>
      <w:bookmarkEnd w:id="2464"/>
      <w:bookmarkEnd w:id="2465"/>
      <w:bookmarkEnd w:id="2466"/>
      <w:bookmarkEnd w:id="2467"/>
      <w:bookmarkEnd w:id="2468"/>
      <w:bookmarkEnd w:id="2469"/>
      <w:bookmarkEnd w:id="2470"/>
      <w:bookmarkEnd w:id="2471"/>
    </w:p>
    <w:p w:rsidR="00BE3B3A" w:rsidRPr="0050146A" w:rsidRDefault="00BE3B3A" w:rsidP="009F44AF">
      <w:pPr>
        <w:pStyle w:val="a"/>
        <w:rPr>
          <w:rtl/>
        </w:rPr>
      </w:pPr>
      <w:bookmarkStart w:id="2472" w:name="_Ref8979040"/>
      <w:r w:rsidRPr="0050146A">
        <w:rPr>
          <w:rFonts w:hint="cs"/>
          <w:rtl/>
        </w:rPr>
        <w:t xml:space="preserve">כתב </w:t>
      </w:r>
      <w:r w:rsidRPr="0050146A">
        <w:rPr>
          <w:rStyle w:val="af8"/>
          <w:rFonts w:hint="cs"/>
          <w:rtl/>
        </w:rPr>
        <w:t>האור גדול</w:t>
      </w:r>
      <w:r w:rsidRPr="0050146A">
        <w:rPr>
          <w:rFonts w:hint="cs"/>
          <w:rtl/>
        </w:rPr>
        <w:t xml:space="preserve"> </w:t>
      </w:r>
      <w:r w:rsidRPr="0050146A">
        <w:rPr>
          <w:rStyle w:val="af6"/>
          <w:rFonts w:eastAsia="Guttman Hodes" w:hint="cs"/>
          <w:rtl/>
        </w:rPr>
        <w:t>(סי' נ"ט ג')</w:t>
      </w:r>
      <w:r w:rsidRPr="0050146A">
        <w:rPr>
          <w:rFonts w:hint="cs"/>
          <w:rtl/>
        </w:rPr>
        <w:t xml:space="preserve"> </w:t>
      </w:r>
      <w:r w:rsidRPr="0050146A">
        <w:rPr>
          <w:rStyle w:val="af8"/>
          <w:rFonts w:hint="cs"/>
          <w:rtl/>
        </w:rPr>
        <w:t>דרש"י והראשונים</w:t>
      </w:r>
      <w:r w:rsidRPr="0050146A">
        <w:rPr>
          <w:rFonts w:hint="cs"/>
          <w:rtl/>
        </w:rPr>
        <w:t xml:space="preserve"> נחלקו בביאור הגמ' לקמן </w:t>
      </w:r>
      <w:r w:rsidRPr="0050146A">
        <w:rPr>
          <w:rStyle w:val="af6"/>
          <w:rFonts w:eastAsia="Guttman Hodes" w:hint="cs"/>
          <w:rtl/>
        </w:rPr>
        <w:t>(צט.)</w:t>
      </w:r>
      <w:r w:rsidRPr="0050146A">
        <w:rPr>
          <w:rFonts w:hint="cs"/>
          <w:rtl/>
        </w:rPr>
        <w:t xml:space="preserve"> </w:t>
      </w:r>
      <w:r w:rsidRPr="0050146A">
        <w:rPr>
          <w:rStyle w:val="af8"/>
          <w:rFonts w:hint="cs"/>
          <w:rtl/>
        </w:rPr>
        <w:t>דרש"י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ביאר דהא דאמרינן בגמ' לקמן דצריךלהתיר בשישים הוא אף במקום שאין בהם טעם ע"י קפילא. </w:t>
      </w:r>
      <w:r w:rsidRPr="0050146A">
        <w:rPr>
          <w:rStyle w:val="afa"/>
          <w:rFonts w:hint="cs"/>
          <w:rtl/>
        </w:rPr>
        <w:t>[ובתרומה ע"י כהן]</w:t>
      </w:r>
      <w:r w:rsidRPr="0050146A">
        <w:rPr>
          <w:rFonts w:hint="cs"/>
          <w:rtl/>
        </w:rPr>
        <w:t>.</w:t>
      </w:r>
      <w:bookmarkEnd w:id="2472"/>
    </w:p>
    <w:p w:rsidR="00BE3B3A" w:rsidRPr="0050146A" w:rsidRDefault="00BE3B3A" w:rsidP="00BE3B3A">
      <w:pPr>
        <w:pStyle w:val="a2"/>
      </w:pPr>
      <w:bookmarkStart w:id="2473" w:name="_Toc8937286"/>
      <w:bookmarkStart w:id="2474" w:name="_Toc8938277"/>
      <w:bookmarkStart w:id="2475" w:name="_Toc8979187"/>
      <w:bookmarkStart w:id="2476" w:name="_Toc8986339"/>
      <w:bookmarkStart w:id="2477" w:name="_Toc9108654"/>
      <w:bookmarkStart w:id="2478" w:name="_Toc9110209"/>
      <w:bookmarkStart w:id="2479" w:name="_Toc9114571"/>
      <w:bookmarkStart w:id="2480" w:name="_Toc9149614"/>
      <w:bookmarkStart w:id="2481" w:name="_Toc9289799"/>
      <w:bookmarkStart w:id="2482" w:name="_Toc11573445"/>
      <w:r w:rsidRPr="0050146A">
        <w:rPr>
          <w:rFonts w:hint="cs"/>
          <w:rtl/>
        </w:rPr>
        <w:t>דברי האור גדול דלרמב"ן בגמ' לקמן נימוח גוף האיסור ולכן אף כשאין טעם צריך שישים</w:t>
      </w:r>
      <w:bookmarkEnd w:id="2473"/>
      <w:bookmarkEnd w:id="2474"/>
      <w:bookmarkEnd w:id="2475"/>
      <w:bookmarkEnd w:id="2476"/>
      <w:bookmarkEnd w:id="2477"/>
      <w:bookmarkEnd w:id="2478"/>
      <w:bookmarkEnd w:id="2479"/>
      <w:bookmarkEnd w:id="2480"/>
      <w:bookmarkEnd w:id="2481"/>
      <w:bookmarkEnd w:id="2482"/>
    </w:p>
    <w:p w:rsidR="00BE3B3A" w:rsidRPr="0050146A" w:rsidRDefault="00BE3B3A" w:rsidP="009F44AF">
      <w:pPr>
        <w:pStyle w:val="a"/>
        <w:rPr>
          <w:rtl/>
        </w:rPr>
      </w:pPr>
      <w:bookmarkStart w:id="2483" w:name="_Ref8973659"/>
      <w:r w:rsidRPr="0050146A">
        <w:rPr>
          <w:rFonts w:hint="cs"/>
          <w:rtl/>
        </w:rPr>
        <w:t xml:space="preserve">ובדעת </w:t>
      </w:r>
      <w:r w:rsidRPr="0050146A">
        <w:rPr>
          <w:rStyle w:val="af8"/>
          <w:rFonts w:hint="cs"/>
          <w:rtl/>
        </w:rPr>
        <w:t>הרמב"ן והרשב"א והר"ן</w:t>
      </w:r>
      <w:r w:rsidRPr="0050146A">
        <w:rPr>
          <w:rFonts w:hint="cs"/>
          <w:rtl/>
        </w:rPr>
        <w:t xml:space="preserve"> כתב </w:t>
      </w:r>
      <w:r w:rsidRPr="0050146A">
        <w:rPr>
          <w:rStyle w:val="af8"/>
          <w:rFonts w:hint="cs"/>
          <w:rtl/>
        </w:rPr>
        <w:t>האור גדול</w:t>
      </w:r>
      <w:r w:rsidRPr="0050146A">
        <w:rPr>
          <w:rFonts w:hint="cs"/>
          <w:rtl/>
        </w:rPr>
        <w:t xml:space="preserve"> דהם ביארו בגמ' </w:t>
      </w:r>
      <w:r w:rsidRPr="0050146A">
        <w:rPr>
          <w:rStyle w:val="af8"/>
          <w:rFonts w:hint="cs"/>
          <w:rtl/>
        </w:rPr>
        <w:t>כרש"י</w:t>
      </w:r>
      <w:r w:rsidRPr="0050146A">
        <w:rPr>
          <w:rFonts w:hint="cs"/>
          <w:rtl/>
        </w:rPr>
        <w:t>, דאף כשאין טעם צריך שישים, אלא דס"ל דדוקא שם צריך שישים, כיון דאיירי שהגריסין של התרומה נימוחו בהיתר, והם חשיבי כגוף האיסור, ולכן לא מהני קפילא להתיר בפחות משישים.</w:t>
      </w:r>
      <w:bookmarkEnd w:id="2483"/>
    </w:p>
    <w:p w:rsidR="00BE3B3A" w:rsidRPr="0050146A" w:rsidRDefault="00BE3B3A" w:rsidP="00BE3B3A">
      <w:pPr>
        <w:pStyle w:val="a2"/>
      </w:pPr>
      <w:bookmarkStart w:id="2484" w:name="_Toc8937287"/>
      <w:bookmarkStart w:id="2485" w:name="_Toc8938278"/>
      <w:bookmarkStart w:id="2486" w:name="_Toc8979188"/>
      <w:bookmarkStart w:id="2487" w:name="_Toc8986340"/>
      <w:bookmarkStart w:id="2488" w:name="_Toc9108655"/>
      <w:bookmarkStart w:id="2489" w:name="_Toc9110210"/>
      <w:bookmarkStart w:id="2490" w:name="_Toc9114572"/>
      <w:bookmarkStart w:id="2491" w:name="_Toc9149615"/>
      <w:bookmarkStart w:id="2492" w:name="_Toc9289800"/>
      <w:bookmarkStart w:id="2493" w:name="_Toc11573446"/>
      <w:r w:rsidRPr="0050146A">
        <w:rPr>
          <w:rFonts w:hint="cs"/>
          <w:rtl/>
        </w:rPr>
        <w:lastRenderedPageBreak/>
        <w:t>דברי האור גדול דלתוס' והרא"ש בגמ' לקמן איריי בסתמא שלא טעם הקפילא ולכן צריך שישים</w:t>
      </w:r>
      <w:bookmarkEnd w:id="2484"/>
      <w:bookmarkEnd w:id="2485"/>
      <w:bookmarkEnd w:id="2486"/>
      <w:bookmarkEnd w:id="2487"/>
      <w:bookmarkEnd w:id="2488"/>
      <w:bookmarkEnd w:id="2489"/>
      <w:bookmarkEnd w:id="2490"/>
      <w:bookmarkEnd w:id="2491"/>
      <w:bookmarkEnd w:id="2492"/>
      <w:bookmarkEnd w:id="2493"/>
    </w:p>
    <w:p w:rsidR="00010471" w:rsidRPr="0050146A" w:rsidRDefault="00BE3B3A" w:rsidP="009F44AF">
      <w:pPr>
        <w:pStyle w:val="a"/>
        <w:rPr>
          <w:rtl/>
        </w:rPr>
      </w:pPr>
      <w:bookmarkStart w:id="2494" w:name="_Ref8989979"/>
      <w:r w:rsidRPr="0050146A">
        <w:rPr>
          <w:rFonts w:hint="cs"/>
          <w:rtl/>
        </w:rPr>
        <w:t xml:space="preserve">ובדעת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Ref8896021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Style w:val="af8"/>
          <w:rFonts w:hint="cs"/>
          <w:rtl/>
        </w:rPr>
        <w:t xml:space="preserve"> והרא"ש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Ref8935912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50146A">
        <w:rPr>
          <w:rStyle w:val="af6"/>
          <w:rFonts w:eastAsia="Guttman Hodes"/>
          <w:rtl/>
        </w:rPr>
        <w:fldChar w:fldCharType="end"/>
      </w:r>
      <w:r w:rsidRPr="0050146A">
        <w:rPr>
          <w:rFonts w:hint="cs"/>
          <w:rtl/>
        </w:rPr>
        <w:t xml:space="preserve"> דס"ל דקפילא מהני להתיר אף בפחות משישים, כתב </w:t>
      </w:r>
      <w:r w:rsidRPr="0050146A">
        <w:rPr>
          <w:rStyle w:val="af8"/>
          <w:rFonts w:hint="cs"/>
          <w:rtl/>
        </w:rPr>
        <w:t>האור גדול</w:t>
      </w:r>
      <w:r w:rsidRPr="0050146A">
        <w:rPr>
          <w:rFonts w:hint="cs"/>
          <w:rtl/>
        </w:rPr>
        <w:t xml:space="preserve"> דהם ביארו דהגמ' לקמן איירי שלא טעם הקפילא כלל, ואף בכה"ג מהני שישים להתיר.</w:t>
      </w:r>
      <w:bookmarkEnd w:id="2494"/>
    </w:p>
    <w:p w:rsidR="00BE3B3A" w:rsidRPr="0050146A" w:rsidRDefault="00BE3B3A" w:rsidP="00BE3B3A">
      <w:pPr>
        <w:pStyle w:val="a2"/>
        <w:rPr>
          <w:rtl/>
        </w:rPr>
      </w:pPr>
      <w:bookmarkStart w:id="2495" w:name="_Toc8979189"/>
      <w:bookmarkStart w:id="2496" w:name="_Toc8986341"/>
      <w:bookmarkStart w:id="2497" w:name="_Toc9108656"/>
      <w:bookmarkStart w:id="2498" w:name="_Toc9110211"/>
      <w:bookmarkStart w:id="2499" w:name="_Toc9114573"/>
      <w:bookmarkStart w:id="2500" w:name="_Toc9149616"/>
      <w:bookmarkStart w:id="2501" w:name="_Toc9289801"/>
      <w:bookmarkStart w:id="2502" w:name="_Toc11573447"/>
      <w:r w:rsidRPr="0050146A">
        <w:rPr>
          <w:rFonts w:hint="cs"/>
          <w:rtl/>
        </w:rPr>
        <w:t>קושית האור גדול האיך יבאר הרמב"ם את הגמ' לקמן דבמקום שאין טעם צריך שישים</w:t>
      </w:r>
      <w:bookmarkEnd w:id="2495"/>
      <w:bookmarkEnd w:id="2496"/>
      <w:bookmarkEnd w:id="2497"/>
      <w:bookmarkEnd w:id="2498"/>
      <w:bookmarkEnd w:id="2499"/>
      <w:bookmarkEnd w:id="2500"/>
      <w:bookmarkEnd w:id="2501"/>
      <w:bookmarkEnd w:id="2502"/>
    </w:p>
    <w:p w:rsidR="00BE3B3A" w:rsidRPr="0050146A" w:rsidRDefault="00BE3B3A" w:rsidP="009F44AF">
      <w:pPr>
        <w:pStyle w:val="a"/>
        <w:rPr>
          <w:rtl/>
        </w:rPr>
      </w:pPr>
      <w:bookmarkStart w:id="2503" w:name="_Ref8983804"/>
      <w:bookmarkStart w:id="2504" w:name="_Toc8937288"/>
      <w:r w:rsidRPr="0050146A">
        <w:rPr>
          <w:rFonts w:hint="cs"/>
          <w:rtl/>
        </w:rPr>
        <w:t xml:space="preserve">ובדעת </w:t>
      </w:r>
      <w:r w:rsidRPr="0050146A">
        <w:rPr>
          <w:rStyle w:val="af8"/>
          <w:rFonts w:hint="cs"/>
          <w:rtl/>
        </w:rPr>
        <w:t>הרמב"ם</w:t>
      </w:r>
      <w:r w:rsidRPr="0050146A">
        <w:rPr>
          <w:rFonts w:hint="cs"/>
          <w:rtl/>
        </w:rPr>
        <w:t xml:space="preserve"> הקשה </w:t>
      </w:r>
      <w:r w:rsidRPr="0050146A">
        <w:rPr>
          <w:rStyle w:val="af8"/>
          <w:rFonts w:hint="cs"/>
          <w:rtl/>
        </w:rPr>
        <w:t>האור גדול</w:t>
      </w:r>
      <w:r w:rsidRPr="0050146A">
        <w:rPr>
          <w:rFonts w:hint="cs"/>
          <w:rtl/>
        </w:rPr>
        <w:t xml:space="preserve"> </w:t>
      </w:r>
      <w:r w:rsidRPr="0050146A">
        <w:rPr>
          <w:rStyle w:val="af6"/>
          <w:rFonts w:eastAsia="Guttman Hodes" w:hint="cs"/>
          <w:rtl/>
        </w:rPr>
        <w:t>(סי' נ"ט ג' ד"ה ומעתה)</w:t>
      </w:r>
      <w:r w:rsidRPr="0050146A">
        <w:rPr>
          <w:rFonts w:hint="cs"/>
          <w:rtl/>
        </w:rPr>
        <w:t xml:space="preserve"> דהאיך יפרש את הגמ' לקמן דמבואר דבדבר שאין בו טעם צריך שישים, דאינו יכול לבאר </w:t>
      </w:r>
      <w:r w:rsidRPr="0050146A">
        <w:rPr>
          <w:rStyle w:val="af8"/>
          <w:rFonts w:hint="cs"/>
          <w:rtl/>
        </w:rPr>
        <w:t>כרש"י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Ref8895922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דאיירי שטעם הקפילא [</w:t>
      </w:r>
      <w:r w:rsidRPr="0050146A">
        <w:rPr>
          <w:rStyle w:val="afa"/>
          <w:rFonts w:hint="cs"/>
          <w:rtl/>
        </w:rPr>
        <w:t xml:space="preserve">או הכהן בתרומה] </w:t>
      </w:r>
      <w:r w:rsidRPr="0050146A">
        <w:rPr>
          <w:rFonts w:hint="cs"/>
          <w:rtl/>
        </w:rPr>
        <w:t xml:space="preserve">ואמר שאין טעם, דהא לדעת הרמב"ם אי אמר קפילא שאין בו טעם, א"צ שישים, וכן אין </w:t>
      </w:r>
      <w:r w:rsidRPr="0050146A">
        <w:rPr>
          <w:rStyle w:val="af8"/>
          <w:rFonts w:hint="cs"/>
          <w:rtl/>
        </w:rPr>
        <w:t>הרמב"ם</w:t>
      </w:r>
      <w:r w:rsidRPr="0050146A">
        <w:rPr>
          <w:rFonts w:hint="cs"/>
          <w:rtl/>
        </w:rPr>
        <w:t xml:space="preserve"> יכול לפרש </w:t>
      </w:r>
      <w:r w:rsidRPr="0050146A">
        <w:rPr>
          <w:rStyle w:val="af8"/>
          <w:rFonts w:hint="cs"/>
          <w:rtl/>
        </w:rPr>
        <w:t>כתוס'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Ref8896021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Style w:val="af8"/>
          <w:rFonts w:hint="cs"/>
          <w:rtl/>
        </w:rPr>
        <w:t xml:space="preserve"> </w:t>
      </w:r>
      <w:r w:rsidRPr="0050146A">
        <w:rPr>
          <w:rFonts w:hint="cs"/>
          <w:rtl/>
        </w:rPr>
        <w:t xml:space="preserve">דאיירי בסתמא שלא טעם הכהן וכדביאר </w:t>
      </w:r>
      <w:r w:rsidRPr="0050146A">
        <w:rPr>
          <w:rStyle w:val="af8"/>
          <w:rFonts w:hint="cs"/>
          <w:rtl/>
        </w:rPr>
        <w:t>האור גדול</w:t>
      </w:r>
      <w:r w:rsidRPr="0050146A">
        <w:rPr>
          <w:rFonts w:hint="cs"/>
          <w:rtl/>
        </w:rPr>
        <w:t xml:space="preserve"> באריכות דמבואר בדברי </w:t>
      </w:r>
      <w:r w:rsidRPr="0050146A">
        <w:rPr>
          <w:rStyle w:val="af8"/>
          <w:rFonts w:hint="cs"/>
          <w:rtl/>
        </w:rPr>
        <w:t>הרמב"ם</w:t>
      </w:r>
      <w:r w:rsidRPr="0050146A">
        <w:rPr>
          <w:rFonts w:hint="cs"/>
          <w:rtl/>
        </w:rPr>
        <w:t xml:space="preserve"> דס"ל דבתרומה לא מהני טעימת כהן כלל, עיי"ש בדבריו, וכן הקשה </w:t>
      </w:r>
      <w:r w:rsidRPr="0050146A">
        <w:rPr>
          <w:rStyle w:val="af8"/>
          <w:rFonts w:hint="cs"/>
          <w:rtl/>
        </w:rPr>
        <w:t>הראש יוסף</w:t>
      </w:r>
      <w:r w:rsidRPr="0050146A">
        <w:rPr>
          <w:rFonts w:hint="cs"/>
          <w:rtl/>
        </w:rPr>
        <w:t xml:space="preserve"> </w:t>
      </w:r>
      <w:r w:rsidRPr="0050146A">
        <w:rPr>
          <w:rStyle w:val="af6"/>
          <w:rFonts w:eastAsia="Guttman Hodes" w:hint="cs"/>
          <w:rtl/>
        </w:rPr>
        <w:t>(ד"ה שיטה הד')</w:t>
      </w:r>
      <w:r w:rsidRPr="0050146A">
        <w:rPr>
          <w:rFonts w:hint="cs"/>
          <w:rtl/>
        </w:rPr>
        <w:t>.</w:t>
      </w:r>
      <w:bookmarkEnd w:id="2503"/>
    </w:p>
    <w:p w:rsidR="00BE3B3A" w:rsidRPr="0050146A" w:rsidRDefault="00BE3B3A" w:rsidP="00BE3B3A">
      <w:pPr>
        <w:pStyle w:val="a2"/>
      </w:pPr>
      <w:bookmarkStart w:id="2505" w:name="_Toc8979190"/>
      <w:bookmarkStart w:id="2506" w:name="_Toc8986342"/>
      <w:bookmarkStart w:id="2507" w:name="_Toc9108657"/>
      <w:bookmarkStart w:id="2508" w:name="_Toc9110212"/>
      <w:bookmarkStart w:id="2509" w:name="_Toc9114574"/>
      <w:bookmarkStart w:id="2510" w:name="_Toc9149617"/>
      <w:bookmarkStart w:id="2511" w:name="_Toc9289802"/>
      <w:bookmarkStart w:id="2512" w:name="_Toc11573448"/>
      <w:r w:rsidRPr="0050146A">
        <w:rPr>
          <w:rFonts w:hint="cs"/>
          <w:rtl/>
        </w:rPr>
        <w:t>ביאור האור גדול דהרמב"ם פסק כריו"ח אבל בדעת ריב"ל לקמן ס"ל דאף כשאין טעם צריך שישים</w:t>
      </w:r>
      <w:bookmarkEnd w:id="2505"/>
      <w:bookmarkEnd w:id="2506"/>
      <w:bookmarkEnd w:id="2507"/>
      <w:bookmarkEnd w:id="2508"/>
      <w:bookmarkEnd w:id="2509"/>
      <w:bookmarkEnd w:id="2510"/>
      <w:bookmarkEnd w:id="2511"/>
      <w:bookmarkEnd w:id="2512"/>
      <w:r w:rsidRPr="0050146A">
        <w:rPr>
          <w:rFonts w:hint="cs"/>
          <w:rtl/>
        </w:rPr>
        <w:t xml:space="preserve"> </w:t>
      </w:r>
    </w:p>
    <w:p w:rsidR="00BE3B3A" w:rsidRPr="0050146A" w:rsidRDefault="00BE3B3A" w:rsidP="009F44AF">
      <w:pPr>
        <w:pStyle w:val="a"/>
        <w:rPr>
          <w:rtl/>
        </w:rPr>
      </w:pPr>
      <w:r w:rsidRPr="0050146A">
        <w:rPr>
          <w:rFonts w:hint="cs"/>
          <w:rtl/>
        </w:rPr>
        <w:t xml:space="preserve">אלא ביאר </w:t>
      </w:r>
      <w:r w:rsidRPr="0050146A">
        <w:rPr>
          <w:rStyle w:val="af8"/>
          <w:rFonts w:hint="cs"/>
          <w:rtl/>
        </w:rPr>
        <w:t>האור גדול</w:t>
      </w:r>
      <w:r w:rsidRPr="0050146A">
        <w:rPr>
          <w:rFonts w:hint="cs"/>
          <w:rtl/>
        </w:rPr>
        <w:t xml:space="preserve"> </w:t>
      </w:r>
      <w:r w:rsidRPr="0050146A">
        <w:rPr>
          <w:rStyle w:val="af6"/>
          <w:rFonts w:eastAsia="Guttman Hodes" w:hint="cs"/>
          <w:rtl/>
        </w:rPr>
        <w:t>(סי' נ"ט ד' ד"ה ע"כ)</w:t>
      </w:r>
      <w:r w:rsidRPr="0050146A">
        <w:rPr>
          <w:rFonts w:hint="cs"/>
          <w:rtl/>
        </w:rPr>
        <w:t xml:space="preserve"> דהא דס"ל </w:t>
      </w:r>
      <w:r w:rsidRPr="0050146A">
        <w:rPr>
          <w:rStyle w:val="af8"/>
          <w:rFonts w:hint="cs"/>
          <w:rtl/>
        </w:rPr>
        <w:t>להרמב"ם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Ref8938153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50146A">
        <w:rPr>
          <w:rStyle w:val="af6"/>
          <w:rFonts w:eastAsia="Guttman Hodes"/>
          <w:rtl/>
        </w:rPr>
        <w:fldChar w:fldCharType="end"/>
      </w:r>
      <w:r w:rsidRPr="0050146A">
        <w:rPr>
          <w:rFonts w:hint="cs"/>
          <w:rtl/>
        </w:rPr>
        <w:t xml:space="preserve"> דמהני קפילא אף בפחות משישים, הוא כיון דפסק כדברי ריו"ח ורבא דסמכינן על קפילא, אבל בדעת ריב"ל בגמ' לקמן </w:t>
      </w:r>
      <w:r w:rsidRPr="0050146A">
        <w:rPr>
          <w:rStyle w:val="af6"/>
          <w:rFonts w:eastAsia="Guttman Hodes" w:hint="cs"/>
          <w:rtl/>
        </w:rPr>
        <w:t>(צט.)</w:t>
      </w:r>
      <w:r w:rsidRPr="0050146A">
        <w:rPr>
          <w:rFonts w:hint="cs"/>
          <w:rtl/>
        </w:rPr>
        <w:t xml:space="preserve"> מודה </w:t>
      </w:r>
      <w:r w:rsidRPr="0050146A">
        <w:rPr>
          <w:rStyle w:val="af8"/>
          <w:rFonts w:hint="cs"/>
          <w:rtl/>
        </w:rPr>
        <w:t>הרמב"ם</w:t>
      </w:r>
      <w:r w:rsidRPr="0050146A">
        <w:rPr>
          <w:rFonts w:hint="cs"/>
          <w:rtl/>
        </w:rPr>
        <w:t xml:space="preserve"> דאף כשטעם הקפילא צריך שישים, ועיי"ש במה שהאריך </w:t>
      </w:r>
      <w:r w:rsidRPr="0050146A">
        <w:rPr>
          <w:rStyle w:val="af8"/>
          <w:rFonts w:hint="cs"/>
          <w:rtl/>
        </w:rPr>
        <w:t>האור גדול</w:t>
      </w:r>
      <w:r w:rsidRPr="0050146A">
        <w:rPr>
          <w:rFonts w:hint="cs"/>
          <w:rtl/>
        </w:rPr>
        <w:t xml:space="preserve"> בזה.</w:t>
      </w:r>
      <w:bookmarkEnd w:id="2454"/>
      <w:bookmarkEnd w:id="2455"/>
      <w:bookmarkEnd w:id="2456"/>
      <w:bookmarkEnd w:id="2457"/>
      <w:bookmarkEnd w:id="2458"/>
      <w:bookmarkEnd w:id="2459"/>
      <w:bookmarkEnd w:id="2460"/>
      <w:bookmarkEnd w:id="2461"/>
      <w:bookmarkEnd w:id="2504"/>
    </w:p>
    <w:p w:rsidR="00BE3B3A" w:rsidRPr="0050146A" w:rsidRDefault="00BE3B3A" w:rsidP="00E669F8">
      <w:pPr>
        <w:pStyle w:val="afd"/>
        <w:rPr>
          <w:rtl/>
        </w:rPr>
      </w:pPr>
      <w:bookmarkStart w:id="2513" w:name="_Toc8578674"/>
      <w:bookmarkStart w:id="2514" w:name="_Toc8765449"/>
      <w:bookmarkStart w:id="2515" w:name="_Toc8923261"/>
      <w:bookmarkStart w:id="2516" w:name="_Toc9108658"/>
      <w:bookmarkStart w:id="2517" w:name="_Toc9110213"/>
      <w:bookmarkStart w:id="2518" w:name="_Toc9114575"/>
      <w:bookmarkStart w:id="2519" w:name="_Toc9149618"/>
      <w:bookmarkStart w:id="2520" w:name="_Toc9289803"/>
      <w:bookmarkStart w:id="2521" w:name="_Toc11573449"/>
      <w:r w:rsidRPr="0050146A">
        <w:rPr>
          <w:rFonts w:hint="cs"/>
          <w:rtl/>
        </w:rPr>
        <w:t>בגדר טעימת הקפילא</w:t>
      </w:r>
      <w:bookmarkEnd w:id="2513"/>
      <w:bookmarkEnd w:id="2514"/>
      <w:bookmarkEnd w:id="2515"/>
      <w:bookmarkEnd w:id="2516"/>
      <w:bookmarkEnd w:id="2517"/>
      <w:bookmarkEnd w:id="2518"/>
      <w:bookmarkEnd w:id="2519"/>
      <w:bookmarkEnd w:id="2520"/>
      <w:bookmarkEnd w:id="2521"/>
    </w:p>
    <w:p w:rsidR="00BE3B3A" w:rsidRPr="0050146A" w:rsidRDefault="00BE3B3A" w:rsidP="00BE3B3A">
      <w:pPr>
        <w:pStyle w:val="1"/>
        <w:rPr>
          <w:rtl/>
        </w:rPr>
      </w:pPr>
      <w:bookmarkStart w:id="2522" w:name="_Toc9110214"/>
      <w:bookmarkStart w:id="2523" w:name="_Toc9114576"/>
      <w:bookmarkStart w:id="2524" w:name="_Toc9149619"/>
      <w:bookmarkStart w:id="2525" w:name="_Toc9289804"/>
      <w:bookmarkStart w:id="2526" w:name="_Toc11573450"/>
      <w:bookmarkStart w:id="2527" w:name="_Toc9108659"/>
      <w:r w:rsidRPr="0050146A">
        <w:rPr>
          <w:rFonts w:hint="cs"/>
          <w:rtl/>
        </w:rPr>
        <w:t>דעת הסוברים דסגי בטעימה של סתם בנ"א וא"צ טעימת בקי</w:t>
      </w:r>
      <w:bookmarkEnd w:id="2522"/>
      <w:bookmarkEnd w:id="2523"/>
      <w:bookmarkEnd w:id="2524"/>
      <w:bookmarkEnd w:id="2525"/>
      <w:bookmarkEnd w:id="2526"/>
    </w:p>
    <w:p w:rsidR="00BE3B3A" w:rsidRPr="0050146A" w:rsidRDefault="00BE3B3A" w:rsidP="00BE3B3A">
      <w:pPr>
        <w:pStyle w:val="a2"/>
        <w:rPr>
          <w:rtl/>
        </w:rPr>
      </w:pPr>
      <w:bookmarkStart w:id="2528" w:name="_Toc9110215"/>
      <w:bookmarkStart w:id="2529" w:name="_Toc9114577"/>
      <w:bookmarkStart w:id="2530" w:name="_Toc9149620"/>
      <w:bookmarkStart w:id="2531" w:name="_Toc9289805"/>
      <w:bookmarkStart w:id="2532" w:name="_Toc11573451"/>
      <w:r w:rsidRPr="0050146A">
        <w:rPr>
          <w:rFonts w:hint="cs"/>
          <w:rtl/>
        </w:rPr>
        <w:t>ספק הרשב"א אי צריך דוקא טעימה של בקי או דסגי בטעם שסתם בנ"א מרגישים בו</w:t>
      </w:r>
      <w:bookmarkEnd w:id="2528"/>
      <w:bookmarkEnd w:id="2529"/>
      <w:bookmarkEnd w:id="2530"/>
      <w:bookmarkEnd w:id="2531"/>
      <w:bookmarkEnd w:id="2532"/>
    </w:p>
    <w:p w:rsidR="00BE3B3A" w:rsidRPr="0050146A" w:rsidRDefault="00BE3B3A" w:rsidP="009F44AF">
      <w:pPr>
        <w:pStyle w:val="a"/>
        <w:rPr>
          <w:rtl/>
        </w:rPr>
      </w:pPr>
      <w:r w:rsidRPr="0050146A">
        <w:rPr>
          <w:rFonts w:hint="cs"/>
          <w:rtl/>
        </w:rPr>
        <w:t xml:space="preserve">כתב </w:t>
      </w:r>
      <w:r w:rsidRPr="0050146A">
        <w:rPr>
          <w:rStyle w:val="af8"/>
          <w:rFonts w:hint="cs"/>
          <w:rtl/>
        </w:rPr>
        <w:t>הרשב"א בתוה"ב</w:t>
      </w:r>
      <w:r w:rsidRPr="0050146A">
        <w:rPr>
          <w:rFonts w:hint="cs"/>
          <w:rtl/>
        </w:rPr>
        <w:t xml:space="preserve"> </w:t>
      </w:r>
      <w:r w:rsidRPr="0050146A">
        <w:rPr>
          <w:rStyle w:val="af6"/>
          <w:rFonts w:eastAsia="Guttman Hodes" w:hint="cs"/>
          <w:rtl/>
        </w:rPr>
        <w:t xml:space="preserve">(ב"ד ש"א טז. מדה"ס) </w:t>
      </w:r>
      <w:r w:rsidRPr="0050146A">
        <w:rPr>
          <w:rFonts w:hint="cs"/>
          <w:rtl/>
        </w:rPr>
        <w:t>דיש להסתפק בדין קפילא, איירי דוקא בקפילא שבקי בהרבה טעמים, והוא מרגיש אף טעם מועט, שרוב בנ"א אינם מרגישים אותו, או דאיירי אף בסתם בנ"א שאינם אומנים.</w:t>
      </w:r>
    </w:p>
    <w:p w:rsidR="00BE3B3A" w:rsidRPr="0050146A" w:rsidRDefault="00BE3B3A" w:rsidP="00BE3B3A">
      <w:pPr>
        <w:pStyle w:val="a2"/>
      </w:pPr>
      <w:bookmarkStart w:id="2533" w:name="_Toc9110216"/>
      <w:bookmarkStart w:id="2534" w:name="_Toc9114578"/>
      <w:bookmarkStart w:id="2535" w:name="_Toc9149621"/>
      <w:bookmarkStart w:id="2536" w:name="_Toc9289806"/>
      <w:bookmarkStart w:id="2537" w:name="_Toc11573452"/>
      <w:r w:rsidRPr="0050146A">
        <w:rPr>
          <w:rFonts w:hint="cs"/>
          <w:rtl/>
        </w:rPr>
        <w:t>דברי הרשב"א דמסתבר לומר דא"צ דוקא טעימה של בקי וסגי בטעם שסתם בנ"א מרגישים בו</w:t>
      </w:r>
      <w:bookmarkEnd w:id="2533"/>
      <w:bookmarkEnd w:id="2534"/>
      <w:bookmarkEnd w:id="2535"/>
      <w:bookmarkEnd w:id="2536"/>
      <w:bookmarkEnd w:id="2537"/>
    </w:p>
    <w:p w:rsidR="00BE3B3A" w:rsidRPr="0050146A" w:rsidRDefault="00BE3B3A" w:rsidP="009F44AF">
      <w:pPr>
        <w:pStyle w:val="a"/>
        <w:rPr>
          <w:rtl/>
        </w:rPr>
      </w:pPr>
      <w:r w:rsidRPr="0050146A">
        <w:rPr>
          <w:rFonts w:hint="cs"/>
          <w:rtl/>
        </w:rPr>
        <w:t xml:space="preserve">וכתב </w:t>
      </w:r>
      <w:r w:rsidRPr="0050146A">
        <w:rPr>
          <w:rStyle w:val="af8"/>
          <w:rFonts w:hint="cs"/>
          <w:rtl/>
        </w:rPr>
        <w:t xml:space="preserve">הרשב"א בתוה"ב </w:t>
      </w:r>
      <w:r w:rsidRPr="0050146A">
        <w:rPr>
          <w:rFonts w:hint="cs"/>
          <w:rtl/>
        </w:rPr>
        <w:t xml:space="preserve">דמסתבר לומר דאיירי אף בסתם בנ"א שאינם אומנים, והוסיף </w:t>
      </w:r>
      <w:r w:rsidRPr="0050146A">
        <w:rPr>
          <w:rStyle w:val="af8"/>
          <w:rFonts w:hint="cs"/>
          <w:rtl/>
        </w:rPr>
        <w:t xml:space="preserve">הרשב"א </w:t>
      </w:r>
      <w:r w:rsidRPr="0050146A">
        <w:rPr>
          <w:rFonts w:hint="cs"/>
          <w:rtl/>
        </w:rPr>
        <w:t xml:space="preserve">דבסתם בנ"א </w:t>
      </w:r>
      <w:r w:rsidRPr="0050146A">
        <w:rPr>
          <w:rStyle w:val="afa"/>
          <w:rFonts w:hint="cs"/>
          <w:rtl/>
        </w:rPr>
        <w:t>[בעכו"ם]</w:t>
      </w:r>
      <w:r w:rsidRPr="0050146A">
        <w:rPr>
          <w:rFonts w:hint="cs"/>
          <w:rtl/>
        </w:rPr>
        <w:t xml:space="preserve"> דוקא במסיח לפי תומו סומכים עליהם שאינם משקרים.</w:t>
      </w:r>
    </w:p>
    <w:p w:rsidR="00BE3B3A" w:rsidRPr="0050146A" w:rsidRDefault="00BE3B3A" w:rsidP="00BE3B3A">
      <w:pPr>
        <w:pStyle w:val="a2"/>
        <w:rPr>
          <w:rtl/>
        </w:rPr>
      </w:pPr>
      <w:bookmarkStart w:id="2538" w:name="_Toc9110217"/>
      <w:bookmarkStart w:id="2539" w:name="_Toc9114579"/>
      <w:bookmarkStart w:id="2540" w:name="_Toc9149622"/>
      <w:bookmarkStart w:id="2541" w:name="_Toc9289807"/>
      <w:bookmarkStart w:id="2542" w:name="_Toc11573453"/>
      <w:r w:rsidRPr="0050146A">
        <w:rPr>
          <w:rFonts w:hint="cs"/>
          <w:rtl/>
        </w:rPr>
        <w:t>הוכחת הרשב"א מדברי רבא ומטעימת כהן דא"צ טעימה של קפילא בדוקא וסגי בסתם בנ"א</w:t>
      </w:r>
      <w:bookmarkEnd w:id="2538"/>
      <w:bookmarkEnd w:id="2539"/>
      <w:bookmarkEnd w:id="2540"/>
      <w:bookmarkEnd w:id="2541"/>
      <w:bookmarkEnd w:id="2542"/>
    </w:p>
    <w:p w:rsidR="00BE3B3A" w:rsidRPr="0050146A" w:rsidRDefault="00BE3B3A" w:rsidP="009F44AF">
      <w:pPr>
        <w:pStyle w:val="a"/>
        <w:rPr>
          <w:rtl/>
        </w:rPr>
      </w:pPr>
      <w:bookmarkStart w:id="2543" w:name="_Ref9109897"/>
      <w:r w:rsidRPr="0050146A">
        <w:rPr>
          <w:rFonts w:hint="cs"/>
          <w:rtl/>
        </w:rPr>
        <w:t xml:space="preserve">וכתב </w:t>
      </w:r>
      <w:r w:rsidRPr="0050146A">
        <w:rPr>
          <w:rStyle w:val="af8"/>
          <w:rFonts w:hint="cs"/>
          <w:rtl/>
        </w:rPr>
        <w:t>הרשב"א בתוה"ב ובחי'</w:t>
      </w:r>
      <w:r w:rsidRPr="0050146A">
        <w:rPr>
          <w:rFonts w:hint="cs"/>
          <w:rtl/>
        </w:rPr>
        <w:t xml:space="preserve"> </w:t>
      </w:r>
      <w:r w:rsidRPr="0050146A">
        <w:rPr>
          <w:rStyle w:val="af6"/>
          <w:rFonts w:eastAsia="Guttman Hodes" w:hint="cs"/>
          <w:rtl/>
        </w:rPr>
        <w:t>(ד"ה אמר)</w:t>
      </w:r>
      <w:r w:rsidRPr="0050146A">
        <w:rPr>
          <w:rFonts w:hint="cs"/>
          <w:rtl/>
        </w:rPr>
        <w:t xml:space="preserve"> </w:t>
      </w:r>
      <w:r w:rsidRPr="0050146A">
        <w:rPr>
          <w:rStyle w:val="af8"/>
          <w:rFonts w:hint="cs"/>
          <w:rtl/>
        </w:rPr>
        <w:t>ובתשו'</w:t>
      </w:r>
      <w:r w:rsidRPr="0050146A">
        <w:rPr>
          <w:rFonts w:hint="cs"/>
          <w:rtl/>
        </w:rPr>
        <w:t xml:space="preserve"> </w:t>
      </w:r>
      <w:r w:rsidRPr="0050146A">
        <w:rPr>
          <w:rStyle w:val="af6"/>
          <w:rFonts w:eastAsia="Guttman Hodes" w:hint="cs"/>
          <w:rtl/>
        </w:rPr>
        <w:t xml:space="preserve">(ח"א סי' תצ"ו, ח"ז מיוחסות סו"ס קנ"א ד"ה ומה שכתבתי קפילא) </w:t>
      </w:r>
      <w:r w:rsidRPr="0050146A">
        <w:rPr>
          <w:rFonts w:hint="cs"/>
          <w:rtl/>
        </w:rPr>
        <w:t xml:space="preserve">דכן מוכח מהא דרבא חילק בדבריו את טעם וקפילא לב' דינים, </w:t>
      </w:r>
      <w:r w:rsidRPr="0050146A">
        <w:rPr>
          <w:rStyle w:val="afa"/>
          <w:rFonts w:hint="cs"/>
          <w:rtl/>
        </w:rPr>
        <w:t xml:space="preserve">[וביאר </w:t>
      </w:r>
      <w:r w:rsidRPr="0050146A">
        <w:rPr>
          <w:rStyle w:val="affa"/>
          <w:rFonts w:hint="cs"/>
          <w:rtl/>
        </w:rPr>
        <w:t>הגר"א</w:t>
      </w:r>
      <w:r w:rsidRPr="0050146A">
        <w:rPr>
          <w:rStyle w:val="afa"/>
          <w:rFonts w:hint="cs"/>
          <w:rtl/>
        </w:rPr>
        <w:t xml:space="preserve"> </w:t>
      </w:r>
      <w:r w:rsidRPr="0050146A">
        <w:rPr>
          <w:rStyle w:val="aff6"/>
          <w:rFonts w:hint="cs"/>
          <w:rtl/>
        </w:rPr>
        <w:t xml:space="preserve">(סי' צ"ח סק"ב) </w:t>
      </w:r>
      <w:r w:rsidRPr="0050146A">
        <w:rPr>
          <w:rStyle w:val="afa"/>
          <w:rFonts w:hint="cs"/>
          <w:rtl/>
        </w:rPr>
        <w:t>דמוכח בגמ' דאמור רבנן בטעמא היינו שא"צ שבקי יטעם, וסגי בטעם הניכר לכל אדם],</w:t>
      </w:r>
      <w:r w:rsidRPr="0050146A">
        <w:rPr>
          <w:rFonts w:hint="cs"/>
          <w:rtl/>
        </w:rPr>
        <w:t xml:space="preserve"> וכן מדאמרינן דבתרומה טועם כהן, א"כ משמע שא"צ שקפילא דוקא יטעם, אלא כל טעם שסתם אדם הטועם אינו מרגיש בו, לא חשיב כטעם ואין חוששין לו, ועי' במה שדחה </w:t>
      </w:r>
      <w:r w:rsidRPr="0050146A">
        <w:rPr>
          <w:rStyle w:val="af8"/>
          <w:rFonts w:hint="cs"/>
          <w:rtl/>
        </w:rPr>
        <w:t>המאירי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Ref9109942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50146A">
        <w:rPr>
          <w:rStyle w:val="af6"/>
          <w:rFonts w:eastAsia="Guttman Hodes"/>
          <w:rtl/>
        </w:rPr>
        <w:fldChar w:fldCharType="end"/>
      </w:r>
      <w:r w:rsidRPr="0050146A">
        <w:rPr>
          <w:rFonts w:hint="cs"/>
          <w:rtl/>
        </w:rPr>
        <w:t xml:space="preserve"> את ראיית </w:t>
      </w:r>
      <w:r w:rsidRPr="0050146A">
        <w:rPr>
          <w:rStyle w:val="af8"/>
          <w:rFonts w:hint="cs"/>
          <w:rtl/>
        </w:rPr>
        <w:t>הרשב"א</w:t>
      </w:r>
      <w:r w:rsidRPr="0050146A">
        <w:rPr>
          <w:rFonts w:hint="cs"/>
          <w:rtl/>
        </w:rPr>
        <w:t xml:space="preserve"> מכהן.</w:t>
      </w:r>
      <w:bookmarkEnd w:id="2543"/>
    </w:p>
    <w:p w:rsidR="00BE3B3A" w:rsidRPr="0050146A" w:rsidRDefault="00BE3B3A" w:rsidP="00BE3B3A">
      <w:pPr>
        <w:pStyle w:val="a2"/>
        <w:rPr>
          <w:rtl/>
        </w:rPr>
      </w:pPr>
      <w:bookmarkStart w:id="2544" w:name="_Toc9114580"/>
      <w:bookmarkStart w:id="2545" w:name="_Toc9149623"/>
      <w:bookmarkStart w:id="2546" w:name="_Toc9289808"/>
      <w:bookmarkStart w:id="2547" w:name="_Toc11573454"/>
      <w:bookmarkStart w:id="2548" w:name="_Toc9108661"/>
      <w:bookmarkStart w:id="2549" w:name="_Toc9110218"/>
      <w:r w:rsidRPr="0050146A">
        <w:rPr>
          <w:rFonts w:hint="cs"/>
          <w:rtl/>
        </w:rPr>
        <w:t>דברי הב"י בדעת התוס' והרמב"ם דסגי בטעם שסתם בנ"א מרגישים בו וא"צ בקי</w:t>
      </w:r>
      <w:bookmarkEnd w:id="2544"/>
      <w:bookmarkEnd w:id="2545"/>
      <w:bookmarkEnd w:id="2546"/>
      <w:bookmarkEnd w:id="2547"/>
    </w:p>
    <w:p w:rsidR="00BE3B3A" w:rsidRPr="0050146A" w:rsidRDefault="00BE3B3A" w:rsidP="009F44AF">
      <w:pPr>
        <w:pStyle w:val="a"/>
        <w:rPr>
          <w:rtl/>
        </w:rPr>
      </w:pPr>
      <w:r w:rsidRPr="0050146A">
        <w:rPr>
          <w:rFonts w:hint="cs"/>
          <w:rtl/>
        </w:rPr>
        <w:t xml:space="preserve">וכ"כ </w:t>
      </w:r>
      <w:r w:rsidRPr="0050146A">
        <w:rPr>
          <w:rStyle w:val="af8"/>
          <w:rFonts w:hint="cs"/>
          <w:rtl/>
        </w:rPr>
        <w:t>הב"י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Ref8578499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קכא)</w:t>
      </w:r>
      <w:r w:rsidRPr="0050146A">
        <w:rPr>
          <w:rStyle w:val="af6"/>
          <w:rFonts w:eastAsia="Guttman Hodes"/>
          <w:rtl/>
        </w:rPr>
        <w:fldChar w:fldCharType="end"/>
      </w:r>
      <w:r w:rsidRPr="0050146A">
        <w:rPr>
          <w:rFonts w:hint="cs"/>
          <w:rtl/>
        </w:rPr>
        <w:t xml:space="preserve"> בדעת </w:t>
      </w:r>
      <w:r w:rsidRPr="0050146A">
        <w:rPr>
          <w:rStyle w:val="af8"/>
          <w:rFonts w:hint="cs"/>
          <w:rtl/>
        </w:rPr>
        <w:t>הרמב"ם</w:t>
      </w:r>
      <w:r w:rsidRPr="0050146A">
        <w:rPr>
          <w:rFonts w:hint="cs"/>
          <w:rtl/>
        </w:rPr>
        <w:t xml:space="preserve"> דס"ל דכל עכו"ם נאמן, וכ"כ </w:t>
      </w:r>
      <w:r w:rsidRPr="0050146A">
        <w:rPr>
          <w:rStyle w:val="af8"/>
          <w:rFonts w:hint="cs"/>
          <w:rtl/>
        </w:rPr>
        <w:t>הב"י והראש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Ref8578569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50146A">
        <w:rPr>
          <w:rStyle w:val="af6"/>
          <w:rFonts w:eastAsia="Guttman Hodes"/>
          <w:rtl/>
        </w:rPr>
        <w:fldChar w:fldCharType="end"/>
      </w:r>
      <w:r w:rsidRPr="0050146A">
        <w:rPr>
          <w:rFonts w:hint="cs"/>
          <w:rtl/>
        </w:rPr>
        <w:t xml:space="preserve"> בדעת </w:t>
      </w:r>
      <w:r w:rsidRPr="0050146A">
        <w:rPr>
          <w:rStyle w:val="af8"/>
          <w:rFonts w:hint="cs"/>
          <w:rtl/>
        </w:rPr>
        <w:t>התוס'</w:t>
      </w:r>
      <w:r w:rsidRPr="0050146A">
        <w:rPr>
          <w:rFonts w:hint="cs"/>
          <w:rtl/>
        </w:rPr>
        <w:t xml:space="preserve"> דס"ל דכל אדם מרגיש בטעם, דדוקא קפילא מרגיש בטעם, וכן מבואר בהא דבתרומה נותנים לכל כהן אף שאינו אומן.   </w:t>
      </w:r>
    </w:p>
    <w:p w:rsidR="00BE3B3A" w:rsidRPr="0050146A" w:rsidRDefault="00BE3B3A" w:rsidP="00BE3B3A">
      <w:pPr>
        <w:pStyle w:val="a2"/>
        <w:rPr>
          <w:rtl/>
        </w:rPr>
      </w:pPr>
      <w:bookmarkStart w:id="2550" w:name="_Toc9114581"/>
      <w:bookmarkStart w:id="2551" w:name="_Toc9149624"/>
      <w:bookmarkStart w:id="2552" w:name="_Toc9289809"/>
      <w:bookmarkStart w:id="2553" w:name="_Toc11573455"/>
      <w:r w:rsidRPr="0050146A">
        <w:rPr>
          <w:rFonts w:hint="cs"/>
          <w:rtl/>
        </w:rPr>
        <w:t>דברי הרשב"א בתשו' דא"צ טעימה של בקי כיון דהאיסור בטעם הוא מדרבנן וספק דרבנן לקולא</w:t>
      </w:r>
      <w:bookmarkEnd w:id="2550"/>
      <w:bookmarkEnd w:id="2551"/>
      <w:bookmarkEnd w:id="2552"/>
      <w:bookmarkEnd w:id="2553"/>
    </w:p>
    <w:p w:rsidR="00010471" w:rsidRPr="0050146A" w:rsidRDefault="00BE3B3A" w:rsidP="009F44AF">
      <w:pPr>
        <w:pStyle w:val="a"/>
        <w:rPr>
          <w:rtl/>
        </w:rPr>
      </w:pPr>
      <w:bookmarkStart w:id="2554" w:name="_Ref9114342"/>
      <w:r w:rsidRPr="0050146A">
        <w:rPr>
          <w:rFonts w:hint="cs"/>
          <w:rtl/>
        </w:rPr>
        <w:t xml:space="preserve">והוסיף </w:t>
      </w:r>
      <w:r w:rsidRPr="0050146A">
        <w:rPr>
          <w:rStyle w:val="af8"/>
          <w:rFonts w:hint="cs"/>
          <w:rtl/>
        </w:rPr>
        <w:t>הרשב"א בתשו'</w:t>
      </w:r>
      <w:r w:rsidRPr="0050146A">
        <w:rPr>
          <w:rFonts w:hint="cs"/>
          <w:rtl/>
        </w:rPr>
        <w:t xml:space="preserve"> דכיון דהאיסור בטעם הוא מדרבנן, לכן אף שיש צד שסתם אדם אינו מרגיש בטעם, מ"מ א"צ דוקא קפילא, דספק דרבנן לקולא, דאי נחוש שמא משתנה הטעם, </w:t>
      </w:r>
      <w:r w:rsidRPr="0050146A">
        <w:rPr>
          <w:rStyle w:val="afa"/>
          <w:rFonts w:hint="cs"/>
          <w:rtl/>
        </w:rPr>
        <w:t>[כדהקשה השואל דכן מצינו בחולים שנעשה להם טעם מר],</w:t>
      </w:r>
      <w:r w:rsidRPr="0050146A">
        <w:rPr>
          <w:rFonts w:hint="cs"/>
          <w:rtl/>
        </w:rPr>
        <w:t xml:space="preserve"> א"כ אף בקפילא צריך לחוש לזה, ועי' בדברי </w:t>
      </w:r>
      <w:r w:rsidRPr="0050146A">
        <w:rPr>
          <w:rStyle w:val="af8"/>
          <w:rFonts w:hint="cs"/>
          <w:rtl/>
        </w:rPr>
        <w:t>התרוה"ד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Ref8578176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קכה)</w:t>
      </w:r>
      <w:r w:rsidRPr="0050146A">
        <w:rPr>
          <w:rStyle w:val="af6"/>
          <w:rFonts w:eastAsia="Guttman Hodes"/>
          <w:rtl/>
        </w:rPr>
        <w:fldChar w:fldCharType="end"/>
      </w:r>
      <w:r w:rsidRPr="0050146A">
        <w:rPr>
          <w:rFonts w:hint="cs"/>
          <w:rtl/>
        </w:rPr>
        <w:t>.</w:t>
      </w:r>
      <w:bookmarkEnd w:id="2554"/>
    </w:p>
    <w:p w:rsidR="00BE3B3A" w:rsidRPr="0050146A" w:rsidRDefault="00BE3B3A" w:rsidP="00BE3B3A">
      <w:pPr>
        <w:pStyle w:val="a2"/>
        <w:rPr>
          <w:rtl/>
        </w:rPr>
      </w:pPr>
      <w:bookmarkStart w:id="2555" w:name="_Toc9114582"/>
      <w:bookmarkStart w:id="2556" w:name="_Toc9149625"/>
      <w:bookmarkStart w:id="2557" w:name="_Toc9289810"/>
      <w:bookmarkStart w:id="2558" w:name="_Toc11573456"/>
      <w:r w:rsidRPr="0050146A">
        <w:rPr>
          <w:rFonts w:hint="cs"/>
          <w:rtl/>
        </w:rPr>
        <w:t>קושית הש"ך והמנחת כהן בסתירת דברי הרשב"א אי ס"ל דטעם כעיקר דאו' או דרבנן</w:t>
      </w:r>
      <w:bookmarkEnd w:id="2555"/>
      <w:bookmarkEnd w:id="2556"/>
      <w:bookmarkEnd w:id="2557"/>
      <w:bookmarkEnd w:id="2558"/>
    </w:p>
    <w:p w:rsidR="00BE3B3A" w:rsidRPr="0050146A" w:rsidRDefault="00BE3B3A" w:rsidP="009F44AF">
      <w:pPr>
        <w:pStyle w:val="a"/>
        <w:rPr>
          <w:rtl/>
        </w:rPr>
      </w:pPr>
      <w:bookmarkStart w:id="2559" w:name="_Ref9147804"/>
      <w:r w:rsidRPr="0050146A">
        <w:rPr>
          <w:rFonts w:hint="cs"/>
          <w:rtl/>
        </w:rPr>
        <w:t xml:space="preserve">וכתב </w:t>
      </w:r>
      <w:r w:rsidRPr="0050146A">
        <w:rPr>
          <w:rStyle w:val="af8"/>
          <w:rFonts w:hint="cs"/>
          <w:rtl/>
        </w:rPr>
        <w:t>המנחת כהן</w:t>
      </w:r>
      <w:r w:rsidRPr="0050146A">
        <w:rPr>
          <w:rStyle w:val="af6"/>
          <w:rFonts w:eastAsia="Guttman Hodes" w:hint="cs"/>
          <w:rtl/>
        </w:rPr>
        <w:t xml:space="preserve"> (ס' התערובות ח"א פ"ה ד"ה אמנם בתשובות) </w:t>
      </w:r>
      <w:r w:rsidRPr="0050146A">
        <w:rPr>
          <w:rFonts w:hint="cs"/>
          <w:rtl/>
        </w:rPr>
        <w:t xml:space="preserve">דמבואר מדברי </w:t>
      </w:r>
      <w:r w:rsidRPr="0050146A">
        <w:rPr>
          <w:rStyle w:val="af8"/>
          <w:rFonts w:hint="cs"/>
          <w:rtl/>
        </w:rPr>
        <w:t>הרשב"א בתשו'</w:t>
      </w:r>
      <w:r w:rsidRPr="0050146A">
        <w:rPr>
          <w:rFonts w:hint="cs"/>
          <w:rtl/>
        </w:rPr>
        <w:t xml:space="preserve"> דס"ל דטעם כעיקר דרבנן, והקשה </w:t>
      </w:r>
      <w:r w:rsidRPr="0050146A">
        <w:rPr>
          <w:rStyle w:val="af8"/>
          <w:rFonts w:hint="cs"/>
          <w:rtl/>
        </w:rPr>
        <w:t>המנחת כהן דברשב"א בתוה"ב</w:t>
      </w:r>
      <w:r w:rsidRPr="0050146A">
        <w:rPr>
          <w:rFonts w:hint="cs"/>
          <w:rtl/>
        </w:rPr>
        <w:t xml:space="preserve"> </w:t>
      </w:r>
      <w:r w:rsidRPr="0050146A">
        <w:rPr>
          <w:rStyle w:val="af6"/>
          <w:rFonts w:eastAsia="Guttman Hodes" w:hint="cs"/>
          <w:rtl/>
        </w:rPr>
        <w:t>(ב"ד ש"א יא: מדה"ס)</w:t>
      </w:r>
      <w:r w:rsidRPr="0050146A">
        <w:rPr>
          <w:rFonts w:hint="cs"/>
          <w:rtl/>
        </w:rPr>
        <w:t xml:space="preserve"> מבואר דס"ל דטעם כעיקר דאו', וכן הקשה </w:t>
      </w:r>
      <w:r w:rsidRPr="0050146A">
        <w:rPr>
          <w:rStyle w:val="af8"/>
          <w:rFonts w:hint="cs"/>
          <w:rtl/>
        </w:rPr>
        <w:t>הש"ך</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Ref9147724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קכז)</w:t>
      </w:r>
      <w:r w:rsidRPr="0050146A">
        <w:rPr>
          <w:rStyle w:val="af6"/>
          <w:rFonts w:eastAsia="Guttman Hodes"/>
          <w:rtl/>
        </w:rPr>
        <w:fldChar w:fldCharType="end"/>
      </w:r>
      <w:r w:rsidRPr="0050146A">
        <w:rPr>
          <w:rFonts w:hint="cs"/>
          <w:rtl/>
        </w:rPr>
        <w:t>.</w:t>
      </w:r>
      <w:bookmarkEnd w:id="2559"/>
    </w:p>
    <w:p w:rsidR="00BE3B3A" w:rsidRPr="0050146A" w:rsidRDefault="00BE3B3A" w:rsidP="00BE3B3A">
      <w:pPr>
        <w:pStyle w:val="1"/>
        <w:rPr>
          <w:rtl/>
        </w:rPr>
      </w:pPr>
      <w:bookmarkStart w:id="2560" w:name="_Toc9110219"/>
      <w:bookmarkStart w:id="2561" w:name="_Toc9114583"/>
      <w:bookmarkStart w:id="2562" w:name="_Toc9149626"/>
      <w:bookmarkStart w:id="2563" w:name="_Toc9289811"/>
      <w:bookmarkStart w:id="2564" w:name="_Toc11573457"/>
      <w:bookmarkEnd w:id="2548"/>
      <w:bookmarkEnd w:id="2549"/>
      <w:r w:rsidRPr="0050146A">
        <w:rPr>
          <w:rFonts w:hint="cs"/>
          <w:rtl/>
        </w:rPr>
        <w:t>דעת הסוברים דמהני טעימה רק של בקי שמרגיש טעם מועט</w:t>
      </w:r>
      <w:bookmarkEnd w:id="2560"/>
      <w:bookmarkEnd w:id="2561"/>
      <w:bookmarkEnd w:id="2562"/>
      <w:bookmarkEnd w:id="2563"/>
      <w:bookmarkEnd w:id="2564"/>
      <w:r w:rsidRPr="0050146A">
        <w:rPr>
          <w:rFonts w:hint="cs"/>
          <w:rtl/>
        </w:rPr>
        <w:t xml:space="preserve"> </w:t>
      </w:r>
    </w:p>
    <w:p w:rsidR="00BE3B3A" w:rsidRPr="0050146A" w:rsidRDefault="00BE3B3A" w:rsidP="00BE3B3A">
      <w:pPr>
        <w:pStyle w:val="a2"/>
        <w:rPr>
          <w:rtl/>
        </w:rPr>
      </w:pPr>
      <w:bookmarkStart w:id="2565" w:name="_Toc9110220"/>
      <w:bookmarkStart w:id="2566" w:name="_Toc9114584"/>
      <w:bookmarkStart w:id="2567" w:name="_Toc9149627"/>
      <w:bookmarkStart w:id="2568" w:name="_Toc9289812"/>
      <w:bookmarkStart w:id="2569" w:name="_Toc11573458"/>
      <w:r w:rsidRPr="0050146A">
        <w:rPr>
          <w:rFonts w:hint="cs"/>
          <w:rtl/>
        </w:rPr>
        <w:t>דברי המאירי דבסתם בנ"א חיישינן שמא אינו מרגיש טעם מועט וצריך טעימה רק של בקי</w:t>
      </w:r>
      <w:bookmarkEnd w:id="2565"/>
      <w:bookmarkEnd w:id="2566"/>
      <w:bookmarkEnd w:id="2567"/>
      <w:bookmarkEnd w:id="2568"/>
      <w:bookmarkEnd w:id="2569"/>
    </w:p>
    <w:p w:rsidR="00BE3B3A" w:rsidRPr="0050146A" w:rsidRDefault="00BE3B3A" w:rsidP="009F44AF">
      <w:pPr>
        <w:pStyle w:val="a"/>
      </w:pPr>
      <w:bookmarkStart w:id="2570" w:name="_Toc9108660"/>
      <w:bookmarkEnd w:id="2527"/>
      <w:r w:rsidRPr="0050146A">
        <w:rPr>
          <w:rFonts w:hint="cs"/>
          <w:rtl/>
        </w:rPr>
        <w:t xml:space="preserve">אבל </w:t>
      </w:r>
      <w:r w:rsidRPr="0050146A">
        <w:rPr>
          <w:rStyle w:val="af8"/>
          <w:rFonts w:hint="cs"/>
          <w:rtl/>
        </w:rPr>
        <w:t>המאירי</w:t>
      </w:r>
      <w:r w:rsidRPr="0050146A">
        <w:rPr>
          <w:rFonts w:hint="cs"/>
          <w:rtl/>
        </w:rPr>
        <w:t xml:space="preserve"> </w:t>
      </w:r>
      <w:r w:rsidRPr="0050146A">
        <w:rPr>
          <w:rStyle w:val="af6"/>
          <w:rFonts w:eastAsia="Guttman Hodes" w:hint="cs"/>
          <w:rtl/>
        </w:rPr>
        <w:t xml:space="preserve">(ד"ה כל) </w:t>
      </w:r>
      <w:r w:rsidRPr="0050146A">
        <w:rPr>
          <w:rFonts w:hint="cs"/>
          <w:rtl/>
        </w:rPr>
        <w:t>כתב דבסתם בנ"א חיישינן שמא אינם מרגישים את טעם האיסור, שיש הרבה פעמים שהאיסור נותן טעם בהיתר ורק הבקיאים מרגישים בזה, ולכן צריך דוקא קפילא שהוא בקי.</w:t>
      </w:r>
    </w:p>
    <w:p w:rsidR="00BE3B3A" w:rsidRPr="0050146A" w:rsidRDefault="00BE3B3A" w:rsidP="00BE3B3A">
      <w:pPr>
        <w:pStyle w:val="a2"/>
        <w:rPr>
          <w:rtl/>
        </w:rPr>
      </w:pPr>
      <w:bookmarkStart w:id="2571" w:name="_Toc9110221"/>
      <w:bookmarkStart w:id="2572" w:name="_Toc9114585"/>
      <w:bookmarkStart w:id="2573" w:name="_Toc9149628"/>
      <w:bookmarkStart w:id="2574" w:name="_Toc9289813"/>
      <w:bookmarkStart w:id="2575" w:name="_Toc11573459"/>
      <w:r w:rsidRPr="0050146A">
        <w:rPr>
          <w:rFonts w:hint="cs"/>
          <w:rtl/>
        </w:rPr>
        <w:t>דחיית המאירי דסתם כהן הוא בקי בטעימה כמו קפילא דעוסק בכך תמיד</w:t>
      </w:r>
      <w:bookmarkEnd w:id="2571"/>
      <w:bookmarkEnd w:id="2572"/>
      <w:bookmarkEnd w:id="2573"/>
      <w:bookmarkEnd w:id="2574"/>
      <w:bookmarkEnd w:id="2575"/>
      <w:r w:rsidRPr="0050146A">
        <w:rPr>
          <w:rFonts w:hint="cs"/>
          <w:rtl/>
        </w:rPr>
        <w:t xml:space="preserve"> </w:t>
      </w:r>
    </w:p>
    <w:p w:rsidR="00BE3B3A" w:rsidRPr="0050146A" w:rsidRDefault="00BE3B3A" w:rsidP="009F44AF">
      <w:pPr>
        <w:pStyle w:val="a"/>
        <w:rPr>
          <w:rtl/>
        </w:rPr>
      </w:pPr>
      <w:bookmarkStart w:id="2576" w:name="_Ref9109942"/>
      <w:r w:rsidRPr="0050146A">
        <w:rPr>
          <w:rFonts w:hint="cs"/>
          <w:rtl/>
        </w:rPr>
        <w:t xml:space="preserve">ובמה שהביא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Ref9109897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50146A">
        <w:rPr>
          <w:rStyle w:val="af6"/>
          <w:rFonts w:eastAsia="Guttman Hodes"/>
          <w:rtl/>
        </w:rPr>
        <w:fldChar w:fldCharType="end"/>
      </w:r>
      <w:r w:rsidRPr="0050146A">
        <w:rPr>
          <w:rFonts w:hint="cs"/>
          <w:rtl/>
        </w:rPr>
        <w:t xml:space="preserve"> ראיה מהא דכהן נאמן בתרומה אף שאינו מומחה, דחה </w:t>
      </w:r>
      <w:r w:rsidRPr="0050146A">
        <w:rPr>
          <w:rStyle w:val="af8"/>
          <w:rFonts w:hint="cs"/>
          <w:rtl/>
        </w:rPr>
        <w:t>המאירי</w:t>
      </w:r>
      <w:r w:rsidRPr="0050146A">
        <w:rPr>
          <w:rFonts w:hint="cs"/>
          <w:rtl/>
        </w:rPr>
        <w:t xml:space="preserve"> דסתם כהן שעוסק בכך תמיד, הוא בקי בזה</w:t>
      </w:r>
      <w:r w:rsidRPr="0050146A">
        <w:rPr>
          <w:rStyle w:val="af0"/>
          <w:rtl/>
        </w:rPr>
        <w:footnoteReference w:id="5"/>
      </w:r>
      <w:r w:rsidRPr="0050146A">
        <w:rPr>
          <w:rFonts w:hint="cs"/>
          <w:rtl/>
        </w:rPr>
        <w:t>.</w:t>
      </w:r>
      <w:bookmarkEnd w:id="2576"/>
    </w:p>
    <w:p w:rsidR="00BE3B3A" w:rsidRPr="0050146A" w:rsidRDefault="00BE3B3A" w:rsidP="00BE3B3A">
      <w:pPr>
        <w:pStyle w:val="a2"/>
        <w:rPr>
          <w:rtl/>
        </w:rPr>
      </w:pPr>
      <w:bookmarkStart w:id="2577" w:name="_Toc9110222"/>
      <w:bookmarkStart w:id="2578" w:name="_Toc9114586"/>
      <w:bookmarkStart w:id="2579" w:name="_Toc9149629"/>
      <w:bookmarkStart w:id="2580" w:name="_Toc9289814"/>
      <w:bookmarkStart w:id="2581" w:name="_Toc11573460"/>
      <w:r w:rsidRPr="0050146A">
        <w:rPr>
          <w:rFonts w:hint="cs"/>
          <w:rtl/>
        </w:rPr>
        <w:t>דברי הראש יוסף ברש"י דמהני קפילא שבקי בטעמים ולא מהני אדם סתם דיתכן שלא יחוש בטעם</w:t>
      </w:r>
      <w:bookmarkEnd w:id="2570"/>
      <w:bookmarkEnd w:id="2577"/>
      <w:bookmarkEnd w:id="2578"/>
      <w:bookmarkEnd w:id="2579"/>
      <w:bookmarkEnd w:id="2580"/>
      <w:bookmarkEnd w:id="2581"/>
    </w:p>
    <w:p w:rsidR="002D7168" w:rsidRDefault="00BE3B3A" w:rsidP="009F44AF">
      <w:pPr>
        <w:pStyle w:val="a"/>
        <w:rPr>
          <w:rtl/>
        </w:rPr>
      </w:pPr>
      <w:r w:rsidRPr="0050146A">
        <w:rPr>
          <w:rFonts w:hint="cs"/>
          <w:rtl/>
        </w:rPr>
        <w:t xml:space="preserve">וכ"כ </w:t>
      </w:r>
      <w:r w:rsidRPr="0050146A">
        <w:rPr>
          <w:rStyle w:val="af8"/>
          <w:rFonts w:hint="cs"/>
          <w:rtl/>
        </w:rPr>
        <w:t>הראש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Ref8317473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קב)</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r w:rsidRPr="0050146A">
        <w:rPr>
          <w:rFonts w:hint="cs"/>
          <w:rtl/>
        </w:rPr>
        <w:t xml:space="preserve"> דהא דסמכינן על טעימת קפילא, היינו כיון שהוא אומן ובקי בטעמים, אבל סתם עכו"ם לא מהני, כיון דסתם עכו"ם אינו מבחין כ"כ מה הטעם, ויתכן שיהיה טעם איסור ולא יחוש בכך.</w:t>
      </w:r>
    </w:p>
    <w:p w:rsidR="00BE3B3A" w:rsidRPr="0050146A" w:rsidRDefault="00BE3B3A" w:rsidP="00E669F8">
      <w:pPr>
        <w:pStyle w:val="afd"/>
        <w:rPr>
          <w:rtl/>
        </w:rPr>
      </w:pPr>
      <w:bookmarkStart w:id="2582" w:name="_Toc8578675"/>
      <w:bookmarkStart w:id="2583" w:name="_Toc8765450"/>
      <w:bookmarkStart w:id="2584" w:name="_Toc8923262"/>
      <w:bookmarkStart w:id="2585" w:name="_Toc9108662"/>
      <w:bookmarkStart w:id="2586" w:name="_Toc9110223"/>
      <w:bookmarkStart w:id="2587" w:name="_Toc9114587"/>
      <w:bookmarkStart w:id="2588" w:name="_Toc9149630"/>
      <w:bookmarkStart w:id="2589" w:name="_Toc9289815"/>
      <w:bookmarkStart w:id="2590" w:name="_Toc11573461"/>
      <w:r w:rsidRPr="0050146A">
        <w:rPr>
          <w:rFonts w:hint="cs"/>
          <w:rtl/>
        </w:rPr>
        <w:t>נאמנות הקפילא</w:t>
      </w:r>
      <w:bookmarkEnd w:id="2582"/>
      <w:bookmarkEnd w:id="2583"/>
      <w:bookmarkEnd w:id="2584"/>
      <w:bookmarkEnd w:id="2585"/>
      <w:bookmarkEnd w:id="2586"/>
      <w:bookmarkEnd w:id="2587"/>
      <w:bookmarkEnd w:id="2588"/>
      <w:bookmarkEnd w:id="2589"/>
      <w:bookmarkEnd w:id="2590"/>
    </w:p>
    <w:p w:rsidR="00BE3B3A" w:rsidRPr="0050146A" w:rsidRDefault="00BE3B3A" w:rsidP="00BE3B3A">
      <w:pPr>
        <w:pStyle w:val="1"/>
        <w:rPr>
          <w:rtl/>
        </w:rPr>
      </w:pPr>
      <w:bookmarkStart w:id="2591" w:name="_Toc9108663"/>
      <w:bookmarkStart w:id="2592" w:name="_Toc9110224"/>
      <w:bookmarkStart w:id="2593" w:name="_Toc9114588"/>
      <w:bookmarkStart w:id="2594" w:name="_Toc9149631"/>
      <w:bookmarkStart w:id="2595" w:name="_Toc9289816"/>
      <w:bookmarkStart w:id="2596" w:name="_Toc11573462"/>
      <w:r w:rsidRPr="0050146A">
        <w:rPr>
          <w:rFonts w:hint="cs"/>
          <w:rtl/>
        </w:rPr>
        <w:t>דברי רש"י דאיירי במסיח לפי תומו</w:t>
      </w:r>
      <w:bookmarkEnd w:id="2591"/>
      <w:bookmarkEnd w:id="2592"/>
      <w:bookmarkEnd w:id="2593"/>
      <w:bookmarkEnd w:id="2594"/>
      <w:bookmarkEnd w:id="2595"/>
      <w:bookmarkEnd w:id="2596"/>
    </w:p>
    <w:p w:rsidR="00BE3B3A" w:rsidRPr="0050146A" w:rsidRDefault="00BE3B3A" w:rsidP="00BE3B3A">
      <w:pPr>
        <w:pStyle w:val="a2"/>
        <w:rPr>
          <w:rtl/>
        </w:rPr>
      </w:pPr>
      <w:bookmarkStart w:id="2597" w:name="_Toc9108664"/>
      <w:bookmarkStart w:id="2598" w:name="_Toc9110225"/>
      <w:bookmarkStart w:id="2599" w:name="_Toc9114589"/>
      <w:bookmarkStart w:id="2600" w:name="_Toc9149632"/>
      <w:bookmarkStart w:id="2601" w:name="_Toc9289817"/>
      <w:bookmarkStart w:id="2602" w:name="_Toc11573463"/>
      <w:r w:rsidRPr="0050146A">
        <w:rPr>
          <w:rFonts w:hint="cs"/>
          <w:rtl/>
        </w:rPr>
        <w:t>דברי ש"י דהנאמנות של הקפילא היא דוקא במסיח לפי תומו דבכה"ג אין חשש שישקר</w:t>
      </w:r>
      <w:bookmarkEnd w:id="2597"/>
      <w:bookmarkEnd w:id="2598"/>
      <w:bookmarkEnd w:id="2599"/>
      <w:bookmarkEnd w:id="2600"/>
      <w:bookmarkEnd w:id="2601"/>
      <w:bookmarkEnd w:id="2602"/>
    </w:p>
    <w:p w:rsidR="00BE3B3A" w:rsidRPr="0050146A" w:rsidRDefault="00BE3B3A" w:rsidP="009F44AF">
      <w:pPr>
        <w:pStyle w:val="a"/>
        <w:rPr>
          <w:rtl/>
        </w:rPr>
      </w:pPr>
      <w:bookmarkStart w:id="2603" w:name="_Ref8315394"/>
      <w:r w:rsidRPr="0050146A">
        <w:rPr>
          <w:rFonts w:hint="cs"/>
          <w:rtl/>
        </w:rPr>
        <w:t xml:space="preserve">כתב </w:t>
      </w:r>
      <w:r w:rsidRPr="0050146A">
        <w:rPr>
          <w:rStyle w:val="af8"/>
          <w:rFonts w:hint="cs"/>
          <w:rtl/>
        </w:rPr>
        <w:t>רש"י</w:t>
      </w:r>
      <w:r w:rsidRPr="0050146A">
        <w:rPr>
          <w:rFonts w:hint="cs"/>
          <w:rtl/>
        </w:rPr>
        <w:t xml:space="preserve"> </w:t>
      </w:r>
      <w:r w:rsidRPr="0050146A">
        <w:rPr>
          <w:rStyle w:val="af6"/>
          <w:rFonts w:eastAsia="Guttman Hodes" w:hint="cs"/>
          <w:rtl/>
        </w:rPr>
        <w:t>(ד"ה ליטעמיה)</w:t>
      </w:r>
      <w:r w:rsidRPr="0050146A">
        <w:rPr>
          <w:rFonts w:hint="cs"/>
          <w:rtl/>
        </w:rPr>
        <w:t xml:space="preserve"> דקפילא הוא נחתום עכו"ם, והחידוש הוא שמותר לסמוך עליו כשהוא מסיח לפי תומו, ולא יאמרו לו שטעימתו היא לענין איסור והיתר, וביאר </w:t>
      </w:r>
      <w:r w:rsidRPr="0050146A">
        <w:rPr>
          <w:rStyle w:val="af8"/>
          <w:rFonts w:hint="cs"/>
          <w:rtl/>
        </w:rPr>
        <w:t xml:space="preserve">המאירי </w:t>
      </w:r>
      <w:r w:rsidRPr="0050146A">
        <w:rPr>
          <w:rStyle w:val="af6"/>
          <w:rFonts w:eastAsia="Guttman Hodes" w:hint="cs"/>
          <w:rtl/>
        </w:rPr>
        <w:t>(ד"ה כל)</w:t>
      </w:r>
      <w:r w:rsidRPr="0050146A">
        <w:rPr>
          <w:rFonts w:hint="cs"/>
          <w:rtl/>
        </w:rPr>
        <w:t xml:space="preserve"> בשם </w:t>
      </w:r>
      <w:r w:rsidRPr="0050146A">
        <w:rPr>
          <w:rStyle w:val="af8"/>
          <w:rFonts w:hint="cs"/>
          <w:rtl/>
        </w:rPr>
        <w:t xml:space="preserve">רש"י </w:t>
      </w:r>
      <w:r w:rsidRPr="0050146A">
        <w:rPr>
          <w:rFonts w:hint="cs"/>
          <w:rtl/>
        </w:rPr>
        <w:t xml:space="preserve">דצריך להזהר שלא יודיעוהו, אלא יטיעימוהו בסתם ויאמר לפי תומו מה הטעם, ובכה"ג אין חשש שישקר, וכן מבואר בדברי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Ref8318164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קז)</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r w:rsidRPr="0050146A">
        <w:rPr>
          <w:rFonts w:hint="cs"/>
          <w:rtl/>
        </w:rPr>
        <w:t>.</w:t>
      </w:r>
      <w:bookmarkEnd w:id="2603"/>
    </w:p>
    <w:p w:rsidR="00BE3B3A" w:rsidRPr="0050146A" w:rsidRDefault="00BE3B3A" w:rsidP="00BE3B3A">
      <w:pPr>
        <w:pStyle w:val="a2"/>
        <w:rPr>
          <w:rtl/>
        </w:rPr>
      </w:pPr>
      <w:bookmarkStart w:id="2604" w:name="_Toc9110226"/>
      <w:bookmarkStart w:id="2605" w:name="_Toc9114590"/>
      <w:bookmarkStart w:id="2606" w:name="_Toc9149633"/>
      <w:bookmarkStart w:id="2607" w:name="_Toc9289818"/>
      <w:bookmarkStart w:id="2608" w:name="_Toc11573464"/>
      <w:r w:rsidRPr="0050146A">
        <w:rPr>
          <w:rFonts w:hint="cs"/>
          <w:rtl/>
        </w:rPr>
        <w:t>ביאור הראש יוסף ברש"י דבאינו מסל"ת אינו נאמן ולא אמרינן דאומן לא מרע אומנותיה</w:t>
      </w:r>
      <w:bookmarkEnd w:id="2604"/>
      <w:bookmarkEnd w:id="2605"/>
      <w:bookmarkEnd w:id="2606"/>
      <w:bookmarkEnd w:id="2607"/>
      <w:bookmarkEnd w:id="2608"/>
    </w:p>
    <w:p w:rsidR="00BE3B3A" w:rsidRPr="0050146A" w:rsidRDefault="00BE3B3A" w:rsidP="009F44AF">
      <w:pPr>
        <w:pStyle w:val="a"/>
        <w:rPr>
          <w:rtl/>
        </w:rPr>
      </w:pPr>
      <w:bookmarkStart w:id="2609" w:name="_Ref8317473"/>
      <w:r w:rsidRPr="0050146A">
        <w:rPr>
          <w:rFonts w:hint="cs"/>
          <w:rtl/>
        </w:rPr>
        <w:t xml:space="preserve">וכתב </w:t>
      </w:r>
      <w:r w:rsidRPr="0050146A">
        <w:rPr>
          <w:rStyle w:val="af8"/>
          <w:rFonts w:hint="cs"/>
          <w:rtl/>
        </w:rPr>
        <w:t>הראש יוסף</w:t>
      </w:r>
      <w:r w:rsidRPr="0050146A">
        <w:rPr>
          <w:rFonts w:hint="cs"/>
          <w:rtl/>
        </w:rPr>
        <w:t xml:space="preserve"> </w:t>
      </w:r>
      <w:r w:rsidRPr="0050146A">
        <w:rPr>
          <w:rStyle w:val="af6"/>
          <w:rFonts w:eastAsia="Guttman Hodes" w:hint="cs"/>
          <w:rtl/>
        </w:rPr>
        <w:t>(על רש"י ד"ה ליטעמיה)</w:t>
      </w:r>
      <w:r w:rsidRPr="0050146A">
        <w:rPr>
          <w:rFonts w:hint="cs"/>
          <w:rtl/>
        </w:rPr>
        <w:t xml:space="preserve"> דמשמע מדברי </w:t>
      </w:r>
      <w:r w:rsidRPr="0050146A">
        <w:rPr>
          <w:rStyle w:val="af8"/>
          <w:rFonts w:hint="cs"/>
          <w:rtl/>
        </w:rPr>
        <w:t>רש"י</w:t>
      </w:r>
      <w:r w:rsidRPr="0050146A">
        <w:rPr>
          <w:rFonts w:hint="cs"/>
          <w:rtl/>
        </w:rPr>
        <w:t xml:space="preserve"> דכל הנאמנות שלו הוא דוקא במסיח לפי תומו, אבל באינו מסיח לפי תומו אינו נאמן, ופליג על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Ref8316860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קד)</w:t>
      </w:r>
      <w:r w:rsidRPr="0050146A">
        <w:rPr>
          <w:rStyle w:val="af6"/>
          <w:rFonts w:eastAsia="Guttman Hodes"/>
          <w:rtl/>
        </w:rPr>
        <w:fldChar w:fldCharType="end"/>
      </w:r>
      <w:r w:rsidRPr="0050146A">
        <w:rPr>
          <w:rFonts w:hint="cs"/>
          <w:rtl/>
        </w:rPr>
        <w:t xml:space="preserve"> דכתבו דכיון שהוא אומן אינו משקר.</w:t>
      </w:r>
    </w:p>
    <w:p w:rsidR="00BE3B3A" w:rsidRPr="0050146A" w:rsidRDefault="00BE3B3A" w:rsidP="00BE3B3A">
      <w:pPr>
        <w:pStyle w:val="a2"/>
      </w:pPr>
      <w:bookmarkStart w:id="2610" w:name="_Toc9110227"/>
      <w:bookmarkStart w:id="2611" w:name="_Toc9114591"/>
      <w:bookmarkStart w:id="2612" w:name="_Toc9149634"/>
      <w:bookmarkStart w:id="2613" w:name="_Toc9289819"/>
      <w:bookmarkStart w:id="2614" w:name="_Toc11573465"/>
      <w:r w:rsidRPr="0050146A">
        <w:rPr>
          <w:rFonts w:hint="cs"/>
          <w:rtl/>
        </w:rPr>
        <w:t>ביאור הראש יוסף ברש"י דנקטה הגמ' דוקא קפילא כיון שהוא בקי בטעמים</w:t>
      </w:r>
      <w:bookmarkEnd w:id="2610"/>
      <w:bookmarkEnd w:id="2611"/>
      <w:bookmarkEnd w:id="2612"/>
      <w:bookmarkEnd w:id="2613"/>
      <w:bookmarkEnd w:id="2614"/>
    </w:p>
    <w:p w:rsidR="00010471" w:rsidRPr="0050146A" w:rsidRDefault="00BE3B3A"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דא"כ צ"ל דהא דנקטה הגמ' קפילא הוא כיון דסתם עכו"ם אינו מבחין כ"כ מה הטעם, ויתכן שיהיה טעם איסור ולא יחוש בכך, והוסיף </w:t>
      </w:r>
      <w:r w:rsidRPr="0050146A">
        <w:rPr>
          <w:rStyle w:val="af8"/>
          <w:rFonts w:hint="cs"/>
          <w:rtl/>
        </w:rPr>
        <w:t>הראש יוסף</w:t>
      </w:r>
      <w:r w:rsidRPr="0050146A">
        <w:rPr>
          <w:rFonts w:hint="cs"/>
          <w:rtl/>
        </w:rPr>
        <w:t xml:space="preserve"> דא"כ לדעת </w:t>
      </w:r>
      <w:r w:rsidRPr="0050146A">
        <w:rPr>
          <w:rStyle w:val="af8"/>
          <w:rFonts w:hint="cs"/>
          <w:rtl/>
        </w:rPr>
        <w:t>רש"י</w:t>
      </w:r>
      <w:r w:rsidRPr="0050146A">
        <w:rPr>
          <w:rFonts w:hint="cs"/>
          <w:rtl/>
        </w:rPr>
        <w:t xml:space="preserve"> אף בתרומה </w:t>
      </w:r>
      <w:r w:rsidRPr="0050146A">
        <w:rPr>
          <w:rFonts w:hint="cs"/>
          <w:rtl/>
        </w:rPr>
        <w:lastRenderedPageBreak/>
        <w:t xml:space="preserve">צריך לתת לקפילא כהן, דדוקא קפילא מבחין בטעם, ועי' במ"ש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Ref9109897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50146A">
        <w:rPr>
          <w:rStyle w:val="af6"/>
          <w:rFonts w:eastAsia="Guttman Hodes"/>
          <w:rtl/>
        </w:rPr>
        <w:fldChar w:fldCharType="end"/>
      </w:r>
      <w:r w:rsidRPr="0050146A">
        <w:rPr>
          <w:rFonts w:hint="cs"/>
          <w:rtl/>
        </w:rPr>
        <w:t xml:space="preserve"> לענין כהן, ובמה שדחה </w:t>
      </w:r>
      <w:r w:rsidRPr="0050146A">
        <w:rPr>
          <w:rStyle w:val="af8"/>
          <w:rFonts w:hint="cs"/>
          <w:rtl/>
        </w:rPr>
        <w:t>המאירי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Ref9109942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50146A">
        <w:rPr>
          <w:rStyle w:val="af6"/>
          <w:rFonts w:eastAsia="Guttman Hodes"/>
          <w:rtl/>
        </w:rPr>
        <w:fldChar w:fldCharType="end"/>
      </w:r>
      <w:r w:rsidRPr="0050146A">
        <w:rPr>
          <w:rFonts w:hint="cs"/>
          <w:rtl/>
        </w:rPr>
        <w:t>.</w:t>
      </w:r>
      <w:bookmarkEnd w:id="2609"/>
    </w:p>
    <w:p w:rsidR="00BE3B3A" w:rsidRPr="0050146A" w:rsidRDefault="00BE3B3A" w:rsidP="00BE3B3A">
      <w:pPr>
        <w:pStyle w:val="1"/>
        <w:rPr>
          <w:rtl/>
        </w:rPr>
      </w:pPr>
      <w:bookmarkStart w:id="2615" w:name="_Toc9110228"/>
      <w:bookmarkStart w:id="2616" w:name="_Toc9114592"/>
      <w:bookmarkStart w:id="2617" w:name="_Toc9149635"/>
      <w:bookmarkStart w:id="2618" w:name="_Toc9289820"/>
      <w:bookmarkStart w:id="2619" w:name="_Toc11573466"/>
      <w:r w:rsidRPr="0050146A">
        <w:rPr>
          <w:rFonts w:hint="cs"/>
          <w:rtl/>
        </w:rPr>
        <w:t>דעת התוס' והרשב"א והר"ן דקפילא לא מרע אומנותיה</w:t>
      </w:r>
      <w:bookmarkEnd w:id="2615"/>
      <w:bookmarkEnd w:id="2616"/>
      <w:bookmarkEnd w:id="2617"/>
      <w:bookmarkEnd w:id="2618"/>
      <w:bookmarkEnd w:id="2619"/>
    </w:p>
    <w:p w:rsidR="00BE3B3A" w:rsidRPr="0050146A" w:rsidRDefault="00BE3B3A" w:rsidP="00BE3B3A">
      <w:pPr>
        <w:pStyle w:val="a2"/>
        <w:rPr>
          <w:rtl/>
        </w:rPr>
      </w:pPr>
      <w:bookmarkStart w:id="2620" w:name="_Toc9110229"/>
      <w:bookmarkStart w:id="2621" w:name="_Toc9114593"/>
      <w:bookmarkStart w:id="2622" w:name="_Toc9149636"/>
      <w:bookmarkStart w:id="2623" w:name="_Toc9289821"/>
      <w:bookmarkStart w:id="2624" w:name="_Toc11573467"/>
      <w:r w:rsidRPr="0050146A">
        <w:rPr>
          <w:rFonts w:hint="cs"/>
          <w:rtl/>
        </w:rPr>
        <w:t>דברי התוס' דהקפילא אינו משקר דאומן לא מרע אומנותיה</w:t>
      </w:r>
      <w:bookmarkEnd w:id="2620"/>
      <w:bookmarkEnd w:id="2621"/>
      <w:bookmarkEnd w:id="2622"/>
      <w:bookmarkEnd w:id="2623"/>
      <w:bookmarkEnd w:id="2624"/>
    </w:p>
    <w:p w:rsidR="00BE3B3A" w:rsidRPr="0050146A" w:rsidRDefault="00BE3B3A" w:rsidP="009F44AF">
      <w:pPr>
        <w:pStyle w:val="a"/>
        <w:rPr>
          <w:rtl/>
        </w:rPr>
      </w:pPr>
      <w:bookmarkStart w:id="2625" w:name="_Ref8316860"/>
      <w:r w:rsidRPr="0050146A">
        <w:rPr>
          <w:rStyle w:val="af8"/>
          <w:rFonts w:hint="cs"/>
          <w:rtl/>
        </w:rPr>
        <w:t xml:space="preserve">והתוס' </w:t>
      </w:r>
      <w:r w:rsidRPr="0050146A">
        <w:rPr>
          <w:rStyle w:val="af6"/>
          <w:rFonts w:eastAsia="Guttman Hodes" w:hint="cs"/>
          <w:rtl/>
        </w:rPr>
        <w:t>(ד"ה סמכינן)</w:t>
      </w:r>
      <w:r w:rsidRPr="0050146A">
        <w:rPr>
          <w:rFonts w:hint="cs"/>
          <w:rtl/>
        </w:rPr>
        <w:t xml:space="preserve"> כתבו דאעפ"י דהקפילא הוא עכו"ם, מ"מ כיון שהוא אומן אינו משקר, שלא להפסיד את אומנותו.</w:t>
      </w:r>
      <w:bookmarkEnd w:id="2625"/>
    </w:p>
    <w:p w:rsidR="00BE3B3A" w:rsidRPr="0050146A" w:rsidRDefault="00BE3B3A" w:rsidP="00BE3B3A">
      <w:pPr>
        <w:pStyle w:val="a2"/>
        <w:rPr>
          <w:rtl/>
        </w:rPr>
      </w:pPr>
      <w:bookmarkStart w:id="2626" w:name="_Toc9110230"/>
      <w:bookmarkStart w:id="2627" w:name="_Toc9114594"/>
      <w:bookmarkStart w:id="2628" w:name="_Toc9149637"/>
      <w:bookmarkStart w:id="2629" w:name="_Toc9289822"/>
      <w:bookmarkStart w:id="2630" w:name="_Toc11573468"/>
      <w:r w:rsidRPr="0050146A">
        <w:rPr>
          <w:rFonts w:hint="cs"/>
          <w:rtl/>
        </w:rPr>
        <w:t>דברי הב"י והראש יוסף בתוס' דהקפילא נאמן אף שאינו מסל"ת ומודיעים לו שנאמן לאיסור והיתר</w:t>
      </w:r>
      <w:bookmarkEnd w:id="2626"/>
      <w:bookmarkEnd w:id="2627"/>
      <w:bookmarkEnd w:id="2628"/>
      <w:bookmarkEnd w:id="2629"/>
      <w:bookmarkEnd w:id="2630"/>
    </w:p>
    <w:p w:rsidR="00BE3B3A" w:rsidRPr="0050146A" w:rsidRDefault="00BE3B3A" w:rsidP="009F44AF">
      <w:pPr>
        <w:pStyle w:val="a"/>
        <w:rPr>
          <w:rtl/>
        </w:rPr>
      </w:pPr>
      <w:bookmarkStart w:id="2631" w:name="_Ref8578569"/>
      <w:r w:rsidRPr="0050146A">
        <w:rPr>
          <w:rFonts w:hint="cs"/>
          <w:rtl/>
        </w:rPr>
        <w:t xml:space="preserve">וכתב </w:t>
      </w:r>
      <w:r w:rsidRPr="0050146A">
        <w:rPr>
          <w:rStyle w:val="af8"/>
          <w:rFonts w:hint="cs"/>
          <w:rtl/>
        </w:rPr>
        <w:t xml:space="preserve">הב"י </w:t>
      </w:r>
      <w:r w:rsidRPr="0050146A">
        <w:rPr>
          <w:rStyle w:val="af6"/>
          <w:rFonts w:eastAsia="Guttman Hodes" w:hint="cs"/>
          <w:rtl/>
        </w:rPr>
        <w:t xml:space="preserve">(צ"ח א') </w:t>
      </w:r>
      <w:r w:rsidRPr="0050146A">
        <w:rPr>
          <w:rFonts w:hint="cs"/>
          <w:rtl/>
        </w:rPr>
        <w:t xml:space="preserve">דמשמע מדברי </w:t>
      </w:r>
      <w:r w:rsidRPr="0050146A">
        <w:rPr>
          <w:rStyle w:val="af8"/>
          <w:rFonts w:hint="cs"/>
          <w:rtl/>
        </w:rPr>
        <w:t>התוס'</w:t>
      </w:r>
      <w:r w:rsidRPr="0050146A">
        <w:rPr>
          <w:rFonts w:hint="cs"/>
          <w:rtl/>
        </w:rPr>
        <w:t xml:space="preserve"> דאיירי שאינו מסיח לפי תומו, וכ"כ  </w:t>
      </w:r>
      <w:r w:rsidRPr="0050146A">
        <w:rPr>
          <w:rStyle w:val="af8"/>
          <w:rFonts w:hint="cs"/>
          <w:rtl/>
        </w:rPr>
        <w:t>הראש יוסף</w:t>
      </w:r>
      <w:r w:rsidRPr="0050146A">
        <w:rPr>
          <w:rFonts w:hint="cs"/>
          <w:rtl/>
        </w:rPr>
        <w:t xml:space="preserve"> </w:t>
      </w:r>
      <w:r w:rsidRPr="0050146A">
        <w:rPr>
          <w:rStyle w:val="af6"/>
          <w:rFonts w:eastAsia="Guttman Hodes" w:hint="cs"/>
          <w:rtl/>
        </w:rPr>
        <w:t>(על רש"י ד"ה ליטעמיה)</w:t>
      </w:r>
      <w:r w:rsidRPr="0050146A">
        <w:rPr>
          <w:rFonts w:hint="cs"/>
          <w:rtl/>
        </w:rPr>
        <w:t xml:space="preserve"> דמדברי </w:t>
      </w:r>
      <w:r w:rsidRPr="0050146A">
        <w:rPr>
          <w:rStyle w:val="af8"/>
          <w:rFonts w:hint="cs"/>
          <w:rtl/>
        </w:rPr>
        <w:t>התוס'</w:t>
      </w:r>
      <w:r w:rsidRPr="0050146A">
        <w:rPr>
          <w:rFonts w:hint="cs"/>
          <w:rtl/>
        </w:rPr>
        <w:t xml:space="preserve"> מבואר דפליגי על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Ref8315394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xml:space="preserve"> וס"ל דאף כשאינו מסיח לפי תומו סמכינן עליו, ואיירי שמודיעו שטועם לצורך איסור והיתר, כיון שהוא אומן ואינו משקר.</w:t>
      </w:r>
    </w:p>
    <w:p w:rsidR="00BE3B3A" w:rsidRPr="0050146A" w:rsidRDefault="00BE3B3A" w:rsidP="00BE3B3A">
      <w:pPr>
        <w:pStyle w:val="a2"/>
      </w:pPr>
      <w:bookmarkStart w:id="2632" w:name="_Toc9110231"/>
      <w:bookmarkStart w:id="2633" w:name="_Toc9114595"/>
      <w:bookmarkStart w:id="2634" w:name="_Toc9149638"/>
      <w:bookmarkStart w:id="2635" w:name="_Toc9289823"/>
      <w:bookmarkStart w:id="2636" w:name="_Toc11573469"/>
      <w:r w:rsidRPr="0050146A">
        <w:rPr>
          <w:rFonts w:hint="cs"/>
          <w:rtl/>
        </w:rPr>
        <w:t>דברי הראש יוסף דלתוס' סגי בטעם שמרגיש כל אדם וא"צ טעימה של בקי ולכן כל כהן נאמן</w:t>
      </w:r>
      <w:bookmarkEnd w:id="2632"/>
      <w:bookmarkEnd w:id="2633"/>
      <w:bookmarkEnd w:id="2634"/>
      <w:bookmarkEnd w:id="2635"/>
      <w:bookmarkEnd w:id="2636"/>
    </w:p>
    <w:p w:rsidR="00BE3B3A" w:rsidRPr="0050146A" w:rsidRDefault="00BE3B3A"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דלפי"ז אפש"ל דכל אדם מרגיש בטעם, דדוקא קפילא מרגיש בטעם, וכן מבואר בהא דבתרומה נותנים לכל כהן אף שאינו אומן, </w:t>
      </w:r>
      <w:r w:rsidRPr="0050146A">
        <w:rPr>
          <w:rStyle w:val="afa"/>
          <w:rFonts w:hint="cs"/>
          <w:rtl/>
        </w:rPr>
        <w:t xml:space="preserve">[ולא כדביאר </w:t>
      </w:r>
      <w:r w:rsidRPr="0050146A">
        <w:rPr>
          <w:rStyle w:val="affa"/>
          <w:rFonts w:hint="cs"/>
          <w:rtl/>
        </w:rPr>
        <w:t>הראש יוסף ברש"י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Ref8317473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קב)</w:t>
      </w:r>
      <w:r w:rsidRPr="0050146A">
        <w:rPr>
          <w:rStyle w:val="aff6"/>
          <w:rtl/>
        </w:rPr>
        <w:fldChar w:fldCharType="end"/>
      </w:r>
      <w:r w:rsidRPr="0050146A">
        <w:rPr>
          <w:rStyle w:val="afa"/>
          <w:rFonts w:hint="cs"/>
          <w:rtl/>
        </w:rPr>
        <w:t>]</w:t>
      </w:r>
      <w:bookmarkEnd w:id="2631"/>
      <w:r w:rsidRPr="0050146A">
        <w:rPr>
          <w:rStyle w:val="afa"/>
          <w:rFonts w:hint="cs"/>
          <w:rtl/>
        </w:rPr>
        <w:t>,</w:t>
      </w:r>
      <w:r w:rsidRPr="0050146A">
        <w:rPr>
          <w:rFonts w:hint="cs"/>
          <w:rtl/>
        </w:rPr>
        <w:t xml:space="preserve"> ועי' במ"ש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Ref9109897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50146A">
        <w:rPr>
          <w:rStyle w:val="af6"/>
          <w:rFonts w:eastAsia="Guttman Hodes"/>
          <w:rtl/>
        </w:rPr>
        <w:fldChar w:fldCharType="end"/>
      </w:r>
      <w:r w:rsidRPr="0050146A">
        <w:rPr>
          <w:rFonts w:hint="cs"/>
          <w:rtl/>
        </w:rPr>
        <w:t xml:space="preserve"> לענין כהן, ובמה שדחה </w:t>
      </w:r>
      <w:r w:rsidRPr="0050146A">
        <w:rPr>
          <w:rStyle w:val="af8"/>
          <w:rFonts w:hint="cs"/>
          <w:rtl/>
        </w:rPr>
        <w:t>המאירי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Ref9109942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50146A">
        <w:rPr>
          <w:rStyle w:val="af6"/>
          <w:rFonts w:eastAsia="Guttman Hodes"/>
          <w:rtl/>
        </w:rPr>
        <w:fldChar w:fldCharType="end"/>
      </w:r>
      <w:r w:rsidRPr="0050146A">
        <w:rPr>
          <w:rFonts w:hint="cs"/>
          <w:rtl/>
        </w:rPr>
        <w:t>.</w:t>
      </w:r>
      <w:r w:rsidRPr="0050146A">
        <w:rPr>
          <w:rFonts w:hint="cs"/>
          <w:highlight w:val="yellow"/>
          <w:rtl/>
        </w:rPr>
        <w:t xml:space="preserve"> </w:t>
      </w:r>
    </w:p>
    <w:p w:rsidR="00BE3B3A" w:rsidRPr="0050146A" w:rsidRDefault="00BE3B3A" w:rsidP="00BE3B3A">
      <w:pPr>
        <w:pStyle w:val="a2"/>
        <w:rPr>
          <w:rtl/>
        </w:rPr>
      </w:pPr>
      <w:bookmarkStart w:id="2637" w:name="_Toc9114596"/>
      <w:bookmarkStart w:id="2638" w:name="_Toc9149639"/>
      <w:bookmarkStart w:id="2639" w:name="_Toc9289824"/>
      <w:bookmarkStart w:id="2640" w:name="_Toc11573470"/>
      <w:r w:rsidRPr="0050146A">
        <w:rPr>
          <w:rFonts w:hint="cs"/>
          <w:rtl/>
        </w:rPr>
        <w:t>דברי הרשב"א דהקפילא נאמן כיון דאומן לא מרע אומנותיה וסתם בנ"א  נאמנים במסל"ת</w:t>
      </w:r>
      <w:bookmarkEnd w:id="2637"/>
      <w:bookmarkEnd w:id="2638"/>
      <w:bookmarkEnd w:id="2639"/>
      <w:bookmarkEnd w:id="2640"/>
    </w:p>
    <w:p w:rsidR="00BE3B3A" w:rsidRPr="0050146A" w:rsidRDefault="00BE3B3A" w:rsidP="009F44AF">
      <w:pPr>
        <w:pStyle w:val="a"/>
        <w:rPr>
          <w:rtl/>
        </w:rPr>
      </w:pPr>
      <w:bookmarkStart w:id="2641" w:name="_Ref8318164"/>
      <w:r w:rsidRPr="0050146A">
        <w:rPr>
          <w:rStyle w:val="af8"/>
          <w:rFonts w:hint="cs"/>
          <w:rtl/>
        </w:rPr>
        <w:t>והרשב"א בחי'</w:t>
      </w:r>
      <w:r w:rsidRPr="0050146A">
        <w:rPr>
          <w:rFonts w:hint="cs"/>
          <w:rtl/>
        </w:rPr>
        <w:t xml:space="preserve"> </w:t>
      </w:r>
      <w:r w:rsidRPr="0050146A">
        <w:rPr>
          <w:rStyle w:val="af6"/>
          <w:rFonts w:eastAsia="Guttman Hodes" w:hint="cs"/>
          <w:rtl/>
        </w:rPr>
        <w:t>(ד"ה אמר)</w:t>
      </w:r>
      <w:r w:rsidRPr="0050146A">
        <w:rPr>
          <w:rFonts w:hint="cs"/>
          <w:rtl/>
        </w:rPr>
        <w:t xml:space="preserve"> </w:t>
      </w:r>
      <w:r w:rsidRPr="0050146A">
        <w:rPr>
          <w:rStyle w:val="af8"/>
          <w:rFonts w:hint="cs"/>
          <w:rtl/>
        </w:rPr>
        <w:t xml:space="preserve">ובתוה"ב </w:t>
      </w:r>
      <w:r w:rsidRPr="0050146A">
        <w:rPr>
          <w:rStyle w:val="af6"/>
          <w:rFonts w:eastAsia="Guttman Hodes" w:hint="cs"/>
          <w:rtl/>
        </w:rPr>
        <w:t xml:space="preserve">(ב"ד ש"א טז. מדה"ס) </w:t>
      </w:r>
      <w:r w:rsidRPr="0050146A">
        <w:rPr>
          <w:rStyle w:val="af8"/>
          <w:rFonts w:hint="cs"/>
          <w:rtl/>
        </w:rPr>
        <w:t>ובתשו'</w:t>
      </w:r>
      <w:r w:rsidRPr="0050146A">
        <w:rPr>
          <w:rFonts w:hint="cs"/>
          <w:rtl/>
        </w:rPr>
        <w:t xml:space="preserve"> </w:t>
      </w:r>
      <w:r w:rsidRPr="0050146A">
        <w:rPr>
          <w:rStyle w:val="af6"/>
          <w:rFonts w:eastAsia="Guttman Hodes" w:hint="cs"/>
          <w:rtl/>
        </w:rPr>
        <w:t xml:space="preserve">(ח"א סי' תצ"ו, ח"ז מיוחסות סו"ס קנ"א ד"ה ומה שכתבתי קפילא) </w:t>
      </w:r>
      <w:r w:rsidRPr="0050146A">
        <w:rPr>
          <w:rFonts w:hint="cs"/>
          <w:rtl/>
        </w:rPr>
        <w:t xml:space="preserve">כתב דהא דאמרינן קפילא הוא כיון דבסתם עכו"ם חיישינן שהוא משקר, אבל קפילא אינו מרע אנפשיה, ולכן אף ששואלים אותו בפירוש מה הטעם ואומרים לו שהנדון הוא לענין איסור והיתר, סומכים עליו, וא"צ שיהיה מסיח לפי תומו, כיון שאינו מרע אנפשיה, וכתב </w:t>
      </w:r>
      <w:r w:rsidRPr="0050146A">
        <w:rPr>
          <w:rStyle w:val="af8"/>
          <w:rFonts w:hint="cs"/>
          <w:rtl/>
        </w:rPr>
        <w:t>הרשב"א בחי' דרש"י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Ref8315394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xml:space="preserve"> לא ביאר כן, והוסיף </w:t>
      </w:r>
      <w:r w:rsidRPr="0050146A">
        <w:rPr>
          <w:rStyle w:val="af8"/>
          <w:rFonts w:hint="cs"/>
          <w:rtl/>
        </w:rPr>
        <w:t>הרשב"א בתוה"ב</w:t>
      </w:r>
      <w:r w:rsidRPr="0050146A">
        <w:rPr>
          <w:rFonts w:hint="cs"/>
          <w:rtl/>
        </w:rPr>
        <w:t xml:space="preserve"> דבסתם בנ"א </w:t>
      </w:r>
      <w:r w:rsidRPr="0050146A">
        <w:rPr>
          <w:rStyle w:val="afa"/>
          <w:rFonts w:hint="cs"/>
          <w:rtl/>
        </w:rPr>
        <w:t>[בעכו"ם]</w:t>
      </w:r>
      <w:r w:rsidRPr="0050146A">
        <w:rPr>
          <w:rFonts w:hint="cs"/>
          <w:rtl/>
        </w:rPr>
        <w:t xml:space="preserve"> דוקא במסיח לפי תומו סומכים עליהם שאינם משקרים.</w:t>
      </w:r>
      <w:bookmarkEnd w:id="2641"/>
    </w:p>
    <w:p w:rsidR="00BE3B3A" w:rsidRPr="0050146A" w:rsidRDefault="00BE3B3A" w:rsidP="00BE3B3A">
      <w:pPr>
        <w:pStyle w:val="a2"/>
        <w:rPr>
          <w:rtl/>
        </w:rPr>
      </w:pPr>
      <w:bookmarkStart w:id="2642" w:name="_Toc9114597"/>
      <w:bookmarkStart w:id="2643" w:name="_Toc9149640"/>
      <w:bookmarkStart w:id="2644" w:name="_Toc9289825"/>
      <w:bookmarkStart w:id="2645" w:name="_Toc11573471"/>
      <w:r w:rsidRPr="0050146A">
        <w:rPr>
          <w:rFonts w:hint="cs"/>
          <w:rtl/>
        </w:rPr>
        <w:t>דברי המאירי דסמכינן על קפילא דלא מרע אומנותיה רק בדבר שביד ישראל ולא בשאר עדויות</w:t>
      </w:r>
      <w:bookmarkEnd w:id="2642"/>
      <w:bookmarkEnd w:id="2643"/>
      <w:bookmarkEnd w:id="2644"/>
      <w:bookmarkEnd w:id="2645"/>
    </w:p>
    <w:p w:rsidR="00BE3B3A" w:rsidRPr="0050146A" w:rsidRDefault="00BE3B3A" w:rsidP="009F44AF">
      <w:pPr>
        <w:pStyle w:val="a"/>
        <w:rPr>
          <w:rtl/>
        </w:rPr>
      </w:pPr>
      <w:r w:rsidRPr="0050146A">
        <w:rPr>
          <w:rFonts w:hint="cs"/>
          <w:rtl/>
        </w:rPr>
        <w:t xml:space="preserve">וכתב </w:t>
      </w:r>
      <w:r w:rsidRPr="0050146A">
        <w:rPr>
          <w:rStyle w:val="af8"/>
          <w:rFonts w:hint="cs"/>
          <w:rtl/>
        </w:rPr>
        <w:t>המאירי</w:t>
      </w:r>
      <w:r w:rsidRPr="0050146A">
        <w:rPr>
          <w:rStyle w:val="af6"/>
          <w:rFonts w:eastAsia="Guttman Hodes" w:hint="cs"/>
          <w:rtl/>
        </w:rPr>
        <w:t xml:space="preserve"> (ד"ה כל) </w:t>
      </w:r>
      <w:r w:rsidRPr="0050146A">
        <w:rPr>
          <w:rFonts w:hint="cs"/>
          <w:rtl/>
        </w:rPr>
        <w:t xml:space="preserve"> דאף לדעת </w:t>
      </w:r>
      <w:r w:rsidRPr="0050146A">
        <w:rPr>
          <w:rStyle w:val="af8"/>
          <w:rFonts w:hint="cs"/>
          <w:rtl/>
        </w:rPr>
        <w:t>הרשב"א</w:t>
      </w:r>
      <w:r w:rsidRPr="0050146A">
        <w:rPr>
          <w:rFonts w:hint="cs"/>
          <w:rtl/>
        </w:rPr>
        <w:t xml:space="preserve"> דסמכינן על הקפילא דלא מרע אומנותיה, מ"מ זה דוקא בדבר שהוא ביד הישראל, </w:t>
      </w:r>
      <w:r w:rsidRPr="0050146A">
        <w:rPr>
          <w:rStyle w:val="afa"/>
          <w:rFonts w:hint="cs"/>
          <w:rtl/>
        </w:rPr>
        <w:t xml:space="preserve">[אולי כוונתו דעבידא לאיגלויי ביד הישראל], </w:t>
      </w:r>
      <w:r w:rsidRPr="0050146A">
        <w:rPr>
          <w:rFonts w:hint="cs"/>
          <w:rtl/>
        </w:rPr>
        <w:t>אבל בשאר עדיות של איסור בתורה, עכו"ם אינו נאמן אף להחמיר.</w:t>
      </w:r>
    </w:p>
    <w:p w:rsidR="00BE3B3A" w:rsidRPr="0050146A" w:rsidRDefault="00BE3B3A" w:rsidP="00BE3B3A">
      <w:pPr>
        <w:pStyle w:val="a2"/>
        <w:rPr>
          <w:rtl/>
        </w:rPr>
      </w:pPr>
      <w:bookmarkStart w:id="2646" w:name="_Toc9114598"/>
      <w:bookmarkStart w:id="2647" w:name="_Toc9149641"/>
      <w:bookmarkStart w:id="2648" w:name="_Toc9289826"/>
      <w:bookmarkStart w:id="2649" w:name="_Toc11573472"/>
      <w:r w:rsidRPr="0050146A">
        <w:rPr>
          <w:rFonts w:hint="cs"/>
          <w:rtl/>
        </w:rPr>
        <w:t>ביאור הר"ן דקפילא דלא מרע אומנותיה הוא נאמנות יותר ממסל"ת דנזהר כיון שהישראל מקפיד</w:t>
      </w:r>
      <w:bookmarkEnd w:id="2646"/>
      <w:bookmarkEnd w:id="2647"/>
      <w:bookmarkEnd w:id="2648"/>
      <w:bookmarkEnd w:id="2649"/>
    </w:p>
    <w:p w:rsidR="00BE3B3A" w:rsidRPr="0050146A" w:rsidRDefault="00BE3B3A" w:rsidP="009F44AF">
      <w:pPr>
        <w:pStyle w:val="a"/>
        <w:rPr>
          <w:rtl/>
        </w:rPr>
      </w:pPr>
      <w:r w:rsidRPr="0050146A">
        <w:rPr>
          <w:rStyle w:val="af8"/>
          <w:rFonts w:hint="cs"/>
          <w:rtl/>
        </w:rPr>
        <w:t>והר"ן על הרי"ף</w:t>
      </w:r>
      <w:r w:rsidRPr="0050146A">
        <w:rPr>
          <w:rFonts w:hint="cs"/>
          <w:rtl/>
        </w:rPr>
        <w:t xml:space="preserve"> </w:t>
      </w:r>
      <w:r w:rsidRPr="0050146A">
        <w:rPr>
          <w:rStyle w:val="af6"/>
          <w:rFonts w:eastAsia="Guttman Hodes" w:hint="cs"/>
          <w:rtl/>
        </w:rPr>
        <w:t>(לד. מדפי הרי"ף ד"ה ומין)</w:t>
      </w:r>
      <w:r w:rsidRPr="0050146A">
        <w:rPr>
          <w:rFonts w:hint="cs"/>
          <w:rtl/>
        </w:rPr>
        <w:t xml:space="preserve"> כתב דמלשון הגמ' "סמכינן אקפילא" משמע דרק על קפילא סמכינן, ולא על סתם עכו"ם, כיון דקפילא לא מרע אנפשיה ואינו משקר, והוסיף </w:t>
      </w:r>
      <w:r w:rsidRPr="0050146A">
        <w:rPr>
          <w:rStyle w:val="af8"/>
          <w:rFonts w:hint="cs"/>
          <w:rtl/>
        </w:rPr>
        <w:t>הר"ן</w:t>
      </w:r>
      <w:r w:rsidRPr="0050146A">
        <w:rPr>
          <w:rFonts w:hint="cs"/>
          <w:rtl/>
        </w:rPr>
        <w:t xml:space="preserve"> דא"כ אף כשאינו מסיח לפי תומו נאמן, ודלא </w:t>
      </w:r>
      <w:r w:rsidRPr="0050146A">
        <w:rPr>
          <w:rStyle w:val="af8"/>
          <w:rFonts w:hint="cs"/>
          <w:rtl/>
        </w:rPr>
        <w:t>כרש"י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Ref8315394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xml:space="preserve">, וכתב </w:t>
      </w:r>
      <w:r w:rsidRPr="0050146A">
        <w:rPr>
          <w:rStyle w:val="af8"/>
          <w:rFonts w:hint="cs"/>
          <w:rtl/>
        </w:rPr>
        <w:t>הר"ן</w:t>
      </w:r>
      <w:r w:rsidRPr="0050146A">
        <w:rPr>
          <w:rFonts w:hint="cs"/>
          <w:rtl/>
        </w:rPr>
        <w:t xml:space="preserve"> דהנאמנות בלא מרע אנפשיה מהני אף יותר ממסיח לפי תומו, כיון שהוא יודע שהישראל מקפיד בדבר אם יש בו טעם או לא, אבל בישראל אין חילוק בין קפילא לאינו קפילא, וכדמוכח מהא דבכהן לא אמרינן שצריך קפילא, ומבואר דכל כהן נאמן.</w:t>
      </w:r>
    </w:p>
    <w:p w:rsidR="00BE3B3A" w:rsidRPr="0050146A" w:rsidRDefault="00BE3B3A" w:rsidP="00BE3B3A">
      <w:pPr>
        <w:pStyle w:val="a2"/>
      </w:pPr>
      <w:bookmarkStart w:id="2650" w:name="_Toc8578676"/>
      <w:bookmarkStart w:id="2651" w:name="_Toc8765451"/>
      <w:bookmarkStart w:id="2652" w:name="_Toc8923263"/>
      <w:bookmarkStart w:id="2653" w:name="_Toc9108665"/>
      <w:bookmarkStart w:id="2654" w:name="_Toc9110234"/>
      <w:bookmarkStart w:id="2655" w:name="_Toc9114599"/>
      <w:bookmarkStart w:id="2656" w:name="_Toc9149642"/>
      <w:bookmarkStart w:id="2657" w:name="_Toc9289827"/>
      <w:bookmarkStart w:id="2658" w:name="_Toc11573473"/>
      <w:bookmarkStart w:id="2659" w:name="_Ref8550129"/>
      <w:r w:rsidRPr="0050146A">
        <w:rPr>
          <w:rFonts w:hint="cs"/>
          <w:rtl/>
        </w:rPr>
        <w:t xml:space="preserve">מסקנת הרשב"א דיש לחוש לדעת הסוברים דצריך דוקא קפילא ולא סתם עכו"ם ונאמן רק </w:t>
      </w:r>
      <w:bookmarkEnd w:id="2650"/>
      <w:bookmarkEnd w:id="2651"/>
      <w:bookmarkEnd w:id="2652"/>
      <w:bookmarkEnd w:id="2653"/>
      <w:bookmarkEnd w:id="2654"/>
      <w:r w:rsidRPr="0050146A">
        <w:rPr>
          <w:rFonts w:hint="cs"/>
          <w:rtl/>
        </w:rPr>
        <w:t>במסל"ת</w:t>
      </w:r>
      <w:bookmarkEnd w:id="2655"/>
      <w:bookmarkEnd w:id="2656"/>
      <w:bookmarkEnd w:id="2657"/>
      <w:bookmarkEnd w:id="2658"/>
    </w:p>
    <w:p w:rsidR="00BE3B3A" w:rsidRPr="0050146A" w:rsidRDefault="00BE3B3A" w:rsidP="009F44AF">
      <w:pPr>
        <w:pStyle w:val="a"/>
        <w:rPr>
          <w:rtl/>
        </w:rPr>
      </w:pPr>
      <w:r w:rsidRPr="0050146A">
        <w:rPr>
          <w:rFonts w:hint="cs"/>
          <w:rtl/>
        </w:rPr>
        <w:t xml:space="preserve">אך הביא </w:t>
      </w:r>
      <w:r w:rsidRPr="0050146A">
        <w:rPr>
          <w:rStyle w:val="af8"/>
          <w:rFonts w:hint="cs"/>
          <w:rtl/>
        </w:rPr>
        <w:t>הרשב"א בתוה"ב</w:t>
      </w:r>
      <w:r w:rsidRPr="0050146A">
        <w:rPr>
          <w:rFonts w:hint="cs"/>
          <w:rtl/>
        </w:rPr>
        <w:t xml:space="preserve"> </w:t>
      </w:r>
      <w:r w:rsidRPr="0050146A">
        <w:rPr>
          <w:rStyle w:val="af6"/>
          <w:rFonts w:eastAsia="Guttman Hodes" w:hint="cs"/>
          <w:rtl/>
        </w:rPr>
        <w:t xml:space="preserve">(ב"ד ש"א טז. מדה"ס) </w:t>
      </w:r>
      <w:r w:rsidRPr="0050146A">
        <w:rPr>
          <w:rFonts w:hint="cs"/>
          <w:rtl/>
        </w:rPr>
        <w:t xml:space="preserve">בשם </w:t>
      </w:r>
      <w:r w:rsidRPr="0050146A">
        <w:rPr>
          <w:rStyle w:val="af8"/>
          <w:rFonts w:hint="cs"/>
          <w:rtl/>
        </w:rPr>
        <w:t>י"א</w:t>
      </w:r>
      <w:r w:rsidRPr="0050146A">
        <w:rPr>
          <w:rFonts w:hint="cs"/>
          <w:rtl/>
        </w:rPr>
        <w:t xml:space="preserve"> דסמכינן דוקא על קפילא ולא סמכינן על סתם עכו"ם, והנאמנות של הקפילא היא דוקא במסיח לפי תומו, וכתב </w:t>
      </w:r>
      <w:r w:rsidRPr="0050146A">
        <w:rPr>
          <w:rStyle w:val="af8"/>
          <w:rFonts w:hint="cs"/>
          <w:rtl/>
        </w:rPr>
        <w:t>הרשב"א</w:t>
      </w:r>
      <w:r w:rsidRPr="0050146A">
        <w:rPr>
          <w:rFonts w:hint="cs"/>
          <w:rtl/>
        </w:rPr>
        <w:t xml:space="preserve"> </w:t>
      </w:r>
      <w:r w:rsidRPr="0050146A">
        <w:rPr>
          <w:rStyle w:val="af8"/>
          <w:rFonts w:hint="cs"/>
          <w:rtl/>
        </w:rPr>
        <w:t>בתוה"ב</w:t>
      </w:r>
      <w:r w:rsidRPr="0050146A">
        <w:rPr>
          <w:rFonts w:hint="cs"/>
          <w:rtl/>
        </w:rPr>
        <w:t xml:space="preserve"> </w:t>
      </w:r>
      <w:r w:rsidRPr="0050146A">
        <w:rPr>
          <w:rStyle w:val="af8"/>
          <w:rFonts w:hint="cs"/>
          <w:rtl/>
        </w:rPr>
        <w:t>ובתשו'</w:t>
      </w:r>
      <w:r w:rsidRPr="0050146A">
        <w:rPr>
          <w:rFonts w:hint="cs"/>
          <w:rtl/>
        </w:rPr>
        <w:t xml:space="preserve"> </w:t>
      </w:r>
      <w:r w:rsidRPr="0050146A">
        <w:rPr>
          <w:rStyle w:val="af6"/>
          <w:rFonts w:eastAsia="Guttman Hodes" w:hint="cs"/>
          <w:rtl/>
        </w:rPr>
        <w:t xml:space="preserve">(ח"א סי' תצ"ו, ח"ז מיוחסות סו"ס קנ"א ד"ה ומה שכתבתי קפילא) </w:t>
      </w:r>
      <w:r w:rsidRPr="0050146A">
        <w:rPr>
          <w:rFonts w:hint="cs"/>
          <w:rtl/>
        </w:rPr>
        <w:t>דיש לחוש לדבריהם.</w:t>
      </w:r>
      <w:bookmarkEnd w:id="2659"/>
    </w:p>
    <w:p w:rsidR="00BE3B3A" w:rsidRPr="0050146A" w:rsidRDefault="00BE3B3A" w:rsidP="00BE3B3A">
      <w:pPr>
        <w:pStyle w:val="1"/>
        <w:rPr>
          <w:rtl/>
        </w:rPr>
      </w:pPr>
      <w:bookmarkStart w:id="2660" w:name="_Toc9114600"/>
      <w:bookmarkStart w:id="2661" w:name="_Toc9149643"/>
      <w:bookmarkStart w:id="2662" w:name="_Toc9289828"/>
      <w:bookmarkStart w:id="2663" w:name="_Toc11573474"/>
      <w:r w:rsidRPr="0050146A">
        <w:rPr>
          <w:rFonts w:hint="cs"/>
          <w:rtl/>
        </w:rPr>
        <w:t>דעת הרא"ה והריטב"א דקפילא לא מרע נפשיה בעביד לאיגלויי</w:t>
      </w:r>
      <w:bookmarkEnd w:id="2660"/>
      <w:bookmarkEnd w:id="2661"/>
      <w:bookmarkEnd w:id="2662"/>
      <w:bookmarkEnd w:id="2663"/>
    </w:p>
    <w:p w:rsidR="00BE3B3A" w:rsidRPr="0050146A" w:rsidRDefault="00BE3B3A" w:rsidP="00BE3B3A">
      <w:pPr>
        <w:pStyle w:val="a2"/>
        <w:rPr>
          <w:rtl/>
        </w:rPr>
      </w:pPr>
      <w:bookmarkStart w:id="2664" w:name="_Toc9114601"/>
      <w:bookmarkStart w:id="2665" w:name="_Toc9149644"/>
      <w:bookmarkStart w:id="2666" w:name="_Toc9289829"/>
      <w:bookmarkStart w:id="2667" w:name="_Toc11573475"/>
      <w:r w:rsidRPr="0050146A">
        <w:rPr>
          <w:rFonts w:hint="cs"/>
          <w:rtl/>
        </w:rPr>
        <w:t>דברי הרא"ה והריטב"א  דהוי עבידא לאיגלויי דהישראל טועם אח"כ והקפילא לא מרע אנפשיה</w:t>
      </w:r>
      <w:bookmarkEnd w:id="2664"/>
      <w:bookmarkEnd w:id="2665"/>
      <w:bookmarkEnd w:id="2666"/>
      <w:bookmarkEnd w:id="2667"/>
    </w:p>
    <w:p w:rsidR="00010471" w:rsidRPr="0050146A" w:rsidRDefault="00BE3B3A" w:rsidP="009F44AF">
      <w:pPr>
        <w:pStyle w:val="a"/>
        <w:rPr>
          <w:rtl/>
        </w:rPr>
      </w:pPr>
      <w:bookmarkStart w:id="2668" w:name="_Ref9112729"/>
      <w:r w:rsidRPr="0050146A">
        <w:rPr>
          <w:rFonts w:hint="cs"/>
          <w:rtl/>
        </w:rPr>
        <w:t xml:space="preserve">כתב </w:t>
      </w:r>
      <w:r w:rsidRPr="0050146A">
        <w:rPr>
          <w:rStyle w:val="af8"/>
          <w:rFonts w:hint="cs"/>
          <w:rtl/>
        </w:rPr>
        <w:t>הרא"ה בבד"ה</w:t>
      </w:r>
      <w:r w:rsidRPr="0050146A">
        <w:rPr>
          <w:rFonts w:hint="cs"/>
          <w:rtl/>
        </w:rPr>
        <w:t xml:space="preserve"> </w:t>
      </w:r>
      <w:r w:rsidRPr="0050146A">
        <w:rPr>
          <w:rStyle w:val="af6"/>
          <w:rFonts w:eastAsia="Guttman Hodes" w:hint="cs"/>
          <w:rtl/>
        </w:rPr>
        <w:t>(ב"ד ש"א טז. מדה"ס)</w:t>
      </w:r>
      <w:r w:rsidRPr="0050146A">
        <w:rPr>
          <w:rFonts w:hint="cs"/>
          <w:rtl/>
        </w:rPr>
        <w:t xml:space="preserve"> </w:t>
      </w:r>
      <w:r w:rsidRPr="0050146A">
        <w:rPr>
          <w:rStyle w:val="af8"/>
          <w:rFonts w:hint="cs"/>
          <w:rtl/>
        </w:rPr>
        <w:t>ובחי'</w:t>
      </w:r>
      <w:r w:rsidRPr="0050146A">
        <w:rPr>
          <w:rFonts w:hint="cs"/>
          <w:rtl/>
        </w:rPr>
        <w:t xml:space="preserve"> </w:t>
      </w:r>
      <w:r w:rsidRPr="0050146A">
        <w:rPr>
          <w:rStyle w:val="af6"/>
          <w:rFonts w:eastAsia="Guttman Hodes" w:hint="cs"/>
          <w:rtl/>
        </w:rPr>
        <w:t>(צו: ד"ה מתני')</w:t>
      </w:r>
      <w:r w:rsidRPr="0050146A">
        <w:rPr>
          <w:rFonts w:hint="cs"/>
          <w:rtl/>
        </w:rPr>
        <w:t xml:space="preserve"> דא"צ שהקפילא יהיה מסיח לפי תומו, דכל קפילא אינו מרע אנפשיה במילתא דעבידא לאיגלויי ויהיה אפשר לעמוד על האמת, דהרי </w:t>
      </w:r>
      <w:r w:rsidRPr="0050146A">
        <w:rPr>
          <w:rFonts w:hint="cs"/>
          <w:rtl/>
        </w:rPr>
        <w:t xml:space="preserve">כשאומר הקפילא שאין בו טעם איסור, הישראל עצמו טועם מהתבשיל, ומשו"ה אין הקפילא מרע אנפשיה, דיאמרו שאינו בקי בטעימה, ולכן לא הרגיש את טעם האיסור, וכ"כ </w:t>
      </w:r>
      <w:r w:rsidRPr="0050146A">
        <w:rPr>
          <w:rStyle w:val="af8"/>
          <w:rFonts w:hint="cs"/>
          <w:rtl/>
        </w:rPr>
        <w:t>הריטב"א</w:t>
      </w:r>
      <w:r w:rsidRPr="0050146A">
        <w:rPr>
          <w:rFonts w:hint="cs"/>
          <w:rtl/>
        </w:rPr>
        <w:t xml:space="preserve"> </w:t>
      </w:r>
      <w:r w:rsidRPr="0050146A">
        <w:rPr>
          <w:rStyle w:val="af6"/>
          <w:rFonts w:eastAsia="Guttman Hodes" w:hint="cs"/>
          <w:rtl/>
        </w:rPr>
        <w:t>(ד"ה סמכינן)</w:t>
      </w:r>
      <w:r w:rsidRPr="0050146A">
        <w:rPr>
          <w:rFonts w:hint="cs"/>
          <w:rtl/>
        </w:rPr>
        <w:t>.</w:t>
      </w:r>
      <w:bookmarkEnd w:id="2668"/>
    </w:p>
    <w:p w:rsidR="00BE3B3A" w:rsidRPr="0050146A" w:rsidRDefault="00BE3B3A" w:rsidP="00BE3B3A">
      <w:pPr>
        <w:pStyle w:val="a2"/>
      </w:pPr>
      <w:bookmarkStart w:id="2669" w:name="_Toc9114602"/>
      <w:bookmarkStart w:id="2670" w:name="_Toc9149645"/>
      <w:bookmarkStart w:id="2671" w:name="_Toc9289830"/>
      <w:bookmarkStart w:id="2672" w:name="_Toc11573476"/>
      <w:r w:rsidRPr="0050146A">
        <w:rPr>
          <w:rFonts w:hint="cs"/>
          <w:rtl/>
        </w:rPr>
        <w:t>דברי הרא"ה דבמילתא דעבידא לאיגלויי אינו נחשב עדות ומשו"ה עכו"ם נאמן בעדות אשה</w:t>
      </w:r>
      <w:bookmarkEnd w:id="2669"/>
      <w:bookmarkEnd w:id="2670"/>
      <w:bookmarkEnd w:id="2671"/>
      <w:bookmarkEnd w:id="2672"/>
    </w:p>
    <w:p w:rsidR="00BE3B3A" w:rsidRPr="0050146A" w:rsidRDefault="00BE3B3A" w:rsidP="009F44AF">
      <w:pPr>
        <w:pStyle w:val="a"/>
        <w:rPr>
          <w:rtl/>
        </w:rPr>
      </w:pPr>
      <w:r w:rsidRPr="0050146A">
        <w:rPr>
          <w:rFonts w:hint="cs"/>
          <w:rtl/>
        </w:rPr>
        <w:t xml:space="preserve">וביאר </w:t>
      </w:r>
      <w:r w:rsidRPr="0050146A">
        <w:rPr>
          <w:rStyle w:val="af8"/>
          <w:rFonts w:hint="cs"/>
          <w:rtl/>
        </w:rPr>
        <w:t>הרא"ה בבד"ה</w:t>
      </w:r>
      <w:r w:rsidRPr="0050146A">
        <w:rPr>
          <w:rFonts w:hint="cs"/>
          <w:rtl/>
        </w:rPr>
        <w:t xml:space="preserve"> דבמילתא דעבידא לאיגלויי אינו נחשב עדות כלל, ולכן התירו לסמוך על עדות עכו"ם בעדות אשה.</w:t>
      </w:r>
    </w:p>
    <w:p w:rsidR="00BE3B3A" w:rsidRPr="0050146A" w:rsidRDefault="00BE3B3A" w:rsidP="00BE3B3A">
      <w:pPr>
        <w:pStyle w:val="a2"/>
      </w:pPr>
      <w:bookmarkStart w:id="2673" w:name="_Toc9114603"/>
      <w:bookmarkStart w:id="2674" w:name="_Toc9149646"/>
      <w:bookmarkStart w:id="2675" w:name="_Toc9289831"/>
      <w:bookmarkStart w:id="2676" w:name="_Toc11573477"/>
      <w:r w:rsidRPr="0050146A">
        <w:rPr>
          <w:rFonts w:hint="cs"/>
          <w:rtl/>
        </w:rPr>
        <w:t>דברי הרא"ה דסתם עכו"ם אינו נאמן אף במסל"ת דבאיסורין אין נאמנות למסל"ת</w:t>
      </w:r>
      <w:bookmarkEnd w:id="2673"/>
      <w:bookmarkEnd w:id="2674"/>
      <w:bookmarkEnd w:id="2675"/>
      <w:bookmarkEnd w:id="2676"/>
    </w:p>
    <w:p w:rsidR="00010471" w:rsidRPr="0050146A" w:rsidRDefault="00BE3B3A" w:rsidP="009F44AF">
      <w:pPr>
        <w:pStyle w:val="a"/>
        <w:rPr>
          <w:rtl/>
        </w:rPr>
      </w:pPr>
      <w:r w:rsidRPr="0050146A">
        <w:rPr>
          <w:rFonts w:hint="cs"/>
          <w:rtl/>
        </w:rPr>
        <w:t xml:space="preserve">וכתב </w:t>
      </w:r>
      <w:r w:rsidRPr="0050146A">
        <w:rPr>
          <w:rStyle w:val="af8"/>
          <w:rFonts w:hint="cs"/>
          <w:rtl/>
        </w:rPr>
        <w:t>הרא"ה בבד"ה</w:t>
      </w:r>
      <w:r w:rsidRPr="0050146A">
        <w:rPr>
          <w:rFonts w:hint="cs"/>
          <w:rtl/>
        </w:rPr>
        <w:t xml:space="preserve"> דבסתם עכו"ם שאינו קפילא, </w:t>
      </w:r>
      <w:r w:rsidRPr="0050146A">
        <w:rPr>
          <w:rStyle w:val="afa"/>
          <w:rFonts w:hint="cs"/>
          <w:rtl/>
        </w:rPr>
        <w:t>[ואין בו את סברת לא מרע אומנותיה],</w:t>
      </w:r>
      <w:r w:rsidRPr="0050146A">
        <w:rPr>
          <w:rFonts w:hint="cs"/>
          <w:rtl/>
        </w:rPr>
        <w:t xml:space="preserve"> לא סמכינן עליה, אף במסיח לפי תומו דבאיסורין לא מהני מסיח לפי תומו של עכו"ם, ורק בעדות אשה סמכינן עליה, ובעדות אשה כיון דהוא מילתא דעבידא לאיגלויי, מעיקר הדין היה נאמן אף אם אינו מסיח לפי תומו, אלא דבעדות אשה החמירו בזה להאמינו דוקא במסיח לפי תומו, עיי"ש.</w:t>
      </w:r>
    </w:p>
    <w:p w:rsidR="00BE3B3A" w:rsidRPr="0050146A" w:rsidRDefault="00BE3B3A" w:rsidP="00BE3B3A">
      <w:pPr>
        <w:pStyle w:val="a2"/>
        <w:rPr>
          <w:rtl/>
        </w:rPr>
      </w:pPr>
      <w:bookmarkStart w:id="2677" w:name="_Toc9114604"/>
      <w:bookmarkStart w:id="2678" w:name="_Toc9149647"/>
      <w:bookmarkStart w:id="2679" w:name="_Toc9289832"/>
      <w:bookmarkStart w:id="2680" w:name="_Toc11573478"/>
      <w:r w:rsidRPr="0050146A">
        <w:rPr>
          <w:rFonts w:hint="cs"/>
          <w:rtl/>
        </w:rPr>
        <w:t>דברי הריטב"א דא"צ קפילא מסיח לפי תומו דכיון ש</w:t>
      </w:r>
      <w:bookmarkEnd w:id="2677"/>
      <w:bookmarkEnd w:id="2678"/>
      <w:bookmarkEnd w:id="2679"/>
      <w:bookmarkEnd w:id="2680"/>
    </w:p>
    <w:p w:rsidR="00BE3B3A" w:rsidRPr="0050146A" w:rsidRDefault="00BE3B3A" w:rsidP="009F44AF">
      <w:pPr>
        <w:pStyle w:val="a"/>
        <w:rPr>
          <w:sz w:val="10"/>
          <w:szCs w:val="14"/>
          <w:rtl/>
        </w:rPr>
      </w:pPr>
      <w:r w:rsidRPr="0050146A">
        <w:rPr>
          <w:rFonts w:hint="cs"/>
          <w:rtl/>
        </w:rPr>
        <w:t xml:space="preserve">דא"צ שהקפילא יהיה מסיח לפי תומו כדכתב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Ref8315394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אלא כיון דהוא מילתא דעבידא לאיגלויי, דאחר שהוא אומר שאין בו טעם איסור אנו סומכים עליו וטועמים אותו, ולכן הוא חושש והוא זהיר שלא לשקר.</w:t>
      </w:r>
    </w:p>
    <w:p w:rsidR="00BE3B3A" w:rsidRPr="0050146A" w:rsidRDefault="00BE3B3A" w:rsidP="00BE3B3A">
      <w:pPr>
        <w:pStyle w:val="a2"/>
      </w:pPr>
      <w:bookmarkStart w:id="2681" w:name="_Toc9114605"/>
      <w:bookmarkStart w:id="2682" w:name="_Toc9149648"/>
      <w:bookmarkStart w:id="2683" w:name="_Toc9289833"/>
      <w:bookmarkStart w:id="2684" w:name="_Toc11573479"/>
      <w:r w:rsidRPr="0050146A">
        <w:rPr>
          <w:rFonts w:hint="cs"/>
          <w:rtl/>
        </w:rPr>
        <w:t>דברי רבינו יהונתן דהקפילא חושש שיתנו לקפילא אחר לטעום אחריו</w:t>
      </w:r>
      <w:bookmarkEnd w:id="2681"/>
      <w:bookmarkEnd w:id="2682"/>
      <w:bookmarkEnd w:id="2683"/>
      <w:bookmarkEnd w:id="2684"/>
    </w:p>
    <w:p w:rsidR="00BE3B3A" w:rsidRPr="0050146A" w:rsidRDefault="00BE3B3A" w:rsidP="009F44AF">
      <w:pPr>
        <w:pStyle w:val="a"/>
        <w:rPr>
          <w:rStyle w:val="afa"/>
          <w:rtl/>
        </w:rPr>
      </w:pPr>
      <w:r w:rsidRPr="0050146A">
        <w:rPr>
          <w:rStyle w:val="af8"/>
          <w:rFonts w:hint="cs"/>
          <w:rtl/>
        </w:rPr>
        <w:t>ורבינו יהונתן</w:t>
      </w:r>
      <w:r w:rsidRPr="0050146A">
        <w:rPr>
          <w:rFonts w:hint="cs"/>
          <w:rtl/>
        </w:rPr>
        <w:t xml:space="preserve"> </w:t>
      </w:r>
      <w:r w:rsidRPr="0050146A">
        <w:rPr>
          <w:rStyle w:val="af6"/>
          <w:rFonts w:eastAsia="Guttman Hodes" w:hint="cs"/>
          <w:rtl/>
        </w:rPr>
        <w:t xml:space="preserve">(ד"ה ואמור) </w:t>
      </w:r>
      <w:r w:rsidRPr="0050146A">
        <w:rPr>
          <w:rFonts w:hint="cs"/>
          <w:rtl/>
        </w:rPr>
        <w:t xml:space="preserve">כתב דהקפילא אינו משקר דלא מרע אנפשיה, כיון שסובר שלא סומכים רק עליו, ויטעימו גם קפילא אחר. </w:t>
      </w:r>
      <w:r w:rsidRPr="0050146A">
        <w:rPr>
          <w:rStyle w:val="afa"/>
          <w:rFonts w:hint="cs"/>
          <w:rtl/>
        </w:rPr>
        <w:t xml:space="preserve">[ולא מחמת דאנו נטעם אח"כ עפ"י דבריו, כדכתבו </w:t>
      </w:r>
      <w:r w:rsidRPr="0050146A">
        <w:rPr>
          <w:rStyle w:val="affa"/>
          <w:rFonts w:hint="cs"/>
          <w:rtl/>
        </w:rPr>
        <w:t>הרא"ה והריטב"א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Ref9112729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קיא)</w:t>
      </w:r>
      <w:r w:rsidRPr="0050146A">
        <w:rPr>
          <w:rStyle w:val="aff6"/>
          <w:rtl/>
        </w:rPr>
        <w:fldChar w:fldCharType="end"/>
      </w:r>
      <w:r w:rsidRPr="0050146A">
        <w:rPr>
          <w:rStyle w:val="afa"/>
          <w:rFonts w:hint="cs"/>
          <w:rtl/>
        </w:rPr>
        <w:t>].</w:t>
      </w:r>
    </w:p>
    <w:p w:rsidR="00BE3B3A" w:rsidRPr="0050146A" w:rsidRDefault="00BE3B3A" w:rsidP="00BE3B3A">
      <w:pPr>
        <w:pStyle w:val="1"/>
        <w:rPr>
          <w:rtl/>
        </w:rPr>
      </w:pPr>
      <w:bookmarkStart w:id="2685" w:name="_Toc9289834"/>
      <w:bookmarkStart w:id="2686" w:name="_Toc11573480"/>
      <w:bookmarkStart w:id="2687" w:name="_Toc9149649"/>
      <w:r w:rsidRPr="0050146A">
        <w:rPr>
          <w:rFonts w:hint="cs"/>
          <w:rtl/>
        </w:rPr>
        <w:t>בביאור דעת הרא"ש אי צריך רק מסל"ת או גם אומן</w:t>
      </w:r>
      <w:bookmarkEnd w:id="2685"/>
      <w:bookmarkEnd w:id="2686"/>
    </w:p>
    <w:p w:rsidR="00BE3B3A" w:rsidRPr="0050146A" w:rsidRDefault="00BE3B3A" w:rsidP="00BE3B3A">
      <w:pPr>
        <w:pStyle w:val="a2"/>
        <w:rPr>
          <w:rtl/>
        </w:rPr>
      </w:pPr>
      <w:bookmarkStart w:id="2688" w:name="_Toc9289835"/>
      <w:bookmarkStart w:id="2689" w:name="_Toc11573481"/>
      <w:r w:rsidRPr="0050146A">
        <w:rPr>
          <w:rFonts w:hint="cs"/>
          <w:rtl/>
        </w:rPr>
        <w:t>ביאורי הטור והתרוה"ד ברא"ש שצריך גם שיהיה אומן וגם מסל"ת ורק בכה"ג נאמן</w:t>
      </w:r>
      <w:bookmarkEnd w:id="2687"/>
      <w:bookmarkEnd w:id="2688"/>
      <w:bookmarkEnd w:id="2689"/>
      <w:r w:rsidRPr="0050146A">
        <w:rPr>
          <w:rFonts w:hint="cs"/>
          <w:rtl/>
        </w:rPr>
        <w:t xml:space="preserve"> </w:t>
      </w:r>
    </w:p>
    <w:p w:rsidR="00BE3B3A" w:rsidRPr="0050146A" w:rsidRDefault="00BE3B3A" w:rsidP="009F44AF">
      <w:pPr>
        <w:pStyle w:val="a"/>
        <w:rPr>
          <w:rtl/>
        </w:rPr>
      </w:pPr>
      <w:bookmarkStart w:id="2690" w:name="_Ref9148601"/>
      <w:bookmarkStart w:id="2691" w:name="_Ref9114191"/>
      <w:r w:rsidRPr="0050146A">
        <w:rPr>
          <w:rFonts w:hint="cs"/>
          <w:rtl/>
        </w:rPr>
        <w:t xml:space="preserve">כתב </w:t>
      </w:r>
      <w:r w:rsidRPr="0050146A">
        <w:rPr>
          <w:rStyle w:val="af8"/>
          <w:rFonts w:hint="cs"/>
          <w:rtl/>
        </w:rPr>
        <w:t xml:space="preserve">הרא"ש </w:t>
      </w:r>
      <w:r w:rsidRPr="0050146A">
        <w:rPr>
          <w:rStyle w:val="af6"/>
          <w:rFonts w:eastAsia="Guttman Hodes" w:hint="cs"/>
          <w:rtl/>
        </w:rPr>
        <w:t>(סי' כ"ה)</w:t>
      </w:r>
      <w:r w:rsidRPr="0050146A">
        <w:rPr>
          <w:rFonts w:hint="cs"/>
          <w:rtl/>
        </w:rPr>
        <w:t xml:space="preserve"> דמבואר מדברי ריו"ח דמותר לסמוך על הקפילא במסיח לפי תומו, וכתב </w:t>
      </w:r>
      <w:r w:rsidRPr="0050146A">
        <w:rPr>
          <w:rStyle w:val="af8"/>
          <w:rFonts w:hint="cs"/>
          <w:rtl/>
        </w:rPr>
        <w:t>הטור</w:t>
      </w:r>
      <w:r w:rsidRPr="0050146A">
        <w:rPr>
          <w:rFonts w:hint="cs"/>
          <w:rtl/>
        </w:rPr>
        <w:t xml:space="preserve"> </w:t>
      </w:r>
      <w:r w:rsidRPr="0050146A">
        <w:rPr>
          <w:rStyle w:val="af6"/>
          <w:rFonts w:eastAsia="Guttman Hodes" w:hint="cs"/>
          <w:rtl/>
        </w:rPr>
        <w:t>(סי' צ"ח א')</w:t>
      </w:r>
      <w:r w:rsidRPr="0050146A">
        <w:rPr>
          <w:rFonts w:hint="cs"/>
          <w:rtl/>
        </w:rPr>
        <w:t xml:space="preserve"> דדעת </w:t>
      </w:r>
      <w:r w:rsidRPr="0050146A">
        <w:rPr>
          <w:rStyle w:val="af8"/>
          <w:rFonts w:hint="cs"/>
          <w:rtl/>
        </w:rPr>
        <w:t xml:space="preserve">הרא"ש </w:t>
      </w:r>
      <w:r w:rsidRPr="0050146A">
        <w:rPr>
          <w:rFonts w:hint="cs"/>
          <w:rtl/>
        </w:rPr>
        <w:t xml:space="preserve">דבעינן דוקא קפילא שיהיה אומן, ונאמן דוקא כשהוא מסיח לפי תומו, כדכתב </w:t>
      </w:r>
      <w:r w:rsidRPr="0050146A">
        <w:rPr>
          <w:rStyle w:val="af8"/>
          <w:rFonts w:hint="cs"/>
          <w:rtl/>
        </w:rPr>
        <w:t>הרא"ש</w:t>
      </w:r>
      <w:r w:rsidRPr="0050146A">
        <w:rPr>
          <w:rFonts w:hint="cs"/>
          <w:rtl/>
        </w:rPr>
        <w:t xml:space="preserve"> שצריך שלא ידע שסומכין עליו לענין איסור והיתר, וביאר </w:t>
      </w:r>
      <w:r w:rsidRPr="0050146A">
        <w:rPr>
          <w:rStyle w:val="af8"/>
          <w:rFonts w:hint="cs"/>
          <w:rtl/>
        </w:rPr>
        <w:t>התרוה"ד</w:t>
      </w:r>
      <w:r w:rsidRPr="0050146A">
        <w:rPr>
          <w:rFonts w:hint="cs"/>
          <w:rtl/>
        </w:rPr>
        <w:t xml:space="preserve"> </w:t>
      </w:r>
      <w:r w:rsidRPr="0050146A">
        <w:rPr>
          <w:rStyle w:val="af6"/>
          <w:rFonts w:eastAsia="Guttman Hodes" w:hint="cs"/>
          <w:rtl/>
        </w:rPr>
        <w:t>(סי ע"ט)</w:t>
      </w:r>
      <w:r w:rsidRPr="0050146A">
        <w:rPr>
          <w:rFonts w:hint="cs"/>
          <w:rtl/>
        </w:rPr>
        <w:t xml:space="preserve"> דכוונת </w:t>
      </w:r>
      <w:r w:rsidRPr="0050146A">
        <w:rPr>
          <w:rStyle w:val="af8"/>
          <w:rFonts w:hint="cs"/>
          <w:rtl/>
        </w:rPr>
        <w:t>הטור</w:t>
      </w:r>
      <w:r w:rsidRPr="0050146A">
        <w:rPr>
          <w:rFonts w:hint="cs"/>
          <w:rtl/>
        </w:rPr>
        <w:t xml:space="preserve"> לומר דזוהי מסקנת </w:t>
      </w:r>
      <w:r w:rsidRPr="0050146A">
        <w:rPr>
          <w:rStyle w:val="af8"/>
          <w:rFonts w:hint="cs"/>
          <w:rtl/>
        </w:rPr>
        <w:t>הרא"ש</w:t>
      </w:r>
      <w:r w:rsidRPr="0050146A">
        <w:rPr>
          <w:rFonts w:hint="cs"/>
          <w:rtl/>
        </w:rPr>
        <w:t xml:space="preserve"> שצריך גם שהקפילא יהיה אומן דלא מרע אומנותיה, וגם שיהיה מסיח לפי תומו, ורק בכה"ג סמכינן עליה שאינו משקר,ועי' במה שהקשה </w:t>
      </w:r>
      <w:r w:rsidRPr="0050146A">
        <w:rPr>
          <w:rStyle w:val="af8"/>
          <w:rFonts w:hint="cs"/>
          <w:rtl/>
        </w:rPr>
        <w:t>הש"ך</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Ref9148394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קל)</w:t>
      </w:r>
      <w:r w:rsidRPr="0050146A">
        <w:rPr>
          <w:rStyle w:val="af6"/>
          <w:rFonts w:eastAsia="Guttman Hodes"/>
          <w:rtl/>
        </w:rPr>
        <w:fldChar w:fldCharType="end"/>
      </w:r>
      <w:r w:rsidRPr="0050146A">
        <w:rPr>
          <w:rFonts w:hint="cs"/>
          <w:rtl/>
        </w:rPr>
        <w:t xml:space="preserve"> בשם </w:t>
      </w:r>
      <w:r w:rsidRPr="0050146A">
        <w:rPr>
          <w:rStyle w:val="af8"/>
          <w:rFonts w:hint="cs"/>
          <w:rtl/>
        </w:rPr>
        <w:t>עבודת הגרשוני</w:t>
      </w:r>
      <w:r w:rsidRPr="0050146A">
        <w:rPr>
          <w:rFonts w:hint="cs"/>
          <w:rtl/>
        </w:rPr>
        <w:t xml:space="preserve"> על דברי </w:t>
      </w:r>
      <w:r w:rsidRPr="0050146A">
        <w:rPr>
          <w:rStyle w:val="af8"/>
          <w:rFonts w:hint="cs"/>
          <w:rtl/>
        </w:rPr>
        <w:t>התרוה"ד</w:t>
      </w:r>
      <w:r w:rsidRPr="0050146A">
        <w:rPr>
          <w:rFonts w:hint="cs"/>
          <w:rtl/>
        </w:rPr>
        <w:t>.</w:t>
      </w:r>
      <w:bookmarkEnd w:id="2690"/>
    </w:p>
    <w:p w:rsidR="00BE3B3A" w:rsidRPr="0050146A" w:rsidRDefault="00BE3B3A" w:rsidP="00BE3B3A">
      <w:pPr>
        <w:pStyle w:val="a2"/>
        <w:rPr>
          <w:rtl/>
        </w:rPr>
      </w:pPr>
      <w:bookmarkStart w:id="2692" w:name="_Toc9149650"/>
      <w:bookmarkStart w:id="2693" w:name="_Toc9289836"/>
      <w:bookmarkStart w:id="2694" w:name="_Toc11573482"/>
      <w:r w:rsidRPr="0050146A">
        <w:rPr>
          <w:rFonts w:hint="cs"/>
          <w:rtl/>
        </w:rPr>
        <w:t>דברי הב"י דלא מפורש ברא"ש שצריך שיהיה קפילא אומן</w:t>
      </w:r>
      <w:bookmarkEnd w:id="2692"/>
      <w:bookmarkEnd w:id="2693"/>
      <w:bookmarkEnd w:id="2694"/>
    </w:p>
    <w:p w:rsidR="00BE3B3A" w:rsidRPr="0050146A" w:rsidRDefault="00BE3B3A" w:rsidP="009F44AF">
      <w:pPr>
        <w:pStyle w:val="a"/>
        <w:rPr>
          <w:rtl/>
        </w:rPr>
      </w:pPr>
      <w:bookmarkStart w:id="2695" w:name="_Ref9148585"/>
      <w:r w:rsidRPr="0050146A">
        <w:rPr>
          <w:rFonts w:hint="cs"/>
          <w:rtl/>
        </w:rPr>
        <w:t xml:space="preserve">אך </w:t>
      </w:r>
      <w:r w:rsidRPr="0050146A">
        <w:rPr>
          <w:rStyle w:val="af8"/>
          <w:rFonts w:hint="cs"/>
          <w:rtl/>
        </w:rPr>
        <w:t xml:space="preserve">הב"י </w:t>
      </w:r>
      <w:r w:rsidRPr="0050146A">
        <w:rPr>
          <w:rStyle w:val="af6"/>
          <w:rFonts w:eastAsia="Guttman Hodes" w:hint="cs"/>
          <w:rtl/>
        </w:rPr>
        <w:t>(סי' צ"ח א' ד"ה והרא"ש)</w:t>
      </w:r>
      <w:r w:rsidRPr="0050146A">
        <w:rPr>
          <w:rFonts w:hint="cs"/>
          <w:rtl/>
        </w:rPr>
        <w:t xml:space="preserve"> כתב </w:t>
      </w:r>
      <w:r w:rsidRPr="0050146A">
        <w:rPr>
          <w:rStyle w:val="af8"/>
          <w:rFonts w:hint="cs"/>
          <w:rtl/>
        </w:rPr>
        <w:t xml:space="preserve">דהרא"ש </w:t>
      </w:r>
      <w:r w:rsidRPr="0050146A">
        <w:rPr>
          <w:rFonts w:hint="cs"/>
          <w:rtl/>
        </w:rPr>
        <w:t xml:space="preserve">כתב בפירוש רק שצריך שהקפילא יהיה מסיח לפי תומו, אך לא מפורש בדברי </w:t>
      </w:r>
      <w:r w:rsidRPr="0050146A">
        <w:rPr>
          <w:rStyle w:val="af8"/>
          <w:rFonts w:hint="cs"/>
          <w:rtl/>
        </w:rPr>
        <w:t xml:space="preserve">הרא"ש </w:t>
      </w:r>
      <w:r w:rsidRPr="0050146A">
        <w:rPr>
          <w:rFonts w:hint="cs"/>
          <w:rtl/>
        </w:rPr>
        <w:t xml:space="preserve">דדוקא קפילא נאמן ולא סתם בנ"א, וכתב </w:t>
      </w:r>
      <w:r w:rsidRPr="0050146A">
        <w:rPr>
          <w:rStyle w:val="af8"/>
          <w:rFonts w:hint="cs"/>
          <w:rtl/>
        </w:rPr>
        <w:t xml:space="preserve">הט"ז </w:t>
      </w:r>
      <w:r w:rsidRPr="0050146A">
        <w:rPr>
          <w:rStyle w:val="af6"/>
          <w:rFonts w:eastAsia="Guttman Hodes" w:hint="cs"/>
          <w:rtl/>
        </w:rPr>
        <w:t>(סי' צ"ח סק"ב)</w:t>
      </w:r>
      <w:r w:rsidRPr="0050146A">
        <w:rPr>
          <w:rFonts w:hint="cs"/>
          <w:rtl/>
        </w:rPr>
        <w:t xml:space="preserve"> דכוונת </w:t>
      </w:r>
      <w:r w:rsidRPr="0050146A">
        <w:rPr>
          <w:rStyle w:val="af8"/>
          <w:rFonts w:hint="cs"/>
          <w:rtl/>
        </w:rPr>
        <w:t>הב"י</w:t>
      </w:r>
      <w:r w:rsidRPr="0050146A">
        <w:rPr>
          <w:rFonts w:hint="cs"/>
          <w:rtl/>
        </w:rPr>
        <w:t xml:space="preserve"> לבאר כן בדברי הטור, ויעוי' במ"ש </w:t>
      </w:r>
      <w:r w:rsidRPr="0050146A">
        <w:rPr>
          <w:rStyle w:val="af8"/>
          <w:rFonts w:hint="cs"/>
          <w:rtl/>
        </w:rPr>
        <w:t xml:space="preserve">הט"ז </w:t>
      </w:r>
      <w:r w:rsidRPr="0050146A">
        <w:rPr>
          <w:rFonts w:hint="cs"/>
          <w:rtl/>
        </w:rPr>
        <w:t xml:space="preserve">דיש משמעות בדברי </w:t>
      </w:r>
      <w:r w:rsidRPr="0050146A">
        <w:rPr>
          <w:rStyle w:val="af8"/>
          <w:rFonts w:hint="cs"/>
          <w:rtl/>
        </w:rPr>
        <w:t xml:space="preserve">הרא"ש </w:t>
      </w:r>
      <w:r w:rsidRPr="0050146A">
        <w:rPr>
          <w:rFonts w:hint="cs"/>
          <w:rtl/>
        </w:rPr>
        <w:t xml:space="preserve">כדכתב </w:t>
      </w:r>
      <w:r w:rsidRPr="0050146A">
        <w:rPr>
          <w:rStyle w:val="af8"/>
          <w:rFonts w:hint="cs"/>
          <w:rtl/>
        </w:rPr>
        <w:t>הטור</w:t>
      </w:r>
      <w:r w:rsidRPr="0050146A">
        <w:rPr>
          <w:rFonts w:hint="cs"/>
          <w:rtl/>
        </w:rPr>
        <w:t xml:space="preserve"> בשמו.</w:t>
      </w:r>
      <w:bookmarkEnd w:id="2691"/>
      <w:bookmarkEnd w:id="2695"/>
    </w:p>
    <w:p w:rsidR="00BE3B3A" w:rsidRPr="0050146A" w:rsidRDefault="00BE3B3A" w:rsidP="00BE3B3A">
      <w:pPr>
        <w:pStyle w:val="1"/>
        <w:rPr>
          <w:rtl/>
        </w:rPr>
      </w:pPr>
      <w:bookmarkStart w:id="2696" w:name="_Toc8578677"/>
      <w:bookmarkStart w:id="2697" w:name="_Toc8765452"/>
      <w:bookmarkStart w:id="2698" w:name="_Toc8923266"/>
      <w:bookmarkStart w:id="2699" w:name="_Toc9108668"/>
      <w:bookmarkStart w:id="2700" w:name="_Toc9110237"/>
      <w:bookmarkStart w:id="2701" w:name="_Toc9114614"/>
      <w:bookmarkStart w:id="2702" w:name="_Toc9149651"/>
      <w:bookmarkStart w:id="2703" w:name="_Toc9289837"/>
      <w:bookmarkStart w:id="2704" w:name="_Toc11573483"/>
      <w:bookmarkStart w:id="2705" w:name="_Toc8923265"/>
      <w:bookmarkStart w:id="2706" w:name="_Toc9108667"/>
      <w:bookmarkStart w:id="2707" w:name="_Toc9110236"/>
      <w:bookmarkStart w:id="2708" w:name="_Toc9114611"/>
      <w:r w:rsidRPr="0050146A">
        <w:rPr>
          <w:rFonts w:hint="cs"/>
          <w:rtl/>
        </w:rPr>
        <w:t>דעת הריב"ש</w:t>
      </w:r>
      <w:bookmarkEnd w:id="2696"/>
      <w:bookmarkEnd w:id="2697"/>
      <w:bookmarkEnd w:id="2698"/>
      <w:bookmarkEnd w:id="2699"/>
      <w:bookmarkEnd w:id="2700"/>
      <w:bookmarkEnd w:id="2701"/>
      <w:r w:rsidRPr="0050146A">
        <w:rPr>
          <w:rFonts w:hint="cs"/>
          <w:rtl/>
        </w:rPr>
        <w:t xml:space="preserve"> דקפילא אומן נאמן וסתם עכו"ם נאמן במסל"ת</w:t>
      </w:r>
      <w:bookmarkEnd w:id="2702"/>
      <w:bookmarkEnd w:id="2703"/>
      <w:bookmarkEnd w:id="2704"/>
    </w:p>
    <w:p w:rsidR="00BE3B3A" w:rsidRPr="0050146A" w:rsidRDefault="00BE3B3A" w:rsidP="00BE3B3A">
      <w:pPr>
        <w:pStyle w:val="a2"/>
        <w:rPr>
          <w:rtl/>
        </w:rPr>
      </w:pPr>
      <w:bookmarkStart w:id="2709" w:name="_Toc9149652"/>
      <w:bookmarkStart w:id="2710" w:name="_Toc9289838"/>
      <w:bookmarkStart w:id="2711" w:name="_Toc11573484"/>
      <w:r w:rsidRPr="0050146A">
        <w:rPr>
          <w:rFonts w:hint="cs"/>
          <w:rtl/>
        </w:rPr>
        <w:t>דברי הריב"ש דקפילא נאמן אף שאינו מסל"ת וכל עכו"ם נאמן במסל"ת רק בעבידא לאיגלויי</w:t>
      </w:r>
      <w:bookmarkEnd w:id="2709"/>
      <w:bookmarkEnd w:id="2710"/>
      <w:bookmarkEnd w:id="2711"/>
    </w:p>
    <w:p w:rsidR="00010471" w:rsidRPr="0050146A" w:rsidRDefault="00BE3B3A" w:rsidP="009F44AF">
      <w:pPr>
        <w:pStyle w:val="a"/>
        <w:rPr>
          <w:rtl/>
        </w:rPr>
      </w:pPr>
      <w:bookmarkStart w:id="2712" w:name="_Ref8551788"/>
      <w:bookmarkStart w:id="2713" w:name="_Ref8578246"/>
      <w:bookmarkStart w:id="2714" w:name="_Ref9147378"/>
      <w:r w:rsidRPr="0050146A">
        <w:rPr>
          <w:rFonts w:hint="cs"/>
          <w:rtl/>
        </w:rPr>
        <w:t xml:space="preserve">כתב </w:t>
      </w:r>
      <w:r w:rsidRPr="0050146A">
        <w:rPr>
          <w:rStyle w:val="af8"/>
          <w:rFonts w:hint="cs"/>
          <w:rtl/>
        </w:rPr>
        <w:t>הריב"ש</w:t>
      </w:r>
      <w:r w:rsidRPr="0050146A">
        <w:rPr>
          <w:rFonts w:hint="cs"/>
          <w:rtl/>
        </w:rPr>
        <w:t xml:space="preserve"> </w:t>
      </w:r>
      <w:r w:rsidRPr="0050146A">
        <w:rPr>
          <w:rStyle w:val="af6"/>
          <w:rFonts w:eastAsia="Guttman Hodes" w:hint="cs"/>
          <w:rtl/>
        </w:rPr>
        <w:t xml:space="preserve">(סי'  תל"ג) </w:t>
      </w:r>
      <w:r w:rsidRPr="0050146A">
        <w:rPr>
          <w:rFonts w:hint="cs"/>
          <w:rtl/>
        </w:rPr>
        <w:t xml:space="preserve">דדוקא קפילא נאמן, כיון שהוא אומן ולא מרע אומנתיה, ואף אי נימא דהא דנקטה הגמ' קפילא הוא כיון שהוא נאמן אף כשאינו מסיח לפי תומו, אך באמת כל עכו"ם נאמן במסיח לפי תומו, מ"מ כתב </w:t>
      </w:r>
      <w:r w:rsidRPr="0050146A">
        <w:rPr>
          <w:rStyle w:val="af8"/>
          <w:rFonts w:hint="cs"/>
          <w:rtl/>
        </w:rPr>
        <w:t>הריב"ש</w:t>
      </w:r>
      <w:r w:rsidRPr="0050146A">
        <w:rPr>
          <w:rFonts w:hint="cs"/>
          <w:rtl/>
        </w:rPr>
        <w:t xml:space="preserve"> דהנאמנות במסיח לפי תומו הוא רק כיון שאפשר לעמוד על דבריו אח"כ, ולכן אינו משקר במסיח לפי תומו בדבר שימצא אח"כ שקרן, וכתב </w:t>
      </w:r>
      <w:r w:rsidRPr="0050146A">
        <w:rPr>
          <w:rStyle w:val="af8"/>
          <w:rFonts w:hint="cs"/>
          <w:rtl/>
        </w:rPr>
        <w:t>הריב"ש</w:t>
      </w:r>
      <w:r w:rsidRPr="0050146A">
        <w:rPr>
          <w:rFonts w:hint="cs"/>
          <w:rtl/>
        </w:rPr>
        <w:t xml:space="preserve"> דבמקום שא"א לעמוד עליו אח"כ, העכו"ם אינו נאמן במסיח לפי תומו, דהוא משקר אף שהוא מסיח לפי תומו, ורק בעדות אשה הוא נאמן</w:t>
      </w:r>
      <w:bookmarkEnd w:id="2712"/>
      <w:r w:rsidRPr="0050146A">
        <w:rPr>
          <w:rFonts w:hint="cs"/>
          <w:rtl/>
        </w:rPr>
        <w:t xml:space="preserve">, והוסיף </w:t>
      </w:r>
      <w:r w:rsidRPr="0050146A">
        <w:rPr>
          <w:rStyle w:val="af8"/>
          <w:rFonts w:hint="cs"/>
          <w:rtl/>
        </w:rPr>
        <w:t>הריב"ש</w:t>
      </w:r>
      <w:r w:rsidRPr="0050146A">
        <w:rPr>
          <w:rFonts w:hint="cs"/>
          <w:rtl/>
        </w:rPr>
        <w:t xml:space="preserve"> דהיכא דלא עבידא לאיגלויי ויש חזקת איסור </w:t>
      </w:r>
      <w:bookmarkEnd w:id="2713"/>
      <w:r w:rsidRPr="0050146A">
        <w:rPr>
          <w:rFonts w:hint="cs"/>
          <w:rtl/>
        </w:rPr>
        <w:t>ודאי דאינו נאמן במסיח לפי תומו.</w:t>
      </w:r>
      <w:bookmarkEnd w:id="2714"/>
      <w:r w:rsidRPr="0050146A">
        <w:rPr>
          <w:rFonts w:hint="cs"/>
          <w:rtl/>
        </w:rPr>
        <w:t xml:space="preserve"> </w:t>
      </w:r>
    </w:p>
    <w:p w:rsidR="00BE3B3A" w:rsidRPr="0050146A" w:rsidRDefault="00BE3B3A" w:rsidP="00BE3B3A">
      <w:pPr>
        <w:pStyle w:val="a2"/>
        <w:rPr>
          <w:rtl/>
        </w:rPr>
      </w:pPr>
      <w:bookmarkStart w:id="2715" w:name="_Toc9149653"/>
      <w:bookmarkStart w:id="2716" w:name="_Toc9289839"/>
      <w:bookmarkStart w:id="2717" w:name="_Toc11573485"/>
      <w:r w:rsidRPr="0050146A">
        <w:rPr>
          <w:rFonts w:hint="cs"/>
          <w:rtl/>
        </w:rPr>
        <w:lastRenderedPageBreak/>
        <w:t>דברי הריב"ש דלשון קפילא הוא כיון שרק קפילא נאמן או כיון שהוא בקי בהכרת הטעם</w:t>
      </w:r>
      <w:bookmarkEnd w:id="2715"/>
      <w:bookmarkEnd w:id="2716"/>
      <w:bookmarkEnd w:id="2717"/>
    </w:p>
    <w:p w:rsidR="00BE3B3A" w:rsidRPr="0050146A" w:rsidRDefault="00BE3B3A" w:rsidP="009F44AF">
      <w:pPr>
        <w:pStyle w:val="a"/>
        <w:rPr>
          <w:rtl/>
        </w:rPr>
      </w:pPr>
      <w:bookmarkStart w:id="2718" w:name="_Ref9145295"/>
      <w:r w:rsidRPr="0050146A">
        <w:rPr>
          <w:rFonts w:hint="cs"/>
          <w:rtl/>
        </w:rPr>
        <w:t xml:space="preserve">וע"ע בדברי </w:t>
      </w:r>
      <w:r w:rsidRPr="0050146A">
        <w:rPr>
          <w:rStyle w:val="af8"/>
          <w:rFonts w:hint="cs"/>
          <w:rtl/>
        </w:rPr>
        <w:t>הריב"ש</w:t>
      </w:r>
      <w:r w:rsidRPr="0050146A">
        <w:rPr>
          <w:rFonts w:hint="cs"/>
          <w:rtl/>
        </w:rPr>
        <w:t xml:space="preserve"> </w:t>
      </w:r>
      <w:r w:rsidRPr="0050146A">
        <w:rPr>
          <w:rStyle w:val="af6"/>
          <w:rFonts w:eastAsia="Guttman Hodes" w:hint="cs"/>
          <w:rtl/>
        </w:rPr>
        <w:t>(סי' רפ"ח)</w:t>
      </w:r>
      <w:r w:rsidRPr="0050146A">
        <w:rPr>
          <w:rFonts w:hint="cs"/>
          <w:rtl/>
        </w:rPr>
        <w:t xml:space="preserve"> דכתב דלשון הגמ' "ליטעמיה קפילא" אין הכוונה דוקא לטעימה אלא לאכילה גמורה, אלא דנקטה הגמ' לשון טעימה כיון שבא להכיר הטעם, והא דצריך קפילא ולא אדם סתם הוא כיון דרק קפילא נאמן אבל עכו"ם אחר אינו נאמן, ועוד תירץ </w:t>
      </w:r>
      <w:r w:rsidRPr="0050146A">
        <w:rPr>
          <w:rStyle w:val="af8"/>
          <w:rFonts w:hint="cs"/>
          <w:rtl/>
        </w:rPr>
        <w:t>הריב"ש</w:t>
      </w:r>
      <w:r w:rsidRPr="0050146A">
        <w:rPr>
          <w:rFonts w:hint="cs"/>
          <w:rtl/>
        </w:rPr>
        <w:t xml:space="preserve"> דקפילא בקי יותר בהכרת הטעם.</w:t>
      </w:r>
      <w:bookmarkEnd w:id="2718"/>
    </w:p>
    <w:p w:rsidR="00BE3B3A" w:rsidRPr="0050146A" w:rsidRDefault="00BE3B3A" w:rsidP="00BE3B3A">
      <w:pPr>
        <w:pStyle w:val="1"/>
        <w:rPr>
          <w:rtl/>
        </w:rPr>
      </w:pPr>
      <w:bookmarkStart w:id="2719" w:name="_Toc9149654"/>
      <w:bookmarkStart w:id="2720" w:name="_Toc9289840"/>
      <w:bookmarkStart w:id="2721" w:name="_Toc11573486"/>
      <w:r w:rsidRPr="0050146A">
        <w:rPr>
          <w:rFonts w:hint="cs"/>
          <w:rtl/>
        </w:rPr>
        <w:t>בביאור דעת הרמב"ם</w:t>
      </w:r>
      <w:bookmarkEnd w:id="2705"/>
      <w:bookmarkEnd w:id="2706"/>
      <w:bookmarkEnd w:id="2707"/>
      <w:bookmarkEnd w:id="2708"/>
      <w:r w:rsidRPr="0050146A">
        <w:rPr>
          <w:rFonts w:hint="cs"/>
          <w:rtl/>
        </w:rPr>
        <w:t xml:space="preserve"> דהשמיט קפילא וכתב סתם עכו"ם</w:t>
      </w:r>
      <w:bookmarkEnd w:id="2719"/>
      <w:bookmarkEnd w:id="2720"/>
      <w:bookmarkEnd w:id="2721"/>
    </w:p>
    <w:p w:rsidR="00BE3B3A" w:rsidRPr="0050146A" w:rsidRDefault="00BE3B3A" w:rsidP="00BE3B3A">
      <w:pPr>
        <w:pStyle w:val="a2"/>
        <w:rPr>
          <w:rtl/>
        </w:rPr>
      </w:pPr>
      <w:bookmarkStart w:id="2722" w:name="_Toc9114612"/>
      <w:bookmarkStart w:id="2723" w:name="_Toc9149655"/>
      <w:bookmarkStart w:id="2724" w:name="_Toc9289841"/>
      <w:bookmarkStart w:id="2725" w:name="_Toc11573487"/>
      <w:r w:rsidRPr="0050146A">
        <w:rPr>
          <w:rFonts w:hint="cs"/>
          <w:rtl/>
        </w:rPr>
        <w:t>דברי הרמב"ם דבנתערב איסור בהיתר טועם העכו"ם וסומכים עליו</w:t>
      </w:r>
      <w:bookmarkEnd w:id="2722"/>
      <w:bookmarkEnd w:id="2723"/>
      <w:bookmarkEnd w:id="2724"/>
      <w:bookmarkEnd w:id="2725"/>
    </w:p>
    <w:p w:rsidR="00BE3B3A" w:rsidRPr="0050146A" w:rsidRDefault="00BE3B3A" w:rsidP="009F44AF">
      <w:pPr>
        <w:pStyle w:val="a"/>
        <w:rPr>
          <w:rtl/>
        </w:rPr>
      </w:pPr>
      <w:r w:rsidRPr="0050146A">
        <w:rPr>
          <w:rFonts w:hint="cs"/>
          <w:rtl/>
        </w:rPr>
        <w:t xml:space="preserve">כתב </w:t>
      </w:r>
      <w:r w:rsidRPr="0050146A">
        <w:rPr>
          <w:rStyle w:val="af8"/>
          <w:rFonts w:hint="cs"/>
          <w:rtl/>
        </w:rPr>
        <w:t>הרמב"ם</w:t>
      </w:r>
      <w:r w:rsidRPr="0050146A">
        <w:rPr>
          <w:rStyle w:val="af6"/>
          <w:rFonts w:eastAsia="Guttman Hodes" w:hint="cs"/>
          <w:rtl/>
        </w:rPr>
        <w:t xml:space="preserve"> (מאכ"א פט"ו ה"ל) </w:t>
      </w:r>
      <w:r w:rsidRPr="0050146A">
        <w:rPr>
          <w:rFonts w:hint="cs"/>
          <w:rtl/>
        </w:rPr>
        <w:t>דבתערובת איסור טועם העכו"ם וסומכין עליו.</w:t>
      </w:r>
    </w:p>
    <w:p w:rsidR="00BE3B3A" w:rsidRPr="0050146A" w:rsidRDefault="00BE3B3A" w:rsidP="00BE3B3A">
      <w:pPr>
        <w:pStyle w:val="a2"/>
        <w:rPr>
          <w:rtl/>
        </w:rPr>
      </w:pPr>
      <w:bookmarkStart w:id="2726" w:name="_Toc9114613"/>
      <w:bookmarkStart w:id="2727" w:name="_Toc9149656"/>
      <w:bookmarkStart w:id="2728" w:name="_Toc9289842"/>
      <w:bookmarkStart w:id="2729" w:name="_Toc11573488"/>
      <w:r w:rsidRPr="0050146A">
        <w:rPr>
          <w:rFonts w:hint="cs"/>
          <w:rtl/>
        </w:rPr>
        <w:t>ביאור הב"י ברמב"ם דא"צ דוקא קפילא וכן א"צ מסיח לפי תומו ונאמן אף שיודע שסומכין עליו</w:t>
      </w:r>
      <w:bookmarkEnd w:id="2726"/>
      <w:bookmarkEnd w:id="2727"/>
      <w:bookmarkEnd w:id="2728"/>
      <w:bookmarkEnd w:id="2729"/>
    </w:p>
    <w:p w:rsidR="00BE3B3A" w:rsidRPr="0050146A" w:rsidRDefault="00BE3B3A" w:rsidP="009F44AF">
      <w:pPr>
        <w:pStyle w:val="a"/>
        <w:rPr>
          <w:rtl/>
        </w:rPr>
      </w:pPr>
      <w:bookmarkStart w:id="2730" w:name="_Ref8578499"/>
      <w:r w:rsidRPr="0050146A">
        <w:rPr>
          <w:rFonts w:hint="cs"/>
          <w:rtl/>
        </w:rPr>
        <w:t xml:space="preserve">וכתב </w:t>
      </w:r>
      <w:r w:rsidRPr="0050146A">
        <w:rPr>
          <w:rStyle w:val="af8"/>
          <w:rFonts w:hint="cs"/>
          <w:rtl/>
        </w:rPr>
        <w:t>הב"י</w:t>
      </w:r>
      <w:r w:rsidRPr="0050146A">
        <w:rPr>
          <w:rFonts w:hint="cs"/>
          <w:rtl/>
        </w:rPr>
        <w:t xml:space="preserve"> </w:t>
      </w:r>
      <w:r w:rsidRPr="0050146A">
        <w:rPr>
          <w:rStyle w:val="af6"/>
          <w:rFonts w:eastAsia="Guttman Hodes" w:hint="cs"/>
          <w:rtl/>
        </w:rPr>
        <w:t xml:space="preserve">(צ"ח א' ד"ה ומדברי הרמב"ם) </w:t>
      </w:r>
      <w:r w:rsidRPr="0050146A">
        <w:rPr>
          <w:rFonts w:hint="cs"/>
          <w:rtl/>
        </w:rPr>
        <w:t xml:space="preserve">דכיון שלא הזכיר </w:t>
      </w:r>
      <w:r w:rsidRPr="0050146A">
        <w:rPr>
          <w:rStyle w:val="af8"/>
          <w:rFonts w:hint="cs"/>
          <w:rtl/>
        </w:rPr>
        <w:t>הרמב"ם</w:t>
      </w:r>
      <w:r w:rsidRPr="0050146A">
        <w:rPr>
          <w:rFonts w:hint="cs"/>
          <w:rtl/>
        </w:rPr>
        <w:t xml:space="preserve"> קפילא, מבואר דסומכים על כל עכו"ם, והא דנקטה הגמ' קפילא הוא לאורחא דמילתא, או דכל מי שוטעם דבר קרינן ליה קפילא דבזמן שהוא טועם הוא עושה מעשה של קפילא, וכתב </w:t>
      </w:r>
      <w:r w:rsidRPr="0050146A">
        <w:rPr>
          <w:rStyle w:val="af8"/>
          <w:rFonts w:hint="cs"/>
          <w:rtl/>
        </w:rPr>
        <w:t>הב"י</w:t>
      </w:r>
      <w:r w:rsidRPr="0050146A">
        <w:rPr>
          <w:rFonts w:hint="cs"/>
          <w:rtl/>
        </w:rPr>
        <w:t xml:space="preserve"> דכיון של כתב </w:t>
      </w:r>
      <w:r w:rsidRPr="0050146A">
        <w:rPr>
          <w:rStyle w:val="af8"/>
          <w:rFonts w:hint="cs"/>
          <w:rtl/>
        </w:rPr>
        <w:t>הרמב"ם</w:t>
      </w:r>
      <w:r w:rsidRPr="0050146A">
        <w:rPr>
          <w:rFonts w:hint="cs"/>
          <w:rtl/>
        </w:rPr>
        <w:t xml:space="preserve"> שהוא נאמן דוקא במסיח לפי תומו </w:t>
      </w:r>
      <w:r w:rsidRPr="0050146A">
        <w:rPr>
          <w:rStyle w:val="afa"/>
          <w:rFonts w:hint="cs"/>
          <w:rtl/>
        </w:rPr>
        <w:t>[</w:t>
      </w:r>
      <w:r w:rsidRPr="0050146A">
        <w:rPr>
          <w:rStyle w:val="affa"/>
          <w:rFonts w:hint="cs"/>
          <w:rtl/>
        </w:rPr>
        <w:t>כרש"י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Ref8315394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קא)</w:t>
      </w:r>
      <w:r w:rsidRPr="0050146A">
        <w:rPr>
          <w:rStyle w:val="aff6"/>
          <w:rtl/>
        </w:rPr>
        <w:fldChar w:fldCharType="end"/>
      </w:r>
      <w:r w:rsidRPr="0050146A">
        <w:rPr>
          <w:rStyle w:val="afa"/>
          <w:rFonts w:hint="cs"/>
          <w:rtl/>
        </w:rPr>
        <w:t>]</w:t>
      </w:r>
      <w:r w:rsidRPr="0050146A">
        <w:rPr>
          <w:rFonts w:hint="cs"/>
          <w:rtl/>
        </w:rPr>
        <w:t xml:space="preserve">, מבואר דס"ל </w:t>
      </w:r>
      <w:r w:rsidRPr="0050146A">
        <w:rPr>
          <w:rStyle w:val="af8"/>
          <w:rFonts w:hint="cs"/>
          <w:rtl/>
        </w:rPr>
        <w:t>להרמב"ם</w:t>
      </w:r>
      <w:r w:rsidRPr="0050146A">
        <w:rPr>
          <w:rFonts w:hint="cs"/>
          <w:rtl/>
        </w:rPr>
        <w:t xml:space="preserve"> דכל עכו"ם נאמן, אף שהוא יודע שסומכין עליו לענין איסור והיתר, והוסיף </w:t>
      </w:r>
      <w:r w:rsidRPr="0050146A">
        <w:rPr>
          <w:rStyle w:val="af8"/>
          <w:rFonts w:hint="cs"/>
          <w:rtl/>
        </w:rPr>
        <w:t>הב"י</w:t>
      </w:r>
      <w:r w:rsidRPr="0050146A">
        <w:rPr>
          <w:rFonts w:hint="cs"/>
          <w:rtl/>
        </w:rPr>
        <w:t xml:space="preserve"> דכן משמע לשון הגמ' "סמכינן".</w:t>
      </w:r>
      <w:bookmarkEnd w:id="2730"/>
    </w:p>
    <w:p w:rsidR="00BE3B3A" w:rsidRPr="0050146A" w:rsidRDefault="00BE3B3A" w:rsidP="00BE3B3A">
      <w:pPr>
        <w:pStyle w:val="a2"/>
        <w:rPr>
          <w:rtl/>
        </w:rPr>
      </w:pPr>
      <w:bookmarkStart w:id="2731" w:name="_Toc9149657"/>
      <w:bookmarkStart w:id="2732" w:name="_Toc9289843"/>
      <w:bookmarkStart w:id="2733" w:name="_Toc11573489"/>
      <w:r w:rsidRPr="0050146A">
        <w:rPr>
          <w:rFonts w:hint="cs"/>
          <w:rtl/>
        </w:rPr>
        <w:t>ביאור הגר"א ברמב"ם דהקפילא נאמן כיון דעבידא לאיגלויי</w:t>
      </w:r>
      <w:bookmarkEnd w:id="2731"/>
      <w:bookmarkEnd w:id="2732"/>
      <w:bookmarkEnd w:id="2733"/>
    </w:p>
    <w:p w:rsidR="00BE3B3A" w:rsidRPr="0050146A" w:rsidRDefault="00BE3B3A" w:rsidP="009F44AF">
      <w:pPr>
        <w:pStyle w:val="a"/>
        <w:rPr>
          <w:rtl/>
        </w:rPr>
      </w:pPr>
      <w:r w:rsidRPr="0050146A">
        <w:rPr>
          <w:rFonts w:hint="cs"/>
          <w:rtl/>
        </w:rPr>
        <w:t xml:space="preserve">אבל </w:t>
      </w:r>
      <w:r w:rsidRPr="0050146A">
        <w:rPr>
          <w:rStyle w:val="af8"/>
          <w:rFonts w:hint="cs"/>
          <w:rtl/>
        </w:rPr>
        <w:t>הגר"א</w:t>
      </w:r>
      <w:r w:rsidRPr="0050146A">
        <w:rPr>
          <w:rFonts w:hint="cs"/>
          <w:rtl/>
        </w:rPr>
        <w:t xml:space="preserve"> </w:t>
      </w:r>
      <w:r w:rsidRPr="0050146A">
        <w:rPr>
          <w:rStyle w:val="af6"/>
          <w:rFonts w:eastAsia="Guttman Hodes" w:hint="cs"/>
          <w:rtl/>
        </w:rPr>
        <w:t>(סי' צ"ב סק"ה)</w:t>
      </w:r>
      <w:r w:rsidRPr="0050146A">
        <w:rPr>
          <w:rFonts w:hint="cs"/>
          <w:rtl/>
        </w:rPr>
        <w:t xml:space="preserve"> כתב </w:t>
      </w:r>
      <w:r w:rsidRPr="0050146A">
        <w:rPr>
          <w:rStyle w:val="af8"/>
          <w:rFonts w:hint="cs"/>
          <w:rtl/>
        </w:rPr>
        <w:t>דהרמב"ם</w:t>
      </w:r>
      <w:r w:rsidRPr="0050146A">
        <w:rPr>
          <w:rFonts w:hint="cs"/>
          <w:rtl/>
        </w:rPr>
        <w:t xml:space="preserve"> השמיט קפילא, כיון דס"ל דקפילא לאו דוקא, </w:t>
      </w:r>
      <w:r w:rsidRPr="0050146A">
        <w:rPr>
          <w:rStyle w:val="afa"/>
          <w:rFonts w:hint="cs"/>
          <w:rtl/>
        </w:rPr>
        <w:t>[אולי כוונתו שא"צ אומן שלא מרע אומנותיה]</w:t>
      </w:r>
      <w:r w:rsidRPr="0050146A">
        <w:rPr>
          <w:rFonts w:hint="cs"/>
          <w:rtl/>
        </w:rPr>
        <w:t xml:space="preserve">, אלא </w:t>
      </w:r>
      <w:r w:rsidRPr="0050146A">
        <w:rPr>
          <w:rStyle w:val="afa"/>
          <w:rFonts w:hint="cs"/>
          <w:rtl/>
        </w:rPr>
        <w:t>[בכל עכו"ם]</w:t>
      </w:r>
      <w:r w:rsidRPr="0050146A">
        <w:rPr>
          <w:rFonts w:hint="cs"/>
          <w:rtl/>
        </w:rPr>
        <w:t xml:space="preserve"> שבקי בהכרת הטעם, וכדביאר </w:t>
      </w:r>
      <w:r w:rsidRPr="0050146A">
        <w:rPr>
          <w:rStyle w:val="af8"/>
          <w:rFonts w:hint="cs"/>
          <w:rtl/>
        </w:rPr>
        <w:t>הריב"ש</w:t>
      </w:r>
      <w:r w:rsidRPr="0050146A">
        <w:rPr>
          <w:rStyle w:val="af0"/>
          <w:rtl/>
        </w:rPr>
        <w:footnoteReference w:id="6"/>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Ref9145295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קיט)</w:t>
      </w:r>
      <w:r w:rsidRPr="0050146A">
        <w:rPr>
          <w:rStyle w:val="af6"/>
          <w:rFonts w:eastAsia="Guttman Hodes"/>
          <w:rtl/>
        </w:rPr>
        <w:fldChar w:fldCharType="end"/>
      </w:r>
      <w:r w:rsidRPr="0050146A">
        <w:rPr>
          <w:rFonts w:hint="cs"/>
          <w:rtl/>
        </w:rPr>
        <w:t xml:space="preserve"> </w:t>
      </w:r>
      <w:r w:rsidRPr="0050146A">
        <w:rPr>
          <w:rStyle w:val="afa"/>
          <w:rFonts w:hint="cs"/>
          <w:rtl/>
        </w:rPr>
        <w:t xml:space="preserve">[אולי כוונתו </w:t>
      </w:r>
      <w:r w:rsidRPr="0050146A">
        <w:rPr>
          <w:rStyle w:val="affa"/>
          <w:rFonts w:hint="cs"/>
          <w:rtl/>
        </w:rPr>
        <w:t>לתי' הב' בריב"ש</w:t>
      </w:r>
      <w:r w:rsidRPr="0050146A">
        <w:rPr>
          <w:rStyle w:val="afa"/>
          <w:rFonts w:hint="cs"/>
          <w:rtl/>
        </w:rPr>
        <w:t xml:space="preserve"> דצריך קפילא כיון שהוא בקי יותר בהכרת טעמים],</w:t>
      </w:r>
      <w:r w:rsidRPr="0050146A">
        <w:rPr>
          <w:rFonts w:hint="cs"/>
          <w:rtl/>
        </w:rPr>
        <w:t xml:space="preserve"> ולא כביאור </w:t>
      </w:r>
      <w:r w:rsidRPr="0050146A">
        <w:rPr>
          <w:rStyle w:val="af8"/>
          <w:rFonts w:hint="cs"/>
          <w:rtl/>
        </w:rPr>
        <w:t>הב"י</w:t>
      </w:r>
      <w:r w:rsidRPr="0050146A">
        <w:rPr>
          <w:rFonts w:hint="cs"/>
          <w:rtl/>
        </w:rPr>
        <w:t xml:space="preserve"> בדעת </w:t>
      </w:r>
      <w:r w:rsidRPr="0050146A">
        <w:rPr>
          <w:rStyle w:val="af8"/>
          <w:rFonts w:hint="cs"/>
          <w:rtl/>
        </w:rPr>
        <w:t>הרמב"ם</w:t>
      </w:r>
      <w:r w:rsidRPr="0050146A">
        <w:rPr>
          <w:rFonts w:hint="cs"/>
          <w:rtl/>
        </w:rPr>
        <w:t xml:space="preserve"> דכל עכו"ם נאמן, ולכן לא הזכיר </w:t>
      </w:r>
      <w:r w:rsidRPr="0050146A">
        <w:rPr>
          <w:rStyle w:val="af8"/>
          <w:rFonts w:hint="cs"/>
          <w:rtl/>
        </w:rPr>
        <w:t>הרמב"ם</w:t>
      </w:r>
      <w:r w:rsidRPr="0050146A">
        <w:rPr>
          <w:rFonts w:hint="cs"/>
          <w:rtl/>
        </w:rPr>
        <w:t xml:space="preserve"> דהוא נאמן כשהוא מסיח לפי תומו, דכיון שהוא מילתא דעבידא לאיגלויי הוא נאמן, אף שאינו מסיח לפי תומו.</w:t>
      </w:r>
    </w:p>
    <w:p w:rsidR="00BE3B3A" w:rsidRPr="0050146A" w:rsidRDefault="00BE3B3A" w:rsidP="00BE3B3A">
      <w:pPr>
        <w:pStyle w:val="1"/>
        <w:rPr>
          <w:rtl/>
        </w:rPr>
      </w:pPr>
      <w:bookmarkStart w:id="2734" w:name="_Toc9114607"/>
      <w:bookmarkStart w:id="2735" w:name="_Toc9149658"/>
      <w:bookmarkStart w:id="2736" w:name="_Toc9289844"/>
      <w:bookmarkStart w:id="2737" w:name="_Toc11573490"/>
      <w:r w:rsidRPr="0050146A">
        <w:rPr>
          <w:rFonts w:hint="cs"/>
          <w:rtl/>
        </w:rPr>
        <w:t>דברי התרוה"ד בדין קפילא אי טעם כעיקר דאו' או דרבנן</w:t>
      </w:r>
      <w:bookmarkEnd w:id="2734"/>
      <w:bookmarkEnd w:id="2735"/>
      <w:bookmarkEnd w:id="2736"/>
      <w:bookmarkEnd w:id="2737"/>
    </w:p>
    <w:p w:rsidR="00BE3B3A" w:rsidRPr="0050146A" w:rsidRDefault="00BE3B3A" w:rsidP="00BE3B3A">
      <w:pPr>
        <w:pStyle w:val="a2"/>
        <w:rPr>
          <w:rtl/>
        </w:rPr>
      </w:pPr>
      <w:bookmarkStart w:id="2738" w:name="_Toc9114608"/>
      <w:bookmarkStart w:id="2739" w:name="_Toc9149659"/>
      <w:bookmarkStart w:id="2740" w:name="_Toc9289845"/>
      <w:bookmarkStart w:id="2741" w:name="_Toc11573491"/>
      <w:r w:rsidRPr="0050146A">
        <w:rPr>
          <w:rFonts w:hint="cs"/>
          <w:rtl/>
        </w:rPr>
        <w:t>קושית התרוה"ד לר"ת דטעם כעיקר מדאו' הא עכו"ם אינו נאמן במסל"ת בדאו'</w:t>
      </w:r>
      <w:bookmarkEnd w:id="2738"/>
      <w:bookmarkEnd w:id="2739"/>
      <w:bookmarkEnd w:id="2740"/>
      <w:bookmarkEnd w:id="2741"/>
    </w:p>
    <w:p w:rsidR="00BE3B3A" w:rsidRPr="0050146A" w:rsidRDefault="00BE3B3A" w:rsidP="009F44AF">
      <w:pPr>
        <w:pStyle w:val="a"/>
        <w:rPr>
          <w:rtl/>
        </w:rPr>
      </w:pPr>
      <w:bookmarkStart w:id="2742" w:name="_Ref8578314"/>
      <w:r w:rsidRPr="0050146A">
        <w:rPr>
          <w:rFonts w:hint="cs"/>
          <w:rtl/>
        </w:rPr>
        <w:t xml:space="preserve">הביא </w:t>
      </w:r>
      <w:r w:rsidRPr="0050146A">
        <w:rPr>
          <w:rStyle w:val="af8"/>
          <w:rFonts w:hint="cs"/>
          <w:rtl/>
        </w:rPr>
        <w:t>התרוה"ד</w:t>
      </w:r>
      <w:r w:rsidRPr="0050146A">
        <w:rPr>
          <w:rFonts w:hint="cs"/>
          <w:rtl/>
        </w:rPr>
        <w:t xml:space="preserve"> </w:t>
      </w:r>
      <w:r w:rsidRPr="0050146A">
        <w:rPr>
          <w:rStyle w:val="af6"/>
          <w:rFonts w:eastAsia="Guttman Hodes" w:hint="cs"/>
          <w:rtl/>
        </w:rPr>
        <w:t>(סי' ע"ט)</w:t>
      </w:r>
      <w:r w:rsidRPr="0050146A">
        <w:rPr>
          <w:rFonts w:hint="cs"/>
          <w:rtl/>
        </w:rPr>
        <w:t xml:space="preserve"> את 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Ref8315394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xml:space="preserve"> דכתב דקפילא נאמן במסיח לפי תומו, והקשה </w:t>
      </w:r>
      <w:r w:rsidRPr="0050146A">
        <w:rPr>
          <w:rStyle w:val="af8"/>
          <w:rFonts w:hint="cs"/>
          <w:rtl/>
        </w:rPr>
        <w:t>התרוה"ד</w:t>
      </w:r>
      <w:r w:rsidRPr="0050146A">
        <w:rPr>
          <w:rFonts w:hint="cs"/>
          <w:rtl/>
        </w:rPr>
        <w:t xml:space="preserve"> לדעת </w:t>
      </w:r>
      <w:r w:rsidRPr="0050146A">
        <w:rPr>
          <w:rStyle w:val="af8"/>
          <w:rFonts w:hint="cs"/>
          <w:rtl/>
        </w:rPr>
        <w:t>ר"ת בתוס' לקמן</w:t>
      </w:r>
      <w:r w:rsidRPr="0050146A">
        <w:rPr>
          <w:rFonts w:hint="cs"/>
          <w:rtl/>
        </w:rPr>
        <w:t xml:space="preserve"> </w:t>
      </w:r>
      <w:r w:rsidRPr="0050146A">
        <w:rPr>
          <w:rStyle w:val="af6"/>
          <w:rFonts w:eastAsia="Guttman Hodes" w:hint="cs"/>
          <w:rtl/>
        </w:rPr>
        <w:t>(צח: ד"ה רבא)</w:t>
      </w:r>
      <w:r w:rsidRPr="0050146A">
        <w:rPr>
          <w:rFonts w:hint="cs"/>
          <w:rtl/>
        </w:rPr>
        <w:t xml:space="preserve"> דטעם כעיקר במין בשאינו מינו דאו', דהא קיי"ל בב"ק </w:t>
      </w:r>
      <w:r w:rsidRPr="0050146A">
        <w:rPr>
          <w:rStyle w:val="af6"/>
          <w:rFonts w:eastAsia="Guttman Hodes" w:hint="cs"/>
          <w:rtl/>
        </w:rPr>
        <w:t>(קיד:)</w:t>
      </w:r>
      <w:r w:rsidRPr="0050146A">
        <w:rPr>
          <w:rFonts w:hint="cs"/>
          <w:rtl/>
        </w:rPr>
        <w:t xml:space="preserve"> דבדאו' עכו"ם אינו נאמן במסיח לפי תומו.</w:t>
      </w:r>
      <w:bookmarkEnd w:id="2742"/>
    </w:p>
    <w:p w:rsidR="00BE3B3A" w:rsidRPr="0050146A" w:rsidRDefault="00BE3B3A" w:rsidP="00BE3B3A">
      <w:pPr>
        <w:pStyle w:val="a2"/>
        <w:rPr>
          <w:rtl/>
        </w:rPr>
      </w:pPr>
      <w:bookmarkStart w:id="2743" w:name="_Toc9114609"/>
      <w:bookmarkStart w:id="2744" w:name="_Toc9149660"/>
      <w:bookmarkStart w:id="2745" w:name="_Toc9289846"/>
      <w:bookmarkStart w:id="2746" w:name="_Toc11573492"/>
      <w:r w:rsidRPr="0050146A">
        <w:rPr>
          <w:rFonts w:hint="cs"/>
          <w:rtl/>
        </w:rPr>
        <w:t>דברי התרוה"ד דאף במסל"ת רק קפילא נאמן דלא מרע אומנותיה</w:t>
      </w:r>
      <w:bookmarkEnd w:id="2743"/>
      <w:bookmarkEnd w:id="2744"/>
      <w:bookmarkEnd w:id="2745"/>
      <w:bookmarkEnd w:id="2746"/>
    </w:p>
    <w:p w:rsidR="00BE3B3A" w:rsidRPr="0050146A" w:rsidRDefault="00BE3B3A" w:rsidP="009F44AF">
      <w:pPr>
        <w:pStyle w:val="a"/>
        <w:rPr>
          <w:rtl/>
        </w:rPr>
      </w:pPr>
      <w:r w:rsidRPr="0050146A">
        <w:rPr>
          <w:rFonts w:hint="cs"/>
          <w:rtl/>
        </w:rPr>
        <w:t xml:space="preserve">ותירץ </w:t>
      </w:r>
      <w:r w:rsidRPr="0050146A">
        <w:rPr>
          <w:rStyle w:val="af8"/>
          <w:rFonts w:hint="cs"/>
          <w:rtl/>
        </w:rPr>
        <w:t>התרוה"</w:t>
      </w:r>
      <w:r w:rsidRPr="0050146A">
        <w:rPr>
          <w:rFonts w:hint="cs"/>
          <w:rtl/>
        </w:rPr>
        <w:t xml:space="preserve">ד דאף במסיח לפי תומו רק קפילא נאמן דלא מרע אומנותו, וכדכתב </w:t>
      </w:r>
      <w:r w:rsidRPr="0050146A">
        <w:rPr>
          <w:rStyle w:val="af8"/>
          <w:rFonts w:hint="cs"/>
          <w:rtl/>
        </w:rPr>
        <w:t>הטור</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Ref9114191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דלדעת </w:t>
      </w:r>
      <w:r w:rsidRPr="0050146A">
        <w:rPr>
          <w:rStyle w:val="af8"/>
          <w:rFonts w:hint="cs"/>
          <w:rtl/>
        </w:rPr>
        <w:t>הרא"ש</w:t>
      </w:r>
      <w:r w:rsidRPr="0050146A">
        <w:rPr>
          <w:rFonts w:hint="cs"/>
          <w:rtl/>
        </w:rPr>
        <w:t xml:space="preserve"> צריך גם קפילא וגם מסיח לפי תומו.</w:t>
      </w:r>
    </w:p>
    <w:p w:rsidR="00BE3B3A" w:rsidRPr="0050146A" w:rsidRDefault="00BE3B3A" w:rsidP="00BE3B3A">
      <w:pPr>
        <w:pStyle w:val="a2"/>
        <w:rPr>
          <w:rtl/>
        </w:rPr>
      </w:pPr>
      <w:bookmarkStart w:id="2747" w:name="_Toc9114610"/>
      <w:bookmarkStart w:id="2748" w:name="_Toc9149661"/>
      <w:bookmarkStart w:id="2749" w:name="_Toc9289847"/>
      <w:bookmarkStart w:id="2750" w:name="_Toc11573493"/>
      <w:r w:rsidRPr="0050146A">
        <w:rPr>
          <w:rFonts w:hint="cs"/>
          <w:rtl/>
        </w:rPr>
        <w:t>דברי התרוה"ד דלהרשב"א דסגי או בקפילא או בסתם עכו"ם במסל"ת צ"ל דטעם כעיקר דרבנן</w:t>
      </w:r>
      <w:bookmarkEnd w:id="2747"/>
      <w:bookmarkEnd w:id="2748"/>
      <w:bookmarkEnd w:id="2749"/>
      <w:bookmarkEnd w:id="2750"/>
    </w:p>
    <w:p w:rsidR="00010471" w:rsidRPr="0050146A" w:rsidRDefault="00BE3B3A" w:rsidP="009F44AF">
      <w:pPr>
        <w:pStyle w:val="a"/>
        <w:rPr>
          <w:rtl/>
        </w:rPr>
      </w:pPr>
      <w:bookmarkStart w:id="2751" w:name="_Ref8578176"/>
      <w:r w:rsidRPr="0050146A">
        <w:rPr>
          <w:rFonts w:hint="cs"/>
          <w:rtl/>
        </w:rPr>
        <w:t xml:space="preserve">ובדעת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Ref8318164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 סגי או בקפילא דלא מרע אומנותו או בסתם נכרי במסיח לפי תומו, כתב </w:t>
      </w:r>
      <w:r w:rsidRPr="0050146A">
        <w:rPr>
          <w:rStyle w:val="af8"/>
          <w:rFonts w:hint="cs"/>
          <w:rtl/>
        </w:rPr>
        <w:t>התרוה"ד</w:t>
      </w:r>
      <w:r w:rsidRPr="0050146A">
        <w:rPr>
          <w:rFonts w:hint="cs"/>
          <w:rtl/>
        </w:rPr>
        <w:t xml:space="preserve"> </w:t>
      </w:r>
      <w:r w:rsidRPr="0050146A">
        <w:rPr>
          <w:rStyle w:val="af6"/>
          <w:rFonts w:eastAsia="Guttman Hodes" w:hint="cs"/>
          <w:rtl/>
        </w:rPr>
        <w:t>(סי' ע"ט)</w:t>
      </w:r>
      <w:r w:rsidRPr="0050146A">
        <w:rPr>
          <w:rFonts w:hint="cs"/>
          <w:rtl/>
        </w:rPr>
        <w:t xml:space="preserve"> דצ"ל דס"ל </w:t>
      </w:r>
      <w:r w:rsidRPr="0050146A">
        <w:rPr>
          <w:rStyle w:val="af8"/>
          <w:rFonts w:hint="cs"/>
          <w:rtl/>
        </w:rPr>
        <w:t>כרש"י</w:t>
      </w:r>
      <w:r w:rsidRPr="0050146A">
        <w:rPr>
          <w:rFonts w:hint="cs"/>
          <w:rtl/>
        </w:rPr>
        <w:t xml:space="preserve"> </w:t>
      </w:r>
      <w:r w:rsidRPr="0050146A">
        <w:rPr>
          <w:rStyle w:val="af6"/>
          <w:rFonts w:eastAsia="Guttman Hodes" w:hint="cs"/>
          <w:rtl/>
        </w:rPr>
        <w:t>(צח: ד"ה לטעם)</w:t>
      </w:r>
      <w:r w:rsidRPr="0050146A">
        <w:rPr>
          <w:rFonts w:hint="cs"/>
          <w:rtl/>
        </w:rPr>
        <w:t xml:space="preserve"> דטעם כעיקר דרבנן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w:t>
      </w:r>
      <w:r w:rsidRPr="0050146A">
        <w:rPr>
          <w:rFonts w:hint="cs"/>
          <w:rtl/>
        </w:rPr>
        <w:t>, ולכן נאמן במסיח לפי תומו.</w:t>
      </w:r>
      <w:bookmarkEnd w:id="2751"/>
      <w:r w:rsidRPr="0050146A">
        <w:rPr>
          <w:rStyle w:val="afa"/>
          <w:rFonts w:hint="cs"/>
          <w:rtl/>
        </w:rPr>
        <w:t xml:space="preserve"> [וכדכתב </w:t>
      </w:r>
      <w:r w:rsidRPr="0050146A">
        <w:rPr>
          <w:rStyle w:val="affa"/>
          <w:rFonts w:hint="cs"/>
          <w:rtl/>
        </w:rPr>
        <w:t>הרשב"א בתשו'</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Ref9114342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צו)</w:t>
      </w:r>
      <w:r w:rsidRPr="0050146A">
        <w:rPr>
          <w:rStyle w:val="aff6"/>
          <w:rtl/>
        </w:rPr>
        <w:fldChar w:fldCharType="end"/>
      </w:r>
      <w:r w:rsidRPr="0050146A">
        <w:rPr>
          <w:rStyle w:val="afa"/>
          <w:rFonts w:hint="cs"/>
          <w:rtl/>
        </w:rPr>
        <w:t>].</w:t>
      </w:r>
    </w:p>
    <w:p w:rsidR="00BE3B3A" w:rsidRPr="0050146A" w:rsidRDefault="00BE3B3A" w:rsidP="00BE3B3A">
      <w:pPr>
        <w:pStyle w:val="1"/>
        <w:rPr>
          <w:rtl/>
        </w:rPr>
      </w:pPr>
      <w:bookmarkStart w:id="2752" w:name="_Toc9149662"/>
      <w:bookmarkStart w:id="2753" w:name="_Toc9289848"/>
      <w:bookmarkStart w:id="2754" w:name="_Toc11573494"/>
      <w:r w:rsidRPr="0050146A">
        <w:rPr>
          <w:rFonts w:hint="cs"/>
          <w:rtl/>
        </w:rPr>
        <w:t>דעת הש"ך דבדאו' מסל"ת נאמן רק בעביד לאיגלויי</w:t>
      </w:r>
      <w:bookmarkEnd w:id="2752"/>
      <w:bookmarkEnd w:id="2753"/>
      <w:bookmarkEnd w:id="2754"/>
    </w:p>
    <w:p w:rsidR="00BE3B3A" w:rsidRPr="0050146A" w:rsidRDefault="00BE3B3A" w:rsidP="00BE3B3A">
      <w:pPr>
        <w:pStyle w:val="a2"/>
        <w:rPr>
          <w:rtl/>
        </w:rPr>
      </w:pPr>
      <w:bookmarkStart w:id="2755" w:name="_Toc9149663"/>
      <w:bookmarkStart w:id="2756" w:name="_Toc9289849"/>
      <w:bookmarkStart w:id="2757" w:name="_Toc11573495"/>
      <w:r w:rsidRPr="0050146A">
        <w:rPr>
          <w:rFonts w:hint="cs"/>
          <w:rtl/>
        </w:rPr>
        <w:t>דברי הש"ך דקפילא נאמן דהוא אומן וכל עכו"ם נאמן רק במסל"ת</w:t>
      </w:r>
      <w:bookmarkEnd w:id="2755"/>
      <w:bookmarkEnd w:id="2756"/>
      <w:bookmarkEnd w:id="2757"/>
    </w:p>
    <w:p w:rsidR="00BE3B3A" w:rsidRPr="0050146A" w:rsidRDefault="00BE3B3A" w:rsidP="009F44AF">
      <w:pPr>
        <w:pStyle w:val="a"/>
        <w:rPr>
          <w:rtl/>
        </w:rPr>
      </w:pPr>
      <w:r w:rsidRPr="0050146A">
        <w:rPr>
          <w:rFonts w:hint="cs"/>
          <w:rtl/>
        </w:rPr>
        <w:t xml:space="preserve">כתב </w:t>
      </w:r>
      <w:r w:rsidRPr="0050146A">
        <w:rPr>
          <w:rStyle w:val="af8"/>
          <w:rFonts w:hint="cs"/>
          <w:rtl/>
        </w:rPr>
        <w:t>הש"ך</w:t>
      </w:r>
      <w:r w:rsidRPr="0050146A">
        <w:rPr>
          <w:rFonts w:hint="cs"/>
          <w:rtl/>
        </w:rPr>
        <w:t xml:space="preserve"> </w:t>
      </w:r>
      <w:r w:rsidRPr="0050146A">
        <w:rPr>
          <w:rStyle w:val="af6"/>
          <w:rFonts w:eastAsia="Guttman Hodes" w:hint="cs"/>
          <w:rtl/>
        </w:rPr>
        <w:t>(סי' צ"ב סק"ב)</w:t>
      </w:r>
      <w:r w:rsidRPr="0050146A">
        <w:rPr>
          <w:rFonts w:hint="cs"/>
          <w:rtl/>
        </w:rPr>
        <w:t xml:space="preserve"> דהקפילא נאמן אף כשאינו מסיח לפי תומו, דאינו משקר כדי שלא יפסיד אומנותו, אבל סתם עכו"ם נאמן רק במסיח לפי תומו, אך הביא</w:t>
      </w:r>
      <w:r w:rsidRPr="0050146A">
        <w:rPr>
          <w:rStyle w:val="af8"/>
          <w:rFonts w:hint="cs"/>
          <w:rtl/>
        </w:rPr>
        <w:t xml:space="preserve"> הש"ך</w:t>
      </w:r>
      <w:r w:rsidRPr="0050146A">
        <w:rPr>
          <w:rFonts w:hint="cs"/>
          <w:rtl/>
        </w:rPr>
        <w:t xml:space="preserve"> את קושית </w:t>
      </w:r>
      <w:r w:rsidRPr="0050146A">
        <w:rPr>
          <w:rStyle w:val="af8"/>
          <w:rFonts w:hint="cs"/>
          <w:rtl/>
        </w:rPr>
        <w:t>התרוה"ד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Ref8578314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קכג)</w:t>
      </w:r>
      <w:r w:rsidRPr="0050146A">
        <w:rPr>
          <w:rStyle w:val="af6"/>
          <w:rFonts w:eastAsia="Guttman Hodes"/>
          <w:rtl/>
        </w:rPr>
        <w:fldChar w:fldCharType="end"/>
      </w:r>
      <w:r w:rsidRPr="0050146A">
        <w:rPr>
          <w:rFonts w:hint="cs"/>
          <w:rtl/>
        </w:rPr>
        <w:t xml:space="preserve"> דכיון דפסק </w:t>
      </w:r>
      <w:r w:rsidRPr="0050146A">
        <w:rPr>
          <w:rStyle w:val="af8"/>
          <w:rFonts w:hint="cs"/>
          <w:rtl/>
        </w:rPr>
        <w:t>השו"ע</w:t>
      </w:r>
      <w:r w:rsidRPr="0050146A">
        <w:rPr>
          <w:rFonts w:hint="cs"/>
          <w:rtl/>
        </w:rPr>
        <w:t xml:space="preserve"> </w:t>
      </w:r>
      <w:r w:rsidRPr="0050146A">
        <w:rPr>
          <w:rStyle w:val="af6"/>
          <w:rFonts w:eastAsia="Guttman Hodes" w:hint="cs"/>
          <w:rtl/>
        </w:rPr>
        <w:t>(סי' צ"ב ב')</w:t>
      </w:r>
      <w:r w:rsidRPr="0050146A">
        <w:rPr>
          <w:rFonts w:hint="cs"/>
          <w:rtl/>
        </w:rPr>
        <w:t xml:space="preserve"> דטעם כעיקר במין בשאינו מינו אסור מדאו' וכ"ש בדבר שיש בו טעם, א"כ האיך יתכן דעכו"ם נאמן במסיח לפי תומו, הרי קיי"ל בב"ק </w:t>
      </w:r>
      <w:r w:rsidRPr="0050146A">
        <w:rPr>
          <w:rStyle w:val="af6"/>
          <w:rFonts w:eastAsia="Guttman Hodes" w:hint="cs"/>
          <w:rtl/>
        </w:rPr>
        <w:t>(קיד:)</w:t>
      </w:r>
      <w:r w:rsidRPr="0050146A">
        <w:rPr>
          <w:rFonts w:hint="cs"/>
          <w:rtl/>
        </w:rPr>
        <w:t xml:space="preserve"> דבדאו' עכו"ם אינו נאמן במסיח לפי תומו, חוץ מעדות אשה.  </w:t>
      </w:r>
    </w:p>
    <w:p w:rsidR="00BE3B3A" w:rsidRPr="0050146A" w:rsidRDefault="00BE3B3A" w:rsidP="00BE3B3A">
      <w:pPr>
        <w:pStyle w:val="a2"/>
        <w:rPr>
          <w:rtl/>
        </w:rPr>
      </w:pPr>
      <w:bookmarkStart w:id="2758" w:name="_Toc9149664"/>
      <w:bookmarkStart w:id="2759" w:name="_Toc9289850"/>
      <w:bookmarkStart w:id="2760" w:name="_Toc11573496"/>
      <w:r w:rsidRPr="0050146A">
        <w:rPr>
          <w:rFonts w:hint="cs"/>
          <w:rtl/>
        </w:rPr>
        <w:t>קושית הש"ך על התרוה"ד דא"א לומר דלרשב"א טעם כעיקר דרבנן דהא ס"ל דהוא דאו'</w:t>
      </w:r>
      <w:bookmarkEnd w:id="2758"/>
      <w:bookmarkEnd w:id="2759"/>
      <w:bookmarkEnd w:id="2760"/>
    </w:p>
    <w:p w:rsidR="00BE3B3A" w:rsidRPr="0050146A" w:rsidRDefault="00BE3B3A" w:rsidP="009F44AF">
      <w:pPr>
        <w:pStyle w:val="a"/>
        <w:rPr>
          <w:rtl/>
        </w:rPr>
      </w:pPr>
      <w:bookmarkStart w:id="2761" w:name="_Ref9147724"/>
      <w:r w:rsidRPr="0050146A">
        <w:rPr>
          <w:rFonts w:hint="cs"/>
          <w:rtl/>
        </w:rPr>
        <w:t xml:space="preserve">והביא הש"ך את תירוץ </w:t>
      </w:r>
      <w:r w:rsidRPr="0050146A">
        <w:rPr>
          <w:rStyle w:val="af8"/>
          <w:rFonts w:hint="cs"/>
          <w:rtl/>
        </w:rPr>
        <w:t>התרוה"ד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Ref8578176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קכה)</w:t>
      </w:r>
      <w:r w:rsidRPr="0050146A">
        <w:rPr>
          <w:rStyle w:val="af6"/>
          <w:rFonts w:eastAsia="Guttman Hodes"/>
          <w:rtl/>
        </w:rPr>
        <w:fldChar w:fldCharType="end"/>
      </w:r>
      <w:r w:rsidRPr="0050146A">
        <w:rPr>
          <w:rFonts w:hint="cs"/>
          <w:rtl/>
        </w:rPr>
        <w:t xml:space="preserve"> בדעת </w:t>
      </w:r>
      <w:r w:rsidRPr="0050146A">
        <w:rPr>
          <w:rStyle w:val="af8"/>
          <w:rFonts w:hint="cs"/>
          <w:rtl/>
        </w:rPr>
        <w:t>הרשב"א</w:t>
      </w:r>
      <w:r w:rsidRPr="0050146A">
        <w:rPr>
          <w:rFonts w:hint="cs"/>
          <w:rtl/>
        </w:rPr>
        <w:t xml:space="preserve"> דס"ל </w:t>
      </w:r>
      <w:r w:rsidRPr="0050146A">
        <w:rPr>
          <w:rStyle w:val="af8"/>
          <w:rFonts w:hint="cs"/>
          <w:rtl/>
        </w:rPr>
        <w:t>כרש"י</w:t>
      </w:r>
      <w:r w:rsidRPr="0050146A">
        <w:rPr>
          <w:rFonts w:hint="cs"/>
          <w:rtl/>
        </w:rPr>
        <w:t xml:space="preserve"> דטכ"ע דרבנן, ולכן נאמן במסיח לפי תומו, והקשה </w:t>
      </w:r>
      <w:r w:rsidRPr="0050146A">
        <w:rPr>
          <w:rStyle w:val="af8"/>
          <w:rFonts w:hint="cs"/>
          <w:rtl/>
        </w:rPr>
        <w:t>הש"ך</w:t>
      </w:r>
      <w:r w:rsidRPr="0050146A">
        <w:rPr>
          <w:rFonts w:hint="cs"/>
          <w:rtl/>
        </w:rPr>
        <w:t xml:space="preserve"> </w:t>
      </w:r>
      <w:r w:rsidRPr="0050146A">
        <w:rPr>
          <w:rStyle w:val="af6"/>
          <w:rFonts w:eastAsia="Guttman Hodes" w:hint="cs"/>
          <w:rtl/>
        </w:rPr>
        <w:t>(סי' צ"ח סק"ב)</w:t>
      </w:r>
      <w:r w:rsidRPr="0050146A">
        <w:rPr>
          <w:rFonts w:hint="cs"/>
          <w:rtl/>
        </w:rPr>
        <w:t xml:space="preserve"> על </w:t>
      </w:r>
      <w:r w:rsidRPr="0050146A">
        <w:rPr>
          <w:rStyle w:val="af8"/>
          <w:rFonts w:hint="cs"/>
          <w:rtl/>
        </w:rPr>
        <w:t>התרוה"ד</w:t>
      </w:r>
      <w:r w:rsidRPr="0050146A">
        <w:rPr>
          <w:rFonts w:hint="cs"/>
          <w:rtl/>
        </w:rPr>
        <w:t xml:space="preserve"> דהרי </w:t>
      </w:r>
      <w:r w:rsidRPr="0050146A">
        <w:rPr>
          <w:rStyle w:val="af8"/>
          <w:rFonts w:hint="cs"/>
          <w:rtl/>
        </w:rPr>
        <w:t>הרשב"א בתוה"ב</w:t>
      </w:r>
      <w:r w:rsidRPr="0050146A">
        <w:rPr>
          <w:rFonts w:hint="cs"/>
          <w:rtl/>
        </w:rPr>
        <w:t xml:space="preserve"> </w:t>
      </w:r>
      <w:r w:rsidRPr="0050146A">
        <w:rPr>
          <w:rStyle w:val="af6"/>
          <w:rFonts w:eastAsia="Guttman Hodes" w:hint="cs"/>
          <w:rtl/>
        </w:rPr>
        <w:t>(ב"ד ש"א יד: מדה"ס)</w:t>
      </w:r>
      <w:r w:rsidRPr="0050146A">
        <w:rPr>
          <w:rFonts w:hint="cs"/>
          <w:rtl/>
        </w:rPr>
        <w:t xml:space="preserve"> פסק להדיא </w:t>
      </w:r>
      <w:r w:rsidRPr="0050146A">
        <w:rPr>
          <w:rStyle w:val="af8"/>
          <w:rFonts w:hint="cs"/>
          <w:rtl/>
        </w:rPr>
        <w:t>כר"ת בתוס' לקמן</w:t>
      </w:r>
      <w:r w:rsidRPr="0050146A">
        <w:rPr>
          <w:rFonts w:hint="cs"/>
          <w:rtl/>
        </w:rPr>
        <w:t xml:space="preserve"> </w:t>
      </w:r>
      <w:r w:rsidRPr="0050146A">
        <w:rPr>
          <w:rStyle w:val="af6"/>
          <w:rFonts w:eastAsia="Guttman Hodes" w:hint="cs"/>
          <w:rtl/>
        </w:rPr>
        <w:t>(צח: ד"ה רבא)</w:t>
      </w:r>
      <w:r w:rsidRPr="0050146A">
        <w:rPr>
          <w:rFonts w:hint="cs"/>
          <w:rtl/>
        </w:rPr>
        <w:t xml:space="preserve"> דטכ"ע דאו', ודוחק לומר דרק לחומרא כן, ועוד </w:t>
      </w:r>
      <w:r w:rsidRPr="0050146A">
        <w:rPr>
          <w:rStyle w:val="af8"/>
          <w:rFonts w:hint="cs"/>
          <w:rtl/>
        </w:rPr>
        <w:t>דהרשב"א בתוה"ב הקצר</w:t>
      </w:r>
      <w:r w:rsidRPr="0050146A">
        <w:rPr>
          <w:rFonts w:hint="cs"/>
          <w:rtl/>
        </w:rPr>
        <w:t xml:space="preserve"> </w:t>
      </w:r>
      <w:r w:rsidRPr="0050146A">
        <w:rPr>
          <w:rStyle w:val="af6"/>
          <w:rFonts w:eastAsia="Guttman Hodes" w:hint="cs"/>
          <w:rtl/>
        </w:rPr>
        <w:t>(ב"ד ש"א ז. מדה"ס)</w:t>
      </w:r>
      <w:r w:rsidRPr="0050146A">
        <w:rPr>
          <w:rFonts w:hint="cs"/>
          <w:rtl/>
        </w:rPr>
        <w:t xml:space="preserve"> כתב רק את דעת </w:t>
      </w:r>
      <w:r w:rsidRPr="0050146A">
        <w:rPr>
          <w:rStyle w:val="af8"/>
          <w:rFonts w:hint="cs"/>
          <w:rtl/>
        </w:rPr>
        <w:t>ר"ת</w:t>
      </w:r>
      <w:r w:rsidRPr="0050146A">
        <w:rPr>
          <w:rFonts w:hint="cs"/>
          <w:rtl/>
        </w:rPr>
        <w:t xml:space="preserve"> ולא הביא את דעת החולקים עליו, ומשמע דכן ס"ל מעיקר הדין, וכתב </w:t>
      </w:r>
      <w:r w:rsidRPr="0050146A">
        <w:rPr>
          <w:rStyle w:val="af8"/>
          <w:rFonts w:hint="cs"/>
          <w:rtl/>
        </w:rPr>
        <w:t>הש"ך</w:t>
      </w:r>
      <w:r w:rsidRPr="0050146A">
        <w:rPr>
          <w:rFonts w:hint="cs"/>
          <w:rtl/>
        </w:rPr>
        <w:t xml:space="preserve"> דא"כ עדיין קשה קושית </w:t>
      </w:r>
      <w:r w:rsidRPr="0050146A">
        <w:rPr>
          <w:rStyle w:val="af8"/>
          <w:rFonts w:hint="cs"/>
          <w:rtl/>
        </w:rPr>
        <w:t>התרוה"ד</w:t>
      </w:r>
      <w:r w:rsidRPr="0050146A">
        <w:rPr>
          <w:rFonts w:hint="cs"/>
          <w:rtl/>
        </w:rPr>
        <w:t xml:space="preserve"> על </w:t>
      </w:r>
      <w:r w:rsidRPr="0050146A">
        <w:rPr>
          <w:rStyle w:val="af8"/>
          <w:rFonts w:hint="cs"/>
          <w:rtl/>
        </w:rPr>
        <w:t>הרשב"א</w:t>
      </w:r>
      <w:r w:rsidRPr="0050146A">
        <w:rPr>
          <w:rFonts w:hint="cs"/>
          <w:rtl/>
        </w:rPr>
        <w:t xml:space="preserve"> אמאי סמכינן על סתם עכו"ם במסיח לפי תומו. </w:t>
      </w:r>
      <w:r w:rsidRPr="0050146A">
        <w:rPr>
          <w:rStyle w:val="afa"/>
          <w:rFonts w:hint="cs"/>
          <w:rtl/>
        </w:rPr>
        <w:t xml:space="preserve">[אמנם יעוי' בדברי </w:t>
      </w:r>
      <w:r w:rsidRPr="0050146A">
        <w:rPr>
          <w:rStyle w:val="affa"/>
          <w:rFonts w:hint="cs"/>
          <w:rtl/>
        </w:rPr>
        <w:t>הרשב"א בתשו'</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Ref9114342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צו)</w:t>
      </w:r>
      <w:r w:rsidRPr="0050146A">
        <w:rPr>
          <w:rStyle w:val="aff6"/>
          <w:rtl/>
        </w:rPr>
        <w:fldChar w:fldCharType="end"/>
      </w:r>
      <w:r w:rsidRPr="0050146A">
        <w:rPr>
          <w:rStyle w:val="afa"/>
          <w:rFonts w:hint="cs"/>
          <w:rtl/>
        </w:rPr>
        <w:t xml:space="preserve"> דביאר להדיא </w:t>
      </w:r>
      <w:r w:rsidRPr="0050146A">
        <w:rPr>
          <w:rStyle w:val="affa"/>
          <w:rFonts w:hint="cs"/>
          <w:rtl/>
        </w:rPr>
        <w:t>כתרוה"ד</w:t>
      </w:r>
      <w:r w:rsidRPr="0050146A">
        <w:rPr>
          <w:rStyle w:val="afa"/>
          <w:rFonts w:hint="cs"/>
          <w:rtl/>
        </w:rPr>
        <w:t>]</w:t>
      </w:r>
      <w:bookmarkEnd w:id="2761"/>
      <w:r w:rsidRPr="0050146A">
        <w:rPr>
          <w:rFonts w:hint="cs"/>
          <w:rtl/>
        </w:rPr>
        <w:t xml:space="preserve">, וכן הקשה </w:t>
      </w:r>
      <w:r w:rsidRPr="0050146A">
        <w:rPr>
          <w:rStyle w:val="af8"/>
          <w:rFonts w:hint="cs"/>
          <w:rtl/>
        </w:rPr>
        <w:t>המנחת כהן</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rPr>
        <w:instrText>REF</w:instrText>
      </w:r>
      <w:r w:rsidRPr="0050146A">
        <w:rPr>
          <w:rStyle w:val="af6"/>
          <w:rFonts w:eastAsia="Guttman Hodes"/>
          <w:rtl/>
        </w:rPr>
        <w:instrText xml:space="preserve"> _</w:instrText>
      </w:r>
      <w:r w:rsidRPr="0050146A">
        <w:rPr>
          <w:rStyle w:val="af6"/>
          <w:rFonts w:eastAsia="Guttman Hodes"/>
        </w:rPr>
        <w:instrText>Ref9147804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צז)</w:t>
      </w:r>
      <w:r w:rsidRPr="0050146A">
        <w:rPr>
          <w:rStyle w:val="af6"/>
          <w:rFonts w:eastAsia="Guttman Hodes"/>
          <w:rtl/>
        </w:rPr>
        <w:fldChar w:fldCharType="end"/>
      </w:r>
      <w:r w:rsidRPr="0050146A">
        <w:rPr>
          <w:rFonts w:hint="cs"/>
          <w:rtl/>
        </w:rPr>
        <w:t>.</w:t>
      </w:r>
    </w:p>
    <w:p w:rsidR="00BE3B3A" w:rsidRPr="0050146A" w:rsidRDefault="00BE3B3A" w:rsidP="00BE3B3A">
      <w:pPr>
        <w:pStyle w:val="a2"/>
      </w:pPr>
      <w:bookmarkStart w:id="2762" w:name="_Toc9149665"/>
      <w:bookmarkStart w:id="2763" w:name="_Toc9289851"/>
      <w:bookmarkStart w:id="2764" w:name="_Toc11573497"/>
      <w:r w:rsidRPr="0050146A">
        <w:rPr>
          <w:rFonts w:hint="cs"/>
          <w:rtl/>
        </w:rPr>
        <w:t>דברי הט"ז דאפש"ל דרק לענין נאמנות מסל"ת סמך הרשב"א על רש"י והרמב"ם דטעם כעיקר דרבנן</w:t>
      </w:r>
      <w:bookmarkEnd w:id="2762"/>
      <w:bookmarkEnd w:id="2763"/>
      <w:bookmarkEnd w:id="2764"/>
    </w:p>
    <w:p w:rsidR="00BE3B3A" w:rsidRPr="0050146A" w:rsidRDefault="00BE3B3A" w:rsidP="009F44AF">
      <w:pPr>
        <w:pStyle w:val="a"/>
        <w:rPr>
          <w:rtl/>
        </w:rPr>
      </w:pPr>
      <w:r w:rsidRPr="0050146A">
        <w:rPr>
          <w:rStyle w:val="af8"/>
          <w:rFonts w:hint="cs"/>
          <w:rtl/>
        </w:rPr>
        <w:t>והט"ז</w:t>
      </w:r>
      <w:r w:rsidRPr="0050146A">
        <w:rPr>
          <w:rFonts w:hint="cs"/>
          <w:rtl/>
        </w:rPr>
        <w:t xml:space="preserve"> </w:t>
      </w:r>
      <w:r w:rsidRPr="0050146A">
        <w:rPr>
          <w:rStyle w:val="af6"/>
          <w:rFonts w:eastAsia="Guttman Hodes" w:hint="cs"/>
          <w:rtl/>
        </w:rPr>
        <w:t>(סי' צ"ח סק"ב)</w:t>
      </w:r>
      <w:r w:rsidRPr="0050146A">
        <w:rPr>
          <w:rFonts w:hint="cs"/>
          <w:rtl/>
        </w:rPr>
        <w:t xml:space="preserve"> תירץ דאפש"ל דלענין עיקר הדין </w:t>
      </w:r>
      <w:r w:rsidRPr="0050146A">
        <w:rPr>
          <w:rStyle w:val="af8"/>
          <w:rFonts w:hint="cs"/>
          <w:rtl/>
        </w:rPr>
        <w:t>הרשב"א</w:t>
      </w:r>
      <w:r w:rsidRPr="0050146A">
        <w:rPr>
          <w:rFonts w:hint="cs"/>
          <w:rtl/>
        </w:rPr>
        <w:t xml:space="preserve"> ס"ל </w:t>
      </w:r>
      <w:r w:rsidRPr="0050146A">
        <w:rPr>
          <w:rStyle w:val="af8"/>
          <w:rFonts w:hint="cs"/>
          <w:rtl/>
        </w:rPr>
        <w:t>כר"ת</w:t>
      </w:r>
      <w:r w:rsidRPr="0050146A">
        <w:rPr>
          <w:rFonts w:hint="cs"/>
          <w:rtl/>
        </w:rPr>
        <w:t xml:space="preserve"> דטעם כעיקר דאו', אך לענין מסיח לפי תומו, סמך </w:t>
      </w:r>
      <w:r w:rsidRPr="0050146A">
        <w:rPr>
          <w:rStyle w:val="af8"/>
          <w:rFonts w:hint="cs"/>
          <w:rtl/>
        </w:rPr>
        <w:t>הרשב"א</w:t>
      </w:r>
      <w:r w:rsidRPr="0050146A">
        <w:rPr>
          <w:rFonts w:hint="cs"/>
          <w:rtl/>
        </w:rPr>
        <w:t xml:space="preserve"> על </w:t>
      </w:r>
      <w:r w:rsidRPr="0050146A">
        <w:rPr>
          <w:rStyle w:val="af8"/>
          <w:rFonts w:hint="cs"/>
          <w:rtl/>
        </w:rPr>
        <w:t>רש"י</w:t>
      </w:r>
      <w:r w:rsidRPr="0050146A">
        <w:rPr>
          <w:rFonts w:hint="cs"/>
          <w:rtl/>
        </w:rPr>
        <w:t xml:space="preserve"> </w:t>
      </w:r>
      <w:r w:rsidRPr="0050146A">
        <w:rPr>
          <w:rStyle w:val="af6"/>
          <w:rFonts w:eastAsia="Guttman Hodes" w:hint="cs"/>
          <w:rtl/>
        </w:rPr>
        <w:t>(צח: ד"ה לטעם)</w:t>
      </w:r>
      <w:r w:rsidRPr="0050146A">
        <w:rPr>
          <w:rFonts w:hint="cs"/>
          <w:rtl/>
        </w:rPr>
        <w:t xml:space="preserve"> </w:t>
      </w:r>
      <w:r w:rsidRPr="0050146A">
        <w:rPr>
          <w:rStyle w:val="af8"/>
          <w:rFonts w:hint="cs"/>
          <w:rtl/>
        </w:rPr>
        <w:t>והרמב"ם</w:t>
      </w:r>
      <w:r w:rsidRPr="0050146A">
        <w:rPr>
          <w:rFonts w:hint="cs"/>
          <w:rtl/>
        </w:rPr>
        <w:t xml:space="preserve"> דס"ל דטעם כעיקר דרבנן. </w:t>
      </w:r>
      <w:r w:rsidRPr="0050146A">
        <w:rPr>
          <w:rStyle w:val="afa"/>
          <w:rFonts w:hint="cs"/>
          <w:rtl/>
        </w:rPr>
        <w:t>[כדפסק רש</w:t>
      </w:r>
      <w:r w:rsidRPr="0050146A">
        <w:rPr>
          <w:rStyle w:val="afa"/>
          <w:rtl/>
        </w:rPr>
        <w:t>"</w:t>
      </w:r>
      <w:r w:rsidRPr="0050146A">
        <w:rPr>
          <w:rStyle w:val="afa"/>
          <w:rFonts w:hint="cs"/>
          <w:rtl/>
        </w:rPr>
        <w:t>י כדעת רבא]</w:t>
      </w:r>
      <w:r w:rsidRPr="0050146A">
        <w:rPr>
          <w:rFonts w:hint="cs"/>
          <w:rtl/>
        </w:rPr>
        <w:t>.</w:t>
      </w:r>
    </w:p>
    <w:p w:rsidR="00BE3B3A" w:rsidRPr="0050146A" w:rsidRDefault="00BE3B3A" w:rsidP="00BE3B3A">
      <w:pPr>
        <w:pStyle w:val="a2"/>
        <w:rPr>
          <w:rtl/>
        </w:rPr>
      </w:pPr>
      <w:bookmarkStart w:id="2765" w:name="_Toc9149666"/>
      <w:bookmarkStart w:id="2766" w:name="_Toc9289852"/>
      <w:bookmarkStart w:id="2767" w:name="_Toc11573498"/>
      <w:r w:rsidRPr="0050146A">
        <w:rPr>
          <w:rFonts w:hint="cs"/>
          <w:rtl/>
        </w:rPr>
        <w:t>קושית הש"ך בשם עבודת הגרשוני דברא"ש משמע דבבקי בטעמים מהני מסל"ת אף ד</w:t>
      </w:r>
      <w:r w:rsidRPr="0050146A">
        <w:rPr>
          <w:rtl/>
        </w:rPr>
        <w:t>ט</w:t>
      </w:r>
      <w:r w:rsidRPr="0050146A">
        <w:rPr>
          <w:rFonts w:hint="cs"/>
          <w:rtl/>
        </w:rPr>
        <w:t>ע"</w:t>
      </w:r>
      <w:r w:rsidRPr="0050146A">
        <w:rPr>
          <w:rtl/>
        </w:rPr>
        <w:t>כ</w:t>
      </w:r>
      <w:r w:rsidRPr="0050146A">
        <w:rPr>
          <w:rFonts w:hint="cs"/>
          <w:rtl/>
        </w:rPr>
        <w:t xml:space="preserve"> דאו'</w:t>
      </w:r>
      <w:bookmarkEnd w:id="2765"/>
      <w:bookmarkEnd w:id="2766"/>
      <w:bookmarkEnd w:id="2767"/>
    </w:p>
    <w:p w:rsidR="00BE3B3A" w:rsidRPr="0050146A" w:rsidRDefault="00BE3B3A" w:rsidP="009F44AF">
      <w:pPr>
        <w:pStyle w:val="a"/>
        <w:rPr>
          <w:rtl/>
        </w:rPr>
      </w:pPr>
      <w:bookmarkStart w:id="2768" w:name="_Ref9148497"/>
      <w:r w:rsidRPr="0050146A">
        <w:rPr>
          <w:rFonts w:hint="cs"/>
          <w:rtl/>
        </w:rPr>
        <w:t xml:space="preserve">ועוד הביא </w:t>
      </w:r>
      <w:r w:rsidRPr="0050146A">
        <w:rPr>
          <w:rStyle w:val="af8"/>
          <w:rFonts w:hint="cs"/>
          <w:rtl/>
        </w:rPr>
        <w:t>הש"ך</w:t>
      </w:r>
      <w:r w:rsidRPr="0050146A">
        <w:rPr>
          <w:rFonts w:hint="cs"/>
          <w:rtl/>
        </w:rPr>
        <w:t xml:space="preserve"> בשם </w:t>
      </w:r>
      <w:r w:rsidRPr="0050146A">
        <w:rPr>
          <w:rStyle w:val="af8"/>
          <w:rFonts w:hint="cs"/>
          <w:rtl/>
        </w:rPr>
        <w:t>עבודת הגרשוני</w:t>
      </w:r>
      <w:bookmarkStart w:id="2769" w:name="_Ref8812748"/>
      <w:r w:rsidRPr="0050146A">
        <w:rPr>
          <w:rStyle w:val="af0"/>
          <w:rtl/>
        </w:rPr>
        <w:footnoteReference w:id="7"/>
      </w:r>
      <w:bookmarkEnd w:id="2769"/>
      <w:r w:rsidRPr="0050146A">
        <w:rPr>
          <w:rFonts w:hint="cs"/>
          <w:rtl/>
        </w:rPr>
        <w:t xml:space="preserve"> שהקשה על ביאור </w:t>
      </w:r>
      <w:r w:rsidRPr="0050146A">
        <w:rPr>
          <w:rStyle w:val="af8"/>
          <w:rFonts w:hint="cs"/>
          <w:rtl/>
        </w:rPr>
        <w:t>התרוה"ד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Ref9148601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בדעת </w:t>
      </w:r>
      <w:r w:rsidRPr="0050146A">
        <w:rPr>
          <w:rStyle w:val="af8"/>
          <w:rFonts w:hint="cs"/>
          <w:rtl/>
        </w:rPr>
        <w:t>הרא"ש</w:t>
      </w:r>
      <w:r w:rsidRPr="0050146A">
        <w:rPr>
          <w:rFonts w:hint="cs"/>
          <w:rtl/>
        </w:rPr>
        <w:t xml:space="preserve"> דהצריך גם קפילא דלא מרע אומנותיה וגם מסיח לפי תומו, דרק כיון שהוא אומן סמכינן עליו במסיח לפי תומו, דהא משמעות דברי </w:t>
      </w:r>
      <w:r w:rsidRPr="0050146A">
        <w:rPr>
          <w:rStyle w:val="af8"/>
          <w:rFonts w:hint="cs"/>
          <w:rtl/>
        </w:rPr>
        <w:t>הרא"ש</w:t>
      </w:r>
      <w:r w:rsidRPr="0050146A">
        <w:rPr>
          <w:rFonts w:hint="cs"/>
          <w:rtl/>
        </w:rPr>
        <w:t xml:space="preserve"> דהא הצריך קפילא אינו מדין נאמנות דלא מרע אומנותיה, דלענין הנאמנות סגי במה שהוא מסיח לפי תומו, והא דצריך קפילא, הוא כיון דבסתם עכו"ם חיישינן שאינו בקי להבחין אם יש טעם איסור, </w:t>
      </w:r>
      <w:r w:rsidRPr="0050146A">
        <w:rPr>
          <w:rStyle w:val="afa"/>
          <w:rFonts w:hint="cs"/>
          <w:rtl/>
        </w:rPr>
        <w:t xml:space="preserve">[והוסיף </w:t>
      </w:r>
      <w:r w:rsidRPr="0050146A">
        <w:rPr>
          <w:rStyle w:val="affa"/>
          <w:rFonts w:hint="cs"/>
          <w:rtl/>
        </w:rPr>
        <w:t>הש"ך</w:t>
      </w:r>
      <w:r w:rsidRPr="0050146A">
        <w:rPr>
          <w:rStyle w:val="afa"/>
          <w:rFonts w:hint="cs"/>
          <w:rtl/>
        </w:rPr>
        <w:t xml:space="preserve"> דכן משמע </w:t>
      </w:r>
      <w:r w:rsidRPr="0050146A">
        <w:rPr>
          <w:rStyle w:val="affa"/>
          <w:rFonts w:hint="cs"/>
          <w:rtl/>
        </w:rPr>
        <w:t>בב"י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Ref9148585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קיז)</w:t>
      </w:r>
      <w:r w:rsidRPr="0050146A">
        <w:rPr>
          <w:rStyle w:val="aff6"/>
          <w:rtl/>
        </w:rPr>
        <w:fldChar w:fldCharType="end"/>
      </w:r>
      <w:r w:rsidRPr="0050146A">
        <w:rPr>
          <w:rStyle w:val="aff6"/>
          <w:rFonts w:hint="cs"/>
          <w:rtl/>
        </w:rPr>
        <w:t xml:space="preserve"> </w:t>
      </w:r>
      <w:r w:rsidRPr="0050146A">
        <w:rPr>
          <w:rStyle w:val="afa"/>
          <w:rFonts w:hint="cs"/>
          <w:rtl/>
        </w:rPr>
        <w:t xml:space="preserve">בדעת </w:t>
      </w:r>
      <w:r w:rsidRPr="0050146A">
        <w:rPr>
          <w:rStyle w:val="affa"/>
          <w:rFonts w:hint="cs"/>
          <w:rtl/>
        </w:rPr>
        <w:t>הרא"ש</w:t>
      </w:r>
      <w:r w:rsidRPr="0050146A">
        <w:rPr>
          <w:rStyle w:val="afa"/>
          <w:rFonts w:hint="cs"/>
          <w:rtl/>
        </w:rPr>
        <w:t xml:space="preserve">, וכן היא דעת </w:t>
      </w:r>
      <w:r w:rsidRPr="0050146A">
        <w:rPr>
          <w:rStyle w:val="affa"/>
          <w:rFonts w:hint="cs"/>
          <w:rtl/>
        </w:rPr>
        <w:t>הרשב"א בתוה"ב</w:t>
      </w:r>
      <w:r w:rsidRPr="0050146A">
        <w:rPr>
          <w:rStyle w:val="afa"/>
          <w:rFonts w:hint="cs"/>
          <w:rtl/>
        </w:rPr>
        <w:t xml:space="preserve"> </w:t>
      </w:r>
      <w:r w:rsidRPr="0050146A">
        <w:rPr>
          <w:rStyle w:val="aff6"/>
          <w:rFonts w:hint="cs"/>
          <w:rtl/>
        </w:rPr>
        <w:t>(ב"ד ש"א טז. מדה"ס)</w:t>
      </w:r>
      <w:r w:rsidRPr="0050146A">
        <w:rPr>
          <w:rStyle w:val="afa"/>
          <w:rFonts w:hint="cs"/>
          <w:rtl/>
        </w:rPr>
        <w:t xml:space="preserve">], </w:t>
      </w:r>
      <w:r w:rsidRPr="0050146A">
        <w:rPr>
          <w:rFonts w:hint="cs"/>
          <w:rtl/>
        </w:rPr>
        <w:t xml:space="preserve">וא"כ אף בדעת </w:t>
      </w:r>
      <w:r w:rsidRPr="0050146A">
        <w:rPr>
          <w:rStyle w:val="af8"/>
          <w:rFonts w:hint="cs"/>
          <w:rtl/>
        </w:rPr>
        <w:t>הרא"ש</w:t>
      </w:r>
      <w:r w:rsidRPr="0050146A">
        <w:rPr>
          <w:rFonts w:hint="cs"/>
          <w:rtl/>
        </w:rPr>
        <w:t xml:space="preserve"> עדיין קשה קושית </w:t>
      </w:r>
      <w:r w:rsidRPr="0050146A">
        <w:rPr>
          <w:rStyle w:val="af8"/>
          <w:rFonts w:hint="cs"/>
          <w:rtl/>
        </w:rPr>
        <w:t>התרוה"ד</w:t>
      </w:r>
      <w:r w:rsidRPr="0050146A">
        <w:rPr>
          <w:rFonts w:hint="cs"/>
          <w:rtl/>
        </w:rPr>
        <w:t xml:space="preserve"> דמשמע דאי העכו"ם בקי בטעמים, אף בלא הסברא דאינו מרע אומנותיה, סמכינן עליה כיון שהוא מסיח לפי תומו, ומבואר דאעפ"י </w:t>
      </w:r>
      <w:r w:rsidRPr="0050146A">
        <w:rPr>
          <w:rStyle w:val="af8"/>
          <w:rFonts w:hint="cs"/>
          <w:rtl/>
        </w:rPr>
        <w:t>דהרא"ש</w:t>
      </w:r>
      <w:r w:rsidRPr="0050146A">
        <w:rPr>
          <w:rFonts w:hint="cs"/>
          <w:rtl/>
        </w:rPr>
        <w:t xml:space="preserve"> פסק דטכ"ע דאו' </w:t>
      </w:r>
      <w:r w:rsidRPr="0050146A">
        <w:rPr>
          <w:rStyle w:val="af8"/>
          <w:rFonts w:hint="cs"/>
          <w:rtl/>
        </w:rPr>
        <w:t>כר"ת בתוס' לקמן</w:t>
      </w:r>
      <w:r w:rsidRPr="0050146A">
        <w:rPr>
          <w:rFonts w:hint="cs"/>
          <w:rtl/>
        </w:rPr>
        <w:t xml:space="preserve"> </w:t>
      </w:r>
      <w:r w:rsidRPr="0050146A">
        <w:rPr>
          <w:rStyle w:val="af6"/>
          <w:rFonts w:eastAsia="Guttman Hodes" w:hint="cs"/>
          <w:rtl/>
        </w:rPr>
        <w:t>(צח: ד"ה רבא)</w:t>
      </w:r>
      <w:r w:rsidRPr="0050146A">
        <w:rPr>
          <w:rFonts w:hint="cs"/>
          <w:rtl/>
        </w:rPr>
        <w:t>, מ"מ ס"ל דסגי במסיח לפי תומו.</w:t>
      </w:r>
      <w:bookmarkEnd w:id="2768"/>
    </w:p>
    <w:p w:rsidR="00BE3B3A" w:rsidRPr="0050146A" w:rsidRDefault="00BE3B3A" w:rsidP="00BE3B3A">
      <w:pPr>
        <w:pStyle w:val="a2"/>
        <w:rPr>
          <w:rtl/>
        </w:rPr>
      </w:pPr>
      <w:bookmarkStart w:id="2770" w:name="_Toc9149667"/>
      <w:bookmarkStart w:id="2771" w:name="_Toc9289853"/>
      <w:bookmarkStart w:id="2772" w:name="_Toc11573499"/>
      <w:r w:rsidRPr="0050146A">
        <w:rPr>
          <w:rFonts w:hint="cs"/>
          <w:rtl/>
        </w:rPr>
        <w:t>קושית הש"ך בשם עבודת הגרשוני דאי הצריך הרא"ש שיהיה מסל"ת אמאי צריך שיהיה גם אומן</w:t>
      </w:r>
      <w:bookmarkEnd w:id="2770"/>
      <w:bookmarkEnd w:id="2771"/>
      <w:bookmarkEnd w:id="2772"/>
    </w:p>
    <w:p w:rsidR="00BE3B3A" w:rsidRPr="0050146A" w:rsidRDefault="00BE3B3A" w:rsidP="009F44AF">
      <w:pPr>
        <w:pStyle w:val="a"/>
        <w:rPr>
          <w:rtl/>
        </w:rPr>
      </w:pPr>
      <w:bookmarkStart w:id="2773" w:name="_Ref9148394"/>
      <w:r w:rsidRPr="0050146A">
        <w:rPr>
          <w:rFonts w:hint="cs"/>
          <w:rtl/>
        </w:rPr>
        <w:t xml:space="preserve">ועוד הקשה </w:t>
      </w:r>
      <w:r w:rsidRPr="0050146A">
        <w:rPr>
          <w:rStyle w:val="af8"/>
          <w:rFonts w:hint="cs"/>
          <w:rtl/>
        </w:rPr>
        <w:t>הש"ך</w:t>
      </w:r>
      <w:r w:rsidRPr="0050146A">
        <w:rPr>
          <w:rFonts w:hint="cs"/>
          <w:rtl/>
        </w:rPr>
        <w:t xml:space="preserve"> בשם </w:t>
      </w:r>
      <w:r w:rsidRPr="0050146A">
        <w:rPr>
          <w:rStyle w:val="af8"/>
          <w:rFonts w:hint="cs"/>
          <w:rtl/>
        </w:rPr>
        <w:t>עבודת הגרשוני</w:t>
      </w:r>
      <w:r w:rsidRPr="0050146A">
        <w:rPr>
          <w:vertAlign w:val="superscript"/>
          <w:rtl/>
        </w:rPr>
        <w:fldChar w:fldCharType="begin"/>
      </w:r>
      <w:r w:rsidRPr="0050146A">
        <w:rPr>
          <w:vertAlign w:val="superscript"/>
          <w:rtl/>
        </w:rPr>
        <w:instrText xml:space="preserve"> </w:instrText>
      </w:r>
      <w:r w:rsidRPr="0050146A">
        <w:rPr>
          <w:rFonts w:hint="cs"/>
          <w:vertAlign w:val="superscript"/>
        </w:rPr>
        <w:instrText>NOTEREF</w:instrText>
      </w:r>
      <w:r w:rsidRPr="0050146A">
        <w:rPr>
          <w:rFonts w:hint="cs"/>
          <w:vertAlign w:val="superscript"/>
          <w:rtl/>
        </w:rPr>
        <w:instrText xml:space="preserve"> _</w:instrText>
      </w:r>
      <w:r w:rsidRPr="0050146A">
        <w:rPr>
          <w:rFonts w:hint="cs"/>
          <w:vertAlign w:val="superscript"/>
        </w:rPr>
        <w:instrText>Ref8812748 \h</w:instrText>
      </w:r>
      <w:r w:rsidRPr="0050146A">
        <w:rPr>
          <w:vertAlign w:val="superscript"/>
          <w:rtl/>
        </w:rPr>
        <w:instrText xml:space="preserve">  \* </w:instrText>
      </w:r>
      <w:r w:rsidRPr="0050146A">
        <w:rPr>
          <w:vertAlign w:val="superscript"/>
        </w:rPr>
        <w:instrText>MERGEFORMAT</w:instrText>
      </w:r>
      <w:r w:rsidRPr="0050146A">
        <w:rPr>
          <w:vertAlign w:val="superscript"/>
          <w:rtl/>
        </w:rPr>
        <w:instrText xml:space="preserve"> </w:instrText>
      </w:r>
      <w:r w:rsidRPr="0050146A">
        <w:rPr>
          <w:vertAlign w:val="superscript"/>
          <w:rtl/>
        </w:rPr>
      </w:r>
      <w:r w:rsidRPr="0050146A">
        <w:rPr>
          <w:vertAlign w:val="superscript"/>
          <w:rtl/>
        </w:rPr>
        <w:fldChar w:fldCharType="separate"/>
      </w:r>
      <w:r w:rsidR="004D1C5B">
        <w:rPr>
          <w:vertAlign w:val="superscript"/>
          <w:rtl/>
        </w:rPr>
        <w:t>7</w:t>
      </w:r>
      <w:r w:rsidRPr="0050146A">
        <w:rPr>
          <w:vertAlign w:val="superscript"/>
          <w:rtl/>
        </w:rPr>
        <w:fldChar w:fldCharType="end"/>
      </w:r>
      <w:r w:rsidRPr="0050146A">
        <w:rPr>
          <w:rFonts w:hint="cs"/>
          <w:rtl/>
        </w:rPr>
        <w:t xml:space="preserve"> על ביאור </w:t>
      </w:r>
      <w:r w:rsidRPr="0050146A">
        <w:rPr>
          <w:rStyle w:val="af8"/>
          <w:rFonts w:hint="cs"/>
          <w:rtl/>
        </w:rPr>
        <w:t>התרוה"ד ברא"ש</w:t>
      </w:r>
      <w:r w:rsidRPr="0050146A">
        <w:rPr>
          <w:rFonts w:hint="cs"/>
          <w:rtl/>
        </w:rPr>
        <w:t xml:space="preserve"> דמוכח דס"ל </w:t>
      </w:r>
      <w:r w:rsidRPr="0050146A">
        <w:rPr>
          <w:rStyle w:val="af8"/>
          <w:rFonts w:hint="cs"/>
          <w:rtl/>
        </w:rPr>
        <w:t>להרא"ש</w:t>
      </w:r>
      <w:r w:rsidRPr="0050146A">
        <w:rPr>
          <w:rFonts w:hint="cs"/>
          <w:rtl/>
        </w:rPr>
        <w:t xml:space="preserve"> דהנאמנות היא רק מחמת דהוא מסיח לפי תומו, דאי הקפילא נאמן מחמת דלא מרע אומנותיה, א"כ אמאי הצריך </w:t>
      </w:r>
      <w:r w:rsidRPr="0050146A">
        <w:rPr>
          <w:rStyle w:val="af8"/>
          <w:rFonts w:hint="cs"/>
          <w:rtl/>
        </w:rPr>
        <w:t>הרא"ש</w:t>
      </w:r>
      <w:r w:rsidRPr="0050146A">
        <w:rPr>
          <w:rFonts w:hint="cs"/>
          <w:rtl/>
        </w:rPr>
        <w:t xml:space="preserve"> שיהיה מסיח לפי תומו, ולא סגי בנאמנות דאינו מרע אומנותיה, [</w:t>
      </w:r>
      <w:r w:rsidRPr="0050146A">
        <w:rPr>
          <w:rStyle w:val="afa"/>
          <w:rFonts w:hint="cs"/>
          <w:rtl/>
        </w:rPr>
        <w:t xml:space="preserve">ועי' במה שדחה </w:t>
      </w:r>
      <w:r w:rsidRPr="0050146A">
        <w:rPr>
          <w:rStyle w:val="affa"/>
          <w:rFonts w:hint="cs"/>
          <w:rtl/>
        </w:rPr>
        <w:t>הפרמ"ג</w:t>
      </w:r>
      <w:r w:rsidRPr="0050146A">
        <w:rPr>
          <w:rStyle w:val="afa"/>
          <w:rFonts w:hint="cs"/>
          <w:rtl/>
        </w:rPr>
        <w:t xml:space="preserve"> </w:t>
      </w:r>
      <w:r w:rsidRPr="0050146A">
        <w:rPr>
          <w:rStyle w:val="aff6"/>
          <w:rFonts w:hint="cs"/>
          <w:rtl/>
        </w:rPr>
        <w:t>(סי' צ"ח שפ"ד סק"ב)</w:t>
      </w:r>
      <w:r w:rsidRPr="0050146A">
        <w:rPr>
          <w:rStyle w:val="afa"/>
          <w:rFonts w:hint="cs"/>
          <w:rtl/>
        </w:rPr>
        <w:t xml:space="preserve"> את דברי </w:t>
      </w:r>
      <w:r w:rsidRPr="0050146A">
        <w:rPr>
          <w:rStyle w:val="affa"/>
          <w:rFonts w:hint="cs"/>
          <w:rtl/>
        </w:rPr>
        <w:t>עבודת הגרשוני</w:t>
      </w:r>
      <w:bookmarkEnd w:id="2773"/>
      <w:r w:rsidRPr="0050146A">
        <w:rPr>
          <w:rStyle w:val="afa"/>
          <w:rFonts w:hint="cs"/>
          <w:rtl/>
        </w:rPr>
        <w:t xml:space="preserve">, ובמ"ש </w:t>
      </w:r>
      <w:r w:rsidRPr="0050146A">
        <w:rPr>
          <w:rStyle w:val="affa"/>
          <w:rFonts w:hint="cs"/>
          <w:rtl/>
        </w:rPr>
        <w:t>הפרי תאר [לבעל האוה"ח]</w:t>
      </w:r>
      <w:r w:rsidRPr="0050146A">
        <w:rPr>
          <w:rStyle w:val="afa"/>
          <w:rFonts w:hint="cs"/>
          <w:rtl/>
        </w:rPr>
        <w:t xml:space="preserve"> </w:t>
      </w:r>
      <w:r w:rsidRPr="0050146A">
        <w:rPr>
          <w:rStyle w:val="aff6"/>
          <w:rFonts w:hint="cs"/>
          <w:rtl/>
        </w:rPr>
        <w:t>(סי' צ"ב סק"ג)</w:t>
      </w:r>
      <w:r w:rsidRPr="0050146A">
        <w:rPr>
          <w:rStyle w:val="afa"/>
          <w:rFonts w:hint="cs"/>
          <w:rtl/>
        </w:rPr>
        <w:t xml:space="preserve"> באריכות, עיי"ש], </w:t>
      </w:r>
      <w:r w:rsidRPr="0050146A">
        <w:rPr>
          <w:rFonts w:hint="cs"/>
          <w:rtl/>
        </w:rPr>
        <w:t>ועוד הקשה</w:t>
      </w:r>
      <w:r w:rsidRPr="0050146A">
        <w:rPr>
          <w:rStyle w:val="af8"/>
          <w:rFonts w:hint="cs"/>
          <w:rtl/>
        </w:rPr>
        <w:t xml:space="preserve"> הש"ך</w:t>
      </w:r>
      <w:r w:rsidRPr="0050146A">
        <w:rPr>
          <w:rFonts w:hint="cs"/>
          <w:rtl/>
        </w:rPr>
        <w:t xml:space="preserve"> על </w:t>
      </w:r>
      <w:r w:rsidRPr="0050146A">
        <w:rPr>
          <w:rStyle w:val="af8"/>
          <w:rFonts w:hint="cs"/>
          <w:rtl/>
        </w:rPr>
        <w:t>השו"ע</w:t>
      </w:r>
      <w:r w:rsidRPr="0050146A">
        <w:rPr>
          <w:rFonts w:hint="cs"/>
          <w:rtl/>
        </w:rPr>
        <w:t xml:space="preserve"> </w:t>
      </w:r>
      <w:r w:rsidRPr="0050146A">
        <w:rPr>
          <w:rStyle w:val="af6"/>
          <w:rFonts w:eastAsia="Guttman Hodes" w:hint="cs"/>
          <w:rtl/>
        </w:rPr>
        <w:t>(סי' צ"ח א')</w:t>
      </w:r>
      <w:r w:rsidRPr="0050146A">
        <w:rPr>
          <w:rFonts w:hint="cs"/>
          <w:rtl/>
        </w:rPr>
        <w:t xml:space="preserve">  דלא פירש את פסקיו, וכן הקשה על </w:t>
      </w:r>
      <w:r w:rsidRPr="0050146A">
        <w:rPr>
          <w:rStyle w:val="af8"/>
          <w:rFonts w:hint="cs"/>
          <w:rtl/>
        </w:rPr>
        <w:t>היש"ש</w:t>
      </w:r>
      <w:r w:rsidRPr="0050146A">
        <w:rPr>
          <w:rFonts w:hint="cs"/>
          <w:rtl/>
        </w:rPr>
        <w:t xml:space="preserve"> </w:t>
      </w:r>
      <w:r w:rsidRPr="0050146A">
        <w:rPr>
          <w:rStyle w:val="af6"/>
          <w:rFonts w:eastAsia="Guttman Hodes" w:hint="cs"/>
          <w:rtl/>
        </w:rPr>
        <w:t>(בפירקין סי' ל"ג)</w:t>
      </w:r>
      <w:r w:rsidRPr="0050146A">
        <w:rPr>
          <w:rFonts w:hint="cs"/>
          <w:rtl/>
        </w:rPr>
        <w:t xml:space="preserve"> דפסק דאף בזמן הזה סמכינן על טעימת עכו"ם במסיח לפי תומו, אף בסתם עכו"ם שאינו קפילא, ואילו בדין טעם כעיקר הביא </w:t>
      </w:r>
      <w:r w:rsidRPr="0050146A">
        <w:rPr>
          <w:rStyle w:val="af8"/>
          <w:rFonts w:hint="cs"/>
          <w:rtl/>
        </w:rPr>
        <w:t>היש"ש</w:t>
      </w:r>
      <w:r w:rsidRPr="0050146A">
        <w:rPr>
          <w:rFonts w:hint="cs"/>
          <w:rtl/>
        </w:rPr>
        <w:t xml:space="preserve"> </w:t>
      </w:r>
      <w:r w:rsidRPr="0050146A">
        <w:rPr>
          <w:rStyle w:val="af6"/>
          <w:rFonts w:eastAsia="Guttman Hodes" w:hint="cs"/>
          <w:rtl/>
        </w:rPr>
        <w:t>(בפירקין סי' מ"ו ד"ה ומ"מ לענין)</w:t>
      </w:r>
      <w:r w:rsidRPr="0050146A">
        <w:rPr>
          <w:rFonts w:hint="cs"/>
          <w:rtl/>
        </w:rPr>
        <w:t xml:space="preserve"> את דעת </w:t>
      </w:r>
      <w:r w:rsidRPr="0050146A">
        <w:rPr>
          <w:rStyle w:val="af8"/>
          <w:rFonts w:hint="cs"/>
          <w:rtl/>
        </w:rPr>
        <w:t>הרשב"א</w:t>
      </w:r>
      <w:r w:rsidRPr="0050146A">
        <w:rPr>
          <w:rFonts w:hint="cs"/>
          <w:rtl/>
        </w:rPr>
        <w:t xml:space="preserve"> דטכ"ע דאו', וכתב דהוא מדינא ואינו רק לחומרא, וא"כ היאך סמכינן בזה על עכו"ם במס"לת.</w:t>
      </w:r>
    </w:p>
    <w:p w:rsidR="00BE3B3A" w:rsidRPr="0050146A" w:rsidRDefault="00BE3B3A" w:rsidP="00BE3B3A">
      <w:pPr>
        <w:pStyle w:val="a2"/>
        <w:rPr>
          <w:rtl/>
        </w:rPr>
      </w:pPr>
      <w:bookmarkStart w:id="2774" w:name="_Toc9149668"/>
      <w:bookmarkStart w:id="2775" w:name="_Toc9289854"/>
      <w:bookmarkStart w:id="2776" w:name="_Toc11573500"/>
      <w:r w:rsidRPr="0050146A">
        <w:rPr>
          <w:rFonts w:hint="cs"/>
          <w:rtl/>
        </w:rPr>
        <w:t>דברי הש"ך דבדאו' אין נאמנות במסל"ת אף במקום שלא איתחזק איסורא</w:t>
      </w:r>
      <w:bookmarkEnd w:id="2774"/>
      <w:bookmarkEnd w:id="2775"/>
      <w:bookmarkEnd w:id="2776"/>
    </w:p>
    <w:p w:rsidR="00BE3B3A" w:rsidRPr="0050146A" w:rsidRDefault="00BE3B3A" w:rsidP="009F44AF">
      <w:pPr>
        <w:pStyle w:val="a"/>
        <w:rPr>
          <w:rtl/>
        </w:rPr>
      </w:pPr>
      <w:bookmarkStart w:id="2777" w:name="_Ref8551820"/>
      <w:r w:rsidRPr="0050146A">
        <w:rPr>
          <w:rFonts w:hint="cs"/>
          <w:rtl/>
        </w:rPr>
        <w:lastRenderedPageBreak/>
        <w:t xml:space="preserve">והביא </w:t>
      </w:r>
      <w:r w:rsidRPr="0050146A">
        <w:rPr>
          <w:rStyle w:val="af8"/>
          <w:rFonts w:hint="cs"/>
          <w:rtl/>
        </w:rPr>
        <w:t>הש"ך</w:t>
      </w:r>
      <w:r w:rsidRPr="0050146A">
        <w:rPr>
          <w:rFonts w:hint="cs"/>
          <w:rtl/>
        </w:rPr>
        <w:t xml:space="preserve"> בשם </w:t>
      </w:r>
      <w:r w:rsidRPr="0050146A">
        <w:rPr>
          <w:rStyle w:val="af8"/>
          <w:rFonts w:hint="cs"/>
          <w:rtl/>
        </w:rPr>
        <w:t>י"א</w:t>
      </w:r>
      <w:r w:rsidRPr="0050146A">
        <w:rPr>
          <w:rFonts w:hint="cs"/>
          <w:rtl/>
        </w:rPr>
        <w:t xml:space="preserve"> דתירצו דהא דאיתא בב"ק </w:t>
      </w:r>
      <w:r w:rsidRPr="0050146A">
        <w:rPr>
          <w:rStyle w:val="af6"/>
          <w:rFonts w:eastAsia="Guttman Hodes" w:hint="cs"/>
          <w:rtl/>
        </w:rPr>
        <w:t>(קיד:)</w:t>
      </w:r>
      <w:r w:rsidRPr="0050146A">
        <w:rPr>
          <w:rFonts w:hint="cs"/>
          <w:rtl/>
        </w:rPr>
        <w:t xml:space="preserve"> דבדאו' עכו"ם אינו נאמן במסיח לפי תומו, היינו דוקא במקום דאיתחזק איסורא, אבל הכא שלא ידעינן אם יש כאן טעם איסור נאמן, וכתב </w:t>
      </w:r>
      <w:r w:rsidRPr="0050146A">
        <w:rPr>
          <w:rStyle w:val="af8"/>
          <w:rFonts w:hint="cs"/>
          <w:rtl/>
        </w:rPr>
        <w:t>הש"ך</w:t>
      </w:r>
      <w:r w:rsidRPr="0050146A">
        <w:rPr>
          <w:rFonts w:hint="cs"/>
          <w:rtl/>
        </w:rPr>
        <w:t xml:space="preserve"> דהוא דוחק</w:t>
      </w:r>
      <w:r w:rsidRPr="0050146A">
        <w:rPr>
          <w:rStyle w:val="afa"/>
          <w:rFonts w:hint="cs"/>
          <w:rtl/>
        </w:rPr>
        <w:t xml:space="preserve">, [ועוד הקשה </w:t>
      </w:r>
      <w:r w:rsidRPr="0050146A">
        <w:rPr>
          <w:rStyle w:val="affa"/>
          <w:rFonts w:hint="cs"/>
          <w:rtl/>
        </w:rPr>
        <w:t xml:space="preserve">הש"ך </w:t>
      </w:r>
      <w:r w:rsidRPr="0050146A">
        <w:rPr>
          <w:rStyle w:val="afa"/>
          <w:rFonts w:hint="cs"/>
          <w:rtl/>
        </w:rPr>
        <w:t>דלא משמע כן בגמ' בב"ק, דמקשה מדין שבויה, אעפ"י דלא איתחזק איסורא],</w:t>
      </w:r>
      <w:r w:rsidRPr="0050146A">
        <w:rPr>
          <w:rFonts w:hint="cs"/>
          <w:rtl/>
        </w:rPr>
        <w:t xml:space="preserve"> וכתב </w:t>
      </w:r>
      <w:r w:rsidRPr="0050146A">
        <w:rPr>
          <w:rStyle w:val="af8"/>
          <w:rFonts w:hint="cs"/>
          <w:rtl/>
        </w:rPr>
        <w:t>הש"ך</w:t>
      </w:r>
      <w:r w:rsidRPr="0050146A">
        <w:rPr>
          <w:rFonts w:hint="cs"/>
          <w:rtl/>
        </w:rPr>
        <w:t xml:space="preserve"> דאף </w:t>
      </w:r>
      <w:r w:rsidRPr="0050146A">
        <w:rPr>
          <w:rStyle w:val="af8"/>
          <w:rFonts w:hint="cs"/>
          <w:rtl/>
        </w:rPr>
        <w:t>דהריב"ש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Ref9147378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sidRPr="0050146A">
        <w:rPr>
          <w:rStyle w:val="af6"/>
          <w:rFonts w:eastAsia="Guttman Hodes"/>
          <w:rtl/>
        </w:rPr>
        <w:fldChar w:fldCharType="end"/>
      </w:r>
      <w:r w:rsidRPr="0050146A">
        <w:rPr>
          <w:rFonts w:hint="cs"/>
          <w:rtl/>
        </w:rPr>
        <w:t xml:space="preserve"> כתב דעכו"ם אינו נאמן במסיח לפי תומו במקום דאיתחזק איסורא, ביאר </w:t>
      </w:r>
      <w:r w:rsidRPr="0050146A">
        <w:rPr>
          <w:rStyle w:val="af8"/>
          <w:rFonts w:hint="cs"/>
          <w:rtl/>
        </w:rPr>
        <w:t>הש"ך</w:t>
      </w:r>
      <w:r w:rsidRPr="0050146A">
        <w:rPr>
          <w:rFonts w:hint="cs"/>
          <w:rtl/>
        </w:rPr>
        <w:t xml:space="preserve"> דצ"ל דס"ל </w:t>
      </w:r>
      <w:r w:rsidRPr="0050146A">
        <w:rPr>
          <w:rStyle w:val="af8"/>
          <w:rFonts w:hint="cs"/>
          <w:rtl/>
        </w:rPr>
        <w:t>להריב"ש</w:t>
      </w:r>
      <w:r w:rsidRPr="0050146A">
        <w:rPr>
          <w:rFonts w:hint="cs"/>
          <w:rtl/>
        </w:rPr>
        <w:t xml:space="preserve"> </w:t>
      </w:r>
      <w:r w:rsidRPr="0050146A">
        <w:rPr>
          <w:rStyle w:val="af8"/>
          <w:rFonts w:hint="cs"/>
          <w:rtl/>
        </w:rPr>
        <w:t>כרש"י</w:t>
      </w:r>
      <w:r w:rsidRPr="0050146A">
        <w:rPr>
          <w:rStyle w:val="af6"/>
          <w:rFonts w:eastAsia="Guttman Hodes" w:hint="cs"/>
          <w:rtl/>
        </w:rPr>
        <w:t xml:space="preserve"> (צח: ד"ה לטעם)</w:t>
      </w:r>
      <w:r w:rsidRPr="0050146A">
        <w:rPr>
          <w:rFonts w:hint="cs"/>
          <w:rtl/>
        </w:rPr>
        <w:t xml:space="preserve"> דטעם כעיקר דרבנן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w:t>
      </w:r>
      <w:r w:rsidRPr="0050146A">
        <w:rPr>
          <w:rFonts w:hint="cs"/>
          <w:rtl/>
        </w:rPr>
        <w:t>, ולכן במקום יש חילוק אם הוחזק האיסור, אבל בדאו' אין כל חילוק בזה, ואין נאמנות לעכו"ם במסיח לפי תומו אף דלא איתחזק איסורא.</w:t>
      </w:r>
      <w:bookmarkEnd w:id="2777"/>
    </w:p>
    <w:p w:rsidR="00BE3B3A" w:rsidRPr="0050146A" w:rsidRDefault="00BE3B3A" w:rsidP="00BE3B3A">
      <w:pPr>
        <w:pStyle w:val="a2"/>
        <w:rPr>
          <w:rtl/>
        </w:rPr>
      </w:pPr>
      <w:bookmarkStart w:id="2778" w:name="_Toc9149669"/>
      <w:bookmarkStart w:id="2779" w:name="_Toc9289855"/>
      <w:bookmarkStart w:id="2780" w:name="_Toc11573501"/>
      <w:r w:rsidRPr="0050146A">
        <w:rPr>
          <w:rFonts w:hint="cs"/>
          <w:rtl/>
        </w:rPr>
        <w:t>מסקנת הש"ך דהנאמנות במסל"ת הוא רק במילתא דעבידא לאיגלויי</w:t>
      </w:r>
      <w:bookmarkEnd w:id="2778"/>
      <w:bookmarkEnd w:id="2779"/>
      <w:bookmarkEnd w:id="2780"/>
    </w:p>
    <w:p w:rsidR="00BE3B3A" w:rsidRPr="0050146A" w:rsidRDefault="00BE3B3A" w:rsidP="009F44AF">
      <w:pPr>
        <w:pStyle w:val="a"/>
        <w:rPr>
          <w:rtl/>
        </w:rPr>
      </w:pPr>
      <w:r w:rsidRPr="0050146A">
        <w:rPr>
          <w:rFonts w:hint="cs"/>
          <w:rtl/>
        </w:rPr>
        <w:t xml:space="preserve">אלא תירץ </w:t>
      </w:r>
      <w:r w:rsidRPr="0050146A">
        <w:rPr>
          <w:rStyle w:val="af8"/>
          <w:rFonts w:hint="cs"/>
          <w:rtl/>
        </w:rPr>
        <w:t>הש"ך</w:t>
      </w:r>
      <w:r w:rsidRPr="0050146A">
        <w:rPr>
          <w:rFonts w:hint="cs"/>
          <w:rtl/>
        </w:rPr>
        <w:t xml:space="preserve"> דהא דבדאו' עכו"ם נאמן במסיח לפי תומו, היינו דוקא במילתא דעבידא לאיגלויי, כדכתב </w:t>
      </w:r>
      <w:r w:rsidRPr="0050146A">
        <w:rPr>
          <w:rStyle w:val="af8"/>
          <w:rFonts w:hint="cs"/>
          <w:rtl/>
        </w:rPr>
        <w:t>הריב"ש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Ref8551788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sidRPr="0050146A">
        <w:rPr>
          <w:rStyle w:val="af6"/>
          <w:rFonts w:eastAsia="Guttman Hodes"/>
          <w:rtl/>
        </w:rPr>
        <w:fldChar w:fldCharType="end"/>
      </w:r>
      <w:r w:rsidRPr="0050146A">
        <w:rPr>
          <w:rFonts w:hint="cs"/>
          <w:rtl/>
        </w:rPr>
        <w:t>, ובקפילא כיון דהוא עבידא לאיגלויי, סמכינן עליו כשהוא מסיח לפי תומו.</w:t>
      </w:r>
    </w:p>
    <w:p w:rsidR="00BE3B3A" w:rsidRPr="0050146A" w:rsidRDefault="00BE3B3A" w:rsidP="00BE3B3A">
      <w:pPr>
        <w:pStyle w:val="1"/>
        <w:rPr>
          <w:rtl/>
        </w:rPr>
      </w:pPr>
      <w:bookmarkStart w:id="2781" w:name="_Toc9149670"/>
      <w:bookmarkStart w:id="2782" w:name="_Toc9289856"/>
      <w:bookmarkStart w:id="2783" w:name="_Toc11573502"/>
      <w:r w:rsidRPr="0050146A">
        <w:rPr>
          <w:rFonts w:hint="cs"/>
          <w:rtl/>
        </w:rPr>
        <w:t>דעת הט"ז דבאיסור והיתר שאינו עדות מסל"ת נאמן אף בדאו'</w:t>
      </w:r>
      <w:bookmarkEnd w:id="2781"/>
      <w:bookmarkEnd w:id="2782"/>
      <w:bookmarkEnd w:id="2783"/>
    </w:p>
    <w:p w:rsidR="00BE3B3A" w:rsidRPr="0050146A" w:rsidRDefault="00BE3B3A" w:rsidP="00BE3B3A">
      <w:pPr>
        <w:pStyle w:val="a2"/>
        <w:rPr>
          <w:rtl/>
        </w:rPr>
      </w:pPr>
      <w:bookmarkStart w:id="2784" w:name="_Toc9149671"/>
      <w:bookmarkStart w:id="2785" w:name="_Toc9289857"/>
      <w:bookmarkStart w:id="2786" w:name="_Toc11573503"/>
      <w:r w:rsidRPr="0050146A">
        <w:rPr>
          <w:rFonts w:hint="cs"/>
          <w:rtl/>
        </w:rPr>
        <w:t>דברי הט"ז דבאיסור והיתר שא"צ נאמנות גמורה אף בדאו' סמכינן על מסל"ת</w:t>
      </w:r>
      <w:bookmarkEnd w:id="2784"/>
      <w:bookmarkEnd w:id="2785"/>
      <w:bookmarkEnd w:id="2786"/>
    </w:p>
    <w:p w:rsidR="00BE3B3A" w:rsidRPr="0050146A" w:rsidRDefault="00BE3B3A" w:rsidP="009F44AF">
      <w:pPr>
        <w:pStyle w:val="a"/>
        <w:rPr>
          <w:sz w:val="10"/>
          <w:szCs w:val="14"/>
          <w:rtl/>
        </w:rPr>
      </w:pPr>
      <w:r w:rsidRPr="0050146A">
        <w:rPr>
          <w:rStyle w:val="af8"/>
          <w:rFonts w:hint="cs"/>
          <w:rtl/>
        </w:rPr>
        <w:t>והט"ז</w:t>
      </w:r>
      <w:r w:rsidRPr="0050146A">
        <w:rPr>
          <w:rFonts w:hint="cs"/>
          <w:rtl/>
        </w:rPr>
        <w:t xml:space="preserve"> </w:t>
      </w:r>
      <w:r w:rsidRPr="0050146A">
        <w:rPr>
          <w:rStyle w:val="af6"/>
          <w:rFonts w:eastAsia="Guttman Hodes" w:hint="cs"/>
          <w:rtl/>
        </w:rPr>
        <w:t>(סי' צ"ח סק"ב)</w:t>
      </w:r>
      <w:r w:rsidRPr="0050146A">
        <w:rPr>
          <w:rFonts w:hint="cs"/>
          <w:rtl/>
        </w:rPr>
        <w:t xml:space="preserve"> ביאר דס"ל </w:t>
      </w:r>
      <w:r w:rsidRPr="0050146A">
        <w:rPr>
          <w:rStyle w:val="af8"/>
          <w:rFonts w:hint="cs"/>
          <w:rtl/>
        </w:rPr>
        <w:t>להרשב"א והרא"ש</w:t>
      </w:r>
      <w:r w:rsidRPr="0050146A">
        <w:rPr>
          <w:rFonts w:hint="cs"/>
          <w:rtl/>
        </w:rPr>
        <w:t xml:space="preserve"> דהקפילא נאמן במסיח לפי תומו, אעפ"י דס"ל דטעם כעיקר דאו', הוא כיון דהא דאיתא בב"ק </w:t>
      </w:r>
      <w:r w:rsidRPr="0050146A">
        <w:rPr>
          <w:rStyle w:val="af6"/>
          <w:rFonts w:eastAsia="Guttman Hodes" w:hint="cs"/>
          <w:rtl/>
        </w:rPr>
        <w:t>(קיד:)</w:t>
      </w:r>
      <w:r w:rsidRPr="0050146A">
        <w:rPr>
          <w:rFonts w:hint="cs"/>
          <w:rtl/>
        </w:rPr>
        <w:t xml:space="preserve"> דבדאו' עכו"ם לא נאמן במסיח לפי תומו, היינו בדבר שצריך עדות, אבל באיסור והיתר שא"צ בהם עדות גמורה, כל שיש לנו הוכחה סמכינן עלה, ולכן עכו"ם נאמן במסיח לפי תומו דהוא סברא שאין בו טעם איסור ובאיסור והיתה סגי בזה.</w:t>
      </w:r>
    </w:p>
    <w:p w:rsidR="00BE3B3A" w:rsidRPr="0050146A" w:rsidRDefault="00BE3B3A" w:rsidP="00BE3B3A">
      <w:pPr>
        <w:pStyle w:val="a2"/>
        <w:rPr>
          <w:rtl/>
        </w:rPr>
      </w:pPr>
      <w:bookmarkStart w:id="2787" w:name="_Toc9149672"/>
      <w:bookmarkStart w:id="2788" w:name="_Toc9289858"/>
      <w:bookmarkStart w:id="2789" w:name="_Toc11573504"/>
      <w:r w:rsidRPr="0050146A">
        <w:rPr>
          <w:rFonts w:hint="cs"/>
          <w:rtl/>
        </w:rPr>
        <w:t>דברי הט"ז דמוכח דא"צ עדות מהא דסמכינן על קפילא דלא מרע חזקתו אף שאינו מסל"ת</w:t>
      </w:r>
      <w:bookmarkEnd w:id="2787"/>
      <w:bookmarkEnd w:id="2788"/>
      <w:bookmarkEnd w:id="2789"/>
    </w:p>
    <w:p w:rsidR="00C940DD" w:rsidRDefault="00BE3B3A" w:rsidP="009F44AF">
      <w:pPr>
        <w:pStyle w:val="a"/>
        <w:numPr>
          <w:ilvl w:val="0"/>
          <w:numId w:val="0"/>
        </w:numPr>
        <w:rPr>
          <w:rStyle w:val="afa"/>
          <w:rtl/>
        </w:rPr>
        <w:sectPr w:rsidR="00C940DD" w:rsidSect="00346F46">
          <w:type w:val="continuous"/>
          <w:pgSz w:w="11906" w:h="16838"/>
          <w:pgMar w:top="720" w:right="720" w:bottom="720" w:left="720" w:header="283" w:footer="283" w:gutter="0"/>
          <w:cols w:num="2" w:space="567"/>
          <w:bidi/>
          <w:rtlGutter/>
          <w:docGrid w:linePitch="299"/>
        </w:sectPr>
      </w:pPr>
      <w:r w:rsidRPr="0050146A">
        <w:rPr>
          <w:rFonts w:hint="cs"/>
          <w:rtl/>
        </w:rPr>
        <w:t xml:space="preserve">וכתב </w:t>
      </w:r>
      <w:r w:rsidRPr="0050146A">
        <w:rPr>
          <w:rStyle w:val="af8"/>
          <w:rFonts w:hint="cs"/>
          <w:rtl/>
        </w:rPr>
        <w:t>הט"ז</w:t>
      </w:r>
      <w:r w:rsidRPr="0050146A">
        <w:rPr>
          <w:rFonts w:hint="cs"/>
          <w:rtl/>
        </w:rPr>
        <w:t xml:space="preserve"> דכן מוכח מהא דסמכינן על הקפילא אף שאינו מסיח לפי תומו, כיון דלא מרע חזקתו, ובמקום שיש דין עדות הרי לא מהני נאמנות דלא מרע חזקת, אלא ודאי דבאיסור והיתר סגי בהוכחה וא"צ עדות. </w:t>
      </w:r>
      <w:r w:rsidRPr="0050146A">
        <w:rPr>
          <w:rStyle w:val="afa"/>
          <w:rFonts w:hint="cs"/>
          <w:rtl/>
        </w:rPr>
        <w:t xml:space="preserve">[אך כתב </w:t>
      </w:r>
      <w:r w:rsidRPr="0050146A">
        <w:rPr>
          <w:rStyle w:val="affa"/>
          <w:rFonts w:hint="cs"/>
          <w:rtl/>
        </w:rPr>
        <w:t>הט"ז</w:t>
      </w:r>
      <w:r w:rsidRPr="0050146A">
        <w:rPr>
          <w:rStyle w:val="afa"/>
          <w:rFonts w:hint="cs"/>
          <w:rtl/>
        </w:rPr>
        <w:t xml:space="preserve"> דאף דכן מבואר בדעת </w:t>
      </w:r>
      <w:r w:rsidRPr="0050146A">
        <w:rPr>
          <w:rStyle w:val="affa"/>
          <w:rFonts w:hint="cs"/>
          <w:rtl/>
        </w:rPr>
        <w:t>הרשב"א והרא"ש</w:t>
      </w:r>
      <w:r w:rsidRPr="0050146A">
        <w:rPr>
          <w:rStyle w:val="afa"/>
          <w:rFonts w:hint="cs"/>
          <w:rtl/>
        </w:rPr>
        <w:t>, מ"מ להלכה קיי"ל דבדאו' לא סמכינן על מסיח לפי תומו בשום מקום].</w:t>
      </w:r>
    </w:p>
    <w:p w:rsidR="002D7168" w:rsidRDefault="002D7168" w:rsidP="009F44AF">
      <w:pPr>
        <w:pStyle w:val="a"/>
        <w:numPr>
          <w:ilvl w:val="0"/>
          <w:numId w:val="0"/>
        </w:numPr>
        <w:rPr>
          <w:rStyle w:val="afa"/>
          <w:rtl/>
        </w:rPr>
      </w:pPr>
    </w:p>
    <w:p w:rsidR="00C940DD" w:rsidRDefault="00C940DD" w:rsidP="009F44AF">
      <w:pPr>
        <w:pStyle w:val="a"/>
        <w:rPr>
          <w:rtl/>
        </w:rPr>
        <w:sectPr w:rsidR="00C940DD" w:rsidSect="00346F46">
          <w:type w:val="continuous"/>
          <w:pgSz w:w="11906" w:h="16838"/>
          <w:pgMar w:top="720" w:right="720" w:bottom="720" w:left="720" w:header="283" w:footer="283" w:gutter="0"/>
          <w:cols w:num="2" w:space="567"/>
          <w:bidi/>
          <w:rtlGutter/>
          <w:docGrid w:linePitch="299"/>
        </w:sectPr>
      </w:pPr>
    </w:p>
    <w:p w:rsidR="00C940DD" w:rsidRPr="00C940DD" w:rsidRDefault="00C940DD" w:rsidP="009F44AF">
      <w:pPr>
        <w:pStyle w:val="a"/>
        <w:rPr>
          <w:rtl/>
        </w:rPr>
        <w:sectPr w:rsidR="00C940DD" w:rsidRPr="00C940DD" w:rsidSect="00C940DD">
          <w:headerReference w:type="default" r:id="rId27"/>
          <w:pgSz w:w="11906" w:h="16838"/>
          <w:pgMar w:top="720" w:right="720" w:bottom="720" w:left="720" w:header="283" w:footer="283" w:gutter="0"/>
          <w:cols w:num="2" w:space="567"/>
          <w:bidi/>
          <w:rtlGutter/>
          <w:docGrid w:linePitch="299"/>
        </w:sectPr>
      </w:pPr>
    </w:p>
    <w:p w:rsidR="00346F46" w:rsidRPr="0050146A" w:rsidRDefault="00346F46" w:rsidP="009F44AF">
      <w:pPr>
        <w:pStyle w:val="a"/>
        <w:numPr>
          <w:ilvl w:val="0"/>
          <w:numId w:val="0"/>
        </w:numPr>
        <w:rPr>
          <w:rtl/>
        </w:rPr>
        <w:sectPr w:rsidR="00346F46" w:rsidRPr="0050146A" w:rsidSect="00010471">
          <w:type w:val="continuous"/>
          <w:pgSz w:w="11906" w:h="16838"/>
          <w:pgMar w:top="720" w:right="720" w:bottom="720" w:left="720" w:header="283" w:footer="283" w:gutter="0"/>
          <w:cols w:num="2" w:space="567"/>
          <w:bidi/>
          <w:rtlGutter/>
          <w:docGrid w:linePitch="299"/>
        </w:sectPr>
      </w:pPr>
    </w:p>
    <w:p w:rsidR="00B2572D" w:rsidRPr="0050146A" w:rsidRDefault="00B2572D" w:rsidP="005B1A17">
      <w:pPr>
        <w:pStyle w:val="afc"/>
        <w:rPr>
          <w:rtl/>
        </w:rPr>
      </w:pPr>
      <w:bookmarkStart w:id="2790" w:name="_Toc9501134"/>
      <w:bookmarkStart w:id="2791" w:name="_Toc9542833"/>
      <w:bookmarkStart w:id="2792" w:name="_Toc9544937"/>
      <w:bookmarkStart w:id="2793" w:name="_Toc9591638"/>
      <w:bookmarkStart w:id="2794" w:name="_Toc9760841"/>
      <w:bookmarkStart w:id="2795" w:name="_Toc14425904"/>
      <w:bookmarkStart w:id="2796" w:name="_Toc15849557"/>
      <w:bookmarkStart w:id="2797" w:name="_Toc20429191"/>
      <w:bookmarkStart w:id="2798" w:name="_Toc20468138"/>
      <w:r w:rsidRPr="0050146A">
        <w:rPr>
          <w:rFonts w:hint="cs"/>
          <w:rtl/>
        </w:rPr>
        <w:lastRenderedPageBreak/>
        <w:t>סימן ג'</w:t>
      </w:r>
      <w:bookmarkEnd w:id="2790"/>
      <w:bookmarkEnd w:id="2791"/>
      <w:bookmarkEnd w:id="2792"/>
      <w:bookmarkEnd w:id="2793"/>
      <w:bookmarkEnd w:id="2794"/>
      <w:bookmarkEnd w:id="2795"/>
      <w:bookmarkEnd w:id="2796"/>
      <w:bookmarkEnd w:id="2797"/>
      <w:bookmarkEnd w:id="2798"/>
    </w:p>
    <w:p w:rsidR="00B2572D" w:rsidRPr="0050146A" w:rsidRDefault="00B2572D" w:rsidP="005B1A17">
      <w:pPr>
        <w:pStyle w:val="afc"/>
      </w:pPr>
      <w:bookmarkStart w:id="2799" w:name="_Toc9544938"/>
      <w:bookmarkStart w:id="2800" w:name="_Toc9591639"/>
      <w:bookmarkStart w:id="2801" w:name="_Toc9760842"/>
      <w:bookmarkStart w:id="2802" w:name="_Toc20429192"/>
      <w:bookmarkStart w:id="2803" w:name="_Toc20468139"/>
      <w:r w:rsidRPr="0050146A">
        <w:rPr>
          <w:rFonts w:hint="cs"/>
          <w:rtl/>
        </w:rPr>
        <w:t>בשיעור שישים בקדירה</w:t>
      </w:r>
      <w:bookmarkEnd w:id="2799"/>
      <w:bookmarkEnd w:id="2800"/>
      <w:r w:rsidRPr="0050146A">
        <w:rPr>
          <w:rFonts w:hint="cs"/>
          <w:rtl/>
        </w:rPr>
        <w:t xml:space="preserve"> ובמה שבלוע בקדירה</w:t>
      </w:r>
      <w:bookmarkEnd w:id="2801"/>
      <w:bookmarkEnd w:id="2802"/>
      <w:bookmarkEnd w:id="2803"/>
    </w:p>
    <w:p w:rsidR="00B2572D" w:rsidRPr="0050146A" w:rsidRDefault="002916D7" w:rsidP="00B2572D">
      <w:pPr>
        <w:pStyle w:val="2"/>
        <w:keepNext w:val="0"/>
        <w:keepLines w:val="0"/>
        <w:rPr>
          <w:rtl/>
        </w:rPr>
      </w:pPr>
      <w:r>
        <w:rPr>
          <w:rtl/>
        </w:rPr>
        <w:t>מפתח הסוגיא</w:t>
      </w:r>
    </w:p>
    <w:p w:rsidR="00B2572D" w:rsidRPr="0050146A" w:rsidRDefault="00B2572D" w:rsidP="00B2572D">
      <w:pPr>
        <w:pStyle w:val="aff4"/>
        <w:rPr>
          <w:rtl/>
        </w:rPr>
        <w:sectPr w:rsidR="00B2572D" w:rsidRPr="0050146A" w:rsidSect="00B2572D">
          <w:headerReference w:type="default" r:id="rId28"/>
          <w:headerReference w:type="first" r:id="rId29"/>
          <w:footerReference w:type="first" r:id="rId30"/>
          <w:pgSz w:w="11906" w:h="16838"/>
          <w:pgMar w:top="720" w:right="720" w:bottom="720" w:left="720" w:header="283" w:footer="283" w:gutter="0"/>
          <w:cols w:space="113"/>
          <w:bidi/>
          <w:rtlGutter/>
          <w:docGrid w:linePitch="299"/>
        </w:sectPr>
      </w:pPr>
    </w:p>
    <w:p w:rsidR="00B2572D" w:rsidRPr="0050146A" w:rsidRDefault="00B2572D" w:rsidP="00B2572D">
      <w:pPr>
        <w:pStyle w:val="2"/>
        <w:rPr>
          <w:rFonts w:eastAsiaTheme="minorEastAsia" w:cstheme="minorBidi"/>
          <w:i/>
          <w:iCs/>
          <w:noProof/>
          <w:sz w:val="22"/>
          <w:szCs w:val="22"/>
          <w:rtl/>
        </w:rPr>
      </w:pPr>
      <w:r w:rsidRPr="0050146A">
        <w:rPr>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rtl/>
        </w:rPr>
        <w:fldChar w:fldCharType="separate"/>
      </w:r>
      <w:r w:rsidRPr="0050146A">
        <w:rPr>
          <w:noProof/>
          <w:rtl/>
        </w:rPr>
        <w:t>מראי מקומות וביאורים</w:t>
      </w:r>
    </w:p>
    <w:p w:rsidR="00B2572D" w:rsidRPr="0050146A" w:rsidRDefault="00B2572D" w:rsidP="00B2572D">
      <w:pPr>
        <w:pStyle w:val="2"/>
        <w:rPr>
          <w:rFonts w:eastAsiaTheme="minorEastAsia" w:cstheme="minorBidi"/>
          <w:i/>
          <w:iCs/>
          <w:noProof/>
          <w:sz w:val="22"/>
          <w:szCs w:val="22"/>
          <w:rtl/>
        </w:rPr>
      </w:pPr>
      <w:r w:rsidRPr="0050146A">
        <w:rPr>
          <w:noProof/>
          <w:rtl/>
        </w:rPr>
        <w:t>בביאור הל"ק דמשערים בקדירה עצמה</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הרשב"א והר"ן בדעת רש"י דמשערים בחרסי הקדירה</w:t>
      </w:r>
    </w:p>
    <w:p w:rsidR="00B2572D" w:rsidRPr="00B46839" w:rsidRDefault="00B2572D" w:rsidP="004D1C5B">
      <w:pPr>
        <w:pStyle w:val="TOC9"/>
        <w:numPr>
          <w:ilvl w:val="0"/>
          <w:numId w:val="22"/>
        </w:numPr>
        <w:rPr>
          <w:rtl/>
        </w:rPr>
      </w:pPr>
      <w:r w:rsidRPr="0010375C">
        <w:rPr>
          <w:rtl/>
        </w:rPr>
        <w:t>ביאור הרשב"א והר"ן ברש"י דלל"ק משערים בחרסים של הקדירה עצמ</w:t>
      </w:r>
      <w:r w:rsidR="0010375C">
        <w:rPr>
          <w:rFonts w:hint="cs"/>
          <w:rtl/>
        </w:rPr>
        <w:t>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רבינו גרשום דהקדירה עצמה מצטרפת לשישים</w:t>
      </w:r>
    </w:p>
    <w:p w:rsidR="00B2572D" w:rsidRPr="0050146A" w:rsidRDefault="00B2572D" w:rsidP="00B2572D">
      <w:pPr>
        <w:pStyle w:val="aff4"/>
        <w:rPr>
          <w:rFonts w:eastAsiaTheme="minorEastAsia" w:cstheme="minorBidi"/>
          <w:i/>
          <w:iCs/>
          <w:noProof/>
          <w:sz w:val="22"/>
          <w:szCs w:val="22"/>
          <w:rtl/>
        </w:rPr>
      </w:pPr>
      <w:r w:rsidRPr="0050146A">
        <w:rPr>
          <w:noProof/>
          <w:rtl/>
        </w:rPr>
        <w:t>קושיות התוס' והריטב"א דא"א לומר דמשערים בחרסי הקדירה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התוס' דאי החרסים מצטרפים לשישים א"כ אף במקום שיש ודאי טעם צריך להתיר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הריטב"א דמהכ"ת לשער בחרסים ועוד דא"א להתיר בב' חלקי היתר וע"י החרס יש 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החת"ס ברש"י דאיירי כשטעם הקפילא ואין טעם איסור ושיעור שישים הוא רק מגזיה"כ</w:t>
      </w:r>
    </w:p>
    <w:p w:rsidR="00B2572D" w:rsidRPr="0050146A" w:rsidRDefault="00B2572D" w:rsidP="00B2572D">
      <w:pPr>
        <w:pStyle w:val="aff4"/>
        <w:rPr>
          <w:rFonts w:eastAsiaTheme="minorEastAsia" w:cstheme="minorBidi"/>
          <w:sz w:val="22"/>
          <w:szCs w:val="22"/>
        </w:rPr>
      </w:pPr>
      <w:r w:rsidRPr="0050146A">
        <w:rPr>
          <w:rtl/>
        </w:rPr>
        <w:t xml:space="preserve">דברי התוס' דהאיסור וההיתר בלועים בקדירה </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התוס' דאיירי שנבלע בקדירה היתר ואח"כ נבלע איסור דהקדירה מבטלת את האיסור הבלוע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התוס' הרא"ש דכיון שבלוע בה גם היתר וגם איסור הקדירה עצמה מבטלת</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המהר"ם והמעדני יו"ט אמאי כתבו התוס' דנבלע בקדירה היתר הא אין משערים בבלוע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המהר"ם דהתוס' כתבו שנבלע בה היתר לבאר את הל"ב דמשערים במה שבלעה הקדירה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הראש יוסף דהמהר"ם ביאר בתוס' דהאיסור הבלוע מתבטל וההיתר שנתבשל אח"כ לא נאסר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הראש יוסף במהר"ם בדעת התוס' דלל"ב כשנבלע הרבה היתר האיסור שנבלע אח"כ מתבטל</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הראש יוסף דלל"ק משערים בהיתר שנבלע לפני זמן מרובה ולל"ב בהיתר שנבלע עכשיו</w:t>
      </w:r>
    </w:p>
    <w:p w:rsidR="00B2572D" w:rsidRPr="0050146A" w:rsidRDefault="00B2572D" w:rsidP="00B2572D">
      <w:pPr>
        <w:pStyle w:val="aff4"/>
        <w:rPr>
          <w:rFonts w:eastAsiaTheme="minorEastAsia" w:cstheme="minorBidi"/>
          <w:i/>
          <w:iCs/>
          <w:noProof/>
          <w:sz w:val="22"/>
          <w:szCs w:val="22"/>
          <w:rtl/>
        </w:rPr>
      </w:pPr>
      <w:r w:rsidRPr="0050146A">
        <w:rPr>
          <w:noProof/>
          <w:rtl/>
        </w:rPr>
        <w:t>דעת הרמב"ן דבקדירה עצמה היינו במה שבתוכה ולא בבלוע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הרמב"ן והרשב"א והרא"ה והריטב"א דמשערים בכל מה שבתוך הקדירה ולא בבלוע בה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הראש יוסף דלרש"י ל"ק לקולא ולרשב"א והריטב"א ל"ב לקולא דמשערים אף בבלוע</w:t>
      </w:r>
    </w:p>
    <w:p w:rsidR="00B2572D" w:rsidRPr="0050146A" w:rsidRDefault="00B2572D" w:rsidP="00B2572D">
      <w:pPr>
        <w:pStyle w:val="2"/>
        <w:rPr>
          <w:rFonts w:eastAsiaTheme="minorEastAsia" w:cstheme="minorBidi"/>
          <w:i/>
          <w:iCs/>
          <w:noProof/>
          <w:sz w:val="22"/>
          <w:szCs w:val="22"/>
          <w:rtl/>
        </w:rPr>
      </w:pPr>
      <w:r w:rsidRPr="0050146A">
        <w:rPr>
          <w:noProof/>
          <w:rtl/>
        </w:rPr>
        <w:t>בגדר ביטול בשישים בחרסי הקדירה</w:t>
      </w:r>
    </w:p>
    <w:p w:rsidR="00B2572D" w:rsidRPr="0050146A" w:rsidRDefault="00B2572D" w:rsidP="00B2572D">
      <w:pPr>
        <w:pStyle w:val="aff4"/>
        <w:rPr>
          <w:rFonts w:eastAsiaTheme="minorEastAsia" w:cstheme="minorBidi"/>
          <w:i/>
          <w:iCs/>
          <w:noProof/>
          <w:sz w:val="22"/>
          <w:szCs w:val="22"/>
          <w:rtl/>
        </w:rPr>
      </w:pPr>
      <w:r w:rsidRPr="0050146A">
        <w:rPr>
          <w:noProof/>
          <w:rtl/>
        </w:rPr>
        <w:t>דברי הפר"ח דדבר שאינו פולט טעם אינו מצטרף לבטל בשישים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הפר"ח דדבר שאינו פולט טעם אינו מצטרף לבטל איסור בשיעור 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הפר"ח דא"א לומר דטעם האיסור מתבטל אף בדבר שאינו פולט דהא אף ההיתר נבלע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הפרי תואר דבל"ב מבואר כדברי הפר"ח דחרסי הקדירה שאינם פולטים אינם בולעים</w:t>
      </w:r>
    </w:p>
    <w:p w:rsidR="00B2572D" w:rsidRPr="0050146A" w:rsidRDefault="00B2572D" w:rsidP="00B2572D">
      <w:pPr>
        <w:pStyle w:val="aff4"/>
        <w:rPr>
          <w:rFonts w:eastAsiaTheme="minorEastAsia" w:cstheme="minorBidi"/>
          <w:i/>
          <w:iCs/>
          <w:noProof/>
          <w:sz w:val="22"/>
          <w:szCs w:val="22"/>
          <w:rtl/>
        </w:rPr>
      </w:pPr>
      <w:r w:rsidRPr="0050146A">
        <w:rPr>
          <w:noProof/>
          <w:rtl/>
        </w:rPr>
        <w:t>דברי הפרי תואר דבל"ק מוכח דאף שאינו פולט מצטרף לשישים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הפרי תואר דמוכח דאף דבר שאינו פולט מצטרף לשיעור שישים וכן מוכח בדעת רש"י בל"ק</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הפרי תואר דאף לתוס' האיסור הבלוע בקדירה מצטרף לבטל אף שאינו פולט טעם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הפרי תואר דלל"ק משערים בהיתר שנבלע קודם ורק לל"ב כתבו תוס' שנבלע היתר אח"כ</w:t>
      </w:r>
    </w:p>
    <w:p w:rsidR="00B2572D" w:rsidRPr="0050146A" w:rsidRDefault="00B2572D" w:rsidP="00B2572D">
      <w:pPr>
        <w:pStyle w:val="aff2"/>
        <w:numPr>
          <w:ilvl w:val="0"/>
          <w:numId w:val="3"/>
        </w:numPr>
        <w:rPr>
          <w:rFonts w:eastAsiaTheme="minorEastAsia" w:cstheme="minorBidi"/>
          <w:sz w:val="22"/>
          <w:szCs w:val="22"/>
          <w:rtl/>
        </w:rPr>
      </w:pPr>
      <w:r w:rsidRPr="0050146A">
        <w:rPr>
          <w:rtl/>
        </w:rPr>
        <w:t xml:space="preserve">דברי הפרי תואר דסברת הל"ב </w:t>
      </w:r>
      <w:r w:rsidRPr="0050146A">
        <w:rPr>
          <w:rFonts w:hint="cs"/>
          <w:rtl/>
        </w:rPr>
        <w:t>היא</w:t>
      </w:r>
      <w:r w:rsidRPr="0050146A">
        <w:rPr>
          <w:rtl/>
        </w:rPr>
        <w:t xml:space="preserve"> דהקדירה אינה כולה ברוטב ולכן א"א לשער בכולה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הפרי תואר דבל"ק מוכח דלא כהפר"ח וא"א להוכיח מהל"ק דפליגא בזה על הל"ב</w:t>
      </w:r>
    </w:p>
    <w:p w:rsidR="00B2572D" w:rsidRPr="0050146A" w:rsidRDefault="00B2572D" w:rsidP="00B2572D">
      <w:pPr>
        <w:pStyle w:val="aff4"/>
        <w:rPr>
          <w:rFonts w:eastAsiaTheme="minorEastAsia" w:cstheme="minorBidi"/>
          <w:i/>
          <w:iCs/>
          <w:noProof/>
          <w:sz w:val="22"/>
          <w:szCs w:val="22"/>
          <w:rtl/>
        </w:rPr>
      </w:pPr>
      <w:r w:rsidRPr="0050146A">
        <w:rPr>
          <w:noProof/>
          <w:rtl/>
        </w:rPr>
        <w:t>ביאור הפרי תואר דבשישים אין כח בבלוע לצאת אף בדבר יבש</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הפרי תואר דלל"ק משערים בחרסים כיון שהאיסור נבלע בהם לעולם ואינו נפלט לקדירה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הפרי תואר דהא דלל"ב אין משערים בחרסים אף שהאיסור נבלע בהם כיון שאינם ברוטב</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הפרמ"ג דלפרי תואר קיי"ל דדבר שאינו פולט בולע רק כשכולו נמצא בתוך הרוטב</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הפרישה דהא דלא קיי"ל כל"ק דיתכן שהקדירה בלועה מתבשיל אחר ועכשיו לא בלעה כלום</w:t>
      </w:r>
    </w:p>
    <w:p w:rsidR="00B2572D" w:rsidRPr="0050146A" w:rsidRDefault="00B2572D" w:rsidP="00B2572D">
      <w:pPr>
        <w:pStyle w:val="2"/>
        <w:rPr>
          <w:rFonts w:eastAsiaTheme="minorEastAsia" w:cstheme="minorBidi"/>
          <w:i/>
          <w:iCs/>
          <w:noProof/>
          <w:sz w:val="22"/>
          <w:szCs w:val="22"/>
          <w:rtl/>
        </w:rPr>
      </w:pPr>
      <w:r w:rsidRPr="0050146A">
        <w:rPr>
          <w:noProof/>
          <w:rtl/>
        </w:rPr>
        <w:t>בביאור דברי רש"י בל"ב דמשערים בבלוע</w:t>
      </w:r>
    </w:p>
    <w:p w:rsidR="00B2572D" w:rsidRPr="0050146A" w:rsidRDefault="00B2572D" w:rsidP="00B2572D">
      <w:pPr>
        <w:pStyle w:val="aff4"/>
        <w:rPr>
          <w:rFonts w:eastAsiaTheme="minorEastAsia" w:cstheme="minorBidi"/>
          <w:i/>
          <w:iCs/>
          <w:noProof/>
          <w:sz w:val="22"/>
          <w:szCs w:val="22"/>
          <w:rtl/>
        </w:rPr>
      </w:pPr>
      <w:r w:rsidRPr="0050146A">
        <w:rPr>
          <w:noProof/>
          <w:rtl/>
        </w:rPr>
        <w:t>דברי רש"י בגירסא שלפנינו דראינו את האיסור כשנפל לקדירה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רש"י דראינו את האיסור כשנפל ואף שאין שישים בהיתר משערים שהיה שישים כשנפל ומותר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רש"י דכיון דב' הלישנות נחלקו אי משערים בקדירה עצמה והוא דאו' אזלינן לחומרא כל"ב</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רש"י דמשערים כמו שבא לפנינו ולא משערים בהיתר שנבלע  דהא אף האיסור נבלע</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הרשב"א והר"ן ברש"י דפסק דלא כב' הלישנות</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והר"ן דרש"י דחה את הל"ב ופסק דלא כב' הלישנות ומשערים רק במה שלפנינו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הרשב"א דהא מדאו' חד בתרי בטיל ואמאי כתב רש"י דהוא איסור דאו'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תירוץ הרשב"א דכיון שעיקר האיסור דאו' אף בספק בשיעור דרבנן אזלינן לחומרא</w:t>
      </w:r>
    </w:p>
    <w:p w:rsidR="00B2572D" w:rsidRPr="0050146A" w:rsidRDefault="00B2572D" w:rsidP="00B2572D">
      <w:pPr>
        <w:pStyle w:val="aff4"/>
        <w:rPr>
          <w:rFonts w:eastAsiaTheme="minorEastAsia" w:cstheme="minorBidi"/>
          <w:i/>
          <w:iCs/>
          <w:noProof/>
          <w:sz w:val="22"/>
          <w:szCs w:val="22"/>
          <w:rtl/>
        </w:rPr>
      </w:pPr>
      <w:r w:rsidRPr="0050146A">
        <w:rPr>
          <w:noProof/>
          <w:rtl/>
        </w:rPr>
        <w:t>גירסת הרשב"א והר"ן ברש"י דלא ידוע כמה היה האיסור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גירסת הרשב"א והר"ן ברש"י דלא ידוע כמה היה באיסור בשעת 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הר"ן דמדדחה רש"י את הל"ב מוכח דהגירסא ברש"י שלא ידוע כמה היה האיסור כשנפל</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והר"ן דבמקום שידוע כמה היה בשעת נפילה מודה רש"י דמשערים בהיתר הבלוע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הב"ח בר"ן דבין אם האיסור נתמעט מעט ובין בלא נתמעט אם היה שישים בתחילה מותר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הב"ח דבמקום שההיתר והאיסור נתעמטו באותו השיעור א"כ מוכח שלא היה שישים מתחילה</w:t>
      </w:r>
    </w:p>
    <w:p w:rsidR="00B2572D" w:rsidRPr="0050146A" w:rsidRDefault="00B2572D" w:rsidP="00B2572D">
      <w:pPr>
        <w:pStyle w:val="aff4"/>
        <w:rPr>
          <w:rFonts w:eastAsiaTheme="minorEastAsia" w:cstheme="minorBidi"/>
          <w:i/>
          <w:iCs/>
          <w:noProof/>
          <w:sz w:val="22"/>
          <w:szCs w:val="22"/>
          <w:rtl/>
        </w:rPr>
      </w:pPr>
      <w:r w:rsidRPr="0050146A">
        <w:rPr>
          <w:noProof/>
          <w:rtl/>
        </w:rPr>
        <w:t>ביאור הב"ח בדברי הר"ן בדעת רש"י</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הב"ח דאי לא ידוע כמה היה האיסור יתכן שהיה האיסור גדול ולא היה שישים כנגדו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הב"ח והט"ז דכיון דלא איתחזק איסורא ועכשיו יש שישים לא חיישינן שמא לא היה 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הב"ח דיותר מסתבר שהרוטב התמעט בבישול מאשר שהאיסור הצטמק</w:t>
      </w:r>
    </w:p>
    <w:p w:rsidR="00B2572D" w:rsidRPr="0050146A" w:rsidRDefault="00B2572D" w:rsidP="00B2572D">
      <w:pPr>
        <w:pStyle w:val="2"/>
        <w:rPr>
          <w:rtl/>
        </w:rPr>
      </w:pPr>
      <w:r w:rsidRPr="0050146A">
        <w:rPr>
          <w:rFonts w:hint="cs"/>
          <w:rtl/>
        </w:rPr>
        <w:t>ביאורי האחרונים בגי' רש"י לפנינו</w:t>
      </w:r>
      <w:r w:rsidRPr="0050146A">
        <w:rPr>
          <w:rtl/>
        </w:rPr>
        <w:t xml:space="preserve"> בל"ב</w:t>
      </w:r>
    </w:p>
    <w:p w:rsidR="00B2572D" w:rsidRPr="0050146A" w:rsidRDefault="00B2572D" w:rsidP="00B2572D">
      <w:pPr>
        <w:pStyle w:val="aff4"/>
        <w:rPr>
          <w:rFonts w:eastAsiaTheme="minorEastAsia" w:cstheme="minorBidi"/>
          <w:sz w:val="22"/>
          <w:szCs w:val="22"/>
        </w:rPr>
      </w:pPr>
      <w:r w:rsidRPr="0050146A">
        <w:rPr>
          <w:rtl/>
        </w:rPr>
        <w:t>ביאור הב"ח בדעת רש"י ובדברי הסמ"ג והרא"ש ברש"י</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הב"ח דא"צ להגיה ברש"י ומ"ש רש"י דמשערים במה שלפנינו הוא במקום שידוע כמה האיסור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הב"ח דהרא"ש והטור והסמ"ג גרסו ברש"י דידוע כמה היה האיסור ובלא ידוע אזלינן לחומרא</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הב"ח דכוונת רש"י בסו"ד לומר דא"א לצרף את הבלוע שמא ההיתר נשרף והאיסור 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הב"ח דלכן כתב רש"י דמשערים במה שלפנינו ד</w:t>
      </w:r>
      <w:r w:rsidR="00441868">
        <w:rPr>
          <w:rtl/>
        </w:rPr>
        <w:t>ממה נפשך</w:t>
      </w:r>
      <w:r w:rsidRPr="0050146A">
        <w:rPr>
          <w:rtl/>
        </w:rPr>
        <w:t xml:space="preserve"> יש בזה שישים וכשאין שישים אסור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הב"ח דהא דלהסמ"ג והרא"ש ברש"י אין משערים בבלוע הוא בלא ידוע כמה היה האיסור</w:t>
      </w:r>
    </w:p>
    <w:p w:rsidR="00B2572D" w:rsidRPr="0050146A" w:rsidRDefault="00B2572D" w:rsidP="00B2572D">
      <w:pPr>
        <w:pStyle w:val="aff4"/>
        <w:rPr>
          <w:rFonts w:eastAsiaTheme="minorEastAsia" w:cstheme="minorBidi"/>
          <w:i/>
          <w:iCs/>
          <w:noProof/>
          <w:sz w:val="22"/>
          <w:szCs w:val="22"/>
          <w:rtl/>
        </w:rPr>
      </w:pPr>
      <w:r w:rsidRPr="0050146A">
        <w:rPr>
          <w:noProof/>
          <w:rtl/>
        </w:rPr>
        <w:t>ביאור הגר"א ברש"י דבידוע כמה היה האיסור משערים בבלוע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הגר"א ברש"י דבל"ב ידוע כמה היה האיסור ולא הצטמק כלל ומשו"ה משערים בבלוע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הגר"א דמ"ש רש"י בסו"ד דאין משערים בבלוע איירי כשלא ידוע כמה היה האיסור</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הראש יוסף ברש"י דידוע כמה היה האיסור ולא ההיתר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הראש יוסף ברש"י דמשערים באומד יפה כמה היו האיסור וההיתר בשעת הנפילה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הראש יוסף ברש"י דקיי"ל כל"ב דמשערים באומד יפה כיון שמסתמא ההיתר הצטמק</w:t>
      </w:r>
    </w:p>
    <w:p w:rsidR="00B2572D" w:rsidRPr="0050146A" w:rsidRDefault="00B2572D" w:rsidP="00B2572D">
      <w:pPr>
        <w:pStyle w:val="aff4"/>
        <w:rPr>
          <w:rFonts w:eastAsiaTheme="minorEastAsia" w:cstheme="minorBidi"/>
          <w:i/>
          <w:iCs/>
          <w:noProof/>
          <w:sz w:val="22"/>
          <w:szCs w:val="22"/>
          <w:rtl/>
        </w:rPr>
      </w:pPr>
      <w:r w:rsidRPr="0050146A">
        <w:rPr>
          <w:noProof/>
          <w:rtl/>
        </w:rPr>
        <w:t>הביאור הב' בראש יוסף ברש"י דידוע כמה היו האיסור וההיתר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הביאור הב' בראש יוסף דידוע גם כמה היה ההיתר ובשעת הנפילה היה שישים ועכשיו אין 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הביאור הב' בראש יוסף דצריך אומד לשער כמה מההיתר בלוע וכמה נשרף ע"י האש</w:t>
      </w:r>
    </w:p>
    <w:p w:rsidR="00B2572D" w:rsidRPr="0050146A" w:rsidRDefault="00B2572D" w:rsidP="00B2572D">
      <w:pPr>
        <w:pStyle w:val="aff4"/>
        <w:rPr>
          <w:rFonts w:eastAsiaTheme="minorEastAsia" w:cstheme="minorBidi"/>
          <w:i/>
          <w:iCs/>
          <w:noProof/>
          <w:sz w:val="22"/>
          <w:szCs w:val="22"/>
          <w:rtl/>
        </w:rPr>
      </w:pPr>
      <w:r w:rsidRPr="0050146A">
        <w:rPr>
          <w:noProof/>
          <w:rtl/>
        </w:rPr>
        <w:t>דברי הראש יוסף דרש"י לא פסק דלא כל"ב</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הראש יוסף דכוונת רש"י בסו"ד דלא משערים את ההיתר כעכשיו ואת האיסור כשעת הנפילה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הראש יוסף בדעת רש"י דהא דמשערים בבלוע הוא דוקא כשעכשיו יש שישים</w:t>
      </w:r>
    </w:p>
    <w:p w:rsidR="00B2572D" w:rsidRPr="0050146A" w:rsidRDefault="00B2572D" w:rsidP="00B2572D">
      <w:pPr>
        <w:pStyle w:val="2"/>
        <w:rPr>
          <w:rFonts w:eastAsiaTheme="minorEastAsia" w:cstheme="minorBidi"/>
          <w:i/>
          <w:iCs/>
          <w:noProof/>
          <w:sz w:val="22"/>
          <w:szCs w:val="22"/>
          <w:rtl/>
        </w:rPr>
      </w:pPr>
      <w:r w:rsidRPr="0050146A">
        <w:rPr>
          <w:noProof/>
          <w:rtl/>
        </w:rPr>
        <w:t>דעת הרמב"ן ד</w:t>
      </w:r>
      <w:r w:rsidRPr="0050146A">
        <w:rPr>
          <w:rFonts w:hint="cs"/>
          <w:noProof/>
          <w:rtl/>
        </w:rPr>
        <w:t xml:space="preserve">לל"ב </w:t>
      </w:r>
      <w:r w:rsidRPr="0050146A">
        <w:rPr>
          <w:noProof/>
          <w:rtl/>
        </w:rPr>
        <w:t>בדרך בישול הקילו</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הרמב"ן בל"ב דהקילו לשער בבלוע ולא בנטל בידים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הרמב"ן בל"ב דאמדינן שאם נתמעט הרוטב יותר משנתמעט האיסור דמשערים לקולא</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הרמב"ן והרשב"א דאמאי אין האיסור חוזר ואוסר אחר שעכשיו אין שישים כנגדו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הרמב"ן והרשב"א דבמתני' בתרומות מבואר דמשערים כפי השיעור שלפנינו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הרשב"א והר"ן דמ"ש אותה קדירה שהתבטל בה  מנפל לקדירה אחרת דודאי אוסר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הרמב"ן דבדרך בישול הקילו להחשיב את מה שהתמעט אבל בנטל היתר בידים אסור</w:t>
      </w:r>
    </w:p>
    <w:p w:rsidR="00B2572D" w:rsidRPr="0050146A" w:rsidRDefault="00B2572D" w:rsidP="00B2572D">
      <w:pPr>
        <w:pStyle w:val="aff2"/>
        <w:numPr>
          <w:ilvl w:val="0"/>
          <w:numId w:val="3"/>
        </w:numPr>
        <w:rPr>
          <w:rFonts w:eastAsiaTheme="minorEastAsia" w:cstheme="minorBidi"/>
          <w:sz w:val="22"/>
          <w:szCs w:val="22"/>
        </w:rPr>
      </w:pPr>
      <w:r w:rsidRPr="0050146A">
        <w:rPr>
          <w:rtl/>
        </w:rPr>
        <w:t>דברי המאירי דבתרומה איירי כשהיא בעין אבל באיסור שאינו בעין אין בו כח לחזור ולאסור</w:t>
      </w:r>
    </w:p>
    <w:p w:rsidR="00B2572D" w:rsidRPr="0050146A" w:rsidRDefault="00B2572D" w:rsidP="00B2572D">
      <w:pPr>
        <w:pStyle w:val="aff2"/>
        <w:numPr>
          <w:ilvl w:val="0"/>
          <w:numId w:val="3"/>
        </w:numPr>
        <w:rPr>
          <w:rtl/>
        </w:rPr>
      </w:pPr>
      <w:r w:rsidRPr="0050146A">
        <w:rPr>
          <w:rFonts w:hint="cs"/>
          <w:rtl/>
        </w:rPr>
        <w:t>תירוץ הפרי תואר דההיתר הבלוע לא נאבד דהבלוע חשיב כנמצא בעין ולא דמי לתרומה דפיחתה</w:t>
      </w:r>
    </w:p>
    <w:p w:rsidR="00B2572D" w:rsidRPr="0050146A" w:rsidRDefault="00B2572D" w:rsidP="00B2572D">
      <w:pPr>
        <w:pStyle w:val="aff2"/>
        <w:numPr>
          <w:ilvl w:val="0"/>
          <w:numId w:val="3"/>
        </w:numPr>
        <w:rPr>
          <w:rtl/>
        </w:rPr>
      </w:pPr>
      <w:r w:rsidRPr="0050146A">
        <w:rPr>
          <w:rFonts w:hint="cs"/>
          <w:rtl/>
        </w:rPr>
        <w:t>תירוץ הפרי תואר דלדעת רש"י בנפל לקדירה אחרת אם ידוע שיש בה בליעת היתר משערים בבלוע</w:t>
      </w:r>
    </w:p>
    <w:p w:rsidR="00B2572D" w:rsidRPr="0050146A" w:rsidRDefault="00B2572D" w:rsidP="00B2572D">
      <w:pPr>
        <w:pStyle w:val="aff4"/>
        <w:rPr>
          <w:rFonts w:eastAsiaTheme="minorEastAsia" w:cstheme="minorBidi"/>
          <w:i/>
          <w:iCs/>
          <w:noProof/>
          <w:sz w:val="22"/>
          <w:szCs w:val="22"/>
          <w:rtl/>
        </w:rPr>
      </w:pPr>
      <w:r w:rsidRPr="0050146A">
        <w:rPr>
          <w:noProof/>
          <w:rtl/>
        </w:rPr>
        <w:t>דברי הרשב"א דבדרבנן קיי"ל כל"ב לקולא</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הרמב"ן והרשב"א והריטב"א דקיי"ל לקולא כל"ב וביאור הרשב"א דהוא דרבנן</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דבמין בשאינו מינו אין משערים בבלוע כיון שהוא איסור דאו'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הטור דלדעת הרא"ש אין חילוק בין מין במינו למין בשאינו מינו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הב"י דאף לדעת רש"י והרא"ש רק במין בשאינו מינו דהוא דאו' אזלינן לחומרא</w:t>
      </w:r>
    </w:p>
    <w:p w:rsidR="00B2572D" w:rsidRPr="0050146A" w:rsidRDefault="00B2572D" w:rsidP="00B2572D">
      <w:pPr>
        <w:pStyle w:val="aff2"/>
        <w:numPr>
          <w:ilvl w:val="0"/>
          <w:numId w:val="3"/>
        </w:numPr>
        <w:rPr>
          <w:rFonts w:eastAsiaTheme="minorEastAsia" w:cstheme="minorBidi"/>
          <w:sz w:val="22"/>
          <w:szCs w:val="22"/>
          <w:rtl/>
        </w:rPr>
      </w:pPr>
      <w:r w:rsidRPr="0050146A">
        <w:rPr>
          <w:rtl/>
        </w:rPr>
        <w:lastRenderedPageBreak/>
        <w:t>ביאור הגרעק"א דהרשב"א אסר במקום שידוע כמה היה האיסור והרא"ש התיר בכה"ג</w:t>
      </w:r>
    </w:p>
    <w:p w:rsidR="00B2572D" w:rsidRPr="0050146A" w:rsidRDefault="00B2572D" w:rsidP="00B2572D">
      <w:pPr>
        <w:pStyle w:val="2"/>
        <w:rPr>
          <w:rFonts w:eastAsiaTheme="minorEastAsia" w:cstheme="minorBidi"/>
          <w:i/>
          <w:iCs/>
          <w:noProof/>
          <w:sz w:val="22"/>
          <w:szCs w:val="22"/>
          <w:rtl/>
        </w:rPr>
      </w:pPr>
      <w:r w:rsidRPr="0050146A">
        <w:rPr>
          <w:noProof/>
          <w:rtl/>
        </w:rPr>
        <w:t>בדעת הרמב"ם דאמדינן כמה הבלוע</w:t>
      </w:r>
    </w:p>
    <w:p w:rsidR="00B2572D" w:rsidRPr="0050146A" w:rsidRDefault="00B2572D" w:rsidP="00B2572D">
      <w:pPr>
        <w:pStyle w:val="aff4"/>
        <w:rPr>
          <w:rFonts w:eastAsiaTheme="minorEastAsia" w:cstheme="minorBidi"/>
          <w:i/>
          <w:iCs/>
          <w:noProof/>
          <w:sz w:val="22"/>
          <w:szCs w:val="22"/>
          <w:rtl/>
        </w:rPr>
      </w:pPr>
      <w:r w:rsidRPr="0050146A">
        <w:rPr>
          <w:noProof/>
          <w:rtl/>
        </w:rPr>
        <w:t>דברי הרמב"ם דמשערים באומד הדעת במה שבלעה הקדירה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הרמב"ם דמשערים במה שבלוע בקדירה באומד דא"א לשער בצמצום כמה בלעה</w:t>
      </w:r>
    </w:p>
    <w:p w:rsidR="00B2572D" w:rsidRPr="0050146A" w:rsidRDefault="00B2572D" w:rsidP="00B2572D">
      <w:pPr>
        <w:pStyle w:val="aff4"/>
        <w:rPr>
          <w:rFonts w:eastAsiaTheme="minorEastAsia" w:cstheme="minorBidi"/>
          <w:i/>
          <w:iCs/>
          <w:noProof/>
          <w:sz w:val="22"/>
          <w:szCs w:val="22"/>
          <w:rtl/>
        </w:rPr>
      </w:pPr>
      <w:r w:rsidRPr="0050146A">
        <w:rPr>
          <w:noProof/>
          <w:rtl/>
        </w:rPr>
        <w:t>דברי הרמב"ן והרשב"א בדעת הרמב"ם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הרמב"ן והרשב"א ברמב"ם דמשערים רק את הבלוע ולא את מה שכלה ע"י האש</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הר"ן דנראה כרמב"ם דאין משערים במה שכלה ע"י האש ודלא כרמב"ן דהקילו בדרך בישול</w:t>
      </w:r>
    </w:p>
    <w:p w:rsidR="00B2572D" w:rsidRPr="0050146A" w:rsidRDefault="00B2572D" w:rsidP="00B2572D">
      <w:pPr>
        <w:pStyle w:val="aff2"/>
        <w:numPr>
          <w:ilvl w:val="0"/>
          <w:numId w:val="3"/>
        </w:numPr>
        <w:rPr>
          <w:rFonts w:eastAsiaTheme="minorEastAsia" w:cstheme="minorBidi"/>
          <w:sz w:val="22"/>
          <w:szCs w:val="22"/>
        </w:rPr>
      </w:pPr>
      <w:r w:rsidRPr="0050146A">
        <w:rPr>
          <w:rtl/>
        </w:rPr>
        <w:t>דברי הרדב"ז ברמב"ם דמשערים רק במה שנבלע אחר נפילת האיסור ולא בבלוע קודם לכן</w:t>
      </w:r>
    </w:p>
    <w:p w:rsidR="00B2572D" w:rsidRPr="0050146A" w:rsidRDefault="00B2572D" w:rsidP="00B2572D">
      <w:pPr>
        <w:pStyle w:val="aff4"/>
        <w:rPr>
          <w:rtl/>
        </w:rPr>
      </w:pPr>
      <w:r w:rsidRPr="0050146A">
        <w:rPr>
          <w:rFonts w:hint="cs"/>
          <w:rtl/>
        </w:rPr>
        <w:t>ביאור הפרי תואר ברמב"ם אי ידוע כמה היה האיסור</w:t>
      </w:r>
    </w:p>
    <w:p w:rsidR="00B2572D" w:rsidRPr="0050146A" w:rsidRDefault="00B2572D" w:rsidP="00B2572D">
      <w:pPr>
        <w:pStyle w:val="aff2"/>
        <w:numPr>
          <w:ilvl w:val="0"/>
          <w:numId w:val="3"/>
        </w:numPr>
        <w:rPr>
          <w:rtl/>
        </w:rPr>
      </w:pPr>
      <w:r w:rsidRPr="0050146A">
        <w:rPr>
          <w:rFonts w:hint="cs"/>
          <w:rtl/>
        </w:rPr>
        <w:t>ביאור הפרי תואר דלהרמב"ם איירי שידוע כמה היה האיסור והוא לא התמעט</w:t>
      </w:r>
    </w:p>
    <w:p w:rsidR="00B2572D" w:rsidRPr="0050146A" w:rsidRDefault="00B2572D" w:rsidP="00B2572D">
      <w:pPr>
        <w:pStyle w:val="aff2"/>
        <w:numPr>
          <w:ilvl w:val="0"/>
          <w:numId w:val="3"/>
        </w:numPr>
        <w:rPr>
          <w:rtl/>
        </w:rPr>
      </w:pPr>
      <w:r w:rsidRPr="0050146A">
        <w:rPr>
          <w:rFonts w:hint="cs"/>
          <w:rtl/>
        </w:rPr>
        <w:t>הביאור הב' בפרי תואר דלהרמב"ם איירי שלא ידוע כמה היה האיסור ואפ"ה משערים בבלוע</w:t>
      </w:r>
    </w:p>
    <w:p w:rsidR="00B2572D" w:rsidRPr="0050146A" w:rsidRDefault="00B2572D" w:rsidP="00B2572D">
      <w:pPr>
        <w:pStyle w:val="aff2"/>
        <w:numPr>
          <w:ilvl w:val="0"/>
          <w:numId w:val="3"/>
        </w:numPr>
        <w:rPr>
          <w:rtl/>
        </w:rPr>
      </w:pPr>
      <w:r w:rsidRPr="0050146A">
        <w:rPr>
          <w:rFonts w:hint="cs"/>
          <w:rtl/>
        </w:rPr>
        <w:t xml:space="preserve">ביאור הפרי תואר ברמב"ם דקיי"ל כרב אשי דהקילו רבנן דלא חיישינן לאיסור הבלוע </w:t>
      </w:r>
    </w:p>
    <w:p w:rsidR="00B2572D" w:rsidRPr="0050146A" w:rsidRDefault="00B2572D" w:rsidP="00B2572D">
      <w:pPr>
        <w:pStyle w:val="aff4"/>
        <w:rPr>
          <w:rFonts w:eastAsiaTheme="minorEastAsia" w:cstheme="minorBidi"/>
          <w:i/>
          <w:iCs/>
          <w:noProof/>
          <w:sz w:val="22"/>
          <w:szCs w:val="22"/>
          <w:rtl/>
        </w:rPr>
      </w:pPr>
      <w:r w:rsidRPr="0050146A">
        <w:rPr>
          <w:noProof/>
          <w:rtl/>
        </w:rPr>
        <w:t>דברי הרמב"ם בדין כחל דאין משערים כפי שעת הנפילה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הרמב"ם דבכחל משערים כפי השיעור של זמן הבישול ולא כשעת הנפילה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 xml:space="preserve">ביאור המ"מ ברמב"ם </w:t>
      </w:r>
      <w:r w:rsidRPr="0050146A">
        <w:rPr>
          <w:rFonts w:hint="cs"/>
          <w:rtl/>
        </w:rPr>
        <w:t xml:space="preserve">דספק הגמ' בכחל </w:t>
      </w:r>
      <w:r w:rsidRPr="0050146A">
        <w:rPr>
          <w:rtl/>
        </w:rPr>
        <w:t>דמשערים במאי דנפיק מיניה היינו שמשערים אף בבלוע</w:t>
      </w:r>
    </w:p>
    <w:p w:rsidR="00B2572D" w:rsidRPr="0050146A" w:rsidRDefault="00B2572D" w:rsidP="00B2572D">
      <w:pPr>
        <w:pStyle w:val="aff2"/>
        <w:numPr>
          <w:ilvl w:val="0"/>
          <w:numId w:val="3"/>
        </w:numPr>
        <w:rPr>
          <w:rFonts w:eastAsiaTheme="minorEastAsia" w:cstheme="minorBidi"/>
          <w:sz w:val="22"/>
          <w:szCs w:val="22"/>
          <w:rtl/>
        </w:rPr>
      </w:pPr>
      <w:r w:rsidRPr="0050146A">
        <w:rPr>
          <w:rtl/>
        </w:rPr>
        <w:t xml:space="preserve">קושית הב"י דאי כוונת הגמ' לומר דמשערים בבלוע מה מקשה הגמ' דא"א לדעת כמה </w:t>
      </w:r>
      <w:r w:rsidRPr="0050146A">
        <w:rPr>
          <w:rFonts w:hint="cs"/>
          <w:rtl/>
        </w:rPr>
        <w:t>יצא מהכחל</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הב"י דהרמב"ם פסק כגמ' לקמן דאף האיסור בלע ו</w:t>
      </w:r>
      <w:r w:rsidRPr="0050146A">
        <w:rPr>
          <w:rFonts w:hint="cs"/>
          <w:rtl/>
        </w:rPr>
        <w:t>כתב</w:t>
      </w:r>
      <w:r w:rsidRPr="0050146A">
        <w:rPr>
          <w:rtl/>
        </w:rPr>
        <w:t xml:space="preserve"> בכחל וה"ה לשאר האיסורים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דחיית הלח"מ דהא הרמב"ם פסק כל"ב דמשערים במה שבלעה הקדירה ולא כגמ' לקמן</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הלח"מ דכוונת הגמ' להקשות דלא ידוע כמה יצא ממנו דא"א לשער בצמצום אלא באומד</w:t>
      </w:r>
    </w:p>
    <w:p w:rsidR="00B2572D" w:rsidRPr="0050146A" w:rsidRDefault="00B2572D" w:rsidP="00B2572D">
      <w:pPr>
        <w:pStyle w:val="aff2"/>
        <w:numPr>
          <w:ilvl w:val="0"/>
          <w:numId w:val="3"/>
        </w:numPr>
        <w:rPr>
          <w:rFonts w:eastAsiaTheme="minorEastAsia" w:cstheme="minorBidi"/>
          <w:sz w:val="22"/>
          <w:szCs w:val="22"/>
          <w:rtl/>
        </w:rPr>
      </w:pPr>
      <w:r w:rsidRPr="0050146A">
        <w:rPr>
          <w:rtl/>
        </w:rPr>
        <w:t>קושית הלח"מ דהא בקדירה פסק הרמב"ם דמשערים בבלוע באומד אף שא"א לצמצם</w:t>
      </w:r>
    </w:p>
    <w:p w:rsidR="002D7168" w:rsidRDefault="00B2572D" w:rsidP="00B2572D">
      <w:pPr>
        <w:pStyle w:val="aff2"/>
        <w:numPr>
          <w:ilvl w:val="0"/>
          <w:numId w:val="3"/>
        </w:numPr>
        <w:rPr>
          <w:rFonts w:eastAsiaTheme="minorEastAsia" w:cstheme="minorBidi"/>
          <w:sz w:val="22"/>
          <w:szCs w:val="22"/>
        </w:rPr>
      </w:pPr>
      <w:r w:rsidRPr="0050146A">
        <w:rPr>
          <w:rtl/>
        </w:rPr>
        <w:t>ביאור הלח"מ דרק את ההיתר אפשר לשער באומד אבל את האיסור א"א לשער באומד</w:t>
      </w:r>
    </w:p>
    <w:p w:rsidR="00B2572D" w:rsidRPr="0050146A" w:rsidRDefault="00B2572D" w:rsidP="00B2572D">
      <w:pPr>
        <w:pStyle w:val="2"/>
        <w:rPr>
          <w:rFonts w:eastAsiaTheme="minorEastAsia" w:cstheme="minorBidi"/>
          <w:i/>
          <w:iCs/>
          <w:noProof/>
          <w:sz w:val="22"/>
          <w:szCs w:val="22"/>
          <w:rtl/>
        </w:rPr>
      </w:pPr>
      <w:r w:rsidRPr="0050146A">
        <w:rPr>
          <w:noProof/>
          <w:rtl/>
        </w:rPr>
        <w:t>דעת הרא"ה דרק בלח משערים בבלוע</w:t>
      </w:r>
    </w:p>
    <w:p w:rsidR="00B2572D" w:rsidRPr="0050146A" w:rsidRDefault="00B2572D" w:rsidP="00B2572D">
      <w:pPr>
        <w:pStyle w:val="aff4"/>
        <w:rPr>
          <w:rFonts w:eastAsiaTheme="minorEastAsia" w:cstheme="minorBidi"/>
          <w:i/>
          <w:iCs/>
          <w:noProof/>
          <w:sz w:val="22"/>
          <w:szCs w:val="22"/>
          <w:rtl/>
        </w:rPr>
      </w:pPr>
      <w:r w:rsidRPr="0050146A">
        <w:rPr>
          <w:noProof/>
          <w:rtl/>
        </w:rPr>
        <w:t>דעת הרא"ה דמשערים ברוטב הבלוע רק כשהוא עדיין לח</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הרא"ה דמשערים בבלוע רק ברוטב לח שעומד להפלט דחשיב כאילו נפלט כבר לקדירה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הרא"ה דביטול בשישים הוא דהאיסור מתערב בשווה בשישים חלקי היתר ואבד טעמו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הרא"ה דהרוטב הלח שנמצא בגובה הרוטב שבתוך הקדירה מתערב עמו ומסייע לבטל</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הרא"ה דאחר שנתמעט הרוטב מתייבש הרוטב הבלוע שבגובה הקדירה ואינו מסייע לביטל</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הריטב"א דלא נחלקו ב' הלישנות</w:t>
      </w:r>
    </w:p>
    <w:p w:rsidR="00B2572D" w:rsidRPr="0050146A" w:rsidRDefault="00B2572D" w:rsidP="00B2572D">
      <w:pPr>
        <w:pStyle w:val="aff2"/>
        <w:numPr>
          <w:ilvl w:val="0"/>
          <w:numId w:val="3"/>
        </w:numPr>
        <w:rPr>
          <w:rFonts w:eastAsiaTheme="minorEastAsia" w:cstheme="minorBidi"/>
          <w:sz w:val="22"/>
          <w:szCs w:val="22"/>
        </w:rPr>
      </w:pPr>
      <w:r w:rsidRPr="0050146A">
        <w:rPr>
          <w:rtl/>
        </w:rPr>
        <w:t>דברי הריטב"א דאפש"ל דב' הלישנות לא פליגי ויש חילוק בין נשרף ע"י האש או התייבש</w:t>
      </w:r>
    </w:p>
    <w:p w:rsidR="00B2572D" w:rsidRPr="0050146A" w:rsidRDefault="00B2572D" w:rsidP="00B2572D">
      <w:pPr>
        <w:pStyle w:val="aff4"/>
        <w:rPr>
          <w:noProof/>
          <w:rtl/>
        </w:rPr>
      </w:pPr>
      <w:r w:rsidRPr="0050146A">
        <w:rPr>
          <w:rFonts w:ascii="Guttman Adii-Light" w:eastAsia="Guttman Adii-Light" w:hAnsi="Guttman Adii-Light" w:cs="Guttman Adii-Light"/>
          <w:b w:val="0"/>
          <w:bCs w:val="0"/>
          <w:noProof/>
          <w:sz w:val="24"/>
          <w:szCs w:val="24"/>
          <w:rtl/>
        </w:rPr>
        <w:t>ביאור הרשב"א בתשו' בדעת רש"י בל"ב</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הרשב"א בתשו' ברש"י דאיסור שנתבטל אינו חוזר ואוסר</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בתשו' ובמשה"ב ברש"י דאיסור שנתבטל בשישים אינו חוזר ואוסר בפחות משישים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הרשב"א בתשו' דאף שנתמעט ההיתר רואין אותו כאילו הוא נמצא בקדירה אף שאין 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הרשב"א בתשו' בדברי רש"י בל"ב דההיתר כשעת נפילה ואילו את האיסור משערים מצומק</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בתשו' דמבואר ברש"י דבידוע כמה האיסור משערים כפי שעת הנפילה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בתשו' דלרש"י דטעם כעיקר דרבנן סמכו לקולא בשישים כשעת הנפילה</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הרשב"א בתשו' דאף דבנפל לקדירה אחרת אוסר בפחות משישים באותה קדירה הקילו</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דעת הרשב"א דלא כרש"י ואין חילוק בין אותה קדירה לקדירה אחרת וכשאין עכשיו שישים אסור</w:t>
      </w:r>
    </w:p>
    <w:p w:rsidR="00B2572D" w:rsidRPr="0050146A" w:rsidRDefault="00B2572D" w:rsidP="00B2572D">
      <w:pPr>
        <w:pStyle w:val="2"/>
        <w:rPr>
          <w:rFonts w:eastAsiaTheme="minorEastAsia" w:cstheme="minorBidi"/>
          <w:i/>
          <w:iCs/>
          <w:noProof/>
          <w:sz w:val="22"/>
          <w:szCs w:val="22"/>
          <w:rtl/>
        </w:rPr>
      </w:pPr>
      <w:r w:rsidRPr="0050146A">
        <w:rPr>
          <w:noProof/>
          <w:rtl/>
        </w:rPr>
        <w:t>דעת הראב"ד בביאור הל"ב</w:t>
      </w:r>
    </w:p>
    <w:p w:rsidR="00B2572D" w:rsidRPr="0050146A" w:rsidRDefault="00B2572D" w:rsidP="00B2572D">
      <w:pPr>
        <w:pStyle w:val="aff4"/>
        <w:rPr>
          <w:rFonts w:eastAsiaTheme="minorEastAsia" w:cstheme="minorBidi"/>
          <w:i/>
          <w:iCs/>
          <w:noProof/>
          <w:sz w:val="22"/>
          <w:szCs w:val="22"/>
          <w:rtl/>
        </w:rPr>
      </w:pPr>
      <w:r w:rsidRPr="0050146A">
        <w:rPr>
          <w:noProof/>
          <w:rtl/>
        </w:rPr>
        <w:t>ביאור הראב"ד דלא חיישינן שהיה זמן שהיה פחות משישים</w:t>
      </w:r>
    </w:p>
    <w:p w:rsidR="00B2572D" w:rsidRPr="0050146A" w:rsidRDefault="00B2572D" w:rsidP="00B2572D">
      <w:pPr>
        <w:pStyle w:val="aff2"/>
        <w:numPr>
          <w:ilvl w:val="0"/>
          <w:numId w:val="3"/>
        </w:numPr>
        <w:rPr>
          <w:rFonts w:eastAsiaTheme="minorEastAsia" w:cstheme="minorBidi"/>
          <w:sz w:val="22"/>
          <w:szCs w:val="22"/>
          <w:rtl/>
        </w:rPr>
      </w:pPr>
      <w:r w:rsidRPr="0050146A">
        <w:rPr>
          <w:rtl/>
        </w:rPr>
        <w:t>ביאור הראב"ד בל"ב דבאמצע הבישול ההיתר התמעט יותר מהאיסור ובסופו נימוח לגמרי</w:t>
      </w:r>
    </w:p>
    <w:p w:rsidR="00B2572D" w:rsidRPr="0050146A" w:rsidRDefault="00B2572D" w:rsidP="00B2572D">
      <w:pPr>
        <w:pStyle w:val="aff2"/>
        <w:numPr>
          <w:ilvl w:val="0"/>
          <w:numId w:val="3"/>
        </w:numPr>
        <w:rPr>
          <w:rFonts w:eastAsiaTheme="minorEastAsia" w:cstheme="minorBidi"/>
          <w:sz w:val="22"/>
          <w:szCs w:val="22"/>
          <w:rtl/>
        </w:rPr>
      </w:pPr>
      <w:r w:rsidRPr="0050146A">
        <w:rPr>
          <w:rtl/>
        </w:rPr>
        <w:t>דברי הראב"ד דאמרינן שכל זמן הבישול היה שישים ולא היה זמן שהיה פחות משישים</w:t>
      </w:r>
    </w:p>
    <w:p w:rsidR="00B2572D" w:rsidRPr="0050146A" w:rsidRDefault="00B2572D" w:rsidP="00B2572D">
      <w:pPr>
        <w:pStyle w:val="aff2"/>
        <w:numPr>
          <w:ilvl w:val="0"/>
          <w:numId w:val="3"/>
        </w:numPr>
        <w:rPr>
          <w:rFonts w:eastAsiaTheme="minorEastAsia" w:cstheme="minorBidi"/>
          <w:sz w:val="22"/>
          <w:szCs w:val="22"/>
          <w:rtl/>
        </w:rPr>
        <w:sectPr w:rsidR="00B2572D" w:rsidRPr="0050146A" w:rsidSect="007C6A7B">
          <w:type w:val="continuous"/>
          <w:pgSz w:w="11906" w:h="16838"/>
          <w:pgMar w:top="720" w:right="720" w:bottom="720" w:left="720" w:header="283" w:footer="283" w:gutter="0"/>
          <w:cols w:num="2" w:space="113"/>
          <w:bidi/>
          <w:rtlGutter/>
          <w:docGrid w:linePitch="299"/>
        </w:sectPr>
      </w:pPr>
      <w:r w:rsidRPr="0050146A">
        <w:rPr>
          <w:rtl/>
        </w:rPr>
        <w:t>דברי המאירי בשם הראב"ד דאמרינן שכל זמן הבישול היה שישים בהיתר כנגד האיסור</w:t>
      </w:r>
    </w:p>
    <w:p w:rsidR="00B2572D" w:rsidRPr="0050146A" w:rsidRDefault="00B2572D" w:rsidP="00B2572D">
      <w:pPr>
        <w:pStyle w:val="aff4"/>
        <w:rPr>
          <w:rtl/>
        </w:rPr>
        <w:sectPr w:rsidR="00B2572D" w:rsidRPr="0050146A" w:rsidSect="007C6A7B">
          <w:type w:val="continuous"/>
          <w:pgSz w:w="11906" w:h="16838"/>
          <w:pgMar w:top="720" w:right="720" w:bottom="720" w:left="720" w:header="283" w:footer="283" w:gutter="0"/>
          <w:cols w:num="2" w:space="113"/>
          <w:bidi/>
          <w:rtlGutter/>
          <w:docGrid w:linePitch="299"/>
        </w:sectPr>
      </w:pPr>
      <w:r w:rsidRPr="0050146A">
        <w:rPr>
          <w:rtl/>
        </w:rPr>
        <w:fldChar w:fldCharType="end"/>
      </w:r>
      <w:r w:rsidRPr="0050146A">
        <w:rPr>
          <w:rFonts w:hint="cs"/>
          <w:rtl/>
        </w:rPr>
        <w:t xml:space="preserve">                 </w:t>
      </w:r>
    </w:p>
    <w:p w:rsidR="00B2572D" w:rsidRPr="0050146A" w:rsidRDefault="00B2572D" w:rsidP="00E669F8">
      <w:pPr>
        <w:pStyle w:val="afd"/>
        <w:rPr>
          <w:rtl/>
        </w:rPr>
      </w:pPr>
      <w:bookmarkStart w:id="2804" w:name="_Toc9501137"/>
      <w:bookmarkStart w:id="2805" w:name="_Toc9542836"/>
      <w:bookmarkStart w:id="2806" w:name="_Toc9544940"/>
      <w:bookmarkStart w:id="2807" w:name="_Toc9591641"/>
      <w:bookmarkStart w:id="2808" w:name="_Toc9760844"/>
      <w:r w:rsidRPr="0050146A">
        <w:rPr>
          <w:rFonts w:hint="cs"/>
          <w:rtl/>
        </w:rPr>
        <w:lastRenderedPageBreak/>
        <w:t>מראי מקומות וביאורים</w:t>
      </w:r>
      <w:bookmarkEnd w:id="2804"/>
      <w:bookmarkEnd w:id="2805"/>
      <w:bookmarkEnd w:id="2806"/>
      <w:bookmarkEnd w:id="2807"/>
      <w:bookmarkEnd w:id="2808"/>
    </w:p>
    <w:p w:rsidR="00B2572D" w:rsidRPr="0050146A" w:rsidRDefault="00B2572D" w:rsidP="00B2572D">
      <w:pPr>
        <w:pStyle w:val="2"/>
        <w:keepNext w:val="0"/>
        <w:keepLines w:val="0"/>
        <w:bidi w:val="0"/>
        <w:rPr>
          <w:rFonts w:asciiTheme="minorHAnsi" w:hAnsiTheme="minorHAnsi"/>
          <w:bCs/>
          <w:sz w:val="18"/>
          <w:szCs w:val="28"/>
          <w:rtl/>
        </w:rPr>
        <w:sectPr w:rsidR="00B2572D" w:rsidRPr="0050146A" w:rsidSect="00B2572D">
          <w:pgSz w:w="11906" w:h="16838"/>
          <w:pgMar w:top="720" w:right="720" w:bottom="720" w:left="720" w:header="283" w:footer="283" w:gutter="0"/>
          <w:cols w:space="720"/>
          <w:bidi/>
          <w:rtlGutter/>
          <w:docGrid w:linePitch="299"/>
        </w:sectPr>
      </w:pPr>
    </w:p>
    <w:p w:rsidR="00B2572D" w:rsidRPr="0050146A" w:rsidRDefault="00B2572D" w:rsidP="00E669F8">
      <w:pPr>
        <w:pStyle w:val="afd"/>
        <w:rPr>
          <w:rtl/>
        </w:rPr>
      </w:pPr>
      <w:bookmarkStart w:id="2809" w:name="_Toc9501138"/>
      <w:bookmarkStart w:id="2810" w:name="_Toc9542837"/>
      <w:bookmarkStart w:id="2811" w:name="_Toc9544941"/>
      <w:bookmarkStart w:id="2812" w:name="_Toc9591642"/>
      <w:bookmarkStart w:id="2813" w:name="_Toc9760845"/>
      <w:r w:rsidRPr="0050146A">
        <w:rPr>
          <w:rFonts w:hint="cs"/>
          <w:rtl/>
        </w:rPr>
        <w:t>בביאור הל"ק</w:t>
      </w:r>
      <w:bookmarkEnd w:id="2809"/>
      <w:bookmarkEnd w:id="2810"/>
      <w:bookmarkEnd w:id="2811"/>
      <w:r w:rsidRPr="0050146A">
        <w:rPr>
          <w:rFonts w:hint="cs"/>
          <w:rtl/>
        </w:rPr>
        <w:t xml:space="preserve"> דמשערים בקדירה עצמה</w:t>
      </w:r>
      <w:bookmarkEnd w:id="2812"/>
      <w:bookmarkEnd w:id="2813"/>
    </w:p>
    <w:p w:rsidR="00B2572D" w:rsidRPr="0050146A" w:rsidRDefault="00B2572D" w:rsidP="00B2572D">
      <w:pPr>
        <w:pStyle w:val="1"/>
        <w:rPr>
          <w:rtl/>
        </w:rPr>
      </w:pPr>
      <w:bookmarkStart w:id="2814" w:name="_Toc9501139"/>
      <w:bookmarkStart w:id="2815" w:name="_Toc9542838"/>
      <w:bookmarkStart w:id="2816" w:name="_Toc9544942"/>
      <w:bookmarkStart w:id="2817" w:name="_Toc9591643"/>
      <w:bookmarkStart w:id="2818" w:name="_Toc9760846"/>
      <w:r w:rsidRPr="0050146A">
        <w:rPr>
          <w:rFonts w:hint="cs"/>
          <w:rtl/>
        </w:rPr>
        <w:t>ביאור הרשב"א והר"ן בדעת רש"י דמשערים בחרסי הקדירה</w:t>
      </w:r>
      <w:bookmarkEnd w:id="2814"/>
      <w:bookmarkEnd w:id="2815"/>
      <w:bookmarkEnd w:id="2816"/>
      <w:bookmarkEnd w:id="2817"/>
      <w:bookmarkEnd w:id="2818"/>
    </w:p>
    <w:p w:rsidR="00B2572D" w:rsidRPr="0050146A" w:rsidRDefault="00B2572D" w:rsidP="00B2572D">
      <w:pPr>
        <w:pStyle w:val="a2"/>
        <w:rPr>
          <w:rtl/>
        </w:rPr>
      </w:pPr>
      <w:bookmarkStart w:id="2819" w:name="_Toc9591644"/>
      <w:bookmarkStart w:id="2820" w:name="_Toc9760847"/>
      <w:r w:rsidRPr="0050146A">
        <w:rPr>
          <w:rFonts w:hint="cs"/>
          <w:rtl/>
        </w:rPr>
        <w:t>ביאור הרשב"א והר"ן ברש"י דלל"ק משערים בחרסים של הקדירה עצמה</w:t>
      </w:r>
      <w:bookmarkEnd w:id="2819"/>
      <w:bookmarkEnd w:id="2820"/>
    </w:p>
    <w:p w:rsidR="00B2572D" w:rsidRPr="0050146A" w:rsidRDefault="00B2572D" w:rsidP="009F44AF">
      <w:pPr>
        <w:pStyle w:val="a"/>
        <w:numPr>
          <w:ilvl w:val="0"/>
          <w:numId w:val="6"/>
        </w:numPr>
        <w:rPr>
          <w:rtl/>
        </w:rPr>
      </w:pPr>
      <w:bookmarkStart w:id="2821" w:name="_Ref9505965"/>
      <w:r w:rsidRPr="0050146A">
        <w:rPr>
          <w:rFonts w:hint="cs"/>
          <w:rtl/>
        </w:rPr>
        <w:t xml:space="preserve">בביאור הל"ק דמשערים בקדירה עצמה, כתבו </w:t>
      </w:r>
      <w:r w:rsidRPr="0050146A">
        <w:rPr>
          <w:rStyle w:val="af8"/>
          <w:rFonts w:hint="cs"/>
          <w:rtl/>
        </w:rPr>
        <w:t>הרשב"א בחי'</w:t>
      </w:r>
      <w:r w:rsidRPr="0050146A">
        <w:rPr>
          <w:rFonts w:hint="cs"/>
          <w:rtl/>
        </w:rPr>
        <w:t xml:space="preserve"> </w:t>
      </w:r>
      <w:r w:rsidRPr="009F44AF">
        <w:rPr>
          <w:rStyle w:val="af6"/>
          <w:rFonts w:eastAsia="Guttman Hodes" w:hint="cs"/>
          <w:rtl/>
        </w:rPr>
        <w:t>(ד"ה ובקדירה)</w:t>
      </w:r>
      <w:r w:rsidRPr="0050146A">
        <w:rPr>
          <w:rFonts w:hint="cs"/>
          <w:rtl/>
        </w:rPr>
        <w:t xml:space="preserve"> </w:t>
      </w:r>
      <w:r w:rsidRPr="0050146A">
        <w:rPr>
          <w:rStyle w:val="af8"/>
          <w:rFonts w:hint="cs"/>
          <w:rtl/>
        </w:rPr>
        <w:t>ובתוה"ב</w:t>
      </w:r>
      <w:r w:rsidRPr="0050146A">
        <w:rPr>
          <w:rFonts w:hint="cs"/>
          <w:rtl/>
        </w:rPr>
        <w:t xml:space="preserve"> </w:t>
      </w:r>
      <w:r w:rsidRPr="009F44AF">
        <w:rPr>
          <w:rStyle w:val="af6"/>
          <w:rFonts w:eastAsia="Guttman Hodes" w:hint="cs"/>
          <w:rtl/>
        </w:rPr>
        <w:t>(ב"ד ש"א ה: מדה"ס)</w:t>
      </w:r>
      <w:r w:rsidRPr="0050146A">
        <w:rPr>
          <w:rFonts w:hint="cs"/>
          <w:rtl/>
        </w:rPr>
        <w:t xml:space="preserve"> </w:t>
      </w:r>
      <w:r w:rsidRPr="0050146A">
        <w:rPr>
          <w:rStyle w:val="af8"/>
          <w:rFonts w:hint="cs"/>
          <w:rtl/>
        </w:rPr>
        <w:t>והר"ן על הרי"ף</w:t>
      </w:r>
      <w:r w:rsidRPr="0050146A">
        <w:rPr>
          <w:rFonts w:hint="cs"/>
          <w:rtl/>
        </w:rPr>
        <w:t xml:space="preserve"> </w:t>
      </w:r>
      <w:r w:rsidRPr="009F44AF">
        <w:rPr>
          <w:rStyle w:val="af6"/>
          <w:rFonts w:eastAsia="Guttman Hodes" w:hint="cs"/>
          <w:rtl/>
        </w:rPr>
        <w:t>(לד: מדפי הרי"ף ד"ה א"ר חנינא)</w:t>
      </w:r>
      <w:r w:rsidRPr="0050146A">
        <w:rPr>
          <w:rFonts w:hint="cs"/>
          <w:rtl/>
        </w:rPr>
        <w:t xml:space="preserve"> דמדברי </w:t>
      </w:r>
      <w:r w:rsidRPr="0050146A">
        <w:rPr>
          <w:rStyle w:val="af8"/>
          <w:rFonts w:hint="cs"/>
          <w:rtl/>
        </w:rPr>
        <w:t>רש"י</w:t>
      </w:r>
      <w:r w:rsidRPr="0050146A">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Ref9268566 \r \h</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9F44AF">
        <w:rPr>
          <w:rStyle w:val="af6"/>
          <w:rFonts w:eastAsia="Guttman Hodes"/>
          <w:rtl/>
        </w:rPr>
        <w:fldChar w:fldCharType="end"/>
      </w:r>
      <w:r w:rsidRPr="0050146A">
        <w:rPr>
          <w:rFonts w:hint="cs"/>
          <w:rtl/>
        </w:rPr>
        <w:t xml:space="preserve"> משמע דביאר בל"ק, דמשערים בחרסים של הקדירה עצמה</w:t>
      </w:r>
      <w:r w:rsidRPr="0050146A">
        <w:rPr>
          <w:rStyle w:val="af0"/>
          <w:rtl/>
        </w:rPr>
        <w:footnoteReference w:id="8"/>
      </w:r>
      <w:r w:rsidRPr="0050146A">
        <w:rPr>
          <w:rFonts w:hint="cs"/>
          <w:rtl/>
        </w:rPr>
        <w:t>.</w:t>
      </w:r>
      <w:bookmarkEnd w:id="2821"/>
    </w:p>
    <w:p w:rsidR="00B2572D" w:rsidRPr="0050146A" w:rsidRDefault="00B2572D" w:rsidP="00B2572D">
      <w:pPr>
        <w:pStyle w:val="a2"/>
        <w:rPr>
          <w:rtl/>
        </w:rPr>
      </w:pPr>
      <w:bookmarkStart w:id="2822" w:name="_Toc9591645"/>
      <w:bookmarkStart w:id="2823" w:name="_Toc9760848"/>
      <w:r w:rsidRPr="0050146A">
        <w:rPr>
          <w:rFonts w:hint="cs"/>
          <w:rtl/>
        </w:rPr>
        <w:t>דברי רבינו גרשום דהקדירה עצמה מצטרפת לשישים</w:t>
      </w:r>
      <w:bookmarkEnd w:id="2822"/>
      <w:bookmarkEnd w:id="2823"/>
    </w:p>
    <w:p w:rsidR="00B2572D" w:rsidRPr="0050146A" w:rsidRDefault="00B2572D" w:rsidP="009F44AF">
      <w:pPr>
        <w:pStyle w:val="a"/>
        <w:rPr>
          <w:rtl/>
        </w:rPr>
      </w:pPr>
      <w:r w:rsidRPr="0050146A">
        <w:rPr>
          <w:rFonts w:hint="cs"/>
          <w:rtl/>
        </w:rPr>
        <w:t xml:space="preserve">וכן משמע בדברי </w:t>
      </w:r>
      <w:r w:rsidRPr="0050146A">
        <w:rPr>
          <w:rStyle w:val="af8"/>
          <w:rFonts w:hint="cs"/>
          <w:rtl/>
        </w:rPr>
        <w:t>רבינו גרשום</w:t>
      </w:r>
      <w:r w:rsidRPr="0050146A">
        <w:rPr>
          <w:rFonts w:hint="cs"/>
          <w:rtl/>
        </w:rPr>
        <w:t xml:space="preserve"> </w:t>
      </w:r>
      <w:r w:rsidRPr="0050146A">
        <w:rPr>
          <w:rStyle w:val="af6"/>
          <w:rFonts w:eastAsia="Guttman Hodes" w:hint="cs"/>
          <w:rtl/>
        </w:rPr>
        <w:t>(ד"ה ואיכא)</w:t>
      </w:r>
      <w:r w:rsidRPr="0050146A">
        <w:rPr>
          <w:rFonts w:hint="cs"/>
          <w:rtl/>
        </w:rPr>
        <w:t xml:space="preserve"> דכתב דהקדירה עצמה מצטרפת לשישים, לבטל את האיסור שהתבשל בה.</w:t>
      </w:r>
    </w:p>
    <w:p w:rsidR="00B2572D" w:rsidRPr="0050146A" w:rsidRDefault="00B2572D" w:rsidP="00B2572D">
      <w:pPr>
        <w:pStyle w:val="1"/>
        <w:rPr>
          <w:rtl/>
        </w:rPr>
      </w:pPr>
      <w:bookmarkStart w:id="2824" w:name="_Toc9501140"/>
      <w:bookmarkStart w:id="2825" w:name="_Toc9542839"/>
      <w:bookmarkStart w:id="2826" w:name="_Toc9544943"/>
      <w:bookmarkStart w:id="2827" w:name="_Toc9591646"/>
      <w:bookmarkStart w:id="2828" w:name="_Toc9760849"/>
      <w:r w:rsidRPr="0050146A">
        <w:rPr>
          <w:rFonts w:hint="cs"/>
          <w:rtl/>
        </w:rPr>
        <w:t xml:space="preserve">קושיות התוס' </w:t>
      </w:r>
      <w:bookmarkEnd w:id="2824"/>
      <w:bookmarkEnd w:id="2825"/>
      <w:bookmarkEnd w:id="2826"/>
      <w:r w:rsidRPr="0050146A">
        <w:rPr>
          <w:rFonts w:hint="cs"/>
          <w:rtl/>
        </w:rPr>
        <w:t>והריטב"א דא"א לומר דמשערים בחרסי הקדירה</w:t>
      </w:r>
      <w:bookmarkEnd w:id="2827"/>
      <w:bookmarkEnd w:id="2828"/>
    </w:p>
    <w:p w:rsidR="00B2572D" w:rsidRPr="0050146A" w:rsidRDefault="00B2572D" w:rsidP="00B2572D">
      <w:pPr>
        <w:pStyle w:val="a2"/>
        <w:rPr>
          <w:rtl/>
        </w:rPr>
      </w:pPr>
      <w:bookmarkStart w:id="2829" w:name="_Toc9591647"/>
      <w:bookmarkStart w:id="2830" w:name="_Toc9760850"/>
      <w:r w:rsidRPr="0050146A">
        <w:rPr>
          <w:rFonts w:hint="cs"/>
          <w:rtl/>
        </w:rPr>
        <w:t>קושית התוס' דאי החרסים מצטרפים לשישים א"כ אף במקום שיש ודאי טעם צריך להתיר</w:t>
      </w:r>
      <w:bookmarkEnd w:id="2829"/>
      <w:bookmarkEnd w:id="2830"/>
    </w:p>
    <w:p w:rsidR="00B2572D" w:rsidRPr="0050146A" w:rsidRDefault="00B2572D" w:rsidP="009F44AF">
      <w:pPr>
        <w:pStyle w:val="a"/>
        <w:rPr>
          <w:rtl/>
        </w:rPr>
      </w:pPr>
      <w:r w:rsidRPr="0050146A">
        <w:rPr>
          <w:rFonts w:hint="cs"/>
          <w:rtl/>
        </w:rPr>
        <w:t xml:space="preserve">והקשו </w:t>
      </w:r>
      <w:r w:rsidRPr="0050146A">
        <w:rPr>
          <w:rStyle w:val="af8"/>
          <w:rFonts w:hint="cs"/>
          <w:rtl/>
        </w:rPr>
        <w:t>התוס'</w:t>
      </w:r>
      <w:r w:rsidRPr="0050146A">
        <w:rPr>
          <w:rFonts w:hint="cs"/>
          <w:rtl/>
        </w:rPr>
        <w:t xml:space="preserve"> </w:t>
      </w:r>
      <w:r w:rsidRPr="0050146A">
        <w:rPr>
          <w:rStyle w:val="af6"/>
          <w:rFonts w:eastAsia="Guttman Hodes" w:hint="cs"/>
          <w:rtl/>
        </w:rPr>
        <w:t xml:space="preserve">(ד"ה איכא) </w:t>
      </w:r>
      <w:r w:rsidRPr="0050146A">
        <w:rPr>
          <w:rFonts w:hint="cs"/>
          <w:rtl/>
        </w:rPr>
        <w:t xml:space="preserve">דהיאך אפש"ל דמשערים בקדירה עצמה, הא אי שיעור עובי הקדירה כחמישים זיתים, ונתן בקדירה מים בשיעור של עשרה זיתים, ובישל במים כזית </w:t>
      </w:r>
      <w:r w:rsidRPr="0050146A">
        <w:rPr>
          <w:rtl/>
        </w:rPr>
        <w:t>חֵלֶב</w:t>
      </w:r>
      <w:r w:rsidRPr="0050146A">
        <w:rPr>
          <w:rFonts w:hint="cs"/>
          <w:rtl/>
        </w:rPr>
        <w:t>, דפשיטא דה</w:t>
      </w:r>
      <w:r w:rsidRPr="0050146A">
        <w:rPr>
          <w:rtl/>
        </w:rPr>
        <w:t>חֵלֶב</w:t>
      </w:r>
      <w:r w:rsidRPr="0050146A">
        <w:rPr>
          <w:rFonts w:hint="cs"/>
          <w:rtl/>
        </w:rPr>
        <w:t xml:space="preserve"> נותן טעם במים, וא"א לומר דהחמישים זיתים של עובי הקדירה יחד עם העשרה זיתים מים יצטרפו לשישים, ויבטלו את הכזית </w:t>
      </w:r>
      <w:r w:rsidRPr="0050146A">
        <w:rPr>
          <w:rtl/>
        </w:rPr>
        <w:t>חֵלֶב</w:t>
      </w:r>
      <w:r w:rsidRPr="0050146A">
        <w:rPr>
          <w:rFonts w:hint="cs"/>
          <w:rtl/>
        </w:rPr>
        <w:t>.</w:t>
      </w:r>
    </w:p>
    <w:p w:rsidR="00B2572D" w:rsidRPr="0050146A" w:rsidRDefault="00B2572D" w:rsidP="00B2572D">
      <w:pPr>
        <w:pStyle w:val="a2"/>
        <w:rPr>
          <w:rtl/>
        </w:rPr>
      </w:pPr>
      <w:bookmarkStart w:id="2831" w:name="_Toc9591648"/>
      <w:bookmarkStart w:id="2832" w:name="_Toc9760851"/>
      <w:r w:rsidRPr="0050146A">
        <w:rPr>
          <w:rFonts w:hint="cs"/>
          <w:rtl/>
        </w:rPr>
        <w:t>קושית הריטב"א דמהכ"ת לשער בחרסים</w:t>
      </w:r>
      <w:bookmarkEnd w:id="2831"/>
      <w:r w:rsidRPr="0050146A">
        <w:rPr>
          <w:rFonts w:hint="cs"/>
          <w:rtl/>
        </w:rPr>
        <w:t xml:space="preserve"> ועוד דא"א להתיר בב' חלקי היתר וע"י החרס יש שישים</w:t>
      </w:r>
      <w:bookmarkEnd w:id="2832"/>
    </w:p>
    <w:p w:rsidR="00B2572D" w:rsidRPr="0050146A" w:rsidRDefault="00B2572D" w:rsidP="009F44AF">
      <w:pPr>
        <w:pStyle w:val="a"/>
        <w:rPr>
          <w:rtl/>
        </w:rPr>
      </w:pPr>
      <w:r w:rsidRPr="0050146A">
        <w:rPr>
          <w:rStyle w:val="af8"/>
          <w:rFonts w:hint="cs"/>
          <w:rtl/>
        </w:rPr>
        <w:t>והריטב"א</w:t>
      </w:r>
      <w:r w:rsidRPr="0050146A">
        <w:rPr>
          <w:rFonts w:hint="cs"/>
          <w:rtl/>
        </w:rPr>
        <w:t xml:space="preserve"> </w:t>
      </w:r>
      <w:r w:rsidRPr="0050146A">
        <w:rPr>
          <w:rStyle w:val="af6"/>
          <w:rFonts w:eastAsia="Guttman Hodes" w:hint="cs"/>
          <w:rtl/>
        </w:rPr>
        <w:t>(ד"ה ובקדירה)</w:t>
      </w:r>
      <w:r w:rsidRPr="0050146A">
        <w:rPr>
          <w:rFonts w:hint="cs"/>
          <w:rtl/>
        </w:rPr>
        <w:t xml:space="preserve"> כתב דא"א לומר דהכוונה שמשערים בחרסי הקדירה ממש, דמהיכי תיתי שנשער בחרסים, ועוד דאי נשער בחרסים יתכן שיהיה בהיתר רק ב' או ג' חלקים כנגד האיסור, וע"י הקדירה נשלים שיש שישים כנגד האיסור.</w:t>
      </w:r>
    </w:p>
    <w:p w:rsidR="00B2572D" w:rsidRPr="0050146A" w:rsidRDefault="00B2572D" w:rsidP="00B2572D">
      <w:pPr>
        <w:pStyle w:val="a2"/>
        <w:rPr>
          <w:rtl/>
        </w:rPr>
      </w:pPr>
      <w:bookmarkStart w:id="2833" w:name="_Toc9591649"/>
      <w:bookmarkStart w:id="2834" w:name="_Toc9760852"/>
      <w:r w:rsidRPr="0050146A">
        <w:rPr>
          <w:rFonts w:hint="cs"/>
          <w:rtl/>
        </w:rPr>
        <w:t>ביאור החת"ס ברש"י דאיירי כשטעם הקפילא ואין טעם איסור ושיעור שישים הוא רק מגזיה"כ</w:t>
      </w:r>
      <w:bookmarkEnd w:id="2833"/>
      <w:bookmarkEnd w:id="2834"/>
    </w:p>
    <w:p w:rsidR="00B2572D" w:rsidRPr="0050146A" w:rsidRDefault="00B2572D" w:rsidP="009F44AF">
      <w:pPr>
        <w:pStyle w:val="a"/>
        <w:rPr>
          <w:rStyle w:val="afa"/>
          <w:rtl/>
        </w:rPr>
      </w:pPr>
      <w:r w:rsidRPr="0050146A">
        <w:rPr>
          <w:rFonts w:hint="cs"/>
          <w:rtl/>
        </w:rPr>
        <w:t xml:space="preserve">ותירץ </w:t>
      </w:r>
      <w:r w:rsidRPr="0050146A">
        <w:rPr>
          <w:rStyle w:val="af8"/>
          <w:rFonts w:hint="cs"/>
          <w:rtl/>
        </w:rPr>
        <w:t>החת"ס</w:t>
      </w:r>
      <w:r w:rsidRPr="0050146A">
        <w:rPr>
          <w:rFonts w:hint="cs"/>
          <w:rtl/>
        </w:rPr>
        <w:t xml:space="preserve"> </w:t>
      </w:r>
      <w:r w:rsidRPr="0050146A">
        <w:rPr>
          <w:rStyle w:val="af6"/>
          <w:rFonts w:eastAsia="Guttman Hodes" w:hint="cs"/>
          <w:rtl/>
        </w:rPr>
        <w:t>(ד"ה איכא)</w:t>
      </w:r>
      <w:r w:rsidRPr="0050146A">
        <w:rPr>
          <w:rFonts w:hint="cs"/>
          <w:rtl/>
        </w:rPr>
        <w:t xml:space="preserve"> בדעת </w:t>
      </w:r>
      <w:r w:rsidRPr="0050146A">
        <w:rPr>
          <w:rStyle w:val="af8"/>
          <w:rFonts w:hint="cs"/>
          <w:rtl/>
        </w:rPr>
        <w:t>רש"י</w:t>
      </w:r>
      <w:r w:rsidRPr="0050146A">
        <w:rPr>
          <w:rFonts w:hint="cs"/>
          <w:rtl/>
        </w:rPr>
        <w:t xml:space="preserve"> דכיון דס"ל </w:t>
      </w:r>
      <w:r w:rsidRPr="0050146A">
        <w:rPr>
          <w:rStyle w:val="af8"/>
          <w:rFonts w:hint="cs"/>
          <w:rtl/>
        </w:rPr>
        <w:t>לרש"י לקמן</w:t>
      </w:r>
      <w:r w:rsidRPr="0050146A">
        <w:rPr>
          <w:rFonts w:hint="cs"/>
          <w:rtl/>
        </w:rPr>
        <w:t xml:space="preserve"> </w:t>
      </w:r>
      <w:r w:rsidRPr="0050146A">
        <w:rPr>
          <w:rStyle w:val="af6"/>
          <w:rFonts w:eastAsia="Guttman Hodes" w:hint="cs"/>
          <w:rtl/>
        </w:rPr>
        <w:t>(צח. ד"ה בס')</w:t>
      </w:r>
      <w:r w:rsidRPr="0050146A">
        <w:rPr>
          <w:rFonts w:hint="cs"/>
          <w:rtl/>
        </w:rPr>
        <w:t xml:space="preserve"> דאף במקום שאמר הקפילא שאין טעם עדיין צריך שישים, א"כ אפש"ל דאיירי שטעם הקפילא ואמר שאין טעם, וכ"מ שצריך שישים הוא מחמת גזיה"כ דזרוע בשילה, ובזה ס"ל לל"ק דסגי בשישים אף בצירוף חרסי הקדירה. </w:t>
      </w:r>
      <w:r w:rsidRPr="0050146A">
        <w:rPr>
          <w:rStyle w:val="afa"/>
          <w:rFonts w:hint="cs"/>
          <w:rtl/>
        </w:rPr>
        <w:t xml:space="preserve">[ועי' במה שביאר </w:t>
      </w:r>
      <w:r w:rsidRPr="0050146A">
        <w:rPr>
          <w:rStyle w:val="affa"/>
          <w:rFonts w:hint="cs"/>
          <w:rtl/>
        </w:rPr>
        <w:t>החת"ס</w:t>
      </w:r>
      <w:r w:rsidRPr="0050146A">
        <w:rPr>
          <w:rStyle w:val="afa"/>
          <w:rFonts w:hint="cs"/>
          <w:rtl/>
        </w:rPr>
        <w:t xml:space="preserve"> </w:t>
      </w:r>
      <w:r w:rsidRPr="0050146A">
        <w:rPr>
          <w:rStyle w:val="aff6"/>
          <w:rFonts w:hint="cs"/>
          <w:rtl/>
        </w:rPr>
        <w:t xml:space="preserve">(צח. ד"ה </w:t>
      </w:r>
      <w:r w:rsidRPr="00062DCD">
        <w:rPr>
          <w:rStyle w:val="aff6"/>
          <w:rFonts w:hint="cs"/>
          <w:rtl/>
        </w:rPr>
        <w:t xml:space="preserve">כל, הובא לעיל סימן ב' אות </w:t>
      </w:r>
      <w:r w:rsidR="00544A69" w:rsidRPr="00062DCD">
        <w:rPr>
          <w:rStyle w:val="aff6"/>
          <w:rtl/>
        </w:rPr>
        <w:fldChar w:fldCharType="begin"/>
      </w:r>
      <w:r w:rsidR="00544A69" w:rsidRPr="00062DCD">
        <w:rPr>
          <w:rStyle w:val="aff6"/>
          <w:rtl/>
        </w:rPr>
        <w:instrText xml:space="preserve"> </w:instrText>
      </w:r>
      <w:r w:rsidR="00544A69" w:rsidRPr="00062DCD">
        <w:rPr>
          <w:rStyle w:val="aff6"/>
          <w:rFonts w:hint="cs"/>
        </w:rPr>
        <w:instrText>REF</w:instrText>
      </w:r>
      <w:r w:rsidR="00544A69" w:rsidRPr="00062DCD">
        <w:rPr>
          <w:rStyle w:val="aff6"/>
          <w:rFonts w:hint="cs"/>
          <w:rtl/>
        </w:rPr>
        <w:instrText xml:space="preserve"> _</w:instrText>
      </w:r>
      <w:r w:rsidR="00544A69" w:rsidRPr="00062DCD">
        <w:rPr>
          <w:rStyle w:val="aff6"/>
          <w:rFonts w:hint="cs"/>
        </w:rPr>
        <w:instrText>Ref14427577 \r \h</w:instrText>
      </w:r>
      <w:r w:rsidR="00544A69" w:rsidRPr="00062DCD">
        <w:rPr>
          <w:rStyle w:val="aff6"/>
          <w:rtl/>
        </w:rPr>
        <w:instrText xml:space="preserve"> </w:instrText>
      </w:r>
      <w:r w:rsidR="00544A69" w:rsidRPr="00062DCD">
        <w:rPr>
          <w:rStyle w:val="aff6"/>
          <w:rtl/>
        </w:rPr>
      </w:r>
      <w:r w:rsidR="00544A69" w:rsidRPr="00062DCD">
        <w:rPr>
          <w:rStyle w:val="aff6"/>
          <w:rtl/>
        </w:rPr>
        <w:fldChar w:fldCharType="separate"/>
      </w:r>
      <w:r w:rsidR="004D1C5B">
        <w:rPr>
          <w:rStyle w:val="aff6"/>
          <w:cs/>
        </w:rPr>
        <w:t>‎</w:t>
      </w:r>
      <w:r w:rsidR="004D1C5B">
        <w:rPr>
          <w:rStyle w:val="aff6"/>
          <w:rtl/>
        </w:rPr>
        <w:t>כז)</w:t>
      </w:r>
      <w:r w:rsidR="00544A69" w:rsidRPr="00062DCD">
        <w:rPr>
          <w:rStyle w:val="aff6"/>
          <w:rtl/>
        </w:rPr>
        <w:fldChar w:fldCharType="end"/>
      </w:r>
      <w:r w:rsidRPr="0050146A">
        <w:rPr>
          <w:rStyle w:val="afa"/>
          <w:rFonts w:hint="cs"/>
          <w:rtl/>
        </w:rPr>
        <w:t xml:space="preserve"> בדעת </w:t>
      </w:r>
      <w:r w:rsidRPr="0050146A">
        <w:rPr>
          <w:rStyle w:val="affa"/>
          <w:rFonts w:hint="cs"/>
          <w:rtl/>
        </w:rPr>
        <w:t>רש"י</w:t>
      </w:r>
      <w:r w:rsidRPr="0050146A">
        <w:rPr>
          <w:rStyle w:val="afa"/>
          <w:rFonts w:hint="cs"/>
          <w:rtl/>
        </w:rPr>
        <w:t xml:space="preserve"> בגדר שישים וקפילא].</w:t>
      </w:r>
    </w:p>
    <w:p w:rsidR="00B2572D" w:rsidRPr="0050146A" w:rsidRDefault="00B2572D" w:rsidP="00B2572D">
      <w:pPr>
        <w:pStyle w:val="1"/>
        <w:rPr>
          <w:rtl/>
        </w:rPr>
      </w:pPr>
      <w:bookmarkStart w:id="2835" w:name="_Toc9501141"/>
      <w:bookmarkStart w:id="2836" w:name="_Toc9542840"/>
      <w:bookmarkStart w:id="2837" w:name="_Toc9544944"/>
      <w:bookmarkStart w:id="2838" w:name="_Toc9591650"/>
      <w:bookmarkStart w:id="2839" w:name="_Toc9760853"/>
      <w:r w:rsidRPr="0050146A">
        <w:rPr>
          <w:rFonts w:hint="cs"/>
          <w:rtl/>
        </w:rPr>
        <w:t>דברי התוס'</w:t>
      </w:r>
      <w:bookmarkEnd w:id="2835"/>
      <w:bookmarkEnd w:id="2836"/>
      <w:bookmarkEnd w:id="2837"/>
      <w:bookmarkEnd w:id="2838"/>
      <w:bookmarkEnd w:id="2839"/>
      <w:r w:rsidRPr="0050146A">
        <w:rPr>
          <w:rFonts w:hint="cs"/>
          <w:rtl/>
        </w:rPr>
        <w:t xml:space="preserve"> דהאיסור וההיתר בלועים בקדירה</w:t>
      </w:r>
    </w:p>
    <w:p w:rsidR="00B2572D" w:rsidRPr="0050146A" w:rsidRDefault="00B2572D" w:rsidP="00B2572D">
      <w:pPr>
        <w:pStyle w:val="a2"/>
        <w:rPr>
          <w:rtl/>
        </w:rPr>
      </w:pPr>
      <w:bookmarkStart w:id="2840" w:name="_Toc9591651"/>
      <w:bookmarkStart w:id="2841" w:name="_Toc9760854"/>
      <w:r w:rsidRPr="0050146A">
        <w:rPr>
          <w:rFonts w:hint="cs"/>
          <w:rtl/>
        </w:rPr>
        <w:t>ביאור התוס' דאיירי שנבלע בקדירה היתר ואח"כ נבלע איסור דהקדירה מבטלת את האיסור הבלוע</w:t>
      </w:r>
      <w:bookmarkEnd w:id="2840"/>
      <w:bookmarkEnd w:id="2841"/>
    </w:p>
    <w:p w:rsidR="002D7168" w:rsidRDefault="00B2572D" w:rsidP="009F44AF">
      <w:pPr>
        <w:pStyle w:val="a"/>
        <w:rPr>
          <w:rStyle w:val="afa"/>
          <w:rtl/>
        </w:rPr>
      </w:pPr>
      <w:bookmarkStart w:id="2842" w:name="_Ref9591507"/>
      <w:r w:rsidRPr="0050146A">
        <w:rPr>
          <w:rStyle w:val="af8"/>
          <w:rFonts w:hint="cs"/>
          <w:rtl/>
        </w:rPr>
        <w:t xml:space="preserve">והתוס' </w:t>
      </w:r>
      <w:r w:rsidRPr="0050146A">
        <w:rPr>
          <w:rFonts w:hint="cs"/>
          <w:rtl/>
        </w:rPr>
        <w:t xml:space="preserve">ביארו דכל הנדון היאך משערים בקדירה, הוא במקום שהאיסור אינו בעין, דאיירי בקדירה שבלוע בה היתר, ואח"כ נבלע בה כזית </w:t>
      </w:r>
      <w:r w:rsidRPr="0050146A">
        <w:rPr>
          <w:rtl/>
        </w:rPr>
        <w:t>חֵלֶב</w:t>
      </w:r>
      <w:r w:rsidRPr="0050146A">
        <w:rPr>
          <w:rFonts w:hint="cs"/>
          <w:rtl/>
        </w:rPr>
        <w:t xml:space="preserve">, ואח"כ חזר ובישל בה היתר, דמשערים בקדירה עצמה שהיא מבטלת את הכזית הבלוע בה. </w:t>
      </w:r>
      <w:r w:rsidRPr="0050146A">
        <w:rPr>
          <w:rStyle w:val="afa"/>
          <w:rFonts w:hint="cs"/>
          <w:rtl/>
        </w:rPr>
        <w:t>[בצירוף ההיתר שבישל בה עכשיו].</w:t>
      </w:r>
      <w:bookmarkEnd w:id="2842"/>
    </w:p>
    <w:p w:rsidR="00B2572D" w:rsidRPr="0050146A" w:rsidRDefault="00B2572D" w:rsidP="00B2572D">
      <w:pPr>
        <w:pStyle w:val="a2"/>
        <w:rPr>
          <w:rtl/>
        </w:rPr>
      </w:pPr>
      <w:bookmarkStart w:id="2843" w:name="_Toc9591652"/>
      <w:bookmarkStart w:id="2844" w:name="_Toc9760855"/>
      <w:r w:rsidRPr="0050146A">
        <w:rPr>
          <w:rFonts w:hint="cs"/>
          <w:rtl/>
        </w:rPr>
        <w:t>ביאור התוס' הרא"ש דכיון שבלוע בה גם היתר וגם איסור הקדירה עצמה מבטלת</w:t>
      </w:r>
      <w:bookmarkEnd w:id="2843"/>
      <w:bookmarkEnd w:id="2844"/>
    </w:p>
    <w:p w:rsidR="00B2572D" w:rsidRPr="0050146A" w:rsidRDefault="00B2572D" w:rsidP="009F44AF">
      <w:pPr>
        <w:pStyle w:val="a"/>
        <w:rPr>
          <w:rtl/>
        </w:rPr>
      </w:pPr>
      <w:bookmarkStart w:id="2845" w:name="_Ref9266283"/>
      <w:r w:rsidRPr="0050146A">
        <w:rPr>
          <w:rFonts w:hint="cs"/>
          <w:rtl/>
        </w:rPr>
        <w:t xml:space="preserve">וביאר </w:t>
      </w:r>
      <w:r w:rsidRPr="0050146A">
        <w:rPr>
          <w:rStyle w:val="af8"/>
          <w:rFonts w:hint="cs"/>
          <w:rtl/>
        </w:rPr>
        <w:t xml:space="preserve">התוס' הרא"ש </w:t>
      </w:r>
      <w:r w:rsidRPr="0050146A">
        <w:rPr>
          <w:rStyle w:val="af6"/>
          <w:rFonts w:eastAsia="Guttman Hodes" w:hint="cs"/>
          <w:rtl/>
        </w:rPr>
        <w:t>(ד"ה איכא)</w:t>
      </w:r>
      <w:r w:rsidRPr="0050146A">
        <w:rPr>
          <w:rFonts w:hint="cs"/>
          <w:rtl/>
        </w:rPr>
        <w:t xml:space="preserve"> דהא דלל"ק משערים בכל הקדירה, הוא כיון שגם ההיתר וגם האיסור בלועים בקדירה.</w:t>
      </w:r>
      <w:bookmarkEnd w:id="2845"/>
    </w:p>
    <w:p w:rsidR="00B2572D" w:rsidRPr="0050146A" w:rsidRDefault="00B2572D" w:rsidP="00B2572D">
      <w:pPr>
        <w:pStyle w:val="a2"/>
        <w:rPr>
          <w:rtl/>
        </w:rPr>
      </w:pPr>
      <w:bookmarkStart w:id="2846" w:name="_Toc9591653"/>
      <w:bookmarkStart w:id="2847" w:name="_Toc9760856"/>
      <w:r w:rsidRPr="0050146A">
        <w:rPr>
          <w:rFonts w:hint="cs"/>
          <w:rtl/>
        </w:rPr>
        <w:t>קושית המהר"ם והמעדני יו"ט אמאי כתבו התוס' דנבלע בקדירה היתר הא אין משערים בבלוע</w:t>
      </w:r>
      <w:bookmarkEnd w:id="2846"/>
      <w:bookmarkEnd w:id="2847"/>
    </w:p>
    <w:p w:rsidR="00B2572D" w:rsidRPr="0050146A" w:rsidRDefault="00B2572D" w:rsidP="009F44AF">
      <w:pPr>
        <w:pStyle w:val="a"/>
      </w:pPr>
      <w:r w:rsidRPr="0050146A">
        <w:rPr>
          <w:rFonts w:hint="cs"/>
          <w:rtl/>
        </w:rPr>
        <w:t xml:space="preserve">והקשו </w:t>
      </w:r>
      <w:r w:rsidRPr="0050146A">
        <w:rPr>
          <w:rStyle w:val="af8"/>
          <w:rFonts w:hint="cs"/>
          <w:rtl/>
        </w:rPr>
        <w:t>המהר"ם</w:t>
      </w:r>
      <w:r w:rsidRPr="0050146A">
        <w:rPr>
          <w:rFonts w:hint="cs"/>
          <w:rtl/>
        </w:rPr>
        <w:t xml:space="preserve"> </w:t>
      </w:r>
      <w:r w:rsidRPr="0050146A">
        <w:rPr>
          <w:rStyle w:val="af6"/>
          <w:rFonts w:eastAsia="Guttman Hodes" w:hint="cs"/>
          <w:rtl/>
        </w:rPr>
        <w:t>(על תוד"ה איכא)</w:t>
      </w:r>
      <w:r w:rsidRPr="0050146A">
        <w:rPr>
          <w:rFonts w:hint="cs"/>
          <w:rtl/>
        </w:rPr>
        <w:t xml:space="preserve"> </w:t>
      </w:r>
      <w:r w:rsidRPr="0050146A">
        <w:rPr>
          <w:rStyle w:val="af8"/>
          <w:rFonts w:hint="cs"/>
          <w:rtl/>
        </w:rPr>
        <w:t>והמעדני יו"ט</w:t>
      </w:r>
      <w:r w:rsidRPr="0050146A">
        <w:rPr>
          <w:rFonts w:hint="cs"/>
          <w:rtl/>
        </w:rPr>
        <w:t xml:space="preserve"> </w:t>
      </w:r>
      <w:r w:rsidRPr="0050146A">
        <w:rPr>
          <w:rStyle w:val="af6"/>
          <w:rFonts w:eastAsia="Guttman Hodes" w:hint="cs"/>
          <w:rtl/>
        </w:rPr>
        <w:t xml:space="preserve">(על הרא"ש סי' כ"ו אות ט') </w:t>
      </w:r>
      <w:r w:rsidRPr="0050146A">
        <w:rPr>
          <w:rFonts w:hint="cs"/>
          <w:rtl/>
        </w:rPr>
        <w:t xml:space="preserve">על </w:t>
      </w:r>
      <w:r w:rsidRPr="0050146A">
        <w:rPr>
          <w:rStyle w:val="af8"/>
          <w:rFonts w:hint="cs"/>
          <w:rtl/>
        </w:rPr>
        <w:t>התוס'</w:t>
      </w:r>
      <w:r w:rsidRPr="0050146A">
        <w:rPr>
          <w:rFonts w:hint="cs"/>
          <w:rtl/>
        </w:rPr>
        <w:t xml:space="preserve"> דאמאי כתבו דהקדירה הייתה כבר בלועה מההיתר, הא לל"ק דמשערים בקדירה, א"צ לומר דהיא בלועה מההיתר, </w:t>
      </w:r>
      <w:r w:rsidRPr="0050146A">
        <w:rPr>
          <w:rStyle w:val="afa"/>
          <w:rFonts w:hint="cs"/>
          <w:rtl/>
        </w:rPr>
        <w:t xml:space="preserve">[דהא אין משערים בבלוע אלא בקדירה עצמה], </w:t>
      </w:r>
      <w:r w:rsidRPr="0050146A">
        <w:rPr>
          <w:rFonts w:hint="cs"/>
          <w:rtl/>
        </w:rPr>
        <w:t xml:space="preserve">ועי' בדברי </w:t>
      </w:r>
      <w:r w:rsidRPr="0050146A">
        <w:rPr>
          <w:rStyle w:val="af8"/>
          <w:rFonts w:hint="cs"/>
          <w:rtl/>
        </w:rPr>
        <w:t>התוס' הרא"ש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Ref9266283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Pr="0050146A">
        <w:rPr>
          <w:rStyle w:val="af6"/>
          <w:rFonts w:eastAsia="Guttman Hodes"/>
          <w:rtl/>
        </w:rPr>
        <w:fldChar w:fldCharType="end"/>
      </w:r>
      <w:r w:rsidRPr="0050146A">
        <w:rPr>
          <w:rFonts w:hint="cs"/>
          <w:rtl/>
        </w:rPr>
        <w:t>.</w:t>
      </w:r>
    </w:p>
    <w:p w:rsidR="00B2572D" w:rsidRPr="0050146A" w:rsidRDefault="00B2572D" w:rsidP="00B2572D">
      <w:pPr>
        <w:pStyle w:val="a2"/>
        <w:rPr>
          <w:rtl/>
        </w:rPr>
      </w:pPr>
      <w:bookmarkStart w:id="2848" w:name="_Toc9591654"/>
      <w:bookmarkStart w:id="2849" w:name="_Toc9760857"/>
      <w:r w:rsidRPr="0050146A">
        <w:rPr>
          <w:rFonts w:hint="cs"/>
          <w:rtl/>
        </w:rPr>
        <w:t>דברי המהר"ם דהתוס' כתבו שנבלע בה היתר לבאר את הל"ב דמשערים במה שבלעה הקדירה</w:t>
      </w:r>
      <w:bookmarkEnd w:id="2848"/>
      <w:bookmarkEnd w:id="2849"/>
    </w:p>
    <w:p w:rsidR="00B2572D" w:rsidRPr="0050146A" w:rsidRDefault="00B2572D" w:rsidP="009F44AF">
      <w:pPr>
        <w:pStyle w:val="a"/>
        <w:rPr>
          <w:rtl/>
        </w:rPr>
      </w:pPr>
      <w:bookmarkStart w:id="2850" w:name="_Ref9579769"/>
      <w:bookmarkStart w:id="2851" w:name="_Ref9591530"/>
      <w:r w:rsidRPr="0050146A">
        <w:rPr>
          <w:rFonts w:hint="cs"/>
          <w:rtl/>
        </w:rPr>
        <w:t xml:space="preserve">ותירץ </w:t>
      </w:r>
      <w:r w:rsidRPr="0050146A">
        <w:rPr>
          <w:rStyle w:val="af8"/>
          <w:rFonts w:hint="cs"/>
          <w:rtl/>
        </w:rPr>
        <w:t>המהר"ם</w:t>
      </w:r>
      <w:r w:rsidRPr="0050146A">
        <w:rPr>
          <w:rFonts w:hint="cs"/>
          <w:rtl/>
        </w:rPr>
        <w:t xml:space="preserve"> דכתבו</w:t>
      </w:r>
      <w:r w:rsidRPr="0050146A">
        <w:rPr>
          <w:rStyle w:val="af8"/>
          <w:rFonts w:hint="cs"/>
          <w:rtl/>
        </w:rPr>
        <w:t xml:space="preserve"> התוס'</w:t>
      </w:r>
      <w:r w:rsidRPr="0050146A">
        <w:rPr>
          <w:rFonts w:hint="cs"/>
          <w:rtl/>
        </w:rPr>
        <w:t xml:space="preserve"> כן בכדי לבאר את הל"ב דמשערים במה שבלעה הקדירה</w:t>
      </w:r>
      <w:bookmarkEnd w:id="2850"/>
      <w:r w:rsidRPr="0050146A">
        <w:rPr>
          <w:rFonts w:hint="cs"/>
          <w:rtl/>
        </w:rPr>
        <w:t xml:space="preserve">, וכעי"ז כתב </w:t>
      </w:r>
      <w:r w:rsidRPr="0050146A">
        <w:rPr>
          <w:rStyle w:val="af8"/>
          <w:rFonts w:hint="cs"/>
          <w:rtl/>
        </w:rPr>
        <w:t>הפרי תואר [לבעל האוה"ח]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Ref9591798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ועי' במה שהאריך לבאר את דברי </w:t>
      </w:r>
      <w:r w:rsidRPr="0050146A">
        <w:rPr>
          <w:rStyle w:val="af8"/>
          <w:rFonts w:hint="cs"/>
          <w:rtl/>
        </w:rPr>
        <w:t>התוס'</w:t>
      </w:r>
      <w:r w:rsidRPr="0050146A">
        <w:rPr>
          <w:rFonts w:hint="cs"/>
          <w:rtl/>
        </w:rPr>
        <w:t>.</w:t>
      </w:r>
      <w:bookmarkEnd w:id="2851"/>
    </w:p>
    <w:p w:rsidR="00B2572D" w:rsidRPr="0050146A" w:rsidRDefault="00B2572D" w:rsidP="00B2572D">
      <w:pPr>
        <w:pStyle w:val="a2"/>
        <w:rPr>
          <w:rtl/>
        </w:rPr>
      </w:pPr>
      <w:bookmarkStart w:id="2852" w:name="_Toc9760858"/>
      <w:r w:rsidRPr="0050146A">
        <w:rPr>
          <w:rFonts w:hint="cs"/>
          <w:rtl/>
        </w:rPr>
        <w:t>דברי הראש יוסף דהמהר"ם ביאר בתוס' דהאיסור הבלוע מתבטל וההיתר שנתבשל אח"כ לא נאסר</w:t>
      </w:r>
      <w:bookmarkEnd w:id="2852"/>
    </w:p>
    <w:p w:rsidR="00B2572D" w:rsidRPr="0050146A" w:rsidRDefault="00B2572D"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w:t>
      </w:r>
      <w:r w:rsidRPr="0050146A">
        <w:rPr>
          <w:rStyle w:val="af6"/>
          <w:rFonts w:eastAsia="Guttman Hodes" w:hint="cs"/>
          <w:rtl/>
        </w:rPr>
        <w:t>(על תוד"ה איכא)</w:t>
      </w:r>
      <w:r w:rsidRPr="0050146A">
        <w:rPr>
          <w:rFonts w:hint="cs"/>
          <w:rtl/>
        </w:rPr>
        <w:t xml:space="preserve"> דמשמע מדברי </w:t>
      </w:r>
      <w:r w:rsidRPr="0050146A">
        <w:rPr>
          <w:rStyle w:val="af8"/>
          <w:rFonts w:hint="cs"/>
          <w:rtl/>
        </w:rPr>
        <w:t>המהר"ם</w:t>
      </w:r>
      <w:r w:rsidRPr="0050146A">
        <w:rPr>
          <w:rFonts w:hint="cs"/>
          <w:rtl/>
        </w:rPr>
        <w:t xml:space="preserve"> דביאר בדעת </w:t>
      </w:r>
      <w:r w:rsidRPr="0050146A">
        <w:rPr>
          <w:rStyle w:val="af8"/>
          <w:rFonts w:hint="cs"/>
          <w:rtl/>
        </w:rPr>
        <w:t>התוס'</w:t>
      </w:r>
      <w:r w:rsidRPr="0050146A">
        <w:rPr>
          <w:rFonts w:hint="cs"/>
          <w:rtl/>
        </w:rPr>
        <w:t xml:space="preserve"> כיון שהאיסור אינו בעין, ולא ידוע כמה בלעה הקדירה מהכזית של החֵלֶב, לכן אמרינן דהחֵלֶב שבלוע נתבטל בדפני הקדירה, וההיתר שבישל בה אח"כ אינו נאסר, וכתב </w:t>
      </w:r>
      <w:r w:rsidRPr="0050146A">
        <w:rPr>
          <w:rStyle w:val="af8"/>
          <w:rFonts w:hint="cs"/>
          <w:rtl/>
        </w:rPr>
        <w:t>הראש יוסף</w:t>
      </w:r>
      <w:r w:rsidRPr="0050146A">
        <w:rPr>
          <w:rFonts w:hint="cs"/>
          <w:rtl/>
        </w:rPr>
        <w:t xml:space="preserve"> דנראה שאף אם כל הכזית חֵלֶב נבלע בקדירה, ג"כ אמרינן שהוא מתבטל בדופני הקדירה.</w:t>
      </w:r>
    </w:p>
    <w:p w:rsidR="00B2572D" w:rsidRPr="0050146A" w:rsidRDefault="00B2572D" w:rsidP="00B2572D">
      <w:pPr>
        <w:pStyle w:val="a2"/>
        <w:rPr>
          <w:rtl/>
        </w:rPr>
      </w:pPr>
      <w:bookmarkStart w:id="2853" w:name="_Toc9760859"/>
      <w:r w:rsidRPr="0050146A">
        <w:rPr>
          <w:rFonts w:hint="cs"/>
          <w:rtl/>
        </w:rPr>
        <w:t>ביאור הראש יוסף במהר"ם בדעת התוס' דלל"ב כשנבלע הרבה היתר האיסור שנבלע אח"כ מתבטל</w:t>
      </w:r>
      <w:bookmarkEnd w:id="2853"/>
    </w:p>
    <w:p w:rsidR="00B2572D" w:rsidRPr="0050146A" w:rsidRDefault="00B2572D" w:rsidP="009F44AF">
      <w:pPr>
        <w:pStyle w:val="a"/>
        <w:rPr>
          <w:rtl/>
        </w:rPr>
      </w:pPr>
      <w:r w:rsidRPr="0050146A">
        <w:rPr>
          <w:rFonts w:hint="cs"/>
          <w:rtl/>
        </w:rPr>
        <w:t xml:space="preserve">ולל"ב דמשערים בהיתר במה שבלעה הקדירה, כתב </w:t>
      </w:r>
      <w:r w:rsidRPr="0050146A">
        <w:rPr>
          <w:rStyle w:val="af8"/>
          <w:rFonts w:hint="cs"/>
          <w:rtl/>
        </w:rPr>
        <w:t>הראש יוסף</w:t>
      </w:r>
      <w:r w:rsidRPr="0050146A">
        <w:rPr>
          <w:rFonts w:hint="cs"/>
          <w:rtl/>
        </w:rPr>
        <w:t xml:space="preserve">  דמשמע מדברי </w:t>
      </w:r>
      <w:r w:rsidRPr="0050146A">
        <w:rPr>
          <w:rStyle w:val="af8"/>
          <w:rFonts w:hint="cs"/>
          <w:rtl/>
        </w:rPr>
        <w:t>המהר"ם</w:t>
      </w:r>
      <w:r w:rsidRPr="0050146A">
        <w:rPr>
          <w:rFonts w:hint="cs"/>
          <w:rtl/>
        </w:rPr>
        <w:t xml:space="preserve"> דביאר בדעת </w:t>
      </w:r>
      <w:r w:rsidRPr="0050146A">
        <w:rPr>
          <w:rStyle w:val="af8"/>
          <w:rFonts w:hint="cs"/>
          <w:rtl/>
        </w:rPr>
        <w:t xml:space="preserve">התוס' </w:t>
      </w:r>
      <w:r w:rsidRPr="0050146A">
        <w:rPr>
          <w:rFonts w:hint="cs"/>
          <w:rtl/>
        </w:rPr>
        <w:t>דהביאור בל"ב הוא שאם נבלע הרבה היתר בקדירה, ואח"כ נבלע בה כזית חֵלֶב, דהחֵלֶב מתבטל בהיתר שבלוע בקדירה.</w:t>
      </w:r>
    </w:p>
    <w:p w:rsidR="00B2572D" w:rsidRPr="0050146A" w:rsidRDefault="00B2572D" w:rsidP="00B2572D">
      <w:pPr>
        <w:pStyle w:val="a2"/>
        <w:rPr>
          <w:rtl/>
        </w:rPr>
      </w:pPr>
      <w:bookmarkStart w:id="2854" w:name="_Toc9760860"/>
      <w:r w:rsidRPr="0050146A">
        <w:rPr>
          <w:rFonts w:hint="cs"/>
          <w:rtl/>
        </w:rPr>
        <w:t>ביאור הראש יוסף דלל"ק משערים בהיתר שנבלע לפני זמן מרובה ולל"ב בהיתר שנבלע עכשיו</w:t>
      </w:r>
      <w:bookmarkEnd w:id="2854"/>
    </w:p>
    <w:p w:rsidR="00B2572D" w:rsidRPr="0050146A" w:rsidRDefault="00B2572D" w:rsidP="009F44AF">
      <w:pPr>
        <w:pStyle w:val="a"/>
        <w:rPr>
          <w:rtl/>
        </w:rPr>
      </w:pPr>
      <w:r w:rsidRPr="0050146A">
        <w:rPr>
          <w:rFonts w:hint="cs"/>
          <w:rtl/>
        </w:rPr>
        <w:t xml:space="preserve">אך כתב </w:t>
      </w:r>
      <w:r w:rsidRPr="0050146A">
        <w:rPr>
          <w:rStyle w:val="af8"/>
          <w:rFonts w:hint="cs"/>
          <w:rtl/>
        </w:rPr>
        <w:t>הראש יוסף</w:t>
      </w:r>
      <w:r w:rsidRPr="0050146A">
        <w:rPr>
          <w:rFonts w:hint="cs"/>
          <w:rtl/>
        </w:rPr>
        <w:t xml:space="preserve"> דאפשר לבאר דלל"ק משערים אף בהיתר שנבלע בקדירה לפני הרבה זמן, כנגד הכזית חֵלֶב שנבלע בה אח"כ, ולכן כשחזר ובישל בה היתר מותר, ולל"ב  הא דמשערים בבלוע, היינו רק במה שבלעה הקדירה מההיתר שנתבשל יחד עם האיסור, וכדביאר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Ref9267413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w:t>
      </w:r>
    </w:p>
    <w:p w:rsidR="00B2572D" w:rsidRPr="0050146A" w:rsidRDefault="00B2572D" w:rsidP="00B2572D">
      <w:pPr>
        <w:pStyle w:val="1"/>
        <w:rPr>
          <w:rtl/>
        </w:rPr>
      </w:pPr>
      <w:bookmarkStart w:id="2855" w:name="_Toc9501142"/>
      <w:bookmarkStart w:id="2856" w:name="_Toc9542841"/>
      <w:bookmarkStart w:id="2857" w:name="_Toc9544945"/>
      <w:bookmarkStart w:id="2858" w:name="_Toc9591655"/>
      <w:bookmarkStart w:id="2859" w:name="_Toc9760861"/>
      <w:r w:rsidRPr="0050146A">
        <w:rPr>
          <w:rFonts w:hint="cs"/>
          <w:rtl/>
        </w:rPr>
        <w:t>דעת הרמב"ן</w:t>
      </w:r>
      <w:bookmarkEnd w:id="2855"/>
      <w:bookmarkEnd w:id="2856"/>
      <w:bookmarkEnd w:id="2857"/>
      <w:bookmarkEnd w:id="2858"/>
      <w:bookmarkEnd w:id="2859"/>
      <w:r w:rsidRPr="0050146A">
        <w:rPr>
          <w:rFonts w:hint="cs"/>
          <w:rtl/>
        </w:rPr>
        <w:t xml:space="preserve"> דבקדירה עצמה היינו במה שבתוכה ולא בבלוע</w:t>
      </w:r>
    </w:p>
    <w:p w:rsidR="00B2572D" w:rsidRPr="0050146A" w:rsidRDefault="00B2572D" w:rsidP="00B2572D">
      <w:pPr>
        <w:pStyle w:val="a2"/>
        <w:rPr>
          <w:rtl/>
        </w:rPr>
      </w:pPr>
      <w:bookmarkStart w:id="2860" w:name="_Toc9760862"/>
      <w:r w:rsidRPr="0050146A">
        <w:rPr>
          <w:rFonts w:hint="cs"/>
          <w:rtl/>
        </w:rPr>
        <w:t>ביאור הרמב"ן והרשב"א והרא"ה והריטב"א דמשערים בכל מה שבתוך הקדירה ולא בבלוע בה</w:t>
      </w:r>
      <w:bookmarkEnd w:id="2860"/>
    </w:p>
    <w:p w:rsidR="00490B51" w:rsidRPr="0050146A" w:rsidRDefault="00B2572D" w:rsidP="009F44AF">
      <w:pPr>
        <w:pStyle w:val="a"/>
        <w:rPr>
          <w:rtl/>
        </w:rPr>
      </w:pPr>
      <w:r w:rsidRPr="0050146A">
        <w:rPr>
          <w:rStyle w:val="af8"/>
          <w:rFonts w:hint="cs"/>
          <w:rtl/>
        </w:rPr>
        <w:t>והרמב"ן</w:t>
      </w:r>
      <w:r w:rsidRPr="0050146A">
        <w:rPr>
          <w:rFonts w:hint="cs"/>
          <w:rtl/>
        </w:rPr>
        <w:t xml:space="preserve"> </w:t>
      </w:r>
      <w:r w:rsidRPr="0050146A">
        <w:rPr>
          <w:rStyle w:val="af6"/>
          <w:rFonts w:eastAsia="Guttman Hodes" w:hint="cs"/>
          <w:rtl/>
        </w:rPr>
        <w:t xml:space="preserve">(ד"ה ובקדירה) </w:t>
      </w:r>
      <w:r w:rsidRPr="0050146A">
        <w:rPr>
          <w:rFonts w:hint="cs"/>
          <w:rtl/>
        </w:rPr>
        <w:t xml:space="preserve">ביאר דהא דאמרינן בל"ק דמשער בקדירה עצמה, היינו במה שיש בתוך הקדירה מהרוטב ומהחתיכות, </w:t>
      </w:r>
      <w:r w:rsidRPr="0050146A">
        <w:rPr>
          <w:rStyle w:val="afa"/>
          <w:rFonts w:hint="cs"/>
          <w:rtl/>
        </w:rPr>
        <w:t xml:space="preserve">[והלשון "קדירה עצמה" אין הכוונה לגוף הקדירה כלל], </w:t>
      </w:r>
      <w:r w:rsidRPr="0050146A">
        <w:rPr>
          <w:rFonts w:hint="cs"/>
          <w:rtl/>
        </w:rPr>
        <w:t xml:space="preserve">ודלא כל"ב דמלבד מה שמשערים גם במה שבלעה הקדירה, וכ"כ </w:t>
      </w:r>
      <w:r w:rsidRPr="0050146A">
        <w:rPr>
          <w:rStyle w:val="af8"/>
          <w:rFonts w:hint="cs"/>
          <w:rtl/>
        </w:rPr>
        <w:t>הרשב"א</w:t>
      </w:r>
      <w:r w:rsidRPr="0050146A">
        <w:rPr>
          <w:rFonts w:hint="cs"/>
          <w:rtl/>
        </w:rPr>
        <w:t xml:space="preserve"> </w:t>
      </w:r>
      <w:r w:rsidRPr="0050146A">
        <w:rPr>
          <w:rStyle w:val="af8"/>
          <w:rFonts w:hint="cs"/>
          <w:rtl/>
        </w:rPr>
        <w:t>בחי'</w:t>
      </w:r>
      <w:r w:rsidRPr="0050146A">
        <w:rPr>
          <w:rFonts w:hint="cs"/>
          <w:rtl/>
        </w:rPr>
        <w:t xml:space="preserve"> </w:t>
      </w:r>
      <w:r w:rsidRPr="0050146A">
        <w:rPr>
          <w:rStyle w:val="af6"/>
          <w:rFonts w:eastAsia="Guttman Hodes" w:hint="cs"/>
          <w:rtl/>
        </w:rPr>
        <w:t>(סוד"ה ובקדירה)</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(ב"ד ש"א ה: מדה"ס)</w:t>
      </w:r>
      <w:r w:rsidRPr="0050146A">
        <w:rPr>
          <w:rFonts w:hint="cs"/>
          <w:rtl/>
        </w:rPr>
        <w:t xml:space="preserve"> בשם </w:t>
      </w:r>
      <w:r w:rsidRPr="0050146A">
        <w:rPr>
          <w:rStyle w:val="af8"/>
          <w:rFonts w:hint="cs"/>
          <w:rtl/>
        </w:rPr>
        <w:t>י"א</w:t>
      </w:r>
      <w:r w:rsidRPr="0050146A">
        <w:rPr>
          <w:rFonts w:hint="cs"/>
          <w:rtl/>
        </w:rPr>
        <w:t xml:space="preserve"> דמשערים במה שבתוך הקדירה עצמה, דהיינו ברוטב ובקיפה ובחתיכות, וכפי מה שהם באים לפנינו עכשיו, ולא כל"ב דמשערים במה שבלוע בתוך דופני הקדירה, וכתב </w:t>
      </w:r>
      <w:r w:rsidRPr="0050146A">
        <w:rPr>
          <w:rStyle w:val="af8"/>
          <w:rFonts w:hint="cs"/>
          <w:rtl/>
        </w:rPr>
        <w:t>הרשב"א</w:t>
      </w:r>
      <w:r w:rsidRPr="0050146A">
        <w:rPr>
          <w:rFonts w:hint="cs"/>
          <w:rtl/>
        </w:rPr>
        <w:t xml:space="preserve"> דכן נראה, וכ"כ </w:t>
      </w:r>
      <w:r w:rsidRPr="0050146A">
        <w:rPr>
          <w:rStyle w:val="af8"/>
          <w:rFonts w:hint="cs"/>
          <w:rtl/>
        </w:rPr>
        <w:t>הרא"ה בחי'</w:t>
      </w:r>
      <w:r w:rsidRPr="0050146A">
        <w:rPr>
          <w:rFonts w:hint="cs"/>
          <w:rtl/>
        </w:rPr>
        <w:t xml:space="preserve"> </w:t>
      </w:r>
      <w:r w:rsidRPr="0050146A">
        <w:rPr>
          <w:rStyle w:val="af6"/>
          <w:rFonts w:eastAsia="Guttman Hodes" w:hint="cs"/>
          <w:rtl/>
        </w:rPr>
        <w:t>(ד"ה אמר ר' חנינא)</w:t>
      </w:r>
      <w:r w:rsidRPr="0050146A">
        <w:rPr>
          <w:rFonts w:hint="cs"/>
          <w:rtl/>
        </w:rPr>
        <w:t xml:space="preserve"> </w:t>
      </w:r>
      <w:r w:rsidRPr="0050146A">
        <w:rPr>
          <w:rStyle w:val="af8"/>
          <w:rFonts w:hint="cs"/>
          <w:rtl/>
        </w:rPr>
        <w:t>ובבד"ה</w:t>
      </w:r>
      <w:r w:rsidRPr="0050146A">
        <w:rPr>
          <w:rFonts w:hint="cs"/>
          <w:rtl/>
        </w:rPr>
        <w:t xml:space="preserve"> </w:t>
      </w:r>
      <w:r w:rsidRPr="0050146A">
        <w:rPr>
          <w:rStyle w:val="af6"/>
          <w:rFonts w:eastAsia="Guttman Hodes" w:hint="cs"/>
          <w:rtl/>
        </w:rPr>
        <w:t xml:space="preserve">(ב"ד ש"א ה. מדה"ס) </w:t>
      </w:r>
      <w:r w:rsidRPr="0050146A">
        <w:rPr>
          <w:rStyle w:val="af8"/>
          <w:rFonts w:hint="cs"/>
          <w:rtl/>
        </w:rPr>
        <w:t>והריטב"א</w:t>
      </w:r>
      <w:r w:rsidRPr="0050146A">
        <w:rPr>
          <w:rStyle w:val="af6"/>
          <w:rFonts w:eastAsia="Guttman Hodes" w:hint="cs"/>
          <w:rtl/>
        </w:rPr>
        <w:t xml:space="preserve"> (ד"ה ובקדירה)</w:t>
      </w:r>
      <w:r w:rsidRPr="0050146A">
        <w:rPr>
          <w:rFonts w:hint="cs"/>
          <w:rtl/>
        </w:rPr>
        <w:t>.</w:t>
      </w:r>
    </w:p>
    <w:p w:rsidR="00B2572D" w:rsidRPr="0050146A" w:rsidRDefault="00B2572D" w:rsidP="00B2572D">
      <w:pPr>
        <w:pStyle w:val="a2"/>
      </w:pPr>
      <w:bookmarkStart w:id="2861" w:name="_Toc9760863"/>
      <w:r w:rsidRPr="0050146A">
        <w:rPr>
          <w:rFonts w:hint="cs"/>
          <w:rtl/>
        </w:rPr>
        <w:t>דברי הראש יוסף דלרש"י ל"ק לקולא ולרשב"א והריטב"א ל"ב לקולא דמשערים אף בבלוע</w:t>
      </w:r>
      <w:bookmarkEnd w:id="2861"/>
    </w:p>
    <w:p w:rsidR="00B2572D" w:rsidRPr="0050146A" w:rsidRDefault="00B2572D"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w:t>
      </w:r>
      <w:r w:rsidRPr="0050146A">
        <w:rPr>
          <w:rStyle w:val="af6"/>
          <w:rFonts w:eastAsia="Guttman Hodes" w:hint="cs"/>
          <w:rtl/>
        </w:rPr>
        <w:t>(ד"ה ועי' ברשב"א)</w:t>
      </w:r>
      <w:r w:rsidRPr="0050146A">
        <w:rPr>
          <w:rFonts w:hint="cs"/>
          <w:rtl/>
        </w:rPr>
        <w:t xml:space="preserve"> דלדברי </w:t>
      </w:r>
      <w:r w:rsidRPr="0050146A">
        <w:rPr>
          <w:rStyle w:val="af8"/>
          <w:rFonts w:hint="cs"/>
          <w:rtl/>
        </w:rPr>
        <w:t>הרשב"א והריטב"א</w:t>
      </w:r>
      <w:r w:rsidRPr="0050146A">
        <w:rPr>
          <w:rFonts w:hint="cs"/>
          <w:rtl/>
        </w:rPr>
        <w:t xml:space="preserve"> הל"ק היא לחומרא דמשערינן רק במה שבתוך הקדירה, והל"ב היא לקולא </w:t>
      </w:r>
      <w:r w:rsidRPr="0050146A">
        <w:rPr>
          <w:rFonts w:hint="cs"/>
          <w:rtl/>
        </w:rPr>
        <w:lastRenderedPageBreak/>
        <w:t xml:space="preserve">דמשערים אף בבלוע, ואילו לדעת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Ref9505965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הל"ק היא לקולא דמשערים אף בחרסי הקדירה.</w:t>
      </w:r>
    </w:p>
    <w:p w:rsidR="00B2572D" w:rsidRPr="0050146A" w:rsidRDefault="00B2572D" w:rsidP="00E669F8">
      <w:pPr>
        <w:pStyle w:val="afd"/>
        <w:rPr>
          <w:rtl/>
        </w:rPr>
      </w:pPr>
      <w:bookmarkStart w:id="2862" w:name="_Toc9591656"/>
      <w:bookmarkStart w:id="2863" w:name="_Toc9760864"/>
      <w:r w:rsidRPr="0050146A">
        <w:rPr>
          <w:rFonts w:hint="cs"/>
          <w:rtl/>
        </w:rPr>
        <w:t>בגדר ביטול בשישים בחרסי הקדירה</w:t>
      </w:r>
      <w:bookmarkEnd w:id="2862"/>
      <w:bookmarkEnd w:id="2863"/>
    </w:p>
    <w:p w:rsidR="00B2572D" w:rsidRPr="0050146A" w:rsidRDefault="00B2572D" w:rsidP="00B2572D">
      <w:pPr>
        <w:pStyle w:val="1"/>
        <w:rPr>
          <w:rtl/>
        </w:rPr>
      </w:pPr>
      <w:bookmarkStart w:id="2864" w:name="_Toc9591657"/>
      <w:bookmarkStart w:id="2865" w:name="_Toc9760865"/>
      <w:r w:rsidRPr="0050146A">
        <w:rPr>
          <w:rFonts w:hint="cs"/>
          <w:rtl/>
        </w:rPr>
        <w:t>דברי הפר"ח דדבר שאינו פולט טעם אינו מצטרף לבטל בשישים</w:t>
      </w:r>
      <w:bookmarkEnd w:id="2864"/>
      <w:bookmarkEnd w:id="2865"/>
    </w:p>
    <w:p w:rsidR="00B2572D" w:rsidRPr="0050146A" w:rsidRDefault="00B2572D" w:rsidP="00B2572D">
      <w:pPr>
        <w:pStyle w:val="a2"/>
        <w:rPr>
          <w:rtl/>
        </w:rPr>
      </w:pPr>
      <w:bookmarkStart w:id="2866" w:name="_Toc9760866"/>
      <w:r w:rsidRPr="0050146A">
        <w:rPr>
          <w:rFonts w:hint="cs"/>
          <w:rtl/>
        </w:rPr>
        <w:t>דברי הפר"ח דדבר שאינו פולט טעם אינו מצטרף לבטל איסור בשיעור שישים</w:t>
      </w:r>
      <w:bookmarkEnd w:id="2866"/>
      <w:r w:rsidRPr="0050146A">
        <w:rPr>
          <w:rFonts w:hint="cs"/>
          <w:rtl/>
        </w:rPr>
        <w:t xml:space="preserve"> </w:t>
      </w:r>
    </w:p>
    <w:p w:rsidR="00B2572D" w:rsidRPr="0050146A" w:rsidRDefault="00B2572D" w:rsidP="009F44AF">
      <w:pPr>
        <w:pStyle w:val="a"/>
        <w:rPr>
          <w:rtl/>
        </w:rPr>
      </w:pPr>
      <w:bookmarkStart w:id="2867" w:name="_Ref9591620"/>
      <w:r w:rsidRPr="0050146A">
        <w:rPr>
          <w:rFonts w:hint="cs"/>
          <w:rtl/>
        </w:rPr>
        <w:t xml:space="preserve">כתב </w:t>
      </w:r>
      <w:r w:rsidRPr="0050146A">
        <w:rPr>
          <w:rStyle w:val="af8"/>
          <w:rFonts w:hint="cs"/>
          <w:rtl/>
        </w:rPr>
        <w:t>הפר"ח</w:t>
      </w:r>
      <w:r w:rsidRPr="0050146A">
        <w:rPr>
          <w:rFonts w:hint="cs"/>
          <w:rtl/>
        </w:rPr>
        <w:t xml:space="preserve"> </w:t>
      </w:r>
      <w:r w:rsidRPr="0050146A">
        <w:rPr>
          <w:rStyle w:val="af6"/>
          <w:rFonts w:eastAsia="Guttman Hodes" w:hint="cs"/>
          <w:rtl/>
        </w:rPr>
        <w:t xml:space="preserve">(סי' צ"ט סק"א) </w:t>
      </w:r>
      <w:r w:rsidRPr="0050146A">
        <w:rPr>
          <w:rFonts w:hint="cs"/>
          <w:rtl/>
        </w:rPr>
        <w:t xml:space="preserve">דבדבר שאין בו שום לחלוחית </w:t>
      </w:r>
      <w:r w:rsidRPr="0050146A">
        <w:rPr>
          <w:rStyle w:val="afa"/>
          <w:rFonts w:hint="cs"/>
          <w:rtl/>
        </w:rPr>
        <w:t xml:space="preserve">[כעצמות, וכתבו </w:t>
      </w:r>
      <w:r w:rsidRPr="0050146A">
        <w:rPr>
          <w:rStyle w:val="affa"/>
          <w:rFonts w:hint="cs"/>
          <w:rtl/>
        </w:rPr>
        <w:t>הפרי תואר</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Ref9591572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יז)</w:t>
      </w:r>
      <w:r w:rsidRPr="0050146A">
        <w:rPr>
          <w:rStyle w:val="aff6"/>
          <w:rtl/>
        </w:rPr>
        <w:fldChar w:fldCharType="end"/>
      </w:r>
      <w:r w:rsidRPr="0050146A">
        <w:rPr>
          <w:rStyle w:val="afa"/>
          <w:rFonts w:hint="cs"/>
          <w:rtl/>
        </w:rPr>
        <w:t xml:space="preserve"> </w:t>
      </w:r>
      <w:r w:rsidRPr="0050146A">
        <w:rPr>
          <w:rStyle w:val="affa"/>
          <w:rFonts w:hint="cs"/>
          <w:rtl/>
        </w:rPr>
        <w:t>והפרמ"ג</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Ref9591584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כה)</w:t>
      </w:r>
      <w:r w:rsidRPr="0050146A">
        <w:rPr>
          <w:rStyle w:val="aff6"/>
          <w:rtl/>
        </w:rPr>
        <w:fldChar w:fldCharType="end"/>
      </w:r>
      <w:r w:rsidRPr="0050146A">
        <w:rPr>
          <w:rStyle w:val="afa"/>
          <w:rFonts w:hint="cs"/>
          <w:rtl/>
        </w:rPr>
        <w:t xml:space="preserve"> דה"ה בחרסי הקדירה],</w:t>
      </w:r>
      <w:r w:rsidRPr="0050146A">
        <w:rPr>
          <w:rFonts w:hint="cs"/>
          <w:rtl/>
        </w:rPr>
        <w:t xml:space="preserve"> אינו מצטרף לבטל את האיסור, דדבר שאינו פולט טעם אינו מצטרף לשיעור שישים.</w:t>
      </w:r>
      <w:bookmarkEnd w:id="2867"/>
    </w:p>
    <w:p w:rsidR="00B2572D" w:rsidRPr="0050146A" w:rsidRDefault="00B2572D" w:rsidP="00B2572D">
      <w:pPr>
        <w:pStyle w:val="a2"/>
        <w:rPr>
          <w:rtl/>
        </w:rPr>
      </w:pPr>
      <w:bookmarkStart w:id="2868" w:name="_Toc9760867"/>
      <w:r w:rsidRPr="0050146A">
        <w:rPr>
          <w:rFonts w:hint="cs"/>
          <w:rtl/>
        </w:rPr>
        <w:t>דברי הפר"ח דא"א לומר דטעם האיסור מתבטל אף בדבר שאינו פולט דהא אף ההיתר נבלע</w:t>
      </w:r>
      <w:bookmarkEnd w:id="2868"/>
    </w:p>
    <w:p w:rsidR="00B2572D" w:rsidRPr="0050146A" w:rsidRDefault="00B2572D" w:rsidP="009F44AF">
      <w:pPr>
        <w:pStyle w:val="a"/>
        <w:rPr>
          <w:rtl/>
        </w:rPr>
      </w:pPr>
      <w:r w:rsidRPr="0050146A">
        <w:rPr>
          <w:rFonts w:hint="cs"/>
          <w:rtl/>
        </w:rPr>
        <w:t xml:space="preserve">וכתב </w:t>
      </w:r>
      <w:r w:rsidRPr="0050146A">
        <w:rPr>
          <w:rStyle w:val="af8"/>
          <w:rFonts w:hint="cs"/>
          <w:rtl/>
        </w:rPr>
        <w:t>הפר"ח</w:t>
      </w:r>
      <w:r w:rsidRPr="0050146A">
        <w:rPr>
          <w:rFonts w:hint="cs"/>
          <w:rtl/>
        </w:rPr>
        <w:t xml:space="preserve"> דא"א לומר דהאיסור מתבטל כיון שהוא מתחלק ונכנס אף לדבר היבש, </w:t>
      </w:r>
      <w:r w:rsidRPr="0050146A">
        <w:rPr>
          <w:rStyle w:val="afa"/>
          <w:rFonts w:hint="cs"/>
          <w:rtl/>
        </w:rPr>
        <w:t xml:space="preserve">[כעצמות וחרסי הקדירה], </w:t>
      </w:r>
      <w:r w:rsidRPr="0050146A">
        <w:rPr>
          <w:rFonts w:hint="cs"/>
          <w:rtl/>
        </w:rPr>
        <w:t>וממילא נתבטל טעם האיסור בשישים, דהא כמו שהאיסור נבלע בדבר היבש, כך גם ההיתר נבלע בו, וא"כ במה שנשאר בקדירה לא נחסר מטעם האיסור, ע"י שחלקו נבלע בדבר היבש, דכנגדו נבלע גם ההיתר,</w:t>
      </w:r>
      <w:r w:rsidRPr="0050146A">
        <w:rPr>
          <w:rStyle w:val="afa"/>
          <w:rFonts w:hint="cs"/>
          <w:rtl/>
        </w:rPr>
        <w:t xml:space="preserve"> [ועי' במה שדחה </w:t>
      </w:r>
      <w:r w:rsidRPr="0050146A">
        <w:rPr>
          <w:rStyle w:val="affa"/>
          <w:rFonts w:hint="cs"/>
          <w:rtl/>
        </w:rPr>
        <w:t>הפרי תואר</w:t>
      </w:r>
      <w:r w:rsidRPr="0050146A">
        <w:rPr>
          <w:rStyle w:val="afa"/>
          <w:rFonts w:hint="cs"/>
          <w:rtl/>
        </w:rPr>
        <w:t xml:space="preserve"> </w:t>
      </w:r>
      <w:r w:rsidRPr="0050146A">
        <w:rPr>
          <w:rStyle w:val="aff6"/>
          <w:rFonts w:hint="cs"/>
          <w:rtl/>
        </w:rPr>
        <w:t>(סי' צ"ט סוס"ק א')</w:t>
      </w:r>
      <w:r w:rsidRPr="0050146A">
        <w:rPr>
          <w:rStyle w:val="afa"/>
          <w:rFonts w:hint="cs"/>
          <w:rtl/>
        </w:rPr>
        <w:t xml:space="preserve"> סברא זו],</w:t>
      </w:r>
      <w:r w:rsidRPr="0050146A">
        <w:rPr>
          <w:rFonts w:hint="cs"/>
          <w:rtl/>
        </w:rPr>
        <w:t xml:space="preserve"> וכתב </w:t>
      </w:r>
      <w:r w:rsidRPr="0050146A">
        <w:rPr>
          <w:rStyle w:val="af8"/>
          <w:rFonts w:hint="cs"/>
          <w:rtl/>
        </w:rPr>
        <w:t>הפר"ח</w:t>
      </w:r>
      <w:r w:rsidRPr="0050146A">
        <w:rPr>
          <w:rFonts w:hint="cs"/>
          <w:rtl/>
        </w:rPr>
        <w:t xml:space="preserve"> דהא דלהלכה קיי"ל </w:t>
      </w:r>
      <w:r w:rsidRPr="0050146A">
        <w:rPr>
          <w:rStyle w:val="afa"/>
          <w:rFonts w:hint="cs"/>
          <w:rtl/>
        </w:rPr>
        <w:t>[</w:t>
      </w:r>
      <w:r w:rsidRPr="0050146A">
        <w:rPr>
          <w:rStyle w:val="affa"/>
          <w:rFonts w:hint="cs"/>
          <w:rtl/>
        </w:rPr>
        <w:t>שו"ע</w:t>
      </w:r>
      <w:r w:rsidRPr="0050146A">
        <w:rPr>
          <w:rStyle w:val="afa"/>
          <w:rFonts w:hint="cs"/>
          <w:rtl/>
        </w:rPr>
        <w:t xml:space="preserve"> </w:t>
      </w:r>
      <w:r w:rsidRPr="0050146A">
        <w:rPr>
          <w:rStyle w:val="aff6"/>
          <w:rFonts w:hint="cs"/>
          <w:rtl/>
        </w:rPr>
        <w:t>(צ"ט א')</w:t>
      </w:r>
      <w:r w:rsidRPr="0050146A">
        <w:rPr>
          <w:rStyle w:val="afa"/>
          <w:rFonts w:hint="cs"/>
          <w:rtl/>
        </w:rPr>
        <w:t xml:space="preserve">] </w:t>
      </w:r>
      <w:r w:rsidRPr="0050146A">
        <w:rPr>
          <w:rFonts w:hint="cs"/>
          <w:rtl/>
        </w:rPr>
        <w:t>דאף דבר יבש כעצמות מצטרף לביטול, הוא רק במין במינו דמדאו' חד בתרי בטיל וכל השיעור שישים הוא מדרבנן, אבל במין בשאינו מינו דמדאו' צריך שישים, דבר יבש שאינו פולט טעם אינו מצטרף לשיעור שישים לבטל.</w:t>
      </w:r>
    </w:p>
    <w:p w:rsidR="00B2572D" w:rsidRPr="0050146A" w:rsidRDefault="00B2572D" w:rsidP="00B2572D">
      <w:pPr>
        <w:pStyle w:val="a2"/>
        <w:rPr>
          <w:rtl/>
        </w:rPr>
      </w:pPr>
      <w:bookmarkStart w:id="2869" w:name="_Toc9760868"/>
      <w:r w:rsidRPr="0050146A">
        <w:rPr>
          <w:rFonts w:hint="cs"/>
          <w:rtl/>
        </w:rPr>
        <w:t>דברי הפרי תואר דבל"ב מבואר כדברי הפר"ח דחרסי הקדירה שאינם פולטים אינם בולעים</w:t>
      </w:r>
      <w:bookmarkEnd w:id="2869"/>
    </w:p>
    <w:p w:rsidR="00B2572D" w:rsidRPr="0050146A" w:rsidRDefault="00B2572D" w:rsidP="009F44AF">
      <w:pPr>
        <w:pStyle w:val="a"/>
        <w:rPr>
          <w:rtl/>
        </w:rPr>
      </w:pPr>
      <w:bookmarkStart w:id="2870" w:name="_Ref9591572"/>
      <w:bookmarkStart w:id="2871" w:name="_Toc9501143"/>
      <w:bookmarkStart w:id="2872" w:name="_Toc9542842"/>
      <w:bookmarkStart w:id="2873" w:name="_Toc9544946"/>
      <w:r w:rsidRPr="0050146A">
        <w:rPr>
          <w:rFonts w:hint="cs"/>
          <w:rtl/>
        </w:rPr>
        <w:t xml:space="preserve">וכתב </w:t>
      </w:r>
      <w:r w:rsidRPr="0050146A">
        <w:rPr>
          <w:rStyle w:val="af8"/>
          <w:rFonts w:hint="cs"/>
          <w:rtl/>
        </w:rPr>
        <w:t>הפרי תואר [לבעל האוה"ח]</w:t>
      </w:r>
      <w:r w:rsidRPr="0050146A">
        <w:rPr>
          <w:rFonts w:hint="cs"/>
          <w:rtl/>
        </w:rPr>
        <w:t xml:space="preserve"> </w:t>
      </w:r>
      <w:r w:rsidRPr="0050146A">
        <w:rPr>
          <w:rStyle w:val="af6"/>
          <w:rFonts w:eastAsia="Guttman Hodes" w:hint="cs"/>
          <w:rtl/>
        </w:rPr>
        <w:t>(סי' צ"ט סק"א ד"ה גם מההיא)</w:t>
      </w:r>
      <w:r w:rsidRPr="0050146A">
        <w:rPr>
          <w:rFonts w:hint="cs"/>
          <w:rtl/>
        </w:rPr>
        <w:t xml:space="preserve"> דכדברי </w:t>
      </w:r>
      <w:r w:rsidRPr="0050146A">
        <w:rPr>
          <w:rStyle w:val="af8"/>
          <w:rFonts w:hint="cs"/>
          <w:rtl/>
        </w:rPr>
        <w:t>הפר"ח</w:t>
      </w:r>
      <w:r w:rsidRPr="0050146A">
        <w:rPr>
          <w:rFonts w:hint="cs"/>
          <w:rtl/>
        </w:rPr>
        <w:t xml:space="preserve"> כן מבואר בל"ב דאין משערים בקדירה עצמה, דכיון שאינה פולטת טעם לכן אינה מצטרפת לבטל, וכתב </w:t>
      </w:r>
      <w:r w:rsidRPr="0050146A">
        <w:rPr>
          <w:rStyle w:val="af8"/>
          <w:rFonts w:hint="cs"/>
          <w:rtl/>
        </w:rPr>
        <w:t>הפרי תואר</w:t>
      </w:r>
      <w:r w:rsidRPr="0050146A">
        <w:rPr>
          <w:rFonts w:hint="cs"/>
          <w:rtl/>
        </w:rPr>
        <w:t xml:space="preserve"> דאף דלל"ק משערים אף בקדירה עצמה, מ"מ קיי"ל כל"ב.</w:t>
      </w:r>
      <w:bookmarkEnd w:id="2870"/>
    </w:p>
    <w:p w:rsidR="00B2572D" w:rsidRPr="0050146A" w:rsidRDefault="00B2572D" w:rsidP="00B2572D">
      <w:pPr>
        <w:pStyle w:val="1"/>
      </w:pPr>
      <w:bookmarkStart w:id="2874" w:name="_Toc9591658"/>
      <w:bookmarkStart w:id="2875" w:name="_Toc9760869"/>
      <w:r w:rsidRPr="0050146A">
        <w:rPr>
          <w:rFonts w:hint="cs"/>
          <w:rtl/>
        </w:rPr>
        <w:t>דברי הפרי תואר דבל"ק מוכח דאף שאינו פולט מצטרף לשישים</w:t>
      </w:r>
      <w:bookmarkEnd w:id="2874"/>
      <w:bookmarkEnd w:id="2875"/>
    </w:p>
    <w:p w:rsidR="00B2572D" w:rsidRPr="0050146A" w:rsidRDefault="00B2572D" w:rsidP="00B2572D">
      <w:pPr>
        <w:pStyle w:val="a2"/>
      </w:pPr>
      <w:bookmarkStart w:id="2876" w:name="_Toc9760870"/>
      <w:r w:rsidRPr="0050146A">
        <w:rPr>
          <w:rFonts w:hint="cs"/>
          <w:rtl/>
        </w:rPr>
        <w:t>דברי הפרי תואר דמוכח דאף דבר שאינו פולט מצטרף לשיעור שישים וכן מוכח בדעת רש"י בל"ק</w:t>
      </w:r>
      <w:bookmarkEnd w:id="2876"/>
    </w:p>
    <w:p w:rsidR="00B2572D" w:rsidRPr="0050146A" w:rsidRDefault="00B2572D" w:rsidP="009F44AF">
      <w:pPr>
        <w:pStyle w:val="a"/>
        <w:rPr>
          <w:rtl/>
        </w:rPr>
      </w:pPr>
      <w:r w:rsidRPr="0050146A">
        <w:rPr>
          <w:rFonts w:hint="cs"/>
          <w:rtl/>
        </w:rPr>
        <w:t xml:space="preserve">אך יעויי"ש בדברי </w:t>
      </w:r>
      <w:r w:rsidRPr="0050146A">
        <w:rPr>
          <w:rStyle w:val="af8"/>
          <w:rFonts w:hint="cs"/>
          <w:rtl/>
        </w:rPr>
        <w:t>הפרי תואר</w:t>
      </w:r>
      <w:r w:rsidRPr="0050146A">
        <w:rPr>
          <w:rFonts w:hint="cs"/>
          <w:rtl/>
        </w:rPr>
        <w:t xml:space="preserve"> דהאריך להוכיח </w:t>
      </w:r>
      <w:r w:rsidRPr="0050146A">
        <w:rPr>
          <w:rStyle w:val="afa"/>
          <w:rFonts w:hint="cs"/>
          <w:rtl/>
        </w:rPr>
        <w:t xml:space="preserve">[מדין עצמות] </w:t>
      </w:r>
      <w:r w:rsidRPr="0050146A">
        <w:rPr>
          <w:rFonts w:hint="cs"/>
          <w:rtl/>
        </w:rPr>
        <w:t xml:space="preserve">דאף דבר שאין בו טעם וממילא אינו פולט כל טעם, מ"מ הוא מצטרף לשיעור שישים לבטל את טעם האיסור, וכתב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סק"א ד"ה הנה למ"ד בקדירה)</w:t>
      </w:r>
      <w:r w:rsidRPr="0050146A">
        <w:rPr>
          <w:rFonts w:hint="cs"/>
          <w:rtl/>
        </w:rPr>
        <w:t xml:space="preserve"> דכן מוכח מדברי הל"ק לדעת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Ref9505965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דמשערים בחרסי הקדירה.</w:t>
      </w:r>
    </w:p>
    <w:p w:rsidR="00B2572D" w:rsidRPr="0050146A" w:rsidRDefault="00B2572D" w:rsidP="00B2572D">
      <w:pPr>
        <w:pStyle w:val="a2"/>
        <w:rPr>
          <w:rtl/>
        </w:rPr>
      </w:pPr>
      <w:bookmarkStart w:id="2877" w:name="_Toc9760871"/>
      <w:r w:rsidRPr="0050146A">
        <w:rPr>
          <w:rFonts w:hint="cs"/>
          <w:rtl/>
        </w:rPr>
        <w:t>דברי הפרי תואר דאף לתוס' האיסור הבלוע בקדירה מצטרף לבטל אף שאינו פולט טעם</w:t>
      </w:r>
      <w:bookmarkEnd w:id="2877"/>
    </w:p>
    <w:p w:rsidR="00B2572D" w:rsidRPr="0050146A" w:rsidRDefault="00B2572D" w:rsidP="009F44AF">
      <w:pPr>
        <w:pStyle w:val="a"/>
        <w:rPr>
          <w:rtl/>
        </w:rPr>
      </w:pPr>
      <w:bookmarkStart w:id="2878" w:name="_Ref9591798"/>
      <w:r w:rsidRPr="0050146A">
        <w:rPr>
          <w:rFonts w:hint="cs"/>
          <w:rtl/>
        </w:rPr>
        <w:t xml:space="preserve">והוסיף </w:t>
      </w:r>
      <w:r w:rsidRPr="0050146A">
        <w:rPr>
          <w:rStyle w:val="af8"/>
          <w:rFonts w:hint="cs"/>
          <w:rtl/>
        </w:rPr>
        <w:t>הפרי תואר</w:t>
      </w:r>
      <w:r w:rsidRPr="0050146A">
        <w:rPr>
          <w:rFonts w:hint="cs"/>
          <w:rtl/>
        </w:rPr>
        <w:t xml:space="preserve"> דאף לדעת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Ref9591507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50146A">
        <w:rPr>
          <w:rStyle w:val="af6"/>
          <w:rFonts w:eastAsia="Guttman Hodes"/>
          <w:rtl/>
        </w:rPr>
        <w:fldChar w:fldCharType="end"/>
      </w:r>
      <w:r w:rsidRPr="0050146A">
        <w:rPr>
          <w:rFonts w:hint="cs"/>
          <w:rtl/>
        </w:rPr>
        <w:t xml:space="preserve"> דאיירי באיסור הבלוע בקדירה, ג"כ מוכח דהקדירה עצמה מצטרפת לבטל, אף שאינה פולטת טעם, וביאר </w:t>
      </w:r>
      <w:r w:rsidRPr="0050146A">
        <w:rPr>
          <w:rStyle w:val="af8"/>
          <w:rFonts w:hint="cs"/>
          <w:rtl/>
        </w:rPr>
        <w:t>הפרי תואר</w:t>
      </w:r>
      <w:r w:rsidRPr="0050146A">
        <w:rPr>
          <w:rFonts w:hint="cs"/>
          <w:rtl/>
        </w:rPr>
        <w:t xml:space="preserve"> דמ"ש </w:t>
      </w:r>
      <w:r w:rsidRPr="0050146A">
        <w:rPr>
          <w:rStyle w:val="af8"/>
          <w:rFonts w:hint="cs"/>
          <w:rtl/>
        </w:rPr>
        <w:t>התוס'</w:t>
      </w:r>
      <w:r w:rsidRPr="0050146A">
        <w:rPr>
          <w:rFonts w:hint="cs"/>
          <w:rtl/>
        </w:rPr>
        <w:t xml:space="preserve"> דאיירי בקדירה שבלוע בה היתר קודם לכן, אין כוונתם לומר דההיתר שנבלע בה קודם מבטל את האיסור שנבלע אח"כ, דהא לא ידוע כמה היתר נבלע בה, ואי איירי שידוע כמה היתר נבלע בה, א"כ היינו דעת הל"ב דמשערים בבלוע בקדירה, ומה החילוק בין הל"ק לל"ב.</w:t>
      </w:r>
      <w:bookmarkEnd w:id="2878"/>
    </w:p>
    <w:p w:rsidR="00B2572D" w:rsidRPr="0050146A" w:rsidRDefault="00B2572D" w:rsidP="00B2572D">
      <w:pPr>
        <w:pStyle w:val="a2"/>
        <w:rPr>
          <w:rtl/>
        </w:rPr>
      </w:pPr>
      <w:bookmarkStart w:id="2879" w:name="_Toc9760872"/>
      <w:r w:rsidRPr="0050146A">
        <w:rPr>
          <w:rFonts w:hint="cs"/>
          <w:rtl/>
        </w:rPr>
        <w:t>ביאור הפרי תואר דלל"ק משערים בהיתר שנבלע קודם ורק לל"ב כתבו תוס' שנבלע היתר אח"כ</w:t>
      </w:r>
      <w:bookmarkEnd w:id="2879"/>
      <w:r w:rsidRPr="0050146A">
        <w:rPr>
          <w:rFonts w:hint="cs"/>
          <w:rtl/>
        </w:rPr>
        <w:t xml:space="preserve"> </w:t>
      </w:r>
    </w:p>
    <w:p w:rsidR="00B2572D" w:rsidRPr="0050146A" w:rsidRDefault="00B2572D" w:rsidP="009F44AF">
      <w:pPr>
        <w:pStyle w:val="a"/>
        <w:rPr>
          <w:rtl/>
        </w:rPr>
      </w:pPr>
      <w:r w:rsidRPr="0050146A">
        <w:rPr>
          <w:rFonts w:hint="cs"/>
          <w:rtl/>
        </w:rPr>
        <w:t xml:space="preserve">אלא כתב </w:t>
      </w:r>
      <w:r w:rsidRPr="0050146A">
        <w:rPr>
          <w:rStyle w:val="af8"/>
          <w:rFonts w:hint="cs"/>
          <w:rtl/>
        </w:rPr>
        <w:t xml:space="preserve">הפרי תואר </w:t>
      </w:r>
      <w:r w:rsidRPr="0050146A">
        <w:rPr>
          <w:rFonts w:hint="cs"/>
          <w:rtl/>
        </w:rPr>
        <w:t xml:space="preserve"> דהא דכתבו </w:t>
      </w:r>
      <w:r w:rsidRPr="0050146A">
        <w:rPr>
          <w:rStyle w:val="af8"/>
          <w:rFonts w:hint="cs"/>
          <w:rtl/>
        </w:rPr>
        <w:t>התוס'</w:t>
      </w:r>
      <w:r w:rsidRPr="0050146A">
        <w:rPr>
          <w:rFonts w:hint="cs"/>
          <w:rtl/>
        </w:rPr>
        <w:t xml:space="preserve"> שנבלע בה איסור בתחילה לא כתבו כן לבאר את דעת הל"ק, אלא באו לבאר היאך איירי בל"ב, </w:t>
      </w:r>
      <w:r w:rsidRPr="0050146A">
        <w:rPr>
          <w:rStyle w:val="afa"/>
          <w:rFonts w:hint="cs"/>
          <w:rtl/>
        </w:rPr>
        <w:t xml:space="preserve">[וכעי"ז כתב </w:t>
      </w:r>
      <w:r w:rsidRPr="0050146A">
        <w:rPr>
          <w:rStyle w:val="affa"/>
          <w:rFonts w:hint="cs"/>
          <w:rtl/>
        </w:rPr>
        <w:t>המהר"ם</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Ref9591530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ט)</w:t>
      </w:r>
      <w:r w:rsidRPr="0050146A">
        <w:rPr>
          <w:rStyle w:val="aff6"/>
          <w:rtl/>
        </w:rPr>
        <w:fldChar w:fldCharType="end"/>
      </w:r>
      <w:r w:rsidRPr="0050146A">
        <w:rPr>
          <w:rStyle w:val="afa"/>
          <w:rFonts w:hint="cs"/>
          <w:rtl/>
        </w:rPr>
        <w:t>],</w:t>
      </w:r>
      <w:r w:rsidRPr="0050146A">
        <w:rPr>
          <w:rFonts w:hint="cs"/>
          <w:rtl/>
        </w:rPr>
        <w:t xml:space="preserve"> דהא דמשערים במה שבלעה הקדירה, הכוונה למה שבלוע בה היתר קודם לכן, ולא ניחא </w:t>
      </w:r>
      <w:r w:rsidRPr="0050146A">
        <w:rPr>
          <w:rStyle w:val="af8"/>
          <w:rFonts w:hint="cs"/>
          <w:rtl/>
        </w:rPr>
        <w:t>להתוס'</w:t>
      </w:r>
      <w:r w:rsidRPr="0050146A">
        <w:rPr>
          <w:rFonts w:hint="cs"/>
          <w:rtl/>
        </w:rPr>
        <w:t xml:space="preserve"> לבאר דכוונת הל"ב לומר דמשערים ברוטב שנבלע עכשיו, דכיון שמשערים באיסור הבלוע, פשיטא דמשערים גם ברוטב שנבלע עכשיו, אבל לל"ק דמשערים בקדירה עצמה, כתב </w:t>
      </w:r>
      <w:r w:rsidRPr="0050146A">
        <w:rPr>
          <w:rStyle w:val="af8"/>
          <w:rFonts w:hint="cs"/>
          <w:rtl/>
        </w:rPr>
        <w:t>הפרי תואר</w:t>
      </w:r>
      <w:r w:rsidRPr="0050146A">
        <w:rPr>
          <w:rFonts w:hint="cs"/>
          <w:rtl/>
        </w:rPr>
        <w:t xml:space="preserve"> </w:t>
      </w:r>
      <w:r w:rsidRPr="0050146A">
        <w:rPr>
          <w:rFonts w:hint="cs"/>
          <w:rtl/>
        </w:rPr>
        <w:t>דמשערים אף בקדירה חדשה שלא בלוע בה כל היתר, ונבלע בה כזית חֵלֶב, כיון שגוף הקדירה מצטרף לבטל את האיסור הבלוע.</w:t>
      </w:r>
    </w:p>
    <w:p w:rsidR="00B2572D" w:rsidRPr="0050146A" w:rsidRDefault="00B2572D" w:rsidP="00B2572D">
      <w:pPr>
        <w:pStyle w:val="a2"/>
        <w:rPr>
          <w:rtl/>
        </w:rPr>
      </w:pPr>
      <w:bookmarkStart w:id="2880" w:name="_Toc9760873"/>
      <w:r w:rsidRPr="0050146A">
        <w:rPr>
          <w:rFonts w:hint="cs"/>
          <w:rtl/>
        </w:rPr>
        <w:t>דברי הפרי תואר דסברת הל"ב היא דהקדירה אינה כולה ברוטב ולכן א"א לשער בכולה</w:t>
      </w:r>
      <w:bookmarkEnd w:id="2880"/>
    </w:p>
    <w:p w:rsidR="00B2572D" w:rsidRPr="0050146A" w:rsidRDefault="00B2572D" w:rsidP="009F44AF">
      <w:pPr>
        <w:pStyle w:val="a"/>
        <w:rPr>
          <w:rtl/>
        </w:rPr>
      </w:pPr>
      <w:r w:rsidRPr="0050146A">
        <w:rPr>
          <w:rFonts w:hint="cs"/>
          <w:rtl/>
        </w:rPr>
        <w:t xml:space="preserve">וכתב </w:t>
      </w:r>
      <w:r w:rsidRPr="0050146A">
        <w:rPr>
          <w:rStyle w:val="af8"/>
          <w:rFonts w:hint="cs"/>
          <w:rtl/>
        </w:rPr>
        <w:t>הפרי תואר</w:t>
      </w:r>
      <w:r w:rsidRPr="0050146A">
        <w:rPr>
          <w:rStyle w:val="af6"/>
          <w:rFonts w:eastAsia="Guttman Hodes" w:hint="cs"/>
          <w:rtl/>
        </w:rPr>
        <w:t xml:space="preserve"> (סי' צ"ט סק"א ד"ה והנה למאי) </w:t>
      </w:r>
      <w:r w:rsidRPr="0050146A">
        <w:rPr>
          <w:rFonts w:hint="cs"/>
          <w:rtl/>
        </w:rPr>
        <w:t xml:space="preserve">דא"א להוכיח מדברי הל"ב דלא קיי"ל כסברת הל"ק, דנימא דבסברא זו גופא נחלקה הל"ב על הל"ק, דהא אפש"ל דסברת הל"ב היא מטעם אחר, דהאיסור  שנבלע בגוף הקדירה אינו מתפשט בתוך הקדירה, כמו כל טעם שמתפשט ברוטב, </w:t>
      </w:r>
      <w:r w:rsidRPr="0050146A">
        <w:rPr>
          <w:rStyle w:val="afa"/>
          <w:rFonts w:hint="cs"/>
          <w:rtl/>
        </w:rPr>
        <w:t xml:space="preserve">[עיי"ש שהוכיח </w:t>
      </w:r>
      <w:r w:rsidRPr="0050146A">
        <w:rPr>
          <w:rStyle w:val="affa"/>
          <w:rFonts w:hint="cs"/>
          <w:rtl/>
        </w:rPr>
        <w:t>הפרי תואר</w:t>
      </w:r>
      <w:r w:rsidRPr="0050146A">
        <w:rPr>
          <w:rStyle w:val="afa"/>
          <w:rFonts w:hint="cs"/>
          <w:rtl/>
        </w:rPr>
        <w:t xml:space="preserve"> כן מדין טיפת חֵלֶב שנפלה על דופני הקדירה מבחוץ],</w:t>
      </w:r>
      <w:r w:rsidRPr="0050146A">
        <w:rPr>
          <w:rFonts w:hint="cs"/>
          <w:rtl/>
        </w:rPr>
        <w:t xml:space="preserve"> והקדירה חשיבא כחתיכה שמחוץ לרוטב, ולכן סברה הל"ב דאין משערים בכל הקדירה, אחר שהאיסור עצמו לא התפשט בכל גוף הקדירה, ועיי"ש בדברי </w:t>
      </w:r>
      <w:r w:rsidRPr="0050146A">
        <w:rPr>
          <w:rStyle w:val="af8"/>
          <w:rFonts w:hint="cs"/>
          <w:rtl/>
        </w:rPr>
        <w:t>הפרי תואר</w:t>
      </w:r>
      <w:r w:rsidRPr="0050146A">
        <w:rPr>
          <w:rFonts w:hint="cs"/>
          <w:rtl/>
        </w:rPr>
        <w:t xml:space="preserve"> במה שביאר לדעת </w:t>
      </w:r>
      <w:r w:rsidRPr="0050146A">
        <w:rPr>
          <w:rStyle w:val="af8"/>
          <w:rFonts w:hint="cs"/>
          <w:rtl/>
        </w:rPr>
        <w:t xml:space="preserve">רש"י </w:t>
      </w:r>
      <w:r w:rsidRPr="0050146A">
        <w:rPr>
          <w:rFonts w:hint="cs"/>
          <w:rtl/>
        </w:rPr>
        <w:t xml:space="preserve">ולדעת </w:t>
      </w:r>
      <w:r w:rsidRPr="0050146A">
        <w:rPr>
          <w:rStyle w:val="af8"/>
          <w:rFonts w:hint="cs"/>
          <w:rtl/>
        </w:rPr>
        <w:t>התוס'</w:t>
      </w:r>
      <w:r w:rsidRPr="0050146A">
        <w:rPr>
          <w:rFonts w:hint="cs"/>
          <w:rtl/>
        </w:rPr>
        <w:t xml:space="preserve"> בדין חתיכה שחציה ברוטב.</w:t>
      </w:r>
    </w:p>
    <w:p w:rsidR="00B2572D" w:rsidRPr="0050146A" w:rsidRDefault="00B2572D" w:rsidP="00B2572D">
      <w:pPr>
        <w:pStyle w:val="a2"/>
        <w:rPr>
          <w:rtl/>
        </w:rPr>
      </w:pPr>
      <w:bookmarkStart w:id="2881" w:name="_Toc9760874"/>
      <w:r w:rsidRPr="0050146A">
        <w:rPr>
          <w:rFonts w:hint="cs"/>
          <w:rtl/>
        </w:rPr>
        <w:t>דברי הפרי תואר דבל"ק מוכח דלא כהפר"ח וא"א להוכיח מהל"ק דפליגא בזה על הל"ב</w:t>
      </w:r>
      <w:bookmarkEnd w:id="2881"/>
    </w:p>
    <w:p w:rsidR="00B2572D" w:rsidRPr="0050146A" w:rsidRDefault="00B2572D" w:rsidP="009F44AF">
      <w:pPr>
        <w:pStyle w:val="a"/>
        <w:rPr>
          <w:rtl/>
        </w:rPr>
      </w:pPr>
      <w:r w:rsidRPr="0050146A">
        <w:rPr>
          <w:rFonts w:hint="cs"/>
          <w:rtl/>
        </w:rPr>
        <w:t xml:space="preserve">וכתב </w:t>
      </w:r>
      <w:r w:rsidRPr="0050146A">
        <w:rPr>
          <w:rStyle w:val="af8"/>
          <w:rFonts w:hint="cs"/>
          <w:rtl/>
        </w:rPr>
        <w:t>הפרי תואר</w:t>
      </w:r>
      <w:r w:rsidRPr="0050146A">
        <w:rPr>
          <w:rFonts w:hint="cs"/>
          <w:rtl/>
        </w:rPr>
        <w:t xml:space="preserve"> דכיון דבל"ק מבואר להדיא דאף דבר שאינו פולט טעם מצטרף לשישים לבטל, ומהל"ב א"א להוכיח דנחלקה על סברא זו, ממילא מבואר דלא כדברי </w:t>
      </w:r>
      <w:r w:rsidRPr="0050146A">
        <w:rPr>
          <w:rStyle w:val="af8"/>
          <w:rFonts w:hint="cs"/>
          <w:rtl/>
        </w:rPr>
        <w:t>הפר"ח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Ref9591620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50146A">
        <w:rPr>
          <w:rStyle w:val="af6"/>
          <w:rFonts w:eastAsia="Guttman Hodes"/>
          <w:rtl/>
        </w:rPr>
        <w:fldChar w:fldCharType="end"/>
      </w:r>
      <w:r w:rsidRPr="0050146A">
        <w:rPr>
          <w:rFonts w:hint="cs"/>
          <w:rtl/>
        </w:rPr>
        <w:t>, וא"כ אפש"ל דלכו"ע אמרינן דאף איסור שאינו פולט טעם, מצטרף לשיעור שישים.</w:t>
      </w:r>
    </w:p>
    <w:p w:rsidR="00B2572D" w:rsidRPr="0050146A" w:rsidRDefault="00B2572D" w:rsidP="00B2572D">
      <w:pPr>
        <w:pStyle w:val="1"/>
        <w:rPr>
          <w:rtl/>
        </w:rPr>
      </w:pPr>
      <w:bookmarkStart w:id="2882" w:name="_Toc9591659"/>
      <w:bookmarkStart w:id="2883" w:name="_Toc9760875"/>
      <w:r w:rsidRPr="0050146A">
        <w:rPr>
          <w:rFonts w:hint="cs"/>
          <w:rtl/>
        </w:rPr>
        <w:t>ביאור הפרי תואר דבשישים אין כח בבלוע לצאת אף בדבר יבש</w:t>
      </w:r>
      <w:bookmarkEnd w:id="2882"/>
      <w:bookmarkEnd w:id="2883"/>
      <w:r w:rsidRPr="0050146A">
        <w:rPr>
          <w:rFonts w:hint="cs"/>
          <w:rtl/>
        </w:rPr>
        <w:t xml:space="preserve"> </w:t>
      </w:r>
    </w:p>
    <w:p w:rsidR="00B2572D" w:rsidRPr="0050146A" w:rsidRDefault="00B2572D" w:rsidP="00B2572D">
      <w:pPr>
        <w:pStyle w:val="a2"/>
        <w:rPr>
          <w:rtl/>
        </w:rPr>
      </w:pPr>
      <w:bookmarkStart w:id="2884" w:name="_Toc9760876"/>
      <w:r w:rsidRPr="0050146A">
        <w:rPr>
          <w:rFonts w:hint="cs"/>
          <w:rtl/>
        </w:rPr>
        <w:t>ביאור הפרי תואר דלל"ק משערים בחרסים כיון שהאיסור נבלע בהם לעולם ואינו נפלט לקדירה</w:t>
      </w:r>
      <w:bookmarkEnd w:id="2884"/>
      <w:r w:rsidRPr="0050146A">
        <w:rPr>
          <w:rFonts w:hint="cs"/>
          <w:rtl/>
        </w:rPr>
        <w:t xml:space="preserve"> </w:t>
      </w:r>
    </w:p>
    <w:p w:rsidR="00B2572D" w:rsidRPr="0050146A" w:rsidRDefault="00B2572D" w:rsidP="009F44AF">
      <w:pPr>
        <w:pStyle w:val="a"/>
        <w:rPr>
          <w:rStyle w:val="afa"/>
          <w:rtl/>
        </w:rPr>
      </w:pPr>
      <w:r w:rsidRPr="0050146A">
        <w:rPr>
          <w:rFonts w:hint="cs"/>
          <w:rtl/>
        </w:rPr>
        <w:t xml:space="preserve">וכתב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סק"א ד"ה אלא למאי)</w:t>
      </w:r>
      <w:r w:rsidRPr="0050146A">
        <w:rPr>
          <w:rFonts w:hint="cs"/>
          <w:rtl/>
        </w:rPr>
        <w:t xml:space="preserve"> דהביאור בדעת הל"ק דאף חרסי הקדירה מצטרפים לבטל בשישים, אף בקדירה חדשה שאין בה שום לחלוחית, הוא כיון דטעם שהתחלק לשישים חלקים, ונבלע בתוך דבר אחר, אין כח בדבר שבלע את האיסור לחזור ולפולטו, והוא נשאר בלוע בתוכו לעולם, וחשיב כדבר שאינו בעולם כלל. </w:t>
      </w:r>
      <w:r w:rsidRPr="0050146A">
        <w:rPr>
          <w:rStyle w:val="afa"/>
          <w:rFonts w:hint="cs"/>
          <w:rtl/>
        </w:rPr>
        <w:t xml:space="preserve">[ועיי"ש דהוכיח </w:t>
      </w:r>
      <w:r w:rsidRPr="0050146A">
        <w:rPr>
          <w:rStyle w:val="affa"/>
          <w:rFonts w:hint="cs"/>
          <w:rtl/>
        </w:rPr>
        <w:t>הפרי תואר</w:t>
      </w:r>
      <w:r w:rsidRPr="0050146A">
        <w:rPr>
          <w:rStyle w:val="afa"/>
          <w:rFonts w:hint="cs"/>
          <w:rtl/>
        </w:rPr>
        <w:t xml:space="preserve"> כן מדברי </w:t>
      </w:r>
      <w:r w:rsidRPr="0050146A">
        <w:rPr>
          <w:rStyle w:val="affa"/>
          <w:rFonts w:hint="cs"/>
          <w:rtl/>
        </w:rPr>
        <w:t>התוס' לקמן</w:t>
      </w:r>
      <w:r w:rsidRPr="0050146A">
        <w:rPr>
          <w:rStyle w:val="afa"/>
          <w:rFonts w:hint="cs"/>
          <w:rtl/>
        </w:rPr>
        <w:t xml:space="preserve"> </w:t>
      </w:r>
      <w:r w:rsidRPr="0050146A">
        <w:rPr>
          <w:rStyle w:val="aff6"/>
          <w:rFonts w:hint="cs"/>
          <w:rtl/>
        </w:rPr>
        <w:t>(ק. ד"ה בשקדם)</w:t>
      </w:r>
      <w:r w:rsidRPr="0050146A">
        <w:rPr>
          <w:rStyle w:val="afa"/>
          <w:rFonts w:hint="cs"/>
          <w:rtl/>
        </w:rPr>
        <w:t>].</w:t>
      </w:r>
    </w:p>
    <w:p w:rsidR="00B2572D" w:rsidRPr="0050146A" w:rsidRDefault="00B2572D" w:rsidP="00B2572D">
      <w:pPr>
        <w:pStyle w:val="a2"/>
        <w:rPr>
          <w:rtl/>
        </w:rPr>
      </w:pPr>
      <w:bookmarkStart w:id="2885" w:name="_Toc9760877"/>
      <w:r w:rsidRPr="0050146A">
        <w:rPr>
          <w:rFonts w:hint="cs"/>
          <w:rtl/>
        </w:rPr>
        <w:t>דברי הפרי תואר דהא דלל"ב אין משערים בחרסים אף שהאיסור נבלע בהם כיון שאינם ברוטב</w:t>
      </w:r>
      <w:bookmarkEnd w:id="2885"/>
    </w:p>
    <w:p w:rsidR="00B2572D" w:rsidRPr="0050146A" w:rsidRDefault="00B2572D" w:rsidP="009F44AF">
      <w:pPr>
        <w:pStyle w:val="a"/>
        <w:rPr>
          <w:rtl/>
        </w:rPr>
      </w:pPr>
      <w:r w:rsidRPr="0050146A">
        <w:rPr>
          <w:rFonts w:hint="cs"/>
          <w:rtl/>
        </w:rPr>
        <w:t xml:space="preserve">אלא כתב </w:t>
      </w:r>
      <w:r w:rsidRPr="0050146A">
        <w:rPr>
          <w:rStyle w:val="af8"/>
          <w:rFonts w:hint="cs"/>
          <w:rtl/>
        </w:rPr>
        <w:t>הפרי תואר</w:t>
      </w:r>
      <w:r w:rsidRPr="0050146A">
        <w:rPr>
          <w:rFonts w:hint="cs"/>
          <w:rtl/>
        </w:rPr>
        <w:t xml:space="preserve"> דא"כ אף לל"ב כ"מ דאין מצרפים את חרסי הקדירה, הוא כיון שאינם בתוך הרוטב, אבל אם היו החרסים בתוך הרוטב, לכו"ע הם מצטרפים לבטל בשישים, כיון שאף דבר שאינו פולט טעם הוא בולע, ואף באיסור דאו' במין בשאינו מינו.</w:t>
      </w:r>
    </w:p>
    <w:p w:rsidR="00B2572D" w:rsidRPr="0050146A" w:rsidRDefault="00B2572D" w:rsidP="00B2572D">
      <w:pPr>
        <w:pStyle w:val="a2"/>
        <w:rPr>
          <w:rtl/>
        </w:rPr>
      </w:pPr>
      <w:bookmarkStart w:id="2886" w:name="_Toc9760878"/>
      <w:r w:rsidRPr="0050146A">
        <w:rPr>
          <w:rFonts w:hint="cs"/>
          <w:rtl/>
        </w:rPr>
        <w:t>דברי הפרמ"ג דלפרי תואר קיי"ל דדבר שאינו פולט בולע רק כשכולו נמצא בתוך הרוטב</w:t>
      </w:r>
      <w:bookmarkEnd w:id="2886"/>
    </w:p>
    <w:p w:rsidR="00B2572D" w:rsidRPr="0050146A" w:rsidRDefault="00B2572D" w:rsidP="009F44AF">
      <w:pPr>
        <w:pStyle w:val="a"/>
        <w:rPr>
          <w:rtl/>
        </w:rPr>
      </w:pPr>
      <w:bookmarkStart w:id="2887" w:name="_Ref9591584"/>
      <w:r w:rsidRPr="0050146A">
        <w:rPr>
          <w:rFonts w:hint="cs"/>
          <w:rtl/>
        </w:rPr>
        <w:t xml:space="preserve">וביאר </w:t>
      </w:r>
      <w:r w:rsidRPr="0050146A">
        <w:rPr>
          <w:rStyle w:val="af8"/>
          <w:rFonts w:hint="cs"/>
          <w:rtl/>
        </w:rPr>
        <w:t>הפרמ"ג</w:t>
      </w:r>
      <w:r w:rsidRPr="0050146A">
        <w:rPr>
          <w:rFonts w:hint="cs"/>
          <w:rtl/>
        </w:rPr>
        <w:t xml:space="preserve"> </w:t>
      </w:r>
      <w:r w:rsidRPr="0050146A">
        <w:rPr>
          <w:rStyle w:val="af6"/>
          <w:rFonts w:eastAsia="Guttman Hodes" w:hint="cs"/>
          <w:rtl/>
        </w:rPr>
        <w:t>(סי' צ"ט סק"א ד"ה והנה)</w:t>
      </w:r>
      <w:r w:rsidRPr="0050146A">
        <w:rPr>
          <w:rFonts w:hint="cs"/>
          <w:rtl/>
        </w:rPr>
        <w:t xml:space="preserve"> דס"ל </w:t>
      </w:r>
      <w:r w:rsidRPr="0050146A">
        <w:rPr>
          <w:rStyle w:val="af8"/>
          <w:rFonts w:hint="cs"/>
          <w:rtl/>
        </w:rPr>
        <w:t>להפרי תואר</w:t>
      </w:r>
      <w:r w:rsidRPr="0050146A">
        <w:rPr>
          <w:rFonts w:hint="cs"/>
          <w:rtl/>
        </w:rPr>
        <w:t xml:space="preserve"> דטעם האיסור מתפשט בשוה בכל מה שיש בקדירה, אף בדבר יבש שאין בו שום לחלוחית, ואחר שבלע לא אמרינן דהוא חוזר ופולטו כיון דטעם שהתחלק לשישים חלקים, אין בו כח לצאת מהדבר שנבלע בו, והא דלא קיי"ל כל"ק הוא כיון דהקדירה אינה כולה בתוך הרוטב, ולכן אין האיסור מתחלק בשוה, אבל אם היו חרסי אדמה בתוך הרוטב, אף לדידן דקיי"ל כל"ב משערים בחרסים.</w:t>
      </w:r>
      <w:bookmarkEnd w:id="2887"/>
    </w:p>
    <w:p w:rsidR="00B2572D" w:rsidRPr="0050146A" w:rsidRDefault="00B2572D" w:rsidP="00B2572D">
      <w:pPr>
        <w:pStyle w:val="a2"/>
        <w:rPr>
          <w:rtl/>
        </w:rPr>
      </w:pPr>
      <w:bookmarkStart w:id="2888" w:name="_Toc9760879"/>
      <w:r w:rsidRPr="0050146A">
        <w:rPr>
          <w:rFonts w:hint="cs"/>
          <w:rtl/>
        </w:rPr>
        <w:t>דברי הפרישה דהא דלא קיי"ל כל"ק דיתכן שהקדירה בלועה מתבשיל אחר ועכשיו לא בלעה כלום</w:t>
      </w:r>
      <w:bookmarkEnd w:id="2888"/>
    </w:p>
    <w:p w:rsidR="002D7168" w:rsidRDefault="00B2572D" w:rsidP="009F44AF">
      <w:pPr>
        <w:pStyle w:val="a"/>
        <w:rPr>
          <w:rtl/>
        </w:rPr>
      </w:pPr>
      <w:r w:rsidRPr="0050146A">
        <w:rPr>
          <w:rFonts w:hint="cs"/>
          <w:rtl/>
        </w:rPr>
        <w:t xml:space="preserve">ועוד הביא </w:t>
      </w:r>
      <w:r w:rsidRPr="0050146A">
        <w:rPr>
          <w:rStyle w:val="af8"/>
          <w:rFonts w:hint="cs"/>
          <w:rtl/>
        </w:rPr>
        <w:t>הפרמ"ג</w:t>
      </w:r>
      <w:r w:rsidRPr="0050146A">
        <w:rPr>
          <w:rFonts w:hint="cs"/>
          <w:rtl/>
        </w:rPr>
        <w:t xml:space="preserve"> את דברי </w:t>
      </w:r>
      <w:r w:rsidRPr="0050146A">
        <w:rPr>
          <w:rStyle w:val="af8"/>
          <w:rFonts w:hint="cs"/>
          <w:rtl/>
        </w:rPr>
        <w:t>הפרישה</w:t>
      </w:r>
      <w:r w:rsidRPr="0050146A">
        <w:rPr>
          <w:rFonts w:hint="cs"/>
          <w:rtl/>
        </w:rPr>
        <w:t xml:space="preserve"> </w:t>
      </w:r>
      <w:r w:rsidRPr="0050146A">
        <w:rPr>
          <w:rStyle w:val="af6"/>
          <w:rFonts w:eastAsia="Guttman Hodes" w:hint="cs"/>
          <w:rtl/>
        </w:rPr>
        <w:t>(סי' צ"ט ב')</w:t>
      </w:r>
      <w:r w:rsidRPr="0050146A">
        <w:rPr>
          <w:rFonts w:hint="cs"/>
          <w:rtl/>
        </w:rPr>
        <w:t xml:space="preserve"> דביאר דהא דקיי"ל כל"ב דאין משערים בקדירה עצמה, הוא כיון שהקדירה כבר בלעה מתבשילים שבישלו בה קודם, ויתכן שעכשיו לא בלעה כלום, ובקדירה חדשה אסור דלא פלוג רבנן.</w:t>
      </w:r>
    </w:p>
    <w:p w:rsidR="002D7168" w:rsidRDefault="002D7168" w:rsidP="0058278F">
      <w:pPr>
        <w:pStyle w:val="a2"/>
        <w:rPr>
          <w:rtl/>
        </w:rPr>
      </w:pPr>
    </w:p>
    <w:p w:rsidR="00B2572D" w:rsidRPr="0050146A" w:rsidRDefault="00B2572D" w:rsidP="00E669F8">
      <w:pPr>
        <w:pStyle w:val="afd"/>
        <w:rPr>
          <w:rtl/>
        </w:rPr>
      </w:pPr>
      <w:bookmarkStart w:id="2889" w:name="_Toc9760880"/>
      <w:bookmarkEnd w:id="2871"/>
      <w:bookmarkEnd w:id="2872"/>
      <w:bookmarkEnd w:id="2873"/>
      <w:r w:rsidRPr="0050146A">
        <w:rPr>
          <w:rFonts w:hint="cs"/>
          <w:rtl/>
        </w:rPr>
        <w:t>בביאור דברי רש"י בל"ב דמשערים בבלוע</w:t>
      </w:r>
      <w:bookmarkEnd w:id="2889"/>
    </w:p>
    <w:p w:rsidR="00B2572D" w:rsidRPr="0050146A" w:rsidRDefault="00B2572D" w:rsidP="00B2572D">
      <w:pPr>
        <w:pStyle w:val="1"/>
        <w:rPr>
          <w:rtl/>
        </w:rPr>
      </w:pPr>
      <w:bookmarkStart w:id="2890" w:name="_Toc9501144"/>
      <w:bookmarkStart w:id="2891" w:name="_Toc9542843"/>
      <w:bookmarkStart w:id="2892" w:name="_Toc9544947"/>
      <w:bookmarkStart w:id="2893" w:name="_Toc9591661"/>
      <w:bookmarkStart w:id="2894" w:name="_Toc9760881"/>
      <w:r w:rsidRPr="0050146A">
        <w:rPr>
          <w:rFonts w:hint="cs"/>
          <w:rtl/>
        </w:rPr>
        <w:lastRenderedPageBreak/>
        <w:t>דברי רש"י</w:t>
      </w:r>
      <w:bookmarkEnd w:id="2890"/>
      <w:bookmarkEnd w:id="2891"/>
      <w:bookmarkEnd w:id="2892"/>
      <w:bookmarkEnd w:id="2893"/>
      <w:r w:rsidRPr="0050146A">
        <w:rPr>
          <w:rFonts w:hint="cs"/>
          <w:rtl/>
        </w:rPr>
        <w:t xml:space="preserve"> בגירסא שלפנינו דראינו את האיסור כשנפל לקדירה</w:t>
      </w:r>
      <w:bookmarkEnd w:id="2894"/>
    </w:p>
    <w:p w:rsidR="00B2572D" w:rsidRPr="0050146A" w:rsidRDefault="00B2572D" w:rsidP="00B2572D">
      <w:pPr>
        <w:pStyle w:val="a2"/>
        <w:rPr>
          <w:rtl/>
        </w:rPr>
      </w:pPr>
      <w:bookmarkStart w:id="2895" w:name="_Toc9760882"/>
      <w:r w:rsidRPr="0050146A">
        <w:rPr>
          <w:rFonts w:hint="cs"/>
          <w:rtl/>
        </w:rPr>
        <w:t>דברי רש"י דראינו את האיסור כשנפל ואף שאין שישים בהיתר משערים שהיה שישים כשנפל ומותר</w:t>
      </w:r>
      <w:bookmarkEnd w:id="2895"/>
    </w:p>
    <w:p w:rsidR="00B2572D" w:rsidRPr="0050146A" w:rsidRDefault="00B2572D" w:rsidP="009F44AF">
      <w:pPr>
        <w:pStyle w:val="a"/>
        <w:rPr>
          <w:rtl/>
        </w:rPr>
      </w:pPr>
      <w:bookmarkStart w:id="2896" w:name="_Ref9267413"/>
      <w:bookmarkStart w:id="2897" w:name="_Ref9785459"/>
      <w:bookmarkStart w:id="2898" w:name="_Ref9350537"/>
      <w:r w:rsidRPr="0050146A">
        <w:rPr>
          <w:rFonts w:hint="cs"/>
          <w:rtl/>
        </w:rPr>
        <w:t xml:space="preserve">בביאור הל"ב דמשערים במה שבלעה הקדירה,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במאי) </w:t>
      </w:r>
      <w:r w:rsidRPr="0050146A">
        <w:rPr>
          <w:rFonts w:hint="cs"/>
          <w:rtl/>
        </w:rPr>
        <w:t>דאי ראינו את האיסור בשעה שנפל לפני שנתמעט בקדירה, ולאחר הבישול אנו משערים שאין בהיתר שישים כנגד השיעור שהיה בשעת נפילה, דאנו אומדים כמה הקדירה בלעה מההיתר, כיון שבשעה שנפל האיסור היה הרבה יותר היתר בקדירה מאשר לאחר הבישול, דהא הקדירה בלעה הרבה מההיתר</w:t>
      </w:r>
      <w:bookmarkEnd w:id="2896"/>
      <w:r w:rsidRPr="0050146A">
        <w:rPr>
          <w:rFonts w:hint="cs"/>
          <w:rtl/>
        </w:rPr>
        <w:t xml:space="preserve">, ועי' במה שביאר </w:t>
      </w:r>
      <w:r w:rsidRPr="0050146A">
        <w:rPr>
          <w:rStyle w:val="af8"/>
          <w:rFonts w:hint="cs"/>
          <w:rtl/>
        </w:rPr>
        <w:t>הרשב"א בתשו'</w:t>
      </w:r>
      <w:r w:rsidRPr="0050146A">
        <w:rPr>
          <w:rFonts w:hint="cs"/>
          <w:rtl/>
        </w:rPr>
        <w:t xml:space="preserve"> </w:t>
      </w:r>
      <w:r w:rsidRPr="0050146A">
        <w:rPr>
          <w:rStyle w:val="af8"/>
          <w:rFonts w:hint="cs"/>
          <w:rtl/>
        </w:rPr>
        <w:t>ובמשה"ב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Ref9440445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r w:rsidRPr="0050146A">
        <w:rPr>
          <w:rFonts w:hint="cs"/>
          <w:rtl/>
        </w:rPr>
        <w:t>.</w:t>
      </w:r>
      <w:bookmarkEnd w:id="2897"/>
    </w:p>
    <w:p w:rsidR="00B2572D" w:rsidRPr="0050146A" w:rsidRDefault="00B2572D" w:rsidP="00B2572D">
      <w:pPr>
        <w:pStyle w:val="a2"/>
        <w:rPr>
          <w:rtl/>
        </w:rPr>
      </w:pPr>
      <w:bookmarkStart w:id="2899" w:name="_Toc9760883"/>
      <w:bookmarkEnd w:id="2898"/>
      <w:r w:rsidRPr="0050146A">
        <w:rPr>
          <w:rFonts w:hint="cs"/>
          <w:rtl/>
        </w:rPr>
        <w:t>דברי רש"י דכיון דב' הלישנות נחלקו אי משערים בקדירה עצמה והוא דאו' אזלינן לחומרא כל"ב</w:t>
      </w:r>
      <w:bookmarkEnd w:id="2899"/>
    </w:p>
    <w:p w:rsidR="00B2572D" w:rsidRPr="0050146A" w:rsidRDefault="00B2572D" w:rsidP="009F44AF">
      <w:pPr>
        <w:pStyle w:val="a"/>
        <w:rPr>
          <w:rtl/>
        </w:rPr>
      </w:pPr>
      <w:bookmarkStart w:id="2900" w:name="_Ref9542368"/>
      <w:bookmarkStart w:id="2901" w:name="_Ref9268566"/>
      <w:r w:rsidRPr="0050146A">
        <w:rPr>
          <w:rFonts w:hint="cs"/>
          <w:rtl/>
        </w:rPr>
        <w:t xml:space="preserve">וכתב </w:t>
      </w:r>
      <w:r w:rsidRPr="0050146A">
        <w:rPr>
          <w:rStyle w:val="af8"/>
          <w:rFonts w:hint="cs"/>
          <w:rtl/>
        </w:rPr>
        <w:t>רש"י</w:t>
      </w:r>
      <w:r w:rsidRPr="0050146A">
        <w:rPr>
          <w:rFonts w:hint="cs"/>
          <w:rtl/>
        </w:rPr>
        <w:t xml:space="preserve"> דלל"ב אין משערים בקדירה עצמה, וכיון דנחלקו בזה הלישנות, והוא איסור דאו' אזלינן לחומרא, ואין משערים בקדירה.</w:t>
      </w:r>
      <w:bookmarkEnd w:id="2900"/>
    </w:p>
    <w:p w:rsidR="00B2572D" w:rsidRPr="0050146A" w:rsidRDefault="00B2572D" w:rsidP="00B2572D">
      <w:pPr>
        <w:pStyle w:val="a2"/>
      </w:pPr>
      <w:bookmarkStart w:id="2902" w:name="_Toc9760884"/>
      <w:r w:rsidRPr="0050146A">
        <w:rPr>
          <w:rFonts w:hint="cs"/>
          <w:rtl/>
        </w:rPr>
        <w:t>דברי רש"י דמשערים כמו שבא לפנינו ולא משערים בהיתר שנבלע  דהא אף האיסור נבלע</w:t>
      </w:r>
      <w:bookmarkEnd w:id="2902"/>
    </w:p>
    <w:p w:rsidR="00B2572D" w:rsidRPr="0050146A" w:rsidRDefault="00B2572D" w:rsidP="009F44AF">
      <w:pPr>
        <w:pStyle w:val="a"/>
        <w:rPr>
          <w:rtl/>
        </w:rPr>
      </w:pPr>
      <w:bookmarkStart w:id="2903" w:name="_Ref9439874"/>
      <w:bookmarkStart w:id="2904" w:name="_Ref9269900"/>
      <w:r w:rsidRPr="0050146A">
        <w:rPr>
          <w:rFonts w:hint="cs"/>
          <w:rtl/>
        </w:rPr>
        <w:t xml:space="preserve">אך כתב </w:t>
      </w:r>
      <w:r w:rsidRPr="0050146A">
        <w:rPr>
          <w:rStyle w:val="af8"/>
          <w:rFonts w:hint="cs"/>
          <w:rtl/>
        </w:rPr>
        <w:t>רש"י</w:t>
      </w:r>
      <w:r w:rsidRPr="0050146A">
        <w:rPr>
          <w:rFonts w:hint="cs"/>
          <w:rtl/>
        </w:rPr>
        <w:t xml:space="preserve"> דאף במה שבלעה הקדירה מההיתר אין משערים, אלא משערים בעיקר הדבר כמו שבא לפנינו, כיון שהקדירה בלעה גם מהאיסור, והוא נתמעט ממה שהיה לפני שנתבשל, וכדאמרינן בגמ' לקמן </w:t>
      </w:r>
      <w:r w:rsidRPr="0050146A">
        <w:rPr>
          <w:rStyle w:val="af6"/>
          <w:rFonts w:eastAsia="Guttman Hodes" w:hint="cs"/>
          <w:rtl/>
        </w:rPr>
        <w:t xml:space="preserve">(צח.) </w:t>
      </w:r>
      <w:r w:rsidRPr="0050146A">
        <w:rPr>
          <w:rFonts w:hint="cs"/>
          <w:rtl/>
        </w:rPr>
        <w:t>"אטו דהיתרא בלע דאיסורא לא בלע".</w:t>
      </w:r>
      <w:bookmarkEnd w:id="2903"/>
    </w:p>
    <w:p w:rsidR="00B2572D" w:rsidRPr="0050146A" w:rsidRDefault="00B2572D" w:rsidP="00B2572D">
      <w:pPr>
        <w:pStyle w:val="1"/>
        <w:rPr>
          <w:rtl/>
        </w:rPr>
      </w:pPr>
      <w:bookmarkStart w:id="2905" w:name="_Toc9501145"/>
      <w:bookmarkStart w:id="2906" w:name="_Toc9542844"/>
      <w:bookmarkStart w:id="2907" w:name="_Toc9544948"/>
      <w:bookmarkStart w:id="2908" w:name="_Toc9591662"/>
      <w:bookmarkStart w:id="2909" w:name="_Toc9760885"/>
      <w:r w:rsidRPr="0050146A">
        <w:rPr>
          <w:rFonts w:hint="cs"/>
          <w:rtl/>
        </w:rPr>
        <w:t>ביאור הרשב"א והר"ן ברש"י</w:t>
      </w:r>
      <w:bookmarkEnd w:id="2905"/>
      <w:bookmarkEnd w:id="2906"/>
      <w:bookmarkEnd w:id="2907"/>
      <w:bookmarkEnd w:id="2908"/>
      <w:r w:rsidRPr="0050146A">
        <w:rPr>
          <w:rFonts w:hint="cs"/>
          <w:rtl/>
        </w:rPr>
        <w:t xml:space="preserve"> דפסק דלא כב' הלישנות</w:t>
      </w:r>
      <w:bookmarkEnd w:id="2909"/>
    </w:p>
    <w:p w:rsidR="00B2572D" w:rsidRPr="0050146A" w:rsidRDefault="00B2572D" w:rsidP="00B2572D">
      <w:pPr>
        <w:pStyle w:val="a2"/>
      </w:pPr>
      <w:bookmarkStart w:id="2910" w:name="_Toc9760886"/>
      <w:r w:rsidRPr="0050146A">
        <w:rPr>
          <w:rFonts w:hint="cs"/>
          <w:rtl/>
        </w:rPr>
        <w:t>דברי הרשב"א והר"ן דרש"י דחה את הל"ב ופסק דלא כב' הלישנות ומשערים רק במה שלפנינו</w:t>
      </w:r>
      <w:bookmarkEnd w:id="2910"/>
    </w:p>
    <w:p w:rsidR="00B2572D" w:rsidRPr="0050146A" w:rsidRDefault="00B2572D" w:rsidP="009F44AF">
      <w:pPr>
        <w:pStyle w:val="a"/>
        <w:rPr>
          <w:rtl/>
        </w:rPr>
      </w:pPr>
      <w:bookmarkStart w:id="2911" w:name="_Ref9352377"/>
      <w:r w:rsidRPr="0050146A">
        <w:rPr>
          <w:rFonts w:hint="cs"/>
          <w:rtl/>
        </w:rPr>
        <w:t xml:space="preserve">וביארו </w:t>
      </w:r>
      <w:r w:rsidRPr="0050146A">
        <w:rPr>
          <w:rStyle w:val="af8"/>
          <w:rFonts w:hint="cs"/>
          <w:rtl/>
        </w:rPr>
        <w:t>הרשב"א</w:t>
      </w:r>
      <w:r w:rsidRPr="0050146A">
        <w:rPr>
          <w:rFonts w:hint="cs"/>
          <w:rtl/>
        </w:rPr>
        <w:t xml:space="preserve"> </w:t>
      </w:r>
      <w:r w:rsidRPr="0050146A">
        <w:rPr>
          <w:rStyle w:val="af8"/>
          <w:rFonts w:hint="cs"/>
          <w:rtl/>
        </w:rPr>
        <w:t>בחי'</w:t>
      </w:r>
      <w:r w:rsidRPr="0050146A">
        <w:rPr>
          <w:rFonts w:hint="cs"/>
          <w:rtl/>
        </w:rPr>
        <w:t xml:space="preserve"> </w:t>
      </w:r>
      <w:r w:rsidRPr="0050146A">
        <w:rPr>
          <w:rStyle w:val="af6"/>
          <w:rFonts w:eastAsia="Guttman Hodes" w:hint="cs"/>
          <w:rtl/>
        </w:rPr>
        <w:t>(ד"ה ובקדירה)</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(ב"ד ש"א ה: מדה"ס)</w:t>
      </w:r>
      <w:r w:rsidRPr="0050146A">
        <w:rPr>
          <w:rFonts w:hint="cs"/>
          <w:rtl/>
        </w:rPr>
        <w:t xml:space="preserve"> </w:t>
      </w:r>
      <w:r w:rsidRPr="0050146A">
        <w:rPr>
          <w:rStyle w:val="af8"/>
          <w:rFonts w:hint="cs"/>
          <w:rtl/>
        </w:rPr>
        <w:t>והר"ן על הרי"ף</w:t>
      </w:r>
      <w:r w:rsidRPr="0050146A">
        <w:rPr>
          <w:rFonts w:hint="cs"/>
          <w:rtl/>
        </w:rPr>
        <w:t xml:space="preserve"> </w:t>
      </w:r>
      <w:r w:rsidRPr="0050146A">
        <w:rPr>
          <w:rStyle w:val="af6"/>
          <w:rFonts w:eastAsia="Guttman Hodes" w:hint="cs"/>
          <w:rtl/>
        </w:rPr>
        <w:t>(לד: מדפי הרי"ף ד"ה א"ר חנינא)</w:t>
      </w:r>
      <w:r w:rsidRPr="0050146A">
        <w:rPr>
          <w:rFonts w:hint="cs"/>
          <w:rtl/>
        </w:rPr>
        <w:t xml:space="preserve"> דבתחילה </w:t>
      </w:r>
      <w:r w:rsidRPr="0050146A">
        <w:rPr>
          <w:rStyle w:val="af8"/>
          <w:rFonts w:hint="cs"/>
          <w:rtl/>
        </w:rPr>
        <w:t>רש"י</w:t>
      </w:r>
      <w:r w:rsidRPr="0050146A">
        <w:rPr>
          <w:rFonts w:hint="cs"/>
          <w:rtl/>
        </w:rPr>
        <w:t xml:space="preserve"> דחה את הל"ק, דכיון דהוא דאו' אזלינן לחומרא כל"ב, ואח"כ דחה </w:t>
      </w:r>
      <w:r w:rsidRPr="0050146A">
        <w:rPr>
          <w:rStyle w:val="af8"/>
          <w:rFonts w:hint="cs"/>
          <w:rtl/>
        </w:rPr>
        <w:t>רש"י</w:t>
      </w:r>
      <w:r w:rsidRPr="0050146A">
        <w:rPr>
          <w:rFonts w:hint="cs"/>
          <w:rtl/>
        </w:rPr>
        <w:t xml:space="preserve"> גם את הל"ב, כיון שגם האיסור נבלע והוא פחות ממה שהיה לפני שהתבשל, וכתב </w:t>
      </w:r>
      <w:r w:rsidRPr="0050146A">
        <w:rPr>
          <w:rStyle w:val="af8"/>
          <w:rFonts w:hint="cs"/>
          <w:rtl/>
        </w:rPr>
        <w:t>הרשב"א</w:t>
      </w:r>
      <w:r w:rsidRPr="0050146A">
        <w:rPr>
          <w:rFonts w:hint="cs"/>
          <w:rtl/>
        </w:rPr>
        <w:t xml:space="preserve"> דלכן פסק </w:t>
      </w:r>
      <w:r w:rsidRPr="0050146A">
        <w:rPr>
          <w:rStyle w:val="af8"/>
          <w:rFonts w:hint="cs"/>
          <w:rtl/>
        </w:rPr>
        <w:t>רש"י</w:t>
      </w:r>
      <w:r w:rsidRPr="0050146A">
        <w:rPr>
          <w:rFonts w:hint="cs"/>
          <w:rtl/>
        </w:rPr>
        <w:t xml:space="preserve"> דלא כב' הלישנות, אלא דמשערים את האיסור וההיתר כפי שהם לפנינו, ועי' במ"ש </w:t>
      </w:r>
      <w:r w:rsidRPr="0050146A">
        <w:rPr>
          <w:rStyle w:val="af8"/>
          <w:rFonts w:hint="cs"/>
          <w:rtl/>
        </w:rPr>
        <w:t>הפרי תואר</w:t>
      </w:r>
      <w:r w:rsidRPr="0050146A">
        <w:rPr>
          <w:rFonts w:hint="cs"/>
          <w:rtl/>
        </w:rPr>
        <w:t xml:space="preserve"> </w:t>
      </w:r>
      <w:r w:rsidRPr="0050146A">
        <w:rPr>
          <w:rStyle w:val="af6"/>
          <w:rFonts w:eastAsia="Guttman Hodes" w:hint="cs"/>
          <w:rtl/>
        </w:rPr>
        <w:t>(סי' צ"ט ריש סק"ד)</w:t>
      </w:r>
      <w:r w:rsidRPr="0050146A">
        <w:rPr>
          <w:rFonts w:hint="cs"/>
          <w:rtl/>
        </w:rPr>
        <w:t>.</w:t>
      </w:r>
      <w:bookmarkEnd w:id="2901"/>
      <w:bookmarkEnd w:id="2904"/>
      <w:bookmarkEnd w:id="2911"/>
    </w:p>
    <w:p w:rsidR="00B2572D" w:rsidRPr="0050146A" w:rsidRDefault="00B2572D" w:rsidP="00B2572D">
      <w:pPr>
        <w:pStyle w:val="a2"/>
        <w:rPr>
          <w:rtl/>
        </w:rPr>
      </w:pPr>
      <w:bookmarkStart w:id="2912" w:name="_Toc9760887"/>
      <w:r w:rsidRPr="0050146A">
        <w:rPr>
          <w:rFonts w:hint="cs"/>
          <w:rtl/>
        </w:rPr>
        <w:t>קושית הרשב"א דהא מדאו' חד בתרי בטיל ואמאי כתב רש"י דהוא איסור דאו'</w:t>
      </w:r>
      <w:bookmarkEnd w:id="2912"/>
    </w:p>
    <w:p w:rsidR="00B2572D" w:rsidRPr="0050146A" w:rsidRDefault="00B2572D" w:rsidP="009F44AF">
      <w:pPr>
        <w:pStyle w:val="a"/>
        <w:rPr>
          <w:rtl/>
        </w:rPr>
      </w:pPr>
      <w:r w:rsidRPr="0050146A">
        <w:rPr>
          <w:rFonts w:hint="cs"/>
          <w:rtl/>
        </w:rPr>
        <w:t xml:space="preserve">והקשה </w:t>
      </w:r>
      <w:r w:rsidRPr="0050146A">
        <w:rPr>
          <w:rStyle w:val="af8"/>
          <w:rFonts w:hint="cs"/>
          <w:rtl/>
        </w:rPr>
        <w:t>הרשב"א</w:t>
      </w:r>
      <w:r w:rsidRPr="0050146A">
        <w:rPr>
          <w:rFonts w:hint="cs"/>
          <w:rtl/>
        </w:rPr>
        <w:t xml:space="preserve"> </w:t>
      </w:r>
      <w:r w:rsidRPr="0050146A">
        <w:rPr>
          <w:rStyle w:val="af6"/>
          <w:rFonts w:eastAsia="Guttman Hodes" w:hint="cs"/>
          <w:rtl/>
        </w:rPr>
        <w:t>(סוד"ה ובקדירה)</w:t>
      </w:r>
      <w:r w:rsidRPr="0050146A">
        <w:rPr>
          <w:rFonts w:hint="cs"/>
          <w:rtl/>
        </w:rPr>
        <w:t xml:space="preserve"> דהאיך כתב </w:t>
      </w:r>
      <w:r w:rsidRPr="0050146A">
        <w:rPr>
          <w:rStyle w:val="af8"/>
          <w:rFonts w:hint="cs"/>
          <w:rtl/>
        </w:rPr>
        <w:t>רש"י</w:t>
      </w:r>
      <w:r w:rsidRPr="0050146A">
        <w:rPr>
          <w:rFonts w:hint="cs"/>
          <w:rtl/>
        </w:rPr>
        <w:t xml:space="preserve"> דהוא דאו' ואזלינן בתר המחמיר, הרי מדאו' חד בתרי בטיל, וכל שיעור שישים הוא מדרבנן, ובדרבנן אזלינן לקולא, וביארו </w:t>
      </w:r>
      <w:r w:rsidRPr="0050146A">
        <w:rPr>
          <w:rStyle w:val="af8"/>
          <w:rFonts w:hint="cs"/>
          <w:rtl/>
        </w:rPr>
        <w:t>הראש יוסף</w:t>
      </w:r>
      <w:r w:rsidRPr="0050146A">
        <w:rPr>
          <w:rFonts w:hint="cs"/>
          <w:rtl/>
        </w:rPr>
        <w:t xml:space="preserve"> </w:t>
      </w:r>
      <w:r w:rsidRPr="0050146A">
        <w:rPr>
          <w:rStyle w:val="af6"/>
          <w:rFonts w:eastAsia="Guttman Hodes" w:hint="cs"/>
          <w:rtl/>
        </w:rPr>
        <w:t xml:space="preserve">(ד"ה עוד כתב הרשב"א) </w:t>
      </w:r>
      <w:r w:rsidRPr="0050146A">
        <w:rPr>
          <w:rStyle w:val="af8"/>
          <w:rFonts w:hint="cs"/>
          <w:rtl/>
        </w:rPr>
        <w:t>והגרעק"א</w:t>
      </w:r>
      <w:r w:rsidRPr="0050146A">
        <w:rPr>
          <w:rStyle w:val="af6"/>
          <w:rFonts w:eastAsia="Guttman Hodes" w:hint="cs"/>
          <w:rtl/>
        </w:rPr>
        <w:t xml:space="preserve"> (</w:t>
      </w:r>
      <w:r w:rsidRPr="0050146A">
        <w:rPr>
          <w:rStyle w:val="af6"/>
          <w:rFonts w:eastAsia="Guttman Hodes"/>
          <w:rtl/>
        </w:rPr>
        <w:t>לעיל ח: על רש"י ד"ה דוחקא</w:t>
      </w:r>
      <w:r w:rsidRPr="0050146A">
        <w:rPr>
          <w:rStyle w:val="af6"/>
          <w:rFonts w:eastAsia="Guttman Hodes" w:hint="cs"/>
          <w:rtl/>
        </w:rPr>
        <w:t>)</w:t>
      </w:r>
      <w:r w:rsidRPr="0050146A">
        <w:rPr>
          <w:rFonts w:hint="cs"/>
          <w:rtl/>
        </w:rPr>
        <w:t xml:space="preserve"> דכוונת </w:t>
      </w:r>
      <w:r w:rsidRPr="0050146A">
        <w:rPr>
          <w:rStyle w:val="af8"/>
          <w:rFonts w:hint="cs"/>
          <w:rtl/>
        </w:rPr>
        <w:t>הרשב"א</w:t>
      </w:r>
      <w:r w:rsidRPr="0050146A">
        <w:rPr>
          <w:rFonts w:hint="cs"/>
          <w:rtl/>
        </w:rPr>
        <w:t xml:space="preserve"> להקשות לפי שיטת </w:t>
      </w:r>
      <w:r w:rsidRPr="0050146A">
        <w:rPr>
          <w:rStyle w:val="af8"/>
          <w:rFonts w:hint="cs"/>
          <w:rtl/>
        </w:rPr>
        <w:t>רש"י</w:t>
      </w:r>
      <w:r w:rsidRPr="0050146A">
        <w:rPr>
          <w:rFonts w:hint="cs"/>
          <w:rtl/>
        </w:rPr>
        <w:t xml:space="preserve"> </w:t>
      </w:r>
      <w:r w:rsidRPr="0050146A">
        <w:rPr>
          <w:rStyle w:val="af6"/>
          <w:rFonts w:eastAsia="Guttman Hodes" w:hint="cs"/>
          <w:rtl/>
        </w:rPr>
        <w:t>(צח: ד"ה לטעם)</w:t>
      </w:r>
      <w:r w:rsidRPr="0050146A">
        <w:rPr>
          <w:rFonts w:hint="cs"/>
          <w:rtl/>
        </w:rPr>
        <w:t xml:space="preserve"> דס"ל דטעם כעיקר דרבנן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w:t>
      </w:r>
      <w:r w:rsidRPr="0050146A">
        <w:rPr>
          <w:rFonts w:hint="cs"/>
          <w:rtl/>
        </w:rPr>
        <w:t>, עיי"ש בדבריהם.</w:t>
      </w:r>
    </w:p>
    <w:p w:rsidR="00B2572D" w:rsidRPr="0050146A" w:rsidRDefault="00B2572D" w:rsidP="00B2572D">
      <w:pPr>
        <w:pStyle w:val="a2"/>
      </w:pPr>
      <w:bookmarkStart w:id="2913" w:name="_Toc9760888"/>
      <w:r w:rsidRPr="0050146A">
        <w:rPr>
          <w:rFonts w:hint="cs"/>
          <w:rtl/>
        </w:rPr>
        <w:t>תירוץ הרשב"א דכיון שעיקר האיסור דאו' אף בספק בשיעור דרבנן אזלינן לחומרא</w:t>
      </w:r>
      <w:bookmarkEnd w:id="2913"/>
    </w:p>
    <w:p w:rsidR="002D7168" w:rsidRDefault="00B2572D" w:rsidP="009F44AF">
      <w:pPr>
        <w:pStyle w:val="a"/>
        <w:rPr>
          <w:rtl/>
        </w:rPr>
      </w:pPr>
      <w:r w:rsidRPr="0050146A">
        <w:rPr>
          <w:rFonts w:hint="cs"/>
          <w:rtl/>
        </w:rPr>
        <w:t xml:space="preserve">ותירץ </w:t>
      </w:r>
      <w:r w:rsidRPr="0050146A">
        <w:rPr>
          <w:rStyle w:val="af8"/>
          <w:rFonts w:hint="cs"/>
          <w:rtl/>
        </w:rPr>
        <w:t>הרשב"א</w:t>
      </w:r>
      <w:r w:rsidRPr="0050146A">
        <w:rPr>
          <w:rFonts w:hint="cs"/>
          <w:rtl/>
        </w:rPr>
        <w:t xml:space="preserve"> דכיון שעיקר האיסור הוא מדאו', לכן בספק בשיעור שלו אזלינן לחומרא, ועי' במה שביאר </w:t>
      </w:r>
      <w:r w:rsidRPr="0050146A">
        <w:rPr>
          <w:rStyle w:val="af8"/>
          <w:rFonts w:hint="cs"/>
          <w:rtl/>
        </w:rPr>
        <w:t>הרשב"א בתשו'</w:t>
      </w:r>
      <w:r w:rsidRPr="0050146A">
        <w:rPr>
          <w:rFonts w:hint="cs"/>
          <w:rtl/>
        </w:rPr>
        <w:t xml:space="preserve"> </w:t>
      </w:r>
      <w:r w:rsidRPr="0050146A">
        <w:rPr>
          <w:rStyle w:val="af8"/>
          <w:rFonts w:hint="cs"/>
          <w:rtl/>
        </w:rPr>
        <w:t>ובמשה"ב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Ref9439771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בדעת </w:t>
      </w:r>
      <w:r w:rsidRPr="0050146A">
        <w:rPr>
          <w:rStyle w:val="af8"/>
          <w:rFonts w:hint="cs"/>
          <w:rtl/>
        </w:rPr>
        <w:t>רש"י</w:t>
      </w:r>
      <w:r w:rsidRPr="0050146A">
        <w:rPr>
          <w:rFonts w:hint="cs"/>
          <w:rtl/>
        </w:rPr>
        <w:t>.</w:t>
      </w:r>
    </w:p>
    <w:p w:rsidR="00B2572D" w:rsidRPr="0050146A" w:rsidRDefault="00B2572D" w:rsidP="00B2572D">
      <w:pPr>
        <w:pStyle w:val="1"/>
        <w:rPr>
          <w:rtl/>
        </w:rPr>
      </w:pPr>
      <w:bookmarkStart w:id="2914" w:name="_Toc9501146"/>
      <w:bookmarkStart w:id="2915" w:name="_Toc9542845"/>
      <w:bookmarkStart w:id="2916" w:name="_Toc9544949"/>
      <w:bookmarkStart w:id="2917" w:name="_Toc9591663"/>
      <w:bookmarkStart w:id="2918" w:name="_Toc9760889"/>
      <w:r w:rsidRPr="0050146A">
        <w:rPr>
          <w:rFonts w:hint="cs"/>
          <w:rtl/>
        </w:rPr>
        <w:t>גירסת הרשב"א והר"ן ברש"י דלא ידוע כמה היה האיסור</w:t>
      </w:r>
      <w:bookmarkEnd w:id="2914"/>
      <w:bookmarkEnd w:id="2915"/>
      <w:bookmarkEnd w:id="2916"/>
      <w:bookmarkEnd w:id="2917"/>
      <w:bookmarkEnd w:id="2918"/>
    </w:p>
    <w:p w:rsidR="00B2572D" w:rsidRPr="0050146A" w:rsidRDefault="00B2572D" w:rsidP="00B2572D">
      <w:pPr>
        <w:pStyle w:val="a2"/>
        <w:rPr>
          <w:rtl/>
        </w:rPr>
      </w:pPr>
      <w:bookmarkStart w:id="2919" w:name="_Toc9501147"/>
      <w:bookmarkStart w:id="2920" w:name="_Toc9542846"/>
      <w:bookmarkStart w:id="2921" w:name="_Toc9544950"/>
      <w:bookmarkStart w:id="2922" w:name="_Toc9591664"/>
      <w:bookmarkStart w:id="2923" w:name="_Toc9760890"/>
      <w:r w:rsidRPr="0050146A">
        <w:rPr>
          <w:rFonts w:hint="cs"/>
          <w:rtl/>
        </w:rPr>
        <w:t>גירסת הרשב"א והר"ן ברש"י דלא ידוע כמה היה באיסור בשעת נפילה</w:t>
      </w:r>
      <w:bookmarkEnd w:id="2919"/>
      <w:bookmarkEnd w:id="2920"/>
      <w:bookmarkEnd w:id="2921"/>
      <w:bookmarkEnd w:id="2922"/>
      <w:bookmarkEnd w:id="2923"/>
    </w:p>
    <w:p w:rsidR="00B2572D" w:rsidRPr="0050146A" w:rsidRDefault="00B2572D" w:rsidP="009F44AF">
      <w:pPr>
        <w:pStyle w:val="a"/>
        <w:rPr>
          <w:rtl/>
        </w:rPr>
      </w:pPr>
      <w:bookmarkStart w:id="2924" w:name="_Ref9439894"/>
      <w:bookmarkStart w:id="2925" w:name="_Ref9327219"/>
      <w:r w:rsidRPr="0050146A">
        <w:rPr>
          <w:rFonts w:hint="cs"/>
          <w:rtl/>
        </w:rPr>
        <w:t xml:space="preserve">וכתב </w:t>
      </w:r>
      <w:r w:rsidRPr="0050146A">
        <w:rPr>
          <w:rStyle w:val="af8"/>
          <w:rFonts w:hint="cs"/>
          <w:rtl/>
        </w:rPr>
        <w:t>הר"ן על הרי"ף</w:t>
      </w:r>
      <w:r w:rsidRPr="0050146A">
        <w:rPr>
          <w:rFonts w:hint="cs"/>
          <w:rtl/>
        </w:rPr>
        <w:t xml:space="preserve"> </w:t>
      </w:r>
      <w:r w:rsidRPr="0050146A">
        <w:rPr>
          <w:rStyle w:val="af6"/>
          <w:rFonts w:eastAsia="Guttman Hodes" w:hint="cs"/>
          <w:rtl/>
        </w:rPr>
        <w:t>(לד: מדפי הרי"ף ד"ה א"ר חנינא)</w:t>
      </w:r>
      <w:r w:rsidRPr="0050146A">
        <w:rPr>
          <w:rFonts w:hint="cs"/>
          <w:rtl/>
        </w:rPr>
        <w:t xml:space="preserve"> דנראה שיש ט"ס בדברי </w:t>
      </w:r>
      <w:r w:rsidRPr="0050146A">
        <w:rPr>
          <w:rStyle w:val="af8"/>
          <w:rFonts w:hint="cs"/>
          <w:rtl/>
        </w:rPr>
        <w:t>רש"י</w:t>
      </w:r>
      <w:r w:rsidRPr="0050146A">
        <w:rPr>
          <w:rFonts w:hint="cs"/>
          <w:rtl/>
        </w:rPr>
        <w:t xml:space="preserve">, וצריך לגרוס </w:t>
      </w:r>
      <w:r w:rsidRPr="0050146A">
        <w:rPr>
          <w:rStyle w:val="af8"/>
          <w:rFonts w:hint="cs"/>
          <w:rtl/>
        </w:rPr>
        <w:t>ברש"י</w:t>
      </w:r>
      <w:r w:rsidRPr="0050146A">
        <w:rPr>
          <w:rFonts w:hint="cs"/>
          <w:rtl/>
        </w:rPr>
        <w:t xml:space="preserve"> שלא ראינו כמה היה האיסור בשעת נפילתו, וכתבו </w:t>
      </w:r>
      <w:r w:rsidRPr="0050146A">
        <w:rPr>
          <w:rStyle w:val="af8"/>
          <w:rFonts w:hint="cs"/>
          <w:rtl/>
        </w:rPr>
        <w:t xml:space="preserve">הב"ח </w:t>
      </w:r>
      <w:r w:rsidRPr="0050146A">
        <w:rPr>
          <w:rStyle w:val="af6"/>
          <w:rFonts w:eastAsia="Guttman Hodes" w:hint="cs"/>
          <w:rtl/>
        </w:rPr>
        <w:t xml:space="preserve">(בהג' הב"ח על הר"ן לד: מדפי הרי"ף אות ד', מהדו' "עוז והדר" אות ו') </w:t>
      </w:r>
      <w:r w:rsidRPr="0050146A">
        <w:rPr>
          <w:rStyle w:val="af8"/>
          <w:rFonts w:hint="cs"/>
          <w:rtl/>
        </w:rPr>
        <w:t>והראש יוסף</w:t>
      </w:r>
      <w:r w:rsidRPr="0050146A">
        <w:rPr>
          <w:rFonts w:hint="cs"/>
          <w:rtl/>
        </w:rPr>
        <w:t xml:space="preserve"> </w:t>
      </w:r>
      <w:r w:rsidRPr="0050146A">
        <w:rPr>
          <w:rStyle w:val="af6"/>
          <w:rFonts w:eastAsia="Guttman Hodes" w:hint="cs"/>
          <w:rtl/>
        </w:rPr>
        <w:t>(ד"ה אבל הרשב"א)</w:t>
      </w:r>
      <w:r w:rsidRPr="0050146A">
        <w:rPr>
          <w:rFonts w:hint="cs"/>
          <w:rtl/>
        </w:rPr>
        <w:t xml:space="preserve"> דכן מבואר בדברי </w:t>
      </w:r>
      <w:r w:rsidRPr="0050146A">
        <w:rPr>
          <w:rStyle w:val="af8"/>
          <w:rFonts w:hint="cs"/>
          <w:rtl/>
        </w:rPr>
        <w:t>הרשב"א</w:t>
      </w:r>
      <w:r w:rsidRPr="0050146A">
        <w:rPr>
          <w:rFonts w:hint="cs"/>
          <w:rtl/>
        </w:rPr>
        <w:t xml:space="preserve"> </w:t>
      </w:r>
      <w:r w:rsidRPr="0050146A">
        <w:rPr>
          <w:rStyle w:val="af6"/>
          <w:rFonts w:eastAsia="Guttman Hodes" w:hint="cs"/>
          <w:rtl/>
        </w:rPr>
        <w:t>(ד"ה ובקדירה)</w:t>
      </w:r>
      <w:r w:rsidRPr="0050146A">
        <w:rPr>
          <w:rFonts w:hint="cs"/>
          <w:rtl/>
        </w:rPr>
        <w:t xml:space="preserve"> </w:t>
      </w:r>
      <w:r w:rsidRPr="0050146A">
        <w:rPr>
          <w:rFonts w:hint="cs"/>
          <w:rtl/>
        </w:rPr>
        <w:t xml:space="preserve">דהעתיק את דברי </w:t>
      </w:r>
      <w:r w:rsidRPr="0050146A">
        <w:rPr>
          <w:rStyle w:val="af8"/>
          <w:rFonts w:hint="cs"/>
          <w:rtl/>
        </w:rPr>
        <w:t>רש"י</w:t>
      </w:r>
      <w:r w:rsidRPr="0050146A">
        <w:rPr>
          <w:rFonts w:hint="cs"/>
          <w:rtl/>
        </w:rPr>
        <w:t xml:space="preserve"> דלא ידוע כמה היה שיעור האיסור בשעה שנפל לקדירה, ומוכח </w:t>
      </w:r>
      <w:r w:rsidRPr="0050146A">
        <w:rPr>
          <w:rStyle w:val="af8"/>
          <w:rFonts w:hint="cs"/>
          <w:rtl/>
        </w:rPr>
        <w:t>דהרשב"א</w:t>
      </w:r>
      <w:r w:rsidRPr="0050146A">
        <w:rPr>
          <w:rFonts w:hint="cs"/>
          <w:rtl/>
        </w:rPr>
        <w:t xml:space="preserve"> לא גרס כגירסא </w:t>
      </w:r>
      <w:r w:rsidRPr="0050146A">
        <w:rPr>
          <w:rStyle w:val="af8"/>
          <w:rFonts w:hint="cs"/>
          <w:rtl/>
        </w:rPr>
        <w:t>ברש"י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Ref9267413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 xml:space="preserve"> לפנינו דידוע כמה היה האיסור בשעת הנפילה, והוסיף </w:t>
      </w:r>
      <w:r w:rsidRPr="0050146A">
        <w:rPr>
          <w:rStyle w:val="af8"/>
          <w:rFonts w:hint="cs"/>
          <w:rtl/>
        </w:rPr>
        <w:t>הב"ח</w:t>
      </w:r>
      <w:r w:rsidRPr="0050146A">
        <w:rPr>
          <w:rFonts w:hint="cs"/>
          <w:rtl/>
        </w:rPr>
        <w:t xml:space="preserve"> דכן מבואר בדברי </w:t>
      </w:r>
      <w:r w:rsidRPr="0050146A">
        <w:rPr>
          <w:rStyle w:val="af8"/>
          <w:rFonts w:hint="cs"/>
          <w:rtl/>
        </w:rPr>
        <w:t>רבינו ירוחם</w:t>
      </w:r>
      <w:r w:rsidRPr="0050146A">
        <w:rPr>
          <w:rStyle w:val="af0"/>
          <w:rtl/>
        </w:rPr>
        <w:footnoteReference w:id="9"/>
      </w:r>
      <w:r w:rsidRPr="0050146A">
        <w:rPr>
          <w:rFonts w:hint="cs"/>
          <w:rtl/>
        </w:rPr>
        <w:t xml:space="preserve"> </w:t>
      </w:r>
      <w:r w:rsidRPr="0050146A">
        <w:rPr>
          <w:rStyle w:val="af6"/>
          <w:rFonts w:eastAsia="Guttman Hodes" w:hint="cs"/>
          <w:rtl/>
        </w:rPr>
        <w:t>(נתיב כ"ו סי' כ"ט, הועתק בקובץ שיטות קמאי חולין ח"ג עמ' ב</w:t>
      </w:r>
      <w:r w:rsidRPr="0050146A">
        <w:rPr>
          <w:rStyle w:val="af6"/>
          <w:rFonts w:eastAsia="Guttman Hodes"/>
          <w:rtl/>
        </w:rPr>
        <w:t>' אלף ר</w:t>
      </w:r>
      <w:r w:rsidRPr="0050146A">
        <w:rPr>
          <w:rStyle w:val="af6"/>
          <w:rFonts w:eastAsia="Guttman Hodes" w:hint="cs"/>
          <w:rtl/>
        </w:rPr>
        <w:t>ט"</w:t>
      </w:r>
      <w:r w:rsidRPr="0050146A">
        <w:rPr>
          <w:rStyle w:val="af6"/>
          <w:rFonts w:eastAsia="Guttman Hodes"/>
          <w:rtl/>
        </w:rPr>
        <w:t>ו</w:t>
      </w:r>
      <w:r w:rsidRPr="0050146A">
        <w:rPr>
          <w:rStyle w:val="af6"/>
          <w:rFonts w:eastAsia="Guttman Hodes" w:hint="cs"/>
          <w:rtl/>
        </w:rPr>
        <w:t xml:space="preserve">) </w:t>
      </w:r>
      <w:r w:rsidRPr="0050146A">
        <w:rPr>
          <w:rStyle w:val="af8"/>
          <w:rFonts w:hint="cs"/>
          <w:rtl/>
        </w:rPr>
        <w:t>וספר התרומה</w:t>
      </w:r>
      <w:r w:rsidRPr="0050146A">
        <w:rPr>
          <w:rFonts w:hint="cs"/>
          <w:rtl/>
        </w:rPr>
        <w:t xml:space="preserve"> </w:t>
      </w:r>
      <w:r w:rsidRPr="0050146A">
        <w:rPr>
          <w:rStyle w:val="af6"/>
          <w:rFonts w:eastAsia="Guttman Hodes" w:hint="cs"/>
          <w:rtl/>
        </w:rPr>
        <w:t>(הל' איסור והיתר סי' מ"ח, הועתק בקובץ שיטות קמאי חולין ח"ג עמ' ב</w:t>
      </w:r>
      <w:r w:rsidRPr="0050146A">
        <w:rPr>
          <w:rStyle w:val="af6"/>
          <w:rFonts w:eastAsia="Guttman Hodes"/>
          <w:rtl/>
        </w:rPr>
        <w:t xml:space="preserve">' אלף </w:t>
      </w:r>
      <w:r w:rsidRPr="0050146A">
        <w:rPr>
          <w:rStyle w:val="af6"/>
          <w:rFonts w:eastAsia="Guttman Hodes" w:hint="cs"/>
          <w:rtl/>
        </w:rPr>
        <w:t>קע"</w:t>
      </w:r>
      <w:r w:rsidRPr="0050146A">
        <w:rPr>
          <w:rStyle w:val="af6"/>
          <w:rFonts w:eastAsia="Guttman Hodes"/>
          <w:rtl/>
        </w:rPr>
        <w:t>ו</w:t>
      </w:r>
      <w:r w:rsidRPr="0050146A">
        <w:rPr>
          <w:rStyle w:val="af6"/>
          <w:rFonts w:eastAsia="Guttman Hodes" w:hint="cs"/>
          <w:rtl/>
        </w:rPr>
        <w:t>)</w:t>
      </w:r>
      <w:r w:rsidRPr="0050146A">
        <w:rPr>
          <w:rFonts w:hint="cs"/>
          <w:rtl/>
        </w:rPr>
        <w:t>.</w:t>
      </w:r>
      <w:bookmarkEnd w:id="2924"/>
      <w:r w:rsidRPr="0050146A">
        <w:rPr>
          <w:rFonts w:hint="cs"/>
          <w:rtl/>
        </w:rPr>
        <w:t xml:space="preserve"> </w:t>
      </w:r>
    </w:p>
    <w:p w:rsidR="00B2572D" w:rsidRPr="0050146A" w:rsidRDefault="00B2572D" w:rsidP="00B2572D">
      <w:pPr>
        <w:pStyle w:val="a2"/>
      </w:pPr>
      <w:bookmarkStart w:id="2926" w:name="_Toc9760891"/>
      <w:bookmarkEnd w:id="2925"/>
      <w:r w:rsidRPr="0050146A">
        <w:rPr>
          <w:rFonts w:hint="cs"/>
          <w:rtl/>
        </w:rPr>
        <w:t>דברי הר"ן דמדדחה רש"י את הל"ב מוכח דהגירסא ברש"י שלא ידוע כמה היה האיסור כשנפל</w:t>
      </w:r>
      <w:bookmarkEnd w:id="2926"/>
    </w:p>
    <w:p w:rsidR="00B2572D" w:rsidRPr="0050146A" w:rsidRDefault="00B2572D" w:rsidP="009F44AF">
      <w:pPr>
        <w:pStyle w:val="a"/>
        <w:rPr>
          <w:rtl/>
        </w:rPr>
      </w:pPr>
      <w:bookmarkStart w:id="2927" w:name="_Ref9280785"/>
      <w:r w:rsidRPr="0050146A">
        <w:rPr>
          <w:rFonts w:hint="cs"/>
          <w:rtl/>
        </w:rPr>
        <w:t xml:space="preserve">וביאר </w:t>
      </w:r>
      <w:r w:rsidRPr="0050146A">
        <w:rPr>
          <w:rStyle w:val="af8"/>
          <w:rFonts w:hint="cs"/>
          <w:rtl/>
        </w:rPr>
        <w:t>הר"ן על הרי"ף</w:t>
      </w:r>
      <w:r w:rsidRPr="0050146A">
        <w:rPr>
          <w:rFonts w:hint="cs"/>
          <w:rtl/>
        </w:rPr>
        <w:t xml:space="preserve"> דכן מבואר מהא דדחה </w:t>
      </w:r>
      <w:r w:rsidRPr="0050146A">
        <w:rPr>
          <w:rStyle w:val="af8"/>
          <w:rFonts w:hint="cs"/>
          <w:rtl/>
        </w:rPr>
        <w:t>רש"י</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Ref9269900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Fonts w:hint="cs"/>
          <w:rtl/>
        </w:rPr>
        <w:t xml:space="preserve"> את הל"ב מחמת הסברא דאף האיסור נבלע, א"כ מוכח דלא ידוע כמה היה האיסור בשעת נפילה, ולכן א"א לומר כל"ב דמשערים במה שבלעה הקדירה, דהא אפש"ל דכמו שההיתר נתמעט בבישול, אף האיסור נתמעט בבישול.</w:t>
      </w:r>
      <w:bookmarkEnd w:id="2927"/>
    </w:p>
    <w:p w:rsidR="00B2572D" w:rsidRPr="0050146A" w:rsidRDefault="00B2572D" w:rsidP="00B2572D">
      <w:pPr>
        <w:pStyle w:val="a2"/>
        <w:rPr>
          <w:rtl/>
        </w:rPr>
      </w:pPr>
      <w:bookmarkStart w:id="2928" w:name="_Toc9760892"/>
      <w:r w:rsidRPr="0050146A">
        <w:rPr>
          <w:rFonts w:hint="cs"/>
          <w:rtl/>
        </w:rPr>
        <w:t>דברי הרשב"א והר"ן דבמקום שידוע כמה היה בשעת נפילה מודה רש"י דמשערים בהיתר הבלוע</w:t>
      </w:r>
      <w:bookmarkEnd w:id="2928"/>
    </w:p>
    <w:p w:rsidR="00B2572D" w:rsidRPr="0050146A" w:rsidRDefault="00B2572D" w:rsidP="009F44AF">
      <w:pPr>
        <w:pStyle w:val="a"/>
        <w:rPr>
          <w:rtl/>
        </w:rPr>
      </w:pPr>
      <w:bookmarkStart w:id="2929" w:name="_Ref9283312"/>
      <w:r w:rsidRPr="0050146A">
        <w:rPr>
          <w:rFonts w:hint="cs"/>
          <w:rtl/>
        </w:rPr>
        <w:t xml:space="preserve">אך כתבו </w:t>
      </w:r>
      <w:r w:rsidRPr="0050146A">
        <w:rPr>
          <w:rStyle w:val="af8"/>
          <w:rFonts w:hint="cs"/>
          <w:rtl/>
        </w:rPr>
        <w:t>הרשב"א</w:t>
      </w:r>
      <w:r w:rsidRPr="0050146A">
        <w:rPr>
          <w:rFonts w:hint="cs"/>
          <w:rtl/>
        </w:rPr>
        <w:t xml:space="preserve"> </w:t>
      </w:r>
      <w:r w:rsidRPr="0050146A">
        <w:rPr>
          <w:rStyle w:val="af8"/>
          <w:rFonts w:hint="cs"/>
          <w:rtl/>
        </w:rPr>
        <w:t>בחי'</w:t>
      </w:r>
      <w:r w:rsidRPr="0050146A">
        <w:rPr>
          <w:rFonts w:hint="cs"/>
          <w:rtl/>
        </w:rPr>
        <w:t xml:space="preserve"> </w:t>
      </w:r>
      <w:r w:rsidRPr="0050146A">
        <w:rPr>
          <w:rStyle w:val="af6"/>
          <w:rFonts w:eastAsia="Guttman Hodes" w:hint="cs"/>
          <w:rtl/>
        </w:rPr>
        <w:t>(ד"ה ובקדירה)</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(ב"ד ש"א ה: מדה"ס)</w:t>
      </w:r>
      <w:r w:rsidRPr="0050146A">
        <w:rPr>
          <w:rFonts w:hint="cs"/>
          <w:rtl/>
        </w:rPr>
        <w:t xml:space="preserve"> </w:t>
      </w:r>
      <w:r w:rsidRPr="0050146A">
        <w:rPr>
          <w:rStyle w:val="af8"/>
          <w:rFonts w:hint="cs"/>
          <w:rtl/>
        </w:rPr>
        <w:t>והר"ן על הרי"ף</w:t>
      </w:r>
      <w:r w:rsidRPr="0050146A">
        <w:rPr>
          <w:rFonts w:hint="cs"/>
          <w:rtl/>
        </w:rPr>
        <w:t xml:space="preserve"> דמשמע דאף </w:t>
      </w:r>
      <w:r w:rsidRPr="0050146A">
        <w:rPr>
          <w:rStyle w:val="af8"/>
          <w:rFonts w:hint="cs"/>
          <w:rtl/>
        </w:rPr>
        <w:t>רש"י</w:t>
      </w:r>
      <w:r w:rsidRPr="0050146A">
        <w:rPr>
          <w:rFonts w:hint="cs"/>
          <w:rtl/>
        </w:rPr>
        <w:t xml:space="preserve"> מודה דבמקום שראינו את האיסור בשעה שנפל להיתר, ואנו יודעים שהוא נתמעט פחות ממה שההיתר נתמעט, דבכה"ג מצרפים את ההיתר ואת האיסור שנבלעו בקדירה, ומשערים לפי שעת נפילת האיסור, והביא </w:t>
      </w:r>
      <w:r w:rsidRPr="0050146A">
        <w:rPr>
          <w:rStyle w:val="af8"/>
          <w:rFonts w:hint="cs"/>
          <w:rtl/>
        </w:rPr>
        <w:t>הרשב"א</w:t>
      </w:r>
      <w:r w:rsidRPr="0050146A">
        <w:rPr>
          <w:rFonts w:hint="cs"/>
          <w:rtl/>
        </w:rPr>
        <w:t xml:space="preserve"> בשם </w:t>
      </w:r>
      <w:r w:rsidRPr="0050146A">
        <w:rPr>
          <w:rStyle w:val="af8"/>
          <w:rFonts w:hint="cs"/>
          <w:rtl/>
        </w:rPr>
        <w:t>י"א</w:t>
      </w:r>
      <w:r w:rsidRPr="0050146A">
        <w:rPr>
          <w:rFonts w:hint="cs"/>
          <w:rtl/>
        </w:rPr>
        <w:t xml:space="preserve"> דפירשו כן את הל"ב, </w:t>
      </w:r>
      <w:r w:rsidRPr="0050146A">
        <w:rPr>
          <w:rStyle w:val="afa"/>
          <w:rFonts w:hint="cs"/>
          <w:rtl/>
        </w:rPr>
        <w:t xml:space="preserve">[אמנם יעוי' בדברי </w:t>
      </w:r>
      <w:r w:rsidRPr="0050146A">
        <w:rPr>
          <w:rStyle w:val="affa"/>
          <w:rFonts w:hint="cs"/>
          <w:rtl/>
        </w:rPr>
        <w:t xml:space="preserve">הב"ח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Ref9753068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מד)</w:t>
      </w:r>
      <w:r w:rsidRPr="0050146A">
        <w:rPr>
          <w:rStyle w:val="aff6"/>
          <w:rtl/>
        </w:rPr>
        <w:fldChar w:fldCharType="end"/>
      </w:r>
      <w:r w:rsidRPr="0050146A">
        <w:rPr>
          <w:rStyle w:val="affa"/>
          <w:rFonts w:hint="cs"/>
          <w:rtl/>
        </w:rPr>
        <w:t xml:space="preserve"> והראש יוסף</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Ref9505449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נג)</w:t>
      </w:r>
      <w:r w:rsidRPr="0050146A">
        <w:rPr>
          <w:rStyle w:val="aff6"/>
          <w:rtl/>
        </w:rPr>
        <w:fldChar w:fldCharType="end"/>
      </w:r>
      <w:r w:rsidRPr="0050146A">
        <w:rPr>
          <w:rStyle w:val="afa"/>
          <w:rFonts w:hint="cs"/>
          <w:rtl/>
        </w:rPr>
        <w:t xml:space="preserve"> דכתבו דלפי הגירסא </w:t>
      </w:r>
      <w:r w:rsidRPr="0050146A">
        <w:rPr>
          <w:rStyle w:val="affa"/>
          <w:rFonts w:hint="cs"/>
          <w:rtl/>
        </w:rPr>
        <w:t>ברש"י</w:t>
      </w:r>
      <w:r w:rsidRPr="0050146A">
        <w:rPr>
          <w:rStyle w:val="afa"/>
          <w:rFonts w:hint="cs"/>
          <w:rtl/>
        </w:rPr>
        <w:t xml:space="preserve"> לפנינו, ס"ל </w:t>
      </w:r>
      <w:r w:rsidRPr="0050146A">
        <w:rPr>
          <w:rStyle w:val="affa"/>
          <w:rFonts w:hint="cs"/>
          <w:rtl/>
        </w:rPr>
        <w:t>לרש"י</w:t>
      </w:r>
      <w:r w:rsidRPr="0050146A">
        <w:rPr>
          <w:rStyle w:val="afa"/>
          <w:rFonts w:hint="cs"/>
          <w:rtl/>
        </w:rPr>
        <w:t xml:space="preserve"> דאם עכשיו אין שישים, ל"מ שהיה שישים בשעת הנפילה],</w:t>
      </w:r>
      <w:r w:rsidRPr="0050146A">
        <w:rPr>
          <w:rFonts w:hint="cs"/>
          <w:rtl/>
        </w:rPr>
        <w:t xml:space="preserve"> ועי' במה שהקשו </w:t>
      </w:r>
      <w:r w:rsidRPr="0050146A">
        <w:rPr>
          <w:rStyle w:val="af8"/>
          <w:rFonts w:hint="cs"/>
          <w:rtl/>
        </w:rPr>
        <w:t>הרמב"ן והרשב"א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Ref9716388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50146A">
        <w:rPr>
          <w:rStyle w:val="af6"/>
          <w:rFonts w:eastAsia="Guttman Hodes"/>
          <w:rtl/>
        </w:rPr>
        <w:fldChar w:fldCharType="end"/>
      </w:r>
      <w:r w:rsidRPr="0050146A">
        <w:rPr>
          <w:rFonts w:hint="cs"/>
          <w:rtl/>
        </w:rPr>
        <w:t xml:space="preserve"> על דברי </w:t>
      </w:r>
      <w:r w:rsidRPr="0050146A">
        <w:rPr>
          <w:rStyle w:val="af8"/>
          <w:rFonts w:hint="cs"/>
          <w:rtl/>
        </w:rPr>
        <w:t>רש"י</w:t>
      </w:r>
      <w:r w:rsidRPr="0050146A">
        <w:rPr>
          <w:rFonts w:hint="cs"/>
          <w:rtl/>
        </w:rPr>
        <w:t xml:space="preserve">, ובמה שביאר </w:t>
      </w:r>
      <w:r w:rsidRPr="0050146A">
        <w:rPr>
          <w:rStyle w:val="af8"/>
          <w:rFonts w:hint="cs"/>
          <w:rtl/>
        </w:rPr>
        <w:t>הרשב"א בתשו' ובמשה"ב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Ref9440445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50146A">
        <w:rPr>
          <w:rStyle w:val="af6"/>
          <w:rFonts w:eastAsia="Guttman Hodes"/>
          <w:rtl/>
        </w:rPr>
        <w:fldChar w:fldCharType="end"/>
      </w:r>
      <w:r w:rsidRPr="0050146A">
        <w:rPr>
          <w:rFonts w:hint="cs"/>
          <w:rtl/>
        </w:rPr>
        <w:t xml:space="preserve"> את דברי </w:t>
      </w:r>
      <w:r w:rsidRPr="0050146A">
        <w:rPr>
          <w:rStyle w:val="af8"/>
          <w:rFonts w:hint="cs"/>
          <w:rtl/>
        </w:rPr>
        <w:t>רש"י</w:t>
      </w:r>
      <w:r w:rsidRPr="0050146A">
        <w:rPr>
          <w:rFonts w:hint="cs"/>
          <w:rtl/>
        </w:rPr>
        <w:t>.</w:t>
      </w:r>
      <w:bookmarkEnd w:id="2929"/>
    </w:p>
    <w:p w:rsidR="00B2572D" w:rsidRPr="0050146A" w:rsidRDefault="00B2572D" w:rsidP="00B2572D">
      <w:pPr>
        <w:pStyle w:val="a2"/>
        <w:rPr>
          <w:rtl/>
        </w:rPr>
      </w:pPr>
      <w:bookmarkStart w:id="2930" w:name="_Toc9760893"/>
      <w:r w:rsidRPr="0050146A">
        <w:rPr>
          <w:rFonts w:hint="cs"/>
          <w:rtl/>
        </w:rPr>
        <w:t>ביאור הב"ח בר"ן דבין אם האיסור נתמעט מעט ובין בלא נתמעט אם היה שישים בתחילה מותר</w:t>
      </w:r>
      <w:bookmarkEnd w:id="2930"/>
    </w:p>
    <w:p w:rsidR="00B2572D" w:rsidRPr="0050146A" w:rsidRDefault="00B2572D" w:rsidP="009F44AF">
      <w:pPr>
        <w:pStyle w:val="a"/>
        <w:rPr>
          <w:rtl/>
        </w:rPr>
      </w:pPr>
      <w:bookmarkStart w:id="2931" w:name="_Toc9501148"/>
      <w:r w:rsidRPr="0050146A">
        <w:rPr>
          <w:rFonts w:hint="cs"/>
          <w:rtl/>
        </w:rPr>
        <w:t xml:space="preserve">וביאר </w:t>
      </w:r>
      <w:r w:rsidRPr="0050146A">
        <w:rPr>
          <w:rStyle w:val="af8"/>
          <w:rFonts w:hint="cs"/>
          <w:rtl/>
        </w:rPr>
        <w:t xml:space="preserve">הב"ח </w:t>
      </w:r>
      <w:r w:rsidRPr="0050146A">
        <w:rPr>
          <w:rStyle w:val="af6"/>
          <w:rFonts w:eastAsia="Guttman Hodes" w:hint="cs"/>
          <w:rtl/>
        </w:rPr>
        <w:t xml:space="preserve">(סי' צ"ט ג', ובהג' הב"ח על הר"ן לד: מדפי הרי"ף אות ה', מהדו' "עוז והדר" אות ז') </w:t>
      </w:r>
      <w:r w:rsidRPr="0050146A">
        <w:rPr>
          <w:rFonts w:hint="cs"/>
          <w:rtl/>
        </w:rPr>
        <w:t xml:space="preserve">דכוונת </w:t>
      </w:r>
      <w:r w:rsidRPr="0050146A">
        <w:rPr>
          <w:rStyle w:val="af8"/>
          <w:rFonts w:hint="cs"/>
          <w:rtl/>
        </w:rPr>
        <w:t>הר"ן</w:t>
      </w:r>
      <w:r w:rsidRPr="0050146A">
        <w:rPr>
          <w:rFonts w:hint="cs"/>
          <w:rtl/>
        </w:rPr>
        <w:t xml:space="preserve"> לומר דכיון שהאיסור לא נתמעט בשיעור שנתמעט ההיתר, אלא ההיתר נתמעט הרבה יותר מהאיסור, לכן אמרינן שיחד עם הבלוע בדופני הקדירה יש שישים כנגד האיסור, ואף שעכשיו אין שישים לפנינו, מ"מ אין האיסור חוזר ואוסר את ההיתר, וה"ה כשלא נתמעט האיסור כלום.</w:t>
      </w:r>
    </w:p>
    <w:p w:rsidR="00B2572D" w:rsidRPr="0050146A" w:rsidRDefault="00B2572D" w:rsidP="00B2572D">
      <w:pPr>
        <w:pStyle w:val="a2"/>
      </w:pPr>
      <w:bookmarkStart w:id="2932" w:name="_Toc9760894"/>
      <w:r w:rsidRPr="0050146A">
        <w:rPr>
          <w:rFonts w:hint="cs"/>
          <w:rtl/>
        </w:rPr>
        <w:t>דברי הב"ח דבמקום שההיתר והאיסור נתעמטו באותו השיעור א"כ מוכח שלא היה שישים מתחילה</w:t>
      </w:r>
      <w:bookmarkEnd w:id="2932"/>
      <w:r w:rsidRPr="0050146A">
        <w:rPr>
          <w:rFonts w:hint="cs"/>
          <w:rtl/>
        </w:rPr>
        <w:t xml:space="preserve"> </w:t>
      </w:r>
    </w:p>
    <w:p w:rsidR="00B2572D" w:rsidRPr="0050146A" w:rsidRDefault="00B2572D" w:rsidP="009F44AF">
      <w:pPr>
        <w:pStyle w:val="a"/>
        <w:rPr>
          <w:rtl/>
        </w:rPr>
      </w:pPr>
      <w:r w:rsidRPr="0050146A">
        <w:rPr>
          <w:rFonts w:hint="cs"/>
          <w:rtl/>
        </w:rPr>
        <w:t xml:space="preserve">אך כתב </w:t>
      </w:r>
      <w:r w:rsidRPr="0050146A">
        <w:rPr>
          <w:rStyle w:val="af8"/>
          <w:rFonts w:hint="cs"/>
          <w:rtl/>
        </w:rPr>
        <w:t>הב"ח</w:t>
      </w:r>
      <w:r w:rsidRPr="0050146A">
        <w:rPr>
          <w:rFonts w:hint="cs"/>
          <w:rtl/>
        </w:rPr>
        <w:t xml:space="preserve"> דבמקום שההיתר והאיסור נתמעטו באותו השיעור, א"א להתיר ולצרף את הבלוע בקדירה, דהא אף אם נצרף את הבלוע בקדירה, עדיין יהיה אסור, דכיון שלפנינו אין שישים בהיתר, א"כ אף בשעת הנפילה לא היה שישים בהיתר.</w:t>
      </w:r>
    </w:p>
    <w:p w:rsidR="00B2572D" w:rsidRPr="0050146A" w:rsidRDefault="00B2572D" w:rsidP="00B2572D">
      <w:pPr>
        <w:pStyle w:val="1"/>
        <w:rPr>
          <w:rtl/>
        </w:rPr>
      </w:pPr>
      <w:bookmarkStart w:id="2933" w:name="_Toc9760895"/>
      <w:bookmarkEnd w:id="2931"/>
      <w:r w:rsidRPr="0050146A">
        <w:rPr>
          <w:rFonts w:hint="cs"/>
          <w:rtl/>
        </w:rPr>
        <w:t>ביאור הב"ח בדברי הר"ן בדעת רש"י</w:t>
      </w:r>
      <w:bookmarkEnd w:id="2933"/>
    </w:p>
    <w:p w:rsidR="00B2572D" w:rsidRPr="0050146A" w:rsidRDefault="00B2572D" w:rsidP="00B2572D">
      <w:pPr>
        <w:pStyle w:val="a2"/>
        <w:rPr>
          <w:rtl/>
        </w:rPr>
      </w:pPr>
      <w:bookmarkStart w:id="2934" w:name="_Toc9760896"/>
      <w:r w:rsidRPr="0050146A">
        <w:rPr>
          <w:rFonts w:hint="cs"/>
          <w:rtl/>
        </w:rPr>
        <w:t>קושית הב"ח דאי לא ידוע כמה היה האיסור יתכן שהיה האיסור גדול ולא היה שישים כנגדו</w:t>
      </w:r>
      <w:bookmarkEnd w:id="2934"/>
    </w:p>
    <w:p w:rsidR="00B2572D" w:rsidRPr="0050146A" w:rsidRDefault="00B2572D" w:rsidP="009F44AF">
      <w:pPr>
        <w:pStyle w:val="a"/>
        <w:rPr>
          <w:rtl/>
        </w:rPr>
      </w:pPr>
      <w:r w:rsidRPr="0050146A">
        <w:rPr>
          <w:rFonts w:hint="cs"/>
          <w:rtl/>
        </w:rPr>
        <w:t xml:space="preserve">והק' </w:t>
      </w:r>
      <w:r w:rsidRPr="0050146A">
        <w:rPr>
          <w:rStyle w:val="af8"/>
          <w:rFonts w:hint="cs"/>
          <w:rtl/>
        </w:rPr>
        <w:t xml:space="preserve">הב"ח </w:t>
      </w:r>
      <w:r w:rsidRPr="0050146A">
        <w:rPr>
          <w:rStyle w:val="af6"/>
          <w:rFonts w:eastAsia="Guttman Hodes" w:hint="cs"/>
          <w:rtl/>
        </w:rPr>
        <w:t>(סי' צ"ט ג', ובהג' הב"ח על הר"ן לד: מדפי הרי"ף אות ד', מהדו' "עוז והדר" אות ו')</w:t>
      </w:r>
      <w:r w:rsidRPr="0050146A">
        <w:rPr>
          <w:rFonts w:hint="cs"/>
          <w:rtl/>
        </w:rPr>
        <w:t xml:space="preserve"> על גירסת </w:t>
      </w:r>
      <w:r w:rsidRPr="0050146A">
        <w:rPr>
          <w:rStyle w:val="af8"/>
          <w:rFonts w:hint="cs"/>
          <w:rtl/>
        </w:rPr>
        <w:t>הר"ן ברש"י</w:t>
      </w:r>
      <w:r w:rsidRPr="0050146A">
        <w:rPr>
          <w:rFonts w:hint="cs"/>
          <w:rtl/>
        </w:rPr>
        <w:t xml:space="preserve"> דאי איירי שלא ראינו את האיסור בשעת נפילה, א"כ היאך אפשר להקל ולשער את האיסור כפי שהוא עכשיו, ולומר שיש בהיתר בצירוף הבלוע שישים כנגדו, הא יתכן שבשעת הנפילה היה האיסור גדול יותר, והוא נימוח בתבשיל ונתן בו טעם, ואף שעכשיו יש שישים כנגדו, אולי בשעת הנפילה לא היה שישים כנגדו, וספק דאו' לחומרא.</w:t>
      </w:r>
    </w:p>
    <w:p w:rsidR="00B2572D" w:rsidRPr="0050146A" w:rsidRDefault="00B2572D" w:rsidP="00B2572D">
      <w:pPr>
        <w:pStyle w:val="a2"/>
        <w:rPr>
          <w:rtl/>
        </w:rPr>
      </w:pPr>
      <w:bookmarkStart w:id="2935" w:name="_Toc9501149"/>
      <w:bookmarkStart w:id="2936" w:name="_Toc9542848"/>
      <w:bookmarkStart w:id="2937" w:name="_Toc9544952"/>
      <w:bookmarkStart w:id="2938" w:name="_Toc9591666"/>
      <w:bookmarkStart w:id="2939" w:name="_Toc9760897"/>
      <w:r w:rsidRPr="0050146A">
        <w:rPr>
          <w:rFonts w:hint="cs"/>
          <w:rtl/>
        </w:rPr>
        <w:t xml:space="preserve">ביאור הב"ח והט"ז דכיון דלא איתחזק איסורא ועכשיו יש שישים </w:t>
      </w:r>
      <w:bookmarkEnd w:id="2935"/>
      <w:bookmarkEnd w:id="2936"/>
      <w:bookmarkEnd w:id="2937"/>
      <w:bookmarkEnd w:id="2938"/>
      <w:r w:rsidRPr="0050146A">
        <w:rPr>
          <w:rFonts w:hint="cs"/>
          <w:rtl/>
        </w:rPr>
        <w:t>לא חיישינן שמא לא היה שישים</w:t>
      </w:r>
      <w:bookmarkEnd w:id="2939"/>
    </w:p>
    <w:p w:rsidR="00B2572D" w:rsidRPr="0050146A" w:rsidRDefault="00B2572D" w:rsidP="009F44AF">
      <w:pPr>
        <w:pStyle w:val="a"/>
        <w:rPr>
          <w:rtl/>
        </w:rPr>
      </w:pPr>
      <w:r w:rsidRPr="0050146A">
        <w:rPr>
          <w:rFonts w:hint="cs"/>
          <w:rtl/>
        </w:rPr>
        <w:t xml:space="preserve">וכתב </w:t>
      </w:r>
      <w:r w:rsidRPr="0050146A">
        <w:rPr>
          <w:rStyle w:val="af8"/>
          <w:rFonts w:hint="cs"/>
          <w:rtl/>
        </w:rPr>
        <w:t xml:space="preserve">הב"ח </w:t>
      </w:r>
      <w:r w:rsidRPr="0050146A">
        <w:rPr>
          <w:rStyle w:val="af6"/>
          <w:rFonts w:eastAsia="Guttman Hodes" w:hint="cs"/>
          <w:rtl/>
        </w:rPr>
        <w:t xml:space="preserve">(סי' צ"ט ג') </w:t>
      </w:r>
      <w:r w:rsidRPr="0050146A">
        <w:rPr>
          <w:rFonts w:hint="cs"/>
          <w:rtl/>
        </w:rPr>
        <w:t xml:space="preserve">דאפש"ל דכיון שלא ידוע שבשעת הנפילה היה האיסור גדול, ולא איתחזק איסורא, לכן תלינן דכמו שעכשיו יש שישים בהיתר, כך היה בשעת הנפילה, וכ"כ </w:t>
      </w:r>
      <w:r w:rsidRPr="0050146A">
        <w:rPr>
          <w:rStyle w:val="af8"/>
          <w:rFonts w:hint="cs"/>
          <w:rtl/>
        </w:rPr>
        <w:t>הט"ז</w:t>
      </w:r>
      <w:r w:rsidRPr="0050146A">
        <w:rPr>
          <w:rFonts w:hint="cs"/>
          <w:rtl/>
        </w:rPr>
        <w:t xml:space="preserve"> </w:t>
      </w:r>
      <w:r w:rsidRPr="0050146A">
        <w:rPr>
          <w:rStyle w:val="af6"/>
          <w:rFonts w:eastAsia="Guttman Hodes" w:hint="cs"/>
          <w:rtl/>
        </w:rPr>
        <w:t>(סי' צ"ט סק"ה)</w:t>
      </w:r>
      <w:r w:rsidRPr="0050146A">
        <w:rPr>
          <w:rFonts w:hint="cs"/>
          <w:rtl/>
        </w:rPr>
        <w:t xml:space="preserve"> דכיון שעכשיו יש שישים ואין ריעותא לפנינו, אחזוקי איסורא לא מחזיקינן, ואמרינן כמו שנמצא לפנינו כך היה מתחילה.</w:t>
      </w:r>
    </w:p>
    <w:p w:rsidR="00B2572D" w:rsidRPr="0050146A" w:rsidRDefault="00B2572D" w:rsidP="00B2572D">
      <w:pPr>
        <w:pStyle w:val="a2"/>
      </w:pPr>
      <w:bookmarkStart w:id="2940" w:name="_Toc9760898"/>
      <w:r w:rsidRPr="0050146A">
        <w:rPr>
          <w:rFonts w:hint="cs"/>
          <w:rtl/>
        </w:rPr>
        <w:lastRenderedPageBreak/>
        <w:t>דברי הב"ח דיותר מסתבר שהרוטב התמעט בבישול מאשר שהאיסור הצטמק</w:t>
      </w:r>
      <w:bookmarkEnd w:id="2940"/>
    </w:p>
    <w:p w:rsidR="00B2572D" w:rsidRPr="0050146A" w:rsidRDefault="00B2572D" w:rsidP="009F44AF">
      <w:pPr>
        <w:pStyle w:val="a"/>
        <w:rPr>
          <w:rtl/>
        </w:rPr>
      </w:pPr>
      <w:r w:rsidRPr="0050146A">
        <w:rPr>
          <w:rFonts w:hint="cs"/>
          <w:rtl/>
        </w:rPr>
        <w:t xml:space="preserve">והוסיף </w:t>
      </w:r>
      <w:r w:rsidRPr="0050146A">
        <w:rPr>
          <w:rStyle w:val="af8"/>
          <w:rFonts w:hint="cs"/>
          <w:rtl/>
        </w:rPr>
        <w:t xml:space="preserve">הב"ח </w:t>
      </w:r>
      <w:r w:rsidRPr="0050146A">
        <w:rPr>
          <w:rStyle w:val="af6"/>
          <w:rFonts w:eastAsia="Guttman Hodes" w:hint="cs"/>
          <w:rtl/>
        </w:rPr>
        <w:t>(סי' צ"ט ג', ובהג' הב"ח על הר"ן לד: מדפי הרי"ף אות ד', מהדו' "עוז והדר" אות ו')</w:t>
      </w:r>
      <w:r w:rsidRPr="0050146A">
        <w:rPr>
          <w:rFonts w:hint="cs"/>
          <w:rtl/>
        </w:rPr>
        <w:t xml:space="preserve"> דהוא סברא שלפני הבישול לא היה האיסור גדול יותר, דהדרך היא שהרוטב מתמעט יותר, ממה שמצטמקת חתיכת האיסור שהיא דבר יבש.</w:t>
      </w:r>
    </w:p>
    <w:p w:rsidR="00B2572D" w:rsidRPr="0050146A" w:rsidRDefault="00B2572D" w:rsidP="00E669F8">
      <w:pPr>
        <w:pStyle w:val="afd"/>
        <w:rPr>
          <w:rtl/>
        </w:rPr>
      </w:pPr>
      <w:bookmarkStart w:id="2941" w:name="_Toc9542847"/>
      <w:bookmarkStart w:id="2942" w:name="_Toc9544951"/>
      <w:bookmarkStart w:id="2943" w:name="_Toc9591665"/>
      <w:bookmarkStart w:id="2944" w:name="_Toc9760899"/>
      <w:r w:rsidRPr="0050146A">
        <w:rPr>
          <w:rFonts w:hint="cs"/>
          <w:rtl/>
        </w:rPr>
        <w:t>ביאורי האחרונים בגי' רש"י לפנינו בל"ב</w:t>
      </w:r>
    </w:p>
    <w:p w:rsidR="00B2572D" w:rsidRPr="0050146A" w:rsidRDefault="00B2572D" w:rsidP="00B2572D">
      <w:pPr>
        <w:pStyle w:val="1"/>
        <w:rPr>
          <w:rtl/>
        </w:rPr>
      </w:pPr>
      <w:r w:rsidRPr="0050146A">
        <w:rPr>
          <w:rFonts w:hint="cs"/>
          <w:rtl/>
        </w:rPr>
        <w:t xml:space="preserve">ביאור הב"ח </w:t>
      </w:r>
      <w:bookmarkEnd w:id="2941"/>
      <w:bookmarkEnd w:id="2942"/>
      <w:bookmarkEnd w:id="2943"/>
      <w:bookmarkEnd w:id="2944"/>
      <w:r w:rsidRPr="0050146A">
        <w:rPr>
          <w:rFonts w:hint="cs"/>
          <w:rtl/>
        </w:rPr>
        <w:t>בדעת רש"י ובדברי הסמ"ג והרא"ש ברש"י</w:t>
      </w:r>
    </w:p>
    <w:p w:rsidR="00B2572D" w:rsidRPr="0050146A" w:rsidRDefault="00B2572D" w:rsidP="00B2572D">
      <w:pPr>
        <w:pStyle w:val="a2"/>
        <w:rPr>
          <w:rtl/>
        </w:rPr>
      </w:pPr>
      <w:bookmarkStart w:id="2945" w:name="_Toc9760900"/>
      <w:r w:rsidRPr="0050146A">
        <w:rPr>
          <w:rFonts w:hint="cs"/>
          <w:rtl/>
        </w:rPr>
        <w:t>דברי הב"ח דא"צ להגיה ברש"י ומ"ש רש"י דמשערים במה שלפנינו הוא במקום שידוע כמה האיסור</w:t>
      </w:r>
      <w:bookmarkEnd w:id="2945"/>
    </w:p>
    <w:p w:rsidR="00B2572D" w:rsidRPr="0050146A" w:rsidRDefault="00B2572D" w:rsidP="009F44AF">
      <w:pPr>
        <w:pStyle w:val="a"/>
        <w:rPr>
          <w:rtl/>
        </w:rPr>
      </w:pPr>
      <w:r w:rsidRPr="0050146A">
        <w:rPr>
          <w:rFonts w:hint="cs"/>
          <w:rtl/>
        </w:rPr>
        <w:t xml:space="preserve">וכתב </w:t>
      </w:r>
      <w:r w:rsidRPr="0050146A">
        <w:rPr>
          <w:rStyle w:val="af8"/>
          <w:rFonts w:hint="cs"/>
          <w:rtl/>
        </w:rPr>
        <w:t xml:space="preserve">הב"ח </w:t>
      </w:r>
      <w:r w:rsidRPr="0050146A">
        <w:rPr>
          <w:rStyle w:val="af6"/>
          <w:rFonts w:eastAsia="Guttman Hodes" w:hint="cs"/>
          <w:rtl/>
        </w:rPr>
        <w:t>(ובהג' הב"ח על הר"ן לד: מדפי הרי"ף אות ד', מהדו' "עוז והדר" אות ו')</w:t>
      </w:r>
      <w:r w:rsidRPr="0050146A">
        <w:rPr>
          <w:rFonts w:hint="cs"/>
          <w:rtl/>
        </w:rPr>
        <w:t xml:space="preserve"> דא"כ א"צ להגיה בדברי </w:t>
      </w:r>
      <w:r w:rsidRPr="0050146A">
        <w:rPr>
          <w:rStyle w:val="af8"/>
          <w:rFonts w:hint="cs"/>
          <w:rtl/>
        </w:rPr>
        <w:t>רש"י</w:t>
      </w:r>
      <w:r w:rsidRPr="0050146A">
        <w:rPr>
          <w:rFonts w:hint="cs"/>
          <w:rtl/>
        </w:rPr>
        <w:t xml:space="preserve">, ואפש"ל דמ"ש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Ref9350537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 xml:space="preserve"> בתחילת דבריו דאיירי שראינו שנפל, זהו ביאור רש"י בל"ב, ומ"ש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Ref9269900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Fonts w:hint="cs"/>
          <w:rtl/>
        </w:rPr>
        <w:t xml:space="preserve"> דמשערים בעיקר הדבר כמו שבא לפנינו, אין כוונתו לדחות את דברי הל"ב, </w:t>
      </w:r>
      <w:r w:rsidRPr="0050146A">
        <w:rPr>
          <w:rStyle w:val="afa"/>
          <w:rFonts w:hint="cs"/>
          <w:rtl/>
        </w:rPr>
        <w:t xml:space="preserve">[כדביארו </w:t>
      </w:r>
      <w:r w:rsidRPr="0050146A">
        <w:rPr>
          <w:rStyle w:val="affa"/>
          <w:rFonts w:hint="cs"/>
          <w:rtl/>
        </w:rPr>
        <w:t>הרשב"א והר"ן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Ref9352377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w:t>
      </w:r>
      <w:r w:rsidRPr="0050146A">
        <w:rPr>
          <w:rStyle w:val="aff6"/>
          <w:rtl/>
        </w:rPr>
        <w:fldChar w:fldCharType="end"/>
      </w:r>
      <w:r w:rsidRPr="0050146A">
        <w:rPr>
          <w:rStyle w:val="afa"/>
          <w:rFonts w:hint="cs"/>
          <w:rtl/>
        </w:rPr>
        <w:t>],</w:t>
      </w:r>
      <w:r w:rsidRPr="0050146A">
        <w:rPr>
          <w:rFonts w:hint="cs"/>
          <w:rtl/>
        </w:rPr>
        <w:t xml:space="preserve"> אלא כוונת </w:t>
      </w:r>
      <w:r w:rsidRPr="0050146A">
        <w:rPr>
          <w:rStyle w:val="af8"/>
          <w:rFonts w:hint="cs"/>
          <w:rtl/>
        </w:rPr>
        <w:t>רש"י</w:t>
      </w:r>
      <w:r w:rsidRPr="0050146A">
        <w:rPr>
          <w:rFonts w:hint="cs"/>
          <w:rtl/>
        </w:rPr>
        <w:t xml:space="preserve"> לומר דין להלכה, דבמקום שלא ראינו את האיסור שנפל, לא משערים במה שנבלע, כיון שגם ההיתר וגם האיסור נבלעו, וא"כ </w:t>
      </w:r>
      <w:r w:rsidRPr="0050146A">
        <w:rPr>
          <w:rStyle w:val="af8"/>
          <w:rFonts w:hint="cs"/>
          <w:rtl/>
        </w:rPr>
        <w:t>רש"י</w:t>
      </w:r>
      <w:r w:rsidRPr="0050146A">
        <w:rPr>
          <w:rFonts w:hint="cs"/>
          <w:rtl/>
        </w:rPr>
        <w:t xml:space="preserve"> פסק להלכה כל"ב, וכדפסק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Ref9542409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50146A">
        <w:rPr>
          <w:rStyle w:val="af6"/>
          <w:rFonts w:eastAsia="Guttman Hodes"/>
          <w:rtl/>
        </w:rPr>
        <w:fldChar w:fldCharType="end"/>
      </w:r>
      <w:r w:rsidRPr="0050146A">
        <w:rPr>
          <w:rFonts w:hint="cs"/>
          <w:rtl/>
        </w:rPr>
        <w:t xml:space="preserve"> כל"ב. </w:t>
      </w:r>
      <w:r w:rsidRPr="0050146A">
        <w:rPr>
          <w:rStyle w:val="afa"/>
          <w:rFonts w:hint="cs"/>
          <w:rtl/>
        </w:rPr>
        <w:t xml:space="preserve">[וכדברי </w:t>
      </w:r>
      <w:r w:rsidRPr="0050146A">
        <w:rPr>
          <w:rStyle w:val="affa"/>
          <w:rFonts w:hint="cs"/>
          <w:rtl/>
        </w:rPr>
        <w:t>הב"ח</w:t>
      </w:r>
      <w:bookmarkStart w:id="2946" w:name="_Ref9753480"/>
      <w:r w:rsidRPr="0050146A">
        <w:rPr>
          <w:rFonts w:hint="cs"/>
          <w:rtl/>
        </w:rPr>
        <w:t xml:space="preserve"> </w:t>
      </w:r>
      <w:r w:rsidRPr="0050146A">
        <w:rPr>
          <w:rStyle w:val="afa"/>
          <w:rFonts w:hint="cs"/>
          <w:rtl/>
        </w:rPr>
        <w:t xml:space="preserve">כן משמע </w:t>
      </w:r>
      <w:r w:rsidRPr="0050146A">
        <w:rPr>
          <w:rStyle w:val="affa"/>
          <w:rFonts w:hint="cs"/>
          <w:rtl/>
        </w:rPr>
        <w:t>בסידור רש"י</w:t>
      </w:r>
      <w:r w:rsidRPr="0050146A">
        <w:rPr>
          <w:rStyle w:val="afa"/>
          <w:rFonts w:hint="cs"/>
          <w:rtl/>
        </w:rPr>
        <w:t xml:space="preserve"> עי' בהערה</w:t>
      </w:r>
      <w:r w:rsidRPr="0050146A">
        <w:rPr>
          <w:rStyle w:val="af0"/>
          <w:rtl/>
        </w:rPr>
        <w:t xml:space="preserve"> </w:t>
      </w:r>
      <w:r w:rsidRPr="0050146A">
        <w:rPr>
          <w:rStyle w:val="af0"/>
          <w:rtl/>
        </w:rPr>
        <w:footnoteReference w:id="10"/>
      </w:r>
      <w:bookmarkEnd w:id="2946"/>
      <w:r w:rsidRPr="0050146A">
        <w:rPr>
          <w:rStyle w:val="afa"/>
          <w:rFonts w:hint="cs"/>
          <w:rtl/>
        </w:rPr>
        <w:t>].</w:t>
      </w:r>
    </w:p>
    <w:p w:rsidR="00B2572D" w:rsidRPr="0050146A" w:rsidRDefault="00B2572D" w:rsidP="00B2572D">
      <w:pPr>
        <w:pStyle w:val="a2"/>
        <w:rPr>
          <w:rtl/>
        </w:rPr>
      </w:pPr>
      <w:bookmarkStart w:id="2947" w:name="_Toc9760901"/>
      <w:r w:rsidRPr="0050146A">
        <w:rPr>
          <w:rFonts w:hint="cs"/>
          <w:rtl/>
        </w:rPr>
        <w:t>דברי הב"ח דהרא"ש והטור והסמ"ג גרסו ברש"י דידוע כמה היה האיסור ובלא ידוע אזלינן לחומרא</w:t>
      </w:r>
      <w:bookmarkEnd w:id="2947"/>
    </w:p>
    <w:p w:rsidR="00B2572D" w:rsidRPr="0050146A" w:rsidRDefault="00B2572D" w:rsidP="009F44AF">
      <w:pPr>
        <w:pStyle w:val="a"/>
        <w:rPr>
          <w:rtl/>
        </w:rPr>
      </w:pPr>
      <w:r w:rsidRPr="0050146A">
        <w:rPr>
          <w:rFonts w:hint="cs"/>
          <w:rtl/>
        </w:rPr>
        <w:t xml:space="preserve">ועוד כתב </w:t>
      </w:r>
      <w:r w:rsidRPr="0050146A">
        <w:rPr>
          <w:rStyle w:val="af8"/>
          <w:rFonts w:hint="cs"/>
          <w:rtl/>
        </w:rPr>
        <w:t xml:space="preserve">הב"ח </w:t>
      </w:r>
      <w:r w:rsidRPr="0050146A">
        <w:rPr>
          <w:rStyle w:val="af6"/>
          <w:rFonts w:eastAsia="Guttman Hodes" w:hint="cs"/>
          <w:rtl/>
        </w:rPr>
        <w:t xml:space="preserve">(סי' צ"ט ג', הג' הב"ח על הר"ן לד: מדפי הרי"ף אות ד', מהדו' "עוז והדר" אות ו') </w:t>
      </w:r>
      <w:r w:rsidRPr="0050146A">
        <w:rPr>
          <w:rStyle w:val="af8"/>
          <w:rFonts w:hint="cs"/>
          <w:rtl/>
        </w:rPr>
        <w:t>דהסמ"ג</w:t>
      </w:r>
      <w:r w:rsidRPr="0050146A">
        <w:rPr>
          <w:rFonts w:hint="cs"/>
          <w:rtl/>
        </w:rPr>
        <w:t xml:space="preserve"> </w:t>
      </w:r>
      <w:r w:rsidRPr="0050146A">
        <w:rPr>
          <w:rStyle w:val="af6"/>
          <w:rFonts w:eastAsia="Guttman Hodes" w:hint="cs"/>
          <w:rtl/>
        </w:rPr>
        <w:t>(לאוין קל"ח סוד"ה עוד בפרק)</w:t>
      </w:r>
      <w:r w:rsidRPr="0050146A">
        <w:rPr>
          <w:rFonts w:hint="cs"/>
          <w:rtl/>
        </w:rPr>
        <w:t xml:space="preserve"> </w:t>
      </w:r>
      <w:r w:rsidRPr="0050146A">
        <w:rPr>
          <w:rStyle w:val="af8"/>
          <w:rFonts w:hint="cs"/>
          <w:rtl/>
        </w:rPr>
        <w:t xml:space="preserve">והרא"ש </w:t>
      </w:r>
      <w:r w:rsidRPr="0050146A">
        <w:rPr>
          <w:rStyle w:val="af6"/>
          <w:rFonts w:eastAsia="Guttman Hodes" w:hint="cs"/>
          <w:rtl/>
        </w:rPr>
        <w:t>(סי' כ"ו)</w:t>
      </w:r>
      <w:r w:rsidRPr="0050146A">
        <w:rPr>
          <w:rFonts w:hint="cs"/>
          <w:rtl/>
        </w:rPr>
        <w:t xml:space="preserve"> </w:t>
      </w:r>
      <w:r w:rsidRPr="0050146A">
        <w:rPr>
          <w:rStyle w:val="af8"/>
          <w:rFonts w:hint="cs"/>
          <w:rtl/>
        </w:rPr>
        <w:t>והטור</w:t>
      </w:r>
      <w:r w:rsidRPr="0050146A">
        <w:rPr>
          <w:rFonts w:hint="cs"/>
          <w:rtl/>
        </w:rPr>
        <w:t xml:space="preserve"> </w:t>
      </w:r>
      <w:r w:rsidRPr="0050146A">
        <w:rPr>
          <w:rStyle w:val="af6"/>
          <w:rFonts w:eastAsia="Guttman Hodes" w:hint="cs"/>
          <w:rtl/>
        </w:rPr>
        <w:t>(סי' צ"ט ד')</w:t>
      </w:r>
      <w:r w:rsidRPr="0050146A">
        <w:rPr>
          <w:rFonts w:hint="cs"/>
          <w:rtl/>
        </w:rPr>
        <w:t xml:space="preserve"> כתבו בשם </w:t>
      </w:r>
      <w:r w:rsidRPr="0050146A">
        <w:rPr>
          <w:rStyle w:val="af8"/>
          <w:rFonts w:hint="cs"/>
          <w:rtl/>
        </w:rPr>
        <w:t xml:space="preserve">רש"י </w:t>
      </w:r>
      <w:r w:rsidRPr="0050146A">
        <w:rPr>
          <w:rFonts w:hint="cs"/>
          <w:rtl/>
        </w:rPr>
        <w:t xml:space="preserve">דפסק להלכה דאין משערים בבלוע כלל, דכמו שנבלע ההיתר כך נבלע האיסור, וכתב </w:t>
      </w:r>
      <w:r w:rsidRPr="0050146A">
        <w:rPr>
          <w:rStyle w:val="af8"/>
          <w:rFonts w:hint="cs"/>
          <w:rtl/>
        </w:rPr>
        <w:t xml:space="preserve">הב"ח </w:t>
      </w:r>
      <w:r w:rsidRPr="0050146A">
        <w:rPr>
          <w:rFonts w:hint="cs"/>
          <w:rtl/>
        </w:rPr>
        <w:t xml:space="preserve">דמשמע שגרסו בדברי </w:t>
      </w:r>
      <w:r w:rsidRPr="0050146A">
        <w:rPr>
          <w:rStyle w:val="af8"/>
          <w:rFonts w:hint="cs"/>
          <w:rtl/>
        </w:rPr>
        <w:t>רש"י</w:t>
      </w:r>
      <w:r w:rsidRPr="0050146A">
        <w:rPr>
          <w:rFonts w:hint="cs"/>
          <w:rtl/>
        </w:rPr>
        <w:t xml:space="preserve">, דדוקא כשראינו את האיסור בשעת הנפילה משערים בבלוע, וכ"כ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סק"ד ד"ה ונלע"ד)</w:t>
      </w:r>
      <w:r w:rsidRPr="0050146A">
        <w:rPr>
          <w:rFonts w:hint="cs"/>
          <w:rtl/>
        </w:rPr>
        <w:t xml:space="preserve"> בדעת </w:t>
      </w:r>
      <w:r w:rsidRPr="0050146A">
        <w:rPr>
          <w:rStyle w:val="af8"/>
          <w:rFonts w:hint="cs"/>
          <w:rtl/>
        </w:rPr>
        <w:t>הרא"ש</w:t>
      </w:r>
      <w:r w:rsidRPr="0050146A">
        <w:rPr>
          <w:rFonts w:hint="cs"/>
          <w:rtl/>
        </w:rPr>
        <w:t xml:space="preserve">, וכתב </w:t>
      </w:r>
      <w:r w:rsidRPr="0050146A">
        <w:rPr>
          <w:rStyle w:val="af8"/>
          <w:rFonts w:hint="cs"/>
          <w:rtl/>
        </w:rPr>
        <w:t>הב"ח</w:t>
      </w:r>
      <w:r w:rsidRPr="0050146A">
        <w:rPr>
          <w:rFonts w:hint="cs"/>
          <w:rtl/>
        </w:rPr>
        <w:t xml:space="preserve"> ד</w:t>
      </w:r>
      <w:bookmarkStart w:id="2948" w:name="_Ref9353092"/>
      <w:r w:rsidRPr="0050146A">
        <w:rPr>
          <w:rFonts w:hint="cs"/>
          <w:rtl/>
        </w:rPr>
        <w:t xml:space="preserve">א"כ במקום שלא ראינו את האיסור בשעת הנפילה אסור, אף אם עכשיו יש שישים בהיתר, דחיישינן שמא בתחילה היה פחות משישים בהיתר, דהאיסור היה גדול יותר ועכשיו הוא הצטמק, ואזלינן לחומרא בספק דאו'. </w:t>
      </w:r>
    </w:p>
    <w:p w:rsidR="00B2572D" w:rsidRPr="0050146A" w:rsidRDefault="00B2572D" w:rsidP="00B2572D">
      <w:pPr>
        <w:pStyle w:val="a2"/>
        <w:rPr>
          <w:rtl/>
        </w:rPr>
      </w:pPr>
      <w:bookmarkStart w:id="2949" w:name="_Toc9760902"/>
      <w:bookmarkEnd w:id="2948"/>
      <w:r w:rsidRPr="0050146A">
        <w:rPr>
          <w:rFonts w:hint="cs"/>
          <w:rtl/>
        </w:rPr>
        <w:t>ביאור הב"ח דכוונת רש"י בסו"ד לומר דא"א לצרף את הבלוע שמא ההיתר נשרף והאיסור בלוע</w:t>
      </w:r>
      <w:bookmarkEnd w:id="2949"/>
    </w:p>
    <w:p w:rsidR="00490B51" w:rsidRPr="0050146A" w:rsidRDefault="00B2572D" w:rsidP="009F44AF">
      <w:pPr>
        <w:pStyle w:val="a"/>
        <w:rPr>
          <w:rtl/>
        </w:rPr>
      </w:pPr>
      <w:r w:rsidRPr="0050146A">
        <w:rPr>
          <w:rFonts w:hint="cs"/>
          <w:rtl/>
        </w:rPr>
        <w:t xml:space="preserve">אך כתב </w:t>
      </w:r>
      <w:r w:rsidRPr="0050146A">
        <w:rPr>
          <w:rStyle w:val="af8"/>
          <w:rFonts w:hint="cs"/>
          <w:rtl/>
        </w:rPr>
        <w:t xml:space="preserve">הב"ח </w:t>
      </w:r>
      <w:r w:rsidRPr="0050146A">
        <w:rPr>
          <w:rStyle w:val="af6"/>
          <w:rFonts w:eastAsia="Guttman Hodes" w:hint="cs"/>
          <w:rtl/>
        </w:rPr>
        <w:t xml:space="preserve">(הג' הב"ח על הר"ן לד: מדפי הרי"ף אות ד', מהדו' "עוז והדר" אות ו') </w:t>
      </w:r>
      <w:r w:rsidRPr="0050146A">
        <w:rPr>
          <w:rFonts w:hint="cs"/>
          <w:rtl/>
        </w:rPr>
        <w:t xml:space="preserve">דמשמע מדבריהם דביארו בדעת </w:t>
      </w:r>
      <w:r w:rsidRPr="0050146A">
        <w:rPr>
          <w:rStyle w:val="af8"/>
          <w:rFonts w:hint="cs"/>
          <w:rtl/>
        </w:rPr>
        <w:t xml:space="preserve">רש"י </w:t>
      </w:r>
      <w:r w:rsidRPr="0050146A">
        <w:rPr>
          <w:rFonts w:hint="cs"/>
          <w:rtl/>
        </w:rPr>
        <w:t xml:space="preserve">דאף במקום שראינו את האיסור בשעה שנפל, מ"מ אין משערים בבלוע, וביאר </w:t>
      </w:r>
      <w:r w:rsidRPr="0050146A">
        <w:rPr>
          <w:rStyle w:val="af8"/>
          <w:rFonts w:hint="cs"/>
          <w:rtl/>
        </w:rPr>
        <w:t xml:space="preserve">הב"ח </w:t>
      </w:r>
      <w:r w:rsidRPr="0050146A">
        <w:rPr>
          <w:rStyle w:val="af6"/>
          <w:rFonts w:eastAsia="Guttman Hodes" w:hint="cs"/>
          <w:rtl/>
        </w:rPr>
        <w:t>(סי' צ"ט ג'</w:t>
      </w:r>
      <w:r w:rsidRPr="0050146A">
        <w:rPr>
          <w:rFonts w:hint="cs"/>
          <w:rtl/>
        </w:rPr>
        <w:t xml:space="preserve">, </w:t>
      </w:r>
      <w:r w:rsidRPr="0050146A">
        <w:rPr>
          <w:rStyle w:val="af6"/>
          <w:rFonts w:eastAsia="Guttman Hodes" w:hint="cs"/>
          <w:rtl/>
        </w:rPr>
        <w:t xml:space="preserve">הג' הב"ח על הר"ן לד: מדפי הרי"ף אות ד', מהדו' "עוז והדר" אות ו') </w:t>
      </w:r>
      <w:r w:rsidRPr="0050146A">
        <w:rPr>
          <w:rStyle w:val="af8"/>
          <w:rFonts w:hint="cs"/>
          <w:rtl/>
        </w:rPr>
        <w:t>דהסמ"ג</w:t>
      </w:r>
      <w:r w:rsidRPr="0050146A">
        <w:rPr>
          <w:rFonts w:hint="cs"/>
          <w:rtl/>
        </w:rPr>
        <w:t xml:space="preserve"> </w:t>
      </w:r>
      <w:r w:rsidRPr="0050146A">
        <w:rPr>
          <w:rStyle w:val="af8"/>
          <w:rFonts w:hint="cs"/>
          <w:rtl/>
        </w:rPr>
        <w:t>והרא"ש והטור</w:t>
      </w:r>
      <w:r w:rsidRPr="0050146A">
        <w:rPr>
          <w:rFonts w:hint="cs"/>
          <w:rtl/>
        </w:rPr>
        <w:t xml:space="preserve"> ביארו את 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Ref9269900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Fonts w:hint="cs"/>
          <w:rtl/>
        </w:rPr>
        <w:t xml:space="preserve"> בסו"ד דמשערים בעיקר הדבר כמו שבא לפנינו, דכוונתו לומר דכ"מ שאפשר לשער את ההיתר כפי שעת הנפילה, היינו דוקא אם האיסור אינו מתמעט, דבזה אפשר להחשיב את ההיתר שבלוע בדופני הקדירה, כאילו הוא בעין בתוך הקדירה, דהא הבלוע הוא רק מההיתר, אבל כיון שגם האיסור נתמעט, א"כ אם לאחר הבישול אין שישים בהיתר כנגד האיסור, א"א לצרף את הבלוע להיתר, אעפ"י שידוע שבשעה שנפל האיסור היה שישים כנגדו, דהא יתכן שעיקר הבליעה היא מהאיסור, ואילו ההיתר שנתמעט אינו בלוע בקדירה, אלא נשרף ע"י האש, ולכן חוזר האיסור ואוסר את ההיתר. </w:t>
      </w:r>
    </w:p>
    <w:p w:rsidR="00B2572D" w:rsidRPr="0050146A" w:rsidRDefault="00B2572D" w:rsidP="00B2572D">
      <w:pPr>
        <w:pStyle w:val="a2"/>
      </w:pPr>
      <w:bookmarkStart w:id="2950" w:name="_Toc9760903"/>
      <w:r w:rsidRPr="0050146A">
        <w:rPr>
          <w:rFonts w:hint="cs"/>
          <w:rtl/>
        </w:rPr>
        <w:t>ביאור הב"ח דלכן כתב רש"י דמשערים במה שלפנינו ד</w:t>
      </w:r>
      <w:r w:rsidR="00441868">
        <w:rPr>
          <w:rFonts w:hint="cs"/>
          <w:rtl/>
        </w:rPr>
        <w:t>ממה נפשך</w:t>
      </w:r>
      <w:r w:rsidRPr="0050146A">
        <w:rPr>
          <w:rFonts w:hint="cs"/>
          <w:rtl/>
        </w:rPr>
        <w:t xml:space="preserve"> יש בזה שישים וכשאין שישים אסור</w:t>
      </w:r>
      <w:bookmarkEnd w:id="2950"/>
    </w:p>
    <w:p w:rsidR="00B2572D" w:rsidRPr="0050146A" w:rsidRDefault="00B2572D" w:rsidP="009F44AF">
      <w:pPr>
        <w:pStyle w:val="a"/>
        <w:rPr>
          <w:rtl/>
        </w:rPr>
      </w:pPr>
      <w:bookmarkStart w:id="2951" w:name="_Ref9753068"/>
      <w:r w:rsidRPr="0050146A">
        <w:rPr>
          <w:rFonts w:hint="cs"/>
          <w:rtl/>
        </w:rPr>
        <w:t xml:space="preserve">וביאר </w:t>
      </w:r>
      <w:r w:rsidRPr="0050146A">
        <w:rPr>
          <w:rStyle w:val="af8"/>
          <w:rFonts w:hint="cs"/>
          <w:rtl/>
        </w:rPr>
        <w:t>הב"ח</w:t>
      </w:r>
      <w:r w:rsidRPr="0050146A">
        <w:rPr>
          <w:rFonts w:hint="cs"/>
          <w:rtl/>
        </w:rPr>
        <w:t xml:space="preserve"> </w:t>
      </w:r>
      <w:r w:rsidRPr="0050146A">
        <w:rPr>
          <w:rStyle w:val="af6"/>
          <w:rFonts w:eastAsia="Guttman Hodes" w:hint="cs"/>
          <w:rtl/>
        </w:rPr>
        <w:t xml:space="preserve">(סי' צ"ט ג') </w:t>
      </w:r>
      <w:r w:rsidRPr="0050146A">
        <w:rPr>
          <w:rFonts w:hint="cs"/>
          <w:rtl/>
        </w:rPr>
        <w:t xml:space="preserve">דלכן כתב </w:t>
      </w:r>
      <w:r w:rsidRPr="0050146A">
        <w:rPr>
          <w:rStyle w:val="af8"/>
          <w:rFonts w:hint="cs"/>
          <w:rtl/>
        </w:rPr>
        <w:t>רש"י</w:t>
      </w:r>
      <w:r w:rsidRPr="0050146A">
        <w:rPr>
          <w:rFonts w:hint="cs"/>
          <w:rtl/>
        </w:rPr>
        <w:t xml:space="preserve"> דלהלכה משערים כפי השיעור שיש לפנינו, וכל שיש עכשיו שישים בהיתר כנגד האיסור מותר, ד</w:t>
      </w:r>
      <w:r w:rsidR="00441868">
        <w:rPr>
          <w:rFonts w:hint="cs"/>
          <w:rtl/>
        </w:rPr>
        <w:t>ממה נפשך</w:t>
      </w:r>
      <w:r w:rsidRPr="0050146A">
        <w:rPr>
          <w:rFonts w:hint="cs"/>
          <w:rtl/>
        </w:rPr>
        <w:t xml:space="preserve"> אי מה שנתמעט מהאיסור נשרף ע"י האור, א"כ יש לפנינו שישים, ואי מה שנתמעט מהאיסור בלוע, או אפילו שנימוח בתוך ההיתר, מ"מ הוא כבר התבטל בשעה שנימוח דקמא קמא שנימוח או נבלע מתבטל בתוך ההיתר, דהא בשעת הנפילה היה שישים בהיתר כנגד כל האיסור</w:t>
      </w:r>
      <w:r w:rsidRPr="0050146A">
        <w:rPr>
          <w:rStyle w:val="afa"/>
          <w:rFonts w:hint="cs"/>
          <w:rtl/>
        </w:rPr>
        <w:t>, [דאי מתחילה לא היה שישים פשיטא שנאסר בתחילה, ואינו חוזר להתירו],</w:t>
      </w:r>
      <w:r w:rsidRPr="0050146A">
        <w:rPr>
          <w:rFonts w:hint="cs"/>
          <w:rtl/>
        </w:rPr>
        <w:t xml:space="preserve"> אך כתב </w:t>
      </w:r>
      <w:r w:rsidRPr="0050146A">
        <w:rPr>
          <w:rStyle w:val="af8"/>
          <w:rFonts w:hint="cs"/>
          <w:rtl/>
        </w:rPr>
        <w:t>הב"ח</w:t>
      </w:r>
      <w:r w:rsidRPr="0050146A">
        <w:rPr>
          <w:rFonts w:hint="cs"/>
          <w:rtl/>
        </w:rPr>
        <w:t xml:space="preserve"> דאם עכשיו אין שישים בהיתר שנמצא לפנינו, לא מהני לצרף את ההיתר הבלוע, </w:t>
      </w:r>
      <w:r w:rsidRPr="0050146A">
        <w:rPr>
          <w:rStyle w:val="afa"/>
          <w:rFonts w:hint="cs"/>
          <w:rtl/>
        </w:rPr>
        <w:t>[דיתכן שהבלוע עיקרו הוא מהאיסור, ואילו ההיתר שנתמעט נשרף]</w:t>
      </w:r>
      <w:bookmarkEnd w:id="2951"/>
      <w:r w:rsidRPr="0050146A">
        <w:rPr>
          <w:rStyle w:val="afa"/>
          <w:rFonts w:hint="cs"/>
          <w:rtl/>
        </w:rPr>
        <w:t xml:space="preserve">, </w:t>
      </w:r>
      <w:r w:rsidRPr="0050146A">
        <w:rPr>
          <w:rFonts w:hint="cs"/>
          <w:rtl/>
        </w:rPr>
        <w:t xml:space="preserve">וכ"כ </w:t>
      </w:r>
      <w:r w:rsidRPr="0050146A">
        <w:rPr>
          <w:rStyle w:val="af8"/>
          <w:rtl/>
        </w:rPr>
        <w:t>הראש יוסף</w:t>
      </w:r>
      <w:r w:rsidRPr="0050146A">
        <w:rPr>
          <w:rtl/>
        </w:rPr>
        <w:t xml:space="preserve"> </w:t>
      </w:r>
      <w:r w:rsidRPr="0050146A">
        <w:rPr>
          <w:rStyle w:val="af6"/>
          <w:rFonts w:eastAsia="Guttman Hodes"/>
          <w:rtl/>
        </w:rPr>
        <w:t xml:space="preserve">(עי' אות </w:t>
      </w:r>
      <w:r w:rsidRPr="0050146A">
        <w:rPr>
          <w:rStyle w:val="af6"/>
          <w:rFonts w:eastAsia="Guttman Hodes"/>
          <w:cs/>
        </w:rPr>
        <w:t>‎</w:t>
      </w:r>
      <w:r w:rsidRPr="0050146A">
        <w:rPr>
          <w:rStyle w:val="af6"/>
          <w:rFonts w:eastAsia="Guttman Hodes"/>
          <w:rtl/>
        </w:rPr>
        <w:t>נא)</w:t>
      </w:r>
      <w:r w:rsidRPr="0050146A">
        <w:rPr>
          <w:rStyle w:val="af6"/>
          <w:rFonts w:eastAsia="Guttman Hodes" w:hint="cs"/>
          <w:rtl/>
        </w:rPr>
        <w:t xml:space="preserve"> </w:t>
      </w:r>
      <w:r w:rsidRPr="0050146A">
        <w:rPr>
          <w:rFonts w:hint="cs"/>
          <w:rtl/>
        </w:rPr>
        <w:t xml:space="preserve">דכשאין עכשיו שישים אסור לרש"י, אמנם </w:t>
      </w:r>
      <w:r w:rsidRPr="0050146A">
        <w:rPr>
          <w:rStyle w:val="af8"/>
          <w:rFonts w:hint="cs"/>
          <w:rtl/>
        </w:rPr>
        <w:t>הר"ן והרשב"א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Ref9283312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כתבו בדעת </w:t>
      </w:r>
      <w:r w:rsidRPr="0050146A">
        <w:rPr>
          <w:rStyle w:val="af8"/>
          <w:rFonts w:hint="cs"/>
          <w:rtl/>
        </w:rPr>
        <w:t>רש"י</w:t>
      </w:r>
      <w:r w:rsidRPr="0050146A">
        <w:rPr>
          <w:rFonts w:hint="cs"/>
          <w:rtl/>
        </w:rPr>
        <w:t xml:space="preserve"> דכל שידוע כמה היה האיסור מותר, ואף שאין עכשיו שישים לפנינו.</w:t>
      </w:r>
    </w:p>
    <w:p w:rsidR="00B2572D" w:rsidRPr="0050146A" w:rsidRDefault="00B2572D" w:rsidP="00B2572D">
      <w:pPr>
        <w:pStyle w:val="a2"/>
        <w:rPr>
          <w:rtl/>
        </w:rPr>
      </w:pPr>
      <w:bookmarkStart w:id="2952" w:name="_Toc9760904"/>
      <w:r w:rsidRPr="0050146A">
        <w:rPr>
          <w:rFonts w:hint="cs"/>
          <w:rtl/>
        </w:rPr>
        <w:t>ביאור הב"ח דהא דלהסמ"ג והרא"ש ברש"י אין משערים בבלוע הוא בלא ידוע כמה היה האיסור</w:t>
      </w:r>
      <w:bookmarkEnd w:id="2952"/>
    </w:p>
    <w:p w:rsidR="00B2572D" w:rsidRPr="0050146A" w:rsidRDefault="00B2572D" w:rsidP="009F44AF">
      <w:pPr>
        <w:pStyle w:val="a"/>
        <w:rPr>
          <w:rtl/>
        </w:rPr>
      </w:pPr>
      <w:r w:rsidRPr="0050146A">
        <w:rPr>
          <w:rFonts w:hint="cs"/>
          <w:rtl/>
        </w:rPr>
        <w:t xml:space="preserve">ועוד ביאר </w:t>
      </w:r>
      <w:r w:rsidRPr="0050146A">
        <w:rPr>
          <w:rStyle w:val="af8"/>
          <w:rFonts w:hint="cs"/>
          <w:rtl/>
        </w:rPr>
        <w:t xml:space="preserve">הב"ח </w:t>
      </w:r>
      <w:r w:rsidRPr="0050146A">
        <w:rPr>
          <w:rStyle w:val="af6"/>
          <w:rFonts w:eastAsia="Guttman Hodes" w:hint="cs"/>
          <w:rtl/>
        </w:rPr>
        <w:t xml:space="preserve">(הג' הב"ח על הר"ן לד: מדפי הרי"ף אות ד', מהדו' "עוז והדר" אות ו') </w:t>
      </w:r>
      <w:r w:rsidRPr="0050146A">
        <w:rPr>
          <w:rFonts w:hint="cs"/>
          <w:rtl/>
        </w:rPr>
        <w:t xml:space="preserve">דמ"ש </w:t>
      </w:r>
      <w:r w:rsidRPr="0050146A">
        <w:rPr>
          <w:rStyle w:val="af8"/>
          <w:rFonts w:hint="cs"/>
          <w:rtl/>
        </w:rPr>
        <w:t>הסמ"ג והרא"ש והטור</w:t>
      </w:r>
      <w:r w:rsidRPr="0050146A">
        <w:rPr>
          <w:rFonts w:hint="cs"/>
          <w:rtl/>
        </w:rPr>
        <w:t xml:space="preserve"> בשם </w:t>
      </w:r>
      <w:r w:rsidRPr="0050146A">
        <w:rPr>
          <w:rStyle w:val="af8"/>
          <w:rFonts w:hint="cs"/>
          <w:rtl/>
        </w:rPr>
        <w:t xml:space="preserve">רש"י </w:t>
      </w:r>
      <w:r w:rsidRPr="0050146A">
        <w:rPr>
          <w:rFonts w:hint="cs"/>
          <w:rtl/>
        </w:rPr>
        <w:t xml:space="preserve">דפסק להלכה דאין משערים בבלוע כלל, ומשערים בשישים כפי שיש בקדירה לפנינו אחר הבישול, היינו דוקא במקום שידוע כמה היה האיסור בשעה שנפל, אבל אם לא ידוע כמה היה האיסור, לא מהני שיש לפנינו שישים אחר הבישול, דחיישינן שמא לפני הבישול היה האיסור הרבה יותר, וכתב </w:t>
      </w:r>
      <w:r w:rsidRPr="0050146A">
        <w:rPr>
          <w:rStyle w:val="af8"/>
          <w:rFonts w:hint="cs"/>
          <w:rtl/>
        </w:rPr>
        <w:t xml:space="preserve">הב"ח </w:t>
      </w:r>
      <w:r w:rsidRPr="0050146A">
        <w:rPr>
          <w:rFonts w:hint="cs"/>
          <w:rtl/>
        </w:rPr>
        <w:t>דכן נראה להלכה להחמיר.</w:t>
      </w:r>
    </w:p>
    <w:p w:rsidR="00B2572D" w:rsidRPr="0050146A" w:rsidRDefault="00B2572D" w:rsidP="00B2572D">
      <w:pPr>
        <w:pStyle w:val="1"/>
        <w:rPr>
          <w:rtl/>
        </w:rPr>
      </w:pPr>
      <w:r w:rsidRPr="0050146A">
        <w:rPr>
          <w:rtl/>
        </w:rPr>
        <w:t xml:space="preserve">ביאור הגר"א </w:t>
      </w:r>
      <w:r w:rsidRPr="0050146A">
        <w:rPr>
          <w:rFonts w:hint="cs"/>
          <w:rtl/>
        </w:rPr>
        <w:t>ברש"י</w:t>
      </w:r>
      <w:r w:rsidRPr="0050146A">
        <w:rPr>
          <w:rtl/>
        </w:rPr>
        <w:t xml:space="preserve"> ד</w:t>
      </w:r>
      <w:r w:rsidRPr="0050146A">
        <w:rPr>
          <w:rFonts w:hint="cs"/>
          <w:rtl/>
        </w:rPr>
        <w:t>ב</w:t>
      </w:r>
      <w:r w:rsidRPr="0050146A">
        <w:rPr>
          <w:rtl/>
        </w:rPr>
        <w:t>ידוע כמה היה האיסור</w:t>
      </w:r>
      <w:r w:rsidRPr="0050146A">
        <w:rPr>
          <w:rFonts w:hint="cs"/>
          <w:rtl/>
        </w:rPr>
        <w:t xml:space="preserve"> משערים בבלוע</w:t>
      </w:r>
    </w:p>
    <w:p w:rsidR="00B2572D" w:rsidRPr="0050146A" w:rsidRDefault="00B2572D" w:rsidP="00B2572D">
      <w:pPr>
        <w:pStyle w:val="a2"/>
        <w:rPr>
          <w:rtl/>
        </w:rPr>
      </w:pPr>
      <w:bookmarkStart w:id="2953" w:name="_Toc9760906"/>
      <w:r w:rsidRPr="0050146A">
        <w:rPr>
          <w:rFonts w:hint="cs"/>
          <w:rtl/>
        </w:rPr>
        <w:t>ביאור הגר"א ברש"י דבל"ב ידוע כמה היה האיסור ולא הצטמק כלל ומשו"ה משערים בבלוע</w:t>
      </w:r>
      <w:bookmarkEnd w:id="2953"/>
    </w:p>
    <w:p w:rsidR="00B2572D" w:rsidRPr="0050146A" w:rsidRDefault="00B2572D" w:rsidP="009F44AF">
      <w:pPr>
        <w:pStyle w:val="a"/>
        <w:rPr>
          <w:rtl/>
        </w:rPr>
      </w:pPr>
      <w:r w:rsidRPr="0050146A">
        <w:rPr>
          <w:rFonts w:hint="cs"/>
          <w:rtl/>
        </w:rPr>
        <w:t xml:space="preserve">וכן מבואר בדברי </w:t>
      </w:r>
      <w:r w:rsidRPr="0050146A">
        <w:rPr>
          <w:rStyle w:val="af8"/>
          <w:rFonts w:hint="cs"/>
          <w:rtl/>
        </w:rPr>
        <w:t>הגר"א</w:t>
      </w:r>
      <w:r w:rsidRPr="0050146A">
        <w:rPr>
          <w:rFonts w:hint="cs"/>
          <w:rtl/>
        </w:rPr>
        <w:t xml:space="preserve"> דהגירסא היא כדברי </w:t>
      </w:r>
      <w:r w:rsidRPr="0050146A">
        <w:rPr>
          <w:rStyle w:val="af8"/>
          <w:rFonts w:hint="cs"/>
          <w:rtl/>
        </w:rPr>
        <w:t>רש"י</w:t>
      </w:r>
      <w:r w:rsidRPr="0050146A">
        <w:rPr>
          <w:rFonts w:hint="cs"/>
          <w:rtl/>
        </w:rPr>
        <w:t xml:space="preserve"> לפנינו, דכתב </w:t>
      </w:r>
      <w:r w:rsidRPr="0050146A">
        <w:rPr>
          <w:rStyle w:val="af8"/>
          <w:rFonts w:hint="cs"/>
          <w:rtl/>
        </w:rPr>
        <w:t>הגר"א</w:t>
      </w:r>
      <w:r w:rsidRPr="0050146A">
        <w:rPr>
          <w:rFonts w:hint="cs"/>
          <w:rtl/>
        </w:rPr>
        <w:t xml:space="preserve"> </w:t>
      </w:r>
      <w:r w:rsidRPr="0050146A">
        <w:rPr>
          <w:rStyle w:val="af6"/>
          <w:rFonts w:eastAsia="Guttman Hodes" w:hint="cs"/>
          <w:rtl/>
        </w:rPr>
        <w:t>(סי' צ"ט סק"ה)</w:t>
      </w:r>
      <w:r w:rsidRPr="0050146A">
        <w:rPr>
          <w:rFonts w:hint="cs"/>
          <w:rtl/>
        </w:rPr>
        <w:t xml:space="preserve"> דמ"ש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Ref9350537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 xml:space="preserve"> בתחילת דבריו דראינו את האיסור בשעה שנפל, היינו ביאור דברי רבי חנינא בל"ב, ואיירי באופן שאנו רואים שעשיו האיסור הוא כמו שהיה בשעת נפילה ולא הצטמק כלל, ורק ההיתר הצטמק, ולכן משערים אף בהיתר הבלוע.</w:t>
      </w:r>
    </w:p>
    <w:p w:rsidR="00B2572D" w:rsidRPr="0050146A" w:rsidRDefault="00B2572D" w:rsidP="00B2572D">
      <w:pPr>
        <w:pStyle w:val="a2"/>
      </w:pPr>
      <w:bookmarkStart w:id="2954" w:name="_Toc9760907"/>
      <w:r w:rsidRPr="0050146A">
        <w:rPr>
          <w:rFonts w:hint="cs"/>
          <w:rtl/>
        </w:rPr>
        <w:t>ביאור הגר"א דמ"ש רש"י בסו"ד דאין משערים בבלוע איירי כשלא ידוע כמה היה האיסור</w:t>
      </w:r>
      <w:bookmarkEnd w:id="2954"/>
    </w:p>
    <w:p w:rsidR="00B2572D" w:rsidRPr="0050146A" w:rsidRDefault="00B2572D" w:rsidP="009F44AF">
      <w:pPr>
        <w:pStyle w:val="a"/>
        <w:rPr>
          <w:rStyle w:val="afa"/>
          <w:rtl/>
        </w:rPr>
      </w:pPr>
      <w:r w:rsidRPr="0050146A">
        <w:rPr>
          <w:rFonts w:hint="cs"/>
          <w:rtl/>
        </w:rPr>
        <w:t xml:space="preserve">ובמ"ש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Ref9269900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Fonts w:hint="cs"/>
          <w:rtl/>
        </w:rPr>
        <w:t xml:space="preserve"> בסו"ד שאין משערים בבלוע כיון שגם האיסור נבלע, ביאר </w:t>
      </w:r>
      <w:r w:rsidRPr="0050146A">
        <w:rPr>
          <w:rStyle w:val="af8"/>
          <w:rFonts w:hint="cs"/>
          <w:rtl/>
        </w:rPr>
        <w:t>הגר"א</w:t>
      </w:r>
      <w:r w:rsidRPr="0050146A">
        <w:rPr>
          <w:rFonts w:hint="cs"/>
          <w:rtl/>
        </w:rPr>
        <w:t xml:space="preserve"> דאיירי באופן שלא ראינו את האיסור בשעה שנפל,</w:t>
      </w:r>
      <w:r w:rsidRPr="0050146A">
        <w:rPr>
          <w:rStyle w:val="afa"/>
          <w:rFonts w:hint="cs"/>
          <w:rtl/>
        </w:rPr>
        <w:t xml:space="preserve"> [וכדברי </w:t>
      </w:r>
      <w:r w:rsidRPr="0050146A">
        <w:rPr>
          <w:rStyle w:val="affa"/>
          <w:rFonts w:hint="cs"/>
          <w:rtl/>
        </w:rPr>
        <w:t xml:space="preserve">הגר"א </w:t>
      </w:r>
      <w:r w:rsidRPr="0050146A">
        <w:rPr>
          <w:rStyle w:val="afa"/>
          <w:rFonts w:hint="cs"/>
          <w:rtl/>
        </w:rPr>
        <w:t xml:space="preserve">כן משמע </w:t>
      </w:r>
      <w:r w:rsidRPr="0050146A">
        <w:rPr>
          <w:rStyle w:val="affa"/>
          <w:rFonts w:hint="cs"/>
          <w:rtl/>
        </w:rPr>
        <w:t>בסידור רש"י</w:t>
      </w:r>
      <w:r w:rsidRPr="0050146A">
        <w:rPr>
          <w:rStyle w:val="afa"/>
          <w:rFonts w:hint="cs"/>
          <w:rtl/>
        </w:rPr>
        <w:t xml:space="preserve"> עי' בהערה</w:t>
      </w:r>
      <w:r w:rsidRPr="0050146A">
        <w:rPr>
          <w:vertAlign w:val="superscript"/>
          <w:rtl/>
        </w:rPr>
        <w:fldChar w:fldCharType="begin"/>
      </w:r>
      <w:r w:rsidRPr="0050146A">
        <w:rPr>
          <w:vertAlign w:val="superscript"/>
          <w:rtl/>
        </w:rPr>
        <w:instrText xml:space="preserve"> </w:instrText>
      </w:r>
      <w:r w:rsidRPr="0050146A">
        <w:rPr>
          <w:rFonts w:hint="cs"/>
          <w:vertAlign w:val="superscript"/>
        </w:rPr>
        <w:instrText>NOTEREF</w:instrText>
      </w:r>
      <w:r w:rsidRPr="0050146A">
        <w:rPr>
          <w:rFonts w:hint="cs"/>
          <w:vertAlign w:val="superscript"/>
          <w:rtl/>
        </w:rPr>
        <w:instrText xml:space="preserve"> _</w:instrText>
      </w:r>
      <w:r w:rsidRPr="0050146A">
        <w:rPr>
          <w:rFonts w:hint="cs"/>
          <w:vertAlign w:val="superscript"/>
        </w:rPr>
        <w:instrText>Ref9753480 \h</w:instrText>
      </w:r>
      <w:r w:rsidRPr="0050146A">
        <w:rPr>
          <w:vertAlign w:val="superscript"/>
          <w:rtl/>
        </w:rPr>
        <w:instrText xml:space="preserve">  \* </w:instrText>
      </w:r>
      <w:r w:rsidRPr="0050146A">
        <w:rPr>
          <w:vertAlign w:val="superscript"/>
        </w:rPr>
        <w:instrText>MERGEFORMAT</w:instrText>
      </w:r>
      <w:r w:rsidRPr="0050146A">
        <w:rPr>
          <w:vertAlign w:val="superscript"/>
          <w:rtl/>
        </w:rPr>
        <w:instrText xml:space="preserve"> </w:instrText>
      </w:r>
      <w:r w:rsidRPr="0050146A">
        <w:rPr>
          <w:vertAlign w:val="superscript"/>
          <w:rtl/>
        </w:rPr>
      </w:r>
      <w:r w:rsidRPr="0050146A">
        <w:rPr>
          <w:vertAlign w:val="superscript"/>
          <w:rtl/>
        </w:rPr>
        <w:fldChar w:fldCharType="separate"/>
      </w:r>
      <w:r w:rsidR="004D1C5B">
        <w:rPr>
          <w:vertAlign w:val="superscript"/>
          <w:rtl/>
        </w:rPr>
        <w:t>10</w:t>
      </w:r>
      <w:r w:rsidRPr="0050146A">
        <w:rPr>
          <w:vertAlign w:val="superscript"/>
          <w:rtl/>
        </w:rPr>
        <w:fldChar w:fldCharType="end"/>
      </w:r>
      <w:r w:rsidRPr="0050146A">
        <w:rPr>
          <w:rStyle w:val="afa"/>
          <w:rFonts w:hint="cs"/>
          <w:rtl/>
        </w:rPr>
        <w:t>].</w:t>
      </w:r>
    </w:p>
    <w:p w:rsidR="00B2572D" w:rsidRPr="0050146A" w:rsidRDefault="00B2572D" w:rsidP="00B2572D">
      <w:pPr>
        <w:pStyle w:val="1"/>
        <w:rPr>
          <w:rtl/>
        </w:rPr>
      </w:pPr>
      <w:bookmarkStart w:id="2955" w:name="_Toc9542850"/>
      <w:bookmarkStart w:id="2956" w:name="_Toc9544954"/>
      <w:bookmarkStart w:id="2957" w:name="_Toc9591668"/>
      <w:bookmarkStart w:id="2958" w:name="_Toc9760908"/>
      <w:r w:rsidRPr="0050146A">
        <w:rPr>
          <w:rFonts w:hint="cs"/>
          <w:rtl/>
        </w:rPr>
        <w:t xml:space="preserve">ביאור הראש יוסף </w:t>
      </w:r>
      <w:bookmarkEnd w:id="2955"/>
      <w:bookmarkEnd w:id="2956"/>
      <w:bookmarkEnd w:id="2957"/>
      <w:r w:rsidRPr="0050146A">
        <w:rPr>
          <w:rFonts w:hint="cs"/>
          <w:rtl/>
        </w:rPr>
        <w:t>ברש"י דידוע כמה היה האיסור</w:t>
      </w:r>
      <w:bookmarkEnd w:id="2958"/>
      <w:r w:rsidRPr="0050146A">
        <w:rPr>
          <w:rFonts w:hint="cs"/>
          <w:rtl/>
        </w:rPr>
        <w:t xml:space="preserve"> ולא ההיתר</w:t>
      </w:r>
    </w:p>
    <w:p w:rsidR="00B2572D" w:rsidRPr="0050146A" w:rsidRDefault="00B2572D" w:rsidP="00B2572D">
      <w:pPr>
        <w:pStyle w:val="a2"/>
        <w:rPr>
          <w:rtl/>
        </w:rPr>
      </w:pPr>
      <w:bookmarkStart w:id="2959" w:name="_Toc9760909"/>
      <w:bookmarkStart w:id="2960" w:name="_Toc9501150"/>
      <w:r w:rsidRPr="0050146A">
        <w:rPr>
          <w:rFonts w:hint="cs"/>
          <w:rtl/>
        </w:rPr>
        <w:t>ביאור הראש יוסף ברש"י דמשערים באומד יפה כמה היו האיסור וההיתר בשעת הנפילה</w:t>
      </w:r>
      <w:bookmarkEnd w:id="2959"/>
    </w:p>
    <w:p w:rsidR="00B2572D" w:rsidRPr="0050146A" w:rsidRDefault="00B2572D" w:rsidP="009F44AF">
      <w:pPr>
        <w:pStyle w:val="a"/>
        <w:rPr>
          <w:rtl/>
        </w:rPr>
      </w:pPr>
      <w:r w:rsidRPr="0050146A">
        <w:rPr>
          <w:rStyle w:val="af8"/>
          <w:rFonts w:hint="cs"/>
          <w:rtl/>
        </w:rPr>
        <w:t>והראש יוסף</w:t>
      </w:r>
      <w:r w:rsidRPr="0050146A">
        <w:rPr>
          <w:rFonts w:hint="cs"/>
          <w:rtl/>
        </w:rPr>
        <w:t xml:space="preserve"> </w:t>
      </w:r>
      <w:r w:rsidRPr="0050146A">
        <w:rPr>
          <w:rStyle w:val="af6"/>
          <w:rFonts w:eastAsia="Guttman Hodes" w:hint="cs"/>
          <w:rtl/>
        </w:rPr>
        <w:t>(על רש"י ד"ה במאי)</w:t>
      </w:r>
      <w:r w:rsidRPr="0050146A">
        <w:rPr>
          <w:rFonts w:hint="cs"/>
          <w:rtl/>
        </w:rPr>
        <w:t xml:space="preserve"> כתב דלפי הגירסא </w:t>
      </w:r>
      <w:r w:rsidRPr="0050146A">
        <w:rPr>
          <w:rStyle w:val="af8"/>
          <w:rFonts w:hint="cs"/>
          <w:rtl/>
        </w:rPr>
        <w:t>ברש"י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Ref9785459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 xml:space="preserve"> לפנינו משמע שידוע כמה השיעור של האיסור שנפל לקדירה, וראינו אותו בשעת נפילה, אבל את ההיתר לא ראינו בשעת הנפילה, ולא ידוע כמה היה שיעורו בזמן הנפילה, ואיירי באופן שאם נשער את האיסור כמו שאנו יודעים שהיה בזמן הנפילה, ואת ההיתר נשער כפי השיעור שהוא עכשיו, לא יהיה בזה שישים בהיתר כנגד האיסור, אבל אם נשער גם את האיסור וגם את ההיתר כמו שהם עכשיו, לאחר שהצטמקו בבישול, יהיה שישים בהיתר כנגד האיסור, ולכן אמרינן דמשערים באומד יפה, כמה הדרך של הקדירה לבלוע בזמן שהתבשלו בה, ולפי"ז אם משערים שבשעת הנפילה היה </w:t>
      </w:r>
      <w:r w:rsidRPr="0050146A">
        <w:rPr>
          <w:rFonts w:hint="cs"/>
          <w:rtl/>
        </w:rPr>
        <w:lastRenderedPageBreak/>
        <w:t>שישים בהיתר, כנגד מה שידוע שהיה השיעור של האיסור בזמן הנפילה, מותר.</w:t>
      </w:r>
    </w:p>
    <w:p w:rsidR="00B2572D" w:rsidRPr="0050146A" w:rsidRDefault="00B2572D" w:rsidP="00B2572D">
      <w:pPr>
        <w:pStyle w:val="a2"/>
        <w:rPr>
          <w:rtl/>
        </w:rPr>
      </w:pPr>
      <w:bookmarkStart w:id="2961" w:name="_Toc9760910"/>
      <w:r w:rsidRPr="0050146A">
        <w:rPr>
          <w:rFonts w:hint="cs"/>
          <w:rtl/>
        </w:rPr>
        <w:t>ביאור הראש יוסף ברש"י דקיי"ל כל"ב דמשערים באומד יפה כיון שמסתמא ההיתר הצטמק</w:t>
      </w:r>
      <w:bookmarkEnd w:id="2961"/>
    </w:p>
    <w:p w:rsidR="00B2572D" w:rsidRPr="0050146A" w:rsidRDefault="00B2572D" w:rsidP="009F44AF">
      <w:pPr>
        <w:pStyle w:val="a"/>
        <w:rPr>
          <w:rtl/>
        </w:rPr>
      </w:pPr>
      <w:r w:rsidRPr="0050146A">
        <w:rPr>
          <w:rFonts w:hint="cs"/>
          <w:rtl/>
        </w:rPr>
        <w:t xml:space="preserve">ובמ"ש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Ref9542368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50146A">
        <w:rPr>
          <w:rStyle w:val="af6"/>
          <w:rFonts w:eastAsia="Guttman Hodes"/>
          <w:rtl/>
        </w:rPr>
        <w:fldChar w:fldCharType="end"/>
      </w:r>
      <w:r w:rsidRPr="0050146A">
        <w:rPr>
          <w:rFonts w:hint="cs"/>
          <w:rtl/>
        </w:rPr>
        <w:t xml:space="preserve"> דכיון שנחלקו הלישונות והוא איסור דאו' אזלינן לחומרא, כתב </w:t>
      </w:r>
      <w:r w:rsidRPr="0050146A">
        <w:rPr>
          <w:rStyle w:val="af8"/>
          <w:rFonts w:hint="cs"/>
          <w:rtl/>
        </w:rPr>
        <w:t>הראש יוסף</w:t>
      </w:r>
      <w:r w:rsidRPr="0050146A">
        <w:rPr>
          <w:rFonts w:hint="cs"/>
          <w:rtl/>
        </w:rPr>
        <w:t xml:space="preserve"> </w:t>
      </w:r>
      <w:r w:rsidRPr="0050146A">
        <w:rPr>
          <w:rStyle w:val="af6"/>
          <w:rFonts w:eastAsia="Guttman Hodes" w:hint="cs"/>
          <w:rtl/>
        </w:rPr>
        <w:t>(ד"ה והנה)</w:t>
      </w:r>
      <w:r w:rsidRPr="0050146A">
        <w:rPr>
          <w:rFonts w:hint="cs"/>
          <w:rtl/>
        </w:rPr>
        <w:t xml:space="preserve"> דמשמע דכוונת </w:t>
      </w:r>
      <w:r w:rsidRPr="0050146A">
        <w:rPr>
          <w:rStyle w:val="af8"/>
          <w:rFonts w:hint="cs"/>
          <w:rtl/>
        </w:rPr>
        <w:t>רש"י</w:t>
      </w:r>
      <w:r w:rsidRPr="0050146A">
        <w:rPr>
          <w:rFonts w:hint="cs"/>
          <w:rtl/>
        </w:rPr>
        <w:t xml:space="preserve"> לומר דקיי"ל כל"ב דמשערינן באומד יפה, דמסתמא בשעת נפילת האיסור היה ההיתר גדול יותר מאשר ההיתר שלפנינו, והוא הצטמק בבישול.</w:t>
      </w:r>
    </w:p>
    <w:p w:rsidR="00B2572D" w:rsidRPr="0050146A" w:rsidRDefault="00B2572D" w:rsidP="00B2572D">
      <w:pPr>
        <w:pStyle w:val="1"/>
        <w:rPr>
          <w:rtl/>
        </w:rPr>
      </w:pPr>
      <w:bookmarkStart w:id="2962" w:name="_Toc9760911"/>
      <w:r w:rsidRPr="0050146A">
        <w:rPr>
          <w:rFonts w:hint="cs"/>
          <w:rtl/>
        </w:rPr>
        <w:t>הביאור הב' בראש יוסף ברש"י דידוע כמה היו האיסור וההיתר</w:t>
      </w:r>
      <w:bookmarkEnd w:id="2962"/>
      <w:r w:rsidRPr="0050146A">
        <w:rPr>
          <w:rFonts w:hint="cs"/>
          <w:rtl/>
        </w:rPr>
        <w:t xml:space="preserve"> </w:t>
      </w:r>
    </w:p>
    <w:p w:rsidR="00B2572D" w:rsidRPr="0050146A" w:rsidRDefault="00B2572D" w:rsidP="00B2572D">
      <w:pPr>
        <w:pStyle w:val="a2"/>
        <w:rPr>
          <w:rtl/>
        </w:rPr>
      </w:pPr>
      <w:bookmarkStart w:id="2963" w:name="_Toc9760912"/>
      <w:r w:rsidRPr="0050146A">
        <w:rPr>
          <w:rFonts w:hint="cs"/>
          <w:rtl/>
        </w:rPr>
        <w:t>הביאור הב' בראש יוסף דידוע גם כמה היה ההיתר ובשעת הנפילה היה שישים ועכשיו אין שישים</w:t>
      </w:r>
      <w:bookmarkEnd w:id="2963"/>
      <w:r w:rsidRPr="0050146A">
        <w:rPr>
          <w:rFonts w:hint="cs"/>
          <w:rtl/>
        </w:rPr>
        <w:t xml:space="preserve"> </w:t>
      </w:r>
    </w:p>
    <w:p w:rsidR="00B2572D" w:rsidRPr="0050146A" w:rsidRDefault="00B2572D" w:rsidP="009F44AF">
      <w:pPr>
        <w:pStyle w:val="a"/>
        <w:rPr>
          <w:rtl/>
        </w:rPr>
      </w:pPr>
      <w:r w:rsidRPr="0050146A">
        <w:rPr>
          <w:rFonts w:hint="cs"/>
          <w:rtl/>
        </w:rPr>
        <w:t xml:space="preserve">ועוד ביאר </w:t>
      </w:r>
      <w:r w:rsidRPr="0050146A">
        <w:rPr>
          <w:rStyle w:val="af8"/>
          <w:rFonts w:hint="cs"/>
          <w:rtl/>
        </w:rPr>
        <w:t>הראש יוסף ברש"י</w:t>
      </w:r>
      <w:r w:rsidRPr="0050146A">
        <w:rPr>
          <w:rFonts w:hint="cs"/>
          <w:rtl/>
        </w:rPr>
        <w:t xml:space="preserve"> דאיירי שבשעת הנפילה ראו כמה היו גם ההיתר וגם האיסור, ובשעת הנפילה היה שישים בהיתר כנגד האיסור, אלא דעכשיו שהצטמקו ההיתר והאיסור, אין שישים בהיתר, ובכדי לשער את ההיתר והאיסור כשעת הנפילה, צריך אומד הדעת, דהא יתכן שמה שההיתר נתמעט, אינו מחמת שהוא בלוע בדפני הקדירה, אלא דחלק מההיתר כלה ע"י האש, ואילו האיסור יתכן שמה שנתמעט ממנו הוא בלוע בדפני הקדירה, וא"כ א"א לשער את האיסור וההיתר כפי שהיו בשעת הנפילה, דהא יתכן שעכשיו במה שבתוך הקדירה יחד עם מה שבלוע בדופני הקדירה, אין שישים בהיתר כנגד האיסור.</w:t>
      </w:r>
    </w:p>
    <w:p w:rsidR="00B2572D" w:rsidRPr="0050146A" w:rsidRDefault="00B2572D" w:rsidP="00B2572D">
      <w:pPr>
        <w:pStyle w:val="a2"/>
      </w:pPr>
      <w:bookmarkStart w:id="2964" w:name="_Toc9760913"/>
      <w:r w:rsidRPr="0050146A">
        <w:rPr>
          <w:rFonts w:hint="cs"/>
          <w:rtl/>
        </w:rPr>
        <w:t>הביאור הב' בראש יוסף דצריך אומד לשער כמה מההיתר בלוע וכמה נשרף ע"י האש</w:t>
      </w:r>
      <w:bookmarkEnd w:id="2964"/>
    </w:p>
    <w:p w:rsidR="00B2572D" w:rsidRPr="0050146A" w:rsidRDefault="00B2572D" w:rsidP="009F44AF">
      <w:pPr>
        <w:pStyle w:val="a"/>
        <w:rPr>
          <w:rStyle w:val="afa"/>
          <w:rtl/>
        </w:rPr>
      </w:pPr>
      <w:r w:rsidRPr="0050146A">
        <w:rPr>
          <w:rFonts w:hint="cs"/>
          <w:rtl/>
        </w:rPr>
        <w:t xml:space="preserve">וכתב </w:t>
      </w:r>
      <w:r w:rsidRPr="0050146A">
        <w:rPr>
          <w:rStyle w:val="af8"/>
          <w:rFonts w:hint="cs"/>
          <w:rtl/>
        </w:rPr>
        <w:t>הראש יוסף</w:t>
      </w:r>
      <w:r w:rsidRPr="0050146A">
        <w:rPr>
          <w:rFonts w:hint="cs"/>
          <w:rtl/>
        </w:rPr>
        <w:t xml:space="preserve"> דלכן כתב </w:t>
      </w:r>
      <w:r w:rsidRPr="0050146A">
        <w:rPr>
          <w:rStyle w:val="af8"/>
          <w:rFonts w:hint="cs"/>
          <w:rtl/>
        </w:rPr>
        <w:t>רש"י</w:t>
      </w:r>
      <w:r w:rsidRPr="0050146A">
        <w:rPr>
          <w:rFonts w:hint="cs"/>
          <w:rtl/>
        </w:rPr>
        <w:t xml:space="preserve"> שצריך אומד יפה, לשער כמה מן ההיתר כלה ע"י האש, וכמה בלוע בדופני הקדירה, וציין </w:t>
      </w:r>
      <w:r w:rsidRPr="0050146A">
        <w:rPr>
          <w:rStyle w:val="af8"/>
          <w:rFonts w:hint="cs"/>
          <w:rtl/>
        </w:rPr>
        <w:t>הראש יוסף</w:t>
      </w:r>
      <w:r w:rsidRPr="0050146A">
        <w:rPr>
          <w:rFonts w:hint="cs"/>
          <w:rtl/>
        </w:rPr>
        <w:t xml:space="preserve"> לדברי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Ref9542409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50146A">
        <w:rPr>
          <w:rStyle w:val="af6"/>
          <w:rFonts w:eastAsia="Guttman Hodes"/>
          <w:rtl/>
        </w:rPr>
        <w:fldChar w:fldCharType="end"/>
      </w:r>
      <w:r w:rsidRPr="0050146A">
        <w:rPr>
          <w:rFonts w:hint="cs"/>
          <w:rtl/>
        </w:rPr>
        <w:t xml:space="preserve">. </w:t>
      </w:r>
      <w:r w:rsidRPr="0050146A">
        <w:rPr>
          <w:rStyle w:val="afa"/>
          <w:rFonts w:hint="cs"/>
          <w:rtl/>
        </w:rPr>
        <w:t xml:space="preserve">[וכסברת </w:t>
      </w:r>
      <w:r w:rsidRPr="0050146A">
        <w:rPr>
          <w:rStyle w:val="affa"/>
          <w:rFonts w:hint="cs"/>
          <w:rtl/>
        </w:rPr>
        <w:t>הרמב"ן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Ref9280145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נד)</w:t>
      </w:r>
      <w:r w:rsidRPr="0050146A">
        <w:rPr>
          <w:rStyle w:val="aff6"/>
          <w:rtl/>
        </w:rPr>
        <w:fldChar w:fldCharType="end"/>
      </w:r>
      <w:r w:rsidRPr="0050146A">
        <w:rPr>
          <w:rStyle w:val="afa"/>
          <w:rFonts w:hint="cs"/>
          <w:rtl/>
        </w:rPr>
        <w:t xml:space="preserve"> דמשערים אם נתמעט הרוטב ע"י האש, יותר ממה שנתמעט מהאיסור, וע"ע בדברי </w:t>
      </w:r>
      <w:r w:rsidRPr="0050146A">
        <w:rPr>
          <w:rStyle w:val="affa"/>
          <w:rFonts w:hint="cs"/>
          <w:rtl/>
        </w:rPr>
        <w:t xml:space="preserve">הר"ן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Ref9542425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סט)</w:t>
      </w:r>
      <w:r w:rsidRPr="0050146A">
        <w:rPr>
          <w:rStyle w:val="aff6"/>
          <w:rtl/>
        </w:rPr>
        <w:fldChar w:fldCharType="end"/>
      </w:r>
      <w:r w:rsidRPr="0050146A">
        <w:rPr>
          <w:rStyle w:val="afa"/>
          <w:rFonts w:hint="cs"/>
          <w:rtl/>
        </w:rPr>
        <w:t xml:space="preserve"> </w:t>
      </w:r>
      <w:r w:rsidRPr="0050146A">
        <w:rPr>
          <w:rStyle w:val="affa"/>
          <w:rFonts w:hint="cs"/>
          <w:rtl/>
        </w:rPr>
        <w:t>והראב"ד בע"ז</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Ref9542518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צד)</w:t>
      </w:r>
      <w:r w:rsidRPr="0050146A">
        <w:rPr>
          <w:rStyle w:val="aff6"/>
          <w:rtl/>
        </w:rPr>
        <w:fldChar w:fldCharType="end"/>
      </w:r>
      <w:r w:rsidRPr="0050146A">
        <w:rPr>
          <w:rStyle w:val="afa"/>
          <w:rFonts w:hint="cs"/>
          <w:rtl/>
        </w:rPr>
        <w:t>].</w:t>
      </w:r>
    </w:p>
    <w:p w:rsidR="00B2572D" w:rsidRPr="0050146A" w:rsidRDefault="00B2572D" w:rsidP="00B2572D">
      <w:pPr>
        <w:pStyle w:val="1"/>
        <w:rPr>
          <w:rtl/>
        </w:rPr>
      </w:pPr>
      <w:bookmarkStart w:id="2965" w:name="_Toc9760914"/>
      <w:r w:rsidRPr="0050146A">
        <w:rPr>
          <w:rFonts w:hint="cs"/>
          <w:rtl/>
        </w:rPr>
        <w:t>דברי הראש יוסף דרש"י לא פסק דלא כל"ב</w:t>
      </w:r>
      <w:bookmarkEnd w:id="2965"/>
    </w:p>
    <w:p w:rsidR="00B2572D" w:rsidRPr="0050146A" w:rsidRDefault="00B2572D" w:rsidP="00B2572D">
      <w:pPr>
        <w:pStyle w:val="a2"/>
        <w:rPr>
          <w:rtl/>
        </w:rPr>
      </w:pPr>
      <w:bookmarkStart w:id="2966" w:name="_Toc9760915"/>
      <w:r w:rsidRPr="0050146A">
        <w:rPr>
          <w:rFonts w:hint="cs"/>
          <w:rtl/>
        </w:rPr>
        <w:t>ביאור הראש יוסף דכוונת רש"י בסו"ד דלא משערים את ההיתר כעכשיו ואת האיסור כשעת הנפילה</w:t>
      </w:r>
      <w:bookmarkEnd w:id="2966"/>
    </w:p>
    <w:p w:rsidR="002D7168" w:rsidRDefault="00B2572D"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דלפי"ז 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Ref9439874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Fonts w:hint="cs"/>
          <w:rtl/>
        </w:rPr>
        <w:t xml:space="preserve"> בסו"ד דמשערים בעיקר הדבר כמו שבא לפנינו, כיון שהקדירה בלעה גם מהאיסור, אין כוונת </w:t>
      </w:r>
      <w:r w:rsidRPr="0050146A">
        <w:rPr>
          <w:rStyle w:val="af8"/>
          <w:rFonts w:hint="cs"/>
          <w:rtl/>
        </w:rPr>
        <w:t>רש"י</w:t>
      </w:r>
      <w:r w:rsidRPr="0050146A">
        <w:rPr>
          <w:rFonts w:hint="cs"/>
          <w:rtl/>
        </w:rPr>
        <w:t xml:space="preserve"> לפסוק להלכה דלא כהל"ב, </w:t>
      </w:r>
      <w:r w:rsidRPr="0050146A">
        <w:rPr>
          <w:rStyle w:val="afa"/>
          <w:rFonts w:hint="cs"/>
          <w:rtl/>
        </w:rPr>
        <w:t xml:space="preserve">[כדביארו </w:t>
      </w:r>
      <w:r w:rsidRPr="0050146A">
        <w:rPr>
          <w:rStyle w:val="affa"/>
          <w:rFonts w:hint="cs"/>
          <w:rtl/>
        </w:rPr>
        <w:t>הרשב"א והר"ן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Ref9352377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w:t>
      </w:r>
      <w:r w:rsidRPr="0050146A">
        <w:rPr>
          <w:rStyle w:val="aff6"/>
          <w:rtl/>
        </w:rPr>
        <w:fldChar w:fldCharType="end"/>
      </w:r>
      <w:r w:rsidRPr="0050146A">
        <w:rPr>
          <w:rStyle w:val="afa"/>
          <w:rFonts w:hint="cs"/>
          <w:rtl/>
        </w:rPr>
        <w:t xml:space="preserve"> בדעת </w:t>
      </w:r>
      <w:r w:rsidRPr="0050146A">
        <w:rPr>
          <w:rStyle w:val="affa"/>
          <w:rFonts w:hint="cs"/>
          <w:rtl/>
        </w:rPr>
        <w:t>רש"י</w:t>
      </w:r>
      <w:r w:rsidRPr="0050146A">
        <w:rPr>
          <w:rStyle w:val="afa"/>
          <w:rFonts w:hint="cs"/>
          <w:rtl/>
        </w:rPr>
        <w:t>],</w:t>
      </w:r>
      <w:r w:rsidRPr="0050146A">
        <w:rPr>
          <w:rFonts w:hint="cs"/>
          <w:rtl/>
        </w:rPr>
        <w:t xml:space="preserve"> אלא דבא </w:t>
      </w:r>
      <w:r w:rsidRPr="0050146A">
        <w:rPr>
          <w:rStyle w:val="af8"/>
          <w:rFonts w:hint="cs"/>
          <w:rtl/>
        </w:rPr>
        <w:t>רש"י</w:t>
      </w:r>
      <w:r w:rsidRPr="0050146A">
        <w:rPr>
          <w:rFonts w:hint="cs"/>
          <w:rtl/>
        </w:rPr>
        <w:t xml:space="preserve"> לומר דלדינא אין משערים את ההיתר כפי שאנו רואים עכשיו ואת האיסור כשעת הנפילה, דהא כמו שההיתר נתמעט, כך גם האיסור נתמעט, דהקדירה בלעה גם מהאיסור.</w:t>
      </w:r>
    </w:p>
    <w:p w:rsidR="00B2572D" w:rsidRPr="0050146A" w:rsidRDefault="00B2572D" w:rsidP="00B2572D">
      <w:pPr>
        <w:pStyle w:val="a2"/>
        <w:rPr>
          <w:rtl/>
        </w:rPr>
      </w:pPr>
      <w:bookmarkStart w:id="2967" w:name="_Toc9760916"/>
      <w:r w:rsidRPr="0050146A">
        <w:rPr>
          <w:rFonts w:hint="cs"/>
          <w:rtl/>
        </w:rPr>
        <w:t>דברי הראש יוסף בדעת רש"י דהא דמשערים בבלוע הוא דוקא כשעכשיו יש שישים</w:t>
      </w:r>
      <w:bookmarkEnd w:id="2967"/>
    </w:p>
    <w:p w:rsidR="00490B51" w:rsidRPr="0050146A" w:rsidRDefault="00B2572D" w:rsidP="009F44AF">
      <w:pPr>
        <w:pStyle w:val="a"/>
        <w:rPr>
          <w:rStyle w:val="af8"/>
          <w:b w:val="0"/>
          <w:bCs w:val="0"/>
        </w:rPr>
      </w:pPr>
      <w:bookmarkStart w:id="2968" w:name="_Ref9505449"/>
      <w:r w:rsidRPr="0050146A">
        <w:rPr>
          <w:rFonts w:hint="cs"/>
          <w:rtl/>
        </w:rPr>
        <w:t xml:space="preserve">אך כתב </w:t>
      </w:r>
      <w:r w:rsidRPr="0050146A">
        <w:rPr>
          <w:rStyle w:val="af8"/>
          <w:rFonts w:hint="cs"/>
          <w:rtl/>
        </w:rPr>
        <w:t>הראש יוסף</w:t>
      </w:r>
      <w:r w:rsidRPr="0050146A">
        <w:rPr>
          <w:rFonts w:hint="cs"/>
          <w:rtl/>
        </w:rPr>
        <w:t xml:space="preserve"> דמ"מ משמע </w:t>
      </w:r>
      <w:r w:rsidRPr="0050146A">
        <w:rPr>
          <w:rStyle w:val="af8"/>
          <w:rFonts w:hint="cs"/>
          <w:rtl/>
        </w:rPr>
        <w:t>ברש"</w:t>
      </w:r>
      <w:r w:rsidRPr="0050146A">
        <w:rPr>
          <w:rFonts w:hint="cs"/>
          <w:rtl/>
        </w:rPr>
        <w:t xml:space="preserve">י, דאף אם ידוע שבשעת נפילת האיסור היה שישים בהיתר כנגד האיסור, צריך שגם עכשיו יהיה שישים, אבל אם עכשיו אין שישים אסור, ולא מהני שהיה שישים בשעת הנפילה, ודלא כדברי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Ref9283312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בדעת </w:t>
      </w:r>
      <w:r w:rsidRPr="0050146A">
        <w:rPr>
          <w:rStyle w:val="af8"/>
          <w:rFonts w:hint="cs"/>
          <w:rtl/>
        </w:rPr>
        <w:t>רש"י.</w:t>
      </w:r>
      <w:bookmarkEnd w:id="2968"/>
    </w:p>
    <w:p w:rsidR="00B2572D" w:rsidRPr="0050146A" w:rsidRDefault="00B2572D" w:rsidP="00E669F8">
      <w:pPr>
        <w:pStyle w:val="afd"/>
        <w:rPr>
          <w:rtl/>
        </w:rPr>
      </w:pPr>
      <w:bookmarkStart w:id="2969" w:name="_Toc9760918"/>
      <w:bookmarkEnd w:id="2960"/>
      <w:r w:rsidRPr="0050146A">
        <w:rPr>
          <w:rtl/>
        </w:rPr>
        <w:t>דעת הרמב"ן דלל"ב בדרך בישול הקילו</w:t>
      </w:r>
    </w:p>
    <w:p w:rsidR="00B2572D" w:rsidRPr="0050146A" w:rsidRDefault="00B2572D" w:rsidP="00B2572D">
      <w:pPr>
        <w:pStyle w:val="1"/>
        <w:rPr>
          <w:rtl/>
        </w:rPr>
      </w:pPr>
      <w:r w:rsidRPr="0050146A">
        <w:rPr>
          <w:rFonts w:hint="cs"/>
          <w:rtl/>
        </w:rPr>
        <w:t>ביאור הרמב"ן בל"ב דהקילו לשער בבלוע ולא בנטל בידים</w:t>
      </w:r>
      <w:bookmarkEnd w:id="2969"/>
    </w:p>
    <w:p w:rsidR="00B2572D" w:rsidRPr="0050146A" w:rsidRDefault="00B2572D" w:rsidP="00B2572D">
      <w:pPr>
        <w:pStyle w:val="a2"/>
        <w:rPr>
          <w:rtl/>
        </w:rPr>
      </w:pPr>
      <w:bookmarkStart w:id="2970" w:name="_Toc9760919"/>
      <w:r w:rsidRPr="0050146A">
        <w:rPr>
          <w:rFonts w:hint="cs"/>
          <w:rtl/>
        </w:rPr>
        <w:t>ביאור הרמב"ן בל"ב דאמדינן שאם נתמעט הרוטב יותר משנתמעט האיסור דמשערים לקולא</w:t>
      </w:r>
      <w:bookmarkEnd w:id="2970"/>
    </w:p>
    <w:p w:rsidR="00B2572D" w:rsidRPr="0050146A" w:rsidRDefault="00B2572D" w:rsidP="009F44AF">
      <w:pPr>
        <w:pStyle w:val="a"/>
      </w:pPr>
      <w:bookmarkStart w:id="2971" w:name="_Ref9280145"/>
      <w:r w:rsidRPr="0050146A">
        <w:rPr>
          <w:rStyle w:val="af8"/>
          <w:rFonts w:hint="cs"/>
          <w:rtl/>
        </w:rPr>
        <w:t>הרמב"ן</w:t>
      </w:r>
      <w:r w:rsidRPr="0050146A">
        <w:rPr>
          <w:rFonts w:hint="cs"/>
          <w:rtl/>
        </w:rPr>
        <w:t xml:space="preserve"> </w:t>
      </w:r>
      <w:r w:rsidRPr="0050146A">
        <w:rPr>
          <w:rStyle w:val="af6"/>
          <w:rFonts w:eastAsia="Guttman Hodes" w:hint="cs"/>
          <w:rtl/>
        </w:rPr>
        <w:t>(ד"ה ובקדירה)</w:t>
      </w:r>
      <w:r w:rsidRPr="0050146A">
        <w:rPr>
          <w:rFonts w:hint="cs"/>
          <w:rtl/>
        </w:rPr>
        <w:t xml:space="preserve"> ביאר בדברי הל"ב דמשערים במה שבלעה הקדירה, משעת נפילת האיסור עד עכשיו, שאם נתמעט הרוטב ע"י האש, יותר ממה שנתמעט מהאיסור, משערינן כשעת נפילת האיסור לקולא.</w:t>
      </w:r>
      <w:bookmarkEnd w:id="2971"/>
    </w:p>
    <w:p w:rsidR="00B2572D" w:rsidRPr="0050146A" w:rsidRDefault="00B2572D" w:rsidP="00B2572D">
      <w:pPr>
        <w:pStyle w:val="a2"/>
        <w:rPr>
          <w:rtl/>
        </w:rPr>
      </w:pPr>
      <w:bookmarkStart w:id="2972" w:name="_Toc9760920"/>
      <w:r w:rsidRPr="0050146A">
        <w:rPr>
          <w:rFonts w:hint="cs"/>
          <w:rtl/>
        </w:rPr>
        <w:t>קושית הרמב"ן והרשב"א דאמאי אין האיסור חוזר ואוסר אחר שעכשיו אין שישים כנגדו</w:t>
      </w:r>
      <w:bookmarkEnd w:id="2972"/>
    </w:p>
    <w:p w:rsidR="00B2572D" w:rsidRPr="0050146A" w:rsidRDefault="00B2572D" w:rsidP="009F44AF">
      <w:pPr>
        <w:pStyle w:val="a"/>
        <w:rPr>
          <w:rtl/>
        </w:rPr>
      </w:pPr>
      <w:bookmarkStart w:id="2973" w:name="_Ref9716388"/>
      <w:r w:rsidRPr="0050146A">
        <w:rPr>
          <w:rFonts w:hint="cs"/>
          <w:rtl/>
        </w:rPr>
        <w:t xml:space="preserve">אך הקשה </w:t>
      </w:r>
      <w:r w:rsidRPr="0050146A">
        <w:rPr>
          <w:rStyle w:val="af8"/>
          <w:rFonts w:hint="cs"/>
          <w:rtl/>
        </w:rPr>
        <w:t>הרמב"ן</w:t>
      </w:r>
      <w:r w:rsidRPr="0050146A">
        <w:rPr>
          <w:rFonts w:hint="cs"/>
          <w:rtl/>
        </w:rPr>
        <w:t xml:space="preserve"> דא"כ אם יפול איסור לתוך קדירה של היתר שיש בה שישים כנגדו, ואח"כ ניטל חלק מההיתר מהקדירה, ועכשיו אין שישים כנגדו, דודאי דהוא חוזר ואוסר את כל הקדירה, דאף שבשעת נפילה נתבטל בשישים כנגדו, מ"מ עכשיו הוא חוזר וניעור, ואי נימא דאינו אוסר, א"כ מצינו איסור שבטל בפחות משישים, וכן הקשה </w:t>
      </w:r>
      <w:r w:rsidRPr="0050146A">
        <w:rPr>
          <w:rStyle w:val="af8"/>
          <w:rFonts w:hint="cs"/>
          <w:rtl/>
        </w:rPr>
        <w:t>הרשב"א בחי'</w:t>
      </w:r>
      <w:r w:rsidRPr="0050146A">
        <w:rPr>
          <w:rFonts w:hint="cs"/>
          <w:rtl/>
        </w:rPr>
        <w:t xml:space="preserve"> </w:t>
      </w:r>
      <w:r w:rsidRPr="0050146A">
        <w:rPr>
          <w:rStyle w:val="af6"/>
          <w:rFonts w:eastAsia="Guttman Hodes" w:hint="cs"/>
          <w:rtl/>
        </w:rPr>
        <w:t>(ד"ה ובקדירה)</w:t>
      </w:r>
      <w:r w:rsidRPr="0050146A">
        <w:rPr>
          <w:rtl/>
        </w:rPr>
        <w:t xml:space="preserve"> </w:t>
      </w:r>
      <w:r w:rsidRPr="0050146A">
        <w:rPr>
          <w:rStyle w:val="af8"/>
          <w:rtl/>
        </w:rPr>
        <w:t>ובתוה"ב</w:t>
      </w:r>
      <w:r w:rsidRPr="0050146A">
        <w:rPr>
          <w:rtl/>
        </w:rPr>
        <w:t xml:space="preserve"> </w:t>
      </w:r>
      <w:r w:rsidRPr="0050146A">
        <w:rPr>
          <w:rStyle w:val="af6"/>
          <w:rFonts w:eastAsia="Guttman Hodes" w:hint="cs"/>
          <w:rtl/>
        </w:rPr>
        <w:t>(ב"ד ש"א ה: מדה"ס)</w:t>
      </w:r>
      <w:r w:rsidRPr="0050146A">
        <w:rPr>
          <w:rFonts w:hint="cs"/>
          <w:rtl/>
        </w:rPr>
        <w:t xml:space="preserve"> על ביאורו בדעת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Ref9283312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Fonts w:hint="cs"/>
          <w:rtl/>
        </w:rPr>
        <w:t xml:space="preserve">, ועי' במה שביאר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סק"ד ד"ה ובאמת)</w:t>
      </w:r>
      <w:r w:rsidRPr="0050146A">
        <w:rPr>
          <w:rFonts w:hint="cs"/>
          <w:rtl/>
        </w:rPr>
        <w:t xml:space="preserve"> בדעת </w:t>
      </w:r>
      <w:r w:rsidRPr="0050146A">
        <w:rPr>
          <w:rStyle w:val="af8"/>
          <w:rFonts w:hint="cs"/>
          <w:rtl/>
        </w:rPr>
        <w:t>הרשב"א</w:t>
      </w:r>
      <w:r w:rsidRPr="0050146A">
        <w:rPr>
          <w:rFonts w:hint="cs"/>
          <w:rtl/>
        </w:rPr>
        <w:t>.</w:t>
      </w:r>
    </w:p>
    <w:p w:rsidR="00B2572D" w:rsidRPr="0050146A" w:rsidRDefault="00B2572D" w:rsidP="00B2572D">
      <w:pPr>
        <w:pStyle w:val="a2"/>
      </w:pPr>
      <w:bookmarkStart w:id="2974" w:name="_Toc9760921"/>
      <w:r w:rsidRPr="0050146A">
        <w:rPr>
          <w:rFonts w:hint="cs"/>
          <w:rtl/>
        </w:rPr>
        <w:t>דברי הרמב"ן והרשב"א דבמתני' בתרומות מבואר דמשערים כפי השיעור שלפנינו</w:t>
      </w:r>
      <w:bookmarkEnd w:id="2974"/>
    </w:p>
    <w:p w:rsidR="00B2572D" w:rsidRPr="0050146A" w:rsidRDefault="00B2572D" w:rsidP="009F44AF">
      <w:pPr>
        <w:pStyle w:val="a"/>
        <w:rPr>
          <w:rtl/>
        </w:rPr>
      </w:pPr>
      <w:r w:rsidRPr="0050146A">
        <w:rPr>
          <w:rFonts w:hint="cs"/>
          <w:rtl/>
        </w:rPr>
        <w:t xml:space="preserve">והוסיפו </w:t>
      </w:r>
      <w:r w:rsidRPr="0050146A">
        <w:rPr>
          <w:rStyle w:val="af8"/>
          <w:rFonts w:hint="cs"/>
          <w:rtl/>
        </w:rPr>
        <w:t>הרמב"ן והרשב"א</w:t>
      </w:r>
      <w:r w:rsidRPr="0050146A">
        <w:rPr>
          <w:rFonts w:hint="cs"/>
          <w:rtl/>
        </w:rPr>
        <w:t xml:space="preserve"> דהא תנן בתרומות </w:t>
      </w:r>
      <w:r w:rsidRPr="0050146A">
        <w:rPr>
          <w:rStyle w:val="af6"/>
          <w:rFonts w:eastAsia="Guttman Hodes" w:hint="cs"/>
          <w:rtl/>
        </w:rPr>
        <w:t>(פ"מ מ"ט)</w:t>
      </w:r>
      <w:r w:rsidRPr="0050146A">
        <w:rPr>
          <w:rFonts w:hint="cs"/>
          <w:rtl/>
        </w:rPr>
        <w:t xml:space="preserve"> דסאה תרומה שנפלה לתוך מאה חולין, וטחן את הכל, דכשם שפחתו החולין כך פחתה התרומה ומותר, ומבואר דדוקא כיון ששניהם פחתו יחד, אבל במקום שהחולין פחתו והתרומה לא פחתה אסור, וכ"ש באיסורין שהם בנותן טעם, דכשההיתר פחת ולא האיסור דהוא אוסר, אף שבתחילה היה שישים כנגדו, וכן הקשה </w:t>
      </w:r>
      <w:r w:rsidRPr="0050146A">
        <w:rPr>
          <w:rStyle w:val="af8"/>
          <w:rFonts w:hint="cs"/>
          <w:rtl/>
        </w:rPr>
        <w:t>הרשב"א</w:t>
      </w:r>
      <w:r w:rsidRPr="0050146A">
        <w:rPr>
          <w:rFonts w:hint="cs"/>
          <w:rtl/>
        </w:rPr>
        <w:t xml:space="preserve"> </w:t>
      </w:r>
      <w:r w:rsidRPr="0050146A">
        <w:rPr>
          <w:rStyle w:val="af6"/>
          <w:rFonts w:eastAsia="Guttman Hodes" w:hint="cs"/>
          <w:rtl/>
        </w:rPr>
        <w:t>(ד"ה ובקדירה)</w:t>
      </w:r>
      <w:r w:rsidRPr="0050146A">
        <w:rPr>
          <w:rtl/>
        </w:rPr>
        <w:t xml:space="preserve"> </w:t>
      </w:r>
      <w:r w:rsidRPr="0050146A">
        <w:rPr>
          <w:rStyle w:val="af8"/>
          <w:rtl/>
        </w:rPr>
        <w:t>ובתוה"ב</w:t>
      </w:r>
      <w:r w:rsidRPr="0050146A">
        <w:rPr>
          <w:rtl/>
        </w:rPr>
        <w:t xml:space="preserve"> </w:t>
      </w:r>
      <w:r w:rsidRPr="0050146A">
        <w:rPr>
          <w:rStyle w:val="af6"/>
          <w:rFonts w:eastAsia="Guttman Hodes" w:hint="cs"/>
          <w:rtl/>
        </w:rPr>
        <w:t>(ב"ד ש"א ה: מדה"ס)</w:t>
      </w:r>
      <w:r w:rsidRPr="0050146A">
        <w:rPr>
          <w:rFonts w:hint="cs"/>
          <w:rtl/>
        </w:rPr>
        <w:t xml:space="preserve">. על ביאורו בדעת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Ref9283312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Fonts w:hint="cs"/>
          <w:rtl/>
        </w:rPr>
        <w:t>.</w:t>
      </w:r>
      <w:bookmarkEnd w:id="2973"/>
    </w:p>
    <w:p w:rsidR="00B2572D" w:rsidRPr="0050146A" w:rsidRDefault="00B2572D" w:rsidP="00B2572D">
      <w:pPr>
        <w:pStyle w:val="a2"/>
        <w:rPr>
          <w:rtl/>
        </w:rPr>
      </w:pPr>
      <w:bookmarkStart w:id="2975" w:name="_Toc9760922"/>
      <w:r w:rsidRPr="0050146A">
        <w:rPr>
          <w:rFonts w:hint="cs"/>
          <w:rtl/>
        </w:rPr>
        <w:t>קושית הרשב"א והר"ן דמ"ש אותה קדירה שהתבטל בה  מנפל לקדירה אחרת דודאי אוסר</w:t>
      </w:r>
      <w:bookmarkEnd w:id="2975"/>
    </w:p>
    <w:p w:rsidR="00B2572D" w:rsidRPr="0050146A" w:rsidRDefault="00B2572D" w:rsidP="009F44AF">
      <w:pPr>
        <w:pStyle w:val="a"/>
        <w:rPr>
          <w:rtl/>
        </w:rPr>
      </w:pPr>
      <w:bookmarkStart w:id="2976" w:name="_Ref9932010"/>
      <w:r w:rsidRPr="0050146A">
        <w:rPr>
          <w:rStyle w:val="af8"/>
          <w:rFonts w:hint="cs"/>
          <w:rtl/>
        </w:rPr>
        <w:t>והרשב"א</w:t>
      </w:r>
      <w:r w:rsidRPr="0050146A">
        <w:rPr>
          <w:rFonts w:hint="cs"/>
          <w:rtl/>
        </w:rPr>
        <w:t xml:space="preserve"> </w:t>
      </w:r>
      <w:r w:rsidRPr="0050146A">
        <w:rPr>
          <w:rStyle w:val="af8"/>
          <w:rFonts w:hint="cs"/>
          <w:rtl/>
        </w:rPr>
        <w:t>והר"ן על הרי"ף</w:t>
      </w:r>
      <w:r w:rsidRPr="0050146A">
        <w:rPr>
          <w:rFonts w:hint="cs"/>
          <w:rtl/>
        </w:rPr>
        <w:t xml:space="preserve"> </w:t>
      </w:r>
      <w:r w:rsidRPr="0050146A">
        <w:rPr>
          <w:rStyle w:val="af6"/>
          <w:rFonts w:eastAsia="Guttman Hodes" w:hint="cs"/>
          <w:rtl/>
        </w:rPr>
        <w:t>(לד: מדפי הרי"ף ד"ה א"ר חנינא)</w:t>
      </w:r>
      <w:r w:rsidRPr="0050146A">
        <w:rPr>
          <w:rFonts w:hint="cs"/>
          <w:rtl/>
        </w:rPr>
        <w:t xml:space="preserve"> הוסיפו להקשות דאף אי נימא דבשעה שנפל האיסור לקדירה, היה שישים בהיתר כנגד האיסור, מ"מ הרי עכשיו אחר הבישול שאין שישים בהיתר כנגד האיסור, אמאי אין האיסור חוזר ואוסרו, דהא אי נפל האיסור עכשיו לקדירה אחרת, צריך שישים כנגדו, ומ"ש הקדירה שהתבשל בה עם ההיתר מקדירה אחרת, ועי' במה שביאר </w:t>
      </w:r>
      <w:r w:rsidRPr="0050146A">
        <w:rPr>
          <w:rStyle w:val="af8"/>
          <w:rFonts w:hint="cs"/>
          <w:rtl/>
        </w:rPr>
        <w:t>הרשב"א בתשו' ובמשה"ב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Ref9440445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r w:rsidRPr="0050146A">
        <w:rPr>
          <w:rFonts w:hint="cs"/>
          <w:rtl/>
        </w:rPr>
        <w:t>.</w:t>
      </w:r>
      <w:bookmarkEnd w:id="2976"/>
    </w:p>
    <w:p w:rsidR="00B2572D" w:rsidRPr="0050146A" w:rsidRDefault="00B2572D" w:rsidP="00B2572D">
      <w:pPr>
        <w:pStyle w:val="a2"/>
        <w:rPr>
          <w:rtl/>
        </w:rPr>
      </w:pPr>
      <w:bookmarkStart w:id="2977" w:name="_Toc9760923"/>
      <w:r w:rsidRPr="0050146A">
        <w:rPr>
          <w:rFonts w:hint="cs"/>
          <w:rtl/>
        </w:rPr>
        <w:t>ביאור הרמב"ן דבדרך בישול הקילו להחשיב את מה שהתמעט אבל בנטל היתר בידים אסור</w:t>
      </w:r>
      <w:bookmarkEnd w:id="2977"/>
    </w:p>
    <w:p w:rsidR="00B2572D" w:rsidRPr="0050146A" w:rsidRDefault="00B2572D" w:rsidP="009F44AF">
      <w:pPr>
        <w:pStyle w:val="a"/>
        <w:rPr>
          <w:rtl/>
        </w:rPr>
      </w:pPr>
      <w:bookmarkStart w:id="2978" w:name="_Ref9281085"/>
      <w:r w:rsidRPr="0050146A">
        <w:rPr>
          <w:rFonts w:hint="cs"/>
          <w:rtl/>
        </w:rPr>
        <w:t xml:space="preserve">ותירץ </w:t>
      </w:r>
      <w:r w:rsidRPr="0050146A">
        <w:rPr>
          <w:rStyle w:val="af8"/>
          <w:rFonts w:hint="cs"/>
          <w:rtl/>
        </w:rPr>
        <w:t>הרמב"ן</w:t>
      </w:r>
      <w:r w:rsidRPr="0050146A">
        <w:rPr>
          <w:rFonts w:hint="cs"/>
          <w:rtl/>
        </w:rPr>
        <w:t xml:space="preserve"> דהא דמשערים במה שבלעה הקדירה, הוא קולא דכיון שנתמעט ההיתר דרך בישול אחר שנפל האיסור לשם, דמחשיבים גם את מה שנתמעט, אבל אם נטל רוטב ומיעט את האיסור בידים, לא משערים כשעת נפילת האיסור, אלא כפי השיעור עכשיו</w:t>
      </w:r>
      <w:bookmarkStart w:id="2979" w:name="_Ref9501055"/>
      <w:r w:rsidRPr="0050146A">
        <w:rPr>
          <w:rStyle w:val="af0"/>
          <w:rtl/>
        </w:rPr>
        <w:footnoteReference w:id="11"/>
      </w:r>
      <w:bookmarkEnd w:id="2979"/>
      <w:r w:rsidRPr="0050146A">
        <w:rPr>
          <w:rFonts w:hint="cs"/>
          <w:rtl/>
        </w:rPr>
        <w:t>.</w:t>
      </w:r>
      <w:bookmarkEnd w:id="2978"/>
    </w:p>
    <w:p w:rsidR="00B2572D" w:rsidRPr="0050146A" w:rsidRDefault="00B2572D" w:rsidP="00B2572D">
      <w:pPr>
        <w:pStyle w:val="a2"/>
        <w:rPr>
          <w:rtl/>
        </w:rPr>
      </w:pPr>
      <w:bookmarkStart w:id="2980" w:name="_Toc9760924"/>
      <w:bookmarkStart w:id="2981" w:name="_Toc9501153"/>
      <w:bookmarkStart w:id="2982" w:name="_Toc9542854"/>
      <w:bookmarkStart w:id="2983" w:name="_Toc9544958"/>
      <w:bookmarkStart w:id="2984" w:name="_Toc9591672"/>
      <w:r w:rsidRPr="0050146A">
        <w:rPr>
          <w:rFonts w:hint="cs"/>
          <w:rtl/>
        </w:rPr>
        <w:t>דברי המאירי דבתרומה איירי כשהיא בעין אבל באיסור שאינו בעין אין בו כח לחזור ולאסור</w:t>
      </w:r>
      <w:bookmarkEnd w:id="2980"/>
    </w:p>
    <w:p w:rsidR="00B2572D" w:rsidRPr="0050146A" w:rsidRDefault="00B2572D" w:rsidP="009F44AF">
      <w:pPr>
        <w:pStyle w:val="a"/>
        <w:rPr>
          <w:rtl/>
        </w:rPr>
      </w:pPr>
      <w:r w:rsidRPr="0050146A">
        <w:rPr>
          <w:rStyle w:val="af8"/>
          <w:rFonts w:hint="cs"/>
          <w:rtl/>
        </w:rPr>
        <w:t>והמאירי</w:t>
      </w:r>
      <w:r w:rsidRPr="0050146A">
        <w:rPr>
          <w:rFonts w:hint="cs"/>
          <w:rtl/>
        </w:rPr>
        <w:t xml:space="preserve"> </w:t>
      </w:r>
      <w:r w:rsidRPr="0050146A">
        <w:rPr>
          <w:rStyle w:val="af6"/>
          <w:rFonts w:eastAsia="Guttman Hodes" w:hint="cs"/>
          <w:rtl/>
        </w:rPr>
        <w:t>(ד"ה ומ"מ)</w:t>
      </w:r>
      <w:r w:rsidRPr="0050146A">
        <w:rPr>
          <w:rFonts w:hint="cs"/>
          <w:rtl/>
        </w:rPr>
        <w:t xml:space="preserve"> דחה את ראיית </w:t>
      </w:r>
      <w:r w:rsidRPr="0050146A">
        <w:rPr>
          <w:rStyle w:val="af8"/>
          <w:rFonts w:hint="cs"/>
          <w:rtl/>
        </w:rPr>
        <w:t>הרמב"ן</w:t>
      </w:r>
      <w:r w:rsidRPr="0050146A">
        <w:rPr>
          <w:rFonts w:hint="cs"/>
          <w:rtl/>
        </w:rPr>
        <w:t xml:space="preserve"> מהמשנה בתרומה, דדוקא בתרומה שהיא בעין אלא שהיא מעורבת בחולין ולא ידוע </w:t>
      </w:r>
      <w:r w:rsidRPr="0050146A">
        <w:rPr>
          <w:rFonts w:hint="cs"/>
          <w:rtl/>
        </w:rPr>
        <w:lastRenderedPageBreak/>
        <w:t xml:space="preserve">היכן היא נמצאת, משערים כפי שעת הנפילה, אבל הכא שהאיסור אינו בעין וכ"מ שהוא אוסר הוא מחמת דהאיסור פלט לתוך ההיתר, א"כ אמרינן דבתחילת הבישול שהיה שישים בהיתר כנגד האיסור, כבר פלט האיסור הרבה לתוך ההיתר, וכשנתמעט הרוטב של ההיתר, כבר נחלש כח הפליטה של האיסור, ולכן משערים את האיסור כפי שעת הנפילה, ולא כפי שיעורו עכשיו, אך כתב </w:t>
      </w:r>
      <w:r w:rsidRPr="0050146A">
        <w:rPr>
          <w:rStyle w:val="af8"/>
          <w:rFonts w:hint="cs"/>
          <w:rtl/>
        </w:rPr>
        <w:t xml:space="preserve">המאירי </w:t>
      </w:r>
      <w:r w:rsidRPr="0050146A">
        <w:rPr>
          <w:rFonts w:hint="cs"/>
          <w:rtl/>
        </w:rPr>
        <w:t>דמ"מ ראוי להחמיר בזה.</w:t>
      </w:r>
    </w:p>
    <w:p w:rsidR="00B2572D" w:rsidRPr="0050146A" w:rsidRDefault="00B2572D" w:rsidP="00B2572D">
      <w:pPr>
        <w:pStyle w:val="a2"/>
        <w:rPr>
          <w:rtl/>
        </w:rPr>
      </w:pPr>
      <w:r w:rsidRPr="0050146A">
        <w:rPr>
          <w:rFonts w:hint="cs"/>
          <w:rtl/>
        </w:rPr>
        <w:t>תירוץ הפרי תואר דההיתר הבלוע לא נאבד דהבלוע חשיב כנמצא בעין ולא דמי לתרומה דפיחתה</w:t>
      </w:r>
    </w:p>
    <w:p w:rsidR="00B2572D" w:rsidRPr="0050146A" w:rsidRDefault="00B2572D" w:rsidP="009F44AF">
      <w:pPr>
        <w:pStyle w:val="a"/>
      </w:pPr>
      <w:r w:rsidRPr="0050146A">
        <w:rPr>
          <w:rStyle w:val="af8"/>
          <w:rFonts w:hint="cs"/>
          <w:rtl/>
        </w:rPr>
        <w:t>והפרי תואר</w:t>
      </w:r>
      <w:r w:rsidRPr="0050146A">
        <w:rPr>
          <w:rFonts w:hint="cs"/>
          <w:rtl/>
        </w:rPr>
        <w:t xml:space="preserve"> </w:t>
      </w:r>
      <w:r w:rsidRPr="0050146A">
        <w:rPr>
          <w:rStyle w:val="af6"/>
          <w:rFonts w:eastAsia="Guttman Hodes" w:hint="cs"/>
          <w:rtl/>
        </w:rPr>
        <w:t>(סי' צ"ט סק"ד ד"ה ומה שהקשה)</w:t>
      </w:r>
      <w:r w:rsidRPr="0050146A">
        <w:rPr>
          <w:rFonts w:hint="cs"/>
          <w:rtl/>
        </w:rPr>
        <w:t xml:space="preserve"> תירץ דבתרומה כל ההיתר הוא כיון דאמרינן דכמו שנפחת ההיתר כך נפחתה התרומה, אבל בלא"ה היה אסור דהא האיסור הוא יותר מההיתר, אבל בבלוע בקדירה, גם אם נתמעט ההיתר יותר, מ"מ הוא עדיין בעין שהוא בלוע בקדירה ולא נאבד, ולכן הוא מצטרף לבטל.</w:t>
      </w:r>
    </w:p>
    <w:p w:rsidR="00B2572D" w:rsidRPr="0050146A" w:rsidRDefault="00B2572D" w:rsidP="00B2572D">
      <w:pPr>
        <w:pStyle w:val="a2"/>
        <w:rPr>
          <w:rtl/>
        </w:rPr>
      </w:pPr>
      <w:r w:rsidRPr="0050146A">
        <w:rPr>
          <w:rFonts w:hint="cs"/>
          <w:rtl/>
        </w:rPr>
        <w:t>תירוץ הפרי תואר דלדעת רש"י בנפל לקדירה אחרת אם ידוע שיש בה בליעת היתר משערים בבלוע</w:t>
      </w:r>
    </w:p>
    <w:p w:rsidR="00B2572D" w:rsidRPr="0050146A" w:rsidRDefault="00B2572D" w:rsidP="009F44AF">
      <w:pPr>
        <w:pStyle w:val="a"/>
      </w:pPr>
      <w:r w:rsidRPr="0050146A">
        <w:rPr>
          <w:rFonts w:hint="cs"/>
          <w:rtl/>
        </w:rPr>
        <w:t xml:space="preserve">ובמה שהקשו </w:t>
      </w:r>
      <w:r w:rsidRPr="0050146A">
        <w:rPr>
          <w:rStyle w:val="af8"/>
          <w:rFonts w:hint="cs"/>
          <w:rtl/>
        </w:rPr>
        <w:t>הרשב"א והר"ן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Ref9932010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50146A">
        <w:rPr>
          <w:rStyle w:val="af6"/>
          <w:rFonts w:eastAsia="Guttman Hodes"/>
          <w:rtl/>
        </w:rPr>
        <w:fldChar w:fldCharType="end"/>
      </w:r>
      <w:r w:rsidRPr="0050146A">
        <w:rPr>
          <w:rFonts w:hint="cs"/>
          <w:rtl/>
        </w:rPr>
        <w:t xml:space="preserve"> מנפל לקדירה אחרת, תירץ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סק"ד ד"ה ואבואה)</w:t>
      </w:r>
      <w:r w:rsidRPr="0050146A">
        <w:rPr>
          <w:rFonts w:hint="cs"/>
          <w:rtl/>
        </w:rPr>
        <w:t xml:space="preserve"> דבנפל לקדירה אחרת לדעת </w:t>
      </w:r>
      <w:r w:rsidRPr="0050146A">
        <w:rPr>
          <w:rStyle w:val="af8"/>
          <w:rFonts w:hint="cs"/>
          <w:rtl/>
        </w:rPr>
        <w:t>רש"י</w:t>
      </w:r>
      <w:r w:rsidRPr="0050146A">
        <w:rPr>
          <w:rFonts w:hint="cs"/>
          <w:rtl/>
        </w:rPr>
        <w:t xml:space="preserve"> אם ידוע שיש גם בקדירה השניה בליעה של היתר משערים אף בבלוע.</w:t>
      </w:r>
    </w:p>
    <w:p w:rsidR="00B2572D" w:rsidRPr="0050146A" w:rsidRDefault="00B2572D" w:rsidP="00B2572D">
      <w:pPr>
        <w:pStyle w:val="1"/>
        <w:rPr>
          <w:rtl/>
        </w:rPr>
      </w:pPr>
      <w:bookmarkStart w:id="2985" w:name="_Toc9760925"/>
      <w:r w:rsidRPr="0050146A">
        <w:rPr>
          <w:rFonts w:hint="cs"/>
          <w:rtl/>
        </w:rPr>
        <w:t>דברי הרשב"א</w:t>
      </w:r>
      <w:bookmarkEnd w:id="2981"/>
      <w:bookmarkEnd w:id="2982"/>
      <w:bookmarkEnd w:id="2983"/>
      <w:bookmarkEnd w:id="2984"/>
      <w:r w:rsidRPr="0050146A">
        <w:rPr>
          <w:rFonts w:hint="cs"/>
          <w:rtl/>
        </w:rPr>
        <w:t xml:space="preserve"> דבדרבנן קיי"ל כל"ב לקולא</w:t>
      </w:r>
      <w:bookmarkEnd w:id="2985"/>
    </w:p>
    <w:p w:rsidR="00B2572D" w:rsidRPr="0050146A" w:rsidRDefault="00B2572D" w:rsidP="00B2572D">
      <w:pPr>
        <w:pStyle w:val="a2"/>
        <w:rPr>
          <w:rtl/>
        </w:rPr>
      </w:pPr>
      <w:bookmarkStart w:id="2986" w:name="_Toc9760926"/>
      <w:r w:rsidRPr="0050146A">
        <w:rPr>
          <w:rFonts w:hint="cs"/>
          <w:rtl/>
        </w:rPr>
        <w:t>דברי הרמב"ן והרשב"א והריטב"א דקיי"ל לקולא כל"ב וביאור הרשב"א דהוא דרבנן</w:t>
      </w:r>
      <w:bookmarkEnd w:id="2986"/>
    </w:p>
    <w:p w:rsidR="00B2572D" w:rsidRPr="0050146A" w:rsidRDefault="00B2572D" w:rsidP="009F44AF">
      <w:pPr>
        <w:pStyle w:val="a"/>
        <w:rPr>
          <w:rtl/>
        </w:rPr>
      </w:pPr>
      <w:bookmarkStart w:id="2987" w:name="_Ref9439823"/>
      <w:r w:rsidRPr="0050146A">
        <w:rPr>
          <w:rFonts w:hint="cs"/>
          <w:rtl/>
        </w:rPr>
        <w:t xml:space="preserve">וכתב </w:t>
      </w:r>
      <w:r w:rsidRPr="0050146A">
        <w:rPr>
          <w:rStyle w:val="af8"/>
          <w:rFonts w:hint="cs"/>
          <w:rtl/>
        </w:rPr>
        <w:t>הרמב"ן</w:t>
      </w:r>
      <w:r w:rsidRPr="0050146A">
        <w:rPr>
          <w:rFonts w:hint="cs"/>
          <w:rtl/>
        </w:rPr>
        <w:t xml:space="preserve"> </w:t>
      </w:r>
      <w:r w:rsidRPr="0050146A">
        <w:rPr>
          <w:rStyle w:val="af6"/>
          <w:rFonts w:eastAsia="Guttman Hodes" w:hint="cs"/>
          <w:rtl/>
        </w:rPr>
        <w:t>(ד"ה ובקדירה)</w:t>
      </w:r>
      <w:r w:rsidRPr="0050146A">
        <w:rPr>
          <w:rFonts w:hint="cs"/>
          <w:rtl/>
        </w:rPr>
        <w:t xml:space="preserve"> דמשמע דקיי"ל לקולא כל"ב, וכ"כ </w:t>
      </w:r>
      <w:r w:rsidRPr="0050146A">
        <w:rPr>
          <w:rStyle w:val="af8"/>
          <w:rFonts w:hint="cs"/>
          <w:rtl/>
        </w:rPr>
        <w:t>הרשב"א</w:t>
      </w:r>
      <w:r w:rsidRPr="0050146A">
        <w:rPr>
          <w:rFonts w:hint="cs"/>
          <w:rtl/>
        </w:rPr>
        <w:t xml:space="preserve"> </w:t>
      </w:r>
      <w:r w:rsidRPr="0050146A">
        <w:rPr>
          <w:rStyle w:val="af8"/>
          <w:rFonts w:hint="cs"/>
          <w:rtl/>
        </w:rPr>
        <w:t>בחי'</w:t>
      </w:r>
      <w:r w:rsidRPr="0050146A">
        <w:rPr>
          <w:rFonts w:hint="cs"/>
          <w:rtl/>
        </w:rPr>
        <w:t xml:space="preserve"> </w:t>
      </w:r>
      <w:r w:rsidRPr="0050146A">
        <w:rPr>
          <w:rStyle w:val="af6"/>
          <w:rFonts w:eastAsia="Guttman Hodes" w:hint="cs"/>
          <w:rtl/>
        </w:rPr>
        <w:t>(סוד"ה ובקדירה)</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ה: מדה"ס) </w:t>
      </w:r>
      <w:r w:rsidRPr="0050146A">
        <w:rPr>
          <w:rStyle w:val="af8"/>
          <w:rFonts w:hint="cs"/>
          <w:rtl/>
        </w:rPr>
        <w:t>ובתשו'</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Ref9439771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דכיון שהשיעורים הם מדרבנן, אזלינן לקולא, וקיי"ל כל"ב דמשערים גם במה שבלוע ועומד בדפני הקדירה, ומשערים אותו באומד יפה</w:t>
      </w:r>
      <w:r w:rsidRPr="0050146A">
        <w:rPr>
          <w:rStyle w:val="af0"/>
          <w:rtl/>
        </w:rPr>
        <w:footnoteReference w:id="12"/>
      </w:r>
      <w:r w:rsidRPr="0050146A">
        <w:rPr>
          <w:rFonts w:hint="cs"/>
          <w:rtl/>
        </w:rPr>
        <w:t xml:space="preserve">, וכ"כ </w:t>
      </w:r>
      <w:r w:rsidRPr="0050146A">
        <w:rPr>
          <w:rStyle w:val="af8"/>
          <w:rFonts w:hint="cs"/>
          <w:rtl/>
        </w:rPr>
        <w:t>הריטב"א</w:t>
      </w:r>
      <w:r w:rsidRPr="0050146A">
        <w:rPr>
          <w:rStyle w:val="af6"/>
          <w:rFonts w:eastAsia="Guttman Hodes" w:hint="cs"/>
          <w:rtl/>
        </w:rPr>
        <w:t xml:space="preserve"> (ד"ה ובקדירה)</w:t>
      </w:r>
      <w:r w:rsidRPr="0050146A">
        <w:rPr>
          <w:rFonts w:hint="cs"/>
          <w:rtl/>
        </w:rPr>
        <w:t xml:space="preserve"> דלהלכה קיי"ל לקולא </w:t>
      </w:r>
      <w:r w:rsidRPr="0050146A">
        <w:rPr>
          <w:rStyle w:val="afa"/>
          <w:rFonts w:hint="cs"/>
          <w:rtl/>
        </w:rPr>
        <w:t xml:space="preserve">[כל"ב דמשערים אף במה שבלעה הקדירה], </w:t>
      </w:r>
      <w:r w:rsidRPr="0050146A">
        <w:rPr>
          <w:rFonts w:hint="cs"/>
          <w:rtl/>
        </w:rPr>
        <w:t>דהא שישים הוא דרבנן.</w:t>
      </w:r>
      <w:bookmarkEnd w:id="2987"/>
    </w:p>
    <w:p w:rsidR="00B2572D" w:rsidRPr="0050146A" w:rsidRDefault="00B2572D" w:rsidP="00B2572D">
      <w:pPr>
        <w:pStyle w:val="a2"/>
        <w:rPr>
          <w:rtl/>
        </w:rPr>
      </w:pPr>
      <w:r w:rsidRPr="0050146A">
        <w:rPr>
          <w:rFonts w:hint="cs"/>
          <w:rtl/>
        </w:rPr>
        <w:t>דברי הרשב"א דבמין בשאינו מינו אין משערים בבלוע כיון שהוא איסור דאו'</w:t>
      </w:r>
    </w:p>
    <w:p w:rsidR="00B2572D" w:rsidRPr="0050146A" w:rsidRDefault="00B2572D" w:rsidP="009F44AF">
      <w:pPr>
        <w:pStyle w:val="a"/>
        <w:rPr>
          <w:rtl/>
        </w:rPr>
      </w:pPr>
      <w:r w:rsidRPr="0050146A">
        <w:rPr>
          <w:rFonts w:hint="cs"/>
          <w:rtl/>
        </w:rPr>
        <w:t xml:space="preserve">וכתב </w:t>
      </w:r>
      <w:r w:rsidRPr="0050146A">
        <w:rPr>
          <w:rStyle w:val="af8"/>
          <w:rFonts w:hint="cs"/>
          <w:rtl/>
        </w:rPr>
        <w:t>הרשב"א בתוה"ב</w:t>
      </w:r>
      <w:r w:rsidRPr="0050146A">
        <w:rPr>
          <w:rFonts w:hint="cs"/>
          <w:rtl/>
        </w:rPr>
        <w:t xml:space="preserve"> </w:t>
      </w:r>
      <w:r w:rsidRPr="0050146A">
        <w:rPr>
          <w:rStyle w:val="af6"/>
          <w:rFonts w:eastAsia="Guttman Hodes" w:hint="cs"/>
          <w:rtl/>
        </w:rPr>
        <w:t xml:space="preserve">(ב"ד ש"א ו. מדה"ס) </w:t>
      </w:r>
      <w:r w:rsidRPr="0050146A">
        <w:rPr>
          <w:rFonts w:hint="cs"/>
          <w:rtl/>
        </w:rPr>
        <w:t>דמסתבר דהא דמשערים בבלוע היינו דוקא במין במינו דמדאו' חד בתרי בטיל, אבל במין בשאינו מינו כיון שהוא אסור מדאו' לא משערים בבלוע, אלא כפי ההיתר והאיסור שנמצאים לפנינו בתוך הקדירה.</w:t>
      </w:r>
    </w:p>
    <w:p w:rsidR="00B2572D" w:rsidRPr="0050146A" w:rsidRDefault="00B2572D" w:rsidP="00B2572D">
      <w:pPr>
        <w:pStyle w:val="a2"/>
        <w:rPr>
          <w:rtl/>
        </w:rPr>
      </w:pPr>
      <w:r w:rsidRPr="0050146A">
        <w:rPr>
          <w:rFonts w:hint="cs"/>
          <w:rtl/>
        </w:rPr>
        <w:t>דברי הטור דלדעת הרא"ש אין חילוק בין מין במינו למין בשאינו מינו</w:t>
      </w:r>
    </w:p>
    <w:p w:rsidR="002D7168" w:rsidRDefault="00B2572D" w:rsidP="009F44AF">
      <w:pPr>
        <w:pStyle w:val="a"/>
        <w:rPr>
          <w:rtl/>
        </w:rPr>
      </w:pPr>
      <w:bookmarkStart w:id="2988" w:name="_Toc9544962"/>
      <w:bookmarkStart w:id="2989" w:name="_Toc9591676"/>
      <w:bookmarkStart w:id="2990" w:name="_Toc9760927"/>
      <w:bookmarkStart w:id="2991" w:name="_Toc9591675"/>
      <w:bookmarkStart w:id="2992" w:name="_Toc9544961"/>
      <w:bookmarkStart w:id="2993" w:name="_Toc9542857"/>
      <w:bookmarkStart w:id="2994" w:name="_Toc9501156"/>
      <w:r w:rsidRPr="0050146A">
        <w:rPr>
          <w:rFonts w:hint="cs"/>
          <w:rtl/>
        </w:rPr>
        <w:t>וכתב</w:t>
      </w:r>
      <w:r w:rsidRPr="0050146A">
        <w:rPr>
          <w:rStyle w:val="af8"/>
          <w:rFonts w:hint="cs"/>
          <w:rtl/>
        </w:rPr>
        <w:t xml:space="preserve"> הטור</w:t>
      </w:r>
      <w:r w:rsidRPr="0050146A">
        <w:rPr>
          <w:rFonts w:hint="cs"/>
          <w:rtl/>
        </w:rPr>
        <w:t xml:space="preserve"> </w:t>
      </w:r>
      <w:r w:rsidRPr="0050146A">
        <w:rPr>
          <w:rStyle w:val="af6"/>
          <w:rFonts w:eastAsia="Guttman Hodes" w:hint="cs"/>
          <w:rtl/>
        </w:rPr>
        <w:t xml:space="preserve">(סי' צ"ט ד') </w:t>
      </w:r>
      <w:r w:rsidRPr="0050146A">
        <w:rPr>
          <w:rStyle w:val="af8"/>
          <w:rFonts w:hint="cs"/>
          <w:rtl/>
        </w:rPr>
        <w:t>דברא"ש</w:t>
      </w:r>
      <w:r w:rsidRPr="0050146A">
        <w:rPr>
          <w:rFonts w:hint="cs"/>
          <w:rtl/>
        </w:rPr>
        <w:t xml:space="preserve"> </w:t>
      </w:r>
      <w:r w:rsidRPr="0050146A">
        <w:rPr>
          <w:rStyle w:val="af6"/>
          <w:rFonts w:eastAsia="Guttman Hodes" w:hint="cs"/>
          <w:rtl/>
        </w:rPr>
        <w:t xml:space="preserve">(סי' כ"ו) </w:t>
      </w:r>
      <w:r w:rsidRPr="0050146A">
        <w:rPr>
          <w:rFonts w:hint="cs"/>
          <w:rtl/>
        </w:rPr>
        <w:t xml:space="preserve">לא משמע </w:t>
      </w:r>
      <w:r w:rsidRPr="0050146A">
        <w:rPr>
          <w:rStyle w:val="af8"/>
          <w:rFonts w:hint="cs"/>
          <w:rtl/>
        </w:rPr>
        <w:t>כהרשב"א</w:t>
      </w:r>
      <w:r w:rsidRPr="0050146A">
        <w:rPr>
          <w:rFonts w:hint="cs"/>
          <w:rtl/>
        </w:rPr>
        <w:t xml:space="preserve"> דהא לא חילק בין מין במינו למין בשאינו מינו, וביאר </w:t>
      </w:r>
      <w:r w:rsidRPr="0050146A">
        <w:rPr>
          <w:rStyle w:val="af8"/>
          <w:rFonts w:hint="cs"/>
          <w:rtl/>
        </w:rPr>
        <w:t>הב"י</w:t>
      </w:r>
      <w:r w:rsidRPr="0050146A">
        <w:rPr>
          <w:rFonts w:hint="cs"/>
          <w:rtl/>
        </w:rPr>
        <w:t xml:space="preserve"> </w:t>
      </w:r>
      <w:r w:rsidRPr="0050146A">
        <w:rPr>
          <w:rStyle w:val="af6"/>
          <w:rFonts w:eastAsia="Guttman Hodes" w:hint="cs"/>
          <w:rtl/>
        </w:rPr>
        <w:t>(סי' צ"ט ד')</w:t>
      </w:r>
      <w:r w:rsidRPr="0050146A">
        <w:rPr>
          <w:rFonts w:hint="cs"/>
          <w:rtl/>
        </w:rPr>
        <w:t xml:space="preserve"> דכיון </w:t>
      </w:r>
      <w:r w:rsidRPr="0050146A">
        <w:rPr>
          <w:rStyle w:val="af8"/>
          <w:rFonts w:hint="cs"/>
          <w:rtl/>
        </w:rPr>
        <w:t>דהרא"ש</w:t>
      </w:r>
      <w:r w:rsidRPr="0050146A">
        <w:rPr>
          <w:rFonts w:hint="cs"/>
          <w:rtl/>
        </w:rPr>
        <w:t xml:space="preserve"> העתיק בסתמא את דברי </w:t>
      </w:r>
      <w:r w:rsidRPr="0050146A">
        <w:rPr>
          <w:rStyle w:val="af8"/>
          <w:rFonts w:hint="cs"/>
          <w:rtl/>
        </w:rPr>
        <w:t>רש"י</w:t>
      </w:r>
      <w:r w:rsidRPr="0050146A">
        <w:rPr>
          <w:rFonts w:hint="cs"/>
          <w:rtl/>
        </w:rPr>
        <w:t>, א"כ משמע דס"ל דאין חילוק בין מין במינו למין בשאינו מינו.</w:t>
      </w:r>
    </w:p>
    <w:p w:rsidR="00B2572D" w:rsidRPr="0050146A" w:rsidRDefault="00B2572D" w:rsidP="00B2572D">
      <w:pPr>
        <w:pStyle w:val="a2"/>
        <w:rPr>
          <w:rtl/>
        </w:rPr>
      </w:pPr>
      <w:r w:rsidRPr="0050146A">
        <w:rPr>
          <w:rFonts w:hint="cs"/>
          <w:rtl/>
        </w:rPr>
        <w:t>דברי הב"י דאף לדעת רש"י והרא"ש רק במין בשאינו מינו דהוא דאו' אזלינן לחומרא</w:t>
      </w:r>
    </w:p>
    <w:p w:rsidR="00490B51" w:rsidRPr="0050146A" w:rsidRDefault="00B2572D" w:rsidP="009F44AF">
      <w:pPr>
        <w:pStyle w:val="a"/>
        <w:rPr>
          <w:rtl/>
        </w:rPr>
      </w:pPr>
      <w:r w:rsidRPr="0050146A">
        <w:rPr>
          <w:rFonts w:hint="cs"/>
          <w:rtl/>
        </w:rPr>
        <w:t xml:space="preserve">ודחה </w:t>
      </w:r>
      <w:r w:rsidRPr="0050146A">
        <w:rPr>
          <w:rStyle w:val="af8"/>
          <w:rFonts w:hint="cs"/>
          <w:rtl/>
        </w:rPr>
        <w:t>הב"י</w:t>
      </w:r>
      <w:r w:rsidRPr="0050146A">
        <w:rPr>
          <w:rFonts w:hint="cs"/>
          <w:rtl/>
        </w:rPr>
        <w:t xml:space="preserve"> את דברי </w:t>
      </w:r>
      <w:r w:rsidRPr="0050146A">
        <w:rPr>
          <w:rStyle w:val="af8"/>
          <w:rFonts w:hint="cs"/>
          <w:rtl/>
        </w:rPr>
        <w:t>הטור</w:t>
      </w:r>
      <w:r w:rsidRPr="0050146A">
        <w:rPr>
          <w:rFonts w:hint="cs"/>
          <w:rtl/>
        </w:rPr>
        <w:t xml:space="preserve"> דאף </w:t>
      </w:r>
      <w:r w:rsidRPr="0050146A">
        <w:rPr>
          <w:rStyle w:val="af8"/>
          <w:rFonts w:hint="cs"/>
          <w:rtl/>
        </w:rPr>
        <w:t>רש"י והרא"ש</w:t>
      </w:r>
      <w:r w:rsidRPr="0050146A">
        <w:rPr>
          <w:rFonts w:hint="cs"/>
          <w:rtl/>
        </w:rPr>
        <w:t xml:space="preserve"> מודים לחילוק </w:t>
      </w:r>
      <w:r w:rsidRPr="0050146A">
        <w:rPr>
          <w:rStyle w:val="af8"/>
          <w:rFonts w:hint="cs"/>
          <w:rtl/>
        </w:rPr>
        <w:t>הרשב"א</w:t>
      </w:r>
      <w:r w:rsidRPr="0050146A">
        <w:rPr>
          <w:rFonts w:hint="cs"/>
          <w:rtl/>
        </w:rPr>
        <w:t xml:space="preserve">, דהא כיון דכתבו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Ref9542368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50146A">
        <w:rPr>
          <w:rStyle w:val="af6"/>
          <w:rFonts w:eastAsia="Guttman Hodes"/>
          <w:rtl/>
        </w:rPr>
        <w:fldChar w:fldCharType="end"/>
      </w:r>
      <w:r w:rsidRPr="0050146A">
        <w:rPr>
          <w:rFonts w:hint="cs"/>
          <w:rtl/>
        </w:rPr>
        <w:t xml:space="preserve"> </w:t>
      </w:r>
      <w:r w:rsidRPr="0050146A">
        <w:rPr>
          <w:rStyle w:val="af8"/>
          <w:rFonts w:hint="cs"/>
          <w:rtl/>
        </w:rPr>
        <w:t>והרא"ש</w:t>
      </w:r>
      <w:r w:rsidRPr="0050146A">
        <w:rPr>
          <w:rFonts w:hint="cs"/>
          <w:rtl/>
        </w:rPr>
        <w:t xml:space="preserve"> אזלינן לחומרא כיון שהוא איסור דאו', א"כ מוכח דבדרבנן אזלינן לקולא לפסוק כל"ב דמשערים בבלוע, ואף אי נימא דפסקו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Ref9439874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והרא"ש</w:t>
      </w:r>
      <w:r w:rsidRPr="0050146A">
        <w:rPr>
          <w:rFonts w:hint="cs"/>
          <w:rtl/>
        </w:rPr>
        <w:t xml:space="preserve"> דאין משערים בבלוע כיון דאמרינן שאף האיסור בלע, מ"מ נראה כדעת </w:t>
      </w:r>
      <w:r w:rsidRPr="0050146A">
        <w:rPr>
          <w:rStyle w:val="af8"/>
          <w:rFonts w:hint="cs"/>
          <w:rtl/>
        </w:rPr>
        <w:t>הרשב"א והרמב"ם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Ref9542409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דמשערים בבלוע, ועי' במה שהאריך בזה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סק"ד ד"ה ומה שכתב ומסתברא)</w:t>
      </w:r>
      <w:r w:rsidRPr="0050146A">
        <w:rPr>
          <w:rFonts w:hint="cs"/>
          <w:rtl/>
        </w:rPr>
        <w:t>.</w:t>
      </w:r>
    </w:p>
    <w:p w:rsidR="00B2572D" w:rsidRPr="0050146A" w:rsidRDefault="00B2572D" w:rsidP="00B2572D">
      <w:pPr>
        <w:pStyle w:val="a2"/>
        <w:rPr>
          <w:rtl/>
        </w:rPr>
      </w:pPr>
      <w:r w:rsidRPr="0050146A">
        <w:rPr>
          <w:rFonts w:hint="cs"/>
          <w:rtl/>
        </w:rPr>
        <w:t>ביאור הגרעק"א דהרשב"א אסר במקום שידוע כמה היה האיסור והרא"ש התיר בכה"ג</w:t>
      </w:r>
    </w:p>
    <w:p w:rsidR="00B2572D" w:rsidRPr="0050146A" w:rsidRDefault="00B2572D" w:rsidP="009F44AF">
      <w:pPr>
        <w:pStyle w:val="a"/>
        <w:rPr>
          <w:rtl/>
        </w:rPr>
      </w:pPr>
      <w:r w:rsidRPr="0050146A">
        <w:rPr>
          <w:rFonts w:hint="cs"/>
          <w:rtl/>
        </w:rPr>
        <w:t xml:space="preserve">וכתב </w:t>
      </w:r>
      <w:r w:rsidRPr="0050146A">
        <w:rPr>
          <w:rStyle w:val="af8"/>
          <w:rFonts w:hint="cs"/>
          <w:rtl/>
        </w:rPr>
        <w:t xml:space="preserve">הגרעק"א </w:t>
      </w:r>
      <w:r w:rsidRPr="0050146A">
        <w:rPr>
          <w:rStyle w:val="af6"/>
          <w:rFonts w:eastAsia="Guttman Hodes" w:hint="cs"/>
          <w:rtl/>
        </w:rPr>
        <w:t>(סי' צ"ט על סעיף ד')</w:t>
      </w:r>
      <w:r w:rsidRPr="0050146A">
        <w:rPr>
          <w:rFonts w:hint="cs"/>
          <w:rtl/>
        </w:rPr>
        <w:t xml:space="preserve"> דמשמע מדברי </w:t>
      </w:r>
      <w:r w:rsidRPr="0050146A">
        <w:rPr>
          <w:rStyle w:val="af8"/>
          <w:rFonts w:hint="cs"/>
          <w:rtl/>
        </w:rPr>
        <w:t xml:space="preserve">הב"י דהרשב"א </w:t>
      </w:r>
      <w:r w:rsidRPr="0050146A">
        <w:rPr>
          <w:rFonts w:hint="cs"/>
          <w:rtl/>
        </w:rPr>
        <w:t xml:space="preserve">איירי כשלא ידוע כמה היה האיסור בשעת נפילה, ולכן אסור במין בשאינו מינו דחיישינן שמא היה האיסור גדול והתמעט, ומ"מ במין במינו אף בכה"ג משערים בבלוע לקולא, אך דחה </w:t>
      </w:r>
      <w:r w:rsidRPr="0050146A">
        <w:rPr>
          <w:rStyle w:val="af8"/>
          <w:rFonts w:hint="cs"/>
          <w:rtl/>
        </w:rPr>
        <w:t xml:space="preserve">הגרעק"א </w:t>
      </w:r>
      <w:r w:rsidRPr="0050146A">
        <w:rPr>
          <w:rFonts w:hint="cs"/>
          <w:rtl/>
        </w:rPr>
        <w:t xml:space="preserve">דמדברי </w:t>
      </w:r>
      <w:r w:rsidRPr="0050146A">
        <w:rPr>
          <w:rStyle w:val="af8"/>
          <w:rFonts w:hint="cs"/>
          <w:rtl/>
        </w:rPr>
        <w:t xml:space="preserve">הרשב"א </w:t>
      </w:r>
      <w:r w:rsidRPr="0050146A">
        <w:rPr>
          <w:rFonts w:hint="cs"/>
          <w:rtl/>
        </w:rPr>
        <w:t xml:space="preserve">משמע דבמקום שלא ידוע כמה היה האיסור, אין משערים בבלוע אף במין במינו, ורק במקום שראינו את האיסור וההיתר, וידוע שההיתר נתמעט הרבה, והאיסור לא התמעט הרבה, בכה"ג משערים במין במינו באומד יפה, אבל במין בשאינו מינו אין משערים כיון שעכשיו  אין בו שישים וחוזר ואוסר, וכתב </w:t>
      </w:r>
      <w:r w:rsidRPr="0050146A">
        <w:rPr>
          <w:rStyle w:val="af8"/>
          <w:rFonts w:hint="cs"/>
          <w:rtl/>
        </w:rPr>
        <w:t xml:space="preserve">הגרעק"א </w:t>
      </w:r>
      <w:r w:rsidRPr="0050146A">
        <w:rPr>
          <w:rFonts w:hint="cs"/>
          <w:rtl/>
        </w:rPr>
        <w:t xml:space="preserve">דא"כ מבוארים דברי </w:t>
      </w:r>
      <w:r w:rsidRPr="0050146A">
        <w:rPr>
          <w:rStyle w:val="af8"/>
          <w:rFonts w:hint="cs"/>
          <w:rtl/>
        </w:rPr>
        <w:t>הטור</w:t>
      </w:r>
      <w:r w:rsidRPr="0050146A">
        <w:rPr>
          <w:rFonts w:hint="cs"/>
          <w:rtl/>
        </w:rPr>
        <w:t xml:space="preserve"> </w:t>
      </w:r>
      <w:r w:rsidRPr="0050146A">
        <w:rPr>
          <w:rStyle w:val="af8"/>
          <w:rFonts w:hint="cs"/>
          <w:rtl/>
        </w:rPr>
        <w:t xml:space="preserve">דהרא"ש </w:t>
      </w:r>
      <w:r w:rsidRPr="0050146A">
        <w:rPr>
          <w:rFonts w:hint="cs"/>
          <w:rtl/>
        </w:rPr>
        <w:t xml:space="preserve">לא חילק, דהא </w:t>
      </w:r>
      <w:r w:rsidRPr="0050146A">
        <w:rPr>
          <w:rStyle w:val="af8"/>
          <w:rFonts w:hint="cs"/>
          <w:rtl/>
        </w:rPr>
        <w:t xml:space="preserve">להרא"ש </w:t>
      </w:r>
      <w:r w:rsidRPr="0050146A">
        <w:rPr>
          <w:rFonts w:hint="cs"/>
          <w:rtl/>
        </w:rPr>
        <w:t xml:space="preserve">אף במקום שידוע כמה היה האיסור בתחילה מותר, אף במין בשאינו מינו, ודלא </w:t>
      </w:r>
      <w:r w:rsidRPr="0050146A">
        <w:rPr>
          <w:rStyle w:val="af8"/>
          <w:rFonts w:hint="cs"/>
          <w:rtl/>
        </w:rPr>
        <w:t>כהרשב"א</w:t>
      </w:r>
      <w:r w:rsidRPr="0050146A">
        <w:rPr>
          <w:rFonts w:hint="cs"/>
          <w:rtl/>
        </w:rPr>
        <w:t xml:space="preserve">, וע"ע בדברי </w:t>
      </w:r>
      <w:r w:rsidRPr="0050146A">
        <w:rPr>
          <w:rStyle w:val="af8"/>
          <w:rFonts w:hint="cs"/>
          <w:rtl/>
        </w:rPr>
        <w:t xml:space="preserve">הפרמ"ג </w:t>
      </w:r>
      <w:r w:rsidRPr="0050146A">
        <w:rPr>
          <w:rStyle w:val="af6"/>
          <w:rFonts w:eastAsia="Guttman Hodes" w:hint="cs"/>
          <w:rtl/>
        </w:rPr>
        <w:t xml:space="preserve">(סי' צ"ט משב"ז סק"ד) </w:t>
      </w:r>
      <w:r w:rsidRPr="0050146A">
        <w:rPr>
          <w:rStyle w:val="af8"/>
          <w:rFonts w:hint="cs"/>
          <w:rtl/>
        </w:rPr>
        <w:t xml:space="preserve">והגר"א </w:t>
      </w:r>
      <w:r w:rsidRPr="0050146A">
        <w:rPr>
          <w:rStyle w:val="af6"/>
          <w:rFonts w:eastAsia="Guttman Hodes" w:hint="cs"/>
          <w:rtl/>
        </w:rPr>
        <w:t xml:space="preserve">(סי' צ"ט סק"ה) </w:t>
      </w:r>
      <w:r w:rsidRPr="0050146A">
        <w:rPr>
          <w:rStyle w:val="af8"/>
          <w:rFonts w:hint="cs"/>
          <w:rtl/>
        </w:rPr>
        <w:t>וה</w:t>
      </w:r>
      <w:r w:rsidR="00250230">
        <w:rPr>
          <w:rStyle w:val="af8"/>
          <w:rFonts w:hint="cs"/>
          <w:rtl/>
        </w:rPr>
        <w:t>פלתי</w:t>
      </w:r>
      <w:r w:rsidRPr="0050146A">
        <w:rPr>
          <w:rFonts w:hint="cs"/>
          <w:rtl/>
        </w:rPr>
        <w:t xml:space="preserve"> </w:t>
      </w:r>
      <w:r w:rsidRPr="0050146A">
        <w:rPr>
          <w:rStyle w:val="af6"/>
          <w:rFonts w:eastAsia="Guttman Hodes" w:hint="cs"/>
          <w:rtl/>
        </w:rPr>
        <w:t>(סי' צ"ט סק"ג)</w:t>
      </w:r>
      <w:r w:rsidRPr="0050146A">
        <w:rPr>
          <w:rFonts w:hint="cs"/>
          <w:rtl/>
        </w:rPr>
        <w:t>.</w:t>
      </w:r>
    </w:p>
    <w:p w:rsidR="00B2572D" w:rsidRPr="0050146A" w:rsidRDefault="00B2572D" w:rsidP="00E669F8">
      <w:pPr>
        <w:pStyle w:val="afd"/>
        <w:bidi w:val="0"/>
        <w:rPr>
          <w:rFonts w:asciiTheme="minorHAnsi" w:hAnsiTheme="minorHAnsi"/>
        </w:rPr>
      </w:pPr>
      <w:r w:rsidRPr="0050146A">
        <w:rPr>
          <w:rFonts w:hint="cs"/>
          <w:rtl/>
        </w:rPr>
        <w:t xml:space="preserve">בדעת </w:t>
      </w:r>
      <w:bookmarkEnd w:id="2988"/>
      <w:bookmarkEnd w:id="2989"/>
      <w:r w:rsidRPr="0050146A">
        <w:rPr>
          <w:rFonts w:hint="cs"/>
          <w:rtl/>
        </w:rPr>
        <w:t>הרמב"ם דאמדינן כמה הבלוע</w:t>
      </w:r>
      <w:bookmarkEnd w:id="2990"/>
    </w:p>
    <w:p w:rsidR="00B2572D" w:rsidRPr="0050146A" w:rsidRDefault="00B2572D" w:rsidP="00B2572D">
      <w:pPr>
        <w:pStyle w:val="1"/>
        <w:rPr>
          <w:rtl/>
        </w:rPr>
      </w:pPr>
      <w:bookmarkStart w:id="2995" w:name="_Toc9544963"/>
      <w:bookmarkStart w:id="2996" w:name="_Toc9591677"/>
      <w:bookmarkStart w:id="2997" w:name="_Toc9760928"/>
      <w:r w:rsidRPr="0050146A">
        <w:rPr>
          <w:rFonts w:hint="cs"/>
          <w:rtl/>
        </w:rPr>
        <w:t>דברי הרמב"ם</w:t>
      </w:r>
      <w:bookmarkEnd w:id="2995"/>
      <w:bookmarkEnd w:id="2996"/>
      <w:r w:rsidRPr="0050146A">
        <w:rPr>
          <w:rFonts w:hint="cs"/>
          <w:rtl/>
        </w:rPr>
        <w:t xml:space="preserve"> דמשערים באומד הדעת במה שבלעה הקדירה</w:t>
      </w:r>
      <w:bookmarkEnd w:id="2997"/>
    </w:p>
    <w:p w:rsidR="00B2572D" w:rsidRPr="0050146A" w:rsidRDefault="00B2572D" w:rsidP="00B2572D">
      <w:pPr>
        <w:pStyle w:val="a2"/>
        <w:rPr>
          <w:rtl/>
        </w:rPr>
      </w:pPr>
      <w:bookmarkStart w:id="2998" w:name="_Toc9760929"/>
      <w:r w:rsidRPr="0050146A">
        <w:rPr>
          <w:rFonts w:hint="cs"/>
          <w:rtl/>
        </w:rPr>
        <w:t>דברי הרמב"ם דמשערים במה שבלוע בקדירה באומד דא"א לשער בצמצום כמה בלעה</w:t>
      </w:r>
      <w:bookmarkEnd w:id="2998"/>
    </w:p>
    <w:p w:rsidR="00B2572D" w:rsidRPr="0050146A" w:rsidRDefault="00B2572D" w:rsidP="009F44AF">
      <w:pPr>
        <w:pStyle w:val="a"/>
        <w:rPr>
          <w:rtl/>
        </w:rPr>
      </w:pPr>
      <w:bookmarkStart w:id="2999" w:name="_Ref9542409"/>
      <w:r w:rsidRPr="0050146A">
        <w:rPr>
          <w:rFonts w:hint="cs"/>
          <w:rtl/>
        </w:rPr>
        <w:t xml:space="preserve">כתב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הכ"ד)</w:t>
      </w:r>
      <w:r w:rsidRPr="0050146A">
        <w:rPr>
          <w:rFonts w:hint="cs"/>
          <w:rtl/>
        </w:rPr>
        <w:t xml:space="preserve"> דשיעור שישים </w:t>
      </w:r>
      <w:r w:rsidRPr="0050146A">
        <w:rPr>
          <w:rStyle w:val="afa"/>
          <w:rFonts w:hint="cs"/>
          <w:rtl/>
        </w:rPr>
        <w:t xml:space="preserve">[ומאה בתרומה, ומאתיים בערלה], </w:t>
      </w:r>
      <w:r w:rsidRPr="0050146A">
        <w:rPr>
          <w:rFonts w:hint="cs"/>
          <w:rtl/>
        </w:rPr>
        <w:t>הוא בכל מה שיש בקדירה, ובמה שבלעה הקדירה, לאחר שנפל האיסור לקדירה, לפי אומד הדעת, דהרי א"א לדעת מה בלעה בצמצום.</w:t>
      </w:r>
      <w:bookmarkEnd w:id="2999"/>
    </w:p>
    <w:p w:rsidR="00B2572D" w:rsidRPr="0050146A" w:rsidRDefault="00B2572D" w:rsidP="00B2572D">
      <w:pPr>
        <w:pStyle w:val="1"/>
        <w:rPr>
          <w:rtl/>
        </w:rPr>
      </w:pPr>
      <w:bookmarkStart w:id="3000" w:name="_Toc9501157"/>
      <w:bookmarkStart w:id="3001" w:name="_Toc9542858"/>
      <w:bookmarkStart w:id="3002" w:name="_Toc9544964"/>
      <w:bookmarkStart w:id="3003" w:name="_Toc9591678"/>
      <w:bookmarkStart w:id="3004" w:name="_Toc9760930"/>
      <w:r w:rsidRPr="0050146A">
        <w:rPr>
          <w:rFonts w:hint="cs"/>
          <w:rtl/>
        </w:rPr>
        <w:t>דברי הרמב"ן והרשב"א בדעת הרמב"ם</w:t>
      </w:r>
      <w:bookmarkEnd w:id="3000"/>
      <w:bookmarkEnd w:id="3001"/>
      <w:bookmarkEnd w:id="3002"/>
      <w:bookmarkEnd w:id="3003"/>
      <w:bookmarkEnd w:id="3004"/>
    </w:p>
    <w:p w:rsidR="00B2572D" w:rsidRPr="0050146A" w:rsidRDefault="00B2572D" w:rsidP="00B2572D">
      <w:pPr>
        <w:pStyle w:val="a2"/>
        <w:rPr>
          <w:rtl/>
        </w:rPr>
      </w:pPr>
      <w:bookmarkStart w:id="3005" w:name="_Toc9760931"/>
      <w:r w:rsidRPr="0050146A">
        <w:rPr>
          <w:rFonts w:hint="cs"/>
          <w:rtl/>
        </w:rPr>
        <w:t>ביאור הרמב"ן והרשב"א ברמב"ם דמשערים רק את הבלוע ולא את מה שכלה ע"י האש</w:t>
      </w:r>
      <w:bookmarkEnd w:id="3005"/>
    </w:p>
    <w:p w:rsidR="00B2572D" w:rsidRPr="0050146A" w:rsidRDefault="00B2572D" w:rsidP="009F44AF">
      <w:pPr>
        <w:pStyle w:val="a"/>
        <w:rPr>
          <w:rtl/>
        </w:rPr>
      </w:pPr>
      <w:r w:rsidRPr="0050146A">
        <w:rPr>
          <w:rFonts w:hint="cs"/>
          <w:rtl/>
        </w:rPr>
        <w:t xml:space="preserve">וכתבו </w:t>
      </w:r>
      <w:r w:rsidRPr="0050146A">
        <w:rPr>
          <w:rStyle w:val="af8"/>
          <w:rFonts w:hint="cs"/>
          <w:rtl/>
        </w:rPr>
        <w:t>הרמב"ן</w:t>
      </w:r>
      <w:r w:rsidRPr="0050146A">
        <w:rPr>
          <w:rStyle w:val="af6"/>
          <w:rFonts w:eastAsia="Guttman Hodes" w:hint="cs"/>
          <w:rtl/>
        </w:rPr>
        <w:t xml:space="preserve"> (ד"ה ובקדירה) </w:t>
      </w:r>
      <w:r w:rsidRPr="0050146A">
        <w:rPr>
          <w:rStyle w:val="af8"/>
          <w:rFonts w:hint="cs"/>
          <w:rtl/>
        </w:rPr>
        <w:t>והרשב"א</w:t>
      </w:r>
      <w:r w:rsidRPr="0050146A">
        <w:rPr>
          <w:rStyle w:val="af6"/>
          <w:rFonts w:eastAsia="Guttman Hodes" w:hint="cs"/>
          <w:rtl/>
        </w:rPr>
        <w:t xml:space="preserve"> </w:t>
      </w:r>
      <w:r w:rsidRPr="0050146A">
        <w:rPr>
          <w:rStyle w:val="af8"/>
          <w:rFonts w:hint="cs"/>
          <w:rtl/>
        </w:rPr>
        <w:t>בחי'</w:t>
      </w:r>
      <w:r w:rsidRPr="0050146A">
        <w:rPr>
          <w:rFonts w:hint="cs"/>
          <w:rtl/>
        </w:rPr>
        <w:t xml:space="preserve"> </w:t>
      </w:r>
      <w:r w:rsidRPr="0050146A">
        <w:rPr>
          <w:rStyle w:val="af6"/>
          <w:rFonts w:eastAsia="Guttman Hodes" w:hint="cs"/>
          <w:rtl/>
        </w:rPr>
        <w:t>(ד"ה ובקדירה)</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(ב"ד ש"א ה: מדה"ס)</w:t>
      </w:r>
      <w:r w:rsidRPr="0050146A">
        <w:rPr>
          <w:rFonts w:hint="cs"/>
          <w:rtl/>
        </w:rPr>
        <w:t xml:space="preserve"> דמבואר </w:t>
      </w:r>
      <w:r w:rsidRPr="0050146A">
        <w:rPr>
          <w:rStyle w:val="af8"/>
          <w:rFonts w:hint="cs"/>
          <w:rtl/>
        </w:rPr>
        <w:t>ברמב"ם</w:t>
      </w:r>
      <w:r w:rsidRPr="0050146A">
        <w:rPr>
          <w:rStyle w:val="af6"/>
          <w:rFonts w:eastAsia="Guttman Hodes" w:hint="cs"/>
          <w:rtl/>
        </w:rPr>
        <w:t xml:space="preserve"> </w:t>
      </w:r>
      <w:r w:rsidRPr="0050146A">
        <w:rPr>
          <w:rFonts w:hint="cs"/>
          <w:rtl/>
        </w:rPr>
        <w:t xml:space="preserve">דאמדינן כמה בלעה הקדירה אחר נפילת האיסור, ומשערים רק את מה שבלעה הקדירה, דמחשיבים את הבלוע בקדירה, כאילו הוא כנוס בתוך הקדירה, אבל מה שנתמעט מההיתר אחר שנפל האיסור לשם, לא משערים כיון שהוא כלה לגמרי. </w:t>
      </w:r>
      <w:r w:rsidRPr="0050146A">
        <w:rPr>
          <w:rStyle w:val="afa"/>
          <w:rFonts w:hint="cs"/>
          <w:rtl/>
        </w:rPr>
        <w:t xml:space="preserve">[ולא כדביאר </w:t>
      </w:r>
      <w:r w:rsidRPr="0050146A">
        <w:rPr>
          <w:rStyle w:val="affa"/>
          <w:rFonts w:hint="cs"/>
          <w:rtl/>
        </w:rPr>
        <w:t>הרמב"ן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Ref9280145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נד)</w:t>
      </w:r>
      <w:r w:rsidRPr="0050146A">
        <w:rPr>
          <w:rStyle w:val="aff6"/>
          <w:rtl/>
        </w:rPr>
        <w:fldChar w:fldCharType="end"/>
      </w:r>
      <w:r w:rsidRPr="0050146A">
        <w:rPr>
          <w:rStyle w:val="aff6"/>
          <w:rFonts w:hint="cs"/>
          <w:rtl/>
        </w:rPr>
        <w:t xml:space="preserve"> </w:t>
      </w:r>
      <w:r w:rsidRPr="0050146A">
        <w:rPr>
          <w:rStyle w:val="afa"/>
          <w:rFonts w:hint="cs"/>
          <w:rtl/>
        </w:rPr>
        <w:t>דאף את מה שנתמעט ע"י האש משערים],</w:t>
      </w:r>
      <w:r w:rsidRPr="0050146A">
        <w:rPr>
          <w:rFonts w:hint="cs"/>
          <w:rtl/>
        </w:rPr>
        <w:t xml:space="preserve"> ועי' במ"ש </w:t>
      </w:r>
      <w:r w:rsidRPr="0050146A">
        <w:rPr>
          <w:rStyle w:val="af8"/>
          <w:rFonts w:hint="cs"/>
          <w:rtl/>
        </w:rPr>
        <w:t>הפרי תואר</w:t>
      </w:r>
      <w:r w:rsidRPr="0050146A">
        <w:rPr>
          <w:rFonts w:hint="cs"/>
          <w:rtl/>
        </w:rPr>
        <w:t xml:space="preserve"> </w:t>
      </w:r>
      <w:r w:rsidRPr="0050146A">
        <w:rPr>
          <w:rStyle w:val="af6"/>
          <w:rFonts w:eastAsia="Guttman Hodes" w:hint="cs"/>
          <w:rtl/>
        </w:rPr>
        <w:t xml:space="preserve">(סי' צ"ט סק"ד ד"ה ומה שכתב בדברי הרמב"ם) </w:t>
      </w:r>
      <w:r w:rsidRPr="0050146A">
        <w:rPr>
          <w:rFonts w:hint="cs"/>
          <w:rtl/>
        </w:rPr>
        <w:t xml:space="preserve">בביאור דברי </w:t>
      </w:r>
      <w:r w:rsidRPr="0050146A">
        <w:rPr>
          <w:rStyle w:val="af8"/>
          <w:rFonts w:hint="cs"/>
          <w:rtl/>
        </w:rPr>
        <w:t>הרשב"א</w:t>
      </w:r>
      <w:r w:rsidRPr="0050146A">
        <w:rPr>
          <w:rFonts w:hint="cs"/>
          <w:rtl/>
        </w:rPr>
        <w:t xml:space="preserve"> בדעת </w:t>
      </w:r>
      <w:r w:rsidRPr="0050146A">
        <w:rPr>
          <w:rStyle w:val="af8"/>
          <w:rFonts w:hint="cs"/>
          <w:rtl/>
        </w:rPr>
        <w:t>הרמב"ם</w:t>
      </w:r>
      <w:r w:rsidRPr="0050146A">
        <w:rPr>
          <w:rFonts w:hint="cs"/>
          <w:rtl/>
        </w:rPr>
        <w:t>.</w:t>
      </w:r>
    </w:p>
    <w:p w:rsidR="00B2572D" w:rsidRPr="0050146A" w:rsidRDefault="00B2572D" w:rsidP="00B2572D">
      <w:pPr>
        <w:pStyle w:val="a2"/>
      </w:pPr>
      <w:bookmarkStart w:id="3006" w:name="_Toc9760932"/>
      <w:r w:rsidRPr="0050146A">
        <w:rPr>
          <w:rFonts w:hint="cs"/>
          <w:rtl/>
        </w:rPr>
        <w:t>דברי הר"ן דנראה כרמב"ם דאין משערים במה שכלה ע"י האש ודלא כרמב"ן דהקילו בדרך בישול</w:t>
      </w:r>
      <w:bookmarkEnd w:id="3006"/>
    </w:p>
    <w:p w:rsidR="00B2572D" w:rsidRPr="0050146A" w:rsidRDefault="00B2572D" w:rsidP="009F44AF">
      <w:pPr>
        <w:pStyle w:val="a"/>
        <w:rPr>
          <w:rStyle w:val="afa"/>
          <w:rtl/>
        </w:rPr>
      </w:pPr>
      <w:bookmarkStart w:id="3007" w:name="_Ref9542425"/>
      <w:r w:rsidRPr="0050146A">
        <w:rPr>
          <w:rStyle w:val="af8"/>
          <w:rFonts w:hint="cs"/>
          <w:rtl/>
        </w:rPr>
        <w:t>והר"ן על הרי"ף</w:t>
      </w:r>
      <w:r w:rsidRPr="0050146A">
        <w:rPr>
          <w:rFonts w:hint="cs"/>
          <w:rtl/>
        </w:rPr>
        <w:t xml:space="preserve"> </w:t>
      </w:r>
      <w:r w:rsidRPr="0050146A">
        <w:rPr>
          <w:rStyle w:val="af6"/>
          <w:rFonts w:eastAsia="Guttman Hodes" w:hint="cs"/>
          <w:rtl/>
        </w:rPr>
        <w:t>(לד: מדפי הרי"ף ד"ה א"ר חנינא)</w:t>
      </w:r>
      <w:r w:rsidRPr="0050146A">
        <w:rPr>
          <w:rFonts w:hint="cs"/>
          <w:rtl/>
        </w:rPr>
        <w:t xml:space="preserve"> הביא את תירוץ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Ref9281085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נח)</w:t>
      </w:r>
      <w:r w:rsidRPr="0050146A">
        <w:rPr>
          <w:rStyle w:val="af6"/>
          <w:rFonts w:eastAsia="Guttman Hodes"/>
          <w:rtl/>
        </w:rPr>
        <w:fldChar w:fldCharType="end"/>
      </w:r>
      <w:r w:rsidRPr="0050146A">
        <w:rPr>
          <w:rFonts w:hint="cs"/>
          <w:rtl/>
        </w:rPr>
        <w:t xml:space="preserve"> דבדרך בישול הקילו, וכתב דיותר נראה כדברי </w:t>
      </w:r>
      <w:r w:rsidRPr="0050146A">
        <w:rPr>
          <w:rStyle w:val="af8"/>
          <w:rFonts w:hint="cs"/>
          <w:rtl/>
        </w:rPr>
        <w:t>הרמב"ם</w:t>
      </w:r>
      <w:r w:rsidRPr="0050146A">
        <w:rPr>
          <w:rFonts w:hint="cs"/>
          <w:rtl/>
        </w:rPr>
        <w:t xml:space="preserve"> דאין משערים את מה שנפחת ע"י האש, דהוא כלה ונאבד ואינו כנוס בקדירה.</w:t>
      </w:r>
      <w:bookmarkEnd w:id="3007"/>
      <w:r w:rsidRPr="0050146A">
        <w:rPr>
          <w:rStyle w:val="afa"/>
          <w:rFonts w:hint="cs"/>
          <w:rtl/>
        </w:rPr>
        <w:t xml:space="preserve"> </w:t>
      </w:r>
    </w:p>
    <w:p w:rsidR="00B2572D" w:rsidRPr="0050146A" w:rsidRDefault="00B2572D" w:rsidP="00B2572D">
      <w:pPr>
        <w:pStyle w:val="a2"/>
        <w:rPr>
          <w:rtl/>
        </w:rPr>
      </w:pPr>
      <w:bookmarkStart w:id="3008" w:name="_Toc9760933"/>
      <w:r w:rsidRPr="0050146A">
        <w:rPr>
          <w:rFonts w:hint="cs"/>
          <w:rtl/>
        </w:rPr>
        <w:t>דברי הרדב"ז ברמב"ם דמשערים רק במה שנבלע אחר נפילת האיסור ולא בבלוע קודם לכן</w:t>
      </w:r>
      <w:bookmarkEnd w:id="3008"/>
    </w:p>
    <w:p w:rsidR="00B2572D" w:rsidRPr="0050146A" w:rsidRDefault="00B2572D" w:rsidP="009F44AF">
      <w:pPr>
        <w:pStyle w:val="a"/>
        <w:rPr>
          <w:rtl/>
        </w:rPr>
      </w:pPr>
      <w:r w:rsidRPr="0050146A">
        <w:rPr>
          <w:rFonts w:hint="cs"/>
          <w:rtl/>
        </w:rPr>
        <w:t xml:space="preserve">וכתב </w:t>
      </w:r>
      <w:r w:rsidRPr="0050146A">
        <w:rPr>
          <w:rStyle w:val="af8"/>
          <w:rFonts w:hint="cs"/>
          <w:rtl/>
        </w:rPr>
        <w:t xml:space="preserve">הרדב"ז </w:t>
      </w:r>
      <w:r w:rsidRPr="0050146A">
        <w:rPr>
          <w:rStyle w:val="af6"/>
          <w:rFonts w:eastAsia="Guttman Hodes" w:hint="cs"/>
          <w:rtl/>
        </w:rPr>
        <w:t>(מכאכ"א פט"ו הכ"ד)</w:t>
      </w:r>
      <w:r w:rsidRPr="0050146A">
        <w:rPr>
          <w:rFonts w:hint="cs"/>
          <w:rtl/>
        </w:rPr>
        <w:t xml:space="preserve"> דמ"ש </w:t>
      </w:r>
      <w:r w:rsidRPr="0050146A">
        <w:rPr>
          <w:rStyle w:val="af8"/>
          <w:rFonts w:hint="cs"/>
          <w:rtl/>
        </w:rPr>
        <w:t xml:space="preserve">הרמב"ם </w:t>
      </w:r>
      <w:r w:rsidRPr="0050146A">
        <w:rPr>
          <w:rFonts w:hint="cs"/>
          <w:rtl/>
        </w:rPr>
        <w:t xml:space="preserve">דמשערים את ההיתר הבלוע, רק משעת נפילת האיסור, הוא כיון דמשערים רק את ההיתר והאיסור שנבלעו יחד, כדאמרינן בגמ' לקמן לקמן </w:t>
      </w:r>
      <w:r w:rsidRPr="0050146A">
        <w:rPr>
          <w:rStyle w:val="af6"/>
          <w:rFonts w:eastAsia="Guttman Hodes" w:hint="cs"/>
          <w:rtl/>
        </w:rPr>
        <w:t xml:space="preserve">(צח.) </w:t>
      </w:r>
      <w:r w:rsidRPr="0050146A">
        <w:rPr>
          <w:rFonts w:hint="cs"/>
          <w:rtl/>
        </w:rPr>
        <w:t xml:space="preserve">"אטו דהיתרא </w:t>
      </w:r>
      <w:r w:rsidRPr="0050146A">
        <w:rPr>
          <w:rFonts w:hint="cs"/>
          <w:rtl/>
        </w:rPr>
        <w:lastRenderedPageBreak/>
        <w:t>בלע דאיסורא לא בלע", אבל מה שנבלע מההיתר לפני שנפל האיסור לקדירה, לא משערים בו.</w:t>
      </w:r>
    </w:p>
    <w:p w:rsidR="00B2572D" w:rsidRPr="0050146A" w:rsidRDefault="00B2572D" w:rsidP="00B2572D">
      <w:pPr>
        <w:pStyle w:val="1"/>
        <w:rPr>
          <w:rtl/>
        </w:rPr>
      </w:pPr>
      <w:r w:rsidRPr="0050146A">
        <w:rPr>
          <w:rFonts w:hint="cs"/>
          <w:rtl/>
        </w:rPr>
        <w:t>ביאור הפרי תואר ברמב"ם אי ידוע כמה היה האיסור</w:t>
      </w:r>
    </w:p>
    <w:p w:rsidR="00B2572D" w:rsidRPr="0050146A" w:rsidRDefault="00B2572D" w:rsidP="00B2572D">
      <w:pPr>
        <w:pStyle w:val="a2"/>
      </w:pPr>
      <w:bookmarkStart w:id="3009" w:name="_Toc9760934"/>
      <w:r w:rsidRPr="0050146A">
        <w:rPr>
          <w:rFonts w:hint="cs"/>
          <w:rtl/>
        </w:rPr>
        <w:t>ביאור הפרי תואר דלהרמב"ם איירי שידוע כמה היה האיסור והוא לא התמעט</w:t>
      </w:r>
    </w:p>
    <w:p w:rsidR="00B2572D" w:rsidRPr="0050146A" w:rsidRDefault="00B2572D" w:rsidP="009F44AF">
      <w:pPr>
        <w:pStyle w:val="a"/>
        <w:rPr>
          <w:rtl/>
        </w:rPr>
      </w:pPr>
      <w:r w:rsidRPr="0050146A">
        <w:rPr>
          <w:rFonts w:hint="cs"/>
          <w:rtl/>
        </w:rPr>
        <w:t xml:space="preserve">וכתב </w:t>
      </w:r>
      <w:r w:rsidRPr="0050146A">
        <w:rPr>
          <w:rStyle w:val="af8"/>
          <w:rFonts w:hint="cs"/>
          <w:rtl/>
        </w:rPr>
        <w:t>הפרי תואר</w:t>
      </w:r>
      <w:r w:rsidRPr="0050146A">
        <w:rPr>
          <w:rFonts w:hint="cs"/>
          <w:rtl/>
        </w:rPr>
        <w:t xml:space="preserve"> </w:t>
      </w:r>
      <w:r w:rsidRPr="0050146A">
        <w:rPr>
          <w:rStyle w:val="af6"/>
          <w:rFonts w:eastAsia="Guttman Hodes" w:hint="cs"/>
          <w:rtl/>
        </w:rPr>
        <w:t>(סי' צ"ט סק"ד ד"ה ונלע"ד)</w:t>
      </w:r>
      <w:r w:rsidRPr="0050146A">
        <w:rPr>
          <w:rFonts w:hint="cs"/>
          <w:rtl/>
        </w:rPr>
        <w:t xml:space="preserve"> דאפש"ל בדעת </w:t>
      </w:r>
      <w:r w:rsidRPr="0050146A">
        <w:rPr>
          <w:rStyle w:val="af8"/>
          <w:rFonts w:hint="cs"/>
          <w:rtl/>
        </w:rPr>
        <w:t>הרמב"ם</w:t>
      </w:r>
      <w:r w:rsidRPr="0050146A">
        <w:rPr>
          <w:rFonts w:hint="cs"/>
          <w:rtl/>
        </w:rPr>
        <w:t xml:space="preserve"> דאיירי שידוע כמה היה שיעור האיסור בשעת הנפילה, ואיירי שהאיסור לא התמעט בבישול ולכן משערים בהיתר שבלוע בקדירה, אך אין משערים במה שנאבד ע"י האש, ואף אם נאבד מהאיסור, מ"מ כיון שבשעת הנפילה היה בהיתר שישים כנגדו, א"כ אפשר לצרף גם את ההיתר שנשרף ע"י האש, דכמו שנאבד מההיתר כך נאבד מהאיסור, אך כ"ז הוא דוקא כשיש לפנינו שישים כנגד האיסור שהתמעט, אבל אם עכשיו אין שישים כנגד האיסור שלפנינו, מצרפים רק את הבלוע בקדירה, ואין מצרפין את ההיתר שנאבד ע"י האש.</w:t>
      </w:r>
    </w:p>
    <w:p w:rsidR="00B2572D" w:rsidRPr="0050146A" w:rsidRDefault="00B2572D" w:rsidP="00B2572D">
      <w:pPr>
        <w:pStyle w:val="a2"/>
        <w:rPr>
          <w:rtl/>
        </w:rPr>
      </w:pPr>
      <w:r w:rsidRPr="0050146A">
        <w:rPr>
          <w:rFonts w:hint="cs"/>
          <w:rtl/>
        </w:rPr>
        <w:t>הביאור הב' בפרי תואר דלהרמב"ם איירי שלא ידוע כמה היה האיסור ואפ"ה משערים בבלוע</w:t>
      </w:r>
    </w:p>
    <w:p w:rsidR="00B2572D" w:rsidRPr="0050146A" w:rsidRDefault="00B2572D" w:rsidP="009F44AF">
      <w:pPr>
        <w:pStyle w:val="a"/>
        <w:rPr>
          <w:rtl/>
        </w:rPr>
      </w:pPr>
      <w:r w:rsidRPr="0050146A">
        <w:rPr>
          <w:rFonts w:hint="cs"/>
          <w:rtl/>
        </w:rPr>
        <w:t xml:space="preserve">ועוד ביאר </w:t>
      </w:r>
      <w:r w:rsidRPr="0050146A">
        <w:rPr>
          <w:rStyle w:val="af8"/>
          <w:rFonts w:hint="cs"/>
          <w:rtl/>
        </w:rPr>
        <w:t>הפרי תואר</w:t>
      </w:r>
      <w:r w:rsidRPr="0050146A">
        <w:rPr>
          <w:rFonts w:hint="cs"/>
          <w:rtl/>
        </w:rPr>
        <w:t xml:space="preserve"> בדעת </w:t>
      </w:r>
      <w:r w:rsidRPr="0050146A">
        <w:rPr>
          <w:rStyle w:val="af8"/>
          <w:rFonts w:hint="cs"/>
          <w:rtl/>
        </w:rPr>
        <w:t>הרמב"ם</w:t>
      </w:r>
      <w:r w:rsidRPr="0050146A">
        <w:rPr>
          <w:rFonts w:hint="cs"/>
          <w:rtl/>
        </w:rPr>
        <w:t xml:space="preserve"> דאפש"ל דאיירי אף כשלא ידוע כמה היה האיסור בשעת הנפילה, או אף אם ידוע כמה היה אך האיסור נתמעט וצריך לשער כפי האיסור שלפנינו, ופסק </w:t>
      </w:r>
      <w:r w:rsidRPr="0050146A">
        <w:rPr>
          <w:rStyle w:val="af8"/>
          <w:rFonts w:hint="cs"/>
          <w:rtl/>
        </w:rPr>
        <w:t>הרמב"ם</w:t>
      </w:r>
      <w:r w:rsidRPr="0050146A">
        <w:rPr>
          <w:rFonts w:hint="cs"/>
          <w:rtl/>
        </w:rPr>
        <w:t xml:space="preserve"> כל"ב וכדעת רב אשי לקמן </w:t>
      </w:r>
      <w:r w:rsidRPr="0050146A">
        <w:rPr>
          <w:rStyle w:val="af6"/>
          <w:rFonts w:eastAsia="Guttman Hodes" w:hint="cs"/>
          <w:rtl/>
        </w:rPr>
        <w:t>(צח.)</w:t>
      </w:r>
      <w:r w:rsidRPr="0050146A">
        <w:rPr>
          <w:rFonts w:hint="cs"/>
          <w:rtl/>
        </w:rPr>
        <w:t xml:space="preserve"> דמשערים במה שבלעה הקדירה, אף שלא ידוע כמה היה האיסור, כדמשמע בל"ב דבכל האופנים משערים במה שבלעה הקדירה.</w:t>
      </w:r>
    </w:p>
    <w:p w:rsidR="00B2572D" w:rsidRPr="0050146A" w:rsidRDefault="00B2572D" w:rsidP="00B2572D">
      <w:pPr>
        <w:pStyle w:val="a2"/>
        <w:rPr>
          <w:rtl/>
        </w:rPr>
      </w:pPr>
      <w:r w:rsidRPr="0050146A">
        <w:rPr>
          <w:rFonts w:hint="cs"/>
          <w:rtl/>
        </w:rPr>
        <w:t xml:space="preserve">ביאור הפרי תואר ברמב"ם דקיי"ל כרב אשי דהקילו רבנן דלא חיישינן לאיסור הבלוע </w:t>
      </w:r>
    </w:p>
    <w:p w:rsidR="00B2572D" w:rsidRPr="0050146A" w:rsidRDefault="00B2572D" w:rsidP="009F44AF">
      <w:pPr>
        <w:pStyle w:val="a"/>
        <w:rPr>
          <w:rtl/>
        </w:rPr>
      </w:pPr>
      <w:r w:rsidRPr="0050146A">
        <w:rPr>
          <w:rFonts w:hint="cs"/>
          <w:rtl/>
        </w:rPr>
        <w:t xml:space="preserve">ובמה שהקשו רבנן על רב אשי דאף האיסור נבלע, כתב </w:t>
      </w:r>
      <w:r w:rsidRPr="0050146A">
        <w:rPr>
          <w:rStyle w:val="af8"/>
          <w:rFonts w:hint="cs"/>
          <w:rtl/>
        </w:rPr>
        <w:t>הפרי תואר</w:t>
      </w:r>
      <w:r w:rsidRPr="0050146A">
        <w:rPr>
          <w:rFonts w:hint="cs"/>
          <w:rtl/>
        </w:rPr>
        <w:t xml:space="preserve"> דס"ל </w:t>
      </w:r>
      <w:r w:rsidRPr="0050146A">
        <w:rPr>
          <w:rStyle w:val="af8"/>
          <w:rFonts w:hint="cs"/>
          <w:rtl/>
        </w:rPr>
        <w:t>להרמב"ם</w:t>
      </w:r>
      <w:r w:rsidRPr="0050146A">
        <w:rPr>
          <w:rFonts w:hint="cs"/>
          <w:rtl/>
        </w:rPr>
        <w:t xml:space="preserve"> דרב אשי פליג על סברא זו, ולא חיישינן לבליעת האיסור, דכיון שהוא דרבנן הקילו לשער רק בהיתר.</w:t>
      </w:r>
    </w:p>
    <w:p w:rsidR="00B2572D" w:rsidRPr="0050146A" w:rsidRDefault="00B2572D" w:rsidP="00B2572D">
      <w:pPr>
        <w:pStyle w:val="1"/>
        <w:rPr>
          <w:rtl/>
        </w:rPr>
      </w:pPr>
      <w:bookmarkStart w:id="3010" w:name="_Toc10367980"/>
      <w:r w:rsidRPr="0050146A">
        <w:rPr>
          <w:rFonts w:hint="cs"/>
          <w:rtl/>
        </w:rPr>
        <w:t>דברי הרמב"ם</w:t>
      </w:r>
      <w:bookmarkEnd w:id="3010"/>
      <w:r w:rsidRPr="0050146A">
        <w:rPr>
          <w:rFonts w:hint="cs"/>
          <w:rtl/>
        </w:rPr>
        <w:t xml:space="preserve"> בדין כחל דאין משערים כפי שעת הנפילה</w:t>
      </w:r>
    </w:p>
    <w:p w:rsidR="00B2572D" w:rsidRPr="0050146A" w:rsidRDefault="00B2572D" w:rsidP="00B2572D">
      <w:pPr>
        <w:pStyle w:val="a2"/>
      </w:pPr>
      <w:r w:rsidRPr="0050146A">
        <w:rPr>
          <w:rFonts w:hint="cs"/>
          <w:rtl/>
        </w:rPr>
        <w:t>דברי הרמב"ם דבכחל משערים כפי השיעור של זמן הבישול ולא כשעת הנפילה</w:t>
      </w:r>
    </w:p>
    <w:p w:rsidR="00B2572D" w:rsidRPr="0050146A" w:rsidRDefault="00B2572D" w:rsidP="009F44AF">
      <w:pPr>
        <w:pStyle w:val="a"/>
        <w:rPr>
          <w:rtl/>
        </w:rPr>
      </w:pPr>
      <w:bookmarkStart w:id="3011" w:name="_Ref10364689"/>
      <w:r w:rsidRPr="0050146A">
        <w:rPr>
          <w:rFonts w:hint="cs"/>
          <w:rtl/>
        </w:rPr>
        <w:t xml:space="preserve">והנה בדין כחל כתב </w:t>
      </w:r>
      <w:r w:rsidRPr="0050146A">
        <w:rPr>
          <w:rStyle w:val="af8"/>
          <w:rFonts w:hint="cs"/>
          <w:rtl/>
        </w:rPr>
        <w:t>הרמב"ם</w:t>
      </w:r>
      <w:r w:rsidRPr="0050146A">
        <w:rPr>
          <w:rFonts w:hint="cs"/>
          <w:rtl/>
        </w:rPr>
        <w:t xml:space="preserve"> </w:t>
      </w:r>
      <w:r w:rsidRPr="0050146A">
        <w:rPr>
          <w:rStyle w:val="af6"/>
          <w:rFonts w:eastAsia="Guttman Hodes" w:hint="cs"/>
          <w:rtl/>
        </w:rPr>
        <w:t xml:space="preserve"> (מאכ"א פ"ט הי"ג) </w:t>
      </w:r>
      <w:r w:rsidRPr="0050146A">
        <w:rPr>
          <w:rFonts w:hint="cs"/>
          <w:rtl/>
        </w:rPr>
        <w:t>דמשערים את הכחל כמו שהוא כשיעור של זמן הבישול, ולא כשיעור הכחל שהיה בשעת הנפילה.</w:t>
      </w:r>
      <w:bookmarkEnd w:id="3011"/>
    </w:p>
    <w:p w:rsidR="00B2572D" w:rsidRPr="0050146A" w:rsidRDefault="00B2572D" w:rsidP="00B2572D">
      <w:pPr>
        <w:pStyle w:val="a2"/>
        <w:rPr>
          <w:rtl/>
        </w:rPr>
      </w:pPr>
      <w:r w:rsidRPr="0050146A">
        <w:rPr>
          <w:rFonts w:hint="cs"/>
          <w:rtl/>
        </w:rPr>
        <w:t>ביאור המ"מ ברמב"ם דספק הגמ' בכחל דמשערים במאי דנפיק מיניה היינו שמשערים אף בבלוע</w:t>
      </w:r>
    </w:p>
    <w:p w:rsidR="002D7168" w:rsidRDefault="00B2572D" w:rsidP="009F44AF">
      <w:pPr>
        <w:pStyle w:val="a"/>
        <w:rPr>
          <w:rStyle w:val="afa"/>
          <w:rtl/>
        </w:rPr>
      </w:pPr>
      <w:r w:rsidRPr="0050146A">
        <w:rPr>
          <w:rFonts w:hint="cs"/>
          <w:rtl/>
        </w:rPr>
        <w:t xml:space="preserve">וכתב </w:t>
      </w:r>
      <w:r w:rsidRPr="0050146A">
        <w:rPr>
          <w:rStyle w:val="af8"/>
          <w:rFonts w:hint="cs"/>
          <w:rtl/>
        </w:rPr>
        <w:t>המ"מ</w:t>
      </w:r>
      <w:r w:rsidRPr="0050146A">
        <w:rPr>
          <w:rFonts w:hint="cs"/>
          <w:rtl/>
        </w:rPr>
        <w:t xml:space="preserve"> </w:t>
      </w:r>
      <w:r w:rsidRPr="0050146A">
        <w:rPr>
          <w:rStyle w:val="af6"/>
          <w:rFonts w:eastAsia="Guttman Hodes" w:hint="cs"/>
          <w:rtl/>
        </w:rPr>
        <w:t>(מאכ"א פ"ט הי"ג)</w:t>
      </w:r>
      <w:r w:rsidRPr="0050146A">
        <w:rPr>
          <w:rFonts w:hint="cs"/>
          <w:rtl/>
        </w:rPr>
        <w:t xml:space="preserve"> דכוונת </w:t>
      </w:r>
      <w:r w:rsidRPr="0050146A">
        <w:rPr>
          <w:rStyle w:val="af8"/>
          <w:rFonts w:hint="cs"/>
          <w:rtl/>
        </w:rPr>
        <w:t>הרמב"ם</w:t>
      </w:r>
      <w:r w:rsidRPr="0050146A">
        <w:rPr>
          <w:rFonts w:hint="cs"/>
          <w:rtl/>
        </w:rPr>
        <w:t xml:space="preserve"> לומר דמשערים את הכחל כמו שהוא כשיעור של זמן הבישול, וכך ביאר </w:t>
      </w:r>
      <w:r w:rsidRPr="0050146A">
        <w:rPr>
          <w:rStyle w:val="af8"/>
          <w:rFonts w:hint="cs"/>
          <w:rtl/>
        </w:rPr>
        <w:t>הרמב"ם</w:t>
      </w:r>
      <w:r w:rsidRPr="0050146A">
        <w:rPr>
          <w:rFonts w:hint="cs"/>
          <w:rtl/>
        </w:rPr>
        <w:t xml:space="preserve"> את ספק הגמ' בדין כחל אי בדידיה משערינן או במאי דנפיק מיניה, דאין כוונת הגמ' לומר דמשערים רק במה שיצא ממנו, </w:t>
      </w:r>
      <w:r w:rsidRPr="0050146A">
        <w:rPr>
          <w:rStyle w:val="afa"/>
          <w:rFonts w:hint="cs"/>
          <w:rtl/>
        </w:rPr>
        <w:t xml:space="preserve">[כביאור </w:t>
      </w:r>
      <w:r w:rsidRPr="0050146A">
        <w:rPr>
          <w:rStyle w:val="affa"/>
          <w:rFonts w:hint="cs"/>
          <w:rtl/>
        </w:rPr>
        <w:t>רש"י</w:t>
      </w:r>
      <w:r w:rsidRPr="0050146A">
        <w:rPr>
          <w:rStyle w:val="afa"/>
          <w:rFonts w:hint="cs"/>
          <w:rtl/>
        </w:rPr>
        <w:t xml:space="preserve"> </w:t>
      </w:r>
      <w:r w:rsidRPr="0050146A">
        <w:rPr>
          <w:rStyle w:val="aff6"/>
          <w:rFonts w:hint="cs"/>
          <w:rtl/>
        </w:rPr>
        <w:t>(ד"ה או)</w:t>
      </w:r>
      <w:r w:rsidRPr="0050146A">
        <w:rPr>
          <w:rStyle w:val="afa"/>
          <w:rFonts w:hint="cs"/>
          <w:rtl/>
        </w:rPr>
        <w:t xml:space="preserve"> </w:t>
      </w:r>
      <w:r w:rsidRPr="0050146A">
        <w:rPr>
          <w:rStyle w:val="affa"/>
          <w:rFonts w:hint="cs"/>
          <w:rtl/>
        </w:rPr>
        <w:t>והראשונים</w:t>
      </w:r>
      <w:r w:rsidRPr="0050146A">
        <w:rPr>
          <w:rStyle w:val="afa"/>
          <w:rFonts w:hint="cs"/>
          <w:rtl/>
        </w:rPr>
        <w:t>],</w:t>
      </w:r>
      <w:r w:rsidRPr="0050146A">
        <w:rPr>
          <w:rFonts w:hint="cs"/>
          <w:rtl/>
        </w:rPr>
        <w:t xml:space="preserve"> אלא ביאר </w:t>
      </w:r>
      <w:r w:rsidRPr="0050146A">
        <w:rPr>
          <w:rStyle w:val="af8"/>
          <w:rFonts w:hint="cs"/>
          <w:rtl/>
        </w:rPr>
        <w:t>הרמב"ם</w:t>
      </w:r>
      <w:r w:rsidRPr="0050146A">
        <w:rPr>
          <w:rFonts w:hint="cs"/>
          <w:rtl/>
        </w:rPr>
        <w:t xml:space="preserve"> דכוונת הגמ' לומר דמשערים "אף" במה שיצא ממנו. </w:t>
      </w:r>
      <w:r w:rsidRPr="0050146A">
        <w:rPr>
          <w:rStyle w:val="afa"/>
          <w:rFonts w:hint="cs"/>
          <w:rtl/>
        </w:rPr>
        <w:t xml:space="preserve">[דהיינו דמשערים אף בבלוע ובמה שיצא לקדירה, וכפי השיעור שהיה בשעת הנפילה, ובזה פסק </w:t>
      </w:r>
      <w:r w:rsidRPr="0050146A">
        <w:rPr>
          <w:rStyle w:val="affa"/>
          <w:rFonts w:hint="cs"/>
          <w:rtl/>
        </w:rPr>
        <w:t>הרמב"ם</w:t>
      </w:r>
      <w:r w:rsidRPr="0050146A">
        <w:rPr>
          <w:rStyle w:val="afa"/>
          <w:rFonts w:hint="cs"/>
          <w:rtl/>
        </w:rPr>
        <w:t xml:space="preserve"> דמשערים רק בדידיה כפי שהוא בזמן הבישול, ולא כפי שהיה בשעת הנפילה].</w:t>
      </w:r>
    </w:p>
    <w:p w:rsidR="00B2572D" w:rsidRPr="0050146A" w:rsidRDefault="00B2572D" w:rsidP="00B2572D">
      <w:pPr>
        <w:pStyle w:val="a2"/>
        <w:rPr>
          <w:rtl/>
        </w:rPr>
      </w:pPr>
      <w:r w:rsidRPr="0050146A">
        <w:rPr>
          <w:rFonts w:hint="cs"/>
          <w:rtl/>
        </w:rPr>
        <w:t>קושית הב"י דאי כוונת הגמ' לומר דמשערים בבלוע מה מקשה הגמ' דא"א לדעת כמה יצא מהכחל</w:t>
      </w:r>
    </w:p>
    <w:p w:rsidR="00490B51" w:rsidRPr="0050146A" w:rsidRDefault="00B2572D" w:rsidP="009F44AF">
      <w:pPr>
        <w:pStyle w:val="a"/>
        <w:rPr>
          <w:rStyle w:val="afa"/>
          <w:rtl/>
        </w:rPr>
      </w:pPr>
      <w:r w:rsidRPr="0050146A">
        <w:rPr>
          <w:rtl/>
        </w:rPr>
        <w:t>ו</w:t>
      </w:r>
      <w:r w:rsidRPr="0050146A">
        <w:rPr>
          <w:rFonts w:hint="cs"/>
          <w:rtl/>
        </w:rPr>
        <w:t xml:space="preserve">עי' במה שהקשה </w:t>
      </w:r>
      <w:r w:rsidRPr="0050146A">
        <w:rPr>
          <w:rStyle w:val="af8"/>
          <w:rtl/>
        </w:rPr>
        <w:t>הב"י</w:t>
      </w:r>
      <w:r w:rsidRPr="0050146A">
        <w:rPr>
          <w:rStyle w:val="af6"/>
          <w:rFonts w:eastAsia="Guttman Hodes"/>
          <w:rtl/>
        </w:rPr>
        <w:t xml:space="preserve"> (סי' צ' ה' ד"ה כתב עוד</w:t>
      </w:r>
      <w:r w:rsidRPr="0050146A">
        <w:rPr>
          <w:rStyle w:val="af6"/>
          <w:rFonts w:eastAsia="Guttman Hodes" w:hint="cs"/>
          <w:rtl/>
        </w:rPr>
        <w:t xml:space="preserve"> הרמב"ם</w:t>
      </w:r>
      <w:r w:rsidRPr="0050146A">
        <w:rPr>
          <w:rStyle w:val="af6"/>
          <w:rFonts w:eastAsia="Guttman Hodes"/>
          <w:rtl/>
        </w:rPr>
        <w:t>)</w:t>
      </w:r>
      <w:r w:rsidRPr="0050146A">
        <w:rPr>
          <w:rFonts w:hint="cs"/>
          <w:rtl/>
        </w:rPr>
        <w:t xml:space="preserve"> דלא משמע בגמ' בדין כחל כדברי </w:t>
      </w:r>
      <w:r w:rsidRPr="0050146A">
        <w:rPr>
          <w:rStyle w:val="af8"/>
          <w:rFonts w:hint="cs"/>
          <w:rtl/>
        </w:rPr>
        <w:t>המ"מ</w:t>
      </w:r>
      <w:r w:rsidRPr="0050146A">
        <w:rPr>
          <w:rFonts w:hint="cs"/>
          <w:rtl/>
        </w:rPr>
        <w:t xml:space="preserve">, ועוד הקשה </w:t>
      </w:r>
      <w:r w:rsidRPr="0050146A">
        <w:rPr>
          <w:rStyle w:val="af8"/>
          <w:rFonts w:hint="cs"/>
          <w:rtl/>
        </w:rPr>
        <w:t>הב"י</w:t>
      </w:r>
      <w:r w:rsidRPr="0050146A">
        <w:rPr>
          <w:rFonts w:hint="cs"/>
          <w:rtl/>
        </w:rPr>
        <w:t xml:space="preserve"> דמה מקשה הגמ' בכחל דאי במאי דנפיק מיניה מנא ידעינן, הרי אי כוונת הגמ' לומר דמשערים אף במה שיצא ממנו, אמאי לא ידוע כמה יצא ממנו, הרי אפשר לדעת כמה היה שיעורו של הכחל בשעת הנפילה. </w:t>
      </w:r>
      <w:r w:rsidRPr="0050146A">
        <w:rPr>
          <w:rStyle w:val="afa"/>
          <w:rFonts w:hint="cs"/>
          <w:rtl/>
        </w:rPr>
        <w:t xml:space="preserve">[כ"כ </w:t>
      </w:r>
      <w:r w:rsidRPr="0050146A">
        <w:rPr>
          <w:rStyle w:val="affa"/>
          <w:rFonts w:hint="cs"/>
          <w:rtl/>
        </w:rPr>
        <w:t>הלח"מ</w:t>
      </w:r>
      <w:r w:rsidRPr="0050146A">
        <w:rPr>
          <w:rStyle w:val="afa"/>
          <w:rFonts w:hint="cs"/>
          <w:rtl/>
        </w:rPr>
        <w:t xml:space="preserve"> </w:t>
      </w:r>
      <w:r w:rsidRPr="0050146A">
        <w:rPr>
          <w:rStyle w:val="aff6"/>
          <w:rFonts w:hint="cs"/>
          <w:rtl/>
        </w:rPr>
        <w:t>(מאכ"א פ"ט הי"ג)</w:t>
      </w:r>
      <w:r w:rsidRPr="0050146A">
        <w:rPr>
          <w:rStyle w:val="afa"/>
          <w:rFonts w:hint="cs"/>
          <w:rtl/>
        </w:rPr>
        <w:t xml:space="preserve"> דכוונת </w:t>
      </w:r>
      <w:r w:rsidRPr="0050146A">
        <w:rPr>
          <w:rStyle w:val="affa"/>
          <w:rFonts w:hint="cs"/>
          <w:rtl/>
        </w:rPr>
        <w:t>הב"י</w:t>
      </w:r>
      <w:r w:rsidRPr="0050146A">
        <w:rPr>
          <w:rStyle w:val="afa"/>
          <w:rFonts w:hint="cs"/>
          <w:rtl/>
        </w:rPr>
        <w:t xml:space="preserve"> להקשות ב' קושיות].</w:t>
      </w:r>
    </w:p>
    <w:p w:rsidR="00B2572D" w:rsidRPr="0050146A" w:rsidRDefault="00B2572D" w:rsidP="00B2572D">
      <w:pPr>
        <w:pStyle w:val="a2"/>
      </w:pPr>
      <w:r w:rsidRPr="0050146A">
        <w:rPr>
          <w:rFonts w:hint="cs"/>
          <w:rtl/>
        </w:rPr>
        <w:t>ביאור הב"י דהרמב"ם פסק כגמ' לקמן דאף האיסור בלע וכתב בכחל וה"ה לשאר האיסורים</w:t>
      </w:r>
    </w:p>
    <w:p w:rsidR="00B2572D" w:rsidRPr="0050146A" w:rsidRDefault="00B2572D" w:rsidP="009F44AF">
      <w:pPr>
        <w:pStyle w:val="a"/>
        <w:rPr>
          <w:rtl/>
        </w:rPr>
      </w:pPr>
      <w:r w:rsidRPr="0050146A">
        <w:rPr>
          <w:rFonts w:hint="cs"/>
          <w:rtl/>
        </w:rPr>
        <w:t>אלא ביאר ה</w:t>
      </w:r>
      <w:r w:rsidRPr="0050146A">
        <w:rPr>
          <w:rStyle w:val="af8"/>
          <w:rFonts w:hint="cs"/>
          <w:rtl/>
        </w:rPr>
        <w:t>ב"י</w:t>
      </w:r>
      <w:r w:rsidRPr="0050146A">
        <w:rPr>
          <w:rFonts w:hint="cs"/>
          <w:rtl/>
        </w:rPr>
        <w:t xml:space="preserve"> דכוונת </w:t>
      </w:r>
      <w:r w:rsidRPr="0050146A">
        <w:rPr>
          <w:rStyle w:val="af8"/>
          <w:rFonts w:hint="cs"/>
          <w:rtl/>
        </w:rPr>
        <w:t>הרמב"ם</w:t>
      </w:r>
      <w:r w:rsidRPr="0050146A">
        <w:rPr>
          <w:rFonts w:hint="cs"/>
          <w:rtl/>
        </w:rPr>
        <w:t xml:space="preserve"> לבאר את סברת הגמ' לקמן </w:t>
      </w:r>
      <w:r w:rsidRPr="0050146A">
        <w:rPr>
          <w:rStyle w:val="af6"/>
          <w:rFonts w:eastAsia="Guttman Hodes" w:hint="cs"/>
          <w:rtl/>
        </w:rPr>
        <w:t>(צח.)</w:t>
      </w:r>
      <w:r w:rsidRPr="0050146A">
        <w:rPr>
          <w:rFonts w:hint="cs"/>
          <w:rtl/>
        </w:rPr>
        <w:t xml:space="preserve"> "א</w:t>
      </w:r>
      <w:r w:rsidRPr="0050146A">
        <w:rPr>
          <w:rtl/>
        </w:rPr>
        <w:t>טו דהיתרא בלע דאיסורא לא בלע</w:t>
      </w:r>
      <w:r w:rsidRPr="0050146A">
        <w:rPr>
          <w:rFonts w:hint="cs"/>
          <w:rtl/>
        </w:rPr>
        <w:t xml:space="preserve">", ולכן כתב </w:t>
      </w:r>
      <w:r w:rsidRPr="0050146A">
        <w:rPr>
          <w:rStyle w:val="af8"/>
          <w:rFonts w:hint="cs"/>
          <w:rtl/>
        </w:rPr>
        <w:t>הרמב"ם</w:t>
      </w:r>
      <w:r w:rsidRPr="0050146A">
        <w:rPr>
          <w:rFonts w:hint="cs"/>
          <w:rtl/>
        </w:rPr>
        <w:t xml:space="preserve"> דמשערים את האיסור כמו שהוא לפנינו, ולא כמו שהיה בשעת הנפילה, וכתב </w:t>
      </w:r>
      <w:r w:rsidRPr="0050146A">
        <w:rPr>
          <w:rStyle w:val="af8"/>
          <w:rFonts w:hint="cs"/>
          <w:rtl/>
        </w:rPr>
        <w:t>הב"י דהרמב"ם</w:t>
      </w:r>
      <w:r w:rsidRPr="0050146A">
        <w:rPr>
          <w:rFonts w:hint="cs"/>
          <w:rtl/>
        </w:rPr>
        <w:t xml:space="preserve"> כתב דין זה לגבי כחל, וה"ה לשאר האיסורים.</w:t>
      </w:r>
    </w:p>
    <w:p w:rsidR="00B2572D" w:rsidRPr="0050146A" w:rsidRDefault="00B2572D" w:rsidP="00B2572D">
      <w:pPr>
        <w:pStyle w:val="a2"/>
        <w:rPr>
          <w:rtl/>
        </w:rPr>
      </w:pPr>
      <w:r w:rsidRPr="0050146A">
        <w:rPr>
          <w:rFonts w:hint="cs"/>
          <w:rtl/>
        </w:rPr>
        <w:t>דחיית הלח"מ דהא הרמב"ם פסק כל"ב דמשערים במה שבלעה הקדירה ולא כגמ' לקמן</w:t>
      </w:r>
    </w:p>
    <w:p w:rsidR="00B2572D" w:rsidRPr="0050146A" w:rsidRDefault="00B2572D" w:rsidP="009F44AF">
      <w:pPr>
        <w:pStyle w:val="a"/>
        <w:rPr>
          <w:rtl/>
        </w:rPr>
      </w:pPr>
      <w:r w:rsidRPr="0050146A">
        <w:rPr>
          <w:rFonts w:hint="cs"/>
          <w:rtl/>
        </w:rPr>
        <w:t xml:space="preserve">ודחה </w:t>
      </w:r>
      <w:r w:rsidRPr="0050146A">
        <w:rPr>
          <w:rStyle w:val="af8"/>
          <w:rFonts w:hint="cs"/>
          <w:rtl/>
        </w:rPr>
        <w:t>הלח"מ</w:t>
      </w:r>
      <w:r w:rsidRPr="0050146A">
        <w:rPr>
          <w:rFonts w:hint="cs"/>
          <w:rtl/>
        </w:rPr>
        <w:t xml:space="preserve"> </w:t>
      </w:r>
      <w:r w:rsidRPr="0050146A">
        <w:rPr>
          <w:rStyle w:val="af6"/>
          <w:rFonts w:eastAsia="Guttman Hodes" w:hint="cs"/>
          <w:rtl/>
        </w:rPr>
        <w:t>(מאכ"א פ"ט סוהי"ג)</w:t>
      </w:r>
      <w:r w:rsidRPr="0050146A">
        <w:rPr>
          <w:rFonts w:hint="cs"/>
          <w:rtl/>
        </w:rPr>
        <w:t xml:space="preserve"> את ביאור </w:t>
      </w:r>
      <w:r w:rsidRPr="0050146A">
        <w:rPr>
          <w:rStyle w:val="af8"/>
          <w:rFonts w:hint="cs"/>
          <w:rtl/>
        </w:rPr>
        <w:t>הב"י</w:t>
      </w:r>
      <w:r w:rsidRPr="0050146A">
        <w:rPr>
          <w:rFonts w:hint="cs"/>
          <w:rtl/>
        </w:rPr>
        <w:t xml:space="preserve">, דהא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tl/>
        </w:rPr>
        <w:instrText xml:space="preserve"> </w:instrText>
      </w:r>
      <w:r w:rsidRPr="0050146A">
        <w:rPr>
          <w:rFonts w:hint="cs"/>
        </w:rPr>
        <w:instrText>REF</w:instrText>
      </w:r>
      <w:r w:rsidRPr="0050146A">
        <w:rPr>
          <w:rFonts w:hint="cs"/>
          <w:rtl/>
        </w:rPr>
        <w:instrText xml:space="preserve"> _</w:instrText>
      </w:r>
      <w:r w:rsidRPr="0050146A">
        <w:rPr>
          <w:rFonts w:hint="cs"/>
        </w:rPr>
        <w:instrText>Ref9542409 \r \h</w:instrText>
      </w:r>
      <w:r w:rsidRPr="0050146A">
        <w:rPr>
          <w:rtl/>
        </w:rPr>
        <w:instrText xml:space="preserve"> </w:instrText>
      </w:r>
      <w:r w:rsidRPr="0050146A">
        <w:rPr>
          <w:rStyle w:val="af6"/>
          <w:rFonts w:eastAsia="Guttman Hodes"/>
          <w:rtl/>
        </w:rPr>
      </w:r>
      <w:r w:rsidRPr="0050146A">
        <w:rPr>
          <w:rStyle w:val="af6"/>
          <w:rFonts w:eastAsia="Guttman Hodes"/>
          <w:rtl/>
        </w:rPr>
        <w:fldChar w:fldCharType="separate"/>
      </w:r>
      <w:r w:rsidR="004D1C5B">
        <w:rPr>
          <w:cs/>
        </w:rPr>
        <w:t>‎</w:t>
      </w:r>
      <w:r w:rsidR="004D1C5B">
        <w:rPr>
          <w:rtl/>
        </w:rPr>
        <w:t>סז)</w:t>
      </w:r>
      <w:r w:rsidRPr="0050146A">
        <w:rPr>
          <w:rStyle w:val="af6"/>
          <w:rFonts w:eastAsia="Guttman Hodes"/>
          <w:rtl/>
        </w:rPr>
        <w:fldChar w:fldCharType="end"/>
      </w:r>
      <w:r w:rsidRPr="0050146A">
        <w:rPr>
          <w:rFonts w:hint="cs"/>
          <w:rtl/>
        </w:rPr>
        <w:t xml:space="preserve"> פסק דמשערים במה שבלעה הקדירה, ולא פסק כסברת הגמ' לקמן דחוששין שאף האיסור נבלע.</w:t>
      </w:r>
    </w:p>
    <w:p w:rsidR="00B2572D" w:rsidRPr="0050146A" w:rsidRDefault="00B2572D" w:rsidP="00B2572D">
      <w:pPr>
        <w:pStyle w:val="a2"/>
        <w:rPr>
          <w:rtl/>
        </w:rPr>
      </w:pPr>
      <w:r w:rsidRPr="0050146A">
        <w:rPr>
          <w:rFonts w:hint="cs"/>
          <w:rtl/>
        </w:rPr>
        <w:t>ביאור הלח"מ דכוונת הגמ' להקשות דלא ידוע כמה יצא ממנו דא"א לשער בצמצום אלא באומד</w:t>
      </w:r>
    </w:p>
    <w:p w:rsidR="00B2572D" w:rsidRPr="0050146A" w:rsidRDefault="00B2572D" w:rsidP="009F44AF">
      <w:pPr>
        <w:pStyle w:val="a"/>
        <w:rPr>
          <w:rtl/>
        </w:rPr>
      </w:pPr>
      <w:r w:rsidRPr="0050146A">
        <w:rPr>
          <w:rFonts w:hint="cs"/>
          <w:rtl/>
        </w:rPr>
        <w:t xml:space="preserve">ובמה שהקשה </w:t>
      </w:r>
      <w:r w:rsidRPr="0050146A">
        <w:rPr>
          <w:rStyle w:val="af8"/>
          <w:rFonts w:hint="cs"/>
          <w:rtl/>
        </w:rPr>
        <w:t>הב"י</w:t>
      </w:r>
      <w:r w:rsidRPr="0050146A">
        <w:rPr>
          <w:rFonts w:hint="cs"/>
          <w:rtl/>
        </w:rPr>
        <w:t xml:space="preserve"> מה מקשה הגמ' בכחל דמנא ידעינן כמה יצא מהכחל, הרי אפש"ל דידעינן כמה היה שיעורו של הכחל בזמן שנפל, תירץ </w:t>
      </w:r>
      <w:r w:rsidRPr="0050146A">
        <w:rPr>
          <w:rStyle w:val="af8"/>
          <w:rFonts w:hint="cs"/>
          <w:rtl/>
        </w:rPr>
        <w:t>הלח"מ</w:t>
      </w:r>
      <w:r w:rsidRPr="0050146A">
        <w:rPr>
          <w:rFonts w:hint="cs"/>
          <w:rtl/>
        </w:rPr>
        <w:t xml:space="preserve"> דא"א לברר בצמצום כמה היה שיעורו בשעת הנפילה, וכל השיעור הוא רק באומד ואפשר לטעות בזה הרבה ולכן מקשה הגמ' דמנא ידעינן כמה יצא מהכחל, והוסיף </w:t>
      </w:r>
      <w:r w:rsidRPr="0050146A">
        <w:rPr>
          <w:rStyle w:val="af8"/>
          <w:rFonts w:hint="cs"/>
          <w:rtl/>
        </w:rPr>
        <w:t>הלח"מ</w:t>
      </w:r>
      <w:r w:rsidRPr="0050146A">
        <w:rPr>
          <w:rFonts w:hint="cs"/>
          <w:rtl/>
        </w:rPr>
        <w:t xml:space="preserve"> דאף אם נאמר דהוא קושיה, א"כ אמאי הקשה </w:t>
      </w:r>
      <w:r w:rsidRPr="0050146A">
        <w:rPr>
          <w:rStyle w:val="af8"/>
          <w:rFonts w:hint="cs"/>
          <w:rtl/>
        </w:rPr>
        <w:t>הב"י</w:t>
      </w:r>
      <w:r w:rsidRPr="0050146A">
        <w:rPr>
          <w:rFonts w:hint="cs"/>
          <w:rtl/>
        </w:rPr>
        <w:t xml:space="preserve"> כן רק על ביאור </w:t>
      </w:r>
      <w:r w:rsidRPr="0050146A">
        <w:rPr>
          <w:rStyle w:val="af8"/>
          <w:rFonts w:hint="cs"/>
          <w:rtl/>
        </w:rPr>
        <w:t>המ"מ ברמב"ם</w:t>
      </w:r>
      <w:r w:rsidRPr="0050146A">
        <w:rPr>
          <w:rFonts w:hint="cs"/>
          <w:rtl/>
        </w:rPr>
        <w:t xml:space="preserve">, הא היה לו להקשות אף על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Ref9785459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 בסוגיין דידוע כמה היה שיעורו של האיסור בשעת הנפילה, </w:t>
      </w:r>
      <w:r w:rsidRPr="0050146A">
        <w:rPr>
          <w:rStyle w:val="afa"/>
          <w:rFonts w:hint="cs"/>
          <w:rtl/>
        </w:rPr>
        <w:t xml:space="preserve">[לפי גירסת </w:t>
      </w:r>
      <w:r w:rsidRPr="0050146A">
        <w:rPr>
          <w:rStyle w:val="affa"/>
          <w:rFonts w:hint="cs"/>
          <w:rtl/>
        </w:rPr>
        <w:t>רש"י לפנינו</w:t>
      </w:r>
      <w:r w:rsidRPr="0050146A">
        <w:rPr>
          <w:rStyle w:val="afa"/>
          <w:rFonts w:hint="cs"/>
          <w:rtl/>
        </w:rPr>
        <w:t xml:space="preserve">, ודלא כגירסת </w:t>
      </w:r>
      <w:r w:rsidRPr="0050146A">
        <w:rPr>
          <w:rStyle w:val="affa"/>
          <w:rFonts w:hint="cs"/>
          <w:rtl/>
        </w:rPr>
        <w:t xml:space="preserve">הרשב"א והר"ן על הרי"ף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Ref9439894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לג)</w:t>
      </w:r>
      <w:r w:rsidRPr="0050146A">
        <w:rPr>
          <w:rStyle w:val="aff6"/>
          <w:rtl/>
        </w:rPr>
        <w:fldChar w:fldCharType="end"/>
      </w:r>
      <w:r w:rsidRPr="0050146A">
        <w:rPr>
          <w:rStyle w:val="aff6"/>
          <w:rFonts w:hint="cs"/>
          <w:rtl/>
        </w:rPr>
        <w:t xml:space="preserve"> </w:t>
      </w:r>
      <w:r w:rsidRPr="0050146A">
        <w:rPr>
          <w:rStyle w:val="affa"/>
          <w:rFonts w:hint="cs"/>
          <w:rtl/>
        </w:rPr>
        <w:t>ברש"י</w:t>
      </w:r>
      <w:r w:rsidRPr="0050146A">
        <w:rPr>
          <w:rStyle w:val="afa"/>
          <w:rFonts w:hint="cs"/>
          <w:rtl/>
        </w:rPr>
        <w:t xml:space="preserve">], </w:t>
      </w:r>
      <w:r w:rsidRPr="0050146A">
        <w:rPr>
          <w:rFonts w:hint="cs"/>
          <w:rtl/>
        </w:rPr>
        <w:t xml:space="preserve">וכתב </w:t>
      </w:r>
      <w:r w:rsidRPr="0050146A">
        <w:rPr>
          <w:rStyle w:val="af8"/>
          <w:rFonts w:hint="cs"/>
          <w:rtl/>
        </w:rPr>
        <w:t>הלח"מ</w:t>
      </w:r>
      <w:r w:rsidRPr="0050146A">
        <w:rPr>
          <w:rFonts w:hint="cs"/>
          <w:rtl/>
        </w:rPr>
        <w:t xml:space="preserve"> דצ"ל דכוונת </w:t>
      </w:r>
      <w:r w:rsidRPr="0050146A">
        <w:rPr>
          <w:rStyle w:val="af8"/>
          <w:rFonts w:hint="cs"/>
          <w:rtl/>
        </w:rPr>
        <w:t>הב"י</w:t>
      </w:r>
      <w:r w:rsidRPr="0050146A">
        <w:rPr>
          <w:rFonts w:hint="cs"/>
          <w:rtl/>
        </w:rPr>
        <w:t xml:space="preserve"> להקשות כן גם על </w:t>
      </w:r>
      <w:r w:rsidRPr="0050146A">
        <w:rPr>
          <w:rStyle w:val="af8"/>
          <w:rFonts w:hint="cs"/>
          <w:rtl/>
        </w:rPr>
        <w:t>רש"י</w:t>
      </w:r>
      <w:r w:rsidRPr="0050146A">
        <w:rPr>
          <w:rFonts w:hint="cs"/>
          <w:rtl/>
        </w:rPr>
        <w:t>.</w:t>
      </w:r>
    </w:p>
    <w:p w:rsidR="00B2572D" w:rsidRPr="0050146A" w:rsidRDefault="00B2572D" w:rsidP="00B2572D">
      <w:pPr>
        <w:pStyle w:val="a2"/>
        <w:rPr>
          <w:rtl/>
        </w:rPr>
      </w:pPr>
      <w:r w:rsidRPr="0050146A">
        <w:rPr>
          <w:rFonts w:hint="cs"/>
          <w:rtl/>
        </w:rPr>
        <w:t>קושית הלח"מ דהא בקדירה פסק הרמב"ם דמשערים בבלוע באומד אף שא"א לצמצם</w:t>
      </w:r>
    </w:p>
    <w:p w:rsidR="00B2572D" w:rsidRPr="0050146A" w:rsidRDefault="00B2572D" w:rsidP="009F44AF">
      <w:pPr>
        <w:pStyle w:val="a"/>
        <w:rPr>
          <w:rtl/>
        </w:rPr>
      </w:pPr>
      <w:r w:rsidRPr="0050146A">
        <w:rPr>
          <w:rFonts w:hint="cs"/>
          <w:rtl/>
        </w:rPr>
        <w:t xml:space="preserve">אך הקשה </w:t>
      </w:r>
      <w:r w:rsidRPr="0050146A">
        <w:rPr>
          <w:rStyle w:val="af8"/>
          <w:rFonts w:hint="cs"/>
          <w:rtl/>
        </w:rPr>
        <w:t>הלח"מ</w:t>
      </w:r>
      <w:r w:rsidRPr="0050146A">
        <w:rPr>
          <w:rFonts w:hint="cs"/>
          <w:rtl/>
        </w:rPr>
        <w:t xml:space="preserve"> דהא בסוגיין פסק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Ref9542409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50146A">
        <w:rPr>
          <w:rStyle w:val="af6"/>
          <w:rFonts w:eastAsia="Guttman Hodes"/>
          <w:rtl/>
        </w:rPr>
        <w:fldChar w:fldCharType="end"/>
      </w:r>
      <w:r w:rsidRPr="0050146A">
        <w:rPr>
          <w:rFonts w:hint="cs"/>
          <w:rtl/>
        </w:rPr>
        <w:t xml:space="preserve"> דמשערים במה שבלעה הקדירה לפי אומד הדעת, ואי א"א לדעת מה בלעה בצמצום, וא"כ אף בכחל שהוא האיסור עצמו, גם אם א"א לשער בצמצום ואפשר לטעות בזה הרבה, מ"מ היה </w:t>
      </w:r>
      <w:r w:rsidRPr="0050146A">
        <w:rPr>
          <w:rStyle w:val="af8"/>
          <w:rFonts w:hint="cs"/>
          <w:rtl/>
        </w:rPr>
        <w:t>להרמב"ם</w:t>
      </w:r>
      <w:r w:rsidRPr="0050146A">
        <w:rPr>
          <w:rFonts w:hint="cs"/>
          <w:rtl/>
        </w:rPr>
        <w:t xml:space="preserve"> לומר דמשערים באומד הדעת כפי שפסק בסוגין לגבי בליעת הקדירה.</w:t>
      </w:r>
    </w:p>
    <w:p w:rsidR="00B2572D" w:rsidRPr="0050146A" w:rsidRDefault="00B2572D" w:rsidP="00B2572D">
      <w:pPr>
        <w:pStyle w:val="a2"/>
        <w:rPr>
          <w:rtl/>
        </w:rPr>
      </w:pPr>
      <w:r w:rsidRPr="0050146A">
        <w:rPr>
          <w:rFonts w:hint="cs"/>
          <w:rtl/>
        </w:rPr>
        <w:t>ביאור הלח"מ דרק את ההיתר אפשר לשער באומד אבל את האיסור א"א לשער באומד</w:t>
      </w:r>
    </w:p>
    <w:p w:rsidR="00B2572D" w:rsidRPr="0050146A" w:rsidRDefault="00B2572D" w:rsidP="009F44AF">
      <w:pPr>
        <w:pStyle w:val="a"/>
      </w:pPr>
      <w:r w:rsidRPr="0050146A">
        <w:rPr>
          <w:rFonts w:hint="cs"/>
          <w:rtl/>
        </w:rPr>
        <w:t xml:space="preserve">ותירץ </w:t>
      </w:r>
      <w:r w:rsidRPr="0050146A">
        <w:rPr>
          <w:rStyle w:val="af8"/>
          <w:rFonts w:hint="cs"/>
          <w:rtl/>
        </w:rPr>
        <w:t>הלח"מ</w:t>
      </w:r>
      <w:r w:rsidRPr="0050146A">
        <w:rPr>
          <w:rFonts w:hint="cs"/>
          <w:rtl/>
        </w:rPr>
        <w:t xml:space="preserve"> דיותר קל לשער את בליעת הקדירה, </w:t>
      </w:r>
      <w:r w:rsidRPr="0050146A">
        <w:rPr>
          <w:rStyle w:val="afa"/>
          <w:rFonts w:hint="cs"/>
          <w:rtl/>
        </w:rPr>
        <w:t>[ע"י שמניחים קדירה מלאה מים על האש, ורואים כמה היא בולעת],</w:t>
      </w:r>
      <w:r w:rsidRPr="0050146A">
        <w:rPr>
          <w:rFonts w:hint="cs"/>
          <w:rtl/>
        </w:rPr>
        <w:t xml:space="preserve"> ואף שא"א לשער בצמצום, מ"מ אפשר לשער באומד הדעת, אבל את הכחל שהוא האיסור א"א לשער לפי מה שאנו רואים עכשיו לפנינו, כיון שאפשר לטעות ולשער שהיה גדול יותר ממה שהיה באמת.</w:t>
      </w:r>
    </w:p>
    <w:p w:rsidR="00B2572D" w:rsidRPr="0050146A" w:rsidRDefault="00B2572D" w:rsidP="00E669F8">
      <w:pPr>
        <w:pStyle w:val="afd"/>
        <w:rPr>
          <w:rtl/>
        </w:rPr>
      </w:pPr>
      <w:r w:rsidRPr="0050146A">
        <w:rPr>
          <w:rFonts w:hint="cs"/>
          <w:rtl/>
        </w:rPr>
        <w:t>דעת הרא"ה דרק בלח משערים בבלוע</w:t>
      </w:r>
      <w:bookmarkEnd w:id="3009"/>
      <w:r w:rsidRPr="0050146A">
        <w:rPr>
          <w:rFonts w:hint="cs"/>
          <w:rtl/>
        </w:rPr>
        <w:t xml:space="preserve"> </w:t>
      </w:r>
    </w:p>
    <w:p w:rsidR="00B2572D" w:rsidRPr="0050146A" w:rsidRDefault="00B2572D" w:rsidP="00B2572D">
      <w:pPr>
        <w:pStyle w:val="1"/>
        <w:rPr>
          <w:rtl/>
        </w:rPr>
      </w:pPr>
      <w:bookmarkStart w:id="3012" w:name="_Toc9760935"/>
      <w:r w:rsidRPr="0050146A">
        <w:rPr>
          <w:rFonts w:hint="cs"/>
          <w:rtl/>
        </w:rPr>
        <w:t>דעת הרא"ה דמשערים ברוטב הבלוע רק כשהוא עדיין לח</w:t>
      </w:r>
      <w:bookmarkEnd w:id="2991"/>
      <w:bookmarkEnd w:id="2992"/>
      <w:bookmarkEnd w:id="2993"/>
      <w:bookmarkEnd w:id="2994"/>
      <w:bookmarkEnd w:id="3012"/>
      <w:r w:rsidRPr="0050146A">
        <w:rPr>
          <w:rFonts w:hint="cs"/>
          <w:rtl/>
        </w:rPr>
        <w:t xml:space="preserve"> </w:t>
      </w:r>
    </w:p>
    <w:p w:rsidR="00B2572D" w:rsidRPr="0050146A" w:rsidRDefault="00B2572D" w:rsidP="00B2572D">
      <w:pPr>
        <w:pStyle w:val="a2"/>
        <w:rPr>
          <w:rtl/>
        </w:rPr>
      </w:pPr>
      <w:bookmarkStart w:id="3013" w:name="_Toc9760936"/>
      <w:r w:rsidRPr="0050146A">
        <w:rPr>
          <w:rFonts w:hint="cs"/>
          <w:rtl/>
        </w:rPr>
        <w:t>דברי הרא"ה דמשערים בבלוע רק ברוטב לח שעומד להפלט דחשיב כאילו נפלט כבר לקדירה</w:t>
      </w:r>
      <w:bookmarkEnd w:id="3013"/>
    </w:p>
    <w:p w:rsidR="00B2572D" w:rsidRPr="0050146A" w:rsidRDefault="00B2572D" w:rsidP="009F44AF">
      <w:pPr>
        <w:pStyle w:val="a"/>
      </w:pPr>
      <w:r w:rsidRPr="0050146A">
        <w:rPr>
          <w:rFonts w:hint="cs"/>
          <w:rtl/>
        </w:rPr>
        <w:t xml:space="preserve">כתב </w:t>
      </w:r>
      <w:r w:rsidRPr="0050146A">
        <w:rPr>
          <w:rStyle w:val="af8"/>
          <w:rtl/>
        </w:rPr>
        <w:t>הרא"ה בחי'</w:t>
      </w:r>
      <w:r w:rsidRPr="0050146A">
        <w:rPr>
          <w:rFonts w:hint="cs"/>
          <w:rtl/>
        </w:rPr>
        <w:t xml:space="preserve"> </w:t>
      </w:r>
      <w:r w:rsidRPr="0050146A">
        <w:rPr>
          <w:rStyle w:val="af6"/>
          <w:rFonts w:eastAsia="Guttman Hodes" w:hint="cs"/>
          <w:rtl/>
        </w:rPr>
        <w:t>(ד"ה אמר ר' חנינא)</w:t>
      </w:r>
      <w:r w:rsidRPr="0050146A">
        <w:rPr>
          <w:rFonts w:hint="cs"/>
          <w:rtl/>
        </w:rPr>
        <w:t xml:space="preserve"> </w:t>
      </w:r>
      <w:r w:rsidRPr="0050146A">
        <w:rPr>
          <w:rStyle w:val="af8"/>
          <w:rtl/>
        </w:rPr>
        <w:t>ובבד"ה</w:t>
      </w:r>
      <w:r w:rsidRPr="0050146A">
        <w:rPr>
          <w:rFonts w:hint="cs"/>
          <w:rtl/>
        </w:rPr>
        <w:t xml:space="preserve"> </w:t>
      </w:r>
      <w:r w:rsidRPr="0050146A">
        <w:rPr>
          <w:rStyle w:val="af6"/>
          <w:rFonts w:eastAsia="Guttman Hodes" w:hint="cs"/>
          <w:rtl/>
        </w:rPr>
        <w:t xml:space="preserve">(ב"ד ש"א ה. מדה"ס) </w:t>
      </w:r>
      <w:r w:rsidRPr="0050146A">
        <w:rPr>
          <w:rFonts w:hint="cs"/>
          <w:rtl/>
        </w:rPr>
        <w:t xml:space="preserve">דהא דמשערים במה שבלוע בקדירה, אין משערים במה שנבלע בקדירה ונתייבש או נשרף, אלא דוקא במה שעדיין בלוע וקיים בדופני הקדירה שהוא עומד להפלט, דדרך קדירה שהיא בולעת ופולטת, ולכן מה שעומד להפלט רואין אותו כאילו נפלט כבר, והוא נמצא בקדירה לפנינו, וכן הביא </w:t>
      </w:r>
      <w:r w:rsidRPr="0050146A">
        <w:rPr>
          <w:rStyle w:val="af8"/>
          <w:rtl/>
        </w:rPr>
        <w:t>הריטב"א</w:t>
      </w:r>
      <w:r w:rsidRPr="0050146A">
        <w:rPr>
          <w:rStyle w:val="af6"/>
          <w:rFonts w:eastAsia="Guttman Hodes" w:hint="cs"/>
          <w:rtl/>
        </w:rPr>
        <w:t xml:space="preserve"> (ד"ה ובקדירה) </w:t>
      </w:r>
      <w:r w:rsidRPr="0050146A">
        <w:rPr>
          <w:rFonts w:hint="cs"/>
          <w:rtl/>
        </w:rPr>
        <w:t xml:space="preserve">בשם </w:t>
      </w:r>
      <w:r w:rsidRPr="0050146A">
        <w:rPr>
          <w:rStyle w:val="af8"/>
          <w:rtl/>
        </w:rPr>
        <w:t>הרמב"ן</w:t>
      </w:r>
      <w:r w:rsidRPr="0050146A">
        <w:rPr>
          <w:rStyle w:val="af0"/>
          <w:rtl/>
        </w:rPr>
        <w:footnoteReference w:id="13"/>
      </w:r>
      <w:r w:rsidRPr="0050146A">
        <w:rPr>
          <w:rFonts w:hint="cs"/>
          <w:rtl/>
        </w:rPr>
        <w:t xml:space="preserve"> דמשערים רק במה שבלעה הקדירה, ועדיין לא התייבש ועומד להפלט מהקדירה.</w:t>
      </w:r>
    </w:p>
    <w:p w:rsidR="00B2572D" w:rsidRPr="0050146A" w:rsidRDefault="00B2572D" w:rsidP="00B2572D">
      <w:pPr>
        <w:pStyle w:val="a2"/>
        <w:rPr>
          <w:rtl/>
        </w:rPr>
      </w:pPr>
      <w:bookmarkStart w:id="3014" w:name="_Toc9760937"/>
      <w:r w:rsidRPr="0050146A">
        <w:rPr>
          <w:rFonts w:hint="cs"/>
          <w:rtl/>
        </w:rPr>
        <w:t>דברי הרא"ה דביטול בשישים הוא דהאיסור מתערב בשווה בשישים חלקי היתר ואבד טעמו</w:t>
      </w:r>
      <w:bookmarkEnd w:id="3014"/>
    </w:p>
    <w:p w:rsidR="00B2572D" w:rsidRPr="0050146A" w:rsidRDefault="00B2572D" w:rsidP="009F44AF">
      <w:pPr>
        <w:pStyle w:val="a"/>
        <w:rPr>
          <w:rStyle w:val="afa"/>
          <w:rtl/>
        </w:rPr>
      </w:pPr>
      <w:r w:rsidRPr="0050146A">
        <w:rPr>
          <w:rFonts w:hint="cs"/>
          <w:rtl/>
        </w:rPr>
        <w:t xml:space="preserve">וביאר </w:t>
      </w:r>
      <w:r w:rsidRPr="0050146A">
        <w:rPr>
          <w:rStyle w:val="af8"/>
          <w:rtl/>
        </w:rPr>
        <w:t>הרא"ה בבד"ה</w:t>
      </w:r>
      <w:r w:rsidRPr="0050146A">
        <w:rPr>
          <w:rFonts w:hint="cs"/>
          <w:rtl/>
        </w:rPr>
        <w:t xml:space="preserve"> דהא דמשערים במה שבלוע בקדירה, הוא כיון דכל הביטול בשיעור שישים הוא כיון שכשיש חלק אחד של </w:t>
      </w:r>
      <w:r w:rsidRPr="0050146A">
        <w:rPr>
          <w:rFonts w:hint="cs"/>
          <w:rtl/>
        </w:rPr>
        <w:lastRenderedPageBreak/>
        <w:t xml:space="preserve">איסור, שמתערב בשווה בשישים חלקים של היתר, נאבד הטעם של חלק האיסור. </w:t>
      </w:r>
      <w:r w:rsidRPr="0050146A">
        <w:rPr>
          <w:rStyle w:val="afa"/>
          <w:rtl/>
        </w:rPr>
        <w:t xml:space="preserve">[וכתב </w:t>
      </w:r>
      <w:r w:rsidRPr="0050146A">
        <w:rPr>
          <w:rStyle w:val="affa"/>
          <w:rtl/>
        </w:rPr>
        <w:t>הרא"ה בבד"ה</w:t>
      </w:r>
      <w:r w:rsidRPr="0050146A">
        <w:rPr>
          <w:rStyle w:val="afa"/>
          <w:rtl/>
        </w:rPr>
        <w:t xml:space="preserve"> דלכן צריך ניער וכיסה, דעי"ז מתערב הכל בשווה בכל הקדירה, וכדביאר </w:t>
      </w:r>
      <w:r w:rsidRPr="0050146A">
        <w:rPr>
          <w:rStyle w:val="affa"/>
          <w:rtl/>
        </w:rPr>
        <w:t>הרא"ה בבד"ה</w:t>
      </w:r>
      <w:r w:rsidRPr="0050146A">
        <w:rPr>
          <w:rStyle w:val="afa"/>
          <w:rtl/>
        </w:rPr>
        <w:t xml:space="preserve"> </w:t>
      </w:r>
      <w:r w:rsidRPr="0050146A">
        <w:rPr>
          <w:rStyle w:val="aff6"/>
          <w:rtl/>
        </w:rPr>
        <w:t xml:space="preserve">(ב"ד ש"א כא. מדה"ס, הובא לעיל </w:t>
      </w:r>
      <w:r w:rsidRPr="00544A69">
        <w:rPr>
          <w:rStyle w:val="af6"/>
          <w:rFonts w:eastAsia="Guttman Rashi"/>
          <w:rtl/>
        </w:rPr>
        <w:t xml:space="preserve">סימן א' אות </w:t>
      </w:r>
      <w:r w:rsidR="00544A69" w:rsidRPr="00544A69">
        <w:rPr>
          <w:rStyle w:val="af6"/>
          <w:rFonts w:eastAsia="Guttman Rashi"/>
          <w:rtl/>
        </w:rPr>
        <w:fldChar w:fldCharType="begin"/>
      </w:r>
      <w:r w:rsidR="00544A69" w:rsidRPr="00544A69">
        <w:rPr>
          <w:rStyle w:val="af6"/>
          <w:rFonts w:eastAsia="Guttman Hodes"/>
          <w:rtl/>
        </w:rPr>
        <w:instrText xml:space="preserve"> </w:instrText>
      </w:r>
      <w:r w:rsidR="00544A69" w:rsidRPr="00544A69">
        <w:rPr>
          <w:rStyle w:val="af6"/>
          <w:rFonts w:eastAsia="Guttman Hodes"/>
        </w:rPr>
        <w:instrText>REF</w:instrText>
      </w:r>
      <w:r w:rsidR="00544A69" w:rsidRPr="00544A69">
        <w:rPr>
          <w:rStyle w:val="af6"/>
          <w:rFonts w:eastAsia="Guttman Hodes"/>
          <w:rtl/>
        </w:rPr>
        <w:instrText xml:space="preserve"> _</w:instrText>
      </w:r>
      <w:r w:rsidR="00544A69" w:rsidRPr="00544A69">
        <w:rPr>
          <w:rStyle w:val="af6"/>
          <w:rFonts w:eastAsia="Guttman Hodes"/>
        </w:rPr>
        <w:instrText>Ref14427652 \r \h</w:instrText>
      </w:r>
      <w:r w:rsidR="00544A69" w:rsidRPr="00544A69">
        <w:rPr>
          <w:rStyle w:val="af6"/>
          <w:rFonts w:eastAsia="Guttman Hodes"/>
          <w:rtl/>
        </w:rPr>
        <w:instrText xml:space="preserve"> </w:instrText>
      </w:r>
      <w:r w:rsidR="00544A69" w:rsidRPr="00544A69">
        <w:rPr>
          <w:rStyle w:val="af6"/>
          <w:rFonts w:eastAsia="Guttman Rashi"/>
          <w:rtl/>
        </w:rPr>
      </w:r>
      <w:r w:rsidR="00544A69" w:rsidRPr="00544A69">
        <w:rPr>
          <w:rStyle w:val="af6"/>
          <w:rFonts w:eastAsia="Guttman Rashi"/>
          <w:rtl/>
        </w:rPr>
        <w:fldChar w:fldCharType="separate"/>
      </w:r>
      <w:r w:rsidR="004D1C5B">
        <w:rPr>
          <w:rStyle w:val="af6"/>
          <w:rFonts w:eastAsia="Guttman Hodes"/>
          <w:cs/>
        </w:rPr>
        <w:t>‎</w:t>
      </w:r>
      <w:r w:rsidR="004D1C5B">
        <w:rPr>
          <w:rStyle w:val="af6"/>
          <w:rFonts w:eastAsia="Guttman Hodes"/>
          <w:rtl/>
        </w:rPr>
        <w:t>קכט)</w:t>
      </w:r>
      <w:r w:rsidR="00544A69" w:rsidRPr="00544A69">
        <w:rPr>
          <w:rStyle w:val="af6"/>
          <w:rFonts w:eastAsia="Guttman Rashi"/>
          <w:rtl/>
        </w:rPr>
        <w:fldChar w:fldCharType="end"/>
      </w:r>
      <w:r w:rsidR="00544A69">
        <w:rPr>
          <w:rStyle w:val="afa"/>
          <w:rFonts w:hint="cs"/>
          <w:rtl/>
        </w:rPr>
        <w:t xml:space="preserve"> </w:t>
      </w:r>
      <w:r w:rsidRPr="0050146A">
        <w:rPr>
          <w:rStyle w:val="afa"/>
          <w:rtl/>
        </w:rPr>
        <w:t>דשיעור שישים הוא רק בבישול שנבלע בשווה בכל הקדירה].</w:t>
      </w:r>
    </w:p>
    <w:p w:rsidR="00B2572D" w:rsidRPr="0050146A" w:rsidRDefault="00B2572D" w:rsidP="00B2572D">
      <w:pPr>
        <w:pStyle w:val="a2"/>
        <w:rPr>
          <w:rtl/>
        </w:rPr>
      </w:pPr>
      <w:bookmarkStart w:id="3015" w:name="_Toc9760938"/>
      <w:r w:rsidRPr="0050146A">
        <w:rPr>
          <w:rFonts w:hint="cs"/>
          <w:rtl/>
        </w:rPr>
        <w:t>ביאור הרא"ה דהרוטב הלח שנמצא בגובה הרוטב שבתוך הקדירה מתערב עמו ומסייע לבטל</w:t>
      </w:r>
      <w:bookmarkEnd w:id="3015"/>
    </w:p>
    <w:p w:rsidR="00B2572D" w:rsidRPr="0050146A" w:rsidRDefault="00B2572D" w:rsidP="009F44AF">
      <w:pPr>
        <w:pStyle w:val="a"/>
        <w:rPr>
          <w:rtl/>
        </w:rPr>
      </w:pPr>
      <w:r w:rsidRPr="0050146A">
        <w:rPr>
          <w:rFonts w:hint="cs"/>
          <w:rtl/>
        </w:rPr>
        <w:t xml:space="preserve">ועפי"ז ביאר </w:t>
      </w:r>
      <w:r w:rsidRPr="0050146A">
        <w:rPr>
          <w:rStyle w:val="af8"/>
          <w:rtl/>
        </w:rPr>
        <w:t>הרא"ה בבד"ה</w:t>
      </w:r>
      <w:r w:rsidRPr="0050146A">
        <w:rPr>
          <w:rFonts w:hint="cs"/>
          <w:rtl/>
        </w:rPr>
        <w:t xml:space="preserve"> היאך הרוטב שבלוע בדפני הקדירה, והוא עדיין לח, יכול להצטרף לשישים, דבתחילת הבישול כשהרוטב שבתוך הקדירה מגיע עד לגובה של הקדירה, גם הרוטב הבלוע בדופני הקדירה מתערב עם הרוטב שבתוך הקדירה, ומסייע לו לבטל את חלק האיסור, דכיון שהרוטב הבלוע שהוא עדיין לח, הוא עומד להפלט ולבלוע כנגדו.</w:t>
      </w:r>
    </w:p>
    <w:p w:rsidR="00B2572D" w:rsidRPr="0050146A" w:rsidRDefault="00B2572D" w:rsidP="00B2572D">
      <w:pPr>
        <w:pStyle w:val="a2"/>
        <w:rPr>
          <w:rtl/>
        </w:rPr>
      </w:pPr>
      <w:bookmarkStart w:id="3016" w:name="_Toc9760939"/>
      <w:r w:rsidRPr="0050146A">
        <w:rPr>
          <w:rFonts w:hint="cs"/>
          <w:rtl/>
        </w:rPr>
        <w:t>ביאור הרא"ה דאחר שנתמעט הרוטב מתייבש הרוטב הבלוע שבגובה הקדירה ואינו מסייע לביטל</w:t>
      </w:r>
      <w:bookmarkEnd w:id="3016"/>
    </w:p>
    <w:p w:rsidR="00B2572D" w:rsidRPr="0050146A" w:rsidRDefault="00B2572D" w:rsidP="009F44AF">
      <w:pPr>
        <w:pStyle w:val="a"/>
      </w:pPr>
      <w:r w:rsidRPr="0050146A">
        <w:rPr>
          <w:rFonts w:hint="cs"/>
          <w:rtl/>
        </w:rPr>
        <w:t xml:space="preserve">והא דהרוטב היבש אינו מצטרף לשישים, ביאר </w:t>
      </w:r>
      <w:r w:rsidRPr="0050146A">
        <w:rPr>
          <w:rStyle w:val="af8"/>
          <w:rtl/>
        </w:rPr>
        <w:t>הרא"ה בבד"ה</w:t>
      </w:r>
      <w:r w:rsidRPr="0050146A">
        <w:rPr>
          <w:rFonts w:hint="cs"/>
          <w:rtl/>
        </w:rPr>
        <w:t xml:space="preserve"> דכ"ז שהרוטב שבתוך הקדירה מגיע עד לגובה של הקדירה, הרוטב הלח שבלוע בדפנות חוזר ונבלע ונפלט ונבלע, אבל בהמשך הבישול כשהרוטב שבתוך הקדירה מתחסר, ואינו מגיע לגובה הקדירה, שבה נמצא הרוטב הבלוע, ממילא מתייבש הבלוע בדפני הקדירה, וכשהוא יבש אינו נפלט לתוך הקדירה, ולכן אינו מצטרף לבטל את האיסור.</w:t>
      </w:r>
    </w:p>
    <w:p w:rsidR="00B2572D" w:rsidRPr="0050146A" w:rsidRDefault="00B2572D" w:rsidP="00B2572D">
      <w:pPr>
        <w:pStyle w:val="1"/>
        <w:rPr>
          <w:rtl/>
        </w:rPr>
      </w:pPr>
      <w:bookmarkStart w:id="3017" w:name="_Toc9760940"/>
      <w:r w:rsidRPr="0050146A">
        <w:rPr>
          <w:rFonts w:hint="cs"/>
          <w:rtl/>
        </w:rPr>
        <w:t>ביאור הריטב"א דלא נחלקו ב' הלישנות</w:t>
      </w:r>
      <w:bookmarkEnd w:id="3017"/>
    </w:p>
    <w:p w:rsidR="00B2572D" w:rsidRPr="0050146A" w:rsidRDefault="00B2572D" w:rsidP="00B2572D">
      <w:pPr>
        <w:pStyle w:val="a2"/>
        <w:rPr>
          <w:rtl/>
        </w:rPr>
      </w:pPr>
      <w:bookmarkStart w:id="3018" w:name="_Toc9760941"/>
      <w:r w:rsidRPr="0050146A">
        <w:rPr>
          <w:rFonts w:hint="cs"/>
          <w:rtl/>
        </w:rPr>
        <w:t>דברי הריטב"א דאפש"ל דב' הלישנות לא פליגי ויש חילוק בין נשרף ע"י האש או התייבש</w:t>
      </w:r>
      <w:bookmarkEnd w:id="3018"/>
    </w:p>
    <w:p w:rsidR="00B2572D" w:rsidRPr="0050146A" w:rsidRDefault="00B2572D" w:rsidP="009F44AF">
      <w:pPr>
        <w:pStyle w:val="a"/>
        <w:rPr>
          <w:rtl/>
        </w:rPr>
      </w:pPr>
      <w:r w:rsidRPr="0050146A">
        <w:rPr>
          <w:rFonts w:hint="cs"/>
          <w:rtl/>
        </w:rPr>
        <w:t xml:space="preserve">וכתב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(ד"ה ובקדירה, צח. ד"ה אבל י"ל) </w:t>
      </w:r>
      <w:r w:rsidRPr="0050146A">
        <w:rPr>
          <w:rFonts w:hint="cs"/>
          <w:rtl/>
        </w:rPr>
        <w:t xml:space="preserve">דקרוב לומר דב' הלישנות לא פליגי בעיקר הדין, ולכו"ע משערים ברוטב הבלוע בקדירה כ"ז שהוא לא התייבש, והא דאמרינן בל"ק דמשערים בקדירה עצמה ולא בבלוע, היינו לאפוקי הרוטב שנשרף ע"י האש או התייבש כבר, דהא אינו עומד להפלט לתוך הקדירה, אלא דכוונת הל"ק לומר שמשערים בקדירה דהיינו במה שבלוע בה ולא התייבש, ולא משערים במה שבלוע בקדירה, </w:t>
      </w:r>
      <w:r w:rsidRPr="0050146A">
        <w:rPr>
          <w:rStyle w:val="afa"/>
          <w:rFonts w:hint="cs"/>
          <w:rtl/>
        </w:rPr>
        <w:t xml:space="preserve">[וכתב </w:t>
      </w:r>
      <w:r w:rsidRPr="0050146A">
        <w:rPr>
          <w:rStyle w:val="affa"/>
          <w:rFonts w:hint="cs"/>
          <w:rtl/>
        </w:rPr>
        <w:t>הריטב"א</w:t>
      </w:r>
      <w:r w:rsidRPr="0050146A">
        <w:rPr>
          <w:rStyle w:val="afa"/>
          <w:rFonts w:hint="cs"/>
          <w:rtl/>
        </w:rPr>
        <w:t xml:space="preserve"> דאפש"ל דהלשון "קדירה עצמה" הכוונה לתבשיל, עי' בדבריו],</w:t>
      </w:r>
      <w:r w:rsidRPr="0050146A">
        <w:rPr>
          <w:rFonts w:hint="cs"/>
          <w:rtl/>
        </w:rPr>
        <w:t xml:space="preserve"> והא דאמרינן בל"ב דמשערים בבלוע, היינו ברוטב שבלוע בדופני הקדירה, כיון שהוא עומד להפלט לתוך הקדירה.</w:t>
      </w:r>
    </w:p>
    <w:p w:rsidR="00B2572D" w:rsidRPr="0050146A" w:rsidRDefault="00B2572D" w:rsidP="00E669F8">
      <w:pPr>
        <w:pStyle w:val="afd"/>
        <w:rPr>
          <w:rtl/>
        </w:rPr>
      </w:pPr>
      <w:bookmarkStart w:id="3019" w:name="_Toc9760942"/>
      <w:r w:rsidRPr="0050146A">
        <w:rPr>
          <w:rFonts w:hint="cs"/>
          <w:rtl/>
        </w:rPr>
        <w:t>ביאור הרשב"א בתשו' בדעת רש"י</w:t>
      </w:r>
      <w:bookmarkEnd w:id="3019"/>
      <w:r w:rsidRPr="0050146A">
        <w:rPr>
          <w:rFonts w:hint="cs"/>
          <w:rtl/>
        </w:rPr>
        <w:t xml:space="preserve"> בל"ב</w:t>
      </w:r>
    </w:p>
    <w:p w:rsidR="00B2572D" w:rsidRPr="0050146A" w:rsidRDefault="00B2572D" w:rsidP="00B2572D">
      <w:pPr>
        <w:pStyle w:val="1"/>
        <w:rPr>
          <w:rtl/>
        </w:rPr>
      </w:pPr>
      <w:bookmarkStart w:id="3020" w:name="_Toc9501151"/>
      <w:bookmarkStart w:id="3021" w:name="_Toc9542852"/>
      <w:bookmarkStart w:id="3022" w:name="_Toc9544956"/>
      <w:bookmarkStart w:id="3023" w:name="_Toc9591670"/>
      <w:bookmarkStart w:id="3024" w:name="_Toc9760943"/>
      <w:bookmarkStart w:id="3025" w:name="_Toc9501154"/>
      <w:bookmarkStart w:id="3026" w:name="_Toc9542855"/>
      <w:bookmarkStart w:id="3027" w:name="_Toc9544959"/>
      <w:bookmarkStart w:id="3028" w:name="_Toc9591673"/>
      <w:r w:rsidRPr="0050146A">
        <w:rPr>
          <w:rFonts w:hint="cs"/>
          <w:rtl/>
        </w:rPr>
        <w:t>ביאור הרשב"א בתשו' ברש"י</w:t>
      </w:r>
      <w:bookmarkEnd w:id="3020"/>
      <w:bookmarkEnd w:id="3021"/>
      <w:bookmarkEnd w:id="3022"/>
      <w:bookmarkEnd w:id="3023"/>
      <w:r w:rsidRPr="0050146A">
        <w:rPr>
          <w:rFonts w:hint="cs"/>
          <w:rtl/>
        </w:rPr>
        <w:t xml:space="preserve"> דאיסור שנתבטל אינו חוזר ואוסר</w:t>
      </w:r>
      <w:bookmarkEnd w:id="3024"/>
    </w:p>
    <w:p w:rsidR="00B2572D" w:rsidRPr="0050146A" w:rsidRDefault="00B2572D" w:rsidP="00B2572D">
      <w:pPr>
        <w:pStyle w:val="a2"/>
        <w:rPr>
          <w:rtl/>
        </w:rPr>
      </w:pPr>
      <w:bookmarkStart w:id="3029" w:name="_Toc9760944"/>
      <w:r w:rsidRPr="0050146A">
        <w:rPr>
          <w:rFonts w:hint="cs"/>
          <w:rtl/>
        </w:rPr>
        <w:t>דברי הרשב"א בתשו' ובמשה"ב ברש"י דאיסור שנתבטל בשישים אינו חוזר ואוסר בפחות משישים</w:t>
      </w:r>
      <w:bookmarkEnd w:id="3029"/>
    </w:p>
    <w:p w:rsidR="00B2572D" w:rsidRPr="0050146A" w:rsidRDefault="00B2572D" w:rsidP="009F44AF">
      <w:pPr>
        <w:pStyle w:val="a"/>
        <w:rPr>
          <w:rtl/>
        </w:rPr>
      </w:pPr>
      <w:bookmarkStart w:id="3030" w:name="_Ref9440445"/>
      <w:r w:rsidRPr="0050146A">
        <w:rPr>
          <w:rFonts w:hint="cs"/>
          <w:rtl/>
        </w:rPr>
        <w:t xml:space="preserve">כתב </w:t>
      </w:r>
      <w:r w:rsidRPr="0050146A">
        <w:rPr>
          <w:rStyle w:val="af8"/>
          <w:rFonts w:hint="cs"/>
          <w:rtl/>
        </w:rPr>
        <w:t>הרשב"א בתשו'</w:t>
      </w:r>
      <w:r w:rsidRPr="0050146A">
        <w:rPr>
          <w:rFonts w:hint="cs"/>
          <w:rtl/>
        </w:rPr>
        <w:t xml:space="preserve"> </w:t>
      </w:r>
      <w:r w:rsidRPr="0050146A">
        <w:rPr>
          <w:rStyle w:val="af6"/>
          <w:rFonts w:eastAsia="Guttman Hodes" w:hint="cs"/>
          <w:rtl/>
        </w:rPr>
        <w:t xml:space="preserve">(ח"א סי' תקט"ו ד"ה ומעיד, ח"ז מיוחסות סי' קנ"א) </w:t>
      </w:r>
      <w:r w:rsidRPr="0050146A">
        <w:rPr>
          <w:rStyle w:val="af8"/>
          <w:rFonts w:hint="cs"/>
          <w:rtl/>
        </w:rPr>
        <w:t xml:space="preserve">ובמשה"ב </w:t>
      </w:r>
      <w:r w:rsidRPr="0050146A">
        <w:rPr>
          <w:rStyle w:val="af6"/>
          <w:rFonts w:eastAsia="Guttman Hodes" w:hint="cs"/>
          <w:rtl/>
        </w:rPr>
        <w:t>(ב"ד ש"א טז. מדה"ס)</w:t>
      </w:r>
      <w:r w:rsidRPr="0050146A">
        <w:rPr>
          <w:rFonts w:hint="cs"/>
          <w:rtl/>
        </w:rPr>
        <w:t xml:space="preserve"> דהא דמבואר בדברי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Ref9283312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Fonts w:hint="cs"/>
          <w:rtl/>
        </w:rPr>
        <w:t xml:space="preserve"> דבמקום שהיה ידוע כמה היה האיסור ובשעת הנפילה היה בהיתר שישים כנגדו, אף שאח"כ נתמעט ההיתר, מ"מ אין האיסור חוזר ואוסרו כיון שנתבטל בתחילה, הוא כיון דס"ל </w:t>
      </w:r>
      <w:r w:rsidRPr="0050146A">
        <w:rPr>
          <w:rStyle w:val="af8"/>
          <w:rFonts w:hint="cs"/>
          <w:rtl/>
        </w:rPr>
        <w:t>לרש"י</w:t>
      </w:r>
      <w:r w:rsidRPr="0050146A">
        <w:rPr>
          <w:rFonts w:hint="cs"/>
          <w:rtl/>
        </w:rPr>
        <w:t xml:space="preserve"> דאיסור שנפל לקדירה ונתבטל בשישים, אינו חוזר ואוסר את הקדירה אף שעכשיו אין בהיתר שישים כנגדו.</w:t>
      </w:r>
      <w:bookmarkEnd w:id="3030"/>
    </w:p>
    <w:p w:rsidR="00B2572D" w:rsidRPr="0050146A" w:rsidRDefault="00B2572D" w:rsidP="00B2572D">
      <w:pPr>
        <w:pStyle w:val="a2"/>
        <w:rPr>
          <w:rtl/>
        </w:rPr>
      </w:pPr>
      <w:bookmarkStart w:id="3031" w:name="_Toc9760945"/>
      <w:r w:rsidRPr="0050146A">
        <w:rPr>
          <w:rFonts w:hint="cs"/>
          <w:rtl/>
        </w:rPr>
        <w:t>ביאור הרשב"א בתשו' דאף שנתמעט ההיתר רואין אותו כאילו הוא נמצא בקדירה אף שאין שישים</w:t>
      </w:r>
      <w:bookmarkEnd w:id="3031"/>
    </w:p>
    <w:p w:rsidR="00B2572D" w:rsidRPr="0050146A" w:rsidRDefault="00B2572D" w:rsidP="009F44AF">
      <w:pPr>
        <w:pStyle w:val="a"/>
        <w:rPr>
          <w:rStyle w:val="afa"/>
          <w:rtl/>
        </w:rPr>
      </w:pPr>
      <w:r w:rsidRPr="0050146A">
        <w:rPr>
          <w:rFonts w:hint="cs"/>
          <w:rtl/>
        </w:rPr>
        <w:t xml:space="preserve">והביא </w:t>
      </w:r>
      <w:r w:rsidRPr="0050146A">
        <w:rPr>
          <w:rStyle w:val="af8"/>
          <w:rFonts w:hint="cs"/>
          <w:rtl/>
        </w:rPr>
        <w:t>הרשב"א בתשו'</w:t>
      </w:r>
      <w:r w:rsidRPr="0050146A">
        <w:rPr>
          <w:rFonts w:hint="cs"/>
          <w:rtl/>
        </w:rPr>
        <w:t xml:space="preserve"> </w:t>
      </w:r>
      <w:r w:rsidRPr="0050146A">
        <w:rPr>
          <w:rStyle w:val="af6"/>
          <w:rFonts w:eastAsia="Guttman Hodes" w:hint="cs"/>
          <w:rtl/>
        </w:rPr>
        <w:t xml:space="preserve">(ח"א סי' תקט"ו סוד"ה ואני לא, ח"ז מיוחסות סי' קנ"א) </w:t>
      </w:r>
      <w:r w:rsidRPr="0050146A">
        <w:rPr>
          <w:rStyle w:val="af8"/>
          <w:rFonts w:hint="cs"/>
          <w:rtl/>
        </w:rPr>
        <w:t xml:space="preserve">ובמשה"ב </w:t>
      </w:r>
      <w:r w:rsidRPr="0050146A">
        <w:rPr>
          <w:rStyle w:val="af6"/>
          <w:rFonts w:eastAsia="Guttman Hodes" w:hint="cs"/>
          <w:rtl/>
        </w:rPr>
        <w:t>(ב"ד ש"א טז. מדה"ס)</w:t>
      </w:r>
      <w:r w:rsidRPr="0050146A">
        <w:rPr>
          <w:rFonts w:hint="cs"/>
          <w:rtl/>
        </w:rPr>
        <w:t xml:space="preserve"> בשם </w:t>
      </w:r>
      <w:r w:rsidRPr="0050146A">
        <w:rPr>
          <w:rStyle w:val="af8"/>
          <w:rFonts w:hint="cs"/>
          <w:rtl/>
        </w:rPr>
        <w:t>י"א</w:t>
      </w:r>
      <w:r w:rsidRPr="0050146A">
        <w:rPr>
          <w:rFonts w:hint="cs"/>
          <w:rtl/>
        </w:rPr>
        <w:t xml:space="preserve"> דביארו בדעת </w:t>
      </w:r>
      <w:r w:rsidRPr="0050146A">
        <w:rPr>
          <w:rStyle w:val="af8"/>
          <w:rFonts w:hint="cs"/>
          <w:rtl/>
        </w:rPr>
        <w:t>רש"י</w:t>
      </w:r>
      <w:r w:rsidRPr="0050146A">
        <w:rPr>
          <w:rFonts w:hint="cs"/>
          <w:rtl/>
        </w:rPr>
        <w:t xml:space="preserve"> דכיון שבשעת נפילת נתבטל האיסור בשישים שהיה בהיתר כנגדו, לכן אעפ"י שההיתר נתמעט ונבלע בקדירה, מ"מ רואין את ההיתר שנתמעט כאילו הוא נמצא, דכיון שהאיסור נתבטל כלפי ההיתר שבקדירה, אינו חוזר ואוסרו אף שעכשיו אין בהיתר שישים כנגדו, ועיי"ש דהוציאו </w:t>
      </w:r>
      <w:r w:rsidRPr="0050146A">
        <w:rPr>
          <w:rStyle w:val="af8"/>
          <w:rFonts w:hint="cs"/>
          <w:rtl/>
        </w:rPr>
        <w:t>הי"א</w:t>
      </w:r>
      <w:r w:rsidRPr="0050146A">
        <w:rPr>
          <w:rFonts w:hint="cs"/>
          <w:rtl/>
        </w:rPr>
        <w:t xml:space="preserve"> מזה להלכה דכל איסור שלא אסר בשעת נפילתו אינו חוזר ואוסר אח"כ</w:t>
      </w:r>
      <w:r w:rsidRPr="0050146A">
        <w:rPr>
          <w:rStyle w:val="af0"/>
          <w:rtl/>
        </w:rPr>
        <w:footnoteReference w:id="14"/>
      </w:r>
      <w:r w:rsidRPr="0050146A">
        <w:rPr>
          <w:rFonts w:hint="cs"/>
          <w:rtl/>
        </w:rPr>
        <w:t>.</w:t>
      </w:r>
    </w:p>
    <w:p w:rsidR="00B2572D" w:rsidRPr="0050146A" w:rsidRDefault="00B2572D" w:rsidP="00B2572D">
      <w:pPr>
        <w:pStyle w:val="a2"/>
        <w:rPr>
          <w:rtl/>
        </w:rPr>
      </w:pPr>
      <w:bookmarkStart w:id="3032" w:name="_Toc9760946"/>
      <w:r w:rsidRPr="0050146A">
        <w:rPr>
          <w:rFonts w:hint="cs"/>
          <w:rtl/>
        </w:rPr>
        <w:t>ביאור הרשב"א בתשו' בדברי רש"י בל"ב דההיתר כשעת נפילה ואילו את האיסור משערים מצומק</w:t>
      </w:r>
      <w:bookmarkEnd w:id="3032"/>
    </w:p>
    <w:p w:rsidR="00B2572D" w:rsidRPr="0050146A" w:rsidRDefault="00B2572D" w:rsidP="009F44AF">
      <w:pPr>
        <w:pStyle w:val="a"/>
        <w:rPr>
          <w:rtl/>
        </w:rPr>
      </w:pPr>
      <w:bookmarkStart w:id="3033" w:name="_Ref9439481"/>
      <w:r w:rsidRPr="0050146A">
        <w:rPr>
          <w:rFonts w:hint="cs"/>
          <w:rtl/>
        </w:rPr>
        <w:t xml:space="preserve">וכתב </w:t>
      </w:r>
      <w:r w:rsidRPr="0050146A">
        <w:rPr>
          <w:rStyle w:val="af8"/>
          <w:rFonts w:hint="cs"/>
          <w:rtl/>
        </w:rPr>
        <w:t>הרשב"א בתשו'</w:t>
      </w:r>
      <w:r w:rsidRPr="0050146A">
        <w:rPr>
          <w:rFonts w:hint="cs"/>
          <w:rtl/>
        </w:rPr>
        <w:t xml:space="preserve"> דכן מבואר בדברי </w:t>
      </w:r>
      <w:r w:rsidRPr="0050146A">
        <w:rPr>
          <w:rStyle w:val="af8"/>
          <w:rFonts w:hint="cs"/>
          <w:rtl/>
        </w:rPr>
        <w:t>רש"י</w:t>
      </w:r>
      <w:r w:rsidRPr="0050146A">
        <w:rPr>
          <w:rFonts w:hint="cs"/>
          <w:rtl/>
        </w:rPr>
        <w:t xml:space="preserve"> דביאר בל"ב דמשערים במאי דבלעה קדירה, דאיירי שלא ידוע כמה היה השיעור של האיסור בשעה שנפל לפני שנתמעט בקדירה, </w:t>
      </w:r>
      <w:r w:rsidRPr="0050146A">
        <w:rPr>
          <w:rStyle w:val="afa"/>
          <w:rFonts w:hint="cs"/>
          <w:rtl/>
        </w:rPr>
        <w:t xml:space="preserve">[וכגי' </w:t>
      </w:r>
      <w:r w:rsidRPr="0050146A">
        <w:rPr>
          <w:rStyle w:val="affa"/>
          <w:rFonts w:hint="cs"/>
          <w:rtl/>
        </w:rPr>
        <w:t>הרשב"א ברש"י</w:t>
      </w:r>
      <w:r w:rsidRPr="0050146A">
        <w:rPr>
          <w:rStyle w:val="aff6"/>
          <w:rFonts w:hint="cs"/>
          <w:rtl/>
        </w:rPr>
        <w:t xml:space="preserve"> (עי'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Ref9439894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לג)</w:t>
      </w:r>
      <w:r w:rsidRPr="0050146A">
        <w:rPr>
          <w:rStyle w:val="aff6"/>
          <w:rtl/>
        </w:rPr>
        <w:fldChar w:fldCharType="end"/>
      </w:r>
      <w:r w:rsidRPr="0050146A">
        <w:rPr>
          <w:rStyle w:val="afa"/>
          <w:rFonts w:hint="cs"/>
          <w:rtl/>
        </w:rPr>
        <w:t>],</w:t>
      </w:r>
      <w:r w:rsidRPr="0050146A">
        <w:rPr>
          <w:rFonts w:hint="cs"/>
          <w:rtl/>
        </w:rPr>
        <w:t xml:space="preserve"> אך כתב </w:t>
      </w:r>
      <w:r w:rsidRPr="0050146A">
        <w:rPr>
          <w:rStyle w:val="af8"/>
          <w:rFonts w:hint="cs"/>
          <w:rtl/>
        </w:rPr>
        <w:t>הרשב"א בתשו'</w:t>
      </w:r>
      <w:r w:rsidRPr="0050146A">
        <w:rPr>
          <w:rFonts w:hint="cs"/>
          <w:rtl/>
        </w:rPr>
        <w:t xml:space="preserve"> בשם </w:t>
      </w:r>
      <w:r w:rsidRPr="0050146A">
        <w:rPr>
          <w:rStyle w:val="af8"/>
          <w:rFonts w:hint="cs"/>
          <w:rtl/>
        </w:rPr>
        <w:t>רש"י</w:t>
      </w:r>
      <w:r w:rsidRPr="0050146A">
        <w:rPr>
          <w:rFonts w:hint="cs"/>
          <w:rtl/>
        </w:rPr>
        <w:t xml:space="preserve"> דידוע שהיה בקדירה הרבה רוטב בשעת נפילת האיסור, ואעפ"י שעכשיו אחר הבישול נתמעט הרוטב, ואין בהיתר שישים כנגד האיסור שלפנינו, מ"מ כתב </w:t>
      </w:r>
      <w:r w:rsidRPr="0050146A">
        <w:rPr>
          <w:rStyle w:val="af8"/>
          <w:rFonts w:hint="cs"/>
          <w:rtl/>
        </w:rPr>
        <w:t>הרשב"א בתשו'</w:t>
      </w:r>
      <w:r w:rsidRPr="0050146A">
        <w:rPr>
          <w:rFonts w:hint="cs"/>
          <w:rtl/>
        </w:rPr>
        <w:t xml:space="preserve"> בשם </w:t>
      </w:r>
      <w:r w:rsidRPr="0050146A">
        <w:rPr>
          <w:rStyle w:val="af8"/>
          <w:rFonts w:hint="cs"/>
          <w:rtl/>
        </w:rPr>
        <w:t>רש"י</w:t>
      </w:r>
      <w:r w:rsidRPr="0050146A">
        <w:rPr>
          <w:rFonts w:hint="cs"/>
          <w:rtl/>
        </w:rPr>
        <w:t xml:space="preserve"> דכיון שידוע שבשעת הנפילה היה הרבה רוטב, מצרפים לשיעור שישים את מה שבלעה הקדירה מההיתר, אבל את האיסור משערים מצומק כפי שהוא עכשיו.</w:t>
      </w:r>
      <w:bookmarkEnd w:id="3033"/>
    </w:p>
    <w:p w:rsidR="00B2572D" w:rsidRPr="0050146A" w:rsidRDefault="00B2572D" w:rsidP="00B2572D">
      <w:pPr>
        <w:pStyle w:val="a2"/>
      </w:pPr>
      <w:bookmarkStart w:id="3034" w:name="_Toc9760947"/>
      <w:r w:rsidRPr="0050146A">
        <w:rPr>
          <w:rFonts w:hint="cs"/>
          <w:rtl/>
        </w:rPr>
        <w:t>דברי הרשב"א בתשו' דמבואר ברש"י דבידוע כמה האיסור משערים כפי שעת הנפילה</w:t>
      </w:r>
      <w:bookmarkEnd w:id="3034"/>
    </w:p>
    <w:p w:rsidR="00B2572D" w:rsidRPr="0050146A" w:rsidRDefault="00B2572D" w:rsidP="009F44AF">
      <w:pPr>
        <w:pStyle w:val="a"/>
        <w:rPr>
          <w:rtl/>
        </w:rPr>
      </w:pPr>
      <w:r w:rsidRPr="0050146A">
        <w:rPr>
          <w:rFonts w:hint="cs"/>
          <w:rtl/>
        </w:rPr>
        <w:t xml:space="preserve">ובמ"ש </w:t>
      </w:r>
      <w:r w:rsidRPr="0050146A">
        <w:rPr>
          <w:rStyle w:val="af8"/>
          <w:rFonts w:hint="cs"/>
          <w:rtl/>
        </w:rPr>
        <w:t>רש"י</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Ref9439874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0146A">
        <w:rPr>
          <w:rStyle w:val="af6"/>
          <w:rFonts w:eastAsia="Guttman Hodes"/>
          <w:rtl/>
        </w:rPr>
        <w:fldChar w:fldCharType="end"/>
      </w:r>
      <w:r w:rsidRPr="0050146A">
        <w:rPr>
          <w:rFonts w:hint="cs"/>
          <w:rtl/>
        </w:rPr>
        <w:t xml:space="preserve"> בסו"ד דאין משערים בבלוע, כיון שגם האיסור נבלע, ביאר </w:t>
      </w:r>
      <w:r w:rsidRPr="0050146A">
        <w:rPr>
          <w:rStyle w:val="af8"/>
          <w:rFonts w:hint="cs"/>
          <w:rtl/>
        </w:rPr>
        <w:t>הרשב"א בתשו'</w:t>
      </w:r>
      <w:r w:rsidRPr="0050146A">
        <w:rPr>
          <w:rFonts w:hint="cs"/>
          <w:rtl/>
        </w:rPr>
        <w:t xml:space="preserve"> דכוונת </w:t>
      </w:r>
      <w:r w:rsidRPr="0050146A">
        <w:rPr>
          <w:rStyle w:val="af8"/>
          <w:rFonts w:hint="cs"/>
          <w:rtl/>
        </w:rPr>
        <w:t>רש"י</w:t>
      </w:r>
      <w:r w:rsidRPr="0050146A">
        <w:rPr>
          <w:rFonts w:hint="cs"/>
          <w:rtl/>
        </w:rPr>
        <w:t xml:space="preserve"> לדחות את הל"ב, מסברא דכיון שלא ידוע כמה היה האיסור בשעת נפילה, א"כ כמו שההיתר הצטמק אף האיסור הצטמק, אך כתב </w:t>
      </w:r>
      <w:r w:rsidRPr="0050146A">
        <w:rPr>
          <w:rStyle w:val="af8"/>
          <w:rFonts w:hint="cs"/>
          <w:rtl/>
        </w:rPr>
        <w:t>הרשב"א בתשו'</w:t>
      </w:r>
      <w:r w:rsidRPr="0050146A">
        <w:rPr>
          <w:rFonts w:hint="cs"/>
          <w:rtl/>
        </w:rPr>
        <w:t xml:space="preserve"> דמשמע מדברי </w:t>
      </w:r>
      <w:r w:rsidRPr="0050146A">
        <w:rPr>
          <w:rStyle w:val="af8"/>
          <w:rFonts w:hint="cs"/>
          <w:rtl/>
        </w:rPr>
        <w:t>רש"י</w:t>
      </w:r>
      <w:r w:rsidRPr="0050146A">
        <w:rPr>
          <w:rFonts w:hint="cs"/>
          <w:rtl/>
        </w:rPr>
        <w:t xml:space="preserve"> דאם היה ידוע כמה היה האיסור בשעת נפילתו, ובשעת הנפילה היה בהיתר שישים כנגדו, דמשערים כפי שעת הנפילה ומותר, ואעפ"י שעכשיו אין שישים כנגדו, מ"מ בתר תחילת הנפילה אזלינן.</w:t>
      </w:r>
    </w:p>
    <w:p w:rsidR="00B2572D" w:rsidRPr="0050146A" w:rsidRDefault="00B2572D" w:rsidP="00B2572D">
      <w:pPr>
        <w:pStyle w:val="a2"/>
      </w:pPr>
      <w:bookmarkStart w:id="3035" w:name="_Toc9760948"/>
      <w:r w:rsidRPr="0050146A">
        <w:rPr>
          <w:rFonts w:hint="cs"/>
          <w:rtl/>
        </w:rPr>
        <w:t>דברי הרשב"א בתשו' דלרש"י דטעם כעיקר דרבנן סמכו לקולא בשישים כשעת הנפילה</w:t>
      </w:r>
      <w:bookmarkEnd w:id="3035"/>
    </w:p>
    <w:p w:rsidR="00B2572D" w:rsidRPr="0050146A" w:rsidRDefault="00B2572D" w:rsidP="009F44AF">
      <w:pPr>
        <w:pStyle w:val="a"/>
        <w:rPr>
          <w:rStyle w:val="afa"/>
        </w:rPr>
      </w:pPr>
      <w:bookmarkStart w:id="3036" w:name="_Ref9439771"/>
      <w:r w:rsidRPr="0050146A">
        <w:rPr>
          <w:rFonts w:hint="cs"/>
          <w:rtl/>
        </w:rPr>
        <w:t xml:space="preserve">וכתב </w:t>
      </w:r>
      <w:r w:rsidRPr="0050146A">
        <w:rPr>
          <w:rStyle w:val="af8"/>
          <w:rFonts w:hint="cs"/>
          <w:rtl/>
        </w:rPr>
        <w:t xml:space="preserve">הרשב"א בתשו' </w:t>
      </w:r>
      <w:r w:rsidRPr="0050146A">
        <w:rPr>
          <w:rFonts w:hint="cs"/>
          <w:rtl/>
        </w:rPr>
        <w:t xml:space="preserve">דאפש"ל דס"ל דכיון דהשיעורים הם מדרבנן סמכו לקולא, דהא לדעת </w:t>
      </w:r>
      <w:r w:rsidRPr="0050146A">
        <w:rPr>
          <w:rStyle w:val="af8"/>
          <w:rFonts w:hint="cs"/>
          <w:rtl/>
        </w:rPr>
        <w:t>רש"י</w:t>
      </w:r>
      <w:r w:rsidRPr="0050146A">
        <w:rPr>
          <w:rFonts w:hint="cs"/>
          <w:rtl/>
        </w:rPr>
        <w:t xml:space="preserve"> </w:t>
      </w:r>
      <w:r w:rsidRPr="0050146A">
        <w:rPr>
          <w:rStyle w:val="af6"/>
          <w:rFonts w:eastAsia="Guttman Hodes" w:hint="cs"/>
          <w:rtl/>
        </w:rPr>
        <w:t>(צח: ד"ה לטעם)</w:t>
      </w:r>
      <w:r w:rsidRPr="0050146A">
        <w:rPr>
          <w:rFonts w:hint="cs"/>
          <w:rtl/>
        </w:rPr>
        <w:t xml:space="preserve"> דס"ל</w:t>
      </w:r>
      <w:r w:rsidRPr="0050146A">
        <w:rPr>
          <w:rStyle w:val="af8"/>
          <w:rFonts w:hint="cs"/>
          <w:rtl/>
        </w:rPr>
        <w:t xml:space="preserve"> </w:t>
      </w:r>
      <w:r w:rsidRPr="0050146A">
        <w:rPr>
          <w:rFonts w:hint="cs"/>
          <w:rtl/>
        </w:rPr>
        <w:t xml:space="preserve">דטעם כעיקר דרבנן </w:t>
      </w:r>
      <w:r w:rsidRPr="0050146A">
        <w:rPr>
          <w:rStyle w:val="afa"/>
          <w:rFonts w:hint="cs"/>
          <w:rtl/>
        </w:rPr>
        <w:t xml:space="preserve">[כדפסק </w:t>
      </w:r>
      <w:r w:rsidRPr="0050146A">
        <w:rPr>
          <w:rStyle w:val="affa"/>
          <w:rFonts w:hint="cs"/>
          <w:rtl/>
        </w:rPr>
        <w:t>רש"י</w:t>
      </w:r>
      <w:r w:rsidRPr="0050146A">
        <w:rPr>
          <w:rStyle w:val="afa"/>
          <w:rFonts w:hint="cs"/>
          <w:rtl/>
        </w:rPr>
        <w:t xml:space="preserve"> כדעת רבא]</w:t>
      </w:r>
      <w:r w:rsidRPr="0050146A">
        <w:rPr>
          <w:rFonts w:hint="cs"/>
          <w:rtl/>
        </w:rPr>
        <w:t xml:space="preserve">, א"כ מדאו' חד בתרי בטיל, לכן מקילים לשער את האיסור הוא כפי מה שאנו רואים עכשיו כשנצטמק, </w:t>
      </w:r>
      <w:r w:rsidRPr="0050146A">
        <w:rPr>
          <w:rStyle w:val="afa"/>
          <w:rFonts w:hint="cs"/>
          <w:rtl/>
        </w:rPr>
        <w:t xml:space="preserve">[וכ"כ </w:t>
      </w:r>
      <w:r w:rsidRPr="0050146A">
        <w:rPr>
          <w:rStyle w:val="affa"/>
          <w:rFonts w:hint="cs"/>
          <w:rtl/>
        </w:rPr>
        <w:t>הרשב"א בחי' ובתוה"ב</w:t>
      </w:r>
      <w:r w:rsidRPr="0050146A">
        <w:rPr>
          <w:rStyle w:val="af8"/>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Ref9439823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סב)</w:t>
      </w:r>
      <w:r w:rsidRPr="0050146A">
        <w:rPr>
          <w:rStyle w:val="aff6"/>
          <w:rtl/>
        </w:rPr>
        <w:fldChar w:fldCharType="end"/>
      </w:r>
      <w:r w:rsidRPr="0050146A">
        <w:rPr>
          <w:rStyle w:val="afa"/>
          <w:rFonts w:hint="cs"/>
          <w:rtl/>
        </w:rPr>
        <w:t xml:space="preserve">], </w:t>
      </w:r>
      <w:r w:rsidRPr="0050146A">
        <w:rPr>
          <w:rFonts w:hint="cs"/>
          <w:rtl/>
        </w:rPr>
        <w:t xml:space="preserve">והוסיף </w:t>
      </w:r>
      <w:r w:rsidRPr="0050146A">
        <w:rPr>
          <w:rStyle w:val="af8"/>
          <w:rFonts w:hint="cs"/>
          <w:rtl/>
        </w:rPr>
        <w:t>הרשב"א בתשו'</w:t>
      </w:r>
      <w:r w:rsidRPr="0050146A">
        <w:rPr>
          <w:rFonts w:hint="cs"/>
          <w:rtl/>
        </w:rPr>
        <w:t xml:space="preserve"> דאף השיעור שאנו רואים את האיסור, עכשיו אמרינן דהוא פלט חלק מהאיסור ובלע מההיתר שבקדירה, </w:t>
      </w:r>
      <w:r w:rsidRPr="0050146A">
        <w:rPr>
          <w:rStyle w:val="afa"/>
          <w:rFonts w:hint="cs"/>
          <w:rtl/>
        </w:rPr>
        <w:t>[והיינו דאף השיעור של האיסור שלפנינו, אין כולו איסור ויל"ע בכוונתו],</w:t>
      </w:r>
      <w:r w:rsidRPr="0050146A">
        <w:rPr>
          <w:rFonts w:hint="cs"/>
          <w:rtl/>
        </w:rPr>
        <w:t xml:space="preserve"> ועי' בדברי </w:t>
      </w:r>
      <w:r w:rsidRPr="0050146A">
        <w:rPr>
          <w:rStyle w:val="af8"/>
          <w:rFonts w:hint="cs"/>
          <w:rtl/>
        </w:rPr>
        <w:t>הרשב"א במשה"ב</w:t>
      </w:r>
      <w:r w:rsidRPr="0050146A">
        <w:rPr>
          <w:rStyle w:val="af6"/>
          <w:rFonts w:eastAsia="Guttman Hodes" w:hint="cs"/>
          <w:rtl/>
        </w:rPr>
        <w:t xml:space="preserve"> (עי' בהערה</w:t>
      </w:r>
      <w:r w:rsidRPr="0050146A">
        <w:rPr>
          <w:vertAlign w:val="superscript"/>
          <w:rtl/>
        </w:rPr>
        <w:fldChar w:fldCharType="begin"/>
      </w:r>
      <w:r w:rsidRPr="0050146A">
        <w:rPr>
          <w:vertAlign w:val="superscript"/>
          <w:rtl/>
        </w:rPr>
        <w:instrText xml:space="preserve"> </w:instrText>
      </w:r>
      <w:r w:rsidRPr="0050146A">
        <w:rPr>
          <w:rFonts w:hint="cs"/>
          <w:vertAlign w:val="superscript"/>
        </w:rPr>
        <w:instrText>NOTEREF</w:instrText>
      </w:r>
      <w:r w:rsidRPr="0050146A">
        <w:rPr>
          <w:rFonts w:hint="cs"/>
          <w:vertAlign w:val="superscript"/>
          <w:rtl/>
        </w:rPr>
        <w:instrText xml:space="preserve"> _</w:instrText>
      </w:r>
      <w:r w:rsidRPr="0050146A">
        <w:rPr>
          <w:rFonts w:hint="cs"/>
          <w:vertAlign w:val="superscript"/>
        </w:rPr>
        <w:instrText>Ref9501055 \h</w:instrText>
      </w:r>
      <w:r w:rsidRPr="0050146A">
        <w:rPr>
          <w:vertAlign w:val="superscript"/>
          <w:rtl/>
        </w:rPr>
        <w:instrText xml:space="preserve">  \* </w:instrText>
      </w:r>
      <w:r w:rsidRPr="0050146A">
        <w:rPr>
          <w:vertAlign w:val="superscript"/>
        </w:rPr>
        <w:instrText>MERGEFORMAT</w:instrText>
      </w:r>
      <w:r w:rsidRPr="0050146A">
        <w:rPr>
          <w:vertAlign w:val="superscript"/>
          <w:rtl/>
        </w:rPr>
        <w:instrText xml:space="preserve"> </w:instrText>
      </w:r>
      <w:r w:rsidRPr="0050146A">
        <w:rPr>
          <w:vertAlign w:val="superscript"/>
          <w:rtl/>
        </w:rPr>
      </w:r>
      <w:r w:rsidRPr="0050146A">
        <w:rPr>
          <w:vertAlign w:val="superscript"/>
          <w:rtl/>
        </w:rPr>
        <w:fldChar w:fldCharType="separate"/>
      </w:r>
      <w:r w:rsidR="004D1C5B">
        <w:rPr>
          <w:vertAlign w:val="superscript"/>
          <w:rtl/>
        </w:rPr>
        <w:t>11</w:t>
      </w:r>
      <w:r w:rsidRPr="0050146A">
        <w:rPr>
          <w:vertAlign w:val="superscript"/>
          <w:rtl/>
        </w:rPr>
        <w:fldChar w:fldCharType="end"/>
      </w:r>
      <w:r w:rsidRPr="0050146A">
        <w:rPr>
          <w:rStyle w:val="af6"/>
          <w:rFonts w:eastAsia="Guttman Hodes" w:hint="cs"/>
          <w:rtl/>
        </w:rPr>
        <w:t>)</w:t>
      </w:r>
      <w:r w:rsidRPr="0050146A">
        <w:rPr>
          <w:rFonts w:hint="cs"/>
          <w:rtl/>
        </w:rPr>
        <w:t xml:space="preserve"> במ"ש בביאור סברא זו. </w:t>
      </w:r>
      <w:bookmarkEnd w:id="3036"/>
    </w:p>
    <w:p w:rsidR="00B2572D" w:rsidRPr="0050146A" w:rsidRDefault="00B2572D" w:rsidP="00B2572D">
      <w:pPr>
        <w:pStyle w:val="a2"/>
      </w:pPr>
      <w:bookmarkStart w:id="3037" w:name="_Toc9760949"/>
      <w:r w:rsidRPr="0050146A">
        <w:rPr>
          <w:rFonts w:hint="cs"/>
          <w:rtl/>
        </w:rPr>
        <w:t>דברי הרשב"א בתשו' דאף דבנפל לקדירה אחרת אוסר בפחות משישים באותה קדירה הקילו</w:t>
      </w:r>
      <w:bookmarkEnd w:id="3037"/>
    </w:p>
    <w:p w:rsidR="00B2572D" w:rsidRPr="0050146A" w:rsidRDefault="00B2572D" w:rsidP="009F44AF">
      <w:pPr>
        <w:pStyle w:val="a"/>
        <w:rPr>
          <w:rtl/>
        </w:rPr>
      </w:pPr>
      <w:r w:rsidRPr="0050146A">
        <w:rPr>
          <w:rFonts w:hint="cs"/>
          <w:rtl/>
        </w:rPr>
        <w:t xml:space="preserve">וכתב </w:t>
      </w:r>
      <w:r w:rsidRPr="0050146A">
        <w:rPr>
          <w:rStyle w:val="af8"/>
          <w:rFonts w:hint="cs"/>
          <w:rtl/>
        </w:rPr>
        <w:t>הרשב"א בתשו'</w:t>
      </w:r>
      <w:r w:rsidRPr="0050146A">
        <w:rPr>
          <w:rFonts w:hint="cs"/>
          <w:rtl/>
        </w:rPr>
        <w:t xml:space="preserve"> דאף שאם נפל איסור זה לקדירה אחרת, שאין בה שישים כנגדו, לכו"ע הוא אסור, מ"מ ס"ל </w:t>
      </w:r>
      <w:r w:rsidRPr="0050146A">
        <w:rPr>
          <w:rStyle w:val="af8"/>
          <w:rFonts w:hint="cs"/>
          <w:rtl/>
        </w:rPr>
        <w:t>לרש"י</w:t>
      </w:r>
      <w:r w:rsidRPr="0050146A">
        <w:rPr>
          <w:rFonts w:hint="cs"/>
          <w:rtl/>
        </w:rPr>
        <w:t xml:space="preserve"> דבאותה קדירה שנתבשל בה, מקילים לשער לפי מה שהיה בשעת הנפילה, אעפ"י שעכשיו בה אין שישים כנגדו, והוסיף </w:t>
      </w:r>
      <w:r w:rsidRPr="0050146A">
        <w:rPr>
          <w:rStyle w:val="af8"/>
          <w:rFonts w:hint="cs"/>
          <w:rtl/>
        </w:rPr>
        <w:t>הרשב"א בתשו'</w:t>
      </w:r>
      <w:r w:rsidRPr="0050146A">
        <w:rPr>
          <w:rFonts w:hint="cs"/>
          <w:rtl/>
        </w:rPr>
        <w:t xml:space="preserve"> דכן ביאר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Ref9281085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נח)</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r w:rsidRPr="0050146A">
        <w:rPr>
          <w:rFonts w:hint="cs"/>
          <w:rtl/>
        </w:rPr>
        <w:t>, דההיתר לשער את האיסור כפי שהוא עכשיו זהו דוקא במקום שההיתר נתמעט בדרך בישול ע"י בליעת הקדירה, אבל שלא בדרך בישול אם נתמעט ההיתר בידים, האיסור חוזר ואוסר, אף שבשעה שנפל היה שישים כנגדו.</w:t>
      </w:r>
    </w:p>
    <w:p w:rsidR="00B2572D" w:rsidRPr="0050146A" w:rsidRDefault="00B2572D" w:rsidP="00B2572D">
      <w:pPr>
        <w:pStyle w:val="a2"/>
        <w:rPr>
          <w:rtl/>
        </w:rPr>
      </w:pPr>
      <w:bookmarkStart w:id="3038" w:name="_Toc9760950"/>
      <w:r w:rsidRPr="0050146A">
        <w:rPr>
          <w:rFonts w:hint="cs"/>
          <w:rtl/>
        </w:rPr>
        <w:t>דעת הרשב"א דלא כרש"י ואין חילוק בין אותה קדירה לקדירה אחרת וכשאין עכשיו שישים אסור</w:t>
      </w:r>
      <w:bookmarkEnd w:id="3038"/>
    </w:p>
    <w:p w:rsidR="00B2572D" w:rsidRPr="0050146A" w:rsidRDefault="00B2572D" w:rsidP="009F44AF">
      <w:pPr>
        <w:pStyle w:val="a"/>
        <w:rPr>
          <w:rtl/>
        </w:rPr>
      </w:pPr>
      <w:r w:rsidRPr="0050146A">
        <w:rPr>
          <w:rFonts w:hint="cs"/>
          <w:rtl/>
        </w:rPr>
        <w:t xml:space="preserve">אך כתב </w:t>
      </w:r>
      <w:r w:rsidRPr="0050146A">
        <w:rPr>
          <w:rStyle w:val="af8"/>
          <w:rFonts w:hint="cs"/>
          <w:rtl/>
        </w:rPr>
        <w:t>הרשב"א בתשו'</w:t>
      </w:r>
      <w:r w:rsidRPr="0050146A">
        <w:rPr>
          <w:rFonts w:hint="cs"/>
          <w:rtl/>
        </w:rPr>
        <w:t xml:space="preserve"> דהוא לא ס"ל כדעת </w:t>
      </w:r>
      <w:r w:rsidRPr="0050146A">
        <w:rPr>
          <w:rStyle w:val="af8"/>
          <w:rFonts w:hint="cs"/>
          <w:rtl/>
        </w:rPr>
        <w:t>רש"י</w:t>
      </w:r>
      <w:r w:rsidRPr="0050146A">
        <w:rPr>
          <w:rFonts w:hint="cs"/>
          <w:rtl/>
        </w:rPr>
        <w:t xml:space="preserve">, אלא דאין כל חילוק בין אם נשאר בקדירה שנתבשל בה, </w:t>
      </w:r>
      <w:r w:rsidRPr="0050146A">
        <w:rPr>
          <w:rStyle w:val="afa"/>
          <w:rFonts w:hint="cs"/>
          <w:rtl/>
        </w:rPr>
        <w:t>[לנפל לקדירה אחרת]</w:t>
      </w:r>
      <w:r w:rsidRPr="0050146A">
        <w:rPr>
          <w:rFonts w:hint="cs"/>
          <w:rtl/>
        </w:rPr>
        <w:t xml:space="preserve">,  </w:t>
      </w:r>
      <w:r w:rsidRPr="0050146A">
        <w:rPr>
          <w:rFonts w:hint="cs"/>
          <w:rtl/>
        </w:rPr>
        <w:lastRenderedPageBreak/>
        <w:t>דמשערים אותו לפי שיעורו עכשיו אחר שנצטמק, ואם אין שישים כנגדו אוסר.</w:t>
      </w:r>
    </w:p>
    <w:p w:rsidR="00B2572D" w:rsidRPr="0050146A" w:rsidRDefault="00B2572D" w:rsidP="00E669F8">
      <w:pPr>
        <w:pStyle w:val="afd"/>
        <w:rPr>
          <w:rtl/>
        </w:rPr>
      </w:pPr>
      <w:bookmarkStart w:id="3039" w:name="_Toc9760951"/>
      <w:r w:rsidRPr="0050146A">
        <w:rPr>
          <w:rFonts w:hint="cs"/>
          <w:rtl/>
        </w:rPr>
        <w:t>דעת הראב"ד בביאור הל"ב</w:t>
      </w:r>
      <w:bookmarkEnd w:id="3039"/>
    </w:p>
    <w:p w:rsidR="00B2572D" w:rsidRPr="0050146A" w:rsidRDefault="00B2572D" w:rsidP="00B2572D">
      <w:pPr>
        <w:pStyle w:val="1"/>
        <w:rPr>
          <w:rtl/>
        </w:rPr>
      </w:pPr>
      <w:bookmarkStart w:id="3040" w:name="_Toc9760952"/>
      <w:r w:rsidRPr="0050146A">
        <w:rPr>
          <w:rFonts w:hint="cs"/>
          <w:rtl/>
        </w:rPr>
        <w:t xml:space="preserve">ביאור הראב"ד </w:t>
      </w:r>
      <w:bookmarkEnd w:id="3025"/>
      <w:bookmarkEnd w:id="3026"/>
      <w:bookmarkEnd w:id="3027"/>
      <w:bookmarkEnd w:id="3028"/>
      <w:r w:rsidRPr="0050146A">
        <w:rPr>
          <w:rFonts w:hint="cs"/>
          <w:rtl/>
        </w:rPr>
        <w:t>דלא חיישינן שהיה זמן שהיה פחות משישים</w:t>
      </w:r>
      <w:bookmarkEnd w:id="3040"/>
    </w:p>
    <w:p w:rsidR="00B2572D" w:rsidRPr="0050146A" w:rsidRDefault="00B2572D" w:rsidP="00B2572D">
      <w:pPr>
        <w:pStyle w:val="a2"/>
        <w:rPr>
          <w:rtl/>
        </w:rPr>
      </w:pPr>
      <w:bookmarkStart w:id="3041" w:name="_Toc9760953"/>
      <w:r w:rsidRPr="0050146A">
        <w:rPr>
          <w:rFonts w:hint="cs"/>
          <w:rtl/>
        </w:rPr>
        <w:t>ביאור הראב"ד בל"ב דבאמצע הבישול ההיתר התמעט יותר מהאיסור ובסופו נימוח לגמרי</w:t>
      </w:r>
      <w:bookmarkEnd w:id="3041"/>
    </w:p>
    <w:p w:rsidR="00490B51" w:rsidRPr="0050146A" w:rsidRDefault="00B2572D" w:rsidP="009F44AF">
      <w:pPr>
        <w:pStyle w:val="a"/>
        <w:rPr>
          <w:rtl/>
        </w:rPr>
      </w:pPr>
      <w:bookmarkStart w:id="3042" w:name="_Ref9542518"/>
      <w:r w:rsidRPr="0050146A">
        <w:rPr>
          <w:rFonts w:hint="cs"/>
          <w:rtl/>
        </w:rPr>
        <w:t xml:space="preserve">עוד ציין </w:t>
      </w:r>
      <w:r w:rsidRPr="0050146A">
        <w:rPr>
          <w:rStyle w:val="af8"/>
          <w:rFonts w:hint="cs"/>
          <w:rtl/>
        </w:rPr>
        <w:t>הרשב"א בחי'</w:t>
      </w:r>
      <w:r w:rsidRPr="0050146A">
        <w:rPr>
          <w:rFonts w:hint="cs"/>
          <w:rtl/>
        </w:rPr>
        <w:t xml:space="preserve"> </w:t>
      </w:r>
      <w:r w:rsidRPr="0050146A">
        <w:rPr>
          <w:rStyle w:val="af6"/>
          <w:rFonts w:eastAsia="Guttman Hodes" w:hint="cs"/>
          <w:rtl/>
        </w:rPr>
        <w:t>(סוד"ה ובקדירה)</w:t>
      </w:r>
      <w:r w:rsidRPr="0050146A">
        <w:rPr>
          <w:rFonts w:hint="cs"/>
          <w:rtl/>
        </w:rPr>
        <w:t xml:space="preserve"> לדברי </w:t>
      </w:r>
      <w:r w:rsidRPr="0050146A">
        <w:rPr>
          <w:rStyle w:val="af8"/>
          <w:rFonts w:hint="cs"/>
          <w:rtl/>
        </w:rPr>
        <w:t>הראב"ד בע"ז</w:t>
      </w:r>
      <w:r w:rsidRPr="0050146A">
        <w:rPr>
          <w:rtl/>
        </w:rPr>
        <w:t xml:space="preserve"> </w:t>
      </w:r>
      <w:r w:rsidRPr="0050146A">
        <w:rPr>
          <w:rStyle w:val="af6"/>
          <w:rFonts w:eastAsia="Guttman Hodes"/>
          <w:rtl/>
        </w:rPr>
        <w:t>(עג. סוד"ה כי אתא רב יצחק</w:t>
      </w:r>
      <w:r w:rsidRPr="0050146A">
        <w:rPr>
          <w:rStyle w:val="af6"/>
          <w:rFonts w:eastAsia="Guttman Hodes" w:hint="cs"/>
          <w:rtl/>
        </w:rPr>
        <w:t>, הועתק בקובץ שיטות קמאי ע"ז ח"ב סוף עמ' אלף תתע"ג</w:t>
      </w:r>
      <w:r w:rsidRPr="0050146A">
        <w:rPr>
          <w:rStyle w:val="af6"/>
          <w:rFonts w:eastAsia="Guttman Hodes"/>
          <w:rtl/>
        </w:rPr>
        <w:t xml:space="preserve">) </w:t>
      </w:r>
      <w:r w:rsidRPr="0050146A">
        <w:rPr>
          <w:rtl/>
        </w:rPr>
        <w:t>דביאר בל"ב דמשערים במה שבלעה הקדירה</w:t>
      </w:r>
      <w:r w:rsidRPr="0050146A">
        <w:rPr>
          <w:rFonts w:hint="cs"/>
          <w:rtl/>
        </w:rPr>
        <w:t>,</w:t>
      </w:r>
      <w:r w:rsidRPr="0050146A">
        <w:rPr>
          <w:rtl/>
        </w:rPr>
        <w:t xml:space="preserve"> </w:t>
      </w:r>
      <w:r w:rsidRPr="0050146A">
        <w:rPr>
          <w:rFonts w:hint="cs"/>
          <w:rtl/>
        </w:rPr>
        <w:t xml:space="preserve">דאיירי </w:t>
      </w:r>
      <w:r w:rsidRPr="0050146A">
        <w:rPr>
          <w:rtl/>
        </w:rPr>
        <w:t>כגון שנפל כזית חֵלֶב לתוך קדירה מליאה היתר חם, ויש שישים במה שיש בקדירה כנגד הכזית חֵלֶב, ואחר זמן ראו שהתמעט הרוטב מחמת חום האש בחמישית משיעורו, ואילו הכזית חֵלֶב התמעט רק בעשירית משיעורו, אך בסוף הבישול נימוח כל החֵלֶב בתוך הקדירה.</w:t>
      </w:r>
      <w:bookmarkEnd w:id="3042"/>
    </w:p>
    <w:p w:rsidR="00B2572D" w:rsidRPr="0050146A" w:rsidRDefault="00B2572D" w:rsidP="00B2572D">
      <w:pPr>
        <w:pStyle w:val="a2"/>
        <w:rPr>
          <w:rtl/>
        </w:rPr>
      </w:pPr>
      <w:bookmarkStart w:id="3043" w:name="_Toc9760954"/>
      <w:r w:rsidRPr="0050146A">
        <w:rPr>
          <w:rFonts w:hint="cs"/>
          <w:rtl/>
        </w:rPr>
        <w:t>דברי הראב"ד דאמרינן שכל זמן הבישול היה שישים ולא היה זמן שהיה פחות משישים</w:t>
      </w:r>
      <w:bookmarkEnd w:id="3043"/>
    </w:p>
    <w:p w:rsidR="00B2572D" w:rsidRPr="0050146A" w:rsidRDefault="00B2572D" w:rsidP="009F44AF">
      <w:pPr>
        <w:pStyle w:val="a"/>
        <w:rPr>
          <w:rtl/>
        </w:rPr>
      </w:pPr>
      <w:r w:rsidRPr="0050146A">
        <w:rPr>
          <w:rtl/>
        </w:rPr>
        <w:t xml:space="preserve">וכתב </w:t>
      </w:r>
      <w:r w:rsidRPr="0050146A">
        <w:rPr>
          <w:rStyle w:val="af8"/>
          <w:rtl/>
        </w:rPr>
        <w:t>הראב"ד בע"ז</w:t>
      </w:r>
      <w:r w:rsidRPr="0050146A">
        <w:rPr>
          <w:rtl/>
        </w:rPr>
        <w:t xml:space="preserve"> דבכה"ג אין משערים כאילו עכשיו נפל הכזית לקדירה, דהא עכשיו אין ברוטב שיעור שישים כנגדו, אלא משערים אותו כשעת נפילתו לקדירה</w:t>
      </w:r>
      <w:r w:rsidRPr="0050146A">
        <w:rPr>
          <w:rFonts w:hint="cs"/>
          <w:rtl/>
        </w:rPr>
        <w:t>,</w:t>
      </w:r>
      <w:r w:rsidRPr="0050146A">
        <w:rPr>
          <w:rtl/>
        </w:rPr>
        <w:t xml:space="preserve"> שהיה ברוטב שישים כנגדו ומותר</w:t>
      </w:r>
      <w:r w:rsidRPr="0050146A">
        <w:rPr>
          <w:rFonts w:hint="cs"/>
          <w:rtl/>
        </w:rPr>
        <w:t>.</w:t>
      </w:r>
    </w:p>
    <w:p w:rsidR="00B2572D" w:rsidRPr="0050146A" w:rsidRDefault="00B2572D" w:rsidP="00B2572D">
      <w:pPr>
        <w:pStyle w:val="a2"/>
        <w:rPr>
          <w:rtl/>
        </w:rPr>
      </w:pPr>
      <w:bookmarkStart w:id="3044" w:name="_Toc9760955"/>
      <w:r w:rsidRPr="0050146A">
        <w:rPr>
          <w:rFonts w:hint="cs"/>
          <w:rtl/>
        </w:rPr>
        <w:t>דברי המאירי בשם הראב"ד דאמרינן שכל זמן הבישול היה שישים בהיתר כנגד האיסור</w:t>
      </w:r>
      <w:bookmarkEnd w:id="3044"/>
    </w:p>
    <w:p w:rsidR="00C67D09" w:rsidRDefault="00B2572D" w:rsidP="009F44AF">
      <w:pPr>
        <w:pStyle w:val="a"/>
        <w:rPr>
          <w:rtl/>
        </w:rPr>
        <w:sectPr w:rsidR="00C67D09" w:rsidSect="005049E2">
          <w:type w:val="continuous"/>
          <w:pgSz w:w="11906" w:h="16838"/>
          <w:pgMar w:top="720" w:right="720" w:bottom="720" w:left="720" w:header="283" w:footer="283" w:gutter="0"/>
          <w:cols w:num="2" w:space="567"/>
          <w:titlePg/>
          <w:bidi/>
          <w:rtlGutter/>
          <w:docGrid w:linePitch="299"/>
        </w:sectPr>
      </w:pPr>
      <w:r w:rsidRPr="0050146A">
        <w:rPr>
          <w:rFonts w:hint="cs"/>
          <w:rtl/>
        </w:rPr>
        <w:t xml:space="preserve">וכעי"ז הביא </w:t>
      </w:r>
      <w:r w:rsidRPr="0050146A">
        <w:rPr>
          <w:rStyle w:val="af8"/>
          <w:rFonts w:hint="cs"/>
          <w:rtl/>
        </w:rPr>
        <w:t>המאירי</w:t>
      </w:r>
      <w:r w:rsidRPr="0050146A">
        <w:rPr>
          <w:rFonts w:hint="cs"/>
          <w:rtl/>
        </w:rPr>
        <w:t xml:space="preserve"> </w:t>
      </w:r>
      <w:r w:rsidRPr="0050146A">
        <w:rPr>
          <w:rStyle w:val="af6"/>
          <w:rFonts w:eastAsia="Guttman Hodes" w:hint="cs"/>
          <w:rtl/>
        </w:rPr>
        <w:t>(סו"ד ומ"מ)</w:t>
      </w:r>
      <w:r w:rsidRPr="0050146A">
        <w:rPr>
          <w:rFonts w:hint="cs"/>
          <w:rtl/>
        </w:rPr>
        <w:t xml:space="preserve"> בשם </w:t>
      </w:r>
      <w:r w:rsidRPr="0050146A">
        <w:rPr>
          <w:rStyle w:val="affa"/>
          <w:rFonts w:hint="cs"/>
          <w:rtl/>
        </w:rPr>
        <w:t>[גדולי המפרשים]</w:t>
      </w:r>
      <w:r w:rsidRPr="0050146A">
        <w:rPr>
          <w:rStyle w:val="af8"/>
          <w:rFonts w:hint="cs"/>
          <w:rtl/>
        </w:rPr>
        <w:t xml:space="preserve"> הראב"ד באיסור משהו</w:t>
      </w:r>
      <w:r w:rsidRPr="0050146A">
        <w:rPr>
          <w:rStyle w:val="af0"/>
          <w:rtl/>
        </w:rPr>
        <w:footnoteReference w:id="15"/>
      </w:r>
      <w:r w:rsidRPr="0050146A">
        <w:rPr>
          <w:rFonts w:hint="cs"/>
          <w:rtl/>
        </w:rPr>
        <w:t xml:space="preserve"> </w:t>
      </w:r>
      <w:r w:rsidRPr="0050146A">
        <w:rPr>
          <w:rStyle w:val="af6"/>
          <w:rFonts w:eastAsia="Guttman Hodes" w:hint="cs"/>
          <w:rtl/>
        </w:rPr>
        <w:t>(פ"ב</w:t>
      </w:r>
      <w:r w:rsidR="000C4EFA">
        <w:rPr>
          <w:rStyle w:val="af6"/>
          <w:rFonts w:eastAsia="Guttman Hodes" w:hint="cs"/>
          <w:rtl/>
        </w:rPr>
        <w:t>, נד' בסוף תוה"ב</w:t>
      </w:r>
      <w:r w:rsidRPr="0050146A">
        <w:rPr>
          <w:rStyle w:val="af6"/>
          <w:rFonts w:eastAsia="Guttman Hodes" w:hint="cs"/>
          <w:rtl/>
        </w:rPr>
        <w:t>)</w:t>
      </w:r>
      <w:r w:rsidRPr="0050146A">
        <w:rPr>
          <w:rFonts w:hint="cs"/>
          <w:rtl/>
        </w:rPr>
        <w:t xml:space="preserve"> דביאר דאיירי דבשעת נפילת הכזית </w:t>
      </w:r>
      <w:r w:rsidRPr="0050146A">
        <w:rPr>
          <w:rtl/>
        </w:rPr>
        <w:t>חֵלֶב</w:t>
      </w:r>
      <w:r w:rsidRPr="0050146A">
        <w:rPr>
          <w:rFonts w:hint="cs"/>
          <w:rtl/>
        </w:rPr>
        <w:t xml:space="preserve">, היה שישים כזיתים בהיתר כנגדו, ובבישלו נימוח הכזית </w:t>
      </w:r>
      <w:r w:rsidRPr="0050146A">
        <w:rPr>
          <w:rtl/>
        </w:rPr>
        <w:t>חֵלֶב</w:t>
      </w:r>
      <w:r w:rsidRPr="0050146A">
        <w:rPr>
          <w:rFonts w:hint="cs"/>
          <w:rtl/>
        </w:rPr>
        <w:t xml:space="preserve"> עד לשיעור חצי זית, וכן ההיתר נתמעט לשלושים כזיתים, דלא אמרינן דבתחילה בלעה הקדירה מההיתר, וה</w:t>
      </w:r>
      <w:r w:rsidRPr="0050146A">
        <w:rPr>
          <w:rtl/>
        </w:rPr>
        <w:t>חֵלֶב</w:t>
      </w:r>
      <w:r w:rsidRPr="0050146A">
        <w:rPr>
          <w:rFonts w:hint="cs"/>
          <w:rtl/>
        </w:rPr>
        <w:t xml:space="preserve"> עדיין לא נימוח, ולא היה שישים בהיתר כנגדו, ואח"כ נימוח ה</w:t>
      </w:r>
      <w:r w:rsidRPr="0050146A">
        <w:rPr>
          <w:rtl/>
        </w:rPr>
        <w:t>חֵלֶב</w:t>
      </w:r>
      <w:r w:rsidRPr="0050146A">
        <w:rPr>
          <w:rFonts w:hint="cs"/>
          <w:rtl/>
        </w:rPr>
        <w:t>, וא"כ הוא כבר אסר כשהיה כזית ב</w:t>
      </w:r>
      <w:r w:rsidRPr="0050146A">
        <w:rPr>
          <w:rtl/>
        </w:rPr>
        <w:t>חֵלֶב</w:t>
      </w:r>
      <w:r w:rsidRPr="0050146A">
        <w:rPr>
          <w:rFonts w:hint="cs"/>
          <w:rtl/>
        </w:rPr>
        <w:t xml:space="preserve"> ופחות משישים בהיתר, אלא אמרינן דה</w:t>
      </w:r>
      <w:r w:rsidRPr="0050146A">
        <w:rPr>
          <w:rtl/>
        </w:rPr>
        <w:t>חֵלֶב</w:t>
      </w:r>
      <w:r w:rsidRPr="0050146A">
        <w:rPr>
          <w:rFonts w:hint="cs"/>
          <w:rtl/>
        </w:rPr>
        <w:t xml:space="preserve"> נימוח יחד עם ההיתר שבקדירה, וכל זמן הבישול היה שישים בהיתר כנגד ה</w:t>
      </w:r>
      <w:r w:rsidR="00490B51" w:rsidRPr="0050146A">
        <w:rPr>
          <w:rFonts w:hint="cs"/>
          <w:rtl/>
        </w:rPr>
        <w:t>חֵלֶב.</w:t>
      </w:r>
    </w:p>
    <w:p w:rsidR="00C67D09" w:rsidRDefault="00C67D09" w:rsidP="009F44AF">
      <w:pPr>
        <w:pStyle w:val="a"/>
        <w:rPr>
          <w:rtl/>
        </w:rPr>
        <w:sectPr w:rsidR="00C67D09" w:rsidSect="005049E2">
          <w:type w:val="continuous"/>
          <w:pgSz w:w="11906" w:h="16838"/>
          <w:pgMar w:top="720" w:right="720" w:bottom="720" w:left="720" w:header="283" w:footer="283" w:gutter="0"/>
          <w:cols w:num="2" w:space="567"/>
          <w:titlePg/>
          <w:bidi/>
          <w:rtlGutter/>
          <w:docGrid w:linePitch="299"/>
        </w:sectPr>
      </w:pPr>
    </w:p>
    <w:p w:rsidR="00490B51" w:rsidRPr="0050146A" w:rsidRDefault="00490B51" w:rsidP="009F44AF">
      <w:pPr>
        <w:pStyle w:val="a"/>
        <w:rPr>
          <w:rtl/>
        </w:rPr>
        <w:sectPr w:rsidR="00490B51" w:rsidRPr="0050146A" w:rsidSect="00C67D09">
          <w:headerReference w:type="default" r:id="rId31"/>
          <w:headerReference w:type="first" r:id="rId32"/>
          <w:pgSz w:w="11906" w:h="16838"/>
          <w:pgMar w:top="720" w:right="720" w:bottom="720" w:left="720" w:header="283" w:footer="283" w:gutter="0"/>
          <w:cols w:num="2" w:space="567"/>
          <w:bidi/>
          <w:rtlGutter/>
          <w:docGrid w:linePitch="299"/>
        </w:sectPr>
      </w:pPr>
    </w:p>
    <w:p w:rsidR="002D7168" w:rsidRDefault="002D7168" w:rsidP="009F44AF">
      <w:pPr>
        <w:pStyle w:val="a"/>
        <w:numPr>
          <w:ilvl w:val="0"/>
          <w:numId w:val="0"/>
        </w:numPr>
        <w:rPr>
          <w:rtl/>
        </w:rPr>
      </w:pPr>
    </w:p>
    <w:p w:rsidR="00490B51" w:rsidRPr="0050146A" w:rsidRDefault="00490B51" w:rsidP="009F44AF">
      <w:pPr>
        <w:pStyle w:val="a"/>
        <w:rPr>
          <w:rtl/>
        </w:rPr>
        <w:sectPr w:rsidR="00490B51" w:rsidRPr="0050146A" w:rsidSect="005049E2">
          <w:type w:val="continuous"/>
          <w:pgSz w:w="11906" w:h="16838"/>
          <w:pgMar w:top="720" w:right="720" w:bottom="720" w:left="720" w:header="283" w:footer="283" w:gutter="0"/>
          <w:cols w:num="2" w:space="567"/>
          <w:titlePg/>
          <w:bidi/>
          <w:rtlGutter/>
          <w:docGrid w:linePitch="299"/>
        </w:sectPr>
      </w:pPr>
    </w:p>
    <w:p w:rsidR="003A445B" w:rsidRPr="0050146A" w:rsidRDefault="003A445B" w:rsidP="005B1A17">
      <w:pPr>
        <w:pStyle w:val="afc"/>
        <w:rPr>
          <w:rtl/>
        </w:rPr>
      </w:pPr>
      <w:bookmarkStart w:id="3045" w:name="_Toc9799567"/>
      <w:bookmarkStart w:id="3046" w:name="_Toc9934828"/>
      <w:bookmarkStart w:id="3047" w:name="_Toc9936396"/>
      <w:bookmarkStart w:id="3048" w:name="_Toc9936417"/>
      <w:bookmarkStart w:id="3049" w:name="_Toc10061654"/>
      <w:bookmarkStart w:id="3050" w:name="_Toc10147705"/>
      <w:bookmarkStart w:id="3051" w:name="_Toc10201995"/>
      <w:bookmarkStart w:id="3052" w:name="_Toc10367958"/>
      <w:bookmarkStart w:id="3053" w:name="_Toc10451057"/>
      <w:bookmarkStart w:id="3054" w:name="_Toc10494306"/>
      <w:bookmarkStart w:id="3055" w:name="_Toc10541236"/>
      <w:bookmarkStart w:id="3056" w:name="_Toc10625567"/>
      <w:bookmarkStart w:id="3057" w:name="_Toc10665765"/>
      <w:bookmarkStart w:id="3058" w:name="_Toc10713160"/>
      <w:bookmarkStart w:id="3059" w:name="_Toc14377075"/>
      <w:bookmarkStart w:id="3060" w:name="_Toc14425906"/>
      <w:bookmarkStart w:id="3061" w:name="_Toc15849559"/>
      <w:bookmarkStart w:id="3062" w:name="_Toc20429193"/>
      <w:bookmarkStart w:id="3063" w:name="_Toc20468140"/>
      <w:r w:rsidRPr="0050146A">
        <w:rPr>
          <w:rFonts w:hint="cs"/>
          <w:rtl/>
        </w:rPr>
        <w:lastRenderedPageBreak/>
        <w:t>סימן ד'</w:t>
      </w:r>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p>
    <w:p w:rsidR="003A445B" w:rsidRPr="0050146A" w:rsidRDefault="00715158" w:rsidP="005B1A17">
      <w:pPr>
        <w:pStyle w:val="afc"/>
        <w:rPr>
          <w:rtl/>
        </w:rPr>
      </w:pPr>
      <w:bookmarkStart w:id="3064" w:name="_Toc10713161"/>
      <w:bookmarkStart w:id="3065" w:name="_Toc14377076"/>
      <w:bookmarkStart w:id="3066" w:name="_Toc15849560"/>
      <w:bookmarkStart w:id="3067" w:name="_Toc20429194"/>
      <w:bookmarkStart w:id="3068" w:name="_Toc20468141"/>
      <w:bookmarkStart w:id="3069" w:name="_Toc9799568"/>
      <w:bookmarkStart w:id="3070" w:name="_Toc9934829"/>
      <w:bookmarkStart w:id="3071" w:name="_Toc9936397"/>
      <w:bookmarkStart w:id="3072" w:name="_Toc9936418"/>
      <w:bookmarkStart w:id="3073" w:name="_Toc10061655"/>
      <w:bookmarkStart w:id="3074" w:name="_Toc10147706"/>
      <w:bookmarkStart w:id="3075" w:name="_Toc10201996"/>
      <w:bookmarkStart w:id="3076" w:name="_Toc10367959"/>
      <w:bookmarkStart w:id="3077" w:name="_Toc10451058"/>
      <w:bookmarkStart w:id="3078" w:name="_Toc10494307"/>
      <w:bookmarkStart w:id="3079" w:name="_Toc10541237"/>
      <w:bookmarkStart w:id="3080" w:name="_Toc10625568"/>
      <w:bookmarkStart w:id="3081" w:name="_Toc10665766"/>
      <w:r>
        <w:rPr>
          <w:rFonts w:hint="cs"/>
          <w:rtl/>
        </w:rPr>
        <w:t>סוגית כחל</w:t>
      </w:r>
      <w:r w:rsidR="003A445B" w:rsidRPr="0050146A">
        <w:rPr>
          <w:rFonts w:hint="cs"/>
          <w:rtl/>
        </w:rPr>
        <w:t xml:space="preserve"> (א')</w:t>
      </w:r>
      <w:bookmarkEnd w:id="3064"/>
      <w:bookmarkEnd w:id="3065"/>
      <w:bookmarkEnd w:id="3066"/>
      <w:bookmarkEnd w:id="3067"/>
      <w:bookmarkEnd w:id="3068"/>
    </w:p>
    <w:p w:rsidR="003A445B" w:rsidRPr="0050146A" w:rsidRDefault="003A445B" w:rsidP="005B1A17">
      <w:pPr>
        <w:pStyle w:val="afc"/>
        <w:rPr>
          <w:rtl/>
        </w:rPr>
      </w:pPr>
      <w:bookmarkStart w:id="3082" w:name="_Toc10713162"/>
      <w:bookmarkStart w:id="3083" w:name="_Toc14425908"/>
      <w:bookmarkStart w:id="3084" w:name="_Toc20429195"/>
      <w:bookmarkStart w:id="3085" w:name="_Toc20468142"/>
      <w:r w:rsidRPr="0050146A">
        <w:rPr>
          <w:rFonts w:hint="cs"/>
          <w:rtl/>
        </w:rPr>
        <w:t>בדין שישים בכחל</w:t>
      </w:r>
      <w:bookmarkEnd w:id="3069"/>
      <w:bookmarkEnd w:id="3070"/>
      <w:bookmarkEnd w:id="3071"/>
      <w:bookmarkEnd w:id="3072"/>
      <w:bookmarkEnd w:id="3073"/>
      <w:bookmarkEnd w:id="3074"/>
      <w:r w:rsidRPr="0050146A">
        <w:rPr>
          <w:rFonts w:hint="cs"/>
          <w:rtl/>
        </w:rPr>
        <w:t xml:space="preserve"> שהתבשל עם בשר בקדירה</w:t>
      </w:r>
      <w:bookmarkEnd w:id="3075"/>
      <w:bookmarkEnd w:id="3076"/>
      <w:bookmarkEnd w:id="3077"/>
      <w:bookmarkEnd w:id="3078"/>
      <w:bookmarkEnd w:id="3079"/>
      <w:bookmarkEnd w:id="3080"/>
      <w:bookmarkEnd w:id="3081"/>
      <w:bookmarkEnd w:id="3082"/>
      <w:bookmarkEnd w:id="3083"/>
      <w:bookmarkEnd w:id="3084"/>
      <w:bookmarkEnd w:id="3085"/>
    </w:p>
    <w:p w:rsidR="003A445B" w:rsidRPr="0050146A" w:rsidRDefault="002916D7" w:rsidP="003A445B">
      <w:pPr>
        <w:pStyle w:val="2"/>
        <w:keepNext w:val="0"/>
        <w:keepLines w:val="0"/>
        <w:rPr>
          <w:rtl/>
        </w:rPr>
      </w:pPr>
      <w:r>
        <w:rPr>
          <w:rtl/>
        </w:rPr>
        <w:t>מפתח הסוגיא</w:t>
      </w:r>
    </w:p>
    <w:p w:rsidR="003A445B" w:rsidRPr="0050146A" w:rsidRDefault="003A445B" w:rsidP="003A445B">
      <w:pPr>
        <w:pStyle w:val="aff4"/>
        <w:rPr>
          <w:rtl/>
        </w:rPr>
        <w:sectPr w:rsidR="003A445B" w:rsidRPr="0050146A" w:rsidSect="00B60858">
          <w:headerReference w:type="default" r:id="rId33"/>
          <w:footerReference w:type="first" r:id="rId34"/>
          <w:pgSz w:w="11906" w:h="16838"/>
          <w:pgMar w:top="720" w:right="720" w:bottom="720" w:left="720" w:header="283" w:footer="283" w:gutter="0"/>
          <w:cols w:space="113"/>
          <w:bidi/>
          <w:rtlGutter/>
          <w:docGrid w:linePitch="299"/>
        </w:sectPr>
      </w:pPr>
    </w:p>
    <w:p w:rsidR="003A445B" w:rsidRPr="0050146A" w:rsidRDefault="003A445B" w:rsidP="003A445B">
      <w:pPr>
        <w:pStyle w:val="2"/>
        <w:rPr>
          <w:rFonts w:eastAsiaTheme="minorEastAsia" w:cstheme="minorBidi"/>
          <w:i/>
          <w:iCs/>
          <w:noProof/>
          <w:sz w:val="22"/>
          <w:szCs w:val="22"/>
          <w:rtl/>
        </w:rPr>
      </w:pPr>
      <w:r w:rsidRPr="0050146A">
        <w:rPr>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rtl/>
        </w:rPr>
        <w:fldChar w:fldCharType="separate"/>
      </w:r>
      <w:r w:rsidRPr="0050146A">
        <w:rPr>
          <w:noProof/>
          <w:rtl/>
        </w:rPr>
        <w:t>מראי מקומות וביאורים</w:t>
      </w:r>
    </w:p>
    <w:p w:rsidR="003A445B" w:rsidRPr="0050146A" w:rsidRDefault="003A445B" w:rsidP="003A445B">
      <w:pPr>
        <w:pStyle w:val="2"/>
        <w:rPr>
          <w:rFonts w:eastAsiaTheme="minorEastAsia" w:cstheme="minorBidi"/>
          <w:i/>
          <w:iCs/>
          <w:noProof/>
          <w:sz w:val="22"/>
          <w:szCs w:val="22"/>
          <w:rtl/>
        </w:rPr>
      </w:pPr>
      <w:r w:rsidRPr="0050146A">
        <w:rPr>
          <w:noProof/>
          <w:rtl/>
        </w:rPr>
        <w:t>בדין כחל שבישלו בפנ"ע או עם בשר אחר</w:t>
      </w:r>
    </w:p>
    <w:p w:rsidR="003A445B" w:rsidRPr="0050146A" w:rsidRDefault="003A445B" w:rsidP="003A445B">
      <w:pPr>
        <w:pStyle w:val="aff4"/>
        <w:rPr>
          <w:rFonts w:eastAsiaTheme="minorEastAsia" w:cstheme="minorBidi"/>
          <w:i/>
          <w:iCs/>
          <w:noProof/>
          <w:sz w:val="22"/>
          <w:szCs w:val="22"/>
          <w:rtl/>
        </w:rPr>
      </w:pPr>
      <w:r w:rsidRPr="0050146A">
        <w:rPr>
          <w:noProof/>
          <w:rtl/>
        </w:rPr>
        <w:t>דברי רש"י לקמן דחלב הכחל אסור מדרבנן רק כשפירש</w:t>
      </w:r>
    </w:p>
    <w:p w:rsidR="003A445B" w:rsidRPr="0010375C" w:rsidRDefault="003A445B" w:rsidP="004D1C5B">
      <w:pPr>
        <w:pStyle w:val="TOC9"/>
        <w:numPr>
          <w:ilvl w:val="0"/>
          <w:numId w:val="7"/>
        </w:numPr>
        <w:rPr>
          <w:rtl/>
        </w:rPr>
      </w:pPr>
      <w:r w:rsidRPr="0010375C">
        <w:rPr>
          <w:rtl/>
        </w:rPr>
        <w:t>דברי רש"י דכחל שבישלו אסור מדרבנן דהא אף אם יצא לחוץ הוא חלב שחוטה דאסור מדרבנ</w:t>
      </w:r>
      <w:r w:rsidR="006F3376" w:rsidRPr="0010375C">
        <w:rPr>
          <w:rFonts w:hint="cs"/>
          <w:rtl/>
        </w:rPr>
        <w:t>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רש"י דכל שהחלב עדיין בלוע בכחל ולא פירש ממנו אינו אסור אף מדרבנן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רש"י לקמן דרק חלב שיצ</w:t>
      </w:r>
      <w:r w:rsidRPr="00B46839">
        <w:rPr>
          <w:sz w:val="10"/>
          <w:szCs w:val="10"/>
          <w:rtl/>
        </w:rPr>
        <w:t>א בחי</w:t>
      </w:r>
      <w:r w:rsidRPr="0050146A">
        <w:rPr>
          <w:rtl/>
        </w:rPr>
        <w:t>י הבהמה יש לו שם חלב אבל חלב הבלוע בכחל אינו חלב</w:t>
      </w:r>
    </w:p>
    <w:p w:rsidR="003A445B" w:rsidRPr="0050146A" w:rsidRDefault="003A445B" w:rsidP="003A445B">
      <w:pPr>
        <w:pStyle w:val="aff4"/>
        <w:rPr>
          <w:rFonts w:eastAsiaTheme="minorEastAsia" w:cstheme="minorBidi"/>
          <w:i/>
          <w:iCs/>
          <w:noProof/>
          <w:sz w:val="22"/>
          <w:szCs w:val="22"/>
          <w:rtl/>
        </w:rPr>
      </w:pPr>
      <w:r w:rsidRPr="0050146A">
        <w:rPr>
          <w:noProof/>
          <w:rtl/>
        </w:rPr>
        <w:t>דברי התוס' בדעת רש"י דבצלי מותר ובבישלו בקדירה אסור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דלרש"י ההיתר בבישל כחל בפנ"ע הוא רק בצלי אבל בקדירה שנפלט החלב אסור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דלרש"י בבישלו בפנ"ע עם מים שיש בהם שישים כנגדו נתבטל החלב והכחל מותר</w:t>
      </w:r>
    </w:p>
    <w:p w:rsidR="003A445B" w:rsidRPr="0050146A" w:rsidRDefault="003A445B" w:rsidP="003A445B">
      <w:pPr>
        <w:pStyle w:val="aff4"/>
        <w:rPr>
          <w:rFonts w:eastAsiaTheme="minorEastAsia" w:cstheme="minorBidi"/>
          <w:i/>
          <w:iCs/>
          <w:noProof/>
          <w:sz w:val="22"/>
          <w:szCs w:val="22"/>
          <w:rtl/>
        </w:rPr>
      </w:pPr>
      <w:r w:rsidRPr="0050146A">
        <w:rPr>
          <w:noProof/>
          <w:rtl/>
        </w:rPr>
        <w:t>ביאור היד יהודה ברש"י דלא גזרו על חלב שחוטה כשהוא בלוע</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היד יהודה ברש"י דרבנן לא גזרו על חלב בלוע לענין בשר החל עצמו כיון שהחלב בכלל הכחל</w:t>
      </w:r>
    </w:p>
    <w:p w:rsidR="003A445B" w:rsidRPr="0050146A" w:rsidRDefault="003A445B" w:rsidP="003A445B">
      <w:pPr>
        <w:pStyle w:val="aff4"/>
        <w:rPr>
          <w:rFonts w:eastAsiaTheme="minorEastAsia" w:cstheme="minorBidi"/>
          <w:i/>
          <w:iCs/>
          <w:noProof/>
          <w:sz w:val="22"/>
          <w:szCs w:val="22"/>
          <w:rtl/>
        </w:rPr>
      </w:pPr>
      <w:r w:rsidRPr="0050146A">
        <w:rPr>
          <w:noProof/>
          <w:rtl/>
        </w:rPr>
        <w:t>דברי התוס' לקמן דבבישלו עם בשר משתנה טעם החלב שבכחל</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לקמן דבבישלו בקדירה עם בשר אחר בלא קריעה אסור מדרבנן אטו בשר בחלב גמור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דבקרעו קצת קודם מותר לכתחילה לבשלו בפנ"ע ובלא קרעו בדיעבד הכחל מותר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לקמן דרבנן אסרו כחל שהתבשל עם בשר כיון שטעם הבשר נכנס לחלב שבכחל</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דאף דבבישלו יוצא החלב וחוזר ונבלע בו מ"מ כיון שלא השתנה טעמו לא גזרו בו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התרוה"ד דבבישלו בפנ"ע לא משתנה טעמו וכשנתבשל עם בשר אחר אסור דנשתנה טעמו</w:t>
      </w:r>
    </w:p>
    <w:p w:rsidR="003A445B" w:rsidRPr="0050146A" w:rsidRDefault="003A445B" w:rsidP="003A445B">
      <w:pPr>
        <w:pStyle w:val="aff4"/>
        <w:rPr>
          <w:rFonts w:eastAsiaTheme="minorEastAsia" w:cstheme="minorBidi"/>
          <w:i/>
          <w:iCs/>
          <w:noProof/>
          <w:sz w:val="22"/>
          <w:szCs w:val="22"/>
          <w:rtl/>
        </w:rPr>
      </w:pPr>
      <w:r w:rsidRPr="0050146A">
        <w:rPr>
          <w:noProof/>
          <w:rtl/>
        </w:rPr>
        <w:t>ביאור היד יהודה בתוס' דאין חילוק בין חלב בלוע לחלב שיצא</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היד יהודה בתוס' דרבנן גזרו על חלב שחוטה אף כשהוא בלוע בכחל</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היד יהודה בתוס' דבבישלו בפנ"ע לא משתנה טעמו דהיה לו טעם חלב ולא גזרו בו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היד דבבישלו עם בשר אחר נשתנה טעם החלב ע"י הבשר ולכן גזרו בו אטו בשר בחלב</w:t>
      </w:r>
    </w:p>
    <w:p w:rsidR="003A445B" w:rsidRPr="0050146A" w:rsidRDefault="003A445B" w:rsidP="003A445B">
      <w:pPr>
        <w:pStyle w:val="aff4"/>
        <w:rPr>
          <w:rFonts w:eastAsiaTheme="minorEastAsia" w:cstheme="minorBidi"/>
          <w:i/>
          <w:iCs/>
          <w:noProof/>
          <w:sz w:val="22"/>
          <w:szCs w:val="22"/>
          <w:rtl/>
        </w:rPr>
      </w:pPr>
      <w:r w:rsidRPr="0050146A">
        <w:rPr>
          <w:noProof/>
          <w:rtl/>
        </w:rPr>
        <w:t>ביאור הרי"ד דהחלב אינו נאסר ע"י הכחל עצמו דהוא תולדתו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הרי"ד דהחלב אינו נאסר מהכחל כיון שהוא תולדתו וכן להיפך אך נאסר ע"י בשר אחר</w:t>
      </w:r>
    </w:p>
    <w:p w:rsidR="003A445B" w:rsidRPr="0050146A" w:rsidRDefault="003A445B" w:rsidP="003A445B">
      <w:pPr>
        <w:pStyle w:val="2"/>
        <w:rPr>
          <w:rFonts w:eastAsiaTheme="minorEastAsia" w:cstheme="minorBidi"/>
          <w:i/>
          <w:iCs/>
          <w:noProof/>
          <w:sz w:val="22"/>
          <w:szCs w:val="22"/>
          <w:rtl/>
        </w:rPr>
      </w:pPr>
      <w:r w:rsidRPr="0050146A">
        <w:rPr>
          <w:noProof/>
          <w:rtl/>
        </w:rPr>
        <w:t>איסור הכחל עצמו כשהתבשל עם בשר</w:t>
      </w:r>
    </w:p>
    <w:p w:rsidR="003A445B" w:rsidRPr="0050146A" w:rsidRDefault="003A445B" w:rsidP="003A445B">
      <w:pPr>
        <w:pStyle w:val="aff4"/>
        <w:rPr>
          <w:rFonts w:eastAsiaTheme="minorEastAsia" w:cstheme="minorBidi"/>
          <w:i/>
          <w:iCs/>
          <w:noProof/>
          <w:sz w:val="22"/>
          <w:szCs w:val="22"/>
          <w:rtl/>
        </w:rPr>
      </w:pPr>
      <w:r w:rsidRPr="0050146A">
        <w:rPr>
          <w:noProof/>
          <w:rtl/>
        </w:rPr>
        <w:t>דברי רש"י דהבשר המרובה נתן טעם בחלב המועט ואסרו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רש"י דהכחל עצמו אסור דהבשר נתן טעם בחלב ואילו החלב המועט לא נתן טעם בבשר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הריטב"א ברש"י דהחלב אינו יוצא לגמרי מהגומות שבכחל ולכן צריך שישים כנגדו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היד יהודה ברש"י דכשהתבשל הכחל עם בשר אחר הוא אסור מדרבנן אף כשהוא בלוע</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היד יהודה דחידש רב יצחק דכשנתבשל הכחל עם בשר אף שהבלוע אינו בכלל חלב אסור</w:t>
      </w:r>
    </w:p>
    <w:p w:rsidR="003A445B" w:rsidRPr="0050146A" w:rsidRDefault="003A445B" w:rsidP="003A445B">
      <w:pPr>
        <w:pStyle w:val="aff4"/>
        <w:rPr>
          <w:rFonts w:eastAsiaTheme="minorEastAsia" w:cstheme="minorBidi"/>
          <w:i/>
          <w:iCs/>
          <w:noProof/>
          <w:sz w:val="22"/>
          <w:szCs w:val="22"/>
          <w:rtl/>
        </w:rPr>
      </w:pPr>
      <w:r w:rsidRPr="0050146A">
        <w:rPr>
          <w:noProof/>
          <w:rtl/>
        </w:rPr>
        <w:t>דברי התוס' דהכחל נאסר בתחילה אף דאח"כ יצא כל החלב</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התוס' דאמאי הכחל אסור הא כל החלב יצא מהכחל והתפשט בשוה בכחל החתיכות</w:t>
      </w:r>
    </w:p>
    <w:p w:rsidR="003A445B" w:rsidRPr="0050146A" w:rsidRDefault="003A445B" w:rsidP="003A445B">
      <w:pPr>
        <w:pStyle w:val="aff2"/>
        <w:numPr>
          <w:ilvl w:val="0"/>
          <w:numId w:val="3"/>
        </w:numPr>
        <w:rPr>
          <w:rFonts w:eastAsiaTheme="minorEastAsia" w:cstheme="minorBidi"/>
          <w:sz w:val="22"/>
          <w:szCs w:val="22"/>
          <w:rtl/>
        </w:rPr>
      </w:pPr>
      <w:r w:rsidRPr="0050146A">
        <w:rPr>
          <w:rtl/>
        </w:rPr>
        <w:t>תירוץ התוס' דבתחילת הבישול כשעדיין לא יצא כל החלב נאסר הכחל ואח"כ אינו חוזר להתירו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דלמ"ד אפשר לסוחטו מותר גזרו שמא יאכל את הכחל באמצע הבישול לפני שהתבטל</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התוס' והרא"ש דהכחל אינו אסור מצד עצמו אלא החלב הבלוע בתוכו אסור וא"א להפרידם</w:t>
      </w:r>
    </w:p>
    <w:p w:rsidR="003A445B" w:rsidRPr="0050146A" w:rsidRDefault="003A445B" w:rsidP="003A445B">
      <w:pPr>
        <w:pStyle w:val="aff4"/>
        <w:rPr>
          <w:rFonts w:eastAsiaTheme="minorEastAsia" w:cstheme="minorBidi"/>
          <w:i/>
          <w:iCs/>
          <w:noProof/>
          <w:sz w:val="22"/>
          <w:szCs w:val="22"/>
          <w:rtl/>
        </w:rPr>
      </w:pPr>
      <w:r w:rsidRPr="0050146A">
        <w:rPr>
          <w:noProof/>
          <w:rtl/>
        </w:rPr>
        <w:t>קושית הגרעק"א על התוס' דהחלב נפלט והכחל לא נאסר כלל</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הגרעק"א דבשר הכחל לא נאסר ורק החלב שבגומות נאסר וכל החלב נפלט כבר לקדירה</w:t>
      </w:r>
    </w:p>
    <w:p w:rsidR="003A445B" w:rsidRPr="0050146A" w:rsidRDefault="003A445B" w:rsidP="003A445B">
      <w:pPr>
        <w:pStyle w:val="aff4"/>
        <w:rPr>
          <w:rFonts w:eastAsiaTheme="minorEastAsia" w:cstheme="minorBidi"/>
          <w:i/>
          <w:iCs/>
          <w:noProof/>
          <w:sz w:val="22"/>
          <w:szCs w:val="22"/>
          <w:rtl/>
        </w:rPr>
      </w:pPr>
      <w:r w:rsidRPr="0050146A">
        <w:rPr>
          <w:noProof/>
          <w:rtl/>
        </w:rPr>
        <w:t>דעת הר"ן דאף שהתבטל החלב אסור הכחל מפני מראית העין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הר"ן דמדינא הכחל מותר דהא יצא כל החלב והתבטל אך אסורהו מפני מראית העין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היד יהודה בר"ן דהכחל אוסר בפחות משישים ואי בשישים מותר יבואו להתיר נבילה בשישים</w:t>
      </w:r>
    </w:p>
    <w:p w:rsidR="002D7168" w:rsidRDefault="003A445B" w:rsidP="003A445B">
      <w:pPr>
        <w:pStyle w:val="aff2"/>
        <w:numPr>
          <w:ilvl w:val="0"/>
          <w:numId w:val="3"/>
        </w:numPr>
        <w:rPr>
          <w:rFonts w:eastAsiaTheme="minorEastAsia" w:cstheme="minorBidi"/>
          <w:sz w:val="22"/>
          <w:szCs w:val="22"/>
          <w:rtl/>
        </w:rPr>
      </w:pPr>
      <w:r w:rsidRPr="0050146A">
        <w:rPr>
          <w:rtl/>
        </w:rPr>
        <w:t>ביאור התוי"ט בר"ן דיבואו להתיר חתיכה שבלעה איסור דיש לה דין חנ"נ דדמי לכחל שבלע בשר</w:t>
      </w:r>
    </w:p>
    <w:p w:rsidR="003A445B" w:rsidRPr="0050146A" w:rsidRDefault="003A445B" w:rsidP="003A445B">
      <w:pPr>
        <w:pStyle w:val="aff4"/>
        <w:rPr>
          <w:rFonts w:eastAsiaTheme="minorEastAsia" w:cstheme="minorBidi"/>
          <w:sz w:val="22"/>
          <w:szCs w:val="22"/>
        </w:rPr>
      </w:pPr>
      <w:r w:rsidRPr="0050146A">
        <w:rPr>
          <w:rtl/>
        </w:rPr>
        <w:t>דברי הרי"ד דהחלב שבכחל הוא תולדתו ואינו אוסרו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הרי"ד דהו"א דהכחל אינו נאסר דהכחל הבלוע בו לא חשיב חלב</w:t>
      </w:r>
    </w:p>
    <w:p w:rsidR="003A445B" w:rsidRPr="0050146A" w:rsidRDefault="003A445B" w:rsidP="003A445B">
      <w:pPr>
        <w:pStyle w:val="aff2"/>
        <w:numPr>
          <w:ilvl w:val="0"/>
          <w:numId w:val="3"/>
        </w:numPr>
        <w:rPr>
          <w:rFonts w:eastAsiaTheme="minorEastAsia" w:cstheme="minorBidi"/>
          <w:sz w:val="22"/>
          <w:szCs w:val="22"/>
        </w:rPr>
      </w:pPr>
      <w:r w:rsidRPr="0050146A">
        <w:rPr>
          <w:rtl/>
        </w:rPr>
        <w:t>דברי הרי"ד דקמ"ל רב יצחק דהחלב הבלוע חשיב חלב ונאסר ע"י הבשר שבקדירה והוי כבב"ח</w:t>
      </w:r>
    </w:p>
    <w:p w:rsidR="003A445B" w:rsidRPr="0050146A" w:rsidRDefault="003A445B" w:rsidP="003A445B">
      <w:pPr>
        <w:pStyle w:val="aff4"/>
        <w:rPr>
          <w:rFonts w:eastAsiaTheme="minorEastAsia" w:cstheme="minorBidi"/>
          <w:i/>
          <w:iCs/>
          <w:noProof/>
          <w:sz w:val="22"/>
          <w:szCs w:val="22"/>
          <w:rtl/>
        </w:rPr>
      </w:pPr>
      <w:r w:rsidRPr="0050146A">
        <w:rPr>
          <w:noProof/>
          <w:rtl/>
        </w:rPr>
        <w:t>דברי הרשב"א דאיסור הכחל הוא אף בנפל לתוך מאה</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הרשב"א דבקדירה אחרת הכחל אסור אף בנפל לתוך מאה דיש לו דין חנ"נ</w:t>
      </w:r>
    </w:p>
    <w:p w:rsidR="003A445B" w:rsidRPr="0050146A" w:rsidRDefault="003A445B" w:rsidP="003A445B">
      <w:pPr>
        <w:pStyle w:val="aff2"/>
        <w:numPr>
          <w:ilvl w:val="0"/>
          <w:numId w:val="3"/>
        </w:numPr>
        <w:rPr>
          <w:rFonts w:eastAsiaTheme="minorEastAsia" w:cstheme="minorBidi"/>
          <w:sz w:val="22"/>
          <w:szCs w:val="22"/>
          <w:rtl/>
        </w:rPr>
      </w:pPr>
      <w:r w:rsidRPr="0050146A">
        <w:rPr>
          <w:rtl/>
        </w:rPr>
        <w:t>תירוץ הרשב"א על קושית התוס' דאמאי אין לכחל דין חנ"נ דכשבטל בשישים לא החמירו בו כחנ"נ</w:t>
      </w:r>
    </w:p>
    <w:p w:rsidR="003A445B" w:rsidRPr="0050146A" w:rsidRDefault="003A445B" w:rsidP="003A445B">
      <w:pPr>
        <w:pStyle w:val="2"/>
        <w:rPr>
          <w:rFonts w:eastAsiaTheme="minorEastAsia" w:cstheme="minorBidi"/>
          <w:i/>
          <w:iCs/>
          <w:noProof/>
          <w:sz w:val="22"/>
          <w:szCs w:val="22"/>
          <w:rtl/>
        </w:rPr>
      </w:pPr>
      <w:r w:rsidRPr="0050146A">
        <w:rPr>
          <w:noProof/>
          <w:rtl/>
        </w:rPr>
        <w:t>כחל מן המנין</w:t>
      </w:r>
    </w:p>
    <w:p w:rsidR="003A445B" w:rsidRPr="0050146A" w:rsidRDefault="003A445B" w:rsidP="003A445B">
      <w:pPr>
        <w:pStyle w:val="aff4"/>
        <w:rPr>
          <w:rFonts w:eastAsiaTheme="minorEastAsia" w:cstheme="minorBidi"/>
          <w:i/>
          <w:iCs/>
          <w:noProof/>
          <w:sz w:val="22"/>
          <w:szCs w:val="22"/>
          <w:rtl/>
        </w:rPr>
      </w:pPr>
      <w:r w:rsidRPr="0050146A">
        <w:rPr>
          <w:noProof/>
          <w:rtl/>
        </w:rPr>
        <w:t>דברי רש"י דהכחל הוא מין היתר ולכן הוא מן 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רש"י דהכחל הוא מין של היתר ולכן הוא כלול בתוך המנין של השישים כנגד החלב</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הרי"ד דכיון שהבשר שבכחל אינו אוסר ורק החלב שבו אוסר לכן הכחל מן המנין</w:t>
      </w:r>
    </w:p>
    <w:p w:rsidR="003A445B" w:rsidRPr="0050146A" w:rsidRDefault="003A445B" w:rsidP="003A445B">
      <w:pPr>
        <w:pStyle w:val="aff4"/>
        <w:rPr>
          <w:rFonts w:eastAsiaTheme="minorEastAsia" w:cstheme="minorBidi"/>
          <w:i/>
          <w:iCs/>
          <w:noProof/>
          <w:sz w:val="22"/>
          <w:szCs w:val="22"/>
          <w:rtl/>
        </w:rPr>
      </w:pPr>
      <w:r w:rsidRPr="0050146A">
        <w:rPr>
          <w:noProof/>
          <w:rtl/>
        </w:rPr>
        <w:t>דברי התוס' והרא"ש דהכחל אינו חנ"נ דרק החלב שבו אסור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התוס' דאחר שהכחל אסור יש לו דין חנ"נ והיאך הוא מצטרף לשישים לבטל את החלב</w:t>
      </w:r>
    </w:p>
    <w:p w:rsidR="003A445B" w:rsidRPr="0050146A" w:rsidRDefault="003A445B" w:rsidP="003A445B">
      <w:pPr>
        <w:pStyle w:val="aff2"/>
        <w:numPr>
          <w:ilvl w:val="0"/>
          <w:numId w:val="3"/>
        </w:numPr>
        <w:rPr>
          <w:rFonts w:eastAsiaTheme="minorEastAsia" w:cstheme="minorBidi"/>
          <w:sz w:val="22"/>
          <w:szCs w:val="22"/>
          <w:rtl/>
        </w:rPr>
      </w:pPr>
      <w:r w:rsidRPr="0050146A">
        <w:rPr>
          <w:rtl/>
        </w:rPr>
        <w:t>תירוץ התוס' דהכחל אינו חנ"נ דלא אסור מצד עצמו אלא החלב הבלוע בתוכו אסור וא"א להפרידם</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w:t>
      </w:r>
      <w:r w:rsidR="00250230">
        <w:rPr>
          <w:rtl/>
        </w:rPr>
        <w:t>פלתי</w:t>
      </w:r>
      <w:r w:rsidRPr="0050146A">
        <w:rPr>
          <w:rtl/>
        </w:rPr>
        <w:t xml:space="preserve"> דהחלב הבלוע בבכחל אין לו דין חלב והיאך הוא נאסר ע"י הבשר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w:t>
      </w:r>
      <w:r w:rsidR="00250230">
        <w:rPr>
          <w:rtl/>
        </w:rPr>
        <w:t>פלתי</w:t>
      </w:r>
      <w:r w:rsidRPr="0050146A">
        <w:rPr>
          <w:rtl/>
        </w:rPr>
        <w:t xml:space="preserve"> דכמו שביצא החלב הוא אוסר ה"ה בשר מבחוץ שנכנס לכחל דאוסר את הבלוע</w:t>
      </w:r>
    </w:p>
    <w:p w:rsidR="003A445B" w:rsidRPr="0050146A" w:rsidRDefault="003A445B" w:rsidP="003A445B">
      <w:pPr>
        <w:pStyle w:val="aff4"/>
        <w:rPr>
          <w:rFonts w:eastAsiaTheme="minorEastAsia" w:cstheme="minorBidi"/>
          <w:i/>
          <w:iCs/>
          <w:noProof/>
          <w:sz w:val="22"/>
          <w:szCs w:val="22"/>
          <w:rtl/>
        </w:rPr>
      </w:pPr>
      <w:r w:rsidRPr="0050146A">
        <w:rPr>
          <w:noProof/>
          <w:rtl/>
        </w:rPr>
        <w:t>בדברי הרמב"ם דאיסור הכחל דרבנן והקילו בו דהוא מן 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הרמב"ם דאיסור הכחל מדרבנן דהואוחלב שחוטה וכשהכחל מהמנין הוא אסור והבשר מותר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הרמב"ם דכיון שאיסור החכל הוא מדרבנן לכן הקילו בשיעורו דהוא בכלל השישים</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הרשב"א על הרמב"ם דהא מצינו איסורים דרבנן שאינם בכלל שישים דהא כעין דאו' תקון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תירוץ הכס"מ דמכחל לומדים לשאר האיסורים דרבנן דהאיסור מן 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תירוץ הרדב"ז דרק בכחל הקילו דהבשר יכול להצטרף ואילו החלב כבר נפלט והתערב בתבשיל</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הלח"מ ברמב"ם דכוונת הגמ' לכל האיסורים דרבנן ונקטה כחל לחדש שאין לו דין חנ"נ</w:t>
      </w:r>
    </w:p>
    <w:p w:rsidR="003A445B" w:rsidRPr="0050146A" w:rsidRDefault="003A445B" w:rsidP="003A445B">
      <w:pPr>
        <w:pStyle w:val="aff4"/>
        <w:rPr>
          <w:rFonts w:eastAsiaTheme="minorEastAsia" w:cstheme="minorBidi"/>
          <w:i/>
          <w:iCs/>
          <w:noProof/>
          <w:sz w:val="22"/>
          <w:szCs w:val="22"/>
          <w:rtl/>
        </w:rPr>
      </w:pPr>
      <w:r w:rsidRPr="0050146A">
        <w:rPr>
          <w:noProof/>
          <w:rtl/>
        </w:rPr>
        <w:t>דברי הראב"ד דהכחל מן המנין כיון שהוא עצמו היתר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הראב"ד דהכחל מן המנין כיון שהכחל עצמו הוא היתר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המגד"ע והבאר הגולה בראב"ד דהכחל מותר בבישלו בפנ"ע ולכן הוא מן 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הרדב"ז בראב"ד דבשר הכחל וחלב הכחל הם היתר בפנ"ע אך הקשה דה"ה בכל בשר וחלב</w:t>
      </w:r>
    </w:p>
    <w:p w:rsidR="003A445B" w:rsidRPr="0050146A" w:rsidRDefault="003A445B" w:rsidP="003A445B">
      <w:pPr>
        <w:pStyle w:val="aff4"/>
        <w:rPr>
          <w:rFonts w:eastAsiaTheme="minorEastAsia" w:cstheme="minorBidi"/>
          <w:i/>
          <w:iCs/>
          <w:noProof/>
          <w:sz w:val="22"/>
          <w:szCs w:val="22"/>
          <w:rtl/>
        </w:rPr>
      </w:pPr>
      <w:r w:rsidRPr="0050146A">
        <w:rPr>
          <w:noProof/>
          <w:rtl/>
        </w:rPr>
        <w:t>דברי המ"מ דיש ג' דעות בראשונים בהא דהכחל מן 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המ"מ דלהרמב"ם הכחל מן המנין דהוא דרבנן וי"א דהוא בשר וי"א דהוא מותר בבישלו בפנ"ע</w:t>
      </w:r>
    </w:p>
    <w:p w:rsidR="003A445B" w:rsidRPr="0050146A" w:rsidRDefault="003A445B" w:rsidP="003A445B">
      <w:pPr>
        <w:pStyle w:val="aff4"/>
        <w:rPr>
          <w:rFonts w:eastAsiaTheme="minorEastAsia" w:cstheme="minorBidi"/>
          <w:i/>
          <w:iCs/>
          <w:noProof/>
          <w:sz w:val="22"/>
          <w:szCs w:val="22"/>
          <w:rtl/>
        </w:rPr>
      </w:pPr>
      <w:r w:rsidRPr="0050146A">
        <w:rPr>
          <w:noProof/>
          <w:rtl/>
        </w:rPr>
        <w:t>דברי הרמב"ן והרשב"א דהכחל מן המנין דהוא עצמו בשר מותר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הרמב"ן והרשב"א דהכחל מן המנין כיון שהוא עצמו בשר מותר</w:t>
      </w:r>
    </w:p>
    <w:p w:rsidR="003A445B" w:rsidRPr="0050146A" w:rsidRDefault="003A445B" w:rsidP="003A445B">
      <w:pPr>
        <w:pStyle w:val="aff4"/>
        <w:rPr>
          <w:rFonts w:eastAsiaTheme="minorEastAsia" w:cstheme="minorBidi"/>
          <w:i/>
          <w:iCs/>
          <w:noProof/>
          <w:sz w:val="22"/>
          <w:szCs w:val="22"/>
          <w:rtl/>
        </w:rPr>
      </w:pPr>
      <w:r w:rsidRPr="0050146A">
        <w:rPr>
          <w:noProof/>
          <w:rtl/>
        </w:rPr>
        <w:t>דעת הרא"ה דהוא מן המנין דהבשר מותר והחלב שבו אינו חלב</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הרא"ה על הרשב"א דאף שהכחל הוא בשר מ"מ יש לו דין חנ"נ ואפשר לסוחטו אסור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הרא"ה דהכחל מן המנין כיון שהוא עצמו מותר דהחלב הבלוע אין לו דין חלב</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הרא"ה בחי' דכיון שהכחל מותר מדאו' וגזרו בו כיון דמיחזי כבשר בחלב לכן הוא מן 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הרשב"א במשה"ב על הרא"ה דכתב ב' טעמים שונים גם שהכחל היתר וגם שאין חלבו אסור</w:t>
      </w:r>
    </w:p>
    <w:p w:rsidR="003A445B" w:rsidRPr="0050146A" w:rsidRDefault="003A445B" w:rsidP="003A445B">
      <w:pPr>
        <w:pStyle w:val="aff4"/>
        <w:rPr>
          <w:rFonts w:eastAsiaTheme="minorEastAsia" w:cstheme="minorBidi"/>
          <w:i/>
          <w:iCs/>
          <w:noProof/>
          <w:sz w:val="22"/>
          <w:szCs w:val="22"/>
          <w:rtl/>
        </w:rPr>
      </w:pPr>
      <w:r w:rsidRPr="0050146A">
        <w:rPr>
          <w:noProof/>
          <w:rtl/>
        </w:rPr>
        <w:t>דברי הרשב"א דהכחל אינו חתיכת איסור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הרשב"א במשה"ב דאין לכחל דין חנ"נ דהכחל התבטל בשישים ולא נעשה חתיכת איסור</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הרשב"א במשה"ב דהכחל אוסר קדירה אחרת דחיישינן שמא לא יצא ממנו כל החלב</w:t>
      </w:r>
    </w:p>
    <w:p w:rsidR="003A445B" w:rsidRPr="0050146A" w:rsidRDefault="003A445B" w:rsidP="003A445B">
      <w:pPr>
        <w:pStyle w:val="aff4"/>
        <w:rPr>
          <w:rFonts w:eastAsiaTheme="minorEastAsia" w:cstheme="minorBidi"/>
          <w:i/>
          <w:iCs/>
          <w:noProof/>
          <w:sz w:val="22"/>
          <w:szCs w:val="22"/>
          <w:rtl/>
        </w:rPr>
      </w:pPr>
      <w:r w:rsidRPr="0050146A">
        <w:rPr>
          <w:noProof/>
          <w:rtl/>
        </w:rPr>
        <w:t>ביאור הט"ז ברשב"א דבשישים אינו מחובר לאיסור ולכן מצטרף</w:t>
      </w:r>
    </w:p>
    <w:p w:rsidR="003A445B" w:rsidRPr="0050146A" w:rsidRDefault="003A445B" w:rsidP="003A445B">
      <w:pPr>
        <w:pStyle w:val="aff2"/>
        <w:numPr>
          <w:ilvl w:val="0"/>
          <w:numId w:val="3"/>
        </w:numPr>
        <w:rPr>
          <w:rFonts w:eastAsiaTheme="minorEastAsia" w:cstheme="minorBidi"/>
          <w:sz w:val="22"/>
          <w:szCs w:val="22"/>
          <w:rtl/>
        </w:rPr>
      </w:pPr>
      <w:r w:rsidRPr="0050146A">
        <w:rPr>
          <w:rtl/>
        </w:rPr>
        <w:t>ביאור הט"ז ברשב"א דהכחל מן המנין דאינו איסור בעצמו וע"י שישים חשיב שאינו מחובר לאיסור</w:t>
      </w:r>
    </w:p>
    <w:p w:rsidR="003A445B" w:rsidRPr="0050146A" w:rsidRDefault="003A445B" w:rsidP="003A445B">
      <w:pPr>
        <w:pStyle w:val="aff4"/>
        <w:rPr>
          <w:rFonts w:eastAsiaTheme="minorEastAsia" w:cstheme="minorBidi"/>
          <w:i/>
          <w:iCs/>
          <w:noProof/>
          <w:sz w:val="22"/>
          <w:szCs w:val="22"/>
          <w:rtl/>
        </w:rPr>
      </w:pPr>
      <w:r w:rsidRPr="0050146A">
        <w:rPr>
          <w:noProof/>
          <w:rtl/>
        </w:rPr>
        <w:t>דברי הרשב"א והר"ן דבנתבשל בקדירה של חלב אינו מהמנין</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הרשב"א דבנפל הכחל לקדירה של חלב אין הכחל מן המנין והחלב שבו לא מצטרף לשישים</w:t>
      </w:r>
    </w:p>
    <w:p w:rsidR="003A445B" w:rsidRPr="0050146A" w:rsidRDefault="003A445B" w:rsidP="003A445B">
      <w:pPr>
        <w:pStyle w:val="aff2"/>
        <w:numPr>
          <w:ilvl w:val="0"/>
          <w:numId w:val="3"/>
        </w:numPr>
        <w:rPr>
          <w:rFonts w:eastAsiaTheme="minorEastAsia" w:cstheme="minorBidi"/>
          <w:sz w:val="22"/>
          <w:szCs w:val="22"/>
          <w:rtl/>
        </w:rPr>
      </w:pPr>
      <w:r w:rsidRPr="0050146A">
        <w:rPr>
          <w:rtl/>
        </w:rPr>
        <w:t>דברי הרא"ה בבד"ה דבנפל לקדירת חלב פשיטא שאינו מן המנין דהוא בשר בחלב דאו'</w:t>
      </w:r>
    </w:p>
    <w:p w:rsidR="003A445B" w:rsidRPr="0050146A" w:rsidRDefault="003A445B" w:rsidP="003A445B">
      <w:pPr>
        <w:pStyle w:val="aff2"/>
        <w:numPr>
          <w:ilvl w:val="0"/>
          <w:numId w:val="3"/>
        </w:numPr>
        <w:rPr>
          <w:rFonts w:eastAsiaTheme="minorEastAsia" w:cstheme="minorBidi"/>
          <w:sz w:val="22"/>
          <w:szCs w:val="22"/>
          <w:rtl/>
        </w:rPr>
      </w:pPr>
      <w:r w:rsidRPr="0050146A">
        <w:rPr>
          <w:rtl/>
        </w:rPr>
        <w:lastRenderedPageBreak/>
        <w:t>דברי המ"מ דלהרמב"ם דכחל מן המנין כיון שהוא דרבנן א"כ בנפל לחלב דהוא דאו' אינו מן המנין</w:t>
      </w:r>
    </w:p>
    <w:p w:rsidR="003A445B" w:rsidRPr="0050146A" w:rsidRDefault="003A445B" w:rsidP="003A445B">
      <w:pPr>
        <w:pStyle w:val="aff4"/>
        <w:rPr>
          <w:rFonts w:eastAsiaTheme="minorEastAsia" w:cstheme="minorBidi"/>
          <w:i/>
          <w:iCs/>
          <w:noProof/>
          <w:sz w:val="22"/>
          <w:szCs w:val="22"/>
          <w:rtl/>
        </w:rPr>
      </w:pPr>
      <w:r w:rsidRPr="0050146A">
        <w:rPr>
          <w:noProof/>
          <w:rtl/>
        </w:rPr>
        <w:t>דעת הר"ן דכיון שיוצא כל החלב מהכחל לכן הוא מהמנין</w:t>
      </w:r>
    </w:p>
    <w:p w:rsidR="002D7168" w:rsidRDefault="003A445B" w:rsidP="003A445B">
      <w:pPr>
        <w:pStyle w:val="aff2"/>
        <w:numPr>
          <w:ilvl w:val="0"/>
          <w:numId w:val="3"/>
        </w:numPr>
        <w:rPr>
          <w:rFonts w:eastAsiaTheme="minorEastAsia" w:cstheme="minorBidi"/>
          <w:sz w:val="22"/>
          <w:szCs w:val="22"/>
          <w:rtl/>
        </w:rPr>
      </w:pPr>
      <w:r w:rsidRPr="0050146A">
        <w:rPr>
          <w:rtl/>
        </w:rPr>
        <w:t>דברי הר"ן דכחל מן המנין דהוא היתר ורק החלב שבו אוסר ויצא ממנו כל החלב</w:t>
      </w:r>
    </w:p>
    <w:p w:rsidR="003A445B" w:rsidRPr="0050146A" w:rsidRDefault="003A445B" w:rsidP="003A445B">
      <w:pPr>
        <w:pStyle w:val="aff4"/>
        <w:rPr>
          <w:rFonts w:eastAsiaTheme="minorEastAsia" w:cstheme="minorBidi"/>
          <w:i/>
          <w:iCs/>
          <w:noProof/>
          <w:sz w:val="22"/>
          <w:szCs w:val="22"/>
          <w:rtl/>
        </w:rPr>
      </w:pPr>
      <w:r w:rsidRPr="0050146A">
        <w:rPr>
          <w:noProof/>
          <w:rtl/>
        </w:rPr>
        <w:t>ביאור הרמ"א בר"ן דהכחל מן המנין דהוא מותר ואינו דאו'</w:t>
      </w:r>
    </w:p>
    <w:p w:rsidR="003A445B" w:rsidRPr="0050146A" w:rsidRDefault="003A445B" w:rsidP="003A445B">
      <w:pPr>
        <w:pStyle w:val="aff2"/>
        <w:numPr>
          <w:ilvl w:val="0"/>
          <w:numId w:val="3"/>
        </w:numPr>
        <w:rPr>
          <w:rFonts w:eastAsiaTheme="minorEastAsia" w:cstheme="minorBidi"/>
          <w:sz w:val="22"/>
          <w:szCs w:val="22"/>
          <w:rtl/>
        </w:rPr>
      </w:pPr>
      <w:r w:rsidRPr="0050146A">
        <w:rPr>
          <w:rtl/>
        </w:rPr>
        <w:t>קושית הרמ"א דאי כחל מן המנין כיון שהחלב יוצא ממנו והוא היתר א"כ ה"ה דם שבלוע בחתיכה</w:t>
      </w:r>
    </w:p>
    <w:p w:rsidR="003A445B" w:rsidRPr="0050146A" w:rsidRDefault="003A445B" w:rsidP="003A445B">
      <w:pPr>
        <w:pStyle w:val="aff2"/>
        <w:numPr>
          <w:ilvl w:val="0"/>
          <w:numId w:val="3"/>
        </w:numPr>
        <w:rPr>
          <w:rFonts w:eastAsiaTheme="minorEastAsia" w:cstheme="minorBidi"/>
          <w:sz w:val="22"/>
          <w:szCs w:val="22"/>
          <w:rtl/>
        </w:rPr>
      </w:pPr>
      <w:r w:rsidRPr="0050146A">
        <w:rPr>
          <w:rtl/>
        </w:rPr>
        <w:t>תירוץ הרמ"א דכוונת הר"ן כסמ"ג דהכחל מהמנין כיון שהוא היתר וכן כיון שהוא איסור דרבנן</w:t>
      </w:r>
    </w:p>
    <w:p w:rsidR="003A445B" w:rsidRPr="0050146A" w:rsidRDefault="003A445B" w:rsidP="003A445B">
      <w:pPr>
        <w:pStyle w:val="aff2"/>
        <w:numPr>
          <w:ilvl w:val="0"/>
          <w:numId w:val="3"/>
        </w:numPr>
        <w:rPr>
          <w:rFonts w:eastAsiaTheme="minorEastAsia" w:cstheme="minorBidi"/>
          <w:sz w:val="22"/>
          <w:szCs w:val="22"/>
          <w:rtl/>
        </w:rPr>
        <w:sectPr w:rsidR="003A445B" w:rsidRPr="0050146A" w:rsidSect="007C6A7B">
          <w:footerReference w:type="default" r:id="rId35"/>
          <w:type w:val="continuous"/>
          <w:pgSz w:w="11906" w:h="16838"/>
          <w:pgMar w:top="720" w:right="720" w:bottom="720" w:left="720" w:header="283" w:footer="283" w:gutter="0"/>
          <w:cols w:num="2" w:space="113"/>
          <w:bidi/>
          <w:rtlGutter/>
          <w:docGrid w:linePitch="299"/>
        </w:sectPr>
      </w:pPr>
      <w:r w:rsidRPr="0050146A">
        <w:rPr>
          <w:rtl/>
        </w:rPr>
        <w:t>תירוץ ה</w:t>
      </w:r>
      <w:r w:rsidR="00250230">
        <w:rPr>
          <w:rtl/>
        </w:rPr>
        <w:t>פלתי</w:t>
      </w:r>
      <w:r w:rsidRPr="0050146A">
        <w:rPr>
          <w:rtl/>
        </w:rPr>
        <w:t xml:space="preserve"> דהחלב הבלוע אינו איסור וכשיצא נתבטל ולכן הכחל מצטרף לשישים משא"כ בדם</w:t>
      </w:r>
    </w:p>
    <w:p w:rsidR="003A445B" w:rsidRPr="0050146A" w:rsidRDefault="003A445B" w:rsidP="003A445B">
      <w:pPr>
        <w:pStyle w:val="aff4"/>
        <w:rPr>
          <w:rtl/>
        </w:rPr>
        <w:sectPr w:rsidR="003A445B" w:rsidRPr="0050146A" w:rsidSect="007C6A7B">
          <w:type w:val="continuous"/>
          <w:pgSz w:w="11906" w:h="16838"/>
          <w:pgMar w:top="720" w:right="720" w:bottom="720" w:left="720" w:header="283" w:footer="283" w:gutter="0"/>
          <w:cols w:num="2" w:space="113"/>
          <w:bidi/>
          <w:rtlGutter/>
          <w:docGrid w:linePitch="299"/>
        </w:sectPr>
      </w:pPr>
      <w:r w:rsidRPr="0050146A">
        <w:rPr>
          <w:rtl/>
        </w:rPr>
        <w:fldChar w:fldCharType="end"/>
      </w:r>
    </w:p>
    <w:p w:rsidR="003A445B" w:rsidRPr="0050146A" w:rsidRDefault="003A445B" w:rsidP="00E669F8">
      <w:pPr>
        <w:pStyle w:val="afd"/>
        <w:rPr>
          <w:rtl/>
        </w:rPr>
      </w:pPr>
      <w:bookmarkStart w:id="3086" w:name="_Toc9799570"/>
      <w:bookmarkStart w:id="3087" w:name="_Toc9934831"/>
      <w:bookmarkStart w:id="3088" w:name="_Toc9936399"/>
      <w:bookmarkStart w:id="3089" w:name="_Toc9936420"/>
      <w:bookmarkStart w:id="3090" w:name="_Toc10061657"/>
      <w:bookmarkStart w:id="3091" w:name="_Toc10147708"/>
      <w:bookmarkStart w:id="3092" w:name="_Toc10201998"/>
      <w:bookmarkStart w:id="3093" w:name="_Toc10367961"/>
      <w:bookmarkStart w:id="3094" w:name="_Toc10451060"/>
      <w:bookmarkStart w:id="3095" w:name="_Toc10494309"/>
      <w:bookmarkStart w:id="3096" w:name="_Toc10541239"/>
      <w:bookmarkStart w:id="3097" w:name="_Toc10625570"/>
      <w:bookmarkStart w:id="3098" w:name="_Toc10665768"/>
      <w:bookmarkStart w:id="3099" w:name="_Toc10713164"/>
      <w:r w:rsidRPr="0050146A">
        <w:rPr>
          <w:rFonts w:hint="cs"/>
          <w:rtl/>
        </w:rPr>
        <w:lastRenderedPageBreak/>
        <w:t>מראי מקומות וביאורים</w:t>
      </w:r>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p>
    <w:p w:rsidR="003A445B" w:rsidRPr="0050146A" w:rsidRDefault="003A445B" w:rsidP="003A445B">
      <w:pPr>
        <w:pStyle w:val="2"/>
        <w:keepNext w:val="0"/>
        <w:keepLines w:val="0"/>
        <w:bidi w:val="0"/>
        <w:rPr>
          <w:rFonts w:asciiTheme="minorHAnsi" w:hAnsiTheme="minorHAnsi"/>
          <w:bCs/>
          <w:sz w:val="18"/>
          <w:szCs w:val="28"/>
          <w:rtl/>
        </w:rPr>
        <w:sectPr w:rsidR="003A445B" w:rsidRPr="0050146A" w:rsidSect="007E7609">
          <w:pgSz w:w="11906" w:h="16838"/>
          <w:pgMar w:top="720" w:right="720" w:bottom="720" w:left="720" w:header="283" w:footer="283" w:gutter="0"/>
          <w:cols w:space="720"/>
          <w:bidi/>
          <w:rtlGutter/>
          <w:docGrid w:linePitch="299"/>
        </w:sectPr>
      </w:pPr>
    </w:p>
    <w:p w:rsidR="003A445B" w:rsidRPr="0050146A" w:rsidRDefault="003A445B" w:rsidP="00E669F8">
      <w:pPr>
        <w:pStyle w:val="afd"/>
        <w:rPr>
          <w:rtl/>
        </w:rPr>
      </w:pPr>
      <w:bookmarkStart w:id="3100" w:name="_Toc10713165"/>
      <w:bookmarkStart w:id="3101" w:name="_Toc9934832"/>
      <w:bookmarkStart w:id="3102" w:name="_Toc9936400"/>
      <w:bookmarkStart w:id="3103" w:name="_Toc9936421"/>
      <w:bookmarkStart w:id="3104" w:name="_Toc10061658"/>
      <w:r w:rsidRPr="0050146A">
        <w:rPr>
          <w:rFonts w:hint="cs"/>
          <w:rtl/>
        </w:rPr>
        <w:t>בדין כחל שבישלו בפנ"ע או עם בשר אחר</w:t>
      </w:r>
      <w:bookmarkEnd w:id="3100"/>
    </w:p>
    <w:p w:rsidR="003A445B" w:rsidRPr="0050146A" w:rsidRDefault="003A445B" w:rsidP="003A445B">
      <w:pPr>
        <w:pStyle w:val="1"/>
        <w:rPr>
          <w:rtl/>
        </w:rPr>
      </w:pPr>
      <w:bookmarkStart w:id="3105" w:name="_Toc10713166"/>
      <w:r w:rsidRPr="0050146A">
        <w:rPr>
          <w:rFonts w:hint="cs"/>
          <w:rtl/>
        </w:rPr>
        <w:t>דברי רש"י לקמן דחלב הכחל אסור מדרבנן רק כשפירש</w:t>
      </w:r>
      <w:bookmarkEnd w:id="3105"/>
    </w:p>
    <w:p w:rsidR="003A445B" w:rsidRPr="0050146A" w:rsidRDefault="003A445B" w:rsidP="003A445B">
      <w:pPr>
        <w:pStyle w:val="a2"/>
        <w:rPr>
          <w:rtl/>
        </w:rPr>
      </w:pPr>
      <w:bookmarkStart w:id="3106" w:name="_Toc10625573"/>
      <w:bookmarkStart w:id="3107" w:name="_Toc10665771"/>
      <w:bookmarkStart w:id="3108" w:name="_Toc10713167"/>
      <w:r w:rsidRPr="0050146A">
        <w:rPr>
          <w:rFonts w:hint="cs"/>
          <w:rtl/>
        </w:rPr>
        <w:t>דברי רש"י דכחל שבישלו אסור מדרבנן דהא אף אם יצא לחוץ הוא חלב שחוטה דאסור מדרבנן</w:t>
      </w:r>
      <w:bookmarkEnd w:id="3106"/>
      <w:bookmarkEnd w:id="3107"/>
      <w:bookmarkEnd w:id="3108"/>
      <w:r w:rsidRPr="0050146A">
        <w:rPr>
          <w:rFonts w:hint="cs"/>
          <w:rtl/>
        </w:rPr>
        <w:t xml:space="preserve"> </w:t>
      </w:r>
    </w:p>
    <w:p w:rsidR="003A445B" w:rsidRPr="0050146A" w:rsidRDefault="003A445B" w:rsidP="009F44AF">
      <w:pPr>
        <w:pStyle w:val="a"/>
        <w:numPr>
          <w:ilvl w:val="0"/>
          <w:numId w:val="8"/>
        </w:numPr>
        <w:rPr>
          <w:rtl/>
        </w:rPr>
      </w:pPr>
      <w:r w:rsidRPr="0050146A">
        <w:rPr>
          <w:rFonts w:hint="cs"/>
          <w:rtl/>
        </w:rPr>
        <w:t xml:space="preserve">איתא בגמ' לקמן </w:t>
      </w:r>
      <w:r w:rsidRPr="009F44AF">
        <w:rPr>
          <w:rStyle w:val="af6"/>
          <w:rFonts w:eastAsia="Guttman Hodes" w:hint="cs"/>
          <w:rtl/>
        </w:rPr>
        <w:t>(קט:)</w:t>
      </w:r>
      <w:r w:rsidRPr="0050146A">
        <w:rPr>
          <w:rFonts w:hint="cs"/>
          <w:rtl/>
        </w:rPr>
        <w:t xml:space="preserve"> דבכדי להתיר את הכחל, צריך לקורעו ולהטיחו בכותל, ובלא קרעו אסור לבשל</w:t>
      </w:r>
      <w:bookmarkStart w:id="3109" w:name="_Toc10625572"/>
      <w:bookmarkStart w:id="3110" w:name="_Toc10665770"/>
      <w:bookmarkStart w:id="3111" w:name="_Toc9934838"/>
      <w:bookmarkStart w:id="3112" w:name="_Toc9936407"/>
      <w:bookmarkStart w:id="3113" w:name="_Toc9936428"/>
      <w:bookmarkStart w:id="3114" w:name="_Toc10061669"/>
      <w:r w:rsidRPr="0050146A">
        <w:rPr>
          <w:rFonts w:hint="cs"/>
          <w:rtl/>
        </w:rPr>
        <w:t xml:space="preserve">ו, אך אמר רב [בל"ק] דאינו עובר עליו, </w:t>
      </w:r>
      <w:bookmarkStart w:id="3115" w:name="_Ref9871618"/>
      <w:bookmarkEnd w:id="3109"/>
      <w:bookmarkEnd w:id="3110"/>
      <w:r w:rsidRPr="0050146A">
        <w:rPr>
          <w:rFonts w:hint="cs"/>
          <w:rtl/>
        </w:rPr>
        <w:t xml:space="preserve">וכתב </w:t>
      </w:r>
      <w:r w:rsidRPr="0050146A">
        <w:rPr>
          <w:rStyle w:val="af8"/>
          <w:rFonts w:hint="cs"/>
          <w:rtl/>
        </w:rPr>
        <w:t xml:space="preserve">רש"י לקמן </w:t>
      </w:r>
      <w:r w:rsidRPr="009F44AF">
        <w:rPr>
          <w:rStyle w:val="af6"/>
          <w:rFonts w:eastAsia="Guttman Hodes" w:hint="cs"/>
          <w:rtl/>
        </w:rPr>
        <w:t>(קט: ד"ה אמר)</w:t>
      </w:r>
      <w:r w:rsidRPr="0050146A">
        <w:rPr>
          <w:rFonts w:hint="cs"/>
          <w:rtl/>
        </w:rPr>
        <w:t xml:space="preserve"> דכחל שבישלו אסור מדרבנן, אבל מדאו' אין בו איסור, דהא אף אם סחט את החלב שבכחל אין בו איסור בשר בחלב, דכל איסור חלב שחוטה הוא מדרבנן.</w:t>
      </w:r>
    </w:p>
    <w:p w:rsidR="003A445B" w:rsidRPr="0050146A" w:rsidRDefault="003A445B" w:rsidP="003A445B">
      <w:pPr>
        <w:pStyle w:val="a2"/>
      </w:pPr>
      <w:bookmarkStart w:id="3116" w:name="_Toc10625574"/>
      <w:bookmarkStart w:id="3117" w:name="_Toc10665772"/>
      <w:bookmarkStart w:id="3118" w:name="_Toc10713168"/>
      <w:r w:rsidRPr="0050146A">
        <w:rPr>
          <w:rFonts w:hint="cs"/>
          <w:rtl/>
        </w:rPr>
        <w:t>דברי רש"י דכל שהחלב עדיין בלוע בכחל ולא פירש ממנו אינו אסור אף מדרבנן</w:t>
      </w:r>
      <w:bookmarkEnd w:id="3116"/>
      <w:bookmarkEnd w:id="3117"/>
      <w:bookmarkEnd w:id="3118"/>
    </w:p>
    <w:p w:rsidR="003A445B" w:rsidRPr="0050146A" w:rsidRDefault="003A445B" w:rsidP="009F44AF">
      <w:pPr>
        <w:pStyle w:val="a"/>
        <w:rPr>
          <w:rtl/>
        </w:rPr>
      </w:pPr>
      <w:r w:rsidRPr="0050146A">
        <w:rPr>
          <w:rFonts w:hint="cs"/>
          <w:rtl/>
        </w:rPr>
        <w:t xml:space="preserve">והוסיף </w:t>
      </w:r>
      <w:r w:rsidRPr="0050146A">
        <w:rPr>
          <w:rStyle w:val="af8"/>
          <w:rFonts w:hint="cs"/>
          <w:rtl/>
        </w:rPr>
        <w:t xml:space="preserve">רש"י לקמן </w:t>
      </w:r>
      <w:r w:rsidRPr="0050146A">
        <w:rPr>
          <w:rFonts w:hint="cs"/>
          <w:rtl/>
        </w:rPr>
        <w:t xml:space="preserve">דכל שלא סחט את אף מדרבנן אין בו איסור, הכחל </w:t>
      </w:r>
      <w:r w:rsidRPr="0050146A">
        <w:rPr>
          <w:rStyle w:val="afa"/>
          <w:rFonts w:hint="cs"/>
          <w:rtl/>
        </w:rPr>
        <w:t>[בדיעבד כשעבר ובישלו],</w:t>
      </w:r>
      <w:r w:rsidRPr="0050146A">
        <w:rPr>
          <w:rFonts w:hint="cs"/>
          <w:rtl/>
        </w:rPr>
        <w:t xml:space="preserve"> כיון שהוא מובלע ולא פירש מהבשר.</w:t>
      </w:r>
      <w:bookmarkEnd w:id="3115"/>
    </w:p>
    <w:p w:rsidR="003A445B" w:rsidRPr="0050146A" w:rsidRDefault="003A445B" w:rsidP="003A445B">
      <w:pPr>
        <w:pStyle w:val="a2"/>
        <w:rPr>
          <w:rtl/>
        </w:rPr>
      </w:pPr>
      <w:bookmarkStart w:id="3119" w:name="_Toc10713169"/>
      <w:r w:rsidRPr="0050146A">
        <w:rPr>
          <w:rFonts w:hint="cs"/>
          <w:rtl/>
        </w:rPr>
        <w:t>דברי רש"י לקמן דרק חלב שיצא בחיי הבהמה יש לו שם חלב אבל חלב הבלוע בכחל אינו חלב</w:t>
      </w:r>
      <w:bookmarkEnd w:id="3119"/>
    </w:p>
    <w:p w:rsidR="003A445B" w:rsidRPr="0050146A" w:rsidRDefault="003A445B" w:rsidP="009F44AF">
      <w:pPr>
        <w:pStyle w:val="a"/>
        <w:rPr>
          <w:rtl/>
        </w:rPr>
      </w:pPr>
      <w:bookmarkStart w:id="3120" w:name="_Ref10701975"/>
      <w:r w:rsidRPr="0050146A">
        <w:rPr>
          <w:rFonts w:hint="cs"/>
          <w:rtl/>
        </w:rPr>
        <w:t xml:space="preserve">עו"כ </w:t>
      </w:r>
      <w:r w:rsidRPr="0050146A">
        <w:rPr>
          <w:rStyle w:val="af8"/>
          <w:rFonts w:hint="cs"/>
          <w:rtl/>
        </w:rPr>
        <w:t>רש"י לקמן</w:t>
      </w:r>
      <w:r w:rsidRPr="0050146A">
        <w:rPr>
          <w:rStyle w:val="af6"/>
          <w:rFonts w:eastAsia="Guttman Hodes" w:hint="cs"/>
          <w:rtl/>
        </w:rPr>
        <w:t xml:space="preserve"> (קט: ד"ה זה כנוס)</w:t>
      </w:r>
      <w:r w:rsidRPr="0050146A">
        <w:rPr>
          <w:rFonts w:hint="cs"/>
          <w:rtl/>
        </w:rPr>
        <w:t xml:space="preserve"> דמשיצא החלב מדדי הבהמה, חשיב חלב, והחלב שבכחל לא יצא מדדי הבהמה בחייה, אלא הוא מובלע בבשר, ולכן אינו בכלל חלב.</w:t>
      </w:r>
      <w:bookmarkEnd w:id="3120"/>
      <w:r w:rsidRPr="0050146A">
        <w:rPr>
          <w:rFonts w:hint="cs"/>
          <w:rtl/>
        </w:rPr>
        <w:t xml:space="preserve">  </w:t>
      </w:r>
    </w:p>
    <w:p w:rsidR="003A445B" w:rsidRPr="0050146A" w:rsidRDefault="003A445B" w:rsidP="003A445B">
      <w:pPr>
        <w:pStyle w:val="1"/>
        <w:rPr>
          <w:rtl/>
        </w:rPr>
      </w:pPr>
      <w:bookmarkStart w:id="3121" w:name="_Toc10625577"/>
      <w:bookmarkStart w:id="3122" w:name="_Toc10665775"/>
      <w:bookmarkStart w:id="3123" w:name="_Toc10713170"/>
      <w:bookmarkStart w:id="3124" w:name="_Toc10625575"/>
      <w:bookmarkStart w:id="3125" w:name="_Toc10665773"/>
      <w:r w:rsidRPr="0050146A">
        <w:rPr>
          <w:rFonts w:hint="cs"/>
          <w:rtl/>
        </w:rPr>
        <w:t>דברי התוס' בדעת רש"י דבצלי מותר ובבישלו בקדירה אסור</w:t>
      </w:r>
      <w:bookmarkEnd w:id="3121"/>
      <w:bookmarkEnd w:id="3122"/>
      <w:bookmarkEnd w:id="3123"/>
    </w:p>
    <w:p w:rsidR="003A445B" w:rsidRPr="0050146A" w:rsidRDefault="003A445B" w:rsidP="003A445B">
      <w:pPr>
        <w:pStyle w:val="a2"/>
        <w:rPr>
          <w:rtl/>
        </w:rPr>
      </w:pPr>
      <w:bookmarkStart w:id="3126" w:name="_Toc10625578"/>
      <w:bookmarkStart w:id="3127" w:name="_Toc10665776"/>
      <w:bookmarkStart w:id="3128" w:name="_Toc10713171"/>
      <w:r w:rsidRPr="0050146A">
        <w:rPr>
          <w:rFonts w:hint="cs"/>
          <w:rtl/>
        </w:rPr>
        <w:t>דברי התוס' דלרש"י ההיתר בבישל כחל בפנ"ע הוא רק בצלי אבל בקדירה שנפלט החלב אסור</w:t>
      </w:r>
      <w:bookmarkEnd w:id="3126"/>
      <w:bookmarkEnd w:id="3127"/>
      <w:bookmarkEnd w:id="3128"/>
    </w:p>
    <w:p w:rsidR="003A445B" w:rsidRPr="0050146A" w:rsidRDefault="003A445B" w:rsidP="009F44AF">
      <w:pPr>
        <w:pStyle w:val="a"/>
        <w:rPr>
          <w:rtl/>
        </w:rPr>
      </w:pPr>
      <w:bookmarkStart w:id="3129" w:name="_Ref10625420"/>
      <w:r w:rsidRPr="0050146A">
        <w:rPr>
          <w:rStyle w:val="af8"/>
          <w:rFonts w:hint="cs"/>
          <w:rtl/>
        </w:rPr>
        <w:t>ובתוס' לקמן</w:t>
      </w:r>
      <w:r w:rsidRPr="0050146A">
        <w:rPr>
          <w:rFonts w:hint="cs"/>
          <w:rtl/>
        </w:rPr>
        <w:t xml:space="preserve"> </w:t>
      </w:r>
      <w:r w:rsidRPr="0050146A">
        <w:rPr>
          <w:rStyle w:val="af6"/>
          <w:rFonts w:eastAsia="Guttman Hodes" w:hint="cs"/>
          <w:rtl/>
        </w:rPr>
        <w:t>(קט: ד"ה אינו, וד"ה ההוא)</w:t>
      </w:r>
      <w:r w:rsidRPr="0050146A">
        <w:rPr>
          <w:rFonts w:hint="cs"/>
          <w:rtl/>
        </w:rPr>
        <w:t xml:space="preserve"> כתבו דלדעת </w:t>
      </w:r>
      <w:r w:rsidRPr="0050146A">
        <w:rPr>
          <w:rStyle w:val="af8"/>
          <w:rFonts w:hint="cs"/>
          <w:rtl/>
        </w:rPr>
        <w:t>רש"י</w:t>
      </w:r>
      <w:r w:rsidRPr="0050146A">
        <w:rPr>
          <w:rFonts w:hint="cs"/>
          <w:rtl/>
        </w:rPr>
        <w:t xml:space="preserve"> הא דאיתא בגמ' לקמן </w:t>
      </w:r>
      <w:r w:rsidRPr="0050146A">
        <w:rPr>
          <w:rStyle w:val="af6"/>
          <w:rFonts w:eastAsia="Guttman Hodes" w:hint="cs"/>
          <w:rtl/>
        </w:rPr>
        <w:t>(קט:)</w:t>
      </w:r>
      <w:r w:rsidRPr="0050146A">
        <w:rPr>
          <w:rFonts w:hint="cs"/>
          <w:rtl/>
        </w:rPr>
        <w:t xml:space="preserve"> דהכחל מותר כשבישלו בפנ"ע, היינו דוקא בצלי ולא בקדירה, דבצלי החלב נשאר בלוע בכחל, ואינו אסור אף מדרבנן, אבל בקדירה יצא החלב מן הכחל וחזר ונבלע בו, וכיון שיצא מן הכחל ולא נשאר בלוע בו הוא אסור.</w:t>
      </w:r>
      <w:bookmarkEnd w:id="3129"/>
    </w:p>
    <w:p w:rsidR="003A445B" w:rsidRPr="0050146A" w:rsidRDefault="003A445B" w:rsidP="003A445B">
      <w:pPr>
        <w:pStyle w:val="a2"/>
      </w:pPr>
      <w:bookmarkStart w:id="3130" w:name="_Toc10625579"/>
      <w:bookmarkStart w:id="3131" w:name="_Toc10665777"/>
      <w:bookmarkStart w:id="3132" w:name="_Toc10713172"/>
      <w:r w:rsidRPr="0050146A">
        <w:rPr>
          <w:rFonts w:hint="cs"/>
          <w:rtl/>
        </w:rPr>
        <w:t>דברי התוס' דלרש"י בבישלו בפנ"ע עם מים שיש בהם שישים כנגדו נתבטל החלב והכחל מותר</w:t>
      </w:r>
      <w:bookmarkEnd w:id="3130"/>
      <w:bookmarkEnd w:id="3131"/>
      <w:bookmarkEnd w:id="3132"/>
    </w:p>
    <w:p w:rsidR="003A445B" w:rsidRPr="0050146A" w:rsidRDefault="003A445B" w:rsidP="009F44AF">
      <w:pPr>
        <w:pStyle w:val="a"/>
        <w:rPr>
          <w:rtl/>
        </w:rPr>
      </w:pPr>
      <w:r w:rsidRPr="0050146A">
        <w:rPr>
          <w:rFonts w:hint="cs"/>
          <w:rtl/>
        </w:rPr>
        <w:t xml:space="preserve">אך כתבו </w:t>
      </w:r>
      <w:r w:rsidRPr="0050146A">
        <w:rPr>
          <w:rStyle w:val="af8"/>
          <w:rFonts w:hint="cs"/>
          <w:rtl/>
        </w:rPr>
        <w:t>התוס'</w:t>
      </w:r>
      <w:r w:rsidRPr="0050146A">
        <w:rPr>
          <w:rFonts w:hint="cs"/>
          <w:rtl/>
        </w:rPr>
        <w:t xml:space="preserve"> דאף לדעת </w:t>
      </w:r>
      <w:r w:rsidRPr="0050146A">
        <w:rPr>
          <w:rStyle w:val="af8"/>
          <w:rFonts w:hint="cs"/>
          <w:rtl/>
        </w:rPr>
        <w:t>רש"י</w:t>
      </w:r>
      <w:r w:rsidRPr="0050146A">
        <w:rPr>
          <w:rFonts w:hint="cs"/>
          <w:rtl/>
        </w:rPr>
        <w:t xml:space="preserve"> אם בישל את הכחל בפנ"ע, עם מים שיש בהם שישים כנגדו, דהכחל אינו אסור, דאף שהחלב נפלט מהכחל, מ"מ הוא התבטל במים, אבל כשבישלו עם בשר אחר, אסור כיון שטעם הבשר שבקדירה נבלע בחלב שבכחל</w:t>
      </w:r>
      <w:r w:rsidRPr="0050146A">
        <w:rPr>
          <w:rStyle w:val="af0"/>
          <w:rtl/>
        </w:rPr>
        <w:footnoteReference w:id="16"/>
      </w:r>
      <w:r w:rsidRPr="0050146A">
        <w:rPr>
          <w:rFonts w:hint="cs"/>
          <w:rtl/>
        </w:rPr>
        <w:t>.</w:t>
      </w:r>
    </w:p>
    <w:p w:rsidR="003A445B" w:rsidRPr="0050146A" w:rsidRDefault="003A445B" w:rsidP="003A445B">
      <w:pPr>
        <w:pStyle w:val="1"/>
        <w:rPr>
          <w:rtl/>
        </w:rPr>
      </w:pPr>
      <w:bookmarkStart w:id="3133" w:name="_Toc10713173"/>
      <w:r w:rsidRPr="0050146A">
        <w:rPr>
          <w:rFonts w:hint="cs"/>
          <w:rtl/>
        </w:rPr>
        <w:t>ביאור היד יהודה ברש"י דלא גזרו על חלב שחוטה כשהוא בלוע</w:t>
      </w:r>
      <w:bookmarkEnd w:id="3124"/>
      <w:bookmarkEnd w:id="3125"/>
      <w:bookmarkEnd w:id="3133"/>
    </w:p>
    <w:p w:rsidR="003A445B" w:rsidRPr="0050146A" w:rsidRDefault="003A445B" w:rsidP="003A445B">
      <w:pPr>
        <w:pStyle w:val="a2"/>
      </w:pPr>
      <w:bookmarkStart w:id="3134" w:name="_Toc10625576"/>
      <w:bookmarkStart w:id="3135" w:name="_Toc10665774"/>
      <w:bookmarkStart w:id="3136" w:name="_Toc10713174"/>
      <w:r w:rsidRPr="0050146A">
        <w:rPr>
          <w:rFonts w:hint="cs"/>
          <w:rtl/>
        </w:rPr>
        <w:t>דברי היד יהודה ברש"י דרבנן לא גזרו על חלב בלוע לענין בשר החל עצמו כיון שהחלב בכלל הכחל</w:t>
      </w:r>
      <w:bookmarkEnd w:id="3134"/>
      <w:bookmarkEnd w:id="3135"/>
      <w:bookmarkEnd w:id="3136"/>
    </w:p>
    <w:p w:rsidR="003A445B" w:rsidRPr="0050146A" w:rsidRDefault="003A445B" w:rsidP="009F44AF">
      <w:pPr>
        <w:pStyle w:val="a"/>
        <w:rPr>
          <w:rtl/>
        </w:rPr>
      </w:pPr>
      <w:bookmarkStart w:id="3137" w:name="_Ref10493062"/>
      <w:bookmarkStart w:id="3138" w:name="_Ref10565486"/>
      <w:r w:rsidRPr="0050146A">
        <w:rPr>
          <w:rFonts w:hint="cs"/>
          <w:rtl/>
        </w:rPr>
        <w:t xml:space="preserve">כתב </w:t>
      </w:r>
      <w:r w:rsidRPr="0050146A">
        <w:rPr>
          <w:rStyle w:val="af8"/>
          <w:rFonts w:hint="cs"/>
          <w:rtl/>
        </w:rPr>
        <w:t>היד יהודה</w:t>
      </w:r>
      <w:r w:rsidRPr="0050146A">
        <w:rPr>
          <w:rFonts w:hint="cs"/>
          <w:rtl/>
        </w:rPr>
        <w:t xml:space="preserve"> </w:t>
      </w:r>
      <w:r w:rsidRPr="0050146A">
        <w:rPr>
          <w:rStyle w:val="af6"/>
          <w:rFonts w:eastAsia="Guttman Hodes" w:hint="cs"/>
          <w:rtl/>
        </w:rPr>
        <w:t>(סי' צ' ריש סק"א)</w:t>
      </w:r>
      <w:r w:rsidRPr="0050146A">
        <w:rPr>
          <w:rFonts w:hint="cs"/>
          <w:rtl/>
        </w:rPr>
        <w:t xml:space="preserve"> דדעת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Ref9871618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דכ"ז שהחלב בלוע בכחל, אינו בכלל חלב, ולאחר שיצא הוא בכלל חלב, כיון דאיסורו הוא מדרבנן כדין חלב שחוטה, וכ"מ דגזרו רבנן הוא רק כשיצא החלב מהכחל, וכתב </w:t>
      </w:r>
      <w:r w:rsidRPr="0050146A">
        <w:rPr>
          <w:rStyle w:val="af8"/>
          <w:rFonts w:hint="cs"/>
          <w:rtl/>
        </w:rPr>
        <w:t>היד יהודה</w:t>
      </w:r>
      <w:r w:rsidRPr="0050146A">
        <w:rPr>
          <w:rFonts w:hint="cs"/>
          <w:rtl/>
        </w:rPr>
        <w:t xml:space="preserve"> דכן מבואר בדברי </w:t>
      </w:r>
      <w:r w:rsidRPr="0050146A">
        <w:rPr>
          <w:rStyle w:val="af8"/>
          <w:rFonts w:hint="cs"/>
          <w:rtl/>
        </w:rPr>
        <w:t>רש"י לקמן</w:t>
      </w:r>
      <w:bookmarkEnd w:id="3137"/>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Ref10701975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ג)</w:t>
      </w:r>
      <w:r w:rsidRPr="0050146A">
        <w:rPr>
          <w:rStyle w:val="af6"/>
          <w:rFonts w:eastAsia="Guttman Hodes"/>
          <w:rtl/>
        </w:rPr>
        <w:fldChar w:fldCharType="end"/>
      </w:r>
      <w:r w:rsidRPr="0050146A">
        <w:rPr>
          <w:rFonts w:hint="cs"/>
          <w:rtl/>
        </w:rPr>
        <w:t xml:space="preserve">, </w:t>
      </w:r>
      <w:bookmarkStart w:id="3139" w:name="_Ref10026817"/>
      <w:r w:rsidRPr="0050146A">
        <w:rPr>
          <w:rFonts w:hint="cs"/>
          <w:rtl/>
        </w:rPr>
        <w:t xml:space="preserve">אך כתב </w:t>
      </w:r>
      <w:r w:rsidRPr="0050146A">
        <w:rPr>
          <w:rStyle w:val="af8"/>
          <w:rFonts w:hint="cs"/>
          <w:rtl/>
        </w:rPr>
        <w:t>היד יהודה</w:t>
      </w:r>
      <w:r w:rsidRPr="0050146A">
        <w:rPr>
          <w:rFonts w:hint="cs"/>
          <w:rtl/>
        </w:rPr>
        <w:t xml:space="preserve"> דאף דהחלב בלוע בכחל אינו בכלל חלב, מ"מ זהו דוקא לענין בשר הכחל עצמו, דכיון שהחלב הוא בכלל הבשר </w:t>
      </w:r>
      <w:r w:rsidRPr="0050146A">
        <w:rPr>
          <w:rFonts w:hint="cs"/>
          <w:rtl/>
        </w:rPr>
        <w:t>של הכחל לא גזרו ביה רבנן</w:t>
      </w:r>
      <w:bookmarkEnd w:id="3138"/>
      <w:r w:rsidRPr="0050146A">
        <w:rPr>
          <w:rFonts w:hint="cs"/>
          <w:rtl/>
        </w:rPr>
        <w:t xml:space="preserve">, אבל כשנתבשל עם בשר אחר בקדירה, כתב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Ref10565634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0146A">
        <w:rPr>
          <w:rStyle w:val="af6"/>
          <w:rFonts w:eastAsia="Guttman Hodes"/>
          <w:rtl/>
        </w:rPr>
        <w:fldChar w:fldCharType="end"/>
      </w:r>
      <w:r w:rsidRPr="0050146A">
        <w:rPr>
          <w:rFonts w:hint="cs"/>
          <w:rtl/>
        </w:rPr>
        <w:t xml:space="preserve"> דגזרו עליו אעפ"י שהוא עדיין בלוע בכחל.</w:t>
      </w:r>
      <w:bookmarkEnd w:id="3139"/>
    </w:p>
    <w:p w:rsidR="003A445B" w:rsidRPr="0050146A" w:rsidRDefault="003A445B" w:rsidP="003A445B">
      <w:pPr>
        <w:pStyle w:val="1"/>
        <w:rPr>
          <w:rtl/>
        </w:rPr>
      </w:pPr>
      <w:bookmarkStart w:id="3140" w:name="_Toc10625580"/>
      <w:bookmarkStart w:id="3141" w:name="_Toc10665778"/>
      <w:bookmarkStart w:id="3142" w:name="_Toc10713175"/>
      <w:r w:rsidRPr="0050146A">
        <w:rPr>
          <w:rFonts w:hint="cs"/>
          <w:rtl/>
        </w:rPr>
        <w:t>דברי התוס' לקמן דבבישלו עם בשר משתנה טעם החלב שבכחל</w:t>
      </w:r>
      <w:bookmarkEnd w:id="3140"/>
      <w:bookmarkEnd w:id="3141"/>
      <w:bookmarkEnd w:id="3142"/>
    </w:p>
    <w:p w:rsidR="003A445B" w:rsidRPr="0050146A" w:rsidRDefault="003A445B" w:rsidP="003A445B">
      <w:pPr>
        <w:pStyle w:val="a2"/>
        <w:rPr>
          <w:rtl/>
        </w:rPr>
      </w:pPr>
      <w:bookmarkStart w:id="3143" w:name="_Toc10713176"/>
      <w:r w:rsidRPr="0050146A">
        <w:rPr>
          <w:rFonts w:hint="cs"/>
          <w:rtl/>
        </w:rPr>
        <w:t>דברי התוס' לקמן דבבישלו בקדירה עם בשר אחר בלא קריעה אסור מדרבנן אטו בשר בחלב גמור</w:t>
      </w:r>
      <w:bookmarkEnd w:id="3143"/>
    </w:p>
    <w:p w:rsidR="003A445B" w:rsidRPr="0050146A" w:rsidRDefault="003A445B" w:rsidP="009F44AF">
      <w:pPr>
        <w:pStyle w:val="a"/>
        <w:rPr>
          <w:rStyle w:val="afa"/>
          <w:rtl/>
        </w:rPr>
      </w:pPr>
      <w:bookmarkStart w:id="3144" w:name="_Toc10625581"/>
      <w:bookmarkStart w:id="3145" w:name="_Toc10665779"/>
      <w:r w:rsidRPr="0050146A">
        <w:rPr>
          <w:rStyle w:val="af8"/>
          <w:rFonts w:hint="cs"/>
          <w:rtl/>
        </w:rPr>
        <w:t>והתוס' לקמן</w:t>
      </w:r>
      <w:r w:rsidRPr="0050146A">
        <w:rPr>
          <w:rStyle w:val="af6"/>
          <w:rFonts w:eastAsia="Guttman Hodes" w:hint="cs"/>
          <w:rtl/>
        </w:rPr>
        <w:t xml:space="preserve"> (קט: ד"ה ההוא) </w:t>
      </w:r>
      <w:r w:rsidRPr="0050146A">
        <w:rPr>
          <w:rStyle w:val="af8"/>
          <w:rFonts w:hint="cs"/>
          <w:rtl/>
        </w:rPr>
        <w:t>והתוס' הרא"ש לקמן</w:t>
      </w:r>
      <w:r w:rsidRPr="0050146A">
        <w:rPr>
          <w:rFonts w:hint="cs"/>
          <w:rtl/>
        </w:rPr>
        <w:t xml:space="preserve"> </w:t>
      </w:r>
      <w:r w:rsidRPr="0050146A">
        <w:rPr>
          <w:rStyle w:val="af6"/>
          <w:rFonts w:eastAsia="Guttman Hodes" w:hint="cs"/>
          <w:rtl/>
        </w:rPr>
        <w:t>(קט: ד"ה ההוא)</w:t>
      </w:r>
      <w:r w:rsidRPr="0050146A">
        <w:rPr>
          <w:rFonts w:hint="cs"/>
          <w:rtl/>
        </w:rPr>
        <w:t xml:space="preserve"> כתבו דהא דצריך לקורוע את הכחל שתי וערב ולהטיחו בכותל, היינו דוקא בבישלו בקדירה עם בשר אחר, דכיון דכחל שחוטה אינו דאו', וגזור בו רבנן כדי שלא יבואו לאכול בשר בחלב גמור, לכן כשהוציא מהכחל את כל החלב שאפשר להוציא א"צ לגזור בו איסור, ואם לא קרעו ועבר ובישלו בקדירה עם בשר, הכחל אסור כדאיתא בסוגיין. </w:t>
      </w:r>
      <w:r w:rsidRPr="0050146A">
        <w:rPr>
          <w:rStyle w:val="afa"/>
          <w:rFonts w:hint="cs"/>
          <w:rtl/>
        </w:rPr>
        <w:t>[ושאר הבשר שבקדירה מותר בשישים].</w:t>
      </w:r>
    </w:p>
    <w:p w:rsidR="003A445B" w:rsidRPr="0050146A" w:rsidRDefault="003A445B" w:rsidP="003A445B">
      <w:pPr>
        <w:pStyle w:val="a2"/>
      </w:pPr>
      <w:bookmarkStart w:id="3146" w:name="_Toc10713177"/>
      <w:r w:rsidRPr="0050146A">
        <w:rPr>
          <w:rFonts w:hint="cs"/>
          <w:rtl/>
        </w:rPr>
        <w:t>דברי התוס' דבקרעו קצת קודם מותר לכתחילה לבשלו בפנ"ע ובלא קרעו בדיעבד הכחל מותר</w:t>
      </w:r>
      <w:bookmarkEnd w:id="3146"/>
      <w:r w:rsidRPr="0050146A">
        <w:rPr>
          <w:rFonts w:hint="cs"/>
          <w:rtl/>
        </w:rPr>
        <w:t xml:space="preserve"> </w:t>
      </w:r>
    </w:p>
    <w:p w:rsidR="003A445B" w:rsidRPr="0050146A" w:rsidRDefault="003A445B" w:rsidP="009F44AF">
      <w:pPr>
        <w:pStyle w:val="a"/>
        <w:rPr>
          <w:rtl/>
        </w:rPr>
      </w:pPr>
      <w:r w:rsidRPr="0050146A">
        <w:rPr>
          <w:rFonts w:hint="cs"/>
          <w:rtl/>
        </w:rPr>
        <w:t xml:space="preserve"> אבל כשבא לבשלו בפנ"ע בלא בשר אחר קדירה או בצלי, כתבו</w:t>
      </w:r>
      <w:r w:rsidRPr="0050146A">
        <w:rPr>
          <w:rStyle w:val="af8"/>
          <w:rFonts w:hint="cs"/>
          <w:rtl/>
        </w:rPr>
        <w:t xml:space="preserve"> התוס'</w:t>
      </w:r>
      <w:r w:rsidRPr="0050146A">
        <w:rPr>
          <w:rFonts w:hint="cs"/>
          <w:rtl/>
        </w:rPr>
        <w:t xml:space="preserve"> </w:t>
      </w:r>
      <w:r w:rsidRPr="0050146A">
        <w:rPr>
          <w:rStyle w:val="af8"/>
          <w:rFonts w:hint="cs"/>
          <w:rtl/>
        </w:rPr>
        <w:t>לקמן</w:t>
      </w:r>
      <w:r w:rsidRPr="0050146A">
        <w:rPr>
          <w:rFonts w:hint="cs"/>
          <w:rtl/>
        </w:rPr>
        <w:t xml:space="preserve"> </w:t>
      </w:r>
      <w:r w:rsidRPr="0050146A">
        <w:rPr>
          <w:rStyle w:val="af8"/>
          <w:rFonts w:hint="cs"/>
          <w:rtl/>
        </w:rPr>
        <w:t>והתוס'</w:t>
      </w:r>
      <w:r w:rsidRPr="0050146A">
        <w:rPr>
          <w:rFonts w:hint="cs"/>
          <w:rtl/>
        </w:rPr>
        <w:t xml:space="preserve"> </w:t>
      </w:r>
      <w:r w:rsidRPr="0050146A">
        <w:rPr>
          <w:rStyle w:val="af8"/>
          <w:rFonts w:hint="cs"/>
          <w:rtl/>
        </w:rPr>
        <w:t>הרא"ש</w:t>
      </w:r>
      <w:r w:rsidRPr="0050146A">
        <w:rPr>
          <w:rFonts w:hint="cs"/>
          <w:rtl/>
        </w:rPr>
        <w:t xml:space="preserve"> </w:t>
      </w:r>
      <w:r w:rsidRPr="0050146A">
        <w:rPr>
          <w:rStyle w:val="af8"/>
          <w:rFonts w:hint="cs"/>
          <w:rtl/>
        </w:rPr>
        <w:t>לקמן</w:t>
      </w:r>
      <w:r w:rsidRPr="0050146A">
        <w:rPr>
          <w:rFonts w:hint="cs"/>
          <w:rtl/>
        </w:rPr>
        <w:t xml:space="preserve"> דכשקורעו קצת קודם מותר לכתחילה, אף שלא קרעו שתי וערב, ואם לא קרעו כלל, ועבר ובישלו בפנ"ע מותר בדיעבד, בין בצלי ובין בקדירה, והוסיף </w:t>
      </w:r>
      <w:r w:rsidRPr="0050146A">
        <w:rPr>
          <w:rStyle w:val="af8"/>
          <w:rFonts w:hint="cs"/>
          <w:rtl/>
        </w:rPr>
        <w:t>התוס' הרא"ש לקמן</w:t>
      </w:r>
      <w:r w:rsidRPr="0050146A">
        <w:rPr>
          <w:rFonts w:hint="cs"/>
          <w:rtl/>
        </w:rPr>
        <w:t xml:space="preserve"> דבקרעו קצת מותר בדיעבד, אף בבישלו בקדירה עם בשר אחר.</w:t>
      </w:r>
    </w:p>
    <w:p w:rsidR="003A445B" w:rsidRPr="0050146A" w:rsidRDefault="003A445B" w:rsidP="003A445B">
      <w:pPr>
        <w:pStyle w:val="a2"/>
        <w:rPr>
          <w:rtl/>
        </w:rPr>
      </w:pPr>
      <w:bookmarkStart w:id="3147" w:name="_Toc10713178"/>
      <w:r w:rsidRPr="0050146A">
        <w:rPr>
          <w:rFonts w:hint="cs"/>
          <w:rtl/>
        </w:rPr>
        <w:t>דברי התוס' לקמן דרבנן אסרו כחל שהתבשל עם בשר כיון שטעם הבשר נכנס לחלב שבכחל</w:t>
      </w:r>
      <w:bookmarkEnd w:id="3147"/>
    </w:p>
    <w:p w:rsidR="003A445B" w:rsidRPr="0050146A" w:rsidRDefault="003A445B" w:rsidP="009F44AF">
      <w:pPr>
        <w:pStyle w:val="a"/>
        <w:rPr>
          <w:rtl/>
        </w:rPr>
      </w:pPr>
      <w:r w:rsidRPr="0050146A">
        <w:rPr>
          <w:rFonts w:hint="cs"/>
          <w:rtl/>
        </w:rPr>
        <w:t xml:space="preserve">וביארו </w:t>
      </w:r>
      <w:r w:rsidRPr="0050146A">
        <w:rPr>
          <w:rStyle w:val="af8"/>
          <w:rFonts w:hint="cs"/>
          <w:rtl/>
        </w:rPr>
        <w:t>התוס' לקמן</w:t>
      </w:r>
      <w:r w:rsidRPr="0050146A">
        <w:rPr>
          <w:rStyle w:val="af6"/>
          <w:rFonts w:eastAsia="Guttman Hodes" w:hint="cs"/>
          <w:rtl/>
        </w:rPr>
        <w:t xml:space="preserve"> </w:t>
      </w:r>
      <w:r w:rsidRPr="0050146A">
        <w:rPr>
          <w:rFonts w:hint="cs"/>
          <w:rtl/>
        </w:rPr>
        <w:t>דכשנתבשל הכחל עם בשר אחר, החמירו רבנן ואסרו את הכחל, כיון שהטעם של החלב נכנס לבשר, והוא משנה את הטעם של הבשר של הכחל לטעם של בשר בחלב, אבל כשבישלו בקדירה בפנ"ע וקרעו קצת קודם, התירו אעפ"י שלא קרעו שתי וערב, כיון שהחלב אינו בעין בכחל כמו שהיה קודם לכן.</w:t>
      </w:r>
    </w:p>
    <w:p w:rsidR="003A445B" w:rsidRPr="0050146A" w:rsidRDefault="003A445B" w:rsidP="003A445B">
      <w:pPr>
        <w:pStyle w:val="a2"/>
      </w:pPr>
      <w:bookmarkStart w:id="3148" w:name="_Toc10713179"/>
      <w:r w:rsidRPr="0050146A">
        <w:rPr>
          <w:rFonts w:hint="cs"/>
          <w:rtl/>
        </w:rPr>
        <w:t>דברי התוס' דאף דבבישלו יוצא החלב וחוזר ונבלע בו מ"מ כיון שלא השתנה טעמו לא גזרו בו</w:t>
      </w:r>
      <w:bookmarkEnd w:id="3148"/>
    </w:p>
    <w:p w:rsidR="003A445B" w:rsidRPr="0050146A" w:rsidRDefault="003A445B" w:rsidP="009F44AF">
      <w:pPr>
        <w:pStyle w:val="a"/>
        <w:rPr>
          <w:rtl/>
        </w:rPr>
      </w:pPr>
      <w:r w:rsidRPr="0050146A">
        <w:rPr>
          <w:rFonts w:hint="cs"/>
          <w:rtl/>
        </w:rPr>
        <w:t xml:space="preserve">והוסיפו </w:t>
      </w:r>
      <w:r w:rsidRPr="0050146A">
        <w:rPr>
          <w:rStyle w:val="af8"/>
          <w:rFonts w:hint="cs"/>
          <w:rtl/>
        </w:rPr>
        <w:t>התוס' לקמן</w:t>
      </w:r>
      <w:r w:rsidRPr="0050146A">
        <w:rPr>
          <w:rFonts w:hint="cs"/>
          <w:rtl/>
        </w:rPr>
        <w:t xml:space="preserve"> דאף שבבישלו בפנ"ע בקדירה, החלב נפלט מהכחל וחוזר ונבלע בבשר הכחל, מ"מ לא גזרו בו רבנן, דכיון שלא נתבשל עם בשר אחר ולא השתנה טעמו של הכחל ע"י שבלע את החלב, לא חששו רבנן שיבואו לאכול בשר בחלב ולא אסרו אותו, ולכן אף כשעבר ובישלו אף בלא קריעה כלל מותר בדיעבד. </w:t>
      </w:r>
    </w:p>
    <w:p w:rsidR="003A445B" w:rsidRPr="0050146A" w:rsidRDefault="003A445B" w:rsidP="003A445B">
      <w:pPr>
        <w:pStyle w:val="a2"/>
        <w:rPr>
          <w:rtl/>
        </w:rPr>
      </w:pPr>
      <w:bookmarkStart w:id="3149" w:name="_Toc10625582"/>
      <w:bookmarkStart w:id="3150" w:name="_Toc10665780"/>
      <w:bookmarkStart w:id="3151" w:name="_Toc10713180"/>
      <w:bookmarkEnd w:id="3144"/>
      <w:bookmarkEnd w:id="3145"/>
      <w:r w:rsidRPr="0050146A">
        <w:rPr>
          <w:rFonts w:hint="cs"/>
          <w:rtl/>
        </w:rPr>
        <w:t>דברי התרוה"ד דבבישלו בפנ"ע לא משתנה טעמו וכשנתבשל עם בשר אחר אסור דנשתנה טעמו</w:t>
      </w:r>
      <w:bookmarkEnd w:id="3149"/>
      <w:bookmarkEnd w:id="3150"/>
      <w:bookmarkEnd w:id="3151"/>
    </w:p>
    <w:p w:rsidR="003A445B" w:rsidRPr="0050146A" w:rsidRDefault="003A445B" w:rsidP="009F44AF">
      <w:pPr>
        <w:pStyle w:val="a"/>
        <w:rPr>
          <w:rtl/>
        </w:rPr>
      </w:pPr>
      <w:r w:rsidRPr="0050146A">
        <w:rPr>
          <w:rFonts w:hint="cs"/>
          <w:rtl/>
        </w:rPr>
        <w:t xml:space="preserve">וביאר </w:t>
      </w:r>
      <w:r w:rsidRPr="0050146A">
        <w:rPr>
          <w:rStyle w:val="af8"/>
          <w:rFonts w:hint="cs"/>
          <w:rtl/>
        </w:rPr>
        <w:t xml:space="preserve">התרוה"ד </w:t>
      </w:r>
      <w:r w:rsidRPr="0050146A">
        <w:rPr>
          <w:rStyle w:val="af6"/>
          <w:rFonts w:eastAsia="Guttman Hodes" w:hint="cs"/>
          <w:rtl/>
        </w:rPr>
        <w:t xml:space="preserve">(סי' קפ"ב) </w:t>
      </w:r>
      <w:r w:rsidRPr="0050146A">
        <w:rPr>
          <w:rFonts w:hint="cs"/>
          <w:rtl/>
        </w:rPr>
        <w:t xml:space="preserve">את דברי </w:t>
      </w:r>
      <w:r w:rsidRPr="0050146A">
        <w:rPr>
          <w:rStyle w:val="af8"/>
          <w:rFonts w:hint="cs"/>
          <w:rtl/>
        </w:rPr>
        <w:t xml:space="preserve">התוס' </w:t>
      </w:r>
      <w:r w:rsidRPr="0050146A">
        <w:rPr>
          <w:rFonts w:hint="cs"/>
          <w:rtl/>
        </w:rPr>
        <w:t xml:space="preserve">דהטעם דהחמירו רבנן באיסור כחל כשנתבשל בקדירה עם בשר אחר, ואילו כשבישלו בפנ"ע אינו אסור, הוא דאעפ"י שהבשר של הכחל הוא בשר גמור, מ"מ לא משתנה הטעם של החלב שבכחל ממה שהיה לפני הבישול, דאף הבשר של הכחל יש לו טעם של חלב, ולכן לא גזרו ביה רבנן דלא יבואו להתיר עי"ז בשר בחלב גמור, דהרי כל חלב שחוטה הוא רק מגזירה דרבנן אטו בשר בחלב, אבל כשהתבשל הכחל עם בשר אחר, דהטעם של החלב שבכחל השתנה ע"י הבשר שבקדירה, החמירו בו רבנן יותר, ובדעת </w:t>
      </w:r>
      <w:r w:rsidRPr="0050146A">
        <w:rPr>
          <w:rStyle w:val="af8"/>
          <w:rFonts w:hint="cs"/>
          <w:rtl/>
        </w:rPr>
        <w:t xml:space="preserve">רש"י </w:t>
      </w:r>
      <w:r w:rsidRPr="0050146A">
        <w:rPr>
          <w:rFonts w:hint="cs"/>
          <w:rtl/>
        </w:rPr>
        <w:t xml:space="preserve">כתב </w:t>
      </w:r>
      <w:r w:rsidRPr="0050146A">
        <w:rPr>
          <w:rStyle w:val="af8"/>
          <w:rFonts w:hint="cs"/>
          <w:rtl/>
        </w:rPr>
        <w:t xml:space="preserve">התרוה"ד </w:t>
      </w:r>
      <w:r w:rsidRPr="0050146A">
        <w:rPr>
          <w:rFonts w:hint="cs"/>
          <w:rtl/>
        </w:rPr>
        <w:t>דג"כ ס"ל דיותר חמור בישול כחל בקדירה עם בשר מלבשלו לבדו, דיותר גזרו בבישול בקדירה, כיון שמורגש שהטעם משתנה ע"י הבישול של הכחל עם הבשר.</w:t>
      </w:r>
    </w:p>
    <w:p w:rsidR="003A445B" w:rsidRPr="0050146A" w:rsidRDefault="003A445B" w:rsidP="003A445B">
      <w:pPr>
        <w:pStyle w:val="1"/>
        <w:rPr>
          <w:rtl/>
        </w:rPr>
      </w:pPr>
      <w:bookmarkStart w:id="3152" w:name="_Toc10625583"/>
      <w:bookmarkStart w:id="3153" w:name="_Toc10665781"/>
      <w:bookmarkStart w:id="3154" w:name="_Toc10713181"/>
      <w:r w:rsidRPr="0050146A">
        <w:rPr>
          <w:rFonts w:hint="cs"/>
          <w:rtl/>
        </w:rPr>
        <w:lastRenderedPageBreak/>
        <w:t>ביאור היד יהודה בתוס'</w:t>
      </w:r>
      <w:bookmarkEnd w:id="3152"/>
      <w:bookmarkEnd w:id="3153"/>
      <w:r w:rsidRPr="0050146A">
        <w:rPr>
          <w:rFonts w:hint="cs"/>
          <w:rtl/>
        </w:rPr>
        <w:t xml:space="preserve"> דאין חילוק בין חלב בלוע לחלב שיצא</w:t>
      </w:r>
      <w:bookmarkEnd w:id="3154"/>
    </w:p>
    <w:p w:rsidR="003A445B" w:rsidRPr="0050146A" w:rsidRDefault="003A445B" w:rsidP="003A445B">
      <w:pPr>
        <w:pStyle w:val="a2"/>
      </w:pPr>
      <w:bookmarkStart w:id="3155" w:name="_Toc10625584"/>
      <w:bookmarkStart w:id="3156" w:name="_Toc10665782"/>
      <w:bookmarkStart w:id="3157" w:name="_Toc10713182"/>
      <w:r w:rsidRPr="0050146A">
        <w:rPr>
          <w:rFonts w:hint="cs"/>
          <w:rtl/>
        </w:rPr>
        <w:t>ביאור היד יהודה בתוס' דרבנן גזרו על חלב שחוטה אף כשהוא בלוע בכחל</w:t>
      </w:r>
      <w:bookmarkEnd w:id="3155"/>
      <w:bookmarkEnd w:id="3156"/>
      <w:bookmarkEnd w:id="3157"/>
    </w:p>
    <w:p w:rsidR="003A445B" w:rsidRPr="0050146A" w:rsidRDefault="003A445B" w:rsidP="009F44AF">
      <w:pPr>
        <w:pStyle w:val="a"/>
        <w:rPr>
          <w:rtl/>
        </w:rPr>
      </w:pPr>
      <w:r w:rsidRPr="0050146A">
        <w:rPr>
          <w:rFonts w:hint="cs"/>
          <w:rtl/>
        </w:rPr>
        <w:t xml:space="preserve">וכתב </w:t>
      </w:r>
      <w:r w:rsidRPr="0050146A">
        <w:rPr>
          <w:rStyle w:val="af8"/>
          <w:rFonts w:hint="cs"/>
          <w:rtl/>
        </w:rPr>
        <w:t>היד יהודה</w:t>
      </w:r>
      <w:r w:rsidRPr="0050146A">
        <w:rPr>
          <w:rFonts w:hint="cs"/>
          <w:rtl/>
        </w:rPr>
        <w:t xml:space="preserve"> </w:t>
      </w:r>
      <w:r w:rsidRPr="0050146A">
        <w:rPr>
          <w:rStyle w:val="af6"/>
          <w:rFonts w:eastAsia="Guttman Hodes" w:hint="cs"/>
          <w:rtl/>
        </w:rPr>
        <w:t>(סי' צ"ט סק"א ד"ה אבל התוס')</w:t>
      </w:r>
      <w:r w:rsidRPr="0050146A">
        <w:rPr>
          <w:rFonts w:hint="cs"/>
          <w:rtl/>
        </w:rPr>
        <w:t xml:space="preserve"> דלדעת</w:t>
      </w:r>
      <w:r w:rsidRPr="0050146A">
        <w:rPr>
          <w:rStyle w:val="af8"/>
          <w:rFonts w:hint="cs"/>
          <w:rtl/>
        </w:rPr>
        <w:t xml:space="preserve"> התוס' </w:t>
      </w:r>
      <w:r w:rsidRPr="0050146A">
        <w:rPr>
          <w:rFonts w:hint="cs"/>
          <w:rtl/>
        </w:rPr>
        <w:t xml:space="preserve">אין נ"מ בדין החלב של הכחל, אם הוא עדיין בלוע בכחל או שפירש ממנו, </w:t>
      </w:r>
      <w:r w:rsidRPr="0050146A">
        <w:rPr>
          <w:rStyle w:val="afa"/>
          <w:rFonts w:hint="cs"/>
          <w:rtl/>
        </w:rPr>
        <w:t xml:space="preserve">[כדביאר </w:t>
      </w:r>
      <w:r w:rsidRPr="0050146A">
        <w:rPr>
          <w:rStyle w:val="affa"/>
          <w:rFonts w:hint="cs"/>
          <w:rtl/>
        </w:rPr>
        <w:t>היד יהודה</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Ref10493062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ו)</w:t>
      </w:r>
      <w:r w:rsidRPr="0050146A">
        <w:rPr>
          <w:rStyle w:val="aff6"/>
          <w:rtl/>
        </w:rPr>
        <w:fldChar w:fldCharType="end"/>
      </w:r>
      <w:r w:rsidRPr="0050146A">
        <w:rPr>
          <w:rStyle w:val="aff6"/>
          <w:rFonts w:hint="cs"/>
          <w:rtl/>
        </w:rPr>
        <w:t xml:space="preserve"> </w:t>
      </w:r>
      <w:r w:rsidRPr="0050146A">
        <w:rPr>
          <w:rStyle w:val="afa"/>
          <w:rFonts w:hint="cs"/>
          <w:rtl/>
        </w:rPr>
        <w:t xml:space="preserve">בדעת </w:t>
      </w:r>
      <w:r w:rsidRPr="0050146A">
        <w:rPr>
          <w:rStyle w:val="affa"/>
          <w:rFonts w:hint="cs"/>
          <w:rtl/>
        </w:rPr>
        <w:t>רש"י</w:t>
      </w:r>
      <w:r w:rsidRPr="0050146A">
        <w:rPr>
          <w:rStyle w:val="afa"/>
          <w:rFonts w:hint="cs"/>
          <w:rtl/>
        </w:rPr>
        <w:t>],</w:t>
      </w:r>
      <w:r w:rsidRPr="0050146A">
        <w:rPr>
          <w:rFonts w:hint="cs"/>
          <w:rtl/>
        </w:rPr>
        <w:t xml:space="preserve"> דס"ל </w:t>
      </w:r>
      <w:r w:rsidRPr="0050146A">
        <w:rPr>
          <w:rStyle w:val="af8"/>
          <w:rFonts w:hint="cs"/>
          <w:rtl/>
        </w:rPr>
        <w:t xml:space="preserve">להתוס' </w:t>
      </w:r>
      <w:r w:rsidRPr="0050146A">
        <w:rPr>
          <w:rFonts w:hint="cs"/>
          <w:rtl/>
        </w:rPr>
        <w:t>דכיון שגזרו רבנן על חלב שחוטה, גזרו אף כשהחלב בלוע בכחל.</w:t>
      </w:r>
    </w:p>
    <w:p w:rsidR="003A445B" w:rsidRPr="0050146A" w:rsidRDefault="003A445B" w:rsidP="003A445B">
      <w:pPr>
        <w:pStyle w:val="a2"/>
        <w:rPr>
          <w:rtl/>
        </w:rPr>
      </w:pPr>
      <w:bookmarkStart w:id="3158" w:name="_Toc10625585"/>
      <w:bookmarkStart w:id="3159" w:name="_Toc10665783"/>
      <w:bookmarkStart w:id="3160" w:name="_Toc10713183"/>
      <w:r w:rsidRPr="0050146A">
        <w:rPr>
          <w:rFonts w:hint="cs"/>
          <w:rtl/>
        </w:rPr>
        <w:t>ביאור היד יהודה בתוס' דבבישלו בפנ"ע לא משתנה טעמו דהיה לו טעם חלב ולא גזרו בו</w:t>
      </w:r>
      <w:bookmarkEnd w:id="3158"/>
      <w:bookmarkEnd w:id="3159"/>
      <w:bookmarkEnd w:id="3160"/>
    </w:p>
    <w:p w:rsidR="003A445B" w:rsidRPr="0050146A" w:rsidRDefault="003A445B" w:rsidP="009F44AF">
      <w:pPr>
        <w:pStyle w:val="a"/>
        <w:rPr>
          <w:rStyle w:val="afa"/>
          <w:rtl/>
        </w:rPr>
      </w:pPr>
      <w:r w:rsidRPr="0050146A">
        <w:rPr>
          <w:rFonts w:hint="cs"/>
          <w:rtl/>
        </w:rPr>
        <w:t xml:space="preserve">וביאר </w:t>
      </w:r>
      <w:r w:rsidRPr="0050146A">
        <w:rPr>
          <w:rStyle w:val="af8"/>
          <w:rFonts w:hint="cs"/>
          <w:rtl/>
        </w:rPr>
        <w:t xml:space="preserve">היד יהודה </w:t>
      </w:r>
      <w:r w:rsidRPr="0050146A">
        <w:rPr>
          <w:rFonts w:hint="cs"/>
          <w:rtl/>
        </w:rPr>
        <w:t xml:space="preserve">דלדעת </w:t>
      </w:r>
      <w:r w:rsidRPr="0050146A">
        <w:rPr>
          <w:rStyle w:val="af8"/>
          <w:rFonts w:hint="cs"/>
          <w:rtl/>
        </w:rPr>
        <w:t xml:space="preserve">התוס' </w:t>
      </w:r>
      <w:r w:rsidRPr="0050146A">
        <w:rPr>
          <w:rFonts w:hint="cs"/>
          <w:rtl/>
        </w:rPr>
        <w:t xml:space="preserve">הא דגזרו רק כשבישל את הכחל עם בשר אחר, ובבישלו בפנ"ע לא גזור בו, הוא כיון שיש כבר בכחל טעם של חלב, וכשמבשלו לא משתנה טעמו, דאינו מקבל יותר טעם מהחלב, לכן לא אסרוהו רבנן, אבל כשבישל את הכחל עם בשר אחר, דהטעם של הבשר שבקדירה משנה את טעם החלב שבכחל, גזרו רבנן שהחלב שבכחל יהיה אסור, אטו בשר בחלב. </w:t>
      </w:r>
      <w:r w:rsidRPr="0050146A">
        <w:rPr>
          <w:rStyle w:val="afa"/>
          <w:rFonts w:hint="cs"/>
          <w:rtl/>
        </w:rPr>
        <w:t>[אעפ"י שהוא כבר חלב שחוטה, שכל איסור בשר בחלב בו, הוא מגזירה אטו חלב בהמה חיה].</w:t>
      </w:r>
    </w:p>
    <w:p w:rsidR="003A445B" w:rsidRPr="0050146A" w:rsidRDefault="003A445B" w:rsidP="003A445B">
      <w:pPr>
        <w:pStyle w:val="a2"/>
        <w:rPr>
          <w:rtl/>
        </w:rPr>
      </w:pPr>
      <w:bookmarkStart w:id="3161" w:name="_Toc10625586"/>
      <w:bookmarkStart w:id="3162" w:name="_Toc10665784"/>
      <w:bookmarkStart w:id="3163" w:name="_Toc10713184"/>
      <w:r w:rsidRPr="0050146A">
        <w:rPr>
          <w:rFonts w:hint="cs"/>
          <w:rtl/>
        </w:rPr>
        <w:t>דברי היד דבבישלו עם בשר אחר נשתנה טעם החלב ע"י הבשר ולכן גזרו בו אטו בשר בחלב</w:t>
      </w:r>
      <w:bookmarkEnd w:id="3161"/>
      <w:bookmarkEnd w:id="3162"/>
      <w:bookmarkEnd w:id="3163"/>
    </w:p>
    <w:p w:rsidR="003A445B" w:rsidRPr="0050146A" w:rsidRDefault="003A445B" w:rsidP="009F44AF">
      <w:pPr>
        <w:pStyle w:val="a"/>
        <w:rPr>
          <w:rStyle w:val="afa"/>
          <w:rtl/>
        </w:rPr>
      </w:pPr>
      <w:bookmarkStart w:id="3164" w:name="_Ref10574852"/>
      <w:r w:rsidRPr="0050146A">
        <w:rPr>
          <w:rFonts w:hint="cs"/>
          <w:rtl/>
        </w:rPr>
        <w:t xml:space="preserve">והא דבבישלו עם בשר אחר הכחל עצמו אסור, ביאר </w:t>
      </w:r>
      <w:r w:rsidRPr="0050146A">
        <w:rPr>
          <w:rStyle w:val="af8"/>
          <w:rFonts w:hint="cs"/>
          <w:rtl/>
        </w:rPr>
        <w:t xml:space="preserve">היד יהודה </w:t>
      </w:r>
      <w:r w:rsidRPr="0050146A">
        <w:rPr>
          <w:rFonts w:hint="cs"/>
          <w:rtl/>
        </w:rPr>
        <w:t xml:space="preserve">בדעת </w:t>
      </w:r>
      <w:r w:rsidRPr="0050146A">
        <w:rPr>
          <w:rStyle w:val="af8"/>
          <w:rFonts w:hint="cs"/>
          <w:rtl/>
        </w:rPr>
        <w:t>התוס'</w:t>
      </w:r>
      <w:r w:rsidRPr="0050146A">
        <w:rPr>
          <w:rFonts w:hint="cs"/>
          <w:rtl/>
        </w:rPr>
        <w:t xml:space="preserve"> דאף כשיש שישים בבשר כנגד החלב, מ"מ נכנס הטעם של הבשר שבקדירה לתוך הכחל, ובטעם של הבשר הזה לא היה טעם חלב, ואחר שהוא נכנס לכחל יש בו טעם חלב, ולכן גזרו בו, אטו בשר בחלב, ואחר שנאסר אינו חוזר להיתרו, אף כשנפלט כל החלב לקדירה ונתבטל בשישים, כדכתבו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Ref10574770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50146A">
        <w:rPr>
          <w:rStyle w:val="af6"/>
          <w:rFonts w:eastAsia="Guttman Hodes"/>
          <w:rtl/>
        </w:rPr>
        <w:fldChar w:fldCharType="end"/>
      </w:r>
      <w:r w:rsidRPr="0050146A">
        <w:rPr>
          <w:rFonts w:hint="cs"/>
          <w:rtl/>
        </w:rPr>
        <w:t xml:space="preserve">. </w:t>
      </w:r>
      <w:r w:rsidRPr="0050146A">
        <w:rPr>
          <w:rStyle w:val="afa"/>
          <w:rFonts w:hint="cs"/>
          <w:rtl/>
        </w:rPr>
        <w:t xml:space="preserve">[וע"ע במה שהגיה </w:t>
      </w:r>
      <w:r w:rsidRPr="0050146A">
        <w:rPr>
          <w:rStyle w:val="affa"/>
          <w:rFonts w:hint="cs"/>
          <w:rtl/>
        </w:rPr>
        <w:t>המהר"ם</w:t>
      </w:r>
      <w:r w:rsidRPr="0050146A">
        <w:rPr>
          <w:rStyle w:val="afa"/>
          <w:rFonts w:hint="cs"/>
          <w:rtl/>
        </w:rPr>
        <w:t xml:space="preserve"> </w:t>
      </w:r>
      <w:r w:rsidRPr="0050146A">
        <w:rPr>
          <w:rStyle w:val="aff6"/>
          <w:rFonts w:hint="cs"/>
          <w:rtl/>
        </w:rPr>
        <w:t>(קט: על תוד"ה ההוא)</w:t>
      </w:r>
      <w:r w:rsidRPr="0050146A">
        <w:rPr>
          <w:rStyle w:val="afa"/>
          <w:rFonts w:hint="cs"/>
          <w:rtl/>
        </w:rPr>
        <w:t xml:space="preserve"> בדברי </w:t>
      </w:r>
      <w:r w:rsidRPr="0050146A">
        <w:rPr>
          <w:rStyle w:val="affa"/>
          <w:rFonts w:hint="cs"/>
          <w:rtl/>
        </w:rPr>
        <w:t>התוס'</w:t>
      </w:r>
      <w:r w:rsidRPr="0050146A">
        <w:rPr>
          <w:rStyle w:val="afa"/>
          <w:rFonts w:hint="cs"/>
          <w:rtl/>
        </w:rPr>
        <w:t xml:space="preserve"> ובמ"ש בזה </w:t>
      </w:r>
      <w:r w:rsidRPr="0050146A">
        <w:rPr>
          <w:rStyle w:val="affa"/>
          <w:rFonts w:hint="cs"/>
          <w:rtl/>
        </w:rPr>
        <w:t>היד יהודה</w:t>
      </w:r>
      <w:r w:rsidRPr="0050146A">
        <w:rPr>
          <w:rStyle w:val="afa"/>
          <w:rFonts w:hint="cs"/>
          <w:rtl/>
        </w:rPr>
        <w:t>].</w:t>
      </w:r>
      <w:bookmarkEnd w:id="3164"/>
    </w:p>
    <w:p w:rsidR="003A445B" w:rsidRPr="0050146A" w:rsidRDefault="003A445B" w:rsidP="003A445B">
      <w:pPr>
        <w:pStyle w:val="1"/>
        <w:rPr>
          <w:rtl/>
        </w:rPr>
      </w:pPr>
      <w:bookmarkStart w:id="3165" w:name="_Toc10061673"/>
      <w:bookmarkStart w:id="3166" w:name="_Toc10147715"/>
      <w:bookmarkStart w:id="3167" w:name="_Toc10202005"/>
      <w:bookmarkStart w:id="3168" w:name="_Toc10367968"/>
      <w:bookmarkStart w:id="3169" w:name="_Toc10451067"/>
      <w:bookmarkStart w:id="3170" w:name="_Toc10494316"/>
      <w:bookmarkStart w:id="3171" w:name="_Toc10541249"/>
      <w:bookmarkStart w:id="3172" w:name="_Toc10625588"/>
      <w:bookmarkStart w:id="3173" w:name="_Toc10665786"/>
      <w:bookmarkStart w:id="3174" w:name="_Toc10713185"/>
      <w:bookmarkStart w:id="3175" w:name="_Toc10147711"/>
      <w:bookmarkStart w:id="3176" w:name="_Toc10202001"/>
      <w:bookmarkStart w:id="3177" w:name="_Toc10367964"/>
      <w:bookmarkStart w:id="3178" w:name="_Toc10451063"/>
      <w:bookmarkStart w:id="3179" w:name="_Toc10494312"/>
      <w:bookmarkStart w:id="3180" w:name="_Toc10541242"/>
      <w:r w:rsidRPr="0050146A">
        <w:rPr>
          <w:rFonts w:hint="cs"/>
          <w:rtl/>
        </w:rPr>
        <w:t>ביאור הרי"ד</w:t>
      </w:r>
      <w:bookmarkEnd w:id="3165"/>
      <w:bookmarkEnd w:id="3166"/>
      <w:bookmarkEnd w:id="3167"/>
      <w:bookmarkEnd w:id="3168"/>
      <w:bookmarkEnd w:id="3169"/>
      <w:bookmarkEnd w:id="3170"/>
      <w:bookmarkEnd w:id="3171"/>
      <w:r w:rsidRPr="0050146A">
        <w:rPr>
          <w:rFonts w:hint="cs"/>
          <w:rtl/>
        </w:rPr>
        <w:t xml:space="preserve"> דהחלב אינו נאסר ע"י הכחל עצמו דהוא תולדתו</w:t>
      </w:r>
      <w:bookmarkEnd w:id="3172"/>
      <w:bookmarkEnd w:id="3173"/>
      <w:bookmarkEnd w:id="3174"/>
    </w:p>
    <w:p w:rsidR="003A445B" w:rsidRPr="0050146A" w:rsidRDefault="003A445B" w:rsidP="003A445B">
      <w:pPr>
        <w:pStyle w:val="a2"/>
        <w:rPr>
          <w:rtl/>
        </w:rPr>
      </w:pPr>
      <w:bookmarkStart w:id="3181" w:name="_Toc10625589"/>
      <w:bookmarkStart w:id="3182" w:name="_Toc10665787"/>
      <w:bookmarkStart w:id="3183" w:name="_Toc10713186"/>
      <w:r w:rsidRPr="0050146A">
        <w:rPr>
          <w:rFonts w:hint="cs"/>
          <w:rtl/>
        </w:rPr>
        <w:t>דברי הרי"ד דהחלב אינו נאסר מהכחל כיון שהוא תולדתו וכן להיפך אך נאסר ע"י בשר אחר</w:t>
      </w:r>
      <w:bookmarkEnd w:id="3181"/>
      <w:bookmarkEnd w:id="3182"/>
      <w:bookmarkEnd w:id="3183"/>
    </w:p>
    <w:p w:rsidR="003A445B" w:rsidRPr="0050146A" w:rsidRDefault="003A445B" w:rsidP="009F44AF">
      <w:pPr>
        <w:pStyle w:val="a"/>
        <w:rPr>
          <w:rtl/>
        </w:rPr>
      </w:pPr>
      <w:bookmarkStart w:id="3184" w:name="_Ref10579751"/>
      <w:r w:rsidRPr="0050146A">
        <w:rPr>
          <w:rStyle w:val="af8"/>
          <w:rFonts w:hint="cs"/>
          <w:rtl/>
        </w:rPr>
        <w:t>ובפסקי הרי"ד</w:t>
      </w:r>
      <w:r w:rsidRPr="0050146A">
        <w:rPr>
          <w:rFonts w:hint="cs"/>
          <w:rtl/>
        </w:rPr>
        <w:t xml:space="preserve"> </w:t>
      </w:r>
      <w:r w:rsidRPr="0050146A">
        <w:rPr>
          <w:rStyle w:val="af6"/>
          <w:rFonts w:eastAsia="Guttman Hodes" w:hint="cs"/>
          <w:rtl/>
        </w:rPr>
        <w:t>(ד"ה אמר רב יצחק, הועתק בקובץ שיטות קמאי חולין ח"ג עמ' ב' אלף רי"ז)</w:t>
      </w:r>
      <w:r w:rsidRPr="0050146A">
        <w:rPr>
          <w:rFonts w:hint="cs"/>
          <w:rtl/>
        </w:rPr>
        <w:t xml:space="preserve"> ביאר דאף שאם בישל את הכחל בפנ"ע, אינו נאסר באכילה מחמת החלב שבו, מ"מ כיון שבישלו יחד עם בשר אחר, נאסר הכחל ע"י הבשר שבקדירה, וביאר </w:t>
      </w:r>
      <w:r w:rsidRPr="0050146A">
        <w:rPr>
          <w:rStyle w:val="af8"/>
          <w:rFonts w:hint="cs"/>
          <w:rtl/>
        </w:rPr>
        <w:t>בפסקי הרי"ד</w:t>
      </w:r>
      <w:r w:rsidRPr="0050146A">
        <w:rPr>
          <w:rFonts w:hint="cs"/>
          <w:rtl/>
        </w:rPr>
        <w:t xml:space="preserve"> דהא דבבישלו בפנ"ע חלב הכחל אינו אוסר את בשר הכחל הוא כיון שהוא תולדתו, אבל לענין בשר אחר החלב של הכחל אוסר את הבשר, כדאמרינן דכחל בשישים, וכן החלב של הכחל, אינו נאסר מחמת בשר הכחל כיון שהוא תולדתו, אך מחמת בשר אחר נאסר החלב שבכחל.</w:t>
      </w:r>
      <w:bookmarkEnd w:id="3184"/>
    </w:p>
    <w:p w:rsidR="003A445B" w:rsidRPr="0050146A" w:rsidRDefault="003A445B" w:rsidP="00E669F8">
      <w:pPr>
        <w:pStyle w:val="afd"/>
        <w:rPr>
          <w:rtl/>
        </w:rPr>
      </w:pPr>
      <w:bookmarkStart w:id="3185" w:name="_Toc10625590"/>
      <w:bookmarkStart w:id="3186" w:name="_Toc10665788"/>
      <w:bookmarkStart w:id="3187" w:name="_Toc10713187"/>
      <w:r w:rsidRPr="0050146A">
        <w:rPr>
          <w:rFonts w:hint="cs"/>
          <w:rtl/>
        </w:rPr>
        <w:t>איסור הכחל עצמו כשהתבשל עם בשר</w:t>
      </w:r>
      <w:bookmarkEnd w:id="3175"/>
      <w:bookmarkEnd w:id="3176"/>
      <w:bookmarkEnd w:id="3177"/>
      <w:bookmarkEnd w:id="3178"/>
      <w:bookmarkEnd w:id="3179"/>
      <w:bookmarkEnd w:id="3180"/>
      <w:bookmarkEnd w:id="3185"/>
      <w:bookmarkEnd w:id="3186"/>
      <w:bookmarkEnd w:id="3187"/>
    </w:p>
    <w:p w:rsidR="003A445B" w:rsidRPr="0050146A" w:rsidRDefault="003A445B" w:rsidP="003A445B">
      <w:pPr>
        <w:pStyle w:val="1"/>
        <w:rPr>
          <w:rtl/>
        </w:rPr>
      </w:pPr>
      <w:bookmarkStart w:id="3188" w:name="_Toc10147712"/>
      <w:bookmarkStart w:id="3189" w:name="_Toc10202002"/>
      <w:bookmarkStart w:id="3190" w:name="_Toc10367965"/>
      <w:bookmarkStart w:id="3191" w:name="_Toc10451064"/>
      <w:bookmarkStart w:id="3192" w:name="_Toc10494313"/>
      <w:bookmarkStart w:id="3193" w:name="_Toc10541243"/>
      <w:bookmarkStart w:id="3194" w:name="_Toc10625591"/>
      <w:bookmarkStart w:id="3195" w:name="_Toc10665789"/>
      <w:bookmarkStart w:id="3196" w:name="_Toc10713188"/>
      <w:r w:rsidRPr="0050146A">
        <w:rPr>
          <w:rFonts w:hint="cs"/>
          <w:rtl/>
        </w:rPr>
        <w:t>דברי רש"י</w:t>
      </w:r>
      <w:bookmarkEnd w:id="3111"/>
      <w:bookmarkEnd w:id="3112"/>
      <w:bookmarkEnd w:id="3113"/>
      <w:bookmarkEnd w:id="3114"/>
      <w:bookmarkEnd w:id="3188"/>
      <w:bookmarkEnd w:id="3189"/>
      <w:bookmarkEnd w:id="3190"/>
      <w:bookmarkEnd w:id="3191"/>
      <w:bookmarkEnd w:id="3192"/>
      <w:bookmarkEnd w:id="3193"/>
      <w:r w:rsidRPr="0050146A">
        <w:rPr>
          <w:rFonts w:hint="cs"/>
          <w:rtl/>
        </w:rPr>
        <w:t xml:space="preserve"> דהבשר המרובה נתן טעם בחלב המועט ואסרו</w:t>
      </w:r>
      <w:bookmarkEnd w:id="3194"/>
      <w:bookmarkEnd w:id="3195"/>
      <w:bookmarkEnd w:id="3196"/>
    </w:p>
    <w:p w:rsidR="003A445B" w:rsidRPr="0050146A" w:rsidRDefault="003A445B" w:rsidP="003A445B">
      <w:pPr>
        <w:pStyle w:val="a2"/>
        <w:rPr>
          <w:rtl/>
        </w:rPr>
      </w:pPr>
      <w:bookmarkStart w:id="3197" w:name="_Toc10625592"/>
      <w:bookmarkStart w:id="3198" w:name="_Toc10665790"/>
      <w:bookmarkStart w:id="3199" w:name="_Toc10713189"/>
      <w:r w:rsidRPr="0050146A">
        <w:rPr>
          <w:rFonts w:hint="cs"/>
          <w:rtl/>
        </w:rPr>
        <w:t>דברי רש"י דהכחל עצמו אסור דהבשר נתן טעם בחלב ואילו החלב המועט לא נתן טעם בבשר</w:t>
      </w:r>
      <w:bookmarkEnd w:id="3197"/>
      <w:bookmarkEnd w:id="3198"/>
      <w:bookmarkEnd w:id="3199"/>
    </w:p>
    <w:p w:rsidR="003A445B" w:rsidRPr="0050146A" w:rsidRDefault="003A445B" w:rsidP="009F44AF">
      <w:pPr>
        <w:pStyle w:val="a"/>
        <w:rPr>
          <w:rtl/>
        </w:rPr>
      </w:pPr>
      <w:bookmarkStart w:id="3200" w:name="_Ref10713482"/>
      <w:bookmarkStart w:id="3201" w:name="_Ref10026569"/>
      <w:r w:rsidRPr="0050146A">
        <w:rPr>
          <w:rFonts w:hint="cs"/>
          <w:rtl/>
        </w:rPr>
        <w:t xml:space="preserve">בדברי רב יצחק דכחל שהתבשל עם בשר והיה שישים </w:t>
      </w:r>
      <w:r w:rsidRPr="0050146A">
        <w:rPr>
          <w:rStyle w:val="afa"/>
          <w:rFonts w:hint="cs"/>
          <w:rtl/>
        </w:rPr>
        <w:t>[יחד עם הכחל]</w:t>
      </w:r>
      <w:r w:rsidRPr="0050146A">
        <w:rPr>
          <w:rFonts w:hint="cs"/>
          <w:rtl/>
        </w:rPr>
        <w:t xml:space="preserve"> דהבשר שבקדירה מותר והכחל עצמו אסור, ביאר </w:t>
      </w:r>
      <w:r w:rsidRPr="0050146A">
        <w:rPr>
          <w:rStyle w:val="af8"/>
          <w:rFonts w:hint="cs"/>
          <w:rtl/>
        </w:rPr>
        <w:t xml:space="preserve">רש"י </w:t>
      </w:r>
      <w:r w:rsidRPr="0050146A">
        <w:rPr>
          <w:rStyle w:val="af6"/>
          <w:rFonts w:eastAsia="Guttman Hodes" w:hint="cs"/>
          <w:rtl/>
        </w:rPr>
        <w:t>(ד"ה וכחל)</w:t>
      </w:r>
      <w:r w:rsidRPr="0050146A">
        <w:rPr>
          <w:rFonts w:hint="cs"/>
          <w:rtl/>
        </w:rPr>
        <w:t xml:space="preserve"> דכיון שהבשר נתן טעם בכחל, ואילו החלב שבכחל לא נתן טעם בבשר, כיון שהוא מועט, לכן הכחל אינו אוסר את הבשר, אבל הכחל עצמו אסור.</w:t>
      </w:r>
      <w:r w:rsidRPr="0050146A">
        <w:rPr>
          <w:rStyle w:val="afa"/>
          <w:rFonts w:hint="cs"/>
          <w:rtl/>
        </w:rPr>
        <w:t xml:space="preserve"> [וע"ע במ"ש </w:t>
      </w:r>
      <w:r w:rsidRPr="0050146A">
        <w:rPr>
          <w:rStyle w:val="affa"/>
          <w:rFonts w:hint="cs"/>
          <w:rtl/>
        </w:rPr>
        <w:t>רש"י</w:t>
      </w:r>
      <w:r w:rsidRPr="0050146A">
        <w:rPr>
          <w:rStyle w:val="afa"/>
          <w:rFonts w:hint="cs"/>
          <w:rtl/>
        </w:rPr>
        <w:t xml:space="preserve"> </w:t>
      </w:r>
      <w:r w:rsidRPr="0050146A">
        <w:rPr>
          <w:rStyle w:val="aff6"/>
          <w:rFonts w:hint="cs"/>
          <w:rtl/>
        </w:rPr>
        <w:t>(ד"ה כיון)</w:t>
      </w:r>
      <w:r w:rsidRPr="0050146A">
        <w:rPr>
          <w:rStyle w:val="afa"/>
          <w:rFonts w:hint="cs"/>
          <w:rtl/>
        </w:rPr>
        <w:t xml:space="preserve"> בתירוץ הגמ' דשויוה רבנן כחתיכת נבילה</w:t>
      </w:r>
      <w:bookmarkStart w:id="3202" w:name="_Ref10019278"/>
      <w:r w:rsidRPr="0050146A">
        <w:rPr>
          <w:rStyle w:val="afa"/>
          <w:rFonts w:hint="cs"/>
          <w:rtl/>
        </w:rPr>
        <w:t xml:space="preserve"> דבתחילת הבישול לפני שהצטמק הכחל, נתנה בו הקדירה טעם של בשר, ומיד נאסר הכחל, ולכן אף שאח"כ כולו התבטל, מ"מ כבר שנאסר בתחילת הבישול, שויוה רבנן כחתיכת נבילה, ודינו כנבילה דתנן </w:t>
      </w:r>
      <w:r w:rsidRPr="0050146A">
        <w:rPr>
          <w:rStyle w:val="aff6"/>
          <w:rFonts w:hint="cs"/>
          <w:rtl/>
        </w:rPr>
        <w:t>(צו:)</w:t>
      </w:r>
      <w:r w:rsidRPr="0050146A">
        <w:rPr>
          <w:rStyle w:val="afa"/>
          <w:rFonts w:hint="cs"/>
          <w:rtl/>
        </w:rPr>
        <w:t xml:space="preserve"> דכל זמן שמכיר את האיסור הוא אוסר בנתינת טעם, דהיינו שצריך שישים כנגדו].</w:t>
      </w:r>
      <w:bookmarkEnd w:id="3200"/>
      <w:bookmarkEnd w:id="3202"/>
    </w:p>
    <w:p w:rsidR="003A445B" w:rsidRPr="0050146A" w:rsidRDefault="003A445B" w:rsidP="003A445B">
      <w:pPr>
        <w:pStyle w:val="a2"/>
      </w:pPr>
      <w:bookmarkStart w:id="3203" w:name="_Toc10625593"/>
      <w:bookmarkStart w:id="3204" w:name="_Toc10665791"/>
      <w:bookmarkStart w:id="3205" w:name="_Toc10713190"/>
      <w:r w:rsidRPr="0050146A">
        <w:rPr>
          <w:rFonts w:hint="cs"/>
          <w:rtl/>
        </w:rPr>
        <w:t>ביאור הריטב"א ברש"י דהחלב אינו יוצא לגמרי מהגומות שבכחל ולכן צריך שישים כנגדו</w:t>
      </w:r>
      <w:bookmarkEnd w:id="3203"/>
      <w:bookmarkEnd w:id="3204"/>
      <w:bookmarkEnd w:id="3205"/>
    </w:p>
    <w:p w:rsidR="003A445B" w:rsidRPr="0050146A" w:rsidRDefault="003A445B" w:rsidP="009F44AF">
      <w:pPr>
        <w:pStyle w:val="a"/>
        <w:rPr>
          <w:rStyle w:val="afa"/>
          <w:rtl/>
        </w:rPr>
      </w:pPr>
      <w:r w:rsidRPr="0050146A">
        <w:rPr>
          <w:rFonts w:hint="cs"/>
          <w:rtl/>
        </w:rPr>
        <w:t xml:space="preserve">וביאר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(ד"ה אמר) </w:t>
      </w:r>
      <w:r w:rsidRPr="0050146A">
        <w:rPr>
          <w:rFonts w:hint="cs"/>
          <w:rtl/>
        </w:rPr>
        <w:t xml:space="preserve">בשם </w:t>
      </w:r>
      <w:r w:rsidRPr="0050146A">
        <w:rPr>
          <w:rStyle w:val="af8"/>
          <w:rFonts w:hint="cs"/>
          <w:rtl/>
        </w:rPr>
        <w:t>רש"י</w:t>
      </w:r>
      <w:r w:rsidRPr="0050146A">
        <w:rPr>
          <w:rFonts w:hint="cs"/>
          <w:rtl/>
        </w:rPr>
        <w:t xml:space="preserve"> דכיון שיש בקדירה שישים כנגד החלב שבכחל, לכן אינו נותן טעם בבשר, אך הבשר נתן בו טעם כיון שיש הרבה בשר, וכתב </w:t>
      </w:r>
      <w:r w:rsidRPr="0050146A">
        <w:rPr>
          <w:rStyle w:val="af8"/>
          <w:rFonts w:hint="cs"/>
          <w:rtl/>
        </w:rPr>
        <w:t>הריטב"א</w:t>
      </w:r>
      <w:r w:rsidRPr="0050146A">
        <w:rPr>
          <w:rFonts w:hint="cs"/>
          <w:rtl/>
        </w:rPr>
        <w:t xml:space="preserve"> דכוונת </w:t>
      </w:r>
      <w:r w:rsidRPr="0050146A">
        <w:rPr>
          <w:rStyle w:val="af8"/>
          <w:rFonts w:hint="cs"/>
          <w:rtl/>
        </w:rPr>
        <w:t>רש"י</w:t>
      </w:r>
      <w:r w:rsidRPr="0050146A">
        <w:rPr>
          <w:rFonts w:hint="cs"/>
          <w:rtl/>
        </w:rPr>
        <w:t xml:space="preserve"> לומר </w:t>
      </w:r>
      <w:r w:rsidRPr="0050146A">
        <w:rPr>
          <w:rFonts w:hint="cs"/>
          <w:rtl/>
        </w:rPr>
        <w:t xml:space="preserve">דהחלב שבכחל הוא כנוס בגומות, ואעפ"י שהוא מתפשט בקדירה, מ"מ אינו יוצא לגמרי מהגומות, ולכן צריך שישים כנגדו. </w:t>
      </w:r>
      <w:bookmarkEnd w:id="3201"/>
    </w:p>
    <w:p w:rsidR="003A445B" w:rsidRPr="0050146A" w:rsidRDefault="003A445B" w:rsidP="003A445B">
      <w:pPr>
        <w:pStyle w:val="a2"/>
      </w:pPr>
      <w:bookmarkStart w:id="3206" w:name="_Toc10625594"/>
      <w:bookmarkStart w:id="3207" w:name="_Toc10665792"/>
      <w:bookmarkStart w:id="3208" w:name="_Toc10713191"/>
      <w:bookmarkStart w:id="3209" w:name="_Toc9934842"/>
      <w:bookmarkStart w:id="3210" w:name="_Toc9936410"/>
      <w:bookmarkStart w:id="3211" w:name="_Toc9936431"/>
      <w:bookmarkStart w:id="3212" w:name="_Toc10061671"/>
      <w:bookmarkStart w:id="3213" w:name="_Toc10147713"/>
      <w:bookmarkStart w:id="3214" w:name="_Toc10202003"/>
      <w:bookmarkStart w:id="3215" w:name="_Toc10367966"/>
      <w:bookmarkStart w:id="3216" w:name="_Toc10451065"/>
      <w:bookmarkStart w:id="3217" w:name="_Toc10494314"/>
      <w:r w:rsidRPr="0050146A">
        <w:rPr>
          <w:rFonts w:hint="cs"/>
          <w:rtl/>
        </w:rPr>
        <w:t>ביאור היד יהודה ברש"י דכשהתבשל הכחל עם בשר אחר הוא אסור מדרבנן אף כשהוא בלוע</w:t>
      </w:r>
      <w:bookmarkEnd w:id="3206"/>
      <w:bookmarkEnd w:id="3207"/>
      <w:bookmarkEnd w:id="3208"/>
    </w:p>
    <w:p w:rsidR="003A445B" w:rsidRPr="0050146A" w:rsidRDefault="003A445B" w:rsidP="009F44AF">
      <w:pPr>
        <w:pStyle w:val="a"/>
        <w:rPr>
          <w:rtl/>
        </w:rPr>
      </w:pPr>
      <w:bookmarkStart w:id="3218" w:name="_Ref10565634"/>
      <w:bookmarkStart w:id="3219" w:name="_Ref10579081"/>
      <w:r w:rsidRPr="0050146A">
        <w:rPr>
          <w:rFonts w:hint="cs"/>
          <w:rtl/>
        </w:rPr>
        <w:t xml:space="preserve">כתב </w:t>
      </w:r>
      <w:r w:rsidRPr="0050146A">
        <w:rPr>
          <w:rStyle w:val="af8"/>
          <w:rFonts w:hint="cs"/>
          <w:rtl/>
        </w:rPr>
        <w:t>היד יהודה</w:t>
      </w:r>
      <w:r w:rsidRPr="0050146A">
        <w:rPr>
          <w:rFonts w:hint="cs"/>
          <w:rtl/>
        </w:rPr>
        <w:t xml:space="preserve"> </w:t>
      </w:r>
      <w:r w:rsidRPr="0050146A">
        <w:rPr>
          <w:rStyle w:val="af6"/>
          <w:rFonts w:eastAsia="Guttman Hodes" w:hint="cs"/>
          <w:rtl/>
        </w:rPr>
        <w:t>(סי' צ' ריש סק"א)</w:t>
      </w:r>
      <w:r w:rsidRPr="0050146A">
        <w:rPr>
          <w:rFonts w:hint="cs"/>
          <w:rtl/>
        </w:rPr>
        <w:t xml:space="preserve"> דמהא דכתב </w:t>
      </w:r>
      <w:r w:rsidRPr="0050146A">
        <w:rPr>
          <w:rStyle w:val="af8"/>
          <w:rFonts w:hint="cs"/>
          <w:rtl/>
        </w:rPr>
        <w:t>רש"י</w:t>
      </w:r>
      <w:r w:rsidRPr="0050146A">
        <w:rPr>
          <w:rFonts w:hint="cs"/>
          <w:rtl/>
        </w:rPr>
        <w:t xml:space="preserve"> דהכחל אסור כיון שהבשר נתן בו טעם, מבואר דאף דדעת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Ref10565486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דהחלב בלוע בכחל, אינו בכלל חלב, ולא גזרו בו מדין חלב שחוטה דרבנן, מ"מ כהנתבשל הכחל עם בשר אחר בקדירה, גזרו עליו אעפ"י שהוא עדיין בלוע בכחל, כדמוכח מדברי וכתב </w:t>
      </w:r>
      <w:r w:rsidRPr="0050146A">
        <w:rPr>
          <w:rStyle w:val="af8"/>
          <w:rFonts w:hint="cs"/>
          <w:rtl/>
        </w:rPr>
        <w:t>היד יהודה</w:t>
      </w:r>
      <w:r w:rsidRPr="0050146A">
        <w:rPr>
          <w:rFonts w:hint="cs"/>
          <w:rtl/>
        </w:rPr>
        <w:t xml:space="preserve"> דכן מבואר בדברי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Ref10713482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בתירוץ הגמ' דכתב דלפני שהכחל הצטמק הוא נאסר, וכתב </w:t>
      </w:r>
      <w:r w:rsidRPr="0050146A">
        <w:rPr>
          <w:rStyle w:val="af8"/>
          <w:rFonts w:hint="cs"/>
          <w:rtl/>
        </w:rPr>
        <w:t>היד יהודה</w:t>
      </w:r>
      <w:r w:rsidRPr="0050146A">
        <w:rPr>
          <w:rFonts w:hint="cs"/>
          <w:rtl/>
        </w:rPr>
        <w:t xml:space="preserve"> דכל שלא הצטמק לא יצא ממנו החלב, והוא עדיין בלוע בו ואינו בכלל חלב, ומ"מ כתב </w:t>
      </w:r>
      <w:r w:rsidRPr="0050146A">
        <w:rPr>
          <w:rStyle w:val="af8"/>
          <w:rFonts w:hint="cs"/>
          <w:rtl/>
        </w:rPr>
        <w:t>רש"י</w:t>
      </w:r>
      <w:r w:rsidRPr="0050146A">
        <w:rPr>
          <w:rFonts w:hint="cs"/>
          <w:rtl/>
        </w:rPr>
        <w:t xml:space="preserve"> דהוא אוסר את הבשר שבקדירה</w:t>
      </w:r>
      <w:bookmarkEnd w:id="3218"/>
      <w:r w:rsidRPr="0050146A">
        <w:rPr>
          <w:rFonts w:hint="cs"/>
          <w:rtl/>
        </w:rPr>
        <w:t>.</w:t>
      </w:r>
      <w:bookmarkEnd w:id="3219"/>
    </w:p>
    <w:p w:rsidR="003A445B" w:rsidRPr="0050146A" w:rsidRDefault="003A445B" w:rsidP="003A445B">
      <w:pPr>
        <w:pStyle w:val="a2"/>
        <w:rPr>
          <w:rtl/>
        </w:rPr>
      </w:pPr>
      <w:bookmarkStart w:id="3220" w:name="_Toc10625595"/>
      <w:bookmarkStart w:id="3221" w:name="_Toc10665793"/>
      <w:bookmarkStart w:id="3222" w:name="_Toc10713192"/>
      <w:r w:rsidRPr="0050146A">
        <w:rPr>
          <w:rFonts w:hint="cs"/>
          <w:rtl/>
        </w:rPr>
        <w:t>דברי היד יהודה דחידש רב יצחק דכשנתבשל הכחל עם בשר אף שהבלוע אינו בכלל חלב אסור</w:t>
      </w:r>
      <w:bookmarkEnd w:id="3220"/>
      <w:bookmarkEnd w:id="3221"/>
      <w:bookmarkEnd w:id="3222"/>
    </w:p>
    <w:p w:rsidR="003A445B" w:rsidRPr="0050146A" w:rsidRDefault="003A445B" w:rsidP="009F44AF">
      <w:pPr>
        <w:pStyle w:val="a"/>
        <w:rPr>
          <w:rStyle w:val="afa"/>
        </w:rPr>
      </w:pPr>
      <w:r w:rsidRPr="0050146A">
        <w:rPr>
          <w:rFonts w:hint="cs"/>
          <w:rtl/>
        </w:rPr>
        <w:t xml:space="preserve">וכתב </w:t>
      </w:r>
      <w:r w:rsidRPr="0050146A">
        <w:rPr>
          <w:rStyle w:val="af8"/>
          <w:rFonts w:hint="cs"/>
          <w:rtl/>
        </w:rPr>
        <w:t>היד יהודה</w:t>
      </w:r>
      <w:r w:rsidRPr="0050146A">
        <w:rPr>
          <w:rFonts w:hint="cs"/>
          <w:rtl/>
        </w:rPr>
        <w:t xml:space="preserve"> דס"ל </w:t>
      </w:r>
      <w:r w:rsidRPr="0050146A">
        <w:rPr>
          <w:rStyle w:val="af8"/>
          <w:rFonts w:hint="cs"/>
          <w:rtl/>
        </w:rPr>
        <w:t>לרש"י</w:t>
      </w:r>
      <w:r w:rsidRPr="0050146A">
        <w:rPr>
          <w:rFonts w:hint="cs"/>
          <w:rtl/>
        </w:rPr>
        <w:t xml:space="preserve"> דזהו גופא החידוש של רב יצחק, דהחלב הבלוע בכחל, אוסר בשר אחר שמתבשל עמו בקדירה, אף שאינו בכלל חלב. </w:t>
      </w:r>
      <w:r w:rsidRPr="0050146A">
        <w:rPr>
          <w:rStyle w:val="afa"/>
          <w:rFonts w:hint="cs"/>
          <w:rtl/>
        </w:rPr>
        <w:t xml:space="preserve">[והוסיף </w:t>
      </w:r>
      <w:r w:rsidRPr="0050146A">
        <w:rPr>
          <w:rStyle w:val="affa"/>
          <w:rFonts w:hint="cs"/>
          <w:rtl/>
        </w:rPr>
        <w:t>היד יהודה</w:t>
      </w:r>
      <w:r w:rsidRPr="0050146A">
        <w:rPr>
          <w:rStyle w:val="afa"/>
          <w:rFonts w:hint="cs"/>
          <w:rtl/>
        </w:rPr>
        <w:t xml:space="preserve"> דמ"מ צ"ל דלא החמירו בו כדין של כל חלב שחוטה, וציין </w:t>
      </w:r>
      <w:r w:rsidRPr="0050146A">
        <w:rPr>
          <w:rStyle w:val="affa"/>
          <w:rFonts w:hint="cs"/>
          <w:rtl/>
        </w:rPr>
        <w:t>היד יהודה</w:t>
      </w:r>
      <w:r w:rsidRPr="0050146A">
        <w:rPr>
          <w:rStyle w:val="afa"/>
          <w:rFonts w:hint="cs"/>
          <w:rtl/>
        </w:rPr>
        <w:t xml:space="preserve"> לדברי </w:t>
      </w:r>
      <w:r w:rsidRPr="0050146A">
        <w:rPr>
          <w:rStyle w:val="affa"/>
          <w:rFonts w:hint="cs"/>
          <w:rtl/>
        </w:rPr>
        <w:t>הרשב"א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Ref10623956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לא)</w:t>
      </w:r>
      <w:r w:rsidRPr="0050146A">
        <w:rPr>
          <w:rStyle w:val="aff6"/>
          <w:rtl/>
        </w:rPr>
        <w:fldChar w:fldCharType="end"/>
      </w:r>
      <w:r w:rsidRPr="0050146A">
        <w:rPr>
          <w:rStyle w:val="afa"/>
          <w:rFonts w:hint="cs"/>
          <w:rtl/>
        </w:rPr>
        <w:t xml:space="preserve"> דלא החמירו בכחל כחנ"נ, עיי"ש בדבריו],</w:t>
      </w:r>
      <w:r w:rsidRPr="0050146A">
        <w:rPr>
          <w:rFonts w:hint="cs"/>
          <w:rtl/>
        </w:rPr>
        <w:t xml:space="preserve"> ועי' במ"ש </w:t>
      </w:r>
      <w:r w:rsidRPr="0050146A">
        <w:rPr>
          <w:rStyle w:val="af8"/>
          <w:rFonts w:hint="cs"/>
          <w:rtl/>
        </w:rPr>
        <w:t xml:space="preserve">בפסקי הרי"ד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Ref10026884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50146A">
        <w:rPr>
          <w:rStyle w:val="af6"/>
          <w:rFonts w:eastAsia="Guttman Hodes"/>
          <w:rtl/>
        </w:rPr>
        <w:fldChar w:fldCharType="end"/>
      </w:r>
      <w:r w:rsidRPr="0050146A">
        <w:rPr>
          <w:rFonts w:hint="cs"/>
          <w:rtl/>
        </w:rPr>
        <w:t>.</w:t>
      </w:r>
    </w:p>
    <w:p w:rsidR="003A445B" w:rsidRPr="0050146A" w:rsidRDefault="003A445B" w:rsidP="003A445B">
      <w:pPr>
        <w:pStyle w:val="1"/>
        <w:rPr>
          <w:rtl/>
        </w:rPr>
      </w:pPr>
      <w:bookmarkStart w:id="3223" w:name="_Toc10541245"/>
      <w:bookmarkStart w:id="3224" w:name="_Toc10625596"/>
      <w:bookmarkStart w:id="3225" w:name="_Toc10665794"/>
      <w:bookmarkStart w:id="3226" w:name="_Toc10713193"/>
      <w:r w:rsidRPr="0050146A">
        <w:rPr>
          <w:rFonts w:hint="cs"/>
          <w:rtl/>
        </w:rPr>
        <w:t xml:space="preserve">דברי התוס' </w:t>
      </w:r>
      <w:bookmarkEnd w:id="3223"/>
      <w:r w:rsidRPr="0050146A">
        <w:rPr>
          <w:rFonts w:hint="cs"/>
          <w:rtl/>
        </w:rPr>
        <w:t>דהכחל נאסר בתחילה אף דאח"כ יצא כל החלב</w:t>
      </w:r>
      <w:bookmarkEnd w:id="3224"/>
      <w:bookmarkEnd w:id="3225"/>
      <w:bookmarkEnd w:id="3226"/>
    </w:p>
    <w:p w:rsidR="003A445B" w:rsidRPr="0050146A" w:rsidRDefault="003A445B" w:rsidP="003A445B">
      <w:pPr>
        <w:pStyle w:val="a2"/>
        <w:rPr>
          <w:rtl/>
        </w:rPr>
      </w:pPr>
      <w:bookmarkStart w:id="3227" w:name="_Toc10625597"/>
      <w:bookmarkStart w:id="3228" w:name="_Toc10665795"/>
      <w:bookmarkStart w:id="3229" w:name="_Toc10713194"/>
      <w:r w:rsidRPr="0050146A">
        <w:rPr>
          <w:rFonts w:hint="cs"/>
          <w:rtl/>
        </w:rPr>
        <w:t>קושית התוס' דאמאי הכחל אסור הא כל החלב יצא מהכחל והתפשט בשוה בכחל החתיכות</w:t>
      </w:r>
      <w:bookmarkEnd w:id="3227"/>
      <w:bookmarkEnd w:id="3228"/>
      <w:bookmarkEnd w:id="3229"/>
      <w:r w:rsidRPr="0050146A">
        <w:rPr>
          <w:rFonts w:hint="cs"/>
          <w:rtl/>
        </w:rPr>
        <w:t xml:space="preserve"> </w:t>
      </w:r>
    </w:p>
    <w:p w:rsidR="003A445B" w:rsidRPr="0050146A" w:rsidRDefault="003A445B" w:rsidP="009F44AF">
      <w:pPr>
        <w:pStyle w:val="a"/>
        <w:rPr>
          <w:sz w:val="10"/>
          <w:szCs w:val="14"/>
        </w:rPr>
      </w:pPr>
      <w:r w:rsidRPr="0050146A">
        <w:rPr>
          <w:rFonts w:hint="cs"/>
          <w:rtl/>
        </w:rPr>
        <w:t xml:space="preserve">הקשו </w:t>
      </w:r>
      <w:r w:rsidRPr="0050146A">
        <w:rPr>
          <w:rStyle w:val="af8"/>
          <w:rFonts w:hint="cs"/>
          <w:rtl/>
        </w:rPr>
        <w:t xml:space="preserve">התוס' </w:t>
      </w:r>
      <w:r w:rsidRPr="0050146A">
        <w:rPr>
          <w:rStyle w:val="af6"/>
          <w:rFonts w:eastAsia="Guttman Hodes" w:hint="cs"/>
          <w:rtl/>
        </w:rPr>
        <w:t>(ד"ה וכחל מן המנין)</w:t>
      </w:r>
      <w:r w:rsidRPr="0050146A">
        <w:rPr>
          <w:rFonts w:hint="cs"/>
          <w:rtl/>
        </w:rPr>
        <w:t xml:space="preserve"> דאמאי אסור הכחל, הרי החלב שכנוס בגומות שבכחל, נפלט לתוך הקדירה, והתפשט בשוה בכל החתיכות שבקדירה, וכמבואר בגמ' דמשערינן בכוליה, ומקשה הגמ' דכשנפל לקדירה אחרת לא יאסור, מבואר שלא נשאר חלב בכחל כלל. </w:t>
      </w:r>
    </w:p>
    <w:p w:rsidR="003A445B" w:rsidRPr="0050146A" w:rsidRDefault="003A445B" w:rsidP="003A445B">
      <w:pPr>
        <w:pStyle w:val="a2"/>
        <w:rPr>
          <w:rtl/>
        </w:rPr>
      </w:pPr>
      <w:bookmarkStart w:id="3230" w:name="_Toc10625598"/>
      <w:bookmarkStart w:id="3231" w:name="_Toc10665796"/>
      <w:bookmarkStart w:id="3232" w:name="_Toc10713195"/>
      <w:r w:rsidRPr="0050146A">
        <w:rPr>
          <w:rFonts w:hint="cs"/>
          <w:rtl/>
        </w:rPr>
        <w:t>תירוץ התוס' דבתחילת הבישול כשעדיין לא יצא כל החלב נאסר הכחל ואח"כ אינו חוזר להתירו</w:t>
      </w:r>
      <w:bookmarkEnd w:id="3230"/>
      <w:bookmarkEnd w:id="3231"/>
      <w:bookmarkEnd w:id="3232"/>
    </w:p>
    <w:p w:rsidR="003A445B" w:rsidRPr="0050146A" w:rsidRDefault="003A445B" w:rsidP="009F44AF">
      <w:pPr>
        <w:pStyle w:val="a"/>
        <w:rPr>
          <w:rtl/>
        </w:rPr>
      </w:pPr>
      <w:bookmarkStart w:id="3233" w:name="_Ref10574770"/>
      <w:r w:rsidRPr="0050146A">
        <w:rPr>
          <w:rFonts w:hint="cs"/>
          <w:rtl/>
        </w:rPr>
        <w:t xml:space="preserve">ותירצו </w:t>
      </w:r>
      <w:r w:rsidRPr="0050146A">
        <w:rPr>
          <w:rStyle w:val="af8"/>
          <w:rFonts w:hint="cs"/>
          <w:rtl/>
        </w:rPr>
        <w:t>התוס'</w:t>
      </w:r>
      <w:r w:rsidRPr="0050146A">
        <w:rPr>
          <w:rFont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(סי' כ"ז)</w:t>
      </w:r>
      <w:r w:rsidRPr="0050146A">
        <w:rPr>
          <w:rFonts w:hint="cs"/>
          <w:rtl/>
        </w:rPr>
        <w:t xml:space="preserve"> דבתחילת הבישול לפני שיצא החלב שבכחל לקדירה, כבר נאסר החלב שבתוך הכחל, כיון שיש בו טעם של בשר, וכיון שהתבשל א"א להוציא ע"י קריעה את החלב עם טעם הבשר מהכחל, ולכן אף שבסוף הבישול יצא כל החלב מהכחל והתפשט בכל החתיכות שבקדירה, מ"מ הכחל אסור, דהא קיי"ל בגמ' לקמן </w:t>
      </w:r>
      <w:r w:rsidRPr="0050146A">
        <w:rPr>
          <w:rStyle w:val="af6"/>
          <w:rFonts w:eastAsia="Guttman Hodes" w:hint="cs"/>
          <w:rtl/>
        </w:rPr>
        <w:t>(קח.)</w:t>
      </w:r>
      <w:r w:rsidRPr="0050146A">
        <w:rPr>
          <w:rFonts w:hint="cs"/>
          <w:rtl/>
        </w:rPr>
        <w:t xml:space="preserve"> דאפשר לסוחטו אסור, ועי' במה שביאר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Ref10574852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50146A">
        <w:rPr>
          <w:rStyle w:val="af6"/>
          <w:rFonts w:eastAsia="Guttman Hodes"/>
          <w:rtl/>
        </w:rPr>
        <w:fldChar w:fldCharType="end"/>
      </w:r>
      <w:r w:rsidRPr="0050146A">
        <w:rPr>
          <w:rFonts w:hint="cs"/>
          <w:rtl/>
        </w:rPr>
        <w:t>.</w:t>
      </w:r>
      <w:bookmarkEnd w:id="3233"/>
    </w:p>
    <w:p w:rsidR="003A445B" w:rsidRPr="0050146A" w:rsidRDefault="003A445B" w:rsidP="003A445B">
      <w:pPr>
        <w:pStyle w:val="a2"/>
        <w:rPr>
          <w:rtl/>
        </w:rPr>
      </w:pPr>
      <w:bookmarkStart w:id="3234" w:name="_Toc10625599"/>
      <w:bookmarkStart w:id="3235" w:name="_Toc10665797"/>
      <w:bookmarkStart w:id="3236" w:name="_Toc10713196"/>
      <w:r w:rsidRPr="0050146A">
        <w:rPr>
          <w:rFonts w:hint="cs"/>
          <w:rtl/>
        </w:rPr>
        <w:t>דברי התוס' דלמ"ד אפשר לסוחטו מותר גזרו שמא יאכל את הכחל באמצע הבישול לפני שהתבטל</w:t>
      </w:r>
      <w:bookmarkEnd w:id="3234"/>
      <w:bookmarkEnd w:id="3235"/>
      <w:bookmarkEnd w:id="3236"/>
    </w:p>
    <w:p w:rsidR="003A445B" w:rsidRPr="0050146A" w:rsidRDefault="003A445B" w:rsidP="009F44AF">
      <w:pPr>
        <w:pStyle w:val="a"/>
        <w:rPr>
          <w:rtl/>
        </w:rPr>
      </w:pPr>
      <w:r w:rsidRPr="0050146A">
        <w:rPr>
          <w:rFonts w:hint="cs"/>
          <w:rtl/>
        </w:rPr>
        <w:t xml:space="preserve">וכתבו </w:t>
      </w:r>
      <w:r w:rsidRPr="0050146A">
        <w:rPr>
          <w:rStyle w:val="af8"/>
          <w:rFonts w:hint="cs"/>
          <w:rtl/>
        </w:rPr>
        <w:t>התוס'</w:t>
      </w:r>
      <w:r w:rsidRPr="0050146A">
        <w:rPr>
          <w:rFonts w:hint="cs"/>
          <w:rtl/>
        </w:rPr>
        <w:t xml:space="preserve"> </w:t>
      </w:r>
      <w:r w:rsidRPr="0050146A">
        <w:rPr>
          <w:rStyle w:val="af8"/>
          <w:rFonts w:hint="cs"/>
          <w:rtl/>
        </w:rPr>
        <w:t>והרא"ש</w:t>
      </w:r>
      <w:r w:rsidRPr="0050146A">
        <w:rPr>
          <w:rFonts w:hint="cs"/>
          <w:rtl/>
        </w:rPr>
        <w:t xml:space="preserve"> דאף למ"ד דאפשר לסוחטו מותר, א"א להתיר את הכחל, דגזרו לאוסרו אחר גמר הבישול, שמא יבוא לאוכלו באמצע הבישול, לפני שיצא כל החלב מהכחל, וכתבו </w:t>
      </w:r>
      <w:r w:rsidRPr="0050146A">
        <w:rPr>
          <w:rStyle w:val="af8"/>
          <w:rFonts w:hint="cs"/>
          <w:rtl/>
        </w:rPr>
        <w:t>התוס'</w:t>
      </w:r>
      <w:r w:rsidRPr="0050146A">
        <w:rPr>
          <w:rFonts w:hint="cs"/>
          <w:rtl/>
        </w:rPr>
        <w:t xml:space="preserve"> דאף דלגבי צליה לא גזרו כן, מ"מ בכחל גזרו כיון שהחלב אינו יוצא לגמרי מהבשר, אלא הוא נשאר בקדירה, וכל ההיתר הוא מחמת שמתבטל לבסוף, ולכן חששו שיבאו לאוכלו לפני גמר הבישול.</w:t>
      </w:r>
    </w:p>
    <w:p w:rsidR="003A445B" w:rsidRPr="0050146A" w:rsidRDefault="003A445B" w:rsidP="003A445B">
      <w:pPr>
        <w:pStyle w:val="a2"/>
        <w:rPr>
          <w:rtl/>
        </w:rPr>
      </w:pPr>
      <w:bookmarkStart w:id="3237" w:name="_Toc10665798"/>
      <w:bookmarkStart w:id="3238" w:name="_Toc10713197"/>
      <w:bookmarkStart w:id="3239" w:name="_Toc9934841"/>
      <w:bookmarkStart w:id="3240" w:name="_Toc9936414"/>
      <w:bookmarkStart w:id="3241" w:name="_Toc9936435"/>
      <w:bookmarkStart w:id="3242" w:name="_Toc10061677"/>
      <w:bookmarkStart w:id="3243" w:name="_Toc10147732"/>
      <w:bookmarkStart w:id="3244" w:name="_Toc10202022"/>
      <w:bookmarkStart w:id="3245" w:name="_Toc10367986"/>
      <w:bookmarkStart w:id="3246" w:name="_Toc10451096"/>
      <w:bookmarkStart w:id="3247" w:name="_Toc10494348"/>
      <w:bookmarkStart w:id="3248" w:name="_Toc10541246"/>
      <w:bookmarkStart w:id="3249" w:name="_Toc10625600"/>
      <w:r w:rsidRPr="0050146A">
        <w:rPr>
          <w:rFonts w:hint="cs"/>
          <w:rtl/>
        </w:rPr>
        <w:t>דברי התוס' והרא"ש דהכחל אינו אסור מצד עצמו אלא החלב הבלוע בתוכו אסור וא"א להפרידם</w:t>
      </w:r>
      <w:bookmarkEnd w:id="3237"/>
      <w:bookmarkEnd w:id="3238"/>
    </w:p>
    <w:p w:rsidR="002D7168" w:rsidRDefault="003A445B" w:rsidP="009F44AF">
      <w:pPr>
        <w:pStyle w:val="a"/>
        <w:rPr>
          <w:sz w:val="10"/>
          <w:szCs w:val="14"/>
          <w:rtl/>
        </w:rPr>
      </w:pPr>
      <w:r w:rsidRPr="0050146A">
        <w:rPr>
          <w:rFonts w:hint="cs"/>
          <w:rtl/>
        </w:rPr>
        <w:t xml:space="preserve">וע"ע במה שהוסיפו </w:t>
      </w:r>
      <w:r w:rsidRPr="0050146A">
        <w:rPr>
          <w:rStyle w:val="af8"/>
          <w:rFonts w:hint="cs"/>
          <w:rtl/>
        </w:rPr>
        <w:t>התוס' והרא"ש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Ref10628205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Fonts w:hint="cs"/>
          <w:rtl/>
        </w:rPr>
        <w:t xml:space="preserve"> דהכחל אינו אסור מחמת שיש טעם של חלב בכחל, יותר מאשר יש טעם חלב בשאר הבשר שבקדירה, והאיסור של הכחל הוא מחמת שיש בו גומות שהחלב כנוס בהם, ובאותו החלב יש טעם של בשר, ואחר שהחלב התבשל בתוך הכחל, א"א להפריד את החלב מהכחל, דהא דמהני קריעה להוציא את החלב מהכחל הוא רק קודם בישול.</w:t>
      </w:r>
      <w:r w:rsidRPr="0050146A">
        <w:rPr>
          <w:rStyle w:val="afa"/>
          <w:rFonts w:hint="cs"/>
          <w:rtl/>
        </w:rPr>
        <w:t xml:space="preserve"> [ולכן אין בכחל דין חנ"נ דאין </w:t>
      </w:r>
      <w:r w:rsidRPr="0050146A">
        <w:rPr>
          <w:rStyle w:val="afa"/>
          <w:rtl/>
        </w:rPr>
        <w:t>איסורו מחמת עצמו</w:t>
      </w:r>
      <w:r w:rsidRPr="0050146A">
        <w:rPr>
          <w:rStyle w:val="afa"/>
          <w:rFonts w:hint="cs"/>
          <w:rtl/>
        </w:rPr>
        <w:t xml:space="preserve">, עי' בדבריהם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Ref10628205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לה)</w:t>
      </w:r>
      <w:r w:rsidRPr="0050146A">
        <w:rPr>
          <w:rStyle w:val="aff6"/>
          <w:rtl/>
        </w:rPr>
        <w:fldChar w:fldCharType="end"/>
      </w:r>
      <w:r w:rsidRPr="0050146A">
        <w:rPr>
          <w:rStyle w:val="afa"/>
          <w:rFonts w:hint="cs"/>
          <w:rtl/>
        </w:rPr>
        <w:t>].</w:t>
      </w:r>
    </w:p>
    <w:p w:rsidR="003A445B" w:rsidRPr="0050146A" w:rsidRDefault="003A445B" w:rsidP="003A445B">
      <w:pPr>
        <w:pStyle w:val="1"/>
        <w:rPr>
          <w:rtl/>
        </w:rPr>
      </w:pPr>
      <w:bookmarkStart w:id="3250" w:name="_Toc10665799"/>
      <w:bookmarkStart w:id="3251" w:name="_Toc10713198"/>
      <w:r w:rsidRPr="0050146A">
        <w:rPr>
          <w:rFonts w:hint="cs"/>
          <w:rtl/>
        </w:rPr>
        <w:t>קושית הגרעק"א על התוס'</w:t>
      </w:r>
      <w:bookmarkEnd w:id="3239"/>
      <w:bookmarkEnd w:id="3240"/>
      <w:bookmarkEnd w:id="3241"/>
      <w:bookmarkEnd w:id="3242"/>
      <w:bookmarkEnd w:id="3243"/>
      <w:bookmarkEnd w:id="3244"/>
      <w:bookmarkEnd w:id="3245"/>
      <w:bookmarkEnd w:id="3246"/>
      <w:bookmarkEnd w:id="3247"/>
      <w:bookmarkEnd w:id="3248"/>
      <w:bookmarkEnd w:id="3249"/>
      <w:r w:rsidRPr="0050146A">
        <w:rPr>
          <w:rFonts w:hint="cs"/>
          <w:rtl/>
        </w:rPr>
        <w:t xml:space="preserve"> דהחלב נפלט והכחל לא נאסר כלל</w:t>
      </w:r>
      <w:bookmarkEnd w:id="3250"/>
      <w:bookmarkEnd w:id="3251"/>
    </w:p>
    <w:p w:rsidR="003A445B" w:rsidRPr="0050146A" w:rsidRDefault="003A445B" w:rsidP="003A445B">
      <w:pPr>
        <w:pStyle w:val="a2"/>
        <w:rPr>
          <w:rtl/>
        </w:rPr>
      </w:pPr>
      <w:bookmarkStart w:id="3252" w:name="_Toc10625601"/>
      <w:bookmarkStart w:id="3253" w:name="_Toc10665800"/>
      <w:bookmarkStart w:id="3254" w:name="_Toc10713199"/>
      <w:r w:rsidRPr="0050146A">
        <w:rPr>
          <w:rFonts w:hint="cs"/>
          <w:rtl/>
        </w:rPr>
        <w:t>קושית הגרעק"א דבשר הכחל לא נאסר ורק החלב שבגומות נאסר וכל החלב נפלט כבר לקדירה</w:t>
      </w:r>
      <w:bookmarkEnd w:id="3252"/>
      <w:bookmarkEnd w:id="3253"/>
      <w:bookmarkEnd w:id="3254"/>
    </w:p>
    <w:p w:rsidR="003A445B" w:rsidRPr="0050146A" w:rsidRDefault="003A445B" w:rsidP="009F44AF">
      <w:pPr>
        <w:pStyle w:val="a"/>
        <w:rPr>
          <w:rtl/>
        </w:rPr>
      </w:pPr>
      <w:r w:rsidRPr="0050146A">
        <w:rPr>
          <w:rFonts w:hint="cs"/>
          <w:rtl/>
        </w:rPr>
        <w:lastRenderedPageBreak/>
        <w:t xml:space="preserve">והקשה </w:t>
      </w:r>
      <w:r w:rsidRPr="0050146A">
        <w:rPr>
          <w:rStyle w:val="af8"/>
          <w:rFonts w:hint="cs"/>
          <w:rtl/>
        </w:rPr>
        <w:t>הגרעק"א</w:t>
      </w:r>
      <w:r w:rsidRPr="0050146A">
        <w:rPr>
          <w:rStyle w:val="af6"/>
          <w:rFonts w:eastAsia="Guttman Hodes" w:hint="cs"/>
          <w:rtl/>
        </w:rPr>
        <w:t xml:space="preserve"> (בגלהש"ס)</w:t>
      </w:r>
      <w:r w:rsidRPr="0050146A">
        <w:rPr>
          <w:rFonts w:hint="cs"/>
          <w:rtl/>
        </w:rPr>
        <w:t xml:space="preserve"> דמה תירצו </w:t>
      </w:r>
      <w:r w:rsidRPr="0050146A">
        <w:rPr>
          <w:rStyle w:val="af8"/>
          <w:rFonts w:hint="cs"/>
          <w:rtl/>
        </w:rPr>
        <w:t>התוס'</w:t>
      </w:r>
      <w:r w:rsidRPr="0050146A">
        <w:rPr>
          <w:rFonts w:hint="cs"/>
          <w:rtl/>
        </w:rPr>
        <w:t xml:space="preserve"> דהכחל אסור כיון דאפשר לסוחטו אסור, הרי הבשר של הכחל לא נאסר, ורק החלב שכנוס בגומות הכחל נאסר, כיון שיש בו טעם בשר, וא"כ איסורו של הכחל הוא רק מחמת שכשאוכל את הכחל ממילא הוא אוכל גם את החלב האסור שבו, וא"כ אחר גמר הבישול, שכל החלב הכנוס בכחל יצא לתוך הקדירה, ממילא צריך הכחל להיות מותר, ואינו שייך לדין אפשר לסוחטו, דהא הכחל מצד עצמו לא נאסר כלל.</w:t>
      </w:r>
    </w:p>
    <w:p w:rsidR="003A445B" w:rsidRPr="0050146A" w:rsidRDefault="003A445B" w:rsidP="003A445B">
      <w:pPr>
        <w:pStyle w:val="1"/>
        <w:rPr>
          <w:rtl/>
        </w:rPr>
      </w:pPr>
      <w:bookmarkStart w:id="3255" w:name="_Toc10061672"/>
      <w:bookmarkStart w:id="3256" w:name="_Toc10147714"/>
      <w:bookmarkStart w:id="3257" w:name="_Toc10202004"/>
      <w:bookmarkStart w:id="3258" w:name="_Toc10367967"/>
      <w:bookmarkStart w:id="3259" w:name="_Toc10451066"/>
      <w:bookmarkStart w:id="3260" w:name="_Toc10494315"/>
      <w:bookmarkStart w:id="3261" w:name="_Toc10541248"/>
      <w:bookmarkStart w:id="3262" w:name="_Toc10625602"/>
      <w:bookmarkStart w:id="3263" w:name="_Toc10665801"/>
      <w:bookmarkStart w:id="3264" w:name="_Toc10713200"/>
      <w:bookmarkEnd w:id="3209"/>
      <w:bookmarkEnd w:id="3210"/>
      <w:bookmarkEnd w:id="3211"/>
      <w:bookmarkEnd w:id="3212"/>
      <w:bookmarkEnd w:id="3213"/>
      <w:bookmarkEnd w:id="3214"/>
      <w:bookmarkEnd w:id="3215"/>
      <w:bookmarkEnd w:id="3216"/>
      <w:bookmarkEnd w:id="3217"/>
      <w:r w:rsidRPr="0050146A">
        <w:rPr>
          <w:rFonts w:hint="cs"/>
          <w:rtl/>
        </w:rPr>
        <w:t>דעת הר"ן</w:t>
      </w:r>
      <w:bookmarkEnd w:id="3255"/>
      <w:bookmarkEnd w:id="3256"/>
      <w:bookmarkEnd w:id="3257"/>
      <w:bookmarkEnd w:id="3258"/>
      <w:bookmarkEnd w:id="3259"/>
      <w:bookmarkEnd w:id="3260"/>
      <w:bookmarkEnd w:id="3261"/>
      <w:r w:rsidRPr="0050146A">
        <w:rPr>
          <w:rFonts w:hint="cs"/>
          <w:rtl/>
        </w:rPr>
        <w:t xml:space="preserve"> דאף שהתבטל החלב אסור הכחל מפני מראית העין</w:t>
      </w:r>
      <w:bookmarkEnd w:id="3262"/>
      <w:bookmarkEnd w:id="3263"/>
      <w:bookmarkEnd w:id="3264"/>
      <w:r w:rsidRPr="0050146A">
        <w:rPr>
          <w:rFonts w:hint="cs"/>
          <w:rtl/>
        </w:rPr>
        <w:t xml:space="preserve"> </w:t>
      </w:r>
    </w:p>
    <w:p w:rsidR="003A445B" w:rsidRPr="0050146A" w:rsidRDefault="003A445B" w:rsidP="003A445B">
      <w:pPr>
        <w:pStyle w:val="a2"/>
        <w:rPr>
          <w:rtl/>
        </w:rPr>
      </w:pPr>
      <w:bookmarkStart w:id="3265" w:name="_Toc10625603"/>
      <w:bookmarkStart w:id="3266" w:name="_Toc10665802"/>
      <w:bookmarkStart w:id="3267" w:name="_Toc10713201"/>
      <w:r w:rsidRPr="0050146A">
        <w:rPr>
          <w:rFonts w:hint="cs"/>
          <w:rtl/>
        </w:rPr>
        <w:t>דברי הר"ן דמדינא הכחל מותר דהא יצא כל החלב והתבטל אך אסורהו מפני מראית העין</w:t>
      </w:r>
      <w:bookmarkEnd w:id="3265"/>
      <w:bookmarkEnd w:id="3266"/>
      <w:bookmarkEnd w:id="3267"/>
    </w:p>
    <w:p w:rsidR="003A445B" w:rsidRPr="0050146A" w:rsidRDefault="003A445B" w:rsidP="009F44AF">
      <w:pPr>
        <w:pStyle w:val="a"/>
        <w:rPr>
          <w:rtl/>
        </w:rPr>
      </w:pPr>
      <w:bookmarkStart w:id="3268" w:name="_Ref10393159"/>
      <w:r w:rsidRPr="0050146A">
        <w:rPr>
          <w:rStyle w:val="af8"/>
          <w:rFonts w:hint="cs"/>
          <w:rtl/>
        </w:rPr>
        <w:t>והר"ן על הרי"ף</w:t>
      </w:r>
      <w:r w:rsidRPr="0050146A">
        <w:rPr>
          <w:rFonts w:hint="cs"/>
          <w:rtl/>
        </w:rPr>
        <w:t xml:space="preserve"> </w:t>
      </w:r>
      <w:r w:rsidRPr="0050146A">
        <w:rPr>
          <w:rStyle w:val="af6"/>
          <w:rFonts w:eastAsia="Guttman Hodes" w:hint="cs"/>
          <w:rtl/>
        </w:rPr>
        <w:t>(לה. מדפי הרי"ף ד"ה וכחל)</w:t>
      </w:r>
      <w:r w:rsidRPr="0050146A">
        <w:rPr>
          <w:rFonts w:hint="cs"/>
          <w:rtl/>
        </w:rPr>
        <w:t xml:space="preserve"> כתב דאעפ"י דמדינא צריך להתיר אף את הכחל עצמו, דהא יצא כל החלב שבו והתבטל, מ"מ הכחל אסור מפני מראית העין, שמא יבואו להתיר חתיכת נבילה.</w:t>
      </w:r>
      <w:bookmarkEnd w:id="3268"/>
    </w:p>
    <w:p w:rsidR="003A445B" w:rsidRPr="0050146A" w:rsidRDefault="003A445B" w:rsidP="003A445B">
      <w:pPr>
        <w:pStyle w:val="a2"/>
        <w:rPr>
          <w:rtl/>
        </w:rPr>
      </w:pPr>
      <w:bookmarkStart w:id="3269" w:name="_Toc10625604"/>
      <w:bookmarkStart w:id="3270" w:name="_Toc10665803"/>
      <w:bookmarkStart w:id="3271" w:name="_Toc10713202"/>
      <w:r w:rsidRPr="0050146A">
        <w:rPr>
          <w:rFonts w:hint="cs"/>
          <w:rtl/>
        </w:rPr>
        <w:t>ביאור היד יהודה בר"ן דהכחל אוסר בפחות משישים ואי בשישים מותר יבואו להתיר נבילה בשישים</w:t>
      </w:r>
      <w:bookmarkEnd w:id="3269"/>
      <w:bookmarkEnd w:id="3270"/>
      <w:bookmarkEnd w:id="3271"/>
      <w:r w:rsidRPr="0050146A">
        <w:rPr>
          <w:rFonts w:hint="cs"/>
          <w:rtl/>
        </w:rPr>
        <w:t xml:space="preserve"> </w:t>
      </w:r>
    </w:p>
    <w:p w:rsidR="003A445B" w:rsidRPr="0050146A" w:rsidRDefault="003A445B" w:rsidP="009F44AF">
      <w:pPr>
        <w:pStyle w:val="a"/>
      </w:pPr>
      <w:r w:rsidRPr="0050146A">
        <w:rPr>
          <w:rFonts w:hint="cs"/>
          <w:rtl/>
        </w:rPr>
        <w:t xml:space="preserve">וביאר </w:t>
      </w:r>
      <w:r w:rsidRPr="0050146A">
        <w:rPr>
          <w:rStyle w:val="af8"/>
          <w:rFonts w:hint="cs"/>
          <w:rtl/>
        </w:rPr>
        <w:t>היד יהודה</w:t>
      </w:r>
      <w:r w:rsidRPr="0050146A">
        <w:rPr>
          <w:rFonts w:hint="cs"/>
          <w:rtl/>
        </w:rPr>
        <w:t xml:space="preserve"> </w:t>
      </w:r>
      <w:r w:rsidRPr="0050146A">
        <w:rPr>
          <w:rStyle w:val="af6"/>
          <w:rFonts w:eastAsia="Guttman Hodes" w:hint="cs"/>
          <w:rtl/>
        </w:rPr>
        <w:t>(סי' צ' סוס"ק א' ד"ה והר"ן)</w:t>
      </w:r>
      <w:r w:rsidRPr="0050146A">
        <w:rPr>
          <w:rFonts w:hint="cs"/>
          <w:rtl/>
        </w:rPr>
        <w:t xml:space="preserve"> את דברי </w:t>
      </w:r>
      <w:r w:rsidRPr="0050146A">
        <w:rPr>
          <w:rStyle w:val="af8"/>
          <w:rFonts w:hint="cs"/>
          <w:rtl/>
        </w:rPr>
        <w:t>הר"ן</w:t>
      </w:r>
      <w:r w:rsidRPr="0050146A">
        <w:rPr>
          <w:rFonts w:hint="cs"/>
          <w:rtl/>
        </w:rPr>
        <w:t xml:space="preserve"> דכיון שאם היה פחות משישים הכחל אוסר את הקדירה, א"כ אי במקום שיש שישים יהיה הכחל מותר, יבואו להתיר אף חתיכת נבילה שנפלה לקדירה והיה שישים כנגדה, דיאמרו דאף במקום שמכיר את החתיכה דהחתיכה עצמה מותרת, דיטעו לומר שהיא התבטלה בשישים, כמו שהכחל מותר דהתבטל בשישים, ועיי"ש במה שהאריך </w:t>
      </w:r>
      <w:r w:rsidRPr="0050146A">
        <w:rPr>
          <w:rStyle w:val="af8"/>
          <w:rFonts w:hint="cs"/>
          <w:rtl/>
        </w:rPr>
        <w:t>היד יהודה</w:t>
      </w:r>
      <w:r w:rsidRPr="0050146A">
        <w:rPr>
          <w:rFonts w:hint="cs"/>
          <w:rtl/>
        </w:rPr>
        <w:t xml:space="preserve"> בביאור דברי </w:t>
      </w:r>
      <w:r w:rsidRPr="0050146A">
        <w:rPr>
          <w:rStyle w:val="af8"/>
          <w:rFonts w:hint="cs"/>
          <w:rtl/>
        </w:rPr>
        <w:t>הר"ן</w:t>
      </w:r>
      <w:r w:rsidRPr="0050146A">
        <w:rPr>
          <w:rFonts w:hint="cs"/>
          <w:rtl/>
        </w:rPr>
        <w:t>.</w:t>
      </w:r>
    </w:p>
    <w:p w:rsidR="003A445B" w:rsidRPr="0050146A" w:rsidRDefault="003A445B" w:rsidP="003A445B">
      <w:pPr>
        <w:pStyle w:val="a2"/>
        <w:rPr>
          <w:rtl/>
        </w:rPr>
      </w:pPr>
      <w:bookmarkStart w:id="3272" w:name="_Toc10625605"/>
      <w:bookmarkStart w:id="3273" w:name="_Toc10665804"/>
      <w:bookmarkStart w:id="3274" w:name="_Toc10713203"/>
      <w:r w:rsidRPr="0050146A">
        <w:rPr>
          <w:rFonts w:hint="cs"/>
          <w:rtl/>
        </w:rPr>
        <w:t>ביאור התוי"ט בר"ן דיבואו להתיר חתיכה שבלעה איסור דיש לה דין חנ"נ דדמי לכחל שבלע בשר</w:t>
      </w:r>
      <w:bookmarkEnd w:id="3272"/>
      <w:bookmarkEnd w:id="3273"/>
      <w:bookmarkEnd w:id="3274"/>
    </w:p>
    <w:p w:rsidR="003A445B" w:rsidRPr="0050146A" w:rsidRDefault="003A445B" w:rsidP="009F44AF">
      <w:pPr>
        <w:pStyle w:val="a"/>
        <w:rPr>
          <w:rtl/>
        </w:rPr>
      </w:pPr>
      <w:r w:rsidRPr="0050146A">
        <w:rPr>
          <w:rFonts w:hint="cs"/>
          <w:rtl/>
        </w:rPr>
        <w:t xml:space="preserve">אבל </w:t>
      </w:r>
      <w:r w:rsidRPr="0050146A">
        <w:rPr>
          <w:rStyle w:val="af8"/>
          <w:rFonts w:hint="cs"/>
          <w:rtl/>
        </w:rPr>
        <w:t>התוי"ט</w:t>
      </w:r>
      <w:r w:rsidRPr="0050146A">
        <w:rPr>
          <w:rFonts w:hint="cs"/>
          <w:rtl/>
        </w:rPr>
        <w:t xml:space="preserve"> </w:t>
      </w:r>
      <w:r w:rsidRPr="0050146A">
        <w:rPr>
          <w:rStyle w:val="af6"/>
          <w:rFonts w:eastAsia="Guttman Hodes" w:hint="cs"/>
          <w:rtl/>
        </w:rPr>
        <w:t xml:space="preserve">(פ"ח מ"ג ד"ה לא קרעו) </w:t>
      </w:r>
      <w:r w:rsidRPr="0050146A">
        <w:rPr>
          <w:rFonts w:hint="cs"/>
          <w:rtl/>
        </w:rPr>
        <w:t xml:space="preserve">ביאר דאין כוונת </w:t>
      </w:r>
      <w:r w:rsidRPr="0050146A">
        <w:rPr>
          <w:rStyle w:val="af8"/>
          <w:rFonts w:hint="cs"/>
          <w:rtl/>
        </w:rPr>
        <w:t>הר"ן</w:t>
      </w:r>
      <w:r w:rsidRPr="0050146A">
        <w:rPr>
          <w:rFonts w:hint="cs"/>
          <w:rtl/>
        </w:rPr>
        <w:t xml:space="preserve"> לומר שיבואו להתיר חתיכת נבילה ממש, דהא זהו חשש רחוק, אלא דחששו שיבואו להתיר חתיכה שנאסרה כשבלעה איסור דלא היה שישים כנגד האיסור, שיש לה דין חנ"נ, דהיא ממש דומיא דכחל שנאסר מחמת שהחלב בלע מהבשר.</w:t>
      </w:r>
    </w:p>
    <w:p w:rsidR="003A445B" w:rsidRPr="0050146A" w:rsidRDefault="003A445B" w:rsidP="003A445B">
      <w:pPr>
        <w:pStyle w:val="1"/>
        <w:rPr>
          <w:rtl/>
        </w:rPr>
      </w:pPr>
      <w:bookmarkStart w:id="3275" w:name="_Toc10625606"/>
      <w:bookmarkStart w:id="3276" w:name="_Toc10665805"/>
      <w:bookmarkStart w:id="3277" w:name="_Toc10713204"/>
      <w:r w:rsidRPr="0050146A">
        <w:rPr>
          <w:rFonts w:hint="cs"/>
          <w:rtl/>
        </w:rPr>
        <w:t>דברי הרי"ד</w:t>
      </w:r>
      <w:bookmarkEnd w:id="3275"/>
      <w:bookmarkEnd w:id="3276"/>
      <w:bookmarkEnd w:id="3277"/>
      <w:r w:rsidRPr="0050146A">
        <w:rPr>
          <w:rFonts w:hint="cs"/>
          <w:rtl/>
        </w:rPr>
        <w:t xml:space="preserve"> דהחלב שבכחל הוא תולדתו ואינו אוסרו</w:t>
      </w:r>
    </w:p>
    <w:p w:rsidR="003A445B" w:rsidRPr="0050146A" w:rsidRDefault="003A445B" w:rsidP="003A445B">
      <w:pPr>
        <w:pStyle w:val="a2"/>
        <w:rPr>
          <w:rtl/>
        </w:rPr>
      </w:pPr>
      <w:bookmarkStart w:id="3278" w:name="_Toc10625607"/>
      <w:bookmarkStart w:id="3279" w:name="_Toc10665806"/>
      <w:bookmarkStart w:id="3280" w:name="_Toc10713205"/>
      <w:r w:rsidRPr="0050146A">
        <w:rPr>
          <w:rFonts w:hint="cs"/>
          <w:rtl/>
        </w:rPr>
        <w:t>דברי הרי"ד דהו"א דהכחל אינו נאסר דהכחל הבלוע בו לא חשיב חלב</w:t>
      </w:r>
      <w:bookmarkEnd w:id="3278"/>
      <w:bookmarkEnd w:id="3279"/>
      <w:bookmarkEnd w:id="3280"/>
    </w:p>
    <w:p w:rsidR="003A445B" w:rsidRPr="0050146A" w:rsidRDefault="003A445B" w:rsidP="009F44AF">
      <w:pPr>
        <w:pStyle w:val="a"/>
        <w:rPr>
          <w:rtl/>
        </w:rPr>
      </w:pPr>
      <w:bookmarkStart w:id="3281" w:name="_Ref10026884"/>
      <w:r w:rsidRPr="0050146A">
        <w:rPr>
          <w:rStyle w:val="af8"/>
          <w:rFonts w:hint="cs"/>
          <w:rtl/>
        </w:rPr>
        <w:t>ובפסקי הרי"ד</w:t>
      </w:r>
      <w:r w:rsidRPr="0050146A">
        <w:rPr>
          <w:rFonts w:hint="cs"/>
          <w:rtl/>
        </w:rPr>
        <w:t xml:space="preserve"> </w:t>
      </w:r>
      <w:r w:rsidRPr="0050146A">
        <w:rPr>
          <w:rStyle w:val="af6"/>
          <w:rFonts w:eastAsia="Guttman Hodes" w:hint="cs"/>
          <w:rtl/>
        </w:rPr>
        <w:t>(ד"ה אמר רב יצחק, הועתק בקובץ שיטות קמאי חולין ח"ג עמ' ב' אלף רי"ז)</w:t>
      </w:r>
      <w:r w:rsidRPr="0050146A">
        <w:rPr>
          <w:rFonts w:hint="cs"/>
          <w:rtl/>
        </w:rPr>
        <w:t xml:space="preserve"> כתב דבבישלו בפנ"ע דחלב הכחל אינו אוסר את בשר הכחל הוא כיון שהוא תולדתו,</w:t>
      </w:r>
      <w:r w:rsidRPr="0050146A">
        <w:rPr>
          <w:rStyle w:val="afa"/>
          <w:rFonts w:hint="cs"/>
          <w:rtl/>
        </w:rPr>
        <w:t xml:space="preserve"> [כדביאר </w:t>
      </w:r>
      <w:r w:rsidRPr="0050146A">
        <w:rPr>
          <w:rStyle w:val="affa"/>
          <w:rFonts w:hint="cs"/>
          <w:rtl/>
        </w:rPr>
        <w:t>הרי"ד</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Ref10579751 \n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טו)</w:t>
      </w:r>
      <w:r w:rsidRPr="0050146A">
        <w:rPr>
          <w:rStyle w:val="aff6"/>
          <w:rtl/>
        </w:rPr>
        <w:fldChar w:fldCharType="end"/>
      </w:r>
      <w:r w:rsidRPr="0050146A">
        <w:rPr>
          <w:rStyle w:val="afa"/>
          <w:rFonts w:hint="cs"/>
          <w:rtl/>
        </w:rPr>
        <w:t>],</w:t>
      </w:r>
      <w:r w:rsidRPr="0050146A">
        <w:rPr>
          <w:rFonts w:hint="cs"/>
          <w:rtl/>
        </w:rPr>
        <w:t xml:space="preserve"> ולולי דברי רב יצחק הו"א דאף בבישלו עם בשר אחר, דהחלב שבכחל אוסר רק את  הבשר אחר, דאחר שפירש החלב מהכחל הוא חשיב ככל חלב, ואוסר את הבשר כשנבלע בו, אבל הכחל עצמו הו"א דאינו נאסר ע"י הבשר שבקדירה, דכיון שהחלב בלוע בתוך הכחל אינו נחשב כחלב, ואינו נאסר ע"י שאר הבשר שבקדירה.</w:t>
      </w:r>
      <w:bookmarkEnd w:id="3281"/>
    </w:p>
    <w:p w:rsidR="003A445B" w:rsidRPr="0050146A" w:rsidRDefault="003A445B" w:rsidP="003A445B">
      <w:pPr>
        <w:pStyle w:val="a2"/>
        <w:rPr>
          <w:rtl/>
        </w:rPr>
      </w:pPr>
      <w:bookmarkStart w:id="3282" w:name="_Toc10625608"/>
      <w:bookmarkStart w:id="3283" w:name="_Toc10665807"/>
      <w:bookmarkStart w:id="3284" w:name="_Toc10713206"/>
      <w:r w:rsidRPr="0050146A">
        <w:rPr>
          <w:rFonts w:hint="cs"/>
          <w:rtl/>
        </w:rPr>
        <w:t>דברי הרי"ד דקמ"ל רב יצחק דהחלב הבלוע חשיב חלב ונאסר ע"י הבשר שבקדירה והוי כבב"ח</w:t>
      </w:r>
      <w:bookmarkEnd w:id="3282"/>
      <w:bookmarkEnd w:id="3283"/>
      <w:bookmarkEnd w:id="3284"/>
    </w:p>
    <w:p w:rsidR="003A445B" w:rsidRPr="0050146A" w:rsidRDefault="003A445B" w:rsidP="009F44AF">
      <w:pPr>
        <w:pStyle w:val="a"/>
        <w:rPr>
          <w:rtl/>
        </w:rPr>
      </w:pPr>
      <w:r w:rsidRPr="0050146A">
        <w:rPr>
          <w:rFonts w:hint="cs"/>
          <w:rtl/>
        </w:rPr>
        <w:t xml:space="preserve">וכתב </w:t>
      </w:r>
      <w:r w:rsidRPr="0050146A">
        <w:rPr>
          <w:rStyle w:val="af8"/>
          <w:rFonts w:hint="cs"/>
          <w:rtl/>
        </w:rPr>
        <w:t>בפסקי הרי"ד</w:t>
      </w:r>
      <w:r w:rsidRPr="0050146A">
        <w:rPr>
          <w:rFonts w:hint="cs"/>
          <w:rtl/>
        </w:rPr>
        <w:t xml:space="preserve"> דקמ"ל רב יצחק דאף שהחלב בלוע בתוך הכחל, מ"מ הוא חשיב חלב, ואחר שהבשר שבקדירה נתן טעם בחלב שבכחל, נאסר הכחל ע"י הבשר שבקדירה, וע"ע במ"ש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Ref10579081 \n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בדעת </w:t>
      </w:r>
      <w:r w:rsidRPr="0050146A">
        <w:rPr>
          <w:rStyle w:val="af8"/>
          <w:rFonts w:hint="cs"/>
          <w:rtl/>
        </w:rPr>
        <w:t>רש"י</w:t>
      </w:r>
      <w:r w:rsidRPr="0050146A">
        <w:rPr>
          <w:rFonts w:hint="cs"/>
          <w:rtl/>
        </w:rPr>
        <w:t>.</w:t>
      </w:r>
    </w:p>
    <w:p w:rsidR="003A445B" w:rsidRPr="0050146A" w:rsidRDefault="003A445B" w:rsidP="003A445B">
      <w:pPr>
        <w:pStyle w:val="1"/>
        <w:rPr>
          <w:rtl/>
        </w:rPr>
      </w:pPr>
      <w:bookmarkStart w:id="3285" w:name="_Toc10541247"/>
      <w:bookmarkStart w:id="3286" w:name="_Toc10625609"/>
      <w:bookmarkStart w:id="3287" w:name="_Toc10665808"/>
      <w:bookmarkStart w:id="3288" w:name="_Toc10713207"/>
      <w:bookmarkStart w:id="3289" w:name="_Toc10147716"/>
      <w:bookmarkStart w:id="3290" w:name="_Toc10202006"/>
      <w:bookmarkStart w:id="3291" w:name="_Toc10367969"/>
      <w:bookmarkStart w:id="3292" w:name="_Toc10451068"/>
      <w:bookmarkStart w:id="3293" w:name="_Toc10494317"/>
      <w:bookmarkStart w:id="3294" w:name="_Toc10541250"/>
      <w:r w:rsidRPr="0050146A">
        <w:rPr>
          <w:rFonts w:hint="cs"/>
          <w:rtl/>
        </w:rPr>
        <w:t>דברי הרשב"א</w:t>
      </w:r>
      <w:bookmarkEnd w:id="3285"/>
      <w:r w:rsidRPr="0050146A">
        <w:rPr>
          <w:rFonts w:hint="cs"/>
          <w:rtl/>
        </w:rPr>
        <w:t xml:space="preserve"> דאיסור הכחל הוא אף בנפל לתוך מאה</w:t>
      </w:r>
      <w:bookmarkEnd w:id="3286"/>
      <w:bookmarkEnd w:id="3287"/>
      <w:bookmarkEnd w:id="3288"/>
    </w:p>
    <w:p w:rsidR="003A445B" w:rsidRPr="0050146A" w:rsidRDefault="003A445B" w:rsidP="003A445B">
      <w:pPr>
        <w:pStyle w:val="a2"/>
        <w:rPr>
          <w:rtl/>
        </w:rPr>
      </w:pPr>
      <w:bookmarkStart w:id="3295" w:name="_Toc10625610"/>
      <w:bookmarkStart w:id="3296" w:name="_Toc10665809"/>
      <w:bookmarkStart w:id="3297" w:name="_Toc10713208"/>
      <w:r w:rsidRPr="0050146A">
        <w:rPr>
          <w:rFonts w:hint="cs"/>
          <w:rtl/>
        </w:rPr>
        <w:t>דברי הרשב"א דבקדירה אחרת הכחל אסור אף בנפל לתוך מאה דיש לו דין חנ"נ</w:t>
      </w:r>
      <w:bookmarkEnd w:id="3295"/>
      <w:bookmarkEnd w:id="3296"/>
      <w:bookmarkEnd w:id="3297"/>
    </w:p>
    <w:p w:rsidR="003A445B" w:rsidRPr="0050146A" w:rsidRDefault="003A445B" w:rsidP="009F44AF">
      <w:pPr>
        <w:pStyle w:val="a"/>
        <w:rPr>
          <w:rtl/>
        </w:rPr>
      </w:pPr>
      <w:bookmarkStart w:id="3298" w:name="_Ref10044402"/>
      <w:r w:rsidRPr="0050146A">
        <w:rPr>
          <w:rFonts w:hint="cs"/>
          <w:rtl/>
        </w:rPr>
        <w:t xml:space="preserve">כתב </w:t>
      </w:r>
      <w:r w:rsidRPr="0050146A">
        <w:rPr>
          <w:rStyle w:val="af8"/>
          <w:rFonts w:hint="cs"/>
          <w:rtl/>
        </w:rPr>
        <w:t>הרשב"א בחי'</w:t>
      </w:r>
      <w:r w:rsidRPr="0050146A">
        <w:rPr>
          <w:rFonts w:hint="cs"/>
          <w:rtl/>
        </w:rPr>
        <w:t xml:space="preserve"> </w:t>
      </w:r>
      <w:r w:rsidRPr="0050146A">
        <w:rPr>
          <w:rStyle w:val="af6"/>
          <w:rFonts w:eastAsia="Guttman Hodes" w:hint="cs"/>
          <w:rtl/>
        </w:rPr>
        <w:t>(ד"ה אמר)</w:t>
      </w:r>
      <w:r w:rsidRPr="0050146A">
        <w:rPr>
          <w:rFonts w:hint="cs"/>
          <w:rtl/>
        </w:rPr>
        <w:t xml:space="preserve"> דהא דהכחל עצמו אסור, אינו רק כשנפל לתוך חמישים ותשע חתיכות של בשר, אלא אף בנפל הכחל לתוך מאה ג"כ אסור, דרבנן החשיבו את הכחל כחתיכת נבילה, שאסורה לעולם, וכ"ז שמכירה אינה בטלה אפילו באלף, וממילא היא חוזרת ואוסרת אף קדירות אחרות, וביאר </w:t>
      </w:r>
      <w:r w:rsidRPr="0050146A">
        <w:rPr>
          <w:rStyle w:val="af8"/>
          <w:rFonts w:hint="cs"/>
          <w:rtl/>
        </w:rPr>
        <w:t>הרשב"א</w:t>
      </w:r>
      <w:r w:rsidRPr="0050146A">
        <w:rPr>
          <w:rFonts w:hint="cs"/>
          <w:rtl/>
        </w:rPr>
        <w:t xml:space="preserve"> דכ"ז </w:t>
      </w:r>
      <w:r w:rsidRPr="0050146A">
        <w:rPr>
          <w:rFonts w:hint="cs"/>
          <w:rtl/>
        </w:rPr>
        <w:t xml:space="preserve">שהכחל לא הצטמק, </w:t>
      </w:r>
      <w:r w:rsidRPr="0050146A">
        <w:rPr>
          <w:rStyle w:val="afa"/>
          <w:rFonts w:hint="cs"/>
          <w:rtl/>
        </w:rPr>
        <w:t>[ועדיין לא יצא ממנו החלב],</w:t>
      </w:r>
      <w:r w:rsidRPr="0050146A">
        <w:rPr>
          <w:rFonts w:hint="cs"/>
          <w:rtl/>
        </w:rPr>
        <w:t xml:space="preserve"> נתנה בו הקדירה טעם ונאסר</w:t>
      </w:r>
      <w:bookmarkEnd w:id="3298"/>
      <w:r w:rsidRPr="0050146A">
        <w:rPr>
          <w:rFonts w:hint="cs"/>
          <w:rtl/>
        </w:rPr>
        <w:t>, ושויוה רבנן כחתיכת נבילה שאין לה היתר לעולם.</w:t>
      </w:r>
    </w:p>
    <w:p w:rsidR="003A445B" w:rsidRPr="0050146A" w:rsidRDefault="003A445B" w:rsidP="003A445B">
      <w:pPr>
        <w:pStyle w:val="a2"/>
        <w:rPr>
          <w:rtl/>
        </w:rPr>
      </w:pPr>
      <w:bookmarkStart w:id="3299" w:name="_Toc10625611"/>
      <w:bookmarkStart w:id="3300" w:name="_Toc10665810"/>
      <w:bookmarkStart w:id="3301" w:name="_Toc10713209"/>
      <w:r w:rsidRPr="0050146A">
        <w:rPr>
          <w:rFonts w:hint="cs"/>
          <w:rtl/>
        </w:rPr>
        <w:t>תירוץ הרשב"א על קושית התוס' דאמאי אין לכחל דין חנ"נ דכשבטל בשישים לא החמירו בו כחנ"נ</w:t>
      </w:r>
      <w:bookmarkEnd w:id="3299"/>
      <w:bookmarkEnd w:id="3300"/>
      <w:bookmarkEnd w:id="3301"/>
    </w:p>
    <w:p w:rsidR="003A445B" w:rsidRPr="0050146A" w:rsidRDefault="003A445B" w:rsidP="009F44AF">
      <w:pPr>
        <w:pStyle w:val="a"/>
        <w:rPr>
          <w:rtl/>
        </w:rPr>
      </w:pPr>
      <w:bookmarkStart w:id="3302" w:name="_Ref10623956"/>
      <w:r w:rsidRPr="0050146A">
        <w:rPr>
          <w:rFonts w:hint="cs"/>
          <w:rtl/>
        </w:rPr>
        <w:t xml:space="preserve">והביא </w:t>
      </w:r>
      <w:r w:rsidRPr="0050146A">
        <w:rPr>
          <w:rStyle w:val="af8"/>
          <w:rFonts w:hint="cs"/>
          <w:rtl/>
        </w:rPr>
        <w:t>הרשב"א בחי'</w:t>
      </w:r>
      <w:r w:rsidRPr="0050146A">
        <w:rPr>
          <w:rFonts w:hint="cs"/>
          <w:rtl/>
        </w:rPr>
        <w:t xml:space="preserve"> את קושית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Ref10624468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50146A">
        <w:rPr>
          <w:rStyle w:val="af6"/>
          <w:rFonts w:eastAsia="Guttman Hodes"/>
          <w:rtl/>
        </w:rPr>
        <w:fldChar w:fldCharType="end"/>
      </w:r>
      <w:r w:rsidRPr="0050146A">
        <w:rPr>
          <w:rFonts w:hint="cs"/>
          <w:rtl/>
        </w:rPr>
        <w:t xml:space="preserve"> דכיון שהכחל עצמו אסור, כשיש כנגדו חמישים ותשע, א"כ אמאי אינו חוזר ואוסר את כל הקדירה, וכתב </w:t>
      </w:r>
      <w:r w:rsidRPr="0050146A">
        <w:rPr>
          <w:rStyle w:val="af8"/>
          <w:rFonts w:hint="cs"/>
          <w:rtl/>
        </w:rPr>
        <w:t>הרשב"א</w:t>
      </w:r>
      <w:r w:rsidRPr="0050146A">
        <w:rPr>
          <w:rFonts w:hint="cs"/>
          <w:rtl/>
        </w:rPr>
        <w:t xml:space="preserve"> דבמקום שיש שישים כנגדו </w:t>
      </w:r>
      <w:r w:rsidRPr="0050146A">
        <w:rPr>
          <w:rStyle w:val="afa"/>
          <w:rFonts w:hint="cs"/>
          <w:rtl/>
        </w:rPr>
        <w:t>[דהיינו כשהכחל אינו מן המנין]</w:t>
      </w:r>
      <w:r w:rsidRPr="0050146A">
        <w:rPr>
          <w:rFonts w:hint="cs"/>
          <w:rtl/>
        </w:rPr>
        <w:t xml:space="preserve">, לא קשה קושית </w:t>
      </w:r>
      <w:r w:rsidRPr="0050146A">
        <w:rPr>
          <w:rStyle w:val="af8"/>
          <w:rFonts w:hint="cs"/>
          <w:rtl/>
        </w:rPr>
        <w:t>התוס'</w:t>
      </w:r>
      <w:r w:rsidRPr="0050146A">
        <w:rPr>
          <w:rFonts w:hint="cs"/>
          <w:rtl/>
        </w:rPr>
        <w:t>, דאפש"ל דכיון דכחל הוא איסור דרבנן, דחלב מתה דרבנן, לכן לא החמירו רבנן בכחל כ"כ ככל חנ"ן שאוסר את הכל מדין מין במינו, וכיון שלא החמירו בו את כל דין חנ</w:t>
      </w:r>
      <w:r w:rsidRPr="0050146A">
        <w:rPr>
          <w:rtl/>
        </w:rPr>
        <w:t>"</w:t>
      </w:r>
      <w:r w:rsidRPr="0050146A">
        <w:rPr>
          <w:rFonts w:hint="cs"/>
          <w:rtl/>
        </w:rPr>
        <w:t xml:space="preserve">נ, לכן אינו אוסר את הקדירה, ועוד תירץ </w:t>
      </w:r>
      <w:r w:rsidRPr="0050146A">
        <w:rPr>
          <w:rStyle w:val="af8"/>
          <w:rFonts w:hint="cs"/>
          <w:rtl/>
        </w:rPr>
        <w:t>הרשב"א</w:t>
      </w:r>
      <w:r w:rsidRPr="0050146A">
        <w:rPr>
          <w:rFonts w:hint="cs"/>
          <w:rtl/>
        </w:rPr>
        <w:t xml:space="preserve"> אפש"ל דר"נ דאמר שהכחל עצמו אסור, ס"ל כרבנן דר"י דאף מין במינו בשישים. </w:t>
      </w:r>
      <w:r w:rsidRPr="0050146A">
        <w:rPr>
          <w:rStyle w:val="afa"/>
          <w:rFonts w:hint="cs"/>
          <w:rtl/>
        </w:rPr>
        <w:t>[והיינו דאחר שנאסר הכחל מדין חנ"נ, הוא אוסר את הבשר שבקדירה השניה רק בפחות משישים, אבל בשישים הוא מתבטל כרבנן דמין במינו בשישים]</w:t>
      </w:r>
      <w:bookmarkEnd w:id="3302"/>
      <w:r w:rsidRPr="0050146A">
        <w:rPr>
          <w:rStyle w:val="afa"/>
          <w:rFonts w:hint="cs"/>
          <w:rtl/>
        </w:rPr>
        <w:t xml:space="preserve">, </w:t>
      </w:r>
      <w:r w:rsidRPr="0050146A">
        <w:rPr>
          <w:rFonts w:hint="cs"/>
          <w:rtl/>
        </w:rPr>
        <w:t xml:space="preserve">אמנם יעוי' עוד בדברי </w:t>
      </w:r>
      <w:r w:rsidRPr="0050146A">
        <w:rPr>
          <w:rStyle w:val="af8"/>
          <w:rFonts w:hint="cs"/>
          <w:rtl/>
        </w:rPr>
        <w:t>ה</w:t>
      </w:r>
      <w:r w:rsidR="00250230">
        <w:rPr>
          <w:rStyle w:val="af8"/>
          <w:rFonts w:hint="cs"/>
          <w:rtl/>
        </w:rPr>
        <w:t>פלתי</w:t>
      </w:r>
      <w:r w:rsidRPr="0050146A">
        <w:rPr>
          <w:rStyle w:val="af8"/>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Ref10575696 \n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50146A">
        <w:rPr>
          <w:rStyle w:val="af6"/>
          <w:rFonts w:eastAsia="Guttman Hodes"/>
          <w:rtl/>
        </w:rPr>
        <w:fldChar w:fldCharType="end"/>
      </w:r>
      <w:r w:rsidRPr="0050146A">
        <w:rPr>
          <w:rFonts w:hint="cs"/>
          <w:rtl/>
        </w:rPr>
        <w:t xml:space="preserve">. </w:t>
      </w:r>
    </w:p>
    <w:p w:rsidR="003A445B" w:rsidRPr="0050146A" w:rsidRDefault="003A445B" w:rsidP="00E669F8">
      <w:pPr>
        <w:pStyle w:val="afd"/>
        <w:rPr>
          <w:rtl/>
        </w:rPr>
      </w:pPr>
      <w:bookmarkStart w:id="3303" w:name="_Toc10625613"/>
      <w:bookmarkStart w:id="3304" w:name="_Toc10665812"/>
      <w:bookmarkStart w:id="3305" w:name="_Toc10713211"/>
      <w:r w:rsidRPr="0050146A">
        <w:rPr>
          <w:rFonts w:hint="cs"/>
          <w:rtl/>
        </w:rPr>
        <w:t>כחל מן המנין</w:t>
      </w:r>
      <w:bookmarkEnd w:id="3101"/>
      <w:bookmarkEnd w:id="3102"/>
      <w:bookmarkEnd w:id="3103"/>
      <w:bookmarkEnd w:id="3104"/>
      <w:bookmarkEnd w:id="3289"/>
      <w:bookmarkEnd w:id="3290"/>
      <w:bookmarkEnd w:id="3291"/>
      <w:bookmarkEnd w:id="3292"/>
      <w:bookmarkEnd w:id="3293"/>
      <w:bookmarkEnd w:id="3294"/>
      <w:bookmarkEnd w:id="3303"/>
      <w:bookmarkEnd w:id="3304"/>
      <w:bookmarkEnd w:id="3305"/>
    </w:p>
    <w:p w:rsidR="003A445B" w:rsidRPr="0050146A" w:rsidRDefault="003A445B" w:rsidP="003A445B">
      <w:pPr>
        <w:pStyle w:val="1"/>
        <w:rPr>
          <w:rtl/>
        </w:rPr>
      </w:pPr>
      <w:bookmarkStart w:id="3306" w:name="_Toc9934833"/>
      <w:bookmarkStart w:id="3307" w:name="_Toc9936401"/>
      <w:bookmarkStart w:id="3308" w:name="_Toc9936422"/>
      <w:bookmarkStart w:id="3309" w:name="_Toc10061659"/>
      <w:bookmarkStart w:id="3310" w:name="_Toc10147717"/>
      <w:bookmarkStart w:id="3311" w:name="_Toc10202007"/>
      <w:bookmarkStart w:id="3312" w:name="_Toc10367970"/>
      <w:bookmarkStart w:id="3313" w:name="_Toc10451069"/>
      <w:bookmarkStart w:id="3314" w:name="_Toc10494318"/>
      <w:bookmarkStart w:id="3315" w:name="_Toc10541251"/>
      <w:bookmarkStart w:id="3316" w:name="_Toc10625614"/>
      <w:bookmarkStart w:id="3317" w:name="_Toc10665813"/>
      <w:bookmarkStart w:id="3318" w:name="_Toc10713212"/>
      <w:r w:rsidRPr="0050146A">
        <w:rPr>
          <w:rFonts w:hint="cs"/>
          <w:rtl/>
        </w:rPr>
        <w:t>דברי רש"י</w:t>
      </w:r>
      <w:bookmarkEnd w:id="3306"/>
      <w:bookmarkEnd w:id="3307"/>
      <w:bookmarkEnd w:id="3308"/>
      <w:bookmarkEnd w:id="3309"/>
      <w:bookmarkEnd w:id="3310"/>
      <w:bookmarkEnd w:id="3311"/>
      <w:bookmarkEnd w:id="3312"/>
      <w:bookmarkEnd w:id="3313"/>
      <w:bookmarkEnd w:id="3314"/>
      <w:bookmarkEnd w:id="3315"/>
      <w:bookmarkEnd w:id="3316"/>
      <w:bookmarkEnd w:id="3317"/>
      <w:r w:rsidRPr="0050146A">
        <w:rPr>
          <w:rFonts w:hint="cs"/>
          <w:rtl/>
        </w:rPr>
        <w:t xml:space="preserve"> דהכחל הוא מין היתר ולכן הוא מן המנין</w:t>
      </w:r>
      <w:bookmarkEnd w:id="3318"/>
    </w:p>
    <w:p w:rsidR="003A445B" w:rsidRPr="0050146A" w:rsidRDefault="003A445B" w:rsidP="003A445B">
      <w:pPr>
        <w:pStyle w:val="a2"/>
        <w:rPr>
          <w:rtl/>
        </w:rPr>
      </w:pPr>
      <w:bookmarkStart w:id="3319" w:name="_Toc10625615"/>
      <w:bookmarkStart w:id="3320" w:name="_Toc10665814"/>
      <w:bookmarkStart w:id="3321" w:name="_Toc10713213"/>
      <w:r w:rsidRPr="0050146A">
        <w:rPr>
          <w:rFonts w:hint="cs"/>
          <w:rtl/>
        </w:rPr>
        <w:t>דברי רש"י דהכחל הוא מין של היתר ולכן הוא כלול בתוך המנין של השישים כנגד החלב</w:t>
      </w:r>
      <w:bookmarkEnd w:id="3319"/>
      <w:bookmarkEnd w:id="3320"/>
      <w:bookmarkEnd w:id="3321"/>
    </w:p>
    <w:p w:rsidR="003A445B" w:rsidRPr="0050146A" w:rsidRDefault="003A445B" w:rsidP="009F44AF">
      <w:pPr>
        <w:pStyle w:val="a"/>
        <w:rPr>
          <w:rtl/>
        </w:rPr>
      </w:pPr>
      <w:bookmarkStart w:id="3322" w:name="_Ref10021061"/>
      <w:r w:rsidRPr="0050146A">
        <w:rPr>
          <w:rFonts w:hint="cs"/>
          <w:rtl/>
        </w:rPr>
        <w:t xml:space="preserve">בדברי ר"נ דגיד אינו מתוך המנין של השישים, ואילו הכחל הוא בתוך המנין, ביאר </w:t>
      </w:r>
      <w:r w:rsidRPr="0050146A">
        <w:rPr>
          <w:rStyle w:val="af8"/>
          <w:rFonts w:hint="cs"/>
          <w:rtl/>
        </w:rPr>
        <w:t xml:space="preserve">רש"י </w:t>
      </w:r>
      <w:r w:rsidRPr="0050146A">
        <w:rPr>
          <w:rStyle w:val="af6"/>
          <w:rFonts w:eastAsia="Guttman Hodes" w:hint="cs"/>
          <w:rtl/>
        </w:rPr>
        <w:t>(ד"ה ואין)</w:t>
      </w:r>
      <w:r w:rsidRPr="0050146A">
        <w:rPr>
          <w:rFonts w:hint="cs"/>
          <w:rtl/>
        </w:rPr>
        <w:t xml:space="preserve"> דכיון שהכחל הוא מין של היתר, לכן הוא כלול בשיעור שישים, דיחד עמו יהיה שישים, וביאר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(ד"ה וכחל) </w:t>
      </w:r>
      <w:r w:rsidRPr="0050146A">
        <w:rPr>
          <w:rFonts w:hint="cs"/>
          <w:rtl/>
        </w:rPr>
        <w:t xml:space="preserve">בשם </w:t>
      </w:r>
      <w:r w:rsidRPr="0050146A">
        <w:rPr>
          <w:rStyle w:val="af8"/>
          <w:rFonts w:hint="cs"/>
          <w:rtl/>
        </w:rPr>
        <w:t>רש"י</w:t>
      </w:r>
      <w:r w:rsidRPr="0050146A">
        <w:rPr>
          <w:rFonts w:hint="cs"/>
          <w:rtl/>
        </w:rPr>
        <w:t xml:space="preserve"> דהא דהכחל עצמו הוא בשר גמור, וכל איסורו הוא מחמת שיש בו חלב שחוטה שאסור מדרבנן, </w:t>
      </w:r>
      <w:r w:rsidRPr="0050146A">
        <w:rPr>
          <w:rStyle w:val="afa"/>
          <w:rFonts w:hint="cs"/>
          <w:rtl/>
        </w:rPr>
        <w:t xml:space="preserve">[כדכתב </w:t>
      </w:r>
      <w:r w:rsidRPr="0050146A">
        <w:rPr>
          <w:rStyle w:val="affa"/>
          <w:rFonts w:hint="cs"/>
          <w:rtl/>
        </w:rPr>
        <w:t>רש"י לקמן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Ref9871618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א)</w:t>
      </w:r>
      <w:r w:rsidRPr="0050146A">
        <w:rPr>
          <w:rStyle w:val="aff6"/>
          <w:rtl/>
        </w:rPr>
        <w:fldChar w:fldCharType="end"/>
      </w:r>
      <w:r w:rsidRPr="0050146A">
        <w:rPr>
          <w:rStyle w:val="afa"/>
          <w:rFonts w:hint="cs"/>
          <w:rtl/>
        </w:rPr>
        <w:t>],</w:t>
      </w:r>
      <w:r w:rsidRPr="0050146A">
        <w:rPr>
          <w:rFonts w:hint="cs"/>
          <w:rtl/>
        </w:rPr>
        <w:t xml:space="preserve"> לכן לא גזרו בו שיהיה צריך שישים כנגדו, ורק בבשר </w:t>
      </w:r>
      <w:r w:rsidRPr="0050146A">
        <w:rPr>
          <w:rStyle w:val="afa"/>
          <w:rFonts w:hint="cs"/>
          <w:rtl/>
        </w:rPr>
        <w:t>[נבילה]</w:t>
      </w:r>
      <w:r w:rsidRPr="0050146A">
        <w:rPr>
          <w:rFonts w:hint="cs"/>
          <w:rtl/>
        </w:rPr>
        <w:t xml:space="preserve"> בעלמא הצריכו שישים.</w:t>
      </w:r>
      <w:bookmarkEnd w:id="3322"/>
    </w:p>
    <w:p w:rsidR="003A445B" w:rsidRPr="0050146A" w:rsidRDefault="003A445B" w:rsidP="003A445B">
      <w:pPr>
        <w:pStyle w:val="a2"/>
        <w:rPr>
          <w:rtl/>
        </w:rPr>
      </w:pPr>
      <w:bookmarkStart w:id="3323" w:name="_Toc10665815"/>
      <w:bookmarkStart w:id="3324" w:name="_Toc10713214"/>
      <w:bookmarkStart w:id="3325" w:name="_Toc9799571"/>
      <w:bookmarkStart w:id="3326" w:name="_Toc9934840"/>
      <w:bookmarkStart w:id="3327" w:name="_Toc9936409"/>
      <w:bookmarkStart w:id="3328" w:name="_Toc9936430"/>
      <w:bookmarkStart w:id="3329" w:name="_Toc10061660"/>
      <w:bookmarkStart w:id="3330" w:name="_Toc10147718"/>
      <w:bookmarkStart w:id="3331" w:name="_Toc10202008"/>
      <w:bookmarkStart w:id="3332" w:name="_Toc10367971"/>
      <w:bookmarkStart w:id="3333" w:name="_Toc10451070"/>
      <w:bookmarkStart w:id="3334" w:name="_Toc10494319"/>
      <w:bookmarkStart w:id="3335" w:name="_Toc10541252"/>
      <w:bookmarkStart w:id="3336" w:name="_Toc10625616"/>
      <w:bookmarkStart w:id="3337" w:name="_Toc9936402"/>
      <w:bookmarkStart w:id="3338" w:name="_Toc9936423"/>
      <w:r w:rsidRPr="0050146A">
        <w:rPr>
          <w:rFonts w:hint="cs"/>
          <w:rtl/>
        </w:rPr>
        <w:t>דברי הרי"ד דכיון שהבשר שבכחל אינו אוסר ורק החלב שבו אוסר לכן הכחל מן המנין</w:t>
      </w:r>
      <w:bookmarkEnd w:id="3323"/>
      <w:bookmarkEnd w:id="3324"/>
    </w:p>
    <w:p w:rsidR="003A445B" w:rsidRPr="0050146A" w:rsidRDefault="003A445B" w:rsidP="009F44AF">
      <w:pPr>
        <w:pStyle w:val="a"/>
        <w:rPr>
          <w:rtl/>
        </w:rPr>
      </w:pPr>
      <w:r w:rsidRPr="0050146A">
        <w:rPr>
          <w:rStyle w:val="af8"/>
          <w:rFonts w:hint="cs"/>
          <w:rtl/>
        </w:rPr>
        <w:t>ובפסקי הרי"ד</w:t>
      </w:r>
      <w:r w:rsidRPr="0050146A">
        <w:rPr>
          <w:rFonts w:hint="cs"/>
          <w:rtl/>
        </w:rPr>
        <w:t xml:space="preserve"> </w:t>
      </w:r>
      <w:r w:rsidRPr="0050146A">
        <w:rPr>
          <w:rStyle w:val="af6"/>
          <w:rFonts w:eastAsia="Guttman Hodes" w:hint="cs"/>
          <w:rtl/>
        </w:rPr>
        <w:t>(ד"ה כחל, הועתק בקובץ שיטות קמאי חולין ח"ג עמ' ב' אלף רי"ז)</w:t>
      </w:r>
      <w:r w:rsidRPr="0050146A">
        <w:rPr>
          <w:rFonts w:hint="cs"/>
          <w:rtl/>
        </w:rPr>
        <w:t xml:space="preserve"> כתב דהא דדהכחל מן המנין, הוא כיון דהבשר של הכחל אינו אוסר את הבשר שבקדירה, ורק החלב שיוצא מהכחל אוסר את הבשר שבקדירה, ולכן מצטרף הבשר של הכחל לשאר הבשר שבקדירה, לבטל את החלב של הכחל.</w:t>
      </w:r>
    </w:p>
    <w:p w:rsidR="003A445B" w:rsidRPr="0050146A" w:rsidRDefault="003A445B" w:rsidP="003A445B">
      <w:pPr>
        <w:pStyle w:val="1"/>
        <w:rPr>
          <w:rtl/>
        </w:rPr>
      </w:pPr>
      <w:bookmarkStart w:id="3339" w:name="_Toc10665816"/>
      <w:bookmarkStart w:id="3340" w:name="_Toc10713215"/>
      <w:r w:rsidRPr="0050146A">
        <w:rPr>
          <w:rFonts w:hint="cs"/>
          <w:rtl/>
        </w:rPr>
        <w:t>דברי התוס'</w:t>
      </w:r>
      <w:bookmarkEnd w:id="3325"/>
      <w:bookmarkEnd w:id="3326"/>
      <w:bookmarkEnd w:id="3327"/>
      <w:bookmarkEnd w:id="3328"/>
      <w:bookmarkEnd w:id="3329"/>
      <w:bookmarkEnd w:id="3330"/>
      <w:bookmarkEnd w:id="3331"/>
      <w:bookmarkEnd w:id="3332"/>
      <w:bookmarkEnd w:id="3333"/>
      <w:bookmarkEnd w:id="3334"/>
      <w:bookmarkEnd w:id="3335"/>
      <w:r w:rsidRPr="0050146A">
        <w:rPr>
          <w:rFonts w:hint="cs"/>
          <w:rtl/>
        </w:rPr>
        <w:t xml:space="preserve"> והרא"ש דהכחל אינו חנ"נ דרק החלב שבו אסור</w:t>
      </w:r>
      <w:bookmarkEnd w:id="3336"/>
      <w:bookmarkEnd w:id="3339"/>
      <w:bookmarkEnd w:id="3340"/>
    </w:p>
    <w:p w:rsidR="003A445B" w:rsidRPr="0050146A" w:rsidRDefault="003A445B" w:rsidP="003A445B">
      <w:pPr>
        <w:pStyle w:val="a2"/>
      </w:pPr>
      <w:bookmarkStart w:id="3341" w:name="_Toc10625617"/>
      <w:bookmarkStart w:id="3342" w:name="_Toc10665817"/>
      <w:bookmarkStart w:id="3343" w:name="_Toc10713216"/>
      <w:bookmarkStart w:id="3344" w:name="_Ref9870396"/>
      <w:r w:rsidRPr="0050146A">
        <w:rPr>
          <w:rFonts w:hint="cs"/>
          <w:rtl/>
        </w:rPr>
        <w:t>קושית התוס' דאחר שהכחל אסור יש לו דין חנ"נ והיאך הוא מצטרף לשישים לבטל את החלב</w:t>
      </w:r>
      <w:bookmarkEnd w:id="3341"/>
      <w:bookmarkEnd w:id="3342"/>
      <w:bookmarkEnd w:id="3343"/>
    </w:p>
    <w:p w:rsidR="003A445B" w:rsidRPr="0050146A" w:rsidRDefault="003A445B" w:rsidP="009F44AF">
      <w:pPr>
        <w:pStyle w:val="a"/>
        <w:rPr>
          <w:rtl/>
        </w:rPr>
      </w:pPr>
      <w:bookmarkStart w:id="3345" w:name="_Ref10624468"/>
      <w:bookmarkStart w:id="3346" w:name="_Ref10626586"/>
      <w:r w:rsidRPr="0050146A">
        <w:rPr>
          <w:rFonts w:hint="cs"/>
          <w:rtl/>
        </w:rPr>
        <w:t xml:space="preserve">והקשו </w:t>
      </w:r>
      <w:r w:rsidRPr="0050146A">
        <w:rPr>
          <w:rStyle w:val="af8"/>
          <w:rFonts w:hint="cs"/>
          <w:rtl/>
        </w:rPr>
        <w:t xml:space="preserve">התוס' </w:t>
      </w:r>
      <w:r w:rsidRPr="0050146A">
        <w:rPr>
          <w:rStyle w:val="af6"/>
          <w:rFonts w:eastAsia="Guttman Hodes" w:hint="cs"/>
          <w:rtl/>
        </w:rPr>
        <w:t>(ד"ה וכחל מן המנין)</w:t>
      </w:r>
      <w:r w:rsidRPr="0050146A">
        <w:rPr>
          <w:rFonts w:hint="cs"/>
          <w:rtl/>
        </w:rPr>
        <w:t xml:space="preserve"> דכיון שהכחל עצמו אסור, א"כ יש לכחל דין חנ</w:t>
      </w:r>
      <w:r w:rsidRPr="0050146A">
        <w:rPr>
          <w:rtl/>
        </w:rPr>
        <w:t>"</w:t>
      </w:r>
      <w:r w:rsidRPr="0050146A">
        <w:rPr>
          <w:rFonts w:hint="cs"/>
          <w:rtl/>
        </w:rPr>
        <w:t>נ, והאיך יכול הכחל להיות מן המנין, הרי אם יש לו דין חנ"נ צריך שיעור שישים כנגדו חוץ מהכחל</w:t>
      </w:r>
      <w:bookmarkEnd w:id="3344"/>
      <w:r w:rsidRPr="0050146A">
        <w:rPr>
          <w:rFonts w:hint="cs"/>
          <w:rtl/>
        </w:rPr>
        <w:t xml:space="preserve">, ועי' במה שתירץ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Ref10623956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50146A">
        <w:rPr>
          <w:rStyle w:val="af6"/>
          <w:rFonts w:eastAsia="Guttman Hodes"/>
          <w:rtl/>
        </w:rPr>
        <w:fldChar w:fldCharType="end"/>
      </w:r>
      <w:bookmarkEnd w:id="3345"/>
      <w:r w:rsidRPr="0050146A">
        <w:rPr>
          <w:rFonts w:hint="cs"/>
          <w:rtl/>
        </w:rPr>
        <w:t>.</w:t>
      </w:r>
      <w:bookmarkEnd w:id="3346"/>
    </w:p>
    <w:p w:rsidR="003A445B" w:rsidRPr="0050146A" w:rsidRDefault="003A445B" w:rsidP="003A445B">
      <w:pPr>
        <w:pStyle w:val="a2"/>
        <w:rPr>
          <w:rtl/>
        </w:rPr>
      </w:pPr>
      <w:bookmarkStart w:id="3347" w:name="_Toc10625618"/>
      <w:bookmarkStart w:id="3348" w:name="_Toc10665818"/>
      <w:bookmarkStart w:id="3349" w:name="_Toc10713217"/>
      <w:r w:rsidRPr="0050146A">
        <w:rPr>
          <w:rFonts w:hint="cs"/>
          <w:rtl/>
        </w:rPr>
        <w:t>תירוץ התוס' דהכחל אינו חנ"נ דלא אסור מצד עצמו אלא החלב הבלוע בתוכו אסור וא"א להפרידם</w:t>
      </w:r>
      <w:bookmarkEnd w:id="3347"/>
      <w:bookmarkEnd w:id="3348"/>
      <w:bookmarkEnd w:id="3349"/>
    </w:p>
    <w:p w:rsidR="003A445B" w:rsidRPr="0050146A" w:rsidRDefault="003A445B" w:rsidP="009F44AF">
      <w:pPr>
        <w:pStyle w:val="a"/>
        <w:rPr>
          <w:rStyle w:val="afa"/>
          <w:rtl/>
        </w:rPr>
      </w:pPr>
      <w:bookmarkStart w:id="3350" w:name="_Ref10147554"/>
      <w:bookmarkStart w:id="3351" w:name="_Ref10628205"/>
      <w:r w:rsidRPr="0050146A">
        <w:rPr>
          <w:rFonts w:hint="cs"/>
          <w:rtl/>
        </w:rPr>
        <w:t xml:space="preserve">ותירצו </w:t>
      </w:r>
      <w:r w:rsidRPr="0050146A">
        <w:rPr>
          <w:rStyle w:val="af8"/>
          <w:rFonts w:hint="cs"/>
          <w:rtl/>
        </w:rPr>
        <w:t>התוס' והרא"ש</w:t>
      </w:r>
      <w:r w:rsidRPr="0050146A">
        <w:rPr>
          <w:rFonts w:hint="cs"/>
          <w:rtl/>
        </w:rPr>
        <w:t xml:space="preserve"> </w:t>
      </w:r>
      <w:r w:rsidRPr="0050146A">
        <w:rPr>
          <w:rStyle w:val="af6"/>
          <w:rFonts w:eastAsia="Guttman Hodes" w:hint="cs"/>
          <w:rtl/>
        </w:rPr>
        <w:t>(סי' כ"ז)</w:t>
      </w:r>
      <w:r w:rsidRPr="0050146A">
        <w:rPr>
          <w:rFonts w:hint="cs"/>
          <w:rtl/>
        </w:rPr>
        <w:t xml:space="preserve"> דאף שהכחל עצמו אסור, מ"מ אין לו דין חנ</w:t>
      </w:r>
      <w:r w:rsidRPr="0050146A">
        <w:rPr>
          <w:rtl/>
        </w:rPr>
        <w:t>"</w:t>
      </w:r>
      <w:r w:rsidRPr="0050146A">
        <w:rPr>
          <w:rFonts w:hint="cs"/>
          <w:rtl/>
        </w:rPr>
        <w:t>נ, וא"צ שיעור שישים חוץ מהכחל, דהא דהכחל אסור אינו מחמת שיש טעם של חלב בכחל, יותר מאשר יש טעם חלב בשאר הבשר שבקדירה, אלא דהאיסור של הכחל הוא מחמת שיש בו גומות שהחלב כנוס בהם, ובאותו החלב יש טעם של בשר, ואחר שהחלב התבשל בתוך הכחל, א"א להפריד את החלב מהכחל, דהא דמהני קריעה להוציא את החלב מהכחל הוא רק קודם בישול</w:t>
      </w:r>
      <w:bookmarkEnd w:id="3350"/>
      <w:r w:rsidRPr="0050146A">
        <w:rPr>
          <w:rFonts w:hint="cs"/>
          <w:rtl/>
        </w:rPr>
        <w:t xml:space="preserve">, וביאר </w:t>
      </w:r>
      <w:r w:rsidRPr="0050146A">
        <w:rPr>
          <w:rStyle w:val="af8"/>
          <w:rFonts w:hint="cs"/>
          <w:rtl/>
        </w:rPr>
        <w:t>הרא"ש</w:t>
      </w:r>
      <w:r w:rsidRPr="0050146A">
        <w:rPr>
          <w:rFonts w:hint="cs"/>
          <w:rtl/>
        </w:rPr>
        <w:t xml:space="preserve"> דכיון שאיסורו אינו מחמת עצמו, אלא רק מחמת החלב הכנוס בו, לכן יש לו דין ביטול כמו לכל בשר, ואין לו דין חנ</w:t>
      </w:r>
      <w:r w:rsidRPr="0050146A">
        <w:rPr>
          <w:rtl/>
        </w:rPr>
        <w:t>"</w:t>
      </w:r>
      <w:r w:rsidRPr="0050146A">
        <w:rPr>
          <w:rFonts w:hint="cs"/>
          <w:rtl/>
        </w:rPr>
        <w:t xml:space="preserve">נ. </w:t>
      </w:r>
      <w:r w:rsidRPr="0050146A">
        <w:rPr>
          <w:rStyle w:val="afa"/>
          <w:rFonts w:hint="cs"/>
          <w:rtl/>
        </w:rPr>
        <w:t xml:space="preserve">[וביאר </w:t>
      </w:r>
      <w:r w:rsidRPr="0050146A">
        <w:rPr>
          <w:rStyle w:val="affa"/>
          <w:rFonts w:hint="cs"/>
          <w:rtl/>
        </w:rPr>
        <w:t>המעדני יו"ט</w:t>
      </w:r>
      <w:r w:rsidRPr="0050146A">
        <w:rPr>
          <w:rStyle w:val="afa"/>
          <w:rFonts w:hint="cs"/>
          <w:rtl/>
        </w:rPr>
        <w:t xml:space="preserve"> </w:t>
      </w:r>
      <w:r w:rsidRPr="0050146A">
        <w:rPr>
          <w:rStyle w:val="aff6"/>
          <w:rFonts w:hint="cs"/>
          <w:rtl/>
        </w:rPr>
        <w:t xml:space="preserve">(על הרא"ש סי' כ"ז אות ק') </w:t>
      </w:r>
      <w:r w:rsidRPr="0050146A">
        <w:rPr>
          <w:rStyle w:val="afa"/>
          <w:rFonts w:hint="cs"/>
          <w:rtl/>
        </w:rPr>
        <w:t>דבשאר האיסורים שאפשר להפריד את האיסור מההיתר, אמרינן דבתחילת הבישול רואים כאילו נפרד האיסור מההיתר, ולכן ההיתר מתבטל בשישים, אבל בכחל שא"א להפרידו החלב אוסר אותו].</w:t>
      </w:r>
      <w:bookmarkEnd w:id="3351"/>
    </w:p>
    <w:p w:rsidR="003A445B" w:rsidRPr="0050146A" w:rsidRDefault="003A445B" w:rsidP="003A445B">
      <w:pPr>
        <w:pStyle w:val="a2"/>
        <w:rPr>
          <w:rtl/>
        </w:rPr>
      </w:pPr>
      <w:bookmarkStart w:id="3352" w:name="_Toc10625619"/>
      <w:bookmarkStart w:id="3353" w:name="_Toc10665819"/>
      <w:bookmarkStart w:id="3354" w:name="_Toc10713218"/>
      <w:r w:rsidRPr="0050146A">
        <w:rPr>
          <w:rFonts w:hint="cs"/>
          <w:rtl/>
        </w:rPr>
        <w:t>קושית ה</w:t>
      </w:r>
      <w:r w:rsidR="00250230">
        <w:rPr>
          <w:rFonts w:hint="cs"/>
          <w:rtl/>
        </w:rPr>
        <w:t>פלתי</w:t>
      </w:r>
      <w:r w:rsidRPr="0050146A">
        <w:rPr>
          <w:rFonts w:hint="cs"/>
          <w:rtl/>
        </w:rPr>
        <w:t xml:space="preserve"> דהחלב הבלוע בבכחל אין לו דין חלב והיאך הוא נאסר ע"י הבשר</w:t>
      </w:r>
      <w:bookmarkEnd w:id="3352"/>
      <w:bookmarkEnd w:id="3353"/>
      <w:bookmarkEnd w:id="3354"/>
    </w:p>
    <w:p w:rsidR="003A445B" w:rsidRPr="0050146A" w:rsidRDefault="003A445B" w:rsidP="009F44AF">
      <w:pPr>
        <w:pStyle w:val="a"/>
        <w:rPr>
          <w:rtl/>
        </w:rPr>
      </w:pPr>
      <w:bookmarkStart w:id="3355" w:name="_Ref10492709"/>
      <w:r w:rsidRPr="0050146A">
        <w:rPr>
          <w:rFonts w:hint="cs"/>
          <w:rtl/>
        </w:rPr>
        <w:lastRenderedPageBreak/>
        <w:t xml:space="preserve">והקשה </w:t>
      </w:r>
      <w:r w:rsidRPr="0050146A">
        <w:rPr>
          <w:rStyle w:val="af8"/>
          <w:rFonts w:hint="cs"/>
          <w:rtl/>
        </w:rPr>
        <w:t>ה</w:t>
      </w:r>
      <w:r w:rsidR="00250230">
        <w:rPr>
          <w:rStyle w:val="af8"/>
          <w:rFonts w:hint="cs"/>
          <w:rtl/>
        </w:rPr>
        <w:t>פלתי</w:t>
      </w:r>
      <w:r w:rsidRPr="0050146A">
        <w:rPr>
          <w:rStyle w:val="af8"/>
          <w:rFonts w:hint="cs"/>
          <w:rtl/>
        </w:rPr>
        <w:t xml:space="preserve"> </w:t>
      </w:r>
      <w:r w:rsidRPr="0050146A">
        <w:rPr>
          <w:rStyle w:val="af6"/>
          <w:rFonts w:eastAsia="Guttman Hodes" w:hint="cs"/>
          <w:rtl/>
        </w:rPr>
        <w:t xml:space="preserve">(סי' צ' סק"ד) </w:t>
      </w:r>
      <w:r w:rsidRPr="0050146A">
        <w:rPr>
          <w:rFonts w:hint="cs"/>
          <w:rtl/>
        </w:rPr>
        <w:t xml:space="preserve">על </w:t>
      </w:r>
      <w:r w:rsidRPr="0050146A">
        <w:rPr>
          <w:rStyle w:val="af8"/>
          <w:rFonts w:hint="cs"/>
          <w:rtl/>
        </w:rPr>
        <w:t>התוס'</w:t>
      </w:r>
      <w:r w:rsidRPr="0050146A">
        <w:rPr>
          <w:rFonts w:hint="cs"/>
          <w:rtl/>
        </w:rPr>
        <w:t xml:space="preserve"> דהרי אי בישל את הכחל לבדו בלא בשר אחר אינו נאסר, וא"כ מוכח דהחלב הבלוע בכחל אינו נאסר ע"י הבשר עד שהוא יוצא מהכחל, וא"כ מה ביארו </w:t>
      </w:r>
      <w:r w:rsidRPr="0050146A">
        <w:rPr>
          <w:rStyle w:val="af8"/>
          <w:rFonts w:hint="cs"/>
          <w:rtl/>
        </w:rPr>
        <w:t xml:space="preserve">התוס' </w:t>
      </w:r>
      <w:r w:rsidRPr="0050146A">
        <w:rPr>
          <w:rFonts w:hint="cs"/>
          <w:rtl/>
        </w:rPr>
        <w:t xml:space="preserve">דכיון שהוא בלוע בגומות נאסר, הרי אף בגומות הוא בלוע בתוך הבשר, דאם אינו בלוע ממילא הוא מתבטל בשישים מהבשר שבקדירה, וכ"ז שהוא בלוע בבשר אין לו דין חלב, כדכתבו </w:t>
      </w:r>
      <w:r w:rsidRPr="0050146A">
        <w:rPr>
          <w:rStyle w:val="af8"/>
          <w:rFonts w:hint="cs"/>
          <w:rtl/>
        </w:rPr>
        <w:t xml:space="preserve">התוס' לקמן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Ref10625420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w:t>
      </w:r>
      <w:bookmarkEnd w:id="3355"/>
    </w:p>
    <w:p w:rsidR="003A445B" w:rsidRPr="0050146A" w:rsidRDefault="003A445B" w:rsidP="003A445B">
      <w:pPr>
        <w:pStyle w:val="a2"/>
        <w:rPr>
          <w:rtl/>
        </w:rPr>
      </w:pPr>
      <w:bookmarkStart w:id="3356" w:name="_Toc10625620"/>
      <w:bookmarkStart w:id="3357" w:name="_Toc10665820"/>
      <w:bookmarkStart w:id="3358" w:name="_Toc10713219"/>
      <w:r w:rsidRPr="0050146A">
        <w:rPr>
          <w:rFonts w:hint="cs"/>
          <w:rtl/>
        </w:rPr>
        <w:t>ביאור ה</w:t>
      </w:r>
      <w:r w:rsidR="00250230">
        <w:rPr>
          <w:rFonts w:hint="cs"/>
          <w:rtl/>
        </w:rPr>
        <w:t>פלתי</w:t>
      </w:r>
      <w:r w:rsidRPr="0050146A">
        <w:rPr>
          <w:rFonts w:hint="cs"/>
          <w:rtl/>
        </w:rPr>
        <w:t xml:space="preserve"> דכמו שביצא החלב הוא אוסר ה"ה בשר מבחוץ שנכנס לכחל דאוסר את הבלוע</w:t>
      </w:r>
      <w:bookmarkEnd w:id="3356"/>
      <w:bookmarkEnd w:id="3357"/>
      <w:bookmarkEnd w:id="3358"/>
    </w:p>
    <w:p w:rsidR="003A445B" w:rsidRPr="0050146A" w:rsidRDefault="003A445B" w:rsidP="009F44AF">
      <w:pPr>
        <w:pStyle w:val="a"/>
        <w:rPr>
          <w:rStyle w:val="afa"/>
          <w:rtl/>
        </w:rPr>
      </w:pPr>
      <w:bookmarkStart w:id="3359" w:name="_Ref10575696"/>
      <w:r w:rsidRPr="0050146A">
        <w:rPr>
          <w:rFonts w:hint="cs"/>
          <w:rtl/>
        </w:rPr>
        <w:t>ותירץ ה</w:t>
      </w:r>
      <w:r w:rsidR="00250230">
        <w:rPr>
          <w:rStyle w:val="af8"/>
          <w:rFonts w:hint="cs"/>
          <w:rtl/>
        </w:rPr>
        <w:t>פלתי</w:t>
      </w:r>
      <w:r w:rsidRPr="0050146A">
        <w:rPr>
          <w:rStyle w:val="af8"/>
          <w:rFonts w:hint="cs"/>
          <w:rtl/>
        </w:rPr>
        <w:t xml:space="preserve"> </w:t>
      </w:r>
      <w:r w:rsidRPr="0050146A">
        <w:rPr>
          <w:rFonts w:hint="cs"/>
          <w:rtl/>
        </w:rPr>
        <w:t xml:space="preserve">דכמו שהחלב אינו אוסר כ"ז שהוא בלוע, אך כשיצא החלב הוא אוסר, ה"ה כשנאסר החלב ע"י הבשר, דבשר הכחל אינו אוסר את החלב הבלוע בו, אבל כשיש בחלב שבכחל טעם של בשר שבא מחוץ לכחל, נאסר החלב אף שהוא עדיין בלוע בכחל, ולכן כל שאין שישים בבשר לבטל את החלב, מלבד הבשר של הכחל </w:t>
      </w:r>
      <w:r w:rsidRPr="0050146A">
        <w:rPr>
          <w:rStyle w:val="afa"/>
          <w:rFonts w:hint="cs"/>
          <w:rtl/>
        </w:rPr>
        <w:t>[דהיינו כיון שהכחל מן המנין]</w:t>
      </w:r>
      <w:r w:rsidRPr="0050146A">
        <w:rPr>
          <w:rFonts w:hint="cs"/>
          <w:rtl/>
        </w:rPr>
        <w:t xml:space="preserve">, נכנס טעם הבשר בחלב ואוסרו. </w:t>
      </w:r>
      <w:r w:rsidRPr="0050146A">
        <w:rPr>
          <w:rStyle w:val="afa"/>
          <w:rFonts w:hint="cs"/>
          <w:rtl/>
        </w:rPr>
        <w:t xml:space="preserve">[וקצ"ע דמשמע </w:t>
      </w:r>
      <w:r w:rsidRPr="0050146A">
        <w:rPr>
          <w:rStyle w:val="affa"/>
          <w:rFonts w:hint="cs"/>
          <w:rtl/>
        </w:rPr>
        <w:t>ב</w:t>
      </w:r>
      <w:r w:rsidR="00250230">
        <w:rPr>
          <w:rStyle w:val="affa"/>
          <w:rFonts w:hint="cs"/>
          <w:rtl/>
        </w:rPr>
        <w:t>פלתי</w:t>
      </w:r>
      <w:r w:rsidRPr="0050146A">
        <w:rPr>
          <w:rStyle w:val="afa"/>
          <w:rFonts w:hint="cs"/>
          <w:rtl/>
        </w:rPr>
        <w:t xml:space="preserve"> דאיסור הכחל הוא רק במקום שהכחל מן המנין, אבל </w:t>
      </w:r>
      <w:r w:rsidRPr="0050146A">
        <w:rPr>
          <w:rStyle w:val="affa"/>
          <w:rFonts w:hint="cs"/>
          <w:rtl/>
        </w:rPr>
        <w:t>הרשב"א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Ref10044402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w:t>
      </w:r>
      <w:r w:rsidRPr="0050146A">
        <w:rPr>
          <w:rStyle w:val="aff6"/>
          <w:rtl/>
        </w:rPr>
        <w:fldChar w:fldCharType="end"/>
      </w:r>
      <w:r w:rsidRPr="0050146A">
        <w:rPr>
          <w:rStyle w:val="afa"/>
          <w:rFonts w:hint="cs"/>
          <w:rtl/>
        </w:rPr>
        <w:t xml:space="preserve"> כתב דהכחל אסור אף במאה].</w:t>
      </w:r>
      <w:bookmarkEnd w:id="3359"/>
    </w:p>
    <w:p w:rsidR="003A445B" w:rsidRPr="0050146A" w:rsidRDefault="003A445B" w:rsidP="003A445B">
      <w:pPr>
        <w:pStyle w:val="1"/>
        <w:rPr>
          <w:rtl/>
        </w:rPr>
      </w:pPr>
      <w:bookmarkStart w:id="3360" w:name="_Toc10625621"/>
      <w:bookmarkStart w:id="3361" w:name="_Toc10665821"/>
      <w:bookmarkStart w:id="3362" w:name="_Toc10713220"/>
      <w:bookmarkStart w:id="3363" w:name="_Toc9799573"/>
      <w:bookmarkStart w:id="3364" w:name="_Toc9934836"/>
      <w:bookmarkStart w:id="3365" w:name="_Toc9936405"/>
      <w:bookmarkStart w:id="3366" w:name="_Toc9936426"/>
      <w:bookmarkStart w:id="3367" w:name="_Toc10061665"/>
      <w:bookmarkStart w:id="3368" w:name="_Toc10147723"/>
      <w:bookmarkStart w:id="3369" w:name="_Toc10202013"/>
      <w:bookmarkStart w:id="3370" w:name="_Toc10367976"/>
      <w:bookmarkStart w:id="3371" w:name="_Toc10451075"/>
      <w:bookmarkStart w:id="3372" w:name="_Toc10494325"/>
      <w:bookmarkStart w:id="3373" w:name="_Toc10541258"/>
      <w:bookmarkStart w:id="3374" w:name="_Toc10061662"/>
      <w:bookmarkStart w:id="3375" w:name="_Toc10147720"/>
      <w:bookmarkStart w:id="3376" w:name="_Toc10202009"/>
      <w:bookmarkStart w:id="3377" w:name="_Toc10367972"/>
      <w:bookmarkStart w:id="3378" w:name="_Toc10451071"/>
      <w:bookmarkStart w:id="3379" w:name="_Toc10494320"/>
      <w:bookmarkStart w:id="3380" w:name="_Toc10541253"/>
      <w:r w:rsidRPr="0050146A">
        <w:rPr>
          <w:rFonts w:hint="cs"/>
          <w:rtl/>
        </w:rPr>
        <w:t>בדברי הרמב"ם</w:t>
      </w:r>
      <w:bookmarkEnd w:id="3360"/>
      <w:r w:rsidRPr="0050146A">
        <w:rPr>
          <w:rFonts w:hint="cs"/>
          <w:rtl/>
        </w:rPr>
        <w:t xml:space="preserve"> דאיסור הכחל דרבנן והקילו בו דהוא מן המנין</w:t>
      </w:r>
      <w:bookmarkEnd w:id="3361"/>
      <w:bookmarkEnd w:id="3362"/>
    </w:p>
    <w:p w:rsidR="003A445B" w:rsidRPr="0050146A" w:rsidRDefault="003A445B" w:rsidP="003A445B">
      <w:pPr>
        <w:pStyle w:val="a2"/>
        <w:rPr>
          <w:rtl/>
        </w:rPr>
      </w:pPr>
      <w:bookmarkStart w:id="3381" w:name="_Toc10665822"/>
      <w:bookmarkStart w:id="3382" w:name="_Toc10713221"/>
      <w:r w:rsidRPr="0050146A">
        <w:rPr>
          <w:rFonts w:hint="cs"/>
          <w:rtl/>
        </w:rPr>
        <w:t>דברי הרמב"ם דאיסור הכחל מדרבנן דהואוחלב שחוטה וכשהכחל מהמנין הוא אסור והבשר מותר</w:t>
      </w:r>
      <w:bookmarkEnd w:id="3381"/>
      <w:bookmarkEnd w:id="3382"/>
      <w:r w:rsidRPr="0050146A">
        <w:rPr>
          <w:rFonts w:hint="cs"/>
          <w:rtl/>
        </w:rPr>
        <w:t xml:space="preserve">  </w:t>
      </w:r>
    </w:p>
    <w:p w:rsidR="003A445B" w:rsidRPr="0050146A" w:rsidRDefault="003A445B" w:rsidP="009F44AF">
      <w:pPr>
        <w:pStyle w:val="a"/>
        <w:rPr>
          <w:rtl/>
        </w:rPr>
      </w:pPr>
      <w:bookmarkStart w:id="3383" w:name="_Ref10625889"/>
      <w:r w:rsidRPr="0050146A">
        <w:rPr>
          <w:rFonts w:hint="cs"/>
          <w:rtl/>
        </w:rPr>
        <w:t xml:space="preserve">כתב </w:t>
      </w:r>
      <w:r w:rsidRPr="0050146A">
        <w:rPr>
          <w:rStyle w:val="af8"/>
          <w:rFonts w:hint="cs"/>
          <w:rtl/>
        </w:rPr>
        <w:t>הרמב"ם</w:t>
      </w:r>
      <w:r w:rsidRPr="0050146A">
        <w:rPr>
          <w:rStyle w:val="af6"/>
          <w:rFonts w:eastAsia="Guttman Hodes" w:hint="cs"/>
          <w:rtl/>
        </w:rPr>
        <w:t xml:space="preserve"> (מאכ"א פ"ט הי"ב)</w:t>
      </w:r>
      <w:r w:rsidRPr="0050146A">
        <w:rPr>
          <w:rFonts w:hint="cs"/>
          <w:rtl/>
        </w:rPr>
        <w:t xml:space="preserve"> דהאיסור של הכחל הוא מדרבנן, דמדאו' בחלב שחוטה אין איסור בשר בחלב, ואסור לבשלו בלא קריעה והטחה, ואם בישלו בפנ"ע מותר, ובבישלו יחד עם בשר אחר משערים אותו בשישים, והכחל מן המנין</w:t>
      </w:r>
      <w:bookmarkEnd w:id="3383"/>
      <w:r w:rsidRPr="0050146A">
        <w:rPr>
          <w:rFonts w:hint="cs"/>
          <w:rtl/>
        </w:rPr>
        <w:t xml:space="preserve">, וביאר </w:t>
      </w:r>
      <w:r w:rsidRPr="0050146A">
        <w:rPr>
          <w:rStyle w:val="af8"/>
          <w:rFonts w:hint="cs"/>
          <w:rtl/>
        </w:rPr>
        <w:t>הרמב"ם</w:t>
      </w:r>
      <w:r w:rsidRPr="0050146A">
        <w:rPr>
          <w:rStyle w:val="af6"/>
          <w:rFonts w:eastAsia="Guttman Hodes" w:hint="cs"/>
          <w:rtl/>
        </w:rPr>
        <w:t xml:space="preserve"> (מאכ"א פ"ט הי"ג) </w:t>
      </w:r>
      <w:r w:rsidRPr="0050146A">
        <w:rPr>
          <w:rFonts w:hint="cs"/>
          <w:rtl/>
        </w:rPr>
        <w:t>דאם היה הבשר יחד עם הכחל, כשיעור שישים כנגד הכחל, הכחל עצמו אסור ושאר הבשר מותר, ואם היה פחות משישים הכל אסור.</w:t>
      </w:r>
    </w:p>
    <w:p w:rsidR="003A445B" w:rsidRPr="0050146A" w:rsidRDefault="003A445B" w:rsidP="003A445B">
      <w:pPr>
        <w:pStyle w:val="a2"/>
        <w:rPr>
          <w:rtl/>
        </w:rPr>
      </w:pPr>
      <w:bookmarkStart w:id="3384" w:name="_Toc10665823"/>
      <w:bookmarkStart w:id="3385" w:name="_Toc10713222"/>
      <w:r w:rsidRPr="0050146A">
        <w:rPr>
          <w:rFonts w:hint="cs"/>
          <w:rtl/>
        </w:rPr>
        <w:t>דברי הרמב"ם דכיון שאיסור החכל הוא מדרבנן לכן הקילו בשיעורו דהוא בכלל השישים</w:t>
      </w:r>
      <w:bookmarkEnd w:id="3384"/>
      <w:bookmarkEnd w:id="3385"/>
    </w:p>
    <w:p w:rsidR="003A445B" w:rsidRPr="0050146A" w:rsidRDefault="003A445B" w:rsidP="009F44AF">
      <w:pPr>
        <w:pStyle w:val="a"/>
        <w:rPr>
          <w:rtl/>
        </w:rPr>
      </w:pPr>
      <w:bookmarkStart w:id="3386" w:name="_Ref9799468"/>
      <w:bookmarkStart w:id="3387" w:name="_Ref10649699"/>
      <w:r w:rsidRPr="0050146A">
        <w:rPr>
          <w:rFonts w:hint="cs"/>
          <w:rtl/>
        </w:rPr>
        <w:t xml:space="preserve">ועו"כ </w:t>
      </w:r>
      <w:r w:rsidRPr="0050146A">
        <w:rPr>
          <w:rStyle w:val="af8"/>
          <w:rFonts w:hint="cs"/>
          <w:rtl/>
        </w:rPr>
        <w:t>הרמב"ם</w:t>
      </w:r>
      <w:r w:rsidRPr="0050146A">
        <w:rPr>
          <w:rFonts w:hint="cs"/>
          <w:rtl/>
        </w:rPr>
        <w:t xml:space="preserve"> </w:t>
      </w:r>
      <w:r w:rsidRPr="0050146A">
        <w:rPr>
          <w:rStyle w:val="af6"/>
          <w:rFonts w:eastAsia="Guttman Hodes" w:hint="cs"/>
          <w:rtl/>
        </w:rPr>
        <w:t xml:space="preserve">(מאכ"א פט"ו הי"ז) </w:t>
      </w:r>
      <w:r w:rsidRPr="0050146A">
        <w:rPr>
          <w:rFonts w:hint="cs"/>
          <w:rtl/>
        </w:rPr>
        <w:t xml:space="preserve">דבכל האיסורים שבתורה צריך שיהיה שישים חוץ מהאיסור, ובשיעור שומן הגיד אף שהוא מדרבנן, מ"מ כיון שגיד הנשה הוא בריה בפנ"ע החמירו בו שצריך שיעור שישים חוץ משומן הגיד, </w:t>
      </w:r>
      <w:r w:rsidRPr="0050146A">
        <w:rPr>
          <w:rStyle w:val="afa"/>
          <w:rFonts w:hint="cs"/>
          <w:rtl/>
        </w:rPr>
        <w:t xml:space="preserve">[ובגיד עצמו א"צ לשער, דאין בגידין בנותן טעם], </w:t>
      </w:r>
      <w:r w:rsidRPr="0050146A">
        <w:rPr>
          <w:rFonts w:hint="cs"/>
          <w:rtl/>
        </w:rPr>
        <w:t xml:space="preserve">אבל בכחל כתב </w:t>
      </w:r>
      <w:r w:rsidRPr="0050146A">
        <w:rPr>
          <w:rStyle w:val="af8"/>
          <w:rFonts w:hint="cs"/>
          <w:rtl/>
        </w:rPr>
        <w:t>הרמב"ם</w:t>
      </w:r>
      <w:r w:rsidRPr="0050146A">
        <w:rPr>
          <w:rFonts w:hint="cs"/>
          <w:rtl/>
        </w:rPr>
        <w:t xml:space="preserve"> </w:t>
      </w:r>
      <w:r w:rsidRPr="0050146A">
        <w:rPr>
          <w:rStyle w:val="af6"/>
          <w:rFonts w:eastAsia="Guttman Hodes" w:hint="cs"/>
          <w:rtl/>
        </w:rPr>
        <w:t xml:space="preserve">(מאכ"א פט"ו הי"ח) </w:t>
      </w:r>
      <w:r w:rsidRPr="0050146A">
        <w:rPr>
          <w:rFonts w:hint="cs"/>
          <w:rtl/>
        </w:rPr>
        <w:t xml:space="preserve">דכיון שהכחל הוא מדרבנן, </w:t>
      </w:r>
      <w:r w:rsidRPr="0050146A">
        <w:rPr>
          <w:rStyle w:val="afa"/>
          <w:rFonts w:hint="cs"/>
          <w:rtl/>
        </w:rPr>
        <w:t>[</w:t>
      </w:r>
      <w:r w:rsidRPr="0050146A">
        <w:rPr>
          <w:rFonts w:hint="cs"/>
          <w:rtl/>
        </w:rPr>
        <w:t>לכן הכחל בכלל שיעור השישים, דהקילו בשיעורו</w:t>
      </w:r>
      <w:bookmarkEnd w:id="3386"/>
      <w:r w:rsidRPr="0050146A">
        <w:rPr>
          <w:rFonts w:hint="cs"/>
          <w:rtl/>
        </w:rPr>
        <w:t xml:space="preserve">, </w:t>
      </w:r>
      <w:bookmarkStart w:id="3388" w:name="_Toc10625622"/>
      <w:r w:rsidRPr="0050146A">
        <w:rPr>
          <w:rFonts w:hint="cs"/>
          <w:rtl/>
        </w:rPr>
        <w:t>וביאר</w:t>
      </w:r>
      <w:r w:rsidRPr="0050146A">
        <w:rPr>
          <w:rStyle w:val="af8"/>
          <w:rFonts w:hint="cs"/>
          <w:rtl/>
        </w:rPr>
        <w:t xml:space="preserve"> הרשב"א בתוה"ב</w:t>
      </w:r>
      <w:r w:rsidRPr="0050146A">
        <w:rPr>
          <w:rStyle w:val="af6"/>
          <w:rFonts w:eastAsia="Guttman Hodes" w:hint="cs"/>
          <w:rtl/>
        </w:rPr>
        <w:t xml:space="preserve"> (ב"ד ש"א טז: מדה"ס) </w:t>
      </w:r>
      <w:r w:rsidRPr="0050146A">
        <w:rPr>
          <w:rFonts w:hint="cs"/>
          <w:rtl/>
        </w:rPr>
        <w:t xml:space="preserve">דכוונת </w:t>
      </w:r>
      <w:r w:rsidRPr="0050146A">
        <w:rPr>
          <w:rStyle w:val="af8"/>
          <w:rFonts w:hint="cs"/>
          <w:rtl/>
        </w:rPr>
        <w:t>הרמב"ם</w:t>
      </w:r>
      <w:r w:rsidRPr="0050146A">
        <w:rPr>
          <w:rFonts w:hint="cs"/>
          <w:rtl/>
        </w:rPr>
        <w:t xml:space="preserve"> לומר דכיון שהכחל אסור מדרבנן, לכן עשו בו היכר, והקילו בו שיהיה בכלל המנין.</w:t>
      </w:r>
      <w:bookmarkEnd w:id="3387"/>
    </w:p>
    <w:p w:rsidR="003A445B" w:rsidRPr="0050146A" w:rsidRDefault="003A445B" w:rsidP="003A445B">
      <w:pPr>
        <w:pStyle w:val="a2"/>
      </w:pPr>
      <w:bookmarkStart w:id="3389" w:name="_Toc10665824"/>
      <w:bookmarkStart w:id="3390" w:name="_Toc10713223"/>
      <w:r w:rsidRPr="0050146A">
        <w:rPr>
          <w:rFonts w:hint="cs"/>
          <w:rtl/>
        </w:rPr>
        <w:t>קושית הרשב"א על הרמב"ם דהא מצינו איסורים דרבנן שאינם בכלל שישים דהא כעין דאו' תקון</w:t>
      </w:r>
      <w:bookmarkEnd w:id="3389"/>
      <w:bookmarkEnd w:id="3390"/>
    </w:p>
    <w:p w:rsidR="003A445B" w:rsidRPr="0050146A" w:rsidRDefault="003A445B" w:rsidP="009F44AF">
      <w:pPr>
        <w:pStyle w:val="a"/>
        <w:rPr>
          <w:rtl/>
        </w:rPr>
      </w:pPr>
      <w:bookmarkStart w:id="3391" w:name="_Ref10651008"/>
      <w:r w:rsidRPr="0050146A">
        <w:rPr>
          <w:rFonts w:hint="cs"/>
          <w:rtl/>
        </w:rPr>
        <w:t xml:space="preserve">אך דחה </w:t>
      </w:r>
      <w:r w:rsidRPr="0050146A">
        <w:rPr>
          <w:rStyle w:val="af8"/>
          <w:rFonts w:hint="cs"/>
          <w:rtl/>
        </w:rPr>
        <w:t>הרשב"א</w:t>
      </w:r>
      <w:r w:rsidRPr="0050146A">
        <w:rPr>
          <w:rFonts w:hint="cs"/>
          <w:rtl/>
        </w:rPr>
        <w:t xml:space="preserve"> </w:t>
      </w:r>
      <w:r w:rsidRPr="0050146A">
        <w:rPr>
          <w:rStyle w:val="af8"/>
          <w:rFonts w:hint="cs"/>
          <w:rtl/>
        </w:rPr>
        <w:t>בתוה"ב</w:t>
      </w:r>
      <w:r w:rsidRPr="0050146A">
        <w:rPr>
          <w:rFonts w:hint="cs"/>
          <w:rtl/>
        </w:rPr>
        <w:t xml:space="preserve"> </w:t>
      </w:r>
      <w:r w:rsidRPr="0050146A">
        <w:rPr>
          <w:rStyle w:val="af6"/>
          <w:rFonts w:eastAsia="Guttman Hodes" w:hint="cs"/>
          <w:rtl/>
        </w:rPr>
        <w:t xml:space="preserve">(ב"ד ש"א ה.-: מדה"ס) </w:t>
      </w:r>
      <w:r w:rsidRPr="0050146A">
        <w:rPr>
          <w:rFonts w:hint="cs"/>
          <w:rtl/>
        </w:rPr>
        <w:t xml:space="preserve">את דברי </w:t>
      </w:r>
      <w:r w:rsidRPr="0050146A">
        <w:rPr>
          <w:rStyle w:val="af8"/>
          <w:rFonts w:hint="cs"/>
          <w:rtl/>
        </w:rPr>
        <w:t>הרמב"ם</w:t>
      </w:r>
      <w:r w:rsidRPr="0050146A">
        <w:rPr>
          <w:rFonts w:hint="cs"/>
          <w:rtl/>
        </w:rPr>
        <w:t xml:space="preserve">, דהא מצינו איסורים דרבנן שצריך שישים כנגדם, כגיד דקיי"ל שאין בגידין בנותן טעם וא"כ איסורו מדרבנן, וכן שומן הגיד הוא מדרבנן, ואפ"ה אינו מן המנין, וכן ביצת אפרוח דאסורה מדרבנן, ואפ"ה אינה מן המנין, ומוכח דאף בדרבנן צריך שישים כנגד האיסור, וביאר </w:t>
      </w:r>
      <w:r w:rsidRPr="0050146A">
        <w:rPr>
          <w:rStyle w:val="af8"/>
          <w:rFonts w:hint="cs"/>
          <w:rtl/>
        </w:rPr>
        <w:t>הרשב"א בתוה"ב</w:t>
      </w:r>
      <w:r w:rsidRPr="0050146A">
        <w:rPr>
          <w:rFonts w:hint="cs"/>
          <w:rtl/>
        </w:rPr>
        <w:t xml:space="preserve"> </w:t>
      </w:r>
      <w:r w:rsidRPr="0050146A">
        <w:rPr>
          <w:rStyle w:val="af6"/>
          <w:rFonts w:eastAsia="Guttman Hodes" w:hint="cs"/>
          <w:rtl/>
        </w:rPr>
        <w:t>(ב"ד ש"א ה. מדה"ס)</w:t>
      </w:r>
      <w:r w:rsidRPr="0050146A">
        <w:rPr>
          <w:rFonts w:hint="cs"/>
          <w:rtl/>
        </w:rPr>
        <w:t xml:space="preserve"> דכל דתקון רבנן כעין דאו' תקון, ולכן אף בדרבנן צריך שישים כנגד האיסור ואינו מן המנין.</w:t>
      </w:r>
      <w:bookmarkEnd w:id="3391"/>
    </w:p>
    <w:p w:rsidR="003A445B" w:rsidRPr="0050146A" w:rsidRDefault="003A445B" w:rsidP="003A445B">
      <w:pPr>
        <w:pStyle w:val="a2"/>
        <w:rPr>
          <w:rtl/>
        </w:rPr>
      </w:pPr>
      <w:bookmarkStart w:id="3392" w:name="_Toc10665825"/>
      <w:bookmarkStart w:id="3393" w:name="_Toc10713224"/>
      <w:r w:rsidRPr="0050146A">
        <w:rPr>
          <w:rFonts w:hint="cs"/>
          <w:rtl/>
        </w:rPr>
        <w:t>תירוץ הכס"מ דמכחל לומדים לשאר האיסורים דרבנן דהאיסור מן המנין</w:t>
      </w:r>
      <w:bookmarkEnd w:id="3392"/>
      <w:bookmarkEnd w:id="3393"/>
    </w:p>
    <w:p w:rsidR="003A445B" w:rsidRPr="0050146A" w:rsidRDefault="003A445B" w:rsidP="009F44AF">
      <w:pPr>
        <w:pStyle w:val="a"/>
        <w:rPr>
          <w:rtl/>
        </w:rPr>
      </w:pPr>
      <w:r w:rsidRPr="0050146A">
        <w:rPr>
          <w:rFonts w:hint="cs"/>
          <w:rtl/>
        </w:rPr>
        <w:t xml:space="preserve">ותירץ </w:t>
      </w:r>
      <w:r w:rsidRPr="0050146A">
        <w:rPr>
          <w:rStyle w:val="af8"/>
          <w:rFonts w:hint="cs"/>
          <w:rtl/>
        </w:rPr>
        <w:t>הכס"מ</w:t>
      </w:r>
      <w:r w:rsidRPr="0050146A">
        <w:rPr>
          <w:rStyle w:val="af6"/>
          <w:rFonts w:eastAsia="Guttman Hodes" w:hint="cs"/>
          <w:rtl/>
        </w:rPr>
        <w:t xml:space="preserve"> (מאכ"א פט"ו הי"ח) </w:t>
      </w:r>
      <w:r w:rsidRPr="0050146A">
        <w:rPr>
          <w:rFonts w:hint="cs"/>
          <w:rtl/>
        </w:rPr>
        <w:t xml:space="preserve">דס"ל </w:t>
      </w:r>
      <w:r w:rsidRPr="0050146A">
        <w:rPr>
          <w:rStyle w:val="af8"/>
          <w:rFonts w:hint="cs"/>
          <w:rtl/>
        </w:rPr>
        <w:t>להרמב"ם</w:t>
      </w:r>
      <w:r w:rsidRPr="0050146A">
        <w:rPr>
          <w:rFonts w:hint="cs"/>
          <w:rtl/>
        </w:rPr>
        <w:t xml:space="preserve"> דמכחל לומדים שבדרבנן האיסור הוא בכלל המנין.</w:t>
      </w:r>
    </w:p>
    <w:p w:rsidR="003A445B" w:rsidRPr="0050146A" w:rsidRDefault="003A445B" w:rsidP="003A445B">
      <w:pPr>
        <w:pStyle w:val="a2"/>
        <w:rPr>
          <w:rtl/>
        </w:rPr>
      </w:pPr>
      <w:bookmarkStart w:id="3394" w:name="_Toc10665826"/>
      <w:bookmarkStart w:id="3395" w:name="_Toc10713225"/>
      <w:r w:rsidRPr="0050146A">
        <w:rPr>
          <w:rFonts w:hint="cs"/>
          <w:rtl/>
        </w:rPr>
        <w:t>תירוץ הרדב"ז דרק בכחל הקילו דהבשר יכול להצטרף ואילו החלב כבר נפלט והתערב בתבשיל</w:t>
      </w:r>
      <w:bookmarkEnd w:id="3394"/>
      <w:bookmarkEnd w:id="3395"/>
    </w:p>
    <w:p w:rsidR="002D7168" w:rsidRDefault="003A445B" w:rsidP="009F44AF">
      <w:pPr>
        <w:pStyle w:val="a"/>
        <w:rPr>
          <w:rtl/>
        </w:rPr>
      </w:pPr>
      <w:r w:rsidRPr="0050146A">
        <w:rPr>
          <w:rStyle w:val="af8"/>
          <w:rFonts w:hint="cs"/>
          <w:rtl/>
        </w:rPr>
        <w:t>והרדב"ז</w:t>
      </w:r>
      <w:r w:rsidRPr="0050146A">
        <w:rPr>
          <w:rFonts w:hint="cs"/>
          <w:rtl/>
        </w:rPr>
        <w:t xml:space="preserve"> </w:t>
      </w:r>
      <w:r w:rsidRPr="0050146A">
        <w:rPr>
          <w:rStyle w:val="af6"/>
          <w:rFonts w:eastAsia="Guttman Hodes" w:hint="cs"/>
          <w:rtl/>
        </w:rPr>
        <w:t>(מאכ"א פט"ו הי"ח)</w:t>
      </w:r>
      <w:r w:rsidRPr="0050146A">
        <w:rPr>
          <w:rFonts w:hint="cs"/>
          <w:rtl/>
        </w:rPr>
        <w:t xml:space="preserve"> תירץ דדוקא בכחל הקילו, כיון שבשר הכחל מצטרף לשישים לבטל, אבל החלב שבו אינו מצטרף לבטל, כיון שהוא כבר נפלט ממנו ונתערב בתבשיל, אבל בשאר איסורים דרבנן לא הקילו.</w:t>
      </w:r>
    </w:p>
    <w:p w:rsidR="003A445B" w:rsidRPr="0050146A" w:rsidRDefault="003A445B" w:rsidP="003A445B">
      <w:pPr>
        <w:pStyle w:val="a2"/>
        <w:rPr>
          <w:rtl/>
        </w:rPr>
      </w:pPr>
      <w:bookmarkStart w:id="3396" w:name="_Toc10665827"/>
      <w:bookmarkStart w:id="3397" w:name="_Toc10713226"/>
      <w:r w:rsidRPr="0050146A">
        <w:rPr>
          <w:rFonts w:hint="cs"/>
          <w:rtl/>
        </w:rPr>
        <w:t>ביאור הלח"מ ברמב"ם דכוונת הגמ' לכל האיסורים דרבנן ונקטה כחל לחדש שאין לו דין חנ"נ</w:t>
      </w:r>
      <w:bookmarkEnd w:id="3396"/>
      <w:bookmarkEnd w:id="3397"/>
    </w:p>
    <w:p w:rsidR="003A445B" w:rsidRPr="0050146A" w:rsidRDefault="003A445B" w:rsidP="009F44AF">
      <w:pPr>
        <w:pStyle w:val="a"/>
        <w:rPr>
          <w:rtl/>
        </w:rPr>
      </w:pPr>
      <w:r w:rsidRPr="0050146A">
        <w:rPr>
          <w:rStyle w:val="af8"/>
          <w:rFonts w:hint="cs"/>
          <w:rtl/>
        </w:rPr>
        <w:t xml:space="preserve">והלח"מ </w:t>
      </w:r>
      <w:r w:rsidRPr="0050146A">
        <w:rPr>
          <w:rStyle w:val="af6"/>
          <w:rFonts w:eastAsia="Guttman Hodes" w:hint="cs"/>
          <w:rtl/>
        </w:rPr>
        <w:t xml:space="preserve">(מאכ"א פט"ו הי"ח) </w:t>
      </w:r>
      <w:r w:rsidRPr="0050146A">
        <w:rPr>
          <w:rFonts w:hint="cs"/>
          <w:rtl/>
        </w:rPr>
        <w:t>הקשה על ה</w:t>
      </w:r>
      <w:r w:rsidRPr="0050146A">
        <w:rPr>
          <w:rStyle w:val="af8"/>
          <w:rFonts w:hint="cs"/>
          <w:rtl/>
        </w:rPr>
        <w:t xml:space="preserve">רמב"ם </w:t>
      </w:r>
      <w:r w:rsidRPr="0050146A">
        <w:rPr>
          <w:rFonts w:hint="cs"/>
          <w:rtl/>
        </w:rPr>
        <w:t xml:space="preserve">דאי הקילו בכחל כיון שהוא איסור דרבנן, א"כ אמאי לא אמרינן בגמ' דכל האיסורים דרבנן מן המנין ולא רק דכחל מן המנין, ותירץ </w:t>
      </w:r>
      <w:r w:rsidRPr="0050146A">
        <w:rPr>
          <w:rStyle w:val="af8"/>
          <w:rFonts w:hint="cs"/>
          <w:rtl/>
        </w:rPr>
        <w:t xml:space="preserve">הלח"מ </w:t>
      </w:r>
      <w:r w:rsidRPr="0050146A">
        <w:rPr>
          <w:rFonts w:hint="cs"/>
          <w:rtl/>
        </w:rPr>
        <w:t xml:space="preserve">דהגמ' באה לחדש דלא רק בשאר איסורים דרבנן אמרינן דהם מהמנין, אלא אף </w:t>
      </w:r>
      <w:r w:rsidRPr="0050146A">
        <w:rPr>
          <w:rFonts w:hint="cs"/>
          <w:rtl/>
        </w:rPr>
        <w:t xml:space="preserve">כחל אף שהוא עצמו בשר בחלב, ויש בו דין חנ"נ, דלא נאמר כקושית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Ref10626586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שיש לכחל דין חנ"נ, אלא קמ"ל כתירוץ </w:t>
      </w:r>
      <w:r w:rsidRPr="0050146A">
        <w:rPr>
          <w:rStyle w:val="af8"/>
          <w:rFonts w:hint="cs"/>
          <w:rtl/>
        </w:rPr>
        <w:t>התוס'</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Ref10147554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דרק החלב הכנוס בו אסור, ולכן הקילו בו שהוא מהמנין. </w:t>
      </w:r>
    </w:p>
    <w:p w:rsidR="003A445B" w:rsidRPr="0050146A" w:rsidRDefault="003A445B" w:rsidP="003A445B">
      <w:pPr>
        <w:pStyle w:val="1"/>
        <w:rPr>
          <w:rtl/>
        </w:rPr>
      </w:pPr>
      <w:bookmarkStart w:id="3398" w:name="_Toc10665828"/>
      <w:bookmarkStart w:id="3399" w:name="_Toc10713227"/>
      <w:r w:rsidRPr="0050146A">
        <w:rPr>
          <w:rFonts w:hint="cs"/>
          <w:rtl/>
        </w:rPr>
        <w:t>דברי הראב"ד</w:t>
      </w:r>
      <w:bookmarkEnd w:id="3363"/>
      <w:bookmarkEnd w:id="3364"/>
      <w:bookmarkEnd w:id="3365"/>
      <w:bookmarkEnd w:id="3366"/>
      <w:bookmarkEnd w:id="3367"/>
      <w:bookmarkEnd w:id="3368"/>
      <w:bookmarkEnd w:id="3369"/>
      <w:bookmarkEnd w:id="3370"/>
      <w:bookmarkEnd w:id="3371"/>
      <w:bookmarkEnd w:id="3372"/>
      <w:bookmarkEnd w:id="3373"/>
      <w:bookmarkEnd w:id="3388"/>
      <w:bookmarkEnd w:id="3398"/>
      <w:r w:rsidRPr="0050146A">
        <w:rPr>
          <w:rFonts w:hint="cs"/>
          <w:rtl/>
        </w:rPr>
        <w:t xml:space="preserve"> דהכחל מן המנין כיון שהוא עצמו היתר</w:t>
      </w:r>
      <w:bookmarkEnd w:id="3399"/>
    </w:p>
    <w:p w:rsidR="003A445B" w:rsidRPr="0050146A" w:rsidRDefault="003A445B" w:rsidP="003A445B">
      <w:pPr>
        <w:pStyle w:val="a2"/>
        <w:rPr>
          <w:rtl/>
        </w:rPr>
      </w:pPr>
      <w:bookmarkStart w:id="3400" w:name="_Toc10665829"/>
      <w:bookmarkStart w:id="3401" w:name="_Toc10713228"/>
      <w:r w:rsidRPr="0050146A">
        <w:rPr>
          <w:rFonts w:hint="cs"/>
          <w:rtl/>
        </w:rPr>
        <w:t>דברי הראב"ד דהכחל מן המנין כיון שהכחל עצמו הוא היתר</w:t>
      </w:r>
      <w:bookmarkEnd w:id="3400"/>
      <w:bookmarkEnd w:id="3401"/>
    </w:p>
    <w:p w:rsidR="007E7609" w:rsidRPr="0050146A" w:rsidRDefault="003A445B" w:rsidP="009F44AF">
      <w:pPr>
        <w:pStyle w:val="a"/>
        <w:rPr>
          <w:rtl/>
        </w:rPr>
      </w:pPr>
      <w:bookmarkStart w:id="3402" w:name="_Ref9885018"/>
      <w:r w:rsidRPr="0050146A">
        <w:rPr>
          <w:rStyle w:val="af8"/>
          <w:rFonts w:hint="cs"/>
          <w:rtl/>
        </w:rPr>
        <w:t>והראב"ד</w:t>
      </w:r>
      <w:r w:rsidRPr="0050146A">
        <w:rPr>
          <w:rFonts w:hint="cs"/>
          <w:rtl/>
        </w:rPr>
        <w:t xml:space="preserve"> </w:t>
      </w:r>
      <w:r w:rsidRPr="0050146A">
        <w:rPr>
          <w:rStyle w:val="af6"/>
          <w:rFonts w:eastAsia="Guttman Hodes" w:hint="cs"/>
          <w:rtl/>
        </w:rPr>
        <w:t xml:space="preserve">(מאכ"א פט"ו הי"ח) </w:t>
      </w:r>
      <w:r w:rsidRPr="0050146A">
        <w:rPr>
          <w:rFonts w:hint="cs"/>
          <w:rtl/>
        </w:rPr>
        <w:t xml:space="preserve">השיג על </w:t>
      </w:r>
      <w:r w:rsidRPr="0050146A">
        <w:rPr>
          <w:rStyle w:val="af8"/>
          <w:rFonts w:hint="cs"/>
          <w:rtl/>
        </w:rPr>
        <w:t>הרמב"ם</w:t>
      </w:r>
      <w:r w:rsidRPr="0050146A">
        <w:rPr>
          <w:rFonts w:hint="cs"/>
          <w:rtl/>
        </w:rPr>
        <w:t xml:space="preserve"> דיש טעם יותר טוב אמאי הכחל בכלל שיעור שישים, דכיון שהכחל בעצמו הוא היתר לכן הוא בכלל השישים.</w:t>
      </w:r>
      <w:bookmarkEnd w:id="3402"/>
    </w:p>
    <w:p w:rsidR="003A445B" w:rsidRPr="0050146A" w:rsidRDefault="003A445B" w:rsidP="003A445B">
      <w:pPr>
        <w:pStyle w:val="a2"/>
        <w:rPr>
          <w:rtl/>
        </w:rPr>
      </w:pPr>
      <w:bookmarkStart w:id="3403" w:name="_Toc10665830"/>
      <w:bookmarkStart w:id="3404" w:name="_Toc10713229"/>
      <w:r w:rsidRPr="0050146A">
        <w:rPr>
          <w:rFonts w:hint="cs"/>
          <w:rtl/>
        </w:rPr>
        <w:t>ביאור המגד"ע והבאר הגולה בראב"ד דהכחל מותר בבישלו בפנ"ע ולכן הוא מן המנין</w:t>
      </w:r>
      <w:bookmarkEnd w:id="3403"/>
      <w:bookmarkEnd w:id="3404"/>
    </w:p>
    <w:p w:rsidR="003A445B" w:rsidRPr="0050146A" w:rsidRDefault="003A445B" w:rsidP="009F44AF">
      <w:pPr>
        <w:pStyle w:val="a"/>
      </w:pPr>
      <w:r w:rsidRPr="0050146A">
        <w:rPr>
          <w:rFonts w:hint="cs"/>
          <w:rtl/>
        </w:rPr>
        <w:t xml:space="preserve">והקשה </w:t>
      </w:r>
      <w:r w:rsidRPr="0050146A">
        <w:rPr>
          <w:rStyle w:val="af8"/>
          <w:rFonts w:hint="cs"/>
          <w:rtl/>
        </w:rPr>
        <w:t>המגד"ע</w:t>
      </w:r>
      <w:r w:rsidRPr="0050146A">
        <w:rPr>
          <w:rFonts w:hint="cs"/>
          <w:rtl/>
        </w:rPr>
        <w:t xml:space="preserve"> </w:t>
      </w:r>
      <w:r w:rsidRPr="0050146A">
        <w:rPr>
          <w:rStyle w:val="af6"/>
          <w:rFonts w:eastAsia="Guttman Hodes" w:hint="cs"/>
          <w:rtl/>
        </w:rPr>
        <w:t>(מאכ"א פט"ו הי"ח)</w:t>
      </w:r>
      <w:r w:rsidRPr="0050146A">
        <w:rPr>
          <w:rFonts w:hint="cs"/>
          <w:rtl/>
        </w:rPr>
        <w:t xml:space="preserve"> על </w:t>
      </w:r>
      <w:r w:rsidRPr="0050146A">
        <w:rPr>
          <w:rStyle w:val="af8"/>
          <w:rFonts w:hint="cs"/>
          <w:rtl/>
        </w:rPr>
        <w:t>הראב"ד</w:t>
      </w:r>
      <w:r w:rsidRPr="0050146A">
        <w:rPr>
          <w:rFonts w:hint="cs"/>
          <w:rtl/>
        </w:rPr>
        <w:t xml:space="preserve"> דהא הכחל עצמו הוא בשר וחלב ואינו היתר, כדמוכח מהא דאסור לבשל את הכחל עם בשר אחר, ואף כשמבשלו בפנ"ע צריך קריעה והטחה, וביאר </w:t>
      </w:r>
      <w:r w:rsidRPr="0050146A">
        <w:rPr>
          <w:rStyle w:val="af8"/>
          <w:rFonts w:hint="cs"/>
          <w:rtl/>
        </w:rPr>
        <w:t>הרדב"ז</w:t>
      </w:r>
      <w:r w:rsidRPr="0050146A">
        <w:rPr>
          <w:rFonts w:hint="cs"/>
          <w:rtl/>
        </w:rPr>
        <w:t xml:space="preserve"> </w:t>
      </w:r>
      <w:r w:rsidRPr="0050146A">
        <w:rPr>
          <w:rStyle w:val="af6"/>
          <w:rFonts w:eastAsia="Guttman Hodes" w:hint="cs"/>
          <w:rtl/>
        </w:rPr>
        <w:t>(מאכ"א פט"ו הי"ח)</w:t>
      </w:r>
      <w:r w:rsidRPr="0050146A">
        <w:rPr>
          <w:rFonts w:hint="cs"/>
          <w:rtl/>
        </w:rPr>
        <w:t xml:space="preserve"> </w:t>
      </w:r>
      <w:r w:rsidRPr="0050146A">
        <w:rPr>
          <w:rStyle w:val="af8"/>
          <w:rFonts w:hint="cs"/>
          <w:rtl/>
        </w:rPr>
        <w:t>דהמגד"ע</w:t>
      </w:r>
      <w:r w:rsidRPr="0050146A">
        <w:rPr>
          <w:rFonts w:hint="cs"/>
          <w:rtl/>
        </w:rPr>
        <w:t xml:space="preserve"> הבין דכוונת </w:t>
      </w:r>
      <w:r w:rsidRPr="0050146A">
        <w:rPr>
          <w:rStyle w:val="af8"/>
          <w:rFonts w:hint="cs"/>
          <w:rtl/>
        </w:rPr>
        <w:t>הראב"ד</w:t>
      </w:r>
      <w:r w:rsidRPr="0050146A">
        <w:rPr>
          <w:rFonts w:hint="cs"/>
          <w:rtl/>
        </w:rPr>
        <w:t xml:space="preserve"> לומר דהכחל מן המנין, כיון שהכחל מותר כשבישלו בפנ"ע, ושאר הבשר ג"כ מותר בפנ"ע, וכעי"ז ביאר </w:t>
      </w:r>
      <w:r w:rsidRPr="0050146A">
        <w:rPr>
          <w:rStyle w:val="af8"/>
          <w:rFonts w:hint="cs"/>
          <w:rtl/>
        </w:rPr>
        <w:t>הבאר הגולה</w:t>
      </w:r>
      <w:r w:rsidRPr="0050146A">
        <w:rPr>
          <w:rFonts w:hint="cs"/>
          <w:rtl/>
        </w:rPr>
        <w:t xml:space="preserve"> </w:t>
      </w:r>
      <w:r w:rsidRPr="0050146A">
        <w:rPr>
          <w:rStyle w:val="af6"/>
          <w:rFonts w:eastAsia="Guttman Hodes" w:hint="cs"/>
          <w:rtl/>
        </w:rPr>
        <w:t>(סי' צ' אות ו')</w:t>
      </w:r>
      <w:r w:rsidRPr="0050146A">
        <w:rPr>
          <w:rFonts w:hint="cs"/>
          <w:rtl/>
        </w:rPr>
        <w:t xml:space="preserve"> דהכחל עצמו מותר כשבישלו בפנ"ע, ולכן הוא מצטרף לשישים כשבישלו עם בשר אחר.</w:t>
      </w:r>
    </w:p>
    <w:p w:rsidR="003A445B" w:rsidRPr="0050146A" w:rsidRDefault="003A445B" w:rsidP="003A445B">
      <w:pPr>
        <w:pStyle w:val="a2"/>
        <w:rPr>
          <w:rtl/>
        </w:rPr>
      </w:pPr>
      <w:bookmarkStart w:id="3405" w:name="_Toc10665831"/>
      <w:bookmarkStart w:id="3406" w:name="_Toc10713230"/>
      <w:r w:rsidRPr="0050146A">
        <w:rPr>
          <w:rFonts w:hint="cs"/>
          <w:rtl/>
        </w:rPr>
        <w:t>ביאור הרדב"ז בראב"ד דבשר הכחל וחלב הכחל הם היתר בפנ"ע אך הקשה דה"ה בכל בשר וחלב</w:t>
      </w:r>
      <w:bookmarkEnd w:id="3405"/>
      <w:bookmarkEnd w:id="3406"/>
    </w:p>
    <w:p w:rsidR="003A445B" w:rsidRPr="0050146A" w:rsidRDefault="003A445B" w:rsidP="009F44AF">
      <w:pPr>
        <w:pStyle w:val="a"/>
        <w:rPr>
          <w:rtl/>
        </w:rPr>
      </w:pPr>
      <w:r w:rsidRPr="0050146A">
        <w:rPr>
          <w:rFonts w:hint="cs"/>
          <w:rtl/>
        </w:rPr>
        <w:t xml:space="preserve">ודחה </w:t>
      </w:r>
      <w:r w:rsidRPr="0050146A">
        <w:rPr>
          <w:rStyle w:val="af8"/>
          <w:rFonts w:hint="cs"/>
          <w:rtl/>
        </w:rPr>
        <w:t>הרדב"ז</w:t>
      </w:r>
      <w:r w:rsidRPr="0050146A">
        <w:rPr>
          <w:rFonts w:hint="cs"/>
          <w:rtl/>
        </w:rPr>
        <w:t xml:space="preserve"> את ביאור </w:t>
      </w:r>
      <w:r w:rsidRPr="0050146A">
        <w:rPr>
          <w:rStyle w:val="af8"/>
          <w:rFonts w:hint="cs"/>
          <w:rtl/>
        </w:rPr>
        <w:t>המגד"ע</w:t>
      </w:r>
      <w:r w:rsidRPr="0050146A">
        <w:rPr>
          <w:rFonts w:hint="cs"/>
          <w:rtl/>
        </w:rPr>
        <w:t xml:space="preserve">, וכתב דכוונת </w:t>
      </w:r>
      <w:r w:rsidRPr="0050146A">
        <w:rPr>
          <w:rStyle w:val="af8"/>
          <w:rFonts w:hint="cs"/>
          <w:rtl/>
        </w:rPr>
        <w:t>הראב"ד</w:t>
      </w:r>
      <w:r w:rsidRPr="0050146A">
        <w:rPr>
          <w:rFonts w:hint="cs"/>
          <w:rtl/>
        </w:rPr>
        <w:t xml:space="preserve"> לומר דכיון שהבשר הוא היתר בפנ"ע והחלב היתר בפנ"ע, והכחל עצמו הוא בשר בחלב, לכן הכחל מן המנין, אך הקשה </w:t>
      </w:r>
      <w:r w:rsidRPr="0050146A">
        <w:rPr>
          <w:rStyle w:val="af8"/>
          <w:rFonts w:hint="cs"/>
          <w:rtl/>
        </w:rPr>
        <w:t>הרדב"ז</w:t>
      </w:r>
      <w:r w:rsidRPr="0050146A">
        <w:rPr>
          <w:rFonts w:hint="cs"/>
          <w:rtl/>
        </w:rPr>
        <w:t xml:space="preserve"> על </w:t>
      </w:r>
      <w:r w:rsidRPr="0050146A">
        <w:rPr>
          <w:rStyle w:val="af8"/>
          <w:rFonts w:hint="cs"/>
          <w:rtl/>
        </w:rPr>
        <w:t>הראב"ד</w:t>
      </w:r>
      <w:r w:rsidRPr="0050146A">
        <w:rPr>
          <w:rFonts w:hint="cs"/>
          <w:rtl/>
        </w:rPr>
        <w:t xml:space="preserve"> דא"כ צריך להקל בכל תערובת בשר בחלב, ולא רק בכחל.</w:t>
      </w:r>
    </w:p>
    <w:p w:rsidR="003A445B" w:rsidRPr="0050146A" w:rsidRDefault="003A445B" w:rsidP="003A445B">
      <w:pPr>
        <w:pStyle w:val="1"/>
        <w:rPr>
          <w:rtl/>
        </w:rPr>
      </w:pPr>
      <w:bookmarkStart w:id="3407" w:name="_Toc10061666"/>
      <w:bookmarkStart w:id="3408" w:name="_Toc10147724"/>
      <w:bookmarkStart w:id="3409" w:name="_Toc10202014"/>
      <w:bookmarkStart w:id="3410" w:name="_Toc10367977"/>
      <w:bookmarkStart w:id="3411" w:name="_Toc10451076"/>
      <w:bookmarkStart w:id="3412" w:name="_Toc10494326"/>
      <w:bookmarkStart w:id="3413" w:name="_Toc10541259"/>
      <w:bookmarkStart w:id="3414" w:name="_Toc10625623"/>
      <w:bookmarkStart w:id="3415" w:name="_Toc10665832"/>
      <w:bookmarkStart w:id="3416" w:name="_Toc10713231"/>
      <w:r w:rsidRPr="0050146A">
        <w:rPr>
          <w:rFonts w:hint="cs"/>
          <w:rtl/>
        </w:rPr>
        <w:t>דברי המ"מ</w:t>
      </w:r>
      <w:bookmarkEnd w:id="3407"/>
      <w:bookmarkEnd w:id="3408"/>
      <w:bookmarkEnd w:id="3409"/>
      <w:bookmarkEnd w:id="3410"/>
      <w:bookmarkEnd w:id="3411"/>
      <w:bookmarkEnd w:id="3412"/>
      <w:bookmarkEnd w:id="3413"/>
      <w:bookmarkEnd w:id="3414"/>
      <w:bookmarkEnd w:id="3415"/>
      <w:r w:rsidRPr="0050146A">
        <w:rPr>
          <w:rFonts w:hint="cs"/>
          <w:rtl/>
        </w:rPr>
        <w:t xml:space="preserve"> דיש ג' דעות בראשונים בהא דהכחל מן המנין</w:t>
      </w:r>
      <w:bookmarkEnd w:id="3416"/>
    </w:p>
    <w:p w:rsidR="003A445B" w:rsidRPr="0050146A" w:rsidRDefault="003A445B" w:rsidP="003A445B">
      <w:pPr>
        <w:pStyle w:val="a2"/>
        <w:rPr>
          <w:rtl/>
        </w:rPr>
      </w:pPr>
      <w:bookmarkStart w:id="3417" w:name="_Toc10713232"/>
      <w:r w:rsidRPr="0050146A">
        <w:rPr>
          <w:rFonts w:hint="cs"/>
          <w:rtl/>
        </w:rPr>
        <w:t>דברי המ"מ דלהרמב"ם הכחל מן המנין דהוא דרבנן וי"א דהוא בשר וי"א דהוא מותר בבישלו בפנ"ע</w:t>
      </w:r>
      <w:bookmarkEnd w:id="3417"/>
    </w:p>
    <w:p w:rsidR="003A445B" w:rsidRPr="0050146A" w:rsidRDefault="003A445B" w:rsidP="009F44AF">
      <w:pPr>
        <w:pStyle w:val="a"/>
        <w:rPr>
          <w:rStyle w:val="afa"/>
          <w:rtl/>
        </w:rPr>
      </w:pPr>
      <w:bookmarkStart w:id="3418" w:name="_Ref10712837"/>
      <w:r w:rsidRPr="0050146A">
        <w:rPr>
          <w:rStyle w:val="af8"/>
          <w:rFonts w:hint="cs"/>
          <w:rtl/>
        </w:rPr>
        <w:t xml:space="preserve">והמ"מ </w:t>
      </w:r>
      <w:r w:rsidRPr="0050146A">
        <w:rPr>
          <w:rStyle w:val="af6"/>
          <w:rFonts w:eastAsia="Guttman Hodes" w:hint="cs"/>
          <w:rtl/>
        </w:rPr>
        <w:t>(מאכ"א פ"ט הי"ג)</w:t>
      </w:r>
      <w:r w:rsidRPr="0050146A">
        <w:rPr>
          <w:rFonts w:hint="cs"/>
          <w:rtl/>
        </w:rPr>
        <w:t xml:space="preserve"> הביא את דברי </w:t>
      </w:r>
      <w:r w:rsidRPr="0050146A">
        <w:rPr>
          <w:rStyle w:val="af8"/>
          <w:rFonts w:hint="cs"/>
          <w:rtl/>
        </w:rPr>
        <w:t xml:space="preserve">הרמב"ם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Ref9799468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לט)</w:t>
      </w:r>
      <w:r w:rsidRPr="0050146A">
        <w:rPr>
          <w:rStyle w:val="af6"/>
          <w:rFonts w:eastAsia="Guttman Hodes"/>
          <w:rtl/>
        </w:rPr>
        <w:fldChar w:fldCharType="end"/>
      </w:r>
      <w:r w:rsidRPr="0050146A">
        <w:rPr>
          <w:rFonts w:hint="cs"/>
          <w:rtl/>
        </w:rPr>
        <w:t xml:space="preserve"> דכתב דהכחל מן המנין כיון שהוא מדרבנן, וכתב </w:t>
      </w:r>
      <w:r w:rsidRPr="0050146A">
        <w:rPr>
          <w:rStyle w:val="af8"/>
          <w:rFonts w:hint="cs"/>
          <w:rtl/>
        </w:rPr>
        <w:t>המ"מ דיש חולקים</w:t>
      </w:r>
      <w:r w:rsidRPr="0050146A">
        <w:rPr>
          <w:rStyle w:val="afa"/>
          <w:rFonts w:hint="cs"/>
          <w:rtl/>
        </w:rPr>
        <w:t xml:space="preserve"> [עי' </w:t>
      </w:r>
      <w:r w:rsidRPr="0050146A">
        <w:rPr>
          <w:rStyle w:val="affa"/>
          <w:rFonts w:hint="cs"/>
          <w:rtl/>
        </w:rPr>
        <w:t>רמב"ן ורשב"א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Ref10021135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מח)</w:t>
      </w:r>
      <w:r w:rsidRPr="0050146A">
        <w:rPr>
          <w:rStyle w:val="aff6"/>
          <w:rtl/>
        </w:rPr>
        <w:fldChar w:fldCharType="end"/>
      </w:r>
      <w:r w:rsidRPr="0050146A">
        <w:rPr>
          <w:rStyle w:val="afa"/>
          <w:rFonts w:hint="cs"/>
          <w:rtl/>
        </w:rPr>
        <w:t>]</w:t>
      </w:r>
      <w:r w:rsidRPr="0050146A">
        <w:rPr>
          <w:rFonts w:hint="cs"/>
          <w:rtl/>
        </w:rPr>
        <w:t xml:space="preserve"> על </w:t>
      </w:r>
      <w:r w:rsidRPr="0050146A">
        <w:rPr>
          <w:rStyle w:val="af8"/>
          <w:rFonts w:hint="cs"/>
          <w:rtl/>
        </w:rPr>
        <w:t xml:space="preserve">הרמב"ם </w:t>
      </w:r>
      <w:r w:rsidRPr="0050146A">
        <w:rPr>
          <w:rFonts w:hint="cs"/>
          <w:rtl/>
        </w:rPr>
        <w:t xml:space="preserve">וביארו דהכחל מן המנין כיון שהוא עצמו בשר, ועוד הביא </w:t>
      </w:r>
      <w:r w:rsidRPr="0050146A">
        <w:rPr>
          <w:rStyle w:val="af8"/>
          <w:rFonts w:hint="cs"/>
          <w:rtl/>
        </w:rPr>
        <w:t xml:space="preserve">המ"מ </w:t>
      </w:r>
      <w:r w:rsidRPr="0050146A">
        <w:rPr>
          <w:rFonts w:hint="cs"/>
          <w:rtl/>
        </w:rPr>
        <w:t>בשם</w:t>
      </w:r>
      <w:r w:rsidRPr="0050146A">
        <w:rPr>
          <w:rStyle w:val="af8"/>
          <w:rFonts w:hint="cs"/>
          <w:rtl/>
        </w:rPr>
        <w:t xml:space="preserve"> י"א</w:t>
      </w:r>
      <w:r w:rsidRPr="0050146A">
        <w:rPr>
          <w:rStyle w:val="afa"/>
          <w:rFonts w:hint="cs"/>
          <w:rtl/>
        </w:rPr>
        <w:t xml:space="preserve"> [עי' </w:t>
      </w:r>
      <w:r w:rsidRPr="0050146A">
        <w:rPr>
          <w:rStyle w:val="affa"/>
          <w:rFonts w:hint="cs"/>
          <w:rtl/>
        </w:rPr>
        <w:t>ראב"ד</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Ref9885018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מד)</w:t>
      </w:r>
      <w:r w:rsidRPr="0050146A">
        <w:rPr>
          <w:rStyle w:val="aff6"/>
          <w:rtl/>
        </w:rPr>
        <w:fldChar w:fldCharType="end"/>
      </w:r>
      <w:r w:rsidRPr="0050146A">
        <w:rPr>
          <w:rStyle w:val="afa"/>
          <w:rFonts w:hint="cs"/>
          <w:rtl/>
        </w:rPr>
        <w:t>]</w:t>
      </w:r>
      <w:r w:rsidRPr="0050146A">
        <w:rPr>
          <w:rFonts w:hint="cs"/>
          <w:rtl/>
        </w:rPr>
        <w:t xml:space="preserve"> דהכחל מן המנין כיון שהוא מותר בבישלו בפנ"ע, וכתב </w:t>
      </w:r>
      <w:r w:rsidRPr="0050146A">
        <w:rPr>
          <w:rStyle w:val="af8"/>
          <w:rFonts w:hint="cs"/>
          <w:rtl/>
        </w:rPr>
        <w:t>הב"י</w:t>
      </w:r>
      <w:r w:rsidRPr="0050146A">
        <w:rPr>
          <w:rFonts w:hint="cs"/>
          <w:rtl/>
        </w:rPr>
        <w:t xml:space="preserve"> </w:t>
      </w:r>
      <w:r w:rsidRPr="0050146A">
        <w:rPr>
          <w:rStyle w:val="af6"/>
          <w:rFonts w:eastAsia="Guttman Hodes" w:hint="cs"/>
          <w:rtl/>
        </w:rPr>
        <w:t xml:space="preserve">(סי' צ' א' סוד"ה ומ"ש ואם בישלו עם) </w:t>
      </w:r>
      <w:r w:rsidRPr="0050146A">
        <w:rPr>
          <w:rFonts w:hint="cs"/>
          <w:rtl/>
        </w:rPr>
        <w:t xml:space="preserve">דכן דעת </w:t>
      </w:r>
      <w:r w:rsidRPr="0050146A">
        <w:rPr>
          <w:rStyle w:val="af8"/>
          <w:rFonts w:hint="cs"/>
          <w:rtl/>
        </w:rPr>
        <w:t>הר"ן על הרי"ף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Ref10711920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50146A">
        <w:rPr>
          <w:rStyle w:val="af6"/>
          <w:rFonts w:eastAsia="Guttman Hodes"/>
          <w:rtl/>
        </w:rPr>
        <w:fldChar w:fldCharType="end"/>
      </w:r>
      <w:r w:rsidRPr="0050146A">
        <w:rPr>
          <w:rFonts w:hint="cs"/>
          <w:rtl/>
        </w:rPr>
        <w:t xml:space="preserve">. </w:t>
      </w:r>
      <w:r w:rsidRPr="0050146A">
        <w:rPr>
          <w:rStyle w:val="afa"/>
          <w:rFonts w:hint="cs"/>
          <w:rtl/>
        </w:rPr>
        <w:t xml:space="preserve">[אמנם יעוי' </w:t>
      </w:r>
      <w:r w:rsidRPr="0050146A">
        <w:rPr>
          <w:rStyle w:val="affa"/>
          <w:rFonts w:hint="cs"/>
          <w:rtl/>
        </w:rPr>
        <w:t>ברשב"א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Ref10021135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מח)</w:t>
      </w:r>
      <w:r w:rsidRPr="0050146A">
        <w:rPr>
          <w:rStyle w:val="aff6"/>
          <w:rtl/>
        </w:rPr>
        <w:fldChar w:fldCharType="end"/>
      </w:r>
      <w:r w:rsidRPr="0050146A">
        <w:rPr>
          <w:rStyle w:val="afa"/>
          <w:rFonts w:hint="cs"/>
          <w:rtl/>
        </w:rPr>
        <w:t xml:space="preserve"> דכתב כטעם הראשון שהביא </w:t>
      </w:r>
      <w:r w:rsidRPr="0050146A">
        <w:rPr>
          <w:rStyle w:val="affa"/>
          <w:rFonts w:hint="cs"/>
          <w:rtl/>
        </w:rPr>
        <w:t>המ"מ</w:t>
      </w:r>
      <w:r w:rsidRPr="0050146A">
        <w:rPr>
          <w:rStyle w:val="afa"/>
          <w:rFonts w:hint="cs"/>
          <w:rtl/>
        </w:rPr>
        <w:t xml:space="preserve">, ועו"כ כתב </w:t>
      </w:r>
      <w:r w:rsidRPr="0050146A">
        <w:rPr>
          <w:rStyle w:val="affa"/>
          <w:rFonts w:hint="cs"/>
          <w:rtl/>
        </w:rPr>
        <w:t>הרשב"א</w:t>
      </w:r>
      <w:r w:rsidRPr="0050146A">
        <w:rPr>
          <w:rStyle w:val="afa"/>
          <w:rFonts w:hint="cs"/>
          <w:rtl/>
        </w:rPr>
        <w:t xml:space="preserve"> דהביאור הוא כדכתב </w:t>
      </w:r>
      <w:r w:rsidRPr="0050146A">
        <w:rPr>
          <w:rStyle w:val="affa"/>
          <w:rFonts w:hint="cs"/>
          <w:rtl/>
        </w:rPr>
        <w:t>הראב"ד</w:t>
      </w:r>
      <w:r w:rsidRPr="0050146A">
        <w:rPr>
          <w:rStyle w:val="aff6"/>
          <w:rFonts w:hint="cs"/>
          <w:rtl/>
        </w:rPr>
        <w:t xml:space="preserve">  (עי'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Ref9885018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מד)</w:t>
      </w:r>
      <w:r w:rsidRPr="0050146A">
        <w:rPr>
          <w:rStyle w:val="aff6"/>
          <w:rtl/>
        </w:rPr>
        <w:fldChar w:fldCharType="end"/>
      </w:r>
      <w:r w:rsidRPr="0050146A">
        <w:rPr>
          <w:rStyle w:val="afa"/>
          <w:rFonts w:hint="cs"/>
          <w:rtl/>
        </w:rPr>
        <w:t xml:space="preserve"> דהוא הטעם השני שהביא </w:t>
      </w:r>
      <w:r w:rsidRPr="0050146A">
        <w:rPr>
          <w:rStyle w:val="affa"/>
          <w:rFonts w:hint="cs"/>
          <w:rtl/>
        </w:rPr>
        <w:t>המ"מ</w:t>
      </w:r>
      <w:r w:rsidRPr="0050146A">
        <w:rPr>
          <w:rStyle w:val="afa"/>
          <w:rFonts w:hint="cs"/>
          <w:rtl/>
        </w:rPr>
        <w:t xml:space="preserve">, ומבואר </w:t>
      </w:r>
      <w:r w:rsidRPr="0050146A">
        <w:rPr>
          <w:rStyle w:val="affa"/>
          <w:rFonts w:hint="cs"/>
          <w:rtl/>
        </w:rPr>
        <w:t>ברשב"א</w:t>
      </w:r>
      <w:r w:rsidRPr="0050146A">
        <w:rPr>
          <w:rStyle w:val="afa"/>
          <w:rFonts w:hint="cs"/>
          <w:rtl/>
        </w:rPr>
        <w:t xml:space="preserve"> דב' הטעמים הם טעם אחד].</w:t>
      </w:r>
      <w:bookmarkEnd w:id="3418"/>
    </w:p>
    <w:p w:rsidR="003A445B" w:rsidRPr="0050146A" w:rsidRDefault="003A445B" w:rsidP="003A445B">
      <w:pPr>
        <w:pStyle w:val="1"/>
        <w:rPr>
          <w:rtl/>
        </w:rPr>
      </w:pPr>
      <w:bookmarkStart w:id="3419" w:name="_Toc10625624"/>
      <w:bookmarkStart w:id="3420" w:name="_Toc10665833"/>
      <w:bookmarkStart w:id="3421" w:name="_Toc10713233"/>
      <w:r w:rsidRPr="0050146A">
        <w:rPr>
          <w:rFonts w:hint="cs"/>
          <w:rtl/>
        </w:rPr>
        <w:t xml:space="preserve">דברי הרמב"ן והרשב"א </w:t>
      </w:r>
      <w:bookmarkEnd w:id="3337"/>
      <w:bookmarkEnd w:id="3338"/>
      <w:bookmarkEnd w:id="3374"/>
      <w:bookmarkEnd w:id="3375"/>
      <w:bookmarkEnd w:id="3376"/>
      <w:bookmarkEnd w:id="3377"/>
      <w:bookmarkEnd w:id="3378"/>
      <w:bookmarkEnd w:id="3379"/>
      <w:bookmarkEnd w:id="3380"/>
      <w:bookmarkEnd w:id="3419"/>
      <w:bookmarkEnd w:id="3420"/>
      <w:r w:rsidRPr="0050146A">
        <w:rPr>
          <w:rFonts w:hint="cs"/>
          <w:rtl/>
        </w:rPr>
        <w:t>דהכחל מן המנין דהוא עצמו בשר מותר</w:t>
      </w:r>
      <w:bookmarkEnd w:id="3421"/>
    </w:p>
    <w:p w:rsidR="003A445B" w:rsidRPr="0050146A" w:rsidRDefault="003A445B" w:rsidP="003A445B">
      <w:pPr>
        <w:pStyle w:val="a2"/>
        <w:rPr>
          <w:rtl/>
        </w:rPr>
      </w:pPr>
      <w:bookmarkStart w:id="3422" w:name="_Toc10665834"/>
      <w:bookmarkStart w:id="3423" w:name="_Toc10713234"/>
      <w:bookmarkStart w:id="3424" w:name="_Toc9934834"/>
      <w:r w:rsidRPr="0050146A">
        <w:rPr>
          <w:rFonts w:hint="cs"/>
          <w:rtl/>
        </w:rPr>
        <w:t>דברי הרמב"ן והרשב"א דהכחל מן המנין כיון שהוא עצמו בשר מותר</w:t>
      </w:r>
      <w:bookmarkEnd w:id="3422"/>
      <w:bookmarkEnd w:id="3423"/>
    </w:p>
    <w:p w:rsidR="002D7168" w:rsidRDefault="003A445B" w:rsidP="009F44AF">
      <w:pPr>
        <w:pStyle w:val="a"/>
        <w:rPr>
          <w:rtl/>
        </w:rPr>
      </w:pPr>
      <w:bookmarkStart w:id="3425" w:name="_Ref10021028"/>
      <w:r w:rsidRPr="0050146A">
        <w:rPr>
          <w:rFonts w:hint="cs"/>
          <w:rtl/>
        </w:rPr>
        <w:t xml:space="preserve">כתבו </w:t>
      </w:r>
      <w:r w:rsidRPr="0050146A">
        <w:rPr>
          <w:rStyle w:val="af8"/>
          <w:rFonts w:hint="cs"/>
          <w:rtl/>
        </w:rPr>
        <w:t>הרמב"ן</w:t>
      </w:r>
      <w:r w:rsidRPr="0050146A">
        <w:rPr>
          <w:rFonts w:hint="cs"/>
          <w:rtl/>
        </w:rPr>
        <w:t xml:space="preserve"> </w:t>
      </w:r>
      <w:r w:rsidRPr="0050146A">
        <w:rPr>
          <w:rStyle w:val="af6"/>
          <w:rFonts w:eastAsia="Guttman Hodes" w:hint="cs"/>
          <w:rtl/>
        </w:rPr>
        <w:t xml:space="preserve">(ד"ה ולי היה) </w:t>
      </w:r>
      <w:r w:rsidRPr="0050146A">
        <w:rPr>
          <w:rStyle w:val="af8"/>
          <w:rFonts w:hint="cs"/>
          <w:rtl/>
        </w:rPr>
        <w:t>והרשב"א בחי'</w:t>
      </w:r>
      <w:r w:rsidRPr="0050146A">
        <w:rPr>
          <w:rFonts w:hint="cs"/>
          <w:rtl/>
        </w:rPr>
        <w:t xml:space="preserve"> </w:t>
      </w:r>
      <w:r w:rsidRPr="0050146A">
        <w:rPr>
          <w:rStyle w:val="af6"/>
          <w:rFonts w:eastAsia="Guttman Hodes" w:hint="cs"/>
          <w:rtl/>
        </w:rPr>
        <w:t>(ד"ה כחל)</w:t>
      </w:r>
      <w:r w:rsidRPr="0050146A">
        <w:rPr>
          <w:rFonts w:hint="cs"/>
          <w:rtl/>
        </w:rPr>
        <w:t xml:space="preserve"> דהכחל מן המנין, כיון דהכחל בעצמו הוא בשר מותר, והוא ראוי להצטרף לשישים, </w:t>
      </w:r>
      <w:bookmarkStart w:id="3426" w:name="_Ref10021135"/>
      <w:bookmarkEnd w:id="3424"/>
      <w:r w:rsidRPr="0050146A">
        <w:rPr>
          <w:rFonts w:hint="cs"/>
          <w:rtl/>
        </w:rPr>
        <w:t xml:space="preserve">ולכן הוא מצטרף לשאר הבשר לבטל את החלב שבתוכו, והוסיף </w:t>
      </w:r>
      <w:r w:rsidRPr="0050146A">
        <w:rPr>
          <w:rStyle w:val="af8"/>
          <w:rFonts w:hint="cs"/>
          <w:rtl/>
        </w:rPr>
        <w:t>הרשב"א</w:t>
      </w:r>
      <w:r w:rsidRPr="0050146A">
        <w:rPr>
          <w:rFonts w:hint="cs"/>
          <w:rtl/>
        </w:rPr>
        <w:t xml:space="preserve"> </w:t>
      </w:r>
      <w:r w:rsidRPr="0050146A">
        <w:rPr>
          <w:rStyle w:val="af8"/>
          <w:rFonts w:hint="cs"/>
          <w:rtl/>
        </w:rPr>
        <w:t>בתוה"ב</w:t>
      </w:r>
      <w:r w:rsidRPr="0050146A">
        <w:rPr>
          <w:rFonts w:hint="cs"/>
          <w:rtl/>
        </w:rPr>
        <w:t xml:space="preserve"> </w:t>
      </w:r>
      <w:r w:rsidRPr="0050146A">
        <w:rPr>
          <w:rStyle w:val="af6"/>
          <w:rFonts w:eastAsia="Guttman Hodes" w:hint="cs"/>
          <w:rtl/>
        </w:rPr>
        <w:t>(ב"ד ש"א טז: מדה"ס)</w:t>
      </w:r>
      <w:r w:rsidRPr="0050146A">
        <w:rPr>
          <w:rFonts w:hint="cs"/>
          <w:rtl/>
        </w:rPr>
        <w:t xml:space="preserve"> דהחלב שבתוך הכחל לא חשיב כחלב, </w:t>
      </w:r>
      <w:bookmarkStart w:id="3427" w:name="_Ref10021089"/>
      <w:r w:rsidRPr="0050146A">
        <w:rPr>
          <w:rFonts w:hint="cs"/>
          <w:rtl/>
        </w:rPr>
        <w:t xml:space="preserve">והביא </w:t>
      </w:r>
      <w:r w:rsidRPr="0050146A">
        <w:rPr>
          <w:rStyle w:val="af8"/>
          <w:rFonts w:hint="cs"/>
          <w:rtl/>
        </w:rPr>
        <w:t>הרשב"א בתוה"ב</w:t>
      </w:r>
      <w:r w:rsidRPr="0050146A">
        <w:rPr>
          <w:rFonts w:hint="cs"/>
          <w:rtl/>
        </w:rPr>
        <w:t xml:space="preserve"> </w:t>
      </w:r>
      <w:r w:rsidRPr="0050146A">
        <w:rPr>
          <w:rStyle w:val="af6"/>
          <w:rFonts w:eastAsia="Guttman Hodes" w:hint="cs"/>
          <w:rtl/>
        </w:rPr>
        <w:t xml:space="preserve">(ב"ד ש"א ה:) </w:t>
      </w:r>
      <w:r w:rsidRPr="0050146A">
        <w:rPr>
          <w:rFonts w:hint="cs"/>
          <w:rtl/>
        </w:rPr>
        <w:t xml:space="preserve">דכן השיג </w:t>
      </w:r>
      <w:r w:rsidRPr="0050146A">
        <w:rPr>
          <w:rStyle w:val="af8"/>
          <w:rFonts w:hint="cs"/>
          <w:rtl/>
        </w:rPr>
        <w:t>הראב"ד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Ref9885018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50146A">
        <w:rPr>
          <w:rStyle w:val="af6"/>
          <w:rFonts w:eastAsia="Guttman Hodes"/>
          <w:rtl/>
        </w:rPr>
        <w:fldChar w:fldCharType="end"/>
      </w:r>
      <w:r w:rsidRPr="0050146A">
        <w:rPr>
          <w:rFonts w:hint="cs"/>
          <w:rtl/>
        </w:rPr>
        <w:t xml:space="preserve"> על </w:t>
      </w:r>
      <w:r w:rsidRPr="0050146A">
        <w:rPr>
          <w:rStyle w:val="af8"/>
          <w:rFonts w:hint="cs"/>
          <w:rtl/>
        </w:rPr>
        <w:t>הרמב"ם</w:t>
      </w:r>
      <w:r w:rsidRPr="0050146A">
        <w:rPr>
          <w:rFonts w:hint="cs"/>
          <w:rtl/>
        </w:rPr>
        <w:t xml:space="preserve"> וביאר דהכחל הוא היתר בעצמו.</w:t>
      </w:r>
      <w:bookmarkEnd w:id="3427"/>
    </w:p>
    <w:p w:rsidR="003A445B" w:rsidRPr="0050146A" w:rsidRDefault="003A445B" w:rsidP="003A445B">
      <w:pPr>
        <w:pStyle w:val="1"/>
        <w:rPr>
          <w:rtl/>
        </w:rPr>
      </w:pPr>
      <w:bookmarkStart w:id="3428" w:name="_Toc10713235"/>
      <w:bookmarkEnd w:id="3425"/>
      <w:bookmarkEnd w:id="3426"/>
      <w:r w:rsidRPr="0050146A">
        <w:rPr>
          <w:rFonts w:hint="cs"/>
          <w:rtl/>
        </w:rPr>
        <w:t>דעת הרא"ה דהוא מן המנין דהבשר מותר והחלב שבו אינו חלב</w:t>
      </w:r>
      <w:bookmarkEnd w:id="3428"/>
    </w:p>
    <w:p w:rsidR="003A445B" w:rsidRPr="0050146A" w:rsidRDefault="003A445B" w:rsidP="003A445B">
      <w:pPr>
        <w:pStyle w:val="a2"/>
        <w:rPr>
          <w:rtl/>
        </w:rPr>
      </w:pPr>
      <w:bookmarkStart w:id="3429" w:name="_Toc10665836"/>
      <w:bookmarkStart w:id="3430" w:name="_Toc10713236"/>
      <w:r w:rsidRPr="0050146A">
        <w:rPr>
          <w:rFonts w:hint="cs"/>
          <w:rtl/>
        </w:rPr>
        <w:t>קושית הרא"ה על הרשב"א דאף שהכחל הוא בשר מ"מ יש לו דין חנ"נ ואפשר לסוחטו אסור</w:t>
      </w:r>
      <w:bookmarkEnd w:id="3429"/>
      <w:bookmarkEnd w:id="3430"/>
    </w:p>
    <w:p w:rsidR="003A445B" w:rsidRPr="0050146A" w:rsidRDefault="003A445B" w:rsidP="009F44AF">
      <w:pPr>
        <w:pStyle w:val="a"/>
        <w:rPr>
          <w:rtl/>
        </w:rPr>
      </w:pPr>
      <w:bookmarkStart w:id="3431" w:name="_Ref9885966"/>
      <w:r w:rsidRPr="0050146A">
        <w:rPr>
          <w:rFonts w:hint="cs"/>
          <w:rtl/>
        </w:rPr>
        <w:t xml:space="preserve">ודחה </w:t>
      </w:r>
      <w:r w:rsidRPr="0050146A">
        <w:rPr>
          <w:rStyle w:val="af8"/>
          <w:rFonts w:hint="cs"/>
          <w:rtl/>
        </w:rPr>
        <w:t>הרא"ה בבד"ה</w:t>
      </w:r>
      <w:r w:rsidRPr="0050146A">
        <w:rPr>
          <w:rFonts w:hint="cs"/>
          <w:rtl/>
        </w:rPr>
        <w:t xml:space="preserve"> </w:t>
      </w:r>
      <w:r w:rsidRPr="0050146A">
        <w:rPr>
          <w:rStyle w:val="af6"/>
          <w:rFonts w:eastAsia="Guttman Hodes" w:hint="cs"/>
          <w:rtl/>
        </w:rPr>
        <w:t>(ב"ד ש"א טז: מדה"ס)</w:t>
      </w:r>
      <w:r w:rsidRPr="0050146A">
        <w:rPr>
          <w:rFonts w:hint="cs"/>
          <w:rtl/>
        </w:rPr>
        <w:t xml:space="preserve"> את דברי </w:t>
      </w:r>
      <w:r w:rsidRPr="0050146A">
        <w:rPr>
          <w:rStyle w:val="af8"/>
          <w:rFonts w:hint="cs"/>
          <w:rtl/>
        </w:rPr>
        <w:t>הרשב"א בתוה"ב</w:t>
      </w:r>
      <w:r w:rsidRPr="0050146A">
        <w:rPr>
          <w:rFonts w:hint="cs"/>
          <w:rtl/>
        </w:rPr>
        <w:t xml:space="preserve"> דא"א לומר דכיון שהוא עצמו בשר, הוא מצטרף לשאר הבשל לבטל את החלב שבו, דאדרבה כיון שהוא בשר, ממילא הבשר עם החלב שבו יש לו דין חנ</w:t>
      </w:r>
      <w:r w:rsidRPr="0050146A">
        <w:rPr>
          <w:rtl/>
        </w:rPr>
        <w:t>"</w:t>
      </w:r>
      <w:r w:rsidRPr="0050146A">
        <w:rPr>
          <w:rFonts w:hint="cs"/>
          <w:rtl/>
        </w:rPr>
        <w:t>נ, ואפשר לסוחטו אסור.</w:t>
      </w:r>
      <w:bookmarkEnd w:id="3431"/>
    </w:p>
    <w:p w:rsidR="003A445B" w:rsidRPr="0050146A" w:rsidRDefault="003A445B" w:rsidP="003A445B">
      <w:pPr>
        <w:pStyle w:val="a2"/>
        <w:rPr>
          <w:rtl/>
        </w:rPr>
      </w:pPr>
      <w:bookmarkStart w:id="3432" w:name="_Toc10665837"/>
      <w:bookmarkStart w:id="3433" w:name="_Toc10713237"/>
      <w:r w:rsidRPr="0050146A">
        <w:rPr>
          <w:rFonts w:hint="cs"/>
          <w:rtl/>
        </w:rPr>
        <w:lastRenderedPageBreak/>
        <w:t>ביאור הרא"ה דהכחל מן המנין כיון שהוא עצמו מותר דהחלב הבלוע אין לו דין חלב</w:t>
      </w:r>
      <w:bookmarkEnd w:id="3432"/>
      <w:bookmarkEnd w:id="3433"/>
    </w:p>
    <w:p w:rsidR="003A445B" w:rsidRPr="0050146A" w:rsidRDefault="003A445B" w:rsidP="009F44AF">
      <w:pPr>
        <w:pStyle w:val="a"/>
      </w:pPr>
      <w:bookmarkStart w:id="3434" w:name="_Ref10712935"/>
      <w:r w:rsidRPr="0050146A">
        <w:rPr>
          <w:rFonts w:hint="cs"/>
          <w:rtl/>
        </w:rPr>
        <w:t xml:space="preserve">אלא ביאר </w:t>
      </w:r>
      <w:r w:rsidRPr="0050146A">
        <w:rPr>
          <w:rStyle w:val="af8"/>
          <w:rFonts w:hint="cs"/>
          <w:rtl/>
        </w:rPr>
        <w:t>הרא"ה בבד"ה</w:t>
      </w:r>
      <w:r w:rsidRPr="0050146A">
        <w:rPr>
          <w:rFonts w:hint="cs"/>
          <w:rtl/>
        </w:rPr>
        <w:t xml:space="preserve"> </w:t>
      </w:r>
      <w:r w:rsidRPr="0050146A">
        <w:rPr>
          <w:rStyle w:val="af6"/>
          <w:rFonts w:eastAsia="Guttman Hodes" w:hint="cs"/>
          <w:rtl/>
        </w:rPr>
        <w:t>(ב"ד ש"א טז: מדה"ס)</w:t>
      </w:r>
      <w:r w:rsidRPr="0050146A">
        <w:rPr>
          <w:rFonts w:hint="cs"/>
          <w:rtl/>
        </w:rPr>
        <w:t xml:space="preserve"> </w:t>
      </w:r>
      <w:r w:rsidRPr="0050146A">
        <w:rPr>
          <w:rStyle w:val="af8"/>
          <w:rFonts w:hint="cs"/>
          <w:rtl/>
        </w:rPr>
        <w:t>ובחי'</w:t>
      </w:r>
      <w:r w:rsidRPr="0050146A">
        <w:rPr>
          <w:rFonts w:hint="cs"/>
          <w:rtl/>
        </w:rPr>
        <w:t xml:space="preserve"> </w:t>
      </w:r>
      <w:r w:rsidRPr="0050146A">
        <w:rPr>
          <w:rStyle w:val="af6"/>
          <w:rFonts w:eastAsia="Guttman Hodes" w:hint="cs"/>
          <w:rtl/>
        </w:rPr>
        <w:t>(ד"ה אמר ר"נ)</w:t>
      </w:r>
      <w:r w:rsidRPr="0050146A">
        <w:rPr>
          <w:rFonts w:hint="cs"/>
          <w:rtl/>
        </w:rPr>
        <w:t xml:space="preserve"> דהא דהכחל מן המנין הוא כיון שהכחל עצמו מותר, והוסיף </w:t>
      </w:r>
      <w:r w:rsidRPr="0050146A">
        <w:rPr>
          <w:rStyle w:val="af8"/>
          <w:rFonts w:hint="cs"/>
          <w:rtl/>
        </w:rPr>
        <w:t>הרא"ה בבד"ה</w:t>
      </w:r>
      <w:r w:rsidRPr="0050146A">
        <w:rPr>
          <w:rFonts w:hint="cs"/>
          <w:rtl/>
        </w:rPr>
        <w:t xml:space="preserve"> דהחלב שבכחל מעיקר הדין אין לו דין חלב.</w:t>
      </w:r>
    </w:p>
    <w:p w:rsidR="003A445B" w:rsidRPr="0050146A" w:rsidRDefault="003A445B" w:rsidP="003A445B">
      <w:pPr>
        <w:pStyle w:val="a2"/>
        <w:rPr>
          <w:rtl/>
        </w:rPr>
      </w:pPr>
      <w:bookmarkStart w:id="3435" w:name="_Toc10713238"/>
      <w:bookmarkStart w:id="3436" w:name="_Toc10665838"/>
      <w:bookmarkEnd w:id="3434"/>
      <w:r w:rsidRPr="0050146A">
        <w:rPr>
          <w:rFonts w:hint="cs"/>
          <w:rtl/>
        </w:rPr>
        <w:t>דברי הרא"ה בחי' דכיון שהכחל מותר מדאו' וגזרו בו כיון דמיחזי כבשר בחלב לכן הוא מן המנין</w:t>
      </w:r>
      <w:bookmarkEnd w:id="3435"/>
    </w:p>
    <w:p w:rsidR="007E7609" w:rsidRPr="0050146A" w:rsidRDefault="003A445B" w:rsidP="009F44AF">
      <w:pPr>
        <w:pStyle w:val="a"/>
        <w:rPr>
          <w:rtl/>
        </w:rPr>
      </w:pPr>
      <w:r w:rsidRPr="0050146A">
        <w:rPr>
          <w:rFonts w:hint="cs"/>
          <w:rtl/>
        </w:rPr>
        <w:t xml:space="preserve">ועו"כ </w:t>
      </w:r>
      <w:r w:rsidRPr="0050146A">
        <w:rPr>
          <w:rStyle w:val="af8"/>
          <w:rFonts w:hint="cs"/>
          <w:rtl/>
        </w:rPr>
        <w:t>הרא"ה בחי'</w:t>
      </w:r>
      <w:r w:rsidRPr="0050146A">
        <w:rPr>
          <w:rFonts w:hint="cs"/>
          <w:rtl/>
        </w:rPr>
        <w:t xml:space="preserve"> </w:t>
      </w:r>
      <w:r w:rsidRPr="0050146A">
        <w:rPr>
          <w:rStyle w:val="af6"/>
          <w:rFonts w:eastAsia="Guttman Hodes" w:hint="cs"/>
          <w:rtl/>
        </w:rPr>
        <w:t>(סוד"ה אמר רב יצחק)</w:t>
      </w:r>
      <w:r w:rsidRPr="0050146A">
        <w:rPr>
          <w:rFonts w:hint="cs"/>
          <w:rtl/>
        </w:rPr>
        <w:t xml:space="preserve"> דהא דהכחל עצמו מן המנין, הוא כיון דמדאו' הוא מותר אף כשבישלו בקדירה עם בשר אחר, וכ"מ שהחמירו בו רבנן כשבישלו עם בשר אחר, הוא כיון דמיחזי כבשר וחלב, לכן אמרו רבנן שהכחל עצמו מסייע לבטל ומצטרף לשישים.</w:t>
      </w:r>
    </w:p>
    <w:p w:rsidR="003A445B" w:rsidRPr="0050146A" w:rsidRDefault="003A445B" w:rsidP="003A445B">
      <w:pPr>
        <w:pStyle w:val="a2"/>
        <w:rPr>
          <w:rtl/>
        </w:rPr>
      </w:pPr>
      <w:bookmarkStart w:id="3437" w:name="_Toc10713239"/>
      <w:r w:rsidRPr="0050146A">
        <w:rPr>
          <w:rFonts w:hint="cs"/>
          <w:rtl/>
        </w:rPr>
        <w:t>קושית הרשב"א במשה"ב על הרא"ה דכתב ב' טעמים שונים גם שהכחל היתר וגם שאין חלבו אסור</w:t>
      </w:r>
      <w:bookmarkEnd w:id="3436"/>
      <w:bookmarkEnd w:id="3437"/>
    </w:p>
    <w:p w:rsidR="003A445B" w:rsidRPr="0050146A" w:rsidRDefault="003A445B" w:rsidP="009F44AF">
      <w:pPr>
        <w:pStyle w:val="a"/>
        <w:rPr>
          <w:rStyle w:val="afa"/>
          <w:rtl/>
        </w:rPr>
      </w:pPr>
      <w:bookmarkStart w:id="3438" w:name="_Ref10712941"/>
      <w:r w:rsidRPr="0050146A">
        <w:rPr>
          <w:rFonts w:hint="cs"/>
          <w:rtl/>
        </w:rPr>
        <w:t xml:space="preserve">והקשה </w:t>
      </w:r>
      <w:r w:rsidRPr="0050146A">
        <w:rPr>
          <w:rStyle w:val="af8"/>
          <w:rFonts w:hint="cs"/>
          <w:rtl/>
        </w:rPr>
        <w:t xml:space="preserve">הרשב"א במשה"ב </w:t>
      </w:r>
      <w:r w:rsidRPr="0050146A">
        <w:rPr>
          <w:rStyle w:val="af6"/>
          <w:rFonts w:eastAsia="Guttman Hodes" w:hint="cs"/>
          <w:rtl/>
        </w:rPr>
        <w:t>(ב"ד ש"א טז: מדה"ס)</w:t>
      </w:r>
      <w:r w:rsidRPr="0050146A">
        <w:rPr>
          <w:rFonts w:hint="cs"/>
          <w:rtl/>
        </w:rPr>
        <w:t xml:space="preserve"> על </w:t>
      </w:r>
      <w:r w:rsidRPr="0050146A">
        <w:rPr>
          <w:rStyle w:val="af8"/>
          <w:rFonts w:hint="cs"/>
          <w:rtl/>
        </w:rPr>
        <w:t>הרא"ה בבד"ה</w:t>
      </w:r>
      <w:r w:rsidRPr="0050146A">
        <w:rPr>
          <w:rFonts w:hint="cs"/>
          <w:rtl/>
        </w:rPr>
        <w:t xml:space="preserve"> דהוא הרכיב יחד ב' טעמים בהא דהכחל מן המנין, דכתב גם שהכחל עצמו מותר, וכתב גם שהחלב שבכחל אינו אסור מעיקר הדין. </w:t>
      </w:r>
      <w:r w:rsidRPr="0050146A">
        <w:rPr>
          <w:rStyle w:val="afa"/>
          <w:rFonts w:hint="cs"/>
          <w:rtl/>
        </w:rPr>
        <w:t xml:space="preserve">[אמנם יעוי' בדברי </w:t>
      </w:r>
      <w:r w:rsidRPr="0050146A">
        <w:rPr>
          <w:rStyle w:val="affa"/>
          <w:rFonts w:hint="cs"/>
          <w:rtl/>
        </w:rPr>
        <w:t>הרמ"א בתורת חטאת</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Ref10712585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סא)</w:t>
      </w:r>
      <w:r w:rsidRPr="0050146A">
        <w:rPr>
          <w:rStyle w:val="aff6"/>
          <w:rtl/>
        </w:rPr>
        <w:fldChar w:fldCharType="end"/>
      </w:r>
      <w:r w:rsidRPr="0050146A">
        <w:rPr>
          <w:rStyle w:val="afa"/>
          <w:rFonts w:hint="cs"/>
          <w:rtl/>
        </w:rPr>
        <w:t xml:space="preserve"> דהביא </w:t>
      </w:r>
      <w:r w:rsidRPr="0050146A">
        <w:rPr>
          <w:rStyle w:val="affa"/>
          <w:rFonts w:hint="cs"/>
          <w:rtl/>
        </w:rPr>
        <w:t>דהסמ"ג</w:t>
      </w:r>
      <w:r w:rsidRPr="0050146A">
        <w:rPr>
          <w:rStyle w:val="afa"/>
          <w:rFonts w:hint="cs"/>
          <w:rtl/>
        </w:rPr>
        <w:t xml:space="preserve"> כתב ג"כ ב' טעמים, וכתב </w:t>
      </w:r>
      <w:r w:rsidRPr="0050146A">
        <w:rPr>
          <w:rStyle w:val="affa"/>
          <w:rFonts w:hint="cs"/>
          <w:rtl/>
        </w:rPr>
        <w:t>הרמ"א</w:t>
      </w:r>
      <w:r w:rsidRPr="0050146A">
        <w:rPr>
          <w:rStyle w:val="afa"/>
          <w:rFonts w:hint="cs"/>
          <w:rtl/>
        </w:rPr>
        <w:t xml:space="preserve"> דכן דעת </w:t>
      </w:r>
      <w:r w:rsidRPr="0050146A">
        <w:rPr>
          <w:rStyle w:val="affa"/>
          <w:rFonts w:hint="cs"/>
          <w:rtl/>
        </w:rPr>
        <w:t>הר"ן</w:t>
      </w:r>
      <w:r w:rsidRPr="0050146A">
        <w:rPr>
          <w:rStyle w:val="afa"/>
          <w:rFonts w:hint="cs"/>
          <w:rtl/>
        </w:rPr>
        <w:t>].</w:t>
      </w:r>
      <w:bookmarkEnd w:id="3438"/>
    </w:p>
    <w:p w:rsidR="003A445B" w:rsidRPr="0050146A" w:rsidRDefault="003A445B" w:rsidP="003A445B">
      <w:pPr>
        <w:pStyle w:val="1"/>
        <w:rPr>
          <w:rtl/>
        </w:rPr>
      </w:pPr>
      <w:bookmarkStart w:id="3439" w:name="_Toc10713240"/>
      <w:bookmarkStart w:id="3440" w:name="_Toc10665839"/>
      <w:r w:rsidRPr="0050146A">
        <w:rPr>
          <w:rFonts w:hint="cs"/>
          <w:rtl/>
        </w:rPr>
        <w:t>דברי הרשב"א דהכחל אינו חתיכת איסור</w:t>
      </w:r>
      <w:bookmarkEnd w:id="3439"/>
    </w:p>
    <w:p w:rsidR="003A445B" w:rsidRPr="0050146A" w:rsidRDefault="003A445B" w:rsidP="003A445B">
      <w:pPr>
        <w:pStyle w:val="a2"/>
        <w:rPr>
          <w:rtl/>
        </w:rPr>
      </w:pPr>
      <w:bookmarkStart w:id="3441" w:name="_Toc10713241"/>
      <w:r w:rsidRPr="0050146A">
        <w:rPr>
          <w:rFonts w:hint="cs"/>
          <w:rtl/>
        </w:rPr>
        <w:t>ביאור הרשב"א במשה"ב דאין לכחל דין חנ"נ דהכחל התבטל בשישים ולא נעשה חתיכת איסור</w:t>
      </w:r>
      <w:bookmarkEnd w:id="3440"/>
      <w:bookmarkEnd w:id="3441"/>
    </w:p>
    <w:p w:rsidR="003A445B" w:rsidRPr="0050146A" w:rsidRDefault="003A445B" w:rsidP="009F44AF">
      <w:pPr>
        <w:pStyle w:val="a"/>
        <w:rPr>
          <w:rtl/>
        </w:rPr>
      </w:pPr>
      <w:r w:rsidRPr="0050146A">
        <w:rPr>
          <w:rFonts w:hint="cs"/>
          <w:rtl/>
        </w:rPr>
        <w:t xml:space="preserve">ובמה שהקשה </w:t>
      </w:r>
      <w:r w:rsidRPr="0050146A">
        <w:rPr>
          <w:rStyle w:val="af8"/>
          <w:rFonts w:hint="cs"/>
          <w:rtl/>
        </w:rPr>
        <w:t>הרא"ה בבד"ה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Ref9885966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sidRPr="0050146A">
        <w:rPr>
          <w:rStyle w:val="af6"/>
          <w:rFonts w:eastAsia="Guttman Hodes"/>
          <w:rtl/>
        </w:rPr>
        <w:fldChar w:fldCharType="end"/>
      </w:r>
      <w:r w:rsidRPr="0050146A">
        <w:rPr>
          <w:rFonts w:hint="cs"/>
          <w:rtl/>
        </w:rPr>
        <w:t xml:space="preserve"> דהבשר של הכחל יש לו דין חנ</w:t>
      </w:r>
      <w:r w:rsidRPr="0050146A">
        <w:rPr>
          <w:rtl/>
        </w:rPr>
        <w:t>"</w:t>
      </w:r>
      <w:r w:rsidRPr="0050146A">
        <w:rPr>
          <w:rFonts w:hint="cs"/>
          <w:rtl/>
        </w:rPr>
        <w:t xml:space="preserve">נ, וא"א לומר דכיון שהוא בשר הוא מצטרף לשישים, תירץ </w:t>
      </w:r>
      <w:r w:rsidRPr="0050146A">
        <w:rPr>
          <w:rStyle w:val="af8"/>
          <w:rFonts w:hint="cs"/>
          <w:rtl/>
        </w:rPr>
        <w:t>הרשב"א במשה"ב</w:t>
      </w:r>
      <w:r w:rsidRPr="0050146A">
        <w:rPr>
          <w:rFonts w:hint="cs"/>
          <w:rtl/>
        </w:rPr>
        <w:t xml:space="preserve"> </w:t>
      </w:r>
      <w:r w:rsidRPr="0050146A">
        <w:rPr>
          <w:rStyle w:val="af6"/>
          <w:rFonts w:eastAsia="Guttman Hodes" w:hint="cs"/>
          <w:rtl/>
        </w:rPr>
        <w:t>(ב"ד ש"א טז: מדה"ס)</w:t>
      </w:r>
      <w:r w:rsidRPr="0050146A">
        <w:rPr>
          <w:rFonts w:hint="cs"/>
          <w:rtl/>
        </w:rPr>
        <w:t xml:space="preserve"> דהכחל לא נעשה מעולם כחתיכת איסור, בתוך הקדירה הראשונה שהתבשל בה, דאדרבה הוא התבטל בשישים, ובשעת נפילת הכחל לקדירה, היה אפשר לסחוט את בשר הכחל ולהתירו ע"י קריעה והטחה בכותל, ואפשר לבשלו בקדירת בשר.</w:t>
      </w:r>
    </w:p>
    <w:p w:rsidR="003A445B" w:rsidRPr="0050146A" w:rsidRDefault="003A445B" w:rsidP="003A445B">
      <w:pPr>
        <w:pStyle w:val="a2"/>
      </w:pPr>
      <w:bookmarkStart w:id="3442" w:name="_Toc10665840"/>
      <w:bookmarkStart w:id="3443" w:name="_Toc10713242"/>
      <w:r w:rsidRPr="0050146A">
        <w:rPr>
          <w:rFonts w:hint="cs"/>
          <w:rtl/>
        </w:rPr>
        <w:t>ביאור הרשב"א במשה"ב דהכחל אוסר קדירה אחרת דחיישינן שמא לא יצא ממנו כל החלב</w:t>
      </w:r>
      <w:bookmarkEnd w:id="3442"/>
      <w:bookmarkEnd w:id="3443"/>
    </w:p>
    <w:p w:rsidR="003A445B" w:rsidRPr="0050146A" w:rsidRDefault="003A445B" w:rsidP="009F44AF">
      <w:pPr>
        <w:pStyle w:val="a"/>
        <w:rPr>
          <w:rtl/>
        </w:rPr>
      </w:pPr>
      <w:r w:rsidRPr="0050146A">
        <w:rPr>
          <w:rFonts w:hint="cs"/>
          <w:rtl/>
        </w:rPr>
        <w:t xml:space="preserve">והא דהכחל אוסר בקדירה אחרת, ביאר </w:t>
      </w:r>
      <w:r w:rsidRPr="0050146A">
        <w:rPr>
          <w:rStyle w:val="af8"/>
          <w:rFonts w:hint="cs"/>
          <w:rtl/>
        </w:rPr>
        <w:t>הרשב"א במשה"ב</w:t>
      </w:r>
      <w:r w:rsidRPr="0050146A">
        <w:rPr>
          <w:rFonts w:hint="cs"/>
          <w:rtl/>
        </w:rPr>
        <w:t xml:space="preserve"> דכיון שלא ידוע בבירור שנסחט ממנו כל החלב בקדירה הראשונה, לכן לגבי הקדירה השניה נעשה הכחל כחתיכת נבילה, דחיישינן שמא לא התבטל בתוכו כל החלב. </w:t>
      </w:r>
      <w:r w:rsidRPr="0050146A">
        <w:rPr>
          <w:rStyle w:val="afa"/>
          <w:rFonts w:hint="cs"/>
          <w:rtl/>
        </w:rPr>
        <w:t>[דהיינו שמא נשאר בו חלב והחלב שנשאר אוסר את הקדירה השניה].</w:t>
      </w:r>
    </w:p>
    <w:p w:rsidR="003A445B" w:rsidRPr="0050146A" w:rsidRDefault="003A445B" w:rsidP="003A445B">
      <w:pPr>
        <w:pStyle w:val="1"/>
        <w:rPr>
          <w:rtl/>
        </w:rPr>
      </w:pPr>
      <w:bookmarkStart w:id="3444" w:name="_Toc10665841"/>
      <w:bookmarkStart w:id="3445" w:name="_Toc10713243"/>
      <w:r w:rsidRPr="0050146A">
        <w:rPr>
          <w:rFonts w:hint="cs"/>
          <w:rtl/>
        </w:rPr>
        <w:t>ביאור הט"ז ברשב"א דבשישים אינו מחובר לאיסור ולכן מצטרף</w:t>
      </w:r>
      <w:bookmarkEnd w:id="3444"/>
      <w:bookmarkEnd w:id="3445"/>
    </w:p>
    <w:p w:rsidR="003A445B" w:rsidRPr="0050146A" w:rsidRDefault="003A445B" w:rsidP="003A445B">
      <w:pPr>
        <w:pStyle w:val="a2"/>
        <w:rPr>
          <w:rtl/>
        </w:rPr>
      </w:pPr>
      <w:bookmarkStart w:id="3446" w:name="_Toc10665842"/>
      <w:bookmarkStart w:id="3447" w:name="_Toc10713244"/>
      <w:r w:rsidRPr="0050146A">
        <w:rPr>
          <w:rFonts w:hint="cs"/>
          <w:rtl/>
        </w:rPr>
        <w:t>ביאור הט"ז ברשב"א דהכחל מן המנין דאינו איסור בעצמו וע"י שישים חשיב שאינו מחובר לאיסור</w:t>
      </w:r>
      <w:bookmarkEnd w:id="3446"/>
      <w:bookmarkEnd w:id="3447"/>
    </w:p>
    <w:p w:rsidR="003A445B" w:rsidRPr="0050146A" w:rsidRDefault="003A445B" w:rsidP="009F44AF">
      <w:pPr>
        <w:pStyle w:val="a"/>
        <w:rPr>
          <w:rStyle w:val="afa"/>
        </w:rPr>
      </w:pPr>
      <w:r w:rsidRPr="0050146A">
        <w:rPr>
          <w:rFonts w:hint="cs"/>
          <w:rtl/>
        </w:rPr>
        <w:t xml:space="preserve">וביאר </w:t>
      </w:r>
      <w:r w:rsidRPr="0050146A">
        <w:rPr>
          <w:rStyle w:val="af8"/>
          <w:rFonts w:hint="cs"/>
          <w:rtl/>
        </w:rPr>
        <w:t>הט"ז</w:t>
      </w:r>
      <w:r w:rsidRPr="0050146A">
        <w:rPr>
          <w:rFonts w:hint="cs"/>
          <w:rtl/>
        </w:rPr>
        <w:t xml:space="preserve"> </w:t>
      </w:r>
      <w:r w:rsidRPr="0050146A">
        <w:rPr>
          <w:rStyle w:val="af6"/>
          <w:rFonts w:eastAsia="Guttman Hodes" w:hint="cs"/>
          <w:rtl/>
        </w:rPr>
        <w:t>(סי' צ' סק"ב)</w:t>
      </w:r>
      <w:r w:rsidRPr="0050146A">
        <w:rPr>
          <w:rFonts w:hint="cs"/>
          <w:rtl/>
        </w:rPr>
        <w:t xml:space="preserve"> את דברי </w:t>
      </w:r>
      <w:r w:rsidRPr="0050146A">
        <w:rPr>
          <w:rStyle w:val="af8"/>
          <w:rFonts w:hint="cs"/>
          <w:rtl/>
        </w:rPr>
        <w:t>הרשב"א במשה"ב</w:t>
      </w:r>
      <w:r w:rsidRPr="0050146A">
        <w:rPr>
          <w:rFonts w:hint="cs"/>
          <w:rtl/>
        </w:rPr>
        <w:t xml:space="preserve"> דכיון שהיה אפשר לסחוט את החלב מתוך בשר הכחל, ובזה הוא מותר ואפשר לבשלו בקדירת בשר, א"כ מוכח דהא דהקילו דהכחל מן המנין, אינו מחמת שהוא איסור דרבנן, אלא דאף אם היה איסור דאו' ג"כ היה בשר הכחל מצטרף לשישים, כיון שאין על בשר הכחל שם איסור, והוא רק מחובר לאיסור, ולכן כשיש בקדירה יחד עם הכחל שישים, לבטל את החלב, לא נחשב הכחל כמחובר לאיסור. </w:t>
      </w:r>
      <w:bookmarkStart w:id="3448" w:name="_Toc10665843"/>
    </w:p>
    <w:p w:rsidR="003A445B" w:rsidRPr="0050146A" w:rsidRDefault="003A445B" w:rsidP="003A445B">
      <w:pPr>
        <w:pStyle w:val="1"/>
        <w:rPr>
          <w:rtl/>
        </w:rPr>
      </w:pPr>
      <w:bookmarkStart w:id="3449" w:name="_Toc10713245"/>
      <w:r w:rsidRPr="0050146A">
        <w:rPr>
          <w:rFonts w:hint="cs"/>
          <w:rtl/>
        </w:rPr>
        <w:t>דברי הרשב"א והר"ן דבנתבשל בקדירה של חלב אינו מהמנין</w:t>
      </w:r>
      <w:bookmarkEnd w:id="3448"/>
      <w:bookmarkEnd w:id="3449"/>
    </w:p>
    <w:p w:rsidR="003A445B" w:rsidRPr="0050146A" w:rsidRDefault="003A445B" w:rsidP="003A445B">
      <w:pPr>
        <w:pStyle w:val="a2"/>
        <w:rPr>
          <w:rtl/>
        </w:rPr>
      </w:pPr>
      <w:bookmarkStart w:id="3450" w:name="_Toc10665844"/>
      <w:bookmarkStart w:id="3451" w:name="_Toc10713246"/>
      <w:r w:rsidRPr="0050146A">
        <w:rPr>
          <w:rFonts w:hint="cs"/>
          <w:rtl/>
        </w:rPr>
        <w:t>דברי הרשב"א דבנפל הכחל לקדירה של חלב אין הכחל מן המנין והחלב שבו לא מצטרף לשישים</w:t>
      </w:r>
      <w:bookmarkEnd w:id="3450"/>
      <w:bookmarkEnd w:id="3451"/>
    </w:p>
    <w:p w:rsidR="003A445B" w:rsidRPr="0050146A" w:rsidRDefault="003A445B" w:rsidP="009F44AF">
      <w:pPr>
        <w:pStyle w:val="a"/>
        <w:rPr>
          <w:rStyle w:val="afa"/>
          <w:rtl/>
        </w:rPr>
      </w:pPr>
      <w:r w:rsidRPr="0050146A">
        <w:rPr>
          <w:rFonts w:hint="cs"/>
          <w:rtl/>
        </w:rPr>
        <w:t xml:space="preserve">כתב </w:t>
      </w:r>
      <w:r w:rsidRPr="0050146A">
        <w:rPr>
          <w:rStyle w:val="af8"/>
          <w:rFonts w:hint="cs"/>
          <w:rtl/>
        </w:rPr>
        <w:t>הרשב"א בחי'</w:t>
      </w:r>
      <w:r w:rsidRPr="0050146A">
        <w:rPr>
          <w:rFonts w:hint="cs"/>
          <w:rtl/>
        </w:rPr>
        <w:t xml:space="preserve"> </w:t>
      </w:r>
      <w:r w:rsidRPr="0050146A">
        <w:rPr>
          <w:rStyle w:val="af6"/>
          <w:rFonts w:eastAsia="Guttman Hodes" w:hint="cs"/>
          <w:rtl/>
        </w:rPr>
        <w:t>(ד"ה כחל)</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(ב"ד ש"א טז: מדה"ס)</w:t>
      </w:r>
      <w:r w:rsidRPr="0050146A">
        <w:rPr>
          <w:rFonts w:hint="cs"/>
          <w:rtl/>
        </w:rPr>
        <w:t xml:space="preserve"> דהא דהכחל מן המנין הוא דוקא כשנפל הכחל לקדירה של בשר, אבל אם נפל </w:t>
      </w:r>
      <w:r w:rsidRPr="0050146A">
        <w:rPr>
          <w:rFonts w:hint="cs"/>
          <w:rtl/>
        </w:rPr>
        <w:t xml:space="preserve">הכחל לתוך קדירה של חלב, דין הכחל כדין שאר איסורים, שצריך שיעור שישים חוץ ממנו, והוסיף </w:t>
      </w:r>
      <w:r w:rsidRPr="0050146A">
        <w:rPr>
          <w:rStyle w:val="af8"/>
          <w:rFonts w:hint="cs"/>
          <w:rtl/>
        </w:rPr>
        <w:t>הרשב"א</w:t>
      </w:r>
      <w:r w:rsidRPr="0050146A">
        <w:rPr>
          <w:rFonts w:hint="cs"/>
          <w:rtl/>
        </w:rPr>
        <w:t xml:space="preserve"> דהחלב שבתוך הכחל אינו מצטרף לשישים, כיון שלא ידוע כמה חלב יוצא ממנו, וכ"כ </w:t>
      </w:r>
      <w:r w:rsidRPr="0050146A">
        <w:rPr>
          <w:rStyle w:val="af8"/>
          <w:rFonts w:hint="cs"/>
          <w:rtl/>
        </w:rPr>
        <w:t>הר"ן על הרי"ף</w:t>
      </w:r>
      <w:r w:rsidRPr="0050146A">
        <w:rPr>
          <w:rFonts w:hint="cs"/>
          <w:rtl/>
        </w:rPr>
        <w:t xml:space="preserve"> </w:t>
      </w:r>
      <w:r w:rsidRPr="0050146A">
        <w:rPr>
          <w:rStyle w:val="af6"/>
          <w:rFonts w:eastAsia="Guttman Hodes" w:hint="cs"/>
          <w:rtl/>
        </w:rPr>
        <w:t>(לה. מדפי הרי"ף ד"ה כחל)</w:t>
      </w:r>
      <w:r w:rsidRPr="0050146A">
        <w:rPr>
          <w:rFonts w:hint="cs"/>
          <w:rtl/>
        </w:rPr>
        <w:t xml:space="preserve"> דבקדירה של חלב צריך שישים כיון שהכחל עצמו הוא האוסר, </w:t>
      </w:r>
      <w:r w:rsidRPr="0050146A">
        <w:rPr>
          <w:rStyle w:val="afa"/>
          <w:rFonts w:hint="cs"/>
          <w:rtl/>
        </w:rPr>
        <w:t>[ו</w:t>
      </w:r>
      <w:r w:rsidRPr="0050146A">
        <w:rPr>
          <w:rStyle w:val="afa"/>
          <w:rtl/>
        </w:rPr>
        <w:t>יעוי' בדברי</w:t>
      </w:r>
      <w:r w:rsidRPr="0050146A">
        <w:rPr>
          <w:rStyle w:val="affa"/>
          <w:rtl/>
        </w:rPr>
        <w:t xml:space="preserve"> </w:t>
      </w:r>
      <w:r w:rsidRPr="0050146A">
        <w:rPr>
          <w:rStyle w:val="affa"/>
          <w:rFonts w:hint="cs"/>
          <w:rtl/>
        </w:rPr>
        <w:t>הר"ן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Ref10393159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כה)</w:t>
      </w:r>
      <w:r w:rsidRPr="0050146A">
        <w:rPr>
          <w:rStyle w:val="aff6"/>
          <w:rtl/>
        </w:rPr>
        <w:fldChar w:fldCharType="end"/>
      </w:r>
      <w:r w:rsidRPr="0050146A">
        <w:rPr>
          <w:rStyle w:val="afa"/>
          <w:rFonts w:hint="cs"/>
          <w:rtl/>
        </w:rPr>
        <w:t xml:space="preserve"> דדכתב דהכחל אסור רק מפני מראית העין, כיון שיצא כל החלב שבו והתבטל, וא"כ בנפל לחלב כוונתו דאסור מדינא].</w:t>
      </w:r>
    </w:p>
    <w:p w:rsidR="003A445B" w:rsidRPr="0050146A" w:rsidRDefault="003A445B" w:rsidP="003A445B">
      <w:pPr>
        <w:pStyle w:val="a2"/>
        <w:rPr>
          <w:rtl/>
        </w:rPr>
      </w:pPr>
      <w:bookmarkStart w:id="3452" w:name="_Toc10713247"/>
      <w:r w:rsidRPr="0050146A">
        <w:rPr>
          <w:rFonts w:hint="cs"/>
          <w:rtl/>
        </w:rPr>
        <w:t>דברי הרא"ה בבד"ה דבנפל לקדירת חלב פשיטא שאינו מן המנין דהוא בשר בחלב דאו'</w:t>
      </w:r>
      <w:bookmarkEnd w:id="3452"/>
    </w:p>
    <w:p w:rsidR="003A445B" w:rsidRPr="0050146A" w:rsidRDefault="003A445B" w:rsidP="009F44AF">
      <w:pPr>
        <w:pStyle w:val="a"/>
        <w:rPr>
          <w:rtl/>
        </w:rPr>
      </w:pPr>
      <w:r w:rsidRPr="0050146A">
        <w:rPr>
          <w:rFonts w:hint="cs"/>
          <w:rtl/>
        </w:rPr>
        <w:t xml:space="preserve">וכ"כ </w:t>
      </w:r>
      <w:r w:rsidRPr="0050146A">
        <w:rPr>
          <w:rStyle w:val="af8"/>
          <w:rFonts w:hint="cs"/>
          <w:rtl/>
        </w:rPr>
        <w:t xml:space="preserve">הרא"ה בבד"ה </w:t>
      </w:r>
      <w:r w:rsidRPr="0050146A">
        <w:rPr>
          <w:rStyle w:val="af6"/>
          <w:rFonts w:eastAsia="Guttman Hodes" w:hint="cs"/>
          <w:rtl/>
        </w:rPr>
        <w:t>(ב"ד ש"א טז: מדה"ס)</w:t>
      </w:r>
      <w:r w:rsidRPr="0050146A">
        <w:rPr>
          <w:rFonts w:hint="cs"/>
          <w:rtl/>
        </w:rPr>
        <w:t xml:space="preserve"> דבנפל לקדירה של חלב, בודאי שצריך שישים כנגד כולו, והכחל אינו מן המנין, דכיון שנפל לקדירת חלב חשיב כבשר בחלב, דהא מדאו' הדין של הכחל הוא כבשר, שנאסר ע"י חלב אחר.</w:t>
      </w:r>
    </w:p>
    <w:p w:rsidR="003A445B" w:rsidRPr="0050146A" w:rsidRDefault="003A445B" w:rsidP="003A445B">
      <w:pPr>
        <w:pStyle w:val="a2"/>
      </w:pPr>
      <w:bookmarkStart w:id="3453" w:name="_Toc10665845"/>
      <w:bookmarkStart w:id="3454" w:name="_Toc10713248"/>
      <w:r w:rsidRPr="0050146A">
        <w:rPr>
          <w:rFonts w:hint="cs"/>
          <w:rtl/>
        </w:rPr>
        <w:t>דברי המ"מ דלהרמב"ם דכחל מן המנין כיון שהוא דרבנן א"כ בנפל לחלב דהוא דאו' אינו מן המנין</w:t>
      </w:r>
      <w:bookmarkEnd w:id="3453"/>
      <w:bookmarkEnd w:id="3454"/>
    </w:p>
    <w:p w:rsidR="003A445B" w:rsidRPr="0050146A" w:rsidRDefault="003A445B" w:rsidP="009F44AF">
      <w:pPr>
        <w:pStyle w:val="a"/>
        <w:rPr>
          <w:rtl/>
        </w:rPr>
      </w:pPr>
      <w:r w:rsidRPr="0050146A">
        <w:rPr>
          <w:rFonts w:hint="cs"/>
          <w:rtl/>
        </w:rPr>
        <w:t xml:space="preserve">וכ"כ </w:t>
      </w:r>
      <w:r w:rsidRPr="0050146A">
        <w:rPr>
          <w:rStyle w:val="af8"/>
          <w:rFonts w:hint="cs"/>
          <w:rtl/>
        </w:rPr>
        <w:t xml:space="preserve">המ"מ </w:t>
      </w:r>
      <w:r w:rsidRPr="0050146A">
        <w:rPr>
          <w:rStyle w:val="af6"/>
          <w:rFonts w:eastAsia="Guttman Hodes" w:hint="cs"/>
          <w:rtl/>
        </w:rPr>
        <w:t>(מאכ"א פ"ט הי"ג)</w:t>
      </w:r>
      <w:r w:rsidRPr="0050146A">
        <w:rPr>
          <w:rFonts w:hint="cs"/>
          <w:rtl/>
        </w:rPr>
        <w:t xml:space="preserve"> דבדעת </w:t>
      </w:r>
      <w:r w:rsidRPr="0050146A">
        <w:rPr>
          <w:rStyle w:val="af8"/>
          <w:rFonts w:hint="cs"/>
          <w:rtl/>
        </w:rPr>
        <w:t>הרמב"ם</w:t>
      </w:r>
      <w:r w:rsidRPr="0050146A">
        <w:rPr>
          <w:rFonts w:hint="cs"/>
          <w:rtl/>
        </w:rPr>
        <w:t xml:space="preserve"> מבואר דבנפל הכחל לקדירה של חלב אינו מן המנין, דכיון דביאר </w:t>
      </w:r>
      <w:r w:rsidRPr="0050146A">
        <w:rPr>
          <w:rStyle w:val="af8"/>
          <w:rFonts w:hint="cs"/>
          <w:rtl/>
        </w:rPr>
        <w:t>הרמב"ם</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Ref10649699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לט)</w:t>
      </w:r>
      <w:r w:rsidRPr="0050146A">
        <w:rPr>
          <w:rStyle w:val="af6"/>
          <w:rFonts w:eastAsia="Guttman Hodes"/>
          <w:rtl/>
        </w:rPr>
        <w:fldChar w:fldCharType="end"/>
      </w:r>
      <w:r w:rsidRPr="0050146A">
        <w:rPr>
          <w:rStyle w:val="af6"/>
          <w:rFonts w:eastAsia="Guttman Rashi" w:hint="cs"/>
          <w:rtl/>
        </w:rPr>
        <w:t xml:space="preserve"> </w:t>
      </w:r>
      <w:r w:rsidRPr="0050146A">
        <w:rPr>
          <w:rFonts w:hint="cs"/>
          <w:rtl/>
        </w:rPr>
        <w:t>דהכחל מן המנין כיון דהחלב שבו אסור רק מדרבנן, א"כ מדאו' דינו כבשר גמור, וממילא כשנפל לחלב דינו כאיסור דאו' שאינו מן המנין.</w:t>
      </w:r>
    </w:p>
    <w:p w:rsidR="003A445B" w:rsidRPr="0050146A" w:rsidRDefault="003A445B" w:rsidP="003A445B">
      <w:pPr>
        <w:pStyle w:val="1"/>
        <w:rPr>
          <w:rtl/>
        </w:rPr>
      </w:pPr>
      <w:bookmarkStart w:id="3455" w:name="_Toc10665846"/>
      <w:bookmarkStart w:id="3456" w:name="_Toc10713249"/>
      <w:r w:rsidRPr="0050146A">
        <w:rPr>
          <w:rFonts w:hint="cs"/>
          <w:rtl/>
        </w:rPr>
        <w:t>דעת הר"ן</w:t>
      </w:r>
      <w:bookmarkEnd w:id="3455"/>
      <w:r w:rsidRPr="0050146A">
        <w:rPr>
          <w:rFonts w:hint="cs"/>
          <w:rtl/>
        </w:rPr>
        <w:t xml:space="preserve"> דכיון שיוצא כל החלב מהכחל לכן הוא מהמנין</w:t>
      </w:r>
      <w:bookmarkEnd w:id="3456"/>
    </w:p>
    <w:p w:rsidR="003A445B" w:rsidRPr="0050146A" w:rsidRDefault="003A445B" w:rsidP="003A445B">
      <w:pPr>
        <w:pStyle w:val="a2"/>
      </w:pPr>
      <w:bookmarkStart w:id="3457" w:name="_Toc10665847"/>
      <w:bookmarkStart w:id="3458" w:name="_Toc10713250"/>
      <w:bookmarkStart w:id="3459" w:name="_Toc9936403"/>
      <w:bookmarkStart w:id="3460" w:name="_Toc9936424"/>
      <w:bookmarkStart w:id="3461" w:name="_Toc10061663"/>
      <w:bookmarkStart w:id="3462" w:name="_Toc10147721"/>
      <w:bookmarkStart w:id="3463" w:name="_Toc10202010"/>
      <w:bookmarkStart w:id="3464" w:name="_Toc10367973"/>
      <w:bookmarkStart w:id="3465" w:name="_Toc10451072"/>
      <w:bookmarkStart w:id="3466" w:name="_Toc10494321"/>
      <w:r w:rsidRPr="0050146A">
        <w:rPr>
          <w:rFonts w:hint="cs"/>
          <w:rtl/>
        </w:rPr>
        <w:t>דברי הר"ן דכחל מן המנין דהוא היתר ורק החלב שבו אוסר ויצא ממנו כל החלב</w:t>
      </w:r>
      <w:bookmarkEnd w:id="3457"/>
      <w:bookmarkEnd w:id="3458"/>
    </w:p>
    <w:p w:rsidR="003A445B" w:rsidRPr="0050146A" w:rsidRDefault="003A445B" w:rsidP="009F44AF">
      <w:pPr>
        <w:pStyle w:val="a"/>
        <w:rPr>
          <w:rtl/>
        </w:rPr>
      </w:pPr>
      <w:bookmarkStart w:id="3467" w:name="_Ref10711920"/>
      <w:r w:rsidRPr="0050146A">
        <w:rPr>
          <w:rFonts w:hint="cs"/>
          <w:rtl/>
        </w:rPr>
        <w:t xml:space="preserve">כתב </w:t>
      </w:r>
      <w:r w:rsidRPr="0050146A">
        <w:rPr>
          <w:rStyle w:val="af8"/>
          <w:rFonts w:hint="cs"/>
          <w:rtl/>
        </w:rPr>
        <w:t>הר"ן על הרי"ף</w:t>
      </w:r>
      <w:r w:rsidRPr="0050146A">
        <w:rPr>
          <w:rFonts w:hint="cs"/>
          <w:rtl/>
        </w:rPr>
        <w:t xml:space="preserve"> </w:t>
      </w:r>
      <w:r w:rsidRPr="0050146A">
        <w:rPr>
          <w:rStyle w:val="af6"/>
          <w:rFonts w:eastAsia="Guttman Hodes" w:hint="cs"/>
          <w:rtl/>
        </w:rPr>
        <w:t xml:space="preserve">(לה. מדפי הרי"ף ד"ה כחל) </w:t>
      </w:r>
      <w:r w:rsidRPr="0050146A">
        <w:rPr>
          <w:rFonts w:hint="cs"/>
          <w:rtl/>
        </w:rPr>
        <w:t xml:space="preserve">דהכחל מן המנין, כיון דהכחל בעצמו הוא בשר מותר, והוא אסור רק מחמת החלב שבו, והוסיף </w:t>
      </w:r>
      <w:r w:rsidRPr="0050146A">
        <w:rPr>
          <w:rStyle w:val="af8"/>
          <w:rFonts w:hint="cs"/>
          <w:rtl/>
        </w:rPr>
        <w:t xml:space="preserve">הר"ן </w:t>
      </w:r>
      <w:r w:rsidRPr="0050146A">
        <w:rPr>
          <w:rFonts w:hint="cs"/>
          <w:rtl/>
        </w:rPr>
        <w:t>דכיון שיצא כל החלב מהכחל, א"כ מדינא הכחל הוא מהמנין</w:t>
      </w:r>
      <w:r w:rsidRPr="0050146A">
        <w:rPr>
          <w:rStyle w:val="af0"/>
        </w:rPr>
        <w:footnoteReference w:id="17"/>
      </w:r>
      <w:r w:rsidRPr="0050146A">
        <w:rPr>
          <w:rFonts w:hint="cs"/>
          <w:rtl/>
        </w:rPr>
        <w:t xml:space="preserve">, </w:t>
      </w:r>
      <w:r w:rsidRPr="0050146A">
        <w:rPr>
          <w:rStyle w:val="afa"/>
          <w:rFonts w:hint="cs"/>
          <w:rtl/>
        </w:rPr>
        <w:t xml:space="preserve">[ועי' במה שביאר </w:t>
      </w:r>
      <w:r w:rsidRPr="0050146A">
        <w:rPr>
          <w:rStyle w:val="affa"/>
          <w:rFonts w:hint="cs"/>
          <w:rtl/>
        </w:rPr>
        <w:t>הר"ן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Ref10393159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כה)</w:t>
      </w:r>
      <w:r w:rsidRPr="0050146A">
        <w:rPr>
          <w:rStyle w:val="aff6"/>
          <w:rtl/>
        </w:rPr>
        <w:fldChar w:fldCharType="end"/>
      </w:r>
      <w:r w:rsidRPr="0050146A">
        <w:rPr>
          <w:rStyle w:val="afa"/>
          <w:rFonts w:hint="cs"/>
          <w:rtl/>
        </w:rPr>
        <w:t xml:space="preserve"> דהכחל עצמו אסור רק מפני מראית העין, ומדינא צריך להתיר אף את הכחל עצמו, כיון שיצא כל החלב שבו והתבטל],</w:t>
      </w:r>
      <w:r w:rsidRPr="0050146A">
        <w:rPr>
          <w:rFonts w:hint="cs"/>
          <w:rtl/>
        </w:rPr>
        <w:t xml:space="preserve"> ועוד הביא </w:t>
      </w:r>
      <w:r w:rsidRPr="0050146A">
        <w:rPr>
          <w:rStyle w:val="af8"/>
          <w:rFonts w:hint="cs"/>
          <w:rtl/>
        </w:rPr>
        <w:t>הר"ן</w:t>
      </w:r>
      <w:r w:rsidRPr="0050146A">
        <w:rPr>
          <w:rFonts w:hint="cs"/>
          <w:rtl/>
        </w:rPr>
        <w:t xml:space="preserve"> את דברי </w:t>
      </w:r>
      <w:r w:rsidRPr="0050146A">
        <w:rPr>
          <w:rStyle w:val="af8"/>
          <w:rFonts w:hint="cs"/>
          <w:rtl/>
        </w:rPr>
        <w:t>הרמב"ם</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Ref10649699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לט)</w:t>
      </w:r>
      <w:r w:rsidRPr="0050146A">
        <w:rPr>
          <w:rStyle w:val="af6"/>
          <w:rFonts w:eastAsia="Guttman Hodes"/>
          <w:rtl/>
        </w:rPr>
        <w:fldChar w:fldCharType="end"/>
      </w:r>
      <w:r w:rsidRPr="0050146A">
        <w:rPr>
          <w:rStyle w:val="af6"/>
          <w:rFonts w:eastAsia="Guttman Rashi" w:hint="cs"/>
          <w:rtl/>
        </w:rPr>
        <w:t xml:space="preserve"> </w:t>
      </w:r>
      <w:r w:rsidRPr="0050146A">
        <w:rPr>
          <w:rFonts w:hint="cs"/>
          <w:rtl/>
        </w:rPr>
        <w:t xml:space="preserve">דכתב דכיון שהכחל הוא מדרבנן, לכן הכחל בכלל שיעור השישים, ועי' במ"ש </w:t>
      </w:r>
      <w:r w:rsidRPr="0050146A">
        <w:rPr>
          <w:rStyle w:val="af8"/>
          <w:rFonts w:hint="cs"/>
          <w:rtl/>
        </w:rPr>
        <w:t>הב"י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Ref10712837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50146A">
        <w:rPr>
          <w:rStyle w:val="af6"/>
          <w:rFonts w:eastAsia="Guttman Hodes"/>
          <w:rtl/>
        </w:rPr>
        <w:fldChar w:fldCharType="end"/>
      </w:r>
      <w:r w:rsidRPr="0050146A">
        <w:rPr>
          <w:rFonts w:hint="cs"/>
          <w:rtl/>
        </w:rPr>
        <w:t xml:space="preserve"> בדעת </w:t>
      </w:r>
      <w:r w:rsidRPr="0050146A">
        <w:rPr>
          <w:rStyle w:val="af8"/>
          <w:rFonts w:hint="cs"/>
          <w:rtl/>
        </w:rPr>
        <w:t>הר"ן</w:t>
      </w:r>
      <w:r w:rsidRPr="0050146A">
        <w:rPr>
          <w:rFonts w:hint="cs"/>
          <w:rtl/>
        </w:rPr>
        <w:t xml:space="preserve">, וע"ע בדברי </w:t>
      </w:r>
      <w:r w:rsidRPr="0050146A">
        <w:rPr>
          <w:rStyle w:val="af8"/>
          <w:rFonts w:hint="cs"/>
          <w:rtl/>
        </w:rPr>
        <w:t>המנחת יעקב</w:t>
      </w:r>
      <w:r w:rsidRPr="0050146A">
        <w:rPr>
          <w:rFonts w:hint="cs"/>
          <w:rtl/>
        </w:rPr>
        <w:t xml:space="preserve"> </w:t>
      </w:r>
      <w:r w:rsidRPr="0050146A">
        <w:rPr>
          <w:rStyle w:val="af6"/>
          <w:rFonts w:eastAsia="Guttman Hodes" w:hint="cs"/>
          <w:rtl/>
        </w:rPr>
        <w:t>(עי' הערה</w:t>
      </w:r>
      <w:r w:rsidRPr="0050146A">
        <w:rPr>
          <w:vertAlign w:val="superscript"/>
          <w:rtl/>
        </w:rPr>
        <w:fldChar w:fldCharType="begin"/>
      </w:r>
      <w:r w:rsidRPr="0050146A">
        <w:rPr>
          <w:vertAlign w:val="superscript"/>
          <w:rtl/>
        </w:rPr>
        <w:instrText xml:space="preserve"> </w:instrText>
      </w:r>
      <w:r w:rsidRPr="0050146A">
        <w:rPr>
          <w:rFonts w:hint="cs"/>
          <w:vertAlign w:val="superscript"/>
        </w:rPr>
        <w:instrText>NOTEREF</w:instrText>
      </w:r>
      <w:r w:rsidRPr="0050146A">
        <w:rPr>
          <w:rFonts w:hint="cs"/>
          <w:vertAlign w:val="superscript"/>
          <w:rtl/>
        </w:rPr>
        <w:instrText xml:space="preserve"> _</w:instrText>
      </w:r>
      <w:r w:rsidRPr="0050146A">
        <w:rPr>
          <w:rFonts w:hint="cs"/>
          <w:vertAlign w:val="superscript"/>
        </w:rPr>
        <w:instrText>Ref10654057 \h</w:instrText>
      </w:r>
      <w:r w:rsidRPr="0050146A">
        <w:rPr>
          <w:vertAlign w:val="superscript"/>
          <w:rtl/>
        </w:rPr>
        <w:instrText xml:space="preserve">  \* </w:instrText>
      </w:r>
      <w:r w:rsidRPr="0050146A">
        <w:rPr>
          <w:vertAlign w:val="superscript"/>
        </w:rPr>
        <w:instrText>MERGEFORMAT</w:instrText>
      </w:r>
      <w:r w:rsidRPr="0050146A">
        <w:rPr>
          <w:vertAlign w:val="superscript"/>
          <w:rtl/>
        </w:rPr>
        <w:instrText xml:space="preserve"> </w:instrText>
      </w:r>
      <w:r w:rsidRPr="0050146A">
        <w:rPr>
          <w:vertAlign w:val="superscript"/>
          <w:rtl/>
        </w:rPr>
      </w:r>
      <w:r w:rsidRPr="0050146A">
        <w:rPr>
          <w:vertAlign w:val="superscript"/>
          <w:rtl/>
        </w:rPr>
        <w:fldChar w:fldCharType="separate"/>
      </w:r>
      <w:r w:rsidR="004D1C5B">
        <w:rPr>
          <w:vertAlign w:val="superscript"/>
          <w:rtl/>
        </w:rPr>
        <w:t>18</w:t>
      </w:r>
      <w:r w:rsidRPr="0050146A">
        <w:rPr>
          <w:vertAlign w:val="superscript"/>
          <w:rtl/>
        </w:rPr>
        <w:fldChar w:fldCharType="end"/>
      </w:r>
      <w:r w:rsidRPr="0050146A">
        <w:rPr>
          <w:rStyle w:val="af6"/>
          <w:rFonts w:eastAsia="Guttman Hodes" w:hint="cs"/>
          <w:rtl/>
        </w:rPr>
        <w:t>)</w:t>
      </w:r>
      <w:r w:rsidRPr="0050146A">
        <w:rPr>
          <w:rFonts w:hint="cs"/>
          <w:rtl/>
        </w:rPr>
        <w:t xml:space="preserve"> במ"ש בדעת </w:t>
      </w:r>
      <w:r w:rsidRPr="0050146A">
        <w:rPr>
          <w:rStyle w:val="af8"/>
          <w:rFonts w:hint="cs"/>
          <w:rtl/>
        </w:rPr>
        <w:t>הר"ן</w:t>
      </w:r>
      <w:r w:rsidRPr="0050146A">
        <w:rPr>
          <w:rFonts w:hint="cs"/>
          <w:rtl/>
        </w:rPr>
        <w:t>.</w:t>
      </w:r>
      <w:bookmarkEnd w:id="3467"/>
    </w:p>
    <w:p w:rsidR="003A445B" w:rsidRPr="0050146A" w:rsidRDefault="003A445B" w:rsidP="003A445B">
      <w:pPr>
        <w:pStyle w:val="1"/>
        <w:rPr>
          <w:rtl/>
        </w:rPr>
      </w:pPr>
      <w:bookmarkStart w:id="3468" w:name="_Toc10665848"/>
      <w:bookmarkStart w:id="3469" w:name="_Toc10713251"/>
      <w:r w:rsidRPr="0050146A">
        <w:rPr>
          <w:rFonts w:hint="cs"/>
          <w:rtl/>
        </w:rPr>
        <w:t>ביאור הרמ"א בר"ן דהכחל מן המנין דהוא מותר ואינו דאו'</w:t>
      </w:r>
      <w:bookmarkEnd w:id="3468"/>
      <w:bookmarkEnd w:id="3469"/>
    </w:p>
    <w:p w:rsidR="003A445B" w:rsidRPr="0050146A" w:rsidRDefault="003A445B" w:rsidP="003A445B">
      <w:pPr>
        <w:pStyle w:val="a2"/>
        <w:rPr>
          <w:rtl/>
        </w:rPr>
      </w:pPr>
      <w:bookmarkStart w:id="3470" w:name="_Toc10665849"/>
      <w:bookmarkStart w:id="3471" w:name="_Toc10713252"/>
      <w:bookmarkStart w:id="3472" w:name="_Ref10453366"/>
      <w:r w:rsidRPr="0050146A">
        <w:rPr>
          <w:rFonts w:hint="cs"/>
          <w:rtl/>
        </w:rPr>
        <w:t>קושית הרמ"א דאי כחל מן המנין כיון שהחלב יוצא ממנו והוא היתר א"כ ה"ה דם שבלוע בחתיכה</w:t>
      </w:r>
      <w:bookmarkEnd w:id="3470"/>
      <w:bookmarkEnd w:id="3471"/>
    </w:p>
    <w:p w:rsidR="003A445B" w:rsidRPr="0050146A" w:rsidRDefault="003A445B" w:rsidP="009F44AF">
      <w:pPr>
        <w:pStyle w:val="a"/>
        <w:rPr>
          <w:rtl/>
        </w:rPr>
      </w:pPr>
      <w:r w:rsidRPr="0050146A">
        <w:rPr>
          <w:rFonts w:hint="cs"/>
          <w:rtl/>
        </w:rPr>
        <w:t xml:space="preserve">והקשה </w:t>
      </w:r>
      <w:r w:rsidRPr="0050146A">
        <w:rPr>
          <w:rStyle w:val="af8"/>
          <w:rFonts w:hint="cs"/>
          <w:rtl/>
        </w:rPr>
        <w:t>הרמ"א בתורת חטאת</w:t>
      </w:r>
      <w:r w:rsidRPr="0050146A">
        <w:rPr>
          <w:rFonts w:hint="cs"/>
          <w:rtl/>
        </w:rPr>
        <w:t xml:space="preserve"> </w:t>
      </w:r>
      <w:r w:rsidRPr="0050146A">
        <w:rPr>
          <w:rStyle w:val="af6"/>
          <w:rFonts w:eastAsia="Guttman Hodes" w:hint="cs"/>
          <w:rtl/>
        </w:rPr>
        <w:t xml:space="preserve">(כלל ל' אות ב') </w:t>
      </w:r>
      <w:r w:rsidRPr="0050146A">
        <w:rPr>
          <w:rFonts w:hint="cs"/>
          <w:rtl/>
        </w:rPr>
        <w:t xml:space="preserve">על דברי </w:t>
      </w:r>
      <w:r w:rsidRPr="0050146A">
        <w:rPr>
          <w:rStyle w:val="af8"/>
          <w:rFonts w:hint="cs"/>
          <w:rtl/>
        </w:rPr>
        <w:t>הר"ן</w:t>
      </w:r>
      <w:r w:rsidRPr="0050146A">
        <w:rPr>
          <w:rFonts w:hint="cs"/>
          <w:rtl/>
        </w:rPr>
        <w:t xml:space="preserve"> דאי הכחל מן המנין כיון </w:t>
      </w:r>
      <w:r w:rsidRPr="0050146A">
        <w:rPr>
          <w:rtl/>
        </w:rPr>
        <w:t xml:space="preserve">ממנו </w:t>
      </w:r>
      <w:r w:rsidRPr="0050146A">
        <w:rPr>
          <w:rFonts w:hint="cs"/>
          <w:rtl/>
        </w:rPr>
        <w:t xml:space="preserve">שכל </w:t>
      </w:r>
      <w:r w:rsidRPr="0050146A">
        <w:rPr>
          <w:rtl/>
        </w:rPr>
        <w:t xml:space="preserve">החלב </w:t>
      </w:r>
      <w:r w:rsidRPr="0050146A">
        <w:rPr>
          <w:rFonts w:hint="cs"/>
          <w:rtl/>
        </w:rPr>
        <w:t>יצא ממנו, ו</w:t>
      </w:r>
      <w:r w:rsidRPr="0050146A">
        <w:rPr>
          <w:rtl/>
        </w:rPr>
        <w:t xml:space="preserve">נשאר </w:t>
      </w:r>
      <w:r w:rsidRPr="0050146A">
        <w:rPr>
          <w:rFonts w:hint="cs"/>
          <w:rtl/>
        </w:rPr>
        <w:t>בו</w:t>
      </w:r>
      <w:r w:rsidRPr="0050146A">
        <w:rPr>
          <w:rtl/>
        </w:rPr>
        <w:t xml:space="preserve"> בשר גמור </w:t>
      </w:r>
      <w:r w:rsidRPr="0050146A">
        <w:rPr>
          <w:rFonts w:hint="cs"/>
          <w:rtl/>
        </w:rPr>
        <w:t>א"כ אמאי דם שבלוע בחתיכה, אינו מן המנין, הא אף הדם יוצא לבסוף מהחתיכה ונשאר רק בשר מותר</w:t>
      </w:r>
      <w:bookmarkStart w:id="3473" w:name="_Ref10654057"/>
      <w:r w:rsidRPr="0050146A">
        <w:rPr>
          <w:rStyle w:val="af0"/>
          <w:rtl/>
        </w:rPr>
        <w:footnoteReference w:id="18"/>
      </w:r>
      <w:bookmarkEnd w:id="3473"/>
      <w:r w:rsidRPr="0050146A">
        <w:rPr>
          <w:rFonts w:hint="cs"/>
          <w:rtl/>
        </w:rPr>
        <w:t>.</w:t>
      </w:r>
    </w:p>
    <w:p w:rsidR="003A445B" w:rsidRPr="0050146A" w:rsidRDefault="003A445B" w:rsidP="003A445B">
      <w:pPr>
        <w:pStyle w:val="a2"/>
      </w:pPr>
      <w:bookmarkStart w:id="3474" w:name="_Toc10665850"/>
      <w:bookmarkStart w:id="3475" w:name="_Toc10713253"/>
      <w:r w:rsidRPr="0050146A">
        <w:rPr>
          <w:rFonts w:hint="cs"/>
          <w:rtl/>
        </w:rPr>
        <w:t>תירוץ הרמ"א דכוונת הר"ן כסמ"ג דהכחל מהמנין כיון שהוא היתר וכן כיון שהוא איסור דרבנן</w:t>
      </w:r>
      <w:bookmarkEnd w:id="3474"/>
      <w:bookmarkEnd w:id="3475"/>
    </w:p>
    <w:p w:rsidR="003A445B" w:rsidRPr="0050146A" w:rsidRDefault="003A445B" w:rsidP="009F44AF">
      <w:pPr>
        <w:pStyle w:val="a"/>
        <w:rPr>
          <w:rtl/>
        </w:rPr>
      </w:pPr>
      <w:bookmarkStart w:id="3476" w:name="_Ref10712585"/>
      <w:r w:rsidRPr="0050146A">
        <w:rPr>
          <w:rFonts w:hint="cs"/>
          <w:rtl/>
        </w:rPr>
        <w:t>ותירץ</w:t>
      </w:r>
      <w:r w:rsidRPr="0050146A">
        <w:rPr>
          <w:rStyle w:val="af8"/>
          <w:rFonts w:hint="cs"/>
          <w:rtl/>
        </w:rPr>
        <w:t xml:space="preserve"> הרמ"א בתורת חטאת</w:t>
      </w:r>
      <w:r w:rsidRPr="0050146A">
        <w:rPr>
          <w:rFonts w:hint="cs"/>
          <w:rtl/>
        </w:rPr>
        <w:t xml:space="preserve"> דכיון שדם הוא איסור דאו' לכן אין החתיכה מן המנין, אבל הכחל הוא איסור דרבנן, וכדכתב </w:t>
      </w:r>
      <w:r w:rsidRPr="0050146A">
        <w:rPr>
          <w:rStyle w:val="af8"/>
          <w:rFonts w:hint="cs"/>
          <w:rtl/>
        </w:rPr>
        <w:t xml:space="preserve">הסמ"ג </w:t>
      </w:r>
      <w:r w:rsidRPr="0050146A">
        <w:rPr>
          <w:rStyle w:val="af6"/>
          <w:rFonts w:eastAsia="Guttman Hodes" w:hint="cs"/>
          <w:rtl/>
        </w:rPr>
        <w:t xml:space="preserve">(לאוין סי' ק"מ קמ"א ד"ה בפרק גיד הנשה, הועתק בקובץ שיטות קמאי חולין ח"ג עמ' ב' אלף </w:t>
      </w:r>
      <w:r w:rsidRPr="0050146A">
        <w:rPr>
          <w:rStyle w:val="af6"/>
          <w:rFonts w:eastAsia="Guttman Hodes"/>
          <w:rtl/>
        </w:rPr>
        <w:t>רכ</w:t>
      </w:r>
      <w:r w:rsidRPr="0050146A">
        <w:rPr>
          <w:rStyle w:val="af6"/>
          <w:rFonts w:eastAsia="Guttman Hodes" w:hint="cs"/>
          <w:rtl/>
        </w:rPr>
        <w:t>"</w:t>
      </w:r>
      <w:r w:rsidRPr="0050146A">
        <w:rPr>
          <w:rStyle w:val="af6"/>
          <w:rFonts w:eastAsia="Guttman Hodes"/>
          <w:rtl/>
        </w:rPr>
        <w:t>ב</w:t>
      </w:r>
      <w:r w:rsidRPr="0050146A">
        <w:rPr>
          <w:rStyle w:val="af6"/>
          <w:rFonts w:eastAsia="Guttman Hodes" w:hint="cs"/>
          <w:rtl/>
        </w:rPr>
        <w:t>)</w:t>
      </w:r>
      <w:r w:rsidRPr="0050146A">
        <w:rPr>
          <w:rFonts w:hint="cs"/>
          <w:rtl/>
        </w:rPr>
        <w:t xml:space="preserve">, </w:t>
      </w:r>
      <w:bookmarkEnd w:id="3472"/>
      <w:r w:rsidRPr="0050146A">
        <w:rPr>
          <w:rFonts w:hint="cs"/>
          <w:rtl/>
        </w:rPr>
        <w:t xml:space="preserve">וביאר </w:t>
      </w:r>
      <w:r w:rsidRPr="0050146A">
        <w:rPr>
          <w:rStyle w:val="af8"/>
          <w:rFonts w:hint="cs"/>
          <w:rtl/>
        </w:rPr>
        <w:t xml:space="preserve">בהג' המנחת יעקב על התורת חטאת </w:t>
      </w:r>
      <w:r w:rsidRPr="0050146A">
        <w:rPr>
          <w:rStyle w:val="af6"/>
          <w:rFonts w:eastAsia="Guttman Hodes" w:hint="cs"/>
          <w:rtl/>
        </w:rPr>
        <w:t xml:space="preserve">(כלל ל' אות ז') </w:t>
      </w:r>
      <w:r w:rsidRPr="0050146A">
        <w:rPr>
          <w:rFonts w:hint="cs"/>
          <w:rtl/>
        </w:rPr>
        <w:t xml:space="preserve">דכוונת </w:t>
      </w:r>
      <w:r w:rsidRPr="0050146A">
        <w:rPr>
          <w:rStyle w:val="af8"/>
          <w:rFonts w:hint="cs"/>
          <w:rtl/>
        </w:rPr>
        <w:t>הרמ"א בתורת חטאת</w:t>
      </w:r>
      <w:r w:rsidRPr="0050146A">
        <w:rPr>
          <w:rFonts w:hint="cs"/>
          <w:rtl/>
        </w:rPr>
        <w:t xml:space="preserve"> לומר </w:t>
      </w:r>
      <w:r w:rsidRPr="0050146A">
        <w:rPr>
          <w:rStyle w:val="af8"/>
          <w:rFonts w:hint="cs"/>
          <w:rtl/>
        </w:rPr>
        <w:t xml:space="preserve">דהסמ"ג </w:t>
      </w:r>
      <w:r w:rsidRPr="0050146A">
        <w:rPr>
          <w:rFonts w:hint="cs"/>
          <w:rtl/>
        </w:rPr>
        <w:t xml:space="preserve">כתב את ב' הטעמים, דהא דהכחל מן המנין הוא כיון שהוא מין היתר, וגם שהחלב שנבלע בו אינו אסור מדאו' דהא חלב שחוטה דרבנן. </w:t>
      </w:r>
      <w:r w:rsidRPr="0050146A">
        <w:rPr>
          <w:rStyle w:val="afa"/>
          <w:rFonts w:hint="cs"/>
          <w:rtl/>
        </w:rPr>
        <w:t xml:space="preserve">[והביא </w:t>
      </w:r>
      <w:r w:rsidRPr="0050146A">
        <w:rPr>
          <w:rStyle w:val="affa"/>
          <w:rFonts w:hint="cs"/>
          <w:rtl/>
        </w:rPr>
        <w:t>המנחת יעקב</w:t>
      </w:r>
      <w:r w:rsidRPr="0050146A">
        <w:rPr>
          <w:rStyle w:val="afa"/>
          <w:rFonts w:hint="cs"/>
          <w:rtl/>
        </w:rPr>
        <w:t xml:space="preserve"> דכן הוכיח </w:t>
      </w:r>
      <w:r w:rsidRPr="0050146A">
        <w:rPr>
          <w:rStyle w:val="affa"/>
          <w:rFonts w:hint="cs"/>
          <w:rtl/>
        </w:rPr>
        <w:t>ה</w:t>
      </w:r>
      <w:r w:rsidRPr="0050146A">
        <w:rPr>
          <w:rStyle w:val="affa"/>
          <w:rtl/>
        </w:rPr>
        <w:t>באר שבע</w:t>
      </w:r>
      <w:r w:rsidRPr="0050146A">
        <w:rPr>
          <w:rStyle w:val="afa"/>
          <w:rtl/>
        </w:rPr>
        <w:t xml:space="preserve"> </w:t>
      </w:r>
      <w:r w:rsidRPr="0050146A">
        <w:rPr>
          <w:rStyle w:val="aff6"/>
          <w:rtl/>
        </w:rPr>
        <w:t>(חולין צז: ד"ה אמר ר"נ)</w:t>
      </w:r>
      <w:r w:rsidRPr="0050146A">
        <w:rPr>
          <w:rStyle w:val="afa"/>
          <w:rtl/>
        </w:rPr>
        <w:t xml:space="preserve"> </w:t>
      </w:r>
      <w:r w:rsidRPr="0050146A">
        <w:rPr>
          <w:rStyle w:val="afa"/>
          <w:rFonts w:hint="cs"/>
          <w:rtl/>
        </w:rPr>
        <w:t xml:space="preserve">דבין </w:t>
      </w:r>
      <w:r w:rsidRPr="0050146A">
        <w:rPr>
          <w:rStyle w:val="affa"/>
          <w:rFonts w:hint="cs"/>
          <w:rtl/>
        </w:rPr>
        <w:t>להר"ן</w:t>
      </w:r>
      <w:r w:rsidRPr="0050146A">
        <w:rPr>
          <w:rStyle w:val="afa"/>
          <w:rFonts w:hint="cs"/>
          <w:rtl/>
        </w:rPr>
        <w:t xml:space="preserve"> ובין </w:t>
      </w:r>
      <w:r w:rsidRPr="0050146A">
        <w:rPr>
          <w:rStyle w:val="affa"/>
          <w:rFonts w:hint="cs"/>
          <w:rtl/>
        </w:rPr>
        <w:t>להרמב"ם</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Ref10649699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לט)</w:t>
      </w:r>
      <w:r w:rsidRPr="0050146A">
        <w:rPr>
          <w:rStyle w:val="aff6"/>
          <w:rtl/>
        </w:rPr>
        <w:fldChar w:fldCharType="end"/>
      </w:r>
      <w:r w:rsidRPr="0050146A">
        <w:rPr>
          <w:rStyle w:val="afa"/>
          <w:rFonts w:hint="cs"/>
          <w:rtl/>
        </w:rPr>
        <w:t xml:space="preserve"> צריך את ב' הטעמים גם שהכחל עצמו מותר, וגם שהוא דרבנן, והוסיף </w:t>
      </w:r>
      <w:r w:rsidRPr="0050146A">
        <w:rPr>
          <w:rStyle w:val="affa"/>
          <w:rFonts w:hint="cs"/>
          <w:rtl/>
        </w:rPr>
        <w:t>המנחת יעקב</w:t>
      </w:r>
      <w:r w:rsidRPr="0050146A">
        <w:rPr>
          <w:rStyle w:val="afa"/>
          <w:rFonts w:hint="cs"/>
          <w:rtl/>
        </w:rPr>
        <w:t xml:space="preserve"> דא"כ </w:t>
      </w:r>
      <w:r w:rsidRPr="0050146A">
        <w:rPr>
          <w:rStyle w:val="affa"/>
          <w:rFonts w:hint="cs"/>
          <w:rtl/>
        </w:rPr>
        <w:t>הרשב"א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Ref10651008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w:t>
      </w:r>
      <w:r w:rsidRPr="0050146A">
        <w:rPr>
          <w:rStyle w:val="aff6"/>
          <w:rtl/>
        </w:rPr>
        <w:fldChar w:fldCharType="end"/>
      </w:r>
      <w:r w:rsidRPr="0050146A">
        <w:rPr>
          <w:rStyle w:val="afa"/>
          <w:rFonts w:hint="cs"/>
          <w:rtl/>
        </w:rPr>
        <w:t xml:space="preserve"> שהקשה על </w:t>
      </w:r>
      <w:r w:rsidRPr="0050146A">
        <w:rPr>
          <w:rStyle w:val="affa"/>
          <w:rFonts w:hint="cs"/>
          <w:rtl/>
        </w:rPr>
        <w:t>הרמב"ם</w:t>
      </w:r>
      <w:r w:rsidRPr="0050146A">
        <w:rPr>
          <w:rStyle w:val="afa"/>
          <w:rFonts w:hint="cs"/>
          <w:rtl/>
        </w:rPr>
        <w:t xml:space="preserve"> דא"א לומר דהטעם הוא רק כיון דהאיסור הוא דרבנן, כוונתו לומר שצריך </w:t>
      </w:r>
      <w:r w:rsidRPr="0050146A">
        <w:rPr>
          <w:rStyle w:val="afa"/>
          <w:rFonts w:hint="cs"/>
          <w:rtl/>
        </w:rPr>
        <w:lastRenderedPageBreak/>
        <w:t xml:space="preserve">את ב' הטעמים יחד]. </w:t>
      </w:r>
      <w:r w:rsidRPr="0050146A">
        <w:rPr>
          <w:rFonts w:hint="cs"/>
          <w:rtl/>
        </w:rPr>
        <w:t xml:space="preserve">וע"ע בדברי </w:t>
      </w:r>
      <w:r w:rsidRPr="0050146A">
        <w:rPr>
          <w:rStyle w:val="af8"/>
          <w:rFonts w:hint="cs"/>
          <w:rtl/>
        </w:rPr>
        <w:t>הרא"ה בבד"ה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Ref10712935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 ב' טעמים ובמה שתמה עליו </w:t>
      </w:r>
      <w:r w:rsidRPr="0050146A">
        <w:rPr>
          <w:rStyle w:val="af8"/>
          <w:rFonts w:hint="cs"/>
          <w:rtl/>
        </w:rPr>
        <w:t>הרשב"א במשה"ב</w:t>
      </w:r>
      <w:r w:rsidRPr="0050146A">
        <w:rPr>
          <w:rFonts w:hint="cs"/>
          <w:rtl/>
        </w:rPr>
        <w:t xml:space="preserve"> </w:t>
      </w:r>
      <w:r w:rsidRPr="0050146A">
        <w:rPr>
          <w:rStyle w:val="af6"/>
          <w:rFonts w:eastAsia="Guttman Hodes" w:hint="cs"/>
          <w:rtl/>
        </w:rPr>
        <w:t xml:space="preserve">(עי' אות </w:t>
      </w:r>
      <w:bookmarkEnd w:id="3476"/>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Ref10712941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50146A">
        <w:rPr>
          <w:rStyle w:val="af6"/>
          <w:rFonts w:eastAsia="Guttman Hodes"/>
          <w:rtl/>
        </w:rPr>
        <w:fldChar w:fldCharType="end"/>
      </w:r>
      <w:r w:rsidRPr="0050146A">
        <w:rPr>
          <w:rFonts w:hint="cs"/>
          <w:rtl/>
        </w:rPr>
        <w:t xml:space="preserve">. </w:t>
      </w:r>
    </w:p>
    <w:p w:rsidR="003A445B" w:rsidRPr="0050146A" w:rsidRDefault="003A445B" w:rsidP="003A445B">
      <w:pPr>
        <w:pStyle w:val="a2"/>
        <w:rPr>
          <w:rtl/>
        </w:rPr>
      </w:pPr>
      <w:bookmarkStart w:id="3477" w:name="_Toc10665851"/>
      <w:bookmarkStart w:id="3478" w:name="_Toc10713254"/>
      <w:r w:rsidRPr="0050146A">
        <w:rPr>
          <w:rFonts w:hint="cs"/>
          <w:rtl/>
        </w:rPr>
        <w:t>תירוץ ה</w:t>
      </w:r>
      <w:r w:rsidR="00250230">
        <w:rPr>
          <w:rFonts w:hint="cs"/>
          <w:rtl/>
        </w:rPr>
        <w:t>פלתי</w:t>
      </w:r>
      <w:r w:rsidRPr="0050146A">
        <w:rPr>
          <w:rFonts w:hint="cs"/>
          <w:rtl/>
        </w:rPr>
        <w:t xml:space="preserve"> דהחלב הבלוע אינו איסור וכשיצא נתבטל ולכן הכחל מצטרף לשישים משא"כ בדם</w:t>
      </w:r>
      <w:bookmarkEnd w:id="3477"/>
      <w:bookmarkEnd w:id="3478"/>
    </w:p>
    <w:p w:rsidR="007E7609" w:rsidRPr="0050146A" w:rsidRDefault="003A445B" w:rsidP="009F44AF">
      <w:pPr>
        <w:pStyle w:val="a"/>
        <w:rPr>
          <w:rtl/>
        </w:rPr>
        <w:sectPr w:rsidR="007E7609" w:rsidRPr="0050146A" w:rsidSect="005049E2">
          <w:type w:val="continuous"/>
          <w:pgSz w:w="11906" w:h="16838"/>
          <w:pgMar w:top="720" w:right="720" w:bottom="720" w:left="720" w:header="283" w:footer="283" w:gutter="0"/>
          <w:cols w:num="2" w:space="567"/>
          <w:titlePg/>
          <w:bidi/>
          <w:rtlGutter/>
          <w:docGrid w:linePitch="299"/>
        </w:sectPr>
      </w:pPr>
      <w:r w:rsidRPr="0050146A">
        <w:rPr>
          <w:rStyle w:val="af8"/>
          <w:rFonts w:hint="cs"/>
          <w:rtl/>
        </w:rPr>
        <w:t>וה</w:t>
      </w:r>
      <w:r w:rsidR="00250230">
        <w:rPr>
          <w:rStyle w:val="af8"/>
          <w:rFonts w:hint="cs"/>
          <w:rtl/>
        </w:rPr>
        <w:t>פלתי</w:t>
      </w:r>
      <w:r w:rsidRPr="0050146A">
        <w:rPr>
          <w:rStyle w:val="af8"/>
          <w:rFonts w:hint="cs"/>
          <w:rtl/>
        </w:rPr>
        <w:t xml:space="preserve"> </w:t>
      </w:r>
      <w:r w:rsidRPr="0050146A">
        <w:rPr>
          <w:rStyle w:val="af6"/>
          <w:rFonts w:eastAsia="Guttman Hodes" w:hint="cs"/>
          <w:rtl/>
        </w:rPr>
        <w:t>(סי' צ' סק"ג)</w:t>
      </w:r>
      <w:r w:rsidRPr="0050146A">
        <w:rPr>
          <w:rFonts w:hint="cs"/>
          <w:rtl/>
        </w:rPr>
        <w:t xml:space="preserve"> תירץ את קושית </w:t>
      </w:r>
      <w:r w:rsidRPr="0050146A">
        <w:rPr>
          <w:rStyle w:val="af8"/>
          <w:rFonts w:hint="cs"/>
          <w:rtl/>
        </w:rPr>
        <w:t>הרמ"א בתורת חטאת</w:t>
      </w:r>
      <w:r w:rsidRPr="0050146A">
        <w:rPr>
          <w:rFonts w:hint="cs"/>
          <w:rtl/>
        </w:rPr>
        <w:t xml:space="preserve"> דכחל לא דמי לדם כלל, דהחלב הבלוע בכחל אינו אסור, וכל איסורו הוא אחר שיצא מהכחל וחזר ונבלע בו, וא"כ כשיצא החלב לקדירה </w:t>
      </w:r>
      <w:r w:rsidRPr="0050146A">
        <w:rPr>
          <w:rFonts w:hint="cs"/>
          <w:rtl/>
        </w:rPr>
        <w:t>עדיין לא נאסר הכחל, ולכן הוא מצטרף לשישים לבטל את החלב שיצא ממנו, משא"כ בדם דאף כשהוא בתוך החתיכה, מ"מ מיד כשפירש ממקומו הוא נאסר, ולכן הוא אוסר את החתיכה לפני שיצא הדם לתוך הקדירה, ואחר שיצא הדם לקדירה, כבר נאסרה החתיכה ולכן אינה מצטרפת לשישים לבטל את הדם שיצא ממנה.</w:t>
      </w:r>
      <w:bookmarkEnd w:id="3459"/>
      <w:bookmarkEnd w:id="3460"/>
      <w:bookmarkEnd w:id="3461"/>
      <w:bookmarkEnd w:id="3462"/>
      <w:bookmarkEnd w:id="3463"/>
      <w:bookmarkEnd w:id="3464"/>
      <w:bookmarkEnd w:id="3465"/>
      <w:bookmarkEnd w:id="3466"/>
    </w:p>
    <w:p w:rsidR="007E7609" w:rsidRPr="0050146A" w:rsidRDefault="007E7609" w:rsidP="009F44AF">
      <w:pPr>
        <w:pStyle w:val="a"/>
        <w:numPr>
          <w:ilvl w:val="0"/>
          <w:numId w:val="0"/>
        </w:numPr>
        <w:rPr>
          <w:rtl/>
        </w:rPr>
        <w:sectPr w:rsidR="007E7609" w:rsidRPr="0050146A" w:rsidSect="005049E2">
          <w:type w:val="continuous"/>
          <w:pgSz w:w="11906" w:h="16838"/>
          <w:pgMar w:top="720" w:right="720" w:bottom="720" w:left="720" w:header="283" w:footer="283" w:gutter="0"/>
          <w:cols w:num="2" w:space="567"/>
          <w:titlePg/>
          <w:bidi/>
          <w:rtlGutter/>
          <w:docGrid w:linePitch="299"/>
        </w:sectPr>
      </w:pPr>
    </w:p>
    <w:p w:rsidR="00495EC8" w:rsidRPr="0050146A" w:rsidRDefault="00495EC8" w:rsidP="005B1A17">
      <w:pPr>
        <w:pStyle w:val="afc"/>
        <w:rPr>
          <w:rtl/>
        </w:rPr>
      </w:pPr>
      <w:bookmarkStart w:id="3479" w:name="_Toc10718813"/>
      <w:bookmarkStart w:id="3480" w:name="_Toc10730050"/>
      <w:bookmarkStart w:id="3481" w:name="_Toc10737382"/>
      <w:bookmarkStart w:id="3482" w:name="_Toc14377078"/>
      <w:bookmarkStart w:id="3483" w:name="_Toc15849562"/>
      <w:bookmarkStart w:id="3484" w:name="_Toc20429196"/>
      <w:bookmarkStart w:id="3485" w:name="_Toc20468143"/>
      <w:bookmarkStart w:id="3486" w:name="_Toc10665853"/>
      <w:bookmarkStart w:id="3487" w:name="_Toc10716545"/>
      <w:r w:rsidRPr="0050146A">
        <w:rPr>
          <w:rFonts w:hint="cs"/>
          <w:rtl/>
        </w:rPr>
        <w:lastRenderedPageBreak/>
        <w:t>סימן ה'</w:t>
      </w:r>
      <w:bookmarkEnd w:id="3479"/>
      <w:bookmarkEnd w:id="3480"/>
      <w:bookmarkEnd w:id="3481"/>
      <w:bookmarkEnd w:id="3482"/>
      <w:bookmarkEnd w:id="3483"/>
      <w:bookmarkEnd w:id="3484"/>
      <w:bookmarkEnd w:id="3485"/>
    </w:p>
    <w:p w:rsidR="00495EC8" w:rsidRPr="0050146A" w:rsidRDefault="00715158" w:rsidP="005B1A17">
      <w:pPr>
        <w:pStyle w:val="afc"/>
        <w:rPr>
          <w:rtl/>
        </w:rPr>
      </w:pPr>
      <w:bookmarkStart w:id="3488" w:name="_Toc10718814"/>
      <w:bookmarkStart w:id="3489" w:name="_Toc10730051"/>
      <w:bookmarkStart w:id="3490" w:name="_Toc10737383"/>
      <w:bookmarkStart w:id="3491" w:name="_Toc14377079"/>
      <w:bookmarkStart w:id="3492" w:name="_Toc14425910"/>
      <w:bookmarkStart w:id="3493" w:name="_Toc15849563"/>
      <w:bookmarkStart w:id="3494" w:name="_Toc20429197"/>
      <w:bookmarkStart w:id="3495" w:name="_Toc20468144"/>
      <w:r>
        <w:rPr>
          <w:rFonts w:hint="cs"/>
          <w:rtl/>
        </w:rPr>
        <w:t>סוגית כחל</w:t>
      </w:r>
      <w:r w:rsidR="00495EC8" w:rsidRPr="0050146A">
        <w:rPr>
          <w:rFonts w:hint="cs"/>
          <w:rtl/>
        </w:rPr>
        <w:t xml:space="preserve"> (ב')</w:t>
      </w:r>
      <w:bookmarkEnd w:id="3488"/>
      <w:bookmarkEnd w:id="3489"/>
      <w:bookmarkEnd w:id="3490"/>
      <w:bookmarkEnd w:id="3491"/>
      <w:bookmarkEnd w:id="3492"/>
      <w:bookmarkEnd w:id="3493"/>
      <w:bookmarkEnd w:id="3494"/>
      <w:bookmarkEnd w:id="3495"/>
    </w:p>
    <w:p w:rsidR="00495EC8" w:rsidRPr="0050146A" w:rsidRDefault="00495EC8" w:rsidP="005B1A17">
      <w:pPr>
        <w:pStyle w:val="afc"/>
        <w:rPr>
          <w:rtl/>
        </w:rPr>
      </w:pPr>
      <w:bookmarkStart w:id="3496" w:name="_Toc10718815"/>
      <w:bookmarkStart w:id="3497" w:name="_Toc10730052"/>
      <w:bookmarkStart w:id="3498" w:name="_Toc10737384"/>
      <w:bookmarkStart w:id="3499" w:name="_Toc14425911"/>
      <w:bookmarkStart w:id="3500" w:name="_Toc20429198"/>
      <w:bookmarkStart w:id="3501" w:name="_Toc20468145"/>
      <w:r w:rsidRPr="0050146A">
        <w:rPr>
          <w:rFonts w:hint="cs"/>
          <w:rtl/>
        </w:rPr>
        <w:t>בדין כחל ושאר איסורים אי משערים בו או ביוצא ממנו ובאיסור כחל בקדירה שניה</w:t>
      </w:r>
      <w:bookmarkEnd w:id="3496"/>
      <w:bookmarkEnd w:id="3497"/>
      <w:bookmarkEnd w:id="3498"/>
      <w:bookmarkEnd w:id="3499"/>
      <w:bookmarkEnd w:id="3500"/>
      <w:bookmarkEnd w:id="3501"/>
    </w:p>
    <w:p w:rsidR="00495EC8" w:rsidRPr="0050146A" w:rsidRDefault="002916D7" w:rsidP="00495EC8">
      <w:pPr>
        <w:pStyle w:val="2"/>
        <w:keepNext w:val="0"/>
        <w:keepLines w:val="0"/>
        <w:rPr>
          <w:rtl/>
        </w:rPr>
      </w:pPr>
      <w:r>
        <w:rPr>
          <w:rtl/>
        </w:rPr>
        <w:t>מפתח הסוגיא</w:t>
      </w:r>
      <w:bookmarkEnd w:id="3486"/>
      <w:bookmarkEnd w:id="3487"/>
    </w:p>
    <w:p w:rsidR="00495EC8" w:rsidRPr="0050146A" w:rsidRDefault="00495EC8" w:rsidP="00495EC8">
      <w:pPr>
        <w:pStyle w:val="aff4"/>
        <w:rPr>
          <w:rtl/>
        </w:rPr>
        <w:sectPr w:rsidR="00495EC8" w:rsidRPr="0050146A" w:rsidSect="00495EC8">
          <w:headerReference w:type="even" r:id="rId36"/>
          <w:headerReference w:type="default" r:id="rId37"/>
          <w:footerReference w:type="even" r:id="rId38"/>
          <w:headerReference w:type="first" r:id="rId39"/>
          <w:footerReference w:type="first" r:id="rId40"/>
          <w:pgSz w:w="11906" w:h="16838"/>
          <w:pgMar w:top="720" w:right="720" w:bottom="720" w:left="720" w:header="283" w:footer="283" w:gutter="0"/>
          <w:cols w:space="113"/>
          <w:bidi/>
          <w:rtlGutter/>
          <w:docGrid w:linePitch="299"/>
        </w:sectPr>
      </w:pPr>
    </w:p>
    <w:p w:rsidR="00495EC8" w:rsidRPr="0050146A" w:rsidRDefault="00495EC8" w:rsidP="00495EC8">
      <w:pPr>
        <w:pStyle w:val="2"/>
        <w:rPr>
          <w:rFonts w:eastAsiaTheme="minorEastAsia" w:cstheme="minorBidi"/>
          <w:i/>
          <w:iCs/>
          <w:noProof/>
          <w:sz w:val="22"/>
          <w:szCs w:val="22"/>
          <w:rtl/>
        </w:rPr>
      </w:pPr>
      <w:r w:rsidRPr="0050146A">
        <w:rPr>
          <w:b/>
          <w:bCs/>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b/>
          <w:bCs/>
          <w:rtl/>
        </w:rPr>
        <w:fldChar w:fldCharType="separate"/>
      </w:r>
      <w:r w:rsidRPr="0050146A">
        <w:rPr>
          <w:noProof/>
          <w:rtl/>
        </w:rPr>
        <w:t>מראי מקומות וביאורים</w:t>
      </w:r>
    </w:p>
    <w:p w:rsidR="00495EC8" w:rsidRPr="0050146A" w:rsidRDefault="00495EC8" w:rsidP="00495EC8">
      <w:pPr>
        <w:pStyle w:val="2"/>
        <w:rPr>
          <w:rFonts w:eastAsiaTheme="minorEastAsia" w:cstheme="minorBidi"/>
          <w:i/>
          <w:iCs/>
          <w:noProof/>
          <w:sz w:val="22"/>
          <w:szCs w:val="22"/>
          <w:rtl/>
        </w:rPr>
      </w:pPr>
      <w:r w:rsidRPr="0050146A">
        <w:rPr>
          <w:noProof/>
          <w:rtl/>
        </w:rPr>
        <w:t>בדידיה משערינן או במאי דנפיק מיניה</w:t>
      </w:r>
    </w:p>
    <w:p w:rsidR="00495EC8" w:rsidRPr="0050146A" w:rsidRDefault="00495EC8" w:rsidP="00495EC8">
      <w:pPr>
        <w:pStyle w:val="aff4"/>
        <w:rPr>
          <w:rFonts w:eastAsiaTheme="minorEastAsia" w:cstheme="minorBidi"/>
          <w:i/>
          <w:iCs/>
          <w:noProof/>
          <w:sz w:val="22"/>
          <w:szCs w:val="22"/>
          <w:rtl/>
        </w:rPr>
      </w:pPr>
      <w:r w:rsidRPr="0050146A">
        <w:rPr>
          <w:noProof/>
          <w:rtl/>
        </w:rPr>
        <w:t>דברי רש"י בביאור הצד דמשערים במה שיוצא ממנו</w:t>
      </w:r>
    </w:p>
    <w:p w:rsidR="00495EC8" w:rsidRPr="00F9751F" w:rsidRDefault="00495EC8" w:rsidP="004D1C5B">
      <w:pPr>
        <w:pStyle w:val="TOC9"/>
        <w:numPr>
          <w:ilvl w:val="0"/>
          <w:numId w:val="9"/>
        </w:numPr>
        <w:rPr>
          <w:rtl/>
        </w:rPr>
      </w:pPr>
      <w:r w:rsidRPr="002A7544">
        <w:rPr>
          <w:rtl/>
        </w:rPr>
        <w:t>ביאור רש"י בצד דמשערים רק במה שיוצא מהכחל כיון דהכחל אינו לפנינו וזורקים אות</w:t>
      </w:r>
      <w:r w:rsidRPr="006F3376">
        <w:rPr>
          <w:rtl/>
        </w:rPr>
        <w:t>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דהצד דמשערים במה שיוצא ממנו דלא יתכן שפלט כשיעור של כולו</w:t>
      </w:r>
    </w:p>
    <w:p w:rsidR="00495EC8" w:rsidRPr="0050146A" w:rsidRDefault="00495EC8" w:rsidP="00495EC8">
      <w:pPr>
        <w:pStyle w:val="aff4"/>
        <w:rPr>
          <w:rFonts w:eastAsiaTheme="minorEastAsia" w:cstheme="minorBidi"/>
          <w:i/>
          <w:iCs/>
          <w:noProof/>
          <w:sz w:val="22"/>
          <w:szCs w:val="22"/>
          <w:rtl/>
        </w:rPr>
      </w:pPr>
      <w:r w:rsidRPr="0050146A">
        <w:rPr>
          <w:noProof/>
          <w:rtl/>
        </w:rPr>
        <w:t>ביאורי הראשונים דספק הגמ' הוא רק בכחל ולא בשאר איסורים</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הריטב"א אמאי הגמ' מסתפקת רק בכחל וא"א לומר דהספק רק בדרבנן דהא כעין דאו' תקון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הרמב"ן והרשב"א והרא"ש דהספק הוא רק בכחל דאין גופו אסור ולא בשאר איסורים</w:t>
      </w:r>
    </w:p>
    <w:p w:rsidR="00495EC8" w:rsidRPr="0050146A" w:rsidRDefault="00495EC8" w:rsidP="00495EC8">
      <w:pPr>
        <w:pStyle w:val="aff2"/>
        <w:numPr>
          <w:ilvl w:val="0"/>
          <w:numId w:val="3"/>
        </w:numPr>
        <w:rPr>
          <w:rtl/>
        </w:rPr>
      </w:pPr>
      <w:r w:rsidRPr="0050146A">
        <w:rPr>
          <w:rFonts w:hint="cs"/>
          <w:rtl/>
        </w:rPr>
        <w:t>דברי הרמב"ן דא"א לשער באומד כמה יצא מהכחל דמידת חכמים בהשוויה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הרא"ה והריטב"א דרק החלב אסור והו"א דמשערים ביוצא וקמ"ל דא"א לשער כל כחל בשוה</w:t>
      </w:r>
    </w:p>
    <w:p w:rsidR="00495EC8" w:rsidRPr="0050146A" w:rsidRDefault="00495EC8" w:rsidP="00495EC8">
      <w:pPr>
        <w:pStyle w:val="aff4"/>
        <w:rPr>
          <w:rFonts w:eastAsiaTheme="minorEastAsia" w:cstheme="minorBidi"/>
          <w:i/>
          <w:iCs/>
          <w:noProof/>
          <w:sz w:val="22"/>
          <w:szCs w:val="22"/>
          <w:rtl/>
        </w:rPr>
      </w:pPr>
      <w:r w:rsidRPr="0050146A">
        <w:rPr>
          <w:noProof/>
          <w:rtl/>
        </w:rPr>
        <w:t>ביאור הראשונים דבשאר איסורים פשיטא דמשערים בכולו</w:t>
      </w:r>
    </w:p>
    <w:p w:rsidR="00495EC8" w:rsidRPr="0050146A" w:rsidRDefault="00495EC8" w:rsidP="00495EC8">
      <w:pPr>
        <w:pStyle w:val="aff2"/>
        <w:numPr>
          <w:ilvl w:val="0"/>
          <w:numId w:val="3"/>
        </w:numPr>
        <w:rPr>
          <w:rFonts w:eastAsiaTheme="minorEastAsia" w:cstheme="minorBidi"/>
          <w:sz w:val="22"/>
          <w:szCs w:val="22"/>
        </w:rPr>
      </w:pPr>
      <w:r w:rsidRPr="0050146A">
        <w:rPr>
          <w:rFonts w:hint="cs"/>
          <w:rtl/>
        </w:rPr>
        <w:t>דברי הרמב"ן דבשאר איסורים פשיטא דמשערים בכולו דא"א לשער כמה יצא מהאיסור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והריטב"א דבשאר איסורים ודאי דמשערים בכולו דהא גופו איסור</w:t>
      </w:r>
    </w:p>
    <w:p w:rsidR="00495EC8" w:rsidRPr="0050146A" w:rsidRDefault="00495EC8" w:rsidP="00495EC8">
      <w:pPr>
        <w:pStyle w:val="2"/>
        <w:rPr>
          <w:rFonts w:eastAsiaTheme="minorEastAsia" w:cstheme="minorBidi"/>
          <w:i/>
          <w:iCs/>
          <w:noProof/>
          <w:sz w:val="22"/>
          <w:szCs w:val="22"/>
          <w:rtl/>
        </w:rPr>
      </w:pPr>
      <w:r w:rsidRPr="0050146A">
        <w:rPr>
          <w:noProof/>
          <w:rtl/>
        </w:rPr>
        <w:t>בשישים בכלי שבלע איסור בכולו או בבלוע</w:t>
      </w:r>
    </w:p>
    <w:p w:rsidR="00495EC8" w:rsidRPr="0050146A" w:rsidRDefault="00495EC8" w:rsidP="00495EC8">
      <w:pPr>
        <w:pStyle w:val="aff4"/>
        <w:rPr>
          <w:rFonts w:eastAsiaTheme="minorEastAsia" w:cstheme="minorBidi"/>
          <w:i/>
          <w:iCs/>
          <w:noProof/>
          <w:sz w:val="22"/>
          <w:szCs w:val="22"/>
          <w:rtl/>
        </w:rPr>
      </w:pPr>
      <w:r w:rsidRPr="0050146A">
        <w:rPr>
          <w:noProof/>
          <w:rtl/>
        </w:rPr>
        <w:t>דברי הראב"ד דכלי שבלע איסור משערים בבלוע ולא בכל הכלי</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הראב"ד דהמנהג להתיר בכלים שבלעו איסור לשער כנגד הבלוע ולא כנגד כל הכלי</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הראב"ד בשם רבינו יוסף בן פלאתי דדבר שחוזר להתירו אין משערים בגופו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הרשב"א והמאירי בראב"ד דדבר שחוזר להיתרו א"א להחשיב את כולו כאיסור ולשער כנגדו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הרשב"א על הראב"ד דא"כ אף כחל הוא דבר שחוזר להתירו דאפשר לקורעו לפני הבישול</w:t>
      </w:r>
    </w:p>
    <w:p w:rsidR="00495EC8" w:rsidRPr="0050146A" w:rsidRDefault="00495EC8" w:rsidP="00495EC8">
      <w:pPr>
        <w:pStyle w:val="aff4"/>
        <w:rPr>
          <w:rFonts w:eastAsiaTheme="minorEastAsia" w:cstheme="minorBidi"/>
          <w:i/>
          <w:iCs/>
          <w:noProof/>
          <w:sz w:val="22"/>
          <w:szCs w:val="22"/>
          <w:rtl/>
        </w:rPr>
      </w:pPr>
      <w:r w:rsidRPr="0050146A">
        <w:rPr>
          <w:noProof/>
          <w:rtl/>
        </w:rPr>
        <w:t>דברי הרמב"ן דכלי שבלע איסור משערים בכל הכלי</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הרמב"ן והרשב"א דלמסקנא דבכחל משערים בכולו ה"ה בכף דמשערים כנגד כולה ולא בבלוע</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הרמב"ן בשם הראב"ד דדבר שאינו חוזר להיתרו [כקדירת חרס וכחל] נעשה כחתיכת איסור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הרמב"ן בשם הראב"ד דבחוזר להתירו ככף שאפשר להגעילה משערים ביוצא באומד יפה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הרמב"ן דאף דמסתבר כהראב"ד מ"מ מבואר במסקנת הגמ' דא"א לשער ביוצא</w:t>
      </w:r>
    </w:p>
    <w:p w:rsidR="00495EC8" w:rsidRPr="00F9751F" w:rsidRDefault="00495EC8" w:rsidP="00495EC8">
      <w:pPr>
        <w:pStyle w:val="aff2"/>
        <w:numPr>
          <w:ilvl w:val="0"/>
          <w:numId w:val="3"/>
        </w:numPr>
        <w:rPr>
          <w:rFonts w:eastAsiaTheme="minorEastAsia" w:cstheme="minorBidi"/>
          <w:sz w:val="20"/>
          <w:szCs w:val="20"/>
          <w:rtl/>
        </w:rPr>
      </w:pPr>
      <w:r w:rsidRPr="0050146A">
        <w:rPr>
          <w:rtl/>
        </w:rPr>
        <w:t>דברי הרא"ה דכיון דבכחל שגופו היתר משערים בכולו</w:t>
      </w:r>
      <w:r w:rsidRPr="00F9751F">
        <w:rPr>
          <w:sz w:val="10"/>
          <w:szCs w:val="10"/>
          <w:rtl/>
        </w:rPr>
        <w:t xml:space="preserve"> ה"ה בכל האיסורים דמשערים בכולו</w:t>
      </w:r>
    </w:p>
    <w:p w:rsidR="00495EC8" w:rsidRPr="0050146A" w:rsidRDefault="00495EC8" w:rsidP="00495EC8">
      <w:pPr>
        <w:pStyle w:val="aff2"/>
        <w:numPr>
          <w:ilvl w:val="0"/>
          <w:numId w:val="3"/>
        </w:numPr>
        <w:rPr>
          <w:rFonts w:eastAsiaTheme="minorEastAsia" w:cstheme="minorBidi"/>
          <w:sz w:val="22"/>
          <w:szCs w:val="22"/>
          <w:rtl/>
        </w:rPr>
      </w:pPr>
      <w:r w:rsidRPr="00F9751F">
        <w:rPr>
          <w:sz w:val="10"/>
          <w:szCs w:val="10"/>
          <w:rtl/>
        </w:rPr>
        <w:t>דברי הרמב"ן דבמקום שכל האיסור הוא פחות מהכלי שנבלע בו דמש</w:t>
      </w:r>
      <w:r w:rsidRPr="0050146A">
        <w:rPr>
          <w:rtl/>
        </w:rPr>
        <w:t>ערים בבלוע</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הרמב"ן דבקדירה ישנה לעולם משערים בכולה דהא לא ידוע כמה בליעות יש בה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מסקנת הרמב"ן דאף בקדירה ישנה לא אמרינן דיש לבלוע דין חנ"נ וסגי לשער באיסור הידוע</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דרק בחתיכה או רוטב שייך דין חנ"נ דגופו נעשה איסור אבל בכלים אין דין חנ"נ</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דאף בכלים שא"א להכשירם אין חנ"נ דלא נעשה גופם איסור</w:t>
      </w:r>
    </w:p>
    <w:p w:rsidR="00495EC8" w:rsidRPr="0050146A" w:rsidRDefault="00495EC8" w:rsidP="00495EC8">
      <w:pPr>
        <w:pStyle w:val="aff4"/>
        <w:rPr>
          <w:rFonts w:eastAsiaTheme="minorEastAsia" w:cstheme="minorBidi"/>
          <w:i/>
          <w:iCs/>
          <w:noProof/>
          <w:sz w:val="22"/>
          <w:szCs w:val="22"/>
          <w:rtl/>
        </w:rPr>
      </w:pPr>
      <w:r w:rsidRPr="0050146A">
        <w:rPr>
          <w:noProof/>
          <w:rtl/>
        </w:rPr>
        <w:t>דברי הרשב"א דכשאומר הקפילא שאין טעם משערים ביוצא</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הרשב"א בשם י"א דמוכח כהראב"ד דמשערים בבלוע מבישל חלב בקדירת בשר דבנותן טעם</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דחיית הרשב"א דבקדירה איירי שאמר קפילא שאין טעם וא"כ ידוע שלא יצא יותר משישים</w:t>
      </w:r>
    </w:p>
    <w:p w:rsidR="00495EC8" w:rsidRPr="0050146A" w:rsidRDefault="00495EC8" w:rsidP="00495EC8">
      <w:pPr>
        <w:pStyle w:val="aff4"/>
        <w:rPr>
          <w:rFonts w:eastAsiaTheme="minorEastAsia" w:cstheme="minorBidi"/>
          <w:i/>
          <w:iCs/>
          <w:noProof/>
          <w:sz w:val="22"/>
          <w:szCs w:val="22"/>
          <w:rtl/>
        </w:rPr>
      </w:pPr>
      <w:r w:rsidRPr="0050146A">
        <w:rPr>
          <w:noProof/>
          <w:rtl/>
        </w:rPr>
        <w:t>ביאור הרשב"א בגדר שיעור שישים בכולו בדאו' ובדרבנן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הרשב"א דאמאי משערים בכחל בכולו הא מדאו' חד בתרי בטיל וספק דרבנן לקולא</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הרשב"א דבקדירה שבלעה וליכא קפילא שיעור שישים הוא דרבנן וספק דרבנן לקולא</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הרשב"א דבקדירה שבלעה איסור דאו' ולא ידוע כמה נבלע ודאי דמספק משערים בכולו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הרשב"א דכיון דבדאו' צריך יותר מאחד אף בדרבנן משערים בכולו דלא תחלוק באיסורים</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הרשב"א דרק באבד האיסור הקילו בשיעור שישים אבל בלא ידוע כמה פלט לא הקילו</w:t>
      </w:r>
    </w:p>
    <w:p w:rsidR="002D7168" w:rsidRDefault="00495EC8" w:rsidP="00495EC8">
      <w:pPr>
        <w:pStyle w:val="aff2"/>
        <w:numPr>
          <w:ilvl w:val="0"/>
          <w:numId w:val="3"/>
        </w:numPr>
        <w:rPr>
          <w:rFonts w:eastAsiaTheme="minorEastAsia" w:cstheme="minorBidi"/>
          <w:sz w:val="22"/>
          <w:szCs w:val="22"/>
        </w:rPr>
      </w:pPr>
      <w:r w:rsidRPr="0050146A">
        <w:rPr>
          <w:rtl/>
        </w:rPr>
        <w:t>דברי הרשב"א דאף למ"ד דטעם כעיקר דרבנן כיון דהסמיכו לזרוע בשילה משערים בכולו</w:t>
      </w:r>
    </w:p>
    <w:p w:rsidR="00495EC8" w:rsidRPr="0050146A" w:rsidRDefault="00495EC8" w:rsidP="00495EC8">
      <w:pPr>
        <w:pStyle w:val="2"/>
        <w:rPr>
          <w:rFonts w:eastAsiaTheme="minorEastAsia" w:cstheme="minorBidi"/>
          <w:i/>
          <w:iCs/>
          <w:noProof/>
          <w:sz w:val="22"/>
          <w:szCs w:val="22"/>
          <w:rtl/>
        </w:rPr>
      </w:pPr>
      <w:r w:rsidRPr="0050146A">
        <w:rPr>
          <w:noProof/>
          <w:rtl/>
        </w:rPr>
        <w:t>באיסור הכחל בקדירה שניה</w:t>
      </w:r>
    </w:p>
    <w:p w:rsidR="00495EC8" w:rsidRPr="0050146A" w:rsidRDefault="00495EC8" w:rsidP="00495EC8">
      <w:pPr>
        <w:pStyle w:val="aff4"/>
        <w:rPr>
          <w:rFonts w:eastAsiaTheme="minorEastAsia" w:cstheme="minorBidi"/>
          <w:sz w:val="22"/>
          <w:szCs w:val="22"/>
        </w:rPr>
      </w:pPr>
      <w:r w:rsidRPr="0050146A">
        <w:rPr>
          <w:rtl/>
        </w:rPr>
        <w:t>דברי רש"י בביאור הקושיה והתירוץ בדין הכחל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רש"י דאחר דמשערים בכולו א"כ התבטל הכחל בקדירה ראשונה ואמאי אוסר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רש"י דכיון שבתחילת הבישול נאסר הכחל ע"י הבשר שבקדירה שויוה כנבילה</w:t>
      </w:r>
    </w:p>
    <w:p w:rsidR="00495EC8" w:rsidRPr="0050146A" w:rsidRDefault="00495EC8" w:rsidP="00495EC8">
      <w:pPr>
        <w:pStyle w:val="aff4"/>
        <w:rPr>
          <w:rFonts w:eastAsiaTheme="minorEastAsia" w:cstheme="minorBidi"/>
          <w:i/>
          <w:iCs/>
          <w:noProof/>
          <w:sz w:val="22"/>
          <w:szCs w:val="22"/>
          <w:rtl/>
        </w:rPr>
      </w:pPr>
      <w:r w:rsidRPr="0050146A">
        <w:rPr>
          <w:noProof/>
          <w:rtl/>
        </w:rPr>
        <w:t>דברי תוס' בביאור קושית הגמ' דלא יאסור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התוס' דכיון דמשערים בכולו א"כ יצא כל החלב ואי משערים ביוצא יתכן שלא יצא כולו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התוס' דאפש"ל דמשערים בכולו מספק שמא יצא הכל אך יתכן שלא יצא כולו ואוסר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תירוצי התוס' דפשיטא לגמ' דאין בזה ספק ועוד דמספק חלב שחוטה א"א לאסור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הביאור הב' בתוס' דקושית הגמ' היא על הא דהכחל מן המנין דאינו חנ"נ ואמאי אוסר בקדירה שניה</w:t>
      </w:r>
    </w:p>
    <w:p w:rsidR="00495EC8" w:rsidRPr="0050146A" w:rsidRDefault="00495EC8" w:rsidP="00495EC8">
      <w:pPr>
        <w:pStyle w:val="aff4"/>
        <w:rPr>
          <w:rFonts w:eastAsiaTheme="minorEastAsia" w:cstheme="minorBidi"/>
          <w:i/>
          <w:iCs/>
          <w:noProof/>
          <w:sz w:val="22"/>
          <w:szCs w:val="22"/>
          <w:rtl/>
        </w:rPr>
      </w:pPr>
      <w:r w:rsidRPr="0050146A">
        <w:rPr>
          <w:noProof/>
          <w:rtl/>
        </w:rPr>
        <w:t>ביאור החוו"ד בתירוץ הב' בתוס' דחלב הבלוע אף טעמו מותר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החוו"ד בתי' הב' בתוס' דאף אי לא יצא כל החלב מ"מ בבישול שני לא יוצא יותר מבראשון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החוו"ד בתוס' דהחלב הבלוע אינו אוסר ואף הטעם שיצא לא אוסר כל שלא פירש החלב</w:t>
      </w:r>
    </w:p>
    <w:p w:rsidR="00495EC8" w:rsidRPr="0050146A" w:rsidRDefault="00495EC8" w:rsidP="00495EC8">
      <w:pPr>
        <w:pStyle w:val="aff2"/>
        <w:numPr>
          <w:ilvl w:val="0"/>
          <w:numId w:val="3"/>
        </w:numPr>
        <w:rPr>
          <w:rFonts w:eastAsiaTheme="minorEastAsia" w:cstheme="minorBidi"/>
          <w:sz w:val="22"/>
          <w:szCs w:val="22"/>
          <w:rtl/>
        </w:rPr>
      </w:pPr>
      <w:r w:rsidRPr="0050146A">
        <w:rPr>
          <w:rtl/>
        </w:rPr>
        <w:t>הוכחת החוו"ד מדברי התוס' דאי לא יצא כולו אוסר בקדירה שניה אף שכולו כבר נתן טעם בקדירה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החוו"ד בתירוץ הגמ' דשויוה כחתיכת נבילה ולכן אף שהחלב לא פירש טעמו אוסר</w:t>
      </w:r>
    </w:p>
    <w:p w:rsidR="00495EC8" w:rsidRPr="0050146A" w:rsidRDefault="00495EC8" w:rsidP="00495EC8">
      <w:pPr>
        <w:pStyle w:val="aff4"/>
        <w:rPr>
          <w:rFonts w:eastAsiaTheme="minorEastAsia" w:cstheme="minorBidi"/>
          <w:i/>
          <w:iCs/>
          <w:noProof/>
          <w:sz w:val="22"/>
          <w:szCs w:val="22"/>
          <w:rtl/>
        </w:rPr>
      </w:pPr>
      <w:r w:rsidRPr="0050146A">
        <w:rPr>
          <w:noProof/>
          <w:rtl/>
        </w:rPr>
        <w:t>דעת הר"ן דאף שהתבטל אוסר בקדירה שניה ממראית העין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הר"ן דאמרינן דאוסר בקדירה אחרת לבאר דאיסורו אינו כיון שיש בו חלב אלא דדינו כנבילה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הר"ן דמקשה הגמ' דאי איסורו מחמת החלב שבו אי משערים בכולו אינו אוסר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הר"ן בתירוץ הגמ' דאף שכל הכחל התבטל לגמרי אסרוהו כנבילה מפני מראית העין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היד יהודה בר"ן דבקושית הגמ' הו"א דאף מפני מראית העין א"צ לאסור בקדירה שניה</w:t>
      </w:r>
    </w:p>
    <w:p w:rsidR="00495EC8" w:rsidRPr="0050146A" w:rsidRDefault="00495EC8" w:rsidP="00495EC8">
      <w:pPr>
        <w:pStyle w:val="aff4"/>
        <w:rPr>
          <w:rFonts w:eastAsiaTheme="minorEastAsia" w:cstheme="minorBidi"/>
          <w:i/>
          <w:iCs/>
          <w:noProof/>
          <w:sz w:val="22"/>
          <w:szCs w:val="22"/>
          <w:rtl/>
        </w:rPr>
      </w:pPr>
      <w:r w:rsidRPr="0050146A">
        <w:rPr>
          <w:noProof/>
          <w:rtl/>
        </w:rPr>
        <w:t>דברי הרא"ה בחי' דלא יוצא כל החלב ודין הכחל כבשר בחלב</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הרא"ה דהכחל לעולם אסור דלא יתכן שיצא ממנו כל החלב ולא דמי לטיפת חלב בחתיכה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הרא"ה דכיון שתמיד נשאר חלב בכחל הוא אוסר בכל קדירה דחוזר ומקבל טעם מהבשר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דהנ"מ גם דהכחל עצמו גופו כבשר וחלב ולכן בקדירה שניה אוסר כחתיכת איסור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הרא"ה דאף שלא נשאר בו הרבה חלב מ"מ הוא עצמו איסור גמור ומשערים כנגד כולו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דאף בקדירה שניה הכחל מהמנין כיון שכל איסורו הוא חומרא דרבנן דמיחזי כבב"ח</w:t>
      </w:r>
    </w:p>
    <w:p w:rsidR="00495EC8" w:rsidRPr="0050146A" w:rsidRDefault="00495EC8" w:rsidP="00495EC8">
      <w:pPr>
        <w:pStyle w:val="aff4"/>
        <w:rPr>
          <w:rFonts w:eastAsiaTheme="minorEastAsia" w:cstheme="minorBidi"/>
          <w:i/>
          <w:iCs/>
          <w:noProof/>
          <w:sz w:val="22"/>
          <w:szCs w:val="22"/>
          <w:rtl/>
        </w:rPr>
      </w:pPr>
      <w:r w:rsidRPr="0050146A">
        <w:rPr>
          <w:noProof/>
          <w:rtl/>
        </w:rPr>
        <w:t>דברי הרא"ה דצריך להקל בכחל דהוא היתר ואיסורו דרבנן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דכחל עצמו מותר וצריך להקל בו וכשמשערים בכולו חשיב שיצא כל החלב</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הרא"ה דכיון שנשאר בו חלב שבלע טעם מהקדירה דינו ככל בב"ח אף בקדירה שניה</w:t>
      </w:r>
    </w:p>
    <w:p w:rsidR="00495EC8" w:rsidRPr="0050146A" w:rsidRDefault="00495EC8" w:rsidP="00495EC8">
      <w:pPr>
        <w:pStyle w:val="aff4"/>
        <w:rPr>
          <w:rFonts w:eastAsiaTheme="minorEastAsia" w:cstheme="minorBidi"/>
          <w:i/>
          <w:iCs/>
          <w:noProof/>
          <w:sz w:val="22"/>
          <w:szCs w:val="22"/>
          <w:rtl/>
        </w:rPr>
      </w:pPr>
      <w:r w:rsidRPr="0050146A">
        <w:rPr>
          <w:noProof/>
          <w:rtl/>
        </w:rPr>
        <w:t>דברי הריטב"א בביאור הנ"מ לאיסור הכחל ולקדירה אחרת</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הריטב"א אמאי אמרינן דהנ"מ מרב יצחק לקדירה אחרת הא נ"מ דהכחל עצמו אסור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תירוץ הריטב"א דכיון שבחלב שבו יש טעם בשר פשיטא דהכחל אסור דא"א לאוכלו בלא החלב</w:t>
      </w:r>
    </w:p>
    <w:p w:rsidR="00495EC8" w:rsidRPr="0050146A" w:rsidRDefault="00495EC8" w:rsidP="00495EC8">
      <w:pPr>
        <w:pStyle w:val="aff2"/>
        <w:numPr>
          <w:ilvl w:val="0"/>
          <w:numId w:val="3"/>
        </w:numPr>
        <w:rPr>
          <w:rFonts w:eastAsiaTheme="minorEastAsia" w:cstheme="minorBidi"/>
          <w:sz w:val="22"/>
          <w:szCs w:val="22"/>
          <w:rtl/>
        </w:rPr>
      </w:pPr>
      <w:r w:rsidRPr="0050146A">
        <w:rPr>
          <w:rtl/>
        </w:rPr>
        <w:t>התירוץ הב' בריטב"א דנ"מ מדברי רב יצחק דהוא כנבילה גם לאיסור הכחל וגם לקדירה אחרת</w:t>
      </w:r>
    </w:p>
    <w:p w:rsidR="00495EC8" w:rsidRPr="0050146A" w:rsidRDefault="00495EC8" w:rsidP="00495EC8">
      <w:pPr>
        <w:pStyle w:val="aff4"/>
        <w:rPr>
          <w:rFonts w:eastAsiaTheme="minorEastAsia" w:cstheme="minorBidi"/>
          <w:i/>
          <w:iCs/>
          <w:noProof/>
          <w:sz w:val="22"/>
          <w:szCs w:val="22"/>
          <w:rtl/>
        </w:rPr>
      </w:pPr>
      <w:r w:rsidRPr="0050146A">
        <w:rPr>
          <w:noProof/>
          <w:rtl/>
        </w:rPr>
        <w:t>ביאור הריטב"א בדעת התוס' דהכחל מיחזי כאיסור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הריטב"א בתוס' דאף שהכחל עצמו מותר הוא מיחזי כאיסור והחמירו להחשיבו כנבילה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הריטב"א דלא רק החלב הכנוס אסור דאחר שהצטנן הכחל הבשר נאסר ע"י החלב שבו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תירוץ הריטב"א דלא נשאר בחלב שיעור בכדי לאסור את בשר הכחל אחר שהצנן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הריטב"א דאי משערים בכולו דלא ידוע כמה יצא ממנו לא קשה דלא יאסור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הריטב"א בתי' הב' בתוס' דהכחל מיחזי כחתיכת איסור והקשה דהוא דוחק בגמ'</w:t>
      </w:r>
    </w:p>
    <w:p w:rsidR="00495EC8" w:rsidRPr="0050146A" w:rsidRDefault="00495EC8" w:rsidP="00495EC8">
      <w:pPr>
        <w:pStyle w:val="aff4"/>
        <w:rPr>
          <w:noProof/>
          <w:rtl/>
        </w:rPr>
      </w:pPr>
      <w:r w:rsidRPr="0050146A">
        <w:rPr>
          <w:noProof/>
          <w:rtl/>
        </w:rPr>
        <w:t>ביאור הריטב"א</w:t>
      </w:r>
      <w:r w:rsidRPr="0050146A">
        <w:rPr>
          <w:rFonts w:hint="cs"/>
          <w:noProof/>
          <w:rtl/>
        </w:rPr>
        <w:t xml:space="preserve"> בביאור החומרות דרבנן בכחל </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הריטב"א דכיון דאיסור הכחל הוא חומרא א"צ להחמיר בבשר דלא קיבל טעם מהחלב</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הריטב"א דהחומרות בכחל הם חיזוק לרבנן ולכן אי משערים בכולו א"צ לאסור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הריטב"א דאחר שהחמירו בו מיחזי כחתיכת איסור והחמירו לאסור אף בקדירה שניה</w:t>
      </w:r>
    </w:p>
    <w:p w:rsidR="00495EC8" w:rsidRPr="0050146A" w:rsidRDefault="00495EC8" w:rsidP="00495EC8">
      <w:pPr>
        <w:pStyle w:val="aff4"/>
        <w:rPr>
          <w:rFonts w:eastAsiaTheme="minorEastAsia" w:cstheme="minorBidi"/>
          <w:i/>
          <w:iCs/>
          <w:noProof/>
          <w:sz w:val="22"/>
          <w:szCs w:val="22"/>
          <w:rtl/>
        </w:rPr>
      </w:pPr>
      <w:r w:rsidRPr="0050146A">
        <w:rPr>
          <w:noProof/>
          <w:rtl/>
        </w:rPr>
        <w:t>ביאור הרי"ד בחילוק בין פליטת הכחל לפליטת שאר איסורים</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הרי"ד דאי משערים במה שיצא ממנו א"כ אוסר בכל בישול כפי השיעור שפולט בו</w:t>
      </w:r>
    </w:p>
    <w:p w:rsidR="00495EC8" w:rsidRPr="0050146A" w:rsidRDefault="00495EC8" w:rsidP="00495EC8">
      <w:pPr>
        <w:pStyle w:val="aff2"/>
        <w:numPr>
          <w:ilvl w:val="0"/>
          <w:numId w:val="3"/>
        </w:numPr>
        <w:rPr>
          <w:rFonts w:eastAsiaTheme="minorEastAsia" w:cstheme="minorBidi"/>
          <w:sz w:val="22"/>
          <w:szCs w:val="22"/>
          <w:rtl/>
        </w:rPr>
      </w:pPr>
      <w:r w:rsidRPr="0050146A">
        <w:rPr>
          <w:rtl/>
        </w:rPr>
        <w:lastRenderedPageBreak/>
        <w:t>דברי הרי"ד דמשערים בכולו לחומרא דהא אין כולו אסור וא"כ כל הבלוע בו כבר נתבטל</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הרי"ד דחתיכת נבילה כל פליטתה אוסרת ולכן אוסרת תמיד ואילו כחל רק פליטת חלבו אוסר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הרי"ד דהכחל נאסר לפני שהתבטל החלב ונעשה הוא עצמו כבב"ח ופליטתו כפליטת נבילה</w:t>
      </w:r>
    </w:p>
    <w:p w:rsidR="00495EC8" w:rsidRPr="0050146A" w:rsidRDefault="00495EC8" w:rsidP="00495EC8">
      <w:pPr>
        <w:pStyle w:val="2"/>
        <w:rPr>
          <w:rFonts w:eastAsiaTheme="minorEastAsia" w:cstheme="minorBidi"/>
          <w:i/>
          <w:iCs/>
          <w:noProof/>
          <w:sz w:val="22"/>
          <w:szCs w:val="22"/>
          <w:rtl/>
        </w:rPr>
      </w:pPr>
      <w:r w:rsidRPr="0050146A">
        <w:rPr>
          <w:noProof/>
          <w:rtl/>
        </w:rPr>
        <w:t>בדין חנ"נ בכחל בקדירה שניה</w:t>
      </w:r>
    </w:p>
    <w:p w:rsidR="00495EC8" w:rsidRPr="0050146A" w:rsidRDefault="00495EC8" w:rsidP="00495EC8">
      <w:pPr>
        <w:pStyle w:val="aff4"/>
        <w:rPr>
          <w:rFonts w:eastAsiaTheme="minorEastAsia" w:cstheme="minorBidi"/>
          <w:i/>
          <w:iCs/>
          <w:noProof/>
          <w:sz w:val="22"/>
          <w:szCs w:val="22"/>
          <w:rtl/>
        </w:rPr>
      </w:pPr>
      <w:r w:rsidRPr="0050146A">
        <w:rPr>
          <w:noProof/>
          <w:rtl/>
        </w:rPr>
        <w:t>דברי הרשב"א דאף בקדירה שניה הכחל מן המנין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הרשב"א דאוסר בקדירה שניה שמא לא יצא כל החלב ממנו ומשערים בכולו והוא מהמנין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הב"ח ברשב"א דמשמע בגמ' דהוא כמו נבילה ולא נבילה ממש ולכן הוא מהמנין</w:t>
      </w:r>
    </w:p>
    <w:p w:rsidR="00495EC8" w:rsidRPr="0050146A" w:rsidRDefault="00495EC8" w:rsidP="00495EC8">
      <w:pPr>
        <w:pStyle w:val="aff4"/>
        <w:rPr>
          <w:rFonts w:eastAsiaTheme="minorEastAsia" w:cstheme="minorBidi"/>
          <w:i/>
          <w:iCs/>
          <w:noProof/>
          <w:sz w:val="22"/>
          <w:szCs w:val="22"/>
          <w:rtl/>
        </w:rPr>
      </w:pPr>
      <w:r w:rsidRPr="0050146A">
        <w:rPr>
          <w:noProof/>
          <w:rtl/>
        </w:rPr>
        <w:t>פלוגתת הט"ז והחוו"ד בביאור דברי הרשב"א</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הט"ז דאי לא יצא כל החלב אמאי אסורוה רק מחמת דהחשיבוהו כנבילה הא מדינא אסור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הט"ז ברשב"א דאיסור הכחל הוא חומרא דרבנן שמא לא נפלט כל החלב ממנו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החוו"ד ברשב"א דס"ל כתי' הב' בתוס' דבבישול שני לא יוצא יותר חלב ולכן קשה דלא יאסור</w:t>
      </w:r>
    </w:p>
    <w:p w:rsidR="00495EC8" w:rsidRPr="0050146A" w:rsidRDefault="00495EC8" w:rsidP="00495EC8">
      <w:pPr>
        <w:pStyle w:val="aff2"/>
        <w:numPr>
          <w:ilvl w:val="0"/>
          <w:numId w:val="3"/>
        </w:numPr>
        <w:rPr>
          <w:rFonts w:eastAsiaTheme="minorEastAsia" w:cstheme="minorBidi"/>
          <w:sz w:val="22"/>
          <w:szCs w:val="22"/>
        </w:rPr>
      </w:pPr>
      <w:r w:rsidRPr="0050146A">
        <w:rPr>
          <w:rtl/>
        </w:rPr>
        <w:t>ביאור החוו"ד ברשב"א דהכחל עצמו אינו כנבילה והחלב הבלוע כנבילה ולכן הוא מהמנין</w:t>
      </w:r>
    </w:p>
    <w:p w:rsidR="00495EC8" w:rsidRPr="0050146A" w:rsidRDefault="00495EC8" w:rsidP="00495EC8">
      <w:pPr>
        <w:pStyle w:val="aff4"/>
        <w:rPr>
          <w:rFonts w:eastAsiaTheme="minorEastAsia" w:cstheme="minorBidi"/>
          <w:i/>
          <w:iCs/>
          <w:noProof/>
          <w:sz w:val="22"/>
          <w:szCs w:val="22"/>
          <w:rtl/>
        </w:rPr>
      </w:pPr>
      <w:r w:rsidRPr="0050146A">
        <w:rPr>
          <w:noProof/>
          <w:rtl/>
        </w:rPr>
        <w:t>דברי הרשב"א דבפחות מחמישים ותשע יש לכחל דין חנ"נ</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הרשב"א דכשלא היה חמישים ותשע בקדירה ראשונה יש לו דין חנ"נ ואינו מהמנין בשניה</w:t>
      </w:r>
    </w:p>
    <w:p w:rsidR="00495EC8" w:rsidRPr="0050146A" w:rsidRDefault="00495EC8" w:rsidP="00495EC8">
      <w:pPr>
        <w:pStyle w:val="aff4"/>
        <w:rPr>
          <w:rFonts w:eastAsiaTheme="minorEastAsia" w:cstheme="minorBidi"/>
          <w:i/>
          <w:iCs/>
          <w:noProof/>
          <w:sz w:val="22"/>
          <w:szCs w:val="22"/>
          <w:rtl/>
        </w:rPr>
      </w:pPr>
      <w:r w:rsidRPr="0050146A">
        <w:rPr>
          <w:noProof/>
          <w:rtl/>
        </w:rPr>
        <w:t>דעת הרא"ה דהכחל לעולם מן המנין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דא"א לומר דבתחילת הדין מצטרף לשישים ובסופו הוא חמור דהוא כגורם איסור</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הרא"ה דלעולם הכחל מצטרף לשישים וכן החתיכות שנאסרו ע"י מצטרפות לשישים</w:t>
      </w:r>
    </w:p>
    <w:p w:rsidR="00495EC8" w:rsidRPr="0050146A" w:rsidRDefault="00495EC8" w:rsidP="00495EC8">
      <w:pPr>
        <w:pStyle w:val="aff4"/>
        <w:rPr>
          <w:rFonts w:eastAsiaTheme="minorEastAsia" w:cstheme="minorBidi"/>
          <w:i/>
          <w:iCs/>
          <w:noProof/>
          <w:sz w:val="22"/>
          <w:szCs w:val="22"/>
          <w:rtl/>
        </w:rPr>
      </w:pPr>
      <w:r w:rsidRPr="0050146A">
        <w:rPr>
          <w:noProof/>
          <w:rtl/>
        </w:rPr>
        <w:t>ביאור הרשב"א במשה"ב דהחלב שנאסר בכחל נעשה חנ"נ</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הרשב"א במשה"ב דהכחל אינו אסור בעצמו דהחלב נעשה חנ"נ ולא ידוע כמה חלב יש בו</w:t>
      </w:r>
    </w:p>
    <w:p w:rsidR="002D7168" w:rsidRDefault="00495EC8" w:rsidP="00495EC8">
      <w:pPr>
        <w:pStyle w:val="aff2"/>
        <w:numPr>
          <w:ilvl w:val="0"/>
          <w:numId w:val="3"/>
        </w:numPr>
        <w:rPr>
          <w:rFonts w:eastAsiaTheme="minorEastAsia" w:cstheme="minorBidi"/>
          <w:sz w:val="22"/>
          <w:szCs w:val="22"/>
          <w:rtl/>
        </w:rPr>
      </w:pPr>
      <w:r w:rsidRPr="0050146A">
        <w:rPr>
          <w:rtl/>
        </w:rPr>
        <w:t>ביאור הרשב"א במשה"ב דפחות מחמישים ותשע בכחל הוא כפחות משישים בחלב גמור דהוא חנ"נ</w:t>
      </w:r>
    </w:p>
    <w:p w:rsidR="00495EC8" w:rsidRPr="0050146A" w:rsidRDefault="00495EC8" w:rsidP="00495EC8">
      <w:pPr>
        <w:pStyle w:val="aff4"/>
        <w:rPr>
          <w:rFonts w:eastAsiaTheme="minorEastAsia" w:cstheme="minorBidi"/>
          <w:i/>
          <w:iCs/>
          <w:noProof/>
          <w:sz w:val="22"/>
          <w:szCs w:val="22"/>
          <w:rtl/>
        </w:rPr>
      </w:pPr>
      <w:r w:rsidRPr="0050146A">
        <w:rPr>
          <w:noProof/>
          <w:rtl/>
        </w:rPr>
        <w:t>בביאור דעת הר"ן בדין חנ"נ בקדירה השניה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הר"ן דכיון דהכחל נאסר מחמת מראית העין א"צ להחמיר בקדירה שניה יותר מהראשונה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הב"י דהר"ן ביאר את סברת הרא"ה דכיון שאסור מפני מראית העין לא החמירו בו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היד יהודה בר"ן דכיון דאסור מפני מראית העין א"צ להחמיר בשניה יותר מהראשונה</w:t>
      </w:r>
    </w:p>
    <w:p w:rsidR="00495EC8" w:rsidRPr="0050146A" w:rsidRDefault="00495EC8" w:rsidP="00495EC8">
      <w:pPr>
        <w:pStyle w:val="aff2"/>
        <w:numPr>
          <w:ilvl w:val="0"/>
          <w:numId w:val="3"/>
        </w:numPr>
        <w:rPr>
          <w:rFonts w:eastAsiaTheme="minorEastAsia" w:cstheme="minorBidi"/>
          <w:sz w:val="22"/>
          <w:szCs w:val="22"/>
        </w:rPr>
      </w:pPr>
      <w:r w:rsidRPr="0050146A">
        <w:rPr>
          <w:rtl/>
        </w:rPr>
        <w:t>דחיית הרמ"א דהר"ן איירי באופן שיש שישים בקדירה הראשונה</w:t>
      </w:r>
    </w:p>
    <w:p w:rsidR="00495EC8" w:rsidRPr="0050146A" w:rsidRDefault="00495EC8" w:rsidP="00495EC8">
      <w:pPr>
        <w:pStyle w:val="aff4"/>
        <w:rPr>
          <w:rFonts w:eastAsiaTheme="minorEastAsia" w:cstheme="minorBidi"/>
          <w:i/>
          <w:iCs/>
          <w:noProof/>
          <w:sz w:val="22"/>
          <w:szCs w:val="22"/>
          <w:rtl/>
        </w:rPr>
      </w:pPr>
      <w:r w:rsidRPr="0050146A">
        <w:rPr>
          <w:noProof/>
          <w:rtl/>
        </w:rPr>
        <w:t>דברי השו"ע והרמ"א בדין חנ"נ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הט"ז בדעת השו"ע דס"ל כהרא"ה דאף בקדירה שניה הכחל מהמנין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הט"ז ברמ"א דס"ל כהרשב"א דאחר שנאסר בפחות משישים אינו מן המנין בקדירה שניה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הגרעק"א דלא נחלקו בזה השו"ע והרמ"א</w:t>
      </w:r>
    </w:p>
    <w:p w:rsidR="00495EC8" w:rsidRPr="0050146A" w:rsidRDefault="00495EC8" w:rsidP="00495EC8">
      <w:pPr>
        <w:pStyle w:val="aff4"/>
        <w:rPr>
          <w:rFonts w:eastAsiaTheme="minorEastAsia" w:cstheme="minorBidi"/>
          <w:i/>
          <w:iCs/>
          <w:noProof/>
          <w:sz w:val="22"/>
          <w:szCs w:val="22"/>
          <w:rtl/>
        </w:rPr>
      </w:pPr>
      <w:r w:rsidRPr="0050146A">
        <w:rPr>
          <w:noProof/>
          <w:rtl/>
        </w:rPr>
        <w:t>דברי הרמב"ם דמשערים בשישים בקדירה שניה והכחל מן המנין</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הרמב"ם דבקדירה אחרת תמיד משערים</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המ"מ ברמב"ם דס"ל כרא"ה דאף שנאסר הכחל אין לו דין חנ"נ ובקדירה שניה הוא מן המנין</w:t>
      </w:r>
    </w:p>
    <w:p w:rsidR="00495EC8" w:rsidRPr="0050146A" w:rsidRDefault="00495EC8" w:rsidP="00495EC8">
      <w:pPr>
        <w:pStyle w:val="aff4"/>
        <w:rPr>
          <w:rFonts w:eastAsiaTheme="minorEastAsia" w:cstheme="minorBidi"/>
          <w:i/>
          <w:iCs/>
          <w:noProof/>
          <w:sz w:val="22"/>
          <w:szCs w:val="22"/>
          <w:rtl/>
        </w:rPr>
      </w:pPr>
      <w:r w:rsidRPr="0050146A">
        <w:rPr>
          <w:noProof/>
          <w:rtl/>
        </w:rPr>
        <w:t>בדברי הרמב"ם דשיעור הכחל כזמן הבישול ולא כזמן הנפילה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דברי הרמב"ם דמשערים את הכחל כזמן הבישול ולא כזמן הנפילה</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המ"מ ברמב"ם דספק הגמ' דמשערים במאי דנפיק מיניה היינו שמשערים אף בבלוע</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קושיות הב"י דאי בדידיה משערינן היינו דאין משערים בבלוע אמאי לא יאסור בקדירה אחרת</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קושיות הב"י דאי במאי דנפיק היינו דמשערים בבלוע מה מקשה הגמ' דא"א לדעת כמה יצא ממנו</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הב"י דהרמב"ם פסק כגמ' לקמן דאף האיסור בלע וכ"כ בכחל וה"ה לשאר האיסורים</w:t>
      </w:r>
    </w:p>
    <w:p w:rsidR="00495EC8" w:rsidRPr="0050146A" w:rsidRDefault="00495EC8" w:rsidP="00495EC8">
      <w:pPr>
        <w:pStyle w:val="aff2"/>
        <w:numPr>
          <w:ilvl w:val="0"/>
          <w:numId w:val="3"/>
        </w:numPr>
        <w:rPr>
          <w:rFonts w:eastAsiaTheme="minorEastAsia" w:cstheme="minorBidi"/>
          <w:sz w:val="22"/>
          <w:szCs w:val="22"/>
          <w:rtl/>
        </w:rPr>
      </w:pPr>
      <w:r w:rsidRPr="0050146A">
        <w:rPr>
          <w:rtl/>
        </w:rPr>
        <w:t>דחיית הב"ח והלח"מ דהא הרמב"ם פסק כל"ב דמשערים במה שבלעה הקדירה ולא כגמ' לקמן</w:t>
      </w:r>
    </w:p>
    <w:p w:rsidR="00495EC8" w:rsidRPr="0050146A" w:rsidRDefault="00495EC8" w:rsidP="00495EC8">
      <w:pPr>
        <w:pStyle w:val="aff2"/>
        <w:numPr>
          <w:ilvl w:val="0"/>
          <w:numId w:val="3"/>
        </w:numPr>
        <w:rPr>
          <w:rtl/>
        </w:rPr>
      </w:pPr>
      <w:r w:rsidRPr="0050146A">
        <w:rPr>
          <w:rFonts w:hint="cs"/>
          <w:rtl/>
        </w:rPr>
        <w:t>תירוץ הלח"מ וה</w:t>
      </w:r>
      <w:r w:rsidR="00250230">
        <w:rPr>
          <w:rFonts w:hint="cs"/>
          <w:rtl/>
        </w:rPr>
        <w:t>פלתי</w:t>
      </w:r>
      <w:r w:rsidRPr="0050146A">
        <w:rPr>
          <w:rFonts w:hint="cs"/>
          <w:rtl/>
        </w:rPr>
        <w:t xml:space="preserve"> דהרמב"ם ביאר את קושית הגמ' דלא יאסור בקדירה אחרת כתוס'</w:t>
      </w:r>
    </w:p>
    <w:p w:rsidR="00495EC8" w:rsidRPr="0050146A" w:rsidRDefault="00495EC8" w:rsidP="00495EC8">
      <w:pPr>
        <w:pStyle w:val="aff2"/>
        <w:numPr>
          <w:ilvl w:val="0"/>
          <w:numId w:val="3"/>
        </w:numPr>
        <w:rPr>
          <w:rFonts w:eastAsiaTheme="minorEastAsia" w:cstheme="minorBidi"/>
          <w:sz w:val="22"/>
          <w:szCs w:val="22"/>
          <w:rtl/>
        </w:rPr>
      </w:pPr>
      <w:r w:rsidRPr="0050146A">
        <w:rPr>
          <w:rtl/>
        </w:rPr>
        <w:t>ביאור הלח"מ דכוונת הגמ' להקשות דלא ידוע כמה יצא ממנו דא"א לשער בצמצום אלא באומד</w:t>
      </w:r>
    </w:p>
    <w:p w:rsidR="00495EC8" w:rsidRPr="0050146A" w:rsidRDefault="00495EC8" w:rsidP="00495EC8">
      <w:pPr>
        <w:pStyle w:val="aff2"/>
        <w:numPr>
          <w:ilvl w:val="0"/>
          <w:numId w:val="3"/>
        </w:numPr>
        <w:rPr>
          <w:rFonts w:eastAsiaTheme="minorEastAsia" w:cstheme="minorBidi"/>
          <w:sz w:val="22"/>
          <w:szCs w:val="22"/>
          <w:rtl/>
        </w:rPr>
      </w:pPr>
      <w:r w:rsidRPr="0050146A">
        <w:rPr>
          <w:rtl/>
        </w:rPr>
        <w:t>קושית הלח"מ דהא בקדירה פסק הרמב"ם דמשערים בבלוע באומד אף שא"א לצמצם</w:t>
      </w:r>
    </w:p>
    <w:p w:rsidR="00495EC8" w:rsidRPr="0050146A" w:rsidRDefault="00495EC8" w:rsidP="00495EC8">
      <w:pPr>
        <w:pStyle w:val="aff2"/>
        <w:numPr>
          <w:ilvl w:val="0"/>
          <w:numId w:val="3"/>
        </w:numPr>
        <w:rPr>
          <w:rFonts w:eastAsiaTheme="minorEastAsia" w:cstheme="minorBidi"/>
          <w:sz w:val="22"/>
          <w:szCs w:val="22"/>
          <w:rtl/>
        </w:rPr>
        <w:sectPr w:rsidR="00495EC8" w:rsidRPr="0050146A" w:rsidSect="007C6A7B">
          <w:type w:val="continuous"/>
          <w:pgSz w:w="11906" w:h="16838"/>
          <w:pgMar w:top="720" w:right="720" w:bottom="720" w:left="720" w:header="283" w:footer="283" w:gutter="0"/>
          <w:cols w:num="2" w:space="113"/>
          <w:bidi/>
          <w:rtlGutter/>
          <w:docGrid w:linePitch="299"/>
        </w:sectPr>
      </w:pPr>
      <w:r w:rsidRPr="0050146A">
        <w:rPr>
          <w:rtl/>
        </w:rPr>
        <w:t>ביאור הלח"מ דרק את ההיתר אפשר לשער באומד אבל את האיסור א"א לשער באומד</w:t>
      </w:r>
    </w:p>
    <w:p w:rsidR="00495EC8" w:rsidRPr="0050146A" w:rsidRDefault="00495EC8" w:rsidP="00495EC8">
      <w:pPr>
        <w:pStyle w:val="aff2"/>
        <w:rPr>
          <w:rFonts w:eastAsiaTheme="minorEastAsia" w:cstheme="minorBidi"/>
          <w:sz w:val="22"/>
          <w:szCs w:val="22"/>
          <w:rtl/>
        </w:rPr>
      </w:pPr>
    </w:p>
    <w:p w:rsidR="00495EC8" w:rsidRPr="0050146A" w:rsidRDefault="00495EC8" w:rsidP="00495EC8">
      <w:pPr>
        <w:pStyle w:val="aff4"/>
        <w:rPr>
          <w:rtl/>
        </w:rPr>
        <w:sectPr w:rsidR="00495EC8" w:rsidRPr="0050146A" w:rsidSect="007C6A7B">
          <w:type w:val="continuous"/>
          <w:pgSz w:w="11906" w:h="16838"/>
          <w:pgMar w:top="720" w:right="720" w:bottom="720" w:left="720" w:header="283" w:footer="283" w:gutter="0"/>
          <w:cols w:num="2" w:space="113"/>
          <w:bidi/>
          <w:rtlGutter/>
          <w:docGrid w:linePitch="299"/>
        </w:sectPr>
      </w:pPr>
      <w:r w:rsidRPr="0050146A">
        <w:rPr>
          <w:rtl/>
        </w:rPr>
        <w:fldChar w:fldCharType="end"/>
      </w:r>
    </w:p>
    <w:p w:rsidR="00495EC8" w:rsidRPr="0050146A" w:rsidRDefault="00495EC8" w:rsidP="00E669F8">
      <w:pPr>
        <w:pStyle w:val="afd"/>
        <w:rPr>
          <w:rtl/>
        </w:rPr>
      </w:pPr>
      <w:bookmarkStart w:id="3502" w:name="_Toc10665854"/>
      <w:bookmarkStart w:id="3503" w:name="_Toc10716546"/>
      <w:bookmarkStart w:id="3504" w:name="_Toc10718817"/>
      <w:bookmarkStart w:id="3505" w:name="_Toc10730054"/>
      <w:bookmarkStart w:id="3506" w:name="_Toc10737386"/>
      <w:r w:rsidRPr="0050146A">
        <w:rPr>
          <w:rFonts w:hint="cs"/>
          <w:rtl/>
        </w:rPr>
        <w:lastRenderedPageBreak/>
        <w:t>מראי מקומות וביאורים</w:t>
      </w:r>
      <w:bookmarkEnd w:id="3502"/>
      <w:bookmarkEnd w:id="3503"/>
      <w:bookmarkEnd w:id="3504"/>
      <w:bookmarkEnd w:id="3505"/>
      <w:bookmarkEnd w:id="3506"/>
    </w:p>
    <w:p w:rsidR="00495EC8" w:rsidRPr="0050146A" w:rsidRDefault="00495EC8" w:rsidP="00495EC8">
      <w:pPr>
        <w:pStyle w:val="2"/>
        <w:keepNext w:val="0"/>
        <w:keepLines w:val="0"/>
        <w:bidi w:val="0"/>
        <w:rPr>
          <w:rFonts w:asciiTheme="minorHAnsi" w:hAnsiTheme="minorHAnsi"/>
          <w:bCs/>
          <w:sz w:val="18"/>
          <w:szCs w:val="28"/>
          <w:rtl/>
        </w:rPr>
        <w:sectPr w:rsidR="00495EC8" w:rsidRPr="0050146A" w:rsidSect="00AC4773">
          <w:pgSz w:w="11906" w:h="16838"/>
          <w:pgMar w:top="720" w:right="720" w:bottom="720" w:left="720" w:header="283" w:footer="283" w:gutter="0"/>
          <w:cols w:space="720"/>
          <w:bidi/>
          <w:rtlGutter/>
          <w:docGrid w:linePitch="299"/>
        </w:sectPr>
      </w:pPr>
    </w:p>
    <w:p w:rsidR="00495EC8" w:rsidRPr="0050146A" w:rsidRDefault="00495EC8" w:rsidP="00E669F8">
      <w:pPr>
        <w:pStyle w:val="afd"/>
        <w:rPr>
          <w:rtl/>
        </w:rPr>
      </w:pPr>
      <w:bookmarkStart w:id="3507" w:name="_Toc9934843"/>
      <w:bookmarkStart w:id="3508" w:name="_Toc9936411"/>
      <w:bookmarkStart w:id="3509" w:name="_Toc9936432"/>
      <w:bookmarkStart w:id="3510" w:name="_Toc10061674"/>
      <w:bookmarkStart w:id="3511" w:name="_Toc10147726"/>
      <w:bookmarkStart w:id="3512" w:name="_Toc10202016"/>
      <w:bookmarkStart w:id="3513" w:name="_Toc10367979"/>
      <w:bookmarkStart w:id="3514" w:name="_Toc10451078"/>
      <w:bookmarkStart w:id="3515" w:name="_Toc10494336"/>
      <w:bookmarkStart w:id="3516" w:name="_Toc10541269"/>
      <w:bookmarkStart w:id="3517" w:name="_Toc10625638"/>
      <w:bookmarkStart w:id="3518" w:name="_Toc10665855"/>
      <w:bookmarkStart w:id="3519" w:name="_Toc10716547"/>
      <w:bookmarkStart w:id="3520" w:name="_Toc10718818"/>
      <w:bookmarkStart w:id="3521" w:name="_Toc10730055"/>
      <w:bookmarkStart w:id="3522" w:name="_Toc10737387"/>
      <w:bookmarkStart w:id="3523" w:name="_Toc9934844"/>
      <w:bookmarkStart w:id="3524" w:name="_Toc9936412"/>
      <w:bookmarkStart w:id="3525" w:name="_Toc9936433"/>
      <w:bookmarkStart w:id="3526" w:name="_Toc10061675"/>
      <w:bookmarkStart w:id="3527" w:name="_Toc10147727"/>
      <w:bookmarkStart w:id="3528" w:name="_Toc10202017"/>
      <w:bookmarkStart w:id="3529" w:name="_Toc10367981"/>
      <w:bookmarkStart w:id="3530" w:name="_Toc10451089"/>
      <w:r w:rsidRPr="0050146A">
        <w:rPr>
          <w:rFonts w:hint="cs"/>
          <w:rtl/>
        </w:rPr>
        <w:t>בדידיה משערינן או במ</w:t>
      </w:r>
      <w:bookmarkEnd w:id="3507"/>
      <w:bookmarkEnd w:id="3508"/>
      <w:bookmarkEnd w:id="3509"/>
      <w:bookmarkEnd w:id="3510"/>
      <w:r w:rsidRPr="0050146A">
        <w:rPr>
          <w:rFonts w:hint="cs"/>
          <w:rtl/>
        </w:rPr>
        <w:t>אי דנפיק מיניה</w:t>
      </w:r>
      <w:bookmarkEnd w:id="3511"/>
      <w:bookmarkEnd w:id="3512"/>
      <w:bookmarkEnd w:id="3513"/>
      <w:bookmarkEnd w:id="3514"/>
      <w:bookmarkEnd w:id="3515"/>
      <w:bookmarkEnd w:id="3516"/>
      <w:bookmarkEnd w:id="3517"/>
      <w:bookmarkEnd w:id="3518"/>
      <w:bookmarkEnd w:id="3519"/>
      <w:bookmarkEnd w:id="3520"/>
      <w:bookmarkEnd w:id="3521"/>
      <w:bookmarkEnd w:id="3522"/>
    </w:p>
    <w:p w:rsidR="00495EC8" w:rsidRPr="0050146A" w:rsidRDefault="00495EC8" w:rsidP="00495EC8">
      <w:pPr>
        <w:pStyle w:val="1"/>
        <w:rPr>
          <w:rtl/>
        </w:rPr>
      </w:pPr>
      <w:bookmarkStart w:id="3531" w:name="_Toc10494337"/>
      <w:bookmarkStart w:id="3532" w:name="_Toc10541270"/>
      <w:bookmarkStart w:id="3533" w:name="_Toc10625639"/>
      <w:bookmarkStart w:id="3534" w:name="_Toc10665856"/>
      <w:bookmarkStart w:id="3535" w:name="_Toc10716548"/>
      <w:bookmarkStart w:id="3536" w:name="_Toc10718819"/>
      <w:bookmarkStart w:id="3537" w:name="_Toc10730056"/>
      <w:bookmarkStart w:id="3538" w:name="_Toc10737388"/>
      <w:r w:rsidRPr="0050146A">
        <w:rPr>
          <w:rFonts w:hint="cs"/>
          <w:rtl/>
        </w:rPr>
        <w:t>דברי רש"י</w:t>
      </w:r>
      <w:bookmarkEnd w:id="3523"/>
      <w:bookmarkEnd w:id="3524"/>
      <w:bookmarkEnd w:id="3525"/>
      <w:bookmarkEnd w:id="3526"/>
      <w:bookmarkEnd w:id="3527"/>
      <w:bookmarkEnd w:id="3528"/>
      <w:bookmarkEnd w:id="3529"/>
      <w:bookmarkEnd w:id="3530"/>
      <w:bookmarkEnd w:id="3531"/>
      <w:bookmarkEnd w:id="3532"/>
      <w:bookmarkEnd w:id="3533"/>
      <w:bookmarkEnd w:id="3534"/>
      <w:bookmarkEnd w:id="3535"/>
      <w:r w:rsidRPr="0050146A">
        <w:rPr>
          <w:rFonts w:hint="cs"/>
          <w:rtl/>
        </w:rPr>
        <w:t xml:space="preserve"> בביאור הצד דמשערים במה שיוצא ממנו</w:t>
      </w:r>
      <w:bookmarkEnd w:id="3536"/>
      <w:bookmarkEnd w:id="3537"/>
      <w:bookmarkEnd w:id="3538"/>
    </w:p>
    <w:p w:rsidR="00495EC8" w:rsidRPr="0050146A" w:rsidRDefault="00495EC8" w:rsidP="00495EC8">
      <w:pPr>
        <w:pStyle w:val="a2"/>
        <w:rPr>
          <w:rtl/>
        </w:rPr>
      </w:pPr>
      <w:bookmarkStart w:id="3539" w:name="_Toc10665857"/>
      <w:bookmarkStart w:id="3540" w:name="_Toc10716549"/>
      <w:bookmarkStart w:id="3541" w:name="_Toc10718820"/>
      <w:bookmarkStart w:id="3542" w:name="_Toc10730057"/>
      <w:bookmarkStart w:id="3543" w:name="_Toc10737389"/>
      <w:r w:rsidRPr="0050146A">
        <w:rPr>
          <w:rFonts w:hint="cs"/>
          <w:rtl/>
        </w:rPr>
        <w:t>ביאור רש"י בצד דמשערים רק במה שיוצא מהכחל כיון דהכחל אינו לפנינו וזורקים אותו</w:t>
      </w:r>
      <w:bookmarkEnd w:id="3539"/>
      <w:bookmarkEnd w:id="3540"/>
      <w:bookmarkEnd w:id="3541"/>
      <w:bookmarkEnd w:id="3542"/>
      <w:bookmarkEnd w:id="3543"/>
      <w:r w:rsidRPr="0050146A">
        <w:rPr>
          <w:rFonts w:hint="cs"/>
          <w:rtl/>
        </w:rPr>
        <w:t xml:space="preserve"> </w:t>
      </w:r>
    </w:p>
    <w:p w:rsidR="00495EC8" w:rsidRPr="0050146A" w:rsidRDefault="00495EC8" w:rsidP="009F44AF">
      <w:pPr>
        <w:pStyle w:val="a"/>
        <w:numPr>
          <w:ilvl w:val="0"/>
          <w:numId w:val="10"/>
        </w:numPr>
        <w:rPr>
          <w:rtl/>
        </w:rPr>
      </w:pPr>
      <w:r w:rsidRPr="0050146A">
        <w:rPr>
          <w:rFonts w:hint="cs"/>
          <w:rtl/>
        </w:rPr>
        <w:t xml:space="preserve">בספק הגמ' אי בדידיה משערינן או במאי דנפיק מיניה, ביאר </w:t>
      </w:r>
      <w:r w:rsidRPr="0050146A">
        <w:rPr>
          <w:rStyle w:val="af8"/>
          <w:rFonts w:hint="cs"/>
          <w:rtl/>
        </w:rPr>
        <w:t xml:space="preserve">רש"י </w:t>
      </w:r>
      <w:r w:rsidRPr="009F44AF">
        <w:rPr>
          <w:rStyle w:val="af6"/>
          <w:rFonts w:eastAsia="Guttman Hodes" w:hint="cs"/>
          <w:rtl/>
        </w:rPr>
        <w:t>(ד"ה או)</w:t>
      </w:r>
      <w:r w:rsidRPr="0050146A">
        <w:rPr>
          <w:rFonts w:hint="cs"/>
          <w:rtl/>
        </w:rPr>
        <w:t xml:space="preserve"> דהצד דמשערים במה שיוצא מהכחל, הוא כיון דצריך שיהיה היתר כנגד מה שהכחל פולט, דהא הכחל עצמו אינו לפנינו בקדירה דאנו זורקים אותו לבחוץ.</w:t>
      </w:r>
    </w:p>
    <w:p w:rsidR="00495EC8" w:rsidRPr="0050146A" w:rsidRDefault="00495EC8" w:rsidP="00495EC8">
      <w:pPr>
        <w:pStyle w:val="a2"/>
        <w:rPr>
          <w:rtl/>
        </w:rPr>
      </w:pPr>
      <w:bookmarkStart w:id="3544" w:name="_Toc10718821"/>
      <w:bookmarkStart w:id="3545" w:name="_Toc10730058"/>
      <w:bookmarkStart w:id="3546" w:name="_Toc10737390"/>
      <w:r w:rsidRPr="0050146A">
        <w:rPr>
          <w:rFonts w:hint="cs"/>
          <w:rtl/>
        </w:rPr>
        <w:t>דברי הרא"ה דהצד דמשערים במה שיוצא ממנו דלא יתכן שפלט כשיעור של כולו</w:t>
      </w:r>
      <w:bookmarkEnd w:id="3544"/>
      <w:bookmarkEnd w:id="3545"/>
      <w:bookmarkEnd w:id="3546"/>
    </w:p>
    <w:p w:rsidR="00495EC8" w:rsidRPr="0050146A" w:rsidRDefault="00495EC8" w:rsidP="009F44AF">
      <w:pPr>
        <w:pStyle w:val="a"/>
        <w:rPr>
          <w:rtl/>
        </w:rPr>
      </w:pPr>
      <w:r w:rsidRPr="0050146A">
        <w:rPr>
          <w:rFonts w:hint="cs"/>
          <w:rtl/>
        </w:rPr>
        <w:t xml:space="preserve">וכתב </w:t>
      </w:r>
      <w:r w:rsidRPr="0050146A">
        <w:rPr>
          <w:rStyle w:val="af8"/>
          <w:rFonts w:hint="cs"/>
          <w:rtl/>
        </w:rPr>
        <w:t>הרא"ה בחי'</w:t>
      </w:r>
      <w:r w:rsidRPr="0050146A">
        <w:rPr>
          <w:rFonts w:hint="cs"/>
          <w:rtl/>
        </w:rPr>
        <w:t xml:space="preserve"> </w:t>
      </w:r>
      <w:r w:rsidRPr="0050146A">
        <w:rPr>
          <w:rStyle w:val="af6"/>
          <w:rFonts w:eastAsia="Guttman Hodes" w:hint="cs"/>
          <w:rtl/>
        </w:rPr>
        <w:t>(ד"ה אמר רב אשי)</w:t>
      </w:r>
      <w:r w:rsidRPr="0050146A">
        <w:rPr>
          <w:rFonts w:hint="cs"/>
          <w:rtl/>
        </w:rPr>
        <w:t xml:space="preserve"> דהצד דמשערינן רק כנגד מה שיצא ממנו, דהיינו כנגד מה שהוא פלט, דהא לא יתכן שפלט כשיעור של כולו.</w:t>
      </w:r>
    </w:p>
    <w:p w:rsidR="00495EC8" w:rsidRPr="0050146A" w:rsidRDefault="00495EC8" w:rsidP="00495EC8">
      <w:pPr>
        <w:pStyle w:val="1"/>
        <w:rPr>
          <w:rtl/>
        </w:rPr>
      </w:pPr>
      <w:bookmarkStart w:id="3547" w:name="_Toc10665858"/>
      <w:bookmarkStart w:id="3548" w:name="_Toc10716550"/>
      <w:bookmarkStart w:id="3549" w:name="_Toc10718822"/>
      <w:bookmarkStart w:id="3550" w:name="_Toc10730059"/>
      <w:bookmarkStart w:id="3551" w:name="_Toc10737391"/>
      <w:r w:rsidRPr="0050146A">
        <w:rPr>
          <w:rFonts w:hint="cs"/>
          <w:rtl/>
        </w:rPr>
        <w:t>ביאורי הראשונים דספק הגמ' הוא רק בכחל ולא בשאר איסורים</w:t>
      </w:r>
      <w:bookmarkEnd w:id="3547"/>
      <w:bookmarkEnd w:id="3548"/>
      <w:bookmarkEnd w:id="3549"/>
      <w:bookmarkEnd w:id="3550"/>
      <w:bookmarkEnd w:id="3551"/>
    </w:p>
    <w:p w:rsidR="00495EC8" w:rsidRPr="0050146A" w:rsidRDefault="00495EC8" w:rsidP="00495EC8">
      <w:pPr>
        <w:pStyle w:val="a2"/>
        <w:rPr>
          <w:rtl/>
        </w:rPr>
      </w:pPr>
      <w:bookmarkStart w:id="3552" w:name="_Toc10665859"/>
      <w:bookmarkStart w:id="3553" w:name="_Toc10716551"/>
      <w:bookmarkStart w:id="3554" w:name="_Toc10718823"/>
      <w:bookmarkStart w:id="3555" w:name="_Toc10730060"/>
      <w:bookmarkStart w:id="3556" w:name="_Toc10737392"/>
      <w:r w:rsidRPr="0050146A">
        <w:rPr>
          <w:rFonts w:hint="cs"/>
          <w:rtl/>
        </w:rPr>
        <w:t>קושית הריטב"א אמאי הגמ' מסתפקת רק בכחל וא"א לומר דהספק רק בדרבנן דהא כעין דאו' תקון</w:t>
      </w:r>
      <w:bookmarkEnd w:id="3552"/>
      <w:bookmarkEnd w:id="3553"/>
      <w:bookmarkEnd w:id="3554"/>
      <w:bookmarkEnd w:id="3555"/>
      <w:bookmarkEnd w:id="3556"/>
    </w:p>
    <w:p w:rsidR="00495EC8" w:rsidRPr="0050146A" w:rsidRDefault="00495EC8" w:rsidP="009F44AF">
      <w:pPr>
        <w:pStyle w:val="a"/>
        <w:rPr>
          <w:rtl/>
        </w:rPr>
      </w:pPr>
      <w:r w:rsidRPr="0050146A">
        <w:rPr>
          <w:rFonts w:hint="cs"/>
          <w:rtl/>
        </w:rPr>
        <w:t xml:space="preserve">והקשה </w:t>
      </w:r>
      <w:r w:rsidRPr="0050146A">
        <w:rPr>
          <w:rStyle w:val="af8"/>
          <w:rFonts w:hint="cs"/>
          <w:rtl/>
        </w:rPr>
        <w:t>הריטב"א</w:t>
      </w:r>
      <w:r w:rsidRPr="0050146A">
        <w:rPr>
          <w:rStyle w:val="af6"/>
          <w:rFonts w:eastAsia="Guttman Hodes" w:hint="cs"/>
          <w:rtl/>
        </w:rPr>
        <w:t xml:space="preserve"> (ד"ה אמר רב אשי) </w:t>
      </w:r>
      <w:r w:rsidRPr="0050146A">
        <w:rPr>
          <w:rFonts w:hint="cs"/>
          <w:rtl/>
        </w:rPr>
        <w:t xml:space="preserve">דאמאי הגמ' מסתפקת דוקא בכחל ולא במתני' לעיל </w:t>
      </w:r>
      <w:r w:rsidRPr="0050146A">
        <w:rPr>
          <w:rStyle w:val="af6"/>
          <w:rFonts w:eastAsia="Guttman Hodes" w:hint="cs"/>
          <w:rtl/>
        </w:rPr>
        <w:t xml:space="preserve">(צו:) </w:t>
      </w:r>
      <w:r w:rsidRPr="0050146A">
        <w:rPr>
          <w:rFonts w:hint="cs"/>
          <w:rtl/>
        </w:rPr>
        <w:t xml:space="preserve">בחתיכת נבילה וחתיכת דג טמא, שנפלו לקדירה דהרוטב בנותן טעם, וכתב </w:t>
      </w:r>
      <w:r w:rsidRPr="0050146A">
        <w:rPr>
          <w:rStyle w:val="af8"/>
          <w:rFonts w:hint="cs"/>
          <w:rtl/>
        </w:rPr>
        <w:t>הריטב"א</w:t>
      </w:r>
      <w:r w:rsidRPr="0050146A">
        <w:rPr>
          <w:rFonts w:hint="cs"/>
          <w:rtl/>
        </w:rPr>
        <w:t xml:space="preserve"> דא"א לומר דכיון שהכחל הוא איסור דרבנן לכן רק בכחל יש ספק, דהא קיי"ל דכל השיעורים שהם מדרבנן, כעין דאו' תקון.</w:t>
      </w:r>
    </w:p>
    <w:p w:rsidR="00495EC8" w:rsidRPr="0050146A" w:rsidRDefault="00495EC8" w:rsidP="00495EC8">
      <w:pPr>
        <w:pStyle w:val="a2"/>
        <w:rPr>
          <w:rtl/>
        </w:rPr>
      </w:pPr>
      <w:bookmarkStart w:id="3557" w:name="_Toc10718824"/>
      <w:bookmarkStart w:id="3558" w:name="_Toc10730061"/>
      <w:bookmarkStart w:id="3559" w:name="_Toc10737393"/>
      <w:r w:rsidRPr="0050146A">
        <w:rPr>
          <w:rFonts w:hint="cs"/>
          <w:rtl/>
        </w:rPr>
        <w:t>דברי הרמב"ן והרשב"א והרא"ש דהספק הוא רק בכחל דאין גופו אסור ולא בשאר איסורים</w:t>
      </w:r>
      <w:bookmarkEnd w:id="3557"/>
      <w:bookmarkEnd w:id="3558"/>
      <w:bookmarkEnd w:id="3559"/>
    </w:p>
    <w:p w:rsidR="00495EC8" w:rsidRPr="0050146A" w:rsidRDefault="00495EC8" w:rsidP="009F44AF">
      <w:pPr>
        <w:pStyle w:val="a"/>
        <w:rPr>
          <w:rtl/>
        </w:rPr>
      </w:pPr>
      <w:r w:rsidRPr="0050146A">
        <w:rPr>
          <w:rFonts w:hint="cs"/>
          <w:rtl/>
        </w:rPr>
        <w:t xml:space="preserve">וכתבו </w:t>
      </w:r>
      <w:r w:rsidRPr="0050146A">
        <w:rPr>
          <w:rStyle w:val="af8"/>
          <w:rFonts w:hint="cs"/>
          <w:rtl/>
        </w:rPr>
        <w:t>הרמב"ן</w:t>
      </w:r>
      <w:r w:rsidRPr="0050146A">
        <w:rPr>
          <w:rFonts w:hint="cs"/>
          <w:rtl/>
        </w:rPr>
        <w:t xml:space="preserve"> </w:t>
      </w:r>
      <w:r w:rsidRPr="0050146A">
        <w:rPr>
          <w:rStyle w:val="af6"/>
          <w:rFonts w:eastAsia="Guttman Hodes" w:hint="cs"/>
          <w:rtl/>
        </w:rPr>
        <w:t xml:space="preserve">(ד"ה בדידיה) </w:t>
      </w:r>
      <w:r w:rsidRPr="0050146A">
        <w:rPr>
          <w:rStyle w:val="af8"/>
          <w:rFonts w:hint="cs"/>
          <w:rtl/>
        </w:rPr>
        <w:t>והרשב"א בחי'</w:t>
      </w:r>
      <w:r w:rsidRPr="0050146A">
        <w:rPr>
          <w:rFonts w:hint="cs"/>
          <w:rtl/>
        </w:rPr>
        <w:t xml:space="preserve"> </w:t>
      </w:r>
      <w:r w:rsidRPr="0050146A">
        <w:rPr>
          <w:rStyle w:val="af6"/>
          <w:rFonts w:eastAsia="Guttman Hodes" w:hint="cs"/>
          <w:rtl/>
        </w:rPr>
        <w:t xml:space="preserve">(ד"ה הא) </w:t>
      </w:r>
      <w:r w:rsidRPr="0050146A">
        <w:rPr>
          <w:rStyle w:val="af8"/>
          <w:rFonts w:hint="cs"/>
          <w:rtl/>
        </w:rPr>
        <w:t>והרא"ש</w:t>
      </w:r>
      <w:r w:rsidRPr="0050146A">
        <w:rPr>
          <w:rFonts w:hint="cs"/>
          <w:rtl/>
        </w:rPr>
        <w:t xml:space="preserve"> </w:t>
      </w:r>
      <w:r w:rsidRPr="0050146A">
        <w:rPr>
          <w:rStyle w:val="af6"/>
          <w:rFonts w:eastAsia="Guttman Hodes" w:hint="cs"/>
          <w:rtl/>
        </w:rPr>
        <w:t>(סי' כ"ז)</w:t>
      </w:r>
      <w:r w:rsidRPr="0050146A">
        <w:rPr>
          <w:rFonts w:hint="cs"/>
          <w:rtl/>
        </w:rPr>
        <w:t xml:space="preserve"> דספק הגמ' הוא רק בכחל  ולא בשאר איסורים, כיון שגוף הכחל עצמו אינו אסור, לכן שייך לדון אי משערים כנגד כולו או לא, ולמסקנת הגמ' דאף בכחל צריך לשער בכולו, כיון שלא ידוע כמה יצא ממנו.</w:t>
      </w:r>
    </w:p>
    <w:p w:rsidR="00495EC8" w:rsidRPr="0050146A" w:rsidRDefault="00495EC8" w:rsidP="00495EC8">
      <w:pPr>
        <w:pStyle w:val="a2"/>
        <w:rPr>
          <w:rtl/>
        </w:rPr>
      </w:pPr>
      <w:r w:rsidRPr="0050146A">
        <w:rPr>
          <w:rFonts w:hint="cs"/>
          <w:rtl/>
        </w:rPr>
        <w:t>דברי הרמב"ן דא"א לשער באומד כמה יצא מהכחל דמידת חכמים בהשוויה</w:t>
      </w:r>
    </w:p>
    <w:p w:rsidR="00495EC8" w:rsidRPr="0050146A" w:rsidRDefault="00495EC8" w:rsidP="009F44AF">
      <w:pPr>
        <w:pStyle w:val="a"/>
        <w:rPr>
          <w:rtl/>
        </w:rPr>
      </w:pPr>
      <w:r w:rsidRPr="0050146A">
        <w:rPr>
          <w:rFonts w:hint="cs"/>
          <w:rtl/>
        </w:rPr>
        <w:t xml:space="preserve">וביאר </w:t>
      </w:r>
      <w:r w:rsidRPr="0050146A">
        <w:rPr>
          <w:rStyle w:val="af8"/>
          <w:rFonts w:hint="cs"/>
          <w:rtl/>
        </w:rPr>
        <w:t>הרמב"ן</w:t>
      </w:r>
      <w:r w:rsidRPr="0050146A">
        <w:rPr>
          <w:rFonts w:hint="cs"/>
          <w:rtl/>
        </w:rPr>
        <w:t xml:space="preserve"> דא"א לאמוד כמה יצא מהכחל ולשער לפי האומד, דהא מידות חכמים הם ביושר ובהשוויה, שלא לתת תורת כל אחד ואחד בידו.</w:t>
      </w:r>
    </w:p>
    <w:p w:rsidR="00495EC8" w:rsidRPr="0050146A" w:rsidRDefault="00495EC8" w:rsidP="00495EC8">
      <w:pPr>
        <w:pStyle w:val="a2"/>
      </w:pPr>
      <w:bookmarkStart w:id="3560" w:name="_Toc10718825"/>
      <w:bookmarkStart w:id="3561" w:name="_Toc10730062"/>
      <w:bookmarkStart w:id="3562" w:name="_Toc10737394"/>
      <w:r w:rsidRPr="0050146A">
        <w:rPr>
          <w:rFonts w:hint="cs"/>
          <w:rtl/>
        </w:rPr>
        <w:t>ביאור הרא"ה והריטב"א דרק החלב אסור והו"א דמשערים ביוצא וקמ"ל דא"א לשער כל כחל בשוה</w:t>
      </w:r>
      <w:bookmarkEnd w:id="3560"/>
      <w:bookmarkEnd w:id="3561"/>
      <w:bookmarkEnd w:id="3562"/>
      <w:r w:rsidRPr="0050146A">
        <w:rPr>
          <w:rFonts w:hint="cs"/>
          <w:rtl/>
        </w:rPr>
        <w:t xml:space="preserve"> </w:t>
      </w:r>
    </w:p>
    <w:p w:rsidR="00495EC8" w:rsidRPr="0050146A" w:rsidRDefault="00495EC8" w:rsidP="009F44AF">
      <w:pPr>
        <w:pStyle w:val="a"/>
        <w:rPr>
          <w:rtl/>
        </w:rPr>
      </w:pPr>
      <w:r w:rsidRPr="0050146A">
        <w:rPr>
          <w:rFonts w:hint="cs"/>
          <w:rtl/>
        </w:rPr>
        <w:t>וכ"כ</w:t>
      </w:r>
      <w:r w:rsidRPr="0050146A">
        <w:rPr>
          <w:rStyle w:val="af8"/>
          <w:rFonts w:hint="cs"/>
          <w:rtl/>
        </w:rPr>
        <w:t xml:space="preserve"> והרא"ה בחי'</w:t>
      </w:r>
      <w:r w:rsidRPr="0050146A">
        <w:rPr>
          <w:rFonts w:hint="cs"/>
          <w:rtl/>
        </w:rPr>
        <w:t xml:space="preserve"> </w:t>
      </w:r>
      <w:r w:rsidRPr="0050146A">
        <w:rPr>
          <w:rStyle w:val="af6"/>
          <w:rFonts w:eastAsia="Guttman Hodes" w:hint="cs"/>
          <w:rtl/>
        </w:rPr>
        <w:t>(ד"ה אמר רב אשי)</w:t>
      </w:r>
      <w:r w:rsidRPr="0050146A">
        <w:rPr>
          <w:rFonts w:hint="cs"/>
          <w:rtl/>
        </w:rPr>
        <w:t xml:space="preserve"> </w:t>
      </w:r>
      <w:r w:rsidRPr="0050146A">
        <w:rPr>
          <w:rStyle w:val="af8"/>
          <w:rFonts w:hint="cs"/>
          <w:rtl/>
        </w:rPr>
        <w:t>והריטב"א</w:t>
      </w:r>
      <w:r w:rsidRPr="0050146A">
        <w:rPr>
          <w:rFonts w:hint="cs"/>
          <w:rtl/>
        </w:rPr>
        <w:t xml:space="preserve"> </w:t>
      </w:r>
      <w:r w:rsidRPr="0050146A">
        <w:rPr>
          <w:rStyle w:val="af6"/>
          <w:rFonts w:eastAsia="Guttman Hodes" w:hint="cs"/>
          <w:rtl/>
        </w:rPr>
        <w:t xml:space="preserve">(ד"ה אמר רב אשי) </w:t>
      </w:r>
      <w:r w:rsidRPr="0050146A">
        <w:rPr>
          <w:rFonts w:hint="cs"/>
          <w:rtl/>
        </w:rPr>
        <w:t xml:space="preserve">והוסיפו דכיון שרק החלב שבכחל אסור, לכן הו"א שמשערים לקולא באומד יפה כמה חלב יצא ממנו, וביאר </w:t>
      </w:r>
      <w:r w:rsidRPr="0050146A">
        <w:rPr>
          <w:rStyle w:val="af8"/>
          <w:rFonts w:hint="cs"/>
          <w:rtl/>
        </w:rPr>
        <w:t>הריטב"א</w:t>
      </w:r>
      <w:r w:rsidRPr="0050146A">
        <w:rPr>
          <w:rFonts w:hint="cs"/>
          <w:rtl/>
        </w:rPr>
        <w:t xml:space="preserve"> דלמסקנת הגמ' דאף בכחל צריך לשער בכולו, כיון שלא ידוע כמה יצא ממנו, הוא כיון שא"א לשער בשווה בכל כחל, דיש כחל שיש בו הרבה חלב ויש כחל שיש בו מעט כחלב, לכן א"א להתיר בפחות משישים כנגד כולו.</w:t>
      </w:r>
    </w:p>
    <w:p w:rsidR="00495EC8" w:rsidRPr="0050146A" w:rsidRDefault="00495EC8" w:rsidP="00495EC8">
      <w:pPr>
        <w:pStyle w:val="1"/>
        <w:rPr>
          <w:rtl/>
        </w:rPr>
      </w:pPr>
      <w:bookmarkStart w:id="3563" w:name="_Toc10718826"/>
      <w:bookmarkStart w:id="3564" w:name="_Toc10730063"/>
      <w:bookmarkStart w:id="3565" w:name="_Toc10737395"/>
      <w:r w:rsidRPr="0050146A">
        <w:rPr>
          <w:rFonts w:hint="cs"/>
          <w:rtl/>
        </w:rPr>
        <w:t>ביאור הראשונים דבשאר איסורים פשיטא דמשערים בכולו</w:t>
      </w:r>
      <w:bookmarkEnd w:id="3563"/>
      <w:bookmarkEnd w:id="3564"/>
      <w:bookmarkEnd w:id="3565"/>
    </w:p>
    <w:p w:rsidR="00495EC8" w:rsidRPr="0050146A" w:rsidRDefault="00495EC8" w:rsidP="00495EC8">
      <w:pPr>
        <w:pStyle w:val="a2"/>
        <w:rPr>
          <w:rtl/>
        </w:rPr>
      </w:pPr>
      <w:bookmarkStart w:id="3566" w:name="_Toc10718827"/>
      <w:bookmarkStart w:id="3567" w:name="_Toc10730064"/>
      <w:bookmarkStart w:id="3568" w:name="_Toc10737396"/>
      <w:r w:rsidRPr="0050146A">
        <w:rPr>
          <w:rFonts w:hint="cs"/>
          <w:rtl/>
        </w:rPr>
        <w:t xml:space="preserve">דברי הרמב"ן דבשאר איסורים פשיטא דמשערים בכולו </w:t>
      </w:r>
      <w:bookmarkEnd w:id="3566"/>
      <w:bookmarkEnd w:id="3567"/>
      <w:bookmarkEnd w:id="3568"/>
      <w:r w:rsidRPr="0050146A">
        <w:rPr>
          <w:rFonts w:hint="cs"/>
          <w:rtl/>
        </w:rPr>
        <w:t>דא"א לשער כמה יצא מהאיסור</w:t>
      </w:r>
    </w:p>
    <w:p w:rsidR="002D7168" w:rsidRDefault="00495EC8" w:rsidP="009F44AF">
      <w:pPr>
        <w:pStyle w:val="a"/>
        <w:rPr>
          <w:rtl/>
        </w:rPr>
      </w:pPr>
      <w:r w:rsidRPr="0050146A">
        <w:rPr>
          <w:rFonts w:hint="cs"/>
          <w:rtl/>
        </w:rPr>
        <w:t xml:space="preserve">אבל בשאר איסורין כחתיכת נבילה, כתבו </w:t>
      </w:r>
      <w:r w:rsidRPr="0050146A">
        <w:rPr>
          <w:rStyle w:val="af8"/>
          <w:rFonts w:hint="cs"/>
          <w:rtl/>
        </w:rPr>
        <w:t>הרמב"ן</w:t>
      </w:r>
      <w:r w:rsidRPr="0050146A">
        <w:rPr>
          <w:rFonts w:hint="cs"/>
          <w:rtl/>
        </w:rPr>
        <w:t xml:space="preserve"> </w:t>
      </w:r>
      <w:r w:rsidR="00A772E8">
        <w:rPr>
          <w:rStyle w:val="af8"/>
          <w:rFonts w:hint="cs"/>
          <w:rtl/>
        </w:rPr>
        <w:t>ו</w:t>
      </w:r>
      <w:r w:rsidRPr="0050146A">
        <w:rPr>
          <w:rStyle w:val="af8"/>
          <w:rFonts w:hint="cs"/>
          <w:rtl/>
        </w:rPr>
        <w:t>הרשב"א בחי'</w:t>
      </w:r>
      <w:r w:rsidRPr="0050146A">
        <w:rPr>
          <w:rFonts w:hint="cs"/>
          <w:rtl/>
        </w:rPr>
        <w:t xml:space="preserve"> דפשיטא דבדידיה משערינן, דלא יתכן לומר דמשערינן במאי דנפיק מיניה, דהרי א"א לשער כמה יוצא ממנו.</w:t>
      </w:r>
    </w:p>
    <w:p w:rsidR="00495EC8" w:rsidRPr="0050146A" w:rsidRDefault="00495EC8" w:rsidP="00495EC8">
      <w:pPr>
        <w:pStyle w:val="a2"/>
      </w:pPr>
      <w:bookmarkStart w:id="3569" w:name="_Toc10718828"/>
      <w:bookmarkStart w:id="3570" w:name="_Toc10730065"/>
      <w:bookmarkStart w:id="3571" w:name="_Toc10737397"/>
      <w:r w:rsidRPr="0050146A">
        <w:rPr>
          <w:rFonts w:hint="cs"/>
          <w:rtl/>
        </w:rPr>
        <w:t>דברי הרא"ה והריטב"א דבשאר איסורים ודאי דמשערים בכולו דהא גופו איסור</w:t>
      </w:r>
      <w:bookmarkEnd w:id="3569"/>
      <w:bookmarkEnd w:id="3570"/>
      <w:bookmarkEnd w:id="3571"/>
    </w:p>
    <w:p w:rsidR="00495EC8" w:rsidRPr="0050146A" w:rsidRDefault="00495EC8" w:rsidP="009F44AF">
      <w:pPr>
        <w:pStyle w:val="a"/>
        <w:rPr>
          <w:rtl/>
        </w:rPr>
      </w:pPr>
      <w:r w:rsidRPr="0050146A">
        <w:rPr>
          <w:rFonts w:hint="cs"/>
          <w:rtl/>
        </w:rPr>
        <w:t>וכ"כ</w:t>
      </w:r>
      <w:r w:rsidRPr="0050146A">
        <w:rPr>
          <w:rStyle w:val="af8"/>
          <w:rFonts w:hint="cs"/>
          <w:rtl/>
        </w:rPr>
        <w:t xml:space="preserve"> הרא"ה בחי'</w:t>
      </w:r>
      <w:r w:rsidRPr="0050146A">
        <w:rPr>
          <w:rFonts w:hint="cs"/>
          <w:rtl/>
        </w:rPr>
        <w:t xml:space="preserve"> </w:t>
      </w:r>
      <w:r w:rsidRPr="0050146A">
        <w:rPr>
          <w:rStyle w:val="af8"/>
          <w:rFonts w:hint="cs"/>
          <w:rtl/>
        </w:rPr>
        <w:t>והריטב"א</w:t>
      </w:r>
      <w:r w:rsidRPr="0050146A">
        <w:rPr>
          <w:rFonts w:hint="cs"/>
          <w:rtl/>
        </w:rPr>
        <w:t xml:space="preserve"> דבדבר שגופו איסור וכל החתיכה אסורה, כחתיכת נבילה, לא היה כל הו"א שלא משערים כנגד כולו, דהא א"א לעמוד כמה יצא ממנו.</w:t>
      </w:r>
    </w:p>
    <w:p w:rsidR="00495EC8" w:rsidRPr="0050146A" w:rsidRDefault="00495EC8" w:rsidP="00E669F8">
      <w:pPr>
        <w:pStyle w:val="afd"/>
        <w:rPr>
          <w:rtl/>
        </w:rPr>
      </w:pPr>
      <w:bookmarkStart w:id="3572" w:name="_Toc10730066"/>
      <w:bookmarkStart w:id="3573" w:name="_Toc10737398"/>
      <w:bookmarkStart w:id="3574" w:name="_Toc10147730"/>
      <w:bookmarkStart w:id="3575" w:name="_Toc10202020"/>
      <w:bookmarkStart w:id="3576" w:name="_Toc10367984"/>
      <w:bookmarkStart w:id="3577" w:name="_Toc10451094"/>
      <w:r w:rsidRPr="0050146A">
        <w:rPr>
          <w:rFonts w:hint="cs"/>
          <w:rtl/>
        </w:rPr>
        <w:t>בשישים בכלי שבלע איסור בכולו או בבלוע</w:t>
      </w:r>
      <w:bookmarkEnd w:id="3572"/>
      <w:bookmarkEnd w:id="3573"/>
    </w:p>
    <w:p w:rsidR="00495EC8" w:rsidRPr="0050146A" w:rsidRDefault="00495EC8" w:rsidP="00495EC8">
      <w:pPr>
        <w:pStyle w:val="1"/>
        <w:rPr>
          <w:rtl/>
        </w:rPr>
      </w:pPr>
      <w:bookmarkStart w:id="3578" w:name="_Toc10494344"/>
      <w:bookmarkStart w:id="3579" w:name="_Toc10541275"/>
      <w:bookmarkStart w:id="3580" w:name="_Toc10625644"/>
      <w:bookmarkStart w:id="3581" w:name="_Toc10665861"/>
      <w:bookmarkStart w:id="3582" w:name="_Toc10716553"/>
      <w:bookmarkStart w:id="3583" w:name="_Toc10718830"/>
      <w:bookmarkStart w:id="3584" w:name="_Toc10730067"/>
      <w:bookmarkStart w:id="3585" w:name="_Toc10737399"/>
      <w:bookmarkStart w:id="3586" w:name="_Toc10494343"/>
      <w:r w:rsidRPr="0050146A">
        <w:rPr>
          <w:rFonts w:hint="cs"/>
          <w:rtl/>
        </w:rPr>
        <w:t xml:space="preserve">דברי הראב"ד </w:t>
      </w:r>
      <w:bookmarkEnd w:id="3578"/>
      <w:bookmarkEnd w:id="3579"/>
      <w:bookmarkEnd w:id="3580"/>
      <w:bookmarkEnd w:id="3581"/>
      <w:bookmarkEnd w:id="3582"/>
      <w:bookmarkEnd w:id="3583"/>
      <w:r w:rsidRPr="0050146A">
        <w:rPr>
          <w:rFonts w:hint="cs"/>
          <w:rtl/>
        </w:rPr>
        <w:t>דכלי שבלע איסור משערים בבלוע ולא בכל הכלי</w:t>
      </w:r>
      <w:bookmarkEnd w:id="3584"/>
      <w:bookmarkEnd w:id="3585"/>
    </w:p>
    <w:p w:rsidR="00495EC8" w:rsidRPr="0050146A" w:rsidRDefault="00495EC8" w:rsidP="00495EC8">
      <w:pPr>
        <w:pStyle w:val="a2"/>
        <w:rPr>
          <w:rtl/>
        </w:rPr>
      </w:pPr>
      <w:bookmarkStart w:id="3587" w:name="_Toc10718831"/>
      <w:bookmarkStart w:id="3588" w:name="_Toc10730068"/>
      <w:bookmarkStart w:id="3589" w:name="_Toc10737400"/>
      <w:r w:rsidRPr="0050146A">
        <w:rPr>
          <w:rFonts w:hint="cs"/>
          <w:rtl/>
        </w:rPr>
        <w:t>דברי הראב"ד דהמנהג להתיר בכלים שבלעו איסור לשער כנגד הבלוע ולא כנגד כל הכלי</w:t>
      </w:r>
      <w:bookmarkEnd w:id="3587"/>
      <w:bookmarkEnd w:id="3588"/>
      <w:bookmarkEnd w:id="3589"/>
    </w:p>
    <w:p w:rsidR="00495EC8" w:rsidRPr="0050146A" w:rsidRDefault="00495EC8" w:rsidP="009F44AF">
      <w:pPr>
        <w:pStyle w:val="a"/>
        <w:rPr>
          <w:rStyle w:val="afa"/>
          <w:rtl/>
        </w:rPr>
      </w:pPr>
      <w:r w:rsidRPr="0050146A">
        <w:rPr>
          <w:rFonts w:hint="cs"/>
          <w:rtl/>
        </w:rPr>
        <w:t xml:space="preserve">כתב </w:t>
      </w:r>
      <w:r w:rsidRPr="0050146A">
        <w:rPr>
          <w:rStyle w:val="af8"/>
          <w:rFonts w:hint="cs"/>
          <w:rtl/>
        </w:rPr>
        <w:t>הראב"ד בתמים דעים</w:t>
      </w:r>
      <w:r w:rsidRPr="0050146A">
        <w:rPr>
          <w:rFonts w:hint="cs"/>
          <w:rtl/>
        </w:rPr>
        <w:t xml:space="preserve"> </w:t>
      </w:r>
      <w:r w:rsidRPr="0050146A">
        <w:rPr>
          <w:rStyle w:val="af6"/>
          <w:rFonts w:eastAsia="Guttman Hodes" w:hint="cs"/>
          <w:rtl/>
        </w:rPr>
        <w:t>(סו"ס ז', הועתק בקובץ שיטות קמאי חולין ח"ג עמ' ב' אלף רפ"ג)</w:t>
      </w:r>
      <w:r w:rsidRPr="0050146A">
        <w:rPr>
          <w:rFonts w:hint="cs"/>
          <w:rtl/>
        </w:rPr>
        <w:t xml:space="preserve"> לענין חתיכות שנאסרו ע"י שנבלע בהם דם, שיצא מחתיכה שלא נמלחה, דהוא הלכה רופפת, האם משערים בכל החתיכה, או במה שיצא ממנה, ואין ראיה להתיר, אך כתב </w:t>
      </w:r>
      <w:r w:rsidRPr="0050146A">
        <w:rPr>
          <w:rStyle w:val="af8"/>
          <w:rFonts w:hint="cs"/>
          <w:rtl/>
        </w:rPr>
        <w:t>הראב"ד בתמים דעים</w:t>
      </w:r>
      <w:r w:rsidRPr="0050146A">
        <w:rPr>
          <w:rFonts w:hint="cs"/>
          <w:rtl/>
        </w:rPr>
        <w:t xml:space="preserve"> בשם </w:t>
      </w:r>
      <w:r w:rsidRPr="0050146A">
        <w:rPr>
          <w:rStyle w:val="af8"/>
          <w:rFonts w:hint="cs"/>
          <w:rtl/>
        </w:rPr>
        <w:t>רבותיו</w:t>
      </w:r>
      <w:r w:rsidRPr="0050146A">
        <w:rPr>
          <w:rFonts w:hint="cs"/>
          <w:rtl/>
        </w:rPr>
        <w:t xml:space="preserve"> דנוהגים להתיר, והוא מעשים שבכל יום, שמתירים כפות וקערות של חלב, שהכניסום לקדירה של בשר או להיפך, דנוהגים להתירם. [</w:t>
      </w:r>
      <w:r w:rsidRPr="0050146A">
        <w:rPr>
          <w:rStyle w:val="afa"/>
          <w:rFonts w:hint="cs"/>
          <w:rtl/>
        </w:rPr>
        <w:t>כשאין שיעור שישים כנגד כל הכפות והקערות].</w:t>
      </w:r>
    </w:p>
    <w:p w:rsidR="00495EC8" w:rsidRPr="0050146A" w:rsidRDefault="00495EC8" w:rsidP="00495EC8">
      <w:pPr>
        <w:pStyle w:val="a2"/>
        <w:rPr>
          <w:rtl/>
        </w:rPr>
      </w:pPr>
      <w:bookmarkStart w:id="3590" w:name="_Toc10718832"/>
      <w:bookmarkStart w:id="3591" w:name="_Toc10730069"/>
      <w:bookmarkStart w:id="3592" w:name="_Toc10737401"/>
      <w:r w:rsidRPr="0050146A">
        <w:rPr>
          <w:rFonts w:hint="cs"/>
          <w:rtl/>
        </w:rPr>
        <w:t>דברי הראב"ד בשם רבינו יוסף בן פלאתי דדבר שחוזר להתירו אין משערים בגופו</w:t>
      </w:r>
      <w:bookmarkEnd w:id="3590"/>
      <w:bookmarkEnd w:id="3591"/>
      <w:bookmarkEnd w:id="3592"/>
    </w:p>
    <w:p w:rsidR="00495EC8" w:rsidRPr="0050146A" w:rsidRDefault="00495EC8" w:rsidP="009F44AF">
      <w:pPr>
        <w:pStyle w:val="a"/>
        <w:rPr>
          <w:rtl/>
        </w:rPr>
      </w:pPr>
      <w:bookmarkStart w:id="3593" w:name="_Ref15847957"/>
      <w:r w:rsidRPr="0050146A">
        <w:rPr>
          <w:rFonts w:hint="cs"/>
          <w:rtl/>
        </w:rPr>
        <w:t xml:space="preserve">והביא </w:t>
      </w:r>
      <w:r w:rsidRPr="0050146A">
        <w:rPr>
          <w:rStyle w:val="af8"/>
          <w:rFonts w:hint="cs"/>
          <w:rtl/>
        </w:rPr>
        <w:t>הראב"ד בתמים</w:t>
      </w:r>
      <w:r w:rsidRPr="0050146A">
        <w:rPr>
          <w:rFonts w:hint="cs"/>
          <w:rtl/>
        </w:rPr>
        <w:t xml:space="preserve"> </w:t>
      </w:r>
      <w:r w:rsidRPr="0050146A">
        <w:rPr>
          <w:rStyle w:val="af8"/>
          <w:rFonts w:hint="cs"/>
          <w:rtl/>
        </w:rPr>
        <w:t>דעים</w:t>
      </w:r>
      <w:r w:rsidRPr="0050146A">
        <w:rPr>
          <w:rFonts w:hint="cs"/>
          <w:rtl/>
        </w:rPr>
        <w:t xml:space="preserve"> בשם </w:t>
      </w:r>
      <w:r w:rsidRPr="0050146A">
        <w:rPr>
          <w:rStyle w:val="af8"/>
          <w:rFonts w:hint="cs"/>
          <w:rtl/>
        </w:rPr>
        <w:t>רבינו יוסף בן פלאתי</w:t>
      </w:r>
      <w:r w:rsidRPr="0050146A">
        <w:rPr>
          <w:rFonts w:hint="cs"/>
          <w:rtl/>
        </w:rPr>
        <w:t xml:space="preserve"> דביאר דכל דבר שחוזר להיתרו אין משערים בגופו, אלא באיסור שנבלע בו, ולכן אף חתיכה של בשר שיש בה דם, דהחתיכה עצמה חוזרת להיתרה ע"י מליחה, לכן לא משערים כנגד כל החתיכה, אלא רק כנגד הדם שיוצא ממנו, ומשערים באומד יפה כדי שלא לבא לידי ספק, והוסיף </w:t>
      </w:r>
      <w:r w:rsidRPr="0050146A">
        <w:rPr>
          <w:rStyle w:val="af8"/>
          <w:rFonts w:hint="cs"/>
          <w:rtl/>
        </w:rPr>
        <w:t>הראב"ד</w:t>
      </w:r>
      <w:r w:rsidRPr="0050146A">
        <w:rPr>
          <w:rFonts w:hint="cs"/>
          <w:rtl/>
        </w:rPr>
        <w:t xml:space="preserve"> דא"א לשער כנגד כל חתיכה, דהרי האיסור וההיתר לפנינו ורואים שלא נחסרה מידת החתיכה, ועי' במה שביאר </w:t>
      </w:r>
      <w:r w:rsidRPr="0050146A">
        <w:rPr>
          <w:rStyle w:val="af8"/>
          <w:rFonts w:hint="cs"/>
          <w:rtl/>
        </w:rPr>
        <w:t>בחי' רמ"ש</w:t>
      </w:r>
      <w:r w:rsidRPr="0050146A">
        <w:rPr>
          <w:rFonts w:hint="cs"/>
          <w:rtl/>
        </w:rPr>
        <w:t xml:space="preserve"> </w:t>
      </w:r>
      <w:r w:rsidRPr="0050146A">
        <w:rPr>
          <w:rStyle w:val="af6"/>
          <w:rFonts w:eastAsia="Guttman Hodes" w:hint="cs"/>
          <w:rtl/>
        </w:rPr>
        <w:t xml:space="preserve">(ד"ה בדידיה) </w:t>
      </w:r>
      <w:r w:rsidRPr="0050146A">
        <w:rPr>
          <w:rFonts w:hint="cs"/>
          <w:rtl/>
        </w:rPr>
        <w:t xml:space="preserve">בדעת </w:t>
      </w:r>
      <w:r w:rsidRPr="0050146A">
        <w:rPr>
          <w:rStyle w:val="af8"/>
          <w:rFonts w:hint="cs"/>
          <w:rtl/>
        </w:rPr>
        <w:t>הראב"ד</w:t>
      </w:r>
      <w:r w:rsidRPr="0050146A">
        <w:rPr>
          <w:rFonts w:hint="cs"/>
          <w:rtl/>
        </w:rPr>
        <w:t>.</w:t>
      </w:r>
      <w:bookmarkEnd w:id="3593"/>
    </w:p>
    <w:p w:rsidR="00495EC8" w:rsidRPr="0050146A" w:rsidRDefault="00495EC8" w:rsidP="00495EC8">
      <w:pPr>
        <w:pStyle w:val="a2"/>
        <w:rPr>
          <w:rtl/>
        </w:rPr>
      </w:pPr>
      <w:bookmarkStart w:id="3594" w:name="_Toc10718833"/>
      <w:bookmarkStart w:id="3595" w:name="_Toc10730070"/>
      <w:bookmarkStart w:id="3596" w:name="_Toc10737402"/>
      <w:r w:rsidRPr="0050146A">
        <w:rPr>
          <w:rFonts w:hint="cs"/>
          <w:rtl/>
        </w:rPr>
        <w:t>ביאור הרשב"א והמאירי בראב"ד דדבר שחוזר להיתרו א"א להחשיב את כולו כאיסור ולשער כנגדו</w:t>
      </w:r>
      <w:bookmarkEnd w:id="3594"/>
      <w:bookmarkEnd w:id="3595"/>
      <w:bookmarkEnd w:id="3596"/>
    </w:p>
    <w:p w:rsidR="00495EC8" w:rsidRPr="0050146A" w:rsidRDefault="00495EC8" w:rsidP="009F44AF">
      <w:pPr>
        <w:pStyle w:val="a"/>
        <w:rPr>
          <w:rtl/>
        </w:rPr>
      </w:pPr>
      <w:r w:rsidRPr="0050146A">
        <w:rPr>
          <w:rFonts w:hint="cs"/>
          <w:rtl/>
        </w:rPr>
        <w:t>וביארו</w:t>
      </w:r>
      <w:r w:rsidRPr="0050146A">
        <w:rPr>
          <w:rStyle w:val="af8"/>
          <w:rFonts w:hint="cs"/>
          <w:rtl/>
        </w:rPr>
        <w:t xml:space="preserve"> הרשב"א בתוה"ב</w:t>
      </w:r>
      <w:r w:rsidRPr="0050146A">
        <w:rPr>
          <w:rFonts w:hint="cs"/>
          <w:rtl/>
        </w:rPr>
        <w:t xml:space="preserve"> </w:t>
      </w:r>
      <w:r w:rsidRPr="0050146A">
        <w:rPr>
          <w:rStyle w:val="af6"/>
          <w:rFonts w:eastAsia="Guttman Hodes" w:hint="cs"/>
          <w:rtl/>
        </w:rPr>
        <w:t>(ב"ד ש"א א: מדה"ס)</w:t>
      </w:r>
      <w:r w:rsidRPr="0050146A">
        <w:rPr>
          <w:rFonts w:hint="cs"/>
          <w:rtl/>
        </w:rPr>
        <w:t xml:space="preserve"> </w:t>
      </w:r>
      <w:r w:rsidRPr="0050146A">
        <w:rPr>
          <w:rStyle w:val="af8"/>
          <w:rFonts w:hint="cs"/>
          <w:rtl/>
        </w:rPr>
        <w:t>והמאירי</w:t>
      </w:r>
      <w:r w:rsidRPr="0050146A">
        <w:rPr>
          <w:rFonts w:hint="cs"/>
          <w:rtl/>
        </w:rPr>
        <w:t xml:space="preserve"> </w:t>
      </w:r>
      <w:r w:rsidRPr="0050146A">
        <w:rPr>
          <w:rStyle w:val="af6"/>
          <w:rFonts w:eastAsia="Guttman Hodes" w:hint="cs"/>
          <w:rtl/>
        </w:rPr>
        <w:t>(ד"ה כבר ביארנו)</w:t>
      </w:r>
      <w:r w:rsidRPr="0050146A">
        <w:rPr>
          <w:rFonts w:hint="cs"/>
          <w:rtl/>
        </w:rPr>
        <w:t xml:space="preserve"> את דברי </w:t>
      </w:r>
      <w:r w:rsidRPr="0050146A">
        <w:rPr>
          <w:rStyle w:val="af8"/>
          <w:rFonts w:hint="cs"/>
          <w:rtl/>
        </w:rPr>
        <w:t>הראב"ד</w:t>
      </w:r>
      <w:r w:rsidRPr="0050146A">
        <w:rPr>
          <w:rFonts w:hint="cs"/>
          <w:rtl/>
        </w:rPr>
        <w:t>, דא"א לשער כנגד כולו בדבר שחוזר להתירו, דאי משערים כנגד כולו א"כ חשיב כאילו הוא איסור, והרי אחר שמתירים אותו מאיסורו ע"י הגעלה או ע"י מליחת הבשר, מה שנשאר בו הוא מותר לפנינו, והאיך אפש"ל שצריך לשער כנגדו.</w:t>
      </w:r>
    </w:p>
    <w:p w:rsidR="00495EC8" w:rsidRPr="0050146A" w:rsidRDefault="00495EC8" w:rsidP="00495EC8">
      <w:pPr>
        <w:pStyle w:val="a2"/>
        <w:rPr>
          <w:rtl/>
        </w:rPr>
      </w:pPr>
      <w:bookmarkStart w:id="3597" w:name="_Toc10718834"/>
      <w:bookmarkStart w:id="3598" w:name="_Toc10730071"/>
      <w:bookmarkStart w:id="3599" w:name="_Toc10737403"/>
      <w:r w:rsidRPr="0050146A">
        <w:rPr>
          <w:rFonts w:hint="cs"/>
          <w:rtl/>
        </w:rPr>
        <w:t>קושית הרשב"א על הראב"ד דא"כ אף כחל הוא דבר שחוזר להתירו דאפשר לקורעו לפני הבישול</w:t>
      </w:r>
      <w:bookmarkEnd w:id="3597"/>
      <w:bookmarkEnd w:id="3598"/>
      <w:bookmarkEnd w:id="3599"/>
    </w:p>
    <w:p w:rsidR="00495EC8" w:rsidRPr="0050146A" w:rsidRDefault="00495EC8" w:rsidP="009F44AF">
      <w:pPr>
        <w:pStyle w:val="a"/>
        <w:rPr>
          <w:rtl/>
        </w:rPr>
      </w:pPr>
      <w:r w:rsidRPr="0050146A">
        <w:rPr>
          <w:rFonts w:hint="cs"/>
          <w:rtl/>
        </w:rPr>
        <w:t xml:space="preserve">אך הקשה </w:t>
      </w:r>
      <w:r w:rsidRPr="0050146A">
        <w:rPr>
          <w:rStyle w:val="af8"/>
          <w:rFonts w:hint="cs"/>
          <w:rtl/>
        </w:rPr>
        <w:t>הרשב"א בתוה"ב</w:t>
      </w:r>
      <w:r w:rsidRPr="0050146A">
        <w:rPr>
          <w:rFonts w:hint="cs"/>
          <w:rtl/>
        </w:rPr>
        <w:t xml:space="preserve"> על </w:t>
      </w:r>
      <w:r w:rsidRPr="0050146A">
        <w:rPr>
          <w:rStyle w:val="af8"/>
          <w:rFonts w:hint="cs"/>
          <w:rtl/>
        </w:rPr>
        <w:t>הראב"ד</w:t>
      </w:r>
      <w:r w:rsidRPr="0050146A">
        <w:rPr>
          <w:rFonts w:hint="cs"/>
          <w:rtl/>
        </w:rPr>
        <w:t xml:space="preserve"> דא"כ אף בכחל אמאי משערים כנגד כולו, הא נאמר דאף שאין לו היתר אחר שהתבשל בקדירה עם בשר, מ"מ הוא עצמו אינו אוסר, ורק החלב שבו אוסר, ולפני הבישול היה אפשר להתירו ע"י קריעה וטיחה, וא"כ היאך אפש"ל דהכחל כולו הוא איסור ולשער כנגד כולו.</w:t>
      </w:r>
    </w:p>
    <w:p w:rsidR="00495EC8" w:rsidRPr="0050146A" w:rsidRDefault="00495EC8" w:rsidP="00495EC8">
      <w:pPr>
        <w:pStyle w:val="1"/>
        <w:rPr>
          <w:rtl/>
        </w:rPr>
      </w:pPr>
      <w:bookmarkStart w:id="3600" w:name="_Toc10541276"/>
      <w:bookmarkStart w:id="3601" w:name="_Toc10625645"/>
      <w:bookmarkStart w:id="3602" w:name="_Toc10665862"/>
      <w:bookmarkStart w:id="3603" w:name="_Toc10716554"/>
      <w:bookmarkStart w:id="3604" w:name="_Toc10718835"/>
      <w:bookmarkStart w:id="3605" w:name="_Toc10730072"/>
      <w:bookmarkStart w:id="3606" w:name="_Toc10737404"/>
      <w:r w:rsidRPr="0050146A">
        <w:rPr>
          <w:rFonts w:hint="cs"/>
          <w:rtl/>
        </w:rPr>
        <w:t>דברי הרמב"ן</w:t>
      </w:r>
      <w:bookmarkEnd w:id="3586"/>
      <w:bookmarkEnd w:id="3600"/>
      <w:bookmarkEnd w:id="3601"/>
      <w:bookmarkEnd w:id="3602"/>
      <w:bookmarkEnd w:id="3603"/>
      <w:bookmarkEnd w:id="3604"/>
      <w:r w:rsidRPr="0050146A">
        <w:rPr>
          <w:rFonts w:hint="cs"/>
          <w:rtl/>
        </w:rPr>
        <w:t xml:space="preserve"> דכלי שבלע איסור משערים בכל הכלי</w:t>
      </w:r>
      <w:bookmarkEnd w:id="3605"/>
      <w:bookmarkEnd w:id="3606"/>
    </w:p>
    <w:p w:rsidR="00495EC8" w:rsidRPr="0050146A" w:rsidRDefault="00495EC8" w:rsidP="00495EC8">
      <w:pPr>
        <w:pStyle w:val="a2"/>
        <w:rPr>
          <w:rtl/>
        </w:rPr>
      </w:pPr>
      <w:bookmarkStart w:id="3607" w:name="_Toc10718836"/>
      <w:bookmarkStart w:id="3608" w:name="_Toc10730073"/>
      <w:bookmarkStart w:id="3609" w:name="_Toc10737405"/>
      <w:r w:rsidRPr="0050146A">
        <w:rPr>
          <w:rFonts w:hint="cs"/>
          <w:rtl/>
        </w:rPr>
        <w:t>דברי הרמב"ן והרשב"א דלמסקנא דבכחל משערים בכולו ה"ה בכף דמשערים כנגד כולה ולא בבלוע</w:t>
      </w:r>
      <w:bookmarkEnd w:id="3607"/>
      <w:bookmarkEnd w:id="3608"/>
      <w:bookmarkEnd w:id="3609"/>
    </w:p>
    <w:p w:rsidR="00495EC8" w:rsidRPr="0050146A" w:rsidRDefault="00495EC8" w:rsidP="009F44AF">
      <w:pPr>
        <w:pStyle w:val="a"/>
        <w:rPr>
          <w:rtl/>
        </w:rPr>
      </w:pPr>
      <w:bookmarkStart w:id="3610" w:name="_Ref10490639"/>
      <w:r w:rsidRPr="0050146A">
        <w:rPr>
          <w:rFonts w:hint="cs"/>
          <w:rtl/>
        </w:rPr>
        <w:t xml:space="preserve">אבל </w:t>
      </w:r>
      <w:r w:rsidRPr="0050146A">
        <w:rPr>
          <w:rStyle w:val="af8"/>
          <w:rFonts w:hint="cs"/>
          <w:rtl/>
        </w:rPr>
        <w:t>הרמב"ן</w:t>
      </w:r>
      <w:r w:rsidRPr="0050146A">
        <w:rPr>
          <w:rFonts w:hint="cs"/>
          <w:rtl/>
        </w:rPr>
        <w:t xml:space="preserve"> </w:t>
      </w:r>
      <w:r w:rsidRPr="0050146A">
        <w:rPr>
          <w:rStyle w:val="af6"/>
          <w:rFonts w:eastAsia="Guttman Hodes" w:hint="cs"/>
          <w:rtl/>
        </w:rPr>
        <w:t>(ד"ה בדידיה)</w:t>
      </w:r>
      <w:r w:rsidRPr="0050146A">
        <w:rPr>
          <w:rFonts w:hint="cs"/>
          <w:rtl/>
        </w:rPr>
        <w:t xml:space="preserve"> כתב דכיון דפשטה הגמ' דבדידיה משערינן, וא"א לשער במה שיצא ממנו, דלא ידוע כמה יצא ממנו, א"כ מבואר דכף </w:t>
      </w:r>
      <w:r w:rsidRPr="0050146A">
        <w:rPr>
          <w:rStyle w:val="afa"/>
          <w:rFonts w:hint="cs"/>
          <w:rtl/>
        </w:rPr>
        <w:t>[של בשר]</w:t>
      </w:r>
      <w:r w:rsidRPr="0050146A">
        <w:rPr>
          <w:rFonts w:hint="cs"/>
          <w:rtl/>
        </w:rPr>
        <w:t xml:space="preserve"> שניער בה קדירה של חלב, או קדירה שבישל בה חלב ואח"כ בישל בה בשר, משערים בכל השיעור של הכף והקדירה, דהא א"א לשער בבליעות שיצאו מהם, דלא ידוע כמה יצא מהם, וכתבו </w:t>
      </w:r>
      <w:r w:rsidRPr="0050146A">
        <w:rPr>
          <w:rStyle w:val="af8"/>
          <w:rFonts w:hint="cs"/>
          <w:rtl/>
        </w:rPr>
        <w:t xml:space="preserve">הרמב"ן והרשב"א בחי' </w:t>
      </w:r>
      <w:r w:rsidRPr="0050146A">
        <w:rPr>
          <w:rStyle w:val="af6"/>
          <w:rFonts w:eastAsia="Guttman Hodes" w:hint="cs"/>
          <w:rtl/>
        </w:rPr>
        <w:t>(ד"ה הא)</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6"/>
          <w:rFonts w:eastAsia="Guttman Hodes" w:hint="cs"/>
          <w:rtl/>
        </w:rPr>
        <w:t>(ב"ד ש"א א: מדה"ס)</w:t>
      </w:r>
      <w:r w:rsidRPr="0050146A">
        <w:rPr>
          <w:rFonts w:hint="cs"/>
          <w:rtl/>
        </w:rPr>
        <w:t xml:space="preserve"> דכן דעת </w:t>
      </w:r>
      <w:r w:rsidRPr="0050146A">
        <w:rPr>
          <w:rStyle w:val="af8"/>
          <w:rFonts w:hint="cs"/>
          <w:rtl/>
        </w:rPr>
        <w:t>התוס'</w:t>
      </w:r>
      <w:r w:rsidRPr="0050146A">
        <w:rPr>
          <w:rFonts w:hint="cs"/>
          <w:rtl/>
        </w:rPr>
        <w:t>.</w:t>
      </w:r>
      <w:bookmarkEnd w:id="3610"/>
    </w:p>
    <w:p w:rsidR="00495EC8" w:rsidRPr="0050146A" w:rsidRDefault="00495EC8" w:rsidP="00495EC8">
      <w:pPr>
        <w:pStyle w:val="a2"/>
        <w:rPr>
          <w:rtl/>
        </w:rPr>
      </w:pPr>
      <w:bookmarkStart w:id="3611" w:name="_Toc10718837"/>
      <w:bookmarkStart w:id="3612" w:name="_Toc10730074"/>
      <w:bookmarkStart w:id="3613" w:name="_Toc10737406"/>
      <w:r w:rsidRPr="0050146A">
        <w:rPr>
          <w:rFonts w:hint="cs"/>
          <w:rtl/>
        </w:rPr>
        <w:t>דברי הרמב"ן בשם הראב"ד דדבר שאינו חוזר להיתרו [כקדירת חרס וכחל] נעשה כחתיכת איסור</w:t>
      </w:r>
      <w:bookmarkEnd w:id="3611"/>
      <w:bookmarkEnd w:id="3612"/>
      <w:bookmarkEnd w:id="3613"/>
    </w:p>
    <w:p w:rsidR="00495EC8" w:rsidRPr="0050146A" w:rsidRDefault="00495EC8" w:rsidP="009F44AF">
      <w:pPr>
        <w:pStyle w:val="a"/>
        <w:rPr>
          <w:rtl/>
        </w:rPr>
      </w:pPr>
      <w:r w:rsidRPr="0050146A">
        <w:rPr>
          <w:rFonts w:hint="cs"/>
          <w:rtl/>
        </w:rPr>
        <w:lastRenderedPageBreak/>
        <w:t xml:space="preserve">והביאו </w:t>
      </w:r>
      <w:r w:rsidRPr="0050146A">
        <w:rPr>
          <w:rStyle w:val="af8"/>
          <w:rFonts w:hint="cs"/>
          <w:rtl/>
        </w:rPr>
        <w:t>הרמב"ן והרשב"א בחי'</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8"/>
          <w:rFonts w:hint="cs"/>
          <w:rtl/>
        </w:rPr>
        <w:t>והר"ן על הרי"ף</w:t>
      </w:r>
      <w:r w:rsidRPr="0050146A">
        <w:rPr>
          <w:rFonts w:hint="cs"/>
          <w:rtl/>
        </w:rPr>
        <w:t xml:space="preserve"> </w:t>
      </w:r>
      <w:r w:rsidRPr="0050146A">
        <w:rPr>
          <w:rStyle w:val="af6"/>
          <w:rFonts w:eastAsia="Guttman Hodes" w:hint="cs"/>
          <w:rtl/>
        </w:rPr>
        <w:t>(לה. מדפי הרי"ף ד"ה וכחל)</w:t>
      </w:r>
      <w:r w:rsidRPr="0050146A">
        <w:rPr>
          <w:rFonts w:hint="cs"/>
          <w:rtl/>
        </w:rPr>
        <w:t xml:space="preserve"> את דברי </w:t>
      </w:r>
      <w:r w:rsidRPr="0050146A">
        <w:rPr>
          <w:rStyle w:val="af8"/>
          <w:rFonts w:hint="cs"/>
          <w:rtl/>
        </w:rPr>
        <w:t>הראב"ד</w:t>
      </w:r>
      <w:r w:rsidRPr="0050146A">
        <w:rPr>
          <w:rFonts w:hint="cs"/>
          <w:rtl/>
        </w:rPr>
        <w:t xml:space="preserve"> </w:t>
      </w:r>
      <w:r w:rsidRPr="00920A80">
        <w:rPr>
          <w:rStyle w:val="af6"/>
          <w:rFonts w:eastAsia="Guttman Hodes" w:hint="cs"/>
          <w:rtl/>
        </w:rPr>
        <w:t xml:space="preserve">(עי' אות </w:t>
      </w:r>
      <w:r w:rsidR="00920A80" w:rsidRPr="00920A80">
        <w:rPr>
          <w:rStyle w:val="af6"/>
          <w:rFonts w:eastAsia="Guttman Hodes"/>
          <w:rtl/>
        </w:rPr>
        <w:fldChar w:fldCharType="begin"/>
      </w:r>
      <w:r w:rsidR="00920A80" w:rsidRPr="00920A80">
        <w:rPr>
          <w:rStyle w:val="af6"/>
          <w:rFonts w:eastAsia="Guttman Hodes"/>
          <w:rtl/>
        </w:rPr>
        <w:instrText xml:space="preserve"> </w:instrText>
      </w:r>
      <w:r w:rsidR="00920A80" w:rsidRPr="00920A80">
        <w:rPr>
          <w:rStyle w:val="af6"/>
          <w:rFonts w:eastAsia="Guttman Hodes" w:hint="cs"/>
        </w:rPr>
        <w:instrText>REF</w:instrText>
      </w:r>
      <w:r w:rsidR="00920A80" w:rsidRPr="00920A80">
        <w:rPr>
          <w:rStyle w:val="af6"/>
          <w:rFonts w:eastAsia="Guttman Hodes" w:hint="cs"/>
          <w:rtl/>
        </w:rPr>
        <w:instrText xml:space="preserve"> _</w:instrText>
      </w:r>
      <w:r w:rsidR="00920A80" w:rsidRPr="00920A80">
        <w:rPr>
          <w:rStyle w:val="af6"/>
          <w:rFonts w:eastAsia="Guttman Hodes" w:hint="cs"/>
        </w:rPr>
        <w:instrText>Ref15847957 \r \h</w:instrText>
      </w:r>
      <w:r w:rsidR="00920A80" w:rsidRPr="00920A80">
        <w:rPr>
          <w:rStyle w:val="af6"/>
          <w:rFonts w:eastAsia="Guttman Hodes"/>
          <w:rtl/>
        </w:rPr>
        <w:instrText xml:space="preserve"> </w:instrText>
      </w:r>
      <w:r w:rsidR="00920A80" w:rsidRPr="00920A80">
        <w:rPr>
          <w:rStyle w:val="af6"/>
          <w:rFonts w:eastAsia="Guttman Hodes"/>
          <w:rtl/>
        </w:rPr>
      </w:r>
      <w:r w:rsidR="00920A80" w:rsidRPr="00920A80">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00920A80" w:rsidRPr="00920A80">
        <w:rPr>
          <w:rStyle w:val="af6"/>
          <w:rFonts w:eastAsia="Guttman Hodes"/>
          <w:rtl/>
        </w:rPr>
        <w:fldChar w:fldCharType="end"/>
      </w:r>
      <w:r w:rsidRPr="0050146A">
        <w:rPr>
          <w:rFonts w:hint="cs"/>
          <w:rtl/>
        </w:rPr>
        <w:t xml:space="preserve"> דכתב בשם </w:t>
      </w:r>
      <w:r w:rsidRPr="0050146A">
        <w:rPr>
          <w:rStyle w:val="af8"/>
          <w:rFonts w:hint="cs"/>
          <w:rtl/>
        </w:rPr>
        <w:t>רבינו יוסף בן פלאט</w:t>
      </w:r>
      <w:r w:rsidRPr="0050146A">
        <w:rPr>
          <w:rFonts w:hint="cs"/>
          <w:rtl/>
        </w:rPr>
        <w:t xml:space="preserve"> דדוקא בדבר שאינו חוזר להיתרו לעולם כגון קדירה </w:t>
      </w:r>
      <w:r w:rsidRPr="0050146A">
        <w:rPr>
          <w:rStyle w:val="afa"/>
          <w:rFonts w:hint="cs"/>
          <w:rtl/>
        </w:rPr>
        <w:t>[של חרס]</w:t>
      </w:r>
      <w:r w:rsidRPr="0050146A">
        <w:rPr>
          <w:rFonts w:hint="cs"/>
          <w:rtl/>
        </w:rPr>
        <w:t xml:space="preserve">, דכיון שהקדירה עצמה נעשית כחתיכה דאיסורא, לכן משערים כנגד כולה, וכתבו </w:t>
      </w:r>
      <w:r w:rsidRPr="0050146A">
        <w:rPr>
          <w:rStyle w:val="af8"/>
          <w:rFonts w:hint="cs"/>
          <w:rtl/>
        </w:rPr>
        <w:t>הרשב"א והר"ן</w:t>
      </w:r>
      <w:r w:rsidRPr="0050146A">
        <w:rPr>
          <w:rFonts w:hint="cs"/>
          <w:rtl/>
        </w:rPr>
        <w:t xml:space="preserve"> דכן בכחל שאינו חוזר להתירו הראשון, דהא הכחל עצמו אסור.</w:t>
      </w:r>
    </w:p>
    <w:p w:rsidR="00495EC8" w:rsidRPr="0050146A" w:rsidRDefault="00495EC8" w:rsidP="00495EC8">
      <w:pPr>
        <w:pStyle w:val="a2"/>
      </w:pPr>
      <w:bookmarkStart w:id="3614" w:name="_Toc10718838"/>
      <w:bookmarkStart w:id="3615" w:name="_Toc10730075"/>
      <w:bookmarkStart w:id="3616" w:name="_Toc10737407"/>
      <w:r w:rsidRPr="0050146A">
        <w:rPr>
          <w:rFonts w:hint="cs"/>
          <w:rtl/>
        </w:rPr>
        <w:t>דברי הרמב"ן בשם הראב"ד דבחוזר להתירו ככף שאפשר להגעילה משערים ביוצא באומד יפה</w:t>
      </w:r>
      <w:bookmarkEnd w:id="3614"/>
      <w:bookmarkEnd w:id="3615"/>
      <w:bookmarkEnd w:id="3616"/>
    </w:p>
    <w:p w:rsidR="00495EC8" w:rsidRPr="0050146A" w:rsidRDefault="00495EC8" w:rsidP="009F44AF">
      <w:pPr>
        <w:pStyle w:val="a"/>
      </w:pPr>
      <w:r w:rsidRPr="0050146A">
        <w:rPr>
          <w:rFonts w:hint="cs"/>
          <w:rtl/>
        </w:rPr>
        <w:t xml:space="preserve">אבל בדבר שחוזר להתירו כגון כף חולבת שהכניסוה לקדירה של בשר או להיפך, כתבו  </w:t>
      </w:r>
      <w:r w:rsidRPr="0050146A">
        <w:rPr>
          <w:rStyle w:val="af8"/>
          <w:rFonts w:hint="cs"/>
          <w:rtl/>
        </w:rPr>
        <w:t>הרמב"ן והרשב"א בחי'</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8"/>
          <w:rFonts w:hint="cs"/>
          <w:rtl/>
        </w:rPr>
        <w:t>והר"ן על הרי"ף</w:t>
      </w:r>
      <w:r w:rsidRPr="0050146A">
        <w:rPr>
          <w:rFonts w:hint="cs"/>
          <w:rtl/>
        </w:rPr>
        <w:t xml:space="preserve"> בשם </w:t>
      </w:r>
      <w:r w:rsidRPr="0050146A">
        <w:rPr>
          <w:rStyle w:val="af8"/>
          <w:rFonts w:hint="cs"/>
          <w:rtl/>
        </w:rPr>
        <w:t>הראב"ד</w:t>
      </w:r>
      <w:r w:rsidRPr="0050146A">
        <w:rPr>
          <w:rFonts w:hint="cs"/>
          <w:rtl/>
        </w:rPr>
        <w:t xml:space="preserve"> דכיון שהכף חוזרת להיתרה ע"י הגעלה, וכן בשר בשעת מליחתו דאוסר ע"י הדם שיוצא ממנו, אך הוא חוזר להתירו ע"י מליחה, אין משערים בכל הקערה, ובכל החתיכה אלא במה שיוצא מהם ואף שלא ידוע כמה יצא מהם, משערינן באומד יפה ובעין יפה.</w:t>
      </w:r>
    </w:p>
    <w:p w:rsidR="00495EC8" w:rsidRPr="0050146A" w:rsidRDefault="00495EC8" w:rsidP="00495EC8">
      <w:pPr>
        <w:pStyle w:val="a2"/>
        <w:rPr>
          <w:rtl/>
        </w:rPr>
      </w:pPr>
      <w:bookmarkStart w:id="3617" w:name="_Toc10718839"/>
      <w:bookmarkStart w:id="3618" w:name="_Toc10730076"/>
      <w:bookmarkStart w:id="3619" w:name="_Toc10737408"/>
      <w:r w:rsidRPr="0050146A">
        <w:rPr>
          <w:rFonts w:hint="cs"/>
          <w:rtl/>
        </w:rPr>
        <w:t>דברי הרמב"ן דאף דמסתבר כהראב"ד מ"מ מבואר במסקנת הגמ' דא"א לשער ביוצא</w:t>
      </w:r>
      <w:bookmarkEnd w:id="3617"/>
      <w:bookmarkEnd w:id="3618"/>
      <w:bookmarkEnd w:id="3619"/>
    </w:p>
    <w:p w:rsidR="00495EC8" w:rsidRPr="0050146A" w:rsidRDefault="00495EC8" w:rsidP="009F44AF">
      <w:pPr>
        <w:pStyle w:val="a"/>
        <w:rPr>
          <w:rtl/>
        </w:rPr>
      </w:pPr>
      <w:r w:rsidRPr="0050146A">
        <w:rPr>
          <w:rFonts w:hint="cs"/>
          <w:rtl/>
        </w:rPr>
        <w:t xml:space="preserve">וכתב </w:t>
      </w:r>
      <w:r w:rsidRPr="0050146A">
        <w:rPr>
          <w:rStyle w:val="af8"/>
          <w:rFonts w:hint="cs"/>
          <w:rtl/>
        </w:rPr>
        <w:t>הרמב"ן</w:t>
      </w:r>
      <w:r w:rsidRPr="0050146A">
        <w:rPr>
          <w:rFonts w:hint="cs"/>
          <w:rtl/>
        </w:rPr>
        <w:t xml:space="preserve"> דאף דמסתבר לומר כדברי </w:t>
      </w:r>
      <w:r w:rsidRPr="0050146A">
        <w:rPr>
          <w:rStyle w:val="af8"/>
          <w:rFonts w:hint="cs"/>
          <w:rtl/>
        </w:rPr>
        <w:t>הראב"ד</w:t>
      </w:r>
      <w:r w:rsidRPr="0050146A">
        <w:rPr>
          <w:rFonts w:hint="cs"/>
          <w:rtl/>
        </w:rPr>
        <w:t xml:space="preserve"> דהוא דומה לדין אפשר לסוחטו מותר, מ"מ כתבו </w:t>
      </w:r>
      <w:r w:rsidRPr="0050146A">
        <w:rPr>
          <w:rStyle w:val="af8"/>
          <w:rFonts w:hint="cs"/>
          <w:rtl/>
        </w:rPr>
        <w:t>הרמב"ן והרשב"א והר"ן על הרי"ף</w:t>
      </w:r>
      <w:r w:rsidRPr="0050146A">
        <w:rPr>
          <w:rFonts w:hint="cs"/>
          <w:rtl/>
        </w:rPr>
        <w:t xml:space="preserve"> דכיון דמסקנת הגמ' דא"א לשער במה שיוצא ממנו, כיון שלא ידוע כמה הוא הבלוע, וכמה נתערב בו טעם אחר, לכן אין חילוק בין איסור שאינו חוזר להתירו, לאיסור שחוזר להיתרו, ובכולם משערים כנגד כולו, והוסיף </w:t>
      </w:r>
      <w:r w:rsidRPr="0050146A">
        <w:rPr>
          <w:rStyle w:val="af8"/>
          <w:rFonts w:hint="cs"/>
          <w:rtl/>
        </w:rPr>
        <w:t>הרשב"א בתוה"ב</w:t>
      </w:r>
      <w:r w:rsidRPr="0050146A">
        <w:rPr>
          <w:rFonts w:hint="cs"/>
          <w:rtl/>
        </w:rPr>
        <w:t xml:space="preserve"> </w:t>
      </w:r>
      <w:r w:rsidRPr="0050146A">
        <w:rPr>
          <w:rStyle w:val="af6"/>
          <w:rFonts w:eastAsia="Guttman Hodes" w:hint="cs"/>
          <w:rtl/>
        </w:rPr>
        <w:t>(ב"ד ש"א א: מדה"ס)</w:t>
      </w:r>
      <w:r w:rsidRPr="0050146A">
        <w:rPr>
          <w:rFonts w:hint="cs"/>
          <w:rtl/>
        </w:rPr>
        <w:t xml:space="preserve"> דממסקנת הגמ' בכחל, מבואר דאף שהוא איסור דרבנן משערים כנגד כולו, וה"ה בכל האיסורים.</w:t>
      </w:r>
    </w:p>
    <w:p w:rsidR="00495EC8" w:rsidRPr="0050146A" w:rsidRDefault="00495EC8" w:rsidP="00495EC8">
      <w:pPr>
        <w:pStyle w:val="a2"/>
        <w:rPr>
          <w:rtl/>
        </w:rPr>
      </w:pPr>
      <w:bookmarkStart w:id="3620" w:name="_Toc10718840"/>
      <w:bookmarkStart w:id="3621" w:name="_Toc10730077"/>
      <w:bookmarkStart w:id="3622" w:name="_Toc10737409"/>
      <w:r w:rsidRPr="0050146A">
        <w:rPr>
          <w:rFonts w:hint="cs"/>
          <w:rtl/>
        </w:rPr>
        <w:t>דברי הרא"ה דכיון דבכחל שגופו היתר משערים בכולו ה"ה בכל האיסורים דמשערים בכולו</w:t>
      </w:r>
      <w:bookmarkEnd w:id="3620"/>
      <w:bookmarkEnd w:id="3621"/>
      <w:bookmarkEnd w:id="3622"/>
    </w:p>
    <w:p w:rsidR="00495EC8" w:rsidRPr="0050146A" w:rsidRDefault="00495EC8" w:rsidP="009F44AF">
      <w:pPr>
        <w:pStyle w:val="a"/>
        <w:rPr>
          <w:rStyle w:val="afa"/>
          <w:rtl/>
        </w:rPr>
      </w:pPr>
      <w:r w:rsidRPr="0050146A">
        <w:rPr>
          <w:rFonts w:hint="cs"/>
          <w:rtl/>
        </w:rPr>
        <w:t xml:space="preserve">וכ"כ </w:t>
      </w:r>
      <w:r w:rsidRPr="0050146A">
        <w:rPr>
          <w:rStyle w:val="af8"/>
          <w:rFonts w:hint="cs"/>
          <w:rtl/>
        </w:rPr>
        <w:t>הרא"ה בחי'</w:t>
      </w:r>
      <w:r w:rsidRPr="0050146A">
        <w:rPr>
          <w:rFonts w:hint="cs"/>
          <w:rtl/>
        </w:rPr>
        <w:t xml:space="preserve"> </w:t>
      </w:r>
      <w:r w:rsidRPr="0050146A">
        <w:rPr>
          <w:rStyle w:val="af6"/>
          <w:rFonts w:eastAsia="Guttman Hodes" w:hint="cs"/>
          <w:rtl/>
        </w:rPr>
        <w:t>(ד"ה אמר רב אשי)</w:t>
      </w:r>
      <w:r w:rsidRPr="0050146A">
        <w:rPr>
          <w:rFonts w:hint="cs"/>
          <w:rtl/>
        </w:rPr>
        <w:t xml:space="preserve"> דכיון דאפילו בכחל שגופו היתר אמרינן בגמ' דפשיטא דמשערינן בכולו, דא"א לשער במה שיוצא ממנו דלא ידוע כמה יצא ממנו, א"כ מבואר אף בחתיכת היתר שנבלע בה איסור, וחזרה ונפלה לתוך היתר, דמשערינן כנגד כל החתיכה, ולא רק כנגד האיסור הבלוע בה, וכתב </w:t>
      </w:r>
      <w:r w:rsidRPr="0050146A">
        <w:rPr>
          <w:rStyle w:val="af8"/>
          <w:rFonts w:hint="cs"/>
          <w:rtl/>
        </w:rPr>
        <w:t>הרא"ה בחי'</w:t>
      </w:r>
      <w:r w:rsidRPr="0050146A">
        <w:rPr>
          <w:rFonts w:hint="cs"/>
          <w:rtl/>
        </w:rPr>
        <w:t xml:space="preserve"> דא"כ אם בישל היתר בקדירת איסור, או ניער את הקדירה בכף של איסור, צריך שישים כנגד כל הקדירה האסורה, או הכף האסורה. </w:t>
      </w:r>
    </w:p>
    <w:p w:rsidR="00495EC8" w:rsidRPr="0050146A" w:rsidRDefault="00495EC8" w:rsidP="00495EC8">
      <w:pPr>
        <w:pStyle w:val="a2"/>
        <w:rPr>
          <w:rtl/>
        </w:rPr>
      </w:pPr>
      <w:bookmarkStart w:id="3623" w:name="_Toc10718841"/>
      <w:bookmarkStart w:id="3624" w:name="_Toc10730078"/>
      <w:bookmarkStart w:id="3625" w:name="_Toc10737410"/>
      <w:r w:rsidRPr="0050146A">
        <w:rPr>
          <w:rFonts w:hint="cs"/>
          <w:rtl/>
        </w:rPr>
        <w:t>דברי הרמב"ן דבמקום שכל האיסור הוא פחות מהכלי שנבלע בו דמשערים בבלוע</w:t>
      </w:r>
      <w:bookmarkEnd w:id="3623"/>
      <w:bookmarkEnd w:id="3624"/>
      <w:bookmarkEnd w:id="3625"/>
    </w:p>
    <w:p w:rsidR="00495EC8" w:rsidRPr="0050146A" w:rsidRDefault="00495EC8" w:rsidP="009F44AF">
      <w:pPr>
        <w:pStyle w:val="a"/>
        <w:rPr>
          <w:rtl/>
        </w:rPr>
      </w:pPr>
      <w:r w:rsidRPr="0050146A">
        <w:rPr>
          <w:rFonts w:hint="cs"/>
          <w:rtl/>
        </w:rPr>
        <w:t xml:space="preserve">אך כתבו </w:t>
      </w:r>
      <w:r w:rsidRPr="0050146A">
        <w:rPr>
          <w:rStyle w:val="af8"/>
          <w:rFonts w:hint="cs"/>
          <w:rtl/>
        </w:rPr>
        <w:t>הרמב"ן והרשב"א בחי'</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8"/>
          <w:rFonts w:hint="cs"/>
          <w:rtl/>
        </w:rPr>
        <w:t>והרא"ה בחי'</w:t>
      </w:r>
      <w:r w:rsidRPr="0050146A">
        <w:rPr>
          <w:rFonts w:hint="cs"/>
          <w:rtl/>
        </w:rPr>
        <w:t xml:space="preserve"> </w:t>
      </w:r>
      <w:r w:rsidRPr="0050146A">
        <w:rPr>
          <w:rStyle w:val="af8"/>
          <w:rFonts w:hint="cs"/>
          <w:rtl/>
        </w:rPr>
        <w:t>והר"ן על הרי"ף</w:t>
      </w:r>
      <w:r w:rsidRPr="0050146A">
        <w:rPr>
          <w:rFonts w:hint="cs"/>
          <w:rtl/>
        </w:rPr>
        <w:t xml:space="preserve"> דאפש"ל דאם ניער את הכף בתוך מעט חלב, ואח"כ ניער את הכף בתוך בשר, דמשערים בשיעור של מעט החלב, ולא משערים כנגד כל הכף, כיון שידוע כמה שיעורו של החלב, ולא יתכן לאסור יותר משיעור החלב, וכן כשנפלה טיפת חלב רותחת על הכף, דמשערים בטיפת החלב ולא בכל הכף, כיון שידוע ששיעור החלב הוא רק טיפה. </w:t>
      </w:r>
    </w:p>
    <w:p w:rsidR="00495EC8" w:rsidRPr="0050146A" w:rsidRDefault="00495EC8" w:rsidP="00495EC8">
      <w:pPr>
        <w:pStyle w:val="a2"/>
        <w:rPr>
          <w:rtl/>
        </w:rPr>
      </w:pPr>
      <w:bookmarkStart w:id="3626" w:name="_Toc10718842"/>
      <w:bookmarkStart w:id="3627" w:name="_Toc10730079"/>
      <w:bookmarkStart w:id="3628" w:name="_Toc10737411"/>
      <w:r w:rsidRPr="0050146A">
        <w:rPr>
          <w:rFonts w:hint="cs"/>
          <w:rtl/>
        </w:rPr>
        <w:t>דברי הרמב"ן דבקדירה ישנה לעולם משערים בכולה דהא לא ידוע כמה בליעות יש בה</w:t>
      </w:r>
      <w:bookmarkEnd w:id="3626"/>
      <w:bookmarkEnd w:id="3627"/>
      <w:bookmarkEnd w:id="3628"/>
    </w:p>
    <w:p w:rsidR="00495EC8" w:rsidRPr="0050146A" w:rsidRDefault="00495EC8" w:rsidP="009F44AF">
      <w:pPr>
        <w:pStyle w:val="a"/>
        <w:rPr>
          <w:rtl/>
        </w:rPr>
      </w:pPr>
      <w:r w:rsidRPr="0050146A">
        <w:rPr>
          <w:rFonts w:hint="cs"/>
          <w:rtl/>
        </w:rPr>
        <w:t xml:space="preserve">והוסיפו </w:t>
      </w:r>
      <w:r w:rsidRPr="0050146A">
        <w:rPr>
          <w:rStyle w:val="af8"/>
          <w:rFonts w:hint="cs"/>
          <w:rtl/>
        </w:rPr>
        <w:t>הרמב"ן והרשב"א בחי'</w:t>
      </w:r>
      <w:r w:rsidRPr="0050146A">
        <w:rPr>
          <w:rFonts w:hint="cs"/>
          <w:rtl/>
        </w:rPr>
        <w:t xml:space="preserve"> </w:t>
      </w:r>
      <w:r w:rsidRPr="0050146A">
        <w:rPr>
          <w:rStyle w:val="af8"/>
          <w:rFonts w:hint="cs"/>
          <w:rtl/>
        </w:rPr>
        <w:t>ובתוה"ב</w:t>
      </w:r>
      <w:r w:rsidRPr="0050146A">
        <w:rPr>
          <w:rFonts w:hint="cs"/>
          <w:rtl/>
        </w:rPr>
        <w:t xml:space="preserve"> </w:t>
      </w:r>
      <w:r w:rsidRPr="0050146A">
        <w:rPr>
          <w:rStyle w:val="af8"/>
          <w:rFonts w:hint="cs"/>
          <w:rtl/>
        </w:rPr>
        <w:t>והר"ן על הרי"ף</w:t>
      </w:r>
      <w:r w:rsidRPr="0050146A">
        <w:rPr>
          <w:rFonts w:hint="cs"/>
          <w:rtl/>
        </w:rPr>
        <w:t xml:space="preserve"> דזהו דוקא בכף חדשה, או בקדירה חדשה, וכן בכף ישנה שאינה בת יומא, אבל בכף ישנה שהיא בת יומא לא משערים רק כנגד טיפת החלב, דכיון שהטיפה נתנה טעם בכף, ממילא הבליעות של הבשר שהיו בכף נעשו נבילה, והם אוסרים אח"כ, וכיון שלא ידוע כמה בליעות של בשר יש בכף לכן משערים כנגד כולה.</w:t>
      </w:r>
    </w:p>
    <w:p w:rsidR="00495EC8" w:rsidRPr="0050146A" w:rsidRDefault="00495EC8" w:rsidP="00495EC8">
      <w:pPr>
        <w:pStyle w:val="a2"/>
        <w:rPr>
          <w:rtl/>
        </w:rPr>
      </w:pPr>
      <w:bookmarkStart w:id="3629" w:name="_Toc10718843"/>
      <w:bookmarkStart w:id="3630" w:name="_Toc10730080"/>
      <w:bookmarkStart w:id="3631" w:name="_Toc10737412"/>
      <w:r w:rsidRPr="0050146A">
        <w:rPr>
          <w:rFonts w:hint="cs"/>
          <w:rtl/>
        </w:rPr>
        <w:t>מסקנת הרמב"ן דאף בקדירה ישנה לא אמרינן דיש לבלוע דין חנ"נ וסגי לשער באיסור הידוע</w:t>
      </w:r>
      <w:bookmarkEnd w:id="3629"/>
      <w:bookmarkEnd w:id="3630"/>
      <w:bookmarkEnd w:id="3631"/>
    </w:p>
    <w:p w:rsidR="00495EC8" w:rsidRPr="0050146A" w:rsidRDefault="00495EC8" w:rsidP="009F44AF">
      <w:pPr>
        <w:pStyle w:val="a"/>
        <w:rPr>
          <w:rtl/>
        </w:rPr>
      </w:pPr>
      <w:r w:rsidRPr="0050146A">
        <w:rPr>
          <w:rFonts w:hint="cs"/>
          <w:rtl/>
        </w:rPr>
        <w:t xml:space="preserve">אך כתב </w:t>
      </w:r>
      <w:r w:rsidRPr="0050146A">
        <w:rPr>
          <w:rStyle w:val="af8"/>
          <w:rFonts w:hint="cs"/>
          <w:rtl/>
        </w:rPr>
        <w:t>הרמב"ן</w:t>
      </w:r>
      <w:r w:rsidRPr="0050146A">
        <w:rPr>
          <w:rFonts w:hint="cs"/>
          <w:rtl/>
        </w:rPr>
        <w:t xml:space="preserve"> דמסתברא דבין בחדשה ובין בישנה, לא אמרינן דהבליעות של בשר שהיו בה נעשו נבילה, דלא מצינו שאמרו כן בדבר בלוע.</w:t>
      </w:r>
    </w:p>
    <w:p w:rsidR="00495EC8" w:rsidRPr="0050146A" w:rsidRDefault="00495EC8" w:rsidP="00495EC8">
      <w:pPr>
        <w:pStyle w:val="a2"/>
        <w:rPr>
          <w:rtl/>
        </w:rPr>
      </w:pPr>
      <w:bookmarkStart w:id="3632" w:name="_Toc10718844"/>
      <w:bookmarkStart w:id="3633" w:name="_Toc10730081"/>
      <w:bookmarkStart w:id="3634" w:name="_Toc10737413"/>
      <w:r w:rsidRPr="0050146A">
        <w:rPr>
          <w:rFonts w:hint="cs"/>
          <w:rtl/>
        </w:rPr>
        <w:t>דברי הרא"ה דרק בחתיכה או רוטב שייך דין חנ"נ דגופו נעשה איסור אבל בכלים אין דין חנ"נ</w:t>
      </w:r>
      <w:bookmarkEnd w:id="3632"/>
      <w:bookmarkEnd w:id="3633"/>
      <w:bookmarkEnd w:id="3634"/>
    </w:p>
    <w:p w:rsidR="00F07B03" w:rsidRPr="0050146A" w:rsidRDefault="00495EC8" w:rsidP="009F44AF">
      <w:pPr>
        <w:pStyle w:val="a"/>
        <w:rPr>
          <w:rtl/>
        </w:rPr>
      </w:pPr>
      <w:r w:rsidRPr="0050146A">
        <w:rPr>
          <w:rFonts w:hint="cs"/>
          <w:rtl/>
        </w:rPr>
        <w:t xml:space="preserve">וכ"כ </w:t>
      </w:r>
      <w:r w:rsidRPr="0050146A">
        <w:rPr>
          <w:rStyle w:val="af8"/>
          <w:rFonts w:hint="cs"/>
          <w:rtl/>
        </w:rPr>
        <w:t>הרא"ה בחי'</w:t>
      </w:r>
      <w:r w:rsidRPr="0050146A">
        <w:rPr>
          <w:rFonts w:hint="cs"/>
          <w:rtl/>
        </w:rPr>
        <w:t xml:space="preserve"> </w:t>
      </w:r>
      <w:r w:rsidRPr="0050146A">
        <w:rPr>
          <w:rStyle w:val="af6"/>
          <w:rFonts w:eastAsia="Guttman Hodes" w:hint="cs"/>
          <w:rtl/>
        </w:rPr>
        <w:t xml:space="preserve">(ד"ה אמר רב אשי) </w:t>
      </w:r>
      <w:r w:rsidRPr="0050146A">
        <w:rPr>
          <w:rFonts w:hint="cs"/>
          <w:rtl/>
        </w:rPr>
        <w:t xml:space="preserve">דאף בכף ישנה א"א לומר שההיתר שנבלע בה יש לו דין חנ"נ, דהא דבר שבלוע אינו מקבל טעם מבליעה אחרת, ועוד דדוקא בחתיכה או רוטב שייך לומר את דין חנ"נ, דכיון שקיבל טעם מהאיסור ואינו יכול לחזור להתירו דגופו נעשה איסור, לכן יש בו דין חנ"נ, אבל בכלים שאפשר להכשירם, </w:t>
      </w:r>
      <w:r w:rsidRPr="0050146A">
        <w:rPr>
          <w:rFonts w:hint="cs"/>
          <w:rtl/>
        </w:rPr>
        <w:t>והם חוזרים להתירם וגופם לעולם לא נעשה איסור לא שייך בהם דין חנ"נ.</w:t>
      </w:r>
    </w:p>
    <w:p w:rsidR="00495EC8" w:rsidRPr="0050146A" w:rsidRDefault="00495EC8" w:rsidP="00495EC8">
      <w:pPr>
        <w:pStyle w:val="a2"/>
        <w:rPr>
          <w:rtl/>
        </w:rPr>
      </w:pPr>
      <w:bookmarkStart w:id="3635" w:name="_Toc10718845"/>
      <w:bookmarkStart w:id="3636" w:name="_Toc10730082"/>
      <w:bookmarkStart w:id="3637" w:name="_Toc10737414"/>
      <w:r w:rsidRPr="0050146A">
        <w:rPr>
          <w:rFonts w:hint="cs"/>
          <w:rtl/>
        </w:rPr>
        <w:t>דברי הרא"ה דאף בכלים שא"א להכשירם אין חנ"נ דלא נעשה גופם איסור</w:t>
      </w:r>
      <w:bookmarkEnd w:id="3635"/>
      <w:bookmarkEnd w:id="3636"/>
      <w:bookmarkEnd w:id="3637"/>
    </w:p>
    <w:p w:rsidR="00495EC8" w:rsidRPr="0050146A" w:rsidRDefault="00495EC8" w:rsidP="009F44AF">
      <w:pPr>
        <w:pStyle w:val="a"/>
        <w:rPr>
          <w:rtl/>
        </w:rPr>
      </w:pPr>
      <w:r w:rsidRPr="0050146A">
        <w:rPr>
          <w:rFonts w:hint="cs"/>
          <w:rtl/>
        </w:rPr>
        <w:t xml:space="preserve">והוסיף </w:t>
      </w:r>
      <w:r w:rsidRPr="0050146A">
        <w:rPr>
          <w:rStyle w:val="af8"/>
          <w:rFonts w:hint="cs"/>
          <w:rtl/>
        </w:rPr>
        <w:t>הרא"ה בחי'</w:t>
      </w:r>
      <w:r w:rsidRPr="0050146A">
        <w:rPr>
          <w:rFonts w:hint="cs"/>
          <w:rtl/>
        </w:rPr>
        <w:t xml:space="preserve"> דאין כל חילוק בין כלים שאפשר להכשירם, לכלי חרס דא"א להכשירם, דכל הכלים גופן לא נעשה איסור, אלא דכלי חרס א"א להכשירם כיון שהבלוע לא יוצא מדופן הכלי לעולם, אך מ"מ גופם לא נעשה איסור, ואף כלי חרס אפשר להחזירו להיתר ע"י שיתיכנו בכבשן, וא"כ אין גופו איסור, ולכן לא שייך בו דין חנ"נ כלל.</w:t>
      </w:r>
    </w:p>
    <w:p w:rsidR="00495EC8" w:rsidRPr="0050146A" w:rsidRDefault="00495EC8" w:rsidP="00495EC8">
      <w:pPr>
        <w:pStyle w:val="1"/>
        <w:rPr>
          <w:rtl/>
        </w:rPr>
      </w:pPr>
      <w:bookmarkStart w:id="3638" w:name="_Toc10665863"/>
      <w:bookmarkStart w:id="3639" w:name="_Toc10716555"/>
      <w:bookmarkStart w:id="3640" w:name="_Toc10718846"/>
      <w:bookmarkStart w:id="3641" w:name="_Toc10730083"/>
      <w:bookmarkStart w:id="3642" w:name="_Toc10737415"/>
      <w:r w:rsidRPr="0050146A">
        <w:rPr>
          <w:rFonts w:hint="cs"/>
          <w:rtl/>
        </w:rPr>
        <w:t>דברי הרשב"א</w:t>
      </w:r>
      <w:bookmarkEnd w:id="3638"/>
      <w:bookmarkEnd w:id="3639"/>
      <w:r w:rsidRPr="0050146A">
        <w:rPr>
          <w:rFonts w:hint="cs"/>
          <w:rtl/>
        </w:rPr>
        <w:t xml:space="preserve"> דכשאומר הקפילא שאין טעם משערים ביוצא</w:t>
      </w:r>
      <w:bookmarkEnd w:id="3640"/>
      <w:bookmarkEnd w:id="3641"/>
      <w:bookmarkEnd w:id="3642"/>
    </w:p>
    <w:p w:rsidR="00495EC8" w:rsidRPr="0050146A" w:rsidRDefault="00495EC8" w:rsidP="00495EC8">
      <w:pPr>
        <w:pStyle w:val="a2"/>
        <w:rPr>
          <w:rtl/>
        </w:rPr>
      </w:pPr>
      <w:bookmarkStart w:id="3643" w:name="_Toc10718847"/>
      <w:bookmarkStart w:id="3644" w:name="_Toc10730084"/>
      <w:bookmarkStart w:id="3645" w:name="_Toc10737416"/>
      <w:r w:rsidRPr="0050146A">
        <w:rPr>
          <w:rFonts w:hint="cs"/>
          <w:rtl/>
        </w:rPr>
        <w:t>דברי הרשב"א בשם י"א דמוכח כהראב"ד דמשערים בבלוע מבישל חלב בקדירת בשר דבנותן טעם</w:t>
      </w:r>
      <w:bookmarkEnd w:id="3643"/>
      <w:bookmarkEnd w:id="3644"/>
      <w:bookmarkEnd w:id="3645"/>
    </w:p>
    <w:p w:rsidR="00495EC8" w:rsidRPr="0050146A" w:rsidRDefault="00495EC8" w:rsidP="009F44AF">
      <w:pPr>
        <w:pStyle w:val="a"/>
        <w:rPr>
          <w:rtl/>
        </w:rPr>
      </w:pPr>
      <w:r w:rsidRPr="0050146A">
        <w:rPr>
          <w:rFonts w:hint="cs"/>
          <w:rtl/>
        </w:rPr>
        <w:t xml:space="preserve">אך כתב </w:t>
      </w:r>
      <w:r w:rsidRPr="0050146A">
        <w:rPr>
          <w:rStyle w:val="af8"/>
          <w:rFonts w:hint="cs"/>
          <w:rtl/>
        </w:rPr>
        <w:t>הרשב"א בחי' ובתוה"ב</w:t>
      </w:r>
      <w:r w:rsidRPr="0050146A">
        <w:rPr>
          <w:rFonts w:hint="cs"/>
          <w:rtl/>
        </w:rPr>
        <w:t xml:space="preserve"> בשם </w:t>
      </w:r>
      <w:r w:rsidRPr="0050146A">
        <w:rPr>
          <w:rStyle w:val="af8"/>
          <w:rFonts w:hint="cs"/>
          <w:rtl/>
        </w:rPr>
        <w:t>י"א</w:t>
      </w:r>
      <w:r w:rsidRPr="0050146A">
        <w:rPr>
          <w:rFonts w:hint="cs"/>
          <w:rtl/>
        </w:rPr>
        <w:t xml:space="preserve"> דהביאו ראיה לדעת </w:t>
      </w:r>
      <w:r w:rsidRPr="0050146A">
        <w:rPr>
          <w:rStyle w:val="af8"/>
          <w:rFonts w:hint="cs"/>
          <w:rtl/>
        </w:rPr>
        <w:t>הראב"ד</w:t>
      </w:r>
      <w:r w:rsidRPr="0050146A">
        <w:rPr>
          <w:rFonts w:hint="cs"/>
          <w:rtl/>
        </w:rPr>
        <w:t xml:space="preserve"> מדברי הגמ' לעיל </w:t>
      </w:r>
      <w:r w:rsidRPr="0050146A">
        <w:rPr>
          <w:rStyle w:val="af6"/>
          <w:rFonts w:eastAsia="Guttman Hodes" w:hint="cs"/>
          <w:rtl/>
        </w:rPr>
        <w:t>(צז.)</w:t>
      </w:r>
      <w:r w:rsidRPr="0050146A">
        <w:rPr>
          <w:rFonts w:hint="cs"/>
          <w:rtl/>
        </w:rPr>
        <w:t xml:space="preserve"> דקדירה שבישל בה בשר לא יבשל בה חלב, ואם בישל בנותן טעם, ומשמע שמשערים במה שיצא מבליעת הקדירה ולא בקדירה עצמה.</w:t>
      </w:r>
    </w:p>
    <w:p w:rsidR="00495EC8" w:rsidRPr="0050146A" w:rsidRDefault="00495EC8" w:rsidP="00495EC8">
      <w:pPr>
        <w:pStyle w:val="a2"/>
        <w:rPr>
          <w:rtl/>
        </w:rPr>
      </w:pPr>
      <w:bookmarkStart w:id="3646" w:name="_Toc10718848"/>
      <w:bookmarkStart w:id="3647" w:name="_Toc10730085"/>
      <w:bookmarkStart w:id="3648" w:name="_Toc10737417"/>
      <w:r w:rsidRPr="0050146A">
        <w:rPr>
          <w:rFonts w:hint="cs"/>
          <w:rtl/>
        </w:rPr>
        <w:t>דחיית הרשב"א דבקדירה איירי שאמר קפילא שאין טעם וא"כ ידוע שלא יצא יותר משישים</w:t>
      </w:r>
      <w:bookmarkEnd w:id="3646"/>
      <w:bookmarkEnd w:id="3647"/>
      <w:bookmarkEnd w:id="3648"/>
    </w:p>
    <w:p w:rsidR="00495EC8" w:rsidRPr="0050146A" w:rsidRDefault="00495EC8" w:rsidP="009F44AF">
      <w:pPr>
        <w:pStyle w:val="a"/>
      </w:pPr>
      <w:r w:rsidRPr="0050146A">
        <w:rPr>
          <w:rFonts w:hint="cs"/>
          <w:rtl/>
        </w:rPr>
        <w:t xml:space="preserve">ודחה </w:t>
      </w:r>
      <w:r w:rsidRPr="0050146A">
        <w:rPr>
          <w:rStyle w:val="af8"/>
          <w:rFonts w:hint="cs"/>
          <w:rtl/>
        </w:rPr>
        <w:t>הרשב"א בחי' ובתוה"ב</w:t>
      </w:r>
      <w:r w:rsidRPr="0050146A">
        <w:rPr>
          <w:rFonts w:hint="cs"/>
          <w:rtl/>
        </w:rPr>
        <w:t xml:space="preserve"> דבגמ' התם איירי שיש קפילא שיכול לטעום, וכיון שלא ידוע כמה יצא מהאיסור כשאומר הקפילא שאין טעם של איסור, מותר אף בפחות משישים, דכיון שאין טעם של איסור ידוע שלא יצא מהאיסור יותר מאחד משישים ממה שיש בהיתר, אך זהו דוקא כשלא נמחה גוף האיסור, אבל במקום שאין קפילא צריך לשער כנגד כולו, דהא לא ידוע כמה יצא ממנו, וכ"כ </w:t>
      </w:r>
      <w:r w:rsidRPr="0050146A">
        <w:rPr>
          <w:rStyle w:val="af8"/>
          <w:rFonts w:hint="cs"/>
          <w:rtl/>
        </w:rPr>
        <w:t>הרמב"ן</w:t>
      </w:r>
      <w:r w:rsidRPr="0050146A">
        <w:rPr>
          <w:rFonts w:hint="cs"/>
          <w:rtl/>
        </w:rPr>
        <w:t xml:space="preserve"> </w:t>
      </w:r>
      <w:r w:rsidRPr="0050146A">
        <w:rPr>
          <w:rStyle w:val="af6"/>
          <w:rFonts w:eastAsia="Guttman Hodes" w:hint="cs"/>
          <w:rtl/>
        </w:rPr>
        <w:t>(ד"ה בדידיה)</w:t>
      </w:r>
      <w:bookmarkStart w:id="3649" w:name="_Toc10451092"/>
      <w:bookmarkStart w:id="3650" w:name="_Toc10494340"/>
      <w:bookmarkStart w:id="3651" w:name="_Toc10541273"/>
      <w:bookmarkStart w:id="3652" w:name="_Toc10625642"/>
      <w:bookmarkStart w:id="3653" w:name="_Toc10665864"/>
      <w:bookmarkStart w:id="3654" w:name="_Toc10716556"/>
      <w:bookmarkStart w:id="3655" w:name="_Toc10494346"/>
      <w:bookmarkStart w:id="3656" w:name="_Toc10541278"/>
      <w:bookmarkStart w:id="3657" w:name="_Toc10625647"/>
      <w:r w:rsidRPr="0050146A">
        <w:rPr>
          <w:rFonts w:hint="cs"/>
          <w:rtl/>
        </w:rPr>
        <w:t>.</w:t>
      </w:r>
    </w:p>
    <w:p w:rsidR="00495EC8" w:rsidRPr="0050146A" w:rsidRDefault="00495EC8" w:rsidP="00495EC8">
      <w:pPr>
        <w:pStyle w:val="1"/>
        <w:rPr>
          <w:rtl/>
        </w:rPr>
      </w:pPr>
      <w:bookmarkStart w:id="3658" w:name="_Toc10718849"/>
      <w:bookmarkStart w:id="3659" w:name="_Toc10730086"/>
      <w:bookmarkStart w:id="3660" w:name="_Toc10737418"/>
      <w:bookmarkEnd w:id="3649"/>
      <w:bookmarkEnd w:id="3650"/>
      <w:bookmarkEnd w:id="3651"/>
      <w:bookmarkEnd w:id="3652"/>
      <w:r w:rsidRPr="0050146A">
        <w:rPr>
          <w:rFonts w:hint="cs"/>
          <w:rtl/>
        </w:rPr>
        <w:t>ביאור הרשב"א</w:t>
      </w:r>
      <w:bookmarkEnd w:id="3653"/>
      <w:bookmarkEnd w:id="3654"/>
      <w:bookmarkEnd w:id="3658"/>
      <w:r w:rsidRPr="0050146A">
        <w:rPr>
          <w:rFonts w:hint="cs"/>
          <w:rtl/>
        </w:rPr>
        <w:t xml:space="preserve"> בגדר שיעור שישים בכולו בדאו' ובדרבנן</w:t>
      </w:r>
      <w:bookmarkEnd w:id="3659"/>
      <w:bookmarkEnd w:id="3660"/>
    </w:p>
    <w:p w:rsidR="00495EC8" w:rsidRPr="0050146A" w:rsidRDefault="00495EC8" w:rsidP="00495EC8">
      <w:pPr>
        <w:pStyle w:val="a2"/>
        <w:rPr>
          <w:rtl/>
        </w:rPr>
      </w:pPr>
      <w:bookmarkStart w:id="3661" w:name="_Toc10718850"/>
      <w:bookmarkStart w:id="3662" w:name="_Toc10730087"/>
      <w:bookmarkStart w:id="3663" w:name="_Toc10737419"/>
      <w:r w:rsidRPr="0050146A">
        <w:rPr>
          <w:rFonts w:hint="cs"/>
          <w:rtl/>
        </w:rPr>
        <w:t>קושית הרשב"א דאמאי משערים בכחל בכולו הא מדאו' חד בתרי בטיל וספק דרבנן לקולא</w:t>
      </w:r>
      <w:bookmarkEnd w:id="3661"/>
      <w:bookmarkEnd w:id="3662"/>
      <w:bookmarkEnd w:id="3663"/>
    </w:p>
    <w:p w:rsidR="00495EC8" w:rsidRPr="0050146A" w:rsidRDefault="00495EC8" w:rsidP="009F44AF">
      <w:pPr>
        <w:pStyle w:val="a"/>
        <w:rPr>
          <w:rtl/>
        </w:rPr>
      </w:pPr>
      <w:r w:rsidRPr="0050146A">
        <w:rPr>
          <w:rFonts w:hint="cs"/>
          <w:rtl/>
        </w:rPr>
        <w:t xml:space="preserve">הקשה </w:t>
      </w:r>
      <w:r w:rsidRPr="0050146A">
        <w:rPr>
          <w:rStyle w:val="af8"/>
          <w:rFonts w:hint="cs"/>
          <w:rtl/>
        </w:rPr>
        <w:t>הרשב"א בחי'</w:t>
      </w:r>
      <w:r w:rsidRPr="0050146A">
        <w:rPr>
          <w:rFonts w:hint="cs"/>
          <w:rtl/>
        </w:rPr>
        <w:t xml:space="preserve"> </w:t>
      </w:r>
      <w:r w:rsidRPr="0050146A">
        <w:rPr>
          <w:rStyle w:val="af6"/>
          <w:rFonts w:eastAsia="Guttman Hodes" w:hint="cs"/>
          <w:rtl/>
        </w:rPr>
        <w:t xml:space="preserve">(ד"ה הא) </w:t>
      </w:r>
      <w:r w:rsidRPr="0050146A">
        <w:rPr>
          <w:rFonts w:hint="cs"/>
          <w:rtl/>
        </w:rPr>
        <w:t>דכיון דמדאו' חד בתרי בטיל, א"כ האיסור בכחל הוא מדרבנן, וגם השיעור שישים שלו הוא מדרבנן, ואף כשלא ידוע כמה יצא ממנו, מ"מ הו"ל ספיקא דרבנן ולקולא, ואמאי משערים בכולו.</w:t>
      </w:r>
    </w:p>
    <w:p w:rsidR="00495EC8" w:rsidRPr="0050146A" w:rsidRDefault="00495EC8" w:rsidP="00495EC8">
      <w:pPr>
        <w:pStyle w:val="a2"/>
      </w:pPr>
      <w:bookmarkStart w:id="3664" w:name="_Toc10718851"/>
      <w:bookmarkStart w:id="3665" w:name="_Toc10730088"/>
      <w:bookmarkStart w:id="3666" w:name="_Toc10737420"/>
      <w:r w:rsidRPr="0050146A">
        <w:rPr>
          <w:rFonts w:hint="cs"/>
          <w:rtl/>
        </w:rPr>
        <w:t>קושית הרשב"א דבקדירה שבלעה וליכא קפילא שיעור שישים הוא דרבנן וספק דרבנן לקולא</w:t>
      </w:r>
      <w:bookmarkEnd w:id="3664"/>
      <w:bookmarkEnd w:id="3665"/>
      <w:bookmarkEnd w:id="3666"/>
    </w:p>
    <w:p w:rsidR="00495EC8" w:rsidRPr="0050146A" w:rsidRDefault="00495EC8" w:rsidP="009F44AF">
      <w:pPr>
        <w:pStyle w:val="a"/>
        <w:rPr>
          <w:rtl/>
        </w:rPr>
      </w:pPr>
      <w:r w:rsidRPr="0050146A">
        <w:rPr>
          <w:rFonts w:hint="cs"/>
          <w:rtl/>
        </w:rPr>
        <w:t xml:space="preserve">והוסיף </w:t>
      </w:r>
      <w:r w:rsidRPr="0050146A">
        <w:rPr>
          <w:rStyle w:val="af8"/>
          <w:rFonts w:hint="cs"/>
          <w:rtl/>
        </w:rPr>
        <w:t xml:space="preserve">הרשב"א </w:t>
      </w:r>
      <w:r w:rsidRPr="0050146A">
        <w:rPr>
          <w:rFonts w:hint="cs"/>
          <w:rtl/>
        </w:rPr>
        <w:t>להקשות דאף בקדירה שבלעה איסור דאו' וליכא קפילא, אמאי משערים בשישים, הרי כל שיעור שישים הוא מדרבנן, וצריך לשער לקולא ולאמוד כמה יצא מהאיסור, ונאמר דבכל מקום שיש חד בתרי יהיה מותר, כיון שאינו ספק דאו'.</w:t>
      </w:r>
    </w:p>
    <w:p w:rsidR="00495EC8" w:rsidRPr="0050146A" w:rsidRDefault="00495EC8" w:rsidP="00495EC8">
      <w:pPr>
        <w:pStyle w:val="a2"/>
        <w:rPr>
          <w:rtl/>
        </w:rPr>
      </w:pPr>
      <w:bookmarkStart w:id="3667" w:name="_Toc10730089"/>
      <w:bookmarkStart w:id="3668" w:name="_Toc10737421"/>
      <w:r w:rsidRPr="0050146A">
        <w:rPr>
          <w:rFonts w:hint="cs"/>
          <w:rtl/>
        </w:rPr>
        <w:t>דברי הרשב"א דבקדירה שבלעה איסור דאו' ולא ידוע כמה נבלע ודאי דמספק משערים בכולו</w:t>
      </w:r>
      <w:bookmarkEnd w:id="3667"/>
      <w:bookmarkEnd w:id="3668"/>
    </w:p>
    <w:p w:rsidR="00495EC8" w:rsidRPr="0050146A" w:rsidRDefault="00495EC8" w:rsidP="009F44AF">
      <w:pPr>
        <w:pStyle w:val="a"/>
        <w:rPr>
          <w:rtl/>
        </w:rPr>
      </w:pPr>
      <w:r w:rsidRPr="0050146A">
        <w:rPr>
          <w:rFonts w:hint="cs"/>
          <w:rtl/>
        </w:rPr>
        <w:t xml:space="preserve">ותירץ </w:t>
      </w:r>
      <w:r w:rsidRPr="0050146A">
        <w:rPr>
          <w:rStyle w:val="af8"/>
          <w:rFonts w:hint="cs"/>
          <w:rtl/>
        </w:rPr>
        <w:t>הרשב"א בחי'</w:t>
      </w:r>
      <w:r w:rsidRPr="0050146A">
        <w:rPr>
          <w:rFonts w:hint="cs"/>
          <w:rtl/>
        </w:rPr>
        <w:t xml:space="preserve"> דבקדירה שבלעה איסור דאו', ודאי דמשערים בכולו ולא במה שיצא ממנו, דהרי כיון שלא ידוע כמה יצא ממנו, א"כ במקום שאין בהיתר יותר מאחד מכל האיסור, א"א לשער ע"י אומד כמה  יצא ממנו, דיתכן שיצא יותר מהאומד ולמ"ד דטעם כעיקר דאו' הוא איסור דאו', וא"כ תמיד צריך לשער שיהיה יותר מאחד מכל האיסור, דבכה"ג אין בזה ספק איסור דאו'. </w:t>
      </w:r>
    </w:p>
    <w:p w:rsidR="00495EC8" w:rsidRPr="0050146A" w:rsidRDefault="00495EC8" w:rsidP="00495EC8">
      <w:pPr>
        <w:pStyle w:val="a2"/>
      </w:pPr>
      <w:bookmarkStart w:id="3669" w:name="_Toc10730090"/>
      <w:bookmarkStart w:id="3670" w:name="_Toc10737422"/>
      <w:r w:rsidRPr="0050146A">
        <w:rPr>
          <w:rFonts w:hint="cs"/>
          <w:rtl/>
        </w:rPr>
        <w:t>דברי הרשב"א דכיון דבדאו' צריך יותר מאחד אף בדרבנן משערים בכולו דלא תחלוק באיסורים</w:t>
      </w:r>
      <w:bookmarkEnd w:id="3669"/>
      <w:bookmarkEnd w:id="3670"/>
    </w:p>
    <w:p w:rsidR="002D7168" w:rsidRDefault="00495EC8" w:rsidP="009F44AF">
      <w:pPr>
        <w:pStyle w:val="a"/>
        <w:rPr>
          <w:rtl/>
        </w:rPr>
      </w:pPr>
      <w:r w:rsidRPr="0050146A">
        <w:rPr>
          <w:rFonts w:hint="cs"/>
          <w:rtl/>
        </w:rPr>
        <w:t xml:space="preserve">וכתב </w:t>
      </w:r>
      <w:r w:rsidRPr="0050146A">
        <w:rPr>
          <w:rStyle w:val="af8"/>
          <w:rFonts w:hint="cs"/>
          <w:rtl/>
        </w:rPr>
        <w:t>הרשב"א בחי'</w:t>
      </w:r>
      <w:r w:rsidRPr="0050146A">
        <w:rPr>
          <w:rFonts w:hint="cs"/>
          <w:rtl/>
        </w:rPr>
        <w:t xml:space="preserve"> דכיון שבאיסור דאו' צריך יותר מאחד, לכן אמרינן דצריך לשער שיעור שישים בכולו, בכדי שלא נחלוק באיסורים, ואחר דבאיסור שעיקרו מדאו', צריך לשער שישים כנגד כולו, אף באיסור שעיקרו מדרבנן והשיעור שישים בהם הוא מדרבנן, ג"כ צריך לשער בכולו, דכל מידות חכמים הם שהשוו מידותיהם ולא פלוג רבנן.</w:t>
      </w:r>
    </w:p>
    <w:p w:rsidR="00495EC8" w:rsidRPr="0050146A" w:rsidRDefault="00495EC8" w:rsidP="00495EC8">
      <w:pPr>
        <w:pStyle w:val="a2"/>
        <w:rPr>
          <w:rtl/>
        </w:rPr>
      </w:pPr>
      <w:bookmarkStart w:id="3671" w:name="_Toc10730091"/>
      <w:bookmarkStart w:id="3672" w:name="_Toc10737423"/>
      <w:r w:rsidRPr="0050146A">
        <w:rPr>
          <w:rFonts w:hint="cs"/>
          <w:rtl/>
        </w:rPr>
        <w:t>ביאור הרשב"א דרק באבד האיסור הקילו בשיעור שישים אבל בלא ידוע כמה פלט לא הקילו</w:t>
      </w:r>
      <w:bookmarkEnd w:id="3671"/>
      <w:bookmarkEnd w:id="3672"/>
    </w:p>
    <w:p w:rsidR="00495EC8" w:rsidRPr="0050146A" w:rsidRDefault="00495EC8" w:rsidP="009F44AF">
      <w:pPr>
        <w:pStyle w:val="a"/>
        <w:rPr>
          <w:rtl/>
        </w:rPr>
      </w:pPr>
      <w:r w:rsidRPr="0050146A">
        <w:rPr>
          <w:rFonts w:hint="cs"/>
          <w:rtl/>
        </w:rPr>
        <w:lastRenderedPageBreak/>
        <w:t xml:space="preserve">וביאר </w:t>
      </w:r>
      <w:r w:rsidRPr="0050146A">
        <w:rPr>
          <w:rStyle w:val="af8"/>
          <w:rFonts w:hint="cs"/>
          <w:rtl/>
        </w:rPr>
        <w:t>הרשב"א בחי'</w:t>
      </w:r>
      <w:r w:rsidRPr="0050146A">
        <w:rPr>
          <w:rFonts w:hint="cs"/>
          <w:rtl/>
        </w:rPr>
        <w:t xml:space="preserve"> דכ"מ דהקילו רבנן בשיעור שישים, הוא רק במקום שההיתר והאיסור אינם לפנינו, כגון שנשפך או נאבד לפני שבא לפנינו, דבכה"ג הקילו דאמרינן שאם היה בא לפנינו היה בו שישים, אבל במקום שההיתר והאיסור הם לפנינו, וכל הספק הוא שאנו לא יודעים לאמוד כמה פלט האיסור לתוך ההיתר, בכה"ג לא הקילו רבנן.</w:t>
      </w:r>
    </w:p>
    <w:p w:rsidR="00495EC8" w:rsidRPr="0050146A" w:rsidRDefault="00495EC8" w:rsidP="00495EC8">
      <w:pPr>
        <w:pStyle w:val="a2"/>
        <w:rPr>
          <w:rtl/>
        </w:rPr>
      </w:pPr>
      <w:bookmarkStart w:id="3673" w:name="_Toc10730092"/>
      <w:bookmarkStart w:id="3674" w:name="_Toc10737424"/>
      <w:r w:rsidRPr="0050146A">
        <w:rPr>
          <w:rFonts w:hint="cs"/>
          <w:rtl/>
        </w:rPr>
        <w:t>דברי הרשב"א דאף למ"ד דטעם כעיקר דרבנן כיון דהסמיכו לזרוע בשילה משערים בכולו</w:t>
      </w:r>
      <w:bookmarkEnd w:id="3673"/>
      <w:bookmarkEnd w:id="3674"/>
    </w:p>
    <w:p w:rsidR="00495EC8" w:rsidRPr="0050146A" w:rsidRDefault="00495EC8" w:rsidP="009F44AF">
      <w:pPr>
        <w:pStyle w:val="a"/>
        <w:rPr>
          <w:rtl/>
        </w:rPr>
      </w:pPr>
      <w:r w:rsidRPr="0050146A">
        <w:rPr>
          <w:rFonts w:hint="cs"/>
          <w:rtl/>
        </w:rPr>
        <w:t xml:space="preserve">והוסיף </w:t>
      </w:r>
      <w:r w:rsidRPr="0050146A">
        <w:rPr>
          <w:rStyle w:val="af8"/>
          <w:rFonts w:hint="cs"/>
          <w:rtl/>
        </w:rPr>
        <w:t>הרשב"א בחי'</w:t>
      </w:r>
      <w:r w:rsidRPr="0050146A">
        <w:rPr>
          <w:rFonts w:hint="cs"/>
          <w:rtl/>
        </w:rPr>
        <w:t xml:space="preserve"> דאף למ"ד דטעם כעיקר דרבנן, מ"מ כיון דרבנן הסמיכו את שיעור שישים בכל האיסורים, לילפותא מזרוע בשילה, והצריכו שיהיה בודאי שישים כיון שהאיסור וההיתר לפנינו, לכן במקום שלא ידוע כמה יצא מהאיסור, ג"כ משערים בכולו.</w:t>
      </w:r>
    </w:p>
    <w:p w:rsidR="00495EC8" w:rsidRPr="0050146A" w:rsidRDefault="00495EC8" w:rsidP="00E669F8">
      <w:pPr>
        <w:pStyle w:val="afd"/>
        <w:rPr>
          <w:rtl/>
        </w:rPr>
      </w:pPr>
      <w:bookmarkStart w:id="3675" w:name="_Toc10665865"/>
      <w:bookmarkStart w:id="3676" w:name="_Toc10716557"/>
      <w:bookmarkStart w:id="3677" w:name="_Toc10718852"/>
      <w:bookmarkStart w:id="3678" w:name="_Toc10730093"/>
      <w:bookmarkStart w:id="3679" w:name="_Toc10737425"/>
      <w:r w:rsidRPr="0050146A">
        <w:rPr>
          <w:rFonts w:hint="cs"/>
          <w:rtl/>
        </w:rPr>
        <w:t>באיסור הכחל בקדירה שניה</w:t>
      </w:r>
      <w:bookmarkEnd w:id="3574"/>
      <w:bookmarkEnd w:id="3575"/>
      <w:bookmarkEnd w:id="3576"/>
      <w:bookmarkEnd w:id="3577"/>
      <w:bookmarkEnd w:id="3655"/>
      <w:bookmarkEnd w:id="3656"/>
      <w:bookmarkEnd w:id="3657"/>
      <w:bookmarkEnd w:id="3675"/>
      <w:bookmarkEnd w:id="3676"/>
      <w:bookmarkEnd w:id="3677"/>
      <w:bookmarkEnd w:id="3678"/>
      <w:bookmarkEnd w:id="3679"/>
    </w:p>
    <w:p w:rsidR="00495EC8" w:rsidRPr="0050146A" w:rsidRDefault="00495EC8" w:rsidP="00495EC8">
      <w:pPr>
        <w:pStyle w:val="1"/>
        <w:rPr>
          <w:rtl/>
        </w:rPr>
      </w:pPr>
      <w:bookmarkStart w:id="3680" w:name="_Toc10737426"/>
      <w:r w:rsidRPr="0050146A">
        <w:rPr>
          <w:rFonts w:hint="cs"/>
          <w:rtl/>
        </w:rPr>
        <w:t>דברי רש"י</w:t>
      </w:r>
      <w:bookmarkEnd w:id="3680"/>
      <w:r w:rsidRPr="0050146A">
        <w:rPr>
          <w:rFonts w:hint="cs"/>
          <w:rtl/>
        </w:rPr>
        <w:t xml:space="preserve"> בביאור הקושיה והתירוץ בדין הכחל בקדירה שניה</w:t>
      </w:r>
    </w:p>
    <w:p w:rsidR="00495EC8" w:rsidRPr="0050146A" w:rsidRDefault="00495EC8" w:rsidP="00495EC8">
      <w:pPr>
        <w:pStyle w:val="a2"/>
        <w:rPr>
          <w:rtl/>
        </w:rPr>
      </w:pPr>
      <w:bookmarkStart w:id="3681" w:name="_Toc10730094"/>
      <w:bookmarkStart w:id="3682" w:name="_Toc10737427"/>
      <w:r w:rsidRPr="0050146A">
        <w:rPr>
          <w:rFonts w:hint="cs"/>
          <w:rtl/>
        </w:rPr>
        <w:t>דברי רש"י דאחר דמשערים בכולו א"כ התבטל הכחל בקדירה ראשונה ואמאי אוסר בקדירה שניה</w:t>
      </w:r>
      <w:bookmarkEnd w:id="3681"/>
      <w:bookmarkEnd w:id="3682"/>
    </w:p>
    <w:p w:rsidR="00495EC8" w:rsidRPr="0050146A" w:rsidRDefault="00495EC8" w:rsidP="009F44AF">
      <w:pPr>
        <w:pStyle w:val="a"/>
        <w:rPr>
          <w:rtl/>
        </w:rPr>
      </w:pPr>
      <w:bookmarkStart w:id="3683" w:name="_Ref10367991"/>
      <w:r w:rsidRPr="0050146A">
        <w:rPr>
          <w:rFonts w:hint="cs"/>
          <w:rtl/>
        </w:rPr>
        <w:t xml:space="preserve">בקושית הגמ' דאי משערינן בכולו, א"כ לא יאסור הכחל כשנפל לקדירה אחרת,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אלא) </w:t>
      </w:r>
      <w:r w:rsidRPr="0050146A">
        <w:rPr>
          <w:rFonts w:hint="cs"/>
          <w:rtl/>
        </w:rPr>
        <w:t xml:space="preserve">דכיון שמשערים בו וצריך שישים כנגד כולו, א"כ מוכח דכשנתבטל הכחל בקדירה הראשונה, כולו התבטל בתבשיל, וא"כ כשנפל לקדירה אחרת אינו צריך לאסור כלל, דהוא התבטל כבר בקדירה הראשונה, וכתב </w:t>
      </w:r>
      <w:r w:rsidRPr="0050146A">
        <w:rPr>
          <w:rStyle w:val="af8"/>
          <w:rFonts w:hint="cs"/>
          <w:rtl/>
        </w:rPr>
        <w:t>הריטב"א</w:t>
      </w:r>
      <w:r w:rsidRPr="0050146A">
        <w:rPr>
          <w:rFonts w:hint="cs"/>
          <w:rtl/>
        </w:rPr>
        <w:t xml:space="preserve"> </w:t>
      </w:r>
      <w:r w:rsidRPr="0050146A">
        <w:rPr>
          <w:rStyle w:val="af6"/>
          <w:rFonts w:eastAsia="Guttman Hodes" w:hint="cs"/>
          <w:rtl/>
        </w:rPr>
        <w:t>(ד"ה אלא)</w:t>
      </w:r>
      <w:r w:rsidRPr="0050146A">
        <w:rPr>
          <w:rFonts w:hint="cs"/>
          <w:rtl/>
        </w:rPr>
        <w:t xml:space="preserve"> דמלשון קושית הגמ' "אלא מעתה נפל לקדירה אחרת לא יאסר" מוכח כדברי </w:t>
      </w:r>
      <w:r w:rsidRPr="0050146A">
        <w:rPr>
          <w:rStyle w:val="af8"/>
          <w:rFonts w:hint="cs"/>
          <w:rtl/>
        </w:rPr>
        <w:t>רש"י</w:t>
      </w:r>
      <w:r w:rsidRPr="0050146A">
        <w:rPr>
          <w:rFonts w:hint="cs"/>
          <w:rtl/>
        </w:rPr>
        <w:t>, דהגמ' מקשה על המסקנא דמשערים בכל הכחל.</w:t>
      </w:r>
      <w:bookmarkEnd w:id="3683"/>
    </w:p>
    <w:p w:rsidR="00495EC8" w:rsidRPr="0050146A" w:rsidRDefault="00495EC8" w:rsidP="00495EC8">
      <w:pPr>
        <w:pStyle w:val="a2"/>
        <w:rPr>
          <w:rtl/>
        </w:rPr>
      </w:pPr>
      <w:bookmarkStart w:id="3684" w:name="_Toc10737428"/>
      <w:bookmarkStart w:id="3685" w:name="_Toc10147733"/>
      <w:bookmarkStart w:id="3686" w:name="_Toc10202023"/>
      <w:bookmarkStart w:id="3687" w:name="_Toc10367987"/>
      <w:bookmarkStart w:id="3688" w:name="_Toc10451097"/>
      <w:bookmarkStart w:id="3689" w:name="_Toc10494349"/>
      <w:bookmarkStart w:id="3690" w:name="_Toc10541279"/>
      <w:bookmarkStart w:id="3691" w:name="_Toc10625648"/>
      <w:bookmarkStart w:id="3692" w:name="_Toc10665866"/>
      <w:bookmarkStart w:id="3693" w:name="_Toc10716558"/>
      <w:bookmarkStart w:id="3694" w:name="_Toc10718853"/>
      <w:bookmarkStart w:id="3695" w:name="_Toc10730095"/>
      <w:r w:rsidRPr="0050146A">
        <w:rPr>
          <w:rFonts w:hint="cs"/>
          <w:rtl/>
        </w:rPr>
        <w:t>דברי רש"י דכיון שבתחילת הבישול נאסר הכחל ע"י הבשר שבקדירה שויוה כנבילה</w:t>
      </w:r>
      <w:bookmarkEnd w:id="3684"/>
    </w:p>
    <w:p w:rsidR="00495EC8" w:rsidRPr="0050146A" w:rsidRDefault="00495EC8" w:rsidP="009F44AF">
      <w:pPr>
        <w:pStyle w:val="a"/>
        <w:rPr>
          <w:rtl/>
        </w:rPr>
      </w:pPr>
      <w:r w:rsidRPr="0050146A">
        <w:rPr>
          <w:rFonts w:hint="cs"/>
          <w:rtl/>
        </w:rPr>
        <w:t xml:space="preserve">ובתירוץ הגמ' דשויוה רבנן כחתיכת נבילה,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כיון) </w:t>
      </w:r>
      <w:r w:rsidRPr="0050146A">
        <w:rPr>
          <w:rFonts w:hint="cs"/>
          <w:rtl/>
        </w:rPr>
        <w:t xml:space="preserve">דבתחילת הבישול לפני שהצטמק הכחל, נתנה בו הקדירה טעם של בשר, ומיד נאסר הכחל, ולכן אף שאח"כ כולו התבטל, מ"מ כבר שנאסר בתחילת הבישול, שויוה רבנן כחתיכת נבילה, ודינו כנבילה דתנן </w:t>
      </w:r>
      <w:r w:rsidRPr="0050146A">
        <w:rPr>
          <w:rStyle w:val="af6"/>
          <w:rFonts w:eastAsia="Guttman Hodes" w:hint="cs"/>
          <w:rtl/>
        </w:rPr>
        <w:t xml:space="preserve">(צו:) </w:t>
      </w:r>
      <w:r w:rsidRPr="0050146A">
        <w:rPr>
          <w:rFonts w:hint="cs"/>
          <w:rtl/>
        </w:rPr>
        <w:t>דכל זמן שמכיר את האיסור הוא אוסר בנתינת טעם, דהיינו שצריך שישים כנגדו.</w:t>
      </w:r>
    </w:p>
    <w:p w:rsidR="00495EC8" w:rsidRPr="0050146A" w:rsidRDefault="00495EC8" w:rsidP="00495EC8">
      <w:pPr>
        <w:pStyle w:val="1"/>
        <w:rPr>
          <w:rtl/>
        </w:rPr>
      </w:pPr>
      <w:bookmarkStart w:id="3696" w:name="_Toc10737429"/>
      <w:r w:rsidRPr="0050146A">
        <w:rPr>
          <w:rFonts w:hint="cs"/>
          <w:rtl/>
        </w:rPr>
        <w:t>דברי תוס' בביאור קושית הגמ' דלא יאסור בקדירה שניה</w:t>
      </w:r>
      <w:bookmarkEnd w:id="3685"/>
      <w:bookmarkEnd w:id="3686"/>
      <w:bookmarkEnd w:id="3687"/>
      <w:bookmarkEnd w:id="3688"/>
      <w:bookmarkEnd w:id="3689"/>
      <w:bookmarkEnd w:id="3690"/>
      <w:bookmarkEnd w:id="3691"/>
      <w:bookmarkEnd w:id="3692"/>
      <w:bookmarkEnd w:id="3693"/>
      <w:bookmarkEnd w:id="3694"/>
      <w:bookmarkEnd w:id="3695"/>
      <w:bookmarkEnd w:id="3696"/>
    </w:p>
    <w:p w:rsidR="00495EC8" w:rsidRPr="0050146A" w:rsidRDefault="00495EC8" w:rsidP="00495EC8">
      <w:pPr>
        <w:pStyle w:val="a2"/>
        <w:rPr>
          <w:rtl/>
        </w:rPr>
      </w:pPr>
      <w:bookmarkStart w:id="3697" w:name="_Toc10730096"/>
      <w:bookmarkStart w:id="3698" w:name="_Toc10737430"/>
      <w:r w:rsidRPr="0050146A">
        <w:rPr>
          <w:rFonts w:hint="cs"/>
          <w:rtl/>
        </w:rPr>
        <w:t>ביאור התוס' דכיון דמשערים בכולו א"כ יצא כל החלב ואי משערים ביוצא יתכן שלא יצא כולו</w:t>
      </w:r>
      <w:bookmarkEnd w:id="3697"/>
      <w:bookmarkEnd w:id="3698"/>
    </w:p>
    <w:p w:rsidR="00495EC8" w:rsidRPr="0050146A" w:rsidRDefault="00495EC8" w:rsidP="009F44AF">
      <w:pPr>
        <w:pStyle w:val="a"/>
        <w:rPr>
          <w:rtl/>
        </w:rPr>
      </w:pPr>
      <w:bookmarkStart w:id="3699" w:name="_Ref10406259"/>
      <w:r w:rsidRPr="0050146A">
        <w:rPr>
          <w:rFonts w:hint="cs"/>
          <w:rtl/>
        </w:rPr>
        <w:t xml:space="preserve">כתבו </w:t>
      </w:r>
      <w:r w:rsidRPr="0050146A">
        <w:rPr>
          <w:rStyle w:val="af8"/>
          <w:rFonts w:hint="cs"/>
          <w:rtl/>
        </w:rPr>
        <w:t xml:space="preserve">התוס' </w:t>
      </w:r>
      <w:r w:rsidRPr="0050146A">
        <w:rPr>
          <w:rStyle w:val="af6"/>
          <w:rFonts w:eastAsia="Guttman Hodes" w:hint="cs"/>
          <w:rtl/>
        </w:rPr>
        <w:t>(ד"ה אלא)</w:t>
      </w:r>
      <w:r w:rsidRPr="0050146A">
        <w:rPr>
          <w:rFonts w:hint="cs"/>
          <w:rtl/>
        </w:rPr>
        <w:t xml:space="preserve"> דלהצד דבכוליה משערינן, א"כ אמרינן דכל החלב יצא מהכחל, ולכן מקשה הגמ' שלא יאסור בקדירה אחרת, אבל להצד דמשערינן במה דנפיק מיניה, א"כ מבואר אמאי אוסר בקדירה אחרת, דהא לא יצא כל החלב מהכחל.</w:t>
      </w:r>
      <w:bookmarkEnd w:id="3699"/>
    </w:p>
    <w:p w:rsidR="00495EC8" w:rsidRPr="0050146A" w:rsidRDefault="00495EC8" w:rsidP="00495EC8">
      <w:pPr>
        <w:pStyle w:val="a2"/>
        <w:rPr>
          <w:rtl/>
        </w:rPr>
      </w:pPr>
      <w:bookmarkStart w:id="3700" w:name="_Toc10730097"/>
      <w:bookmarkStart w:id="3701" w:name="_Toc10737431"/>
      <w:r w:rsidRPr="0050146A">
        <w:rPr>
          <w:rFonts w:hint="cs"/>
          <w:rtl/>
        </w:rPr>
        <w:t>קושית התוס' דאפש"ל דמשערים בכולו מספק שמא יצא הכל אך יתכן שלא יצא כולו ואוסר</w:t>
      </w:r>
      <w:bookmarkEnd w:id="3700"/>
      <w:bookmarkEnd w:id="3701"/>
    </w:p>
    <w:p w:rsidR="00495EC8" w:rsidRPr="0050146A" w:rsidRDefault="00495EC8" w:rsidP="009F44AF">
      <w:pPr>
        <w:pStyle w:val="a"/>
        <w:rPr>
          <w:rtl/>
        </w:rPr>
      </w:pPr>
      <w:r w:rsidRPr="0050146A">
        <w:rPr>
          <w:rFonts w:hint="cs"/>
          <w:rtl/>
        </w:rPr>
        <w:t xml:space="preserve">אך הקשו </w:t>
      </w:r>
      <w:r w:rsidRPr="0050146A">
        <w:rPr>
          <w:rStyle w:val="af8"/>
          <w:rFonts w:hint="cs"/>
          <w:rtl/>
        </w:rPr>
        <w:t xml:space="preserve">התוס' </w:t>
      </w:r>
      <w:r w:rsidRPr="0050146A">
        <w:rPr>
          <w:rFonts w:hint="cs"/>
          <w:rtl/>
        </w:rPr>
        <w:t>דאף להצד דבכוליה משערינן אפש"ל דאינו מחמת דאמרינן שיצא כל החלב מהכחל, אלא דכיון דאנו מסופקים אם יצא כל החלב, לכן לחומרא משערינן בכל הכחל, אבל בנפל לקדירה אחרת, עדיין צריך לאסור מספק שמא לא יצא כולו.</w:t>
      </w:r>
    </w:p>
    <w:p w:rsidR="00495EC8" w:rsidRPr="0050146A" w:rsidRDefault="00495EC8" w:rsidP="00495EC8">
      <w:pPr>
        <w:pStyle w:val="a2"/>
        <w:rPr>
          <w:rtl/>
        </w:rPr>
      </w:pPr>
      <w:bookmarkStart w:id="3702" w:name="_Toc10730098"/>
      <w:bookmarkStart w:id="3703" w:name="_Toc10737432"/>
      <w:r w:rsidRPr="0050146A">
        <w:rPr>
          <w:rFonts w:hint="cs"/>
          <w:rtl/>
        </w:rPr>
        <w:t>תירוצי התוס' דפשיטא לגמ' דאין בזה ספק ועוד דמספק חלב שחוטה א"א לאסור בקדירה שניה</w:t>
      </w:r>
      <w:bookmarkEnd w:id="3702"/>
      <w:bookmarkEnd w:id="3703"/>
    </w:p>
    <w:p w:rsidR="00495EC8" w:rsidRPr="0050146A" w:rsidRDefault="00495EC8" w:rsidP="009F44AF">
      <w:pPr>
        <w:pStyle w:val="a"/>
        <w:rPr>
          <w:rtl/>
        </w:rPr>
      </w:pPr>
      <w:r w:rsidRPr="0050146A">
        <w:rPr>
          <w:rFonts w:hint="cs"/>
          <w:rtl/>
        </w:rPr>
        <w:t xml:space="preserve">ותירצו </w:t>
      </w:r>
      <w:r w:rsidRPr="0050146A">
        <w:rPr>
          <w:rStyle w:val="af8"/>
          <w:rFonts w:hint="cs"/>
          <w:rtl/>
        </w:rPr>
        <w:t xml:space="preserve">התוס' </w:t>
      </w:r>
      <w:r w:rsidRPr="0050146A">
        <w:rPr>
          <w:rFonts w:hint="cs"/>
          <w:rtl/>
        </w:rPr>
        <w:t xml:space="preserve">דהיה פשוט לגמ' ואין בזה כל ספק אם יצא כולו או מקצתו, ועוד תירצו </w:t>
      </w:r>
      <w:r w:rsidRPr="0050146A">
        <w:rPr>
          <w:rStyle w:val="af8"/>
          <w:rFonts w:hint="cs"/>
          <w:rtl/>
        </w:rPr>
        <w:t xml:space="preserve">התוס' </w:t>
      </w:r>
      <w:r w:rsidRPr="0050146A">
        <w:rPr>
          <w:rFonts w:hint="cs"/>
          <w:rtl/>
        </w:rPr>
        <w:t>דמספק א"א לאסור את הקדירה השניה, דהא חלב שחוטה הוא דרבנן.</w:t>
      </w:r>
    </w:p>
    <w:p w:rsidR="00495EC8" w:rsidRPr="0050146A" w:rsidRDefault="00495EC8" w:rsidP="00495EC8">
      <w:pPr>
        <w:pStyle w:val="a2"/>
        <w:rPr>
          <w:rtl/>
        </w:rPr>
      </w:pPr>
      <w:bookmarkStart w:id="3704" w:name="_Toc10730099"/>
      <w:bookmarkStart w:id="3705" w:name="_Toc10737433"/>
      <w:r w:rsidRPr="0050146A">
        <w:rPr>
          <w:rFonts w:hint="cs"/>
          <w:rtl/>
        </w:rPr>
        <w:t>הביאור הב' בתוס' דקושית הגמ' היא על הא דהכחל מן המנין דאינו חנ"נ ואמאי אוסר בקדירה שניה</w:t>
      </w:r>
      <w:bookmarkEnd w:id="3704"/>
      <w:bookmarkEnd w:id="3705"/>
    </w:p>
    <w:p w:rsidR="00495EC8" w:rsidRPr="0050146A" w:rsidRDefault="00495EC8" w:rsidP="009F44AF">
      <w:pPr>
        <w:pStyle w:val="a"/>
        <w:rPr>
          <w:rtl/>
        </w:rPr>
      </w:pPr>
      <w:bookmarkStart w:id="3706" w:name="_Ref10734257"/>
      <w:bookmarkStart w:id="3707" w:name="_Ref10404785"/>
      <w:r w:rsidRPr="0050146A">
        <w:rPr>
          <w:rFonts w:hint="cs"/>
          <w:rtl/>
        </w:rPr>
        <w:t xml:space="preserve">ועוד ביארו </w:t>
      </w:r>
      <w:r w:rsidRPr="0050146A">
        <w:rPr>
          <w:rStyle w:val="af8"/>
          <w:rFonts w:hint="cs"/>
          <w:rtl/>
        </w:rPr>
        <w:t xml:space="preserve">התוס' בתירוץ הב' </w:t>
      </w:r>
      <w:r w:rsidRPr="0050146A">
        <w:rPr>
          <w:rFonts w:hint="cs"/>
          <w:rtl/>
        </w:rPr>
        <w:t xml:space="preserve">דקושית הגמ' דלא יאסור בקדירה אחרת, קאי על דברי ר"נ דכחל מן המנין, ומקשה הגמ' דכיון שהוא מן המנין, א"כ מוכח דאין לכחל דין של חתיכת איסור, וכל איסורו הוא רק מחמת החלב שכנוס בגומות שבכחל, וא"כ לא יאסור </w:t>
      </w:r>
      <w:r w:rsidRPr="0050146A">
        <w:rPr>
          <w:rFonts w:hint="cs"/>
          <w:rtl/>
        </w:rPr>
        <w:t xml:space="preserve">בקדירה השניה, דכל החלב שבכחל שעומד לצאת ממנו כבר יצא בקדירה הראשונה, ועי' במה שביאר </w:t>
      </w:r>
      <w:r w:rsidRPr="0050146A">
        <w:rPr>
          <w:rStyle w:val="af8"/>
          <w:rFonts w:hint="cs"/>
          <w:rtl/>
        </w:rPr>
        <w:t xml:space="preserve">הריטב"א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Ref10734479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50146A">
        <w:rPr>
          <w:rStyle w:val="af6"/>
          <w:rFonts w:eastAsia="Guttman Hodes"/>
          <w:rtl/>
        </w:rPr>
        <w:fldChar w:fldCharType="end"/>
      </w:r>
      <w:r w:rsidRPr="0050146A">
        <w:rPr>
          <w:rFonts w:hint="cs"/>
          <w:rtl/>
        </w:rPr>
        <w:t xml:space="preserve"> </w:t>
      </w:r>
      <w:r w:rsidRPr="0050146A">
        <w:rPr>
          <w:rStyle w:val="af8"/>
          <w:rFonts w:hint="cs"/>
          <w:rtl/>
        </w:rPr>
        <w:t>בתי' הב' בתוס'</w:t>
      </w:r>
      <w:r w:rsidRPr="0050146A">
        <w:rPr>
          <w:rFonts w:hint="cs"/>
          <w:rtl/>
        </w:rPr>
        <w:t>.</w:t>
      </w:r>
      <w:bookmarkEnd w:id="3706"/>
    </w:p>
    <w:p w:rsidR="00495EC8" w:rsidRPr="0050146A" w:rsidRDefault="00495EC8" w:rsidP="00495EC8">
      <w:pPr>
        <w:pStyle w:val="1"/>
        <w:rPr>
          <w:rtl/>
        </w:rPr>
      </w:pPr>
      <w:bookmarkStart w:id="3708" w:name="_Toc10451098"/>
      <w:bookmarkStart w:id="3709" w:name="_Toc10494350"/>
      <w:bookmarkStart w:id="3710" w:name="_Toc10541280"/>
      <w:bookmarkStart w:id="3711" w:name="_Toc10625649"/>
      <w:bookmarkStart w:id="3712" w:name="_Toc10665867"/>
      <w:bookmarkStart w:id="3713" w:name="_Toc10716559"/>
      <w:bookmarkStart w:id="3714" w:name="_Toc10718854"/>
      <w:bookmarkStart w:id="3715" w:name="_Toc10730100"/>
      <w:bookmarkStart w:id="3716" w:name="_Toc10737434"/>
      <w:r w:rsidRPr="0050146A">
        <w:rPr>
          <w:rFonts w:hint="cs"/>
          <w:rtl/>
        </w:rPr>
        <w:t>ביאור החוו"ד בתירוץ הב' בתוס' דחלב הבלוע אף טעמו מותר</w:t>
      </w:r>
      <w:bookmarkEnd w:id="3708"/>
      <w:bookmarkEnd w:id="3709"/>
      <w:bookmarkEnd w:id="3710"/>
      <w:bookmarkEnd w:id="3711"/>
      <w:bookmarkEnd w:id="3712"/>
      <w:bookmarkEnd w:id="3713"/>
      <w:bookmarkEnd w:id="3714"/>
      <w:bookmarkEnd w:id="3715"/>
      <w:bookmarkEnd w:id="3716"/>
    </w:p>
    <w:p w:rsidR="00495EC8" w:rsidRPr="0050146A" w:rsidRDefault="00495EC8" w:rsidP="00495EC8">
      <w:pPr>
        <w:pStyle w:val="a2"/>
      </w:pPr>
      <w:bookmarkStart w:id="3717" w:name="_Toc10730101"/>
      <w:bookmarkStart w:id="3718" w:name="_Toc10737435"/>
      <w:r w:rsidRPr="0050146A">
        <w:rPr>
          <w:rFonts w:hint="cs"/>
          <w:rtl/>
        </w:rPr>
        <w:t>ביאור החוו"ד בתי' הב' בתוס' דאף אי לא יצא כל החלב מ"מ בבישול שני לא יוצא יותר מבראשון</w:t>
      </w:r>
      <w:bookmarkEnd w:id="3717"/>
      <w:bookmarkEnd w:id="3718"/>
    </w:p>
    <w:p w:rsidR="00495EC8" w:rsidRPr="0050146A" w:rsidRDefault="00495EC8" w:rsidP="009F44AF">
      <w:pPr>
        <w:pStyle w:val="a"/>
        <w:rPr>
          <w:rStyle w:val="afa"/>
          <w:rtl/>
        </w:rPr>
      </w:pPr>
      <w:bookmarkStart w:id="3719" w:name="_Ref10735368"/>
      <w:r w:rsidRPr="0050146A">
        <w:rPr>
          <w:rFonts w:hint="cs"/>
          <w:rtl/>
        </w:rPr>
        <w:t xml:space="preserve">וביאר </w:t>
      </w:r>
      <w:r w:rsidRPr="0050146A">
        <w:rPr>
          <w:rStyle w:val="af8"/>
          <w:rFonts w:hint="cs"/>
          <w:rtl/>
        </w:rPr>
        <w:t xml:space="preserve">החוו"ד </w:t>
      </w:r>
      <w:r w:rsidRPr="0050146A">
        <w:rPr>
          <w:rStyle w:val="af6"/>
          <w:rFonts w:eastAsia="Guttman Hodes" w:hint="cs"/>
          <w:rtl/>
        </w:rPr>
        <w:t>(סי' צ' סק"א)</w:t>
      </w:r>
      <w:r w:rsidRPr="0050146A">
        <w:rPr>
          <w:rFonts w:hint="cs"/>
          <w:rtl/>
        </w:rPr>
        <w:t xml:space="preserve"> דכוונת </w:t>
      </w:r>
      <w:r w:rsidRPr="0050146A">
        <w:rPr>
          <w:rStyle w:val="af8"/>
          <w:rFonts w:hint="cs"/>
          <w:rtl/>
        </w:rPr>
        <w:t xml:space="preserve">התוס' בתירוץ הב' </w:t>
      </w:r>
      <w:r w:rsidRPr="0050146A">
        <w:rPr>
          <w:rFonts w:hint="cs"/>
          <w:rtl/>
        </w:rPr>
        <w:t>לומר דאף דבקדירה הראשונה לא יצא כל החלב מהכחל, מ"מ הבישול השני אינו מוציא יותר חלב מהבישול הראשון, ולכן כל החלב שסופו לצאת יצא כבר בקדירה הראשונה, ואילו בקדירה השניה לא יוצא כל חלב, ולכן מקשה הגמ' דלא יאסור.</w:t>
      </w:r>
      <w:bookmarkEnd w:id="3707"/>
      <w:bookmarkEnd w:id="3719"/>
    </w:p>
    <w:p w:rsidR="00495EC8" w:rsidRPr="0050146A" w:rsidRDefault="00495EC8" w:rsidP="00495EC8">
      <w:pPr>
        <w:pStyle w:val="a2"/>
        <w:rPr>
          <w:rtl/>
        </w:rPr>
      </w:pPr>
      <w:bookmarkStart w:id="3720" w:name="_Toc10730102"/>
      <w:bookmarkStart w:id="3721" w:name="_Toc10737436"/>
      <w:r w:rsidRPr="0050146A">
        <w:rPr>
          <w:rFonts w:hint="cs"/>
          <w:rtl/>
        </w:rPr>
        <w:t>ביאור החוו"ד בתוס' דהחלב הבלוע אינו אוסר ואף הטעם שיצא לא אוסר כל שלא פירש החלב</w:t>
      </w:r>
      <w:bookmarkEnd w:id="3720"/>
      <w:bookmarkEnd w:id="3721"/>
    </w:p>
    <w:p w:rsidR="00495EC8" w:rsidRPr="0050146A" w:rsidRDefault="00495EC8" w:rsidP="009F44AF">
      <w:pPr>
        <w:pStyle w:val="a"/>
        <w:rPr>
          <w:rtl/>
        </w:rPr>
      </w:pPr>
      <w:r w:rsidRPr="0050146A">
        <w:rPr>
          <w:rFonts w:hint="cs"/>
          <w:rtl/>
        </w:rPr>
        <w:t xml:space="preserve">וכתב </w:t>
      </w:r>
      <w:r w:rsidRPr="0050146A">
        <w:rPr>
          <w:rStyle w:val="af8"/>
          <w:rFonts w:hint="cs"/>
          <w:rtl/>
        </w:rPr>
        <w:t>החוו"ד</w:t>
      </w:r>
      <w:r w:rsidRPr="0050146A">
        <w:rPr>
          <w:rFonts w:hint="cs"/>
          <w:rtl/>
        </w:rPr>
        <w:t xml:space="preserve"> דלדעת </w:t>
      </w:r>
      <w:r w:rsidRPr="0050146A">
        <w:rPr>
          <w:rStyle w:val="af8"/>
          <w:rFonts w:hint="cs"/>
          <w:rtl/>
        </w:rPr>
        <w:t>התוס'</w:t>
      </w:r>
      <w:r w:rsidRPr="0050146A">
        <w:rPr>
          <w:rFonts w:hint="cs"/>
          <w:rtl/>
        </w:rPr>
        <w:t xml:space="preserve"> </w:t>
      </w:r>
      <w:r w:rsidRPr="0050146A">
        <w:rPr>
          <w:rStyle w:val="af8"/>
          <w:rFonts w:hint="cs"/>
          <w:rtl/>
        </w:rPr>
        <w:t xml:space="preserve">בתירוץ הב' </w:t>
      </w:r>
      <w:r w:rsidRPr="0050146A">
        <w:rPr>
          <w:rFonts w:hint="cs"/>
          <w:rtl/>
        </w:rPr>
        <w:t xml:space="preserve">גוף החלב עצמו יוצא מהכחל ולא רק טעמו, אבל כל שלא יצא גוף החלב, טעמו אינו אוסר, </w:t>
      </w:r>
      <w:r w:rsidRPr="0050146A">
        <w:rPr>
          <w:rStyle w:val="afa"/>
          <w:rFonts w:hint="cs"/>
          <w:rtl/>
        </w:rPr>
        <w:t>[דאי הטעם אוסר, א"כ יתכן שהחלב שלא יצא בקדירה הראשונה, מוציא טעם בקדירה השניה],</w:t>
      </w:r>
      <w:r w:rsidRPr="0050146A">
        <w:rPr>
          <w:rFonts w:hint="cs"/>
          <w:rtl/>
        </w:rPr>
        <w:t xml:space="preserve"> וכתב </w:t>
      </w:r>
      <w:r w:rsidRPr="0050146A">
        <w:rPr>
          <w:rStyle w:val="af8"/>
          <w:rFonts w:hint="cs"/>
          <w:rtl/>
        </w:rPr>
        <w:t>החוו"ד</w:t>
      </w:r>
      <w:r w:rsidRPr="0050146A">
        <w:rPr>
          <w:rFonts w:hint="cs"/>
          <w:rtl/>
        </w:rPr>
        <w:t xml:space="preserve"> דס"ל </w:t>
      </w:r>
      <w:r w:rsidRPr="0050146A">
        <w:rPr>
          <w:rStyle w:val="af8"/>
          <w:rFonts w:hint="cs"/>
          <w:rtl/>
        </w:rPr>
        <w:t>להתוס'</w:t>
      </w:r>
      <w:r w:rsidRPr="0050146A">
        <w:rPr>
          <w:rFonts w:hint="cs"/>
          <w:rtl/>
        </w:rPr>
        <w:t xml:space="preserve"> דהחלב הבלוע בכחל, אין לו שם חלב כיון שלא פירש מהכחל, וכדעת </w:t>
      </w:r>
      <w:r w:rsidRPr="0050146A">
        <w:rPr>
          <w:rStyle w:val="af8"/>
          <w:rFonts w:hint="cs"/>
          <w:rtl/>
        </w:rPr>
        <w:t xml:space="preserve">רש"י רש"י לקמן </w:t>
      </w:r>
      <w:r w:rsidRPr="0050146A">
        <w:rPr>
          <w:rStyle w:val="af6"/>
          <w:rFonts w:eastAsia="Guttman Hodes" w:hint="cs"/>
          <w:rtl/>
        </w:rPr>
        <w:t>(קט: ד"ה אמר, וד"ה זה כנוס)</w:t>
      </w:r>
      <w:r w:rsidRPr="0050146A">
        <w:rPr>
          <w:rFonts w:hint="cs"/>
          <w:rtl/>
        </w:rPr>
        <w:t>, וכיון שהחלב עצמו אינו אוסר, אף טעמו אינו אוסר, דהטעם אינו חמור מעיקר החלב.</w:t>
      </w:r>
    </w:p>
    <w:p w:rsidR="00495EC8" w:rsidRPr="0050146A" w:rsidRDefault="00495EC8" w:rsidP="00495EC8">
      <w:pPr>
        <w:pStyle w:val="a2"/>
        <w:rPr>
          <w:rtl/>
        </w:rPr>
      </w:pPr>
      <w:bookmarkStart w:id="3722" w:name="_Toc10730103"/>
      <w:bookmarkStart w:id="3723" w:name="_Toc10737437"/>
      <w:r w:rsidRPr="0050146A">
        <w:rPr>
          <w:rFonts w:hint="cs"/>
          <w:rtl/>
        </w:rPr>
        <w:t>הוכחת החוו"ד מדברי התוס' דאי לא יצא כולו אוסר בקדירה שניה אף שכולו כבר נתן טעם בקדירה</w:t>
      </w:r>
      <w:bookmarkEnd w:id="3722"/>
      <w:bookmarkEnd w:id="3723"/>
    </w:p>
    <w:p w:rsidR="00495EC8" w:rsidRPr="0050146A" w:rsidRDefault="00495EC8" w:rsidP="009F44AF">
      <w:pPr>
        <w:pStyle w:val="a"/>
        <w:rPr>
          <w:rStyle w:val="afa"/>
          <w:rtl/>
        </w:rPr>
      </w:pPr>
      <w:r w:rsidRPr="0050146A">
        <w:rPr>
          <w:rFonts w:hint="cs"/>
          <w:rtl/>
        </w:rPr>
        <w:t xml:space="preserve">והביא </w:t>
      </w:r>
      <w:r w:rsidRPr="0050146A">
        <w:rPr>
          <w:rStyle w:val="af8"/>
          <w:rFonts w:hint="cs"/>
          <w:rtl/>
        </w:rPr>
        <w:t>החוו"ד</w:t>
      </w:r>
      <w:r w:rsidRPr="0050146A">
        <w:rPr>
          <w:rFonts w:hint="cs"/>
          <w:rtl/>
        </w:rPr>
        <w:t xml:space="preserve"> את מדברי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Ref10406259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בתחילת דבריהם, דכתבו</w:t>
      </w:r>
      <w:r w:rsidRPr="0050146A">
        <w:rPr>
          <w:rStyle w:val="af6"/>
          <w:rFonts w:eastAsia="Guttman Hodes" w:hint="cs"/>
          <w:rtl/>
        </w:rPr>
        <w:t xml:space="preserve"> </w:t>
      </w:r>
      <w:r w:rsidRPr="0050146A">
        <w:rPr>
          <w:rFonts w:hint="cs"/>
          <w:rtl/>
        </w:rPr>
        <w:t xml:space="preserve">דלהצד דמשערינן בכחל במאי דנפיק מיניה, מבואר אמאי אוסר בקדירה אחרת, דהא לא יצא כל החלב מהכחל, וביאר </w:t>
      </w:r>
      <w:r w:rsidRPr="0050146A">
        <w:rPr>
          <w:rStyle w:val="af8"/>
          <w:rFonts w:hint="cs"/>
          <w:rtl/>
        </w:rPr>
        <w:t>החוו"ד</w:t>
      </w:r>
      <w:r w:rsidRPr="0050146A">
        <w:rPr>
          <w:rFonts w:hint="cs"/>
          <w:rtl/>
        </w:rPr>
        <w:t xml:space="preserve"> דכוונת </w:t>
      </w:r>
      <w:r w:rsidRPr="0050146A">
        <w:rPr>
          <w:rStyle w:val="af8"/>
          <w:rFonts w:hint="cs"/>
          <w:rtl/>
        </w:rPr>
        <w:t xml:space="preserve">התוס' </w:t>
      </w:r>
      <w:r w:rsidRPr="0050146A">
        <w:rPr>
          <w:rFonts w:hint="cs"/>
          <w:rtl/>
        </w:rPr>
        <w:t xml:space="preserve">לומר דבקדירה הראשונה משערינן כנגד מה שיצא ממנו ולא אסרינן כנגד כל החלב שבכחל, וכתב </w:t>
      </w:r>
      <w:r w:rsidRPr="0050146A">
        <w:rPr>
          <w:rStyle w:val="af8"/>
          <w:rFonts w:hint="cs"/>
          <w:rtl/>
        </w:rPr>
        <w:t>החוו"ד</w:t>
      </w:r>
      <w:r w:rsidRPr="0050146A">
        <w:rPr>
          <w:rFonts w:hint="cs"/>
          <w:rtl/>
        </w:rPr>
        <w:t xml:space="preserve"> דמוכח דאף שהחלב נותן טעם לפי השיעור של כל החלב, מ"מ כיון שלא יצא החלב מהכחל, אף טעמו אינו אוסר מדין בשר בחלב, דאין לו שם חלב כ"ז שלא פירש מהכחל. </w:t>
      </w:r>
      <w:r w:rsidRPr="0050146A">
        <w:rPr>
          <w:rStyle w:val="afa"/>
          <w:rFonts w:hint="cs"/>
          <w:rtl/>
        </w:rPr>
        <w:t xml:space="preserve">[וכתב </w:t>
      </w:r>
      <w:r w:rsidRPr="0050146A">
        <w:rPr>
          <w:rStyle w:val="affa"/>
          <w:rFonts w:hint="cs"/>
          <w:rtl/>
        </w:rPr>
        <w:t>החוו"ד</w:t>
      </w:r>
      <w:r w:rsidRPr="0050146A">
        <w:rPr>
          <w:rStyle w:val="afa"/>
          <w:rFonts w:hint="cs"/>
          <w:rtl/>
        </w:rPr>
        <w:t xml:space="preserve"> דספק הגמ' הוא רק בכחל, אף כשגוף הכחל בתבשיל, ואילו בכל האיסורים קיי"ל דאף בסילק את גוף האיסור מהתבשיל, צריך לשער כנגד כולו].</w:t>
      </w:r>
    </w:p>
    <w:p w:rsidR="00495EC8" w:rsidRPr="0050146A" w:rsidRDefault="00495EC8" w:rsidP="00495EC8">
      <w:pPr>
        <w:pStyle w:val="a2"/>
      </w:pPr>
      <w:bookmarkStart w:id="3724" w:name="_Toc10730104"/>
      <w:bookmarkStart w:id="3725" w:name="_Toc10737438"/>
      <w:r w:rsidRPr="0050146A">
        <w:rPr>
          <w:rFonts w:hint="cs"/>
          <w:rtl/>
        </w:rPr>
        <w:t>ביאור החוו"ד בתירוץ הגמ' דשויוה כחתיכת נבילה ולכן אף שהחלב לא פירש טעמו אוסר</w:t>
      </w:r>
      <w:bookmarkEnd w:id="3724"/>
      <w:bookmarkEnd w:id="3725"/>
    </w:p>
    <w:p w:rsidR="00495EC8" w:rsidRPr="0050146A" w:rsidRDefault="00495EC8" w:rsidP="009F44AF">
      <w:pPr>
        <w:pStyle w:val="a"/>
        <w:rPr>
          <w:rtl/>
        </w:rPr>
      </w:pPr>
      <w:bookmarkStart w:id="3726" w:name="_Ref10735432"/>
      <w:r w:rsidRPr="0050146A">
        <w:rPr>
          <w:rFonts w:hint="cs"/>
          <w:rtl/>
        </w:rPr>
        <w:t xml:space="preserve">וכתב </w:t>
      </w:r>
      <w:r w:rsidRPr="0050146A">
        <w:rPr>
          <w:rStyle w:val="af8"/>
          <w:rFonts w:hint="cs"/>
          <w:rtl/>
        </w:rPr>
        <w:t>החוו"ד</w:t>
      </w:r>
      <w:r w:rsidRPr="0050146A">
        <w:rPr>
          <w:rFonts w:hint="cs"/>
          <w:rtl/>
        </w:rPr>
        <w:t xml:space="preserve"> דע"ז תירצה הגמ' דשויוה רבנן כחתיכת נבילה, דהיינו דכיון שהחלב שבגומות נאסר ונעשה נבילה, כדכתבו </w:t>
      </w:r>
      <w:r w:rsidRPr="0050146A">
        <w:rPr>
          <w:rStyle w:val="af8"/>
          <w:rFonts w:hint="cs"/>
          <w:rtl/>
        </w:rPr>
        <w:t xml:space="preserve">התוס' </w:t>
      </w:r>
      <w:r w:rsidRPr="0050146A">
        <w:rPr>
          <w:rStyle w:val="af6"/>
          <w:rFonts w:eastAsia="Guttman Hodes" w:hint="cs"/>
          <w:rtl/>
        </w:rPr>
        <w:t>(ד"ה וכחל מן המנין)</w:t>
      </w:r>
      <w:r w:rsidRPr="0050146A">
        <w:rPr>
          <w:rFonts w:hint="cs"/>
          <w:rtl/>
        </w:rPr>
        <w:t xml:space="preserve">, לכן אף שהחלב שלא יצא בקדירה הראשונה, אינו יוצא בקדירה השניה, </w:t>
      </w:r>
      <w:r w:rsidRPr="0050146A">
        <w:rPr>
          <w:rStyle w:val="afa"/>
          <w:rFonts w:hint="cs"/>
          <w:rtl/>
        </w:rPr>
        <w:t xml:space="preserve">[וחלב הבלוע אין לו שם חלב וטעמו אינו אוסר], </w:t>
      </w:r>
      <w:r w:rsidRPr="0050146A">
        <w:rPr>
          <w:rFonts w:hint="cs"/>
          <w:rtl/>
        </w:rPr>
        <w:t>מ"מ כיון שהוא נעשה נבילה, דינו כשאר איסורים שבתורה, שאוסרים בטעם.</w:t>
      </w:r>
      <w:bookmarkEnd w:id="3726"/>
    </w:p>
    <w:p w:rsidR="00495EC8" w:rsidRPr="0050146A" w:rsidRDefault="00495EC8" w:rsidP="00495EC8">
      <w:pPr>
        <w:pStyle w:val="1"/>
        <w:rPr>
          <w:rtl/>
        </w:rPr>
      </w:pPr>
      <w:bookmarkStart w:id="3727" w:name="_Toc10625652"/>
      <w:bookmarkStart w:id="3728" w:name="_Toc10665870"/>
      <w:bookmarkStart w:id="3729" w:name="_Toc10716562"/>
      <w:bookmarkStart w:id="3730" w:name="_Toc10718857"/>
      <w:bookmarkStart w:id="3731" w:name="_Toc10730107"/>
      <w:bookmarkStart w:id="3732" w:name="_Toc10737439"/>
      <w:bookmarkStart w:id="3733" w:name="_Toc10716582"/>
      <w:bookmarkStart w:id="3734" w:name="_Toc10718877"/>
      <w:bookmarkStart w:id="3735" w:name="_Toc10730127"/>
      <w:bookmarkStart w:id="3736" w:name="_Toc10541285"/>
      <w:bookmarkStart w:id="3737" w:name="_Toc10625656"/>
      <w:bookmarkStart w:id="3738" w:name="_Toc10665886"/>
      <w:bookmarkStart w:id="3739" w:name="_Toc10451093"/>
      <w:bookmarkStart w:id="3740" w:name="_Toc10494341"/>
      <w:bookmarkStart w:id="3741" w:name="_Toc10541282"/>
      <w:bookmarkStart w:id="3742" w:name="_Toc10625651"/>
      <w:bookmarkStart w:id="3743" w:name="_Toc10665869"/>
      <w:bookmarkStart w:id="3744" w:name="_Toc10716561"/>
      <w:bookmarkStart w:id="3745" w:name="_Toc10718856"/>
      <w:bookmarkStart w:id="3746" w:name="_Toc10730106"/>
      <w:r w:rsidRPr="0050146A">
        <w:rPr>
          <w:rFonts w:hint="cs"/>
          <w:rtl/>
        </w:rPr>
        <w:t xml:space="preserve">דעת הר"ן </w:t>
      </w:r>
      <w:bookmarkEnd w:id="3727"/>
      <w:bookmarkEnd w:id="3728"/>
      <w:bookmarkEnd w:id="3729"/>
      <w:bookmarkEnd w:id="3730"/>
      <w:bookmarkEnd w:id="3731"/>
      <w:r w:rsidRPr="0050146A">
        <w:rPr>
          <w:rFonts w:hint="cs"/>
          <w:rtl/>
        </w:rPr>
        <w:t>דאף שהתבטל אוסר בקדירה שניה ממראית העין</w:t>
      </w:r>
      <w:bookmarkEnd w:id="3732"/>
    </w:p>
    <w:p w:rsidR="00495EC8" w:rsidRPr="0050146A" w:rsidRDefault="00495EC8" w:rsidP="00495EC8">
      <w:pPr>
        <w:pStyle w:val="a2"/>
      </w:pPr>
      <w:bookmarkStart w:id="3747" w:name="_Toc10737440"/>
      <w:bookmarkStart w:id="3748" w:name="_Toc10625653"/>
      <w:bookmarkStart w:id="3749" w:name="_Toc10665871"/>
      <w:bookmarkStart w:id="3750" w:name="_Toc10716563"/>
      <w:bookmarkStart w:id="3751" w:name="_Toc10718858"/>
      <w:bookmarkStart w:id="3752" w:name="_Toc10730108"/>
      <w:r w:rsidRPr="0050146A">
        <w:rPr>
          <w:rFonts w:hint="cs"/>
          <w:rtl/>
        </w:rPr>
        <w:t>ביאור הר"ן דאמרינן דאוסר בקדירה אחרת לבאר דאיסורו אינו כיון שיש בו חלב אלא דדינו כנבילה</w:t>
      </w:r>
      <w:bookmarkEnd w:id="3747"/>
    </w:p>
    <w:p w:rsidR="00495EC8" w:rsidRPr="0050146A" w:rsidRDefault="00495EC8" w:rsidP="009F44AF">
      <w:pPr>
        <w:pStyle w:val="a"/>
        <w:rPr>
          <w:rtl/>
        </w:rPr>
      </w:pPr>
      <w:bookmarkStart w:id="3753" w:name="_Ref10735195"/>
      <w:bookmarkEnd w:id="3748"/>
      <w:bookmarkEnd w:id="3749"/>
      <w:bookmarkEnd w:id="3750"/>
      <w:bookmarkEnd w:id="3751"/>
      <w:bookmarkEnd w:id="3752"/>
      <w:r w:rsidRPr="0050146A">
        <w:rPr>
          <w:rFonts w:hint="cs"/>
          <w:rtl/>
        </w:rPr>
        <w:t xml:space="preserve">כתב </w:t>
      </w:r>
      <w:r w:rsidRPr="0050146A">
        <w:rPr>
          <w:rStyle w:val="af8"/>
          <w:rFonts w:hint="cs"/>
          <w:rtl/>
        </w:rPr>
        <w:t>הר"ן על הרי"ף</w:t>
      </w:r>
      <w:r w:rsidRPr="0050146A">
        <w:rPr>
          <w:rFonts w:hint="cs"/>
          <w:rtl/>
        </w:rPr>
        <w:t xml:space="preserve"> </w:t>
      </w:r>
      <w:r w:rsidRPr="0050146A">
        <w:rPr>
          <w:rStyle w:val="af6"/>
          <w:rFonts w:eastAsia="Guttman Hodes" w:hint="cs"/>
          <w:rtl/>
        </w:rPr>
        <w:t>(לה. מדפי הרי"ף ד"ה וכחל)</w:t>
      </w:r>
      <w:r w:rsidRPr="0050146A">
        <w:rPr>
          <w:rFonts w:hint="cs"/>
          <w:rtl/>
        </w:rPr>
        <w:t xml:space="preserve"> דאעפ"י דמדינא צריך להתיר אף את הכחל עצמו, דהא יצא כל החלב שבו והתבטל, מ"מ הכחל אסור מפני מראית העין, שמא יבואו להתיר חתיכת נבילה, וביאר </w:t>
      </w:r>
      <w:r w:rsidRPr="0050146A">
        <w:rPr>
          <w:rStyle w:val="af8"/>
          <w:rFonts w:hint="cs"/>
          <w:rtl/>
        </w:rPr>
        <w:t>הר"ן על הרי"ף</w:t>
      </w:r>
      <w:r w:rsidRPr="0050146A">
        <w:rPr>
          <w:rFonts w:hint="cs"/>
          <w:rtl/>
        </w:rPr>
        <w:t xml:space="preserve"> דהא דאמר רב יצחק דאוסר בקדירה אחרת, כוונתו לבאר דלא נטעה לומר שאיסור הכחל הוא מחמת שנשאר בתוכו חלב, אבל הוא פלט כבר את כל מה שהוא היה יכול לפלוט, דא"כ לא היה אוסר הכחל בקדירה אחרת, אלא ביארה הגמ' דאסרוהו רבנן כדי שלא יבואו להחליפו בחתיכת נבילה, ולכן שויוה רבנן כחתיכת נבילה, וממילא הוא אוסר כשנפל לקדירה אחרת.</w:t>
      </w:r>
      <w:bookmarkEnd w:id="3753"/>
    </w:p>
    <w:p w:rsidR="00495EC8" w:rsidRPr="0050146A" w:rsidRDefault="00495EC8" w:rsidP="00495EC8">
      <w:pPr>
        <w:pStyle w:val="a2"/>
        <w:rPr>
          <w:rtl/>
        </w:rPr>
      </w:pPr>
      <w:bookmarkStart w:id="3754" w:name="_Toc10737441"/>
      <w:r w:rsidRPr="0050146A">
        <w:rPr>
          <w:rFonts w:hint="cs"/>
          <w:rtl/>
        </w:rPr>
        <w:t>ביאור הר"ן דמקשה הגמ' דאי איסורו מחמת החלב שבו אי משערים בכולו אינו אוסר בקדירה שניה</w:t>
      </w:r>
      <w:bookmarkEnd w:id="3754"/>
    </w:p>
    <w:p w:rsidR="00495EC8" w:rsidRPr="0050146A" w:rsidRDefault="00495EC8" w:rsidP="009F44AF">
      <w:pPr>
        <w:pStyle w:val="a"/>
        <w:rPr>
          <w:rtl/>
        </w:rPr>
      </w:pPr>
      <w:r w:rsidRPr="0050146A">
        <w:rPr>
          <w:rFonts w:hint="cs"/>
          <w:rtl/>
        </w:rPr>
        <w:t xml:space="preserve">ובקושית הגמ' דלא יאסר בקדירה אחרת, ביאר </w:t>
      </w:r>
      <w:r w:rsidRPr="0050146A">
        <w:rPr>
          <w:rStyle w:val="af8"/>
          <w:rFonts w:hint="cs"/>
          <w:rtl/>
        </w:rPr>
        <w:t>הר"ן על הרי"ף</w:t>
      </w:r>
      <w:r w:rsidRPr="0050146A">
        <w:rPr>
          <w:rFonts w:hint="cs"/>
          <w:rtl/>
        </w:rPr>
        <w:t xml:space="preserve"> דהמקשה לא היה ברור לו מהו טעם האיסור בכחל, ולכן אמר דאי משערינן במאי דנפיק מיניה, א"כ הוא צריך לאסור אף בקדירה אחרת, דהא עדיין לא יצא כל החלב שבו, דהא לא התבטל כולו, </w:t>
      </w:r>
      <w:r w:rsidRPr="0050146A">
        <w:rPr>
          <w:rFonts w:hint="cs"/>
          <w:rtl/>
        </w:rPr>
        <w:lastRenderedPageBreak/>
        <w:t>אבל אם משערינן בכולו, א"כ הוא נתבטל לגמרי, ואינו אוסר בקדירה אחרת.</w:t>
      </w:r>
    </w:p>
    <w:p w:rsidR="00495EC8" w:rsidRPr="0050146A" w:rsidRDefault="00495EC8" w:rsidP="00495EC8">
      <w:pPr>
        <w:pStyle w:val="a2"/>
      </w:pPr>
      <w:bookmarkStart w:id="3755" w:name="_Toc10737442"/>
      <w:r w:rsidRPr="0050146A">
        <w:rPr>
          <w:rFonts w:hint="cs"/>
          <w:rtl/>
        </w:rPr>
        <w:t>ביאור הר"ן בתירוץ הגמ' דאף שכל הכחל התבטל לגמרי אסרוהו כנבילה מפני מראית העין</w:t>
      </w:r>
      <w:bookmarkEnd w:id="3755"/>
    </w:p>
    <w:p w:rsidR="00495EC8" w:rsidRPr="0050146A" w:rsidRDefault="00495EC8" w:rsidP="009F44AF">
      <w:pPr>
        <w:pStyle w:val="a"/>
        <w:rPr>
          <w:rtl/>
        </w:rPr>
      </w:pPr>
      <w:r w:rsidRPr="0050146A">
        <w:rPr>
          <w:rFonts w:hint="cs"/>
          <w:rtl/>
        </w:rPr>
        <w:t>ובתירוץ הגמ' ביאר</w:t>
      </w:r>
      <w:r w:rsidRPr="0050146A">
        <w:rPr>
          <w:rStyle w:val="af8"/>
          <w:rFonts w:hint="cs"/>
          <w:rtl/>
        </w:rPr>
        <w:t xml:space="preserve"> הר"ן על הרי"ף </w:t>
      </w:r>
      <w:r w:rsidRPr="0050146A">
        <w:rPr>
          <w:rFonts w:hint="cs"/>
          <w:rtl/>
        </w:rPr>
        <w:t>דאף שהכחל התבטל לגמרי, מ"מ אסרוהו רבנן מחמת מראית העין ואמרו שהוא כחתיכת נבילה, ולכן אף שהתבטל לגמרי בקדירה הראשונה, מ"מ הוא אוסר בקדירה אחרת.</w:t>
      </w:r>
    </w:p>
    <w:p w:rsidR="00495EC8" w:rsidRPr="0050146A" w:rsidRDefault="00495EC8" w:rsidP="00495EC8">
      <w:pPr>
        <w:pStyle w:val="a2"/>
        <w:rPr>
          <w:rtl/>
        </w:rPr>
      </w:pPr>
      <w:bookmarkStart w:id="3756" w:name="_Toc10737443"/>
      <w:r w:rsidRPr="0050146A">
        <w:rPr>
          <w:rFonts w:hint="cs"/>
          <w:rtl/>
        </w:rPr>
        <w:t>ביאור היד יהודה בר"ן דבקושית הגמ' הו"א דאף מפני מראית העין א"צ לאסור בקדירה שניה</w:t>
      </w:r>
      <w:bookmarkEnd w:id="3756"/>
      <w:r w:rsidRPr="0050146A">
        <w:rPr>
          <w:rFonts w:hint="cs"/>
          <w:rtl/>
        </w:rPr>
        <w:t xml:space="preserve"> </w:t>
      </w:r>
    </w:p>
    <w:p w:rsidR="00495EC8" w:rsidRPr="0050146A" w:rsidRDefault="00495EC8" w:rsidP="009F44AF">
      <w:pPr>
        <w:pStyle w:val="a"/>
        <w:rPr>
          <w:rtl/>
        </w:rPr>
      </w:pPr>
      <w:r w:rsidRPr="0050146A">
        <w:rPr>
          <w:rFonts w:hint="cs"/>
          <w:rtl/>
        </w:rPr>
        <w:t xml:space="preserve">וביאר </w:t>
      </w:r>
      <w:r w:rsidRPr="0050146A">
        <w:rPr>
          <w:rStyle w:val="af8"/>
          <w:rFonts w:hint="cs"/>
          <w:rtl/>
        </w:rPr>
        <w:t>היד יהודה</w:t>
      </w:r>
      <w:r w:rsidRPr="0050146A">
        <w:rPr>
          <w:rFonts w:hint="cs"/>
          <w:rtl/>
        </w:rPr>
        <w:t xml:space="preserve"> </w:t>
      </w:r>
      <w:r w:rsidRPr="0050146A">
        <w:rPr>
          <w:rStyle w:val="af6"/>
          <w:rFonts w:eastAsia="Guttman Hodes" w:hint="cs"/>
          <w:rtl/>
        </w:rPr>
        <w:t>(סי' צ' סוס"ק א' סוד"ה והר"ן)</w:t>
      </w:r>
      <w:r w:rsidRPr="0050146A">
        <w:rPr>
          <w:rFonts w:hint="cs"/>
          <w:rtl/>
        </w:rPr>
        <w:t xml:space="preserve"> דכוונת </w:t>
      </w:r>
      <w:r w:rsidRPr="0050146A">
        <w:rPr>
          <w:rStyle w:val="af8"/>
          <w:rFonts w:hint="cs"/>
          <w:rtl/>
        </w:rPr>
        <w:t>הר"ן</w:t>
      </w:r>
      <w:r w:rsidRPr="0050146A">
        <w:rPr>
          <w:rFonts w:hint="cs"/>
          <w:rtl/>
        </w:rPr>
        <w:t xml:space="preserve"> לומר דהמקשה סבר דאף שהאיסור הוא מחמת מראית העין, מ"מ סגי לאסור בקדירה הראשונה, ותירצה הגמ' דכיון דשויוה כחתיכת נבילה, יש מראית העין אף בקדירה השניה, עיי"ש בדבריו.</w:t>
      </w:r>
    </w:p>
    <w:p w:rsidR="00495EC8" w:rsidRPr="0050146A" w:rsidRDefault="00495EC8" w:rsidP="00495EC8">
      <w:pPr>
        <w:pStyle w:val="1"/>
        <w:rPr>
          <w:rtl/>
        </w:rPr>
      </w:pPr>
      <w:bookmarkStart w:id="3757" w:name="_Toc10737444"/>
      <w:r w:rsidRPr="0050146A">
        <w:rPr>
          <w:rFonts w:hint="cs"/>
          <w:rtl/>
        </w:rPr>
        <w:t>דברי הרא"ה בחי'</w:t>
      </w:r>
      <w:bookmarkEnd w:id="3733"/>
      <w:bookmarkEnd w:id="3734"/>
      <w:bookmarkEnd w:id="3735"/>
      <w:r w:rsidRPr="0050146A">
        <w:rPr>
          <w:rFonts w:hint="cs"/>
          <w:rtl/>
        </w:rPr>
        <w:t xml:space="preserve"> </w:t>
      </w:r>
      <w:bookmarkEnd w:id="3736"/>
      <w:bookmarkEnd w:id="3737"/>
      <w:bookmarkEnd w:id="3738"/>
      <w:r w:rsidRPr="0050146A">
        <w:rPr>
          <w:rFonts w:hint="cs"/>
          <w:rtl/>
        </w:rPr>
        <w:t>דלא יוצא כל החלב ודין הכחל כבשר בחלב</w:t>
      </w:r>
      <w:bookmarkEnd w:id="3757"/>
    </w:p>
    <w:p w:rsidR="00495EC8" w:rsidRPr="0050146A" w:rsidRDefault="00495EC8" w:rsidP="00495EC8">
      <w:pPr>
        <w:pStyle w:val="a2"/>
      </w:pPr>
      <w:bookmarkStart w:id="3758" w:name="_Toc10737445"/>
      <w:r w:rsidRPr="0050146A">
        <w:rPr>
          <w:rFonts w:hint="cs"/>
          <w:rtl/>
        </w:rPr>
        <w:t>ביאור הרא"ה דהכחל לעולם אסור דלא יתכן שיצא ממנו כל החלב ולא דמי לטיפת חלב בחתיכה</w:t>
      </w:r>
      <w:bookmarkEnd w:id="3758"/>
    </w:p>
    <w:p w:rsidR="00495EC8" w:rsidRPr="0050146A" w:rsidRDefault="00495EC8" w:rsidP="009F44AF">
      <w:pPr>
        <w:pStyle w:val="a"/>
        <w:rPr>
          <w:rtl/>
        </w:rPr>
      </w:pPr>
      <w:bookmarkStart w:id="3759" w:name="_Ref10389792"/>
      <w:r w:rsidRPr="0050146A">
        <w:rPr>
          <w:rFonts w:hint="cs"/>
          <w:rtl/>
        </w:rPr>
        <w:t xml:space="preserve">כתב </w:t>
      </w:r>
      <w:r w:rsidRPr="0050146A">
        <w:rPr>
          <w:rStyle w:val="af8"/>
          <w:rFonts w:hint="cs"/>
          <w:rtl/>
        </w:rPr>
        <w:t>הרא"ה בחי'</w:t>
      </w:r>
      <w:r w:rsidRPr="0050146A">
        <w:rPr>
          <w:rFonts w:hint="cs"/>
          <w:rtl/>
        </w:rPr>
        <w:t xml:space="preserve"> </w:t>
      </w:r>
      <w:r w:rsidRPr="0050146A">
        <w:rPr>
          <w:rStyle w:val="af6"/>
          <w:rFonts w:eastAsia="Guttman Hodes" w:hint="cs"/>
          <w:rtl/>
        </w:rPr>
        <w:t>(ד"ה אמר רב יצחק)</w:t>
      </w:r>
      <w:r w:rsidRPr="0050146A">
        <w:rPr>
          <w:rFonts w:hint="cs"/>
          <w:rtl/>
        </w:rPr>
        <w:t xml:space="preserve"> דהא דאמרינן בגמ' דהא דהכחל עצמו אסור, הוא נ"מ דאוסר בקדירה אחרת, היינו דלא נימא דהכחל מותר אחר שהיה שישים כנגדו, דיצא ממנו כל החלב, והוא כמו חתיכה שנפלה עליה טיפת חלב, דהיכא שנתערב החלב בכל הקדירה ע"י שניער וכיסה, החתיכה מותרת כשיש שישים כנגדה דנפלט ממנה כל החלב, אלא דהכחל עצמו לעולם אסור, דלא יתכן שנפלט כל החלב ממנו, דאי"ז חלב שנפל עליו מעלמא כמו בחתיכה, דהא החלב נמצא בכחל מתחילתו, ולכן אף שהתבשל הכחל בקדירה שיש בה שישים, מ"מ עדיין נשאר בו חלב.</w:t>
      </w:r>
      <w:bookmarkEnd w:id="3759"/>
    </w:p>
    <w:p w:rsidR="00495EC8" w:rsidRPr="0050146A" w:rsidRDefault="00495EC8" w:rsidP="00495EC8">
      <w:pPr>
        <w:pStyle w:val="a2"/>
        <w:rPr>
          <w:rtl/>
        </w:rPr>
      </w:pPr>
      <w:bookmarkStart w:id="3760" w:name="_Toc10737446"/>
      <w:r w:rsidRPr="0050146A">
        <w:rPr>
          <w:rFonts w:hint="cs"/>
          <w:rtl/>
        </w:rPr>
        <w:t>ביאור הרא"ה דכיון שתמיד נשאר חלב בכחל הוא אוסר בכל קדירה דחוזר ומקבל טעם מהבשר</w:t>
      </w:r>
      <w:bookmarkEnd w:id="3760"/>
    </w:p>
    <w:p w:rsidR="00495EC8" w:rsidRPr="0050146A" w:rsidRDefault="00495EC8" w:rsidP="009F44AF">
      <w:pPr>
        <w:pStyle w:val="a"/>
        <w:rPr>
          <w:rtl/>
        </w:rPr>
      </w:pPr>
      <w:r w:rsidRPr="0050146A">
        <w:rPr>
          <w:rFonts w:hint="cs"/>
          <w:rtl/>
        </w:rPr>
        <w:t xml:space="preserve">וביאר </w:t>
      </w:r>
      <w:r w:rsidRPr="0050146A">
        <w:rPr>
          <w:rStyle w:val="af8"/>
          <w:rFonts w:hint="cs"/>
          <w:rtl/>
        </w:rPr>
        <w:t>הרא"ה בחי'</w:t>
      </w:r>
      <w:r w:rsidRPr="0050146A">
        <w:rPr>
          <w:rFonts w:hint="cs"/>
          <w:rtl/>
        </w:rPr>
        <w:t xml:space="preserve"> דכיון שלעולם נשאר חלב בכחל, לכן אף כשנפל לקדירה אחרת, החלב שבו חוזר ומקבל טעם מהבשר שבקדירה ונאסר, דהכחל עצמו הוא בשר בחלב.</w:t>
      </w:r>
    </w:p>
    <w:p w:rsidR="00495EC8" w:rsidRPr="0050146A" w:rsidRDefault="00495EC8" w:rsidP="00495EC8">
      <w:pPr>
        <w:pStyle w:val="a2"/>
        <w:rPr>
          <w:rtl/>
        </w:rPr>
      </w:pPr>
      <w:bookmarkStart w:id="3761" w:name="_Toc10737447"/>
      <w:r w:rsidRPr="0050146A">
        <w:rPr>
          <w:rFonts w:hint="cs"/>
          <w:rtl/>
        </w:rPr>
        <w:t>דברי הרא"ה דהנ"מ גם דהכחל עצמו גופו כבשר וחלב ולכן בקדירה שניה אוסר כחתיכת איסור</w:t>
      </w:r>
      <w:bookmarkEnd w:id="3761"/>
      <w:r w:rsidRPr="0050146A">
        <w:rPr>
          <w:rFonts w:hint="cs"/>
          <w:rtl/>
        </w:rPr>
        <w:t xml:space="preserve"> </w:t>
      </w:r>
    </w:p>
    <w:p w:rsidR="00495EC8" w:rsidRPr="0050146A" w:rsidRDefault="00495EC8" w:rsidP="009F44AF">
      <w:pPr>
        <w:pStyle w:val="a"/>
        <w:rPr>
          <w:rStyle w:val="afa"/>
          <w:rtl/>
        </w:rPr>
      </w:pPr>
      <w:r w:rsidRPr="0050146A">
        <w:rPr>
          <w:rFonts w:hint="cs"/>
          <w:rtl/>
        </w:rPr>
        <w:t xml:space="preserve">והוסיף </w:t>
      </w:r>
      <w:r w:rsidRPr="0050146A">
        <w:rPr>
          <w:rStyle w:val="af8"/>
          <w:rFonts w:hint="cs"/>
          <w:rtl/>
        </w:rPr>
        <w:t>הרא"ה בחי'</w:t>
      </w:r>
      <w:r w:rsidRPr="0050146A">
        <w:rPr>
          <w:rFonts w:hint="cs"/>
          <w:rtl/>
        </w:rPr>
        <w:t xml:space="preserve"> דאין כוונת הגמ' לומר דהנ"מ מדברי רב יצחק הם רק לקדירה אחרת, דהא יש נ"מ גם לכחל עצמו דהוא לעולם אסור, אלא דכוונת הגמ' לומר דכיון שהכחל עצמו נאסר וגופו נעשה בשר בחלב, א"כ בקדירה השניה הוא אוסר כחתיכת איסור ממש, וצריך שישים כנגד כולו. </w:t>
      </w:r>
      <w:r w:rsidRPr="0050146A">
        <w:rPr>
          <w:rStyle w:val="afa"/>
          <w:rFonts w:hint="cs"/>
          <w:rtl/>
        </w:rPr>
        <w:t>[ולא רק כנגד החלב הבלוע בו].</w:t>
      </w:r>
    </w:p>
    <w:p w:rsidR="00495EC8" w:rsidRPr="0050146A" w:rsidRDefault="00495EC8" w:rsidP="00495EC8">
      <w:pPr>
        <w:pStyle w:val="a2"/>
      </w:pPr>
      <w:bookmarkStart w:id="3762" w:name="_Toc10737448"/>
      <w:r w:rsidRPr="0050146A">
        <w:rPr>
          <w:rFonts w:hint="cs"/>
          <w:rtl/>
        </w:rPr>
        <w:t>ביאור הרא"ה דאף שלא נשאר בו הרבה חלב מ"מ הוא עצמו איסור גמור ומשערים כנגד כולו</w:t>
      </w:r>
      <w:bookmarkEnd w:id="3762"/>
    </w:p>
    <w:p w:rsidR="00495EC8" w:rsidRPr="0050146A" w:rsidRDefault="00495EC8" w:rsidP="009F44AF">
      <w:pPr>
        <w:pStyle w:val="a"/>
      </w:pPr>
      <w:r w:rsidRPr="0050146A">
        <w:rPr>
          <w:rFonts w:hint="cs"/>
          <w:rtl/>
        </w:rPr>
        <w:t xml:space="preserve">וביאר </w:t>
      </w:r>
      <w:r w:rsidRPr="0050146A">
        <w:rPr>
          <w:rStyle w:val="af8"/>
          <w:rFonts w:hint="cs"/>
          <w:rtl/>
        </w:rPr>
        <w:t>הרא"ה בחי'</w:t>
      </w:r>
      <w:r w:rsidRPr="0050146A">
        <w:rPr>
          <w:rFonts w:hint="cs"/>
          <w:rtl/>
        </w:rPr>
        <w:t xml:space="preserve"> דאף שלא יתכן שנשאר בו כ"כ הרבה חלב, עד שצריך שישים כנגד כולו, מ"מ כיון שאינו אוסר מחמת החלב שבו, אלא כיון שהוא עצמו איסור והוא כבשר חזיר, לכן משערים כנגד כולו.</w:t>
      </w:r>
    </w:p>
    <w:p w:rsidR="00495EC8" w:rsidRPr="0050146A" w:rsidRDefault="00495EC8" w:rsidP="00495EC8">
      <w:pPr>
        <w:pStyle w:val="a2"/>
      </w:pPr>
      <w:bookmarkStart w:id="3763" w:name="_Toc10737449"/>
      <w:r w:rsidRPr="0050146A">
        <w:rPr>
          <w:rFonts w:hint="cs"/>
          <w:rtl/>
        </w:rPr>
        <w:t>דברי הרא"ה דאף בקדירה שניה הכחל מהמנין כיון שכל איסורו הוא חומרא דרבנן דמיחזי כבב"ח</w:t>
      </w:r>
      <w:bookmarkEnd w:id="3763"/>
    </w:p>
    <w:p w:rsidR="00495EC8" w:rsidRPr="0050146A" w:rsidRDefault="00495EC8" w:rsidP="009F44AF">
      <w:pPr>
        <w:pStyle w:val="a"/>
        <w:rPr>
          <w:rtl/>
        </w:rPr>
      </w:pPr>
      <w:r w:rsidRPr="0050146A">
        <w:rPr>
          <w:rFonts w:hint="cs"/>
          <w:rtl/>
        </w:rPr>
        <w:t xml:space="preserve">אך כתב </w:t>
      </w:r>
      <w:r w:rsidRPr="0050146A">
        <w:rPr>
          <w:rStyle w:val="af8"/>
          <w:rFonts w:hint="cs"/>
          <w:rtl/>
        </w:rPr>
        <w:t>הרא"ה בחי'</w:t>
      </w:r>
      <w:r w:rsidRPr="0050146A">
        <w:rPr>
          <w:rFonts w:hint="cs"/>
          <w:rtl/>
        </w:rPr>
        <w:t xml:space="preserve"> דמ"מ הכחל עצמו מן המנין, והוא בכלל השישים, דכיון שכשבישל את הכחל בפנ"ע בלי להוסיף בשר אחר, אף מדרבנן הוא מותר, ומדאו' הוא מותר אף כשבישלו בקדירה עם בשר אחר, וכ"מ שהחמירו בו רבנן כשבישלו עם בשר אחר, הוא כיון דמיחזי כבשר וחלב, לכן אמרו רבנן שהכחל עצמו מסייע לבטל ומצטרף לשישים.</w:t>
      </w:r>
    </w:p>
    <w:p w:rsidR="00495EC8" w:rsidRPr="0050146A" w:rsidRDefault="00495EC8" w:rsidP="00495EC8">
      <w:pPr>
        <w:pStyle w:val="1"/>
        <w:rPr>
          <w:rtl/>
        </w:rPr>
      </w:pPr>
      <w:bookmarkStart w:id="3764" w:name="_Toc10541281"/>
      <w:bookmarkStart w:id="3765" w:name="_Toc10625650"/>
      <w:bookmarkStart w:id="3766" w:name="_Toc10665868"/>
      <w:bookmarkStart w:id="3767" w:name="_Toc10716560"/>
      <w:bookmarkStart w:id="3768" w:name="_Toc10718855"/>
      <w:bookmarkStart w:id="3769" w:name="_Toc10730105"/>
      <w:bookmarkStart w:id="3770" w:name="_Toc10737450"/>
      <w:r w:rsidRPr="0050146A">
        <w:rPr>
          <w:rFonts w:hint="cs"/>
          <w:rtl/>
        </w:rPr>
        <w:t>דברי הרא"ה</w:t>
      </w:r>
      <w:bookmarkEnd w:id="3764"/>
      <w:bookmarkEnd w:id="3765"/>
      <w:bookmarkEnd w:id="3766"/>
      <w:bookmarkEnd w:id="3767"/>
      <w:bookmarkEnd w:id="3768"/>
      <w:bookmarkEnd w:id="3769"/>
      <w:r w:rsidRPr="0050146A">
        <w:rPr>
          <w:rFonts w:hint="cs"/>
          <w:rtl/>
        </w:rPr>
        <w:t xml:space="preserve"> דצריך להקל בכחל דהוא היתר ואיסורו דרבנן</w:t>
      </w:r>
      <w:bookmarkEnd w:id="3770"/>
    </w:p>
    <w:p w:rsidR="00495EC8" w:rsidRPr="0050146A" w:rsidRDefault="00495EC8" w:rsidP="00495EC8">
      <w:pPr>
        <w:pStyle w:val="a2"/>
      </w:pPr>
      <w:bookmarkStart w:id="3771" w:name="_Toc10737451"/>
      <w:r w:rsidRPr="0050146A">
        <w:rPr>
          <w:rFonts w:hint="cs"/>
          <w:rtl/>
        </w:rPr>
        <w:t>דברי הרא"ה דכחל עצמו מותר וצריך להקל בו וכשמשערים בכולו חשיב שיצא כל החלב</w:t>
      </w:r>
      <w:bookmarkEnd w:id="3771"/>
    </w:p>
    <w:p w:rsidR="00495EC8" w:rsidRPr="0050146A" w:rsidRDefault="00495EC8" w:rsidP="009F44AF">
      <w:pPr>
        <w:pStyle w:val="a"/>
        <w:rPr>
          <w:rtl/>
        </w:rPr>
      </w:pPr>
      <w:r w:rsidRPr="0050146A">
        <w:rPr>
          <w:rFonts w:hint="cs"/>
          <w:rtl/>
        </w:rPr>
        <w:t xml:space="preserve">ובקושית הגמ' דלא יאסור בקדירה אחרת, ביאר </w:t>
      </w:r>
      <w:r w:rsidRPr="0050146A">
        <w:rPr>
          <w:rStyle w:val="af8"/>
          <w:rFonts w:hint="cs"/>
          <w:rtl/>
        </w:rPr>
        <w:t>הרא"ה בחי'</w:t>
      </w:r>
      <w:r w:rsidRPr="0050146A">
        <w:rPr>
          <w:rFonts w:hint="cs"/>
          <w:rtl/>
        </w:rPr>
        <w:t xml:space="preserve"> </w:t>
      </w:r>
      <w:r w:rsidRPr="0050146A">
        <w:rPr>
          <w:rStyle w:val="af6"/>
          <w:rFonts w:eastAsia="Guttman Hodes" w:hint="cs"/>
          <w:rtl/>
        </w:rPr>
        <w:t>(ד"ה אמר רב אשי)</w:t>
      </w:r>
      <w:r w:rsidRPr="0050146A">
        <w:rPr>
          <w:rFonts w:hint="cs"/>
          <w:rtl/>
        </w:rPr>
        <w:t xml:space="preserve"> דכיון שהכחל עצמו מותר, ואיסורו רק מדרבנן, לכן מקשה הגמ' דנקל בו בכל מה שאפשר להקל, וא"כ כיון שמשערים בכולו, </w:t>
      </w:r>
      <w:r w:rsidRPr="0050146A">
        <w:rPr>
          <w:rFonts w:hint="cs"/>
          <w:rtl/>
        </w:rPr>
        <w:t>נאמר שאנו רואים כאילו יצא כל החלב שבו בקדירה הראשונה, ולכן לא יאסר בקדירה השניה.</w:t>
      </w:r>
    </w:p>
    <w:p w:rsidR="00495EC8" w:rsidRPr="0050146A" w:rsidRDefault="00495EC8" w:rsidP="00495EC8">
      <w:pPr>
        <w:pStyle w:val="a2"/>
        <w:rPr>
          <w:rtl/>
        </w:rPr>
      </w:pPr>
      <w:bookmarkStart w:id="3772" w:name="_Toc10737452"/>
      <w:r w:rsidRPr="0050146A">
        <w:rPr>
          <w:rFonts w:hint="cs"/>
          <w:rtl/>
        </w:rPr>
        <w:t>ביאור הרא"ה דכיון שנשאר בו חלב שבלע טעם מהקדירה דינו ככל בב"ח אף בקדירה שניה</w:t>
      </w:r>
      <w:bookmarkEnd w:id="3772"/>
    </w:p>
    <w:p w:rsidR="00495EC8" w:rsidRPr="0050146A" w:rsidRDefault="00495EC8" w:rsidP="009F44AF">
      <w:pPr>
        <w:pStyle w:val="a"/>
        <w:rPr>
          <w:rtl/>
        </w:rPr>
      </w:pPr>
      <w:r w:rsidRPr="0050146A">
        <w:rPr>
          <w:rFonts w:hint="cs"/>
          <w:rtl/>
        </w:rPr>
        <w:t xml:space="preserve">ובתירוץ הגמ' דשויוה רבנן כחתיכת נבילה, ביאר </w:t>
      </w:r>
      <w:r w:rsidRPr="0050146A">
        <w:rPr>
          <w:rStyle w:val="af8"/>
          <w:rFonts w:hint="cs"/>
          <w:rtl/>
        </w:rPr>
        <w:t>הרא"ה בחי'</w:t>
      </w:r>
      <w:r w:rsidRPr="0050146A">
        <w:rPr>
          <w:rFonts w:hint="cs"/>
          <w:rtl/>
        </w:rPr>
        <w:t xml:space="preserve"> </w:t>
      </w:r>
      <w:r w:rsidRPr="0050146A">
        <w:rPr>
          <w:rStyle w:val="af6"/>
          <w:rFonts w:eastAsia="Guttman Hodes" w:hint="cs"/>
          <w:rtl/>
        </w:rPr>
        <w:t>(ד"ה אמר רב אשי)</w:t>
      </w:r>
      <w:r w:rsidRPr="0050146A">
        <w:rPr>
          <w:rFonts w:hint="cs"/>
          <w:rtl/>
        </w:rPr>
        <w:t xml:space="preserve"> דכיון דרבנן אסרו את הכחל מחמת דלא יתכן שלא נשאר בו חלב, </w:t>
      </w:r>
      <w:r w:rsidRPr="0050146A">
        <w:rPr>
          <w:rStyle w:val="afa"/>
          <w:rFonts w:hint="cs"/>
          <w:rtl/>
        </w:rPr>
        <w:t xml:space="preserve">[כדביאר </w:t>
      </w:r>
      <w:r w:rsidRPr="0050146A">
        <w:rPr>
          <w:rStyle w:val="affa"/>
          <w:rFonts w:hint="cs"/>
          <w:rtl/>
        </w:rPr>
        <w:t>הרא"ה בחי'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Ref10389792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מה)</w:t>
      </w:r>
      <w:r w:rsidRPr="0050146A">
        <w:rPr>
          <w:rStyle w:val="aff6"/>
          <w:rtl/>
        </w:rPr>
        <w:fldChar w:fldCharType="end"/>
      </w:r>
      <w:r w:rsidRPr="0050146A">
        <w:rPr>
          <w:rStyle w:val="afa"/>
          <w:rFonts w:hint="cs"/>
          <w:rtl/>
        </w:rPr>
        <w:t>],</w:t>
      </w:r>
      <w:r w:rsidRPr="0050146A">
        <w:rPr>
          <w:rFonts w:hint="cs"/>
          <w:rtl/>
        </w:rPr>
        <w:t xml:space="preserve"> והחלב שנשאר בו, נבלע בו טעם בשר בקדירה השניה, לכן הוא ככל בשר בחלב, וממילא הוא כחתיכת נבילה.</w:t>
      </w:r>
    </w:p>
    <w:p w:rsidR="00495EC8" w:rsidRPr="0050146A" w:rsidRDefault="00495EC8" w:rsidP="00495EC8">
      <w:pPr>
        <w:pStyle w:val="1"/>
        <w:rPr>
          <w:rtl/>
        </w:rPr>
      </w:pPr>
      <w:bookmarkStart w:id="3773" w:name="_Toc10202026"/>
      <w:bookmarkStart w:id="3774" w:name="_Toc10367990"/>
      <w:bookmarkStart w:id="3775" w:name="_Toc10451102"/>
      <w:bookmarkStart w:id="3776" w:name="_Toc10494354"/>
      <w:bookmarkStart w:id="3777" w:name="_Toc10541286"/>
      <w:bookmarkStart w:id="3778" w:name="_Toc10625657"/>
      <w:bookmarkStart w:id="3779" w:name="_Toc10665887"/>
      <w:bookmarkStart w:id="3780" w:name="_Toc10716583"/>
      <w:bookmarkStart w:id="3781" w:name="_Toc10718878"/>
      <w:bookmarkStart w:id="3782" w:name="_Toc10730128"/>
      <w:bookmarkStart w:id="3783" w:name="_Toc10737453"/>
      <w:r w:rsidRPr="0050146A">
        <w:rPr>
          <w:rFonts w:hint="cs"/>
          <w:rtl/>
        </w:rPr>
        <w:t>דברי הריטב"א</w:t>
      </w:r>
      <w:bookmarkEnd w:id="3773"/>
      <w:bookmarkEnd w:id="3774"/>
      <w:bookmarkEnd w:id="3775"/>
      <w:bookmarkEnd w:id="3776"/>
      <w:bookmarkEnd w:id="3777"/>
      <w:bookmarkEnd w:id="3778"/>
      <w:bookmarkEnd w:id="3779"/>
      <w:bookmarkEnd w:id="3780"/>
      <w:bookmarkEnd w:id="3781"/>
      <w:bookmarkEnd w:id="3782"/>
      <w:r w:rsidRPr="0050146A">
        <w:rPr>
          <w:rFonts w:hint="cs"/>
          <w:rtl/>
        </w:rPr>
        <w:t xml:space="preserve"> בביאור הנ"מ לאיסור הכחל ולקדירה אחרת</w:t>
      </w:r>
      <w:bookmarkEnd w:id="3783"/>
    </w:p>
    <w:p w:rsidR="00495EC8" w:rsidRPr="0050146A" w:rsidRDefault="00495EC8" w:rsidP="00495EC8">
      <w:pPr>
        <w:pStyle w:val="a2"/>
        <w:rPr>
          <w:rtl/>
        </w:rPr>
      </w:pPr>
      <w:bookmarkStart w:id="3784" w:name="_Toc10737454"/>
      <w:r w:rsidRPr="0050146A">
        <w:rPr>
          <w:rFonts w:hint="cs"/>
          <w:rtl/>
        </w:rPr>
        <w:t>קושית הריטב"א אמאי אמרינן דהנ"מ מרב יצחק לקדירה אחרת הא נ"מ דהכחל עצמו אסור</w:t>
      </w:r>
      <w:bookmarkEnd w:id="3784"/>
    </w:p>
    <w:p w:rsidR="00495EC8" w:rsidRPr="0050146A" w:rsidRDefault="00495EC8" w:rsidP="009F44AF">
      <w:pPr>
        <w:pStyle w:val="a"/>
        <w:rPr>
          <w:rtl/>
        </w:rPr>
      </w:pPr>
      <w:r w:rsidRPr="0050146A">
        <w:rPr>
          <w:rFonts w:hint="cs"/>
          <w:rtl/>
        </w:rPr>
        <w:t xml:space="preserve">כתב </w:t>
      </w:r>
      <w:r w:rsidRPr="0050146A">
        <w:rPr>
          <w:rStyle w:val="af8"/>
          <w:rFonts w:hint="cs"/>
          <w:rtl/>
        </w:rPr>
        <w:t>הריטב"א</w:t>
      </w:r>
      <w:r w:rsidRPr="0050146A">
        <w:rPr>
          <w:rStyle w:val="af6"/>
          <w:rFonts w:eastAsia="Guttman Hodes" w:hint="cs"/>
          <w:rtl/>
        </w:rPr>
        <w:t xml:space="preserve"> (ד"ה ונפקא) </w:t>
      </w:r>
      <w:r w:rsidRPr="0050146A">
        <w:rPr>
          <w:rFonts w:hint="cs"/>
          <w:rtl/>
        </w:rPr>
        <w:t xml:space="preserve">דמלשון הגמ' "נפקא מינה" לקדירה אחרת, מבואר דהנ"מ אינה מדברי רב יצחק, אלא דהגמ' אומרת מה הנ"מ מהא דאמר רב יצחק שהכחל אסור, והקשה </w:t>
      </w:r>
      <w:r w:rsidRPr="0050146A">
        <w:rPr>
          <w:rStyle w:val="af8"/>
          <w:rFonts w:hint="cs"/>
          <w:rtl/>
        </w:rPr>
        <w:t>הריטב"א</w:t>
      </w:r>
      <w:r w:rsidRPr="0050146A">
        <w:rPr>
          <w:rFonts w:hint="cs"/>
          <w:rtl/>
        </w:rPr>
        <w:t xml:space="preserve"> דהרי יש נ"מ לכחל עצמו שהוא אסור, ואמאי צ"ל שהנ"מ לקדירה אחרת.</w:t>
      </w:r>
    </w:p>
    <w:p w:rsidR="00495EC8" w:rsidRPr="0050146A" w:rsidRDefault="00495EC8" w:rsidP="00495EC8">
      <w:pPr>
        <w:pStyle w:val="a2"/>
        <w:rPr>
          <w:rtl/>
        </w:rPr>
      </w:pPr>
      <w:bookmarkStart w:id="3785" w:name="_Toc10737455"/>
      <w:r w:rsidRPr="0050146A">
        <w:rPr>
          <w:rFonts w:hint="cs"/>
          <w:rtl/>
        </w:rPr>
        <w:t>תירוץ הריטב"א דכיון שבחלב שבו יש טעם בשר פשיטא דהכחל אסור דא"א לאוכלו בלא החלב</w:t>
      </w:r>
      <w:bookmarkEnd w:id="3785"/>
    </w:p>
    <w:p w:rsidR="00495EC8" w:rsidRPr="0050146A" w:rsidRDefault="00495EC8" w:rsidP="009F44AF">
      <w:pPr>
        <w:pStyle w:val="a"/>
        <w:rPr>
          <w:rStyle w:val="afa"/>
          <w:rtl/>
        </w:rPr>
      </w:pPr>
      <w:r w:rsidRPr="0050146A">
        <w:rPr>
          <w:rFonts w:hint="cs"/>
          <w:rtl/>
        </w:rPr>
        <w:t xml:space="preserve">ותירץ </w:t>
      </w:r>
      <w:r w:rsidRPr="0050146A">
        <w:rPr>
          <w:rStyle w:val="af8"/>
          <w:rFonts w:hint="cs"/>
          <w:rtl/>
        </w:rPr>
        <w:t>הריטב"א</w:t>
      </w:r>
      <w:r w:rsidRPr="0050146A">
        <w:rPr>
          <w:rFonts w:hint="cs"/>
          <w:rtl/>
        </w:rPr>
        <w:t xml:space="preserve"> דהא דהכחל עצמו אסור הוא פשיטא, דהא החלב כנוס בגומות בתוכו, ואף אם אין החלב נותן בו טעם, מ"מ הכחל הוא בסיס לחלב, וא"א לאכול את הכחל בלי לאכול את החלב שכנוס בו, והרי החלב כבר נעשה בשר בחלב. </w:t>
      </w:r>
      <w:r w:rsidRPr="0050146A">
        <w:rPr>
          <w:rStyle w:val="afa"/>
          <w:rFonts w:hint="cs"/>
          <w:rtl/>
        </w:rPr>
        <w:t>[דהחלב קיבל את טעם הבשר].</w:t>
      </w:r>
    </w:p>
    <w:p w:rsidR="00495EC8" w:rsidRPr="0050146A" w:rsidRDefault="00495EC8" w:rsidP="00495EC8">
      <w:pPr>
        <w:pStyle w:val="a2"/>
        <w:rPr>
          <w:rtl/>
        </w:rPr>
      </w:pPr>
      <w:bookmarkStart w:id="3786" w:name="_Toc10737456"/>
      <w:r w:rsidRPr="0050146A">
        <w:rPr>
          <w:rFonts w:hint="cs"/>
          <w:rtl/>
        </w:rPr>
        <w:t>התירוץ הב' בריטב"א דנ"מ מדברי רב יצחק דהוא כנבילה גם לאיסור הכחל וגם לקדירה אחרת</w:t>
      </w:r>
      <w:bookmarkEnd w:id="3786"/>
      <w:r w:rsidRPr="0050146A">
        <w:rPr>
          <w:rFonts w:hint="cs"/>
          <w:rtl/>
        </w:rPr>
        <w:t xml:space="preserve"> </w:t>
      </w:r>
    </w:p>
    <w:p w:rsidR="00495EC8" w:rsidRPr="0050146A" w:rsidRDefault="00495EC8" w:rsidP="009F44AF">
      <w:pPr>
        <w:pStyle w:val="a"/>
        <w:rPr>
          <w:rtl/>
        </w:rPr>
      </w:pPr>
      <w:r w:rsidRPr="0050146A">
        <w:rPr>
          <w:rFonts w:hint="cs"/>
          <w:rtl/>
        </w:rPr>
        <w:t xml:space="preserve">ועוד תירץ </w:t>
      </w:r>
      <w:r w:rsidRPr="0050146A">
        <w:rPr>
          <w:rStyle w:val="af8"/>
          <w:rFonts w:hint="cs"/>
          <w:rtl/>
        </w:rPr>
        <w:t>הריטב"א</w:t>
      </w:r>
      <w:r w:rsidRPr="0050146A">
        <w:rPr>
          <w:rFonts w:hint="cs"/>
          <w:rtl/>
        </w:rPr>
        <w:t xml:space="preserve"> דבאמת הנ"מ מדברי רב יצחק, היא דהכחל עצמו אסור, והא דאמרה הגמ' דנ"מ לקדירה אחרת היינו דודאי שיש עוד נ"מ לקדירה אחרת, וכדאיתא בגמ' דכיון דאמר רב יצחק שהכחל אסור, שויוה רבנן כחתיכת נבילה, דהיינו שא"א לומר שהכחל יהיה אסור, בלא שנאמר דשויוה רבנן כחתיכת נבילה.</w:t>
      </w:r>
    </w:p>
    <w:p w:rsidR="00495EC8" w:rsidRPr="0050146A" w:rsidRDefault="00495EC8" w:rsidP="00495EC8">
      <w:pPr>
        <w:pStyle w:val="1"/>
        <w:rPr>
          <w:rtl/>
        </w:rPr>
      </w:pPr>
      <w:bookmarkStart w:id="3787" w:name="_Toc10737457"/>
      <w:r w:rsidRPr="0050146A">
        <w:rPr>
          <w:rFonts w:hint="cs"/>
          <w:rtl/>
        </w:rPr>
        <w:t>ביאור הריטב"א בדעת התוס' דהכחל מיחזי כאיסור</w:t>
      </w:r>
      <w:bookmarkEnd w:id="3787"/>
    </w:p>
    <w:p w:rsidR="00495EC8" w:rsidRPr="0050146A" w:rsidRDefault="00495EC8" w:rsidP="00495EC8">
      <w:pPr>
        <w:pStyle w:val="a2"/>
        <w:rPr>
          <w:rtl/>
        </w:rPr>
      </w:pPr>
      <w:bookmarkStart w:id="3788" w:name="_Toc10737458"/>
      <w:r w:rsidRPr="0050146A">
        <w:rPr>
          <w:rFonts w:hint="cs"/>
          <w:rtl/>
        </w:rPr>
        <w:t>ביאור הריטב"א בתוס' דאף שהכחל עצמו מותר הוא מיחזי כאיסור והחמירו להחשיבו כנבילה</w:t>
      </w:r>
      <w:bookmarkEnd w:id="3788"/>
    </w:p>
    <w:p w:rsidR="00495EC8" w:rsidRPr="0050146A" w:rsidRDefault="00495EC8" w:rsidP="009F44AF">
      <w:pPr>
        <w:pStyle w:val="a"/>
        <w:rPr>
          <w:rtl/>
        </w:rPr>
      </w:pPr>
      <w:r w:rsidRPr="0050146A">
        <w:rPr>
          <w:rFonts w:hint="cs"/>
          <w:rtl/>
        </w:rPr>
        <w:t xml:space="preserve">והביא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(ד"ה אלא מעתה) </w:t>
      </w:r>
      <w:r w:rsidRPr="0050146A">
        <w:rPr>
          <w:rFonts w:hint="cs"/>
          <w:rtl/>
        </w:rPr>
        <w:t xml:space="preserve">את ביאור </w:t>
      </w:r>
      <w:r w:rsidRPr="0050146A">
        <w:rPr>
          <w:rStyle w:val="af8"/>
          <w:rFonts w:hint="cs"/>
          <w:rtl/>
        </w:rPr>
        <w:t xml:space="preserve">התוס' </w:t>
      </w:r>
      <w:r w:rsidRPr="0050146A">
        <w:rPr>
          <w:rStyle w:val="af6"/>
          <w:rFonts w:eastAsia="Guttman Hodes" w:hint="cs"/>
          <w:rtl/>
        </w:rPr>
        <w:t>(ד"ה וכחל מן המנין)</w:t>
      </w:r>
      <w:r w:rsidRPr="0050146A">
        <w:rPr>
          <w:rFonts w:hint="cs"/>
          <w:rtl/>
        </w:rPr>
        <w:t xml:space="preserve"> דהא דהכחל אסור אינו מחמת שיש בו טעם חלב, יותר מאשר בשאר הבשר שבקדירה, אלא דהאיסור של הכחל הוא מחמת שיש בו גומות שהחלב כנוס בהם, שיש בהם טעם חלב, וא"א לסוחטו, ולכן א"א להתיר את הכחל עצמו, וכתב </w:t>
      </w:r>
      <w:r w:rsidRPr="0050146A">
        <w:rPr>
          <w:rStyle w:val="af8"/>
          <w:rFonts w:hint="cs"/>
          <w:rtl/>
        </w:rPr>
        <w:t>הריטב"א</w:t>
      </w:r>
      <w:r w:rsidRPr="0050146A">
        <w:rPr>
          <w:rFonts w:hint="cs"/>
          <w:rtl/>
        </w:rPr>
        <w:t xml:space="preserve"> דעדיין הוקשה לגמ' אמאי הכחל אוסר בקדירה אחרת, דהא הוא מצד עצמו מותר, ותירצה הגמ' דכיון שהכחל עצמו נאסר באכילה כשנתבשל בקדירה הראשונה, והוא מיחזי כחתיכת איסור, לכן החמירו בו רבנן ושויוה כחתיכת נבילה.</w:t>
      </w:r>
    </w:p>
    <w:p w:rsidR="00495EC8" w:rsidRPr="0050146A" w:rsidRDefault="00495EC8" w:rsidP="00495EC8">
      <w:pPr>
        <w:pStyle w:val="a2"/>
        <w:rPr>
          <w:rtl/>
        </w:rPr>
      </w:pPr>
      <w:bookmarkStart w:id="3789" w:name="_Toc10737459"/>
      <w:r w:rsidRPr="0050146A">
        <w:rPr>
          <w:rFonts w:hint="cs"/>
          <w:rtl/>
        </w:rPr>
        <w:t>קושית הריטב"א דלא רק החלב הכנוס אסור דאחר שהצטנן הכחל הבשר נאסר ע"י החלב שבו</w:t>
      </w:r>
      <w:bookmarkEnd w:id="3789"/>
      <w:r w:rsidRPr="0050146A">
        <w:rPr>
          <w:rFonts w:hint="cs"/>
          <w:rtl/>
        </w:rPr>
        <w:t xml:space="preserve"> </w:t>
      </w:r>
    </w:p>
    <w:p w:rsidR="00495EC8" w:rsidRPr="0050146A" w:rsidRDefault="00495EC8" w:rsidP="009F44AF">
      <w:pPr>
        <w:pStyle w:val="a"/>
        <w:rPr>
          <w:rtl/>
        </w:rPr>
      </w:pPr>
      <w:r w:rsidRPr="0050146A">
        <w:rPr>
          <w:rFonts w:hint="cs"/>
          <w:rtl/>
        </w:rPr>
        <w:t xml:space="preserve">אך הקשה </w:t>
      </w:r>
      <w:r w:rsidRPr="0050146A">
        <w:rPr>
          <w:rStyle w:val="af8"/>
          <w:rFonts w:hint="cs"/>
          <w:rtl/>
        </w:rPr>
        <w:t>הריטב"א</w:t>
      </w:r>
      <w:r w:rsidRPr="0050146A">
        <w:rPr>
          <w:rFonts w:hint="cs"/>
          <w:rtl/>
        </w:rPr>
        <w:t xml:space="preserve"> </w:t>
      </w:r>
      <w:r w:rsidRPr="0050146A">
        <w:rPr>
          <w:rStyle w:val="afa"/>
          <w:rFonts w:hint="cs"/>
          <w:rtl/>
        </w:rPr>
        <w:t xml:space="preserve">[על ביאור </w:t>
      </w:r>
      <w:r w:rsidRPr="0050146A">
        <w:rPr>
          <w:rStyle w:val="affa"/>
          <w:rFonts w:hint="cs"/>
          <w:rtl/>
        </w:rPr>
        <w:t>התוס'</w:t>
      </w:r>
      <w:r w:rsidRPr="0050146A">
        <w:rPr>
          <w:rStyle w:val="afa"/>
          <w:rFonts w:hint="cs"/>
          <w:rtl/>
        </w:rPr>
        <w:t xml:space="preserve">] </w:t>
      </w:r>
      <w:r w:rsidRPr="0050146A">
        <w:rPr>
          <w:rFonts w:hint="cs"/>
          <w:rtl/>
        </w:rPr>
        <w:t xml:space="preserve">דאף שבזמן הבישול בקדירה, לא נאסר בשר הכחל ע"י החלב שבלוע בו, כיון שהבשר שבקדירה מסייע לו לבטל את החלב, מ"מ אחר שהצטנן הכחל, אמאי אין החלב הבלוע בו אוסר אותו, וכתב </w:t>
      </w:r>
      <w:r w:rsidRPr="0050146A">
        <w:rPr>
          <w:rStyle w:val="af8"/>
          <w:rFonts w:hint="cs"/>
          <w:rtl/>
        </w:rPr>
        <w:t>הריטב"א</w:t>
      </w:r>
      <w:r w:rsidRPr="0050146A">
        <w:rPr>
          <w:rFonts w:hint="cs"/>
          <w:rtl/>
        </w:rPr>
        <w:t xml:space="preserve"> דלא משמע בגמ' שצריך לסלקו מהקדירה לפני שיצטנן.</w:t>
      </w:r>
    </w:p>
    <w:p w:rsidR="00495EC8" w:rsidRPr="0050146A" w:rsidRDefault="00495EC8" w:rsidP="00495EC8">
      <w:pPr>
        <w:pStyle w:val="a2"/>
        <w:rPr>
          <w:rtl/>
        </w:rPr>
      </w:pPr>
      <w:bookmarkStart w:id="3790" w:name="_Toc10737460"/>
      <w:r w:rsidRPr="0050146A">
        <w:rPr>
          <w:rFonts w:hint="cs"/>
          <w:rtl/>
        </w:rPr>
        <w:t>תירוץ הריטב"א דלא נשאר בחלב שיעור בכדי לאסור את בשר הכחל אחר שהצנן</w:t>
      </w:r>
      <w:bookmarkEnd w:id="3790"/>
    </w:p>
    <w:p w:rsidR="00495EC8" w:rsidRPr="0050146A" w:rsidRDefault="00495EC8" w:rsidP="009F44AF">
      <w:pPr>
        <w:pStyle w:val="a"/>
        <w:rPr>
          <w:rtl/>
        </w:rPr>
      </w:pPr>
      <w:bookmarkStart w:id="3791" w:name="_Ref10734792"/>
      <w:r w:rsidRPr="0050146A">
        <w:rPr>
          <w:rFonts w:hint="cs"/>
          <w:rtl/>
        </w:rPr>
        <w:t xml:space="preserve">ותירץ </w:t>
      </w:r>
      <w:r w:rsidRPr="0050146A">
        <w:rPr>
          <w:rStyle w:val="af8"/>
          <w:rFonts w:hint="cs"/>
          <w:rtl/>
        </w:rPr>
        <w:t>הריטב"א</w:t>
      </w:r>
      <w:r w:rsidRPr="0050146A">
        <w:rPr>
          <w:rFonts w:hint="cs"/>
          <w:rtl/>
        </w:rPr>
        <w:t xml:space="preserve"> דקים להו לרבנן, דאף שלא נסחט כל החלב לגמרי בקדירה הראשונה, מ"מ לא נשאר בו חלב בשיעור שיכול לתת בבשר הכחל טעם ולאוסרו.</w:t>
      </w:r>
      <w:bookmarkEnd w:id="3791"/>
    </w:p>
    <w:p w:rsidR="00495EC8" w:rsidRPr="0050146A" w:rsidRDefault="00495EC8" w:rsidP="00495EC8">
      <w:pPr>
        <w:pStyle w:val="a2"/>
        <w:rPr>
          <w:rtl/>
        </w:rPr>
      </w:pPr>
      <w:bookmarkStart w:id="3792" w:name="_Toc10737461"/>
      <w:r w:rsidRPr="0050146A">
        <w:rPr>
          <w:rFonts w:hint="cs"/>
          <w:rtl/>
        </w:rPr>
        <w:t>קושית הריטב"א דאי משערים בכולו דלא ידוע כמה יצא ממנו לא קשה דלא יאסור בקדירה שניה</w:t>
      </w:r>
      <w:bookmarkEnd w:id="3792"/>
    </w:p>
    <w:p w:rsidR="00495EC8" w:rsidRPr="0050146A" w:rsidRDefault="00495EC8" w:rsidP="009F44AF">
      <w:pPr>
        <w:pStyle w:val="a"/>
        <w:rPr>
          <w:rtl/>
        </w:rPr>
      </w:pPr>
      <w:r w:rsidRPr="0050146A">
        <w:rPr>
          <w:rFonts w:hint="cs"/>
          <w:rtl/>
        </w:rPr>
        <w:t xml:space="preserve">אך הקשה </w:t>
      </w:r>
      <w:r w:rsidRPr="0050146A">
        <w:rPr>
          <w:rStyle w:val="af8"/>
          <w:rFonts w:hint="cs"/>
          <w:rtl/>
        </w:rPr>
        <w:t>הריטב"א</w:t>
      </w:r>
      <w:r w:rsidRPr="0050146A">
        <w:rPr>
          <w:rFonts w:hint="cs"/>
          <w:rtl/>
        </w:rPr>
        <w:t xml:space="preserve"> </w:t>
      </w:r>
      <w:r w:rsidRPr="0050146A">
        <w:rPr>
          <w:rStyle w:val="afa"/>
          <w:rFonts w:hint="cs"/>
          <w:rtl/>
        </w:rPr>
        <w:t xml:space="preserve">[על ביאור </w:t>
      </w:r>
      <w:r w:rsidRPr="0050146A">
        <w:rPr>
          <w:rStyle w:val="affa"/>
          <w:rFonts w:hint="cs"/>
          <w:rtl/>
        </w:rPr>
        <w:t>התוס'</w:t>
      </w:r>
      <w:r w:rsidRPr="0050146A">
        <w:rPr>
          <w:rStyle w:val="afa"/>
          <w:rFonts w:hint="cs"/>
          <w:rtl/>
        </w:rPr>
        <w:t xml:space="preserve">] </w:t>
      </w:r>
      <w:r w:rsidRPr="0050146A">
        <w:rPr>
          <w:rFonts w:hint="cs"/>
          <w:rtl/>
        </w:rPr>
        <w:t xml:space="preserve">דא"כ מה מקשה הגמ' "אלא מעתה נפל לקדירה אחרת לא יאסר", וביאר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Ref10367991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50146A">
        <w:rPr>
          <w:rStyle w:val="af6"/>
          <w:rFonts w:eastAsia="Guttman Hodes"/>
          <w:rtl/>
        </w:rPr>
        <w:fldChar w:fldCharType="end"/>
      </w:r>
      <w:r w:rsidRPr="0050146A">
        <w:rPr>
          <w:rFonts w:hint="cs"/>
          <w:rtl/>
        </w:rPr>
        <w:t xml:space="preserve"> דכוונת </w:t>
      </w:r>
      <w:r w:rsidRPr="0050146A">
        <w:rPr>
          <w:rFonts w:hint="cs"/>
          <w:rtl/>
        </w:rPr>
        <w:lastRenderedPageBreak/>
        <w:t xml:space="preserve">הגמ' להקשות על מסקנת הגמ' דמשערינן בכולו, דאחר שנסחט כל הכחל בקדירה הראשונה, לא יאסור בשניה, והרי לביאור </w:t>
      </w:r>
      <w:r w:rsidRPr="0050146A">
        <w:rPr>
          <w:rStyle w:val="af8"/>
          <w:rFonts w:hint="cs"/>
          <w:rtl/>
        </w:rPr>
        <w:t>התוס'</w:t>
      </w:r>
      <w:r w:rsidRPr="0050146A">
        <w:rPr>
          <w:rFonts w:hint="cs"/>
          <w:rtl/>
        </w:rPr>
        <w:t xml:space="preserve"> הא דמשערינן בכולו אינו מחמת דיצא כל החלב הבלוע בכחל, אלא כיון שלא ידוע כמה יצא ממנו, אך קים לן שלא יצא כולו בקדירה הראשונה, ולכן הכחל עצמו אסור כבשר בחלב, וא"כ מה מקשה הגמ' דכיון שמשערינן בכולו לא יאסור את הקדירה השניה.</w:t>
      </w:r>
    </w:p>
    <w:p w:rsidR="00495EC8" w:rsidRPr="0050146A" w:rsidRDefault="00495EC8" w:rsidP="00495EC8">
      <w:pPr>
        <w:pStyle w:val="a2"/>
        <w:rPr>
          <w:rtl/>
        </w:rPr>
      </w:pPr>
      <w:bookmarkStart w:id="3793" w:name="_Toc10737462"/>
      <w:r w:rsidRPr="0050146A">
        <w:rPr>
          <w:rFonts w:hint="cs"/>
          <w:rtl/>
        </w:rPr>
        <w:t>ביאור הריטב"א בתי' הב' בתוס' דהכחל מיחזי כחתיכת איסור והקשה דהוא דוחק בגמ'</w:t>
      </w:r>
      <w:bookmarkEnd w:id="3793"/>
    </w:p>
    <w:p w:rsidR="00495EC8" w:rsidRPr="0050146A" w:rsidRDefault="00495EC8" w:rsidP="009F44AF">
      <w:pPr>
        <w:pStyle w:val="a"/>
        <w:rPr>
          <w:rtl/>
        </w:rPr>
      </w:pPr>
      <w:bookmarkStart w:id="3794" w:name="_Ref10734479"/>
      <w:r w:rsidRPr="0050146A">
        <w:rPr>
          <w:rFonts w:hint="cs"/>
          <w:rtl/>
        </w:rPr>
        <w:t xml:space="preserve">והביא </w:t>
      </w:r>
      <w:r w:rsidRPr="0050146A">
        <w:rPr>
          <w:rStyle w:val="af8"/>
          <w:rFonts w:hint="cs"/>
          <w:rtl/>
        </w:rPr>
        <w:t>הריטב"א</w:t>
      </w:r>
      <w:r w:rsidRPr="0050146A">
        <w:rPr>
          <w:rFonts w:hint="cs"/>
          <w:rtl/>
        </w:rPr>
        <w:t xml:space="preserve"> את </w:t>
      </w:r>
      <w:r w:rsidRPr="0050146A">
        <w:rPr>
          <w:rStyle w:val="af8"/>
          <w:rFonts w:hint="cs"/>
          <w:rtl/>
        </w:rPr>
        <w:t>התירוץ הב' בתוס'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Ref10734257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דקושית הגמ' "אלא מעתה" קאי על דברי ר"נ דכחל מן המנין, ומקשה הגמ' דכיון שהוא מן המנין, א"כ מוכח שאנו דנים את בשר הכחל כבשר היתר, שבכוחו לבטל את את החלב הבלוע בו, כמו שאר הבשר שבקדירה, ולכן מקשה הגמ' דא"כ אף כשנפל לקדירה אחרת לא יאסור כנגד כולו, </w:t>
      </w:r>
      <w:r w:rsidRPr="0050146A">
        <w:rPr>
          <w:rStyle w:val="afa"/>
          <w:rFonts w:hint="cs"/>
          <w:rtl/>
        </w:rPr>
        <w:t>[אלא רק כנגד הבלוע בו],</w:t>
      </w:r>
      <w:r w:rsidRPr="0050146A">
        <w:rPr>
          <w:rFonts w:hint="cs"/>
          <w:rtl/>
        </w:rPr>
        <w:t xml:space="preserve"> ותירצה הגמ' דכיון שהכחל עצמו נאסר באכילה כשנתבשל בקדירה הראשונה, והוא מיחזי כחתיכת איסור, לכן החמירו בו רבנן ושויוה כחתיכת נבילה, אך כתב </w:t>
      </w:r>
      <w:r w:rsidRPr="0050146A">
        <w:rPr>
          <w:rStyle w:val="af8"/>
          <w:rFonts w:hint="cs"/>
          <w:rtl/>
        </w:rPr>
        <w:t>הריטב"א</w:t>
      </w:r>
      <w:r w:rsidRPr="0050146A">
        <w:rPr>
          <w:rFonts w:hint="cs"/>
          <w:rtl/>
        </w:rPr>
        <w:t xml:space="preserve"> דביאור זה הוא דוחק בלשון הגמ' שהקשתה כן בסוף ה</w:t>
      </w:r>
      <w:r w:rsidR="00715158">
        <w:rPr>
          <w:rFonts w:hint="cs"/>
          <w:rtl/>
        </w:rPr>
        <w:t>סוגית</w:t>
      </w:r>
      <w:r w:rsidRPr="0050146A">
        <w:rPr>
          <w:rFonts w:hint="cs"/>
          <w:rtl/>
        </w:rPr>
        <w:t xml:space="preserve"> ולא על דברי ר"נ דכחל מן המנין.</w:t>
      </w:r>
      <w:bookmarkEnd w:id="3794"/>
    </w:p>
    <w:p w:rsidR="00495EC8" w:rsidRPr="0050146A" w:rsidRDefault="00495EC8" w:rsidP="00495EC8">
      <w:pPr>
        <w:pStyle w:val="1"/>
        <w:rPr>
          <w:rtl/>
        </w:rPr>
      </w:pPr>
      <w:bookmarkStart w:id="3795" w:name="_Toc10737464"/>
      <w:r w:rsidRPr="0050146A">
        <w:rPr>
          <w:rtl/>
        </w:rPr>
        <w:t xml:space="preserve">ביאור הריטב"א בביאור החומרות דרבנן בכחל </w:t>
      </w:r>
    </w:p>
    <w:p w:rsidR="00495EC8" w:rsidRPr="0050146A" w:rsidRDefault="00495EC8" w:rsidP="00495EC8">
      <w:pPr>
        <w:pStyle w:val="a2"/>
        <w:rPr>
          <w:rtl/>
        </w:rPr>
      </w:pPr>
      <w:r w:rsidRPr="0050146A">
        <w:rPr>
          <w:rFonts w:hint="cs"/>
          <w:rtl/>
        </w:rPr>
        <w:t>ביאור הריטב"א דכיון דאיסור הכחל הוא חומרא א"צ להחמיר בבשר דלא קיבל טעם מהחלב</w:t>
      </w:r>
      <w:bookmarkEnd w:id="3795"/>
    </w:p>
    <w:p w:rsidR="00495EC8" w:rsidRPr="0050146A" w:rsidRDefault="00495EC8" w:rsidP="009F44AF">
      <w:pPr>
        <w:pStyle w:val="a"/>
        <w:rPr>
          <w:rtl/>
        </w:rPr>
      </w:pPr>
      <w:r w:rsidRPr="0050146A">
        <w:rPr>
          <w:rFonts w:hint="cs"/>
          <w:rtl/>
        </w:rPr>
        <w:t xml:space="preserve">אלא ביאר </w:t>
      </w:r>
      <w:r w:rsidRPr="0050146A">
        <w:rPr>
          <w:rStyle w:val="af8"/>
          <w:rFonts w:hint="cs"/>
          <w:rtl/>
        </w:rPr>
        <w:t>הריטב"א</w:t>
      </w:r>
      <w:r w:rsidRPr="0050146A">
        <w:rPr>
          <w:rFonts w:hint="cs"/>
          <w:rtl/>
        </w:rPr>
        <w:t xml:space="preserve"> דכוונת הגמ' להקשות דלא יאסור בקדירה שניה, כיון דמדינא בשר הכחל אינו אסור, ואף היה ראוי לומר שהחלב נסחט ממנו לגמרי, אחר שהתבטל בקדירה, ככל חלב שנופל לקדירה, ולא היה לנו להחמיר בו יותר דהא חלב שחוטה אסור מדרבנן ולא מדאו', ואף אם מחמירים בחלב שחוטה עצמו, עדיין א"צ להחמיר כלום בבשר הכחל, שהרי הוא לא קיבל כל טעם מהחלב, אף אחר שיצא מהקדירה כדביאר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Ref10734792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50146A">
        <w:rPr>
          <w:rStyle w:val="af6"/>
          <w:rFonts w:eastAsia="Guttman Hodes"/>
          <w:rtl/>
        </w:rPr>
        <w:fldChar w:fldCharType="end"/>
      </w:r>
      <w:r w:rsidRPr="0050146A">
        <w:rPr>
          <w:rFonts w:hint="cs"/>
          <w:rtl/>
        </w:rPr>
        <w:t>.</w:t>
      </w:r>
    </w:p>
    <w:p w:rsidR="00495EC8" w:rsidRPr="0050146A" w:rsidRDefault="00495EC8" w:rsidP="00495EC8">
      <w:pPr>
        <w:pStyle w:val="a2"/>
        <w:rPr>
          <w:rtl/>
        </w:rPr>
      </w:pPr>
      <w:bookmarkStart w:id="3796" w:name="_Toc10737465"/>
      <w:r w:rsidRPr="0050146A">
        <w:rPr>
          <w:rFonts w:hint="cs"/>
          <w:rtl/>
        </w:rPr>
        <w:t>דברי הריטב"א דהחומרות בכחל הם חיזוק לרבנן ולכן אי משערים בכולו א"צ לאסור בקדירה שניה</w:t>
      </w:r>
      <w:bookmarkEnd w:id="3796"/>
    </w:p>
    <w:p w:rsidR="00495EC8" w:rsidRPr="0050146A" w:rsidRDefault="00495EC8" w:rsidP="009F44AF">
      <w:pPr>
        <w:pStyle w:val="a"/>
        <w:rPr>
          <w:rtl/>
        </w:rPr>
      </w:pPr>
      <w:r w:rsidRPr="0050146A">
        <w:rPr>
          <w:rFonts w:hint="cs"/>
          <w:rtl/>
        </w:rPr>
        <w:t xml:space="preserve">וכתב </w:t>
      </w:r>
      <w:r w:rsidRPr="0050146A">
        <w:rPr>
          <w:rStyle w:val="af8"/>
          <w:rFonts w:hint="cs"/>
          <w:rtl/>
        </w:rPr>
        <w:t>הריטב"א</w:t>
      </w:r>
      <w:r w:rsidRPr="0050146A">
        <w:rPr>
          <w:rFonts w:hint="cs"/>
          <w:rtl/>
        </w:rPr>
        <w:t xml:space="preserve"> דכל החומרות הללו בכחל, הם חיזוק שעשו לאיסור דרבנן מפני מראית עין, שנראה שנשאר חלב בכחל, ולכן מקשה הגמ' דאי היינו משערים במה שיצא ממנו לפי אומד יפה, א"כ עדיין היה מראית עין, דיטעו לומר שלא יצא כולו, והוא יכול לאסור אף את הקדירה השניה, אבל אחר שרואים שבקדירה הראשונה משערים כנגד כולו, א"כ א"צ לאסור בקדירה השניה כלל דאין בזה אפילו מראית עין, דאומרים שכל החלב נפלט בקדירה הראשונה.</w:t>
      </w:r>
    </w:p>
    <w:p w:rsidR="00495EC8" w:rsidRPr="0050146A" w:rsidRDefault="00495EC8" w:rsidP="00495EC8">
      <w:pPr>
        <w:pStyle w:val="a2"/>
        <w:rPr>
          <w:rtl/>
        </w:rPr>
      </w:pPr>
      <w:bookmarkStart w:id="3797" w:name="_Toc10737466"/>
      <w:r w:rsidRPr="0050146A">
        <w:rPr>
          <w:rFonts w:hint="cs"/>
          <w:rtl/>
        </w:rPr>
        <w:t>ביאור הריטב"א דאחר שהחמירו בו מיחזי כחתיכת איסור והחמירו לאסור אף בקדירה שניה</w:t>
      </w:r>
      <w:bookmarkEnd w:id="3797"/>
    </w:p>
    <w:p w:rsidR="00495EC8" w:rsidRPr="0050146A" w:rsidRDefault="00495EC8" w:rsidP="009F44AF">
      <w:pPr>
        <w:pStyle w:val="a"/>
        <w:rPr>
          <w:rtl/>
        </w:rPr>
      </w:pPr>
      <w:r w:rsidRPr="0050146A">
        <w:rPr>
          <w:rFonts w:hint="cs"/>
          <w:rtl/>
        </w:rPr>
        <w:t xml:space="preserve">ובתירוץ הגמ' ביאר </w:t>
      </w:r>
      <w:r w:rsidRPr="0050146A">
        <w:rPr>
          <w:rStyle w:val="af8"/>
          <w:rFonts w:hint="cs"/>
          <w:rtl/>
        </w:rPr>
        <w:t>הריטב"א</w:t>
      </w:r>
      <w:r w:rsidRPr="0050146A">
        <w:rPr>
          <w:rFonts w:hint="cs"/>
          <w:rtl/>
        </w:rPr>
        <w:t xml:space="preserve"> דאחר שהחמרנו בכחל, א"א לומר שאינו אוסר את הקדירה השניה, דכיון שהכחל עצמו נאסר באכילה כשנתבשל בקדירה הראשונה, והוא מיחזי כחתיכת איסור, לכן החמירו בו רבנן ושויוה כחתיכת נבילה.</w:t>
      </w:r>
    </w:p>
    <w:p w:rsidR="00495EC8" w:rsidRPr="0050146A" w:rsidRDefault="00495EC8" w:rsidP="00495EC8">
      <w:pPr>
        <w:pStyle w:val="1"/>
        <w:rPr>
          <w:rtl/>
        </w:rPr>
      </w:pPr>
      <w:bookmarkStart w:id="3798" w:name="_Toc10737467"/>
      <w:r w:rsidRPr="0050146A">
        <w:rPr>
          <w:rFonts w:hint="cs"/>
          <w:rtl/>
        </w:rPr>
        <w:t>ביאור הרי"ד</w:t>
      </w:r>
      <w:bookmarkEnd w:id="3739"/>
      <w:bookmarkEnd w:id="3740"/>
      <w:bookmarkEnd w:id="3741"/>
      <w:bookmarkEnd w:id="3742"/>
      <w:bookmarkEnd w:id="3743"/>
      <w:bookmarkEnd w:id="3744"/>
      <w:bookmarkEnd w:id="3745"/>
      <w:bookmarkEnd w:id="3746"/>
      <w:r w:rsidRPr="0050146A">
        <w:rPr>
          <w:rFonts w:hint="cs"/>
          <w:rtl/>
        </w:rPr>
        <w:t xml:space="preserve"> בחילוק בין פליטת הכחל לפליטת שאר איסורים</w:t>
      </w:r>
      <w:bookmarkEnd w:id="3798"/>
    </w:p>
    <w:p w:rsidR="00495EC8" w:rsidRPr="0050146A" w:rsidRDefault="00495EC8" w:rsidP="00495EC8">
      <w:pPr>
        <w:pStyle w:val="a2"/>
        <w:rPr>
          <w:rtl/>
        </w:rPr>
      </w:pPr>
      <w:bookmarkStart w:id="3799" w:name="_Toc10737468"/>
      <w:r w:rsidRPr="0050146A">
        <w:rPr>
          <w:rFonts w:hint="cs"/>
          <w:rtl/>
        </w:rPr>
        <w:t>דברי הרי"ד דאי משערים במה שיצא ממנו א"כ אוסר בכל בישול כפי השיעור שפולט בו</w:t>
      </w:r>
      <w:bookmarkEnd w:id="3799"/>
      <w:r w:rsidRPr="0050146A">
        <w:rPr>
          <w:rFonts w:hint="cs"/>
          <w:rtl/>
        </w:rPr>
        <w:t xml:space="preserve"> </w:t>
      </w:r>
    </w:p>
    <w:p w:rsidR="00495EC8" w:rsidRPr="0050146A" w:rsidRDefault="00495EC8" w:rsidP="009F44AF">
      <w:pPr>
        <w:pStyle w:val="a"/>
        <w:rPr>
          <w:rtl/>
        </w:rPr>
      </w:pPr>
      <w:r w:rsidRPr="0050146A">
        <w:rPr>
          <w:rStyle w:val="af8"/>
          <w:rFonts w:hint="cs"/>
          <w:rtl/>
        </w:rPr>
        <w:t>ובפסקי הרי"ד</w:t>
      </w:r>
      <w:r w:rsidRPr="0050146A">
        <w:rPr>
          <w:rStyle w:val="af6"/>
          <w:rFonts w:eastAsia="Guttman Hodes" w:hint="cs"/>
          <w:rtl/>
        </w:rPr>
        <w:t xml:space="preserve"> (ד"ה אמר רב אשי)</w:t>
      </w:r>
      <w:r w:rsidRPr="0050146A">
        <w:rPr>
          <w:rFonts w:hint="cs"/>
          <w:rtl/>
        </w:rPr>
        <w:t xml:space="preserve"> כתב דכוונת הגמ' להקשות דאי משערים בכולו לא יאסור בקדירה אחרת, דהא אי משערים בחלב שיוצא מהכחל, א"כ יש בכח הכחל לאסור בכל פעם שנופל לקדירה, דבכל קדירה משערים כפי השיעור שהוא פולט באותה הקדירה.</w:t>
      </w:r>
    </w:p>
    <w:p w:rsidR="00495EC8" w:rsidRPr="0050146A" w:rsidRDefault="00495EC8" w:rsidP="00495EC8">
      <w:pPr>
        <w:pStyle w:val="a2"/>
      </w:pPr>
      <w:bookmarkStart w:id="3800" w:name="_Toc10737469"/>
      <w:r w:rsidRPr="0050146A">
        <w:rPr>
          <w:rFonts w:hint="cs"/>
          <w:rtl/>
        </w:rPr>
        <w:t>דברי הרי"ד דמשערים בכולו לחומרא דהא אין כולו אסור וא"כ כל הבלוע בו כבר נתבטל</w:t>
      </w:r>
      <w:bookmarkEnd w:id="3800"/>
    </w:p>
    <w:p w:rsidR="00495EC8" w:rsidRPr="0050146A" w:rsidRDefault="00495EC8" w:rsidP="009F44AF">
      <w:pPr>
        <w:pStyle w:val="a"/>
        <w:rPr>
          <w:rtl/>
        </w:rPr>
      </w:pPr>
      <w:r w:rsidRPr="0050146A">
        <w:rPr>
          <w:rFonts w:hint="cs"/>
          <w:rtl/>
        </w:rPr>
        <w:t xml:space="preserve">אבל אי משערים בכולו, כתב </w:t>
      </w:r>
      <w:r w:rsidRPr="0050146A">
        <w:rPr>
          <w:rStyle w:val="af8"/>
          <w:rFonts w:hint="cs"/>
          <w:rtl/>
        </w:rPr>
        <w:t>בפסקי הרי"ד</w:t>
      </w:r>
      <w:r w:rsidRPr="0050146A">
        <w:rPr>
          <w:rStyle w:val="af6"/>
          <w:rFonts w:eastAsia="Guttman Hodes" w:hint="cs"/>
          <w:rtl/>
        </w:rPr>
        <w:t xml:space="preserve"> </w:t>
      </w:r>
      <w:r w:rsidRPr="0050146A">
        <w:rPr>
          <w:rFonts w:hint="cs"/>
          <w:rtl/>
        </w:rPr>
        <w:t>דא"א לומר דהשיעור בכולו הוא כיון שכולו אסור כחתיכת נבילה, דהא הבשר שלו מותר ורק החלב שהוא פולט אוסר, אלא ודאי דמשערים בכולו לחומרא כיון שלא ידוע כמה חלב נפלט ממנו, וכיון דמשערים בכולו, א"כ כבר נתבטל כל טעם החלב הבלוע בו, ולכן מקשה הגמ' דאם נפל לקדירה אחרת לא יאסור.</w:t>
      </w:r>
    </w:p>
    <w:p w:rsidR="00495EC8" w:rsidRPr="0050146A" w:rsidRDefault="00495EC8" w:rsidP="00495EC8">
      <w:pPr>
        <w:pStyle w:val="a2"/>
        <w:rPr>
          <w:rtl/>
        </w:rPr>
      </w:pPr>
      <w:bookmarkStart w:id="3801" w:name="_Toc10737470"/>
      <w:r w:rsidRPr="0050146A">
        <w:rPr>
          <w:rFonts w:hint="cs"/>
          <w:rtl/>
        </w:rPr>
        <w:t>ביאור הרי"ד דחתיכת נבילה כל פליטתה אוסרת ולכן אוסרת תמיד ואילו כחל רק פליטת חלבו אוסר</w:t>
      </w:r>
      <w:bookmarkEnd w:id="3801"/>
    </w:p>
    <w:p w:rsidR="00495EC8" w:rsidRPr="0050146A" w:rsidRDefault="00495EC8" w:rsidP="009F44AF">
      <w:pPr>
        <w:pStyle w:val="a"/>
        <w:rPr>
          <w:rtl/>
        </w:rPr>
      </w:pPr>
      <w:r w:rsidRPr="0050146A">
        <w:rPr>
          <w:rFonts w:hint="cs"/>
          <w:rtl/>
        </w:rPr>
        <w:t xml:space="preserve">וביאר </w:t>
      </w:r>
      <w:r w:rsidRPr="0050146A">
        <w:rPr>
          <w:rStyle w:val="af8"/>
          <w:rFonts w:hint="cs"/>
          <w:rtl/>
        </w:rPr>
        <w:t>בפסקי הרי"ד</w:t>
      </w:r>
      <w:r w:rsidRPr="0050146A">
        <w:rPr>
          <w:rFonts w:hint="cs"/>
          <w:rtl/>
        </w:rPr>
        <w:t xml:space="preserve"> דלא דמי לחתיכת נבילה שאוסרת בכל קדירה, דכיון שכל מה שהיא פולטת הוא אסור, לכן היא חוזרת ופולטת בכל קדירה, אבל כחל שמה שהבשר שלו פולט הוא היתר, ורק החלב שנפלט ממנו אסור, א"כ כשמשערים בכולו, חשיב שהתבטל כל החלב הבלוע בו.</w:t>
      </w:r>
    </w:p>
    <w:p w:rsidR="00495EC8" w:rsidRPr="0050146A" w:rsidRDefault="00495EC8" w:rsidP="00495EC8">
      <w:pPr>
        <w:pStyle w:val="a2"/>
        <w:rPr>
          <w:rtl/>
        </w:rPr>
      </w:pPr>
      <w:bookmarkStart w:id="3802" w:name="_Toc10737471"/>
      <w:bookmarkStart w:id="3803" w:name="_Toc9936413"/>
      <w:bookmarkStart w:id="3804" w:name="_Toc9936434"/>
      <w:bookmarkStart w:id="3805" w:name="_Toc10061676"/>
      <w:bookmarkStart w:id="3806" w:name="_Toc10147731"/>
      <w:bookmarkStart w:id="3807" w:name="_Toc10202021"/>
      <w:bookmarkStart w:id="3808" w:name="_Toc10367985"/>
      <w:bookmarkStart w:id="3809" w:name="_Toc10451095"/>
      <w:bookmarkStart w:id="3810" w:name="_Toc10494347"/>
      <w:bookmarkStart w:id="3811" w:name="_Toc10716576"/>
      <w:bookmarkStart w:id="3812" w:name="_Toc10718871"/>
      <w:bookmarkStart w:id="3813" w:name="_Toc10730121"/>
      <w:bookmarkStart w:id="3814" w:name="_Toc10541283"/>
      <w:bookmarkStart w:id="3815" w:name="_Toc10625654"/>
      <w:bookmarkStart w:id="3816" w:name="_Toc10665884"/>
      <w:r w:rsidRPr="0050146A">
        <w:rPr>
          <w:rFonts w:hint="cs"/>
          <w:rtl/>
        </w:rPr>
        <w:t>ביאור הרי"ד דהכחל נאסר לפני שהתבטל החלב ונעשה הוא עצמו כבב"ח ופליטתו כפליטת נבילה</w:t>
      </w:r>
      <w:bookmarkEnd w:id="3802"/>
    </w:p>
    <w:p w:rsidR="00F07B03" w:rsidRPr="0050146A" w:rsidRDefault="00495EC8" w:rsidP="009F44AF">
      <w:pPr>
        <w:pStyle w:val="a"/>
        <w:rPr>
          <w:rtl/>
        </w:rPr>
      </w:pPr>
      <w:r w:rsidRPr="0050146A">
        <w:rPr>
          <w:rFonts w:hint="cs"/>
          <w:rtl/>
        </w:rPr>
        <w:t xml:space="preserve">ובתירוץ הגמ' ביאר </w:t>
      </w:r>
      <w:r w:rsidRPr="0050146A">
        <w:rPr>
          <w:rStyle w:val="af8"/>
          <w:rFonts w:hint="cs"/>
          <w:rtl/>
        </w:rPr>
        <w:t xml:space="preserve">בפסקי הרי"ד </w:t>
      </w:r>
      <w:r w:rsidRPr="0050146A">
        <w:rPr>
          <w:rFonts w:hint="cs"/>
          <w:rtl/>
        </w:rPr>
        <w:t>דכיון שהכחל עצמו נאסר ע"י הבשר שבקדירה, לפני שהתבטל החלב הבלוע בו, ממילא נעשה הכחל עצמו כבשר בחלב, ולכן כל מה שנפלט ממנו הוא אסור, כמו פליטה של חתיכת נבילה, ולכן הוא חוזר ואוסר בכל קדירה שנופל אליה, כחתיכת נבילה, ואחר שנאסר הכחל אין לו היתר לעולם, וא"א לומר דיצא ממנו כל החלב והתבטל, ונשאר בכחל רק בשר, דאחר שנאסר הכחל, אין האיסור מתבטל לעולם.</w:t>
      </w:r>
    </w:p>
    <w:p w:rsidR="00495EC8" w:rsidRPr="0050146A" w:rsidRDefault="00495EC8" w:rsidP="00E669F8">
      <w:pPr>
        <w:pStyle w:val="afd"/>
        <w:rPr>
          <w:rtl/>
        </w:rPr>
      </w:pPr>
      <w:bookmarkStart w:id="3817" w:name="_Toc10737476"/>
      <w:bookmarkStart w:id="3818" w:name="_Toc9934845"/>
      <w:bookmarkStart w:id="3819" w:name="_Toc9936415"/>
      <w:bookmarkStart w:id="3820" w:name="_Toc9936436"/>
      <w:bookmarkStart w:id="3821" w:name="_Toc10061678"/>
      <w:bookmarkStart w:id="3822" w:name="_Toc10147734"/>
      <w:bookmarkStart w:id="3823" w:name="_Toc10202024"/>
      <w:bookmarkStart w:id="3824" w:name="_Toc10367988"/>
      <w:bookmarkStart w:id="3825" w:name="_Toc10451099"/>
      <w:bookmarkStart w:id="3826" w:name="_Toc10494351"/>
      <w:bookmarkStart w:id="3827" w:name="_Toc10541288"/>
      <w:bookmarkStart w:id="3828" w:name="_Toc10625659"/>
      <w:bookmarkStart w:id="3829" w:name="_Toc10665889"/>
      <w:bookmarkStart w:id="3830" w:name="_Toc10716585"/>
      <w:bookmarkStart w:id="3831" w:name="_Toc10718880"/>
      <w:bookmarkStart w:id="3832" w:name="_Toc10730130"/>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r w:rsidRPr="0050146A">
        <w:rPr>
          <w:rFonts w:hint="cs"/>
          <w:rtl/>
        </w:rPr>
        <w:t>בדין חנ"נ בכחל בקדירה שניה</w:t>
      </w:r>
      <w:bookmarkEnd w:id="3817"/>
    </w:p>
    <w:p w:rsidR="00495EC8" w:rsidRPr="0050146A" w:rsidRDefault="00495EC8" w:rsidP="00495EC8">
      <w:pPr>
        <w:pStyle w:val="1"/>
        <w:rPr>
          <w:rtl/>
        </w:rPr>
      </w:pPr>
      <w:bookmarkStart w:id="3833" w:name="_Toc1073747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r w:rsidRPr="0050146A">
        <w:rPr>
          <w:rFonts w:hint="cs"/>
          <w:rtl/>
        </w:rPr>
        <w:t>דברי הרשב"א דאף בקדירה שניה הכחל מן המנין</w:t>
      </w:r>
      <w:bookmarkEnd w:id="3833"/>
    </w:p>
    <w:p w:rsidR="00495EC8" w:rsidRPr="0050146A" w:rsidRDefault="00495EC8" w:rsidP="00495EC8">
      <w:pPr>
        <w:pStyle w:val="a2"/>
        <w:rPr>
          <w:rtl/>
        </w:rPr>
      </w:pPr>
      <w:bookmarkStart w:id="3834" w:name="_Toc10737478"/>
      <w:r w:rsidRPr="0050146A">
        <w:rPr>
          <w:rFonts w:hint="cs"/>
          <w:rtl/>
        </w:rPr>
        <w:t>דברי הרשב"א דאוסר בקדירה שניה שמא לא יצא כל החלב ממנו ומשערים בכולו והוא מהמנין</w:t>
      </w:r>
      <w:bookmarkEnd w:id="3834"/>
    </w:p>
    <w:p w:rsidR="00495EC8" w:rsidRPr="0050146A" w:rsidRDefault="00495EC8" w:rsidP="009F44AF">
      <w:pPr>
        <w:pStyle w:val="a"/>
        <w:rPr>
          <w:rStyle w:val="afa"/>
          <w:rtl/>
        </w:rPr>
      </w:pPr>
      <w:bookmarkStart w:id="3835" w:name="_Ref10044417"/>
      <w:bookmarkStart w:id="3836" w:name="_Ref10735418"/>
      <w:r w:rsidRPr="0050146A">
        <w:rPr>
          <w:rFonts w:hint="cs"/>
          <w:rtl/>
        </w:rPr>
        <w:t xml:space="preserve">כתב </w:t>
      </w:r>
      <w:r w:rsidRPr="0050146A">
        <w:rPr>
          <w:rStyle w:val="af8"/>
          <w:rFonts w:hint="cs"/>
          <w:rtl/>
        </w:rPr>
        <w:t>הרשב"א בתוה"ב</w:t>
      </w:r>
      <w:r w:rsidRPr="0050146A">
        <w:rPr>
          <w:rFonts w:hint="cs"/>
          <w:rtl/>
        </w:rPr>
        <w:t xml:space="preserve"> </w:t>
      </w:r>
      <w:r w:rsidRPr="0050146A">
        <w:rPr>
          <w:rStyle w:val="af6"/>
          <w:rFonts w:eastAsia="Guttman Hodes" w:hint="cs"/>
          <w:rtl/>
        </w:rPr>
        <w:t>(ב"ד ש"א טז: מדה"ס)</w:t>
      </w:r>
      <w:r w:rsidRPr="0050146A">
        <w:rPr>
          <w:rFonts w:hint="cs"/>
          <w:rtl/>
        </w:rPr>
        <w:t xml:space="preserve"> דהא דאמר רב יצחק דהכחל אוסר בנפל לקדירה אחרת, הוא כיון דחיישינן שלא נפלט כל החלב ממנו בקדירה הראשונה, וכיון שלא ידוע כמה חלב יתכן שעדיין נשאר בו, לכן משערים בכל הכחל, והוא חוזר ואוסר בקדירה השניה, עד שיהיה חמישים ותשע כנגדו. </w:t>
      </w:r>
      <w:r w:rsidRPr="0050146A">
        <w:rPr>
          <w:rStyle w:val="afa"/>
          <w:rFonts w:hint="cs"/>
          <w:rtl/>
        </w:rPr>
        <w:t xml:space="preserve">[וע"ע במ"ש </w:t>
      </w:r>
      <w:r w:rsidRPr="0050146A">
        <w:rPr>
          <w:rStyle w:val="affa"/>
          <w:rFonts w:hint="cs"/>
          <w:rtl/>
        </w:rPr>
        <w:t>היד יהודה</w:t>
      </w:r>
      <w:r w:rsidRPr="0050146A">
        <w:rPr>
          <w:rStyle w:val="afa"/>
          <w:rFonts w:hint="cs"/>
          <w:rtl/>
        </w:rPr>
        <w:t xml:space="preserve"> </w:t>
      </w:r>
      <w:r w:rsidRPr="0050146A">
        <w:rPr>
          <w:rStyle w:val="aff6"/>
          <w:rFonts w:hint="cs"/>
          <w:rtl/>
        </w:rPr>
        <w:t>(סי' ס"ט סקמ"ה בתו"ד)</w:t>
      </w:r>
      <w:r w:rsidRPr="0050146A">
        <w:rPr>
          <w:rStyle w:val="afa"/>
          <w:rFonts w:hint="cs"/>
          <w:rtl/>
        </w:rPr>
        <w:t xml:space="preserve"> דבדברי </w:t>
      </w:r>
      <w:r w:rsidRPr="0050146A">
        <w:rPr>
          <w:rStyle w:val="affa"/>
          <w:rFonts w:hint="cs"/>
          <w:rtl/>
        </w:rPr>
        <w:t>הרשב"א במשה"ב</w:t>
      </w:r>
      <w:r w:rsidRPr="0050146A">
        <w:rPr>
          <w:rStyle w:val="afa"/>
          <w:rFonts w:hint="cs"/>
          <w:rtl/>
        </w:rPr>
        <w:t xml:space="preserve"> </w:t>
      </w:r>
      <w:r w:rsidRPr="0050146A">
        <w:rPr>
          <w:rStyle w:val="aff6"/>
          <w:rFonts w:hint="cs"/>
          <w:rtl/>
        </w:rPr>
        <w:t>(ב"ד ש"א ח: מדה"ס)</w:t>
      </w:r>
      <w:r w:rsidRPr="0050146A">
        <w:rPr>
          <w:rStyle w:val="afa"/>
          <w:rFonts w:hint="cs"/>
          <w:rtl/>
        </w:rPr>
        <w:t xml:space="preserve"> </w:t>
      </w:r>
      <w:bookmarkEnd w:id="3835"/>
      <w:r w:rsidRPr="0050146A">
        <w:rPr>
          <w:rStyle w:val="afa"/>
          <w:rFonts w:hint="cs"/>
          <w:rtl/>
        </w:rPr>
        <w:t xml:space="preserve">מבואר דלא כדבריו </w:t>
      </w:r>
      <w:r w:rsidRPr="0050146A">
        <w:rPr>
          <w:rStyle w:val="affa"/>
          <w:rFonts w:hint="cs"/>
          <w:rtl/>
        </w:rPr>
        <w:t>בתוה"ב</w:t>
      </w:r>
      <w:r w:rsidRPr="0050146A">
        <w:rPr>
          <w:rStyle w:val="afa"/>
          <w:rFonts w:hint="cs"/>
          <w:rtl/>
        </w:rPr>
        <w:t xml:space="preserve">, ולא כביאור </w:t>
      </w:r>
      <w:r w:rsidRPr="0050146A">
        <w:rPr>
          <w:rStyle w:val="affa"/>
          <w:rFonts w:hint="cs"/>
          <w:rtl/>
        </w:rPr>
        <w:t>הט"ז</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Ref10060565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w:t>
      </w:r>
      <w:r w:rsidRPr="0050146A">
        <w:rPr>
          <w:rStyle w:val="aff6"/>
          <w:rtl/>
        </w:rPr>
        <w:fldChar w:fldCharType="end"/>
      </w:r>
      <w:r w:rsidRPr="0050146A">
        <w:rPr>
          <w:rStyle w:val="afa"/>
          <w:rFonts w:hint="cs"/>
          <w:rtl/>
        </w:rPr>
        <w:t xml:space="preserve"> </w:t>
      </w:r>
      <w:r w:rsidRPr="0050146A">
        <w:rPr>
          <w:rStyle w:val="affa"/>
          <w:rFonts w:hint="cs"/>
          <w:rtl/>
        </w:rPr>
        <w:t>ברשב"א</w:t>
      </w:r>
      <w:r w:rsidRPr="0050146A">
        <w:rPr>
          <w:rStyle w:val="afa"/>
          <w:rFonts w:hint="cs"/>
          <w:rtl/>
        </w:rPr>
        <w:t>].</w:t>
      </w:r>
      <w:bookmarkEnd w:id="3836"/>
    </w:p>
    <w:p w:rsidR="00495EC8" w:rsidRPr="0050146A" w:rsidRDefault="00495EC8" w:rsidP="00495EC8">
      <w:pPr>
        <w:pStyle w:val="a2"/>
        <w:rPr>
          <w:rtl/>
        </w:rPr>
      </w:pPr>
      <w:bookmarkStart w:id="3837" w:name="_Toc10737479"/>
      <w:r w:rsidRPr="0050146A">
        <w:rPr>
          <w:rFonts w:hint="cs"/>
          <w:rtl/>
        </w:rPr>
        <w:t>ביאור הב"ח ברשב"א דמשמע בגמ' דהוא כמו נבילה ולא נבילה ממש ולכן הוא מהמנין</w:t>
      </w:r>
      <w:bookmarkEnd w:id="3837"/>
    </w:p>
    <w:p w:rsidR="00495EC8" w:rsidRPr="0050146A" w:rsidRDefault="00495EC8" w:rsidP="009F44AF">
      <w:pPr>
        <w:pStyle w:val="a"/>
        <w:rPr>
          <w:rtl/>
        </w:rPr>
      </w:pPr>
      <w:r w:rsidRPr="0050146A">
        <w:rPr>
          <w:rFonts w:hint="cs"/>
          <w:rtl/>
        </w:rPr>
        <w:t xml:space="preserve">וכתב </w:t>
      </w:r>
      <w:r w:rsidRPr="0050146A">
        <w:rPr>
          <w:rStyle w:val="af8"/>
          <w:rFonts w:hint="cs"/>
          <w:rtl/>
        </w:rPr>
        <w:t>הב"ח</w:t>
      </w:r>
      <w:r w:rsidRPr="0050146A">
        <w:rPr>
          <w:rFonts w:hint="cs"/>
          <w:rtl/>
        </w:rPr>
        <w:t xml:space="preserve"> </w:t>
      </w:r>
      <w:r w:rsidRPr="0050146A">
        <w:rPr>
          <w:rStyle w:val="af6"/>
          <w:rFonts w:eastAsia="Guttman Hodes" w:hint="cs"/>
          <w:rtl/>
        </w:rPr>
        <w:t>(סי' צ' ג')</w:t>
      </w:r>
      <w:r w:rsidRPr="0050146A">
        <w:rPr>
          <w:rFonts w:hint="cs"/>
          <w:rtl/>
        </w:rPr>
        <w:t xml:space="preserve"> </w:t>
      </w:r>
      <w:r w:rsidRPr="0050146A">
        <w:rPr>
          <w:rStyle w:val="af8"/>
          <w:rFonts w:hint="cs"/>
          <w:rtl/>
        </w:rPr>
        <w:t>דהרשב"א</w:t>
      </w:r>
      <w:r w:rsidRPr="0050146A">
        <w:rPr>
          <w:rFonts w:hint="cs"/>
          <w:rtl/>
        </w:rPr>
        <w:t xml:space="preserve"> למד כן מלשון הגמ' דשויוה רבנן כחתיכת נבילה, ומשמע שדינו כמו נבילה אך אינו נבילה ממש, כיון שאף בקדירה השניה הוא מצטרף לשישים.</w:t>
      </w:r>
    </w:p>
    <w:p w:rsidR="00495EC8" w:rsidRPr="0050146A" w:rsidRDefault="00495EC8" w:rsidP="00495EC8">
      <w:pPr>
        <w:pStyle w:val="1"/>
        <w:rPr>
          <w:rtl/>
        </w:rPr>
      </w:pPr>
      <w:bookmarkStart w:id="3838" w:name="_Toc10737480"/>
      <w:r w:rsidRPr="0050146A">
        <w:rPr>
          <w:rFonts w:hint="cs"/>
          <w:rtl/>
        </w:rPr>
        <w:t>פלוגתת הט"ז והחוו"ד בביאור דברי הרשב"א</w:t>
      </w:r>
      <w:bookmarkEnd w:id="3838"/>
    </w:p>
    <w:p w:rsidR="00495EC8" w:rsidRPr="0050146A" w:rsidRDefault="00495EC8" w:rsidP="00495EC8">
      <w:pPr>
        <w:pStyle w:val="a2"/>
        <w:rPr>
          <w:rtl/>
        </w:rPr>
      </w:pPr>
      <w:bookmarkStart w:id="3839" w:name="_Toc10737481"/>
      <w:r w:rsidRPr="0050146A">
        <w:rPr>
          <w:rFonts w:hint="cs"/>
          <w:rtl/>
        </w:rPr>
        <w:t>קושית הט"ז דאי לא יצא כל החלב אמאי אסורוה רק מחמת דהחשיבוהו כנבילה הא מדינא אסור</w:t>
      </w:r>
      <w:bookmarkEnd w:id="3839"/>
    </w:p>
    <w:p w:rsidR="00495EC8" w:rsidRPr="0050146A" w:rsidRDefault="00495EC8" w:rsidP="009F44AF">
      <w:pPr>
        <w:pStyle w:val="a"/>
        <w:rPr>
          <w:rtl/>
        </w:rPr>
      </w:pPr>
      <w:r w:rsidRPr="0050146A">
        <w:rPr>
          <w:rFonts w:hint="cs"/>
          <w:rtl/>
        </w:rPr>
        <w:t xml:space="preserve">והקשה </w:t>
      </w:r>
      <w:r w:rsidRPr="0050146A">
        <w:rPr>
          <w:rStyle w:val="af8"/>
          <w:rFonts w:hint="cs"/>
          <w:rtl/>
        </w:rPr>
        <w:t>הט"ז</w:t>
      </w:r>
      <w:r w:rsidRPr="0050146A">
        <w:rPr>
          <w:rFonts w:hint="cs"/>
          <w:rtl/>
        </w:rPr>
        <w:t xml:space="preserve"> </w:t>
      </w:r>
      <w:r w:rsidRPr="0050146A">
        <w:rPr>
          <w:rStyle w:val="af6"/>
          <w:rFonts w:eastAsia="Guttman Hodes" w:hint="cs"/>
          <w:rtl/>
        </w:rPr>
        <w:t>(סי' צ' סק"ג)</w:t>
      </w:r>
      <w:r w:rsidRPr="0050146A">
        <w:rPr>
          <w:rFonts w:hint="cs"/>
          <w:rtl/>
        </w:rPr>
        <w:t xml:space="preserve"> על </w:t>
      </w:r>
      <w:r w:rsidRPr="0050146A">
        <w:rPr>
          <w:rStyle w:val="af8"/>
          <w:rFonts w:hint="cs"/>
          <w:rtl/>
        </w:rPr>
        <w:t>הרשב"א בתוה"ב</w:t>
      </w:r>
      <w:r w:rsidRPr="0050146A">
        <w:rPr>
          <w:rFonts w:hint="cs"/>
          <w:rtl/>
        </w:rPr>
        <w:t xml:space="preserve"> דאי חיישינן שלא נפלט כל החלב ממנו, א"כ למה הוצרך רב יצחק לומר שהכחל אסור דרבנן שויוה כחתיכת נבילה, הרי מסברא כמו שהכחל אוסר בקדירה הראשונה, כך אוסר בקדירה השניה, שמא יש בו חלב.</w:t>
      </w:r>
    </w:p>
    <w:p w:rsidR="00495EC8" w:rsidRPr="0050146A" w:rsidRDefault="00495EC8" w:rsidP="00495EC8">
      <w:pPr>
        <w:pStyle w:val="a2"/>
      </w:pPr>
      <w:bookmarkStart w:id="3840" w:name="_Toc10737482"/>
      <w:r w:rsidRPr="0050146A">
        <w:rPr>
          <w:rFonts w:hint="cs"/>
          <w:rtl/>
        </w:rPr>
        <w:t>ביאור הט"ז ברשב"א דאיסור הכחל הוא חומרא דרבנן שמא לא נפלט כל החלב ממנו</w:t>
      </w:r>
      <w:bookmarkEnd w:id="3840"/>
    </w:p>
    <w:p w:rsidR="00495EC8" w:rsidRPr="0050146A" w:rsidRDefault="00495EC8" w:rsidP="009F44AF">
      <w:pPr>
        <w:pStyle w:val="a"/>
        <w:rPr>
          <w:rtl/>
        </w:rPr>
      </w:pPr>
      <w:bookmarkStart w:id="3841" w:name="_Ref10060565"/>
      <w:r w:rsidRPr="0050146A">
        <w:rPr>
          <w:rFonts w:hint="cs"/>
          <w:rtl/>
        </w:rPr>
        <w:t xml:space="preserve">וכתב </w:t>
      </w:r>
      <w:r w:rsidRPr="0050146A">
        <w:rPr>
          <w:rStyle w:val="af8"/>
          <w:rFonts w:hint="cs"/>
          <w:rtl/>
        </w:rPr>
        <w:t>הט"ז</w:t>
      </w:r>
      <w:r w:rsidRPr="0050146A">
        <w:rPr>
          <w:rFonts w:hint="cs"/>
          <w:rtl/>
        </w:rPr>
        <w:t xml:space="preserve"> לדברי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Ref10735195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דבקדירה השניה אין איסור בכחל, אחר שהתבטל בקדירה הראשונה, ואסרוהו רבנן מפני מראית העין מיושב שפיר, ועוד הביא </w:t>
      </w:r>
      <w:r w:rsidRPr="0050146A">
        <w:rPr>
          <w:rStyle w:val="af8"/>
          <w:rFonts w:hint="cs"/>
          <w:rtl/>
        </w:rPr>
        <w:t>הט"ז</w:t>
      </w:r>
      <w:r w:rsidRPr="0050146A">
        <w:rPr>
          <w:rFonts w:hint="cs"/>
          <w:rtl/>
        </w:rPr>
        <w:t xml:space="preserve"> את דברי </w:t>
      </w:r>
      <w:r w:rsidRPr="0050146A">
        <w:rPr>
          <w:rStyle w:val="af8"/>
          <w:rFonts w:hint="cs"/>
          <w:rtl/>
        </w:rPr>
        <w:t>התוס'</w:t>
      </w:r>
      <w:r w:rsidRPr="0050146A">
        <w:rPr>
          <w:rFonts w:hint="cs"/>
          <w:rtl/>
        </w:rPr>
        <w:t xml:space="preserve"> </w:t>
      </w:r>
      <w:r w:rsidRPr="0050146A">
        <w:rPr>
          <w:rStyle w:val="af6"/>
          <w:rFonts w:eastAsia="Guttman Hodes" w:hint="cs"/>
          <w:rtl/>
        </w:rPr>
        <w:t>(ד"ה וכחל מן המנין)</w:t>
      </w:r>
      <w:r w:rsidRPr="0050146A">
        <w:rPr>
          <w:rFonts w:hint="cs"/>
          <w:rtl/>
        </w:rPr>
        <w:t xml:space="preserve"> דכתבו דרבנן גזרו לאסור את הכחל אחר שהצטמק והתבטל, כיון שנאסר בתחילת הבישול ואיסורו הוא בתוכו, וכתב </w:t>
      </w:r>
      <w:r w:rsidRPr="0050146A">
        <w:rPr>
          <w:rStyle w:val="af8"/>
          <w:rFonts w:hint="cs"/>
          <w:rtl/>
        </w:rPr>
        <w:t>הט"ז</w:t>
      </w:r>
      <w:r w:rsidRPr="0050146A">
        <w:rPr>
          <w:rFonts w:hint="cs"/>
          <w:rtl/>
        </w:rPr>
        <w:t xml:space="preserve"> דאף בדעת </w:t>
      </w:r>
      <w:r w:rsidRPr="0050146A">
        <w:rPr>
          <w:rStyle w:val="af8"/>
          <w:rFonts w:hint="cs"/>
          <w:rtl/>
        </w:rPr>
        <w:t>הרשב"א</w:t>
      </w:r>
      <w:r w:rsidRPr="0050146A">
        <w:rPr>
          <w:rFonts w:hint="cs"/>
          <w:rtl/>
        </w:rPr>
        <w:t xml:space="preserve"> צ"ל דהוא חומרא דרבנן, ועיקר תירוץ הגמ' הוא דרבנן חששו שמא לא נפלט כל החלב ממנו, ולכן החמירו בו להחשיבו כחתיכת נבילה.</w:t>
      </w:r>
      <w:bookmarkEnd w:id="3841"/>
      <w:r w:rsidRPr="0050146A">
        <w:rPr>
          <w:rFonts w:hint="cs"/>
          <w:rtl/>
        </w:rPr>
        <w:t xml:space="preserve"> </w:t>
      </w:r>
    </w:p>
    <w:p w:rsidR="00495EC8" w:rsidRPr="0050146A" w:rsidRDefault="00495EC8" w:rsidP="00495EC8">
      <w:pPr>
        <w:pStyle w:val="a2"/>
        <w:rPr>
          <w:rtl/>
        </w:rPr>
      </w:pPr>
      <w:bookmarkStart w:id="3842" w:name="_Toc10737483"/>
      <w:r w:rsidRPr="0050146A">
        <w:rPr>
          <w:rFonts w:hint="cs"/>
          <w:rtl/>
        </w:rPr>
        <w:t>ביאור החוו"ד ברשב"א דס"ל כתי' הב' בתוס' דבבישול שני לא יוצא יותר חלב ולכן קשה דלא יאסור</w:t>
      </w:r>
      <w:bookmarkEnd w:id="3842"/>
    </w:p>
    <w:p w:rsidR="00495EC8" w:rsidRPr="0050146A" w:rsidRDefault="00495EC8" w:rsidP="009F44AF">
      <w:pPr>
        <w:pStyle w:val="a"/>
        <w:rPr>
          <w:rtl/>
        </w:rPr>
      </w:pPr>
      <w:r w:rsidRPr="0050146A">
        <w:rPr>
          <w:rStyle w:val="af8"/>
          <w:rFonts w:hint="cs"/>
          <w:rtl/>
        </w:rPr>
        <w:t>והחוו"ד</w:t>
      </w:r>
      <w:r w:rsidRPr="0050146A">
        <w:rPr>
          <w:rFonts w:hint="cs"/>
          <w:rtl/>
        </w:rPr>
        <w:t xml:space="preserve"> </w:t>
      </w:r>
      <w:r w:rsidRPr="0050146A">
        <w:rPr>
          <w:rStyle w:val="af6"/>
          <w:rFonts w:eastAsia="Guttman Hodes" w:hint="cs"/>
          <w:rtl/>
        </w:rPr>
        <w:t>(סי' צ' סק"א)</w:t>
      </w:r>
      <w:r w:rsidRPr="0050146A">
        <w:rPr>
          <w:rFonts w:hint="cs"/>
          <w:rtl/>
        </w:rPr>
        <w:t xml:space="preserve"> תירץ</w:t>
      </w:r>
      <w:r w:rsidRPr="0050146A">
        <w:rPr>
          <w:rStyle w:val="af8"/>
          <w:rFonts w:hint="cs"/>
          <w:rtl/>
        </w:rPr>
        <w:t xml:space="preserve"> </w:t>
      </w:r>
      <w:r w:rsidRPr="0050146A">
        <w:rPr>
          <w:rFonts w:hint="cs"/>
          <w:rtl/>
        </w:rPr>
        <w:t xml:space="preserve">את קושית </w:t>
      </w:r>
      <w:r w:rsidRPr="0050146A">
        <w:rPr>
          <w:rStyle w:val="af8"/>
          <w:rFonts w:hint="cs"/>
          <w:rtl/>
        </w:rPr>
        <w:t>הט"ז</w:t>
      </w:r>
      <w:r w:rsidRPr="0050146A">
        <w:rPr>
          <w:rFonts w:hint="cs"/>
          <w:rtl/>
        </w:rPr>
        <w:t xml:space="preserve">, </w:t>
      </w:r>
      <w:r w:rsidRPr="0050146A">
        <w:rPr>
          <w:rStyle w:val="af8"/>
          <w:rFonts w:hint="cs"/>
          <w:rtl/>
        </w:rPr>
        <w:t>דהרשב"א</w:t>
      </w:r>
      <w:r w:rsidRPr="0050146A">
        <w:rPr>
          <w:rFonts w:hint="cs"/>
          <w:rtl/>
        </w:rPr>
        <w:t xml:space="preserve"> ס"ל </w:t>
      </w:r>
      <w:r w:rsidRPr="0050146A">
        <w:rPr>
          <w:rStyle w:val="af8"/>
          <w:rFonts w:hint="cs"/>
          <w:rtl/>
        </w:rPr>
        <w:t>כתירוץ הב' בתוס'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Ref10735368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דאף דבקדירה הראשונה לא יצא כל החלב מהכחל, מ"מ הבישול השני אינו מוציא יותר חלב מהבישול הראשון, ולכן כל החלב שסופו לצאת יצא כבר בקדירה הראשונה, </w:t>
      </w:r>
      <w:r w:rsidRPr="0050146A">
        <w:rPr>
          <w:rFonts w:hint="cs"/>
          <w:rtl/>
        </w:rPr>
        <w:lastRenderedPageBreak/>
        <w:t>ולכן מקשה הגמ' דלא יאסור בקדירה השניה, אף שלא יצא כל החלב ממנו.</w:t>
      </w:r>
    </w:p>
    <w:p w:rsidR="00495EC8" w:rsidRPr="0050146A" w:rsidRDefault="00495EC8" w:rsidP="00495EC8">
      <w:pPr>
        <w:pStyle w:val="a2"/>
        <w:rPr>
          <w:rtl/>
        </w:rPr>
      </w:pPr>
      <w:bookmarkStart w:id="3843" w:name="_Toc10737484"/>
      <w:r w:rsidRPr="0050146A">
        <w:rPr>
          <w:rFonts w:hint="cs"/>
          <w:rtl/>
        </w:rPr>
        <w:t>ביאור החוו"ד ברשב"א דהכחל עצמו אינו כנבילה והחלב הבלוע כנבילה ולכן הוא מהמנין</w:t>
      </w:r>
      <w:bookmarkEnd w:id="3843"/>
    </w:p>
    <w:p w:rsidR="00495EC8" w:rsidRPr="0050146A" w:rsidRDefault="00495EC8" w:rsidP="009F44AF">
      <w:pPr>
        <w:pStyle w:val="a"/>
        <w:rPr>
          <w:rtl/>
        </w:rPr>
      </w:pPr>
      <w:r w:rsidRPr="0050146A">
        <w:rPr>
          <w:rFonts w:hint="cs"/>
          <w:rtl/>
        </w:rPr>
        <w:t xml:space="preserve">ובמ"ש </w:t>
      </w:r>
      <w:r w:rsidRPr="0050146A">
        <w:rPr>
          <w:rStyle w:val="af8"/>
          <w:rFonts w:hint="cs"/>
          <w:rtl/>
        </w:rPr>
        <w:t xml:space="preserve">הרשב"א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Ref10735418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50146A">
        <w:rPr>
          <w:rStyle w:val="af6"/>
          <w:rFonts w:eastAsia="Guttman Hodes"/>
          <w:rtl/>
        </w:rPr>
        <w:fldChar w:fldCharType="end"/>
      </w:r>
      <w:r w:rsidRPr="0050146A">
        <w:rPr>
          <w:rFonts w:hint="cs"/>
          <w:rtl/>
        </w:rPr>
        <w:t xml:space="preserve"> דחיישינן שמא לא יצא כל החלב בקדירה הראשונה, ביאר </w:t>
      </w:r>
      <w:r w:rsidRPr="0050146A">
        <w:rPr>
          <w:rStyle w:val="af8"/>
          <w:rFonts w:hint="cs"/>
          <w:rtl/>
        </w:rPr>
        <w:t xml:space="preserve">החוו"ד </w:t>
      </w:r>
      <w:r w:rsidRPr="0050146A">
        <w:rPr>
          <w:rFonts w:hint="cs"/>
          <w:rtl/>
        </w:rPr>
        <w:t xml:space="preserve">דכוונתו כדביאר </w:t>
      </w:r>
      <w:r w:rsidRPr="0050146A">
        <w:rPr>
          <w:rStyle w:val="af8"/>
          <w:rFonts w:hint="cs"/>
          <w:rtl/>
        </w:rPr>
        <w:t xml:space="preserve">החוו"ד </w:t>
      </w:r>
      <w:r w:rsidRPr="0050146A">
        <w:rPr>
          <w:rFonts w:hint="cs"/>
          <w:rtl/>
        </w:rPr>
        <w:t xml:space="preserve">בתירוץ הגמ' לדעת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Ref10735432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w:t>
      </w:r>
      <w:r w:rsidRPr="0050146A">
        <w:rPr>
          <w:rStyle w:val="af6"/>
          <w:rFonts w:eastAsia="Guttman Hodes"/>
          <w:rtl/>
        </w:rPr>
        <w:fldChar w:fldCharType="end"/>
      </w:r>
      <w:r w:rsidRPr="0050146A">
        <w:rPr>
          <w:rFonts w:hint="cs"/>
          <w:rtl/>
        </w:rPr>
        <w:t xml:space="preserve">, דאחר שנאסר החלב שבתוך הגומות כנבילה, הוא אוסר בקדירה השניה, אף שהוא עדיין בלוע בכחל, דכיון שנעשה כנבילה דינו כשאר איסורים, אבל אי אמרינן דכל החלב נפלט בקדירה הראשונה, א"כ מוכח דרבנן עשו את גוף הכחל עצמו כחתיכת נבילה, דהרי לא נשאר חלב בכחל כלל, וא"כ אמאי בקדירה השניה הכחל מן המנין, וכדהקשו </w:t>
      </w:r>
      <w:r w:rsidRPr="0050146A">
        <w:rPr>
          <w:rStyle w:val="af8"/>
          <w:rFonts w:hint="cs"/>
          <w:rtl/>
        </w:rPr>
        <w:t>התוס'</w:t>
      </w:r>
      <w:r w:rsidRPr="0050146A">
        <w:rPr>
          <w:rFonts w:hint="cs"/>
          <w:rtl/>
        </w:rPr>
        <w:t xml:space="preserve"> </w:t>
      </w:r>
      <w:r w:rsidRPr="0050146A">
        <w:rPr>
          <w:rStyle w:val="af6"/>
          <w:rFonts w:eastAsia="Guttman Hodes" w:hint="cs"/>
          <w:rtl/>
        </w:rPr>
        <w:t>(ד"ה וכחל מן המנין)</w:t>
      </w:r>
      <w:r w:rsidRPr="0050146A">
        <w:rPr>
          <w:rFonts w:hint="cs"/>
          <w:rtl/>
        </w:rPr>
        <w:t xml:space="preserve">, וכתב </w:t>
      </w:r>
      <w:r w:rsidRPr="0050146A">
        <w:rPr>
          <w:rStyle w:val="af8"/>
          <w:rFonts w:hint="cs"/>
          <w:rtl/>
        </w:rPr>
        <w:t>החוו"ד</w:t>
      </w:r>
      <w:r w:rsidRPr="0050146A">
        <w:rPr>
          <w:rFonts w:hint="cs"/>
          <w:rtl/>
        </w:rPr>
        <w:t xml:space="preserve"> דמה שתירצו </w:t>
      </w:r>
      <w:r w:rsidRPr="0050146A">
        <w:rPr>
          <w:rStyle w:val="af8"/>
          <w:rFonts w:hint="cs"/>
          <w:rtl/>
        </w:rPr>
        <w:t xml:space="preserve">התוס' </w:t>
      </w:r>
      <w:r w:rsidRPr="0050146A">
        <w:rPr>
          <w:rFonts w:hint="cs"/>
          <w:rtl/>
        </w:rPr>
        <w:t xml:space="preserve">לא שייך לתרץ כן בקדירה שניה, </w:t>
      </w:r>
      <w:r w:rsidRPr="0050146A">
        <w:rPr>
          <w:rStyle w:val="afa"/>
          <w:rFonts w:hint="cs"/>
          <w:rtl/>
        </w:rPr>
        <w:t>[אי נימא דיצא כל החלב בקדירה הראשונה],</w:t>
      </w:r>
      <w:r w:rsidRPr="0050146A">
        <w:rPr>
          <w:rFonts w:hint="cs"/>
          <w:rtl/>
        </w:rPr>
        <w:t xml:space="preserve"> דהא אין כאן חלב כלל, ולכן ביאר </w:t>
      </w:r>
      <w:r w:rsidRPr="0050146A">
        <w:rPr>
          <w:rStyle w:val="af8"/>
          <w:rFonts w:hint="cs"/>
          <w:rtl/>
        </w:rPr>
        <w:t>הרשב"א</w:t>
      </w:r>
      <w:r w:rsidRPr="0050146A">
        <w:rPr>
          <w:rFonts w:hint="cs"/>
          <w:rtl/>
        </w:rPr>
        <w:t xml:space="preserve"> דהטעם הוא דחיישינן שמא לא יצא כל החלב, וממילא החלב שנשאר יש לו דין נבילה כשאר כל האיסורים, ולא אמרינן דגוף הכחל נעשה נבילה, ולכן אף בקדירה שניה הכחל עצמו מן המנין.</w:t>
      </w:r>
    </w:p>
    <w:p w:rsidR="00495EC8" w:rsidRPr="0050146A" w:rsidRDefault="00495EC8" w:rsidP="00495EC8">
      <w:pPr>
        <w:pStyle w:val="1"/>
        <w:rPr>
          <w:rtl/>
        </w:rPr>
      </w:pPr>
      <w:bookmarkStart w:id="3844" w:name="_Toc10737485"/>
      <w:r w:rsidRPr="0050146A">
        <w:rPr>
          <w:rFonts w:hint="cs"/>
          <w:rtl/>
        </w:rPr>
        <w:t>דברי הרשב"א דבפחות מחמישים ותשע יש לכחל דין חנ"נ</w:t>
      </w:r>
      <w:bookmarkEnd w:id="3844"/>
    </w:p>
    <w:p w:rsidR="00495EC8" w:rsidRPr="0050146A" w:rsidRDefault="00495EC8" w:rsidP="00495EC8">
      <w:pPr>
        <w:pStyle w:val="a2"/>
        <w:rPr>
          <w:rtl/>
        </w:rPr>
      </w:pPr>
      <w:bookmarkStart w:id="3845" w:name="_Toc10737486"/>
      <w:r w:rsidRPr="0050146A">
        <w:rPr>
          <w:rFonts w:hint="cs"/>
          <w:rtl/>
        </w:rPr>
        <w:t>דברי הרשב"א דכשלא היה חמישים ותשע בקדירה ראשונה יש לו דין חנ"נ ואינו מהמנין בשניה</w:t>
      </w:r>
      <w:bookmarkEnd w:id="3845"/>
    </w:p>
    <w:p w:rsidR="00495EC8" w:rsidRPr="0050146A" w:rsidRDefault="00495EC8" w:rsidP="009F44AF">
      <w:pPr>
        <w:pStyle w:val="a"/>
        <w:rPr>
          <w:rtl/>
        </w:rPr>
      </w:pPr>
      <w:bookmarkStart w:id="3846" w:name="_Ref10735889"/>
      <w:r w:rsidRPr="0050146A">
        <w:rPr>
          <w:rFonts w:hint="cs"/>
          <w:rtl/>
        </w:rPr>
        <w:t xml:space="preserve">ובמקום שלא היה בקדירה הראשונה חמישים ותשע כנגדו, כתב </w:t>
      </w:r>
      <w:r w:rsidRPr="0050146A">
        <w:rPr>
          <w:rStyle w:val="af8"/>
          <w:rFonts w:hint="cs"/>
          <w:rtl/>
        </w:rPr>
        <w:t>הרשב"א בתוה"ב</w:t>
      </w:r>
      <w:r w:rsidRPr="0050146A">
        <w:rPr>
          <w:rFonts w:hint="cs"/>
          <w:rtl/>
        </w:rPr>
        <w:t xml:space="preserve"> </w:t>
      </w:r>
      <w:r w:rsidRPr="0050146A">
        <w:rPr>
          <w:rStyle w:val="af6"/>
          <w:rFonts w:eastAsia="Guttman Hodes" w:hint="cs"/>
          <w:rtl/>
        </w:rPr>
        <w:t>(ב"ד ש"א טז: מדה"ס)</w:t>
      </w:r>
      <w:r w:rsidRPr="0050146A">
        <w:rPr>
          <w:rFonts w:hint="cs"/>
          <w:rtl/>
        </w:rPr>
        <w:t xml:space="preserve"> דכיון שהכחל נאסר, מסתבר שיש לו דין חנ</w:t>
      </w:r>
      <w:r w:rsidRPr="0050146A">
        <w:rPr>
          <w:rtl/>
        </w:rPr>
        <w:t>"</w:t>
      </w:r>
      <w:r w:rsidRPr="0050146A">
        <w:rPr>
          <w:rFonts w:hint="cs"/>
          <w:rtl/>
        </w:rPr>
        <w:t>נ, דהרי רבנן עשאוהו כבשר בחלב ולכו"ע בבשר וחלב נאמר דין חנ</w:t>
      </w:r>
      <w:r w:rsidRPr="0050146A">
        <w:rPr>
          <w:rtl/>
        </w:rPr>
        <w:t>"</w:t>
      </w:r>
      <w:r w:rsidRPr="0050146A">
        <w:rPr>
          <w:rFonts w:hint="cs"/>
          <w:rtl/>
        </w:rPr>
        <w:t xml:space="preserve">נ, </w:t>
      </w:r>
      <w:r w:rsidRPr="0050146A">
        <w:rPr>
          <w:rStyle w:val="afa"/>
          <w:rFonts w:hint="cs"/>
          <w:rtl/>
        </w:rPr>
        <w:t xml:space="preserve">[היינו אף לדעת </w:t>
      </w:r>
      <w:r w:rsidRPr="0050146A">
        <w:rPr>
          <w:rStyle w:val="affa"/>
          <w:rFonts w:hint="cs"/>
          <w:rtl/>
        </w:rPr>
        <w:t>רבינו אפרים</w:t>
      </w:r>
      <w:r w:rsidRPr="0050146A">
        <w:rPr>
          <w:rStyle w:val="afa"/>
          <w:rFonts w:hint="cs"/>
          <w:rtl/>
        </w:rPr>
        <w:t xml:space="preserve"> דס"ל דבשאר איסורים אין דין חנ</w:t>
      </w:r>
      <w:r w:rsidRPr="0050146A">
        <w:rPr>
          <w:rStyle w:val="afa"/>
          <w:rtl/>
        </w:rPr>
        <w:t>"</w:t>
      </w:r>
      <w:r w:rsidRPr="0050146A">
        <w:rPr>
          <w:rStyle w:val="afa"/>
          <w:rFonts w:hint="cs"/>
          <w:rtl/>
        </w:rPr>
        <w:t>נ],</w:t>
      </w:r>
      <w:r w:rsidRPr="0050146A">
        <w:rPr>
          <w:rFonts w:hint="cs"/>
          <w:rtl/>
        </w:rPr>
        <w:t xml:space="preserve"> ולכן בקדירה השניה הכחל אינו מן המנין, וצריך שישים כנגדו.</w:t>
      </w:r>
      <w:bookmarkEnd w:id="3846"/>
    </w:p>
    <w:p w:rsidR="00495EC8" w:rsidRPr="0050146A" w:rsidRDefault="00495EC8" w:rsidP="00495EC8">
      <w:pPr>
        <w:pStyle w:val="1"/>
        <w:rPr>
          <w:rtl/>
        </w:rPr>
      </w:pPr>
      <w:bookmarkStart w:id="3847" w:name="_Toc10737487"/>
      <w:r w:rsidRPr="0050146A">
        <w:rPr>
          <w:rFonts w:hint="cs"/>
          <w:rtl/>
        </w:rPr>
        <w:t>דעת הרא"ה דהכחל לעולם מן המנין</w:t>
      </w:r>
      <w:bookmarkEnd w:id="3847"/>
    </w:p>
    <w:p w:rsidR="00495EC8" w:rsidRPr="0050146A" w:rsidRDefault="00495EC8" w:rsidP="00495EC8">
      <w:pPr>
        <w:pStyle w:val="a2"/>
        <w:rPr>
          <w:rtl/>
        </w:rPr>
      </w:pPr>
      <w:bookmarkStart w:id="3848" w:name="_Toc10737488"/>
      <w:r w:rsidRPr="0050146A">
        <w:rPr>
          <w:rFonts w:hint="cs"/>
          <w:rtl/>
        </w:rPr>
        <w:t>דברי הרא"ה דא"א לומר דבתחילת הדין מצטרף לשישים ובסופו הוא חמור דהוא כגורם איסור</w:t>
      </w:r>
      <w:bookmarkEnd w:id="3848"/>
    </w:p>
    <w:p w:rsidR="00495EC8" w:rsidRPr="0050146A" w:rsidRDefault="00495EC8" w:rsidP="009F44AF">
      <w:pPr>
        <w:pStyle w:val="a"/>
        <w:rPr>
          <w:rtl/>
        </w:rPr>
      </w:pPr>
      <w:bookmarkStart w:id="3849" w:name="_Ref9934636"/>
      <w:r w:rsidRPr="0050146A">
        <w:rPr>
          <w:rFonts w:hint="cs"/>
          <w:rtl/>
        </w:rPr>
        <w:t>במ"ש</w:t>
      </w:r>
      <w:r w:rsidRPr="0050146A">
        <w:rPr>
          <w:rStyle w:val="af8"/>
          <w:rFonts w:hint="cs"/>
          <w:rtl/>
        </w:rPr>
        <w:t xml:space="preserve"> הרשב"א בתוה"ב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Ref10735889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דבבישל את הכחל בקדירה הראשונה בפחות מחמישים ותשע, יש לו דין חנ</w:t>
      </w:r>
      <w:r w:rsidRPr="0050146A">
        <w:rPr>
          <w:rtl/>
        </w:rPr>
        <w:t>"</w:t>
      </w:r>
      <w:r w:rsidRPr="0050146A">
        <w:rPr>
          <w:rFonts w:hint="cs"/>
          <w:rtl/>
        </w:rPr>
        <w:t xml:space="preserve">נ דרבנן עשאוהו כבשר בחלב, וצריך שישים כנגדו והכחל אינו מן המנין, דחה </w:t>
      </w:r>
      <w:r w:rsidRPr="0050146A">
        <w:rPr>
          <w:rStyle w:val="af8"/>
          <w:rFonts w:hint="cs"/>
          <w:rtl/>
        </w:rPr>
        <w:t xml:space="preserve">הרא"ה בבד"ה </w:t>
      </w:r>
      <w:r w:rsidRPr="0050146A">
        <w:rPr>
          <w:rStyle w:val="af6"/>
          <w:rFonts w:eastAsia="Guttman Hodes" w:hint="cs"/>
          <w:rtl/>
        </w:rPr>
        <w:t>(ב"ד ש"א טז: מדה"ס)</w:t>
      </w:r>
      <w:r w:rsidRPr="0050146A">
        <w:rPr>
          <w:rFonts w:hint="cs"/>
          <w:rtl/>
        </w:rPr>
        <w:t xml:space="preserve"> דא"א לומר דבתחילת הדין הכחל הוא מצטרף למנין שישים לבטל את האיסור, ובסוף הדין אחר שנאסר יהיה איסורו חמור יותר שיאסור את כל הקדירה, ויחשב בעצמו כגורם של האיסור, דזה לא יתכן.</w:t>
      </w:r>
      <w:bookmarkEnd w:id="3849"/>
    </w:p>
    <w:p w:rsidR="00495EC8" w:rsidRPr="0050146A" w:rsidRDefault="00495EC8" w:rsidP="00495EC8">
      <w:pPr>
        <w:pStyle w:val="a2"/>
      </w:pPr>
      <w:bookmarkStart w:id="3850" w:name="_Toc10737489"/>
      <w:r w:rsidRPr="0050146A">
        <w:rPr>
          <w:rFonts w:hint="cs"/>
          <w:rtl/>
        </w:rPr>
        <w:t>דברי הרא"ה דלעולם הכחל מצטרף לשישים וכן החתיכות שנאסרו ע"י מצטרפות לשישים</w:t>
      </w:r>
      <w:bookmarkEnd w:id="3850"/>
    </w:p>
    <w:p w:rsidR="00495EC8" w:rsidRPr="0050146A" w:rsidRDefault="00495EC8" w:rsidP="009F44AF">
      <w:pPr>
        <w:pStyle w:val="a"/>
        <w:rPr>
          <w:rtl/>
        </w:rPr>
      </w:pPr>
      <w:bookmarkStart w:id="3851" w:name="_Ref10736662"/>
      <w:r w:rsidRPr="0050146A">
        <w:rPr>
          <w:rFonts w:hint="cs"/>
          <w:rtl/>
        </w:rPr>
        <w:t xml:space="preserve">אלא כתב </w:t>
      </w:r>
      <w:r w:rsidRPr="0050146A">
        <w:rPr>
          <w:rStyle w:val="af8"/>
          <w:rFonts w:hint="cs"/>
          <w:rtl/>
        </w:rPr>
        <w:t>הרא"ה בבד"ה</w:t>
      </w:r>
      <w:r w:rsidRPr="0050146A">
        <w:rPr>
          <w:rFonts w:hint="cs"/>
          <w:rtl/>
        </w:rPr>
        <w:t xml:space="preserve"> דאף אחר שנאסר הכחל, הוא מצטרף לשישים, וכן שאר החתיכות שנאסרו ע"י הכחל ונפלו לקדירה אחרת, ואוסרים את הקדירה מחמתם, דהם עצמו מצטרפים לשישים, שאינם חמורים מגופו של כחל.</w:t>
      </w:r>
      <w:bookmarkEnd w:id="3851"/>
    </w:p>
    <w:p w:rsidR="00495EC8" w:rsidRPr="0050146A" w:rsidRDefault="00495EC8" w:rsidP="00495EC8">
      <w:pPr>
        <w:pStyle w:val="1"/>
        <w:rPr>
          <w:rtl/>
        </w:rPr>
      </w:pPr>
      <w:bookmarkStart w:id="3852" w:name="_Toc10737490"/>
      <w:r w:rsidRPr="0050146A">
        <w:rPr>
          <w:rFonts w:hint="cs"/>
          <w:rtl/>
        </w:rPr>
        <w:t>ביאור הרשב"א במשה"ב דהחלב שנאסר בכחל נעשה חנ"נ</w:t>
      </w:r>
      <w:bookmarkEnd w:id="3852"/>
    </w:p>
    <w:p w:rsidR="00495EC8" w:rsidRPr="0050146A" w:rsidRDefault="00495EC8" w:rsidP="00495EC8">
      <w:pPr>
        <w:pStyle w:val="a2"/>
        <w:rPr>
          <w:rtl/>
        </w:rPr>
      </w:pPr>
      <w:bookmarkStart w:id="3853" w:name="_Toc10737491"/>
      <w:r w:rsidRPr="0050146A">
        <w:rPr>
          <w:rFonts w:hint="cs"/>
          <w:rtl/>
        </w:rPr>
        <w:t>ביאור הרשב"א במשה"ב דהכחל אינו אסור בעצמו דהחלב נעשה חנ"נ ולא ידוע כמה חלב יש בו</w:t>
      </w:r>
      <w:bookmarkEnd w:id="3853"/>
    </w:p>
    <w:p w:rsidR="00495EC8" w:rsidRPr="0050146A" w:rsidRDefault="00495EC8" w:rsidP="009F44AF">
      <w:pPr>
        <w:pStyle w:val="a"/>
        <w:rPr>
          <w:rtl/>
        </w:rPr>
      </w:pPr>
      <w:r w:rsidRPr="0050146A">
        <w:rPr>
          <w:rFonts w:hint="cs"/>
          <w:rtl/>
        </w:rPr>
        <w:t xml:space="preserve">ותירץ </w:t>
      </w:r>
      <w:r w:rsidRPr="0050146A">
        <w:rPr>
          <w:rStyle w:val="af8"/>
          <w:rFonts w:hint="cs"/>
          <w:rtl/>
        </w:rPr>
        <w:t>הרשב"א במשה"ב</w:t>
      </w:r>
      <w:r w:rsidRPr="0050146A">
        <w:rPr>
          <w:rFonts w:hint="cs"/>
          <w:rtl/>
        </w:rPr>
        <w:t xml:space="preserve"> </w:t>
      </w:r>
      <w:r w:rsidRPr="0050146A">
        <w:rPr>
          <w:rStyle w:val="af6"/>
          <w:rFonts w:eastAsia="Guttman Hodes" w:hint="cs"/>
          <w:rtl/>
        </w:rPr>
        <w:t>(ב"ד ש"א טז: מדה"ס)</w:t>
      </w:r>
      <w:r w:rsidRPr="0050146A">
        <w:rPr>
          <w:rFonts w:hint="cs"/>
          <w:rtl/>
        </w:rPr>
        <w:t xml:space="preserve"> את קושית </w:t>
      </w:r>
      <w:r w:rsidRPr="0050146A">
        <w:rPr>
          <w:rStyle w:val="af8"/>
          <w:rFonts w:hint="cs"/>
          <w:rtl/>
        </w:rPr>
        <w:t>הרא"ה בבד"ה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Ref9934636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50146A">
        <w:rPr>
          <w:rStyle w:val="af6"/>
          <w:rFonts w:eastAsia="Guttman Hodes"/>
          <w:rtl/>
        </w:rPr>
        <w:fldChar w:fldCharType="end"/>
      </w:r>
      <w:r w:rsidRPr="0050146A">
        <w:rPr>
          <w:rFonts w:hint="cs"/>
          <w:rtl/>
        </w:rPr>
        <w:t xml:space="preserve"> דהכחל אינו נחשב כגורם איסור כלל, דאינו אסור מצד עצמו, אלא כל איסורו הוא מחמת החלב הכנוס בו, ומשערים כנגד כל הכחל כיון שלא ידוע כמה חלב נפלט ממנו, אלא דאחר שנאסר בקדירה הראשונה כשלא היה חמישים ותשע כנגדו, יש לו דין חנ</w:t>
      </w:r>
      <w:r w:rsidRPr="0050146A">
        <w:rPr>
          <w:rtl/>
        </w:rPr>
        <w:t>"</w:t>
      </w:r>
      <w:r w:rsidRPr="0050146A">
        <w:rPr>
          <w:rFonts w:hint="cs"/>
          <w:rtl/>
        </w:rPr>
        <w:t>נ, ככל חתיכת נבילה שנפלה לקדירה ואין שישים כנגדה, דכל החתיכות יש להם דין חנ</w:t>
      </w:r>
      <w:r w:rsidRPr="0050146A">
        <w:rPr>
          <w:rtl/>
        </w:rPr>
        <w:t>"</w:t>
      </w:r>
      <w:r w:rsidRPr="0050146A">
        <w:rPr>
          <w:rFonts w:hint="cs"/>
          <w:rtl/>
        </w:rPr>
        <w:t>נ, שאם נפלו אח"כ לקדירה אחרת צריך שישים כנגדם, וא"כ ה"ה בכחל שנפל לקדירה שיש חמישים ותשע כנגדו.</w:t>
      </w:r>
    </w:p>
    <w:p w:rsidR="00495EC8" w:rsidRPr="0050146A" w:rsidRDefault="00495EC8" w:rsidP="00495EC8">
      <w:pPr>
        <w:pStyle w:val="a2"/>
      </w:pPr>
      <w:bookmarkStart w:id="3854" w:name="_Toc10737492"/>
      <w:r w:rsidRPr="0050146A">
        <w:rPr>
          <w:rFonts w:hint="cs"/>
          <w:rtl/>
        </w:rPr>
        <w:t>ביאור הרשב"א במשה"ב דפחות מחמישים ותשע בכחל הוא כפחות משישים בחלב גמור דהוא חנ"נ</w:t>
      </w:r>
      <w:bookmarkEnd w:id="3854"/>
    </w:p>
    <w:p w:rsidR="00495EC8" w:rsidRPr="0050146A" w:rsidRDefault="00495EC8" w:rsidP="009F44AF">
      <w:pPr>
        <w:pStyle w:val="a"/>
        <w:rPr>
          <w:rtl/>
        </w:rPr>
      </w:pPr>
      <w:r w:rsidRPr="0050146A">
        <w:rPr>
          <w:rFonts w:hint="cs"/>
          <w:rtl/>
        </w:rPr>
        <w:t xml:space="preserve">וביאר </w:t>
      </w:r>
      <w:r w:rsidRPr="0050146A">
        <w:rPr>
          <w:rStyle w:val="af8"/>
          <w:rFonts w:hint="cs"/>
          <w:rtl/>
        </w:rPr>
        <w:t>הרשב"א במשה"ב</w:t>
      </w:r>
      <w:r w:rsidRPr="0050146A">
        <w:rPr>
          <w:rFonts w:hint="cs"/>
          <w:rtl/>
        </w:rPr>
        <w:t xml:space="preserve"> דפחות מחמישים ותשע בכחל, הוא כפחות משישים בחלב גמור, ובכל דין חנ</w:t>
      </w:r>
      <w:r w:rsidRPr="0050146A">
        <w:rPr>
          <w:rtl/>
        </w:rPr>
        <w:t>"</w:t>
      </w:r>
      <w:r w:rsidRPr="0050146A">
        <w:rPr>
          <w:rFonts w:hint="cs"/>
          <w:rtl/>
        </w:rPr>
        <w:t>נ לא אמרינן דכמו שבתחילת האיסור בקדירה הראשונה הייתה החתיכה ראויה להצטרף לשישים לבטל, כך בסוף האיסור אחר שלא היה שישים ונפלה לקדירה אחרת דתצטרף לבטל.</w:t>
      </w:r>
    </w:p>
    <w:p w:rsidR="00495EC8" w:rsidRPr="0050146A" w:rsidRDefault="00495EC8" w:rsidP="00495EC8">
      <w:pPr>
        <w:pStyle w:val="1"/>
        <w:rPr>
          <w:rtl/>
        </w:rPr>
      </w:pPr>
      <w:bookmarkStart w:id="3855" w:name="_Toc10737493"/>
      <w:r w:rsidRPr="0050146A">
        <w:rPr>
          <w:rFonts w:hint="cs"/>
          <w:rtl/>
        </w:rPr>
        <w:t>בביאור דעת הר"ן בדין חנ"נ בקדירה השניה</w:t>
      </w:r>
      <w:bookmarkEnd w:id="3855"/>
    </w:p>
    <w:p w:rsidR="00495EC8" w:rsidRPr="0050146A" w:rsidRDefault="00495EC8" w:rsidP="00495EC8">
      <w:pPr>
        <w:pStyle w:val="a2"/>
        <w:rPr>
          <w:rtl/>
        </w:rPr>
      </w:pPr>
      <w:bookmarkStart w:id="3856" w:name="_Toc10737494"/>
      <w:r w:rsidRPr="0050146A">
        <w:rPr>
          <w:rFonts w:hint="cs"/>
          <w:rtl/>
        </w:rPr>
        <w:t>ביאור הר"ן דכיון דהכחל נאסר מחמת מראית העין א"צ להחמיר בקדירה שניה יותר מהראשונה</w:t>
      </w:r>
      <w:bookmarkEnd w:id="3856"/>
    </w:p>
    <w:p w:rsidR="00495EC8" w:rsidRPr="0050146A" w:rsidRDefault="00495EC8" w:rsidP="009F44AF">
      <w:pPr>
        <w:pStyle w:val="a"/>
        <w:rPr>
          <w:rtl/>
        </w:rPr>
      </w:pPr>
      <w:bookmarkStart w:id="3857" w:name="_Ref10737138"/>
      <w:r w:rsidRPr="0050146A">
        <w:rPr>
          <w:rStyle w:val="af8"/>
          <w:rFonts w:hint="cs"/>
          <w:rtl/>
        </w:rPr>
        <w:t>והר"ן על הרי"ף</w:t>
      </w:r>
      <w:r w:rsidRPr="0050146A">
        <w:rPr>
          <w:rFonts w:hint="cs"/>
          <w:rtl/>
        </w:rPr>
        <w:t xml:space="preserve"> הביא בשם </w:t>
      </w:r>
      <w:r w:rsidRPr="0050146A">
        <w:rPr>
          <w:rStyle w:val="af8"/>
          <w:rFonts w:hint="cs"/>
          <w:rtl/>
        </w:rPr>
        <w:t>י"א</w:t>
      </w:r>
      <w:r w:rsidRPr="0050146A">
        <w:rPr>
          <w:rFonts w:hint="cs"/>
          <w:rtl/>
        </w:rPr>
        <w:t xml:space="preserve"> דכיון דשויוה רבנן כחתיכת נבילה, לכן כשנפל לקדירה אחרת אינו מן המנין וצריך שישים מלבד הכחל, אבל בקדירה הראשונה הכחל מן המנין של השישים, כיון שכשנפל לקדירה הראשונה היה היתר, אך הביא </w:t>
      </w:r>
      <w:r w:rsidRPr="0050146A">
        <w:rPr>
          <w:rStyle w:val="af8"/>
          <w:rFonts w:hint="cs"/>
          <w:rtl/>
        </w:rPr>
        <w:t xml:space="preserve">הר"ן על הרי"ף </w:t>
      </w:r>
      <w:r w:rsidRPr="0050146A">
        <w:rPr>
          <w:rFonts w:hint="cs"/>
          <w:rtl/>
        </w:rPr>
        <w:t xml:space="preserve">בשם </w:t>
      </w:r>
      <w:r w:rsidRPr="0050146A">
        <w:rPr>
          <w:rStyle w:val="af8"/>
          <w:rFonts w:hint="cs"/>
          <w:rtl/>
        </w:rPr>
        <w:t>י"א</w:t>
      </w:r>
      <w:r w:rsidRPr="0050146A">
        <w:rPr>
          <w:rFonts w:hint="cs"/>
          <w:rtl/>
        </w:rPr>
        <w:t xml:space="preserve"> דכיון שהכחל נאסר רק מפני מראית העין, לכן אף בקדירה השניה א"צ להחמיר יותר מהקדירה הראשונה.</w:t>
      </w:r>
      <w:bookmarkEnd w:id="3857"/>
    </w:p>
    <w:p w:rsidR="00495EC8" w:rsidRPr="0050146A" w:rsidRDefault="00495EC8" w:rsidP="00495EC8">
      <w:pPr>
        <w:pStyle w:val="a2"/>
        <w:rPr>
          <w:rtl/>
        </w:rPr>
      </w:pPr>
      <w:bookmarkStart w:id="3858" w:name="_Toc10737495"/>
      <w:r w:rsidRPr="0050146A">
        <w:rPr>
          <w:rFonts w:hint="cs"/>
          <w:rtl/>
        </w:rPr>
        <w:t>דברי הב"י דהר"ן ביאר את סברת הרא"ה דכיון שאסור מפני מראית העין לא החמירו בו</w:t>
      </w:r>
      <w:bookmarkEnd w:id="3858"/>
    </w:p>
    <w:p w:rsidR="00495EC8" w:rsidRPr="0050146A" w:rsidRDefault="00495EC8" w:rsidP="009F44AF">
      <w:pPr>
        <w:pStyle w:val="a"/>
        <w:rPr>
          <w:rtl/>
        </w:rPr>
      </w:pPr>
      <w:r w:rsidRPr="0050146A">
        <w:rPr>
          <w:rFonts w:hint="cs"/>
          <w:rtl/>
        </w:rPr>
        <w:t xml:space="preserve">והביא </w:t>
      </w:r>
      <w:r w:rsidRPr="0050146A">
        <w:rPr>
          <w:rStyle w:val="af8"/>
          <w:rFonts w:hint="cs"/>
          <w:rtl/>
        </w:rPr>
        <w:t>הב"י</w:t>
      </w:r>
      <w:r w:rsidRPr="0050146A">
        <w:rPr>
          <w:rFonts w:hint="cs"/>
          <w:rtl/>
        </w:rPr>
        <w:t xml:space="preserve"> </w:t>
      </w:r>
      <w:r w:rsidRPr="0050146A">
        <w:rPr>
          <w:rStyle w:val="af6"/>
          <w:rFonts w:eastAsia="Guttman Hodes" w:hint="cs"/>
          <w:rtl/>
        </w:rPr>
        <w:t xml:space="preserve">(סי' צ' ה' ד"ה וכתב עוד ויראה) </w:t>
      </w:r>
      <w:r w:rsidRPr="0050146A">
        <w:rPr>
          <w:rFonts w:hint="cs"/>
          <w:rtl/>
        </w:rPr>
        <w:t xml:space="preserve">את 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Ref10737138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50146A">
        <w:rPr>
          <w:rStyle w:val="af6"/>
          <w:rFonts w:eastAsia="Guttman Hodes"/>
          <w:rtl/>
        </w:rPr>
        <w:fldChar w:fldCharType="end"/>
      </w:r>
      <w:r w:rsidRPr="0050146A">
        <w:rPr>
          <w:rFonts w:hint="cs"/>
          <w:rtl/>
        </w:rPr>
        <w:t xml:space="preserve"> דביאר את סברת </w:t>
      </w:r>
      <w:r w:rsidRPr="0050146A">
        <w:rPr>
          <w:rStyle w:val="af8"/>
          <w:rFonts w:hint="cs"/>
          <w:rtl/>
        </w:rPr>
        <w:t xml:space="preserve">הרמב"ם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Ref10737181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והרא"ה</w:t>
      </w:r>
      <w:r w:rsidRPr="0050146A">
        <w:rPr>
          <w:rFonts w:hint="cs"/>
          <w:rtl/>
        </w:rPr>
        <w:t>, דאף שנאסר בקדירה ראשונה אין לו דין חנ"נ והוא מן המנין בקדירה שניה, דכיון שבקדירה השניה הכחל אסור רק משום מראית עין, לכן לא החמירו בו יותר ממה שאוסר בקדירה הראשונה.</w:t>
      </w:r>
    </w:p>
    <w:p w:rsidR="00495EC8" w:rsidRPr="0050146A" w:rsidRDefault="00495EC8" w:rsidP="00495EC8">
      <w:pPr>
        <w:pStyle w:val="a2"/>
        <w:rPr>
          <w:rtl/>
        </w:rPr>
      </w:pPr>
      <w:bookmarkStart w:id="3859" w:name="_Toc10737496"/>
      <w:r w:rsidRPr="0050146A">
        <w:rPr>
          <w:rFonts w:hint="cs"/>
          <w:rtl/>
        </w:rPr>
        <w:t>ביאור היד יהודה בר"ן דכיון דאסור מפני מראית העין א"צ להחמיר בשניה יותר מהראשונה</w:t>
      </w:r>
      <w:bookmarkEnd w:id="3859"/>
    </w:p>
    <w:p w:rsidR="00495EC8" w:rsidRPr="0050146A" w:rsidRDefault="00495EC8" w:rsidP="009F44AF">
      <w:pPr>
        <w:pStyle w:val="a"/>
        <w:rPr>
          <w:rtl/>
        </w:rPr>
      </w:pPr>
      <w:r w:rsidRPr="0050146A">
        <w:rPr>
          <w:rFonts w:hint="cs"/>
          <w:rtl/>
        </w:rPr>
        <w:t xml:space="preserve">וביאר </w:t>
      </w:r>
      <w:r w:rsidRPr="0050146A">
        <w:rPr>
          <w:rStyle w:val="af8"/>
          <w:rFonts w:hint="cs"/>
          <w:rtl/>
        </w:rPr>
        <w:t>היד יהודה</w:t>
      </w:r>
      <w:r w:rsidRPr="0050146A">
        <w:rPr>
          <w:rStyle w:val="af6"/>
          <w:rFonts w:eastAsia="Guttman Hodes" w:hint="cs"/>
          <w:rtl/>
        </w:rPr>
        <w:t xml:space="preserve"> (סי' צ' סוס"ק א' סוד"ה והר"ן) </w:t>
      </w:r>
      <w:r w:rsidRPr="0050146A">
        <w:rPr>
          <w:rFonts w:hint="cs"/>
          <w:rtl/>
        </w:rPr>
        <w:t xml:space="preserve">דכיון דס"ל </w:t>
      </w:r>
      <w:r w:rsidRPr="0050146A">
        <w:rPr>
          <w:rStyle w:val="af8"/>
          <w:rFonts w:hint="cs"/>
          <w:rtl/>
        </w:rPr>
        <w:t>להר"ן</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Ref10735195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דבקדירה השניה האיסור הוא מחמת מראית עין, שיבואו להתיר חתיכת נבילה עצמה, לכן הביא </w:t>
      </w:r>
      <w:r w:rsidRPr="0050146A">
        <w:rPr>
          <w:rStyle w:val="af8"/>
          <w:rFonts w:hint="cs"/>
          <w:rtl/>
        </w:rPr>
        <w:t>הר"ן</w:t>
      </w:r>
      <w:r w:rsidRPr="0050146A">
        <w:rPr>
          <w:rFonts w:hint="cs"/>
          <w:rtl/>
        </w:rPr>
        <w:t xml:space="preserve"> את דעת </w:t>
      </w:r>
      <w:r w:rsidRPr="0050146A">
        <w:rPr>
          <w:rStyle w:val="af8"/>
          <w:rFonts w:hint="cs"/>
          <w:rtl/>
        </w:rPr>
        <w:t>הי"א</w:t>
      </w:r>
      <w:r w:rsidRPr="0050146A">
        <w:rPr>
          <w:rFonts w:hint="cs"/>
          <w:rtl/>
        </w:rPr>
        <w:t xml:space="preserve"> </w:t>
      </w:r>
      <w:r w:rsidRPr="0050146A">
        <w:rPr>
          <w:rStyle w:val="afa"/>
          <w:rFonts w:hint="cs"/>
          <w:rtl/>
        </w:rPr>
        <w:t>[</w:t>
      </w:r>
      <w:r w:rsidRPr="0050146A">
        <w:rPr>
          <w:rStyle w:val="affa"/>
          <w:rFonts w:hint="cs"/>
          <w:rtl/>
        </w:rPr>
        <w:t>הרשב"א</w:t>
      </w:r>
      <w:r w:rsidRPr="0050146A">
        <w:rPr>
          <w:rStyle w:val="afa"/>
          <w:rFonts w:hint="cs"/>
          <w:rtl/>
        </w:rPr>
        <w:t xml:space="preserve">] </w:t>
      </w:r>
      <w:r w:rsidRPr="0050146A">
        <w:rPr>
          <w:rFonts w:hint="cs"/>
          <w:rtl/>
        </w:rPr>
        <w:t xml:space="preserve">דבקדירה השניה צריך שישים מלבד הכחל, ואינו מצטרף למנין, דהאיסור בקדירה השניה אינו מחמת החלב שנשאר בכחל, אלא האיסור הוא מחמת הכחל עצמו, דשויוה כחתיכת נבילה, משא"כ בקדירה הראשונה, דהכחל בתחילה היה מותר, והאיסור הוא מחמת החלב שבו, לכן הכחל הוא מן המנין, אך הביא </w:t>
      </w:r>
      <w:r w:rsidRPr="0050146A">
        <w:rPr>
          <w:rStyle w:val="af8"/>
          <w:rFonts w:hint="cs"/>
          <w:rtl/>
        </w:rPr>
        <w:t>הר"ן</w:t>
      </w:r>
      <w:r w:rsidRPr="0050146A">
        <w:rPr>
          <w:rFonts w:hint="cs"/>
          <w:rtl/>
        </w:rPr>
        <w:t xml:space="preserve"> גם את דעת </w:t>
      </w:r>
      <w:r w:rsidRPr="0050146A">
        <w:rPr>
          <w:rStyle w:val="af8"/>
          <w:rFonts w:hint="cs"/>
          <w:rtl/>
        </w:rPr>
        <w:t>הי"א</w:t>
      </w:r>
      <w:r w:rsidRPr="0050146A">
        <w:rPr>
          <w:rFonts w:hint="cs"/>
          <w:rtl/>
        </w:rPr>
        <w:t xml:space="preserve"> </w:t>
      </w:r>
      <w:r w:rsidRPr="0050146A">
        <w:rPr>
          <w:rStyle w:val="afa"/>
          <w:rFonts w:hint="cs"/>
          <w:rtl/>
        </w:rPr>
        <w:t>[</w:t>
      </w:r>
      <w:r w:rsidRPr="0050146A">
        <w:rPr>
          <w:rStyle w:val="affa"/>
          <w:rFonts w:hint="cs"/>
          <w:rtl/>
        </w:rPr>
        <w:t>הרא"ה</w:t>
      </w:r>
      <w:r w:rsidRPr="0050146A">
        <w:rPr>
          <w:rStyle w:val="afa"/>
          <w:rFonts w:hint="cs"/>
          <w:rtl/>
        </w:rPr>
        <w:t xml:space="preserve">] </w:t>
      </w:r>
      <w:r w:rsidRPr="0050146A">
        <w:rPr>
          <w:rFonts w:hint="cs"/>
          <w:rtl/>
        </w:rPr>
        <w:t>דכיון שהכחל נאסר בקדירה השניה רק מפני מראית העין, לכן א"צ להחמיר בקדירה השניה יותר מהקדירה הראשונה.</w:t>
      </w:r>
    </w:p>
    <w:p w:rsidR="00495EC8" w:rsidRPr="0050146A" w:rsidRDefault="00495EC8" w:rsidP="00495EC8">
      <w:pPr>
        <w:pStyle w:val="a2"/>
        <w:rPr>
          <w:rtl/>
        </w:rPr>
      </w:pPr>
      <w:bookmarkStart w:id="3860" w:name="_Toc10737497"/>
      <w:r w:rsidRPr="0050146A">
        <w:rPr>
          <w:rFonts w:hint="cs"/>
          <w:rtl/>
        </w:rPr>
        <w:t>דחיית הרמ"א דהר"ן איירי באופן שיש שישים בקדירה הראשונה</w:t>
      </w:r>
      <w:bookmarkEnd w:id="3860"/>
    </w:p>
    <w:p w:rsidR="00495EC8" w:rsidRPr="0050146A" w:rsidRDefault="00495EC8" w:rsidP="009F44AF">
      <w:pPr>
        <w:pStyle w:val="a"/>
        <w:rPr>
          <w:rtl/>
        </w:rPr>
      </w:pPr>
      <w:r w:rsidRPr="0050146A">
        <w:rPr>
          <w:rStyle w:val="af8"/>
          <w:rFonts w:hint="cs"/>
          <w:rtl/>
        </w:rPr>
        <w:t>והט"ז</w:t>
      </w:r>
      <w:r w:rsidRPr="0050146A">
        <w:rPr>
          <w:rFonts w:hint="cs"/>
          <w:rtl/>
        </w:rPr>
        <w:t xml:space="preserve"> </w:t>
      </w:r>
      <w:r w:rsidRPr="0050146A">
        <w:rPr>
          <w:rStyle w:val="af6"/>
          <w:rFonts w:eastAsia="Guttman Hodes" w:hint="cs"/>
          <w:rtl/>
        </w:rPr>
        <w:t xml:space="preserve">(סי' צ' סק"ד) </w:t>
      </w:r>
      <w:r w:rsidRPr="0050146A">
        <w:rPr>
          <w:rFonts w:hint="cs"/>
          <w:rtl/>
        </w:rPr>
        <w:t xml:space="preserve">הביא את דברי </w:t>
      </w:r>
      <w:r w:rsidRPr="0050146A">
        <w:rPr>
          <w:rStyle w:val="af8"/>
          <w:rFonts w:hint="cs"/>
          <w:rtl/>
        </w:rPr>
        <w:t>הרמ"א בתורת חטאת</w:t>
      </w:r>
      <w:r w:rsidRPr="0050146A">
        <w:rPr>
          <w:rFonts w:hint="cs"/>
          <w:rtl/>
        </w:rPr>
        <w:t xml:space="preserve"> </w:t>
      </w:r>
      <w:r w:rsidRPr="0050146A">
        <w:rPr>
          <w:rStyle w:val="af6"/>
          <w:rFonts w:eastAsia="Guttman Hodes" w:hint="cs"/>
          <w:rtl/>
        </w:rPr>
        <w:t xml:space="preserve">(כלל ל' אות ז') </w:t>
      </w:r>
      <w:r w:rsidRPr="0050146A">
        <w:rPr>
          <w:rFonts w:hint="cs"/>
          <w:rtl/>
        </w:rPr>
        <w:t xml:space="preserve">דפליג על </w:t>
      </w:r>
      <w:r w:rsidRPr="0050146A">
        <w:rPr>
          <w:rStyle w:val="af8"/>
          <w:rFonts w:hint="cs"/>
          <w:rtl/>
        </w:rPr>
        <w:t>הב"י</w:t>
      </w:r>
      <w:r w:rsidRPr="0050146A">
        <w:rPr>
          <w:rFonts w:hint="cs"/>
          <w:rtl/>
        </w:rPr>
        <w:t>, וכתב דאין ראיה</w:t>
      </w:r>
      <w:r w:rsidRPr="0050146A">
        <w:rPr>
          <w:rStyle w:val="af8"/>
          <w:rFonts w:hint="cs"/>
          <w:rtl/>
        </w:rPr>
        <w:t xml:space="preserve"> מהר"ן</w:t>
      </w:r>
      <w:r w:rsidRPr="0050146A">
        <w:rPr>
          <w:rFonts w:hint="cs"/>
          <w:rtl/>
        </w:rPr>
        <w:t xml:space="preserve"> דס"ל </w:t>
      </w:r>
      <w:r w:rsidRPr="0050146A">
        <w:rPr>
          <w:rStyle w:val="af8"/>
          <w:rFonts w:hint="cs"/>
          <w:rtl/>
        </w:rPr>
        <w:t>כהרמב"ם</w:t>
      </w:r>
      <w:r w:rsidRPr="0050146A">
        <w:rPr>
          <w:rFonts w:hint="cs"/>
          <w:rtl/>
        </w:rPr>
        <w:t xml:space="preserve">, דהא </w:t>
      </w:r>
      <w:r w:rsidRPr="0050146A">
        <w:rPr>
          <w:rStyle w:val="af8"/>
          <w:rFonts w:hint="cs"/>
          <w:rtl/>
        </w:rPr>
        <w:t>הר"ן</w:t>
      </w:r>
      <w:r w:rsidRPr="0050146A">
        <w:rPr>
          <w:rFonts w:hint="cs"/>
          <w:rtl/>
        </w:rPr>
        <w:t xml:space="preserve"> איירי רק במקום שהיה בקדירה הראשונה שישים, דס"ל </w:t>
      </w:r>
      <w:r w:rsidRPr="0050146A">
        <w:rPr>
          <w:rStyle w:val="af8"/>
          <w:rFonts w:hint="cs"/>
          <w:rtl/>
        </w:rPr>
        <w:t>להר"ן</w:t>
      </w:r>
      <w:r w:rsidRPr="0050146A">
        <w:rPr>
          <w:rFonts w:hint="cs"/>
          <w:rtl/>
        </w:rPr>
        <w:t xml:space="preserve">  דמה שהכחל עצמו אסור, הוא  משום מראית עין, ולכן הוא מצטרף לשישים בקדירה השניה, ואף </w:t>
      </w:r>
      <w:r w:rsidRPr="0050146A">
        <w:rPr>
          <w:rStyle w:val="af8"/>
          <w:rFonts w:hint="cs"/>
          <w:rtl/>
        </w:rPr>
        <w:t>הרשב"א</w:t>
      </w:r>
      <w:r w:rsidRPr="0050146A">
        <w:rPr>
          <w:rFonts w:hint="cs"/>
          <w:rtl/>
        </w:rPr>
        <w:t xml:space="preserve"> מודה </w:t>
      </w:r>
      <w:r w:rsidRPr="0050146A">
        <w:rPr>
          <w:rStyle w:val="af8"/>
          <w:rFonts w:hint="cs"/>
          <w:rtl/>
        </w:rPr>
        <w:t>להר"ן</w:t>
      </w:r>
      <w:r w:rsidRPr="0050146A">
        <w:rPr>
          <w:rFonts w:hint="cs"/>
          <w:rtl/>
        </w:rPr>
        <w:t xml:space="preserve"> בזה, דכ"מ דס"ל </w:t>
      </w:r>
      <w:r w:rsidRPr="0050146A">
        <w:rPr>
          <w:rStyle w:val="af8"/>
          <w:rFonts w:hint="cs"/>
          <w:rtl/>
        </w:rPr>
        <w:t>להרשב"א</w:t>
      </w:r>
      <w:r w:rsidRPr="0050146A">
        <w:rPr>
          <w:rFonts w:hint="cs"/>
          <w:rtl/>
        </w:rPr>
        <w:t xml:space="preserve"> דבקדירה השניה הכחל אינו מצטרף לשישים, היינו במקום שבקדירה הראשונה לא היה שישים, והוסיף </w:t>
      </w:r>
      <w:r w:rsidRPr="0050146A">
        <w:rPr>
          <w:rStyle w:val="af8"/>
          <w:rFonts w:hint="cs"/>
          <w:rtl/>
        </w:rPr>
        <w:t>הרמ"א בתורת חטאת</w:t>
      </w:r>
      <w:r w:rsidRPr="0050146A">
        <w:rPr>
          <w:rFonts w:hint="cs"/>
          <w:rtl/>
        </w:rPr>
        <w:t xml:space="preserve"> דכן מוכח מדברי </w:t>
      </w:r>
      <w:r w:rsidRPr="0050146A">
        <w:rPr>
          <w:rStyle w:val="af8"/>
          <w:rFonts w:hint="cs"/>
          <w:rtl/>
        </w:rPr>
        <w:t>הר"ן</w:t>
      </w:r>
      <w:r w:rsidRPr="0050146A">
        <w:rPr>
          <w:rFonts w:hint="cs"/>
          <w:rtl/>
        </w:rPr>
        <w:t xml:space="preserve"> דכתב דכל האיסור של הכחל הוא רק משום מראית עין, ומבואר דאיירי דוקא כשבקדירה הראשונה היה שישים. וכתב </w:t>
      </w:r>
      <w:r w:rsidRPr="0050146A">
        <w:rPr>
          <w:rStyle w:val="af8"/>
          <w:rFonts w:hint="cs"/>
          <w:rtl/>
        </w:rPr>
        <w:t>הט"ז</w:t>
      </w:r>
      <w:r w:rsidRPr="0050146A">
        <w:rPr>
          <w:rFonts w:hint="cs"/>
          <w:rtl/>
        </w:rPr>
        <w:t xml:space="preserve"> דלכן פסק </w:t>
      </w:r>
      <w:r w:rsidRPr="0050146A">
        <w:rPr>
          <w:rStyle w:val="af8"/>
          <w:rFonts w:hint="cs"/>
          <w:rtl/>
        </w:rPr>
        <w:t>הרמ"א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Ref10737327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פג)</w:t>
      </w:r>
      <w:r w:rsidRPr="0050146A">
        <w:rPr>
          <w:rStyle w:val="af6"/>
          <w:rFonts w:eastAsia="Guttman Hodes"/>
          <w:rtl/>
        </w:rPr>
        <w:fldChar w:fldCharType="end"/>
      </w:r>
      <w:r w:rsidRPr="0050146A">
        <w:rPr>
          <w:rFonts w:hint="cs"/>
          <w:rtl/>
        </w:rPr>
        <w:t xml:space="preserve"> </w:t>
      </w:r>
      <w:r w:rsidRPr="0050146A">
        <w:rPr>
          <w:rStyle w:val="af8"/>
          <w:rFonts w:hint="cs"/>
          <w:rtl/>
        </w:rPr>
        <w:t>כהרשב"א</w:t>
      </w:r>
      <w:r w:rsidRPr="0050146A">
        <w:rPr>
          <w:rFonts w:hint="cs"/>
          <w:rtl/>
        </w:rPr>
        <w:t>.</w:t>
      </w:r>
    </w:p>
    <w:p w:rsidR="00495EC8" w:rsidRPr="0050146A" w:rsidRDefault="00495EC8" w:rsidP="00495EC8">
      <w:pPr>
        <w:pStyle w:val="1"/>
        <w:rPr>
          <w:rtl/>
        </w:rPr>
      </w:pPr>
      <w:bookmarkStart w:id="3861" w:name="_Toc10202025"/>
      <w:bookmarkStart w:id="3862" w:name="_Toc10367989"/>
      <w:bookmarkStart w:id="3863" w:name="_Toc10451101"/>
      <w:bookmarkStart w:id="3864" w:name="_Toc10494353"/>
      <w:bookmarkStart w:id="3865" w:name="_Toc10541290"/>
      <w:bookmarkStart w:id="3866" w:name="_Toc10625661"/>
      <w:bookmarkStart w:id="3867" w:name="_Toc10665891"/>
      <w:bookmarkStart w:id="3868" w:name="_Toc10716587"/>
      <w:bookmarkStart w:id="3869" w:name="_Toc10718882"/>
      <w:bookmarkStart w:id="3870" w:name="_Toc10730132"/>
      <w:bookmarkStart w:id="3871" w:name="_Toc10737498"/>
      <w:bookmarkStart w:id="3872" w:name="_Toc9934846"/>
      <w:bookmarkStart w:id="3873" w:name="_Toc9936416"/>
      <w:bookmarkStart w:id="3874" w:name="_Toc9936437"/>
      <w:bookmarkStart w:id="3875" w:name="_Toc10061679"/>
      <w:bookmarkStart w:id="3876" w:name="_Toc10147735"/>
      <w:r w:rsidRPr="0050146A">
        <w:rPr>
          <w:rFonts w:hint="cs"/>
          <w:rtl/>
        </w:rPr>
        <w:t>דברי השו"ע והרמ"א</w:t>
      </w:r>
      <w:bookmarkEnd w:id="3861"/>
      <w:bookmarkEnd w:id="3862"/>
      <w:bookmarkEnd w:id="3863"/>
      <w:bookmarkEnd w:id="3864"/>
      <w:bookmarkEnd w:id="3865"/>
      <w:bookmarkEnd w:id="3866"/>
      <w:bookmarkEnd w:id="3867"/>
      <w:bookmarkEnd w:id="3868"/>
      <w:bookmarkEnd w:id="3869"/>
      <w:bookmarkEnd w:id="3870"/>
      <w:r w:rsidRPr="0050146A">
        <w:rPr>
          <w:rFonts w:hint="cs"/>
          <w:rtl/>
        </w:rPr>
        <w:t xml:space="preserve"> בדין חנ"נ בקדירה שניה</w:t>
      </w:r>
      <w:bookmarkEnd w:id="3871"/>
    </w:p>
    <w:p w:rsidR="00495EC8" w:rsidRPr="0050146A" w:rsidRDefault="00495EC8" w:rsidP="00495EC8">
      <w:pPr>
        <w:pStyle w:val="a2"/>
        <w:rPr>
          <w:rtl/>
        </w:rPr>
      </w:pPr>
      <w:bookmarkStart w:id="3877" w:name="_Toc10737499"/>
      <w:r w:rsidRPr="0050146A">
        <w:rPr>
          <w:rFonts w:hint="cs"/>
          <w:rtl/>
        </w:rPr>
        <w:t>ביאור הט"ז בדעת השו"ע דס"ל כהרא"ה דאף בקדירה שניה הכחל מהמנין</w:t>
      </w:r>
      <w:bookmarkEnd w:id="3877"/>
    </w:p>
    <w:p w:rsidR="002D7168" w:rsidRDefault="00495EC8" w:rsidP="009F44AF">
      <w:pPr>
        <w:pStyle w:val="a"/>
        <w:rPr>
          <w:rtl/>
        </w:rPr>
      </w:pPr>
      <w:r w:rsidRPr="0050146A">
        <w:rPr>
          <w:rFonts w:hint="cs"/>
          <w:rtl/>
        </w:rPr>
        <w:t xml:space="preserve">כתב </w:t>
      </w:r>
      <w:r w:rsidRPr="0050146A">
        <w:rPr>
          <w:rStyle w:val="af8"/>
          <w:rFonts w:hint="cs"/>
          <w:rtl/>
        </w:rPr>
        <w:t>השו"ע</w:t>
      </w:r>
      <w:r w:rsidRPr="0050146A">
        <w:rPr>
          <w:rFonts w:hint="cs"/>
          <w:rtl/>
        </w:rPr>
        <w:t xml:space="preserve"> </w:t>
      </w:r>
      <w:r w:rsidRPr="0050146A">
        <w:rPr>
          <w:rStyle w:val="af6"/>
          <w:rFonts w:eastAsia="Guttman Hodes" w:hint="cs"/>
          <w:rtl/>
        </w:rPr>
        <w:t>(סי' צ' א')</w:t>
      </w:r>
      <w:r w:rsidRPr="0050146A">
        <w:rPr>
          <w:rFonts w:hint="cs"/>
          <w:rtl/>
        </w:rPr>
        <w:t xml:space="preserve"> דבקדירה השניה משערים בשישים כמו בראשונה, כיון שהכחל עצמו נעשה כחתיכת איסור אחר שהתבשל בקדירה הראשונה, וכתב </w:t>
      </w:r>
      <w:r w:rsidRPr="0050146A">
        <w:rPr>
          <w:rStyle w:val="af8"/>
          <w:rFonts w:hint="cs"/>
          <w:rtl/>
        </w:rPr>
        <w:t>הט"ז</w:t>
      </w:r>
      <w:r w:rsidRPr="0050146A">
        <w:rPr>
          <w:rFonts w:hint="cs"/>
          <w:rtl/>
        </w:rPr>
        <w:t xml:space="preserve"> </w:t>
      </w:r>
      <w:r w:rsidRPr="0050146A">
        <w:rPr>
          <w:rStyle w:val="af6"/>
          <w:rFonts w:eastAsia="Guttman Hodes" w:hint="cs"/>
          <w:rtl/>
        </w:rPr>
        <w:t>(סי' צ' סק"ד)</w:t>
      </w:r>
      <w:r w:rsidRPr="0050146A">
        <w:rPr>
          <w:rFonts w:hint="cs"/>
          <w:rtl/>
        </w:rPr>
        <w:t xml:space="preserve"> דמבואר מדברי השו"ע דס"ל דאף אם בקדירה הראשונה לא היה שישים, מ"מ בקדירה השניה הכחל הוא בכלל המנין, ומצטרף לשיעור שישים, וכתב </w:t>
      </w:r>
      <w:r w:rsidRPr="0050146A">
        <w:rPr>
          <w:rStyle w:val="af8"/>
          <w:rFonts w:hint="cs"/>
          <w:rtl/>
        </w:rPr>
        <w:t>הט"ז</w:t>
      </w:r>
      <w:r w:rsidRPr="0050146A">
        <w:rPr>
          <w:rFonts w:hint="cs"/>
          <w:rtl/>
        </w:rPr>
        <w:t xml:space="preserve"> דא"כ פסק </w:t>
      </w:r>
      <w:r w:rsidRPr="0050146A">
        <w:rPr>
          <w:rStyle w:val="af8"/>
          <w:rFonts w:hint="cs"/>
          <w:rtl/>
        </w:rPr>
        <w:t>השו"ע</w:t>
      </w:r>
      <w:r w:rsidRPr="0050146A">
        <w:rPr>
          <w:rFonts w:hint="cs"/>
          <w:rtl/>
        </w:rPr>
        <w:t xml:space="preserve"> כדעת </w:t>
      </w:r>
      <w:r w:rsidRPr="0050146A">
        <w:rPr>
          <w:rStyle w:val="af8"/>
          <w:rFonts w:hint="cs"/>
          <w:rtl/>
        </w:rPr>
        <w:t>הרא"ה בבד"ה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Ref10736662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50146A">
        <w:rPr>
          <w:rStyle w:val="af6"/>
          <w:rFonts w:eastAsia="Guttman Hodes"/>
          <w:rtl/>
        </w:rPr>
        <w:fldChar w:fldCharType="end"/>
      </w:r>
      <w:r w:rsidRPr="0050146A">
        <w:rPr>
          <w:rFonts w:hint="cs"/>
          <w:rtl/>
        </w:rPr>
        <w:t xml:space="preserve"> דאף שנאסר הכחל, מ"מ הוא מצטרף לשישים דלא יהיה סופו חמור מתחילתו.</w:t>
      </w:r>
    </w:p>
    <w:p w:rsidR="00495EC8" w:rsidRPr="0050146A" w:rsidRDefault="00495EC8" w:rsidP="00495EC8">
      <w:pPr>
        <w:pStyle w:val="a2"/>
        <w:rPr>
          <w:rtl/>
        </w:rPr>
      </w:pPr>
      <w:bookmarkStart w:id="3878" w:name="_Toc10737500"/>
      <w:r w:rsidRPr="0050146A">
        <w:rPr>
          <w:rFonts w:hint="cs"/>
          <w:rtl/>
        </w:rPr>
        <w:t>ביאור הט"ז ברמ"א דס"ל כהרשב"א דאחר שנאסר בפחות משישים אינו מן המנין בקדירה שניה</w:t>
      </w:r>
      <w:bookmarkEnd w:id="3878"/>
    </w:p>
    <w:p w:rsidR="00495EC8" w:rsidRPr="0050146A" w:rsidRDefault="00495EC8" w:rsidP="009F44AF">
      <w:pPr>
        <w:pStyle w:val="a"/>
        <w:rPr>
          <w:rtl/>
        </w:rPr>
      </w:pPr>
      <w:bookmarkStart w:id="3879" w:name="_Ref10737327"/>
      <w:r w:rsidRPr="0050146A">
        <w:rPr>
          <w:rFonts w:hint="cs"/>
          <w:rtl/>
        </w:rPr>
        <w:lastRenderedPageBreak/>
        <w:t xml:space="preserve">ובדברי </w:t>
      </w:r>
      <w:r w:rsidRPr="0050146A">
        <w:rPr>
          <w:rStyle w:val="af8"/>
          <w:rFonts w:hint="cs"/>
          <w:rtl/>
        </w:rPr>
        <w:t>הרמ"א</w:t>
      </w:r>
      <w:r w:rsidRPr="0050146A">
        <w:rPr>
          <w:rFonts w:hint="cs"/>
          <w:rtl/>
        </w:rPr>
        <w:t xml:space="preserve"> </w:t>
      </w:r>
      <w:r w:rsidRPr="0050146A">
        <w:rPr>
          <w:rStyle w:val="af6"/>
          <w:rFonts w:eastAsia="Guttman Hodes" w:hint="cs"/>
          <w:rtl/>
        </w:rPr>
        <w:t>(סי' צ' א')</w:t>
      </w:r>
      <w:r w:rsidRPr="0050146A">
        <w:rPr>
          <w:rFonts w:hint="cs"/>
          <w:rtl/>
        </w:rPr>
        <w:t xml:space="preserve"> דכתב שאם בקדירה הראשונה לא היה שישים, ונאסר הכחל, ואח"כ נפל הכחל לקדירה אחרת, דהכחל אינו מצטרף לשישים, כתב </w:t>
      </w:r>
      <w:r w:rsidRPr="0050146A">
        <w:rPr>
          <w:rStyle w:val="af8"/>
          <w:rFonts w:hint="cs"/>
          <w:rtl/>
        </w:rPr>
        <w:t>הט"ז</w:t>
      </w:r>
      <w:r w:rsidRPr="0050146A">
        <w:rPr>
          <w:rFonts w:hint="cs"/>
          <w:rtl/>
        </w:rPr>
        <w:t xml:space="preserve"> </w:t>
      </w:r>
      <w:r w:rsidRPr="0050146A">
        <w:rPr>
          <w:rStyle w:val="af6"/>
          <w:rFonts w:eastAsia="Guttman Hodes" w:hint="cs"/>
          <w:rtl/>
        </w:rPr>
        <w:t>(סי' צ' סק"ד)</w:t>
      </w:r>
      <w:r w:rsidRPr="0050146A">
        <w:rPr>
          <w:rFonts w:hint="cs"/>
          <w:rtl/>
        </w:rPr>
        <w:t xml:space="preserve"> דס"ל </w:t>
      </w:r>
      <w:r w:rsidRPr="0050146A">
        <w:rPr>
          <w:rStyle w:val="af8"/>
          <w:rFonts w:hint="cs"/>
          <w:rtl/>
        </w:rPr>
        <w:t>להרמ"א</w:t>
      </w:r>
      <w:r w:rsidRPr="0050146A">
        <w:rPr>
          <w:rFonts w:hint="cs"/>
          <w:rtl/>
        </w:rPr>
        <w:t xml:space="preserve"> כדעת </w:t>
      </w:r>
      <w:r w:rsidRPr="0050146A">
        <w:rPr>
          <w:rStyle w:val="af8"/>
          <w:rFonts w:hint="cs"/>
          <w:rtl/>
        </w:rPr>
        <w:t>הרשב"א בתוה"ב</w:t>
      </w:r>
      <w:r w:rsidRPr="0050146A">
        <w:rPr>
          <w:rFonts w:hint="cs"/>
          <w:rtl/>
        </w:rPr>
        <w:t xml:space="preserve"> </w:t>
      </w:r>
      <w:r w:rsidRPr="0050146A">
        <w:rPr>
          <w:rStyle w:val="af6"/>
          <w:rFonts w:eastAsia="Guttman Hodes"/>
          <w:rtl/>
        </w:rPr>
        <w:t>(</w:t>
      </w:r>
      <w:r w:rsidRPr="0050146A">
        <w:rPr>
          <w:rStyle w:val="af6"/>
          <w:rFonts w:eastAsia="Guttman Hodes" w:hint="eastAsia"/>
          <w:rtl/>
        </w:rPr>
        <w:t>עי</w:t>
      </w:r>
      <w:r w:rsidRPr="0050146A">
        <w:rPr>
          <w:rStyle w:val="af6"/>
          <w:rFonts w:eastAsia="Guttman Hodes"/>
          <w:rtl/>
        </w:rPr>
        <w:t xml:space="preserve">' </w:t>
      </w:r>
      <w:r w:rsidRPr="0050146A">
        <w:rPr>
          <w:rStyle w:val="af6"/>
          <w:rFonts w:eastAsia="Guttman Hodes" w:hint="eastAsia"/>
          <w:rtl/>
        </w:rPr>
        <w:t>אות</w:t>
      </w:r>
      <w:r w:rsidRPr="0050146A">
        <w:rPr>
          <w:rStyle w:val="af6"/>
          <w:rFonts w:eastAsia="Guttman Hodes"/>
          <w:rtl/>
        </w:rPr>
        <w:t xml:space="preserve">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Ref10735889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50146A">
        <w:rPr>
          <w:rStyle w:val="af6"/>
          <w:rFonts w:eastAsia="Guttman Hodes"/>
          <w:rtl/>
        </w:rPr>
        <w:fldChar w:fldCharType="end"/>
      </w:r>
      <w:r w:rsidRPr="0050146A">
        <w:rPr>
          <w:rFonts w:hint="cs"/>
          <w:rtl/>
        </w:rPr>
        <w:t xml:space="preserve"> דכיון שבקדירה הראשונה לא היה שישים, נעשה הכחל כחתיכת נבילה, דהא רבנן עשאוהו כבשר בחלב, ובשר בחלב לכו"ע יש בו דין חנ"נ </w:t>
      </w:r>
      <w:r w:rsidRPr="0050146A">
        <w:rPr>
          <w:rStyle w:val="afa"/>
          <w:rFonts w:hint="cs"/>
          <w:rtl/>
        </w:rPr>
        <w:t xml:space="preserve">[אף לדעת </w:t>
      </w:r>
      <w:r w:rsidRPr="0050146A">
        <w:rPr>
          <w:rStyle w:val="affa"/>
          <w:rFonts w:hint="cs"/>
          <w:rtl/>
        </w:rPr>
        <w:t>רבינו אפרים</w:t>
      </w:r>
      <w:r w:rsidRPr="0050146A">
        <w:rPr>
          <w:rStyle w:val="afa"/>
          <w:rFonts w:hint="cs"/>
          <w:rtl/>
        </w:rPr>
        <w:t>]</w:t>
      </w:r>
      <w:r w:rsidRPr="0050146A">
        <w:rPr>
          <w:rFonts w:hint="cs"/>
          <w:rtl/>
        </w:rPr>
        <w:t>, ולכן צריך בקדירה השניה שיהיה שישים כנגד הכחל, והכחל אינו מצטרף לבטל.</w:t>
      </w:r>
      <w:bookmarkEnd w:id="3879"/>
    </w:p>
    <w:p w:rsidR="00495EC8" w:rsidRPr="0050146A" w:rsidRDefault="00495EC8" w:rsidP="00495EC8">
      <w:pPr>
        <w:pStyle w:val="a2"/>
        <w:rPr>
          <w:rtl/>
        </w:rPr>
      </w:pPr>
      <w:bookmarkStart w:id="3880" w:name="_Toc10737501"/>
      <w:r w:rsidRPr="0050146A">
        <w:rPr>
          <w:rFonts w:hint="cs"/>
          <w:rtl/>
        </w:rPr>
        <w:t>דברי הגרעק"א דלא נחלקו בזה השו"ע והרמ"א</w:t>
      </w:r>
      <w:bookmarkEnd w:id="3880"/>
    </w:p>
    <w:p w:rsidR="00495EC8" w:rsidRPr="0050146A" w:rsidRDefault="00495EC8" w:rsidP="009F44AF">
      <w:pPr>
        <w:pStyle w:val="a"/>
        <w:rPr>
          <w:rtl/>
        </w:rPr>
      </w:pPr>
      <w:r w:rsidRPr="0050146A">
        <w:rPr>
          <w:rFonts w:hint="cs"/>
          <w:rtl/>
        </w:rPr>
        <w:t xml:space="preserve">אבל </w:t>
      </w:r>
      <w:r w:rsidRPr="0050146A">
        <w:rPr>
          <w:rStyle w:val="af8"/>
          <w:rFonts w:hint="cs"/>
          <w:rtl/>
        </w:rPr>
        <w:t>הגרעק"א</w:t>
      </w:r>
      <w:r w:rsidRPr="0050146A">
        <w:rPr>
          <w:rFonts w:hint="cs"/>
          <w:rtl/>
        </w:rPr>
        <w:t xml:space="preserve"> </w:t>
      </w:r>
      <w:r w:rsidRPr="0050146A">
        <w:rPr>
          <w:rStyle w:val="af6"/>
          <w:rFonts w:eastAsia="Guttman Hodes" w:hint="cs"/>
          <w:rtl/>
        </w:rPr>
        <w:t>(סי' צ' על הט"ז סק"ד)</w:t>
      </w:r>
      <w:r w:rsidRPr="0050146A">
        <w:rPr>
          <w:rFonts w:hint="cs"/>
          <w:rtl/>
        </w:rPr>
        <w:t xml:space="preserve"> דחה את דברי </w:t>
      </w:r>
      <w:r w:rsidRPr="0050146A">
        <w:rPr>
          <w:rStyle w:val="af8"/>
          <w:rFonts w:hint="cs"/>
          <w:rtl/>
        </w:rPr>
        <w:t>הט"ז</w:t>
      </w:r>
      <w:r w:rsidRPr="0050146A">
        <w:rPr>
          <w:rFonts w:hint="cs"/>
          <w:rtl/>
        </w:rPr>
        <w:t xml:space="preserve"> וכתב דא"א להוכיח מדברי </w:t>
      </w:r>
      <w:r w:rsidRPr="0050146A">
        <w:rPr>
          <w:rStyle w:val="af8"/>
          <w:rFonts w:hint="cs"/>
          <w:rtl/>
        </w:rPr>
        <w:t>השו"ע והרמ"א</w:t>
      </w:r>
      <w:r w:rsidRPr="0050146A">
        <w:rPr>
          <w:rFonts w:hint="cs"/>
          <w:rtl/>
        </w:rPr>
        <w:t xml:space="preserve"> דנחלקו בפלוגתת </w:t>
      </w:r>
      <w:r w:rsidRPr="0050146A">
        <w:rPr>
          <w:rStyle w:val="af8"/>
          <w:rFonts w:hint="cs"/>
          <w:rtl/>
        </w:rPr>
        <w:t>הרשב"א והרא"ה</w:t>
      </w:r>
      <w:r w:rsidRPr="0050146A">
        <w:rPr>
          <w:rFonts w:hint="cs"/>
          <w:rtl/>
        </w:rPr>
        <w:t>, ועיי"ש במה שביאר במה נחלקו.</w:t>
      </w:r>
    </w:p>
    <w:p w:rsidR="00495EC8" w:rsidRPr="0050146A" w:rsidRDefault="00495EC8" w:rsidP="00495EC8">
      <w:pPr>
        <w:pStyle w:val="1"/>
        <w:rPr>
          <w:rtl/>
        </w:rPr>
      </w:pPr>
      <w:bookmarkStart w:id="3881" w:name="_Toc9799572"/>
      <w:bookmarkStart w:id="3882" w:name="_Toc9934835"/>
      <w:bookmarkStart w:id="3883" w:name="_Toc9936404"/>
      <w:bookmarkStart w:id="3884" w:name="_Toc9936425"/>
      <w:bookmarkStart w:id="3885" w:name="_Toc10061664"/>
      <w:bookmarkStart w:id="3886" w:name="_Toc10147722"/>
      <w:bookmarkStart w:id="3887" w:name="_Toc10202011"/>
      <w:bookmarkStart w:id="3888" w:name="_Toc10367974"/>
      <w:bookmarkStart w:id="3889" w:name="_Toc10451073"/>
      <w:bookmarkStart w:id="3890" w:name="_Toc10494323"/>
      <w:bookmarkStart w:id="3891" w:name="_Toc10625627"/>
      <w:bookmarkStart w:id="3892" w:name="_Toc10665873"/>
      <w:bookmarkStart w:id="3893" w:name="_Toc10716565"/>
      <w:bookmarkStart w:id="3894" w:name="_Toc10718860"/>
      <w:bookmarkStart w:id="3895" w:name="_Toc10730110"/>
      <w:bookmarkStart w:id="3896" w:name="_Toc10541256"/>
      <w:bookmarkStart w:id="3897" w:name="_Toc10737502"/>
      <w:r w:rsidRPr="0050146A">
        <w:rPr>
          <w:rFonts w:hint="cs"/>
          <w:rtl/>
        </w:rPr>
        <w:t>דברי הרמב"ם</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r w:rsidRPr="0050146A">
        <w:rPr>
          <w:rFonts w:hint="cs"/>
          <w:rtl/>
        </w:rPr>
        <w:t xml:space="preserve"> </w:t>
      </w:r>
      <w:bookmarkEnd w:id="3896"/>
      <w:r w:rsidRPr="0050146A">
        <w:rPr>
          <w:rFonts w:hint="cs"/>
          <w:rtl/>
        </w:rPr>
        <w:t>דמשערים בשישים בקדירה שניה והכחל מן המנין</w:t>
      </w:r>
      <w:bookmarkEnd w:id="3897"/>
    </w:p>
    <w:p w:rsidR="00495EC8" w:rsidRPr="0050146A" w:rsidRDefault="00495EC8" w:rsidP="00495EC8">
      <w:pPr>
        <w:pStyle w:val="a2"/>
        <w:rPr>
          <w:rtl/>
        </w:rPr>
      </w:pPr>
      <w:bookmarkStart w:id="3898" w:name="_Toc10737503"/>
      <w:r w:rsidRPr="0050146A">
        <w:rPr>
          <w:rFonts w:hint="cs"/>
          <w:rtl/>
        </w:rPr>
        <w:t>דברי הרמב"ם דבקדירה אחרת תמיד משערים</w:t>
      </w:r>
      <w:bookmarkEnd w:id="3898"/>
      <w:r w:rsidRPr="0050146A">
        <w:rPr>
          <w:rFonts w:hint="cs"/>
          <w:rtl/>
        </w:rPr>
        <w:t xml:space="preserve"> </w:t>
      </w:r>
    </w:p>
    <w:p w:rsidR="00495EC8" w:rsidRPr="0050146A" w:rsidRDefault="00495EC8" w:rsidP="009F44AF">
      <w:pPr>
        <w:pStyle w:val="a"/>
        <w:rPr>
          <w:rtl/>
        </w:rPr>
      </w:pPr>
      <w:r w:rsidRPr="0050146A">
        <w:rPr>
          <w:rFonts w:hint="cs"/>
          <w:rtl/>
        </w:rPr>
        <w:t xml:space="preserve">כתב </w:t>
      </w:r>
      <w:r w:rsidRPr="0050146A">
        <w:rPr>
          <w:rStyle w:val="af8"/>
          <w:rFonts w:hint="cs"/>
          <w:rtl/>
        </w:rPr>
        <w:t>הרמב"ם</w:t>
      </w:r>
      <w:r w:rsidRPr="0050146A">
        <w:rPr>
          <w:rStyle w:val="af6"/>
          <w:rFonts w:eastAsia="Guttman Hodes" w:hint="cs"/>
          <w:rtl/>
        </w:rPr>
        <w:t xml:space="preserve"> (מאכ"א פ"ט הי"ג) </w:t>
      </w:r>
      <w:r w:rsidRPr="0050146A">
        <w:rPr>
          <w:rFonts w:hint="cs"/>
          <w:rtl/>
        </w:rPr>
        <w:t xml:space="preserve">דאם היה הבשר יחד עם הכחל, כשיעור שישים כנגד הכחל, הכחל עצמו אסור ושאר הבשר מותר, ואם היה פחות משישים הכל אסור, ובנפל לקדירה אחרת כתב </w:t>
      </w:r>
      <w:r w:rsidRPr="0050146A">
        <w:rPr>
          <w:rStyle w:val="af8"/>
          <w:rFonts w:hint="cs"/>
          <w:rtl/>
        </w:rPr>
        <w:t xml:space="preserve">הרמב"ם </w:t>
      </w:r>
      <w:r w:rsidRPr="0050146A">
        <w:rPr>
          <w:rFonts w:hint="cs"/>
          <w:rtl/>
        </w:rPr>
        <w:t>ד</w:t>
      </w:r>
      <w:r w:rsidRPr="0050146A">
        <w:rPr>
          <w:rtl/>
        </w:rPr>
        <w:t xml:space="preserve">בין כך ובין כך </w:t>
      </w:r>
      <w:r w:rsidRPr="0050146A">
        <w:rPr>
          <w:rFonts w:hint="cs"/>
          <w:rtl/>
        </w:rPr>
        <w:t xml:space="preserve">הוא אוסר את הקדירה, ומשערים בשישים כמו בקדירה הראשונה, כיון שהכחל שהתבשל </w:t>
      </w:r>
      <w:r w:rsidRPr="0050146A">
        <w:rPr>
          <w:rStyle w:val="afa"/>
          <w:rFonts w:hint="cs"/>
          <w:rtl/>
        </w:rPr>
        <w:t>[עם בשר אחר]</w:t>
      </w:r>
      <w:r w:rsidRPr="0050146A">
        <w:rPr>
          <w:rFonts w:hint="cs"/>
          <w:rtl/>
        </w:rPr>
        <w:t xml:space="preserve"> נעשה כחתיכה אסורה. </w:t>
      </w:r>
    </w:p>
    <w:p w:rsidR="00495EC8" w:rsidRPr="0050146A" w:rsidRDefault="00495EC8" w:rsidP="00495EC8">
      <w:pPr>
        <w:pStyle w:val="a2"/>
        <w:rPr>
          <w:rtl/>
        </w:rPr>
      </w:pPr>
      <w:bookmarkStart w:id="3899" w:name="_Toc10737504"/>
      <w:r w:rsidRPr="0050146A">
        <w:rPr>
          <w:rFonts w:hint="cs"/>
          <w:rtl/>
        </w:rPr>
        <w:t>ביאור המ"מ ברמב"ם דס"ל כרא"ה דאף שנאסר הכחל אין לו דין חנ"נ ובקדירה שניה הוא מן המנין</w:t>
      </w:r>
      <w:bookmarkEnd w:id="3899"/>
    </w:p>
    <w:p w:rsidR="00495EC8" w:rsidRPr="0050146A" w:rsidRDefault="00495EC8" w:rsidP="009F44AF">
      <w:pPr>
        <w:pStyle w:val="a"/>
        <w:rPr>
          <w:rtl/>
        </w:rPr>
      </w:pPr>
      <w:bookmarkStart w:id="3900" w:name="_Ref10737181"/>
      <w:r w:rsidRPr="0050146A">
        <w:rPr>
          <w:rFonts w:hint="cs"/>
          <w:rtl/>
        </w:rPr>
        <w:t xml:space="preserve">וביאר </w:t>
      </w:r>
      <w:r w:rsidRPr="0050146A">
        <w:rPr>
          <w:rStyle w:val="af8"/>
          <w:rFonts w:hint="cs"/>
          <w:rtl/>
        </w:rPr>
        <w:t>המ"מ</w:t>
      </w:r>
      <w:r w:rsidRPr="0050146A">
        <w:rPr>
          <w:rFonts w:hint="cs"/>
          <w:rtl/>
        </w:rPr>
        <w:t xml:space="preserve"> </w:t>
      </w:r>
      <w:r w:rsidRPr="0050146A">
        <w:rPr>
          <w:rStyle w:val="af6"/>
          <w:rFonts w:eastAsia="Guttman Hodes" w:hint="cs"/>
          <w:rtl/>
        </w:rPr>
        <w:t xml:space="preserve">(מאכ"א פ"ט הי"ג) </w:t>
      </w:r>
      <w:r w:rsidRPr="0050146A">
        <w:rPr>
          <w:rFonts w:hint="cs"/>
          <w:rtl/>
        </w:rPr>
        <w:t xml:space="preserve">דכוונת </w:t>
      </w:r>
      <w:r w:rsidRPr="0050146A">
        <w:rPr>
          <w:rStyle w:val="af8"/>
          <w:rFonts w:hint="cs"/>
          <w:rtl/>
        </w:rPr>
        <w:t>הרמב"ם</w:t>
      </w:r>
      <w:r w:rsidRPr="0050146A">
        <w:rPr>
          <w:rFonts w:hint="cs"/>
          <w:rtl/>
        </w:rPr>
        <w:t xml:space="preserve"> לומר דבין אם בקדירה הראשונה היה שישים, שכולה נאסרה, ובין אם לא היה בה שישים, שהקדירה מותרת והכחל עצמו אסור, הוא אוסר בקדירה השניה וצריך שישים כמו בקדירה הראשונה, וכתב </w:t>
      </w:r>
      <w:r w:rsidRPr="0050146A">
        <w:rPr>
          <w:rStyle w:val="af8"/>
          <w:rFonts w:hint="cs"/>
          <w:rtl/>
        </w:rPr>
        <w:t>המ"מ</w:t>
      </w:r>
      <w:r w:rsidRPr="0050146A">
        <w:rPr>
          <w:rFonts w:hint="cs"/>
          <w:rtl/>
        </w:rPr>
        <w:t xml:space="preserve"> דס"ל </w:t>
      </w:r>
      <w:r w:rsidRPr="0050146A">
        <w:rPr>
          <w:rStyle w:val="af8"/>
          <w:rFonts w:hint="cs"/>
          <w:rtl/>
        </w:rPr>
        <w:t>להרמב"ם</w:t>
      </w:r>
      <w:r w:rsidRPr="0050146A">
        <w:rPr>
          <w:rFonts w:hint="cs"/>
          <w:rtl/>
        </w:rPr>
        <w:t xml:space="preserve"> כדעת </w:t>
      </w:r>
      <w:r w:rsidRPr="0050146A">
        <w:rPr>
          <w:rStyle w:val="af8"/>
          <w:rFonts w:hint="cs"/>
          <w:rtl/>
        </w:rPr>
        <w:t>הרא"ה בבד"ה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Ref10736662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50146A">
        <w:rPr>
          <w:rStyle w:val="af6"/>
          <w:rFonts w:eastAsia="Guttman Hodes"/>
          <w:rtl/>
        </w:rPr>
        <w:fldChar w:fldCharType="end"/>
      </w:r>
      <w:r w:rsidRPr="0050146A">
        <w:rPr>
          <w:rFonts w:hint="cs"/>
          <w:rtl/>
        </w:rPr>
        <w:t xml:space="preserve"> דאף בקדירה השניה הכחל מן המנין ומצטרף לשיעור שישים, ודלא </w:t>
      </w:r>
      <w:r w:rsidRPr="0050146A">
        <w:rPr>
          <w:rStyle w:val="af8"/>
          <w:rFonts w:hint="cs"/>
          <w:rtl/>
        </w:rPr>
        <w:t>הרשב"א בתוה"ב</w:t>
      </w:r>
      <w:r w:rsidRPr="0050146A">
        <w:rPr>
          <w:rFonts w:hint="cs"/>
          <w:rtl/>
        </w:rPr>
        <w:t xml:space="preserve"> </w:t>
      </w:r>
      <w:r w:rsidRPr="0050146A">
        <w:rPr>
          <w:rStyle w:val="af6"/>
          <w:rFonts w:eastAsia="Guttman Hodes"/>
          <w:rtl/>
        </w:rPr>
        <w:t>(</w:t>
      </w:r>
      <w:r w:rsidRPr="0050146A">
        <w:rPr>
          <w:rStyle w:val="af6"/>
          <w:rFonts w:eastAsia="Guttman Hodes" w:hint="eastAsia"/>
          <w:rtl/>
        </w:rPr>
        <w:t>עי</w:t>
      </w:r>
      <w:r w:rsidRPr="0050146A">
        <w:rPr>
          <w:rStyle w:val="af6"/>
          <w:rFonts w:eastAsia="Guttman Hodes"/>
          <w:rtl/>
        </w:rPr>
        <w:t xml:space="preserve">' </w:t>
      </w:r>
      <w:r w:rsidRPr="0050146A">
        <w:rPr>
          <w:rStyle w:val="af6"/>
          <w:rFonts w:eastAsia="Guttman Hodes" w:hint="eastAsia"/>
          <w:rtl/>
        </w:rPr>
        <w:t>אות</w:t>
      </w:r>
      <w:r w:rsidRPr="0050146A">
        <w:rPr>
          <w:rStyle w:val="af6"/>
          <w:rFonts w:eastAsia="Guttman Hodes"/>
          <w:rtl/>
        </w:rPr>
        <w:t xml:space="preserve">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Ref10735889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50146A">
        <w:rPr>
          <w:rStyle w:val="af6"/>
          <w:rFonts w:eastAsia="Guttman Hodes"/>
          <w:rtl/>
        </w:rPr>
        <w:fldChar w:fldCharType="end"/>
      </w:r>
      <w:r w:rsidRPr="0050146A">
        <w:rPr>
          <w:rFonts w:hint="cs"/>
          <w:rtl/>
        </w:rPr>
        <w:t xml:space="preserve"> דכתב דכשאין שישים בקדירה הראשונה, נעשה הכחל חנ"נ, ואינו מצטרף לשישים בקדירה השניה.</w:t>
      </w:r>
      <w:bookmarkEnd w:id="3900"/>
      <w:r w:rsidRPr="0050146A">
        <w:rPr>
          <w:rFonts w:hint="cs"/>
          <w:rtl/>
        </w:rPr>
        <w:t xml:space="preserve"> </w:t>
      </w:r>
    </w:p>
    <w:p w:rsidR="00495EC8" w:rsidRPr="0050146A" w:rsidRDefault="00495EC8" w:rsidP="00495EC8">
      <w:pPr>
        <w:pStyle w:val="1"/>
        <w:rPr>
          <w:rtl/>
        </w:rPr>
      </w:pPr>
      <w:bookmarkStart w:id="3901" w:name="_Toc10451088"/>
      <w:bookmarkStart w:id="3902" w:name="_Toc10494327"/>
      <w:bookmarkStart w:id="3903" w:name="_Toc10541260"/>
      <w:bookmarkStart w:id="3904" w:name="_Toc10625629"/>
      <w:bookmarkStart w:id="3905" w:name="_Toc10665875"/>
      <w:bookmarkStart w:id="3906" w:name="_Toc10716567"/>
      <w:bookmarkStart w:id="3907" w:name="_Toc10718862"/>
      <w:bookmarkStart w:id="3908" w:name="_Toc10730112"/>
      <w:bookmarkStart w:id="3909" w:name="_Toc10737505"/>
      <w:r w:rsidRPr="0050146A">
        <w:rPr>
          <w:rFonts w:hint="cs"/>
          <w:rtl/>
        </w:rPr>
        <w:t>בדברי הרמב"ם</w:t>
      </w:r>
      <w:bookmarkEnd w:id="3901"/>
      <w:r w:rsidRPr="0050146A">
        <w:rPr>
          <w:rFonts w:hint="cs"/>
          <w:rtl/>
        </w:rPr>
        <w:t xml:space="preserve"> דשיעור הכחל כזמן הבישול ולא כזמן הנפילה</w:t>
      </w:r>
      <w:bookmarkEnd w:id="3902"/>
      <w:bookmarkEnd w:id="3903"/>
      <w:bookmarkEnd w:id="3904"/>
      <w:bookmarkEnd w:id="3905"/>
      <w:bookmarkEnd w:id="3906"/>
      <w:bookmarkEnd w:id="3907"/>
      <w:bookmarkEnd w:id="3908"/>
      <w:bookmarkEnd w:id="3909"/>
    </w:p>
    <w:p w:rsidR="00495EC8" w:rsidRPr="0050146A" w:rsidRDefault="00495EC8" w:rsidP="00495EC8">
      <w:pPr>
        <w:pStyle w:val="a2"/>
      </w:pPr>
      <w:bookmarkStart w:id="3910" w:name="_Toc10737506"/>
      <w:bookmarkStart w:id="3911" w:name="_Toc10451081"/>
      <w:bookmarkStart w:id="3912" w:name="_Toc10494328"/>
      <w:bookmarkStart w:id="3913" w:name="_Toc10541261"/>
      <w:bookmarkStart w:id="3914" w:name="_Toc10625630"/>
      <w:bookmarkStart w:id="3915" w:name="_Toc10665876"/>
      <w:bookmarkStart w:id="3916" w:name="_Toc10716568"/>
      <w:bookmarkStart w:id="3917" w:name="_Toc10718863"/>
      <w:bookmarkStart w:id="3918" w:name="_Toc10730113"/>
      <w:r w:rsidRPr="0050146A">
        <w:rPr>
          <w:rFonts w:hint="cs"/>
          <w:rtl/>
        </w:rPr>
        <w:t>דברי הרמב"ם דמשערים את הכחל כזמן הבישול ולא כזמן הנפילה</w:t>
      </w:r>
      <w:bookmarkEnd w:id="3910"/>
    </w:p>
    <w:p w:rsidR="00495EC8" w:rsidRPr="0050146A" w:rsidRDefault="00495EC8" w:rsidP="009F44AF">
      <w:pPr>
        <w:pStyle w:val="a"/>
        <w:rPr>
          <w:rtl/>
        </w:rPr>
      </w:pPr>
      <w:r w:rsidRPr="0050146A">
        <w:rPr>
          <w:rFonts w:hint="cs"/>
          <w:rtl/>
        </w:rPr>
        <w:t xml:space="preserve">עוד כתב </w:t>
      </w:r>
      <w:r w:rsidRPr="0050146A">
        <w:rPr>
          <w:rStyle w:val="af8"/>
          <w:rFonts w:hint="cs"/>
          <w:rtl/>
        </w:rPr>
        <w:t>הרמב"ם</w:t>
      </w:r>
      <w:r w:rsidRPr="0050146A">
        <w:rPr>
          <w:rFonts w:hint="cs"/>
          <w:rtl/>
        </w:rPr>
        <w:t xml:space="preserve"> </w:t>
      </w:r>
      <w:r w:rsidRPr="0050146A">
        <w:rPr>
          <w:rStyle w:val="af6"/>
          <w:rFonts w:eastAsia="Guttman Hodes" w:hint="cs"/>
          <w:rtl/>
        </w:rPr>
        <w:t xml:space="preserve">(מאכ"א פ"ט הי"ג) </w:t>
      </w:r>
      <w:r w:rsidRPr="0050146A">
        <w:rPr>
          <w:rFonts w:hint="cs"/>
          <w:rtl/>
        </w:rPr>
        <w:t>דמשערים את הכחל כמו שהוא כשיעור של זמן הבישול, ולא כשיעור הכחל שהיה בשעת הנפילה.</w:t>
      </w:r>
    </w:p>
    <w:p w:rsidR="00495EC8" w:rsidRPr="0050146A" w:rsidRDefault="00495EC8" w:rsidP="00495EC8">
      <w:pPr>
        <w:pStyle w:val="a2"/>
        <w:rPr>
          <w:rtl/>
        </w:rPr>
      </w:pPr>
      <w:bookmarkStart w:id="3919" w:name="_Toc10737507"/>
      <w:r w:rsidRPr="0050146A">
        <w:rPr>
          <w:rFonts w:hint="cs"/>
          <w:rtl/>
        </w:rPr>
        <w:t>ביאור המ"מ ברמב"ם דספק הגמ' דמשערים במאי דנפיק מיניה היינו שמשערים אף בבלוע</w:t>
      </w:r>
      <w:bookmarkEnd w:id="3911"/>
      <w:bookmarkEnd w:id="3912"/>
      <w:bookmarkEnd w:id="3913"/>
      <w:bookmarkEnd w:id="3914"/>
      <w:bookmarkEnd w:id="3915"/>
      <w:bookmarkEnd w:id="3916"/>
      <w:bookmarkEnd w:id="3917"/>
      <w:bookmarkEnd w:id="3918"/>
      <w:bookmarkEnd w:id="3919"/>
    </w:p>
    <w:p w:rsidR="00495EC8" w:rsidRPr="0050146A" w:rsidRDefault="00495EC8" w:rsidP="009F44AF">
      <w:pPr>
        <w:pStyle w:val="a"/>
        <w:rPr>
          <w:rStyle w:val="afa"/>
          <w:rtl/>
        </w:rPr>
      </w:pPr>
      <w:bookmarkStart w:id="3920" w:name="_Ref10452217"/>
      <w:r w:rsidRPr="0050146A">
        <w:rPr>
          <w:rFonts w:hint="cs"/>
          <w:rtl/>
        </w:rPr>
        <w:t xml:space="preserve">וביאר </w:t>
      </w:r>
      <w:r w:rsidRPr="0050146A">
        <w:rPr>
          <w:rStyle w:val="af8"/>
          <w:rFonts w:hint="cs"/>
          <w:rtl/>
        </w:rPr>
        <w:t>המ"מ</w:t>
      </w:r>
      <w:r w:rsidRPr="0050146A">
        <w:rPr>
          <w:rFonts w:hint="cs"/>
          <w:rtl/>
        </w:rPr>
        <w:t xml:space="preserve"> </w:t>
      </w:r>
      <w:r w:rsidRPr="0050146A">
        <w:rPr>
          <w:rStyle w:val="af6"/>
          <w:rFonts w:eastAsia="Guttman Hodes" w:hint="cs"/>
          <w:rtl/>
        </w:rPr>
        <w:t>(מאכ"א פ"ט הי"ג)</w:t>
      </w:r>
      <w:r w:rsidRPr="0050146A">
        <w:rPr>
          <w:rFonts w:hint="cs"/>
          <w:rtl/>
        </w:rPr>
        <w:t xml:space="preserve"> דמ"ש </w:t>
      </w:r>
      <w:r w:rsidRPr="0050146A">
        <w:rPr>
          <w:rStyle w:val="af8"/>
          <w:rFonts w:hint="cs"/>
          <w:rtl/>
        </w:rPr>
        <w:t>הרמב"ם</w:t>
      </w:r>
      <w:r w:rsidRPr="0050146A">
        <w:rPr>
          <w:rFonts w:hint="cs"/>
          <w:rtl/>
        </w:rPr>
        <w:t xml:space="preserve">  דמשערים את הכחל כמו שהוא כשיעור של זמן הבישול, ולא כשיעור של שעת הנפילה, היינו </w:t>
      </w:r>
      <w:r w:rsidRPr="0050146A">
        <w:rPr>
          <w:rStyle w:val="af8"/>
          <w:rFonts w:hint="cs"/>
          <w:rtl/>
        </w:rPr>
        <w:t>דהרמב"ם</w:t>
      </w:r>
      <w:r w:rsidRPr="0050146A">
        <w:rPr>
          <w:rFonts w:hint="cs"/>
          <w:rtl/>
        </w:rPr>
        <w:t xml:space="preserve"> ביאר כך את דברי הגמ' אי בדידיה משערינן או במאי דנפיק מיניה, דאין כוונת הגמ' לומר דמשערים רק במה שיצא ממנו, אלא דמשערים "אף" במה שיצא ממנו. </w:t>
      </w:r>
      <w:r w:rsidRPr="0050146A">
        <w:rPr>
          <w:rStyle w:val="afa"/>
          <w:rFonts w:hint="cs"/>
          <w:rtl/>
        </w:rPr>
        <w:t xml:space="preserve">[דהיינו דמשערים אף בבלוע ובמה שיצא לקדירה, וכפי השיעור שהיה בשעת הנפילה, ובזה פסק </w:t>
      </w:r>
      <w:r w:rsidRPr="0050146A">
        <w:rPr>
          <w:rStyle w:val="affa"/>
          <w:rFonts w:hint="cs"/>
          <w:rtl/>
        </w:rPr>
        <w:t>הרמב"ם</w:t>
      </w:r>
      <w:r w:rsidRPr="0050146A">
        <w:rPr>
          <w:rStyle w:val="afa"/>
          <w:rFonts w:hint="cs"/>
          <w:rtl/>
        </w:rPr>
        <w:t xml:space="preserve"> דמשערים רק בדידיה כפי שהוא בזמן הבישול, ולא כפי שהיה בשעת הנפילה].</w:t>
      </w:r>
      <w:bookmarkEnd w:id="3920"/>
    </w:p>
    <w:p w:rsidR="00495EC8" w:rsidRPr="0050146A" w:rsidRDefault="00495EC8" w:rsidP="00495EC8">
      <w:pPr>
        <w:pStyle w:val="a2"/>
        <w:rPr>
          <w:rtl/>
        </w:rPr>
      </w:pPr>
      <w:bookmarkStart w:id="3921" w:name="_Toc10494329"/>
      <w:bookmarkStart w:id="3922" w:name="_Toc10541262"/>
      <w:bookmarkStart w:id="3923" w:name="_Toc10625631"/>
      <w:bookmarkStart w:id="3924" w:name="_Toc10665877"/>
      <w:bookmarkStart w:id="3925" w:name="_Toc10716569"/>
      <w:bookmarkStart w:id="3926" w:name="_Toc10718864"/>
      <w:bookmarkStart w:id="3927" w:name="_Toc10730114"/>
      <w:bookmarkStart w:id="3928" w:name="_Toc10737508"/>
      <w:bookmarkStart w:id="3929" w:name="_Toc10451082"/>
      <w:r w:rsidRPr="0050146A">
        <w:rPr>
          <w:rFonts w:hint="cs"/>
          <w:rtl/>
        </w:rPr>
        <w:t>קושיות הב"י דאי בדידיה משערינן היינו דאין משערים בבלוע אמאי לא יאסור בקדירה אחרת</w:t>
      </w:r>
      <w:bookmarkEnd w:id="3921"/>
      <w:bookmarkEnd w:id="3922"/>
      <w:bookmarkEnd w:id="3923"/>
      <w:bookmarkEnd w:id="3924"/>
      <w:bookmarkEnd w:id="3925"/>
      <w:bookmarkEnd w:id="3926"/>
      <w:bookmarkEnd w:id="3927"/>
      <w:bookmarkEnd w:id="3928"/>
      <w:r w:rsidRPr="0050146A">
        <w:rPr>
          <w:rFonts w:hint="cs"/>
          <w:rtl/>
        </w:rPr>
        <w:t xml:space="preserve"> </w:t>
      </w:r>
      <w:bookmarkEnd w:id="3929"/>
    </w:p>
    <w:p w:rsidR="00495EC8" w:rsidRPr="0050146A" w:rsidRDefault="00495EC8" w:rsidP="009F44AF">
      <w:pPr>
        <w:pStyle w:val="a"/>
        <w:rPr>
          <w:rStyle w:val="afa"/>
          <w:rtl/>
        </w:rPr>
      </w:pPr>
      <w:bookmarkStart w:id="3930" w:name="_Ref11581403"/>
      <w:r w:rsidRPr="0050146A">
        <w:rPr>
          <w:rtl/>
        </w:rPr>
        <w:t>ו</w:t>
      </w:r>
      <w:r w:rsidRPr="0050146A">
        <w:rPr>
          <w:rFonts w:hint="cs"/>
          <w:rtl/>
        </w:rPr>
        <w:t xml:space="preserve">הקשה </w:t>
      </w:r>
      <w:r w:rsidRPr="0050146A">
        <w:rPr>
          <w:rStyle w:val="af8"/>
          <w:rtl/>
        </w:rPr>
        <w:t>הב"י</w:t>
      </w:r>
      <w:r w:rsidRPr="0050146A">
        <w:rPr>
          <w:rStyle w:val="af6"/>
          <w:rFonts w:eastAsia="Guttman Hodes"/>
          <w:rtl/>
        </w:rPr>
        <w:t xml:space="preserve"> (סי' צ' ה' ד"ה כתב עוד</w:t>
      </w:r>
      <w:r w:rsidRPr="0050146A">
        <w:rPr>
          <w:rStyle w:val="af6"/>
          <w:rFonts w:eastAsia="Guttman Hodes" w:hint="cs"/>
          <w:rtl/>
        </w:rPr>
        <w:t xml:space="preserve"> הרמב"ם</w:t>
      </w:r>
      <w:r w:rsidRPr="0050146A">
        <w:rPr>
          <w:rStyle w:val="af6"/>
          <w:rFonts w:eastAsia="Guttman Hodes"/>
          <w:rtl/>
        </w:rPr>
        <w:t>)</w:t>
      </w:r>
      <w:r w:rsidRPr="0050146A">
        <w:rPr>
          <w:rFonts w:hint="cs"/>
          <w:rtl/>
        </w:rPr>
        <w:t xml:space="preserve"> על </w:t>
      </w:r>
      <w:r w:rsidRPr="0050146A">
        <w:rPr>
          <w:rStyle w:val="af8"/>
          <w:rFonts w:hint="cs"/>
          <w:rtl/>
        </w:rPr>
        <w:t>המ"מ</w:t>
      </w:r>
      <w:r w:rsidRPr="0050146A">
        <w:rPr>
          <w:rFonts w:hint="cs"/>
          <w:rtl/>
        </w:rPr>
        <w:t xml:space="preserve"> דא"כ האיך אפשר לבאר את קושית הגמ' דאי בדידיה משערינן לא יאסור בקדירה אחרת, </w:t>
      </w:r>
      <w:r w:rsidRPr="0050146A">
        <w:rPr>
          <w:rStyle w:val="afa"/>
          <w:rFonts w:hint="cs"/>
          <w:rtl/>
        </w:rPr>
        <w:t>[דהיינו דאי בדידיה הכוונה שאין משערים בשיעור של שעת הנפילה, ולא מצרפים את הבלוע, א"כ אמאי אינו אוסר בקדירה אחרת].</w:t>
      </w:r>
      <w:bookmarkEnd w:id="3930"/>
    </w:p>
    <w:p w:rsidR="00495EC8" w:rsidRPr="0050146A" w:rsidRDefault="00495EC8" w:rsidP="00495EC8">
      <w:pPr>
        <w:pStyle w:val="a2"/>
        <w:rPr>
          <w:rtl/>
        </w:rPr>
      </w:pPr>
      <w:bookmarkStart w:id="3931" w:name="_Toc10494330"/>
      <w:bookmarkStart w:id="3932" w:name="_Toc10541263"/>
      <w:bookmarkStart w:id="3933" w:name="_Toc10625632"/>
      <w:bookmarkStart w:id="3934" w:name="_Toc10665878"/>
      <w:bookmarkStart w:id="3935" w:name="_Toc10716570"/>
      <w:bookmarkStart w:id="3936" w:name="_Toc10718865"/>
      <w:bookmarkStart w:id="3937" w:name="_Toc10730115"/>
      <w:bookmarkStart w:id="3938" w:name="_Toc10737509"/>
      <w:r w:rsidRPr="0050146A">
        <w:rPr>
          <w:rFonts w:hint="cs"/>
          <w:rtl/>
        </w:rPr>
        <w:t>קושיות הב"י דאי במאי דנפיק היינו דמשערים בבלוע מה מקשה הגמ' דא"א לדעת כמה יצא ממנו</w:t>
      </w:r>
      <w:bookmarkEnd w:id="3931"/>
      <w:bookmarkEnd w:id="3932"/>
      <w:bookmarkEnd w:id="3933"/>
      <w:bookmarkEnd w:id="3934"/>
      <w:bookmarkEnd w:id="3935"/>
      <w:bookmarkEnd w:id="3936"/>
      <w:bookmarkEnd w:id="3937"/>
      <w:bookmarkEnd w:id="3938"/>
    </w:p>
    <w:p w:rsidR="00495EC8" w:rsidRPr="0050146A" w:rsidRDefault="00495EC8" w:rsidP="009F44AF">
      <w:pPr>
        <w:pStyle w:val="a"/>
        <w:rPr>
          <w:rtl/>
        </w:rPr>
      </w:pPr>
      <w:bookmarkStart w:id="3939" w:name="_Ref11581443"/>
      <w:r w:rsidRPr="0050146A">
        <w:rPr>
          <w:rFonts w:hint="cs"/>
          <w:rtl/>
        </w:rPr>
        <w:t xml:space="preserve">ועוד הקשה </w:t>
      </w:r>
      <w:r w:rsidRPr="0050146A">
        <w:rPr>
          <w:rStyle w:val="af8"/>
          <w:rFonts w:hint="cs"/>
          <w:rtl/>
        </w:rPr>
        <w:t>הב"י</w:t>
      </w:r>
      <w:r w:rsidRPr="0050146A">
        <w:rPr>
          <w:rFonts w:hint="cs"/>
          <w:rtl/>
        </w:rPr>
        <w:t xml:space="preserve"> דמה מקשה הגמ' דאי במאי דנפיק מיניה מנא ידעינן, הרי אי כוונת הגמ' לומר דמשערים אף במה שיצא ממנו, אמאי לא ידוע כמה יצא ממנו, הרי אפשר לדעת כמה היה שיעורו בשעת הנפילה. </w:t>
      </w:r>
      <w:r w:rsidRPr="0050146A">
        <w:rPr>
          <w:rStyle w:val="afa"/>
          <w:rFonts w:hint="cs"/>
          <w:rtl/>
        </w:rPr>
        <w:t xml:space="preserve">[כ"כ </w:t>
      </w:r>
      <w:r w:rsidRPr="0050146A">
        <w:rPr>
          <w:rStyle w:val="affa"/>
          <w:rFonts w:hint="cs"/>
          <w:rtl/>
        </w:rPr>
        <w:t>הלח"מ</w:t>
      </w:r>
      <w:r w:rsidRPr="0050146A">
        <w:rPr>
          <w:rStyle w:val="afa"/>
          <w:rFonts w:hint="cs"/>
          <w:rtl/>
        </w:rPr>
        <w:t xml:space="preserve"> </w:t>
      </w:r>
      <w:r w:rsidRPr="0050146A">
        <w:rPr>
          <w:rStyle w:val="aff6"/>
          <w:rFonts w:hint="cs"/>
          <w:rtl/>
        </w:rPr>
        <w:t>(מאכ"א פ"ט הי"ג)</w:t>
      </w:r>
      <w:r w:rsidRPr="0050146A">
        <w:rPr>
          <w:rStyle w:val="afa"/>
          <w:rFonts w:hint="cs"/>
          <w:rtl/>
        </w:rPr>
        <w:t xml:space="preserve"> דכוונת </w:t>
      </w:r>
      <w:r w:rsidRPr="0050146A">
        <w:rPr>
          <w:rStyle w:val="affa"/>
          <w:rFonts w:hint="cs"/>
          <w:rtl/>
        </w:rPr>
        <w:t>הב"י</w:t>
      </w:r>
      <w:r w:rsidRPr="0050146A">
        <w:rPr>
          <w:rStyle w:val="afa"/>
          <w:rFonts w:hint="cs"/>
          <w:rtl/>
        </w:rPr>
        <w:t xml:space="preserve"> להקשות ב' קושיות].</w:t>
      </w:r>
      <w:bookmarkEnd w:id="3939"/>
    </w:p>
    <w:p w:rsidR="00495EC8" w:rsidRPr="0050146A" w:rsidRDefault="00495EC8" w:rsidP="00495EC8">
      <w:pPr>
        <w:pStyle w:val="a2"/>
        <w:rPr>
          <w:rtl/>
        </w:rPr>
      </w:pPr>
      <w:bookmarkStart w:id="3940" w:name="_Toc10451083"/>
      <w:bookmarkStart w:id="3941" w:name="_Toc10494331"/>
      <w:bookmarkStart w:id="3942" w:name="_Toc10541264"/>
      <w:bookmarkStart w:id="3943" w:name="_Toc10625633"/>
      <w:bookmarkStart w:id="3944" w:name="_Toc10665879"/>
      <w:bookmarkStart w:id="3945" w:name="_Toc10716571"/>
      <w:bookmarkStart w:id="3946" w:name="_Toc10718866"/>
      <w:bookmarkStart w:id="3947" w:name="_Toc10730116"/>
      <w:bookmarkStart w:id="3948" w:name="_Toc10737510"/>
      <w:r w:rsidRPr="0050146A">
        <w:rPr>
          <w:rFonts w:hint="cs"/>
          <w:rtl/>
        </w:rPr>
        <w:t>ביאור הב"י דהרמב"ם פסק כגמ' לקמן דאף האיסור בלע וכ"כ בכחל וה"ה לשאר האיסורים</w:t>
      </w:r>
      <w:bookmarkEnd w:id="3940"/>
      <w:bookmarkEnd w:id="3941"/>
      <w:bookmarkEnd w:id="3942"/>
      <w:bookmarkEnd w:id="3943"/>
      <w:bookmarkEnd w:id="3944"/>
      <w:bookmarkEnd w:id="3945"/>
      <w:bookmarkEnd w:id="3946"/>
      <w:bookmarkEnd w:id="3947"/>
      <w:bookmarkEnd w:id="3948"/>
    </w:p>
    <w:p w:rsidR="00495EC8" w:rsidRPr="0050146A" w:rsidRDefault="00495EC8" w:rsidP="009F44AF">
      <w:pPr>
        <w:pStyle w:val="a"/>
        <w:rPr>
          <w:rtl/>
        </w:rPr>
      </w:pPr>
      <w:bookmarkStart w:id="3949" w:name="_Ref10452225"/>
      <w:r w:rsidRPr="0050146A">
        <w:rPr>
          <w:rFonts w:hint="cs"/>
          <w:rtl/>
        </w:rPr>
        <w:t>אלא ביאר ה</w:t>
      </w:r>
      <w:r w:rsidRPr="0050146A">
        <w:rPr>
          <w:rStyle w:val="af8"/>
          <w:rFonts w:hint="cs"/>
          <w:rtl/>
        </w:rPr>
        <w:t>ב"י</w:t>
      </w:r>
      <w:r w:rsidRPr="0050146A">
        <w:rPr>
          <w:rFonts w:hint="cs"/>
          <w:rtl/>
        </w:rPr>
        <w:t xml:space="preserve"> דכוונת </w:t>
      </w:r>
      <w:r w:rsidRPr="0050146A">
        <w:rPr>
          <w:rStyle w:val="af8"/>
          <w:rFonts w:hint="cs"/>
          <w:rtl/>
        </w:rPr>
        <w:t>הרמב"ם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Ref10364689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50146A">
        <w:rPr>
          <w:rStyle w:val="af6"/>
          <w:rFonts w:eastAsia="Guttman Hodes"/>
          <w:rtl/>
        </w:rPr>
        <w:fldChar w:fldCharType="end"/>
      </w:r>
      <w:r w:rsidRPr="0050146A">
        <w:rPr>
          <w:rFonts w:hint="cs"/>
          <w:rtl/>
        </w:rPr>
        <w:t xml:space="preserve"> לבאר את סברת הגמ' לקמן </w:t>
      </w:r>
      <w:r w:rsidRPr="0050146A">
        <w:rPr>
          <w:rStyle w:val="af6"/>
          <w:rFonts w:eastAsia="Guttman Hodes" w:hint="cs"/>
          <w:rtl/>
        </w:rPr>
        <w:t>(צח.)</w:t>
      </w:r>
      <w:r w:rsidRPr="0050146A">
        <w:rPr>
          <w:rFonts w:hint="cs"/>
          <w:rtl/>
        </w:rPr>
        <w:t xml:space="preserve"> "א</w:t>
      </w:r>
      <w:r w:rsidRPr="0050146A">
        <w:rPr>
          <w:rtl/>
        </w:rPr>
        <w:t>טו דהיתרא בלע דאיסורא לא בלע</w:t>
      </w:r>
      <w:r w:rsidRPr="0050146A">
        <w:rPr>
          <w:rFonts w:hint="cs"/>
          <w:rtl/>
        </w:rPr>
        <w:t xml:space="preserve">", ולכן כתב </w:t>
      </w:r>
      <w:r w:rsidRPr="0050146A">
        <w:rPr>
          <w:rStyle w:val="af8"/>
          <w:rFonts w:hint="cs"/>
          <w:rtl/>
        </w:rPr>
        <w:t>הרמב"ם</w:t>
      </w:r>
      <w:r w:rsidRPr="0050146A">
        <w:rPr>
          <w:rFonts w:hint="cs"/>
          <w:rtl/>
        </w:rPr>
        <w:t xml:space="preserve"> דמשערים את האיסור כמו שהוא לפנינו, ולא כמו שהיה בשעת הנפילה, וכתב </w:t>
      </w:r>
      <w:r w:rsidRPr="0050146A">
        <w:rPr>
          <w:rStyle w:val="af8"/>
          <w:rFonts w:hint="cs"/>
          <w:rtl/>
        </w:rPr>
        <w:t>הב"י דהרמב"ם</w:t>
      </w:r>
      <w:r w:rsidRPr="0050146A">
        <w:rPr>
          <w:rFonts w:hint="cs"/>
          <w:rtl/>
        </w:rPr>
        <w:t xml:space="preserve"> כתב דין זה לגבי כחל, וה"ה לשאר האיסורים.</w:t>
      </w:r>
      <w:bookmarkEnd w:id="3949"/>
    </w:p>
    <w:p w:rsidR="00495EC8" w:rsidRPr="0050146A" w:rsidRDefault="00495EC8" w:rsidP="00495EC8">
      <w:pPr>
        <w:pStyle w:val="a2"/>
        <w:rPr>
          <w:rtl/>
        </w:rPr>
      </w:pPr>
      <w:bookmarkStart w:id="3950" w:name="_Toc10451084"/>
      <w:bookmarkStart w:id="3951" w:name="_Toc10494332"/>
      <w:bookmarkStart w:id="3952" w:name="_Toc10541265"/>
      <w:bookmarkStart w:id="3953" w:name="_Toc10625634"/>
      <w:bookmarkStart w:id="3954" w:name="_Toc10665880"/>
      <w:bookmarkStart w:id="3955" w:name="_Toc10716572"/>
      <w:bookmarkStart w:id="3956" w:name="_Toc10718867"/>
      <w:bookmarkStart w:id="3957" w:name="_Toc10730117"/>
      <w:bookmarkStart w:id="3958" w:name="_Toc10737511"/>
      <w:r w:rsidRPr="0050146A">
        <w:rPr>
          <w:rFonts w:hint="cs"/>
          <w:rtl/>
        </w:rPr>
        <w:t>דחיית הב"ח והלח"מ דהא הרמב"ם פסק כל"ב דמשערים במה שבלעה הקדירה ולא כגמ' לקמן</w:t>
      </w:r>
      <w:bookmarkEnd w:id="3950"/>
      <w:bookmarkEnd w:id="3951"/>
      <w:bookmarkEnd w:id="3952"/>
      <w:bookmarkEnd w:id="3953"/>
      <w:bookmarkEnd w:id="3954"/>
      <w:bookmarkEnd w:id="3955"/>
      <w:bookmarkEnd w:id="3956"/>
      <w:bookmarkEnd w:id="3957"/>
      <w:bookmarkEnd w:id="3958"/>
    </w:p>
    <w:p w:rsidR="00495EC8" w:rsidRPr="0050146A" w:rsidRDefault="00495EC8" w:rsidP="009F44AF">
      <w:pPr>
        <w:pStyle w:val="a"/>
        <w:rPr>
          <w:rtl/>
        </w:rPr>
      </w:pPr>
      <w:r w:rsidRPr="0050146A">
        <w:rPr>
          <w:rFonts w:hint="cs"/>
          <w:rtl/>
        </w:rPr>
        <w:t xml:space="preserve">ודחו </w:t>
      </w:r>
      <w:r w:rsidRPr="0050146A">
        <w:rPr>
          <w:rStyle w:val="af8"/>
          <w:rFonts w:hint="cs"/>
          <w:rtl/>
        </w:rPr>
        <w:t>הב"ח</w:t>
      </w:r>
      <w:r w:rsidRPr="0050146A">
        <w:rPr>
          <w:rFonts w:hint="cs"/>
          <w:rtl/>
        </w:rPr>
        <w:t xml:space="preserve"> </w:t>
      </w:r>
      <w:r w:rsidRPr="0050146A">
        <w:rPr>
          <w:rStyle w:val="af6"/>
          <w:rFonts w:eastAsia="Guttman Hodes" w:hint="cs"/>
          <w:rtl/>
        </w:rPr>
        <w:t>(סי' צ' ח')</w:t>
      </w:r>
      <w:r w:rsidRPr="0050146A">
        <w:rPr>
          <w:rFonts w:hint="cs"/>
          <w:rtl/>
        </w:rPr>
        <w:t xml:space="preserve"> </w:t>
      </w:r>
      <w:r w:rsidRPr="0050146A">
        <w:rPr>
          <w:rStyle w:val="af8"/>
          <w:rFonts w:hint="cs"/>
          <w:rtl/>
        </w:rPr>
        <w:t>והלח"מ</w:t>
      </w:r>
      <w:r w:rsidRPr="0050146A">
        <w:rPr>
          <w:rFonts w:hint="cs"/>
          <w:rtl/>
        </w:rPr>
        <w:t xml:space="preserve"> </w:t>
      </w:r>
      <w:r w:rsidRPr="0050146A">
        <w:rPr>
          <w:rStyle w:val="af6"/>
          <w:rFonts w:eastAsia="Guttman Hodes" w:hint="cs"/>
          <w:rtl/>
        </w:rPr>
        <w:t>(מאכ"א פ"ט סוהי"ג)</w:t>
      </w:r>
      <w:r w:rsidRPr="0050146A">
        <w:rPr>
          <w:rFonts w:hint="cs"/>
          <w:rtl/>
        </w:rPr>
        <w:t xml:space="preserve"> את ביאור </w:t>
      </w:r>
      <w:r w:rsidRPr="0050146A">
        <w:rPr>
          <w:rStyle w:val="af8"/>
          <w:rFonts w:hint="cs"/>
          <w:rtl/>
        </w:rPr>
        <w:t>הב"י</w:t>
      </w:r>
      <w:r w:rsidRPr="0050146A">
        <w:rPr>
          <w:rFonts w:hint="cs"/>
          <w:rtl/>
        </w:rPr>
        <w:t xml:space="preserve">, דהא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הכ"ד)</w:t>
      </w:r>
      <w:r w:rsidRPr="0050146A">
        <w:rPr>
          <w:rFonts w:hint="cs"/>
          <w:rtl/>
        </w:rPr>
        <w:t xml:space="preserve"> פסק דמשערים במה שבלעה הקדירה, ולא פסק כסברת הגמ' דחוששין שאף האיסור נבלע.</w:t>
      </w:r>
    </w:p>
    <w:p w:rsidR="00495EC8" w:rsidRPr="0050146A" w:rsidRDefault="00495EC8" w:rsidP="00495EC8">
      <w:pPr>
        <w:pStyle w:val="a2"/>
        <w:rPr>
          <w:rtl/>
        </w:rPr>
      </w:pPr>
      <w:r w:rsidRPr="0050146A">
        <w:rPr>
          <w:rFonts w:hint="cs"/>
          <w:rtl/>
        </w:rPr>
        <w:t>תירוץ הלח"מ וה</w:t>
      </w:r>
      <w:r w:rsidR="00250230">
        <w:rPr>
          <w:rFonts w:hint="cs"/>
          <w:rtl/>
        </w:rPr>
        <w:t>פלתי</w:t>
      </w:r>
      <w:r w:rsidRPr="0050146A">
        <w:rPr>
          <w:rFonts w:hint="cs"/>
          <w:rtl/>
        </w:rPr>
        <w:t xml:space="preserve"> דהרמב"ם ביאר את קושית הגמ' דלא יאסור בקדירה אחרת כתוס'</w:t>
      </w:r>
    </w:p>
    <w:p w:rsidR="00495EC8" w:rsidRPr="0050146A" w:rsidRDefault="00495EC8" w:rsidP="009F44AF">
      <w:pPr>
        <w:pStyle w:val="a"/>
        <w:rPr>
          <w:rtl/>
        </w:rPr>
      </w:pPr>
      <w:r w:rsidRPr="0050146A">
        <w:rPr>
          <w:rFonts w:hint="cs"/>
          <w:rtl/>
        </w:rPr>
        <w:t xml:space="preserve">ובמה שהקשה </w:t>
      </w:r>
      <w:r w:rsidRPr="0050146A">
        <w:rPr>
          <w:rStyle w:val="af8"/>
          <w:rFonts w:hint="cs"/>
          <w:rtl/>
        </w:rPr>
        <w:t>הב"י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Ref11581403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פט)</w:t>
      </w:r>
      <w:r w:rsidRPr="0050146A">
        <w:rPr>
          <w:rStyle w:val="af6"/>
          <w:rFonts w:eastAsia="Guttman Hodes"/>
          <w:rtl/>
        </w:rPr>
        <w:fldChar w:fldCharType="end"/>
      </w:r>
      <w:r w:rsidRPr="0050146A">
        <w:rPr>
          <w:rFonts w:hint="cs"/>
          <w:rtl/>
        </w:rPr>
        <w:t xml:space="preserve"> על </w:t>
      </w:r>
      <w:r w:rsidRPr="0050146A">
        <w:rPr>
          <w:rStyle w:val="af8"/>
          <w:rFonts w:hint="cs"/>
          <w:rtl/>
        </w:rPr>
        <w:t>המ"מ</w:t>
      </w:r>
      <w:r w:rsidRPr="0050146A">
        <w:rPr>
          <w:rFonts w:hint="cs"/>
          <w:rtl/>
        </w:rPr>
        <w:t xml:space="preserve"> תירצו </w:t>
      </w:r>
      <w:r w:rsidRPr="0050146A">
        <w:rPr>
          <w:rStyle w:val="af8"/>
          <w:rFonts w:hint="cs"/>
          <w:rtl/>
        </w:rPr>
        <w:t>הלח"מ</w:t>
      </w:r>
      <w:r w:rsidRPr="0050146A">
        <w:rPr>
          <w:rFonts w:hint="cs"/>
          <w:rtl/>
        </w:rPr>
        <w:t xml:space="preserve"> </w:t>
      </w:r>
      <w:r w:rsidRPr="0050146A">
        <w:rPr>
          <w:rStyle w:val="af6"/>
          <w:rFonts w:eastAsia="Guttman Hodes" w:hint="cs"/>
          <w:rtl/>
        </w:rPr>
        <w:t>(מאכ"א פ"ט הי"ג)</w:t>
      </w:r>
      <w:r w:rsidRPr="0050146A">
        <w:rPr>
          <w:rFonts w:hint="cs"/>
          <w:rtl/>
        </w:rPr>
        <w:t xml:space="preserve"> </w:t>
      </w:r>
      <w:r w:rsidRPr="0050146A">
        <w:rPr>
          <w:rStyle w:val="af8"/>
          <w:rFonts w:hint="cs"/>
          <w:rtl/>
        </w:rPr>
        <w:t>וה</w:t>
      </w:r>
      <w:r w:rsidR="00250230">
        <w:rPr>
          <w:rStyle w:val="af8"/>
          <w:rFonts w:hint="cs"/>
          <w:rtl/>
        </w:rPr>
        <w:t>פלתי</w:t>
      </w:r>
      <w:r w:rsidRPr="0050146A">
        <w:rPr>
          <w:rStyle w:val="af8"/>
          <w:rFonts w:hint="cs"/>
          <w:rtl/>
        </w:rPr>
        <w:t xml:space="preserve"> </w:t>
      </w:r>
      <w:r w:rsidRPr="0050146A">
        <w:rPr>
          <w:rStyle w:val="af6"/>
          <w:rFonts w:eastAsia="Guttman Hodes" w:hint="cs"/>
          <w:rtl/>
        </w:rPr>
        <w:t>(סי' צ' סק"ה)</w:t>
      </w:r>
      <w:r w:rsidRPr="0050146A">
        <w:rPr>
          <w:rFonts w:hint="cs"/>
          <w:rtl/>
        </w:rPr>
        <w:t xml:space="preserve"> </w:t>
      </w:r>
      <w:r w:rsidRPr="0050146A">
        <w:rPr>
          <w:rStyle w:val="af8"/>
          <w:rFonts w:hint="cs"/>
          <w:rtl/>
        </w:rPr>
        <w:t>דהרמב"ם</w:t>
      </w:r>
      <w:r w:rsidRPr="0050146A">
        <w:rPr>
          <w:rFonts w:hint="cs"/>
          <w:rtl/>
        </w:rPr>
        <w:t xml:space="preserve"> ביאר את קושית הגמ' אלא מעתה וכו' לא יאסור בקדירה אחרת, כדביארו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0004466A">
        <w:rPr>
          <w:rStyle w:val="af6"/>
          <w:rFonts w:eastAsia="Guttman Hodes"/>
          <w:rtl/>
        </w:rPr>
        <w:fldChar w:fldCharType="begin"/>
      </w:r>
      <w:r w:rsidR="0004466A">
        <w:rPr>
          <w:rtl/>
        </w:rPr>
        <w:instrText xml:space="preserve"> </w:instrText>
      </w:r>
      <w:r w:rsidR="0004466A">
        <w:rPr>
          <w:rFonts w:hint="cs"/>
        </w:rPr>
        <w:instrText>REF</w:instrText>
      </w:r>
      <w:r w:rsidR="0004466A">
        <w:rPr>
          <w:rFonts w:hint="cs"/>
          <w:rtl/>
        </w:rPr>
        <w:instrText xml:space="preserve"> _</w:instrText>
      </w:r>
      <w:r w:rsidR="0004466A">
        <w:rPr>
          <w:rFonts w:hint="cs"/>
        </w:rPr>
        <w:instrText>Ref10734257 \r \h</w:instrText>
      </w:r>
      <w:r w:rsidR="0004466A">
        <w:rPr>
          <w:rtl/>
        </w:rPr>
        <w:instrText xml:space="preserve"> </w:instrText>
      </w:r>
      <w:r w:rsidR="0004466A">
        <w:rPr>
          <w:rStyle w:val="af6"/>
          <w:rFonts w:eastAsia="Guttman Hodes"/>
          <w:rtl/>
        </w:rPr>
      </w:r>
      <w:r w:rsidR="0004466A">
        <w:rPr>
          <w:rStyle w:val="af6"/>
          <w:rFonts w:eastAsia="Guttman Hodes"/>
          <w:rtl/>
        </w:rPr>
        <w:fldChar w:fldCharType="separate"/>
      </w:r>
      <w:r w:rsidR="004D1C5B">
        <w:rPr>
          <w:cs/>
        </w:rPr>
        <w:t>‎</w:t>
      </w:r>
      <w:r w:rsidR="004D1C5B">
        <w:rPr>
          <w:rtl/>
        </w:rPr>
        <w:t>לו)</w:t>
      </w:r>
      <w:r w:rsidR="0004466A">
        <w:rPr>
          <w:rStyle w:val="af6"/>
          <w:rFonts w:eastAsia="Guttman Hodes"/>
          <w:rtl/>
        </w:rPr>
        <w:fldChar w:fldCharType="end"/>
      </w:r>
      <w:r w:rsidRPr="0050146A">
        <w:rPr>
          <w:rFonts w:hint="cs"/>
          <w:rtl/>
        </w:rPr>
        <w:t xml:space="preserve"> דכוונת הגמ' להקשות על דברי ר"נ דכחל מן המנין, דאי אין לו דין חנ"נ אמאי הוא אוסר בקדירה אחרת, ולא כדביאר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Ref10367991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50146A">
        <w:rPr>
          <w:rStyle w:val="af6"/>
          <w:rFonts w:eastAsia="Guttman Hodes"/>
          <w:rtl/>
        </w:rPr>
        <w:fldChar w:fldCharType="end"/>
      </w:r>
      <w:r w:rsidRPr="0050146A">
        <w:rPr>
          <w:rFonts w:hint="cs"/>
          <w:rtl/>
        </w:rPr>
        <w:t xml:space="preserve"> דקושית הגמ' היא על המסקנא דבדידיה משערינן, וע"ע במה שביאר </w:t>
      </w:r>
      <w:r w:rsidRPr="0050146A">
        <w:rPr>
          <w:rStyle w:val="af8"/>
          <w:rFonts w:hint="cs"/>
          <w:rtl/>
        </w:rPr>
        <w:t>התפארת יעקב</w:t>
      </w:r>
      <w:r w:rsidRPr="0050146A">
        <w:rPr>
          <w:rFonts w:hint="cs"/>
          <w:rtl/>
        </w:rPr>
        <w:t xml:space="preserve"> בדברי </w:t>
      </w:r>
      <w:r w:rsidRPr="0050146A">
        <w:rPr>
          <w:rStyle w:val="af8"/>
          <w:rFonts w:hint="cs"/>
          <w:rtl/>
        </w:rPr>
        <w:t>הרמב"ם</w:t>
      </w:r>
      <w:r w:rsidRPr="0050146A">
        <w:rPr>
          <w:rFonts w:hint="cs"/>
          <w:rtl/>
        </w:rPr>
        <w:t>.</w:t>
      </w:r>
    </w:p>
    <w:p w:rsidR="00495EC8" w:rsidRPr="0050146A" w:rsidRDefault="00495EC8" w:rsidP="00495EC8">
      <w:pPr>
        <w:pStyle w:val="a2"/>
        <w:rPr>
          <w:rtl/>
        </w:rPr>
      </w:pPr>
      <w:bookmarkStart w:id="3959" w:name="_Toc10451085"/>
      <w:bookmarkStart w:id="3960" w:name="_Toc10494333"/>
      <w:bookmarkStart w:id="3961" w:name="_Toc10541266"/>
      <w:bookmarkStart w:id="3962" w:name="_Toc10625635"/>
      <w:bookmarkStart w:id="3963" w:name="_Toc10665881"/>
      <w:bookmarkStart w:id="3964" w:name="_Toc10716573"/>
      <w:bookmarkStart w:id="3965" w:name="_Toc10718868"/>
      <w:bookmarkStart w:id="3966" w:name="_Toc10730118"/>
      <w:bookmarkStart w:id="3967" w:name="_Toc10737512"/>
      <w:r w:rsidRPr="0050146A">
        <w:rPr>
          <w:rFonts w:hint="cs"/>
          <w:rtl/>
        </w:rPr>
        <w:t>ביאור הלח"מ דכוונת הגמ' להקשות דלא ידוע כמה יצא ממנו דא"א לשער בצמצום אלא באומד</w:t>
      </w:r>
      <w:bookmarkEnd w:id="3959"/>
      <w:bookmarkEnd w:id="3960"/>
      <w:bookmarkEnd w:id="3961"/>
      <w:bookmarkEnd w:id="3962"/>
      <w:bookmarkEnd w:id="3963"/>
      <w:bookmarkEnd w:id="3964"/>
      <w:bookmarkEnd w:id="3965"/>
      <w:bookmarkEnd w:id="3966"/>
      <w:bookmarkEnd w:id="3967"/>
    </w:p>
    <w:p w:rsidR="00495EC8" w:rsidRPr="0050146A" w:rsidRDefault="00495EC8" w:rsidP="009F44AF">
      <w:pPr>
        <w:pStyle w:val="a"/>
        <w:rPr>
          <w:rtl/>
        </w:rPr>
      </w:pPr>
      <w:r w:rsidRPr="0050146A">
        <w:rPr>
          <w:rFonts w:hint="cs"/>
          <w:rtl/>
        </w:rPr>
        <w:t xml:space="preserve">ובמה שהקשה </w:t>
      </w:r>
      <w:r w:rsidRPr="0050146A">
        <w:rPr>
          <w:rStyle w:val="af8"/>
          <w:rFonts w:hint="cs"/>
          <w:rtl/>
        </w:rPr>
        <w:t>הב"י</w:t>
      </w:r>
      <w:r w:rsidRPr="0050146A">
        <w:rPr>
          <w:rFonts w:hint="cs"/>
          <w:rtl/>
        </w:rPr>
        <w:t xml:space="preserve"> </w:t>
      </w:r>
      <w:r w:rsidRPr="0050146A">
        <w:rPr>
          <w:rStyle w:val="af6"/>
          <w:rFonts w:eastAsia="Guttman Hodes" w:hint="cs"/>
          <w:rtl/>
        </w:rPr>
        <w:t>(עי' אות</w:t>
      </w:r>
      <w:r w:rsidRPr="0050146A">
        <w:rPr>
          <w:rFonts w:hint="cs"/>
          <w:rtl/>
        </w:rPr>
        <w:t xml:space="preserve">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Ref11581443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50146A">
        <w:rPr>
          <w:rStyle w:val="af6"/>
          <w:rFonts w:eastAsia="Guttman Hodes"/>
          <w:rtl/>
        </w:rPr>
        <w:fldChar w:fldCharType="end"/>
      </w:r>
      <w:r w:rsidRPr="0050146A">
        <w:rPr>
          <w:rFonts w:hint="cs"/>
          <w:rtl/>
        </w:rPr>
        <w:t xml:space="preserve"> מה מקשה הגמ' דמנא ידעינן כמה יצא ממנו, הרי אפש"ל דידעינן כמה היה שיעורו בזמן שנפל, תירץ </w:t>
      </w:r>
      <w:r w:rsidRPr="0050146A">
        <w:rPr>
          <w:rStyle w:val="af8"/>
          <w:rFonts w:hint="cs"/>
          <w:rtl/>
        </w:rPr>
        <w:t>הלח"מ</w:t>
      </w:r>
      <w:r w:rsidRPr="0050146A">
        <w:rPr>
          <w:rFonts w:hint="cs"/>
          <w:rtl/>
        </w:rPr>
        <w:t xml:space="preserve"> דא"א לברר בצמצום כמה היה שיעורו בשעת הנפילה, וכל השיעור הוא רק באומד ואפשר לטעות בזה הרבה ולכן מקשה הגמ' דמנא ידעינן כמה יצא ממנו, והוסיף </w:t>
      </w:r>
      <w:r w:rsidRPr="0050146A">
        <w:rPr>
          <w:rStyle w:val="af8"/>
          <w:rFonts w:hint="cs"/>
          <w:rtl/>
        </w:rPr>
        <w:t>הלח"מ</w:t>
      </w:r>
      <w:r w:rsidRPr="0050146A">
        <w:rPr>
          <w:rFonts w:hint="cs"/>
          <w:rtl/>
        </w:rPr>
        <w:t xml:space="preserve"> דאף אם נאמר דהוא קושיה, א"כ אמאי הקשה </w:t>
      </w:r>
      <w:r w:rsidRPr="0050146A">
        <w:rPr>
          <w:rStyle w:val="af8"/>
          <w:rFonts w:hint="cs"/>
          <w:rtl/>
        </w:rPr>
        <w:t>הב"י</w:t>
      </w:r>
      <w:r w:rsidRPr="0050146A">
        <w:rPr>
          <w:rFonts w:hint="cs"/>
          <w:rtl/>
        </w:rPr>
        <w:t xml:space="preserve"> כן רק על ביאור </w:t>
      </w:r>
      <w:r w:rsidRPr="0050146A">
        <w:rPr>
          <w:rStyle w:val="af8"/>
          <w:rFonts w:hint="cs"/>
          <w:rtl/>
        </w:rPr>
        <w:t>המ"מ ברמב"ם</w:t>
      </w:r>
      <w:r w:rsidRPr="0050146A">
        <w:rPr>
          <w:rFonts w:hint="cs"/>
          <w:rtl/>
        </w:rPr>
        <w:t xml:space="preserve">, הא היה לו להקשות אף על </w:t>
      </w:r>
      <w:r w:rsidRPr="0050146A">
        <w:rPr>
          <w:rStyle w:val="af8"/>
          <w:rFonts w:hint="cs"/>
          <w:rtl/>
        </w:rPr>
        <w:t>רש"י</w:t>
      </w:r>
      <w:r w:rsidRPr="0050146A">
        <w:rPr>
          <w:rFonts w:hint="cs"/>
          <w:rtl/>
        </w:rPr>
        <w:t xml:space="preserve"> </w:t>
      </w:r>
      <w:r w:rsidRPr="0050146A">
        <w:rPr>
          <w:rStyle w:val="af6"/>
          <w:rFonts w:eastAsia="Guttman Hodes" w:hint="cs"/>
          <w:rtl/>
        </w:rPr>
        <w:t>(ד"ה במאי)</w:t>
      </w:r>
      <w:r w:rsidRPr="0050146A">
        <w:rPr>
          <w:rFonts w:hint="cs"/>
          <w:rtl/>
        </w:rPr>
        <w:t xml:space="preserve"> דכתב דידוע כמה היה שיעורו בשעת הנפילה, </w:t>
      </w:r>
      <w:r w:rsidRPr="0050146A">
        <w:rPr>
          <w:rStyle w:val="afa"/>
          <w:rFonts w:hint="cs"/>
          <w:rtl/>
        </w:rPr>
        <w:t xml:space="preserve">[בספק הגמ' לענין קדירה, ולפי גירסת </w:t>
      </w:r>
      <w:r w:rsidRPr="0050146A">
        <w:rPr>
          <w:rStyle w:val="affa"/>
          <w:rFonts w:hint="cs"/>
          <w:rtl/>
        </w:rPr>
        <w:t>רש"י לפנינו</w:t>
      </w:r>
      <w:r w:rsidRPr="0050146A">
        <w:rPr>
          <w:rStyle w:val="afa"/>
          <w:rFonts w:hint="cs"/>
          <w:rtl/>
        </w:rPr>
        <w:t xml:space="preserve">, ודלא כגירסת </w:t>
      </w:r>
      <w:r w:rsidRPr="0050146A">
        <w:rPr>
          <w:rStyle w:val="affa"/>
          <w:rFonts w:hint="cs"/>
          <w:rtl/>
        </w:rPr>
        <w:t xml:space="preserve">הרשב"א </w:t>
      </w:r>
      <w:r w:rsidRPr="0050146A">
        <w:rPr>
          <w:rStyle w:val="aff6"/>
          <w:rFonts w:hint="cs"/>
          <w:rtl/>
        </w:rPr>
        <w:t>(ד"ה ובקדירה)</w:t>
      </w:r>
      <w:r w:rsidRPr="0050146A">
        <w:rPr>
          <w:rStyle w:val="afa"/>
          <w:rFonts w:hint="cs"/>
          <w:rtl/>
        </w:rPr>
        <w:t xml:space="preserve"> </w:t>
      </w:r>
      <w:r w:rsidRPr="0050146A">
        <w:rPr>
          <w:rStyle w:val="affa"/>
          <w:rFonts w:hint="cs"/>
          <w:rtl/>
        </w:rPr>
        <w:t xml:space="preserve">והר"ן על הרי"ף </w:t>
      </w:r>
      <w:r w:rsidRPr="0050146A">
        <w:rPr>
          <w:rStyle w:val="aff6"/>
          <w:rFonts w:hint="cs"/>
          <w:rtl/>
        </w:rPr>
        <w:t>(לד: מדפי הרי"ף ד"ה א"ר חנינא)</w:t>
      </w:r>
      <w:r w:rsidRPr="0050146A">
        <w:rPr>
          <w:rStyle w:val="afa"/>
          <w:rFonts w:hint="cs"/>
          <w:rtl/>
        </w:rPr>
        <w:t xml:space="preserve"> </w:t>
      </w:r>
      <w:r w:rsidRPr="0050146A">
        <w:rPr>
          <w:rStyle w:val="affa"/>
          <w:rFonts w:hint="cs"/>
          <w:rtl/>
        </w:rPr>
        <w:t>ברש"י</w:t>
      </w:r>
      <w:r w:rsidRPr="0050146A">
        <w:rPr>
          <w:rStyle w:val="afa"/>
          <w:rFonts w:hint="cs"/>
          <w:rtl/>
        </w:rPr>
        <w:t xml:space="preserve">], </w:t>
      </w:r>
      <w:r w:rsidRPr="0050146A">
        <w:rPr>
          <w:rFonts w:hint="cs"/>
          <w:rtl/>
        </w:rPr>
        <w:t xml:space="preserve">וכתב </w:t>
      </w:r>
      <w:r w:rsidRPr="0050146A">
        <w:rPr>
          <w:rStyle w:val="af8"/>
          <w:rFonts w:hint="cs"/>
          <w:rtl/>
        </w:rPr>
        <w:t>הלח"מ</w:t>
      </w:r>
      <w:r w:rsidRPr="0050146A">
        <w:rPr>
          <w:rFonts w:hint="cs"/>
          <w:rtl/>
        </w:rPr>
        <w:t xml:space="preserve"> דצ"ל דכוונת </w:t>
      </w:r>
      <w:r w:rsidRPr="0050146A">
        <w:rPr>
          <w:rStyle w:val="af8"/>
          <w:rFonts w:hint="cs"/>
          <w:rtl/>
        </w:rPr>
        <w:t>הב"י</w:t>
      </w:r>
      <w:r w:rsidRPr="0050146A">
        <w:rPr>
          <w:rFonts w:hint="cs"/>
          <w:rtl/>
        </w:rPr>
        <w:t xml:space="preserve"> להקשות כן גם על </w:t>
      </w:r>
      <w:r w:rsidRPr="0050146A">
        <w:rPr>
          <w:rStyle w:val="af8"/>
          <w:rFonts w:hint="cs"/>
          <w:rtl/>
        </w:rPr>
        <w:t>רש"י</w:t>
      </w:r>
      <w:r w:rsidRPr="0050146A">
        <w:rPr>
          <w:rFonts w:hint="cs"/>
          <w:rtl/>
        </w:rPr>
        <w:t>.</w:t>
      </w:r>
    </w:p>
    <w:p w:rsidR="00495EC8" w:rsidRPr="0050146A" w:rsidRDefault="00495EC8" w:rsidP="00495EC8">
      <w:pPr>
        <w:pStyle w:val="a2"/>
        <w:rPr>
          <w:rtl/>
        </w:rPr>
      </w:pPr>
      <w:bookmarkStart w:id="3968" w:name="_Toc10451086"/>
      <w:bookmarkStart w:id="3969" w:name="_Toc10494334"/>
      <w:bookmarkStart w:id="3970" w:name="_Toc10541267"/>
      <w:bookmarkStart w:id="3971" w:name="_Toc10625636"/>
      <w:bookmarkStart w:id="3972" w:name="_Toc10665882"/>
      <w:bookmarkStart w:id="3973" w:name="_Toc10716574"/>
      <w:bookmarkStart w:id="3974" w:name="_Toc10718869"/>
      <w:bookmarkStart w:id="3975" w:name="_Toc10730119"/>
      <w:bookmarkStart w:id="3976" w:name="_Toc10737513"/>
      <w:r w:rsidRPr="0050146A">
        <w:rPr>
          <w:rFonts w:hint="cs"/>
          <w:rtl/>
        </w:rPr>
        <w:t>קושית הלח"מ דהא בקדירה פסק הרמב"ם דמשערים בבלוע באומד אף שא"א לצמצם</w:t>
      </w:r>
      <w:bookmarkEnd w:id="3968"/>
      <w:bookmarkEnd w:id="3969"/>
      <w:bookmarkEnd w:id="3970"/>
      <w:bookmarkEnd w:id="3971"/>
      <w:bookmarkEnd w:id="3972"/>
      <w:bookmarkEnd w:id="3973"/>
      <w:bookmarkEnd w:id="3974"/>
      <w:bookmarkEnd w:id="3975"/>
      <w:bookmarkEnd w:id="3976"/>
    </w:p>
    <w:p w:rsidR="00495EC8" w:rsidRPr="0050146A" w:rsidRDefault="00495EC8" w:rsidP="009F44AF">
      <w:pPr>
        <w:pStyle w:val="a"/>
        <w:rPr>
          <w:rtl/>
        </w:rPr>
      </w:pPr>
      <w:r w:rsidRPr="0050146A">
        <w:rPr>
          <w:rFonts w:hint="cs"/>
          <w:rtl/>
        </w:rPr>
        <w:t xml:space="preserve">אך הקשה </w:t>
      </w:r>
      <w:r w:rsidRPr="0050146A">
        <w:rPr>
          <w:rStyle w:val="af8"/>
          <w:rFonts w:hint="cs"/>
          <w:rtl/>
        </w:rPr>
        <w:t>הלח"מ</w:t>
      </w:r>
      <w:r w:rsidRPr="0050146A">
        <w:rPr>
          <w:rFonts w:hint="cs"/>
          <w:rtl/>
        </w:rPr>
        <w:t xml:space="preserve"> דהא בדין קדירה פסק </w:t>
      </w:r>
      <w:r w:rsidRPr="0050146A">
        <w:rPr>
          <w:rStyle w:val="af8"/>
          <w:rFonts w:hint="cs"/>
          <w:rtl/>
        </w:rPr>
        <w:t>הרמב"ם</w:t>
      </w:r>
      <w:r w:rsidRPr="0050146A">
        <w:rPr>
          <w:rFonts w:hint="cs"/>
          <w:rtl/>
        </w:rPr>
        <w:t xml:space="preserve"> </w:t>
      </w:r>
      <w:r w:rsidRPr="0050146A">
        <w:rPr>
          <w:rStyle w:val="af6"/>
          <w:rFonts w:eastAsia="Guttman Hodes" w:hint="cs"/>
          <w:rtl/>
        </w:rPr>
        <w:t>(מאכ"א פט"ו הכ"ד)</w:t>
      </w:r>
      <w:r w:rsidRPr="0050146A">
        <w:rPr>
          <w:rFonts w:hint="cs"/>
          <w:rtl/>
        </w:rPr>
        <w:t xml:space="preserve"> דמשערים במה שבלעה הקדירה לפי אומד הדעת, ואי א"א לדעת מה בלעה בצמצום, וא"כ אף בכחל שהוא האיסור עצמו, גם אם א"א לשער בצמצום ואפשר לטעות בזה הרבה, מ"מ היה </w:t>
      </w:r>
      <w:r w:rsidRPr="0050146A">
        <w:rPr>
          <w:rStyle w:val="af8"/>
          <w:rFonts w:hint="cs"/>
          <w:rtl/>
        </w:rPr>
        <w:t>להרמב"ם</w:t>
      </w:r>
      <w:r w:rsidRPr="0050146A">
        <w:rPr>
          <w:rFonts w:hint="cs"/>
          <w:rtl/>
        </w:rPr>
        <w:t xml:space="preserve"> לומר דמשערים באומד הדעת כפי שפסק לגבי בליעת הקדירה.</w:t>
      </w:r>
    </w:p>
    <w:p w:rsidR="00495EC8" w:rsidRPr="0050146A" w:rsidRDefault="00495EC8" w:rsidP="00495EC8">
      <w:pPr>
        <w:pStyle w:val="a2"/>
        <w:rPr>
          <w:rtl/>
        </w:rPr>
      </w:pPr>
      <w:bookmarkStart w:id="3977" w:name="_Toc10451087"/>
      <w:bookmarkStart w:id="3978" w:name="_Toc10494335"/>
      <w:bookmarkStart w:id="3979" w:name="_Toc10541268"/>
      <w:bookmarkStart w:id="3980" w:name="_Toc10625637"/>
      <w:bookmarkStart w:id="3981" w:name="_Toc10665883"/>
      <w:bookmarkStart w:id="3982" w:name="_Toc10716575"/>
      <w:bookmarkStart w:id="3983" w:name="_Toc10718870"/>
      <w:bookmarkStart w:id="3984" w:name="_Toc10730120"/>
      <w:bookmarkStart w:id="3985" w:name="_Toc10737514"/>
      <w:r w:rsidRPr="0050146A">
        <w:rPr>
          <w:rFonts w:hint="cs"/>
          <w:rtl/>
        </w:rPr>
        <w:t>ביאור הלח"מ דרק את ההיתר אפשר לשער באומד אבל את האיסור א"א לשער באומד</w:t>
      </w:r>
      <w:bookmarkEnd w:id="3977"/>
      <w:bookmarkEnd w:id="3978"/>
      <w:bookmarkEnd w:id="3979"/>
      <w:bookmarkEnd w:id="3980"/>
      <w:bookmarkEnd w:id="3981"/>
      <w:bookmarkEnd w:id="3982"/>
      <w:bookmarkEnd w:id="3983"/>
      <w:bookmarkEnd w:id="3984"/>
      <w:bookmarkEnd w:id="3985"/>
    </w:p>
    <w:p w:rsidR="000457B4" w:rsidRDefault="00495EC8" w:rsidP="009F44AF">
      <w:pPr>
        <w:pStyle w:val="a"/>
        <w:rPr>
          <w:rtl/>
        </w:rPr>
        <w:sectPr w:rsidR="000457B4" w:rsidSect="000C163D">
          <w:type w:val="continuous"/>
          <w:pgSz w:w="11906" w:h="16838"/>
          <w:pgMar w:top="720" w:right="720" w:bottom="720" w:left="720" w:header="283" w:footer="283" w:gutter="0"/>
          <w:cols w:num="2" w:space="567"/>
          <w:bidi/>
          <w:rtlGutter/>
          <w:docGrid w:linePitch="299"/>
        </w:sectPr>
      </w:pPr>
      <w:r w:rsidRPr="0050146A">
        <w:rPr>
          <w:rFonts w:hint="cs"/>
          <w:rtl/>
        </w:rPr>
        <w:t xml:space="preserve">ותירץ </w:t>
      </w:r>
      <w:r w:rsidRPr="0050146A">
        <w:rPr>
          <w:rStyle w:val="af8"/>
          <w:rFonts w:hint="cs"/>
          <w:rtl/>
        </w:rPr>
        <w:t>הלח"מ</w:t>
      </w:r>
      <w:r w:rsidRPr="0050146A">
        <w:rPr>
          <w:rFonts w:hint="cs"/>
          <w:rtl/>
        </w:rPr>
        <w:t xml:space="preserve"> דיותר קל לשער את בליעת הקדירה, </w:t>
      </w:r>
      <w:r w:rsidRPr="0050146A">
        <w:rPr>
          <w:rStyle w:val="afa"/>
          <w:rFonts w:hint="cs"/>
          <w:rtl/>
        </w:rPr>
        <w:t>[ע"י שמניחים קדירה מלאה מים על האש, ורואים כמה היא בולעת],</w:t>
      </w:r>
      <w:r w:rsidRPr="0050146A">
        <w:rPr>
          <w:rFonts w:hint="cs"/>
          <w:rtl/>
        </w:rPr>
        <w:t xml:space="preserve"> ואף שא"א לשער בצמצום, מ"מ אפשר לשער באומד הדעת, אבל את הכחל שהוא האיסור א"א לשער לפי מה שאנו רואים עכשיו לפנינו, כיון שאפשר לטעות ולשער שהיה גדול יותר ממה שהיה באמת, וע"ע במה שביאר </w:t>
      </w:r>
      <w:r w:rsidRPr="0050146A">
        <w:rPr>
          <w:rStyle w:val="af8"/>
          <w:rFonts w:hint="cs"/>
          <w:rtl/>
        </w:rPr>
        <w:t>ה</w:t>
      </w:r>
      <w:r w:rsidR="00250230">
        <w:rPr>
          <w:rStyle w:val="af8"/>
          <w:rFonts w:hint="cs"/>
          <w:rtl/>
        </w:rPr>
        <w:t>פלתי</w:t>
      </w:r>
      <w:r w:rsidRPr="0050146A">
        <w:rPr>
          <w:rFonts w:hint="cs"/>
          <w:rtl/>
        </w:rPr>
        <w:t xml:space="preserve"> </w:t>
      </w:r>
      <w:r w:rsidRPr="0050146A">
        <w:rPr>
          <w:rStyle w:val="af6"/>
          <w:rFonts w:eastAsia="Guttman Hodes" w:hint="cs"/>
          <w:rtl/>
        </w:rPr>
        <w:t>(סי' צ' סק"ה)</w:t>
      </w:r>
      <w:r w:rsidRPr="0050146A">
        <w:rPr>
          <w:rFonts w:hint="cs"/>
          <w:rtl/>
        </w:rPr>
        <w:t xml:space="preserve"> בדברי </w:t>
      </w:r>
      <w:r w:rsidRPr="0050146A">
        <w:rPr>
          <w:rStyle w:val="af8"/>
          <w:rFonts w:hint="cs"/>
          <w:rtl/>
        </w:rPr>
        <w:t>הרמב"ם</w:t>
      </w:r>
      <w:r w:rsidRPr="0050146A">
        <w:rPr>
          <w:rFonts w:hint="cs"/>
          <w:rtl/>
        </w:rPr>
        <w:t>.</w:t>
      </w:r>
      <w:bookmarkStart w:id="3986" w:name="_Toc14377081"/>
      <w:bookmarkStart w:id="3987" w:name="_Toc15849565"/>
      <w:bookmarkStart w:id="3988" w:name="_Toc20429199"/>
      <w:bookmarkStart w:id="3989" w:name="_Toc20468146"/>
      <w:bookmarkEnd w:id="3872"/>
      <w:bookmarkEnd w:id="3873"/>
      <w:bookmarkEnd w:id="3874"/>
      <w:bookmarkEnd w:id="3875"/>
      <w:bookmarkEnd w:id="3876"/>
      <w:r w:rsidR="000457B4" w:rsidRPr="000457B4">
        <w:rPr>
          <w:rtl/>
        </w:rPr>
        <w:t xml:space="preserve"> </w:t>
      </w:r>
    </w:p>
    <w:p w:rsidR="000457B4" w:rsidRDefault="000457B4" w:rsidP="009F44AF">
      <w:pPr>
        <w:pStyle w:val="a"/>
        <w:rPr>
          <w:rtl/>
        </w:rPr>
        <w:sectPr w:rsidR="000457B4" w:rsidSect="000C163D">
          <w:type w:val="continuous"/>
          <w:pgSz w:w="11906" w:h="16838"/>
          <w:pgMar w:top="720" w:right="720" w:bottom="720" w:left="720" w:header="283" w:footer="283" w:gutter="0"/>
          <w:cols w:num="2" w:space="567"/>
          <w:bidi/>
          <w:rtlGutter/>
          <w:docGrid w:linePitch="299"/>
        </w:sectPr>
      </w:pPr>
    </w:p>
    <w:p w:rsidR="000457B4" w:rsidRDefault="000457B4" w:rsidP="005B1A17">
      <w:pPr>
        <w:pStyle w:val="afc"/>
        <w:rPr>
          <w:rtl/>
        </w:rPr>
        <w:sectPr w:rsidR="000457B4" w:rsidSect="007F638F">
          <w:footerReference w:type="default" r:id="rId41"/>
          <w:type w:val="continuous"/>
          <w:pgSz w:w="11906" w:h="16838"/>
          <w:pgMar w:top="720" w:right="720" w:bottom="720" w:left="720" w:header="283" w:footer="283" w:gutter="0"/>
          <w:cols w:space="113"/>
          <w:bidi/>
          <w:rtlGutter/>
          <w:docGrid w:linePitch="299"/>
        </w:sectPr>
      </w:pPr>
    </w:p>
    <w:p w:rsidR="000457B4" w:rsidRDefault="000457B4" w:rsidP="005B1A17">
      <w:pPr>
        <w:pStyle w:val="afc"/>
        <w:rPr>
          <w:rtl/>
        </w:rPr>
        <w:sectPr w:rsidR="000457B4" w:rsidSect="005C335A">
          <w:headerReference w:type="default" r:id="rId42"/>
          <w:pgSz w:w="11906" w:h="16838"/>
          <w:pgMar w:top="720" w:right="720" w:bottom="720" w:left="720" w:header="283" w:footer="283" w:gutter="0"/>
          <w:cols w:space="113"/>
          <w:bidi/>
          <w:rtlGutter/>
          <w:docGrid w:linePitch="299"/>
        </w:sectPr>
      </w:pPr>
    </w:p>
    <w:p w:rsidR="000457B4" w:rsidRPr="0061156C" w:rsidRDefault="000457B4" w:rsidP="000457B4">
      <w:pPr>
        <w:ind w:left="0"/>
        <w:jc w:val="center"/>
        <w:rPr>
          <w:rFonts w:cs="Guttman Hodes"/>
          <w:sz w:val="32"/>
          <w:szCs w:val="32"/>
        </w:rPr>
      </w:pPr>
    </w:p>
    <w:p w:rsidR="000457B4" w:rsidRPr="0061156C" w:rsidRDefault="000457B4" w:rsidP="000457B4">
      <w:pPr>
        <w:ind w:left="0"/>
        <w:jc w:val="center"/>
        <w:rPr>
          <w:rFonts w:cs="Guttman Hodes"/>
          <w:sz w:val="32"/>
          <w:szCs w:val="32"/>
          <w:rtl/>
        </w:rPr>
      </w:pPr>
    </w:p>
    <w:p w:rsidR="000457B4" w:rsidRPr="0061156C" w:rsidRDefault="000457B4" w:rsidP="000457B4">
      <w:pPr>
        <w:ind w:left="0"/>
        <w:jc w:val="center"/>
        <w:rPr>
          <w:rFonts w:cs="Guttman Hodes"/>
          <w:sz w:val="32"/>
          <w:szCs w:val="32"/>
          <w:rtl/>
        </w:rPr>
      </w:pPr>
      <w:r>
        <w:rPr>
          <w:noProof/>
        </w:rPr>
        <mc:AlternateContent>
          <mc:Choice Requires="wps">
            <w:drawing>
              <wp:anchor distT="0" distB="0" distL="114300" distR="114300" simplePos="0" relativeHeight="251675648" behindDoc="1" locked="0" layoutInCell="1" allowOverlap="1" wp14:anchorId="49D841F1" wp14:editId="08668CE7">
                <wp:simplePos x="0" y="0"/>
                <wp:positionH relativeFrom="column">
                  <wp:posOffset>80421</wp:posOffset>
                </wp:positionH>
                <wp:positionV relativeFrom="paragraph">
                  <wp:posOffset>60586</wp:posOffset>
                </wp:positionV>
                <wp:extent cx="6686550" cy="2950234"/>
                <wp:effectExtent l="19050" t="19050" r="19050" b="21590"/>
                <wp:wrapNone/>
                <wp:docPr id="13" name="מלבן מעוגל 13"/>
                <wp:cNvGraphicFramePr/>
                <a:graphic xmlns:a="http://schemas.openxmlformats.org/drawingml/2006/main">
                  <a:graphicData uri="http://schemas.microsoft.com/office/word/2010/wordprocessingShape">
                    <wps:wsp>
                      <wps:cNvSpPr/>
                      <wps:spPr>
                        <a:xfrm>
                          <a:off x="0" y="0"/>
                          <a:ext cx="6686550" cy="2950234"/>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651E3B" w:rsidRDefault="00651E3B" w:rsidP="000457B4">
                            <w:pPr>
                              <w:ind w:left="0"/>
                              <w:jc w:val="center"/>
                              <w:rPr>
                                <w:rFonts w:cs="Guttman Hodes"/>
                                <w:sz w:val="32"/>
                                <w:szCs w:val="32"/>
                              </w:rPr>
                            </w:pPr>
                          </w:p>
                          <w:p w:rsidR="00651E3B" w:rsidRDefault="00651E3B" w:rsidP="000457B4">
                            <w:pPr>
                              <w:ind w:left="0"/>
                              <w:jc w:val="center"/>
                              <w:rPr>
                                <w:rFonts w:cs="Guttman Hodes"/>
                                <w:sz w:val="32"/>
                                <w:szCs w:val="32"/>
                                <w:rtl/>
                              </w:rPr>
                            </w:pPr>
                          </w:p>
                          <w:p w:rsidR="00651E3B" w:rsidRDefault="00651E3B" w:rsidP="000457B4">
                            <w:pPr>
                              <w:ind w:left="0"/>
                              <w:jc w:val="center"/>
                              <w:rPr>
                                <w:rFonts w:cs="Guttman Hodes"/>
                                <w:sz w:val="32"/>
                                <w:szCs w:val="32"/>
                                <w:rtl/>
                              </w:rPr>
                            </w:pPr>
                          </w:p>
                          <w:p w:rsidR="00651E3B" w:rsidRDefault="00651E3B" w:rsidP="000457B4">
                            <w:pPr>
                              <w:pStyle w:val="a8"/>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rsidR="00651E3B" w:rsidRDefault="00651E3B" w:rsidP="000457B4">
                            <w:pPr>
                              <w:ind w:left="0"/>
                              <w:jc w:val="center"/>
                              <w:rPr>
                                <w:rFonts w:cs="Guttman Hodes"/>
                                <w:b/>
                                <w:bCs/>
                                <w:sz w:val="44"/>
                                <w:szCs w:val="44"/>
                                <w:rtl/>
                              </w:rPr>
                            </w:pPr>
                          </w:p>
                          <w:p w:rsidR="00651E3B" w:rsidRDefault="00651E3B" w:rsidP="000457B4">
                            <w:pPr>
                              <w:ind w:left="0"/>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9D841F1" id="מלבן מעוגל 13" o:spid="_x0000_s1032" style="position:absolute;left:0;text-align:left;margin-left:6.35pt;margin-top:4.75pt;width:526.5pt;height:232.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" filled="f" strokecolor="black [3213]" strokeweight="2.5pt">
                <v:stroke linestyle="thickBetweenThin" endcap="round"/>
                <v:textbox>
                  <w:txbxContent>
                    <w:p w:rsidR="00651E3B" w:rsidRDefault="00651E3B" w:rsidP="000457B4">
                      <w:pPr>
                        <w:ind w:left="0"/>
                        <w:jc w:val="center"/>
                        <w:rPr>
                          <w:rFonts w:cs="Guttman Hodes"/>
                          <w:sz w:val="32"/>
                          <w:szCs w:val="32"/>
                        </w:rPr>
                      </w:pPr>
                    </w:p>
                    <w:p w:rsidR="00651E3B" w:rsidRDefault="00651E3B" w:rsidP="000457B4">
                      <w:pPr>
                        <w:ind w:left="0"/>
                        <w:jc w:val="center"/>
                        <w:rPr>
                          <w:rFonts w:cs="Guttman Hodes"/>
                          <w:sz w:val="32"/>
                          <w:szCs w:val="32"/>
                          <w:rtl/>
                        </w:rPr>
                      </w:pPr>
                    </w:p>
                    <w:p w:rsidR="00651E3B" w:rsidRDefault="00651E3B" w:rsidP="000457B4">
                      <w:pPr>
                        <w:ind w:left="0"/>
                        <w:jc w:val="center"/>
                        <w:rPr>
                          <w:rFonts w:cs="Guttman Hodes"/>
                          <w:sz w:val="32"/>
                          <w:szCs w:val="32"/>
                          <w:rtl/>
                        </w:rPr>
                      </w:pPr>
                    </w:p>
                    <w:p w:rsidR="00651E3B" w:rsidRDefault="00651E3B" w:rsidP="000457B4">
                      <w:pPr>
                        <w:pStyle w:val="a8"/>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rsidR="00651E3B" w:rsidRDefault="00651E3B" w:rsidP="000457B4">
                      <w:pPr>
                        <w:ind w:left="0"/>
                        <w:jc w:val="center"/>
                        <w:rPr>
                          <w:rFonts w:cs="Guttman Hodes"/>
                          <w:b/>
                          <w:bCs/>
                          <w:sz w:val="44"/>
                          <w:szCs w:val="44"/>
                          <w:rtl/>
                        </w:rPr>
                      </w:pPr>
                    </w:p>
                    <w:p w:rsidR="00651E3B" w:rsidRDefault="00651E3B" w:rsidP="000457B4">
                      <w:pPr>
                        <w:ind w:left="0"/>
                      </w:pPr>
                    </w:p>
                  </w:txbxContent>
                </v:textbox>
              </v:roundrect>
            </w:pict>
          </mc:Fallback>
        </mc:AlternateContent>
      </w:r>
    </w:p>
    <w:p w:rsidR="000457B4" w:rsidRDefault="000457B4" w:rsidP="000457B4">
      <w:pPr>
        <w:tabs>
          <w:tab w:val="center" w:pos="4153"/>
          <w:tab w:val="right" w:pos="8306"/>
        </w:tabs>
        <w:spacing w:line="240" w:lineRule="auto"/>
        <w:ind w:left="0"/>
        <w:jc w:val="center"/>
        <w:rPr>
          <w:rFonts w:cs="Guttman Hodes"/>
          <w:b/>
          <w:bCs/>
          <w:sz w:val="96"/>
          <w:szCs w:val="96"/>
          <w:rtl/>
        </w:rPr>
      </w:pPr>
      <w:r>
        <w:rPr>
          <w:rFonts w:cs="Guttman Hodes" w:hint="cs"/>
          <w:b/>
          <w:bCs/>
          <w:sz w:val="96"/>
          <w:szCs w:val="96"/>
          <w:rtl/>
        </w:rPr>
        <w:t>סוגית</w:t>
      </w:r>
    </w:p>
    <w:p w:rsidR="000457B4" w:rsidRDefault="000457B4" w:rsidP="004F247F">
      <w:pPr>
        <w:tabs>
          <w:tab w:val="center" w:pos="4153"/>
          <w:tab w:val="right" w:pos="8306"/>
        </w:tabs>
        <w:spacing w:line="240" w:lineRule="auto"/>
        <w:ind w:left="0"/>
        <w:jc w:val="center"/>
        <w:rPr>
          <w:rFonts w:cs="Guttman Hodes"/>
          <w:b/>
          <w:bCs/>
          <w:sz w:val="96"/>
          <w:szCs w:val="96"/>
          <w:rtl/>
        </w:rPr>
      </w:pPr>
      <w:r>
        <w:rPr>
          <w:rFonts w:cs="Guttman Hodes" w:hint="cs"/>
          <w:b/>
          <w:bCs/>
          <w:sz w:val="96"/>
          <w:szCs w:val="96"/>
          <w:rtl/>
        </w:rPr>
        <w:t xml:space="preserve">טעם </w:t>
      </w:r>
      <w:r w:rsidR="004F247F">
        <w:rPr>
          <w:rFonts w:cs="Guttman Hodes" w:hint="cs"/>
          <w:b/>
          <w:bCs/>
          <w:sz w:val="96"/>
          <w:szCs w:val="96"/>
          <w:rtl/>
        </w:rPr>
        <w:t>כעיקר</w:t>
      </w:r>
    </w:p>
    <w:p w:rsidR="000457B4" w:rsidRPr="0061156C" w:rsidRDefault="000457B4" w:rsidP="000457B4">
      <w:pPr>
        <w:tabs>
          <w:tab w:val="center" w:pos="4153"/>
          <w:tab w:val="right" w:pos="8306"/>
        </w:tabs>
        <w:spacing w:line="240" w:lineRule="auto"/>
        <w:ind w:left="0"/>
        <w:jc w:val="center"/>
        <w:rPr>
          <w:rFonts w:cs="Guttman Hodes"/>
          <w:b/>
          <w:bCs/>
          <w:sz w:val="44"/>
          <w:szCs w:val="44"/>
        </w:rPr>
      </w:pPr>
      <w:r>
        <w:rPr>
          <w:rFonts w:cs="Guttman Hodes" w:hint="cs"/>
          <w:b/>
          <w:bCs/>
          <w:sz w:val="96"/>
          <w:szCs w:val="96"/>
          <w:rtl/>
        </w:rPr>
        <w:t>במסכת</w:t>
      </w:r>
      <w:r w:rsidR="004F247F">
        <w:rPr>
          <w:rFonts w:cs="Guttman Hodes" w:hint="cs"/>
          <w:b/>
          <w:bCs/>
          <w:sz w:val="96"/>
          <w:szCs w:val="96"/>
          <w:rtl/>
        </w:rPr>
        <w:t>ות חולין</w:t>
      </w:r>
      <w:r>
        <w:rPr>
          <w:rFonts w:cs="Guttman Hodes" w:hint="cs"/>
          <w:b/>
          <w:bCs/>
          <w:sz w:val="96"/>
          <w:szCs w:val="96"/>
          <w:rtl/>
        </w:rPr>
        <w:t xml:space="preserve"> </w:t>
      </w:r>
      <w:r w:rsidR="004F247F">
        <w:rPr>
          <w:rFonts w:cs="Guttman Hodes" w:hint="cs"/>
          <w:b/>
          <w:bCs/>
          <w:sz w:val="96"/>
          <w:szCs w:val="96"/>
          <w:rtl/>
        </w:rPr>
        <w:t>ו</w:t>
      </w:r>
      <w:r>
        <w:rPr>
          <w:rFonts w:cs="Guttman Hodes" w:hint="cs"/>
          <w:b/>
          <w:bCs/>
          <w:sz w:val="96"/>
          <w:szCs w:val="96"/>
          <w:rtl/>
        </w:rPr>
        <w:t>ע"ז</w:t>
      </w:r>
      <w:r w:rsidRPr="0061156C">
        <w:rPr>
          <w:rFonts w:cs="Guttman Hodes" w:hint="cs"/>
          <w:b/>
          <w:bCs/>
          <w:sz w:val="96"/>
          <w:szCs w:val="96"/>
          <w:rtl/>
        </w:rPr>
        <w:t xml:space="preserve"> </w:t>
      </w:r>
    </w:p>
    <w:p w:rsidR="000457B4" w:rsidRPr="0061156C" w:rsidRDefault="000457B4" w:rsidP="000457B4">
      <w:pPr>
        <w:ind w:left="0"/>
        <w:jc w:val="center"/>
        <w:rPr>
          <w:rFonts w:cs="Guttman Hodes"/>
          <w:b/>
          <w:bCs/>
          <w:sz w:val="44"/>
          <w:szCs w:val="44"/>
          <w:rtl/>
        </w:rPr>
      </w:pPr>
    </w:p>
    <w:p w:rsidR="000457B4" w:rsidRDefault="000457B4" w:rsidP="005B1A17">
      <w:pPr>
        <w:pStyle w:val="afc"/>
        <w:rPr>
          <w:rtl/>
        </w:rPr>
        <w:sectPr w:rsidR="000457B4" w:rsidSect="005C335A">
          <w:headerReference w:type="default" r:id="rId43"/>
          <w:pgSz w:w="11906" w:h="16838"/>
          <w:pgMar w:top="720" w:right="720" w:bottom="720" w:left="720" w:header="283" w:footer="283" w:gutter="0"/>
          <w:cols w:space="113"/>
          <w:bidi/>
          <w:rtlGutter/>
          <w:docGrid w:linePitch="299"/>
        </w:sectPr>
      </w:pPr>
    </w:p>
    <w:p w:rsidR="000457B4" w:rsidRDefault="000457B4" w:rsidP="005B1A17">
      <w:pPr>
        <w:pStyle w:val="afc"/>
        <w:rPr>
          <w:rtl/>
        </w:rPr>
        <w:sectPr w:rsidR="000457B4" w:rsidSect="007F638F">
          <w:headerReference w:type="default" r:id="rId44"/>
          <w:pgSz w:w="11906" w:h="16838"/>
          <w:pgMar w:top="720" w:right="720" w:bottom="720" w:left="720" w:header="283" w:footer="283" w:gutter="0"/>
          <w:cols w:space="113"/>
          <w:bidi/>
          <w:rtlGutter/>
          <w:docGrid w:linePitch="299"/>
        </w:sectPr>
      </w:pPr>
    </w:p>
    <w:p w:rsidR="0088374B" w:rsidRPr="0050146A" w:rsidRDefault="0088374B" w:rsidP="005B1A17">
      <w:pPr>
        <w:pStyle w:val="afc"/>
      </w:pPr>
      <w:r w:rsidRPr="0050146A">
        <w:rPr>
          <w:rFonts w:hint="cs"/>
          <w:rtl/>
        </w:rPr>
        <w:lastRenderedPageBreak/>
        <w:t>סימן ו'</w:t>
      </w:r>
      <w:bookmarkEnd w:id="3986"/>
      <w:bookmarkEnd w:id="3987"/>
      <w:bookmarkEnd w:id="3988"/>
      <w:bookmarkEnd w:id="3989"/>
    </w:p>
    <w:p w:rsidR="0088374B" w:rsidRPr="0050146A" w:rsidRDefault="0088374B" w:rsidP="005B1A17">
      <w:pPr>
        <w:pStyle w:val="afc"/>
        <w:rPr>
          <w:rtl/>
        </w:rPr>
      </w:pPr>
      <w:bookmarkStart w:id="3990" w:name="_Toc14377082"/>
      <w:bookmarkStart w:id="3991" w:name="_Toc14425913"/>
      <w:bookmarkStart w:id="3992" w:name="_Toc15849566"/>
      <w:bookmarkStart w:id="3993" w:name="_Toc20429200"/>
      <w:bookmarkStart w:id="3994" w:name="_Toc20468147"/>
      <w:r w:rsidRPr="0050146A">
        <w:rPr>
          <w:rFonts w:hint="cs"/>
          <w:rtl/>
        </w:rPr>
        <w:t>סוגית טעם כעיקר (א')</w:t>
      </w:r>
      <w:bookmarkEnd w:id="3990"/>
      <w:bookmarkEnd w:id="3991"/>
      <w:bookmarkEnd w:id="3992"/>
      <w:bookmarkEnd w:id="3993"/>
      <w:bookmarkEnd w:id="3994"/>
    </w:p>
    <w:p w:rsidR="0088374B" w:rsidRPr="0050146A" w:rsidRDefault="0088374B" w:rsidP="005B1A17">
      <w:pPr>
        <w:pStyle w:val="afc"/>
        <w:rPr>
          <w:rtl/>
        </w:rPr>
      </w:pPr>
      <w:bookmarkStart w:id="3995" w:name="_Toc14425914"/>
      <w:bookmarkStart w:id="3996" w:name="_Toc20429201"/>
      <w:bookmarkStart w:id="3997" w:name="_Toc20468148"/>
      <w:r w:rsidRPr="0050146A">
        <w:rPr>
          <w:rFonts w:hint="cs"/>
          <w:rtl/>
        </w:rPr>
        <w:t>בילפותא לביטול בשישים מזרוע בשלה</w:t>
      </w:r>
      <w:r w:rsidRPr="0050146A">
        <w:rPr>
          <w:rtl/>
        </w:rPr>
        <w:t xml:space="preserve"> ובדין טעם הנרגש ביותר משישים</w:t>
      </w:r>
      <w:bookmarkEnd w:id="3995"/>
      <w:bookmarkEnd w:id="3996"/>
      <w:bookmarkEnd w:id="3997"/>
      <w:r w:rsidRPr="0050146A">
        <w:rPr>
          <w:rFonts w:hint="cs"/>
          <w:rtl/>
        </w:rPr>
        <w:t xml:space="preserve"> </w:t>
      </w:r>
    </w:p>
    <w:p w:rsidR="0088374B" w:rsidRPr="0050146A" w:rsidRDefault="002916D7" w:rsidP="0088374B">
      <w:pPr>
        <w:pStyle w:val="2"/>
        <w:keepNext w:val="0"/>
        <w:keepLines w:val="0"/>
        <w:rPr>
          <w:rtl/>
        </w:rPr>
      </w:pPr>
      <w:r>
        <w:rPr>
          <w:rtl/>
        </w:rPr>
        <w:t>מפתח הסוגיא</w:t>
      </w:r>
    </w:p>
    <w:p w:rsidR="0088374B" w:rsidRPr="0050146A" w:rsidRDefault="0088374B" w:rsidP="0088374B">
      <w:pPr>
        <w:pStyle w:val="aff4"/>
        <w:rPr>
          <w:rtl/>
        </w:rPr>
        <w:sectPr w:rsidR="0088374B" w:rsidRPr="0050146A" w:rsidSect="0088374B">
          <w:headerReference w:type="default" r:id="rId45"/>
          <w:headerReference w:type="first" r:id="rId46"/>
          <w:footerReference w:type="first" r:id="rId47"/>
          <w:pgSz w:w="11906" w:h="16838"/>
          <w:pgMar w:top="720" w:right="720" w:bottom="720" w:left="720" w:header="283" w:footer="283" w:gutter="0"/>
          <w:cols w:space="113"/>
          <w:bidi/>
          <w:rtlGutter/>
          <w:docGrid w:linePitch="299"/>
        </w:sectPr>
      </w:pPr>
    </w:p>
    <w:p w:rsidR="0088374B" w:rsidRPr="0050146A" w:rsidRDefault="0088374B" w:rsidP="0088374B">
      <w:pPr>
        <w:pStyle w:val="2"/>
        <w:rPr>
          <w:rFonts w:eastAsiaTheme="minorEastAsia" w:cstheme="minorBidi"/>
          <w:i/>
          <w:iCs/>
          <w:noProof/>
          <w:sz w:val="22"/>
          <w:szCs w:val="22"/>
          <w:rtl/>
        </w:rPr>
      </w:pPr>
      <w:r w:rsidRPr="0050146A">
        <w:rPr>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rtl/>
        </w:rPr>
        <w:fldChar w:fldCharType="separate"/>
      </w:r>
      <w:r w:rsidRPr="0050146A">
        <w:rPr>
          <w:noProof/>
          <w:rtl/>
        </w:rPr>
        <w:t>מראי מקומות וביאורים</w:t>
      </w:r>
    </w:p>
    <w:p w:rsidR="0088374B" w:rsidRPr="0050146A" w:rsidRDefault="0088374B" w:rsidP="0088374B">
      <w:pPr>
        <w:pStyle w:val="2"/>
        <w:rPr>
          <w:rFonts w:eastAsiaTheme="minorEastAsia" w:cstheme="minorBidi"/>
          <w:i/>
          <w:iCs/>
          <w:noProof/>
          <w:sz w:val="22"/>
          <w:szCs w:val="22"/>
          <w:rtl/>
        </w:rPr>
      </w:pPr>
      <w:r w:rsidRPr="0050146A">
        <w:rPr>
          <w:noProof/>
          <w:rtl/>
        </w:rPr>
        <w:t>ביאור רש"י בדעת אביי ורבא בזרוע בשלה</w:t>
      </w:r>
    </w:p>
    <w:p w:rsidR="0088374B" w:rsidRPr="0050146A" w:rsidRDefault="0088374B" w:rsidP="0088374B">
      <w:pPr>
        <w:pStyle w:val="aff4"/>
        <w:rPr>
          <w:rFonts w:eastAsiaTheme="minorEastAsia" w:cstheme="minorBidi"/>
          <w:i/>
          <w:iCs/>
          <w:noProof/>
          <w:sz w:val="22"/>
          <w:szCs w:val="22"/>
          <w:rtl/>
        </w:rPr>
      </w:pPr>
      <w:r w:rsidRPr="0050146A">
        <w:rPr>
          <w:noProof/>
          <w:rtl/>
        </w:rPr>
        <w:t>דברי רש"י דלא ילפינן מזרוע בשלה להתיר טעם בשישים</w:t>
      </w:r>
    </w:p>
    <w:p w:rsidR="0088374B" w:rsidRPr="00544A69" w:rsidRDefault="0088374B" w:rsidP="004D1C5B">
      <w:pPr>
        <w:pStyle w:val="TOC9"/>
        <w:numPr>
          <w:ilvl w:val="0"/>
          <w:numId w:val="11"/>
        </w:numPr>
        <w:rPr>
          <w:rtl/>
        </w:rPr>
      </w:pPr>
      <w:r w:rsidRPr="002A7544">
        <w:rPr>
          <w:rtl/>
        </w:rPr>
        <w:t>דברי רש"י דאפשר למילף דמהני ביטול בשישים אף כשיש טעם מ"מ החמירו דטעמא לא בטיל</w:t>
      </w:r>
    </w:p>
    <w:p w:rsidR="0088374B" w:rsidRPr="0050146A" w:rsidRDefault="0088374B" w:rsidP="0088374B">
      <w:pPr>
        <w:pStyle w:val="aff4"/>
        <w:rPr>
          <w:rFonts w:eastAsiaTheme="minorEastAsia" w:cstheme="minorBidi"/>
          <w:i/>
          <w:iCs/>
          <w:noProof/>
          <w:sz w:val="22"/>
          <w:szCs w:val="22"/>
          <w:rtl/>
        </w:rPr>
      </w:pPr>
      <w:r w:rsidRPr="0050146A">
        <w:rPr>
          <w:noProof/>
          <w:rtl/>
        </w:rPr>
        <w:t xml:space="preserve">דברי </w:t>
      </w:r>
      <w:r w:rsidRPr="0050146A">
        <w:rPr>
          <w:rFonts w:hint="cs"/>
          <w:noProof/>
          <w:rtl/>
        </w:rPr>
        <w:t>רש"י דל</w:t>
      </w:r>
      <w:r w:rsidRPr="0050146A">
        <w:rPr>
          <w:noProof/>
          <w:rtl/>
        </w:rPr>
        <w:t>אביי ילפינן מזרוע בשלה דל"מ רוב וצריך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דזרוע בשלה הוא היתר אף שהיא מין במינו אך ילפינן ממנה רק למין בשאינו מינו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דהא דמהני שישים בזרוע בשלה אינה קולא מיוחדת דסגי בה בביטול 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דהילפותא מזרוע בשלה שצריך שישים הוא חומרא דלא סגי בביטול ברוב</w:t>
      </w:r>
    </w:p>
    <w:p w:rsidR="0088374B" w:rsidRPr="0050146A" w:rsidRDefault="0088374B" w:rsidP="0088374B">
      <w:pPr>
        <w:pStyle w:val="aff4"/>
        <w:rPr>
          <w:rFonts w:eastAsiaTheme="minorEastAsia" w:cstheme="minorBidi"/>
          <w:i/>
          <w:iCs/>
          <w:noProof/>
          <w:sz w:val="22"/>
          <w:szCs w:val="22"/>
          <w:rtl/>
        </w:rPr>
      </w:pPr>
      <w:r w:rsidRPr="0050146A">
        <w:rPr>
          <w:noProof/>
          <w:rtl/>
        </w:rPr>
        <w:t>דברי רש"י דלרבא טעם כעיקר דרבנן וזרוע בשלה חומרא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דלרבא טע"כ דרבנן ומדאו' מהני ביטול ברוב וזרוע בשלה הוא חומרא שצריך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דלרבא הילפותא ממשרת לטעם כעיקר היא אסמכתא וכן לא ילפינן מגיעולי עכו"ם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הרמב"ן והרשב"א דבדברי רבא לקמן מבואר כרש"י דס"ל לרבא דטעם כעיקר דרבנן</w:t>
      </w:r>
    </w:p>
    <w:p w:rsidR="0088374B" w:rsidRPr="0050146A" w:rsidRDefault="0088374B" w:rsidP="0088374B">
      <w:pPr>
        <w:pStyle w:val="aff4"/>
        <w:rPr>
          <w:rFonts w:eastAsiaTheme="minorEastAsia" w:cstheme="minorBidi"/>
          <w:i/>
          <w:iCs/>
          <w:noProof/>
          <w:sz w:val="22"/>
          <w:szCs w:val="22"/>
          <w:rtl/>
        </w:rPr>
      </w:pPr>
      <w:r w:rsidRPr="0050146A">
        <w:rPr>
          <w:noProof/>
          <w:rtl/>
        </w:rPr>
        <w:t>ביאור רש"י בפלוגתת אביי ורבא אי ילפינן טע"כ מבשר בחלב</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רש"י לקמן דלאביי ילפינן טעם כעיקר בכל האיסורים מבשר בחלב דאסור רק בנתינת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רש"י בהו"א דאביי דבשר בחלב הוא חידוש ולא ילפינן מיניה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רש"י דלמסקנת אביי ילפינן מזרוע בשלה דאף בבשר בחלב האיסור הוא רק בנתינת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רש"י ברבא דלא ילפינן מזרוע בשלה לבשר בחלב דהוא חידוש ואיסורו בטעם בדרך בישול</w:t>
      </w:r>
    </w:p>
    <w:p w:rsidR="0088374B" w:rsidRPr="0050146A" w:rsidRDefault="0088374B" w:rsidP="0088374B">
      <w:pPr>
        <w:pStyle w:val="aff4"/>
        <w:rPr>
          <w:rFonts w:eastAsiaTheme="minorEastAsia" w:cstheme="minorBidi"/>
          <w:i/>
          <w:iCs/>
          <w:noProof/>
          <w:sz w:val="22"/>
          <w:szCs w:val="22"/>
          <w:rtl/>
        </w:rPr>
      </w:pPr>
      <w:r w:rsidRPr="0050146A">
        <w:rPr>
          <w:noProof/>
          <w:rtl/>
        </w:rPr>
        <w:t>דברי הבעה"מ דלולי משרת וזרוע בשלה היה מהני ביטול ברוב</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הבעה"מ דאף דאמרינן דשיעור שישים הוא לחומרא מ"מ טעם כעיקר ושישים הם מדאו'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הבעה"מ דלולי הילפותא ממשרת ומזרוע בשלה אמרינן דאף בטעם חד בתרי בטיל</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הבעה"מ דדין ביטול בשישים הוא אותו הדין דמין בשאינו מינו בטעמא</w:t>
      </w:r>
    </w:p>
    <w:p w:rsidR="0088374B" w:rsidRPr="0050146A" w:rsidRDefault="0088374B" w:rsidP="0088374B">
      <w:pPr>
        <w:pStyle w:val="2"/>
        <w:rPr>
          <w:rFonts w:eastAsiaTheme="minorEastAsia" w:cstheme="minorBidi"/>
          <w:i/>
          <w:iCs/>
          <w:noProof/>
          <w:sz w:val="22"/>
          <w:szCs w:val="22"/>
          <w:rtl/>
        </w:rPr>
      </w:pPr>
      <w:r w:rsidRPr="0050146A">
        <w:rPr>
          <w:noProof/>
          <w:rtl/>
        </w:rPr>
        <w:t>ביאור התוס' בילפותא דזרוע בשלה</w:t>
      </w:r>
    </w:p>
    <w:p w:rsidR="0088374B" w:rsidRPr="0050146A" w:rsidRDefault="0088374B" w:rsidP="0088374B">
      <w:pPr>
        <w:pStyle w:val="aff4"/>
        <w:rPr>
          <w:rFonts w:eastAsiaTheme="minorEastAsia" w:cstheme="minorBidi"/>
          <w:i/>
          <w:iCs/>
          <w:noProof/>
          <w:sz w:val="22"/>
          <w:szCs w:val="22"/>
          <w:rtl/>
        </w:rPr>
      </w:pPr>
      <w:r w:rsidRPr="0050146A">
        <w:rPr>
          <w:noProof/>
          <w:rtl/>
        </w:rPr>
        <w:t>דברי התוס' דזרוע בשלה הוא אסמכתא לשיעור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התוס' דא"א ללמוד מזרוע בשלה למין בשאינו מינו דהא זרוע בשלה הוא מין במינו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התוס' דשישים הוא קבלה ביד חכמים ואסמכוה על זרוע בשלה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בתוס' דאף דטע"כ דאו' מ"מ במין במינו חד בתרי בטיל ושישים הוא חומרא</w:t>
      </w:r>
    </w:p>
    <w:p w:rsidR="0088374B" w:rsidRPr="0050146A" w:rsidRDefault="0088374B" w:rsidP="0088374B">
      <w:pPr>
        <w:pStyle w:val="aff4"/>
        <w:rPr>
          <w:rFonts w:eastAsiaTheme="minorEastAsia" w:cstheme="minorBidi"/>
          <w:i/>
          <w:iCs/>
          <w:noProof/>
          <w:sz w:val="22"/>
          <w:szCs w:val="22"/>
          <w:rtl/>
        </w:rPr>
      </w:pPr>
      <w:r w:rsidRPr="0050146A">
        <w:rPr>
          <w:noProof/>
          <w:rtl/>
        </w:rPr>
        <w:t>דברי התוס' דבמין במינו הילפותא מזרוע בשלה היא לחומרא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התוס' דהילפותא מזרוע בשלה היא קולא דהא במין בשאינו מינו ל"מ רוב דטע"כ 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התוס' דבמין במינו הוא לחומרא ובמין בשאינו מינו הילפותא מזרוע בשלה היא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בתוס' דלמין במינו צריך ילפותא לחומרא ובשאינו מינו אין טעם בשישים כלל</w:t>
      </w:r>
    </w:p>
    <w:p w:rsidR="0088374B" w:rsidRPr="0050146A" w:rsidRDefault="0088374B" w:rsidP="0088374B">
      <w:pPr>
        <w:pStyle w:val="aff4"/>
        <w:rPr>
          <w:rFonts w:eastAsiaTheme="minorEastAsia" w:cstheme="minorBidi"/>
          <w:i/>
          <w:iCs/>
          <w:noProof/>
          <w:sz w:val="22"/>
          <w:szCs w:val="22"/>
          <w:rtl/>
        </w:rPr>
      </w:pPr>
      <w:r w:rsidRPr="0050146A">
        <w:rPr>
          <w:noProof/>
          <w:rtl/>
        </w:rPr>
        <w:t>התירוץ הב' בתוס' דכשבטל הטעם בפחות משישים הוי חומרא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התירוץ הב' בתוס' דהילפותא מזרוע בשלה היא חומרא דפעמים שאין נתינת טעם בפחות משישים</w:t>
      </w:r>
    </w:p>
    <w:p w:rsidR="0088374B" w:rsidRPr="0050146A" w:rsidRDefault="0088374B" w:rsidP="0088374B">
      <w:pPr>
        <w:pStyle w:val="aff4"/>
        <w:rPr>
          <w:rFonts w:eastAsiaTheme="minorEastAsia" w:cstheme="minorBidi"/>
          <w:i/>
          <w:iCs/>
          <w:noProof/>
          <w:sz w:val="22"/>
          <w:szCs w:val="22"/>
          <w:rtl/>
        </w:rPr>
      </w:pPr>
      <w:r w:rsidRPr="0050146A">
        <w:rPr>
          <w:noProof/>
          <w:rtl/>
        </w:rPr>
        <w:t>דברי התוס' לקמן דלמסקנת אביי טע</w:t>
      </w:r>
      <w:r w:rsidRPr="0050146A">
        <w:rPr>
          <w:rFonts w:hint="cs"/>
          <w:noProof/>
          <w:rtl/>
        </w:rPr>
        <w:t>ם כעיקר</w:t>
      </w:r>
      <w:r w:rsidRPr="0050146A">
        <w:rPr>
          <w:noProof/>
          <w:rtl/>
        </w:rPr>
        <w:t xml:space="preserve"> דאו' ממשרת</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התוס' דבגמ' לקמן משמע דלאביי טעם כעיקר דאו' מבשר בחלב ולא ממשרת וגיעולי עכו"ם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תירוץ התוס' לקמן דאחר דדחה רבא את הילפותא מבשר בחלב למד אביי ממשרת דטע"כ דאו'</w:t>
      </w:r>
    </w:p>
    <w:p w:rsidR="0088374B" w:rsidRPr="0050146A" w:rsidRDefault="0088374B" w:rsidP="0088374B">
      <w:pPr>
        <w:pStyle w:val="2"/>
        <w:rPr>
          <w:rFonts w:eastAsiaTheme="minorEastAsia" w:cstheme="minorBidi"/>
          <w:i/>
          <w:iCs/>
          <w:noProof/>
          <w:sz w:val="22"/>
          <w:szCs w:val="22"/>
          <w:rtl/>
        </w:rPr>
      </w:pPr>
      <w:r w:rsidRPr="0050146A">
        <w:rPr>
          <w:noProof/>
          <w:rtl/>
        </w:rPr>
        <w:t>בביאור שיטת רש"י בזרוע בשלה</w:t>
      </w:r>
    </w:p>
    <w:p w:rsidR="0088374B" w:rsidRPr="0050146A" w:rsidRDefault="0088374B" w:rsidP="0088374B">
      <w:pPr>
        <w:pStyle w:val="aff4"/>
        <w:rPr>
          <w:noProof/>
          <w:rtl/>
        </w:rPr>
      </w:pPr>
      <w:r w:rsidRPr="0050146A">
        <w:rPr>
          <w:noProof/>
          <w:rtl/>
        </w:rPr>
        <w:t>ביאור הרמב"ן ברש"י</w:t>
      </w:r>
      <w:r w:rsidRPr="0050146A">
        <w:rPr>
          <w:rFonts w:hint="cs"/>
          <w:noProof/>
          <w:rtl/>
        </w:rPr>
        <w:t xml:space="preserve"> דאף כשאין טעם 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הרמב"ן על רש"י דאי לאביי טעם כעיקר דאו' א"כ היאך אמר דמדאו' חד בתרי בטיל</w:t>
      </w:r>
    </w:p>
    <w:p w:rsidR="002D7168" w:rsidRDefault="0088374B" w:rsidP="0088374B">
      <w:pPr>
        <w:pStyle w:val="aff2"/>
        <w:numPr>
          <w:ilvl w:val="0"/>
          <w:numId w:val="3"/>
        </w:numPr>
        <w:rPr>
          <w:rFonts w:eastAsiaTheme="minorEastAsia" w:cstheme="minorBidi"/>
          <w:sz w:val="22"/>
          <w:szCs w:val="22"/>
          <w:rtl/>
        </w:rPr>
      </w:pPr>
      <w:r w:rsidRPr="0050146A">
        <w:rPr>
          <w:rtl/>
        </w:rPr>
        <w:t>ביאור הרמב"ן דלאביי אף כשאין טעם ילפינן מזרוע בשלה לחומרא דצריך שישים ול"מ ביטול ברוב</w:t>
      </w:r>
    </w:p>
    <w:p w:rsidR="0088374B" w:rsidRPr="0050146A" w:rsidRDefault="0088374B" w:rsidP="0088374B">
      <w:pPr>
        <w:pStyle w:val="aff4"/>
        <w:rPr>
          <w:rFonts w:eastAsiaTheme="minorEastAsia" w:cstheme="minorBidi"/>
          <w:i/>
          <w:iCs/>
          <w:noProof/>
          <w:sz w:val="22"/>
          <w:szCs w:val="22"/>
          <w:rtl/>
        </w:rPr>
      </w:pPr>
      <w:r w:rsidRPr="0050146A">
        <w:rPr>
          <w:noProof/>
          <w:rtl/>
        </w:rPr>
        <w:t>ביאור רבינו אפרים ברש"י דזרוע בשלה הוא ילפותא גמורה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רבינו אפרים ברש"י דילפינן ממשרת דטע"כ דאו' ומזרוע בשלה דטעם בטל בשישים ולא ברוב</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רבינו אפרים דזרוע בשלה הוא ילפותא גמורה דמהני שישים אף דילפינן ממשרת דטע"כ 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רבינו אפרים דא"א ללמוד מזרוע בשלה לקולא דסגי בשישים דיתכן שיש טעם ביותר משישים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רבינו אפרים דאף דטע"כ דאו' הטעם בטל ברוב מאחרי רבים להטות וזרוע בשלה הוא חומרא</w:t>
      </w:r>
    </w:p>
    <w:p w:rsidR="0088374B" w:rsidRPr="0050146A" w:rsidRDefault="0088374B" w:rsidP="0088374B">
      <w:pPr>
        <w:pStyle w:val="aff4"/>
        <w:rPr>
          <w:rFonts w:eastAsiaTheme="minorEastAsia" w:cstheme="minorBidi"/>
          <w:i/>
          <w:iCs/>
          <w:noProof/>
          <w:sz w:val="22"/>
          <w:szCs w:val="22"/>
          <w:rtl/>
        </w:rPr>
      </w:pPr>
      <w:r w:rsidRPr="0050146A">
        <w:rPr>
          <w:noProof/>
          <w:rtl/>
        </w:rPr>
        <w:t>ביאור המהרי"ק ברש"י דלאביי טע"כ ושיעור שישים מדאו'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המהרי"ק ברש"י לדעת אביי טעם כעיקר דאו' והילפותא מזרוע בשלה אינה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המהרי"ק דילפינן מזרוע בשלה דמהני ביטול בשישים רק לאחר דילפינן דטעם כעיקר 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המהרי"ק דלולי זרוע בשלה טעם כעיקר דאו' היה לענין חיוב אכילת כזית שיש בו טעם איסור</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המהרי"ק דמזרוע בשלה ילפינן עד כמה מתפשט הטעם וא"א ללמוד מזה דין טעם כעיקר</w:t>
      </w:r>
    </w:p>
    <w:p w:rsidR="0088374B" w:rsidRPr="0050146A" w:rsidRDefault="0088374B" w:rsidP="0088374B">
      <w:pPr>
        <w:pStyle w:val="aff4"/>
        <w:rPr>
          <w:rFonts w:eastAsiaTheme="minorEastAsia" w:cstheme="minorBidi"/>
          <w:i/>
          <w:iCs/>
          <w:noProof/>
          <w:sz w:val="22"/>
          <w:szCs w:val="22"/>
          <w:rtl/>
        </w:rPr>
      </w:pPr>
      <w:r w:rsidRPr="0050146A">
        <w:rPr>
          <w:noProof/>
          <w:rtl/>
        </w:rPr>
        <w:t>דברי המהרי"ק ברש"י דנח' אביי ורבא אי זרוע בשלה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המהרי"ק דבדעת רבא דטעם כעיקר דרבנן מודה רש"י דהילפותא מזרוע בשלה היא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הוכחת המהרי"ק מרש"י דלאביי אחר דילפינן מזרוע בשלה לא ילפינן דמהני רוב במקום שיש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הוכחת המהרי"ק מרש"י דלרבא אף בטעם יש ביטול ברוב וזרוע בשלה הוא אסמכתא שצריך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מסקנת המהרי"ק ברש"י דלאביי ילפינן מזרוע בשלה ולרבא הוא אסמכתא דהא טעם כעיקר דרבנן</w:t>
      </w:r>
    </w:p>
    <w:p w:rsidR="0088374B" w:rsidRPr="0050146A" w:rsidRDefault="0088374B" w:rsidP="0088374B">
      <w:pPr>
        <w:pStyle w:val="aff4"/>
        <w:rPr>
          <w:rFonts w:eastAsiaTheme="minorEastAsia" w:cstheme="minorBidi"/>
          <w:i/>
          <w:iCs/>
          <w:noProof/>
          <w:sz w:val="22"/>
          <w:szCs w:val="22"/>
          <w:rtl/>
        </w:rPr>
      </w:pPr>
      <w:r w:rsidRPr="0050146A">
        <w:rPr>
          <w:noProof/>
          <w:rtl/>
        </w:rPr>
        <w:t>ביאור הראש יוסף ברש"י בילפותא מזרוע בשלה לדעת אביי</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ברש"י דבטעם מדאו' צריך שישים ולא מהני ביטול ברוב מדין אחרי רבים להטות</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ברש"י דלאביי לר"י מזרוע בשלה ילפינן למין בשאינו מינו ומין במינו לא בטיל</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ברש"י דלאביי ילפינן מזרוע בשלה דטע"כ דאו' ושישים הוא חומרא מדאו'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הראש יוסף דלאביי דטע"כ דאו' מבשר בחלב ולא מהני רוב וא"כ שישים הוא קולא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הראש יוסף דאף אי למסקנא לא יליף אביי טע"כ מבשר בחלב א"א ללמוד מזרוע בשלה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הראש יוסף על רש"י דזרוע בשלה הוא מין במינו וא"א ללמוד מזה למין בשאינו מינו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הגרעק"א והראש יוסף על רש"י לקמן דא"א ללמוד מזרוע בשלה לחומרא להצריך שישים</w:t>
      </w:r>
    </w:p>
    <w:p w:rsidR="0088374B" w:rsidRPr="0050146A" w:rsidRDefault="0088374B" w:rsidP="0088374B">
      <w:pPr>
        <w:pStyle w:val="aff4"/>
        <w:rPr>
          <w:rtl/>
        </w:rPr>
      </w:pPr>
      <w:r w:rsidRPr="0050146A">
        <w:rPr>
          <w:rFonts w:hint="cs"/>
          <w:rtl/>
        </w:rPr>
        <w:t>ביאור החת"ס ברש"י דטע"כ דרבנן ושישים דאו' ואינו מדין טעם</w:t>
      </w:r>
    </w:p>
    <w:p w:rsidR="0088374B" w:rsidRPr="0050146A" w:rsidRDefault="0088374B" w:rsidP="0088374B">
      <w:pPr>
        <w:pStyle w:val="aff2"/>
        <w:numPr>
          <w:ilvl w:val="0"/>
          <w:numId w:val="3"/>
        </w:numPr>
        <w:rPr>
          <w:rtl/>
        </w:rPr>
      </w:pPr>
      <w:r w:rsidRPr="0050146A">
        <w:rPr>
          <w:rFonts w:hint="cs"/>
          <w:rtl/>
        </w:rPr>
        <w:t xml:space="preserve">דברי החת"ס דלרש"י טע"כ דרבנן ושישים דאו' ילפינן מזרוע בשלה מדין ביטול ולא מדין טעם </w:t>
      </w:r>
    </w:p>
    <w:p w:rsidR="0088374B" w:rsidRPr="0050146A" w:rsidRDefault="0088374B" w:rsidP="0088374B">
      <w:pPr>
        <w:pStyle w:val="2"/>
        <w:rPr>
          <w:rFonts w:eastAsiaTheme="minorEastAsia" w:cstheme="minorBidi"/>
          <w:i/>
          <w:iCs/>
          <w:noProof/>
          <w:sz w:val="22"/>
          <w:szCs w:val="22"/>
          <w:rtl/>
        </w:rPr>
      </w:pPr>
      <w:r w:rsidRPr="0050146A">
        <w:rPr>
          <w:noProof/>
          <w:rtl/>
        </w:rPr>
        <w:t xml:space="preserve">ביאורי הראשונים </w:t>
      </w:r>
      <w:r w:rsidRPr="0050146A">
        <w:rPr>
          <w:rFonts w:hint="cs"/>
          <w:noProof/>
          <w:rtl/>
        </w:rPr>
        <w:t>ד</w:t>
      </w:r>
      <w:r w:rsidRPr="0050146A">
        <w:rPr>
          <w:noProof/>
          <w:rtl/>
        </w:rPr>
        <w:t>זרוע בשלה</w:t>
      </w:r>
      <w:r w:rsidRPr="0050146A">
        <w:rPr>
          <w:rFonts w:hint="cs"/>
          <w:noProof/>
          <w:rtl/>
        </w:rPr>
        <w:t xml:space="preserve"> אסמכתא</w:t>
      </w:r>
    </w:p>
    <w:p w:rsidR="0088374B" w:rsidRPr="0050146A" w:rsidRDefault="0088374B" w:rsidP="0088374B">
      <w:pPr>
        <w:pStyle w:val="aff4"/>
        <w:rPr>
          <w:rFonts w:eastAsiaTheme="minorEastAsia" w:cstheme="minorBidi"/>
          <w:i/>
          <w:iCs/>
          <w:noProof/>
          <w:sz w:val="22"/>
          <w:szCs w:val="22"/>
          <w:rtl/>
        </w:rPr>
      </w:pPr>
      <w:r w:rsidRPr="0050146A">
        <w:rPr>
          <w:noProof/>
          <w:rtl/>
        </w:rPr>
        <w:t>דברי הרמב"ם והראשונים דזרוע בשלה הוא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הרמב"ם והראשונים דשישים מדרבנן והילפותא מזרוע בשלה לשישים הוא אסמכתא</w:t>
      </w:r>
    </w:p>
    <w:p w:rsidR="0088374B" w:rsidRPr="0050146A" w:rsidRDefault="0088374B" w:rsidP="0088374B">
      <w:pPr>
        <w:pStyle w:val="aff4"/>
        <w:rPr>
          <w:rFonts w:eastAsiaTheme="minorEastAsia" w:cstheme="minorBidi"/>
          <w:i/>
          <w:iCs/>
          <w:noProof/>
          <w:sz w:val="22"/>
          <w:szCs w:val="22"/>
          <w:rtl/>
        </w:rPr>
      </w:pPr>
      <w:r w:rsidRPr="0050146A">
        <w:rPr>
          <w:noProof/>
          <w:rtl/>
        </w:rPr>
        <w:t>דברי הרמב"ן בביאור הילפותא מזרוע בשלה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הרמב"ן והרשב"א דנימא דבדם פר ושעיר אין שישים אבל כשיש שישים ילפינן מזרוע בשלה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תירוץ הרמב"ן והרשב"א דבדם פר ושעיר מוכח דלא מהני ביטול ברוב ולכן שישים הוא קולא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הרמב"ן והרשב"א אמאי דלא ילפינן גם מדם פר וגם מזרוע בשלה דהיא חידוש</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הרמב"ן דא"א לומר דהילפותא מזרוע בשלה היא דאו' [לאביי] דא"כ זהו המקור לטע"כ</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הרמב"ן דבזרוע בשלה מבואר שא"צ להחמיר ביותר משישים אך א"א להוכיח דצריך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הרמב"ן דזרוע בשלה היא אסמכתא וכתב הרמב"ן דכן מבואר ברש"י בדעת רבא</w:t>
      </w:r>
    </w:p>
    <w:p w:rsidR="0088374B" w:rsidRPr="0050146A" w:rsidRDefault="0088374B" w:rsidP="0088374B">
      <w:pPr>
        <w:pStyle w:val="aff4"/>
        <w:rPr>
          <w:rFonts w:eastAsiaTheme="minorEastAsia" w:cstheme="minorBidi"/>
          <w:i/>
          <w:iCs/>
          <w:noProof/>
          <w:sz w:val="22"/>
          <w:szCs w:val="22"/>
          <w:rtl/>
        </w:rPr>
      </w:pPr>
      <w:r w:rsidRPr="0050146A">
        <w:rPr>
          <w:noProof/>
          <w:rtl/>
        </w:rPr>
        <w:t>דברי הריטב"א בביאור הילפותא מזרוע בשלה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הריטב"א דהיאך מוכח מזרוע בשלה דמהני ביטול בשישים הא היא מין במינו דחד בתרי בטיל</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הריטב"א דקושית הגמ' דבברייתא משמע דבשאר איסורים בשישים אסור מדרבנן דיש בו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הריטב"א דבקושיה דזרוע בשלה היא חידוש הו"א דהוא דרשה גמורה וקמ"ל דהיא לחומרא</w:t>
      </w:r>
    </w:p>
    <w:p w:rsidR="0088374B" w:rsidRPr="0050146A" w:rsidRDefault="0088374B" w:rsidP="0088374B">
      <w:pPr>
        <w:pStyle w:val="aff4"/>
        <w:rPr>
          <w:rFonts w:eastAsiaTheme="minorEastAsia" w:cstheme="minorBidi"/>
          <w:i/>
          <w:iCs/>
          <w:noProof/>
          <w:sz w:val="22"/>
          <w:szCs w:val="22"/>
          <w:rtl/>
        </w:rPr>
      </w:pPr>
      <w:r w:rsidRPr="0050146A">
        <w:rPr>
          <w:noProof/>
          <w:rtl/>
        </w:rPr>
        <w:t>ביאור הר"ן דשישים הוא חומרא דרבנן דהשוו מדותיהם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הר"ן במין במינו מדאו' בטל ברוב ובמין בשאינו מינו מדאו' בטעם ל"מ ביטול ברוב ובשישים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הר"ן דבמקום שאין טעם מהני ביטול ברוב ושיעור שישים בכל האיסורים הוא חומרא דרבנן</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הר"ן דזרוע בשלה הוא אסמכתא דכל שאין טעם מהני מדאו' ביטול ברוב</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הר"ן דהשוו חכמים מדותיהם בשישים כיון שיש איסורים שנותנים טעם 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הר"ן דבמין במינו בלח דהאיסור מתפשט בכולו צריך שישים אף שלא ניכר הטעם דל"פ רבנן</w:t>
      </w:r>
    </w:p>
    <w:p w:rsidR="0088374B" w:rsidRPr="0050146A" w:rsidRDefault="0088374B" w:rsidP="0088374B">
      <w:pPr>
        <w:pStyle w:val="aff4"/>
        <w:rPr>
          <w:rFonts w:eastAsiaTheme="minorEastAsia" w:cstheme="minorBidi"/>
          <w:i/>
          <w:iCs/>
          <w:noProof/>
          <w:sz w:val="22"/>
          <w:szCs w:val="22"/>
          <w:rtl/>
        </w:rPr>
      </w:pPr>
      <w:r w:rsidRPr="0050146A">
        <w:rPr>
          <w:noProof/>
          <w:rtl/>
        </w:rPr>
        <w:lastRenderedPageBreak/>
        <w:t>דברי הר"ן דלאביי בזרוע בשלה בטל האיסור ולרבא בטל הטעם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הר"ן דאחר שיש שישים ל"ש טעם כעיקר בזרוע בשלה ואף לרבא ההיתר הוא אליבא דר"י</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הר"ן דלאביי בזרוע בשלה התחדש לר"י דמהני ביטול גמור אף דהוא מין במינו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הר"ן דלרבא בזרוע בשלה מהני ביטול לר"י רק על הטעם אעפ"י דבקדשים טעם כעיקר 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החת"ס בר"ן דלאביי שישים הוא אף בתערובת כדם פר ולרבא רק בלחות הטעם היוצא</w:t>
      </w:r>
    </w:p>
    <w:p w:rsidR="0088374B" w:rsidRPr="0050146A" w:rsidRDefault="0088374B" w:rsidP="0088374B">
      <w:pPr>
        <w:pStyle w:val="2"/>
        <w:rPr>
          <w:rFonts w:eastAsiaTheme="minorEastAsia" w:cstheme="minorBidi"/>
          <w:i/>
          <w:iCs/>
          <w:noProof/>
          <w:sz w:val="22"/>
          <w:szCs w:val="22"/>
          <w:rtl/>
        </w:rPr>
      </w:pPr>
      <w:r w:rsidRPr="0050146A">
        <w:rPr>
          <w:noProof/>
          <w:rtl/>
        </w:rPr>
        <w:t>פלוגתת רבינו אפרים והראב"ן בזרוע בשלה</w:t>
      </w:r>
    </w:p>
    <w:p w:rsidR="0088374B" w:rsidRPr="0050146A" w:rsidRDefault="0088374B" w:rsidP="0088374B">
      <w:pPr>
        <w:pStyle w:val="aff4"/>
        <w:rPr>
          <w:rFonts w:eastAsiaTheme="minorEastAsia" w:cstheme="minorBidi"/>
          <w:i/>
          <w:iCs/>
          <w:noProof/>
          <w:sz w:val="22"/>
          <w:szCs w:val="22"/>
          <w:rtl/>
        </w:rPr>
      </w:pPr>
      <w:r w:rsidRPr="0050146A">
        <w:rPr>
          <w:noProof/>
          <w:rtl/>
        </w:rPr>
        <w:t>קושיות רבינו אפרים דא"א לומר דזרוע בשלה היא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רבינו אפרים בשם רבותיו דמדאו' חד בתרי בטיל וזרוע בשלה הוא אסמכתא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קושיות רבינו אפרים דלא מצינו בגמ' דהיא אסמכתא ובילפותא ממשרת מבו' דפשיטא דטע"כ 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רבינו אפרים דאי מדאו' חד בתרי בטיל א"א להביא מזרוע בשלה אף אסמכתא לשישים</w:t>
      </w:r>
    </w:p>
    <w:p w:rsidR="0088374B" w:rsidRPr="0050146A" w:rsidRDefault="0088374B" w:rsidP="0088374B">
      <w:pPr>
        <w:pStyle w:val="aff4"/>
        <w:rPr>
          <w:rFonts w:eastAsiaTheme="minorEastAsia" w:cstheme="minorBidi"/>
          <w:i/>
          <w:iCs/>
          <w:noProof/>
          <w:sz w:val="22"/>
          <w:szCs w:val="22"/>
          <w:rtl/>
        </w:rPr>
      </w:pPr>
      <w:r w:rsidRPr="0050146A">
        <w:rPr>
          <w:noProof/>
          <w:rtl/>
        </w:rPr>
        <w:t>דברי הראב"ן דטע"כ דאו' וזרוע בשלה היא אסמכתא לשישים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הראב"ן דזרוע בשלה אסמכתא דהא היא מין במינו דודאי דבטל בחד בתרי</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הראב"ן דשיעור שישים הוא מדרבנן ובמין בשאינו מינו טעם כעיקר דאו' דאפשר לעמוד עליו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הראב"ן דמזרוע בשלה ילפינן לכל האיסורים במינו ובשאינו מינו ואף בנימוח גוף האיסור</w:t>
      </w:r>
    </w:p>
    <w:p w:rsidR="0088374B" w:rsidRPr="0050146A" w:rsidRDefault="0088374B" w:rsidP="0088374B">
      <w:pPr>
        <w:pStyle w:val="2"/>
        <w:rPr>
          <w:rFonts w:eastAsiaTheme="minorEastAsia" w:cstheme="minorBidi"/>
          <w:i/>
          <w:iCs/>
          <w:noProof/>
          <w:sz w:val="22"/>
          <w:szCs w:val="22"/>
          <w:rtl/>
        </w:rPr>
      </w:pPr>
      <w:r w:rsidRPr="0050146A">
        <w:rPr>
          <w:noProof/>
          <w:rtl/>
        </w:rPr>
        <w:t>דברי רש"י ותוס' בדעת רבא בזרוע בשלה</w:t>
      </w:r>
    </w:p>
    <w:p w:rsidR="0088374B" w:rsidRPr="0050146A" w:rsidRDefault="0088374B" w:rsidP="0088374B">
      <w:pPr>
        <w:pStyle w:val="aff4"/>
        <w:rPr>
          <w:rFonts w:eastAsiaTheme="minorEastAsia" w:cstheme="minorBidi"/>
          <w:i/>
          <w:iCs/>
          <w:noProof/>
          <w:sz w:val="22"/>
          <w:szCs w:val="22"/>
          <w:rtl/>
        </w:rPr>
      </w:pPr>
      <w:r w:rsidRPr="0050146A">
        <w:rPr>
          <w:noProof/>
          <w:rtl/>
        </w:rPr>
        <w:t>דברי רש"י דלרבא טעם כעיקר דרבנן וזרוע בשלה חומרא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דלרבא טע"כ דרבנן ומדאו' מהני ביטול ברוב וזרוע בשלה הוא חומרא שצריך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דלרבא הילפותא ממשרת לטעם כעיקר היא אסמכתא וכן לא ילפינן מגיעולי עכו"ם</w:t>
      </w:r>
    </w:p>
    <w:p w:rsidR="0088374B" w:rsidRPr="0050146A" w:rsidRDefault="0088374B" w:rsidP="0088374B">
      <w:pPr>
        <w:pStyle w:val="aff4"/>
        <w:rPr>
          <w:rFonts w:eastAsiaTheme="minorEastAsia" w:cstheme="minorBidi"/>
          <w:i/>
          <w:iCs/>
          <w:noProof/>
          <w:sz w:val="22"/>
          <w:szCs w:val="22"/>
          <w:rtl/>
        </w:rPr>
      </w:pPr>
      <w:r w:rsidRPr="0050146A">
        <w:rPr>
          <w:noProof/>
          <w:rtl/>
        </w:rPr>
        <w:t>ביאור הרשב"א דלולי זרוע בשלה היה דין ביטול על הטעם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הרשב"א ברש"י דכשאין טעם מהני ביטול בתרי או בעשרה והילפותא מזרוע בשלה לחומרא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הרשב"א דלשון הגמ' משמע דביטול מדין רוב ולא לביטול הטעם דהיה לגמ' לפרש כן</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הרשב"א דנקטה הגמ' לשון ביטול ברוב כיון דבמין במינו הוא ביטול ברוב ולא ביטול בטעם</w:t>
      </w:r>
    </w:p>
    <w:p w:rsidR="0088374B" w:rsidRPr="0050146A" w:rsidRDefault="0088374B" w:rsidP="0088374B">
      <w:pPr>
        <w:pStyle w:val="aff4"/>
        <w:rPr>
          <w:rFonts w:eastAsiaTheme="minorEastAsia" w:cstheme="minorBidi"/>
          <w:i/>
          <w:iCs/>
          <w:noProof/>
          <w:sz w:val="22"/>
          <w:szCs w:val="22"/>
          <w:rtl/>
        </w:rPr>
      </w:pPr>
      <w:r w:rsidRPr="0050146A">
        <w:rPr>
          <w:noProof/>
          <w:rtl/>
        </w:rPr>
        <w:t>קושיות התוס' דמשמע ברש"י דלרבא איירי בטעם כל דהו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הריטב"א דבזרוע בשלה בטל הטעם בשישים וא"א לומר דהיתר שאסור בשאר קדשים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התוס' ברש"י דכוונת רבא לטעם משהו דאף שהתבטל בשישים אסור בקדשים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דחיית הריטב"א דטע"כ משמע שיש בהיתר טעם כעיקר האיסור ולא מצינו בקדשים דאסור במשהו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התוס' על רש"י דאי איירי בטעם משהו א"צ לדחוק דלרבא טעם כעיקר דרבנן</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הריטב"א דאפש"ל דבחולין טע"כ דאו' ובזרוע בשלה איירי בטעם משהו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הראב"ן דאי רבא איירי בטעם משהו א"כ אין חילוק בין תירוץ אביי לתירוץ רבא</w:t>
      </w:r>
    </w:p>
    <w:p w:rsidR="0088374B" w:rsidRPr="0050146A" w:rsidRDefault="0088374B" w:rsidP="0088374B">
      <w:pPr>
        <w:pStyle w:val="aff4"/>
        <w:rPr>
          <w:rFonts w:eastAsiaTheme="minorEastAsia" w:cstheme="minorBidi"/>
          <w:i/>
          <w:iCs/>
          <w:noProof/>
          <w:sz w:val="22"/>
          <w:szCs w:val="22"/>
          <w:rtl/>
        </w:rPr>
      </w:pPr>
      <w:r w:rsidRPr="0050146A">
        <w:rPr>
          <w:noProof/>
          <w:rtl/>
        </w:rPr>
        <w:t>ביאור התוס' דלרבא טע"כ דאו' ומזרוע בשלה ילפינן לקדשים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התוס' דלרבא טע"כ דאו' ובקדשים ילפינן מחטאת ובחולין ילפינן ממשרת</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התוס' דבקדשים מוכח דטע"כ דאו מהא דהתירה תורה זרוע בשלה אף כשאין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הריטב"א דהתירה תורה את האיל אף אם אבד מקצתו ומ"מ ילפינן שישים מהרוב שיש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התוס' דרבא מודה לילפותא דמשרת דטעם כעיקר דאו' וס"ל דא"א להוכיח כן מבשר בחלב</w:t>
      </w:r>
    </w:p>
    <w:p w:rsidR="0088374B" w:rsidRPr="0050146A" w:rsidRDefault="0088374B" w:rsidP="0088374B">
      <w:pPr>
        <w:pStyle w:val="2"/>
        <w:rPr>
          <w:rFonts w:eastAsiaTheme="minorEastAsia" w:cstheme="minorBidi"/>
          <w:i/>
          <w:iCs/>
          <w:noProof/>
          <w:sz w:val="22"/>
          <w:szCs w:val="22"/>
          <w:rtl/>
        </w:rPr>
      </w:pPr>
      <w:r w:rsidRPr="0050146A">
        <w:rPr>
          <w:noProof/>
          <w:rtl/>
        </w:rPr>
        <w:t>בגדר ביטול טעם הנרגש בשישים</w:t>
      </w:r>
    </w:p>
    <w:p w:rsidR="0088374B" w:rsidRPr="0050146A" w:rsidRDefault="0088374B" w:rsidP="0088374B">
      <w:pPr>
        <w:pStyle w:val="aff4"/>
        <w:rPr>
          <w:rFonts w:eastAsiaTheme="minorEastAsia" w:cstheme="minorBidi"/>
          <w:i/>
          <w:iCs/>
          <w:noProof/>
          <w:sz w:val="22"/>
          <w:szCs w:val="22"/>
          <w:rtl/>
        </w:rPr>
      </w:pPr>
      <w:r w:rsidRPr="0050146A">
        <w:rPr>
          <w:noProof/>
          <w:rtl/>
        </w:rPr>
        <w:t>דברי רש"י דלא ילפינן מזרוע בשלה להתיר טעם 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רש"י דאפשר למילף דמהני ביטול בשישים אף כשיש טעם מ"מ החמירו דטעמא לא בטיל</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הריטב"א על רש"י דבזרוע בשלה דמין במינו ואין טעם מותר בשישים אבל כשיש טעם אסור</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דכוונת הריטב"א להקשות היאך מותר לרש"י בשישים כשאין קפילא</w:t>
      </w:r>
    </w:p>
    <w:p w:rsidR="0088374B" w:rsidRPr="0050146A" w:rsidRDefault="0088374B" w:rsidP="0088374B">
      <w:pPr>
        <w:pStyle w:val="2"/>
        <w:rPr>
          <w:rFonts w:eastAsiaTheme="minorEastAsia" w:cstheme="minorBidi"/>
          <w:i/>
          <w:iCs/>
          <w:noProof/>
          <w:sz w:val="22"/>
          <w:szCs w:val="22"/>
          <w:rtl/>
        </w:rPr>
      </w:pPr>
      <w:r w:rsidRPr="0050146A">
        <w:rPr>
          <w:noProof/>
          <w:rtl/>
        </w:rPr>
        <w:t>ביאורי האחרונים בטעם ביותר מס' לרש"י</w:t>
      </w:r>
    </w:p>
    <w:p w:rsidR="0088374B" w:rsidRPr="0050146A" w:rsidRDefault="0088374B" w:rsidP="0088374B">
      <w:pPr>
        <w:pStyle w:val="aff4"/>
        <w:rPr>
          <w:rFonts w:eastAsiaTheme="minorEastAsia" w:cstheme="minorBidi"/>
          <w:i/>
          <w:iCs/>
          <w:noProof/>
          <w:sz w:val="22"/>
          <w:szCs w:val="22"/>
          <w:rtl/>
        </w:rPr>
      </w:pPr>
      <w:r w:rsidRPr="0050146A">
        <w:rPr>
          <w:noProof/>
          <w:rtl/>
        </w:rPr>
        <w:t>ביאור הראש יוסף ברש"י דאף דטע"כ דרבנן ל"מ ס' כשיש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הראש יוסף דמבואר ברש"י דלפעמים יש טעם בשישים ולכן צריך גם קפילא וגם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ברש"י דאף דטע"כ דרבנן מ"מ במקום שיש טעם לא סגי בשישים וצריך קפילא</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ברש"י דבטעם מדאו' צריך שישים ולא מהני ביטול ברוב מדין אחרי רבים להטות</w:t>
      </w:r>
    </w:p>
    <w:p w:rsidR="0088374B" w:rsidRPr="0050146A" w:rsidRDefault="0088374B" w:rsidP="0088374B">
      <w:pPr>
        <w:pStyle w:val="aff4"/>
        <w:rPr>
          <w:rFonts w:eastAsiaTheme="minorEastAsia" w:cstheme="minorBidi"/>
          <w:i/>
          <w:iCs/>
          <w:noProof/>
          <w:sz w:val="22"/>
          <w:szCs w:val="22"/>
          <w:rtl/>
        </w:rPr>
      </w:pPr>
      <w:r w:rsidRPr="0050146A">
        <w:rPr>
          <w:noProof/>
          <w:rtl/>
        </w:rPr>
        <w:t>ביאור האבנ"ז ברש"י דטעם שאינו ניכר הוי טעם ובס' יש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האבנ"ז דמבואר ברש"י דאף בשישים שייך שיהיה טעם וילפינן מזרוע בשלה דבשישים מותר</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האבנ"ז ברש"י דאף במין במינו שלא ניכר הטעם חשיב שיש טעם דאי לא היה מינו היה ניכר</w:t>
      </w:r>
    </w:p>
    <w:p w:rsidR="0088374B" w:rsidRPr="0050146A" w:rsidRDefault="0088374B" w:rsidP="0088374B">
      <w:pPr>
        <w:pStyle w:val="aff4"/>
        <w:rPr>
          <w:rFonts w:eastAsiaTheme="minorEastAsia" w:cstheme="minorBidi"/>
          <w:i/>
          <w:iCs/>
          <w:noProof/>
          <w:sz w:val="22"/>
          <w:szCs w:val="22"/>
          <w:rtl/>
        </w:rPr>
      </w:pPr>
      <w:r w:rsidRPr="0050146A">
        <w:rPr>
          <w:noProof/>
          <w:rtl/>
        </w:rPr>
        <w:t>ביאור החת"ס ברש"י דמדאו' מהני שישים אף כשיש נתינת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החת"ס דלרש"י הילפותא דזרוע בשלה היא ילפותא גמורה ומדאו' השיעור הוא רק 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החת"ס ברש"י דשישים אינו שייך לטעם כלל ובין בטעם ובין כשאין טעם 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החת"ס ברש"י דלרבנן דר"י אף במין במינו שיעור שישים הוא מדאו' כדילפינן מזרוע בשלה</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החת"ס דלרש"י דטעם כעיקר דרבנן א"כ מדאו' גזיה"כ דמותר אף שיתכן שבשישים יש טעם</w:t>
      </w:r>
    </w:p>
    <w:p w:rsidR="0088374B" w:rsidRPr="0050146A" w:rsidRDefault="0088374B" w:rsidP="0088374B">
      <w:pPr>
        <w:pStyle w:val="aff4"/>
        <w:rPr>
          <w:rFonts w:eastAsiaTheme="minorEastAsia" w:cstheme="minorBidi"/>
          <w:i/>
          <w:iCs/>
          <w:noProof/>
          <w:sz w:val="22"/>
          <w:szCs w:val="22"/>
          <w:rtl/>
        </w:rPr>
      </w:pPr>
      <w:r w:rsidRPr="0050146A">
        <w:rPr>
          <w:noProof/>
          <w:rtl/>
        </w:rPr>
        <w:t>ביאור החת"ס ברש"י דלרבא בזרוע בשלה מותר טעם ביותר מס'</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החת"ס ברש"י דלרבא אף כשיש טעם ביותר משישים בזרוע בשלה מותר ובקדשים אסור</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החת"ס דזרוע בשלה הוא מין במינו ולא שייך לומר דיש בו היתר דטעמו מותר</w:t>
      </w:r>
    </w:p>
    <w:p w:rsidR="0088374B" w:rsidRPr="0050146A" w:rsidRDefault="0088374B" w:rsidP="0088374B">
      <w:pPr>
        <w:pStyle w:val="2"/>
        <w:rPr>
          <w:rFonts w:eastAsiaTheme="minorEastAsia" w:cstheme="minorBidi"/>
          <w:i/>
          <w:iCs/>
          <w:noProof/>
          <w:sz w:val="22"/>
          <w:szCs w:val="22"/>
          <w:rtl/>
        </w:rPr>
      </w:pPr>
      <w:r w:rsidRPr="0050146A">
        <w:rPr>
          <w:noProof/>
          <w:rtl/>
        </w:rPr>
        <w:t>ביאורי האחרונים בטעם ביותר מס' לתוס'</w:t>
      </w:r>
    </w:p>
    <w:p w:rsidR="0088374B" w:rsidRPr="0050146A" w:rsidRDefault="0088374B" w:rsidP="0088374B">
      <w:pPr>
        <w:pStyle w:val="aff4"/>
        <w:rPr>
          <w:rFonts w:eastAsiaTheme="minorEastAsia" w:cstheme="minorBidi"/>
          <w:i/>
          <w:iCs/>
          <w:noProof/>
          <w:sz w:val="22"/>
          <w:szCs w:val="22"/>
          <w:rtl/>
        </w:rPr>
      </w:pPr>
      <w:r w:rsidRPr="0050146A">
        <w:rPr>
          <w:noProof/>
          <w:rtl/>
        </w:rPr>
        <w:t>ביאור הראש יוסף בתוס' דביותר משישים אין טעם כלל</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הראש יוסף בתוס' דבמין בשאינו מינו אין טעם ביותר משישים כלל</w:t>
      </w:r>
    </w:p>
    <w:p w:rsidR="0088374B" w:rsidRPr="0050146A" w:rsidRDefault="0088374B" w:rsidP="0088374B">
      <w:pPr>
        <w:pStyle w:val="aff4"/>
        <w:rPr>
          <w:rFonts w:eastAsiaTheme="minorEastAsia" w:cstheme="minorBidi"/>
          <w:i/>
          <w:iCs/>
          <w:noProof/>
          <w:sz w:val="22"/>
          <w:szCs w:val="22"/>
          <w:rtl/>
        </w:rPr>
      </w:pPr>
      <w:r w:rsidRPr="0050146A">
        <w:rPr>
          <w:noProof/>
          <w:rtl/>
        </w:rPr>
        <w:t>ביאורי האחרונים בתירוץ הב' בתוס' דפעמים שאין טעם בס'</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הגרעק"א דרק אם ברוב הפעמים בטל הטעם בפחות משישים הוי חומרא לחשוש למיעוט</w:t>
      </w:r>
    </w:p>
    <w:p w:rsidR="0088374B" w:rsidRPr="0050146A" w:rsidRDefault="0088374B" w:rsidP="0088374B">
      <w:pPr>
        <w:pStyle w:val="aff2"/>
        <w:numPr>
          <w:ilvl w:val="0"/>
          <w:numId w:val="3"/>
        </w:numPr>
        <w:rPr>
          <w:rFonts w:eastAsiaTheme="minorEastAsia" w:cstheme="minorBidi"/>
          <w:sz w:val="22"/>
          <w:szCs w:val="22"/>
          <w:rtl/>
        </w:rPr>
      </w:pPr>
      <w:r w:rsidRPr="0050146A">
        <w:rPr>
          <w:rtl/>
        </w:rPr>
        <w:t>קושית הגרעק"א דאי שישים הוא מדאו' מנלן דמותר בפחות משישים כשהאיסור לא נתן טעם</w:t>
      </w:r>
    </w:p>
    <w:p w:rsidR="0088374B" w:rsidRPr="0050146A" w:rsidRDefault="0088374B" w:rsidP="0088374B">
      <w:pPr>
        <w:pStyle w:val="aff2"/>
        <w:numPr>
          <w:ilvl w:val="0"/>
          <w:numId w:val="3"/>
        </w:numPr>
      </w:pPr>
      <w:r w:rsidRPr="0050146A">
        <w:rPr>
          <w:rFonts w:hint="cs"/>
          <w:rtl/>
        </w:rPr>
        <w:t xml:space="preserve">קושית המהרש"א והראש יוסף דדדברי התוס' סותרים למ"ש לעיל דכשיש קפילא א"צ שישים </w:t>
      </w:r>
    </w:p>
    <w:p w:rsidR="0088374B" w:rsidRPr="0050146A" w:rsidRDefault="0088374B" w:rsidP="0088374B">
      <w:pPr>
        <w:pStyle w:val="aff2"/>
        <w:numPr>
          <w:ilvl w:val="0"/>
          <w:numId w:val="3"/>
        </w:numPr>
        <w:rPr>
          <w:rFonts w:eastAsiaTheme="minorEastAsia" w:cstheme="minorBidi"/>
          <w:sz w:val="22"/>
          <w:szCs w:val="22"/>
          <w:rtl/>
        </w:rPr>
      </w:pPr>
      <w:r w:rsidRPr="0050146A">
        <w:rPr>
          <w:rtl/>
        </w:rPr>
        <w:t xml:space="preserve">ביאור הראש יוסף בתוס' דבמקום שאין קפילא אף שמסתמא אין נתינת טעם צריך להחמיר בשישים </w:t>
      </w:r>
    </w:p>
    <w:p w:rsidR="0088374B" w:rsidRPr="0050146A" w:rsidRDefault="0088374B" w:rsidP="0088374B">
      <w:pPr>
        <w:pStyle w:val="aff2"/>
        <w:numPr>
          <w:ilvl w:val="0"/>
          <w:numId w:val="3"/>
        </w:numPr>
        <w:rPr>
          <w:rtl/>
        </w:rPr>
      </w:pPr>
      <w:r w:rsidRPr="0050146A">
        <w:rPr>
          <w:rFonts w:hint="cs"/>
          <w:rtl/>
        </w:rPr>
        <w:t>ביאור המהרש"א בתוס' דבסתמא צריך שישים ואינו קולא לגמרי דלפעמים פוסק הטעם 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החזו"א בתוס' דשישים הוא מדרבנן דלא תחלוק בשיעורים דיש דברים שנותנים טעם בשישים</w:t>
      </w:r>
    </w:p>
    <w:p w:rsidR="0088374B" w:rsidRPr="0050146A" w:rsidRDefault="0088374B" w:rsidP="0088374B">
      <w:pPr>
        <w:pStyle w:val="aff4"/>
        <w:rPr>
          <w:rFonts w:eastAsiaTheme="minorEastAsia" w:cstheme="minorBidi"/>
          <w:i/>
          <w:iCs/>
          <w:noProof/>
          <w:sz w:val="22"/>
          <w:szCs w:val="22"/>
          <w:rtl/>
        </w:rPr>
      </w:pPr>
      <w:r w:rsidRPr="0050146A">
        <w:rPr>
          <w:noProof/>
          <w:rtl/>
        </w:rPr>
        <w:t>דברי הנוב"י דביטול בשישים אינו מדין רוב אלא דאין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הנוב"י דקיי"ל דטע"כ דאו' ושישים אינו מדין ביטול ברוב אלא דבשישים אין טעם איסור</w:t>
      </w:r>
    </w:p>
    <w:p w:rsidR="0088374B" w:rsidRPr="0050146A" w:rsidRDefault="0088374B" w:rsidP="0088374B">
      <w:pPr>
        <w:pStyle w:val="2"/>
        <w:rPr>
          <w:rFonts w:eastAsiaTheme="minorEastAsia" w:cstheme="minorBidi"/>
          <w:i/>
          <w:iCs/>
          <w:noProof/>
          <w:sz w:val="22"/>
          <w:szCs w:val="22"/>
          <w:rtl/>
        </w:rPr>
      </w:pPr>
      <w:r w:rsidRPr="0050146A">
        <w:rPr>
          <w:noProof/>
          <w:rtl/>
        </w:rPr>
        <w:t>ביאורי האחרונים בטעם ביותר מס' לרמב"ן</w:t>
      </w:r>
    </w:p>
    <w:p w:rsidR="0088374B" w:rsidRPr="0050146A" w:rsidRDefault="0088374B" w:rsidP="0088374B">
      <w:pPr>
        <w:pStyle w:val="aff4"/>
        <w:rPr>
          <w:rFonts w:eastAsiaTheme="minorEastAsia" w:cstheme="minorBidi"/>
          <w:i/>
          <w:iCs/>
          <w:noProof/>
          <w:sz w:val="22"/>
          <w:szCs w:val="22"/>
          <w:rtl/>
        </w:rPr>
      </w:pPr>
      <w:r w:rsidRPr="0050146A">
        <w:rPr>
          <w:noProof/>
          <w:rtl/>
        </w:rPr>
        <w:t>ביאור החת"ס ברמב"ן דקים להו לרבנן דאין טעם בשישים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החת"ס דלרמב"ן לא פלוג רבנן בשיעורים ולכן אף כשאין טעם צריך 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החת"ס ברמב"ן דמקובל לחז"ל דרוב האיסורים אינם נותנים טעם ביותר משישים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הרמב"ן באביי דאף במקום שאין טעם ילפינן מזרוע בשלה דצריך שישים ול"מ ביטול ברוב</w:t>
      </w:r>
    </w:p>
    <w:p w:rsidR="0088374B" w:rsidRPr="0050146A" w:rsidRDefault="0088374B" w:rsidP="0088374B">
      <w:pPr>
        <w:pStyle w:val="aff4"/>
        <w:rPr>
          <w:rFonts w:eastAsiaTheme="minorEastAsia" w:cstheme="minorBidi"/>
          <w:i/>
          <w:iCs/>
          <w:noProof/>
          <w:sz w:val="22"/>
          <w:szCs w:val="22"/>
          <w:rtl/>
        </w:rPr>
      </w:pPr>
      <w:r w:rsidRPr="0050146A">
        <w:rPr>
          <w:noProof/>
          <w:rtl/>
        </w:rPr>
        <w:t>ביאור החוו"ד ברמב"ן דבפחות מס' אסור מדאו' אף שאין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החוו"ד דשיעור שישים הוא מדאו' ולכן בנימוח גוף האיסור ל"מ קפילא בפחות משישים</w:t>
      </w:r>
    </w:p>
    <w:p w:rsidR="0088374B" w:rsidRPr="0050146A" w:rsidRDefault="0088374B" w:rsidP="0088374B">
      <w:pPr>
        <w:pStyle w:val="aff4"/>
        <w:rPr>
          <w:rFonts w:eastAsiaTheme="minorEastAsia" w:cstheme="minorBidi"/>
          <w:i/>
          <w:iCs/>
          <w:noProof/>
          <w:sz w:val="22"/>
          <w:szCs w:val="22"/>
          <w:rtl/>
        </w:rPr>
      </w:pPr>
      <w:r w:rsidRPr="0050146A">
        <w:rPr>
          <w:noProof/>
          <w:rtl/>
        </w:rPr>
        <w:t>ביאור החוו"ד ברש"י דבגוף הטעם אף מדאו' צריך ביטול ברוב</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החוו"ד ברש"י דגוף הטעם אסור מדאו' אף למ"ד דטע"כ דרבנן ולכן כתב רש"י דיש בו ביטול</w:t>
      </w:r>
    </w:p>
    <w:p w:rsidR="0088374B" w:rsidRPr="0050146A" w:rsidRDefault="0088374B" w:rsidP="0088374B">
      <w:pPr>
        <w:pStyle w:val="2"/>
        <w:rPr>
          <w:rFonts w:eastAsiaTheme="minorEastAsia" w:cstheme="minorBidi"/>
          <w:i/>
          <w:iCs/>
          <w:noProof/>
          <w:sz w:val="22"/>
          <w:szCs w:val="22"/>
          <w:rtl/>
        </w:rPr>
      </w:pPr>
      <w:r w:rsidRPr="0050146A">
        <w:rPr>
          <w:noProof/>
          <w:rtl/>
        </w:rPr>
        <w:t>באיסור טעם ביותר מס' מדאו' או דרבנן</w:t>
      </w:r>
    </w:p>
    <w:p w:rsidR="0088374B" w:rsidRPr="0050146A" w:rsidRDefault="0088374B" w:rsidP="0088374B">
      <w:pPr>
        <w:pStyle w:val="aff4"/>
        <w:rPr>
          <w:rFonts w:eastAsiaTheme="minorEastAsia" w:cstheme="minorBidi"/>
          <w:i/>
          <w:iCs/>
          <w:noProof/>
          <w:sz w:val="22"/>
          <w:szCs w:val="22"/>
          <w:rtl/>
        </w:rPr>
      </w:pPr>
      <w:r w:rsidRPr="0050146A">
        <w:rPr>
          <w:noProof/>
          <w:rtl/>
        </w:rPr>
        <w:t>דעת האיסור והיתר דאיסור טעם ביותר משישים הוא מדרבנן</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האיסור והיתר דבמקום שהטעם התפשט בשישים ונשאר טעם משהו אסור מדרבנן ולא מדאו'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ביאור הפרמ"ג דטעם קלוש לא אסרה תורה וביאור החת"ס דהוא קיוהא בעלמא ולא טעם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היד יהודה דלדידן דטע"כ דאו' אפש"ל דטעם הנרגש ביותר משישים אינו טעם אלא חריפות</w:t>
      </w:r>
    </w:p>
    <w:p w:rsidR="0088374B" w:rsidRPr="0050146A" w:rsidRDefault="0088374B" w:rsidP="0088374B">
      <w:pPr>
        <w:pStyle w:val="aff4"/>
        <w:rPr>
          <w:rFonts w:eastAsiaTheme="minorEastAsia" w:cstheme="minorBidi"/>
          <w:i/>
          <w:iCs/>
          <w:noProof/>
          <w:sz w:val="22"/>
          <w:szCs w:val="22"/>
          <w:rtl/>
        </w:rPr>
      </w:pPr>
      <w:r w:rsidRPr="0050146A">
        <w:rPr>
          <w:noProof/>
          <w:rtl/>
        </w:rPr>
        <w:t>דעת הר"ן דאיסור טעם ביותר משישים הוא מדאו'</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הפרמ"ג והגרעק"א דבדברי הר"ן מבואר דאף ביותר משישים כל שיש טעם אסור מדאו'</w:t>
      </w:r>
    </w:p>
    <w:p w:rsidR="0088374B" w:rsidRPr="0050146A" w:rsidRDefault="0088374B" w:rsidP="0088374B">
      <w:pPr>
        <w:pStyle w:val="2"/>
        <w:rPr>
          <w:noProof/>
          <w:rtl/>
        </w:rPr>
      </w:pPr>
      <w:r w:rsidRPr="0050146A">
        <w:rPr>
          <w:noProof/>
          <w:rtl/>
        </w:rPr>
        <w:t>ביאורי ראשי הישיבות</w:t>
      </w:r>
    </w:p>
    <w:p w:rsidR="0088374B" w:rsidRPr="0050146A" w:rsidRDefault="0088374B" w:rsidP="0088374B">
      <w:pPr>
        <w:pStyle w:val="aff4"/>
        <w:rPr>
          <w:rFonts w:eastAsiaTheme="minorEastAsia" w:cstheme="minorBidi"/>
          <w:i/>
          <w:iCs/>
          <w:noProof/>
          <w:sz w:val="22"/>
          <w:szCs w:val="22"/>
          <w:rtl/>
        </w:rPr>
      </w:pPr>
      <w:r w:rsidRPr="0050146A">
        <w:rPr>
          <w:noProof/>
          <w:rtl/>
        </w:rPr>
        <w:t>דברי הגר"ח בגדר ביטול טעם ביותר משישים</w:t>
      </w:r>
    </w:p>
    <w:p w:rsidR="0088374B" w:rsidRPr="0050146A" w:rsidRDefault="0088374B" w:rsidP="0088374B">
      <w:pPr>
        <w:pStyle w:val="aff2"/>
        <w:numPr>
          <w:ilvl w:val="0"/>
          <w:numId w:val="3"/>
        </w:numPr>
        <w:rPr>
          <w:rFonts w:eastAsiaTheme="minorEastAsia" w:cstheme="minorBidi"/>
          <w:sz w:val="22"/>
          <w:szCs w:val="22"/>
          <w:rtl/>
        </w:rPr>
      </w:pPr>
      <w:r w:rsidRPr="0050146A">
        <w:rPr>
          <w:rtl/>
        </w:rPr>
        <w:t>דברי הגר"ח דשיעור שישים מהני לבטל טעם מדין ביטול דמתבטל בו דין טעם כעיקר</w:t>
      </w:r>
    </w:p>
    <w:p w:rsidR="0088374B" w:rsidRPr="0050146A" w:rsidRDefault="0088374B" w:rsidP="0088374B">
      <w:pPr>
        <w:pStyle w:val="aff2"/>
        <w:numPr>
          <w:ilvl w:val="0"/>
          <w:numId w:val="3"/>
        </w:numPr>
      </w:pPr>
      <w:r w:rsidRPr="0050146A">
        <w:rPr>
          <w:rFonts w:hint="cs"/>
          <w:rtl/>
        </w:rPr>
        <w:t xml:space="preserve">ביאור הגר"ח דכשיש רוב טעם היתר וטעם האיסור אינו מורגש בכה"ג יש דין ביטול בטעם </w:t>
      </w:r>
    </w:p>
    <w:p w:rsidR="0088374B" w:rsidRPr="0050146A" w:rsidRDefault="0088374B" w:rsidP="0088374B">
      <w:pPr>
        <w:pStyle w:val="aff2"/>
        <w:numPr>
          <w:ilvl w:val="0"/>
          <w:numId w:val="3"/>
        </w:numPr>
        <w:rPr>
          <w:rFonts w:eastAsiaTheme="minorEastAsia" w:cstheme="minorBidi"/>
          <w:sz w:val="22"/>
          <w:szCs w:val="22"/>
          <w:rtl/>
        </w:rPr>
        <w:sectPr w:rsidR="0088374B" w:rsidRPr="0050146A" w:rsidSect="007C6A7B">
          <w:type w:val="continuous"/>
          <w:pgSz w:w="11906" w:h="16838"/>
          <w:pgMar w:top="720" w:right="720" w:bottom="720" w:left="720" w:header="283" w:footer="283" w:gutter="0"/>
          <w:cols w:num="2" w:space="113"/>
          <w:bidi/>
          <w:rtlGutter/>
          <w:docGrid w:linePitch="299"/>
        </w:sectPr>
      </w:pPr>
      <w:r w:rsidRPr="0050146A">
        <w:rPr>
          <w:rtl/>
        </w:rPr>
        <w:t>הביאור הב' בגר"ח דטעם שמעורב בשישים אינו נחשב טעם כלל ופקע ממנו דין טעם כעיקר</w:t>
      </w:r>
    </w:p>
    <w:p w:rsidR="0088374B" w:rsidRPr="0050146A" w:rsidRDefault="0088374B" w:rsidP="0088374B">
      <w:pPr>
        <w:pStyle w:val="aff2"/>
        <w:rPr>
          <w:rFonts w:eastAsiaTheme="minorEastAsia" w:cstheme="minorBidi"/>
          <w:sz w:val="22"/>
          <w:szCs w:val="22"/>
          <w:rtl/>
        </w:rPr>
      </w:pPr>
    </w:p>
    <w:p w:rsidR="0088374B" w:rsidRPr="0050146A" w:rsidRDefault="0088374B" w:rsidP="0088374B">
      <w:pPr>
        <w:pStyle w:val="aff4"/>
        <w:rPr>
          <w:rtl/>
        </w:rPr>
        <w:sectPr w:rsidR="0088374B" w:rsidRPr="0050146A" w:rsidSect="007C6A7B">
          <w:type w:val="continuous"/>
          <w:pgSz w:w="11906" w:h="16838"/>
          <w:pgMar w:top="720" w:right="720" w:bottom="720" w:left="720" w:header="283" w:footer="283" w:gutter="0"/>
          <w:cols w:num="2" w:space="113"/>
          <w:bidi/>
          <w:rtlGutter/>
          <w:docGrid w:linePitch="299"/>
        </w:sectPr>
      </w:pPr>
      <w:r w:rsidRPr="0050146A">
        <w:rPr>
          <w:rtl/>
        </w:rPr>
        <w:fldChar w:fldCharType="end"/>
      </w:r>
    </w:p>
    <w:p w:rsidR="0088374B" w:rsidRPr="0050146A" w:rsidRDefault="0088374B" w:rsidP="00E669F8">
      <w:pPr>
        <w:pStyle w:val="afd"/>
        <w:rPr>
          <w:rtl/>
        </w:rPr>
      </w:pPr>
      <w:bookmarkStart w:id="3998" w:name="_Toc11054225"/>
      <w:bookmarkStart w:id="3999" w:name="_Toc11096284"/>
      <w:bookmarkStart w:id="4000" w:name="_Toc11231328"/>
      <w:bookmarkStart w:id="4001" w:name="_Toc11236478"/>
      <w:bookmarkStart w:id="4002" w:name="_Toc11406450"/>
      <w:bookmarkStart w:id="4003" w:name="_Toc11599974"/>
      <w:bookmarkStart w:id="4004" w:name="_Toc11625281"/>
      <w:bookmarkStart w:id="4005" w:name="_Toc11664748"/>
      <w:r w:rsidRPr="0050146A">
        <w:rPr>
          <w:rFonts w:hint="cs"/>
          <w:rtl/>
        </w:rPr>
        <w:lastRenderedPageBreak/>
        <w:t>מראי מקומות וביאורים</w:t>
      </w:r>
      <w:bookmarkEnd w:id="3998"/>
      <w:bookmarkEnd w:id="3999"/>
      <w:bookmarkEnd w:id="4000"/>
      <w:bookmarkEnd w:id="4001"/>
      <w:bookmarkEnd w:id="4002"/>
      <w:bookmarkEnd w:id="4003"/>
      <w:bookmarkEnd w:id="4004"/>
      <w:bookmarkEnd w:id="4005"/>
    </w:p>
    <w:p w:rsidR="0088374B" w:rsidRPr="0050146A" w:rsidRDefault="0088374B" w:rsidP="0088374B">
      <w:pPr>
        <w:pStyle w:val="2"/>
        <w:keepNext w:val="0"/>
        <w:keepLines w:val="0"/>
        <w:bidi w:val="0"/>
        <w:rPr>
          <w:rFonts w:asciiTheme="minorHAnsi" w:hAnsiTheme="minorHAnsi"/>
          <w:bCs/>
          <w:sz w:val="18"/>
          <w:szCs w:val="28"/>
          <w:rtl/>
        </w:rPr>
        <w:sectPr w:rsidR="0088374B" w:rsidRPr="0050146A" w:rsidSect="00E4247A">
          <w:pgSz w:w="11906" w:h="16838"/>
          <w:pgMar w:top="720" w:right="720" w:bottom="720" w:left="720" w:header="283" w:footer="283" w:gutter="0"/>
          <w:cols w:space="720"/>
          <w:bidi/>
          <w:rtlGutter/>
          <w:docGrid w:linePitch="299"/>
        </w:sectPr>
      </w:pPr>
    </w:p>
    <w:p w:rsidR="0088374B" w:rsidRPr="0050146A" w:rsidRDefault="0088374B" w:rsidP="00E669F8">
      <w:pPr>
        <w:pStyle w:val="afd"/>
        <w:rPr>
          <w:rtl/>
        </w:rPr>
      </w:pPr>
      <w:bookmarkStart w:id="4006" w:name="_Toc11599975"/>
      <w:bookmarkStart w:id="4007" w:name="_Toc11625282"/>
      <w:bookmarkStart w:id="4008" w:name="_Toc11664749"/>
      <w:bookmarkStart w:id="4009" w:name="_Toc11406454"/>
      <w:bookmarkStart w:id="4010" w:name="_Toc11096287"/>
      <w:r w:rsidRPr="0050146A">
        <w:rPr>
          <w:rFonts w:hint="cs"/>
          <w:rtl/>
        </w:rPr>
        <w:t>ביאור רש"י בדעת אביי ורבא בזרוע בשלה</w:t>
      </w:r>
      <w:bookmarkEnd w:id="4006"/>
      <w:bookmarkEnd w:id="4007"/>
      <w:bookmarkEnd w:id="4008"/>
    </w:p>
    <w:p w:rsidR="0088374B" w:rsidRPr="0050146A" w:rsidRDefault="0088374B" w:rsidP="0088374B">
      <w:pPr>
        <w:pStyle w:val="1"/>
        <w:rPr>
          <w:rtl/>
        </w:rPr>
      </w:pPr>
      <w:bookmarkStart w:id="4011" w:name="_Toc11599976"/>
      <w:bookmarkStart w:id="4012" w:name="_Toc11625283"/>
      <w:bookmarkStart w:id="4013" w:name="_Toc11664750"/>
      <w:r w:rsidRPr="0050146A">
        <w:rPr>
          <w:rFonts w:hint="cs"/>
          <w:rtl/>
        </w:rPr>
        <w:t>דברי רש"י דלא ילפינן מזרוע בשלה להתיר טעם בשישים</w:t>
      </w:r>
      <w:bookmarkEnd w:id="4011"/>
      <w:bookmarkEnd w:id="4012"/>
      <w:bookmarkEnd w:id="4013"/>
      <w:r w:rsidRPr="0050146A">
        <w:rPr>
          <w:rFonts w:hint="cs"/>
          <w:rtl/>
        </w:rPr>
        <w:t xml:space="preserve"> </w:t>
      </w:r>
    </w:p>
    <w:p w:rsidR="0088374B" w:rsidRPr="0050146A" w:rsidRDefault="0088374B" w:rsidP="0088374B">
      <w:pPr>
        <w:pStyle w:val="a2"/>
        <w:rPr>
          <w:rtl/>
        </w:rPr>
      </w:pPr>
      <w:bookmarkStart w:id="4014" w:name="_Toc11599977"/>
      <w:bookmarkStart w:id="4015" w:name="_Toc11625284"/>
      <w:bookmarkStart w:id="4016" w:name="_Toc11664751"/>
      <w:r w:rsidRPr="0050146A">
        <w:rPr>
          <w:rFonts w:hint="cs"/>
          <w:rtl/>
        </w:rPr>
        <w:t>דברי רש"י דאפשר למילף דמהני ביטול בשישים אף כשיש טעם מ"מ החמירו דטעמא לא בטיל</w:t>
      </w:r>
      <w:bookmarkEnd w:id="4014"/>
      <w:bookmarkEnd w:id="4015"/>
      <w:bookmarkEnd w:id="4016"/>
    </w:p>
    <w:p w:rsidR="0088374B" w:rsidRPr="0050146A" w:rsidRDefault="0088374B" w:rsidP="009F44AF">
      <w:pPr>
        <w:pStyle w:val="a"/>
        <w:numPr>
          <w:ilvl w:val="0"/>
          <w:numId w:val="12"/>
        </w:numPr>
        <w:rPr>
          <w:rtl/>
        </w:rPr>
      </w:pPr>
      <w:bookmarkStart w:id="4017" w:name="_Ref11616023"/>
      <w:r w:rsidRPr="0050146A">
        <w:rPr>
          <w:rFonts w:hint="cs"/>
          <w:rtl/>
        </w:rPr>
        <w:t xml:space="preserve">בילפותא דזרוע בשלה, ביאר </w:t>
      </w:r>
      <w:r w:rsidRPr="0050146A">
        <w:rPr>
          <w:rStyle w:val="af8"/>
          <w:rFonts w:hint="cs"/>
          <w:rtl/>
        </w:rPr>
        <w:t>רש"י</w:t>
      </w:r>
      <w:r w:rsidRPr="0050146A">
        <w:rPr>
          <w:rFonts w:hint="cs"/>
          <w:rtl/>
        </w:rPr>
        <w:t xml:space="preserve"> </w:t>
      </w:r>
      <w:r w:rsidRPr="009F44AF">
        <w:rPr>
          <w:rStyle w:val="af6"/>
          <w:rFonts w:eastAsia="Guttman Hodes" w:hint="cs"/>
          <w:rtl/>
        </w:rPr>
        <w:t>(צח. ד"ה זרוע)</w:t>
      </w:r>
      <w:r w:rsidRPr="0050146A">
        <w:rPr>
          <w:rFonts w:hint="cs"/>
          <w:rtl/>
        </w:rPr>
        <w:t xml:space="preserve"> דהילפותא היא דאף שהזרוע של האיל היא ניתנת לכהן, ואסורה לזרים, ואילו שאר האיל הוא שלמים ונאכל לבעלים, מ"מ אין הזרוע אוסרת את האיל, וכתב </w:t>
      </w:r>
      <w:r w:rsidRPr="0050146A">
        <w:rPr>
          <w:rStyle w:val="af8"/>
          <w:rFonts w:hint="cs"/>
          <w:rtl/>
        </w:rPr>
        <w:t>רש"י</w:t>
      </w:r>
      <w:r w:rsidRPr="009F44AF">
        <w:rPr>
          <w:rStyle w:val="af6"/>
          <w:rFonts w:eastAsia="Guttman Hodes" w:hint="cs"/>
          <w:rtl/>
        </w:rPr>
        <w:t xml:space="preserve"> (ד"ה ושניהם)</w:t>
      </w:r>
      <w:r w:rsidRPr="0050146A">
        <w:rPr>
          <w:rFonts w:hint="cs"/>
          <w:rtl/>
        </w:rPr>
        <w:t xml:space="preserve"> דאף דאפשר ללמוד מזרוע בשלה דמהני ביטול בשישים, אף במקום שיש נתינת טעם, דהא זרוע בשלה הוא מין במינו, והיה אפש"ל דאם זרוע בשלה היה מין בשאינו מינו הייתה נתינת טעם אף בשישים או במאה, וא"כ אפשר ללמוד דמהני ביטול בשישים או במאה, אף במקום שיש נתינת טעם, מ"מ החמירו רבנן דטעמא לא בטיל, ועי' במ"ש באריכות בביאור דעת </w:t>
      </w:r>
      <w:r w:rsidRPr="0050146A">
        <w:rPr>
          <w:rStyle w:val="af8"/>
          <w:rFonts w:hint="cs"/>
          <w:rtl/>
        </w:rPr>
        <w:t>רש"י</w:t>
      </w:r>
      <w:r w:rsidRPr="0050146A">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Ref11098359 \r \h</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9F44AF">
        <w:rPr>
          <w:rStyle w:val="af6"/>
          <w:rFonts w:eastAsia="Guttman Hodes"/>
          <w:rtl/>
        </w:rPr>
        <w:fldChar w:fldCharType="end"/>
      </w:r>
      <w:r w:rsidRPr="009F44AF">
        <w:rPr>
          <w:rStyle w:val="af6"/>
          <w:rFonts w:eastAsia="Guttman Hodes" w:hint="cs"/>
          <w:rtl/>
        </w:rPr>
        <w:t xml:space="preserve"> </w:t>
      </w:r>
      <w:r w:rsidRPr="0050146A">
        <w:rPr>
          <w:rFonts w:hint="cs"/>
          <w:rtl/>
        </w:rPr>
        <w:t xml:space="preserve">במקום שיש טעם ביותר משישים, ובמה שהקשה </w:t>
      </w:r>
      <w:r w:rsidRPr="0050146A">
        <w:rPr>
          <w:rStyle w:val="af8"/>
          <w:rFonts w:hint="cs"/>
          <w:rtl/>
        </w:rPr>
        <w:t>הריטב"א</w:t>
      </w:r>
      <w:r w:rsidRPr="009F44AF">
        <w:rPr>
          <w:rStyle w:val="af6"/>
          <w:rFonts w:eastAsia="Guttman Hodes" w:hint="cs"/>
          <w:rtl/>
        </w:rPr>
        <w:t xml:space="preserve"> (עי'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Ref11098483 \r \h</w:instrText>
      </w:r>
      <w:r w:rsidRPr="009F44AF">
        <w:rPr>
          <w:rStyle w:val="af6"/>
          <w:rFonts w:eastAsia="Guttman Hodes"/>
          <w:rtl/>
        </w:rPr>
        <w:instrText xml:space="preserve">  \* </w:instrText>
      </w:r>
      <w:r w:rsidRPr="009F44AF">
        <w:rPr>
          <w:rStyle w:val="af6"/>
          <w:rFonts w:eastAsia="Guttman Hodes"/>
        </w:rPr>
        <w:instrText>MERGEFORMAT</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9F44AF">
        <w:rPr>
          <w:rStyle w:val="af6"/>
          <w:rFonts w:eastAsia="Guttman Hodes"/>
          <w:rtl/>
        </w:rPr>
        <w:fldChar w:fldCharType="end"/>
      </w:r>
      <w:r w:rsidRPr="0050146A">
        <w:rPr>
          <w:rFonts w:hint="cs"/>
          <w:rtl/>
        </w:rPr>
        <w:t xml:space="preserve"> על דברי </w:t>
      </w:r>
      <w:r w:rsidRPr="0050146A">
        <w:rPr>
          <w:rStyle w:val="af8"/>
          <w:rFonts w:hint="cs"/>
          <w:rtl/>
        </w:rPr>
        <w:t>רש"י</w:t>
      </w:r>
      <w:r w:rsidRPr="0050146A">
        <w:rPr>
          <w:rFonts w:hint="cs"/>
          <w:rtl/>
        </w:rPr>
        <w:t xml:space="preserve">, ובמה שביארו </w:t>
      </w:r>
      <w:r w:rsidRPr="0050146A">
        <w:rPr>
          <w:rStyle w:val="af8"/>
          <w:rFonts w:hint="cs"/>
          <w:rtl/>
        </w:rPr>
        <w:t>הראש יוסף</w:t>
      </w:r>
      <w:r w:rsidRPr="009F44AF">
        <w:rPr>
          <w:rStyle w:val="af6"/>
          <w:rFonts w:eastAsia="Guttman Hodes" w:hint="cs"/>
          <w:rtl/>
        </w:rPr>
        <w:t xml:space="preserve"> (עי'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Ref11405210 \r \h</w:instrText>
      </w:r>
      <w:r w:rsidRPr="009F44AF">
        <w:rPr>
          <w:rStyle w:val="af6"/>
          <w:rFonts w:eastAsia="Guttman Hodes"/>
          <w:rtl/>
        </w:rPr>
        <w:instrText xml:space="preserve">  \* </w:instrText>
      </w:r>
      <w:r w:rsidRPr="009F44AF">
        <w:rPr>
          <w:rStyle w:val="af6"/>
          <w:rFonts w:eastAsia="Guttman Hodes"/>
        </w:rPr>
        <w:instrText>MERGEFORMAT</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פט)</w:t>
      </w:r>
      <w:r w:rsidRPr="009F44AF">
        <w:rPr>
          <w:rStyle w:val="af6"/>
          <w:rFonts w:eastAsia="Guttman Hodes"/>
          <w:rtl/>
        </w:rPr>
        <w:fldChar w:fldCharType="end"/>
      </w:r>
      <w:r w:rsidRPr="0050146A">
        <w:rPr>
          <w:rFonts w:hint="cs"/>
          <w:rtl/>
        </w:rPr>
        <w:t xml:space="preserve"> </w:t>
      </w:r>
      <w:r w:rsidRPr="0050146A">
        <w:rPr>
          <w:rStyle w:val="af8"/>
          <w:rFonts w:hint="cs"/>
          <w:rtl/>
        </w:rPr>
        <w:t>והאבנ"ז</w:t>
      </w:r>
      <w:r w:rsidRPr="0050146A">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Ref11664679 \r \h</w:instrText>
      </w:r>
      <w:r w:rsidRPr="009F44AF">
        <w:rPr>
          <w:rStyle w:val="af6"/>
          <w:rFonts w:eastAsia="Guttman Hodes"/>
          <w:rtl/>
        </w:rPr>
        <w:instrText xml:space="preserve">  \* </w:instrText>
      </w:r>
      <w:r w:rsidRPr="009F44AF">
        <w:rPr>
          <w:rStyle w:val="af6"/>
          <w:rFonts w:eastAsia="Guttman Hodes"/>
        </w:rPr>
        <w:instrText>MERGEFORMAT</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9F44AF">
        <w:rPr>
          <w:rStyle w:val="af6"/>
          <w:rFonts w:eastAsia="Guttman Hodes"/>
          <w:rtl/>
        </w:rPr>
        <w:fldChar w:fldCharType="end"/>
      </w:r>
      <w:r w:rsidRPr="0050146A">
        <w:rPr>
          <w:rFonts w:hint="cs"/>
          <w:rtl/>
        </w:rPr>
        <w:t xml:space="preserve"> </w:t>
      </w:r>
      <w:r w:rsidRPr="0050146A">
        <w:rPr>
          <w:rStyle w:val="af8"/>
          <w:rFonts w:hint="cs"/>
          <w:rtl/>
        </w:rPr>
        <w:t>והחת"ס</w:t>
      </w:r>
      <w:r w:rsidRPr="0050146A">
        <w:rPr>
          <w:rFonts w:hint="cs"/>
          <w:rtl/>
        </w:rPr>
        <w:t xml:space="preserve"> </w:t>
      </w:r>
      <w:r w:rsidR="0004466A" w:rsidRPr="009F44AF">
        <w:rPr>
          <w:rStyle w:val="af6"/>
          <w:rFonts w:eastAsia="Guttman Hodes" w:hint="cs"/>
          <w:rtl/>
        </w:rPr>
        <w:t>(עי' אות</w:t>
      </w:r>
      <w:r w:rsidRPr="009F44AF">
        <w:rPr>
          <w:rStyle w:val="af6"/>
          <w:rFonts w:eastAsia="Guttman Hodes" w:hint="cs"/>
          <w:rtl/>
        </w:rPr>
        <w:t xml:space="preserve">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Ref11659360 \r \h</w:instrText>
      </w:r>
      <w:r w:rsidRPr="009F44AF">
        <w:rPr>
          <w:rStyle w:val="af6"/>
          <w:rFonts w:eastAsia="Guttman Hodes"/>
          <w:rtl/>
        </w:rPr>
        <w:instrText xml:space="preserve">  \* </w:instrText>
      </w:r>
      <w:r w:rsidRPr="009F44AF">
        <w:rPr>
          <w:rStyle w:val="af6"/>
          <w:rFonts w:eastAsia="Guttman Hodes"/>
        </w:rPr>
        <w:instrText>MERGEFORMAT</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9F44AF">
        <w:rPr>
          <w:rStyle w:val="af6"/>
          <w:rFonts w:eastAsia="Guttman Hodes"/>
          <w:rtl/>
        </w:rPr>
        <w:fldChar w:fldCharType="end"/>
      </w:r>
      <w:r w:rsidRPr="0050146A">
        <w:rPr>
          <w:rFonts w:hint="cs"/>
          <w:rtl/>
        </w:rPr>
        <w:t xml:space="preserve"> </w:t>
      </w:r>
      <w:r w:rsidRPr="0050146A">
        <w:rPr>
          <w:rStyle w:val="af8"/>
          <w:rFonts w:hint="cs"/>
          <w:rtl/>
        </w:rPr>
        <w:t>והיד יהודה</w:t>
      </w:r>
      <w:r w:rsidRPr="0050146A">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Ref11663356 \r \h</w:instrText>
      </w:r>
      <w:r w:rsidRPr="009F44AF">
        <w:rPr>
          <w:rStyle w:val="af6"/>
          <w:rFonts w:eastAsia="Guttman Hodes"/>
          <w:rtl/>
        </w:rPr>
        <w:instrText xml:space="preserve">  \* </w:instrText>
      </w:r>
      <w:r w:rsidRPr="009F44AF">
        <w:rPr>
          <w:rStyle w:val="af6"/>
          <w:rFonts w:eastAsia="Guttman Hodes"/>
        </w:rPr>
        <w:instrText>MERGEFORMAT</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קטו)</w:t>
      </w:r>
      <w:r w:rsidRPr="009F44AF">
        <w:rPr>
          <w:rStyle w:val="af6"/>
          <w:rFonts w:eastAsia="Guttman Hodes"/>
          <w:rtl/>
        </w:rPr>
        <w:fldChar w:fldCharType="end"/>
      </w:r>
      <w:r w:rsidRPr="0050146A">
        <w:rPr>
          <w:rFonts w:hint="cs"/>
          <w:rtl/>
        </w:rPr>
        <w:t>.</w:t>
      </w:r>
      <w:bookmarkEnd w:id="4017"/>
    </w:p>
    <w:p w:rsidR="0088374B" w:rsidRPr="0050146A" w:rsidRDefault="0088374B" w:rsidP="0088374B">
      <w:pPr>
        <w:pStyle w:val="1"/>
        <w:rPr>
          <w:rtl/>
        </w:rPr>
      </w:pPr>
      <w:bookmarkStart w:id="4018" w:name="_Toc11599978"/>
      <w:bookmarkStart w:id="4019" w:name="_Toc11625285"/>
      <w:bookmarkStart w:id="4020" w:name="_Toc11664752"/>
      <w:r w:rsidRPr="0050146A">
        <w:rPr>
          <w:rFonts w:hint="cs"/>
          <w:rtl/>
        </w:rPr>
        <w:t>דברי רש"י דלאביי ילפינן מזרוע בשלה דל"מ רוב וצריך שישים</w:t>
      </w:r>
      <w:bookmarkEnd w:id="4009"/>
      <w:bookmarkEnd w:id="4018"/>
      <w:bookmarkEnd w:id="4019"/>
      <w:bookmarkEnd w:id="4020"/>
    </w:p>
    <w:p w:rsidR="0088374B" w:rsidRPr="0050146A" w:rsidRDefault="0088374B" w:rsidP="0088374B">
      <w:pPr>
        <w:pStyle w:val="a2"/>
        <w:rPr>
          <w:rtl/>
        </w:rPr>
      </w:pPr>
      <w:bookmarkStart w:id="4021" w:name="_Toc11406455"/>
      <w:bookmarkStart w:id="4022" w:name="_Toc11599979"/>
      <w:bookmarkStart w:id="4023" w:name="_Toc11625286"/>
      <w:bookmarkStart w:id="4024" w:name="_Toc11664753"/>
      <w:bookmarkStart w:id="4025" w:name="_Toc11231331"/>
      <w:bookmarkStart w:id="4026" w:name="_Toc11236481"/>
      <w:r w:rsidRPr="0050146A">
        <w:rPr>
          <w:rFonts w:hint="cs"/>
          <w:rtl/>
        </w:rPr>
        <w:t>דברי רש"י דזרוע בשלה הוא היתר אף שהיא מין במינו אך ילפינן ממנה רק למין בשאינו מינו</w:t>
      </w:r>
      <w:bookmarkEnd w:id="4021"/>
      <w:bookmarkEnd w:id="4022"/>
      <w:bookmarkEnd w:id="4023"/>
      <w:bookmarkEnd w:id="4024"/>
    </w:p>
    <w:p w:rsidR="0088374B" w:rsidRPr="0050146A" w:rsidRDefault="0088374B" w:rsidP="009F44AF">
      <w:pPr>
        <w:pStyle w:val="a"/>
        <w:rPr>
          <w:rtl/>
        </w:rPr>
      </w:pPr>
      <w:bookmarkStart w:id="4027" w:name="_Ref11181006"/>
      <w:r w:rsidRPr="0050146A">
        <w:rPr>
          <w:rFonts w:hint="cs"/>
          <w:rtl/>
        </w:rPr>
        <w:t xml:space="preserve">בדברי אביי שתירץ את לשון הברייתא "זהו היתר הבא מכלל איסור" לדעת ר"י, ביאר </w:t>
      </w:r>
      <w:r w:rsidRPr="0050146A">
        <w:rPr>
          <w:rStyle w:val="af8"/>
          <w:rFonts w:hint="cs"/>
          <w:rtl/>
        </w:rPr>
        <w:t>רש"י</w:t>
      </w:r>
      <w:r w:rsidRPr="0050146A">
        <w:rPr>
          <w:rFonts w:hint="cs"/>
          <w:rtl/>
        </w:rPr>
        <w:t xml:space="preserve"> </w:t>
      </w:r>
      <w:r w:rsidRPr="0050146A">
        <w:rPr>
          <w:rStyle w:val="af6"/>
          <w:rFonts w:eastAsia="Guttman Hodes" w:hint="cs"/>
          <w:sz w:val="12"/>
          <w:szCs w:val="14"/>
          <w:rtl/>
        </w:rPr>
        <w:t>(</w:t>
      </w:r>
      <w:r w:rsidRPr="0050146A">
        <w:rPr>
          <w:rStyle w:val="af6"/>
          <w:rFonts w:eastAsia="Guttman Hodes" w:hint="cs"/>
          <w:rtl/>
        </w:rPr>
        <w:t xml:space="preserve">צח: </w:t>
      </w:r>
      <w:r w:rsidRPr="0050146A">
        <w:rPr>
          <w:rStyle w:val="af6"/>
          <w:rFonts w:eastAsia="Guttman Hodes" w:hint="cs"/>
          <w:sz w:val="12"/>
          <w:szCs w:val="14"/>
          <w:rtl/>
        </w:rPr>
        <w:t>ד"ה אלא לר"י)</w:t>
      </w:r>
      <w:r w:rsidRPr="0050146A">
        <w:rPr>
          <w:rFonts w:hint="cs"/>
          <w:sz w:val="20"/>
          <w:szCs w:val="20"/>
          <w:rtl/>
        </w:rPr>
        <w:t xml:space="preserve"> </w:t>
      </w:r>
      <w:r w:rsidRPr="0050146A">
        <w:rPr>
          <w:rFonts w:hint="cs"/>
          <w:rtl/>
        </w:rPr>
        <w:t xml:space="preserve">דכיון דס"ל לר"י דמין במינו לא בטיל, ואילו בזרוע בשלה מהני ביטול, לכן אמרינן זהו היתר הבא מכלל איסור, דהיינו דלמין במינו לא ילפינן מזרוע בשלה דמהני ביטול, אבל למין בשאינו מינו ילפינן מזרוע בשלה דמהני ביטול בשישים או במאה, ועי' במה שביאר </w:t>
      </w:r>
      <w:r w:rsidRPr="0050146A">
        <w:rPr>
          <w:rStyle w:val="af8"/>
          <w:rFonts w:hint="cs"/>
          <w:rtl/>
        </w:rPr>
        <w:t>הראש יוסף</w:t>
      </w:r>
      <w:r w:rsidRPr="0050146A">
        <w:rPr>
          <w:rFonts w:hint="cs"/>
          <w:rtl/>
        </w:rPr>
        <w:t xml:space="preserve"> </w:t>
      </w:r>
      <w:r w:rsidRPr="0050146A">
        <w:rPr>
          <w:rStyle w:val="af6"/>
          <w:rFonts w:eastAsia="Guttman Hodes" w:hint="cs"/>
          <w:sz w:val="12"/>
          <w:szCs w:val="14"/>
          <w:rtl/>
        </w:rPr>
        <w:t xml:space="preserve">(עי' אות </w:t>
      </w:r>
      <w:r w:rsidRPr="0050146A">
        <w:rPr>
          <w:rStyle w:val="af6"/>
          <w:rFonts w:eastAsia="Guttman Hodes"/>
          <w:sz w:val="12"/>
          <w:szCs w:val="14"/>
          <w:rtl/>
        </w:rPr>
        <w:fldChar w:fldCharType="begin"/>
      </w:r>
      <w:r w:rsidRPr="0050146A">
        <w:rPr>
          <w:rStyle w:val="af6"/>
          <w:rFonts w:eastAsia="Guttman Hodes"/>
          <w:sz w:val="12"/>
          <w:szCs w:val="14"/>
          <w:rtl/>
        </w:rPr>
        <w:instrText xml:space="preserve"> </w:instrText>
      </w:r>
      <w:r w:rsidRPr="0050146A">
        <w:rPr>
          <w:rStyle w:val="af6"/>
          <w:rFonts w:eastAsia="Guttman Hodes" w:hint="cs"/>
          <w:sz w:val="12"/>
          <w:szCs w:val="14"/>
        </w:rPr>
        <w:instrText>REF</w:instrText>
      </w:r>
      <w:r w:rsidRPr="0050146A">
        <w:rPr>
          <w:rStyle w:val="af6"/>
          <w:rFonts w:eastAsia="Guttman Hodes" w:hint="cs"/>
          <w:sz w:val="12"/>
          <w:szCs w:val="14"/>
          <w:rtl/>
        </w:rPr>
        <w:instrText xml:space="preserve"> _</w:instrText>
      </w:r>
      <w:r w:rsidRPr="0050146A">
        <w:rPr>
          <w:rStyle w:val="af6"/>
          <w:rFonts w:eastAsia="Guttman Hodes" w:hint="cs"/>
          <w:sz w:val="12"/>
          <w:szCs w:val="14"/>
        </w:rPr>
        <w:instrText>Ref11181073 \r \h</w:instrText>
      </w:r>
      <w:r w:rsidRPr="0050146A">
        <w:rPr>
          <w:rStyle w:val="af6"/>
          <w:rFonts w:eastAsia="Guttman Hodes"/>
          <w:sz w:val="12"/>
          <w:szCs w:val="14"/>
          <w:rtl/>
        </w:rPr>
        <w:instrText xml:space="preserve">  \* </w:instrText>
      </w:r>
      <w:r w:rsidRPr="0050146A">
        <w:rPr>
          <w:rStyle w:val="af6"/>
          <w:rFonts w:eastAsia="Guttman Hodes"/>
          <w:sz w:val="12"/>
          <w:szCs w:val="14"/>
        </w:rPr>
        <w:instrText>MERGEFORMAT</w:instrText>
      </w:r>
      <w:r w:rsidRPr="0050146A">
        <w:rPr>
          <w:rStyle w:val="af6"/>
          <w:rFonts w:eastAsia="Guttman Hodes"/>
          <w:sz w:val="12"/>
          <w:szCs w:val="14"/>
          <w:rtl/>
        </w:rPr>
        <w:instrText xml:space="preserve"> </w:instrText>
      </w:r>
      <w:r w:rsidRPr="0050146A">
        <w:rPr>
          <w:rStyle w:val="af6"/>
          <w:rFonts w:eastAsia="Guttman Hodes"/>
          <w:sz w:val="12"/>
          <w:szCs w:val="14"/>
          <w:rtl/>
        </w:rPr>
      </w:r>
      <w:r w:rsidRPr="0050146A">
        <w:rPr>
          <w:rStyle w:val="af6"/>
          <w:rFonts w:eastAsia="Guttman Hodes"/>
          <w:sz w:val="12"/>
          <w:szCs w:val="14"/>
          <w:rtl/>
        </w:rPr>
        <w:fldChar w:fldCharType="separate"/>
      </w:r>
      <w:r w:rsidR="004D1C5B">
        <w:rPr>
          <w:rStyle w:val="af6"/>
          <w:rFonts w:eastAsia="Guttman Hodes"/>
          <w:sz w:val="12"/>
          <w:szCs w:val="14"/>
          <w:cs/>
        </w:rPr>
        <w:t>‎</w:t>
      </w:r>
      <w:r w:rsidR="004D1C5B">
        <w:rPr>
          <w:rStyle w:val="af6"/>
          <w:rFonts w:eastAsia="Guttman Hodes"/>
          <w:sz w:val="12"/>
          <w:szCs w:val="14"/>
          <w:rtl/>
        </w:rPr>
        <w:t>לט)</w:t>
      </w:r>
      <w:r w:rsidRPr="0050146A">
        <w:rPr>
          <w:rStyle w:val="af6"/>
          <w:rFonts w:eastAsia="Guttman Hodes"/>
          <w:sz w:val="12"/>
          <w:szCs w:val="14"/>
          <w:rtl/>
        </w:rPr>
        <w:fldChar w:fldCharType="end"/>
      </w:r>
      <w:r w:rsidRPr="0050146A">
        <w:rPr>
          <w:rFonts w:hint="cs"/>
          <w:sz w:val="20"/>
          <w:szCs w:val="20"/>
          <w:rtl/>
        </w:rPr>
        <w:t xml:space="preserve"> </w:t>
      </w:r>
      <w:r w:rsidRPr="0050146A">
        <w:rPr>
          <w:rFonts w:hint="cs"/>
          <w:rtl/>
        </w:rPr>
        <w:t xml:space="preserve">בדברי </w:t>
      </w:r>
      <w:r w:rsidRPr="0050146A">
        <w:rPr>
          <w:rStyle w:val="af8"/>
          <w:rFonts w:hint="cs"/>
          <w:rtl/>
        </w:rPr>
        <w:t>רש"י</w:t>
      </w:r>
      <w:r w:rsidRPr="0050146A">
        <w:rPr>
          <w:rFonts w:hint="cs"/>
          <w:rtl/>
        </w:rPr>
        <w:t>.</w:t>
      </w:r>
      <w:bookmarkEnd w:id="4027"/>
    </w:p>
    <w:p w:rsidR="0088374B" w:rsidRPr="0050146A" w:rsidRDefault="0088374B" w:rsidP="0088374B">
      <w:pPr>
        <w:pStyle w:val="a2"/>
        <w:rPr>
          <w:rtl/>
        </w:rPr>
      </w:pPr>
      <w:bookmarkStart w:id="4028" w:name="_Toc11406456"/>
      <w:bookmarkStart w:id="4029" w:name="_Toc11599980"/>
      <w:bookmarkStart w:id="4030" w:name="_Toc11625287"/>
      <w:bookmarkStart w:id="4031" w:name="_Toc11664754"/>
      <w:r w:rsidRPr="0050146A">
        <w:rPr>
          <w:rFonts w:hint="cs"/>
          <w:rtl/>
        </w:rPr>
        <w:t>דברי רש"י דהא דמהני שישים בזרוע בשלה אינה קולא מיוחדת דסגי בה בביטול בשישים</w:t>
      </w:r>
      <w:bookmarkEnd w:id="4010"/>
      <w:bookmarkEnd w:id="4025"/>
      <w:bookmarkEnd w:id="4026"/>
      <w:bookmarkEnd w:id="4028"/>
      <w:bookmarkEnd w:id="4029"/>
      <w:bookmarkEnd w:id="4030"/>
      <w:bookmarkEnd w:id="4031"/>
    </w:p>
    <w:p w:rsidR="0088374B" w:rsidRPr="0050146A" w:rsidRDefault="0088374B" w:rsidP="009F44AF">
      <w:pPr>
        <w:pStyle w:val="a"/>
        <w:rPr>
          <w:rtl/>
        </w:rPr>
      </w:pPr>
      <w:bookmarkStart w:id="4032" w:name="_Ref11144652"/>
      <w:bookmarkStart w:id="4033" w:name="_Toc11054228"/>
      <w:r w:rsidRPr="0050146A">
        <w:rPr>
          <w:rFonts w:hint="cs"/>
          <w:rtl/>
        </w:rPr>
        <w:t xml:space="preserve">ובהא דאמרינן בגמ' דזרוע בשלה היא חידוש וא"א ללמוד ממנה לקולא,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אטו) </w:t>
      </w:r>
      <w:r w:rsidRPr="0050146A">
        <w:rPr>
          <w:rFonts w:hint="cs"/>
          <w:rtl/>
        </w:rPr>
        <w:t xml:space="preserve">דהו"א דהילפותא מזרוע בשלה, היא קולא מיוחדת דוקא בזרוע בשלה דכיון דהקילה בה תורה דמותר לבטלה לכתחילה, </w:t>
      </w:r>
      <w:r w:rsidRPr="0050146A">
        <w:rPr>
          <w:rStyle w:val="afa"/>
          <w:rFonts w:hint="cs"/>
          <w:rtl/>
        </w:rPr>
        <w:t xml:space="preserve">[אעפ"י דאסור לבטל איסור לכתחילה], </w:t>
      </w:r>
      <w:r w:rsidRPr="0050146A">
        <w:rPr>
          <w:rFonts w:hint="cs"/>
          <w:rtl/>
        </w:rPr>
        <w:t xml:space="preserve">לכן הקילה התורה בזרוע בשלה קולא נוספת דמהני ביטול בשישים או במאה, ועי' בדברי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Ref11231807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50146A">
        <w:rPr>
          <w:rStyle w:val="af6"/>
          <w:rFonts w:eastAsia="Guttman Hodes"/>
          <w:rtl/>
        </w:rPr>
        <w:fldChar w:fldCharType="end"/>
      </w:r>
      <w:r w:rsidRPr="0050146A">
        <w:rPr>
          <w:rFonts w:hint="cs"/>
          <w:rtl/>
        </w:rPr>
        <w:t>.</w:t>
      </w:r>
      <w:bookmarkEnd w:id="4032"/>
    </w:p>
    <w:p w:rsidR="0088374B" w:rsidRPr="0050146A" w:rsidRDefault="0088374B" w:rsidP="0088374B">
      <w:pPr>
        <w:pStyle w:val="a2"/>
      </w:pPr>
      <w:bookmarkStart w:id="4034" w:name="_Toc11406457"/>
      <w:bookmarkStart w:id="4035" w:name="_Toc11599981"/>
      <w:bookmarkStart w:id="4036" w:name="_Toc11625288"/>
      <w:bookmarkStart w:id="4037" w:name="_Toc11664755"/>
      <w:r w:rsidRPr="0050146A">
        <w:rPr>
          <w:rFonts w:hint="cs"/>
          <w:rtl/>
        </w:rPr>
        <w:t>דברי רש"י דהילפותא מזרוע בשלה שצריך שישים הוא חומרא דלא סגי בביטול ברוב</w:t>
      </w:r>
      <w:bookmarkEnd w:id="4034"/>
      <w:bookmarkEnd w:id="4035"/>
      <w:bookmarkEnd w:id="4036"/>
      <w:bookmarkEnd w:id="4037"/>
    </w:p>
    <w:p w:rsidR="002D7168" w:rsidRDefault="0088374B" w:rsidP="009F44AF">
      <w:pPr>
        <w:pStyle w:val="a"/>
        <w:rPr>
          <w:rtl/>
        </w:rPr>
      </w:pPr>
      <w:bookmarkStart w:id="4038" w:name="_Ref11180995"/>
      <w:r w:rsidRPr="0050146A">
        <w:rPr>
          <w:rFonts w:hint="cs"/>
          <w:rtl/>
        </w:rPr>
        <w:t xml:space="preserve">ובתירוץ הגמ' דהילפותא מזרוע בשלה אינה לקולא אלא היא ילפותא לחומרא, ביאר </w:t>
      </w:r>
      <w:r w:rsidRPr="0050146A">
        <w:rPr>
          <w:rStyle w:val="af8"/>
          <w:rFonts w:hint="cs"/>
          <w:rtl/>
        </w:rPr>
        <w:t>רש"י</w:t>
      </w:r>
      <w:r w:rsidRPr="0050146A">
        <w:rPr>
          <w:rStyle w:val="af6"/>
          <w:rFonts w:eastAsia="Guttman Hodes" w:hint="cs"/>
          <w:rtl/>
        </w:rPr>
        <w:t xml:space="preserve"> (ד"ה הא חומרא) </w:t>
      </w:r>
      <w:r w:rsidRPr="0050146A">
        <w:rPr>
          <w:rFonts w:hint="cs"/>
          <w:rtl/>
        </w:rPr>
        <w:t xml:space="preserve">דהא דבזרוע בשלה צריך ביטול בשישים הוא חומרא, דלא מהני ביטול ברוב, ואי בזרוע בשלה שהקילה בה תורה לא מהני רוב לבטל טעם, א"כ כ"ש בשאר איסורים, </w:t>
      </w:r>
      <w:r w:rsidRPr="0050146A">
        <w:rPr>
          <w:rStyle w:val="afa"/>
          <w:rFonts w:hint="cs"/>
          <w:rtl/>
        </w:rPr>
        <w:t xml:space="preserve">[דאסור בהם לבטל איסור לכתחילה], </w:t>
      </w:r>
      <w:r w:rsidRPr="0050146A">
        <w:rPr>
          <w:rFonts w:hint="cs"/>
          <w:rtl/>
        </w:rPr>
        <w:t xml:space="preserve">דלא סגי בביטול ברוב וצריך ביטול בשישים או במאה, </w:t>
      </w:r>
      <w:r w:rsidRPr="0050146A">
        <w:rPr>
          <w:rStyle w:val="afa"/>
          <w:rFonts w:hint="cs"/>
          <w:rtl/>
        </w:rPr>
        <w:t xml:space="preserve"> </w:t>
      </w:r>
      <w:r w:rsidRPr="0050146A">
        <w:rPr>
          <w:rFonts w:hint="cs"/>
          <w:rtl/>
        </w:rPr>
        <w:t xml:space="preserve">וביאר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דמדאו') </w:t>
      </w:r>
      <w:r w:rsidRPr="0050146A">
        <w:rPr>
          <w:rFonts w:hint="cs"/>
          <w:rtl/>
        </w:rPr>
        <w:t>דאי לא ילפינן מזרוע בשלה היה מהני ביטול ברוב ככל ביטול דאו', וכדילפינן מאחרי רבים להטות.</w:t>
      </w:r>
      <w:bookmarkEnd w:id="4038"/>
    </w:p>
    <w:p w:rsidR="0088374B" w:rsidRPr="0050146A" w:rsidRDefault="0088374B" w:rsidP="0088374B">
      <w:pPr>
        <w:pStyle w:val="1"/>
        <w:rPr>
          <w:rtl/>
        </w:rPr>
      </w:pPr>
      <w:bookmarkStart w:id="4039" w:name="_Toc11406458"/>
      <w:bookmarkStart w:id="4040" w:name="_Toc11599982"/>
      <w:bookmarkStart w:id="4041" w:name="_Toc11625289"/>
      <w:bookmarkStart w:id="4042" w:name="_Toc11664756"/>
      <w:r w:rsidRPr="0050146A">
        <w:rPr>
          <w:rFonts w:hint="cs"/>
          <w:rtl/>
        </w:rPr>
        <w:t>דברי רש"י דלרבא טעם כעיקר דרבנן וזרוע בשלה חומרא</w:t>
      </w:r>
      <w:bookmarkEnd w:id="4039"/>
      <w:bookmarkEnd w:id="4040"/>
      <w:bookmarkEnd w:id="4041"/>
      <w:bookmarkEnd w:id="4042"/>
    </w:p>
    <w:p w:rsidR="0088374B" w:rsidRPr="0050146A" w:rsidRDefault="0088374B" w:rsidP="0088374B">
      <w:pPr>
        <w:pStyle w:val="a2"/>
      </w:pPr>
      <w:bookmarkStart w:id="4043" w:name="_Toc11406459"/>
      <w:bookmarkStart w:id="4044" w:name="_Toc11599983"/>
      <w:bookmarkStart w:id="4045" w:name="_Toc11625290"/>
      <w:bookmarkStart w:id="4046" w:name="_Toc11664757"/>
      <w:bookmarkStart w:id="4047" w:name="_Ref11402368"/>
      <w:r w:rsidRPr="0050146A">
        <w:rPr>
          <w:rFonts w:hint="cs"/>
          <w:rtl/>
        </w:rPr>
        <w:t>דברי רש"י דלרבא טע"כ דרבנן ומדאו' מהני ביטול ברוב וזרוע בשלה הוא חומרא שצריך שישים</w:t>
      </w:r>
      <w:bookmarkEnd w:id="4043"/>
      <w:bookmarkEnd w:id="4044"/>
      <w:bookmarkEnd w:id="4045"/>
      <w:bookmarkEnd w:id="4046"/>
    </w:p>
    <w:p w:rsidR="0088374B" w:rsidRPr="0050146A" w:rsidRDefault="0088374B" w:rsidP="009F44AF">
      <w:pPr>
        <w:pStyle w:val="a"/>
        <w:rPr>
          <w:rtl/>
        </w:rPr>
      </w:pPr>
      <w:bookmarkStart w:id="4048" w:name="_Ref11403131"/>
      <w:r w:rsidRPr="0050146A">
        <w:rPr>
          <w:rFonts w:hint="cs"/>
          <w:rtl/>
        </w:rPr>
        <w:t xml:space="preserve">בתירוץ רבא דהא דתני בברייתא "זהו היתר הבא מכלל איסור" היינו כיון דטעם כעיקר בקדשים אסור,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לטעם כעיקר) </w:t>
      </w:r>
      <w:r w:rsidRPr="0050146A">
        <w:rPr>
          <w:rFonts w:hint="cs"/>
          <w:rtl/>
        </w:rPr>
        <w:t xml:space="preserve">דנתינת טעם בקדשים היא אוסרת כעיקר ממשו של האיסור, ולכן תני דדוקא בזרוע בשלה התירה תורה נתינת טעם, ולא בשאר קדשים, אבל לענין חולין כתב </w:t>
      </w:r>
      <w:r w:rsidRPr="0050146A">
        <w:rPr>
          <w:rStyle w:val="af8"/>
          <w:rFonts w:hint="cs"/>
          <w:rtl/>
        </w:rPr>
        <w:t>רש"י</w:t>
      </w:r>
      <w:r w:rsidRPr="0050146A">
        <w:rPr>
          <w:rFonts w:hint="cs"/>
          <w:rtl/>
        </w:rPr>
        <w:t xml:space="preserve"> דילפינן מזרוע בשלה את דין ביטול בשישים או במאה, דכיון דמדאו' הטעם בטל ברוב, מדין אחרי רבים להטות, א"כ אפשר ללמוד לחומרא מזרוע בשלה דאינו מתבטל אלא במאה ושישים, וכתב </w:t>
      </w:r>
      <w:r w:rsidRPr="0050146A">
        <w:rPr>
          <w:rStyle w:val="af8"/>
          <w:rFonts w:hint="cs"/>
          <w:rtl/>
        </w:rPr>
        <w:t>רש"י</w:t>
      </w:r>
      <w:r w:rsidRPr="0050146A">
        <w:rPr>
          <w:rFonts w:hint="cs"/>
          <w:rtl/>
        </w:rPr>
        <w:t xml:space="preserve"> דרבא ס"ל דבחולין טעם כעיקר אינו מדאו' אלא מדרבנן, וכדעת ריו"ח בע"ז </w:t>
      </w:r>
      <w:r w:rsidRPr="0050146A">
        <w:rPr>
          <w:rStyle w:val="af6"/>
          <w:rFonts w:eastAsia="Guttman Hodes" w:hint="cs"/>
          <w:rtl/>
        </w:rPr>
        <w:t xml:space="preserve">(סז.) </w:t>
      </w:r>
      <w:r w:rsidRPr="0050146A">
        <w:rPr>
          <w:rFonts w:hint="cs"/>
          <w:rtl/>
        </w:rPr>
        <w:t>דאמר דטעמו ולא ממשו אין לוקין עליו.</w:t>
      </w:r>
      <w:bookmarkEnd w:id="4047"/>
      <w:bookmarkEnd w:id="4048"/>
    </w:p>
    <w:p w:rsidR="0088374B" w:rsidRPr="0050146A" w:rsidRDefault="0088374B" w:rsidP="0088374B">
      <w:pPr>
        <w:pStyle w:val="a2"/>
        <w:rPr>
          <w:rtl/>
        </w:rPr>
      </w:pPr>
      <w:bookmarkStart w:id="4049" w:name="_Toc11406460"/>
      <w:bookmarkStart w:id="4050" w:name="_Toc11599984"/>
      <w:bookmarkStart w:id="4051" w:name="_Toc11625291"/>
      <w:bookmarkStart w:id="4052" w:name="_Toc11664758"/>
      <w:r w:rsidRPr="0050146A">
        <w:rPr>
          <w:rFonts w:hint="cs"/>
          <w:rtl/>
        </w:rPr>
        <w:t>דברי רש"י דלרבא הילפותא ממשרת לטעם כעיקר היא אסמכתא וכן לא ילפינן מגיעולי עכו"ם</w:t>
      </w:r>
      <w:bookmarkEnd w:id="4049"/>
      <w:bookmarkEnd w:id="4050"/>
      <w:bookmarkEnd w:id="4051"/>
      <w:bookmarkEnd w:id="4052"/>
    </w:p>
    <w:p w:rsidR="0088374B" w:rsidRPr="0050146A" w:rsidRDefault="0088374B" w:rsidP="009F44AF">
      <w:pPr>
        <w:pStyle w:val="a"/>
        <w:rPr>
          <w:rtl/>
        </w:rPr>
      </w:pPr>
      <w:r w:rsidRPr="0050146A">
        <w:rPr>
          <w:rFonts w:hint="cs"/>
          <w:rtl/>
        </w:rPr>
        <w:t xml:space="preserve">והוסיף </w:t>
      </w:r>
      <w:r w:rsidRPr="0050146A">
        <w:rPr>
          <w:rStyle w:val="af8"/>
          <w:rFonts w:hint="cs"/>
          <w:rtl/>
        </w:rPr>
        <w:t>רש"י</w:t>
      </w:r>
      <w:r w:rsidRPr="0050146A">
        <w:rPr>
          <w:rFonts w:hint="cs"/>
          <w:rtl/>
        </w:rPr>
        <w:t xml:space="preserve"> דהא דילפינן בגמ'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 xml:space="preserve">ממשרת דטעם כעיקר, ס"ל לרבא ולריו"ח דהם בתראי דהוא אסמכתא בעלמא, ולא ילפינן מיניה, כיון דהילפותא ממשרת שנאמרה בנזיר, וכן הילפותא מגיעולי עכו"ם הם ב' כתובים הבאים כאחד ואינם מלמדים, ועוד ביאר </w:t>
      </w:r>
      <w:r w:rsidRPr="0050146A">
        <w:rPr>
          <w:rStyle w:val="af8"/>
          <w:rFonts w:hint="cs"/>
          <w:rtl/>
        </w:rPr>
        <w:t>רש"י</w:t>
      </w:r>
      <w:r w:rsidRPr="0050146A">
        <w:rPr>
          <w:rFonts w:hint="cs"/>
          <w:rtl/>
        </w:rPr>
        <w:t xml:space="preserve"> דגיעולי עכו"ם הוא חידוש ולא ילפינן מיניה, כדאיתא בגמ' בפסחים </w:t>
      </w:r>
      <w:r w:rsidRPr="0050146A">
        <w:rPr>
          <w:rStyle w:val="af6"/>
          <w:rFonts w:eastAsia="Guttman Hodes" w:hint="cs"/>
          <w:rtl/>
        </w:rPr>
        <w:t>(מד:)</w:t>
      </w:r>
      <w:r w:rsidRPr="0050146A">
        <w:rPr>
          <w:rFonts w:hint="cs"/>
          <w:rtl/>
        </w:rPr>
        <w:t>, והילפותא ממשרת היא לענין היתר מצטרף לאיסור, ולא לענין טעם כעיקר.</w:t>
      </w:r>
    </w:p>
    <w:p w:rsidR="0088374B" w:rsidRPr="0050146A" w:rsidRDefault="0088374B" w:rsidP="0088374B">
      <w:pPr>
        <w:pStyle w:val="a2"/>
        <w:rPr>
          <w:rtl/>
        </w:rPr>
      </w:pPr>
      <w:bookmarkStart w:id="4053" w:name="_Toc11599985"/>
      <w:bookmarkStart w:id="4054" w:name="_Toc11625292"/>
      <w:bookmarkStart w:id="4055" w:name="_Toc11664759"/>
      <w:bookmarkStart w:id="4056" w:name="_Toc11406461"/>
      <w:r w:rsidRPr="0050146A">
        <w:rPr>
          <w:rFonts w:hint="cs"/>
          <w:rtl/>
        </w:rPr>
        <w:t>דברי הרמב"ן והרשב"א דבדברי רבא לקמן מבואר כרש"י דס"ל לרבא דטעם כעיקר דרבנן</w:t>
      </w:r>
      <w:bookmarkEnd w:id="4053"/>
      <w:bookmarkEnd w:id="4054"/>
      <w:bookmarkEnd w:id="4055"/>
    </w:p>
    <w:p w:rsidR="0088374B" w:rsidRPr="0050146A" w:rsidRDefault="0088374B" w:rsidP="009F44AF">
      <w:pPr>
        <w:pStyle w:val="a"/>
        <w:rPr>
          <w:rtl/>
        </w:rPr>
      </w:pPr>
      <w:bookmarkStart w:id="4057" w:name="_Ref11624483"/>
      <w:r w:rsidRPr="0050146A">
        <w:rPr>
          <w:rFonts w:hint="cs"/>
          <w:rtl/>
        </w:rPr>
        <w:t xml:space="preserve">וכתבו </w:t>
      </w:r>
      <w:r w:rsidRPr="0050146A">
        <w:rPr>
          <w:rStyle w:val="af8"/>
          <w:rFonts w:hint="cs"/>
          <w:rtl/>
        </w:rPr>
        <w:t>הרמב"ן</w:t>
      </w:r>
      <w:r w:rsidRPr="0050146A">
        <w:rPr>
          <w:rStyle w:val="af6"/>
          <w:rFonts w:eastAsia="Guttman Hodes" w:hint="cs"/>
          <w:rtl/>
        </w:rPr>
        <w:t xml:space="preserve"> (ד"ה ומדאמרינן) </w:t>
      </w:r>
      <w:r w:rsidRPr="0050146A">
        <w:rPr>
          <w:rStyle w:val="af8"/>
          <w:rFonts w:hint="cs"/>
          <w:rtl/>
        </w:rPr>
        <w:t>והרשב"א</w:t>
      </w:r>
      <w:r w:rsidRPr="0050146A">
        <w:rPr>
          <w:rStyle w:val="af6"/>
          <w:rFonts w:eastAsia="Guttman Hodes" w:hint="cs"/>
          <w:rtl/>
        </w:rPr>
        <w:t xml:space="preserve"> (ד"ה ופרש"י) </w:t>
      </w:r>
      <w:r w:rsidRPr="0050146A">
        <w:rPr>
          <w:rStyle w:val="af8"/>
          <w:rFonts w:hint="cs"/>
          <w:rtl/>
        </w:rPr>
        <w:t>והריטב"א</w:t>
      </w:r>
      <w:r w:rsidRPr="0050146A">
        <w:rPr>
          <w:rStyle w:val="af6"/>
          <w:rFonts w:eastAsia="Guttman Hodes" w:hint="cs"/>
          <w:rtl/>
        </w:rPr>
        <w:t xml:space="preserve"> (ד"ה רבא)</w:t>
      </w:r>
      <w:r w:rsidRPr="0050146A">
        <w:rPr>
          <w:rFonts w:hint="cs"/>
          <w:rtl/>
        </w:rPr>
        <w:t xml:space="preserve"> </w:t>
      </w:r>
      <w:r w:rsidRPr="0050146A">
        <w:rPr>
          <w:rStyle w:val="af8"/>
          <w:rFonts w:hint="cs"/>
          <w:rtl/>
        </w:rPr>
        <w:t>והר"ן בחי'</w:t>
      </w:r>
      <w:r w:rsidRPr="0050146A">
        <w:rPr>
          <w:rStyle w:val="af6"/>
          <w:rFonts w:eastAsia="Guttman Hodes" w:hint="cs"/>
          <w:rtl/>
        </w:rPr>
        <w:t xml:space="preserve"> (ד"ה והוי) </w:t>
      </w:r>
      <w:r w:rsidRPr="0050146A">
        <w:rPr>
          <w:rFonts w:hint="cs"/>
          <w:rtl/>
        </w:rPr>
        <w:t xml:space="preserve">בשם </w:t>
      </w:r>
      <w:r w:rsidRPr="0050146A">
        <w:rPr>
          <w:rStyle w:val="af8"/>
          <w:rFonts w:hint="cs"/>
          <w:rtl/>
        </w:rPr>
        <w:t>רש"י</w:t>
      </w:r>
      <w:r w:rsidRPr="0050146A">
        <w:rPr>
          <w:rFonts w:hint="cs"/>
          <w:rtl/>
        </w:rPr>
        <w:t xml:space="preserve"> דכן מבואר בגמ' לקמן </w:t>
      </w:r>
      <w:r w:rsidRPr="0050146A">
        <w:rPr>
          <w:rStyle w:val="af6"/>
          <w:rFonts w:eastAsia="Guttman Hodes" w:hint="cs"/>
          <w:rtl/>
        </w:rPr>
        <w:t xml:space="preserve">(קח.) </w:t>
      </w:r>
      <w:r w:rsidRPr="0050146A">
        <w:rPr>
          <w:rFonts w:hint="cs"/>
          <w:rtl/>
        </w:rPr>
        <w:t xml:space="preserve">דלאביי טעם כעיקר דאו' כדיליף אביי מבשר בחלב, ורבא פליג עליה וס"ל דלא ילפינן מבשר בחלב, ומוכח דס"ל לרבא טעם כעיקר דרבנן, והוסיף </w:t>
      </w:r>
      <w:r w:rsidRPr="0050146A">
        <w:rPr>
          <w:rStyle w:val="af8"/>
          <w:rFonts w:hint="cs"/>
          <w:rtl/>
        </w:rPr>
        <w:t>הרשב"א</w:t>
      </w:r>
      <w:r w:rsidRPr="0050146A">
        <w:rPr>
          <w:rFonts w:hint="cs"/>
          <w:rtl/>
        </w:rPr>
        <w:t xml:space="preserve"> דכיון דקיי"ל כרבא לגבי אביי חוץ מיע"ל קג"ם לכן קיי"ל דטעם כעיקר דרבנן, והוסיף </w:t>
      </w:r>
      <w:r w:rsidRPr="0050146A">
        <w:rPr>
          <w:rStyle w:val="af8"/>
          <w:rFonts w:hint="cs"/>
          <w:rtl/>
        </w:rPr>
        <w:t>הריטב"א</w:t>
      </w:r>
      <w:r w:rsidRPr="0050146A">
        <w:rPr>
          <w:rFonts w:hint="cs"/>
          <w:rtl/>
        </w:rPr>
        <w:t xml:space="preserve"> </w:t>
      </w:r>
      <w:r w:rsidRPr="0050146A">
        <w:rPr>
          <w:rStyle w:val="af6"/>
          <w:rFonts w:eastAsia="Guttman Hodes" w:hint="cs"/>
          <w:rtl/>
        </w:rPr>
        <w:t>(ד"ה רבא בהמשך דבריו)</w:t>
      </w:r>
      <w:r w:rsidRPr="0050146A">
        <w:rPr>
          <w:rFonts w:hint="cs"/>
          <w:rtl/>
        </w:rPr>
        <w:t xml:space="preserve"> דמשמע מדברי רבא לקמן, דלא בא רק לדחות את הראיה שהביא אביי מבשר בחלב בדיחוי בעלמא, אלא דכוונת רבא לחלוק על אביי, דס"ל לרבא דטעם כעיקר אינו אסור מדאו', ועי' במה שהקשה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Ref11528318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50146A">
        <w:rPr>
          <w:rStyle w:val="af6"/>
          <w:rFonts w:eastAsia="Guttman Hodes"/>
          <w:rtl/>
        </w:rPr>
        <w:fldChar w:fldCharType="end"/>
      </w:r>
      <w:r w:rsidRPr="0050146A">
        <w:rPr>
          <w:rFonts w:hint="cs"/>
          <w:rtl/>
        </w:rPr>
        <w:t xml:space="preserve"> על דברי </w:t>
      </w:r>
      <w:r w:rsidRPr="0050146A">
        <w:rPr>
          <w:rStyle w:val="af8"/>
          <w:rFonts w:hint="cs"/>
          <w:rtl/>
        </w:rPr>
        <w:t>רש"י</w:t>
      </w:r>
      <w:r w:rsidRPr="0050146A">
        <w:rPr>
          <w:rFonts w:hint="cs"/>
          <w:rtl/>
        </w:rPr>
        <w:t>.</w:t>
      </w:r>
      <w:bookmarkEnd w:id="4057"/>
    </w:p>
    <w:p w:rsidR="0088374B" w:rsidRPr="0050146A" w:rsidRDefault="0088374B" w:rsidP="0088374B">
      <w:pPr>
        <w:pStyle w:val="1"/>
        <w:rPr>
          <w:rtl/>
        </w:rPr>
      </w:pPr>
      <w:bookmarkStart w:id="4058" w:name="_Toc11599986"/>
      <w:bookmarkStart w:id="4059" w:name="_Toc11625293"/>
      <w:bookmarkStart w:id="4060" w:name="_Toc11664760"/>
      <w:r w:rsidRPr="0050146A">
        <w:rPr>
          <w:rFonts w:hint="cs"/>
          <w:rtl/>
        </w:rPr>
        <w:t>ביאור רש"י בפלוגתת אביי ורבא אי ילפינן טע"כ מבשר בחלב</w:t>
      </w:r>
      <w:bookmarkEnd w:id="4056"/>
      <w:bookmarkEnd w:id="4058"/>
      <w:bookmarkEnd w:id="4059"/>
      <w:bookmarkEnd w:id="4060"/>
    </w:p>
    <w:p w:rsidR="0088374B" w:rsidRPr="0050146A" w:rsidRDefault="0088374B" w:rsidP="0088374B">
      <w:pPr>
        <w:pStyle w:val="a2"/>
        <w:rPr>
          <w:rtl/>
        </w:rPr>
      </w:pPr>
      <w:bookmarkStart w:id="4061" w:name="_Toc11406462"/>
      <w:bookmarkStart w:id="4062" w:name="_Toc11599987"/>
      <w:bookmarkStart w:id="4063" w:name="_Toc11625294"/>
      <w:bookmarkStart w:id="4064" w:name="_Toc11664761"/>
      <w:r w:rsidRPr="0050146A">
        <w:rPr>
          <w:rFonts w:hint="cs"/>
          <w:rtl/>
        </w:rPr>
        <w:t>ביאור רש"י לקמן דלאביי ילפינן טעם כעיקר בכל האיסורים מבשר בחלב דאסור רק בנתינת טעם</w:t>
      </w:r>
      <w:bookmarkEnd w:id="4061"/>
      <w:bookmarkEnd w:id="4062"/>
      <w:bookmarkEnd w:id="4063"/>
      <w:bookmarkEnd w:id="4064"/>
    </w:p>
    <w:p w:rsidR="0088374B" w:rsidRPr="0050146A" w:rsidRDefault="0088374B" w:rsidP="009F44AF">
      <w:pPr>
        <w:pStyle w:val="a"/>
        <w:rPr>
          <w:rtl/>
        </w:rPr>
      </w:pPr>
      <w:r w:rsidRPr="0050146A">
        <w:rPr>
          <w:rFonts w:hint="cs"/>
          <w:rtl/>
        </w:rPr>
        <w:t xml:space="preserve">בדברי אביי בגמ' לקמן </w:t>
      </w:r>
      <w:r w:rsidRPr="0050146A">
        <w:rPr>
          <w:rStyle w:val="af6"/>
          <w:rFonts w:eastAsia="Guttman Hodes" w:hint="cs"/>
          <w:rtl/>
        </w:rPr>
        <w:t>(קח.)</w:t>
      </w:r>
      <w:r w:rsidRPr="0050146A">
        <w:rPr>
          <w:rFonts w:hint="cs"/>
          <w:rtl/>
        </w:rPr>
        <w:t xml:space="preserve"> דטעמו ולא ממשו דאו', דאי אינו מדאו' א"כ אמאי לא ילפינן מבשר בחלב דטעמו ולא ממשו אסור, כתב </w:t>
      </w:r>
      <w:r w:rsidRPr="0050146A">
        <w:rPr>
          <w:rStyle w:val="af8"/>
          <w:rFonts w:hint="cs"/>
          <w:rtl/>
        </w:rPr>
        <w:t>רש"י לקמן</w:t>
      </w:r>
      <w:r w:rsidRPr="0050146A">
        <w:rPr>
          <w:rStyle w:val="af6"/>
          <w:rFonts w:eastAsia="Guttman Hodes" w:hint="cs"/>
          <w:rtl/>
        </w:rPr>
        <w:t xml:space="preserve"> (קח. ד"ה אמר) </w:t>
      </w:r>
      <w:r w:rsidRPr="0050146A">
        <w:rPr>
          <w:rFonts w:hint="cs"/>
          <w:rtl/>
        </w:rPr>
        <w:t>דכוונת אביי לומר דהא דבכל האיסורים נתינת טעם אוסרת אעפ"י שסילק את ממשו של האיסור, ונשאר רק טעמו, היא מדאו' כדילפינן מבשר בחלב, דאסרתו תורה באכילה אעפ"י שסילק אותם אחד מהשני, ולא נשאר בהם רק הטעם, וס"ל לאביי דמבשר בחלב ילפינן לשאר האיסורים.</w:t>
      </w:r>
    </w:p>
    <w:p w:rsidR="0088374B" w:rsidRPr="0050146A" w:rsidRDefault="0088374B" w:rsidP="0088374B">
      <w:pPr>
        <w:pStyle w:val="a2"/>
      </w:pPr>
      <w:bookmarkStart w:id="4065" w:name="_Toc11406463"/>
      <w:bookmarkStart w:id="4066" w:name="_Toc11599988"/>
      <w:bookmarkStart w:id="4067" w:name="_Toc11625295"/>
      <w:bookmarkStart w:id="4068" w:name="_Toc11664762"/>
      <w:r w:rsidRPr="0050146A">
        <w:rPr>
          <w:rFonts w:hint="cs"/>
          <w:rtl/>
        </w:rPr>
        <w:t>ביאור רש"י בהו"א דאביי דבשר בחלב הוא חידוש ולא ילפינן מיניה</w:t>
      </w:r>
      <w:bookmarkEnd w:id="4065"/>
      <w:bookmarkEnd w:id="4066"/>
      <w:bookmarkEnd w:id="4067"/>
      <w:bookmarkEnd w:id="4068"/>
    </w:p>
    <w:p w:rsidR="0088374B" w:rsidRPr="0050146A" w:rsidRDefault="0088374B" w:rsidP="009F44AF">
      <w:pPr>
        <w:pStyle w:val="a"/>
        <w:rPr>
          <w:rtl/>
        </w:rPr>
      </w:pPr>
      <w:r w:rsidRPr="0050146A">
        <w:rPr>
          <w:rFonts w:hint="cs"/>
          <w:rtl/>
        </w:rPr>
        <w:t xml:space="preserve">ובדברי אביי דהיה אפש"ל דבשר בחלב הוא חידוש ולא ילפינן מיניה, ביאר </w:t>
      </w:r>
      <w:r w:rsidRPr="0050146A">
        <w:rPr>
          <w:rStyle w:val="af8"/>
          <w:rFonts w:hint="cs"/>
          <w:rtl/>
        </w:rPr>
        <w:t>רש"י לקמן</w:t>
      </w:r>
      <w:r w:rsidRPr="0050146A">
        <w:rPr>
          <w:rStyle w:val="af6"/>
          <w:rFonts w:eastAsia="Guttman Hodes" w:hint="cs"/>
          <w:rtl/>
        </w:rPr>
        <w:t xml:space="preserve"> (קח. ד"ה דאי, ד"ה מ"ט) </w:t>
      </w:r>
      <w:r w:rsidRPr="0050146A">
        <w:rPr>
          <w:rFonts w:hint="cs"/>
          <w:rtl/>
        </w:rPr>
        <w:t>דבשר בחלב הוא חידוש, דכ"א מהם הוא היתר בפנ"ע ואפ"ה כשנתבשלו יחד נאסרו, ועוד דאיסורם הוא בדרך בישול ולא בדרך אכילה.</w:t>
      </w:r>
    </w:p>
    <w:p w:rsidR="0088374B" w:rsidRPr="0050146A" w:rsidRDefault="0088374B" w:rsidP="0088374B">
      <w:pPr>
        <w:pStyle w:val="a2"/>
        <w:rPr>
          <w:rtl/>
        </w:rPr>
      </w:pPr>
      <w:bookmarkStart w:id="4069" w:name="_Toc11406464"/>
      <w:bookmarkStart w:id="4070" w:name="_Toc11599989"/>
      <w:bookmarkStart w:id="4071" w:name="_Toc11625296"/>
      <w:bookmarkStart w:id="4072" w:name="_Toc11664763"/>
      <w:r w:rsidRPr="0050146A">
        <w:rPr>
          <w:rFonts w:hint="cs"/>
          <w:rtl/>
        </w:rPr>
        <w:t>ביאור רש"י דלמסקנת אביי ילפינן מזרוע בשלה דאף בבשר בחלב האיסור הוא רק בנתינת טעם</w:t>
      </w:r>
      <w:bookmarkEnd w:id="4069"/>
      <w:bookmarkEnd w:id="4070"/>
      <w:bookmarkEnd w:id="4071"/>
      <w:bookmarkEnd w:id="4072"/>
    </w:p>
    <w:p w:rsidR="0088374B" w:rsidRPr="0050146A" w:rsidRDefault="0088374B" w:rsidP="009F44AF">
      <w:pPr>
        <w:pStyle w:val="a"/>
        <w:rPr>
          <w:rtl/>
        </w:rPr>
      </w:pPr>
      <w:bookmarkStart w:id="4073" w:name="_Ref11398345"/>
      <w:r w:rsidRPr="0050146A">
        <w:rPr>
          <w:rFonts w:hint="cs"/>
          <w:rtl/>
        </w:rPr>
        <w:t xml:space="preserve">ובמסקנת אביי דמ"מ ילפינן מבשר בחלב לשאר איסורים דטעם כעיקר דאו', דהא אי לא ילפינן מבשר בחלב, א"כ היה צריך לאסור בבשר בחלב אף בלא נתינת טעם, ביאר </w:t>
      </w:r>
      <w:r w:rsidRPr="0050146A">
        <w:rPr>
          <w:rStyle w:val="af8"/>
          <w:rFonts w:hint="cs"/>
          <w:rtl/>
        </w:rPr>
        <w:t>רש"י לקמן</w:t>
      </w:r>
      <w:r w:rsidRPr="0050146A">
        <w:rPr>
          <w:rFonts w:ascii="Calibri" w:hAnsi="Calibri" w:cs="Guttman Rashi" w:hint="cs"/>
          <w:sz w:val="10"/>
          <w:szCs w:val="12"/>
          <w:rtl/>
        </w:rPr>
        <w:t xml:space="preserve"> (קח. ד"ה אי, ד"ה א"ל) </w:t>
      </w:r>
      <w:r w:rsidRPr="0050146A">
        <w:rPr>
          <w:rFonts w:hint="cs"/>
          <w:rtl/>
        </w:rPr>
        <w:t xml:space="preserve">דאי א"א ללמוד את שאר איסורים מבשר בחלב, א"כ אעפ"י דבשאר איסורים האיסור הוא בנתינת טעם, צריך לאסור בבשר בחלב אף כשאין נתינת טעם, כיון דבשר בחלב הוא חידוש אסרה בו תורה בכל דהו, אלא מדתנן במתני' לקמן </w:t>
      </w:r>
      <w:r w:rsidRPr="0050146A">
        <w:rPr>
          <w:rFonts w:ascii="Calibri" w:hAnsi="Calibri" w:cs="Guttman Rashi" w:hint="cs"/>
          <w:sz w:val="10"/>
          <w:szCs w:val="12"/>
          <w:rtl/>
        </w:rPr>
        <w:t xml:space="preserve">(קח.) </w:t>
      </w:r>
      <w:r w:rsidRPr="0050146A">
        <w:rPr>
          <w:rFonts w:hint="cs"/>
          <w:rtl/>
        </w:rPr>
        <w:t xml:space="preserve">דאף בבשר בחלב האיסור הוא רק </w:t>
      </w:r>
      <w:r w:rsidRPr="0050146A">
        <w:rPr>
          <w:rFonts w:hint="cs"/>
          <w:rtl/>
        </w:rPr>
        <w:lastRenderedPageBreak/>
        <w:t xml:space="preserve">בנתינת טעם, א"כ מוכח דאינו חידוש ודמי לכלאי הכרם דאסורים רק בתערובת, וכיון שאינו חידוש ס"ל לאביי דבשר בחלב הוא בכלל הילפותא לכל האיסורים מזרוע בשלה, דהאיסור הוא רק בנתינת טעם, ועי' במה שהקשה </w:t>
      </w:r>
      <w:r w:rsidRPr="0050146A">
        <w:rPr>
          <w:rStyle w:val="af8"/>
          <w:rFonts w:hint="cs"/>
          <w:rtl/>
        </w:rPr>
        <w:t>הראש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Ref11398415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50146A">
        <w:rPr>
          <w:rStyle w:val="af6"/>
          <w:rFonts w:eastAsia="Guttman Hodes"/>
          <w:rtl/>
        </w:rPr>
        <w:fldChar w:fldCharType="end"/>
      </w:r>
      <w:r w:rsidRPr="0050146A">
        <w:rPr>
          <w:rFonts w:hint="cs"/>
          <w:rtl/>
        </w:rPr>
        <w:t>.</w:t>
      </w:r>
      <w:bookmarkEnd w:id="4073"/>
    </w:p>
    <w:p w:rsidR="0088374B" w:rsidRPr="0050146A" w:rsidRDefault="0088374B" w:rsidP="0088374B">
      <w:pPr>
        <w:pStyle w:val="a2"/>
        <w:rPr>
          <w:rtl/>
        </w:rPr>
      </w:pPr>
      <w:bookmarkStart w:id="4074" w:name="_Toc11406465"/>
      <w:bookmarkStart w:id="4075" w:name="_Toc11599990"/>
      <w:bookmarkStart w:id="4076" w:name="_Toc11625297"/>
      <w:bookmarkStart w:id="4077" w:name="_Toc11664764"/>
      <w:r w:rsidRPr="0050146A">
        <w:rPr>
          <w:rFonts w:hint="cs"/>
          <w:rtl/>
        </w:rPr>
        <w:t>ביאור רש"י ברבא דלא ילפינן מזרוע בשלה לבשר בחלב דהוא חידוש ואיסורו בטעם בדרך בישול</w:t>
      </w:r>
      <w:bookmarkEnd w:id="4074"/>
      <w:bookmarkEnd w:id="4075"/>
      <w:bookmarkEnd w:id="4076"/>
      <w:bookmarkEnd w:id="4077"/>
    </w:p>
    <w:p w:rsidR="0088374B" w:rsidRPr="0050146A" w:rsidRDefault="0088374B" w:rsidP="009F44AF">
      <w:pPr>
        <w:pStyle w:val="a"/>
        <w:rPr>
          <w:rtl/>
        </w:rPr>
      </w:pPr>
      <w:bookmarkStart w:id="4078" w:name="_Ref11401899"/>
      <w:r w:rsidRPr="0050146A">
        <w:rPr>
          <w:rFonts w:hint="cs"/>
          <w:rtl/>
        </w:rPr>
        <w:t xml:space="preserve">ובהא דדחה רבא בגמ' לקמן את דברי אביי ואמר דדרך בישול אסרה תורה, ביאר </w:t>
      </w:r>
      <w:r w:rsidRPr="0050146A">
        <w:rPr>
          <w:rStyle w:val="af8"/>
          <w:rFonts w:hint="cs"/>
          <w:rtl/>
        </w:rPr>
        <w:t>רש"י לקמן</w:t>
      </w:r>
      <w:r w:rsidRPr="0050146A">
        <w:rPr>
          <w:rFonts w:hint="cs"/>
          <w:rtl/>
        </w:rPr>
        <w:t xml:space="preserve"> </w:t>
      </w:r>
      <w:r w:rsidRPr="0050146A">
        <w:rPr>
          <w:rStyle w:val="af6"/>
          <w:rFonts w:eastAsia="Guttman Hodes" w:hint="cs"/>
          <w:rtl/>
        </w:rPr>
        <w:t>(קח. ד"ה א"ל)</w:t>
      </w:r>
      <w:r w:rsidRPr="0050146A">
        <w:rPr>
          <w:rFonts w:hint="cs"/>
          <w:rtl/>
        </w:rPr>
        <w:t xml:space="preserve"> דכוונת רבא לומר דבשר בחלב הוא חידוש וא"א ללמוד מבשר בחלב לשאר האיסורים, ואעפ"י שא"א ללומדו מזרוע בשלה, מ"מ בשר בחלב אסור רק בנתינת טעם, כיון דאסרה בו תורה רק בדרך בישול, ואין בישול שאינו נותן טעם.</w:t>
      </w:r>
      <w:bookmarkEnd w:id="4078"/>
    </w:p>
    <w:p w:rsidR="0088374B" w:rsidRPr="0050146A" w:rsidRDefault="0088374B" w:rsidP="0088374B">
      <w:pPr>
        <w:pStyle w:val="1"/>
        <w:rPr>
          <w:rtl/>
        </w:rPr>
      </w:pPr>
      <w:bookmarkStart w:id="4079" w:name="_Toc11625298"/>
      <w:bookmarkStart w:id="4080" w:name="_Toc11664765"/>
      <w:bookmarkStart w:id="4081" w:name="_Toc11599991"/>
      <w:r w:rsidRPr="0050146A">
        <w:rPr>
          <w:rFonts w:hint="cs"/>
          <w:rtl/>
        </w:rPr>
        <w:t>דברי הבעה"מ דלולי משרת וזרוע בשלה היה מהני ביטול ברוב</w:t>
      </w:r>
      <w:bookmarkEnd w:id="4079"/>
      <w:bookmarkEnd w:id="4080"/>
    </w:p>
    <w:p w:rsidR="0088374B" w:rsidRPr="0050146A" w:rsidRDefault="0088374B" w:rsidP="0088374B">
      <w:pPr>
        <w:pStyle w:val="a2"/>
        <w:rPr>
          <w:rtl/>
        </w:rPr>
      </w:pPr>
      <w:bookmarkStart w:id="4082" w:name="_Toc11625299"/>
      <w:bookmarkStart w:id="4083" w:name="_Toc11664766"/>
      <w:r w:rsidRPr="0050146A">
        <w:rPr>
          <w:rFonts w:hint="cs"/>
          <w:rtl/>
        </w:rPr>
        <w:t>דברי הבעה"מ דאף דאמרינן דשיעור שישים הוא לחומרא מ"מ טעם כעיקר ושישים הם מדאו'</w:t>
      </w:r>
      <w:bookmarkEnd w:id="4082"/>
      <w:bookmarkEnd w:id="4083"/>
    </w:p>
    <w:p w:rsidR="0088374B" w:rsidRPr="0050146A" w:rsidRDefault="0088374B" w:rsidP="009F44AF">
      <w:pPr>
        <w:pStyle w:val="a"/>
        <w:rPr>
          <w:rStyle w:val="afa"/>
          <w:rtl/>
        </w:rPr>
      </w:pPr>
      <w:r w:rsidRPr="0050146A">
        <w:rPr>
          <w:rFonts w:hint="cs"/>
          <w:rtl/>
        </w:rPr>
        <w:t xml:space="preserve">כתב </w:t>
      </w:r>
      <w:r w:rsidRPr="0050146A">
        <w:rPr>
          <w:rStyle w:val="af8"/>
          <w:rFonts w:hint="cs"/>
          <w:rtl/>
        </w:rPr>
        <w:t>הבעה"מ בפסחים</w:t>
      </w:r>
      <w:r w:rsidRPr="0050146A">
        <w:rPr>
          <w:rFonts w:hint="cs"/>
          <w:rtl/>
        </w:rPr>
        <w:t xml:space="preserve"> </w:t>
      </w:r>
      <w:r w:rsidRPr="0050146A">
        <w:rPr>
          <w:rStyle w:val="af6"/>
          <w:rFonts w:eastAsia="Guttman Hodes" w:hint="cs"/>
          <w:rtl/>
        </w:rPr>
        <w:t>(יג: מדפי הרי"ף)</w:t>
      </w:r>
      <w:r w:rsidRPr="0050146A">
        <w:rPr>
          <w:rFonts w:hint="cs"/>
          <w:rtl/>
        </w:rPr>
        <w:t xml:space="preserve"> דהא דאמרינן בסוגיין דהילפותא מזרוע בשלה היא לחומרא, דמדאו' חד בתרי בטיל, אין הכוונה דשיעור שישים בכל האיסורים, ודין טעם כעיקר בנזיר אינם מדאו', דהא מדכתיב בנזיר "משרת" ילפינן </w:t>
      </w:r>
      <w:r w:rsidRPr="0050146A">
        <w:rPr>
          <w:rStyle w:val="afa"/>
          <w:rFonts w:hint="cs"/>
          <w:rtl/>
        </w:rPr>
        <w:t xml:space="preserve">[בגמ' בפסחים </w:t>
      </w:r>
      <w:r w:rsidRPr="0050146A">
        <w:rPr>
          <w:rStyle w:val="aff6"/>
          <w:rFonts w:hint="cs"/>
          <w:rtl/>
        </w:rPr>
        <w:t xml:space="preserve">(מד.) </w:t>
      </w:r>
      <w:r w:rsidRPr="0050146A">
        <w:rPr>
          <w:rStyle w:val="afa"/>
          <w:rFonts w:hint="cs"/>
          <w:rtl/>
        </w:rPr>
        <w:t xml:space="preserve">ובנזיר </w:t>
      </w:r>
      <w:r w:rsidRPr="0050146A">
        <w:rPr>
          <w:rStyle w:val="aff6"/>
          <w:rFonts w:hint="cs"/>
          <w:rtl/>
        </w:rPr>
        <w:t>(לז.)</w:t>
      </w:r>
      <w:r w:rsidRPr="0050146A">
        <w:rPr>
          <w:rStyle w:val="afa"/>
          <w:rFonts w:hint="cs"/>
          <w:rtl/>
        </w:rPr>
        <w:t xml:space="preserve">] </w:t>
      </w:r>
      <w:r w:rsidRPr="0050146A">
        <w:rPr>
          <w:rFonts w:hint="cs"/>
          <w:rtl/>
        </w:rPr>
        <w:t xml:space="preserve">דלוקין בו על טעם כעיקר, ומנזיר ילפינן לכל האיסורים שבתורה דטעם כעיקר אסור מדאו'. </w:t>
      </w:r>
      <w:r w:rsidRPr="0050146A">
        <w:rPr>
          <w:rStyle w:val="afa"/>
          <w:rFonts w:hint="cs"/>
          <w:rtl/>
        </w:rPr>
        <w:t>[אך אין בהם מלקות, דאין לוקין מן הדין].</w:t>
      </w:r>
    </w:p>
    <w:p w:rsidR="0088374B" w:rsidRPr="0050146A" w:rsidRDefault="0088374B" w:rsidP="0088374B">
      <w:pPr>
        <w:pStyle w:val="a2"/>
      </w:pPr>
      <w:bookmarkStart w:id="4084" w:name="_Toc11625300"/>
      <w:bookmarkStart w:id="4085" w:name="_Toc11664767"/>
      <w:r w:rsidRPr="0050146A">
        <w:rPr>
          <w:rFonts w:hint="cs"/>
          <w:rtl/>
        </w:rPr>
        <w:t>ביאור הבעה"מ דלולי הילפותא ממשרת ומזרוע בשלה אמרינן דאף בטעם חד בתרי בטיל</w:t>
      </w:r>
      <w:bookmarkEnd w:id="4084"/>
      <w:bookmarkEnd w:id="4085"/>
    </w:p>
    <w:p w:rsidR="0088374B" w:rsidRPr="0050146A" w:rsidRDefault="0088374B" w:rsidP="009F44AF">
      <w:pPr>
        <w:pStyle w:val="a"/>
        <w:rPr>
          <w:rtl/>
        </w:rPr>
      </w:pPr>
      <w:r w:rsidRPr="0050146A">
        <w:rPr>
          <w:rFonts w:hint="cs"/>
          <w:rtl/>
        </w:rPr>
        <w:t>אלא ביאר</w:t>
      </w:r>
      <w:r w:rsidRPr="0050146A">
        <w:rPr>
          <w:rStyle w:val="af8"/>
          <w:rFonts w:hint="cs"/>
          <w:rtl/>
        </w:rPr>
        <w:t xml:space="preserve"> הבעה"מ בפסחים</w:t>
      </w:r>
      <w:r w:rsidRPr="0050146A">
        <w:rPr>
          <w:rFonts w:hint="cs"/>
          <w:rtl/>
        </w:rPr>
        <w:t xml:space="preserve"> דכוונת הגמ' לומר דלולי דילפינן מזרוע בשלה דיש ביטול בשישים, ולולי דילפינן ממשרת לאסור טעם כעיקר בנזיר, היה הו"א דאף בטעם אזלינן בתר רובא, כדאזלינן בכל התורה בתר רובא, וזו כוונת הגמ' דאי מדאו' חד בתרי בטיל.</w:t>
      </w:r>
    </w:p>
    <w:p w:rsidR="0088374B" w:rsidRPr="0050146A" w:rsidRDefault="0088374B" w:rsidP="0088374B">
      <w:pPr>
        <w:pStyle w:val="a2"/>
      </w:pPr>
      <w:bookmarkStart w:id="4086" w:name="_Toc11625301"/>
      <w:bookmarkStart w:id="4087" w:name="_Toc11664768"/>
      <w:r w:rsidRPr="0050146A">
        <w:rPr>
          <w:rFonts w:hint="cs"/>
          <w:rtl/>
        </w:rPr>
        <w:t>דברי הבעה"מ דדין ביטול בשישים הוא אותו הדין דמין בשאינו מינו בטעמא</w:t>
      </w:r>
      <w:bookmarkEnd w:id="4086"/>
      <w:bookmarkEnd w:id="4087"/>
    </w:p>
    <w:p w:rsidR="0088374B" w:rsidRPr="0050146A" w:rsidRDefault="0088374B" w:rsidP="009F44AF">
      <w:pPr>
        <w:pStyle w:val="a"/>
        <w:rPr>
          <w:rtl/>
        </w:rPr>
      </w:pPr>
      <w:r w:rsidRPr="0050146A">
        <w:rPr>
          <w:rFonts w:hint="cs"/>
          <w:rtl/>
        </w:rPr>
        <w:t xml:space="preserve">והוסיף </w:t>
      </w:r>
      <w:r w:rsidRPr="0050146A">
        <w:rPr>
          <w:rStyle w:val="af8"/>
          <w:rFonts w:hint="cs"/>
          <w:rtl/>
        </w:rPr>
        <w:t>הבעה"מ</w:t>
      </w:r>
      <w:r w:rsidRPr="0050146A">
        <w:rPr>
          <w:rFonts w:hint="cs"/>
          <w:rtl/>
        </w:rPr>
        <w:t xml:space="preserve"> דדין ביטול בשישים במין במינו, ודין נותן טעם במין בשאינו מינו דהיינו קפילא, הוא אותו הדין.</w:t>
      </w:r>
    </w:p>
    <w:p w:rsidR="0088374B" w:rsidRPr="0050146A" w:rsidRDefault="0088374B" w:rsidP="00E669F8">
      <w:pPr>
        <w:pStyle w:val="afd"/>
        <w:rPr>
          <w:rtl/>
        </w:rPr>
      </w:pPr>
      <w:bookmarkStart w:id="4088" w:name="_Toc11625302"/>
      <w:bookmarkStart w:id="4089" w:name="_Toc11664769"/>
      <w:r w:rsidRPr="0050146A">
        <w:rPr>
          <w:rFonts w:hint="cs"/>
          <w:rtl/>
        </w:rPr>
        <w:t>ביאור התוס' בילפותא דזרוע בשלה</w:t>
      </w:r>
      <w:bookmarkEnd w:id="4081"/>
      <w:bookmarkEnd w:id="4088"/>
      <w:bookmarkEnd w:id="4089"/>
    </w:p>
    <w:p w:rsidR="0088374B" w:rsidRPr="0050146A" w:rsidRDefault="0088374B" w:rsidP="0088374B">
      <w:pPr>
        <w:pStyle w:val="1"/>
        <w:rPr>
          <w:rtl/>
        </w:rPr>
      </w:pPr>
      <w:bookmarkStart w:id="4090" w:name="_Toc11599992"/>
      <w:bookmarkStart w:id="4091" w:name="_Toc11625303"/>
      <w:bookmarkStart w:id="4092" w:name="_Toc11664770"/>
      <w:bookmarkStart w:id="4093" w:name="_Toc11406487"/>
      <w:bookmarkStart w:id="4094" w:name="_Toc11231332"/>
      <w:bookmarkStart w:id="4095" w:name="_Toc11236482"/>
      <w:bookmarkStart w:id="4096" w:name="_Toc11406466"/>
      <w:r w:rsidRPr="0050146A">
        <w:rPr>
          <w:rFonts w:hint="cs"/>
          <w:rtl/>
        </w:rPr>
        <w:t>דברי התוס' דזרוע בשלה הוא אסמכתא לשיעור שישים</w:t>
      </w:r>
      <w:bookmarkEnd w:id="4090"/>
      <w:bookmarkEnd w:id="4091"/>
      <w:bookmarkEnd w:id="4092"/>
    </w:p>
    <w:p w:rsidR="0088374B" w:rsidRPr="0050146A" w:rsidRDefault="0088374B" w:rsidP="0088374B">
      <w:pPr>
        <w:pStyle w:val="a2"/>
        <w:rPr>
          <w:rtl/>
        </w:rPr>
      </w:pPr>
      <w:bookmarkStart w:id="4097" w:name="_Toc11599993"/>
      <w:bookmarkStart w:id="4098" w:name="_Toc11625304"/>
      <w:bookmarkStart w:id="4099" w:name="_Toc11664771"/>
      <w:r w:rsidRPr="0050146A">
        <w:rPr>
          <w:rFonts w:hint="cs"/>
          <w:rtl/>
        </w:rPr>
        <w:t>דברי התוס' דא"א ללמוד מזרוע בשלה למין בשאינו מינו דהא זרוע בשלה הוא מין במינו</w:t>
      </w:r>
      <w:bookmarkEnd w:id="4097"/>
      <w:bookmarkEnd w:id="4098"/>
      <w:bookmarkEnd w:id="4099"/>
    </w:p>
    <w:p w:rsidR="0088374B" w:rsidRPr="0050146A" w:rsidRDefault="0088374B" w:rsidP="009F44AF">
      <w:pPr>
        <w:pStyle w:val="a"/>
        <w:rPr>
          <w:rtl/>
        </w:rPr>
      </w:pPr>
      <w:bookmarkStart w:id="4100" w:name="_Ref11958442"/>
      <w:r w:rsidRPr="0050146A">
        <w:rPr>
          <w:rFonts w:hint="cs"/>
          <w:rtl/>
        </w:rPr>
        <w:t xml:space="preserve">כתבו </w:t>
      </w:r>
      <w:r w:rsidRPr="0050146A">
        <w:rPr>
          <w:rStyle w:val="af8"/>
          <w:rFonts w:hint="cs"/>
          <w:rtl/>
        </w:rPr>
        <w:t>התוס'</w:t>
      </w:r>
      <w:r w:rsidRPr="0050146A">
        <w:rPr>
          <w:rStyle w:val="af6"/>
          <w:rFonts w:eastAsia="Guttman Hodes" w:hint="cs"/>
          <w:rtl/>
        </w:rPr>
        <w:t xml:space="preserve"> (ד"ה ומאן) </w:t>
      </w:r>
      <w:r w:rsidRPr="0050146A">
        <w:rPr>
          <w:rFonts w:hint="cs"/>
          <w:rtl/>
        </w:rPr>
        <w:t>דהילפותא מזרוע בשלה, אינה ילפותא גמורה שאפשר ללמוד ממנה דמין בשאינו מינו טעם כעיקר דאו', דהא זרוע בשלה הוא מין במינו.</w:t>
      </w:r>
      <w:bookmarkEnd w:id="4100"/>
    </w:p>
    <w:p w:rsidR="0088374B" w:rsidRPr="0050146A" w:rsidRDefault="0088374B" w:rsidP="0088374B">
      <w:pPr>
        <w:pStyle w:val="a2"/>
      </w:pPr>
      <w:bookmarkStart w:id="4101" w:name="_Toc11599994"/>
      <w:bookmarkStart w:id="4102" w:name="_Toc11625305"/>
      <w:bookmarkStart w:id="4103" w:name="_Toc11664772"/>
      <w:r w:rsidRPr="0050146A">
        <w:rPr>
          <w:rFonts w:hint="cs"/>
          <w:rtl/>
        </w:rPr>
        <w:t>דברי התוס' דשישים הוא קבלה ביד חכמים ואסמכוה על זרוע בשלה</w:t>
      </w:r>
      <w:bookmarkEnd w:id="4101"/>
      <w:bookmarkEnd w:id="4102"/>
      <w:bookmarkEnd w:id="4103"/>
    </w:p>
    <w:p w:rsidR="0088374B" w:rsidRPr="0050146A" w:rsidRDefault="0088374B" w:rsidP="009F44AF">
      <w:pPr>
        <w:pStyle w:val="a"/>
        <w:rPr>
          <w:rtl/>
        </w:rPr>
      </w:pPr>
      <w:bookmarkStart w:id="4104" w:name="_Ref11597118"/>
      <w:r w:rsidRPr="0050146A">
        <w:rPr>
          <w:rFonts w:hint="cs"/>
          <w:rtl/>
        </w:rPr>
        <w:t xml:space="preserve">אלא ביארו </w:t>
      </w:r>
      <w:r w:rsidRPr="0050146A">
        <w:rPr>
          <w:rStyle w:val="af8"/>
          <w:rFonts w:hint="cs"/>
          <w:rtl/>
        </w:rPr>
        <w:t xml:space="preserve">התוס' </w:t>
      </w:r>
      <w:r w:rsidRPr="0050146A">
        <w:rPr>
          <w:rFonts w:hint="cs"/>
          <w:rtl/>
        </w:rPr>
        <w:t>דהייתה קבלה ביד חכמים דהשיעור הוא בשישים או במאה, ואסמכוה על קרא דזרוע בשלה, אך מ"מ מקשה הגמ' מלשון הברייתא דזהו היתר הבא מכלל איסור, דמשמע שיש בזרוע בשלה היתר, שבעלמא הוא אסור.</w:t>
      </w:r>
      <w:bookmarkEnd w:id="4104"/>
    </w:p>
    <w:p w:rsidR="0088374B" w:rsidRPr="0050146A" w:rsidRDefault="0088374B" w:rsidP="0088374B">
      <w:pPr>
        <w:pStyle w:val="a2"/>
        <w:rPr>
          <w:rtl/>
        </w:rPr>
      </w:pPr>
      <w:bookmarkStart w:id="4105" w:name="_Toc11599995"/>
      <w:bookmarkStart w:id="4106" w:name="_Toc11625306"/>
      <w:bookmarkStart w:id="4107" w:name="_Toc11664773"/>
      <w:r w:rsidRPr="0050146A">
        <w:rPr>
          <w:rFonts w:hint="cs"/>
          <w:rtl/>
        </w:rPr>
        <w:t>ביאור הראש יוסף בתוס' דאף דטע"כ דאו' מ"מ במין במינו חד בתרי בטיל ושישים הוא חומרא</w:t>
      </w:r>
      <w:bookmarkEnd w:id="4105"/>
      <w:bookmarkEnd w:id="4106"/>
      <w:bookmarkEnd w:id="4107"/>
    </w:p>
    <w:p w:rsidR="0088374B" w:rsidRPr="0050146A" w:rsidRDefault="0088374B" w:rsidP="009F44AF">
      <w:pPr>
        <w:pStyle w:val="a"/>
        <w:rPr>
          <w:rtl/>
        </w:rPr>
      </w:pPr>
      <w:r w:rsidRPr="0050146A">
        <w:rPr>
          <w:rFonts w:hint="cs"/>
          <w:rtl/>
        </w:rPr>
        <w:t xml:space="preserve">וביאר </w:t>
      </w:r>
      <w:r w:rsidRPr="0050146A">
        <w:rPr>
          <w:rStyle w:val="af8"/>
          <w:rFonts w:hint="cs"/>
          <w:rtl/>
        </w:rPr>
        <w:t xml:space="preserve">הראש יוסף </w:t>
      </w:r>
      <w:r w:rsidRPr="0050146A">
        <w:rPr>
          <w:rStyle w:val="af6"/>
          <w:rFonts w:eastAsia="Guttman Hodes" w:hint="cs"/>
          <w:rtl/>
        </w:rPr>
        <w:t xml:space="preserve">(על תוד"ה מאן) </w:t>
      </w:r>
      <w:r w:rsidRPr="0050146A">
        <w:rPr>
          <w:rFonts w:hint="cs"/>
          <w:rtl/>
        </w:rPr>
        <w:t xml:space="preserve">דמ"ש </w:t>
      </w:r>
      <w:r w:rsidRPr="0050146A">
        <w:rPr>
          <w:rStyle w:val="af8"/>
          <w:rFonts w:hint="cs"/>
          <w:rtl/>
        </w:rPr>
        <w:t>התוס'</w:t>
      </w:r>
      <w:r w:rsidRPr="0050146A">
        <w:rPr>
          <w:rFonts w:hint="cs"/>
          <w:rtl/>
        </w:rPr>
        <w:t xml:space="preserve"> דזרוע בשלה אינו דרשה גמורה כוונתם לומר דאף דס"ל </w:t>
      </w:r>
      <w:r w:rsidRPr="0050146A">
        <w:rPr>
          <w:rStyle w:val="af8"/>
          <w:rFonts w:hint="cs"/>
          <w:rtl/>
        </w:rPr>
        <w:t>להתוס'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Ref11596953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50146A">
        <w:rPr>
          <w:rStyle w:val="af6"/>
          <w:rFonts w:eastAsia="Guttman Hodes"/>
          <w:rtl/>
        </w:rPr>
        <w:fldChar w:fldCharType="end"/>
      </w:r>
      <w:r w:rsidRPr="0050146A">
        <w:rPr>
          <w:rFonts w:hint="cs"/>
          <w:rtl/>
        </w:rPr>
        <w:t xml:space="preserve"> דטעם כעיקר דאו', מ"מ בזרוע בשלה דהוא מין במינו, ודאי דמהני ביטול בחד בתרי, ועיי"ש במה שהוסיף </w:t>
      </w:r>
      <w:r w:rsidRPr="0050146A">
        <w:rPr>
          <w:rStyle w:val="af8"/>
          <w:rFonts w:hint="cs"/>
          <w:rtl/>
        </w:rPr>
        <w:t xml:space="preserve">הראש יוסף </w:t>
      </w:r>
      <w:r w:rsidRPr="0050146A">
        <w:rPr>
          <w:rFonts w:hint="cs"/>
          <w:rtl/>
        </w:rPr>
        <w:t xml:space="preserve">לבאר בכוונת </w:t>
      </w:r>
      <w:r w:rsidRPr="0050146A">
        <w:rPr>
          <w:rStyle w:val="af8"/>
          <w:rFonts w:hint="cs"/>
          <w:rtl/>
        </w:rPr>
        <w:t>התוס'</w:t>
      </w:r>
      <w:r w:rsidRPr="0050146A">
        <w:rPr>
          <w:rFonts w:hint="cs"/>
          <w:rtl/>
        </w:rPr>
        <w:t>.</w:t>
      </w:r>
    </w:p>
    <w:p w:rsidR="0088374B" w:rsidRPr="0050146A" w:rsidRDefault="0088374B" w:rsidP="0088374B">
      <w:pPr>
        <w:pStyle w:val="1"/>
        <w:rPr>
          <w:rtl/>
        </w:rPr>
      </w:pPr>
      <w:bookmarkStart w:id="4108" w:name="_Toc11599997"/>
      <w:bookmarkStart w:id="4109" w:name="_Toc11625307"/>
      <w:bookmarkStart w:id="4110" w:name="_Toc11664774"/>
      <w:bookmarkEnd w:id="4093"/>
      <w:r w:rsidRPr="0050146A">
        <w:rPr>
          <w:rFonts w:hint="cs"/>
          <w:rtl/>
        </w:rPr>
        <w:t>דברי התוס' דבמין במינו הילפותא מזרוע בשלה היא לחומרא</w:t>
      </w:r>
      <w:bookmarkEnd w:id="4108"/>
      <w:bookmarkEnd w:id="4109"/>
      <w:bookmarkEnd w:id="4110"/>
    </w:p>
    <w:p w:rsidR="0088374B" w:rsidRPr="0050146A" w:rsidRDefault="0088374B" w:rsidP="0088374B">
      <w:pPr>
        <w:pStyle w:val="a2"/>
        <w:rPr>
          <w:rtl/>
        </w:rPr>
      </w:pPr>
      <w:bookmarkStart w:id="4111" w:name="_Toc11599998"/>
      <w:bookmarkStart w:id="4112" w:name="_Toc11625308"/>
      <w:bookmarkStart w:id="4113" w:name="_Toc11664775"/>
      <w:r w:rsidRPr="0050146A">
        <w:rPr>
          <w:rFonts w:hint="cs"/>
          <w:rtl/>
        </w:rPr>
        <w:t>קושית התוס' דהילפותא מזרוע בשלה היא קולא דהא במין בשאינו מינו ל"מ רוב דטע"כ דאו'</w:t>
      </w:r>
      <w:bookmarkEnd w:id="4111"/>
      <w:bookmarkEnd w:id="4112"/>
      <w:bookmarkEnd w:id="4113"/>
    </w:p>
    <w:p w:rsidR="0088374B" w:rsidRPr="0050146A" w:rsidRDefault="0088374B" w:rsidP="009F44AF">
      <w:pPr>
        <w:pStyle w:val="a"/>
        <w:rPr>
          <w:sz w:val="10"/>
          <w:szCs w:val="14"/>
          <w:rtl/>
        </w:rPr>
      </w:pPr>
      <w:bookmarkStart w:id="4114" w:name="_Ref11181023"/>
      <w:r w:rsidRPr="0050146A">
        <w:rPr>
          <w:rFonts w:hint="cs"/>
          <w:rtl/>
        </w:rPr>
        <w:t xml:space="preserve">והקשו </w:t>
      </w:r>
      <w:r w:rsidRPr="0050146A">
        <w:rPr>
          <w:rStyle w:val="af8"/>
          <w:rFonts w:hint="cs"/>
          <w:rtl/>
        </w:rPr>
        <w:t xml:space="preserve">התוס' </w:t>
      </w:r>
      <w:r w:rsidRPr="0050146A">
        <w:rPr>
          <w:rStyle w:val="af6"/>
          <w:rFonts w:eastAsia="Guttman Hodes" w:hint="cs"/>
          <w:rtl/>
        </w:rPr>
        <w:t>(ד"ה לחומרא)</w:t>
      </w:r>
      <w:r w:rsidRPr="0050146A">
        <w:rPr>
          <w:rFonts w:hint="cs"/>
          <w:rtl/>
        </w:rPr>
        <w:t xml:space="preserve"> דהיאך אמרינן דהילפותא מזרוע בשלה היא חומרא, דלא מהני ביטול ברוב, הא זהו דוקא במין במינו, אבל במין בשאינו מינו לא מהני ביטול ברוב, דהא טעם כעיקר דאו'</w:t>
      </w:r>
      <w:bookmarkEnd w:id="4114"/>
      <w:r w:rsidRPr="0050146A">
        <w:rPr>
          <w:rFonts w:hint="cs"/>
          <w:rtl/>
        </w:rPr>
        <w:t xml:space="preserve">. </w:t>
      </w:r>
      <w:r w:rsidRPr="0050146A">
        <w:rPr>
          <w:rStyle w:val="afa"/>
          <w:rFonts w:hint="cs"/>
          <w:rtl/>
        </w:rPr>
        <w:t xml:space="preserve">[וביאר </w:t>
      </w:r>
      <w:r w:rsidRPr="0050146A">
        <w:rPr>
          <w:rStyle w:val="affa"/>
          <w:rFonts w:hint="cs"/>
          <w:rtl/>
        </w:rPr>
        <w:t>הראש יוסף</w:t>
      </w:r>
      <w:r w:rsidRPr="0050146A">
        <w:rPr>
          <w:rStyle w:val="afa"/>
          <w:rFonts w:hint="cs"/>
          <w:rtl/>
        </w:rPr>
        <w:t xml:space="preserve"> </w:t>
      </w:r>
      <w:r w:rsidRPr="0050146A">
        <w:rPr>
          <w:rStyle w:val="aff6"/>
          <w:rFonts w:hint="cs"/>
          <w:rtl/>
        </w:rPr>
        <w:t>(על תוד"ה לחומרא)</w:t>
      </w:r>
      <w:r w:rsidRPr="0050146A">
        <w:rPr>
          <w:rStyle w:val="afa"/>
          <w:rFonts w:hint="cs"/>
          <w:rtl/>
        </w:rPr>
        <w:t xml:space="preserve"> דכוונת </w:t>
      </w:r>
      <w:r w:rsidRPr="0050146A">
        <w:rPr>
          <w:rStyle w:val="affa"/>
          <w:rFonts w:hint="cs"/>
          <w:rtl/>
        </w:rPr>
        <w:t>התוס'</w:t>
      </w:r>
      <w:r w:rsidRPr="0050146A">
        <w:rPr>
          <w:rStyle w:val="afa"/>
          <w:rFonts w:hint="cs"/>
          <w:rtl/>
        </w:rPr>
        <w:t xml:space="preserve"> להקשות דבמין במינו קיי"ל כרבנן דר"י בשישים, ומדאו' מהני ביטול בחד בתרי, ולכן אפש"ל דהסמיכו רבנן את הביטול בשישים על הקרא דזרוע בשלה, אבל במין בשאינו מינו דס"ל </w:t>
      </w:r>
      <w:r w:rsidRPr="0050146A">
        <w:rPr>
          <w:rStyle w:val="affa"/>
          <w:rFonts w:hint="cs"/>
          <w:rtl/>
        </w:rPr>
        <w:t>להתוס'</w:t>
      </w:r>
      <w:r w:rsidRPr="0050146A">
        <w:rPr>
          <w:rStyle w:val="afa"/>
          <w:rFonts w:hint="cs"/>
          <w:rtl/>
        </w:rPr>
        <w:t xml:space="preserve"> דטעם כעיקר הוא דאו' וכדילפינן בפסחים </w:t>
      </w:r>
      <w:r w:rsidRPr="0050146A">
        <w:rPr>
          <w:rStyle w:val="aff6"/>
          <w:rFonts w:hint="cs"/>
          <w:rtl/>
        </w:rPr>
        <w:t>(מד.)</w:t>
      </w:r>
      <w:r w:rsidRPr="0050146A">
        <w:rPr>
          <w:rStyle w:val="afa"/>
          <w:rFonts w:hint="cs"/>
          <w:rtl/>
        </w:rPr>
        <w:t xml:space="preserve"> ממשרת, א"כ היאך אפשר ללמוד לקולא מזרוע בשלה דמהני ביטול בשישים].</w:t>
      </w:r>
    </w:p>
    <w:p w:rsidR="0088374B" w:rsidRPr="0050146A" w:rsidRDefault="0088374B" w:rsidP="0088374B">
      <w:pPr>
        <w:pStyle w:val="a2"/>
        <w:rPr>
          <w:rtl/>
        </w:rPr>
      </w:pPr>
      <w:bookmarkStart w:id="4115" w:name="_Toc11599999"/>
      <w:bookmarkStart w:id="4116" w:name="_Toc11625309"/>
      <w:bookmarkStart w:id="4117" w:name="_Toc11664776"/>
      <w:r w:rsidRPr="0050146A">
        <w:rPr>
          <w:rFonts w:hint="cs"/>
          <w:rtl/>
        </w:rPr>
        <w:t>דברי התוס' דבמין במינו הוא לחומרא ובמין בשאינו מינו הילפותא מזרוע בשלה היא אסמכתא</w:t>
      </w:r>
      <w:bookmarkEnd w:id="4115"/>
      <w:bookmarkEnd w:id="4116"/>
      <w:bookmarkEnd w:id="4117"/>
      <w:r w:rsidRPr="0050146A">
        <w:rPr>
          <w:rFonts w:hint="cs"/>
          <w:rtl/>
        </w:rPr>
        <w:t xml:space="preserve"> </w:t>
      </w:r>
    </w:p>
    <w:p w:rsidR="0088374B" w:rsidRPr="0050146A" w:rsidRDefault="0088374B" w:rsidP="009F44AF">
      <w:pPr>
        <w:pStyle w:val="a"/>
        <w:rPr>
          <w:rtl/>
        </w:rPr>
      </w:pPr>
      <w:bookmarkStart w:id="4118" w:name="_Ref11661008"/>
      <w:bookmarkStart w:id="4119" w:name="_Ref11098419"/>
      <w:r w:rsidRPr="0050146A">
        <w:rPr>
          <w:rFonts w:hint="cs"/>
          <w:rtl/>
        </w:rPr>
        <w:t xml:space="preserve">ותירצו </w:t>
      </w:r>
      <w:r w:rsidRPr="0050146A">
        <w:rPr>
          <w:rStyle w:val="af8"/>
          <w:rFonts w:hint="cs"/>
          <w:rtl/>
        </w:rPr>
        <w:t xml:space="preserve">התוס' </w:t>
      </w:r>
      <w:r w:rsidRPr="0050146A">
        <w:rPr>
          <w:rFonts w:hint="cs"/>
          <w:rtl/>
        </w:rPr>
        <w:t xml:space="preserve">דהילפותא דזרוע בשלה אינה דרשה גמורה, דלענין מין במינו ילפינן לחומרא, דלא מהני ביטול ברוב, ובמין בשאינו מינו קים לן דביותר משישים או מאה אין נתינת טעם, והסמיכו רבנן גם את מין בשאינו מינו על הילפותא דזרוע בשלה, </w:t>
      </w:r>
      <w:r w:rsidRPr="0050146A">
        <w:rPr>
          <w:rStyle w:val="af8"/>
          <w:rFonts w:hint="cs"/>
          <w:rtl/>
        </w:rPr>
        <w:t>והריטב"א</w:t>
      </w:r>
      <w:r w:rsidRPr="0050146A">
        <w:rPr>
          <w:rFonts w:hint="cs"/>
          <w:rtl/>
        </w:rPr>
        <w:t xml:space="preserve"> </w:t>
      </w:r>
      <w:r w:rsidRPr="0050146A">
        <w:rPr>
          <w:rStyle w:val="af6"/>
          <w:rFonts w:eastAsia="Guttman Hodes" w:hint="cs"/>
          <w:rtl/>
        </w:rPr>
        <w:t>(צח. ד"ה ושניהם)</w:t>
      </w:r>
      <w:r w:rsidRPr="0050146A">
        <w:rPr>
          <w:rFonts w:hint="cs"/>
          <w:rtl/>
        </w:rPr>
        <w:t xml:space="preserve"> ביאר את דברי </w:t>
      </w:r>
      <w:r w:rsidRPr="0050146A">
        <w:rPr>
          <w:rStyle w:val="af8"/>
          <w:rFonts w:hint="cs"/>
          <w:rtl/>
        </w:rPr>
        <w:t>התוס'</w:t>
      </w:r>
      <w:r w:rsidRPr="0050146A">
        <w:rPr>
          <w:rFonts w:hint="cs"/>
          <w:rtl/>
        </w:rPr>
        <w:t xml:space="preserve"> דהייתה קבלה לגמ' דטעם מתבטל בשישים או במאה, וכן הייתה קבלה לגמ' דרבנן הסמיכו את דין שישים על הילפותא דזרוע בשלה, ונחלקו אי האסמכתא היא לשישים או למאה, אך לכו"ע זהו השיעור שהתירו רבנן בכל האיסורים.</w:t>
      </w:r>
      <w:bookmarkEnd w:id="4118"/>
    </w:p>
    <w:p w:rsidR="0088374B" w:rsidRPr="0050146A" w:rsidRDefault="0088374B" w:rsidP="0088374B">
      <w:pPr>
        <w:pStyle w:val="a2"/>
      </w:pPr>
      <w:bookmarkStart w:id="4120" w:name="_Toc11600000"/>
      <w:bookmarkStart w:id="4121" w:name="_Toc11625310"/>
      <w:bookmarkStart w:id="4122" w:name="_Toc11664777"/>
      <w:bookmarkEnd w:id="4119"/>
      <w:r w:rsidRPr="0050146A">
        <w:rPr>
          <w:rFonts w:hint="cs"/>
          <w:rtl/>
        </w:rPr>
        <w:t>ביאור הראש יוסף בתוס' דלמין במינו צריך ילפותא לחומרא ובשאינו מינו אין טעם בשישים כלל</w:t>
      </w:r>
      <w:bookmarkEnd w:id="4120"/>
      <w:bookmarkEnd w:id="4121"/>
      <w:bookmarkEnd w:id="4122"/>
    </w:p>
    <w:p w:rsidR="0088374B" w:rsidRPr="0050146A" w:rsidRDefault="0088374B" w:rsidP="009F44AF">
      <w:pPr>
        <w:pStyle w:val="a"/>
        <w:rPr>
          <w:rtl/>
        </w:rPr>
      </w:pPr>
      <w:bookmarkStart w:id="4123" w:name="_Ref11230236"/>
      <w:r w:rsidRPr="0050146A">
        <w:rPr>
          <w:rFonts w:hint="cs"/>
          <w:rtl/>
        </w:rPr>
        <w:t xml:space="preserve">וכתב </w:t>
      </w:r>
      <w:r w:rsidRPr="0050146A">
        <w:rPr>
          <w:rStyle w:val="af8"/>
          <w:rFonts w:hint="cs"/>
          <w:rtl/>
        </w:rPr>
        <w:t xml:space="preserve">הראש יוסף </w:t>
      </w:r>
      <w:r w:rsidRPr="0050146A">
        <w:rPr>
          <w:rStyle w:val="af6"/>
          <w:rFonts w:eastAsia="Guttman Hodes" w:hint="cs"/>
          <w:rtl/>
        </w:rPr>
        <w:t>(על תוד"ה לחומרא)</w:t>
      </w:r>
      <w:r w:rsidRPr="0050146A">
        <w:rPr>
          <w:rFonts w:hint="cs"/>
          <w:rtl/>
        </w:rPr>
        <w:t xml:space="preserve"> דמבואר מדברי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Ref11098419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Fonts w:hint="cs"/>
          <w:rtl/>
        </w:rPr>
        <w:t xml:space="preserve"> דרק במין במינו צריך ילפותא מזרוע בשלה להחמיר ולהצריך שישים, אבל במין בשאינו מינו ס"ל </w:t>
      </w:r>
      <w:r w:rsidRPr="0050146A">
        <w:rPr>
          <w:rStyle w:val="af8"/>
          <w:rFonts w:hint="cs"/>
          <w:rtl/>
        </w:rPr>
        <w:t>להתוס'</w:t>
      </w:r>
      <w:r w:rsidRPr="0050146A">
        <w:rPr>
          <w:rFonts w:hint="cs"/>
          <w:rtl/>
        </w:rPr>
        <w:t xml:space="preserve"> דאין טעם כלל ביותר משישים, ונחלקו בזה על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Ref11230155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50146A">
        <w:rPr>
          <w:rStyle w:val="af6"/>
          <w:rFonts w:eastAsia="Guttman Hodes"/>
          <w:rtl/>
        </w:rPr>
        <w:fldChar w:fldCharType="end"/>
      </w:r>
      <w:r w:rsidRPr="0050146A">
        <w:rPr>
          <w:rFonts w:hint="cs"/>
          <w:rtl/>
        </w:rPr>
        <w:t xml:space="preserve"> דס"ל דמדאו' צריך שישים לבטל את הטעם</w:t>
      </w:r>
      <w:bookmarkEnd w:id="4123"/>
      <w:r w:rsidRPr="0050146A">
        <w:rPr>
          <w:rFonts w:hint="cs"/>
          <w:rtl/>
        </w:rPr>
        <w:t>.</w:t>
      </w:r>
    </w:p>
    <w:p w:rsidR="0088374B" w:rsidRPr="0050146A" w:rsidRDefault="0088374B" w:rsidP="0088374B">
      <w:pPr>
        <w:pStyle w:val="1"/>
        <w:rPr>
          <w:rtl/>
        </w:rPr>
      </w:pPr>
      <w:bookmarkStart w:id="4124" w:name="_Toc11600001"/>
      <w:bookmarkStart w:id="4125" w:name="_Toc11625311"/>
      <w:bookmarkStart w:id="4126" w:name="_Toc11664778"/>
      <w:r w:rsidRPr="0050146A">
        <w:rPr>
          <w:rFonts w:hint="cs"/>
          <w:rtl/>
        </w:rPr>
        <w:t>התירוץ הב' בתוס' דכשבטל הטעם בפחות משישים הוי חומרא</w:t>
      </w:r>
      <w:bookmarkEnd w:id="4124"/>
      <w:bookmarkEnd w:id="4125"/>
      <w:bookmarkEnd w:id="4126"/>
      <w:r w:rsidRPr="0050146A">
        <w:rPr>
          <w:rFonts w:hint="cs"/>
          <w:rtl/>
        </w:rPr>
        <w:t xml:space="preserve"> </w:t>
      </w:r>
    </w:p>
    <w:p w:rsidR="0088374B" w:rsidRPr="0050146A" w:rsidRDefault="0088374B" w:rsidP="0088374B">
      <w:pPr>
        <w:pStyle w:val="a2"/>
        <w:rPr>
          <w:rtl/>
        </w:rPr>
      </w:pPr>
      <w:bookmarkStart w:id="4127" w:name="_Toc11600002"/>
      <w:bookmarkStart w:id="4128" w:name="_Toc11625312"/>
      <w:bookmarkStart w:id="4129" w:name="_Toc11664779"/>
      <w:r w:rsidRPr="0050146A">
        <w:rPr>
          <w:rFonts w:hint="cs"/>
          <w:rtl/>
        </w:rPr>
        <w:t>התירוץ הב' בתוס' דהילפותא מזרוע בשלה היא חומרא דפעמים שאין נתינת טעם בפחות משישים</w:t>
      </w:r>
      <w:bookmarkEnd w:id="4127"/>
      <w:bookmarkEnd w:id="4128"/>
      <w:bookmarkEnd w:id="4129"/>
    </w:p>
    <w:p w:rsidR="0088374B" w:rsidRPr="0050146A" w:rsidRDefault="0088374B" w:rsidP="009F44AF">
      <w:pPr>
        <w:pStyle w:val="a"/>
        <w:rPr>
          <w:sz w:val="10"/>
          <w:szCs w:val="14"/>
          <w:rtl/>
        </w:rPr>
      </w:pPr>
      <w:bookmarkStart w:id="4130" w:name="_Ref11661910"/>
      <w:r w:rsidRPr="0050146A">
        <w:rPr>
          <w:rFonts w:hint="cs"/>
          <w:rtl/>
        </w:rPr>
        <w:t>ועוד תירצו</w:t>
      </w:r>
      <w:r w:rsidRPr="0050146A">
        <w:rPr>
          <w:rStyle w:val="af8"/>
          <w:rFonts w:hint="cs"/>
          <w:rtl/>
        </w:rPr>
        <w:t xml:space="preserve"> התוס' </w:t>
      </w:r>
      <w:r w:rsidRPr="0050146A">
        <w:rPr>
          <w:rFonts w:hint="cs"/>
          <w:rtl/>
        </w:rPr>
        <w:t xml:space="preserve">דכיון שיש פעמים שאין נתינת טעם, אף בפחות משישים או מאה, א"כ הילפותא מזרוע בשלה שצריך שישים או מאה, היא חומרא בעלמא, ועי' במה שהקשו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Ref11661966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50146A">
        <w:rPr>
          <w:rStyle w:val="af6"/>
          <w:rFonts w:eastAsia="Guttman Hodes"/>
          <w:rtl/>
        </w:rPr>
        <w:fldChar w:fldCharType="end"/>
      </w:r>
      <w:r w:rsidRPr="0050146A">
        <w:rPr>
          <w:rFonts w:hint="cs"/>
          <w:rtl/>
        </w:rPr>
        <w:t xml:space="preserve"> </w:t>
      </w:r>
      <w:r w:rsidRPr="0050146A">
        <w:rPr>
          <w:rStyle w:val="af8"/>
          <w:rFonts w:hint="cs"/>
          <w:rtl/>
        </w:rPr>
        <w:t>והמהרש"א והראש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Ref11747603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על דברי </w:t>
      </w:r>
      <w:r w:rsidRPr="0050146A">
        <w:rPr>
          <w:rStyle w:val="af8"/>
          <w:rFonts w:hint="cs"/>
          <w:rtl/>
        </w:rPr>
        <w:t>התוס'</w:t>
      </w:r>
      <w:r w:rsidRPr="0050146A">
        <w:rPr>
          <w:rFonts w:hint="cs"/>
          <w:rtl/>
        </w:rPr>
        <w:t xml:space="preserve">, ובמה שביאר </w:t>
      </w:r>
      <w:r w:rsidRPr="0050146A">
        <w:rPr>
          <w:rStyle w:val="af8"/>
          <w:rFonts w:hint="cs"/>
          <w:rtl/>
        </w:rPr>
        <w:t>החזו"א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Ref11662070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קו)</w:t>
      </w:r>
      <w:r w:rsidRPr="0050146A">
        <w:rPr>
          <w:rStyle w:val="af6"/>
          <w:rFonts w:eastAsia="Guttman Hodes"/>
          <w:rtl/>
        </w:rPr>
        <w:fldChar w:fldCharType="end"/>
      </w:r>
      <w:r w:rsidRPr="0050146A">
        <w:rPr>
          <w:rFonts w:hint="cs"/>
          <w:rtl/>
        </w:rPr>
        <w:t>.</w:t>
      </w:r>
      <w:bookmarkEnd w:id="4130"/>
    </w:p>
    <w:p w:rsidR="0088374B" w:rsidRPr="0050146A" w:rsidRDefault="0088374B" w:rsidP="0088374B">
      <w:pPr>
        <w:pStyle w:val="1"/>
        <w:rPr>
          <w:rtl/>
        </w:rPr>
      </w:pPr>
      <w:bookmarkStart w:id="4131" w:name="_Toc11625317"/>
      <w:bookmarkStart w:id="4132" w:name="_Toc11664780"/>
      <w:r w:rsidRPr="0050146A">
        <w:rPr>
          <w:rFonts w:hint="cs"/>
          <w:rtl/>
        </w:rPr>
        <w:t>דברי התוס' לקמן דלמסקנת אביי טעם כעיקר דאו' ממשרת</w:t>
      </w:r>
      <w:bookmarkEnd w:id="4131"/>
      <w:bookmarkEnd w:id="4132"/>
    </w:p>
    <w:p w:rsidR="0088374B" w:rsidRPr="0050146A" w:rsidRDefault="0088374B" w:rsidP="0088374B">
      <w:pPr>
        <w:pStyle w:val="a2"/>
        <w:rPr>
          <w:rtl/>
        </w:rPr>
      </w:pPr>
      <w:bookmarkStart w:id="4133" w:name="_Toc11625318"/>
      <w:bookmarkStart w:id="4134" w:name="_Toc11664781"/>
      <w:bookmarkStart w:id="4135" w:name="_Toc11600007"/>
      <w:r w:rsidRPr="0050146A">
        <w:rPr>
          <w:rFonts w:hint="cs"/>
          <w:rtl/>
        </w:rPr>
        <w:t>קושית התוס' דבגמ' לקמן משמע דלאביי טעם כעיקר דאו' מבשר בחלב ולא ממשרת וגיעולי עכו"ם</w:t>
      </w:r>
      <w:bookmarkEnd w:id="4133"/>
      <w:bookmarkEnd w:id="4134"/>
    </w:p>
    <w:p w:rsidR="0088374B" w:rsidRPr="0050146A" w:rsidRDefault="0088374B" w:rsidP="009F44AF">
      <w:pPr>
        <w:pStyle w:val="a"/>
        <w:rPr>
          <w:rtl/>
        </w:rPr>
      </w:pPr>
      <w:r w:rsidRPr="0050146A">
        <w:rPr>
          <w:rFonts w:hint="cs"/>
          <w:rtl/>
        </w:rPr>
        <w:t xml:space="preserve">הקשו </w:t>
      </w:r>
      <w:r w:rsidRPr="0050146A">
        <w:rPr>
          <w:rStyle w:val="af8"/>
          <w:rFonts w:hint="cs"/>
          <w:rtl/>
        </w:rPr>
        <w:t>התוס' לקמן</w:t>
      </w:r>
      <w:r w:rsidRPr="0050146A">
        <w:rPr>
          <w:rFonts w:hint="cs"/>
          <w:rtl/>
        </w:rPr>
        <w:t xml:space="preserve"> </w:t>
      </w:r>
      <w:r w:rsidRPr="0050146A">
        <w:rPr>
          <w:rStyle w:val="af6"/>
          <w:rFonts w:eastAsia="Guttman Hodes" w:hint="cs"/>
          <w:rtl/>
        </w:rPr>
        <w:t>(קח. ד"ה מבשר)</w:t>
      </w:r>
      <w:r w:rsidRPr="0050146A">
        <w:rPr>
          <w:rFonts w:hint="cs"/>
          <w:rtl/>
        </w:rPr>
        <w:t xml:space="preserve"> דבגמ' לקמן </w:t>
      </w:r>
      <w:r w:rsidRPr="0050146A">
        <w:rPr>
          <w:rStyle w:val="af6"/>
          <w:rFonts w:eastAsia="Guttman Hodes" w:hint="cs"/>
          <w:rtl/>
        </w:rPr>
        <w:t>(קח.)</w:t>
      </w:r>
      <w:r w:rsidRPr="0050146A">
        <w:rPr>
          <w:rFonts w:hint="cs"/>
          <w:rtl/>
        </w:rPr>
        <w:t xml:space="preserve"> משמע דאביי יליף דטעם כעיקר דאו' מבשר בחלב, ואילו בגמ' בפסחים </w:t>
      </w:r>
      <w:r w:rsidRPr="0050146A">
        <w:rPr>
          <w:rStyle w:val="af6"/>
          <w:rFonts w:eastAsia="Guttman Hodes" w:hint="cs"/>
          <w:rtl/>
        </w:rPr>
        <w:t>(מד:)</w:t>
      </w:r>
      <w:r w:rsidRPr="0050146A">
        <w:rPr>
          <w:rFonts w:hint="cs"/>
          <w:rtl/>
        </w:rPr>
        <w:t xml:space="preserve"> ובנזיר </w:t>
      </w:r>
      <w:r w:rsidRPr="0050146A">
        <w:rPr>
          <w:rStyle w:val="af6"/>
          <w:rFonts w:eastAsia="Guttman Hodes" w:hint="cs"/>
          <w:rtl/>
        </w:rPr>
        <w:t>(לז.)</w:t>
      </w:r>
      <w:r w:rsidRPr="0050146A">
        <w:rPr>
          <w:rFonts w:hint="cs"/>
          <w:rtl/>
        </w:rPr>
        <w:t xml:space="preserve"> ילפינן טעם כעיקר ממשרת או מגיעולי עכו"ם, ומשמע בגמ' שם דאביי דזוהי הילפותא.</w:t>
      </w:r>
    </w:p>
    <w:p w:rsidR="0088374B" w:rsidRPr="0050146A" w:rsidRDefault="0088374B" w:rsidP="0088374B">
      <w:pPr>
        <w:pStyle w:val="a2"/>
      </w:pPr>
      <w:bookmarkStart w:id="4136" w:name="_Toc11625319"/>
      <w:bookmarkStart w:id="4137" w:name="_Toc11664782"/>
      <w:r w:rsidRPr="0050146A">
        <w:rPr>
          <w:rFonts w:hint="cs"/>
          <w:rtl/>
        </w:rPr>
        <w:t>תירוץ התוס' לקמן דאחר דדחה רבא את הילפותא מבשר בחלב למד אביי ממשרת דטע"כ דאו'</w:t>
      </w:r>
      <w:bookmarkEnd w:id="4136"/>
      <w:bookmarkEnd w:id="4137"/>
    </w:p>
    <w:p w:rsidR="002D7168" w:rsidRDefault="0088374B" w:rsidP="009F44AF">
      <w:pPr>
        <w:pStyle w:val="a"/>
        <w:rPr>
          <w:rtl/>
        </w:rPr>
      </w:pPr>
      <w:r w:rsidRPr="0050146A">
        <w:rPr>
          <w:rFonts w:hint="cs"/>
          <w:rtl/>
        </w:rPr>
        <w:t xml:space="preserve">ותירצו </w:t>
      </w:r>
      <w:r w:rsidRPr="0050146A">
        <w:rPr>
          <w:rStyle w:val="af8"/>
          <w:rFonts w:hint="cs"/>
          <w:rtl/>
        </w:rPr>
        <w:t>התוס' לקמן</w:t>
      </w:r>
      <w:r w:rsidRPr="0050146A">
        <w:rPr>
          <w:rFonts w:hint="cs"/>
          <w:rtl/>
        </w:rPr>
        <w:t xml:space="preserve"> דאחר שדחה רבא לאביי דבשר בחלב איסורו בטעם כיון דאסרה תורה רק בדרך בישול, קיבל ממנו אביי, וביאר </w:t>
      </w:r>
      <w:r w:rsidRPr="0050146A">
        <w:rPr>
          <w:rStyle w:val="af8"/>
          <w:rFonts w:hint="cs"/>
          <w:rtl/>
        </w:rPr>
        <w:t xml:space="preserve">המהר"ם </w:t>
      </w:r>
      <w:r w:rsidRPr="0050146A">
        <w:rPr>
          <w:rStyle w:val="af6"/>
          <w:rFonts w:eastAsia="Guttman Hodes" w:hint="cs"/>
          <w:rtl/>
        </w:rPr>
        <w:t>(קח. על תוד"ה מבשר)</w:t>
      </w:r>
      <w:r w:rsidRPr="0050146A">
        <w:rPr>
          <w:rFonts w:hint="cs"/>
          <w:rtl/>
        </w:rPr>
        <w:t xml:space="preserve"> דבהו"א סבר אביי דמהקור לדין טעם כעיקר דאו' הוא מבשר בחלב, ואחר שדחה רבא דאינו המקור לטעם כעיקר, ולמד אביי את הברייתא בפסחים ובנזיר, חזר אביי וקיבל מרבא דהמקור לטעם כעיקר אינו מבשר בחלב.</w:t>
      </w:r>
    </w:p>
    <w:p w:rsidR="0088374B" w:rsidRPr="0050146A" w:rsidRDefault="0088374B" w:rsidP="00E669F8">
      <w:pPr>
        <w:pStyle w:val="afd"/>
        <w:rPr>
          <w:rtl/>
        </w:rPr>
      </w:pPr>
      <w:bookmarkStart w:id="4138" w:name="_Toc11625320"/>
      <w:bookmarkStart w:id="4139" w:name="_Toc11664783"/>
      <w:r w:rsidRPr="0050146A">
        <w:rPr>
          <w:rFonts w:hint="cs"/>
          <w:rtl/>
        </w:rPr>
        <w:t>בביאור שיטת רש"י בזרוע בשלה</w:t>
      </w:r>
      <w:bookmarkEnd w:id="4135"/>
      <w:bookmarkEnd w:id="4138"/>
      <w:bookmarkEnd w:id="4139"/>
    </w:p>
    <w:p w:rsidR="0088374B" w:rsidRPr="0050146A" w:rsidRDefault="0088374B" w:rsidP="0088374B">
      <w:pPr>
        <w:pStyle w:val="a2"/>
        <w:rPr>
          <w:rtl/>
        </w:rPr>
      </w:pPr>
      <w:bookmarkStart w:id="4140" w:name="_Toc11664785"/>
      <w:bookmarkStart w:id="4141" w:name="_Toc11625321"/>
      <w:r w:rsidRPr="0050146A">
        <w:rPr>
          <w:b/>
          <w:bCs/>
          <w:sz w:val="18"/>
          <w:szCs w:val="18"/>
          <w:rtl/>
        </w:rPr>
        <w:t>ביאור הרמב"ן ברש"י דאף כשאין טעם צריך שישים</w:t>
      </w:r>
    </w:p>
    <w:p w:rsidR="0088374B" w:rsidRPr="0050146A" w:rsidRDefault="0088374B" w:rsidP="0088374B">
      <w:pPr>
        <w:pStyle w:val="a2"/>
        <w:rPr>
          <w:rtl/>
        </w:rPr>
      </w:pPr>
      <w:r w:rsidRPr="0050146A">
        <w:rPr>
          <w:rFonts w:hint="cs"/>
          <w:rtl/>
        </w:rPr>
        <w:t>קושית הרמב"ן על רש"י דאי לאביי טעם כעיקר דאו' א"כ היאך אמר דמדאו' חד בתרי בטיל</w:t>
      </w:r>
      <w:bookmarkEnd w:id="4140"/>
    </w:p>
    <w:p w:rsidR="0088374B" w:rsidRPr="0050146A" w:rsidRDefault="0088374B" w:rsidP="009F44AF">
      <w:pPr>
        <w:pStyle w:val="a"/>
        <w:rPr>
          <w:rtl/>
        </w:rPr>
      </w:pPr>
      <w:bookmarkStart w:id="4142" w:name="_Ref11528318"/>
      <w:r w:rsidRPr="0050146A">
        <w:rPr>
          <w:rFonts w:hint="cs"/>
          <w:rtl/>
        </w:rPr>
        <w:lastRenderedPageBreak/>
        <w:t xml:space="preserve">הביא </w:t>
      </w:r>
      <w:r w:rsidRPr="0050146A">
        <w:rPr>
          <w:rStyle w:val="af8"/>
          <w:rFonts w:hint="cs"/>
          <w:rtl/>
        </w:rPr>
        <w:t>הרמב"ן</w:t>
      </w:r>
      <w:r w:rsidRPr="0050146A">
        <w:rPr>
          <w:rStyle w:val="af6"/>
          <w:rFonts w:eastAsia="Guttman Hodes" w:hint="cs"/>
          <w:rtl/>
        </w:rPr>
        <w:t xml:space="preserve"> (ד"ה ומדאמרינן) </w:t>
      </w:r>
      <w:r w:rsidRPr="0050146A">
        <w:rPr>
          <w:rFonts w:hint="cs"/>
          <w:rtl/>
        </w:rPr>
        <w:t xml:space="preserve">את דברי </w:t>
      </w:r>
      <w:r w:rsidRPr="0050146A">
        <w:rPr>
          <w:rStyle w:val="af8"/>
          <w:rFonts w:hint="cs"/>
          <w:rtl/>
        </w:rPr>
        <w:t>רש"י</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דכתב דרבא ס"ל דטעם כעיקר דרבנן, וכתב </w:t>
      </w:r>
      <w:r w:rsidRPr="0050146A">
        <w:rPr>
          <w:rStyle w:val="af8"/>
          <w:rFonts w:hint="cs"/>
          <w:rtl/>
        </w:rPr>
        <w:t>הרמב"ן</w:t>
      </w:r>
      <w:r w:rsidRPr="0050146A">
        <w:rPr>
          <w:rStyle w:val="af6"/>
          <w:rFonts w:eastAsia="Guttman Hodes" w:hint="cs"/>
          <w:rtl/>
        </w:rPr>
        <w:t xml:space="preserve"> (ד"ה ומדאמרינן) </w:t>
      </w:r>
      <w:r w:rsidRPr="0050146A">
        <w:rPr>
          <w:rFonts w:hint="cs"/>
          <w:rtl/>
        </w:rPr>
        <w:t xml:space="preserve">דכדברי </w:t>
      </w:r>
      <w:r w:rsidRPr="0050146A">
        <w:rPr>
          <w:rStyle w:val="af8"/>
          <w:rFonts w:hint="cs"/>
          <w:rtl/>
        </w:rPr>
        <w:t>רש"י</w:t>
      </w:r>
      <w:r w:rsidRPr="0050146A">
        <w:rPr>
          <w:rFonts w:hint="cs"/>
          <w:rtl/>
        </w:rPr>
        <w:t xml:space="preserve"> כן מבואר בגמ' לקמן </w:t>
      </w:r>
      <w:r w:rsidRPr="0050146A">
        <w:rPr>
          <w:rStyle w:val="af6"/>
          <w:rFonts w:eastAsia="Guttman Hodes" w:hint="cs"/>
          <w:rtl/>
        </w:rPr>
        <w:t xml:space="preserve">(קח.) </w:t>
      </w:r>
      <w:r w:rsidRPr="0050146A">
        <w:rPr>
          <w:rFonts w:hint="cs"/>
          <w:rtl/>
        </w:rPr>
        <w:t xml:space="preserve">דלאביי טעם כעיקר דאו' כדיליף אביי מבשר בחלב, ורבא פליג עליה וס"ל דלא ילפינן מבשר בחלב, ומוכח דס"ל לרבא טעם כעיקר דרבנן, והקשה </w:t>
      </w:r>
      <w:r w:rsidRPr="0050146A">
        <w:rPr>
          <w:rStyle w:val="af8"/>
          <w:rFonts w:hint="cs"/>
          <w:rtl/>
        </w:rPr>
        <w:t>הרמב"ן</w:t>
      </w:r>
      <w:r w:rsidRPr="0050146A">
        <w:rPr>
          <w:rFonts w:hint="cs"/>
          <w:rtl/>
        </w:rPr>
        <w:t xml:space="preserve"> דאי ס"ל לאביי דילפינן מבשר בחלב דטעם כעיקר דאו', א"כ היאך אמר אביי בסוגיין דמדאו' חד בתרי בטיל</w:t>
      </w:r>
      <w:bookmarkEnd w:id="4142"/>
      <w:r w:rsidRPr="0050146A">
        <w:rPr>
          <w:rFonts w:hint="cs"/>
          <w:rtl/>
        </w:rPr>
        <w:t>.</w:t>
      </w:r>
    </w:p>
    <w:p w:rsidR="0088374B" w:rsidRPr="0050146A" w:rsidRDefault="0088374B" w:rsidP="0088374B">
      <w:pPr>
        <w:pStyle w:val="a2"/>
        <w:rPr>
          <w:rtl/>
        </w:rPr>
      </w:pPr>
      <w:bookmarkStart w:id="4143" w:name="_Toc11664786"/>
      <w:r w:rsidRPr="0050146A">
        <w:rPr>
          <w:rFonts w:hint="cs"/>
          <w:rtl/>
        </w:rPr>
        <w:t>ביאור הרמב"ן דלאביי אף כשאין טעם ילפינן מזרוע בשלה לחומרא דצריך שישים ול"מ ביטול ברוב</w:t>
      </w:r>
      <w:bookmarkEnd w:id="4143"/>
    </w:p>
    <w:p w:rsidR="0088374B" w:rsidRPr="0050146A" w:rsidRDefault="0088374B" w:rsidP="009F44AF">
      <w:pPr>
        <w:pStyle w:val="a"/>
      </w:pPr>
      <w:bookmarkStart w:id="4144" w:name="_Ref11660495"/>
      <w:r w:rsidRPr="0050146A">
        <w:rPr>
          <w:rFonts w:hint="cs"/>
          <w:rtl/>
        </w:rPr>
        <w:t xml:space="preserve">ותירץ </w:t>
      </w:r>
      <w:r w:rsidRPr="0050146A">
        <w:rPr>
          <w:rStyle w:val="af8"/>
          <w:rFonts w:hint="cs"/>
          <w:rtl/>
        </w:rPr>
        <w:t>הרמב"ן</w:t>
      </w:r>
      <w:r w:rsidRPr="0050146A">
        <w:rPr>
          <w:rFonts w:hint="cs"/>
          <w:rtl/>
        </w:rPr>
        <w:t xml:space="preserve"> </w:t>
      </w:r>
      <w:r w:rsidRPr="0050146A">
        <w:rPr>
          <w:rStyle w:val="afa"/>
          <w:rFonts w:hint="cs"/>
          <w:rtl/>
        </w:rPr>
        <w:t xml:space="preserve">[בדעת </w:t>
      </w:r>
      <w:r w:rsidRPr="0050146A">
        <w:rPr>
          <w:rStyle w:val="affa"/>
          <w:rFonts w:hint="cs"/>
          <w:rtl/>
        </w:rPr>
        <w:t>רש"י</w:t>
      </w:r>
      <w:r w:rsidRPr="0050146A">
        <w:rPr>
          <w:rStyle w:val="afa"/>
          <w:rFonts w:hint="cs"/>
          <w:rtl/>
        </w:rPr>
        <w:t xml:space="preserve">] </w:t>
      </w:r>
      <w:r w:rsidRPr="0050146A">
        <w:rPr>
          <w:rFonts w:hint="cs"/>
          <w:rtl/>
        </w:rPr>
        <w:t xml:space="preserve">דכוונת הגמ' לומר דהילפותא מזרוע בשלה אינה קולא, דלא ילפינן דמהני ביטול במקום שיש טעם, אלא ילפינן מזרוע בשלה לחומרא, דצריך שישים אף במקום שאין טעם, </w:t>
      </w:r>
      <w:r w:rsidRPr="0050146A">
        <w:rPr>
          <w:rStyle w:val="afa"/>
          <w:rFonts w:hint="cs"/>
          <w:rtl/>
        </w:rPr>
        <w:t>[דטעם הקפילא ואמר שאין טעם],</w:t>
      </w:r>
      <w:r w:rsidRPr="0050146A">
        <w:rPr>
          <w:rFonts w:hint="cs"/>
          <w:rtl/>
        </w:rPr>
        <w:t xml:space="preserve"> וכן במקום דקים להו לרבנן דאין טעם, מ"מ ילפינן מזרוע בשלה דצריך גם שיעור שישים, וזהו חומרא דאעפ"י שכבר אין טעם, מ"מ לא מהני ביטול של חד בתרי, וצריך ביטול בשישים, וכתב </w:t>
      </w:r>
      <w:r w:rsidRPr="0050146A">
        <w:rPr>
          <w:rStyle w:val="af8"/>
          <w:rFonts w:hint="cs"/>
          <w:rtl/>
        </w:rPr>
        <w:t>הרמב"ן</w:t>
      </w:r>
      <w:r w:rsidRPr="0050146A">
        <w:rPr>
          <w:rFonts w:hint="cs"/>
          <w:rtl/>
        </w:rPr>
        <w:t xml:space="preserve"> דמ"מ דברי </w:t>
      </w:r>
      <w:r w:rsidRPr="0050146A">
        <w:rPr>
          <w:rStyle w:val="af8"/>
          <w:rFonts w:hint="cs"/>
          <w:rtl/>
        </w:rPr>
        <w:t>רש"י</w:t>
      </w:r>
      <w:r w:rsidRPr="0050146A">
        <w:rPr>
          <w:rFonts w:hint="cs"/>
          <w:rtl/>
        </w:rPr>
        <w:t xml:space="preserve"> נכונים דביאר בדעת רבא וריו"ח דטעם כעיקר דרבנן, אמנם יעוי' במ"ש </w:t>
      </w:r>
      <w:r w:rsidRPr="0050146A">
        <w:rPr>
          <w:rStyle w:val="af8"/>
          <w:rFonts w:hint="cs"/>
          <w:rtl/>
        </w:rPr>
        <w:t>החת"ס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Ref11660333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קח)</w:t>
      </w:r>
      <w:r w:rsidRPr="0050146A">
        <w:rPr>
          <w:rStyle w:val="af6"/>
          <w:rFonts w:eastAsia="Guttman Hodes"/>
          <w:rtl/>
        </w:rPr>
        <w:fldChar w:fldCharType="end"/>
      </w:r>
      <w:r w:rsidRPr="0050146A">
        <w:rPr>
          <w:rFonts w:hint="cs"/>
          <w:rtl/>
        </w:rPr>
        <w:t xml:space="preserve"> בדברי </w:t>
      </w:r>
      <w:r w:rsidRPr="0050146A">
        <w:rPr>
          <w:rStyle w:val="af8"/>
          <w:rFonts w:hint="cs"/>
          <w:rtl/>
        </w:rPr>
        <w:t>הרמב"ן</w:t>
      </w:r>
      <w:r w:rsidRPr="0050146A">
        <w:rPr>
          <w:rFonts w:hint="cs"/>
          <w:rtl/>
        </w:rPr>
        <w:t xml:space="preserve"> דס"ל דבמקום שאין טעם א"צ שישים, וע"ע במ"ש </w:t>
      </w:r>
      <w:r w:rsidRPr="0050146A">
        <w:rPr>
          <w:rStyle w:val="af8"/>
          <w:rFonts w:hint="cs"/>
          <w:rtl/>
        </w:rPr>
        <w:t>החוו"ד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Ref11660384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קיא)</w:t>
      </w:r>
      <w:r w:rsidRPr="0050146A">
        <w:rPr>
          <w:rStyle w:val="af6"/>
          <w:rFonts w:eastAsia="Guttman Hodes"/>
          <w:rtl/>
        </w:rPr>
        <w:fldChar w:fldCharType="end"/>
      </w:r>
      <w:r w:rsidRPr="0050146A">
        <w:rPr>
          <w:rFonts w:hint="cs"/>
          <w:rtl/>
        </w:rPr>
        <w:t>.</w:t>
      </w:r>
      <w:bookmarkEnd w:id="4144"/>
      <w:r w:rsidRPr="0050146A">
        <w:rPr>
          <w:rFonts w:hint="cs"/>
          <w:rtl/>
        </w:rPr>
        <w:t xml:space="preserve"> </w:t>
      </w:r>
    </w:p>
    <w:p w:rsidR="0088374B" w:rsidRPr="0050146A" w:rsidRDefault="0088374B" w:rsidP="0088374B">
      <w:pPr>
        <w:pStyle w:val="1"/>
        <w:rPr>
          <w:rtl/>
        </w:rPr>
      </w:pPr>
      <w:bookmarkStart w:id="4145" w:name="_Toc11664787"/>
      <w:r w:rsidRPr="0050146A">
        <w:rPr>
          <w:rFonts w:hint="cs"/>
          <w:rtl/>
        </w:rPr>
        <w:t>ביאור רבינו אפרים ברש"י דזרוע בשלה הוא ילפותא גמורה</w:t>
      </w:r>
      <w:bookmarkEnd w:id="4141"/>
      <w:bookmarkEnd w:id="4145"/>
    </w:p>
    <w:p w:rsidR="0088374B" w:rsidRPr="0050146A" w:rsidRDefault="0088374B" w:rsidP="0088374B">
      <w:pPr>
        <w:pStyle w:val="a2"/>
        <w:rPr>
          <w:rtl/>
        </w:rPr>
      </w:pPr>
      <w:bookmarkStart w:id="4146" w:name="_Toc11625322"/>
      <w:bookmarkStart w:id="4147" w:name="_Toc11664788"/>
      <w:bookmarkStart w:id="4148" w:name="_Toc11600008"/>
      <w:r w:rsidRPr="0050146A">
        <w:rPr>
          <w:rFonts w:hint="cs"/>
          <w:rtl/>
        </w:rPr>
        <w:t>ביאור רבינו אפרים ברש"י דילפינן ממשרת דטע"כ דאו' ומזרוע בשלה דטעם בטל בשישים ולא ברוב</w:t>
      </w:r>
      <w:bookmarkEnd w:id="4146"/>
      <w:bookmarkEnd w:id="4147"/>
    </w:p>
    <w:p w:rsidR="0088374B" w:rsidRPr="0050146A" w:rsidRDefault="0088374B" w:rsidP="009F44AF">
      <w:pPr>
        <w:pStyle w:val="a"/>
        <w:rPr>
          <w:rtl/>
        </w:rPr>
      </w:pPr>
      <w:r w:rsidRPr="0050146A">
        <w:rPr>
          <w:rFonts w:hint="cs"/>
          <w:rtl/>
        </w:rPr>
        <w:t xml:space="preserve">הביא </w:t>
      </w:r>
      <w:r w:rsidRPr="0050146A">
        <w:rPr>
          <w:rStyle w:val="af8"/>
          <w:rFonts w:hint="cs"/>
          <w:rtl/>
        </w:rPr>
        <w:t>רבינו אפרים</w:t>
      </w:r>
      <w:r w:rsidRPr="0050146A">
        <w:rPr>
          <w:rFonts w:hint="cs"/>
          <w:rtl/>
        </w:rPr>
        <w:t xml:space="preserve"> </w:t>
      </w:r>
      <w:r w:rsidRPr="0050146A">
        <w:rPr>
          <w:rStyle w:val="af8"/>
          <w:rFonts w:hint="cs"/>
          <w:rtl/>
        </w:rPr>
        <w:t>בתשו'</w:t>
      </w:r>
      <w:r w:rsidRPr="0050146A">
        <w:rPr>
          <w:rFonts w:hint="cs"/>
          <w:rtl/>
        </w:rPr>
        <w:t xml:space="preserve"> </w:t>
      </w:r>
      <w:r w:rsidRPr="0050146A">
        <w:rPr>
          <w:rStyle w:val="af6"/>
          <w:rFonts w:eastAsia="Guttman Hodes" w:hint="cs"/>
          <w:rtl/>
        </w:rPr>
        <w:t>[</w:t>
      </w:r>
      <w:r w:rsidRPr="0050146A">
        <w:rPr>
          <w:rStyle w:val="afa"/>
          <w:rFonts w:hint="cs"/>
          <w:rtl/>
        </w:rPr>
        <w:t xml:space="preserve">הובא </w:t>
      </w:r>
      <w:r w:rsidRPr="0050146A">
        <w:rPr>
          <w:rStyle w:val="affa"/>
          <w:rFonts w:hint="cs"/>
          <w:rtl/>
        </w:rPr>
        <w:t>בראב"ן</w:t>
      </w:r>
      <w:r w:rsidRPr="0050146A">
        <w:rPr>
          <w:rStyle w:val="af6"/>
          <w:rFonts w:eastAsia="Guttman Hodes" w:hint="cs"/>
          <w:rtl/>
        </w:rPr>
        <w:t xml:space="preserve"> (בתשו' בסוף הספר, בתשובת רבינו אפרים ד"ה ועוד נחלקתי, [מהדו' ישנה עמ' שג:, מהדו' חד' ח"ג סי' תרי"ג ט'], הועתק בקובץ שיטות קמאי חולין ח"ג עמ' </w:t>
      </w:r>
      <w:r w:rsidRPr="0050146A">
        <w:rPr>
          <w:rStyle w:val="af6"/>
          <w:rFonts w:eastAsia="Guttman Hodes"/>
          <w:rtl/>
        </w:rPr>
        <w:t>ב' אלף רצ</w:t>
      </w:r>
      <w:r w:rsidRPr="0050146A">
        <w:rPr>
          <w:rStyle w:val="af6"/>
          <w:rFonts w:eastAsia="Guttman Hodes" w:hint="cs"/>
          <w:rtl/>
        </w:rPr>
        <w:t>"</w:t>
      </w:r>
      <w:r w:rsidRPr="0050146A">
        <w:rPr>
          <w:rStyle w:val="af6"/>
          <w:rFonts w:eastAsia="Guttman Hodes"/>
          <w:rtl/>
        </w:rPr>
        <w:t>ג</w:t>
      </w:r>
      <w:r w:rsidRPr="0050146A">
        <w:rPr>
          <w:rStyle w:val="af6"/>
          <w:rFonts w:eastAsia="Guttman Hodes" w:hint="cs"/>
          <w:rtl/>
        </w:rPr>
        <w:t>)]</w:t>
      </w:r>
      <w:r w:rsidRPr="0050146A">
        <w:rPr>
          <w:rFonts w:hint="cs"/>
          <w:rtl/>
        </w:rPr>
        <w:t xml:space="preserve"> בשם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Ref11180995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דכתב דמדאו' חד בתרי בטיל, דהיינו דלולי הילפותא מזרוע בשלה, אמרינן דהטעם בטל ברוב כדילפינן מאחרי רבים להטות, וביאר </w:t>
      </w:r>
      <w:r w:rsidRPr="0050146A">
        <w:rPr>
          <w:rStyle w:val="af8"/>
          <w:rFonts w:hint="cs"/>
          <w:rtl/>
        </w:rPr>
        <w:t>רבינו אפרים</w:t>
      </w:r>
      <w:r w:rsidRPr="0050146A">
        <w:rPr>
          <w:rFonts w:hint="cs"/>
          <w:rtl/>
        </w:rPr>
        <w:t xml:space="preserve"> דאחר שיש ילפותא ממשרת דטעם כעיקר, ילפינן מזרוע בשלה דאין נתינת טעם כעיקר ביותר משישים או מאה, </w:t>
      </w:r>
      <w:r w:rsidRPr="0050146A">
        <w:rPr>
          <w:rStyle w:val="afa"/>
          <w:rFonts w:hint="cs"/>
          <w:rtl/>
        </w:rPr>
        <w:t>[דהיינו דהילפותא דזרוע בשלה באה לומר דבטעם לא אזלינן בתר רובא ולא ילפינן טעם מאחרי רבים להטות],</w:t>
      </w:r>
      <w:r w:rsidRPr="0050146A">
        <w:rPr>
          <w:rFonts w:hint="cs"/>
          <w:rtl/>
        </w:rPr>
        <w:t xml:space="preserve"> והוסיף </w:t>
      </w:r>
      <w:r w:rsidRPr="0050146A">
        <w:rPr>
          <w:rStyle w:val="af8"/>
          <w:rFonts w:hint="cs"/>
          <w:rtl/>
        </w:rPr>
        <w:t>רבינו אפרים</w:t>
      </w:r>
      <w:r w:rsidRPr="0050146A">
        <w:rPr>
          <w:rFonts w:hint="cs"/>
          <w:rtl/>
        </w:rPr>
        <w:t xml:space="preserve"> דהא דאמרינן דחד בתרי בטיל הוא דוקא במקום שאין נתינת טעם.</w:t>
      </w:r>
    </w:p>
    <w:p w:rsidR="0088374B" w:rsidRPr="0050146A" w:rsidRDefault="0088374B" w:rsidP="0088374B">
      <w:pPr>
        <w:pStyle w:val="a2"/>
        <w:rPr>
          <w:rtl/>
        </w:rPr>
      </w:pPr>
      <w:bookmarkStart w:id="4149" w:name="_Toc11625323"/>
      <w:bookmarkStart w:id="4150" w:name="_Toc11664789"/>
      <w:r w:rsidRPr="0050146A">
        <w:rPr>
          <w:rFonts w:hint="cs"/>
          <w:rtl/>
        </w:rPr>
        <w:t>דברי רבינו אפרים דזרוע בשלה הוא ילפותא גמורה דמהני שישים אף דילפינן ממשרת דטע"כ דאו'</w:t>
      </w:r>
      <w:bookmarkEnd w:id="4149"/>
      <w:bookmarkEnd w:id="4150"/>
    </w:p>
    <w:p w:rsidR="0088374B" w:rsidRPr="0050146A" w:rsidRDefault="0088374B" w:rsidP="009F44AF">
      <w:pPr>
        <w:pStyle w:val="a"/>
        <w:rPr>
          <w:rtl/>
        </w:rPr>
      </w:pPr>
      <w:bookmarkStart w:id="4151" w:name="_Ref11664915"/>
      <w:r w:rsidRPr="0050146A">
        <w:rPr>
          <w:rFonts w:hint="cs"/>
          <w:rtl/>
        </w:rPr>
        <w:t xml:space="preserve">וביאר </w:t>
      </w:r>
      <w:r w:rsidRPr="0050146A">
        <w:rPr>
          <w:rStyle w:val="af8"/>
          <w:rFonts w:hint="cs"/>
          <w:rtl/>
        </w:rPr>
        <w:t>רבינו אפרים</w:t>
      </w:r>
      <w:r w:rsidRPr="0050146A">
        <w:rPr>
          <w:rFonts w:hint="cs"/>
          <w:rtl/>
        </w:rPr>
        <w:t xml:space="preserve"> דא"א לומר דהילפותא מזרוע בשלה היא אסמכתא, </w:t>
      </w:r>
      <w:r w:rsidRPr="0050146A">
        <w:rPr>
          <w:rStyle w:val="afa"/>
          <w:rFonts w:hint="cs"/>
          <w:rtl/>
        </w:rPr>
        <w:t xml:space="preserve">[עי' בדברי </w:t>
      </w:r>
      <w:r w:rsidRPr="0050146A">
        <w:rPr>
          <w:rStyle w:val="affa"/>
          <w:rFonts w:hint="cs"/>
          <w:rtl/>
        </w:rPr>
        <w:t>רבינו אפרים</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Ref11601682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סו)</w:t>
      </w:r>
      <w:r w:rsidRPr="0050146A">
        <w:rPr>
          <w:rStyle w:val="aff6"/>
          <w:rtl/>
        </w:rPr>
        <w:fldChar w:fldCharType="end"/>
      </w:r>
      <w:r w:rsidRPr="0050146A">
        <w:rPr>
          <w:rStyle w:val="afa"/>
          <w:rFonts w:hint="cs"/>
          <w:rtl/>
        </w:rPr>
        <w:t xml:space="preserve"> במה שכתב להוכיח כן], </w:t>
      </w:r>
      <w:r w:rsidRPr="0050146A">
        <w:rPr>
          <w:rFonts w:hint="cs"/>
          <w:rtl/>
        </w:rPr>
        <w:t xml:space="preserve">וכ"מ שאפשר ללמוד מזרוע בשלה לשישים או למאה, הוא דוקא אי הוא ילפותא גמורה, דכיון שאין דבר שנותן טעם ביותר משישים או ממאה, ולולא הילפותא מזרוע בשלה, אמרינן דאחר דילפינן </w:t>
      </w:r>
      <w:r w:rsidRPr="0050146A">
        <w:rPr>
          <w:rStyle w:val="afa"/>
          <w:rFonts w:hint="cs"/>
          <w:rtl/>
        </w:rPr>
        <w:t xml:space="preserve">[בגמ' בפסחים </w:t>
      </w:r>
      <w:r w:rsidRPr="0050146A">
        <w:rPr>
          <w:rStyle w:val="aff6"/>
          <w:rFonts w:hint="cs"/>
          <w:rtl/>
        </w:rPr>
        <w:t xml:space="preserve">(מד.) </w:t>
      </w:r>
      <w:r w:rsidRPr="0050146A">
        <w:rPr>
          <w:rStyle w:val="afa"/>
          <w:rFonts w:hint="cs"/>
          <w:rtl/>
        </w:rPr>
        <w:t xml:space="preserve">ובנזיר </w:t>
      </w:r>
      <w:r w:rsidRPr="0050146A">
        <w:rPr>
          <w:rStyle w:val="aff6"/>
          <w:rFonts w:hint="cs"/>
          <w:rtl/>
        </w:rPr>
        <w:t>(לז.)</w:t>
      </w:r>
      <w:r w:rsidRPr="0050146A">
        <w:rPr>
          <w:rStyle w:val="afa"/>
          <w:rFonts w:hint="cs"/>
          <w:rtl/>
        </w:rPr>
        <w:t xml:space="preserve">] </w:t>
      </w:r>
      <w:r w:rsidRPr="0050146A">
        <w:rPr>
          <w:rFonts w:hint="cs"/>
          <w:rtl/>
        </w:rPr>
        <w:t>ממשרת דטעם כעיקר דאו', א"כ לא בטל הטעם אף באלף, וקמ"ל זרוע בשלה דלעולם אין נתינת טעם ביותר משישים או מאה.</w:t>
      </w:r>
      <w:bookmarkEnd w:id="4151"/>
    </w:p>
    <w:p w:rsidR="0088374B" w:rsidRPr="0050146A" w:rsidRDefault="0088374B" w:rsidP="0088374B">
      <w:pPr>
        <w:pStyle w:val="a2"/>
      </w:pPr>
      <w:bookmarkStart w:id="4152" w:name="_Toc11625324"/>
      <w:bookmarkStart w:id="4153" w:name="_Toc11664790"/>
      <w:r w:rsidRPr="0050146A">
        <w:rPr>
          <w:rFonts w:hint="cs"/>
          <w:rtl/>
        </w:rPr>
        <w:t>ביאור רבינו אפרים דא"א ללמוד מזרוע בשלה לקולא דסגי בשישים דיתכן שיש טעם ביותר משישים</w:t>
      </w:r>
      <w:bookmarkEnd w:id="4152"/>
      <w:bookmarkEnd w:id="4153"/>
    </w:p>
    <w:p w:rsidR="0088374B" w:rsidRPr="0050146A" w:rsidRDefault="0088374B" w:rsidP="009F44AF">
      <w:pPr>
        <w:pStyle w:val="a"/>
        <w:rPr>
          <w:rtl/>
        </w:rPr>
      </w:pPr>
      <w:r w:rsidRPr="0050146A">
        <w:rPr>
          <w:rFonts w:hint="cs"/>
          <w:rtl/>
        </w:rPr>
        <w:t xml:space="preserve">וכתב </w:t>
      </w:r>
      <w:r w:rsidRPr="0050146A">
        <w:rPr>
          <w:rStyle w:val="af8"/>
          <w:rFonts w:hint="cs"/>
          <w:rtl/>
        </w:rPr>
        <w:t>רבינו אפרים</w:t>
      </w:r>
      <w:r w:rsidRPr="0050146A">
        <w:rPr>
          <w:rFonts w:hint="cs"/>
          <w:rtl/>
        </w:rPr>
        <w:t xml:space="preserve"> דזהו הביאור בדברי הגמ' דא"א ללמוד לקולא מזרוע בשלה כיון שהוא חידוש, דהיינו דלקולא א"א ללמוד מזרוע בשלה דבשישים אין נתינת טעם, דיתכן שאף ביותר משישים יש טעם, </w:t>
      </w:r>
      <w:r w:rsidRPr="0050146A">
        <w:rPr>
          <w:rStyle w:val="afa"/>
          <w:rFonts w:hint="cs"/>
          <w:rtl/>
        </w:rPr>
        <w:t>[וטעם כעיקר הוא מדאו' כדילפינן ממשרת],</w:t>
      </w:r>
      <w:r w:rsidRPr="0050146A">
        <w:rPr>
          <w:rFonts w:hint="cs"/>
          <w:rtl/>
        </w:rPr>
        <w:t xml:space="preserve"> ורק בזרוע בשלה דהוא חידוש הקילה תורה בשישים.</w:t>
      </w:r>
    </w:p>
    <w:p w:rsidR="0088374B" w:rsidRPr="0050146A" w:rsidRDefault="0088374B" w:rsidP="0088374B">
      <w:pPr>
        <w:pStyle w:val="a2"/>
        <w:rPr>
          <w:rtl/>
        </w:rPr>
      </w:pPr>
      <w:bookmarkStart w:id="4154" w:name="_Toc11625325"/>
      <w:bookmarkStart w:id="4155" w:name="_Toc11664791"/>
      <w:r w:rsidRPr="0050146A">
        <w:rPr>
          <w:rFonts w:hint="cs"/>
          <w:rtl/>
        </w:rPr>
        <w:t>ביאור רבינו אפרים דאף דטע"כ דאו' הטעם בטל ברוב מאחרי רבים להטות וזרוע בשלה הוא חומרא</w:t>
      </w:r>
      <w:bookmarkEnd w:id="4154"/>
      <w:bookmarkEnd w:id="4155"/>
    </w:p>
    <w:p w:rsidR="0088374B" w:rsidRPr="0050146A" w:rsidRDefault="0088374B" w:rsidP="009F44AF">
      <w:pPr>
        <w:pStyle w:val="a"/>
        <w:rPr>
          <w:rtl/>
        </w:rPr>
      </w:pPr>
      <w:r w:rsidRPr="0050146A">
        <w:rPr>
          <w:rFonts w:hint="cs"/>
          <w:rtl/>
        </w:rPr>
        <w:t xml:space="preserve">ובתירוץ הגמ' דהילפותא מזרוע בשלה היא לחומרא, ביאר </w:t>
      </w:r>
      <w:r w:rsidRPr="0050146A">
        <w:rPr>
          <w:rStyle w:val="af8"/>
          <w:rFonts w:hint="cs"/>
          <w:rtl/>
        </w:rPr>
        <w:t>רבינו אפרים</w:t>
      </w:r>
      <w:r w:rsidRPr="0050146A">
        <w:rPr>
          <w:rFonts w:hint="cs"/>
          <w:rtl/>
        </w:rPr>
        <w:t xml:space="preserve"> דלולא הילפותא מזרוע בשלה וממשרת, אמרינן דהטעם בטל ברוב מדין אחרי רבים להטות, </w:t>
      </w:r>
      <w:r w:rsidRPr="0050146A">
        <w:rPr>
          <w:rStyle w:val="afa"/>
          <w:rFonts w:hint="cs"/>
          <w:rtl/>
        </w:rPr>
        <w:t>[דהיינו דאף דטעם כעיקר כדילפינן ממשרת, מ"מ מהני ביטול ברוב אף בטעם],</w:t>
      </w:r>
      <w:r w:rsidRPr="0050146A">
        <w:rPr>
          <w:rFonts w:hint="cs"/>
          <w:rtl/>
        </w:rPr>
        <w:t xml:space="preserve"> וקמ"ל הילפותא דזרוע בשלה דכל שיש שישים או מאה הטעם מתבטל, ואין בזה נתינת טעם יותר.</w:t>
      </w:r>
    </w:p>
    <w:p w:rsidR="0088374B" w:rsidRPr="0050146A" w:rsidRDefault="0088374B" w:rsidP="0088374B">
      <w:pPr>
        <w:pStyle w:val="1"/>
        <w:rPr>
          <w:rtl/>
        </w:rPr>
      </w:pPr>
      <w:bookmarkStart w:id="4156" w:name="_Toc11625326"/>
      <w:bookmarkStart w:id="4157" w:name="_Toc11664792"/>
      <w:r w:rsidRPr="0050146A">
        <w:rPr>
          <w:rFonts w:hint="cs"/>
          <w:rtl/>
        </w:rPr>
        <w:t>ביאור המהרי"ק ברש"י</w:t>
      </w:r>
      <w:bookmarkEnd w:id="4094"/>
      <w:bookmarkEnd w:id="4095"/>
      <w:r w:rsidRPr="0050146A">
        <w:rPr>
          <w:rFonts w:hint="cs"/>
          <w:rtl/>
        </w:rPr>
        <w:t xml:space="preserve"> דלאביי טע"כ ושיעור שישים מדאו'</w:t>
      </w:r>
      <w:bookmarkEnd w:id="4096"/>
      <w:bookmarkEnd w:id="4148"/>
      <w:bookmarkEnd w:id="4156"/>
      <w:bookmarkEnd w:id="4157"/>
    </w:p>
    <w:p w:rsidR="0088374B" w:rsidRPr="0050146A" w:rsidRDefault="0088374B" w:rsidP="0088374B">
      <w:pPr>
        <w:pStyle w:val="a2"/>
        <w:rPr>
          <w:rtl/>
        </w:rPr>
      </w:pPr>
      <w:bookmarkStart w:id="4158" w:name="_Toc11406467"/>
      <w:bookmarkStart w:id="4159" w:name="_Toc11600009"/>
      <w:bookmarkStart w:id="4160" w:name="_Toc11625327"/>
      <w:bookmarkStart w:id="4161" w:name="_Toc11664793"/>
      <w:r w:rsidRPr="0050146A">
        <w:rPr>
          <w:rFonts w:hint="cs"/>
          <w:rtl/>
        </w:rPr>
        <w:t>דברי המהרי"ק ברש"י לדעת אביי טעם כעיקר דאו' והילפותא מזרוע בשלה אינה אסמכתא</w:t>
      </w:r>
      <w:bookmarkEnd w:id="4158"/>
      <w:bookmarkEnd w:id="4159"/>
      <w:bookmarkEnd w:id="4160"/>
      <w:bookmarkEnd w:id="4161"/>
    </w:p>
    <w:p w:rsidR="00925DF6" w:rsidRPr="0050146A" w:rsidRDefault="0088374B" w:rsidP="009F44AF">
      <w:pPr>
        <w:pStyle w:val="a"/>
        <w:rPr>
          <w:sz w:val="10"/>
          <w:szCs w:val="14"/>
          <w:rtl/>
        </w:rPr>
      </w:pPr>
      <w:bookmarkStart w:id="4162" w:name="_Ref11405166"/>
      <w:r w:rsidRPr="0050146A">
        <w:rPr>
          <w:rFonts w:hint="cs"/>
          <w:rtl/>
        </w:rPr>
        <w:t xml:space="preserve">כתב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(שורש קמ"ד ד"ה ואשר דקדקת) </w:t>
      </w:r>
      <w:r w:rsidRPr="0050146A">
        <w:rPr>
          <w:rFonts w:hint="cs"/>
          <w:rtl/>
        </w:rPr>
        <w:t xml:space="preserve">דס"ל </w:t>
      </w:r>
      <w:r w:rsidRPr="0050146A">
        <w:rPr>
          <w:rStyle w:val="af8"/>
          <w:rFonts w:hint="cs"/>
          <w:rtl/>
        </w:rPr>
        <w:t>לרש"י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Ref11144652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ג)</w:t>
      </w:r>
      <w:r w:rsidRPr="0050146A">
        <w:rPr>
          <w:rStyle w:val="af6"/>
          <w:rFonts w:eastAsia="Guttman Hodes"/>
          <w:rtl/>
        </w:rPr>
        <w:fldChar w:fldCharType="end"/>
      </w:r>
      <w:r w:rsidRPr="0050146A">
        <w:rPr>
          <w:rFonts w:hint="cs"/>
          <w:rtl/>
        </w:rPr>
        <w:t xml:space="preserve"> דלדעת אביי לקמן </w:t>
      </w:r>
      <w:r w:rsidRPr="0050146A">
        <w:rPr>
          <w:rStyle w:val="af6"/>
          <w:rFonts w:eastAsia="Guttman Hodes" w:hint="cs"/>
          <w:rtl/>
        </w:rPr>
        <w:t xml:space="preserve">(קח.) </w:t>
      </w:r>
      <w:r w:rsidRPr="0050146A">
        <w:rPr>
          <w:rFonts w:hint="cs"/>
          <w:rtl/>
        </w:rPr>
        <w:t xml:space="preserve">דיליף טעם כעיקר מבשר בחלב, וכן לדעת האמוראים דילפי בגמ'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 xml:space="preserve">ממשרת ומגיעולי עכו"ם, וס"ל דטעם כעיקר דאו', א"כ אף הילפותא לשיעור שישים מזרוע בשלה היא ילפותא גמורה, </w:t>
      </w:r>
      <w:r w:rsidRPr="0050146A">
        <w:rPr>
          <w:rStyle w:val="af8"/>
          <w:rFonts w:hint="cs"/>
          <w:rtl/>
        </w:rPr>
        <w:t>ורש"י</w:t>
      </w:r>
      <w:r w:rsidRPr="0050146A">
        <w:rPr>
          <w:rFonts w:hint="cs"/>
          <w:rtl/>
        </w:rPr>
        <w:t xml:space="preserve"> פליג על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Ref11597118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דכתבו דהיא אסמכתא אף לדעת אביי, ועי' בדברי </w:t>
      </w:r>
      <w:r w:rsidRPr="0050146A">
        <w:rPr>
          <w:rStyle w:val="af8"/>
          <w:rFonts w:hint="cs"/>
          <w:rtl/>
        </w:rPr>
        <w:t>החת"ס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Ref12006022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מה)</w:t>
      </w:r>
      <w:r w:rsidRPr="0050146A">
        <w:rPr>
          <w:rStyle w:val="af6"/>
          <w:rFonts w:eastAsia="Guttman Hodes"/>
          <w:rtl/>
        </w:rPr>
        <w:fldChar w:fldCharType="end"/>
      </w:r>
      <w:r w:rsidRPr="0050146A">
        <w:rPr>
          <w:rFonts w:hint="cs"/>
          <w:rtl/>
        </w:rPr>
        <w:t>.</w:t>
      </w:r>
      <w:bookmarkEnd w:id="4162"/>
    </w:p>
    <w:p w:rsidR="0088374B" w:rsidRPr="0050146A" w:rsidRDefault="0088374B" w:rsidP="0088374B">
      <w:pPr>
        <w:pStyle w:val="a2"/>
        <w:rPr>
          <w:rtl/>
        </w:rPr>
      </w:pPr>
      <w:bookmarkStart w:id="4163" w:name="_Toc11406468"/>
      <w:bookmarkStart w:id="4164" w:name="_Toc11600010"/>
      <w:bookmarkStart w:id="4165" w:name="_Toc11625328"/>
      <w:bookmarkStart w:id="4166" w:name="_Toc11664794"/>
      <w:r w:rsidRPr="0050146A">
        <w:rPr>
          <w:rFonts w:hint="cs"/>
          <w:rtl/>
        </w:rPr>
        <w:t>דברי המהרי"ק דילפינן מזרוע בשלה דמהני ביטול בשישים רק לאחר דילפינן דטעם כעיקר דאו'</w:t>
      </w:r>
      <w:bookmarkEnd w:id="4163"/>
      <w:bookmarkEnd w:id="4164"/>
      <w:bookmarkEnd w:id="4165"/>
      <w:bookmarkEnd w:id="4166"/>
    </w:p>
    <w:p w:rsidR="0088374B" w:rsidRPr="0050146A" w:rsidRDefault="0088374B" w:rsidP="009F44AF">
      <w:pPr>
        <w:pStyle w:val="a"/>
        <w:rPr>
          <w:rtl/>
        </w:rPr>
      </w:pPr>
      <w:bookmarkStart w:id="4167" w:name="_Ref11688482"/>
      <w:r w:rsidRPr="0050146A">
        <w:rPr>
          <w:rFonts w:hint="cs"/>
          <w:rtl/>
        </w:rPr>
        <w:t xml:space="preserve">וביאר </w:t>
      </w:r>
      <w:r w:rsidRPr="0050146A">
        <w:rPr>
          <w:rStyle w:val="af8"/>
          <w:rFonts w:hint="cs"/>
          <w:rtl/>
        </w:rPr>
        <w:t>המהרי"ק</w:t>
      </w:r>
      <w:r w:rsidRPr="0050146A">
        <w:rPr>
          <w:rFonts w:hint="cs"/>
          <w:rtl/>
        </w:rPr>
        <w:t xml:space="preserve"> דלולי הילפותות מבשר וחלב או ממשרת או מגיעולי נכרים, דטעם כעיקר הוא דאו', הו"א דא"א ללמוד מזרוע בשלה, דאמרינן שאף אם היה בזרוע בשלה שיעור שלושים או פחות משישים ג"כ מותר, אבל לאחר שיש ילפותא דדין טעם כעיקר הוא דאו', א"כ מסברא ילפינן מזרוע בשלה דכל מה שאסרה תורה טעם כעיקר, היינו רק עד שישים או מאה, ומיושבת בזה קושית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Ref11614663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50146A">
        <w:rPr>
          <w:rStyle w:val="af6"/>
          <w:rFonts w:eastAsia="Guttman Hodes"/>
          <w:rtl/>
        </w:rPr>
        <w:fldChar w:fldCharType="end"/>
      </w:r>
      <w:r w:rsidRPr="0050146A">
        <w:rPr>
          <w:rFonts w:hint="cs"/>
          <w:rtl/>
        </w:rPr>
        <w:t>.</w:t>
      </w:r>
      <w:bookmarkEnd w:id="4167"/>
    </w:p>
    <w:p w:rsidR="0088374B" w:rsidRPr="0050146A" w:rsidRDefault="0088374B" w:rsidP="0088374B">
      <w:pPr>
        <w:pStyle w:val="a2"/>
        <w:rPr>
          <w:rtl/>
        </w:rPr>
      </w:pPr>
      <w:bookmarkStart w:id="4168" w:name="_Toc11406469"/>
      <w:bookmarkStart w:id="4169" w:name="_Toc11600011"/>
      <w:bookmarkStart w:id="4170" w:name="_Toc11625329"/>
      <w:bookmarkStart w:id="4171" w:name="_Toc11664795"/>
      <w:r w:rsidRPr="0050146A">
        <w:rPr>
          <w:rFonts w:hint="cs"/>
          <w:rtl/>
        </w:rPr>
        <w:t>דברי המהרי"ק דלולי זרוע בשלה טעם כעיקר דאו' היה לענין חיוב אכילת כזית שיש בו טעם איסור</w:t>
      </w:r>
      <w:bookmarkEnd w:id="4168"/>
      <w:bookmarkEnd w:id="4169"/>
      <w:bookmarkEnd w:id="4170"/>
      <w:bookmarkEnd w:id="4171"/>
    </w:p>
    <w:p w:rsidR="0088374B" w:rsidRPr="0050146A" w:rsidRDefault="0088374B" w:rsidP="009F44AF">
      <w:pPr>
        <w:pStyle w:val="a"/>
        <w:rPr>
          <w:rtl/>
        </w:rPr>
      </w:pPr>
      <w:r w:rsidRPr="0050146A">
        <w:rPr>
          <w:rFonts w:hint="cs"/>
          <w:rtl/>
        </w:rPr>
        <w:t xml:space="preserve">וביאר </w:t>
      </w:r>
      <w:r w:rsidRPr="0050146A">
        <w:rPr>
          <w:rStyle w:val="af8"/>
          <w:rFonts w:hint="cs"/>
          <w:rtl/>
        </w:rPr>
        <w:t xml:space="preserve">המהרי"ק </w:t>
      </w:r>
      <w:r w:rsidRPr="0050146A">
        <w:rPr>
          <w:rFonts w:hint="cs"/>
          <w:rtl/>
        </w:rPr>
        <w:t>דלולי הילפותא מזרוע בשלה, הדין דאו' בטעם כעיקר לא היה לענין שיעור הביטול, אלא דילפינן מאחרי רבים להטות דבמקום שיש בתערובת יותר האיסור מההיתר, או במקום שיש פלגא ופלגא, דחייב בכה"ג על כל כזית מהתערובת אף שלא כל הכזית הוא מהאיסור, וכן במקום שאין בכזית מממשו של האיסור, מ"מ חייב מדין טעם כעיקר דאו'.</w:t>
      </w:r>
    </w:p>
    <w:p w:rsidR="0088374B" w:rsidRPr="0050146A" w:rsidRDefault="0088374B" w:rsidP="0088374B">
      <w:pPr>
        <w:pStyle w:val="a2"/>
        <w:rPr>
          <w:rtl/>
        </w:rPr>
      </w:pPr>
      <w:bookmarkStart w:id="4172" w:name="_Toc11406470"/>
      <w:bookmarkStart w:id="4173" w:name="_Toc11600012"/>
      <w:bookmarkStart w:id="4174" w:name="_Toc11625330"/>
      <w:bookmarkStart w:id="4175" w:name="_Toc11664796"/>
      <w:r w:rsidRPr="0050146A">
        <w:rPr>
          <w:rFonts w:hint="cs"/>
          <w:rtl/>
        </w:rPr>
        <w:t>ביאור המהרי"ק דמזרוע בשלה ילפינן עד כמה מתפשט הטעם וא"א ללמוד מזה דין טעם כעיקר</w:t>
      </w:r>
      <w:bookmarkEnd w:id="4172"/>
      <w:bookmarkEnd w:id="4173"/>
      <w:bookmarkEnd w:id="4174"/>
      <w:bookmarkEnd w:id="4175"/>
    </w:p>
    <w:p w:rsidR="0088374B" w:rsidRPr="0050146A" w:rsidRDefault="0088374B" w:rsidP="009F44AF">
      <w:pPr>
        <w:pStyle w:val="a"/>
        <w:rPr>
          <w:rtl/>
        </w:rPr>
      </w:pPr>
      <w:r w:rsidRPr="0050146A">
        <w:rPr>
          <w:rFonts w:hint="cs"/>
          <w:rtl/>
        </w:rPr>
        <w:t xml:space="preserve">והוסיף </w:t>
      </w:r>
      <w:r w:rsidRPr="0050146A">
        <w:rPr>
          <w:rStyle w:val="af8"/>
          <w:rFonts w:hint="cs"/>
          <w:rtl/>
        </w:rPr>
        <w:t>המהרי"ק</w:t>
      </w:r>
      <w:r w:rsidRPr="0050146A">
        <w:rPr>
          <w:rFonts w:hint="cs"/>
          <w:rtl/>
        </w:rPr>
        <w:t xml:space="preserve"> </w:t>
      </w:r>
      <w:r w:rsidRPr="0050146A">
        <w:rPr>
          <w:rStyle w:val="af6"/>
          <w:rFonts w:eastAsia="Guttman Hodes" w:hint="cs"/>
          <w:rtl/>
        </w:rPr>
        <w:t>(שורש קמ"ד ד"ה ונחזור)</w:t>
      </w:r>
      <w:r w:rsidRPr="0050146A">
        <w:rPr>
          <w:rFonts w:hint="cs"/>
          <w:rtl/>
        </w:rPr>
        <w:t xml:space="preserve"> דלדעת אביי צריך גם את הילפותות דטעם כעיקר דאו' ממשרת ובשר בחלב וגיעולי עכו"ם, וגם את הילפותא מזרוע בשלה, וביאר </w:t>
      </w:r>
      <w:r w:rsidRPr="0050146A">
        <w:rPr>
          <w:rStyle w:val="af8"/>
          <w:rFonts w:hint="cs"/>
          <w:rtl/>
        </w:rPr>
        <w:t>המהרי"ק</w:t>
      </w:r>
      <w:r w:rsidRPr="0050146A">
        <w:rPr>
          <w:rFonts w:hint="cs"/>
          <w:rtl/>
        </w:rPr>
        <w:t xml:space="preserve"> דמזרוע בשלה א"א ללמוד את הדין דטעם בלא ממשו אסור מדאו', דהא זרוע בשלה הוא רק גילוי מילתא עד כמה מתפשט הטעם של האיסור, ועדיין היה אפש"ל דרק איסור בעין אסרה תורה, ולא אסרה תורה את הטעם כלל, ואחר דילפינן מבשר וחלב או ממשרת או מגיעולי עכו"ם דטעם כעיקר דאו', ואף כשהאיסור אינו בעין ורק טעמו לפנינו אסרתו תורה כממשו, אפשר ללמוד את שיעור שישים מזרוע בשלה, דהטעם מתפשט עד שישים.</w:t>
      </w:r>
    </w:p>
    <w:p w:rsidR="0088374B" w:rsidRPr="0050146A" w:rsidRDefault="0088374B" w:rsidP="0088374B">
      <w:pPr>
        <w:pStyle w:val="1"/>
        <w:rPr>
          <w:rtl/>
        </w:rPr>
      </w:pPr>
      <w:bookmarkStart w:id="4176" w:name="_Toc11406471"/>
      <w:bookmarkStart w:id="4177" w:name="_Toc11600013"/>
      <w:bookmarkStart w:id="4178" w:name="_Toc11625331"/>
      <w:bookmarkStart w:id="4179" w:name="_Toc11664797"/>
      <w:r w:rsidRPr="0050146A">
        <w:rPr>
          <w:rFonts w:hint="cs"/>
          <w:rtl/>
        </w:rPr>
        <w:t>דברי המהרי"ק ברש"י דנח' אביי ורבא אי זרוע בשלה אסמכתא</w:t>
      </w:r>
      <w:bookmarkEnd w:id="4176"/>
      <w:bookmarkEnd w:id="4177"/>
      <w:bookmarkEnd w:id="4178"/>
      <w:bookmarkEnd w:id="4179"/>
    </w:p>
    <w:p w:rsidR="0088374B" w:rsidRPr="0050146A" w:rsidRDefault="0088374B" w:rsidP="0088374B">
      <w:pPr>
        <w:pStyle w:val="a2"/>
        <w:rPr>
          <w:rtl/>
        </w:rPr>
      </w:pPr>
      <w:bookmarkStart w:id="4180" w:name="_Toc11406472"/>
      <w:bookmarkStart w:id="4181" w:name="_Toc11600014"/>
      <w:bookmarkStart w:id="4182" w:name="_Toc11625332"/>
      <w:bookmarkStart w:id="4183" w:name="_Toc11664798"/>
      <w:r w:rsidRPr="0050146A">
        <w:rPr>
          <w:rFonts w:hint="cs"/>
          <w:rtl/>
        </w:rPr>
        <w:t>דברי המהרי"ק דבדעת רבא דטעם כעיקר דרבנן מודה רש"י דהילפותא מזרוע בשלה היא אסמכתא</w:t>
      </w:r>
      <w:bookmarkEnd w:id="4180"/>
      <w:bookmarkEnd w:id="4181"/>
      <w:bookmarkEnd w:id="4182"/>
      <w:bookmarkEnd w:id="4183"/>
    </w:p>
    <w:p w:rsidR="0088374B" w:rsidRPr="0050146A" w:rsidRDefault="0088374B" w:rsidP="009F44AF">
      <w:pPr>
        <w:pStyle w:val="a"/>
        <w:rPr>
          <w:rtl/>
        </w:rPr>
      </w:pPr>
      <w:r w:rsidRPr="0050146A">
        <w:rPr>
          <w:rFonts w:hint="cs"/>
          <w:rtl/>
        </w:rPr>
        <w:t xml:space="preserve">אך כתב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(שורש קמ"ד ד"ה ואשר דקדקת) </w:t>
      </w:r>
      <w:r w:rsidRPr="0050146A">
        <w:rPr>
          <w:rFonts w:hint="cs"/>
          <w:rtl/>
        </w:rPr>
        <w:t xml:space="preserve">דכל דברי </w:t>
      </w:r>
      <w:r w:rsidRPr="0050146A">
        <w:rPr>
          <w:rStyle w:val="af8"/>
          <w:rFonts w:hint="cs"/>
          <w:rtl/>
        </w:rPr>
        <w:t>רש"י</w:t>
      </w:r>
      <w:r w:rsidRPr="0050146A">
        <w:rPr>
          <w:rFonts w:hint="cs"/>
          <w:rtl/>
        </w:rPr>
        <w:t xml:space="preserve"> הללו הם רק לדעת אביי ושאר האמוראים דס"ל דטעם כעיקר דאו', אבל לדעת רבא דטעם כעיקר דרבנן, כדמוכח מדברי </w:t>
      </w:r>
      <w:r w:rsidRPr="0050146A">
        <w:rPr>
          <w:rStyle w:val="af8"/>
          <w:rFonts w:hint="cs"/>
          <w:rtl/>
        </w:rPr>
        <w:t>רש"י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Ref11401899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50146A">
        <w:rPr>
          <w:rStyle w:val="af6"/>
          <w:rFonts w:eastAsia="Guttman Hodes"/>
          <w:rtl/>
        </w:rPr>
        <w:fldChar w:fldCharType="end"/>
      </w:r>
      <w:r w:rsidRPr="0050146A">
        <w:rPr>
          <w:rFonts w:hint="cs"/>
          <w:rtl/>
        </w:rPr>
        <w:t xml:space="preserve"> א"כ לרבא הילפותא מזרוע בשלה היא אסמכתא, אף לדעת </w:t>
      </w:r>
      <w:r w:rsidRPr="0050146A">
        <w:rPr>
          <w:rStyle w:val="af8"/>
          <w:rFonts w:hint="cs"/>
          <w:rtl/>
        </w:rPr>
        <w:t>רש"י</w:t>
      </w:r>
      <w:r w:rsidRPr="0050146A">
        <w:rPr>
          <w:rFonts w:hint="cs"/>
          <w:rtl/>
        </w:rPr>
        <w:t>.</w:t>
      </w:r>
    </w:p>
    <w:p w:rsidR="0088374B" w:rsidRPr="0050146A" w:rsidRDefault="0088374B" w:rsidP="0088374B">
      <w:pPr>
        <w:pStyle w:val="a2"/>
      </w:pPr>
      <w:bookmarkStart w:id="4184" w:name="_Toc11406473"/>
      <w:bookmarkStart w:id="4185" w:name="_Toc11600015"/>
      <w:bookmarkStart w:id="4186" w:name="_Toc11625333"/>
      <w:bookmarkStart w:id="4187" w:name="_Toc11664799"/>
      <w:r w:rsidRPr="0050146A">
        <w:rPr>
          <w:rFonts w:hint="cs"/>
          <w:rtl/>
        </w:rPr>
        <w:t>הוכחת המהרי"ק מרש"י דלאביי אחר דילפינן מזרוע בשלה לא ילפינן דמהני רוב במקום שיש טעם</w:t>
      </w:r>
      <w:bookmarkEnd w:id="4184"/>
      <w:bookmarkEnd w:id="4185"/>
      <w:bookmarkEnd w:id="4186"/>
      <w:bookmarkEnd w:id="4187"/>
    </w:p>
    <w:p w:rsidR="0088374B" w:rsidRPr="0050146A" w:rsidRDefault="0088374B" w:rsidP="009F44AF">
      <w:pPr>
        <w:pStyle w:val="a"/>
        <w:rPr>
          <w:rtl/>
        </w:rPr>
      </w:pPr>
      <w:r w:rsidRPr="0050146A">
        <w:rPr>
          <w:rFonts w:hint="cs"/>
          <w:rtl/>
        </w:rPr>
        <w:t xml:space="preserve">והוסיף </w:t>
      </w:r>
      <w:r w:rsidRPr="0050146A">
        <w:rPr>
          <w:rStyle w:val="af8"/>
          <w:rFonts w:hint="cs"/>
          <w:rtl/>
        </w:rPr>
        <w:t>המהרי"ק</w:t>
      </w:r>
      <w:r w:rsidRPr="0050146A">
        <w:rPr>
          <w:rFonts w:hint="cs"/>
          <w:rtl/>
        </w:rPr>
        <w:t xml:space="preserve"> דכן מדויק בדברי </w:t>
      </w:r>
      <w:r w:rsidRPr="0050146A">
        <w:rPr>
          <w:rStyle w:val="af8"/>
          <w:rFonts w:hint="cs"/>
          <w:rtl/>
        </w:rPr>
        <w:t>רש"י</w:t>
      </w:r>
      <w:r w:rsidRPr="0050146A">
        <w:rPr>
          <w:rFonts w:hint="cs"/>
          <w:rtl/>
        </w:rPr>
        <w:t xml:space="preserve">, דבדברי אביי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Ref11180995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דאי לא ילפינן מזרוע בשלה, היה מהני ביטול ברוב כדילפינן מאחרי רבים להטות, וכתב </w:t>
      </w:r>
      <w:r w:rsidRPr="0050146A">
        <w:rPr>
          <w:rStyle w:val="af8"/>
          <w:rFonts w:hint="cs"/>
          <w:rtl/>
        </w:rPr>
        <w:t>המהרי"ק</w:t>
      </w:r>
      <w:r w:rsidRPr="0050146A">
        <w:rPr>
          <w:rFonts w:hint="cs"/>
          <w:rtl/>
        </w:rPr>
        <w:t xml:space="preserve"> דמשמע דאחר הילפותא מזרוע בשלה, לא ילפינן מאחרי רבים להטות לדין הטעם דאינו מתבטל ברוב, דהא ילפינן מזרוע בשלה שצריך שישים.</w:t>
      </w:r>
    </w:p>
    <w:p w:rsidR="0088374B" w:rsidRPr="0050146A" w:rsidRDefault="0088374B" w:rsidP="0088374B">
      <w:pPr>
        <w:pStyle w:val="a2"/>
      </w:pPr>
      <w:bookmarkStart w:id="4188" w:name="_Toc11406474"/>
      <w:bookmarkStart w:id="4189" w:name="_Toc11600016"/>
      <w:bookmarkStart w:id="4190" w:name="_Toc11625334"/>
      <w:bookmarkStart w:id="4191" w:name="_Toc11664800"/>
      <w:r w:rsidRPr="0050146A">
        <w:rPr>
          <w:rFonts w:hint="cs"/>
          <w:rtl/>
        </w:rPr>
        <w:t>הוכחת המהרי"ק מרש"י דלרבא אף בטעם יש ביטול ברוב וזרוע בשלה הוא אסמכתא שצריך שישים</w:t>
      </w:r>
      <w:bookmarkEnd w:id="4188"/>
      <w:bookmarkEnd w:id="4189"/>
      <w:bookmarkEnd w:id="4190"/>
      <w:bookmarkEnd w:id="4191"/>
    </w:p>
    <w:p w:rsidR="0088374B" w:rsidRPr="0050146A" w:rsidRDefault="0088374B" w:rsidP="009F44AF">
      <w:pPr>
        <w:pStyle w:val="a"/>
        <w:rPr>
          <w:rtl/>
        </w:rPr>
      </w:pPr>
      <w:r w:rsidRPr="0050146A">
        <w:rPr>
          <w:rFonts w:hint="cs"/>
          <w:rtl/>
        </w:rPr>
        <w:t xml:space="preserve">והביא </w:t>
      </w:r>
      <w:r w:rsidRPr="0050146A">
        <w:rPr>
          <w:rStyle w:val="af8"/>
          <w:rFonts w:hint="cs"/>
          <w:rtl/>
        </w:rPr>
        <w:t>המהרי"ק</w:t>
      </w:r>
      <w:r w:rsidRPr="0050146A">
        <w:rPr>
          <w:rFonts w:hint="cs"/>
          <w:rtl/>
        </w:rPr>
        <w:t xml:space="preserve"> דבדברי רבא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דלענין חולין ילפינן מזרוע בשלה את שיעור שישים, דהא קים לן מאחרי רבים להטות דיש ביטול ברוב, ומזרוע בשלה ילפינן להחמיר שלא יתבטל בפחות משישים או ממאה, וכתב </w:t>
      </w:r>
      <w:r w:rsidRPr="0050146A">
        <w:rPr>
          <w:rStyle w:val="af8"/>
          <w:rFonts w:hint="cs"/>
          <w:rtl/>
        </w:rPr>
        <w:t>המהרי"ק</w:t>
      </w:r>
      <w:r w:rsidRPr="0050146A">
        <w:rPr>
          <w:rFonts w:hint="cs"/>
          <w:rtl/>
        </w:rPr>
        <w:t xml:space="preserve"> דכיון דכתב </w:t>
      </w:r>
      <w:r w:rsidRPr="0050146A">
        <w:rPr>
          <w:rStyle w:val="af8"/>
          <w:rFonts w:hint="cs"/>
          <w:rtl/>
        </w:rPr>
        <w:t>רש"י</w:t>
      </w:r>
      <w:r w:rsidRPr="0050146A">
        <w:rPr>
          <w:rFonts w:hint="cs"/>
          <w:rtl/>
        </w:rPr>
        <w:t xml:space="preserve"> דילפינן מאחרי רבים להטות, א"כ משמע דלדעת רבא מדאו' יש בטעם ביטול מדין אחרי רבים להטות, והילפותא מזרוע בשלה היא אסמכתא מדרבנן, דהחמירו להצריך שישים, וכתב </w:t>
      </w:r>
      <w:r w:rsidRPr="0050146A">
        <w:rPr>
          <w:rStyle w:val="af8"/>
          <w:rFonts w:hint="cs"/>
          <w:rtl/>
        </w:rPr>
        <w:t>המהרי"ק</w:t>
      </w:r>
      <w:r w:rsidRPr="0050146A">
        <w:rPr>
          <w:rFonts w:hint="cs"/>
          <w:rtl/>
        </w:rPr>
        <w:t xml:space="preserve"> דאי ס"ל </w:t>
      </w:r>
      <w:r w:rsidRPr="0050146A">
        <w:rPr>
          <w:rStyle w:val="af8"/>
          <w:rFonts w:hint="cs"/>
          <w:rtl/>
        </w:rPr>
        <w:t>לרש"י</w:t>
      </w:r>
      <w:r w:rsidRPr="0050146A">
        <w:rPr>
          <w:rFonts w:hint="cs"/>
          <w:rtl/>
        </w:rPr>
        <w:t xml:space="preserve"> דאף לדעת רבא לא ילפינן בטעם מדין אחרי רבים להטות, ומדינא אין ביטול ברוב, א"כ היה </w:t>
      </w:r>
      <w:r w:rsidRPr="0050146A">
        <w:rPr>
          <w:rStyle w:val="af8"/>
          <w:rFonts w:hint="cs"/>
          <w:rtl/>
        </w:rPr>
        <w:t>לרש"י</w:t>
      </w:r>
      <w:r w:rsidRPr="0050146A">
        <w:rPr>
          <w:rFonts w:hint="cs"/>
          <w:rtl/>
        </w:rPr>
        <w:t xml:space="preserve"> לבאר בדברי רבא </w:t>
      </w:r>
      <w:r w:rsidRPr="0050146A">
        <w:rPr>
          <w:rFonts w:hint="cs"/>
          <w:rtl/>
        </w:rPr>
        <w:lastRenderedPageBreak/>
        <w:t>כדביאר בדברי אביי, דרק לולי הילפותא מזרוע בשלה, היה מהני ביטול ברוב מדין אחרי רבים להטות.</w:t>
      </w:r>
    </w:p>
    <w:p w:rsidR="0088374B" w:rsidRPr="0050146A" w:rsidRDefault="0088374B" w:rsidP="0088374B">
      <w:pPr>
        <w:pStyle w:val="a2"/>
      </w:pPr>
      <w:bookmarkStart w:id="4192" w:name="_Toc11406475"/>
      <w:bookmarkStart w:id="4193" w:name="_Toc11600017"/>
      <w:bookmarkStart w:id="4194" w:name="_Toc11625335"/>
      <w:bookmarkStart w:id="4195" w:name="_Toc11664801"/>
      <w:r w:rsidRPr="0050146A">
        <w:rPr>
          <w:rFonts w:hint="cs"/>
          <w:rtl/>
        </w:rPr>
        <w:t>מסקנת המהרי"ק ברש"י דלאביי ילפינן מזרוע בשלה ולרבא הוא אסמכתא דהא טעם כעיקר דרבנן</w:t>
      </w:r>
      <w:bookmarkEnd w:id="4192"/>
      <w:bookmarkEnd w:id="4193"/>
      <w:bookmarkEnd w:id="4194"/>
      <w:bookmarkEnd w:id="4195"/>
    </w:p>
    <w:p w:rsidR="0088374B" w:rsidRPr="0050146A" w:rsidRDefault="0088374B" w:rsidP="009F44AF">
      <w:pPr>
        <w:pStyle w:val="a"/>
        <w:rPr>
          <w:rtl/>
        </w:rPr>
      </w:pPr>
      <w:bookmarkStart w:id="4196" w:name="_Ref12005943"/>
      <w:r w:rsidRPr="0050146A">
        <w:rPr>
          <w:rFonts w:hint="cs"/>
          <w:rtl/>
        </w:rPr>
        <w:t xml:space="preserve">אלא כתב </w:t>
      </w:r>
      <w:r w:rsidRPr="0050146A">
        <w:rPr>
          <w:rStyle w:val="af8"/>
          <w:rFonts w:hint="cs"/>
          <w:rtl/>
        </w:rPr>
        <w:t>המהרי"ק</w:t>
      </w:r>
      <w:r w:rsidRPr="0050146A">
        <w:rPr>
          <w:rFonts w:hint="cs"/>
          <w:rtl/>
        </w:rPr>
        <w:t xml:space="preserve"> דמוכח דבדעת אביי ביאר </w:t>
      </w:r>
      <w:r w:rsidRPr="0050146A">
        <w:rPr>
          <w:rStyle w:val="af8"/>
          <w:rFonts w:hint="cs"/>
          <w:rtl/>
        </w:rPr>
        <w:t>רש"י</w:t>
      </w:r>
      <w:r w:rsidRPr="0050146A">
        <w:rPr>
          <w:rFonts w:hint="cs"/>
          <w:rtl/>
        </w:rPr>
        <w:t xml:space="preserve"> דהילפותא דזרוע בשלה היא ילפותא גמורה, דהא ס"ל דטעם כעיקר הוא דאו', ולדעת רבא ביאר </w:t>
      </w:r>
      <w:r w:rsidRPr="0050146A">
        <w:rPr>
          <w:rStyle w:val="af8"/>
          <w:rFonts w:hint="cs"/>
          <w:rtl/>
        </w:rPr>
        <w:t>רש"י</w:t>
      </w:r>
      <w:r w:rsidRPr="0050146A">
        <w:rPr>
          <w:rFonts w:hint="cs"/>
          <w:rtl/>
        </w:rPr>
        <w:t xml:space="preserve"> דהילפותא דזרוע בשלה היא אסמכתא בעלמא, כיון דס"ל דטעם כעיקר הוא דרבנן, ועי' בדברי </w:t>
      </w:r>
      <w:r w:rsidRPr="0050146A">
        <w:rPr>
          <w:rStyle w:val="af8"/>
          <w:rFonts w:hint="cs"/>
          <w:rtl/>
        </w:rPr>
        <w:t>החת"ס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Ref12006022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מה)</w:t>
      </w:r>
      <w:r w:rsidRPr="0050146A">
        <w:rPr>
          <w:rStyle w:val="af6"/>
          <w:rFonts w:eastAsia="Guttman Hodes"/>
          <w:rtl/>
        </w:rPr>
        <w:fldChar w:fldCharType="end"/>
      </w:r>
      <w:r w:rsidRPr="0050146A">
        <w:rPr>
          <w:rFonts w:hint="cs"/>
          <w:rtl/>
        </w:rPr>
        <w:t>.</w:t>
      </w:r>
      <w:bookmarkEnd w:id="4196"/>
    </w:p>
    <w:p w:rsidR="0088374B" w:rsidRPr="0050146A" w:rsidRDefault="0088374B" w:rsidP="0088374B">
      <w:pPr>
        <w:pStyle w:val="1"/>
        <w:rPr>
          <w:rtl/>
        </w:rPr>
      </w:pPr>
      <w:bookmarkStart w:id="4197" w:name="_Toc11625336"/>
      <w:bookmarkStart w:id="4198" w:name="_Toc11664802"/>
      <w:bookmarkStart w:id="4199" w:name="_Toc11406479"/>
      <w:bookmarkStart w:id="4200" w:name="_Toc11600019"/>
      <w:r w:rsidRPr="0050146A">
        <w:rPr>
          <w:rFonts w:hint="cs"/>
          <w:rtl/>
        </w:rPr>
        <w:t xml:space="preserve">ביאור </w:t>
      </w:r>
      <w:r w:rsidRPr="0050146A">
        <w:rPr>
          <w:rtl/>
        </w:rPr>
        <w:t xml:space="preserve">הראש יוסף </w:t>
      </w:r>
      <w:r w:rsidRPr="0050146A">
        <w:rPr>
          <w:rFonts w:hint="cs"/>
          <w:rtl/>
        </w:rPr>
        <w:t>ב</w:t>
      </w:r>
      <w:r w:rsidRPr="0050146A">
        <w:rPr>
          <w:rtl/>
        </w:rPr>
        <w:t xml:space="preserve">רש"י בילפותא מזרוע בשלה </w:t>
      </w:r>
      <w:r w:rsidRPr="0050146A">
        <w:rPr>
          <w:rFonts w:hint="cs"/>
          <w:rtl/>
        </w:rPr>
        <w:t>ל</w:t>
      </w:r>
      <w:r w:rsidRPr="0050146A">
        <w:rPr>
          <w:rtl/>
        </w:rPr>
        <w:t>דעת אביי</w:t>
      </w:r>
      <w:bookmarkEnd w:id="4197"/>
      <w:bookmarkEnd w:id="4198"/>
    </w:p>
    <w:p w:rsidR="0088374B" w:rsidRPr="0050146A" w:rsidRDefault="0088374B" w:rsidP="0088374B">
      <w:pPr>
        <w:pStyle w:val="a2"/>
        <w:rPr>
          <w:rtl/>
        </w:rPr>
      </w:pPr>
      <w:bookmarkStart w:id="4201" w:name="_Toc11625337"/>
      <w:bookmarkStart w:id="4202" w:name="_Toc11664803"/>
      <w:r w:rsidRPr="0050146A">
        <w:rPr>
          <w:rFonts w:hint="cs"/>
          <w:rtl/>
        </w:rPr>
        <w:t>ביאור הראש יוסף ברש"י דבטעם מדאו' צריך שישים ולא מהני ביטול ברוב מדין אחרי רבים להטות</w:t>
      </w:r>
      <w:bookmarkEnd w:id="4199"/>
      <w:bookmarkEnd w:id="4200"/>
      <w:bookmarkEnd w:id="4201"/>
      <w:bookmarkEnd w:id="4202"/>
    </w:p>
    <w:p w:rsidR="0088374B" w:rsidRPr="0050146A" w:rsidRDefault="0088374B" w:rsidP="009F44AF">
      <w:pPr>
        <w:pStyle w:val="a"/>
        <w:rPr>
          <w:rtl/>
        </w:rPr>
      </w:pPr>
      <w:bookmarkStart w:id="4203" w:name="_Ref11230155"/>
      <w:r w:rsidRPr="0050146A">
        <w:rPr>
          <w:rFonts w:hint="cs"/>
          <w:rtl/>
        </w:rPr>
        <w:t xml:space="preserve">כתב </w:t>
      </w:r>
      <w:r w:rsidRPr="0050146A">
        <w:rPr>
          <w:rStyle w:val="af8"/>
          <w:rFonts w:hint="cs"/>
          <w:rtl/>
        </w:rPr>
        <w:t>הראש יוסף</w:t>
      </w:r>
      <w:r w:rsidRPr="0050146A">
        <w:rPr>
          <w:rFonts w:hint="cs"/>
          <w:rtl/>
        </w:rPr>
        <w:t xml:space="preserve"> </w:t>
      </w:r>
      <w:r w:rsidRPr="0050146A">
        <w:rPr>
          <w:rStyle w:val="af6"/>
          <w:rFonts w:eastAsia="Guttman Hodes" w:hint="cs"/>
          <w:rtl/>
        </w:rPr>
        <w:t>(צח: ד"ה ובפרש"י בד"ה דמדאו')</w:t>
      </w:r>
      <w:r w:rsidRPr="0050146A">
        <w:rPr>
          <w:rFonts w:hint="cs"/>
          <w:rtl/>
        </w:rPr>
        <w:t xml:space="preserve"> דמדברי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Ref11180995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דכתב דאי לא ילפינן מזרוע בשלה היה מהני ביטול ברוב ככל ביטול דאו', וכדילפינן מאחרי רבים להטות, משמע דאליבא דאמת מדאו' לא ילפינן מאחרי רבים להטות לבטל טעם כמו בשאר ביטולים מדאו', אלא דמדאו' צריך שישים לבטל את הטעם, ועי' במ"ש </w:t>
      </w:r>
      <w:r w:rsidRPr="0050146A">
        <w:rPr>
          <w:rStyle w:val="af8"/>
          <w:rFonts w:hint="cs"/>
          <w:rtl/>
        </w:rPr>
        <w:t xml:space="preserve">הראש יוסף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Ref11230236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דהתוס'</w:t>
      </w:r>
      <w:r w:rsidRPr="0050146A">
        <w:rPr>
          <w:rFonts w:hint="cs"/>
          <w:rtl/>
        </w:rPr>
        <w:t xml:space="preserve"> פליגי על </w:t>
      </w:r>
      <w:r w:rsidRPr="0050146A">
        <w:rPr>
          <w:rStyle w:val="af8"/>
          <w:rFonts w:hint="cs"/>
          <w:rtl/>
        </w:rPr>
        <w:t>רש"י</w:t>
      </w:r>
      <w:r w:rsidRPr="0050146A">
        <w:rPr>
          <w:rFonts w:hint="cs"/>
          <w:rtl/>
        </w:rPr>
        <w:t xml:space="preserve"> וס"ל דבמין בשאינו מינו אין טעם כלל ביותר משישים, וא"צ למילף מזרוע בשלה לבטל את הטעם.</w:t>
      </w:r>
      <w:bookmarkEnd w:id="4203"/>
    </w:p>
    <w:p w:rsidR="0088374B" w:rsidRPr="0050146A" w:rsidRDefault="0088374B" w:rsidP="0088374B">
      <w:pPr>
        <w:pStyle w:val="a2"/>
        <w:rPr>
          <w:rtl/>
        </w:rPr>
      </w:pPr>
      <w:bookmarkStart w:id="4204" w:name="_Toc11600020"/>
      <w:bookmarkStart w:id="4205" w:name="_Toc11625338"/>
      <w:bookmarkStart w:id="4206" w:name="_Toc11664804"/>
      <w:r w:rsidRPr="0050146A">
        <w:rPr>
          <w:rFonts w:hint="cs"/>
          <w:rtl/>
        </w:rPr>
        <w:t>ביאור הראש יוסף ברש"י דלאביי לר"י מזרוע בשלה ילפינן למין בשאינו מינו ומין במינו לא בטיל</w:t>
      </w:r>
      <w:bookmarkEnd w:id="4204"/>
      <w:bookmarkEnd w:id="4205"/>
      <w:bookmarkEnd w:id="4206"/>
    </w:p>
    <w:p w:rsidR="0088374B" w:rsidRPr="0050146A" w:rsidRDefault="0088374B" w:rsidP="009F44AF">
      <w:pPr>
        <w:pStyle w:val="a"/>
        <w:rPr>
          <w:rtl/>
        </w:rPr>
      </w:pPr>
      <w:bookmarkStart w:id="4207" w:name="_Ref11181073"/>
      <w:r w:rsidRPr="0050146A">
        <w:rPr>
          <w:rFonts w:hint="cs"/>
          <w:rtl/>
        </w:rPr>
        <w:t xml:space="preserve">ובמ"ש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Ref11181006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דכיון דס"ל לר"י דמין במינו לא בטיל, ואילו בזרוע בשלה יש ביטול, לכן אמרינן זהו היתר הבא מכלל איסור, וביאר </w:t>
      </w:r>
      <w:r w:rsidRPr="0050146A">
        <w:rPr>
          <w:rStyle w:val="af8"/>
          <w:rFonts w:hint="cs"/>
          <w:rtl/>
        </w:rPr>
        <w:t>הראש יוסף</w:t>
      </w:r>
      <w:r w:rsidRPr="0050146A">
        <w:rPr>
          <w:rFonts w:hint="cs"/>
          <w:rtl/>
        </w:rPr>
        <w:t xml:space="preserve"> דלדעת </w:t>
      </w:r>
      <w:r w:rsidRPr="0050146A">
        <w:rPr>
          <w:rStyle w:val="af8"/>
          <w:rFonts w:hint="cs"/>
          <w:rtl/>
        </w:rPr>
        <w:t>רש"י</w:t>
      </w:r>
      <w:r w:rsidRPr="0050146A">
        <w:rPr>
          <w:rFonts w:hint="cs"/>
          <w:rtl/>
        </w:rPr>
        <w:t xml:space="preserve"> כוונת אביי לומר דהילפותא דזרוע בשלה היא באה למין בשאינו מינו, אבל במין במינו בשאר איסורים לא מהני ביטול בשישים, ורק בזרוע בשלה הוא היתר מכלל האיסור דמהני שישים אף שהוא מין במינו.</w:t>
      </w:r>
      <w:bookmarkEnd w:id="4207"/>
    </w:p>
    <w:p w:rsidR="0088374B" w:rsidRPr="0050146A" w:rsidRDefault="0088374B" w:rsidP="0088374B">
      <w:pPr>
        <w:pStyle w:val="a2"/>
        <w:rPr>
          <w:rtl/>
        </w:rPr>
      </w:pPr>
      <w:bookmarkStart w:id="4208" w:name="_Toc11600021"/>
      <w:bookmarkStart w:id="4209" w:name="_Toc11625339"/>
      <w:bookmarkStart w:id="4210" w:name="_Toc11664805"/>
      <w:r w:rsidRPr="0050146A">
        <w:rPr>
          <w:rFonts w:hint="cs"/>
          <w:rtl/>
        </w:rPr>
        <w:t>ביאור הראש יוסף ברש"י דלאביי ילפינן מזרוע בשלה דטע"כ דאו' ושישים הוא חומרא מדאו'</w:t>
      </w:r>
      <w:bookmarkEnd w:id="4208"/>
      <w:bookmarkEnd w:id="4209"/>
      <w:bookmarkEnd w:id="4210"/>
    </w:p>
    <w:p w:rsidR="0088374B" w:rsidRPr="0050146A" w:rsidRDefault="0088374B"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דהוקשה </w:t>
      </w:r>
      <w:r w:rsidRPr="0050146A">
        <w:rPr>
          <w:rStyle w:val="af8"/>
          <w:rFonts w:hint="cs"/>
          <w:rtl/>
        </w:rPr>
        <w:t>לרש"י</w:t>
      </w:r>
      <w:r w:rsidRPr="0050146A">
        <w:rPr>
          <w:rFonts w:hint="cs"/>
          <w:rtl/>
        </w:rPr>
        <w:t xml:space="preserve"> דהא לדעת אביי טעם כעיקר דאו', כדמוכח מדברי אביי לקמן </w:t>
      </w:r>
      <w:r w:rsidRPr="0050146A">
        <w:rPr>
          <w:rStyle w:val="af6"/>
          <w:rFonts w:eastAsia="Guttman Rashi" w:hint="cs"/>
          <w:rtl/>
        </w:rPr>
        <w:t>(קח.)</w:t>
      </w:r>
      <w:r w:rsidRPr="0050146A">
        <w:rPr>
          <w:rFonts w:hint="cs"/>
          <w:rtl/>
        </w:rPr>
        <w:t xml:space="preserve"> דאמר דטעמו ולא ממשו דאו', ומה שפסק </w:t>
      </w:r>
      <w:r w:rsidRPr="0050146A">
        <w:rPr>
          <w:rStyle w:val="af8"/>
          <w:rFonts w:hint="cs"/>
          <w:rtl/>
        </w:rPr>
        <w:t>רש"י</w:t>
      </w:r>
      <w:r w:rsidRPr="0050146A">
        <w:rPr>
          <w:rFonts w:hint="cs"/>
          <w:rtl/>
        </w:rPr>
        <w:t xml:space="preserve"> </w:t>
      </w:r>
      <w:r w:rsidRPr="0050146A">
        <w:rPr>
          <w:rStyle w:val="af6"/>
          <w:rFonts w:eastAsia="Guttman Rashi" w:hint="cs"/>
          <w:rtl/>
        </w:rPr>
        <w:t xml:space="preserve">(עי' אות </w:t>
      </w:r>
      <w:r w:rsidRPr="0050146A">
        <w:rPr>
          <w:rStyle w:val="af6"/>
          <w:rFonts w:eastAsia="Guttman Rashi"/>
          <w:rtl/>
        </w:rPr>
        <w:fldChar w:fldCharType="begin"/>
      </w:r>
      <w:r w:rsidRPr="0050146A">
        <w:rPr>
          <w:rStyle w:val="af6"/>
          <w:rFonts w:eastAsia="Guttman Rashi"/>
          <w:rtl/>
        </w:rPr>
        <w:instrText xml:space="preserve"> </w:instrText>
      </w:r>
      <w:r w:rsidRPr="0050146A">
        <w:rPr>
          <w:rStyle w:val="af6"/>
          <w:rFonts w:eastAsia="Guttman Rashi" w:hint="cs"/>
        </w:rPr>
        <w:instrText>REF</w:instrText>
      </w:r>
      <w:r w:rsidRPr="0050146A">
        <w:rPr>
          <w:rStyle w:val="af6"/>
          <w:rFonts w:eastAsia="Guttman Rashi" w:hint="cs"/>
          <w:rtl/>
        </w:rPr>
        <w:instrText xml:space="preserve"> _</w:instrText>
      </w:r>
      <w:r w:rsidRPr="0050146A">
        <w:rPr>
          <w:rStyle w:val="af6"/>
          <w:rFonts w:eastAsia="Guttman Rashi" w:hint="cs"/>
        </w:rPr>
        <w:instrText>Ref11403131 \r \h</w:instrText>
      </w:r>
      <w:r w:rsidRPr="0050146A">
        <w:rPr>
          <w:rStyle w:val="af6"/>
          <w:rFonts w:eastAsia="Guttman Rashi"/>
          <w:rtl/>
        </w:rPr>
        <w:instrText xml:space="preserve"> </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Rashi"/>
          <w:rtl/>
        </w:rPr>
      </w:r>
      <w:r w:rsidRPr="0050146A">
        <w:rPr>
          <w:rStyle w:val="af6"/>
          <w:rFonts w:eastAsia="Guttman Rashi"/>
          <w:rtl/>
        </w:rPr>
        <w:fldChar w:fldCharType="separate"/>
      </w:r>
      <w:r w:rsidR="004D1C5B">
        <w:rPr>
          <w:rStyle w:val="af6"/>
          <w:rFonts w:eastAsia="Guttman Rashi"/>
          <w:cs/>
        </w:rPr>
        <w:t>‎</w:t>
      </w:r>
      <w:r w:rsidR="004D1C5B">
        <w:rPr>
          <w:rStyle w:val="af6"/>
          <w:rFonts w:eastAsia="Guttman Rashi"/>
          <w:rtl/>
        </w:rPr>
        <w:t>ה)</w:t>
      </w:r>
      <w:r w:rsidRPr="0050146A">
        <w:rPr>
          <w:rStyle w:val="af6"/>
          <w:rFonts w:eastAsia="Guttman Rashi"/>
          <w:rtl/>
        </w:rPr>
        <w:fldChar w:fldCharType="end"/>
      </w:r>
      <w:r w:rsidRPr="0050146A">
        <w:rPr>
          <w:rFonts w:hint="cs"/>
          <w:rtl/>
        </w:rPr>
        <w:t xml:space="preserve"> דטעם כעיקר דרבנן, היינו בדעת רבא, ולכן ביאר </w:t>
      </w:r>
      <w:r w:rsidRPr="0050146A">
        <w:rPr>
          <w:rStyle w:val="af8"/>
          <w:rFonts w:hint="cs"/>
          <w:rtl/>
        </w:rPr>
        <w:t>רש"י</w:t>
      </w:r>
      <w:r w:rsidRPr="0050146A">
        <w:rPr>
          <w:rFonts w:hint="cs"/>
          <w:rtl/>
        </w:rPr>
        <w:t xml:space="preserve"> דכוונת הברייתא לומר דאם לא ילפינן מזרוע בשלה, היה מהני ביטול ברוב מדין אחרי רבים להטות, אבל אחר הילפותא מזרוע בשלה דטעם כעיקר, אפשר ללמוד לחומרא דצריך שישים או מאה.</w:t>
      </w:r>
    </w:p>
    <w:p w:rsidR="0088374B" w:rsidRPr="0050146A" w:rsidRDefault="0088374B" w:rsidP="0088374B">
      <w:pPr>
        <w:pStyle w:val="a2"/>
        <w:rPr>
          <w:rtl/>
        </w:rPr>
      </w:pPr>
      <w:bookmarkStart w:id="4211" w:name="_Toc11600022"/>
      <w:bookmarkStart w:id="4212" w:name="_Toc11625340"/>
      <w:bookmarkStart w:id="4213" w:name="_Toc11664806"/>
      <w:r w:rsidRPr="0050146A">
        <w:rPr>
          <w:rFonts w:hint="cs"/>
          <w:rtl/>
        </w:rPr>
        <w:t>קושית הראש יוסף דלאביי דטע"כ דאו' מבשר בחלב ולא מהני רוב וא"כ שישים הוא קולא</w:t>
      </w:r>
      <w:bookmarkEnd w:id="4211"/>
      <w:bookmarkEnd w:id="4212"/>
      <w:bookmarkEnd w:id="4213"/>
    </w:p>
    <w:p w:rsidR="0088374B" w:rsidRPr="0050146A" w:rsidRDefault="0088374B" w:rsidP="009F44AF">
      <w:pPr>
        <w:pStyle w:val="a"/>
        <w:rPr>
          <w:rtl/>
        </w:rPr>
      </w:pPr>
      <w:r w:rsidRPr="0050146A">
        <w:rPr>
          <w:rFonts w:hint="cs"/>
          <w:rtl/>
        </w:rPr>
        <w:t xml:space="preserve">אך הקשה </w:t>
      </w:r>
      <w:r w:rsidRPr="0050146A">
        <w:rPr>
          <w:rStyle w:val="af8"/>
          <w:rFonts w:hint="cs"/>
          <w:rtl/>
        </w:rPr>
        <w:t>הראש יוסף</w:t>
      </w:r>
      <w:r w:rsidRPr="0050146A">
        <w:rPr>
          <w:rFonts w:hint="cs"/>
          <w:rtl/>
        </w:rPr>
        <w:t xml:space="preserve"> </w:t>
      </w:r>
      <w:r w:rsidRPr="0050146A">
        <w:rPr>
          <w:rStyle w:val="af6"/>
          <w:rFonts w:eastAsia="Guttman Hodes" w:hint="cs"/>
          <w:rtl/>
        </w:rPr>
        <w:t>(ד"ה אלא)</w:t>
      </w:r>
      <w:r w:rsidRPr="0050146A">
        <w:rPr>
          <w:rFonts w:hint="cs"/>
          <w:rtl/>
        </w:rPr>
        <w:t xml:space="preserve"> דהא לדעת אביי הילפותא לטעם כעיקר אינה מזרוע בשלה, אלא מבשר בחלב כדאמר אביי לקמן </w:t>
      </w:r>
      <w:r w:rsidRPr="0050146A">
        <w:rPr>
          <w:rStyle w:val="af6"/>
          <w:rFonts w:eastAsia="Guttman Rashi" w:hint="cs"/>
          <w:rtl/>
        </w:rPr>
        <w:t>(קח.)</w:t>
      </w:r>
      <w:r w:rsidRPr="0050146A">
        <w:rPr>
          <w:rFonts w:hint="cs"/>
          <w:rtl/>
        </w:rPr>
        <w:t xml:space="preserve">, כדאמר אביי לקמן </w:t>
      </w:r>
      <w:r w:rsidRPr="0050146A">
        <w:rPr>
          <w:rStyle w:val="af6"/>
          <w:rFonts w:eastAsia="Guttman Hodes" w:hint="cs"/>
          <w:rtl/>
        </w:rPr>
        <w:t>(קח.)</w:t>
      </w:r>
      <w:r w:rsidRPr="0050146A">
        <w:rPr>
          <w:rFonts w:hint="cs"/>
          <w:rtl/>
        </w:rPr>
        <w:t xml:space="preserve">, ועוד הקשה </w:t>
      </w:r>
      <w:r w:rsidRPr="0050146A">
        <w:rPr>
          <w:rStyle w:val="af8"/>
          <w:rFonts w:hint="cs"/>
          <w:rtl/>
        </w:rPr>
        <w:t>הראש יוסף</w:t>
      </w:r>
      <w:r w:rsidRPr="0050146A">
        <w:rPr>
          <w:rFonts w:hint="cs"/>
          <w:rtl/>
        </w:rPr>
        <w:t xml:space="preserve"> דכיון דלדעת אביי ילפינן מבשר בחלב דטעם כעיקר מדאו', א"כ מבואר דבטעם כעיקר לא מהני ביטול ברוב, וממילא הילפותא דמהני ביטול בשישים הוא קולא, דאף דרוב אינו מבטל את הטעם מ"מ בשישים הוא מתבטל, והיאך אפשר ללמוד מזרוע לקולא, הא זרוע בשלה הוא חידוש דמותר לבטל בו לכתחילה.</w:t>
      </w:r>
    </w:p>
    <w:p w:rsidR="0088374B" w:rsidRPr="0050146A" w:rsidRDefault="0088374B" w:rsidP="0088374B">
      <w:pPr>
        <w:pStyle w:val="a2"/>
        <w:rPr>
          <w:rtl/>
        </w:rPr>
      </w:pPr>
      <w:bookmarkStart w:id="4214" w:name="_Toc11600023"/>
      <w:bookmarkStart w:id="4215" w:name="_Toc11625341"/>
      <w:bookmarkStart w:id="4216" w:name="_Toc11664807"/>
      <w:r w:rsidRPr="0050146A">
        <w:rPr>
          <w:rFonts w:hint="cs"/>
          <w:rtl/>
        </w:rPr>
        <w:t>קושית הראש יוסף דאף אי למסקנא לא יליף אביי טע"כ מבשר בחלב א"א ללמוד מזרוע בשלה</w:t>
      </w:r>
      <w:bookmarkEnd w:id="4214"/>
      <w:bookmarkEnd w:id="4215"/>
      <w:bookmarkEnd w:id="4216"/>
    </w:p>
    <w:p w:rsidR="0088374B" w:rsidRPr="0050146A" w:rsidRDefault="0088374B" w:rsidP="009F44AF">
      <w:pPr>
        <w:pStyle w:val="a"/>
        <w:rPr>
          <w:rtl/>
        </w:rPr>
      </w:pPr>
      <w:r w:rsidRPr="0050146A">
        <w:rPr>
          <w:rFonts w:hint="cs"/>
          <w:rtl/>
        </w:rPr>
        <w:t xml:space="preserve">וכתב </w:t>
      </w:r>
      <w:r w:rsidRPr="0050146A">
        <w:rPr>
          <w:rStyle w:val="af8"/>
          <w:rFonts w:hint="cs"/>
          <w:rtl/>
        </w:rPr>
        <w:t>הראש יוסף</w:t>
      </w:r>
      <w:r w:rsidRPr="0050146A">
        <w:rPr>
          <w:rFonts w:hint="cs"/>
          <w:rtl/>
        </w:rPr>
        <w:t xml:space="preserve"> דאף אי נימא דאחר דדחה רבא לקמן את הילפותא מבשר בחלב, חזר בו אביי מהלימוד מבשר בחלב, וס"ל לאביי דמזרוע בשלה ילפינן דטעם כעיקר, עדיין קשה דאי זהו המקור לכל דין טעם כעיקר, א"כ מנלן דמהני ביטול בשישים, הא אפש"ל דכל שיש רוב כנגד האיסור בטל הטעם, ואף אם היה פחות משישים בזרוע בשלה היה מותר.</w:t>
      </w:r>
    </w:p>
    <w:p w:rsidR="0088374B" w:rsidRPr="0050146A" w:rsidRDefault="0088374B" w:rsidP="0088374B">
      <w:pPr>
        <w:pStyle w:val="a2"/>
      </w:pPr>
      <w:bookmarkStart w:id="4217" w:name="_Toc11600024"/>
      <w:bookmarkStart w:id="4218" w:name="_Toc11625342"/>
      <w:bookmarkStart w:id="4219" w:name="_Toc11664808"/>
      <w:r w:rsidRPr="0050146A">
        <w:rPr>
          <w:rFonts w:hint="cs"/>
          <w:rtl/>
        </w:rPr>
        <w:t>קושית הראש יוסף על רש"י דזרוע בשלה הוא מין במינו וא"א ללמוד מזה למין בשאינו מינו</w:t>
      </w:r>
      <w:bookmarkEnd w:id="4217"/>
      <w:bookmarkEnd w:id="4218"/>
      <w:bookmarkEnd w:id="4219"/>
    </w:p>
    <w:p w:rsidR="0088374B" w:rsidRPr="0050146A" w:rsidRDefault="0088374B" w:rsidP="009F44AF">
      <w:pPr>
        <w:pStyle w:val="a"/>
        <w:rPr>
          <w:rtl/>
        </w:rPr>
      </w:pPr>
      <w:r w:rsidRPr="0050146A">
        <w:rPr>
          <w:rFonts w:hint="cs"/>
          <w:rtl/>
        </w:rPr>
        <w:t xml:space="preserve">ועוד הקשה </w:t>
      </w:r>
      <w:r w:rsidRPr="0050146A">
        <w:rPr>
          <w:rStyle w:val="af8"/>
          <w:rFonts w:hint="cs"/>
          <w:rtl/>
        </w:rPr>
        <w:t>הראש יוסף</w:t>
      </w:r>
      <w:r w:rsidRPr="0050146A">
        <w:rPr>
          <w:rFonts w:hint="cs"/>
          <w:rtl/>
        </w:rPr>
        <w:t xml:space="preserve"> דהרי זרוע בשלה הוא מין במינו, דמדאו' מהני ביטול בחד בתרי והיאך אפשר ללמוד מזה דמהני ביטול בשישים במין בשאינו מינו דטעם כעיקר, ולא מהני לו ביטול דחד בתרי, וכדהקשו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Ref11181023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0146A">
        <w:rPr>
          <w:rStyle w:val="af6"/>
          <w:rFonts w:eastAsia="Guttman Hodes"/>
          <w:rtl/>
        </w:rPr>
        <w:fldChar w:fldCharType="end"/>
      </w:r>
      <w:r w:rsidRPr="0050146A">
        <w:rPr>
          <w:rFonts w:hint="cs"/>
          <w:rtl/>
        </w:rPr>
        <w:t xml:space="preserve">, ועיי"ש במה שהאריך </w:t>
      </w:r>
      <w:r w:rsidRPr="0050146A">
        <w:rPr>
          <w:rStyle w:val="af8"/>
          <w:rFonts w:hint="cs"/>
          <w:rtl/>
        </w:rPr>
        <w:t xml:space="preserve">הראש </w:t>
      </w:r>
      <w:r w:rsidRPr="0050146A">
        <w:rPr>
          <w:rStyle w:val="af8"/>
          <w:rFonts w:hint="cs"/>
          <w:rtl/>
        </w:rPr>
        <w:t>יוסף</w:t>
      </w:r>
      <w:r w:rsidRPr="0050146A">
        <w:rPr>
          <w:rFonts w:hint="cs"/>
          <w:rtl/>
        </w:rPr>
        <w:t xml:space="preserve"> לבאר בדעת </w:t>
      </w:r>
      <w:r w:rsidRPr="0050146A">
        <w:rPr>
          <w:rStyle w:val="af8"/>
          <w:rFonts w:hint="cs"/>
          <w:rtl/>
        </w:rPr>
        <w:t>רש"י</w:t>
      </w:r>
      <w:r w:rsidRPr="0050146A">
        <w:rPr>
          <w:rFonts w:hint="cs"/>
          <w:rtl/>
        </w:rPr>
        <w:t xml:space="preserve"> בדין מין במינו במקום ששוה בטעם ואינו שוה בשם.</w:t>
      </w:r>
    </w:p>
    <w:p w:rsidR="0088374B" w:rsidRPr="0050146A" w:rsidRDefault="0088374B" w:rsidP="0088374B">
      <w:pPr>
        <w:pStyle w:val="a2"/>
        <w:rPr>
          <w:rtl/>
        </w:rPr>
      </w:pPr>
      <w:bookmarkStart w:id="4220" w:name="_Toc11600025"/>
      <w:bookmarkStart w:id="4221" w:name="_Toc11625343"/>
      <w:bookmarkStart w:id="4222" w:name="_Toc11664809"/>
      <w:bookmarkStart w:id="4223" w:name="_Toc11231334"/>
      <w:bookmarkStart w:id="4224" w:name="_Toc11236484"/>
      <w:r w:rsidRPr="0050146A">
        <w:rPr>
          <w:rFonts w:hint="cs"/>
          <w:rtl/>
        </w:rPr>
        <w:t>קושית הגרעק"א והראש יוסף על רש"י לקמן דא"א ללמוד מזרוע בשלה לחומרא להצריך שישים</w:t>
      </w:r>
      <w:bookmarkEnd w:id="4220"/>
      <w:bookmarkEnd w:id="4221"/>
      <w:bookmarkEnd w:id="4222"/>
    </w:p>
    <w:p w:rsidR="0088374B" w:rsidRPr="0050146A" w:rsidRDefault="0088374B" w:rsidP="009F44AF">
      <w:pPr>
        <w:pStyle w:val="a"/>
      </w:pPr>
      <w:bookmarkStart w:id="4225" w:name="_Ref11398415"/>
      <w:r w:rsidRPr="0050146A">
        <w:rPr>
          <w:rFonts w:hint="cs"/>
          <w:rtl/>
        </w:rPr>
        <w:t xml:space="preserve">ובדברי </w:t>
      </w:r>
      <w:r w:rsidRPr="0050146A">
        <w:rPr>
          <w:rStyle w:val="af8"/>
          <w:rtl/>
        </w:rPr>
        <w:t xml:space="preserve">רש"י לקמן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Ref11398345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50146A">
        <w:rPr>
          <w:rStyle w:val="af6"/>
          <w:rFonts w:eastAsia="Guttman Hodes"/>
          <w:rtl/>
        </w:rPr>
        <w:fldChar w:fldCharType="end"/>
      </w:r>
      <w:r w:rsidRPr="0050146A">
        <w:rPr>
          <w:rFonts w:hint="cs"/>
          <w:rtl/>
        </w:rPr>
        <w:t xml:space="preserve"> </w:t>
      </w:r>
      <w:r w:rsidRPr="0050146A">
        <w:rPr>
          <w:rtl/>
        </w:rPr>
        <w:t>דאביי יליף מבשר בחלב דטעם כעיקר דאו', והאיסור הוא רק בנתינת טעם,</w:t>
      </w:r>
      <w:r w:rsidRPr="0050146A">
        <w:rPr>
          <w:rFonts w:hint="cs"/>
          <w:rtl/>
        </w:rPr>
        <w:t xml:space="preserve"> וס"ל לאביי דבשר בחלב הוא בכלל הילפותא לכל האיסורים מזרוע בשלה, </w:t>
      </w:r>
      <w:r w:rsidRPr="0050146A">
        <w:rPr>
          <w:rtl/>
        </w:rPr>
        <w:t xml:space="preserve">כתב </w:t>
      </w:r>
      <w:r w:rsidRPr="0050146A">
        <w:rPr>
          <w:rStyle w:val="af8"/>
          <w:rtl/>
        </w:rPr>
        <w:t xml:space="preserve">הראש יוסף לקמן </w:t>
      </w:r>
      <w:r w:rsidRPr="0050146A">
        <w:rPr>
          <w:rStyle w:val="aff6"/>
          <w:rtl/>
        </w:rPr>
        <w:t>(קח. על רש"י ד"ה אי)</w:t>
      </w:r>
      <w:r w:rsidRPr="0050146A">
        <w:rPr>
          <w:rtl/>
        </w:rPr>
        <w:t xml:space="preserve"> דמבואר</w:t>
      </w:r>
      <w:r w:rsidRPr="0050146A">
        <w:rPr>
          <w:rFonts w:hint="cs"/>
          <w:rtl/>
        </w:rPr>
        <w:t xml:space="preserve"> מדברי </w:t>
      </w:r>
      <w:r w:rsidRPr="0050146A">
        <w:rPr>
          <w:rStyle w:val="af8"/>
          <w:rFonts w:hint="cs"/>
          <w:rtl/>
        </w:rPr>
        <w:t>רש"י</w:t>
      </w:r>
      <w:r w:rsidRPr="0050146A">
        <w:rPr>
          <w:rtl/>
        </w:rPr>
        <w:t xml:space="preserve"> דהא ילפינן מזרוע בשלה דבמק</w:t>
      </w:r>
      <w:r w:rsidRPr="0050146A">
        <w:rPr>
          <w:rFonts w:hint="cs"/>
          <w:rtl/>
        </w:rPr>
        <w:t>ו</w:t>
      </w:r>
      <w:r w:rsidRPr="0050146A">
        <w:rPr>
          <w:rtl/>
        </w:rPr>
        <w:t>ם שאין טעם</w:t>
      </w:r>
      <w:r w:rsidRPr="0050146A">
        <w:rPr>
          <w:rFonts w:hint="cs"/>
          <w:rtl/>
        </w:rPr>
        <w:t>,</w:t>
      </w:r>
      <w:r w:rsidRPr="0050146A">
        <w:rPr>
          <w:rtl/>
        </w:rPr>
        <w:t xml:space="preserve"> דהיינו שיש שישים</w:t>
      </w:r>
      <w:r w:rsidRPr="0050146A">
        <w:rPr>
          <w:rFonts w:hint="cs"/>
          <w:rtl/>
        </w:rPr>
        <w:t>,</w:t>
      </w:r>
      <w:r w:rsidRPr="0050146A">
        <w:rPr>
          <w:rtl/>
        </w:rPr>
        <w:t xml:space="preserve"> או במין במינו מותר, והקש</w:t>
      </w:r>
      <w:r w:rsidRPr="0050146A">
        <w:rPr>
          <w:rFonts w:hint="cs"/>
          <w:rtl/>
        </w:rPr>
        <w:t>ו</w:t>
      </w:r>
      <w:r w:rsidRPr="0050146A">
        <w:rPr>
          <w:rtl/>
        </w:rPr>
        <w:t xml:space="preserve"> </w:t>
      </w:r>
      <w:r w:rsidRPr="0050146A">
        <w:rPr>
          <w:rStyle w:val="af8"/>
          <w:rFonts w:hint="cs"/>
          <w:rtl/>
        </w:rPr>
        <w:t>הגרעק"א לקמן</w:t>
      </w:r>
      <w:r w:rsidRPr="0050146A">
        <w:rPr>
          <w:rFonts w:hint="cs"/>
          <w:rtl/>
        </w:rPr>
        <w:t xml:space="preserve"> </w:t>
      </w:r>
      <w:r w:rsidRPr="0050146A">
        <w:rPr>
          <w:rStyle w:val="af6"/>
          <w:rFonts w:eastAsia="Guttman Hodes" w:hint="cs"/>
          <w:rtl/>
        </w:rPr>
        <w:t>(דרוש וחידוש מכת"י קח. על רש"י ד"ה אי)</w:t>
      </w:r>
      <w:r w:rsidRPr="0050146A">
        <w:rPr>
          <w:rFonts w:hint="cs"/>
          <w:rtl/>
        </w:rPr>
        <w:t xml:space="preserve"> </w:t>
      </w:r>
      <w:r w:rsidRPr="0050146A">
        <w:rPr>
          <w:rStyle w:val="af8"/>
          <w:rFonts w:hint="cs"/>
          <w:rtl/>
        </w:rPr>
        <w:t>ו</w:t>
      </w:r>
      <w:r w:rsidRPr="0050146A">
        <w:rPr>
          <w:rStyle w:val="af8"/>
          <w:rtl/>
        </w:rPr>
        <w:t>הראש יוסף לקמן</w:t>
      </w:r>
      <w:r w:rsidRPr="0050146A">
        <w:rPr>
          <w:rStyle w:val="af6"/>
          <w:rFonts w:eastAsia="Guttman Hodes"/>
          <w:rtl/>
        </w:rPr>
        <w:t xml:space="preserve"> </w:t>
      </w:r>
      <w:r w:rsidRPr="0050146A">
        <w:rPr>
          <w:rStyle w:val="af6"/>
          <w:rFonts w:eastAsia="Guttman Rashi"/>
          <w:rtl/>
        </w:rPr>
        <w:t>(קח. ד"ה וקשיא)</w:t>
      </w:r>
      <w:r w:rsidRPr="0050146A">
        <w:rPr>
          <w:rStyle w:val="af6"/>
          <w:rFonts w:eastAsia="Guttman Hodes"/>
          <w:rtl/>
        </w:rPr>
        <w:t xml:space="preserve"> </w:t>
      </w:r>
      <w:r w:rsidRPr="0050146A">
        <w:rPr>
          <w:rtl/>
        </w:rPr>
        <w:t xml:space="preserve">על </w:t>
      </w:r>
      <w:r w:rsidRPr="0050146A">
        <w:rPr>
          <w:rStyle w:val="af8"/>
          <w:rtl/>
        </w:rPr>
        <w:t xml:space="preserve">רש"י </w:t>
      </w:r>
      <w:r w:rsidRPr="0050146A">
        <w:rPr>
          <w:rtl/>
        </w:rPr>
        <w:t xml:space="preserve">היאך אפשר ללמוד מזרוע בשלה דהאיסור בבשר בחלב הוא רק בנתינת טעם, הא אמרינן בסוגיין דזרוע בשלה הוא חידוש, וכתב </w:t>
      </w:r>
      <w:r w:rsidRPr="0050146A">
        <w:rPr>
          <w:rStyle w:val="af8"/>
          <w:rtl/>
        </w:rPr>
        <w:t xml:space="preserve">הראש יוסף </w:t>
      </w:r>
      <w:r w:rsidRPr="0050146A">
        <w:rPr>
          <w:rtl/>
        </w:rPr>
        <w:t>דלולי דברי</w:t>
      </w:r>
      <w:r w:rsidRPr="0050146A">
        <w:rPr>
          <w:rStyle w:val="af8"/>
          <w:rtl/>
        </w:rPr>
        <w:t xml:space="preserve"> רש"י </w:t>
      </w:r>
      <w:r w:rsidRPr="0050146A">
        <w:rPr>
          <w:rtl/>
        </w:rPr>
        <w:t>אמרינן דמסברא כל מה שאסרה תורה בבשר וחלב, הוא רק במקום שיש נתינת טעם.</w:t>
      </w:r>
      <w:bookmarkStart w:id="4226" w:name="_Toc11236488"/>
      <w:bookmarkStart w:id="4227" w:name="_Toc11406486"/>
      <w:bookmarkStart w:id="4228" w:name="_Toc11096288"/>
      <w:bookmarkStart w:id="4229" w:name="_Toc11231338"/>
      <w:bookmarkEnd w:id="4223"/>
      <w:bookmarkEnd w:id="4224"/>
      <w:bookmarkEnd w:id="4225"/>
    </w:p>
    <w:p w:rsidR="0088374B" w:rsidRPr="0050146A" w:rsidRDefault="0088374B" w:rsidP="0088374B">
      <w:pPr>
        <w:pStyle w:val="1"/>
        <w:rPr>
          <w:rtl/>
        </w:rPr>
      </w:pPr>
      <w:bookmarkStart w:id="4230" w:name="_Toc11625345"/>
      <w:bookmarkStart w:id="4231" w:name="_Toc11664811"/>
      <w:bookmarkStart w:id="4232" w:name="_Toc11096289"/>
      <w:bookmarkStart w:id="4233" w:name="_Toc11231339"/>
      <w:bookmarkStart w:id="4234" w:name="_Toc11236490"/>
      <w:bookmarkStart w:id="4235" w:name="_Toc11406488"/>
      <w:bookmarkStart w:id="4236" w:name="_Toc11600028"/>
      <w:bookmarkEnd w:id="4226"/>
      <w:bookmarkEnd w:id="4227"/>
      <w:r w:rsidRPr="0050146A">
        <w:rPr>
          <w:rFonts w:hint="cs"/>
          <w:rtl/>
        </w:rPr>
        <w:t>ביאור החת"ס ברש"י דטע"כ דרבנן ושישים דאו' ואינו מדין טעם</w:t>
      </w:r>
    </w:p>
    <w:p w:rsidR="0088374B" w:rsidRPr="0050146A" w:rsidRDefault="0088374B" w:rsidP="0088374B">
      <w:pPr>
        <w:pStyle w:val="a2"/>
        <w:rPr>
          <w:rtl/>
        </w:rPr>
      </w:pPr>
      <w:r w:rsidRPr="0050146A">
        <w:rPr>
          <w:rFonts w:hint="cs"/>
          <w:rtl/>
        </w:rPr>
        <w:t xml:space="preserve">דברי החת"ס דלרש"י טע"כ דרבנן ושישים דאו' ילפינן מזרוע בשלה מדין ביטול ולא מדין טעם </w:t>
      </w:r>
    </w:p>
    <w:p w:rsidR="0088374B" w:rsidRPr="0050146A" w:rsidRDefault="0088374B" w:rsidP="009F44AF">
      <w:pPr>
        <w:pStyle w:val="a"/>
        <w:rPr>
          <w:rStyle w:val="afa"/>
          <w:rtl/>
        </w:rPr>
      </w:pPr>
      <w:bookmarkStart w:id="4237" w:name="_Ref12006022"/>
      <w:r w:rsidRPr="0050146A">
        <w:rPr>
          <w:rFonts w:hint="cs"/>
          <w:rtl/>
        </w:rPr>
        <w:t xml:space="preserve">ויעוי' בדברי </w:t>
      </w:r>
      <w:r w:rsidRPr="0050146A">
        <w:rPr>
          <w:rStyle w:val="af8"/>
          <w:rFonts w:hint="cs"/>
          <w:rtl/>
        </w:rPr>
        <w:t>החת"ס</w:t>
      </w:r>
      <w:r w:rsidRPr="0050146A">
        <w:rPr>
          <w:rStyle w:val="af6"/>
          <w:rFonts w:eastAsia="Guttman Hodes" w:hint="cs"/>
          <w:rtl/>
        </w:rPr>
        <w:t xml:space="preserve"> </w:t>
      </w:r>
      <w:r w:rsidRPr="0050146A">
        <w:rPr>
          <w:rStyle w:val="af6"/>
          <w:rFonts w:eastAsia="Guttman Rashi" w:hint="cs"/>
          <w:rtl/>
        </w:rPr>
        <w:t xml:space="preserve">(עי' אות </w:t>
      </w:r>
      <w:r w:rsidRPr="0050146A">
        <w:rPr>
          <w:rStyle w:val="af6"/>
          <w:rFonts w:eastAsia="Guttman Rashi"/>
          <w:rtl/>
        </w:rPr>
        <w:fldChar w:fldCharType="begin"/>
      </w:r>
      <w:r w:rsidRPr="0050146A">
        <w:rPr>
          <w:rStyle w:val="af6"/>
          <w:rFonts w:eastAsia="Guttman Rashi"/>
          <w:rtl/>
        </w:rPr>
        <w:instrText xml:space="preserve"> </w:instrText>
      </w:r>
      <w:r w:rsidRPr="0050146A">
        <w:rPr>
          <w:rStyle w:val="af6"/>
          <w:rFonts w:eastAsia="Guttman Rashi" w:hint="cs"/>
        </w:rPr>
        <w:instrText>REF</w:instrText>
      </w:r>
      <w:r w:rsidRPr="0050146A">
        <w:rPr>
          <w:rStyle w:val="af6"/>
          <w:rFonts w:eastAsia="Guttman Rashi" w:hint="cs"/>
          <w:rtl/>
        </w:rPr>
        <w:instrText xml:space="preserve"> _</w:instrText>
      </w:r>
      <w:r w:rsidRPr="0050146A">
        <w:rPr>
          <w:rStyle w:val="af6"/>
          <w:rFonts w:eastAsia="Guttman Rashi" w:hint="cs"/>
        </w:rPr>
        <w:instrText>Ref11659360 \r \h</w:instrText>
      </w:r>
      <w:r w:rsidRPr="0050146A">
        <w:rPr>
          <w:rStyle w:val="af6"/>
          <w:rFonts w:eastAsia="Guttman Rashi"/>
          <w:rtl/>
        </w:rPr>
        <w:instrText xml:space="preserve"> </w:instrText>
      </w:r>
      <w:r w:rsidRPr="0050146A">
        <w:rPr>
          <w:rStyle w:val="af6"/>
          <w:rFonts w:eastAsia="Guttman Rashi"/>
          <w:rtl/>
        </w:rPr>
      </w:r>
      <w:r w:rsidRPr="0050146A">
        <w:rPr>
          <w:rStyle w:val="af6"/>
          <w:rFonts w:eastAsia="Guttman Rashi"/>
          <w:rtl/>
        </w:rPr>
        <w:fldChar w:fldCharType="separate"/>
      </w:r>
      <w:r w:rsidR="004D1C5B">
        <w:rPr>
          <w:rStyle w:val="af6"/>
          <w:rFonts w:eastAsia="Guttman Rashi"/>
          <w:cs/>
        </w:rPr>
        <w:t>‎</w:t>
      </w:r>
      <w:r w:rsidR="004D1C5B">
        <w:rPr>
          <w:rStyle w:val="af6"/>
          <w:rFonts w:eastAsia="Guttman Rashi"/>
          <w:rtl/>
        </w:rPr>
        <w:t>צד)</w:t>
      </w:r>
      <w:r w:rsidRPr="0050146A">
        <w:rPr>
          <w:rStyle w:val="af6"/>
          <w:rFonts w:eastAsia="Guttman Rashi"/>
          <w:rtl/>
        </w:rPr>
        <w:fldChar w:fldCharType="end"/>
      </w:r>
      <w:r w:rsidRPr="0050146A">
        <w:rPr>
          <w:rStyle w:val="af6"/>
          <w:rFonts w:eastAsia="Guttman Rashi" w:hint="cs"/>
          <w:rtl/>
        </w:rPr>
        <w:t xml:space="preserve"> </w:t>
      </w:r>
      <w:r w:rsidRPr="0050146A">
        <w:rPr>
          <w:rStyle w:val="af6"/>
          <w:rFonts w:eastAsia="Guttman Hodes" w:hint="cs"/>
          <w:rtl/>
        </w:rPr>
        <w:t xml:space="preserve"> </w:t>
      </w:r>
      <w:r w:rsidRPr="0050146A">
        <w:rPr>
          <w:rFonts w:hint="cs"/>
          <w:rtl/>
        </w:rPr>
        <w:t>במה שהאריך לבאר דלדעת</w:t>
      </w:r>
      <w:r w:rsidRPr="0050146A">
        <w:rPr>
          <w:rStyle w:val="af8"/>
          <w:rFonts w:hint="cs"/>
          <w:rtl/>
        </w:rPr>
        <w:t xml:space="preserve"> רש"י</w:t>
      </w:r>
      <w:r w:rsidRPr="0050146A">
        <w:rPr>
          <w:rFonts w:hint="cs"/>
          <w:rtl/>
        </w:rPr>
        <w:t xml:space="preserve"> שיעור שישים הוא מדאו', דהילפותא מזרוע בשלה, היא ילפותא גמורה, דס"ל </w:t>
      </w:r>
      <w:r w:rsidRPr="0050146A">
        <w:rPr>
          <w:rStyle w:val="af8"/>
          <w:rFonts w:hint="cs"/>
          <w:rtl/>
        </w:rPr>
        <w:t>לרש"י</w:t>
      </w:r>
      <w:r w:rsidRPr="0050146A">
        <w:rPr>
          <w:rFonts w:hint="cs"/>
          <w:rtl/>
        </w:rPr>
        <w:t xml:space="preserve"> דדין שישים אינו שייך לטעם כלל, ובין במקום שיש טעם, ובין במקום שאין טעם, צריך שיעור שישים, וביאר </w:t>
      </w:r>
      <w:r w:rsidRPr="0050146A">
        <w:rPr>
          <w:rStyle w:val="af8"/>
          <w:rFonts w:hint="cs"/>
          <w:rtl/>
        </w:rPr>
        <w:t>החת"ס</w:t>
      </w:r>
      <w:r w:rsidRPr="0050146A">
        <w:rPr>
          <w:rFonts w:hint="cs"/>
          <w:rtl/>
        </w:rPr>
        <w:t xml:space="preserve"> דכיון דס"ל </w:t>
      </w:r>
      <w:r w:rsidRPr="0050146A">
        <w:rPr>
          <w:rStyle w:val="af8"/>
          <w:rFonts w:hint="cs"/>
          <w:rtl/>
        </w:rPr>
        <w:t>לרש"י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דטעם כעיקר דרבנן, א"כ רק מדרבנן לא מהני ביטול בשישים במקום שיש טעם, ועי' במה שכתב </w:t>
      </w:r>
      <w:r w:rsidRPr="0050146A">
        <w:rPr>
          <w:rStyle w:val="af8"/>
          <w:rFonts w:hint="cs"/>
          <w:rtl/>
        </w:rPr>
        <w:t xml:space="preserve">החת"ס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Ref11688229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צח)</w:t>
      </w:r>
      <w:r w:rsidRPr="0050146A">
        <w:rPr>
          <w:rStyle w:val="af6"/>
          <w:rFonts w:eastAsia="Guttman Hodes"/>
          <w:rtl/>
        </w:rPr>
        <w:fldChar w:fldCharType="end"/>
      </w:r>
      <w:r w:rsidRPr="0050146A">
        <w:rPr>
          <w:rFonts w:hint="cs"/>
          <w:rtl/>
        </w:rPr>
        <w:t xml:space="preserve"> בביאור דברי רבא לדעת </w:t>
      </w:r>
      <w:r w:rsidRPr="0050146A">
        <w:rPr>
          <w:rStyle w:val="af8"/>
          <w:rFonts w:hint="cs"/>
          <w:rtl/>
        </w:rPr>
        <w:t>רש"י</w:t>
      </w:r>
      <w:r w:rsidRPr="0050146A">
        <w:rPr>
          <w:rFonts w:hint="cs"/>
          <w:rtl/>
        </w:rPr>
        <w:t xml:space="preserve">. </w:t>
      </w:r>
      <w:r w:rsidRPr="0050146A">
        <w:rPr>
          <w:rStyle w:val="afa"/>
          <w:rFonts w:hint="cs"/>
          <w:rtl/>
        </w:rPr>
        <w:t xml:space="preserve">[ולדברי </w:t>
      </w:r>
      <w:r w:rsidRPr="0050146A">
        <w:rPr>
          <w:rStyle w:val="affa"/>
          <w:rFonts w:hint="cs"/>
          <w:rtl/>
        </w:rPr>
        <w:t>החת"ס</w:t>
      </w:r>
      <w:r w:rsidRPr="0050146A">
        <w:rPr>
          <w:rStyle w:val="afa"/>
          <w:rFonts w:hint="cs"/>
          <w:rtl/>
        </w:rPr>
        <w:t xml:space="preserve"> אין כל ראיה מהא דמבואר </w:t>
      </w:r>
      <w:r w:rsidRPr="0050146A">
        <w:rPr>
          <w:rStyle w:val="affa"/>
          <w:rFonts w:hint="cs"/>
          <w:rtl/>
        </w:rPr>
        <w:t>ברש"י</w:t>
      </w:r>
      <w:r w:rsidRPr="0050146A">
        <w:rPr>
          <w:rStyle w:val="afa"/>
          <w:rFonts w:hint="cs"/>
          <w:rtl/>
        </w:rPr>
        <w:t xml:space="preserve"> דלאביי זרוע בשלה הוא ילפותא גמורה, דס"ל דלדעת אביי טעם כעיקר דאו', כדביאר </w:t>
      </w:r>
      <w:r w:rsidRPr="0050146A">
        <w:rPr>
          <w:rStyle w:val="affa"/>
          <w:rFonts w:hint="cs"/>
          <w:rtl/>
        </w:rPr>
        <w:t>המהרי"ק</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Ref12005943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לז)</w:t>
      </w:r>
      <w:r w:rsidRPr="0050146A">
        <w:rPr>
          <w:rStyle w:val="aff6"/>
          <w:rtl/>
        </w:rPr>
        <w:fldChar w:fldCharType="end"/>
      </w:r>
      <w:r w:rsidRPr="0050146A">
        <w:rPr>
          <w:rStyle w:val="afa"/>
          <w:rFonts w:hint="cs"/>
          <w:rtl/>
        </w:rPr>
        <w:t xml:space="preserve">, דהא לדעת  </w:t>
      </w:r>
      <w:r w:rsidRPr="0050146A">
        <w:rPr>
          <w:rStyle w:val="affa"/>
          <w:rFonts w:hint="cs"/>
          <w:rtl/>
        </w:rPr>
        <w:t>החת"ס</w:t>
      </w:r>
      <w:r w:rsidRPr="0050146A">
        <w:rPr>
          <w:rStyle w:val="afa"/>
          <w:rFonts w:hint="cs"/>
          <w:rtl/>
        </w:rPr>
        <w:t xml:space="preserve">  ס"ל </w:t>
      </w:r>
      <w:r w:rsidRPr="0050146A">
        <w:rPr>
          <w:rStyle w:val="affa"/>
          <w:rFonts w:hint="cs"/>
          <w:rtl/>
        </w:rPr>
        <w:t>לרש"י</w:t>
      </w:r>
      <w:r w:rsidRPr="0050146A">
        <w:rPr>
          <w:rStyle w:val="afa"/>
          <w:rFonts w:hint="cs"/>
          <w:rtl/>
        </w:rPr>
        <w:t xml:space="preserve"> דלכו"ע טעם כעיקר דרבנן, ומ"מ מדאו' יש שיעור שישים כדילפינן מזרוע בשלה, ואינו שייך לדין טעם כלל].</w:t>
      </w:r>
      <w:bookmarkEnd w:id="4237"/>
    </w:p>
    <w:p w:rsidR="0088374B" w:rsidRPr="0050146A" w:rsidRDefault="0088374B" w:rsidP="0088374B">
      <w:pPr>
        <w:pStyle w:val="1"/>
        <w:rPr>
          <w:rtl/>
        </w:rPr>
      </w:pPr>
      <w:r w:rsidRPr="0050146A">
        <w:rPr>
          <w:rFonts w:ascii="Guttman Adii-Light" w:eastAsia="Guttman Adii-Light" w:hAnsi="Guttman Adii-Light" w:cs="Guttman Adii-Light"/>
          <w:b w:val="0"/>
          <w:sz w:val="22"/>
          <w:szCs w:val="28"/>
          <w:rtl/>
        </w:rPr>
        <w:t>ביאורי הראשונים דזרוע בשלה אסמכתא</w:t>
      </w:r>
    </w:p>
    <w:p w:rsidR="0088374B" w:rsidRPr="0050146A" w:rsidRDefault="0088374B" w:rsidP="0088374B">
      <w:pPr>
        <w:pStyle w:val="1"/>
        <w:rPr>
          <w:rtl/>
        </w:rPr>
      </w:pPr>
      <w:r w:rsidRPr="0050146A">
        <w:rPr>
          <w:rFonts w:hint="cs"/>
          <w:rtl/>
        </w:rPr>
        <w:t>דברי הרמב"ם והראשונים דזרוע בשלה הוא אסמכתא</w:t>
      </w:r>
      <w:bookmarkEnd w:id="4230"/>
      <w:bookmarkEnd w:id="4231"/>
    </w:p>
    <w:p w:rsidR="0088374B" w:rsidRPr="0050146A" w:rsidRDefault="0088374B" w:rsidP="0088374B">
      <w:pPr>
        <w:pStyle w:val="a2"/>
        <w:rPr>
          <w:rtl/>
        </w:rPr>
      </w:pPr>
      <w:bookmarkStart w:id="4238" w:name="_Toc11599996"/>
      <w:bookmarkStart w:id="4239" w:name="_Toc11625346"/>
      <w:bookmarkStart w:id="4240" w:name="_Toc11664812"/>
      <w:r w:rsidRPr="0050146A">
        <w:rPr>
          <w:rFonts w:hint="cs"/>
          <w:rtl/>
        </w:rPr>
        <w:t>דברי הרמב"ם והראשונים דשישים מדרבנן והילפותא מזרוע בשלה לשישים הוא אסמכתא</w:t>
      </w:r>
      <w:bookmarkEnd w:id="4238"/>
      <w:bookmarkEnd w:id="4239"/>
      <w:bookmarkEnd w:id="4240"/>
      <w:r w:rsidRPr="0050146A">
        <w:rPr>
          <w:rFonts w:hint="cs"/>
          <w:rtl/>
        </w:rPr>
        <w:t xml:space="preserve"> </w:t>
      </w:r>
    </w:p>
    <w:p w:rsidR="0088374B" w:rsidRPr="0050146A" w:rsidRDefault="0088374B" w:rsidP="009F44AF">
      <w:pPr>
        <w:pStyle w:val="a"/>
        <w:rPr>
          <w:rtl/>
        </w:rPr>
      </w:pPr>
      <w:bookmarkStart w:id="4241" w:name="_Toc11236489"/>
      <w:bookmarkStart w:id="4242" w:name="_Ref11600235"/>
      <w:r w:rsidRPr="0050146A">
        <w:rPr>
          <w:rFonts w:hint="cs"/>
          <w:rtl/>
        </w:rPr>
        <w:t xml:space="preserve">כתב </w:t>
      </w:r>
      <w:r w:rsidRPr="0050146A">
        <w:rPr>
          <w:rStyle w:val="af8"/>
          <w:rFonts w:hint="cs"/>
          <w:rtl/>
        </w:rPr>
        <w:t xml:space="preserve">הרמב"ם </w:t>
      </w:r>
      <w:r w:rsidRPr="0050146A">
        <w:rPr>
          <w:rStyle w:val="af6"/>
          <w:rFonts w:eastAsia="Guttman Hodes" w:hint="cs"/>
          <w:rtl/>
        </w:rPr>
        <w:t>(מאכ"א פט"ו הכ"א)</w:t>
      </w:r>
      <w:r w:rsidRPr="0050146A">
        <w:rPr>
          <w:rFonts w:hint="cs"/>
          <w:rtl/>
        </w:rPr>
        <w:t xml:space="preserve"> דשיעור שישים הוא אסמכתא דרבנן מקרא דזרוע בשלה, </w:t>
      </w:r>
      <w:bookmarkEnd w:id="4241"/>
      <w:r w:rsidRPr="0050146A">
        <w:rPr>
          <w:rFonts w:hint="cs"/>
          <w:rtl/>
        </w:rPr>
        <w:t xml:space="preserve">וכ"כ </w:t>
      </w:r>
      <w:r w:rsidRPr="0050146A">
        <w:rPr>
          <w:rStyle w:val="af8"/>
          <w:rFonts w:hint="cs"/>
          <w:rtl/>
        </w:rPr>
        <w:t xml:space="preserve">הרמב"ן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Ref11614663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50146A">
        <w:rPr>
          <w:rStyle w:val="af6"/>
          <w:rFonts w:eastAsia="Guttman Hodes"/>
          <w:rtl/>
        </w:rPr>
        <w:fldChar w:fldCharType="end"/>
      </w:r>
      <w:r w:rsidRPr="0050146A">
        <w:rPr>
          <w:rStyle w:val="af8"/>
          <w:rFonts w:hint="cs"/>
          <w:rtl/>
        </w:rPr>
        <w:t xml:space="preserve"> והרשב"א</w:t>
      </w:r>
      <w:r w:rsidRPr="0050146A">
        <w:rPr>
          <w:rStyle w:val="af6"/>
          <w:rFonts w:eastAsia="Guttman Hodes" w:hint="cs"/>
          <w:rtl/>
        </w:rPr>
        <w:t xml:space="preserve"> (ד"ה הא בתו"ד) </w:t>
      </w:r>
      <w:r w:rsidRPr="0050146A">
        <w:rPr>
          <w:rStyle w:val="af8"/>
          <w:rFonts w:hint="cs"/>
          <w:rtl/>
        </w:rPr>
        <w:t xml:space="preserve">והריטב"א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Ref11622534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 xml:space="preserve">והר"ן על הרי"ף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Ref11615673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נח)</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דהילפותא דזרוע בשלה היא אסמכתא, וכ"כ </w:t>
      </w:r>
      <w:r w:rsidRPr="0050146A">
        <w:rPr>
          <w:rStyle w:val="af8"/>
          <w:rFonts w:hint="cs"/>
          <w:rtl/>
        </w:rPr>
        <w:t>הרא"ש</w:t>
      </w:r>
      <w:r w:rsidRPr="0050146A">
        <w:rPr>
          <w:rFonts w:hint="cs"/>
          <w:rtl/>
        </w:rPr>
        <w:t xml:space="preserve"> </w:t>
      </w:r>
      <w:r w:rsidRPr="0050146A">
        <w:rPr>
          <w:rStyle w:val="af6"/>
          <w:rFonts w:eastAsia="Guttman Hodes" w:hint="cs"/>
          <w:rtl/>
        </w:rPr>
        <w:t xml:space="preserve">(סו"ס ל') </w:t>
      </w:r>
      <w:r w:rsidRPr="0050146A">
        <w:rPr>
          <w:rFonts w:hint="cs"/>
          <w:rtl/>
        </w:rPr>
        <w:t xml:space="preserve">דמבואר בגמ' דמדאו' מין במינו בטל ברוב, והילפותא מזרוע בשלה היא אסמכתא, ועי' במה שהקשה </w:t>
      </w:r>
      <w:r w:rsidRPr="0050146A">
        <w:rPr>
          <w:rStyle w:val="af8"/>
          <w:rFonts w:hint="cs"/>
          <w:rtl/>
        </w:rPr>
        <w:t xml:space="preserve">רבינו אפרים </w:t>
      </w:r>
      <w:r w:rsidRPr="0050146A">
        <w:rPr>
          <w:rStyle w:val="af6"/>
          <w:rFonts w:eastAsia="Guttman Hodes" w:hint="cs"/>
          <w:rtl/>
        </w:rPr>
        <w:t>(עי' אות</w:t>
      </w:r>
      <w:bookmarkEnd w:id="4242"/>
      <w:r w:rsidRPr="0050146A">
        <w:rPr>
          <w:rStyle w:val="af6"/>
          <w:rFonts w:eastAsia="Guttman Hodes" w:hint="cs"/>
          <w:rtl/>
        </w:rPr>
        <w:t xml:space="preserve">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Ref11601682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דא"א לומר דהיא אסמכתא.</w:t>
      </w:r>
    </w:p>
    <w:p w:rsidR="0088374B" w:rsidRPr="0050146A" w:rsidRDefault="0088374B" w:rsidP="0088374B">
      <w:pPr>
        <w:pStyle w:val="1"/>
        <w:rPr>
          <w:rtl/>
        </w:rPr>
      </w:pPr>
      <w:bookmarkStart w:id="4243" w:name="_Toc11625347"/>
      <w:bookmarkStart w:id="4244" w:name="_Toc11664813"/>
      <w:r w:rsidRPr="0050146A">
        <w:rPr>
          <w:rFonts w:hint="cs"/>
          <w:rtl/>
        </w:rPr>
        <w:t>דברי הרמב"ן</w:t>
      </w:r>
      <w:bookmarkEnd w:id="4232"/>
      <w:bookmarkEnd w:id="4233"/>
      <w:bookmarkEnd w:id="4234"/>
      <w:bookmarkEnd w:id="4235"/>
      <w:bookmarkEnd w:id="4236"/>
      <w:r w:rsidRPr="0050146A">
        <w:rPr>
          <w:rFonts w:hint="cs"/>
          <w:rtl/>
        </w:rPr>
        <w:t xml:space="preserve"> בביאור הילפותא מזרוע בשלה</w:t>
      </w:r>
      <w:bookmarkEnd w:id="4243"/>
      <w:bookmarkEnd w:id="4244"/>
    </w:p>
    <w:p w:rsidR="0088374B" w:rsidRPr="0050146A" w:rsidRDefault="0088374B" w:rsidP="0088374B">
      <w:pPr>
        <w:pStyle w:val="a2"/>
        <w:rPr>
          <w:rtl/>
        </w:rPr>
      </w:pPr>
      <w:bookmarkStart w:id="4245" w:name="_Toc11625348"/>
      <w:bookmarkStart w:id="4246" w:name="_Toc11664814"/>
      <w:r w:rsidRPr="0050146A">
        <w:rPr>
          <w:rFonts w:hint="cs"/>
          <w:rtl/>
        </w:rPr>
        <w:t>קושית הרמב"ן והרשב"א דנימא דבדם פר ושעיר אין שישים אבל כשיש שישים ילפינן מזרוע בשלה</w:t>
      </w:r>
      <w:bookmarkEnd w:id="4245"/>
      <w:bookmarkEnd w:id="4246"/>
    </w:p>
    <w:p w:rsidR="0088374B" w:rsidRPr="0050146A" w:rsidRDefault="0088374B" w:rsidP="009F44AF">
      <w:pPr>
        <w:pStyle w:val="a"/>
        <w:rPr>
          <w:rtl/>
        </w:rPr>
      </w:pPr>
      <w:r w:rsidRPr="0050146A">
        <w:rPr>
          <w:rFonts w:hint="cs"/>
          <w:rtl/>
        </w:rPr>
        <w:t xml:space="preserve">בהא דאמרינן דר"י לא יליף לביטול מין במינו מזרוע בשלה, כיון דבדם פר ודם שעיר גלי רחמנא דלא בטלי, הקשו </w:t>
      </w:r>
      <w:r w:rsidRPr="0050146A">
        <w:rPr>
          <w:rStyle w:val="af8"/>
          <w:rFonts w:hint="cs"/>
          <w:rtl/>
        </w:rPr>
        <w:t xml:space="preserve">הרמב"ן </w:t>
      </w:r>
      <w:r w:rsidRPr="0050146A">
        <w:rPr>
          <w:rStyle w:val="af6"/>
          <w:rFonts w:eastAsia="Guttman Hodes" w:hint="cs"/>
          <w:rtl/>
        </w:rPr>
        <w:t xml:space="preserve">(ד"ה וליגמר) </w:t>
      </w:r>
      <w:r w:rsidRPr="0050146A">
        <w:rPr>
          <w:rStyle w:val="af8"/>
          <w:rFonts w:hint="cs"/>
          <w:rtl/>
        </w:rPr>
        <w:t>והרשב"א</w:t>
      </w:r>
      <w:r w:rsidRPr="0050146A">
        <w:rPr>
          <w:rFonts w:hint="cs"/>
          <w:rtl/>
        </w:rPr>
        <w:t xml:space="preserve"> </w:t>
      </w:r>
      <w:r w:rsidRPr="0050146A">
        <w:rPr>
          <w:rStyle w:val="af6"/>
          <w:rFonts w:eastAsia="Guttman Hodes" w:hint="cs"/>
          <w:rtl/>
        </w:rPr>
        <w:t xml:space="preserve">(ד"ה וליגמר) </w:t>
      </w:r>
      <w:r w:rsidRPr="0050146A">
        <w:rPr>
          <w:rFonts w:hint="cs"/>
          <w:rtl/>
        </w:rPr>
        <w:t xml:space="preserve">דאפש"ל דהא דבדם פר ודם שעיר אין ביטול, הוא כיון דאין שם שישים, אבל במקום שיש שישים ילפינן מזרוע בשלה דמהני ביטול, ועי' במה שתירץ </w:t>
      </w:r>
      <w:r w:rsidRPr="0050146A">
        <w:rPr>
          <w:rStyle w:val="af8"/>
          <w:rFonts w:hint="cs"/>
          <w:rtl/>
        </w:rPr>
        <w:t>הגרעק"א</w:t>
      </w:r>
      <w:r w:rsidRPr="0050146A">
        <w:rPr>
          <w:rFonts w:hint="cs"/>
          <w:rtl/>
        </w:rPr>
        <w:t xml:space="preserve"> </w:t>
      </w:r>
      <w:r w:rsidRPr="0050146A">
        <w:rPr>
          <w:rStyle w:val="af6"/>
          <w:rFonts w:eastAsia="Guttman Hodes" w:hint="cs"/>
          <w:rtl/>
        </w:rPr>
        <w:t>(ד"ה מה דתמה)</w:t>
      </w:r>
      <w:r w:rsidRPr="0050146A">
        <w:rPr>
          <w:rFonts w:hint="cs"/>
          <w:rtl/>
        </w:rPr>
        <w:t>.</w:t>
      </w:r>
    </w:p>
    <w:p w:rsidR="0088374B" w:rsidRPr="0050146A" w:rsidRDefault="0088374B" w:rsidP="0088374B">
      <w:pPr>
        <w:pStyle w:val="a2"/>
        <w:rPr>
          <w:rtl/>
        </w:rPr>
      </w:pPr>
      <w:bookmarkStart w:id="4247" w:name="_Toc11625349"/>
      <w:bookmarkStart w:id="4248" w:name="_Toc11664815"/>
      <w:r w:rsidRPr="0050146A">
        <w:rPr>
          <w:rFonts w:hint="cs"/>
          <w:rtl/>
        </w:rPr>
        <w:t>תירוץ הרמב"ן והרשב"א דבדם פר ושעיר מוכח דלא מהני ביטול ברוב ולכן שישים הוא קולא</w:t>
      </w:r>
      <w:bookmarkEnd w:id="4247"/>
      <w:bookmarkEnd w:id="4248"/>
    </w:p>
    <w:p w:rsidR="0088374B" w:rsidRPr="0050146A" w:rsidRDefault="0088374B" w:rsidP="009F44AF">
      <w:pPr>
        <w:pStyle w:val="a"/>
        <w:rPr>
          <w:rStyle w:val="afa"/>
          <w:rtl/>
        </w:rPr>
      </w:pPr>
      <w:r w:rsidRPr="0050146A">
        <w:rPr>
          <w:rFonts w:hint="cs"/>
          <w:rtl/>
        </w:rPr>
        <w:t xml:space="preserve">ותירצו </w:t>
      </w:r>
      <w:r w:rsidRPr="0050146A">
        <w:rPr>
          <w:rStyle w:val="af8"/>
          <w:rFonts w:hint="cs"/>
          <w:rtl/>
        </w:rPr>
        <w:t>הרמב"ן</w:t>
      </w:r>
      <w:r w:rsidRPr="0050146A">
        <w:rPr>
          <w:rFonts w:hint="cs"/>
          <w:rtl/>
        </w:rPr>
        <w:t xml:space="preserve"> </w:t>
      </w:r>
      <w:r w:rsidRPr="0050146A">
        <w:rPr>
          <w:rStyle w:val="af8"/>
          <w:rFonts w:hint="cs"/>
          <w:rtl/>
        </w:rPr>
        <w:t>והרשב"א</w:t>
      </w:r>
      <w:r w:rsidRPr="0050146A">
        <w:rPr>
          <w:rFonts w:hint="cs"/>
          <w:rtl/>
        </w:rPr>
        <w:t xml:space="preserve"> דכיון דבדם פר ושעיר מוכח דבמין במינו מדאו' חד בתרי לא בטיל, דהא דם הפר מרובה מדם השעיר, א"כ אי ילפינן מזרוע בשלה דמהני ביטול בשישים, הוא קולא דאף </w:t>
      </w:r>
      <w:r w:rsidRPr="0050146A">
        <w:rPr>
          <w:rFonts w:hint="cs"/>
          <w:rtl/>
        </w:rPr>
        <w:lastRenderedPageBreak/>
        <w:t>דבחד בתרי אין ביטול, מ"מ בשישים מהני ביטול, ולקולא לא ילפינן מזרוע בשלה.</w:t>
      </w:r>
    </w:p>
    <w:p w:rsidR="0088374B" w:rsidRPr="0050146A" w:rsidRDefault="0088374B" w:rsidP="0088374B">
      <w:pPr>
        <w:pStyle w:val="a2"/>
        <w:rPr>
          <w:rtl/>
        </w:rPr>
      </w:pPr>
      <w:bookmarkStart w:id="4249" w:name="_Toc11625350"/>
      <w:bookmarkStart w:id="4250" w:name="_Toc11664816"/>
      <w:r w:rsidRPr="0050146A">
        <w:rPr>
          <w:rFonts w:hint="cs"/>
          <w:rtl/>
        </w:rPr>
        <w:t>ביאור הרמב"ן והרשב"א אמאי דלא ילפינן גם מדם פר וגם מזרוע בשלה דהיא חידוש</w:t>
      </w:r>
      <w:bookmarkEnd w:id="4249"/>
      <w:bookmarkEnd w:id="4250"/>
    </w:p>
    <w:p w:rsidR="00925DF6" w:rsidRPr="0050146A" w:rsidRDefault="0088374B" w:rsidP="009F44AF">
      <w:pPr>
        <w:pStyle w:val="a"/>
        <w:rPr>
          <w:rtl/>
        </w:rPr>
      </w:pPr>
      <w:r w:rsidRPr="0050146A">
        <w:rPr>
          <w:rFonts w:hint="cs"/>
          <w:rtl/>
        </w:rPr>
        <w:t xml:space="preserve">והוסיף </w:t>
      </w:r>
      <w:r w:rsidRPr="0050146A">
        <w:rPr>
          <w:rStyle w:val="af8"/>
          <w:rFonts w:hint="cs"/>
          <w:rtl/>
        </w:rPr>
        <w:t>הרמב"ן</w:t>
      </w:r>
      <w:r w:rsidRPr="0050146A">
        <w:rPr>
          <w:rFonts w:hint="cs"/>
          <w:rtl/>
        </w:rPr>
        <w:t xml:space="preserve"> דהא דמקשה הגמ' דמאי חזית דילפינן מדם פר ודם שעיר, ולא מזרוע בשלה, אין כוונת הגמ' לומר דא"א ללמוד משניהם דהם סותרים זה את זה, דהא אפשר ללמוד משניהם, אם זרוע בשלה לא הייתה חידוש, </w:t>
      </w:r>
      <w:r w:rsidRPr="0050146A">
        <w:rPr>
          <w:rStyle w:val="afa"/>
          <w:rFonts w:hint="cs"/>
          <w:rtl/>
        </w:rPr>
        <w:t>[דמדם ילפינן דבפחות משישים דאין ביטול במין במינו, ומזרוע בשלה ילפינן דבשישים יש ביטול],</w:t>
      </w:r>
      <w:r w:rsidRPr="0050146A">
        <w:rPr>
          <w:rFonts w:hint="cs"/>
          <w:rtl/>
        </w:rPr>
        <w:t xml:space="preserve"> אלא דכוונת הגמ' לומר דאף אם הייתה סתירה בין הילפותות, לא ילפינן מזרוע בשלה דהוא חידוש, ועוד ביארו </w:t>
      </w:r>
      <w:r w:rsidRPr="0050146A">
        <w:rPr>
          <w:rStyle w:val="af8"/>
          <w:rFonts w:hint="cs"/>
          <w:rtl/>
        </w:rPr>
        <w:t>הרמב"ן</w:t>
      </w:r>
      <w:r w:rsidRPr="0050146A">
        <w:rPr>
          <w:rFonts w:hint="cs"/>
          <w:rtl/>
        </w:rPr>
        <w:t xml:space="preserve"> </w:t>
      </w:r>
      <w:r w:rsidRPr="0050146A">
        <w:rPr>
          <w:rStyle w:val="af8"/>
          <w:rFonts w:hint="cs"/>
          <w:rtl/>
        </w:rPr>
        <w:t>והרשב"א</w:t>
      </w:r>
      <w:r w:rsidRPr="0050146A">
        <w:rPr>
          <w:rFonts w:hint="cs"/>
          <w:rtl/>
        </w:rPr>
        <w:t xml:space="preserve"> דכוונת הגמ' להקשות דאמאי ילפינן רק מדם פר ושעיר, ולא ילפינן גם מזרוע בשלה, הא אפשר ללמוד משניהם.</w:t>
      </w:r>
    </w:p>
    <w:p w:rsidR="0088374B" w:rsidRPr="0050146A" w:rsidRDefault="0088374B" w:rsidP="0088374B">
      <w:pPr>
        <w:pStyle w:val="a2"/>
        <w:rPr>
          <w:rtl/>
        </w:rPr>
      </w:pPr>
      <w:bookmarkStart w:id="4251" w:name="_Toc11625351"/>
      <w:bookmarkStart w:id="4252" w:name="_Toc11664817"/>
      <w:r w:rsidRPr="0050146A">
        <w:rPr>
          <w:rFonts w:hint="cs"/>
          <w:rtl/>
        </w:rPr>
        <w:t>דברי הרמב"ן דא"א לומר דהילפותא מזרוע בשלה היא דאו' [לאביי] דא"כ זהו המקור לטע"כ</w:t>
      </w:r>
      <w:bookmarkEnd w:id="4251"/>
      <w:bookmarkEnd w:id="4252"/>
    </w:p>
    <w:p w:rsidR="0088374B" w:rsidRPr="0050146A" w:rsidRDefault="0088374B" w:rsidP="009F44AF">
      <w:pPr>
        <w:pStyle w:val="a"/>
        <w:rPr>
          <w:rtl/>
        </w:rPr>
      </w:pPr>
      <w:bookmarkStart w:id="4253" w:name="_Ref11614663"/>
      <w:r w:rsidRPr="0050146A">
        <w:rPr>
          <w:rFonts w:hint="cs"/>
          <w:rtl/>
        </w:rPr>
        <w:t xml:space="preserve">ובתירוץ הגמ' דהא דילפינן מזרוע בשלה דמהני ביטול בשישים במין בשאינו מינו, דהוא חומרא דמדאו' חד בתרי בטיל, הביא </w:t>
      </w:r>
      <w:r w:rsidRPr="0050146A">
        <w:rPr>
          <w:rStyle w:val="af8"/>
          <w:rFonts w:hint="cs"/>
          <w:rtl/>
        </w:rPr>
        <w:t>הרמב"ן</w:t>
      </w:r>
      <w:r w:rsidRPr="0050146A">
        <w:rPr>
          <w:rFonts w:hint="cs"/>
          <w:rtl/>
        </w:rPr>
        <w:t xml:space="preserve"> את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Ref11180995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דביאר דלולא הילפותא מזרוע בשלה, היה מהני בטעם ביטול ברוב, ולכן זרוע בשלה הוא חומרא, וכתב </w:t>
      </w:r>
      <w:r w:rsidRPr="0050146A">
        <w:rPr>
          <w:rStyle w:val="af8"/>
          <w:rFonts w:hint="cs"/>
          <w:rtl/>
        </w:rPr>
        <w:t>הרמב"ן</w:t>
      </w:r>
      <w:r w:rsidRPr="0050146A">
        <w:rPr>
          <w:rFonts w:hint="cs"/>
          <w:rtl/>
        </w:rPr>
        <w:t xml:space="preserve"> דא"א להעלות על הדעת דהילפותא מזרוע בשלה היא מדאו', דא"כ זהו מקור לדין טעם כעיקר, ועי' במה שביאר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Ref11688482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r w:rsidRPr="0050146A">
        <w:rPr>
          <w:rFonts w:hint="cs"/>
          <w:rtl/>
        </w:rPr>
        <w:t>.</w:t>
      </w:r>
      <w:bookmarkEnd w:id="4253"/>
    </w:p>
    <w:p w:rsidR="0088374B" w:rsidRPr="0050146A" w:rsidRDefault="0088374B" w:rsidP="0088374B">
      <w:pPr>
        <w:pStyle w:val="a2"/>
      </w:pPr>
      <w:bookmarkStart w:id="4254" w:name="_Toc11625352"/>
      <w:bookmarkStart w:id="4255" w:name="_Toc11664818"/>
      <w:r w:rsidRPr="0050146A">
        <w:rPr>
          <w:rFonts w:hint="cs"/>
          <w:rtl/>
        </w:rPr>
        <w:t>דברי הרמב"ן דבזרוע בשלה מבואר שא"צ להחמיר ביותר משישים אך א"א להוכיח דצריך שישים</w:t>
      </w:r>
      <w:bookmarkEnd w:id="4254"/>
      <w:bookmarkEnd w:id="4255"/>
    </w:p>
    <w:p w:rsidR="0088374B" w:rsidRPr="0050146A" w:rsidRDefault="0088374B" w:rsidP="009F44AF">
      <w:pPr>
        <w:pStyle w:val="a"/>
        <w:rPr>
          <w:rStyle w:val="afa"/>
          <w:rtl/>
        </w:rPr>
      </w:pPr>
      <w:r w:rsidRPr="0050146A">
        <w:rPr>
          <w:rFonts w:hint="cs"/>
          <w:rtl/>
        </w:rPr>
        <w:t xml:space="preserve">אלא ביאר </w:t>
      </w:r>
      <w:r w:rsidRPr="0050146A">
        <w:rPr>
          <w:rStyle w:val="af8"/>
          <w:rFonts w:hint="cs"/>
          <w:rtl/>
        </w:rPr>
        <w:t>הרמב"ן</w:t>
      </w:r>
      <w:r w:rsidRPr="0050146A">
        <w:rPr>
          <w:rFonts w:hint="cs"/>
          <w:rtl/>
        </w:rPr>
        <w:t xml:space="preserve"> דכוונת הגמ' לומר דמזרוע בשלה ילפינן שא"צ להחמיר ביותר משישים, אך א"א ללמוד מזרוע בשלה שצריך ביטול בשישים, </w:t>
      </w:r>
      <w:r w:rsidRPr="0050146A">
        <w:rPr>
          <w:rStyle w:val="afa"/>
          <w:rFonts w:hint="cs"/>
          <w:rtl/>
        </w:rPr>
        <w:t xml:space="preserve">[ולא סגי בפחות משישים], </w:t>
      </w:r>
      <w:r w:rsidRPr="0050146A">
        <w:rPr>
          <w:rFonts w:hint="cs"/>
          <w:rtl/>
        </w:rPr>
        <w:t xml:space="preserve">דהא אפשר לדחות דבזרוע בשלה חידשה תורה דצריך דוקא שישים, כיון שמותר לבטל את האיסור לכתחילה, אבל במקום שבדיעבד התערב איסור בהיתר א"צ שישים, ועוד דא"א להוכיח מהא דהחמירה תורה בקדשים שצריך שישים, דאף בחולין צריך שישים, והוסיף </w:t>
      </w:r>
      <w:r w:rsidRPr="0050146A">
        <w:rPr>
          <w:rStyle w:val="af8"/>
          <w:rFonts w:hint="cs"/>
          <w:rtl/>
        </w:rPr>
        <w:t>הרמב"ן</w:t>
      </w:r>
      <w:r w:rsidRPr="0050146A">
        <w:rPr>
          <w:rFonts w:hint="cs"/>
          <w:rtl/>
        </w:rPr>
        <w:t xml:space="preserve"> דכיון שיש באיל שישים, ולא הצריכה תורה לחתוך ממנו מקצת, </w:t>
      </w:r>
      <w:r w:rsidRPr="0050146A">
        <w:rPr>
          <w:rStyle w:val="afa"/>
          <w:rFonts w:hint="cs"/>
          <w:rtl/>
        </w:rPr>
        <w:t>[דהיינו דבמציאות יש בו מאה ושישים],</w:t>
      </w:r>
      <w:r w:rsidRPr="0050146A">
        <w:rPr>
          <w:rFonts w:hint="cs"/>
          <w:rtl/>
        </w:rPr>
        <w:t xml:space="preserve"> ואם היה בפחות משישים ג"כ היה מותר. </w:t>
      </w:r>
      <w:r w:rsidRPr="0050146A">
        <w:rPr>
          <w:rStyle w:val="afa"/>
          <w:rFonts w:hint="cs"/>
          <w:rtl/>
        </w:rPr>
        <w:t>[דאף אם במציאות הייתה בו פחות משישים היה מותר].</w:t>
      </w:r>
    </w:p>
    <w:p w:rsidR="0088374B" w:rsidRPr="0050146A" w:rsidRDefault="0088374B" w:rsidP="0088374B">
      <w:pPr>
        <w:pStyle w:val="a2"/>
        <w:rPr>
          <w:rtl/>
        </w:rPr>
      </w:pPr>
      <w:bookmarkStart w:id="4256" w:name="_Toc11625353"/>
      <w:bookmarkStart w:id="4257" w:name="_Toc11664819"/>
      <w:r w:rsidRPr="0050146A">
        <w:rPr>
          <w:rFonts w:hint="cs"/>
          <w:rtl/>
        </w:rPr>
        <w:t>דברי הרמב"ן דזרוע בשלה היא אסמכתא וכתב הרמב"ן דכן מבואר ברש"י בדעת רבא</w:t>
      </w:r>
      <w:bookmarkEnd w:id="4256"/>
      <w:bookmarkEnd w:id="4257"/>
    </w:p>
    <w:p w:rsidR="0088374B" w:rsidRPr="0050146A" w:rsidRDefault="0088374B" w:rsidP="009F44AF">
      <w:pPr>
        <w:pStyle w:val="a"/>
        <w:rPr>
          <w:rtl/>
        </w:rPr>
      </w:pPr>
      <w:r w:rsidRPr="0050146A">
        <w:rPr>
          <w:rFonts w:hint="cs"/>
          <w:rtl/>
        </w:rPr>
        <w:t xml:space="preserve">אלא כתב </w:t>
      </w:r>
      <w:r w:rsidRPr="0050146A">
        <w:rPr>
          <w:rStyle w:val="af8"/>
          <w:rFonts w:hint="cs"/>
          <w:rtl/>
        </w:rPr>
        <w:t>הרמב"ן</w:t>
      </w:r>
      <w:r w:rsidRPr="0050146A">
        <w:rPr>
          <w:rFonts w:hint="cs"/>
          <w:rtl/>
        </w:rPr>
        <w:t xml:space="preserve"> דהילפותא דזרוע בשלה היא אסמכתא, והוסיף </w:t>
      </w:r>
      <w:r w:rsidRPr="0050146A">
        <w:rPr>
          <w:rStyle w:val="af8"/>
          <w:rFonts w:hint="cs"/>
          <w:rtl/>
        </w:rPr>
        <w:t>הרמב"ן</w:t>
      </w:r>
      <w:r w:rsidRPr="0050146A">
        <w:rPr>
          <w:rFonts w:hint="cs"/>
          <w:rtl/>
        </w:rPr>
        <w:t xml:space="preserve"> דכן מבואר 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דכתב בדעת רבא, דס"ל לרבא דטעם כעיקר בחולין הוא מדרבנן.</w:t>
      </w:r>
    </w:p>
    <w:p w:rsidR="0088374B" w:rsidRPr="0050146A" w:rsidRDefault="0088374B" w:rsidP="0088374B">
      <w:pPr>
        <w:pStyle w:val="1"/>
        <w:rPr>
          <w:rtl/>
        </w:rPr>
      </w:pPr>
      <w:bookmarkStart w:id="4258" w:name="_Toc11625354"/>
      <w:bookmarkStart w:id="4259" w:name="_Toc11664820"/>
      <w:r w:rsidRPr="0050146A">
        <w:rPr>
          <w:rFonts w:hint="cs"/>
          <w:rtl/>
        </w:rPr>
        <w:t>דברי הריטב"א בביאור הילפותא מזרוע בשלה</w:t>
      </w:r>
      <w:bookmarkEnd w:id="4258"/>
      <w:bookmarkEnd w:id="4259"/>
    </w:p>
    <w:p w:rsidR="0088374B" w:rsidRPr="0050146A" w:rsidRDefault="0088374B" w:rsidP="0088374B">
      <w:pPr>
        <w:pStyle w:val="a2"/>
        <w:rPr>
          <w:rtl/>
        </w:rPr>
      </w:pPr>
      <w:bookmarkStart w:id="4260" w:name="_Toc11625355"/>
      <w:bookmarkStart w:id="4261" w:name="_Toc11664821"/>
      <w:r w:rsidRPr="0050146A">
        <w:rPr>
          <w:rFonts w:hint="cs"/>
          <w:rtl/>
        </w:rPr>
        <w:t>קושית הריטב"א דהיאך מוכח מזרוע בשלה דמהני ביטול בשישים הא היא מין במינו דחד בתרי בטיל</w:t>
      </w:r>
      <w:bookmarkEnd w:id="4260"/>
      <w:bookmarkEnd w:id="4261"/>
    </w:p>
    <w:p w:rsidR="002D7168" w:rsidRDefault="0088374B" w:rsidP="009F44AF">
      <w:pPr>
        <w:pStyle w:val="a"/>
        <w:rPr>
          <w:rtl/>
        </w:rPr>
      </w:pPr>
      <w:bookmarkStart w:id="4262" w:name="_Ref11621657"/>
      <w:bookmarkStart w:id="4263" w:name="_Ref11622534"/>
      <w:r w:rsidRPr="0050146A">
        <w:rPr>
          <w:rStyle w:val="af8"/>
          <w:rFonts w:hint="cs"/>
          <w:rtl/>
        </w:rPr>
        <w:t>והריטב"א</w:t>
      </w:r>
      <w:r w:rsidRPr="0050146A">
        <w:rPr>
          <w:rFonts w:hint="cs"/>
          <w:rtl/>
        </w:rPr>
        <w:t xml:space="preserve"> </w:t>
      </w:r>
      <w:r w:rsidRPr="0050146A">
        <w:rPr>
          <w:rStyle w:val="af6"/>
          <w:rFonts w:eastAsia="Guttman Hodes" w:hint="cs"/>
          <w:rtl/>
        </w:rPr>
        <w:t>(צח. ד"ה ושניהם)</w:t>
      </w:r>
      <w:r w:rsidRPr="0050146A">
        <w:rPr>
          <w:rFonts w:hint="cs"/>
          <w:rtl/>
        </w:rPr>
        <w:t xml:space="preserve"> הקשה היאך ילפינן מזרוע בשלה למין בשאינו מינו, והא מדרבנן צריך לבטל את הטעם בין במין במינו, ובין במין בשאינו מינו, ולכן צריך שישים או מאה, וא"כ מנלן דבזרוע בשלה אם היה מין בשאינו מינו לא הייתה בה נתינת טעם, הא יתכן לומר דבאמת בזרוע בשלה יש נתינת טעם, ודוקא כיון שהוא מין במינו התירה התורה, דהא מדאו' מין במינו חד בתרי בטיל, אבל אם היו מין בשאינו מינו הייתה בזה נתינת טעם בודאי, ועי' במה שהקשה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Ref11621600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50146A">
        <w:rPr>
          <w:rStyle w:val="af6"/>
          <w:rFonts w:eastAsia="Guttman Hodes"/>
          <w:rtl/>
        </w:rPr>
        <w:fldChar w:fldCharType="end"/>
      </w:r>
      <w:r w:rsidRPr="0050146A">
        <w:rPr>
          <w:rFonts w:hint="cs"/>
          <w:rtl/>
        </w:rPr>
        <w:t xml:space="preserve"> על דברי </w:t>
      </w:r>
      <w:r w:rsidRPr="0050146A">
        <w:rPr>
          <w:rStyle w:val="af8"/>
          <w:rFonts w:hint="cs"/>
          <w:rtl/>
        </w:rPr>
        <w:t>רש"י</w:t>
      </w:r>
      <w:bookmarkStart w:id="4264" w:name="_Ref11621706"/>
      <w:bookmarkEnd w:id="4262"/>
      <w:r w:rsidRPr="0050146A">
        <w:rPr>
          <w:rFonts w:hint="cs"/>
          <w:rtl/>
        </w:rPr>
        <w:t xml:space="preserve">, ותירץ </w:t>
      </w:r>
      <w:r w:rsidRPr="0050146A">
        <w:rPr>
          <w:rStyle w:val="af8"/>
          <w:rFonts w:hint="cs"/>
          <w:rtl/>
        </w:rPr>
        <w:t>הריטב"א</w:t>
      </w:r>
      <w:r w:rsidRPr="0050146A">
        <w:rPr>
          <w:rFonts w:hint="cs"/>
          <w:rtl/>
        </w:rPr>
        <w:t xml:space="preserve"> בשם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Ref11098419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Fonts w:hint="cs"/>
          <w:rtl/>
        </w:rPr>
        <w:t xml:space="preserve"> דהילפותא דזרוע בשלה אינה ילפותא גמורה, והיה קבלה דהשיעור הוא בשישים, ושהוא אסמכתא מזרוע בשלה.</w:t>
      </w:r>
      <w:bookmarkEnd w:id="4263"/>
    </w:p>
    <w:p w:rsidR="0088374B" w:rsidRPr="0050146A" w:rsidRDefault="0088374B" w:rsidP="0088374B">
      <w:pPr>
        <w:pStyle w:val="a2"/>
      </w:pPr>
      <w:bookmarkStart w:id="4265" w:name="_Toc11625356"/>
      <w:bookmarkStart w:id="4266" w:name="_Toc11664822"/>
      <w:r w:rsidRPr="0050146A">
        <w:rPr>
          <w:rFonts w:hint="cs"/>
          <w:rtl/>
        </w:rPr>
        <w:t>דברי הריטב"א דקושית הגמ' דבברייתא משמע דבשאר איסורים בשישים אסור מדרבנן דיש בו טעם</w:t>
      </w:r>
      <w:bookmarkEnd w:id="4265"/>
      <w:bookmarkEnd w:id="4266"/>
    </w:p>
    <w:p w:rsidR="0088374B" w:rsidRPr="0050146A" w:rsidRDefault="0088374B" w:rsidP="009F44AF">
      <w:pPr>
        <w:pStyle w:val="a"/>
        <w:rPr>
          <w:rtl/>
        </w:rPr>
      </w:pPr>
      <w:r w:rsidRPr="0050146A">
        <w:rPr>
          <w:rFonts w:hint="cs"/>
          <w:rtl/>
        </w:rPr>
        <w:t xml:space="preserve">, ובקושית הגמ' דמשמע בברייתא דזהו היתר הבא מכלל איסור, ביאר </w:t>
      </w:r>
      <w:r w:rsidRPr="0050146A">
        <w:rPr>
          <w:rStyle w:val="af8"/>
          <w:rFonts w:hint="cs"/>
          <w:rtl/>
        </w:rPr>
        <w:t>הריטב"א</w:t>
      </w:r>
      <w:r w:rsidRPr="0050146A">
        <w:rPr>
          <w:rFonts w:hint="cs"/>
          <w:rtl/>
        </w:rPr>
        <w:t xml:space="preserve"> דכוונת הגמ' להקשות דמשמע דשיעור כזה אסור מדרבנן בשאר איסורים, כיון שיש בו טעם.</w:t>
      </w:r>
      <w:bookmarkEnd w:id="4264"/>
    </w:p>
    <w:p w:rsidR="0088374B" w:rsidRPr="0050146A" w:rsidRDefault="0088374B" w:rsidP="0088374B">
      <w:pPr>
        <w:pStyle w:val="a2"/>
        <w:rPr>
          <w:rtl/>
        </w:rPr>
      </w:pPr>
      <w:bookmarkStart w:id="4267" w:name="_Toc11625357"/>
      <w:bookmarkStart w:id="4268" w:name="_Toc11664823"/>
      <w:r w:rsidRPr="0050146A">
        <w:rPr>
          <w:rFonts w:hint="cs"/>
          <w:rtl/>
        </w:rPr>
        <w:t>ביאור הריטב"א דבקושיה דזרוע בשלה היא חידוש הו"א דהוא דרשה גמורה וקמ"ל דהיא לחומרא</w:t>
      </w:r>
      <w:bookmarkEnd w:id="4267"/>
      <w:bookmarkEnd w:id="4268"/>
    </w:p>
    <w:p w:rsidR="00925DF6" w:rsidRPr="0050146A" w:rsidRDefault="0088374B" w:rsidP="009F44AF">
      <w:pPr>
        <w:pStyle w:val="a"/>
        <w:rPr>
          <w:rtl/>
        </w:rPr>
      </w:pPr>
      <w:bookmarkStart w:id="4269" w:name="_Ref11231807"/>
      <w:r w:rsidRPr="0050146A">
        <w:rPr>
          <w:rFonts w:hint="cs"/>
          <w:rtl/>
        </w:rPr>
        <w:t xml:space="preserve">ובקושית הגמ' דאי זרוע בשלה הוא חידוש, א"כ היאך אפשר ללמוד מזה לשישים ומאה, כתב </w:t>
      </w:r>
      <w:r w:rsidRPr="0050146A">
        <w:rPr>
          <w:rStyle w:val="af8"/>
          <w:rFonts w:hint="cs"/>
          <w:rtl/>
        </w:rPr>
        <w:t xml:space="preserve">הריטב"א </w:t>
      </w:r>
      <w:r w:rsidRPr="0050146A">
        <w:rPr>
          <w:rStyle w:val="af6"/>
          <w:rFonts w:eastAsia="Guttman Hodes" w:hint="cs"/>
          <w:rtl/>
        </w:rPr>
        <w:t xml:space="preserve">(ד"ה אי הכי) </w:t>
      </w:r>
      <w:r w:rsidRPr="0050146A">
        <w:rPr>
          <w:rFonts w:hint="cs"/>
          <w:rtl/>
        </w:rPr>
        <w:t xml:space="preserve">דהבינה הגמ' </w:t>
      </w:r>
      <w:r w:rsidRPr="0050146A">
        <w:rPr>
          <w:rFonts w:hint="cs"/>
          <w:rtl/>
        </w:rPr>
        <w:t xml:space="preserve">בקושיה דהילפותא מזרוע בשלה היא ילפותא גמורה, וא"כ קשה דזרוע בשלה היא חידוש דמותר לבטל בה איסור לכתחילה, וא"א ללמוד מזה דבדיעבד מהני ביטול בשישים או במאה, לר"י במין בשאינו מינו ולרבנן אף במין במינו, וע"ז תירצה הגמ' דלא ילפינן מזרוע בשלה ילפותא גמורה אף לקולא, אלא רק לחומרא ילפינן ממנה, דהא מדאו' חד בתרי בטיל. </w:t>
      </w:r>
      <w:r w:rsidRPr="0050146A">
        <w:rPr>
          <w:rStyle w:val="afa"/>
          <w:rFonts w:hint="cs"/>
          <w:rtl/>
        </w:rPr>
        <w:t xml:space="preserve">[מבואר מדברי </w:t>
      </w:r>
      <w:r w:rsidRPr="0050146A">
        <w:rPr>
          <w:rStyle w:val="affa"/>
          <w:rFonts w:hint="cs"/>
          <w:rtl/>
        </w:rPr>
        <w:t>הריטב"א</w:t>
      </w:r>
      <w:r w:rsidRPr="0050146A">
        <w:rPr>
          <w:rStyle w:val="afa"/>
          <w:rFonts w:hint="cs"/>
          <w:rtl/>
        </w:rPr>
        <w:t xml:space="preserve"> דהא דא"א למילף מזרוע בשלה, אינו רק מחמת שיש בה חידוש דמבטלין איסור לכתחילה, אלא דעצם ההיתר בשישים נאמר רק במקום שמותר לבטל לכתחילה, ולא במקום שבדיעבד התערב איסור בהיתר, ועי' בדברי </w:t>
      </w:r>
      <w:r w:rsidRPr="0050146A">
        <w:rPr>
          <w:rStyle w:val="affa"/>
          <w:rFonts w:hint="cs"/>
          <w:rtl/>
        </w:rPr>
        <w:t>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Ref11144652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ג)</w:t>
      </w:r>
      <w:r w:rsidRPr="0050146A">
        <w:rPr>
          <w:rStyle w:val="aff6"/>
          <w:rtl/>
        </w:rPr>
        <w:fldChar w:fldCharType="end"/>
      </w:r>
      <w:r w:rsidRPr="0050146A">
        <w:rPr>
          <w:rStyle w:val="afa"/>
          <w:rFonts w:hint="cs"/>
          <w:rtl/>
        </w:rPr>
        <w:t>].</w:t>
      </w:r>
      <w:bookmarkEnd w:id="4269"/>
    </w:p>
    <w:p w:rsidR="0088374B" w:rsidRPr="0050146A" w:rsidRDefault="0088374B" w:rsidP="0088374B">
      <w:pPr>
        <w:pStyle w:val="1"/>
        <w:rPr>
          <w:rtl/>
        </w:rPr>
      </w:pPr>
      <w:bookmarkStart w:id="4270" w:name="_Toc11625358"/>
      <w:bookmarkStart w:id="4271" w:name="_Toc11664824"/>
      <w:r w:rsidRPr="0050146A">
        <w:rPr>
          <w:rFonts w:hint="cs"/>
          <w:rtl/>
        </w:rPr>
        <w:t>ביאור הר"ן דשישים הוא חומרא דרבנן דהשוו מדותיהם</w:t>
      </w:r>
      <w:bookmarkEnd w:id="4270"/>
      <w:bookmarkEnd w:id="4271"/>
    </w:p>
    <w:p w:rsidR="0088374B" w:rsidRPr="0050146A" w:rsidRDefault="0088374B" w:rsidP="0088374B">
      <w:pPr>
        <w:pStyle w:val="a2"/>
        <w:rPr>
          <w:rtl/>
        </w:rPr>
      </w:pPr>
      <w:bookmarkStart w:id="4272" w:name="_Toc11625359"/>
      <w:bookmarkStart w:id="4273" w:name="_Toc11664825"/>
      <w:r w:rsidRPr="0050146A">
        <w:rPr>
          <w:rFonts w:hint="cs"/>
          <w:rtl/>
        </w:rPr>
        <w:t>דברי הר"ן במין במינו מדאו' בטל ברוב ובמין בשאינו מינו מדאו' בטעם ל"מ ביטול ברוב ובשישים</w:t>
      </w:r>
      <w:bookmarkEnd w:id="4272"/>
      <w:bookmarkEnd w:id="4273"/>
      <w:r w:rsidRPr="0050146A">
        <w:rPr>
          <w:rFonts w:hint="cs"/>
          <w:rtl/>
        </w:rPr>
        <w:t xml:space="preserve"> </w:t>
      </w:r>
    </w:p>
    <w:p w:rsidR="0088374B" w:rsidRPr="0050146A" w:rsidRDefault="0088374B" w:rsidP="009F44AF">
      <w:pPr>
        <w:pStyle w:val="a"/>
        <w:rPr>
          <w:rtl/>
        </w:rPr>
      </w:pPr>
      <w:bookmarkStart w:id="4274" w:name="_Ref11625573"/>
      <w:r w:rsidRPr="0050146A">
        <w:rPr>
          <w:rFonts w:hint="cs"/>
          <w:rtl/>
        </w:rPr>
        <w:t xml:space="preserve">בהא דאמר רבא לעיל </w:t>
      </w:r>
      <w:r w:rsidRPr="0050146A">
        <w:rPr>
          <w:rStyle w:val="af6"/>
          <w:rFonts w:eastAsia="Guttman Hodes" w:hint="cs"/>
          <w:rtl/>
        </w:rPr>
        <w:t>(צז:)</w:t>
      </w:r>
      <w:r w:rsidRPr="0050146A">
        <w:rPr>
          <w:rFonts w:hint="cs"/>
          <w:rtl/>
        </w:rPr>
        <w:t xml:space="preserve"> דמין במינו ברוב ומין בשאינו מינו בטעם, כתב </w:t>
      </w:r>
      <w:r w:rsidRPr="0050146A">
        <w:rPr>
          <w:rStyle w:val="af8"/>
          <w:rFonts w:hint="cs"/>
          <w:rtl/>
        </w:rPr>
        <w:t>הר"ן על הרי"ף</w:t>
      </w:r>
      <w:r w:rsidRPr="0050146A">
        <w:rPr>
          <w:rFonts w:hint="cs"/>
          <w:rtl/>
        </w:rPr>
        <w:t xml:space="preserve"> </w:t>
      </w:r>
      <w:r w:rsidRPr="0050146A">
        <w:rPr>
          <w:rStyle w:val="af6"/>
          <w:rFonts w:eastAsia="Guttman Hodes" w:hint="cs"/>
          <w:rtl/>
        </w:rPr>
        <w:t>(לה. מדפי הרי"ף)</w:t>
      </w:r>
      <w:r w:rsidRPr="0050146A">
        <w:rPr>
          <w:rFonts w:hint="cs"/>
          <w:rtl/>
        </w:rPr>
        <w:t xml:space="preserve"> דכיון דאמר רבא דהביטול במין במינו הוא ברוב, א"כ מבואר דכוונתו לביטול דאו', דהא מדרבנן צריך שישים, אף במין במינו, וכדאמר רבא לעיל </w:t>
      </w:r>
      <w:r w:rsidRPr="0050146A">
        <w:rPr>
          <w:rStyle w:val="af6"/>
          <w:rFonts w:eastAsia="Guttman Hodes" w:hint="cs"/>
          <w:rtl/>
        </w:rPr>
        <w:t>(צז:)</w:t>
      </w:r>
      <w:r w:rsidRPr="0050146A">
        <w:rPr>
          <w:rFonts w:hint="cs"/>
          <w:rtl/>
        </w:rPr>
        <w:t xml:space="preserve"> דמין במינו בשישים, וכתב </w:t>
      </w:r>
      <w:r w:rsidRPr="0050146A">
        <w:rPr>
          <w:rStyle w:val="af8"/>
          <w:rFonts w:hint="cs"/>
          <w:rtl/>
        </w:rPr>
        <w:t>הר"ן</w:t>
      </w:r>
      <w:r w:rsidRPr="0050146A">
        <w:rPr>
          <w:rFonts w:hint="cs"/>
          <w:rtl/>
        </w:rPr>
        <w:t xml:space="preserve"> דא"כ מבואר דהא דמין בשאינו מינו בטעמא, הוא ג"כ מדאו', ואינו מתבטל ברוב, ועי' בדברי </w:t>
      </w:r>
      <w:r w:rsidRPr="0050146A">
        <w:rPr>
          <w:rStyle w:val="af8"/>
          <w:rFonts w:hint="cs"/>
          <w:rtl/>
        </w:rPr>
        <w:t>הפרמ"ג והגרעק"א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Ref11615418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קטז)</w:t>
      </w:r>
      <w:r w:rsidRPr="0050146A">
        <w:rPr>
          <w:rStyle w:val="af6"/>
          <w:rFonts w:eastAsia="Guttman Hodes"/>
          <w:rtl/>
        </w:rPr>
        <w:fldChar w:fldCharType="end"/>
      </w:r>
      <w:r w:rsidRPr="0050146A">
        <w:rPr>
          <w:rFonts w:hint="cs"/>
          <w:rtl/>
        </w:rPr>
        <w:t xml:space="preserve"> דכתבו דמבואר </w:t>
      </w:r>
      <w:r w:rsidRPr="0050146A">
        <w:rPr>
          <w:rStyle w:val="af8"/>
          <w:rFonts w:hint="cs"/>
          <w:rtl/>
        </w:rPr>
        <w:t>בר"ן</w:t>
      </w:r>
      <w:r w:rsidRPr="0050146A">
        <w:rPr>
          <w:rFonts w:hint="cs"/>
          <w:rtl/>
        </w:rPr>
        <w:t xml:space="preserve"> דאף במקום שיש שישים ונשאר טעם, דאינו בטל מדאו', ופליג על </w:t>
      </w:r>
      <w:r w:rsidRPr="0050146A">
        <w:rPr>
          <w:rStyle w:val="af8"/>
          <w:rFonts w:hint="cs"/>
          <w:rtl/>
        </w:rPr>
        <w:t>האיסור והיתר הארוך</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Ref11615442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קיג)</w:t>
      </w:r>
      <w:r w:rsidRPr="0050146A">
        <w:rPr>
          <w:rStyle w:val="af6"/>
          <w:rFonts w:eastAsia="Guttman Hodes"/>
          <w:rtl/>
        </w:rPr>
        <w:fldChar w:fldCharType="end"/>
      </w:r>
      <w:r w:rsidRPr="0050146A">
        <w:rPr>
          <w:rFonts w:hint="cs"/>
          <w:rtl/>
        </w:rPr>
        <w:t xml:space="preserve"> דכתב דהוא דרבנן.</w:t>
      </w:r>
      <w:bookmarkEnd w:id="4274"/>
    </w:p>
    <w:p w:rsidR="0088374B" w:rsidRPr="0050146A" w:rsidRDefault="0088374B" w:rsidP="0088374B">
      <w:pPr>
        <w:pStyle w:val="a2"/>
      </w:pPr>
      <w:bookmarkStart w:id="4275" w:name="_Toc11625360"/>
      <w:bookmarkStart w:id="4276" w:name="_Toc11664826"/>
      <w:r w:rsidRPr="0050146A">
        <w:rPr>
          <w:rFonts w:hint="cs"/>
          <w:rtl/>
        </w:rPr>
        <w:t>דברי הר"ן דבמקום שאין טעם מהני ביטול ברוב ושיעור שישים בכל האיסורים הוא חומרא דרבנן</w:t>
      </w:r>
      <w:bookmarkEnd w:id="4275"/>
      <w:bookmarkEnd w:id="4276"/>
    </w:p>
    <w:p w:rsidR="0088374B" w:rsidRPr="0050146A" w:rsidRDefault="0088374B" w:rsidP="009F44AF">
      <w:pPr>
        <w:pStyle w:val="a"/>
        <w:rPr>
          <w:rtl/>
        </w:rPr>
      </w:pPr>
      <w:r w:rsidRPr="0050146A">
        <w:rPr>
          <w:rFonts w:hint="cs"/>
          <w:rtl/>
        </w:rPr>
        <w:t xml:space="preserve">אך כתב </w:t>
      </w:r>
      <w:r w:rsidRPr="0050146A">
        <w:rPr>
          <w:rStyle w:val="af8"/>
          <w:rFonts w:hint="cs"/>
          <w:rtl/>
        </w:rPr>
        <w:t>הר"ן על הרי"ף</w:t>
      </w:r>
      <w:r w:rsidRPr="0050146A">
        <w:rPr>
          <w:rFonts w:hint="cs"/>
          <w:rtl/>
        </w:rPr>
        <w:t xml:space="preserve"> דמ"מ בכל מקום שאין נתינת טעם מהני ביטול ברוב, וכיון שאין איסור דאו' שנותן טעם ביותר משישים, ויש הרבה איסורים שאינם נותנים טעם אף בעשרים, א"כ מבואר דהא דבכל האיסורים השיעור הוא שישים, היינו חומרא מדרבנן דאסרו בפחות משישים אף במקום שאין בו טעם, אבל מדאו' כל שאין בו טעם מתבטל.</w:t>
      </w:r>
    </w:p>
    <w:p w:rsidR="0088374B" w:rsidRPr="0050146A" w:rsidRDefault="0088374B" w:rsidP="0088374B">
      <w:pPr>
        <w:pStyle w:val="a2"/>
        <w:rPr>
          <w:rtl/>
        </w:rPr>
      </w:pPr>
      <w:bookmarkStart w:id="4277" w:name="_Toc11625361"/>
      <w:bookmarkStart w:id="4278" w:name="_Toc11664827"/>
      <w:r w:rsidRPr="0050146A">
        <w:rPr>
          <w:rFonts w:hint="cs"/>
          <w:rtl/>
        </w:rPr>
        <w:t>דברי הר"ן דזרוע בשלה הוא אסמכתא דכל שאין טעם מהני מדאו' ביטול ברוב</w:t>
      </w:r>
      <w:bookmarkEnd w:id="4277"/>
      <w:bookmarkEnd w:id="4278"/>
    </w:p>
    <w:p w:rsidR="0088374B" w:rsidRPr="0050146A" w:rsidRDefault="0088374B" w:rsidP="009F44AF">
      <w:pPr>
        <w:pStyle w:val="a"/>
        <w:rPr>
          <w:rtl/>
        </w:rPr>
      </w:pPr>
      <w:bookmarkStart w:id="4279" w:name="_Ref11615673"/>
      <w:r w:rsidRPr="0050146A">
        <w:rPr>
          <w:rFonts w:hint="cs"/>
          <w:rtl/>
        </w:rPr>
        <w:t xml:space="preserve">והוסיף </w:t>
      </w:r>
      <w:r w:rsidRPr="0050146A">
        <w:rPr>
          <w:rStyle w:val="af8"/>
          <w:rFonts w:hint="cs"/>
          <w:rtl/>
        </w:rPr>
        <w:t>הר"ן על הרי"ף</w:t>
      </w:r>
      <w:r w:rsidRPr="0050146A">
        <w:rPr>
          <w:rFonts w:hint="cs"/>
          <w:rtl/>
        </w:rPr>
        <w:t xml:space="preserve"> דהילפותא מזרוע בשלה היא אסמכתא בעלמא, דהא מדאו' מין במינו בטל ברוב, ובמין בשאינו מינו כל שאין נתינת טעם של האיסור ג"כ מהני ביטול ברוב, וביאר </w:t>
      </w:r>
      <w:r w:rsidRPr="0050146A">
        <w:rPr>
          <w:rStyle w:val="af8"/>
          <w:rFonts w:hint="cs"/>
          <w:rtl/>
        </w:rPr>
        <w:t>הר"ן</w:t>
      </w:r>
      <w:r w:rsidRPr="0050146A">
        <w:rPr>
          <w:rFonts w:hint="cs"/>
          <w:rtl/>
        </w:rPr>
        <w:t xml:space="preserve"> דא"א ללמוד מזרוע בשלה דמדאו' השיעור הוא בשישים או במאה, דאפש"ל דמהני ביטול אף בפחות משישים, אלא דזרוע בשלה מצותו בכך שהזרוע והאיל יתבשלו יחד.</w:t>
      </w:r>
      <w:bookmarkEnd w:id="4279"/>
    </w:p>
    <w:p w:rsidR="0088374B" w:rsidRPr="0050146A" w:rsidRDefault="0088374B" w:rsidP="0088374B">
      <w:pPr>
        <w:pStyle w:val="a2"/>
      </w:pPr>
      <w:bookmarkStart w:id="4280" w:name="_Toc11625362"/>
      <w:bookmarkStart w:id="4281" w:name="_Toc11664828"/>
      <w:r w:rsidRPr="0050146A">
        <w:rPr>
          <w:rFonts w:hint="cs"/>
          <w:rtl/>
        </w:rPr>
        <w:t>ביאור הר"ן דהשוו חכמים מדותיהם בשישים כיון שיש איסורים שנותנים טעם בשישים</w:t>
      </w:r>
      <w:bookmarkEnd w:id="4280"/>
      <w:bookmarkEnd w:id="4281"/>
    </w:p>
    <w:p w:rsidR="0088374B" w:rsidRPr="0050146A" w:rsidRDefault="0088374B" w:rsidP="009F44AF">
      <w:pPr>
        <w:pStyle w:val="a"/>
        <w:rPr>
          <w:rtl/>
        </w:rPr>
      </w:pPr>
      <w:r w:rsidRPr="0050146A">
        <w:rPr>
          <w:rFonts w:hint="cs"/>
          <w:rtl/>
        </w:rPr>
        <w:t xml:space="preserve">אלא כתב </w:t>
      </w:r>
      <w:r w:rsidRPr="0050146A">
        <w:rPr>
          <w:rStyle w:val="af8"/>
          <w:rFonts w:hint="cs"/>
          <w:rtl/>
        </w:rPr>
        <w:t>הר"ן</w:t>
      </w:r>
      <w:r w:rsidRPr="0050146A">
        <w:rPr>
          <w:rFonts w:hint="cs"/>
          <w:rtl/>
        </w:rPr>
        <w:t xml:space="preserve"> </w:t>
      </w:r>
      <w:r w:rsidRPr="0050146A">
        <w:rPr>
          <w:rStyle w:val="af8"/>
          <w:rFonts w:hint="cs"/>
          <w:rtl/>
        </w:rPr>
        <w:t>על הרי"ף</w:t>
      </w:r>
      <w:r w:rsidRPr="0050146A">
        <w:rPr>
          <w:rFonts w:hint="cs"/>
          <w:rtl/>
        </w:rPr>
        <w:t xml:space="preserve"> דכל שיעור שישים בין במין במינו ובין במין בשאינו מינו הוא מדרבנן, אלא דכיון שיש איסורים כגון בצל בקפלוט שנותנים טעם בשישים, ובכה"ג האיסור הוא מדאו' דהא מין בשאינו מינו אסור מדאו' בנתינת טעם, לכן השוו רבנן את מדותיהם דכל הדברים שנותנים טעם, אינם מתבטלים בפחות משישים, אף שהטעם עצמו מתבטל ברוב האיסורים בפחות משישים.</w:t>
      </w:r>
    </w:p>
    <w:p w:rsidR="0088374B" w:rsidRPr="0050146A" w:rsidRDefault="0088374B" w:rsidP="0088374B">
      <w:pPr>
        <w:pStyle w:val="a2"/>
        <w:rPr>
          <w:rtl/>
        </w:rPr>
      </w:pPr>
      <w:bookmarkStart w:id="4282" w:name="_Toc11625363"/>
      <w:bookmarkStart w:id="4283" w:name="_Toc11664829"/>
      <w:r w:rsidRPr="0050146A">
        <w:rPr>
          <w:rFonts w:hint="cs"/>
          <w:rtl/>
        </w:rPr>
        <w:t>דברי הר"ן דבמין במינו בלח דהאיסור מתפשט בכולו צריך שישים אף שלא ניכר הטעם דל"פ רבנן</w:t>
      </w:r>
      <w:bookmarkEnd w:id="4282"/>
      <w:bookmarkEnd w:id="4283"/>
    </w:p>
    <w:p w:rsidR="0088374B" w:rsidRPr="0050146A" w:rsidRDefault="0088374B" w:rsidP="009F44AF">
      <w:pPr>
        <w:pStyle w:val="a"/>
        <w:rPr>
          <w:rtl/>
        </w:rPr>
      </w:pPr>
      <w:r w:rsidRPr="0050146A">
        <w:rPr>
          <w:rFonts w:hint="cs"/>
          <w:rtl/>
        </w:rPr>
        <w:t xml:space="preserve">והוסיף </w:t>
      </w:r>
      <w:r w:rsidRPr="0050146A">
        <w:rPr>
          <w:rStyle w:val="af8"/>
          <w:rFonts w:hint="cs"/>
          <w:rtl/>
        </w:rPr>
        <w:t>הר"ן על הרי"ף</w:t>
      </w:r>
      <w:r w:rsidRPr="0050146A">
        <w:rPr>
          <w:rFonts w:hint="cs"/>
          <w:rtl/>
        </w:rPr>
        <w:t xml:space="preserve"> דאף דמין במינו דמדאו' חד בתרי בטיל, מ"מ בלח הצריכו רבנן שישים, דכיון שהאיסור מתפשט בכולו אף שלא ניכר הטעם, מ"מ לא פלוג רבנן בין מין במינו למין בשאינו מינו, ובכל האופנים החמירו רבנן שאינו מתבטל בפחות משישים.</w:t>
      </w:r>
    </w:p>
    <w:p w:rsidR="0088374B" w:rsidRPr="0050146A" w:rsidRDefault="0088374B" w:rsidP="0088374B">
      <w:pPr>
        <w:pStyle w:val="1"/>
        <w:rPr>
          <w:rtl/>
        </w:rPr>
      </w:pPr>
      <w:bookmarkStart w:id="4284" w:name="_Toc11664830"/>
      <w:r w:rsidRPr="0050146A">
        <w:rPr>
          <w:rFonts w:hint="cs"/>
          <w:rtl/>
        </w:rPr>
        <w:t>דברי הר"ן דלאביי בזרוע בשלה בטל האיסור ולרבא בטל הטעם</w:t>
      </w:r>
      <w:bookmarkEnd w:id="4284"/>
    </w:p>
    <w:p w:rsidR="0088374B" w:rsidRPr="0050146A" w:rsidRDefault="0088374B" w:rsidP="0088374B">
      <w:pPr>
        <w:pStyle w:val="a2"/>
        <w:rPr>
          <w:rtl/>
        </w:rPr>
      </w:pPr>
      <w:bookmarkStart w:id="4285" w:name="_Toc11664831"/>
      <w:r w:rsidRPr="0050146A">
        <w:rPr>
          <w:rFonts w:hint="cs"/>
          <w:rtl/>
        </w:rPr>
        <w:t>ביאור הר"ן דאחר שיש שישים ל"ש טעם כעיקר בזרוע בשלה ואף לרבא ההיתר הוא אליבא דר"י</w:t>
      </w:r>
      <w:bookmarkEnd w:id="4285"/>
    </w:p>
    <w:p w:rsidR="0088374B" w:rsidRPr="0050146A" w:rsidRDefault="0088374B" w:rsidP="009F44AF">
      <w:pPr>
        <w:pStyle w:val="a"/>
        <w:rPr>
          <w:rtl/>
        </w:rPr>
      </w:pPr>
      <w:r w:rsidRPr="0050146A">
        <w:rPr>
          <w:rFonts w:hint="cs"/>
          <w:rtl/>
        </w:rPr>
        <w:t xml:space="preserve">בדברי רבא דביאר את לשון הברייתא "זהו היתר הבא מכלל איסור" דבזרוע בשלה מותר טעם כעיקר אף דבקדשים טעם כעיקר אסור, ביאר </w:t>
      </w:r>
      <w:r w:rsidRPr="0050146A">
        <w:rPr>
          <w:rStyle w:val="af8"/>
          <w:rFonts w:hint="cs"/>
          <w:rtl/>
        </w:rPr>
        <w:t>הר"ן על הרי"ף</w:t>
      </w:r>
      <w:r w:rsidRPr="0050146A">
        <w:rPr>
          <w:rFonts w:hint="cs"/>
          <w:rtl/>
        </w:rPr>
        <w:t xml:space="preserve"> דאעפ"י דבזרוע בשלה יש שישים או </w:t>
      </w:r>
      <w:r w:rsidRPr="0050146A">
        <w:rPr>
          <w:rFonts w:hint="cs"/>
          <w:rtl/>
        </w:rPr>
        <w:lastRenderedPageBreak/>
        <w:t>מאה ואין בה כל טעם, מ"מ כוונת רבא לבאר את הברייתא אליבא דר"י, דמודה רבא לאביי דהברייתא היא אליבא דר"י.</w:t>
      </w:r>
    </w:p>
    <w:p w:rsidR="0088374B" w:rsidRPr="0050146A" w:rsidRDefault="0088374B" w:rsidP="0088374B">
      <w:pPr>
        <w:pStyle w:val="a2"/>
      </w:pPr>
      <w:bookmarkStart w:id="4286" w:name="_Toc11664832"/>
      <w:r w:rsidRPr="0050146A">
        <w:rPr>
          <w:rFonts w:hint="cs"/>
          <w:rtl/>
        </w:rPr>
        <w:t>ביאור הר"ן דלאביי בזרוע בשלה התחדש לר"י דמהני ביטול גמור אף דהוא מין במינו</w:t>
      </w:r>
      <w:bookmarkEnd w:id="4286"/>
    </w:p>
    <w:p w:rsidR="0088374B" w:rsidRPr="0050146A" w:rsidRDefault="0088374B" w:rsidP="009F44AF">
      <w:pPr>
        <w:pStyle w:val="a"/>
        <w:rPr>
          <w:rStyle w:val="afa"/>
          <w:rtl/>
        </w:rPr>
      </w:pPr>
      <w:r w:rsidRPr="0050146A">
        <w:rPr>
          <w:rFonts w:hint="cs"/>
          <w:rtl/>
        </w:rPr>
        <w:t xml:space="preserve">וביאר </w:t>
      </w:r>
      <w:r w:rsidRPr="0050146A">
        <w:rPr>
          <w:rStyle w:val="af8"/>
          <w:rFonts w:hint="cs"/>
          <w:rtl/>
        </w:rPr>
        <w:t>הר"ן על הרי"ף</w:t>
      </w:r>
      <w:r w:rsidRPr="0050146A">
        <w:rPr>
          <w:rFonts w:hint="cs"/>
          <w:rtl/>
        </w:rPr>
        <w:t xml:space="preserve"> דאביי ביאר דאף דלר"י בעלמא מין במינו לא בטיל, מ"מ בזרוע בשלה יש חידוש דבטיל. </w:t>
      </w:r>
      <w:r w:rsidRPr="0050146A">
        <w:rPr>
          <w:rStyle w:val="afa"/>
          <w:rFonts w:hint="cs"/>
          <w:rtl/>
        </w:rPr>
        <w:t>[והיינו דילפינן מזרוע בשלה לעיקר דין ביטול אף במקום שנמחה גוף האיסור דבטל בשישים].</w:t>
      </w:r>
    </w:p>
    <w:p w:rsidR="0088374B" w:rsidRPr="0050146A" w:rsidRDefault="0088374B" w:rsidP="0088374B">
      <w:pPr>
        <w:pStyle w:val="a2"/>
      </w:pPr>
      <w:bookmarkStart w:id="4287" w:name="_Toc11664833"/>
      <w:r w:rsidRPr="0050146A">
        <w:rPr>
          <w:rFonts w:hint="cs"/>
          <w:rtl/>
        </w:rPr>
        <w:t>ביאור הר"ן דלרבא בזרוע בשלה מהני ביטול לר"י רק על הטעם אעפ"י דבקדשים טעם כעיקר דאו'</w:t>
      </w:r>
      <w:bookmarkEnd w:id="4287"/>
    </w:p>
    <w:p w:rsidR="0088374B" w:rsidRPr="0050146A" w:rsidRDefault="0088374B" w:rsidP="009F44AF">
      <w:pPr>
        <w:pStyle w:val="a"/>
        <w:rPr>
          <w:rtl/>
        </w:rPr>
      </w:pPr>
      <w:bookmarkStart w:id="4288" w:name="_Ref11657455"/>
      <w:r w:rsidRPr="0050146A">
        <w:rPr>
          <w:rFonts w:hint="cs"/>
          <w:rtl/>
        </w:rPr>
        <w:t xml:space="preserve">ובדברי רבא ביאר </w:t>
      </w:r>
      <w:r w:rsidRPr="0050146A">
        <w:rPr>
          <w:rStyle w:val="af8"/>
          <w:rFonts w:hint="cs"/>
          <w:rtl/>
        </w:rPr>
        <w:t>הר"ן על הרי"ף</w:t>
      </w:r>
      <w:r w:rsidRPr="0050146A">
        <w:rPr>
          <w:rFonts w:hint="cs"/>
          <w:rtl/>
        </w:rPr>
        <w:t xml:space="preserve"> דלא התירה התורה כ"כ בזרוע בשלה, </w:t>
      </w:r>
      <w:r w:rsidRPr="0050146A">
        <w:rPr>
          <w:rStyle w:val="afa"/>
          <w:rFonts w:hint="cs"/>
          <w:rtl/>
        </w:rPr>
        <w:t>[אף כשנמחה גוף האיסור],</w:t>
      </w:r>
      <w:r w:rsidRPr="0050146A">
        <w:rPr>
          <w:rFonts w:hint="cs"/>
          <w:rtl/>
        </w:rPr>
        <w:t xml:space="preserve"> אלא ההיתר הוא רק לענין נתינת טעם, דכיון דבכל קדשים טעם כעיקר אסור, </w:t>
      </w:r>
      <w:r w:rsidRPr="0050146A">
        <w:rPr>
          <w:rStyle w:val="afa"/>
          <w:rFonts w:hint="cs"/>
          <w:rtl/>
        </w:rPr>
        <w:t>[במין בשאינו מינו],</w:t>
      </w:r>
      <w:r w:rsidRPr="0050146A">
        <w:rPr>
          <w:rFonts w:hint="cs"/>
          <w:rtl/>
        </w:rPr>
        <w:t xml:space="preserve"> א"כ לדעת ר"י היה צריך לאסור ולומר דהטעם אינו מתבטל, </w:t>
      </w:r>
      <w:r w:rsidRPr="0050146A">
        <w:rPr>
          <w:rStyle w:val="afa"/>
          <w:rFonts w:hint="cs"/>
          <w:rtl/>
        </w:rPr>
        <w:t>[אף בזרוע בשלה שהוא מין במינו],</w:t>
      </w:r>
      <w:r w:rsidRPr="0050146A">
        <w:rPr>
          <w:rFonts w:hint="cs"/>
          <w:rtl/>
        </w:rPr>
        <w:t xml:space="preserve"> וקמ"ל הברייתא דאף דבקדשים טעם כעיקר אסור מ"מ בזרוע בשלה יש היתר, אבל אם גוף הזרוע היה נמחה בהיתר, אין כל ילפותא מזרוע בשלה דמהני ביטול. </w:t>
      </w:r>
      <w:r w:rsidRPr="0050146A">
        <w:rPr>
          <w:rStyle w:val="afa"/>
          <w:rFonts w:hint="cs"/>
          <w:rtl/>
        </w:rPr>
        <w:t>[והיינו דלאביי הההיתר בזרוע בשלה הוא בעיקר דין ביטול ואף אם נמחה האיסור מותר, ולרבא ההיתר הוא רק בנתינת טעם],</w:t>
      </w:r>
      <w:r w:rsidRPr="0050146A">
        <w:rPr>
          <w:rFonts w:hint="cs"/>
          <w:rtl/>
        </w:rPr>
        <w:t xml:space="preserve"> וכתב </w:t>
      </w:r>
      <w:r w:rsidRPr="0050146A">
        <w:rPr>
          <w:rStyle w:val="af8"/>
          <w:rFonts w:hint="cs"/>
          <w:rtl/>
        </w:rPr>
        <w:t>הר"ן על הרי"ף</w:t>
      </w:r>
      <w:r w:rsidRPr="0050146A">
        <w:rPr>
          <w:rFonts w:hint="cs"/>
          <w:rtl/>
        </w:rPr>
        <w:t xml:space="preserve"> דמבואר דטעם כעיקר דרבנן, וכדברי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w:t>
      </w:r>
      <w:bookmarkEnd w:id="4288"/>
    </w:p>
    <w:p w:rsidR="0088374B" w:rsidRPr="0050146A" w:rsidRDefault="0088374B" w:rsidP="0088374B">
      <w:pPr>
        <w:pStyle w:val="a2"/>
        <w:rPr>
          <w:rtl/>
        </w:rPr>
      </w:pPr>
      <w:bookmarkStart w:id="4289" w:name="_Toc11664834"/>
      <w:r w:rsidRPr="0050146A">
        <w:rPr>
          <w:rFonts w:hint="cs"/>
          <w:rtl/>
        </w:rPr>
        <w:t>ביאור החת"ס בר"ן דלאביי שישים הוא אף בתערובת כדם פר ולרבא רק בלחות הטעם היוצא</w:t>
      </w:r>
      <w:bookmarkEnd w:id="4289"/>
    </w:p>
    <w:p w:rsidR="0088374B" w:rsidRPr="0050146A" w:rsidRDefault="0088374B" w:rsidP="009F44AF">
      <w:pPr>
        <w:pStyle w:val="a"/>
        <w:rPr>
          <w:rtl/>
        </w:rPr>
      </w:pPr>
      <w:r w:rsidRPr="0050146A">
        <w:rPr>
          <w:rFonts w:hint="cs"/>
          <w:rtl/>
        </w:rPr>
        <w:t xml:space="preserve">וביאר </w:t>
      </w:r>
      <w:r w:rsidRPr="0050146A">
        <w:rPr>
          <w:rStyle w:val="af8"/>
          <w:rFonts w:hint="cs"/>
          <w:rtl/>
        </w:rPr>
        <w:t>החת"ס</w:t>
      </w:r>
      <w:r w:rsidRPr="0050146A">
        <w:rPr>
          <w:rFonts w:hint="cs"/>
          <w:rtl/>
        </w:rPr>
        <w:t xml:space="preserve"> </w:t>
      </w:r>
      <w:r w:rsidRPr="0050146A">
        <w:rPr>
          <w:rStyle w:val="af6"/>
          <w:rFonts w:eastAsia="Guttman Hodes" w:hint="cs"/>
          <w:rtl/>
        </w:rPr>
        <w:t>(ד"ה וא"ש)</w:t>
      </w:r>
      <w:r w:rsidRPr="0050146A">
        <w:rPr>
          <w:rFonts w:hint="cs"/>
          <w:rtl/>
        </w:rPr>
        <w:t xml:space="preserve"> דכוונת </w:t>
      </w:r>
      <w:r w:rsidRPr="0050146A">
        <w:rPr>
          <w:rStyle w:val="af8"/>
          <w:rFonts w:hint="cs"/>
          <w:rtl/>
        </w:rPr>
        <w:t>הר"ן</w:t>
      </w:r>
      <w:r w:rsidRPr="0050146A">
        <w:rPr>
          <w:rFonts w:hint="cs"/>
          <w:rtl/>
        </w:rPr>
        <w:t xml:space="preserve"> לומר דתירוץ רבא קאי על תירוץ אביי דזרוע בשלה הוי מין במינו, ולרבא אינו מתבטל כתערובת ממש של דם פר ושעיר, </w:t>
      </w:r>
      <w:r w:rsidRPr="0050146A">
        <w:rPr>
          <w:rStyle w:val="afa"/>
          <w:rFonts w:hint="cs"/>
          <w:rtl/>
        </w:rPr>
        <w:t xml:space="preserve">[כדס"ל לאביי דבזרוע בשלה הוא ביטול גמור כדם פר ושעיר], </w:t>
      </w:r>
      <w:r w:rsidRPr="0050146A">
        <w:rPr>
          <w:rFonts w:hint="cs"/>
          <w:rtl/>
        </w:rPr>
        <w:t>אבל כשיוצא לחות מחתיכה לחתיכה שהוא רק טעם אינו מדאו', ורק בקדשים הוא מדאו' ואוסר במין בשאינו מינו כשיש בו טעם, ובמין במינו במשהו.</w:t>
      </w:r>
    </w:p>
    <w:p w:rsidR="0088374B" w:rsidRPr="0050146A" w:rsidRDefault="0088374B" w:rsidP="00E669F8">
      <w:pPr>
        <w:pStyle w:val="afd"/>
        <w:rPr>
          <w:rtl/>
        </w:rPr>
      </w:pPr>
      <w:bookmarkStart w:id="4290" w:name="_Toc11625364"/>
      <w:bookmarkStart w:id="4291" w:name="_Toc11664835"/>
      <w:r w:rsidRPr="0050146A">
        <w:rPr>
          <w:rFonts w:hint="cs"/>
          <w:rtl/>
        </w:rPr>
        <w:t>פלוגתת רבינו אפרים והראב"ן בזרוע בשלה</w:t>
      </w:r>
      <w:bookmarkEnd w:id="4290"/>
      <w:bookmarkEnd w:id="4291"/>
    </w:p>
    <w:p w:rsidR="0088374B" w:rsidRPr="0050146A" w:rsidRDefault="0088374B" w:rsidP="0088374B">
      <w:pPr>
        <w:pStyle w:val="1"/>
        <w:rPr>
          <w:rtl/>
        </w:rPr>
      </w:pPr>
      <w:bookmarkStart w:id="4292" w:name="_Toc11625365"/>
      <w:bookmarkStart w:id="4293" w:name="_Toc11664836"/>
      <w:r w:rsidRPr="0050146A">
        <w:rPr>
          <w:rFonts w:hint="cs"/>
          <w:rtl/>
        </w:rPr>
        <w:t>קושיות רבינו אפרים דא"א לומר דזרוע בשלה היא אסמכתא</w:t>
      </w:r>
      <w:bookmarkEnd w:id="4292"/>
      <w:bookmarkEnd w:id="4293"/>
    </w:p>
    <w:p w:rsidR="0088374B" w:rsidRPr="0050146A" w:rsidRDefault="0088374B" w:rsidP="0088374B">
      <w:pPr>
        <w:pStyle w:val="a2"/>
        <w:rPr>
          <w:rtl/>
        </w:rPr>
      </w:pPr>
      <w:bookmarkStart w:id="4294" w:name="_Toc11625366"/>
      <w:bookmarkStart w:id="4295" w:name="_Toc11664837"/>
      <w:r w:rsidRPr="0050146A">
        <w:rPr>
          <w:rFonts w:hint="cs"/>
          <w:rtl/>
        </w:rPr>
        <w:t>דברי רבינו אפרים בשם רבותיו דמדאו' חד בתרי בטיל וזרוע בשלה הוא אסמכתא</w:t>
      </w:r>
      <w:bookmarkEnd w:id="4294"/>
      <w:bookmarkEnd w:id="4295"/>
    </w:p>
    <w:p w:rsidR="0088374B" w:rsidRPr="0050146A" w:rsidRDefault="0088374B" w:rsidP="009F44AF">
      <w:pPr>
        <w:pStyle w:val="a"/>
        <w:rPr>
          <w:rStyle w:val="afa"/>
          <w:rtl/>
        </w:rPr>
      </w:pPr>
      <w:bookmarkStart w:id="4296" w:name="_Ref11600431"/>
      <w:r w:rsidRPr="0050146A">
        <w:rPr>
          <w:rFonts w:hint="cs"/>
          <w:rtl/>
        </w:rPr>
        <w:t xml:space="preserve">הביא </w:t>
      </w:r>
      <w:r w:rsidRPr="0050146A">
        <w:rPr>
          <w:rStyle w:val="af8"/>
          <w:rFonts w:hint="cs"/>
          <w:rtl/>
        </w:rPr>
        <w:t>רבינו אפרים בתשו'</w:t>
      </w:r>
      <w:r w:rsidRPr="0050146A">
        <w:rPr>
          <w:rFonts w:hint="cs"/>
          <w:rtl/>
        </w:rPr>
        <w:t xml:space="preserve"> </w:t>
      </w:r>
      <w:r w:rsidRPr="0050146A">
        <w:rPr>
          <w:rStyle w:val="af6"/>
          <w:rFonts w:eastAsia="Guttman Hodes" w:hint="cs"/>
          <w:rtl/>
        </w:rPr>
        <w:t>[</w:t>
      </w:r>
      <w:r w:rsidRPr="0050146A">
        <w:rPr>
          <w:rStyle w:val="afa"/>
          <w:rFonts w:hint="cs"/>
          <w:rtl/>
        </w:rPr>
        <w:t xml:space="preserve">הובא </w:t>
      </w:r>
      <w:r w:rsidRPr="0050146A">
        <w:rPr>
          <w:rStyle w:val="affa"/>
          <w:rFonts w:hint="cs"/>
          <w:rtl/>
        </w:rPr>
        <w:t>בראב"ן</w:t>
      </w:r>
      <w:r w:rsidRPr="0050146A">
        <w:rPr>
          <w:rStyle w:val="af6"/>
          <w:rFonts w:eastAsia="Guttman Hodes" w:hint="cs"/>
          <w:rtl/>
        </w:rPr>
        <w:t xml:space="preserve"> (בתשו' בסוף הספר, בתשובת רבינו אפרים ד"ה ועוד נחלקתי, [מהדו' ישנה עמ' שג:, מהדו' חד' ח"ג סי' תרי"ג ט'], הועתק בקובץ שיטות קמאי חולין ח"ג עמ' </w:t>
      </w:r>
      <w:r w:rsidRPr="0050146A">
        <w:rPr>
          <w:rStyle w:val="af6"/>
          <w:rFonts w:eastAsia="Guttman Hodes"/>
          <w:rtl/>
        </w:rPr>
        <w:t>ב' אלף רצ</w:t>
      </w:r>
      <w:r w:rsidRPr="0050146A">
        <w:rPr>
          <w:rStyle w:val="af6"/>
          <w:rFonts w:eastAsia="Guttman Hodes" w:hint="cs"/>
          <w:rtl/>
        </w:rPr>
        <w:t>"</w:t>
      </w:r>
      <w:r w:rsidRPr="0050146A">
        <w:rPr>
          <w:rStyle w:val="af6"/>
          <w:rFonts w:eastAsia="Guttman Hodes"/>
          <w:rtl/>
        </w:rPr>
        <w:t>ג</w:t>
      </w:r>
      <w:r w:rsidRPr="0050146A">
        <w:rPr>
          <w:rStyle w:val="af6"/>
          <w:rFonts w:eastAsia="Guttman Hodes" w:hint="cs"/>
          <w:rtl/>
        </w:rPr>
        <w:t>)]</w:t>
      </w:r>
      <w:r w:rsidRPr="0050146A">
        <w:rPr>
          <w:rFonts w:hint="cs"/>
          <w:rtl/>
        </w:rPr>
        <w:t xml:space="preserve"> את דברי </w:t>
      </w:r>
      <w:r w:rsidRPr="0050146A">
        <w:rPr>
          <w:rStyle w:val="af8"/>
          <w:rFonts w:hint="cs"/>
          <w:rtl/>
        </w:rPr>
        <w:t>רבותיו</w:t>
      </w:r>
      <w:r w:rsidRPr="0050146A">
        <w:rPr>
          <w:rStyle w:val="afa"/>
          <w:rFonts w:hint="cs"/>
          <w:rtl/>
        </w:rPr>
        <w:t xml:space="preserve"> [עי' </w:t>
      </w:r>
      <w:r w:rsidRPr="0050146A">
        <w:rPr>
          <w:rStyle w:val="affa"/>
          <w:rFonts w:hint="cs"/>
          <w:rtl/>
        </w:rPr>
        <w:t>תוס'</w:t>
      </w:r>
      <w:r w:rsidRPr="0050146A">
        <w:rPr>
          <w:rStyle w:val="afa"/>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rPr>
        <w:instrText>REF</w:instrText>
      </w:r>
      <w:r w:rsidRPr="0050146A">
        <w:rPr>
          <w:rStyle w:val="af6"/>
          <w:rFonts w:eastAsia="Guttman Hodes"/>
          <w:rtl/>
        </w:rPr>
        <w:instrText xml:space="preserve"> _</w:instrText>
      </w:r>
      <w:r w:rsidRPr="0050146A">
        <w:rPr>
          <w:rStyle w:val="af6"/>
          <w:rFonts w:eastAsia="Guttman Hodes"/>
        </w:rPr>
        <w:instrText>Ref11958442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50146A">
        <w:rPr>
          <w:rStyle w:val="af6"/>
          <w:rFonts w:eastAsia="Guttman Hodes"/>
          <w:rtl/>
        </w:rPr>
        <w:fldChar w:fldCharType="end"/>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Ref11600235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Style w:val="afa"/>
          <w:rFonts w:hint="cs"/>
          <w:rtl/>
        </w:rPr>
        <w:t xml:space="preserve">], </w:t>
      </w:r>
      <w:r w:rsidRPr="0050146A">
        <w:rPr>
          <w:rFonts w:hint="cs"/>
          <w:rtl/>
        </w:rPr>
        <w:t>דביארו דהילפותא דזרוע בשלה היא אסמכתא, דהא מדאו' חד בתרי בטיל, ולכן כל הילפותא לאסור טעם כעיקר ולהתיר בזרוע בשלה וללמוד ממנה לשאר איסורים, הכל הוא אסמכתא.</w:t>
      </w:r>
    </w:p>
    <w:p w:rsidR="0088374B" w:rsidRPr="0050146A" w:rsidRDefault="0088374B" w:rsidP="0088374B">
      <w:pPr>
        <w:pStyle w:val="a2"/>
      </w:pPr>
      <w:bookmarkStart w:id="4297" w:name="_Toc11625367"/>
      <w:bookmarkStart w:id="4298" w:name="_Toc11664838"/>
      <w:r w:rsidRPr="0050146A">
        <w:rPr>
          <w:rFonts w:hint="cs"/>
          <w:rtl/>
        </w:rPr>
        <w:t>קושיות רבינו אפרים דלא מצינו בגמ' דהיא אסמכתא ובילפותא ממשרת מבו' דפשיטא דטע"כ דאו'</w:t>
      </w:r>
      <w:bookmarkEnd w:id="4297"/>
      <w:bookmarkEnd w:id="4298"/>
    </w:p>
    <w:p w:rsidR="0088374B" w:rsidRPr="0050146A" w:rsidRDefault="0088374B" w:rsidP="009F44AF">
      <w:pPr>
        <w:pStyle w:val="a"/>
        <w:rPr>
          <w:rtl/>
        </w:rPr>
      </w:pPr>
      <w:bookmarkStart w:id="4299" w:name="_Ref11601682"/>
      <w:r w:rsidRPr="0050146A">
        <w:rPr>
          <w:rFonts w:hint="cs"/>
          <w:rtl/>
        </w:rPr>
        <w:t xml:space="preserve">והקשה </w:t>
      </w:r>
      <w:r w:rsidRPr="0050146A">
        <w:rPr>
          <w:rStyle w:val="af8"/>
          <w:rFonts w:hint="cs"/>
          <w:rtl/>
        </w:rPr>
        <w:t>רבינו אפרים</w:t>
      </w:r>
      <w:r w:rsidRPr="0050146A">
        <w:rPr>
          <w:rFonts w:hint="cs"/>
          <w:rtl/>
        </w:rPr>
        <w:t xml:space="preserve"> דהא לא מצינו בגמ' תנא או אמורא שאמר שהילפותא היא אסמכתא, וא"א לומר כן מסברא, ועוד הקשה </w:t>
      </w:r>
      <w:r w:rsidRPr="0050146A">
        <w:rPr>
          <w:rStyle w:val="af8"/>
          <w:rFonts w:hint="cs"/>
          <w:rtl/>
        </w:rPr>
        <w:t>רבינו אפרים</w:t>
      </w:r>
      <w:r w:rsidRPr="0050146A">
        <w:rPr>
          <w:rFonts w:hint="cs"/>
          <w:rtl/>
        </w:rPr>
        <w:t xml:space="preserve"> דהא בגמ' בפסחים </w:t>
      </w:r>
      <w:r w:rsidRPr="0050146A">
        <w:rPr>
          <w:rStyle w:val="af6"/>
          <w:rFonts w:eastAsia="Guttman Hodes" w:hint="cs"/>
          <w:rtl/>
        </w:rPr>
        <w:t>(מד:)</w:t>
      </w:r>
      <w:r w:rsidRPr="0050146A">
        <w:rPr>
          <w:rFonts w:hint="cs"/>
          <w:rtl/>
        </w:rPr>
        <w:t xml:space="preserve"> ובנזיר </w:t>
      </w:r>
      <w:r w:rsidRPr="0050146A">
        <w:rPr>
          <w:rStyle w:val="af6"/>
          <w:rFonts w:eastAsia="Guttman Hodes" w:hint="cs"/>
          <w:rtl/>
        </w:rPr>
        <w:t>(לז.)</w:t>
      </w:r>
      <w:r w:rsidRPr="0050146A">
        <w:rPr>
          <w:rFonts w:hint="cs"/>
          <w:rtl/>
        </w:rPr>
        <w:t xml:space="preserve"> ילפינן טעם כעיקר ממשרת, ומשמע דהוא סברא פשוטה דטעם כעיקר דאו'.</w:t>
      </w:r>
      <w:bookmarkEnd w:id="4299"/>
    </w:p>
    <w:p w:rsidR="0088374B" w:rsidRPr="0050146A" w:rsidRDefault="0088374B" w:rsidP="0088374B">
      <w:pPr>
        <w:pStyle w:val="a2"/>
      </w:pPr>
      <w:bookmarkStart w:id="4300" w:name="_Toc11625368"/>
      <w:bookmarkStart w:id="4301" w:name="_Toc11664839"/>
      <w:r w:rsidRPr="0050146A">
        <w:rPr>
          <w:rFonts w:hint="cs"/>
          <w:rtl/>
        </w:rPr>
        <w:t>קושית רבינו אפרים דאי מדאו' חד בתרי בטיל א"א להביא מזרוע בשלה אף אסמכתא לשישים</w:t>
      </w:r>
      <w:bookmarkEnd w:id="4300"/>
      <w:bookmarkEnd w:id="4301"/>
    </w:p>
    <w:p w:rsidR="0088374B" w:rsidRPr="0050146A" w:rsidRDefault="0088374B" w:rsidP="009F44AF">
      <w:pPr>
        <w:pStyle w:val="a"/>
        <w:rPr>
          <w:rtl/>
        </w:rPr>
      </w:pPr>
      <w:r w:rsidRPr="0050146A">
        <w:rPr>
          <w:rFonts w:hint="cs"/>
          <w:rtl/>
        </w:rPr>
        <w:t xml:space="preserve">ועוד הקשה </w:t>
      </w:r>
      <w:r w:rsidRPr="0050146A">
        <w:rPr>
          <w:rStyle w:val="af8"/>
          <w:rFonts w:hint="cs"/>
          <w:rtl/>
        </w:rPr>
        <w:t>רבינו אפרים</w:t>
      </w:r>
      <w:r w:rsidRPr="0050146A">
        <w:rPr>
          <w:rFonts w:hint="cs"/>
          <w:rtl/>
        </w:rPr>
        <w:t xml:space="preserve"> דאי מדאו' בטל הטעם בחד בתרי, א"כ א"א להביא מזרוע בשלה אף אסמכתא לשישים או למאה, דהא אפש"ל דכיון דמדאו' חד בתרי בטיל, היה מהני ביטול בזרוע בשלה אף בשלושים או בעשרים, אלא כתב </w:t>
      </w:r>
      <w:r w:rsidRPr="0050146A">
        <w:rPr>
          <w:rStyle w:val="af8"/>
          <w:rFonts w:hint="cs"/>
          <w:rtl/>
        </w:rPr>
        <w:t>רבינו אפרים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Ref11664915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דמוכח דזרוע בשלה הוא ילפותא גמורה, עי' בדבריו.</w:t>
      </w:r>
      <w:bookmarkEnd w:id="4296"/>
    </w:p>
    <w:p w:rsidR="0088374B" w:rsidRPr="0050146A" w:rsidRDefault="0088374B" w:rsidP="0088374B">
      <w:pPr>
        <w:pStyle w:val="1"/>
        <w:rPr>
          <w:rtl/>
        </w:rPr>
      </w:pPr>
      <w:bookmarkStart w:id="4302" w:name="_Toc11600027"/>
      <w:bookmarkStart w:id="4303" w:name="_Toc11625369"/>
      <w:bookmarkStart w:id="4304" w:name="_Toc11664840"/>
      <w:r w:rsidRPr="0050146A">
        <w:rPr>
          <w:rFonts w:hint="cs"/>
          <w:rtl/>
        </w:rPr>
        <w:t>דברי הראב"ן</w:t>
      </w:r>
      <w:bookmarkEnd w:id="4302"/>
      <w:r w:rsidRPr="0050146A">
        <w:rPr>
          <w:rFonts w:hint="cs"/>
          <w:rtl/>
        </w:rPr>
        <w:t xml:space="preserve"> דטע"כ דאו' וזרוע בשלה היא אסמכתא לשישים</w:t>
      </w:r>
      <w:bookmarkEnd w:id="4303"/>
      <w:bookmarkEnd w:id="4304"/>
    </w:p>
    <w:p w:rsidR="0088374B" w:rsidRPr="0050146A" w:rsidRDefault="0088374B" w:rsidP="0088374B">
      <w:pPr>
        <w:pStyle w:val="a2"/>
        <w:rPr>
          <w:rtl/>
        </w:rPr>
      </w:pPr>
      <w:bookmarkStart w:id="4305" w:name="_Toc11625370"/>
      <w:bookmarkStart w:id="4306" w:name="_Toc11664841"/>
      <w:r w:rsidRPr="0050146A">
        <w:rPr>
          <w:rFonts w:hint="cs"/>
          <w:rtl/>
        </w:rPr>
        <w:t>דברי הראב"ן דזרוע בשלה אסמכתא דהא היא מין במינו דודאי דבטל בחד בתרי</w:t>
      </w:r>
      <w:bookmarkEnd w:id="4305"/>
      <w:bookmarkEnd w:id="4306"/>
    </w:p>
    <w:p w:rsidR="0088374B" w:rsidRPr="0050146A" w:rsidRDefault="0088374B" w:rsidP="009F44AF">
      <w:pPr>
        <w:pStyle w:val="a"/>
        <w:rPr>
          <w:rtl/>
        </w:rPr>
      </w:pPr>
      <w:r w:rsidRPr="0050146A">
        <w:rPr>
          <w:rFonts w:hint="cs"/>
          <w:rtl/>
        </w:rPr>
        <w:t xml:space="preserve">והשיב </w:t>
      </w:r>
      <w:r w:rsidRPr="0050146A">
        <w:rPr>
          <w:rStyle w:val="af8"/>
          <w:rFonts w:hint="cs"/>
          <w:rtl/>
        </w:rPr>
        <w:t>הראב"ן</w:t>
      </w:r>
      <w:r w:rsidRPr="0050146A">
        <w:rPr>
          <w:rFonts w:hint="cs"/>
          <w:rtl/>
        </w:rPr>
        <w:t xml:space="preserve"> </w:t>
      </w:r>
      <w:r w:rsidRPr="0050146A">
        <w:rPr>
          <w:rStyle w:val="af6"/>
          <w:rFonts w:eastAsia="Guttman Hodes" w:hint="cs"/>
          <w:rtl/>
        </w:rPr>
        <w:t xml:space="preserve">(בתשו' בסוף הספר, אחר תשובת רבינו אפרים ד"ה ועל מה שנחלקת, [מהדו' ישנה עמ' דש:, מהדו' חד' ח"ג סי' תרי"ג עמ' תתכ"ג], הועתק בקובץ שיטות קמאי חולין ח"ג עמ' </w:t>
      </w:r>
      <w:r w:rsidRPr="0050146A">
        <w:rPr>
          <w:rStyle w:val="af6"/>
          <w:rFonts w:eastAsia="Guttman Hodes"/>
          <w:rtl/>
        </w:rPr>
        <w:t>ב' אלף רצ</w:t>
      </w:r>
      <w:r w:rsidRPr="0050146A">
        <w:rPr>
          <w:rStyle w:val="af6"/>
          <w:rFonts w:eastAsia="Guttman Hodes" w:hint="cs"/>
          <w:rtl/>
        </w:rPr>
        <w:t>"ו)</w:t>
      </w:r>
      <w:r w:rsidRPr="0050146A">
        <w:rPr>
          <w:rFonts w:hint="cs"/>
          <w:rtl/>
        </w:rPr>
        <w:t xml:space="preserve"> </w:t>
      </w:r>
      <w:r w:rsidRPr="0050146A">
        <w:rPr>
          <w:rStyle w:val="af8"/>
          <w:rFonts w:hint="cs"/>
          <w:rtl/>
        </w:rPr>
        <w:t xml:space="preserve">לרבינו </w:t>
      </w:r>
      <w:r w:rsidRPr="0050146A">
        <w:rPr>
          <w:rStyle w:val="af8"/>
          <w:rFonts w:hint="cs"/>
          <w:rtl/>
        </w:rPr>
        <w:t>אפרים</w:t>
      </w:r>
      <w:r w:rsidRPr="0050146A">
        <w:rPr>
          <w:rFonts w:hint="cs"/>
          <w:rtl/>
        </w:rPr>
        <w:t xml:space="preserve"> דודאי דהילפותא מזרוע בשלה אינה דאו', אלא היא אסמכתא, דהא במין במינו שא"א לעמוד על טעמו, מהני בו מדאו' ביטול ברוב, וכתב </w:t>
      </w:r>
      <w:r w:rsidRPr="0050146A">
        <w:rPr>
          <w:rStyle w:val="af8"/>
          <w:rFonts w:hint="cs"/>
          <w:rtl/>
        </w:rPr>
        <w:t>הראב"ן</w:t>
      </w:r>
      <w:r w:rsidRPr="0050146A">
        <w:rPr>
          <w:rFonts w:hint="cs"/>
          <w:rtl/>
        </w:rPr>
        <w:t xml:space="preserve"> דכן מוכח דבכל מקום בש"ס שיש דין ביטול ברוב איירי במין במינו, כחתיכת נבילה שהתבשלה עם כשרה בגמ' לקמן </w:t>
      </w:r>
      <w:r w:rsidRPr="0050146A">
        <w:rPr>
          <w:rStyle w:val="af6"/>
          <w:rFonts w:eastAsia="Guttman Hodes" w:hint="cs"/>
          <w:rtl/>
        </w:rPr>
        <w:t>(ק.)</w:t>
      </w:r>
      <w:r w:rsidRPr="0050146A">
        <w:rPr>
          <w:rFonts w:hint="cs"/>
          <w:rtl/>
        </w:rPr>
        <w:t xml:space="preserve">, וביצה שנולדה ביו"ט דנתערבה בשאר ביצים בגמ' בביצה </w:t>
      </w:r>
      <w:r w:rsidRPr="0050146A">
        <w:rPr>
          <w:rStyle w:val="af6"/>
          <w:rFonts w:eastAsia="Guttman Hodes" w:hint="cs"/>
          <w:rtl/>
        </w:rPr>
        <w:t>(ג:)</w:t>
      </w:r>
      <w:r w:rsidRPr="0050146A">
        <w:rPr>
          <w:rFonts w:hint="cs"/>
          <w:rtl/>
        </w:rPr>
        <w:t xml:space="preserve"> וכדו'.</w:t>
      </w:r>
    </w:p>
    <w:p w:rsidR="0088374B" w:rsidRPr="0050146A" w:rsidRDefault="0088374B" w:rsidP="0088374B">
      <w:pPr>
        <w:pStyle w:val="a2"/>
      </w:pPr>
      <w:bookmarkStart w:id="4307" w:name="_Toc11625371"/>
      <w:bookmarkStart w:id="4308" w:name="_Toc11664842"/>
      <w:r w:rsidRPr="0050146A">
        <w:rPr>
          <w:rFonts w:hint="cs"/>
          <w:rtl/>
        </w:rPr>
        <w:t>דברי הראב"ן דשיעור שישים הוא מדרבנן ובמין בשאינו מינו טעם כעיקר דאו' דאפשר לעמוד עליו</w:t>
      </w:r>
      <w:bookmarkEnd w:id="4307"/>
      <w:bookmarkEnd w:id="4308"/>
    </w:p>
    <w:p w:rsidR="0088374B" w:rsidRPr="0050146A" w:rsidRDefault="0088374B" w:rsidP="009F44AF">
      <w:pPr>
        <w:pStyle w:val="a"/>
        <w:rPr>
          <w:rtl/>
        </w:rPr>
      </w:pPr>
      <w:r w:rsidRPr="0050146A">
        <w:rPr>
          <w:rFonts w:hint="cs"/>
          <w:rtl/>
        </w:rPr>
        <w:t xml:space="preserve">אלא כתב </w:t>
      </w:r>
      <w:r w:rsidRPr="0050146A">
        <w:rPr>
          <w:rStyle w:val="af8"/>
          <w:rFonts w:hint="cs"/>
          <w:rtl/>
        </w:rPr>
        <w:t>הראב"ן</w:t>
      </w:r>
      <w:r w:rsidRPr="0050146A">
        <w:rPr>
          <w:rFonts w:hint="cs"/>
          <w:rtl/>
        </w:rPr>
        <w:t xml:space="preserve"> דשיעור שישים הוא מדרבנן ואסמכוה על קרא דזרוע בשלה, והא דאמרינן דטעם כעיקר וטעמו וממשו הם דאו', היינו דוקא במין בשאינו מינו, כיון שיש נתינת טעם ואפשר לעמוד על הטעם, והוסיף </w:t>
      </w:r>
      <w:r w:rsidRPr="0050146A">
        <w:rPr>
          <w:rStyle w:val="af8"/>
          <w:rFonts w:hint="cs"/>
          <w:rtl/>
        </w:rPr>
        <w:t>הראב"ן</w:t>
      </w:r>
      <w:r w:rsidRPr="0050146A">
        <w:rPr>
          <w:rFonts w:hint="cs"/>
          <w:rtl/>
        </w:rPr>
        <w:t xml:space="preserve"> </w:t>
      </w:r>
      <w:r w:rsidRPr="0050146A">
        <w:rPr>
          <w:rStyle w:val="afa"/>
          <w:rFonts w:hint="cs"/>
          <w:rtl/>
        </w:rPr>
        <w:t>[</w:t>
      </w:r>
      <w:r w:rsidRPr="0050146A">
        <w:rPr>
          <w:rStyle w:val="affa"/>
          <w:rFonts w:hint="cs"/>
          <w:rtl/>
        </w:rPr>
        <w:t>כתוס'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Ref11624990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פה)</w:t>
      </w:r>
      <w:r w:rsidRPr="0050146A">
        <w:rPr>
          <w:rStyle w:val="aff6"/>
          <w:rtl/>
        </w:rPr>
        <w:fldChar w:fldCharType="end"/>
      </w:r>
      <w:r w:rsidRPr="0050146A">
        <w:rPr>
          <w:rStyle w:val="afa"/>
          <w:rFonts w:hint="cs"/>
          <w:rtl/>
        </w:rPr>
        <w:t>]</w:t>
      </w:r>
      <w:r w:rsidRPr="0050146A">
        <w:rPr>
          <w:rFonts w:hint="cs"/>
          <w:rtl/>
        </w:rPr>
        <w:t xml:space="preserve"> דאף רבא ס"ל דטעם כעיקר דאו', והא דאמר רבא לקמן </w:t>
      </w:r>
      <w:r w:rsidRPr="0050146A">
        <w:rPr>
          <w:rStyle w:val="af6"/>
          <w:rFonts w:eastAsia="Guttman Hodes" w:hint="cs"/>
          <w:rtl/>
        </w:rPr>
        <w:t>(קח.)</w:t>
      </w:r>
      <w:r w:rsidRPr="0050146A">
        <w:rPr>
          <w:rFonts w:hint="cs"/>
          <w:rtl/>
        </w:rPr>
        <w:t xml:space="preserve"> דלא ילפינן טעם כעיקר מבשר בחלב, כוונתו לומר דא"א להוכיח מבשר בחלב דהוא חידוש, אך מודה רבא דילפינן ממשרת.</w:t>
      </w:r>
    </w:p>
    <w:p w:rsidR="0088374B" w:rsidRPr="0050146A" w:rsidRDefault="0088374B" w:rsidP="0088374B">
      <w:pPr>
        <w:pStyle w:val="a2"/>
        <w:rPr>
          <w:rtl/>
        </w:rPr>
      </w:pPr>
      <w:bookmarkStart w:id="4309" w:name="_Toc11625372"/>
      <w:bookmarkStart w:id="4310" w:name="_Toc11664843"/>
      <w:r w:rsidRPr="0050146A">
        <w:rPr>
          <w:rFonts w:hint="cs"/>
          <w:rtl/>
        </w:rPr>
        <w:t>דברי הראב"ן דמזרוע בשלה ילפינן לכל האיסורים במינו ובשאינו מינו ואף בנימוח גוף האיסור</w:t>
      </w:r>
      <w:bookmarkEnd w:id="4309"/>
      <w:bookmarkEnd w:id="4310"/>
    </w:p>
    <w:p w:rsidR="0088374B" w:rsidRPr="0050146A" w:rsidRDefault="0088374B" w:rsidP="009F44AF">
      <w:pPr>
        <w:pStyle w:val="a"/>
        <w:rPr>
          <w:rtl/>
        </w:rPr>
      </w:pPr>
      <w:r w:rsidRPr="0050146A">
        <w:rPr>
          <w:rFonts w:hint="cs"/>
          <w:rtl/>
        </w:rPr>
        <w:t xml:space="preserve">והוסיף </w:t>
      </w:r>
      <w:r w:rsidRPr="0050146A">
        <w:rPr>
          <w:rStyle w:val="af8"/>
          <w:rFonts w:hint="cs"/>
          <w:rtl/>
        </w:rPr>
        <w:t>הראב"ן</w:t>
      </w:r>
      <w:r w:rsidRPr="0050146A">
        <w:rPr>
          <w:rFonts w:hint="cs"/>
          <w:rtl/>
        </w:rPr>
        <w:t xml:space="preserve"> דהאמוראים שנחלקו בזרוע בשלה אי הביטול הוא בשישים או במאה, קיבלו מריב"ל דאת הביטול בכל האיסורים שבתורה לומדים מזרוע בשלה, </w:t>
      </w:r>
      <w:r w:rsidRPr="0050146A">
        <w:rPr>
          <w:rStyle w:val="afa"/>
          <w:rFonts w:hint="cs"/>
          <w:rtl/>
        </w:rPr>
        <w:t xml:space="preserve">[אולי כוונתו באסמכתא], </w:t>
      </w:r>
      <w:r w:rsidRPr="0050146A">
        <w:rPr>
          <w:rFonts w:hint="cs"/>
          <w:rtl/>
        </w:rPr>
        <w:t xml:space="preserve">והוא לא פירש להם בכמה, ולכן נחלקו אם הוא בשישים או במאה, </w:t>
      </w:r>
      <w:r w:rsidRPr="0050146A">
        <w:rPr>
          <w:rStyle w:val="afa"/>
          <w:rFonts w:hint="cs"/>
          <w:rtl/>
        </w:rPr>
        <w:t xml:space="preserve">[וכתב </w:t>
      </w:r>
      <w:r w:rsidRPr="0050146A">
        <w:rPr>
          <w:rStyle w:val="affa"/>
          <w:rFonts w:hint="cs"/>
          <w:rtl/>
        </w:rPr>
        <w:t>הראב"ן</w:t>
      </w:r>
      <w:r w:rsidRPr="0050146A">
        <w:rPr>
          <w:rStyle w:val="afa"/>
          <w:rFonts w:hint="cs"/>
          <w:rtl/>
        </w:rPr>
        <w:t xml:space="preserve"> דסברת מחלקותם היא האם דין העצמות כבשר ככל עצמות קדשים, או כיון דהנדון בבישול הוא לענין נתינת טעם לא משערינן בעצמות שאינם נותנים טעם],</w:t>
      </w:r>
      <w:r w:rsidRPr="0050146A">
        <w:rPr>
          <w:rFonts w:hint="cs"/>
          <w:rtl/>
        </w:rPr>
        <w:t xml:space="preserve"> והוסיף </w:t>
      </w:r>
      <w:r w:rsidRPr="0050146A">
        <w:rPr>
          <w:rStyle w:val="af8"/>
          <w:rFonts w:hint="cs"/>
          <w:rtl/>
        </w:rPr>
        <w:t>הראב"ן</w:t>
      </w:r>
      <w:r w:rsidRPr="0050146A">
        <w:rPr>
          <w:rFonts w:hint="cs"/>
          <w:rtl/>
        </w:rPr>
        <w:t xml:space="preserve"> דריב"ל למד מזרוע בשלה בין לענין מין במינו, ובין לענין מין בשאינו מינו, ואף במקום שגוף האיסור נימוח בהיתר וא"א לסלקו כגון </w:t>
      </w:r>
      <w:r w:rsidRPr="0050146A">
        <w:rPr>
          <w:rtl/>
        </w:rPr>
        <w:t>חֵלֶב</w:t>
      </w:r>
      <w:r w:rsidRPr="0050146A">
        <w:rPr>
          <w:rFonts w:hint="cs"/>
          <w:rtl/>
        </w:rPr>
        <w:t xml:space="preserve"> שנימוח בהיתר, דמהני ביטול בשישים או במאה.</w:t>
      </w:r>
    </w:p>
    <w:p w:rsidR="0088374B" w:rsidRPr="0050146A" w:rsidRDefault="0088374B" w:rsidP="00E669F8">
      <w:pPr>
        <w:pStyle w:val="afd"/>
        <w:rPr>
          <w:rtl/>
        </w:rPr>
      </w:pPr>
      <w:bookmarkStart w:id="4311" w:name="_Toc11406491"/>
      <w:bookmarkStart w:id="4312" w:name="_Toc11600031"/>
      <w:bookmarkStart w:id="4313" w:name="_Toc11625373"/>
      <w:bookmarkStart w:id="4314" w:name="_Toc11664844"/>
      <w:bookmarkEnd w:id="4033"/>
      <w:bookmarkEnd w:id="4228"/>
      <w:bookmarkEnd w:id="4229"/>
      <w:r w:rsidRPr="0050146A">
        <w:rPr>
          <w:rFonts w:hint="cs"/>
          <w:rtl/>
        </w:rPr>
        <w:t xml:space="preserve">דברי רש"י ותוס' בדעת רבא </w:t>
      </w:r>
      <w:bookmarkEnd w:id="4311"/>
      <w:bookmarkEnd w:id="4312"/>
      <w:r w:rsidRPr="0050146A">
        <w:rPr>
          <w:rFonts w:hint="cs"/>
          <w:rtl/>
        </w:rPr>
        <w:t>בזרוע בשלה</w:t>
      </w:r>
      <w:bookmarkEnd w:id="4313"/>
      <w:bookmarkEnd w:id="4314"/>
    </w:p>
    <w:p w:rsidR="0088374B" w:rsidRPr="0050146A" w:rsidRDefault="0088374B" w:rsidP="0088374B">
      <w:pPr>
        <w:pStyle w:val="1"/>
        <w:rPr>
          <w:rtl/>
        </w:rPr>
      </w:pPr>
      <w:bookmarkStart w:id="4315" w:name="_Toc11625374"/>
      <w:bookmarkStart w:id="4316" w:name="_Toc11664845"/>
      <w:r w:rsidRPr="0050146A">
        <w:rPr>
          <w:rFonts w:hint="cs"/>
          <w:rtl/>
        </w:rPr>
        <w:t>דברי רש"י דלרבא טעם כעיקר דרבנן וזרוע בשלה חומרא</w:t>
      </w:r>
      <w:bookmarkEnd w:id="4315"/>
      <w:bookmarkEnd w:id="4316"/>
    </w:p>
    <w:p w:rsidR="0088374B" w:rsidRPr="0050146A" w:rsidRDefault="0088374B" w:rsidP="0088374B">
      <w:pPr>
        <w:pStyle w:val="a2"/>
      </w:pPr>
      <w:bookmarkStart w:id="4317" w:name="_Toc11625375"/>
      <w:bookmarkStart w:id="4318" w:name="_Toc11664846"/>
      <w:r w:rsidRPr="0050146A">
        <w:rPr>
          <w:rFonts w:hint="cs"/>
          <w:rtl/>
        </w:rPr>
        <w:t>דברי רש"י דלרבא טע"כ דרבנן ומדאו' מהני ביטול ברוב וזרוע בשלה הוא חומרא שצריך שישים</w:t>
      </w:r>
      <w:bookmarkEnd w:id="4317"/>
      <w:bookmarkEnd w:id="4318"/>
    </w:p>
    <w:p w:rsidR="0088374B" w:rsidRPr="0050146A" w:rsidRDefault="0088374B" w:rsidP="009F44AF">
      <w:pPr>
        <w:pStyle w:val="a"/>
        <w:rPr>
          <w:rtl/>
        </w:rPr>
      </w:pPr>
      <w:bookmarkStart w:id="4319" w:name="_Ref11655080"/>
      <w:r w:rsidRPr="0050146A">
        <w:rPr>
          <w:rFonts w:hint="cs"/>
          <w:rtl/>
        </w:rPr>
        <w:t xml:space="preserve">בתירוץ רבא דהא דתני בברייתא "זהו היתר הבא מכלל איסור" היינו כיון דטעם כעיקר בקדשים אסור,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לטעם כעיקר) </w:t>
      </w:r>
      <w:r w:rsidRPr="0050146A">
        <w:rPr>
          <w:rFonts w:hint="cs"/>
          <w:rtl/>
        </w:rPr>
        <w:t xml:space="preserve">דנתינת טעם בקדשים היא אוסרת כעיקר ממשו של האיסור, ולכן תני דדוקא בזרוע בשלה התירה תורה נתינת טעם, ולא בשאר קדשים, אבל לענין חולין כתב </w:t>
      </w:r>
      <w:r w:rsidRPr="0050146A">
        <w:rPr>
          <w:rStyle w:val="af8"/>
          <w:rFonts w:hint="cs"/>
          <w:rtl/>
        </w:rPr>
        <w:t>רש"י</w:t>
      </w:r>
      <w:r w:rsidRPr="0050146A">
        <w:rPr>
          <w:rFonts w:hint="cs"/>
          <w:rtl/>
        </w:rPr>
        <w:t xml:space="preserve"> דילפינן מזרוע בשלה את דין ביטול בשישים או במאה, דכיון דמדאו' הטעם בטל ברוב, מדין אחרי רבים להטות, א"כ אפשר ללמוד לחומרא מזרוע בשלה דאינו מתבטל אלא במאה ושישים, וכתב </w:t>
      </w:r>
      <w:r w:rsidRPr="0050146A">
        <w:rPr>
          <w:rStyle w:val="af8"/>
          <w:rFonts w:hint="cs"/>
          <w:rtl/>
        </w:rPr>
        <w:t>רש"י</w:t>
      </w:r>
      <w:r w:rsidRPr="0050146A">
        <w:rPr>
          <w:rFonts w:hint="cs"/>
          <w:rtl/>
        </w:rPr>
        <w:t xml:space="preserve"> דרבא ס"ל דבחולין טעם כעיקר אינו מדאו' אלא מדרבנן, וכדעת ריו"ח בע"ז </w:t>
      </w:r>
      <w:r w:rsidRPr="0050146A">
        <w:rPr>
          <w:rStyle w:val="af6"/>
          <w:rFonts w:eastAsia="Guttman Hodes" w:hint="cs"/>
          <w:rtl/>
        </w:rPr>
        <w:t xml:space="preserve">(סז.) </w:t>
      </w:r>
      <w:r w:rsidRPr="0050146A">
        <w:rPr>
          <w:rFonts w:hint="cs"/>
          <w:rtl/>
        </w:rPr>
        <w:t>דאמר דטעמו ולא ממשו אין לוקין עליו.</w:t>
      </w:r>
      <w:bookmarkEnd w:id="4319"/>
    </w:p>
    <w:p w:rsidR="0088374B" w:rsidRPr="0050146A" w:rsidRDefault="0088374B" w:rsidP="0088374B">
      <w:pPr>
        <w:pStyle w:val="a2"/>
        <w:rPr>
          <w:rtl/>
        </w:rPr>
      </w:pPr>
      <w:bookmarkStart w:id="4320" w:name="_Toc11625376"/>
      <w:bookmarkStart w:id="4321" w:name="_Toc11664847"/>
      <w:r w:rsidRPr="0050146A">
        <w:rPr>
          <w:rFonts w:hint="cs"/>
          <w:rtl/>
        </w:rPr>
        <w:t>דברי רש"י דלרבא הילפותא ממשרת לטעם כעיקר היא אסמכתא וכן לא ילפינן מגיעולי עכו"ם</w:t>
      </w:r>
      <w:bookmarkEnd w:id="4320"/>
      <w:bookmarkEnd w:id="4321"/>
    </w:p>
    <w:p w:rsidR="0088374B" w:rsidRPr="0050146A" w:rsidRDefault="0088374B" w:rsidP="009F44AF">
      <w:pPr>
        <w:pStyle w:val="a"/>
        <w:rPr>
          <w:rtl/>
        </w:rPr>
      </w:pPr>
      <w:r w:rsidRPr="0050146A">
        <w:rPr>
          <w:rFonts w:hint="cs"/>
          <w:rtl/>
        </w:rPr>
        <w:t xml:space="preserve">והוסיף </w:t>
      </w:r>
      <w:r w:rsidRPr="0050146A">
        <w:rPr>
          <w:rStyle w:val="af8"/>
          <w:rFonts w:hint="cs"/>
          <w:rtl/>
        </w:rPr>
        <w:t>רש"י</w:t>
      </w:r>
      <w:r w:rsidRPr="0050146A">
        <w:rPr>
          <w:rFonts w:hint="cs"/>
          <w:rtl/>
        </w:rPr>
        <w:t xml:space="preserve"> דהא דילפינן בגמ'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 xml:space="preserve">ממשרת דטעם כעיקר, ס"ל לרבא ולריו"ח דהם בתראי דהוא אסמכתא בעלמא, ולא ילפינן מיניה, כיון דהילפותא ממשרת שנאמרה בנזיר, וכן הילפותא מגיעולי עכו"ם הם ב' כתובים הבאים כאחד ואינם מלמדים, ועוד ביאר </w:t>
      </w:r>
      <w:r w:rsidRPr="0050146A">
        <w:rPr>
          <w:rStyle w:val="af8"/>
          <w:rFonts w:hint="cs"/>
          <w:rtl/>
        </w:rPr>
        <w:t>רש"י</w:t>
      </w:r>
      <w:r w:rsidRPr="0050146A">
        <w:rPr>
          <w:rFonts w:hint="cs"/>
          <w:rtl/>
        </w:rPr>
        <w:t xml:space="preserve"> דגיעולי עכו"ם הוא חידוש ולא ילפינן מיניה, כדאיתא בגמ' בפסחים </w:t>
      </w:r>
      <w:r w:rsidRPr="0050146A">
        <w:rPr>
          <w:rStyle w:val="af6"/>
          <w:rFonts w:eastAsia="Guttman Hodes" w:hint="cs"/>
          <w:rtl/>
        </w:rPr>
        <w:t>(מד:)</w:t>
      </w:r>
      <w:r w:rsidRPr="0050146A">
        <w:rPr>
          <w:rFonts w:hint="cs"/>
          <w:rtl/>
        </w:rPr>
        <w:t>, והילפותא ממשרת היא לענין היתר מצטרף לאיסור, ולא לענין טעם כעיקר.</w:t>
      </w:r>
    </w:p>
    <w:p w:rsidR="0088374B" w:rsidRPr="0050146A" w:rsidRDefault="0088374B" w:rsidP="0088374B">
      <w:pPr>
        <w:pStyle w:val="1"/>
        <w:rPr>
          <w:rtl/>
        </w:rPr>
      </w:pPr>
      <w:bookmarkStart w:id="4322" w:name="_Toc11625377"/>
      <w:bookmarkStart w:id="4323" w:name="_Toc11664848"/>
      <w:r w:rsidRPr="0050146A">
        <w:rPr>
          <w:rFonts w:hint="cs"/>
          <w:rtl/>
        </w:rPr>
        <w:t>ביאור הרשב"א דלולי זרוע בשלה היה דין ביטול על הטעם</w:t>
      </w:r>
      <w:bookmarkEnd w:id="4322"/>
      <w:bookmarkEnd w:id="4323"/>
    </w:p>
    <w:p w:rsidR="0088374B" w:rsidRPr="0050146A" w:rsidRDefault="0088374B" w:rsidP="0088374B">
      <w:pPr>
        <w:pStyle w:val="a2"/>
        <w:rPr>
          <w:rtl/>
        </w:rPr>
      </w:pPr>
      <w:bookmarkStart w:id="4324" w:name="_Toc11625378"/>
      <w:bookmarkStart w:id="4325" w:name="_Toc11664849"/>
      <w:r w:rsidRPr="0050146A">
        <w:rPr>
          <w:rFonts w:hint="cs"/>
          <w:rtl/>
        </w:rPr>
        <w:t>ביאור הרשב"א ברש"י דכשאין טעם מהני ביטול בתרי או בעשרה והילפותא מזרוע בשלה לחומרא</w:t>
      </w:r>
      <w:bookmarkEnd w:id="4324"/>
      <w:bookmarkEnd w:id="4325"/>
    </w:p>
    <w:p w:rsidR="0088374B" w:rsidRPr="0050146A" w:rsidRDefault="0088374B" w:rsidP="009F44AF">
      <w:pPr>
        <w:pStyle w:val="a"/>
        <w:rPr>
          <w:rtl/>
        </w:rPr>
      </w:pPr>
      <w:r w:rsidRPr="0050146A">
        <w:rPr>
          <w:rFonts w:hint="cs"/>
          <w:rtl/>
        </w:rPr>
        <w:t xml:space="preserve">וביאר </w:t>
      </w:r>
      <w:r w:rsidRPr="0050146A">
        <w:rPr>
          <w:rStyle w:val="af8"/>
          <w:rFonts w:hint="cs"/>
          <w:rtl/>
        </w:rPr>
        <w:t>הרשב"א</w:t>
      </w:r>
      <w:r w:rsidRPr="0050146A">
        <w:rPr>
          <w:rFonts w:hint="cs"/>
          <w:rtl/>
        </w:rPr>
        <w:t xml:space="preserve"> </w:t>
      </w:r>
      <w:r w:rsidRPr="0050146A">
        <w:rPr>
          <w:rStyle w:val="af6"/>
          <w:rFonts w:eastAsia="Guttman Hodes" w:hint="cs"/>
          <w:rtl/>
        </w:rPr>
        <w:t>(סוד"ה אי הכי)</w:t>
      </w:r>
      <w:r w:rsidRPr="0050146A">
        <w:rPr>
          <w:rFonts w:hint="cs"/>
          <w:rtl/>
        </w:rPr>
        <w:t xml:space="preserve"> את דברי </w:t>
      </w:r>
      <w:r w:rsidRPr="0050146A">
        <w:rPr>
          <w:rStyle w:val="af8"/>
          <w:rFonts w:hint="cs"/>
          <w:rtl/>
        </w:rPr>
        <w:t>רש"י</w:t>
      </w:r>
      <w:r w:rsidRPr="0050146A">
        <w:rPr>
          <w:rFonts w:hint="cs"/>
          <w:rtl/>
        </w:rPr>
        <w:t xml:space="preserve"> דמדאו' בכל מקום שאין טעם מהני ביטול או בתרי או בעשרה, ולכן הילפותא מזרוע </w:t>
      </w:r>
      <w:r w:rsidRPr="0050146A">
        <w:rPr>
          <w:rFonts w:hint="cs"/>
          <w:rtl/>
        </w:rPr>
        <w:lastRenderedPageBreak/>
        <w:t>בשלה היא חומרא דלא מהני ביטול בפחות משישים, ולכן אפשר ללמוד לחומרא אף מזרוע בשלה.</w:t>
      </w:r>
    </w:p>
    <w:p w:rsidR="0088374B" w:rsidRPr="0050146A" w:rsidRDefault="0088374B" w:rsidP="0088374B">
      <w:pPr>
        <w:pStyle w:val="a2"/>
      </w:pPr>
      <w:bookmarkStart w:id="4326" w:name="_Toc11625379"/>
      <w:bookmarkStart w:id="4327" w:name="_Toc11664850"/>
      <w:r w:rsidRPr="0050146A">
        <w:rPr>
          <w:rFonts w:hint="cs"/>
          <w:rtl/>
        </w:rPr>
        <w:t>קושית הרשב"א דלשון הגמ' משמע דביטול מדין רוב ולא לביטול הטעם דהיה לגמ' לפרש כן</w:t>
      </w:r>
      <w:bookmarkEnd w:id="4326"/>
      <w:bookmarkEnd w:id="4327"/>
    </w:p>
    <w:p w:rsidR="0088374B" w:rsidRPr="0050146A" w:rsidRDefault="0088374B" w:rsidP="009F44AF">
      <w:pPr>
        <w:pStyle w:val="a"/>
        <w:rPr>
          <w:rtl/>
        </w:rPr>
      </w:pPr>
      <w:r w:rsidRPr="0050146A">
        <w:rPr>
          <w:rFonts w:hint="cs"/>
          <w:rtl/>
        </w:rPr>
        <w:t xml:space="preserve">אך הקשה </w:t>
      </w:r>
      <w:r w:rsidRPr="0050146A">
        <w:rPr>
          <w:rStyle w:val="af8"/>
          <w:rFonts w:hint="cs"/>
          <w:rtl/>
        </w:rPr>
        <w:t>הרשב"א</w:t>
      </w:r>
      <w:r w:rsidRPr="0050146A">
        <w:rPr>
          <w:rFonts w:hint="cs"/>
          <w:rtl/>
        </w:rPr>
        <w:t xml:space="preserve"> דבלשון הגמ' "דמדאו' ברובא בטיל" משמע דמהני ביטול ברוב בלבד, ואין הכוונה לביטול של הטעם, דאי כוונת הגמ' שצריך לבטל את הטעם, היה לגמ' לפרש כן להדיא.</w:t>
      </w:r>
    </w:p>
    <w:p w:rsidR="0088374B" w:rsidRPr="0050146A" w:rsidRDefault="0088374B" w:rsidP="0088374B">
      <w:pPr>
        <w:pStyle w:val="a2"/>
      </w:pPr>
      <w:bookmarkStart w:id="4328" w:name="_Toc11625380"/>
      <w:bookmarkStart w:id="4329" w:name="_Toc11664851"/>
      <w:r w:rsidRPr="0050146A">
        <w:rPr>
          <w:rFonts w:hint="cs"/>
          <w:rtl/>
        </w:rPr>
        <w:t>ביאור הרשב"א דנקטה הגמ' לשון ביטול ברוב כיון דבמין במינו הוא ביטול ברוב ולא ביטול בטעם</w:t>
      </w:r>
      <w:bookmarkEnd w:id="4328"/>
      <w:bookmarkEnd w:id="4329"/>
    </w:p>
    <w:p w:rsidR="00925DF6" w:rsidRPr="0050146A" w:rsidRDefault="0088374B" w:rsidP="009F44AF">
      <w:pPr>
        <w:pStyle w:val="a"/>
        <w:rPr>
          <w:rtl/>
        </w:rPr>
      </w:pPr>
      <w:r w:rsidRPr="0050146A">
        <w:rPr>
          <w:rFonts w:hint="cs"/>
          <w:rtl/>
        </w:rPr>
        <w:t xml:space="preserve">ותירץ </w:t>
      </w:r>
      <w:r w:rsidRPr="0050146A">
        <w:rPr>
          <w:rStyle w:val="af8"/>
          <w:rFonts w:hint="cs"/>
          <w:rtl/>
        </w:rPr>
        <w:t>הרשב"א</w:t>
      </w:r>
      <w:r w:rsidRPr="0050146A">
        <w:rPr>
          <w:rFonts w:hint="cs"/>
          <w:rtl/>
        </w:rPr>
        <w:t xml:space="preserve"> דאפש"ל דכיון דבמין במינו לא שייך לומר ביטול בטעם, לכן סתמה הגמ' ונקטה לשון ביטול ברוב, אך כוונת הגמ' דבמין בשאינו מינו הביטול הוא ברוב שמבטל את הטעם, ובמין במינו ברוב ממש.</w:t>
      </w:r>
    </w:p>
    <w:p w:rsidR="0088374B" w:rsidRPr="0050146A" w:rsidRDefault="0088374B" w:rsidP="0088374B">
      <w:pPr>
        <w:pStyle w:val="1"/>
        <w:rPr>
          <w:rtl/>
        </w:rPr>
      </w:pPr>
      <w:bookmarkStart w:id="4330" w:name="_Toc11625381"/>
      <w:bookmarkStart w:id="4331" w:name="_Toc11664852"/>
      <w:r w:rsidRPr="0050146A">
        <w:rPr>
          <w:rFonts w:hint="cs"/>
          <w:rtl/>
        </w:rPr>
        <w:t>קושיות התוס' דמשמע ברש"י דלרבא איירי בטעם כל דהו</w:t>
      </w:r>
      <w:bookmarkEnd w:id="4330"/>
      <w:bookmarkEnd w:id="4331"/>
    </w:p>
    <w:p w:rsidR="0088374B" w:rsidRPr="0050146A" w:rsidRDefault="0088374B" w:rsidP="0088374B">
      <w:pPr>
        <w:pStyle w:val="a2"/>
        <w:rPr>
          <w:rtl/>
        </w:rPr>
      </w:pPr>
      <w:bookmarkStart w:id="4332" w:name="_Toc11625382"/>
      <w:bookmarkStart w:id="4333" w:name="_Toc11664853"/>
      <w:r w:rsidRPr="0050146A">
        <w:rPr>
          <w:rFonts w:hint="cs"/>
          <w:rtl/>
        </w:rPr>
        <w:t>קושית הריטב"א דבזרוע בשלה בטל הטעם בשישים וא"א לומר דהיתר שאסור בשאר קדשים</w:t>
      </w:r>
      <w:bookmarkEnd w:id="4332"/>
      <w:bookmarkEnd w:id="4333"/>
    </w:p>
    <w:p w:rsidR="0088374B" w:rsidRPr="0050146A" w:rsidRDefault="0088374B" w:rsidP="009F44AF">
      <w:pPr>
        <w:pStyle w:val="a"/>
        <w:rPr>
          <w:rtl/>
        </w:rPr>
      </w:pPr>
      <w:r w:rsidRPr="0050146A">
        <w:rPr>
          <w:rFonts w:hint="cs"/>
          <w:rtl/>
        </w:rPr>
        <w:t xml:space="preserve">והקשה </w:t>
      </w:r>
      <w:r w:rsidRPr="0050146A">
        <w:rPr>
          <w:rStyle w:val="af8"/>
          <w:rFonts w:hint="cs"/>
          <w:rtl/>
        </w:rPr>
        <w:t>הריטב"א</w:t>
      </w:r>
      <w:r w:rsidRPr="0050146A">
        <w:rPr>
          <w:rFonts w:hint="cs"/>
          <w:rtl/>
        </w:rPr>
        <w:t xml:space="preserve"> </w:t>
      </w:r>
      <w:r w:rsidRPr="0050146A">
        <w:rPr>
          <w:rStyle w:val="af6"/>
          <w:rFonts w:eastAsia="Guttman Hodes" w:hint="cs"/>
          <w:rtl/>
        </w:rPr>
        <w:t>(ד"ה רבא)</w:t>
      </w:r>
      <w:r w:rsidRPr="0050146A">
        <w:rPr>
          <w:rFonts w:hint="cs"/>
          <w:rtl/>
        </w:rPr>
        <w:t xml:space="preserve"> על </w:t>
      </w:r>
      <w:r w:rsidRPr="0050146A">
        <w:rPr>
          <w:rStyle w:val="af8"/>
          <w:rFonts w:hint="cs"/>
          <w:rtl/>
        </w:rPr>
        <w:t>רש"י</w:t>
      </w:r>
      <w:r w:rsidRPr="0050146A">
        <w:rPr>
          <w:rFonts w:hint="cs"/>
          <w:rtl/>
        </w:rPr>
        <w:t xml:space="preserve"> דהאיך אפש"ל דלרבא בקדשים טעם כעיקר אסור, ולא מהני ביטול בחד בתרי, ואפ"ה בזרוע בשלה הוא היתר הבא מכלל איסור דהתירה בו תורה טעם כעיקר, הרי אמר ריב"ל דבזרוע בשלה אין כל טעם, דהוא בטל בשישים או מאה, ומזרוע בשלה ילפינן לכל האיסורין דמהני ביטול בשישים או במאה.</w:t>
      </w:r>
    </w:p>
    <w:p w:rsidR="0088374B" w:rsidRPr="0050146A" w:rsidRDefault="0088374B" w:rsidP="0088374B">
      <w:pPr>
        <w:pStyle w:val="a2"/>
      </w:pPr>
      <w:bookmarkStart w:id="4334" w:name="_Toc11625383"/>
      <w:bookmarkStart w:id="4335" w:name="_Toc11664854"/>
      <w:r w:rsidRPr="0050146A">
        <w:rPr>
          <w:rFonts w:hint="cs"/>
          <w:rtl/>
        </w:rPr>
        <w:t>ביאור התוס' ברש"י דכוונת רבא לטעם משהו דאף שהתבטל בשישים אסור בקדשים</w:t>
      </w:r>
      <w:bookmarkEnd w:id="4334"/>
      <w:bookmarkEnd w:id="4335"/>
    </w:p>
    <w:p w:rsidR="0088374B" w:rsidRPr="0050146A" w:rsidRDefault="0088374B" w:rsidP="009F44AF">
      <w:pPr>
        <w:pStyle w:val="a"/>
      </w:pPr>
      <w:bookmarkStart w:id="4336" w:name="_Toc11625384"/>
      <w:bookmarkStart w:id="4337" w:name="_Toc11664855"/>
      <w:r w:rsidRPr="0050146A">
        <w:rPr>
          <w:rFonts w:hint="cs"/>
          <w:rtl/>
        </w:rPr>
        <w:t xml:space="preserve">וביארו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Fonts w:hint="cs"/>
          <w:rtl/>
        </w:rPr>
        <w:t xml:space="preserve"> דמבואר מדברי </w:t>
      </w:r>
      <w:r w:rsidRPr="0050146A">
        <w:rPr>
          <w:rStyle w:val="af8"/>
          <w:rFonts w:hint="cs"/>
          <w:rtl/>
        </w:rPr>
        <w:t xml:space="preserve">רש"י </w:t>
      </w:r>
      <w:r w:rsidRPr="0050146A">
        <w:rPr>
          <w:rFonts w:hint="cs"/>
          <w:rtl/>
        </w:rPr>
        <w:t xml:space="preserve">דהא דאמר רבא "טעם כעיקר" אין כוונתו לטעם גמור, דהרי הוא התבטל בשישים, אלא הכוונה לטעם כל דהו, וס"ל </w:t>
      </w:r>
      <w:r w:rsidRPr="0050146A">
        <w:rPr>
          <w:rStyle w:val="af8"/>
          <w:rFonts w:hint="cs"/>
          <w:rtl/>
        </w:rPr>
        <w:t xml:space="preserve">לרש"י </w:t>
      </w:r>
      <w:r w:rsidRPr="0050146A">
        <w:rPr>
          <w:rFonts w:hint="cs"/>
          <w:rtl/>
        </w:rPr>
        <w:t xml:space="preserve">דאף טעם זה הוא אסור בקדשים, אעפ"י שהוא רק משהו, וכתבו </w:t>
      </w:r>
      <w:r w:rsidRPr="0050146A">
        <w:rPr>
          <w:rStyle w:val="af8"/>
          <w:rFonts w:hint="cs"/>
          <w:rtl/>
        </w:rPr>
        <w:t>התוס' והתוס' הרא"ש</w:t>
      </w:r>
      <w:r w:rsidRPr="0050146A">
        <w:rPr>
          <w:rStyle w:val="af6"/>
          <w:rFonts w:eastAsia="Guttman Hodes" w:hint="cs"/>
          <w:rtl/>
        </w:rPr>
        <w:t xml:space="preserve"> (ד"ה לא)</w:t>
      </w:r>
      <w:r w:rsidRPr="0050146A">
        <w:rPr>
          <w:rFonts w:hint="cs"/>
          <w:rtl/>
        </w:rPr>
        <w:t xml:space="preserve"> דא"כ קושית הגמ' דנילף מזרוע בשלה, היינו דאף שאר הקדשים יהיו מותרים בשישים או מאה, כמו זרוע בשלה, וע"ז תירצה הגמ' דמטאת ילפינן דהאיסור בקדשים הוא אף בכל שהוא.</w:t>
      </w:r>
    </w:p>
    <w:p w:rsidR="0088374B" w:rsidRPr="0050146A" w:rsidRDefault="0088374B" w:rsidP="0088374B">
      <w:pPr>
        <w:pStyle w:val="a2"/>
        <w:rPr>
          <w:rtl/>
        </w:rPr>
      </w:pPr>
      <w:r w:rsidRPr="0050146A">
        <w:rPr>
          <w:rFonts w:hint="cs"/>
          <w:rtl/>
        </w:rPr>
        <w:t>דחיית הריטב"א דטע"כ משמע שיש בהיתר טעם כעיקר האיסור ולא מצינו בקדשים דאסור במשהו</w:t>
      </w:r>
      <w:bookmarkEnd w:id="4336"/>
      <w:bookmarkEnd w:id="4337"/>
    </w:p>
    <w:p w:rsidR="0088374B" w:rsidRPr="0050146A" w:rsidRDefault="0088374B" w:rsidP="009F44AF">
      <w:pPr>
        <w:pStyle w:val="a"/>
        <w:rPr>
          <w:rtl/>
        </w:rPr>
      </w:pPr>
      <w:r w:rsidRPr="0050146A">
        <w:rPr>
          <w:rFonts w:hint="cs"/>
          <w:rtl/>
        </w:rPr>
        <w:t xml:space="preserve">ודחה </w:t>
      </w:r>
      <w:r w:rsidRPr="0050146A">
        <w:rPr>
          <w:rStyle w:val="af8"/>
          <w:rFonts w:hint="cs"/>
          <w:rtl/>
        </w:rPr>
        <w:t xml:space="preserve">הריטב"א </w:t>
      </w:r>
      <w:r w:rsidRPr="0050146A">
        <w:rPr>
          <w:rStyle w:val="af6"/>
          <w:rFonts w:eastAsia="Guttman Hodes" w:hint="cs"/>
          <w:rtl/>
        </w:rPr>
        <w:t>(ד"ה רבא)</w:t>
      </w:r>
      <w:r w:rsidRPr="0050146A">
        <w:rPr>
          <w:rFonts w:hint="cs"/>
          <w:rtl/>
        </w:rPr>
        <w:t xml:space="preserve"> את תירוץ </w:t>
      </w:r>
      <w:r w:rsidRPr="0050146A">
        <w:rPr>
          <w:rStyle w:val="af8"/>
          <w:rFonts w:hint="cs"/>
          <w:rtl/>
        </w:rPr>
        <w:t>התוס'</w:t>
      </w:r>
      <w:r w:rsidRPr="0050146A">
        <w:rPr>
          <w:rFonts w:hint="cs"/>
          <w:rtl/>
        </w:rPr>
        <w:t xml:space="preserve"> דטעם כעיקר משמע שהאיסור נתן טעם בהיתר, כמו שיש טעם בעיקר ממשו של האיסור, ולא מצינו דבקדשים לרבנן עיקר האיסור אוסר במשהו אפילו במין במינו, ואדרבה רבנן נחלקו על ר"י במה שדרש מדם הפר דאיירי בקדשים.</w:t>
      </w:r>
    </w:p>
    <w:p w:rsidR="0088374B" w:rsidRPr="0050146A" w:rsidRDefault="0088374B" w:rsidP="0088374B">
      <w:pPr>
        <w:pStyle w:val="a2"/>
      </w:pPr>
      <w:bookmarkStart w:id="4338" w:name="_Toc11625385"/>
      <w:bookmarkStart w:id="4339" w:name="_Toc11664856"/>
      <w:r w:rsidRPr="0050146A">
        <w:rPr>
          <w:rFonts w:hint="cs"/>
          <w:rtl/>
        </w:rPr>
        <w:t>קושית התוס' על רש"י דאי איירי בטעם משהו א"צ לדחוק דלרבא טעם כעיקר דרבנן</w:t>
      </w:r>
      <w:bookmarkEnd w:id="4338"/>
      <w:bookmarkEnd w:id="4339"/>
    </w:p>
    <w:p w:rsidR="0088374B" w:rsidRPr="0050146A" w:rsidRDefault="0088374B" w:rsidP="009F44AF">
      <w:pPr>
        <w:pStyle w:val="a"/>
        <w:rPr>
          <w:rtl/>
        </w:rPr>
      </w:pPr>
      <w:r w:rsidRPr="0050146A">
        <w:rPr>
          <w:rStyle w:val="af8"/>
          <w:rFonts w:hint="cs"/>
          <w:rtl/>
        </w:rPr>
        <w:t>והתוס'</w:t>
      </w:r>
      <w:r w:rsidRPr="0050146A">
        <w:rPr>
          <w:rFonts w:hint="cs"/>
          <w:rtl/>
        </w:rPr>
        <w:t xml:space="preserve"> הקשו על </w:t>
      </w:r>
      <w:r w:rsidRPr="0050146A">
        <w:rPr>
          <w:rStyle w:val="af8"/>
          <w:rFonts w:hint="cs"/>
          <w:rtl/>
        </w:rPr>
        <w:t>רש"י</w:t>
      </w:r>
      <w:r w:rsidRPr="0050146A">
        <w:rPr>
          <w:rFonts w:hint="cs"/>
          <w:rtl/>
        </w:rPr>
        <w:t xml:space="preserve"> דאי הכא לא איירי בטעם גמור, אלא בטעם כל דהו, א"כ אמאי צריך לדחוק ולפרש שרבא ס"ל דכל טעם כעיקר בחולין הוא דרבנן ולא דאו', הא אפש"ל דדוקא בטעם כל דהו אין איסור דאו', ועוד הקשו </w:t>
      </w:r>
      <w:r w:rsidRPr="0050146A">
        <w:rPr>
          <w:rStyle w:val="af8"/>
          <w:rFonts w:hint="cs"/>
          <w:rtl/>
        </w:rPr>
        <w:t xml:space="preserve">התוס' </w:t>
      </w:r>
      <w:r w:rsidRPr="0050146A">
        <w:rPr>
          <w:rFonts w:hint="cs"/>
          <w:rtl/>
        </w:rPr>
        <w:t>דהרי אין כל שהו אוסר בקדשים עיי"ש בדבריהם.</w:t>
      </w:r>
    </w:p>
    <w:p w:rsidR="0088374B" w:rsidRPr="0050146A" w:rsidRDefault="0088374B" w:rsidP="0088374B">
      <w:pPr>
        <w:pStyle w:val="a2"/>
        <w:rPr>
          <w:rtl/>
        </w:rPr>
      </w:pPr>
      <w:bookmarkStart w:id="4340" w:name="_Toc11625386"/>
      <w:bookmarkStart w:id="4341" w:name="_Toc11664857"/>
      <w:r w:rsidRPr="0050146A">
        <w:rPr>
          <w:rFonts w:hint="cs"/>
          <w:rtl/>
        </w:rPr>
        <w:t>קושית הריטב"א דאפש"ל דבחולין טע"כ דאו' ובזרוע בשלה איירי בטעם משהו</w:t>
      </w:r>
      <w:bookmarkEnd w:id="4340"/>
      <w:bookmarkEnd w:id="4341"/>
    </w:p>
    <w:p w:rsidR="002D7168" w:rsidRDefault="0088374B" w:rsidP="009F44AF">
      <w:pPr>
        <w:pStyle w:val="a"/>
        <w:rPr>
          <w:rtl/>
        </w:rPr>
      </w:pPr>
      <w:r w:rsidRPr="0050146A">
        <w:rPr>
          <w:rFonts w:hint="cs"/>
          <w:rtl/>
        </w:rPr>
        <w:t xml:space="preserve">וכן הקשה </w:t>
      </w:r>
      <w:r w:rsidRPr="0050146A">
        <w:rPr>
          <w:rStyle w:val="af8"/>
          <w:rFonts w:hint="cs"/>
          <w:rtl/>
        </w:rPr>
        <w:t>הריטב"א</w:t>
      </w:r>
      <w:r w:rsidRPr="0050146A">
        <w:rPr>
          <w:rFonts w:hint="cs"/>
          <w:rtl/>
        </w:rPr>
        <w:t xml:space="preserve"> דאי כוונת </w:t>
      </w:r>
      <w:r w:rsidRPr="0050146A">
        <w:rPr>
          <w:rStyle w:val="af8"/>
          <w:rFonts w:hint="cs"/>
          <w:rtl/>
        </w:rPr>
        <w:t>רש"י</w:t>
      </w:r>
      <w:r w:rsidRPr="0050146A">
        <w:rPr>
          <w:rFonts w:hint="cs"/>
          <w:rtl/>
        </w:rPr>
        <w:t xml:space="preserve"> דטעם כעיקר היינו טעם כל דהו, א"כ למה נדחק </w:t>
      </w:r>
      <w:r w:rsidRPr="0050146A">
        <w:rPr>
          <w:rStyle w:val="af8"/>
          <w:rFonts w:hint="cs"/>
          <w:rtl/>
        </w:rPr>
        <w:t>רש"י</w:t>
      </w:r>
      <w:r w:rsidRPr="0050146A">
        <w:rPr>
          <w:rFonts w:hint="cs"/>
          <w:rtl/>
        </w:rPr>
        <w:t xml:space="preserve"> לומר דבחולין טעם כעיקר אינו מדאו', הא אי בזרוע בשלה לא איירי בטעם גמור אלא בטעם כל דהו, ואילו הגמ' לקמן </w:t>
      </w:r>
      <w:r w:rsidRPr="0050146A">
        <w:rPr>
          <w:rStyle w:val="af6"/>
          <w:rFonts w:eastAsia="Guttman Hodes" w:hint="cs"/>
          <w:rtl/>
        </w:rPr>
        <w:t>(קח.)</w:t>
      </w:r>
      <w:r w:rsidRPr="0050146A">
        <w:rPr>
          <w:rFonts w:hint="cs"/>
          <w:rtl/>
        </w:rPr>
        <w:t xml:space="preserve"> דילפינן טעם כעיקר מבשר בחלב, וריו"ח בע"ז </w:t>
      </w:r>
      <w:r w:rsidRPr="0050146A">
        <w:rPr>
          <w:rStyle w:val="af6"/>
          <w:rFonts w:eastAsia="Guttman Hodes" w:hint="cs"/>
          <w:rtl/>
        </w:rPr>
        <w:t xml:space="preserve">(סז.) </w:t>
      </w:r>
      <w:r w:rsidRPr="0050146A">
        <w:rPr>
          <w:rFonts w:hint="cs"/>
          <w:rtl/>
        </w:rPr>
        <w:t xml:space="preserve">דאמר דטעמו ולא ממשו אין לוקין עליו, וכן הגמ'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דילפינן ממשרת ומגיעולי עכו"ם דטעם כעיקר, בכולם איירי בטעם גמור, וא"כ אף בסוגיין צ"ל דאיירי בטעם גמור.</w:t>
      </w:r>
    </w:p>
    <w:p w:rsidR="0088374B" w:rsidRPr="0050146A" w:rsidRDefault="0088374B" w:rsidP="0088374B">
      <w:pPr>
        <w:pStyle w:val="a2"/>
        <w:rPr>
          <w:rtl/>
        </w:rPr>
      </w:pPr>
      <w:bookmarkStart w:id="4342" w:name="_Toc11625387"/>
      <w:bookmarkStart w:id="4343" w:name="_Toc11664858"/>
      <w:r w:rsidRPr="0050146A">
        <w:rPr>
          <w:rFonts w:hint="cs"/>
          <w:rtl/>
        </w:rPr>
        <w:t>קושית הראב"ן דאי רבא איירי בטעם משהו א"כ אין חילוק בין תירוץ אביי לתירוץ רבא</w:t>
      </w:r>
      <w:bookmarkEnd w:id="4342"/>
      <w:bookmarkEnd w:id="4343"/>
    </w:p>
    <w:p w:rsidR="0088374B" w:rsidRPr="0050146A" w:rsidRDefault="0088374B" w:rsidP="009F44AF">
      <w:pPr>
        <w:pStyle w:val="a"/>
        <w:rPr>
          <w:rtl/>
        </w:rPr>
      </w:pPr>
      <w:r w:rsidRPr="0050146A">
        <w:rPr>
          <w:rFonts w:hint="cs"/>
          <w:rtl/>
        </w:rPr>
        <w:t xml:space="preserve">ועוד הקשה </w:t>
      </w:r>
      <w:r w:rsidRPr="0050146A">
        <w:rPr>
          <w:rStyle w:val="af8"/>
          <w:rFonts w:hint="cs"/>
          <w:rtl/>
        </w:rPr>
        <w:t>הראב"ן</w:t>
      </w:r>
      <w:r w:rsidRPr="0050146A">
        <w:rPr>
          <w:rFonts w:hint="cs"/>
          <w:rtl/>
        </w:rPr>
        <w:t xml:space="preserve"> </w:t>
      </w:r>
      <w:r w:rsidRPr="0050146A">
        <w:rPr>
          <w:rStyle w:val="af6"/>
          <w:rFonts w:eastAsia="Guttman Hodes" w:hint="cs"/>
          <w:rtl/>
        </w:rPr>
        <w:t xml:space="preserve">(בתשו' בסוף הספר, בתשובת רבינו אפרים ד"ה ומה שהבאת, [מהדו' ישנה סוף עמ' דש., מהדו' חד' ח"ג סי' תרי"ג סוף עמ' תת"כ], הועתק בקובץ שיטות קמאי חולין ח"ג עמ' </w:t>
      </w:r>
      <w:r w:rsidRPr="0050146A">
        <w:rPr>
          <w:rStyle w:val="af6"/>
          <w:rFonts w:eastAsia="Guttman Hodes"/>
          <w:rtl/>
        </w:rPr>
        <w:t>ב' אלף רצ</w:t>
      </w:r>
      <w:r w:rsidRPr="0050146A">
        <w:rPr>
          <w:rStyle w:val="af6"/>
          <w:rFonts w:eastAsia="Guttman Hodes" w:hint="cs"/>
          <w:rtl/>
        </w:rPr>
        <w:t>"ו)</w:t>
      </w:r>
      <w:r w:rsidRPr="0050146A">
        <w:rPr>
          <w:rFonts w:hint="cs"/>
          <w:rtl/>
        </w:rPr>
        <w:t xml:space="preserve"> </w:t>
      </w:r>
      <w:r w:rsidRPr="0050146A">
        <w:rPr>
          <w:rStyle w:val="afa"/>
          <w:rFonts w:hint="cs"/>
          <w:rtl/>
        </w:rPr>
        <w:t xml:space="preserve">[על דברי </w:t>
      </w:r>
      <w:r w:rsidRPr="0050146A">
        <w:rPr>
          <w:rStyle w:val="affa"/>
          <w:rFonts w:hint="cs"/>
          <w:rtl/>
        </w:rPr>
        <w:t>רבינו אפרים</w:t>
      </w:r>
      <w:r w:rsidRPr="0050146A">
        <w:rPr>
          <w:rStyle w:val="afa"/>
          <w:rFonts w:hint="cs"/>
          <w:rtl/>
        </w:rPr>
        <w:t xml:space="preserve"> דביאר דכוונת רבא לטעם משהו],</w:t>
      </w:r>
      <w:r w:rsidRPr="0050146A">
        <w:rPr>
          <w:rFonts w:hint="cs"/>
          <w:rtl/>
        </w:rPr>
        <w:t xml:space="preserve"> דהא כיון דאביי תירץ דכוונת הברייתא דזהו היתר הבא מכלל איסור לר"י דבמין במינו לא מהני ביטול, ואילו בזרעו בשלה מהני ביטול אף שהוא מין במינו, </w:t>
      </w:r>
      <w:r w:rsidRPr="0050146A">
        <w:rPr>
          <w:rFonts w:hint="cs"/>
          <w:rtl/>
        </w:rPr>
        <w:t xml:space="preserve">וע"ז תירץ רבא דכוונת הברייתא לטעם כעיקר, ואי כוונת רבא לטעם משהו ולא לטעם גמור, דבזה זרוע בשלה הוא היתר מהבא מכלל איסור, א"כ מהו החילוק בין תירוץ אביי לתירוץ רבא, דלשניהם הכוונה דההיתר שנאמר בזרוע בשלה הוא בטעם משהו, ועוד דבכל הש"ס טעם כעיקר הכוונה לטעם ממש, וכדאיתא בגמ'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דבשרה ענבים במים ויש במים הוא טעם יין, דהוא טעם כעיקר.</w:t>
      </w:r>
    </w:p>
    <w:p w:rsidR="0088374B" w:rsidRPr="0050146A" w:rsidRDefault="0088374B" w:rsidP="0088374B">
      <w:pPr>
        <w:pStyle w:val="1"/>
        <w:rPr>
          <w:rtl/>
        </w:rPr>
      </w:pPr>
      <w:bookmarkStart w:id="4344" w:name="_Toc11625388"/>
      <w:bookmarkStart w:id="4345" w:name="_Toc11664859"/>
      <w:r w:rsidRPr="0050146A">
        <w:rPr>
          <w:rFonts w:hint="cs"/>
          <w:rtl/>
        </w:rPr>
        <w:t>ביאור התוס' דלרבא טע"כ דאו' ומזרוע בשלה ילפינן לקדשים</w:t>
      </w:r>
      <w:bookmarkEnd w:id="4344"/>
      <w:bookmarkEnd w:id="4345"/>
    </w:p>
    <w:p w:rsidR="0088374B" w:rsidRPr="0050146A" w:rsidRDefault="0088374B" w:rsidP="0088374B">
      <w:pPr>
        <w:pStyle w:val="a2"/>
        <w:rPr>
          <w:rtl/>
        </w:rPr>
      </w:pPr>
      <w:bookmarkStart w:id="4346" w:name="_Toc11625389"/>
      <w:bookmarkStart w:id="4347" w:name="_Toc11664860"/>
      <w:r w:rsidRPr="0050146A">
        <w:rPr>
          <w:rFonts w:hint="cs"/>
          <w:rtl/>
        </w:rPr>
        <w:t>ביאור התוס' דלרבא טע"כ דאו' ובקדשים ילפינן מחטאת ובחולין ילפינן ממשרת</w:t>
      </w:r>
      <w:bookmarkEnd w:id="4346"/>
      <w:bookmarkEnd w:id="4347"/>
    </w:p>
    <w:p w:rsidR="0088374B" w:rsidRPr="0050146A" w:rsidRDefault="0088374B" w:rsidP="009F44AF">
      <w:pPr>
        <w:pStyle w:val="a"/>
        <w:rPr>
          <w:rtl/>
        </w:rPr>
      </w:pPr>
      <w:bookmarkStart w:id="4348" w:name="_Ref11660761"/>
      <w:bookmarkStart w:id="4349" w:name="_Ref11596953"/>
      <w:r w:rsidRPr="0050146A">
        <w:rPr>
          <w:rFonts w:hint="cs"/>
          <w:rtl/>
        </w:rPr>
        <w:t xml:space="preserve">אלא ביארו </w:t>
      </w:r>
      <w:r w:rsidRPr="0050146A">
        <w:rPr>
          <w:rStyle w:val="af8"/>
          <w:rFonts w:hint="cs"/>
          <w:rtl/>
        </w:rPr>
        <w:t>התוס'</w:t>
      </w:r>
      <w:r w:rsidRPr="0050146A">
        <w:rPr>
          <w:rFonts w:hint="cs"/>
          <w:rtl/>
        </w:rPr>
        <w:t xml:space="preserve"> דהכא איירי בטעם גמור, דבקדשים ילפינן מחטאת דטעם כעיקר דאו', וכן בחולין ילפינן ממשרת בגמ'</w:t>
      </w:r>
      <w:r w:rsidRPr="0050146A">
        <w:rPr>
          <w:rStyle w:val="af6"/>
          <w:rFonts w:eastAsia="Guttman Hodes" w:hint="cs"/>
          <w:rtl/>
        </w:rPr>
        <w:t xml:space="preserve"> </w:t>
      </w:r>
      <w:r w:rsidRPr="0050146A">
        <w:rPr>
          <w:rFonts w:hint="cs"/>
          <w:rtl/>
        </w:rPr>
        <w:t>ב</w:t>
      </w:r>
      <w:r w:rsidRPr="0050146A">
        <w:rPr>
          <w:rtl/>
        </w:rPr>
        <w:t xml:space="preserve">פסחים </w:t>
      </w:r>
      <w:r w:rsidRPr="0050146A">
        <w:rPr>
          <w:rStyle w:val="af6"/>
          <w:rFonts w:eastAsia="Guttman Hodes" w:hint="cs"/>
          <w:rtl/>
        </w:rPr>
        <w:t xml:space="preserve">(מד.) </w:t>
      </w:r>
      <w:r w:rsidRPr="0050146A">
        <w:rPr>
          <w:rtl/>
        </w:rPr>
        <w:t xml:space="preserve">ובנזיר </w:t>
      </w:r>
      <w:r w:rsidRPr="0050146A">
        <w:rPr>
          <w:rStyle w:val="af6"/>
          <w:rFonts w:eastAsia="Guttman Hodes" w:hint="cs"/>
          <w:rtl/>
        </w:rPr>
        <w:t xml:space="preserve">(לז.) </w:t>
      </w:r>
      <w:r w:rsidRPr="0050146A">
        <w:rPr>
          <w:rFonts w:hint="cs"/>
          <w:rtl/>
        </w:rPr>
        <w:t>דטעם כעיקר דאו'.</w:t>
      </w:r>
      <w:bookmarkEnd w:id="4348"/>
    </w:p>
    <w:p w:rsidR="0088374B" w:rsidRPr="0050146A" w:rsidRDefault="0088374B" w:rsidP="0088374B">
      <w:pPr>
        <w:pStyle w:val="a2"/>
      </w:pPr>
      <w:bookmarkStart w:id="4350" w:name="_Toc11625390"/>
      <w:bookmarkStart w:id="4351" w:name="_Toc11664861"/>
      <w:r w:rsidRPr="0050146A">
        <w:rPr>
          <w:rFonts w:hint="cs"/>
          <w:rtl/>
        </w:rPr>
        <w:t>דברי התוס' דבקדשים מוכח דטע"כ דאו מהא דהתירה תורה זרוע בשלה אף כשאין שישים</w:t>
      </w:r>
      <w:bookmarkEnd w:id="4350"/>
      <w:bookmarkEnd w:id="4351"/>
    </w:p>
    <w:p w:rsidR="0088374B" w:rsidRPr="0050146A" w:rsidRDefault="0088374B" w:rsidP="009F44AF">
      <w:pPr>
        <w:pStyle w:val="a"/>
        <w:rPr>
          <w:rtl/>
        </w:rPr>
      </w:pPr>
      <w:r w:rsidRPr="0050146A">
        <w:rPr>
          <w:rFonts w:hint="cs"/>
          <w:rtl/>
        </w:rPr>
        <w:t xml:space="preserve">והא דאמר רבא "טעם כעיקר בקדשים", ביארו </w:t>
      </w:r>
      <w:r w:rsidRPr="0050146A">
        <w:rPr>
          <w:rStyle w:val="af8"/>
          <w:rFonts w:hint="cs"/>
          <w:rtl/>
        </w:rPr>
        <w:t>התוס'</w:t>
      </w:r>
      <w:r w:rsidRPr="0050146A">
        <w:rPr>
          <w:rFonts w:hint="cs"/>
          <w:rtl/>
        </w:rPr>
        <w:t xml:space="preserve"> דהיינו כיון דהכא איירי בזרוע בשלה דהוא קדשים, ובזרוע בשלה מותר כיון שלפעמים הזרוע וכן חלק מהאיל הם מחוץ לרוטב, והזרוע נותנת טעם בחלק מהאיל שנמצא יחד עמה מחוץ לרוטב, ויתכן שיהיה מהשומן של הזרוע הרבה יותר ממקצת מהאיל שנמצא עמה, ויהיה במקצת האיל פחות מרוב מכנגד השומן של הזרוע, ולא יהיה בזה אפילו ביטול של חד בתרי, וכיון דהתירה התורה את הזרוע בשלה בכל אופן א"כ מוכח דבזרוע בשלה התירה התורה טעם כעיקר.</w:t>
      </w:r>
      <w:bookmarkEnd w:id="4349"/>
      <w:r w:rsidRPr="0050146A">
        <w:rPr>
          <w:rFonts w:hint="cs"/>
          <w:rtl/>
        </w:rPr>
        <w:t xml:space="preserve"> </w:t>
      </w:r>
      <w:r w:rsidRPr="0050146A">
        <w:rPr>
          <w:rStyle w:val="afa"/>
          <w:rFonts w:hint="cs"/>
          <w:rtl/>
        </w:rPr>
        <w:t xml:space="preserve">[דברי </w:t>
      </w:r>
      <w:r w:rsidRPr="0050146A">
        <w:rPr>
          <w:rStyle w:val="affa"/>
          <w:rFonts w:hint="cs"/>
          <w:rtl/>
        </w:rPr>
        <w:t>התוס'</w:t>
      </w:r>
      <w:r w:rsidRPr="0050146A">
        <w:rPr>
          <w:rStyle w:val="afa"/>
          <w:rFonts w:hint="cs"/>
          <w:rtl/>
        </w:rPr>
        <w:t xml:space="preserve"> יבוארו אי"ה באריכות בסימנים ז' ח'].</w:t>
      </w:r>
    </w:p>
    <w:p w:rsidR="0088374B" w:rsidRPr="0050146A" w:rsidRDefault="0088374B" w:rsidP="0088374B">
      <w:pPr>
        <w:pStyle w:val="a2"/>
        <w:rPr>
          <w:rtl/>
        </w:rPr>
      </w:pPr>
      <w:bookmarkStart w:id="4352" w:name="_Toc11625391"/>
      <w:bookmarkStart w:id="4353" w:name="_Toc11664862"/>
      <w:r w:rsidRPr="0050146A">
        <w:rPr>
          <w:rFonts w:hint="cs"/>
          <w:rtl/>
        </w:rPr>
        <w:t>דברי הריטב"א דהתירה תורה את האיל אף אם אבד מקצתו ומ"מ ילפינן שישים מהרוב שיש שישים</w:t>
      </w:r>
      <w:bookmarkEnd w:id="4352"/>
      <w:bookmarkEnd w:id="4353"/>
    </w:p>
    <w:p w:rsidR="0088374B" w:rsidRPr="0050146A" w:rsidRDefault="0088374B" w:rsidP="009F44AF">
      <w:pPr>
        <w:pStyle w:val="a"/>
        <w:rPr>
          <w:rtl/>
        </w:rPr>
      </w:pPr>
      <w:r w:rsidRPr="0050146A">
        <w:rPr>
          <w:rStyle w:val="af8"/>
          <w:rFonts w:hint="cs"/>
          <w:rtl/>
        </w:rPr>
        <w:t>והריטב"א</w:t>
      </w:r>
      <w:r w:rsidRPr="0050146A">
        <w:rPr>
          <w:rFonts w:hint="cs"/>
          <w:rtl/>
        </w:rPr>
        <w:t xml:space="preserve"> </w:t>
      </w:r>
      <w:r w:rsidRPr="0050146A">
        <w:rPr>
          <w:rStyle w:val="af6"/>
          <w:rFonts w:eastAsia="Guttman Hodes" w:hint="cs"/>
          <w:rtl/>
        </w:rPr>
        <w:t>(ד"ה רבא)</w:t>
      </w:r>
      <w:r w:rsidRPr="0050146A">
        <w:rPr>
          <w:rFonts w:hint="cs"/>
          <w:rtl/>
        </w:rPr>
        <w:t xml:space="preserve"> הביא בשם </w:t>
      </w:r>
      <w:r w:rsidRPr="0050146A">
        <w:rPr>
          <w:rStyle w:val="af8"/>
          <w:rFonts w:hint="cs"/>
          <w:rtl/>
        </w:rPr>
        <w:t>הרמב"ן</w:t>
      </w:r>
      <w:r w:rsidRPr="0050146A">
        <w:rPr>
          <w:rFonts w:hint="cs"/>
          <w:rtl/>
        </w:rPr>
        <w:t xml:space="preserve"> דתירץ דקים לן דהתורה התירה את הזרוע בשלה בכל האופנים, בין אם היה כל האיל שלם, ובין אם נאבדו מקצת מהאברים שלו, וא"כ שייך שיהיה טעם של הזרוע באיל באופן שאינו שלם, אלא דמ"מ כיון דעפ"י הרוב כל האיל מתבשל ויש בו שישים כנגד הזרוע, לכן למדו חכמים מזרוע בשלה דמהני ביטול בשישים או במאה.</w:t>
      </w:r>
    </w:p>
    <w:p w:rsidR="0088374B" w:rsidRPr="0050146A" w:rsidRDefault="0088374B" w:rsidP="0088374B">
      <w:pPr>
        <w:pStyle w:val="a2"/>
        <w:rPr>
          <w:rtl/>
        </w:rPr>
      </w:pPr>
      <w:bookmarkStart w:id="4354" w:name="_Toc11625392"/>
      <w:bookmarkStart w:id="4355" w:name="_Toc11664863"/>
      <w:r w:rsidRPr="0050146A">
        <w:rPr>
          <w:rFonts w:hint="cs"/>
          <w:rtl/>
        </w:rPr>
        <w:t>דברי התוס' דרבא מודה לילפותא דמשרת דטעם כעיקר דאו' וס"ל דא"א להוכיח כן מבשר בחלב</w:t>
      </w:r>
      <w:bookmarkEnd w:id="4354"/>
      <w:bookmarkEnd w:id="4355"/>
    </w:p>
    <w:p w:rsidR="0088374B" w:rsidRPr="0050146A" w:rsidRDefault="0088374B" w:rsidP="009F44AF">
      <w:pPr>
        <w:pStyle w:val="a"/>
        <w:rPr>
          <w:rtl/>
        </w:rPr>
      </w:pPr>
      <w:bookmarkStart w:id="4356" w:name="_Ref11624990"/>
      <w:r w:rsidRPr="0050146A">
        <w:rPr>
          <w:rFonts w:hint="cs"/>
          <w:rtl/>
        </w:rPr>
        <w:t xml:space="preserve">והוסיפו </w:t>
      </w:r>
      <w:r w:rsidRPr="0050146A">
        <w:rPr>
          <w:rStyle w:val="af8"/>
          <w:rFonts w:hint="cs"/>
          <w:rtl/>
        </w:rPr>
        <w:t xml:space="preserve">התוס' </w:t>
      </w:r>
      <w:r w:rsidRPr="0050146A">
        <w:rPr>
          <w:rFonts w:hint="cs"/>
          <w:rtl/>
        </w:rPr>
        <w:t xml:space="preserve">דרבא לא נחלק על על הילפותא ממשרת לטעם כעיקר, ומשרת הוא דרשה גמורה ואינה אסמכתא, והוסיפו </w:t>
      </w:r>
      <w:r w:rsidRPr="0050146A">
        <w:rPr>
          <w:rStyle w:val="af8"/>
          <w:rFonts w:hint="cs"/>
          <w:rtl/>
        </w:rPr>
        <w:t xml:space="preserve">התוס' </w:t>
      </w:r>
      <w:r w:rsidRPr="0050146A">
        <w:rPr>
          <w:rFonts w:hint="cs"/>
          <w:rtl/>
        </w:rPr>
        <w:t xml:space="preserve">דהא דאביי לקמן </w:t>
      </w:r>
      <w:r w:rsidRPr="0050146A">
        <w:rPr>
          <w:rStyle w:val="af6"/>
          <w:rFonts w:eastAsia="Guttman Hodes" w:hint="cs"/>
          <w:rtl/>
        </w:rPr>
        <w:t>(קח.)</w:t>
      </w:r>
      <w:r w:rsidRPr="0050146A">
        <w:rPr>
          <w:rFonts w:hint="cs"/>
          <w:rtl/>
        </w:rPr>
        <w:t xml:space="preserve"> אמר דטעמו ולא ממשו דאו', כדמוכח מבשר בחלב דאסור רק בטעם, ודחה לו רבא דבבשר בחלב אסרה תורה בדרך בישול, דאין כוונת רבא לדחות דטעם כעיקר דרבנן, אלא דא"א ללמוד את דין טעם כעיקר מבשר בחלב, ודלא כדברי </w:t>
      </w:r>
      <w:r w:rsidRPr="0050146A">
        <w:rPr>
          <w:rStyle w:val="af8"/>
          <w:rFonts w:hint="cs"/>
          <w:rtl/>
        </w:rPr>
        <w:t xml:space="preserve">הראשונים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Ref11624483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Pr="0050146A">
        <w:rPr>
          <w:rStyle w:val="af6"/>
          <w:rFonts w:eastAsia="Guttman Hodes"/>
          <w:rtl/>
        </w:rPr>
        <w:fldChar w:fldCharType="end"/>
      </w:r>
      <w:r w:rsidRPr="0050146A">
        <w:rPr>
          <w:rFonts w:hint="cs"/>
          <w:rtl/>
        </w:rPr>
        <w:t xml:space="preserve"> בשם </w:t>
      </w:r>
      <w:r w:rsidRPr="0050146A">
        <w:rPr>
          <w:rStyle w:val="af8"/>
          <w:rFonts w:hint="cs"/>
          <w:rtl/>
        </w:rPr>
        <w:t xml:space="preserve">רש"י </w:t>
      </w:r>
      <w:r w:rsidRPr="0050146A">
        <w:rPr>
          <w:rFonts w:hint="cs"/>
          <w:rtl/>
        </w:rPr>
        <w:t>דמוכח בגמ' לקמן דלרבא טעם כעיקר דרבנן.</w:t>
      </w:r>
      <w:bookmarkEnd w:id="4356"/>
    </w:p>
    <w:p w:rsidR="0088374B" w:rsidRPr="0050146A" w:rsidRDefault="0088374B" w:rsidP="00E669F8">
      <w:pPr>
        <w:pStyle w:val="afd"/>
        <w:rPr>
          <w:rtl/>
        </w:rPr>
      </w:pPr>
      <w:bookmarkStart w:id="4357" w:name="_Toc11600032"/>
      <w:bookmarkStart w:id="4358" w:name="_Toc11625393"/>
      <w:bookmarkStart w:id="4359" w:name="_Toc11664864"/>
      <w:r w:rsidRPr="0050146A">
        <w:rPr>
          <w:rFonts w:hint="cs"/>
          <w:rtl/>
        </w:rPr>
        <w:t>בגדר ביטול טעם הנרגש בשישים</w:t>
      </w:r>
      <w:bookmarkEnd w:id="4357"/>
      <w:bookmarkEnd w:id="4358"/>
      <w:bookmarkEnd w:id="4359"/>
    </w:p>
    <w:p w:rsidR="0088374B" w:rsidRPr="0050146A" w:rsidRDefault="0088374B" w:rsidP="0088374B">
      <w:pPr>
        <w:pStyle w:val="1"/>
        <w:rPr>
          <w:rtl/>
        </w:rPr>
      </w:pPr>
      <w:bookmarkStart w:id="4360" w:name="_Toc11054227"/>
      <w:bookmarkStart w:id="4361" w:name="_Toc11096286"/>
      <w:bookmarkStart w:id="4362" w:name="_Toc11231330"/>
      <w:bookmarkStart w:id="4363" w:name="_Toc11236480"/>
      <w:bookmarkStart w:id="4364" w:name="_Toc11406452"/>
      <w:bookmarkStart w:id="4365" w:name="_Toc11600033"/>
      <w:bookmarkStart w:id="4366" w:name="_Toc11625394"/>
      <w:bookmarkStart w:id="4367" w:name="_Toc11664865"/>
      <w:r w:rsidRPr="0050146A">
        <w:rPr>
          <w:rFonts w:hint="cs"/>
          <w:rtl/>
        </w:rPr>
        <w:t>דברי רש"י</w:t>
      </w:r>
      <w:bookmarkEnd w:id="4360"/>
      <w:bookmarkEnd w:id="4361"/>
      <w:bookmarkEnd w:id="4362"/>
      <w:bookmarkEnd w:id="4363"/>
      <w:r w:rsidRPr="0050146A">
        <w:rPr>
          <w:rFonts w:hint="cs"/>
          <w:rtl/>
        </w:rPr>
        <w:t xml:space="preserve"> דלא ילפינן מזרוע בשלה להתיר טעם בשישים</w:t>
      </w:r>
      <w:bookmarkEnd w:id="4364"/>
      <w:bookmarkEnd w:id="4365"/>
      <w:bookmarkEnd w:id="4366"/>
      <w:bookmarkEnd w:id="4367"/>
      <w:r w:rsidRPr="0050146A">
        <w:rPr>
          <w:rFonts w:hint="cs"/>
          <w:rtl/>
        </w:rPr>
        <w:t xml:space="preserve"> </w:t>
      </w:r>
    </w:p>
    <w:p w:rsidR="0088374B" w:rsidRPr="0050146A" w:rsidRDefault="0088374B" w:rsidP="0088374B">
      <w:pPr>
        <w:pStyle w:val="a2"/>
        <w:rPr>
          <w:rtl/>
        </w:rPr>
      </w:pPr>
      <w:bookmarkStart w:id="4368" w:name="_Toc11406453"/>
      <w:bookmarkStart w:id="4369" w:name="_Toc11600034"/>
      <w:bookmarkStart w:id="4370" w:name="_Toc11625395"/>
      <w:bookmarkStart w:id="4371" w:name="_Toc11664866"/>
      <w:r w:rsidRPr="0050146A">
        <w:rPr>
          <w:rFonts w:hint="cs"/>
          <w:rtl/>
        </w:rPr>
        <w:t>דברי רש"י דאפשר למילף דמהני ביטול בשישים אף כשיש טעם מ"מ החמירו דטעמא לא בטיל</w:t>
      </w:r>
      <w:bookmarkEnd w:id="4368"/>
      <w:bookmarkEnd w:id="4369"/>
      <w:bookmarkEnd w:id="4370"/>
      <w:bookmarkEnd w:id="4371"/>
    </w:p>
    <w:p w:rsidR="0088374B" w:rsidRPr="0050146A" w:rsidRDefault="0088374B" w:rsidP="009F44AF">
      <w:pPr>
        <w:pStyle w:val="a"/>
        <w:rPr>
          <w:rtl/>
        </w:rPr>
      </w:pPr>
      <w:bookmarkStart w:id="4372" w:name="_Ref11098359"/>
      <w:r w:rsidRPr="0050146A">
        <w:rPr>
          <w:rFonts w:hint="cs"/>
          <w:rtl/>
        </w:rPr>
        <w:t xml:space="preserve">כתב </w:t>
      </w:r>
      <w:r w:rsidRPr="0050146A">
        <w:rPr>
          <w:rStyle w:val="af8"/>
          <w:rFonts w:hint="cs"/>
          <w:rtl/>
        </w:rPr>
        <w:t>רש"י</w:t>
      </w:r>
      <w:r w:rsidRPr="0050146A">
        <w:rPr>
          <w:rStyle w:val="af6"/>
          <w:rFonts w:eastAsia="Guttman Hodes" w:hint="cs"/>
          <w:rtl/>
        </w:rPr>
        <w:t xml:space="preserve"> (ד"ה ושניהם)</w:t>
      </w:r>
      <w:r w:rsidRPr="0050146A">
        <w:rPr>
          <w:rFonts w:hint="cs"/>
          <w:rtl/>
        </w:rPr>
        <w:t xml:space="preserve"> דאף דאפשר ללמוד מזרוע בשלה דמהני ביטול בשישים, אף במקום שיש נתינת טעם, דהא זרוע בשלה הוא מין במינו, והיה אפש"ל דאם זרוע בשלה היה מין בשאינו מינו הייתה נתינת טעם אף בשישים או במאה, וא"כ אפשר ללמוד דמהני ביטול בשישים או במאה, אף במקום שיש נתינת טעם, מ"מ החמירו רבנן דטעמא לא בטיל, ועי' במ"ש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Ref11663356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קטו)</w:t>
      </w:r>
      <w:r w:rsidRPr="0050146A">
        <w:rPr>
          <w:rStyle w:val="af6"/>
          <w:rFonts w:eastAsia="Guttman Hodes"/>
          <w:rtl/>
        </w:rPr>
        <w:fldChar w:fldCharType="end"/>
      </w:r>
      <w:r w:rsidRPr="0050146A">
        <w:rPr>
          <w:rFonts w:hint="cs"/>
          <w:rtl/>
        </w:rPr>
        <w:t xml:space="preserve"> בדברי </w:t>
      </w:r>
      <w:r w:rsidRPr="0050146A">
        <w:rPr>
          <w:rStyle w:val="af8"/>
          <w:rFonts w:hint="cs"/>
          <w:rtl/>
        </w:rPr>
        <w:t>רש"י</w:t>
      </w:r>
      <w:r w:rsidRPr="0050146A">
        <w:rPr>
          <w:rFonts w:hint="cs"/>
          <w:rtl/>
        </w:rPr>
        <w:t>.</w:t>
      </w:r>
      <w:bookmarkEnd w:id="4372"/>
    </w:p>
    <w:p w:rsidR="0088374B" w:rsidRPr="0050146A" w:rsidRDefault="0088374B" w:rsidP="0088374B">
      <w:pPr>
        <w:pStyle w:val="a2"/>
        <w:rPr>
          <w:rtl/>
        </w:rPr>
      </w:pPr>
      <w:bookmarkStart w:id="4373" w:name="_Toc11625396"/>
      <w:bookmarkStart w:id="4374" w:name="_Toc11664867"/>
      <w:r w:rsidRPr="0050146A">
        <w:rPr>
          <w:rFonts w:hint="cs"/>
          <w:rtl/>
        </w:rPr>
        <w:t>קושית הריטב"א על רש"י דבזרוע בשלה דמין במינו ואין טעם מותר בשישים אבל כשיש טעם אסור</w:t>
      </w:r>
      <w:bookmarkEnd w:id="4373"/>
      <w:bookmarkEnd w:id="4374"/>
    </w:p>
    <w:p w:rsidR="0088374B" w:rsidRPr="0050146A" w:rsidRDefault="0088374B" w:rsidP="009F44AF">
      <w:pPr>
        <w:pStyle w:val="a"/>
        <w:rPr>
          <w:rtl/>
        </w:rPr>
      </w:pPr>
      <w:bookmarkStart w:id="4375" w:name="_Ref11098483"/>
      <w:bookmarkStart w:id="4376" w:name="_Ref11621600"/>
      <w:r w:rsidRPr="0050146A">
        <w:rPr>
          <w:rFonts w:hint="cs"/>
          <w:rtl/>
        </w:rPr>
        <w:lastRenderedPageBreak/>
        <w:t xml:space="preserve">והקשה </w:t>
      </w:r>
      <w:r w:rsidRPr="0050146A">
        <w:rPr>
          <w:rStyle w:val="af8"/>
          <w:rFonts w:hint="cs"/>
          <w:rtl/>
        </w:rPr>
        <w:t>הריטב"א</w:t>
      </w:r>
      <w:r w:rsidRPr="0050146A">
        <w:rPr>
          <w:rFonts w:hint="cs"/>
          <w:rtl/>
        </w:rPr>
        <w:t xml:space="preserve"> </w:t>
      </w:r>
      <w:r w:rsidRPr="0050146A">
        <w:rPr>
          <w:rStyle w:val="af6"/>
          <w:rFonts w:eastAsia="Guttman Hodes" w:hint="cs"/>
          <w:rtl/>
        </w:rPr>
        <w:t>(צח. ד"ה ושניהם)</w:t>
      </w:r>
      <w:r w:rsidRPr="0050146A">
        <w:rPr>
          <w:rFonts w:hint="cs"/>
          <w:rtl/>
        </w:rPr>
        <w:t xml:space="preserve"> על </w:t>
      </w:r>
      <w:r w:rsidRPr="0050146A">
        <w:rPr>
          <w:rStyle w:val="af8"/>
          <w:rFonts w:hint="cs"/>
          <w:rtl/>
        </w:rPr>
        <w:t xml:space="preserve">רש"י </w:t>
      </w:r>
      <w:r w:rsidRPr="0050146A">
        <w:rPr>
          <w:rFonts w:hint="cs"/>
          <w:rtl/>
        </w:rPr>
        <w:t>דאי נימא דבזרוע בשלה אם היה מין בשאינו מינו יש נתינת טעם, א"כ כיון דאמור רבנן דטעמא לא בטיל, א"כ א"א ללמוד מזרוע בשלה להתיר מין בשאינו מינו בשישים או במאה, דהא יתכן שיש נתינת טעם אף בשישים ומאה, אלא דבמין במינו התירה התורה כיון שאין הטעם ניכר, וחד בתרי בטיל, אבל במין בשאינו מינו שיש נתינת טעם והוא ניכר, לא התירה תורה בשישים או במאה</w:t>
      </w:r>
      <w:bookmarkEnd w:id="4375"/>
      <w:r w:rsidRPr="0050146A">
        <w:rPr>
          <w:rFonts w:hint="cs"/>
          <w:rtl/>
        </w:rPr>
        <w:t xml:space="preserve">, ועי' במה שהוסיף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Ref11621657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50146A">
        <w:rPr>
          <w:rStyle w:val="af6"/>
          <w:rFonts w:eastAsia="Guttman Hodes"/>
          <w:rtl/>
        </w:rPr>
        <w:fldChar w:fldCharType="end"/>
      </w:r>
      <w:r w:rsidRPr="0050146A">
        <w:rPr>
          <w:rFonts w:hint="cs"/>
          <w:rtl/>
        </w:rPr>
        <w:t xml:space="preserve"> להקשות על עיקר הילפותא.</w:t>
      </w:r>
      <w:bookmarkEnd w:id="4376"/>
    </w:p>
    <w:p w:rsidR="0088374B" w:rsidRPr="0050146A" w:rsidRDefault="0088374B" w:rsidP="0088374B">
      <w:pPr>
        <w:pStyle w:val="a2"/>
      </w:pPr>
      <w:bookmarkStart w:id="4377" w:name="_Toc11625397"/>
      <w:bookmarkStart w:id="4378" w:name="_Toc11664868"/>
      <w:r w:rsidRPr="0050146A">
        <w:rPr>
          <w:rFonts w:hint="cs"/>
          <w:rtl/>
        </w:rPr>
        <w:t>ביאור הראש יוסף דכוונת הריטב"א להקשות היאך מותר לרש"י בשישים כשאין קפילא</w:t>
      </w:r>
      <w:bookmarkEnd w:id="4377"/>
      <w:bookmarkEnd w:id="4378"/>
      <w:r w:rsidRPr="0050146A">
        <w:rPr>
          <w:rFonts w:hint="cs"/>
          <w:rtl/>
        </w:rPr>
        <w:t xml:space="preserve"> </w:t>
      </w:r>
    </w:p>
    <w:p w:rsidR="00925DF6" w:rsidRPr="0050146A" w:rsidRDefault="0088374B" w:rsidP="009F44AF">
      <w:pPr>
        <w:pStyle w:val="a"/>
        <w:rPr>
          <w:sz w:val="10"/>
          <w:szCs w:val="14"/>
          <w:rtl/>
        </w:rPr>
      </w:pPr>
      <w:r w:rsidRPr="0050146A">
        <w:rPr>
          <w:rFonts w:hint="cs"/>
          <w:rtl/>
        </w:rPr>
        <w:t xml:space="preserve">וביאר </w:t>
      </w:r>
      <w:r w:rsidRPr="0050146A">
        <w:rPr>
          <w:rStyle w:val="af8"/>
          <w:rFonts w:hint="cs"/>
          <w:rtl/>
        </w:rPr>
        <w:t>הראש יוסף</w:t>
      </w:r>
      <w:r w:rsidRPr="0050146A">
        <w:rPr>
          <w:rFonts w:hint="cs"/>
          <w:rtl/>
        </w:rPr>
        <w:t xml:space="preserve"> </w:t>
      </w:r>
      <w:r w:rsidRPr="0050146A">
        <w:rPr>
          <w:rStyle w:val="af6"/>
          <w:rFonts w:eastAsia="Guttman Rashi" w:hint="cs"/>
          <w:rtl/>
        </w:rPr>
        <w:t>(ד"ה והריטב"א)</w:t>
      </w:r>
      <w:r w:rsidRPr="0050146A">
        <w:rPr>
          <w:rFonts w:hint="cs"/>
          <w:rtl/>
        </w:rPr>
        <w:t xml:space="preserve"> דכוונת </w:t>
      </w:r>
      <w:r w:rsidRPr="0050146A">
        <w:rPr>
          <w:rStyle w:val="af8"/>
          <w:rFonts w:hint="cs"/>
          <w:rtl/>
        </w:rPr>
        <w:t>הריטב"א</w:t>
      </w:r>
      <w:r w:rsidRPr="0050146A">
        <w:rPr>
          <w:rFonts w:hint="cs"/>
          <w:rtl/>
        </w:rPr>
        <w:t xml:space="preserve"> להקשות דאף דס"ל </w:t>
      </w:r>
      <w:r w:rsidRPr="0050146A">
        <w:rPr>
          <w:rStyle w:val="af8"/>
          <w:rFonts w:hint="cs"/>
          <w:rtl/>
        </w:rPr>
        <w:t>לרש"י</w:t>
      </w:r>
      <w:r w:rsidRPr="0050146A">
        <w:rPr>
          <w:rFonts w:hint="cs"/>
          <w:rtl/>
        </w:rPr>
        <w:t xml:space="preserve"> </w:t>
      </w:r>
      <w:r w:rsidRPr="0050146A">
        <w:rPr>
          <w:rStyle w:val="af6"/>
          <w:rFonts w:eastAsia="Guttman Rashi" w:hint="cs"/>
          <w:rtl/>
        </w:rPr>
        <w:t>(צח. ד"ה בס')</w:t>
      </w:r>
      <w:r w:rsidRPr="0050146A">
        <w:rPr>
          <w:rFonts w:hint="cs"/>
          <w:rtl/>
        </w:rPr>
        <w:t xml:space="preserve"> שצריך גם קפילא וגם שישים, מ"מ היאך מותר בשישים בדליכא קפילא, הרי יתכן שיש נתינת טעם, ומדרבנן הטעם אינו מתבטל, וכתב </w:t>
      </w:r>
      <w:r w:rsidRPr="0050146A">
        <w:rPr>
          <w:rStyle w:val="af8"/>
          <w:rFonts w:hint="cs"/>
          <w:rtl/>
        </w:rPr>
        <w:t>הראש יוסף</w:t>
      </w:r>
      <w:r w:rsidRPr="0050146A">
        <w:rPr>
          <w:rFonts w:hint="cs"/>
          <w:rtl/>
        </w:rPr>
        <w:t xml:space="preserve"> דצריך לדחוק דאף </w:t>
      </w:r>
      <w:r w:rsidRPr="0050146A">
        <w:rPr>
          <w:rStyle w:val="af8"/>
          <w:rFonts w:hint="cs"/>
          <w:rtl/>
        </w:rPr>
        <w:t>רש"י</w:t>
      </w:r>
      <w:r w:rsidRPr="0050146A">
        <w:rPr>
          <w:rFonts w:hint="cs"/>
          <w:rtl/>
        </w:rPr>
        <w:t xml:space="preserve"> מודה שיש רוב שאין טעם בשישים, ורק כשיש קפילא דאיכא לברורי לא סמכינן על הרוב.</w:t>
      </w:r>
    </w:p>
    <w:p w:rsidR="0088374B" w:rsidRPr="0050146A" w:rsidRDefault="0088374B" w:rsidP="00E669F8">
      <w:pPr>
        <w:pStyle w:val="afd"/>
        <w:rPr>
          <w:rtl/>
        </w:rPr>
      </w:pPr>
      <w:bookmarkStart w:id="4379" w:name="_Toc11664869"/>
      <w:r w:rsidRPr="0050146A">
        <w:rPr>
          <w:rFonts w:hint="cs"/>
          <w:rtl/>
        </w:rPr>
        <w:t>ביאורי האחרונים בטעם ביותר מס' לרש"י</w:t>
      </w:r>
      <w:bookmarkEnd w:id="4379"/>
    </w:p>
    <w:p w:rsidR="0088374B" w:rsidRPr="0050146A" w:rsidRDefault="0088374B" w:rsidP="0088374B">
      <w:pPr>
        <w:pStyle w:val="1"/>
        <w:rPr>
          <w:rtl/>
        </w:rPr>
      </w:pPr>
      <w:bookmarkStart w:id="4380" w:name="_Toc11231333"/>
      <w:bookmarkStart w:id="4381" w:name="_Toc11236483"/>
      <w:bookmarkStart w:id="4382" w:name="_Toc11406476"/>
      <w:bookmarkStart w:id="4383" w:name="_Toc11600035"/>
      <w:bookmarkStart w:id="4384" w:name="_Toc11625398"/>
      <w:bookmarkStart w:id="4385" w:name="_Toc11664870"/>
      <w:r w:rsidRPr="0050146A">
        <w:rPr>
          <w:rFonts w:hint="cs"/>
          <w:rtl/>
        </w:rPr>
        <w:t>ביאור הראש יוסף ברש"י</w:t>
      </w:r>
      <w:bookmarkEnd w:id="4380"/>
      <w:bookmarkEnd w:id="4381"/>
      <w:r w:rsidRPr="0050146A">
        <w:rPr>
          <w:rFonts w:hint="cs"/>
          <w:rtl/>
        </w:rPr>
        <w:t xml:space="preserve"> דאף דטע"כ דרבנן ל"מ ס' כשיש טעם</w:t>
      </w:r>
      <w:bookmarkEnd w:id="4382"/>
      <w:bookmarkEnd w:id="4383"/>
      <w:bookmarkEnd w:id="4384"/>
      <w:bookmarkEnd w:id="4385"/>
    </w:p>
    <w:p w:rsidR="0088374B" w:rsidRPr="0050146A" w:rsidRDefault="0088374B" w:rsidP="0088374B">
      <w:pPr>
        <w:pStyle w:val="a2"/>
        <w:rPr>
          <w:rtl/>
        </w:rPr>
      </w:pPr>
      <w:bookmarkStart w:id="4386" w:name="_Toc11406477"/>
      <w:bookmarkStart w:id="4387" w:name="_Toc11600036"/>
      <w:bookmarkStart w:id="4388" w:name="_Toc11625399"/>
      <w:bookmarkStart w:id="4389" w:name="_Toc11664871"/>
      <w:r w:rsidRPr="0050146A">
        <w:rPr>
          <w:rFonts w:hint="cs"/>
          <w:rtl/>
        </w:rPr>
        <w:t>דברי הראש יוסף דמבואר ברש"י דלפעמים יש טעם בשישים ולכן צריך גם קפילא וגם שישים</w:t>
      </w:r>
      <w:bookmarkEnd w:id="4386"/>
      <w:bookmarkEnd w:id="4387"/>
      <w:bookmarkEnd w:id="4388"/>
      <w:bookmarkEnd w:id="4389"/>
    </w:p>
    <w:p w:rsidR="0088374B" w:rsidRPr="0050146A" w:rsidRDefault="0088374B" w:rsidP="009F44AF">
      <w:pPr>
        <w:pStyle w:val="a"/>
        <w:rPr>
          <w:rtl/>
        </w:rPr>
      </w:pPr>
      <w:bookmarkStart w:id="4390" w:name="_Ref11405210"/>
      <w:bookmarkStart w:id="4391" w:name="_Ref11231293"/>
      <w:r w:rsidRPr="0050146A">
        <w:rPr>
          <w:rFonts w:hint="cs"/>
          <w:rtl/>
        </w:rPr>
        <w:t xml:space="preserve">וכתב </w:t>
      </w:r>
      <w:r w:rsidRPr="0050146A">
        <w:rPr>
          <w:rStyle w:val="af8"/>
          <w:rFonts w:hint="cs"/>
          <w:rtl/>
        </w:rPr>
        <w:t>הראש יוסף</w:t>
      </w:r>
      <w:r w:rsidRPr="0050146A">
        <w:rPr>
          <w:rFonts w:hint="cs"/>
          <w:rtl/>
        </w:rPr>
        <w:t xml:space="preserve"> </w:t>
      </w:r>
      <w:r w:rsidRPr="0050146A">
        <w:rPr>
          <w:rStyle w:val="af6"/>
          <w:rFonts w:eastAsia="Guttman Hodes" w:hint="cs"/>
          <w:rtl/>
        </w:rPr>
        <w:t>(צח. על רש"י ד"ה ושניהם)</w:t>
      </w:r>
      <w:r w:rsidRPr="0050146A">
        <w:rPr>
          <w:rFonts w:hint="cs"/>
          <w:rtl/>
        </w:rPr>
        <w:t xml:space="preserve"> דמשמע 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Ref11098359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Fonts w:hint="cs"/>
          <w:rtl/>
        </w:rPr>
        <w:t xml:space="preserve"> דגדר השיעור בשישים, אינו מחמת דבשישים אין נתינת טעם כלל, אלא דלפעמים יש נתינת טעם אף בשישים, וכדס"ל </w:t>
      </w:r>
      <w:r w:rsidRPr="0050146A">
        <w:rPr>
          <w:rStyle w:val="af8"/>
          <w:rFonts w:hint="cs"/>
          <w:rtl/>
        </w:rPr>
        <w:t xml:space="preserve">לרש"י </w:t>
      </w:r>
      <w:r w:rsidRPr="0050146A">
        <w:rPr>
          <w:rStyle w:val="af6"/>
          <w:rFonts w:eastAsia="Guttman Hodes" w:hint="cs"/>
          <w:rtl/>
        </w:rPr>
        <w:t>(צח. ד"ה בס')</w:t>
      </w:r>
      <w:r w:rsidRPr="0050146A">
        <w:rPr>
          <w:rFonts w:hint="cs"/>
          <w:rtl/>
        </w:rPr>
        <w:t xml:space="preserve"> שצריך גם קפילא וגם שישים.</w:t>
      </w:r>
      <w:bookmarkEnd w:id="4390"/>
    </w:p>
    <w:p w:rsidR="0088374B" w:rsidRPr="0050146A" w:rsidRDefault="0088374B" w:rsidP="0088374B">
      <w:pPr>
        <w:pStyle w:val="a2"/>
      </w:pPr>
      <w:bookmarkStart w:id="4392" w:name="_Toc11406478"/>
      <w:bookmarkStart w:id="4393" w:name="_Toc11600037"/>
      <w:bookmarkStart w:id="4394" w:name="_Toc11625400"/>
      <w:bookmarkStart w:id="4395" w:name="_Toc11664872"/>
      <w:r w:rsidRPr="0050146A">
        <w:rPr>
          <w:rFonts w:hint="cs"/>
          <w:rtl/>
        </w:rPr>
        <w:t>ביאור הראש יוסף ברש"י דאף דטע"כ דרבנן מ"מ במקום שיש טעם לא סגי בשישים וצריך קפילא</w:t>
      </w:r>
      <w:bookmarkEnd w:id="4392"/>
      <w:bookmarkEnd w:id="4393"/>
      <w:bookmarkEnd w:id="4394"/>
      <w:bookmarkEnd w:id="4395"/>
    </w:p>
    <w:p w:rsidR="0088374B" w:rsidRPr="0050146A" w:rsidRDefault="0088374B" w:rsidP="009F44AF">
      <w:pPr>
        <w:pStyle w:val="a"/>
        <w:rPr>
          <w:rStyle w:val="afa"/>
          <w:rtl/>
        </w:rPr>
      </w:pPr>
      <w:bookmarkStart w:id="4396" w:name="_Ref11405242"/>
      <w:r w:rsidRPr="0050146A">
        <w:rPr>
          <w:rFonts w:hint="cs"/>
          <w:rtl/>
        </w:rPr>
        <w:t xml:space="preserve">וביאר </w:t>
      </w:r>
      <w:r w:rsidRPr="0050146A">
        <w:rPr>
          <w:rStyle w:val="af8"/>
          <w:rFonts w:hint="cs"/>
          <w:rtl/>
        </w:rPr>
        <w:t>הראש יוסף</w:t>
      </w:r>
      <w:r w:rsidRPr="0050146A">
        <w:rPr>
          <w:rFonts w:hint="cs"/>
          <w:rtl/>
        </w:rPr>
        <w:t xml:space="preserve"> דלכן כתב </w:t>
      </w:r>
      <w:r w:rsidRPr="0050146A">
        <w:rPr>
          <w:rStyle w:val="af8"/>
          <w:rFonts w:hint="cs"/>
          <w:rtl/>
        </w:rPr>
        <w:t>רש"י</w:t>
      </w:r>
      <w:r w:rsidRPr="0050146A">
        <w:rPr>
          <w:rFonts w:hint="cs"/>
          <w:rtl/>
        </w:rPr>
        <w:t xml:space="preserve"> דהיה אפשר ללמוד מזרוע בשלה, דכמו דבזרוע בשלה סגי בשישים, ה"ה דבמין בשאינו מינו סגי בשישים, אף במקום שיש נתינת טעם, וא"כ לא היה צריך גם שישים וגם קפילא, וע"ז כתב </w:t>
      </w:r>
      <w:r w:rsidRPr="0050146A">
        <w:rPr>
          <w:rStyle w:val="af8"/>
          <w:rFonts w:hint="cs"/>
          <w:rtl/>
        </w:rPr>
        <w:t>רש"י</w:t>
      </w:r>
      <w:r w:rsidRPr="0050146A">
        <w:rPr>
          <w:rFonts w:hint="cs"/>
          <w:rtl/>
        </w:rPr>
        <w:t xml:space="preserve"> דאף כשיש שישים החמירו רבנן דטעמא לא בטיל, דהיינו כשיטת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Ref11655080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דס"ל דטעם כעיקר דרבנן</w:t>
      </w:r>
      <w:r w:rsidRPr="0050146A">
        <w:rPr>
          <w:rStyle w:val="afa"/>
          <w:rtl/>
        </w:rPr>
        <w:t xml:space="preserve"> [כדפסק </w:t>
      </w:r>
      <w:r w:rsidRPr="0050146A">
        <w:rPr>
          <w:rStyle w:val="affa"/>
          <w:rtl/>
        </w:rPr>
        <w:t>רש"י</w:t>
      </w:r>
      <w:r w:rsidRPr="0050146A">
        <w:rPr>
          <w:rStyle w:val="afa"/>
          <w:rtl/>
        </w:rPr>
        <w:t xml:space="preserve"> כדעת רבא]</w:t>
      </w:r>
      <w:r w:rsidRPr="0050146A">
        <w:rPr>
          <w:rFonts w:hint="cs"/>
          <w:rtl/>
        </w:rPr>
        <w:t>, ולכן צריך גם קפילא ובמקום שיש טעם לא מהני שישים.</w:t>
      </w:r>
      <w:bookmarkEnd w:id="4391"/>
      <w:bookmarkEnd w:id="4396"/>
    </w:p>
    <w:p w:rsidR="0088374B" w:rsidRPr="0050146A" w:rsidRDefault="0088374B" w:rsidP="0088374B">
      <w:pPr>
        <w:pStyle w:val="a2"/>
        <w:rPr>
          <w:rtl/>
        </w:rPr>
      </w:pPr>
      <w:bookmarkStart w:id="4397" w:name="_Toc11664873"/>
      <w:bookmarkStart w:id="4398" w:name="_Toc11600046"/>
      <w:bookmarkStart w:id="4399" w:name="_Toc11625409"/>
      <w:r w:rsidRPr="0050146A">
        <w:rPr>
          <w:rFonts w:hint="cs"/>
          <w:rtl/>
        </w:rPr>
        <w:t>ביאור הראש יוסף ברש"י דבטעם מדאו' צריך שישים ולא מהני ביטול ברוב מדין אחרי רבים להטות</w:t>
      </w:r>
      <w:bookmarkEnd w:id="4397"/>
    </w:p>
    <w:p w:rsidR="0088374B" w:rsidRPr="0050146A" w:rsidRDefault="0088374B" w:rsidP="009F44AF">
      <w:pPr>
        <w:pStyle w:val="a"/>
        <w:rPr>
          <w:rtl/>
        </w:rPr>
      </w:pPr>
      <w:r w:rsidRPr="0050146A">
        <w:rPr>
          <w:rFonts w:hint="cs"/>
          <w:rtl/>
        </w:rPr>
        <w:t xml:space="preserve">וע"ע בדברי </w:t>
      </w:r>
      <w:r w:rsidRPr="0050146A">
        <w:rPr>
          <w:rStyle w:val="af8"/>
          <w:rFonts w:hint="cs"/>
          <w:rtl/>
        </w:rPr>
        <w:t>הראש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Ref11230155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50146A">
        <w:rPr>
          <w:rStyle w:val="af6"/>
          <w:rFonts w:eastAsia="Guttman Hodes"/>
          <w:rtl/>
        </w:rPr>
        <w:fldChar w:fldCharType="end"/>
      </w:r>
      <w:r w:rsidRPr="0050146A">
        <w:rPr>
          <w:rFonts w:hint="cs"/>
          <w:rtl/>
        </w:rPr>
        <w:t xml:space="preserve"> דכתב דמביאור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Ref11180995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בדברי אביי משמע דמדאו' לא מהני ביטול ברוב בטעם, וצריך שישים לבטל את הטעם.</w:t>
      </w:r>
    </w:p>
    <w:p w:rsidR="0088374B" w:rsidRPr="0050146A" w:rsidRDefault="0088374B" w:rsidP="0088374B">
      <w:pPr>
        <w:pStyle w:val="1"/>
        <w:rPr>
          <w:rtl/>
        </w:rPr>
      </w:pPr>
      <w:bookmarkStart w:id="4400" w:name="_Toc11664874"/>
      <w:bookmarkEnd w:id="4398"/>
      <w:bookmarkEnd w:id="4399"/>
      <w:r w:rsidRPr="0050146A">
        <w:rPr>
          <w:rFonts w:hint="cs"/>
          <w:rtl/>
        </w:rPr>
        <w:t>ביאור האבנ"ז ברש"י דטעם שאינו ניכר הוי טעם ובס' יש טעם</w:t>
      </w:r>
      <w:bookmarkEnd w:id="4400"/>
    </w:p>
    <w:p w:rsidR="0088374B" w:rsidRPr="0050146A" w:rsidRDefault="0088374B" w:rsidP="0088374B">
      <w:pPr>
        <w:pStyle w:val="a2"/>
        <w:rPr>
          <w:rtl/>
        </w:rPr>
      </w:pPr>
      <w:bookmarkStart w:id="4401" w:name="_Toc11664875"/>
      <w:r w:rsidRPr="0050146A">
        <w:rPr>
          <w:rFonts w:hint="cs"/>
          <w:rtl/>
        </w:rPr>
        <w:t>דברי האבנ"ז דמבואר ברש"י דאף בשישים שייך שיהיה טעם וילפינן מזרוע בשלה דבשישים מותר</w:t>
      </w:r>
      <w:bookmarkEnd w:id="4401"/>
    </w:p>
    <w:p w:rsidR="002D7168" w:rsidRDefault="0088374B" w:rsidP="009F44AF">
      <w:pPr>
        <w:pStyle w:val="a"/>
        <w:rPr>
          <w:rtl/>
        </w:rPr>
      </w:pPr>
      <w:bookmarkStart w:id="4402" w:name="_Ref11664679"/>
      <w:r w:rsidRPr="0050146A">
        <w:rPr>
          <w:rStyle w:val="af8"/>
          <w:rFonts w:hint="cs"/>
          <w:rtl/>
        </w:rPr>
        <w:t>והאבנ"ז</w:t>
      </w:r>
      <w:r w:rsidRPr="0050146A">
        <w:rPr>
          <w:rFonts w:hint="cs"/>
          <w:rtl/>
        </w:rPr>
        <w:t xml:space="preserve"> </w:t>
      </w:r>
      <w:r w:rsidRPr="0050146A">
        <w:rPr>
          <w:rStyle w:val="af6"/>
          <w:rFonts w:eastAsia="Guttman Hodes" w:hint="cs"/>
          <w:rtl/>
        </w:rPr>
        <w:t>(יו"ד סי' פ"ד א')</w:t>
      </w:r>
      <w:r w:rsidRPr="0050146A">
        <w:rPr>
          <w:rFonts w:hint="cs"/>
          <w:rtl/>
        </w:rPr>
        <w:t xml:space="preserve"> כתב דמדברי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Ref11098359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Fonts w:hint="cs"/>
          <w:rtl/>
        </w:rPr>
        <w:t xml:space="preserve"> דכתב דאף דאפשר ללמוד מזרוע בשלה דמהני ביטול בשישים, אף במקום שיש נתינת טעם, אלא דמ"מ החמירו רבנן דטעמא לא בטיל, א"כ מבואר בדברי </w:t>
      </w:r>
      <w:r w:rsidRPr="0050146A">
        <w:rPr>
          <w:rStyle w:val="af8"/>
          <w:rFonts w:hint="cs"/>
          <w:rtl/>
        </w:rPr>
        <w:t>רש"י</w:t>
      </w:r>
      <w:r w:rsidRPr="0050146A">
        <w:rPr>
          <w:rFonts w:hint="cs"/>
          <w:rtl/>
        </w:rPr>
        <w:t xml:space="preserve"> דיתכן שיש טעם אף ביותר משישים או ממאה, ולכן היה אפשר ללמוד מזרוע בשלה לכל מין בשאינו מינו, דמותר בשישים אף אם עדיין יש טעם.</w:t>
      </w:r>
      <w:bookmarkEnd w:id="4402"/>
    </w:p>
    <w:p w:rsidR="0088374B" w:rsidRPr="0050146A" w:rsidRDefault="0088374B" w:rsidP="0088374B">
      <w:pPr>
        <w:pStyle w:val="a2"/>
      </w:pPr>
      <w:bookmarkStart w:id="4403" w:name="_Toc11664876"/>
      <w:r w:rsidRPr="0050146A">
        <w:rPr>
          <w:rFonts w:hint="cs"/>
          <w:rtl/>
        </w:rPr>
        <w:t>דברי האבנ"ז ברש"י דאף במין במינו שלא ניכר הטעם חשיב שיש טעם דאי לא היה מינו היה ניכר</w:t>
      </w:r>
      <w:bookmarkEnd w:id="4403"/>
    </w:p>
    <w:p w:rsidR="0088374B" w:rsidRPr="0050146A" w:rsidRDefault="0088374B" w:rsidP="009F44AF">
      <w:pPr>
        <w:pStyle w:val="a"/>
      </w:pPr>
      <w:r w:rsidRPr="0050146A">
        <w:rPr>
          <w:rFonts w:hint="cs"/>
          <w:rtl/>
        </w:rPr>
        <w:t xml:space="preserve">והוסיף </w:t>
      </w:r>
      <w:r w:rsidRPr="0050146A">
        <w:rPr>
          <w:rStyle w:val="af8"/>
          <w:rFonts w:hint="cs"/>
          <w:rtl/>
        </w:rPr>
        <w:t>האבנ"ז</w:t>
      </w:r>
      <w:r w:rsidRPr="0050146A">
        <w:rPr>
          <w:rFonts w:hint="cs"/>
          <w:rtl/>
        </w:rPr>
        <w:t xml:space="preserve"> דעוד מבואר בדברי </w:t>
      </w:r>
      <w:r w:rsidRPr="0050146A">
        <w:rPr>
          <w:rStyle w:val="af8"/>
          <w:rFonts w:hint="cs"/>
          <w:rtl/>
        </w:rPr>
        <w:t>רש"י</w:t>
      </w:r>
      <w:r w:rsidRPr="0050146A">
        <w:rPr>
          <w:rFonts w:hint="cs"/>
          <w:rtl/>
        </w:rPr>
        <w:t xml:space="preserve"> דבמקום שהטעם אינו ניכר כיון שהוא מין במינו, מ"מ חשיב שיש נתינת טעם, כיון שאם היה מין בשאינו מינו היה הטעם ניכר, לכן חשיב כטעם גמור, ועי' במה שהאריך </w:t>
      </w:r>
      <w:r w:rsidRPr="0050146A">
        <w:rPr>
          <w:rStyle w:val="af8"/>
          <w:rFonts w:hint="cs"/>
          <w:rtl/>
        </w:rPr>
        <w:t>האבנ"ז</w:t>
      </w:r>
      <w:r w:rsidRPr="0050146A">
        <w:rPr>
          <w:rFonts w:hint="cs"/>
          <w:rtl/>
        </w:rPr>
        <w:t xml:space="preserve"> בביאור דברי </w:t>
      </w:r>
      <w:r w:rsidRPr="0050146A">
        <w:rPr>
          <w:rStyle w:val="af8"/>
          <w:rFonts w:hint="cs"/>
          <w:rtl/>
        </w:rPr>
        <w:t>רש"י</w:t>
      </w:r>
      <w:r w:rsidRPr="0050146A">
        <w:rPr>
          <w:rFonts w:hint="cs"/>
          <w:rtl/>
        </w:rPr>
        <w:t xml:space="preserve"> בדין טעם כעיקר. </w:t>
      </w:r>
    </w:p>
    <w:p w:rsidR="0088374B" w:rsidRPr="0050146A" w:rsidRDefault="0088374B" w:rsidP="0088374B">
      <w:pPr>
        <w:pStyle w:val="1"/>
        <w:rPr>
          <w:rtl/>
        </w:rPr>
      </w:pPr>
      <w:bookmarkStart w:id="4404" w:name="_Toc11664877"/>
      <w:r w:rsidRPr="0050146A">
        <w:rPr>
          <w:rFonts w:hint="cs"/>
          <w:rtl/>
        </w:rPr>
        <w:t>ביאור החת"ס ברש"י דמדאו' מהני שישים אף כשיש נתינת טעם</w:t>
      </w:r>
      <w:bookmarkEnd w:id="4404"/>
    </w:p>
    <w:p w:rsidR="0088374B" w:rsidRPr="0050146A" w:rsidRDefault="0088374B" w:rsidP="0088374B">
      <w:pPr>
        <w:pStyle w:val="a2"/>
        <w:rPr>
          <w:rtl/>
        </w:rPr>
      </w:pPr>
      <w:bookmarkStart w:id="4405" w:name="_Toc11231335"/>
      <w:bookmarkStart w:id="4406" w:name="_Toc11236485"/>
      <w:bookmarkStart w:id="4407" w:name="_Toc11406481"/>
      <w:bookmarkStart w:id="4408" w:name="_Toc11600039"/>
      <w:bookmarkStart w:id="4409" w:name="_Toc11625402"/>
      <w:bookmarkStart w:id="4410" w:name="_Toc11664878"/>
      <w:r w:rsidRPr="0050146A">
        <w:rPr>
          <w:rFonts w:hint="cs"/>
          <w:rtl/>
        </w:rPr>
        <w:t>דברי החת"ס דלרש"י הילפותא דזרוע בשלה היא ילפותא גמורה ומדאו' השיעור הוא רק בשישים</w:t>
      </w:r>
      <w:bookmarkEnd w:id="4405"/>
      <w:bookmarkEnd w:id="4406"/>
      <w:bookmarkEnd w:id="4407"/>
      <w:bookmarkEnd w:id="4408"/>
      <w:bookmarkEnd w:id="4409"/>
      <w:bookmarkEnd w:id="4410"/>
    </w:p>
    <w:p w:rsidR="0088374B" w:rsidRPr="0050146A" w:rsidRDefault="0088374B" w:rsidP="009F44AF">
      <w:pPr>
        <w:pStyle w:val="a"/>
        <w:rPr>
          <w:rtl/>
        </w:rPr>
      </w:pPr>
      <w:bookmarkStart w:id="4411" w:name="_Ref11659360"/>
      <w:r w:rsidRPr="0050146A">
        <w:rPr>
          <w:rStyle w:val="af8"/>
          <w:rFonts w:hint="cs"/>
          <w:rtl/>
        </w:rPr>
        <w:t xml:space="preserve">והחת"ס </w:t>
      </w:r>
      <w:r w:rsidRPr="0050146A">
        <w:rPr>
          <w:rStyle w:val="aff6"/>
          <w:rFonts w:hint="cs"/>
          <w:rtl/>
        </w:rPr>
        <w:t>(צח. ד"ה כל)</w:t>
      </w:r>
      <w:r w:rsidRPr="0050146A">
        <w:rPr>
          <w:rFonts w:hint="cs"/>
          <w:rtl/>
        </w:rPr>
        <w:t xml:space="preserve"> כתב דלדעת</w:t>
      </w:r>
      <w:r w:rsidRPr="0050146A">
        <w:rPr>
          <w:rStyle w:val="af8"/>
          <w:rFonts w:hint="cs"/>
          <w:rtl/>
        </w:rPr>
        <w:t xml:space="preserve"> 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Ref11098359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שיעור שישים הוא מדאו' או שהוא קרוב לדאו', דהילפותא מזרוע בשלה, היא ילפותא גמורה, ולכן כתב </w:t>
      </w:r>
      <w:r w:rsidRPr="0050146A">
        <w:rPr>
          <w:rStyle w:val="af8"/>
          <w:rFonts w:hint="cs"/>
          <w:rtl/>
        </w:rPr>
        <w:t>רש"י</w:t>
      </w:r>
      <w:r w:rsidRPr="0050146A">
        <w:rPr>
          <w:rStyle w:val="af6"/>
          <w:rFonts w:eastAsia="Guttman Hodes" w:hint="cs"/>
          <w:rtl/>
        </w:rPr>
        <w:t xml:space="preserve"> (צח. ד"ה בס')</w:t>
      </w:r>
      <w:r w:rsidRPr="0050146A">
        <w:rPr>
          <w:rFonts w:hint="cs"/>
          <w:rtl/>
        </w:rPr>
        <w:t xml:space="preserve"> דשיעור שישים הוא אף במקום שאמר הקפילא שאין טעם.</w:t>
      </w:r>
      <w:bookmarkEnd w:id="4411"/>
    </w:p>
    <w:p w:rsidR="0088374B" w:rsidRPr="0050146A" w:rsidRDefault="0088374B" w:rsidP="0088374B">
      <w:pPr>
        <w:pStyle w:val="a2"/>
      </w:pPr>
      <w:bookmarkStart w:id="4412" w:name="_Toc11664879"/>
      <w:r w:rsidRPr="0050146A">
        <w:rPr>
          <w:rFonts w:hint="cs"/>
          <w:rtl/>
        </w:rPr>
        <w:t>ביאור החת"ס ברש"י דשישים אינו שייך לטעם כלל ובין בטעם ובין כשאין טעם צריך שישים</w:t>
      </w:r>
      <w:bookmarkEnd w:id="4412"/>
    </w:p>
    <w:p w:rsidR="0088374B" w:rsidRPr="0050146A" w:rsidRDefault="0088374B" w:rsidP="009F44AF">
      <w:pPr>
        <w:pStyle w:val="a"/>
        <w:rPr>
          <w:rtl/>
        </w:rPr>
      </w:pPr>
      <w:r w:rsidRPr="0050146A">
        <w:rPr>
          <w:rFonts w:hint="cs"/>
          <w:rtl/>
        </w:rPr>
        <w:t xml:space="preserve">וביאר </w:t>
      </w:r>
      <w:r w:rsidRPr="0050146A">
        <w:rPr>
          <w:rStyle w:val="af8"/>
          <w:rFonts w:hint="cs"/>
          <w:rtl/>
        </w:rPr>
        <w:t>החת"ס</w:t>
      </w:r>
      <w:r w:rsidRPr="0050146A">
        <w:rPr>
          <w:rFonts w:hint="cs"/>
          <w:rtl/>
        </w:rPr>
        <w:t xml:space="preserve"> דס"ל </w:t>
      </w:r>
      <w:r w:rsidRPr="0050146A">
        <w:rPr>
          <w:rStyle w:val="af8"/>
          <w:rFonts w:hint="cs"/>
          <w:rtl/>
        </w:rPr>
        <w:t>לרש"י</w:t>
      </w:r>
      <w:r w:rsidRPr="0050146A">
        <w:rPr>
          <w:rFonts w:hint="cs"/>
          <w:rtl/>
        </w:rPr>
        <w:t xml:space="preserve"> דדין שישים אינו שייך לטעם כלל, ובין במקום שיש טעם, ובין במקום שאין טעם, צריך שיעור שישים.</w:t>
      </w:r>
    </w:p>
    <w:p w:rsidR="0088374B" w:rsidRPr="0050146A" w:rsidRDefault="0088374B" w:rsidP="0088374B">
      <w:pPr>
        <w:pStyle w:val="a2"/>
        <w:rPr>
          <w:rtl/>
        </w:rPr>
      </w:pPr>
      <w:bookmarkStart w:id="4413" w:name="_Toc11231336"/>
      <w:bookmarkStart w:id="4414" w:name="_Toc11236486"/>
      <w:bookmarkStart w:id="4415" w:name="_Toc11406482"/>
      <w:bookmarkStart w:id="4416" w:name="_Toc11600040"/>
      <w:bookmarkStart w:id="4417" w:name="_Toc11625403"/>
      <w:bookmarkStart w:id="4418" w:name="_Toc11664880"/>
      <w:r w:rsidRPr="0050146A">
        <w:rPr>
          <w:rFonts w:hint="cs"/>
          <w:rtl/>
        </w:rPr>
        <w:t>דברי החת"ס ברש"י דלרבנן דר"י אף במין במינו שיעור שישים הוא מדאו' כדילפינן מזרוע בשלה</w:t>
      </w:r>
      <w:bookmarkEnd w:id="4413"/>
      <w:bookmarkEnd w:id="4414"/>
      <w:bookmarkEnd w:id="4415"/>
      <w:bookmarkEnd w:id="4416"/>
      <w:bookmarkEnd w:id="4417"/>
      <w:bookmarkEnd w:id="4418"/>
    </w:p>
    <w:p w:rsidR="0088374B" w:rsidRPr="0050146A" w:rsidRDefault="0088374B" w:rsidP="009F44AF">
      <w:pPr>
        <w:pStyle w:val="a"/>
        <w:rPr>
          <w:rtl/>
        </w:rPr>
      </w:pPr>
      <w:r w:rsidRPr="0050146A">
        <w:rPr>
          <w:rFonts w:hint="cs"/>
          <w:rtl/>
        </w:rPr>
        <w:t xml:space="preserve">והוסיף </w:t>
      </w:r>
      <w:r w:rsidRPr="0050146A">
        <w:rPr>
          <w:rStyle w:val="af8"/>
          <w:rFonts w:hint="cs"/>
          <w:rtl/>
        </w:rPr>
        <w:t>החת"ס</w:t>
      </w:r>
      <w:r w:rsidRPr="0050146A">
        <w:rPr>
          <w:rFonts w:hint="cs"/>
          <w:rtl/>
        </w:rPr>
        <w:t xml:space="preserve"> דקרוב לודאי דאף במין במינו ס"ל </w:t>
      </w:r>
      <w:r w:rsidRPr="0050146A">
        <w:rPr>
          <w:rStyle w:val="af8"/>
          <w:rFonts w:hint="cs"/>
          <w:rtl/>
        </w:rPr>
        <w:t>לרש"י</w:t>
      </w:r>
      <w:r w:rsidRPr="0050146A">
        <w:rPr>
          <w:rFonts w:hint="cs"/>
          <w:rtl/>
        </w:rPr>
        <w:t xml:space="preserve"> דמדאו' צריך שישים, כדילפינן מזרוע בשלה, אלא דלהלכה פוסק </w:t>
      </w:r>
      <w:r w:rsidRPr="0050146A">
        <w:rPr>
          <w:rStyle w:val="af8"/>
          <w:rFonts w:hint="cs"/>
          <w:rtl/>
        </w:rPr>
        <w:t>רש"י</w:t>
      </w:r>
      <w:r w:rsidRPr="0050146A">
        <w:rPr>
          <w:rFonts w:hint="cs"/>
          <w:rtl/>
        </w:rPr>
        <w:t xml:space="preserve"> דמין במינו לא בטיל כר"י, ורק בזרוע בשלה אמרינן "זהו היתר הבא מכלל איסור", דמהני בו ביטול אף שהוא מין במינו, אך ודאי דאף לרבנן דר"י דיש ביטול במין במינו, לא מהני ביטול בפחות משישים.</w:t>
      </w:r>
    </w:p>
    <w:p w:rsidR="0088374B" w:rsidRPr="0050146A" w:rsidRDefault="0088374B" w:rsidP="0088374B">
      <w:pPr>
        <w:pStyle w:val="a2"/>
      </w:pPr>
      <w:bookmarkStart w:id="4419" w:name="_Toc11231337"/>
      <w:bookmarkStart w:id="4420" w:name="_Toc11236487"/>
      <w:bookmarkStart w:id="4421" w:name="_Toc11406483"/>
      <w:bookmarkStart w:id="4422" w:name="_Toc11600041"/>
      <w:bookmarkStart w:id="4423" w:name="_Toc11625404"/>
      <w:bookmarkStart w:id="4424" w:name="_Toc11664881"/>
      <w:r w:rsidRPr="0050146A">
        <w:rPr>
          <w:rFonts w:hint="cs"/>
          <w:rtl/>
        </w:rPr>
        <w:t xml:space="preserve">דברי החת"ס דלרש"י דטעם כעיקר דרבנן א"כ מדאו' גזיה"כ דמותר </w:t>
      </w:r>
      <w:bookmarkEnd w:id="4419"/>
      <w:bookmarkEnd w:id="4420"/>
      <w:bookmarkEnd w:id="4421"/>
      <w:bookmarkEnd w:id="4422"/>
      <w:bookmarkEnd w:id="4423"/>
      <w:r w:rsidRPr="0050146A">
        <w:rPr>
          <w:rFonts w:hint="cs"/>
          <w:rtl/>
        </w:rPr>
        <w:t>אף שיתכן שבשישים יש טעם</w:t>
      </w:r>
      <w:bookmarkEnd w:id="4424"/>
    </w:p>
    <w:p w:rsidR="0088374B" w:rsidRPr="0050146A" w:rsidRDefault="0088374B" w:rsidP="009F44AF">
      <w:pPr>
        <w:pStyle w:val="a"/>
        <w:rPr>
          <w:rtl/>
        </w:rPr>
      </w:pPr>
      <w:r w:rsidRPr="0050146A">
        <w:rPr>
          <w:rFonts w:hint="cs"/>
          <w:rtl/>
        </w:rPr>
        <w:t xml:space="preserve">וביאר </w:t>
      </w:r>
      <w:r w:rsidRPr="0050146A">
        <w:rPr>
          <w:rStyle w:val="af8"/>
          <w:rFonts w:hint="cs"/>
          <w:rtl/>
        </w:rPr>
        <w:t>החת"ס</w:t>
      </w:r>
      <w:r w:rsidRPr="0050146A">
        <w:rPr>
          <w:rFonts w:hint="cs"/>
          <w:rtl/>
        </w:rPr>
        <w:t xml:space="preserve"> דכיון דס"ל </w:t>
      </w:r>
      <w:r w:rsidRPr="0050146A">
        <w:rPr>
          <w:rStyle w:val="af8"/>
          <w:rFonts w:hint="cs"/>
          <w:rtl/>
        </w:rPr>
        <w:t>לרש"י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Ref11655080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דטעם כעיקר דרבנן, א"כ רק מדרבנן לא מהני ביטול בשישים במקום שיש טעם, והוסיף </w:t>
      </w:r>
      <w:r w:rsidRPr="0050146A">
        <w:rPr>
          <w:rStyle w:val="af8"/>
          <w:rFonts w:hint="cs"/>
          <w:rtl/>
        </w:rPr>
        <w:t>החת"ס</w:t>
      </w:r>
      <w:r w:rsidRPr="0050146A">
        <w:rPr>
          <w:rFonts w:hint="cs"/>
          <w:rtl/>
        </w:rPr>
        <w:t xml:space="preserve"> דלדעת </w:t>
      </w:r>
      <w:r w:rsidRPr="0050146A">
        <w:rPr>
          <w:rStyle w:val="af8"/>
          <w:rFonts w:hint="cs"/>
          <w:rtl/>
        </w:rPr>
        <w:t>רש"י</w:t>
      </w:r>
      <w:r w:rsidRPr="0050146A">
        <w:rPr>
          <w:rFonts w:hint="cs"/>
          <w:rtl/>
        </w:rPr>
        <w:t xml:space="preserve"> דאף במקום שיש שישים יתכן שתהיה נתינת טעם, מ"מ יש גזיה"כ דמהני ביטול בשישים. </w:t>
      </w:r>
      <w:r w:rsidRPr="0050146A">
        <w:rPr>
          <w:rStyle w:val="afa"/>
          <w:rFonts w:hint="cs"/>
          <w:rtl/>
        </w:rPr>
        <w:t xml:space="preserve">[ולא ס"ל </w:t>
      </w:r>
      <w:r w:rsidRPr="0050146A">
        <w:rPr>
          <w:rStyle w:val="affa"/>
          <w:rFonts w:hint="cs"/>
          <w:rtl/>
        </w:rPr>
        <w:t>לרש"י</w:t>
      </w:r>
      <w:r w:rsidRPr="0050146A">
        <w:rPr>
          <w:rStyle w:val="afa"/>
          <w:rFonts w:hint="cs"/>
          <w:rtl/>
        </w:rPr>
        <w:t xml:space="preserve"> כביאור </w:t>
      </w:r>
      <w:r w:rsidRPr="0050146A">
        <w:rPr>
          <w:rStyle w:val="affa"/>
          <w:rFonts w:hint="cs"/>
          <w:rtl/>
        </w:rPr>
        <w:t>החת"ס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Ref8831062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עב)</w:t>
      </w:r>
      <w:r w:rsidRPr="0050146A">
        <w:rPr>
          <w:rStyle w:val="aff6"/>
          <w:rtl/>
        </w:rPr>
        <w:fldChar w:fldCharType="end"/>
      </w:r>
      <w:r w:rsidRPr="0050146A">
        <w:rPr>
          <w:rStyle w:val="aff6"/>
          <w:rFonts w:hint="cs"/>
          <w:rtl/>
        </w:rPr>
        <w:t xml:space="preserve"> </w:t>
      </w:r>
      <w:r w:rsidRPr="0050146A">
        <w:rPr>
          <w:rStyle w:val="afa"/>
          <w:rFonts w:hint="cs"/>
          <w:rtl/>
        </w:rPr>
        <w:t xml:space="preserve">בדעת </w:t>
      </w:r>
      <w:r w:rsidRPr="0050146A">
        <w:rPr>
          <w:rStyle w:val="affa"/>
          <w:rFonts w:hint="cs"/>
          <w:rtl/>
        </w:rPr>
        <w:t>הרמב"ן</w:t>
      </w:r>
      <w:r w:rsidRPr="0050146A">
        <w:rPr>
          <w:rStyle w:val="afa"/>
          <w:rFonts w:hint="cs"/>
          <w:rtl/>
        </w:rPr>
        <w:t xml:space="preserve"> דיש קבלה לחז"ל דברוב האיסורים אין נתינת טעם ביותר משישים].</w:t>
      </w:r>
      <w:r w:rsidRPr="0050146A">
        <w:rPr>
          <w:rFonts w:hint="cs"/>
          <w:rtl/>
        </w:rPr>
        <w:t xml:space="preserve"> וביאר </w:t>
      </w:r>
      <w:r w:rsidRPr="0050146A">
        <w:rPr>
          <w:rStyle w:val="af8"/>
          <w:rFonts w:hint="cs"/>
          <w:rtl/>
        </w:rPr>
        <w:t>החת"ס</w:t>
      </w:r>
      <w:r w:rsidRPr="0050146A">
        <w:rPr>
          <w:rFonts w:hint="cs"/>
          <w:rtl/>
        </w:rPr>
        <w:t xml:space="preserve"> דהא דס"ל </w:t>
      </w:r>
      <w:r w:rsidRPr="0050146A">
        <w:rPr>
          <w:rStyle w:val="af8"/>
          <w:rFonts w:hint="cs"/>
          <w:rtl/>
        </w:rPr>
        <w:t>לרש"י</w:t>
      </w:r>
      <w:r w:rsidRPr="0050146A">
        <w:rPr>
          <w:rStyle w:val="af6"/>
          <w:rFonts w:eastAsia="Guttman Hodes" w:hint="cs"/>
          <w:rtl/>
        </w:rPr>
        <w:t xml:space="preserve"> (צח. ד"ה בס') </w:t>
      </w:r>
      <w:r w:rsidRPr="0050146A">
        <w:rPr>
          <w:rFonts w:hint="cs"/>
          <w:rtl/>
        </w:rPr>
        <w:t>דכשיש קפילא לא סגי בשישים, היינו בכדי לברר שאין איסור דרבנן דטעם כעיקר, אבל כשאין קפילא סמכינן על דינא דאו' וסגי בשישים.</w:t>
      </w:r>
    </w:p>
    <w:p w:rsidR="0088374B" w:rsidRPr="0050146A" w:rsidRDefault="0088374B" w:rsidP="0088374B">
      <w:pPr>
        <w:pStyle w:val="1"/>
        <w:rPr>
          <w:rtl/>
        </w:rPr>
      </w:pPr>
      <w:bookmarkStart w:id="4425" w:name="_Toc11664882"/>
      <w:r w:rsidRPr="0050146A">
        <w:rPr>
          <w:rFonts w:hint="cs"/>
          <w:rtl/>
        </w:rPr>
        <w:t>ביאור החת"ס ברש"י דלרבא בזרוע בשלה מותר טעם ביותר מס'</w:t>
      </w:r>
      <w:bookmarkEnd w:id="4425"/>
    </w:p>
    <w:p w:rsidR="0088374B" w:rsidRPr="0050146A" w:rsidRDefault="0088374B" w:rsidP="0088374B">
      <w:pPr>
        <w:pStyle w:val="a2"/>
        <w:rPr>
          <w:rtl/>
        </w:rPr>
      </w:pPr>
      <w:bookmarkStart w:id="4426" w:name="_Toc11664883"/>
      <w:r w:rsidRPr="0050146A">
        <w:rPr>
          <w:rFonts w:hint="cs"/>
          <w:rtl/>
        </w:rPr>
        <w:t>ביאור החת"ס ברש"י דלרבא אף כשיש טעם ביותר משישים בזרוע בשלה מותר ובקדשים אסור</w:t>
      </w:r>
      <w:bookmarkEnd w:id="4426"/>
    </w:p>
    <w:p w:rsidR="0088374B" w:rsidRPr="0050146A" w:rsidRDefault="0088374B" w:rsidP="009F44AF">
      <w:pPr>
        <w:pStyle w:val="a"/>
        <w:rPr>
          <w:rtl/>
        </w:rPr>
      </w:pPr>
      <w:bookmarkStart w:id="4427" w:name="_Ref11688229"/>
      <w:r w:rsidRPr="0050146A">
        <w:rPr>
          <w:rFonts w:hint="cs"/>
          <w:rtl/>
        </w:rPr>
        <w:t xml:space="preserve">והוסיף </w:t>
      </w:r>
      <w:r w:rsidRPr="0050146A">
        <w:rPr>
          <w:rStyle w:val="af8"/>
          <w:rFonts w:hint="cs"/>
          <w:rtl/>
        </w:rPr>
        <w:t>החת"ס</w:t>
      </w:r>
      <w:r w:rsidRPr="0050146A">
        <w:rPr>
          <w:rFonts w:hint="cs"/>
          <w:rtl/>
        </w:rPr>
        <w:t xml:space="preserve"> </w:t>
      </w:r>
      <w:r w:rsidRPr="0050146A">
        <w:rPr>
          <w:rStyle w:val="af6"/>
          <w:rFonts w:eastAsia="Guttman Hodes" w:hint="cs"/>
          <w:rtl/>
        </w:rPr>
        <w:t>(ד"ה וא"ש)</w:t>
      </w:r>
      <w:r w:rsidRPr="0050146A">
        <w:rPr>
          <w:rFonts w:hint="cs"/>
          <w:rtl/>
        </w:rPr>
        <w:t xml:space="preserve"> דלפי"ז מבואר לדעת </w:t>
      </w:r>
      <w:r w:rsidRPr="0050146A">
        <w:rPr>
          <w:rStyle w:val="af8"/>
          <w:rFonts w:hint="cs"/>
          <w:rtl/>
        </w:rPr>
        <w:t xml:space="preserve">רש"י </w:t>
      </w:r>
      <w:r w:rsidRPr="0050146A">
        <w:rPr>
          <w:rFonts w:hint="cs"/>
          <w:rtl/>
        </w:rPr>
        <w:t>הא דרבא ביאר את לשון הברייתא "זהו היתר הבא מכלל איסור" דבזרוע בשלה מותר טעם כעיקר אף דבקדשים טעם כעיקר אסור, דביאר רבא דכוונת הברייתא דהוא היתר הבא מכלל איסור, דהיינו דכיון שיש יותר משישים מותר, אעפ"י שעדיין יש טעם ביותר משישים, דבחולין טעם כעיקר אינו מדאו', ובקדשים טעם כעיקר דאו'.</w:t>
      </w:r>
      <w:bookmarkEnd w:id="4427"/>
    </w:p>
    <w:p w:rsidR="0088374B" w:rsidRPr="0050146A" w:rsidRDefault="0088374B" w:rsidP="0088374B">
      <w:pPr>
        <w:pStyle w:val="a2"/>
      </w:pPr>
      <w:bookmarkStart w:id="4428" w:name="_Toc11664884"/>
      <w:r w:rsidRPr="0050146A">
        <w:rPr>
          <w:rFonts w:hint="cs"/>
          <w:rtl/>
        </w:rPr>
        <w:t>קושית החת"ס דזרוע בשלה הוא מין במינו ולא שייך לומר דיש בו היתר דטעמו מותר</w:t>
      </w:r>
      <w:bookmarkEnd w:id="4428"/>
    </w:p>
    <w:p w:rsidR="002D7168" w:rsidRDefault="0088374B" w:rsidP="009F44AF">
      <w:pPr>
        <w:pStyle w:val="a"/>
        <w:rPr>
          <w:rtl/>
        </w:rPr>
      </w:pPr>
      <w:r w:rsidRPr="0050146A">
        <w:rPr>
          <w:rFonts w:hint="cs"/>
          <w:rtl/>
        </w:rPr>
        <w:t xml:space="preserve">אך הקשה </w:t>
      </w:r>
      <w:r w:rsidRPr="0050146A">
        <w:rPr>
          <w:rStyle w:val="af8"/>
          <w:rFonts w:hint="cs"/>
          <w:rtl/>
        </w:rPr>
        <w:t>החת"ס</w:t>
      </w:r>
      <w:r w:rsidRPr="0050146A">
        <w:rPr>
          <w:rFonts w:hint="cs"/>
          <w:rtl/>
        </w:rPr>
        <w:t xml:space="preserve"> דהא זרוע בשלה הוא מין במינו ואין בו טעם כלל, ויש בו שישים ומאה, וא"כ מה שייך לשון היתר הבא מכלל איסור, אלא כתב </w:t>
      </w:r>
      <w:r w:rsidRPr="0050146A">
        <w:rPr>
          <w:rStyle w:val="af8"/>
          <w:rFonts w:hint="cs"/>
          <w:rtl/>
        </w:rPr>
        <w:t>החת"ס</w:t>
      </w:r>
      <w:r w:rsidRPr="0050146A">
        <w:rPr>
          <w:rFonts w:hint="cs"/>
          <w:rtl/>
        </w:rPr>
        <w:t xml:space="preserve"> דמוכח כדברי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Ref11657455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50146A">
        <w:rPr>
          <w:rStyle w:val="af6"/>
          <w:rFonts w:eastAsia="Guttman Hodes"/>
          <w:rtl/>
        </w:rPr>
        <w:fldChar w:fldCharType="end"/>
      </w:r>
      <w:r w:rsidRPr="0050146A">
        <w:rPr>
          <w:rFonts w:hint="cs"/>
          <w:rtl/>
        </w:rPr>
        <w:t xml:space="preserve"> דתירוץ רבא קאי על תירוץ אביי דהוי מין במינו ובזרוע בשלה אינו מתבטל כתערובת ממש אלא הביטול הוא רק על הטעם דאסור בקדשים, ומותר בזרוע בשלה.</w:t>
      </w:r>
    </w:p>
    <w:p w:rsidR="0088374B" w:rsidRPr="0050146A" w:rsidRDefault="0088374B" w:rsidP="00E669F8">
      <w:pPr>
        <w:pStyle w:val="afd"/>
        <w:rPr>
          <w:rtl/>
        </w:rPr>
      </w:pPr>
      <w:bookmarkStart w:id="4429" w:name="_Toc11664885"/>
      <w:r w:rsidRPr="0050146A">
        <w:rPr>
          <w:rFonts w:hint="cs"/>
          <w:rtl/>
        </w:rPr>
        <w:t>ביאורי האחרונים בטעם ביותר מס' לתוס'</w:t>
      </w:r>
      <w:bookmarkEnd w:id="4429"/>
    </w:p>
    <w:p w:rsidR="0088374B" w:rsidRPr="0050146A" w:rsidRDefault="0088374B" w:rsidP="0088374B">
      <w:pPr>
        <w:pStyle w:val="1"/>
        <w:rPr>
          <w:rtl/>
        </w:rPr>
      </w:pPr>
      <w:bookmarkStart w:id="4430" w:name="_Toc11664886"/>
      <w:r w:rsidRPr="0050146A">
        <w:rPr>
          <w:rFonts w:hint="cs"/>
          <w:rtl/>
        </w:rPr>
        <w:t>ביאור הראש יוסף בתוס' דביותר משישים אין טעם כלל</w:t>
      </w:r>
      <w:bookmarkEnd w:id="4430"/>
    </w:p>
    <w:p w:rsidR="0088374B" w:rsidRPr="0050146A" w:rsidRDefault="0088374B" w:rsidP="0088374B">
      <w:pPr>
        <w:pStyle w:val="a2"/>
      </w:pPr>
      <w:bookmarkStart w:id="4431" w:name="_Toc11600047"/>
      <w:bookmarkStart w:id="4432" w:name="_Toc11625410"/>
      <w:bookmarkStart w:id="4433" w:name="_Toc11664887"/>
      <w:r w:rsidRPr="0050146A">
        <w:rPr>
          <w:rFonts w:hint="cs"/>
          <w:rtl/>
        </w:rPr>
        <w:t>ביאור הראש יוסף בתוס' דבמין בשאינו מינו אין טעם ביותר משישים כלל</w:t>
      </w:r>
      <w:bookmarkEnd w:id="4431"/>
      <w:bookmarkEnd w:id="4432"/>
      <w:bookmarkEnd w:id="4433"/>
    </w:p>
    <w:p w:rsidR="0088374B" w:rsidRPr="0050146A" w:rsidRDefault="0088374B" w:rsidP="009F44AF">
      <w:pPr>
        <w:pStyle w:val="a"/>
        <w:rPr>
          <w:rtl/>
        </w:rPr>
      </w:pPr>
      <w:r w:rsidRPr="0050146A">
        <w:rPr>
          <w:rFonts w:hint="cs"/>
          <w:rtl/>
        </w:rPr>
        <w:t xml:space="preserve">בדברי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Ref11661008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50146A">
        <w:rPr>
          <w:rStyle w:val="af6"/>
          <w:rFonts w:eastAsia="Guttman Hodes"/>
          <w:rtl/>
        </w:rPr>
        <w:fldChar w:fldCharType="end"/>
      </w:r>
      <w:r w:rsidRPr="0050146A">
        <w:rPr>
          <w:rFonts w:hint="cs"/>
          <w:rtl/>
        </w:rPr>
        <w:t xml:space="preserve"> דכתבו</w:t>
      </w:r>
      <w:r w:rsidRPr="0050146A">
        <w:rPr>
          <w:rStyle w:val="af8"/>
          <w:rFonts w:hint="cs"/>
          <w:rtl/>
        </w:rPr>
        <w:t xml:space="preserve"> </w:t>
      </w:r>
      <w:r w:rsidRPr="0050146A">
        <w:rPr>
          <w:rFonts w:hint="cs"/>
          <w:rtl/>
        </w:rPr>
        <w:t xml:space="preserve">דלענין מין במינו ילפינן לחומרא, דלא מהני ביטול ברוב, ובמין בשאינו מינו קים לן דביותר משישים אין נתינת טעם, כתב </w:t>
      </w:r>
      <w:r w:rsidRPr="0050146A">
        <w:rPr>
          <w:rStyle w:val="af8"/>
          <w:rFonts w:hint="cs"/>
          <w:rtl/>
        </w:rPr>
        <w:t xml:space="preserve">הראש יוסף </w:t>
      </w:r>
      <w:r w:rsidRPr="0050146A">
        <w:rPr>
          <w:rStyle w:val="af6"/>
          <w:rFonts w:eastAsia="Guttman Hodes" w:hint="cs"/>
          <w:rtl/>
        </w:rPr>
        <w:t>(על תוד"ה לחומרא)</w:t>
      </w:r>
      <w:r w:rsidRPr="0050146A">
        <w:rPr>
          <w:rFonts w:hint="cs"/>
          <w:rtl/>
        </w:rPr>
        <w:t xml:space="preserve"> דמבואר דס"ל </w:t>
      </w:r>
      <w:r w:rsidRPr="0050146A">
        <w:rPr>
          <w:rStyle w:val="af8"/>
          <w:rFonts w:hint="cs"/>
          <w:rtl/>
        </w:rPr>
        <w:t>להתוס'</w:t>
      </w:r>
      <w:r w:rsidRPr="0050146A">
        <w:rPr>
          <w:rFonts w:hint="cs"/>
          <w:rtl/>
        </w:rPr>
        <w:t xml:space="preserve"> דבמין בשאינו מינו אין טעם כלל ביותר משישים, ונחלקו בזה על </w:t>
      </w:r>
      <w:r w:rsidRPr="0050146A">
        <w:rPr>
          <w:rStyle w:val="af8"/>
          <w:rFonts w:hint="cs"/>
          <w:rtl/>
        </w:rPr>
        <w:t xml:space="preserve">רש"י </w:t>
      </w:r>
      <w:r w:rsidRPr="0050146A">
        <w:rPr>
          <w:rFonts w:hint="cs"/>
          <w:rtl/>
        </w:rPr>
        <w:t>דס"ל דמדאו' צריך שישים לבטל את הטעם.</w:t>
      </w:r>
    </w:p>
    <w:p w:rsidR="0088374B" w:rsidRPr="0050146A" w:rsidRDefault="0088374B" w:rsidP="0088374B">
      <w:pPr>
        <w:pStyle w:val="1"/>
        <w:rPr>
          <w:rtl/>
        </w:rPr>
      </w:pPr>
      <w:bookmarkStart w:id="4434" w:name="_Toc11664888"/>
      <w:r w:rsidRPr="0050146A">
        <w:rPr>
          <w:rFonts w:hint="cs"/>
          <w:rtl/>
        </w:rPr>
        <w:lastRenderedPageBreak/>
        <w:t>ביאורי האחרונים בתירוץ הב' בתוס' דפעמים שאין טעם בס'</w:t>
      </w:r>
      <w:bookmarkEnd w:id="4434"/>
    </w:p>
    <w:p w:rsidR="0088374B" w:rsidRPr="0050146A" w:rsidRDefault="0088374B" w:rsidP="0088374B">
      <w:pPr>
        <w:pStyle w:val="a2"/>
        <w:rPr>
          <w:rtl/>
        </w:rPr>
      </w:pPr>
      <w:bookmarkStart w:id="4435" w:name="_Toc11600049"/>
      <w:bookmarkStart w:id="4436" w:name="_Toc11625412"/>
      <w:bookmarkStart w:id="4437" w:name="_Toc11600003"/>
      <w:bookmarkStart w:id="4438" w:name="_Toc11664889"/>
      <w:r w:rsidRPr="0050146A">
        <w:rPr>
          <w:rFonts w:hint="cs"/>
          <w:rtl/>
        </w:rPr>
        <w:t>דברי הגרעק"א דרק אם ברוב הפעמים בטל הטעם בפחות משישים הוי חומרא לחשוש למיעוט</w:t>
      </w:r>
      <w:bookmarkEnd w:id="4435"/>
      <w:bookmarkEnd w:id="4436"/>
      <w:bookmarkEnd w:id="4437"/>
      <w:bookmarkEnd w:id="4438"/>
    </w:p>
    <w:p w:rsidR="0088374B" w:rsidRPr="0050146A" w:rsidRDefault="0088374B" w:rsidP="009F44AF">
      <w:pPr>
        <w:pStyle w:val="a"/>
        <w:rPr>
          <w:rtl/>
        </w:rPr>
      </w:pPr>
      <w:bookmarkStart w:id="4439" w:name="_Ref11661966"/>
      <w:r w:rsidRPr="0050146A">
        <w:rPr>
          <w:rStyle w:val="af8"/>
          <w:rFonts w:hint="cs"/>
          <w:rtl/>
        </w:rPr>
        <w:t xml:space="preserve">ובתירוץ הב' בתוס'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Ref11661910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דכתבו דיש פעמים שאין נתינת טעם, אף בפחות משישים או מאה, והילפותא מזרוע בשלה היא חומרא, כתב </w:t>
      </w:r>
      <w:r w:rsidRPr="0050146A">
        <w:rPr>
          <w:rStyle w:val="af8"/>
          <w:rFonts w:hint="cs"/>
          <w:rtl/>
        </w:rPr>
        <w:t xml:space="preserve">הגרעק"א </w:t>
      </w:r>
      <w:r w:rsidRPr="0050146A">
        <w:rPr>
          <w:rStyle w:val="af6"/>
          <w:rFonts w:eastAsia="Guttman Hodes" w:hint="cs"/>
          <w:rtl/>
        </w:rPr>
        <w:t>(על תוד"ה לחומרא)</w:t>
      </w:r>
      <w:r w:rsidRPr="0050146A">
        <w:rPr>
          <w:rFonts w:hint="cs"/>
          <w:rtl/>
        </w:rPr>
        <w:t xml:space="preserve"> דלשון </w:t>
      </w:r>
      <w:r w:rsidRPr="0050146A">
        <w:rPr>
          <w:rStyle w:val="af8"/>
          <w:rFonts w:hint="cs"/>
          <w:rtl/>
        </w:rPr>
        <w:t>התוס'</w:t>
      </w:r>
      <w:r w:rsidRPr="0050146A">
        <w:rPr>
          <w:rFonts w:hint="cs"/>
          <w:rtl/>
        </w:rPr>
        <w:t xml:space="preserve"> דפעמים פוסק הטעם בפחות משישים או ממאה, אינו מדויק, דא"כ אין כל חומרא במה שצריך שיעור שישים, </w:t>
      </w:r>
      <w:r w:rsidRPr="0050146A">
        <w:rPr>
          <w:rStyle w:val="afa"/>
          <w:rFonts w:hint="cs"/>
          <w:rtl/>
        </w:rPr>
        <w:t>[דהיינו דכיון שיש פעמים שאינו פוסק בשישים א"כ אי"ז חומרא אלא מדינא],</w:t>
      </w:r>
      <w:r w:rsidRPr="0050146A">
        <w:rPr>
          <w:rFonts w:hint="cs"/>
          <w:rtl/>
        </w:rPr>
        <w:t xml:space="preserve"> אלא כתב </w:t>
      </w:r>
      <w:r w:rsidRPr="0050146A">
        <w:rPr>
          <w:rStyle w:val="af8"/>
          <w:rFonts w:hint="cs"/>
          <w:rtl/>
        </w:rPr>
        <w:t xml:space="preserve">הגרעק"א </w:t>
      </w:r>
      <w:r w:rsidRPr="0050146A">
        <w:rPr>
          <w:rFonts w:hint="cs"/>
          <w:rtl/>
        </w:rPr>
        <w:t>דצ"ל דרוב הפעמים פוסק הטעם בשישים, ולכן זהו חומרא להצריך שישים כמו המיעוט.</w:t>
      </w:r>
      <w:bookmarkEnd w:id="4439"/>
    </w:p>
    <w:p w:rsidR="0088374B" w:rsidRPr="0050146A" w:rsidRDefault="0088374B" w:rsidP="0088374B">
      <w:pPr>
        <w:pStyle w:val="a2"/>
        <w:rPr>
          <w:rtl/>
        </w:rPr>
      </w:pPr>
      <w:bookmarkStart w:id="4440" w:name="_Toc11664890"/>
      <w:r w:rsidRPr="0050146A">
        <w:rPr>
          <w:rFonts w:hint="cs"/>
          <w:rtl/>
        </w:rPr>
        <w:t>קושית הגרעק"א דאי שישים הוא מדאו' מנלן דמותר בפחות משישים כשהאיסור לא נתן טעם</w:t>
      </w:r>
      <w:bookmarkEnd w:id="4440"/>
    </w:p>
    <w:p w:rsidR="00925DF6" w:rsidRPr="0050146A" w:rsidRDefault="0088374B" w:rsidP="009F44AF">
      <w:pPr>
        <w:pStyle w:val="a"/>
        <w:rPr>
          <w:rtl/>
        </w:rPr>
      </w:pPr>
      <w:r w:rsidRPr="0050146A">
        <w:rPr>
          <w:rFonts w:hint="cs"/>
          <w:rtl/>
        </w:rPr>
        <w:t xml:space="preserve">אך הקשה </w:t>
      </w:r>
      <w:r w:rsidRPr="0050146A">
        <w:rPr>
          <w:rStyle w:val="af8"/>
          <w:rFonts w:hint="cs"/>
          <w:rtl/>
        </w:rPr>
        <w:t xml:space="preserve">הגרעק"א </w:t>
      </w:r>
      <w:r w:rsidRPr="0050146A">
        <w:rPr>
          <w:rFonts w:hint="cs"/>
          <w:rtl/>
        </w:rPr>
        <w:t xml:space="preserve">דא"כ אי במין בשאינו מינו שיעור שישים הוא דאו', א"כ במקום שידוע בודאי שמתבטל הטעם בפחות משישים, </w:t>
      </w:r>
      <w:r w:rsidRPr="0050146A">
        <w:rPr>
          <w:rStyle w:val="afa"/>
          <w:rFonts w:hint="cs"/>
          <w:rtl/>
        </w:rPr>
        <w:t xml:space="preserve">[כגון דטעם קפילא ואמר שאין טעם, דס"ל </w:t>
      </w:r>
      <w:r w:rsidRPr="0050146A">
        <w:rPr>
          <w:rStyle w:val="affa"/>
          <w:rFonts w:hint="cs"/>
          <w:rtl/>
        </w:rPr>
        <w:t>להתוס'</w:t>
      </w:r>
      <w:r w:rsidRPr="0050146A">
        <w:rPr>
          <w:rStyle w:val="afa"/>
          <w:rFonts w:hint="cs"/>
          <w:rtl/>
        </w:rPr>
        <w:t xml:space="preserve"> </w:t>
      </w:r>
      <w:r w:rsidRPr="0050146A">
        <w:rPr>
          <w:rStyle w:val="aff6"/>
          <w:rFonts w:hint="cs"/>
          <w:rtl/>
        </w:rPr>
        <w:t>(צח. ד"ה כל)</w:t>
      </w:r>
      <w:r w:rsidRPr="0050146A">
        <w:rPr>
          <w:rFonts w:hint="cs"/>
          <w:rtl/>
        </w:rPr>
        <w:t xml:space="preserve"> </w:t>
      </w:r>
      <w:r w:rsidRPr="0050146A">
        <w:rPr>
          <w:rStyle w:val="afa"/>
          <w:rFonts w:hint="cs"/>
          <w:rtl/>
        </w:rPr>
        <w:t>דמותר אף בפחות משישים]</w:t>
      </w:r>
      <w:r w:rsidRPr="0050146A">
        <w:rPr>
          <w:rFonts w:hint="cs"/>
          <w:rtl/>
        </w:rPr>
        <w:t>, מנלן דאזלינן בתר רוב הדברים שאין בהם טעם בשישים, ומותר אף בפחות משישים, הא מדאו' יש דין שישים.</w:t>
      </w:r>
    </w:p>
    <w:p w:rsidR="0088374B" w:rsidRPr="0050146A" w:rsidRDefault="0088374B" w:rsidP="0088374B">
      <w:pPr>
        <w:pStyle w:val="a2"/>
        <w:rPr>
          <w:rtl/>
        </w:rPr>
      </w:pPr>
      <w:r w:rsidRPr="0050146A">
        <w:rPr>
          <w:rFonts w:hint="cs"/>
          <w:rtl/>
        </w:rPr>
        <w:t>קושית המהרש"א והראש יוסף דדדברי התוס' סותרים למ"ש לעיל דכשיש קפילא א"צ שישים</w:t>
      </w:r>
    </w:p>
    <w:p w:rsidR="0088374B" w:rsidRPr="0050146A" w:rsidRDefault="0088374B" w:rsidP="009F44AF">
      <w:pPr>
        <w:pStyle w:val="a"/>
        <w:rPr>
          <w:rtl/>
        </w:rPr>
      </w:pPr>
      <w:bookmarkStart w:id="4441" w:name="_Ref11747603"/>
      <w:r w:rsidRPr="0050146A">
        <w:rPr>
          <w:rFonts w:hint="cs"/>
          <w:rtl/>
        </w:rPr>
        <w:t>ו</w:t>
      </w:r>
      <w:r w:rsidRPr="0050146A">
        <w:rPr>
          <w:rtl/>
        </w:rPr>
        <w:t>ביאר</w:t>
      </w:r>
      <w:r w:rsidRPr="0050146A">
        <w:rPr>
          <w:rStyle w:val="af8"/>
          <w:rtl/>
        </w:rPr>
        <w:t xml:space="preserve"> הראש יוסף</w:t>
      </w:r>
      <w:r w:rsidRPr="0050146A">
        <w:rPr>
          <w:rtl/>
        </w:rPr>
        <w:t xml:space="preserve"> </w:t>
      </w:r>
      <w:r w:rsidRPr="0050146A">
        <w:rPr>
          <w:rStyle w:val="af6"/>
          <w:rFonts w:eastAsia="Guttman Hodes"/>
          <w:rtl/>
        </w:rPr>
        <w:t>(על תוד"ה לחומרא)</w:t>
      </w:r>
      <w:r w:rsidRPr="0050146A">
        <w:rPr>
          <w:rtl/>
        </w:rPr>
        <w:t xml:space="preserve"> </w:t>
      </w:r>
      <w:r w:rsidRPr="0050146A">
        <w:rPr>
          <w:rFonts w:hint="cs"/>
          <w:rtl/>
        </w:rPr>
        <w:t xml:space="preserve">את </w:t>
      </w:r>
      <w:r w:rsidRPr="0050146A">
        <w:rPr>
          <w:rStyle w:val="af8"/>
          <w:rtl/>
        </w:rPr>
        <w:t>ה</w:t>
      </w:r>
      <w:r w:rsidRPr="0050146A">
        <w:rPr>
          <w:rStyle w:val="af8"/>
          <w:rFonts w:hint="cs"/>
          <w:rtl/>
        </w:rPr>
        <w:t>תירוץ הב' ב</w:t>
      </w:r>
      <w:r w:rsidRPr="0050146A">
        <w:rPr>
          <w:rStyle w:val="af8"/>
          <w:rtl/>
        </w:rPr>
        <w:t>תוס'</w:t>
      </w:r>
      <w:r w:rsidRPr="0050146A">
        <w:rPr>
          <w:rtl/>
        </w:rPr>
        <w:t xml:space="preserve"> </w:t>
      </w:r>
      <w:r w:rsidRPr="0050146A">
        <w:rPr>
          <w:rFonts w:hint="cs"/>
          <w:rtl/>
        </w:rPr>
        <w:t xml:space="preserve">דכיון שלפעמים הטעם פוסק אף בפחות משישים, א"כ הא דצריך שישים הוא חומרא דרבנן, והילפותא מזרוע בשלה היא אסמכתא, אך הקשו </w:t>
      </w:r>
      <w:r w:rsidRPr="0050146A">
        <w:rPr>
          <w:rStyle w:val="af8"/>
          <w:rFonts w:hint="cs"/>
          <w:rtl/>
        </w:rPr>
        <w:t>המהרש"א</w:t>
      </w:r>
      <w:r w:rsidRPr="0050146A">
        <w:rPr>
          <w:rStyle w:val="af6"/>
          <w:rFonts w:eastAsia="Guttman Hodes" w:hint="cs"/>
          <w:rtl/>
        </w:rPr>
        <w:t xml:space="preserve"> (על תוד"ה לחומרא) </w:t>
      </w:r>
      <w:r w:rsidRPr="0050146A">
        <w:rPr>
          <w:rStyle w:val="af8"/>
          <w:rFonts w:hint="cs"/>
          <w:rtl/>
        </w:rPr>
        <w:t xml:space="preserve">והראש יוסף </w:t>
      </w:r>
      <w:r w:rsidRPr="0050146A">
        <w:rPr>
          <w:rFonts w:hint="cs"/>
          <w:rtl/>
        </w:rPr>
        <w:t xml:space="preserve">דמשמע </w:t>
      </w:r>
      <w:r w:rsidRPr="0050146A">
        <w:rPr>
          <w:rStyle w:val="af8"/>
          <w:rFonts w:hint="cs"/>
          <w:rtl/>
        </w:rPr>
        <w:t>בתירוץ הב' ב</w:t>
      </w:r>
      <w:r w:rsidRPr="0050146A">
        <w:rPr>
          <w:rStyle w:val="af8"/>
          <w:rtl/>
        </w:rPr>
        <w:t>תוס'</w:t>
      </w:r>
      <w:r w:rsidRPr="0050146A">
        <w:rPr>
          <w:rFonts w:hint="cs"/>
          <w:rtl/>
        </w:rPr>
        <w:t xml:space="preserve"> דאף במקום שאין נתינת טעם, דטעם קפילא ואמר שאין טעם, עדיין החמירו רבנן דמותר רק בשישים, והרי ס"ל </w:t>
      </w:r>
      <w:r w:rsidRPr="0050146A">
        <w:rPr>
          <w:rStyle w:val="af8"/>
          <w:rtl/>
        </w:rPr>
        <w:t xml:space="preserve">להתוס' </w:t>
      </w:r>
      <w:r w:rsidRPr="0050146A">
        <w:rPr>
          <w:rStyle w:val="af6"/>
          <w:rFonts w:eastAsia="Guttman Hodes"/>
          <w:rtl/>
        </w:rPr>
        <w:t xml:space="preserve">(צח. ד"ה כל) </w:t>
      </w:r>
      <w:r w:rsidRPr="0050146A">
        <w:rPr>
          <w:rtl/>
        </w:rPr>
        <w:t>ד</w:t>
      </w:r>
      <w:r w:rsidRPr="0050146A">
        <w:rPr>
          <w:rFonts w:hint="cs"/>
          <w:rtl/>
        </w:rPr>
        <w:t xml:space="preserve">במקום שאין טעם </w:t>
      </w:r>
      <w:r w:rsidRPr="0050146A">
        <w:rPr>
          <w:rtl/>
        </w:rPr>
        <w:t>מותר אף בפחות משישים</w:t>
      </w:r>
      <w:r w:rsidRPr="0050146A">
        <w:rPr>
          <w:rFonts w:hint="cs"/>
          <w:rtl/>
        </w:rPr>
        <w:t>.</w:t>
      </w:r>
      <w:bookmarkEnd w:id="4441"/>
    </w:p>
    <w:p w:rsidR="0088374B" w:rsidRPr="0050146A" w:rsidRDefault="0088374B" w:rsidP="0088374B">
      <w:pPr>
        <w:pStyle w:val="a2"/>
        <w:rPr>
          <w:rtl/>
        </w:rPr>
      </w:pPr>
      <w:bookmarkStart w:id="4442" w:name="_Toc11600005"/>
      <w:bookmarkStart w:id="4443" w:name="_Toc11625315"/>
      <w:bookmarkStart w:id="4444" w:name="_Toc11664891"/>
      <w:r w:rsidRPr="0050146A">
        <w:rPr>
          <w:rFonts w:hint="cs"/>
          <w:rtl/>
        </w:rPr>
        <w:t xml:space="preserve">ביאור הראש יוסף בתוס' דבמקום שאין קפילא אף שמסתמא אין נתינת טעם צריך להחמיר בשישים </w:t>
      </w:r>
      <w:bookmarkEnd w:id="4442"/>
      <w:bookmarkEnd w:id="4443"/>
      <w:bookmarkEnd w:id="4444"/>
    </w:p>
    <w:p w:rsidR="0088374B" w:rsidRPr="0050146A" w:rsidRDefault="0088374B" w:rsidP="009F44AF">
      <w:pPr>
        <w:pStyle w:val="a"/>
        <w:rPr>
          <w:rtl/>
        </w:rPr>
      </w:pPr>
      <w:r w:rsidRPr="0050146A">
        <w:rPr>
          <w:rFonts w:hint="cs"/>
          <w:rtl/>
        </w:rPr>
        <w:t>ותירץ</w:t>
      </w:r>
      <w:r w:rsidRPr="0050146A">
        <w:rPr>
          <w:rtl/>
        </w:rPr>
        <w:t xml:space="preserve"> </w:t>
      </w:r>
      <w:r w:rsidRPr="0050146A">
        <w:rPr>
          <w:rStyle w:val="af8"/>
          <w:rtl/>
        </w:rPr>
        <w:t>הראש יוסף</w:t>
      </w:r>
      <w:r w:rsidRPr="0050146A">
        <w:rPr>
          <w:rtl/>
        </w:rPr>
        <w:t xml:space="preserve"> דאין כוונת </w:t>
      </w:r>
      <w:r w:rsidRPr="0050146A">
        <w:rPr>
          <w:rStyle w:val="af8"/>
          <w:rtl/>
        </w:rPr>
        <w:t>ה</w:t>
      </w:r>
      <w:r w:rsidRPr="0050146A">
        <w:rPr>
          <w:rStyle w:val="af8"/>
          <w:rFonts w:hint="cs"/>
          <w:rtl/>
        </w:rPr>
        <w:t>תירוץ הב' ב</w:t>
      </w:r>
      <w:r w:rsidRPr="0050146A">
        <w:rPr>
          <w:rStyle w:val="af8"/>
          <w:rtl/>
        </w:rPr>
        <w:t>תוס'</w:t>
      </w:r>
      <w:r w:rsidRPr="0050146A">
        <w:rPr>
          <w:rtl/>
        </w:rPr>
        <w:t xml:space="preserve"> </w:t>
      </w:r>
      <w:r w:rsidRPr="0050146A">
        <w:rPr>
          <w:rFonts w:hint="cs"/>
          <w:rtl/>
        </w:rPr>
        <w:t xml:space="preserve">לומר דאף </w:t>
      </w:r>
      <w:r w:rsidRPr="0050146A">
        <w:rPr>
          <w:rtl/>
        </w:rPr>
        <w:t>במקום שיש קפילא צריך להחמיר ולהצריך שישים, אלא דבדליכא קפילא צריך להחמיר בשישים אף בדבר שמסתמא אינו נותן טעם בשישים, כדילפינן לחומרא מזרוע בשלה.</w:t>
      </w:r>
    </w:p>
    <w:p w:rsidR="0088374B" w:rsidRPr="0050146A" w:rsidRDefault="0088374B" w:rsidP="0088374B">
      <w:pPr>
        <w:pStyle w:val="a2"/>
        <w:rPr>
          <w:rtl/>
        </w:rPr>
      </w:pPr>
      <w:r w:rsidRPr="0050146A">
        <w:rPr>
          <w:rFonts w:hint="cs"/>
          <w:rtl/>
        </w:rPr>
        <w:t>ביאור המהרש"א בתוס' דבסתמא צריך שישים ואינו קולא לגמרי דלפעמים פוסק הטעם בשישים</w:t>
      </w:r>
    </w:p>
    <w:p w:rsidR="0088374B" w:rsidRPr="0050146A" w:rsidRDefault="0088374B" w:rsidP="009F44AF">
      <w:pPr>
        <w:pStyle w:val="a"/>
        <w:rPr>
          <w:rtl/>
        </w:rPr>
      </w:pPr>
      <w:bookmarkStart w:id="4445" w:name="_Toc11600006"/>
      <w:bookmarkStart w:id="4446" w:name="_Toc11625316"/>
      <w:bookmarkStart w:id="4447" w:name="_Toc11664892"/>
      <w:r w:rsidRPr="0050146A">
        <w:rPr>
          <w:rFonts w:hint="cs"/>
          <w:rtl/>
        </w:rPr>
        <w:t xml:space="preserve">וכן תירץ </w:t>
      </w:r>
      <w:r w:rsidRPr="0050146A">
        <w:rPr>
          <w:rStyle w:val="af8"/>
          <w:rFonts w:hint="cs"/>
          <w:rtl/>
        </w:rPr>
        <w:t>המהרש"א</w:t>
      </w:r>
      <w:r w:rsidRPr="0050146A">
        <w:rPr>
          <w:rStyle w:val="af6"/>
          <w:rFonts w:eastAsia="Guttman Hodes" w:hint="cs"/>
          <w:rtl/>
        </w:rPr>
        <w:t xml:space="preserve"> (על תוד"ה לחומרא) </w:t>
      </w:r>
      <w:r w:rsidRPr="0050146A">
        <w:rPr>
          <w:rFonts w:hint="cs"/>
          <w:rtl/>
        </w:rPr>
        <w:t xml:space="preserve">דכוונת </w:t>
      </w:r>
      <w:r w:rsidRPr="0050146A">
        <w:rPr>
          <w:rStyle w:val="af8"/>
          <w:rFonts w:hint="cs"/>
          <w:rtl/>
        </w:rPr>
        <w:t>התוס' בתירוץ הב' לומר</w:t>
      </w:r>
      <w:r w:rsidRPr="0050146A">
        <w:rPr>
          <w:rFonts w:hint="cs"/>
          <w:rtl/>
        </w:rPr>
        <w:t xml:space="preserve"> דבסתמא כשלא ידוע שאין טעם איסור, צריך שישים, ואף דלא ילפינן מזרוע בשלה לקולא, מ"מ אינו קולא לגמרי, דאף דטעם כעיקר דאו', מ"מ כיון שלפעמים פוסק הטעם בפחות משישים, הוי לחומרא ואפשר ללומדו מזרוע בשלה.</w:t>
      </w:r>
    </w:p>
    <w:p w:rsidR="0088374B" w:rsidRPr="0050146A" w:rsidRDefault="0088374B" w:rsidP="0088374B">
      <w:pPr>
        <w:pStyle w:val="a2"/>
        <w:rPr>
          <w:rtl/>
        </w:rPr>
      </w:pPr>
      <w:r w:rsidRPr="0050146A">
        <w:rPr>
          <w:rFonts w:hint="cs"/>
          <w:rtl/>
        </w:rPr>
        <w:t>ביאור החזו"א בתוס' דשישים הוא מדרבנן דלא תחלוק בשיעורים דיש דברים שנותנים טעם בשישים</w:t>
      </w:r>
      <w:bookmarkEnd w:id="4445"/>
      <w:bookmarkEnd w:id="4446"/>
      <w:bookmarkEnd w:id="4447"/>
    </w:p>
    <w:p w:rsidR="0088374B" w:rsidRPr="0050146A" w:rsidRDefault="0088374B" w:rsidP="009F44AF">
      <w:pPr>
        <w:pStyle w:val="a"/>
        <w:rPr>
          <w:rStyle w:val="afa"/>
          <w:rtl/>
        </w:rPr>
      </w:pPr>
      <w:bookmarkStart w:id="4448" w:name="_Ref11662070"/>
      <w:r w:rsidRPr="0050146A">
        <w:rPr>
          <w:rStyle w:val="af8"/>
          <w:rFonts w:hint="cs"/>
          <w:rtl/>
        </w:rPr>
        <w:t>והחזו"א</w:t>
      </w:r>
      <w:r w:rsidRPr="0050146A">
        <w:rPr>
          <w:rStyle w:val="af6"/>
          <w:rFonts w:eastAsia="Guttman Hodes" w:hint="cs"/>
          <w:rtl/>
        </w:rPr>
        <w:t xml:space="preserve"> (סי' כ"ז סק"ב) </w:t>
      </w:r>
      <w:r w:rsidRPr="0050146A">
        <w:rPr>
          <w:rFonts w:hint="cs"/>
          <w:rtl/>
        </w:rPr>
        <w:t xml:space="preserve">כתב דמבואר מדברי </w:t>
      </w:r>
      <w:r w:rsidRPr="0050146A">
        <w:rPr>
          <w:rStyle w:val="af8"/>
          <w:rFonts w:hint="cs"/>
          <w:rtl/>
        </w:rPr>
        <w:t xml:space="preserve">התוס' </w:t>
      </w:r>
      <w:r w:rsidRPr="0050146A">
        <w:rPr>
          <w:rFonts w:hint="cs"/>
          <w:rtl/>
        </w:rPr>
        <w:t xml:space="preserve">דשיעור ביטול בשישים הוא מדרבנן, </w:t>
      </w:r>
      <w:r w:rsidRPr="0050146A">
        <w:rPr>
          <w:rStyle w:val="afa"/>
          <w:rFonts w:hint="cs"/>
          <w:rtl/>
        </w:rPr>
        <w:t xml:space="preserve">[וכן שאר השיעורים דבשר בלפת ובצל בקפלוט], </w:t>
      </w:r>
      <w:r w:rsidRPr="0050146A">
        <w:rPr>
          <w:rFonts w:hint="cs"/>
          <w:rtl/>
        </w:rPr>
        <w:t xml:space="preserve">אבל מדאו' כל שאין נתינת טעם יש ביטול, וכתב </w:t>
      </w:r>
      <w:r w:rsidRPr="0050146A">
        <w:rPr>
          <w:rStyle w:val="af8"/>
          <w:rFonts w:hint="cs"/>
          <w:rtl/>
        </w:rPr>
        <w:t xml:space="preserve">החזו"א </w:t>
      </w:r>
      <w:r w:rsidRPr="0050146A">
        <w:rPr>
          <w:rFonts w:hint="cs"/>
          <w:rtl/>
        </w:rPr>
        <w:t xml:space="preserve">דכל שיעור שישים הוא כדי שלא תחלוק בשיעורים, כיון שיש דברים שנותנים טעם בשישים, אך תמה </w:t>
      </w:r>
      <w:r w:rsidRPr="0050146A">
        <w:rPr>
          <w:rStyle w:val="af8"/>
          <w:rFonts w:hint="cs"/>
          <w:rtl/>
        </w:rPr>
        <w:t xml:space="preserve">החזו"א </w:t>
      </w:r>
      <w:r w:rsidRPr="0050146A">
        <w:rPr>
          <w:rFonts w:hint="cs"/>
          <w:rtl/>
        </w:rPr>
        <w:t xml:space="preserve">על דברי </w:t>
      </w:r>
      <w:r w:rsidRPr="0050146A">
        <w:rPr>
          <w:rStyle w:val="af8"/>
          <w:rFonts w:hint="cs"/>
          <w:rtl/>
        </w:rPr>
        <w:t xml:space="preserve">רש"י לעיל </w:t>
      </w:r>
      <w:r w:rsidRPr="0050146A">
        <w:rPr>
          <w:rStyle w:val="af6"/>
          <w:rFonts w:eastAsia="Guttman Hodes" w:hint="cs"/>
          <w:rtl/>
        </w:rPr>
        <w:t>(צו: ד"ה כבשר)</w:t>
      </w:r>
      <w:r w:rsidRPr="0050146A">
        <w:rPr>
          <w:rFonts w:hint="cs"/>
          <w:rtl/>
        </w:rPr>
        <w:t xml:space="preserve"> דכתב לענין שיעור בשר בלפת דהשיעורים הם הלמ"מ, והא איתא בסוגיין דלחומרא משערינן בשישים, ומבואר דמדאו' מהני ביטול ברוב, וא"צ שישים. </w:t>
      </w:r>
      <w:r w:rsidRPr="0050146A">
        <w:rPr>
          <w:rStyle w:val="afa"/>
          <w:rFonts w:hint="cs"/>
          <w:rtl/>
        </w:rPr>
        <w:t xml:space="preserve">[וע"ע במה שהקשה </w:t>
      </w:r>
      <w:r w:rsidRPr="0050146A">
        <w:rPr>
          <w:rStyle w:val="affa"/>
          <w:rtl/>
        </w:rPr>
        <w:t xml:space="preserve">הגרעק"א </w:t>
      </w:r>
      <w:r w:rsidRPr="0050146A">
        <w:rPr>
          <w:rStyle w:val="affa"/>
          <w:rFonts w:hint="cs"/>
          <w:rtl/>
        </w:rPr>
        <w:t>לעיל</w:t>
      </w:r>
      <w:r w:rsidRPr="0050146A">
        <w:rPr>
          <w:rStyle w:val="affa"/>
          <w:rtl/>
        </w:rPr>
        <w:t xml:space="preserve"> </w:t>
      </w:r>
      <w:r w:rsidRPr="0050146A">
        <w:rPr>
          <w:rStyle w:val="aff6"/>
          <w:rtl/>
        </w:rPr>
        <w:t>(דרוש וחידוש מכת"י צו: על רש"י ד"ה כבשר)</w:t>
      </w:r>
      <w:r w:rsidRPr="0050146A">
        <w:rPr>
          <w:rStyle w:val="aff6"/>
          <w:rFonts w:hint="cs"/>
          <w:rtl/>
        </w:rPr>
        <w:t xml:space="preserve"> </w:t>
      </w:r>
      <w:r w:rsidRPr="0050146A">
        <w:rPr>
          <w:rStyle w:val="afa"/>
          <w:rFonts w:hint="cs"/>
          <w:rtl/>
        </w:rPr>
        <w:t xml:space="preserve">על דברי </w:t>
      </w:r>
      <w:r w:rsidRPr="0050146A">
        <w:rPr>
          <w:rStyle w:val="affa"/>
          <w:rFonts w:hint="cs"/>
          <w:rtl/>
        </w:rPr>
        <w:t>רש"י לעיל</w:t>
      </w:r>
      <w:r w:rsidRPr="0050146A">
        <w:rPr>
          <w:rStyle w:val="afa"/>
          <w:rFonts w:hint="cs"/>
          <w:rtl/>
        </w:rPr>
        <w:t xml:space="preserve">, ובמ"ש </w:t>
      </w:r>
      <w:r w:rsidRPr="0050146A">
        <w:rPr>
          <w:rStyle w:val="affa"/>
          <w:rFonts w:hint="cs"/>
          <w:rtl/>
        </w:rPr>
        <w:t xml:space="preserve">הגרעק"א לעיל </w:t>
      </w:r>
      <w:r w:rsidRPr="0050146A">
        <w:rPr>
          <w:rStyle w:val="afa"/>
          <w:rFonts w:hint="cs"/>
          <w:rtl/>
        </w:rPr>
        <w:t>ד</w:t>
      </w:r>
      <w:r w:rsidRPr="0050146A">
        <w:rPr>
          <w:rStyle w:val="afa"/>
          <w:rtl/>
        </w:rPr>
        <w:t>שיעור שישים הוא מחמת דשיערו חכמים דעד שישים יש נתינת טעם</w:t>
      </w:r>
      <w:r w:rsidRPr="0050146A">
        <w:rPr>
          <w:rStyle w:val="afa"/>
          <w:rFonts w:hint="cs"/>
          <w:rtl/>
        </w:rPr>
        <w:t>].</w:t>
      </w:r>
      <w:bookmarkEnd w:id="4448"/>
    </w:p>
    <w:p w:rsidR="0088374B" w:rsidRPr="0050146A" w:rsidRDefault="0088374B" w:rsidP="0088374B">
      <w:pPr>
        <w:pStyle w:val="1"/>
        <w:rPr>
          <w:rtl/>
        </w:rPr>
      </w:pPr>
      <w:bookmarkStart w:id="4449" w:name="_Toc11664893"/>
      <w:r w:rsidRPr="0050146A">
        <w:rPr>
          <w:rFonts w:hint="cs"/>
          <w:rtl/>
        </w:rPr>
        <w:t>דברי הנוב"י דביטול בשישים אינו מדין רוב אלא דאין טעם</w:t>
      </w:r>
      <w:bookmarkEnd w:id="4449"/>
    </w:p>
    <w:p w:rsidR="0088374B" w:rsidRPr="0050146A" w:rsidRDefault="0088374B" w:rsidP="0088374B">
      <w:pPr>
        <w:pStyle w:val="a2"/>
        <w:rPr>
          <w:rtl/>
        </w:rPr>
      </w:pPr>
      <w:bookmarkStart w:id="4450" w:name="_Toc11664894"/>
      <w:r w:rsidRPr="0050146A">
        <w:rPr>
          <w:rFonts w:hint="cs"/>
          <w:rtl/>
        </w:rPr>
        <w:t>דברי הנוב"י דקיי"ל דטע"כ דאו' ושישים אינו מדין ביטול ברוב אלא דבשישים אין טעם איסור</w:t>
      </w:r>
      <w:bookmarkEnd w:id="4450"/>
    </w:p>
    <w:p w:rsidR="0088374B" w:rsidRPr="0050146A" w:rsidRDefault="0088374B" w:rsidP="009F44AF">
      <w:pPr>
        <w:pStyle w:val="a"/>
        <w:rPr>
          <w:rtl/>
        </w:rPr>
      </w:pPr>
      <w:r w:rsidRPr="0050146A">
        <w:rPr>
          <w:rFonts w:hint="cs"/>
          <w:rtl/>
        </w:rPr>
        <w:t xml:space="preserve">ויעוי' בדברי </w:t>
      </w:r>
      <w:r w:rsidRPr="0050146A">
        <w:rPr>
          <w:rStyle w:val="af8"/>
          <w:rFonts w:hint="cs"/>
          <w:rtl/>
        </w:rPr>
        <w:t>הנוב"י</w:t>
      </w:r>
      <w:r w:rsidRPr="0050146A">
        <w:rPr>
          <w:rFonts w:hint="cs"/>
          <w:rtl/>
        </w:rPr>
        <w:t xml:space="preserve"> </w:t>
      </w:r>
      <w:r w:rsidRPr="0050146A">
        <w:rPr>
          <w:rStyle w:val="af6"/>
          <w:rFonts w:eastAsia="Guttman Hodes" w:hint="cs"/>
          <w:rtl/>
        </w:rPr>
        <w:t>(מהדו"ת יו"ד סו"ס נ"ד)</w:t>
      </w:r>
      <w:r w:rsidRPr="0050146A">
        <w:rPr>
          <w:rFonts w:hint="cs"/>
          <w:rtl/>
        </w:rPr>
        <w:t xml:space="preserve"> דכתב דביטול בשישים אינו מתורת רוב, דהא במין בשאינו מינו קיי"ל </w:t>
      </w:r>
      <w:r w:rsidRPr="0050146A">
        <w:rPr>
          <w:rStyle w:val="afa"/>
          <w:rFonts w:hint="cs"/>
          <w:rtl/>
        </w:rPr>
        <w:t>[</w:t>
      </w:r>
      <w:r w:rsidRPr="0050146A">
        <w:rPr>
          <w:rStyle w:val="affa"/>
          <w:rFonts w:hint="cs"/>
          <w:rtl/>
        </w:rPr>
        <w:t>כתוס'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Ref11660761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פב)</w:t>
      </w:r>
      <w:r w:rsidRPr="0050146A">
        <w:rPr>
          <w:rStyle w:val="aff6"/>
          <w:rtl/>
        </w:rPr>
        <w:fldChar w:fldCharType="end"/>
      </w:r>
      <w:r w:rsidRPr="0050146A">
        <w:rPr>
          <w:rStyle w:val="afa"/>
          <w:rFonts w:hint="cs"/>
          <w:rtl/>
        </w:rPr>
        <w:t>]</w:t>
      </w:r>
      <w:r w:rsidRPr="0050146A">
        <w:rPr>
          <w:rFonts w:hint="cs"/>
          <w:rtl/>
        </w:rPr>
        <w:t xml:space="preserve"> דטעם כעיקר דאו' ואינו בטל ברוב, ואפ"ה מהני בו ביטול בשישים, ומוכח דאין הביטול מדין רוב, אלא דבשישים אין טעם של איסור כלל.</w:t>
      </w:r>
    </w:p>
    <w:p w:rsidR="0088374B" w:rsidRPr="0050146A" w:rsidRDefault="0088374B" w:rsidP="00E669F8">
      <w:pPr>
        <w:pStyle w:val="afd"/>
        <w:rPr>
          <w:rtl/>
        </w:rPr>
      </w:pPr>
      <w:bookmarkStart w:id="4451" w:name="_Toc11664895"/>
      <w:r w:rsidRPr="0050146A">
        <w:rPr>
          <w:rFonts w:hint="cs"/>
          <w:rtl/>
        </w:rPr>
        <w:t>ביאורי האחרונים בטעם ביותר מס' לרמב"ן</w:t>
      </w:r>
      <w:bookmarkEnd w:id="4451"/>
    </w:p>
    <w:p w:rsidR="0088374B" w:rsidRPr="0050146A" w:rsidRDefault="0088374B" w:rsidP="0088374B">
      <w:pPr>
        <w:pStyle w:val="1"/>
        <w:rPr>
          <w:rtl/>
        </w:rPr>
      </w:pPr>
      <w:bookmarkStart w:id="4452" w:name="_Toc11664896"/>
      <w:r w:rsidRPr="0050146A">
        <w:rPr>
          <w:rFonts w:hint="cs"/>
          <w:rtl/>
        </w:rPr>
        <w:t>ביאור החת"ס ברמב"ן דקים להו לרבנן דאין טעם בשישים</w:t>
      </w:r>
      <w:bookmarkEnd w:id="4452"/>
    </w:p>
    <w:p w:rsidR="0088374B" w:rsidRPr="0050146A" w:rsidRDefault="0088374B" w:rsidP="0088374B">
      <w:pPr>
        <w:pStyle w:val="a2"/>
        <w:rPr>
          <w:rtl/>
        </w:rPr>
      </w:pPr>
      <w:bookmarkStart w:id="4453" w:name="_Toc11406484"/>
      <w:bookmarkStart w:id="4454" w:name="_Toc11600042"/>
      <w:bookmarkStart w:id="4455" w:name="_Toc11625405"/>
      <w:bookmarkStart w:id="4456" w:name="_Toc11664897"/>
      <w:r w:rsidRPr="0050146A">
        <w:rPr>
          <w:rFonts w:hint="cs"/>
          <w:rtl/>
        </w:rPr>
        <w:t>דברי החת"ס דלרמב"ן לא פלוג רבנן בשיעורים ולכן אף כשאין טעם צריך שישים</w:t>
      </w:r>
      <w:bookmarkEnd w:id="4453"/>
      <w:bookmarkEnd w:id="4454"/>
      <w:bookmarkEnd w:id="4455"/>
      <w:bookmarkEnd w:id="4456"/>
    </w:p>
    <w:p w:rsidR="00925DF6" w:rsidRPr="0050146A" w:rsidRDefault="0088374B" w:rsidP="009F44AF">
      <w:pPr>
        <w:pStyle w:val="a"/>
        <w:rPr>
          <w:sz w:val="10"/>
          <w:szCs w:val="14"/>
          <w:rtl/>
        </w:rPr>
      </w:pPr>
      <w:bookmarkStart w:id="4457" w:name="_Ref11660333"/>
      <w:r w:rsidRPr="0050146A">
        <w:rPr>
          <w:rFonts w:hint="cs"/>
          <w:rtl/>
        </w:rPr>
        <w:t xml:space="preserve">ובדעת </w:t>
      </w:r>
      <w:r w:rsidRPr="0050146A">
        <w:rPr>
          <w:rStyle w:val="af8"/>
          <w:rFonts w:hint="cs"/>
          <w:rtl/>
        </w:rPr>
        <w:t xml:space="preserve">הרמב"ן </w:t>
      </w:r>
      <w:r w:rsidRPr="0050146A">
        <w:rPr>
          <w:rStyle w:val="af6"/>
          <w:rFonts w:eastAsia="Guttman Hodes" w:hint="cs"/>
          <w:rtl/>
        </w:rPr>
        <w:t>(צח. ד"ה כל)</w:t>
      </w:r>
      <w:r w:rsidRPr="0050146A">
        <w:rPr>
          <w:rFonts w:hint="cs"/>
          <w:rtl/>
        </w:rPr>
        <w:t xml:space="preserve"> דכתב דהא דבעינן שישים אף כשאומר הקפילא שאין טעם איסור, היינו דוקא במקום שנתערב גוף האיסור, אבל במקום שהאיסור ניכר, דכיון שצריך לשער רק כמה ציר ורוטב יצאו מהאיסור, מהני קפילא להתיר אף בפחות משישים, ביאר </w:t>
      </w:r>
      <w:r w:rsidRPr="0050146A">
        <w:rPr>
          <w:rStyle w:val="af8"/>
          <w:rFonts w:hint="cs"/>
          <w:rtl/>
        </w:rPr>
        <w:t xml:space="preserve">החת"ס </w:t>
      </w:r>
      <w:r w:rsidRPr="0050146A">
        <w:rPr>
          <w:rStyle w:val="af6"/>
          <w:rFonts w:eastAsia="Guttman Hodes" w:hint="cs"/>
          <w:rtl/>
        </w:rPr>
        <w:t xml:space="preserve">(צח. ד"ה כל) </w:t>
      </w:r>
      <w:r w:rsidRPr="0050146A">
        <w:rPr>
          <w:rFonts w:hint="cs"/>
          <w:rtl/>
        </w:rPr>
        <w:t xml:space="preserve">כתב דדעת </w:t>
      </w:r>
      <w:r w:rsidRPr="0050146A">
        <w:rPr>
          <w:rStyle w:val="af8"/>
          <w:rFonts w:hint="cs"/>
          <w:rtl/>
        </w:rPr>
        <w:t>הרמב"ן</w:t>
      </w:r>
      <w:r w:rsidRPr="0050146A">
        <w:rPr>
          <w:rFonts w:hint="cs"/>
          <w:rtl/>
        </w:rPr>
        <w:t xml:space="preserve"> דלא פלוג רבנן בשיעורים, ולכן הצריכו שישים אף במקום שאמר הקפילא שאין טעם, ובמקום שיש טעם אף שיש שישים לא בטיל, </w:t>
      </w:r>
      <w:r w:rsidRPr="0050146A">
        <w:rPr>
          <w:rStyle w:val="afa"/>
          <w:rFonts w:hint="cs"/>
          <w:rtl/>
        </w:rPr>
        <w:t xml:space="preserve">[ודלא כביאור </w:t>
      </w:r>
      <w:r w:rsidRPr="0050146A">
        <w:rPr>
          <w:rStyle w:val="affa"/>
          <w:rFonts w:hint="cs"/>
          <w:rtl/>
        </w:rPr>
        <w:t>החת"ס</w:t>
      </w:r>
      <w:r w:rsidRPr="0050146A">
        <w:rPr>
          <w:rStyle w:val="afa"/>
          <w:rFonts w:hint="cs"/>
          <w:rtl/>
        </w:rPr>
        <w:t xml:space="preserve"> בדעת </w:t>
      </w:r>
      <w:r w:rsidRPr="0050146A">
        <w:rPr>
          <w:rStyle w:val="affa"/>
          <w:rFonts w:hint="cs"/>
          <w:rtl/>
        </w:rPr>
        <w:t>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Ref8832530 \r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כו)</w:t>
      </w:r>
      <w:r w:rsidRPr="0050146A">
        <w:rPr>
          <w:rStyle w:val="aff6"/>
          <w:rtl/>
        </w:rPr>
        <w:fldChar w:fldCharType="end"/>
      </w:r>
      <w:r w:rsidRPr="0050146A">
        <w:rPr>
          <w:rStyle w:val="afa"/>
          <w:rFonts w:hint="cs"/>
          <w:rtl/>
        </w:rPr>
        <w:t xml:space="preserve"> דשיעור שישים הוא מדאו'],</w:t>
      </w:r>
      <w:r w:rsidRPr="0050146A">
        <w:rPr>
          <w:rFonts w:hint="cs"/>
          <w:rtl/>
        </w:rPr>
        <w:t xml:space="preserve"> וכתב </w:t>
      </w:r>
      <w:r w:rsidRPr="0050146A">
        <w:rPr>
          <w:rStyle w:val="af8"/>
          <w:rFonts w:hint="cs"/>
          <w:rtl/>
        </w:rPr>
        <w:t>החת"ס ד</w:t>
      </w:r>
      <w:r w:rsidRPr="0050146A">
        <w:rPr>
          <w:rFonts w:hint="cs"/>
          <w:rtl/>
        </w:rPr>
        <w:t xml:space="preserve">אפש"ל דס"ל </w:t>
      </w:r>
      <w:r w:rsidRPr="0050146A">
        <w:rPr>
          <w:rStyle w:val="af8"/>
          <w:rFonts w:hint="cs"/>
          <w:rtl/>
        </w:rPr>
        <w:t>להרמב"ן</w:t>
      </w:r>
      <w:r w:rsidRPr="0050146A">
        <w:rPr>
          <w:rFonts w:hint="cs"/>
          <w:rtl/>
        </w:rPr>
        <w:t xml:space="preserve"> דטעם כעיקר דאו'.</w:t>
      </w:r>
      <w:bookmarkStart w:id="4458" w:name="_Toc11406485"/>
      <w:bookmarkStart w:id="4459" w:name="_Toc11600043"/>
      <w:bookmarkStart w:id="4460" w:name="_Toc11625406"/>
      <w:bookmarkEnd w:id="4457"/>
    </w:p>
    <w:p w:rsidR="0088374B" w:rsidRPr="0050146A" w:rsidRDefault="0088374B" w:rsidP="0088374B">
      <w:pPr>
        <w:pStyle w:val="a2"/>
      </w:pPr>
      <w:bookmarkStart w:id="4461" w:name="_Toc11664898"/>
      <w:r w:rsidRPr="0050146A">
        <w:rPr>
          <w:rFonts w:hint="cs"/>
          <w:rtl/>
        </w:rPr>
        <w:t>ביאור החת"ס ברמב"ן דמקובל לחז"ל דרוב האיסורים אינם נותנים טעם ביותר משישים</w:t>
      </w:r>
      <w:bookmarkEnd w:id="4458"/>
      <w:bookmarkEnd w:id="4459"/>
      <w:bookmarkEnd w:id="4460"/>
      <w:bookmarkEnd w:id="4461"/>
    </w:p>
    <w:p w:rsidR="0088374B" w:rsidRPr="0050146A" w:rsidRDefault="0088374B" w:rsidP="009F44AF">
      <w:pPr>
        <w:pStyle w:val="a"/>
        <w:rPr>
          <w:rtl/>
        </w:rPr>
      </w:pPr>
      <w:r w:rsidRPr="0050146A">
        <w:rPr>
          <w:rFonts w:hint="cs"/>
          <w:rtl/>
        </w:rPr>
        <w:t xml:space="preserve">וביאר </w:t>
      </w:r>
      <w:r w:rsidRPr="0050146A">
        <w:rPr>
          <w:rStyle w:val="af8"/>
          <w:rFonts w:hint="cs"/>
          <w:rtl/>
        </w:rPr>
        <w:t>החת"ס</w:t>
      </w:r>
      <w:r w:rsidRPr="0050146A">
        <w:rPr>
          <w:rFonts w:hint="cs"/>
          <w:rtl/>
        </w:rPr>
        <w:t xml:space="preserve"> בדעת</w:t>
      </w:r>
      <w:r w:rsidRPr="0050146A">
        <w:rPr>
          <w:rStyle w:val="af8"/>
          <w:rFonts w:hint="cs"/>
          <w:rtl/>
        </w:rPr>
        <w:t xml:space="preserve"> הרמב"ן </w:t>
      </w:r>
      <w:r w:rsidRPr="0050146A">
        <w:rPr>
          <w:rFonts w:hint="cs"/>
          <w:rtl/>
        </w:rPr>
        <w:t>דיש לחז"ל קבלה שרוב האיסורים אינם נותנים טעם ביותר משישים, ולכן במקום שיש שישים, אף שיש קפילא א"צ להטעימו, דסמכינן על קבלת חז"ל שהסמיכוה על קרא דזרוע בשלה.</w:t>
      </w:r>
    </w:p>
    <w:p w:rsidR="0088374B" w:rsidRPr="0050146A" w:rsidRDefault="0088374B" w:rsidP="0088374B">
      <w:pPr>
        <w:pStyle w:val="a2"/>
        <w:rPr>
          <w:rtl/>
        </w:rPr>
      </w:pPr>
      <w:bookmarkStart w:id="4462" w:name="_Toc11664899"/>
      <w:r w:rsidRPr="0050146A">
        <w:rPr>
          <w:rFonts w:hint="cs"/>
          <w:rtl/>
        </w:rPr>
        <w:t>ביאור הרמב"ן באביי דאף במקום שאין טעם ילפינן מזרוע בשלה דצריך שישים ול"מ ביטול ברוב</w:t>
      </w:r>
      <w:bookmarkEnd w:id="4462"/>
    </w:p>
    <w:p w:rsidR="0088374B" w:rsidRPr="0050146A" w:rsidRDefault="0088374B" w:rsidP="009F44AF">
      <w:pPr>
        <w:pStyle w:val="a"/>
        <w:rPr>
          <w:rtl/>
        </w:rPr>
      </w:pPr>
      <w:r w:rsidRPr="0050146A">
        <w:rPr>
          <w:rFonts w:hint="cs"/>
          <w:rtl/>
        </w:rPr>
        <w:t xml:space="preserve">אמנם יעוי' בדברי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Ref11660495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50146A">
        <w:rPr>
          <w:rStyle w:val="af6"/>
          <w:rFonts w:eastAsia="Guttman Hodes"/>
          <w:rtl/>
        </w:rPr>
        <w:fldChar w:fldCharType="end"/>
      </w:r>
      <w:r w:rsidRPr="0050146A">
        <w:rPr>
          <w:rFonts w:hint="cs"/>
          <w:rtl/>
        </w:rPr>
        <w:t xml:space="preserve"> דכתב </w:t>
      </w:r>
      <w:r w:rsidRPr="0050146A">
        <w:rPr>
          <w:rStyle w:val="afa"/>
          <w:rFonts w:hint="cs"/>
          <w:rtl/>
        </w:rPr>
        <w:t xml:space="preserve">[בדעת </w:t>
      </w:r>
      <w:r w:rsidRPr="0050146A">
        <w:rPr>
          <w:rStyle w:val="affa"/>
          <w:rFonts w:hint="cs"/>
          <w:rtl/>
        </w:rPr>
        <w:t>רש"י</w:t>
      </w:r>
      <w:r w:rsidRPr="0050146A">
        <w:rPr>
          <w:rStyle w:val="afa"/>
          <w:rFonts w:hint="cs"/>
          <w:rtl/>
        </w:rPr>
        <w:t xml:space="preserve">] </w:t>
      </w:r>
      <w:r w:rsidRPr="0050146A">
        <w:rPr>
          <w:rFonts w:hint="cs"/>
          <w:rtl/>
        </w:rPr>
        <w:t xml:space="preserve">דלאביי ילפינן מזרוע בשלה, דצריך שישים אף במקום שאין טעם, </w:t>
      </w:r>
      <w:r w:rsidRPr="0050146A">
        <w:rPr>
          <w:rStyle w:val="afa"/>
          <w:rFonts w:hint="cs"/>
          <w:rtl/>
        </w:rPr>
        <w:t>[דטעם הקפילא ואמר שאין טעם],</w:t>
      </w:r>
      <w:r w:rsidRPr="0050146A">
        <w:rPr>
          <w:rFonts w:hint="cs"/>
          <w:rtl/>
        </w:rPr>
        <w:t xml:space="preserve"> וכן במקום דקים להו לרבנן דאין טעם, וזהו חומרא דאעפ"י שכבר אין טעם, מ"מ לא מהני ביטול של חד בתרי, וצריך ביטול בשישים.</w:t>
      </w:r>
    </w:p>
    <w:p w:rsidR="0088374B" w:rsidRPr="0050146A" w:rsidRDefault="0088374B" w:rsidP="0088374B">
      <w:pPr>
        <w:pStyle w:val="1"/>
        <w:rPr>
          <w:rtl/>
        </w:rPr>
      </w:pPr>
      <w:bookmarkStart w:id="4463" w:name="_Toc11600044"/>
      <w:bookmarkStart w:id="4464" w:name="_Toc11625407"/>
      <w:bookmarkStart w:id="4465" w:name="_Toc11664900"/>
      <w:r w:rsidRPr="0050146A">
        <w:rPr>
          <w:rFonts w:hint="cs"/>
          <w:rtl/>
        </w:rPr>
        <w:t>ביאור החוו"ד ברמב"ן דבפחות מ</w:t>
      </w:r>
      <w:bookmarkEnd w:id="4463"/>
      <w:bookmarkEnd w:id="4464"/>
      <w:r w:rsidRPr="0050146A">
        <w:rPr>
          <w:rFonts w:hint="cs"/>
          <w:rtl/>
        </w:rPr>
        <w:t>ס' אסור מדאו' אף שאין טעם</w:t>
      </w:r>
      <w:bookmarkEnd w:id="4465"/>
    </w:p>
    <w:p w:rsidR="0088374B" w:rsidRPr="0050146A" w:rsidRDefault="0088374B" w:rsidP="0088374B">
      <w:pPr>
        <w:pStyle w:val="a2"/>
        <w:rPr>
          <w:rtl/>
        </w:rPr>
      </w:pPr>
      <w:bookmarkStart w:id="4466" w:name="_Toc11600045"/>
      <w:bookmarkStart w:id="4467" w:name="_Toc11625408"/>
      <w:bookmarkStart w:id="4468" w:name="_Toc11664901"/>
      <w:r w:rsidRPr="0050146A">
        <w:rPr>
          <w:rFonts w:hint="cs"/>
          <w:rtl/>
        </w:rPr>
        <w:t>ביאור החוו"ד דשיעור שישים הוא מדאו' ולכן בנימוח גוף האיסור ל"מ קפילא בפחות משישים</w:t>
      </w:r>
      <w:bookmarkEnd w:id="4466"/>
      <w:bookmarkEnd w:id="4467"/>
      <w:bookmarkEnd w:id="4468"/>
    </w:p>
    <w:p w:rsidR="002D7168" w:rsidRDefault="0088374B" w:rsidP="009F44AF">
      <w:pPr>
        <w:pStyle w:val="a"/>
        <w:rPr>
          <w:rtl/>
        </w:rPr>
      </w:pPr>
      <w:bookmarkStart w:id="4469" w:name="_Ref11660384"/>
      <w:r w:rsidRPr="0050146A">
        <w:rPr>
          <w:rFonts w:hint="cs"/>
          <w:rtl/>
        </w:rPr>
        <w:t xml:space="preserve">אבל </w:t>
      </w:r>
      <w:r w:rsidRPr="0050146A">
        <w:rPr>
          <w:rStyle w:val="af8"/>
          <w:rFonts w:hint="cs"/>
          <w:rtl/>
        </w:rPr>
        <w:t>החוו"ד</w:t>
      </w:r>
      <w:r w:rsidRPr="0050146A">
        <w:rPr>
          <w:rFonts w:hint="cs"/>
          <w:rtl/>
        </w:rPr>
        <w:t xml:space="preserve"> </w:t>
      </w:r>
      <w:r w:rsidRPr="0050146A">
        <w:rPr>
          <w:rStyle w:val="af6"/>
          <w:rFonts w:eastAsia="Guttman Hodes" w:hint="cs"/>
          <w:rtl/>
        </w:rPr>
        <w:t xml:space="preserve">(סי' צ"ח סק"ג בתו"ד) </w:t>
      </w:r>
      <w:r w:rsidRPr="0050146A">
        <w:rPr>
          <w:rFonts w:hint="cs"/>
          <w:rtl/>
        </w:rPr>
        <w:t xml:space="preserve">כתב דס"ל </w:t>
      </w:r>
      <w:r w:rsidRPr="0050146A">
        <w:rPr>
          <w:rStyle w:val="af8"/>
          <w:rFonts w:hint="cs"/>
          <w:rtl/>
        </w:rPr>
        <w:t>להרמב"ן</w:t>
      </w:r>
      <w:r w:rsidRPr="0050146A">
        <w:rPr>
          <w:rFonts w:hint="cs"/>
          <w:rtl/>
        </w:rPr>
        <w:t xml:space="preserve"> </w:t>
      </w:r>
      <w:r w:rsidRPr="0050146A">
        <w:rPr>
          <w:rStyle w:val="af6"/>
          <w:rFonts w:eastAsia="Guttman Hodes" w:hint="cs"/>
          <w:rtl/>
        </w:rPr>
        <w:t>(צח. ד"ה כל)</w:t>
      </w:r>
      <w:r w:rsidRPr="0050146A">
        <w:rPr>
          <w:rFonts w:hint="cs"/>
          <w:rtl/>
        </w:rPr>
        <w:t xml:space="preserve"> דשיעור שישים הוא מדאו' מילפותא דזרוע בשילה, והא דלא מהני ביטול ברוב, והטעם אוסר עד שישים, כתב </w:t>
      </w:r>
      <w:r w:rsidRPr="0050146A">
        <w:rPr>
          <w:rStyle w:val="af8"/>
          <w:rFonts w:hint="cs"/>
          <w:rtl/>
        </w:rPr>
        <w:t>החוו"ד</w:t>
      </w:r>
      <w:r w:rsidRPr="0050146A">
        <w:rPr>
          <w:rFonts w:hint="cs"/>
          <w:rtl/>
        </w:rPr>
        <w:t xml:space="preserve"> דהוא הלכה למשה מסיני דלא ילפינן מקרא דאחרי רבים להטות, </w:t>
      </w:r>
      <w:r w:rsidRPr="0050146A">
        <w:rPr>
          <w:rStyle w:val="afa"/>
          <w:rFonts w:hint="cs"/>
          <w:rtl/>
        </w:rPr>
        <w:t xml:space="preserve">[עפי"ד </w:t>
      </w:r>
      <w:r w:rsidRPr="0050146A">
        <w:rPr>
          <w:rStyle w:val="affa"/>
          <w:rFonts w:hint="cs"/>
          <w:rtl/>
        </w:rPr>
        <w:t>רש"י בפסחים</w:t>
      </w:r>
      <w:r w:rsidRPr="0050146A">
        <w:rPr>
          <w:rStyle w:val="afa"/>
          <w:rFonts w:hint="cs"/>
          <w:rtl/>
        </w:rPr>
        <w:t xml:space="preserve"> </w:t>
      </w:r>
      <w:r w:rsidRPr="0050146A">
        <w:rPr>
          <w:rStyle w:val="aff6"/>
          <w:rFonts w:hint="cs"/>
          <w:rtl/>
        </w:rPr>
        <w:t>(מד. ד"ה וכזית)</w:t>
      </w:r>
      <w:r w:rsidRPr="0050146A">
        <w:rPr>
          <w:rStyle w:val="afa"/>
          <w:rFonts w:hint="cs"/>
          <w:rtl/>
        </w:rPr>
        <w:t>],</w:t>
      </w:r>
      <w:r w:rsidRPr="0050146A">
        <w:rPr>
          <w:rFonts w:hint="cs"/>
          <w:rtl/>
        </w:rPr>
        <w:t xml:space="preserve"> ולכן ס"ל </w:t>
      </w:r>
      <w:r w:rsidRPr="0050146A">
        <w:rPr>
          <w:rStyle w:val="af8"/>
          <w:rFonts w:hint="cs"/>
          <w:rtl/>
        </w:rPr>
        <w:t>להרמב"ן</w:t>
      </w:r>
      <w:r w:rsidRPr="0050146A">
        <w:rPr>
          <w:rFonts w:hint="cs"/>
          <w:rtl/>
        </w:rPr>
        <w:t xml:space="preserve"> דכשנימוח גוף האיסור לא מהני קפילא בפחות משישים.</w:t>
      </w:r>
      <w:bookmarkEnd w:id="4469"/>
    </w:p>
    <w:p w:rsidR="0088374B" w:rsidRPr="0050146A" w:rsidRDefault="0088374B" w:rsidP="0088374B">
      <w:pPr>
        <w:pStyle w:val="1"/>
        <w:rPr>
          <w:rtl/>
        </w:rPr>
      </w:pPr>
      <w:bookmarkStart w:id="4470" w:name="_Toc11664902"/>
      <w:r w:rsidRPr="0050146A">
        <w:rPr>
          <w:rFonts w:hint="cs"/>
          <w:rtl/>
        </w:rPr>
        <w:t>ביאור החוו"ד ברש"י דבגוף הטעם אף מדאו' צריך ביטול ברוב</w:t>
      </w:r>
      <w:bookmarkEnd w:id="4470"/>
    </w:p>
    <w:p w:rsidR="0088374B" w:rsidRPr="0050146A" w:rsidRDefault="0088374B" w:rsidP="0088374B">
      <w:pPr>
        <w:pStyle w:val="a2"/>
        <w:rPr>
          <w:rtl/>
        </w:rPr>
      </w:pPr>
      <w:bookmarkStart w:id="4471" w:name="_Toc11664903"/>
      <w:r w:rsidRPr="0050146A">
        <w:rPr>
          <w:rFonts w:hint="cs"/>
          <w:rtl/>
        </w:rPr>
        <w:t>ביאור החוו"ד ברש"י דגוף הטעם אסור מדאו' אף למ"ד דטע"כ דרבנן ולכן כתב רש"י דיש בו ביטול</w:t>
      </w:r>
      <w:bookmarkEnd w:id="4471"/>
    </w:p>
    <w:p w:rsidR="0088374B" w:rsidRPr="0050146A" w:rsidRDefault="0088374B" w:rsidP="009F44AF">
      <w:pPr>
        <w:pStyle w:val="a"/>
        <w:rPr>
          <w:rtl/>
        </w:rPr>
      </w:pPr>
      <w:r w:rsidRPr="0050146A">
        <w:rPr>
          <w:rFonts w:hint="cs"/>
          <w:rtl/>
        </w:rPr>
        <w:t xml:space="preserve">ובדעת </w:t>
      </w:r>
      <w:r w:rsidRPr="0050146A">
        <w:rPr>
          <w:rStyle w:val="af8"/>
          <w:rFonts w:hint="cs"/>
          <w:rtl/>
        </w:rPr>
        <w:t>רש"י</w:t>
      </w:r>
      <w:r w:rsidRPr="0050146A">
        <w:rPr>
          <w:rFonts w:hint="cs"/>
          <w:rtl/>
        </w:rPr>
        <w:t xml:space="preserve"> ביאר </w:t>
      </w:r>
      <w:r w:rsidRPr="0050146A">
        <w:rPr>
          <w:rStyle w:val="af8"/>
          <w:rFonts w:hint="cs"/>
          <w:rtl/>
        </w:rPr>
        <w:t>החוו"ד</w:t>
      </w:r>
      <w:r w:rsidRPr="0050146A">
        <w:rPr>
          <w:rFonts w:hint="cs"/>
          <w:rtl/>
        </w:rPr>
        <w:t xml:space="preserve"> </w:t>
      </w:r>
      <w:r w:rsidRPr="0050146A">
        <w:rPr>
          <w:rStyle w:val="af6"/>
          <w:rFonts w:eastAsia="Guttman Hodes" w:hint="cs"/>
          <w:rtl/>
        </w:rPr>
        <w:t>(סי' צ"ח סק"ג)</w:t>
      </w:r>
      <w:r w:rsidRPr="0050146A">
        <w:rPr>
          <w:rFonts w:hint="cs"/>
          <w:rtl/>
        </w:rPr>
        <w:t xml:space="preserve"> דמ"ש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Ref11655080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50146A">
        <w:rPr>
          <w:rStyle w:val="af6"/>
          <w:rFonts w:eastAsia="Guttman Hodes"/>
          <w:rtl/>
        </w:rPr>
        <w:fldChar w:fldCharType="end"/>
      </w:r>
      <w:r w:rsidRPr="0050146A">
        <w:rPr>
          <w:rFonts w:hint="cs"/>
          <w:rtl/>
        </w:rPr>
        <w:t xml:space="preserve"> דלרבא דס"ל דטעם כעיקר דרבנן, כיון דמדאו' הטעם בטל ברוב, מדין אחרי רבים להטות, הוא כיון דהטעם אינו פחות מציר היוצא מאיסור דהוא אסור, </w:t>
      </w:r>
      <w:r w:rsidRPr="0050146A">
        <w:rPr>
          <w:rStyle w:val="afa"/>
          <w:rFonts w:hint="cs"/>
          <w:rtl/>
        </w:rPr>
        <w:t xml:space="preserve">[כדאיתא בגמ' לקמן </w:t>
      </w:r>
      <w:r w:rsidRPr="0050146A">
        <w:rPr>
          <w:rStyle w:val="aff6"/>
          <w:rFonts w:hint="cs"/>
          <w:rtl/>
        </w:rPr>
        <w:t>(קיב:)</w:t>
      </w:r>
      <w:r w:rsidRPr="0050146A">
        <w:rPr>
          <w:rStyle w:val="afa"/>
          <w:rFonts w:hint="cs"/>
          <w:rtl/>
        </w:rPr>
        <w:t xml:space="preserve"> דילפינן מהטמאים לאסור צירן ורוטבן],</w:t>
      </w:r>
      <w:r w:rsidRPr="0050146A">
        <w:rPr>
          <w:rFonts w:hint="cs"/>
          <w:rtl/>
        </w:rPr>
        <w:t xml:space="preserve"> וא"כ גוף הטעם אינו אסור מדרבנן אף למ"ד דטעם כעיקר דרבנן, ולכן הוצרך </w:t>
      </w:r>
      <w:r w:rsidRPr="0050146A">
        <w:rPr>
          <w:rStyle w:val="af8"/>
          <w:rFonts w:hint="cs"/>
          <w:rtl/>
        </w:rPr>
        <w:t>רש"י</w:t>
      </w:r>
      <w:r w:rsidRPr="0050146A">
        <w:rPr>
          <w:rFonts w:hint="cs"/>
          <w:rtl/>
        </w:rPr>
        <w:t xml:space="preserve"> לבאר דאף דהטעם אסור מ"מ מהני בו ביטול.</w:t>
      </w:r>
    </w:p>
    <w:p w:rsidR="0088374B" w:rsidRPr="0050146A" w:rsidRDefault="0088374B" w:rsidP="00E669F8">
      <w:pPr>
        <w:pStyle w:val="afd"/>
      </w:pPr>
      <w:bookmarkStart w:id="4472" w:name="_Toc11664904"/>
      <w:r w:rsidRPr="0050146A">
        <w:rPr>
          <w:rFonts w:hint="cs"/>
          <w:rtl/>
        </w:rPr>
        <w:t>באיסור טעם ביותר מס' מדאו' או דרבנן</w:t>
      </w:r>
      <w:bookmarkEnd w:id="4472"/>
    </w:p>
    <w:p w:rsidR="0088374B" w:rsidRPr="0050146A" w:rsidRDefault="0088374B" w:rsidP="0088374B">
      <w:pPr>
        <w:pStyle w:val="1"/>
        <w:rPr>
          <w:rtl/>
        </w:rPr>
      </w:pPr>
      <w:bookmarkStart w:id="4473" w:name="_Toc11664905"/>
      <w:r w:rsidRPr="0050146A">
        <w:rPr>
          <w:rFonts w:hint="cs"/>
          <w:rtl/>
        </w:rPr>
        <w:t>דעת האיסור והיתר דאיסור טעם ביותר משישים הוא מדרבנן</w:t>
      </w:r>
      <w:bookmarkEnd w:id="4473"/>
    </w:p>
    <w:p w:rsidR="0088374B" w:rsidRPr="0050146A" w:rsidRDefault="0088374B" w:rsidP="0088374B">
      <w:pPr>
        <w:pStyle w:val="a2"/>
        <w:rPr>
          <w:rtl/>
        </w:rPr>
      </w:pPr>
      <w:bookmarkStart w:id="4474" w:name="_Toc11664906"/>
      <w:r w:rsidRPr="0050146A">
        <w:rPr>
          <w:rFonts w:hint="cs"/>
          <w:rtl/>
        </w:rPr>
        <w:t>דברי האיסור והיתר דבמקום שהטעם התפשט בשישים ונשאר טעם משהו אסור מדרבנן ולא מדאו'</w:t>
      </w:r>
      <w:bookmarkEnd w:id="4474"/>
    </w:p>
    <w:p w:rsidR="002D7168" w:rsidRDefault="0088374B" w:rsidP="009F44AF">
      <w:pPr>
        <w:pStyle w:val="a"/>
        <w:rPr>
          <w:rtl/>
        </w:rPr>
      </w:pPr>
      <w:bookmarkStart w:id="4475" w:name="_Ref11615442"/>
      <w:r w:rsidRPr="0050146A">
        <w:rPr>
          <w:rFonts w:hint="cs"/>
          <w:rtl/>
        </w:rPr>
        <w:lastRenderedPageBreak/>
        <w:t xml:space="preserve">הביא </w:t>
      </w:r>
      <w:r w:rsidRPr="0050146A">
        <w:rPr>
          <w:rStyle w:val="af8"/>
          <w:rFonts w:hint="cs"/>
          <w:rtl/>
        </w:rPr>
        <w:t>הש"ך</w:t>
      </w:r>
      <w:r w:rsidRPr="0050146A">
        <w:rPr>
          <w:rFonts w:hint="cs"/>
          <w:rtl/>
        </w:rPr>
        <w:t xml:space="preserve"> </w:t>
      </w:r>
      <w:r w:rsidRPr="0050146A">
        <w:rPr>
          <w:rStyle w:val="af6"/>
          <w:rFonts w:eastAsia="Guttman Hodes" w:hint="cs"/>
          <w:rtl/>
        </w:rPr>
        <w:t>(סי' צ"ח סקכ"ט)</w:t>
      </w:r>
      <w:r w:rsidRPr="0050146A">
        <w:rPr>
          <w:rFonts w:hint="cs"/>
          <w:rtl/>
        </w:rPr>
        <w:t xml:space="preserve"> את דברי </w:t>
      </w:r>
      <w:r w:rsidRPr="0050146A">
        <w:rPr>
          <w:rStyle w:val="af8"/>
          <w:rFonts w:hint="cs"/>
          <w:rtl/>
        </w:rPr>
        <w:t>האיסור והיתר הארוך</w:t>
      </w:r>
      <w:r w:rsidRPr="0050146A">
        <w:rPr>
          <w:rFonts w:hint="cs"/>
          <w:rtl/>
        </w:rPr>
        <w:t xml:space="preserve"> </w:t>
      </w:r>
      <w:r w:rsidRPr="0050146A">
        <w:rPr>
          <w:rStyle w:val="af6"/>
          <w:rFonts w:eastAsia="Guttman Hodes" w:hint="cs"/>
          <w:rtl/>
        </w:rPr>
        <w:t>(כלל כ"ה ז')</w:t>
      </w:r>
      <w:r w:rsidRPr="0050146A">
        <w:rPr>
          <w:rFonts w:hint="cs"/>
          <w:rtl/>
        </w:rPr>
        <w:t xml:space="preserve"> דכתב דאף דטעמא אפילו באלף לא בטיל, מ"מ במקום שיש שישים והתפשט הטעם ליותר משישים, ונשאר טעם משהו מהאיסור, דמדאו' לא חשיב טעם כלל, והא דאינו בטל הוא רק מדרבנן.</w:t>
      </w:r>
    </w:p>
    <w:p w:rsidR="0088374B" w:rsidRPr="0050146A" w:rsidRDefault="0088374B" w:rsidP="0088374B">
      <w:pPr>
        <w:pStyle w:val="a2"/>
      </w:pPr>
      <w:bookmarkStart w:id="4476" w:name="_Toc11664907"/>
      <w:r w:rsidRPr="0050146A">
        <w:rPr>
          <w:rFonts w:hint="cs"/>
          <w:rtl/>
        </w:rPr>
        <w:t>ביאור הפרמ"ג דטעם קלוש לא אסרה תורה וביאור החת"ס דהוא קיוהא בעלמא ולא טעם</w:t>
      </w:r>
      <w:bookmarkEnd w:id="4476"/>
    </w:p>
    <w:p w:rsidR="00925DF6" w:rsidRPr="0050146A" w:rsidRDefault="0088374B" w:rsidP="009F44AF">
      <w:pPr>
        <w:pStyle w:val="a"/>
        <w:rPr>
          <w:rtl/>
        </w:rPr>
      </w:pPr>
      <w:r w:rsidRPr="0050146A">
        <w:rPr>
          <w:rFonts w:hint="cs"/>
          <w:rtl/>
        </w:rPr>
        <w:t xml:space="preserve">וביאר </w:t>
      </w:r>
      <w:r w:rsidRPr="0050146A">
        <w:rPr>
          <w:rStyle w:val="af8"/>
          <w:rFonts w:hint="cs"/>
          <w:rtl/>
        </w:rPr>
        <w:t>הפרמ"ג</w:t>
      </w:r>
      <w:r w:rsidRPr="0050146A">
        <w:rPr>
          <w:rFonts w:hint="cs"/>
          <w:rtl/>
        </w:rPr>
        <w:t xml:space="preserve"> </w:t>
      </w:r>
      <w:r w:rsidRPr="0050146A">
        <w:rPr>
          <w:rStyle w:val="af6"/>
          <w:rFonts w:eastAsia="Guttman Hodes" w:hint="cs"/>
          <w:rtl/>
        </w:rPr>
        <w:t xml:space="preserve">(פתיחה </w:t>
      </w:r>
      <w:r w:rsidRPr="0050146A">
        <w:rPr>
          <w:rStyle w:val="af6"/>
          <w:rFonts w:eastAsia="Guttman Hodes"/>
          <w:rtl/>
        </w:rPr>
        <w:t>שער התערובות</w:t>
      </w:r>
      <w:r w:rsidRPr="0050146A">
        <w:rPr>
          <w:rStyle w:val="af6"/>
          <w:rFonts w:eastAsia="Guttman Hodes" w:hint="cs"/>
          <w:rtl/>
        </w:rPr>
        <w:t xml:space="preserve"> ח"ג פ"א ד"ה ודע דבר)</w:t>
      </w:r>
      <w:r w:rsidRPr="0050146A">
        <w:rPr>
          <w:rFonts w:hint="cs"/>
          <w:rtl/>
        </w:rPr>
        <w:t xml:space="preserve"> דס"ל </w:t>
      </w:r>
      <w:r w:rsidRPr="0050146A">
        <w:rPr>
          <w:rStyle w:val="af8"/>
          <w:rFonts w:hint="cs"/>
          <w:rtl/>
        </w:rPr>
        <w:t>להאיסור והיתר הארוך</w:t>
      </w:r>
      <w:r w:rsidRPr="0050146A">
        <w:rPr>
          <w:rFonts w:hint="cs"/>
          <w:rtl/>
        </w:rPr>
        <w:t xml:space="preserve"> דטעם קלוש לא אסרה תורה, </w:t>
      </w:r>
      <w:r w:rsidRPr="0050146A">
        <w:rPr>
          <w:rStyle w:val="af8"/>
          <w:rFonts w:hint="cs"/>
          <w:rtl/>
        </w:rPr>
        <w:t>והחת"ס</w:t>
      </w:r>
      <w:r w:rsidRPr="0050146A">
        <w:rPr>
          <w:rFonts w:hint="cs"/>
          <w:rtl/>
        </w:rPr>
        <w:t xml:space="preserve"> </w:t>
      </w:r>
      <w:r w:rsidRPr="0050146A">
        <w:rPr>
          <w:rStyle w:val="af6"/>
          <w:rFonts w:eastAsia="Guttman Hodes" w:hint="cs"/>
          <w:rtl/>
        </w:rPr>
        <w:t>(בהג' על השו"ע [מהדו' פרידמן] סי' צ"ח על הש"ך סקכ"ט)</w:t>
      </w:r>
      <w:r w:rsidRPr="0050146A">
        <w:rPr>
          <w:rFonts w:hint="cs"/>
          <w:rtl/>
        </w:rPr>
        <w:t xml:space="preserve"> ביאר דכל טעם שהתבטל בשישים אינו טעם, אלא הוא קיוהא בעלמא.</w:t>
      </w:r>
      <w:bookmarkEnd w:id="4475"/>
    </w:p>
    <w:p w:rsidR="0088374B" w:rsidRPr="0050146A" w:rsidRDefault="0088374B" w:rsidP="0088374B">
      <w:pPr>
        <w:pStyle w:val="a2"/>
        <w:rPr>
          <w:rtl/>
        </w:rPr>
      </w:pPr>
      <w:bookmarkStart w:id="4477" w:name="_Toc11664908"/>
      <w:r w:rsidRPr="0050146A">
        <w:rPr>
          <w:rFonts w:hint="cs"/>
          <w:rtl/>
        </w:rPr>
        <w:t>דברי היד יהודה דלדידן דטע"כ דאו' אפש"ל דטעם הנרגש ביותר משישים אינו טעם אלא חריפות</w:t>
      </w:r>
      <w:bookmarkEnd w:id="4477"/>
    </w:p>
    <w:p w:rsidR="0088374B" w:rsidRPr="0050146A" w:rsidRDefault="0088374B" w:rsidP="009F44AF">
      <w:pPr>
        <w:pStyle w:val="a"/>
        <w:rPr>
          <w:rtl/>
        </w:rPr>
      </w:pPr>
      <w:bookmarkStart w:id="4478" w:name="_Ref11663356"/>
      <w:r w:rsidRPr="0050146A">
        <w:rPr>
          <w:rStyle w:val="af8"/>
          <w:rFonts w:hint="cs"/>
          <w:rtl/>
        </w:rPr>
        <w:t>והיד יהודה</w:t>
      </w:r>
      <w:r w:rsidRPr="0050146A">
        <w:rPr>
          <w:rFonts w:hint="cs"/>
          <w:rtl/>
        </w:rPr>
        <w:t xml:space="preserve"> </w:t>
      </w:r>
      <w:r w:rsidRPr="0050146A">
        <w:rPr>
          <w:rStyle w:val="af6"/>
          <w:rFonts w:eastAsia="Guttman Hodes" w:hint="cs"/>
          <w:rtl/>
        </w:rPr>
        <w:t xml:space="preserve">(סי' צ"ח סקכ"ג) </w:t>
      </w:r>
      <w:r w:rsidRPr="0050146A">
        <w:rPr>
          <w:rFonts w:hint="cs"/>
          <w:rtl/>
        </w:rPr>
        <w:t xml:space="preserve">כתב דהא 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Ref11098359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דאף שאפשר ללמוד מזרוע בשלה למין בשאינו מינו, אלא דהחמירו רבנן דהטעם לא בטל אף ביותר משישים, היינו כיון דס"ל </w:t>
      </w:r>
      <w:r w:rsidRPr="0050146A">
        <w:rPr>
          <w:rStyle w:val="af8"/>
          <w:rFonts w:hint="cs"/>
          <w:rtl/>
        </w:rPr>
        <w:t>לרש"י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Ref11655080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דטעם כעיקר דרבנן </w:t>
      </w:r>
      <w:r w:rsidRPr="0050146A">
        <w:rPr>
          <w:rStyle w:val="afa"/>
          <w:rtl/>
        </w:rPr>
        <w:t xml:space="preserve">[כדפסק </w:t>
      </w:r>
      <w:r w:rsidRPr="0050146A">
        <w:rPr>
          <w:rStyle w:val="affa"/>
          <w:rtl/>
        </w:rPr>
        <w:t>רש"י</w:t>
      </w:r>
      <w:r w:rsidRPr="0050146A">
        <w:rPr>
          <w:rStyle w:val="afa"/>
          <w:rtl/>
        </w:rPr>
        <w:t xml:space="preserve"> כדעת רבא]</w:t>
      </w:r>
      <w:r w:rsidRPr="0050146A">
        <w:rPr>
          <w:rFonts w:hint="cs"/>
          <w:rtl/>
        </w:rPr>
        <w:t xml:space="preserve">, וא"כ הילפותא מזרוע </w:t>
      </w:r>
      <w:r w:rsidRPr="0050146A">
        <w:rPr>
          <w:rFonts w:hint="cs"/>
          <w:rtl/>
        </w:rPr>
        <w:t xml:space="preserve">בשלה להצריך שישים היא לחומרא, ולכן אפשר ללמוד אף במין בשאינו מינו שיש טעם דמותר בשישים, אבל לדידן קיי"ל </w:t>
      </w:r>
      <w:r w:rsidRPr="0050146A">
        <w:rPr>
          <w:rStyle w:val="afa"/>
          <w:rFonts w:hint="cs"/>
          <w:rtl/>
        </w:rPr>
        <w:t>[</w:t>
      </w:r>
      <w:r w:rsidRPr="0050146A">
        <w:rPr>
          <w:rStyle w:val="affa"/>
          <w:rFonts w:hint="cs"/>
          <w:rtl/>
        </w:rPr>
        <w:t>כתוס'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Ref11660761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פב)</w:t>
      </w:r>
      <w:r w:rsidRPr="0050146A">
        <w:rPr>
          <w:rStyle w:val="aff6"/>
          <w:rtl/>
        </w:rPr>
        <w:fldChar w:fldCharType="end"/>
      </w:r>
      <w:r w:rsidRPr="0050146A">
        <w:rPr>
          <w:rStyle w:val="afa"/>
          <w:rFonts w:hint="cs"/>
          <w:rtl/>
        </w:rPr>
        <w:t>]</w:t>
      </w:r>
      <w:r w:rsidRPr="0050146A">
        <w:rPr>
          <w:rFonts w:hint="cs"/>
          <w:rtl/>
        </w:rPr>
        <w:t xml:space="preserve"> דטעם כעיקר דאו', כתב </w:t>
      </w:r>
      <w:r w:rsidRPr="0050146A">
        <w:rPr>
          <w:rStyle w:val="af8"/>
          <w:rFonts w:hint="cs"/>
          <w:rtl/>
        </w:rPr>
        <w:t>היד יהודה</w:t>
      </w:r>
      <w:r w:rsidRPr="0050146A">
        <w:rPr>
          <w:rFonts w:hint="cs"/>
          <w:rtl/>
        </w:rPr>
        <w:t xml:space="preserve"> דא"כ ודאי דכל שיש טעם אף ביותר משישים אסור מדאו', אך כתב </w:t>
      </w:r>
      <w:r w:rsidRPr="0050146A">
        <w:rPr>
          <w:rStyle w:val="af8"/>
          <w:rFonts w:hint="cs"/>
          <w:rtl/>
        </w:rPr>
        <w:t>היד יהודה</w:t>
      </w:r>
      <w:r w:rsidRPr="0050146A">
        <w:rPr>
          <w:rFonts w:hint="cs"/>
          <w:rtl/>
        </w:rPr>
        <w:t xml:space="preserve"> דאפש"ל דטעם שנרגש ביותר משישים אינו טעם אלא חריפות ולכן הוא מדרבנן, עיי"ש במה שהאריך בזה.</w:t>
      </w:r>
      <w:bookmarkEnd w:id="4478"/>
    </w:p>
    <w:p w:rsidR="0088374B" w:rsidRPr="0050146A" w:rsidRDefault="0088374B" w:rsidP="0088374B">
      <w:pPr>
        <w:pStyle w:val="1"/>
        <w:rPr>
          <w:rtl/>
        </w:rPr>
      </w:pPr>
      <w:bookmarkStart w:id="4479" w:name="_Toc11664909"/>
      <w:r w:rsidRPr="0050146A">
        <w:rPr>
          <w:rFonts w:hint="cs"/>
          <w:rtl/>
        </w:rPr>
        <w:t>דעת הר"ן דאיסור טעם ביותר משישים הוא מדאו'</w:t>
      </w:r>
      <w:bookmarkEnd w:id="4479"/>
    </w:p>
    <w:p w:rsidR="0088374B" w:rsidRPr="0050146A" w:rsidRDefault="0088374B" w:rsidP="0088374B">
      <w:pPr>
        <w:pStyle w:val="a2"/>
        <w:rPr>
          <w:rtl/>
        </w:rPr>
      </w:pPr>
      <w:bookmarkStart w:id="4480" w:name="_Toc11664910"/>
      <w:r w:rsidRPr="0050146A">
        <w:rPr>
          <w:rFonts w:hint="cs"/>
          <w:rtl/>
        </w:rPr>
        <w:t>דברי הפרמ"ג והגרעק"א דבדברי הר"ן מבואר דאף ביותר משישים כל שיש טעם אסור מדאו'</w:t>
      </w:r>
      <w:bookmarkEnd w:id="4480"/>
    </w:p>
    <w:p w:rsidR="0088374B" w:rsidRPr="0050146A" w:rsidRDefault="0088374B" w:rsidP="009F44AF">
      <w:pPr>
        <w:pStyle w:val="a"/>
        <w:rPr>
          <w:rtl/>
        </w:rPr>
      </w:pPr>
      <w:bookmarkStart w:id="4481" w:name="_Ref11615418"/>
      <w:r w:rsidRPr="0050146A">
        <w:rPr>
          <w:rFonts w:hint="cs"/>
          <w:rtl/>
        </w:rPr>
        <w:t xml:space="preserve">וכתבו </w:t>
      </w:r>
      <w:r w:rsidRPr="0050146A">
        <w:rPr>
          <w:rStyle w:val="af8"/>
          <w:rFonts w:hint="cs"/>
          <w:rtl/>
        </w:rPr>
        <w:t>הפרמ"ג</w:t>
      </w:r>
      <w:r w:rsidRPr="0050146A">
        <w:rPr>
          <w:rFonts w:hint="cs"/>
          <w:rtl/>
        </w:rPr>
        <w:t xml:space="preserve"> </w:t>
      </w:r>
      <w:r w:rsidRPr="0050146A">
        <w:rPr>
          <w:rStyle w:val="af6"/>
          <w:rFonts w:eastAsia="Guttman Hodes" w:hint="cs"/>
          <w:rtl/>
        </w:rPr>
        <w:t xml:space="preserve">(סי' צ"ח שפ"ד סקכ"ט) </w:t>
      </w:r>
      <w:r w:rsidRPr="0050146A">
        <w:rPr>
          <w:rStyle w:val="af8"/>
          <w:rFonts w:hint="cs"/>
          <w:rtl/>
        </w:rPr>
        <w:t>והגרעק"א</w:t>
      </w:r>
      <w:r w:rsidRPr="0050146A">
        <w:rPr>
          <w:rFonts w:hint="cs"/>
          <w:rtl/>
        </w:rPr>
        <w:t xml:space="preserve"> </w:t>
      </w:r>
      <w:r w:rsidRPr="0050146A">
        <w:rPr>
          <w:rStyle w:val="af6"/>
          <w:rFonts w:eastAsia="Guttman Hodes" w:hint="cs"/>
          <w:rtl/>
        </w:rPr>
        <w:t xml:space="preserve">(סי' צ"ח על הש"ך סקכ"ט) </w:t>
      </w:r>
      <w:r w:rsidRPr="0050146A">
        <w:rPr>
          <w:rFonts w:hint="cs"/>
          <w:rtl/>
        </w:rPr>
        <w:t xml:space="preserve">דמדברי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Ref11625573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נו)</w:t>
      </w:r>
      <w:r w:rsidRPr="0050146A">
        <w:rPr>
          <w:rStyle w:val="af6"/>
          <w:rFonts w:eastAsia="Guttman Hodes"/>
          <w:rtl/>
        </w:rPr>
        <w:fldChar w:fldCharType="end"/>
      </w:r>
      <w:r w:rsidRPr="0050146A">
        <w:rPr>
          <w:rFonts w:hint="cs"/>
          <w:rtl/>
        </w:rPr>
        <w:t xml:space="preserve"> מבואר דס"ל דאף ביותר משישים, הטעם לא בטל מדאו', ועי' במה שהאריך בזה </w:t>
      </w:r>
      <w:r w:rsidRPr="0050146A">
        <w:rPr>
          <w:rStyle w:val="af8"/>
          <w:rFonts w:hint="cs"/>
          <w:rtl/>
        </w:rPr>
        <w:t>המנחת כהן</w:t>
      </w:r>
      <w:r w:rsidRPr="0050146A">
        <w:rPr>
          <w:rFonts w:hint="cs"/>
          <w:rtl/>
        </w:rPr>
        <w:t xml:space="preserve"> </w:t>
      </w:r>
      <w:r w:rsidRPr="0050146A">
        <w:rPr>
          <w:rStyle w:val="af6"/>
          <w:rFonts w:eastAsia="Guttman Hodes" w:hint="cs"/>
          <w:rtl/>
        </w:rPr>
        <w:t>(ספר התערובות ח"א פ"ג)</w:t>
      </w:r>
      <w:bookmarkStart w:id="4482" w:name="_Toc11664911"/>
      <w:bookmarkEnd w:id="4481"/>
      <w:r w:rsidRPr="0050146A">
        <w:rPr>
          <w:rFonts w:hint="cs"/>
          <w:rtl/>
        </w:rPr>
        <w:t>.</w:t>
      </w:r>
    </w:p>
    <w:p w:rsidR="0088374B" w:rsidRPr="0050146A" w:rsidRDefault="0088374B" w:rsidP="0088374B">
      <w:pPr>
        <w:pStyle w:val="a2"/>
        <w:rPr>
          <w:rtl/>
        </w:rPr>
        <w:sectPr w:rsidR="0088374B" w:rsidRPr="0050146A" w:rsidSect="005049E2">
          <w:type w:val="continuous"/>
          <w:pgSz w:w="11906" w:h="16838"/>
          <w:pgMar w:top="720" w:right="720" w:bottom="720" w:left="720" w:header="283" w:footer="283" w:gutter="0"/>
          <w:cols w:num="2" w:space="567"/>
          <w:titlePg/>
          <w:bidi/>
          <w:rtlGutter/>
          <w:docGrid w:linePitch="299"/>
        </w:sectPr>
      </w:pPr>
    </w:p>
    <w:p w:rsidR="0088374B" w:rsidRPr="0050146A" w:rsidRDefault="00651E3B" w:rsidP="0088374B">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48" o:title="BD14845_"/>
          </v:shape>
        </w:pict>
      </w:r>
      <w:r w:rsidR="0088374B" w:rsidRPr="0050146A">
        <w:rPr>
          <w:rFonts w:ascii="Guttman Hodes" w:eastAsia="Guttman Hodes" w:hAnsi="Guttman Hodes" w:cs="Guttman Hodes" w:hint="cs"/>
          <w:noProof/>
          <w:sz w:val="18"/>
          <w:szCs w:val="18"/>
          <w:rtl/>
        </w:rPr>
        <w:t xml:space="preserve"> </w:t>
      </w:r>
    </w:p>
    <w:p w:rsidR="0088374B" w:rsidRPr="0050146A" w:rsidRDefault="0088374B" w:rsidP="00E669F8">
      <w:pPr>
        <w:pStyle w:val="afd"/>
        <w:rPr>
          <w:rtl/>
        </w:rPr>
        <w:sectPr w:rsidR="0088374B" w:rsidRPr="0050146A" w:rsidSect="0088374B">
          <w:type w:val="continuous"/>
          <w:pgSz w:w="11906" w:h="16838"/>
          <w:pgMar w:top="720" w:right="720" w:bottom="720" w:left="720" w:header="283" w:footer="283" w:gutter="0"/>
          <w:cols w:space="567"/>
          <w:bidi/>
          <w:rtlGutter/>
          <w:docGrid w:linePitch="299"/>
        </w:sectPr>
      </w:pPr>
      <w:bookmarkStart w:id="4483" w:name="_Toc530411086"/>
      <w:bookmarkStart w:id="4484" w:name="_Toc530476223"/>
      <w:bookmarkStart w:id="4485" w:name="_Toc530477171"/>
      <w:bookmarkStart w:id="4486" w:name="_Toc530503013"/>
      <w:bookmarkStart w:id="4487" w:name="_Toc530504519"/>
      <w:bookmarkStart w:id="4488" w:name="_Toc530514400"/>
      <w:bookmarkStart w:id="4489" w:name="_Toc530514503"/>
      <w:bookmarkStart w:id="4490" w:name="_Toc530521945"/>
      <w:bookmarkStart w:id="4491" w:name="_Toc530525001"/>
      <w:bookmarkStart w:id="4492" w:name="_Toc530551148"/>
      <w:bookmarkStart w:id="4493" w:name="_Toc531629720"/>
      <w:bookmarkStart w:id="4494" w:name="_Toc531638992"/>
      <w:bookmarkStart w:id="4495" w:name="_Toc531894164"/>
      <w:bookmarkStart w:id="4496" w:name="_Toc531894189"/>
      <w:bookmarkStart w:id="4497" w:name="_Toc532203009"/>
      <w:bookmarkStart w:id="4498" w:name="_Toc532302176"/>
      <w:bookmarkStart w:id="4499" w:name="_Toc532453978"/>
      <w:bookmarkStart w:id="4500" w:name="_Toc532454012"/>
      <w:bookmarkStart w:id="4501" w:name="_Toc532550671"/>
      <w:bookmarkStart w:id="4502" w:name="_Toc532550737"/>
      <w:bookmarkStart w:id="4503" w:name="_Toc532810066"/>
      <w:bookmarkStart w:id="4504" w:name="_Toc533413322"/>
      <w:bookmarkStart w:id="4505" w:name="_Toc533441216"/>
      <w:bookmarkStart w:id="4506" w:name="_Toc533441262"/>
      <w:bookmarkStart w:id="4507" w:name="_Toc533490184"/>
      <w:bookmarkStart w:id="4508" w:name="_Toc533506162"/>
      <w:bookmarkStart w:id="4509" w:name="_Toc533544409"/>
      <w:bookmarkStart w:id="4510" w:name="_Toc533544606"/>
      <w:bookmarkStart w:id="4511" w:name="_Toc536787003"/>
      <w:bookmarkStart w:id="4512" w:name="_Toc519050"/>
      <w:bookmarkStart w:id="4513" w:name="_Toc725029"/>
      <w:bookmarkStart w:id="4514" w:name="_Toc773238"/>
      <w:bookmarkStart w:id="4515" w:name="_Toc862084"/>
      <w:bookmarkStart w:id="4516" w:name="_Toc890757"/>
      <w:bookmarkStart w:id="4517" w:name="_Toc903166"/>
      <w:bookmarkStart w:id="4518" w:name="_Toc955103"/>
      <w:bookmarkStart w:id="4519" w:name="_Toc974546"/>
      <w:bookmarkStart w:id="4520" w:name="_Toc984462"/>
      <w:bookmarkStart w:id="4521" w:name="_Toc1056596"/>
      <w:bookmarkStart w:id="4522" w:name="_Toc1109754"/>
      <w:bookmarkStart w:id="4523" w:name="_Toc1128733"/>
      <w:bookmarkStart w:id="4524" w:name="_Toc1250119"/>
      <w:bookmarkStart w:id="4525" w:name="_Toc1258123"/>
      <w:r w:rsidRPr="0050146A">
        <w:rPr>
          <w:rFonts w:hint="cs"/>
          <w:rtl/>
        </w:rPr>
        <w:t xml:space="preserve">ביאורי ראשי הישיבות </w:t>
      </w:r>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p>
    <w:p w:rsidR="0088374B" w:rsidRPr="0050146A" w:rsidRDefault="0088374B" w:rsidP="0088374B">
      <w:pPr>
        <w:pStyle w:val="1"/>
        <w:rPr>
          <w:rtl/>
        </w:rPr>
      </w:pPr>
      <w:r w:rsidRPr="0050146A">
        <w:rPr>
          <w:rFonts w:hint="cs"/>
          <w:rtl/>
        </w:rPr>
        <w:t>דברי הגר"ח בגדר ביטול טעם ביותר משישים</w:t>
      </w:r>
    </w:p>
    <w:p w:rsidR="0088374B" w:rsidRPr="0050146A" w:rsidRDefault="0088374B" w:rsidP="0088374B">
      <w:pPr>
        <w:pStyle w:val="a2"/>
        <w:rPr>
          <w:rtl/>
        </w:rPr>
      </w:pPr>
      <w:bookmarkStart w:id="4526" w:name="_Toc11664912"/>
      <w:r w:rsidRPr="0050146A">
        <w:rPr>
          <w:rFonts w:hint="cs"/>
          <w:rtl/>
        </w:rPr>
        <w:t>דברי הגר"ח דשיעור שישים מהני לבטל טעם מדין ביטול דמתבטל בו דין טעם כעיקר</w:t>
      </w:r>
      <w:bookmarkEnd w:id="4526"/>
    </w:p>
    <w:p w:rsidR="0088374B" w:rsidRPr="0050146A" w:rsidRDefault="0088374B" w:rsidP="009F44AF">
      <w:pPr>
        <w:pStyle w:val="a"/>
        <w:rPr>
          <w:rtl/>
        </w:rPr>
      </w:pPr>
      <w:r w:rsidRPr="0050146A">
        <w:rPr>
          <w:rFonts w:hint="cs"/>
          <w:rtl/>
        </w:rPr>
        <w:t xml:space="preserve">ויעוי' בדברי </w:t>
      </w:r>
      <w:r w:rsidRPr="0050146A">
        <w:rPr>
          <w:rStyle w:val="af8"/>
          <w:rFonts w:hint="cs"/>
          <w:rtl/>
        </w:rPr>
        <w:t>הגר"ח</w:t>
      </w:r>
      <w:r w:rsidRPr="0050146A">
        <w:rPr>
          <w:rFonts w:hint="cs"/>
          <w:rtl/>
        </w:rPr>
        <w:t xml:space="preserve"> </w:t>
      </w:r>
      <w:r w:rsidRPr="0050146A">
        <w:rPr>
          <w:rStyle w:val="af6"/>
          <w:rFonts w:eastAsia="Guttman Hodes" w:hint="cs"/>
          <w:rtl/>
        </w:rPr>
        <w:t>(תרומות פי"ג ה"ט)</w:t>
      </w:r>
      <w:r w:rsidRPr="0050146A">
        <w:rPr>
          <w:rFonts w:hint="cs"/>
          <w:rtl/>
        </w:rPr>
        <w:t xml:space="preserve"> דכתב דאף דבשישים אין טעם נרגש, מ"מ ההיתר בשישים הוא רק בצירוף דין ביטול, דאף שהטעם אינו ניכר כלל בשישים, מ"מ מעורב טעם של איסור יחד עם ההיתר, והטעם לא התבטל לגמרי, אלא דאינו ניכר כיון שהוא מעורב עם הטעם של ההיתר, וכדמוכח מהא דאם עירב ס"א מינים שכ"א יש לו טעם נפרד, דודאי שיש בתערובת טעם שמעורב מכל הס"א טעמים, וא"כ גם במקום שיש שישים מטעם אחד של היתר, עדיין מעורב בו </w:t>
      </w:r>
      <w:r w:rsidRPr="0050146A">
        <w:rPr>
          <w:rFonts w:hint="cs"/>
          <w:rtl/>
        </w:rPr>
        <w:t>גם הטעם של האיסור ולא התבטל לגמרי, אלא מוכח דהא דאין הטעם אוסר מדין טעם כעיקר, הוא כיון שיש בו דין ביטול.</w:t>
      </w:r>
    </w:p>
    <w:p w:rsidR="0088374B" w:rsidRPr="0050146A" w:rsidRDefault="0088374B" w:rsidP="0088374B">
      <w:pPr>
        <w:pStyle w:val="a2"/>
      </w:pPr>
      <w:bookmarkStart w:id="4527" w:name="_Toc11664913"/>
      <w:r w:rsidRPr="0050146A">
        <w:rPr>
          <w:rFonts w:hint="cs"/>
          <w:rtl/>
        </w:rPr>
        <w:t xml:space="preserve">ביאור הגר"ח דכשיש רוב טעם היתר וטעם האיסור אינו מורגש בכה"ג יש דין ביטול בטעם </w:t>
      </w:r>
      <w:bookmarkEnd w:id="4527"/>
    </w:p>
    <w:p w:rsidR="0088374B" w:rsidRPr="0050146A" w:rsidRDefault="0088374B" w:rsidP="009F44AF">
      <w:pPr>
        <w:pStyle w:val="a"/>
        <w:rPr>
          <w:rtl/>
        </w:rPr>
      </w:pPr>
      <w:r w:rsidRPr="0050146A">
        <w:rPr>
          <w:rFonts w:hint="cs"/>
          <w:rtl/>
        </w:rPr>
        <w:t xml:space="preserve">וביאר </w:t>
      </w:r>
      <w:r w:rsidRPr="0050146A">
        <w:rPr>
          <w:rStyle w:val="af8"/>
          <w:rFonts w:hint="cs"/>
          <w:rtl/>
        </w:rPr>
        <w:t>הגר"ח</w:t>
      </w:r>
      <w:r w:rsidRPr="0050146A">
        <w:rPr>
          <w:rFonts w:hint="cs"/>
          <w:rtl/>
        </w:rPr>
        <w:t xml:space="preserve"> דדין ביטול הטעם הוא דכיון שיש רוב של טעם היתר שגורם שלא יורגש טעם האיסור, יש בו דין ביטול דלא יחול על טעם זה דין טעם כעיקר, וא"צ לחוש לטעם של האיסור המעורב בהיתר.</w:t>
      </w:r>
    </w:p>
    <w:p w:rsidR="0088374B" w:rsidRPr="0050146A" w:rsidRDefault="0088374B" w:rsidP="0088374B">
      <w:pPr>
        <w:pStyle w:val="a2"/>
        <w:rPr>
          <w:rtl/>
        </w:rPr>
      </w:pPr>
      <w:bookmarkStart w:id="4528" w:name="_Toc11664914"/>
      <w:r w:rsidRPr="0050146A">
        <w:rPr>
          <w:rFonts w:hint="cs"/>
          <w:rtl/>
        </w:rPr>
        <w:t>הביאור הב' בגר"ח דטעם שמעורב בשישים אינו נחשב טעם כלל ופקע ממנו דין טעם כעיקר</w:t>
      </w:r>
      <w:bookmarkEnd w:id="4528"/>
    </w:p>
    <w:p w:rsidR="0088374B" w:rsidRPr="0050146A" w:rsidRDefault="0088374B" w:rsidP="009F44AF">
      <w:pPr>
        <w:pStyle w:val="a"/>
        <w:rPr>
          <w:rtl/>
        </w:rPr>
      </w:pPr>
      <w:r w:rsidRPr="0050146A">
        <w:rPr>
          <w:rFonts w:hint="cs"/>
          <w:rtl/>
        </w:rPr>
        <w:t xml:space="preserve">ועוד ביאר </w:t>
      </w:r>
      <w:r w:rsidRPr="0050146A">
        <w:rPr>
          <w:rStyle w:val="af8"/>
          <w:rFonts w:hint="cs"/>
          <w:rtl/>
        </w:rPr>
        <w:t>הגר"ח</w:t>
      </w:r>
      <w:r w:rsidRPr="0050146A">
        <w:rPr>
          <w:rFonts w:hint="cs"/>
          <w:rtl/>
        </w:rPr>
        <w:t xml:space="preserve"> דאפש"ל דכל טעם שמעורב בשישים של טעם אחר, אינו נחשב טעם כלל, ואף בלא דין ביטול פקע מהטעם המעורב דין טעם כעיקר.</w:t>
      </w:r>
    </w:p>
    <w:p w:rsidR="0088374B" w:rsidRPr="0050146A" w:rsidRDefault="0088374B" w:rsidP="0088374B">
      <w:pPr>
        <w:pStyle w:val="a2"/>
        <w:rPr>
          <w:rtl/>
        </w:rPr>
        <w:sectPr w:rsidR="0088374B" w:rsidRPr="0050146A" w:rsidSect="005049E2">
          <w:type w:val="continuous"/>
          <w:pgSz w:w="11906" w:h="16838"/>
          <w:pgMar w:top="720" w:right="720" w:bottom="720" w:left="720" w:header="283" w:footer="283" w:gutter="0"/>
          <w:cols w:num="2" w:space="567"/>
          <w:titlePg/>
          <w:bidi/>
          <w:rtlGutter/>
          <w:docGrid w:linePitch="299"/>
        </w:sectPr>
      </w:pPr>
    </w:p>
    <w:bookmarkEnd w:id="4482"/>
    <w:p w:rsidR="0088374B" w:rsidRPr="0050146A" w:rsidRDefault="0088374B" w:rsidP="009F44AF">
      <w:pPr>
        <w:pStyle w:val="a"/>
        <w:numPr>
          <w:ilvl w:val="0"/>
          <w:numId w:val="0"/>
        </w:numPr>
        <w:rPr>
          <w:rtl/>
        </w:rPr>
      </w:pPr>
    </w:p>
    <w:p w:rsidR="00925DF6" w:rsidRPr="0050146A" w:rsidRDefault="00925DF6" w:rsidP="009F44AF">
      <w:pPr>
        <w:pStyle w:val="a"/>
        <w:numPr>
          <w:ilvl w:val="0"/>
          <w:numId w:val="0"/>
        </w:numPr>
        <w:rPr>
          <w:rtl/>
        </w:rPr>
        <w:sectPr w:rsidR="00925DF6" w:rsidRPr="0050146A" w:rsidSect="005049E2">
          <w:footerReference w:type="default" r:id="rId49"/>
          <w:type w:val="continuous"/>
          <w:pgSz w:w="11906" w:h="16838"/>
          <w:pgMar w:top="720" w:right="720" w:bottom="720" w:left="720" w:header="283" w:footer="283" w:gutter="0"/>
          <w:cols w:num="2" w:space="567"/>
          <w:titlePg/>
          <w:bidi/>
          <w:rtlGutter/>
          <w:docGrid w:linePitch="299"/>
        </w:sectPr>
      </w:pPr>
    </w:p>
    <w:p w:rsidR="001224DC" w:rsidRPr="0050146A" w:rsidRDefault="001224DC" w:rsidP="005B1A17">
      <w:pPr>
        <w:pStyle w:val="afc"/>
      </w:pPr>
      <w:bookmarkStart w:id="4529" w:name="_Toc14377084"/>
      <w:bookmarkStart w:id="4530" w:name="_Toc15849568"/>
      <w:bookmarkStart w:id="4531" w:name="_Toc20429202"/>
      <w:bookmarkStart w:id="4532" w:name="_Toc20468149"/>
      <w:r w:rsidRPr="0050146A">
        <w:rPr>
          <w:rFonts w:hint="cs"/>
          <w:rtl/>
        </w:rPr>
        <w:lastRenderedPageBreak/>
        <w:t>סימן ז'</w:t>
      </w:r>
      <w:bookmarkEnd w:id="4529"/>
      <w:bookmarkEnd w:id="4530"/>
      <w:bookmarkEnd w:id="4531"/>
      <w:bookmarkEnd w:id="4532"/>
    </w:p>
    <w:p w:rsidR="001224DC" w:rsidRPr="0050146A" w:rsidRDefault="001224DC" w:rsidP="005B1A17">
      <w:pPr>
        <w:pStyle w:val="afc"/>
        <w:rPr>
          <w:rtl/>
        </w:rPr>
      </w:pPr>
      <w:bookmarkStart w:id="4533" w:name="_Toc14425916"/>
      <w:bookmarkStart w:id="4534" w:name="_Toc15849569"/>
      <w:bookmarkStart w:id="4535" w:name="_Toc20429203"/>
      <w:bookmarkStart w:id="4536" w:name="_Toc20468150"/>
      <w:r w:rsidRPr="0050146A">
        <w:rPr>
          <w:rFonts w:hint="cs"/>
          <w:rtl/>
        </w:rPr>
        <w:t>סוגית טעם כעיקר (ב')</w:t>
      </w:r>
      <w:bookmarkEnd w:id="4533"/>
      <w:bookmarkEnd w:id="4534"/>
      <w:bookmarkEnd w:id="4535"/>
      <w:bookmarkEnd w:id="4536"/>
    </w:p>
    <w:p w:rsidR="001224DC" w:rsidRPr="0050146A" w:rsidRDefault="001224DC" w:rsidP="005B1A17">
      <w:pPr>
        <w:pStyle w:val="afc"/>
        <w:rPr>
          <w:rtl/>
        </w:rPr>
      </w:pPr>
      <w:bookmarkStart w:id="4537" w:name="_Toc14425917"/>
      <w:bookmarkStart w:id="4538" w:name="_Toc20429204"/>
      <w:bookmarkStart w:id="4539" w:name="_Toc20468151"/>
      <w:r w:rsidRPr="0050146A">
        <w:rPr>
          <w:rFonts w:hint="cs"/>
          <w:rtl/>
        </w:rPr>
        <w:t>בביאור דברי רבא בילפותא דזרוע בשלה ובדין טעם כעיקר בקדשים</w:t>
      </w:r>
      <w:bookmarkEnd w:id="4537"/>
      <w:bookmarkEnd w:id="4538"/>
      <w:bookmarkEnd w:id="4539"/>
    </w:p>
    <w:p w:rsidR="001224DC" w:rsidRPr="0050146A" w:rsidRDefault="002916D7" w:rsidP="001224DC">
      <w:pPr>
        <w:pStyle w:val="2"/>
        <w:keepNext w:val="0"/>
        <w:keepLines w:val="0"/>
        <w:rPr>
          <w:rtl/>
        </w:rPr>
      </w:pPr>
      <w:r>
        <w:rPr>
          <w:rtl/>
        </w:rPr>
        <w:t>מפתח הסוגיא</w:t>
      </w:r>
    </w:p>
    <w:p w:rsidR="008B470A" w:rsidRPr="0050146A" w:rsidRDefault="008B470A" w:rsidP="008B470A">
      <w:pPr>
        <w:pStyle w:val="aff4"/>
        <w:rPr>
          <w:rtl/>
        </w:rPr>
        <w:sectPr w:rsidR="008B470A" w:rsidRPr="0050146A" w:rsidSect="001224DC">
          <w:headerReference w:type="default" r:id="rId50"/>
          <w:headerReference w:type="first" r:id="rId51"/>
          <w:footerReference w:type="first" r:id="rId52"/>
          <w:pgSz w:w="11906" w:h="16838"/>
          <w:pgMar w:top="720" w:right="720" w:bottom="720" w:left="720" w:header="340" w:footer="283" w:gutter="0"/>
          <w:cols w:space="113"/>
          <w:bidi/>
          <w:rtlGutter/>
          <w:docGrid w:linePitch="299"/>
        </w:sectPr>
      </w:pPr>
    </w:p>
    <w:p w:rsidR="008B470A" w:rsidRPr="0050146A" w:rsidRDefault="008B470A" w:rsidP="008B470A">
      <w:pPr>
        <w:pStyle w:val="2"/>
        <w:rPr>
          <w:rFonts w:eastAsiaTheme="minorEastAsia" w:cstheme="minorBidi"/>
          <w:i/>
          <w:iCs/>
          <w:noProof/>
          <w:sz w:val="22"/>
          <w:szCs w:val="22"/>
          <w:rtl/>
        </w:rPr>
      </w:pPr>
      <w:r w:rsidRPr="0050146A">
        <w:rPr>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rtl/>
        </w:rPr>
        <w:fldChar w:fldCharType="separate"/>
      </w:r>
      <w:r w:rsidRPr="0050146A">
        <w:rPr>
          <w:noProof/>
          <w:rtl/>
        </w:rPr>
        <w:t>מראי מקומות וביאורים</w:t>
      </w:r>
    </w:p>
    <w:p w:rsidR="008B470A" w:rsidRPr="0050146A" w:rsidRDefault="008B470A" w:rsidP="008B470A">
      <w:pPr>
        <w:pStyle w:val="2"/>
        <w:rPr>
          <w:rFonts w:eastAsiaTheme="minorEastAsia" w:cstheme="minorBidi"/>
          <w:i/>
          <w:iCs/>
          <w:noProof/>
          <w:sz w:val="22"/>
          <w:szCs w:val="22"/>
          <w:rtl/>
        </w:rPr>
      </w:pPr>
      <w:r w:rsidRPr="0050146A">
        <w:rPr>
          <w:noProof/>
          <w:rtl/>
        </w:rPr>
        <w:t>בדעת רש"י בדין טעם בקדשים לרבא</w:t>
      </w:r>
    </w:p>
    <w:p w:rsidR="008B470A" w:rsidRPr="0050146A" w:rsidRDefault="008B470A" w:rsidP="008B470A">
      <w:pPr>
        <w:pStyle w:val="aff4"/>
        <w:rPr>
          <w:rFonts w:eastAsiaTheme="minorEastAsia" w:cstheme="minorBidi"/>
          <w:i/>
          <w:iCs/>
          <w:noProof/>
          <w:sz w:val="22"/>
          <w:szCs w:val="22"/>
          <w:rtl/>
        </w:rPr>
      </w:pPr>
      <w:r w:rsidRPr="0050146A">
        <w:rPr>
          <w:noProof/>
          <w:rtl/>
        </w:rPr>
        <w:t>דברי רש"י דלרבא טע"כ בקדשים דאו' ומותר בזרוע בשלה</w:t>
      </w:r>
    </w:p>
    <w:p w:rsidR="008B470A" w:rsidRPr="001D066A" w:rsidRDefault="008B470A" w:rsidP="004D1C5B">
      <w:pPr>
        <w:pStyle w:val="TOC9"/>
        <w:numPr>
          <w:ilvl w:val="0"/>
          <w:numId w:val="13"/>
        </w:numPr>
        <w:rPr>
          <w:rtl/>
        </w:rPr>
      </w:pPr>
      <w:r w:rsidRPr="002A7544">
        <w:rPr>
          <w:rtl/>
        </w:rPr>
        <w:t>דברי רש"י דלרבא בקדשים טעם כעיקר הוא דאו' ובזרוע בשלה התירה התורה את האסור בקדשים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רש"י דמחטאת ילפינן דאיסורי קדשים אינם בטלים לגמרי ולא ילפינן מזרוע בשלה לקולא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התוס' ברש"י דלרבא טעם כל שהוא אסור בקדשים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הריטב"א דבזרוע בשלה בטל הטעם בשישים וא"א לומר דהיתר שאסור בשאר 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התוס' ברש"י דכוונת רבא לטעם משהו דאף שהתבטל בשישים אסור בקדשים</w:t>
      </w:r>
    </w:p>
    <w:p w:rsidR="008B470A" w:rsidRPr="0050146A" w:rsidRDefault="008B470A" w:rsidP="008B470A">
      <w:pPr>
        <w:pStyle w:val="aff4"/>
        <w:rPr>
          <w:rFonts w:eastAsiaTheme="minorEastAsia" w:cstheme="minorBidi"/>
          <w:i/>
          <w:iCs/>
          <w:noProof/>
          <w:sz w:val="22"/>
          <w:szCs w:val="22"/>
          <w:rtl/>
        </w:rPr>
      </w:pPr>
      <w:r w:rsidRPr="0050146A">
        <w:rPr>
          <w:noProof/>
          <w:rtl/>
        </w:rPr>
        <w:t>קושיות התוס' על רש"י דטעם כל שהוא בטל אף בקדשים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דחיית הריטב"א דטע"כ משמע שיש בהיתר טעם כעיקר האיסור ולא מצינו בקדשים דאסור במשהו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התוס' והרא"ש והריטב"א על רש"י דאי איירי בטעם משהו אצ"ל דלרבא טעם כעיקר דרבנן</w:t>
      </w:r>
    </w:p>
    <w:p w:rsidR="008B470A" w:rsidRPr="0050146A" w:rsidRDefault="008B470A" w:rsidP="008B470A">
      <w:pPr>
        <w:pStyle w:val="aff2"/>
        <w:numPr>
          <w:ilvl w:val="0"/>
          <w:numId w:val="3"/>
        </w:numPr>
        <w:rPr>
          <w:rFonts w:eastAsiaTheme="minorEastAsia" w:cstheme="minorBidi"/>
          <w:sz w:val="22"/>
          <w:szCs w:val="22"/>
          <w:rtl/>
        </w:rPr>
      </w:pPr>
      <w:r w:rsidRPr="0050146A">
        <w:rPr>
          <w:rtl/>
        </w:rPr>
        <w:t>תירוץ היש"ש דמדברי רבא משמע דאף טעם גמור אוסר בקדשים ומותר בחולין</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התוס' והרא"ש דטעם כל שהוא מותר בקדשים והאיסור הוא רק בנתינת 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האבנ"ז דס"ל לרש"י דבקדשים אמרינן רואים את מין במינו כאילו הוא מין בשאינו מינו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הרא"ש דבקדשים בליעת הכלי אוסרת רק בנותן טעם ולא במשהו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הראש יוסף דברבא מבואר דמין במינו בקדשים אינו בטל ברוב וכן דעת הרמב"ם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הראב"ן דאי רבא איירי בטעם משהו א"כ אין חילוק בין תירוץ אביי לתירוץ רבא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הריטב"א בשם הרמב"ן ברש"י דאיירי בטעם גמור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הריטב"א דהתירה תורה את האיל אף אם אבד מקצתו ומ"מ ילפינן שישים מהרוב שיש שישים</w:t>
      </w:r>
    </w:p>
    <w:p w:rsidR="008B470A" w:rsidRPr="0050146A" w:rsidRDefault="008B470A" w:rsidP="008B470A">
      <w:pPr>
        <w:pStyle w:val="2"/>
        <w:rPr>
          <w:rFonts w:eastAsiaTheme="minorEastAsia" w:cstheme="minorBidi"/>
          <w:i/>
          <w:iCs/>
          <w:noProof/>
          <w:sz w:val="22"/>
          <w:szCs w:val="22"/>
          <w:rtl/>
        </w:rPr>
      </w:pPr>
      <w:r w:rsidRPr="0050146A">
        <w:rPr>
          <w:noProof/>
          <w:rtl/>
        </w:rPr>
        <w:t>ביאורי האחרונים ברש"י בדין טעם בקדשים</w:t>
      </w:r>
    </w:p>
    <w:p w:rsidR="008B470A" w:rsidRPr="0050146A" w:rsidRDefault="008B470A" w:rsidP="008B470A">
      <w:pPr>
        <w:pStyle w:val="aff4"/>
        <w:rPr>
          <w:rFonts w:eastAsiaTheme="minorEastAsia" w:cstheme="minorBidi"/>
          <w:i/>
          <w:iCs/>
          <w:noProof/>
          <w:sz w:val="22"/>
          <w:szCs w:val="22"/>
          <w:rtl/>
        </w:rPr>
      </w:pPr>
      <w:r w:rsidRPr="0050146A">
        <w:rPr>
          <w:noProof/>
          <w:rtl/>
        </w:rPr>
        <w:t>ביאור הראש יוסף ברש"י דבקדשים מדאו' ל"מ ביטול במינו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הראש יוסף והרש"ש דמבואר ברש"י דבקדשים לא מהני ביטול לגמרי וטעם כל שהוא אוסר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הראש יוסף ברש"י דאף במין במינו לא מהני ביטול ברוב בקדשים דחטאת נאמרה בסתמא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היד יהודה דכוונת רש"י לטעם המורגש ביותר משישים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היד יהודה ברש"י דלרבא טעם המורגש ביותר משישים אסור בקדשים ולא טעם כל שהוא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הלב אריה והתפארת יעקב דלרש"י תירוץ רבא הוא לר"י</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הלב אריה ברש"י דרבא ביאר אליבא דר"י דאף טעם אסור במשהו במין במינו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הלב אריה דמבואר מדברי רבא דלרבנן במין בשאינו מינו הטעם כעיקר בקדשים ולא בחולין</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התפארת יעקב ברש"י ביאר אליבא דר"י במין במינו וכיון דטע"כ דרבנן ה"ה במין בשאינו מינו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הפורת יוסף ברש"י דקדשים שנתערבו בחולין בשישים ובנתערבו בקדשים אחרים במשהו</w:t>
      </w:r>
    </w:p>
    <w:p w:rsidR="008B470A" w:rsidRPr="0050146A" w:rsidRDefault="008B470A" w:rsidP="008B470A">
      <w:pPr>
        <w:pStyle w:val="2"/>
        <w:rPr>
          <w:rFonts w:eastAsiaTheme="minorEastAsia" w:cstheme="minorBidi"/>
          <w:i/>
          <w:iCs/>
          <w:noProof/>
          <w:sz w:val="22"/>
          <w:szCs w:val="22"/>
          <w:rtl/>
        </w:rPr>
      </w:pPr>
      <w:r w:rsidRPr="0050146A">
        <w:rPr>
          <w:noProof/>
          <w:rtl/>
        </w:rPr>
        <w:t>בדעת רש"י בילפותא דזרוע בשלה לרבא</w:t>
      </w:r>
    </w:p>
    <w:p w:rsidR="008B470A" w:rsidRPr="0050146A" w:rsidRDefault="008B470A" w:rsidP="008B470A">
      <w:pPr>
        <w:pStyle w:val="aff4"/>
        <w:rPr>
          <w:rFonts w:eastAsiaTheme="minorEastAsia" w:cstheme="minorBidi"/>
          <w:i/>
          <w:iCs/>
          <w:noProof/>
          <w:sz w:val="22"/>
          <w:szCs w:val="22"/>
          <w:rtl/>
        </w:rPr>
      </w:pPr>
      <w:r w:rsidRPr="0050146A">
        <w:rPr>
          <w:noProof/>
          <w:rtl/>
        </w:rPr>
        <w:t>דברי המהרי"ק ברש"י דנח' אביי ורבא אי זרוע בשלה אסמכתא</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המהרי"ק ברש"י דלאביי אחר דילפינן מזרוע בשלה לא מהני רוב במקום שיש 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המהרי"ק ברש"י דלרבא טע"כ דרבנן ואף בטעם יש ביטול ברוב וזרוע בשלה הוא אסמכתא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החת"ס ברש"י דלרבא בזרוע בשלה מותר טעם ביותר מס'</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החת"ס ברש"י דטעם כעיקר דרבנן ושיעור שישים דאו' ואינו מדין 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החת"ס ברש"י דלרבא אף כשיש טעם ביותר משישים בזרוע בשלה מותר ובקדשים אסור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החת"ס ברש"י דלרבנן דר"י אף במין במינו שיעור שישים הוא מדאו' כדילפינן מזרוע בשלה</w:t>
      </w:r>
    </w:p>
    <w:p w:rsidR="002D7168" w:rsidRDefault="008B470A" w:rsidP="008B470A">
      <w:pPr>
        <w:pStyle w:val="aff2"/>
        <w:numPr>
          <w:ilvl w:val="0"/>
          <w:numId w:val="3"/>
        </w:numPr>
        <w:rPr>
          <w:rFonts w:eastAsiaTheme="minorEastAsia" w:cstheme="minorBidi"/>
          <w:sz w:val="22"/>
          <w:szCs w:val="22"/>
        </w:rPr>
      </w:pPr>
      <w:r w:rsidRPr="0050146A">
        <w:rPr>
          <w:rtl/>
        </w:rPr>
        <w:t>קושית החת"ס דזרוע בשלה הוא מין במינו ולא שייך לומר דיש בו היתר דטעמו מותר</w:t>
      </w:r>
    </w:p>
    <w:p w:rsidR="008B470A" w:rsidRPr="0050146A" w:rsidRDefault="008B470A" w:rsidP="008B470A">
      <w:pPr>
        <w:pStyle w:val="2"/>
        <w:rPr>
          <w:rFonts w:eastAsiaTheme="minorEastAsia" w:cstheme="minorBidi"/>
          <w:i/>
          <w:iCs/>
          <w:noProof/>
          <w:sz w:val="22"/>
          <w:szCs w:val="22"/>
          <w:rtl/>
        </w:rPr>
      </w:pPr>
      <w:r w:rsidRPr="0050146A">
        <w:rPr>
          <w:noProof/>
          <w:rtl/>
        </w:rPr>
        <w:t>דעת התוס' דטעם כעיקר דאו' אף בחולין</w:t>
      </w:r>
    </w:p>
    <w:p w:rsidR="008B470A" w:rsidRPr="0050146A" w:rsidRDefault="008B470A" w:rsidP="008B470A">
      <w:pPr>
        <w:pStyle w:val="aff4"/>
        <w:rPr>
          <w:rFonts w:eastAsiaTheme="minorEastAsia" w:cstheme="minorBidi"/>
          <w:i/>
          <w:iCs/>
          <w:noProof/>
          <w:sz w:val="22"/>
          <w:szCs w:val="22"/>
          <w:rtl/>
        </w:rPr>
      </w:pPr>
      <w:r w:rsidRPr="0050146A">
        <w:rPr>
          <w:noProof/>
          <w:rtl/>
        </w:rPr>
        <w:t>ביאור התוס' דטעם כעיקר דאו' בין בחולין ובין בקדשים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התוס' דלרבא טע"כ דאו' ובקדשים ילפינן מחטאת ובחולין ממשרת ולא מזרוע בשלה</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התוס' דא"א ללמוד מזרוע בשלה למין בשאינו מינו מזרוע בשלה היא אסמכתא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התוס' דאיירי דהזרוע ומקצת האיל מחוץ לרוטב</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התוס' דבקדשים מוכח דטע"כ דאו מהא דהתירה תורה זרוע בשלה אף כשאין שישים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דחיית הרמב"ן דאי ההיתר הוא אף כשיש טעם בזרוע בשלה א"א ללמוד ממנה אף לחומרא</w:t>
      </w:r>
    </w:p>
    <w:p w:rsidR="008B470A" w:rsidRPr="0050146A" w:rsidRDefault="008B470A" w:rsidP="008B470A">
      <w:pPr>
        <w:pStyle w:val="aff4"/>
        <w:rPr>
          <w:rFonts w:eastAsiaTheme="minorEastAsia" w:cstheme="minorBidi"/>
          <w:i/>
          <w:iCs/>
          <w:noProof/>
          <w:sz w:val="22"/>
          <w:szCs w:val="22"/>
          <w:rtl/>
        </w:rPr>
      </w:pPr>
      <w:r w:rsidRPr="0050146A">
        <w:rPr>
          <w:noProof/>
          <w:rtl/>
        </w:rPr>
        <w:t>ביאור הראש יוסף בביאור התוס' דמקצת האיל מחוץ לרוטב</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הראש יוסף בתוס' דבזרוע מחוץ לרוטב אין רוב כנגדו ואסור אף במין במינו שא"צ שישים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הראש יוסף בתוס' דבמין במינו צריך רוב כנגד בליעה של הטעם אף כשאין את ממשות האיסור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הראש יוסף בתוס' דבמין בשאינו מינו הטעם המורגש חשיב ידוע ול"מ ביטול ברוב בידוע</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הגרעק"א והראש יוסף דלתוס' במקצתה חוץ לרוטב מתפשט הטעם בכולה</w:t>
      </w:r>
    </w:p>
    <w:p w:rsidR="008B470A" w:rsidRPr="0050146A" w:rsidRDefault="008B470A" w:rsidP="008B470A">
      <w:pPr>
        <w:pStyle w:val="2"/>
        <w:rPr>
          <w:rFonts w:eastAsiaTheme="minorEastAsia" w:cstheme="minorBidi"/>
          <w:i/>
          <w:iCs/>
          <w:noProof/>
          <w:sz w:val="22"/>
          <w:szCs w:val="22"/>
          <w:rtl/>
        </w:rPr>
      </w:pPr>
      <w:r w:rsidRPr="0050146A">
        <w:rPr>
          <w:noProof/>
          <w:rtl/>
        </w:rPr>
        <w:t>גירסת ר"ת דאיירי בהיתר מצטרף לאיסור</w:t>
      </w:r>
    </w:p>
    <w:p w:rsidR="008B470A" w:rsidRPr="0050146A" w:rsidRDefault="008B470A" w:rsidP="008B470A">
      <w:pPr>
        <w:pStyle w:val="aff4"/>
        <w:rPr>
          <w:rFonts w:eastAsiaTheme="minorEastAsia" w:cstheme="minorBidi"/>
          <w:i/>
          <w:iCs/>
          <w:noProof/>
          <w:sz w:val="22"/>
          <w:szCs w:val="22"/>
          <w:rtl/>
        </w:rPr>
      </w:pPr>
      <w:r w:rsidRPr="0050146A">
        <w:rPr>
          <w:noProof/>
          <w:rtl/>
        </w:rPr>
        <w:t>גירסת ר"ת ברבא דכוונתו להיתר מצטרף לאיסור ולא לטע"כ</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ר"ת דא"א ללמוד מחטאת לדין טעם כעיקר דילפינן מחטאת להיתר מצטרף לאיסור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ר"ת דבזרוע בשלה אין טעם דבטל בשישים ולא שייך לומר בזה לשון טעם כעקר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הרשב"א דא"א לבאר דבזרוע בשלה יש טעם גרוע דהא האיסור בקדשים הוא רק בנותן 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גירסת ר"ת ברבא דזרוע בשלה אין דין היתר מצטרף לאיסור כמו בשאר 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ר"ת דבדין טעם כעיקר אין כל חילוק בין קדשים לחולין ובמין בשאינו מינו טע"כ דאו'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דחיית הרמב"ן לגירסת ר"ת וביאור הרמב"ן דהיתר מצטרף לאיסור כלול בילפותא מחטאת</w:t>
      </w:r>
    </w:p>
    <w:p w:rsidR="008B470A" w:rsidRPr="0050146A" w:rsidRDefault="008B470A" w:rsidP="008B470A">
      <w:pPr>
        <w:pStyle w:val="aff2"/>
        <w:numPr>
          <w:ilvl w:val="0"/>
          <w:numId w:val="3"/>
        </w:numPr>
        <w:rPr>
          <w:rFonts w:eastAsiaTheme="minorEastAsia" w:cstheme="minorBidi"/>
          <w:sz w:val="22"/>
          <w:szCs w:val="22"/>
          <w:rtl/>
        </w:rPr>
      </w:pPr>
      <w:r w:rsidRPr="0050146A">
        <w:rPr>
          <w:rtl/>
        </w:rPr>
        <w:t>הביאור הב' בתוס' דגרסי' ברבא טע"כ ונקטה הגמ' את הילפותא מחטאת שפשוטה יותר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תירוץ התוס' דילפינן טעם כעיקר בקדשים מחטאת ובחולין ממשרת ממשרת</w:t>
      </w:r>
    </w:p>
    <w:p w:rsidR="008B470A" w:rsidRPr="0050146A" w:rsidRDefault="008B470A" w:rsidP="008B470A">
      <w:pPr>
        <w:pStyle w:val="aff4"/>
        <w:rPr>
          <w:rFonts w:eastAsiaTheme="minorEastAsia" w:cstheme="minorBidi"/>
          <w:i/>
          <w:iCs/>
          <w:noProof/>
          <w:sz w:val="22"/>
          <w:szCs w:val="22"/>
          <w:rtl/>
        </w:rPr>
      </w:pPr>
      <w:r w:rsidRPr="0050146A">
        <w:rPr>
          <w:noProof/>
          <w:rtl/>
        </w:rPr>
        <w:t xml:space="preserve">דברי הרמב"ן </w:t>
      </w:r>
      <w:r w:rsidRPr="0050146A">
        <w:rPr>
          <w:rFonts w:hint="cs"/>
          <w:noProof/>
          <w:rtl/>
        </w:rPr>
        <w:t>דבקדשים יש גם היתר מצטרף לאיסור וגם טע"כ</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הרמב"ן והרשב"א דבקדשים טע"כ דאו' דחשיב שנמחה ממשו של האיסור וה"ה בחולין</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הרמב"ן דהיתר מצטרף לאיסור היינו שלוקים על כל כזית מהתערובת</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הרמב"ן דבקדשים יש גם את דין טעם כעיקר וגם את דין היתר מצטרף לאיסור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הרמב"ן דלכו"ע כלול בחטאת דין טע"כ ויש מחלוקת אם ילפינן גם להיתר מצטרף לאיסור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הרשב"א דבגמ' בנזיר מוכח להדיא דבחטאת כלולים היתר מצטרף לאיסור וטעם כעיקר</w:t>
      </w:r>
    </w:p>
    <w:p w:rsidR="008B470A" w:rsidRPr="0050146A" w:rsidRDefault="008B470A" w:rsidP="008B470A">
      <w:pPr>
        <w:pStyle w:val="aff4"/>
        <w:rPr>
          <w:rFonts w:eastAsiaTheme="minorEastAsia" w:cstheme="minorBidi"/>
          <w:i/>
          <w:iCs/>
          <w:noProof/>
          <w:sz w:val="22"/>
          <w:szCs w:val="22"/>
          <w:rtl/>
        </w:rPr>
      </w:pPr>
      <w:r w:rsidRPr="0050146A">
        <w:rPr>
          <w:noProof/>
          <w:rtl/>
        </w:rPr>
        <w:t>ביאור הרמב"ן ברבא דאף דאין טעם בזרוע ההיתר הוא בטעם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הרמב"ן דאף דבזרוע בשלה בטל הטעם בשישים מ"מ מוכח דלא חששה תורה לאיסור הטעם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הרמב"ן דהקולא בזרוע בשלה שמבשלה יחד עם חלק הבעלים ודלא כשאר מתנות כהונה</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הרמב"ן דכיון דלא מצינו היתר בתורה יותר משישים בזרוע בשלה ילפינן ממנה לחומרא</w:t>
      </w:r>
    </w:p>
    <w:p w:rsidR="008B470A" w:rsidRPr="0050146A" w:rsidRDefault="008B470A" w:rsidP="008B470A">
      <w:pPr>
        <w:pStyle w:val="aff4"/>
        <w:rPr>
          <w:rFonts w:eastAsiaTheme="minorEastAsia" w:cstheme="minorBidi"/>
          <w:i/>
          <w:iCs/>
          <w:noProof/>
          <w:sz w:val="22"/>
          <w:szCs w:val="22"/>
          <w:rtl/>
        </w:rPr>
      </w:pPr>
      <w:r w:rsidRPr="0050146A">
        <w:rPr>
          <w:noProof/>
          <w:rtl/>
        </w:rPr>
        <w:t>דברי הראב"ד דכוונת רבא בטעם כעיקר להיתר מצטרף לאיסור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הבעה"מ והראב"ד דכוונת רבא בלשון טעם כעיקר לדין היתר מצטרף לאיסור</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הרשב"א בשם הראב"ד דכוונת רבא להיתר מצטרף לאיסור דאסור ואין בו מלקות</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הרשב"א ברבא דבזרוע בשלה התירה תורה מחצה היתר ומחצה איסור בסמוך למקום החתך</w:t>
      </w:r>
    </w:p>
    <w:p w:rsidR="008B470A" w:rsidRPr="0050146A" w:rsidRDefault="008B470A" w:rsidP="008B470A">
      <w:pPr>
        <w:pStyle w:val="2"/>
        <w:rPr>
          <w:rFonts w:eastAsiaTheme="minorEastAsia" w:cstheme="minorBidi"/>
          <w:i/>
          <w:iCs/>
          <w:noProof/>
          <w:sz w:val="22"/>
          <w:szCs w:val="22"/>
          <w:rtl/>
        </w:rPr>
      </w:pPr>
      <w:r w:rsidRPr="0050146A">
        <w:rPr>
          <w:noProof/>
          <w:rtl/>
        </w:rPr>
        <w:t>דברי הר"ן דרבא אייר במינו ואליבא דר"י</w:t>
      </w:r>
    </w:p>
    <w:p w:rsidR="008B470A" w:rsidRPr="0050146A" w:rsidRDefault="008B470A" w:rsidP="008B470A">
      <w:pPr>
        <w:pStyle w:val="aff4"/>
        <w:rPr>
          <w:rFonts w:eastAsiaTheme="minorEastAsia" w:cstheme="minorBidi"/>
          <w:i/>
          <w:iCs/>
          <w:noProof/>
          <w:sz w:val="22"/>
          <w:szCs w:val="22"/>
          <w:rtl/>
        </w:rPr>
      </w:pPr>
      <w:r w:rsidRPr="0050146A">
        <w:rPr>
          <w:noProof/>
          <w:rtl/>
        </w:rPr>
        <w:t>דברי הר"ן דלאביי בזרוע בשלה בטל האיסור ולרבא בטל הטעם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הר"ן דאחר שיש שישים ל"ש טעם כעיקר בזרוע בשלה ואף לרבא ההיתר הוא אליבא דר"י</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הר"ן דלאביי בזרוע בשלה התחדש לר"י דמהני ביטול גמור אף דהוא מין במינו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הר"ן דלרבא בזרוע בשלה מהני ביטול לר"י רק על הטעם אעפ"י דבקדשים טעם כעיקר דאו'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החת"ס בר"ן דלאביי שישים הוא אף בתערובת כדם פר ולרבא רק בלחות הטעם היוצא</w:t>
      </w:r>
    </w:p>
    <w:p w:rsidR="008B470A" w:rsidRPr="00E7650A" w:rsidRDefault="008B470A" w:rsidP="00E7650A">
      <w:pPr>
        <w:pStyle w:val="aff2"/>
        <w:numPr>
          <w:ilvl w:val="0"/>
          <w:numId w:val="3"/>
        </w:numPr>
        <w:rPr>
          <w:rFonts w:eastAsiaTheme="minorEastAsia" w:cstheme="minorBidi"/>
          <w:sz w:val="22"/>
          <w:szCs w:val="22"/>
          <w:rtl/>
        </w:rPr>
      </w:pPr>
      <w:r w:rsidRPr="0050146A">
        <w:rPr>
          <w:rtl/>
        </w:rPr>
        <w:t>קושית הגרעק"א על הר"ן דאי לר"י ילפינן מחטאת דטעם אסור במין במינו א"צ ללמוד מדם פר</w:t>
      </w:r>
    </w:p>
    <w:p w:rsidR="008B470A" w:rsidRPr="0050146A" w:rsidRDefault="008B470A" w:rsidP="008B470A">
      <w:pPr>
        <w:pStyle w:val="aff4"/>
        <w:rPr>
          <w:rFonts w:eastAsiaTheme="minorEastAsia" w:cstheme="minorBidi"/>
          <w:i/>
          <w:iCs/>
          <w:noProof/>
          <w:sz w:val="22"/>
          <w:szCs w:val="22"/>
          <w:rtl/>
        </w:rPr>
      </w:pPr>
      <w:r w:rsidRPr="0050146A">
        <w:rPr>
          <w:noProof/>
          <w:rtl/>
        </w:rPr>
        <w:lastRenderedPageBreak/>
        <w:t>ביאור התוס' הרי"ד דההיתר בזרוע בשלה בטעם ביותר מס'</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התוס' הרי"ד דלרבא טע"כ דאו' אבל במין במינו בקדשים ל"מ רוב ובחולין בטל ברוב</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התוס' הרי"ד ברבא דבזרוע בשלה אף שיש טעם ביותר משישים מותר ובשאר קדשים אסור</w:t>
      </w:r>
    </w:p>
    <w:p w:rsidR="008B470A" w:rsidRPr="0050146A" w:rsidRDefault="008B470A" w:rsidP="008B470A">
      <w:pPr>
        <w:pStyle w:val="aff4"/>
        <w:rPr>
          <w:rFonts w:eastAsiaTheme="minorEastAsia" w:cstheme="minorBidi"/>
          <w:i/>
          <w:iCs/>
          <w:noProof/>
          <w:sz w:val="22"/>
          <w:szCs w:val="22"/>
          <w:rtl/>
        </w:rPr>
      </w:pPr>
      <w:r w:rsidRPr="0050146A">
        <w:rPr>
          <w:noProof/>
          <w:rtl/>
        </w:rPr>
        <w:t>ביאור הראב"ד דטעם בלוע בקדשים בשישים וגוף הטעם במשהו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ביאור הראב"ד דרבא אסר בקדשים בטעם משהו שנשאר אחר שנתבטל הטעם בשישים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הראב"ד דמבואר בגמ' בזבחים דהאיסור בקדשים בנותן טעם ולא במשהו</w:t>
      </w:r>
    </w:p>
    <w:p w:rsidR="008B470A" w:rsidRPr="0050146A" w:rsidRDefault="008B470A" w:rsidP="008B470A">
      <w:pPr>
        <w:pStyle w:val="aff2"/>
        <w:numPr>
          <w:ilvl w:val="0"/>
          <w:numId w:val="3"/>
        </w:numPr>
        <w:rPr>
          <w:rFonts w:eastAsiaTheme="minorEastAsia" w:cstheme="minorBidi"/>
          <w:sz w:val="22"/>
          <w:szCs w:val="22"/>
          <w:rtl/>
        </w:rPr>
      </w:pPr>
      <w:r w:rsidRPr="0050146A">
        <w:rPr>
          <w:rtl/>
        </w:rPr>
        <w:t>תירוץ הראב"ד דבטעם הבלוע האיסור בקדשים בנותן טעם ובגוף הטעם האיסור בקדשים במשהו</w:t>
      </w:r>
    </w:p>
    <w:p w:rsidR="008B470A" w:rsidRPr="0050146A" w:rsidRDefault="008B470A" w:rsidP="008B470A">
      <w:pPr>
        <w:pStyle w:val="2"/>
        <w:rPr>
          <w:rFonts w:eastAsiaTheme="minorEastAsia" w:cstheme="minorBidi"/>
          <w:i/>
          <w:iCs/>
          <w:noProof/>
          <w:sz w:val="22"/>
          <w:szCs w:val="22"/>
          <w:rtl/>
        </w:rPr>
      </w:pPr>
      <w:r w:rsidRPr="0050146A">
        <w:rPr>
          <w:noProof/>
          <w:rtl/>
        </w:rPr>
        <w:t>ביאורי ראשי הישיבות</w:t>
      </w:r>
    </w:p>
    <w:p w:rsidR="008B470A" w:rsidRPr="0050146A" w:rsidRDefault="008B470A" w:rsidP="008B470A">
      <w:pPr>
        <w:pStyle w:val="aff4"/>
        <w:rPr>
          <w:rFonts w:eastAsiaTheme="minorEastAsia" w:cstheme="minorBidi"/>
          <w:i/>
          <w:iCs/>
          <w:noProof/>
          <w:sz w:val="22"/>
          <w:szCs w:val="22"/>
          <w:rtl/>
        </w:rPr>
      </w:pPr>
      <w:r w:rsidRPr="0050146A">
        <w:rPr>
          <w:noProof/>
          <w:rtl/>
        </w:rPr>
        <w:t>ביאור הקה"י ברש"י דטעם כעיקר הוא רק לענין איסור אכילה</w:t>
      </w:r>
    </w:p>
    <w:p w:rsidR="008B470A" w:rsidRPr="0050146A" w:rsidRDefault="008B470A" w:rsidP="008B470A">
      <w:pPr>
        <w:pStyle w:val="aff2"/>
        <w:numPr>
          <w:ilvl w:val="0"/>
          <w:numId w:val="3"/>
        </w:numPr>
        <w:rPr>
          <w:rFonts w:eastAsiaTheme="minorEastAsia" w:cstheme="minorBidi"/>
          <w:sz w:val="22"/>
          <w:szCs w:val="22"/>
          <w:rtl/>
        </w:rPr>
      </w:pPr>
      <w:r w:rsidRPr="0050146A">
        <w:rPr>
          <w:rtl/>
        </w:rPr>
        <w:t>קושית הקה"י רש"י דטעם אסור בקדשים במשהו דמוכח במתני' בערלה שיש דין ביטול בקדשים</w:t>
      </w:r>
    </w:p>
    <w:p w:rsidR="008B470A" w:rsidRPr="0050146A" w:rsidRDefault="008B470A" w:rsidP="008B470A">
      <w:pPr>
        <w:pStyle w:val="aff2"/>
        <w:numPr>
          <w:ilvl w:val="0"/>
          <w:numId w:val="3"/>
        </w:numPr>
        <w:rPr>
          <w:rFonts w:eastAsiaTheme="minorEastAsia" w:cstheme="minorBidi"/>
          <w:sz w:val="22"/>
          <w:szCs w:val="22"/>
          <w:rtl/>
        </w:rPr>
      </w:pPr>
      <w:r w:rsidRPr="0050146A">
        <w:rPr>
          <w:rtl/>
        </w:rPr>
        <w:t>דברי הקה"י דלביאור הרשב"א ברש"י דמודה דבמין בשאינו מינו מהני ביטול ה"ה במתני' בערלה</w:t>
      </w:r>
    </w:p>
    <w:p w:rsidR="008B470A" w:rsidRPr="0050146A" w:rsidRDefault="008B470A" w:rsidP="008B470A">
      <w:pPr>
        <w:pStyle w:val="aff2"/>
        <w:numPr>
          <w:ilvl w:val="0"/>
          <w:numId w:val="3"/>
        </w:numPr>
        <w:rPr>
          <w:rFonts w:eastAsiaTheme="minorEastAsia" w:cstheme="minorBidi"/>
          <w:sz w:val="22"/>
          <w:szCs w:val="22"/>
          <w:rtl/>
        </w:rPr>
      </w:pPr>
      <w:r w:rsidRPr="0050146A">
        <w:rPr>
          <w:rtl/>
        </w:rPr>
        <w:t>תירוץ הקה"י ברש"י דדין טעם כעיקר נאמר רק באיסור אכילה ולא באיסור הקרבה</w:t>
      </w:r>
    </w:p>
    <w:p w:rsidR="008B470A" w:rsidRPr="0050146A" w:rsidRDefault="008B470A" w:rsidP="008B470A">
      <w:pPr>
        <w:pStyle w:val="aff2"/>
        <w:numPr>
          <w:ilvl w:val="0"/>
          <w:numId w:val="3"/>
        </w:numPr>
        <w:rPr>
          <w:rFonts w:eastAsiaTheme="minorEastAsia" w:cstheme="minorBidi"/>
          <w:sz w:val="22"/>
          <w:szCs w:val="22"/>
          <w:rtl/>
        </w:rPr>
        <w:sectPr w:rsidR="008B470A" w:rsidRPr="0050146A" w:rsidSect="007C6A7B">
          <w:type w:val="continuous"/>
          <w:pgSz w:w="11906" w:h="16838"/>
          <w:pgMar w:top="720" w:right="720" w:bottom="720" w:left="720" w:header="283" w:footer="283" w:gutter="0"/>
          <w:cols w:num="2" w:space="113"/>
          <w:bidi/>
          <w:rtlGutter/>
          <w:docGrid w:linePitch="299"/>
        </w:sectPr>
      </w:pPr>
      <w:r w:rsidRPr="0050146A">
        <w:rPr>
          <w:rtl/>
        </w:rPr>
        <w:t>דברי הקה"י ברש"י דהגמ' בזבחים דסברה דאין איסור דאו' בנתינת טעם בקדשים פליגא על סוגיי</w:t>
      </w:r>
    </w:p>
    <w:p w:rsidR="008B470A" w:rsidRPr="0050146A" w:rsidRDefault="008B470A" w:rsidP="008B470A">
      <w:pPr>
        <w:pStyle w:val="aff2"/>
        <w:rPr>
          <w:rFonts w:eastAsiaTheme="minorEastAsia" w:cstheme="minorBidi"/>
          <w:sz w:val="22"/>
          <w:szCs w:val="22"/>
          <w:rtl/>
        </w:rPr>
      </w:pPr>
    </w:p>
    <w:p w:rsidR="008B470A" w:rsidRPr="0050146A" w:rsidRDefault="008B470A" w:rsidP="008B470A">
      <w:pPr>
        <w:pStyle w:val="aff4"/>
        <w:rPr>
          <w:rtl/>
        </w:rPr>
        <w:sectPr w:rsidR="008B470A" w:rsidRPr="0050146A" w:rsidSect="007C6A7B">
          <w:type w:val="continuous"/>
          <w:pgSz w:w="11906" w:h="16838"/>
          <w:pgMar w:top="720" w:right="720" w:bottom="720" w:left="720" w:header="283" w:footer="283" w:gutter="0"/>
          <w:cols w:num="2" w:space="113"/>
          <w:bidi/>
          <w:rtlGutter/>
          <w:docGrid w:linePitch="299"/>
        </w:sectPr>
      </w:pPr>
      <w:r w:rsidRPr="0050146A">
        <w:rPr>
          <w:rtl/>
        </w:rPr>
        <w:fldChar w:fldCharType="end"/>
      </w:r>
    </w:p>
    <w:p w:rsidR="008B470A" w:rsidRPr="0050146A" w:rsidRDefault="008B470A" w:rsidP="00E669F8">
      <w:pPr>
        <w:pStyle w:val="afd"/>
        <w:rPr>
          <w:rtl/>
        </w:rPr>
      </w:pPr>
      <w:bookmarkStart w:id="4540" w:name="_Toc11698077"/>
      <w:bookmarkStart w:id="4541" w:name="_Toc12205419"/>
      <w:bookmarkStart w:id="4542" w:name="_Toc12221351"/>
      <w:bookmarkStart w:id="4543" w:name="_Toc12354357"/>
      <w:bookmarkStart w:id="4544" w:name="_Toc12359750"/>
      <w:bookmarkStart w:id="4545" w:name="_Toc12378930"/>
      <w:r w:rsidRPr="0050146A">
        <w:rPr>
          <w:rFonts w:hint="cs"/>
          <w:rtl/>
        </w:rPr>
        <w:lastRenderedPageBreak/>
        <w:t>מראי מקומות וביאורים</w:t>
      </w:r>
      <w:bookmarkEnd w:id="4540"/>
      <w:bookmarkEnd w:id="4541"/>
      <w:bookmarkEnd w:id="4542"/>
      <w:bookmarkEnd w:id="4543"/>
      <w:bookmarkEnd w:id="4544"/>
      <w:bookmarkEnd w:id="4545"/>
    </w:p>
    <w:p w:rsidR="008B470A" w:rsidRPr="0050146A" w:rsidRDefault="008B470A" w:rsidP="008B470A">
      <w:pPr>
        <w:pStyle w:val="2"/>
        <w:keepNext w:val="0"/>
        <w:keepLines w:val="0"/>
        <w:bidi w:val="0"/>
        <w:rPr>
          <w:rFonts w:asciiTheme="minorHAnsi" w:hAnsiTheme="minorHAnsi"/>
          <w:bCs/>
          <w:sz w:val="18"/>
          <w:szCs w:val="28"/>
          <w:rtl/>
        </w:rPr>
        <w:sectPr w:rsidR="008B470A" w:rsidRPr="0050146A" w:rsidSect="00632C76">
          <w:pgSz w:w="11906" w:h="16838"/>
          <w:pgMar w:top="720" w:right="720" w:bottom="720" w:left="720" w:header="283" w:footer="283" w:gutter="0"/>
          <w:cols w:space="720"/>
          <w:bidi/>
          <w:rtlGutter/>
          <w:docGrid w:linePitch="299"/>
        </w:sectPr>
      </w:pPr>
    </w:p>
    <w:p w:rsidR="008B470A" w:rsidRPr="0050146A" w:rsidRDefault="008B470A" w:rsidP="00E669F8">
      <w:pPr>
        <w:pStyle w:val="afd"/>
        <w:rPr>
          <w:rtl/>
        </w:rPr>
      </w:pPr>
      <w:bookmarkStart w:id="4546" w:name="_Toc12359751"/>
      <w:bookmarkStart w:id="4547" w:name="_Toc12378931"/>
      <w:r w:rsidRPr="0050146A">
        <w:rPr>
          <w:rFonts w:hint="cs"/>
          <w:rtl/>
        </w:rPr>
        <w:t>בדעת רש"י בדין טעם בקדשים לרבא</w:t>
      </w:r>
      <w:bookmarkEnd w:id="4546"/>
      <w:bookmarkEnd w:id="4547"/>
      <w:r w:rsidRPr="0050146A">
        <w:rPr>
          <w:rFonts w:hint="cs"/>
          <w:rtl/>
        </w:rPr>
        <w:t xml:space="preserve"> </w:t>
      </w:r>
    </w:p>
    <w:p w:rsidR="008B470A" w:rsidRPr="0050146A" w:rsidRDefault="008B470A" w:rsidP="008B470A">
      <w:pPr>
        <w:pStyle w:val="1"/>
        <w:rPr>
          <w:rtl/>
        </w:rPr>
      </w:pPr>
      <w:bookmarkStart w:id="4548" w:name="_Toc12354359"/>
      <w:bookmarkStart w:id="4549" w:name="_Toc12359752"/>
      <w:bookmarkStart w:id="4550" w:name="_Toc12378932"/>
      <w:r w:rsidRPr="0050146A">
        <w:rPr>
          <w:rFonts w:hint="cs"/>
          <w:rtl/>
        </w:rPr>
        <w:t>דברי רש"י דלרבא טע"כ בקדשים דאו' ומותר בזרוע בשלה</w:t>
      </w:r>
      <w:bookmarkEnd w:id="4548"/>
      <w:bookmarkEnd w:id="4549"/>
      <w:bookmarkEnd w:id="4550"/>
    </w:p>
    <w:p w:rsidR="008B470A" w:rsidRPr="0050146A" w:rsidRDefault="008B470A" w:rsidP="008B470A">
      <w:pPr>
        <w:pStyle w:val="a2"/>
      </w:pPr>
      <w:bookmarkStart w:id="4551" w:name="_Toc12221354"/>
      <w:bookmarkStart w:id="4552" w:name="_Toc12354360"/>
      <w:bookmarkStart w:id="4553" w:name="_Toc12359753"/>
      <w:bookmarkStart w:id="4554" w:name="_Toc12378933"/>
      <w:r w:rsidRPr="0050146A">
        <w:rPr>
          <w:rFonts w:hint="cs"/>
          <w:rtl/>
        </w:rPr>
        <w:t>דברי רש"י דלרבא בקדשים טעם כעיקר הוא דאו' ובזרוע בשלה התירה התורה את האסור בקדשים</w:t>
      </w:r>
      <w:bookmarkEnd w:id="4551"/>
      <w:bookmarkEnd w:id="4552"/>
      <w:bookmarkEnd w:id="4553"/>
      <w:bookmarkEnd w:id="4554"/>
    </w:p>
    <w:p w:rsidR="008B470A" w:rsidRPr="0050146A" w:rsidRDefault="008B470A" w:rsidP="009F44AF">
      <w:pPr>
        <w:pStyle w:val="a"/>
        <w:numPr>
          <w:ilvl w:val="0"/>
          <w:numId w:val="14"/>
        </w:numPr>
        <w:rPr>
          <w:rtl/>
        </w:rPr>
      </w:pPr>
      <w:bookmarkStart w:id="4555" w:name="_Ref12303715"/>
      <w:r w:rsidRPr="0050146A">
        <w:rPr>
          <w:rFonts w:hint="cs"/>
          <w:rtl/>
        </w:rPr>
        <w:t xml:space="preserve">בתירוץ רבא דהא דתני בברייתא "זהו היתר הבא מכלל איסור" היינו כיון דטעם כעיקר בקדשים אסור, ביאר </w:t>
      </w:r>
      <w:r w:rsidRPr="0050146A">
        <w:rPr>
          <w:rStyle w:val="af8"/>
          <w:rFonts w:hint="cs"/>
          <w:rtl/>
        </w:rPr>
        <w:t>רש"י</w:t>
      </w:r>
      <w:r w:rsidRPr="0050146A">
        <w:rPr>
          <w:rFonts w:hint="cs"/>
          <w:rtl/>
        </w:rPr>
        <w:t xml:space="preserve"> </w:t>
      </w:r>
      <w:r w:rsidRPr="009F44AF">
        <w:rPr>
          <w:rStyle w:val="af6"/>
          <w:rFonts w:eastAsia="Guttman Hodes" w:hint="cs"/>
          <w:rtl/>
        </w:rPr>
        <w:t xml:space="preserve">(ד"ה לטעם כעיקר) </w:t>
      </w:r>
      <w:r w:rsidRPr="0050146A">
        <w:rPr>
          <w:rFonts w:hint="cs"/>
          <w:rtl/>
        </w:rPr>
        <w:t xml:space="preserve">דנתינת טעם בקדשים אוסרת כעיקר ממשו של האיסור, ולכן תני דדוקא בזרוע בשלה התירה תורה נתינת טעם, ולא בשאר קדשים, אבל לענין חולין כתב </w:t>
      </w:r>
      <w:r w:rsidRPr="0050146A">
        <w:rPr>
          <w:rStyle w:val="af8"/>
          <w:rFonts w:hint="cs"/>
          <w:rtl/>
        </w:rPr>
        <w:t>רש"י</w:t>
      </w:r>
      <w:r w:rsidRPr="0050146A">
        <w:rPr>
          <w:rFonts w:hint="cs"/>
          <w:rtl/>
        </w:rPr>
        <w:t xml:space="preserve"> דילפינן מזרוע בשלה את דין ביטול בשישים או במאה, דכיון דמדאו' הטעם בטל ברוב, מדין אחרי רבים להטות, א"כ אפשר ללמוד לחומרא מזרוע בשלה דאינו מתבטל אלא במאה ושישים, וכתב </w:t>
      </w:r>
      <w:r w:rsidRPr="0050146A">
        <w:rPr>
          <w:rStyle w:val="af8"/>
          <w:rFonts w:hint="cs"/>
          <w:rtl/>
        </w:rPr>
        <w:t>רש"י</w:t>
      </w:r>
      <w:r w:rsidRPr="0050146A">
        <w:rPr>
          <w:rFonts w:hint="cs"/>
          <w:rtl/>
        </w:rPr>
        <w:t xml:space="preserve"> דרבא ס"ל דבחולין טעם כעיקר אינו מדאו' אלא מדרבנן, וכדעת ריו"ח בע"ז </w:t>
      </w:r>
      <w:r w:rsidRPr="009F44AF">
        <w:rPr>
          <w:rStyle w:val="af6"/>
          <w:rFonts w:eastAsia="Guttman Hodes" w:hint="cs"/>
          <w:rtl/>
        </w:rPr>
        <w:t xml:space="preserve">(סז.) </w:t>
      </w:r>
      <w:r w:rsidRPr="0050146A">
        <w:rPr>
          <w:rFonts w:hint="cs"/>
          <w:rtl/>
        </w:rPr>
        <w:t>דאמר דטעמו ולא ממשו אין לוקין עליו.</w:t>
      </w:r>
      <w:bookmarkEnd w:id="4555"/>
    </w:p>
    <w:p w:rsidR="008B470A" w:rsidRPr="0050146A" w:rsidRDefault="008B470A" w:rsidP="008B470A">
      <w:pPr>
        <w:pStyle w:val="a2"/>
        <w:rPr>
          <w:rtl/>
        </w:rPr>
      </w:pPr>
      <w:bookmarkStart w:id="4556" w:name="_Toc12354361"/>
      <w:bookmarkStart w:id="4557" w:name="_Toc12359754"/>
      <w:bookmarkStart w:id="4558" w:name="_Toc12378934"/>
      <w:r w:rsidRPr="0050146A">
        <w:rPr>
          <w:rFonts w:hint="cs"/>
          <w:rtl/>
        </w:rPr>
        <w:t>דברי רש"י דמחטאת ילפינן דאיסורי קדשים אינם בטלים לגמרי ולא ילפינן מזרוע בשלה לקולא</w:t>
      </w:r>
      <w:bookmarkEnd w:id="4556"/>
      <w:bookmarkEnd w:id="4557"/>
      <w:bookmarkEnd w:id="4558"/>
    </w:p>
    <w:p w:rsidR="008B470A" w:rsidRPr="0050146A" w:rsidRDefault="008B470A" w:rsidP="009F44AF">
      <w:pPr>
        <w:pStyle w:val="a"/>
        <w:rPr>
          <w:rtl/>
        </w:rPr>
      </w:pPr>
      <w:bookmarkStart w:id="4559" w:name="_Ref12356805"/>
      <w:r w:rsidRPr="0050146A">
        <w:rPr>
          <w:rFonts w:hint="cs"/>
          <w:rtl/>
        </w:rPr>
        <w:t xml:space="preserve">ובקושית הגמ' על רבא דס"ל דטעם כעיקר בקדשים דאו' דנילף מזרוע בשלה, ביאר </w:t>
      </w:r>
      <w:r w:rsidRPr="0050146A">
        <w:rPr>
          <w:rStyle w:val="af8"/>
          <w:rFonts w:hint="cs"/>
          <w:rtl/>
        </w:rPr>
        <w:t>רש"י</w:t>
      </w:r>
      <w:r w:rsidRPr="0050146A">
        <w:rPr>
          <w:rFonts w:hint="cs"/>
          <w:rtl/>
        </w:rPr>
        <w:t xml:space="preserve"> </w:t>
      </w:r>
      <w:r w:rsidRPr="0050146A">
        <w:rPr>
          <w:rStyle w:val="af6"/>
          <w:rFonts w:eastAsia="Guttman Hodes" w:hint="cs"/>
          <w:rtl/>
        </w:rPr>
        <w:t>(צט. ד"ה וליגמר)</w:t>
      </w:r>
      <w:r w:rsidRPr="0050146A">
        <w:rPr>
          <w:rFonts w:hint="cs"/>
          <w:rtl/>
        </w:rPr>
        <w:t xml:space="preserve"> דכמו דבזרוע בשלה מותר בשישים או במאה, נילף דאף בשאר קדשים כגון נותר או פגול, יהיה מותר בשישים או במאה, ובתירוץ הגמ' דמזרוע בשלה לא ילפינן לקולא אלא ילפינן מחטאת, ביאר </w:t>
      </w:r>
      <w:r w:rsidRPr="0050146A">
        <w:rPr>
          <w:rStyle w:val="af8"/>
          <w:rFonts w:hint="cs"/>
          <w:rtl/>
        </w:rPr>
        <w:t>רש"י</w:t>
      </w:r>
      <w:r w:rsidRPr="0050146A">
        <w:rPr>
          <w:rFonts w:hint="cs"/>
          <w:rtl/>
        </w:rPr>
        <w:t xml:space="preserve"> </w:t>
      </w:r>
      <w:r w:rsidRPr="0050146A">
        <w:rPr>
          <w:rStyle w:val="af6"/>
          <w:rFonts w:eastAsia="Guttman Hodes" w:hint="cs"/>
          <w:rtl/>
        </w:rPr>
        <w:t>(צט. ד"ה להיות)</w:t>
      </w:r>
      <w:r w:rsidRPr="0050146A">
        <w:rPr>
          <w:rFonts w:hint="cs"/>
          <w:rtl/>
        </w:rPr>
        <w:t xml:space="preserve"> דכל שנגע בחטאת ובלע ממנו דינו כמוה, והוסיף </w:t>
      </w:r>
      <w:r w:rsidRPr="0050146A">
        <w:rPr>
          <w:rStyle w:val="af8"/>
          <w:rFonts w:hint="cs"/>
          <w:rtl/>
        </w:rPr>
        <w:t>רש"י</w:t>
      </w:r>
      <w:r w:rsidRPr="0050146A">
        <w:rPr>
          <w:rFonts w:hint="cs"/>
          <w:rtl/>
        </w:rPr>
        <w:t xml:space="preserve"> </w:t>
      </w:r>
      <w:r w:rsidRPr="0050146A">
        <w:rPr>
          <w:rStyle w:val="af6"/>
          <w:rFonts w:eastAsia="Guttman Hodes" w:hint="cs"/>
          <w:rtl/>
        </w:rPr>
        <w:t>(צט. ד"ה ואם כשרה)</w:t>
      </w:r>
      <w:r w:rsidRPr="0050146A">
        <w:rPr>
          <w:rFonts w:hint="cs"/>
          <w:rtl/>
        </w:rPr>
        <w:t xml:space="preserve"> דמחטאת ילפינן לכל איסורי קדשים שאינם בטלים לגמרי.</w:t>
      </w:r>
      <w:bookmarkEnd w:id="4559"/>
    </w:p>
    <w:p w:rsidR="008B470A" w:rsidRPr="0050146A" w:rsidRDefault="008B470A" w:rsidP="008B470A">
      <w:pPr>
        <w:pStyle w:val="1"/>
        <w:rPr>
          <w:rtl/>
        </w:rPr>
      </w:pPr>
      <w:bookmarkStart w:id="4560" w:name="_Toc11698083"/>
      <w:bookmarkStart w:id="4561" w:name="_Toc12205427"/>
      <w:bookmarkStart w:id="4562" w:name="_Toc12221359"/>
      <w:bookmarkStart w:id="4563" w:name="_Toc12354363"/>
      <w:bookmarkStart w:id="4564" w:name="_Toc12359755"/>
      <w:bookmarkStart w:id="4565" w:name="_Toc12378935"/>
      <w:r w:rsidRPr="0050146A">
        <w:rPr>
          <w:rFonts w:hint="cs"/>
          <w:rtl/>
        </w:rPr>
        <w:t>ביאור התוס' ברש"י דלרבא טעם כל שהוא</w:t>
      </w:r>
      <w:bookmarkEnd w:id="4560"/>
      <w:bookmarkEnd w:id="4561"/>
      <w:bookmarkEnd w:id="4562"/>
      <w:bookmarkEnd w:id="4563"/>
      <w:r w:rsidRPr="0050146A">
        <w:rPr>
          <w:rFonts w:hint="cs"/>
          <w:rtl/>
        </w:rPr>
        <w:t xml:space="preserve"> אסור בקדשים</w:t>
      </w:r>
      <w:bookmarkEnd w:id="4564"/>
      <w:bookmarkEnd w:id="4565"/>
    </w:p>
    <w:p w:rsidR="008B470A" w:rsidRPr="0050146A" w:rsidRDefault="008B470A" w:rsidP="008B470A">
      <w:pPr>
        <w:pStyle w:val="a2"/>
        <w:rPr>
          <w:rtl/>
        </w:rPr>
      </w:pPr>
      <w:bookmarkStart w:id="4566" w:name="_Toc11698084"/>
      <w:bookmarkStart w:id="4567" w:name="_Toc12205428"/>
      <w:bookmarkStart w:id="4568" w:name="_Toc12221360"/>
      <w:bookmarkStart w:id="4569" w:name="_Toc12354364"/>
      <w:bookmarkStart w:id="4570" w:name="_Toc12359756"/>
      <w:bookmarkStart w:id="4571" w:name="_Toc12378936"/>
      <w:r w:rsidRPr="0050146A">
        <w:rPr>
          <w:rFonts w:hint="cs"/>
          <w:rtl/>
        </w:rPr>
        <w:t>קושית הריטב"א דבזרוע בשלה בטל הטעם בשישים וא"א לומר דהיתר שאסור בשאר קדשים</w:t>
      </w:r>
      <w:bookmarkEnd w:id="4566"/>
      <w:bookmarkEnd w:id="4567"/>
      <w:bookmarkEnd w:id="4568"/>
      <w:bookmarkEnd w:id="4569"/>
      <w:bookmarkEnd w:id="4570"/>
      <w:bookmarkEnd w:id="4571"/>
    </w:p>
    <w:p w:rsidR="008B470A" w:rsidRPr="0050146A" w:rsidRDefault="008B470A" w:rsidP="009F44AF">
      <w:pPr>
        <w:pStyle w:val="a"/>
      </w:pPr>
      <w:r w:rsidRPr="0050146A">
        <w:rPr>
          <w:rFonts w:hint="cs"/>
          <w:rtl/>
        </w:rPr>
        <w:t xml:space="preserve">והקשה </w:t>
      </w:r>
      <w:r w:rsidRPr="0050146A">
        <w:rPr>
          <w:rStyle w:val="af8"/>
          <w:rFonts w:hint="cs"/>
          <w:rtl/>
        </w:rPr>
        <w:t>הריטב"א</w:t>
      </w:r>
      <w:r w:rsidRPr="0050146A">
        <w:rPr>
          <w:rFonts w:hint="cs"/>
          <w:rtl/>
        </w:rPr>
        <w:t xml:space="preserve"> </w:t>
      </w:r>
      <w:r w:rsidRPr="0050146A">
        <w:rPr>
          <w:rStyle w:val="af6"/>
          <w:rFonts w:eastAsia="Guttman Hodes" w:hint="cs"/>
          <w:rtl/>
        </w:rPr>
        <w:t>(ד"ה רבא)</w:t>
      </w:r>
      <w:r w:rsidRPr="0050146A">
        <w:rPr>
          <w:rFonts w:hint="cs"/>
          <w:rtl/>
        </w:rPr>
        <w:t xml:space="preserve"> על </w:t>
      </w:r>
      <w:r w:rsidRPr="0050146A">
        <w:rPr>
          <w:rStyle w:val="af8"/>
          <w:rFonts w:hint="cs"/>
          <w:rtl/>
        </w:rPr>
        <w:t>רש"י</w:t>
      </w:r>
      <w:r w:rsidRPr="0050146A">
        <w:rPr>
          <w:rFonts w:hint="cs"/>
          <w:rtl/>
        </w:rPr>
        <w:t xml:space="preserve"> דהאיך אפש"ל דלרבא בקדשים טעם כעיקר אסור, ולא מהני ביטול בחד בתרי, ואפ"ה בזרוע בשלה הוא היתר הבא מכלל איסור, דהתירה בו תורה טעם כעיקר, הרי אמר ריב"ל דבזרוע בשלה אין כל טעם, דהוא בטל בשישים או מאה, ומזרוע בשלה ילפינן לכל האיסורין דמהני ביטול בשישים או במאה.</w:t>
      </w:r>
    </w:p>
    <w:p w:rsidR="008B470A" w:rsidRPr="0050146A" w:rsidRDefault="008B470A" w:rsidP="008B470A">
      <w:pPr>
        <w:pStyle w:val="a2"/>
      </w:pPr>
      <w:bookmarkStart w:id="4572" w:name="_Toc11698085"/>
      <w:bookmarkStart w:id="4573" w:name="_Toc12205429"/>
      <w:bookmarkStart w:id="4574" w:name="_Toc12221361"/>
      <w:bookmarkStart w:id="4575" w:name="_Toc12354365"/>
      <w:bookmarkStart w:id="4576" w:name="_Toc12359757"/>
      <w:bookmarkStart w:id="4577" w:name="_Toc12378937"/>
      <w:r w:rsidRPr="0050146A">
        <w:rPr>
          <w:rFonts w:hint="cs"/>
          <w:rtl/>
        </w:rPr>
        <w:t>ביאור התוס' ברש"י דכוונת רבא לטעם משהו דאף שהתבטל בשישים אסור בקדשים</w:t>
      </w:r>
      <w:bookmarkEnd w:id="4572"/>
      <w:bookmarkEnd w:id="4573"/>
      <w:bookmarkEnd w:id="4574"/>
      <w:bookmarkEnd w:id="4575"/>
      <w:bookmarkEnd w:id="4576"/>
      <w:bookmarkEnd w:id="4577"/>
    </w:p>
    <w:p w:rsidR="002D7168" w:rsidRDefault="008B470A" w:rsidP="009F44AF">
      <w:pPr>
        <w:pStyle w:val="a"/>
        <w:rPr>
          <w:rtl/>
        </w:rPr>
      </w:pPr>
      <w:bookmarkStart w:id="4578" w:name="_Ref12290115"/>
      <w:bookmarkStart w:id="4579" w:name="_Toc11698086"/>
      <w:r w:rsidRPr="0050146A">
        <w:rPr>
          <w:rFonts w:hint="cs"/>
          <w:rtl/>
        </w:rPr>
        <w:t xml:space="preserve">אלא כתבו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Font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(סי' ל"א)</w:t>
      </w:r>
      <w:r w:rsidRPr="0050146A">
        <w:rPr>
          <w:rFonts w:hint="cs"/>
          <w:rtl/>
        </w:rPr>
        <w:t xml:space="preserve"> דמבואר מדברי </w:t>
      </w:r>
      <w:r w:rsidRPr="0050146A">
        <w:rPr>
          <w:rStyle w:val="af8"/>
          <w:rFonts w:hint="cs"/>
          <w:rtl/>
        </w:rPr>
        <w:t xml:space="preserve">רש"י </w:t>
      </w:r>
      <w:r w:rsidRPr="0050146A">
        <w:rPr>
          <w:rFonts w:hint="cs"/>
          <w:rtl/>
        </w:rPr>
        <w:t xml:space="preserve">דהא דאמר רבא "טעם כעיקר" אין כוונתו לטעם גמור, דהרי הוא התבטל בשישים, אלא הכוונה לטעם כל שהוא, וס"ל </w:t>
      </w:r>
      <w:r w:rsidRPr="0050146A">
        <w:rPr>
          <w:rStyle w:val="af8"/>
          <w:rFonts w:hint="cs"/>
          <w:rtl/>
        </w:rPr>
        <w:t xml:space="preserve">לרש"י </w:t>
      </w:r>
      <w:r w:rsidRPr="0050146A">
        <w:rPr>
          <w:rFonts w:hint="cs"/>
          <w:rtl/>
        </w:rPr>
        <w:t xml:space="preserve">דאף טעם זה הוא אסור בקדשים, אעפ"י שהוא רק משהו, וכתבו </w:t>
      </w:r>
      <w:r w:rsidRPr="0050146A">
        <w:rPr>
          <w:rStyle w:val="af8"/>
          <w:rFonts w:hint="cs"/>
          <w:rtl/>
        </w:rPr>
        <w:t>התוס' והתוס' הרא"ש</w:t>
      </w:r>
      <w:r w:rsidRPr="0050146A">
        <w:rPr>
          <w:rStyle w:val="af6"/>
          <w:rFonts w:eastAsia="Guttman Hodes" w:hint="cs"/>
          <w:rtl/>
        </w:rPr>
        <w:t xml:space="preserve"> (ד"ה לא)</w:t>
      </w:r>
      <w:r w:rsidRPr="0050146A">
        <w:rPr>
          <w:rFonts w:hint="cs"/>
          <w:rtl/>
        </w:rPr>
        <w:t xml:space="preserve"> דא"כ קושית הגמ' דנילף מזרוע בשלה, היינו דאף שאר הקדשים יהיו מותרים בשישים או מאה, כמו זרוע בשלה, וע"ז תירצה הגמ' דמטאת ילפינן דהאיסור בקדשים הוא אף בכל שהוא, ועי' </w:t>
      </w:r>
      <w:r w:rsidRPr="0050146A">
        <w:rPr>
          <w:rStyle w:val="af8"/>
          <w:rFonts w:hint="cs"/>
          <w:rtl/>
        </w:rPr>
        <w:t>בראש יוסף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Ref12290262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50146A">
        <w:rPr>
          <w:rStyle w:val="af6"/>
          <w:rFonts w:eastAsia="Guttman Hodes"/>
          <w:rtl/>
        </w:rPr>
        <w:fldChar w:fldCharType="end"/>
      </w:r>
      <w:r w:rsidRPr="0050146A">
        <w:rPr>
          <w:rFonts w:hint="cs"/>
          <w:rtl/>
        </w:rPr>
        <w:t xml:space="preserve"> </w:t>
      </w:r>
      <w:r w:rsidRPr="0050146A">
        <w:rPr>
          <w:rStyle w:val="af8"/>
          <w:rFonts w:hint="cs"/>
          <w:rtl/>
        </w:rPr>
        <w:t>וברש"ש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Ref12290269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50146A">
        <w:rPr>
          <w:rStyle w:val="af6"/>
          <w:rFonts w:eastAsia="Guttman Hodes"/>
          <w:rtl/>
        </w:rPr>
        <w:fldChar w:fldCharType="end"/>
      </w:r>
      <w:r w:rsidRPr="0050146A">
        <w:rPr>
          <w:rFonts w:hint="cs"/>
          <w:rtl/>
        </w:rPr>
        <w:t xml:space="preserve"> דדייקו כן מדברי </w:t>
      </w:r>
      <w:r w:rsidRPr="0050146A">
        <w:rPr>
          <w:rStyle w:val="af8"/>
          <w:rFonts w:hint="cs"/>
          <w:rtl/>
        </w:rPr>
        <w:t>רש"י</w:t>
      </w:r>
      <w:r w:rsidRPr="0050146A">
        <w:rPr>
          <w:rFonts w:hint="cs"/>
          <w:rtl/>
        </w:rPr>
        <w:t xml:space="preserve">, אך יעוי' במה שביאר </w:t>
      </w:r>
      <w:r w:rsidRPr="0050146A">
        <w:rPr>
          <w:rStyle w:val="af8"/>
          <w:rFonts w:hint="cs"/>
          <w:rtl/>
        </w:rPr>
        <w:t>הריטב"א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Ref12290282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50146A">
        <w:rPr>
          <w:rStyle w:val="af6"/>
          <w:rFonts w:eastAsia="Guttman Hodes"/>
          <w:rtl/>
        </w:rPr>
        <w:fldChar w:fldCharType="end"/>
      </w:r>
      <w:r w:rsidRPr="0050146A">
        <w:rPr>
          <w:rFonts w:hint="cs"/>
          <w:rtl/>
        </w:rPr>
        <w:t xml:space="preserve"> בשם </w:t>
      </w:r>
      <w:r w:rsidRPr="0050146A">
        <w:rPr>
          <w:rStyle w:val="af8"/>
          <w:rFonts w:hint="cs"/>
          <w:rtl/>
        </w:rPr>
        <w:t>הרמב"ן</w:t>
      </w:r>
      <w:r w:rsidRPr="0050146A">
        <w:rPr>
          <w:rFonts w:hint="cs"/>
          <w:rtl/>
        </w:rPr>
        <w:t xml:space="preserve"> בדעת </w:t>
      </w:r>
      <w:r w:rsidRPr="0050146A">
        <w:rPr>
          <w:rStyle w:val="af8"/>
          <w:rFonts w:hint="cs"/>
          <w:rtl/>
        </w:rPr>
        <w:t>רש"י</w:t>
      </w:r>
      <w:r w:rsidRPr="0050146A">
        <w:rPr>
          <w:rFonts w:hint="cs"/>
          <w:rtl/>
        </w:rPr>
        <w:t xml:space="preserve">, ובמה שביארו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Ref12354837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Fonts w:hint="cs"/>
          <w:rtl/>
        </w:rPr>
        <w:t xml:space="preserve"> </w:t>
      </w:r>
      <w:r w:rsidRPr="0050146A">
        <w:rPr>
          <w:rStyle w:val="af8"/>
          <w:rFonts w:hint="cs"/>
          <w:rtl/>
        </w:rPr>
        <w:t>והלב אריה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Ref12354837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Fonts w:hint="cs"/>
          <w:rtl/>
        </w:rPr>
        <w:t xml:space="preserve"> </w:t>
      </w:r>
      <w:r w:rsidRPr="0050146A">
        <w:rPr>
          <w:rStyle w:val="af8"/>
          <w:rFonts w:hint="cs"/>
          <w:rtl/>
        </w:rPr>
        <w:t>והתפארת יעקב</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Ref12355145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50146A">
        <w:rPr>
          <w:rStyle w:val="af6"/>
          <w:rFonts w:eastAsia="Guttman Hodes"/>
          <w:rtl/>
        </w:rPr>
        <w:fldChar w:fldCharType="end"/>
      </w:r>
      <w:r w:rsidRPr="0050146A">
        <w:rPr>
          <w:rFonts w:hint="cs"/>
          <w:rtl/>
        </w:rPr>
        <w:t>.</w:t>
      </w:r>
      <w:bookmarkEnd w:id="4578"/>
    </w:p>
    <w:p w:rsidR="008B470A" w:rsidRPr="0050146A" w:rsidRDefault="008B470A" w:rsidP="008B470A">
      <w:pPr>
        <w:pStyle w:val="1"/>
      </w:pPr>
      <w:bookmarkStart w:id="4580" w:name="_Toc12359758"/>
      <w:bookmarkStart w:id="4581" w:name="_Toc12378938"/>
      <w:r w:rsidRPr="0050146A">
        <w:rPr>
          <w:rFonts w:hint="cs"/>
          <w:rtl/>
        </w:rPr>
        <w:t>קושיות התוס' על רש"י דטעם כל שהוא בטל אף בקדשים</w:t>
      </w:r>
      <w:bookmarkEnd w:id="4580"/>
      <w:bookmarkEnd w:id="4581"/>
    </w:p>
    <w:p w:rsidR="008B470A" w:rsidRPr="0050146A" w:rsidRDefault="008B470A" w:rsidP="008B470A">
      <w:pPr>
        <w:pStyle w:val="a2"/>
        <w:rPr>
          <w:rtl/>
        </w:rPr>
      </w:pPr>
      <w:bookmarkStart w:id="4582" w:name="_Toc12205430"/>
      <w:bookmarkStart w:id="4583" w:name="_Toc12221362"/>
      <w:bookmarkStart w:id="4584" w:name="_Toc12354366"/>
      <w:bookmarkStart w:id="4585" w:name="_Toc12359759"/>
      <w:bookmarkStart w:id="4586" w:name="_Toc12378939"/>
      <w:r w:rsidRPr="0050146A">
        <w:rPr>
          <w:rFonts w:hint="cs"/>
          <w:rtl/>
        </w:rPr>
        <w:t>דחיית הריטב"א דטע"כ משמע שיש בהיתר טעם כעיקר האיסור ולא מצינו בקדשים דאסור במשהו</w:t>
      </w:r>
      <w:bookmarkEnd w:id="4579"/>
      <w:bookmarkEnd w:id="4582"/>
      <w:bookmarkEnd w:id="4583"/>
      <w:bookmarkEnd w:id="4584"/>
      <w:bookmarkEnd w:id="4585"/>
      <w:bookmarkEnd w:id="4586"/>
    </w:p>
    <w:p w:rsidR="008B470A" w:rsidRPr="0050146A" w:rsidRDefault="008B470A" w:rsidP="009F44AF">
      <w:pPr>
        <w:pStyle w:val="a"/>
        <w:rPr>
          <w:rtl/>
        </w:rPr>
      </w:pPr>
      <w:r w:rsidRPr="0050146A">
        <w:rPr>
          <w:rFonts w:hint="cs"/>
          <w:rtl/>
        </w:rPr>
        <w:t xml:space="preserve">ודחה </w:t>
      </w:r>
      <w:r w:rsidRPr="0050146A">
        <w:rPr>
          <w:rStyle w:val="af8"/>
          <w:rFonts w:hint="cs"/>
          <w:rtl/>
        </w:rPr>
        <w:t xml:space="preserve">הריטב"א </w:t>
      </w:r>
      <w:r w:rsidRPr="0050146A">
        <w:rPr>
          <w:rStyle w:val="af6"/>
          <w:rFonts w:eastAsia="Guttman Hodes" w:hint="cs"/>
          <w:rtl/>
        </w:rPr>
        <w:t>(ד"ה רבא)</w:t>
      </w:r>
      <w:r w:rsidRPr="0050146A">
        <w:rPr>
          <w:rFonts w:hint="cs"/>
          <w:rtl/>
        </w:rPr>
        <w:t xml:space="preserve"> את ביאור </w:t>
      </w:r>
      <w:r w:rsidRPr="0050146A">
        <w:rPr>
          <w:rStyle w:val="af8"/>
          <w:rFonts w:hint="cs"/>
          <w:rtl/>
        </w:rPr>
        <w:t>התוס'</w:t>
      </w:r>
      <w:r w:rsidRPr="0050146A">
        <w:rPr>
          <w:rFonts w:hint="cs"/>
          <w:rtl/>
        </w:rPr>
        <w:t xml:space="preserve"> בדעת </w:t>
      </w:r>
      <w:r w:rsidRPr="0050146A">
        <w:rPr>
          <w:rStyle w:val="af8"/>
          <w:rFonts w:hint="cs"/>
          <w:rtl/>
        </w:rPr>
        <w:t>רש"י</w:t>
      </w:r>
      <w:r w:rsidRPr="0050146A">
        <w:rPr>
          <w:rFonts w:hint="cs"/>
          <w:rtl/>
        </w:rPr>
        <w:t xml:space="preserve"> דהא לשון רבא "טעם כעיקר", משמע שהאיסור נתן טעם בהיתר, כמו שיש טעם בעיקר ממשו של האיסור, ולא מצינו דבקדשים לרבנן עיקר האיסור אוסר במשהו אפילו במין במינו, ואדרבה רבנן נחלקו על ר"י במה שדרש מדם הפר דאיירי בקדשים.</w:t>
      </w:r>
    </w:p>
    <w:p w:rsidR="008B470A" w:rsidRPr="0050146A" w:rsidRDefault="008B470A" w:rsidP="008B470A">
      <w:pPr>
        <w:pStyle w:val="a2"/>
      </w:pPr>
      <w:bookmarkStart w:id="4587" w:name="_Toc11698087"/>
      <w:bookmarkStart w:id="4588" w:name="_Toc12205431"/>
      <w:bookmarkStart w:id="4589" w:name="_Toc12221363"/>
      <w:bookmarkStart w:id="4590" w:name="_Toc12354367"/>
      <w:bookmarkStart w:id="4591" w:name="_Toc12359760"/>
      <w:bookmarkStart w:id="4592" w:name="_Toc12378940"/>
      <w:r w:rsidRPr="0050146A">
        <w:rPr>
          <w:rFonts w:hint="cs"/>
          <w:rtl/>
        </w:rPr>
        <w:t>קושית התוס' והרא"ש והריטב"א על רש"י דאי איירי בטעם משהו אצ"ל דלרבא טעם כעיקר דרבנן</w:t>
      </w:r>
      <w:bookmarkEnd w:id="4587"/>
      <w:bookmarkEnd w:id="4588"/>
      <w:bookmarkEnd w:id="4589"/>
      <w:bookmarkEnd w:id="4590"/>
      <w:bookmarkEnd w:id="4591"/>
      <w:bookmarkEnd w:id="4592"/>
    </w:p>
    <w:p w:rsidR="008B470A" w:rsidRPr="0050146A" w:rsidRDefault="008B470A" w:rsidP="009F44AF">
      <w:pPr>
        <w:pStyle w:val="a"/>
        <w:rPr>
          <w:rtl/>
        </w:rPr>
      </w:pPr>
      <w:bookmarkStart w:id="4593" w:name="_Ref12354737"/>
      <w:r w:rsidRPr="0050146A">
        <w:rPr>
          <w:rStyle w:val="af8"/>
          <w:rFonts w:hint="cs"/>
          <w:rtl/>
        </w:rPr>
        <w:t>והתוס'</w:t>
      </w:r>
      <w:r w:rsidRPr="0050146A">
        <w:rPr>
          <w:rFonts w:hint="cs"/>
          <w:rtl/>
        </w:rPr>
        <w:t xml:space="preserve"> </w:t>
      </w:r>
      <w:r w:rsidRPr="0050146A">
        <w:rPr>
          <w:rStyle w:val="af6"/>
          <w:rFonts w:eastAsia="Guttman Hodes" w:hint="cs"/>
          <w:rtl/>
        </w:rPr>
        <w:t>(ד"ה רבא)</w:t>
      </w:r>
      <w:r w:rsidRPr="0050146A">
        <w:rPr>
          <w:rFont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(סי' ל"א)</w:t>
      </w:r>
      <w:r w:rsidRPr="0050146A">
        <w:rPr>
          <w:rFonts w:hint="cs"/>
          <w:rtl/>
        </w:rPr>
        <w:t xml:space="preserve"> הקשו על </w:t>
      </w:r>
      <w:r w:rsidRPr="0050146A">
        <w:rPr>
          <w:rStyle w:val="af8"/>
          <w:rFonts w:hint="cs"/>
          <w:rtl/>
        </w:rPr>
        <w:t>רש"י</w:t>
      </w:r>
      <w:r w:rsidRPr="0050146A">
        <w:rPr>
          <w:rFonts w:hint="cs"/>
          <w:rtl/>
        </w:rPr>
        <w:t xml:space="preserve"> דאי הכא לא איירי בטעם גמור, אלא בטעם כל שהוא, א"כ אמאי צריך לדחוק ולפרש שרבא ס"ל דכל טעם כעיקר בחולין הוא דרבנן ולא דאו', הא אפש"ל דדוקא בטעם כל שהוא אין איסור דאו'</w:t>
      </w:r>
      <w:bookmarkStart w:id="4594" w:name="_Toc11698088"/>
      <w:bookmarkEnd w:id="4593"/>
      <w:r w:rsidRPr="0050146A">
        <w:rPr>
          <w:rFonts w:hint="cs"/>
          <w:rtl/>
        </w:rPr>
        <w:t xml:space="preserve">, וכן הקשה </w:t>
      </w:r>
      <w:r w:rsidRPr="0050146A">
        <w:rPr>
          <w:rStyle w:val="af8"/>
          <w:rFonts w:hint="cs"/>
          <w:rtl/>
        </w:rPr>
        <w:t>הריטב"א</w:t>
      </w:r>
      <w:r w:rsidRPr="0050146A">
        <w:rPr>
          <w:rFonts w:hint="cs"/>
          <w:rtl/>
        </w:rPr>
        <w:t xml:space="preserve"> </w:t>
      </w:r>
      <w:r w:rsidRPr="0050146A">
        <w:rPr>
          <w:rStyle w:val="af6"/>
          <w:rFonts w:eastAsia="Guttman Hodes" w:hint="cs"/>
          <w:rtl/>
        </w:rPr>
        <w:t>(ד"ה רבא)</w:t>
      </w:r>
      <w:r w:rsidRPr="0050146A">
        <w:rPr>
          <w:rFonts w:hint="cs"/>
          <w:rtl/>
        </w:rPr>
        <w:t xml:space="preserve"> דאי כוונת </w:t>
      </w:r>
      <w:r w:rsidRPr="0050146A">
        <w:rPr>
          <w:rStyle w:val="af8"/>
          <w:rFonts w:hint="cs"/>
          <w:rtl/>
        </w:rPr>
        <w:t>רש"י</w:t>
      </w:r>
      <w:r w:rsidRPr="0050146A">
        <w:rPr>
          <w:rFonts w:hint="cs"/>
          <w:rtl/>
        </w:rPr>
        <w:t xml:space="preserve"> דטעם כעיקר היינו טעם כל שהוא, א"כ למה נדחק </w:t>
      </w:r>
      <w:r w:rsidRPr="0050146A">
        <w:rPr>
          <w:rStyle w:val="af8"/>
          <w:rFonts w:hint="cs"/>
          <w:rtl/>
        </w:rPr>
        <w:t>רש"י</w:t>
      </w:r>
      <w:r w:rsidRPr="0050146A">
        <w:rPr>
          <w:rFonts w:hint="cs"/>
          <w:rtl/>
        </w:rPr>
        <w:t xml:space="preserve"> לומר דבחולין טעם כעיקר אינו מדאו', הא בזרוע בשלה לא איירי בטעם גמור אלא בטעם כל שהוא, ואילו הגמ' לקמן </w:t>
      </w:r>
      <w:r w:rsidRPr="0050146A">
        <w:rPr>
          <w:rStyle w:val="af6"/>
          <w:rFonts w:eastAsia="Guttman Hodes" w:hint="cs"/>
          <w:rtl/>
        </w:rPr>
        <w:t>(קח.)</w:t>
      </w:r>
      <w:r w:rsidRPr="0050146A">
        <w:rPr>
          <w:rFonts w:hint="cs"/>
          <w:rtl/>
        </w:rPr>
        <w:t xml:space="preserve"> דילפינן טעם כעיקר מבשר בחלב, וריו"ח בע"ז </w:t>
      </w:r>
      <w:r w:rsidRPr="0050146A">
        <w:rPr>
          <w:rStyle w:val="af6"/>
          <w:rFonts w:eastAsia="Guttman Hodes" w:hint="cs"/>
          <w:rtl/>
        </w:rPr>
        <w:t xml:space="preserve">(סז.) </w:t>
      </w:r>
      <w:r w:rsidRPr="0050146A">
        <w:rPr>
          <w:rFonts w:hint="cs"/>
          <w:rtl/>
        </w:rPr>
        <w:t xml:space="preserve">דאמר דטעמו ולא ממשו אין לוקין עליו, וכן הגמ'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דילפינן ממשרת ומגיעולי עכו"ם דטעם כעיקר, בכולם איירי בטעם גמור, וא"כ אף בסוגיין צ"ל דאיירי בטעם גמור.</w:t>
      </w:r>
    </w:p>
    <w:p w:rsidR="008B470A" w:rsidRPr="0050146A" w:rsidRDefault="008B470A" w:rsidP="008B470A">
      <w:pPr>
        <w:pStyle w:val="a2"/>
        <w:rPr>
          <w:rtl/>
        </w:rPr>
      </w:pPr>
      <w:bookmarkStart w:id="4595" w:name="_Toc12359761"/>
      <w:bookmarkStart w:id="4596" w:name="_Toc12378941"/>
      <w:r w:rsidRPr="0050146A">
        <w:rPr>
          <w:rFonts w:hint="cs"/>
          <w:rtl/>
        </w:rPr>
        <w:t>תירוץ היש"ש דמדברי רבא משמע דאף טעם גמור אוסר בקדשים ומותר בחולין</w:t>
      </w:r>
      <w:bookmarkEnd w:id="4595"/>
      <w:bookmarkEnd w:id="4596"/>
    </w:p>
    <w:p w:rsidR="008B470A" w:rsidRPr="0050146A" w:rsidRDefault="008B470A" w:rsidP="009F44AF">
      <w:pPr>
        <w:pStyle w:val="a"/>
        <w:rPr>
          <w:rStyle w:val="afa"/>
          <w:rtl/>
        </w:rPr>
      </w:pPr>
      <w:r w:rsidRPr="0050146A">
        <w:rPr>
          <w:rStyle w:val="af8"/>
          <w:rFonts w:hint="cs"/>
          <w:rtl/>
        </w:rPr>
        <w:t>וביש"ש</w:t>
      </w:r>
      <w:r w:rsidRPr="0050146A">
        <w:rPr>
          <w:rFonts w:hint="cs"/>
          <w:rtl/>
        </w:rPr>
        <w:t xml:space="preserve"> </w:t>
      </w:r>
      <w:r w:rsidRPr="0050146A">
        <w:rPr>
          <w:rStyle w:val="af6"/>
          <w:rFonts w:eastAsia="Guttman Hodes" w:hint="cs"/>
          <w:rtl/>
        </w:rPr>
        <w:t>(בפרקין ריש סי' מ"ו)</w:t>
      </w:r>
      <w:r w:rsidRPr="0050146A">
        <w:rPr>
          <w:rFonts w:hint="cs"/>
          <w:rtl/>
        </w:rPr>
        <w:t xml:space="preserve"> כתב ליישב את דברי </w:t>
      </w:r>
      <w:r w:rsidRPr="0050146A">
        <w:rPr>
          <w:rStyle w:val="af8"/>
          <w:rFonts w:hint="cs"/>
          <w:rtl/>
        </w:rPr>
        <w:t>רש"י</w:t>
      </w:r>
      <w:r w:rsidRPr="0050146A">
        <w:rPr>
          <w:rFonts w:hint="cs"/>
          <w:rtl/>
        </w:rPr>
        <w:t xml:space="preserve">, דכיון דאמר רבא טעם כעיקר ולא אמר טעם כל שהוא, א"כ משמע דאיירי אף בטעם גמור, </w:t>
      </w:r>
      <w:r w:rsidRPr="0050146A">
        <w:rPr>
          <w:rStyle w:val="afa"/>
          <w:rFonts w:hint="cs"/>
          <w:rtl/>
        </w:rPr>
        <w:t>[וא"כ א"א לבאר ברבא דרק טעם כל שהוא אסור בקדשים, ומותר בחולין],</w:t>
      </w:r>
      <w:r w:rsidRPr="0050146A">
        <w:rPr>
          <w:rFonts w:hint="cs"/>
          <w:rtl/>
        </w:rPr>
        <w:t xml:space="preserve"> ולכן ביאר </w:t>
      </w:r>
      <w:r w:rsidRPr="0050146A">
        <w:rPr>
          <w:rStyle w:val="af8"/>
          <w:rFonts w:hint="cs"/>
          <w:rtl/>
        </w:rPr>
        <w:t>רש"י</w:t>
      </w:r>
      <w:r w:rsidRPr="0050146A">
        <w:rPr>
          <w:rFonts w:hint="cs"/>
          <w:rtl/>
        </w:rPr>
        <w:t xml:space="preserve"> דס"ל לרבא דבין טעם גמור ובין טעם כל שהוא אסור מדאו' בקדשים, ואילו בחולין מדאו' שניהם מותרים, ומדרבנן צריך שישים לחומרא בעלמא. </w:t>
      </w:r>
      <w:r w:rsidRPr="0050146A">
        <w:rPr>
          <w:rStyle w:val="afa"/>
          <w:rFonts w:hint="cs"/>
          <w:rtl/>
        </w:rPr>
        <w:t xml:space="preserve">[ולכן הוצרך </w:t>
      </w:r>
      <w:r w:rsidRPr="0050146A">
        <w:rPr>
          <w:rStyle w:val="affa"/>
          <w:rFonts w:hint="cs"/>
          <w:rtl/>
        </w:rPr>
        <w:t>רש"י</w:t>
      </w:r>
      <w:r w:rsidRPr="0050146A">
        <w:rPr>
          <w:rStyle w:val="afa"/>
          <w:rFonts w:hint="cs"/>
          <w:rtl/>
        </w:rPr>
        <w:t xml:space="preserve"> לדחוק ולפרש דס"ל לרבא דטעם כעיקר בחולין לאו דאו' וקרא דמשרת הוא אסמכתא, דרבא חילק בין קדשים לחולין, ומבואר ברבא דאיירי אף בטעם גמור].</w:t>
      </w:r>
    </w:p>
    <w:p w:rsidR="008B470A" w:rsidRPr="0050146A" w:rsidRDefault="008B470A" w:rsidP="008B470A">
      <w:pPr>
        <w:pStyle w:val="a2"/>
      </w:pPr>
      <w:bookmarkStart w:id="4597" w:name="_Toc12359762"/>
      <w:bookmarkStart w:id="4598" w:name="_Toc12378942"/>
      <w:r w:rsidRPr="0050146A">
        <w:rPr>
          <w:rFonts w:hint="cs"/>
          <w:rtl/>
        </w:rPr>
        <w:t>קושית התוס' והרא"ש דטעם כל שהוא מותר בקדשים והאיסור הוא רק בנתינת טעם</w:t>
      </w:r>
      <w:bookmarkEnd w:id="4597"/>
      <w:bookmarkEnd w:id="4598"/>
    </w:p>
    <w:p w:rsidR="008B470A" w:rsidRPr="0050146A" w:rsidRDefault="008B470A" w:rsidP="009F44AF">
      <w:pPr>
        <w:pStyle w:val="a"/>
        <w:rPr>
          <w:rtl/>
        </w:rPr>
      </w:pPr>
      <w:bookmarkStart w:id="4599" w:name="_Ref12374478"/>
      <w:r w:rsidRPr="0050146A">
        <w:rPr>
          <w:rFonts w:hint="cs"/>
          <w:rtl/>
        </w:rPr>
        <w:t xml:space="preserve">ועוד הקשו </w:t>
      </w:r>
      <w:r w:rsidRPr="0050146A">
        <w:rPr>
          <w:rStyle w:val="af8"/>
          <w:rFonts w:hint="cs"/>
          <w:rtl/>
        </w:rPr>
        <w:t xml:space="preserve">התוס' </w:t>
      </w:r>
      <w:r w:rsidRPr="0050146A">
        <w:rPr>
          <w:rStyle w:val="af6"/>
          <w:rFonts w:eastAsia="Guttman Hodes" w:hint="cs"/>
          <w:rtl/>
        </w:rPr>
        <w:t>(ד"ה רבא)</w:t>
      </w:r>
      <w:r w:rsidRPr="0050146A">
        <w:rPr>
          <w:rFont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(סי' ל"א)</w:t>
      </w:r>
      <w:r w:rsidRPr="0050146A">
        <w:rPr>
          <w:rFonts w:hint="cs"/>
          <w:rtl/>
        </w:rPr>
        <w:t xml:space="preserve"> דהרי בקדשים אין איסור כל שהוא אוסר, וכדאיתא בגמ' במנחות </w:t>
      </w:r>
      <w:r w:rsidRPr="0050146A">
        <w:rPr>
          <w:rStyle w:val="af6"/>
          <w:rFonts w:eastAsia="Guttman Hodes" w:hint="cs"/>
          <w:rtl/>
        </w:rPr>
        <w:t>(כב.)</w:t>
      </w:r>
      <w:r w:rsidRPr="0050146A">
        <w:rPr>
          <w:rFonts w:hint="cs"/>
          <w:rtl/>
        </w:rPr>
        <w:t xml:space="preserve"> דלרבנן רק בב' דברים שעלו על המזבח אין דין ביטול ואוסרים במשהו, ולר"י רק מין במינו אוסר במשהו אף בקדשים, וכן מבואר בגמ' בזבחים </w:t>
      </w:r>
      <w:r w:rsidRPr="0050146A">
        <w:rPr>
          <w:rStyle w:val="af6"/>
          <w:rFonts w:eastAsia="Guttman Hodes" w:hint="cs"/>
          <w:rtl/>
        </w:rPr>
        <w:t>(עח.)</w:t>
      </w:r>
      <w:r w:rsidRPr="0050146A">
        <w:rPr>
          <w:rFonts w:hint="cs"/>
          <w:rtl/>
        </w:rPr>
        <w:t xml:space="preserve"> דאמר ר"ל דפגול ונותר שהתערבו ואכל כזית מהם פטור, דלא יתכן שלא ירבה מין אחד על חבירו ויבטלנו, ואמרינן בגמ' בזבחים דמבואר מזה דנותן טעם ברוב אינו מדאו', ומוכח דאף כשיש נתינת טעם אין איסור מדאו' בקדשים, והרי בסוגיין איירי בקדשים שהם מין במינו דזרוע בשלה וחטאת הם מין במינו, וא"כ אין בהם איסור במשהו </w:t>
      </w:r>
      <w:r w:rsidRPr="0050146A">
        <w:rPr>
          <w:rStyle w:val="afa"/>
          <w:rFonts w:hint="cs"/>
          <w:rtl/>
        </w:rPr>
        <w:t>[לרבנן דר"י]</w:t>
      </w:r>
      <w:r w:rsidRPr="0050146A">
        <w:rPr>
          <w:rFonts w:hint="cs"/>
          <w:rtl/>
        </w:rPr>
        <w:t xml:space="preserve">, ועוד הביאו </w:t>
      </w:r>
      <w:r w:rsidRPr="0050146A">
        <w:rPr>
          <w:rStyle w:val="af8"/>
          <w:rFonts w:hint="cs"/>
          <w:rtl/>
        </w:rPr>
        <w:t>התוס'</w:t>
      </w:r>
      <w:r w:rsidRPr="0050146A">
        <w:rPr>
          <w:rFont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(סי' ל"א)</w:t>
      </w:r>
      <w:r w:rsidRPr="0050146A">
        <w:rPr>
          <w:rFonts w:hint="cs"/>
          <w:rtl/>
        </w:rPr>
        <w:t xml:space="preserve"> מהגמ' במנחות </w:t>
      </w:r>
      <w:r w:rsidRPr="0050146A">
        <w:rPr>
          <w:rStyle w:val="af6"/>
          <w:rFonts w:eastAsia="Guttman Hodes" w:hint="cs"/>
          <w:rtl/>
        </w:rPr>
        <w:t>(כג:)</w:t>
      </w:r>
      <w:r w:rsidRPr="0050146A">
        <w:rPr>
          <w:rFonts w:hint="cs"/>
          <w:rtl/>
        </w:rPr>
        <w:t xml:space="preserve"> דב' מנחות שנקמצו והתערבו דלרבנן דמין במינו בטיל, מהני ביטול ברוב, ומוכח דאין איסור בקדשים בכל שהוא</w:t>
      </w:r>
      <w:r w:rsidRPr="0050146A">
        <w:rPr>
          <w:rStyle w:val="aff8"/>
          <w:rFonts w:hint="cs"/>
          <w:color w:val="auto"/>
          <w:rtl/>
        </w:rPr>
        <w:t xml:space="preserve">, ועי' במה שתירץ </w:t>
      </w:r>
      <w:r w:rsidRPr="0050146A">
        <w:rPr>
          <w:rStyle w:val="af8"/>
          <w:rFonts w:hint="cs"/>
          <w:rtl/>
        </w:rPr>
        <w:t>היש"ש</w:t>
      </w:r>
      <w:r w:rsidRPr="0050146A">
        <w:rPr>
          <w:rFonts w:hint="cs"/>
          <w:rtl/>
        </w:rPr>
        <w:t xml:space="preserve"> </w:t>
      </w:r>
      <w:r w:rsidRPr="0050146A">
        <w:rPr>
          <w:rStyle w:val="af6"/>
          <w:rFonts w:eastAsia="Guttman Hodes" w:hint="cs"/>
          <w:rtl/>
        </w:rPr>
        <w:t>(בפרקין ריש סי' מ"ו)</w:t>
      </w:r>
      <w:r w:rsidRPr="0050146A">
        <w:rPr>
          <w:rFonts w:hint="cs"/>
          <w:rtl/>
        </w:rPr>
        <w:t xml:space="preserve"> </w:t>
      </w:r>
      <w:r w:rsidRPr="0050146A">
        <w:rPr>
          <w:rStyle w:val="aff8"/>
          <w:rFonts w:hint="cs"/>
          <w:color w:val="auto"/>
          <w:rtl/>
        </w:rPr>
        <w:t>את הקושיה מהגמ' בזבחים</w:t>
      </w:r>
      <w:r w:rsidRPr="0050146A">
        <w:rPr>
          <w:rFonts w:hint="cs"/>
          <w:rtl/>
        </w:rPr>
        <w:t>.</w:t>
      </w:r>
      <w:bookmarkEnd w:id="4599"/>
    </w:p>
    <w:p w:rsidR="008B470A" w:rsidRPr="0050146A" w:rsidRDefault="008B470A" w:rsidP="008B470A">
      <w:pPr>
        <w:pStyle w:val="a2"/>
        <w:rPr>
          <w:rtl/>
        </w:rPr>
      </w:pPr>
      <w:bookmarkStart w:id="4600" w:name="_Toc12359763"/>
      <w:bookmarkStart w:id="4601" w:name="_Toc12378943"/>
      <w:r w:rsidRPr="0050146A">
        <w:rPr>
          <w:rFonts w:hint="cs"/>
          <w:rtl/>
        </w:rPr>
        <w:t>דברי האבנ"ז דס"ל לרש"י דבקדשים אמרינן רואים את מין במינו כאילו הוא מין בשאינו מינו</w:t>
      </w:r>
      <w:bookmarkEnd w:id="4600"/>
      <w:bookmarkEnd w:id="4601"/>
    </w:p>
    <w:p w:rsidR="008B470A" w:rsidRPr="0050146A" w:rsidRDefault="008B470A" w:rsidP="009F44AF">
      <w:pPr>
        <w:pStyle w:val="a"/>
        <w:rPr>
          <w:rtl/>
        </w:rPr>
      </w:pPr>
      <w:r w:rsidRPr="0050146A">
        <w:rPr>
          <w:rStyle w:val="af8"/>
          <w:rFonts w:hint="cs"/>
          <w:rtl/>
        </w:rPr>
        <w:t>והאבנ"ז</w:t>
      </w:r>
      <w:r w:rsidRPr="0050146A">
        <w:rPr>
          <w:rFonts w:hint="cs"/>
          <w:rtl/>
        </w:rPr>
        <w:t xml:space="preserve"> </w:t>
      </w:r>
      <w:r w:rsidRPr="0050146A">
        <w:rPr>
          <w:rStyle w:val="af6"/>
          <w:rFonts w:eastAsia="Guttman Hodes" w:hint="cs"/>
          <w:rtl/>
        </w:rPr>
        <w:t>(יו"ד סי' פ"ד ב')</w:t>
      </w:r>
      <w:r w:rsidRPr="0050146A">
        <w:rPr>
          <w:rFonts w:hint="cs"/>
          <w:rtl/>
        </w:rPr>
        <w:t xml:space="preserve"> תירץ את קושית </w:t>
      </w:r>
      <w:r w:rsidRPr="0050146A">
        <w:rPr>
          <w:rStyle w:val="af8"/>
          <w:rFonts w:hint="cs"/>
          <w:rtl/>
        </w:rPr>
        <w:t>התוס'</w:t>
      </w:r>
      <w:r w:rsidRPr="0050146A">
        <w:rPr>
          <w:rFonts w:hint="cs"/>
          <w:rtl/>
        </w:rPr>
        <w:t xml:space="preserve"> דבהמשך הגמ' בזבחים מבואר דלדעת ר"ל אמרינן בקדשים דרואים את מינו כאילו אינו מינו, עיי"ש בדבריו, וכתב </w:t>
      </w:r>
      <w:r w:rsidRPr="0050146A">
        <w:rPr>
          <w:rStyle w:val="af8"/>
          <w:rFonts w:hint="cs"/>
          <w:rtl/>
        </w:rPr>
        <w:t>האבנ"ז</w:t>
      </w:r>
      <w:r w:rsidRPr="0050146A">
        <w:rPr>
          <w:rFonts w:hint="cs"/>
          <w:rtl/>
        </w:rPr>
        <w:t xml:space="preserve"> דא"כ מבואר היאך ילפינן מזרוע בשלה דהוא מין במינו למין בשאינו מינו, ועיי"ש במה שתירץ </w:t>
      </w:r>
      <w:r w:rsidRPr="0050146A">
        <w:rPr>
          <w:rStyle w:val="af8"/>
          <w:rFonts w:hint="cs"/>
          <w:rtl/>
        </w:rPr>
        <w:t>האבנ"ז</w:t>
      </w:r>
      <w:r w:rsidRPr="0050146A">
        <w:rPr>
          <w:rFonts w:hint="cs"/>
          <w:rtl/>
        </w:rPr>
        <w:t xml:space="preserve"> לפי"ז את כל קושיות </w:t>
      </w:r>
      <w:r w:rsidRPr="0050146A">
        <w:rPr>
          <w:rStyle w:val="af8"/>
          <w:rFonts w:hint="cs"/>
          <w:rtl/>
        </w:rPr>
        <w:t>התוס'</w:t>
      </w:r>
      <w:r w:rsidRPr="0050146A">
        <w:rPr>
          <w:rFonts w:hint="cs"/>
          <w:rtl/>
        </w:rPr>
        <w:t xml:space="preserve"> על </w:t>
      </w:r>
      <w:r w:rsidRPr="0050146A">
        <w:rPr>
          <w:rStyle w:val="af8"/>
          <w:rFonts w:hint="cs"/>
          <w:rtl/>
        </w:rPr>
        <w:t>רש"י</w:t>
      </w:r>
      <w:r w:rsidRPr="0050146A">
        <w:rPr>
          <w:rFonts w:hint="cs"/>
          <w:rtl/>
        </w:rPr>
        <w:t>.</w:t>
      </w:r>
    </w:p>
    <w:p w:rsidR="008B470A" w:rsidRPr="0050146A" w:rsidRDefault="008B470A" w:rsidP="008B470A">
      <w:pPr>
        <w:pStyle w:val="a2"/>
        <w:rPr>
          <w:rtl/>
        </w:rPr>
      </w:pPr>
      <w:bookmarkStart w:id="4602" w:name="_Toc12359764"/>
      <w:bookmarkStart w:id="4603" w:name="_Toc12378944"/>
      <w:r w:rsidRPr="0050146A">
        <w:rPr>
          <w:rFonts w:hint="cs"/>
          <w:rtl/>
        </w:rPr>
        <w:t>קושית הרא"ש דבקדשים בליעת הכלי אוסרת רק בנותן טעם ולא במשהו</w:t>
      </w:r>
      <w:bookmarkEnd w:id="4602"/>
      <w:bookmarkEnd w:id="4603"/>
    </w:p>
    <w:p w:rsidR="008B470A" w:rsidRPr="0050146A" w:rsidRDefault="008B470A" w:rsidP="009F44AF">
      <w:pPr>
        <w:pStyle w:val="a"/>
        <w:rPr>
          <w:rStyle w:val="aff8"/>
          <w:color w:val="auto"/>
          <w:rtl/>
        </w:rPr>
      </w:pPr>
      <w:bookmarkStart w:id="4604" w:name="_Ref12352066"/>
      <w:r w:rsidRPr="0050146A">
        <w:rPr>
          <w:rStyle w:val="aff8"/>
          <w:rFonts w:hint="cs"/>
          <w:color w:val="auto"/>
          <w:rtl/>
        </w:rPr>
        <w:t xml:space="preserve">ועוד הקשה </w:t>
      </w:r>
      <w:r w:rsidRPr="0050146A">
        <w:rPr>
          <w:rStyle w:val="af8"/>
          <w:rFonts w:hint="cs"/>
          <w:rtl/>
        </w:rPr>
        <w:t>הרא"ש</w:t>
      </w:r>
      <w:r w:rsidRPr="0050146A">
        <w:rPr>
          <w:rStyle w:val="aff8"/>
          <w:rFonts w:hint="cs"/>
          <w:color w:val="auto"/>
          <w:rtl/>
        </w:rPr>
        <w:t xml:space="preserve"> </w:t>
      </w:r>
      <w:r w:rsidRPr="0050146A">
        <w:rPr>
          <w:rStyle w:val="af6"/>
          <w:rFonts w:eastAsia="Guttman Hodes" w:hint="cs"/>
          <w:rtl/>
        </w:rPr>
        <w:t>(סי' ל"א)</w:t>
      </w:r>
      <w:r w:rsidRPr="0050146A">
        <w:rPr>
          <w:rFonts w:hint="cs"/>
          <w:rtl/>
        </w:rPr>
        <w:t xml:space="preserve"> </w:t>
      </w:r>
      <w:r w:rsidRPr="0050146A">
        <w:rPr>
          <w:rStyle w:val="af8"/>
          <w:rFonts w:hint="cs"/>
          <w:rtl/>
        </w:rPr>
        <w:t xml:space="preserve">ובתוס' הרא"ש </w:t>
      </w:r>
      <w:r w:rsidRPr="0050146A">
        <w:rPr>
          <w:rStyle w:val="af6"/>
          <w:rFonts w:eastAsia="Guttman Hodes" w:hint="cs"/>
          <w:rtl/>
        </w:rPr>
        <w:t xml:space="preserve">(ד"ה לא נצרכה) </w:t>
      </w:r>
      <w:r w:rsidRPr="0050146A">
        <w:rPr>
          <w:rStyle w:val="aff8"/>
          <w:rFonts w:hint="cs"/>
          <w:color w:val="auto"/>
          <w:rtl/>
        </w:rPr>
        <w:t xml:space="preserve">דהא איתא בגמ' בזבחים </w:t>
      </w:r>
      <w:r w:rsidRPr="0050146A">
        <w:rPr>
          <w:rStyle w:val="af6"/>
          <w:rFonts w:eastAsia="Guttman Hodes" w:hint="cs"/>
          <w:rtl/>
        </w:rPr>
        <w:t xml:space="preserve">(צז.) </w:t>
      </w:r>
      <w:r w:rsidRPr="0050146A">
        <w:rPr>
          <w:rStyle w:val="aff8"/>
          <w:rFonts w:hint="cs"/>
          <w:color w:val="auto"/>
          <w:rtl/>
        </w:rPr>
        <w:t xml:space="preserve">ובע"ז </w:t>
      </w:r>
      <w:r w:rsidRPr="0050146A">
        <w:rPr>
          <w:rStyle w:val="af6"/>
          <w:rFonts w:eastAsia="Guttman Hodes" w:hint="cs"/>
          <w:rtl/>
        </w:rPr>
        <w:t xml:space="preserve">(עו.) </w:t>
      </w:r>
      <w:r w:rsidRPr="0050146A">
        <w:rPr>
          <w:rStyle w:val="aff8"/>
          <w:rFonts w:hint="cs"/>
          <w:color w:val="auto"/>
          <w:rtl/>
        </w:rPr>
        <w:t xml:space="preserve">דבישול של כל יום נעשה גיעול לבישול של אתמול, ולכן מותר לבשל חטאת בכלי ואח"כ לבשל בו שלמים, דבליעת החטאת נפלטת בבישול השלמים, ולא בא הכלי לידי נותר, וכתב </w:t>
      </w:r>
      <w:r w:rsidRPr="0050146A">
        <w:rPr>
          <w:rStyle w:val="af8"/>
          <w:rFonts w:hint="cs"/>
          <w:rtl/>
        </w:rPr>
        <w:t xml:space="preserve"> הרא"ש</w:t>
      </w:r>
      <w:r w:rsidRPr="0050146A">
        <w:rPr>
          <w:rStyle w:val="aff8"/>
          <w:rFonts w:hint="cs"/>
          <w:color w:val="auto"/>
          <w:rtl/>
        </w:rPr>
        <w:t xml:space="preserve"> דבשלמא אי האיסור בקדשים הוא רק בנותן טעם ולא במשהו, א"כ במין במינו דמדאו' בטל ברוב, העמידו את כל המקדש על הדין דאו', </w:t>
      </w:r>
      <w:r w:rsidRPr="0050146A">
        <w:rPr>
          <w:rStyle w:val="afa"/>
          <w:rFonts w:hint="cs"/>
          <w:rtl/>
        </w:rPr>
        <w:t xml:space="preserve">[וכדכתבו </w:t>
      </w:r>
      <w:r w:rsidRPr="0050146A">
        <w:rPr>
          <w:rStyle w:val="affa"/>
          <w:rFonts w:hint="cs"/>
          <w:rtl/>
        </w:rPr>
        <w:t>התוס' לקמן</w:t>
      </w:r>
      <w:r w:rsidRPr="0050146A">
        <w:rPr>
          <w:rStyle w:val="afa"/>
          <w:rFonts w:hint="cs"/>
          <w:rtl/>
        </w:rPr>
        <w:t xml:space="preserve"> </w:t>
      </w:r>
      <w:r w:rsidRPr="0050146A">
        <w:rPr>
          <w:rStyle w:val="aff6"/>
          <w:rFonts w:hint="cs"/>
          <w:rtl/>
        </w:rPr>
        <w:t>(קיב: ד"ה הלכתא)</w:t>
      </w:r>
      <w:r w:rsidRPr="0050146A">
        <w:rPr>
          <w:rStyle w:val="afa"/>
          <w:rFonts w:hint="cs"/>
          <w:rtl/>
        </w:rPr>
        <w:t>],</w:t>
      </w:r>
      <w:r w:rsidRPr="0050146A">
        <w:rPr>
          <w:rStyle w:val="aff8"/>
          <w:rFonts w:hint="cs"/>
          <w:color w:val="auto"/>
          <w:rtl/>
        </w:rPr>
        <w:t xml:space="preserve"> אבל אי נימא דבקדשים האיסור במין בשאינו מינו הוא במשהו, א"כ כיון שמבשל חטאת ואח"כ שלמים, הוא ממעט את זמן אכילת השלמים ע"י </w:t>
      </w:r>
      <w:r w:rsidRPr="0050146A">
        <w:rPr>
          <w:rStyle w:val="aff8"/>
          <w:rFonts w:hint="cs"/>
          <w:color w:val="auto"/>
          <w:rtl/>
        </w:rPr>
        <w:lastRenderedPageBreak/>
        <w:t>שבלוע בה משהו מהחטאת, [</w:t>
      </w:r>
      <w:r w:rsidRPr="0050146A">
        <w:rPr>
          <w:rStyle w:val="afa"/>
          <w:rFonts w:hint="cs"/>
          <w:rtl/>
        </w:rPr>
        <w:t xml:space="preserve">דחטאת ליום ולילה, ושלמים לב' ימים ולילה אחד], </w:t>
      </w:r>
      <w:r w:rsidRPr="0050146A">
        <w:rPr>
          <w:rStyle w:val="aff8"/>
          <w:rFonts w:hint="cs"/>
          <w:color w:val="auto"/>
          <w:rtl/>
        </w:rPr>
        <w:t xml:space="preserve">וכן נאסרים השלמים לישראל ולנשי הכהנים ועבדים ונפסלים ביוצא, וא"כ היאך מותר לבשלם באותו הכלי, ועי' במה שתירץ </w:t>
      </w:r>
      <w:r w:rsidRPr="0050146A">
        <w:rPr>
          <w:rStyle w:val="af8"/>
          <w:rFonts w:hint="cs"/>
          <w:rtl/>
        </w:rPr>
        <w:t>הראב"ד</w:t>
      </w:r>
      <w:r w:rsidRPr="0050146A">
        <w:rPr>
          <w:rStyle w:val="aff8"/>
          <w:rFonts w:hint="cs"/>
          <w:color w:val="auto"/>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Ref12352099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50146A">
        <w:rPr>
          <w:rStyle w:val="af6"/>
          <w:rFonts w:eastAsia="Guttman Hodes"/>
          <w:rtl/>
        </w:rPr>
        <w:fldChar w:fldCharType="end"/>
      </w:r>
      <w:r w:rsidRPr="0050146A">
        <w:rPr>
          <w:rStyle w:val="aff8"/>
          <w:rFonts w:hint="cs"/>
          <w:color w:val="auto"/>
          <w:rtl/>
        </w:rPr>
        <w:t xml:space="preserve"> את הקושיה מהגמ' בזבחים, ובמה שתירץ </w:t>
      </w:r>
      <w:r w:rsidRPr="0050146A">
        <w:rPr>
          <w:rStyle w:val="af8"/>
          <w:rFonts w:hint="cs"/>
          <w:rtl/>
        </w:rPr>
        <w:t>היש"ש</w:t>
      </w:r>
      <w:r w:rsidRPr="0050146A">
        <w:rPr>
          <w:rFonts w:hint="cs"/>
          <w:rtl/>
        </w:rPr>
        <w:t xml:space="preserve"> </w:t>
      </w:r>
      <w:r w:rsidRPr="0050146A">
        <w:rPr>
          <w:rStyle w:val="af6"/>
          <w:rFonts w:eastAsia="Guttman Hodes" w:hint="cs"/>
          <w:rtl/>
        </w:rPr>
        <w:t>(בפרקין ריש סי' מ"ו)</w:t>
      </w:r>
      <w:r w:rsidRPr="0050146A">
        <w:rPr>
          <w:rStyle w:val="aff8"/>
          <w:rFonts w:hint="cs"/>
          <w:color w:val="auto"/>
          <w:rtl/>
        </w:rPr>
        <w:t>.</w:t>
      </w:r>
      <w:bookmarkEnd w:id="4604"/>
    </w:p>
    <w:p w:rsidR="008B470A" w:rsidRPr="0050146A" w:rsidRDefault="008B470A" w:rsidP="008B470A">
      <w:pPr>
        <w:pStyle w:val="a2"/>
      </w:pPr>
      <w:bookmarkStart w:id="4605" w:name="_Toc12359765"/>
      <w:bookmarkStart w:id="4606" w:name="_Toc12378945"/>
      <w:r w:rsidRPr="0050146A">
        <w:rPr>
          <w:rFonts w:hint="cs"/>
          <w:rtl/>
        </w:rPr>
        <w:t>דברי הראש יוסף דברבא מבואר דמין במינו בקדשים אינו בטל ברוב וכן דעת הרמב"ם</w:t>
      </w:r>
      <w:bookmarkEnd w:id="4605"/>
      <w:bookmarkEnd w:id="4606"/>
    </w:p>
    <w:p w:rsidR="008B470A" w:rsidRPr="0050146A" w:rsidRDefault="008B470A" w:rsidP="009F44AF">
      <w:pPr>
        <w:pStyle w:val="a"/>
        <w:rPr>
          <w:rStyle w:val="aff8"/>
          <w:color w:val="auto"/>
          <w:rtl/>
        </w:rPr>
      </w:pPr>
      <w:r w:rsidRPr="0050146A">
        <w:rPr>
          <w:rStyle w:val="aff8"/>
          <w:rFonts w:hint="cs"/>
          <w:color w:val="auto"/>
          <w:rtl/>
        </w:rPr>
        <w:t xml:space="preserve">ויעוי' בדברי </w:t>
      </w:r>
      <w:r w:rsidRPr="0050146A">
        <w:rPr>
          <w:rStyle w:val="af8"/>
          <w:rFonts w:hint="cs"/>
          <w:rtl/>
        </w:rPr>
        <w:t>הראש יוסף לקמן</w:t>
      </w:r>
      <w:r w:rsidRPr="0050146A">
        <w:rPr>
          <w:rStyle w:val="aff8"/>
          <w:rFonts w:hint="cs"/>
          <w:color w:val="auto"/>
          <w:rtl/>
        </w:rPr>
        <w:t xml:space="preserve"> </w:t>
      </w:r>
      <w:r w:rsidRPr="0050146A">
        <w:rPr>
          <w:rStyle w:val="af6"/>
          <w:rFonts w:eastAsia="Guttman Hodes" w:hint="cs"/>
          <w:rtl/>
        </w:rPr>
        <w:t>(קיב. ד"ה ודע)</w:t>
      </w:r>
      <w:r w:rsidRPr="0050146A">
        <w:rPr>
          <w:rStyle w:val="aff8"/>
          <w:rFonts w:hint="cs"/>
          <w:color w:val="auto"/>
          <w:rtl/>
        </w:rPr>
        <w:t xml:space="preserve"> דכתב דמבואר בדברי </w:t>
      </w:r>
      <w:r w:rsidRPr="0050146A">
        <w:rPr>
          <w:rStyle w:val="af8"/>
          <w:rFonts w:hint="cs"/>
          <w:rtl/>
        </w:rPr>
        <w:t>הרא"ש</w:t>
      </w:r>
      <w:r w:rsidRPr="0050146A">
        <w:rPr>
          <w:rStyle w:val="aff8"/>
          <w:rFonts w:hint="cs"/>
          <w:color w:val="auto"/>
          <w:rtl/>
        </w:rPr>
        <w:t xml:space="preserve"> </w:t>
      </w:r>
      <w:r w:rsidRPr="0050146A">
        <w:rPr>
          <w:rStyle w:val="afa"/>
          <w:rFonts w:hint="cs"/>
          <w:rtl/>
        </w:rPr>
        <w:t>[</w:t>
      </w:r>
      <w:r w:rsidRPr="0050146A">
        <w:rPr>
          <w:rStyle w:val="affa"/>
          <w:rFonts w:hint="cs"/>
          <w:rtl/>
        </w:rPr>
        <w:t>והתוס' לקמן</w:t>
      </w:r>
      <w:r w:rsidRPr="0050146A">
        <w:rPr>
          <w:rStyle w:val="afa"/>
          <w:rFonts w:hint="cs"/>
          <w:rtl/>
        </w:rPr>
        <w:t xml:space="preserve"> </w:t>
      </w:r>
      <w:r w:rsidRPr="0050146A">
        <w:rPr>
          <w:rStyle w:val="aff6"/>
          <w:rFonts w:hint="cs"/>
          <w:rtl/>
        </w:rPr>
        <w:t>(קיב: ד"ה והלכתא)</w:t>
      </w:r>
      <w:r w:rsidRPr="0050146A">
        <w:rPr>
          <w:rStyle w:val="afa"/>
          <w:rFonts w:hint="cs"/>
          <w:rtl/>
        </w:rPr>
        <w:t>]</w:t>
      </w:r>
      <w:r w:rsidRPr="0050146A">
        <w:rPr>
          <w:rStyle w:val="aff8"/>
          <w:rFonts w:hint="cs"/>
          <w:color w:val="auto"/>
          <w:rtl/>
        </w:rPr>
        <w:t xml:space="preserve"> דבקדשים במין במינו מדאו' מהני ביטול ברוב, ובכלי המקדש העמידו על הדין דאו', ודחה </w:t>
      </w:r>
      <w:r w:rsidRPr="0050146A">
        <w:rPr>
          <w:rStyle w:val="af8"/>
          <w:rFonts w:hint="cs"/>
          <w:rtl/>
        </w:rPr>
        <w:t xml:space="preserve">הראש יוסף </w:t>
      </w:r>
      <w:r w:rsidRPr="0050146A">
        <w:rPr>
          <w:rStyle w:val="aff8"/>
          <w:rFonts w:hint="cs"/>
          <w:color w:val="auto"/>
          <w:rtl/>
        </w:rPr>
        <w:t xml:space="preserve">דהא בדברי רבא בסוגיין דכתב דטעם כעיקר אסור בקדשים, מבואר דמין במינו בקדשים אינו בטל ברוב, </w:t>
      </w:r>
      <w:r w:rsidRPr="0050146A">
        <w:rPr>
          <w:rStyle w:val="afa"/>
          <w:rFonts w:hint="cs"/>
          <w:rtl/>
        </w:rPr>
        <w:t xml:space="preserve">[וכדביאר </w:t>
      </w:r>
      <w:r w:rsidRPr="0050146A">
        <w:rPr>
          <w:rStyle w:val="affa"/>
          <w:rFonts w:hint="cs"/>
          <w:rtl/>
        </w:rPr>
        <w:t>הראש יוסף</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Ref12356963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טו)</w:t>
      </w:r>
      <w:r w:rsidRPr="0050146A">
        <w:rPr>
          <w:rStyle w:val="aff6"/>
          <w:rtl/>
        </w:rPr>
        <w:fldChar w:fldCharType="end"/>
      </w:r>
      <w:r w:rsidRPr="0050146A">
        <w:rPr>
          <w:rStyle w:val="afa"/>
          <w:rFonts w:hint="cs"/>
          <w:rtl/>
        </w:rPr>
        <w:t xml:space="preserve"> בסוגיין], </w:t>
      </w:r>
      <w:r w:rsidRPr="0050146A">
        <w:rPr>
          <w:rStyle w:val="aff8"/>
          <w:rFonts w:hint="cs"/>
          <w:color w:val="auto"/>
          <w:rtl/>
        </w:rPr>
        <w:t xml:space="preserve">וע"ע </w:t>
      </w:r>
      <w:r w:rsidRPr="0050146A">
        <w:rPr>
          <w:rStyle w:val="af8"/>
          <w:rFonts w:hint="cs"/>
          <w:rtl/>
        </w:rPr>
        <w:t>בראש יוסף לקמן</w:t>
      </w:r>
      <w:r w:rsidRPr="0050146A">
        <w:rPr>
          <w:rStyle w:val="aff8"/>
          <w:rFonts w:hint="cs"/>
          <w:color w:val="auto"/>
          <w:rtl/>
        </w:rPr>
        <w:t xml:space="preserve"> דכתב דכן מבואר מדברי </w:t>
      </w:r>
      <w:r w:rsidRPr="0050146A">
        <w:rPr>
          <w:rStyle w:val="af8"/>
          <w:rFonts w:hint="cs"/>
          <w:rtl/>
        </w:rPr>
        <w:t>הרמב"ם</w:t>
      </w:r>
      <w:r w:rsidRPr="0050146A">
        <w:rPr>
          <w:rStyle w:val="aff8"/>
          <w:rFonts w:hint="cs"/>
          <w:color w:val="auto"/>
          <w:rtl/>
        </w:rPr>
        <w:t xml:space="preserve"> </w:t>
      </w:r>
      <w:r w:rsidRPr="0050146A">
        <w:rPr>
          <w:rStyle w:val="af6"/>
          <w:rFonts w:eastAsia="Guttman Hodes" w:hint="cs"/>
          <w:rtl/>
        </w:rPr>
        <w:t>(מעשה הקרבנות פ"ח הי"ח)</w:t>
      </w:r>
      <w:r w:rsidRPr="0050146A">
        <w:rPr>
          <w:rStyle w:val="aff8"/>
          <w:rFonts w:hint="cs"/>
          <w:color w:val="auto"/>
          <w:rtl/>
        </w:rPr>
        <w:t>.</w:t>
      </w:r>
    </w:p>
    <w:p w:rsidR="008B470A" w:rsidRPr="0050146A" w:rsidRDefault="008B470A" w:rsidP="008B470A">
      <w:pPr>
        <w:pStyle w:val="a2"/>
        <w:rPr>
          <w:rtl/>
        </w:rPr>
      </w:pPr>
      <w:bookmarkStart w:id="4607" w:name="_Toc11698089"/>
      <w:bookmarkStart w:id="4608" w:name="_Toc12205433"/>
      <w:bookmarkStart w:id="4609" w:name="_Toc12221365"/>
      <w:bookmarkStart w:id="4610" w:name="_Toc12354369"/>
      <w:bookmarkStart w:id="4611" w:name="_Toc12359766"/>
      <w:bookmarkStart w:id="4612" w:name="_Toc12378946"/>
      <w:bookmarkEnd w:id="4594"/>
      <w:r w:rsidRPr="0050146A">
        <w:rPr>
          <w:rFonts w:hint="cs"/>
          <w:rtl/>
        </w:rPr>
        <w:t>קושית הראב"ן דאי רבא איירי בטעם משהו א"כ אין חילוק בין תירוץ אביי לתירוץ רבא</w:t>
      </w:r>
      <w:bookmarkEnd w:id="4607"/>
      <w:bookmarkEnd w:id="4608"/>
      <w:bookmarkEnd w:id="4609"/>
      <w:bookmarkEnd w:id="4610"/>
      <w:bookmarkEnd w:id="4611"/>
      <w:bookmarkEnd w:id="4612"/>
    </w:p>
    <w:p w:rsidR="008B470A" w:rsidRPr="0050146A" w:rsidRDefault="008B470A" w:rsidP="009F44AF">
      <w:pPr>
        <w:pStyle w:val="a"/>
        <w:rPr>
          <w:rtl/>
        </w:rPr>
      </w:pPr>
      <w:r w:rsidRPr="0050146A">
        <w:rPr>
          <w:rFonts w:hint="cs"/>
          <w:rtl/>
        </w:rPr>
        <w:t xml:space="preserve">ועוד הקשה </w:t>
      </w:r>
      <w:r w:rsidRPr="0050146A">
        <w:rPr>
          <w:rStyle w:val="af8"/>
          <w:rFonts w:hint="cs"/>
          <w:rtl/>
        </w:rPr>
        <w:t>הראב"ן</w:t>
      </w:r>
      <w:r w:rsidRPr="0050146A">
        <w:rPr>
          <w:rFonts w:hint="cs"/>
          <w:rtl/>
        </w:rPr>
        <w:t xml:space="preserve"> </w:t>
      </w:r>
      <w:r w:rsidRPr="0050146A">
        <w:rPr>
          <w:rStyle w:val="af6"/>
          <w:rFonts w:eastAsia="Guttman Hodes" w:hint="cs"/>
          <w:rtl/>
        </w:rPr>
        <w:t xml:space="preserve">(בתשו' בסוף הספר, בתשובת רבינו אפרים ד"ה ומה שהבאת, [מהדו' ישנה סוף עמ' דש., מהדו' חד' ח"ג סי' תרי"ג סוף עמ' תת"כ], הועתק בקובץ שיטות קמאי חולין ח"ג עמ' </w:t>
      </w:r>
      <w:r w:rsidRPr="0050146A">
        <w:rPr>
          <w:rStyle w:val="af6"/>
          <w:rFonts w:eastAsia="Guttman Hodes"/>
          <w:rtl/>
        </w:rPr>
        <w:t>ב' אלף רצ</w:t>
      </w:r>
      <w:r w:rsidRPr="0050146A">
        <w:rPr>
          <w:rStyle w:val="af6"/>
          <w:rFonts w:eastAsia="Guttman Hodes" w:hint="cs"/>
          <w:rtl/>
        </w:rPr>
        <w:t>"ו)</w:t>
      </w:r>
      <w:r w:rsidRPr="0050146A">
        <w:rPr>
          <w:rFonts w:hint="cs"/>
          <w:rtl/>
        </w:rPr>
        <w:t xml:space="preserve"> על </w:t>
      </w:r>
      <w:r w:rsidRPr="0050146A">
        <w:rPr>
          <w:rStyle w:val="af8"/>
          <w:rFonts w:hint="cs"/>
          <w:rtl/>
        </w:rPr>
        <w:t>רש"י</w:t>
      </w:r>
      <w:r w:rsidRPr="0050146A">
        <w:rPr>
          <w:rFonts w:hint="cs"/>
          <w:rtl/>
        </w:rPr>
        <w:t xml:space="preserve"> </w:t>
      </w:r>
      <w:r w:rsidRPr="0050146A">
        <w:rPr>
          <w:rStyle w:val="afa"/>
          <w:rFonts w:hint="cs"/>
          <w:rtl/>
        </w:rPr>
        <w:t xml:space="preserve">[על דברי </w:t>
      </w:r>
      <w:r w:rsidRPr="0050146A">
        <w:rPr>
          <w:rStyle w:val="affa"/>
          <w:rFonts w:hint="cs"/>
          <w:rtl/>
        </w:rPr>
        <w:t>רבינו אפרים</w:t>
      </w:r>
      <w:r w:rsidRPr="0050146A">
        <w:rPr>
          <w:rStyle w:val="afa"/>
          <w:rFonts w:hint="cs"/>
          <w:rtl/>
        </w:rPr>
        <w:t xml:space="preserve"> דביאר </w:t>
      </w:r>
      <w:r w:rsidRPr="0050146A">
        <w:rPr>
          <w:rStyle w:val="affa"/>
          <w:rFonts w:hint="cs"/>
          <w:rtl/>
        </w:rPr>
        <w:t>כרש"י</w:t>
      </w:r>
      <w:r w:rsidRPr="0050146A">
        <w:rPr>
          <w:rStyle w:val="afa"/>
          <w:rFonts w:hint="cs"/>
          <w:rtl/>
        </w:rPr>
        <w:t xml:space="preserve"> דכוונת רבא לטעם משהו],</w:t>
      </w:r>
      <w:r w:rsidRPr="0050146A">
        <w:rPr>
          <w:rFonts w:hint="cs"/>
          <w:rtl/>
        </w:rPr>
        <w:t xml:space="preserve"> דהא כיון דאביי תירץ דכוונת הברייתא דזהו היתר הבא מכלל איסור לר"י דבמין במינו לא מהני ביטול, ואילו בזרוע בשלה מהני ביטול אף שהוא מין במינו, וע"ז תירץ רבא דכוונת הברייתא לטעם כעיקר, ואי כוונת רבא לטעם משהו ולא לטעם גמור, דבזה זרוע בשלה הוא היתר מהבא מכלל איסור, א"כ מהו החילוק בין תירוץ אביי לתירוץ רבא, דלשניהם הכוונה דההיתר שנאמר בזרוע בשלה הוא בטעם משהו, ועוד דבכל הש"ס טעם כעיקר הכוונה לטעם ממש, וכדאיתא בגמ'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דבשרה ענבים במים ויש במים הוא טעם יין, דהוא טעם כעיקר.</w:t>
      </w:r>
    </w:p>
    <w:p w:rsidR="008B470A" w:rsidRPr="0050146A" w:rsidRDefault="008B470A" w:rsidP="008B470A">
      <w:pPr>
        <w:pStyle w:val="1"/>
        <w:rPr>
          <w:rtl/>
        </w:rPr>
      </w:pPr>
      <w:bookmarkStart w:id="4613" w:name="_Toc12221372"/>
      <w:bookmarkStart w:id="4614" w:name="_Toc12354386"/>
      <w:bookmarkStart w:id="4615" w:name="_Toc12359793"/>
      <w:bookmarkStart w:id="4616" w:name="_Toc12378947"/>
      <w:bookmarkStart w:id="4617" w:name="_Toc12205440"/>
      <w:bookmarkStart w:id="4618" w:name="_Toc12359767"/>
      <w:r w:rsidRPr="0050146A">
        <w:rPr>
          <w:rFonts w:hint="cs"/>
          <w:rtl/>
        </w:rPr>
        <w:t>ביאור הריטב"א בשם הרמב"ן</w:t>
      </w:r>
      <w:bookmarkEnd w:id="4613"/>
      <w:bookmarkEnd w:id="4614"/>
      <w:bookmarkEnd w:id="4615"/>
      <w:r w:rsidRPr="0050146A">
        <w:rPr>
          <w:rFonts w:hint="cs"/>
          <w:rtl/>
        </w:rPr>
        <w:t xml:space="preserve"> ברש"י דאיירי בטעם גמור</w:t>
      </w:r>
      <w:bookmarkEnd w:id="4616"/>
    </w:p>
    <w:p w:rsidR="008B470A" w:rsidRPr="0050146A" w:rsidRDefault="008B470A" w:rsidP="008B470A">
      <w:pPr>
        <w:pStyle w:val="a2"/>
        <w:rPr>
          <w:rtl/>
        </w:rPr>
      </w:pPr>
      <w:bookmarkStart w:id="4619" w:name="_Toc12221373"/>
      <w:bookmarkStart w:id="4620" w:name="_Toc12354387"/>
      <w:bookmarkStart w:id="4621" w:name="_Toc12359794"/>
      <w:bookmarkStart w:id="4622" w:name="_Toc12378948"/>
      <w:r w:rsidRPr="0050146A">
        <w:rPr>
          <w:rFonts w:hint="cs"/>
          <w:rtl/>
        </w:rPr>
        <w:t>דברי הריטב"א דהתירה תורה את האיל אף אם אבד מקצתו ומ"מ ילפינן שישים מהרוב שיש שישים</w:t>
      </w:r>
      <w:bookmarkEnd w:id="4617"/>
      <w:bookmarkEnd w:id="4619"/>
      <w:bookmarkEnd w:id="4620"/>
      <w:bookmarkEnd w:id="4621"/>
      <w:bookmarkEnd w:id="4622"/>
    </w:p>
    <w:p w:rsidR="008B470A" w:rsidRPr="0050146A" w:rsidRDefault="008B470A" w:rsidP="009F44AF">
      <w:pPr>
        <w:pStyle w:val="a"/>
        <w:rPr>
          <w:rtl/>
        </w:rPr>
      </w:pPr>
      <w:bookmarkStart w:id="4623" w:name="_Ref12290282"/>
      <w:r w:rsidRPr="0050146A">
        <w:rPr>
          <w:rStyle w:val="af8"/>
          <w:rFonts w:hint="cs"/>
          <w:rtl/>
        </w:rPr>
        <w:t>והריטב"א</w:t>
      </w:r>
      <w:r w:rsidRPr="0050146A">
        <w:rPr>
          <w:rFonts w:hint="cs"/>
          <w:rtl/>
        </w:rPr>
        <w:t xml:space="preserve"> </w:t>
      </w:r>
      <w:r w:rsidRPr="0050146A">
        <w:rPr>
          <w:rStyle w:val="af6"/>
          <w:rFonts w:eastAsia="Guttman Hodes" w:hint="cs"/>
          <w:rtl/>
        </w:rPr>
        <w:t>(ד"ה רבא)</w:t>
      </w:r>
      <w:r w:rsidRPr="0050146A">
        <w:rPr>
          <w:rFonts w:hint="cs"/>
          <w:rtl/>
        </w:rPr>
        <w:t xml:space="preserve"> הביא בשם </w:t>
      </w:r>
      <w:r w:rsidRPr="0050146A">
        <w:rPr>
          <w:rStyle w:val="af8"/>
          <w:rFonts w:hint="cs"/>
          <w:rtl/>
        </w:rPr>
        <w:t>הרמב"ן</w:t>
      </w:r>
      <w:r w:rsidRPr="0050146A">
        <w:rPr>
          <w:rFonts w:hint="cs"/>
          <w:rtl/>
        </w:rPr>
        <w:t xml:space="preserve"> דתירץ בדעת </w:t>
      </w:r>
      <w:r w:rsidRPr="0050146A">
        <w:rPr>
          <w:rFonts w:hint="cs"/>
          <w:b/>
          <w:bCs/>
          <w:rtl/>
        </w:rPr>
        <w:t>רש"י</w:t>
      </w:r>
      <w:r w:rsidRPr="0050146A">
        <w:rPr>
          <w:rFonts w:hint="cs"/>
          <w:rtl/>
        </w:rPr>
        <w:t xml:space="preserve"> דקים לן דהתורה התירה את הזרוע בשלה בכל האופנים, בין אם היה כל האיל שלם, ובין אם נאבדו מקצת מהאברים שלו, וא"כ שייך שיהיה טעם של הזרוע באיל באופן שאינו שלם, אלא דמ"מ כיון דעפ"י הרוב כל האיל מתבשל ויש בו שישים כנגד הזרוע, לכן למדו חכמים מזרוע בשלה דמהני ביטול בשישים או במאה, וכתב </w:t>
      </w:r>
      <w:r w:rsidRPr="0050146A">
        <w:rPr>
          <w:rStyle w:val="af8"/>
          <w:rFonts w:hint="cs"/>
          <w:rtl/>
        </w:rPr>
        <w:t>הקה"י</w:t>
      </w:r>
      <w:r w:rsidRPr="0050146A">
        <w:rPr>
          <w:rFonts w:hint="cs"/>
          <w:rtl/>
        </w:rPr>
        <w:t xml:space="preserve"> </w:t>
      </w:r>
      <w:r w:rsidRPr="0050146A">
        <w:rPr>
          <w:rStyle w:val="af6"/>
          <w:rFonts w:eastAsia="Guttman Hodes" w:hint="cs"/>
          <w:rtl/>
        </w:rPr>
        <w:t>(סי' כ"ט ד"ה ושו"ר)</w:t>
      </w:r>
      <w:r w:rsidRPr="0050146A">
        <w:rPr>
          <w:rFonts w:hint="cs"/>
          <w:rtl/>
        </w:rPr>
        <w:t xml:space="preserve"> דכוונת </w:t>
      </w:r>
      <w:r w:rsidRPr="0050146A">
        <w:rPr>
          <w:rStyle w:val="af8"/>
          <w:rFonts w:hint="cs"/>
          <w:rtl/>
        </w:rPr>
        <w:t>הריטב"א</w:t>
      </w:r>
      <w:r w:rsidRPr="0050146A">
        <w:rPr>
          <w:rFonts w:hint="cs"/>
          <w:rtl/>
        </w:rPr>
        <w:t xml:space="preserve"> לבאר בדעת </w:t>
      </w:r>
      <w:r w:rsidRPr="0050146A">
        <w:rPr>
          <w:rStyle w:val="af8"/>
          <w:rFonts w:hint="cs"/>
          <w:rtl/>
        </w:rPr>
        <w:t>רש"י</w:t>
      </w:r>
      <w:r w:rsidRPr="0050146A">
        <w:rPr>
          <w:rFonts w:hint="cs"/>
          <w:rtl/>
        </w:rPr>
        <w:t xml:space="preserve"> </w:t>
      </w:r>
      <w:r w:rsidRPr="0050146A">
        <w:rPr>
          <w:rStyle w:val="afa"/>
          <w:rFonts w:hint="cs"/>
          <w:rtl/>
        </w:rPr>
        <w:t xml:space="preserve">[דלא </w:t>
      </w:r>
      <w:r w:rsidRPr="0050146A">
        <w:rPr>
          <w:rStyle w:val="affa"/>
          <w:rFonts w:hint="cs"/>
          <w:rtl/>
        </w:rPr>
        <w:t>כהתוס'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Ref12290115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ד)</w:t>
      </w:r>
      <w:r w:rsidRPr="0050146A">
        <w:rPr>
          <w:rStyle w:val="aff6"/>
          <w:rtl/>
        </w:rPr>
        <w:fldChar w:fldCharType="end"/>
      </w:r>
      <w:r w:rsidRPr="0050146A">
        <w:rPr>
          <w:rStyle w:val="afa"/>
          <w:rFonts w:hint="cs"/>
          <w:rtl/>
        </w:rPr>
        <w:t>]</w:t>
      </w:r>
      <w:r w:rsidRPr="0050146A">
        <w:rPr>
          <w:rFonts w:hint="cs"/>
          <w:rtl/>
        </w:rPr>
        <w:t xml:space="preserve"> דאין כוונתו לאיסר כל שהוא בקדשים</w:t>
      </w:r>
      <w:bookmarkEnd w:id="4623"/>
      <w:r w:rsidRPr="0050146A">
        <w:rPr>
          <w:rFonts w:hint="cs"/>
          <w:rtl/>
        </w:rPr>
        <w:t xml:space="preserve">, אלא דטעם גמור אסור מדאו' בקדשים ומותר בחולין. </w:t>
      </w:r>
      <w:r w:rsidRPr="0050146A">
        <w:rPr>
          <w:rStyle w:val="afa"/>
          <w:rFonts w:hint="cs"/>
          <w:rtl/>
        </w:rPr>
        <w:t>[דהא התירה התורה בזרוע בשלה אף בטעם גמור כשאין האיל שלם, ואילו בשאר הקדשים אסור בכה"ג].</w:t>
      </w:r>
    </w:p>
    <w:p w:rsidR="008B470A" w:rsidRPr="0050146A" w:rsidRDefault="008B470A" w:rsidP="00E669F8">
      <w:pPr>
        <w:pStyle w:val="afd"/>
        <w:rPr>
          <w:rtl/>
        </w:rPr>
      </w:pPr>
      <w:bookmarkStart w:id="4624" w:name="_Toc12378949"/>
      <w:r w:rsidRPr="0050146A">
        <w:rPr>
          <w:rFonts w:hint="cs"/>
          <w:rtl/>
        </w:rPr>
        <w:t>ביאורי האחרונים ברש"י בדין טעם בקדשים</w:t>
      </w:r>
      <w:bookmarkEnd w:id="4618"/>
      <w:bookmarkEnd w:id="4624"/>
      <w:r w:rsidRPr="0050146A">
        <w:rPr>
          <w:rFonts w:hint="cs"/>
          <w:rtl/>
        </w:rPr>
        <w:t xml:space="preserve"> </w:t>
      </w:r>
    </w:p>
    <w:p w:rsidR="008B470A" w:rsidRPr="0050146A" w:rsidRDefault="008B470A" w:rsidP="008B470A">
      <w:pPr>
        <w:pStyle w:val="1"/>
      </w:pPr>
      <w:bookmarkStart w:id="4625" w:name="_Toc12359768"/>
      <w:bookmarkStart w:id="4626" w:name="_Toc12378950"/>
      <w:r w:rsidRPr="0050146A">
        <w:rPr>
          <w:rFonts w:hint="cs"/>
          <w:rtl/>
        </w:rPr>
        <w:t>ביאור הראש יוסף ברש"י דבקדשים מדאו' ל"מ ביטול במינו</w:t>
      </w:r>
      <w:bookmarkEnd w:id="4625"/>
      <w:bookmarkEnd w:id="4626"/>
    </w:p>
    <w:p w:rsidR="008B470A" w:rsidRPr="0050146A" w:rsidRDefault="008B470A" w:rsidP="008B470A">
      <w:pPr>
        <w:pStyle w:val="a2"/>
        <w:rPr>
          <w:rtl/>
        </w:rPr>
      </w:pPr>
      <w:bookmarkStart w:id="4627" w:name="_Toc12205423"/>
      <w:bookmarkStart w:id="4628" w:name="_Toc12221355"/>
      <w:bookmarkStart w:id="4629" w:name="_Toc12354362"/>
      <w:bookmarkStart w:id="4630" w:name="_Toc12359769"/>
      <w:bookmarkStart w:id="4631" w:name="_Toc12378951"/>
      <w:bookmarkStart w:id="4632" w:name="_Ref12203648"/>
      <w:r w:rsidRPr="0050146A">
        <w:rPr>
          <w:rFonts w:hint="cs"/>
          <w:rtl/>
        </w:rPr>
        <w:t>דברי הראש יוסף והרש"ש דמבואר ברש"י דבקדשים לא מהני ביטול לגמרי וטעם כל שהוא אוסר</w:t>
      </w:r>
      <w:bookmarkEnd w:id="4627"/>
      <w:bookmarkEnd w:id="4628"/>
      <w:bookmarkEnd w:id="4629"/>
      <w:bookmarkEnd w:id="4630"/>
      <w:bookmarkEnd w:id="4631"/>
    </w:p>
    <w:p w:rsidR="008B470A" w:rsidRPr="0050146A" w:rsidRDefault="008B470A" w:rsidP="009F44AF">
      <w:pPr>
        <w:pStyle w:val="a"/>
        <w:rPr>
          <w:sz w:val="10"/>
          <w:szCs w:val="14"/>
          <w:rtl/>
        </w:rPr>
      </w:pPr>
      <w:bookmarkStart w:id="4633" w:name="_Ref12290269"/>
      <w:r w:rsidRPr="0050146A">
        <w:rPr>
          <w:rFonts w:hint="cs"/>
          <w:rtl/>
        </w:rPr>
        <w:t xml:space="preserve">כתב </w:t>
      </w:r>
      <w:r w:rsidRPr="0050146A">
        <w:rPr>
          <w:rStyle w:val="af8"/>
          <w:rFonts w:hint="cs"/>
          <w:rtl/>
        </w:rPr>
        <w:t>הרש"ש</w:t>
      </w:r>
      <w:r w:rsidRPr="0050146A">
        <w:rPr>
          <w:rFonts w:hint="cs"/>
          <w:rtl/>
        </w:rPr>
        <w:t xml:space="preserve"> </w:t>
      </w:r>
      <w:r w:rsidRPr="0050146A">
        <w:rPr>
          <w:rStyle w:val="af6"/>
          <w:rFonts w:eastAsia="Guttman Hodes" w:hint="cs"/>
          <w:rtl/>
        </w:rPr>
        <w:t>(צט. על רש"י ד"ה ואם)</w:t>
      </w:r>
      <w:r w:rsidRPr="0050146A">
        <w:rPr>
          <w:rFonts w:hint="cs"/>
          <w:rtl/>
        </w:rPr>
        <w:t xml:space="preserve"> דמ"ש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Ref12356805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50146A">
        <w:rPr>
          <w:rStyle w:val="af6"/>
          <w:rFonts w:eastAsia="Guttman Hodes"/>
          <w:rtl/>
        </w:rPr>
        <w:fldChar w:fldCharType="end"/>
      </w:r>
      <w:r w:rsidRPr="0050146A">
        <w:rPr>
          <w:rFonts w:hint="cs"/>
          <w:rtl/>
        </w:rPr>
        <w:t xml:space="preserve"> דילפינן מחטאת דאיסורי קדשים אינם בטלים "לגמרי", כוונתו דלדעת רבא טעם כל שהוא אינו בטל בקדשים, וכדביארו </w:t>
      </w:r>
      <w:r w:rsidRPr="0050146A">
        <w:rPr>
          <w:rStyle w:val="af8"/>
          <w:rFonts w:hint="cs"/>
          <w:rtl/>
        </w:rPr>
        <w:t xml:space="preserve">התוס'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Ref12290115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בדעת </w:t>
      </w:r>
      <w:r w:rsidRPr="0050146A">
        <w:rPr>
          <w:rStyle w:val="af8"/>
          <w:rFonts w:hint="cs"/>
          <w:rtl/>
        </w:rPr>
        <w:t>רש"י</w:t>
      </w:r>
      <w:bookmarkEnd w:id="4632"/>
      <w:bookmarkEnd w:id="4633"/>
      <w:r w:rsidRPr="0050146A">
        <w:rPr>
          <w:rFonts w:hint="cs"/>
          <w:rtl/>
        </w:rPr>
        <w:t xml:space="preserve">, </w:t>
      </w:r>
      <w:bookmarkStart w:id="4634" w:name="_Ref12290262"/>
      <w:r w:rsidRPr="0050146A">
        <w:rPr>
          <w:rFonts w:hint="cs"/>
          <w:rtl/>
        </w:rPr>
        <w:t xml:space="preserve">וכ"כ </w:t>
      </w:r>
      <w:r w:rsidRPr="0050146A">
        <w:rPr>
          <w:rStyle w:val="af8"/>
          <w:rFonts w:hint="cs"/>
          <w:rtl/>
        </w:rPr>
        <w:t>הראש יוסף</w:t>
      </w:r>
      <w:r w:rsidRPr="0050146A">
        <w:rPr>
          <w:rFonts w:hint="cs"/>
          <w:rtl/>
        </w:rPr>
        <w:t xml:space="preserve"> </w:t>
      </w:r>
      <w:r w:rsidRPr="0050146A">
        <w:rPr>
          <w:rStyle w:val="af6"/>
          <w:rFonts w:eastAsia="Guttman Hodes" w:hint="cs"/>
          <w:rtl/>
        </w:rPr>
        <w:t>(צח: ד"ה רבא)</w:t>
      </w:r>
      <w:r w:rsidRPr="0050146A">
        <w:rPr>
          <w:rFonts w:hint="cs"/>
          <w:rtl/>
        </w:rPr>
        <w:t xml:space="preserve"> דמדברי </w:t>
      </w:r>
      <w:r w:rsidRPr="0050146A">
        <w:rPr>
          <w:rStyle w:val="af8"/>
          <w:rFonts w:hint="cs"/>
          <w:rtl/>
        </w:rPr>
        <w:t>רש"י</w:t>
      </w:r>
      <w:r w:rsidRPr="0050146A">
        <w:rPr>
          <w:rFonts w:hint="cs"/>
          <w:rtl/>
        </w:rPr>
        <w:t xml:space="preserve"> מבואר דהטעם בקדשים אוסר אפילו בכל שהוא, וכדילפינן מחטאת דאף אם נגע בבשרה נאמר בו "יקדש".</w:t>
      </w:r>
    </w:p>
    <w:p w:rsidR="008B470A" w:rsidRPr="0050146A" w:rsidRDefault="008B470A" w:rsidP="008B470A">
      <w:pPr>
        <w:pStyle w:val="a2"/>
      </w:pPr>
      <w:bookmarkStart w:id="4635" w:name="_Toc12359770"/>
      <w:bookmarkStart w:id="4636" w:name="_Toc12378952"/>
      <w:r w:rsidRPr="0050146A">
        <w:rPr>
          <w:rFonts w:hint="cs"/>
          <w:rtl/>
        </w:rPr>
        <w:t>ביאור הראש יוסף ברש"י דאף במין במינו לא מהני ביטול ברוב בקדשים דחטאת נאמרה בסתמא</w:t>
      </w:r>
      <w:bookmarkEnd w:id="4635"/>
      <w:bookmarkEnd w:id="4636"/>
    </w:p>
    <w:p w:rsidR="008B470A" w:rsidRPr="0050146A" w:rsidRDefault="008B470A" w:rsidP="009F44AF">
      <w:pPr>
        <w:pStyle w:val="a"/>
        <w:rPr>
          <w:rStyle w:val="afa"/>
          <w:rtl/>
        </w:rPr>
      </w:pPr>
      <w:bookmarkStart w:id="4637" w:name="_Ref12356963"/>
      <w:r w:rsidRPr="0050146A">
        <w:rPr>
          <w:rFonts w:hint="cs"/>
          <w:rtl/>
        </w:rPr>
        <w:t xml:space="preserve">וכתב </w:t>
      </w:r>
      <w:r w:rsidRPr="0050146A">
        <w:rPr>
          <w:rStyle w:val="af8"/>
          <w:rFonts w:hint="cs"/>
          <w:rtl/>
        </w:rPr>
        <w:t>הראש יוסף</w:t>
      </w:r>
      <w:r w:rsidRPr="0050146A">
        <w:rPr>
          <w:rFonts w:hint="cs"/>
          <w:rtl/>
        </w:rPr>
        <w:t xml:space="preserve"> דא"כ מבואר דלדעת </w:t>
      </w:r>
      <w:r w:rsidRPr="0050146A">
        <w:rPr>
          <w:rStyle w:val="af8"/>
          <w:rFonts w:hint="cs"/>
          <w:rtl/>
        </w:rPr>
        <w:t>רש"י</w:t>
      </w:r>
      <w:r w:rsidRPr="0050146A">
        <w:rPr>
          <w:rFonts w:hint="cs"/>
          <w:rtl/>
        </w:rPr>
        <w:t xml:space="preserve"> אף במין במינו שאינו נותן טעם, דבחולין מהני ביה ביטול ברוב מדאו', מ"מ בקדשים לא מהני ביה ביטול ברוב, וה"ה במין בשאינו מינו, דהא הילפותא בחטאת נאמרה בסתמא, וזהו הביאור לפי </w:t>
      </w:r>
      <w:r w:rsidRPr="0050146A">
        <w:rPr>
          <w:rtl/>
        </w:rPr>
        <w:t xml:space="preserve">רבא </w:t>
      </w:r>
      <w:r w:rsidRPr="0050146A">
        <w:rPr>
          <w:rFonts w:hint="cs"/>
          <w:rtl/>
        </w:rPr>
        <w:t>ב</w:t>
      </w:r>
      <w:r w:rsidRPr="0050146A">
        <w:rPr>
          <w:rtl/>
        </w:rPr>
        <w:t xml:space="preserve">ברייתא "זהו היתר </w:t>
      </w:r>
      <w:r w:rsidRPr="0050146A">
        <w:rPr>
          <w:rtl/>
        </w:rPr>
        <w:t>הבא מכלל איסור"</w:t>
      </w:r>
      <w:r w:rsidRPr="0050146A">
        <w:rPr>
          <w:rFonts w:hint="cs"/>
          <w:rtl/>
        </w:rPr>
        <w:t xml:space="preserve">, דאף דבשאר קדשים אסור בכל שהוא, מ"מ בזרוע בשלה מותר בשישים או במאה, ואילו בחולין ס"ל לרבא דטעם כעיקר דרבנן ומדאו' חד בתרי בטיל, וכדמוכח מדברי רבא לקמן </w:t>
      </w:r>
      <w:r w:rsidRPr="0050146A">
        <w:rPr>
          <w:rStyle w:val="af6"/>
          <w:rFonts w:eastAsia="Guttman Hodes" w:hint="cs"/>
          <w:rtl/>
        </w:rPr>
        <w:t>(קח.)</w:t>
      </w:r>
      <w:r w:rsidRPr="0050146A">
        <w:rPr>
          <w:rFonts w:hint="cs"/>
          <w:rtl/>
        </w:rPr>
        <w:t xml:space="preserve"> דדחה את הילפותא של אביי מבשר בחלב. </w:t>
      </w:r>
      <w:r w:rsidRPr="0050146A">
        <w:rPr>
          <w:rStyle w:val="afa"/>
          <w:rFonts w:hint="cs"/>
          <w:rtl/>
        </w:rPr>
        <w:t xml:space="preserve">[וכתב </w:t>
      </w:r>
      <w:r w:rsidRPr="0050146A">
        <w:rPr>
          <w:rStyle w:val="affa"/>
          <w:rFonts w:hint="cs"/>
          <w:rtl/>
        </w:rPr>
        <w:t xml:space="preserve">הראש יוסף </w:t>
      </w:r>
      <w:r w:rsidRPr="0050146A">
        <w:rPr>
          <w:rStyle w:val="afa"/>
          <w:rFonts w:hint="cs"/>
          <w:rtl/>
        </w:rPr>
        <w:t xml:space="preserve">דלפי"ז הא דאמרינן בגמ' דילפינן מזרוע בשלה לחומרא ולא לקולא, היינו דמדאו' בחולין מהני ביטול ברוב, בין במינו ובין שלא במינו, וא"צ לבאר את  הילפותא כדהאריך </w:t>
      </w:r>
      <w:r w:rsidRPr="0050146A">
        <w:rPr>
          <w:rStyle w:val="affa"/>
          <w:rFonts w:hint="cs"/>
          <w:rtl/>
        </w:rPr>
        <w:t>הראש יוסף</w:t>
      </w:r>
      <w:r w:rsidRPr="0050146A">
        <w:rPr>
          <w:rStyle w:val="afa"/>
          <w:rFonts w:hint="cs"/>
          <w:rtl/>
        </w:rPr>
        <w:t xml:space="preserve"> </w:t>
      </w:r>
      <w:r w:rsidRPr="0050146A">
        <w:rPr>
          <w:rStyle w:val="aff6"/>
          <w:rFonts w:hint="cs"/>
          <w:rtl/>
        </w:rPr>
        <w:t xml:space="preserve">(ד"ה וא"כ ילפינן) </w:t>
      </w:r>
      <w:r w:rsidRPr="0050146A">
        <w:rPr>
          <w:rStyle w:val="afa"/>
          <w:rFonts w:hint="cs"/>
          <w:rtl/>
        </w:rPr>
        <w:t xml:space="preserve">בביאור דברי אביי לדעת </w:t>
      </w:r>
      <w:r w:rsidRPr="0050146A">
        <w:rPr>
          <w:rStyle w:val="affa"/>
          <w:rFonts w:hint="cs"/>
          <w:rtl/>
        </w:rPr>
        <w:t>רש"י</w:t>
      </w:r>
      <w:r w:rsidRPr="0050146A">
        <w:rPr>
          <w:rStyle w:val="afa"/>
          <w:rFonts w:hint="cs"/>
          <w:rtl/>
        </w:rPr>
        <w:t>].</w:t>
      </w:r>
      <w:bookmarkEnd w:id="4634"/>
      <w:bookmarkEnd w:id="4637"/>
    </w:p>
    <w:p w:rsidR="008B470A" w:rsidRPr="0050146A" w:rsidRDefault="008B470A" w:rsidP="008B470A">
      <w:pPr>
        <w:pStyle w:val="1"/>
        <w:rPr>
          <w:rtl/>
        </w:rPr>
      </w:pPr>
      <w:bookmarkStart w:id="4638" w:name="_Toc12359771"/>
      <w:bookmarkStart w:id="4639" w:name="_Toc12378953"/>
      <w:r w:rsidRPr="0050146A">
        <w:rPr>
          <w:rFonts w:hint="cs"/>
          <w:rtl/>
        </w:rPr>
        <w:t>ביאור היד יהודה דכוונת רש"י לטעם המורגש ביותר משישים</w:t>
      </w:r>
      <w:bookmarkEnd w:id="4638"/>
      <w:bookmarkEnd w:id="4639"/>
    </w:p>
    <w:p w:rsidR="008B470A" w:rsidRPr="0050146A" w:rsidRDefault="008B470A" w:rsidP="008B470A">
      <w:pPr>
        <w:pStyle w:val="a2"/>
        <w:rPr>
          <w:rtl/>
        </w:rPr>
      </w:pPr>
      <w:bookmarkStart w:id="4640" w:name="_Toc12359772"/>
      <w:bookmarkStart w:id="4641" w:name="_Toc12378954"/>
      <w:r w:rsidRPr="0050146A">
        <w:rPr>
          <w:rFonts w:hint="cs"/>
          <w:rtl/>
        </w:rPr>
        <w:t>ביאור היד יהודה ברש"י דלרבא טעם המורגש ביותר משישים אסור בקדשים ולא טעם כל שהוא</w:t>
      </w:r>
      <w:bookmarkEnd w:id="4640"/>
      <w:bookmarkEnd w:id="4641"/>
    </w:p>
    <w:p w:rsidR="008B470A" w:rsidRPr="0050146A" w:rsidRDefault="008B470A" w:rsidP="009F44AF">
      <w:pPr>
        <w:pStyle w:val="a"/>
        <w:rPr>
          <w:rtl/>
        </w:rPr>
      </w:pPr>
      <w:bookmarkStart w:id="4642" w:name="_Ref12354837"/>
      <w:r w:rsidRPr="0050146A">
        <w:rPr>
          <w:rStyle w:val="af8"/>
          <w:rFonts w:hint="cs"/>
          <w:rtl/>
        </w:rPr>
        <w:t>והיד יהודה</w:t>
      </w:r>
      <w:r w:rsidRPr="0050146A">
        <w:rPr>
          <w:rFonts w:hint="cs"/>
          <w:rtl/>
        </w:rPr>
        <w:t xml:space="preserve"> </w:t>
      </w:r>
      <w:r w:rsidRPr="0050146A">
        <w:rPr>
          <w:rStyle w:val="af6"/>
          <w:rFonts w:eastAsia="Guttman Hodes" w:hint="cs"/>
          <w:rtl/>
        </w:rPr>
        <w:t>(סי צ"ח סקכ"ג)</w:t>
      </w:r>
      <w:r w:rsidRPr="0050146A">
        <w:rPr>
          <w:rFonts w:hint="cs"/>
          <w:rtl/>
        </w:rPr>
        <w:t xml:space="preserve"> כתב דכוונת </w:t>
      </w:r>
      <w:r w:rsidRPr="0050146A">
        <w:rPr>
          <w:rStyle w:val="af8"/>
          <w:rFonts w:hint="cs"/>
          <w:rtl/>
        </w:rPr>
        <w:t xml:space="preserve">רש"י </w:t>
      </w:r>
      <w:r w:rsidRPr="0050146A">
        <w:rPr>
          <w:rFonts w:hint="cs"/>
          <w:rtl/>
        </w:rPr>
        <w:t xml:space="preserve">לומר דרבא תירץ את לשון הברייתא "זהו היתר הבא מכלל איסור", דבזרוע בשלה התירה תורה במאה ושישים, אף אם הטעם מורגש בשישים, </w:t>
      </w:r>
      <w:r w:rsidRPr="0050146A">
        <w:rPr>
          <w:rStyle w:val="afa"/>
          <w:rFonts w:hint="cs"/>
          <w:rtl/>
        </w:rPr>
        <w:t>[וכמבואר מדברי</w:t>
      </w:r>
      <w:r w:rsidRPr="0050146A">
        <w:rPr>
          <w:rStyle w:val="affa"/>
          <w:rFonts w:hint="cs"/>
          <w:rtl/>
        </w:rPr>
        <w:t xml:space="preserve"> רש"י </w:t>
      </w:r>
      <w:r w:rsidRPr="0050146A">
        <w:rPr>
          <w:rStyle w:val="aff6"/>
          <w:rFonts w:hint="cs"/>
          <w:rtl/>
        </w:rPr>
        <w:t>(צח. ד"ה ושניהם)</w:t>
      </w:r>
      <w:r w:rsidRPr="0050146A">
        <w:rPr>
          <w:rStyle w:val="afa"/>
          <w:rFonts w:hint="cs"/>
          <w:rtl/>
        </w:rPr>
        <w:t xml:space="preserve"> דאף ביותר משישים שייך שיהיה טעם], </w:t>
      </w:r>
      <w:r w:rsidRPr="0050146A">
        <w:rPr>
          <w:rFonts w:hint="cs"/>
          <w:rtl/>
        </w:rPr>
        <w:t xml:space="preserve">אבל בשאר קדשים דטעם כעיקר דאו', כל שמורגש הטעם אסור אף בשישים, </w:t>
      </w:r>
      <w:r w:rsidRPr="0050146A">
        <w:rPr>
          <w:rStyle w:val="afa"/>
          <w:rFonts w:hint="cs"/>
          <w:rtl/>
        </w:rPr>
        <w:t>[דטעמא אפילו באלף לא בטיל],</w:t>
      </w:r>
      <w:r w:rsidRPr="0050146A">
        <w:rPr>
          <w:rFonts w:hint="cs"/>
          <w:rtl/>
        </w:rPr>
        <w:t xml:space="preserve"> ואילו בחולין דטעם כעיקר דרבנן א"כ הטעם המורגש ביותר משישים אסור רק מדרבנן, וציין </w:t>
      </w:r>
      <w:r w:rsidRPr="0050146A">
        <w:rPr>
          <w:rStyle w:val="af8"/>
          <w:rFonts w:hint="cs"/>
          <w:rtl/>
        </w:rPr>
        <w:t>היד יהודה</w:t>
      </w:r>
      <w:r w:rsidRPr="0050146A">
        <w:rPr>
          <w:rFonts w:hint="cs"/>
          <w:rtl/>
        </w:rPr>
        <w:t xml:space="preserve"> לדברי </w:t>
      </w:r>
      <w:r w:rsidRPr="0050146A">
        <w:rPr>
          <w:rStyle w:val="af8"/>
          <w:rFonts w:hint="cs"/>
          <w:rtl/>
        </w:rPr>
        <w:t>התוס' רי"ד בע"ז</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Ref12354722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50146A">
        <w:rPr>
          <w:rStyle w:val="af6"/>
          <w:rFonts w:eastAsia="Guttman Hodes"/>
          <w:rtl/>
        </w:rPr>
        <w:fldChar w:fldCharType="end"/>
      </w:r>
      <w:r w:rsidRPr="0050146A">
        <w:rPr>
          <w:rFonts w:hint="cs"/>
          <w:rtl/>
        </w:rPr>
        <w:t xml:space="preserve"> דביאר כן, וכתב </w:t>
      </w:r>
      <w:r w:rsidRPr="0050146A">
        <w:rPr>
          <w:rStyle w:val="af8"/>
          <w:rFonts w:hint="cs"/>
          <w:rtl/>
        </w:rPr>
        <w:t>היד יהודה</w:t>
      </w:r>
      <w:r w:rsidRPr="0050146A">
        <w:rPr>
          <w:rFonts w:hint="cs"/>
          <w:rtl/>
        </w:rPr>
        <w:t xml:space="preserve"> דלפי"ז מיושבות הקושיות שהקשו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Ref12354737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50146A">
        <w:rPr>
          <w:rStyle w:val="af6"/>
          <w:rFonts w:eastAsia="Guttman Hodes"/>
          <w:rtl/>
        </w:rPr>
        <w:fldChar w:fldCharType="end"/>
      </w:r>
      <w:r w:rsidRPr="0050146A">
        <w:rPr>
          <w:rFonts w:hint="cs"/>
          <w:rtl/>
        </w:rPr>
        <w:t xml:space="preserve"> על </w:t>
      </w:r>
      <w:r w:rsidRPr="0050146A">
        <w:rPr>
          <w:rStyle w:val="af8"/>
          <w:rFonts w:hint="cs"/>
          <w:rtl/>
        </w:rPr>
        <w:t>רש"י</w:t>
      </w:r>
      <w:r w:rsidRPr="0050146A">
        <w:rPr>
          <w:rFonts w:hint="cs"/>
          <w:rtl/>
        </w:rPr>
        <w:t xml:space="preserve">. </w:t>
      </w:r>
      <w:r w:rsidRPr="0050146A">
        <w:rPr>
          <w:rStyle w:val="afa"/>
          <w:rFonts w:hint="cs"/>
          <w:rtl/>
        </w:rPr>
        <w:t>[והיינו</w:t>
      </w:r>
      <w:r w:rsidRPr="0050146A">
        <w:rPr>
          <w:rFonts w:hint="cs"/>
          <w:rtl/>
        </w:rPr>
        <w:t xml:space="preserve"> </w:t>
      </w:r>
      <w:r w:rsidRPr="0050146A">
        <w:rPr>
          <w:rStyle w:val="affa"/>
          <w:rFonts w:hint="cs"/>
          <w:rtl/>
        </w:rPr>
        <w:t>דהתוס'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Ref12290115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ד)</w:t>
      </w:r>
      <w:r w:rsidRPr="0050146A">
        <w:rPr>
          <w:rStyle w:val="aff6"/>
          <w:rtl/>
        </w:rPr>
        <w:fldChar w:fldCharType="end"/>
      </w:r>
      <w:r w:rsidRPr="0050146A">
        <w:rPr>
          <w:rStyle w:val="afa"/>
          <w:rFonts w:hint="cs"/>
          <w:rtl/>
        </w:rPr>
        <w:t xml:space="preserve"> הבינו בדעת </w:t>
      </w:r>
      <w:r w:rsidRPr="0050146A">
        <w:rPr>
          <w:rStyle w:val="affa"/>
          <w:rFonts w:hint="cs"/>
          <w:rtl/>
        </w:rPr>
        <w:t>רש"י</w:t>
      </w:r>
      <w:r w:rsidRPr="0050146A">
        <w:rPr>
          <w:rStyle w:val="afa"/>
          <w:rFonts w:hint="cs"/>
          <w:rtl/>
        </w:rPr>
        <w:t xml:space="preserve"> דכוונתו לטעם כל שהוא והקשו דהא בקדשים טעם כל שהוא בטל, אבל לביאור </w:t>
      </w:r>
      <w:r w:rsidRPr="0050146A">
        <w:rPr>
          <w:rStyle w:val="affa"/>
          <w:rFonts w:hint="cs"/>
          <w:rtl/>
        </w:rPr>
        <w:t>היד יהודה</w:t>
      </w:r>
      <w:r w:rsidRPr="0050146A">
        <w:rPr>
          <w:rStyle w:val="afa"/>
          <w:rFonts w:hint="cs"/>
          <w:rtl/>
        </w:rPr>
        <w:t xml:space="preserve"> אין כוונת </w:t>
      </w:r>
      <w:r w:rsidRPr="0050146A">
        <w:rPr>
          <w:rStyle w:val="affa"/>
          <w:rFonts w:hint="cs"/>
          <w:rtl/>
        </w:rPr>
        <w:t>רש"י</w:t>
      </w:r>
      <w:r w:rsidRPr="0050146A">
        <w:rPr>
          <w:rStyle w:val="afa"/>
          <w:rFonts w:hint="cs"/>
          <w:rtl/>
        </w:rPr>
        <w:t xml:space="preserve"> לטעם כל שהוא, אלא לטעם המורגש ביותר משישים]</w:t>
      </w:r>
      <w:bookmarkEnd w:id="4642"/>
      <w:r w:rsidRPr="0050146A">
        <w:rPr>
          <w:rStyle w:val="afa"/>
          <w:rFonts w:hint="cs"/>
          <w:rtl/>
        </w:rPr>
        <w:t xml:space="preserve">, </w:t>
      </w:r>
      <w:r w:rsidRPr="0050146A">
        <w:rPr>
          <w:rFonts w:hint="cs"/>
          <w:rtl/>
        </w:rPr>
        <w:t xml:space="preserve">ועי' בדברי </w:t>
      </w:r>
      <w:r w:rsidRPr="0050146A">
        <w:rPr>
          <w:rStyle w:val="af8"/>
          <w:rFonts w:hint="cs"/>
          <w:rtl/>
        </w:rPr>
        <w:t>החת"ס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Ref12359297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50146A">
        <w:rPr>
          <w:rStyle w:val="af6"/>
          <w:rFonts w:eastAsia="Guttman Hodes"/>
          <w:rtl/>
        </w:rPr>
        <w:fldChar w:fldCharType="end"/>
      </w:r>
      <w:r w:rsidRPr="0050146A">
        <w:rPr>
          <w:rFonts w:hint="cs"/>
          <w:rtl/>
        </w:rPr>
        <w:t>.</w:t>
      </w:r>
    </w:p>
    <w:p w:rsidR="008B470A" w:rsidRPr="0050146A" w:rsidRDefault="008B470A" w:rsidP="008B470A">
      <w:pPr>
        <w:pStyle w:val="1"/>
        <w:rPr>
          <w:rtl/>
        </w:rPr>
      </w:pPr>
      <w:bookmarkStart w:id="4643" w:name="_Toc12359773"/>
      <w:bookmarkStart w:id="4644" w:name="_Toc12378955"/>
      <w:r w:rsidRPr="0050146A">
        <w:rPr>
          <w:rFonts w:hint="cs"/>
          <w:rtl/>
        </w:rPr>
        <w:t>ביאור הלב אריה והתפארת יעקב דלרש"י תירוץ רבא הוא לר"י</w:t>
      </w:r>
      <w:bookmarkEnd w:id="4643"/>
      <w:bookmarkEnd w:id="4644"/>
    </w:p>
    <w:p w:rsidR="008B470A" w:rsidRPr="0050146A" w:rsidRDefault="008B470A" w:rsidP="008B470A">
      <w:pPr>
        <w:pStyle w:val="a2"/>
      </w:pPr>
      <w:bookmarkStart w:id="4645" w:name="_Toc12378956"/>
      <w:r w:rsidRPr="0050146A">
        <w:rPr>
          <w:rFonts w:hint="cs"/>
          <w:rtl/>
        </w:rPr>
        <w:t>ביאור הלב אריה ברש"י דרבא ביאר אליבא דר"י דאף טעם אסור במשהו במין במינו</w:t>
      </w:r>
      <w:bookmarkEnd w:id="4645"/>
    </w:p>
    <w:p w:rsidR="008B470A" w:rsidRPr="0050146A" w:rsidRDefault="008B470A" w:rsidP="009F44AF">
      <w:pPr>
        <w:pStyle w:val="a"/>
        <w:rPr>
          <w:rtl/>
        </w:rPr>
      </w:pPr>
      <w:bookmarkStart w:id="4646" w:name="_Ref12355145"/>
      <w:r w:rsidRPr="0050146A">
        <w:rPr>
          <w:rStyle w:val="af8"/>
          <w:rFonts w:hint="cs"/>
          <w:rtl/>
        </w:rPr>
        <w:t>והלב אריה</w:t>
      </w:r>
      <w:r w:rsidRPr="0050146A">
        <w:rPr>
          <w:rFonts w:hint="cs"/>
          <w:rtl/>
        </w:rPr>
        <w:t xml:space="preserve"> </w:t>
      </w:r>
      <w:r w:rsidRPr="0050146A">
        <w:rPr>
          <w:rStyle w:val="af6"/>
          <w:rFonts w:eastAsia="Guttman Hodes" w:hint="cs"/>
          <w:rtl/>
        </w:rPr>
        <w:t>(על תוד"ה רבא)</w:t>
      </w:r>
      <w:r w:rsidRPr="0050146A">
        <w:rPr>
          <w:rFonts w:hint="cs"/>
          <w:rtl/>
        </w:rPr>
        <w:t xml:space="preserve"> תירץ </w:t>
      </w:r>
      <w:r w:rsidRPr="0050146A">
        <w:rPr>
          <w:rStyle w:val="af8"/>
          <w:rFonts w:hint="cs"/>
          <w:rtl/>
        </w:rPr>
        <w:t>דרש"י</w:t>
      </w:r>
      <w:r w:rsidRPr="0050146A">
        <w:rPr>
          <w:rFonts w:hint="cs"/>
          <w:rtl/>
        </w:rPr>
        <w:t xml:space="preserve"> ס"ל כביאור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Ref12379108 \n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50146A">
        <w:rPr>
          <w:rStyle w:val="af6"/>
          <w:rFonts w:eastAsia="Guttman Hodes"/>
          <w:rtl/>
        </w:rPr>
        <w:fldChar w:fldCharType="end"/>
      </w:r>
      <w:r w:rsidRPr="0050146A">
        <w:rPr>
          <w:rFonts w:hint="cs"/>
          <w:rtl/>
        </w:rPr>
        <w:t xml:space="preserve"> דאף רבא ביאר כאביי דהעמיד את לשון הברייתא "זהו היתר הבא מכלל איסור", כר"י דמין במינו אסור, ומשמע מדברי אביי דביאר דס"ל לר"י דרק בממשות האיסור כדם פר ודם שעיר לא מהני ביטול במין במינו, ובזה הוסיף רבא אליבא דר"י דאף טעם כעיקר אסור בקדשים, דהיינו כשיש טעם גמור ולא רק טעם כל שהוא, דבקדשים הוא אוסר לר"י במשהו, אף כשיש רק טעם ואין את ממשות האיסור, ומקשה הגמ' דנילף מזרוע בשלה דאף בקדשים מהני ביטול בשישים, ותירצה הגמ' דילפינן מחטאת דבמין במינו לר"י טעם גמור אוסר בקדשים בכל שהוא.</w:t>
      </w:r>
      <w:bookmarkEnd w:id="4646"/>
    </w:p>
    <w:p w:rsidR="008B470A" w:rsidRPr="0050146A" w:rsidRDefault="008B470A" w:rsidP="008B470A">
      <w:pPr>
        <w:pStyle w:val="a2"/>
        <w:rPr>
          <w:rtl/>
        </w:rPr>
      </w:pPr>
      <w:bookmarkStart w:id="4647" w:name="_Toc12378957"/>
      <w:r w:rsidRPr="0050146A">
        <w:rPr>
          <w:rFonts w:hint="cs"/>
          <w:rtl/>
        </w:rPr>
        <w:t>דברי הלב אריה דמבואר מדברי רבא דלרבנן במין בשאינו מינו הטעם כעיקר בקדשים ולא בחולין</w:t>
      </w:r>
      <w:bookmarkEnd w:id="4647"/>
    </w:p>
    <w:p w:rsidR="008B470A" w:rsidRPr="0050146A" w:rsidRDefault="008B470A" w:rsidP="009F44AF">
      <w:pPr>
        <w:pStyle w:val="a"/>
      </w:pPr>
      <w:r w:rsidRPr="0050146A">
        <w:rPr>
          <w:rFonts w:hint="cs"/>
          <w:rtl/>
        </w:rPr>
        <w:t xml:space="preserve">וכתב </w:t>
      </w:r>
      <w:r w:rsidRPr="0050146A">
        <w:rPr>
          <w:rStyle w:val="af8"/>
          <w:rFonts w:hint="cs"/>
          <w:rtl/>
        </w:rPr>
        <w:t>הלב אריה</w:t>
      </w:r>
      <w:r w:rsidRPr="0050146A">
        <w:rPr>
          <w:rFonts w:hint="cs"/>
          <w:rtl/>
        </w:rPr>
        <w:t xml:space="preserve"> דכיון דאמר רבא דדוקא בקדשים טעם כעיקר דהוא כממשו של האיסור לדעת ר"י במין במינו דאוסר במשהו, א"כ ה"ה לר"מ במין בשאינו מינו דאוסר בשישים, והיינו דוקא בקדשים אבל בחולין מוכח דס"ל לרבא דטעם כעיקר לאו דאו'.</w:t>
      </w:r>
    </w:p>
    <w:p w:rsidR="008B470A" w:rsidRPr="0050146A" w:rsidRDefault="008B470A" w:rsidP="008B470A">
      <w:pPr>
        <w:pStyle w:val="a2"/>
        <w:rPr>
          <w:rtl/>
        </w:rPr>
      </w:pPr>
      <w:bookmarkStart w:id="4648" w:name="_Toc12378958"/>
      <w:r w:rsidRPr="0050146A">
        <w:rPr>
          <w:rFonts w:hint="cs"/>
          <w:rtl/>
        </w:rPr>
        <w:t>ביאור התפארת יעקב ברש"י ביאר אליבא דר"י במין במינו וכיון דטע"כ דרבנן ה"ה במין בשאינו מינו</w:t>
      </w:r>
      <w:bookmarkEnd w:id="4648"/>
      <w:r w:rsidRPr="0050146A">
        <w:rPr>
          <w:rFonts w:hint="cs"/>
          <w:rtl/>
        </w:rPr>
        <w:t xml:space="preserve"> </w:t>
      </w:r>
    </w:p>
    <w:p w:rsidR="008B470A" w:rsidRPr="0050146A" w:rsidRDefault="008B470A" w:rsidP="009F44AF">
      <w:pPr>
        <w:pStyle w:val="a"/>
      </w:pPr>
      <w:r w:rsidRPr="0050146A">
        <w:rPr>
          <w:rFonts w:hint="cs"/>
          <w:rtl/>
        </w:rPr>
        <w:t xml:space="preserve">וכעי"ז תירץ </w:t>
      </w:r>
      <w:r w:rsidRPr="0050146A">
        <w:rPr>
          <w:rStyle w:val="af8"/>
          <w:rFonts w:hint="cs"/>
          <w:rtl/>
        </w:rPr>
        <w:t>התפארת יעקב בתירוצו הא'</w:t>
      </w:r>
      <w:r w:rsidRPr="0050146A">
        <w:rPr>
          <w:rFonts w:hint="cs"/>
          <w:rtl/>
        </w:rPr>
        <w:t xml:space="preserve"> </w:t>
      </w:r>
      <w:r w:rsidRPr="0050146A">
        <w:rPr>
          <w:rStyle w:val="af6"/>
          <w:rFonts w:eastAsia="Guttman Hodes" w:hint="cs"/>
          <w:rtl/>
        </w:rPr>
        <w:t xml:space="preserve">(על תוד"ה רבא) </w:t>
      </w:r>
      <w:r w:rsidRPr="0050146A">
        <w:rPr>
          <w:rFonts w:hint="cs"/>
          <w:rtl/>
        </w:rPr>
        <w:t>דרבא מודה לאביי דהביאור ב</w:t>
      </w:r>
      <w:r w:rsidRPr="0050146A">
        <w:rPr>
          <w:rtl/>
        </w:rPr>
        <w:t>ברייתא "זהו היתר הבא מכלל איסור",</w:t>
      </w:r>
      <w:r w:rsidRPr="0050146A">
        <w:rPr>
          <w:rFonts w:hint="cs"/>
          <w:rtl/>
        </w:rPr>
        <w:t xml:space="preserve"> הוא אליבא דר"י דמין במינו אסור, </w:t>
      </w:r>
      <w:r w:rsidRPr="0050146A">
        <w:rPr>
          <w:rStyle w:val="afa"/>
          <w:rFonts w:hint="cs"/>
          <w:rtl/>
        </w:rPr>
        <w:t xml:space="preserve">[כדביאר </w:t>
      </w:r>
      <w:r w:rsidRPr="0050146A">
        <w:rPr>
          <w:rStyle w:val="affa"/>
          <w:rFonts w:hint="cs"/>
          <w:rtl/>
        </w:rPr>
        <w:t>הר"ן</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Ref12379108 \n \h</w:instrText>
      </w:r>
      <w:r w:rsidRPr="0050146A">
        <w:rPr>
          <w:rStyle w:val="aff6"/>
          <w:rtl/>
        </w:rPr>
        <w:instrText xml:space="preserve">  \* </w:instrText>
      </w:r>
      <w:r w:rsidRPr="0050146A">
        <w:rPr>
          <w:rStyle w:val="aff6"/>
        </w:rPr>
        <w:instrText>MERGEFORMAT</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נד)</w:t>
      </w:r>
      <w:r w:rsidRPr="0050146A">
        <w:rPr>
          <w:rStyle w:val="aff6"/>
          <w:rtl/>
        </w:rPr>
        <w:fldChar w:fldCharType="end"/>
      </w:r>
      <w:r w:rsidRPr="0050146A">
        <w:rPr>
          <w:rStyle w:val="afa"/>
          <w:rFonts w:hint="cs"/>
          <w:rtl/>
        </w:rPr>
        <w:t xml:space="preserve">], </w:t>
      </w:r>
      <w:r w:rsidRPr="0050146A">
        <w:rPr>
          <w:rFonts w:hint="cs"/>
          <w:rtl/>
        </w:rPr>
        <w:t xml:space="preserve">אלא דלאביי דטעם כעיקר דאו', א"כ אף הטעם אינו בטל במין במינו, דהא הטעם הוא כעיקר ממש, אבל לרבא דטעם כעיקר דרבנן, א"כ אין כל חילוק בטעם בין מין במינו למין בשאינו מינו, דבמין במינו רק העיקר אינו בטל לר"י, אבל הטעם בטל אף במין במינו, וא"כ לא שייך לומר דמזרוע בשלה ילפינן לחולין, דהא בחולין טעם כעיקר בטל, ולכן ביאר רבא דהכוונה לטעם כעיקר בקדשים דילפינן מחטאת דבקדשים הטעם אינו בטל במין בשאינו מינו, וא"כ אף במין במינו לר"י לא מתבטל הטעם, וזהו ההיתר בזרוע בשלה דאף דהוא מין במינו מהני ביה ביטול לר"י, וע"ע במה שתירץ </w:t>
      </w:r>
      <w:r w:rsidRPr="0050146A">
        <w:rPr>
          <w:rStyle w:val="af8"/>
          <w:rFonts w:hint="cs"/>
          <w:rtl/>
        </w:rPr>
        <w:t>התפארת יעקב בתירוצו הב'</w:t>
      </w:r>
      <w:r w:rsidRPr="0050146A">
        <w:rPr>
          <w:rFonts w:hint="cs"/>
          <w:rtl/>
        </w:rPr>
        <w:t xml:space="preserve"> </w:t>
      </w:r>
      <w:r w:rsidRPr="0050146A">
        <w:rPr>
          <w:rStyle w:val="af6"/>
          <w:rFonts w:eastAsia="Guttman Hodes" w:hint="cs"/>
          <w:rtl/>
        </w:rPr>
        <w:t xml:space="preserve">(ד"ה ועוד יש) </w:t>
      </w:r>
      <w:r w:rsidRPr="0050146A">
        <w:rPr>
          <w:rStyle w:val="af8"/>
          <w:rFonts w:hint="cs"/>
          <w:rtl/>
        </w:rPr>
        <w:t>ובתירוצו הג'</w:t>
      </w:r>
      <w:r w:rsidRPr="0050146A">
        <w:rPr>
          <w:rFonts w:hint="cs"/>
          <w:rtl/>
        </w:rPr>
        <w:t xml:space="preserve"> </w:t>
      </w:r>
      <w:r w:rsidRPr="0050146A">
        <w:rPr>
          <w:rStyle w:val="af6"/>
          <w:rFonts w:eastAsia="Guttman Hodes" w:hint="cs"/>
          <w:rtl/>
        </w:rPr>
        <w:t>(ד"ה אבל לדעתי)</w:t>
      </w:r>
      <w:r w:rsidRPr="0050146A">
        <w:rPr>
          <w:rFonts w:hint="cs"/>
          <w:rtl/>
        </w:rPr>
        <w:t>.</w:t>
      </w:r>
    </w:p>
    <w:p w:rsidR="008B470A" w:rsidRPr="0050146A" w:rsidRDefault="008B470A" w:rsidP="008B470A">
      <w:pPr>
        <w:pStyle w:val="a2"/>
        <w:rPr>
          <w:rtl/>
        </w:rPr>
      </w:pPr>
      <w:bookmarkStart w:id="4649" w:name="_Toc12378959"/>
      <w:r w:rsidRPr="0050146A">
        <w:rPr>
          <w:rFonts w:hint="cs"/>
          <w:rtl/>
        </w:rPr>
        <w:t>ביאור הפורת יוסף ברש"י דקדשים שנתערבו בחולין בשישים ובנתערבו בקדשים אחרים במשהו</w:t>
      </w:r>
      <w:bookmarkEnd w:id="4649"/>
    </w:p>
    <w:p w:rsidR="008B470A" w:rsidRPr="0050146A" w:rsidRDefault="008B470A" w:rsidP="009F44AF">
      <w:pPr>
        <w:pStyle w:val="a"/>
        <w:rPr>
          <w:rtl/>
        </w:rPr>
      </w:pPr>
      <w:r w:rsidRPr="0050146A">
        <w:rPr>
          <w:rStyle w:val="af8"/>
          <w:rFonts w:hint="cs"/>
          <w:rtl/>
        </w:rPr>
        <w:lastRenderedPageBreak/>
        <w:t>והפורת יוסף</w:t>
      </w:r>
      <w:r w:rsidRPr="0050146A">
        <w:rPr>
          <w:rFonts w:hint="cs"/>
          <w:rtl/>
        </w:rPr>
        <w:t xml:space="preserve"> </w:t>
      </w:r>
      <w:r w:rsidRPr="0050146A">
        <w:rPr>
          <w:rStyle w:val="af6"/>
          <w:rFonts w:eastAsia="Guttman Hodes" w:hint="cs"/>
          <w:rtl/>
        </w:rPr>
        <w:t xml:space="preserve">(ד"ה בא"ד ועוד תימה) </w:t>
      </w:r>
      <w:r w:rsidRPr="0050146A">
        <w:rPr>
          <w:rFonts w:hint="cs"/>
          <w:rtl/>
        </w:rPr>
        <w:t xml:space="preserve">תירץ דאף </w:t>
      </w:r>
      <w:r w:rsidRPr="0050146A">
        <w:rPr>
          <w:rStyle w:val="af8"/>
          <w:rFonts w:hint="cs"/>
          <w:rtl/>
        </w:rPr>
        <w:t>רש"י</w:t>
      </w:r>
      <w:r w:rsidRPr="0050146A">
        <w:rPr>
          <w:rFonts w:hint="cs"/>
          <w:rtl/>
        </w:rPr>
        <w:t xml:space="preserve"> מודה דמהני בקדשים ביטול בשישים, אך רק לענין קדשים שנתערבו בחולין, אבל בקדשים בקדשים כגון חטאת שהתערבה בשלמים, בזה ס"ל </w:t>
      </w:r>
      <w:r w:rsidRPr="0050146A">
        <w:rPr>
          <w:rStyle w:val="af8"/>
          <w:rFonts w:hint="cs"/>
          <w:rtl/>
        </w:rPr>
        <w:t>לרש"י</w:t>
      </w:r>
      <w:r w:rsidRPr="0050146A">
        <w:rPr>
          <w:rFonts w:hint="cs"/>
          <w:rtl/>
        </w:rPr>
        <w:t xml:space="preserve"> דהאיסור הוא במשהו.</w:t>
      </w:r>
    </w:p>
    <w:p w:rsidR="008B470A" w:rsidRPr="0050146A" w:rsidRDefault="008B470A" w:rsidP="00E669F8">
      <w:pPr>
        <w:pStyle w:val="afd"/>
        <w:rPr>
          <w:rtl/>
        </w:rPr>
      </w:pPr>
      <w:bookmarkStart w:id="4650" w:name="_Toc12359774"/>
      <w:bookmarkStart w:id="4651" w:name="_Toc12378960"/>
      <w:bookmarkStart w:id="4652" w:name="_Toc12354371"/>
      <w:r w:rsidRPr="0050146A">
        <w:rPr>
          <w:rFonts w:hint="cs"/>
          <w:rtl/>
        </w:rPr>
        <w:t>בדעת רש"י בילפותא דזרוע בשלה לרבא</w:t>
      </w:r>
      <w:bookmarkEnd w:id="4650"/>
      <w:bookmarkEnd w:id="4651"/>
    </w:p>
    <w:p w:rsidR="008B470A" w:rsidRPr="0050146A" w:rsidRDefault="008B470A" w:rsidP="008B470A">
      <w:pPr>
        <w:pStyle w:val="1"/>
        <w:rPr>
          <w:rtl/>
        </w:rPr>
      </w:pPr>
      <w:bookmarkStart w:id="4653" w:name="_Toc12359775"/>
      <w:bookmarkStart w:id="4654" w:name="_Toc12378961"/>
      <w:r w:rsidRPr="0050146A">
        <w:rPr>
          <w:rFonts w:hint="cs"/>
          <w:rtl/>
        </w:rPr>
        <w:t>דברי המהרי"ק ברש"י דנח' אביי ורבא אי זרוע בשלה אסמכתא</w:t>
      </w:r>
      <w:bookmarkEnd w:id="4652"/>
      <w:bookmarkEnd w:id="4653"/>
      <w:bookmarkEnd w:id="4654"/>
    </w:p>
    <w:p w:rsidR="008B470A" w:rsidRPr="0050146A" w:rsidRDefault="008B470A" w:rsidP="008B470A">
      <w:pPr>
        <w:pStyle w:val="a2"/>
      </w:pPr>
      <w:bookmarkStart w:id="4655" w:name="_Toc12359776"/>
      <w:bookmarkStart w:id="4656" w:name="_Toc12378962"/>
      <w:bookmarkStart w:id="4657" w:name="_Toc12354375"/>
      <w:bookmarkStart w:id="4658" w:name="_Toc12354372"/>
      <w:r w:rsidRPr="0050146A">
        <w:rPr>
          <w:rFonts w:hint="cs"/>
          <w:rtl/>
        </w:rPr>
        <w:t>ביאור המהרי"ק ברש"י דלאביי אחר דילפינן מזרוע בשלה לא מהני רוב במקום שיש טעם</w:t>
      </w:r>
      <w:bookmarkEnd w:id="4655"/>
      <w:bookmarkEnd w:id="4656"/>
      <w:r w:rsidRPr="0050146A">
        <w:rPr>
          <w:rFonts w:hint="cs"/>
          <w:rtl/>
        </w:rPr>
        <w:t xml:space="preserve"> </w:t>
      </w:r>
      <w:bookmarkEnd w:id="4657"/>
    </w:p>
    <w:p w:rsidR="008B470A" w:rsidRPr="0050146A" w:rsidRDefault="008B470A" w:rsidP="009F44AF">
      <w:pPr>
        <w:pStyle w:val="a"/>
        <w:rPr>
          <w:rtl/>
        </w:rPr>
      </w:pPr>
      <w:bookmarkStart w:id="4659" w:name="_Ref12359373"/>
      <w:bookmarkEnd w:id="4658"/>
      <w:r w:rsidRPr="0050146A">
        <w:rPr>
          <w:rFonts w:hint="cs"/>
          <w:rtl/>
        </w:rPr>
        <w:t xml:space="preserve">כתב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(שורש קמ"ד ד"ה ואשר דקדקת) </w:t>
      </w:r>
      <w:r w:rsidRPr="0050146A">
        <w:rPr>
          <w:rFonts w:hint="cs"/>
          <w:rtl/>
        </w:rPr>
        <w:t xml:space="preserve">דבדעת אביי ס"ל </w:t>
      </w:r>
      <w:r w:rsidRPr="0050146A">
        <w:rPr>
          <w:rStyle w:val="af8"/>
          <w:rFonts w:hint="cs"/>
          <w:rtl/>
        </w:rPr>
        <w:t>לרש"י</w:t>
      </w:r>
      <w:r w:rsidRPr="0050146A">
        <w:rPr>
          <w:rFonts w:hint="cs"/>
          <w:rtl/>
        </w:rPr>
        <w:t xml:space="preserve"> דהילפותא דזרוע בשלה היא ילפותא גמורה, דהא ס"ל דטעם כעיקר הוא דאו', וכדמוכח מהא דבדברי אביי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דמדאו') </w:t>
      </w:r>
      <w:r w:rsidRPr="0050146A">
        <w:rPr>
          <w:rFonts w:hint="cs"/>
          <w:rtl/>
        </w:rPr>
        <w:t xml:space="preserve">דאי לא ילפינן מזרוע בשלה, היה מהני ביטול ברוב כדילפינן מאחרי רבים להטות, וכתב </w:t>
      </w:r>
      <w:r w:rsidRPr="0050146A">
        <w:rPr>
          <w:rStyle w:val="af8"/>
          <w:rFonts w:hint="cs"/>
          <w:rtl/>
        </w:rPr>
        <w:t>המהרי"ק</w:t>
      </w:r>
      <w:r w:rsidRPr="0050146A">
        <w:rPr>
          <w:rFonts w:hint="cs"/>
          <w:rtl/>
        </w:rPr>
        <w:t xml:space="preserve"> דמשמע דלאביי אחר הילפותא מזרוע בשלה, לא ילפינן מאחרי רבים להטות לדין הטעם דאינו מתבטל ברוב, דהא ילפינן מזרוע בשלה שצריך שישים.</w:t>
      </w:r>
      <w:bookmarkEnd w:id="4659"/>
    </w:p>
    <w:p w:rsidR="008B470A" w:rsidRPr="0050146A" w:rsidRDefault="008B470A" w:rsidP="008B470A">
      <w:pPr>
        <w:pStyle w:val="a2"/>
        <w:rPr>
          <w:rtl/>
        </w:rPr>
      </w:pPr>
      <w:bookmarkStart w:id="4660" w:name="_Toc12359777"/>
      <w:bookmarkStart w:id="4661" w:name="_Toc12378963"/>
      <w:bookmarkStart w:id="4662" w:name="_Toc12354374"/>
      <w:r w:rsidRPr="0050146A">
        <w:rPr>
          <w:rFonts w:hint="cs"/>
          <w:rtl/>
        </w:rPr>
        <w:t>דברי המהרי"ק ברש"י דלרבא טע"כ דרבנן ואף בטעם יש ביטול ברוב וזרוע בשלה הוא אסמכתא</w:t>
      </w:r>
      <w:bookmarkEnd w:id="4660"/>
      <w:bookmarkEnd w:id="4661"/>
      <w:r w:rsidRPr="0050146A">
        <w:rPr>
          <w:rFonts w:hint="cs"/>
          <w:rtl/>
        </w:rPr>
        <w:t xml:space="preserve"> </w:t>
      </w:r>
    </w:p>
    <w:bookmarkEnd w:id="4662"/>
    <w:p w:rsidR="008B470A" w:rsidRPr="0050146A" w:rsidRDefault="008B470A" w:rsidP="009F44AF">
      <w:pPr>
        <w:pStyle w:val="a"/>
        <w:rPr>
          <w:rtl/>
        </w:rPr>
      </w:pPr>
      <w:r w:rsidRPr="0050146A">
        <w:rPr>
          <w:rFonts w:hint="cs"/>
          <w:rtl/>
        </w:rPr>
        <w:t xml:space="preserve">ואילו בדברי רבא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דלענין חולין ילפינן מזרוע בשלה את שיעור שישים, דהא קים לן מאחרי רבים להטות דיש ביטול ברוב, ומזרוע בשלה ילפינן להחמיר שלא יתבטל בפחות משישים או ממאה, וכתב </w:t>
      </w:r>
      <w:r w:rsidRPr="0050146A">
        <w:rPr>
          <w:rStyle w:val="af8"/>
          <w:rFonts w:hint="cs"/>
          <w:rtl/>
        </w:rPr>
        <w:t>המהרי"ק</w:t>
      </w:r>
      <w:r w:rsidRPr="0050146A">
        <w:rPr>
          <w:rFonts w:hint="cs"/>
          <w:rtl/>
        </w:rPr>
        <w:t xml:space="preserve"> דכיון דכתב </w:t>
      </w:r>
      <w:r w:rsidRPr="0050146A">
        <w:rPr>
          <w:rStyle w:val="af8"/>
          <w:rFonts w:hint="cs"/>
          <w:rtl/>
        </w:rPr>
        <w:t>רש"י</w:t>
      </w:r>
      <w:r w:rsidRPr="0050146A">
        <w:rPr>
          <w:rFonts w:hint="cs"/>
          <w:rtl/>
        </w:rPr>
        <w:t xml:space="preserve"> דילפינן מאחרי רבים להטות, א"כ משמע דלדעת רבא מדאו' יש בטעם ביטול מדין אחרי רבים להטות, והילפותא מזרוע בשלה היא אסמכתא מדרבנן, דהחמירו להצריך שישים, וכתב </w:t>
      </w:r>
      <w:r w:rsidRPr="0050146A">
        <w:rPr>
          <w:rStyle w:val="af8"/>
          <w:rFonts w:hint="cs"/>
          <w:rtl/>
        </w:rPr>
        <w:t>המהרי"ק</w:t>
      </w:r>
      <w:r w:rsidRPr="0050146A">
        <w:rPr>
          <w:rFonts w:hint="cs"/>
          <w:rtl/>
        </w:rPr>
        <w:t xml:space="preserve"> דאי ס"ל </w:t>
      </w:r>
      <w:r w:rsidRPr="0050146A">
        <w:rPr>
          <w:rStyle w:val="af8"/>
          <w:rFonts w:hint="cs"/>
          <w:rtl/>
        </w:rPr>
        <w:t>לרש"י</w:t>
      </w:r>
      <w:r w:rsidRPr="0050146A">
        <w:rPr>
          <w:rFonts w:hint="cs"/>
          <w:rtl/>
        </w:rPr>
        <w:t xml:space="preserve"> דאף לדעת רבא לא ילפינן בטעם מדין אחרי רבים להטות, ומדינא אין ביטול ברוב, א"כ היה </w:t>
      </w:r>
      <w:r w:rsidRPr="0050146A">
        <w:rPr>
          <w:rStyle w:val="af8"/>
          <w:rFonts w:hint="cs"/>
          <w:rtl/>
        </w:rPr>
        <w:t>לרש"י</w:t>
      </w:r>
      <w:r w:rsidRPr="0050146A">
        <w:rPr>
          <w:rFonts w:hint="cs"/>
          <w:rtl/>
        </w:rPr>
        <w:t xml:space="preserve"> לבאר בדברי רבא כדביאר בדברי אביי, דרק לולי הילפותא מזרוע בשלה, היה מהני ביטול ברוב מדין אחרי רבים להטות, ועי' בדברי </w:t>
      </w:r>
      <w:r w:rsidRPr="0050146A">
        <w:rPr>
          <w:rStyle w:val="af8"/>
          <w:rFonts w:hint="cs"/>
          <w:rtl/>
        </w:rPr>
        <w:t>החת"ס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Ref12359352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50146A">
        <w:rPr>
          <w:rStyle w:val="af6"/>
          <w:rFonts w:eastAsia="Guttman Hodes"/>
          <w:rtl/>
        </w:rPr>
        <w:fldChar w:fldCharType="end"/>
      </w:r>
      <w:r w:rsidRPr="0050146A">
        <w:rPr>
          <w:rFonts w:hint="cs"/>
          <w:rtl/>
        </w:rPr>
        <w:t>.</w:t>
      </w:r>
    </w:p>
    <w:p w:rsidR="008B470A" w:rsidRPr="0050146A" w:rsidRDefault="008B470A" w:rsidP="008B470A">
      <w:pPr>
        <w:pStyle w:val="1"/>
        <w:rPr>
          <w:rtl/>
        </w:rPr>
      </w:pPr>
      <w:bookmarkStart w:id="4663" w:name="_Toc12354376"/>
      <w:bookmarkStart w:id="4664" w:name="_Toc12359778"/>
      <w:bookmarkStart w:id="4665" w:name="_Toc12378964"/>
      <w:r w:rsidRPr="0050146A">
        <w:rPr>
          <w:rFonts w:hint="cs"/>
          <w:rtl/>
        </w:rPr>
        <w:t>ביאור החת"ס ברש"י דלרבא בזרוע בשלה מותר טעם ביותר מס'</w:t>
      </w:r>
      <w:bookmarkEnd w:id="4663"/>
      <w:bookmarkEnd w:id="4664"/>
      <w:bookmarkEnd w:id="4665"/>
    </w:p>
    <w:p w:rsidR="008B470A" w:rsidRPr="0050146A" w:rsidRDefault="008B470A" w:rsidP="008B470A">
      <w:pPr>
        <w:pStyle w:val="a2"/>
      </w:pPr>
      <w:bookmarkStart w:id="4666" w:name="_Toc12359779"/>
      <w:bookmarkStart w:id="4667" w:name="_Toc12378965"/>
      <w:r w:rsidRPr="0050146A">
        <w:rPr>
          <w:rFonts w:hint="cs"/>
          <w:rtl/>
        </w:rPr>
        <w:t>ביאור החת"ס ברש"י דטעם כעיקר דרבנן ושיעור שישים דאו' ואינו מדין טעם</w:t>
      </w:r>
      <w:bookmarkEnd w:id="4666"/>
      <w:bookmarkEnd w:id="4667"/>
    </w:p>
    <w:p w:rsidR="008B470A" w:rsidRPr="0050146A" w:rsidRDefault="008B470A" w:rsidP="009F44AF">
      <w:pPr>
        <w:pStyle w:val="a"/>
        <w:rPr>
          <w:rtl/>
        </w:rPr>
      </w:pPr>
      <w:bookmarkStart w:id="4668" w:name="_Ref12359352"/>
      <w:r w:rsidRPr="0050146A">
        <w:rPr>
          <w:rStyle w:val="af8"/>
          <w:rFonts w:hint="cs"/>
          <w:rtl/>
        </w:rPr>
        <w:t xml:space="preserve">והחת"ס </w:t>
      </w:r>
      <w:r w:rsidRPr="0050146A">
        <w:rPr>
          <w:rStyle w:val="aff6"/>
          <w:rFonts w:hint="cs"/>
          <w:rtl/>
        </w:rPr>
        <w:t>(צח. ד"ה כל)</w:t>
      </w:r>
      <w:r w:rsidRPr="0050146A">
        <w:rPr>
          <w:rFonts w:hint="cs"/>
          <w:rtl/>
        </w:rPr>
        <w:t xml:space="preserve"> כתב דלדעת </w:t>
      </w:r>
      <w:r w:rsidRPr="0050146A">
        <w:rPr>
          <w:rStyle w:val="af8"/>
          <w:rFonts w:hint="cs"/>
          <w:rtl/>
        </w:rPr>
        <w:t>רש"י</w:t>
      </w:r>
      <w:r w:rsidRPr="0050146A">
        <w:rPr>
          <w:rFonts w:hint="cs"/>
          <w:rtl/>
        </w:rPr>
        <w:t xml:space="preserve"> הילפותא מזרוע בשלה, היא ילפותא גמורה, </w:t>
      </w:r>
      <w:r w:rsidRPr="0050146A">
        <w:rPr>
          <w:rStyle w:val="afa"/>
          <w:rFonts w:hint="cs"/>
          <w:rtl/>
        </w:rPr>
        <w:t>[אף לדעת רבא],</w:t>
      </w:r>
      <w:r w:rsidRPr="0050146A">
        <w:rPr>
          <w:rFonts w:hint="cs"/>
          <w:rtl/>
        </w:rPr>
        <w:t xml:space="preserve"> ושיעור שישים הוא מדאו' או שהוא קרוב לדאו', דאף דבזרוע בשלה יש שישים, מ"מ ס"ל </w:t>
      </w:r>
      <w:r w:rsidRPr="0050146A">
        <w:rPr>
          <w:rStyle w:val="af8"/>
          <w:rFonts w:hint="cs"/>
          <w:rtl/>
        </w:rPr>
        <w:t>לרש"י</w:t>
      </w:r>
      <w:r w:rsidRPr="0050146A">
        <w:rPr>
          <w:rFonts w:hint="cs"/>
          <w:rtl/>
        </w:rPr>
        <w:t xml:space="preserve"> דאף במקום שיש שישים יתכן שתהיה נתינת טעם, </w:t>
      </w:r>
      <w:r w:rsidRPr="0050146A">
        <w:rPr>
          <w:rStyle w:val="afa"/>
          <w:rFonts w:hint="cs"/>
          <w:rtl/>
        </w:rPr>
        <w:t>[וכמבואר מדברי</w:t>
      </w:r>
      <w:r w:rsidRPr="0050146A">
        <w:rPr>
          <w:rStyle w:val="affa"/>
          <w:rFonts w:hint="cs"/>
          <w:rtl/>
        </w:rPr>
        <w:t xml:space="preserve"> רש"י </w:t>
      </w:r>
      <w:r w:rsidRPr="0050146A">
        <w:rPr>
          <w:rStyle w:val="aff6"/>
          <w:rFonts w:hint="cs"/>
          <w:rtl/>
        </w:rPr>
        <w:t>(צח. ד"ה ושניהם)</w:t>
      </w:r>
      <w:r w:rsidRPr="0050146A">
        <w:rPr>
          <w:rStyle w:val="afa"/>
          <w:rFonts w:hint="cs"/>
          <w:rtl/>
        </w:rPr>
        <w:t xml:space="preserve">], </w:t>
      </w:r>
      <w:r w:rsidRPr="0050146A">
        <w:rPr>
          <w:rFonts w:hint="cs"/>
          <w:rtl/>
        </w:rPr>
        <w:t xml:space="preserve">ודין שישים אינו שייך לטעם כלל, ובין במקום שיש טעם, ובין במקום שאין טעם, צריך שיעור שישים, והוא גזיה"כ דאף כשיש טעם המורגש מ"מ מהני ביטול בשישים, וכיון דס"ל </w:t>
      </w:r>
      <w:r w:rsidRPr="0050146A">
        <w:rPr>
          <w:rStyle w:val="af8"/>
          <w:rFonts w:hint="cs"/>
          <w:rtl/>
        </w:rPr>
        <w:t>לרש"י</w:t>
      </w:r>
      <w:r w:rsidRPr="0050146A">
        <w:rPr>
          <w:rFonts w:hint="cs"/>
          <w:rtl/>
        </w:rPr>
        <w:t xml:space="preserve"> דטעם כעיקר דרבנן, א"כ במקום שיש טעם רק מדרבנן לא מהני ביטול בשישים, ועי' בדברי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Ref12359373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50146A">
        <w:rPr>
          <w:rStyle w:val="af6"/>
          <w:rFonts w:eastAsia="Guttman Hodes"/>
          <w:rtl/>
        </w:rPr>
        <w:fldChar w:fldCharType="end"/>
      </w:r>
      <w:r w:rsidRPr="0050146A">
        <w:rPr>
          <w:rFonts w:hint="cs"/>
          <w:rtl/>
        </w:rPr>
        <w:t>.</w:t>
      </w:r>
      <w:bookmarkEnd w:id="4668"/>
    </w:p>
    <w:p w:rsidR="008B470A" w:rsidRPr="0050146A" w:rsidRDefault="008B470A" w:rsidP="008B470A">
      <w:pPr>
        <w:pStyle w:val="a2"/>
        <w:rPr>
          <w:rtl/>
        </w:rPr>
      </w:pPr>
      <w:bookmarkStart w:id="4669" w:name="_Toc12354377"/>
      <w:bookmarkStart w:id="4670" w:name="_Toc12359780"/>
      <w:bookmarkStart w:id="4671" w:name="_Toc12378966"/>
      <w:r w:rsidRPr="0050146A">
        <w:rPr>
          <w:rFonts w:hint="cs"/>
          <w:rtl/>
        </w:rPr>
        <w:t>ביאור החת"ס ברש"י דלרבא אף כשיש טעם ביותר משישים בזרוע בשלה מותר ובקדשים אסור</w:t>
      </w:r>
      <w:bookmarkEnd w:id="4669"/>
      <w:bookmarkEnd w:id="4670"/>
      <w:bookmarkEnd w:id="4671"/>
    </w:p>
    <w:p w:rsidR="002D7168" w:rsidRDefault="008B470A" w:rsidP="009F44AF">
      <w:pPr>
        <w:pStyle w:val="a"/>
        <w:rPr>
          <w:rtl/>
        </w:rPr>
      </w:pPr>
      <w:bookmarkStart w:id="4672" w:name="_Ref12359297"/>
      <w:r w:rsidRPr="0050146A">
        <w:rPr>
          <w:rFonts w:hint="cs"/>
          <w:rtl/>
        </w:rPr>
        <w:t xml:space="preserve">והוסיף </w:t>
      </w:r>
      <w:r w:rsidRPr="0050146A">
        <w:rPr>
          <w:rStyle w:val="af8"/>
          <w:rFonts w:hint="cs"/>
          <w:rtl/>
        </w:rPr>
        <w:t>החת"ס</w:t>
      </w:r>
      <w:r w:rsidRPr="0050146A">
        <w:rPr>
          <w:rFonts w:hint="cs"/>
          <w:rtl/>
        </w:rPr>
        <w:t xml:space="preserve"> </w:t>
      </w:r>
      <w:r w:rsidRPr="0050146A">
        <w:rPr>
          <w:rStyle w:val="af6"/>
          <w:rFonts w:eastAsia="Guttman Hodes" w:hint="cs"/>
          <w:rtl/>
        </w:rPr>
        <w:t>(ד"ה וא"ש)</w:t>
      </w:r>
      <w:r w:rsidRPr="0050146A">
        <w:rPr>
          <w:rFonts w:hint="cs"/>
          <w:rtl/>
        </w:rPr>
        <w:t xml:space="preserve"> דלפי"ז מבואר לדעת </w:t>
      </w:r>
      <w:r w:rsidRPr="0050146A">
        <w:rPr>
          <w:rStyle w:val="af8"/>
          <w:rFonts w:hint="cs"/>
          <w:rtl/>
        </w:rPr>
        <w:t xml:space="preserve">רש"י </w:t>
      </w:r>
      <w:r w:rsidRPr="0050146A">
        <w:rPr>
          <w:rFonts w:hint="cs"/>
          <w:rtl/>
        </w:rPr>
        <w:t xml:space="preserve">הא דרבא ביאר את לשון הברייתא "זהו היתר הבא מכלל איסור" דבזרוע בשלה מותר טעם כעיקר אף דבקדשים טעם כעיקר אסור, דכוונת רבא לומר דבזרוע בשלה כיון שיש יותר משישים מותר, אעפ"י אם עדיין יש טעם ביותר משישים, ובחולין טעם כעיקר אינו מדאו', ובקדשים טעם כעיקר דאו', וכעי"ז ביאר </w:t>
      </w:r>
      <w:r w:rsidRPr="0050146A">
        <w:rPr>
          <w:rStyle w:val="af8"/>
          <w:rFonts w:hint="cs"/>
          <w:rtl/>
        </w:rPr>
        <w:t>היד יהודה</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Ref12354837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Fonts w:hint="cs"/>
          <w:rtl/>
        </w:rPr>
        <w:t>.</w:t>
      </w:r>
      <w:bookmarkEnd w:id="4672"/>
    </w:p>
    <w:p w:rsidR="008B470A" w:rsidRPr="0050146A" w:rsidRDefault="008B470A" w:rsidP="008B470A">
      <w:pPr>
        <w:pStyle w:val="a2"/>
        <w:rPr>
          <w:rtl/>
        </w:rPr>
      </w:pPr>
      <w:bookmarkStart w:id="4673" w:name="_Toc12354378"/>
      <w:bookmarkStart w:id="4674" w:name="_Toc12359781"/>
      <w:bookmarkStart w:id="4675" w:name="_Toc12378967"/>
      <w:r w:rsidRPr="0050146A">
        <w:rPr>
          <w:rFonts w:hint="cs"/>
          <w:rtl/>
        </w:rPr>
        <w:t>דברי החת"ס ברש"י דלרבנן דר"י אף במין במינו שיעור שישים הוא מדאו' כדילפינן מזרוע בשלה</w:t>
      </w:r>
      <w:bookmarkEnd w:id="4673"/>
      <w:bookmarkEnd w:id="4674"/>
      <w:bookmarkEnd w:id="4675"/>
    </w:p>
    <w:p w:rsidR="008B470A" w:rsidRPr="0050146A" w:rsidRDefault="008B470A" w:rsidP="009F44AF">
      <w:pPr>
        <w:pStyle w:val="a"/>
        <w:rPr>
          <w:rtl/>
        </w:rPr>
      </w:pPr>
      <w:r w:rsidRPr="0050146A">
        <w:rPr>
          <w:rFonts w:hint="cs"/>
          <w:rtl/>
        </w:rPr>
        <w:t xml:space="preserve">והוסיף </w:t>
      </w:r>
      <w:r w:rsidRPr="0050146A">
        <w:rPr>
          <w:rStyle w:val="af8"/>
          <w:rFonts w:hint="cs"/>
          <w:rtl/>
        </w:rPr>
        <w:t>החת"ס</w:t>
      </w:r>
      <w:r w:rsidRPr="0050146A">
        <w:rPr>
          <w:rFonts w:hint="cs"/>
          <w:rtl/>
        </w:rPr>
        <w:t xml:space="preserve"> דקרוב לודאי דאף במין במינו ס"ל </w:t>
      </w:r>
      <w:r w:rsidRPr="0050146A">
        <w:rPr>
          <w:rStyle w:val="af8"/>
          <w:rFonts w:hint="cs"/>
          <w:rtl/>
        </w:rPr>
        <w:t>לרש"י</w:t>
      </w:r>
      <w:r w:rsidRPr="0050146A">
        <w:rPr>
          <w:rFonts w:hint="cs"/>
          <w:rtl/>
        </w:rPr>
        <w:t xml:space="preserve"> דמדאו' צריך שישים, כדילפינן מזרוע בשלה, אלא דלהלכה פוסק </w:t>
      </w:r>
      <w:r w:rsidRPr="0050146A">
        <w:rPr>
          <w:rStyle w:val="af8"/>
          <w:rFonts w:hint="cs"/>
          <w:rtl/>
        </w:rPr>
        <w:t>רש"י</w:t>
      </w:r>
      <w:r w:rsidRPr="0050146A">
        <w:rPr>
          <w:rFonts w:hint="cs"/>
          <w:rtl/>
        </w:rPr>
        <w:t xml:space="preserve"> דמין במינו לא בטיל כר"י, ורק בזרוע בשלה אמרינן "זהו היתר הבא מכלל איסור", דמהני בו ביטול אף שהוא מין במינו, אך ודאי </w:t>
      </w:r>
      <w:r w:rsidRPr="0050146A">
        <w:rPr>
          <w:rFonts w:hint="cs"/>
          <w:rtl/>
        </w:rPr>
        <w:t>דאף לרבנן דר"י דיש ביטול במין במינו, לא מהני ביטול בפחות משישים.</w:t>
      </w:r>
    </w:p>
    <w:p w:rsidR="008B470A" w:rsidRPr="0050146A" w:rsidRDefault="008B470A" w:rsidP="008B470A">
      <w:pPr>
        <w:pStyle w:val="a2"/>
      </w:pPr>
      <w:bookmarkStart w:id="4676" w:name="_Toc12354379"/>
      <w:bookmarkStart w:id="4677" w:name="_Toc12359782"/>
      <w:bookmarkStart w:id="4678" w:name="_Toc12378968"/>
      <w:r w:rsidRPr="0050146A">
        <w:rPr>
          <w:rFonts w:hint="cs"/>
          <w:rtl/>
        </w:rPr>
        <w:t>קושית החת"ס דזרוע בשלה הוא מין במינו ולא שייך לומר דיש בו היתר דטעמו מותר</w:t>
      </w:r>
      <w:bookmarkEnd w:id="4676"/>
      <w:bookmarkEnd w:id="4677"/>
      <w:bookmarkEnd w:id="4678"/>
    </w:p>
    <w:p w:rsidR="008B470A" w:rsidRPr="0050146A" w:rsidRDefault="008B470A" w:rsidP="009F44AF">
      <w:pPr>
        <w:pStyle w:val="a"/>
        <w:rPr>
          <w:rtl/>
        </w:rPr>
      </w:pPr>
      <w:r w:rsidRPr="0050146A">
        <w:rPr>
          <w:rFonts w:hint="cs"/>
          <w:rtl/>
        </w:rPr>
        <w:t xml:space="preserve">אך הקשה </w:t>
      </w:r>
      <w:r w:rsidRPr="0050146A">
        <w:rPr>
          <w:rStyle w:val="af8"/>
          <w:rFonts w:hint="cs"/>
          <w:rtl/>
        </w:rPr>
        <w:t>החת"ס</w:t>
      </w:r>
      <w:r w:rsidRPr="0050146A">
        <w:rPr>
          <w:rFonts w:hint="cs"/>
          <w:rtl/>
        </w:rPr>
        <w:t xml:space="preserve"> דהא זרוע בשלה הוא מין במינו ואין בו טעם כלל, ויש בו שישים ומאה, וא"כ מה שייך לשון היתר הבא מכלל איסור, אלא כתב </w:t>
      </w:r>
      <w:r w:rsidRPr="0050146A">
        <w:rPr>
          <w:rStyle w:val="af8"/>
          <w:rFonts w:hint="cs"/>
          <w:rtl/>
        </w:rPr>
        <w:t>החת"ס</w:t>
      </w:r>
      <w:r w:rsidRPr="0050146A">
        <w:rPr>
          <w:rFonts w:hint="cs"/>
          <w:rtl/>
        </w:rPr>
        <w:t xml:space="preserve"> דמוכח כדברי </w:t>
      </w:r>
      <w:r w:rsidRPr="0050146A">
        <w:rPr>
          <w:rStyle w:val="af8"/>
          <w:rFonts w:hint="cs"/>
          <w:rtl/>
        </w:rPr>
        <w:t>הר"ן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Ref12379108 \n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50146A">
        <w:rPr>
          <w:rStyle w:val="af6"/>
          <w:rFonts w:eastAsia="Guttman Hodes"/>
          <w:rtl/>
        </w:rPr>
        <w:fldChar w:fldCharType="end"/>
      </w:r>
      <w:r w:rsidRPr="0050146A">
        <w:rPr>
          <w:rFonts w:hint="cs"/>
          <w:rtl/>
        </w:rPr>
        <w:t xml:space="preserve"> דתירוץ רבא קאי על תירוץ אביי דהוי מין במינו ובזרוע בשלה אינו מתבטל כתערובת ממש אלא הביטול.</w:t>
      </w:r>
    </w:p>
    <w:p w:rsidR="008B470A" w:rsidRPr="0050146A" w:rsidRDefault="008B470A" w:rsidP="00E669F8">
      <w:pPr>
        <w:pStyle w:val="afd"/>
        <w:rPr>
          <w:rtl/>
        </w:rPr>
      </w:pPr>
      <w:bookmarkStart w:id="4679" w:name="_Toc12205434"/>
      <w:bookmarkStart w:id="4680" w:name="_Toc12221366"/>
      <w:bookmarkStart w:id="4681" w:name="_Toc12354380"/>
      <w:bookmarkStart w:id="4682" w:name="_Toc12359787"/>
      <w:bookmarkStart w:id="4683" w:name="_Toc12378969"/>
      <w:r w:rsidRPr="0050146A">
        <w:rPr>
          <w:rFonts w:hint="cs"/>
          <w:rtl/>
        </w:rPr>
        <w:t xml:space="preserve">דעת התוס' </w:t>
      </w:r>
      <w:bookmarkEnd w:id="4679"/>
      <w:bookmarkEnd w:id="4680"/>
      <w:bookmarkEnd w:id="4681"/>
      <w:bookmarkEnd w:id="4682"/>
      <w:r w:rsidRPr="0050146A">
        <w:rPr>
          <w:rFonts w:hint="cs"/>
          <w:rtl/>
        </w:rPr>
        <w:t>דטעם כעיקר דאו' אף בחולין</w:t>
      </w:r>
      <w:bookmarkEnd w:id="4683"/>
    </w:p>
    <w:p w:rsidR="008B470A" w:rsidRPr="0050146A" w:rsidRDefault="008B470A" w:rsidP="008B470A">
      <w:pPr>
        <w:pStyle w:val="1"/>
        <w:rPr>
          <w:rtl/>
        </w:rPr>
      </w:pPr>
      <w:bookmarkStart w:id="4684" w:name="_Toc12378970"/>
      <w:bookmarkStart w:id="4685" w:name="_Toc11698091"/>
      <w:bookmarkStart w:id="4686" w:name="_Toc12205437"/>
      <w:bookmarkStart w:id="4687" w:name="_Toc12221369"/>
      <w:bookmarkStart w:id="4688" w:name="_Toc12354383"/>
      <w:bookmarkStart w:id="4689" w:name="_Toc12359790"/>
      <w:r w:rsidRPr="0050146A">
        <w:rPr>
          <w:rFonts w:hint="cs"/>
          <w:rtl/>
        </w:rPr>
        <w:t>ביאור התוס' דטעם כעיקר דאו' בין בחולין ובין בקדשים</w:t>
      </w:r>
      <w:bookmarkEnd w:id="4684"/>
    </w:p>
    <w:p w:rsidR="008B470A" w:rsidRPr="0050146A" w:rsidRDefault="008B470A" w:rsidP="008B470A">
      <w:pPr>
        <w:pStyle w:val="a2"/>
        <w:rPr>
          <w:rtl/>
        </w:rPr>
      </w:pPr>
      <w:bookmarkStart w:id="4690" w:name="_Toc11698092"/>
      <w:bookmarkStart w:id="4691" w:name="_Toc12205438"/>
      <w:bookmarkStart w:id="4692" w:name="_Toc12221370"/>
      <w:bookmarkStart w:id="4693" w:name="_Toc12354384"/>
      <w:bookmarkStart w:id="4694" w:name="_Toc12359791"/>
      <w:bookmarkStart w:id="4695" w:name="_Toc12378971"/>
      <w:bookmarkEnd w:id="4685"/>
      <w:bookmarkEnd w:id="4686"/>
      <w:bookmarkEnd w:id="4687"/>
      <w:bookmarkEnd w:id="4688"/>
      <w:bookmarkEnd w:id="4689"/>
      <w:r w:rsidRPr="0050146A">
        <w:rPr>
          <w:rFonts w:hint="cs"/>
          <w:rtl/>
        </w:rPr>
        <w:t>ביאור התוס' דלרבא טע"כ דאו' ובקדשים ילפינן מחטאת ובחולין ממשרת</w:t>
      </w:r>
      <w:bookmarkEnd w:id="4690"/>
      <w:bookmarkEnd w:id="4691"/>
      <w:bookmarkEnd w:id="4692"/>
      <w:bookmarkEnd w:id="4693"/>
      <w:bookmarkEnd w:id="4694"/>
      <w:r w:rsidRPr="0050146A">
        <w:rPr>
          <w:rFonts w:hint="cs"/>
          <w:rtl/>
        </w:rPr>
        <w:t xml:space="preserve"> ולא מזרוע בשלה</w:t>
      </w:r>
      <w:bookmarkEnd w:id="4695"/>
    </w:p>
    <w:p w:rsidR="008B470A" w:rsidRPr="0050146A" w:rsidRDefault="008B470A" w:rsidP="009F44AF">
      <w:pPr>
        <w:pStyle w:val="a"/>
        <w:rPr>
          <w:rtl/>
        </w:rPr>
      </w:pPr>
      <w:bookmarkStart w:id="4696" w:name="_Toc11698093"/>
      <w:r w:rsidRPr="0050146A">
        <w:rPr>
          <w:rFonts w:hint="cs"/>
          <w:rtl/>
        </w:rPr>
        <w:t xml:space="preserve">ובדברי רבא דטעם כעיקר בקדשים אסור, ביארו </w:t>
      </w:r>
      <w:r w:rsidRPr="0050146A">
        <w:rPr>
          <w:rStyle w:val="af8"/>
          <w:rFonts w:hint="cs"/>
          <w:rtl/>
        </w:rPr>
        <w:t xml:space="preserve">התוס' </w:t>
      </w:r>
      <w:r w:rsidRPr="0050146A">
        <w:rPr>
          <w:rStyle w:val="af6"/>
          <w:rFonts w:eastAsia="Guttman Hodes" w:hint="cs"/>
          <w:rtl/>
        </w:rPr>
        <w:t>(ד"ה רבא)</w:t>
      </w:r>
      <w:r w:rsidRPr="0050146A">
        <w:rPr>
          <w:rFonts w:hint="cs"/>
          <w:rtl/>
        </w:rPr>
        <w:t xml:space="preserve"> </w:t>
      </w:r>
      <w:r w:rsidRPr="0050146A">
        <w:rPr>
          <w:rStyle w:val="af8"/>
          <w:rFonts w:hint="cs"/>
          <w:rtl/>
        </w:rPr>
        <w:t>והרא"ש</w:t>
      </w:r>
      <w:r w:rsidRPr="0050146A">
        <w:rPr>
          <w:rFonts w:hint="cs"/>
          <w:rtl/>
        </w:rPr>
        <w:t xml:space="preserve"> </w:t>
      </w:r>
      <w:r w:rsidRPr="0050146A">
        <w:rPr>
          <w:rStyle w:val="af6"/>
          <w:rFonts w:eastAsia="Guttman Hodes" w:hint="cs"/>
          <w:rtl/>
        </w:rPr>
        <w:t>(סי' ל"א)</w:t>
      </w:r>
      <w:r w:rsidRPr="0050146A">
        <w:rPr>
          <w:rFonts w:hint="cs"/>
          <w:rtl/>
        </w:rPr>
        <w:t xml:space="preserve"> דאין כוונת רבא לטעם משהו, </w:t>
      </w:r>
      <w:r w:rsidRPr="0050146A">
        <w:rPr>
          <w:rStyle w:val="afa"/>
          <w:rFonts w:hint="cs"/>
          <w:rtl/>
        </w:rPr>
        <w:t xml:space="preserve">[כדביארו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Ref12290115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ד)</w:t>
      </w:r>
      <w:r w:rsidRPr="0050146A">
        <w:rPr>
          <w:rStyle w:val="aff6"/>
          <w:rtl/>
        </w:rPr>
        <w:fldChar w:fldCharType="end"/>
      </w:r>
      <w:r w:rsidRPr="0050146A">
        <w:rPr>
          <w:rStyle w:val="aff6"/>
          <w:rFonts w:hint="cs"/>
          <w:rtl/>
        </w:rPr>
        <w:t xml:space="preserve"> </w:t>
      </w:r>
      <w:r w:rsidRPr="0050146A">
        <w:rPr>
          <w:rStyle w:val="afa"/>
          <w:rFonts w:hint="cs"/>
          <w:rtl/>
        </w:rPr>
        <w:t xml:space="preserve">בדעת </w:t>
      </w:r>
      <w:r w:rsidRPr="0050146A">
        <w:rPr>
          <w:rStyle w:val="affa"/>
          <w:rFonts w:hint="cs"/>
          <w:rtl/>
        </w:rPr>
        <w:t>רש"י</w:t>
      </w:r>
      <w:r w:rsidRPr="0050146A">
        <w:rPr>
          <w:rStyle w:val="afa"/>
          <w:rFonts w:hint="cs"/>
          <w:rtl/>
        </w:rPr>
        <w:t>],</w:t>
      </w:r>
      <w:r w:rsidRPr="0050146A">
        <w:rPr>
          <w:rFonts w:hint="cs"/>
          <w:rtl/>
        </w:rPr>
        <w:t xml:space="preserve"> אלא רבא איירי בטעם גמור, וזהו ההיתר בזרוע בשלה, דתני בברייתא "זהו היתר הבא מכלל איסור", דבקדשים ילפינן מחטאת דטעם כעיקר דאו', וכן בחולין ילפינן ממשרת בגמ'</w:t>
      </w:r>
      <w:r w:rsidRPr="0050146A">
        <w:rPr>
          <w:rStyle w:val="af6"/>
          <w:rFonts w:eastAsia="Guttman Hodes" w:hint="cs"/>
          <w:rtl/>
        </w:rPr>
        <w:t xml:space="preserve"> </w:t>
      </w:r>
      <w:r w:rsidRPr="0050146A">
        <w:rPr>
          <w:rFonts w:hint="cs"/>
          <w:rtl/>
        </w:rPr>
        <w:t>ב</w:t>
      </w:r>
      <w:r w:rsidRPr="0050146A">
        <w:rPr>
          <w:rtl/>
        </w:rPr>
        <w:t xml:space="preserve">פסחים </w:t>
      </w:r>
      <w:r w:rsidRPr="0050146A">
        <w:rPr>
          <w:rStyle w:val="af6"/>
          <w:rFonts w:eastAsia="Guttman Hodes" w:hint="cs"/>
          <w:rtl/>
        </w:rPr>
        <w:t xml:space="preserve">(מד.) </w:t>
      </w:r>
      <w:r w:rsidRPr="0050146A">
        <w:rPr>
          <w:rtl/>
        </w:rPr>
        <w:t xml:space="preserve">ובנזיר </w:t>
      </w:r>
      <w:r w:rsidRPr="0050146A">
        <w:rPr>
          <w:rStyle w:val="af6"/>
          <w:rFonts w:eastAsia="Guttman Hodes" w:hint="cs"/>
          <w:rtl/>
        </w:rPr>
        <w:t xml:space="preserve">(לז.) </w:t>
      </w:r>
      <w:r w:rsidRPr="0050146A">
        <w:rPr>
          <w:rFonts w:hint="cs"/>
          <w:rtl/>
        </w:rPr>
        <w:t xml:space="preserve">דטעם כעיקר דאו', ואילו בזרוע בשלה מותר, והוסיף </w:t>
      </w:r>
      <w:r w:rsidRPr="0050146A">
        <w:rPr>
          <w:rStyle w:val="af8"/>
          <w:rFonts w:hint="cs"/>
          <w:rtl/>
        </w:rPr>
        <w:t xml:space="preserve">התוס' הרא"ש </w:t>
      </w:r>
      <w:r w:rsidRPr="0050146A">
        <w:rPr>
          <w:rFonts w:hint="cs"/>
          <w:rtl/>
        </w:rPr>
        <w:t>דמזרוע בשלה לא ילפינן את דין טעם כעיקר ממש, והילפותא היא דמהני ביטול במאה ושישים דהוא ילפותא לחומרא.</w:t>
      </w:r>
    </w:p>
    <w:p w:rsidR="008B470A" w:rsidRPr="0050146A" w:rsidRDefault="008B470A" w:rsidP="008B470A">
      <w:pPr>
        <w:pStyle w:val="a2"/>
        <w:rPr>
          <w:rtl/>
        </w:rPr>
      </w:pPr>
      <w:bookmarkStart w:id="4697" w:name="_Toc12378972"/>
      <w:bookmarkStart w:id="4698" w:name="_Toc12205439"/>
      <w:bookmarkStart w:id="4699" w:name="_Toc12221371"/>
      <w:bookmarkStart w:id="4700" w:name="_Toc12354385"/>
      <w:bookmarkStart w:id="4701" w:name="_Toc12359792"/>
      <w:r w:rsidRPr="0050146A">
        <w:rPr>
          <w:rFonts w:hint="cs"/>
          <w:rtl/>
        </w:rPr>
        <w:t>דברי התוס' דא"א ללמוד מזרוע בשלה למין בשאינו מינו מזרוע בשלה היא אסמכתא</w:t>
      </w:r>
      <w:bookmarkEnd w:id="4697"/>
      <w:r w:rsidRPr="0050146A">
        <w:rPr>
          <w:rFonts w:hint="cs"/>
          <w:rtl/>
        </w:rPr>
        <w:t xml:space="preserve"> </w:t>
      </w:r>
    </w:p>
    <w:p w:rsidR="008B470A" w:rsidRPr="0050146A" w:rsidRDefault="008B470A" w:rsidP="009F44AF">
      <w:pPr>
        <w:pStyle w:val="a"/>
        <w:rPr>
          <w:rtl/>
        </w:rPr>
      </w:pPr>
      <w:r w:rsidRPr="0050146A">
        <w:rPr>
          <w:rFonts w:hint="cs"/>
          <w:rtl/>
        </w:rPr>
        <w:t xml:space="preserve">וכתבו </w:t>
      </w:r>
      <w:r w:rsidRPr="0050146A">
        <w:rPr>
          <w:rStyle w:val="af8"/>
          <w:rFonts w:hint="cs"/>
          <w:rtl/>
        </w:rPr>
        <w:t>התוס'</w:t>
      </w:r>
      <w:r w:rsidRPr="0050146A">
        <w:rPr>
          <w:rStyle w:val="af6"/>
          <w:rFonts w:eastAsia="Guttman Hodes" w:hint="cs"/>
          <w:rtl/>
        </w:rPr>
        <w:t xml:space="preserve"> (ד"ה ומאן, ד"ה לחומרא) </w:t>
      </w:r>
      <w:r w:rsidRPr="0050146A">
        <w:rPr>
          <w:rFonts w:hint="cs"/>
          <w:rtl/>
        </w:rPr>
        <w:t>דהילפותא מזרוע בשלה, אינה ילפותא גמורה שאפשר ללמוד ממנה דמין בשאינו מינו טעם כעיקר דאו', דהא זרוע בשלה הוא מין במינו, אלא דילפינן מזרוע בשלה לענין מין במינו לחומרא, דלא מהני ביטול ברוב, ובמין בשאינו מינו קים לן דביותר משישים או מאה אין נתינת טעם, והסמיכו רבנן גם את מין בשאינו מינו על הילפותא דזרוע בשלה.</w:t>
      </w:r>
    </w:p>
    <w:p w:rsidR="008B470A" w:rsidRPr="0050146A" w:rsidRDefault="008B470A" w:rsidP="008B470A">
      <w:pPr>
        <w:pStyle w:val="1"/>
      </w:pPr>
      <w:bookmarkStart w:id="4702" w:name="_Toc12378973"/>
      <w:r w:rsidRPr="0050146A">
        <w:rPr>
          <w:rFonts w:hint="cs"/>
          <w:rtl/>
        </w:rPr>
        <w:t>ביאור התוס' דאיירי דהזרוע ומקצת האיל מחוץ לרוטב</w:t>
      </w:r>
      <w:bookmarkEnd w:id="4702"/>
    </w:p>
    <w:p w:rsidR="008B470A" w:rsidRPr="0050146A" w:rsidRDefault="008B470A" w:rsidP="008B470A">
      <w:pPr>
        <w:pStyle w:val="a2"/>
      </w:pPr>
      <w:bookmarkStart w:id="4703" w:name="_Toc12378974"/>
      <w:r w:rsidRPr="0050146A">
        <w:rPr>
          <w:rFonts w:hint="cs"/>
          <w:rtl/>
        </w:rPr>
        <w:t>דברי התוס' דבקדשים מוכח דטע"כ דאו מהא דהתירה תורה זרוע בשלה אף כשאין שישים</w:t>
      </w:r>
      <w:bookmarkEnd w:id="4696"/>
      <w:bookmarkEnd w:id="4698"/>
      <w:bookmarkEnd w:id="4699"/>
      <w:bookmarkEnd w:id="4700"/>
      <w:bookmarkEnd w:id="4701"/>
      <w:bookmarkEnd w:id="4703"/>
    </w:p>
    <w:p w:rsidR="008B470A" w:rsidRPr="0050146A" w:rsidRDefault="008B470A" w:rsidP="009F44AF">
      <w:pPr>
        <w:pStyle w:val="a"/>
        <w:rPr>
          <w:rStyle w:val="afa"/>
          <w:rtl/>
        </w:rPr>
      </w:pPr>
      <w:r w:rsidRPr="0050146A">
        <w:rPr>
          <w:rFonts w:hint="cs"/>
          <w:rtl/>
        </w:rPr>
        <w:t xml:space="preserve">וביארו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Fonts w:hint="cs"/>
          <w:rtl/>
        </w:rPr>
        <w:t xml:space="preserve"> דאמר רבא "טעם כעיקר בקדשים" ולא איירי בדין החולין, כיון דהכא איירי בזרוע בשלה דהוא קדשים, ובזרוע בשלה תירץ רבא את לשון הברייתא "זהו היתר הבא מכלל איסור" דכיון שלפעמים הזרוע וכן חלק מהאיל הם מחוץ לרוטב, והזרוע נותנת טעם בחלק מהאיל שנמצא יחד עמה מחוץ לרוטב, ויתכן שיהיה מהשומן של הזרוע הרבה יותר ממקצת מהאיל שנמצא עמה, ויהיה במקצת האיל פחות מרוב מכנגד השומן של הזרוע, ולא יהיה בזה אפילו ביטול של חד בתרי, וכיון דהתירה התורה את הזרוע בשלה בכל אופן, א"כ מוכח דבזרוע בשלה התירה התורה טעם כעיקר. </w:t>
      </w:r>
      <w:bookmarkStart w:id="4704" w:name="_Toc11698094"/>
    </w:p>
    <w:p w:rsidR="008B470A" w:rsidRPr="0050146A" w:rsidRDefault="008B470A" w:rsidP="008B470A">
      <w:pPr>
        <w:pStyle w:val="a2"/>
        <w:rPr>
          <w:rtl/>
        </w:rPr>
      </w:pPr>
      <w:bookmarkStart w:id="4705" w:name="_Toc12378975"/>
      <w:r w:rsidRPr="0050146A">
        <w:rPr>
          <w:rFonts w:hint="cs"/>
          <w:rtl/>
        </w:rPr>
        <w:t>דחיית הרמב"ן דאי ההיתר הוא אף כשיש טעם בזרוע בשלה א"א ללמוד ממנה אף לחומרא</w:t>
      </w:r>
      <w:bookmarkEnd w:id="4705"/>
    </w:p>
    <w:p w:rsidR="008B470A" w:rsidRPr="0050146A" w:rsidRDefault="008B470A" w:rsidP="009F44AF">
      <w:pPr>
        <w:pStyle w:val="a"/>
        <w:rPr>
          <w:rtl/>
        </w:rPr>
      </w:pPr>
      <w:r w:rsidRPr="0050146A">
        <w:rPr>
          <w:rFonts w:hint="cs"/>
          <w:rtl/>
        </w:rPr>
        <w:t xml:space="preserve">ודחה </w:t>
      </w:r>
      <w:r w:rsidRPr="0050146A">
        <w:rPr>
          <w:rStyle w:val="af8"/>
          <w:rFonts w:hint="cs"/>
          <w:rtl/>
        </w:rPr>
        <w:t xml:space="preserve">הרמב"ן </w:t>
      </w:r>
      <w:r w:rsidRPr="0050146A">
        <w:rPr>
          <w:rStyle w:val="af6"/>
          <w:rFonts w:eastAsia="Guttman Hodes" w:hint="cs"/>
          <w:rtl/>
        </w:rPr>
        <w:t>(ד"ה והא דאמרן)</w:t>
      </w:r>
      <w:r w:rsidRPr="0050146A">
        <w:rPr>
          <w:rFonts w:hint="cs"/>
          <w:rtl/>
        </w:rPr>
        <w:t xml:space="preserve"> את ביאור </w:t>
      </w:r>
      <w:r w:rsidRPr="0050146A">
        <w:rPr>
          <w:rStyle w:val="af8"/>
          <w:rFonts w:hint="cs"/>
          <w:rtl/>
        </w:rPr>
        <w:t>התוס'</w:t>
      </w:r>
      <w:r w:rsidRPr="0050146A">
        <w:rPr>
          <w:rFonts w:hint="cs"/>
          <w:rtl/>
        </w:rPr>
        <w:t xml:space="preserve"> דאי התירה תורה בזרוע בשלה אף כשיש נתינת טעם בחתיכה הסמוכה, א"כ א"א ללמוד מזרוע בשלה כלל, לא לחומרא ולא לקולא.</w:t>
      </w:r>
    </w:p>
    <w:p w:rsidR="008B470A" w:rsidRPr="0050146A" w:rsidRDefault="008B470A" w:rsidP="008B470A">
      <w:pPr>
        <w:pStyle w:val="1"/>
        <w:rPr>
          <w:rtl/>
        </w:rPr>
      </w:pPr>
      <w:bookmarkStart w:id="4706" w:name="_Toc12378976"/>
      <w:r w:rsidRPr="0050146A">
        <w:rPr>
          <w:rFonts w:hint="cs"/>
          <w:rtl/>
        </w:rPr>
        <w:t>ביאור הראש יוסף בביאור התוס' דמקצת האיל מחוץ לרוטב</w:t>
      </w:r>
      <w:bookmarkEnd w:id="4706"/>
    </w:p>
    <w:p w:rsidR="008B470A" w:rsidRPr="0050146A" w:rsidRDefault="008B470A" w:rsidP="008B470A">
      <w:pPr>
        <w:pStyle w:val="a2"/>
        <w:rPr>
          <w:rtl/>
        </w:rPr>
      </w:pPr>
      <w:bookmarkStart w:id="4707" w:name="_Toc12378977"/>
      <w:r w:rsidRPr="0050146A">
        <w:rPr>
          <w:rFonts w:hint="cs"/>
          <w:rtl/>
        </w:rPr>
        <w:t>ביאור הראש יוסף בתוס' דבזרוע מחוץ לרוטב אין רוב כנגדו ואסור אף במין במינו שא"צ שישים</w:t>
      </w:r>
      <w:bookmarkEnd w:id="4707"/>
      <w:r w:rsidRPr="0050146A">
        <w:rPr>
          <w:rFonts w:hint="cs"/>
          <w:rtl/>
        </w:rPr>
        <w:t xml:space="preserve"> </w:t>
      </w:r>
    </w:p>
    <w:p w:rsidR="008B470A" w:rsidRPr="0050146A" w:rsidRDefault="008B470A" w:rsidP="009F44AF">
      <w:pPr>
        <w:pStyle w:val="a"/>
        <w:rPr>
          <w:rtl/>
        </w:rPr>
      </w:pPr>
      <w:r w:rsidRPr="0050146A">
        <w:rPr>
          <w:rFonts w:hint="cs"/>
          <w:rtl/>
        </w:rPr>
        <w:t xml:space="preserve">וביאר </w:t>
      </w:r>
      <w:r w:rsidRPr="0050146A">
        <w:rPr>
          <w:rStyle w:val="af8"/>
          <w:rFonts w:hint="cs"/>
          <w:rtl/>
        </w:rPr>
        <w:t xml:space="preserve">הראש יוסף </w:t>
      </w:r>
      <w:r w:rsidRPr="0050146A">
        <w:rPr>
          <w:rStyle w:val="af6"/>
          <w:rFonts w:eastAsia="Guttman Hodes" w:hint="cs"/>
          <w:rtl/>
        </w:rPr>
        <w:t>(על תוד"ה לא)</w:t>
      </w:r>
      <w:r w:rsidRPr="0050146A">
        <w:rPr>
          <w:rFonts w:hint="cs"/>
          <w:rtl/>
        </w:rPr>
        <w:t xml:space="preserve"> דכוונת </w:t>
      </w:r>
      <w:r w:rsidRPr="0050146A">
        <w:rPr>
          <w:rStyle w:val="af8"/>
          <w:rFonts w:hint="cs"/>
          <w:rtl/>
        </w:rPr>
        <w:t>התוס'</w:t>
      </w:r>
      <w:r w:rsidRPr="0050146A">
        <w:rPr>
          <w:rFonts w:hint="cs"/>
          <w:rtl/>
        </w:rPr>
        <w:t xml:space="preserve"> לומר דבאופן שהזרוע מחוץ לרוטב, לא מתבלבל הטעם של הזרוע בכולו, ולא רק </w:t>
      </w:r>
      <w:r w:rsidRPr="0050146A">
        <w:rPr>
          <w:rFonts w:hint="cs"/>
          <w:rtl/>
        </w:rPr>
        <w:lastRenderedPageBreak/>
        <w:t>שאין שישים כנגד הזרוע, אלא אין אפילו רוב כנגדו, ולכן אף דבמין במינו א"צ שישים, מ"מ צריך רוב כדכתי' אחרי רבים להטות.</w:t>
      </w:r>
    </w:p>
    <w:p w:rsidR="008B470A" w:rsidRPr="0050146A" w:rsidRDefault="008B470A" w:rsidP="008B470A">
      <w:pPr>
        <w:pStyle w:val="a2"/>
        <w:rPr>
          <w:rtl/>
        </w:rPr>
      </w:pPr>
      <w:bookmarkStart w:id="4708" w:name="_Toc12378978"/>
      <w:r w:rsidRPr="0050146A">
        <w:rPr>
          <w:rFonts w:hint="cs"/>
          <w:rtl/>
        </w:rPr>
        <w:t>דברי הראש יוסף בתוס' דבמין במינו צריך רוב כנגד בליעה של הטעם אף כשאין את ממשות האיסור</w:t>
      </w:r>
      <w:bookmarkEnd w:id="4708"/>
    </w:p>
    <w:p w:rsidR="00D86B5D" w:rsidRPr="0050146A" w:rsidRDefault="008B470A" w:rsidP="009F44AF">
      <w:pPr>
        <w:pStyle w:val="a"/>
        <w:rPr>
          <w:rtl/>
        </w:rPr>
      </w:pPr>
      <w:r w:rsidRPr="0050146A">
        <w:rPr>
          <w:rFonts w:hint="cs"/>
          <w:rtl/>
        </w:rPr>
        <w:t xml:space="preserve">וכתב </w:t>
      </w:r>
      <w:r w:rsidRPr="0050146A">
        <w:rPr>
          <w:rStyle w:val="af8"/>
          <w:rFonts w:hint="cs"/>
          <w:rtl/>
        </w:rPr>
        <w:t xml:space="preserve">הראש יוסף </w:t>
      </w:r>
      <w:r w:rsidRPr="0050146A">
        <w:rPr>
          <w:rFonts w:hint="cs"/>
          <w:rtl/>
        </w:rPr>
        <w:t xml:space="preserve">דא"כ מבואר מדברי </w:t>
      </w:r>
      <w:r w:rsidRPr="0050146A">
        <w:rPr>
          <w:rStyle w:val="af8"/>
          <w:rFonts w:hint="cs"/>
          <w:rtl/>
        </w:rPr>
        <w:t>התוס'</w:t>
      </w:r>
      <w:r w:rsidRPr="0050146A">
        <w:rPr>
          <w:rFonts w:hint="cs"/>
          <w:rtl/>
        </w:rPr>
        <w:t xml:space="preserve"> דבמין במינו אף אם אין את ממשות האיסור ויש רק בליעה של הטעם, מ"מ כיון דטעם כעיקר צריך רוב בכדי לבטלו.</w:t>
      </w:r>
    </w:p>
    <w:p w:rsidR="008B470A" w:rsidRPr="0050146A" w:rsidRDefault="008B470A" w:rsidP="008B470A">
      <w:pPr>
        <w:pStyle w:val="a2"/>
        <w:rPr>
          <w:rtl/>
        </w:rPr>
      </w:pPr>
      <w:bookmarkStart w:id="4709" w:name="_Toc12378979"/>
      <w:r w:rsidRPr="0050146A">
        <w:rPr>
          <w:rFonts w:hint="cs"/>
          <w:rtl/>
        </w:rPr>
        <w:t>ביאור הראש יוסף בתוס' דבמין בשאינו מינו הטעם המורגש חשיב ידוע ול"מ ביטול ברוב בידוע</w:t>
      </w:r>
      <w:bookmarkEnd w:id="4709"/>
    </w:p>
    <w:p w:rsidR="008B470A" w:rsidRPr="0050146A" w:rsidRDefault="008B470A" w:rsidP="009F44AF">
      <w:pPr>
        <w:pStyle w:val="a"/>
        <w:rPr>
          <w:rStyle w:val="afa"/>
          <w:rtl/>
        </w:rPr>
      </w:pPr>
      <w:r w:rsidRPr="0050146A">
        <w:rPr>
          <w:rFonts w:hint="cs"/>
          <w:rtl/>
        </w:rPr>
        <w:t xml:space="preserve">ובמין בשאינו מינו, כתב </w:t>
      </w:r>
      <w:r w:rsidRPr="0050146A">
        <w:rPr>
          <w:rStyle w:val="af8"/>
          <w:rFonts w:hint="cs"/>
          <w:rtl/>
        </w:rPr>
        <w:t xml:space="preserve">הראש יוסף </w:t>
      </w:r>
      <w:r w:rsidRPr="0050146A">
        <w:rPr>
          <w:rFonts w:hint="cs"/>
          <w:rtl/>
        </w:rPr>
        <w:t xml:space="preserve">בדעת </w:t>
      </w:r>
      <w:r w:rsidRPr="0050146A">
        <w:rPr>
          <w:rStyle w:val="af8"/>
          <w:rFonts w:hint="cs"/>
          <w:rtl/>
        </w:rPr>
        <w:t xml:space="preserve">התוס' </w:t>
      </w:r>
      <w:r w:rsidRPr="0050146A">
        <w:rPr>
          <w:rFonts w:hint="cs"/>
          <w:rtl/>
        </w:rPr>
        <w:t xml:space="preserve">דכיון שמורגש הטעם של האיסור, וממילא הוא חשיב כאיסור ידוע, ולא שייך ביטול ברוב באיסור ידוע, ולכן צריך שישים כנגד הטעם. </w:t>
      </w:r>
      <w:r w:rsidRPr="0050146A">
        <w:rPr>
          <w:rStyle w:val="afa"/>
          <w:rFonts w:hint="cs"/>
          <w:rtl/>
        </w:rPr>
        <w:t xml:space="preserve">[וכסברת </w:t>
      </w:r>
      <w:r w:rsidRPr="0050146A">
        <w:rPr>
          <w:rStyle w:val="affa"/>
          <w:rFonts w:hint="cs"/>
          <w:rtl/>
        </w:rPr>
        <w:t>הרשב"א</w:t>
      </w:r>
      <w:r w:rsidRPr="0050146A">
        <w:rPr>
          <w:rStyle w:val="aff6"/>
          <w:rFonts w:hint="cs"/>
          <w:rtl/>
        </w:rPr>
        <w:t xml:space="preserve">  (ד"ה וקשיא) </w:t>
      </w:r>
      <w:r w:rsidRPr="0050146A">
        <w:rPr>
          <w:rStyle w:val="afa"/>
          <w:rFonts w:hint="cs"/>
          <w:rtl/>
        </w:rPr>
        <w:t xml:space="preserve">בשם </w:t>
      </w:r>
      <w:r w:rsidRPr="0050146A">
        <w:rPr>
          <w:rStyle w:val="affa"/>
          <w:rFonts w:hint="cs"/>
          <w:rtl/>
        </w:rPr>
        <w:t>הראב"ד</w:t>
      </w:r>
      <w:r w:rsidRPr="0050146A">
        <w:rPr>
          <w:rStyle w:val="afa"/>
          <w:rFonts w:hint="cs"/>
          <w:rtl/>
        </w:rPr>
        <w:t>].</w:t>
      </w:r>
    </w:p>
    <w:p w:rsidR="008B470A" w:rsidRPr="0050146A" w:rsidRDefault="008B470A" w:rsidP="008B470A">
      <w:pPr>
        <w:pStyle w:val="a2"/>
        <w:rPr>
          <w:rtl/>
        </w:rPr>
      </w:pPr>
      <w:bookmarkStart w:id="4710" w:name="_Toc12378980"/>
      <w:r w:rsidRPr="0050146A">
        <w:rPr>
          <w:rFonts w:hint="cs"/>
          <w:rtl/>
        </w:rPr>
        <w:t>קושית הגרעק"א והראש יוסף דלתוס' במקצתה חוץ לרוטב מתפשט הטעם בכולה</w:t>
      </w:r>
      <w:bookmarkEnd w:id="4710"/>
    </w:p>
    <w:p w:rsidR="008B470A" w:rsidRPr="0050146A" w:rsidRDefault="008B470A" w:rsidP="009F44AF">
      <w:pPr>
        <w:pStyle w:val="a"/>
        <w:rPr>
          <w:rtl/>
        </w:rPr>
      </w:pPr>
      <w:r w:rsidRPr="0050146A">
        <w:rPr>
          <w:rtl/>
        </w:rPr>
        <w:t xml:space="preserve">ובהא דכתבו </w:t>
      </w:r>
      <w:r w:rsidRPr="0050146A">
        <w:rPr>
          <w:rStyle w:val="af8"/>
          <w:rtl/>
        </w:rPr>
        <w:t>התוס'</w:t>
      </w:r>
      <w:r w:rsidRPr="0050146A">
        <w:rPr>
          <w:rtl/>
        </w:rPr>
        <w:t xml:space="preserve"> דפעמים שהזרוע ומקצת מהאיל מגולה, ביאר </w:t>
      </w:r>
      <w:r w:rsidRPr="0050146A">
        <w:rPr>
          <w:rStyle w:val="af8"/>
          <w:rtl/>
        </w:rPr>
        <w:t xml:space="preserve">הראש יוסף </w:t>
      </w:r>
      <w:r w:rsidRPr="0050146A">
        <w:rPr>
          <w:rtl/>
        </w:rPr>
        <w:t xml:space="preserve">דכוונתם לומר דבאופן שחתך את האיל לחתיכות, והזרוע והחתיכה שמחוברת לזרוע, נמצאת כולה מחוץ לרוטב, דבכה"ג אין הרוטב מוליך את הטעם של הזרוע בכל האיל, דהא אי איירי שמקצת החתיכה בתוך הרוטב, הרי כתבו </w:t>
      </w:r>
      <w:r w:rsidRPr="0050146A">
        <w:rPr>
          <w:rStyle w:val="af8"/>
          <w:rtl/>
        </w:rPr>
        <w:t xml:space="preserve">התוס' לעיל </w:t>
      </w:r>
      <w:r w:rsidRPr="0050146A">
        <w:rPr>
          <w:rStyle w:val="af6"/>
          <w:rFonts w:eastAsia="Guttman Hodes"/>
          <w:rtl/>
        </w:rPr>
        <w:t>(צו: ד"ה אם)</w:t>
      </w:r>
      <w:r w:rsidRPr="0050146A">
        <w:rPr>
          <w:rtl/>
        </w:rPr>
        <w:t xml:space="preserve"> דבמקצתה ברוטב מתפשט הטעם בכל הקדירה, </w:t>
      </w:r>
      <w:r w:rsidRPr="0050146A">
        <w:rPr>
          <w:rStyle w:val="af8"/>
          <w:rtl/>
        </w:rPr>
        <w:t xml:space="preserve">והגרעק"א </w:t>
      </w:r>
      <w:r w:rsidRPr="0050146A">
        <w:rPr>
          <w:rStyle w:val="af6"/>
          <w:rFonts w:eastAsia="Guttman Hodes"/>
          <w:rtl/>
        </w:rPr>
        <w:t>(ד"ה הזרוע)</w:t>
      </w:r>
      <w:r w:rsidRPr="0050146A">
        <w:rPr>
          <w:rtl/>
        </w:rPr>
        <w:t xml:space="preserve"> כתב דצ"ל </w:t>
      </w:r>
      <w:r w:rsidRPr="0050146A">
        <w:rPr>
          <w:rStyle w:val="af8"/>
          <w:rtl/>
        </w:rPr>
        <w:t>דהתוס'</w:t>
      </w:r>
      <w:r w:rsidRPr="0050146A">
        <w:rPr>
          <w:rtl/>
        </w:rPr>
        <w:t xml:space="preserve"> כתבו כן לדעת </w:t>
      </w:r>
      <w:r w:rsidRPr="0050146A">
        <w:rPr>
          <w:rStyle w:val="af8"/>
          <w:rtl/>
        </w:rPr>
        <w:t xml:space="preserve">רש"י </w:t>
      </w:r>
      <w:r w:rsidRPr="0050146A">
        <w:rPr>
          <w:rtl/>
        </w:rPr>
        <w:t xml:space="preserve">דס"ל דחתיכה שמקצתה ברוטב, אין הרוטב מוליך את הבלוע בה בכל הקדירה, והניח </w:t>
      </w:r>
      <w:r w:rsidRPr="0050146A">
        <w:rPr>
          <w:rStyle w:val="af8"/>
          <w:rtl/>
        </w:rPr>
        <w:t xml:space="preserve">הגרעק"א </w:t>
      </w:r>
      <w:r w:rsidRPr="0050146A">
        <w:rPr>
          <w:rtl/>
        </w:rPr>
        <w:t>בצ"ע.</w:t>
      </w:r>
    </w:p>
    <w:p w:rsidR="008B470A" w:rsidRPr="0050146A" w:rsidRDefault="008B470A" w:rsidP="00E669F8">
      <w:pPr>
        <w:pStyle w:val="afd"/>
      </w:pPr>
      <w:bookmarkStart w:id="4711" w:name="_Toc12378981"/>
      <w:r w:rsidRPr="0050146A">
        <w:rPr>
          <w:rFonts w:hint="cs"/>
          <w:rtl/>
        </w:rPr>
        <w:t>גירסת ר"ת דאיירי בהיתר מצטרף לאיסור</w:t>
      </w:r>
      <w:bookmarkEnd w:id="4711"/>
    </w:p>
    <w:p w:rsidR="008B470A" w:rsidRPr="0050146A" w:rsidRDefault="008B470A" w:rsidP="008B470A">
      <w:pPr>
        <w:pStyle w:val="1"/>
        <w:rPr>
          <w:rtl/>
        </w:rPr>
      </w:pPr>
      <w:bookmarkStart w:id="4712" w:name="_Toc12221374"/>
      <w:bookmarkStart w:id="4713" w:name="_Toc12354388"/>
      <w:bookmarkStart w:id="4714" w:name="_Toc12359795"/>
      <w:bookmarkStart w:id="4715" w:name="_Toc12378982"/>
      <w:bookmarkEnd w:id="4704"/>
      <w:r w:rsidRPr="0050146A">
        <w:rPr>
          <w:rFonts w:hint="cs"/>
          <w:rtl/>
        </w:rPr>
        <w:t>גירסת ר"ת ברבא דכוונתו להיתר מצטרף לאיסור</w:t>
      </w:r>
      <w:bookmarkEnd w:id="4712"/>
      <w:bookmarkEnd w:id="4713"/>
      <w:bookmarkEnd w:id="4714"/>
      <w:r w:rsidRPr="0050146A">
        <w:rPr>
          <w:rFonts w:hint="cs"/>
          <w:rtl/>
        </w:rPr>
        <w:t xml:space="preserve"> ולא לטע"כ</w:t>
      </w:r>
      <w:bookmarkEnd w:id="4715"/>
    </w:p>
    <w:p w:rsidR="008B470A" w:rsidRPr="0050146A" w:rsidRDefault="008B470A" w:rsidP="008B470A">
      <w:pPr>
        <w:pStyle w:val="a2"/>
        <w:rPr>
          <w:rtl/>
        </w:rPr>
      </w:pPr>
      <w:bookmarkStart w:id="4716" w:name="_Toc12378983"/>
      <w:r w:rsidRPr="0050146A">
        <w:rPr>
          <w:rFonts w:hint="cs"/>
          <w:rtl/>
        </w:rPr>
        <w:t>קושית ר"ת דא"א ללמוד מחטאת לדין טעם כעיקר דילפינן מחטאת להיתר מצטרף לאיסור</w:t>
      </w:r>
      <w:bookmarkEnd w:id="4716"/>
    </w:p>
    <w:p w:rsidR="008B470A" w:rsidRPr="0050146A" w:rsidRDefault="008B470A" w:rsidP="009F44AF">
      <w:pPr>
        <w:pStyle w:val="a"/>
        <w:rPr>
          <w:rtl/>
        </w:rPr>
      </w:pPr>
      <w:r w:rsidRPr="0050146A">
        <w:rPr>
          <w:rFonts w:hint="cs"/>
          <w:rtl/>
        </w:rPr>
        <w:t xml:space="preserve">בתירוץ הגמ' דכיון דכתיב בחטאת יקדש לכן לא ילפינן מזרוע בשלה לשאר קדשים, כתב </w:t>
      </w:r>
      <w:r w:rsidRPr="0050146A">
        <w:rPr>
          <w:rStyle w:val="af8"/>
          <w:rFonts w:hint="cs"/>
          <w:rtl/>
        </w:rPr>
        <w:t>הרשב"א</w:t>
      </w:r>
      <w:r w:rsidRPr="0050146A">
        <w:rPr>
          <w:rFonts w:hint="cs"/>
          <w:rtl/>
        </w:rPr>
        <w:t xml:space="preserve"> </w:t>
      </w:r>
      <w:r w:rsidRPr="0050146A">
        <w:rPr>
          <w:rStyle w:val="af6"/>
          <w:rFonts w:eastAsia="Guttman Hodes" w:hint="cs"/>
          <w:rtl/>
        </w:rPr>
        <w:t>(ד"ה אמר רבא)</w:t>
      </w:r>
      <w:r w:rsidRPr="0050146A">
        <w:rPr>
          <w:rFonts w:hint="cs"/>
          <w:rtl/>
        </w:rPr>
        <w:t xml:space="preserve"> דהגי' בגמ' לפנינו היא דלרבא טעם כעיקר בשאר הקדשים אסור ובחולין מותר, וכן גרס </w:t>
      </w:r>
      <w:r w:rsidRPr="0050146A">
        <w:rPr>
          <w:rStyle w:val="af8"/>
          <w:rFonts w:hint="cs"/>
          <w:rtl/>
        </w:rPr>
        <w:t>רש"י</w:t>
      </w:r>
      <w:r w:rsidRPr="0050146A">
        <w:rPr>
          <w:rFonts w:hint="cs"/>
          <w:rtl/>
        </w:rPr>
        <w:t xml:space="preserve">, </w:t>
      </w:r>
      <w:r w:rsidRPr="0050146A">
        <w:rPr>
          <w:rStyle w:val="afa"/>
          <w:rFonts w:hint="cs"/>
          <w:rtl/>
        </w:rPr>
        <w:t xml:space="preserve">[וע"ז מקשה הגמ' דנילף מזרוע בשלה, ותירצה דגלי רחמנא בחטאת], </w:t>
      </w:r>
      <w:r w:rsidRPr="0050146A">
        <w:rPr>
          <w:rFonts w:hint="cs"/>
          <w:rtl/>
        </w:rPr>
        <w:t xml:space="preserve">והקשה </w:t>
      </w:r>
      <w:r w:rsidRPr="0050146A">
        <w:rPr>
          <w:rStyle w:val="af8"/>
          <w:rFonts w:hint="cs"/>
          <w:rtl/>
        </w:rPr>
        <w:t>ר"ת בתוס'</w:t>
      </w:r>
      <w:r w:rsidRPr="0050146A">
        <w:rPr>
          <w:rFonts w:hint="cs"/>
          <w:rtl/>
        </w:rPr>
        <w:t xml:space="preserve"> </w:t>
      </w:r>
      <w:r w:rsidRPr="0050146A">
        <w:rPr>
          <w:rStyle w:val="af6"/>
          <w:rFonts w:eastAsia="Guttman Hodes" w:hint="cs"/>
          <w:rtl/>
        </w:rPr>
        <w:t>(צט. ד"ה גלי)</w:t>
      </w:r>
      <w:r w:rsidRPr="0050146A">
        <w:rPr>
          <w:rFonts w:hint="cs"/>
          <w:rtl/>
        </w:rPr>
        <w:t xml:space="preserve"> </w:t>
      </w:r>
      <w:r w:rsidRPr="0050146A">
        <w:rPr>
          <w:rStyle w:val="af8"/>
          <w:rFonts w:hint="cs"/>
          <w:rtl/>
        </w:rPr>
        <w:t xml:space="preserve">ובספר הישר </w:t>
      </w:r>
      <w:r w:rsidRPr="0050146A">
        <w:rPr>
          <w:rStyle w:val="af6"/>
          <w:rFonts w:eastAsia="Guttman Hodes" w:hint="cs"/>
          <w:rtl/>
        </w:rPr>
        <w:t>(חלק החי' סו"ס תרצ"ד, הועתק בקובץ שיטות קמאי ע"ז ח"ב עמ'</w:t>
      </w:r>
      <w:r w:rsidRPr="0050146A">
        <w:rPr>
          <w:rStyle w:val="af6"/>
          <w:rFonts w:eastAsia="Guttman Hodes"/>
          <w:rtl/>
        </w:rPr>
        <w:t xml:space="preserve"> אלף תרי</w:t>
      </w:r>
      <w:r w:rsidRPr="0050146A">
        <w:rPr>
          <w:rStyle w:val="af6"/>
          <w:rFonts w:eastAsia="Guttman Hodes" w:hint="cs"/>
          <w:rtl/>
        </w:rPr>
        <w:t>"א)</w:t>
      </w:r>
      <w:r w:rsidRPr="0050146A">
        <w:rPr>
          <w:rFonts w:hint="cs"/>
          <w:rtl/>
        </w:rPr>
        <w:t xml:space="preserve"> דהיאך אפש"ל דמחטאת ילפינן לטעם כעיקר, הרי הגמ' בפסחים </w:t>
      </w:r>
      <w:r w:rsidRPr="0050146A">
        <w:rPr>
          <w:rStyle w:val="af6"/>
          <w:rFonts w:eastAsia="Guttman Hodes" w:hint="cs"/>
          <w:rtl/>
        </w:rPr>
        <w:t>(מה.)</w:t>
      </w:r>
      <w:r w:rsidRPr="0050146A">
        <w:rPr>
          <w:rFonts w:hint="cs"/>
          <w:rtl/>
        </w:rPr>
        <w:t xml:space="preserve"> מעמידה את הילפותא מחטאת להיתר מצטרף לאיסור לכו"ע, ואילו את דין טעם כעיקר ילפינן בגמ' בפסחים ממשרת לרבנן, ולר"ע מגיעולי עכו"ם.</w:t>
      </w:r>
    </w:p>
    <w:p w:rsidR="008B470A" w:rsidRPr="0050146A" w:rsidRDefault="008B470A" w:rsidP="008B470A">
      <w:pPr>
        <w:pStyle w:val="a2"/>
      </w:pPr>
      <w:bookmarkStart w:id="4717" w:name="_Toc12378984"/>
      <w:r w:rsidRPr="0050146A">
        <w:rPr>
          <w:rFonts w:hint="cs"/>
          <w:rtl/>
        </w:rPr>
        <w:t>קושית ר"ת דבזרוע בשלה אין טעם דבטל בשישים ולא שייך לומר בזה לשון טעם כעקר</w:t>
      </w:r>
      <w:bookmarkEnd w:id="4717"/>
    </w:p>
    <w:p w:rsidR="002D7168" w:rsidRDefault="008B470A" w:rsidP="009F44AF">
      <w:pPr>
        <w:pStyle w:val="a"/>
        <w:rPr>
          <w:rtl/>
        </w:rPr>
      </w:pPr>
      <w:r w:rsidRPr="0050146A">
        <w:rPr>
          <w:rFonts w:hint="cs"/>
          <w:rtl/>
        </w:rPr>
        <w:t xml:space="preserve">ועוד הקשה </w:t>
      </w:r>
      <w:r w:rsidRPr="0050146A">
        <w:rPr>
          <w:rStyle w:val="af8"/>
          <w:rFonts w:hint="cs"/>
          <w:rtl/>
        </w:rPr>
        <w:t xml:space="preserve">ר"ת בספר הישר </w:t>
      </w:r>
      <w:r w:rsidRPr="0050146A">
        <w:rPr>
          <w:rFonts w:hint="cs"/>
          <w:rtl/>
        </w:rPr>
        <w:t xml:space="preserve">דהרי בזרוע בשלה אין טעם דהוא בטל בשישים, וא"כ היאך אפש"ל דהוא נקרא טעם כעיקר, וביאר </w:t>
      </w:r>
      <w:r w:rsidRPr="0050146A">
        <w:rPr>
          <w:rStyle w:val="af8"/>
          <w:rFonts w:hint="cs"/>
          <w:rtl/>
        </w:rPr>
        <w:t xml:space="preserve">הרשב"א </w:t>
      </w:r>
      <w:r w:rsidRPr="0050146A">
        <w:rPr>
          <w:rStyle w:val="af6"/>
          <w:rFonts w:eastAsia="Guttman Hodes" w:hint="cs"/>
          <w:rtl/>
        </w:rPr>
        <w:t>(ד"ה אמר רבא)</w:t>
      </w:r>
      <w:r w:rsidRPr="0050146A">
        <w:rPr>
          <w:rFonts w:hint="cs"/>
          <w:rtl/>
        </w:rPr>
        <w:t xml:space="preserve"> </w:t>
      </w:r>
      <w:r w:rsidRPr="0050146A">
        <w:rPr>
          <w:rStyle w:val="af8"/>
          <w:rFonts w:hint="cs"/>
          <w:rtl/>
        </w:rPr>
        <w:t xml:space="preserve">דר"ת </w:t>
      </w:r>
      <w:r w:rsidRPr="0050146A">
        <w:rPr>
          <w:rFonts w:hint="cs"/>
          <w:rtl/>
        </w:rPr>
        <w:t xml:space="preserve">הקשה על הגירסא דלפנינו דרבא אמר דהילפותא היא לטעם כעיקר, דאי ילפינן מזרוע בשלה לטעם כעיקר, א"כ מוכח דיש בזרוע כדי נתינת טעם באיל, וא"כ היאך אפשר ללמוד מזרוע בשלה דמהני ביטול בכל האיסורים בשישים, דהא אי יש בזרוע בשלה נתינת טעם א"כ בשישים יש נתינת טעם, וצריך לאסור בשישים אף בחולין, לכה"פ מדרבנן, דהרי מהילפותות מגיעולי עכו"ם וממשרת, ילפינן לאסור טעם כעיקר, ולכה"פ מדרבנן ילפינן דאסור, וכתב </w:t>
      </w:r>
      <w:r w:rsidRPr="0050146A">
        <w:rPr>
          <w:rStyle w:val="af8"/>
          <w:rFonts w:hint="cs"/>
          <w:rtl/>
        </w:rPr>
        <w:t>הרשב"א</w:t>
      </w:r>
      <w:r w:rsidRPr="0050146A">
        <w:rPr>
          <w:rFonts w:hint="cs"/>
          <w:rtl/>
        </w:rPr>
        <w:t xml:space="preserve"> בשם </w:t>
      </w:r>
      <w:r w:rsidRPr="0050146A">
        <w:rPr>
          <w:rStyle w:val="af8"/>
          <w:rFonts w:hint="cs"/>
          <w:rtl/>
        </w:rPr>
        <w:t>ר"ת</w:t>
      </w:r>
      <w:r w:rsidRPr="0050146A">
        <w:rPr>
          <w:rFonts w:hint="cs"/>
          <w:rtl/>
        </w:rPr>
        <w:t xml:space="preserve"> דמוכח דא"א לגרוס בגמ' דילפינן מזרוע בשלה לטעם כעיקר.</w:t>
      </w:r>
    </w:p>
    <w:p w:rsidR="008B470A" w:rsidRPr="0050146A" w:rsidRDefault="008B470A" w:rsidP="008B470A">
      <w:pPr>
        <w:pStyle w:val="a2"/>
        <w:rPr>
          <w:rtl/>
        </w:rPr>
      </w:pPr>
      <w:bookmarkStart w:id="4718" w:name="_Toc12378985"/>
      <w:r w:rsidRPr="0050146A">
        <w:rPr>
          <w:rFonts w:hint="cs"/>
          <w:rtl/>
        </w:rPr>
        <w:t>דברי הרשב"א דא"א לבאר דבזרוע בשלה יש טעם גרוע דהא האיסור בקדשים הוא רק בנותן טעם</w:t>
      </w:r>
      <w:bookmarkEnd w:id="4718"/>
    </w:p>
    <w:p w:rsidR="008B470A" w:rsidRPr="0050146A" w:rsidRDefault="008B470A" w:rsidP="009F44AF">
      <w:pPr>
        <w:pStyle w:val="a"/>
        <w:rPr>
          <w:rtl/>
        </w:rPr>
      </w:pPr>
      <w:r w:rsidRPr="0050146A">
        <w:rPr>
          <w:rFonts w:hint="cs"/>
          <w:rtl/>
        </w:rPr>
        <w:t xml:space="preserve">וכתב </w:t>
      </w:r>
      <w:r w:rsidRPr="0050146A">
        <w:rPr>
          <w:rStyle w:val="af8"/>
          <w:rFonts w:hint="cs"/>
          <w:rtl/>
        </w:rPr>
        <w:t>הרשב"א</w:t>
      </w:r>
      <w:r w:rsidRPr="0050146A">
        <w:rPr>
          <w:rFonts w:hint="cs"/>
          <w:rtl/>
        </w:rPr>
        <w:t xml:space="preserve"> דא"א לבאר </w:t>
      </w:r>
      <w:r w:rsidRPr="0050146A">
        <w:rPr>
          <w:rStyle w:val="afa"/>
          <w:rFonts w:hint="cs"/>
          <w:rtl/>
        </w:rPr>
        <w:t xml:space="preserve">[כביאור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Ref12290115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ד)</w:t>
      </w:r>
      <w:r w:rsidRPr="0050146A">
        <w:rPr>
          <w:rStyle w:val="aff6"/>
          <w:rtl/>
        </w:rPr>
        <w:fldChar w:fldCharType="end"/>
      </w:r>
      <w:r w:rsidRPr="0050146A">
        <w:rPr>
          <w:rStyle w:val="afa"/>
          <w:rFonts w:hint="cs"/>
          <w:rtl/>
        </w:rPr>
        <w:t xml:space="preserve"> בדעת </w:t>
      </w:r>
      <w:r w:rsidRPr="0050146A">
        <w:rPr>
          <w:rStyle w:val="affa"/>
          <w:rFonts w:hint="cs"/>
          <w:rtl/>
        </w:rPr>
        <w:t>רש"י</w:t>
      </w:r>
      <w:r w:rsidRPr="0050146A">
        <w:rPr>
          <w:rStyle w:val="afa"/>
          <w:rFonts w:hint="cs"/>
          <w:rtl/>
        </w:rPr>
        <w:t xml:space="preserve">] </w:t>
      </w:r>
      <w:r w:rsidRPr="0050146A">
        <w:rPr>
          <w:rFonts w:hint="cs"/>
          <w:rtl/>
        </w:rPr>
        <w:t xml:space="preserve">דאף בזרוע בשלה יש נתינת טעם, אך הוא טעם גרוע, וטעם כזה אסור בקדשים ומותר בזרוע בשלה, דהא מוכח במתני' בזבחים </w:t>
      </w:r>
      <w:r w:rsidRPr="0050146A">
        <w:rPr>
          <w:rStyle w:val="af6"/>
          <w:rFonts w:eastAsia="Guttman Hodes" w:hint="cs"/>
          <w:rtl/>
        </w:rPr>
        <w:t>(צו.)</w:t>
      </w:r>
      <w:r w:rsidRPr="0050146A">
        <w:rPr>
          <w:rFonts w:hint="cs"/>
          <w:rtl/>
        </w:rPr>
        <w:t xml:space="preserve"> דטעם כל שהוא אינו אוסר דתנן דאם בישל בכלי קדשים וחולין, או קדשים </w:t>
      </w:r>
      <w:r w:rsidRPr="0050146A">
        <w:rPr>
          <w:rFonts w:hint="cs"/>
          <w:rtl/>
        </w:rPr>
        <w:t>קדשים וקדשים קלים, אם יש בהם בנותן טעם דינם כמו החמור שבהם, ומוכח דאף בקדשים האיסור הוא רק בנתינת טעם.</w:t>
      </w:r>
    </w:p>
    <w:p w:rsidR="008B470A" w:rsidRPr="0050146A" w:rsidRDefault="008B470A" w:rsidP="008B470A">
      <w:pPr>
        <w:pStyle w:val="a2"/>
        <w:rPr>
          <w:rtl/>
        </w:rPr>
      </w:pPr>
      <w:bookmarkStart w:id="4719" w:name="_Toc12378986"/>
      <w:r w:rsidRPr="0050146A">
        <w:rPr>
          <w:rFonts w:hint="cs"/>
          <w:rtl/>
        </w:rPr>
        <w:t>גירסת ר"ת ברבא דזרוע בשלה אין דין היתר מצטרף לאיסור כמו בשאר קדשים</w:t>
      </w:r>
      <w:bookmarkEnd w:id="4719"/>
    </w:p>
    <w:p w:rsidR="008B470A" w:rsidRPr="0050146A" w:rsidRDefault="008B470A" w:rsidP="009F44AF">
      <w:pPr>
        <w:pStyle w:val="a"/>
        <w:rPr>
          <w:rtl/>
        </w:rPr>
      </w:pPr>
      <w:bookmarkStart w:id="4720" w:name="_Ref12375383"/>
      <w:r w:rsidRPr="0050146A">
        <w:rPr>
          <w:rFonts w:hint="cs"/>
          <w:rtl/>
        </w:rPr>
        <w:t xml:space="preserve">אלא תירץ </w:t>
      </w:r>
      <w:r w:rsidRPr="0050146A">
        <w:rPr>
          <w:rStyle w:val="af8"/>
          <w:rFonts w:hint="cs"/>
          <w:rtl/>
        </w:rPr>
        <w:t>ר"ת בתוס'</w:t>
      </w:r>
      <w:r w:rsidRPr="0050146A">
        <w:rPr>
          <w:rFonts w:hint="cs"/>
          <w:rtl/>
        </w:rPr>
        <w:t xml:space="preserve"> </w:t>
      </w:r>
      <w:r w:rsidRPr="0050146A">
        <w:rPr>
          <w:rStyle w:val="af8"/>
          <w:rFonts w:hint="cs"/>
          <w:rtl/>
        </w:rPr>
        <w:t>ובספר הישר</w:t>
      </w:r>
      <w:r w:rsidRPr="0050146A">
        <w:rPr>
          <w:rFonts w:hint="cs"/>
          <w:rtl/>
        </w:rPr>
        <w:t xml:space="preserve"> דגרסינן בדברי רבא דמזרוע בשלה ילפינן להיתר מצטרף לאיסור, דבשאר הקדשים אסור ובחולין מותר, דהתורה התירה בזרוע בשלה בכל האופנים גם במקום שיש חצי זית בעין מהשמנונית של הזרוע על חתיכת האיל שנמצא מחוץ לרוטב. והוסיף </w:t>
      </w:r>
      <w:r w:rsidRPr="0050146A">
        <w:rPr>
          <w:rStyle w:val="af8"/>
          <w:rFonts w:hint="cs"/>
          <w:rtl/>
        </w:rPr>
        <w:t>ר"ת בספר הישר</w:t>
      </w:r>
      <w:r w:rsidRPr="0050146A">
        <w:rPr>
          <w:rFonts w:hint="cs"/>
          <w:rtl/>
        </w:rPr>
        <w:t xml:space="preserve"> דכוונת הגמ' דנלמד מחטאת שאף שנדבק מהאיסור להיתר ולא נבלע בו שיעור כזית, אפ"ה אסור בחטאת ומותר בחולין.</w:t>
      </w:r>
      <w:bookmarkEnd w:id="4720"/>
    </w:p>
    <w:p w:rsidR="008B470A" w:rsidRPr="0050146A" w:rsidRDefault="008B470A" w:rsidP="008B470A">
      <w:pPr>
        <w:pStyle w:val="a2"/>
      </w:pPr>
      <w:bookmarkStart w:id="4721" w:name="_Toc12378987"/>
      <w:r w:rsidRPr="0050146A">
        <w:rPr>
          <w:rFonts w:hint="cs"/>
          <w:rtl/>
        </w:rPr>
        <w:t>דברי ר"ת דבדין טעם כעיקר אין כל חילוק בין קדשים לחולין ובמין בשאינו מינו טע"כ דאו'</w:t>
      </w:r>
      <w:bookmarkEnd w:id="4721"/>
    </w:p>
    <w:p w:rsidR="008B470A" w:rsidRPr="0050146A" w:rsidRDefault="008B470A" w:rsidP="009F44AF">
      <w:pPr>
        <w:pStyle w:val="a"/>
      </w:pPr>
      <w:r w:rsidRPr="0050146A">
        <w:rPr>
          <w:rFonts w:hint="cs"/>
          <w:rtl/>
        </w:rPr>
        <w:t xml:space="preserve">אבל בדין טעם כעיקר כתב </w:t>
      </w:r>
      <w:r w:rsidRPr="0050146A">
        <w:rPr>
          <w:rStyle w:val="af8"/>
          <w:rFonts w:hint="cs"/>
          <w:rtl/>
        </w:rPr>
        <w:t xml:space="preserve">ר"ת בספר הישר </w:t>
      </w:r>
      <w:r w:rsidRPr="0050146A">
        <w:rPr>
          <w:rFonts w:hint="cs"/>
          <w:rtl/>
        </w:rPr>
        <w:t xml:space="preserve">דאין כל חילוק בין קדשים לחולין, ובכולם במין בשאינו מינו טעם כעיקר דאו', וכדמוכח בגמ' בזבחים </w:t>
      </w:r>
      <w:r w:rsidRPr="0050146A">
        <w:rPr>
          <w:rStyle w:val="af6"/>
          <w:rFonts w:eastAsia="Guttman Hodes" w:hint="cs"/>
          <w:rtl/>
        </w:rPr>
        <w:t>(עט.)</w:t>
      </w:r>
      <w:r w:rsidRPr="0050146A">
        <w:rPr>
          <w:rFonts w:hint="cs"/>
          <w:rtl/>
        </w:rPr>
        <w:t xml:space="preserve"> דאמר רבא דמין בשאינו מינו בטעמא, וכן מדברי ר"ל בגמ' בזבחים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Ref12374478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50146A">
        <w:rPr>
          <w:rStyle w:val="af6"/>
          <w:rFonts w:eastAsia="Guttman Hodes"/>
          <w:rtl/>
        </w:rPr>
        <w:fldChar w:fldCharType="end"/>
      </w:r>
      <w:r w:rsidRPr="0050146A">
        <w:rPr>
          <w:rFonts w:hint="cs"/>
          <w:rtl/>
        </w:rPr>
        <w:t>.</w:t>
      </w:r>
    </w:p>
    <w:p w:rsidR="008B470A" w:rsidRPr="0050146A" w:rsidRDefault="008B470A" w:rsidP="008B470A">
      <w:pPr>
        <w:pStyle w:val="a2"/>
        <w:rPr>
          <w:rtl/>
        </w:rPr>
      </w:pPr>
      <w:bookmarkStart w:id="4722" w:name="_Toc12378988"/>
      <w:r w:rsidRPr="0050146A">
        <w:rPr>
          <w:rFonts w:hint="cs"/>
          <w:rtl/>
        </w:rPr>
        <w:t>דחיית הרמב"ן לגירסת ר"ת וביאור הרמב"ן דהיתר מצטרף לאיסור כלול בילפותא מחטאת</w:t>
      </w:r>
      <w:bookmarkEnd w:id="4722"/>
    </w:p>
    <w:p w:rsidR="008B470A" w:rsidRPr="0050146A" w:rsidRDefault="008B470A" w:rsidP="009F44AF">
      <w:pPr>
        <w:pStyle w:val="a"/>
        <w:rPr>
          <w:rtl/>
        </w:rPr>
      </w:pPr>
      <w:r w:rsidRPr="0050146A">
        <w:rPr>
          <w:rFonts w:hint="cs"/>
          <w:rtl/>
        </w:rPr>
        <w:t xml:space="preserve">ודחה </w:t>
      </w:r>
      <w:r w:rsidRPr="0050146A">
        <w:rPr>
          <w:rStyle w:val="af8"/>
          <w:rFonts w:hint="cs"/>
          <w:rtl/>
        </w:rPr>
        <w:t>הרמב"ן</w:t>
      </w:r>
      <w:r w:rsidRPr="0050146A">
        <w:rPr>
          <w:rFonts w:hint="cs"/>
          <w:rtl/>
        </w:rPr>
        <w:t xml:space="preserve"> </w:t>
      </w:r>
      <w:r w:rsidRPr="0050146A">
        <w:rPr>
          <w:rStyle w:val="af6"/>
          <w:rFonts w:eastAsia="Guttman Hodes" w:hint="cs"/>
          <w:rtl/>
        </w:rPr>
        <w:t xml:space="preserve">(ד"ה אלא) </w:t>
      </w:r>
      <w:r w:rsidRPr="0050146A">
        <w:rPr>
          <w:rFonts w:hint="cs"/>
          <w:rtl/>
        </w:rPr>
        <w:t xml:space="preserve">את גירסת </w:t>
      </w:r>
      <w:r w:rsidRPr="0050146A">
        <w:rPr>
          <w:rStyle w:val="af8"/>
          <w:rFonts w:hint="cs"/>
          <w:rtl/>
        </w:rPr>
        <w:t xml:space="preserve">ר"ת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Ref12375383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דכוונת רבא להיתר מצטרף לאיסור, והלשון אינו מדוקדק, דהא בגמ' בנזיר</w:t>
      </w:r>
      <w:r w:rsidRPr="0050146A">
        <w:rPr>
          <w:rStyle w:val="af6"/>
          <w:rFonts w:eastAsia="Guttman Hodes" w:hint="cs"/>
          <w:rtl/>
        </w:rPr>
        <w:t xml:space="preserve"> (לז:)</w:t>
      </w:r>
      <w:r w:rsidRPr="0050146A">
        <w:rPr>
          <w:rFonts w:hint="cs"/>
          <w:rtl/>
        </w:rPr>
        <w:t xml:space="preserve"> מקשה בפירוש דלרבנן נילף היתר מצטרף לאיסור מחטאת ותירצה דמחטאת ילפינן טעם כעיקר, אך מ"מ כתב </w:t>
      </w:r>
      <w:r w:rsidRPr="0050146A">
        <w:rPr>
          <w:rStyle w:val="af8"/>
          <w:rFonts w:hint="cs"/>
          <w:rtl/>
        </w:rPr>
        <w:t xml:space="preserve">הרמב"ן </w:t>
      </w:r>
      <w:r w:rsidRPr="0050146A">
        <w:rPr>
          <w:rFonts w:hint="cs"/>
          <w:rtl/>
        </w:rPr>
        <w:t xml:space="preserve">דרבא אמר כן לדעת כל המ"ד דלכו"ע כלול בחטאת דין היתר מצטרף לאיסור כדביאר </w:t>
      </w:r>
      <w:r w:rsidRPr="0050146A">
        <w:rPr>
          <w:rStyle w:val="af8"/>
          <w:rFonts w:hint="cs"/>
          <w:rtl/>
        </w:rPr>
        <w:t xml:space="preserve">הרמב"ן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Ref11950741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50146A">
        <w:rPr>
          <w:rStyle w:val="af6"/>
          <w:rFonts w:eastAsia="Guttman Hodes"/>
          <w:rtl/>
        </w:rPr>
        <w:fldChar w:fldCharType="end"/>
      </w:r>
      <w:r w:rsidRPr="0050146A">
        <w:rPr>
          <w:rFonts w:hint="cs"/>
          <w:rtl/>
        </w:rPr>
        <w:t>.</w:t>
      </w:r>
    </w:p>
    <w:p w:rsidR="008B470A" w:rsidRPr="0050146A" w:rsidRDefault="008B470A" w:rsidP="008B470A">
      <w:pPr>
        <w:pStyle w:val="a2"/>
        <w:rPr>
          <w:rtl/>
        </w:rPr>
      </w:pPr>
      <w:bookmarkStart w:id="4723" w:name="_Toc12378989"/>
      <w:r w:rsidRPr="0050146A">
        <w:rPr>
          <w:rFonts w:hint="cs"/>
          <w:rtl/>
        </w:rPr>
        <w:t>הביאור הב' בתוס' דגרסי' ברבא טע"כ ונקטה הגמ' את הילפותא מחטאת שפשוטה יותר</w:t>
      </w:r>
      <w:bookmarkEnd w:id="4723"/>
    </w:p>
    <w:p w:rsidR="008B470A" w:rsidRPr="0050146A" w:rsidRDefault="008B470A" w:rsidP="009F44AF">
      <w:pPr>
        <w:pStyle w:val="a"/>
        <w:rPr>
          <w:rtl/>
        </w:rPr>
      </w:pPr>
      <w:bookmarkStart w:id="4724" w:name="_Ref12005201"/>
      <w:r w:rsidRPr="0050146A">
        <w:rPr>
          <w:rFonts w:hint="cs"/>
          <w:rtl/>
        </w:rPr>
        <w:t>ועוד ביארו</w:t>
      </w:r>
      <w:r w:rsidRPr="0050146A">
        <w:rPr>
          <w:rStyle w:val="af8"/>
          <w:rFonts w:hint="cs"/>
          <w:rtl/>
        </w:rPr>
        <w:t xml:space="preserve"> התוס'</w:t>
      </w:r>
      <w:r w:rsidRPr="0050146A">
        <w:rPr>
          <w:rFonts w:hint="cs"/>
          <w:rtl/>
        </w:rPr>
        <w:t xml:space="preserve"> </w:t>
      </w:r>
      <w:r w:rsidRPr="0050146A">
        <w:rPr>
          <w:rStyle w:val="af6"/>
          <w:rFonts w:eastAsia="Guttman Hodes" w:hint="cs"/>
          <w:rtl/>
        </w:rPr>
        <w:t>(צט. ד"ה גלי)</w:t>
      </w:r>
      <w:r w:rsidRPr="0050146A">
        <w:rPr>
          <w:rFonts w:hint="cs"/>
          <w:rtl/>
        </w:rPr>
        <w:t xml:space="preserve"> דא"צ להגיה בגמ', ואפש"ל דהגמ' נקטה את הדרשה הפשוטה מחטאת, דלפני הילפותא לטעם כעיקר ממשרת ומגיעולי עכו"ם, היינו מעמידים את הילפותא מחטאת לטעם כעיקר, ולא להיתר מצטרף לאיסור</w:t>
      </w:r>
      <w:bookmarkEnd w:id="4724"/>
      <w:r w:rsidRPr="0050146A">
        <w:rPr>
          <w:rFonts w:hint="cs"/>
          <w:rtl/>
        </w:rPr>
        <w:t>.</w:t>
      </w:r>
    </w:p>
    <w:p w:rsidR="008B470A" w:rsidRPr="0050146A" w:rsidRDefault="008B470A" w:rsidP="008B470A">
      <w:pPr>
        <w:pStyle w:val="a2"/>
        <w:rPr>
          <w:rtl/>
        </w:rPr>
      </w:pPr>
      <w:bookmarkStart w:id="4725" w:name="_Toc12378990"/>
      <w:r w:rsidRPr="0050146A">
        <w:rPr>
          <w:rFonts w:hint="cs"/>
          <w:rtl/>
        </w:rPr>
        <w:t>תירוץ התוס' דילפינן טעם כעיקר בקדשים מחטאת ובחולין ממשרת ממשרת</w:t>
      </w:r>
      <w:bookmarkEnd w:id="4725"/>
    </w:p>
    <w:p w:rsidR="008B470A" w:rsidRPr="0050146A" w:rsidRDefault="008B470A" w:rsidP="009F44AF">
      <w:pPr>
        <w:pStyle w:val="a"/>
        <w:rPr>
          <w:rtl/>
        </w:rPr>
      </w:pPr>
      <w:r w:rsidRPr="0050146A">
        <w:rPr>
          <w:rFonts w:hint="cs"/>
          <w:rtl/>
        </w:rPr>
        <w:t xml:space="preserve">ועוד תירצו </w:t>
      </w:r>
      <w:r w:rsidRPr="0050146A">
        <w:rPr>
          <w:rStyle w:val="af8"/>
          <w:rFonts w:hint="cs"/>
          <w:rtl/>
        </w:rPr>
        <w:t>התוס'</w:t>
      </w:r>
      <w:r w:rsidRPr="0050146A">
        <w:rPr>
          <w:rFonts w:hint="cs"/>
          <w:rtl/>
        </w:rPr>
        <w:t xml:space="preserve"> דהגמ' בסוגיין סוברת כגמ' בנזיר </w:t>
      </w:r>
      <w:r w:rsidRPr="0050146A">
        <w:rPr>
          <w:rStyle w:val="af6"/>
          <w:rFonts w:eastAsia="Guttman Hodes" w:hint="cs"/>
          <w:rtl/>
        </w:rPr>
        <w:t>(לז:)</w:t>
      </w:r>
      <w:r w:rsidRPr="0050146A">
        <w:rPr>
          <w:rFonts w:hint="cs"/>
          <w:rtl/>
        </w:rPr>
        <w:t xml:space="preserve"> דמקשה על רבנן דנילף היתר מצטרף לאיסור מחטאת, ותירצה הגמ' בנזיר דמחטאת ילפינן לטעם כעיקר, וביארה הגמ' דאף דטעם כעיקר נלמד גם ממשרת, מ"מ צריך את הילפותא גם מחטאת, דלא נימא דא"א ללמוד מחטאת דהיא קדשים וא"כ ללמוד מנזיר דהוא חמור דאסרה לו תורה אף חרצן.</w:t>
      </w:r>
    </w:p>
    <w:p w:rsidR="008B470A" w:rsidRPr="0050146A" w:rsidRDefault="008B470A" w:rsidP="008B470A">
      <w:pPr>
        <w:pStyle w:val="1"/>
        <w:rPr>
          <w:rtl/>
        </w:rPr>
      </w:pPr>
      <w:bookmarkStart w:id="4726" w:name="_Toc12378992"/>
      <w:r w:rsidRPr="0050146A">
        <w:rPr>
          <w:noProof/>
          <w:rtl/>
        </w:rPr>
        <w:t xml:space="preserve">דברי הרמב"ן </w:t>
      </w:r>
      <w:r w:rsidRPr="0050146A">
        <w:rPr>
          <w:rFonts w:hint="cs"/>
          <w:noProof/>
          <w:rtl/>
        </w:rPr>
        <w:t>דבקדשים יש גם היתר מצטרף לאיסור וגם טע"כ</w:t>
      </w:r>
    </w:p>
    <w:p w:rsidR="008B470A" w:rsidRPr="0050146A" w:rsidRDefault="008B470A" w:rsidP="008B470A">
      <w:pPr>
        <w:pStyle w:val="a2"/>
        <w:rPr>
          <w:rtl/>
        </w:rPr>
      </w:pPr>
      <w:r w:rsidRPr="0050146A">
        <w:rPr>
          <w:rFonts w:hint="cs"/>
          <w:rtl/>
        </w:rPr>
        <w:t>ביאור הרמב"ן והרשב"א דבקדשים טע"כ דאו' דחשיב שנמחה ממשו של האיסור וה"ה בחולין</w:t>
      </w:r>
      <w:bookmarkEnd w:id="4726"/>
    </w:p>
    <w:p w:rsidR="008B470A" w:rsidRPr="0050146A" w:rsidRDefault="008B470A" w:rsidP="009F44AF">
      <w:pPr>
        <w:pStyle w:val="a"/>
        <w:rPr>
          <w:rtl/>
        </w:rPr>
      </w:pPr>
      <w:r w:rsidRPr="0050146A">
        <w:rPr>
          <w:rFonts w:hint="cs"/>
          <w:rtl/>
        </w:rPr>
        <w:t xml:space="preserve">כתבו </w:t>
      </w:r>
      <w:r w:rsidRPr="0050146A">
        <w:rPr>
          <w:rStyle w:val="af8"/>
          <w:rFonts w:hint="cs"/>
          <w:rtl/>
        </w:rPr>
        <w:t>הרמב"ן</w:t>
      </w:r>
      <w:r w:rsidRPr="0050146A">
        <w:rPr>
          <w:rFonts w:hint="cs"/>
          <w:rtl/>
        </w:rPr>
        <w:t xml:space="preserve"> </w:t>
      </w:r>
      <w:r w:rsidRPr="0050146A">
        <w:rPr>
          <w:rStyle w:val="af6"/>
          <w:rFonts w:eastAsia="Guttman Hodes" w:hint="cs"/>
          <w:rtl/>
        </w:rPr>
        <w:t>(ד"ה אלא)</w:t>
      </w:r>
      <w:r w:rsidRPr="0050146A">
        <w:rPr>
          <w:rFonts w:hint="cs"/>
          <w:rtl/>
        </w:rPr>
        <w:t xml:space="preserve"> </w:t>
      </w:r>
      <w:r w:rsidRPr="0050146A">
        <w:rPr>
          <w:rStyle w:val="af8"/>
          <w:rFonts w:hint="cs"/>
          <w:rtl/>
        </w:rPr>
        <w:t>והרשב"א בחי'</w:t>
      </w:r>
      <w:r w:rsidRPr="0050146A">
        <w:rPr>
          <w:rFonts w:hint="cs"/>
          <w:rtl/>
        </w:rPr>
        <w:t xml:space="preserve"> </w:t>
      </w:r>
      <w:r w:rsidRPr="0050146A">
        <w:rPr>
          <w:rStyle w:val="af6"/>
          <w:rFonts w:eastAsia="Guttman Hodes" w:hint="cs"/>
          <w:rtl/>
        </w:rPr>
        <w:t xml:space="preserve">(ד"ה ופי' טעם)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י. מדה"ס) </w:t>
      </w:r>
      <w:r w:rsidRPr="0050146A">
        <w:rPr>
          <w:rFonts w:hint="cs"/>
          <w:rtl/>
        </w:rPr>
        <w:t xml:space="preserve">דהא דבקדשים טעם כעיקר אסור, הוא כיון דבמקום שהאיסור נתן טעם גדול בהיתר, חשיב כאילו נמחה ממשו של האיסור כזית בתוך ההיתר, ולכן לוקין עליו, וה"ה בנזיר שאם הענבים נתנו טעם גדול של יין במים, חשיב שנתערב במים רביעית יין, ואם שתה הנזיר בתוך השיעור </w:t>
      </w:r>
      <w:r w:rsidRPr="0050146A">
        <w:rPr>
          <w:rStyle w:val="afa"/>
          <w:rFonts w:hint="cs"/>
          <w:rtl/>
        </w:rPr>
        <w:t>[כדי אכילת פרס]</w:t>
      </w:r>
      <w:r w:rsidRPr="0050146A">
        <w:rPr>
          <w:rFonts w:hint="cs"/>
          <w:rtl/>
        </w:rPr>
        <w:t>, לוקה עליו, אעפ"י שהטעם הוא לא מגוף הענבים, דהא הענבים נשארו לפנינו כמו שהיו לפני ששרה אותם במים.</w:t>
      </w:r>
    </w:p>
    <w:p w:rsidR="008B470A" w:rsidRPr="0050146A" w:rsidRDefault="008B470A" w:rsidP="008B470A">
      <w:pPr>
        <w:pStyle w:val="a2"/>
      </w:pPr>
      <w:bookmarkStart w:id="4727" w:name="_Toc12378993"/>
      <w:r w:rsidRPr="0050146A">
        <w:rPr>
          <w:rFonts w:hint="cs"/>
          <w:rtl/>
        </w:rPr>
        <w:t>ביאור הרמב"ן דהיתר מצטרף לאיסור היינו שלוקים על כל כזית מהתערובת</w:t>
      </w:r>
      <w:bookmarkEnd w:id="4727"/>
    </w:p>
    <w:p w:rsidR="008B470A" w:rsidRPr="0050146A" w:rsidRDefault="008B470A" w:rsidP="009F44AF">
      <w:pPr>
        <w:pStyle w:val="a"/>
        <w:rPr>
          <w:rtl/>
        </w:rPr>
      </w:pPr>
      <w:r w:rsidRPr="0050146A">
        <w:rPr>
          <w:rFonts w:hint="cs"/>
          <w:rtl/>
        </w:rPr>
        <w:t xml:space="preserve">אבל בדין "היתר מצטרף לאיסור" שהביאה הגמ' בפסחים </w:t>
      </w:r>
      <w:r w:rsidRPr="0050146A">
        <w:rPr>
          <w:rStyle w:val="af6"/>
          <w:rFonts w:eastAsia="Guttman Hodes" w:hint="cs"/>
          <w:rtl/>
        </w:rPr>
        <w:t>(מד.)</w:t>
      </w:r>
      <w:r w:rsidRPr="0050146A">
        <w:rPr>
          <w:rFonts w:hint="cs"/>
          <w:rtl/>
        </w:rPr>
        <w:t xml:space="preserve">, כתב </w:t>
      </w:r>
      <w:r w:rsidRPr="0050146A">
        <w:rPr>
          <w:rStyle w:val="af8"/>
          <w:rFonts w:hint="cs"/>
          <w:rtl/>
        </w:rPr>
        <w:t>הרמב"ן</w:t>
      </w:r>
      <w:r w:rsidRPr="0050146A">
        <w:rPr>
          <w:rFonts w:hint="cs"/>
          <w:rtl/>
        </w:rPr>
        <w:t xml:space="preserve"> דביאורו הוא דכל דבר שנאסר ע"י שיש בו טעם של איסור כולו אסור, ואינו כטעם כעיקר, דלוקין רק על אכילת כזית מהטעם של האיסור שמעורב בתוך ההיתר, </w:t>
      </w:r>
      <w:r w:rsidRPr="0050146A">
        <w:rPr>
          <w:rStyle w:val="afa"/>
          <w:rFonts w:hint="cs"/>
          <w:rtl/>
        </w:rPr>
        <w:t>[באכלו בכדי אכילת פרס],</w:t>
      </w:r>
      <w:r w:rsidRPr="0050146A">
        <w:rPr>
          <w:rFonts w:hint="cs"/>
          <w:rtl/>
        </w:rPr>
        <w:t xml:space="preserve"> אלא דכיון שההיתר מצטרף לאיסור לוקין על כל כזית מהתערובת, אף אם בכזית שאוכל יש גם היתר וגם איסור, וכתב </w:t>
      </w:r>
      <w:r w:rsidRPr="0050146A">
        <w:rPr>
          <w:rStyle w:val="af8"/>
          <w:rFonts w:hint="cs"/>
          <w:rtl/>
        </w:rPr>
        <w:t>הרמב"ן</w:t>
      </w:r>
      <w:r w:rsidRPr="0050146A">
        <w:rPr>
          <w:rFonts w:hint="cs"/>
          <w:rtl/>
        </w:rPr>
        <w:t xml:space="preserve"> דאפש"ל דהמ"ד דס"ל דהיתר מצטרף לאיסור, לא ס"ל דטעם כעיקר דאו', וכן המ"ד דס"ל דטעם כעיקר דאו', אפש"ל דלא ס"ל דהיתר מצטרף לאיסור, דהם ב' דינים שלא תלויים זה בזה.</w:t>
      </w:r>
    </w:p>
    <w:p w:rsidR="008B470A" w:rsidRPr="0050146A" w:rsidRDefault="008B470A" w:rsidP="008B470A">
      <w:pPr>
        <w:pStyle w:val="a2"/>
        <w:rPr>
          <w:rtl/>
        </w:rPr>
      </w:pPr>
      <w:bookmarkStart w:id="4728" w:name="_Toc12378994"/>
      <w:r w:rsidRPr="0050146A">
        <w:rPr>
          <w:rFonts w:hint="cs"/>
          <w:rtl/>
        </w:rPr>
        <w:lastRenderedPageBreak/>
        <w:t>ביאור הרמב"ן דבקדשים יש גם את דין טעם כעיקר וגם את דין היתר מצטרף לאיסור</w:t>
      </w:r>
      <w:bookmarkEnd w:id="4728"/>
    </w:p>
    <w:p w:rsidR="00D86B5D" w:rsidRPr="0050146A" w:rsidRDefault="008B470A" w:rsidP="009F44AF">
      <w:pPr>
        <w:pStyle w:val="a"/>
        <w:rPr>
          <w:rtl/>
        </w:rPr>
      </w:pPr>
      <w:bookmarkStart w:id="4729" w:name="_Ref14427802"/>
      <w:r w:rsidRPr="0050146A">
        <w:rPr>
          <w:rFonts w:hint="cs"/>
          <w:rtl/>
        </w:rPr>
        <w:t xml:space="preserve">אבל בקדשים כתב </w:t>
      </w:r>
      <w:r w:rsidRPr="0050146A">
        <w:rPr>
          <w:rStyle w:val="af8"/>
          <w:rFonts w:hint="cs"/>
          <w:rtl/>
        </w:rPr>
        <w:t>הרמב"ן</w:t>
      </w:r>
      <w:r w:rsidRPr="0050146A">
        <w:rPr>
          <w:rFonts w:hint="cs"/>
          <w:rtl/>
        </w:rPr>
        <w:t xml:space="preserve"> דיש גם את דין טעם כעיקר, וגם את דין היתר מצטרף לאיסור, וביאר </w:t>
      </w:r>
      <w:r w:rsidRPr="0050146A">
        <w:rPr>
          <w:rStyle w:val="af8"/>
          <w:rFonts w:hint="cs"/>
          <w:rtl/>
        </w:rPr>
        <w:t>הרמב"ן</w:t>
      </w:r>
      <w:r w:rsidRPr="0050146A">
        <w:rPr>
          <w:rFonts w:hint="cs"/>
          <w:rtl/>
        </w:rPr>
        <w:t xml:space="preserve"> דבמקום שהפסול</w:t>
      </w:r>
      <w:r w:rsidRPr="0050146A">
        <w:rPr>
          <w:rStyle w:val="afa"/>
          <w:rFonts w:hint="cs"/>
          <w:rtl/>
        </w:rPr>
        <w:t xml:space="preserve"> [כגון נותר] </w:t>
      </w:r>
      <w:r w:rsidRPr="0050146A">
        <w:rPr>
          <w:rFonts w:hint="cs"/>
          <w:rtl/>
        </w:rPr>
        <w:t>נתן טעם בכשר, ואין בכשר ממשו של הפסול, ואכל כזית מהכשר לוקה, מדין טעם כעיקר, אעפ"י שהטעם של האיסור שנתן טעם בהיתר הוא רק משהו, וא"כ הוא אכל רק משהו מהטעם האסור, דילפינן לה מחטאת מדין "יקדש להיות כמוה".</w:t>
      </w:r>
      <w:bookmarkEnd w:id="4729"/>
    </w:p>
    <w:p w:rsidR="008B470A" w:rsidRPr="0050146A" w:rsidRDefault="008B470A" w:rsidP="008B470A">
      <w:pPr>
        <w:pStyle w:val="a2"/>
        <w:rPr>
          <w:rtl/>
        </w:rPr>
      </w:pPr>
      <w:bookmarkStart w:id="4730" w:name="_Toc12378995"/>
      <w:r w:rsidRPr="0050146A">
        <w:rPr>
          <w:rFonts w:hint="cs"/>
          <w:rtl/>
        </w:rPr>
        <w:t>דברי הרמב"ן דלכו"ע כלול בחטאת דין טע"כ ויש מחלוקת אם ילפינן גם להיתר מצטרף לאיסור</w:t>
      </w:r>
      <w:bookmarkEnd w:id="4730"/>
    </w:p>
    <w:p w:rsidR="008B470A" w:rsidRPr="0050146A" w:rsidRDefault="008B470A" w:rsidP="009F44AF">
      <w:pPr>
        <w:pStyle w:val="a"/>
        <w:rPr>
          <w:rtl/>
        </w:rPr>
      </w:pPr>
      <w:bookmarkStart w:id="4731" w:name="_Ref11950741"/>
      <w:r w:rsidRPr="0050146A">
        <w:rPr>
          <w:rFonts w:hint="cs"/>
          <w:rtl/>
        </w:rPr>
        <w:t xml:space="preserve">וביאר </w:t>
      </w:r>
      <w:r w:rsidRPr="0050146A">
        <w:rPr>
          <w:rStyle w:val="af8"/>
          <w:rFonts w:hint="cs"/>
          <w:rtl/>
        </w:rPr>
        <w:t>הרמב"ן</w:t>
      </w:r>
      <w:r w:rsidRPr="0050146A">
        <w:rPr>
          <w:rFonts w:hint="cs"/>
          <w:rtl/>
        </w:rPr>
        <w:t xml:space="preserve"> דהא דאמר רבא דטעם כעיקר בקדשים, כוונתו לומר דכיון דמצינו בקדשים שהיתר מצטרף לאיסור, וחייב אף כשאין מממשו של האיסור, אלא גם הטעם של האיסור הוא כעיקר, וטעם האיסור מצטרף להיתר וגורר אותו שיהיה כמוהו, כדכתיב בחטאת "יקדש", וילפינן מחטאת דטעם כעיקר דאו', אבל הדין דהיתר מצטרף לאיסור, אינו נלמד מחטאת, לדעת המ"ד דיליף טעם כעיקר מחטאת, ורק המ"ד דיליף טעם כעיקר מילפותות אחרות, יכול ללמוד מחטאת דהיתר מצטרף לאיסור, וביאר </w:t>
      </w:r>
      <w:r w:rsidRPr="0050146A">
        <w:rPr>
          <w:rStyle w:val="af8"/>
          <w:rFonts w:hint="cs"/>
          <w:rtl/>
        </w:rPr>
        <w:t>הרמב"ן</w:t>
      </w:r>
      <w:r w:rsidRPr="0050146A">
        <w:rPr>
          <w:rFonts w:hint="cs"/>
          <w:rtl/>
        </w:rPr>
        <w:t xml:space="preserve"> דלכו"ע טעם כעיקר כלול בילפותא מחטאת, דכיון דנאמר בחטאת "יקדש" ודאי שהחשיבה בה תורה טעם כעיקר.</w:t>
      </w:r>
      <w:bookmarkStart w:id="4732" w:name="_Toc12205443"/>
      <w:bookmarkEnd w:id="4731"/>
    </w:p>
    <w:p w:rsidR="008B470A" w:rsidRPr="0050146A" w:rsidRDefault="008B470A" w:rsidP="008B470A">
      <w:pPr>
        <w:pStyle w:val="a2"/>
        <w:rPr>
          <w:rtl/>
        </w:rPr>
      </w:pPr>
      <w:bookmarkStart w:id="4733" w:name="_Toc12378996"/>
      <w:r w:rsidRPr="0050146A">
        <w:rPr>
          <w:rFonts w:hint="cs"/>
          <w:rtl/>
        </w:rPr>
        <w:t>דברי הרשב"א דבגמ' בנזיר מוכח להדיא דבחטאת כלולים היתר מצטרף לאיסור וטעם כעיקר</w:t>
      </w:r>
      <w:bookmarkEnd w:id="4733"/>
    </w:p>
    <w:p w:rsidR="008B470A" w:rsidRPr="0050146A" w:rsidRDefault="008B470A" w:rsidP="009F44AF">
      <w:pPr>
        <w:pStyle w:val="a"/>
        <w:rPr>
          <w:rtl/>
        </w:rPr>
      </w:pPr>
      <w:r w:rsidRPr="0050146A">
        <w:rPr>
          <w:rFonts w:hint="cs"/>
          <w:rtl/>
        </w:rPr>
        <w:t xml:space="preserve">וכתב </w:t>
      </w:r>
      <w:r w:rsidRPr="0050146A">
        <w:rPr>
          <w:rStyle w:val="af8"/>
          <w:rFonts w:hint="cs"/>
          <w:rtl/>
        </w:rPr>
        <w:t xml:space="preserve">הרשב"א </w:t>
      </w:r>
      <w:r w:rsidRPr="0050146A">
        <w:rPr>
          <w:rStyle w:val="af6"/>
          <w:rFonts w:eastAsia="Guttman Hodes" w:hint="cs"/>
          <w:rtl/>
        </w:rPr>
        <w:t>(ד"ה אמר רבא)</w:t>
      </w:r>
      <w:r w:rsidRPr="0050146A">
        <w:rPr>
          <w:rFonts w:hint="cs"/>
          <w:rtl/>
        </w:rPr>
        <w:t xml:space="preserve"> דכדברי </w:t>
      </w:r>
      <w:r w:rsidRPr="0050146A">
        <w:rPr>
          <w:rStyle w:val="af8"/>
          <w:rFonts w:hint="cs"/>
          <w:rtl/>
        </w:rPr>
        <w:t>הרמב"ן</w:t>
      </w:r>
      <w:r w:rsidRPr="0050146A">
        <w:rPr>
          <w:rFonts w:hint="cs"/>
          <w:rtl/>
        </w:rPr>
        <w:t xml:space="preserve"> מבואר להדיא בגמ' בנזיר </w:t>
      </w:r>
      <w:r w:rsidRPr="0050146A">
        <w:rPr>
          <w:rStyle w:val="af6"/>
          <w:rFonts w:eastAsia="Guttman Hodes" w:hint="cs"/>
          <w:rtl/>
        </w:rPr>
        <w:t>(לז:)</w:t>
      </w:r>
      <w:r w:rsidRPr="0050146A">
        <w:rPr>
          <w:rFonts w:hint="cs"/>
          <w:rtl/>
        </w:rPr>
        <w:t xml:space="preserve"> דמקשה הגמ' על רבנן דאפשר ללמוד את דין היתר מצטרף לאיסור מחטאת, ותירצה הגמ' דמחטאת ילפינן טעם כעיקר.</w:t>
      </w:r>
    </w:p>
    <w:p w:rsidR="008B470A" w:rsidRPr="0050146A" w:rsidRDefault="008B470A" w:rsidP="008B470A">
      <w:pPr>
        <w:pStyle w:val="1"/>
        <w:rPr>
          <w:rtl/>
        </w:rPr>
      </w:pPr>
      <w:bookmarkStart w:id="4734" w:name="_Toc12205460"/>
      <w:bookmarkStart w:id="4735" w:name="_Toc12221386"/>
      <w:bookmarkStart w:id="4736" w:name="_Toc12354400"/>
      <w:bookmarkStart w:id="4737" w:name="_Toc12359807"/>
      <w:bookmarkStart w:id="4738" w:name="_Toc12378997"/>
      <w:bookmarkStart w:id="4739" w:name="_Toc12221378"/>
      <w:bookmarkStart w:id="4740" w:name="_Toc12354392"/>
      <w:bookmarkStart w:id="4741" w:name="_Toc12359799"/>
      <w:bookmarkEnd w:id="4732"/>
      <w:r w:rsidRPr="0050146A">
        <w:rPr>
          <w:rFonts w:hint="cs"/>
          <w:rtl/>
        </w:rPr>
        <w:t>ביאור הרמב"ן ברבא</w:t>
      </w:r>
      <w:bookmarkEnd w:id="4734"/>
      <w:bookmarkEnd w:id="4735"/>
      <w:bookmarkEnd w:id="4736"/>
      <w:bookmarkEnd w:id="4737"/>
      <w:r w:rsidRPr="0050146A">
        <w:rPr>
          <w:rFonts w:hint="cs"/>
          <w:rtl/>
        </w:rPr>
        <w:t xml:space="preserve"> דאף דאין טעם בזרוע ההיתר הוא בטעם</w:t>
      </w:r>
      <w:bookmarkEnd w:id="4738"/>
    </w:p>
    <w:p w:rsidR="008B470A" w:rsidRPr="0050146A" w:rsidRDefault="008B470A" w:rsidP="008B470A">
      <w:pPr>
        <w:pStyle w:val="a2"/>
        <w:rPr>
          <w:rtl/>
        </w:rPr>
      </w:pPr>
      <w:bookmarkStart w:id="4742" w:name="_Toc12378998"/>
      <w:r w:rsidRPr="0050146A">
        <w:rPr>
          <w:rFonts w:hint="cs"/>
          <w:rtl/>
        </w:rPr>
        <w:t>ביאור הרמב"ן דאף דבזרוע בשלה בטל הטעם בשישים מ"מ מוכח דלא חששה תורה לאיסור הטעם</w:t>
      </w:r>
      <w:bookmarkEnd w:id="4742"/>
    </w:p>
    <w:p w:rsidR="008B470A" w:rsidRPr="0050146A" w:rsidRDefault="008B470A" w:rsidP="009F44AF">
      <w:pPr>
        <w:pStyle w:val="a"/>
        <w:rPr>
          <w:rtl/>
        </w:rPr>
      </w:pPr>
      <w:r w:rsidRPr="0050146A">
        <w:rPr>
          <w:rFonts w:hint="cs"/>
          <w:rtl/>
        </w:rPr>
        <w:t xml:space="preserve">וכתב </w:t>
      </w:r>
      <w:r w:rsidRPr="0050146A">
        <w:rPr>
          <w:rStyle w:val="af8"/>
          <w:rFonts w:hint="cs"/>
          <w:rtl/>
        </w:rPr>
        <w:t xml:space="preserve">הרמב"ן </w:t>
      </w:r>
      <w:r w:rsidRPr="0050146A">
        <w:rPr>
          <w:rStyle w:val="af6"/>
          <w:rFonts w:eastAsia="Guttman Hodes" w:hint="cs"/>
          <w:rtl/>
        </w:rPr>
        <w:t>(ד"ה והא דאמרן)</w:t>
      </w:r>
      <w:r w:rsidRPr="0050146A">
        <w:rPr>
          <w:rFonts w:hint="cs"/>
          <w:rtl/>
        </w:rPr>
        <w:t xml:space="preserve"> דודאי דבזרוע בשלה אין טעם דיש ביטול בשישים, אלא דכוונת רבא לומר דמצינו בקדשים שטעם שיצא מחתיכה של איסור הוא כאיסור עצמו, ואילו בזרוע בשלה התירה התורה לבשל את הזרוע עם האיל ולא חששה תורה לאיסור של הטעם, ולא החשיבה התורה את הטעם כמו עיקר האיסור, א"כ מוכח דהטעם מותר לגמרי.</w:t>
      </w:r>
    </w:p>
    <w:p w:rsidR="008B470A" w:rsidRPr="0050146A" w:rsidRDefault="008B470A" w:rsidP="008B470A">
      <w:pPr>
        <w:pStyle w:val="a2"/>
      </w:pPr>
      <w:bookmarkStart w:id="4743" w:name="_Toc12378999"/>
      <w:r w:rsidRPr="0050146A">
        <w:rPr>
          <w:rFonts w:hint="cs"/>
          <w:rtl/>
        </w:rPr>
        <w:t>ביאור הרמב"ן דהקולא בזרוע בשלה שמבשלה יחד עם חלק הבעלים ודלא כשאר מתנות כהונה</w:t>
      </w:r>
      <w:bookmarkEnd w:id="4743"/>
    </w:p>
    <w:p w:rsidR="008B470A" w:rsidRPr="0050146A" w:rsidRDefault="008B470A" w:rsidP="009F44AF">
      <w:pPr>
        <w:pStyle w:val="a"/>
        <w:rPr>
          <w:rtl/>
        </w:rPr>
      </w:pPr>
      <w:r w:rsidRPr="0050146A">
        <w:rPr>
          <w:rFonts w:hint="cs"/>
          <w:rtl/>
        </w:rPr>
        <w:t xml:space="preserve">בדברי הגמ' דא"א ללמוד מזרוע בשלה לקולא כיון שהיא חידוש, וביאר </w:t>
      </w:r>
      <w:r w:rsidRPr="0050146A">
        <w:rPr>
          <w:rStyle w:val="af8"/>
          <w:rFonts w:hint="cs"/>
          <w:rtl/>
        </w:rPr>
        <w:t>הרמב"ן</w:t>
      </w:r>
      <w:r w:rsidRPr="0050146A">
        <w:rPr>
          <w:rFonts w:hint="cs"/>
          <w:rtl/>
        </w:rPr>
        <w:t xml:space="preserve"> דהחידוש הוא דבשאר הקדשים לא אמרה תורה לבשל את המתנות כהונה יחד עם החלק של הבעלים, ואילו בזרוע בשלה הצריכה תורה לבשלם יחד, וע"ז מקשה הגמ' דא"כ א"א ללמוד מזרוע בשלה אף למאה ושישים.</w:t>
      </w:r>
    </w:p>
    <w:p w:rsidR="008B470A" w:rsidRPr="0050146A" w:rsidRDefault="008B470A" w:rsidP="008B470A">
      <w:pPr>
        <w:pStyle w:val="a2"/>
      </w:pPr>
      <w:bookmarkStart w:id="4744" w:name="_Toc12379000"/>
      <w:r w:rsidRPr="0050146A">
        <w:rPr>
          <w:rFonts w:hint="cs"/>
          <w:rtl/>
        </w:rPr>
        <w:t>ביאור הרמב"ן דכיון דלא מצינו היתר בתורה יותר משישים בזרוע בשלה ילפינן ממנה לחומרא</w:t>
      </w:r>
      <w:bookmarkEnd w:id="4744"/>
    </w:p>
    <w:p w:rsidR="008B470A" w:rsidRPr="0050146A" w:rsidRDefault="008B470A" w:rsidP="009F44AF">
      <w:pPr>
        <w:pStyle w:val="a"/>
        <w:rPr>
          <w:rtl/>
        </w:rPr>
      </w:pPr>
      <w:r w:rsidRPr="0050146A">
        <w:rPr>
          <w:rFonts w:hint="cs"/>
          <w:rtl/>
        </w:rPr>
        <w:t xml:space="preserve">ובתירוץ הגמ' דילפינן לחומרא, ביאר </w:t>
      </w:r>
      <w:r w:rsidRPr="0050146A">
        <w:rPr>
          <w:rStyle w:val="af8"/>
          <w:rFonts w:hint="cs"/>
          <w:rtl/>
        </w:rPr>
        <w:t>הרמב"ן</w:t>
      </w:r>
      <w:r w:rsidRPr="0050146A">
        <w:rPr>
          <w:rFonts w:hint="cs"/>
          <w:rtl/>
        </w:rPr>
        <w:t xml:space="preserve"> דבמקום שכבר נתבשל האיסור עם ההיתר ואין בו נתינת טעם מתירים אותו כפי השיעור של זרוע בשלה, דאף במקום שהקילה תורה לבשלם יחד, מ"מ לא מצינו דהתירה תורה בפחות משיעור שישים או מאה.</w:t>
      </w:r>
    </w:p>
    <w:p w:rsidR="008B470A" w:rsidRPr="0050146A" w:rsidRDefault="008B470A" w:rsidP="008B470A">
      <w:pPr>
        <w:pStyle w:val="1"/>
        <w:rPr>
          <w:rtl/>
        </w:rPr>
      </w:pPr>
      <w:bookmarkStart w:id="4745" w:name="_Toc12379001"/>
      <w:r w:rsidRPr="0050146A">
        <w:rPr>
          <w:rFonts w:hint="cs"/>
          <w:rtl/>
        </w:rPr>
        <w:t>דברי הראב"ד</w:t>
      </w:r>
      <w:bookmarkEnd w:id="4739"/>
      <w:bookmarkEnd w:id="4740"/>
      <w:bookmarkEnd w:id="4741"/>
      <w:r w:rsidRPr="0050146A">
        <w:rPr>
          <w:rFonts w:hint="cs"/>
          <w:rtl/>
        </w:rPr>
        <w:t xml:space="preserve"> דכוונת רבא בטעם כעיקר להיתר מצטרף לאיסור</w:t>
      </w:r>
      <w:bookmarkEnd w:id="4745"/>
    </w:p>
    <w:p w:rsidR="008B470A" w:rsidRPr="0050146A" w:rsidRDefault="008B470A" w:rsidP="008B470A">
      <w:pPr>
        <w:pStyle w:val="a2"/>
        <w:rPr>
          <w:rtl/>
        </w:rPr>
      </w:pPr>
      <w:bookmarkStart w:id="4746" w:name="_Toc12379002"/>
      <w:r w:rsidRPr="0050146A">
        <w:rPr>
          <w:rFonts w:hint="cs"/>
          <w:rtl/>
        </w:rPr>
        <w:t>ביאור הבעה"מ והראב"ד דכוונת רבא בלשון טעם כעיקר לדין היתר מצטרף לאיסור</w:t>
      </w:r>
      <w:bookmarkEnd w:id="4746"/>
    </w:p>
    <w:p w:rsidR="008B470A" w:rsidRPr="0050146A" w:rsidRDefault="008B470A" w:rsidP="009F44AF">
      <w:pPr>
        <w:pStyle w:val="a"/>
        <w:rPr>
          <w:rtl/>
        </w:rPr>
      </w:pPr>
      <w:r w:rsidRPr="0050146A">
        <w:rPr>
          <w:rFonts w:hint="cs"/>
          <w:rtl/>
        </w:rPr>
        <w:t xml:space="preserve">כתבו </w:t>
      </w:r>
      <w:r w:rsidRPr="0050146A">
        <w:rPr>
          <w:rStyle w:val="af8"/>
          <w:rFonts w:hint="cs"/>
          <w:rtl/>
        </w:rPr>
        <w:t xml:space="preserve">הבעה"מ בפסחים </w:t>
      </w:r>
      <w:r w:rsidRPr="0050146A">
        <w:rPr>
          <w:rStyle w:val="af6"/>
          <w:rFonts w:eastAsia="Guttman Hodes" w:hint="cs"/>
          <w:rtl/>
        </w:rPr>
        <w:t>(יג: מדפי הרי"ף)</w:t>
      </w:r>
      <w:r w:rsidRPr="0050146A">
        <w:rPr>
          <w:rFonts w:hint="cs"/>
          <w:rtl/>
        </w:rPr>
        <w:t xml:space="preserve"> </w:t>
      </w:r>
      <w:r w:rsidRPr="0050146A">
        <w:rPr>
          <w:rStyle w:val="af8"/>
          <w:rFonts w:hint="cs"/>
          <w:rtl/>
        </w:rPr>
        <w:t>והראב"ד בהשג' על הבעה"מ בפסחים</w:t>
      </w:r>
      <w:r w:rsidRPr="0050146A">
        <w:rPr>
          <w:rFonts w:hint="cs"/>
          <w:rtl/>
        </w:rPr>
        <w:t xml:space="preserve"> </w:t>
      </w:r>
      <w:r w:rsidRPr="0050146A">
        <w:rPr>
          <w:rStyle w:val="af6"/>
          <w:rFonts w:eastAsia="Guttman Hodes" w:hint="cs"/>
          <w:rtl/>
        </w:rPr>
        <w:t>(יג: מדפי הרי"ף בסו"ד ד"ה מדאמרינן)</w:t>
      </w:r>
      <w:r w:rsidRPr="0050146A">
        <w:rPr>
          <w:rFonts w:hint="cs"/>
          <w:rtl/>
        </w:rPr>
        <w:t xml:space="preserve"> דכוונת רבא להיתר מצטרף לאיסור, </w:t>
      </w:r>
      <w:r w:rsidRPr="0050146A">
        <w:rPr>
          <w:rStyle w:val="afa"/>
          <w:rFonts w:hint="cs"/>
          <w:rtl/>
        </w:rPr>
        <w:t xml:space="preserve">[כביאור </w:t>
      </w:r>
      <w:r w:rsidRPr="0050146A">
        <w:rPr>
          <w:rStyle w:val="affa"/>
          <w:rFonts w:hint="cs"/>
          <w:rtl/>
        </w:rPr>
        <w:t>ר"ת</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Ref12375383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לח)</w:t>
      </w:r>
      <w:r w:rsidRPr="0050146A">
        <w:rPr>
          <w:rStyle w:val="aff6"/>
          <w:rtl/>
        </w:rPr>
        <w:fldChar w:fldCharType="end"/>
      </w:r>
      <w:r w:rsidRPr="0050146A">
        <w:rPr>
          <w:rStyle w:val="afa"/>
          <w:rFonts w:hint="cs"/>
          <w:rtl/>
        </w:rPr>
        <w:t>],</w:t>
      </w:r>
      <w:r w:rsidRPr="0050146A">
        <w:rPr>
          <w:rFonts w:hint="cs"/>
          <w:rtl/>
        </w:rPr>
        <w:t xml:space="preserve"> וכתבו דכיון דמבואר בגמ' בפסחים </w:t>
      </w:r>
      <w:r w:rsidRPr="0050146A">
        <w:rPr>
          <w:rStyle w:val="af6"/>
          <w:rFonts w:eastAsia="Guttman Hodes" w:hint="cs"/>
          <w:rtl/>
        </w:rPr>
        <w:t xml:space="preserve">(מה.) </w:t>
      </w:r>
      <w:r w:rsidRPr="0050146A">
        <w:rPr>
          <w:rFonts w:hint="cs"/>
          <w:rtl/>
        </w:rPr>
        <w:t xml:space="preserve">דמחטאת ילפינן להיתר מצטרף לאיסור, א"כ צ"ל דהא דאמר רבא בסוגיין דטעם כעיקר בקדשים אסור ובחולין מותר, כוונתו לדין היתר מצטרף לאיסור, שהטעם שקיבל ההיתר מהאיסור נעשה כאילו כולו הוא עיקר האיסור, וכתב </w:t>
      </w:r>
      <w:r w:rsidRPr="0050146A">
        <w:rPr>
          <w:rStyle w:val="af8"/>
          <w:rFonts w:hint="cs"/>
          <w:rtl/>
        </w:rPr>
        <w:t>הבעה"מ</w:t>
      </w:r>
      <w:r w:rsidRPr="0050146A">
        <w:rPr>
          <w:rFonts w:hint="cs"/>
          <w:rtl/>
        </w:rPr>
        <w:t xml:space="preserve"> דלשון טעם כעיקר הוא לאו דוקא, </w:t>
      </w:r>
      <w:r w:rsidRPr="0050146A">
        <w:rPr>
          <w:rStyle w:val="af8"/>
          <w:rFonts w:hint="cs"/>
          <w:rtl/>
        </w:rPr>
        <w:t>והראב"ד</w:t>
      </w:r>
      <w:r w:rsidRPr="0050146A">
        <w:rPr>
          <w:rFonts w:hint="cs"/>
          <w:rtl/>
        </w:rPr>
        <w:t xml:space="preserve"> ביאר דלשון "טעם כעיקר" שייך גם בדין היתר מצטרף לאיסור.</w:t>
      </w:r>
    </w:p>
    <w:p w:rsidR="008B470A" w:rsidRPr="0050146A" w:rsidRDefault="008B470A" w:rsidP="008B470A">
      <w:pPr>
        <w:pStyle w:val="a2"/>
        <w:rPr>
          <w:rtl/>
        </w:rPr>
      </w:pPr>
      <w:bookmarkStart w:id="4747" w:name="_Toc12379003"/>
      <w:r w:rsidRPr="0050146A">
        <w:rPr>
          <w:rFonts w:hint="cs"/>
          <w:rtl/>
        </w:rPr>
        <w:t>ביאור הרשב"א בשם הראב"ד דכוונת רבא להיתר מצטרף לאיסור דאסור ואין בו מלקות</w:t>
      </w:r>
      <w:bookmarkEnd w:id="4747"/>
    </w:p>
    <w:p w:rsidR="008B470A" w:rsidRPr="0050146A" w:rsidRDefault="008B470A" w:rsidP="009F44AF">
      <w:pPr>
        <w:pStyle w:val="a"/>
        <w:rPr>
          <w:rtl/>
        </w:rPr>
      </w:pPr>
      <w:r w:rsidRPr="0050146A">
        <w:rPr>
          <w:rFonts w:hint="cs"/>
          <w:rtl/>
        </w:rPr>
        <w:t xml:space="preserve">וכעי"ז כתב </w:t>
      </w:r>
      <w:r w:rsidRPr="0050146A">
        <w:rPr>
          <w:rStyle w:val="af8"/>
          <w:rFonts w:hint="cs"/>
          <w:rtl/>
        </w:rPr>
        <w:t>הרשב"א</w:t>
      </w:r>
      <w:r w:rsidRPr="0050146A">
        <w:rPr>
          <w:rFonts w:hint="cs"/>
          <w:rtl/>
        </w:rPr>
        <w:t xml:space="preserve"> </w:t>
      </w:r>
      <w:r w:rsidRPr="0050146A">
        <w:rPr>
          <w:rStyle w:val="af6"/>
          <w:rFonts w:eastAsia="Guttman Hodes" w:hint="cs"/>
          <w:rtl/>
        </w:rPr>
        <w:t>(ד"ה והראב"ד)</w:t>
      </w:r>
      <w:r w:rsidRPr="0050146A">
        <w:rPr>
          <w:rFonts w:hint="cs"/>
          <w:rtl/>
        </w:rPr>
        <w:t xml:space="preserve"> בשם </w:t>
      </w:r>
      <w:r w:rsidRPr="0050146A">
        <w:rPr>
          <w:rStyle w:val="af8"/>
          <w:rFonts w:hint="cs"/>
          <w:rtl/>
        </w:rPr>
        <w:t>הראב"ד</w:t>
      </w:r>
      <w:r w:rsidRPr="0050146A">
        <w:rPr>
          <w:rFonts w:hint="cs"/>
          <w:rtl/>
        </w:rPr>
        <w:t xml:space="preserve"> דס"ל </w:t>
      </w:r>
      <w:r w:rsidRPr="0050146A">
        <w:rPr>
          <w:rStyle w:val="af8"/>
          <w:rFonts w:hint="cs"/>
          <w:rtl/>
        </w:rPr>
        <w:t>כר"ת</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Ref12375383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50146A">
        <w:rPr>
          <w:rStyle w:val="af6"/>
          <w:rFonts w:eastAsia="Guttman Hodes"/>
          <w:rtl/>
        </w:rPr>
        <w:fldChar w:fldCharType="end"/>
      </w:r>
      <w:r w:rsidRPr="0050146A">
        <w:rPr>
          <w:rFonts w:hint="cs"/>
          <w:rtl/>
        </w:rPr>
        <w:t xml:space="preserve"> דטעם כעיקר דאו', ובקדשים מודו רבנן לר"ע דילפינן מחטאת דהיתר מצטרף לאיסור, מדכתיב כל אשר יגע בבשרה יקדש, ומחטאת ילפינן לשאר הקדשים, אך רק לענין חיוב מלקות ולא לכרת, וחולין לא ילפינן מקדשים, וזו כוונת רבא דתירץ את לשון הברייתא "זהו היתר הבא מכלל איסור" דלא נצרכה אלא לטעם כעיקר, דכוונתו להיתר מצטרף לאיסור דבקדשים הוא אסור, ובזרוע בשלה מותר, וכעי"ז הביא </w:t>
      </w:r>
      <w:r w:rsidRPr="0050146A">
        <w:rPr>
          <w:rStyle w:val="af8"/>
          <w:rFonts w:hint="cs"/>
          <w:rtl/>
        </w:rPr>
        <w:t>הרמב"ן</w:t>
      </w:r>
      <w:r w:rsidRPr="0050146A">
        <w:rPr>
          <w:rFonts w:hint="cs"/>
          <w:rtl/>
        </w:rPr>
        <w:t xml:space="preserve"> </w:t>
      </w:r>
      <w:r w:rsidRPr="0050146A">
        <w:rPr>
          <w:rStyle w:val="af6"/>
          <w:rFonts w:eastAsia="Guttman Hodes" w:hint="cs"/>
          <w:rtl/>
        </w:rPr>
        <w:t>(ד"ה וי"מ)</w:t>
      </w:r>
      <w:r w:rsidRPr="0050146A">
        <w:rPr>
          <w:rFonts w:hint="cs"/>
          <w:rtl/>
        </w:rPr>
        <w:t xml:space="preserve"> בשם </w:t>
      </w:r>
      <w:r w:rsidRPr="0050146A">
        <w:rPr>
          <w:rStyle w:val="af8"/>
          <w:rFonts w:hint="cs"/>
          <w:rtl/>
        </w:rPr>
        <w:t>י"מ</w:t>
      </w:r>
      <w:r w:rsidRPr="0050146A">
        <w:rPr>
          <w:rFonts w:hint="cs"/>
          <w:rtl/>
        </w:rPr>
        <w:t>.</w:t>
      </w:r>
    </w:p>
    <w:p w:rsidR="008B470A" w:rsidRPr="0050146A" w:rsidRDefault="008B470A" w:rsidP="008B470A">
      <w:pPr>
        <w:pStyle w:val="a2"/>
        <w:rPr>
          <w:rtl/>
        </w:rPr>
      </w:pPr>
      <w:bookmarkStart w:id="4748" w:name="_Toc12379004"/>
      <w:r w:rsidRPr="0050146A">
        <w:rPr>
          <w:rFonts w:hint="cs"/>
          <w:rtl/>
        </w:rPr>
        <w:t>ביאור הרשב"א ברבא דבזרוע בשלה התירה תורה מחצה היתר ומחצה איסור בסמוך למקום החתך</w:t>
      </w:r>
      <w:bookmarkEnd w:id="4748"/>
    </w:p>
    <w:p w:rsidR="008B470A" w:rsidRPr="0050146A" w:rsidRDefault="008B470A" w:rsidP="009F44AF">
      <w:pPr>
        <w:pStyle w:val="a"/>
        <w:rPr>
          <w:rStyle w:val="afa"/>
          <w:rtl/>
        </w:rPr>
      </w:pPr>
      <w:r w:rsidRPr="0050146A">
        <w:rPr>
          <w:rFonts w:hint="cs"/>
          <w:rtl/>
        </w:rPr>
        <w:t xml:space="preserve">והקשה </w:t>
      </w:r>
      <w:r w:rsidRPr="0050146A">
        <w:rPr>
          <w:rStyle w:val="af8"/>
          <w:rFonts w:hint="cs"/>
          <w:rtl/>
        </w:rPr>
        <w:t>הרשב"א</w:t>
      </w:r>
      <w:r w:rsidRPr="0050146A">
        <w:rPr>
          <w:rFonts w:hint="cs"/>
          <w:rtl/>
        </w:rPr>
        <w:t xml:space="preserve"> היאך שייך לומר דבזרוע בשלה הוא היתר מצטרף לאיסור, דהיינו שיש מחצה היתר ומחצה איסור, הא כיון דילפינן מזרוע בשלה למאה ושישים, א"כ מוכח דאין מחצה היתר ומחצה איסור, ותירץ </w:t>
      </w:r>
      <w:r w:rsidRPr="0050146A">
        <w:rPr>
          <w:rStyle w:val="af8"/>
          <w:rFonts w:hint="cs"/>
          <w:rtl/>
        </w:rPr>
        <w:t>הרשב"א</w:t>
      </w:r>
      <w:r w:rsidRPr="0050146A">
        <w:rPr>
          <w:rFonts w:hint="cs"/>
          <w:rtl/>
        </w:rPr>
        <w:t xml:space="preserve"> דשייך מחצה היתר ומחצה איסור בסמוך למקום החתך, דמקום זה בולע הרבה מהזרוע, עד שבלוע בו מהזרוע ומהרוטב שלו מחצה איסור, ואמר רבא דזהו החידוש בזרוע בשלה, דהתירה תורה את מקום הסמוך לחתך כיון שאין בכל האיל נתינת טעם של האיסור. </w:t>
      </w:r>
      <w:r w:rsidRPr="0050146A">
        <w:rPr>
          <w:rStyle w:val="afa"/>
          <w:rFonts w:hint="cs"/>
          <w:rtl/>
        </w:rPr>
        <w:t xml:space="preserve">[ובשאר האיל יש ביטול במאה או בשישים], </w:t>
      </w:r>
      <w:r w:rsidRPr="0050146A">
        <w:rPr>
          <w:rFonts w:hint="cs"/>
          <w:rtl/>
        </w:rPr>
        <w:t xml:space="preserve">וכתב </w:t>
      </w:r>
      <w:r w:rsidRPr="0050146A">
        <w:rPr>
          <w:rStyle w:val="af8"/>
          <w:rFonts w:hint="cs"/>
          <w:rtl/>
        </w:rPr>
        <w:t>הרשב"א</w:t>
      </w:r>
      <w:r w:rsidRPr="0050146A">
        <w:rPr>
          <w:rFonts w:hint="cs"/>
          <w:rtl/>
        </w:rPr>
        <w:t xml:space="preserve"> דלפי"ז מבוארים דברי רבא אליבא דהלכתא, </w:t>
      </w:r>
      <w:r w:rsidRPr="0050146A">
        <w:rPr>
          <w:rStyle w:val="afa"/>
          <w:rFonts w:hint="cs"/>
          <w:rtl/>
        </w:rPr>
        <w:t>[דטעם כעיקר דאו' אף בחולין, והכא איירי בהיתר מצטרף לאיסור].</w:t>
      </w:r>
      <w:r w:rsidRPr="0050146A">
        <w:rPr>
          <w:rFonts w:hint="cs"/>
          <w:rtl/>
        </w:rPr>
        <w:t xml:space="preserve"> </w:t>
      </w:r>
      <w:r w:rsidRPr="0050146A">
        <w:rPr>
          <w:rStyle w:val="afa"/>
          <w:rFonts w:hint="cs"/>
          <w:rtl/>
        </w:rPr>
        <w:t xml:space="preserve"> </w:t>
      </w:r>
    </w:p>
    <w:p w:rsidR="008B470A" w:rsidRPr="0050146A" w:rsidRDefault="008B470A" w:rsidP="00E669F8">
      <w:pPr>
        <w:pStyle w:val="afd"/>
        <w:rPr>
          <w:rtl/>
        </w:rPr>
      </w:pPr>
      <w:bookmarkStart w:id="4749" w:name="_Toc12205464"/>
      <w:bookmarkStart w:id="4750" w:name="_Toc12221387"/>
      <w:bookmarkStart w:id="4751" w:name="_Toc12354401"/>
      <w:bookmarkStart w:id="4752" w:name="_Toc12359808"/>
      <w:bookmarkStart w:id="4753" w:name="_Toc12379005"/>
      <w:r w:rsidRPr="0050146A">
        <w:rPr>
          <w:rFonts w:hint="cs"/>
          <w:rtl/>
        </w:rPr>
        <w:t>דברי הר"ן</w:t>
      </w:r>
      <w:bookmarkEnd w:id="4749"/>
      <w:bookmarkEnd w:id="4750"/>
      <w:bookmarkEnd w:id="4751"/>
      <w:bookmarkEnd w:id="4752"/>
      <w:r w:rsidRPr="0050146A">
        <w:rPr>
          <w:rFonts w:hint="cs"/>
          <w:rtl/>
        </w:rPr>
        <w:t xml:space="preserve"> דרבא אייר במינו ואליבא דר"י</w:t>
      </w:r>
      <w:bookmarkEnd w:id="4753"/>
    </w:p>
    <w:p w:rsidR="008B470A" w:rsidRPr="0050146A" w:rsidRDefault="008B470A" w:rsidP="008B470A">
      <w:pPr>
        <w:pStyle w:val="1"/>
        <w:rPr>
          <w:rtl/>
        </w:rPr>
      </w:pPr>
      <w:bookmarkStart w:id="4754" w:name="_Toc12205471"/>
      <w:bookmarkStart w:id="4755" w:name="_Toc12221394"/>
      <w:bookmarkStart w:id="4756" w:name="_Toc12354408"/>
      <w:bookmarkStart w:id="4757" w:name="_Toc12359815"/>
      <w:bookmarkStart w:id="4758" w:name="_Toc12379006"/>
      <w:r w:rsidRPr="0050146A">
        <w:rPr>
          <w:rFonts w:hint="cs"/>
          <w:rtl/>
        </w:rPr>
        <w:t>דברי הר"ן דלאביי בזרוע בשלה בטל האיסור ולרבא בטל הטעם</w:t>
      </w:r>
      <w:bookmarkEnd w:id="4754"/>
      <w:bookmarkEnd w:id="4755"/>
      <w:bookmarkEnd w:id="4756"/>
      <w:bookmarkEnd w:id="4757"/>
      <w:bookmarkEnd w:id="4758"/>
    </w:p>
    <w:p w:rsidR="008B470A" w:rsidRPr="0050146A" w:rsidRDefault="008B470A" w:rsidP="008B470A">
      <w:pPr>
        <w:pStyle w:val="a2"/>
        <w:rPr>
          <w:rtl/>
        </w:rPr>
      </w:pPr>
      <w:bookmarkStart w:id="4759" w:name="_Toc12205472"/>
      <w:bookmarkStart w:id="4760" w:name="_Toc12221395"/>
      <w:bookmarkStart w:id="4761" w:name="_Toc12354409"/>
      <w:bookmarkStart w:id="4762" w:name="_Toc12359816"/>
      <w:bookmarkStart w:id="4763" w:name="_Toc12379007"/>
      <w:r w:rsidRPr="0050146A">
        <w:rPr>
          <w:rFonts w:hint="cs"/>
          <w:rtl/>
        </w:rPr>
        <w:t>ביאור הר"ן דאחר שיש שישים ל"ש טעם כעיקר בזרוע בשלה ואף לרבא ההיתר הוא אליבא דר"י</w:t>
      </w:r>
      <w:bookmarkEnd w:id="4759"/>
      <w:bookmarkEnd w:id="4760"/>
      <w:bookmarkEnd w:id="4761"/>
      <w:bookmarkEnd w:id="4762"/>
      <w:bookmarkEnd w:id="4763"/>
    </w:p>
    <w:p w:rsidR="008B470A" w:rsidRPr="0050146A" w:rsidRDefault="008B470A" w:rsidP="009F44AF">
      <w:pPr>
        <w:pStyle w:val="a"/>
        <w:rPr>
          <w:rtl/>
        </w:rPr>
      </w:pPr>
      <w:bookmarkStart w:id="4764" w:name="_Ref12379108"/>
      <w:r w:rsidRPr="0050146A">
        <w:rPr>
          <w:rStyle w:val="af8"/>
          <w:rFonts w:hint="cs"/>
          <w:rtl/>
        </w:rPr>
        <w:t>והר"ן על הרי"ף</w:t>
      </w:r>
      <w:r w:rsidRPr="0050146A">
        <w:rPr>
          <w:rFonts w:hint="cs"/>
          <w:rtl/>
        </w:rPr>
        <w:t xml:space="preserve"> </w:t>
      </w:r>
      <w:r w:rsidRPr="0050146A">
        <w:rPr>
          <w:rStyle w:val="af6"/>
          <w:rFonts w:eastAsia="Guttman Hodes" w:hint="cs"/>
          <w:rtl/>
        </w:rPr>
        <w:t>(לה. מדפי הרי"ף)</w:t>
      </w:r>
      <w:r w:rsidRPr="0050146A">
        <w:rPr>
          <w:rFonts w:hint="cs"/>
          <w:rtl/>
        </w:rPr>
        <w:t xml:space="preserve"> ביאר דהא דרבא ביאר את לשון הברייתא "זהו היתר הבא מכלל איסור" דבזרוע בשלה מותר טעם כעיקר אף דבקדשים טעם כעיקר אסור, היינו דאעפ"י דבזרוע בשלה יש שישים או מאה ואין בה כל טעם, מ"מ כוונת רבא לבאר את הברייתא אליבא דר"י, דמודה רבא לאביי דהברייתא היא אליבא דר"י.</w:t>
      </w:r>
      <w:bookmarkEnd w:id="4764"/>
    </w:p>
    <w:p w:rsidR="008B470A" w:rsidRPr="0050146A" w:rsidRDefault="008B470A" w:rsidP="008B470A">
      <w:pPr>
        <w:pStyle w:val="a2"/>
      </w:pPr>
      <w:bookmarkStart w:id="4765" w:name="_Toc12205473"/>
      <w:bookmarkStart w:id="4766" w:name="_Toc12221396"/>
      <w:bookmarkStart w:id="4767" w:name="_Toc12354410"/>
      <w:bookmarkStart w:id="4768" w:name="_Toc12359817"/>
      <w:bookmarkStart w:id="4769" w:name="_Toc12379008"/>
      <w:r w:rsidRPr="0050146A">
        <w:rPr>
          <w:rFonts w:hint="cs"/>
          <w:rtl/>
        </w:rPr>
        <w:t>ביאור הר"ן דלאביי בזרוע בשלה התחדש לר"י דמהני ביטול גמור אף דהוא מין במינו</w:t>
      </w:r>
      <w:bookmarkEnd w:id="4765"/>
      <w:bookmarkEnd w:id="4766"/>
      <w:bookmarkEnd w:id="4767"/>
      <w:bookmarkEnd w:id="4768"/>
      <w:bookmarkEnd w:id="4769"/>
    </w:p>
    <w:p w:rsidR="008B470A" w:rsidRPr="0050146A" w:rsidRDefault="008B470A" w:rsidP="009F44AF">
      <w:pPr>
        <w:pStyle w:val="a"/>
        <w:rPr>
          <w:rStyle w:val="afa"/>
          <w:rtl/>
        </w:rPr>
      </w:pPr>
      <w:r w:rsidRPr="0050146A">
        <w:rPr>
          <w:rFonts w:hint="cs"/>
          <w:rtl/>
        </w:rPr>
        <w:t xml:space="preserve">וביאר </w:t>
      </w:r>
      <w:r w:rsidRPr="0050146A">
        <w:rPr>
          <w:rStyle w:val="af8"/>
          <w:rFonts w:hint="cs"/>
          <w:rtl/>
        </w:rPr>
        <w:t>הר"ן על הרי"ף</w:t>
      </w:r>
      <w:r w:rsidRPr="0050146A">
        <w:rPr>
          <w:rFonts w:hint="cs"/>
          <w:rtl/>
        </w:rPr>
        <w:t xml:space="preserve"> דאביי ביאר דאף דלר"י בעלמא מין במינו לא בטיל, מ"מ בזרוע בשלה יש חידוש דבטיל. </w:t>
      </w:r>
      <w:r w:rsidRPr="0050146A">
        <w:rPr>
          <w:rStyle w:val="afa"/>
          <w:rFonts w:hint="cs"/>
          <w:rtl/>
        </w:rPr>
        <w:t>[והיינו דילפינן מזרוע בשלה לעיקר דין ביטול אף במקום שנמחה גוף האיסור דבטל בשישים].</w:t>
      </w:r>
    </w:p>
    <w:p w:rsidR="008B470A" w:rsidRPr="0050146A" w:rsidRDefault="008B470A" w:rsidP="008B470A">
      <w:pPr>
        <w:pStyle w:val="a2"/>
      </w:pPr>
      <w:bookmarkStart w:id="4770" w:name="_Toc12205474"/>
      <w:bookmarkStart w:id="4771" w:name="_Toc12221397"/>
      <w:bookmarkStart w:id="4772" w:name="_Toc12354411"/>
      <w:bookmarkStart w:id="4773" w:name="_Toc12359818"/>
      <w:bookmarkStart w:id="4774" w:name="_Toc12379009"/>
      <w:r w:rsidRPr="0050146A">
        <w:rPr>
          <w:rFonts w:hint="cs"/>
          <w:rtl/>
        </w:rPr>
        <w:t>ביאור הר"ן דלרבא בזרוע בשלה מהני ביטול לר"י רק על הטעם אעפ"י דבקדשים טעם כעיקר דאו'</w:t>
      </w:r>
      <w:bookmarkEnd w:id="4770"/>
      <w:bookmarkEnd w:id="4771"/>
      <w:bookmarkEnd w:id="4772"/>
      <w:bookmarkEnd w:id="4773"/>
      <w:bookmarkEnd w:id="4774"/>
    </w:p>
    <w:p w:rsidR="002D7168" w:rsidRDefault="008B470A" w:rsidP="009F44AF">
      <w:pPr>
        <w:pStyle w:val="a"/>
        <w:rPr>
          <w:rtl/>
        </w:rPr>
      </w:pPr>
      <w:r w:rsidRPr="0050146A">
        <w:rPr>
          <w:rFonts w:hint="cs"/>
          <w:rtl/>
        </w:rPr>
        <w:t xml:space="preserve">ובדברי רבא ביאר </w:t>
      </w:r>
      <w:r w:rsidRPr="0050146A">
        <w:rPr>
          <w:rStyle w:val="af8"/>
          <w:rFonts w:hint="cs"/>
          <w:rtl/>
        </w:rPr>
        <w:t>הר"ן על הרי"ף</w:t>
      </w:r>
      <w:r w:rsidRPr="0050146A">
        <w:rPr>
          <w:rFonts w:hint="cs"/>
          <w:rtl/>
        </w:rPr>
        <w:t xml:space="preserve"> דלא התירה התורה כ"כ בזרוע בשלה, </w:t>
      </w:r>
      <w:r w:rsidRPr="0050146A">
        <w:rPr>
          <w:rStyle w:val="afa"/>
          <w:rFonts w:hint="cs"/>
          <w:rtl/>
        </w:rPr>
        <w:t>[אף כשנמחה גוף האיסור],</w:t>
      </w:r>
      <w:r w:rsidRPr="0050146A">
        <w:rPr>
          <w:rFonts w:hint="cs"/>
          <w:rtl/>
        </w:rPr>
        <w:t xml:space="preserve"> אלא ההיתר הוא רק לענין נתינת טעם, דכיון דבכל קדשים טעם כעיקר אסור, </w:t>
      </w:r>
      <w:r w:rsidRPr="0050146A">
        <w:rPr>
          <w:rStyle w:val="afa"/>
          <w:rFonts w:hint="cs"/>
          <w:rtl/>
        </w:rPr>
        <w:t>[במין בשאינו מינו],</w:t>
      </w:r>
      <w:r w:rsidRPr="0050146A">
        <w:rPr>
          <w:rFonts w:hint="cs"/>
          <w:rtl/>
        </w:rPr>
        <w:t xml:space="preserve"> א"כ לדעת ר"י היה צריך לאסור ולומר דהטעם אינו מתבטל, </w:t>
      </w:r>
      <w:r w:rsidRPr="0050146A">
        <w:rPr>
          <w:rStyle w:val="afa"/>
          <w:rFonts w:hint="cs"/>
          <w:rtl/>
        </w:rPr>
        <w:t>[אף בזרוע בשלה שהוא מין במינו],</w:t>
      </w:r>
      <w:r w:rsidRPr="0050146A">
        <w:rPr>
          <w:rFonts w:hint="cs"/>
          <w:rtl/>
        </w:rPr>
        <w:t xml:space="preserve"> וקמ"ל הברייתא דאף דבקדשים טעם כעיקר אסור מ"מ בזרוע בשלה יש היתר, אבל אם גוף הזרוע היה נמחה בהיתר, אין כל ילפותא מזרוע בשלה דמהני ביטול. </w:t>
      </w:r>
      <w:r w:rsidRPr="0050146A">
        <w:rPr>
          <w:rStyle w:val="afa"/>
          <w:rFonts w:hint="cs"/>
          <w:rtl/>
        </w:rPr>
        <w:t>[והיינו דלאביי הההיתר בזרוע בשלה הוא בעיקר דין ביטול ואף אם נמחה האיסור מותר, ולרבא ההיתר הוא רק בנתינת טעם],</w:t>
      </w:r>
      <w:r w:rsidRPr="0050146A">
        <w:rPr>
          <w:rFonts w:hint="cs"/>
          <w:rtl/>
        </w:rPr>
        <w:t xml:space="preserve"> וכתב </w:t>
      </w:r>
      <w:r w:rsidRPr="0050146A">
        <w:rPr>
          <w:rStyle w:val="af8"/>
          <w:rFonts w:hint="cs"/>
          <w:rtl/>
        </w:rPr>
        <w:t>הר"ן על הרי"ף</w:t>
      </w:r>
      <w:r w:rsidRPr="0050146A">
        <w:rPr>
          <w:rFonts w:hint="cs"/>
          <w:rtl/>
        </w:rPr>
        <w:t xml:space="preserve"> דמבואר דטעם כעיקר דרבנן, וכדברי </w:t>
      </w:r>
      <w:r w:rsidRPr="0050146A">
        <w:rPr>
          <w:rStyle w:val="af8"/>
          <w:rFonts w:hint="cs"/>
          <w:rtl/>
        </w:rPr>
        <w:t xml:space="preserve">רש"י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Ref11403131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w:t>
      </w:r>
    </w:p>
    <w:p w:rsidR="008B470A" w:rsidRPr="0050146A" w:rsidRDefault="008B470A" w:rsidP="008B470A">
      <w:pPr>
        <w:pStyle w:val="a2"/>
        <w:rPr>
          <w:rtl/>
        </w:rPr>
      </w:pPr>
      <w:bookmarkStart w:id="4775" w:name="_Toc12205475"/>
      <w:bookmarkStart w:id="4776" w:name="_Toc12221398"/>
      <w:bookmarkStart w:id="4777" w:name="_Toc12354412"/>
      <w:bookmarkStart w:id="4778" w:name="_Toc12359819"/>
      <w:bookmarkStart w:id="4779" w:name="_Toc12379010"/>
      <w:r w:rsidRPr="0050146A">
        <w:rPr>
          <w:rFonts w:hint="cs"/>
          <w:rtl/>
        </w:rPr>
        <w:t>ביאור החת"ס בר"ן דלאביי שישים הוא אף בתערובת כדם פר ולרבא רק בלחות הטעם היוצא</w:t>
      </w:r>
      <w:bookmarkEnd w:id="4775"/>
      <w:bookmarkEnd w:id="4776"/>
      <w:bookmarkEnd w:id="4777"/>
      <w:bookmarkEnd w:id="4778"/>
      <w:bookmarkEnd w:id="4779"/>
    </w:p>
    <w:p w:rsidR="008B470A" w:rsidRPr="0050146A" w:rsidRDefault="008B470A" w:rsidP="009F44AF">
      <w:pPr>
        <w:pStyle w:val="a"/>
        <w:rPr>
          <w:rtl/>
        </w:rPr>
      </w:pPr>
      <w:r w:rsidRPr="0050146A">
        <w:rPr>
          <w:rFonts w:hint="cs"/>
          <w:rtl/>
        </w:rPr>
        <w:t xml:space="preserve">וביאר </w:t>
      </w:r>
      <w:r w:rsidRPr="0050146A">
        <w:rPr>
          <w:rStyle w:val="af8"/>
          <w:rFonts w:hint="cs"/>
          <w:rtl/>
        </w:rPr>
        <w:t>החת"ס</w:t>
      </w:r>
      <w:r w:rsidRPr="0050146A">
        <w:rPr>
          <w:rFonts w:hint="cs"/>
          <w:rtl/>
        </w:rPr>
        <w:t xml:space="preserve"> </w:t>
      </w:r>
      <w:r w:rsidRPr="0050146A">
        <w:rPr>
          <w:rStyle w:val="af6"/>
          <w:rFonts w:eastAsia="Guttman Hodes" w:hint="cs"/>
          <w:rtl/>
        </w:rPr>
        <w:t>(ד"ה וא"ש)</w:t>
      </w:r>
      <w:r w:rsidRPr="0050146A">
        <w:rPr>
          <w:rFonts w:hint="cs"/>
          <w:rtl/>
        </w:rPr>
        <w:t xml:space="preserve"> דכוונת </w:t>
      </w:r>
      <w:r w:rsidRPr="0050146A">
        <w:rPr>
          <w:rStyle w:val="af8"/>
          <w:rFonts w:hint="cs"/>
          <w:rtl/>
        </w:rPr>
        <w:t>הר"ן</w:t>
      </w:r>
      <w:r w:rsidRPr="0050146A">
        <w:rPr>
          <w:rFonts w:hint="cs"/>
          <w:rtl/>
        </w:rPr>
        <w:t xml:space="preserve"> לומר דתירוץ רבא קאי על תירוץ אביי דזרוע בשלה הוי מין במינו, ולרבא אינו מתבטל כתערובת ממש של דם פר ושעיר, </w:t>
      </w:r>
      <w:r w:rsidRPr="0050146A">
        <w:rPr>
          <w:rStyle w:val="afa"/>
          <w:rFonts w:hint="cs"/>
          <w:rtl/>
        </w:rPr>
        <w:t xml:space="preserve">[כדס"ל לאביי דבזרוע בשלה הוא ביטול גמור כדם פר ושעיר], </w:t>
      </w:r>
      <w:r w:rsidRPr="0050146A">
        <w:rPr>
          <w:rFonts w:hint="cs"/>
          <w:rtl/>
        </w:rPr>
        <w:t>אבל כשיוצא לחות מחתיכה לחתיכה שהוא רק טעם אינו מדאו', ורק בקדשים הוא מדאו' ואוסר במין בשאינו מינו כשיש בו טעם, ובמין במינו במשהו.</w:t>
      </w:r>
    </w:p>
    <w:p w:rsidR="008B470A" w:rsidRPr="0050146A" w:rsidRDefault="008B470A" w:rsidP="008B470A">
      <w:pPr>
        <w:pStyle w:val="a2"/>
        <w:rPr>
          <w:rtl/>
        </w:rPr>
      </w:pPr>
      <w:bookmarkStart w:id="4780" w:name="_Toc12379011"/>
      <w:r w:rsidRPr="0050146A">
        <w:rPr>
          <w:rFonts w:hint="cs"/>
          <w:rtl/>
        </w:rPr>
        <w:t>קושית הגרעק"א על הר"ן דאי לר"י ילפינן מחטאת דטעם אסור במין במינו א"צ ללמוד מדם פר</w:t>
      </w:r>
      <w:bookmarkEnd w:id="4780"/>
    </w:p>
    <w:p w:rsidR="008B470A" w:rsidRPr="0050146A" w:rsidRDefault="008B470A" w:rsidP="009F44AF">
      <w:pPr>
        <w:pStyle w:val="a"/>
        <w:rPr>
          <w:rtl/>
        </w:rPr>
      </w:pPr>
      <w:r w:rsidRPr="0050146A">
        <w:rPr>
          <w:rFonts w:hint="cs"/>
          <w:rtl/>
        </w:rPr>
        <w:lastRenderedPageBreak/>
        <w:t xml:space="preserve">והקשה </w:t>
      </w:r>
      <w:r w:rsidRPr="0050146A">
        <w:rPr>
          <w:rStyle w:val="af8"/>
          <w:rFonts w:hint="cs"/>
          <w:rtl/>
        </w:rPr>
        <w:t>הגרעק"א</w:t>
      </w:r>
      <w:r w:rsidRPr="0050146A">
        <w:rPr>
          <w:rFonts w:hint="cs"/>
          <w:rtl/>
        </w:rPr>
        <w:t xml:space="preserve"> </w:t>
      </w:r>
      <w:r w:rsidRPr="0050146A">
        <w:rPr>
          <w:rStyle w:val="af6"/>
          <w:rFonts w:eastAsia="Guttman Hodes" w:hint="cs"/>
          <w:rtl/>
        </w:rPr>
        <w:t>(בחי' ד"ה ואני, ובשו"ת קמא קס"ו)</w:t>
      </w:r>
      <w:r w:rsidRPr="0050146A">
        <w:rPr>
          <w:rFonts w:hint="cs"/>
          <w:rtl/>
        </w:rPr>
        <w:t xml:space="preserve"> על דברי </w:t>
      </w:r>
      <w:r w:rsidRPr="0050146A">
        <w:rPr>
          <w:rStyle w:val="af8"/>
          <w:rFonts w:hint="cs"/>
          <w:rtl/>
        </w:rPr>
        <w:t>הר"ן</w:t>
      </w:r>
      <w:r w:rsidRPr="0050146A">
        <w:rPr>
          <w:rFonts w:hint="cs"/>
          <w:rtl/>
        </w:rPr>
        <w:t xml:space="preserve"> דאי אף לרבא הברייתא דזהו היתר הבא מכלל איסור היא אליבא דר"י דמין במינו לא בטל, וס"ל לרבא דבקדשים טעם כעיקר דאו', ואפ"ה התירה תורה בזרוע בשלה, א"כ קושית הגמ' דניגמר מזרוע בשלה, הכוונה דאף בפליטת טעם יהיה ביטול במין במינו, ותירצה הגמ' דילפינן מחטאת דאף פליטת טעם לא בטלה בקדשים, והיינו דאף שבפליטת טעם יש רוב של היתר מ"מ מין במינו אסור, וא"כ אמאי ר"י צריך ללמוד מדם פר ודם שעיר דמין במינו לא בטיל, הא אי פליטת טעם לא בטלה, כ"ש כשיש תערובת בעין דמין במינו לא בטיל, והניח </w:t>
      </w:r>
      <w:r w:rsidRPr="0050146A">
        <w:rPr>
          <w:rStyle w:val="af8"/>
          <w:rFonts w:hint="cs"/>
          <w:rtl/>
        </w:rPr>
        <w:t>הגרעק"א</w:t>
      </w:r>
      <w:r w:rsidRPr="0050146A">
        <w:rPr>
          <w:rFonts w:hint="cs"/>
          <w:rtl/>
        </w:rPr>
        <w:t xml:space="preserve"> בצ"ע.</w:t>
      </w:r>
    </w:p>
    <w:p w:rsidR="008B470A" w:rsidRPr="0050146A" w:rsidRDefault="008B470A" w:rsidP="008B470A">
      <w:pPr>
        <w:pStyle w:val="1"/>
        <w:rPr>
          <w:rtl/>
        </w:rPr>
      </w:pPr>
      <w:bookmarkStart w:id="4781" w:name="_Toc12359783"/>
      <w:bookmarkStart w:id="4782" w:name="_Toc12379012"/>
      <w:r w:rsidRPr="0050146A">
        <w:rPr>
          <w:rFonts w:hint="cs"/>
          <w:rtl/>
        </w:rPr>
        <w:t xml:space="preserve">ביאור התוס' הרי"ד </w:t>
      </w:r>
      <w:bookmarkEnd w:id="4781"/>
      <w:r w:rsidRPr="0050146A">
        <w:rPr>
          <w:rFonts w:hint="cs"/>
          <w:rtl/>
        </w:rPr>
        <w:t>דההיתר בזרוע בשלה בטעם ביותר מס'</w:t>
      </w:r>
      <w:bookmarkEnd w:id="4782"/>
    </w:p>
    <w:p w:rsidR="008B470A" w:rsidRPr="0050146A" w:rsidRDefault="008B470A" w:rsidP="008B470A">
      <w:pPr>
        <w:pStyle w:val="a2"/>
        <w:rPr>
          <w:rtl/>
        </w:rPr>
      </w:pPr>
      <w:bookmarkStart w:id="4783" w:name="_Toc12359784"/>
      <w:bookmarkStart w:id="4784" w:name="_Toc12379013"/>
      <w:bookmarkStart w:id="4785" w:name="_Toc12354370"/>
      <w:r w:rsidRPr="0050146A">
        <w:rPr>
          <w:rFonts w:hint="cs"/>
          <w:rtl/>
        </w:rPr>
        <w:t>דברי התוס' הרי"ד דלרבא טע"כ דאו' אבל במין במינו בקדשים ל"מ רוב ובחולין בטל ברוב</w:t>
      </w:r>
      <w:bookmarkEnd w:id="4783"/>
      <w:bookmarkEnd w:id="4784"/>
    </w:p>
    <w:p w:rsidR="008B470A" w:rsidRPr="0050146A" w:rsidRDefault="008B470A" w:rsidP="009F44AF">
      <w:pPr>
        <w:pStyle w:val="a"/>
        <w:rPr>
          <w:rtl/>
        </w:rPr>
      </w:pPr>
      <w:r w:rsidRPr="0050146A">
        <w:rPr>
          <w:rFonts w:hint="cs"/>
          <w:rtl/>
        </w:rPr>
        <w:t xml:space="preserve">הביא </w:t>
      </w:r>
      <w:r w:rsidRPr="0050146A">
        <w:rPr>
          <w:rStyle w:val="af8"/>
          <w:rFonts w:hint="cs"/>
          <w:rtl/>
        </w:rPr>
        <w:t>התוס' הרי"ד בע"ז</w:t>
      </w:r>
      <w:r w:rsidRPr="0050146A">
        <w:rPr>
          <w:rFonts w:hint="cs"/>
          <w:rtl/>
        </w:rPr>
        <w:t xml:space="preserve"> </w:t>
      </w:r>
      <w:r w:rsidRPr="0050146A">
        <w:rPr>
          <w:rStyle w:val="af6"/>
          <w:rFonts w:eastAsia="Guttman Hodes" w:hint="cs"/>
          <w:rtl/>
        </w:rPr>
        <w:t>(סז. סוד"ה אמר רבא, הועתק בקובץ שיטות קמאי ע"ז ח"ב עמ'</w:t>
      </w:r>
      <w:r w:rsidRPr="0050146A">
        <w:rPr>
          <w:rStyle w:val="af6"/>
          <w:rFonts w:eastAsia="Guttman Hodes"/>
          <w:rtl/>
        </w:rPr>
        <w:t xml:space="preserve"> אלף תרכ</w:t>
      </w:r>
      <w:r w:rsidRPr="0050146A">
        <w:rPr>
          <w:rStyle w:val="af6"/>
          <w:rFonts w:eastAsia="Guttman Hodes" w:hint="cs"/>
          <w:rtl/>
        </w:rPr>
        <w:t>"</w:t>
      </w:r>
      <w:r w:rsidRPr="0050146A">
        <w:rPr>
          <w:rStyle w:val="af6"/>
          <w:rFonts w:eastAsia="Guttman Hodes"/>
          <w:rtl/>
        </w:rPr>
        <w:t>א</w:t>
      </w:r>
      <w:r w:rsidRPr="0050146A">
        <w:rPr>
          <w:rStyle w:val="af6"/>
          <w:rFonts w:eastAsia="Guttman Hodes" w:hint="cs"/>
          <w:rtl/>
        </w:rPr>
        <w:t>)</w:t>
      </w:r>
      <w:r w:rsidRPr="0050146A">
        <w:rPr>
          <w:rFonts w:hint="cs"/>
          <w:rtl/>
        </w:rPr>
        <w:t xml:space="preserve"> את 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Ref12303715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 דלרבא בחולין טעם כעיקר דרבנן ובקדשים טעם כעיקר דאו', ועיי"ש במה שדחה </w:t>
      </w:r>
      <w:r w:rsidRPr="0050146A">
        <w:rPr>
          <w:rStyle w:val="af8"/>
          <w:rFonts w:hint="cs"/>
          <w:rtl/>
        </w:rPr>
        <w:t>התוס' רי"ד</w:t>
      </w:r>
      <w:r w:rsidRPr="0050146A">
        <w:rPr>
          <w:rFonts w:hint="cs"/>
          <w:rtl/>
        </w:rPr>
        <w:t xml:space="preserve">  את דברי </w:t>
      </w:r>
      <w:r w:rsidRPr="0050146A">
        <w:rPr>
          <w:rStyle w:val="af8"/>
          <w:rFonts w:hint="cs"/>
          <w:rtl/>
        </w:rPr>
        <w:t>רש"י</w:t>
      </w:r>
      <w:r w:rsidRPr="0050146A">
        <w:rPr>
          <w:rFonts w:hint="cs"/>
          <w:rtl/>
        </w:rPr>
        <w:t xml:space="preserve">, </w:t>
      </w:r>
      <w:bookmarkStart w:id="4786" w:name="_Ref12354722"/>
      <w:r w:rsidRPr="0050146A">
        <w:rPr>
          <w:rFonts w:hint="cs"/>
          <w:rtl/>
        </w:rPr>
        <w:t xml:space="preserve">וכתב </w:t>
      </w:r>
      <w:r w:rsidRPr="0050146A">
        <w:rPr>
          <w:rStyle w:val="af8"/>
          <w:rFonts w:hint="cs"/>
          <w:rtl/>
        </w:rPr>
        <w:t xml:space="preserve">התוס' הרי"ד </w:t>
      </w:r>
      <w:r w:rsidRPr="0050146A">
        <w:rPr>
          <w:rFonts w:hint="cs"/>
          <w:rtl/>
        </w:rPr>
        <w:t>דאף לרבא בחולין טעם כעיקר דאו', והא דאמר רבא בסוגיין דטעם כעיקר בחולין מותר ובקדשים אסור, היינו במין במינו, דבקדשים אסרתו תורה ובחולין מהני בו ביטול ברוב, אבל במין בשאינו מינו, דאף לדעת רבא הוא דאו' כדילפינן ממשרת, ורק במין בשאינו מינו שייך טעם כעיקר בחולין.</w:t>
      </w:r>
      <w:bookmarkEnd w:id="4786"/>
    </w:p>
    <w:p w:rsidR="008B470A" w:rsidRPr="0050146A" w:rsidRDefault="008B470A" w:rsidP="008B470A">
      <w:pPr>
        <w:pStyle w:val="a2"/>
        <w:rPr>
          <w:rtl/>
        </w:rPr>
      </w:pPr>
      <w:bookmarkStart w:id="4787" w:name="_Toc12359785"/>
      <w:bookmarkStart w:id="4788" w:name="_Toc12379014"/>
      <w:r w:rsidRPr="0050146A">
        <w:rPr>
          <w:rFonts w:hint="cs"/>
          <w:rtl/>
        </w:rPr>
        <w:t>ביאור התוס' הרי"ד ברבא דבזרוע בשלה אף שיש טעם ביותר משישים מותר ובשאר קדשים אסור</w:t>
      </w:r>
      <w:bookmarkEnd w:id="4787"/>
      <w:bookmarkEnd w:id="4788"/>
    </w:p>
    <w:p w:rsidR="008B470A" w:rsidRPr="0050146A" w:rsidRDefault="008B470A" w:rsidP="009F44AF">
      <w:pPr>
        <w:pStyle w:val="a"/>
        <w:rPr>
          <w:rtl/>
        </w:rPr>
      </w:pPr>
      <w:r w:rsidRPr="0050146A">
        <w:rPr>
          <w:rFonts w:hint="cs"/>
          <w:rtl/>
        </w:rPr>
        <w:t xml:space="preserve">והוסיף </w:t>
      </w:r>
      <w:r w:rsidRPr="0050146A">
        <w:rPr>
          <w:rStyle w:val="af8"/>
          <w:rFonts w:hint="cs"/>
          <w:rtl/>
        </w:rPr>
        <w:t>התוס' הרי"ד בע"ז</w:t>
      </w:r>
      <w:r w:rsidRPr="0050146A">
        <w:rPr>
          <w:rFonts w:hint="cs"/>
          <w:rtl/>
        </w:rPr>
        <w:t xml:space="preserve"> דהא דאמר רבא דטעם כעיקר אסור בקדשים ומותר בזרוע בשלה, כוונתו דבקדשים הטעם לעולם אסור, </w:t>
      </w:r>
      <w:r w:rsidRPr="0050146A">
        <w:rPr>
          <w:rFonts w:hint="cs"/>
          <w:rtl/>
        </w:rPr>
        <w:t xml:space="preserve">ואף במקום שיש יותר משישים ומאה, אם נשאר טעם הוא אסור, ואילו בזרוע בשלה התירה תורה בשישים ומאה אף כשיש נתינת טעם, ועי' </w:t>
      </w:r>
      <w:r w:rsidRPr="0050146A">
        <w:rPr>
          <w:rStyle w:val="af8"/>
          <w:rFonts w:hint="cs"/>
          <w:rtl/>
        </w:rPr>
        <w:t>ביד יהודה</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Ref12354837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דביאר כן בדעת </w:t>
      </w:r>
      <w:r w:rsidRPr="0050146A">
        <w:rPr>
          <w:rStyle w:val="af8"/>
          <w:rFonts w:hint="cs"/>
          <w:rtl/>
        </w:rPr>
        <w:t>רש"י</w:t>
      </w:r>
      <w:r w:rsidRPr="0050146A">
        <w:rPr>
          <w:rFonts w:hint="cs"/>
          <w:rtl/>
        </w:rPr>
        <w:t>.</w:t>
      </w:r>
    </w:p>
    <w:p w:rsidR="008B470A" w:rsidRPr="0050146A" w:rsidRDefault="008B470A" w:rsidP="008B470A">
      <w:pPr>
        <w:pStyle w:val="1"/>
        <w:rPr>
          <w:rtl/>
        </w:rPr>
      </w:pPr>
      <w:bookmarkStart w:id="4789" w:name="_Toc12359786"/>
      <w:bookmarkStart w:id="4790" w:name="_Toc12379015"/>
      <w:r w:rsidRPr="0050146A">
        <w:rPr>
          <w:rFonts w:hint="cs"/>
          <w:rtl/>
        </w:rPr>
        <w:t xml:space="preserve">ביאור הראב"ד </w:t>
      </w:r>
      <w:bookmarkEnd w:id="4785"/>
      <w:bookmarkEnd w:id="4789"/>
      <w:r w:rsidRPr="0050146A">
        <w:rPr>
          <w:rFonts w:hint="cs"/>
          <w:rtl/>
        </w:rPr>
        <w:t>דטעם בלוע בקדשים בשישים וגוף הטעם במשהו</w:t>
      </w:r>
      <w:bookmarkEnd w:id="4790"/>
    </w:p>
    <w:p w:rsidR="008B470A" w:rsidRPr="0050146A" w:rsidRDefault="008B470A" w:rsidP="008B470A">
      <w:pPr>
        <w:pStyle w:val="a2"/>
      </w:pPr>
      <w:bookmarkStart w:id="4791" w:name="_Toc12379016"/>
      <w:r w:rsidRPr="0050146A">
        <w:rPr>
          <w:rFonts w:hint="cs"/>
          <w:rtl/>
        </w:rPr>
        <w:t>ביאור הראב"ד דרבא אסר בקדשים בטעם משהו שנשאר אחר שנתבטל הטעם בשישים</w:t>
      </w:r>
      <w:bookmarkEnd w:id="4791"/>
    </w:p>
    <w:p w:rsidR="008B470A" w:rsidRPr="0050146A" w:rsidRDefault="008B470A" w:rsidP="009F44AF">
      <w:pPr>
        <w:pStyle w:val="a"/>
        <w:rPr>
          <w:rtl/>
        </w:rPr>
      </w:pPr>
      <w:r w:rsidRPr="0050146A">
        <w:rPr>
          <w:rFonts w:hint="cs"/>
          <w:rtl/>
        </w:rPr>
        <w:t xml:space="preserve">כתב </w:t>
      </w:r>
      <w:r w:rsidRPr="0050146A">
        <w:rPr>
          <w:rStyle w:val="af8"/>
          <w:rFonts w:hint="cs"/>
          <w:rtl/>
        </w:rPr>
        <w:t>בפי' הראב"ד על התו"כ</w:t>
      </w:r>
      <w:r w:rsidRPr="0050146A">
        <w:rPr>
          <w:rFonts w:hint="cs"/>
          <w:rtl/>
        </w:rPr>
        <w:t xml:space="preserve"> </w:t>
      </w:r>
      <w:r w:rsidRPr="0050146A">
        <w:rPr>
          <w:rStyle w:val="af6"/>
          <w:rFonts w:eastAsia="Guttman Hodes" w:hint="cs"/>
          <w:rtl/>
        </w:rPr>
        <w:t>(צו פ"ג ו')</w:t>
      </w:r>
      <w:r w:rsidRPr="0050146A">
        <w:rPr>
          <w:rFonts w:hint="cs"/>
          <w:rtl/>
        </w:rPr>
        <w:t xml:space="preserve"> דכוונת רבא לומר דהטעם שיש בזרוע בשלה, שהוא טעם משהו שנשאר אחרי שיש שישים כנגדו, הוא מותר בזרוע בשלה, ואסור בשאר קדשים דטעם משהו אסור בקדשים.</w:t>
      </w:r>
    </w:p>
    <w:p w:rsidR="008B470A" w:rsidRPr="0050146A" w:rsidRDefault="008B470A" w:rsidP="008B470A">
      <w:pPr>
        <w:pStyle w:val="a2"/>
        <w:rPr>
          <w:rtl/>
        </w:rPr>
      </w:pPr>
      <w:bookmarkStart w:id="4792" w:name="_Toc12379017"/>
      <w:r w:rsidRPr="0050146A">
        <w:rPr>
          <w:rFonts w:hint="cs"/>
          <w:rtl/>
        </w:rPr>
        <w:t>קושית הראב"ד דמבואר בגמ' בזבחים דהאיסור בקדשים בנותן טעם ולא במשהו</w:t>
      </w:r>
      <w:bookmarkEnd w:id="4792"/>
    </w:p>
    <w:p w:rsidR="008B470A" w:rsidRPr="0050146A" w:rsidRDefault="008B470A" w:rsidP="009F44AF">
      <w:pPr>
        <w:pStyle w:val="a"/>
        <w:rPr>
          <w:rtl/>
        </w:rPr>
      </w:pPr>
      <w:r w:rsidRPr="0050146A">
        <w:rPr>
          <w:rFonts w:hint="cs"/>
          <w:rtl/>
        </w:rPr>
        <w:t xml:space="preserve">והקשה </w:t>
      </w:r>
      <w:r w:rsidRPr="0050146A">
        <w:rPr>
          <w:rStyle w:val="af8"/>
          <w:rFonts w:hint="cs"/>
          <w:rtl/>
        </w:rPr>
        <w:t>בפי' הראב"ד על התו"כ</w:t>
      </w:r>
      <w:r w:rsidRPr="0050146A">
        <w:rPr>
          <w:rFonts w:hint="cs"/>
          <w:rtl/>
        </w:rPr>
        <w:t xml:space="preserve"> דהא איתא בגמ' בזבחים </w:t>
      </w:r>
      <w:r w:rsidRPr="0050146A">
        <w:rPr>
          <w:rStyle w:val="af6"/>
          <w:rFonts w:eastAsia="Guttman Hodes" w:hint="cs"/>
          <w:rtl/>
        </w:rPr>
        <w:t>(צז.)</w:t>
      </w:r>
      <w:r w:rsidRPr="0050146A">
        <w:rPr>
          <w:rFonts w:hint="cs"/>
          <w:rtl/>
        </w:rPr>
        <w:t xml:space="preserve"> דהמבשל בכלי קדשים בחולין או קדשי קדשים וקדשים קלים, אם יש בהם בנותן טעם, דין החולין והקדשים קלים הוא כדין הקדשי קדשים, ומבואר דהאיסור בקדשים הוא בנותן טעם, וכן דהקשה </w:t>
      </w:r>
      <w:r w:rsidRPr="0050146A">
        <w:rPr>
          <w:rStyle w:val="af8"/>
          <w:rFonts w:hint="cs"/>
          <w:rtl/>
        </w:rPr>
        <w:t>הרא"ש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Ref12352066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50146A">
        <w:rPr>
          <w:rStyle w:val="af6"/>
          <w:rFonts w:eastAsia="Guttman Hodes"/>
          <w:rtl/>
        </w:rPr>
        <w:fldChar w:fldCharType="end"/>
      </w:r>
      <w:r w:rsidRPr="0050146A">
        <w:rPr>
          <w:rFonts w:hint="cs"/>
          <w:rtl/>
        </w:rPr>
        <w:t>.</w:t>
      </w:r>
    </w:p>
    <w:p w:rsidR="008B470A" w:rsidRPr="0050146A" w:rsidRDefault="008B470A" w:rsidP="008B470A">
      <w:pPr>
        <w:pStyle w:val="a2"/>
        <w:rPr>
          <w:rtl/>
        </w:rPr>
      </w:pPr>
      <w:bookmarkStart w:id="4793" w:name="_Toc12379018"/>
      <w:r w:rsidRPr="0050146A">
        <w:rPr>
          <w:rFonts w:hint="cs"/>
          <w:rtl/>
        </w:rPr>
        <w:t>תירוץ הראב"ד דבטעם הבלוע האיסור בקדשים בנותן טעם ובגוף הטעם האיסור בקדשים במשהו</w:t>
      </w:r>
      <w:bookmarkEnd w:id="4793"/>
    </w:p>
    <w:p w:rsidR="008B470A" w:rsidRPr="0050146A" w:rsidRDefault="008B470A" w:rsidP="009F44AF">
      <w:pPr>
        <w:pStyle w:val="a"/>
        <w:rPr>
          <w:rtl/>
        </w:rPr>
      </w:pPr>
      <w:bookmarkStart w:id="4794" w:name="_Ref12352099"/>
      <w:r w:rsidRPr="0050146A">
        <w:rPr>
          <w:rFonts w:hint="cs"/>
          <w:rtl/>
        </w:rPr>
        <w:t xml:space="preserve">ותירץ </w:t>
      </w:r>
      <w:r w:rsidRPr="0050146A">
        <w:rPr>
          <w:rStyle w:val="af8"/>
          <w:rFonts w:hint="cs"/>
          <w:rtl/>
        </w:rPr>
        <w:t>בפי' הראב"ד על התו"כ</w:t>
      </w:r>
      <w:r w:rsidRPr="0050146A">
        <w:rPr>
          <w:rFonts w:hint="cs"/>
          <w:rtl/>
        </w:rPr>
        <w:t xml:space="preserve"> דכיון שאין בכלי את גוף הטעם של הקדשים, אלא יש רק בליעה בכלי, לכן מהני אף בקדשים שיעור של נותן טעם, אבל כשיש גיעול מגוף החתיכה של הקדשים, בכה"ג האיסור טעם הוא במשהו.</w:t>
      </w:r>
      <w:bookmarkEnd w:id="4794"/>
    </w:p>
    <w:p w:rsidR="008B470A" w:rsidRPr="0050146A" w:rsidRDefault="008B470A" w:rsidP="009F44AF">
      <w:pPr>
        <w:pStyle w:val="a"/>
        <w:rPr>
          <w:rtl/>
        </w:rPr>
        <w:sectPr w:rsidR="008B470A" w:rsidRPr="0050146A" w:rsidSect="005049E2">
          <w:type w:val="continuous"/>
          <w:pgSz w:w="11906" w:h="16838"/>
          <w:pgMar w:top="720" w:right="720" w:bottom="720" w:left="720" w:header="283" w:footer="283" w:gutter="0"/>
          <w:cols w:num="2" w:space="567"/>
          <w:titlePg/>
          <w:bidi/>
          <w:rtlGutter/>
          <w:docGrid w:linePitch="299"/>
        </w:sectPr>
      </w:pPr>
    </w:p>
    <w:p w:rsidR="00187240" w:rsidRDefault="00187240" w:rsidP="008B470A">
      <w:pPr>
        <w:tabs>
          <w:tab w:val="left" w:pos="1163"/>
        </w:tabs>
        <w:spacing w:after="120" w:line="240" w:lineRule="auto"/>
        <w:ind w:left="0"/>
        <w:rPr>
          <w:rFonts w:ascii="Guttman Hodes" w:eastAsia="Guttman Hodes" w:hAnsi="Guttman Hodes" w:cs="Guttman Hodes"/>
          <w:noProof/>
          <w:sz w:val="18"/>
          <w:szCs w:val="18"/>
        </w:rPr>
        <w:sectPr w:rsidR="00187240" w:rsidSect="001224DC">
          <w:type w:val="continuous"/>
          <w:pgSz w:w="11906" w:h="16838"/>
          <w:pgMar w:top="720" w:right="720" w:bottom="720" w:left="720" w:header="283" w:footer="283" w:gutter="0"/>
          <w:cols w:space="567"/>
          <w:bidi/>
          <w:rtlGutter/>
          <w:docGrid w:linePitch="299"/>
        </w:sectPr>
      </w:pPr>
    </w:p>
    <w:p w:rsidR="008B470A" w:rsidRPr="0050146A" w:rsidRDefault="00651E3B" w:rsidP="008B470A">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26" type="#_x0000_t75" style="width:404.55pt;height:6.8pt" o:hrpct="0" o:hralign="center" o:hr="t">
            <v:imagedata r:id="rId48" o:title="BD14845_"/>
          </v:shape>
        </w:pict>
      </w:r>
      <w:r w:rsidR="008B470A" w:rsidRPr="0050146A">
        <w:rPr>
          <w:rFonts w:ascii="Guttman Hodes" w:eastAsia="Guttman Hodes" w:hAnsi="Guttman Hodes" w:cs="Guttman Hodes" w:hint="cs"/>
          <w:noProof/>
          <w:sz w:val="18"/>
          <w:szCs w:val="18"/>
          <w:rtl/>
        </w:rPr>
        <w:t xml:space="preserve"> </w:t>
      </w:r>
    </w:p>
    <w:p w:rsidR="008B470A" w:rsidRPr="0050146A" w:rsidRDefault="008B470A" w:rsidP="00E669F8">
      <w:pPr>
        <w:pStyle w:val="afd"/>
        <w:rPr>
          <w:rtl/>
        </w:rPr>
        <w:sectPr w:rsidR="008B470A" w:rsidRPr="0050146A" w:rsidSect="00187240">
          <w:pgSz w:w="11906" w:h="16838"/>
          <w:pgMar w:top="720" w:right="720" w:bottom="720" w:left="720" w:header="283" w:footer="283" w:gutter="0"/>
          <w:cols w:space="567"/>
          <w:bidi/>
          <w:rtlGutter/>
          <w:docGrid w:linePitch="299"/>
        </w:sectPr>
      </w:pPr>
      <w:bookmarkStart w:id="4795" w:name="_Toc12205476"/>
      <w:bookmarkStart w:id="4796" w:name="_Toc12221399"/>
      <w:bookmarkStart w:id="4797" w:name="_Toc12354413"/>
      <w:bookmarkStart w:id="4798" w:name="_Toc12359820"/>
      <w:bookmarkStart w:id="4799" w:name="_Toc12379019"/>
      <w:r w:rsidRPr="0050146A">
        <w:rPr>
          <w:rFonts w:hint="cs"/>
          <w:rtl/>
        </w:rPr>
        <w:t>ביאורי ראשי הישיבות</w:t>
      </w:r>
      <w:bookmarkEnd w:id="4795"/>
      <w:bookmarkEnd w:id="4796"/>
      <w:bookmarkEnd w:id="4797"/>
      <w:bookmarkEnd w:id="4798"/>
      <w:bookmarkEnd w:id="4799"/>
      <w:r w:rsidRPr="0050146A">
        <w:rPr>
          <w:rFonts w:hint="cs"/>
          <w:rtl/>
        </w:rPr>
        <w:t xml:space="preserve"> </w:t>
      </w:r>
    </w:p>
    <w:p w:rsidR="008B470A" w:rsidRPr="0050146A" w:rsidRDefault="008B470A" w:rsidP="008B470A">
      <w:pPr>
        <w:pStyle w:val="1"/>
        <w:rPr>
          <w:rtl/>
        </w:rPr>
      </w:pPr>
      <w:bookmarkStart w:id="4800" w:name="_Toc12205477"/>
      <w:bookmarkStart w:id="4801" w:name="_Toc12221400"/>
      <w:bookmarkStart w:id="4802" w:name="_Toc12354414"/>
      <w:bookmarkStart w:id="4803" w:name="_Toc12359821"/>
      <w:bookmarkStart w:id="4804" w:name="_Toc12379020"/>
      <w:r w:rsidRPr="0050146A">
        <w:rPr>
          <w:rFonts w:hint="cs"/>
          <w:rtl/>
        </w:rPr>
        <w:t>ביאור הקה"י</w:t>
      </w:r>
      <w:bookmarkEnd w:id="4800"/>
      <w:bookmarkEnd w:id="4801"/>
      <w:bookmarkEnd w:id="4802"/>
      <w:bookmarkEnd w:id="4803"/>
      <w:r w:rsidRPr="0050146A">
        <w:rPr>
          <w:rFonts w:hint="cs"/>
          <w:rtl/>
        </w:rPr>
        <w:t xml:space="preserve"> ברש"י דטעם כעיקר הוא רק לענין איסור אכילה</w:t>
      </w:r>
      <w:bookmarkEnd w:id="4804"/>
    </w:p>
    <w:p w:rsidR="008B470A" w:rsidRPr="0050146A" w:rsidRDefault="008B470A" w:rsidP="008B470A">
      <w:pPr>
        <w:pStyle w:val="a2"/>
      </w:pPr>
      <w:bookmarkStart w:id="4805" w:name="_Toc12379021"/>
      <w:r w:rsidRPr="0050146A">
        <w:rPr>
          <w:rFonts w:hint="cs"/>
          <w:rtl/>
        </w:rPr>
        <w:t>קושית הקה"י רש"י דטעם אסור בקדשים במשהו דמוכח במתני' בערלה שיש דין ביטול בקדשים</w:t>
      </w:r>
      <w:bookmarkEnd w:id="4805"/>
    </w:p>
    <w:p w:rsidR="008B470A" w:rsidRPr="0050146A" w:rsidRDefault="008B470A" w:rsidP="009F44AF">
      <w:pPr>
        <w:pStyle w:val="a"/>
        <w:rPr>
          <w:rtl/>
        </w:rPr>
      </w:pPr>
      <w:r w:rsidRPr="0050146A">
        <w:rPr>
          <w:rFonts w:hint="cs"/>
          <w:rtl/>
        </w:rPr>
        <w:t xml:space="preserve">בהא דמבואר מדברי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Ref12290115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0146A">
        <w:rPr>
          <w:rStyle w:val="af6"/>
          <w:rFonts w:eastAsia="Guttman Hodes"/>
          <w:rtl/>
        </w:rPr>
        <w:fldChar w:fldCharType="end"/>
      </w:r>
      <w:r w:rsidRPr="0050146A">
        <w:rPr>
          <w:rFonts w:hint="cs"/>
          <w:rtl/>
        </w:rPr>
        <w:t xml:space="preserve"> דבקדשים אין דין ביטול, הקשה הק</w:t>
      </w:r>
      <w:r w:rsidRPr="0050146A">
        <w:rPr>
          <w:rStyle w:val="af8"/>
          <w:rFonts w:hint="cs"/>
          <w:rtl/>
        </w:rPr>
        <w:t>ה"י</w:t>
      </w:r>
      <w:r w:rsidRPr="0050146A">
        <w:rPr>
          <w:rFonts w:hint="cs"/>
          <w:rtl/>
        </w:rPr>
        <w:t xml:space="preserve"> </w:t>
      </w:r>
      <w:r w:rsidRPr="0050146A">
        <w:rPr>
          <w:rStyle w:val="af6"/>
          <w:rFonts w:eastAsia="Guttman Hodes" w:hint="cs"/>
          <w:rtl/>
        </w:rPr>
        <w:t>(סי' כ"ט)</w:t>
      </w:r>
      <w:r w:rsidRPr="0050146A">
        <w:rPr>
          <w:rFonts w:hint="cs"/>
          <w:rtl/>
        </w:rPr>
        <w:t xml:space="preserve"> דמפורש במשנה בערלה </w:t>
      </w:r>
      <w:r w:rsidRPr="0050146A">
        <w:rPr>
          <w:rStyle w:val="af6"/>
          <w:rFonts w:eastAsia="Guttman Hodes" w:hint="cs"/>
          <w:rtl/>
        </w:rPr>
        <w:t>(פ"ב ט"ז)</w:t>
      </w:r>
      <w:r w:rsidRPr="0050146A">
        <w:rPr>
          <w:rFonts w:hint="cs"/>
          <w:rtl/>
        </w:rPr>
        <w:t xml:space="preserve"> דחתיכה של קדשי קדשים, וחתיכת פיגול וחתיכת נותר וחתיכת טמא, שהתבשלו יחד עם חתיכות </w:t>
      </w:r>
      <w:r w:rsidRPr="0050146A">
        <w:rPr>
          <w:rtl/>
        </w:rPr>
        <w:t>של חולין</w:t>
      </w:r>
      <w:r w:rsidRPr="0050146A">
        <w:rPr>
          <w:rFonts w:hint="cs"/>
          <w:rtl/>
        </w:rPr>
        <w:t>,</w:t>
      </w:r>
      <w:r w:rsidRPr="0050146A">
        <w:rPr>
          <w:rtl/>
        </w:rPr>
        <w:t xml:space="preserve"> </w:t>
      </w:r>
      <w:r w:rsidRPr="0050146A">
        <w:rPr>
          <w:rStyle w:val="afa"/>
          <w:rFonts w:hint="cs"/>
          <w:rtl/>
        </w:rPr>
        <w:t xml:space="preserve">[וביאר </w:t>
      </w:r>
      <w:r w:rsidRPr="0050146A">
        <w:rPr>
          <w:rStyle w:val="affa"/>
          <w:rFonts w:hint="cs"/>
          <w:rtl/>
        </w:rPr>
        <w:t>הברטנורא</w:t>
      </w:r>
      <w:r w:rsidRPr="0050146A">
        <w:rPr>
          <w:rStyle w:val="afa"/>
          <w:rtl/>
        </w:rPr>
        <w:t xml:space="preserve"> </w:t>
      </w:r>
      <w:r w:rsidRPr="0050146A">
        <w:rPr>
          <w:rStyle w:val="afa"/>
          <w:rFonts w:hint="cs"/>
          <w:rtl/>
        </w:rPr>
        <w:t>ש</w:t>
      </w:r>
      <w:r w:rsidRPr="0050146A">
        <w:rPr>
          <w:rStyle w:val="afa"/>
          <w:rtl/>
        </w:rPr>
        <w:t>יש ב</w:t>
      </w:r>
      <w:r w:rsidRPr="0050146A">
        <w:rPr>
          <w:rStyle w:val="afa"/>
          <w:rFonts w:hint="cs"/>
          <w:rtl/>
        </w:rPr>
        <w:t>חתיכות של ה</w:t>
      </w:r>
      <w:r w:rsidRPr="0050146A">
        <w:rPr>
          <w:rStyle w:val="afa"/>
          <w:rtl/>
        </w:rPr>
        <w:t>חולין</w:t>
      </w:r>
      <w:r w:rsidRPr="0050146A">
        <w:rPr>
          <w:rStyle w:val="afa"/>
          <w:rFonts w:hint="cs"/>
          <w:rtl/>
        </w:rPr>
        <w:t xml:space="preserve"> שיעור</w:t>
      </w:r>
      <w:r w:rsidRPr="0050146A">
        <w:rPr>
          <w:rStyle w:val="afa"/>
          <w:rtl/>
        </w:rPr>
        <w:t xml:space="preserve"> </w:t>
      </w:r>
      <w:r w:rsidRPr="0050146A">
        <w:rPr>
          <w:rStyle w:val="afa"/>
          <w:rFonts w:hint="cs"/>
          <w:rtl/>
        </w:rPr>
        <w:t>ב</w:t>
      </w:r>
      <w:r w:rsidRPr="0050146A">
        <w:rPr>
          <w:rStyle w:val="afa"/>
          <w:rtl/>
        </w:rPr>
        <w:t xml:space="preserve">כדי לבטל </w:t>
      </w:r>
      <w:r w:rsidRPr="0050146A">
        <w:rPr>
          <w:rStyle w:val="afa"/>
          <w:rFonts w:hint="cs"/>
          <w:rtl/>
        </w:rPr>
        <w:t xml:space="preserve">את החתיכת </w:t>
      </w:r>
      <w:r w:rsidRPr="0050146A">
        <w:rPr>
          <w:rStyle w:val="afa"/>
          <w:rtl/>
        </w:rPr>
        <w:t>קדשי קדשים בפנ</w:t>
      </w:r>
      <w:r w:rsidRPr="0050146A">
        <w:rPr>
          <w:rStyle w:val="afa"/>
          <w:rFonts w:hint="cs"/>
          <w:rtl/>
        </w:rPr>
        <w:t>"</w:t>
      </w:r>
      <w:r w:rsidRPr="0050146A">
        <w:rPr>
          <w:rStyle w:val="afa"/>
          <w:rtl/>
        </w:rPr>
        <w:t>ע ו</w:t>
      </w:r>
      <w:r w:rsidRPr="0050146A">
        <w:rPr>
          <w:rStyle w:val="afa"/>
          <w:rFonts w:hint="cs"/>
          <w:rtl/>
        </w:rPr>
        <w:t xml:space="preserve">את </w:t>
      </w:r>
      <w:r w:rsidRPr="0050146A">
        <w:rPr>
          <w:rStyle w:val="afa"/>
          <w:rtl/>
        </w:rPr>
        <w:t xml:space="preserve"> </w:t>
      </w:r>
      <w:r w:rsidRPr="0050146A">
        <w:rPr>
          <w:rStyle w:val="afa"/>
          <w:rFonts w:hint="cs"/>
          <w:rtl/>
        </w:rPr>
        <w:t>ה</w:t>
      </w:r>
      <w:r w:rsidRPr="0050146A">
        <w:rPr>
          <w:rStyle w:val="afa"/>
          <w:rtl/>
        </w:rPr>
        <w:t>פ</w:t>
      </w:r>
      <w:r w:rsidRPr="0050146A">
        <w:rPr>
          <w:rStyle w:val="afa"/>
          <w:rFonts w:hint="cs"/>
          <w:rtl/>
        </w:rPr>
        <w:t>י</w:t>
      </w:r>
      <w:r w:rsidRPr="0050146A">
        <w:rPr>
          <w:rStyle w:val="afa"/>
          <w:rtl/>
        </w:rPr>
        <w:t xml:space="preserve">גול </w:t>
      </w:r>
      <w:r w:rsidRPr="0050146A">
        <w:rPr>
          <w:rStyle w:val="afa"/>
          <w:rFonts w:hint="cs"/>
          <w:rtl/>
        </w:rPr>
        <w:t>וה</w:t>
      </w:r>
      <w:r w:rsidRPr="0050146A">
        <w:rPr>
          <w:rStyle w:val="afa"/>
          <w:rtl/>
        </w:rPr>
        <w:t>נותר ו</w:t>
      </w:r>
      <w:r w:rsidRPr="0050146A">
        <w:rPr>
          <w:rStyle w:val="afa"/>
          <w:rFonts w:hint="cs"/>
          <w:rtl/>
        </w:rPr>
        <w:t>ה</w:t>
      </w:r>
      <w:r w:rsidRPr="0050146A">
        <w:rPr>
          <w:rStyle w:val="afa"/>
          <w:rtl/>
        </w:rPr>
        <w:t>טמא בפנ</w:t>
      </w:r>
      <w:r w:rsidRPr="0050146A">
        <w:rPr>
          <w:rStyle w:val="afa"/>
          <w:rFonts w:hint="cs"/>
          <w:rtl/>
        </w:rPr>
        <w:t>"</w:t>
      </w:r>
      <w:r w:rsidRPr="0050146A">
        <w:rPr>
          <w:rStyle w:val="afa"/>
          <w:rtl/>
        </w:rPr>
        <w:t>ע</w:t>
      </w:r>
      <w:r w:rsidRPr="0050146A">
        <w:rPr>
          <w:rStyle w:val="afa"/>
          <w:rFonts w:hint="cs"/>
          <w:rtl/>
        </w:rPr>
        <w:t xml:space="preserve">], </w:t>
      </w:r>
      <w:r w:rsidRPr="0050146A">
        <w:rPr>
          <w:rFonts w:hint="cs"/>
          <w:rtl/>
        </w:rPr>
        <w:t xml:space="preserve">דאסורים לזרים ומותר לכהנים, וביאר </w:t>
      </w:r>
      <w:r w:rsidRPr="0050146A">
        <w:rPr>
          <w:rStyle w:val="af8"/>
          <w:rFonts w:hint="cs"/>
          <w:rtl/>
        </w:rPr>
        <w:t>הקה"י</w:t>
      </w:r>
      <w:r w:rsidRPr="0050146A">
        <w:rPr>
          <w:rFonts w:hint="cs"/>
          <w:rtl/>
        </w:rPr>
        <w:t xml:space="preserve"> דלכהנים הקדשי קדשים הוא היתר ויש בהם בכדי לבטל את חתיכות הפיגול, אבל לזרים החתיכות של הפיגול והנותר מצטרפות לקדשי קדשים, דגם חתיכות של הקדשי קדשים אסורות לזרים, ואין בחולין בכדי לבטל את שניהם, וכתב </w:t>
      </w:r>
      <w:r w:rsidRPr="0050146A">
        <w:rPr>
          <w:rStyle w:val="af8"/>
          <w:rFonts w:hint="cs"/>
          <w:rtl/>
        </w:rPr>
        <w:t>הקה"י</w:t>
      </w:r>
      <w:r w:rsidRPr="0050146A">
        <w:rPr>
          <w:rFonts w:hint="cs"/>
          <w:rtl/>
        </w:rPr>
        <w:t xml:space="preserve"> דמ"מ מבואר שיש דין ביטול בקדשים.</w:t>
      </w:r>
    </w:p>
    <w:p w:rsidR="008B470A" w:rsidRPr="0050146A" w:rsidRDefault="008B470A" w:rsidP="008B470A">
      <w:pPr>
        <w:pStyle w:val="a2"/>
      </w:pPr>
      <w:bookmarkStart w:id="4806" w:name="_Toc12379022"/>
      <w:r w:rsidRPr="0050146A">
        <w:rPr>
          <w:rFonts w:hint="cs"/>
          <w:rtl/>
        </w:rPr>
        <w:t>דברי הקה"י דלביאור הרשב"א ברש"י דמודה דבמין בשאינו מינו מהני ביטול ה"ה במתני' בערלה</w:t>
      </w:r>
      <w:bookmarkEnd w:id="4806"/>
    </w:p>
    <w:p w:rsidR="008B470A" w:rsidRPr="0050146A" w:rsidRDefault="008B470A" w:rsidP="009F44AF">
      <w:pPr>
        <w:pStyle w:val="a"/>
        <w:rPr>
          <w:rtl/>
        </w:rPr>
      </w:pPr>
      <w:r w:rsidRPr="0050146A">
        <w:rPr>
          <w:rFonts w:hint="cs"/>
          <w:rtl/>
        </w:rPr>
        <w:t xml:space="preserve">ותירץ </w:t>
      </w:r>
      <w:r w:rsidRPr="0050146A">
        <w:rPr>
          <w:rStyle w:val="af8"/>
          <w:rFonts w:hint="cs"/>
          <w:rtl/>
        </w:rPr>
        <w:t>הקה"י</w:t>
      </w:r>
      <w:r w:rsidRPr="0050146A">
        <w:rPr>
          <w:rFonts w:hint="cs"/>
          <w:rtl/>
        </w:rPr>
        <w:t xml:space="preserve"> דכיון דביאר </w:t>
      </w:r>
      <w:r w:rsidRPr="0050146A">
        <w:rPr>
          <w:rStyle w:val="af8"/>
          <w:rFonts w:hint="cs"/>
          <w:rtl/>
        </w:rPr>
        <w:t>הרשב"א</w:t>
      </w:r>
      <w:r w:rsidRPr="0050146A">
        <w:rPr>
          <w:rFonts w:hint="cs"/>
          <w:rtl/>
        </w:rPr>
        <w:t xml:space="preserve"> </w:t>
      </w:r>
      <w:r w:rsidRPr="0050146A">
        <w:rPr>
          <w:rStyle w:val="af6"/>
          <w:rFonts w:eastAsia="Guttman Hodes" w:hint="cs"/>
          <w:rtl/>
        </w:rPr>
        <w:t>(ד"ה אמר רבא)</w:t>
      </w:r>
      <w:r w:rsidRPr="0050146A">
        <w:rPr>
          <w:rFonts w:hint="cs"/>
          <w:rtl/>
        </w:rPr>
        <w:t xml:space="preserve"> בדעת </w:t>
      </w:r>
      <w:r w:rsidRPr="0050146A">
        <w:rPr>
          <w:rStyle w:val="af8"/>
          <w:rFonts w:hint="cs"/>
          <w:rtl/>
        </w:rPr>
        <w:t>רש"י</w:t>
      </w:r>
      <w:r w:rsidRPr="0050146A">
        <w:rPr>
          <w:rFonts w:hint="cs"/>
          <w:rtl/>
        </w:rPr>
        <w:t xml:space="preserve"> דכ"מ דלא מהני ביטול בקדשים הוא במין במינו כזרוע בשלה, אבל במין בשאינו מינו מודה </w:t>
      </w:r>
      <w:r w:rsidRPr="0050146A">
        <w:rPr>
          <w:rStyle w:val="af8"/>
          <w:rFonts w:hint="cs"/>
          <w:rtl/>
        </w:rPr>
        <w:t>רש"י</w:t>
      </w:r>
      <w:r w:rsidRPr="0050146A">
        <w:rPr>
          <w:rFonts w:hint="cs"/>
          <w:rtl/>
        </w:rPr>
        <w:t xml:space="preserve"> דמהני ביטול בקדשים, א"כ לא קשה מהמשנה בערלה, דאף שהחתיכות הם מין במינו, מ"מ יש בהם ביטול ע"י הרוטב דהוא מין בשאינו מינו.</w:t>
      </w:r>
    </w:p>
    <w:p w:rsidR="008B470A" w:rsidRPr="0050146A" w:rsidRDefault="008B470A" w:rsidP="008B470A">
      <w:pPr>
        <w:pStyle w:val="a2"/>
        <w:rPr>
          <w:rtl/>
        </w:rPr>
      </w:pPr>
      <w:bookmarkStart w:id="4807" w:name="_Toc12379023"/>
      <w:r w:rsidRPr="0050146A">
        <w:rPr>
          <w:rFonts w:hint="cs"/>
          <w:rtl/>
        </w:rPr>
        <w:t>תירוץ הקה"י ברש"י דדין טעם כעיקר נאמר רק באיסור אכילה ולא באיסור הקרבה</w:t>
      </w:r>
      <w:bookmarkEnd w:id="4807"/>
    </w:p>
    <w:p w:rsidR="008B470A" w:rsidRPr="0050146A" w:rsidRDefault="008B470A" w:rsidP="009F44AF">
      <w:pPr>
        <w:pStyle w:val="a"/>
        <w:rPr>
          <w:rFonts w:asciiTheme="minorHAnsi" w:hAnsiTheme="minorHAnsi"/>
        </w:rPr>
      </w:pPr>
      <w:r w:rsidRPr="0050146A">
        <w:rPr>
          <w:rFonts w:hint="cs"/>
          <w:rtl/>
        </w:rPr>
        <w:t xml:space="preserve">ובקושית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Ref12374478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50146A">
        <w:rPr>
          <w:rStyle w:val="af6"/>
          <w:rFonts w:eastAsia="Guttman Hodes"/>
          <w:rtl/>
        </w:rPr>
        <w:fldChar w:fldCharType="end"/>
      </w:r>
      <w:r w:rsidRPr="0050146A">
        <w:rPr>
          <w:rFonts w:hint="cs"/>
          <w:rtl/>
        </w:rPr>
        <w:t xml:space="preserve"> דבגמ' במנחות מוכח דאין כל שהוא אוסר בקדשים, תירץ</w:t>
      </w:r>
      <w:r w:rsidRPr="0050146A">
        <w:rPr>
          <w:rStyle w:val="af8"/>
          <w:rFonts w:hint="cs"/>
          <w:rtl/>
        </w:rPr>
        <w:t xml:space="preserve"> הקה"י </w:t>
      </w:r>
      <w:r w:rsidRPr="0050146A">
        <w:rPr>
          <w:rStyle w:val="af6"/>
          <w:rFonts w:eastAsia="Guttman Hodes" w:hint="cs"/>
          <w:rtl/>
        </w:rPr>
        <w:t>(סי' כ"ט ד"ה והנה התוס')</w:t>
      </w:r>
      <w:r w:rsidRPr="0050146A">
        <w:rPr>
          <w:rFonts w:hint="cs"/>
          <w:rtl/>
        </w:rPr>
        <w:t xml:space="preserve"> דכל דין טעם כעיקר נאמר רק לענין איסור אכילה, </w:t>
      </w:r>
      <w:r w:rsidR="00DE543E" w:rsidRPr="00DE543E">
        <w:rPr>
          <w:rStyle w:val="afa"/>
          <w:rFonts w:hint="cs"/>
          <w:rtl/>
        </w:rPr>
        <w:t xml:space="preserve">[כדכתב </w:t>
      </w:r>
      <w:r w:rsidR="00DE543E" w:rsidRPr="00DE543E">
        <w:rPr>
          <w:rStyle w:val="affa"/>
          <w:rFonts w:hint="cs"/>
          <w:rtl/>
        </w:rPr>
        <w:t>הגר"ח</w:t>
      </w:r>
      <w:r w:rsidR="00DE543E" w:rsidRPr="00DE543E">
        <w:rPr>
          <w:rStyle w:val="afa"/>
          <w:rFonts w:hint="cs"/>
          <w:rtl/>
        </w:rPr>
        <w:t xml:space="preserve"> </w:t>
      </w:r>
      <w:r w:rsidR="00DE543E" w:rsidRPr="00DE543E">
        <w:rPr>
          <w:rStyle w:val="aff6"/>
          <w:rFonts w:hint="cs"/>
          <w:rtl/>
        </w:rPr>
        <w:t xml:space="preserve">(מאכ"א פט"ו ה"א ד"ה והנה בפי"ד בתו"ד, הובא לקמן סימן יא' אות </w:t>
      </w:r>
      <w:r w:rsidR="00DE543E" w:rsidRPr="00DE543E">
        <w:rPr>
          <w:rStyle w:val="aff6"/>
          <w:rtl/>
        </w:rPr>
        <w:fldChar w:fldCharType="begin"/>
      </w:r>
      <w:r w:rsidR="00DE543E" w:rsidRPr="00DE543E">
        <w:rPr>
          <w:rStyle w:val="aff6"/>
          <w:rtl/>
        </w:rPr>
        <w:instrText xml:space="preserve"> </w:instrText>
      </w:r>
      <w:r w:rsidR="00DE543E" w:rsidRPr="00DE543E">
        <w:rPr>
          <w:rStyle w:val="aff6"/>
          <w:rFonts w:hint="cs"/>
        </w:rPr>
        <w:instrText>REF</w:instrText>
      </w:r>
      <w:r w:rsidR="00DE543E" w:rsidRPr="00DE543E">
        <w:rPr>
          <w:rStyle w:val="aff6"/>
          <w:rFonts w:hint="cs"/>
          <w:rtl/>
        </w:rPr>
        <w:instrText xml:space="preserve"> _</w:instrText>
      </w:r>
      <w:r w:rsidR="00DE543E" w:rsidRPr="00DE543E">
        <w:rPr>
          <w:rStyle w:val="aff6"/>
          <w:rFonts w:hint="cs"/>
        </w:rPr>
        <w:instrText>Ref15224249 \r \h</w:instrText>
      </w:r>
      <w:r w:rsidR="00DE543E" w:rsidRPr="00DE543E">
        <w:rPr>
          <w:rStyle w:val="aff6"/>
          <w:rtl/>
        </w:rPr>
        <w:instrText xml:space="preserve"> </w:instrText>
      </w:r>
      <w:r w:rsidR="00DE543E" w:rsidRPr="00DE543E">
        <w:rPr>
          <w:rStyle w:val="aff6"/>
          <w:rtl/>
        </w:rPr>
      </w:r>
      <w:r w:rsidR="00DE543E" w:rsidRPr="00DE543E">
        <w:rPr>
          <w:rStyle w:val="aff6"/>
          <w:rtl/>
        </w:rPr>
        <w:fldChar w:fldCharType="separate"/>
      </w:r>
      <w:r w:rsidR="004D1C5B">
        <w:rPr>
          <w:rStyle w:val="aff6"/>
          <w:cs/>
        </w:rPr>
        <w:t>‎</w:t>
      </w:r>
      <w:r w:rsidR="004D1C5B">
        <w:rPr>
          <w:rStyle w:val="aff6"/>
          <w:rtl/>
        </w:rPr>
        <w:t>עח)</w:t>
      </w:r>
      <w:r w:rsidR="00DE543E" w:rsidRPr="00DE543E">
        <w:rPr>
          <w:rStyle w:val="aff6"/>
          <w:rtl/>
        </w:rPr>
        <w:fldChar w:fldCharType="end"/>
      </w:r>
      <w:r w:rsidR="00DE543E" w:rsidRPr="00DE543E">
        <w:rPr>
          <w:rStyle w:val="afa"/>
          <w:rFonts w:hint="cs"/>
          <w:rtl/>
        </w:rPr>
        <w:t xml:space="preserve">], </w:t>
      </w:r>
      <w:r w:rsidRPr="0050146A">
        <w:rPr>
          <w:rFonts w:hint="cs"/>
          <w:rtl/>
        </w:rPr>
        <w:t xml:space="preserve">דהטעם הוא דין באכילה, אבל לענין שאר איסורים לא שייך דין טעם כעיקר כלל, </w:t>
      </w:r>
      <w:r w:rsidRPr="0050146A">
        <w:rPr>
          <w:rStyle w:val="afa"/>
          <w:rFonts w:hint="cs"/>
          <w:rtl/>
        </w:rPr>
        <w:t xml:space="preserve">[עיי"ש דהוכיח </w:t>
      </w:r>
      <w:r w:rsidRPr="0050146A">
        <w:rPr>
          <w:rStyle w:val="affa"/>
          <w:rFonts w:hint="cs"/>
          <w:rtl/>
        </w:rPr>
        <w:t>הקה"י</w:t>
      </w:r>
      <w:r w:rsidRPr="0050146A">
        <w:rPr>
          <w:rStyle w:val="afa"/>
          <w:rFonts w:hint="cs"/>
          <w:rtl/>
        </w:rPr>
        <w:t xml:space="preserve"> כן מדברי </w:t>
      </w:r>
      <w:r w:rsidRPr="0050146A">
        <w:rPr>
          <w:rStyle w:val="affa"/>
          <w:rFonts w:hint="cs"/>
          <w:rtl/>
        </w:rPr>
        <w:t>התוס' בבכורות</w:t>
      </w:r>
      <w:r w:rsidRPr="0050146A">
        <w:rPr>
          <w:rStyle w:val="afa"/>
          <w:rFonts w:hint="cs"/>
          <w:rtl/>
        </w:rPr>
        <w:t xml:space="preserve"> </w:t>
      </w:r>
      <w:r w:rsidRPr="0050146A">
        <w:rPr>
          <w:rStyle w:val="aff6"/>
          <w:rFonts w:hint="cs"/>
          <w:rtl/>
        </w:rPr>
        <w:t>(כב. ד"ה הנך)</w:t>
      </w:r>
      <w:r w:rsidRPr="0050146A">
        <w:rPr>
          <w:rStyle w:val="afa"/>
          <w:rFonts w:hint="cs"/>
          <w:rtl/>
        </w:rPr>
        <w:t xml:space="preserve"> דכתבו דלענין טומאה לא שייך טעם כעיקר, וכן מדברי </w:t>
      </w:r>
      <w:r w:rsidRPr="0050146A">
        <w:rPr>
          <w:rStyle w:val="affa"/>
          <w:rFonts w:hint="cs"/>
          <w:rtl/>
        </w:rPr>
        <w:t>הראב"ד</w:t>
      </w:r>
      <w:r w:rsidRPr="0050146A">
        <w:rPr>
          <w:rStyle w:val="afa"/>
          <w:rFonts w:hint="cs"/>
          <w:rtl/>
        </w:rPr>
        <w:t xml:space="preserve"> </w:t>
      </w:r>
      <w:r w:rsidRPr="0050146A">
        <w:rPr>
          <w:rStyle w:val="aff6"/>
          <w:rFonts w:hint="cs"/>
          <w:rtl/>
        </w:rPr>
        <w:t>(שמיטה פ"ז ה"ג)</w:t>
      </w:r>
      <w:r w:rsidRPr="0050146A">
        <w:rPr>
          <w:rStyle w:val="afa"/>
          <w:rFonts w:hint="cs"/>
          <w:rtl/>
        </w:rPr>
        <w:t xml:space="preserve"> דבמצות ביעור שביעית אין דין טעם כעיקר], </w:t>
      </w:r>
      <w:r w:rsidRPr="0050146A">
        <w:rPr>
          <w:rFonts w:hint="cs"/>
          <w:rtl/>
        </w:rPr>
        <w:t xml:space="preserve">וכתב </w:t>
      </w:r>
      <w:r w:rsidRPr="0050146A">
        <w:rPr>
          <w:rStyle w:val="af8"/>
          <w:rFonts w:hint="cs"/>
          <w:rtl/>
        </w:rPr>
        <w:t>הקה"י</w:t>
      </w:r>
      <w:r w:rsidRPr="0050146A">
        <w:rPr>
          <w:rFonts w:hint="cs"/>
          <w:rtl/>
        </w:rPr>
        <w:t xml:space="preserve"> דא"כ בדין תערובת של דם ושעיר דממנו ילפינן דמין במינו לר"י לא בטיל, דאינו שייך כלל לדין אכילה אלא לדין הקרבה ולכן לא נאמר שם דין טעם כעיקר, וכן מה שהקשו </w:t>
      </w:r>
      <w:r w:rsidRPr="0050146A">
        <w:rPr>
          <w:rStyle w:val="af8"/>
          <w:rFonts w:hint="cs"/>
          <w:rtl/>
        </w:rPr>
        <w:t>התוס'</w:t>
      </w:r>
      <w:r w:rsidRPr="0050146A">
        <w:rPr>
          <w:rFonts w:hint="cs"/>
          <w:rtl/>
        </w:rPr>
        <w:t xml:space="preserve"> על </w:t>
      </w:r>
      <w:r w:rsidRPr="0050146A">
        <w:rPr>
          <w:rStyle w:val="af8"/>
          <w:rFonts w:hint="cs"/>
          <w:rtl/>
        </w:rPr>
        <w:t>רש"י</w:t>
      </w:r>
      <w:r w:rsidRPr="0050146A">
        <w:rPr>
          <w:rFonts w:hint="cs"/>
          <w:rtl/>
        </w:rPr>
        <w:t xml:space="preserve"> מדיני הקרבה בקדשים, ג"כ מיושב דלענין הקרבה אין כל חילוק אם יש טעם או לא, ומ"ש </w:t>
      </w:r>
      <w:r w:rsidRPr="0050146A">
        <w:rPr>
          <w:rStyle w:val="af8"/>
          <w:rFonts w:hint="cs"/>
          <w:rtl/>
        </w:rPr>
        <w:t>רש"י</w:t>
      </w:r>
      <w:r w:rsidRPr="0050146A">
        <w:rPr>
          <w:rFonts w:hint="cs"/>
          <w:rtl/>
        </w:rPr>
        <w:t xml:space="preserve"> דבקדשים טעם כעיקר דאו' היינו לענין איסור אכילה.</w:t>
      </w:r>
    </w:p>
    <w:p w:rsidR="008B470A" w:rsidRPr="0050146A" w:rsidRDefault="008B470A" w:rsidP="008B470A">
      <w:pPr>
        <w:pStyle w:val="a2"/>
      </w:pPr>
      <w:bookmarkStart w:id="4808" w:name="_Toc12379024"/>
      <w:r w:rsidRPr="0050146A">
        <w:rPr>
          <w:rFonts w:hint="cs"/>
          <w:rtl/>
        </w:rPr>
        <w:t>דברי הקה"י ברש"י דהגמ' בזבחים דסברה דאין איסור דאו' בנתינת טעם בקדשים פליגא על סוגיין</w:t>
      </w:r>
      <w:bookmarkEnd w:id="4808"/>
    </w:p>
    <w:p w:rsidR="00187240" w:rsidRDefault="008B470A" w:rsidP="009F44AF">
      <w:pPr>
        <w:pStyle w:val="a"/>
        <w:sectPr w:rsidR="00187240" w:rsidSect="005049E2">
          <w:footerReference w:type="default" r:id="rId53"/>
          <w:type w:val="continuous"/>
          <w:pgSz w:w="11906" w:h="16838"/>
          <w:pgMar w:top="720" w:right="720" w:bottom="720" w:left="720" w:header="283" w:footer="283" w:gutter="0"/>
          <w:cols w:num="2" w:space="567"/>
          <w:titlePg/>
          <w:bidi/>
          <w:rtlGutter/>
          <w:docGrid w:linePitch="299"/>
        </w:sectPr>
      </w:pPr>
      <w:r w:rsidRPr="0050146A">
        <w:rPr>
          <w:rFonts w:hint="cs"/>
          <w:rtl/>
        </w:rPr>
        <w:t xml:space="preserve">ובמה שהקשו </w:t>
      </w:r>
      <w:r w:rsidRPr="0050146A">
        <w:rPr>
          <w:rStyle w:val="af8"/>
          <w:rFonts w:hint="cs"/>
          <w:rtl/>
        </w:rPr>
        <w:t>התוס'</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Ref12374478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50146A">
        <w:rPr>
          <w:rStyle w:val="af6"/>
          <w:rFonts w:eastAsia="Guttman Hodes"/>
          <w:rtl/>
        </w:rPr>
        <w:fldChar w:fldCharType="end"/>
      </w:r>
      <w:r w:rsidRPr="0050146A">
        <w:rPr>
          <w:rFonts w:hint="cs"/>
          <w:rtl/>
        </w:rPr>
        <w:t xml:space="preserve"> מדברי ר"ל דבפיגול ונותר וטמא שהתערבו ואכל כזית מהם פטור, דלא יתכן שלא ירבה מין אחד על חבירו ויבטלנו, ואמרינן בגמ' בזבחים דמבואר מזה דנותן טעם ברוב אינו מדאו', ומוכח דאף כשיש נתינת טעם אין איסור מדאו' בקדשים, כתב </w:t>
      </w:r>
      <w:r w:rsidRPr="0050146A">
        <w:rPr>
          <w:rStyle w:val="af8"/>
          <w:rFonts w:hint="cs"/>
          <w:rtl/>
        </w:rPr>
        <w:t>הקה"י</w:t>
      </w:r>
      <w:r w:rsidRPr="0050146A">
        <w:rPr>
          <w:rFonts w:hint="cs"/>
          <w:rtl/>
        </w:rPr>
        <w:t xml:space="preserve"> דלדעת </w:t>
      </w:r>
      <w:r w:rsidRPr="0050146A">
        <w:rPr>
          <w:rStyle w:val="af8"/>
          <w:rFonts w:hint="cs"/>
          <w:rtl/>
        </w:rPr>
        <w:t>רש"י</w:t>
      </w:r>
      <w:r w:rsidRPr="0050146A">
        <w:rPr>
          <w:rFonts w:hint="cs"/>
          <w:rtl/>
        </w:rPr>
        <w:t xml:space="preserve"> צ"ל דהסוגיות חלוקות.</w:t>
      </w:r>
    </w:p>
    <w:p w:rsidR="002C19A2" w:rsidRDefault="002C19A2" w:rsidP="009F44AF">
      <w:pPr>
        <w:pStyle w:val="a"/>
        <w:numPr>
          <w:ilvl w:val="0"/>
          <w:numId w:val="0"/>
        </w:numPr>
        <w:rPr>
          <w:rtl/>
        </w:rPr>
        <w:sectPr w:rsidR="002C19A2" w:rsidSect="005049E2">
          <w:type w:val="continuous"/>
          <w:pgSz w:w="11906" w:h="16838"/>
          <w:pgMar w:top="720" w:right="720" w:bottom="720" w:left="720" w:header="283" w:footer="283" w:gutter="0"/>
          <w:cols w:num="2" w:space="567"/>
          <w:titlePg/>
          <w:bidi/>
          <w:rtlGutter/>
          <w:docGrid w:linePitch="299"/>
        </w:sectPr>
      </w:pPr>
    </w:p>
    <w:p w:rsidR="008B470A" w:rsidRPr="0050146A" w:rsidRDefault="008B470A" w:rsidP="009F44AF">
      <w:pPr>
        <w:pStyle w:val="a"/>
        <w:numPr>
          <w:ilvl w:val="0"/>
          <w:numId w:val="0"/>
        </w:numPr>
      </w:pPr>
    </w:p>
    <w:p w:rsidR="008B470A" w:rsidRPr="0050146A" w:rsidRDefault="008B470A" w:rsidP="009F44AF">
      <w:pPr>
        <w:pStyle w:val="a"/>
        <w:numPr>
          <w:ilvl w:val="0"/>
          <w:numId w:val="0"/>
        </w:numPr>
        <w:sectPr w:rsidR="008B470A" w:rsidRPr="0050146A" w:rsidSect="002C19A2">
          <w:headerReference w:type="default" r:id="rId54"/>
          <w:pgSz w:w="11906" w:h="16838"/>
          <w:pgMar w:top="720" w:right="720" w:bottom="720" w:left="720" w:header="283" w:footer="283" w:gutter="0"/>
          <w:cols w:num="2" w:space="567"/>
          <w:bidi/>
          <w:rtlGutter/>
          <w:docGrid w:linePitch="299"/>
        </w:sectPr>
      </w:pPr>
    </w:p>
    <w:p w:rsidR="00F7606D" w:rsidRPr="0050146A" w:rsidRDefault="00F7606D" w:rsidP="005B1A17">
      <w:pPr>
        <w:pStyle w:val="afc"/>
        <w:rPr>
          <w:rtl/>
        </w:rPr>
      </w:pPr>
      <w:bookmarkStart w:id="4809" w:name="_Toc14377086"/>
      <w:bookmarkStart w:id="4810" w:name="_Toc15849571"/>
      <w:bookmarkStart w:id="4811" w:name="_Toc20429205"/>
      <w:bookmarkStart w:id="4812" w:name="_Toc20468152"/>
      <w:r w:rsidRPr="0050146A">
        <w:rPr>
          <w:rFonts w:hint="cs"/>
          <w:rtl/>
        </w:rPr>
        <w:lastRenderedPageBreak/>
        <w:t>סימן ח'</w:t>
      </w:r>
      <w:bookmarkEnd w:id="4809"/>
      <w:bookmarkEnd w:id="4810"/>
      <w:bookmarkEnd w:id="4811"/>
      <w:bookmarkEnd w:id="4812"/>
    </w:p>
    <w:p w:rsidR="00F7606D" w:rsidRPr="0050146A" w:rsidRDefault="00F7606D" w:rsidP="005B1A17">
      <w:pPr>
        <w:pStyle w:val="afc"/>
        <w:rPr>
          <w:rtl/>
        </w:rPr>
      </w:pPr>
      <w:bookmarkStart w:id="4813" w:name="_Toc14377087"/>
      <w:bookmarkStart w:id="4814" w:name="_Toc14425919"/>
      <w:bookmarkStart w:id="4815" w:name="_Toc15849572"/>
      <w:bookmarkStart w:id="4816" w:name="_Toc20429206"/>
      <w:bookmarkStart w:id="4817" w:name="_Toc20468153"/>
      <w:r w:rsidRPr="0050146A">
        <w:rPr>
          <w:rFonts w:hint="cs"/>
          <w:rtl/>
        </w:rPr>
        <w:t>סוגית טעם כעיקר (ג')</w:t>
      </w:r>
      <w:bookmarkEnd w:id="4813"/>
      <w:bookmarkEnd w:id="4814"/>
      <w:bookmarkEnd w:id="4815"/>
      <w:bookmarkEnd w:id="4816"/>
      <w:bookmarkEnd w:id="4817"/>
    </w:p>
    <w:p w:rsidR="00F7606D" w:rsidRPr="0050146A" w:rsidRDefault="00F7606D" w:rsidP="005B1A17">
      <w:pPr>
        <w:pStyle w:val="afc"/>
        <w:rPr>
          <w:rtl/>
        </w:rPr>
      </w:pPr>
      <w:bookmarkStart w:id="4818" w:name="_Toc14425920"/>
      <w:bookmarkStart w:id="4819" w:name="_Toc20429207"/>
      <w:bookmarkStart w:id="4820" w:name="_Toc20468154"/>
      <w:r w:rsidRPr="0050146A">
        <w:rPr>
          <w:rFonts w:hint="cs"/>
          <w:rtl/>
        </w:rPr>
        <w:t>בדין טעם כעיקר מדאו' ומדרבנן ובגדר איסור הטעם עצמו ובביטול הטעם ברוב</w:t>
      </w:r>
      <w:bookmarkEnd w:id="4818"/>
      <w:bookmarkEnd w:id="4819"/>
      <w:bookmarkEnd w:id="4820"/>
    </w:p>
    <w:p w:rsidR="00F7606D" w:rsidRPr="0050146A" w:rsidRDefault="002916D7" w:rsidP="00F7606D">
      <w:pPr>
        <w:pStyle w:val="2"/>
        <w:keepNext w:val="0"/>
        <w:keepLines w:val="0"/>
        <w:rPr>
          <w:rtl/>
        </w:rPr>
      </w:pPr>
      <w:r>
        <w:rPr>
          <w:rtl/>
        </w:rPr>
        <w:t>מפתח הסוגיא</w:t>
      </w:r>
    </w:p>
    <w:p w:rsidR="00F7606D" w:rsidRPr="0050146A" w:rsidRDefault="00F7606D" w:rsidP="00F7606D">
      <w:pPr>
        <w:pStyle w:val="aff4"/>
        <w:rPr>
          <w:rtl/>
        </w:rPr>
        <w:sectPr w:rsidR="00F7606D" w:rsidRPr="0050146A" w:rsidSect="00F7606D">
          <w:headerReference w:type="default" r:id="rId55"/>
          <w:headerReference w:type="first" r:id="rId56"/>
          <w:footerReference w:type="first" r:id="rId57"/>
          <w:pgSz w:w="11906" w:h="16838"/>
          <w:pgMar w:top="720" w:right="720" w:bottom="720" w:left="720" w:header="283" w:footer="283" w:gutter="0"/>
          <w:cols w:space="113"/>
          <w:bidi/>
          <w:rtlGutter/>
          <w:docGrid w:linePitch="299"/>
        </w:sectPr>
      </w:pPr>
    </w:p>
    <w:p w:rsidR="00F7606D" w:rsidRPr="0050146A" w:rsidRDefault="00F7606D" w:rsidP="00F7606D">
      <w:pPr>
        <w:pStyle w:val="2"/>
        <w:rPr>
          <w:rFonts w:eastAsiaTheme="minorEastAsia" w:cstheme="minorBidi"/>
          <w:i/>
          <w:iCs/>
          <w:noProof/>
          <w:sz w:val="22"/>
          <w:szCs w:val="22"/>
          <w:rtl/>
        </w:rPr>
      </w:pPr>
      <w:r w:rsidRPr="0050146A">
        <w:rPr>
          <w:rtl/>
        </w:rPr>
        <w:fldChar w:fldCharType="begin"/>
      </w:r>
      <w:r w:rsidRPr="0050146A">
        <w:rPr>
          <w:rtl/>
        </w:rPr>
        <w:instrText xml:space="preserve"> </w:instrText>
      </w:r>
      <w:r w:rsidRPr="0050146A">
        <w:instrText>TOC</w:instrText>
      </w:r>
      <w:r w:rsidRPr="0050146A">
        <w:rPr>
          <w:rtl/>
        </w:rPr>
        <w:instrText xml:space="preserve"> \</w:instrText>
      </w:r>
      <w:r w:rsidRPr="0050146A">
        <w:instrText>o "1-9" \n \p " " \z \t</w:instrText>
      </w:r>
      <w:r w:rsidRPr="0050146A">
        <w:rPr>
          <w:rtl/>
        </w:rPr>
        <w:instrText xml:space="preserve"> "כותרת 1,2,כות קט,3,כות מקטע,1" </w:instrText>
      </w:r>
      <w:r w:rsidRPr="0050146A">
        <w:rPr>
          <w:rtl/>
        </w:rPr>
        <w:fldChar w:fldCharType="separate"/>
      </w:r>
      <w:r w:rsidRPr="0050146A">
        <w:rPr>
          <w:noProof/>
          <w:rtl/>
        </w:rPr>
        <w:t>מראי מקומות וביאורים</w:t>
      </w:r>
    </w:p>
    <w:p w:rsidR="00F7606D" w:rsidRPr="0050146A" w:rsidRDefault="00F7606D" w:rsidP="00F7606D">
      <w:pPr>
        <w:pStyle w:val="2"/>
        <w:rPr>
          <w:rFonts w:eastAsiaTheme="minorEastAsia" w:cstheme="minorBidi"/>
          <w:i/>
          <w:iCs/>
          <w:noProof/>
          <w:sz w:val="22"/>
          <w:szCs w:val="22"/>
          <w:rtl/>
        </w:rPr>
      </w:pPr>
      <w:r w:rsidRPr="0050146A">
        <w:rPr>
          <w:noProof/>
          <w:rtl/>
        </w:rPr>
        <w:t>דעת רש"י דלרבא טעם כעיקר דרבנן</w:t>
      </w:r>
    </w:p>
    <w:p w:rsidR="00F7606D" w:rsidRPr="0050146A" w:rsidRDefault="00F7606D" w:rsidP="00F7606D">
      <w:pPr>
        <w:pStyle w:val="aff4"/>
        <w:rPr>
          <w:rFonts w:eastAsiaTheme="minorEastAsia" w:cstheme="minorBidi"/>
          <w:i/>
          <w:iCs/>
          <w:noProof/>
          <w:sz w:val="22"/>
          <w:szCs w:val="22"/>
          <w:rtl/>
        </w:rPr>
      </w:pPr>
      <w:r w:rsidRPr="0050146A">
        <w:rPr>
          <w:noProof/>
          <w:rtl/>
        </w:rPr>
        <w:t>דברי רש"י דלרבא טע"כ בחולין דרבנן ולחומרא צריך שישים</w:t>
      </w:r>
    </w:p>
    <w:p w:rsidR="00F7606D" w:rsidRPr="0092004B" w:rsidRDefault="00F7606D" w:rsidP="004D1C5B">
      <w:pPr>
        <w:pStyle w:val="TOC9"/>
        <w:numPr>
          <w:ilvl w:val="0"/>
          <w:numId w:val="15"/>
        </w:numPr>
        <w:rPr>
          <w:rtl/>
        </w:rPr>
      </w:pPr>
      <w:r w:rsidRPr="00651E3B">
        <w:rPr>
          <w:rFonts w:ascii="Guttman Hodes" w:eastAsia="Guttman Hodes" w:hAnsi="Guttman Hodes" w:cs="Guttman Hodes"/>
          <w:sz w:val="12"/>
          <w:szCs w:val="12"/>
          <w:rtl/>
        </w:rPr>
        <w:t>דברי רש"י דלרבא וריו"ח טעם כעיקר דרבנן ומדאו' מהני ביטול ברוב ולחומרא צריך שישים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רש"י דלרבא הילפותא ממשרת לטעם כעיקר היא אסמכתא וכן לא ילפינן מגיעולי עכו"ם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הרשב""א בשם ר"ת דגיעולי עכו"ם אינו חידוש ובין לר"ע ובין לרבנן א"א לומר דהוי ב' כתובין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התוס' והרשב"א בשם ר"ת דמדברי ר"ע מוכח דמשרת אינו אסמכתא וה"ה לרבנן</w:t>
      </w:r>
    </w:p>
    <w:p w:rsidR="00F7606D" w:rsidRPr="0050146A" w:rsidRDefault="00F7606D" w:rsidP="00F7606D">
      <w:pPr>
        <w:pStyle w:val="aff4"/>
        <w:rPr>
          <w:rFonts w:eastAsiaTheme="minorEastAsia" w:cstheme="minorBidi"/>
          <w:i/>
          <w:iCs/>
          <w:noProof/>
          <w:sz w:val="22"/>
          <w:szCs w:val="22"/>
          <w:rtl/>
        </w:rPr>
      </w:pPr>
      <w:r w:rsidRPr="0050146A">
        <w:rPr>
          <w:noProof/>
          <w:rtl/>
        </w:rPr>
        <w:t>בגדר איסור טעם מדאו' בעין ובתערובת</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הרשב"א והריטב"א דהטעם אסור לרבא מדאו' מילפותא דהטמאים וא"א לומר דטע"כ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תירוץ הרשב"א והריטב"א דאיסור הציר מדאו' רק כשהוא בעין אבל בתערובת אינו אסור מדאו'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הרא"ה דבמקום שהאיסור נימוח ונתערב בהיתר מדאו' הוא בטל ברוב ואינו בכלל "הטמאים"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הריטב"א דבמקום שההיתר מועט וטעם האיסור מרובה חשיב שטעם האיסור נמצא בעין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הרשב"א בגמ' לקמן דכיון דמדאו' הציר בעין אסור א"כ מוכח דמדרבנן אף בתערובת אסור</w:t>
      </w:r>
    </w:p>
    <w:p w:rsidR="00F7606D" w:rsidRPr="0050146A" w:rsidRDefault="00F7606D" w:rsidP="00F7606D">
      <w:pPr>
        <w:pStyle w:val="aff4"/>
        <w:rPr>
          <w:rFonts w:eastAsiaTheme="minorEastAsia" w:cstheme="minorBidi"/>
          <w:i/>
          <w:iCs/>
          <w:noProof/>
          <w:sz w:val="22"/>
          <w:szCs w:val="22"/>
          <w:rtl/>
        </w:rPr>
      </w:pPr>
      <w:r w:rsidRPr="0050146A">
        <w:rPr>
          <w:noProof/>
          <w:rtl/>
        </w:rPr>
        <w:t>חקירת הגרעק"א אי טעם בתערובת צריך ביטול או דאינו אסור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חקירת הגרעק"א אי טעם בתערובת אינו אסור מדאו' או דבטל איסורו ברוב ובלא רוב אסור מדאו'</w:t>
      </w:r>
    </w:p>
    <w:p w:rsidR="00F7606D" w:rsidRPr="0050146A" w:rsidRDefault="00F7606D" w:rsidP="00F7606D">
      <w:pPr>
        <w:pStyle w:val="2"/>
        <w:rPr>
          <w:rFonts w:eastAsiaTheme="minorEastAsia" w:cstheme="minorBidi"/>
          <w:i/>
          <w:iCs/>
          <w:noProof/>
          <w:sz w:val="22"/>
          <w:szCs w:val="22"/>
          <w:rtl/>
        </w:rPr>
      </w:pPr>
      <w:r w:rsidRPr="0050146A">
        <w:rPr>
          <w:noProof/>
          <w:rtl/>
        </w:rPr>
        <w:t>הראיות לרש"י דלרבא טעם כעיקר דרבנן</w:t>
      </w:r>
    </w:p>
    <w:p w:rsidR="00F7606D" w:rsidRPr="0050146A" w:rsidRDefault="00F7606D" w:rsidP="00F7606D">
      <w:pPr>
        <w:pStyle w:val="aff4"/>
        <w:rPr>
          <w:rFonts w:eastAsiaTheme="minorEastAsia" w:cstheme="minorBidi"/>
          <w:i/>
          <w:iCs/>
          <w:noProof/>
          <w:sz w:val="22"/>
          <w:szCs w:val="22"/>
          <w:rtl/>
        </w:rPr>
      </w:pPr>
      <w:r w:rsidRPr="0050146A">
        <w:rPr>
          <w:noProof/>
          <w:rtl/>
        </w:rPr>
        <w:t>ראית ר"ת בספר הישר מזרוע בשלה דמדאו' מהני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ראיית ר"ת בספר הישר דטע"כ דרבנן מדברי אביי בסוגיין דמדאו מהני ביטול ברוב מאביי לקמן</w:t>
      </w:r>
    </w:p>
    <w:p w:rsidR="00F7606D" w:rsidRPr="0050146A" w:rsidRDefault="00F7606D" w:rsidP="00F7606D">
      <w:pPr>
        <w:pStyle w:val="aff4"/>
        <w:rPr>
          <w:rFonts w:eastAsiaTheme="minorEastAsia" w:cstheme="minorBidi"/>
          <w:i/>
          <w:iCs/>
          <w:noProof/>
          <w:sz w:val="22"/>
          <w:szCs w:val="22"/>
          <w:rtl/>
        </w:rPr>
      </w:pPr>
      <w:r w:rsidRPr="0050146A">
        <w:rPr>
          <w:noProof/>
          <w:rtl/>
        </w:rPr>
        <w:t>ראיות הראשונים דרק בבשר וחלב ס"ל לרבא דטע"כ 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הרמב"ן והרשב"א דבדברי רבא לקמן מבואר כרש"י דס"ל לרבא דטעם כעיקר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הרמב"ן על רש"י דאי לאביי טעם כעיקר דאו' א"כ היאך אמר דמדאו' חד בתרי בטיל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הרמב"ן דלאביי אף כשאין טעם ילפינן מזרוע בשלה לחומרא דצריך שישים ול"מ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התוס' דרבא לקמן דחה רק את הילפותא מבשר בחלב דס"ל דילפינן טע"כ דאו' ממשרת</w:t>
      </w:r>
    </w:p>
    <w:p w:rsidR="00F7606D" w:rsidRPr="0050146A" w:rsidRDefault="00F7606D" w:rsidP="00F7606D">
      <w:pPr>
        <w:pStyle w:val="aff4"/>
        <w:rPr>
          <w:rFonts w:eastAsiaTheme="minorEastAsia" w:cstheme="minorBidi"/>
          <w:i/>
          <w:iCs/>
          <w:noProof/>
          <w:sz w:val="22"/>
          <w:szCs w:val="22"/>
          <w:rtl/>
        </w:rPr>
      </w:pPr>
      <w:r w:rsidRPr="0050146A">
        <w:rPr>
          <w:noProof/>
          <w:rtl/>
        </w:rPr>
        <w:t>ראיית התוס' והרשב"א מדין ב' קופות דטעם כעיקר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הרשב"א דבדין ב' קופות בגמ' בפסחים מוכח כרש"י דטעם כעיקר אינו מדאו'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התוס' דבב' קופות איירי במין במינו ואילו טעם כעיקר דאו' נאמר רק במין בשאינו מינו</w:t>
      </w:r>
    </w:p>
    <w:p w:rsidR="00F7606D" w:rsidRPr="0050146A" w:rsidRDefault="00F7606D" w:rsidP="00F7606D">
      <w:pPr>
        <w:pStyle w:val="aff4"/>
        <w:rPr>
          <w:rFonts w:eastAsiaTheme="minorEastAsia" w:cstheme="minorBidi"/>
          <w:i/>
          <w:iCs/>
          <w:noProof/>
          <w:sz w:val="22"/>
          <w:szCs w:val="22"/>
          <w:rtl/>
        </w:rPr>
      </w:pPr>
      <w:r w:rsidRPr="0050146A">
        <w:rPr>
          <w:noProof/>
          <w:rtl/>
        </w:rPr>
        <w:t>ראיית התוס' והרשב"א מדברי הירושלמי דטעם כעיקר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ראיית הרשב"א דטעם כעיקר דרבנן מהא דאיתא בירושלמי דאין לוקין על טעמו ולא ממשו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התוס' דכוונת הירושלמי לדין היתר מצטרף לאיסור דהוא דרבנן ולא לדין טעם כעיקר</w:t>
      </w:r>
    </w:p>
    <w:p w:rsidR="00F7606D" w:rsidRPr="0050146A" w:rsidRDefault="00F7606D" w:rsidP="00F7606D">
      <w:pPr>
        <w:pStyle w:val="aff4"/>
        <w:rPr>
          <w:rFonts w:eastAsiaTheme="minorEastAsia" w:cstheme="minorBidi"/>
          <w:i/>
          <w:iCs/>
          <w:noProof/>
          <w:sz w:val="22"/>
          <w:szCs w:val="22"/>
          <w:rtl/>
        </w:rPr>
      </w:pPr>
      <w:r w:rsidRPr="0050146A">
        <w:rPr>
          <w:noProof/>
          <w:rtl/>
        </w:rPr>
        <w:t>דברי הרשב"א בדין טעם כעיקר לר"י דמין במינו לא בטל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הרשב"א דרש"י ס"ל כר"י דמין במינו לא בטל ולר"י ודאי דטע"כ דאו' דההיתר נעשה כנבילה</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החמד"ש ברשב"א דבמין במינו נשארת החשיבות של הטעם ואינה בטלה לר"י והוי כממשו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החמד"ש דלדעת הר"ן אף לר"י אפש"ל דטעם כעיקר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תירוץ הרשב"א דמין במינו לא בטל לר"י מגזיה"כ ולא מחמת הטעם דהא אוסר אף במשהו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הגרעק"א דאי לר"י טע"כ דאו' א"כ לא דמי לדם פר שיש בו ממשות ולא רק 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הגרעק"א ברשב"א דבמין במינו רק לרבנן הוא כעין טעם אבל לר"י הוא מגזיה"כ</w:t>
      </w:r>
    </w:p>
    <w:p w:rsidR="00F7606D" w:rsidRPr="0050146A" w:rsidRDefault="00F7606D" w:rsidP="00F7606D">
      <w:pPr>
        <w:pStyle w:val="2"/>
        <w:rPr>
          <w:rFonts w:eastAsiaTheme="minorEastAsia" w:cstheme="minorBidi"/>
          <w:i/>
          <w:iCs/>
          <w:noProof/>
          <w:sz w:val="22"/>
          <w:szCs w:val="22"/>
          <w:rtl/>
        </w:rPr>
      </w:pPr>
      <w:r w:rsidRPr="0050146A">
        <w:rPr>
          <w:noProof/>
          <w:rtl/>
        </w:rPr>
        <w:t>דעת התוס' דטעם כעיקר דאו'</w:t>
      </w:r>
    </w:p>
    <w:p w:rsidR="00F7606D" w:rsidRPr="0050146A" w:rsidRDefault="00F7606D" w:rsidP="00F7606D">
      <w:pPr>
        <w:pStyle w:val="aff4"/>
        <w:rPr>
          <w:rFonts w:eastAsiaTheme="minorEastAsia" w:cstheme="minorBidi"/>
          <w:i/>
          <w:iCs/>
          <w:noProof/>
          <w:sz w:val="22"/>
          <w:szCs w:val="22"/>
          <w:rtl/>
        </w:rPr>
      </w:pPr>
      <w:r w:rsidRPr="0050146A">
        <w:rPr>
          <w:noProof/>
          <w:rtl/>
        </w:rPr>
        <w:t>דברי התוס' ור"ת בספר הישר דממשרת ילפינן דטע"כ 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התוס' דלרבא טע"כ דאו' אף בחולין ובגמ' בפסחים מוכח דהילפותא ממשרת אינה אסמכתא</w:t>
      </w:r>
    </w:p>
    <w:p w:rsidR="00F7606D" w:rsidRPr="0050146A" w:rsidRDefault="00F7606D" w:rsidP="00F7606D">
      <w:pPr>
        <w:pStyle w:val="aff2"/>
        <w:numPr>
          <w:ilvl w:val="0"/>
          <w:numId w:val="3"/>
        </w:numPr>
        <w:rPr>
          <w:rFonts w:eastAsiaTheme="minorEastAsia" w:cstheme="minorBidi"/>
          <w:sz w:val="22"/>
          <w:szCs w:val="22"/>
        </w:rPr>
      </w:pPr>
      <w:r w:rsidRPr="0050146A">
        <w:rPr>
          <w:rtl/>
        </w:rPr>
        <w:t>דברי ר"ת בספר הישר דבגמ' בפסחים מוכח דטעם כעיקר דאו' והילפותא ממשרת אינה אסמכתא</w:t>
      </w:r>
    </w:p>
    <w:p w:rsidR="00F7606D" w:rsidRPr="0050146A" w:rsidRDefault="00F7606D" w:rsidP="00F7606D">
      <w:pPr>
        <w:pStyle w:val="2"/>
        <w:rPr>
          <w:rFonts w:eastAsiaTheme="minorEastAsia" w:cstheme="minorBidi"/>
          <w:i/>
          <w:iCs/>
          <w:noProof/>
          <w:sz w:val="22"/>
          <w:szCs w:val="22"/>
          <w:rtl/>
        </w:rPr>
      </w:pPr>
      <w:r w:rsidRPr="0050146A">
        <w:rPr>
          <w:noProof/>
          <w:rtl/>
        </w:rPr>
        <w:t>באיסור הטעם עצמו לדעת התוס'</w:t>
      </w:r>
    </w:p>
    <w:p w:rsidR="00F7606D" w:rsidRPr="0050146A" w:rsidRDefault="00F7606D" w:rsidP="00F7606D">
      <w:pPr>
        <w:pStyle w:val="aff4"/>
        <w:rPr>
          <w:rFonts w:eastAsiaTheme="minorEastAsia" w:cstheme="minorBidi"/>
          <w:i/>
          <w:iCs/>
          <w:noProof/>
          <w:sz w:val="22"/>
          <w:szCs w:val="22"/>
          <w:rtl/>
        </w:rPr>
      </w:pPr>
      <w:r w:rsidRPr="0050146A">
        <w:rPr>
          <w:noProof/>
          <w:rtl/>
        </w:rPr>
        <w:t>דברי התוס' בילפותא דהטמאים ומשרת לטעם כעיקר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התוס' לקמן דא"צ את ילפותא דהטמאים לאיסור הרוטב דממשרת ילפינן דטעם כעיקר אסור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התירוץ הא' בתוס' לקמן דילפותא דהטמאים היא לדין הציר אך הרוטב אסור מדין טעם כעיקר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התירוץ הב' בתוס' לקמן דמהטמאים ילפינן דאף כשהאיסור מחוי לגמרי דינו כממשו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הראב"ד דאמאי לא מהני ביטול ברוב מדאו' למ"ד דטעם כעיקר דאו'</w:t>
      </w:r>
    </w:p>
    <w:p w:rsidR="00F7606D" w:rsidRPr="0050146A" w:rsidRDefault="00F7606D" w:rsidP="00F7606D">
      <w:pPr>
        <w:pStyle w:val="2"/>
        <w:rPr>
          <w:rFonts w:eastAsiaTheme="minorEastAsia" w:cstheme="minorBidi"/>
          <w:i/>
          <w:iCs/>
          <w:noProof/>
          <w:sz w:val="22"/>
          <w:szCs w:val="22"/>
          <w:rtl/>
        </w:rPr>
      </w:pPr>
      <w:r w:rsidRPr="0050146A">
        <w:rPr>
          <w:noProof/>
          <w:rtl/>
        </w:rPr>
        <w:t>ביאור הרמב"ן בילפותות לדעת רש"י</w:t>
      </w:r>
    </w:p>
    <w:p w:rsidR="00F7606D" w:rsidRPr="0050146A" w:rsidRDefault="00F7606D" w:rsidP="00F7606D">
      <w:pPr>
        <w:pStyle w:val="aff4"/>
        <w:rPr>
          <w:rFonts w:eastAsiaTheme="minorEastAsia" w:cstheme="minorBidi"/>
          <w:i/>
          <w:iCs/>
          <w:noProof/>
          <w:sz w:val="22"/>
          <w:szCs w:val="22"/>
          <w:rtl/>
        </w:rPr>
      </w:pPr>
      <w:r w:rsidRPr="0050146A">
        <w:rPr>
          <w:noProof/>
          <w:rtl/>
        </w:rPr>
        <w:t>תירוץ הרמב"ן דהגמ' בפסחים דטע"כ דאו' היא לדעת אביי</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הרמב"ן דה</w:t>
      </w:r>
      <w:r w:rsidR="00715158">
        <w:rPr>
          <w:rtl/>
        </w:rPr>
        <w:t>סוגית</w:t>
      </w:r>
      <w:r w:rsidRPr="0050146A">
        <w:rPr>
          <w:rtl/>
        </w:rPr>
        <w:t xml:space="preserve"> בפסחים דילפינן ממשרת דטע"כ דאו' היא אליבא דאביי דס"ל כן לקמן</w:t>
      </w:r>
    </w:p>
    <w:p w:rsidR="00F7606D" w:rsidRPr="0050146A" w:rsidRDefault="00F7606D" w:rsidP="00F7606D">
      <w:pPr>
        <w:pStyle w:val="aff4"/>
        <w:rPr>
          <w:rFonts w:eastAsiaTheme="minorEastAsia" w:cstheme="minorBidi"/>
          <w:i/>
          <w:iCs/>
          <w:noProof/>
          <w:sz w:val="22"/>
          <w:szCs w:val="22"/>
          <w:rtl/>
        </w:rPr>
      </w:pPr>
      <w:r w:rsidRPr="0050146A">
        <w:rPr>
          <w:noProof/>
          <w:rtl/>
        </w:rPr>
        <w:t>ביאורי הרמב"ן דנחלקו אביי וריו"ח אי ילפינן ממשרת לטע"כ</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הרמב"ן דאיתא בגמ' בפסחים דממשרת וגיעולי עכו"ם ילפינן לכל התורה דטע"כ 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תירוץ הרמב"ן דלדעת ריו"ח גיעולי עכו"ם הוא חידוש וממשרת ילפינן דהיתר מצטרף לאיסור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התירוץ הב' ברמב"ן דלריו"ח משרת וגיעולי עכו"ם הם ב' כתובין הבאין כאחד ואין מלמדין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הרמב"ן דהא דמבואר בפסחים דאין ב' כתובים לענין טעם כעיקר הוא לדעת אביי</w:t>
      </w:r>
    </w:p>
    <w:p w:rsidR="00F7606D" w:rsidRPr="0050146A" w:rsidRDefault="00F7606D" w:rsidP="00F7606D">
      <w:pPr>
        <w:pStyle w:val="aff2"/>
        <w:numPr>
          <w:ilvl w:val="0"/>
          <w:numId w:val="3"/>
        </w:numPr>
        <w:rPr>
          <w:rFonts w:eastAsiaTheme="minorEastAsia" w:cstheme="minorBidi"/>
          <w:sz w:val="22"/>
          <w:szCs w:val="22"/>
          <w:rtl/>
        </w:rPr>
      </w:pPr>
      <w:r w:rsidRPr="0050146A">
        <w:rPr>
          <w:rtl/>
        </w:rPr>
        <w:t>מסקנת הרמב"ן דלא פשיטא לאמוראי בתראי דטעם כעיקר דאו' ואפש"ל כרש"י דטע"כ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הרשב"א בשם הרמב"ן דטעמו ולא ממשו כשהאיסור התבטל לגמרי בתערובת הוא דרבנן</w:t>
      </w:r>
    </w:p>
    <w:p w:rsidR="00F7606D" w:rsidRPr="0050146A" w:rsidRDefault="00F7606D" w:rsidP="00F7606D">
      <w:pPr>
        <w:pStyle w:val="2"/>
        <w:rPr>
          <w:rFonts w:eastAsiaTheme="minorEastAsia" w:cstheme="minorBidi"/>
          <w:i/>
          <w:iCs/>
          <w:noProof/>
          <w:sz w:val="22"/>
          <w:szCs w:val="22"/>
          <w:rtl/>
        </w:rPr>
      </w:pPr>
      <w:r w:rsidRPr="0050146A">
        <w:rPr>
          <w:noProof/>
          <w:rtl/>
        </w:rPr>
        <w:t>ביאור התוס' בדברי ריו"ח בטעמו ובממשו</w:t>
      </w:r>
    </w:p>
    <w:p w:rsidR="00F7606D" w:rsidRPr="0050146A" w:rsidRDefault="00F7606D" w:rsidP="00F7606D">
      <w:pPr>
        <w:pStyle w:val="aff4"/>
        <w:rPr>
          <w:rFonts w:eastAsiaTheme="minorEastAsia" w:cstheme="minorBidi"/>
          <w:i/>
          <w:iCs/>
          <w:noProof/>
          <w:sz w:val="22"/>
          <w:szCs w:val="22"/>
          <w:rtl/>
        </w:rPr>
      </w:pPr>
      <w:r w:rsidRPr="0050146A">
        <w:rPr>
          <w:noProof/>
          <w:rtl/>
        </w:rPr>
        <w:t>ביאור התוס' דלריו"ח במין בשאינו מינו טע"כ דאו' ולוקין עליו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ר"ת בספר הישר דמדברי ריו"ח מוכח דטעם כעיקר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ר"ת בספר הישר דטעמו ולא ממשו הוא לשון הגמ' והיינו טעם כעיקר בלשון הברייתא</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התוס' דריו"ח דאמר דאין לוקין על טעמו בלא ממשו היינו במין במינו דמדאו' מהני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הרשב"א והתוס' הרא"ש דבמין בשאינו מינו אף לריו"ח טעמו ולא ממשו הוא דאו' ולוקין עליו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התוס' והרא"ש והרשב"א דבמין במינו אין לוקין אף בממשו דאינו ניכר ובטל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התוס' והרא"ש דריו"ח נקט טעמו ולא ממשו לחדש דמין במינו אסור אף שאינו נותן 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הרמב"ן בשם ר"ת דטעמו ולא ממשו היינו שהטעם מורגש אך לא ניכר דהוא מין במינו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הרמב"ן בשם ר"ת דבטעמו וממשו האיסור ניכר דהוא בעין במין במינו ולכן לוקין עליו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הרמב"ן דבדברי אביי לקמן מוכח דטעמו ולא ממשו היינו מין בשאינו מינו</w:t>
      </w:r>
    </w:p>
    <w:p w:rsidR="00F7606D" w:rsidRPr="0050146A" w:rsidRDefault="00F7606D" w:rsidP="00F7606D">
      <w:pPr>
        <w:pStyle w:val="aff4"/>
        <w:rPr>
          <w:rFonts w:eastAsiaTheme="minorEastAsia" w:cstheme="minorBidi"/>
          <w:i/>
          <w:iCs/>
          <w:noProof/>
          <w:sz w:val="22"/>
          <w:szCs w:val="22"/>
          <w:rtl/>
        </w:rPr>
      </w:pPr>
      <w:r w:rsidRPr="0050146A">
        <w:rPr>
          <w:noProof/>
          <w:rtl/>
        </w:rPr>
        <w:t>דעת רבינו חיים ורבינו אליהו דבשיעור כזית בכא"פ הוי ממשו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דעת רבינו אליהו ורבינו חיים דבמקום שיש כזית בכדי אכילת פרס חשיב ממשו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דעת רבינו אליהו ורבינו חיים דבמקום שאין כזית בכדי אכילת פרס חשיב טעמו ולא ממשו</w:t>
      </w:r>
    </w:p>
    <w:p w:rsidR="00F7606D" w:rsidRPr="0050146A" w:rsidRDefault="00F7606D" w:rsidP="00F7606D">
      <w:pPr>
        <w:pStyle w:val="aff4"/>
        <w:rPr>
          <w:rFonts w:eastAsiaTheme="minorEastAsia" w:cstheme="minorBidi"/>
          <w:i/>
          <w:iCs/>
          <w:noProof/>
          <w:sz w:val="22"/>
          <w:szCs w:val="22"/>
          <w:rtl/>
        </w:rPr>
      </w:pPr>
      <w:r w:rsidRPr="0050146A">
        <w:rPr>
          <w:noProof/>
          <w:rtl/>
        </w:rPr>
        <w:t>ראיית ר"ת מדברי רבא בגמ' בזבחים דטעם כעיקר 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ר"ת דבדברי רבא בזבחים מוכח דדין טעם במין בשאינו מינו הוא כמין במינו ברוב דהוא מדאו'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דחיית הרמב"ן דבגמ' בזבחים איירי בטעמו וממשו ולכן הוא אסור מדאו'</w:t>
      </w:r>
    </w:p>
    <w:p w:rsidR="00F7606D" w:rsidRPr="0050146A" w:rsidRDefault="00F7606D" w:rsidP="00F7606D">
      <w:pPr>
        <w:pStyle w:val="aff4"/>
        <w:rPr>
          <w:rFonts w:eastAsiaTheme="minorEastAsia" w:cstheme="minorBidi"/>
          <w:i/>
          <w:iCs/>
          <w:noProof/>
          <w:sz w:val="22"/>
          <w:szCs w:val="22"/>
          <w:rtl/>
        </w:rPr>
      </w:pPr>
      <w:r w:rsidRPr="0050146A">
        <w:rPr>
          <w:noProof/>
          <w:rtl/>
        </w:rPr>
        <w:t>פלוגתת ר"ת והרמב"ן בדין עיסת אורז</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הרא"ש בשם ר"ת דמהא דבעיסת אורז שיש בה טעם דגן יוצא יד"ח מצה מוכח דטע"כ דאו'</w:t>
      </w:r>
    </w:p>
    <w:p w:rsidR="00F7606D" w:rsidRPr="0050146A" w:rsidRDefault="00F7606D" w:rsidP="00F7606D">
      <w:pPr>
        <w:pStyle w:val="aff4"/>
        <w:rPr>
          <w:rFonts w:eastAsiaTheme="minorEastAsia" w:cstheme="minorBidi"/>
          <w:i/>
          <w:iCs/>
          <w:noProof/>
          <w:sz w:val="22"/>
          <w:szCs w:val="22"/>
          <w:rtl/>
        </w:rPr>
      </w:pPr>
      <w:r w:rsidRPr="0050146A">
        <w:rPr>
          <w:noProof/>
          <w:rtl/>
        </w:rPr>
        <w:t>ביאור הרמב"ן דבטעמו וממשו טעם כעיקר 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הרמב"ן והר"ן דבטעמו וממשו טעם כעיקר דאו' דכשיש ממשות אין הטעם בטל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הרמב"ן דבמקום שאין בתערובת את העיקר חשיב שהאיסור התבטל לגמרי ונשאר רק טעמו</w:t>
      </w:r>
    </w:p>
    <w:p w:rsidR="00F7606D" w:rsidRPr="0050146A" w:rsidRDefault="00F7606D" w:rsidP="00F7606D">
      <w:pPr>
        <w:pStyle w:val="aff2"/>
        <w:numPr>
          <w:ilvl w:val="0"/>
          <w:numId w:val="3"/>
        </w:numPr>
        <w:rPr>
          <w:rFonts w:eastAsiaTheme="minorEastAsia" w:cstheme="minorBidi"/>
          <w:sz w:val="22"/>
          <w:szCs w:val="22"/>
          <w:rtl/>
        </w:rPr>
      </w:pPr>
      <w:r w:rsidRPr="0050146A">
        <w:rPr>
          <w:rtl/>
        </w:rPr>
        <w:t xml:space="preserve">דברי הרמב"ן דבטעמו וממשו ל"מ ביטול </w:t>
      </w:r>
      <w:bookmarkStart w:id="4821" w:name="_GoBack"/>
      <w:bookmarkEnd w:id="4821"/>
      <w:r w:rsidRPr="0050146A">
        <w:rPr>
          <w:rtl/>
        </w:rPr>
        <w:t>ברוב אבל בטעמו ולא ממשו או ממשו ולא טעמו מהני</w:t>
      </w:r>
    </w:p>
    <w:p w:rsidR="00F7606D" w:rsidRPr="0050146A" w:rsidRDefault="00F7606D" w:rsidP="00F7606D">
      <w:pPr>
        <w:pStyle w:val="2"/>
        <w:rPr>
          <w:rFonts w:eastAsiaTheme="minorEastAsia" w:cstheme="minorBidi"/>
          <w:i/>
          <w:iCs/>
          <w:noProof/>
          <w:sz w:val="22"/>
          <w:szCs w:val="22"/>
          <w:rtl/>
        </w:rPr>
      </w:pPr>
      <w:r w:rsidRPr="0050146A">
        <w:rPr>
          <w:noProof/>
          <w:rtl/>
        </w:rPr>
        <w:t>דעת הראשונים דטע"כ דאו' ואין מלקות</w:t>
      </w:r>
    </w:p>
    <w:p w:rsidR="00F7606D" w:rsidRPr="0050146A" w:rsidRDefault="00F7606D" w:rsidP="00F7606D">
      <w:pPr>
        <w:pStyle w:val="aff4"/>
        <w:rPr>
          <w:rFonts w:eastAsiaTheme="minorEastAsia" w:cstheme="minorBidi"/>
          <w:i/>
          <w:iCs/>
          <w:noProof/>
          <w:sz w:val="22"/>
          <w:szCs w:val="22"/>
          <w:rtl/>
        </w:rPr>
      </w:pPr>
      <w:r w:rsidRPr="0050146A">
        <w:rPr>
          <w:noProof/>
          <w:rtl/>
        </w:rPr>
        <w:t>דברי הראב"ד והר"י מאורליינש דטע"כ דאו' ואין בו מלקות</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הראב"ד דטעם כעיקר דאו' נלמד מבנין אב או ק"ו ואין בו מלקות</w:t>
      </w:r>
    </w:p>
    <w:p w:rsidR="00F7606D" w:rsidRPr="0050146A" w:rsidRDefault="00F7606D" w:rsidP="00F7606D">
      <w:pPr>
        <w:pStyle w:val="aff2"/>
        <w:numPr>
          <w:ilvl w:val="0"/>
          <w:numId w:val="3"/>
        </w:numPr>
        <w:rPr>
          <w:rFonts w:eastAsiaTheme="minorEastAsia" w:cstheme="minorBidi"/>
          <w:sz w:val="22"/>
          <w:szCs w:val="22"/>
          <w:rtl/>
        </w:rPr>
      </w:pPr>
      <w:r w:rsidRPr="0050146A">
        <w:rPr>
          <w:rtl/>
        </w:rPr>
        <w:lastRenderedPageBreak/>
        <w:t>דברי הר"י מאורליינש דבגיעולי עכו"ם יש רק עשה ולא לאו ולכן אין מלקות בטעם כעיקר דאו'</w:t>
      </w:r>
    </w:p>
    <w:p w:rsidR="00F7606D" w:rsidRPr="0050146A" w:rsidRDefault="00F7606D" w:rsidP="00F7606D">
      <w:pPr>
        <w:pStyle w:val="aff2"/>
        <w:numPr>
          <w:ilvl w:val="0"/>
          <w:numId w:val="3"/>
        </w:numPr>
        <w:rPr>
          <w:rFonts w:eastAsiaTheme="minorEastAsia" w:cstheme="minorBidi"/>
          <w:sz w:val="22"/>
          <w:szCs w:val="22"/>
        </w:rPr>
      </w:pPr>
      <w:r w:rsidRPr="0050146A">
        <w:rPr>
          <w:rtl/>
        </w:rPr>
        <w:t>דחיית ר"ת דאחר שלא קיים את העשה חזר הטעם לאיסורו ויש בו מלקות</w:t>
      </w:r>
    </w:p>
    <w:p w:rsidR="00F7606D" w:rsidRPr="0050146A" w:rsidRDefault="00F7606D" w:rsidP="00F7606D">
      <w:pPr>
        <w:pStyle w:val="2"/>
        <w:rPr>
          <w:rFonts w:eastAsiaTheme="minorEastAsia" w:cstheme="minorBidi"/>
          <w:i/>
          <w:iCs/>
          <w:noProof/>
          <w:sz w:val="22"/>
          <w:szCs w:val="22"/>
          <w:rtl/>
        </w:rPr>
      </w:pPr>
      <w:r w:rsidRPr="0050146A">
        <w:rPr>
          <w:noProof/>
          <w:rtl/>
        </w:rPr>
        <w:t>ביאור הרמב"ן והרשב"א בגדר טע"כ</w:t>
      </w:r>
    </w:p>
    <w:p w:rsidR="00F7606D" w:rsidRPr="0050146A" w:rsidRDefault="00F7606D" w:rsidP="00F7606D">
      <w:pPr>
        <w:pStyle w:val="aff4"/>
        <w:rPr>
          <w:rFonts w:eastAsiaTheme="minorEastAsia" w:cstheme="minorBidi"/>
          <w:i/>
          <w:iCs/>
          <w:noProof/>
          <w:sz w:val="22"/>
          <w:szCs w:val="22"/>
          <w:rtl/>
        </w:rPr>
      </w:pPr>
      <w:r w:rsidRPr="0050146A">
        <w:rPr>
          <w:noProof/>
          <w:rtl/>
        </w:rPr>
        <w:t>דברי הרמב"ן בביאור טעם כעיקר והיתר מצטרף לאיסור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הרמב"ן והרשב"א דטע"כ הוא כשגוף האיסור אינו בתערובת או שאבד בו או בבליעת 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הרשב"א בשם התוס' בע"ז דבבשר שהתבשל בחלב שייך רק טעמו ולא שייך ממשו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הרמב"ן והרשב"א דטעם כעיקר דאו' דחשיב שנמחה ממשו של האיסור בקדשים ובחולין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הרמב"ן דהיתר מצטרף לאיסור היינו שלוקים על כל כזית מהתערובת</w:t>
      </w:r>
    </w:p>
    <w:p w:rsidR="00F7606D" w:rsidRPr="0050146A" w:rsidRDefault="00F7606D" w:rsidP="00F7606D">
      <w:pPr>
        <w:pStyle w:val="aff4"/>
        <w:rPr>
          <w:rFonts w:eastAsiaTheme="minorEastAsia" w:cstheme="minorBidi"/>
          <w:i/>
          <w:iCs/>
          <w:noProof/>
          <w:sz w:val="22"/>
          <w:szCs w:val="22"/>
          <w:rtl/>
        </w:rPr>
      </w:pPr>
      <w:r w:rsidRPr="0050146A">
        <w:rPr>
          <w:noProof/>
          <w:rtl/>
        </w:rPr>
        <w:t>דברי הראב"ד בטעם כעיקר והיתר מצטרף לאיסור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הראב"ד דיש ב' אופנים בטעם כעיקר והאופן הג' הוא היתר מצטרף לאיסור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הרשב"א בשם הבה"ג דטע"כ דאו' וכדמשמע מלשון ריו"ח בגמ' בע"ז</w:t>
      </w:r>
    </w:p>
    <w:p w:rsidR="00F7606D" w:rsidRPr="0050146A" w:rsidRDefault="00F7606D" w:rsidP="00F7606D">
      <w:pPr>
        <w:pStyle w:val="2"/>
        <w:rPr>
          <w:rFonts w:eastAsiaTheme="minorEastAsia" w:cstheme="minorBidi"/>
          <w:i/>
          <w:iCs/>
          <w:noProof/>
          <w:sz w:val="22"/>
          <w:szCs w:val="22"/>
          <w:rtl/>
        </w:rPr>
      </w:pPr>
      <w:r w:rsidRPr="0050146A">
        <w:rPr>
          <w:noProof/>
          <w:rtl/>
        </w:rPr>
        <w:t>בהא דל"מ ביטול ברוב למ"ד טע"כ דאו'</w:t>
      </w:r>
    </w:p>
    <w:p w:rsidR="00F7606D" w:rsidRPr="0050146A" w:rsidRDefault="00F7606D" w:rsidP="00F7606D">
      <w:pPr>
        <w:pStyle w:val="aff4"/>
        <w:rPr>
          <w:rFonts w:eastAsiaTheme="minorEastAsia" w:cstheme="minorBidi"/>
          <w:sz w:val="22"/>
          <w:szCs w:val="22"/>
          <w:rtl/>
        </w:rPr>
      </w:pPr>
      <w:r w:rsidRPr="0050146A">
        <w:rPr>
          <w:rtl/>
        </w:rPr>
        <w:t>ביאור הראב"ד דטעם שמורגש הוא ניכר ולא שייך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הראב"ד דמדאו' מהני ביטול ברוב ובכל טעמו ולא ממשו בטל טעם האיסור בהיתר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הראב"ד דביטול ברוב הוא כשכ"א עומד בפנ"ע אבל בנתינת טעם האיסור ניכר בכל ההיתר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הראב"ד דלאביי דטעם כעיקר דאו' האיך אמר דמהני ביטול ברוב בזרוע בשלה שיש 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הראב"ד דבמין במינו שלא ניכר טעם האיסור בהיתר חשיב שכ"א עומד בפנ"ע</w:t>
      </w:r>
    </w:p>
    <w:p w:rsidR="00F7606D" w:rsidRPr="00495B64" w:rsidRDefault="00F7606D" w:rsidP="00F7606D">
      <w:pPr>
        <w:pStyle w:val="aff2"/>
        <w:numPr>
          <w:ilvl w:val="0"/>
          <w:numId w:val="3"/>
        </w:numPr>
      </w:pPr>
      <w:r w:rsidRPr="0050146A">
        <w:rPr>
          <w:rtl/>
        </w:rPr>
        <w:t>ביאור הראב"ד דבמין בשאינו מינו טעימת האיסור בהיתר זו הכרתו דחשיבות האוכל היא בטעמו</w:t>
      </w:r>
      <w:r w:rsidRPr="0050146A">
        <w:rPr>
          <w:rFonts w:hint="cs"/>
          <w:rtl/>
        </w:rPr>
        <w:t xml:space="preserve"> </w:t>
      </w:r>
    </w:p>
    <w:p w:rsidR="00495B64" w:rsidRPr="00651E3B" w:rsidRDefault="00F7606D" w:rsidP="00651E3B">
      <w:pPr>
        <w:pStyle w:val="aff2"/>
        <w:numPr>
          <w:ilvl w:val="0"/>
          <w:numId w:val="3"/>
        </w:numPr>
      </w:pPr>
      <w:r w:rsidRPr="00495B64">
        <w:rPr>
          <w:rFonts w:hint="cs"/>
          <w:rtl/>
        </w:rPr>
        <w:t>דברי הראב"ד דאף במקום שאין בטעם האיסור כזית בכא"פ חשיב הטעם בעין ואינו מתבטל ברוב</w:t>
      </w:r>
    </w:p>
    <w:p w:rsidR="00495B64" w:rsidRPr="00651E3B" w:rsidRDefault="00495B64" w:rsidP="00651E3B">
      <w:pPr>
        <w:pStyle w:val="aff2"/>
        <w:numPr>
          <w:ilvl w:val="0"/>
          <w:numId w:val="3"/>
        </w:numPr>
      </w:pPr>
      <w:r w:rsidRPr="00495B64">
        <w:rPr>
          <w:rtl/>
        </w:rPr>
        <w:t>ביאור היד יהודה בראב"ד דכיון דטע"כ דאו' גורם הטעם האסור לממשות שלא תתבטל</w:t>
      </w:r>
    </w:p>
    <w:p w:rsidR="00F7606D" w:rsidRPr="00651E3B" w:rsidRDefault="00495B64" w:rsidP="00651E3B">
      <w:pPr>
        <w:pStyle w:val="aff2"/>
        <w:numPr>
          <w:ilvl w:val="0"/>
          <w:numId w:val="3"/>
        </w:numPr>
        <w:rPr>
          <w:rtl/>
        </w:rPr>
      </w:pPr>
      <w:r w:rsidRPr="00495B64">
        <w:rPr>
          <w:rtl/>
        </w:rPr>
        <w:t>ביאור היד יהודה בדעת הר"ן דטע"כ דרבנן דאף טעם שאינו אסור גרום לממשות שלא תתבטל ברוב</w:t>
      </w:r>
    </w:p>
    <w:p w:rsidR="00F7606D" w:rsidRPr="0050146A" w:rsidRDefault="00F7606D" w:rsidP="00F7606D">
      <w:pPr>
        <w:pStyle w:val="aff4"/>
        <w:rPr>
          <w:rFonts w:eastAsiaTheme="minorEastAsia" w:cstheme="minorBidi"/>
          <w:i/>
          <w:iCs/>
          <w:noProof/>
          <w:sz w:val="22"/>
          <w:szCs w:val="22"/>
          <w:rtl/>
        </w:rPr>
      </w:pPr>
      <w:r w:rsidRPr="0050146A">
        <w:rPr>
          <w:noProof/>
          <w:rtl/>
        </w:rPr>
        <w:t>פלוגתת הש"ך והגרעק"א בהא דל"מ ביטול ברוב בטעם לר"ת</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הש"ך דלר"ת ל"מ ביטול ברוב בטעם כעיקר כיון שאף ההיתר נהפך להיות 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דלר"ת אף במקום שאין דין נהפך ל"מ רוב כיון שהטעם נרגש וניכר ואינו מתבטל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הט"ז דבמין במינו שאין הטעם נרגש א"צ ביטול מדאו' כלל דרק בשאינו מינו טע"כ דאו'</w:t>
      </w:r>
    </w:p>
    <w:p w:rsidR="00F7606D" w:rsidRPr="0050146A" w:rsidRDefault="00F7606D" w:rsidP="00F7606D">
      <w:pPr>
        <w:pStyle w:val="aff4"/>
        <w:rPr>
          <w:rFonts w:eastAsiaTheme="minorEastAsia" w:cstheme="minorBidi"/>
          <w:i/>
          <w:iCs/>
          <w:noProof/>
          <w:sz w:val="22"/>
          <w:szCs w:val="22"/>
          <w:rtl/>
        </w:rPr>
      </w:pPr>
      <w:r w:rsidRPr="0050146A">
        <w:rPr>
          <w:noProof/>
          <w:rtl/>
        </w:rPr>
        <w:t>ביאור הנחל"ד ברש"י דבטע"כ דאו' הטעם אסור רק מדין נהפך</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הנחל"ד על רש"י בפסחים היאך ילפינן מגיעולי עכו"ם דבטע"כ נהפך ההיתר לאיסור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הנחל"ד דלרש"י א"א לומר דהטעם אסור מדאו' בלא גיעולי עכו"ם דהא פסק דטע"כ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הנחל"ד ברש"י דלמ"ד טע"כ דאו' אין סברא מדאו' לאסור טעם באכילת היתר דאין בו ממש</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הנחל"ד ברש"י בפסחים דלמ"ד טע"כ דאו' האיסור בטעם הוא רק כיון שנהפך ההיתר לאיסור</w:t>
      </w:r>
    </w:p>
    <w:p w:rsidR="00F7606D" w:rsidRPr="0050146A" w:rsidRDefault="00F7606D" w:rsidP="00F7606D">
      <w:pPr>
        <w:pStyle w:val="aff4"/>
        <w:rPr>
          <w:rFonts w:eastAsiaTheme="minorEastAsia" w:cstheme="minorBidi"/>
          <w:i/>
          <w:iCs/>
          <w:noProof/>
          <w:sz w:val="22"/>
          <w:szCs w:val="22"/>
          <w:rtl/>
        </w:rPr>
      </w:pPr>
      <w:r w:rsidRPr="0050146A">
        <w:rPr>
          <w:noProof/>
          <w:rtl/>
        </w:rPr>
        <w:t>דברי המהרי"ק ברש"י דלאביי לולי משרת הטעם מותר מדאו'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המהרי"ק ברש"י דלאביי טע"כ דאו' ולולי הילפותא מזרוע בשלה מהני בטעם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המהרי"ק ברש"י דלמ"ד טע"כ דאו' לולי הילפותא ממשרת הו"א דלא אסרה תורה טעם כלל</w:t>
      </w:r>
    </w:p>
    <w:p w:rsidR="00F7606D" w:rsidRPr="0050146A" w:rsidRDefault="00F7606D" w:rsidP="00F7606D">
      <w:pPr>
        <w:pStyle w:val="2"/>
        <w:rPr>
          <w:rFonts w:eastAsiaTheme="minorEastAsia" w:cstheme="minorBidi"/>
          <w:i/>
          <w:iCs/>
          <w:noProof/>
          <w:sz w:val="22"/>
          <w:szCs w:val="22"/>
          <w:rtl/>
        </w:rPr>
      </w:pPr>
      <w:r w:rsidRPr="0050146A">
        <w:rPr>
          <w:noProof/>
          <w:rtl/>
        </w:rPr>
        <w:t>באיסור טעם וביטול ברוב בטע"כ דרבנן</w:t>
      </w:r>
    </w:p>
    <w:p w:rsidR="00F7606D" w:rsidRPr="0050146A" w:rsidRDefault="00F7606D" w:rsidP="00F7606D">
      <w:pPr>
        <w:pStyle w:val="aff4"/>
        <w:rPr>
          <w:rFonts w:eastAsiaTheme="minorEastAsia" w:cstheme="minorBidi"/>
          <w:i/>
          <w:iCs/>
          <w:noProof/>
          <w:sz w:val="22"/>
          <w:szCs w:val="22"/>
          <w:rtl/>
        </w:rPr>
      </w:pPr>
      <w:r w:rsidRPr="0050146A">
        <w:rPr>
          <w:noProof/>
          <w:rtl/>
        </w:rPr>
        <w:t>חקירת הגרעק"א והחמד"ש אי הטעם מותר מדאו' או בטל ברוב</w:t>
      </w:r>
    </w:p>
    <w:p w:rsidR="00F7606D" w:rsidRPr="0050146A" w:rsidRDefault="00F7606D" w:rsidP="00F7606D">
      <w:pPr>
        <w:pStyle w:val="aff2"/>
        <w:numPr>
          <w:ilvl w:val="0"/>
          <w:numId w:val="3"/>
        </w:numPr>
        <w:rPr>
          <w:rFonts w:eastAsiaTheme="minorEastAsia" w:cstheme="minorBidi"/>
          <w:sz w:val="22"/>
          <w:szCs w:val="22"/>
          <w:rtl/>
        </w:rPr>
      </w:pPr>
      <w:bookmarkStart w:id="4822" w:name="_Ref14428134"/>
      <w:r w:rsidRPr="0050146A">
        <w:rPr>
          <w:rtl/>
        </w:rPr>
        <w:t>הצד הא' בגרעק"א דלמ"ד טע"כ דרבנן הטעם עצמו אסור מדין הטמאים ובטל ברוב</w:t>
      </w:r>
      <w:bookmarkEnd w:id="4822"/>
    </w:p>
    <w:p w:rsidR="00F7606D" w:rsidRPr="0050146A" w:rsidRDefault="00F7606D" w:rsidP="00F7606D">
      <w:pPr>
        <w:pStyle w:val="aff2"/>
        <w:numPr>
          <w:ilvl w:val="0"/>
          <w:numId w:val="3"/>
        </w:numPr>
        <w:rPr>
          <w:rFonts w:eastAsiaTheme="minorEastAsia" w:cstheme="minorBidi"/>
          <w:sz w:val="22"/>
          <w:szCs w:val="22"/>
          <w:rtl/>
        </w:rPr>
      </w:pPr>
      <w:r w:rsidRPr="0050146A">
        <w:rPr>
          <w:rtl/>
        </w:rPr>
        <w:t>הצד הב' בגרעק"א דאסרה תורה ציר של איסור רק בעין ואף כשיש פחות מרוב כנגד הטעם מותר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חקירת החמד"ש אי מדאו' צריך רוב כנגד הטעם או דאינו כלום דאינו ממשו של האיסור</w:t>
      </w:r>
    </w:p>
    <w:p w:rsidR="00F7606D" w:rsidRPr="0050146A" w:rsidRDefault="00F7606D" w:rsidP="00F7606D">
      <w:pPr>
        <w:pStyle w:val="aff4"/>
        <w:rPr>
          <w:rFonts w:eastAsiaTheme="minorEastAsia" w:cstheme="minorBidi"/>
          <w:i/>
          <w:iCs/>
          <w:noProof/>
          <w:sz w:val="22"/>
          <w:szCs w:val="22"/>
          <w:rtl/>
        </w:rPr>
      </w:pPr>
      <w:r w:rsidRPr="0050146A">
        <w:rPr>
          <w:noProof/>
          <w:rtl/>
        </w:rPr>
        <w:t>בדברי רש"י דמדאו' בטל ברוב</w:t>
      </w:r>
    </w:p>
    <w:p w:rsidR="00F7606D" w:rsidRPr="0050146A" w:rsidRDefault="00F7606D" w:rsidP="00F7606D">
      <w:pPr>
        <w:pStyle w:val="aff2"/>
        <w:numPr>
          <w:ilvl w:val="0"/>
          <w:numId w:val="3"/>
        </w:numPr>
        <w:rPr>
          <w:rFonts w:eastAsiaTheme="minorEastAsia" w:cstheme="minorBidi"/>
          <w:sz w:val="22"/>
          <w:szCs w:val="22"/>
        </w:rPr>
      </w:pPr>
      <w:r w:rsidRPr="0050146A">
        <w:rPr>
          <w:rtl/>
        </w:rPr>
        <w:t>דברי רש"י דלרבא וריו"ח טעם כעיקר דרבנן ומדאו' מהני ביטול ברוב ולחומרא צריך שישים</w:t>
      </w:r>
    </w:p>
    <w:p w:rsidR="00F7606D" w:rsidRPr="0050146A" w:rsidRDefault="00F7606D" w:rsidP="00F7606D">
      <w:pPr>
        <w:pStyle w:val="aff4"/>
        <w:rPr>
          <w:rFonts w:eastAsiaTheme="minorEastAsia" w:cstheme="minorBidi"/>
          <w:i/>
          <w:iCs/>
          <w:noProof/>
          <w:sz w:val="22"/>
          <w:szCs w:val="22"/>
          <w:rtl/>
        </w:rPr>
      </w:pPr>
      <w:r w:rsidRPr="0050146A">
        <w:rPr>
          <w:noProof/>
          <w:rtl/>
        </w:rPr>
        <w:t>ביאורי האחרונים ברש"י דמדאו' הטעם בטל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המהרי"ק ברש"י דלרבא דטע"כ דרבנן א"כ מדאו' אף בטעם יש ביטול ברוב דשישים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הפרמ"ג דלרש"י מדאו' הטעם מותר ברוב והטמאים אוסר בעין וטע"כ אוסר בתערובת</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החוו"ד דלרש"י מדאו' הטעם עצמו אסור מדאו' מילפותא דהטמאים ומהני בו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הוכחת החוו"ד מהא דרש"י פסק כר"י דמין במינו לא בטל ואי הטעם מותר מדאו' אין איסור משהו</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החוו"ד דאיסור מין במינו הוא רק בבישול ומוכח דמדאו' יש איסור בטעם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החוו"ד ברש"י דגוף הטעם אסור מדאו' אף למ"ד דטע"כ דרבנן ולכן כתב רש"י דיש בו ביטול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הנחל"ד ברש"י דבילפותא דזרוע בשלה לחומרא מוכח דמדאו' מהני ביטול ברוב בטעם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הנחל"ד ברש"י דהטעם אסור מדין הטמאים ובטעמו וממשו חשיב שהאיסור ניכר ולא בטל</w:t>
      </w:r>
    </w:p>
    <w:p w:rsidR="00F7606D" w:rsidRPr="0050146A" w:rsidRDefault="00F7606D" w:rsidP="00F7606D">
      <w:pPr>
        <w:pStyle w:val="aff4"/>
        <w:rPr>
          <w:rFonts w:eastAsiaTheme="minorEastAsia" w:cstheme="minorBidi"/>
          <w:i/>
          <w:iCs/>
          <w:noProof/>
          <w:sz w:val="22"/>
          <w:szCs w:val="22"/>
          <w:rtl/>
        </w:rPr>
      </w:pPr>
      <w:r w:rsidRPr="0050146A">
        <w:rPr>
          <w:noProof/>
          <w:rtl/>
        </w:rPr>
        <w:t>דברי הראשונים דמדאו' הטעם בטל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ר"ת בספר הישר דבגמ' משמע דלמ"ד טעם כעיקר דרבנן מדאו' מהני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הרשב"א דלמ"ד דטע"כ דרבנן מדאו' הטעם בטל ברוב דאין בו ממשות וצריך שישים מדרבנן</w:t>
      </w:r>
    </w:p>
    <w:p w:rsidR="00F7606D" w:rsidRPr="0050146A" w:rsidRDefault="00F7606D" w:rsidP="00F7606D">
      <w:pPr>
        <w:pStyle w:val="aff4"/>
        <w:rPr>
          <w:rFonts w:eastAsiaTheme="minorEastAsia" w:cstheme="minorBidi"/>
          <w:i/>
          <w:iCs/>
          <w:noProof/>
          <w:sz w:val="22"/>
          <w:szCs w:val="22"/>
          <w:rtl/>
        </w:rPr>
      </w:pPr>
      <w:r w:rsidRPr="0050146A">
        <w:rPr>
          <w:noProof/>
          <w:rtl/>
        </w:rPr>
        <w:t>הוכחת הגרעק"א מהראשונים דמדאו' בטעם צריך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בדעת רש"י דטע"כ דרבנן ומדאו' בטעם צריך ביטול ברוב כמו ביבש ביבש</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דברשב"א מבואר דכשאין רוב כנגד בליעת האיסור אסור מדאו' למ"ד טע"כ דרבנן</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דכשיש פחות מרוב בהיתר חשיב שהאיסור נמצא בעין ואסור מילפותא דהטמאים</w:t>
      </w:r>
    </w:p>
    <w:p w:rsidR="00F7606D" w:rsidRPr="0050146A" w:rsidRDefault="00F7606D" w:rsidP="00F7606D">
      <w:pPr>
        <w:pStyle w:val="aff4"/>
        <w:rPr>
          <w:rFonts w:eastAsiaTheme="minorEastAsia" w:cstheme="minorBidi"/>
          <w:i/>
          <w:iCs/>
          <w:noProof/>
          <w:sz w:val="22"/>
          <w:szCs w:val="22"/>
          <w:rtl/>
        </w:rPr>
      </w:pPr>
      <w:r w:rsidRPr="0050146A">
        <w:rPr>
          <w:noProof/>
          <w:rtl/>
        </w:rPr>
        <w:t>הוכחת הגרעק"א מהראשונים דמדאו' א"צ בטעם ביטול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דלתוס' א"צ בטעם רוב מדכתבו התוס' דבזרוע בשלה מותר אף כשאין רוב בהיתר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הר"ן דנחלקו אביי ורבא בדעת ר"י אי התירה תורה בזרוע בשלה אף כשנימוח גוף האיסור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דמבואר בר"ן דלולי דין טעם כעיקר אין כל איסור בטעם אף לדעת ר"י</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והחמד"ש דמבואר בר"ן דמדאו' א"צ רוב לבטל את הטעם דלא אסרתו תורה</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הרשב"א דלמ"ד טע"כ דאו' בבליעת קדירה מדאו' צריך שיעור של יותר מאחד מהאיסור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החמד"ש דמבואר ברשב"א דרק למ"ד טע"כ דאו' צריך רוב אבל למ"ד דרבנן אין איסור בטעם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החמד"ש דמוכח בדברי הרשב"א לעיל דכוונתו על מין במינו ולא על דין טעם כעיקר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החמד"ש דכוונת הרשב"א דלמ"ד טע"כ דאו' א"כ במין במינו צריך רוב כנגד הטעם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הוכחת החמד"ש מקושית הרשב"א דלר"י טע"כ דאו' דס"ל דלמ"ד טע"כ אין הטעם אסור כלל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הגרעק"א דמוכח ברשב"א דמדאו' צריך בטעם ביטול ברוב</w:t>
      </w:r>
    </w:p>
    <w:p w:rsidR="00F7606D" w:rsidRPr="0050146A" w:rsidRDefault="00F7606D" w:rsidP="00F7606D">
      <w:pPr>
        <w:pStyle w:val="2"/>
        <w:rPr>
          <w:rFonts w:eastAsiaTheme="minorEastAsia" w:cstheme="minorBidi"/>
          <w:i/>
          <w:iCs/>
          <w:noProof/>
          <w:sz w:val="22"/>
          <w:szCs w:val="22"/>
          <w:rtl/>
        </w:rPr>
      </w:pPr>
      <w:r w:rsidRPr="0050146A">
        <w:rPr>
          <w:noProof/>
          <w:rtl/>
        </w:rPr>
        <w:t>ביאורי ראשי הישיבות</w:t>
      </w:r>
    </w:p>
    <w:p w:rsidR="00F7606D" w:rsidRPr="0050146A" w:rsidRDefault="00F7606D" w:rsidP="00F7606D">
      <w:pPr>
        <w:pStyle w:val="2"/>
        <w:rPr>
          <w:rFonts w:eastAsiaTheme="minorEastAsia" w:cstheme="minorBidi"/>
          <w:i/>
          <w:iCs/>
          <w:noProof/>
          <w:sz w:val="22"/>
          <w:szCs w:val="22"/>
          <w:rtl/>
        </w:rPr>
      </w:pPr>
      <w:r w:rsidRPr="0050146A">
        <w:rPr>
          <w:noProof/>
          <w:rtl/>
        </w:rPr>
        <w:t>בגדר האיסור בטעם כעיקר</w:t>
      </w:r>
    </w:p>
    <w:p w:rsidR="00F7606D" w:rsidRPr="0050146A" w:rsidRDefault="00F7606D" w:rsidP="00F7606D">
      <w:pPr>
        <w:pStyle w:val="aff4"/>
        <w:rPr>
          <w:rFonts w:eastAsiaTheme="minorEastAsia" w:cstheme="minorBidi"/>
          <w:i/>
          <w:iCs/>
          <w:noProof/>
          <w:sz w:val="22"/>
          <w:szCs w:val="22"/>
          <w:rtl/>
        </w:rPr>
      </w:pPr>
      <w:r w:rsidRPr="0050146A">
        <w:rPr>
          <w:noProof/>
          <w:rtl/>
        </w:rPr>
        <w:t>חקירת הגר"ח אי ע"י הטעם ל"מ ביטול או דטע"כ הוא דין איסור</w:t>
      </w:r>
    </w:p>
    <w:p w:rsidR="00F7606D" w:rsidRPr="0050146A" w:rsidRDefault="00F7606D" w:rsidP="00F7606D">
      <w:pPr>
        <w:pStyle w:val="aff2"/>
        <w:numPr>
          <w:ilvl w:val="0"/>
          <w:numId w:val="3"/>
        </w:numPr>
        <w:rPr>
          <w:rFonts w:eastAsiaTheme="minorEastAsia" w:cstheme="minorBidi"/>
          <w:sz w:val="22"/>
          <w:szCs w:val="22"/>
          <w:rtl/>
        </w:rPr>
      </w:pPr>
      <w:r w:rsidRPr="0050146A">
        <w:rPr>
          <w:rtl/>
        </w:rPr>
        <w:t>חקירת הגר"ח אי מדין טע"כ לא מהני ביטול ברוב דהאיסור ניכר או דמהני ביטול והוא איסור חדש</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הגר"ח דמדין עיסת אורז מוכח דטעם כעיקר אינו דין באיסורים דא"א לצאת יד"ח מצה בטעם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הגר"ח דמוכח מעיסת אורז דבטעם כעיקר פקע דין ביטול ויש בעיסה את עיקר החיטים</w:t>
      </w:r>
    </w:p>
    <w:p w:rsidR="00F7606D" w:rsidRPr="0050146A" w:rsidRDefault="00F7606D" w:rsidP="00F7606D">
      <w:pPr>
        <w:pStyle w:val="aff2"/>
        <w:numPr>
          <w:ilvl w:val="0"/>
          <w:numId w:val="3"/>
        </w:numPr>
        <w:rPr>
          <w:rFonts w:eastAsiaTheme="minorEastAsia" w:cstheme="minorBidi"/>
          <w:sz w:val="22"/>
          <w:szCs w:val="22"/>
          <w:rtl/>
        </w:rPr>
      </w:pPr>
      <w:r w:rsidRPr="0050146A">
        <w:rPr>
          <w:rtl/>
        </w:rPr>
        <w:t>קושית הגר"ח דמבואר בגמ' שצריך ילפותא גמורה לטע"כ ואי ל"מ ביטול ברוב סגי בגילוי מילתא</w:t>
      </w:r>
    </w:p>
    <w:p w:rsidR="00F7606D" w:rsidRPr="0050146A" w:rsidRDefault="00F7606D" w:rsidP="00F7606D">
      <w:pPr>
        <w:pStyle w:val="aff4"/>
        <w:rPr>
          <w:rFonts w:eastAsiaTheme="minorEastAsia" w:cstheme="minorBidi"/>
          <w:i/>
          <w:iCs/>
          <w:noProof/>
          <w:sz w:val="22"/>
          <w:szCs w:val="22"/>
          <w:rtl/>
        </w:rPr>
      </w:pPr>
      <w:r w:rsidRPr="0050146A">
        <w:rPr>
          <w:noProof/>
          <w:rtl/>
        </w:rPr>
        <w:t>ביאור הגר"ח דטעם כעיקר הוא חלות איסור ועי"ז ל"מ בו ביטול</w:t>
      </w:r>
    </w:p>
    <w:p w:rsidR="00F7606D" w:rsidRPr="0050146A" w:rsidRDefault="00F7606D" w:rsidP="00F7606D">
      <w:pPr>
        <w:pStyle w:val="aff2"/>
        <w:numPr>
          <w:ilvl w:val="0"/>
          <w:numId w:val="3"/>
        </w:numPr>
        <w:rPr>
          <w:rFonts w:eastAsiaTheme="minorEastAsia" w:cstheme="minorBidi"/>
          <w:sz w:val="22"/>
          <w:szCs w:val="22"/>
          <w:rtl/>
        </w:rPr>
      </w:pPr>
      <w:r w:rsidRPr="0050146A">
        <w:rPr>
          <w:rtl/>
        </w:rPr>
        <w:t>ביאור הגר"ח דיסוד טע"כ דיש בו חלות איסור כדילפינן ממשרת אך גדרו הוא דאינו מתבטל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הגר"ח דאחר שיש דין טע"כ דהטעם הוא כהעיקר ממש ממילא פקע הביטול ויצא יד"ח מצה</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הגר"ח דא"כ טע"כ אינו גילוי מילתא אלא רק ע"י שיש חלות דין טע"כ ממילא פקע הביטול</w:t>
      </w:r>
    </w:p>
    <w:p w:rsidR="00F7606D" w:rsidRPr="0050146A" w:rsidRDefault="00F7606D" w:rsidP="00F7606D">
      <w:pPr>
        <w:pStyle w:val="aff4"/>
        <w:rPr>
          <w:rFonts w:eastAsiaTheme="minorEastAsia" w:cstheme="minorBidi"/>
          <w:i/>
          <w:iCs/>
          <w:noProof/>
          <w:sz w:val="22"/>
          <w:szCs w:val="22"/>
          <w:rtl/>
        </w:rPr>
      </w:pPr>
      <w:r w:rsidRPr="0050146A">
        <w:rPr>
          <w:noProof/>
          <w:rtl/>
        </w:rPr>
        <w:t>דברי הגר"ח בגדר האיסור בטעם כעיקר אף שהתבטל ברוב</w:t>
      </w:r>
    </w:p>
    <w:p w:rsidR="00F7606D" w:rsidRPr="0050146A" w:rsidRDefault="00F7606D" w:rsidP="00F7606D">
      <w:pPr>
        <w:pStyle w:val="aff2"/>
        <w:numPr>
          <w:ilvl w:val="0"/>
          <w:numId w:val="3"/>
        </w:numPr>
        <w:rPr>
          <w:rFonts w:eastAsiaTheme="minorEastAsia" w:cstheme="minorBidi"/>
          <w:sz w:val="22"/>
          <w:szCs w:val="22"/>
          <w:rtl/>
        </w:rPr>
      </w:pPr>
      <w:r w:rsidRPr="0050146A">
        <w:rPr>
          <w:rtl/>
        </w:rPr>
        <w:t>דברי הגר"ח דבמין במינו אין ביטול כלל ובטע"כ יש חלות איסור אף שנתבטל הטעם בהיתר</w:t>
      </w:r>
    </w:p>
    <w:p w:rsidR="00F7606D" w:rsidRPr="00090E1C" w:rsidRDefault="00F7606D" w:rsidP="00F7606D">
      <w:pPr>
        <w:pStyle w:val="aff2"/>
        <w:numPr>
          <w:ilvl w:val="0"/>
          <w:numId w:val="3"/>
        </w:numPr>
        <w:rPr>
          <w:rFonts w:eastAsiaTheme="minorEastAsia" w:cstheme="minorBidi"/>
          <w:sz w:val="22"/>
          <w:szCs w:val="22"/>
        </w:rPr>
      </w:pPr>
      <w:r w:rsidRPr="0050146A">
        <w:rPr>
          <w:rtl/>
        </w:rPr>
        <w:t>דברי הגר"ח דאף דהטעם אסור מהטמאים צריך ילפותא ממשרת לדין איסור של טעם כעיק</w:t>
      </w:r>
      <w:r w:rsidRPr="0050146A">
        <w:rPr>
          <w:rFonts w:hint="cs"/>
          <w:rtl/>
        </w:rPr>
        <w:t>ר</w:t>
      </w:r>
    </w:p>
    <w:p w:rsidR="00090E1C" w:rsidRDefault="00090E1C" w:rsidP="00090E1C">
      <w:pPr>
        <w:pStyle w:val="2"/>
        <w:rPr>
          <w:rFonts w:eastAsiaTheme="minorEastAsia" w:cstheme="minorBidi"/>
          <w:i/>
          <w:iCs/>
          <w:noProof/>
          <w:sz w:val="22"/>
          <w:szCs w:val="22"/>
          <w:rtl/>
        </w:rPr>
      </w:pPr>
      <w:r>
        <w:rPr>
          <w:noProof/>
          <w:rtl/>
        </w:rPr>
        <w:t>דברי הגר"ח ברוב בטע"כ לרמב"ם ולראב"ד</w:t>
      </w:r>
    </w:p>
    <w:p w:rsidR="00090E1C" w:rsidRDefault="00090E1C" w:rsidP="00090E1C">
      <w:pPr>
        <w:pStyle w:val="aff4"/>
        <w:rPr>
          <w:rFonts w:eastAsiaTheme="minorEastAsia" w:cstheme="minorBidi"/>
          <w:i/>
          <w:iCs/>
          <w:noProof/>
          <w:sz w:val="22"/>
          <w:szCs w:val="22"/>
          <w:rtl/>
        </w:rPr>
      </w:pPr>
      <w:r>
        <w:rPr>
          <w:noProof/>
          <w:rtl/>
        </w:rPr>
        <w:t>ביאור הגר"ח ברמב"ם דטע"כ הוא חלות איסור בפנ"ע</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ברמב"ם דס"ל כרבינו אליהו דטע"כ דאו' בכזית בכא"פ ובפחות מכא"פ הוא דרבנן</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ברמב"ם דילפינן ממשרת דיש חלות איסור בטע"כ וממילא אינו מתבטל ברוב</w:t>
      </w:r>
    </w:p>
    <w:p w:rsidR="00090E1C" w:rsidRDefault="00090E1C" w:rsidP="00090E1C">
      <w:pPr>
        <w:pStyle w:val="aff4"/>
        <w:rPr>
          <w:rFonts w:eastAsiaTheme="minorEastAsia" w:cstheme="minorBidi"/>
          <w:i/>
          <w:iCs/>
          <w:noProof/>
          <w:sz w:val="22"/>
          <w:szCs w:val="22"/>
          <w:rtl/>
        </w:rPr>
      </w:pPr>
      <w:r>
        <w:rPr>
          <w:noProof/>
          <w:rtl/>
        </w:rPr>
        <w:t>ביאור הגר"ח בפלוגתת הרמב"ם והראב"ד בביטול ברוב בטע"כ</w:t>
      </w:r>
    </w:p>
    <w:p w:rsidR="00090E1C" w:rsidRDefault="00090E1C" w:rsidP="00090E1C">
      <w:pPr>
        <w:pStyle w:val="aff2"/>
        <w:numPr>
          <w:ilvl w:val="0"/>
          <w:numId w:val="3"/>
        </w:numPr>
        <w:rPr>
          <w:rFonts w:eastAsiaTheme="minorEastAsia" w:cstheme="minorBidi"/>
          <w:noProof/>
          <w:sz w:val="22"/>
          <w:szCs w:val="22"/>
          <w:rtl/>
        </w:rPr>
      </w:pPr>
      <w:r>
        <w:rPr>
          <w:noProof/>
          <w:rtl/>
        </w:rPr>
        <w:t>דברי הגר"ח דלהראב"ד פלוגתת ר"א ורבנן בחיוב כרת היא רק בפחות מכזית בכא"פ</w:t>
      </w:r>
    </w:p>
    <w:p w:rsidR="00090E1C" w:rsidRDefault="00090E1C" w:rsidP="00090E1C">
      <w:pPr>
        <w:pStyle w:val="aff2"/>
        <w:numPr>
          <w:ilvl w:val="0"/>
          <w:numId w:val="3"/>
        </w:numPr>
        <w:rPr>
          <w:rFonts w:eastAsiaTheme="minorEastAsia" w:cstheme="minorBidi"/>
          <w:noProof/>
          <w:sz w:val="22"/>
          <w:szCs w:val="22"/>
          <w:rtl/>
        </w:rPr>
      </w:pPr>
      <w:r>
        <w:rPr>
          <w:noProof/>
          <w:rtl/>
        </w:rPr>
        <w:t>דברי הגר"ח דהראב"ד לשיטתו דבכל האיסורים אין מלקות רק בפחות מכא"פ ורק בזה פליגי בחמץ</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ברמב"ם דמדינא הטעם בטל ברוב ורק ע"י כל מחמצת אינו בטל ולכן אינו חמץ גמור</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בראב"ד דבטעם לא מהני ביטול דהוא ניכר ואינו מדין ביטול ברוב</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בראב"ד דטעם אינו מתבטל מדינא ובפחות מכא"פ ילפינן ממשרת דהטעם אסור</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בראב"ד דביותר מכא"פ הטעם אינו אסור מדין טע"כ אלא דהאיסור לא התבטל</w:t>
      </w:r>
    </w:p>
    <w:p w:rsidR="00090E1C" w:rsidRDefault="00090E1C" w:rsidP="00090E1C">
      <w:pPr>
        <w:pStyle w:val="aff4"/>
        <w:rPr>
          <w:rFonts w:eastAsiaTheme="minorEastAsia" w:cstheme="minorBidi"/>
          <w:i/>
          <w:iCs/>
          <w:noProof/>
          <w:sz w:val="22"/>
          <w:szCs w:val="22"/>
          <w:rtl/>
        </w:rPr>
      </w:pPr>
      <w:r>
        <w:rPr>
          <w:noProof/>
          <w:rtl/>
        </w:rPr>
        <w:t>ביאור הגר"ח בפלוגתת הרמב"ם והראב"ד בביטול ברוב בכותח</w:t>
      </w:r>
    </w:p>
    <w:p w:rsidR="00090E1C" w:rsidRDefault="00090E1C" w:rsidP="00090E1C">
      <w:pPr>
        <w:pStyle w:val="aff2"/>
        <w:numPr>
          <w:ilvl w:val="0"/>
          <w:numId w:val="3"/>
        </w:numPr>
        <w:rPr>
          <w:rFonts w:eastAsiaTheme="minorEastAsia" w:cstheme="minorBidi"/>
          <w:noProof/>
          <w:sz w:val="22"/>
          <w:szCs w:val="22"/>
          <w:rtl/>
        </w:rPr>
      </w:pPr>
      <w:r>
        <w:rPr>
          <w:noProof/>
          <w:rtl/>
        </w:rPr>
        <w:t>דברי הגר"ח דלהראב"ד תערובת חמץ שיש בה כא"פ הוא חמץ גמור ואינו מדין טע"כ</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ברמב"ם דמדינא בתערובת חמץ יש ביטול ברוב ורק מדין טע"כ אסור ואין בו כרת</w:t>
      </w:r>
    </w:p>
    <w:p w:rsidR="00090E1C" w:rsidRDefault="00090E1C" w:rsidP="00090E1C">
      <w:pPr>
        <w:pStyle w:val="aff4"/>
        <w:rPr>
          <w:rFonts w:eastAsiaTheme="minorEastAsia" w:cstheme="minorBidi"/>
          <w:i/>
          <w:iCs/>
          <w:noProof/>
          <w:sz w:val="22"/>
          <w:szCs w:val="22"/>
          <w:rtl/>
        </w:rPr>
      </w:pPr>
      <w:r>
        <w:rPr>
          <w:noProof/>
          <w:rtl/>
        </w:rPr>
        <w:t>ביאור הגר"ח בפלוגתת הרמב"ם והראב"ד בביטול ברוב בנזיר</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בראב"ד בנזיר ביין פחות מכא"פ דאסור מדאו' מדין חצי שיעור</w:t>
      </w:r>
    </w:p>
    <w:p w:rsidR="00090E1C" w:rsidRDefault="00090E1C" w:rsidP="00090E1C">
      <w:pPr>
        <w:pStyle w:val="aff2"/>
        <w:numPr>
          <w:ilvl w:val="0"/>
          <w:numId w:val="3"/>
        </w:numPr>
        <w:rPr>
          <w:rFonts w:eastAsiaTheme="minorEastAsia" w:cstheme="minorBidi"/>
          <w:noProof/>
          <w:sz w:val="22"/>
          <w:szCs w:val="22"/>
          <w:rtl/>
        </w:rPr>
      </w:pPr>
      <w:r>
        <w:rPr>
          <w:noProof/>
          <w:rtl/>
        </w:rPr>
        <w:t>ביאור הגר"ח ברמב"ם דכיון שהאיסור דטע"כ הוא חידוש דאינו בטל אפש"ל דאין בו דין חצי שיעור</w:t>
      </w:r>
    </w:p>
    <w:p w:rsidR="008932A2" w:rsidRDefault="008932A2" w:rsidP="008932A2">
      <w:pPr>
        <w:pStyle w:val="2"/>
        <w:rPr>
          <w:rtl/>
        </w:rPr>
      </w:pPr>
      <w:r>
        <w:rPr>
          <w:rFonts w:hint="cs"/>
          <w:rtl/>
        </w:rPr>
        <w:t xml:space="preserve">דברי המשנת ר"א דטע"כ לא ילפי' מדיינים </w:t>
      </w:r>
    </w:p>
    <w:p w:rsidR="00090E1C" w:rsidRDefault="00090E1C" w:rsidP="00090E1C">
      <w:pPr>
        <w:pStyle w:val="aff4"/>
        <w:rPr>
          <w:rFonts w:eastAsiaTheme="minorEastAsia" w:cstheme="minorBidi"/>
          <w:i/>
          <w:iCs/>
          <w:noProof/>
          <w:sz w:val="22"/>
          <w:szCs w:val="22"/>
          <w:rtl/>
        </w:rPr>
      </w:pPr>
      <w:r>
        <w:rPr>
          <w:noProof/>
          <w:rtl/>
        </w:rPr>
        <w:t>ביאור המשנת ר"א דבטעם מהני ביטול ברוב וטע"כ הוא גזיה"כ</w:t>
      </w:r>
    </w:p>
    <w:p w:rsidR="00090E1C" w:rsidRDefault="00090E1C" w:rsidP="00090E1C">
      <w:pPr>
        <w:pStyle w:val="aff2"/>
        <w:numPr>
          <w:ilvl w:val="0"/>
          <w:numId w:val="3"/>
        </w:numPr>
        <w:rPr>
          <w:rFonts w:eastAsiaTheme="minorEastAsia" w:cstheme="minorBidi"/>
          <w:noProof/>
          <w:sz w:val="22"/>
          <w:szCs w:val="22"/>
          <w:rtl/>
        </w:rPr>
      </w:pPr>
      <w:r>
        <w:rPr>
          <w:noProof/>
          <w:rtl/>
        </w:rPr>
        <w:t>דברי המשנת ר"א דהא דאיסור ניכר לא בטיל הוא רק כשצריך לדון את דין התערובת לדין אחד</w:t>
      </w:r>
    </w:p>
    <w:p w:rsidR="00090E1C" w:rsidRDefault="00090E1C" w:rsidP="00090E1C">
      <w:pPr>
        <w:pStyle w:val="aff2"/>
        <w:numPr>
          <w:ilvl w:val="0"/>
          <w:numId w:val="3"/>
        </w:numPr>
        <w:rPr>
          <w:rFonts w:eastAsiaTheme="minorEastAsia" w:cstheme="minorBidi"/>
          <w:noProof/>
          <w:sz w:val="22"/>
          <w:szCs w:val="22"/>
          <w:rtl/>
        </w:rPr>
      </w:pPr>
      <w:r>
        <w:rPr>
          <w:noProof/>
          <w:rtl/>
        </w:rPr>
        <w:t>דברי המשנת ר"א דבטע"כ שמעורבים במציאות א</w:t>
      </w:r>
      <w:r>
        <w:rPr>
          <w:rFonts w:hint="cs"/>
          <w:rtl/>
        </w:rPr>
        <w:t>י</w:t>
      </w:r>
      <w:r>
        <w:rPr>
          <w:noProof/>
          <w:rtl/>
        </w:rPr>
        <w:t xml:space="preserve"> אינו מתבטל נאסר הרוב וע"ז נאמר ביטול ברוב</w:t>
      </w:r>
    </w:p>
    <w:p w:rsidR="00090E1C" w:rsidRDefault="00090E1C" w:rsidP="00090E1C">
      <w:pPr>
        <w:pStyle w:val="aff4"/>
        <w:rPr>
          <w:rFonts w:eastAsiaTheme="minorEastAsia" w:cstheme="minorBidi"/>
          <w:i/>
          <w:iCs/>
          <w:noProof/>
          <w:sz w:val="22"/>
          <w:szCs w:val="22"/>
          <w:rtl/>
        </w:rPr>
      </w:pPr>
      <w:r>
        <w:rPr>
          <w:noProof/>
          <w:rtl/>
        </w:rPr>
        <w:t>הוכחת המשנת ר"א דבדיינים יש ביטול ברוב במיעוט הניכר</w:t>
      </w:r>
    </w:p>
    <w:p w:rsidR="00765DCD" w:rsidRPr="00765DCD" w:rsidRDefault="00090E1C" w:rsidP="00765DCD">
      <w:pPr>
        <w:pStyle w:val="aff2"/>
        <w:numPr>
          <w:ilvl w:val="0"/>
          <w:numId w:val="3"/>
        </w:numPr>
        <w:rPr>
          <w:rFonts w:eastAsiaTheme="minorEastAsia" w:cstheme="minorBidi"/>
          <w:noProof/>
          <w:sz w:val="22"/>
          <w:szCs w:val="22"/>
        </w:rPr>
      </w:pPr>
      <w:r>
        <w:rPr>
          <w:noProof/>
          <w:rtl/>
        </w:rPr>
        <w:t>דברי המשנת ר"א דכן מוכח מביטול ברוב בדיינים דאף שהמיעוט ניכר נאמר בו ביטול ברוב</w:t>
      </w:r>
      <w:r w:rsidR="00765DCD" w:rsidRPr="00765DCD">
        <w:rPr>
          <w:noProof/>
          <w:rtl/>
        </w:rPr>
        <w:t xml:space="preserve"> </w:t>
      </w:r>
    </w:p>
    <w:p w:rsidR="00765DCD" w:rsidRDefault="00765DCD" w:rsidP="00765DCD">
      <w:pPr>
        <w:pStyle w:val="aff2"/>
        <w:numPr>
          <w:ilvl w:val="0"/>
          <w:numId w:val="3"/>
        </w:numPr>
        <w:rPr>
          <w:rFonts w:eastAsiaTheme="minorEastAsia" w:cstheme="minorBidi"/>
          <w:noProof/>
          <w:sz w:val="22"/>
          <w:szCs w:val="22"/>
          <w:rtl/>
        </w:rPr>
      </w:pPr>
      <w:r>
        <w:rPr>
          <w:noProof/>
          <w:rtl/>
        </w:rPr>
        <w:t>דברי המשנת ר"א דה"ה בטעם הניכר דאינו עומד בפנ"ע ומתבטל ע"י רוב ההיתר</w:t>
      </w:r>
    </w:p>
    <w:p w:rsidR="00090E1C" w:rsidRDefault="00765DCD" w:rsidP="00765DCD">
      <w:pPr>
        <w:pStyle w:val="aff2"/>
        <w:numPr>
          <w:ilvl w:val="0"/>
          <w:numId w:val="3"/>
        </w:numPr>
        <w:rPr>
          <w:rFonts w:eastAsiaTheme="minorEastAsia" w:cstheme="minorBidi"/>
          <w:noProof/>
          <w:sz w:val="22"/>
          <w:szCs w:val="22"/>
          <w:rtl/>
        </w:rPr>
      </w:pPr>
      <w:r>
        <w:rPr>
          <w:noProof/>
          <w:rtl/>
        </w:rPr>
        <w:t>ביאור המשנת ר"א דטע"כ הוא גזיה"כ דלא נאמר בו אחרי רבים להטות</w:t>
      </w:r>
    </w:p>
    <w:p w:rsidR="00765DCD" w:rsidRPr="00765DCD" w:rsidRDefault="008932A2" w:rsidP="00765DCD">
      <w:pPr>
        <w:pStyle w:val="aff4"/>
        <w:rPr>
          <w:rFonts w:eastAsiaTheme="minorEastAsia" w:cstheme="minorBidi"/>
          <w:noProof/>
          <w:sz w:val="22"/>
          <w:szCs w:val="22"/>
        </w:rPr>
      </w:pPr>
      <w:r>
        <w:rPr>
          <w:rFonts w:hint="cs"/>
          <w:noProof/>
          <w:rtl/>
        </w:rPr>
        <w:t>דברי הזכר יצחק ברמב"ם דטע"כ אינו בטל דההיתר ג"כ נאסר</w:t>
      </w:r>
      <w:r>
        <w:rPr>
          <w:noProof/>
          <w:rtl/>
        </w:rPr>
        <w:t xml:space="preserve"> </w:t>
      </w:r>
    </w:p>
    <w:p w:rsidR="00F67A5A" w:rsidRPr="00765DCD" w:rsidRDefault="00765DCD" w:rsidP="00A24340">
      <w:pPr>
        <w:pStyle w:val="aff2"/>
        <w:numPr>
          <w:ilvl w:val="0"/>
          <w:numId w:val="3"/>
        </w:numPr>
        <w:rPr>
          <w:rFonts w:eastAsiaTheme="minorEastAsia" w:cstheme="minorBidi"/>
          <w:noProof/>
          <w:sz w:val="22"/>
          <w:szCs w:val="22"/>
          <w:rtl/>
        </w:rPr>
      </w:pPr>
      <w:r>
        <w:rPr>
          <w:rFonts w:hint="cs"/>
          <w:rtl/>
        </w:rPr>
        <w:lastRenderedPageBreak/>
        <w:t>דברי הזכר יצחק דלהרמב"ם טעם אינו מתבטל ברוב דאף ההיתר נאסר ולא מחמת דהוא ניכר</w:t>
      </w:r>
    </w:p>
    <w:p w:rsidR="00F7606D" w:rsidRPr="0050146A" w:rsidRDefault="00F7606D" w:rsidP="00F7606D">
      <w:pPr>
        <w:pStyle w:val="aff4"/>
        <w:rPr>
          <w:rtl/>
        </w:rPr>
        <w:sectPr w:rsidR="00F7606D" w:rsidRPr="0050146A" w:rsidSect="007C6A7B">
          <w:type w:val="continuous"/>
          <w:pgSz w:w="11906" w:h="16838"/>
          <w:pgMar w:top="720" w:right="720" w:bottom="720" w:left="720" w:header="283" w:footer="283" w:gutter="0"/>
          <w:cols w:num="2" w:space="113"/>
          <w:bidi/>
          <w:rtlGutter/>
          <w:docGrid w:linePitch="299"/>
        </w:sectPr>
      </w:pPr>
      <w:r w:rsidRPr="0050146A">
        <w:rPr>
          <w:rtl/>
        </w:rPr>
        <w:fldChar w:fldCharType="end"/>
      </w:r>
    </w:p>
    <w:p w:rsidR="00F7606D" w:rsidRPr="0050146A" w:rsidRDefault="00F7606D" w:rsidP="00E669F8">
      <w:pPr>
        <w:pStyle w:val="afd"/>
        <w:rPr>
          <w:rtl/>
        </w:rPr>
      </w:pPr>
      <w:bookmarkStart w:id="4823" w:name="_Toc12305182"/>
      <w:bookmarkStart w:id="4824" w:name="_Toc12389121"/>
      <w:bookmarkStart w:id="4825" w:name="_Toc12453168"/>
      <w:bookmarkStart w:id="4826" w:name="_Toc12615930"/>
      <w:bookmarkStart w:id="4827" w:name="_Toc12791775"/>
      <w:bookmarkStart w:id="4828" w:name="_Toc12826237"/>
      <w:bookmarkStart w:id="4829" w:name="_Toc12872009"/>
      <w:bookmarkStart w:id="4830" w:name="_Toc12895277"/>
      <w:bookmarkStart w:id="4831" w:name="_Toc12896162"/>
      <w:bookmarkStart w:id="4832" w:name="_Toc12896322"/>
      <w:r w:rsidRPr="0050146A">
        <w:rPr>
          <w:rFonts w:hint="cs"/>
          <w:rtl/>
        </w:rPr>
        <w:lastRenderedPageBreak/>
        <w:t>מראי מקומות וביאורים</w:t>
      </w:r>
      <w:bookmarkEnd w:id="4823"/>
      <w:bookmarkEnd w:id="4824"/>
      <w:bookmarkEnd w:id="4825"/>
      <w:bookmarkEnd w:id="4826"/>
      <w:bookmarkEnd w:id="4827"/>
      <w:bookmarkEnd w:id="4828"/>
      <w:bookmarkEnd w:id="4829"/>
      <w:bookmarkEnd w:id="4830"/>
      <w:bookmarkEnd w:id="4831"/>
      <w:bookmarkEnd w:id="4832"/>
    </w:p>
    <w:p w:rsidR="00F7606D" w:rsidRPr="0050146A" w:rsidRDefault="00F7606D" w:rsidP="00F7606D">
      <w:pPr>
        <w:pStyle w:val="2"/>
        <w:keepNext w:val="0"/>
        <w:keepLines w:val="0"/>
        <w:bidi w:val="0"/>
        <w:rPr>
          <w:rFonts w:asciiTheme="minorHAnsi" w:hAnsiTheme="minorHAnsi"/>
          <w:bCs/>
          <w:sz w:val="18"/>
          <w:szCs w:val="28"/>
          <w:rtl/>
        </w:rPr>
        <w:sectPr w:rsidR="00F7606D" w:rsidRPr="0050146A" w:rsidSect="00EE03CB">
          <w:pgSz w:w="11906" w:h="16838"/>
          <w:pgMar w:top="720" w:right="720" w:bottom="720" w:left="720" w:header="283" w:footer="283" w:gutter="0"/>
          <w:cols w:space="720"/>
          <w:bidi/>
          <w:rtlGutter/>
          <w:docGrid w:linePitch="299"/>
        </w:sectPr>
      </w:pPr>
    </w:p>
    <w:p w:rsidR="00F7606D" w:rsidRPr="0050146A" w:rsidRDefault="00F7606D" w:rsidP="00E669F8">
      <w:pPr>
        <w:pStyle w:val="afd"/>
        <w:rPr>
          <w:rtl/>
        </w:rPr>
      </w:pPr>
      <w:bookmarkStart w:id="4833" w:name="_Toc12453169"/>
      <w:bookmarkStart w:id="4834" w:name="_Toc12615931"/>
      <w:bookmarkStart w:id="4835" w:name="_Toc12791776"/>
      <w:bookmarkStart w:id="4836" w:name="_Toc12826238"/>
      <w:bookmarkStart w:id="4837" w:name="_Toc12872010"/>
      <w:bookmarkStart w:id="4838" w:name="_Toc12895278"/>
      <w:bookmarkStart w:id="4839" w:name="_Toc12896163"/>
      <w:bookmarkStart w:id="4840" w:name="_Toc12896323"/>
      <w:r w:rsidRPr="0050146A">
        <w:rPr>
          <w:rFonts w:hint="cs"/>
          <w:rtl/>
        </w:rPr>
        <w:t>דעת רש"י דלרבא טעם כעיקר דרבנן</w:t>
      </w:r>
      <w:bookmarkEnd w:id="4833"/>
      <w:bookmarkEnd w:id="4834"/>
      <w:bookmarkEnd w:id="4835"/>
      <w:bookmarkEnd w:id="4836"/>
      <w:bookmarkEnd w:id="4837"/>
      <w:bookmarkEnd w:id="4838"/>
      <w:bookmarkEnd w:id="4839"/>
      <w:bookmarkEnd w:id="4840"/>
    </w:p>
    <w:p w:rsidR="00F7606D" w:rsidRPr="0050146A" w:rsidRDefault="00F7606D" w:rsidP="00F7606D">
      <w:pPr>
        <w:pStyle w:val="1"/>
        <w:rPr>
          <w:rtl/>
        </w:rPr>
      </w:pPr>
      <w:bookmarkStart w:id="4841" w:name="_Toc12453170"/>
      <w:bookmarkStart w:id="4842" w:name="_Toc12615932"/>
      <w:bookmarkStart w:id="4843" w:name="_Toc12791777"/>
      <w:bookmarkStart w:id="4844" w:name="_Toc12826239"/>
      <w:bookmarkStart w:id="4845" w:name="_Toc12872011"/>
      <w:bookmarkStart w:id="4846" w:name="_Toc12895279"/>
      <w:bookmarkStart w:id="4847" w:name="_Toc12896164"/>
      <w:bookmarkStart w:id="4848" w:name="_Toc12896324"/>
      <w:bookmarkStart w:id="4849" w:name="_Ref11960468"/>
      <w:r w:rsidRPr="0050146A">
        <w:rPr>
          <w:rFonts w:hint="cs"/>
          <w:rtl/>
        </w:rPr>
        <w:t>דברי רש"י דלרבא טע"כ בחולין דרבנן ולחומרא צריך שישים</w:t>
      </w:r>
      <w:bookmarkEnd w:id="4841"/>
      <w:bookmarkEnd w:id="4842"/>
      <w:bookmarkEnd w:id="4843"/>
      <w:bookmarkEnd w:id="4844"/>
      <w:bookmarkEnd w:id="4845"/>
      <w:bookmarkEnd w:id="4846"/>
      <w:bookmarkEnd w:id="4847"/>
      <w:bookmarkEnd w:id="4848"/>
    </w:p>
    <w:p w:rsidR="00F7606D" w:rsidRPr="0050146A" w:rsidRDefault="00F7606D" w:rsidP="00F7606D">
      <w:pPr>
        <w:pStyle w:val="a2"/>
      </w:pPr>
      <w:bookmarkStart w:id="4850" w:name="_Toc12453171"/>
      <w:bookmarkStart w:id="4851" w:name="_Toc12615933"/>
      <w:bookmarkStart w:id="4852" w:name="_Toc12791778"/>
      <w:bookmarkStart w:id="4853" w:name="_Toc12826240"/>
      <w:bookmarkStart w:id="4854" w:name="_Toc12872012"/>
      <w:bookmarkStart w:id="4855" w:name="_Toc12895280"/>
      <w:bookmarkStart w:id="4856" w:name="_Toc12896165"/>
      <w:bookmarkStart w:id="4857" w:name="_Toc12896325"/>
      <w:r w:rsidRPr="0050146A">
        <w:rPr>
          <w:rFonts w:hint="cs"/>
          <w:rtl/>
        </w:rPr>
        <w:t>דברי רש"י דלרבא וריו"ח טעם כעיקר דרבנן ומדאו' מהני ביטול ברוב ולחומרא צריך שישים</w:t>
      </w:r>
      <w:bookmarkEnd w:id="4850"/>
      <w:bookmarkEnd w:id="4851"/>
      <w:bookmarkEnd w:id="4852"/>
      <w:bookmarkEnd w:id="4853"/>
      <w:bookmarkEnd w:id="4854"/>
      <w:bookmarkEnd w:id="4855"/>
      <w:bookmarkEnd w:id="4856"/>
      <w:bookmarkEnd w:id="4857"/>
    </w:p>
    <w:p w:rsidR="00F7606D" w:rsidRPr="0050146A" w:rsidRDefault="00F7606D" w:rsidP="009F44AF">
      <w:pPr>
        <w:pStyle w:val="a"/>
        <w:numPr>
          <w:ilvl w:val="0"/>
          <w:numId w:val="16"/>
        </w:numPr>
        <w:rPr>
          <w:rtl/>
        </w:rPr>
      </w:pPr>
      <w:bookmarkStart w:id="4858" w:name="_Ref12390306"/>
      <w:r w:rsidRPr="0050146A">
        <w:rPr>
          <w:rFonts w:hint="cs"/>
          <w:rtl/>
        </w:rPr>
        <w:t xml:space="preserve">בתירוץ רבא דהא דתני בברייתא "זהו היתר הבא מכלל איסור" היינו כיון דטעם כעיקר בקדשים אסור, ביאר </w:t>
      </w:r>
      <w:r w:rsidRPr="0050146A">
        <w:rPr>
          <w:rStyle w:val="af8"/>
          <w:rFonts w:hint="cs"/>
          <w:rtl/>
        </w:rPr>
        <w:t>רש"י</w:t>
      </w:r>
      <w:r w:rsidRPr="0050146A">
        <w:rPr>
          <w:rFonts w:hint="cs"/>
          <w:rtl/>
        </w:rPr>
        <w:t xml:space="preserve"> </w:t>
      </w:r>
      <w:r w:rsidRPr="009F44AF">
        <w:rPr>
          <w:rStyle w:val="af6"/>
          <w:rFonts w:eastAsia="Guttman Hodes" w:hint="cs"/>
          <w:rtl/>
        </w:rPr>
        <w:t xml:space="preserve">(ד"ה לטעם כעיקר) </w:t>
      </w:r>
      <w:r w:rsidRPr="0050146A">
        <w:rPr>
          <w:rFonts w:hint="cs"/>
          <w:rtl/>
        </w:rPr>
        <w:t xml:space="preserve">דנתינת טעם בקדשים היא אוסרת כעיקר ממשו של האיסור, ולכן תני דדוקא בזרוע בשלה התירה תורה נתינת טעם, ולא בשאר קדשים, אבל לענין חולין כתב </w:t>
      </w:r>
      <w:r w:rsidRPr="0050146A">
        <w:rPr>
          <w:rStyle w:val="af8"/>
          <w:rFonts w:hint="cs"/>
          <w:rtl/>
        </w:rPr>
        <w:t>רש"י</w:t>
      </w:r>
      <w:r w:rsidRPr="0050146A">
        <w:rPr>
          <w:rFonts w:hint="cs"/>
          <w:rtl/>
        </w:rPr>
        <w:t xml:space="preserve"> דילפינן מזרוע בשלה את דין ביטול בשישים או במאה, דכיון דמדאו' הטעם בטל ברוב, מדין אחרי רבים להטות, א"כ אפשר ללמוד לחומרא מזרוע בשלה דאינו מתבטל אלא במאה ושישים, וכתב </w:t>
      </w:r>
      <w:r w:rsidRPr="0050146A">
        <w:rPr>
          <w:rStyle w:val="af8"/>
          <w:rFonts w:hint="cs"/>
          <w:rtl/>
        </w:rPr>
        <w:t>רש"י</w:t>
      </w:r>
      <w:r w:rsidRPr="0050146A">
        <w:rPr>
          <w:rFonts w:hint="cs"/>
          <w:rtl/>
        </w:rPr>
        <w:t xml:space="preserve"> דרבא ס"ל דבחולין טעם כעיקר אינו מדאו' אלא מדרבנן, וכדעת ריו"ח בע"ז </w:t>
      </w:r>
      <w:r w:rsidRPr="009F44AF">
        <w:rPr>
          <w:rStyle w:val="af6"/>
          <w:rFonts w:eastAsia="Guttman Hodes" w:hint="cs"/>
          <w:rtl/>
        </w:rPr>
        <w:t xml:space="preserve">(סז.) </w:t>
      </w:r>
      <w:r w:rsidRPr="0050146A">
        <w:rPr>
          <w:rFonts w:hint="cs"/>
          <w:rtl/>
        </w:rPr>
        <w:t xml:space="preserve">דאמר דטעמו ולא ממשו אין לוקין עליו, ועי' במה שדחו </w:t>
      </w:r>
      <w:r w:rsidRPr="0050146A">
        <w:rPr>
          <w:rStyle w:val="af8"/>
          <w:rFonts w:hint="cs"/>
          <w:rtl/>
        </w:rPr>
        <w:t>התוס'</w:t>
      </w:r>
      <w:r w:rsidRPr="0050146A">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Ref12785945 \r \h</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מא)</w:t>
      </w:r>
      <w:r w:rsidRPr="009F44AF">
        <w:rPr>
          <w:rStyle w:val="af6"/>
          <w:rFonts w:eastAsia="Guttman Hodes"/>
          <w:rtl/>
        </w:rPr>
        <w:fldChar w:fldCharType="end"/>
      </w:r>
      <w:r w:rsidRPr="009F44AF">
        <w:rPr>
          <w:rStyle w:val="af6"/>
          <w:rFonts w:eastAsia="Guttman Hodes" w:hint="cs"/>
          <w:rtl/>
        </w:rPr>
        <w:t xml:space="preserve"> </w:t>
      </w:r>
      <w:r w:rsidRPr="0050146A">
        <w:rPr>
          <w:rFonts w:hint="cs"/>
          <w:rtl/>
        </w:rPr>
        <w:t>את ביאור רש"י בדברי ריו"ח בע"ז.</w:t>
      </w:r>
      <w:bookmarkEnd w:id="4858"/>
    </w:p>
    <w:p w:rsidR="00F7606D" w:rsidRPr="0050146A" w:rsidRDefault="00F7606D" w:rsidP="00F7606D">
      <w:pPr>
        <w:pStyle w:val="a2"/>
        <w:rPr>
          <w:rtl/>
        </w:rPr>
      </w:pPr>
      <w:bookmarkStart w:id="4859" w:name="_Toc11698081"/>
      <w:bookmarkStart w:id="4860" w:name="_Toc12205452"/>
      <w:bookmarkStart w:id="4861" w:name="_Toc12305184"/>
      <w:bookmarkStart w:id="4862" w:name="_Toc12389123"/>
      <w:bookmarkStart w:id="4863" w:name="_Toc12453172"/>
      <w:bookmarkStart w:id="4864" w:name="_Toc12615934"/>
      <w:bookmarkStart w:id="4865" w:name="_Toc12791779"/>
      <w:bookmarkStart w:id="4866" w:name="_Toc12826241"/>
      <w:bookmarkStart w:id="4867" w:name="_Toc12872013"/>
      <w:bookmarkStart w:id="4868" w:name="_Toc12895281"/>
      <w:bookmarkStart w:id="4869" w:name="_Toc12896166"/>
      <w:bookmarkStart w:id="4870" w:name="_Toc12896326"/>
      <w:bookmarkEnd w:id="4849"/>
      <w:r w:rsidRPr="0050146A">
        <w:rPr>
          <w:rFonts w:hint="cs"/>
          <w:rtl/>
        </w:rPr>
        <w:t>דברי רש"י דלרבא הילפותא ממשרת לטעם כעיקר היא אסמכתא וכן לא ילפינן מגיעולי עכו"ם</w:t>
      </w:r>
      <w:bookmarkEnd w:id="4859"/>
      <w:bookmarkEnd w:id="4860"/>
      <w:bookmarkEnd w:id="4861"/>
      <w:bookmarkEnd w:id="4862"/>
      <w:bookmarkEnd w:id="4863"/>
      <w:bookmarkEnd w:id="4864"/>
      <w:bookmarkEnd w:id="4865"/>
      <w:bookmarkEnd w:id="4866"/>
      <w:bookmarkEnd w:id="4867"/>
      <w:bookmarkEnd w:id="4868"/>
      <w:bookmarkEnd w:id="4869"/>
      <w:bookmarkEnd w:id="4870"/>
    </w:p>
    <w:p w:rsidR="00F7606D" w:rsidRPr="0050146A" w:rsidRDefault="00F7606D" w:rsidP="009F44AF">
      <w:pPr>
        <w:pStyle w:val="a"/>
        <w:rPr>
          <w:rtl/>
        </w:rPr>
      </w:pPr>
      <w:bookmarkStart w:id="4871" w:name="_Ref12438506"/>
      <w:r w:rsidRPr="0050146A">
        <w:rPr>
          <w:rFonts w:hint="cs"/>
          <w:rtl/>
        </w:rPr>
        <w:t xml:space="preserve">והוסיף </w:t>
      </w:r>
      <w:r w:rsidRPr="0050146A">
        <w:rPr>
          <w:rStyle w:val="af8"/>
          <w:rFonts w:hint="cs"/>
          <w:rtl/>
        </w:rPr>
        <w:t>רש"י</w:t>
      </w:r>
      <w:r w:rsidRPr="0050146A">
        <w:rPr>
          <w:rFonts w:hint="cs"/>
          <w:rtl/>
        </w:rPr>
        <w:t xml:space="preserve"> דהא דילפינן בגמ' בפסחים </w:t>
      </w:r>
      <w:r w:rsidRPr="0050146A">
        <w:rPr>
          <w:rStyle w:val="af6"/>
          <w:rFonts w:eastAsia="Guttman Hodes" w:hint="cs"/>
          <w:rtl/>
        </w:rPr>
        <w:t xml:space="preserve">(מד.) </w:t>
      </w:r>
      <w:r w:rsidRPr="0050146A">
        <w:rPr>
          <w:rFonts w:hint="cs"/>
          <w:rtl/>
        </w:rPr>
        <w:t xml:space="preserve">ובנזיר </w:t>
      </w:r>
      <w:r w:rsidRPr="0050146A">
        <w:rPr>
          <w:rStyle w:val="af6"/>
          <w:rFonts w:eastAsia="Guttman Hodes" w:hint="cs"/>
          <w:rtl/>
        </w:rPr>
        <w:t xml:space="preserve">(לז.) </w:t>
      </w:r>
      <w:r w:rsidRPr="0050146A">
        <w:rPr>
          <w:rFonts w:hint="cs"/>
          <w:rtl/>
        </w:rPr>
        <w:t xml:space="preserve">ממשרת דטעם כעיקר, ס"ל לרבא ולריו"ח דהם בתראי דהוא אסמכתא בעלמא, ולא ילפינן מיניה, </w:t>
      </w:r>
      <w:r w:rsidRPr="0050146A">
        <w:rPr>
          <w:rStyle w:val="afa"/>
          <w:rFonts w:hint="cs"/>
          <w:rtl/>
        </w:rPr>
        <w:t xml:space="preserve">[וביאר </w:t>
      </w:r>
      <w:r w:rsidRPr="0050146A">
        <w:rPr>
          <w:rStyle w:val="affa"/>
          <w:rFonts w:hint="cs"/>
          <w:rtl/>
        </w:rPr>
        <w:t>המנחת כהן</w:t>
      </w:r>
      <w:r w:rsidRPr="0050146A">
        <w:rPr>
          <w:rStyle w:val="afa"/>
          <w:rFonts w:hint="cs"/>
          <w:rtl/>
        </w:rPr>
        <w:t xml:space="preserve"> </w:t>
      </w:r>
      <w:r w:rsidRPr="0050146A">
        <w:rPr>
          <w:rStyle w:val="aff6"/>
          <w:rFonts w:hint="cs"/>
          <w:rtl/>
        </w:rPr>
        <w:t>(ס' התערובות ח"א פ"ה)</w:t>
      </w:r>
      <w:r w:rsidRPr="0050146A">
        <w:rPr>
          <w:rStyle w:val="afa"/>
          <w:rFonts w:hint="cs"/>
          <w:rtl/>
        </w:rPr>
        <w:t xml:space="preserve"> דכוונת </w:t>
      </w:r>
      <w:r w:rsidRPr="0050146A">
        <w:rPr>
          <w:rStyle w:val="affa"/>
          <w:rFonts w:hint="cs"/>
          <w:rtl/>
        </w:rPr>
        <w:t>רש"י</w:t>
      </w:r>
      <w:r w:rsidRPr="0050146A">
        <w:rPr>
          <w:rStyle w:val="afa"/>
          <w:rFonts w:hint="cs"/>
          <w:rtl/>
        </w:rPr>
        <w:t xml:space="preserve"> לומר דמשרת הוא דין בנזיר, ולא ילפינן לכל האיסורים שבתורה],</w:t>
      </w:r>
      <w:r w:rsidRPr="0050146A">
        <w:rPr>
          <w:rFonts w:hint="cs"/>
          <w:rtl/>
        </w:rPr>
        <w:t xml:space="preserve"> וביאר </w:t>
      </w:r>
      <w:r w:rsidRPr="0050146A">
        <w:rPr>
          <w:rStyle w:val="af8"/>
          <w:rFonts w:hint="cs"/>
          <w:rtl/>
        </w:rPr>
        <w:t>רש"י</w:t>
      </w:r>
      <w:r w:rsidRPr="0050146A">
        <w:rPr>
          <w:rFonts w:hint="cs"/>
          <w:rtl/>
        </w:rPr>
        <w:t xml:space="preserve"> דהילפותא ממשרת שנאמרה בנזיר, וכן הילפותא מגיעולי עכו"ם הם ב' כתובים הבאים כאחד ואינם מלמדים, ועוד ביאר </w:t>
      </w:r>
      <w:r w:rsidRPr="0050146A">
        <w:rPr>
          <w:rStyle w:val="af8"/>
          <w:rFonts w:hint="cs"/>
          <w:rtl/>
        </w:rPr>
        <w:t>רש"י</w:t>
      </w:r>
      <w:r w:rsidRPr="0050146A">
        <w:rPr>
          <w:rFonts w:hint="cs"/>
          <w:rtl/>
        </w:rPr>
        <w:t xml:space="preserve"> דגיעולי עכו"ם הוא חידוש ולא ילפינן מיניה, כדאיתא בגמ' בפסחים </w:t>
      </w:r>
      <w:r w:rsidRPr="0050146A">
        <w:rPr>
          <w:rStyle w:val="af6"/>
          <w:rFonts w:eastAsia="Guttman Hodes" w:hint="cs"/>
          <w:rtl/>
        </w:rPr>
        <w:t>(מד:)</w:t>
      </w:r>
      <w:r w:rsidRPr="0050146A">
        <w:rPr>
          <w:rFonts w:hint="cs"/>
          <w:rtl/>
        </w:rPr>
        <w:t xml:space="preserve">, והילפותא ממשרת היא לענין היתר מצטרף לאיסור, ולא לענין טעם כעיקר, וע"ע  בדברי </w:t>
      </w:r>
      <w:r w:rsidRPr="0050146A">
        <w:rPr>
          <w:rStyle w:val="af8"/>
          <w:rFonts w:hint="cs"/>
          <w:rtl/>
        </w:rPr>
        <w:t>רש"י בפסחים</w:t>
      </w:r>
      <w:r w:rsidRPr="0050146A">
        <w:rPr>
          <w:rFonts w:hint="cs"/>
          <w:rtl/>
        </w:rPr>
        <w:t xml:space="preserve"> </w:t>
      </w:r>
      <w:r w:rsidRPr="0050146A">
        <w:rPr>
          <w:rStyle w:val="af6"/>
          <w:rFonts w:eastAsia="Guttman Hodes" w:hint="cs"/>
          <w:rtl/>
        </w:rPr>
        <w:t>(מה. ד"ה ור"ע)</w:t>
      </w:r>
      <w:r w:rsidRPr="0050146A">
        <w:rPr>
          <w:rFonts w:hint="cs"/>
          <w:rtl/>
        </w:rPr>
        <w:t>.</w:t>
      </w:r>
      <w:bookmarkEnd w:id="4871"/>
    </w:p>
    <w:p w:rsidR="00F7606D" w:rsidRPr="0050146A" w:rsidRDefault="00F7606D" w:rsidP="00F7606D">
      <w:pPr>
        <w:pStyle w:val="a2"/>
        <w:rPr>
          <w:rtl/>
        </w:rPr>
      </w:pPr>
      <w:bookmarkStart w:id="4872" w:name="_Toc12826242"/>
      <w:bookmarkStart w:id="4873" w:name="_Toc12872014"/>
      <w:bookmarkStart w:id="4874" w:name="_Toc12895282"/>
      <w:bookmarkStart w:id="4875" w:name="_Toc12896167"/>
      <w:bookmarkStart w:id="4876" w:name="_Toc12896327"/>
      <w:bookmarkStart w:id="4877" w:name="_Toc11698082"/>
      <w:bookmarkStart w:id="4878" w:name="_Toc12205453"/>
      <w:bookmarkStart w:id="4879" w:name="_Toc12305185"/>
      <w:bookmarkStart w:id="4880" w:name="_Toc12389124"/>
      <w:r w:rsidRPr="0050146A">
        <w:rPr>
          <w:rFonts w:hint="cs"/>
          <w:rtl/>
        </w:rPr>
        <w:t>דחיית הרשב""א בשם ר"ת דגיעולי עכו"ם אינו חידוש ובין לר"ע ובין לרבנן א"א לומר דהוי ב' כתובין</w:t>
      </w:r>
      <w:bookmarkEnd w:id="4872"/>
      <w:bookmarkEnd w:id="4873"/>
      <w:bookmarkEnd w:id="4874"/>
      <w:bookmarkEnd w:id="4875"/>
      <w:bookmarkEnd w:id="4876"/>
    </w:p>
    <w:p w:rsidR="00F7606D" w:rsidRPr="0050146A" w:rsidRDefault="00F7606D" w:rsidP="009F44AF">
      <w:pPr>
        <w:pStyle w:val="a"/>
        <w:rPr>
          <w:rtl/>
        </w:rPr>
      </w:pPr>
      <w:bookmarkStart w:id="4881" w:name="_Toc12791780"/>
      <w:bookmarkEnd w:id="4877"/>
      <w:bookmarkEnd w:id="4878"/>
      <w:bookmarkEnd w:id="4879"/>
      <w:bookmarkEnd w:id="4880"/>
      <w:r w:rsidRPr="0050146A">
        <w:rPr>
          <w:rFonts w:hint="cs"/>
          <w:rtl/>
        </w:rPr>
        <w:t xml:space="preserve">ודחה </w:t>
      </w:r>
      <w:r w:rsidRPr="0050146A">
        <w:rPr>
          <w:rStyle w:val="af8"/>
          <w:rFonts w:hint="cs"/>
          <w:rtl/>
        </w:rPr>
        <w:t>הרשב"א בחי'</w:t>
      </w:r>
      <w:r w:rsidRPr="0050146A">
        <w:rPr>
          <w:rFonts w:hint="cs"/>
          <w:rtl/>
        </w:rPr>
        <w:t xml:space="preserve"> </w:t>
      </w:r>
      <w:r w:rsidRPr="0050146A">
        <w:rPr>
          <w:rStyle w:val="af6"/>
          <w:rFonts w:eastAsia="Guttman Hodes" w:hint="cs"/>
          <w:rtl/>
        </w:rPr>
        <w:t>(ד"ה ואין נראה)</w:t>
      </w:r>
      <w:r w:rsidRPr="0050146A">
        <w:rPr>
          <w:rFonts w:hint="cs"/>
          <w:rtl/>
        </w:rPr>
        <w:t xml:space="preserve"> בשם </w:t>
      </w:r>
      <w:r w:rsidRPr="0050146A">
        <w:rPr>
          <w:rStyle w:val="af8"/>
          <w:rFonts w:hint="cs"/>
          <w:rtl/>
        </w:rPr>
        <w:t>ר"ת</w:t>
      </w:r>
      <w:r w:rsidRPr="0050146A">
        <w:rPr>
          <w:rFonts w:hint="cs"/>
          <w:rtl/>
        </w:rPr>
        <w:t xml:space="preserve"> דהילפותא ממשרת וגיעולי עכו"ם היא ילפותא גמורה, דהילפותא מגיעולי עכו"ם אינה חידוש, כדמוכח מדברי ר"ע דיליף מגיעולי עכו"ם ואמר שאינו חידוש, דהאיסור של התורה הוא רק בקדירה בת יומא דאינה פוגמת, ואף דאמרו רבנן לר"ע דאף קדירה בת יומא לא יתכן שאינה פוגמת קצת, מ"מ ס"ל לר"ע דאינו חידוש, והוסיף </w:t>
      </w:r>
      <w:r w:rsidRPr="0050146A">
        <w:rPr>
          <w:rStyle w:val="af8"/>
          <w:rFonts w:hint="cs"/>
          <w:rtl/>
        </w:rPr>
        <w:t>הרשב"א</w:t>
      </w:r>
      <w:r w:rsidRPr="0050146A">
        <w:rPr>
          <w:rFonts w:hint="cs"/>
          <w:rtl/>
        </w:rPr>
        <w:t xml:space="preserve"> דא"א לומר דמשרת וגיעולי עכו"ם הם ב' כתובים הבאים כאחד, דהא לדעת רבנן דגיעולי עכו"ם הוא חידוש, א"כ יש רק את הפסוק ממשרת לטעם כעיקר, ולדעת ר"ע ממשרת ילפינן דהיתר מצטרף לאיסור, וא"כ יש רק את הפסוק דגיעולי עכו"ם לטעם כעיקר, דלר"ע אינו חידוש.</w:t>
      </w:r>
    </w:p>
    <w:p w:rsidR="00F7606D" w:rsidRPr="0050146A" w:rsidRDefault="00F7606D" w:rsidP="00F7606D">
      <w:pPr>
        <w:pStyle w:val="a2"/>
      </w:pPr>
      <w:bookmarkStart w:id="4882" w:name="_Toc12826243"/>
      <w:bookmarkStart w:id="4883" w:name="_Toc12872015"/>
      <w:bookmarkStart w:id="4884" w:name="_Toc12895283"/>
      <w:bookmarkStart w:id="4885" w:name="_Toc12896168"/>
      <w:bookmarkStart w:id="4886" w:name="_Toc12896328"/>
      <w:r w:rsidRPr="0050146A">
        <w:rPr>
          <w:rFonts w:hint="cs"/>
          <w:rtl/>
        </w:rPr>
        <w:t>דחיית התוס' והרשב"א בשם ר"ת דמדברי ר"ע מוכח דמשרת אינו אסמכתא וה"ה לרבנן</w:t>
      </w:r>
      <w:bookmarkEnd w:id="4882"/>
      <w:bookmarkEnd w:id="4883"/>
      <w:bookmarkEnd w:id="4884"/>
      <w:bookmarkEnd w:id="4885"/>
      <w:bookmarkEnd w:id="4886"/>
    </w:p>
    <w:p w:rsidR="00F7606D" w:rsidRPr="0050146A" w:rsidRDefault="00F7606D" w:rsidP="009F44AF">
      <w:pPr>
        <w:pStyle w:val="a"/>
        <w:rPr>
          <w:rtl/>
        </w:rPr>
      </w:pPr>
      <w:r w:rsidRPr="0050146A">
        <w:rPr>
          <w:rFonts w:hint="cs"/>
          <w:rtl/>
        </w:rPr>
        <w:t xml:space="preserve">ובמ"ש </w:t>
      </w:r>
      <w:r w:rsidRPr="0050146A">
        <w:rPr>
          <w:rStyle w:val="af8"/>
          <w:rFonts w:hint="cs"/>
          <w:rtl/>
        </w:rPr>
        <w:t>רש"י</w:t>
      </w:r>
      <w:r w:rsidRPr="0050146A">
        <w:rPr>
          <w:rFonts w:hint="cs"/>
          <w:rtl/>
        </w:rPr>
        <w:t xml:space="preserve"> דהילפותות הם אסמכתא, דחו </w:t>
      </w:r>
      <w:r w:rsidRPr="0050146A">
        <w:rPr>
          <w:rStyle w:val="af8"/>
          <w:rFonts w:hint="cs"/>
          <w:rtl/>
        </w:rPr>
        <w:t>התוס'</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Ref12809389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50146A">
        <w:rPr>
          <w:rStyle w:val="af6"/>
          <w:rFonts w:eastAsia="Guttman Hodes"/>
          <w:rtl/>
        </w:rPr>
        <w:fldChar w:fldCharType="end"/>
      </w:r>
      <w:r w:rsidRPr="0050146A">
        <w:rPr>
          <w:rtl/>
        </w:rPr>
        <w:t xml:space="preserve"> </w:t>
      </w:r>
      <w:r w:rsidRPr="0050146A">
        <w:rPr>
          <w:rFonts w:hint="cs"/>
          <w:rtl/>
        </w:rPr>
        <w:t xml:space="preserve"> </w:t>
      </w:r>
      <w:r w:rsidRPr="0050146A">
        <w:rPr>
          <w:rStyle w:val="af8"/>
          <w:rFonts w:hint="cs"/>
          <w:rtl/>
        </w:rPr>
        <w:t>הרשב"א</w:t>
      </w:r>
      <w:r w:rsidRPr="0050146A">
        <w:rPr>
          <w:rFonts w:hint="cs"/>
          <w:rtl/>
        </w:rPr>
        <w:t xml:space="preserve"> בשם </w:t>
      </w:r>
      <w:r w:rsidRPr="0050146A">
        <w:rPr>
          <w:rStyle w:val="af8"/>
          <w:rFonts w:hint="cs"/>
          <w:rtl/>
        </w:rPr>
        <w:t>ר"ת</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Ref12809360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דכיון דר"ע יליף ממשרת דהיתר מצטרף לאיסור, אף לענין מלקות מדאו', א"כ אף לרבנן הוא ילפותא דאו' לטעם כעיקר. </w:t>
      </w:r>
    </w:p>
    <w:p w:rsidR="00F7606D" w:rsidRPr="0050146A" w:rsidRDefault="00F7606D" w:rsidP="00E669F8">
      <w:pPr>
        <w:pStyle w:val="afd"/>
        <w:rPr>
          <w:rtl/>
        </w:rPr>
      </w:pPr>
      <w:bookmarkStart w:id="4887" w:name="_Toc12826244"/>
      <w:bookmarkStart w:id="4888" w:name="_Toc12872016"/>
      <w:bookmarkStart w:id="4889" w:name="_Toc12895284"/>
      <w:bookmarkStart w:id="4890" w:name="_Toc12896169"/>
      <w:bookmarkStart w:id="4891" w:name="_Toc12896329"/>
      <w:r w:rsidRPr="0050146A">
        <w:rPr>
          <w:rFonts w:hint="cs"/>
          <w:rtl/>
        </w:rPr>
        <w:t>בגדר איסור טעם מדאו' בעין ובתערובת</w:t>
      </w:r>
      <w:bookmarkEnd w:id="4881"/>
      <w:bookmarkEnd w:id="4887"/>
      <w:bookmarkEnd w:id="4888"/>
      <w:bookmarkEnd w:id="4889"/>
      <w:bookmarkEnd w:id="4890"/>
      <w:bookmarkEnd w:id="4891"/>
    </w:p>
    <w:p w:rsidR="00F7606D" w:rsidRPr="0050146A" w:rsidRDefault="00F7606D" w:rsidP="00F7606D">
      <w:pPr>
        <w:pStyle w:val="a2"/>
        <w:rPr>
          <w:rtl/>
        </w:rPr>
      </w:pPr>
      <w:bookmarkStart w:id="4892" w:name="_Toc12791781"/>
      <w:bookmarkStart w:id="4893" w:name="_Toc12826245"/>
      <w:bookmarkStart w:id="4894" w:name="_Toc12872017"/>
      <w:bookmarkStart w:id="4895" w:name="_Toc12895285"/>
      <w:bookmarkStart w:id="4896" w:name="_Toc12896170"/>
      <w:bookmarkStart w:id="4897" w:name="_Toc12896330"/>
      <w:r w:rsidRPr="0050146A">
        <w:rPr>
          <w:rFonts w:hint="cs"/>
          <w:rtl/>
        </w:rPr>
        <w:t>קושית הרשב"א והריטב"א דהטעם אסור לרבא מדאו' מילפותא דהטמאים וא"א לומר דטע"כ דרבנן</w:t>
      </w:r>
      <w:bookmarkEnd w:id="4892"/>
      <w:bookmarkEnd w:id="4893"/>
      <w:bookmarkEnd w:id="4894"/>
      <w:bookmarkEnd w:id="4895"/>
      <w:bookmarkEnd w:id="4896"/>
      <w:bookmarkEnd w:id="4897"/>
    </w:p>
    <w:p w:rsidR="00F7606D" w:rsidRPr="0050146A" w:rsidRDefault="00F7606D" w:rsidP="009F44AF">
      <w:pPr>
        <w:pStyle w:val="a"/>
        <w:rPr>
          <w:rStyle w:val="afa"/>
          <w:rtl/>
        </w:rPr>
      </w:pPr>
      <w:bookmarkStart w:id="4898" w:name="_Ref12464402"/>
      <w:r w:rsidRPr="0050146A">
        <w:rPr>
          <w:rFonts w:hint="cs"/>
          <w:rtl/>
        </w:rPr>
        <w:t xml:space="preserve">הקשו </w:t>
      </w:r>
      <w:r w:rsidRPr="0050146A">
        <w:rPr>
          <w:rStyle w:val="af8"/>
          <w:rFonts w:hint="cs"/>
          <w:rtl/>
        </w:rPr>
        <w:t xml:space="preserve">הרשב"א בחי' </w:t>
      </w:r>
      <w:r w:rsidRPr="0050146A">
        <w:rPr>
          <w:rStyle w:val="af6"/>
          <w:rFonts w:eastAsia="Guttman Hodes" w:hint="cs"/>
          <w:rtl/>
        </w:rPr>
        <w:t xml:space="preserve">(ד"ה ופרש"י) </w:t>
      </w:r>
      <w:r w:rsidRPr="0050146A">
        <w:rPr>
          <w:rStyle w:val="af8"/>
          <w:rFonts w:hint="cs"/>
          <w:rtl/>
        </w:rPr>
        <w:t xml:space="preserve">ובתוה"ב </w:t>
      </w:r>
      <w:r w:rsidRPr="0050146A">
        <w:rPr>
          <w:rStyle w:val="af6"/>
          <w:rFonts w:eastAsia="Guttman Hodes" w:hint="cs"/>
          <w:rtl/>
        </w:rPr>
        <w:t xml:space="preserve">(ב"ד ש"א י: מדה"ס) </w:t>
      </w:r>
      <w:r w:rsidRPr="0050146A">
        <w:rPr>
          <w:rStyle w:val="af8"/>
          <w:rFonts w:hint="cs"/>
          <w:rtl/>
        </w:rPr>
        <w:t xml:space="preserve">והריטב"א </w:t>
      </w:r>
      <w:r w:rsidRPr="0050146A">
        <w:rPr>
          <w:rStyle w:val="af6"/>
          <w:rFonts w:eastAsia="Guttman Hodes" w:hint="cs"/>
          <w:rtl/>
        </w:rPr>
        <w:t>(סוד"ה רבא)</w:t>
      </w:r>
      <w:r w:rsidRPr="0050146A">
        <w:rPr>
          <w:rFonts w:hint="cs"/>
          <w:rtl/>
        </w:rPr>
        <w:t xml:space="preserve"> </w:t>
      </w:r>
      <w:r w:rsidRPr="0050146A">
        <w:rPr>
          <w:rStyle w:val="af8"/>
          <w:rFonts w:hint="cs"/>
          <w:rtl/>
        </w:rPr>
        <w:t>והר"ן בחי'</w:t>
      </w:r>
      <w:r w:rsidRPr="0050146A">
        <w:rPr>
          <w:rFonts w:hint="cs"/>
          <w:rtl/>
        </w:rPr>
        <w:t xml:space="preserve"> </w:t>
      </w:r>
      <w:r w:rsidRPr="0050146A">
        <w:rPr>
          <w:rStyle w:val="af6"/>
          <w:rFonts w:eastAsia="Guttman Hodes" w:hint="cs"/>
          <w:rtl/>
        </w:rPr>
        <w:t xml:space="preserve">(סוד"ה והוי) </w:t>
      </w:r>
      <w:r w:rsidRPr="0050146A">
        <w:rPr>
          <w:rFonts w:hint="cs"/>
          <w:rtl/>
        </w:rPr>
        <w:t xml:space="preserve">על </w:t>
      </w:r>
      <w:r w:rsidRPr="0050146A">
        <w:rPr>
          <w:rStyle w:val="af8"/>
          <w:rFonts w:hint="cs"/>
          <w:rtl/>
        </w:rPr>
        <w:t>רש"י</w:t>
      </w:r>
      <w:r w:rsidRPr="0050146A">
        <w:rPr>
          <w:rFonts w:hint="cs"/>
          <w:rtl/>
        </w:rPr>
        <w:t xml:space="preserve"> </w:t>
      </w:r>
      <w:r w:rsidRPr="0050146A">
        <w:rPr>
          <w:rStyle w:val="af6"/>
          <w:rFonts w:eastAsia="Guttman Rashi" w:hint="cs"/>
          <w:rtl/>
        </w:rPr>
        <w:t xml:space="preserve">(עי' אות </w:t>
      </w:r>
      <w:r w:rsidRPr="0050146A">
        <w:rPr>
          <w:rStyle w:val="af6"/>
          <w:rFonts w:eastAsia="Guttman Rashi"/>
          <w:rtl/>
        </w:rPr>
        <w:fldChar w:fldCharType="begin"/>
      </w:r>
      <w:r w:rsidRPr="0050146A">
        <w:rPr>
          <w:rStyle w:val="af6"/>
          <w:rFonts w:eastAsia="Guttman Rashi"/>
          <w:rtl/>
        </w:rPr>
        <w:instrText xml:space="preserve"> </w:instrText>
      </w:r>
      <w:r w:rsidRPr="0050146A">
        <w:rPr>
          <w:rStyle w:val="af6"/>
          <w:rFonts w:eastAsia="Guttman Rashi" w:hint="cs"/>
        </w:rPr>
        <w:instrText>REF</w:instrText>
      </w:r>
      <w:r w:rsidRPr="0050146A">
        <w:rPr>
          <w:rStyle w:val="af6"/>
          <w:rFonts w:eastAsia="Guttman Rashi" w:hint="cs"/>
          <w:rtl/>
        </w:rPr>
        <w:instrText xml:space="preserve"> _</w:instrText>
      </w:r>
      <w:r w:rsidRPr="0050146A">
        <w:rPr>
          <w:rStyle w:val="af6"/>
          <w:rFonts w:eastAsia="Guttman Rashi" w:hint="cs"/>
        </w:rPr>
        <w:instrText>Ref12390306 \n \h</w:instrText>
      </w:r>
      <w:r w:rsidRPr="0050146A">
        <w:rPr>
          <w:rStyle w:val="af6"/>
          <w:rFonts w:eastAsia="Guttman Rashi"/>
          <w:rtl/>
        </w:rPr>
        <w:instrText xml:space="preserve"> </w:instrText>
      </w:r>
      <w:r w:rsidRPr="0050146A">
        <w:rPr>
          <w:rStyle w:val="af6"/>
          <w:rFonts w:eastAsia="Guttman Rashi"/>
          <w:rtl/>
        </w:rPr>
      </w:r>
      <w:r w:rsidRPr="0050146A">
        <w:rPr>
          <w:rStyle w:val="af6"/>
          <w:rFonts w:eastAsia="Guttman Rashi"/>
          <w:rtl/>
        </w:rPr>
        <w:fldChar w:fldCharType="separate"/>
      </w:r>
      <w:r w:rsidR="004D1C5B">
        <w:rPr>
          <w:rStyle w:val="af6"/>
          <w:rFonts w:eastAsia="Guttman Rashi"/>
          <w:cs/>
        </w:rPr>
        <w:t>‎</w:t>
      </w:r>
      <w:r w:rsidR="004D1C5B">
        <w:rPr>
          <w:rStyle w:val="af6"/>
          <w:rFonts w:eastAsia="Guttman Rashi"/>
          <w:rtl/>
        </w:rPr>
        <w:t>א)</w:t>
      </w:r>
      <w:r w:rsidRPr="0050146A">
        <w:rPr>
          <w:rStyle w:val="af6"/>
          <w:rFonts w:eastAsia="Guttman Rashi"/>
          <w:rtl/>
        </w:rPr>
        <w:fldChar w:fldCharType="end"/>
      </w:r>
      <w:r w:rsidRPr="0050146A">
        <w:rPr>
          <w:rFonts w:hint="cs"/>
          <w:rtl/>
        </w:rPr>
        <w:t xml:space="preserve"> דביאר בדעת רבא דטעם </w:t>
      </w:r>
      <w:r w:rsidRPr="0050146A">
        <w:rPr>
          <w:rFonts w:hint="cs"/>
          <w:rtl/>
        </w:rPr>
        <w:t xml:space="preserve">כעיקר דרבנן, דהאיך יתכן לומר דטעם כעיקר לאו דאו', הא רבא  לקמן </w:t>
      </w:r>
      <w:r w:rsidRPr="0050146A">
        <w:rPr>
          <w:rStyle w:val="af6"/>
          <w:rFonts w:eastAsia="Guttman Hodes" w:hint="cs"/>
          <w:rtl/>
        </w:rPr>
        <w:t>(קיב:)</w:t>
      </w:r>
      <w:r w:rsidRPr="0050146A">
        <w:rPr>
          <w:rFonts w:hint="cs"/>
          <w:rtl/>
        </w:rPr>
        <w:t xml:space="preserve"> אמר דמדכתיב "הטמאים" ילפינן לאסור את הציר והרוטב של האיסור, ומשמע דנתינת טעם אסורה מדאו', דהא הציר הוא טעם בלא העיקר, והוסיף </w:t>
      </w:r>
      <w:r w:rsidRPr="0050146A">
        <w:rPr>
          <w:rStyle w:val="af8"/>
          <w:rFonts w:hint="cs"/>
          <w:rtl/>
        </w:rPr>
        <w:t>הריטב"א</w:t>
      </w:r>
      <w:r w:rsidRPr="0050146A">
        <w:rPr>
          <w:rFonts w:hint="cs"/>
          <w:rtl/>
        </w:rPr>
        <w:t xml:space="preserve"> דא"א לומר דהאיסור בציר הוא מדרבנן, דמוכח בגמ' בבכורות </w:t>
      </w:r>
      <w:r w:rsidRPr="0050146A">
        <w:rPr>
          <w:rStyle w:val="af6"/>
          <w:rFonts w:eastAsia="Guttman Hodes" w:hint="cs"/>
          <w:rtl/>
        </w:rPr>
        <w:t xml:space="preserve">(ו:) </w:t>
      </w:r>
      <w:r w:rsidRPr="0050146A">
        <w:rPr>
          <w:rFonts w:hint="cs"/>
          <w:rtl/>
        </w:rPr>
        <w:t xml:space="preserve">דהוא דאו'. </w:t>
      </w:r>
      <w:r w:rsidRPr="0050146A">
        <w:rPr>
          <w:rStyle w:val="afa"/>
          <w:rFonts w:hint="cs"/>
          <w:rtl/>
        </w:rPr>
        <w:t xml:space="preserve">[וכתב </w:t>
      </w:r>
      <w:r w:rsidRPr="0050146A">
        <w:rPr>
          <w:rStyle w:val="affa"/>
          <w:rFonts w:hint="cs"/>
          <w:rtl/>
        </w:rPr>
        <w:t>הריטב"א</w:t>
      </w:r>
      <w:r w:rsidRPr="0050146A">
        <w:rPr>
          <w:rStyle w:val="afa"/>
          <w:rFonts w:hint="cs"/>
          <w:rtl/>
        </w:rPr>
        <w:t xml:space="preserve"> דציר של בשר טמא הוא דאו', וציר דגים טמאים הוא דרבנן, דהוא זיעה בעלמא כמבואר בגמ' לקמן </w:t>
      </w:r>
      <w:r w:rsidRPr="0050146A">
        <w:rPr>
          <w:rStyle w:val="aff6"/>
          <w:rFonts w:hint="cs"/>
          <w:rtl/>
        </w:rPr>
        <w:t>(צט:)</w:t>
      </w:r>
      <w:r w:rsidRPr="0050146A">
        <w:rPr>
          <w:rStyle w:val="afa"/>
          <w:rFonts w:hint="cs"/>
          <w:rtl/>
        </w:rPr>
        <w:t>].</w:t>
      </w:r>
      <w:bookmarkEnd w:id="4898"/>
    </w:p>
    <w:p w:rsidR="00F7606D" w:rsidRPr="0050146A" w:rsidRDefault="00F7606D" w:rsidP="00F7606D">
      <w:pPr>
        <w:pStyle w:val="a2"/>
        <w:rPr>
          <w:rtl/>
        </w:rPr>
      </w:pPr>
      <w:bookmarkStart w:id="4899" w:name="_Toc12791782"/>
      <w:bookmarkStart w:id="4900" w:name="_Toc12826246"/>
      <w:bookmarkStart w:id="4901" w:name="_Toc12872018"/>
      <w:bookmarkStart w:id="4902" w:name="_Toc12895286"/>
      <w:bookmarkStart w:id="4903" w:name="_Toc12896171"/>
      <w:bookmarkStart w:id="4904" w:name="_Toc12896331"/>
      <w:r w:rsidRPr="0050146A">
        <w:rPr>
          <w:rFonts w:hint="cs"/>
          <w:rtl/>
        </w:rPr>
        <w:t>תירוץ הרשב"א והריטב"א דאיסור הציר מדאו' רק כשהוא בעין אבל בתערובת אינו אסור מדאו'</w:t>
      </w:r>
      <w:bookmarkEnd w:id="4899"/>
      <w:bookmarkEnd w:id="4900"/>
      <w:bookmarkEnd w:id="4901"/>
      <w:bookmarkEnd w:id="4902"/>
      <w:bookmarkEnd w:id="4903"/>
      <w:bookmarkEnd w:id="4904"/>
    </w:p>
    <w:p w:rsidR="00F7606D" w:rsidRPr="0050146A" w:rsidRDefault="00F7606D" w:rsidP="009F44AF">
      <w:pPr>
        <w:pStyle w:val="a"/>
        <w:rPr>
          <w:rStyle w:val="afa"/>
          <w:rtl/>
        </w:rPr>
      </w:pPr>
      <w:bookmarkStart w:id="4905" w:name="_Ref12546600"/>
      <w:r w:rsidRPr="0050146A">
        <w:rPr>
          <w:rFonts w:hint="cs"/>
          <w:rtl/>
        </w:rPr>
        <w:t xml:space="preserve">ותירצו </w:t>
      </w:r>
      <w:r w:rsidRPr="0050146A">
        <w:rPr>
          <w:rStyle w:val="af8"/>
          <w:rFonts w:hint="cs"/>
          <w:rtl/>
        </w:rPr>
        <w:t>הרשב"א והריטב"א והר"ן</w:t>
      </w:r>
      <w:r w:rsidRPr="0050146A">
        <w:rPr>
          <w:rFonts w:hint="cs"/>
          <w:rtl/>
        </w:rPr>
        <w:t xml:space="preserve"> דבילפותא דהטמאים איירי בציר ורוטב של האיסור שעומדים בפנ"ע, והא דטעם כעיקר לאו דאו', היינו כשהוא מעורב בתערובת, וכתב </w:t>
      </w:r>
      <w:r w:rsidRPr="0050146A">
        <w:rPr>
          <w:rStyle w:val="af8"/>
          <w:rFonts w:hint="cs"/>
          <w:rtl/>
        </w:rPr>
        <w:t>הרשב"א</w:t>
      </w:r>
      <w:r w:rsidRPr="0050146A">
        <w:rPr>
          <w:rFonts w:hint="cs"/>
          <w:rtl/>
        </w:rPr>
        <w:t xml:space="preserve"> דלכן בין ר"ע ובין רבנן לא למדו </w:t>
      </w:r>
      <w:r w:rsidRPr="0050146A">
        <w:rPr>
          <w:rStyle w:val="afa"/>
          <w:rFonts w:hint="cs"/>
          <w:rtl/>
        </w:rPr>
        <w:t>[בגמ' בנזיר ובפסחים]</w:t>
      </w:r>
      <w:r w:rsidRPr="0050146A">
        <w:rPr>
          <w:rFonts w:hint="cs"/>
          <w:rtl/>
        </w:rPr>
        <w:t>, את טעם כעיקר מהילפותא מהטמאים.</w:t>
      </w:r>
      <w:bookmarkEnd w:id="4905"/>
      <w:r w:rsidRPr="0050146A">
        <w:rPr>
          <w:rFonts w:hint="cs"/>
          <w:rtl/>
        </w:rPr>
        <w:t xml:space="preserve"> </w:t>
      </w:r>
      <w:r w:rsidRPr="0050146A">
        <w:rPr>
          <w:rStyle w:val="afa"/>
          <w:rFonts w:hint="cs"/>
          <w:rtl/>
        </w:rPr>
        <w:t xml:space="preserve">[ועי' בדברי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Ref12872121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כח)</w:t>
      </w:r>
      <w:r w:rsidRPr="0050146A">
        <w:rPr>
          <w:rStyle w:val="aff6"/>
          <w:rtl/>
        </w:rPr>
        <w:fldChar w:fldCharType="end"/>
      </w:r>
      <w:r w:rsidRPr="0050146A">
        <w:rPr>
          <w:rStyle w:val="afa"/>
          <w:rFonts w:hint="cs"/>
          <w:rtl/>
        </w:rPr>
        <w:t xml:space="preserve"> בביאור הילפותא מהטמאים למ"ד טעם כעיקר דאו'].</w:t>
      </w:r>
    </w:p>
    <w:p w:rsidR="00F7606D" w:rsidRPr="0050146A" w:rsidRDefault="00F7606D" w:rsidP="00F7606D">
      <w:pPr>
        <w:pStyle w:val="a2"/>
        <w:rPr>
          <w:rtl/>
        </w:rPr>
      </w:pPr>
      <w:bookmarkStart w:id="4906" w:name="_Toc12791783"/>
      <w:bookmarkStart w:id="4907" w:name="_Toc12826247"/>
      <w:bookmarkStart w:id="4908" w:name="_Toc12872019"/>
      <w:bookmarkStart w:id="4909" w:name="_Toc12895287"/>
      <w:bookmarkStart w:id="4910" w:name="_Toc12896172"/>
      <w:bookmarkStart w:id="4911" w:name="_Toc12896332"/>
      <w:r w:rsidRPr="0050146A">
        <w:rPr>
          <w:rFonts w:hint="cs"/>
          <w:rtl/>
        </w:rPr>
        <w:t>דברי הרא"ה דבמקום שהאיסור נימוח ונתערב בהיתר מדאו' הוא בטל ברוב ואינו בכלל "הטמאים"</w:t>
      </w:r>
      <w:bookmarkEnd w:id="4906"/>
      <w:bookmarkEnd w:id="4907"/>
      <w:bookmarkEnd w:id="4908"/>
      <w:bookmarkEnd w:id="4909"/>
      <w:bookmarkEnd w:id="4910"/>
      <w:bookmarkEnd w:id="4911"/>
    </w:p>
    <w:p w:rsidR="00F7606D" w:rsidRPr="0050146A" w:rsidRDefault="00F7606D" w:rsidP="009F44AF">
      <w:pPr>
        <w:pStyle w:val="a"/>
        <w:rPr>
          <w:rStyle w:val="afa"/>
          <w:rtl/>
        </w:rPr>
      </w:pPr>
      <w:r w:rsidRPr="0050146A">
        <w:rPr>
          <w:rFonts w:hint="cs"/>
          <w:rtl/>
        </w:rPr>
        <w:t xml:space="preserve">וכ"כ </w:t>
      </w:r>
      <w:r w:rsidRPr="0050146A">
        <w:rPr>
          <w:rStyle w:val="af8"/>
          <w:rFonts w:hint="cs"/>
          <w:rtl/>
        </w:rPr>
        <w:t>הרא"ה בבד"ה</w:t>
      </w:r>
      <w:r w:rsidRPr="0050146A">
        <w:rPr>
          <w:rFonts w:hint="cs"/>
          <w:rtl/>
        </w:rPr>
        <w:t xml:space="preserve"> </w:t>
      </w:r>
      <w:r w:rsidRPr="0050146A">
        <w:rPr>
          <w:rStyle w:val="af6"/>
          <w:rFonts w:eastAsia="Guttman Hodes" w:hint="cs"/>
          <w:rtl/>
        </w:rPr>
        <w:t xml:space="preserve">(ב"ד ש"א יא. מדה"ס) </w:t>
      </w:r>
      <w:r w:rsidRPr="0050146A">
        <w:rPr>
          <w:rFonts w:hint="cs"/>
          <w:rtl/>
        </w:rPr>
        <w:t xml:space="preserve">דמדברי רבא לקמן </w:t>
      </w:r>
      <w:r w:rsidRPr="0050146A">
        <w:rPr>
          <w:rStyle w:val="af6"/>
          <w:rFonts w:eastAsia="Guttman Hodes" w:hint="cs"/>
          <w:rtl/>
        </w:rPr>
        <w:t>(קח.)</w:t>
      </w:r>
      <w:r w:rsidRPr="0050146A">
        <w:rPr>
          <w:rFonts w:hint="cs"/>
          <w:rtl/>
        </w:rPr>
        <w:t xml:space="preserve"> דאמר דלא ילפינן מבשר בחלב דטעם כעיקר דאו', מבואר דטעם כעיקר דרבנן, וביאר </w:t>
      </w:r>
      <w:r w:rsidRPr="0050146A">
        <w:rPr>
          <w:rStyle w:val="af8"/>
          <w:rFonts w:hint="cs"/>
          <w:rtl/>
        </w:rPr>
        <w:t>הרא"ה בבד"ה</w:t>
      </w:r>
      <w:r w:rsidRPr="0050146A">
        <w:rPr>
          <w:rFonts w:hint="cs"/>
          <w:rtl/>
        </w:rPr>
        <w:t xml:space="preserve"> דהיינו במקום שנמחה האיסור ואינו ניכר במראה, והאיסור התערב ברוב של ההיתר, דהאיסור עצמו בטל מדין חד בתרי בטיל, אבל במקום שהטעם עומד בפנ"ע ודאי דאסור מדאו', מילפותא דהטמאים. [</w:t>
      </w:r>
      <w:r w:rsidRPr="0050146A">
        <w:rPr>
          <w:rStyle w:val="afa"/>
          <w:rFonts w:hint="cs"/>
          <w:rtl/>
        </w:rPr>
        <w:t xml:space="preserve">ועי' במה שחקרו </w:t>
      </w:r>
      <w:r w:rsidRPr="0050146A">
        <w:rPr>
          <w:rStyle w:val="affa"/>
          <w:rFonts w:hint="cs"/>
          <w:rtl/>
        </w:rPr>
        <w:t>הגרעק"א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Ref12782154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פב)</w:t>
      </w:r>
      <w:r w:rsidRPr="0050146A">
        <w:rPr>
          <w:rStyle w:val="aff6"/>
          <w:rtl/>
        </w:rPr>
        <w:fldChar w:fldCharType="end"/>
      </w:r>
      <w:r w:rsidRPr="0050146A">
        <w:rPr>
          <w:rStyle w:val="afa"/>
          <w:rFonts w:hint="cs"/>
          <w:rtl/>
        </w:rPr>
        <w:t xml:space="preserve"> </w:t>
      </w:r>
      <w:r w:rsidRPr="0050146A">
        <w:rPr>
          <w:rStyle w:val="affa"/>
          <w:rFonts w:hint="cs"/>
          <w:rtl/>
        </w:rPr>
        <w:t>והחמד"ש</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Ref12782162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פד)</w:t>
      </w:r>
      <w:r w:rsidRPr="0050146A">
        <w:rPr>
          <w:rStyle w:val="aff6"/>
          <w:rtl/>
        </w:rPr>
        <w:fldChar w:fldCharType="end"/>
      </w:r>
      <w:r w:rsidRPr="0050146A">
        <w:rPr>
          <w:rStyle w:val="afa"/>
          <w:rFonts w:hint="cs"/>
          <w:rtl/>
        </w:rPr>
        <w:t xml:space="preserve"> אי מדאו' צריך ביטול ברוב, או שמדאו' אין איסור בטעם בתערובת, ומדברי </w:t>
      </w:r>
      <w:r w:rsidRPr="0050146A">
        <w:rPr>
          <w:rStyle w:val="affa"/>
          <w:rFonts w:hint="cs"/>
          <w:rtl/>
        </w:rPr>
        <w:t>הרא"ה</w:t>
      </w:r>
      <w:r w:rsidRPr="0050146A">
        <w:rPr>
          <w:rStyle w:val="afa"/>
          <w:rFonts w:hint="cs"/>
          <w:rtl/>
        </w:rPr>
        <w:t xml:space="preserve"> לכאו' מוכח שצריך ביטול].</w:t>
      </w:r>
    </w:p>
    <w:p w:rsidR="00F7606D" w:rsidRPr="0050146A" w:rsidRDefault="00F7606D" w:rsidP="00F7606D">
      <w:pPr>
        <w:pStyle w:val="a2"/>
      </w:pPr>
      <w:bookmarkStart w:id="4912" w:name="_Toc12791784"/>
      <w:bookmarkStart w:id="4913" w:name="_Toc12826248"/>
      <w:bookmarkStart w:id="4914" w:name="_Toc12872020"/>
      <w:bookmarkStart w:id="4915" w:name="_Toc12895288"/>
      <w:bookmarkStart w:id="4916" w:name="_Toc12896173"/>
      <w:bookmarkStart w:id="4917" w:name="_Toc12896333"/>
      <w:r w:rsidRPr="0050146A">
        <w:rPr>
          <w:rFonts w:hint="cs"/>
          <w:rtl/>
        </w:rPr>
        <w:t>דברי הריטב"א דבמקום שההיתר מועט וטעם האיסור מרובה חשיב שטעם האיסור נמצא בעין</w:t>
      </w:r>
      <w:bookmarkEnd w:id="4912"/>
      <w:bookmarkEnd w:id="4913"/>
      <w:bookmarkEnd w:id="4914"/>
      <w:bookmarkEnd w:id="4915"/>
      <w:bookmarkEnd w:id="4916"/>
      <w:bookmarkEnd w:id="4917"/>
    </w:p>
    <w:p w:rsidR="00F7606D" w:rsidRPr="0050146A" w:rsidRDefault="00F7606D" w:rsidP="009F44AF">
      <w:pPr>
        <w:pStyle w:val="a"/>
        <w:rPr>
          <w:rStyle w:val="afa"/>
          <w:rtl/>
        </w:rPr>
      </w:pPr>
      <w:bookmarkStart w:id="4918" w:name="_Ref12546610"/>
      <w:r w:rsidRPr="0050146A">
        <w:rPr>
          <w:rFonts w:hint="cs"/>
          <w:rtl/>
        </w:rPr>
        <w:t xml:space="preserve">והוסיף </w:t>
      </w:r>
      <w:r w:rsidRPr="0050146A">
        <w:rPr>
          <w:rStyle w:val="af8"/>
          <w:rFonts w:hint="cs"/>
          <w:rtl/>
        </w:rPr>
        <w:t>הריטב"א</w:t>
      </w:r>
      <w:r w:rsidRPr="0050146A">
        <w:rPr>
          <w:rFonts w:hint="cs"/>
          <w:rtl/>
        </w:rPr>
        <w:t xml:space="preserve"> דבכל מקום שיש בתערובת טעם מרובה של איסור, והיתר מועט, </w:t>
      </w:r>
      <w:r w:rsidRPr="0050146A">
        <w:rPr>
          <w:rStyle w:val="afa"/>
          <w:rFonts w:hint="cs"/>
          <w:rtl/>
        </w:rPr>
        <w:t xml:space="preserve">[דהיינו שאין רוב של חד בתרי בהיתר כנגד טעם האיסור, אלא ההיתר הוא המיעוט], </w:t>
      </w:r>
      <w:r w:rsidRPr="0050146A">
        <w:rPr>
          <w:rFonts w:hint="cs"/>
          <w:rtl/>
        </w:rPr>
        <w:t xml:space="preserve">חשיב שטעם האיסור נמצא בעין, ועי' בדברי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Ref12546644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צח)</w:t>
      </w:r>
      <w:r w:rsidRPr="0050146A">
        <w:rPr>
          <w:rStyle w:val="af6"/>
          <w:rFonts w:eastAsia="Guttman Hodes"/>
          <w:rtl/>
        </w:rPr>
        <w:fldChar w:fldCharType="end"/>
      </w:r>
      <w:r w:rsidRPr="0050146A">
        <w:rPr>
          <w:rFonts w:hint="cs"/>
          <w:rtl/>
        </w:rPr>
        <w:t>.</w:t>
      </w:r>
      <w:bookmarkEnd w:id="4918"/>
      <w:r w:rsidRPr="0050146A">
        <w:rPr>
          <w:rFonts w:hint="cs"/>
          <w:rtl/>
        </w:rPr>
        <w:t xml:space="preserve"> </w:t>
      </w:r>
      <w:r w:rsidRPr="0050146A">
        <w:rPr>
          <w:rStyle w:val="afa"/>
          <w:rFonts w:hint="cs"/>
          <w:rtl/>
        </w:rPr>
        <w:t xml:space="preserve">[וע"ע בדברי </w:t>
      </w:r>
      <w:r w:rsidRPr="0050146A">
        <w:rPr>
          <w:rStyle w:val="affa"/>
          <w:rFonts w:hint="cs"/>
          <w:rtl/>
        </w:rPr>
        <w:t>החזו"א</w:t>
      </w:r>
      <w:r w:rsidRPr="0050146A">
        <w:rPr>
          <w:rStyle w:val="afa"/>
          <w:rFonts w:hint="cs"/>
          <w:rtl/>
        </w:rPr>
        <w:t xml:space="preserve"> </w:t>
      </w:r>
      <w:r w:rsidRPr="0050146A">
        <w:rPr>
          <w:rStyle w:val="aff6"/>
          <w:rFonts w:hint="cs"/>
          <w:rtl/>
        </w:rPr>
        <w:t>(סי' ל' סוס"ק ב')</w:t>
      </w:r>
      <w:r w:rsidRPr="0050146A">
        <w:rPr>
          <w:rStyle w:val="afa"/>
          <w:rFonts w:hint="cs"/>
          <w:rtl/>
        </w:rPr>
        <w:t xml:space="preserve"> דכתב דבמקום שטעם האיסור מרובה על ההיתר ודאי דחשיב כאיסור בעין].</w:t>
      </w:r>
    </w:p>
    <w:p w:rsidR="00F7606D" w:rsidRPr="0050146A" w:rsidRDefault="00F7606D" w:rsidP="00F7606D">
      <w:pPr>
        <w:pStyle w:val="a2"/>
        <w:rPr>
          <w:rtl/>
        </w:rPr>
      </w:pPr>
      <w:bookmarkStart w:id="4919" w:name="_Toc12791785"/>
      <w:bookmarkStart w:id="4920" w:name="_Toc12826249"/>
      <w:bookmarkStart w:id="4921" w:name="_Toc12872021"/>
      <w:bookmarkStart w:id="4922" w:name="_Toc12895289"/>
      <w:bookmarkStart w:id="4923" w:name="_Toc12896174"/>
      <w:bookmarkStart w:id="4924" w:name="_Toc12896334"/>
      <w:r w:rsidRPr="0050146A">
        <w:rPr>
          <w:rFonts w:hint="cs"/>
          <w:rtl/>
        </w:rPr>
        <w:t>ביאור הרשב"א בגמ' לקמן דכיון דמדאו' הציר בעין אסור א"כ מוכח דמדרבנן אף בתערובת אסור</w:t>
      </w:r>
      <w:bookmarkEnd w:id="4919"/>
      <w:bookmarkEnd w:id="4920"/>
      <w:bookmarkEnd w:id="4921"/>
      <w:bookmarkEnd w:id="4922"/>
      <w:bookmarkEnd w:id="4923"/>
      <w:bookmarkEnd w:id="4924"/>
      <w:r w:rsidRPr="0050146A">
        <w:rPr>
          <w:rFonts w:hint="cs"/>
          <w:rtl/>
        </w:rPr>
        <w:t xml:space="preserve"> </w:t>
      </w:r>
    </w:p>
    <w:p w:rsidR="00F7606D" w:rsidRPr="0050146A" w:rsidRDefault="00F7606D" w:rsidP="009F44AF">
      <w:pPr>
        <w:pStyle w:val="a"/>
        <w:rPr>
          <w:rtl/>
        </w:rPr>
      </w:pPr>
      <w:r w:rsidRPr="0050146A">
        <w:rPr>
          <w:rFonts w:hint="cs"/>
          <w:rtl/>
        </w:rPr>
        <w:t xml:space="preserve">אך הקשה </w:t>
      </w:r>
      <w:r w:rsidRPr="0050146A">
        <w:rPr>
          <w:rStyle w:val="af8"/>
          <w:rFonts w:hint="cs"/>
          <w:rtl/>
        </w:rPr>
        <w:t>הרשב"א</w:t>
      </w:r>
      <w:r w:rsidRPr="0050146A">
        <w:rPr>
          <w:rFonts w:hint="cs"/>
          <w:rtl/>
        </w:rPr>
        <w:t xml:space="preserve"> דהא בגמ' לקמן אמר רבא את דינא דהטמאים על המעשה של רב מרי בר רחל שנמלח לו בשר שחוטה יחד בשר נבילה, וא"כ איירי בטעם בלוע, ואפ"ה אמר רבא דאסור מהילפותא מהטמאים לאסור את הציר והרוטב של האיסור, ותירץ </w:t>
      </w:r>
      <w:r w:rsidRPr="0050146A">
        <w:rPr>
          <w:rStyle w:val="af8"/>
          <w:rFonts w:hint="cs"/>
          <w:rtl/>
        </w:rPr>
        <w:t>הרשב"א</w:t>
      </w:r>
      <w:r w:rsidRPr="0050146A">
        <w:rPr>
          <w:rFonts w:hint="cs"/>
          <w:rtl/>
        </w:rPr>
        <w:t xml:space="preserve"> דאין כוונת רבא לומר דיש איסור דאו' בבשר שנמלח עם בשר הנבילה, אלא כוונת רבא לומר דכיון שהציר של הנבילה אסור מדאו', א"כ אף הציר שיוצא ע"י מליחה ג"כ אסור מדאו', דאינו זיעה בעלמא והוא נבלע בקל בהיתר כמו שומן, ולכן לכה"פ מדרבנן צריך לאסור את בשר השחוטה, אף אם המליחה הייתה בכלי מנוקב, דהוא כמו בשר שהתבשל עם נבילה, דאסור לכה"פ מדרבנן, וכתב </w:t>
      </w:r>
      <w:r w:rsidRPr="0050146A">
        <w:rPr>
          <w:rStyle w:val="af8"/>
          <w:rFonts w:hint="cs"/>
          <w:rtl/>
        </w:rPr>
        <w:t>הרשב"א</w:t>
      </w:r>
      <w:r w:rsidRPr="0050146A">
        <w:rPr>
          <w:rFonts w:hint="cs"/>
          <w:rtl/>
        </w:rPr>
        <w:t xml:space="preserve"> דכן צריך לבאר לפי דעת </w:t>
      </w:r>
      <w:r w:rsidRPr="0050146A">
        <w:rPr>
          <w:rStyle w:val="af8"/>
          <w:rFonts w:hint="cs"/>
          <w:rtl/>
        </w:rPr>
        <w:t>רש"י</w:t>
      </w:r>
      <w:r w:rsidRPr="0050146A">
        <w:rPr>
          <w:rFonts w:hint="cs"/>
          <w:rtl/>
        </w:rPr>
        <w:t>.</w:t>
      </w:r>
    </w:p>
    <w:p w:rsidR="00F7606D" w:rsidRPr="0050146A" w:rsidRDefault="00F7606D" w:rsidP="00F7606D">
      <w:pPr>
        <w:pStyle w:val="1"/>
        <w:rPr>
          <w:rtl/>
        </w:rPr>
      </w:pPr>
      <w:bookmarkStart w:id="4925" w:name="_Toc12791786"/>
      <w:bookmarkStart w:id="4926" w:name="_Toc12826250"/>
      <w:bookmarkStart w:id="4927" w:name="_Toc12872022"/>
      <w:bookmarkStart w:id="4928" w:name="_Toc12895290"/>
      <w:bookmarkStart w:id="4929" w:name="_Toc12896175"/>
      <w:bookmarkStart w:id="4930" w:name="_Toc12896335"/>
      <w:r w:rsidRPr="0050146A">
        <w:rPr>
          <w:rFonts w:hint="cs"/>
          <w:rtl/>
        </w:rPr>
        <w:t>חקירת הגרעק"א אי טעם בתערובת צריך ביטול או דאינו אסור</w:t>
      </w:r>
      <w:bookmarkEnd w:id="4925"/>
      <w:bookmarkEnd w:id="4926"/>
      <w:bookmarkEnd w:id="4927"/>
      <w:bookmarkEnd w:id="4928"/>
      <w:bookmarkEnd w:id="4929"/>
      <w:bookmarkEnd w:id="4930"/>
    </w:p>
    <w:p w:rsidR="00F7606D" w:rsidRPr="0050146A" w:rsidRDefault="00F7606D" w:rsidP="00F7606D">
      <w:pPr>
        <w:pStyle w:val="a2"/>
        <w:rPr>
          <w:rtl/>
        </w:rPr>
      </w:pPr>
      <w:bookmarkStart w:id="4931" w:name="_Toc12791787"/>
      <w:bookmarkStart w:id="4932" w:name="_Toc12826251"/>
      <w:bookmarkStart w:id="4933" w:name="_Toc12872023"/>
      <w:bookmarkStart w:id="4934" w:name="_Toc12895291"/>
      <w:bookmarkStart w:id="4935" w:name="_Toc12896176"/>
      <w:bookmarkStart w:id="4936" w:name="_Toc12896336"/>
      <w:r w:rsidRPr="0050146A">
        <w:rPr>
          <w:rFonts w:hint="cs"/>
          <w:rtl/>
        </w:rPr>
        <w:t>חקירת הגרעק"א אי טעם בתערובת אינו אסור מדאו' או דבטל איסורו ברוב ובלא רוב אסור מדאו'</w:t>
      </w:r>
      <w:bookmarkEnd w:id="4931"/>
      <w:bookmarkEnd w:id="4932"/>
      <w:bookmarkEnd w:id="4933"/>
      <w:bookmarkEnd w:id="4934"/>
      <w:bookmarkEnd w:id="4935"/>
      <w:bookmarkEnd w:id="4936"/>
    </w:p>
    <w:p w:rsidR="00F7606D" w:rsidRPr="0050146A" w:rsidRDefault="00F7606D" w:rsidP="009F44AF">
      <w:pPr>
        <w:pStyle w:val="a"/>
        <w:rPr>
          <w:rtl/>
        </w:rPr>
      </w:pPr>
      <w:r w:rsidRPr="0050146A">
        <w:rPr>
          <w:rFonts w:hint="cs"/>
          <w:rtl/>
        </w:rPr>
        <w:t xml:space="preserve">ועי' במה שחקרו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Ref12782154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50146A">
        <w:rPr>
          <w:rStyle w:val="af6"/>
          <w:rFonts w:eastAsia="Guttman Hodes"/>
          <w:rtl/>
        </w:rPr>
        <w:fldChar w:fldCharType="end"/>
      </w:r>
      <w:r w:rsidRPr="0050146A">
        <w:rPr>
          <w:rFonts w:hint="cs"/>
          <w:rtl/>
        </w:rPr>
        <w:t xml:space="preserve"> </w:t>
      </w:r>
      <w:r w:rsidRPr="0050146A">
        <w:rPr>
          <w:rStyle w:val="af8"/>
          <w:rFonts w:hint="cs"/>
          <w:rtl/>
        </w:rPr>
        <w:t>והחמד"ש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Ref12782162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sidRPr="0050146A">
        <w:rPr>
          <w:rStyle w:val="af6"/>
          <w:rFonts w:eastAsia="Guttman Hodes"/>
          <w:rtl/>
        </w:rPr>
        <w:fldChar w:fldCharType="end"/>
      </w:r>
      <w:r w:rsidRPr="0050146A">
        <w:rPr>
          <w:rFonts w:hint="cs"/>
          <w:rtl/>
        </w:rPr>
        <w:t xml:space="preserve"> ביסוד דין טעם כעיקר, למ"ד דטעם כעיקר דרבנן, אי מדאו' צריך רוב כנגד הטעם דהוא אסור מילפותא דהטמאים, או דהאיסור של הציר, הוא דוקא כשהוא בעין, אבל כשהציר מעורב בתערובת לא אסרתה תורה, דהטעם אינו כלום, דכיון שאינו אוכל את ממשו של האיסור, ומותר מדאו' אף בלא ביטול, ועי' במה שהאריכו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Ref12894831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צו)</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והחמד"ש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Ref12894850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50146A">
        <w:rPr>
          <w:rStyle w:val="af6"/>
          <w:rFonts w:eastAsia="Guttman Hodes"/>
          <w:rtl/>
        </w:rPr>
        <w:fldChar w:fldCharType="end"/>
      </w:r>
      <w:r w:rsidRPr="0050146A">
        <w:rPr>
          <w:rFonts w:hint="cs"/>
          <w:rtl/>
        </w:rPr>
        <w:t xml:space="preserve"> להביא ראיות מדברי</w:t>
      </w:r>
      <w:r w:rsidRPr="0050146A">
        <w:rPr>
          <w:rStyle w:val="af8"/>
          <w:rFonts w:hint="cs"/>
          <w:rtl/>
        </w:rPr>
        <w:t xml:space="preserve"> הראשונים</w:t>
      </w:r>
      <w:r w:rsidRPr="0050146A">
        <w:rPr>
          <w:rFonts w:hint="cs"/>
          <w:rtl/>
        </w:rPr>
        <w:t xml:space="preserve"> בזה, ובמ"ש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Ref12890807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Fonts w:hint="cs"/>
          <w:rtl/>
        </w:rPr>
        <w:t xml:space="preserve"> </w:t>
      </w:r>
      <w:r w:rsidRPr="0050146A">
        <w:rPr>
          <w:rStyle w:val="af8"/>
          <w:rFonts w:hint="cs"/>
          <w:rtl/>
        </w:rPr>
        <w:t>והחוו"ד</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Ref12894875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והנחל"ד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Ref12894881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בדברי </w:t>
      </w:r>
      <w:r w:rsidRPr="0050146A">
        <w:rPr>
          <w:rStyle w:val="af8"/>
          <w:rFonts w:hint="cs"/>
          <w:rtl/>
        </w:rPr>
        <w:t>רש"י</w:t>
      </w:r>
      <w:r w:rsidRPr="0050146A">
        <w:rPr>
          <w:rFonts w:hint="cs"/>
          <w:rtl/>
        </w:rPr>
        <w:t xml:space="preserve"> בזה, </w:t>
      </w:r>
      <w:r w:rsidRPr="0050146A">
        <w:rPr>
          <w:rFonts w:hint="cs"/>
          <w:rtl/>
        </w:rPr>
        <w:lastRenderedPageBreak/>
        <w:t xml:space="preserve">וע"ע במה שהקשה </w:t>
      </w:r>
      <w:r w:rsidRPr="0050146A">
        <w:rPr>
          <w:rStyle w:val="af8"/>
          <w:rFonts w:hint="cs"/>
          <w:rtl/>
        </w:rPr>
        <w:t>הראב"ד</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Ref12862796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למ"ד טעם כעיקר דאו', ובמ"ש </w:t>
      </w:r>
      <w:r w:rsidRPr="0050146A">
        <w:rPr>
          <w:rStyle w:val="af8"/>
          <w:rFonts w:hint="cs"/>
          <w:rtl/>
        </w:rPr>
        <w:t>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Ref12896046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50146A">
        <w:rPr>
          <w:rStyle w:val="af6"/>
          <w:rFonts w:eastAsia="Guttman Hodes"/>
          <w:rtl/>
        </w:rPr>
        <w:fldChar w:fldCharType="end"/>
      </w:r>
      <w:r w:rsidRPr="0050146A">
        <w:rPr>
          <w:rFonts w:hint="cs"/>
          <w:rtl/>
        </w:rPr>
        <w:t>.</w:t>
      </w:r>
    </w:p>
    <w:p w:rsidR="00F7606D" w:rsidRPr="0050146A" w:rsidRDefault="00F7606D" w:rsidP="00E669F8">
      <w:pPr>
        <w:pStyle w:val="afd"/>
        <w:rPr>
          <w:rtl/>
        </w:rPr>
      </w:pPr>
      <w:bookmarkStart w:id="4937" w:name="_Toc12791792"/>
      <w:bookmarkStart w:id="4938" w:name="_Toc12826256"/>
      <w:bookmarkStart w:id="4939" w:name="_Toc12872024"/>
      <w:bookmarkStart w:id="4940" w:name="_Toc12895292"/>
      <w:bookmarkStart w:id="4941" w:name="_Toc12896177"/>
      <w:bookmarkStart w:id="4942" w:name="_Toc12896337"/>
      <w:r w:rsidRPr="0050146A">
        <w:rPr>
          <w:rFonts w:hint="cs"/>
          <w:rtl/>
        </w:rPr>
        <w:t>הראיות לרש"י דלרבא טעם כעיקר דרבנן</w:t>
      </w:r>
      <w:bookmarkEnd w:id="4937"/>
      <w:bookmarkEnd w:id="4938"/>
      <w:bookmarkEnd w:id="4939"/>
      <w:bookmarkEnd w:id="4940"/>
      <w:bookmarkEnd w:id="4941"/>
      <w:bookmarkEnd w:id="4942"/>
    </w:p>
    <w:p w:rsidR="00F7606D" w:rsidRPr="0050146A" w:rsidRDefault="00F7606D" w:rsidP="00F7606D">
      <w:pPr>
        <w:pStyle w:val="1"/>
        <w:rPr>
          <w:rtl/>
        </w:rPr>
      </w:pPr>
      <w:bookmarkStart w:id="4943" w:name="_Toc12826257"/>
      <w:bookmarkStart w:id="4944" w:name="_Toc12872025"/>
      <w:bookmarkStart w:id="4945" w:name="_Toc12895293"/>
      <w:bookmarkStart w:id="4946" w:name="_Toc12896178"/>
      <w:bookmarkStart w:id="4947" w:name="_Toc12896338"/>
      <w:bookmarkStart w:id="4948" w:name="_Toc12791817"/>
      <w:bookmarkStart w:id="4949" w:name="_Toc12791793"/>
      <w:bookmarkStart w:id="4950" w:name="_Toc12453173"/>
      <w:bookmarkStart w:id="4951" w:name="_Toc12615935"/>
      <w:bookmarkStart w:id="4952" w:name="_Toc12205456"/>
      <w:bookmarkStart w:id="4953" w:name="_Toc12305188"/>
      <w:bookmarkStart w:id="4954" w:name="_Toc12389129"/>
      <w:bookmarkStart w:id="4955" w:name="_Toc12453178"/>
      <w:bookmarkStart w:id="4956" w:name="_Toc12615948"/>
      <w:r w:rsidRPr="0050146A">
        <w:rPr>
          <w:rFonts w:hint="cs"/>
          <w:rtl/>
        </w:rPr>
        <w:t>ראית ר"ת בספר הישר מזרוע בשלה דמדאו' מהני ביטול ברוב</w:t>
      </w:r>
      <w:bookmarkEnd w:id="4943"/>
      <w:bookmarkEnd w:id="4944"/>
      <w:bookmarkEnd w:id="4945"/>
      <w:bookmarkEnd w:id="4946"/>
      <w:bookmarkEnd w:id="4947"/>
    </w:p>
    <w:p w:rsidR="00F7606D" w:rsidRPr="0050146A" w:rsidRDefault="00F7606D" w:rsidP="00F7606D">
      <w:pPr>
        <w:pStyle w:val="a2"/>
      </w:pPr>
      <w:bookmarkStart w:id="4957" w:name="_Toc12826258"/>
      <w:bookmarkStart w:id="4958" w:name="_Toc12872026"/>
      <w:bookmarkStart w:id="4959" w:name="_Toc12895294"/>
      <w:bookmarkStart w:id="4960" w:name="_Toc12896179"/>
      <w:bookmarkStart w:id="4961" w:name="_Toc12896339"/>
      <w:r w:rsidRPr="0050146A">
        <w:rPr>
          <w:rFonts w:hint="cs"/>
          <w:rtl/>
        </w:rPr>
        <w:t>ראיית ר"ת בספר הישר דטע"כ דרבנן מדברי אביי בסוגיין דמדאו מהני ביטול ברוב מאביי לקמן</w:t>
      </w:r>
      <w:bookmarkEnd w:id="4948"/>
      <w:bookmarkEnd w:id="4957"/>
      <w:bookmarkEnd w:id="4958"/>
      <w:bookmarkEnd w:id="4959"/>
      <w:bookmarkEnd w:id="4960"/>
      <w:bookmarkEnd w:id="4961"/>
    </w:p>
    <w:p w:rsidR="00F7606D" w:rsidRPr="0050146A" w:rsidRDefault="00F7606D" w:rsidP="009F44AF">
      <w:pPr>
        <w:pStyle w:val="a"/>
        <w:rPr>
          <w:rtl/>
        </w:rPr>
      </w:pPr>
      <w:r w:rsidRPr="0050146A">
        <w:rPr>
          <w:rFonts w:hint="cs"/>
          <w:rtl/>
        </w:rPr>
        <w:t xml:space="preserve">כתב </w:t>
      </w:r>
      <w:r w:rsidRPr="0050146A">
        <w:rPr>
          <w:rStyle w:val="af8"/>
          <w:rFonts w:hint="cs"/>
          <w:rtl/>
        </w:rPr>
        <w:t xml:space="preserve">ר"ת בספר הישר </w:t>
      </w:r>
      <w:r w:rsidRPr="0050146A">
        <w:rPr>
          <w:rStyle w:val="af6"/>
          <w:rFonts w:eastAsia="Guttman Hodes" w:hint="cs"/>
          <w:rtl/>
        </w:rPr>
        <w:t>(חלק החי' סי' תרצ"ד, הועתק בקובץ שיטות קמאי ע"ז ח"ב עמ'</w:t>
      </w:r>
      <w:r w:rsidRPr="0050146A">
        <w:rPr>
          <w:rStyle w:val="af6"/>
          <w:rFonts w:eastAsia="Guttman Hodes"/>
          <w:rtl/>
        </w:rPr>
        <w:t xml:space="preserve"> אלף תר</w:t>
      </w:r>
      <w:r w:rsidRPr="0050146A">
        <w:rPr>
          <w:rStyle w:val="af6"/>
          <w:rFonts w:eastAsia="Guttman Hodes" w:hint="cs"/>
          <w:rtl/>
        </w:rPr>
        <w:t>"</w:t>
      </w:r>
      <w:r w:rsidRPr="0050146A">
        <w:rPr>
          <w:rStyle w:val="af6"/>
          <w:rFonts w:eastAsia="Guttman Hodes"/>
          <w:rtl/>
        </w:rPr>
        <w:t>י</w:t>
      </w:r>
      <w:r w:rsidRPr="0050146A">
        <w:rPr>
          <w:rStyle w:val="af6"/>
          <w:rFonts w:eastAsia="Guttman Hodes" w:hint="cs"/>
          <w:rtl/>
        </w:rPr>
        <w:t>)</w:t>
      </w:r>
      <w:r w:rsidRPr="0050146A">
        <w:rPr>
          <w:rFonts w:hint="cs"/>
          <w:rtl/>
        </w:rPr>
        <w:t xml:space="preserve"> דבגמ' בסוגיין משמע דטעם כעיקר דרבנן, דאמרינן דהילפותא מזרוע בשלה לשישים ומאה היא לחומרא, אבל מדאו' מהני ביטול ברוב, ועי' במה שחקרו בזה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Ref12782154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50146A">
        <w:rPr>
          <w:rStyle w:val="af6"/>
          <w:rFonts w:eastAsia="Guttman Hodes"/>
          <w:rtl/>
        </w:rPr>
        <w:fldChar w:fldCharType="end"/>
      </w:r>
      <w:r w:rsidRPr="0050146A">
        <w:rPr>
          <w:rFonts w:hint="cs"/>
          <w:rtl/>
        </w:rPr>
        <w:t xml:space="preserve"> </w:t>
      </w:r>
      <w:r w:rsidRPr="0050146A">
        <w:rPr>
          <w:rStyle w:val="af8"/>
          <w:rFonts w:hint="cs"/>
          <w:rtl/>
        </w:rPr>
        <w:t>והחמד"ש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Ref12782162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sidRPr="0050146A">
        <w:rPr>
          <w:rStyle w:val="af6"/>
          <w:rFonts w:eastAsia="Guttman Hodes"/>
          <w:rtl/>
        </w:rPr>
        <w:fldChar w:fldCharType="end"/>
      </w:r>
      <w:r w:rsidRPr="0050146A">
        <w:rPr>
          <w:rFonts w:hint="cs"/>
          <w:rtl/>
        </w:rPr>
        <w:t xml:space="preserve">, ועי' במה שהאריך </w:t>
      </w:r>
      <w:r w:rsidRPr="0050146A">
        <w:rPr>
          <w:rStyle w:val="af8"/>
          <w:rFonts w:hint="cs"/>
          <w:rtl/>
        </w:rPr>
        <w:t xml:space="preserve">ר"ת בספר הישר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Ref12809360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 xml:space="preserve"> להוכיח דטעם כעיקר דאו'.</w:t>
      </w:r>
    </w:p>
    <w:p w:rsidR="00F7606D" w:rsidRPr="0050146A" w:rsidRDefault="00F7606D" w:rsidP="00F7606D">
      <w:pPr>
        <w:pStyle w:val="1"/>
        <w:rPr>
          <w:rtl/>
        </w:rPr>
      </w:pPr>
      <w:bookmarkStart w:id="4962" w:name="_Toc12826263"/>
      <w:bookmarkStart w:id="4963" w:name="_Toc12872031"/>
      <w:bookmarkStart w:id="4964" w:name="_Toc12895295"/>
      <w:bookmarkStart w:id="4965" w:name="_Toc12896180"/>
      <w:bookmarkStart w:id="4966" w:name="_Toc12896340"/>
      <w:r w:rsidRPr="0050146A">
        <w:rPr>
          <w:rFonts w:hint="cs"/>
          <w:rtl/>
        </w:rPr>
        <w:t>ראיות הראשונים דרק בבשר וחלב ס"ל לרבא דטע"כ דאו'</w:t>
      </w:r>
      <w:bookmarkEnd w:id="4949"/>
      <w:bookmarkEnd w:id="4962"/>
      <w:bookmarkEnd w:id="4963"/>
      <w:bookmarkEnd w:id="4964"/>
      <w:bookmarkEnd w:id="4965"/>
      <w:bookmarkEnd w:id="4966"/>
    </w:p>
    <w:p w:rsidR="00F7606D" w:rsidRPr="0050146A" w:rsidRDefault="00F7606D" w:rsidP="00F7606D">
      <w:pPr>
        <w:pStyle w:val="a2"/>
        <w:rPr>
          <w:rtl/>
        </w:rPr>
      </w:pPr>
      <w:bookmarkStart w:id="4967" w:name="_Toc12791794"/>
      <w:bookmarkStart w:id="4968" w:name="_Toc12826264"/>
      <w:bookmarkStart w:id="4969" w:name="_Toc12872032"/>
      <w:bookmarkStart w:id="4970" w:name="_Toc12895296"/>
      <w:bookmarkStart w:id="4971" w:name="_Toc12896181"/>
      <w:bookmarkStart w:id="4972" w:name="_Toc12896341"/>
      <w:r w:rsidRPr="0050146A">
        <w:rPr>
          <w:rFonts w:hint="cs"/>
          <w:rtl/>
        </w:rPr>
        <w:t>דברי הרמב"ן והרשב"א דבדברי רבא לקמן מבואר כרש"י דס"ל לרבא דטעם כעיקר דרבנן</w:t>
      </w:r>
      <w:bookmarkEnd w:id="4950"/>
      <w:bookmarkEnd w:id="4951"/>
      <w:bookmarkEnd w:id="4967"/>
      <w:bookmarkEnd w:id="4968"/>
      <w:bookmarkEnd w:id="4969"/>
      <w:bookmarkEnd w:id="4970"/>
      <w:bookmarkEnd w:id="4971"/>
      <w:bookmarkEnd w:id="4972"/>
    </w:p>
    <w:p w:rsidR="00F7606D" w:rsidRPr="0050146A" w:rsidRDefault="00F7606D" w:rsidP="009F44AF">
      <w:pPr>
        <w:pStyle w:val="a"/>
        <w:rPr>
          <w:rtl/>
        </w:rPr>
      </w:pPr>
      <w:r w:rsidRPr="0050146A">
        <w:rPr>
          <w:rFonts w:hint="cs"/>
          <w:rtl/>
        </w:rPr>
        <w:t>ועוד ראיה הביאו</w:t>
      </w:r>
      <w:r w:rsidRPr="0050146A">
        <w:rPr>
          <w:rStyle w:val="af8"/>
          <w:rFonts w:hint="cs"/>
          <w:rtl/>
        </w:rPr>
        <w:t xml:space="preserve"> ר"ת בספר הישר</w:t>
      </w:r>
      <w:r w:rsidRPr="0050146A">
        <w:rPr>
          <w:rFonts w:hint="cs"/>
          <w:rtl/>
        </w:rPr>
        <w:t xml:space="preserve"> </w:t>
      </w:r>
      <w:r w:rsidRPr="0050146A">
        <w:rPr>
          <w:rStyle w:val="af6"/>
          <w:rFonts w:eastAsia="Guttman Hodes" w:hint="cs"/>
          <w:rtl/>
        </w:rPr>
        <w:t>(חלק החי' סי' תרצ"ד, הועתק בקובץ שיטות קמאי ע"ז ח"ב עמ'</w:t>
      </w:r>
      <w:r w:rsidRPr="0050146A">
        <w:rPr>
          <w:rStyle w:val="af6"/>
          <w:rFonts w:eastAsia="Guttman Hodes"/>
          <w:rtl/>
        </w:rPr>
        <w:t xml:space="preserve"> אלף תר</w:t>
      </w:r>
      <w:r w:rsidRPr="0050146A">
        <w:rPr>
          <w:rStyle w:val="af6"/>
          <w:rFonts w:eastAsia="Guttman Hodes" w:hint="cs"/>
          <w:rtl/>
        </w:rPr>
        <w:t>"</w:t>
      </w:r>
      <w:r w:rsidRPr="0050146A">
        <w:rPr>
          <w:rStyle w:val="af6"/>
          <w:rFonts w:eastAsia="Guttman Hodes"/>
          <w:rtl/>
        </w:rPr>
        <w:t>י</w:t>
      </w:r>
      <w:r w:rsidRPr="0050146A">
        <w:rPr>
          <w:rStyle w:val="af6"/>
          <w:rFonts w:eastAsia="Guttman Hodes" w:hint="cs"/>
          <w:rtl/>
        </w:rPr>
        <w:t>)</w:t>
      </w:r>
      <w:r w:rsidRPr="0050146A">
        <w:rPr>
          <w:rFonts w:hint="cs"/>
          <w:rtl/>
        </w:rPr>
        <w:t xml:space="preserve"> </w:t>
      </w:r>
      <w:r w:rsidRPr="0050146A">
        <w:rPr>
          <w:rStyle w:val="af8"/>
          <w:rFonts w:hint="cs"/>
          <w:rtl/>
        </w:rPr>
        <w:t>והרמב"ן</w:t>
      </w:r>
      <w:r w:rsidRPr="0050146A">
        <w:rPr>
          <w:rStyle w:val="af6"/>
          <w:rFonts w:eastAsia="Guttman Hodes" w:hint="cs"/>
          <w:rtl/>
        </w:rPr>
        <w:t xml:space="preserve"> (ד"ה ומדאמרינן) </w:t>
      </w:r>
      <w:r w:rsidRPr="0050146A">
        <w:rPr>
          <w:rStyle w:val="af8"/>
          <w:rFonts w:hint="cs"/>
          <w:rtl/>
        </w:rPr>
        <w:t>והרשב"א</w:t>
      </w:r>
      <w:r w:rsidRPr="0050146A">
        <w:rPr>
          <w:rStyle w:val="af6"/>
          <w:rFonts w:eastAsia="Guttman Hodes" w:hint="cs"/>
          <w:rtl/>
        </w:rPr>
        <w:t xml:space="preserve"> (ד"ה ופרש"י) </w:t>
      </w:r>
      <w:r w:rsidRPr="0050146A">
        <w:rPr>
          <w:rStyle w:val="af8"/>
          <w:rFonts w:hint="cs"/>
          <w:rtl/>
        </w:rPr>
        <w:t>והריטב"א</w:t>
      </w:r>
      <w:r w:rsidRPr="0050146A">
        <w:rPr>
          <w:rStyle w:val="af6"/>
          <w:rFonts w:eastAsia="Guttman Hodes" w:hint="cs"/>
          <w:rtl/>
        </w:rPr>
        <w:t xml:space="preserve"> (ד"ה רבא)</w:t>
      </w:r>
      <w:r w:rsidRPr="0050146A">
        <w:rPr>
          <w:rFonts w:hint="cs"/>
          <w:rtl/>
        </w:rPr>
        <w:t xml:space="preserve"> </w:t>
      </w:r>
      <w:r w:rsidRPr="0050146A">
        <w:rPr>
          <w:rStyle w:val="af8"/>
          <w:rFonts w:hint="cs"/>
          <w:rtl/>
        </w:rPr>
        <w:t>והר"ן בחי'</w:t>
      </w:r>
      <w:r w:rsidRPr="0050146A">
        <w:rPr>
          <w:rStyle w:val="af6"/>
          <w:rFonts w:eastAsia="Guttman Hodes" w:hint="cs"/>
          <w:rtl/>
        </w:rPr>
        <w:t xml:space="preserve"> (ד"ה והוי) </w:t>
      </w:r>
      <w:r w:rsidRPr="0050146A">
        <w:rPr>
          <w:rFonts w:hint="cs"/>
          <w:rtl/>
        </w:rPr>
        <w:t xml:space="preserve">בשם </w:t>
      </w:r>
      <w:r w:rsidRPr="0050146A">
        <w:rPr>
          <w:rStyle w:val="af8"/>
          <w:rFonts w:hint="cs"/>
          <w:rtl/>
        </w:rPr>
        <w:t>רש"י</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Ref12390306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דבגמ' לקמן </w:t>
      </w:r>
      <w:r w:rsidRPr="0050146A">
        <w:rPr>
          <w:rStyle w:val="af6"/>
          <w:rFonts w:eastAsia="Guttman Hodes" w:hint="cs"/>
          <w:rtl/>
        </w:rPr>
        <w:t xml:space="preserve">(קח.) </w:t>
      </w:r>
      <w:r w:rsidRPr="0050146A">
        <w:rPr>
          <w:rFonts w:hint="cs"/>
          <w:rtl/>
        </w:rPr>
        <w:t xml:space="preserve">מבואר דס"ל לרבא דטעם כעיקר דרבנן, דאמר אביי לקמן דטעם כעיקר דאו' כדיליפינן מבשר בחלב, ורבא פליג עליה וס"ל דלא ילפינן מבשר בחלב, ומוכח דס"ל לרבא טעם כעיקר דרבנן, והוסיף </w:t>
      </w:r>
      <w:r w:rsidRPr="0050146A">
        <w:rPr>
          <w:rStyle w:val="af8"/>
          <w:rFonts w:hint="cs"/>
          <w:rtl/>
        </w:rPr>
        <w:t>הרשב"א</w:t>
      </w:r>
      <w:r w:rsidRPr="0050146A">
        <w:rPr>
          <w:rFonts w:hint="cs"/>
          <w:rtl/>
        </w:rPr>
        <w:t xml:space="preserve"> דכיון דקיי"ל כרבא לגבי אביי חוץ מיע"ל קג"ם לכן קיי"ל דטעם כעיקר דרבנן, והוסיף </w:t>
      </w:r>
      <w:r w:rsidRPr="0050146A">
        <w:rPr>
          <w:rStyle w:val="af8"/>
          <w:rFonts w:hint="cs"/>
          <w:rtl/>
        </w:rPr>
        <w:t>הריטב"א</w:t>
      </w:r>
      <w:r w:rsidRPr="0050146A">
        <w:rPr>
          <w:rFonts w:hint="cs"/>
          <w:rtl/>
        </w:rPr>
        <w:t xml:space="preserve"> </w:t>
      </w:r>
      <w:r w:rsidRPr="0050146A">
        <w:rPr>
          <w:rStyle w:val="af6"/>
          <w:rFonts w:eastAsia="Guttman Hodes" w:hint="cs"/>
          <w:rtl/>
        </w:rPr>
        <w:t>(ד"ה רבא בהמשך דבריו)</w:t>
      </w:r>
      <w:r w:rsidRPr="0050146A">
        <w:rPr>
          <w:rFonts w:hint="cs"/>
          <w:rtl/>
        </w:rPr>
        <w:t xml:space="preserve"> דמשמע בגמ' לקמן דרבא לא בא רק לדחות בדיחוי בעלמא, את הראיה שהביא אביי מבשר בחלב, אלא דכוונת רבא לחלוק על אביי, דס"ל לרבא דטעם כעיקר אינו אסור מדאו'.</w:t>
      </w:r>
    </w:p>
    <w:p w:rsidR="00F7606D" w:rsidRPr="0050146A" w:rsidRDefault="00F7606D" w:rsidP="00F7606D">
      <w:pPr>
        <w:pStyle w:val="a2"/>
        <w:rPr>
          <w:rtl/>
        </w:rPr>
      </w:pPr>
      <w:bookmarkStart w:id="4973" w:name="_Toc12826265"/>
      <w:bookmarkStart w:id="4974" w:name="_Toc12872033"/>
      <w:bookmarkStart w:id="4975" w:name="_Toc12895297"/>
      <w:bookmarkStart w:id="4976" w:name="_Toc12896182"/>
      <w:bookmarkStart w:id="4977" w:name="_Toc12896342"/>
      <w:bookmarkStart w:id="4978" w:name="_Toc12791795"/>
      <w:bookmarkStart w:id="4979" w:name="_Toc12453174"/>
      <w:bookmarkStart w:id="4980" w:name="_Toc12615936"/>
      <w:r w:rsidRPr="0050146A">
        <w:rPr>
          <w:rFonts w:hint="cs"/>
          <w:rtl/>
        </w:rPr>
        <w:t>קושית הרמב"ן על רש"י דאי לאביי טעם כעיקר דאו' א"כ היאך אמר דמדאו' חד בתרי בטיל</w:t>
      </w:r>
      <w:bookmarkEnd w:id="4973"/>
      <w:bookmarkEnd w:id="4974"/>
      <w:bookmarkEnd w:id="4975"/>
      <w:bookmarkEnd w:id="4976"/>
      <w:bookmarkEnd w:id="4977"/>
    </w:p>
    <w:p w:rsidR="00F7606D" w:rsidRPr="0050146A" w:rsidRDefault="00F7606D" w:rsidP="009F44AF">
      <w:pPr>
        <w:pStyle w:val="a"/>
        <w:rPr>
          <w:rtl/>
        </w:rPr>
      </w:pPr>
      <w:r w:rsidRPr="0050146A">
        <w:rPr>
          <w:rFonts w:hint="cs"/>
          <w:rtl/>
        </w:rPr>
        <w:t xml:space="preserve">אך הקשה </w:t>
      </w:r>
      <w:r w:rsidRPr="0050146A">
        <w:rPr>
          <w:rStyle w:val="af8"/>
          <w:rFonts w:hint="cs"/>
          <w:rtl/>
        </w:rPr>
        <w:t>הרמב"ן</w:t>
      </w:r>
      <w:r w:rsidRPr="0050146A">
        <w:rPr>
          <w:rStyle w:val="af6"/>
          <w:rFonts w:eastAsia="Guttman Hodes" w:hint="cs"/>
          <w:rtl/>
        </w:rPr>
        <w:t xml:space="preserve"> (ד"ה ומדאמרינן) </w:t>
      </w:r>
      <w:r w:rsidRPr="0050146A">
        <w:rPr>
          <w:rFonts w:hint="cs"/>
          <w:rtl/>
        </w:rPr>
        <w:t>דאי ס"ל לאביי דילפינן מבשר בחלב דטעם כעיקר דאו', א"כ היאך אמר אביי בסוגיין דמדאו' חד בתרי בטיל.</w:t>
      </w:r>
    </w:p>
    <w:p w:rsidR="00F7606D" w:rsidRPr="0050146A" w:rsidRDefault="00F7606D" w:rsidP="00F7606D">
      <w:pPr>
        <w:pStyle w:val="a2"/>
        <w:rPr>
          <w:rtl/>
        </w:rPr>
      </w:pPr>
      <w:bookmarkStart w:id="4981" w:name="_Toc12826266"/>
      <w:bookmarkStart w:id="4982" w:name="_Toc12872034"/>
      <w:bookmarkStart w:id="4983" w:name="_Toc12895298"/>
      <w:bookmarkStart w:id="4984" w:name="_Toc12896183"/>
      <w:bookmarkStart w:id="4985" w:name="_Toc12896343"/>
      <w:r w:rsidRPr="0050146A">
        <w:rPr>
          <w:rFonts w:hint="cs"/>
          <w:rtl/>
        </w:rPr>
        <w:t>ביאור הרמב"ן דלאביי אף כשאין טעם ילפינן מזרוע בשלה לחומרא דצריך שישים ול"מ ביטול ברוב</w:t>
      </w:r>
      <w:bookmarkEnd w:id="4981"/>
      <w:bookmarkEnd w:id="4982"/>
      <w:bookmarkEnd w:id="4983"/>
      <w:bookmarkEnd w:id="4984"/>
      <w:bookmarkEnd w:id="4985"/>
    </w:p>
    <w:p w:rsidR="00F7606D" w:rsidRPr="0050146A" w:rsidRDefault="00F7606D" w:rsidP="009F44AF">
      <w:pPr>
        <w:pStyle w:val="a"/>
      </w:pPr>
      <w:r w:rsidRPr="0050146A">
        <w:rPr>
          <w:rFonts w:hint="cs"/>
          <w:rtl/>
        </w:rPr>
        <w:t xml:space="preserve">ותירץ </w:t>
      </w:r>
      <w:r w:rsidRPr="0050146A">
        <w:rPr>
          <w:rStyle w:val="af8"/>
          <w:rFonts w:hint="cs"/>
          <w:rtl/>
        </w:rPr>
        <w:t>הרמב"ן</w:t>
      </w:r>
      <w:r w:rsidRPr="0050146A">
        <w:rPr>
          <w:rFonts w:hint="cs"/>
          <w:rtl/>
        </w:rPr>
        <w:t xml:space="preserve"> </w:t>
      </w:r>
      <w:r w:rsidRPr="0050146A">
        <w:rPr>
          <w:rStyle w:val="afa"/>
          <w:rFonts w:hint="cs"/>
          <w:rtl/>
        </w:rPr>
        <w:t xml:space="preserve">[בדעת </w:t>
      </w:r>
      <w:r w:rsidRPr="0050146A">
        <w:rPr>
          <w:rStyle w:val="affa"/>
          <w:rFonts w:hint="cs"/>
          <w:rtl/>
        </w:rPr>
        <w:t>רש"י</w:t>
      </w:r>
      <w:r w:rsidRPr="0050146A">
        <w:rPr>
          <w:rStyle w:val="afa"/>
          <w:rFonts w:hint="cs"/>
          <w:rtl/>
        </w:rPr>
        <w:t xml:space="preserve">] </w:t>
      </w:r>
      <w:r w:rsidRPr="0050146A">
        <w:rPr>
          <w:rFonts w:hint="cs"/>
          <w:rtl/>
        </w:rPr>
        <w:t xml:space="preserve">דכוונת הגמ' לומר דהילפותא מזרוע בשלה אינה קולא, דלא ילפינן דמהני ביטול במקום שיש טעם, אלא ילפינן מזרוע בשלה לחומרא, דצריך שישים אף במקום שאין טעם, </w:t>
      </w:r>
      <w:r w:rsidRPr="0050146A">
        <w:rPr>
          <w:rStyle w:val="afa"/>
          <w:rFonts w:hint="cs"/>
          <w:rtl/>
        </w:rPr>
        <w:t>[דטעם הקפילא ואמר שאין טעם],</w:t>
      </w:r>
      <w:r w:rsidRPr="0050146A">
        <w:rPr>
          <w:rFonts w:hint="cs"/>
          <w:rtl/>
        </w:rPr>
        <w:t xml:space="preserve"> וכן במקום דקים להו לרבנן דאין טעם, מ"מ ילפינן מזרוע בשלה דצריך גם שיעור שישים, וזהו חומרא דאעפ"י שכבר אין טעם, מ"מ לא מהני ביטול של חד בתרי, וצריך ביטול בשישים, וכתב </w:t>
      </w:r>
      <w:r w:rsidRPr="0050146A">
        <w:rPr>
          <w:rStyle w:val="af8"/>
          <w:rFonts w:hint="cs"/>
          <w:rtl/>
        </w:rPr>
        <w:t>הרמב"ן</w:t>
      </w:r>
      <w:r w:rsidRPr="0050146A">
        <w:rPr>
          <w:rFonts w:hint="cs"/>
          <w:rtl/>
        </w:rPr>
        <w:t xml:space="preserve"> דמ"מ דברי </w:t>
      </w:r>
      <w:r w:rsidRPr="0050146A">
        <w:rPr>
          <w:rStyle w:val="af8"/>
          <w:rFonts w:hint="cs"/>
          <w:rtl/>
        </w:rPr>
        <w:t>רש"י</w:t>
      </w:r>
      <w:r w:rsidRPr="0050146A">
        <w:rPr>
          <w:rFonts w:hint="cs"/>
          <w:rtl/>
        </w:rPr>
        <w:t xml:space="preserve"> נכונים דביאר בדעת רבא וריו"ח דטעם כעיקר דרבנן.</w:t>
      </w:r>
    </w:p>
    <w:p w:rsidR="00F7606D" w:rsidRPr="0050146A" w:rsidRDefault="00F7606D" w:rsidP="00F7606D">
      <w:pPr>
        <w:pStyle w:val="a2"/>
      </w:pPr>
      <w:bookmarkStart w:id="4986" w:name="_Toc12826267"/>
      <w:bookmarkStart w:id="4987" w:name="_Toc12872035"/>
      <w:bookmarkStart w:id="4988" w:name="_Toc12895299"/>
      <w:bookmarkStart w:id="4989" w:name="_Toc12896184"/>
      <w:bookmarkStart w:id="4990" w:name="_Toc12896344"/>
      <w:r w:rsidRPr="0050146A">
        <w:rPr>
          <w:rFonts w:hint="cs"/>
          <w:rtl/>
        </w:rPr>
        <w:t>דחיית התוס' דרבא לקמן דחה רק את הילפותא מבשר בחלב דס"ל דילפינן טע"כ דאו' ממשרת</w:t>
      </w:r>
      <w:bookmarkEnd w:id="4978"/>
      <w:bookmarkEnd w:id="4986"/>
      <w:bookmarkEnd w:id="4987"/>
      <w:bookmarkEnd w:id="4988"/>
      <w:bookmarkEnd w:id="4989"/>
      <w:bookmarkEnd w:id="4990"/>
    </w:p>
    <w:p w:rsidR="002D7168" w:rsidRDefault="00F7606D" w:rsidP="009F44AF">
      <w:pPr>
        <w:pStyle w:val="a"/>
        <w:rPr>
          <w:rtl/>
        </w:rPr>
      </w:pPr>
      <w:r w:rsidRPr="0050146A">
        <w:rPr>
          <w:rFonts w:hint="cs"/>
          <w:rtl/>
        </w:rPr>
        <w:t xml:space="preserve"> </w:t>
      </w:r>
      <w:r w:rsidRPr="0050146A">
        <w:rPr>
          <w:rStyle w:val="af8"/>
          <w:rFonts w:hint="cs"/>
          <w:rtl/>
        </w:rPr>
        <w:t>והתוס'</w:t>
      </w:r>
      <w:r w:rsidRPr="0050146A">
        <w:rPr>
          <w:rFonts w:hint="cs"/>
          <w:rtl/>
        </w:rPr>
        <w:t xml:space="preserve"> </w:t>
      </w:r>
      <w:r w:rsidRPr="0050146A">
        <w:rPr>
          <w:rStyle w:val="af6"/>
          <w:rFonts w:eastAsia="Guttman Hodes" w:hint="cs"/>
          <w:rtl/>
        </w:rPr>
        <w:t>(ד"ה רבא)</w:t>
      </w:r>
      <w:r w:rsidRPr="0050146A">
        <w:rPr>
          <w:rtl/>
        </w:rPr>
        <w:t xml:space="preserve"> </w:t>
      </w:r>
      <w:r w:rsidRPr="0050146A">
        <w:rPr>
          <w:rFonts w:hint="cs"/>
          <w:rtl/>
        </w:rPr>
        <w:t xml:space="preserve">דחו את הראיה </w:t>
      </w:r>
      <w:r w:rsidRPr="0050146A">
        <w:rPr>
          <w:rStyle w:val="af8"/>
          <w:rFonts w:hint="cs"/>
          <w:rtl/>
        </w:rPr>
        <w:t>לרש"י</w:t>
      </w:r>
      <w:r w:rsidRPr="0050146A">
        <w:rPr>
          <w:rFonts w:hint="cs"/>
          <w:rtl/>
        </w:rPr>
        <w:t xml:space="preserve"> מדברי רבא לקמן, דטעם כעיקר דרבנן, וביארו </w:t>
      </w:r>
      <w:r w:rsidRPr="0050146A">
        <w:rPr>
          <w:rStyle w:val="af8"/>
          <w:rFonts w:hint="cs"/>
          <w:rtl/>
        </w:rPr>
        <w:t>התוס'</w:t>
      </w:r>
      <w:r w:rsidRPr="0050146A">
        <w:rPr>
          <w:rFonts w:hint="cs"/>
          <w:rtl/>
        </w:rPr>
        <w:t xml:space="preserve"> דאין כוונת רבא לדחות דטעם כעיקר דרבנן, אלא דא"א ללמוד את דין טעם כעיקר מבשר בחלב, </w:t>
      </w:r>
      <w:r w:rsidRPr="0050146A">
        <w:rPr>
          <w:rStyle w:val="afa"/>
          <w:rFonts w:hint="cs"/>
          <w:rtl/>
        </w:rPr>
        <w:t>[וילפינן ממשרת ומגיעולי עכו"ם דטעם כעיקר דאו'],</w:t>
      </w:r>
      <w:r w:rsidRPr="0050146A">
        <w:rPr>
          <w:rFonts w:hint="cs"/>
          <w:rtl/>
        </w:rPr>
        <w:t xml:space="preserve"> והוסיף </w:t>
      </w:r>
      <w:r w:rsidRPr="0050146A">
        <w:rPr>
          <w:rStyle w:val="af8"/>
          <w:rFonts w:hint="cs"/>
          <w:rtl/>
        </w:rPr>
        <w:t>התוס' הרא"ש</w:t>
      </w:r>
      <w:r w:rsidRPr="0050146A">
        <w:rPr>
          <w:rFonts w:hint="cs"/>
          <w:rtl/>
        </w:rPr>
        <w:t xml:space="preserve"> דהרי רבא גופיה אמר בגמ' בזבחים </w:t>
      </w:r>
      <w:r w:rsidRPr="0050146A">
        <w:rPr>
          <w:rStyle w:val="af6"/>
          <w:rFonts w:eastAsia="Guttman Hodes" w:hint="cs"/>
          <w:rtl/>
        </w:rPr>
        <w:t>(עח:)</w:t>
      </w:r>
      <w:r w:rsidRPr="0050146A">
        <w:rPr>
          <w:rFonts w:hint="cs"/>
          <w:rtl/>
        </w:rPr>
        <w:t xml:space="preserve"> דמין בשאינו מינו בטעמא, ומבואר דס"ל דטעם כעיקר דאו', ועי' במה שדחה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Ref12814106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50146A">
        <w:rPr>
          <w:rStyle w:val="af6"/>
          <w:rFonts w:eastAsia="Guttman Hodes"/>
          <w:rtl/>
        </w:rPr>
        <w:fldChar w:fldCharType="end"/>
      </w:r>
      <w:r w:rsidRPr="0050146A">
        <w:rPr>
          <w:rFonts w:hint="cs"/>
          <w:rtl/>
        </w:rPr>
        <w:t xml:space="preserve"> את הראיה מדברי רבא בזבחים.</w:t>
      </w:r>
    </w:p>
    <w:p w:rsidR="00F7606D" w:rsidRPr="0050146A" w:rsidRDefault="00F7606D" w:rsidP="00F7606D">
      <w:pPr>
        <w:pStyle w:val="1"/>
        <w:rPr>
          <w:rtl/>
        </w:rPr>
      </w:pPr>
      <w:bookmarkStart w:id="4991" w:name="_Toc12791796"/>
      <w:bookmarkStart w:id="4992" w:name="_Toc12826268"/>
      <w:bookmarkStart w:id="4993" w:name="_Toc12872036"/>
      <w:bookmarkStart w:id="4994" w:name="_Toc12895300"/>
      <w:bookmarkStart w:id="4995" w:name="_Toc12896185"/>
      <w:bookmarkStart w:id="4996" w:name="_Toc12896345"/>
      <w:r w:rsidRPr="0050146A">
        <w:rPr>
          <w:rFonts w:hint="cs"/>
          <w:rtl/>
        </w:rPr>
        <w:t>ראיית התוס' והרשב"א מדין ב' קופות דטעם כעיקר דרבנן</w:t>
      </w:r>
      <w:bookmarkEnd w:id="4991"/>
      <w:bookmarkEnd w:id="4992"/>
      <w:bookmarkEnd w:id="4993"/>
      <w:bookmarkEnd w:id="4994"/>
      <w:bookmarkEnd w:id="4995"/>
      <w:bookmarkEnd w:id="4996"/>
    </w:p>
    <w:p w:rsidR="00F7606D" w:rsidRPr="0050146A" w:rsidRDefault="00F7606D" w:rsidP="00F7606D">
      <w:pPr>
        <w:pStyle w:val="a2"/>
        <w:rPr>
          <w:rtl/>
        </w:rPr>
      </w:pPr>
      <w:bookmarkStart w:id="4997" w:name="_Toc12791797"/>
      <w:bookmarkStart w:id="4998" w:name="_Toc12826269"/>
      <w:bookmarkStart w:id="4999" w:name="_Toc12872037"/>
      <w:bookmarkStart w:id="5000" w:name="_Toc12895301"/>
      <w:bookmarkStart w:id="5001" w:name="_Toc12896186"/>
      <w:bookmarkStart w:id="5002" w:name="_Toc12896346"/>
      <w:r w:rsidRPr="0050146A">
        <w:rPr>
          <w:rFonts w:hint="cs"/>
          <w:rtl/>
        </w:rPr>
        <w:t>דברי הרשב"א דבדין ב' קופות בגמ' בפסחים מוכח כרש"י דטעם כעיקר אינו מדאו'</w:t>
      </w:r>
      <w:bookmarkEnd w:id="4979"/>
      <w:bookmarkEnd w:id="4980"/>
      <w:bookmarkEnd w:id="4997"/>
      <w:bookmarkEnd w:id="4998"/>
      <w:bookmarkEnd w:id="4999"/>
      <w:bookmarkEnd w:id="5000"/>
      <w:bookmarkEnd w:id="5001"/>
      <w:bookmarkEnd w:id="5002"/>
    </w:p>
    <w:p w:rsidR="00F7606D" w:rsidRPr="0050146A" w:rsidRDefault="00F7606D" w:rsidP="009F44AF">
      <w:pPr>
        <w:pStyle w:val="a"/>
        <w:rPr>
          <w:rtl/>
        </w:rPr>
      </w:pPr>
      <w:bookmarkStart w:id="5003" w:name="_Ref12392115"/>
      <w:r w:rsidRPr="0050146A">
        <w:rPr>
          <w:rFonts w:hint="cs"/>
          <w:rtl/>
        </w:rPr>
        <w:t xml:space="preserve">והוסיף </w:t>
      </w:r>
      <w:r w:rsidRPr="0050146A">
        <w:rPr>
          <w:rStyle w:val="af8"/>
          <w:rFonts w:hint="cs"/>
          <w:rtl/>
        </w:rPr>
        <w:t xml:space="preserve">הרשב"א בחי' </w:t>
      </w:r>
      <w:r w:rsidRPr="0050146A">
        <w:rPr>
          <w:rStyle w:val="af6"/>
          <w:rFonts w:eastAsia="Guttman Hodes" w:hint="cs"/>
          <w:rtl/>
        </w:rPr>
        <w:t xml:space="preserve">(ד"ה ופרש"י) </w:t>
      </w:r>
      <w:r w:rsidRPr="0050146A">
        <w:rPr>
          <w:rStyle w:val="af8"/>
          <w:rFonts w:hint="cs"/>
          <w:rtl/>
        </w:rPr>
        <w:t>ובתוה"ב</w:t>
      </w:r>
      <w:r w:rsidRPr="0050146A">
        <w:rPr>
          <w:rFonts w:hint="cs"/>
          <w:rtl/>
        </w:rPr>
        <w:t xml:space="preserve"> </w:t>
      </w:r>
      <w:r w:rsidRPr="0050146A">
        <w:rPr>
          <w:rStyle w:val="af6"/>
          <w:rFonts w:eastAsia="Guttman Hodes" w:hint="cs"/>
          <w:rtl/>
        </w:rPr>
        <w:t>(ב"ד ש"א י. מדה"ס)</w:t>
      </w:r>
      <w:r w:rsidRPr="0050146A">
        <w:rPr>
          <w:rFonts w:hint="cs"/>
          <w:rtl/>
        </w:rPr>
        <w:t xml:space="preserve"> דיש להביא עוד ראיה דלברי </w:t>
      </w:r>
      <w:r w:rsidRPr="0050146A">
        <w:rPr>
          <w:rStyle w:val="af8"/>
          <w:rFonts w:hint="cs"/>
          <w:rtl/>
        </w:rPr>
        <w:t>רש"י</w:t>
      </w:r>
      <w:r w:rsidRPr="0050146A">
        <w:rPr>
          <w:rFonts w:hint="cs"/>
          <w:rtl/>
        </w:rPr>
        <w:t xml:space="preserve"> מהברייתא בפסחים </w:t>
      </w:r>
      <w:r w:rsidRPr="0050146A">
        <w:rPr>
          <w:rStyle w:val="af6"/>
          <w:rFonts w:eastAsia="Guttman Hodes" w:hint="cs"/>
          <w:rtl/>
        </w:rPr>
        <w:t xml:space="preserve">(מד.) </w:t>
      </w:r>
      <w:r w:rsidRPr="0050146A">
        <w:rPr>
          <w:rFonts w:hint="cs"/>
          <w:rtl/>
        </w:rPr>
        <w:t xml:space="preserve">דב' קופות של חולין ושל תרומה שנפלו לב' קופות של חולין ותרומה, דמותר שאני אומר דתרומה נפלה לתרומה וחולין לחולין, ומקשה הגמ' דהרי כזית בכדי אכילת פרס הוא דאו', וא"כ האיך אפש"ל "אני אומר", וכתב </w:t>
      </w:r>
      <w:r w:rsidRPr="0050146A">
        <w:rPr>
          <w:rStyle w:val="af8"/>
          <w:rFonts w:hint="cs"/>
          <w:rtl/>
        </w:rPr>
        <w:t>הרשב"א</w:t>
      </w:r>
      <w:r w:rsidRPr="0050146A">
        <w:rPr>
          <w:rFonts w:hint="cs"/>
          <w:rtl/>
        </w:rPr>
        <w:t xml:space="preserve"> דאי טעם כעיקר הוא דאו' א"כ ודאי דאסור מדאו' דהא יש בכה"ג נתינת טעם, ואף אי כזית בכדי אכילת פרס אינו מדאו' מ"מ היה לגמ' להקשות דכיון דטעם כעיקר דאו', היאך אמרינן "שאני אומר", אלא כתב </w:t>
      </w:r>
      <w:r w:rsidRPr="0050146A">
        <w:rPr>
          <w:rStyle w:val="af8"/>
          <w:rFonts w:hint="cs"/>
          <w:rtl/>
        </w:rPr>
        <w:t>הרשב"א</w:t>
      </w:r>
      <w:r w:rsidRPr="0050146A">
        <w:rPr>
          <w:rFonts w:hint="cs"/>
          <w:rtl/>
        </w:rPr>
        <w:t xml:space="preserve"> דמוכח כדברי </w:t>
      </w:r>
      <w:r w:rsidRPr="0050146A">
        <w:rPr>
          <w:rStyle w:val="af8"/>
          <w:rFonts w:hint="cs"/>
          <w:rtl/>
        </w:rPr>
        <w:t>רש"י</w:t>
      </w:r>
      <w:r w:rsidRPr="0050146A">
        <w:rPr>
          <w:rFonts w:hint="cs"/>
          <w:rtl/>
        </w:rPr>
        <w:t xml:space="preserve"> דטעם כעיקר דרבנן.</w:t>
      </w:r>
      <w:bookmarkEnd w:id="5003"/>
    </w:p>
    <w:p w:rsidR="00F7606D" w:rsidRPr="0050146A" w:rsidRDefault="00F7606D" w:rsidP="00F7606D">
      <w:pPr>
        <w:pStyle w:val="a2"/>
        <w:rPr>
          <w:rtl/>
        </w:rPr>
      </w:pPr>
      <w:bookmarkStart w:id="5004" w:name="_Toc12791798"/>
      <w:bookmarkStart w:id="5005" w:name="_Toc12826270"/>
      <w:bookmarkStart w:id="5006" w:name="_Toc12872038"/>
      <w:bookmarkStart w:id="5007" w:name="_Toc12895302"/>
      <w:bookmarkStart w:id="5008" w:name="_Toc12896187"/>
      <w:bookmarkStart w:id="5009" w:name="_Toc12896347"/>
      <w:bookmarkStart w:id="5010" w:name="_Toc12453175"/>
      <w:bookmarkStart w:id="5011" w:name="_Toc12615937"/>
      <w:r w:rsidRPr="0050146A">
        <w:rPr>
          <w:rFonts w:hint="cs"/>
          <w:rtl/>
        </w:rPr>
        <w:t>דחיית התוס' דבב' קופות איירי במין במינו ואילו טעם כעיקר דאו' נאמר רק במין בשאינו מינו</w:t>
      </w:r>
      <w:bookmarkEnd w:id="5004"/>
      <w:bookmarkEnd w:id="5005"/>
      <w:bookmarkEnd w:id="5006"/>
      <w:bookmarkEnd w:id="5007"/>
      <w:bookmarkEnd w:id="5008"/>
      <w:bookmarkEnd w:id="5009"/>
    </w:p>
    <w:p w:rsidR="00F7606D" w:rsidRPr="0050146A" w:rsidRDefault="00F7606D" w:rsidP="009F44AF">
      <w:pPr>
        <w:pStyle w:val="a"/>
        <w:rPr>
          <w:rStyle w:val="afa"/>
          <w:rtl/>
        </w:rPr>
      </w:pPr>
      <w:r w:rsidRPr="0050146A">
        <w:rPr>
          <w:rFonts w:hint="cs"/>
          <w:rtl/>
        </w:rPr>
        <w:t xml:space="preserve">אבל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tl/>
        </w:rPr>
        <w:t xml:space="preserve"> </w:t>
      </w:r>
      <w:r w:rsidRPr="0050146A">
        <w:rPr>
          <w:rFonts w:hint="cs"/>
          <w:rtl/>
        </w:rPr>
        <w:t xml:space="preserve">דחו את הראיה </w:t>
      </w:r>
      <w:r w:rsidRPr="0050146A">
        <w:rPr>
          <w:rStyle w:val="af8"/>
          <w:rFonts w:hint="cs"/>
          <w:rtl/>
        </w:rPr>
        <w:t>לרש"י</w:t>
      </w:r>
      <w:r w:rsidRPr="0050146A">
        <w:rPr>
          <w:rFonts w:hint="cs"/>
          <w:rtl/>
        </w:rPr>
        <w:t xml:space="preserve"> מדין ב' קופות דטעם כעיקר דרבנן, וביארו </w:t>
      </w:r>
      <w:r w:rsidRPr="0050146A">
        <w:rPr>
          <w:rStyle w:val="af8"/>
          <w:rFonts w:hint="cs"/>
          <w:rtl/>
        </w:rPr>
        <w:t>התוס'</w:t>
      </w:r>
      <w:r w:rsidRPr="0050146A">
        <w:rPr>
          <w:rFonts w:hint="cs"/>
          <w:rtl/>
        </w:rPr>
        <w:t xml:space="preserve"> דבב' קופות איירי במין במינו, ולכן אין בהם דין טעם כעיקר דאו' דהוא רק במין בשאינו מינו, וכתבו </w:t>
      </w:r>
      <w:r w:rsidRPr="0050146A">
        <w:rPr>
          <w:rStyle w:val="af8"/>
          <w:rFonts w:hint="cs"/>
          <w:rtl/>
        </w:rPr>
        <w:t xml:space="preserve">התוס' </w:t>
      </w:r>
      <w:r w:rsidRPr="0050146A">
        <w:rPr>
          <w:rFonts w:hint="cs"/>
          <w:rtl/>
        </w:rPr>
        <w:t xml:space="preserve">דכן משמע בגמ' ביבמות </w:t>
      </w:r>
      <w:r w:rsidRPr="0050146A">
        <w:rPr>
          <w:rStyle w:val="af6"/>
          <w:rFonts w:eastAsia="Guttman Hodes" w:hint="cs"/>
          <w:rtl/>
        </w:rPr>
        <w:t>(פב:)</w:t>
      </w:r>
      <w:r w:rsidRPr="0050146A">
        <w:rPr>
          <w:rFonts w:hint="cs"/>
          <w:rtl/>
        </w:rPr>
        <w:t xml:space="preserve"> דהעמידה את דין ב' קופות, שהיה רוב מהחולין על התרומה, ובמין במינו שלא במינו לא שייך לומר שיש רוב, והוסיף </w:t>
      </w:r>
      <w:r w:rsidRPr="0050146A">
        <w:rPr>
          <w:rStyle w:val="af8"/>
          <w:rFonts w:hint="cs"/>
          <w:rtl/>
        </w:rPr>
        <w:t>הרשב"א</w:t>
      </w:r>
      <w:r w:rsidRPr="0050146A">
        <w:rPr>
          <w:rFonts w:hint="cs"/>
          <w:rtl/>
        </w:rPr>
        <w:t xml:space="preserve"> </w:t>
      </w:r>
      <w:r w:rsidRPr="0050146A">
        <w:rPr>
          <w:rStyle w:val="af6"/>
          <w:rFonts w:eastAsia="Guttman Hodes" w:hint="cs"/>
          <w:rtl/>
        </w:rPr>
        <w:t>(ד"ה אי הכי)</w:t>
      </w:r>
      <w:r w:rsidRPr="0050146A">
        <w:rPr>
          <w:rFonts w:hint="cs"/>
          <w:rtl/>
        </w:rPr>
        <w:t xml:space="preserve"> דאי איירי במין בשאינו מינו, א"כ הם ניכרים ואפשר לברור אותם, ולא לבא לידי ספק. </w:t>
      </w:r>
      <w:r w:rsidRPr="0050146A">
        <w:rPr>
          <w:rStyle w:val="afa"/>
          <w:rFonts w:hint="cs"/>
          <w:rtl/>
        </w:rPr>
        <w:t xml:space="preserve">[אך הקשו </w:t>
      </w:r>
      <w:r w:rsidRPr="0050146A">
        <w:rPr>
          <w:rStyle w:val="affa"/>
          <w:rFonts w:hint="cs"/>
          <w:rtl/>
        </w:rPr>
        <w:t xml:space="preserve">התוס' </w:t>
      </w:r>
      <w:r w:rsidRPr="0050146A">
        <w:rPr>
          <w:rStyle w:val="afa"/>
          <w:rFonts w:hint="cs"/>
          <w:rtl/>
        </w:rPr>
        <w:t xml:space="preserve">דהא אי בב' קופות איירי במין במינו, א"כ כיון שיש רוב ממילא מהני ביטול ברוב אף כשיש כזית בכדי אכילת פרס, ומה מקשה הגמ' בפסחים דכזית בכדי אכילת פרס דאו', ותירצו </w:t>
      </w:r>
      <w:r w:rsidRPr="0050146A">
        <w:rPr>
          <w:rStyle w:val="affa"/>
          <w:rFonts w:hint="cs"/>
          <w:rtl/>
        </w:rPr>
        <w:t>התוס'</w:t>
      </w:r>
      <w:r w:rsidRPr="0050146A">
        <w:rPr>
          <w:rStyle w:val="afa"/>
          <w:rFonts w:hint="cs"/>
          <w:rtl/>
        </w:rPr>
        <w:t xml:space="preserve"> דכוונת הגמ' להקשות דמ"מ אי האיסור של כזית בכדי אכילת פרס הוא דאו', ובמין בשאינו מינו הוא דאו' ולוקין עליו, א"כ אף במין במינו צריך להחמיר, והיאך אמרינן "שאני אומר", ועוד הקשו </w:t>
      </w:r>
      <w:r w:rsidRPr="0050146A">
        <w:rPr>
          <w:rStyle w:val="affa"/>
          <w:rFonts w:hint="cs"/>
          <w:rtl/>
        </w:rPr>
        <w:t>התוס'</w:t>
      </w:r>
      <w:r w:rsidRPr="0050146A">
        <w:rPr>
          <w:rStyle w:val="afa"/>
          <w:rFonts w:hint="cs"/>
          <w:rtl/>
        </w:rPr>
        <w:t xml:space="preserve"> דהגמ' בפסחים </w:t>
      </w:r>
      <w:r w:rsidRPr="0050146A">
        <w:rPr>
          <w:rStyle w:val="aff6"/>
          <w:rFonts w:hint="cs"/>
          <w:rtl/>
        </w:rPr>
        <w:t xml:space="preserve">(מג:) </w:t>
      </w:r>
      <w:r w:rsidRPr="0050146A">
        <w:rPr>
          <w:rStyle w:val="afa"/>
          <w:rFonts w:hint="cs"/>
          <w:rtl/>
        </w:rPr>
        <w:t xml:space="preserve">ובנזיר </w:t>
      </w:r>
      <w:r w:rsidRPr="0050146A">
        <w:rPr>
          <w:rStyle w:val="aff6"/>
          <w:rFonts w:hint="cs"/>
          <w:rtl/>
        </w:rPr>
        <w:t xml:space="preserve">(לה:) </w:t>
      </w:r>
      <w:r w:rsidRPr="0050146A">
        <w:rPr>
          <w:rStyle w:val="afa"/>
          <w:rFonts w:hint="cs"/>
          <w:rtl/>
        </w:rPr>
        <w:t xml:space="preserve">דאמרינן בב' קופות "שאני אומר" היא אליבא דריו"ח, והרי בגמ' ביבמות </w:t>
      </w:r>
      <w:r w:rsidRPr="0050146A">
        <w:rPr>
          <w:rStyle w:val="aff6"/>
          <w:rFonts w:hint="cs"/>
          <w:rtl/>
        </w:rPr>
        <w:t xml:space="preserve">(פב.) </w:t>
      </w:r>
      <w:r w:rsidRPr="0050146A">
        <w:rPr>
          <w:rStyle w:val="afa"/>
          <w:rFonts w:hint="cs"/>
          <w:rtl/>
        </w:rPr>
        <w:t xml:space="preserve">אמר ריו"ח דבב' קופות איירי אף באופן שאין רוב, </w:t>
      </w:r>
      <w:r w:rsidRPr="0050146A">
        <w:rPr>
          <w:rStyle w:val="afa"/>
          <w:rFonts w:hint="cs"/>
          <w:sz w:val="8"/>
          <w:szCs w:val="12"/>
          <w:rtl/>
        </w:rPr>
        <w:t xml:space="preserve">[וא"כ אין הכרח דאיירי במין במינו], </w:t>
      </w:r>
      <w:r w:rsidRPr="0050146A">
        <w:rPr>
          <w:rStyle w:val="afa"/>
          <w:rFonts w:hint="cs"/>
          <w:rtl/>
        </w:rPr>
        <w:t>וא"כ לריו"ח קשה דאף אי כזית בכדי אכילת פרס אינו דאו', היאך אמרינן "שאני אומר", הרי כיון שאין רוב הוא ספק דאו', ותירצו</w:t>
      </w:r>
      <w:r w:rsidRPr="0050146A">
        <w:rPr>
          <w:rStyle w:val="affa"/>
          <w:rFonts w:hint="cs"/>
          <w:rtl/>
        </w:rPr>
        <w:t xml:space="preserve"> התוס' </w:t>
      </w:r>
      <w:r w:rsidRPr="0050146A">
        <w:rPr>
          <w:rStyle w:val="afa"/>
          <w:rFonts w:hint="cs"/>
          <w:rtl/>
        </w:rPr>
        <w:t>דהוה מצי למימר ולטעמיך].</w:t>
      </w:r>
    </w:p>
    <w:p w:rsidR="00F7606D" w:rsidRPr="0050146A" w:rsidRDefault="00F7606D" w:rsidP="00F7606D">
      <w:pPr>
        <w:pStyle w:val="1"/>
        <w:rPr>
          <w:rtl/>
        </w:rPr>
      </w:pPr>
      <w:bookmarkStart w:id="5012" w:name="_Toc12791799"/>
      <w:bookmarkStart w:id="5013" w:name="_Toc12826271"/>
      <w:bookmarkStart w:id="5014" w:name="_Toc12872039"/>
      <w:bookmarkStart w:id="5015" w:name="_Toc12895303"/>
      <w:bookmarkStart w:id="5016" w:name="_Toc12896188"/>
      <w:bookmarkStart w:id="5017" w:name="_Toc12896348"/>
      <w:r w:rsidRPr="0050146A">
        <w:rPr>
          <w:rFonts w:hint="cs"/>
          <w:rtl/>
        </w:rPr>
        <w:t>ראיית התוס' והרשב"א מדברי הירושלמי דטעם כעיקר דרבנן</w:t>
      </w:r>
      <w:bookmarkEnd w:id="5012"/>
      <w:bookmarkEnd w:id="5013"/>
      <w:bookmarkEnd w:id="5014"/>
      <w:bookmarkEnd w:id="5015"/>
      <w:bookmarkEnd w:id="5016"/>
      <w:bookmarkEnd w:id="5017"/>
    </w:p>
    <w:p w:rsidR="00F7606D" w:rsidRPr="0050146A" w:rsidRDefault="00F7606D" w:rsidP="00F7606D">
      <w:pPr>
        <w:pStyle w:val="a2"/>
        <w:rPr>
          <w:rtl/>
        </w:rPr>
      </w:pPr>
      <w:bookmarkStart w:id="5018" w:name="_Toc12791800"/>
      <w:bookmarkStart w:id="5019" w:name="_Toc12826272"/>
      <w:bookmarkStart w:id="5020" w:name="_Toc12872040"/>
      <w:bookmarkStart w:id="5021" w:name="_Toc12895304"/>
      <w:bookmarkStart w:id="5022" w:name="_Toc12896189"/>
      <w:bookmarkStart w:id="5023" w:name="_Toc12896349"/>
      <w:r w:rsidRPr="0050146A">
        <w:rPr>
          <w:rFonts w:hint="cs"/>
          <w:rtl/>
        </w:rPr>
        <w:t>ראיית הרשב"א דטעם כעיקר דרבנן מהא דאיתא בירושלמי דאין לוקין על טעמו ולא ממשו</w:t>
      </w:r>
      <w:bookmarkEnd w:id="5010"/>
      <w:bookmarkEnd w:id="5011"/>
      <w:bookmarkEnd w:id="5018"/>
      <w:bookmarkEnd w:id="5019"/>
      <w:bookmarkEnd w:id="5020"/>
      <w:bookmarkEnd w:id="5021"/>
      <w:bookmarkEnd w:id="5022"/>
      <w:bookmarkEnd w:id="5023"/>
    </w:p>
    <w:p w:rsidR="00F7606D" w:rsidRPr="0050146A" w:rsidRDefault="00F7606D" w:rsidP="009F44AF">
      <w:pPr>
        <w:pStyle w:val="a"/>
      </w:pPr>
      <w:bookmarkStart w:id="5024" w:name="_Ref12438870"/>
      <w:r w:rsidRPr="0050146A">
        <w:rPr>
          <w:rFonts w:hint="cs"/>
          <w:rtl/>
        </w:rPr>
        <w:t xml:space="preserve">ועוד הביא </w:t>
      </w:r>
      <w:r w:rsidRPr="0050146A">
        <w:rPr>
          <w:rStyle w:val="af8"/>
          <w:rFonts w:hint="cs"/>
          <w:rtl/>
        </w:rPr>
        <w:t>הרשב"א בחי' ובתוה"ב</w:t>
      </w:r>
      <w:r w:rsidRPr="0050146A">
        <w:rPr>
          <w:rFonts w:hint="cs"/>
          <w:rtl/>
        </w:rPr>
        <w:t xml:space="preserve"> ראיה </w:t>
      </w:r>
      <w:r w:rsidRPr="0050146A">
        <w:rPr>
          <w:rStyle w:val="af8"/>
          <w:rFonts w:hint="cs"/>
          <w:rtl/>
        </w:rPr>
        <w:t>לרש"י</w:t>
      </w:r>
      <w:r w:rsidRPr="0050146A">
        <w:rPr>
          <w:rFonts w:hint="cs"/>
          <w:rtl/>
        </w:rPr>
        <w:t xml:space="preserve"> דטעם כעיקר דרבנן, מהא דאיתא בירושלמי בערלה </w:t>
      </w:r>
      <w:r w:rsidRPr="0050146A">
        <w:rPr>
          <w:rStyle w:val="af6"/>
          <w:rFonts w:eastAsia="Guttman Hodes" w:hint="cs"/>
          <w:rtl/>
        </w:rPr>
        <w:t>(פ"ב ה"ה, יד:)</w:t>
      </w:r>
      <w:r w:rsidRPr="0050146A">
        <w:rPr>
          <w:rFonts w:hint="cs"/>
          <w:rtl/>
        </w:rPr>
        <w:t xml:space="preserve"> דאמר</w:t>
      </w:r>
      <w:r w:rsidRPr="0050146A">
        <w:rPr>
          <w:rtl/>
        </w:rPr>
        <w:t xml:space="preserve"> רבי אבהו בשם </w:t>
      </w:r>
      <w:r w:rsidRPr="0050146A">
        <w:rPr>
          <w:rFonts w:hint="cs"/>
          <w:rtl/>
        </w:rPr>
        <w:t xml:space="preserve">ריו"ח דאין לוקין בנותן טעם, עד שיטעם מממשו של האיסור, ומשמע </w:t>
      </w:r>
      <w:r w:rsidRPr="0050146A">
        <w:rPr>
          <w:rStyle w:val="af8"/>
          <w:rFonts w:hint="cs"/>
          <w:rtl/>
        </w:rPr>
        <w:t xml:space="preserve">כרש"י </w:t>
      </w:r>
      <w:r w:rsidRPr="0050146A">
        <w:rPr>
          <w:rFonts w:hint="cs"/>
          <w:rtl/>
        </w:rPr>
        <w:t>דטעם כעיקר דרבנן</w:t>
      </w:r>
      <w:r w:rsidR="0010587A">
        <w:rPr>
          <w:rFonts w:hint="cs"/>
          <w:rtl/>
        </w:rPr>
        <w:t>, ועי' במה ש</w:t>
      </w:r>
      <w:r w:rsidR="00F41E73">
        <w:rPr>
          <w:rFonts w:hint="cs"/>
          <w:rtl/>
        </w:rPr>
        <w:t>ביאר</w:t>
      </w:r>
      <w:r w:rsidR="0010587A">
        <w:rPr>
          <w:rFonts w:hint="cs"/>
          <w:rtl/>
        </w:rPr>
        <w:t xml:space="preserve"> </w:t>
      </w:r>
      <w:r w:rsidR="0010587A">
        <w:rPr>
          <w:rStyle w:val="af8"/>
          <w:rtl/>
        </w:rPr>
        <w:t>הגר"א</w:t>
      </w:r>
      <w:r w:rsidR="0010587A">
        <w:rPr>
          <w:rFonts w:hint="cs"/>
          <w:rtl/>
        </w:rPr>
        <w:t xml:space="preserve"> </w:t>
      </w:r>
      <w:r w:rsidR="0010587A">
        <w:rPr>
          <w:rStyle w:val="af6"/>
          <w:rFonts w:eastAsia="Guttman Hodes" w:hint="cs"/>
          <w:rtl/>
        </w:rPr>
        <w:t>(או"ח סי' תנ"ג סק"ט</w:t>
      </w:r>
      <w:r w:rsidR="00F41E73">
        <w:rPr>
          <w:rStyle w:val="af6"/>
          <w:rFonts w:eastAsia="Guttman Hodes" w:hint="cs"/>
          <w:rtl/>
        </w:rPr>
        <w:t xml:space="preserve">, הובא לקמן סימן </w:t>
      </w:r>
      <w:r w:rsidR="00F67A5A">
        <w:rPr>
          <w:rStyle w:val="af6"/>
          <w:rFonts w:eastAsia="Guttman Hodes" w:hint="cs"/>
          <w:rtl/>
        </w:rPr>
        <w:t>י</w:t>
      </w:r>
      <w:r w:rsidR="00F41E73">
        <w:rPr>
          <w:rStyle w:val="af6"/>
          <w:rFonts w:eastAsia="Guttman Hodes" w:hint="cs"/>
          <w:rtl/>
        </w:rPr>
        <w:t xml:space="preserve">א' אות </w:t>
      </w:r>
      <w:r w:rsidR="00F67A5A">
        <w:rPr>
          <w:rStyle w:val="af6"/>
          <w:rFonts w:eastAsia="Guttman Hodes"/>
          <w:rtl/>
        </w:rPr>
        <w:fldChar w:fldCharType="begin"/>
      </w:r>
      <w:r w:rsidR="00F67A5A">
        <w:rPr>
          <w:rStyle w:val="af6"/>
          <w:rFonts w:eastAsia="Guttman Hodes"/>
          <w:rtl/>
        </w:rPr>
        <w:instrText xml:space="preserve"> </w:instrText>
      </w:r>
      <w:r w:rsidR="00F67A5A">
        <w:rPr>
          <w:rStyle w:val="af6"/>
          <w:rFonts w:eastAsia="Guttman Hodes" w:hint="cs"/>
        </w:rPr>
        <w:instrText>REF</w:instrText>
      </w:r>
      <w:r w:rsidR="00F67A5A">
        <w:rPr>
          <w:rStyle w:val="af6"/>
          <w:rFonts w:eastAsia="Guttman Hodes" w:hint="cs"/>
          <w:rtl/>
        </w:rPr>
        <w:instrText xml:space="preserve"> _</w:instrText>
      </w:r>
      <w:r w:rsidR="00F67A5A">
        <w:rPr>
          <w:rStyle w:val="af6"/>
          <w:rFonts w:eastAsia="Guttman Hodes" w:hint="cs"/>
        </w:rPr>
        <w:instrText>Ref15845975 \r \h</w:instrText>
      </w:r>
      <w:r w:rsidR="00F67A5A">
        <w:rPr>
          <w:rStyle w:val="af6"/>
          <w:rFonts w:eastAsia="Guttman Hodes"/>
          <w:rtl/>
        </w:rPr>
        <w:instrText xml:space="preserve"> </w:instrText>
      </w:r>
      <w:r w:rsidR="00F67A5A">
        <w:rPr>
          <w:rStyle w:val="af6"/>
          <w:rFonts w:eastAsia="Guttman Hodes"/>
          <w:rtl/>
        </w:rPr>
      </w:r>
      <w:r w:rsidR="00F67A5A">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00F67A5A">
        <w:rPr>
          <w:rStyle w:val="af6"/>
          <w:rFonts w:eastAsia="Guttman Hodes"/>
          <w:rtl/>
        </w:rPr>
        <w:fldChar w:fldCharType="end"/>
      </w:r>
      <w:r w:rsidR="00F41E73">
        <w:rPr>
          <w:rStyle w:val="af6"/>
          <w:rFonts w:eastAsia="Guttman Hodes" w:hint="cs"/>
          <w:rtl/>
        </w:rPr>
        <w:t xml:space="preserve"> </w:t>
      </w:r>
      <w:r w:rsidR="00F41E73" w:rsidRPr="00F41E73">
        <w:rPr>
          <w:rFonts w:hint="cs"/>
          <w:rtl/>
        </w:rPr>
        <w:t>דלדעת הירושלמי טעם כעיקר דאו' רק בנזי</w:t>
      </w:r>
      <w:r w:rsidR="00F41E73">
        <w:rPr>
          <w:rFonts w:hint="cs"/>
          <w:rtl/>
        </w:rPr>
        <w:t>ר ולא בשאר איסו</w:t>
      </w:r>
      <w:r w:rsidR="00F41E73" w:rsidRPr="00F41E73">
        <w:rPr>
          <w:rFonts w:hint="cs"/>
          <w:rtl/>
        </w:rPr>
        <w:t>רים</w:t>
      </w:r>
      <w:r w:rsidRPr="00F41E73">
        <w:rPr>
          <w:rFonts w:hint="cs"/>
          <w:rtl/>
        </w:rPr>
        <w:t>.</w:t>
      </w:r>
      <w:bookmarkEnd w:id="5024"/>
      <w:r w:rsidRPr="0050146A">
        <w:rPr>
          <w:rFonts w:hint="cs"/>
          <w:rtl/>
        </w:rPr>
        <w:t xml:space="preserve"> </w:t>
      </w:r>
    </w:p>
    <w:p w:rsidR="00F7606D" w:rsidRPr="0050146A" w:rsidRDefault="00F7606D" w:rsidP="00F7606D">
      <w:pPr>
        <w:pStyle w:val="a2"/>
        <w:rPr>
          <w:rtl/>
        </w:rPr>
      </w:pPr>
      <w:bookmarkStart w:id="5025" w:name="_Toc12791801"/>
      <w:bookmarkStart w:id="5026" w:name="_Toc12826273"/>
      <w:bookmarkStart w:id="5027" w:name="_Toc12872041"/>
      <w:bookmarkStart w:id="5028" w:name="_Toc12895305"/>
      <w:bookmarkStart w:id="5029" w:name="_Toc12896190"/>
      <w:bookmarkStart w:id="5030" w:name="_Toc12896350"/>
      <w:r w:rsidRPr="0050146A">
        <w:rPr>
          <w:rFonts w:hint="cs"/>
          <w:rtl/>
        </w:rPr>
        <w:t>דחיית התוס' דכוונת הירושלמי לדין היתר מצטרף לאיסור דהוא דרבנן ולא לדין טעם כעיקר</w:t>
      </w:r>
      <w:bookmarkEnd w:id="5025"/>
      <w:bookmarkEnd w:id="5026"/>
      <w:bookmarkEnd w:id="5027"/>
      <w:bookmarkEnd w:id="5028"/>
      <w:bookmarkEnd w:id="5029"/>
      <w:bookmarkEnd w:id="5030"/>
    </w:p>
    <w:p w:rsidR="00F7606D" w:rsidRPr="0050146A" w:rsidRDefault="00F7606D" w:rsidP="009F44AF">
      <w:pPr>
        <w:pStyle w:val="a"/>
        <w:rPr>
          <w:rtl/>
        </w:rPr>
      </w:pPr>
      <w:bookmarkStart w:id="5031" w:name="_Ref12438823"/>
      <w:r w:rsidRPr="0050146A">
        <w:rPr>
          <w:rFonts w:hint="cs"/>
          <w:rtl/>
        </w:rPr>
        <w:t xml:space="preserve">אבל </w:t>
      </w:r>
      <w:r w:rsidRPr="0050146A">
        <w:rPr>
          <w:rStyle w:val="af8"/>
          <w:rFonts w:hint="cs"/>
          <w:rtl/>
        </w:rPr>
        <w:t>התוס'</w:t>
      </w:r>
      <w:r w:rsidRPr="0050146A">
        <w:rPr>
          <w:rFonts w:hint="cs"/>
          <w:rtl/>
        </w:rPr>
        <w:t xml:space="preserve"> </w:t>
      </w:r>
      <w:r w:rsidRPr="0050146A">
        <w:rPr>
          <w:rStyle w:val="af6"/>
          <w:rFonts w:eastAsia="Guttman Hodes" w:hint="cs"/>
          <w:rtl/>
        </w:rPr>
        <w:t>(סוד"ה רבא)</w:t>
      </w:r>
      <w:r w:rsidRPr="0050146A">
        <w:rPr>
          <w:rtl/>
        </w:rPr>
        <w:t xml:space="preserve"> </w:t>
      </w:r>
      <w:r w:rsidRPr="0050146A">
        <w:rPr>
          <w:rFonts w:hint="cs"/>
          <w:rtl/>
        </w:rPr>
        <w:t xml:space="preserve">דחו את הראיה </w:t>
      </w:r>
      <w:r w:rsidRPr="0050146A">
        <w:rPr>
          <w:rStyle w:val="af8"/>
          <w:rFonts w:hint="cs"/>
          <w:rtl/>
        </w:rPr>
        <w:t>לרש"י</w:t>
      </w:r>
      <w:r w:rsidRPr="0050146A">
        <w:rPr>
          <w:rFonts w:hint="cs"/>
          <w:rtl/>
        </w:rPr>
        <w:t xml:space="preserve"> מהא דמשמע מהירושלמי דטעם כעיקר דרבנן, וביארו </w:t>
      </w:r>
      <w:r w:rsidRPr="0050146A">
        <w:rPr>
          <w:rStyle w:val="af8"/>
          <w:rFonts w:hint="cs"/>
          <w:rtl/>
        </w:rPr>
        <w:t xml:space="preserve">התוס' </w:t>
      </w:r>
      <w:r w:rsidRPr="0050146A">
        <w:rPr>
          <w:rFonts w:hint="cs"/>
          <w:rtl/>
        </w:rPr>
        <w:t xml:space="preserve">דבירושלמי איירי לענין היתר מצטרף לאיסור, ולא לענין טעם כעיקר, כמבואר בגמ' בפסחים </w:t>
      </w:r>
      <w:r w:rsidRPr="0050146A">
        <w:rPr>
          <w:rStyle w:val="af6"/>
          <w:rFonts w:eastAsia="Guttman Hodes" w:hint="cs"/>
          <w:rtl/>
        </w:rPr>
        <w:t>(מג:)</w:t>
      </w:r>
      <w:r w:rsidRPr="0050146A">
        <w:rPr>
          <w:rFonts w:hint="cs"/>
          <w:rtl/>
        </w:rPr>
        <w:t xml:space="preserve"> ובנזיר </w:t>
      </w:r>
      <w:r w:rsidRPr="0050146A">
        <w:rPr>
          <w:rStyle w:val="af6"/>
          <w:rFonts w:eastAsia="Guttman Hodes" w:hint="cs"/>
          <w:rtl/>
        </w:rPr>
        <w:t>(לה:)</w:t>
      </w:r>
      <w:r w:rsidRPr="0050146A">
        <w:rPr>
          <w:rFonts w:hint="cs"/>
          <w:rtl/>
        </w:rPr>
        <w:t xml:space="preserve"> דדברי רב אבהו בשם ריו"ח הם לענין היתר מצטרף לאיסור, אלא דהירושלמי קורא להיתר מצטרף לאיסור "נותן טעם".</w:t>
      </w:r>
      <w:bookmarkEnd w:id="5031"/>
    </w:p>
    <w:p w:rsidR="00F7606D" w:rsidRPr="0050146A" w:rsidRDefault="00F7606D" w:rsidP="00F7606D">
      <w:pPr>
        <w:pStyle w:val="1"/>
      </w:pPr>
      <w:bookmarkStart w:id="5032" w:name="_Toc12389142"/>
      <w:bookmarkStart w:id="5033" w:name="_Toc12453199"/>
      <w:bookmarkStart w:id="5034" w:name="_Toc12615967"/>
      <w:bookmarkStart w:id="5035" w:name="_Toc12791834"/>
      <w:bookmarkStart w:id="5036" w:name="_Toc12826315"/>
      <w:bookmarkStart w:id="5037" w:name="_Toc12872092"/>
      <w:bookmarkStart w:id="5038" w:name="_Toc12895306"/>
      <w:bookmarkStart w:id="5039" w:name="_Toc12896191"/>
      <w:bookmarkStart w:id="5040" w:name="_Toc12896351"/>
      <w:r w:rsidRPr="0050146A">
        <w:rPr>
          <w:rFonts w:hint="cs"/>
          <w:rtl/>
        </w:rPr>
        <w:t>דברי הרשב"א</w:t>
      </w:r>
      <w:bookmarkEnd w:id="5032"/>
      <w:bookmarkEnd w:id="5033"/>
      <w:bookmarkEnd w:id="5034"/>
      <w:bookmarkEnd w:id="5035"/>
      <w:bookmarkEnd w:id="5036"/>
      <w:bookmarkEnd w:id="5037"/>
      <w:r w:rsidRPr="0050146A">
        <w:rPr>
          <w:rFonts w:hint="cs"/>
          <w:rtl/>
        </w:rPr>
        <w:t xml:space="preserve"> בדין טעם כעיקר לר"י דמין במינו לא בטל</w:t>
      </w:r>
      <w:bookmarkEnd w:id="5038"/>
      <w:bookmarkEnd w:id="5039"/>
      <w:bookmarkEnd w:id="5040"/>
    </w:p>
    <w:p w:rsidR="00F7606D" w:rsidRPr="0050146A" w:rsidRDefault="00F7606D" w:rsidP="00F7606D">
      <w:pPr>
        <w:pStyle w:val="a2"/>
        <w:rPr>
          <w:rtl/>
        </w:rPr>
      </w:pPr>
      <w:bookmarkStart w:id="5041" w:name="_Toc12895307"/>
      <w:bookmarkStart w:id="5042" w:name="_Toc12896192"/>
      <w:bookmarkStart w:id="5043" w:name="_Toc12896352"/>
      <w:r w:rsidRPr="0050146A">
        <w:rPr>
          <w:rFonts w:hint="cs"/>
          <w:rtl/>
        </w:rPr>
        <w:t>קושית הרשב"א דרש"י ס"ל כר"י דמין במינו לא בטל ולר"י ודאי דטע"כ דאו' דההיתר נעשה כנבילה</w:t>
      </w:r>
      <w:bookmarkEnd w:id="5041"/>
      <w:bookmarkEnd w:id="5042"/>
      <w:bookmarkEnd w:id="5043"/>
    </w:p>
    <w:p w:rsidR="00F7606D" w:rsidRPr="0050146A" w:rsidRDefault="00F7606D" w:rsidP="009F44AF">
      <w:pPr>
        <w:pStyle w:val="a"/>
        <w:rPr>
          <w:rtl/>
        </w:rPr>
      </w:pPr>
      <w:bookmarkStart w:id="5044" w:name="_Ref12891455"/>
      <w:r w:rsidRPr="0050146A">
        <w:rPr>
          <w:rFonts w:hint="cs"/>
          <w:rtl/>
        </w:rPr>
        <w:t xml:space="preserve">הקשה </w:t>
      </w:r>
      <w:r w:rsidRPr="0050146A">
        <w:rPr>
          <w:rStyle w:val="af8"/>
          <w:rFonts w:hint="cs"/>
          <w:rtl/>
        </w:rPr>
        <w:t>הרשב"א</w:t>
      </w:r>
      <w:r w:rsidRPr="0050146A">
        <w:rPr>
          <w:rStyle w:val="af6"/>
          <w:rFonts w:eastAsia="Guttman Hodes" w:hint="cs"/>
          <w:rtl/>
        </w:rPr>
        <w:t xml:space="preserve"> (ד"ה ואי קשיא)</w:t>
      </w:r>
      <w:r w:rsidRPr="0050146A">
        <w:rPr>
          <w:rFonts w:hint="cs"/>
          <w:rtl/>
        </w:rPr>
        <w:t xml:space="preserve"> על </w:t>
      </w:r>
      <w:r w:rsidRPr="0050146A">
        <w:rPr>
          <w:rStyle w:val="af8"/>
          <w:rFonts w:hint="cs"/>
          <w:rtl/>
        </w:rPr>
        <w:t>רש"י</w:t>
      </w:r>
      <w:r w:rsidRPr="0050146A">
        <w:rPr>
          <w:rFonts w:hint="cs"/>
          <w:rtl/>
        </w:rPr>
        <w:t xml:space="preserve"> דהאיך אפש"ל דקיי"ל דטעם כעיקר דרבנן, הא לדעת ר"י דס"ל דמין במינו אינו בטל, א"כ ודאי דס"ל דטעם כעיקר דאו', דהא אם נפלה חתיכת נבילה על חתיכות היתר ונתנה בהם טעם, חתיכות ההיתר נעשו כנבילה עצמה מדאו, דהא הם מין במינו ולא מהני בהם ביטול, ומוכח דאף שמעורב בחתיכות ההיתר רק טעם האיסור ולא ממשו, מ"מ הוא אסור מדאו', וא"כ ודאי דלר"י טעם כעיקר דאו', והקשה </w:t>
      </w:r>
      <w:r w:rsidRPr="0050146A">
        <w:rPr>
          <w:rStyle w:val="af8"/>
          <w:rFonts w:hint="cs"/>
          <w:rtl/>
        </w:rPr>
        <w:t>הרשב"א</w:t>
      </w:r>
      <w:r w:rsidRPr="0050146A">
        <w:rPr>
          <w:rFonts w:hint="cs"/>
          <w:rtl/>
        </w:rPr>
        <w:t xml:space="preserve"> דהרי </w:t>
      </w:r>
      <w:r w:rsidRPr="0050146A">
        <w:rPr>
          <w:rStyle w:val="af8"/>
          <w:rFonts w:hint="cs"/>
          <w:rtl/>
        </w:rPr>
        <w:t>רש"י</w:t>
      </w:r>
      <w:r w:rsidRPr="0050146A">
        <w:rPr>
          <w:rFonts w:hint="cs"/>
          <w:rtl/>
        </w:rPr>
        <w:t xml:space="preserve"> </w:t>
      </w:r>
      <w:r w:rsidRPr="0050146A">
        <w:rPr>
          <w:rStyle w:val="af8"/>
          <w:rFonts w:hint="cs"/>
          <w:rtl/>
        </w:rPr>
        <w:lastRenderedPageBreak/>
        <w:t>לקמן</w:t>
      </w:r>
      <w:r w:rsidRPr="0050146A">
        <w:rPr>
          <w:rFonts w:hint="cs"/>
          <w:rtl/>
        </w:rPr>
        <w:t xml:space="preserve"> </w:t>
      </w:r>
      <w:r w:rsidRPr="0050146A">
        <w:rPr>
          <w:rStyle w:val="af6"/>
          <w:rFonts w:eastAsia="Guttman Hodes" w:hint="cs"/>
          <w:rtl/>
        </w:rPr>
        <w:t>(קט. ד"ה ותו)</w:t>
      </w:r>
      <w:r w:rsidRPr="0050146A">
        <w:rPr>
          <w:rFonts w:hint="cs"/>
          <w:rtl/>
        </w:rPr>
        <w:t xml:space="preserve"> פסק כר"י דמין במינו לא בטל, וא"כ א"א לפסוק דטעם כעיקר דרבנן.</w:t>
      </w:r>
      <w:bookmarkEnd w:id="5044"/>
    </w:p>
    <w:p w:rsidR="00F7606D" w:rsidRPr="0050146A" w:rsidRDefault="00F7606D" w:rsidP="00F7606D">
      <w:pPr>
        <w:pStyle w:val="a2"/>
      </w:pPr>
      <w:bookmarkStart w:id="5045" w:name="_Toc12895308"/>
      <w:bookmarkStart w:id="5046" w:name="_Toc12896193"/>
      <w:bookmarkStart w:id="5047" w:name="_Toc12896353"/>
      <w:r w:rsidRPr="0050146A">
        <w:rPr>
          <w:rFonts w:hint="cs"/>
          <w:rtl/>
        </w:rPr>
        <w:t>ביאור החמד"ש ברשב"א דבמין במינו נשארת החשיבות של הטעם ואינה בטלה לר"י והוי כממשו</w:t>
      </w:r>
      <w:bookmarkEnd w:id="5045"/>
      <w:bookmarkEnd w:id="5046"/>
      <w:bookmarkEnd w:id="5047"/>
    </w:p>
    <w:p w:rsidR="00CF5545" w:rsidRPr="0050146A" w:rsidRDefault="00F7606D" w:rsidP="009F44AF">
      <w:pPr>
        <w:pStyle w:val="a"/>
        <w:rPr>
          <w:rtl/>
        </w:rPr>
      </w:pPr>
      <w:r w:rsidRPr="0050146A">
        <w:rPr>
          <w:rFonts w:hint="cs"/>
          <w:rtl/>
        </w:rPr>
        <w:t xml:space="preserve">וביאר </w:t>
      </w:r>
      <w:r w:rsidRPr="0050146A">
        <w:rPr>
          <w:rStyle w:val="af8"/>
          <w:rFonts w:hint="cs"/>
          <w:rtl/>
        </w:rPr>
        <w:t>החמד"ש</w:t>
      </w:r>
      <w:r w:rsidRPr="0050146A">
        <w:rPr>
          <w:rFonts w:hint="cs"/>
          <w:rtl/>
        </w:rPr>
        <w:t xml:space="preserve"> </w:t>
      </w:r>
      <w:r w:rsidRPr="0050146A">
        <w:rPr>
          <w:rStyle w:val="af6"/>
          <w:rFonts w:eastAsia="Guttman Hodes" w:hint="cs"/>
          <w:rtl/>
        </w:rPr>
        <w:t>(שו"ת יו"ד סי' י"ג ד"ה ומדברי הרשב"א)</w:t>
      </w:r>
      <w:r w:rsidRPr="0050146A">
        <w:rPr>
          <w:rFonts w:hint="cs"/>
          <w:rtl/>
        </w:rPr>
        <w:t xml:space="preserve"> דכוונת </w:t>
      </w:r>
      <w:r w:rsidRPr="0050146A">
        <w:rPr>
          <w:rStyle w:val="af8"/>
          <w:rFonts w:hint="cs"/>
          <w:rtl/>
        </w:rPr>
        <w:t>הרשב"א</w:t>
      </w:r>
      <w:r w:rsidRPr="0050146A">
        <w:rPr>
          <w:rFonts w:hint="cs"/>
          <w:rtl/>
        </w:rPr>
        <w:t xml:space="preserve"> לומר דכיון שהטעם של הנבילה נבלה בשחוטה שהיא מין הנבילה, לכן נשארת החשיבות של טעם הנבילה, וחשיב כממשו של האיסור, ועי' במה שהוכיח </w:t>
      </w:r>
      <w:r w:rsidRPr="0050146A">
        <w:rPr>
          <w:rStyle w:val="af8"/>
          <w:rFonts w:hint="cs"/>
          <w:rtl/>
        </w:rPr>
        <w:t>החמד"ש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Ref12893805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קז)</w:t>
      </w:r>
      <w:r w:rsidRPr="0050146A">
        <w:rPr>
          <w:rStyle w:val="af6"/>
          <w:rFonts w:eastAsia="Guttman Hodes"/>
          <w:rtl/>
        </w:rPr>
        <w:fldChar w:fldCharType="end"/>
      </w:r>
      <w:r w:rsidRPr="0050146A">
        <w:rPr>
          <w:rFonts w:hint="cs"/>
          <w:rtl/>
        </w:rPr>
        <w:t xml:space="preserve"> מדברי </w:t>
      </w:r>
      <w:r w:rsidRPr="0050146A">
        <w:rPr>
          <w:rStyle w:val="af8"/>
          <w:rFonts w:hint="cs"/>
          <w:rtl/>
        </w:rPr>
        <w:t>הרשב"א</w:t>
      </w:r>
      <w:r w:rsidRPr="0050146A">
        <w:rPr>
          <w:rFonts w:hint="cs"/>
          <w:rtl/>
        </w:rPr>
        <w:t xml:space="preserve"> לדין ביטול ברוב בטעם.</w:t>
      </w:r>
    </w:p>
    <w:p w:rsidR="00F7606D" w:rsidRPr="0050146A" w:rsidRDefault="00F7606D" w:rsidP="00F7606D">
      <w:pPr>
        <w:pStyle w:val="a2"/>
      </w:pPr>
      <w:bookmarkStart w:id="5048" w:name="_Toc12895309"/>
      <w:bookmarkStart w:id="5049" w:name="_Toc12896194"/>
      <w:bookmarkStart w:id="5050" w:name="_Toc12896354"/>
      <w:r w:rsidRPr="0050146A">
        <w:rPr>
          <w:rFonts w:hint="cs"/>
          <w:rtl/>
        </w:rPr>
        <w:t>דברי החמד"ש דלדעת הר"ן אף לר"י אפש"ל דטעם כעיקר דרבנן</w:t>
      </w:r>
      <w:bookmarkEnd w:id="5048"/>
      <w:bookmarkEnd w:id="5049"/>
      <w:bookmarkEnd w:id="5050"/>
    </w:p>
    <w:p w:rsidR="00F7606D" w:rsidRPr="0050146A" w:rsidRDefault="00F7606D" w:rsidP="009F44AF">
      <w:pPr>
        <w:pStyle w:val="a"/>
        <w:rPr>
          <w:rtl/>
        </w:rPr>
      </w:pPr>
      <w:r w:rsidRPr="0050146A">
        <w:rPr>
          <w:rFonts w:hint="cs"/>
          <w:rtl/>
        </w:rPr>
        <w:t xml:space="preserve">וכתב </w:t>
      </w:r>
      <w:r w:rsidRPr="0050146A">
        <w:rPr>
          <w:rStyle w:val="af8"/>
          <w:rFonts w:hint="cs"/>
          <w:rtl/>
        </w:rPr>
        <w:t>החמד"ש</w:t>
      </w:r>
      <w:r w:rsidRPr="0050146A">
        <w:rPr>
          <w:rFonts w:hint="cs"/>
          <w:rtl/>
        </w:rPr>
        <w:t xml:space="preserve"> </w:t>
      </w:r>
      <w:r w:rsidRPr="0050146A">
        <w:rPr>
          <w:rStyle w:val="af8"/>
          <w:rFonts w:hint="cs"/>
          <w:rtl/>
        </w:rPr>
        <w:t>דהר"ן</w:t>
      </w:r>
      <w:r w:rsidRPr="0050146A">
        <w:rPr>
          <w:rFonts w:hint="cs"/>
          <w:rtl/>
        </w:rPr>
        <w:t xml:space="preserve"> </w:t>
      </w:r>
      <w:r w:rsidRPr="0050146A">
        <w:rPr>
          <w:rStyle w:val="af8"/>
          <w:rFonts w:hint="cs"/>
          <w:rtl/>
        </w:rPr>
        <w:t>על הרי"ף</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Ref12892555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פליג על</w:t>
      </w:r>
      <w:r w:rsidRPr="0050146A">
        <w:rPr>
          <w:rStyle w:val="af8"/>
          <w:rFonts w:hint="cs"/>
          <w:rtl/>
        </w:rPr>
        <w:t xml:space="preserve"> הרשב"א</w:t>
      </w:r>
      <w:r w:rsidRPr="0050146A">
        <w:rPr>
          <w:rFonts w:hint="cs"/>
          <w:rtl/>
        </w:rPr>
        <w:t xml:space="preserve"> בזה, דהא </w:t>
      </w:r>
      <w:r w:rsidRPr="0050146A">
        <w:rPr>
          <w:rStyle w:val="af8"/>
          <w:rFonts w:hint="cs"/>
          <w:rtl/>
        </w:rPr>
        <w:t>הר"ן</w:t>
      </w:r>
      <w:r w:rsidRPr="0050146A">
        <w:rPr>
          <w:rFonts w:hint="cs"/>
          <w:rtl/>
        </w:rPr>
        <w:t xml:space="preserve"> ביאר דתירוץ רבא הוא אליבא דר"י, ואפ"ה כתב דס"ל לרבא דטעם כעיקר דרבנן, וכדעת </w:t>
      </w:r>
      <w:r w:rsidRPr="0050146A">
        <w:rPr>
          <w:rStyle w:val="af8"/>
          <w:rFonts w:hint="cs"/>
          <w:rtl/>
        </w:rPr>
        <w:t>רש"י</w:t>
      </w:r>
      <w:r w:rsidRPr="0050146A">
        <w:rPr>
          <w:rFonts w:hint="cs"/>
          <w:rtl/>
        </w:rPr>
        <w:t>.</w:t>
      </w:r>
    </w:p>
    <w:p w:rsidR="00F7606D" w:rsidRPr="0050146A" w:rsidRDefault="00F7606D" w:rsidP="00F7606D">
      <w:pPr>
        <w:pStyle w:val="a2"/>
        <w:rPr>
          <w:rtl/>
        </w:rPr>
      </w:pPr>
      <w:bookmarkStart w:id="5051" w:name="_Toc12895310"/>
      <w:bookmarkStart w:id="5052" w:name="_Toc12896195"/>
      <w:bookmarkStart w:id="5053" w:name="_Toc12896355"/>
      <w:r w:rsidRPr="0050146A">
        <w:rPr>
          <w:rFonts w:hint="cs"/>
          <w:rtl/>
        </w:rPr>
        <w:t>תירוץ הרשב"א דמין במינו לא בטל לר"י מגזיה"כ ולא מחמת הטעם דהא אוסר אף במשהו</w:t>
      </w:r>
      <w:bookmarkEnd w:id="5051"/>
      <w:bookmarkEnd w:id="5052"/>
      <w:bookmarkEnd w:id="5053"/>
    </w:p>
    <w:p w:rsidR="00F7606D" w:rsidRPr="0050146A" w:rsidRDefault="00F7606D" w:rsidP="009F44AF">
      <w:pPr>
        <w:pStyle w:val="a"/>
        <w:rPr>
          <w:rtl/>
        </w:rPr>
      </w:pPr>
      <w:r w:rsidRPr="0050146A">
        <w:rPr>
          <w:rFonts w:hint="cs"/>
          <w:rtl/>
        </w:rPr>
        <w:t xml:space="preserve">ותירץ </w:t>
      </w:r>
      <w:r w:rsidRPr="0050146A">
        <w:rPr>
          <w:rStyle w:val="af8"/>
          <w:rFonts w:hint="cs"/>
          <w:rtl/>
        </w:rPr>
        <w:t>הרשב"א</w:t>
      </w:r>
      <w:r w:rsidRPr="0050146A">
        <w:rPr>
          <w:rFonts w:hint="cs"/>
          <w:rtl/>
        </w:rPr>
        <w:t xml:space="preserve"> דהא דס"ל לר"י דמין במינו לא בטל, אינו מחמת טעם האיסור שמעורב בהיתר, ולא שייך כלל לדין טעמו ולא ממשו, דמין במינו לר"י הוא גזיה"כ מדם פר ושעיר, וכתב </w:t>
      </w:r>
      <w:r w:rsidRPr="0050146A">
        <w:rPr>
          <w:rStyle w:val="af8"/>
          <w:rFonts w:hint="cs"/>
          <w:rtl/>
        </w:rPr>
        <w:t>הרשב"א</w:t>
      </w:r>
      <w:r w:rsidRPr="0050146A">
        <w:rPr>
          <w:rFonts w:hint="cs"/>
          <w:rtl/>
        </w:rPr>
        <w:t xml:space="preserve"> דמוכח דהאיסור במין במינו לר"י אינו מדין טעם, דהא אוסר ר"י אף במשהו דאין בו נתינת טעם כלל, ולא מצינו מי שאסר בטעם במשהו, ולדעת רבנן דס"ל דמין במינו בטל, כתב </w:t>
      </w:r>
      <w:r w:rsidRPr="0050146A">
        <w:rPr>
          <w:rStyle w:val="af8"/>
          <w:rFonts w:hint="cs"/>
          <w:rtl/>
        </w:rPr>
        <w:t>הרשב"א</w:t>
      </w:r>
      <w:r w:rsidRPr="0050146A">
        <w:rPr>
          <w:rFonts w:hint="cs"/>
          <w:rtl/>
        </w:rPr>
        <w:t xml:space="preserve"> דלכו"ע במין במינו אין הטעם כעיקר, דכל דין טעם כעיקר הוא רק במין בשאינו מינו, וכדהוכיח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Ref12438870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0146A">
        <w:rPr>
          <w:rStyle w:val="af6"/>
          <w:rFonts w:eastAsia="Guttman Hodes"/>
          <w:rtl/>
        </w:rPr>
        <w:fldChar w:fldCharType="end"/>
      </w:r>
      <w:r w:rsidRPr="0050146A">
        <w:rPr>
          <w:rFonts w:hint="cs"/>
          <w:rtl/>
        </w:rPr>
        <w:t xml:space="preserve"> מדברי הירושלמי ומדין ב' קופות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Ref12392115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146A">
        <w:rPr>
          <w:rStyle w:val="af6"/>
          <w:rFonts w:eastAsia="Guttman Hodes"/>
          <w:rtl/>
        </w:rPr>
        <w:fldChar w:fldCharType="end"/>
      </w:r>
      <w:r w:rsidRPr="0050146A">
        <w:rPr>
          <w:rFonts w:hint="cs"/>
          <w:rtl/>
        </w:rPr>
        <w:t>.</w:t>
      </w:r>
    </w:p>
    <w:p w:rsidR="00F7606D" w:rsidRPr="0050146A" w:rsidRDefault="00F7606D" w:rsidP="00F7606D">
      <w:pPr>
        <w:pStyle w:val="a2"/>
        <w:rPr>
          <w:rtl/>
        </w:rPr>
      </w:pPr>
      <w:bookmarkStart w:id="5054" w:name="_Toc12895311"/>
      <w:bookmarkStart w:id="5055" w:name="_Toc12896196"/>
      <w:bookmarkStart w:id="5056" w:name="_Toc12896356"/>
      <w:r w:rsidRPr="0050146A">
        <w:rPr>
          <w:rFonts w:hint="cs"/>
          <w:rtl/>
        </w:rPr>
        <w:t>קושית הגרעק"א דאי לר"י טע"כ דאו' א"כ לא דמי לדם פר שיש בו ממשות ולא רק טעם</w:t>
      </w:r>
      <w:bookmarkEnd w:id="5054"/>
      <w:bookmarkEnd w:id="5055"/>
      <w:bookmarkEnd w:id="5056"/>
    </w:p>
    <w:p w:rsidR="00F7606D" w:rsidRPr="0050146A" w:rsidRDefault="00F7606D" w:rsidP="009F44AF">
      <w:pPr>
        <w:pStyle w:val="a"/>
        <w:rPr>
          <w:rtl/>
        </w:rPr>
      </w:pPr>
      <w:r w:rsidRPr="0050146A">
        <w:rPr>
          <w:rFonts w:hint="cs"/>
          <w:rtl/>
        </w:rPr>
        <w:t xml:space="preserve">והקשה </w:t>
      </w:r>
      <w:r w:rsidRPr="0050146A">
        <w:rPr>
          <w:rStyle w:val="af8"/>
          <w:rFonts w:hint="cs"/>
          <w:rtl/>
        </w:rPr>
        <w:t>הגרעק"א</w:t>
      </w:r>
      <w:r w:rsidRPr="0050146A">
        <w:rPr>
          <w:rStyle w:val="af6"/>
          <w:rFonts w:eastAsia="Guttman Hodes" w:hint="cs"/>
          <w:rtl/>
        </w:rPr>
        <w:t xml:space="preserve"> (ד"ה מה דתמה, שו"ת מהדו"ק סי' קס"ו)</w:t>
      </w:r>
      <w:r w:rsidRPr="0050146A">
        <w:rPr>
          <w:rFonts w:hint="cs"/>
          <w:rtl/>
        </w:rPr>
        <w:t xml:space="preserve"> על </w:t>
      </w:r>
      <w:r w:rsidRPr="0050146A">
        <w:rPr>
          <w:rStyle w:val="af8"/>
          <w:rFonts w:hint="cs"/>
          <w:rtl/>
        </w:rPr>
        <w:t>הרשב"א</w:t>
      </w:r>
      <w:r w:rsidRPr="0050146A">
        <w:rPr>
          <w:rFonts w:hint="cs"/>
          <w:rtl/>
        </w:rPr>
        <w:t xml:space="preserve"> דאי ס"ל דמוכח דס"ל לר"י דטעם כעיקר דאו', א"כ מה תירץ דבמין במינו אינו מדין הטעם, אלא הוא גזיה"כ מדם פר ושעיר, והרי בדם פר ושעיר אי"ז רק תערובת של טעם, דממשו של הדם מעורב.</w:t>
      </w:r>
    </w:p>
    <w:p w:rsidR="00F7606D" w:rsidRPr="0050146A" w:rsidRDefault="00F7606D" w:rsidP="00F7606D">
      <w:pPr>
        <w:pStyle w:val="a2"/>
      </w:pPr>
      <w:bookmarkStart w:id="5057" w:name="_Toc12895312"/>
      <w:bookmarkStart w:id="5058" w:name="_Toc12896197"/>
      <w:bookmarkStart w:id="5059" w:name="_Toc12896357"/>
      <w:r w:rsidRPr="0050146A">
        <w:rPr>
          <w:rFonts w:hint="cs"/>
          <w:rtl/>
        </w:rPr>
        <w:t>ביאור הגרעק"א ברשב"א דבמין במינו רק לרבנן הוא כעין טעם אבל לר"י הוא מגזיה"כ</w:t>
      </w:r>
      <w:bookmarkEnd w:id="5057"/>
      <w:bookmarkEnd w:id="5058"/>
      <w:bookmarkEnd w:id="5059"/>
    </w:p>
    <w:p w:rsidR="00F7606D" w:rsidRPr="0050146A" w:rsidRDefault="00F7606D" w:rsidP="009F44AF">
      <w:pPr>
        <w:pStyle w:val="a"/>
        <w:rPr>
          <w:rtl/>
        </w:rPr>
      </w:pPr>
      <w:bookmarkStart w:id="5060" w:name="_Ref12532121"/>
      <w:r w:rsidRPr="0050146A">
        <w:rPr>
          <w:rFonts w:hint="cs"/>
          <w:rtl/>
        </w:rPr>
        <w:t xml:space="preserve">וביאר </w:t>
      </w:r>
      <w:r w:rsidRPr="0050146A">
        <w:rPr>
          <w:rStyle w:val="af8"/>
          <w:rFonts w:hint="cs"/>
          <w:rtl/>
        </w:rPr>
        <w:t>הגרעק"א</w:t>
      </w:r>
      <w:r w:rsidRPr="0050146A">
        <w:rPr>
          <w:rFonts w:hint="cs"/>
          <w:rtl/>
        </w:rPr>
        <w:t xml:space="preserve"> דכוונת </w:t>
      </w:r>
      <w:r w:rsidRPr="0050146A">
        <w:rPr>
          <w:rStyle w:val="af8"/>
          <w:rFonts w:hint="cs"/>
          <w:rtl/>
        </w:rPr>
        <w:t>הרשב"א</w:t>
      </w:r>
      <w:r w:rsidRPr="0050146A">
        <w:rPr>
          <w:rFonts w:hint="cs"/>
          <w:rtl/>
        </w:rPr>
        <w:t xml:space="preserve"> לומר דכל הנדון בדבר שתלוי בטעם הוא רק במין בשאינו מינו דבו יש שיעור שישים, וכן במין במינו לדעת רבנן דמהני ביטול ברוב, דהוא כעין טעם, ובזה שייך לחלק בין טעמו לממשו, אבל במין במינו לר"י דהוא גזיה"כ דלא מהני ביה ביטול, אף במשהו שאינו נותן טעם כלל, וכיון שהאיסור לר"י אינו תלוי בטעם כלל לא שייך לחלק בו בין טעמו לממשו, ועי' במה שהוכיח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Ref12531993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קח)</w:t>
      </w:r>
      <w:r w:rsidRPr="0050146A">
        <w:rPr>
          <w:rStyle w:val="af6"/>
          <w:rFonts w:eastAsia="Guttman Hodes"/>
          <w:rtl/>
        </w:rPr>
        <w:fldChar w:fldCharType="end"/>
      </w:r>
      <w:r w:rsidRPr="0050146A">
        <w:rPr>
          <w:rFonts w:hint="cs"/>
          <w:rtl/>
        </w:rPr>
        <w:t xml:space="preserve"> מדברי </w:t>
      </w:r>
      <w:r w:rsidRPr="0050146A">
        <w:rPr>
          <w:rStyle w:val="af8"/>
          <w:rFonts w:hint="cs"/>
          <w:rtl/>
        </w:rPr>
        <w:t>הרשב"א</w:t>
      </w:r>
      <w:r w:rsidRPr="0050146A">
        <w:rPr>
          <w:rFonts w:hint="cs"/>
          <w:rtl/>
        </w:rPr>
        <w:t xml:space="preserve"> לדין ביטול ברוב בטעם.</w:t>
      </w:r>
      <w:bookmarkEnd w:id="5060"/>
    </w:p>
    <w:p w:rsidR="00F7606D" w:rsidRPr="0050146A" w:rsidRDefault="00F7606D" w:rsidP="00E669F8">
      <w:pPr>
        <w:pStyle w:val="afd"/>
        <w:rPr>
          <w:rtl/>
        </w:rPr>
      </w:pPr>
      <w:bookmarkStart w:id="5061" w:name="_Toc12791802"/>
      <w:bookmarkStart w:id="5062" w:name="_Toc12826274"/>
      <w:bookmarkStart w:id="5063" w:name="_Toc12872042"/>
      <w:bookmarkStart w:id="5064" w:name="_Toc12895313"/>
      <w:bookmarkStart w:id="5065" w:name="_Toc12896198"/>
      <w:bookmarkStart w:id="5066" w:name="_Toc12896358"/>
      <w:r w:rsidRPr="0050146A">
        <w:rPr>
          <w:rFonts w:hint="cs"/>
          <w:rtl/>
        </w:rPr>
        <w:t>דעת התוס' דטעם כעיקר דאו'</w:t>
      </w:r>
      <w:bookmarkEnd w:id="5061"/>
      <w:bookmarkEnd w:id="5062"/>
      <w:bookmarkEnd w:id="5063"/>
      <w:bookmarkEnd w:id="5064"/>
      <w:bookmarkEnd w:id="5065"/>
      <w:bookmarkEnd w:id="5066"/>
    </w:p>
    <w:p w:rsidR="00F7606D" w:rsidRPr="0050146A" w:rsidRDefault="00F7606D" w:rsidP="00F7606D">
      <w:pPr>
        <w:pStyle w:val="1"/>
        <w:rPr>
          <w:rtl/>
        </w:rPr>
      </w:pPr>
      <w:bookmarkStart w:id="5067" w:name="_Toc12791803"/>
      <w:bookmarkStart w:id="5068" w:name="_Toc12826275"/>
      <w:bookmarkStart w:id="5069" w:name="_Toc12872043"/>
      <w:bookmarkStart w:id="5070" w:name="_Toc12895314"/>
      <w:bookmarkStart w:id="5071" w:name="_Toc12896199"/>
      <w:bookmarkStart w:id="5072" w:name="_Toc12896359"/>
      <w:bookmarkEnd w:id="4952"/>
      <w:bookmarkEnd w:id="4953"/>
      <w:bookmarkEnd w:id="4954"/>
      <w:bookmarkEnd w:id="4955"/>
      <w:bookmarkEnd w:id="4956"/>
      <w:r w:rsidRPr="0050146A">
        <w:rPr>
          <w:rFonts w:hint="cs"/>
          <w:rtl/>
        </w:rPr>
        <w:t>דברי התוס' ור"ת בספר הישר דממשרת ילפינן דטע"כ דאו'</w:t>
      </w:r>
      <w:bookmarkEnd w:id="5067"/>
      <w:bookmarkEnd w:id="5068"/>
      <w:bookmarkEnd w:id="5069"/>
      <w:bookmarkEnd w:id="5070"/>
      <w:bookmarkEnd w:id="5071"/>
      <w:bookmarkEnd w:id="5072"/>
    </w:p>
    <w:p w:rsidR="00F7606D" w:rsidRPr="0050146A" w:rsidRDefault="00F7606D" w:rsidP="00F7606D">
      <w:pPr>
        <w:pStyle w:val="a2"/>
        <w:rPr>
          <w:rtl/>
        </w:rPr>
      </w:pPr>
      <w:bookmarkStart w:id="5073" w:name="_Toc12453179"/>
      <w:bookmarkStart w:id="5074" w:name="_Toc12615949"/>
      <w:bookmarkStart w:id="5075" w:name="_Toc12791804"/>
      <w:bookmarkStart w:id="5076" w:name="_Toc12826276"/>
      <w:bookmarkStart w:id="5077" w:name="_Toc12872044"/>
      <w:bookmarkStart w:id="5078" w:name="_Toc12895315"/>
      <w:bookmarkStart w:id="5079" w:name="_Toc12896200"/>
      <w:bookmarkStart w:id="5080" w:name="_Toc12896360"/>
      <w:bookmarkStart w:id="5081" w:name="_Toc11698095"/>
      <w:bookmarkStart w:id="5082" w:name="_Toc12205457"/>
      <w:bookmarkStart w:id="5083" w:name="_Toc12305189"/>
      <w:bookmarkStart w:id="5084" w:name="_Toc12389130"/>
      <w:r w:rsidRPr="0050146A">
        <w:rPr>
          <w:rFonts w:hint="cs"/>
          <w:rtl/>
        </w:rPr>
        <w:t>ביאור התוס' דלרבא טע"כ דאו' אף בחולין ובגמ' בפסחים מוכח דהילפותא ממשרת</w:t>
      </w:r>
      <w:bookmarkEnd w:id="5073"/>
      <w:bookmarkEnd w:id="5074"/>
      <w:r w:rsidRPr="0050146A">
        <w:rPr>
          <w:rFonts w:hint="cs"/>
          <w:rtl/>
        </w:rPr>
        <w:t xml:space="preserve"> אינה אסמכתא</w:t>
      </w:r>
      <w:bookmarkEnd w:id="5075"/>
      <w:bookmarkEnd w:id="5076"/>
      <w:bookmarkEnd w:id="5077"/>
      <w:bookmarkEnd w:id="5078"/>
      <w:bookmarkEnd w:id="5079"/>
      <w:bookmarkEnd w:id="5080"/>
    </w:p>
    <w:p w:rsidR="002D7168" w:rsidRDefault="00F7606D" w:rsidP="009F44AF">
      <w:pPr>
        <w:pStyle w:val="a"/>
        <w:rPr>
          <w:rtl/>
        </w:rPr>
      </w:pPr>
      <w:bookmarkStart w:id="5085" w:name="_Ref12809389"/>
      <w:r w:rsidRPr="0050146A">
        <w:rPr>
          <w:rFonts w:hint="cs"/>
          <w:rtl/>
        </w:rPr>
        <w:t xml:space="preserve">כתבו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tl/>
        </w:rPr>
        <w:t xml:space="preserve"> </w:t>
      </w:r>
      <w:r w:rsidRPr="0050146A">
        <w:rPr>
          <w:rFonts w:hint="cs"/>
          <w:rtl/>
        </w:rPr>
        <w:t>דרבא איירי בטעם גמור, וס"ל דטעם כעיקר דאו' בין בקדשים ובין בחולין, ובקדשים ילפינן מחטאת ובחולין ילפינן ממשרת בגמ'</w:t>
      </w:r>
      <w:r w:rsidRPr="0050146A">
        <w:rPr>
          <w:rStyle w:val="af6"/>
          <w:rFonts w:eastAsia="Guttman Hodes" w:hint="cs"/>
          <w:rtl/>
        </w:rPr>
        <w:t xml:space="preserve"> </w:t>
      </w:r>
      <w:r w:rsidRPr="0050146A">
        <w:rPr>
          <w:rFonts w:hint="cs"/>
          <w:rtl/>
        </w:rPr>
        <w:t>ב</w:t>
      </w:r>
      <w:r w:rsidRPr="0050146A">
        <w:rPr>
          <w:rtl/>
        </w:rPr>
        <w:t xml:space="preserve">פסחים </w:t>
      </w:r>
      <w:r w:rsidRPr="0050146A">
        <w:rPr>
          <w:rStyle w:val="af6"/>
          <w:rFonts w:eastAsia="Guttman Hodes" w:hint="cs"/>
          <w:rtl/>
        </w:rPr>
        <w:t xml:space="preserve">(מד.) </w:t>
      </w:r>
      <w:r w:rsidRPr="0050146A">
        <w:rPr>
          <w:rtl/>
        </w:rPr>
        <w:t xml:space="preserve">ובנזיר </w:t>
      </w:r>
      <w:r w:rsidRPr="0050146A">
        <w:rPr>
          <w:rStyle w:val="af6"/>
          <w:rFonts w:eastAsia="Guttman Hodes" w:hint="cs"/>
          <w:rtl/>
        </w:rPr>
        <w:t>(לז.)</w:t>
      </w:r>
      <w:r w:rsidRPr="0050146A">
        <w:rPr>
          <w:rFonts w:hint="cs"/>
          <w:rtl/>
        </w:rPr>
        <w:t xml:space="preserve">, והא דאמר רבא "טעם כעיקר בקדשים", ביארו </w:t>
      </w:r>
      <w:r w:rsidRPr="0050146A">
        <w:rPr>
          <w:rStyle w:val="af8"/>
          <w:rFonts w:hint="cs"/>
          <w:rtl/>
        </w:rPr>
        <w:t>התוס'</w:t>
      </w:r>
      <w:r w:rsidRPr="0050146A">
        <w:rPr>
          <w:rFonts w:hint="cs"/>
          <w:rtl/>
        </w:rPr>
        <w:t xml:space="preserve"> דהוא כיון דהכא איירי בזרוע בשלה דהוא קדשים, והוסיפו </w:t>
      </w:r>
      <w:r w:rsidRPr="0050146A">
        <w:rPr>
          <w:rStyle w:val="af8"/>
          <w:rFonts w:hint="cs"/>
          <w:rtl/>
        </w:rPr>
        <w:t xml:space="preserve">התוס' </w:t>
      </w:r>
      <w:r w:rsidRPr="0050146A">
        <w:rPr>
          <w:rFonts w:hint="cs"/>
          <w:rtl/>
        </w:rPr>
        <w:t xml:space="preserve">דמוכח דהילפותא ממשרת הוא דרשה גמורה ואינה אסמכתא, </w:t>
      </w:r>
      <w:r w:rsidRPr="0050146A">
        <w:rPr>
          <w:rStyle w:val="afa"/>
          <w:rFonts w:hint="cs"/>
          <w:rtl/>
        </w:rPr>
        <w:t xml:space="preserve">[כדכתב </w:t>
      </w:r>
      <w:r w:rsidRPr="0050146A">
        <w:rPr>
          <w:rStyle w:val="affa"/>
          <w:rFonts w:hint="cs"/>
          <w:rtl/>
        </w:rPr>
        <w:t xml:space="preserve">רש"י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Ref12438506 \n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ב)</w:t>
      </w:r>
      <w:r w:rsidRPr="0050146A">
        <w:rPr>
          <w:rStyle w:val="aff6"/>
          <w:rtl/>
        </w:rPr>
        <w:fldChar w:fldCharType="end"/>
      </w:r>
      <w:r w:rsidRPr="0050146A">
        <w:rPr>
          <w:rStyle w:val="afa"/>
          <w:rFonts w:hint="cs"/>
          <w:rtl/>
        </w:rPr>
        <w:t>],</w:t>
      </w:r>
      <w:r w:rsidRPr="0050146A">
        <w:rPr>
          <w:rFonts w:hint="cs"/>
          <w:rtl/>
        </w:rPr>
        <w:t xml:space="preserve"> דהא כיון דלר"ע דדריש ממשרת להיתר מצטרף לאיסור לוקין עליו, א"כ נשמע לרבנן דדרשי ממשרת לטעם כעיקר, דהיא ילפותא גמורה ולוקין עליו. </w:t>
      </w:r>
      <w:r w:rsidRPr="0050146A">
        <w:rPr>
          <w:rStyle w:val="afa"/>
          <w:rFonts w:hint="cs"/>
          <w:rtl/>
        </w:rPr>
        <w:t xml:space="preserve">[במ"ש </w:t>
      </w:r>
      <w:r w:rsidRPr="0050146A">
        <w:rPr>
          <w:rStyle w:val="affa"/>
          <w:rFonts w:hint="cs"/>
          <w:rtl/>
        </w:rPr>
        <w:t xml:space="preserve">התוס' </w:t>
      </w:r>
      <w:r w:rsidRPr="0050146A">
        <w:rPr>
          <w:rStyle w:val="afa"/>
          <w:rFonts w:hint="cs"/>
          <w:rtl/>
        </w:rPr>
        <w:t xml:space="preserve">דרבא לא נחלק על ריו"ח, עי' </w:t>
      </w:r>
      <w:r w:rsidRPr="0050146A">
        <w:rPr>
          <w:rStyle w:val="affa"/>
          <w:rFonts w:hint="cs"/>
          <w:rtl/>
        </w:rPr>
        <w:t>במלא הרועים</w:t>
      </w:r>
      <w:r w:rsidRPr="0050146A">
        <w:rPr>
          <w:rStyle w:val="afa"/>
          <w:rFonts w:hint="cs"/>
          <w:rtl/>
        </w:rPr>
        <w:t xml:space="preserve"> שהגיה רבנן במקום ריו"ח].</w:t>
      </w:r>
      <w:bookmarkEnd w:id="5085"/>
    </w:p>
    <w:p w:rsidR="00F7606D" w:rsidRPr="0050146A" w:rsidRDefault="00F7606D" w:rsidP="00F7606D">
      <w:pPr>
        <w:pStyle w:val="a2"/>
        <w:rPr>
          <w:rtl/>
        </w:rPr>
      </w:pPr>
      <w:bookmarkStart w:id="5086" w:name="_Toc12791805"/>
      <w:bookmarkStart w:id="5087" w:name="_Toc12826277"/>
      <w:bookmarkStart w:id="5088" w:name="_Toc12872045"/>
      <w:bookmarkStart w:id="5089" w:name="_Toc12895316"/>
      <w:bookmarkStart w:id="5090" w:name="_Toc12896201"/>
      <w:bookmarkStart w:id="5091" w:name="_Toc12896361"/>
      <w:r w:rsidRPr="0050146A">
        <w:rPr>
          <w:rFonts w:hint="cs"/>
          <w:rtl/>
        </w:rPr>
        <w:t>דברי ר"ת בספר הישר דבגמ' בפסחים מוכח דטעם כעיקר דאו' והילפותא ממשרת אינה אסמכתא</w:t>
      </w:r>
      <w:bookmarkEnd w:id="5086"/>
      <w:bookmarkEnd w:id="5087"/>
      <w:bookmarkEnd w:id="5088"/>
      <w:bookmarkEnd w:id="5089"/>
      <w:bookmarkEnd w:id="5090"/>
      <w:bookmarkEnd w:id="5091"/>
    </w:p>
    <w:p w:rsidR="00F7606D" w:rsidRPr="0050146A" w:rsidRDefault="00F7606D" w:rsidP="009F44AF">
      <w:pPr>
        <w:pStyle w:val="a"/>
        <w:rPr>
          <w:rtl/>
        </w:rPr>
      </w:pPr>
      <w:bookmarkStart w:id="5092" w:name="_Ref12809360"/>
      <w:r w:rsidRPr="0050146A">
        <w:rPr>
          <w:rFonts w:hint="cs"/>
          <w:rtl/>
        </w:rPr>
        <w:t xml:space="preserve">וכ"כ </w:t>
      </w:r>
      <w:r w:rsidRPr="0050146A">
        <w:rPr>
          <w:rStyle w:val="af8"/>
          <w:rFonts w:hint="cs"/>
          <w:rtl/>
        </w:rPr>
        <w:t xml:space="preserve">ר"ת בספר הישר </w:t>
      </w:r>
      <w:r w:rsidRPr="0050146A">
        <w:rPr>
          <w:rStyle w:val="af6"/>
          <w:rFonts w:eastAsia="Guttman Hodes" w:hint="cs"/>
          <w:rtl/>
        </w:rPr>
        <w:t>(חלק החי' סי' תרצ"ד, הועתק בקובץ שיטות קמאי ע"ז ח"ב עמ'</w:t>
      </w:r>
      <w:r w:rsidRPr="0050146A">
        <w:rPr>
          <w:rStyle w:val="af6"/>
          <w:rFonts w:eastAsia="Guttman Hodes"/>
          <w:rtl/>
        </w:rPr>
        <w:t xml:space="preserve"> אלף תר</w:t>
      </w:r>
      <w:r w:rsidRPr="0050146A">
        <w:rPr>
          <w:rStyle w:val="af6"/>
          <w:rFonts w:eastAsia="Guttman Hodes" w:hint="cs"/>
          <w:rtl/>
        </w:rPr>
        <w:t>"</w:t>
      </w:r>
      <w:r w:rsidRPr="0050146A">
        <w:rPr>
          <w:rStyle w:val="af6"/>
          <w:rFonts w:eastAsia="Guttman Hodes"/>
          <w:rtl/>
        </w:rPr>
        <w:t>י</w:t>
      </w:r>
      <w:r w:rsidRPr="0050146A">
        <w:rPr>
          <w:rStyle w:val="af6"/>
          <w:rFonts w:eastAsia="Guttman Hodes" w:hint="cs"/>
          <w:rtl/>
        </w:rPr>
        <w:t>)</w:t>
      </w:r>
      <w:r w:rsidRPr="0050146A">
        <w:rPr>
          <w:rFonts w:hint="cs"/>
          <w:rtl/>
        </w:rPr>
        <w:t xml:space="preserve"> דבגמ' בפסחים </w:t>
      </w:r>
      <w:r w:rsidRPr="0050146A">
        <w:rPr>
          <w:rStyle w:val="af6"/>
          <w:rFonts w:eastAsia="Guttman Hodes" w:hint="cs"/>
          <w:rtl/>
        </w:rPr>
        <w:t xml:space="preserve">(מד.) </w:t>
      </w:r>
      <w:r w:rsidRPr="0050146A">
        <w:rPr>
          <w:rFonts w:hint="cs"/>
          <w:rtl/>
        </w:rPr>
        <w:t xml:space="preserve">לדעת רבנן ילפינן ממשרת דטעם כעיקר, ואמרינן דממשרת בנזיר ילפינן לכל האיסורים שבתורה, ומבואר דלדעת רבנן טעם כעיקר דאו' ולוקין עליו, דהא ילפינן לה מקרא דמשרת, ועוד דכיון דר"ע בגמ' בפסחים דרש ממשרת את דין היתר מצטרף לאיסור, דלוקין עליו, א"כ מבואר דלרבנן דדרשי ממשרת לטעם כעיקר, דרשי גם לענין מלקות דהוא מדאו', דא"א לומר דלרבנן קרא דמשרת הוא אסמכתא בעלמא, ואילו לר"ע הוא ייתור גמור דדרשינן מיניה דלקי, אלא כיון דלר"ע הוא ילפותא גמורה, ה"ה לרבנן דהוא ילפותא גמורה וטעם כעיקר דאו', אך הוסיף </w:t>
      </w:r>
      <w:r w:rsidRPr="0050146A">
        <w:rPr>
          <w:rStyle w:val="af8"/>
          <w:rFonts w:hint="cs"/>
          <w:rtl/>
        </w:rPr>
        <w:t>ר"ת בספר הישר</w:t>
      </w:r>
      <w:r w:rsidRPr="0050146A">
        <w:rPr>
          <w:rFonts w:hint="cs"/>
          <w:rtl/>
        </w:rPr>
        <w:t xml:space="preserve"> דמה דפירש דלוקין על טעם כעיקר, אין כוונתו שיש בו ממש מלקות, אלא כוונת הגמ' לומר דהוא דאו' אף לענין מלקות, כדמוכח בגמ' בפסחים, </w:t>
      </w:r>
      <w:r w:rsidRPr="0050146A">
        <w:rPr>
          <w:rStyle w:val="afa"/>
          <w:rFonts w:hint="cs"/>
          <w:rtl/>
        </w:rPr>
        <w:t>[אולי כוונתו דאין מלקות כיון שצריך שיאכל כזית מהטעם של האיסור שמעורב בתוך ההיתר, ואין מלקות על כל התערובת]</w:t>
      </w:r>
      <w:bookmarkEnd w:id="5092"/>
      <w:r w:rsidRPr="0050146A">
        <w:rPr>
          <w:rStyle w:val="afa"/>
          <w:rFonts w:hint="cs"/>
          <w:rtl/>
        </w:rPr>
        <w:t>,</w:t>
      </w:r>
      <w:r w:rsidRPr="0050146A">
        <w:rPr>
          <w:rFonts w:hint="cs"/>
          <w:rtl/>
        </w:rPr>
        <w:t xml:space="preserve"> ועי' במה שתירץ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Ref12862288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בדעת </w:t>
      </w:r>
      <w:r w:rsidRPr="0050146A">
        <w:rPr>
          <w:rStyle w:val="af8"/>
          <w:rFonts w:hint="cs"/>
          <w:rtl/>
        </w:rPr>
        <w:t>רש"י</w:t>
      </w:r>
      <w:r w:rsidRPr="0050146A">
        <w:rPr>
          <w:rFonts w:hint="cs"/>
          <w:rtl/>
        </w:rPr>
        <w:t>.</w:t>
      </w:r>
    </w:p>
    <w:p w:rsidR="00F7606D" w:rsidRPr="0050146A" w:rsidRDefault="00F7606D" w:rsidP="00E669F8">
      <w:pPr>
        <w:pStyle w:val="afd"/>
        <w:rPr>
          <w:rtl/>
        </w:rPr>
      </w:pPr>
      <w:bookmarkStart w:id="5093" w:name="_Toc12872046"/>
      <w:bookmarkStart w:id="5094" w:name="_Toc12895317"/>
      <w:bookmarkStart w:id="5095" w:name="_Toc12896202"/>
      <w:bookmarkStart w:id="5096" w:name="_Toc12896362"/>
      <w:bookmarkStart w:id="5097" w:name="_Toc12791788"/>
      <w:bookmarkStart w:id="5098" w:name="_Toc12826252"/>
      <w:r w:rsidRPr="0050146A">
        <w:rPr>
          <w:rFonts w:hint="cs"/>
          <w:rtl/>
        </w:rPr>
        <w:t>באיסור הטעם עצמו לדעת התוס'</w:t>
      </w:r>
      <w:bookmarkEnd w:id="5093"/>
      <w:bookmarkEnd w:id="5094"/>
      <w:bookmarkEnd w:id="5095"/>
      <w:bookmarkEnd w:id="5096"/>
    </w:p>
    <w:p w:rsidR="00F7606D" w:rsidRPr="0050146A" w:rsidRDefault="00F7606D" w:rsidP="00F7606D">
      <w:pPr>
        <w:pStyle w:val="1"/>
        <w:rPr>
          <w:rtl/>
        </w:rPr>
      </w:pPr>
      <w:bookmarkStart w:id="5099" w:name="_Toc12872047"/>
      <w:bookmarkStart w:id="5100" w:name="_Toc12895318"/>
      <w:bookmarkStart w:id="5101" w:name="_Toc12896203"/>
      <w:bookmarkStart w:id="5102" w:name="_Toc12896363"/>
      <w:r w:rsidRPr="0050146A">
        <w:rPr>
          <w:rFonts w:hint="cs"/>
          <w:rtl/>
        </w:rPr>
        <w:t>דברי התוס' בילפותא דהטמאים ומשרת לטעם כעיקר</w:t>
      </w:r>
      <w:bookmarkEnd w:id="5097"/>
      <w:bookmarkEnd w:id="5098"/>
      <w:bookmarkEnd w:id="5099"/>
      <w:bookmarkEnd w:id="5100"/>
      <w:bookmarkEnd w:id="5101"/>
      <w:bookmarkEnd w:id="5102"/>
    </w:p>
    <w:p w:rsidR="00F7606D" w:rsidRPr="0050146A" w:rsidRDefault="00F7606D" w:rsidP="00F7606D">
      <w:pPr>
        <w:pStyle w:val="a2"/>
        <w:rPr>
          <w:rtl/>
        </w:rPr>
      </w:pPr>
      <w:bookmarkStart w:id="5103" w:name="_Toc12791789"/>
      <w:bookmarkStart w:id="5104" w:name="_Toc12826253"/>
      <w:bookmarkStart w:id="5105" w:name="_Toc12872048"/>
      <w:bookmarkStart w:id="5106" w:name="_Toc12895319"/>
      <w:bookmarkStart w:id="5107" w:name="_Toc12896204"/>
      <w:bookmarkStart w:id="5108" w:name="_Toc12896364"/>
      <w:r w:rsidRPr="0050146A">
        <w:rPr>
          <w:rFonts w:hint="cs"/>
          <w:rtl/>
        </w:rPr>
        <w:t>קושית התוס' לקמן דא"צ את ילפותא דהטמאים לאיסור הרוטב דממשרת ילפינן דטעם כעיקר אסור</w:t>
      </w:r>
      <w:bookmarkEnd w:id="5103"/>
      <w:bookmarkEnd w:id="5104"/>
      <w:bookmarkEnd w:id="5105"/>
      <w:bookmarkEnd w:id="5106"/>
      <w:bookmarkEnd w:id="5107"/>
      <w:bookmarkEnd w:id="5108"/>
      <w:r w:rsidRPr="0050146A">
        <w:rPr>
          <w:rFonts w:hint="cs"/>
          <w:rtl/>
        </w:rPr>
        <w:t xml:space="preserve"> </w:t>
      </w:r>
    </w:p>
    <w:p w:rsidR="00F7606D" w:rsidRPr="0050146A" w:rsidRDefault="00F7606D" w:rsidP="009F44AF">
      <w:pPr>
        <w:pStyle w:val="a"/>
        <w:rPr>
          <w:rtl/>
        </w:rPr>
      </w:pPr>
      <w:bookmarkStart w:id="5109" w:name="_Ref12872121"/>
      <w:r w:rsidRPr="0050146A">
        <w:rPr>
          <w:rFonts w:hint="cs"/>
          <w:rtl/>
        </w:rPr>
        <w:t xml:space="preserve">הקשו </w:t>
      </w:r>
      <w:r w:rsidRPr="0050146A">
        <w:rPr>
          <w:rStyle w:val="af8"/>
          <w:rFonts w:hint="cs"/>
          <w:rtl/>
        </w:rPr>
        <w:t>בתוס' לקמן</w:t>
      </w:r>
      <w:r w:rsidRPr="0050146A">
        <w:rPr>
          <w:rFonts w:hint="cs"/>
          <w:rtl/>
        </w:rPr>
        <w:t xml:space="preserve"> </w:t>
      </w:r>
      <w:r w:rsidRPr="0050146A">
        <w:rPr>
          <w:rStyle w:val="af6"/>
          <w:rFonts w:eastAsia="Guttman Hodes" w:hint="cs"/>
          <w:rtl/>
        </w:rPr>
        <w:t>(קיב: ד"ה ורוטבן)</w:t>
      </w:r>
      <w:r w:rsidRPr="0050146A">
        <w:rPr>
          <w:rFonts w:hint="cs"/>
          <w:rtl/>
        </w:rPr>
        <w:t xml:space="preserve"> על דאיתא בגמ' לקמן </w:t>
      </w:r>
      <w:r w:rsidRPr="0050146A">
        <w:rPr>
          <w:rStyle w:val="af6"/>
          <w:rFonts w:eastAsia="Guttman Hodes" w:hint="cs"/>
          <w:rtl/>
        </w:rPr>
        <w:t>(קיב:)</w:t>
      </w:r>
      <w:r w:rsidRPr="0050146A">
        <w:rPr>
          <w:rFonts w:hint="cs"/>
          <w:rtl/>
        </w:rPr>
        <w:t xml:space="preserve"> דילפינן מדכתיב "הטמאים" לאסור את הציר והרוטב של האיסור, דהרי אפשר ללמוד את האיסור של הרוטב, ממשרת כדילפינן בגמ' בפסחים </w:t>
      </w:r>
      <w:r w:rsidRPr="0050146A">
        <w:rPr>
          <w:rStyle w:val="af6"/>
          <w:rFonts w:eastAsia="Guttman Hodes" w:hint="cs"/>
          <w:rtl/>
        </w:rPr>
        <w:t>(מד:)</w:t>
      </w:r>
      <w:r w:rsidRPr="0050146A">
        <w:rPr>
          <w:rFonts w:hint="cs"/>
          <w:rtl/>
        </w:rPr>
        <w:t xml:space="preserve"> ממשרת דטעם כעיקר, וא"כ כלול בזה גם הציר והרוטב. </w:t>
      </w:r>
      <w:r w:rsidRPr="0050146A">
        <w:rPr>
          <w:rStyle w:val="afa"/>
          <w:rFonts w:hint="cs"/>
          <w:rtl/>
        </w:rPr>
        <w:t xml:space="preserve">[היינו לדעת </w:t>
      </w:r>
      <w:r w:rsidRPr="0050146A">
        <w:rPr>
          <w:rStyle w:val="affa"/>
          <w:rFonts w:hint="cs"/>
          <w:rtl/>
        </w:rPr>
        <w:t>התוס'</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Ref12809389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כו)</w:t>
      </w:r>
      <w:r w:rsidRPr="0050146A">
        <w:rPr>
          <w:rStyle w:val="aff6"/>
          <w:rtl/>
        </w:rPr>
        <w:fldChar w:fldCharType="end"/>
      </w:r>
      <w:r w:rsidRPr="0050146A">
        <w:rPr>
          <w:rStyle w:val="aff6"/>
          <w:rFonts w:hint="cs"/>
          <w:rtl/>
        </w:rPr>
        <w:t xml:space="preserve"> </w:t>
      </w:r>
      <w:r w:rsidRPr="0050146A">
        <w:rPr>
          <w:rStyle w:val="afa"/>
          <w:rFonts w:hint="cs"/>
          <w:rtl/>
        </w:rPr>
        <w:t xml:space="preserve">דס"ל דטעם כעיקר דאו', כדילפינן ממשרת, ואינו שייך לקושית </w:t>
      </w:r>
      <w:r w:rsidRPr="0050146A">
        <w:rPr>
          <w:rStyle w:val="affa"/>
          <w:rFonts w:hint="cs"/>
          <w:rtl/>
        </w:rPr>
        <w:t>הראשונים</w:t>
      </w:r>
      <w:r w:rsidRPr="0050146A">
        <w:rPr>
          <w:rStyle w:val="aff6"/>
          <w:rFonts w:hint="cs"/>
          <w:rtl/>
        </w:rPr>
        <w:t xml:space="preserve"> (עי'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Ref12464402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ה)</w:t>
      </w:r>
      <w:r w:rsidRPr="0050146A">
        <w:rPr>
          <w:rStyle w:val="aff6"/>
          <w:rtl/>
        </w:rPr>
        <w:fldChar w:fldCharType="end"/>
      </w:r>
      <w:r w:rsidRPr="0050146A">
        <w:rPr>
          <w:rStyle w:val="afa"/>
          <w:rFonts w:hint="cs"/>
          <w:rtl/>
        </w:rPr>
        <w:t xml:space="preserve"> על </w:t>
      </w:r>
      <w:r w:rsidRPr="0050146A">
        <w:rPr>
          <w:rStyle w:val="affa"/>
          <w:rFonts w:hint="cs"/>
          <w:rtl/>
        </w:rPr>
        <w:t>רש"י</w:t>
      </w:r>
      <w:r w:rsidRPr="0050146A">
        <w:rPr>
          <w:rStyle w:val="afa"/>
          <w:rFonts w:hint="cs"/>
          <w:rtl/>
        </w:rPr>
        <w:t xml:space="preserve"> דביאר ברבא דטעם כעיקר דרבנן]</w:t>
      </w:r>
      <w:bookmarkEnd w:id="5109"/>
      <w:r w:rsidRPr="0050146A">
        <w:rPr>
          <w:rStyle w:val="afa"/>
          <w:rFonts w:hint="cs"/>
          <w:rtl/>
        </w:rPr>
        <w:t xml:space="preserve">, </w:t>
      </w:r>
      <w:r w:rsidRPr="0050146A">
        <w:rPr>
          <w:rFonts w:hint="cs"/>
          <w:rtl/>
        </w:rPr>
        <w:t xml:space="preserve">ועי' במ"ש </w:t>
      </w:r>
      <w:r w:rsidRPr="0050146A">
        <w:rPr>
          <w:rStyle w:val="af8"/>
          <w:rFonts w:hint="cs"/>
          <w:rtl/>
        </w:rPr>
        <w:t>הפרמ"ג</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Ref12891021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50146A">
        <w:rPr>
          <w:rStyle w:val="af6"/>
          <w:rFonts w:eastAsia="Guttman Hodes"/>
          <w:rtl/>
        </w:rPr>
        <w:fldChar w:fldCharType="end"/>
      </w:r>
      <w:r w:rsidRPr="0050146A">
        <w:rPr>
          <w:rFonts w:hint="cs"/>
          <w:rtl/>
        </w:rPr>
        <w:t xml:space="preserve"> דלדברי </w:t>
      </w:r>
      <w:r w:rsidRPr="0050146A">
        <w:rPr>
          <w:rStyle w:val="af8"/>
          <w:rFonts w:hint="cs"/>
          <w:rtl/>
        </w:rPr>
        <w:t>רש"י</w:t>
      </w:r>
      <w:r w:rsidRPr="0050146A">
        <w:rPr>
          <w:rFonts w:hint="cs"/>
          <w:rtl/>
        </w:rPr>
        <w:t xml:space="preserve"> הילפותא היא כפשוטה, וע"ע במה שביאר </w:t>
      </w:r>
      <w:r w:rsidRPr="0050146A">
        <w:rPr>
          <w:rStyle w:val="af8"/>
          <w:rFonts w:hint="cs"/>
          <w:rtl/>
        </w:rPr>
        <w:t>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Ref12896150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קיז)</w:t>
      </w:r>
      <w:r w:rsidRPr="0050146A">
        <w:rPr>
          <w:rStyle w:val="af6"/>
          <w:rFonts w:eastAsia="Guttman Hodes"/>
          <w:rtl/>
        </w:rPr>
        <w:fldChar w:fldCharType="end"/>
      </w:r>
      <w:r w:rsidRPr="0050146A">
        <w:rPr>
          <w:rFonts w:hint="cs"/>
          <w:rtl/>
        </w:rPr>
        <w:t>.</w:t>
      </w:r>
    </w:p>
    <w:p w:rsidR="00F7606D" w:rsidRPr="0050146A" w:rsidRDefault="00F7606D" w:rsidP="00F7606D">
      <w:pPr>
        <w:pStyle w:val="a2"/>
        <w:rPr>
          <w:rtl/>
        </w:rPr>
      </w:pPr>
      <w:bookmarkStart w:id="5110" w:name="_Toc12791790"/>
      <w:bookmarkStart w:id="5111" w:name="_Toc12826254"/>
      <w:bookmarkStart w:id="5112" w:name="_Toc12872049"/>
      <w:bookmarkStart w:id="5113" w:name="_Toc12895320"/>
      <w:bookmarkStart w:id="5114" w:name="_Toc12896205"/>
      <w:bookmarkStart w:id="5115" w:name="_Toc12896365"/>
      <w:r w:rsidRPr="0050146A">
        <w:rPr>
          <w:rFonts w:hint="cs"/>
          <w:rtl/>
        </w:rPr>
        <w:t>התירוץ הא' בתוס' לקמן דילפותא דהטמאים היא לדין הציר אך הרוטב אסור מדין טעם כעיקר</w:t>
      </w:r>
      <w:bookmarkEnd w:id="5110"/>
      <w:bookmarkEnd w:id="5111"/>
      <w:bookmarkEnd w:id="5112"/>
      <w:bookmarkEnd w:id="5113"/>
      <w:bookmarkEnd w:id="5114"/>
      <w:bookmarkEnd w:id="5115"/>
    </w:p>
    <w:p w:rsidR="00F7606D" w:rsidRPr="0050146A" w:rsidRDefault="00F7606D" w:rsidP="009F44AF">
      <w:pPr>
        <w:pStyle w:val="a"/>
        <w:rPr>
          <w:rtl/>
        </w:rPr>
      </w:pPr>
      <w:r w:rsidRPr="0050146A">
        <w:rPr>
          <w:rFonts w:hint="cs"/>
          <w:rtl/>
        </w:rPr>
        <w:t xml:space="preserve">ותירצו </w:t>
      </w:r>
      <w:r w:rsidRPr="0050146A">
        <w:rPr>
          <w:rStyle w:val="af8"/>
          <w:rFonts w:hint="cs"/>
          <w:rtl/>
        </w:rPr>
        <w:t>התוס' לקמן</w:t>
      </w:r>
      <w:r w:rsidRPr="0050146A">
        <w:rPr>
          <w:rFonts w:hint="cs"/>
          <w:rtl/>
        </w:rPr>
        <w:t xml:space="preserve"> דעיקר הילפותא היא לדין הציר, אך הרוטב באמת נלמד מטעם כעיקר, והילפותא דהטמאים לדין הרוטב היא אסמכתא.</w:t>
      </w:r>
    </w:p>
    <w:p w:rsidR="00F7606D" w:rsidRPr="0050146A" w:rsidRDefault="00F7606D" w:rsidP="00F7606D">
      <w:pPr>
        <w:pStyle w:val="a2"/>
      </w:pPr>
      <w:bookmarkStart w:id="5116" w:name="_Toc12791791"/>
      <w:bookmarkStart w:id="5117" w:name="_Toc12826255"/>
      <w:bookmarkStart w:id="5118" w:name="_Toc12872050"/>
      <w:bookmarkStart w:id="5119" w:name="_Toc12895321"/>
      <w:bookmarkStart w:id="5120" w:name="_Toc12896206"/>
      <w:bookmarkStart w:id="5121" w:name="_Toc12896366"/>
      <w:r w:rsidRPr="0050146A">
        <w:rPr>
          <w:rFonts w:hint="cs"/>
          <w:rtl/>
        </w:rPr>
        <w:t>התירוץ הב' בתוס' לקמן דמהטמאים ילפינן דאף כשהאיסור מחוי לגמרי דינו כממשו</w:t>
      </w:r>
      <w:bookmarkEnd w:id="5116"/>
      <w:bookmarkEnd w:id="5117"/>
      <w:bookmarkEnd w:id="5118"/>
      <w:bookmarkEnd w:id="5119"/>
      <w:bookmarkEnd w:id="5120"/>
      <w:bookmarkEnd w:id="5121"/>
    </w:p>
    <w:p w:rsidR="00F7606D" w:rsidRPr="0050146A" w:rsidRDefault="00F7606D" w:rsidP="009F44AF">
      <w:pPr>
        <w:pStyle w:val="a"/>
        <w:rPr>
          <w:rtl/>
        </w:rPr>
      </w:pPr>
      <w:r w:rsidRPr="0050146A">
        <w:rPr>
          <w:rFonts w:hint="cs"/>
          <w:rtl/>
        </w:rPr>
        <w:t xml:space="preserve">ועוד תירצו </w:t>
      </w:r>
      <w:r w:rsidRPr="0050146A">
        <w:rPr>
          <w:rStyle w:val="af8"/>
          <w:rFonts w:hint="cs"/>
          <w:rtl/>
        </w:rPr>
        <w:t>התוס' לקמן</w:t>
      </w:r>
      <w:r w:rsidRPr="0050146A">
        <w:rPr>
          <w:rFonts w:hint="cs"/>
          <w:rtl/>
        </w:rPr>
        <w:t xml:space="preserve"> דאף לענין הרוטב ילפינן מדין הטמאים, ונ"מ למקום שהאיסור מחוי לגמרי, דדינו כממשו, ואם המחה שרץ וגמעו חשיב כאכילה, דהו"א דאין חיוב על שתית האיסור, עיי"ש בדבריהם.</w:t>
      </w:r>
    </w:p>
    <w:p w:rsidR="00F7606D" w:rsidRPr="0050146A" w:rsidRDefault="00F7606D" w:rsidP="00F7606D">
      <w:pPr>
        <w:pStyle w:val="a2"/>
        <w:rPr>
          <w:rtl/>
        </w:rPr>
      </w:pPr>
      <w:bookmarkStart w:id="5122" w:name="_Toc12872051"/>
      <w:bookmarkStart w:id="5123" w:name="_Toc12895322"/>
      <w:bookmarkStart w:id="5124" w:name="_Toc12896207"/>
      <w:bookmarkStart w:id="5125" w:name="_Toc12896367"/>
      <w:r w:rsidRPr="0050146A">
        <w:rPr>
          <w:rFonts w:hint="cs"/>
          <w:rtl/>
        </w:rPr>
        <w:t>קושית הראב"ד דאמאי לא מהני ביטול ברוב מדאו' למ"ד דטעם כעיקר דאו'</w:t>
      </w:r>
      <w:bookmarkEnd w:id="5122"/>
      <w:bookmarkEnd w:id="5123"/>
      <w:bookmarkEnd w:id="5124"/>
      <w:bookmarkEnd w:id="5125"/>
    </w:p>
    <w:p w:rsidR="00F7606D" w:rsidRPr="0050146A" w:rsidRDefault="00F7606D" w:rsidP="009F44AF">
      <w:pPr>
        <w:pStyle w:val="a"/>
      </w:pPr>
      <w:r w:rsidRPr="0050146A">
        <w:rPr>
          <w:rFonts w:hint="cs"/>
          <w:rtl/>
        </w:rPr>
        <w:t xml:space="preserve">ועי' במה שהקשה </w:t>
      </w:r>
      <w:r w:rsidRPr="0050146A">
        <w:rPr>
          <w:rStyle w:val="af8"/>
          <w:rFonts w:hint="cs"/>
          <w:rtl/>
        </w:rPr>
        <w:t>הראב"ד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Ref12862796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למ"ד טעם כעיקר דאו', אמאי מדאו' הטעם לא בטל ברוב, ובמ"ש בזה </w:t>
      </w:r>
      <w:r w:rsidRPr="0050146A">
        <w:rPr>
          <w:rStyle w:val="af8"/>
          <w:rFonts w:hint="cs"/>
          <w:rtl/>
        </w:rPr>
        <w:t>הש"ך</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Ref12871833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50146A">
        <w:rPr>
          <w:rStyle w:val="af6"/>
          <w:rFonts w:eastAsia="Guttman Hodes"/>
          <w:rtl/>
        </w:rPr>
        <w:fldChar w:fldCharType="end"/>
      </w:r>
      <w:r w:rsidRPr="0050146A">
        <w:rPr>
          <w:rFonts w:hint="cs"/>
          <w:rtl/>
        </w:rPr>
        <w:t xml:space="preserve"> </w:t>
      </w:r>
      <w:r w:rsidRPr="0050146A">
        <w:rPr>
          <w:rStyle w:val="af8"/>
          <w:rFonts w:hint="cs"/>
          <w:rtl/>
        </w:rPr>
        <w:t>והגרעק"א</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Ref12871845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והמהרי"ק</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Ref12890755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והנחל"ד</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Ref12871854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50146A">
        <w:rPr>
          <w:rStyle w:val="af6"/>
          <w:rFonts w:eastAsia="Guttman Hodes"/>
          <w:rtl/>
        </w:rPr>
        <w:fldChar w:fldCharType="end"/>
      </w:r>
      <w:r w:rsidRPr="0050146A">
        <w:rPr>
          <w:rStyle w:val="af6"/>
          <w:rFonts w:eastAsia="Guttman Hodes" w:hint="cs"/>
          <w:rtl/>
        </w:rPr>
        <w:t xml:space="preserve"> </w:t>
      </w:r>
      <w:r w:rsidRPr="0050146A">
        <w:rPr>
          <w:rStyle w:val="af8"/>
          <w:rFonts w:hint="cs"/>
          <w:rtl/>
        </w:rPr>
        <w:t>והגר"ח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Ref12896046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50146A">
        <w:rPr>
          <w:rStyle w:val="af6"/>
          <w:rFonts w:eastAsia="Guttman Hodes"/>
          <w:rtl/>
        </w:rPr>
        <w:fldChar w:fldCharType="end"/>
      </w:r>
      <w:r w:rsidRPr="0050146A">
        <w:rPr>
          <w:rFonts w:hint="cs"/>
          <w:rtl/>
        </w:rPr>
        <w:t>.</w:t>
      </w:r>
    </w:p>
    <w:p w:rsidR="00F7606D" w:rsidRPr="0050146A" w:rsidRDefault="00F7606D" w:rsidP="00E669F8">
      <w:pPr>
        <w:pStyle w:val="afd"/>
        <w:rPr>
          <w:rtl/>
        </w:rPr>
      </w:pPr>
      <w:bookmarkStart w:id="5126" w:name="_Toc12872052"/>
      <w:bookmarkStart w:id="5127" w:name="_Toc12895323"/>
      <w:bookmarkStart w:id="5128" w:name="_Toc12896208"/>
      <w:bookmarkStart w:id="5129" w:name="_Toc12896368"/>
      <w:bookmarkStart w:id="5130" w:name="_Toc12826278"/>
      <w:r w:rsidRPr="0050146A">
        <w:rPr>
          <w:rFonts w:hint="cs"/>
          <w:rtl/>
        </w:rPr>
        <w:t>ביאור הרמב"ן בילפותות לדעת רש"י</w:t>
      </w:r>
      <w:bookmarkEnd w:id="5126"/>
      <w:bookmarkEnd w:id="5127"/>
      <w:bookmarkEnd w:id="5128"/>
      <w:bookmarkEnd w:id="5129"/>
    </w:p>
    <w:p w:rsidR="00F7606D" w:rsidRPr="0050146A" w:rsidRDefault="00F7606D" w:rsidP="00F7606D">
      <w:pPr>
        <w:pStyle w:val="1"/>
        <w:rPr>
          <w:rtl/>
        </w:rPr>
      </w:pPr>
      <w:bookmarkStart w:id="5131" w:name="_Toc12872053"/>
      <w:bookmarkStart w:id="5132" w:name="_Toc12895324"/>
      <w:bookmarkStart w:id="5133" w:name="_Toc12896209"/>
      <w:bookmarkStart w:id="5134" w:name="_Toc12896369"/>
      <w:r w:rsidRPr="0050146A">
        <w:rPr>
          <w:rFonts w:hint="cs"/>
          <w:rtl/>
        </w:rPr>
        <w:t>תירוץ הרמב"ן דהגמ' בפסחים דטע"כ דאו' היא לדעת אביי</w:t>
      </w:r>
      <w:bookmarkEnd w:id="5130"/>
      <w:bookmarkEnd w:id="5131"/>
      <w:bookmarkEnd w:id="5132"/>
      <w:bookmarkEnd w:id="5133"/>
      <w:bookmarkEnd w:id="5134"/>
    </w:p>
    <w:p w:rsidR="00F7606D" w:rsidRPr="0050146A" w:rsidRDefault="00F7606D" w:rsidP="00F7606D">
      <w:pPr>
        <w:pStyle w:val="a2"/>
        <w:rPr>
          <w:rtl/>
        </w:rPr>
      </w:pPr>
      <w:bookmarkStart w:id="5135" w:name="_Toc12826279"/>
      <w:bookmarkStart w:id="5136" w:name="_Toc12872054"/>
      <w:bookmarkStart w:id="5137" w:name="_Toc12895325"/>
      <w:bookmarkStart w:id="5138" w:name="_Toc12896210"/>
      <w:bookmarkStart w:id="5139" w:name="_Toc12896370"/>
      <w:r w:rsidRPr="0050146A">
        <w:rPr>
          <w:rFonts w:hint="cs"/>
          <w:rtl/>
        </w:rPr>
        <w:t>דברי הרמב"ן דה</w:t>
      </w:r>
      <w:r w:rsidR="00715158">
        <w:rPr>
          <w:rFonts w:hint="cs"/>
          <w:rtl/>
        </w:rPr>
        <w:t>סוגית</w:t>
      </w:r>
      <w:r w:rsidRPr="0050146A">
        <w:rPr>
          <w:rFonts w:hint="cs"/>
          <w:rtl/>
        </w:rPr>
        <w:t xml:space="preserve"> בפסחים דילפינן ממשרת דטע"כ דאו' היא אליבא דאביי דס"ל כן לקמן</w:t>
      </w:r>
      <w:bookmarkEnd w:id="5135"/>
      <w:bookmarkEnd w:id="5136"/>
      <w:bookmarkEnd w:id="5137"/>
      <w:bookmarkEnd w:id="5138"/>
      <w:bookmarkEnd w:id="5139"/>
    </w:p>
    <w:p w:rsidR="00CF5545" w:rsidRPr="0050146A" w:rsidRDefault="00F7606D" w:rsidP="009F44AF">
      <w:pPr>
        <w:pStyle w:val="a"/>
        <w:rPr>
          <w:rtl/>
        </w:rPr>
      </w:pPr>
      <w:bookmarkStart w:id="5140" w:name="_Ref12862288"/>
      <w:r w:rsidRPr="0050146A">
        <w:rPr>
          <w:rFonts w:hint="cs"/>
          <w:rtl/>
        </w:rPr>
        <w:t>הביא</w:t>
      </w:r>
      <w:r w:rsidRPr="0050146A">
        <w:rPr>
          <w:rStyle w:val="af8"/>
          <w:rFonts w:hint="cs"/>
          <w:rtl/>
        </w:rPr>
        <w:t xml:space="preserve"> הרמב"ן</w:t>
      </w:r>
      <w:r w:rsidRPr="0050146A">
        <w:rPr>
          <w:rFonts w:hint="cs"/>
          <w:rtl/>
        </w:rPr>
        <w:t xml:space="preserve"> </w:t>
      </w:r>
      <w:r w:rsidRPr="0050146A">
        <w:rPr>
          <w:rStyle w:val="af6"/>
          <w:rFonts w:eastAsia="Guttman Hodes" w:hint="cs"/>
          <w:rtl/>
        </w:rPr>
        <w:t>(ד"ה ור"ת)</w:t>
      </w:r>
      <w:r w:rsidRPr="0050146A">
        <w:rPr>
          <w:rFonts w:hint="cs"/>
          <w:rtl/>
        </w:rPr>
        <w:t xml:space="preserve"> בשם </w:t>
      </w:r>
      <w:r w:rsidRPr="0050146A">
        <w:rPr>
          <w:rStyle w:val="af8"/>
          <w:rFonts w:hint="cs"/>
          <w:rtl/>
        </w:rPr>
        <w:t>ר"ת</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Ref12809360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50146A">
        <w:rPr>
          <w:rStyle w:val="af6"/>
          <w:rFonts w:eastAsia="Guttman Hodes"/>
          <w:rtl/>
        </w:rPr>
        <w:fldChar w:fldCharType="end"/>
      </w:r>
      <w:r w:rsidRPr="0050146A">
        <w:rPr>
          <w:rFonts w:hint="cs"/>
          <w:rtl/>
        </w:rPr>
        <w:t xml:space="preserve"> דהקשה על </w:t>
      </w:r>
      <w:r w:rsidRPr="0050146A">
        <w:rPr>
          <w:rStyle w:val="af8"/>
          <w:rFonts w:hint="cs"/>
          <w:rtl/>
        </w:rPr>
        <w:t>רש"י</w:t>
      </w:r>
      <w:r w:rsidRPr="0050146A">
        <w:rPr>
          <w:rFonts w:hint="cs"/>
          <w:rtl/>
        </w:rPr>
        <w:t xml:space="preserve"> דהיאך אפש"ל דטעם כעיקר דרבנן, הרי הגמ' מבואר דילפינן ממשרת דטעם כעיקר דאו', ותירץ </w:t>
      </w:r>
      <w:r w:rsidRPr="0050146A">
        <w:rPr>
          <w:rStyle w:val="af8"/>
          <w:rFonts w:hint="cs"/>
          <w:rtl/>
        </w:rPr>
        <w:t>הרמב"ן</w:t>
      </w:r>
      <w:r w:rsidRPr="0050146A">
        <w:rPr>
          <w:rFonts w:hint="cs"/>
          <w:rtl/>
        </w:rPr>
        <w:t xml:space="preserve"> בדעת </w:t>
      </w:r>
      <w:r w:rsidRPr="0050146A">
        <w:rPr>
          <w:rStyle w:val="af8"/>
          <w:rFonts w:hint="cs"/>
          <w:rtl/>
        </w:rPr>
        <w:t>רש"י</w:t>
      </w:r>
      <w:r w:rsidRPr="0050146A">
        <w:rPr>
          <w:rFonts w:hint="cs"/>
          <w:rtl/>
        </w:rPr>
        <w:t xml:space="preserve"> דהגמ' בפסחים היא </w:t>
      </w:r>
      <w:r w:rsidRPr="0050146A">
        <w:rPr>
          <w:rFonts w:hint="cs"/>
          <w:rtl/>
        </w:rPr>
        <w:lastRenderedPageBreak/>
        <w:t xml:space="preserve">אליבא דאביי, כמבואר בגמ' בפסחים </w:t>
      </w:r>
      <w:r w:rsidRPr="0050146A">
        <w:rPr>
          <w:rStyle w:val="af6"/>
          <w:rFonts w:eastAsia="Guttman Hodes" w:hint="cs"/>
          <w:rtl/>
        </w:rPr>
        <w:t>(מד.)</w:t>
      </w:r>
      <w:r w:rsidRPr="0050146A">
        <w:rPr>
          <w:rFonts w:hint="cs"/>
          <w:rtl/>
        </w:rPr>
        <w:t xml:space="preserve"> דכל ה</w:t>
      </w:r>
      <w:r w:rsidR="00715158">
        <w:rPr>
          <w:rFonts w:hint="cs"/>
          <w:rtl/>
        </w:rPr>
        <w:t>סוגית</w:t>
      </w:r>
      <w:r w:rsidRPr="0050146A">
        <w:rPr>
          <w:rFonts w:hint="cs"/>
          <w:rtl/>
        </w:rPr>
        <w:t xml:space="preserve"> היא דברי אביי לרב דימי, ואף הילפותא ממשרת אמרה אביי לרב דימי, וכמפורש להדיא בגמ' בנזיר </w:t>
      </w:r>
      <w:r w:rsidRPr="0050146A">
        <w:rPr>
          <w:rStyle w:val="af6"/>
          <w:rFonts w:eastAsia="Guttman Hodes" w:hint="cs"/>
          <w:rtl/>
        </w:rPr>
        <w:t>(לז.)</w:t>
      </w:r>
      <w:r w:rsidRPr="0050146A">
        <w:rPr>
          <w:rFonts w:hint="cs"/>
          <w:rtl/>
        </w:rPr>
        <w:t xml:space="preserve">, והרי אביי ס"ל בגמ' לקמן </w:t>
      </w:r>
      <w:r w:rsidRPr="0050146A">
        <w:rPr>
          <w:rStyle w:val="af6"/>
          <w:rFonts w:eastAsia="Guttman Hodes" w:hint="cs"/>
          <w:rtl/>
        </w:rPr>
        <w:t>(קח.)</w:t>
      </w:r>
      <w:r w:rsidRPr="0050146A">
        <w:rPr>
          <w:rFonts w:hint="cs"/>
          <w:rtl/>
        </w:rPr>
        <w:t xml:space="preserve"> דטעם כעיקר דאו', דילפינן מבשר בחלב, וביאר </w:t>
      </w:r>
      <w:r w:rsidRPr="0050146A">
        <w:rPr>
          <w:rStyle w:val="af8"/>
          <w:rFonts w:hint="cs"/>
          <w:rtl/>
        </w:rPr>
        <w:t>הרמב"ן</w:t>
      </w:r>
      <w:r w:rsidRPr="0050146A">
        <w:rPr>
          <w:rFonts w:hint="cs"/>
          <w:rtl/>
        </w:rPr>
        <w:t xml:space="preserve"> דאחר שדחה לו רבא בגמ' לקמן דא"א ללמוד מבשר בחלב, למד אביי דטעם כעיקר דאו' ממשרת ומגיעולי עכו"ם, והקושיה בגמ' בפסחים ובנזיר דממשרת ילפינן לטעם כעיקר, הקשה אותה אביי, ועי' במה שביאר </w:t>
      </w:r>
      <w:r w:rsidRPr="0050146A">
        <w:rPr>
          <w:rStyle w:val="af8"/>
          <w:rFonts w:hint="cs"/>
          <w:rtl/>
        </w:rPr>
        <w:t>הר"ן בחי'</w:t>
      </w:r>
      <w:r w:rsidRPr="0050146A">
        <w:rPr>
          <w:rFonts w:hint="cs"/>
          <w:rtl/>
        </w:rPr>
        <w:t xml:space="preserve"> </w:t>
      </w:r>
      <w:r w:rsidRPr="0050146A">
        <w:rPr>
          <w:rStyle w:val="af6"/>
          <w:rFonts w:eastAsia="Guttman Hodes" w:hint="cs"/>
          <w:rtl/>
        </w:rPr>
        <w:t>(סוד"ה והוי)</w:t>
      </w:r>
      <w:r w:rsidRPr="0050146A">
        <w:rPr>
          <w:rFonts w:hint="cs"/>
          <w:rtl/>
        </w:rPr>
        <w:t xml:space="preserve"> דלא ניחא </w:t>
      </w:r>
      <w:r w:rsidRPr="0050146A">
        <w:rPr>
          <w:rStyle w:val="af8"/>
          <w:rFonts w:hint="cs"/>
          <w:rtl/>
        </w:rPr>
        <w:t>לרמב"ן</w:t>
      </w:r>
      <w:r w:rsidRPr="0050146A">
        <w:rPr>
          <w:rFonts w:hint="cs"/>
          <w:rtl/>
        </w:rPr>
        <w:t xml:space="preserve"> לבאר </w:t>
      </w:r>
      <w:r w:rsidRPr="0050146A">
        <w:rPr>
          <w:rStyle w:val="af8"/>
          <w:rFonts w:hint="cs"/>
          <w:rtl/>
        </w:rPr>
        <w:t>כרש"י</w:t>
      </w:r>
      <w:r w:rsidRPr="0050146A">
        <w:rPr>
          <w:rFonts w:hint="cs"/>
          <w:rtl/>
        </w:rPr>
        <w:t xml:space="preserve"> בביאור סוגיין והגמ' בפסחים.</w:t>
      </w:r>
      <w:bookmarkEnd w:id="5140"/>
    </w:p>
    <w:p w:rsidR="00F7606D" w:rsidRPr="0050146A" w:rsidRDefault="00F7606D" w:rsidP="00F7606D">
      <w:pPr>
        <w:pStyle w:val="1"/>
        <w:rPr>
          <w:rtl/>
        </w:rPr>
      </w:pPr>
      <w:bookmarkStart w:id="5141" w:name="_Toc12826280"/>
      <w:bookmarkStart w:id="5142" w:name="_Toc12872055"/>
      <w:bookmarkStart w:id="5143" w:name="_Toc12895326"/>
      <w:bookmarkStart w:id="5144" w:name="_Toc12896211"/>
      <w:bookmarkStart w:id="5145" w:name="_Toc12896371"/>
      <w:r w:rsidRPr="0050146A">
        <w:rPr>
          <w:rFonts w:hint="cs"/>
          <w:rtl/>
        </w:rPr>
        <w:t>ביאורי הרמב"ן דנחלקו אביי וריו"ח אי ילפינן ממשרת לטע"כ</w:t>
      </w:r>
      <w:bookmarkEnd w:id="5141"/>
      <w:bookmarkEnd w:id="5142"/>
      <w:bookmarkEnd w:id="5143"/>
      <w:bookmarkEnd w:id="5144"/>
      <w:bookmarkEnd w:id="5145"/>
    </w:p>
    <w:p w:rsidR="00F7606D" w:rsidRPr="0050146A" w:rsidRDefault="00F7606D" w:rsidP="00F7606D">
      <w:pPr>
        <w:pStyle w:val="a2"/>
        <w:rPr>
          <w:rtl/>
        </w:rPr>
      </w:pPr>
      <w:bookmarkStart w:id="5146" w:name="_Toc12826281"/>
      <w:bookmarkStart w:id="5147" w:name="_Toc12872056"/>
      <w:bookmarkStart w:id="5148" w:name="_Toc12895327"/>
      <w:bookmarkStart w:id="5149" w:name="_Toc12896212"/>
      <w:bookmarkStart w:id="5150" w:name="_Toc12896372"/>
      <w:r w:rsidRPr="0050146A">
        <w:rPr>
          <w:rFonts w:hint="cs"/>
          <w:rtl/>
        </w:rPr>
        <w:t>קושית הרמב"ן דאיתא בגמ' בפסחים דממשרת וגיעולי עכו"ם ילפינן לכל התורה דטע"כ דאו'</w:t>
      </w:r>
      <w:bookmarkEnd w:id="5146"/>
      <w:bookmarkEnd w:id="5147"/>
      <w:bookmarkEnd w:id="5148"/>
      <w:bookmarkEnd w:id="5149"/>
      <w:bookmarkEnd w:id="5150"/>
    </w:p>
    <w:p w:rsidR="00F7606D" w:rsidRPr="0050146A" w:rsidRDefault="00F7606D" w:rsidP="009F44AF">
      <w:pPr>
        <w:pStyle w:val="a"/>
        <w:rPr>
          <w:rtl/>
        </w:rPr>
      </w:pPr>
      <w:r w:rsidRPr="0050146A">
        <w:rPr>
          <w:rFonts w:hint="cs"/>
          <w:rtl/>
        </w:rPr>
        <w:t xml:space="preserve">אך הקשה </w:t>
      </w:r>
      <w:r w:rsidRPr="0050146A">
        <w:rPr>
          <w:rStyle w:val="af8"/>
          <w:rFonts w:hint="cs"/>
          <w:rtl/>
        </w:rPr>
        <w:t>הרמב"ן</w:t>
      </w:r>
      <w:r w:rsidRPr="0050146A">
        <w:rPr>
          <w:rFonts w:hint="cs"/>
          <w:rtl/>
        </w:rPr>
        <w:t xml:space="preserve"> דהא אמרינן בגמ' </w:t>
      </w:r>
      <w:r w:rsidRPr="0050146A">
        <w:rPr>
          <w:rtl/>
        </w:rPr>
        <w:t xml:space="preserve">בפסחים </w:t>
      </w:r>
      <w:r w:rsidRPr="0050146A">
        <w:rPr>
          <w:rStyle w:val="af6"/>
          <w:rFonts w:eastAsia="Guttman Hodes" w:hint="cs"/>
          <w:rtl/>
        </w:rPr>
        <w:t xml:space="preserve">(מד:) </w:t>
      </w:r>
      <w:r w:rsidRPr="0050146A">
        <w:rPr>
          <w:rtl/>
        </w:rPr>
        <w:t xml:space="preserve">ובנזיר </w:t>
      </w:r>
      <w:r w:rsidRPr="0050146A">
        <w:rPr>
          <w:rStyle w:val="af6"/>
          <w:rFonts w:eastAsia="Guttman Hodes" w:hint="cs"/>
          <w:rtl/>
        </w:rPr>
        <w:t xml:space="preserve">(לז.) </w:t>
      </w:r>
      <w:r w:rsidRPr="0050146A">
        <w:rPr>
          <w:rFonts w:hint="cs"/>
          <w:rtl/>
        </w:rPr>
        <w:t>דממשרת ומגיעולי עכו"ם ילפינן לכל איסורים שבתורה, וא"כ האיך אפש"ל דטעם כעיקר דרבנן, הא יש ילפותא מפורשת דהוא מדאו'.</w:t>
      </w:r>
    </w:p>
    <w:p w:rsidR="00F7606D" w:rsidRPr="0050146A" w:rsidRDefault="00F7606D" w:rsidP="00F7606D">
      <w:pPr>
        <w:pStyle w:val="a2"/>
      </w:pPr>
      <w:bookmarkStart w:id="5151" w:name="_Toc12826282"/>
      <w:bookmarkStart w:id="5152" w:name="_Toc12872057"/>
      <w:bookmarkStart w:id="5153" w:name="_Toc12895328"/>
      <w:bookmarkStart w:id="5154" w:name="_Toc12896213"/>
      <w:bookmarkStart w:id="5155" w:name="_Toc12896373"/>
      <w:r w:rsidRPr="0050146A">
        <w:rPr>
          <w:rFonts w:hint="cs"/>
          <w:rtl/>
        </w:rPr>
        <w:t>תירוץ הרמב"ן דלדעת ריו"ח גיעולי עכו"ם הוא חידוש וממשרת ילפינן דהיתר מצטרף לאיסור</w:t>
      </w:r>
      <w:bookmarkEnd w:id="5151"/>
      <w:bookmarkEnd w:id="5152"/>
      <w:bookmarkEnd w:id="5153"/>
      <w:bookmarkEnd w:id="5154"/>
      <w:bookmarkEnd w:id="5155"/>
    </w:p>
    <w:p w:rsidR="00F7606D" w:rsidRPr="0050146A" w:rsidRDefault="00F7606D" w:rsidP="009F44AF">
      <w:pPr>
        <w:pStyle w:val="a"/>
        <w:rPr>
          <w:rtl/>
        </w:rPr>
      </w:pPr>
      <w:r w:rsidRPr="0050146A">
        <w:rPr>
          <w:rFonts w:hint="cs"/>
          <w:rtl/>
        </w:rPr>
        <w:t xml:space="preserve">ותירץ </w:t>
      </w:r>
      <w:r w:rsidRPr="0050146A">
        <w:rPr>
          <w:rStyle w:val="af8"/>
          <w:rFonts w:hint="cs"/>
          <w:rtl/>
        </w:rPr>
        <w:t>הרמב"ן</w:t>
      </w:r>
      <w:r w:rsidRPr="0050146A">
        <w:rPr>
          <w:rFonts w:hint="cs"/>
          <w:rtl/>
        </w:rPr>
        <w:t xml:space="preserve"> בדעת </w:t>
      </w:r>
      <w:r w:rsidRPr="0050146A">
        <w:rPr>
          <w:rStyle w:val="af8"/>
          <w:rFonts w:hint="cs"/>
          <w:rtl/>
        </w:rPr>
        <w:t>רש"י</w:t>
      </w:r>
      <w:r w:rsidRPr="0050146A">
        <w:rPr>
          <w:rFonts w:hint="cs"/>
          <w:rtl/>
        </w:rPr>
        <w:t xml:space="preserve"> דלדעת ריו"ח בע"ז הילפותא מגיעולי עכו"ם לר"ע הוא חידוש, ולא ילפינן מיניה לכל האיסורים שבתורה דטעם כעיקר, וממשרת ילפינן את דין היתר מצטרף לאיסור, דלדעת ריו"ח היתר מצטרף לאיסור חמור יותר מטעם כעיקר, והגמ' בפסחים ובנזיר שלמדה קודם את דין טעם כעיקר ואח"כ את דין היתר מצטרף לאיסור, היא אליבא דאביי, וכתב </w:t>
      </w:r>
      <w:r w:rsidRPr="0050146A">
        <w:rPr>
          <w:rStyle w:val="af8"/>
          <w:rFonts w:hint="cs"/>
          <w:rtl/>
        </w:rPr>
        <w:t>הרמב"ן</w:t>
      </w:r>
      <w:r w:rsidRPr="0050146A">
        <w:rPr>
          <w:rFonts w:hint="cs"/>
          <w:rtl/>
        </w:rPr>
        <w:t xml:space="preserve"> דלפי"ז מיושבים היטב דברי </w:t>
      </w:r>
      <w:r w:rsidRPr="0050146A">
        <w:rPr>
          <w:rStyle w:val="af8"/>
          <w:rFonts w:hint="cs"/>
          <w:rtl/>
        </w:rPr>
        <w:t>רש"י</w:t>
      </w:r>
      <w:r w:rsidRPr="0050146A">
        <w:rPr>
          <w:rFonts w:hint="cs"/>
          <w:rtl/>
        </w:rPr>
        <w:t xml:space="preserve">, ועיי"ש במה שביאר </w:t>
      </w:r>
      <w:r w:rsidRPr="0050146A">
        <w:rPr>
          <w:rStyle w:val="af8"/>
          <w:rFonts w:hint="cs"/>
          <w:rtl/>
        </w:rPr>
        <w:t>הרמב"ן</w:t>
      </w:r>
      <w:r w:rsidRPr="0050146A">
        <w:rPr>
          <w:rFonts w:hint="cs"/>
          <w:rtl/>
        </w:rPr>
        <w:t xml:space="preserve"> בדברי ריו"ח בדין נותן טעם לפגם.</w:t>
      </w:r>
    </w:p>
    <w:p w:rsidR="00F7606D" w:rsidRPr="0050146A" w:rsidRDefault="00F7606D" w:rsidP="00F7606D">
      <w:pPr>
        <w:pStyle w:val="a2"/>
        <w:rPr>
          <w:rtl/>
        </w:rPr>
      </w:pPr>
      <w:bookmarkStart w:id="5156" w:name="_Toc12826283"/>
      <w:bookmarkStart w:id="5157" w:name="_Toc12872058"/>
      <w:bookmarkStart w:id="5158" w:name="_Toc12895329"/>
      <w:bookmarkStart w:id="5159" w:name="_Toc12896214"/>
      <w:bookmarkStart w:id="5160" w:name="_Toc12896374"/>
      <w:r w:rsidRPr="0050146A">
        <w:rPr>
          <w:rFonts w:hint="cs"/>
          <w:rtl/>
        </w:rPr>
        <w:t>התירוץ הב' ברמב"ן דלריו"ח משרת וגיעולי עכו"ם הם ב' כתובין הבאין כאחד ואין מלמדין</w:t>
      </w:r>
      <w:bookmarkEnd w:id="5156"/>
      <w:bookmarkEnd w:id="5157"/>
      <w:bookmarkEnd w:id="5158"/>
      <w:bookmarkEnd w:id="5159"/>
      <w:bookmarkEnd w:id="5160"/>
    </w:p>
    <w:p w:rsidR="00F7606D" w:rsidRPr="0050146A" w:rsidRDefault="00F7606D" w:rsidP="009F44AF">
      <w:pPr>
        <w:pStyle w:val="a"/>
        <w:rPr>
          <w:rtl/>
        </w:rPr>
      </w:pPr>
      <w:r w:rsidRPr="0050146A">
        <w:rPr>
          <w:rFonts w:hint="cs"/>
          <w:rtl/>
        </w:rPr>
        <w:t xml:space="preserve">ועוד תירץ </w:t>
      </w:r>
      <w:r w:rsidRPr="0050146A">
        <w:rPr>
          <w:rStyle w:val="af8"/>
          <w:rFonts w:hint="cs"/>
          <w:rtl/>
        </w:rPr>
        <w:t>הרמב"ן</w:t>
      </w:r>
      <w:r w:rsidRPr="0050146A">
        <w:rPr>
          <w:rFonts w:hint="cs"/>
          <w:rtl/>
        </w:rPr>
        <w:t xml:space="preserve"> </w:t>
      </w:r>
      <w:r w:rsidRPr="0050146A">
        <w:rPr>
          <w:rStyle w:val="af6"/>
          <w:rFonts w:eastAsia="Guttman Hodes" w:hint="cs"/>
          <w:rtl/>
        </w:rPr>
        <w:t>(ד"ה ועוד י"ל)</w:t>
      </w:r>
      <w:r w:rsidRPr="0050146A">
        <w:rPr>
          <w:rFonts w:hint="cs"/>
          <w:rtl/>
        </w:rPr>
        <w:t xml:space="preserve"> דלדעת ריו"ח לא ילפינן טעם כעיקר מגיעולי עכו"ם, כיון דריו"ח העמיד את הילפותא מגיעולי עכו"ם כר"ע, דיליף ממשרת להיתר מצטרף לאיסור, וע"ז אמר ריו"ח דלא ילפינן מיניה להיתר מצטרף לאיסור, כיון דמשרת וחטאת הם ב' כתובים הבאים כאחד ואין מלמדין, וא"כ גם לענין טעם כעיקר א"א ללמוד מגיעולי עכו"ם, דהא אף גיעולי עכו"ם וחטאת דנאמר בהם דטעם כעיקר, הם ב' כתובים הבאים כאחד ואין מלמדין, וביאר </w:t>
      </w:r>
      <w:r w:rsidRPr="0050146A">
        <w:rPr>
          <w:rStyle w:val="af8"/>
          <w:rFonts w:hint="cs"/>
          <w:rtl/>
        </w:rPr>
        <w:t>הרמב"ן</w:t>
      </w:r>
      <w:r w:rsidRPr="0050146A">
        <w:rPr>
          <w:rFonts w:hint="cs"/>
          <w:rtl/>
        </w:rPr>
        <w:t xml:space="preserve"> דבחטאת יש גם את דין טעם כעיקר וגם את דין היתר מצטרף לאיסור כדכתב </w:t>
      </w:r>
      <w:r w:rsidRPr="0050146A">
        <w:rPr>
          <w:rStyle w:val="af8"/>
          <w:rFonts w:hint="cs"/>
          <w:rtl/>
        </w:rPr>
        <w:t>הרמב"ן</w:t>
      </w:r>
      <w:r w:rsidRPr="0050146A">
        <w:rPr>
          <w:rFonts w:hint="cs"/>
          <w:rtl/>
        </w:rPr>
        <w:t xml:space="preserve"> </w:t>
      </w:r>
      <w:r w:rsidRPr="0050146A">
        <w:rPr>
          <w:rStyle w:val="af6"/>
          <w:rFonts w:eastAsia="Guttman Hodes" w:hint="cs"/>
          <w:rtl/>
        </w:rPr>
        <w:t xml:space="preserve">(ד"ה אלא, הובא לעיל סימן </w:t>
      </w:r>
      <w:r w:rsidRPr="008D5FE0">
        <w:rPr>
          <w:rStyle w:val="af6"/>
          <w:rFonts w:eastAsia="Guttman Hodes" w:hint="cs"/>
          <w:rtl/>
        </w:rPr>
        <w:t xml:space="preserve">ז' אות </w:t>
      </w:r>
      <w:r w:rsidR="008D5FE0" w:rsidRPr="008D5FE0">
        <w:rPr>
          <w:rStyle w:val="af6"/>
          <w:rFonts w:eastAsia="Guttman Rashi"/>
          <w:rtl/>
        </w:rPr>
        <w:fldChar w:fldCharType="begin"/>
      </w:r>
      <w:r w:rsidR="008D5FE0" w:rsidRPr="008D5FE0">
        <w:rPr>
          <w:rStyle w:val="af6"/>
          <w:rFonts w:eastAsia="Guttman Hodes"/>
          <w:rtl/>
        </w:rPr>
        <w:instrText xml:space="preserve"> </w:instrText>
      </w:r>
      <w:r w:rsidR="008D5FE0" w:rsidRPr="008D5FE0">
        <w:rPr>
          <w:rStyle w:val="af6"/>
          <w:rFonts w:eastAsia="Guttman Hodes" w:hint="cs"/>
        </w:rPr>
        <w:instrText>REF</w:instrText>
      </w:r>
      <w:r w:rsidR="008D5FE0" w:rsidRPr="008D5FE0">
        <w:rPr>
          <w:rStyle w:val="af6"/>
          <w:rFonts w:eastAsia="Guttman Hodes" w:hint="cs"/>
          <w:rtl/>
        </w:rPr>
        <w:instrText xml:space="preserve"> _</w:instrText>
      </w:r>
      <w:r w:rsidR="008D5FE0" w:rsidRPr="008D5FE0">
        <w:rPr>
          <w:rStyle w:val="af6"/>
          <w:rFonts w:eastAsia="Guttman Hodes" w:hint="cs"/>
        </w:rPr>
        <w:instrText>Ref14427802 \r \h</w:instrText>
      </w:r>
      <w:r w:rsidR="008D5FE0" w:rsidRPr="008D5FE0">
        <w:rPr>
          <w:rStyle w:val="af6"/>
          <w:rFonts w:eastAsia="Guttman Hodes"/>
          <w:rtl/>
        </w:rPr>
        <w:instrText xml:space="preserve"> </w:instrText>
      </w:r>
      <w:r w:rsidR="008D5FE0" w:rsidRPr="008D5FE0">
        <w:rPr>
          <w:rStyle w:val="af6"/>
          <w:rFonts w:eastAsia="Guttman Rashi"/>
          <w:rtl/>
        </w:rPr>
      </w:r>
      <w:r w:rsidR="008D5FE0" w:rsidRPr="008D5FE0">
        <w:rPr>
          <w:rStyle w:val="af6"/>
          <w:rFonts w:eastAsia="Guttman Rashi"/>
          <w:rtl/>
        </w:rPr>
        <w:fldChar w:fldCharType="separate"/>
      </w:r>
      <w:r w:rsidR="004D1C5B">
        <w:rPr>
          <w:rStyle w:val="af6"/>
          <w:rFonts w:eastAsia="Guttman Hodes"/>
          <w:cs/>
        </w:rPr>
        <w:t>‎</w:t>
      </w:r>
      <w:r w:rsidR="004D1C5B">
        <w:rPr>
          <w:rStyle w:val="af6"/>
          <w:rFonts w:eastAsia="Guttman Hodes"/>
          <w:rtl/>
        </w:rPr>
        <w:t>מה)</w:t>
      </w:r>
      <w:r w:rsidR="008D5FE0" w:rsidRPr="008D5FE0">
        <w:rPr>
          <w:rStyle w:val="af6"/>
          <w:rFonts w:eastAsia="Guttman Rashi"/>
          <w:rtl/>
        </w:rPr>
        <w:fldChar w:fldCharType="end"/>
      </w:r>
      <w:r w:rsidR="008D5FE0">
        <w:rPr>
          <w:rFonts w:hint="cs"/>
          <w:rtl/>
        </w:rPr>
        <w:t xml:space="preserve"> </w:t>
      </w:r>
      <w:r w:rsidRPr="0050146A">
        <w:rPr>
          <w:rFonts w:hint="cs"/>
          <w:rtl/>
        </w:rPr>
        <w:t xml:space="preserve">וכיון דלדעת ריו"ח היתר מצטרף לאיסור וטעם כעיקר, הם דינים שקולים, ואין אחד מהם חמור מחבירו, ולכן אפשר ללמוד את שניהם מחטאת, </w:t>
      </w:r>
      <w:r w:rsidRPr="0050146A">
        <w:rPr>
          <w:rStyle w:val="afa"/>
          <w:rFonts w:hint="cs"/>
          <w:rtl/>
        </w:rPr>
        <w:t>[דכיון שאין אחד חמור לומדים את שניהם],</w:t>
      </w:r>
      <w:r w:rsidRPr="0050146A">
        <w:rPr>
          <w:rFonts w:hint="cs"/>
          <w:rtl/>
        </w:rPr>
        <w:t xml:space="preserve"> וא"כ בין לענין היתר מצטרף לאיסור, ובין לענין טעם כעיקר יש ב' כתובים שאין מלמדים, ולכן ס"ל לריו"ח דטעם כעיקר דרבנן.</w:t>
      </w:r>
    </w:p>
    <w:p w:rsidR="00F7606D" w:rsidRPr="0050146A" w:rsidRDefault="00F7606D" w:rsidP="00F7606D">
      <w:pPr>
        <w:pStyle w:val="a2"/>
        <w:rPr>
          <w:rtl/>
        </w:rPr>
      </w:pPr>
      <w:bookmarkStart w:id="5161" w:name="_Toc12826284"/>
      <w:bookmarkStart w:id="5162" w:name="_Toc12872059"/>
      <w:bookmarkStart w:id="5163" w:name="_Toc12895330"/>
      <w:bookmarkStart w:id="5164" w:name="_Toc12896215"/>
      <w:bookmarkStart w:id="5165" w:name="_Toc12896375"/>
      <w:r w:rsidRPr="0050146A">
        <w:rPr>
          <w:rFonts w:hint="cs"/>
          <w:rtl/>
        </w:rPr>
        <w:t>דברי הרמב"ן דהא דמבואר בפסחים דאין ב' כתובים לענין טעם כעיקר הוא לדעת אביי</w:t>
      </w:r>
      <w:bookmarkEnd w:id="5161"/>
      <w:bookmarkEnd w:id="5162"/>
      <w:bookmarkEnd w:id="5163"/>
      <w:bookmarkEnd w:id="5164"/>
      <w:bookmarkEnd w:id="5165"/>
    </w:p>
    <w:p w:rsidR="00F7606D" w:rsidRPr="0050146A" w:rsidRDefault="00F7606D" w:rsidP="009F44AF">
      <w:pPr>
        <w:pStyle w:val="a"/>
        <w:rPr>
          <w:rtl/>
        </w:rPr>
      </w:pPr>
      <w:r w:rsidRPr="0050146A">
        <w:rPr>
          <w:rFonts w:hint="cs"/>
          <w:rtl/>
        </w:rPr>
        <w:t xml:space="preserve">וכתב </w:t>
      </w:r>
      <w:r w:rsidRPr="0050146A">
        <w:rPr>
          <w:rStyle w:val="af8"/>
          <w:rFonts w:hint="cs"/>
          <w:rtl/>
        </w:rPr>
        <w:t>הרמב"ן</w:t>
      </w:r>
      <w:r w:rsidRPr="0050146A">
        <w:rPr>
          <w:rFonts w:hint="cs"/>
          <w:rtl/>
        </w:rPr>
        <w:t xml:space="preserve"> דהא דבגמ' בפסחים מבואר דמחטאת ילפינן רק את דין היתר מצטרף לאיסור, </w:t>
      </w:r>
      <w:r w:rsidRPr="0050146A">
        <w:rPr>
          <w:rStyle w:val="afa"/>
          <w:rFonts w:hint="cs"/>
          <w:rtl/>
        </w:rPr>
        <w:t>[וא"כ לענין טעם כעיקר אין ב' כתובים הבאים כאחד],</w:t>
      </w:r>
      <w:r w:rsidRPr="0050146A">
        <w:rPr>
          <w:rFonts w:hint="cs"/>
          <w:rtl/>
        </w:rPr>
        <w:t xml:space="preserve"> הוא כיון דה</w:t>
      </w:r>
      <w:r w:rsidR="00715158">
        <w:rPr>
          <w:rFonts w:hint="cs"/>
          <w:rtl/>
        </w:rPr>
        <w:t>סוגית</w:t>
      </w:r>
      <w:r w:rsidRPr="0050146A">
        <w:rPr>
          <w:rFonts w:hint="cs"/>
          <w:rtl/>
        </w:rPr>
        <w:t xml:space="preserve"> בפסחים היא אליבא דאביי כדביאר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Ref12862288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50146A">
        <w:rPr>
          <w:rStyle w:val="af6"/>
          <w:rFonts w:eastAsia="Guttman Hodes"/>
          <w:rtl/>
        </w:rPr>
        <w:fldChar w:fldCharType="end"/>
      </w:r>
      <w:r w:rsidRPr="0050146A">
        <w:rPr>
          <w:rFonts w:hint="cs"/>
          <w:rtl/>
        </w:rPr>
        <w:t xml:space="preserve">, וס"ל לאביי דטעם כעיקר חמור יותר מהיתר מצטרף לאיסור, </w:t>
      </w:r>
      <w:r w:rsidRPr="0050146A">
        <w:rPr>
          <w:rStyle w:val="afa"/>
          <w:rFonts w:hint="cs"/>
          <w:rtl/>
        </w:rPr>
        <w:t>[וממילא מעמידים את הילפותא על הדבר הקל יותר],</w:t>
      </w:r>
      <w:r w:rsidRPr="0050146A">
        <w:rPr>
          <w:rFonts w:hint="cs"/>
          <w:rtl/>
        </w:rPr>
        <w:t xml:space="preserve"> ולכן מחטאת ילפינן היתר מצטרף לאיסור ולא טעם כעיקר, וממילא לענין טעם כעיקר אין ב' כתובים הבאים כאחד, ומשו"ה ס"ל לאביי דטעם כעיקר דאו'.</w:t>
      </w:r>
    </w:p>
    <w:p w:rsidR="00F7606D" w:rsidRPr="0050146A" w:rsidRDefault="00F7606D" w:rsidP="00F7606D">
      <w:pPr>
        <w:pStyle w:val="a2"/>
        <w:rPr>
          <w:rtl/>
        </w:rPr>
      </w:pPr>
      <w:bookmarkStart w:id="5166" w:name="_Toc12826285"/>
      <w:bookmarkStart w:id="5167" w:name="_Toc12872060"/>
      <w:bookmarkStart w:id="5168" w:name="_Toc12895331"/>
      <w:bookmarkStart w:id="5169" w:name="_Toc12896216"/>
      <w:bookmarkStart w:id="5170" w:name="_Toc12896376"/>
      <w:r w:rsidRPr="0050146A">
        <w:rPr>
          <w:rFonts w:hint="cs"/>
          <w:rtl/>
        </w:rPr>
        <w:t>מסקנת הרמב"ן דלא פשיטא לאמוראי בתראי דטעם כעיקר דאו' ואפש"ל כרש"י דטע"כ דרבנן</w:t>
      </w:r>
      <w:bookmarkEnd w:id="5166"/>
      <w:bookmarkEnd w:id="5167"/>
      <w:bookmarkEnd w:id="5168"/>
      <w:bookmarkEnd w:id="5169"/>
      <w:bookmarkEnd w:id="5170"/>
    </w:p>
    <w:p w:rsidR="00F7606D" w:rsidRPr="0050146A" w:rsidRDefault="00F7606D" w:rsidP="009F44AF">
      <w:pPr>
        <w:pStyle w:val="a"/>
        <w:rPr>
          <w:rtl/>
        </w:rPr>
      </w:pPr>
      <w:r w:rsidRPr="0050146A">
        <w:rPr>
          <w:rFonts w:hint="cs"/>
          <w:rtl/>
        </w:rPr>
        <w:t xml:space="preserve">וכתב </w:t>
      </w:r>
      <w:r w:rsidRPr="0050146A">
        <w:rPr>
          <w:rStyle w:val="af8"/>
          <w:rFonts w:hint="cs"/>
          <w:rtl/>
        </w:rPr>
        <w:t>הרמב"ן</w:t>
      </w:r>
      <w:r w:rsidRPr="0050146A">
        <w:rPr>
          <w:rFonts w:hint="cs"/>
          <w:rtl/>
        </w:rPr>
        <w:t xml:space="preserve"> </w:t>
      </w:r>
      <w:r w:rsidRPr="0050146A">
        <w:rPr>
          <w:rStyle w:val="af6"/>
          <w:rFonts w:eastAsia="Guttman Hodes" w:hint="cs"/>
          <w:rtl/>
        </w:rPr>
        <w:t>(ד"ה ומ"מ)</w:t>
      </w:r>
      <w:r w:rsidRPr="0050146A">
        <w:rPr>
          <w:rFonts w:hint="cs"/>
          <w:rtl/>
        </w:rPr>
        <w:t xml:space="preserve"> דמ"ש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Ref12390306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דרבא וריו"ח דהם בתראי לא ס"ל דטעם כעיקר דאו', אף אם לא מוכח דס"ל דטעם כעיקר דרבנן, מ"מ מוכח כדברי </w:t>
      </w:r>
      <w:r w:rsidRPr="0050146A">
        <w:rPr>
          <w:rStyle w:val="af8"/>
          <w:rFonts w:hint="cs"/>
          <w:rtl/>
        </w:rPr>
        <w:t>רש"י</w:t>
      </w:r>
      <w:r w:rsidRPr="0050146A">
        <w:rPr>
          <w:rFonts w:hint="cs"/>
          <w:rtl/>
        </w:rPr>
        <w:t xml:space="preserve"> דלא פשיטא לאמוראי בתראי דטעם כעיקר דאו', כדתני בברייתא בפסחים ובנזיר דממשרת ילפינן לכל איסורין שבתורה, ומשמע דאי"ז פשיטא, וכן בסוגיין הגמ' מסתפקת אי טעם כעיקר דאו', ואביי עצמו ס"ל דהמקור לטעם כעיקר דאו', הוא מבשר בחלב כדאמר אביי לקמן </w:t>
      </w:r>
      <w:r w:rsidRPr="0050146A">
        <w:rPr>
          <w:rStyle w:val="af6"/>
          <w:rFonts w:eastAsia="Guttman Hodes" w:hint="cs"/>
          <w:rtl/>
        </w:rPr>
        <w:t>(קח.)</w:t>
      </w:r>
      <w:r w:rsidRPr="0050146A">
        <w:rPr>
          <w:rFonts w:hint="cs"/>
          <w:rtl/>
        </w:rPr>
        <w:t xml:space="preserve">, ולא מהמקור </w:t>
      </w:r>
      <w:r w:rsidRPr="0050146A">
        <w:rPr>
          <w:rFonts w:hint="cs"/>
          <w:rtl/>
        </w:rPr>
        <w:t>של הגמ' בפסחים ממשרת, ומהא דרבא לקמן דחה את ראיית אביי מבשר בחלב, משמע דס"ל דטעם כעיקר דרבנן, ואף לריו"ח אפש"ל דס"ל דבשר בחלב וגיעולי עכו"ם הם ב' כתובים הבאים כאחד ואין מלמדים, ולא ס"ל דהם חידוש, כמבואר בגמ' בע"ז בדעת ריו"ח, וכמבואר בגמ' בסוגיין לדעת אביי.</w:t>
      </w:r>
    </w:p>
    <w:p w:rsidR="00F7606D" w:rsidRPr="0050146A" w:rsidRDefault="00F7606D" w:rsidP="00F7606D">
      <w:pPr>
        <w:pStyle w:val="a2"/>
        <w:rPr>
          <w:rtl/>
        </w:rPr>
      </w:pPr>
      <w:bookmarkStart w:id="5171" w:name="_Toc12826286"/>
      <w:bookmarkStart w:id="5172" w:name="_Toc12872061"/>
      <w:bookmarkStart w:id="5173" w:name="_Toc12895332"/>
      <w:bookmarkStart w:id="5174" w:name="_Toc12896217"/>
      <w:bookmarkStart w:id="5175" w:name="_Toc12896377"/>
      <w:r w:rsidRPr="0050146A">
        <w:rPr>
          <w:rFonts w:hint="cs"/>
          <w:rtl/>
        </w:rPr>
        <w:t>דברי הרשב"א בשם הרמב"ן דטעמו ולא ממשו כשהאיסור התבטל לגמרי בתערובת הוא דרבנן</w:t>
      </w:r>
      <w:bookmarkEnd w:id="5171"/>
      <w:bookmarkEnd w:id="5172"/>
      <w:bookmarkEnd w:id="5173"/>
      <w:bookmarkEnd w:id="5174"/>
      <w:bookmarkEnd w:id="5175"/>
    </w:p>
    <w:p w:rsidR="00F7606D" w:rsidRPr="0050146A" w:rsidRDefault="00F7606D" w:rsidP="009F44AF">
      <w:pPr>
        <w:pStyle w:val="a"/>
        <w:rPr>
          <w:rtl/>
        </w:rPr>
      </w:pPr>
      <w:r w:rsidRPr="0050146A">
        <w:rPr>
          <w:rFonts w:hint="cs"/>
          <w:rtl/>
        </w:rPr>
        <w:t xml:space="preserve">והוסיף </w:t>
      </w:r>
      <w:r w:rsidRPr="0050146A">
        <w:rPr>
          <w:rStyle w:val="af8"/>
          <w:rFonts w:hint="cs"/>
          <w:rtl/>
        </w:rPr>
        <w:t>הרשב"א בחי'</w:t>
      </w:r>
      <w:r w:rsidRPr="0050146A">
        <w:rPr>
          <w:rStyle w:val="af6"/>
          <w:rFonts w:eastAsia="Guttman Hodes" w:hint="cs"/>
          <w:rtl/>
        </w:rPr>
        <w:t xml:space="preserve"> (ד"ה והרמב"ן) </w:t>
      </w:r>
      <w:r w:rsidRPr="0050146A">
        <w:rPr>
          <w:rFonts w:hint="cs"/>
          <w:rtl/>
        </w:rPr>
        <w:t xml:space="preserve">בשם </w:t>
      </w:r>
      <w:r w:rsidRPr="0050146A">
        <w:rPr>
          <w:rStyle w:val="af8"/>
          <w:rFonts w:hint="cs"/>
          <w:rtl/>
        </w:rPr>
        <w:t>הרמב"ן</w:t>
      </w:r>
      <w:r w:rsidRPr="0050146A">
        <w:rPr>
          <w:rFonts w:hint="cs"/>
          <w:rtl/>
        </w:rPr>
        <w:t xml:space="preserve"> דא"כ מבואר דמדאו' אסור רק בטעמו וממשו, אבל בממשו בלא טעמו, כמין במינו שיש רוב של היתר, וכן בטעמו ולא ממשו, כמין בשאינו מינו שממשו של האיסור אינו בעין, ולא מעורב בתערובת, אלא התבטל בה כגון טיפת יין שנפלה להרבה מים והתבטלה לגמרי, דהוא טעם כעיקר דרבנן, ואין לוקין עליו דאינו אסור מדאו'.</w:t>
      </w:r>
    </w:p>
    <w:p w:rsidR="00F7606D" w:rsidRPr="0050146A" w:rsidRDefault="00F7606D" w:rsidP="00E669F8">
      <w:pPr>
        <w:pStyle w:val="afd"/>
        <w:rPr>
          <w:rtl/>
        </w:rPr>
      </w:pPr>
      <w:bookmarkStart w:id="5176" w:name="_Toc12791808"/>
      <w:bookmarkStart w:id="5177" w:name="_Toc12826287"/>
      <w:bookmarkStart w:id="5178" w:name="_Toc12872062"/>
      <w:bookmarkStart w:id="5179" w:name="_Toc12895333"/>
      <w:bookmarkStart w:id="5180" w:name="_Toc12896218"/>
      <w:bookmarkStart w:id="5181" w:name="_Toc12896378"/>
      <w:r w:rsidRPr="0050146A">
        <w:rPr>
          <w:rFonts w:hint="cs"/>
          <w:rtl/>
        </w:rPr>
        <w:t xml:space="preserve">ביאור התוס' בדברי ריו"ח </w:t>
      </w:r>
      <w:bookmarkEnd w:id="5176"/>
      <w:r w:rsidRPr="0050146A">
        <w:rPr>
          <w:rFonts w:hint="cs"/>
          <w:rtl/>
        </w:rPr>
        <w:t>בטעמו ובממשו</w:t>
      </w:r>
      <w:bookmarkEnd w:id="5177"/>
      <w:bookmarkEnd w:id="5178"/>
      <w:bookmarkEnd w:id="5179"/>
      <w:bookmarkEnd w:id="5180"/>
      <w:bookmarkEnd w:id="5181"/>
    </w:p>
    <w:p w:rsidR="00F7606D" w:rsidRPr="0050146A" w:rsidRDefault="00F7606D" w:rsidP="00F7606D">
      <w:pPr>
        <w:pStyle w:val="1"/>
        <w:rPr>
          <w:rtl/>
        </w:rPr>
      </w:pPr>
      <w:bookmarkStart w:id="5182" w:name="_Toc12791809"/>
      <w:bookmarkStart w:id="5183" w:name="_Toc12826288"/>
      <w:bookmarkStart w:id="5184" w:name="_Toc12872063"/>
      <w:bookmarkStart w:id="5185" w:name="_Toc12895334"/>
      <w:bookmarkStart w:id="5186" w:name="_Toc12896219"/>
      <w:bookmarkStart w:id="5187" w:name="_Toc12896379"/>
      <w:r w:rsidRPr="0050146A">
        <w:rPr>
          <w:rFonts w:hint="cs"/>
          <w:rtl/>
        </w:rPr>
        <w:t>ביאור התוס' דלריו"ח במין בשאינו מינו טע"כ דאו' ולוקין עליו</w:t>
      </w:r>
      <w:bookmarkEnd w:id="5182"/>
      <w:bookmarkEnd w:id="5183"/>
      <w:bookmarkEnd w:id="5184"/>
      <w:bookmarkEnd w:id="5185"/>
      <w:bookmarkEnd w:id="5186"/>
      <w:bookmarkEnd w:id="5187"/>
    </w:p>
    <w:p w:rsidR="00F7606D" w:rsidRPr="0050146A" w:rsidRDefault="00F7606D" w:rsidP="00F7606D">
      <w:pPr>
        <w:pStyle w:val="a2"/>
        <w:rPr>
          <w:rtl/>
        </w:rPr>
      </w:pPr>
      <w:bookmarkStart w:id="5188" w:name="_Toc12791810"/>
      <w:bookmarkStart w:id="5189" w:name="_Toc12826289"/>
      <w:bookmarkStart w:id="5190" w:name="_Toc12872064"/>
      <w:bookmarkStart w:id="5191" w:name="_Toc12895335"/>
      <w:bookmarkStart w:id="5192" w:name="_Toc12896220"/>
      <w:bookmarkStart w:id="5193" w:name="_Toc12896380"/>
      <w:r w:rsidRPr="0050146A">
        <w:rPr>
          <w:rFonts w:hint="cs"/>
          <w:rtl/>
        </w:rPr>
        <w:t>קושית ר"ת בספר הישר דמדברי ריו"ח מוכח דטעם כעיקר דרבנן</w:t>
      </w:r>
      <w:bookmarkEnd w:id="5188"/>
      <w:bookmarkEnd w:id="5189"/>
      <w:bookmarkEnd w:id="5190"/>
      <w:bookmarkEnd w:id="5191"/>
      <w:bookmarkEnd w:id="5192"/>
      <w:bookmarkEnd w:id="5193"/>
    </w:p>
    <w:p w:rsidR="00F7606D" w:rsidRPr="0050146A" w:rsidRDefault="00F7606D" w:rsidP="009F44AF">
      <w:pPr>
        <w:pStyle w:val="a"/>
        <w:rPr>
          <w:rStyle w:val="afa"/>
        </w:rPr>
      </w:pPr>
      <w:r w:rsidRPr="0050146A">
        <w:rPr>
          <w:rFonts w:hint="cs"/>
          <w:rtl/>
        </w:rPr>
        <w:t xml:space="preserve">אך הקשה </w:t>
      </w:r>
      <w:r w:rsidRPr="0050146A">
        <w:rPr>
          <w:rStyle w:val="af8"/>
          <w:rFonts w:hint="cs"/>
          <w:rtl/>
        </w:rPr>
        <w:t xml:space="preserve">ר"ת בספר הישר </w:t>
      </w:r>
      <w:r w:rsidRPr="0050146A">
        <w:rPr>
          <w:rStyle w:val="af6"/>
          <w:rFonts w:eastAsia="Guttman Hodes" w:hint="cs"/>
          <w:rtl/>
        </w:rPr>
        <w:t>(חלק החי' סי' תרצ"ד, הועתק בקובץ שיטות קמאי ע"ז ח"ב עמ'</w:t>
      </w:r>
      <w:r w:rsidRPr="0050146A">
        <w:rPr>
          <w:rStyle w:val="af6"/>
          <w:rFonts w:eastAsia="Guttman Hodes"/>
          <w:rtl/>
        </w:rPr>
        <w:t xml:space="preserve"> אלף תר</w:t>
      </w:r>
      <w:r w:rsidRPr="0050146A">
        <w:rPr>
          <w:rStyle w:val="af6"/>
          <w:rFonts w:eastAsia="Guttman Hodes" w:hint="cs"/>
          <w:rtl/>
        </w:rPr>
        <w:t>"</w:t>
      </w:r>
      <w:r w:rsidRPr="0050146A">
        <w:rPr>
          <w:rStyle w:val="af6"/>
          <w:rFonts w:eastAsia="Guttman Hodes"/>
          <w:rtl/>
        </w:rPr>
        <w:t>י</w:t>
      </w:r>
      <w:r w:rsidRPr="0050146A">
        <w:rPr>
          <w:rStyle w:val="af6"/>
          <w:rFonts w:eastAsia="Guttman Hodes" w:hint="cs"/>
          <w:rtl/>
        </w:rPr>
        <w:t>)</w:t>
      </w:r>
      <w:r w:rsidRPr="0050146A">
        <w:rPr>
          <w:rFonts w:hint="cs"/>
          <w:rtl/>
        </w:rPr>
        <w:t xml:space="preserve"> דמדברי ריו"ח בע"ז </w:t>
      </w:r>
      <w:r w:rsidRPr="0050146A">
        <w:rPr>
          <w:rStyle w:val="af6"/>
          <w:rFonts w:eastAsia="Guttman Hodes" w:hint="cs"/>
          <w:rtl/>
        </w:rPr>
        <w:t>(סז.)</w:t>
      </w:r>
      <w:r w:rsidRPr="0050146A">
        <w:rPr>
          <w:rFonts w:hint="cs"/>
          <w:rtl/>
        </w:rPr>
        <w:t xml:space="preserve"> דאמר דטעמו וממשו לוקים, ובטעמו ולא ממשו אין לוקין, משמע דטעם כעיקר דרבנן, </w:t>
      </w:r>
      <w:r w:rsidRPr="0050146A">
        <w:rPr>
          <w:rStyle w:val="afa"/>
          <w:rFonts w:hint="cs"/>
          <w:rtl/>
        </w:rPr>
        <w:t xml:space="preserve">[כדכתב </w:t>
      </w:r>
      <w:r w:rsidRPr="0050146A">
        <w:rPr>
          <w:rStyle w:val="affa"/>
          <w:rFonts w:hint="cs"/>
          <w:rtl/>
        </w:rPr>
        <w:t>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Ref12390306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א)</w:t>
      </w:r>
      <w:r w:rsidRPr="0050146A">
        <w:rPr>
          <w:rStyle w:val="aff6"/>
          <w:rtl/>
        </w:rPr>
        <w:fldChar w:fldCharType="end"/>
      </w:r>
      <w:r w:rsidRPr="0050146A">
        <w:rPr>
          <w:rStyle w:val="afa"/>
          <w:rFonts w:hint="cs"/>
          <w:rtl/>
        </w:rPr>
        <w:t>].</w:t>
      </w:r>
    </w:p>
    <w:p w:rsidR="00F7606D" w:rsidRPr="0050146A" w:rsidRDefault="00F7606D" w:rsidP="00F7606D">
      <w:pPr>
        <w:pStyle w:val="a2"/>
        <w:rPr>
          <w:rtl/>
        </w:rPr>
      </w:pPr>
      <w:bookmarkStart w:id="5194" w:name="_Toc12791811"/>
      <w:bookmarkStart w:id="5195" w:name="_Toc12826290"/>
      <w:bookmarkStart w:id="5196" w:name="_Toc12872065"/>
      <w:bookmarkStart w:id="5197" w:name="_Toc12895336"/>
      <w:bookmarkStart w:id="5198" w:name="_Toc12896221"/>
      <w:bookmarkStart w:id="5199" w:name="_Toc12896381"/>
      <w:r w:rsidRPr="0050146A">
        <w:rPr>
          <w:rFonts w:hint="cs"/>
          <w:rtl/>
        </w:rPr>
        <w:t xml:space="preserve">דברי ר"ת בספר הישר דטעמו ולא ממשו הוא לשון הגמ' והיינו טעם כעיקר בלשון </w:t>
      </w:r>
      <w:bookmarkEnd w:id="5194"/>
      <w:r w:rsidRPr="0050146A">
        <w:rPr>
          <w:rFonts w:hint="cs"/>
          <w:rtl/>
        </w:rPr>
        <w:t>הברייתא</w:t>
      </w:r>
      <w:bookmarkEnd w:id="5195"/>
      <w:bookmarkEnd w:id="5196"/>
      <w:bookmarkEnd w:id="5197"/>
      <w:bookmarkEnd w:id="5198"/>
      <w:bookmarkEnd w:id="5199"/>
    </w:p>
    <w:p w:rsidR="00F7606D" w:rsidRPr="0050146A" w:rsidRDefault="00F7606D" w:rsidP="009F44AF">
      <w:pPr>
        <w:pStyle w:val="a"/>
        <w:rPr>
          <w:rStyle w:val="afa"/>
          <w:rtl/>
        </w:rPr>
      </w:pPr>
      <w:bookmarkStart w:id="5200" w:name="_Ref12790911"/>
      <w:r w:rsidRPr="0050146A">
        <w:rPr>
          <w:rFonts w:hint="cs"/>
          <w:rtl/>
        </w:rPr>
        <w:t xml:space="preserve">והוסיף </w:t>
      </w:r>
      <w:r w:rsidRPr="0050146A">
        <w:rPr>
          <w:rStyle w:val="af8"/>
          <w:rFonts w:hint="cs"/>
          <w:rtl/>
        </w:rPr>
        <w:t xml:space="preserve">ר"ת בספר הישר </w:t>
      </w:r>
      <w:r w:rsidRPr="0050146A">
        <w:rPr>
          <w:rFonts w:hint="cs"/>
          <w:rtl/>
        </w:rPr>
        <w:t xml:space="preserve">דהא דאמר ריו"ח בע"ז </w:t>
      </w:r>
      <w:r w:rsidRPr="0050146A">
        <w:rPr>
          <w:rStyle w:val="af6"/>
          <w:rFonts w:eastAsia="Guttman Hodes" w:hint="cs"/>
          <w:rtl/>
        </w:rPr>
        <w:t>(סז.)</w:t>
      </w:r>
      <w:r w:rsidRPr="0050146A">
        <w:rPr>
          <w:rFonts w:hint="cs"/>
          <w:rtl/>
        </w:rPr>
        <w:t xml:space="preserve"> דטעמו וממשו לוקים, ובטעמו ולא ממשו אין לוקין, היינו טעם כעיקר שנאמר בגמ' בכל מקום, וביאר </w:t>
      </w:r>
      <w:r w:rsidRPr="0050146A">
        <w:rPr>
          <w:rStyle w:val="af8"/>
          <w:rFonts w:hint="cs"/>
          <w:rtl/>
        </w:rPr>
        <w:t xml:space="preserve">ר"ת בספר הישר </w:t>
      </w:r>
      <w:r w:rsidRPr="0050146A">
        <w:rPr>
          <w:rFonts w:hint="cs"/>
          <w:rtl/>
        </w:rPr>
        <w:t xml:space="preserve">דלשון הגמ' היא טעמו ולא ממשו, ולשון הברייתא היא טעם כעיקר, וכתב </w:t>
      </w:r>
      <w:r w:rsidRPr="0050146A">
        <w:rPr>
          <w:rStyle w:val="af8"/>
          <w:rFonts w:hint="cs"/>
          <w:rtl/>
        </w:rPr>
        <w:t xml:space="preserve">ר"ת בספר הישר </w:t>
      </w:r>
      <w:r w:rsidRPr="0050146A">
        <w:rPr>
          <w:rFonts w:hint="cs"/>
          <w:rtl/>
        </w:rPr>
        <w:t xml:space="preserve">דכן מוכח מדברי אביי לקמן </w:t>
      </w:r>
      <w:r w:rsidRPr="0050146A">
        <w:rPr>
          <w:rStyle w:val="af6"/>
          <w:rFonts w:eastAsia="Guttman Hodes" w:hint="cs"/>
          <w:rtl/>
        </w:rPr>
        <w:t>(קח.)</w:t>
      </w:r>
      <w:r w:rsidRPr="0050146A">
        <w:rPr>
          <w:rFonts w:hint="cs"/>
          <w:rtl/>
        </w:rPr>
        <w:t xml:space="preserve"> דיליף טעמו ולא ממשו מבשר בחלב, ור"ע דיליף בגמ' בפסחים </w:t>
      </w:r>
      <w:r w:rsidRPr="0050146A">
        <w:rPr>
          <w:rStyle w:val="af6"/>
          <w:rFonts w:eastAsia="Guttman Hodes" w:hint="cs"/>
          <w:rtl/>
        </w:rPr>
        <w:t xml:space="preserve">(מד:) </w:t>
      </w:r>
      <w:r w:rsidRPr="0050146A">
        <w:rPr>
          <w:rFonts w:hint="cs"/>
          <w:rtl/>
        </w:rPr>
        <w:t>ממשרת דהיתר מצטרף לאיסור, יליף טעם כעיקר מבשר בחלב, ומוכח דטעמו ולא ממשו וטעם כעיקר הם דבר אחד.</w:t>
      </w:r>
      <w:r w:rsidRPr="0050146A">
        <w:rPr>
          <w:rStyle w:val="afa"/>
          <w:rFonts w:hint="cs"/>
          <w:rtl/>
        </w:rPr>
        <w:t xml:space="preserve"> [בביאור דברי ריו"ח, ובביאור הגמ' בע"ז בדין טעמו וממשו וטעמו ולא ממשו, יכתב אי"ה באריכות בסימן ט'].</w:t>
      </w:r>
      <w:bookmarkEnd w:id="5200"/>
    </w:p>
    <w:p w:rsidR="00F7606D" w:rsidRPr="0050146A" w:rsidRDefault="00F7606D" w:rsidP="00F7606D">
      <w:pPr>
        <w:pStyle w:val="a2"/>
        <w:rPr>
          <w:rtl/>
        </w:rPr>
      </w:pPr>
      <w:bookmarkStart w:id="5201" w:name="_Toc12791812"/>
      <w:bookmarkStart w:id="5202" w:name="_Toc12826291"/>
      <w:bookmarkStart w:id="5203" w:name="_Toc12872066"/>
      <w:bookmarkStart w:id="5204" w:name="_Toc12895337"/>
      <w:bookmarkStart w:id="5205" w:name="_Toc12896222"/>
      <w:bookmarkStart w:id="5206" w:name="_Toc12896382"/>
      <w:r w:rsidRPr="0050146A">
        <w:rPr>
          <w:rFonts w:hint="cs"/>
          <w:rtl/>
        </w:rPr>
        <w:t>דברי התוס' דריו"ח דאמר דאין לוקין על טעמו בלא ממשו היינו במין במינו דמדאו' מהני ביטול ברוב</w:t>
      </w:r>
      <w:bookmarkEnd w:id="5201"/>
      <w:bookmarkEnd w:id="5202"/>
      <w:bookmarkEnd w:id="5203"/>
      <w:bookmarkEnd w:id="5204"/>
      <w:bookmarkEnd w:id="5205"/>
      <w:bookmarkEnd w:id="5206"/>
    </w:p>
    <w:p w:rsidR="00F7606D" w:rsidRPr="0050146A" w:rsidRDefault="00F7606D" w:rsidP="009F44AF">
      <w:pPr>
        <w:pStyle w:val="a"/>
        <w:rPr>
          <w:rtl/>
        </w:rPr>
      </w:pPr>
      <w:bookmarkStart w:id="5207" w:name="_Toc12791813"/>
      <w:bookmarkStart w:id="5208" w:name="_Toc12826292"/>
      <w:bookmarkStart w:id="5209" w:name="_Toc12872067"/>
      <w:bookmarkStart w:id="5210" w:name="_Toc12895338"/>
      <w:bookmarkStart w:id="5211" w:name="_Toc12896223"/>
      <w:bookmarkStart w:id="5212" w:name="_Toc12896383"/>
      <w:bookmarkStart w:id="5213" w:name="_Ref12785945"/>
      <w:r w:rsidRPr="0050146A">
        <w:rPr>
          <w:rFonts w:hint="cs"/>
          <w:rtl/>
        </w:rPr>
        <w:t xml:space="preserve">ותירצו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tl/>
        </w:rPr>
        <w:t xml:space="preserve"> </w:t>
      </w:r>
      <w:r w:rsidRPr="0050146A">
        <w:rPr>
          <w:rStyle w:val="af8"/>
          <w:rFonts w:hint="cs"/>
          <w:rtl/>
        </w:rPr>
        <w:t>והתוס' בע"ז</w:t>
      </w:r>
      <w:r w:rsidRPr="0050146A">
        <w:rPr>
          <w:rFonts w:hint="cs"/>
          <w:rtl/>
        </w:rPr>
        <w:t xml:space="preserve"> </w:t>
      </w:r>
      <w:r w:rsidRPr="0050146A">
        <w:rPr>
          <w:rStyle w:val="af6"/>
          <w:rFonts w:eastAsia="Guttman Hodes" w:hint="cs"/>
          <w:rtl/>
        </w:rPr>
        <w:t>(סז. ד"ה א"ר יוחנן)</w:t>
      </w:r>
      <w:r w:rsidRPr="0050146A">
        <w:rPr>
          <w:rFonts w:hint="cs"/>
          <w:rtl/>
        </w:rPr>
        <w:t xml:space="preserve"> </w:t>
      </w:r>
      <w:r w:rsidRPr="0050146A">
        <w:rPr>
          <w:rStyle w:val="af8"/>
          <w:rFonts w:hint="cs"/>
          <w:rtl/>
        </w:rPr>
        <w:t xml:space="preserve">והרא"ש </w:t>
      </w:r>
      <w:r w:rsidRPr="0050146A">
        <w:rPr>
          <w:rStyle w:val="af6"/>
          <w:rFonts w:eastAsia="Guttman Hodes" w:hint="cs"/>
          <w:rtl/>
        </w:rPr>
        <w:t>(סי' ל"א)</w:t>
      </w:r>
      <w:r w:rsidRPr="0050146A">
        <w:rPr>
          <w:rStyle w:val="af8"/>
          <w:rFonts w:hint="cs"/>
          <w:rtl/>
        </w:rPr>
        <w:t xml:space="preserve"> </w:t>
      </w:r>
      <w:r w:rsidRPr="0050146A">
        <w:rPr>
          <w:rFonts w:hint="cs"/>
          <w:rtl/>
        </w:rPr>
        <w:t xml:space="preserve">דריו"ח ס"ל דטעם כעיקר דאו', והא דאמר ריו"ח דטעמו ולא ממשו אסור ואין לוקין עליו, היינו דוקא במין במינו דמדאו' בטל ברוב, והוסיפו </w:t>
      </w:r>
      <w:r w:rsidRPr="0050146A">
        <w:rPr>
          <w:rStyle w:val="af8"/>
          <w:rFonts w:hint="cs"/>
          <w:rtl/>
        </w:rPr>
        <w:t>התוס' בע"ז</w:t>
      </w:r>
      <w:r w:rsidRPr="0050146A">
        <w:rPr>
          <w:rFonts w:hint="cs"/>
          <w:rtl/>
        </w:rPr>
        <w:t xml:space="preserve"> דכן מבואר בדברי רבא בזבחים</w:t>
      </w:r>
      <w:r w:rsidRPr="0050146A">
        <w:rPr>
          <w:rStyle w:val="af6"/>
          <w:rFonts w:eastAsia="Guttman Hodes" w:hint="cs"/>
          <w:rtl/>
        </w:rPr>
        <w:t xml:space="preserve"> (עט.) </w:t>
      </w:r>
      <w:r w:rsidRPr="0050146A">
        <w:rPr>
          <w:rFonts w:hint="cs"/>
          <w:rtl/>
        </w:rPr>
        <w:t xml:space="preserve">דמין במינו ברובא, דהיינו דמדאו' בטל ברוב ומדרבנן צריך שישים, ולכן אמר ריו"ח דאין בו מלקות </w:t>
      </w:r>
      <w:r w:rsidRPr="0050146A">
        <w:rPr>
          <w:rStyle w:val="afa"/>
          <w:rFonts w:hint="cs"/>
          <w:rtl/>
        </w:rPr>
        <w:t xml:space="preserve">[והוסיף </w:t>
      </w:r>
      <w:r w:rsidRPr="0050146A">
        <w:rPr>
          <w:rStyle w:val="affa"/>
          <w:rFonts w:hint="cs"/>
          <w:rtl/>
        </w:rPr>
        <w:t>הרא"ש</w:t>
      </w:r>
      <w:r w:rsidRPr="0050146A">
        <w:rPr>
          <w:rStyle w:val="afa"/>
          <w:rFonts w:hint="cs"/>
          <w:rtl/>
        </w:rPr>
        <w:t xml:space="preserve"> דה"ה אם האיסור בעין ולא נימוח כלל, אלא דאינו ניכר בתערובת, דאין לוקין עליו דהוא בטל ברוב], </w:t>
      </w:r>
      <w:r w:rsidRPr="0050146A">
        <w:rPr>
          <w:rFonts w:hint="cs"/>
          <w:rtl/>
        </w:rPr>
        <w:t xml:space="preserve">וביאר </w:t>
      </w:r>
      <w:r w:rsidRPr="0050146A">
        <w:rPr>
          <w:rStyle w:val="af8"/>
          <w:rFonts w:hint="cs"/>
          <w:rtl/>
        </w:rPr>
        <w:t>הרשב"א בחי'</w:t>
      </w:r>
      <w:r w:rsidRPr="0050146A">
        <w:rPr>
          <w:rFonts w:hint="cs"/>
          <w:rtl/>
        </w:rPr>
        <w:t xml:space="preserve"> </w:t>
      </w:r>
      <w:r w:rsidRPr="0050146A">
        <w:rPr>
          <w:rStyle w:val="af6"/>
          <w:rFonts w:eastAsia="Guttman Hodes" w:hint="cs"/>
          <w:rtl/>
        </w:rPr>
        <w:t xml:space="preserve">(ד"ה ומיהו) </w:t>
      </w:r>
      <w:r w:rsidRPr="0050146A">
        <w:rPr>
          <w:rFonts w:hint="cs"/>
          <w:rtl/>
        </w:rPr>
        <w:t>בשם</w:t>
      </w:r>
      <w:r w:rsidRPr="0050146A">
        <w:rPr>
          <w:rStyle w:val="af8"/>
          <w:rFonts w:hint="cs"/>
          <w:rtl/>
        </w:rPr>
        <w:t xml:space="preserve"> ר"ת</w:t>
      </w:r>
      <w:r w:rsidRPr="0050146A">
        <w:rPr>
          <w:rFonts w:hint="cs"/>
          <w:rtl/>
        </w:rPr>
        <w:t xml:space="preserve"> דהא דאמר ריו"ח דיש בו טעם, כוונתו דבתערובת כזו במין בשאינו מינו יש נתינת טעם, ואף במין במינו יש נתינת טעם אלא שאין הטעם ניכר.</w:t>
      </w:r>
    </w:p>
    <w:p w:rsidR="00F7606D" w:rsidRPr="0050146A" w:rsidRDefault="00F7606D" w:rsidP="00F7606D">
      <w:pPr>
        <w:pStyle w:val="a2"/>
        <w:rPr>
          <w:rtl/>
        </w:rPr>
      </w:pPr>
      <w:r w:rsidRPr="0050146A">
        <w:rPr>
          <w:rFonts w:hint="cs"/>
          <w:rtl/>
        </w:rPr>
        <w:t>דברי הרשב"א והתוס' הרא"ש דבמין בשאינו מינו אף לריו"ח טעמו ולא ממשו הוא דאו' ולוקין</w:t>
      </w:r>
      <w:bookmarkEnd w:id="5207"/>
      <w:r w:rsidRPr="0050146A">
        <w:rPr>
          <w:rFonts w:hint="cs"/>
          <w:rtl/>
        </w:rPr>
        <w:t xml:space="preserve"> עליו</w:t>
      </w:r>
      <w:bookmarkEnd w:id="5208"/>
      <w:bookmarkEnd w:id="5209"/>
      <w:bookmarkEnd w:id="5210"/>
      <w:bookmarkEnd w:id="5211"/>
      <w:bookmarkEnd w:id="5212"/>
    </w:p>
    <w:p w:rsidR="00F7606D" w:rsidRPr="0050146A" w:rsidRDefault="00F7606D" w:rsidP="009F44AF">
      <w:pPr>
        <w:pStyle w:val="a"/>
        <w:rPr>
          <w:rStyle w:val="afa"/>
          <w:rtl/>
        </w:rPr>
      </w:pPr>
      <w:r w:rsidRPr="0050146A">
        <w:rPr>
          <w:rFonts w:hint="cs"/>
          <w:rtl/>
        </w:rPr>
        <w:t xml:space="preserve">אבל במין בשאינו מינו כתבו </w:t>
      </w:r>
      <w:r w:rsidRPr="0050146A">
        <w:rPr>
          <w:rStyle w:val="af8"/>
          <w:rFonts w:hint="cs"/>
          <w:rtl/>
        </w:rPr>
        <w:t xml:space="preserve">התוס' בע"ז והרשב"א בחי' והתוס' הרא"ש </w:t>
      </w:r>
      <w:r w:rsidRPr="0050146A">
        <w:rPr>
          <w:rFonts w:hint="cs"/>
          <w:rtl/>
        </w:rPr>
        <w:t xml:space="preserve">דלריו"ח אף בטעמו ולא ממשו, אסור מדאו' ולוקין עליו, אם אכל כזית בכדי אכילת פרס. </w:t>
      </w:r>
      <w:r w:rsidRPr="0050146A">
        <w:rPr>
          <w:rStyle w:val="afa"/>
          <w:rFonts w:hint="cs"/>
          <w:rtl/>
        </w:rPr>
        <w:t>[מהטעם של האיסור שמעורב בתוך ההיתר].</w:t>
      </w:r>
    </w:p>
    <w:p w:rsidR="00F7606D" w:rsidRPr="0050146A" w:rsidRDefault="00F7606D" w:rsidP="00F7606D">
      <w:pPr>
        <w:pStyle w:val="a2"/>
      </w:pPr>
      <w:bookmarkStart w:id="5214" w:name="_Toc12791814"/>
      <w:bookmarkStart w:id="5215" w:name="_Toc12826293"/>
      <w:bookmarkStart w:id="5216" w:name="_Toc12872068"/>
      <w:bookmarkStart w:id="5217" w:name="_Toc12895339"/>
      <w:bookmarkStart w:id="5218" w:name="_Toc12896224"/>
      <w:bookmarkStart w:id="5219" w:name="_Toc12896384"/>
      <w:r w:rsidRPr="0050146A">
        <w:rPr>
          <w:rFonts w:hint="cs"/>
          <w:rtl/>
        </w:rPr>
        <w:t xml:space="preserve">ביאור התוס' והרא"ש והרשב"א דבמין במינו אין לוקין אף בממשו </w:t>
      </w:r>
      <w:bookmarkEnd w:id="5214"/>
      <w:r w:rsidRPr="0050146A">
        <w:rPr>
          <w:rFonts w:hint="cs"/>
          <w:rtl/>
        </w:rPr>
        <w:t>דאינו ניכר ובטל ברוב</w:t>
      </w:r>
      <w:bookmarkEnd w:id="5215"/>
      <w:bookmarkEnd w:id="5216"/>
      <w:bookmarkEnd w:id="5217"/>
      <w:bookmarkEnd w:id="5218"/>
      <w:bookmarkEnd w:id="5219"/>
    </w:p>
    <w:p w:rsidR="00F7606D" w:rsidRDefault="00F7606D" w:rsidP="009F44AF">
      <w:pPr>
        <w:pStyle w:val="a"/>
        <w:rPr>
          <w:rtl/>
        </w:rPr>
      </w:pPr>
      <w:bookmarkStart w:id="5220" w:name="_Toc12826294"/>
      <w:bookmarkStart w:id="5221" w:name="_Toc12872069"/>
      <w:bookmarkStart w:id="5222" w:name="_Toc12895340"/>
      <w:bookmarkStart w:id="5223" w:name="_Toc12896225"/>
      <w:bookmarkStart w:id="5224" w:name="_Toc12896385"/>
      <w:r w:rsidRPr="0050146A">
        <w:rPr>
          <w:rFonts w:hint="cs"/>
          <w:rtl/>
        </w:rPr>
        <w:t xml:space="preserve">והא דאמר ריו"ח דבטעמו וממשו לוקין, כתבו </w:t>
      </w:r>
      <w:r w:rsidRPr="0050146A">
        <w:rPr>
          <w:rStyle w:val="af8"/>
          <w:rFonts w:hint="cs"/>
          <w:rtl/>
        </w:rPr>
        <w:t xml:space="preserve">התוס' והתוס' בע"ז </w:t>
      </w:r>
      <w:r w:rsidRPr="0050146A">
        <w:rPr>
          <w:rFonts w:hint="cs"/>
          <w:rtl/>
        </w:rPr>
        <w:t xml:space="preserve">דאיירי במין במינו באופן שהאיסור בעין והוא ניכר, וביארו </w:t>
      </w:r>
      <w:r w:rsidRPr="0050146A">
        <w:rPr>
          <w:rStyle w:val="af8"/>
          <w:rFonts w:hint="cs"/>
          <w:rtl/>
        </w:rPr>
        <w:t xml:space="preserve">התוס' </w:t>
      </w:r>
      <w:r w:rsidRPr="0050146A">
        <w:rPr>
          <w:rFonts w:hint="cs"/>
          <w:rtl/>
        </w:rPr>
        <w:t xml:space="preserve">דאעפ"י דאמר ריו"ח דאין לוקין דוקא בטעמו ולא ממשו, ה"ה  דבמין במינו אין לוקין אף בטעמו וממשו, במקום שאין האיסור ניכר, וביאר </w:t>
      </w:r>
      <w:r w:rsidRPr="0050146A">
        <w:rPr>
          <w:rStyle w:val="af8"/>
          <w:rFonts w:hint="cs"/>
          <w:rtl/>
        </w:rPr>
        <w:t>הרשב"א בחי'</w:t>
      </w:r>
      <w:r w:rsidRPr="0050146A">
        <w:rPr>
          <w:rFonts w:hint="cs"/>
          <w:rtl/>
        </w:rPr>
        <w:t xml:space="preserve"> בשם </w:t>
      </w:r>
      <w:r w:rsidRPr="0050146A">
        <w:rPr>
          <w:rStyle w:val="af8"/>
          <w:rFonts w:hint="cs"/>
          <w:rtl/>
        </w:rPr>
        <w:t>ר"ת</w:t>
      </w:r>
      <w:r w:rsidRPr="0050146A">
        <w:rPr>
          <w:rFonts w:hint="cs"/>
          <w:rtl/>
        </w:rPr>
        <w:t xml:space="preserve"> דאין לוקין כיון שהוא בטל ברוב ואינו ניכר.</w:t>
      </w:r>
    </w:p>
    <w:p w:rsidR="00F7606D" w:rsidRPr="004F18F9" w:rsidRDefault="00F7606D" w:rsidP="00F7606D">
      <w:pPr>
        <w:pStyle w:val="a2"/>
        <w:rPr>
          <w:rStyle w:val="10"/>
        </w:rPr>
      </w:pPr>
      <w:r w:rsidRPr="0050146A">
        <w:rPr>
          <w:rFonts w:hint="cs"/>
          <w:rtl/>
        </w:rPr>
        <w:lastRenderedPageBreak/>
        <w:t>ביאור התוס' והרא"ש דריו"ח נקט טעמו ולא ממשו לחדש דמין במינו אסור</w:t>
      </w:r>
      <w:bookmarkEnd w:id="5220"/>
      <w:r w:rsidRPr="0050146A">
        <w:rPr>
          <w:rFonts w:hint="cs"/>
          <w:rtl/>
        </w:rPr>
        <w:t xml:space="preserve"> אף שאינו נותן טעם</w:t>
      </w:r>
      <w:bookmarkEnd w:id="5221"/>
      <w:bookmarkEnd w:id="5222"/>
      <w:bookmarkEnd w:id="5223"/>
      <w:bookmarkEnd w:id="5224"/>
    </w:p>
    <w:p w:rsidR="00F7606D" w:rsidRPr="0050146A" w:rsidRDefault="00F7606D" w:rsidP="009F44AF">
      <w:pPr>
        <w:pStyle w:val="a"/>
        <w:rPr>
          <w:rtl/>
        </w:rPr>
      </w:pPr>
      <w:bookmarkStart w:id="5225" w:name="_Toc12826295"/>
      <w:bookmarkStart w:id="5226" w:name="_Toc12872070"/>
      <w:bookmarkStart w:id="5227" w:name="_Toc12895341"/>
      <w:bookmarkStart w:id="5228" w:name="_Toc12896226"/>
      <w:bookmarkStart w:id="5229" w:name="_Toc12896386"/>
      <w:r w:rsidRPr="0050146A">
        <w:rPr>
          <w:rFonts w:hint="cs"/>
          <w:rtl/>
        </w:rPr>
        <w:t>וכתבו</w:t>
      </w:r>
      <w:r w:rsidRPr="0050146A">
        <w:rPr>
          <w:rStyle w:val="af8"/>
          <w:rFonts w:hint="cs"/>
          <w:rtl/>
        </w:rPr>
        <w:t xml:space="preserve"> התוס' והתוס' בע"ז </w:t>
      </w:r>
      <w:r w:rsidRPr="0050146A">
        <w:rPr>
          <w:rFonts w:hint="cs"/>
          <w:rtl/>
        </w:rPr>
        <w:t xml:space="preserve">דריו"ח נקט טעמו ולא ממשו דהוא מילתא דפסיקתא דבכל האופנים אין לוקין, וביארו </w:t>
      </w:r>
      <w:r w:rsidRPr="0050146A">
        <w:rPr>
          <w:rStyle w:val="af8"/>
          <w:rFonts w:hint="cs"/>
          <w:rtl/>
        </w:rPr>
        <w:t>התוס' בע"ז</w:t>
      </w:r>
      <w:r w:rsidRPr="0050146A">
        <w:rPr>
          <w:rFonts w:hint="cs"/>
          <w:rtl/>
        </w:rPr>
        <w:t xml:space="preserve"> דכשאמר ריו"ח טעמו ולא ממשו, אינו צריך לבאר דאיירי באופן שאינו מכירו, אבל אם היה ריו"ח אומר בפירוש טעמו וממשו, היה משמע דאיירי אפילו באופן שטעם האיסור וממשו הם בעין, ועוד ביארו </w:t>
      </w:r>
      <w:r w:rsidRPr="0050146A">
        <w:rPr>
          <w:rStyle w:val="af8"/>
          <w:rFonts w:hint="cs"/>
          <w:rtl/>
        </w:rPr>
        <w:t>התוס' והתוס' בע"ז</w:t>
      </w:r>
      <w:r w:rsidRPr="0050146A">
        <w:rPr>
          <w:rFonts w:hint="cs"/>
          <w:rtl/>
        </w:rPr>
        <w:t xml:space="preserve"> דריו"ח נקט טעמו ולא ממשו, לחדש דאף במין במינו שאין בו את ממשו של האיסור מ"מ הוא אסור, והוסיף </w:t>
      </w:r>
      <w:r w:rsidRPr="0050146A">
        <w:rPr>
          <w:rStyle w:val="af8"/>
          <w:rFonts w:hint="cs"/>
          <w:rtl/>
        </w:rPr>
        <w:t>הרא"ש</w:t>
      </w:r>
      <w:r w:rsidRPr="0050146A">
        <w:rPr>
          <w:rFonts w:hint="cs"/>
          <w:rtl/>
        </w:rPr>
        <w:t xml:space="preserve"> </w:t>
      </w:r>
      <w:r w:rsidRPr="0050146A">
        <w:rPr>
          <w:rStyle w:val="af6"/>
          <w:rFonts w:eastAsia="Guttman Hodes" w:hint="cs"/>
          <w:rtl/>
        </w:rPr>
        <w:t>(סי' ל"א)</w:t>
      </w:r>
      <w:r w:rsidRPr="0050146A">
        <w:rPr>
          <w:rStyle w:val="af8"/>
          <w:rFonts w:hint="cs"/>
          <w:rtl/>
        </w:rPr>
        <w:t xml:space="preserve"> </w:t>
      </w:r>
      <w:r w:rsidRPr="0050146A">
        <w:rPr>
          <w:rFonts w:hint="cs"/>
          <w:rtl/>
        </w:rPr>
        <w:t>דקמ"ל ריו"ח דאף דבמין במינו האיסור אינו נותן טעם אחר בהיתר, מ"מ הוא אסור כשיעור של נתינת טעם במין בשאינו מינו.</w:t>
      </w:r>
    </w:p>
    <w:p w:rsidR="00F7606D" w:rsidRPr="0050146A" w:rsidRDefault="00F7606D" w:rsidP="00F7606D">
      <w:pPr>
        <w:pStyle w:val="a2"/>
      </w:pPr>
      <w:r w:rsidRPr="0050146A">
        <w:rPr>
          <w:rFonts w:hint="cs"/>
          <w:rtl/>
        </w:rPr>
        <w:t>ביאור הרמב"ן בשם ר"ת דטעמו ולא ממשו היינו שהטעם מורגש אך לא ניכר דהוא מין במינו</w:t>
      </w:r>
      <w:bookmarkEnd w:id="5225"/>
      <w:bookmarkEnd w:id="5226"/>
      <w:bookmarkEnd w:id="5227"/>
      <w:bookmarkEnd w:id="5228"/>
      <w:bookmarkEnd w:id="5229"/>
    </w:p>
    <w:p w:rsidR="00F7606D" w:rsidRPr="0050146A" w:rsidRDefault="00F7606D" w:rsidP="009F44AF">
      <w:pPr>
        <w:pStyle w:val="a"/>
        <w:rPr>
          <w:rtl/>
        </w:rPr>
      </w:pPr>
      <w:r w:rsidRPr="0050146A">
        <w:rPr>
          <w:rFonts w:hint="cs"/>
          <w:rtl/>
        </w:rPr>
        <w:t xml:space="preserve">וכן ביאר </w:t>
      </w:r>
      <w:r w:rsidRPr="0050146A">
        <w:rPr>
          <w:rStyle w:val="af8"/>
          <w:rFonts w:hint="cs"/>
          <w:rtl/>
        </w:rPr>
        <w:t>הרמב"ן</w:t>
      </w:r>
      <w:r w:rsidRPr="0050146A">
        <w:rPr>
          <w:rFonts w:hint="cs"/>
          <w:rtl/>
        </w:rPr>
        <w:t xml:space="preserve"> </w:t>
      </w:r>
      <w:r w:rsidRPr="0050146A">
        <w:rPr>
          <w:rStyle w:val="af6"/>
          <w:rFonts w:eastAsia="Guttman Hodes" w:hint="cs"/>
          <w:rtl/>
        </w:rPr>
        <w:t>(ד"ה ופי' אחר)</w:t>
      </w:r>
      <w:r w:rsidRPr="0050146A">
        <w:rPr>
          <w:rFonts w:hint="cs"/>
          <w:rtl/>
        </w:rPr>
        <w:t xml:space="preserve"> בשם </w:t>
      </w:r>
      <w:r w:rsidRPr="0050146A">
        <w:rPr>
          <w:rStyle w:val="af8"/>
          <w:rFonts w:hint="cs"/>
          <w:rtl/>
        </w:rPr>
        <w:t>ר"ת</w:t>
      </w:r>
      <w:r w:rsidRPr="0050146A">
        <w:rPr>
          <w:rFonts w:hint="cs"/>
          <w:rtl/>
        </w:rPr>
        <w:t xml:space="preserve"> דריו"ח בע"ז איירי במין במינו, וכוונת ריו"ח לומר דטעמו ולא ממשו, היינו כל שהטעם מורגש בו אך האיסור אינו ניכר דלא נתערב בו ממשו לגמרי, דהוא בטל ברוב כיון שהוא מין במינו.</w:t>
      </w:r>
    </w:p>
    <w:p w:rsidR="00F7606D" w:rsidRPr="0050146A" w:rsidRDefault="00F7606D" w:rsidP="00F7606D">
      <w:pPr>
        <w:pStyle w:val="a2"/>
      </w:pPr>
      <w:bookmarkStart w:id="5230" w:name="_Toc12826296"/>
      <w:bookmarkStart w:id="5231" w:name="_Toc12872071"/>
      <w:bookmarkStart w:id="5232" w:name="_Toc12895342"/>
      <w:bookmarkStart w:id="5233" w:name="_Toc12896227"/>
      <w:bookmarkStart w:id="5234" w:name="_Toc12896387"/>
      <w:r w:rsidRPr="0050146A">
        <w:rPr>
          <w:rFonts w:hint="cs"/>
          <w:rtl/>
        </w:rPr>
        <w:t>ביאור הרמב"ן בשם ר"ת דבטעמו וממשו האיסור ניכר דהוא בעין במין במינו ולכן לוקין עליו</w:t>
      </w:r>
      <w:bookmarkEnd w:id="5230"/>
      <w:bookmarkEnd w:id="5231"/>
      <w:bookmarkEnd w:id="5232"/>
      <w:bookmarkEnd w:id="5233"/>
      <w:bookmarkEnd w:id="5234"/>
    </w:p>
    <w:p w:rsidR="00F7606D" w:rsidRPr="0050146A" w:rsidRDefault="00F7606D" w:rsidP="009F44AF">
      <w:pPr>
        <w:pStyle w:val="a"/>
        <w:rPr>
          <w:rtl/>
        </w:rPr>
      </w:pPr>
      <w:r w:rsidRPr="0050146A">
        <w:rPr>
          <w:rFonts w:hint="cs"/>
          <w:rtl/>
        </w:rPr>
        <w:t xml:space="preserve">ובטעמו וממשו ביאר </w:t>
      </w:r>
      <w:r w:rsidRPr="0050146A">
        <w:rPr>
          <w:rStyle w:val="af8"/>
          <w:rFonts w:hint="cs"/>
          <w:rtl/>
        </w:rPr>
        <w:t>הרמב"ן</w:t>
      </w:r>
      <w:r w:rsidRPr="0050146A">
        <w:rPr>
          <w:rFonts w:hint="cs"/>
          <w:rtl/>
        </w:rPr>
        <w:t xml:space="preserve"> בשם </w:t>
      </w:r>
      <w:r w:rsidRPr="0050146A">
        <w:rPr>
          <w:rStyle w:val="af8"/>
          <w:rFonts w:hint="cs"/>
          <w:rtl/>
        </w:rPr>
        <w:t>ר"ת</w:t>
      </w:r>
      <w:r w:rsidRPr="0050146A">
        <w:rPr>
          <w:rFonts w:hint="cs"/>
          <w:rtl/>
        </w:rPr>
        <w:t xml:space="preserve"> דכוונת ריו"ח לומר דהאיסור עצמו ניכר ממש בתוך ההיתר דהוא בעין, ולכן לוקין עליו אפילו במין במינו, וזהו דין כזית בכדי אכילת פרס, אבל במין בשאינו מינו, לוקים אף על טעמו אף כשלא מעורב גוף האיסור כלל, דטעם כעיקר דאו'.</w:t>
      </w:r>
    </w:p>
    <w:p w:rsidR="00F7606D" w:rsidRPr="0050146A" w:rsidRDefault="00F7606D" w:rsidP="00F7606D">
      <w:pPr>
        <w:pStyle w:val="a2"/>
        <w:rPr>
          <w:rtl/>
        </w:rPr>
      </w:pPr>
      <w:bookmarkStart w:id="5235" w:name="_Toc12826297"/>
      <w:bookmarkStart w:id="5236" w:name="_Toc12872072"/>
      <w:bookmarkStart w:id="5237" w:name="_Toc12895343"/>
      <w:bookmarkStart w:id="5238" w:name="_Toc12896228"/>
      <w:bookmarkStart w:id="5239" w:name="_Toc12896388"/>
      <w:r w:rsidRPr="0050146A">
        <w:rPr>
          <w:rFonts w:hint="cs"/>
          <w:rtl/>
        </w:rPr>
        <w:t>דחיית הרמב"ן דבדברי אביי לקמן מוכח דטעמו ולא ממשו היינו מין בשאינו מינו</w:t>
      </w:r>
      <w:bookmarkEnd w:id="5235"/>
      <w:bookmarkEnd w:id="5236"/>
      <w:bookmarkEnd w:id="5237"/>
      <w:bookmarkEnd w:id="5238"/>
      <w:bookmarkEnd w:id="5239"/>
    </w:p>
    <w:p w:rsidR="00F7606D" w:rsidRPr="0050146A" w:rsidRDefault="00F7606D" w:rsidP="009F44AF">
      <w:pPr>
        <w:pStyle w:val="a"/>
      </w:pPr>
      <w:r w:rsidRPr="0050146A">
        <w:rPr>
          <w:rFonts w:hint="cs"/>
          <w:rtl/>
        </w:rPr>
        <w:t xml:space="preserve">אך דחה </w:t>
      </w:r>
      <w:r w:rsidRPr="0050146A">
        <w:rPr>
          <w:rStyle w:val="af8"/>
          <w:rFonts w:hint="cs"/>
          <w:rtl/>
        </w:rPr>
        <w:t>הרמב"ן</w:t>
      </w:r>
      <w:r w:rsidRPr="0050146A">
        <w:rPr>
          <w:rFonts w:hint="cs"/>
          <w:rtl/>
        </w:rPr>
        <w:t xml:space="preserve"> את ביאור</w:t>
      </w:r>
      <w:r w:rsidRPr="0050146A">
        <w:rPr>
          <w:rStyle w:val="af8"/>
          <w:rFonts w:hint="cs"/>
          <w:rtl/>
        </w:rPr>
        <w:t xml:space="preserve"> ר"ת</w:t>
      </w:r>
      <w:r w:rsidRPr="0050146A">
        <w:rPr>
          <w:rFonts w:hint="cs"/>
          <w:rtl/>
        </w:rPr>
        <w:t xml:space="preserve"> דהא בגמ' לקמן </w:t>
      </w:r>
      <w:r w:rsidRPr="0050146A">
        <w:rPr>
          <w:rStyle w:val="af6"/>
          <w:rFonts w:eastAsia="Guttman Hodes" w:hint="cs"/>
          <w:rtl/>
        </w:rPr>
        <w:t>(קח.)</w:t>
      </w:r>
      <w:r w:rsidRPr="0050146A">
        <w:rPr>
          <w:rFonts w:hint="cs"/>
          <w:rtl/>
        </w:rPr>
        <w:t xml:space="preserve"> אמר אביי דילפינן מבשר בחלב דטעמו ולא ממשו דאו', והרי בשר בחלב הוא מין בשאינו מינו, וואיירי בטעם ממש, </w:t>
      </w:r>
      <w:r w:rsidRPr="0050146A">
        <w:rPr>
          <w:rStyle w:val="afa"/>
          <w:rFonts w:hint="cs"/>
          <w:rtl/>
        </w:rPr>
        <w:t>[דהאיסור בבשר בחלב הוא כשמעורב רק טעם, אף כשאין כלום ממשות הבשר בחלב],</w:t>
      </w:r>
      <w:r w:rsidRPr="0050146A">
        <w:rPr>
          <w:rFonts w:hint="cs"/>
          <w:rtl/>
        </w:rPr>
        <w:t xml:space="preserve"> וקרי לה אביי טעמו ולא ממשו, והוסיף </w:t>
      </w:r>
      <w:r w:rsidRPr="0050146A">
        <w:rPr>
          <w:rStyle w:val="af8"/>
          <w:rFonts w:hint="cs"/>
          <w:rtl/>
        </w:rPr>
        <w:t>הרמב"ן</w:t>
      </w:r>
      <w:r w:rsidRPr="0050146A">
        <w:rPr>
          <w:rFonts w:hint="cs"/>
          <w:rtl/>
        </w:rPr>
        <w:t xml:space="preserve"> דא"א להפסיק את לשון הגמ' מכח סברא.</w:t>
      </w:r>
    </w:p>
    <w:p w:rsidR="00F7606D" w:rsidRPr="0050146A" w:rsidRDefault="00F7606D" w:rsidP="00F7606D">
      <w:pPr>
        <w:pStyle w:val="1"/>
        <w:rPr>
          <w:rtl/>
        </w:rPr>
      </w:pPr>
      <w:bookmarkStart w:id="5240" w:name="_Toc12872073"/>
      <w:bookmarkStart w:id="5241" w:name="_Toc12895344"/>
      <w:bookmarkStart w:id="5242" w:name="_Toc12896229"/>
      <w:bookmarkStart w:id="5243" w:name="_Toc12896389"/>
      <w:bookmarkStart w:id="5244" w:name="_Toc12791815"/>
      <w:bookmarkStart w:id="5245" w:name="_Toc12826298"/>
      <w:bookmarkEnd w:id="5213"/>
      <w:r w:rsidRPr="0050146A">
        <w:rPr>
          <w:rFonts w:hint="cs"/>
          <w:rtl/>
        </w:rPr>
        <w:t>דעת רבינו חיים ורבינו אליהו דבשיעור כזית בכא"פ הוי ממשו</w:t>
      </w:r>
      <w:bookmarkEnd w:id="5240"/>
      <w:bookmarkEnd w:id="5241"/>
      <w:bookmarkEnd w:id="5242"/>
      <w:bookmarkEnd w:id="5243"/>
      <w:r w:rsidRPr="0050146A">
        <w:rPr>
          <w:rFonts w:hint="cs"/>
          <w:rtl/>
        </w:rPr>
        <w:t xml:space="preserve"> </w:t>
      </w:r>
    </w:p>
    <w:p w:rsidR="00F7606D" w:rsidRPr="0050146A" w:rsidRDefault="00F7606D" w:rsidP="00F7606D">
      <w:pPr>
        <w:pStyle w:val="a2"/>
        <w:rPr>
          <w:rtl/>
        </w:rPr>
      </w:pPr>
      <w:bookmarkStart w:id="5246" w:name="_Toc12872074"/>
      <w:bookmarkStart w:id="5247" w:name="_Toc12895345"/>
      <w:bookmarkStart w:id="5248" w:name="_Toc12896230"/>
      <w:bookmarkStart w:id="5249" w:name="_Toc12896390"/>
      <w:r w:rsidRPr="0050146A">
        <w:rPr>
          <w:rFonts w:hint="cs"/>
          <w:rtl/>
        </w:rPr>
        <w:t>דעת רבינו אליהו ורבינו חיים דבמקום שיש כזית בכדי אכילת פרס חשיב ממשו</w:t>
      </w:r>
      <w:bookmarkEnd w:id="5246"/>
      <w:bookmarkEnd w:id="5247"/>
      <w:bookmarkEnd w:id="5248"/>
      <w:bookmarkEnd w:id="5249"/>
    </w:p>
    <w:p w:rsidR="00F7606D" w:rsidRPr="0050146A" w:rsidRDefault="00F7606D" w:rsidP="009F44AF">
      <w:pPr>
        <w:pStyle w:val="a"/>
        <w:rPr>
          <w:rStyle w:val="afa"/>
          <w:rtl/>
        </w:rPr>
      </w:pPr>
      <w:bookmarkStart w:id="5250" w:name="_Ref20429518"/>
      <w:r w:rsidRPr="0050146A">
        <w:rPr>
          <w:rFonts w:hint="cs"/>
          <w:rtl/>
        </w:rPr>
        <w:t xml:space="preserve">ועוד תירצו </w:t>
      </w:r>
      <w:r w:rsidRPr="0050146A">
        <w:rPr>
          <w:rStyle w:val="af8"/>
          <w:rFonts w:hint="cs"/>
          <w:rtl/>
        </w:rPr>
        <w:t>התוס' בתירוצם הב' והתוס' בע"ז</w:t>
      </w:r>
      <w:r w:rsidRPr="0050146A">
        <w:rPr>
          <w:rFonts w:hint="cs"/>
          <w:rtl/>
        </w:rPr>
        <w:t xml:space="preserve"> </w:t>
      </w:r>
      <w:r w:rsidRPr="0050146A">
        <w:rPr>
          <w:rStyle w:val="af6"/>
          <w:rFonts w:eastAsia="Guttman Hodes" w:hint="cs"/>
          <w:rtl/>
        </w:rPr>
        <w:t>(סז. ד"ה א"ר יוחנן)</w:t>
      </w:r>
      <w:r w:rsidRPr="0050146A">
        <w:rPr>
          <w:rFonts w:hint="cs"/>
          <w:rtl/>
        </w:rPr>
        <w:t xml:space="preserve"> בשם </w:t>
      </w:r>
      <w:r w:rsidRPr="0050146A">
        <w:rPr>
          <w:rStyle w:val="af8"/>
          <w:rFonts w:hint="cs"/>
          <w:rtl/>
        </w:rPr>
        <w:t>רבינו אליהו</w:t>
      </w:r>
      <w:r w:rsidRPr="0050146A">
        <w:rPr>
          <w:rFonts w:hint="cs"/>
          <w:rtl/>
        </w:rPr>
        <w:t xml:space="preserve"> </w:t>
      </w:r>
      <w:r w:rsidRPr="0050146A">
        <w:rPr>
          <w:rStyle w:val="af8"/>
          <w:rFonts w:hint="cs"/>
          <w:rtl/>
        </w:rPr>
        <w:t xml:space="preserve">והרא"ש </w:t>
      </w:r>
      <w:r w:rsidRPr="0050146A">
        <w:rPr>
          <w:rStyle w:val="af6"/>
          <w:rFonts w:eastAsia="Guttman Hodes" w:hint="cs"/>
          <w:rtl/>
        </w:rPr>
        <w:t>(סי' ל"א)</w:t>
      </w:r>
      <w:r w:rsidRPr="0050146A">
        <w:rPr>
          <w:rStyle w:val="af8"/>
          <w:rFonts w:hint="cs"/>
          <w:rtl/>
        </w:rPr>
        <w:t xml:space="preserve"> בשם רבינו חיים </w:t>
      </w:r>
      <w:r w:rsidRPr="0050146A">
        <w:rPr>
          <w:rFonts w:hint="cs"/>
          <w:rtl/>
        </w:rPr>
        <w:t>דאף ריו"ח בגמ' בע"ז איירי במין בשאינו מינו, והא דאמר ריו"ח דלוקין רק בטעמו וממשו, כוונתו דבמקום שיש כזית בכדי אכילת פרס,</w:t>
      </w:r>
      <w:r w:rsidRPr="0050146A">
        <w:rPr>
          <w:rStyle w:val="af8"/>
          <w:rFonts w:hint="cs"/>
          <w:rtl/>
        </w:rPr>
        <w:t xml:space="preserve"> </w:t>
      </w:r>
      <w:r w:rsidRPr="0050146A">
        <w:rPr>
          <w:rStyle w:val="afa"/>
          <w:rFonts w:hint="cs"/>
          <w:rtl/>
        </w:rPr>
        <w:t xml:space="preserve">[מהטעם של האיסור שמעורב בתוך ההיתר], </w:t>
      </w:r>
      <w:r w:rsidRPr="0050146A">
        <w:rPr>
          <w:rFonts w:hint="cs"/>
          <w:rtl/>
        </w:rPr>
        <w:t xml:space="preserve">דבכה"ג חשיב שיש בו טעמו וממשו, וביאר </w:t>
      </w:r>
      <w:r w:rsidRPr="0050146A">
        <w:rPr>
          <w:rStyle w:val="af8"/>
          <w:rFonts w:hint="cs"/>
          <w:rtl/>
        </w:rPr>
        <w:t>הרא"ש בשם רבינו חיים</w:t>
      </w:r>
      <w:r w:rsidRPr="0050146A">
        <w:rPr>
          <w:rFonts w:hint="cs"/>
          <w:rtl/>
        </w:rPr>
        <w:t xml:space="preserve"> דכיון שמעורב בהיתר כ"כ הרבה מהאיסור, חשיב שנעשה כולו איסור, וכדמוכח מהגמ' בזבחים </w:t>
      </w:r>
      <w:r w:rsidRPr="0050146A">
        <w:rPr>
          <w:rStyle w:val="af6"/>
          <w:rFonts w:eastAsia="Guttman Hodes" w:hint="cs"/>
          <w:rtl/>
        </w:rPr>
        <w:t>(עח.)</w:t>
      </w:r>
      <w:r w:rsidRPr="0050146A">
        <w:rPr>
          <w:rFonts w:hint="cs"/>
          <w:rtl/>
        </w:rPr>
        <w:t xml:space="preserve"> בדין עיסת אורז, דכיון שיש לה טעם דגן יוצא בה יד"ח מצה.</w:t>
      </w:r>
      <w:r w:rsidRPr="0050146A">
        <w:rPr>
          <w:rStyle w:val="afa"/>
          <w:rFonts w:hint="cs"/>
          <w:rtl/>
        </w:rPr>
        <w:t xml:space="preserve"> [עי' בדברי </w:t>
      </w:r>
      <w:r w:rsidRPr="0050146A">
        <w:rPr>
          <w:rStyle w:val="affa"/>
          <w:rFonts w:hint="cs"/>
          <w:rtl/>
        </w:rPr>
        <w:t>הרא"ש</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Ref12888725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נב)</w:t>
      </w:r>
      <w:r w:rsidRPr="0050146A">
        <w:rPr>
          <w:rStyle w:val="aff6"/>
          <w:rtl/>
        </w:rPr>
        <w:fldChar w:fldCharType="end"/>
      </w:r>
      <w:r w:rsidRPr="0050146A">
        <w:rPr>
          <w:rStyle w:val="afa"/>
          <w:rFonts w:hint="cs"/>
          <w:rtl/>
        </w:rPr>
        <w:t>].</w:t>
      </w:r>
      <w:bookmarkEnd w:id="5250"/>
    </w:p>
    <w:p w:rsidR="00F7606D" w:rsidRPr="0050146A" w:rsidRDefault="00F7606D" w:rsidP="00F7606D">
      <w:pPr>
        <w:pStyle w:val="a2"/>
      </w:pPr>
      <w:bookmarkStart w:id="5251" w:name="_Toc12872075"/>
      <w:bookmarkStart w:id="5252" w:name="_Toc12895346"/>
      <w:bookmarkStart w:id="5253" w:name="_Toc12896231"/>
      <w:bookmarkStart w:id="5254" w:name="_Toc12896391"/>
      <w:r w:rsidRPr="0050146A">
        <w:rPr>
          <w:rtl/>
        </w:rPr>
        <w:t xml:space="preserve">דעת רבינו אליהו ורבינו חיים דבמקום </w:t>
      </w:r>
      <w:r w:rsidRPr="0050146A">
        <w:rPr>
          <w:rFonts w:hint="cs"/>
          <w:rtl/>
        </w:rPr>
        <w:t xml:space="preserve">שאין </w:t>
      </w:r>
      <w:r w:rsidRPr="0050146A">
        <w:rPr>
          <w:rtl/>
        </w:rPr>
        <w:t xml:space="preserve">כזית בכדי אכילת פרס חשיב </w:t>
      </w:r>
      <w:r w:rsidRPr="0050146A">
        <w:rPr>
          <w:rFonts w:hint="cs"/>
          <w:rtl/>
        </w:rPr>
        <w:t xml:space="preserve">טעמו ולא </w:t>
      </w:r>
      <w:r w:rsidRPr="0050146A">
        <w:rPr>
          <w:rtl/>
        </w:rPr>
        <w:t>ממשו</w:t>
      </w:r>
      <w:bookmarkEnd w:id="5251"/>
      <w:bookmarkEnd w:id="5252"/>
      <w:bookmarkEnd w:id="5253"/>
      <w:bookmarkEnd w:id="5254"/>
    </w:p>
    <w:p w:rsidR="002D7168" w:rsidRDefault="00F7606D" w:rsidP="009F44AF">
      <w:pPr>
        <w:pStyle w:val="a"/>
        <w:rPr>
          <w:rtl/>
        </w:rPr>
      </w:pPr>
      <w:r w:rsidRPr="0050146A">
        <w:rPr>
          <w:rFonts w:hint="cs"/>
          <w:rtl/>
        </w:rPr>
        <w:t>אבל במקום שאין כזית בכדי אכילת פרס,</w:t>
      </w:r>
      <w:r w:rsidRPr="0050146A">
        <w:rPr>
          <w:rStyle w:val="af6"/>
          <w:rFonts w:eastAsia="Guttman Hodes" w:hint="cs"/>
          <w:rtl/>
        </w:rPr>
        <w:t xml:space="preserve"> </w:t>
      </w:r>
      <w:r w:rsidRPr="0050146A">
        <w:rPr>
          <w:rStyle w:val="afa"/>
          <w:rFonts w:hint="cs"/>
          <w:rtl/>
        </w:rPr>
        <w:t>[מהטעם של האיסור שמעורב בתוך ההיתר],</w:t>
      </w:r>
      <w:r w:rsidRPr="0050146A">
        <w:rPr>
          <w:rStyle w:val="af6"/>
          <w:rFonts w:eastAsia="Guttman Hodes" w:hint="cs"/>
          <w:rtl/>
        </w:rPr>
        <w:t xml:space="preserve"> </w:t>
      </w:r>
      <w:r w:rsidRPr="0050146A">
        <w:rPr>
          <w:rFonts w:hint="cs"/>
          <w:rtl/>
        </w:rPr>
        <w:t xml:space="preserve">כתבו </w:t>
      </w:r>
      <w:r w:rsidRPr="0050146A">
        <w:rPr>
          <w:rStyle w:val="af8"/>
          <w:rtl/>
        </w:rPr>
        <w:t>התוס' בתירוצם הב'</w:t>
      </w:r>
      <w:r w:rsidRPr="0050146A">
        <w:rPr>
          <w:rStyle w:val="af8"/>
          <w:rFonts w:hint="cs"/>
          <w:rtl/>
        </w:rPr>
        <w:t xml:space="preserve"> והתוס' בע"ז</w:t>
      </w:r>
      <w:r w:rsidRPr="0050146A">
        <w:rPr>
          <w:rFonts w:hint="cs"/>
          <w:rtl/>
        </w:rPr>
        <w:t xml:space="preserve"> בשם </w:t>
      </w:r>
      <w:r w:rsidRPr="0050146A">
        <w:rPr>
          <w:rStyle w:val="af8"/>
          <w:rFonts w:hint="cs"/>
          <w:rtl/>
        </w:rPr>
        <w:t>רבינו אליהו</w:t>
      </w:r>
      <w:r w:rsidRPr="0050146A">
        <w:rPr>
          <w:rFonts w:hint="cs"/>
          <w:rtl/>
        </w:rPr>
        <w:t xml:space="preserve"> דחשיב טעמו ולא ממשו, וביאר </w:t>
      </w:r>
      <w:r w:rsidRPr="0050146A">
        <w:rPr>
          <w:rStyle w:val="af8"/>
          <w:rFonts w:hint="cs"/>
          <w:rtl/>
        </w:rPr>
        <w:t>הרא"ש בשם רבינו חיים</w:t>
      </w:r>
      <w:r w:rsidRPr="0050146A">
        <w:rPr>
          <w:rFonts w:hint="cs"/>
          <w:rtl/>
        </w:rPr>
        <w:t xml:space="preserve"> דאף שהאיסור נתן טעם בהיתר, וילפינן מקרא דטעם כעיקר דאו' מ"מ אין לוקין עליו, דלא מסתבר לומר דהחמירה התורה שטעם האיסור יהפוך את ההיתר לאיסור, במקום שאם היה האיסור ניכר בתוך ההיתר בלא נתינת טעם לא היה בו מלקות כיון שאין בו כזית בכדי אכילת פרס.</w:t>
      </w:r>
    </w:p>
    <w:p w:rsidR="00F7606D" w:rsidRPr="0050146A" w:rsidRDefault="00F7606D" w:rsidP="00F7606D">
      <w:pPr>
        <w:pStyle w:val="1"/>
        <w:rPr>
          <w:rtl/>
        </w:rPr>
      </w:pPr>
      <w:bookmarkStart w:id="5255" w:name="_Toc12791807"/>
      <w:bookmarkStart w:id="5256" w:name="_Toc12826302"/>
      <w:bookmarkStart w:id="5257" w:name="_Toc12872077"/>
      <w:bookmarkStart w:id="5258" w:name="_Toc12895347"/>
      <w:bookmarkStart w:id="5259" w:name="_Toc12896232"/>
      <w:bookmarkStart w:id="5260" w:name="_Toc12896392"/>
      <w:bookmarkStart w:id="5261" w:name="_Toc12453185"/>
      <w:bookmarkStart w:id="5262" w:name="_Toc12615955"/>
      <w:bookmarkStart w:id="5263" w:name="_Toc12791822"/>
      <w:bookmarkStart w:id="5264" w:name="_Toc11698090"/>
      <w:bookmarkEnd w:id="5081"/>
      <w:bookmarkEnd w:id="5082"/>
      <w:bookmarkEnd w:id="5083"/>
      <w:bookmarkEnd w:id="5084"/>
      <w:bookmarkEnd w:id="5244"/>
      <w:bookmarkEnd w:id="5245"/>
      <w:r w:rsidRPr="0050146A">
        <w:rPr>
          <w:rFonts w:hint="cs"/>
          <w:rtl/>
        </w:rPr>
        <w:t>ראיית ר"ת מדברי רבא בגמ' בזבחים דטעם כעיקר דאו'</w:t>
      </w:r>
      <w:bookmarkEnd w:id="5255"/>
      <w:bookmarkEnd w:id="5256"/>
      <w:bookmarkEnd w:id="5257"/>
      <w:bookmarkEnd w:id="5258"/>
      <w:bookmarkEnd w:id="5259"/>
      <w:bookmarkEnd w:id="5260"/>
    </w:p>
    <w:p w:rsidR="00F7606D" w:rsidRPr="0050146A" w:rsidRDefault="00F7606D" w:rsidP="00F7606D">
      <w:pPr>
        <w:pStyle w:val="a2"/>
      </w:pPr>
      <w:bookmarkStart w:id="5265" w:name="_Toc12895348"/>
      <w:bookmarkStart w:id="5266" w:name="_Toc12896233"/>
      <w:bookmarkStart w:id="5267" w:name="_Toc12896393"/>
      <w:bookmarkStart w:id="5268" w:name="_Ref11835361"/>
      <w:r w:rsidRPr="0050146A">
        <w:rPr>
          <w:rFonts w:hint="cs"/>
          <w:rtl/>
        </w:rPr>
        <w:t>דברי ר"ת דבדברי רבא בזבחים מוכח דדין טעם במין בשאינו מינו הוא כמין במינו ברוב דהוא מדאו'</w:t>
      </w:r>
      <w:bookmarkEnd w:id="5265"/>
      <w:bookmarkEnd w:id="5266"/>
      <w:bookmarkEnd w:id="5267"/>
    </w:p>
    <w:p w:rsidR="00F7606D" w:rsidRPr="0050146A" w:rsidRDefault="00F7606D" w:rsidP="009F44AF">
      <w:pPr>
        <w:pStyle w:val="a"/>
        <w:rPr>
          <w:rtl/>
        </w:rPr>
      </w:pPr>
      <w:r w:rsidRPr="0050146A">
        <w:rPr>
          <w:rFonts w:hint="cs"/>
          <w:rtl/>
        </w:rPr>
        <w:t xml:space="preserve">וכתב </w:t>
      </w:r>
      <w:r w:rsidRPr="0050146A">
        <w:rPr>
          <w:rStyle w:val="af8"/>
          <w:rFonts w:hint="cs"/>
          <w:rtl/>
        </w:rPr>
        <w:t xml:space="preserve">ר"ת בספר הישר </w:t>
      </w:r>
      <w:r w:rsidRPr="0050146A">
        <w:rPr>
          <w:rStyle w:val="af6"/>
          <w:rFonts w:eastAsia="Guttman Hodes" w:hint="cs"/>
          <w:rtl/>
        </w:rPr>
        <w:t>(חלק החי' סי' תרצ"ד, הועתק בקובץ שיטות קמאי ע"ז ח"ב עמ'</w:t>
      </w:r>
      <w:r w:rsidRPr="0050146A">
        <w:rPr>
          <w:rStyle w:val="af6"/>
          <w:rFonts w:eastAsia="Guttman Hodes"/>
          <w:rtl/>
        </w:rPr>
        <w:t xml:space="preserve"> אלף תר</w:t>
      </w:r>
      <w:r w:rsidRPr="0050146A">
        <w:rPr>
          <w:rStyle w:val="af6"/>
          <w:rFonts w:eastAsia="Guttman Hodes" w:hint="cs"/>
          <w:rtl/>
        </w:rPr>
        <w:t>"</w:t>
      </w:r>
      <w:r w:rsidRPr="0050146A">
        <w:rPr>
          <w:rStyle w:val="af6"/>
          <w:rFonts w:eastAsia="Guttman Hodes"/>
          <w:rtl/>
        </w:rPr>
        <w:t>י</w:t>
      </w:r>
      <w:r w:rsidRPr="0050146A">
        <w:rPr>
          <w:rStyle w:val="af6"/>
          <w:rFonts w:eastAsia="Guttman Hodes" w:hint="cs"/>
          <w:rtl/>
        </w:rPr>
        <w:t>)</w:t>
      </w:r>
      <w:r w:rsidRPr="0050146A">
        <w:rPr>
          <w:rFonts w:hint="cs"/>
          <w:rtl/>
        </w:rPr>
        <w:t xml:space="preserve"> דבגמ' בזבחים </w:t>
      </w:r>
      <w:r w:rsidRPr="0050146A">
        <w:rPr>
          <w:rStyle w:val="af6"/>
          <w:rFonts w:eastAsia="Guttman Hodes" w:hint="cs"/>
          <w:rtl/>
        </w:rPr>
        <w:t>(עט.)</w:t>
      </w:r>
      <w:r w:rsidRPr="0050146A">
        <w:rPr>
          <w:rFonts w:hint="cs"/>
          <w:rtl/>
        </w:rPr>
        <w:t xml:space="preserve"> מבואר דטעם כעיקר דאו' דאמר רבא דאמור </w:t>
      </w:r>
      <w:r w:rsidRPr="0050146A">
        <w:rPr>
          <w:rFonts w:hint="cs"/>
          <w:rtl/>
        </w:rPr>
        <w:t xml:space="preserve">רבנן בטעמא, ואמור רבנן ברובא ובשישים, וכתב </w:t>
      </w:r>
      <w:r w:rsidRPr="0050146A">
        <w:rPr>
          <w:rStyle w:val="af8"/>
          <w:rFonts w:hint="cs"/>
          <w:rtl/>
        </w:rPr>
        <w:t xml:space="preserve">ר"ת בספר הישר </w:t>
      </w:r>
      <w:r w:rsidRPr="0050146A">
        <w:rPr>
          <w:rFonts w:hint="cs"/>
          <w:rtl/>
        </w:rPr>
        <w:t xml:space="preserve">דודאי דאחד מהדברים שמנה רבא היינו טעמו ולא ממשו, וכתב </w:t>
      </w:r>
      <w:r w:rsidRPr="0050146A">
        <w:rPr>
          <w:rStyle w:val="af8"/>
          <w:rFonts w:hint="cs"/>
          <w:rtl/>
        </w:rPr>
        <w:t xml:space="preserve">ר"ת בספר הישר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Ref12790911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מ)</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דטעמו ולא ממשו וטעם כעיקר הם דבר אחד, וכ"כ </w:t>
      </w:r>
      <w:r w:rsidRPr="0050146A">
        <w:rPr>
          <w:rStyle w:val="af8"/>
          <w:rFonts w:hint="cs"/>
          <w:rtl/>
        </w:rPr>
        <w:t>הרשב"א</w:t>
      </w:r>
      <w:r w:rsidRPr="0050146A">
        <w:rPr>
          <w:rFonts w:hint="cs"/>
          <w:rtl/>
        </w:rPr>
        <w:t xml:space="preserve"> </w:t>
      </w:r>
      <w:r w:rsidRPr="0050146A">
        <w:rPr>
          <w:rStyle w:val="af6"/>
          <w:rFonts w:eastAsia="Guttman Hodes" w:hint="cs"/>
          <w:rtl/>
        </w:rPr>
        <w:t>(ד"ה וקשיא)</w:t>
      </w:r>
      <w:r w:rsidRPr="0050146A">
        <w:rPr>
          <w:rFonts w:hint="cs"/>
          <w:rtl/>
        </w:rPr>
        <w:t xml:space="preserve"> בשם </w:t>
      </w:r>
      <w:r w:rsidRPr="0050146A">
        <w:rPr>
          <w:rStyle w:val="af8"/>
          <w:rFonts w:hint="cs"/>
          <w:rtl/>
        </w:rPr>
        <w:t>הראב"ד</w:t>
      </w:r>
      <w:r w:rsidRPr="0050146A">
        <w:rPr>
          <w:rFonts w:hint="cs"/>
          <w:rtl/>
        </w:rPr>
        <w:t xml:space="preserve">, והוסיף </w:t>
      </w:r>
      <w:r w:rsidRPr="0050146A">
        <w:rPr>
          <w:rStyle w:val="af8"/>
          <w:rFonts w:hint="cs"/>
          <w:rtl/>
        </w:rPr>
        <w:t>הרמב"ן</w:t>
      </w:r>
      <w:r w:rsidRPr="0050146A">
        <w:rPr>
          <w:rFonts w:hint="cs"/>
          <w:rtl/>
        </w:rPr>
        <w:t xml:space="preserve"> </w:t>
      </w:r>
      <w:r w:rsidRPr="0050146A">
        <w:rPr>
          <w:rStyle w:val="af6"/>
          <w:rFonts w:eastAsia="Guttman Hodes" w:hint="cs"/>
          <w:rtl/>
        </w:rPr>
        <w:t>(ד"ה ופי' אחר)</w:t>
      </w:r>
      <w:r w:rsidRPr="0050146A">
        <w:rPr>
          <w:rFonts w:hint="cs"/>
          <w:rtl/>
        </w:rPr>
        <w:t xml:space="preserve"> בשם </w:t>
      </w:r>
      <w:r w:rsidRPr="0050146A">
        <w:rPr>
          <w:rStyle w:val="af8"/>
          <w:rFonts w:hint="cs"/>
          <w:rtl/>
        </w:rPr>
        <w:t xml:space="preserve">ר"ת </w:t>
      </w:r>
      <w:r w:rsidRPr="0050146A">
        <w:rPr>
          <w:rFonts w:hint="cs"/>
          <w:rtl/>
        </w:rPr>
        <w:t xml:space="preserve">דא"כ מוכח דגיעולי עכו"ם ומשרת אינם אסמכתא, </w:t>
      </w:r>
      <w:r w:rsidRPr="0050146A">
        <w:rPr>
          <w:rStyle w:val="afa"/>
          <w:rFonts w:hint="cs"/>
          <w:rtl/>
        </w:rPr>
        <w:t xml:space="preserve">[ודלא </w:t>
      </w:r>
      <w:r w:rsidRPr="0050146A">
        <w:rPr>
          <w:rStyle w:val="affa"/>
          <w:rFonts w:hint="cs"/>
          <w:rtl/>
        </w:rPr>
        <w:t>כרש"י</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Ref12438506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ב)</w:t>
      </w:r>
      <w:r w:rsidRPr="0050146A">
        <w:rPr>
          <w:rStyle w:val="aff6"/>
          <w:rtl/>
        </w:rPr>
        <w:fldChar w:fldCharType="end"/>
      </w:r>
      <w:r w:rsidRPr="0050146A">
        <w:rPr>
          <w:rStyle w:val="afa"/>
          <w:rFonts w:hint="cs"/>
          <w:rtl/>
        </w:rPr>
        <w:t>],</w:t>
      </w:r>
      <w:r w:rsidRPr="0050146A">
        <w:rPr>
          <w:rFonts w:hint="cs"/>
          <w:rtl/>
        </w:rPr>
        <w:t xml:space="preserve"> וכדביארה הגמ' בזבחים בדברי רבא דמין בשאינו מינו בטעמא, ומין במינו ברוב. </w:t>
      </w:r>
      <w:r w:rsidRPr="0050146A">
        <w:rPr>
          <w:rStyle w:val="afa"/>
          <w:rFonts w:hint="cs"/>
          <w:rtl/>
        </w:rPr>
        <w:t>[ומבואר דשניהם מדאו'].</w:t>
      </w:r>
    </w:p>
    <w:p w:rsidR="00F7606D" w:rsidRPr="0050146A" w:rsidRDefault="00F7606D" w:rsidP="00F7606D">
      <w:pPr>
        <w:pStyle w:val="a2"/>
        <w:rPr>
          <w:rtl/>
        </w:rPr>
      </w:pPr>
      <w:bookmarkStart w:id="5269" w:name="_Toc12895349"/>
      <w:bookmarkStart w:id="5270" w:name="_Toc12896234"/>
      <w:bookmarkStart w:id="5271" w:name="_Toc12896394"/>
      <w:r w:rsidRPr="0050146A">
        <w:rPr>
          <w:rFonts w:hint="cs"/>
          <w:rtl/>
        </w:rPr>
        <w:t>דחיית הרמב"ן דבגמ' בזבחים איירי בטעמו וממשו ולכן הוא אסור מדאו'</w:t>
      </w:r>
      <w:bookmarkEnd w:id="5269"/>
      <w:bookmarkEnd w:id="5270"/>
      <w:bookmarkEnd w:id="5271"/>
    </w:p>
    <w:p w:rsidR="00CF5545" w:rsidRPr="0050146A" w:rsidRDefault="00F7606D" w:rsidP="009F44AF">
      <w:pPr>
        <w:pStyle w:val="a"/>
        <w:rPr>
          <w:rtl/>
        </w:rPr>
      </w:pPr>
      <w:bookmarkStart w:id="5272" w:name="_Ref12814106"/>
      <w:r w:rsidRPr="0050146A">
        <w:rPr>
          <w:rFonts w:hint="cs"/>
          <w:rtl/>
        </w:rPr>
        <w:t xml:space="preserve">ודחה </w:t>
      </w:r>
      <w:r w:rsidRPr="0050146A">
        <w:rPr>
          <w:rStyle w:val="af8"/>
          <w:rFonts w:hint="cs"/>
          <w:rtl/>
        </w:rPr>
        <w:t>הרשב"א בחי'</w:t>
      </w:r>
      <w:r w:rsidRPr="0050146A">
        <w:rPr>
          <w:rFonts w:hint="cs"/>
          <w:rtl/>
        </w:rPr>
        <w:t xml:space="preserve"> </w:t>
      </w:r>
      <w:r w:rsidRPr="0050146A">
        <w:rPr>
          <w:rStyle w:val="af6"/>
          <w:rFonts w:eastAsia="Guttman Hodes" w:hint="cs"/>
          <w:rtl/>
        </w:rPr>
        <w:t>(ד"ה והרמב"ן)</w:t>
      </w:r>
      <w:r w:rsidRPr="0050146A">
        <w:rPr>
          <w:rFonts w:hint="cs"/>
          <w:rtl/>
        </w:rPr>
        <w:t xml:space="preserve"> בשם </w:t>
      </w:r>
      <w:r w:rsidRPr="0050146A">
        <w:rPr>
          <w:rStyle w:val="af8"/>
          <w:rFonts w:hint="cs"/>
          <w:rtl/>
        </w:rPr>
        <w:t>הרמב"ן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Ref12888533 \r \h</w:instrText>
      </w:r>
      <w:r w:rsidRPr="0050146A">
        <w:rPr>
          <w:rStyle w:val="af6"/>
          <w:rFonts w:eastAsia="Guttman Hodes"/>
          <w:rtl/>
        </w:rPr>
        <w:instrText xml:space="preserve">  \* </w:instrText>
      </w:r>
      <w:r w:rsidRPr="0050146A">
        <w:rPr>
          <w:rStyle w:val="af6"/>
          <w:rFonts w:eastAsia="Guttman Hodes"/>
        </w:rPr>
        <w:instrText>MERGEFORMAT</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50146A">
        <w:rPr>
          <w:rStyle w:val="af6"/>
          <w:rFonts w:eastAsia="Guttman Hodes"/>
          <w:rtl/>
        </w:rPr>
        <w:fldChar w:fldCharType="end"/>
      </w:r>
      <w:r w:rsidRPr="0050146A">
        <w:rPr>
          <w:rFonts w:hint="cs"/>
          <w:rtl/>
        </w:rPr>
        <w:t xml:space="preserve"> דבגמ' בזבחים איירי רבא בטעמו וממשו, ולכן במין בשאינו מינו אסור מטעמא מדאו'.</w:t>
      </w:r>
      <w:bookmarkEnd w:id="5272"/>
    </w:p>
    <w:p w:rsidR="00F7606D" w:rsidRPr="0050146A" w:rsidRDefault="00F7606D" w:rsidP="00E669F8">
      <w:pPr>
        <w:pStyle w:val="afd"/>
        <w:rPr>
          <w:rtl/>
        </w:rPr>
      </w:pPr>
      <w:bookmarkStart w:id="5273" w:name="_Toc12826301"/>
      <w:bookmarkStart w:id="5274" w:name="_Toc12872076"/>
      <w:bookmarkStart w:id="5275" w:name="_Toc12895350"/>
      <w:bookmarkStart w:id="5276" w:name="_Toc12896235"/>
      <w:bookmarkStart w:id="5277" w:name="_Toc12896395"/>
      <w:bookmarkEnd w:id="5268"/>
      <w:r w:rsidRPr="0050146A">
        <w:rPr>
          <w:rFonts w:hint="cs"/>
          <w:rtl/>
        </w:rPr>
        <w:t>פלוגתת ר"ת והרמב"ן בדין עיסת אורז</w:t>
      </w:r>
      <w:bookmarkEnd w:id="5273"/>
      <w:bookmarkEnd w:id="5274"/>
      <w:bookmarkEnd w:id="5275"/>
      <w:bookmarkEnd w:id="5276"/>
      <w:bookmarkEnd w:id="5277"/>
    </w:p>
    <w:p w:rsidR="00F7606D" w:rsidRPr="0050146A" w:rsidRDefault="00F7606D" w:rsidP="00F7606D">
      <w:pPr>
        <w:pStyle w:val="a2"/>
      </w:pPr>
      <w:bookmarkStart w:id="5278" w:name="_Toc12895351"/>
      <w:bookmarkStart w:id="5279" w:name="_Toc12896236"/>
      <w:bookmarkStart w:id="5280" w:name="_Toc12896396"/>
      <w:r w:rsidRPr="0050146A">
        <w:rPr>
          <w:rFonts w:hint="cs"/>
          <w:rtl/>
        </w:rPr>
        <w:t>דברי הרא"ש בשם ר"ת דמהא דבעיסת אורז שיש בה טעם דגן יוצא יד"ח מצה מוכח דטע"כ דאו'</w:t>
      </w:r>
      <w:bookmarkEnd w:id="5278"/>
      <w:bookmarkEnd w:id="5279"/>
      <w:bookmarkEnd w:id="5280"/>
    </w:p>
    <w:p w:rsidR="00F7606D" w:rsidRPr="0050146A" w:rsidRDefault="00F7606D" w:rsidP="009F44AF">
      <w:pPr>
        <w:pStyle w:val="a"/>
      </w:pPr>
      <w:bookmarkStart w:id="5281" w:name="_Ref12888725"/>
      <w:bookmarkStart w:id="5282" w:name="_Toc12826303"/>
      <w:bookmarkStart w:id="5283" w:name="_Toc12872078"/>
      <w:bookmarkStart w:id="5284" w:name="_Toc12895352"/>
      <w:bookmarkStart w:id="5285" w:name="_Toc12896237"/>
      <w:bookmarkStart w:id="5286" w:name="_Toc12896397"/>
      <w:r w:rsidRPr="0050146A">
        <w:rPr>
          <w:rFonts w:hint="cs"/>
          <w:rtl/>
        </w:rPr>
        <w:t xml:space="preserve">עוד הביאו </w:t>
      </w:r>
      <w:r w:rsidRPr="0050146A">
        <w:rPr>
          <w:rStyle w:val="af8"/>
          <w:rFonts w:hint="cs"/>
          <w:rtl/>
        </w:rPr>
        <w:t xml:space="preserve">הרמב"ן </w:t>
      </w:r>
      <w:r w:rsidRPr="0050146A">
        <w:rPr>
          <w:rStyle w:val="af6"/>
          <w:rFonts w:eastAsia="Guttman Hodes" w:hint="cs"/>
          <w:rtl/>
        </w:rPr>
        <w:t xml:space="preserve">(ד"ה ועוד ר"ת) </w:t>
      </w:r>
      <w:r w:rsidRPr="0050146A">
        <w:rPr>
          <w:rStyle w:val="af8"/>
          <w:rFonts w:hint="cs"/>
          <w:rtl/>
        </w:rPr>
        <w:t>והרא"ש</w:t>
      </w:r>
      <w:r w:rsidRPr="0050146A">
        <w:rPr>
          <w:rFonts w:hint="cs"/>
          <w:rtl/>
        </w:rPr>
        <w:t xml:space="preserve"> </w:t>
      </w:r>
      <w:r w:rsidRPr="0050146A">
        <w:rPr>
          <w:rStyle w:val="af6"/>
          <w:rFonts w:eastAsia="Guttman Hodes" w:hint="cs"/>
          <w:rtl/>
        </w:rPr>
        <w:t>(סי' ל"א)</w:t>
      </w:r>
      <w:r w:rsidRPr="0050146A">
        <w:rPr>
          <w:rFonts w:hint="cs"/>
          <w:rtl/>
        </w:rPr>
        <w:t xml:space="preserve"> בשם </w:t>
      </w:r>
      <w:r w:rsidRPr="0050146A">
        <w:rPr>
          <w:rStyle w:val="af8"/>
          <w:rFonts w:hint="cs"/>
          <w:rtl/>
        </w:rPr>
        <w:t>ר"ת בספר הישר</w:t>
      </w:r>
      <w:r w:rsidRPr="0050146A">
        <w:rPr>
          <w:rFonts w:hint="cs"/>
          <w:rtl/>
        </w:rPr>
        <w:t xml:space="preserve"> </w:t>
      </w:r>
      <w:r w:rsidRPr="0050146A">
        <w:rPr>
          <w:rStyle w:val="af6"/>
          <w:rFonts w:eastAsia="Guttman Hodes" w:hint="cs"/>
          <w:rtl/>
        </w:rPr>
        <w:t>(חלק החי' סי' תרצ"ד, הועתק בקובץ שיטות קמאי ע"ז ח"ב עמ'</w:t>
      </w:r>
      <w:r w:rsidRPr="0050146A">
        <w:rPr>
          <w:rStyle w:val="af6"/>
          <w:rFonts w:eastAsia="Guttman Hodes"/>
          <w:rtl/>
        </w:rPr>
        <w:t xml:space="preserve"> אלף תר</w:t>
      </w:r>
      <w:r w:rsidRPr="0050146A">
        <w:rPr>
          <w:rStyle w:val="af6"/>
          <w:rFonts w:eastAsia="Guttman Hodes" w:hint="cs"/>
          <w:rtl/>
        </w:rPr>
        <w:t>"</w:t>
      </w:r>
      <w:r w:rsidRPr="0050146A">
        <w:rPr>
          <w:rStyle w:val="af6"/>
          <w:rFonts w:eastAsia="Guttman Hodes"/>
          <w:rtl/>
        </w:rPr>
        <w:t>י</w:t>
      </w:r>
      <w:r w:rsidRPr="0050146A">
        <w:rPr>
          <w:rStyle w:val="af6"/>
          <w:rFonts w:eastAsia="Guttman Hodes" w:hint="cs"/>
          <w:rtl/>
        </w:rPr>
        <w:t>)</w:t>
      </w:r>
      <w:r w:rsidRPr="0050146A">
        <w:rPr>
          <w:rFonts w:hint="cs"/>
          <w:rtl/>
        </w:rPr>
        <w:t xml:space="preserve"> ראיה דטעם כעיקר דאו', מהגמ' בזבחים </w:t>
      </w:r>
      <w:r w:rsidRPr="0050146A">
        <w:rPr>
          <w:rStyle w:val="af6"/>
          <w:rFonts w:eastAsia="Guttman Hodes" w:hint="cs"/>
          <w:rtl/>
        </w:rPr>
        <w:t>(עח.)</w:t>
      </w:r>
      <w:r w:rsidRPr="0050146A">
        <w:rPr>
          <w:rFonts w:hint="cs"/>
          <w:rtl/>
        </w:rPr>
        <w:t xml:space="preserve"> דאמר ר"ל דפגול ונותר שהתערבו ואכל כזית מהם פטור, דלא יתכן שלא ירבה מין אחד על חבירו ויבטלנו, ואמרינן בגמ' בזבחים דמבואר מזה דנותן טעם ברוב אינו מדאו', והקשה רבא דהרי תנן בחלה </w:t>
      </w:r>
      <w:r w:rsidRPr="0050146A">
        <w:rPr>
          <w:rStyle w:val="af6"/>
          <w:rFonts w:eastAsia="Guttman Hodes" w:hint="cs"/>
          <w:rtl/>
        </w:rPr>
        <w:t>(פ"ג מ"ז)</w:t>
      </w:r>
      <w:r w:rsidRPr="0050146A">
        <w:rPr>
          <w:rFonts w:hint="cs"/>
          <w:rtl/>
        </w:rPr>
        <w:t xml:space="preserve"> דהעושה עיסה מחיטין ואורז, אם יש טעם דגן חייבת בחלה,  ואדם יוצא בה ידי חובתו בפסח, אף אם רובה הוא מאורז, ותירצה הגמ' בזבחים דמין בשאינו מינו בטעמא ומין במינו ברובא, ור"ל דאמר דמהני ביטול ברוב איירי במין במינו, וכתבו </w:t>
      </w:r>
      <w:r w:rsidRPr="0050146A">
        <w:rPr>
          <w:rStyle w:val="af8"/>
          <w:rFonts w:hint="cs"/>
          <w:rtl/>
        </w:rPr>
        <w:t>הרמב"ן והרא"ש</w:t>
      </w:r>
      <w:r w:rsidRPr="0050146A">
        <w:rPr>
          <w:rFonts w:hint="cs"/>
          <w:rtl/>
        </w:rPr>
        <w:t xml:space="preserve"> בשם </w:t>
      </w:r>
      <w:r w:rsidRPr="0050146A">
        <w:rPr>
          <w:rStyle w:val="af8"/>
          <w:rFonts w:hint="cs"/>
          <w:rtl/>
        </w:rPr>
        <w:t>ר"ת בספר הישר</w:t>
      </w:r>
      <w:r w:rsidRPr="0050146A">
        <w:rPr>
          <w:rFonts w:hint="cs"/>
          <w:rtl/>
        </w:rPr>
        <w:t xml:space="preserve"> דא"כ מוכח דטעם כעיקר דאו', וביאר </w:t>
      </w:r>
      <w:r w:rsidRPr="0050146A">
        <w:rPr>
          <w:rStyle w:val="af8"/>
          <w:rFonts w:hint="cs"/>
          <w:rtl/>
        </w:rPr>
        <w:t>הרא"ש</w:t>
      </w:r>
      <w:r w:rsidRPr="0050146A">
        <w:rPr>
          <w:rFonts w:hint="cs"/>
          <w:rtl/>
        </w:rPr>
        <w:t xml:space="preserve"> דאף שרוב העיסה היא מהאורז, מ"מ כיון שיש בה טעם דגן, אזלינן בתר הטעם, ואם אכל כזית מהעיסה יוצא בה יד"ח מצה, כאילו כל העיסה היא מחיטין.</w:t>
      </w:r>
      <w:bookmarkEnd w:id="5281"/>
    </w:p>
    <w:p w:rsidR="00F7606D" w:rsidRPr="0050146A" w:rsidRDefault="00F7606D" w:rsidP="00F7606D">
      <w:pPr>
        <w:pStyle w:val="1"/>
        <w:rPr>
          <w:rtl/>
        </w:rPr>
      </w:pPr>
      <w:r w:rsidRPr="0050146A">
        <w:rPr>
          <w:rFonts w:hint="cs"/>
          <w:rtl/>
        </w:rPr>
        <w:t>ביאור הרמב"ן דבטעמו וממשו</w:t>
      </w:r>
      <w:bookmarkEnd w:id="5261"/>
      <w:bookmarkEnd w:id="5262"/>
      <w:bookmarkEnd w:id="5263"/>
      <w:bookmarkEnd w:id="5282"/>
      <w:bookmarkEnd w:id="5283"/>
      <w:r w:rsidRPr="0050146A">
        <w:rPr>
          <w:rFonts w:hint="cs"/>
          <w:rtl/>
        </w:rPr>
        <w:t xml:space="preserve"> טעם כעיקר דאו'</w:t>
      </w:r>
      <w:bookmarkEnd w:id="5284"/>
      <w:bookmarkEnd w:id="5285"/>
      <w:bookmarkEnd w:id="5286"/>
    </w:p>
    <w:p w:rsidR="00F7606D" w:rsidRPr="0050146A" w:rsidRDefault="00F7606D" w:rsidP="00F7606D">
      <w:pPr>
        <w:pStyle w:val="a2"/>
        <w:rPr>
          <w:rtl/>
        </w:rPr>
      </w:pPr>
      <w:bookmarkStart w:id="5287" w:name="_Toc12895353"/>
      <w:bookmarkStart w:id="5288" w:name="_Toc12896238"/>
      <w:bookmarkStart w:id="5289" w:name="_Toc12896398"/>
      <w:r w:rsidRPr="0050146A">
        <w:rPr>
          <w:rFonts w:hint="cs"/>
          <w:rtl/>
        </w:rPr>
        <w:t>ביאור הרמב"ן והר"ן דבטעמו וממשו טעם כעיקר דאו' דכשיש ממשות אין הטעם בטל</w:t>
      </w:r>
      <w:bookmarkEnd w:id="5287"/>
      <w:bookmarkEnd w:id="5288"/>
      <w:bookmarkEnd w:id="5289"/>
    </w:p>
    <w:p w:rsidR="00F7606D" w:rsidRPr="0050146A" w:rsidRDefault="00F7606D" w:rsidP="009F44AF">
      <w:pPr>
        <w:pStyle w:val="a"/>
        <w:rPr>
          <w:rtl/>
        </w:rPr>
      </w:pPr>
      <w:bookmarkStart w:id="5290" w:name="_Ref12888533"/>
      <w:bookmarkStart w:id="5291" w:name="_Toc12205455"/>
      <w:bookmarkStart w:id="5292" w:name="_Toc12305187"/>
      <w:bookmarkStart w:id="5293" w:name="_Toc12389128"/>
      <w:bookmarkStart w:id="5294" w:name="_Toc12453186"/>
      <w:bookmarkStart w:id="5295" w:name="_Toc12615956"/>
      <w:bookmarkStart w:id="5296" w:name="_Toc12791823"/>
      <w:r w:rsidRPr="0050146A">
        <w:rPr>
          <w:rFonts w:hint="cs"/>
          <w:rtl/>
        </w:rPr>
        <w:t xml:space="preserve">ותירץ </w:t>
      </w:r>
      <w:r w:rsidRPr="0050146A">
        <w:rPr>
          <w:rStyle w:val="af8"/>
          <w:rFonts w:hint="cs"/>
          <w:rtl/>
        </w:rPr>
        <w:t>הרמב"ן</w:t>
      </w:r>
      <w:r w:rsidRPr="0050146A">
        <w:rPr>
          <w:rFonts w:hint="cs"/>
          <w:rtl/>
        </w:rPr>
        <w:t xml:space="preserve"> בדעת </w:t>
      </w:r>
      <w:r w:rsidRPr="0050146A">
        <w:rPr>
          <w:rStyle w:val="af8"/>
          <w:rFonts w:hint="cs"/>
          <w:rtl/>
        </w:rPr>
        <w:t>רש"י</w:t>
      </w:r>
      <w:r w:rsidRPr="0050146A">
        <w:rPr>
          <w:rFonts w:hint="cs"/>
          <w:rtl/>
        </w:rPr>
        <w:t xml:space="preserve"> דבעיסה מחיטים ואורז אי"ז רק טעמו בלא ממשו, אלא הוא טעמו וממשו, דהרי העיקר של החיטים עצמם מעורב בעיסה, ומיעוט החיטים נותן טעם ברוב האורז, ודמי לגמ' לקמן </w:t>
      </w:r>
      <w:r w:rsidRPr="0050146A">
        <w:rPr>
          <w:rStyle w:val="af6"/>
          <w:rFonts w:eastAsia="Guttman Hodes" w:hint="cs"/>
          <w:rtl/>
        </w:rPr>
        <w:t>(צט.)</w:t>
      </w:r>
      <w:r w:rsidRPr="0050146A">
        <w:rPr>
          <w:rFonts w:hint="cs"/>
          <w:rtl/>
        </w:rPr>
        <w:t xml:space="preserve"> בגריסים שהתבשלו עם העדשים, ויש בהם באחד מהם רוב על השני, דבכה"ג אזלינן בתר רובא, והוסיף </w:t>
      </w:r>
      <w:r w:rsidRPr="0050146A">
        <w:rPr>
          <w:rStyle w:val="af8"/>
          <w:rFonts w:hint="cs"/>
          <w:rtl/>
        </w:rPr>
        <w:t>הר"ן על הרי"ף</w:t>
      </w:r>
      <w:r w:rsidRPr="0050146A">
        <w:rPr>
          <w:rFonts w:hint="cs"/>
          <w:rtl/>
        </w:rPr>
        <w:t xml:space="preserve"> </w:t>
      </w:r>
      <w:r w:rsidRPr="0050146A">
        <w:rPr>
          <w:rStyle w:val="af6"/>
          <w:rFonts w:eastAsia="Guttman Hodes" w:hint="cs"/>
          <w:rtl/>
        </w:rPr>
        <w:t>(לה: מדפי הרי"ף ד"ה ולענין מין)</w:t>
      </w:r>
      <w:r w:rsidRPr="0050146A">
        <w:rPr>
          <w:rFonts w:hint="cs"/>
          <w:rtl/>
        </w:rPr>
        <w:t xml:space="preserve"> דכיון שגופו מעורב בתערובת והוא נותן טעם, אינו בטל אפילו באלף, כדברי רבא בגמ' בזבחים </w:t>
      </w:r>
      <w:r w:rsidRPr="0050146A">
        <w:rPr>
          <w:rStyle w:val="af6"/>
          <w:rFonts w:eastAsia="Guttman Hodes" w:hint="cs"/>
          <w:rtl/>
        </w:rPr>
        <w:t>(עט.)</w:t>
      </w:r>
      <w:r w:rsidRPr="0050146A">
        <w:rPr>
          <w:rFonts w:hint="cs"/>
          <w:rtl/>
        </w:rPr>
        <w:t xml:space="preserve"> דמין בשאינו מינו בטעמא, וכוונתו דבטעמו וממשו אסור מדאו', כמו דבמין במינו דאמר רבא ברובא דהוא מדאו', ועי' בדברי </w:t>
      </w:r>
      <w:r w:rsidRPr="0050146A">
        <w:rPr>
          <w:rStyle w:val="af8"/>
          <w:rFonts w:hint="cs"/>
          <w:rtl/>
        </w:rPr>
        <w:t>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Ref12895728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50146A">
        <w:rPr>
          <w:rStyle w:val="af6"/>
          <w:rFonts w:eastAsia="Guttman Hodes"/>
          <w:rtl/>
        </w:rPr>
        <w:fldChar w:fldCharType="end"/>
      </w:r>
      <w:r w:rsidRPr="0050146A">
        <w:rPr>
          <w:rFonts w:hint="cs"/>
          <w:rtl/>
        </w:rPr>
        <w:t>.</w:t>
      </w:r>
      <w:bookmarkEnd w:id="5290"/>
    </w:p>
    <w:p w:rsidR="00F7606D" w:rsidRPr="0050146A" w:rsidRDefault="00F7606D" w:rsidP="00F7606D">
      <w:pPr>
        <w:pStyle w:val="a2"/>
      </w:pPr>
      <w:bookmarkStart w:id="5297" w:name="_Toc12895354"/>
      <w:bookmarkStart w:id="5298" w:name="_Toc12896239"/>
      <w:bookmarkStart w:id="5299" w:name="_Toc12896399"/>
      <w:r w:rsidRPr="0050146A">
        <w:rPr>
          <w:rFonts w:hint="cs"/>
          <w:rtl/>
        </w:rPr>
        <w:t>דברי הרמב"ן דבמקום שאין בתערובת את העיקר חשיב שהאיסור התבטל לגמרי ונשאר רק טעמו</w:t>
      </w:r>
      <w:bookmarkEnd w:id="5297"/>
      <w:bookmarkEnd w:id="5298"/>
      <w:bookmarkEnd w:id="5299"/>
    </w:p>
    <w:p w:rsidR="00F7606D" w:rsidRPr="0050146A" w:rsidRDefault="00F7606D" w:rsidP="009F44AF">
      <w:pPr>
        <w:pStyle w:val="a"/>
        <w:rPr>
          <w:rtl/>
        </w:rPr>
      </w:pPr>
      <w:r w:rsidRPr="0050146A">
        <w:rPr>
          <w:rFonts w:hint="cs"/>
          <w:rtl/>
        </w:rPr>
        <w:t xml:space="preserve">אבל במקום שהעיקר אינו בתערובת, כתב </w:t>
      </w:r>
      <w:r w:rsidRPr="0050146A">
        <w:rPr>
          <w:rStyle w:val="af8"/>
          <w:rFonts w:hint="cs"/>
          <w:rtl/>
        </w:rPr>
        <w:t>הרמב"ן</w:t>
      </w:r>
      <w:r w:rsidRPr="0050146A">
        <w:rPr>
          <w:rFonts w:hint="cs"/>
          <w:rtl/>
        </w:rPr>
        <w:t xml:space="preserve"> דכיון שיש בתערובת רק טעם ואין שם מממשו של האיסור לא בעין ולא מעורב בתוך ההיתר, אלא האיסור התבטל לגמרי ונשאר רק טעם האיסור, והוסיף </w:t>
      </w:r>
      <w:r w:rsidRPr="0050146A">
        <w:rPr>
          <w:rStyle w:val="af8"/>
          <w:rFonts w:hint="cs"/>
          <w:rtl/>
        </w:rPr>
        <w:t>הרמב"ן</w:t>
      </w:r>
      <w:r w:rsidRPr="0050146A">
        <w:rPr>
          <w:rFonts w:hint="cs"/>
          <w:rtl/>
        </w:rPr>
        <w:t xml:space="preserve"> דכן ביאר </w:t>
      </w:r>
      <w:r w:rsidRPr="0050146A">
        <w:rPr>
          <w:rStyle w:val="af8"/>
          <w:rFonts w:hint="cs"/>
          <w:rtl/>
        </w:rPr>
        <w:t>רש"י</w:t>
      </w:r>
      <w:r w:rsidRPr="0050146A">
        <w:rPr>
          <w:rFonts w:hint="cs"/>
          <w:rtl/>
        </w:rPr>
        <w:t xml:space="preserve">, והוסיף </w:t>
      </w:r>
      <w:r w:rsidRPr="0050146A">
        <w:rPr>
          <w:rStyle w:val="af8"/>
          <w:rFonts w:hint="cs"/>
          <w:rtl/>
        </w:rPr>
        <w:t xml:space="preserve">הר"ן על הרי"ף </w:t>
      </w:r>
      <w:r w:rsidRPr="0050146A">
        <w:rPr>
          <w:rFonts w:hint="cs"/>
          <w:rtl/>
        </w:rPr>
        <w:t xml:space="preserve">דזהו טעם כעיקר </w:t>
      </w:r>
      <w:r w:rsidRPr="0050146A">
        <w:rPr>
          <w:rStyle w:val="af8"/>
          <w:rFonts w:hint="cs"/>
          <w:rtl/>
        </w:rPr>
        <w:t>דלרש"י</w:t>
      </w:r>
      <w:r w:rsidRPr="0050146A">
        <w:rPr>
          <w:rFonts w:hint="cs"/>
          <w:rtl/>
        </w:rPr>
        <w:t xml:space="preserve"> הוא דרבנן </w:t>
      </w:r>
      <w:r w:rsidRPr="0050146A">
        <w:rPr>
          <w:rStyle w:val="af8"/>
          <w:rFonts w:hint="cs"/>
          <w:rtl/>
        </w:rPr>
        <w:t>ולר"ת</w:t>
      </w:r>
      <w:r w:rsidRPr="0050146A">
        <w:rPr>
          <w:rFonts w:hint="cs"/>
          <w:rtl/>
        </w:rPr>
        <w:t xml:space="preserve"> הוא דאו'.</w:t>
      </w:r>
    </w:p>
    <w:p w:rsidR="00F7606D" w:rsidRPr="0050146A" w:rsidRDefault="00F7606D" w:rsidP="00F7606D">
      <w:pPr>
        <w:pStyle w:val="a2"/>
        <w:rPr>
          <w:rtl/>
        </w:rPr>
      </w:pPr>
      <w:bookmarkStart w:id="5300" w:name="_Toc12895355"/>
      <w:bookmarkStart w:id="5301" w:name="_Toc12896240"/>
      <w:bookmarkStart w:id="5302" w:name="_Toc12896400"/>
      <w:bookmarkEnd w:id="5291"/>
      <w:bookmarkEnd w:id="5292"/>
      <w:bookmarkEnd w:id="5293"/>
      <w:bookmarkEnd w:id="5294"/>
      <w:bookmarkEnd w:id="5295"/>
      <w:bookmarkEnd w:id="5296"/>
      <w:r w:rsidRPr="0050146A">
        <w:rPr>
          <w:rFonts w:hint="cs"/>
          <w:rtl/>
        </w:rPr>
        <w:t>דברי הרמב"ן דבטעמו וממשו ל"מ ביטול ברוב אבל בטעמו ולא ממשו או ממשו ולא טעמו מהני</w:t>
      </w:r>
      <w:bookmarkEnd w:id="5300"/>
      <w:bookmarkEnd w:id="5301"/>
      <w:bookmarkEnd w:id="5302"/>
    </w:p>
    <w:p w:rsidR="00F7606D" w:rsidRPr="0050146A" w:rsidRDefault="00F7606D" w:rsidP="009F44AF">
      <w:pPr>
        <w:pStyle w:val="a"/>
        <w:rPr>
          <w:rStyle w:val="afa"/>
          <w:rtl/>
        </w:rPr>
      </w:pPr>
      <w:r w:rsidRPr="0050146A">
        <w:rPr>
          <w:rFonts w:hint="cs"/>
          <w:rtl/>
        </w:rPr>
        <w:t xml:space="preserve">אלא כתב </w:t>
      </w:r>
      <w:r w:rsidRPr="0050146A">
        <w:rPr>
          <w:rStyle w:val="af8"/>
          <w:rFonts w:hint="cs"/>
          <w:rtl/>
        </w:rPr>
        <w:t>הרמב"ן</w:t>
      </w:r>
      <w:r w:rsidRPr="0050146A">
        <w:rPr>
          <w:rFonts w:hint="cs"/>
          <w:rtl/>
        </w:rPr>
        <w:t xml:space="preserve"> </w:t>
      </w:r>
      <w:r w:rsidRPr="0050146A">
        <w:rPr>
          <w:rStyle w:val="af6"/>
          <w:rFonts w:eastAsia="Guttman Hodes" w:hint="cs"/>
          <w:rtl/>
        </w:rPr>
        <w:t>(ד"ה ושמעינן)</w:t>
      </w:r>
      <w:r w:rsidRPr="0050146A">
        <w:rPr>
          <w:rFonts w:hint="cs"/>
          <w:rtl/>
        </w:rPr>
        <w:t xml:space="preserve"> דמבואר בגמ' בזבחים </w:t>
      </w:r>
      <w:r w:rsidRPr="0050146A">
        <w:rPr>
          <w:rStyle w:val="afa"/>
          <w:rFonts w:hint="cs"/>
          <w:rtl/>
        </w:rPr>
        <w:t xml:space="preserve">[ובביאור </w:t>
      </w:r>
      <w:r w:rsidRPr="0050146A">
        <w:rPr>
          <w:rStyle w:val="affa"/>
          <w:rFonts w:hint="cs"/>
          <w:rtl/>
        </w:rPr>
        <w:t>רש"י</w:t>
      </w:r>
      <w:r w:rsidRPr="0050146A">
        <w:rPr>
          <w:rStyle w:val="afa"/>
          <w:rFonts w:hint="cs"/>
          <w:rtl/>
        </w:rPr>
        <w:t>]</w:t>
      </w:r>
      <w:r w:rsidRPr="0050146A">
        <w:rPr>
          <w:rFonts w:hint="cs"/>
          <w:rtl/>
        </w:rPr>
        <w:t xml:space="preserve"> דהא דלא מהני מדאו' ביטול ברוב הוא דוקא כשגם טעמו וגם ממשו של האיסור מעורב בהיתר, אבל בטעמו ולא ממשו, או ממשו ולא טעמו כמין במינו, מהני ביטול ברוב מדאו', והוא אסור </w:t>
      </w:r>
      <w:r w:rsidRPr="0050146A">
        <w:rPr>
          <w:rStyle w:val="afa"/>
          <w:rFonts w:hint="cs"/>
          <w:rtl/>
        </w:rPr>
        <w:t xml:space="preserve">[מדרבנן] </w:t>
      </w:r>
      <w:r w:rsidRPr="0050146A">
        <w:rPr>
          <w:rFonts w:hint="cs"/>
          <w:rtl/>
        </w:rPr>
        <w:t xml:space="preserve">ואין בו מלקות. </w:t>
      </w:r>
      <w:r w:rsidRPr="0050146A">
        <w:rPr>
          <w:rStyle w:val="afa"/>
          <w:rFonts w:hint="cs"/>
          <w:rtl/>
        </w:rPr>
        <w:t xml:space="preserve">[בטעמו ולא ממשו, אבל במין במינו מהני ביטול ברוב לרבנן דר"י], </w:t>
      </w:r>
      <w:r w:rsidRPr="0050146A">
        <w:rPr>
          <w:rFonts w:hint="cs"/>
          <w:rtl/>
        </w:rPr>
        <w:t xml:space="preserve">ועיי"ש במה שביאר </w:t>
      </w:r>
      <w:r w:rsidRPr="0050146A">
        <w:rPr>
          <w:rStyle w:val="af8"/>
          <w:rFonts w:hint="cs"/>
          <w:rtl/>
        </w:rPr>
        <w:t>הרמב"ן</w:t>
      </w:r>
      <w:r w:rsidRPr="0050146A">
        <w:rPr>
          <w:rFonts w:hint="cs"/>
          <w:rtl/>
        </w:rPr>
        <w:t xml:space="preserve"> בגמ' בזבחים.</w:t>
      </w:r>
    </w:p>
    <w:p w:rsidR="00F7606D" w:rsidRPr="0050146A" w:rsidRDefault="00F7606D" w:rsidP="00E669F8">
      <w:pPr>
        <w:pStyle w:val="afd"/>
        <w:rPr>
          <w:rtl/>
        </w:rPr>
      </w:pPr>
      <w:bookmarkStart w:id="5303" w:name="_Toc12205458"/>
      <w:bookmarkStart w:id="5304" w:name="_Toc12305190"/>
      <w:bookmarkStart w:id="5305" w:name="_Toc12389131"/>
      <w:bookmarkStart w:id="5306" w:name="_Toc12453187"/>
      <w:bookmarkStart w:id="5307" w:name="_Toc12615957"/>
      <w:bookmarkStart w:id="5308" w:name="_Toc12791824"/>
      <w:bookmarkStart w:id="5309" w:name="_Toc12826305"/>
      <w:bookmarkStart w:id="5310" w:name="_Toc12872080"/>
      <w:bookmarkStart w:id="5311" w:name="_Toc12895356"/>
      <w:bookmarkStart w:id="5312" w:name="_Toc12896241"/>
      <w:bookmarkStart w:id="5313" w:name="_Toc12896401"/>
      <w:bookmarkStart w:id="5314" w:name="_Toc12826307"/>
      <w:bookmarkEnd w:id="5264"/>
      <w:r w:rsidRPr="0050146A">
        <w:rPr>
          <w:rFonts w:hint="cs"/>
          <w:rtl/>
        </w:rPr>
        <w:lastRenderedPageBreak/>
        <w:t>דעת הראשונים דטע"כ דאו' ואין מלקות</w:t>
      </w:r>
      <w:bookmarkEnd w:id="5303"/>
      <w:bookmarkEnd w:id="5304"/>
      <w:bookmarkEnd w:id="5305"/>
      <w:bookmarkEnd w:id="5306"/>
      <w:bookmarkEnd w:id="5307"/>
      <w:bookmarkEnd w:id="5308"/>
      <w:bookmarkEnd w:id="5309"/>
      <w:bookmarkEnd w:id="5310"/>
      <w:bookmarkEnd w:id="5311"/>
      <w:bookmarkEnd w:id="5312"/>
      <w:bookmarkEnd w:id="5313"/>
    </w:p>
    <w:p w:rsidR="00F7606D" w:rsidRPr="0050146A" w:rsidRDefault="00F7606D" w:rsidP="00F7606D">
      <w:pPr>
        <w:pStyle w:val="1"/>
        <w:rPr>
          <w:rtl/>
        </w:rPr>
      </w:pPr>
      <w:bookmarkStart w:id="5315" w:name="_Toc12872081"/>
      <w:bookmarkStart w:id="5316" w:name="_Toc12895357"/>
      <w:bookmarkStart w:id="5317" w:name="_Toc12896242"/>
      <w:bookmarkStart w:id="5318" w:name="_Toc12896402"/>
      <w:r w:rsidRPr="0050146A">
        <w:rPr>
          <w:rFonts w:hint="cs"/>
          <w:rtl/>
        </w:rPr>
        <w:t>דברי הראב"ד והר"י מאורליינש דטע"כ דאו' ואין בו מלקות</w:t>
      </w:r>
      <w:bookmarkEnd w:id="5315"/>
      <w:bookmarkEnd w:id="5316"/>
      <w:bookmarkEnd w:id="5317"/>
      <w:bookmarkEnd w:id="5318"/>
      <w:r w:rsidRPr="0050146A">
        <w:rPr>
          <w:rFonts w:hint="cs"/>
          <w:rtl/>
        </w:rPr>
        <w:t xml:space="preserve"> </w:t>
      </w:r>
    </w:p>
    <w:p w:rsidR="00F7606D" w:rsidRPr="0050146A" w:rsidRDefault="00F7606D" w:rsidP="00F7606D">
      <w:pPr>
        <w:pStyle w:val="a2"/>
        <w:rPr>
          <w:rtl/>
        </w:rPr>
      </w:pPr>
      <w:bookmarkStart w:id="5319" w:name="_Toc12895358"/>
      <w:bookmarkStart w:id="5320" w:name="_Toc12896243"/>
      <w:bookmarkStart w:id="5321" w:name="_Toc12896403"/>
      <w:r w:rsidRPr="0050146A">
        <w:rPr>
          <w:rFonts w:hint="cs"/>
          <w:rtl/>
        </w:rPr>
        <w:t>דברי הראב"ד דטעם כעיקר דאו' נלמד מבנין אב או ק"ו ואין בו מלקות</w:t>
      </w:r>
      <w:bookmarkEnd w:id="5319"/>
      <w:bookmarkEnd w:id="5320"/>
      <w:bookmarkEnd w:id="5321"/>
    </w:p>
    <w:p w:rsidR="00CF5545" w:rsidRPr="0050146A" w:rsidRDefault="00F7606D" w:rsidP="009F44AF">
      <w:pPr>
        <w:pStyle w:val="a"/>
        <w:rPr>
          <w:rtl/>
        </w:rPr>
      </w:pPr>
      <w:bookmarkStart w:id="5322" w:name="_Ref12008215"/>
      <w:r w:rsidRPr="0050146A">
        <w:rPr>
          <w:rFonts w:hint="cs"/>
          <w:rtl/>
        </w:rPr>
        <w:t xml:space="preserve">הביא </w:t>
      </w:r>
      <w:r w:rsidRPr="0050146A">
        <w:rPr>
          <w:rStyle w:val="af8"/>
          <w:rFonts w:hint="cs"/>
          <w:rtl/>
        </w:rPr>
        <w:t xml:space="preserve">הרמב"ן </w:t>
      </w:r>
      <w:r w:rsidRPr="0050146A">
        <w:rPr>
          <w:rStyle w:val="af6"/>
          <w:rFonts w:eastAsia="Guttman Hodes" w:hint="cs"/>
          <w:rtl/>
        </w:rPr>
        <w:t xml:space="preserve">(ד"ה וי"מ) </w:t>
      </w:r>
      <w:r w:rsidRPr="0050146A">
        <w:rPr>
          <w:rFonts w:hint="cs"/>
          <w:rtl/>
        </w:rPr>
        <w:t xml:space="preserve">את דברי </w:t>
      </w:r>
      <w:r w:rsidRPr="0050146A">
        <w:rPr>
          <w:rStyle w:val="af8"/>
          <w:rFonts w:hint="cs"/>
          <w:rtl/>
        </w:rPr>
        <w:t>הראב"ד באיסור משהו</w:t>
      </w:r>
      <w:r w:rsidRPr="0050146A">
        <w:rPr>
          <w:rFonts w:hint="cs"/>
          <w:rtl/>
        </w:rPr>
        <w:t xml:space="preserve"> </w:t>
      </w:r>
      <w:r w:rsidRPr="0050146A">
        <w:rPr>
          <w:rStyle w:val="af6"/>
          <w:rFonts w:eastAsia="Guttman Hodes" w:hint="cs"/>
          <w:rtl/>
        </w:rPr>
        <w:t xml:space="preserve">(פ"ב עמ' ק"כ ד"ה והני מילי, נד' בסוף תוה"ב) </w:t>
      </w:r>
      <w:r w:rsidRPr="0050146A">
        <w:rPr>
          <w:rFonts w:hint="cs"/>
          <w:rtl/>
        </w:rPr>
        <w:t xml:space="preserve">דכתב דמין בשאינו מינו מדאו' אסור בטעם, דטעמו ולא ממשו דאו', והביא </w:t>
      </w:r>
      <w:r w:rsidRPr="0050146A">
        <w:rPr>
          <w:rStyle w:val="af8"/>
          <w:rFonts w:hint="cs"/>
          <w:rtl/>
        </w:rPr>
        <w:t>הראב"ד באיסור משהו</w:t>
      </w:r>
      <w:r w:rsidRPr="0050146A">
        <w:rPr>
          <w:rFonts w:hint="cs"/>
          <w:rtl/>
        </w:rPr>
        <w:t xml:space="preserve"> ראיה מהגמ' בזבחים</w:t>
      </w:r>
      <w:r w:rsidRPr="0050146A">
        <w:rPr>
          <w:rStyle w:val="af6"/>
          <w:rFonts w:eastAsia="Guttman Hodes" w:hint="cs"/>
          <w:rtl/>
        </w:rPr>
        <w:t xml:space="preserve"> (עח.) </w:t>
      </w:r>
      <w:r w:rsidRPr="0050146A">
        <w:rPr>
          <w:rFonts w:hint="cs"/>
          <w:rtl/>
        </w:rPr>
        <w:t>דכל הזבחים שנתערבו בטעמו ולא ממשו אין לוקין עליהם, כיון שאין בהם לאו מפורש, אלא ילפינן להו ממשרת או מגיעולי עכו"ם בבנין אב, ובילפותא מבנין אב או ק"ו אין מלקות.</w:t>
      </w:r>
      <w:bookmarkEnd w:id="5322"/>
    </w:p>
    <w:p w:rsidR="00F7606D" w:rsidRPr="0050146A" w:rsidRDefault="00F7606D" w:rsidP="00F7606D">
      <w:pPr>
        <w:pStyle w:val="a2"/>
        <w:rPr>
          <w:rtl/>
        </w:rPr>
      </w:pPr>
      <w:bookmarkStart w:id="5323" w:name="_Toc12895359"/>
      <w:bookmarkStart w:id="5324" w:name="_Toc12896244"/>
      <w:bookmarkStart w:id="5325" w:name="_Toc12896404"/>
      <w:r w:rsidRPr="0050146A">
        <w:rPr>
          <w:rFonts w:hint="cs"/>
          <w:rtl/>
        </w:rPr>
        <w:t>דברי הר"י מאורליינש דבגיעולי עכו"ם יש רק עשה ולא לאו ולכן אין מלקות בטעם כעיקר דאו'</w:t>
      </w:r>
      <w:bookmarkEnd w:id="5323"/>
      <w:bookmarkEnd w:id="5324"/>
      <w:bookmarkEnd w:id="5325"/>
    </w:p>
    <w:p w:rsidR="00F7606D" w:rsidRPr="0050146A" w:rsidRDefault="00F7606D" w:rsidP="009F44AF">
      <w:pPr>
        <w:pStyle w:val="a"/>
        <w:rPr>
          <w:rtl/>
        </w:rPr>
      </w:pPr>
      <w:bookmarkStart w:id="5326" w:name="_Ref12009840"/>
      <w:bookmarkStart w:id="5327" w:name="_Toc13045644"/>
      <w:bookmarkStart w:id="5328" w:name="_Toc13134831"/>
      <w:bookmarkStart w:id="5329" w:name="_Toc13244691"/>
      <w:bookmarkStart w:id="5330" w:name="_Toc13396637"/>
      <w:bookmarkStart w:id="5331" w:name="_Toc13418676"/>
      <w:r w:rsidRPr="0050146A">
        <w:rPr>
          <w:rStyle w:val="af8"/>
          <w:rFonts w:hint="cs"/>
          <w:rtl/>
        </w:rPr>
        <w:t xml:space="preserve">והתוס' </w:t>
      </w:r>
      <w:r w:rsidRPr="0050146A">
        <w:rPr>
          <w:rStyle w:val="af6"/>
          <w:rFonts w:eastAsia="Guttman Hodes" w:hint="cs"/>
          <w:rtl/>
        </w:rPr>
        <w:t xml:space="preserve">(סוד"ה רבא) </w:t>
      </w:r>
      <w:r w:rsidRPr="0050146A">
        <w:rPr>
          <w:rStyle w:val="af8"/>
          <w:rFonts w:hint="cs"/>
          <w:rtl/>
        </w:rPr>
        <w:t>והתוס'בע"ז</w:t>
      </w:r>
      <w:r w:rsidRPr="0050146A">
        <w:rPr>
          <w:rFonts w:hint="cs"/>
          <w:rtl/>
        </w:rPr>
        <w:t xml:space="preserve"> </w:t>
      </w:r>
      <w:r w:rsidRPr="0050146A">
        <w:rPr>
          <w:rStyle w:val="af6"/>
          <w:rFonts w:eastAsia="Guttman Hodes" w:hint="cs"/>
          <w:rtl/>
        </w:rPr>
        <w:t>(סז. סוד"ה א"ר יוחנן)</w:t>
      </w:r>
      <w:r w:rsidRPr="0050146A">
        <w:rPr>
          <w:rFonts w:hint="cs"/>
          <w:rtl/>
        </w:rPr>
        <w:t xml:space="preserve"> כתבו בשם </w:t>
      </w:r>
      <w:r w:rsidRPr="0050146A">
        <w:rPr>
          <w:rStyle w:val="af8"/>
          <w:rFonts w:hint="cs"/>
          <w:rtl/>
        </w:rPr>
        <w:t xml:space="preserve">רבינו יוסף מאורליינש </w:t>
      </w:r>
      <w:r w:rsidRPr="0050146A">
        <w:rPr>
          <w:rFonts w:hint="cs"/>
          <w:rtl/>
        </w:rPr>
        <w:t>דביאר דריו"ח בע"ז</w:t>
      </w:r>
      <w:r w:rsidRPr="0050146A">
        <w:rPr>
          <w:rStyle w:val="af6"/>
          <w:rFonts w:eastAsia="Guttman Hodes" w:hint="cs"/>
          <w:rtl/>
        </w:rPr>
        <w:t xml:space="preserve"> (סז.)</w:t>
      </w:r>
      <w:r w:rsidRPr="0050146A">
        <w:rPr>
          <w:rFonts w:hint="cs"/>
          <w:rtl/>
        </w:rPr>
        <w:t xml:space="preserve"> ס"ל דמגיעולי עכו"ם ילפינן דטעם כעיקר דאו', ולכן ס"ל דאין מלקות בטעם כעיקר גם במין בשאינו מינו, דבגיעולי עכו"ם הוא עשה שצריך ליבון והגעלה ואין בזה לאו.</w:t>
      </w:r>
    </w:p>
    <w:bookmarkEnd w:id="5326"/>
    <w:bookmarkEnd w:id="5327"/>
    <w:bookmarkEnd w:id="5328"/>
    <w:bookmarkEnd w:id="5329"/>
    <w:bookmarkEnd w:id="5330"/>
    <w:bookmarkEnd w:id="5331"/>
    <w:p w:rsidR="00F7606D" w:rsidRPr="0050146A" w:rsidRDefault="00F7606D" w:rsidP="00F7606D">
      <w:pPr>
        <w:pStyle w:val="a2"/>
        <w:rPr>
          <w:rtl/>
        </w:rPr>
      </w:pPr>
      <w:r w:rsidRPr="0050146A">
        <w:rPr>
          <w:rFonts w:hint="cs"/>
          <w:rtl/>
        </w:rPr>
        <w:t>דחיית ר"ת דאחר שלא קיים את העשה חזר הטעם לאיסורו ויש בו מלקות</w:t>
      </w:r>
    </w:p>
    <w:p w:rsidR="00F7606D" w:rsidRPr="0050146A" w:rsidRDefault="00F7606D" w:rsidP="009F44AF">
      <w:pPr>
        <w:pStyle w:val="a"/>
        <w:rPr>
          <w:rtl/>
        </w:rPr>
      </w:pPr>
      <w:r w:rsidRPr="0050146A">
        <w:rPr>
          <w:rFonts w:hint="cs"/>
          <w:rtl/>
        </w:rPr>
        <w:t xml:space="preserve">אך </w:t>
      </w:r>
      <w:r w:rsidRPr="0050146A">
        <w:rPr>
          <w:rStyle w:val="af8"/>
          <w:rFonts w:hint="cs"/>
          <w:rtl/>
        </w:rPr>
        <w:t>דחה ר"ת בתוס' ובתוס' בע"ז</w:t>
      </w:r>
      <w:r w:rsidRPr="0050146A">
        <w:rPr>
          <w:rFonts w:hint="cs"/>
          <w:rtl/>
        </w:rPr>
        <w:t xml:space="preserve"> את דברי בשם </w:t>
      </w:r>
      <w:r w:rsidRPr="0050146A">
        <w:rPr>
          <w:rStyle w:val="af8"/>
          <w:rFonts w:hint="cs"/>
          <w:rtl/>
        </w:rPr>
        <w:t xml:space="preserve">רבינו יוסף מאורליינש </w:t>
      </w:r>
      <w:r w:rsidRPr="0050146A">
        <w:rPr>
          <w:rFonts w:hint="cs"/>
          <w:rtl/>
        </w:rPr>
        <w:t xml:space="preserve">דאפש"ל דכל שלא קיים בגיעולי עכו"ם את העשה דליבון או הגעלה החזירה התורה אותם לאיסורם, כדאיתא בגמ' בבכורות </w:t>
      </w:r>
      <w:r w:rsidRPr="0050146A">
        <w:rPr>
          <w:rStyle w:val="af6"/>
          <w:rFonts w:eastAsia="Guttman Hodes" w:hint="cs"/>
          <w:rtl/>
        </w:rPr>
        <w:t xml:space="preserve">(טו:) </w:t>
      </w:r>
      <w:r w:rsidRPr="0050146A">
        <w:rPr>
          <w:rFonts w:hint="cs"/>
          <w:rtl/>
        </w:rPr>
        <w:t xml:space="preserve">לענין גוזז בפסולי המוקדשים, וביארו </w:t>
      </w:r>
      <w:r w:rsidRPr="0050146A">
        <w:rPr>
          <w:rStyle w:val="af8"/>
          <w:rFonts w:hint="cs"/>
          <w:rtl/>
        </w:rPr>
        <w:t>התוס' בע"ז</w:t>
      </w:r>
      <w:r w:rsidRPr="0050146A">
        <w:rPr>
          <w:rFonts w:hint="cs"/>
          <w:rtl/>
        </w:rPr>
        <w:t xml:space="preserve"> דאמרה תורה שהכלים שבלועים מאיסור נבילה ו</w:t>
      </w:r>
      <w:r w:rsidRPr="0050146A">
        <w:rPr>
          <w:rtl/>
        </w:rPr>
        <w:t>חֵלֶב</w:t>
      </w:r>
      <w:r w:rsidRPr="0050146A">
        <w:rPr>
          <w:rFonts w:hint="cs"/>
          <w:rtl/>
        </w:rPr>
        <w:t xml:space="preserve"> ושאר איסורין, צריכים העברה באש ואם לא יעבירו אותם באש, יחזרו הכלים לאיסור נבילה ו</w:t>
      </w:r>
      <w:r w:rsidRPr="0050146A">
        <w:rPr>
          <w:rtl/>
        </w:rPr>
        <w:t>חֵלֶב</w:t>
      </w:r>
      <w:r w:rsidRPr="0050146A">
        <w:rPr>
          <w:rFonts w:hint="cs"/>
          <w:rtl/>
        </w:rPr>
        <w:t xml:space="preserve"> ושאר איסורין והשמיעה לנו התורה דהפליטה של הכלי אסורה לעולם בלאו, אך כתבו </w:t>
      </w:r>
      <w:r w:rsidRPr="0050146A">
        <w:rPr>
          <w:rStyle w:val="af8"/>
          <w:rFonts w:hint="cs"/>
          <w:rtl/>
        </w:rPr>
        <w:t xml:space="preserve">התוס' </w:t>
      </w:r>
      <w:r w:rsidRPr="0050146A">
        <w:rPr>
          <w:rFonts w:hint="cs"/>
          <w:rtl/>
        </w:rPr>
        <w:t xml:space="preserve">דאפש"ל דבגיעולי עכו"ם לא חשיב שהחזירה תורה לאיסורם, דלא דמי לגמ' בבכורות, וביאר </w:t>
      </w:r>
      <w:r w:rsidRPr="0050146A">
        <w:rPr>
          <w:rStyle w:val="af8"/>
          <w:rFonts w:hint="cs"/>
          <w:rtl/>
        </w:rPr>
        <w:t>התוס' הרא"ש</w:t>
      </w:r>
      <w:r w:rsidRPr="0050146A">
        <w:rPr>
          <w:rFonts w:hint="cs"/>
          <w:rtl/>
        </w:rPr>
        <w:t xml:space="preserve"> </w:t>
      </w:r>
      <w:r w:rsidRPr="0050146A">
        <w:rPr>
          <w:rStyle w:val="af6"/>
          <w:rFonts w:eastAsia="Guttman Hodes" w:hint="cs"/>
          <w:rtl/>
        </w:rPr>
        <w:t>(ד"ה לא נצרכה)</w:t>
      </w:r>
      <w:r w:rsidRPr="0050146A">
        <w:rPr>
          <w:rFonts w:hint="cs"/>
          <w:rtl/>
        </w:rPr>
        <w:t xml:space="preserve"> דהכא כיון שהאיסור התערב בהיתר, אזיל ליה לאו דנבילה, ולא שייך לומר שאם לא קיים את העשה חוזר איסור נבילה.</w:t>
      </w:r>
    </w:p>
    <w:p w:rsidR="00F7606D" w:rsidRPr="0050146A" w:rsidRDefault="00F7606D" w:rsidP="00E669F8">
      <w:pPr>
        <w:pStyle w:val="afd"/>
        <w:rPr>
          <w:rtl/>
        </w:rPr>
      </w:pPr>
      <w:bookmarkStart w:id="5332" w:name="_Toc12872085"/>
      <w:bookmarkStart w:id="5333" w:name="_Toc12895361"/>
      <w:bookmarkStart w:id="5334" w:name="_Toc12896246"/>
      <w:bookmarkStart w:id="5335" w:name="_Toc12896406"/>
      <w:r w:rsidRPr="0050146A">
        <w:rPr>
          <w:rFonts w:hint="cs"/>
          <w:rtl/>
        </w:rPr>
        <w:t>ביאור הרמב"ן והרשב"א בגדר טע"כ</w:t>
      </w:r>
      <w:bookmarkEnd w:id="5314"/>
      <w:bookmarkEnd w:id="5332"/>
      <w:bookmarkEnd w:id="5333"/>
      <w:bookmarkEnd w:id="5334"/>
      <w:bookmarkEnd w:id="5335"/>
    </w:p>
    <w:p w:rsidR="00F7606D" w:rsidRPr="0050146A" w:rsidRDefault="00F7606D" w:rsidP="00F7606D">
      <w:pPr>
        <w:pStyle w:val="1"/>
        <w:rPr>
          <w:rtl/>
        </w:rPr>
      </w:pPr>
      <w:bookmarkStart w:id="5336" w:name="_Toc12826308"/>
      <w:bookmarkStart w:id="5337" w:name="_Toc12872086"/>
      <w:bookmarkStart w:id="5338" w:name="_Toc12895362"/>
      <w:bookmarkStart w:id="5339" w:name="_Toc12896247"/>
      <w:bookmarkStart w:id="5340" w:name="_Toc12896407"/>
      <w:r w:rsidRPr="0050146A">
        <w:rPr>
          <w:rFonts w:hint="cs"/>
          <w:rtl/>
        </w:rPr>
        <w:t xml:space="preserve">דברי הרמב"ן </w:t>
      </w:r>
      <w:bookmarkEnd w:id="5336"/>
      <w:bookmarkEnd w:id="5337"/>
      <w:r w:rsidRPr="0050146A">
        <w:rPr>
          <w:rFonts w:hint="cs"/>
          <w:rtl/>
        </w:rPr>
        <w:t>בביאור טעם כעיקר והיתר מצטרף לאיסור</w:t>
      </w:r>
      <w:bookmarkEnd w:id="5338"/>
      <w:bookmarkEnd w:id="5339"/>
      <w:bookmarkEnd w:id="5340"/>
      <w:r w:rsidRPr="0050146A">
        <w:rPr>
          <w:rFonts w:hint="cs"/>
          <w:rtl/>
        </w:rPr>
        <w:t xml:space="preserve"> </w:t>
      </w:r>
    </w:p>
    <w:p w:rsidR="00F7606D" w:rsidRPr="0050146A" w:rsidRDefault="00F7606D" w:rsidP="00F7606D">
      <w:pPr>
        <w:pStyle w:val="a2"/>
        <w:rPr>
          <w:rtl/>
        </w:rPr>
      </w:pPr>
      <w:bookmarkStart w:id="5341" w:name="_Toc12826309"/>
      <w:bookmarkStart w:id="5342" w:name="_Toc12872087"/>
      <w:bookmarkStart w:id="5343" w:name="_Toc12895363"/>
      <w:bookmarkStart w:id="5344" w:name="_Toc12896248"/>
      <w:bookmarkStart w:id="5345" w:name="_Toc12896408"/>
      <w:r w:rsidRPr="0050146A">
        <w:rPr>
          <w:rFonts w:hint="cs"/>
          <w:rtl/>
        </w:rPr>
        <w:t>דברי הרמב"ן והרשב"א דטע"כ הוא כשגוף האיסור אינו בתערובת או שאבד בו או בבליעת איסור</w:t>
      </w:r>
      <w:bookmarkEnd w:id="5341"/>
      <w:bookmarkEnd w:id="5342"/>
      <w:bookmarkEnd w:id="5343"/>
      <w:bookmarkEnd w:id="5344"/>
      <w:bookmarkEnd w:id="5345"/>
    </w:p>
    <w:p w:rsidR="002D7168" w:rsidRDefault="00F7606D" w:rsidP="009F44AF">
      <w:pPr>
        <w:pStyle w:val="a"/>
        <w:rPr>
          <w:rtl/>
        </w:rPr>
      </w:pPr>
      <w:r w:rsidRPr="0050146A">
        <w:rPr>
          <w:rFonts w:hint="cs"/>
          <w:rtl/>
        </w:rPr>
        <w:t xml:space="preserve">כתבו </w:t>
      </w:r>
      <w:r w:rsidRPr="0050146A">
        <w:rPr>
          <w:rStyle w:val="af8"/>
          <w:rFonts w:hint="cs"/>
          <w:rtl/>
        </w:rPr>
        <w:t xml:space="preserve">הרמב"ן </w:t>
      </w:r>
      <w:r w:rsidRPr="0050146A">
        <w:rPr>
          <w:rStyle w:val="af6"/>
          <w:rFonts w:eastAsia="Guttman Hodes" w:hint="cs"/>
          <w:rtl/>
        </w:rPr>
        <w:t xml:space="preserve">(ד"ה אלא) </w:t>
      </w:r>
      <w:r w:rsidRPr="0050146A">
        <w:rPr>
          <w:rStyle w:val="af8"/>
          <w:rFonts w:hint="cs"/>
          <w:rtl/>
        </w:rPr>
        <w:t xml:space="preserve">והרשב"א בחי' </w:t>
      </w:r>
      <w:r w:rsidRPr="0050146A">
        <w:rPr>
          <w:rStyle w:val="af6"/>
          <w:rFonts w:eastAsia="Guttman Hodes" w:hint="cs"/>
          <w:rtl/>
        </w:rPr>
        <w:t xml:space="preserve">(ד"ה ופי' טעם)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י. מדה"ס) </w:t>
      </w:r>
      <w:r w:rsidRPr="0050146A">
        <w:rPr>
          <w:rFonts w:hint="cs"/>
          <w:rtl/>
        </w:rPr>
        <w:t xml:space="preserve">דטעם כעיקר היינו שגוף האיסור לא מעורב בתערובת, כמו בשרה ענבים במים שיש במים טעם של יין, אך אין בהם מגוף היין כלל, ועוד ביארו </w:t>
      </w:r>
      <w:r w:rsidRPr="0050146A">
        <w:rPr>
          <w:rStyle w:val="af8"/>
          <w:rFonts w:hint="cs"/>
          <w:rtl/>
        </w:rPr>
        <w:t>הרמב"ן</w:t>
      </w:r>
      <w:r w:rsidRPr="0050146A">
        <w:rPr>
          <w:rFonts w:hint="cs"/>
          <w:rtl/>
        </w:rPr>
        <w:t xml:space="preserve"> </w:t>
      </w:r>
      <w:r w:rsidRPr="0050146A">
        <w:rPr>
          <w:rStyle w:val="af8"/>
          <w:rFonts w:hint="cs"/>
          <w:rtl/>
        </w:rPr>
        <w:t xml:space="preserve">והרשב"א </w:t>
      </w:r>
      <w:r w:rsidRPr="0050146A">
        <w:rPr>
          <w:rFonts w:hint="cs"/>
          <w:rtl/>
        </w:rPr>
        <w:t xml:space="preserve">דאיירי באופן שנפלה טיפת יין למים, ואין בהם מראה יין, דכיון שהוא מיעוט אבד היין, וחשיב שממשו אבד, וכן בבשר בחלב שהבשר נתן טעם בחלב, או החלב בבשר, והוסיף </w:t>
      </w:r>
      <w:r w:rsidRPr="0050146A">
        <w:rPr>
          <w:rStyle w:val="af8"/>
          <w:rFonts w:hint="cs"/>
          <w:rtl/>
        </w:rPr>
        <w:t xml:space="preserve">הרשב"א </w:t>
      </w:r>
      <w:r w:rsidRPr="0050146A">
        <w:rPr>
          <w:rFonts w:hint="cs"/>
          <w:rtl/>
        </w:rPr>
        <w:t xml:space="preserve"> דכן שייך טעם כעיקר בגיעולי עכו"ם שיש בהם רק את בליעת הטעם של האיסור, ואין את ממשו, וכתב </w:t>
      </w:r>
      <w:r w:rsidRPr="0050146A">
        <w:rPr>
          <w:rStyle w:val="af8"/>
          <w:rFonts w:hint="cs"/>
          <w:rtl/>
        </w:rPr>
        <w:t>הרמב"ן</w:t>
      </w:r>
      <w:r w:rsidRPr="0050146A">
        <w:rPr>
          <w:rFonts w:hint="cs"/>
          <w:rtl/>
        </w:rPr>
        <w:t xml:space="preserve"> דהא דאמר רבא הכא "טעם כעיקר" היינו "טעמו ולא ממשו" בגמ' לקמן </w:t>
      </w:r>
      <w:r w:rsidRPr="0050146A">
        <w:rPr>
          <w:rStyle w:val="af6"/>
          <w:rFonts w:eastAsia="Guttman Hodes" w:hint="cs"/>
          <w:rtl/>
        </w:rPr>
        <w:t xml:space="preserve">(קח.) </w:t>
      </w:r>
      <w:r w:rsidRPr="0050146A">
        <w:rPr>
          <w:rFonts w:hint="cs"/>
          <w:rtl/>
        </w:rPr>
        <w:t xml:space="preserve">ובגמ' בע"ז </w:t>
      </w:r>
      <w:r w:rsidRPr="0050146A">
        <w:rPr>
          <w:rStyle w:val="af6"/>
          <w:rFonts w:eastAsia="Guttman Hodes" w:hint="cs"/>
          <w:rtl/>
        </w:rPr>
        <w:t>(סז:)</w:t>
      </w:r>
      <w:r w:rsidRPr="0050146A">
        <w:rPr>
          <w:rFonts w:hint="cs"/>
          <w:rtl/>
        </w:rPr>
        <w:t>.</w:t>
      </w:r>
    </w:p>
    <w:p w:rsidR="00F7606D" w:rsidRPr="0050146A" w:rsidRDefault="00F7606D" w:rsidP="00F7606D">
      <w:pPr>
        <w:pStyle w:val="a2"/>
      </w:pPr>
      <w:bookmarkStart w:id="5346" w:name="_Toc12826310"/>
      <w:bookmarkStart w:id="5347" w:name="_Toc12872088"/>
      <w:bookmarkStart w:id="5348" w:name="_Toc12895364"/>
      <w:bookmarkStart w:id="5349" w:name="_Toc12896249"/>
      <w:bookmarkStart w:id="5350" w:name="_Toc12896409"/>
      <w:r w:rsidRPr="0050146A">
        <w:rPr>
          <w:rFonts w:hint="cs"/>
          <w:rtl/>
        </w:rPr>
        <w:t>ביאור הרשב"א בשם התוס' בע"ז דבבשר שהתבשל בחלב שייך רק טעמו ולא שייך ממשו</w:t>
      </w:r>
      <w:bookmarkEnd w:id="5346"/>
      <w:bookmarkEnd w:id="5347"/>
      <w:bookmarkEnd w:id="5348"/>
      <w:bookmarkEnd w:id="5349"/>
      <w:bookmarkEnd w:id="5350"/>
    </w:p>
    <w:p w:rsidR="00F7606D" w:rsidRPr="0050146A" w:rsidRDefault="00F7606D" w:rsidP="009F44AF">
      <w:pPr>
        <w:pStyle w:val="a"/>
        <w:rPr>
          <w:rtl/>
        </w:rPr>
      </w:pPr>
      <w:r w:rsidRPr="0050146A">
        <w:rPr>
          <w:rFonts w:hint="cs"/>
          <w:rtl/>
        </w:rPr>
        <w:t xml:space="preserve">וביאר </w:t>
      </w:r>
      <w:r w:rsidRPr="0050146A">
        <w:rPr>
          <w:rStyle w:val="af8"/>
          <w:rFonts w:hint="cs"/>
          <w:rtl/>
        </w:rPr>
        <w:t>הרשב"א בחי'</w:t>
      </w:r>
      <w:r w:rsidRPr="0050146A">
        <w:rPr>
          <w:rFonts w:hint="cs"/>
          <w:rtl/>
        </w:rPr>
        <w:t xml:space="preserve"> </w:t>
      </w:r>
      <w:r w:rsidRPr="0050146A">
        <w:rPr>
          <w:rStyle w:val="af8"/>
          <w:rFonts w:hint="cs"/>
          <w:rtl/>
        </w:rPr>
        <w:t>ובתוה"ב</w:t>
      </w:r>
      <w:r w:rsidRPr="0050146A">
        <w:rPr>
          <w:rFonts w:hint="cs"/>
          <w:rtl/>
        </w:rPr>
        <w:t xml:space="preserve"> דהא דהאיסור בבשר בחלב הוא רק מחמת נתינת טעם, כן מבואר בגמ' בפסחים </w:t>
      </w:r>
      <w:r w:rsidRPr="0050146A">
        <w:rPr>
          <w:rStyle w:val="af6"/>
          <w:rFonts w:eastAsia="Guttman Hodes" w:hint="cs"/>
          <w:rtl/>
        </w:rPr>
        <w:t>(מד:)</w:t>
      </w:r>
      <w:r w:rsidRPr="0050146A">
        <w:rPr>
          <w:rFonts w:hint="cs"/>
          <w:rtl/>
        </w:rPr>
        <w:t xml:space="preserve"> דבשר בחלב הוא רק טעם ואפ"ה הוא אסור,  וכן מבואר בדברי אביי לקמן </w:t>
      </w:r>
      <w:r w:rsidRPr="0050146A">
        <w:rPr>
          <w:rStyle w:val="af6"/>
          <w:rFonts w:eastAsia="Guttman Hodes" w:hint="cs"/>
          <w:rtl/>
        </w:rPr>
        <w:t>(קח.)</w:t>
      </w:r>
      <w:r w:rsidRPr="0050146A">
        <w:rPr>
          <w:rFonts w:hint="cs"/>
          <w:rtl/>
        </w:rPr>
        <w:t xml:space="preserve"> דיליף טעמו ולא ממשו מבשר בחלב, והביא </w:t>
      </w:r>
      <w:r w:rsidRPr="0050146A">
        <w:rPr>
          <w:rStyle w:val="af8"/>
          <w:rFonts w:hint="cs"/>
          <w:rtl/>
        </w:rPr>
        <w:t>הרשב"א</w:t>
      </w:r>
      <w:r w:rsidRPr="0050146A">
        <w:rPr>
          <w:rFonts w:hint="cs"/>
          <w:rtl/>
        </w:rPr>
        <w:t xml:space="preserve"> בשם </w:t>
      </w:r>
      <w:r w:rsidRPr="0050146A">
        <w:rPr>
          <w:rStyle w:val="af8"/>
          <w:rFonts w:hint="cs"/>
          <w:rtl/>
        </w:rPr>
        <w:t>התוס'</w:t>
      </w:r>
      <w:r w:rsidRPr="0050146A">
        <w:rPr>
          <w:rFonts w:hint="cs"/>
          <w:rtl/>
        </w:rPr>
        <w:t xml:space="preserve"> [</w:t>
      </w:r>
      <w:r w:rsidRPr="0050146A">
        <w:rPr>
          <w:rStyle w:val="af8"/>
          <w:rFonts w:hint="cs"/>
          <w:rtl/>
        </w:rPr>
        <w:t>בע"ז</w:t>
      </w:r>
      <w:r w:rsidRPr="0050146A">
        <w:rPr>
          <w:rFonts w:hint="cs"/>
          <w:rtl/>
        </w:rPr>
        <w:t xml:space="preserve"> </w:t>
      </w:r>
      <w:r w:rsidRPr="0050146A">
        <w:rPr>
          <w:rStyle w:val="af6"/>
          <w:rFonts w:eastAsia="Guttman Hodes" w:hint="cs"/>
          <w:rtl/>
        </w:rPr>
        <w:t>(סז. ד"ה א"ר יוחנן)</w:t>
      </w:r>
      <w:r w:rsidRPr="0050146A">
        <w:rPr>
          <w:rFonts w:hint="cs"/>
          <w:rtl/>
        </w:rPr>
        <w:t xml:space="preserve">] דביארו דאביי למד טעמו ולא ממשו מבשר בחלב, כיון דהאיסור של החלב שבלוע בבשר קרינן לבשר בחלב טעמו ולא </w:t>
      </w:r>
      <w:r w:rsidRPr="0050146A">
        <w:rPr>
          <w:rFonts w:hint="cs"/>
          <w:rtl/>
        </w:rPr>
        <w:t xml:space="preserve">ממשו, כיון שבחלב לא יכול להיות מעורב ממשו של הבשר, </w:t>
      </w:r>
      <w:r w:rsidRPr="0050146A">
        <w:rPr>
          <w:rStyle w:val="afa"/>
          <w:rFonts w:hint="cs"/>
          <w:rtl/>
        </w:rPr>
        <w:t xml:space="preserve">[דהוא ניכר], </w:t>
      </w:r>
      <w:r w:rsidRPr="0050146A">
        <w:rPr>
          <w:rFonts w:hint="cs"/>
          <w:rtl/>
        </w:rPr>
        <w:t>ורק הטעם של הבשר יכול להיות מעורב בחלב, ואפ"ה אסרתו תורה, אבל בבשר יכול להיות שיש בו גם את ממשות האיסור של החלב, שנבלע החלב בתוך הבשר ונמחה בו.</w:t>
      </w:r>
    </w:p>
    <w:p w:rsidR="00F7606D" w:rsidRPr="0050146A" w:rsidRDefault="00F7606D" w:rsidP="00F7606D">
      <w:pPr>
        <w:pStyle w:val="a2"/>
        <w:rPr>
          <w:rtl/>
        </w:rPr>
      </w:pPr>
      <w:bookmarkStart w:id="5351" w:name="_Toc12826311"/>
      <w:bookmarkStart w:id="5352" w:name="_Toc12872089"/>
      <w:bookmarkStart w:id="5353" w:name="_Toc12895365"/>
      <w:bookmarkStart w:id="5354" w:name="_Toc12896250"/>
      <w:bookmarkStart w:id="5355" w:name="_Toc12896410"/>
      <w:r w:rsidRPr="0050146A">
        <w:rPr>
          <w:rFonts w:hint="cs"/>
          <w:rtl/>
        </w:rPr>
        <w:t>ביאור הרמב"ן והרשב"א דטעם כעיקר דאו' דחשיב שנמחה ממשו של האיסור בקדשים ובחולין</w:t>
      </w:r>
      <w:bookmarkEnd w:id="5351"/>
      <w:bookmarkEnd w:id="5352"/>
      <w:bookmarkEnd w:id="5353"/>
      <w:bookmarkEnd w:id="5354"/>
      <w:bookmarkEnd w:id="5355"/>
    </w:p>
    <w:p w:rsidR="00CF5545" w:rsidRPr="0050146A" w:rsidRDefault="00F7606D" w:rsidP="009F44AF">
      <w:pPr>
        <w:pStyle w:val="a"/>
        <w:rPr>
          <w:rtl/>
        </w:rPr>
      </w:pPr>
      <w:r w:rsidRPr="0050146A">
        <w:rPr>
          <w:rFonts w:hint="cs"/>
          <w:rtl/>
        </w:rPr>
        <w:t xml:space="preserve">כתבו </w:t>
      </w:r>
      <w:r w:rsidRPr="0050146A">
        <w:rPr>
          <w:rStyle w:val="af8"/>
          <w:rFonts w:hint="cs"/>
          <w:rtl/>
        </w:rPr>
        <w:t>הרמב"ן</w:t>
      </w:r>
      <w:r w:rsidRPr="0050146A">
        <w:rPr>
          <w:rFonts w:hint="cs"/>
          <w:rtl/>
        </w:rPr>
        <w:t xml:space="preserve"> </w:t>
      </w:r>
      <w:r w:rsidRPr="0050146A">
        <w:rPr>
          <w:rStyle w:val="af6"/>
          <w:rFonts w:eastAsia="Guttman Hodes" w:hint="cs"/>
          <w:rtl/>
        </w:rPr>
        <w:t>(ד"ה אלא)</w:t>
      </w:r>
      <w:r w:rsidRPr="0050146A">
        <w:rPr>
          <w:rFonts w:hint="cs"/>
          <w:rtl/>
        </w:rPr>
        <w:t xml:space="preserve"> </w:t>
      </w:r>
      <w:r w:rsidRPr="0050146A">
        <w:rPr>
          <w:rStyle w:val="af8"/>
          <w:rFonts w:hint="cs"/>
          <w:rtl/>
        </w:rPr>
        <w:t>והרשב"א בחי'</w:t>
      </w:r>
      <w:r w:rsidRPr="0050146A">
        <w:rPr>
          <w:rFonts w:hint="cs"/>
          <w:rtl/>
        </w:rPr>
        <w:t xml:space="preserve"> </w:t>
      </w:r>
      <w:r w:rsidRPr="0050146A">
        <w:rPr>
          <w:rStyle w:val="af6"/>
          <w:rFonts w:eastAsia="Guttman Hodes" w:hint="cs"/>
          <w:rtl/>
        </w:rPr>
        <w:t xml:space="preserve">(ד"ה ופי' טעם) </w:t>
      </w:r>
      <w:r w:rsidRPr="0050146A">
        <w:rPr>
          <w:rStyle w:val="af8"/>
          <w:rFonts w:hint="cs"/>
          <w:rtl/>
        </w:rPr>
        <w:t>ובתוה"ב</w:t>
      </w:r>
      <w:r w:rsidRPr="0050146A">
        <w:rPr>
          <w:rFonts w:hint="cs"/>
          <w:rtl/>
        </w:rPr>
        <w:t xml:space="preserve"> </w:t>
      </w:r>
      <w:r w:rsidRPr="0050146A">
        <w:rPr>
          <w:rStyle w:val="af6"/>
          <w:rFonts w:eastAsia="Guttman Hodes" w:hint="cs"/>
          <w:rtl/>
        </w:rPr>
        <w:t xml:space="preserve">(ב"ד ש"א י. מדה"ס) </w:t>
      </w:r>
      <w:r w:rsidRPr="0050146A">
        <w:rPr>
          <w:rFonts w:hint="cs"/>
          <w:rtl/>
        </w:rPr>
        <w:t xml:space="preserve">דהא דבקדשים טעם כעיקר אסור, הוא כיון דבמקום שהאיסור נתן טעם גדול בהיתר, חשיב כאילו נמחה ממשו של האיסור כזית בתוך ההיתר, ולכן לוקין עליו, וה"ה בנזיר שאם הענבים נתנו טעם גדול של יין במים, חשיב שנתערב במים רביעית יין, ואם שתה הנזיר בתוך השיעור </w:t>
      </w:r>
      <w:r w:rsidRPr="0050146A">
        <w:rPr>
          <w:rStyle w:val="afa"/>
          <w:rFonts w:hint="cs"/>
          <w:rtl/>
        </w:rPr>
        <w:t>[כדי אכילת פרס]</w:t>
      </w:r>
      <w:r w:rsidRPr="0050146A">
        <w:rPr>
          <w:rFonts w:hint="cs"/>
          <w:rtl/>
        </w:rPr>
        <w:t xml:space="preserve">, לוקה עליו, אעפ"י שהטעם הוא לא מגוף הענבים, דהא הענבים נשארו לפנינו כמו שהיו לפני ששרה אותם במים, והוסיף </w:t>
      </w:r>
      <w:r w:rsidRPr="0050146A">
        <w:rPr>
          <w:rStyle w:val="af8"/>
          <w:rFonts w:hint="cs"/>
          <w:rtl/>
        </w:rPr>
        <w:t>הרשב"א בחי'</w:t>
      </w:r>
      <w:r w:rsidRPr="0050146A">
        <w:rPr>
          <w:rFonts w:hint="cs"/>
          <w:rtl/>
        </w:rPr>
        <w:t xml:space="preserve"> דכן 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Ref12390306 \n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את דין טעמו ולא ממשו שהוזכר בש"ס.</w:t>
      </w:r>
    </w:p>
    <w:p w:rsidR="00F7606D" w:rsidRPr="0050146A" w:rsidRDefault="00F7606D" w:rsidP="00F7606D">
      <w:pPr>
        <w:pStyle w:val="a2"/>
      </w:pPr>
      <w:bookmarkStart w:id="5356" w:name="_Toc12826312"/>
      <w:bookmarkStart w:id="5357" w:name="_Toc12872090"/>
      <w:bookmarkStart w:id="5358" w:name="_Toc12895366"/>
      <w:bookmarkStart w:id="5359" w:name="_Toc12896251"/>
      <w:bookmarkStart w:id="5360" w:name="_Toc12896411"/>
      <w:r w:rsidRPr="0050146A">
        <w:rPr>
          <w:rFonts w:hint="cs"/>
          <w:rtl/>
        </w:rPr>
        <w:t>ביאור הרמב"ן דהיתר מצטרף לאיסור היינו שלוקים על כל כזית מהתערובת</w:t>
      </w:r>
      <w:bookmarkEnd w:id="5356"/>
      <w:bookmarkEnd w:id="5357"/>
      <w:bookmarkEnd w:id="5358"/>
      <w:bookmarkEnd w:id="5359"/>
      <w:bookmarkEnd w:id="5360"/>
    </w:p>
    <w:p w:rsidR="00F7606D" w:rsidRPr="0050146A" w:rsidRDefault="00F7606D" w:rsidP="009F44AF">
      <w:pPr>
        <w:pStyle w:val="a"/>
        <w:rPr>
          <w:rtl/>
        </w:rPr>
      </w:pPr>
      <w:r w:rsidRPr="0050146A">
        <w:rPr>
          <w:rFonts w:hint="cs"/>
          <w:rtl/>
        </w:rPr>
        <w:t xml:space="preserve">אבל בדין "היתר מצטרף לאיסור" שהביאה הגמ' בפסחים </w:t>
      </w:r>
      <w:r w:rsidRPr="0050146A">
        <w:rPr>
          <w:rStyle w:val="af6"/>
          <w:rFonts w:eastAsia="Guttman Hodes" w:hint="cs"/>
          <w:rtl/>
        </w:rPr>
        <w:t>(מד.)</w:t>
      </w:r>
      <w:r w:rsidRPr="0050146A">
        <w:rPr>
          <w:rFonts w:hint="cs"/>
          <w:rtl/>
        </w:rPr>
        <w:t xml:space="preserve">, כתב </w:t>
      </w:r>
      <w:r w:rsidRPr="0050146A">
        <w:rPr>
          <w:rStyle w:val="af8"/>
          <w:rFonts w:hint="cs"/>
          <w:rtl/>
        </w:rPr>
        <w:t>הרמב"ן</w:t>
      </w:r>
      <w:r w:rsidRPr="0050146A">
        <w:rPr>
          <w:rFonts w:hint="cs"/>
          <w:rtl/>
        </w:rPr>
        <w:t xml:space="preserve"> דביאורו הוא דכל דבר שנאסר ע"י שיש בו טעם של איסור כולו אסור, ואינו כטעם כעיקר, דלוקין רק על אכילת כזית מהטעם של האיסור שמעורב בתוך ההיתר, </w:t>
      </w:r>
      <w:r w:rsidRPr="0050146A">
        <w:rPr>
          <w:rStyle w:val="afa"/>
          <w:rFonts w:hint="cs"/>
          <w:rtl/>
        </w:rPr>
        <w:t>[באכלו בכדי אכילת פרס],</w:t>
      </w:r>
      <w:r w:rsidRPr="0050146A">
        <w:rPr>
          <w:rFonts w:hint="cs"/>
          <w:rtl/>
        </w:rPr>
        <w:t xml:space="preserve"> אלא דכיון שההיתר מצטרף לאיסור לוקין על כל כזית מהתערובת, אף אם בכזית שאוכל יש גם היתר וגם איסור, וכתב </w:t>
      </w:r>
      <w:r w:rsidRPr="0050146A">
        <w:rPr>
          <w:rStyle w:val="af8"/>
          <w:rFonts w:hint="cs"/>
          <w:rtl/>
        </w:rPr>
        <w:t>הרמב"ן</w:t>
      </w:r>
      <w:r w:rsidRPr="0050146A">
        <w:rPr>
          <w:rFonts w:hint="cs"/>
          <w:rtl/>
        </w:rPr>
        <w:t xml:space="preserve"> דאפש"ל דהמ"ד דס"ל דהיתר מצטרף לאיסור, לא ס"ל דטעם כעיקר דאו', וכן המ"ד דס"ל דטעם כעיקר דאו', אפש"ל דלא ס"ל דהיתר מצטרף לאיסור, דהם ב' דינים שלא תלויים זה בזה, ועיי"ש במה שביאר </w:t>
      </w:r>
      <w:r w:rsidRPr="0050146A">
        <w:rPr>
          <w:rStyle w:val="af8"/>
          <w:rFonts w:hint="cs"/>
          <w:rtl/>
        </w:rPr>
        <w:t>הרמב"ן</w:t>
      </w:r>
      <w:r w:rsidRPr="0050146A">
        <w:rPr>
          <w:rFonts w:hint="cs"/>
          <w:rtl/>
        </w:rPr>
        <w:t xml:space="preserve"> </w:t>
      </w:r>
      <w:r w:rsidR="008D5FE0" w:rsidRPr="0050146A">
        <w:rPr>
          <w:rStyle w:val="af6"/>
          <w:rFonts w:eastAsia="Guttman Hodes" w:hint="cs"/>
          <w:rtl/>
        </w:rPr>
        <w:t xml:space="preserve">(ד"ה אלא, הובא לעיל סימן </w:t>
      </w:r>
      <w:r w:rsidR="008D5FE0" w:rsidRPr="008D5FE0">
        <w:rPr>
          <w:rStyle w:val="af6"/>
          <w:rFonts w:eastAsia="Guttman Hodes" w:hint="cs"/>
          <w:rtl/>
        </w:rPr>
        <w:t xml:space="preserve">ז' אות </w:t>
      </w:r>
      <w:r w:rsidR="008D5FE0" w:rsidRPr="008D5FE0">
        <w:rPr>
          <w:rStyle w:val="af6"/>
          <w:rFonts w:eastAsia="Guttman Rashi"/>
          <w:rtl/>
        </w:rPr>
        <w:fldChar w:fldCharType="begin"/>
      </w:r>
      <w:r w:rsidR="008D5FE0" w:rsidRPr="008D5FE0">
        <w:rPr>
          <w:rStyle w:val="af6"/>
          <w:rFonts w:eastAsia="Guttman Hodes"/>
          <w:rtl/>
        </w:rPr>
        <w:instrText xml:space="preserve"> </w:instrText>
      </w:r>
      <w:r w:rsidR="008D5FE0" w:rsidRPr="008D5FE0">
        <w:rPr>
          <w:rStyle w:val="af6"/>
          <w:rFonts w:eastAsia="Guttman Hodes" w:hint="cs"/>
        </w:rPr>
        <w:instrText>REF</w:instrText>
      </w:r>
      <w:r w:rsidR="008D5FE0" w:rsidRPr="008D5FE0">
        <w:rPr>
          <w:rStyle w:val="af6"/>
          <w:rFonts w:eastAsia="Guttman Hodes" w:hint="cs"/>
          <w:rtl/>
        </w:rPr>
        <w:instrText xml:space="preserve"> _</w:instrText>
      </w:r>
      <w:r w:rsidR="008D5FE0" w:rsidRPr="008D5FE0">
        <w:rPr>
          <w:rStyle w:val="af6"/>
          <w:rFonts w:eastAsia="Guttman Hodes" w:hint="cs"/>
        </w:rPr>
        <w:instrText>Ref14427802 \r \h</w:instrText>
      </w:r>
      <w:r w:rsidR="008D5FE0" w:rsidRPr="008D5FE0">
        <w:rPr>
          <w:rStyle w:val="af6"/>
          <w:rFonts w:eastAsia="Guttman Hodes"/>
          <w:rtl/>
        </w:rPr>
        <w:instrText xml:space="preserve"> </w:instrText>
      </w:r>
      <w:r w:rsidR="008D5FE0" w:rsidRPr="008D5FE0">
        <w:rPr>
          <w:rStyle w:val="af6"/>
          <w:rFonts w:eastAsia="Guttman Rashi"/>
          <w:rtl/>
        </w:rPr>
      </w:r>
      <w:r w:rsidR="008D5FE0" w:rsidRPr="008D5FE0">
        <w:rPr>
          <w:rStyle w:val="af6"/>
          <w:rFonts w:eastAsia="Guttman Rashi"/>
          <w:rtl/>
        </w:rPr>
        <w:fldChar w:fldCharType="separate"/>
      </w:r>
      <w:r w:rsidR="004D1C5B">
        <w:rPr>
          <w:rStyle w:val="af6"/>
          <w:rFonts w:eastAsia="Guttman Hodes"/>
          <w:cs/>
        </w:rPr>
        <w:t>‎</w:t>
      </w:r>
      <w:r w:rsidR="004D1C5B">
        <w:rPr>
          <w:rStyle w:val="af6"/>
          <w:rFonts w:eastAsia="Guttman Hodes"/>
          <w:rtl/>
        </w:rPr>
        <w:t>מה)</w:t>
      </w:r>
      <w:r w:rsidR="008D5FE0" w:rsidRPr="008D5FE0">
        <w:rPr>
          <w:rStyle w:val="af6"/>
          <w:rFonts w:eastAsia="Guttman Rashi"/>
          <w:rtl/>
        </w:rPr>
        <w:fldChar w:fldCharType="end"/>
      </w:r>
      <w:r w:rsidRPr="0050146A">
        <w:rPr>
          <w:rFonts w:hint="cs"/>
          <w:rtl/>
        </w:rPr>
        <w:t xml:space="preserve"> בדין טעם כעיקר והיתר מצטרף לאיסור בקדשים.</w:t>
      </w:r>
    </w:p>
    <w:p w:rsidR="00F7606D" w:rsidRPr="0050146A" w:rsidRDefault="00F7606D" w:rsidP="00F7606D">
      <w:pPr>
        <w:pStyle w:val="1"/>
        <w:rPr>
          <w:rtl/>
        </w:rPr>
      </w:pPr>
      <w:bookmarkStart w:id="5361" w:name="_Toc12895367"/>
      <w:bookmarkStart w:id="5362" w:name="_Toc12896252"/>
      <w:bookmarkStart w:id="5363" w:name="_Toc12896412"/>
      <w:r w:rsidRPr="0050146A">
        <w:rPr>
          <w:rFonts w:hint="cs"/>
          <w:rtl/>
        </w:rPr>
        <w:t>דברי הראב"ד בטעם כעיקר והיתר מצטרף לאיסור</w:t>
      </w:r>
      <w:bookmarkEnd w:id="5361"/>
      <w:bookmarkEnd w:id="5362"/>
      <w:bookmarkEnd w:id="5363"/>
    </w:p>
    <w:p w:rsidR="00F7606D" w:rsidRPr="0050146A" w:rsidRDefault="00F7606D" w:rsidP="00F7606D">
      <w:pPr>
        <w:pStyle w:val="a2"/>
        <w:rPr>
          <w:rtl/>
        </w:rPr>
      </w:pPr>
      <w:bookmarkStart w:id="5364" w:name="_Toc12895368"/>
      <w:bookmarkStart w:id="5365" w:name="_Toc12896253"/>
      <w:bookmarkStart w:id="5366" w:name="_Toc12896413"/>
      <w:r w:rsidRPr="0050146A">
        <w:rPr>
          <w:rFonts w:hint="cs"/>
          <w:rtl/>
        </w:rPr>
        <w:t>ביאור הראב"ד דיש ב' אופנים בטעם כעיקר והאופן הג' הוא היתר מצטרף לאיסור</w:t>
      </w:r>
      <w:bookmarkEnd w:id="5364"/>
      <w:bookmarkEnd w:id="5365"/>
      <w:bookmarkEnd w:id="5366"/>
    </w:p>
    <w:p w:rsidR="002D7168" w:rsidRDefault="00F7606D" w:rsidP="009F44AF">
      <w:pPr>
        <w:pStyle w:val="a"/>
        <w:rPr>
          <w:rtl/>
        </w:rPr>
      </w:pPr>
      <w:bookmarkStart w:id="5367" w:name="_Ref12862501"/>
      <w:r w:rsidRPr="0050146A">
        <w:rPr>
          <w:rStyle w:val="af8"/>
          <w:rFonts w:hint="cs"/>
          <w:rtl/>
        </w:rPr>
        <w:t xml:space="preserve">והרשב"א בחי' </w:t>
      </w:r>
      <w:r w:rsidRPr="0050146A">
        <w:rPr>
          <w:rStyle w:val="af6"/>
          <w:rFonts w:eastAsia="Guttman Hodes" w:hint="cs"/>
          <w:rtl/>
        </w:rPr>
        <w:t>(ד"ה והראב"ד)</w:t>
      </w:r>
      <w:r w:rsidRPr="0050146A">
        <w:rPr>
          <w:rFonts w:hint="cs"/>
          <w:rtl/>
        </w:rPr>
        <w:t xml:space="preserve"> הביא בשם </w:t>
      </w:r>
      <w:r w:rsidRPr="0050146A">
        <w:rPr>
          <w:rStyle w:val="af8"/>
          <w:rFonts w:hint="cs"/>
          <w:rtl/>
        </w:rPr>
        <w:t>הראב"ד באיסור משהו</w:t>
      </w:r>
      <w:r w:rsidRPr="0050146A">
        <w:rPr>
          <w:rFonts w:hint="cs"/>
          <w:rtl/>
        </w:rPr>
        <w:t xml:space="preserve"> דס"ל </w:t>
      </w:r>
      <w:r w:rsidRPr="0050146A">
        <w:rPr>
          <w:rStyle w:val="af8"/>
          <w:rFonts w:hint="cs"/>
          <w:rtl/>
        </w:rPr>
        <w:t>כר"ת</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Ref12809389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50146A">
        <w:rPr>
          <w:rStyle w:val="af6"/>
          <w:rFonts w:eastAsia="Guttman Hodes"/>
          <w:rtl/>
        </w:rPr>
        <w:fldChar w:fldCharType="end"/>
      </w:r>
      <w:r w:rsidRPr="0050146A">
        <w:rPr>
          <w:rFonts w:hint="cs"/>
          <w:rtl/>
        </w:rPr>
        <w:t xml:space="preserve"> דטעם כעיקר דאו', וכתב </w:t>
      </w:r>
      <w:r w:rsidRPr="0050146A">
        <w:rPr>
          <w:rStyle w:val="af8"/>
          <w:rFonts w:hint="cs"/>
          <w:rtl/>
        </w:rPr>
        <w:t>הראב"ד</w:t>
      </w:r>
      <w:r w:rsidRPr="0050146A">
        <w:rPr>
          <w:rFonts w:hint="cs"/>
          <w:rtl/>
        </w:rPr>
        <w:t xml:space="preserve"> דיש ג' אופנים בנתינת טעם, האופן הא' שיש בו כזית בכדי אכילת פרס, ויש נתינת טעם בכולו, דכל שאכל כזית בכדי אכילת פרס לוקה עליו לכו"ע, והאופן הב' בטעמו ולא ממשו, כגון שיש ארבעים או חמישים מההיתר כנגד אחד של איסור, </w:t>
      </w:r>
      <w:r w:rsidRPr="0050146A">
        <w:rPr>
          <w:rStyle w:val="afa"/>
          <w:rFonts w:hint="cs"/>
          <w:rtl/>
        </w:rPr>
        <w:t>[פחות מביטול בשישים],</w:t>
      </w:r>
      <w:r w:rsidRPr="0050146A">
        <w:rPr>
          <w:rFonts w:hint="cs"/>
          <w:rtl/>
        </w:rPr>
        <w:t xml:space="preserve"> ואין כזית בכדי אכילת פרס, דהוא אסור ואין בו מלקות לכו"ע, דלרבנן ילפינן ממשרת דטעם כעיקר דאו', ולר"ע ילפינן לה מגיעולי עכו"ם, ואין מלקות בילפותא מהיקש או מק"ו, והאופן הג' הוא היתר מצטרף לאיסור, דנחלקו בו ר"ע ורבנן, עיי"ש בדברי </w:t>
      </w:r>
      <w:r w:rsidRPr="0050146A">
        <w:rPr>
          <w:rStyle w:val="af8"/>
          <w:rFonts w:hint="cs"/>
          <w:rtl/>
        </w:rPr>
        <w:t>הרשב"א</w:t>
      </w:r>
      <w:r w:rsidRPr="0050146A">
        <w:rPr>
          <w:rFonts w:hint="cs"/>
          <w:rtl/>
        </w:rPr>
        <w:t xml:space="preserve"> במה שביאר בזה בקדשים ובחולין, ובמ"ש </w:t>
      </w:r>
      <w:r w:rsidRPr="0050146A">
        <w:rPr>
          <w:rStyle w:val="af8"/>
          <w:rFonts w:hint="cs"/>
          <w:rtl/>
        </w:rPr>
        <w:t>הרשב"א</w:t>
      </w:r>
      <w:r w:rsidRPr="0050146A">
        <w:rPr>
          <w:rFonts w:hint="cs"/>
          <w:rtl/>
        </w:rPr>
        <w:t xml:space="preserve"> דזהו הביאור בדברי רבא, </w:t>
      </w:r>
      <w:r w:rsidR="000554B3">
        <w:rPr>
          <w:rFonts w:hint="cs"/>
          <w:rtl/>
        </w:rPr>
        <w:t xml:space="preserve">והוסיף </w:t>
      </w:r>
      <w:r w:rsidR="000554B3">
        <w:rPr>
          <w:rStyle w:val="af8"/>
          <w:rFonts w:hint="cs"/>
          <w:rtl/>
        </w:rPr>
        <w:t xml:space="preserve">הרשב"א בחי' </w:t>
      </w:r>
      <w:r w:rsidR="000554B3">
        <w:rPr>
          <w:rFonts w:hint="cs"/>
          <w:rtl/>
        </w:rPr>
        <w:t xml:space="preserve">בשם </w:t>
      </w:r>
      <w:r w:rsidR="000554B3" w:rsidRPr="00904938">
        <w:rPr>
          <w:rStyle w:val="af8"/>
          <w:rFonts w:hint="cs"/>
          <w:rtl/>
        </w:rPr>
        <w:t>הראב"ד</w:t>
      </w:r>
      <w:r w:rsidR="000554B3">
        <w:rPr>
          <w:rFonts w:hint="cs"/>
          <w:rtl/>
        </w:rPr>
        <w:t xml:space="preserve"> דלרבנן משרת הוא גילוי מילתא בעלמא לשאר האיסורים, דכל שיש נתינת טעם, אף שיש רוב כנגדו חשיב שהאיסור נמצא בעין, ובטעם הוא אוכל כזית איסור, </w:t>
      </w:r>
      <w:r w:rsidR="000554B3" w:rsidRPr="00EF0BE5">
        <w:rPr>
          <w:rStyle w:val="afa"/>
          <w:rFonts w:hint="cs"/>
          <w:rtl/>
        </w:rPr>
        <w:t>[דהיינו כשאוכל מהאיסור כזית בכדי אכילת פרס דלוקה עליו],</w:t>
      </w:r>
      <w:r w:rsidR="000554B3">
        <w:rPr>
          <w:rFonts w:hint="cs"/>
          <w:rtl/>
        </w:rPr>
        <w:t xml:space="preserve"> או דהוא גילוי מילתא לטעמו ולא ממשו, דיש בו איסור ואין בו מלקות כיון שלא אכל ממנו כזית, וכעי"ז כתב </w:t>
      </w:r>
      <w:r w:rsidR="000554B3" w:rsidRPr="00300035">
        <w:rPr>
          <w:rStyle w:val="af8"/>
          <w:rFonts w:hint="cs"/>
          <w:rtl/>
        </w:rPr>
        <w:t>הראב"ד בהשג' על הבעה"מ בפסחים</w:t>
      </w:r>
      <w:r w:rsidR="000554B3">
        <w:rPr>
          <w:rFonts w:hint="cs"/>
          <w:rtl/>
        </w:rPr>
        <w:t xml:space="preserve"> </w:t>
      </w:r>
      <w:r w:rsidR="000554B3" w:rsidRPr="00FD4A01">
        <w:rPr>
          <w:rStyle w:val="af6"/>
          <w:rFonts w:eastAsia="Guttman Hodes" w:hint="cs"/>
          <w:rtl/>
        </w:rPr>
        <w:t>(יג: מדפי הרי"ף ד"ה א"א ראיתי)</w:t>
      </w:r>
      <w:r w:rsidR="000554B3">
        <w:rPr>
          <w:rFonts w:hint="cs"/>
          <w:rtl/>
        </w:rPr>
        <w:t xml:space="preserve">, </w:t>
      </w:r>
      <w:r w:rsidRPr="0050146A">
        <w:rPr>
          <w:rFonts w:hint="cs"/>
          <w:rtl/>
        </w:rPr>
        <w:t xml:space="preserve">וע"ע במה שביאר </w:t>
      </w:r>
      <w:r w:rsidRPr="0050146A">
        <w:rPr>
          <w:rStyle w:val="af8"/>
          <w:rFonts w:hint="cs"/>
          <w:rtl/>
        </w:rPr>
        <w:t>הגרי"ז</w:t>
      </w:r>
      <w:r w:rsidRPr="0050146A">
        <w:rPr>
          <w:rFonts w:hint="cs"/>
          <w:rtl/>
        </w:rPr>
        <w:t xml:space="preserve"> </w:t>
      </w:r>
      <w:r w:rsidRPr="0050146A">
        <w:rPr>
          <w:rStyle w:val="af6"/>
          <w:rFonts w:eastAsia="Guttman Hodes" w:hint="cs"/>
          <w:rtl/>
        </w:rPr>
        <w:t>(נזיר לו. ד"ה ואמר הגר"ח)</w:t>
      </w:r>
      <w:r w:rsidRPr="0050146A">
        <w:rPr>
          <w:rFonts w:hint="cs"/>
          <w:rtl/>
        </w:rPr>
        <w:t xml:space="preserve"> בדברי </w:t>
      </w:r>
      <w:r w:rsidRPr="0050146A">
        <w:rPr>
          <w:rStyle w:val="af8"/>
          <w:rFonts w:hint="cs"/>
          <w:rtl/>
        </w:rPr>
        <w:t>הראב"ד</w:t>
      </w:r>
      <w:r w:rsidRPr="0050146A">
        <w:rPr>
          <w:rFonts w:hint="cs"/>
          <w:rtl/>
        </w:rPr>
        <w:t>.</w:t>
      </w:r>
      <w:bookmarkEnd w:id="5367"/>
    </w:p>
    <w:p w:rsidR="00F7606D" w:rsidRPr="0050146A" w:rsidRDefault="00F7606D" w:rsidP="00F7606D">
      <w:pPr>
        <w:pStyle w:val="a2"/>
        <w:rPr>
          <w:rtl/>
        </w:rPr>
      </w:pPr>
      <w:bookmarkStart w:id="5368" w:name="_Toc12895369"/>
      <w:bookmarkStart w:id="5369" w:name="_Toc12896254"/>
      <w:bookmarkStart w:id="5370" w:name="_Toc12896414"/>
      <w:r w:rsidRPr="0050146A">
        <w:rPr>
          <w:rFonts w:hint="cs"/>
          <w:rtl/>
        </w:rPr>
        <w:t>דברי הרשב"א בשם הבה"ג דטע"כ דאו' וכדמשמע מלשון ריו"ח בגמ' בע"ז</w:t>
      </w:r>
      <w:bookmarkEnd w:id="5368"/>
      <w:bookmarkEnd w:id="5369"/>
      <w:bookmarkEnd w:id="5370"/>
    </w:p>
    <w:p w:rsidR="00F7606D" w:rsidRDefault="00F7606D" w:rsidP="009F44AF">
      <w:pPr>
        <w:pStyle w:val="a"/>
        <w:rPr>
          <w:rtl/>
        </w:rPr>
      </w:pPr>
      <w:r w:rsidRPr="0050146A">
        <w:rPr>
          <w:rFonts w:hint="cs"/>
          <w:rtl/>
        </w:rPr>
        <w:t xml:space="preserve">וכתב </w:t>
      </w:r>
      <w:r w:rsidRPr="0050146A">
        <w:rPr>
          <w:rStyle w:val="af8"/>
          <w:rFonts w:hint="cs"/>
          <w:rtl/>
        </w:rPr>
        <w:t>הרשב"א</w:t>
      </w:r>
      <w:r w:rsidRPr="0050146A">
        <w:rPr>
          <w:rFonts w:hint="cs"/>
          <w:rtl/>
        </w:rPr>
        <w:t xml:space="preserve"> דכ"כ </w:t>
      </w:r>
      <w:r w:rsidRPr="0050146A">
        <w:rPr>
          <w:rStyle w:val="af8"/>
          <w:rFonts w:hint="cs"/>
          <w:rtl/>
        </w:rPr>
        <w:t>הבה"ג</w:t>
      </w:r>
      <w:r w:rsidRPr="0050146A">
        <w:rPr>
          <w:rFonts w:hint="cs"/>
          <w:rtl/>
        </w:rPr>
        <w:t xml:space="preserve"> </w:t>
      </w:r>
      <w:r w:rsidRPr="0050146A">
        <w:rPr>
          <w:rStyle w:val="af6"/>
          <w:rFonts w:eastAsia="Guttman Hodes" w:hint="cs"/>
          <w:rtl/>
        </w:rPr>
        <w:t xml:space="preserve">(הל' גיד הנשה סו"ס ס"ז, [מהדו' מכון י-ם עמ' תרנ"ד]) </w:t>
      </w:r>
      <w:r w:rsidRPr="0050146A">
        <w:rPr>
          <w:rFonts w:hint="cs"/>
          <w:rtl/>
        </w:rPr>
        <w:t xml:space="preserve">דטעם כעיקר דאו', והביא ראיה </w:t>
      </w:r>
      <w:r w:rsidRPr="0050146A">
        <w:rPr>
          <w:rStyle w:val="af8"/>
          <w:rFonts w:hint="cs"/>
          <w:rtl/>
        </w:rPr>
        <w:t>הבה"ג</w:t>
      </w:r>
      <w:r w:rsidRPr="0050146A">
        <w:rPr>
          <w:rFonts w:hint="cs"/>
          <w:rtl/>
        </w:rPr>
        <w:t xml:space="preserve"> </w:t>
      </w:r>
      <w:r w:rsidRPr="0050146A">
        <w:rPr>
          <w:rStyle w:val="af6"/>
          <w:rFonts w:eastAsia="Guttman Hodes" w:hint="cs"/>
          <w:rtl/>
        </w:rPr>
        <w:t xml:space="preserve">(הל' חלב סי ס"ד, [מהדו' מכון י-ם עמ' תרנ"א]) </w:t>
      </w:r>
      <w:r w:rsidRPr="0050146A">
        <w:rPr>
          <w:rFonts w:hint="cs"/>
          <w:rtl/>
        </w:rPr>
        <w:t>מהגמ' לקמן</w:t>
      </w:r>
      <w:r w:rsidRPr="0050146A">
        <w:rPr>
          <w:rStyle w:val="af6"/>
          <w:rFonts w:eastAsia="Guttman Hodes" w:hint="cs"/>
          <w:rtl/>
        </w:rPr>
        <w:t xml:space="preserve"> (קח.) </w:t>
      </w:r>
      <w:r w:rsidRPr="0050146A">
        <w:rPr>
          <w:rFonts w:hint="cs"/>
          <w:rtl/>
        </w:rPr>
        <w:t xml:space="preserve">ומדברי ריו"ח בע"ז </w:t>
      </w:r>
      <w:r w:rsidRPr="0050146A">
        <w:rPr>
          <w:rStyle w:val="af6"/>
          <w:rFonts w:eastAsia="Guttman Hodes" w:hint="cs"/>
          <w:rtl/>
        </w:rPr>
        <w:t xml:space="preserve">(סז.) </w:t>
      </w:r>
      <w:r w:rsidRPr="0050146A">
        <w:rPr>
          <w:rFonts w:hint="cs"/>
          <w:rtl/>
        </w:rPr>
        <w:t xml:space="preserve">דטעמו וממשו לוקין עליו, וטעמו ולא ממשו אין לוקין עליו, וכתב </w:t>
      </w:r>
      <w:r w:rsidRPr="0050146A">
        <w:rPr>
          <w:rStyle w:val="af8"/>
          <w:rFonts w:hint="cs"/>
          <w:rtl/>
        </w:rPr>
        <w:t>הרשב"א</w:t>
      </w:r>
      <w:r w:rsidRPr="0050146A">
        <w:rPr>
          <w:rFonts w:hint="cs"/>
          <w:rtl/>
        </w:rPr>
        <w:t xml:space="preserve"> דכן מסתבר דס"ל לריו"ח דטעם כעיקר דאו', מלשון ריו"ח דאמר דאין לוקין על טעם, ואי ס"ל דמדאו' אין בו איסור, פשיטא דאין לוקין עליו, אלא מוכח דס"ל לריו"ח דטעם כעיקר דאו', אך אין בו מלקות כדי חצי שיעור.</w:t>
      </w:r>
    </w:p>
    <w:p w:rsidR="00F7606D" w:rsidRPr="0050146A" w:rsidRDefault="00F7606D" w:rsidP="00E669F8">
      <w:pPr>
        <w:pStyle w:val="afd"/>
        <w:rPr>
          <w:rtl/>
        </w:rPr>
      </w:pPr>
      <w:bookmarkStart w:id="5371" w:name="_Toc12872094"/>
      <w:bookmarkStart w:id="5372" w:name="_Toc12895370"/>
      <w:bookmarkStart w:id="5373" w:name="_Toc12896255"/>
      <w:bookmarkStart w:id="5374" w:name="_Toc12896415"/>
      <w:bookmarkStart w:id="5375" w:name="_Toc12205444"/>
      <w:bookmarkStart w:id="5376" w:name="_Toc12221379"/>
      <w:bookmarkStart w:id="5377" w:name="_Toc12354393"/>
      <w:bookmarkStart w:id="5378" w:name="_Toc12359800"/>
      <w:bookmarkStart w:id="5379" w:name="_Toc12389136"/>
      <w:bookmarkStart w:id="5380" w:name="_Toc12453193"/>
      <w:bookmarkStart w:id="5381" w:name="_Toc12615961"/>
      <w:bookmarkStart w:id="5382" w:name="_Toc12791828"/>
      <w:bookmarkStart w:id="5383" w:name="_Toc12826314"/>
      <w:bookmarkStart w:id="5384" w:name="_Toc12791836"/>
      <w:bookmarkStart w:id="5385" w:name="_Toc12826317"/>
      <w:bookmarkStart w:id="5386" w:name="_Toc12453177"/>
      <w:bookmarkStart w:id="5387" w:name="_Toc12615939"/>
      <w:r w:rsidRPr="0050146A">
        <w:rPr>
          <w:rFonts w:hint="cs"/>
          <w:rtl/>
        </w:rPr>
        <w:lastRenderedPageBreak/>
        <w:t>בהא דל"מ ביטול ברוב למ"ד טע"כ דאו'</w:t>
      </w:r>
      <w:bookmarkEnd w:id="5371"/>
      <w:bookmarkEnd w:id="5372"/>
      <w:bookmarkEnd w:id="5373"/>
      <w:bookmarkEnd w:id="5374"/>
    </w:p>
    <w:p w:rsidR="00F7606D" w:rsidRPr="0050146A" w:rsidRDefault="00F7606D" w:rsidP="00F7606D">
      <w:pPr>
        <w:pStyle w:val="1"/>
        <w:rPr>
          <w:rtl/>
        </w:rPr>
      </w:pPr>
      <w:bookmarkStart w:id="5388" w:name="_Toc12872095"/>
      <w:bookmarkStart w:id="5389" w:name="_Toc12895371"/>
      <w:bookmarkStart w:id="5390" w:name="_Toc12896256"/>
      <w:bookmarkStart w:id="5391" w:name="_Toc12896416"/>
      <w:bookmarkEnd w:id="5375"/>
      <w:bookmarkEnd w:id="5376"/>
      <w:bookmarkEnd w:id="5377"/>
      <w:bookmarkEnd w:id="5378"/>
      <w:bookmarkEnd w:id="5379"/>
      <w:bookmarkEnd w:id="5380"/>
      <w:bookmarkEnd w:id="5381"/>
      <w:bookmarkEnd w:id="5382"/>
      <w:bookmarkEnd w:id="5383"/>
      <w:r w:rsidRPr="0050146A">
        <w:rPr>
          <w:rtl/>
        </w:rPr>
        <w:t xml:space="preserve">ביאור הראב"ד דטעם </w:t>
      </w:r>
      <w:r w:rsidRPr="0050146A">
        <w:rPr>
          <w:rFonts w:hint="cs"/>
          <w:rtl/>
        </w:rPr>
        <w:t xml:space="preserve">שמורגש הוא </w:t>
      </w:r>
      <w:r w:rsidRPr="0050146A">
        <w:rPr>
          <w:rtl/>
        </w:rPr>
        <w:t xml:space="preserve">ניכר ולא שייך ביטול </w:t>
      </w:r>
      <w:r w:rsidRPr="0050146A">
        <w:rPr>
          <w:rFonts w:hint="cs"/>
          <w:rtl/>
        </w:rPr>
        <w:t>ברוב</w:t>
      </w:r>
      <w:bookmarkEnd w:id="5388"/>
      <w:bookmarkEnd w:id="5389"/>
      <w:bookmarkEnd w:id="5390"/>
      <w:bookmarkEnd w:id="5391"/>
    </w:p>
    <w:p w:rsidR="00F7606D" w:rsidRPr="0050146A" w:rsidRDefault="00F7606D" w:rsidP="00F7606D">
      <w:pPr>
        <w:pStyle w:val="a2"/>
        <w:rPr>
          <w:rtl/>
        </w:rPr>
      </w:pPr>
      <w:bookmarkStart w:id="5392" w:name="_Toc12872096"/>
      <w:bookmarkStart w:id="5393" w:name="_Toc12895372"/>
      <w:bookmarkStart w:id="5394" w:name="_Toc12896257"/>
      <w:bookmarkStart w:id="5395" w:name="_Toc12896417"/>
      <w:r w:rsidRPr="0050146A">
        <w:rPr>
          <w:rFonts w:hint="cs"/>
          <w:rtl/>
        </w:rPr>
        <w:t>קושית הראב"ד דמדאו' מהני ביטול ברוב ובכל טעמו ולא ממשו בטל טעם האיסור בהיתר</w:t>
      </w:r>
      <w:bookmarkEnd w:id="5392"/>
      <w:bookmarkEnd w:id="5393"/>
      <w:bookmarkEnd w:id="5394"/>
      <w:bookmarkEnd w:id="5395"/>
    </w:p>
    <w:p w:rsidR="00F7606D" w:rsidRPr="0050146A" w:rsidRDefault="00F7606D" w:rsidP="009F44AF">
      <w:pPr>
        <w:pStyle w:val="a"/>
        <w:rPr>
          <w:rtl/>
        </w:rPr>
      </w:pPr>
      <w:bookmarkStart w:id="5396" w:name="_Ref12862796"/>
      <w:r w:rsidRPr="0050146A">
        <w:rPr>
          <w:rFonts w:hint="cs"/>
          <w:rtl/>
        </w:rPr>
        <w:t xml:space="preserve">הביא </w:t>
      </w:r>
      <w:r w:rsidRPr="0050146A">
        <w:rPr>
          <w:rStyle w:val="af8"/>
          <w:rFonts w:hint="cs"/>
          <w:rtl/>
        </w:rPr>
        <w:t>הרשב"א בחי'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Ref12862501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50146A">
        <w:rPr>
          <w:rStyle w:val="af6"/>
          <w:rFonts w:eastAsia="Guttman Hodes"/>
          <w:rtl/>
        </w:rPr>
        <w:fldChar w:fldCharType="end"/>
      </w:r>
      <w:r w:rsidRPr="0050146A">
        <w:rPr>
          <w:rFonts w:hint="cs"/>
          <w:rtl/>
        </w:rPr>
        <w:t xml:space="preserve"> בשם </w:t>
      </w:r>
      <w:r w:rsidRPr="0050146A">
        <w:rPr>
          <w:rStyle w:val="af8"/>
          <w:rFonts w:hint="cs"/>
          <w:rtl/>
        </w:rPr>
        <w:t>הראב"ד</w:t>
      </w:r>
      <w:r w:rsidRPr="0050146A">
        <w:rPr>
          <w:rFonts w:hint="cs"/>
          <w:rtl/>
        </w:rPr>
        <w:t xml:space="preserve"> דס"ל </w:t>
      </w:r>
      <w:r w:rsidRPr="0050146A">
        <w:rPr>
          <w:rStyle w:val="af8"/>
          <w:rFonts w:hint="cs"/>
          <w:rtl/>
        </w:rPr>
        <w:t>כר"ת</w:t>
      </w:r>
      <w:r w:rsidRPr="0050146A">
        <w:rPr>
          <w:rFonts w:hint="cs"/>
          <w:rtl/>
        </w:rPr>
        <w:t xml:space="preserve"> דטעם כעיקר דאו', והקשה </w:t>
      </w:r>
      <w:r w:rsidRPr="0050146A">
        <w:rPr>
          <w:rStyle w:val="af8"/>
          <w:rFonts w:hint="cs"/>
          <w:rtl/>
        </w:rPr>
        <w:t>הרשב"א</w:t>
      </w:r>
      <w:r w:rsidRPr="0050146A">
        <w:rPr>
          <w:rFonts w:hint="cs"/>
          <w:rtl/>
        </w:rPr>
        <w:t xml:space="preserve"> </w:t>
      </w:r>
      <w:r w:rsidRPr="0050146A">
        <w:rPr>
          <w:rStyle w:val="af6"/>
          <w:rFonts w:eastAsia="Guttman Hodes" w:hint="cs"/>
          <w:rtl/>
        </w:rPr>
        <w:t>(ד"ה וקשיא)</w:t>
      </w:r>
      <w:r w:rsidRPr="0050146A">
        <w:rPr>
          <w:rFonts w:hint="cs"/>
          <w:rtl/>
        </w:rPr>
        <w:t xml:space="preserve"> בשם </w:t>
      </w:r>
      <w:r w:rsidRPr="0050146A">
        <w:rPr>
          <w:rStyle w:val="af8"/>
          <w:rFonts w:hint="cs"/>
          <w:rtl/>
        </w:rPr>
        <w:t>הראב"ד</w:t>
      </w:r>
      <w:r w:rsidRPr="0050146A">
        <w:rPr>
          <w:rFonts w:hint="cs"/>
          <w:rtl/>
        </w:rPr>
        <w:t xml:space="preserve"> דכיון דקיי"ל דמדאו' חד בתרי בטל, א"כ לא שייך מדאו' טעמו ולא ממשו, וכן א"א לחייב על אכילת כזית בכדי אכילת פרס, דהכזית איסור מתבטל ברוב של ההיתר, ועי' במה שחקרו בזה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Ref12782154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50146A">
        <w:rPr>
          <w:rStyle w:val="af6"/>
          <w:rFonts w:eastAsia="Guttman Hodes"/>
          <w:rtl/>
        </w:rPr>
        <w:fldChar w:fldCharType="end"/>
      </w:r>
      <w:r w:rsidRPr="0050146A">
        <w:rPr>
          <w:rFonts w:hint="cs"/>
          <w:rtl/>
        </w:rPr>
        <w:t xml:space="preserve"> </w:t>
      </w:r>
      <w:r w:rsidRPr="0050146A">
        <w:rPr>
          <w:rStyle w:val="af8"/>
          <w:rFonts w:hint="cs"/>
          <w:rtl/>
        </w:rPr>
        <w:t>והחמד"ש</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Ref12782162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sidRPr="0050146A">
        <w:rPr>
          <w:rStyle w:val="af6"/>
          <w:rFonts w:eastAsia="Guttman Hodes"/>
          <w:rtl/>
        </w:rPr>
        <w:fldChar w:fldCharType="end"/>
      </w:r>
      <w:r w:rsidRPr="0050146A">
        <w:rPr>
          <w:rFonts w:hint="cs"/>
          <w:rtl/>
        </w:rPr>
        <w:t xml:space="preserve"> למ"ד דטעם כעיקר דרבנן, ובמ"ש </w:t>
      </w:r>
      <w:r w:rsidRPr="0050146A">
        <w:rPr>
          <w:rStyle w:val="af8"/>
          <w:rFonts w:hint="cs"/>
          <w:rtl/>
        </w:rPr>
        <w:t>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Ref12896046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50146A">
        <w:rPr>
          <w:rStyle w:val="af6"/>
          <w:rFonts w:eastAsia="Guttman Hodes"/>
          <w:rtl/>
        </w:rPr>
        <w:fldChar w:fldCharType="end"/>
      </w:r>
      <w:r w:rsidRPr="0050146A">
        <w:rPr>
          <w:rFonts w:hint="cs"/>
          <w:rtl/>
        </w:rPr>
        <w:t>.</w:t>
      </w:r>
      <w:bookmarkEnd w:id="5396"/>
    </w:p>
    <w:p w:rsidR="00F7606D" w:rsidRPr="0050146A" w:rsidRDefault="00F7606D" w:rsidP="00F7606D">
      <w:pPr>
        <w:pStyle w:val="a2"/>
        <w:rPr>
          <w:rtl/>
        </w:rPr>
      </w:pPr>
      <w:bookmarkStart w:id="5397" w:name="_Toc12872097"/>
      <w:bookmarkStart w:id="5398" w:name="_Toc12895373"/>
      <w:bookmarkStart w:id="5399" w:name="_Toc12896258"/>
      <w:bookmarkStart w:id="5400" w:name="_Toc12896418"/>
      <w:r w:rsidRPr="0050146A">
        <w:rPr>
          <w:rFonts w:hint="cs"/>
          <w:rtl/>
        </w:rPr>
        <w:t>ביאור הראב"ד דביטול ברוב הוא כשכ"א עומד בפנ"ע אבל בנתינת טעם האיסור ניכר בכל ההיתר</w:t>
      </w:r>
      <w:bookmarkEnd w:id="5397"/>
      <w:bookmarkEnd w:id="5398"/>
      <w:bookmarkEnd w:id="5399"/>
      <w:bookmarkEnd w:id="5400"/>
    </w:p>
    <w:p w:rsidR="00F7606D" w:rsidRPr="0050146A" w:rsidRDefault="00F7606D" w:rsidP="009F44AF">
      <w:pPr>
        <w:pStyle w:val="a"/>
        <w:rPr>
          <w:rStyle w:val="afa"/>
          <w:rtl/>
        </w:rPr>
      </w:pPr>
      <w:r w:rsidRPr="0050146A">
        <w:rPr>
          <w:rFonts w:hint="cs"/>
          <w:rtl/>
        </w:rPr>
        <w:t xml:space="preserve">ותירץ </w:t>
      </w:r>
      <w:r w:rsidRPr="0050146A">
        <w:rPr>
          <w:rStyle w:val="af8"/>
          <w:rFonts w:hint="cs"/>
          <w:rtl/>
        </w:rPr>
        <w:t>הרשב"א</w:t>
      </w:r>
      <w:r w:rsidRPr="0050146A">
        <w:rPr>
          <w:rFonts w:hint="cs"/>
          <w:rtl/>
        </w:rPr>
        <w:t xml:space="preserve"> בשם </w:t>
      </w:r>
      <w:r w:rsidRPr="0050146A">
        <w:rPr>
          <w:rStyle w:val="af8"/>
          <w:rFonts w:hint="cs"/>
          <w:rtl/>
        </w:rPr>
        <w:t>הראב"ד</w:t>
      </w:r>
      <w:r w:rsidRPr="0050146A">
        <w:rPr>
          <w:rFonts w:hint="cs"/>
          <w:rtl/>
        </w:rPr>
        <w:t xml:space="preserve"> דהא דמדאו' חד בתרי בטל, זהו דוקא במקום שהאיסור וההיתר כ"א מהם הוא עומד בפנ"ע, ואינם ניכרים בתערובת, כגון גיד בין הגידים, או ביצה בין הביצים, דההיתר לא קיבל כל טעם מהאיסור, ובכה"ג כיון שהאיסור אינו ניכר מועיל בו ביטול ברוב, אבל כשההיתר קיבל טעם מהאיסור, הכל נעשה איסור, דחשיב שהאיסור ניכר לפנינו והוא ידוע שנמצא בכל ההיתר. </w:t>
      </w:r>
      <w:r w:rsidRPr="0050146A">
        <w:rPr>
          <w:rStyle w:val="afa"/>
          <w:rFonts w:hint="cs"/>
          <w:rtl/>
        </w:rPr>
        <w:t>[דהיינו דע"י שהטעם של האיסור ניכר ומורגש בתוך ההיתר, לא חשיב שהאיסור אינו ניכר בתערובת, אלא הוא ידוע וניכר לפנינו, ובאיסור שניכר לא מהני ביטול ברוב].</w:t>
      </w:r>
    </w:p>
    <w:p w:rsidR="00F7606D" w:rsidRPr="0050146A" w:rsidRDefault="00F7606D" w:rsidP="00F7606D">
      <w:pPr>
        <w:pStyle w:val="a2"/>
        <w:rPr>
          <w:rtl/>
        </w:rPr>
      </w:pPr>
      <w:bookmarkStart w:id="5401" w:name="_Toc12872098"/>
      <w:bookmarkStart w:id="5402" w:name="_Toc12895374"/>
      <w:bookmarkStart w:id="5403" w:name="_Toc12896259"/>
      <w:bookmarkStart w:id="5404" w:name="_Toc12896419"/>
      <w:r w:rsidRPr="0050146A">
        <w:rPr>
          <w:rFonts w:hint="cs"/>
          <w:rtl/>
        </w:rPr>
        <w:t>קושית הראב"ד דלאביי דטעם כעיקר דאו' האיך אמר דמהני ביטול ברוב בזרוע בשלה שיש טעם</w:t>
      </w:r>
      <w:bookmarkEnd w:id="5401"/>
      <w:bookmarkEnd w:id="5402"/>
      <w:bookmarkEnd w:id="5403"/>
      <w:bookmarkEnd w:id="5404"/>
    </w:p>
    <w:p w:rsidR="00F7606D" w:rsidRPr="0050146A" w:rsidRDefault="00F7606D" w:rsidP="009F44AF">
      <w:pPr>
        <w:pStyle w:val="a"/>
        <w:rPr>
          <w:rtl/>
        </w:rPr>
      </w:pPr>
      <w:r w:rsidRPr="0050146A">
        <w:rPr>
          <w:rFonts w:hint="cs"/>
          <w:rtl/>
        </w:rPr>
        <w:t xml:space="preserve">אך הקשה </w:t>
      </w:r>
      <w:r w:rsidRPr="0050146A">
        <w:rPr>
          <w:rStyle w:val="af8"/>
          <w:rFonts w:hint="cs"/>
          <w:rtl/>
        </w:rPr>
        <w:t>הרשב"א</w:t>
      </w:r>
      <w:r w:rsidRPr="0050146A">
        <w:rPr>
          <w:rFonts w:hint="cs"/>
          <w:rtl/>
        </w:rPr>
        <w:t xml:space="preserve"> בשם </w:t>
      </w:r>
      <w:r w:rsidRPr="0050146A">
        <w:rPr>
          <w:rStyle w:val="af8"/>
          <w:rFonts w:hint="cs"/>
          <w:rtl/>
        </w:rPr>
        <w:t>הראב"ד</w:t>
      </w:r>
      <w:r w:rsidRPr="0050146A">
        <w:rPr>
          <w:rFonts w:hint="cs"/>
          <w:rtl/>
        </w:rPr>
        <w:t xml:space="preserve"> דכיון דס"ל לאביי </w:t>
      </w:r>
      <w:r w:rsidRPr="0050146A">
        <w:rPr>
          <w:rStyle w:val="afa"/>
          <w:rFonts w:hint="cs"/>
          <w:rtl/>
        </w:rPr>
        <w:t xml:space="preserve">[לקמן </w:t>
      </w:r>
      <w:r w:rsidRPr="0050146A">
        <w:rPr>
          <w:rStyle w:val="aff6"/>
          <w:rFonts w:hint="cs"/>
          <w:rtl/>
        </w:rPr>
        <w:t>(קח.)</w:t>
      </w:r>
      <w:r w:rsidRPr="0050146A">
        <w:rPr>
          <w:rStyle w:val="afa"/>
          <w:rFonts w:hint="cs"/>
          <w:rtl/>
        </w:rPr>
        <w:t>]</w:t>
      </w:r>
      <w:r w:rsidRPr="0050146A">
        <w:rPr>
          <w:rFonts w:hint="cs"/>
          <w:rtl/>
        </w:rPr>
        <w:t xml:space="preserve"> דטעם כעיקר דאו', א"כ היאך אמר אביי דבזרוע בשלה מדאו' חד בתרי בטל, והרי בזרוע בשלה האיסור נותן טעם בהיתר, וא"כ האיסור מעורב בהיתר ואינו עומד בפנ"ע.</w:t>
      </w:r>
    </w:p>
    <w:p w:rsidR="00F7606D" w:rsidRPr="0050146A" w:rsidRDefault="00F7606D" w:rsidP="00F7606D">
      <w:pPr>
        <w:pStyle w:val="a2"/>
        <w:rPr>
          <w:rtl/>
        </w:rPr>
      </w:pPr>
      <w:bookmarkStart w:id="5405" w:name="_Toc12872099"/>
      <w:bookmarkStart w:id="5406" w:name="_Toc12895375"/>
      <w:bookmarkStart w:id="5407" w:name="_Toc12896260"/>
      <w:bookmarkStart w:id="5408" w:name="_Toc12896420"/>
      <w:r w:rsidRPr="0050146A">
        <w:rPr>
          <w:rFonts w:hint="cs"/>
          <w:rtl/>
        </w:rPr>
        <w:t>ביאור הראב"ד דבמין במינו שלא ניכר טעם האיסור בהיתר חשיב שכ"א עומד בפנ"ע</w:t>
      </w:r>
      <w:bookmarkEnd w:id="5405"/>
      <w:bookmarkEnd w:id="5406"/>
      <w:bookmarkEnd w:id="5407"/>
      <w:bookmarkEnd w:id="5408"/>
    </w:p>
    <w:p w:rsidR="00F7606D" w:rsidRPr="0050146A" w:rsidRDefault="00F7606D" w:rsidP="009F44AF">
      <w:pPr>
        <w:pStyle w:val="a"/>
        <w:rPr>
          <w:rStyle w:val="afa"/>
          <w:rtl/>
        </w:rPr>
      </w:pPr>
      <w:bookmarkStart w:id="5409" w:name="_Ref12373654"/>
      <w:r w:rsidRPr="0050146A">
        <w:rPr>
          <w:rFonts w:hint="cs"/>
          <w:rtl/>
        </w:rPr>
        <w:t xml:space="preserve">ותירץ </w:t>
      </w:r>
      <w:r w:rsidRPr="0050146A">
        <w:rPr>
          <w:rStyle w:val="af8"/>
          <w:rFonts w:hint="cs"/>
          <w:rtl/>
        </w:rPr>
        <w:t>הרשב"א</w:t>
      </w:r>
      <w:r w:rsidRPr="0050146A">
        <w:rPr>
          <w:rFonts w:hint="cs"/>
          <w:rtl/>
        </w:rPr>
        <w:t xml:space="preserve"> בשם </w:t>
      </w:r>
      <w:r w:rsidRPr="0050146A">
        <w:rPr>
          <w:rStyle w:val="af8"/>
          <w:rFonts w:hint="cs"/>
          <w:rtl/>
        </w:rPr>
        <w:t>הראב"ד</w:t>
      </w:r>
      <w:r w:rsidRPr="0050146A">
        <w:rPr>
          <w:rFonts w:hint="cs"/>
          <w:rtl/>
        </w:rPr>
        <w:t xml:space="preserve"> דבזרוע בשלה כיון שהוא מין במינו, ולא ניכר טעם האיסור בהיתר, לכן חשיב שהאיסור וההיתר עומדים בפנ"ע, ולכן מהני בזה מדאו' ביטול ברוב, </w:t>
      </w:r>
      <w:r w:rsidRPr="0050146A">
        <w:rPr>
          <w:rStyle w:val="afa"/>
          <w:rFonts w:hint="cs"/>
          <w:rtl/>
        </w:rPr>
        <w:t>[דהיינו דמין במינו בלח שלא ניכר טעם האיסור בהיתר, חשיב כמין בשאינו מינו ביבש, דטעם האיסור לא מעורב בהיתר].</w:t>
      </w:r>
    </w:p>
    <w:p w:rsidR="00F7606D" w:rsidRPr="0050146A" w:rsidRDefault="00F7606D" w:rsidP="00F7606D">
      <w:pPr>
        <w:pStyle w:val="a2"/>
      </w:pPr>
      <w:bookmarkStart w:id="5410" w:name="_Toc12872100"/>
      <w:bookmarkStart w:id="5411" w:name="_Toc12895376"/>
      <w:bookmarkStart w:id="5412" w:name="_Toc12896261"/>
      <w:bookmarkStart w:id="5413" w:name="_Toc12896421"/>
      <w:r w:rsidRPr="0050146A">
        <w:rPr>
          <w:rFonts w:hint="cs"/>
          <w:rtl/>
        </w:rPr>
        <w:t>ביאור הראב"ד דבמין בשאינו מינו טעימת האיסור בהיתר זו הכרתו דחשיבות האוכל היא בטעמו</w:t>
      </w:r>
      <w:bookmarkEnd w:id="5410"/>
      <w:bookmarkEnd w:id="5411"/>
      <w:bookmarkEnd w:id="5412"/>
      <w:bookmarkEnd w:id="5413"/>
    </w:p>
    <w:p w:rsidR="00F7606D" w:rsidRPr="0050146A" w:rsidRDefault="00F7606D" w:rsidP="009F44AF">
      <w:pPr>
        <w:pStyle w:val="a"/>
        <w:rPr>
          <w:rtl/>
        </w:rPr>
      </w:pPr>
      <w:bookmarkStart w:id="5414" w:name="_Ref12868847"/>
      <w:r w:rsidRPr="0050146A">
        <w:rPr>
          <w:rFonts w:hint="cs"/>
          <w:rtl/>
        </w:rPr>
        <w:t xml:space="preserve">אבל במין בשאינו מינו ביאר </w:t>
      </w:r>
      <w:r w:rsidRPr="0050146A">
        <w:rPr>
          <w:rStyle w:val="af8"/>
          <w:rFonts w:hint="cs"/>
          <w:rtl/>
        </w:rPr>
        <w:t>הרשב"א</w:t>
      </w:r>
      <w:r w:rsidRPr="0050146A">
        <w:rPr>
          <w:rFonts w:hint="cs"/>
          <w:rtl/>
        </w:rPr>
        <w:t xml:space="preserve"> בשם </w:t>
      </w:r>
      <w:r w:rsidRPr="0050146A">
        <w:rPr>
          <w:rStyle w:val="af8"/>
          <w:rFonts w:hint="cs"/>
          <w:rtl/>
        </w:rPr>
        <w:t>הראב"ד</w:t>
      </w:r>
      <w:r w:rsidRPr="0050146A">
        <w:rPr>
          <w:rFonts w:hint="cs"/>
          <w:rtl/>
        </w:rPr>
        <w:t xml:space="preserve"> דההיתר מקבל טעם מהאיסור, וניכר טעם האיסור בתוך ההיתר, טעימתו זוהי הכרתו, כדכתי' "וחיך אוכל יטעם לו", וכל החשיבות של האוכל היא בטעם. </w:t>
      </w:r>
      <w:r w:rsidRPr="0050146A">
        <w:rPr>
          <w:rStyle w:val="afa"/>
          <w:rFonts w:hint="cs"/>
          <w:rtl/>
        </w:rPr>
        <w:t>[וכיון שהוא ניכר בתוך ההיתר ע"י טעמו, לכן לא מהני בו ביטול, דביטול הוא רק באיסור שאינו ניכר].</w:t>
      </w:r>
      <w:bookmarkEnd w:id="5414"/>
    </w:p>
    <w:p w:rsidR="00F7606D" w:rsidRPr="0050146A" w:rsidRDefault="00F7606D" w:rsidP="00F7606D">
      <w:pPr>
        <w:pStyle w:val="a2"/>
        <w:rPr>
          <w:rtl/>
        </w:rPr>
      </w:pPr>
      <w:r w:rsidRPr="0050146A">
        <w:rPr>
          <w:rFonts w:hint="cs"/>
          <w:rtl/>
        </w:rPr>
        <w:t>דברי הראב"ד דאף במקום שאין בטעם האיסור כזית בכא"פ חשיב הטעם בעין ואינו מתבטל ברוב</w:t>
      </w:r>
    </w:p>
    <w:p w:rsidR="00F7606D" w:rsidRPr="0050146A" w:rsidRDefault="00F7606D" w:rsidP="009F44AF">
      <w:pPr>
        <w:pStyle w:val="a"/>
        <w:rPr>
          <w:rtl/>
        </w:rPr>
      </w:pPr>
      <w:r w:rsidRPr="0050146A">
        <w:rPr>
          <w:rFonts w:hint="cs"/>
          <w:rtl/>
        </w:rPr>
        <w:t xml:space="preserve">וע"ע בדברי </w:t>
      </w:r>
      <w:r w:rsidRPr="0050146A">
        <w:rPr>
          <w:rStyle w:val="af8"/>
          <w:rFonts w:hint="cs"/>
          <w:rtl/>
        </w:rPr>
        <w:t>הראב"ד בהשג' על הבעה"מ בפסחים</w:t>
      </w:r>
      <w:r w:rsidRPr="0050146A">
        <w:rPr>
          <w:rFonts w:hint="cs"/>
          <w:rtl/>
        </w:rPr>
        <w:t xml:space="preserve"> </w:t>
      </w:r>
      <w:r w:rsidRPr="0050146A">
        <w:rPr>
          <w:rStyle w:val="af6"/>
          <w:rFonts w:eastAsia="Guttman Hodes" w:hint="cs"/>
          <w:rtl/>
        </w:rPr>
        <w:t>(יג: מדפי הרי"ף ד"ה א"א ראיתי)</w:t>
      </w:r>
      <w:r w:rsidRPr="0050146A">
        <w:rPr>
          <w:rFonts w:hint="cs"/>
          <w:rtl/>
        </w:rPr>
        <w:t xml:space="preserve"> דכתב דהביאור בטעם כעיקר הוא דכיון שהאיסור נותן טעם בהיתר, חשיב שהאיסור הוא בעין ואינו בטל ברוב, ואינו כמין במינו דאיתא בגמ' בזבחים </w:t>
      </w:r>
      <w:r w:rsidRPr="0050146A">
        <w:rPr>
          <w:rStyle w:val="af6"/>
          <w:rFonts w:eastAsia="Guttman Hodes" w:hint="cs"/>
          <w:rtl/>
        </w:rPr>
        <w:t>(עט.)</w:t>
      </w:r>
      <w:r w:rsidRPr="0050146A">
        <w:rPr>
          <w:rFonts w:hint="cs"/>
          <w:rtl/>
        </w:rPr>
        <w:t xml:space="preserve"> דבטל ברוב, ובאופן שיש כזית בכדי אכילת פרס ויש נתינת טעם לוקין עליו, אעפ"י שיש רוב של היתר, כיון שהאיסור אינו מתבטל בהיתר, ובמקום שאין בו כזית בכדי אכילת פרס, אסור ואין לוקין עליו, אך מ"מ אינו מתבטל ברוב של ההיתר, וחשיב כאילו האיסור נמצא בעין.</w:t>
      </w:r>
    </w:p>
    <w:p w:rsidR="00A147B2" w:rsidRPr="00BC6D58" w:rsidRDefault="00A147B2" w:rsidP="00BC6D58">
      <w:pPr>
        <w:pStyle w:val="1"/>
        <w:rPr>
          <w:rtl/>
        </w:rPr>
      </w:pPr>
      <w:bookmarkStart w:id="5415" w:name="_Toc12872101"/>
      <w:bookmarkStart w:id="5416" w:name="_Toc12895377"/>
      <w:bookmarkStart w:id="5417" w:name="_Toc12896262"/>
      <w:bookmarkStart w:id="5418" w:name="_Toc12896422"/>
      <w:r w:rsidRPr="00BC6D58">
        <w:rPr>
          <w:rFonts w:hint="cs"/>
          <w:rtl/>
        </w:rPr>
        <w:t xml:space="preserve">ביאור היד יהודה </w:t>
      </w:r>
      <w:r w:rsidR="00BC6D58">
        <w:rPr>
          <w:rFonts w:hint="cs"/>
          <w:rtl/>
        </w:rPr>
        <w:t>ב</w:t>
      </w:r>
      <w:r w:rsidRPr="00BC6D58">
        <w:rPr>
          <w:rFonts w:hint="cs"/>
          <w:rtl/>
        </w:rPr>
        <w:t xml:space="preserve">ראב"ד דטעם </w:t>
      </w:r>
      <w:r w:rsidR="00BC6D58">
        <w:rPr>
          <w:rFonts w:hint="cs"/>
          <w:rtl/>
        </w:rPr>
        <w:t>שאסור מדאו' לא</w:t>
      </w:r>
      <w:r w:rsidRPr="00BC6D58">
        <w:rPr>
          <w:rFonts w:hint="cs"/>
          <w:rtl/>
        </w:rPr>
        <w:t xml:space="preserve"> בטל ברוב</w:t>
      </w:r>
    </w:p>
    <w:p w:rsidR="0007268C" w:rsidRPr="00BC6D58" w:rsidRDefault="0007268C" w:rsidP="0007268C">
      <w:pPr>
        <w:pStyle w:val="a2"/>
        <w:rPr>
          <w:rtl/>
        </w:rPr>
      </w:pPr>
      <w:r w:rsidRPr="00BC6D58">
        <w:rPr>
          <w:rFonts w:hint="cs"/>
          <w:rtl/>
        </w:rPr>
        <w:t>ביאור היד יהודה בראב"ד דכיון דטע"כ דאו' גורם הטעם האסור לממשות שלא תתבטל</w:t>
      </w:r>
    </w:p>
    <w:p w:rsidR="0007268C" w:rsidRPr="00BC6D58" w:rsidRDefault="0007268C" w:rsidP="009F44AF">
      <w:pPr>
        <w:pStyle w:val="a"/>
        <w:rPr>
          <w:rtl/>
        </w:rPr>
      </w:pPr>
      <w:r w:rsidRPr="00BC6D58">
        <w:rPr>
          <w:rFonts w:hint="cs"/>
          <w:rtl/>
        </w:rPr>
        <w:t xml:space="preserve"> וביאר </w:t>
      </w:r>
      <w:r w:rsidRPr="00BC6D58">
        <w:rPr>
          <w:rStyle w:val="af8"/>
          <w:rFonts w:hint="cs"/>
          <w:rtl/>
        </w:rPr>
        <w:t>היד יהודה</w:t>
      </w:r>
      <w:r w:rsidRPr="00BC6D58">
        <w:rPr>
          <w:rFonts w:hint="cs"/>
          <w:rtl/>
        </w:rPr>
        <w:t xml:space="preserve"> </w:t>
      </w:r>
      <w:r w:rsidRPr="00BC6D58">
        <w:rPr>
          <w:rStyle w:val="af6"/>
          <w:rFonts w:eastAsia="Guttman Hodes" w:hint="cs"/>
          <w:rtl/>
        </w:rPr>
        <w:t>(סי' ק"ג סק"א ד"ה הנה בעכו"ם)</w:t>
      </w:r>
      <w:r w:rsidRPr="00BC6D58">
        <w:rPr>
          <w:rFonts w:hint="cs"/>
          <w:rtl/>
        </w:rPr>
        <w:t xml:space="preserve"> דכוונת </w:t>
      </w:r>
      <w:r w:rsidRPr="00BC6D58">
        <w:rPr>
          <w:rStyle w:val="af8"/>
          <w:rFonts w:hint="cs"/>
          <w:rtl/>
        </w:rPr>
        <w:t xml:space="preserve">הרשב"א </w:t>
      </w:r>
      <w:r w:rsidRPr="00BC6D58">
        <w:rPr>
          <w:rFonts w:hint="cs"/>
          <w:rtl/>
        </w:rPr>
        <w:t xml:space="preserve">בשם </w:t>
      </w:r>
      <w:r w:rsidRPr="00BC6D58">
        <w:rPr>
          <w:rStyle w:val="af8"/>
          <w:rFonts w:hint="cs"/>
          <w:rtl/>
        </w:rPr>
        <w:t xml:space="preserve">הראב"ד </w:t>
      </w:r>
      <w:r w:rsidRPr="00BC6D58">
        <w:rPr>
          <w:rFonts w:hint="cs"/>
          <w:rtl/>
        </w:rPr>
        <w:t xml:space="preserve">לומר דכיון שהטעם מורגש בכל ההיתר, ממילא הממשות שלו אינה מתבטלת, אך זהו דוקא במקום שהטעם עצמו אסור, דכיון שהטעם אינו מתבטל, הוא גורם לממשות שלא יתבטל, אבל במקום שהטעם עצמו מותר, [כגון בנותן טעם לפגם], דמצד עצמו הטעם </w:t>
      </w:r>
      <w:r w:rsidRPr="00BC6D58">
        <w:rPr>
          <w:rFonts w:hint="cs"/>
          <w:rtl/>
        </w:rPr>
        <w:t>אינו אוסר, אין בכחו לגרום לממשות האיסור שלא יתבטל ולאסור עי"ז את כל ההיתר שבתערובת, דהא הטעם גופיה מותר</w:t>
      </w:r>
      <w:bookmarkStart w:id="5419" w:name="_Ref16849850"/>
      <w:r w:rsidRPr="00BC6D58">
        <w:rPr>
          <w:rFonts w:hint="cs"/>
          <w:rtl/>
        </w:rPr>
        <w:t>, וא"כ אף שהטעם ניכר, מ"מ חשיב דההיתר עומד בפנ"ע וממשות האיסור עומדת בפנ"ע, ולכן מהני ביטול ברוב לבטל את ממשות האיסור</w:t>
      </w:r>
      <w:bookmarkEnd w:id="5419"/>
      <w:r w:rsidRPr="00BC6D58">
        <w:rPr>
          <w:rFonts w:hint="cs"/>
          <w:rtl/>
        </w:rPr>
        <w:t xml:space="preserve">, ועי' במה שהוכיח כן </w:t>
      </w:r>
      <w:r w:rsidRPr="00BC6D58">
        <w:rPr>
          <w:rStyle w:val="af8"/>
          <w:rFonts w:hint="cs"/>
          <w:rtl/>
        </w:rPr>
        <w:t>היד יהודה</w:t>
      </w:r>
      <w:r w:rsidRPr="00BC6D58">
        <w:rPr>
          <w:rFonts w:hint="cs"/>
          <w:rtl/>
        </w:rPr>
        <w:t xml:space="preserve"> מדברי </w:t>
      </w:r>
      <w:r w:rsidRPr="00BC6D58">
        <w:rPr>
          <w:rStyle w:val="af8"/>
          <w:rFonts w:hint="cs"/>
          <w:rtl/>
        </w:rPr>
        <w:t>הרשב"א</w:t>
      </w:r>
      <w:r w:rsidRPr="00BC6D58">
        <w:rPr>
          <w:rFonts w:hint="cs"/>
          <w:rtl/>
        </w:rPr>
        <w:t xml:space="preserve"> </w:t>
      </w:r>
      <w:r w:rsidRPr="00BC6D58">
        <w:rPr>
          <w:rStyle w:val="af8"/>
          <w:rFonts w:hint="cs"/>
          <w:rtl/>
        </w:rPr>
        <w:t>בתוה"ב</w:t>
      </w:r>
      <w:r w:rsidRPr="00BC6D58">
        <w:rPr>
          <w:rFonts w:hint="cs"/>
          <w:rtl/>
        </w:rPr>
        <w:t xml:space="preserve"> </w:t>
      </w:r>
      <w:r w:rsidRPr="00BC6D58">
        <w:rPr>
          <w:rStyle w:val="af6"/>
          <w:rFonts w:eastAsia="Guttman Hodes" w:hint="cs"/>
          <w:rtl/>
        </w:rPr>
        <w:t>(ב"ד ש"א יט. מדה"ס ד"ה פגם)</w:t>
      </w:r>
      <w:r w:rsidRPr="00BC6D58">
        <w:rPr>
          <w:rStyle w:val="af8"/>
          <w:rFonts w:hint="cs"/>
          <w:rtl/>
        </w:rPr>
        <w:t xml:space="preserve"> ובחי' בע"ז</w:t>
      </w:r>
      <w:r w:rsidRPr="00BC6D58">
        <w:rPr>
          <w:rFonts w:hint="cs"/>
          <w:rtl/>
        </w:rPr>
        <w:t xml:space="preserve"> </w:t>
      </w:r>
      <w:r w:rsidRPr="00BC6D58">
        <w:rPr>
          <w:rStyle w:val="af6"/>
          <w:rFonts w:eastAsia="Guttman Hodes" w:hint="cs"/>
          <w:rtl/>
        </w:rPr>
        <w:t>(סז.ד"ה כל)</w:t>
      </w:r>
      <w:r w:rsidRPr="00BC6D58">
        <w:rPr>
          <w:rFonts w:hint="cs"/>
          <w:rtl/>
        </w:rPr>
        <w:t xml:space="preserve"> בדין נותן טעם לפגם.</w:t>
      </w:r>
    </w:p>
    <w:p w:rsidR="0007268C" w:rsidRPr="00BC6D58" w:rsidRDefault="0007268C" w:rsidP="0007268C">
      <w:pPr>
        <w:pStyle w:val="a2"/>
        <w:rPr>
          <w:rtl/>
        </w:rPr>
      </w:pPr>
      <w:r w:rsidRPr="00BC6D58">
        <w:rPr>
          <w:rFonts w:hint="cs"/>
          <w:rtl/>
        </w:rPr>
        <w:t>ביאור היד יהודה בדעת הר"ן דטע"כ דרבנן דאף טעם שאינו אסור גרום לממשות שלא תתבטל ברוב</w:t>
      </w:r>
    </w:p>
    <w:p w:rsidR="0007268C" w:rsidRPr="00BC6D58" w:rsidRDefault="0007268C" w:rsidP="009F44AF">
      <w:pPr>
        <w:pStyle w:val="a"/>
        <w:rPr>
          <w:rtl/>
        </w:rPr>
      </w:pPr>
      <w:r w:rsidRPr="00BC6D58">
        <w:rPr>
          <w:rFonts w:hint="cs"/>
          <w:rtl/>
        </w:rPr>
        <w:t xml:space="preserve">אך כתב </w:t>
      </w:r>
      <w:r w:rsidRPr="00BC6D58">
        <w:rPr>
          <w:rStyle w:val="af8"/>
          <w:rFonts w:hint="cs"/>
          <w:rtl/>
        </w:rPr>
        <w:t>היד יהודה</w:t>
      </w:r>
      <w:r w:rsidRPr="00BC6D58">
        <w:rPr>
          <w:rFonts w:hint="cs"/>
          <w:rtl/>
        </w:rPr>
        <w:t xml:space="preserve"> </w:t>
      </w:r>
      <w:r w:rsidRPr="00BC6D58">
        <w:rPr>
          <w:rStyle w:val="af6"/>
          <w:rFonts w:eastAsia="Guttman Hodes" w:hint="cs"/>
          <w:rtl/>
        </w:rPr>
        <w:t xml:space="preserve">(סי' ק"ג סק"א ד"ה אבל הר"ן) </w:t>
      </w:r>
      <w:r w:rsidRPr="00BC6D58">
        <w:rPr>
          <w:rFonts w:hint="cs"/>
          <w:rtl/>
        </w:rPr>
        <w:t xml:space="preserve">דלדעת </w:t>
      </w:r>
      <w:r w:rsidRPr="00BC6D58">
        <w:rPr>
          <w:rStyle w:val="af8"/>
          <w:rFonts w:hint="cs"/>
          <w:rtl/>
        </w:rPr>
        <w:t>הר"ן</w:t>
      </w:r>
      <w:r w:rsidRPr="00BC6D58">
        <w:rPr>
          <w:rFonts w:hint="cs"/>
          <w:rtl/>
        </w:rPr>
        <w:t xml:space="preserve"> דס"ל דטעם כעיקר לאו דאו', אף טעם שאינו אסור גורם לממשות שלא תתבטל ברוב, ולכן בטעמו וממשו אמרינן דהטעם שאינו אסור מדאו' גורם לממשות שלא תתבטל ברוב ותאסר מדאו', ועיי"ש במה שהוכיח כן </w:t>
      </w:r>
      <w:r w:rsidRPr="00BC6D58">
        <w:rPr>
          <w:rStyle w:val="af8"/>
          <w:rFonts w:hint="cs"/>
          <w:rtl/>
        </w:rPr>
        <w:t>היד יהודה</w:t>
      </w:r>
      <w:r w:rsidRPr="00BC6D58">
        <w:rPr>
          <w:rStyle w:val="af6"/>
          <w:rFonts w:eastAsia="Guttman Hodes" w:hint="cs"/>
          <w:rtl/>
        </w:rPr>
        <w:t xml:space="preserve"> </w:t>
      </w:r>
      <w:r w:rsidRPr="00BC6D58">
        <w:rPr>
          <w:rFonts w:hint="cs"/>
          <w:rtl/>
        </w:rPr>
        <w:t xml:space="preserve">מדברי </w:t>
      </w:r>
      <w:r w:rsidRPr="00BC6D58">
        <w:rPr>
          <w:rStyle w:val="af8"/>
          <w:rFonts w:hint="cs"/>
          <w:rtl/>
        </w:rPr>
        <w:t xml:space="preserve">הר"ן בחי' בע"ז </w:t>
      </w:r>
      <w:r w:rsidRPr="00BC6D58">
        <w:rPr>
          <w:rStyle w:val="af6"/>
          <w:rFonts w:eastAsia="Guttman Hodes" w:hint="cs"/>
          <w:rtl/>
        </w:rPr>
        <w:t>(סו: ד"ה כל)</w:t>
      </w:r>
      <w:r w:rsidRPr="00BC6D58">
        <w:rPr>
          <w:rStyle w:val="af8"/>
          <w:rFonts w:hint="cs"/>
          <w:rtl/>
        </w:rPr>
        <w:t xml:space="preserve"> ועל הרי"ף בע"ז</w:t>
      </w:r>
      <w:r w:rsidRPr="00BC6D58">
        <w:rPr>
          <w:rFonts w:hint="cs"/>
          <w:rtl/>
        </w:rPr>
        <w:t xml:space="preserve"> </w:t>
      </w:r>
      <w:r w:rsidRPr="00BC6D58">
        <w:rPr>
          <w:rStyle w:val="af6"/>
          <w:rFonts w:eastAsia="Guttman Hodes" w:hint="cs"/>
          <w:rtl/>
        </w:rPr>
        <w:t xml:space="preserve">(לב: מדפי הרי"ף) </w:t>
      </w:r>
      <w:r w:rsidRPr="00BC6D58">
        <w:rPr>
          <w:rFonts w:hint="cs"/>
          <w:rtl/>
        </w:rPr>
        <w:t>בדין נותן טעם לפגם.</w:t>
      </w:r>
    </w:p>
    <w:p w:rsidR="00F7606D" w:rsidRPr="0050146A" w:rsidRDefault="00F7606D" w:rsidP="00F7606D">
      <w:pPr>
        <w:pStyle w:val="1"/>
        <w:rPr>
          <w:rtl/>
        </w:rPr>
      </w:pPr>
      <w:r w:rsidRPr="0050146A">
        <w:rPr>
          <w:rFonts w:hint="cs"/>
          <w:rtl/>
        </w:rPr>
        <w:t>פלוגתת הש"ך והגרעק"א בהא דל"מ ביטול ברוב בטעם לר"ת</w:t>
      </w:r>
      <w:bookmarkEnd w:id="5415"/>
      <w:bookmarkEnd w:id="5416"/>
      <w:bookmarkEnd w:id="5417"/>
      <w:bookmarkEnd w:id="5418"/>
    </w:p>
    <w:p w:rsidR="00F7606D" w:rsidRPr="0050146A" w:rsidRDefault="00F7606D" w:rsidP="00F7606D">
      <w:pPr>
        <w:pStyle w:val="a2"/>
        <w:rPr>
          <w:rtl/>
        </w:rPr>
      </w:pPr>
      <w:bookmarkStart w:id="5420" w:name="_Toc12872102"/>
      <w:bookmarkStart w:id="5421" w:name="_Toc12895378"/>
      <w:bookmarkStart w:id="5422" w:name="_Toc12896263"/>
      <w:bookmarkStart w:id="5423" w:name="_Toc12896423"/>
      <w:r w:rsidRPr="0050146A">
        <w:rPr>
          <w:rFonts w:hint="cs"/>
          <w:rtl/>
        </w:rPr>
        <w:t>דברי הש"ך דלר"ת ל"מ ביטול ברוב בטעם כעיקר כיון שאף ההיתר נהפך להיות איסור</w:t>
      </w:r>
      <w:bookmarkEnd w:id="5420"/>
      <w:bookmarkEnd w:id="5421"/>
      <w:bookmarkEnd w:id="5422"/>
      <w:bookmarkEnd w:id="5423"/>
    </w:p>
    <w:p w:rsidR="00F7606D" w:rsidRPr="0050146A" w:rsidRDefault="00F7606D" w:rsidP="009F44AF">
      <w:pPr>
        <w:pStyle w:val="a"/>
        <w:rPr>
          <w:rtl/>
        </w:rPr>
      </w:pPr>
      <w:bookmarkStart w:id="5424" w:name="_Ref12871833"/>
      <w:r w:rsidRPr="0050146A">
        <w:rPr>
          <w:rFonts w:hint="cs"/>
          <w:rtl/>
        </w:rPr>
        <w:t xml:space="preserve">כתב </w:t>
      </w:r>
      <w:r w:rsidRPr="0050146A">
        <w:rPr>
          <w:rStyle w:val="af8"/>
          <w:rFonts w:hint="cs"/>
          <w:rtl/>
        </w:rPr>
        <w:t>הש"ך</w:t>
      </w:r>
      <w:r w:rsidRPr="0050146A">
        <w:rPr>
          <w:rStyle w:val="af6"/>
          <w:rFonts w:eastAsia="Guttman Hodes" w:hint="cs"/>
          <w:rtl/>
        </w:rPr>
        <w:t xml:space="preserve"> (סי' צ"ח סק"ו) </w:t>
      </w:r>
      <w:r w:rsidRPr="0050146A">
        <w:rPr>
          <w:rFonts w:hint="cs"/>
          <w:rtl/>
        </w:rPr>
        <w:t xml:space="preserve">דלדעת </w:t>
      </w:r>
      <w:r w:rsidRPr="0050146A">
        <w:rPr>
          <w:rStyle w:val="af8"/>
          <w:rFonts w:hint="cs"/>
          <w:rtl/>
        </w:rPr>
        <w:t>ר"ת</w:t>
      </w:r>
      <w:r w:rsidRPr="0050146A">
        <w:rPr>
          <w:rFonts w:hint="cs"/>
          <w:rtl/>
        </w:rPr>
        <w:t xml:space="preserve"> דטעם כעיקר דאו', הביאור הוא דבמין בשאינו מינו נהפך ההיתר להיות כולו אסור, ולכן הוא אסור מדאו', עד שיעור שישים, </w:t>
      </w:r>
      <w:r w:rsidRPr="0050146A">
        <w:rPr>
          <w:rStyle w:val="afa"/>
          <w:rFonts w:hint="cs"/>
          <w:rtl/>
        </w:rPr>
        <w:t>[ולא שייך בזה ביטול ברוב דאין רוב של היתר דאף ההיתר נעשה כולו אסור],</w:t>
      </w:r>
      <w:r w:rsidRPr="0050146A">
        <w:rPr>
          <w:rFonts w:hint="cs"/>
          <w:rtl/>
        </w:rPr>
        <w:t xml:space="preserve"> אבל במין במינו כיון שאינו נותן טעם, מהני בו מדאו' ביטול ברוב, כדילפינן מאחרי רבים להטות, ושיעור שישים במין במינו הוא מדרבנן, ועי' במ"ש בביאור דברי </w:t>
      </w:r>
      <w:r w:rsidRPr="0050146A">
        <w:rPr>
          <w:rStyle w:val="af8"/>
          <w:rFonts w:hint="cs"/>
          <w:rtl/>
        </w:rPr>
        <w:t>הש"ך בשיעורי מקדש דוד</w:t>
      </w:r>
      <w:r w:rsidRPr="0050146A">
        <w:rPr>
          <w:rFonts w:hint="cs"/>
          <w:rtl/>
        </w:rPr>
        <w:t xml:space="preserve"> </w:t>
      </w:r>
      <w:r w:rsidRPr="0050146A">
        <w:rPr>
          <w:rStyle w:val="af6"/>
          <w:rFonts w:eastAsia="Guttman Hodes" w:hint="cs"/>
          <w:rtl/>
        </w:rPr>
        <w:t>(חולין סי' י"א, קובץ עניינים חולין סי' ח')</w:t>
      </w:r>
      <w:r w:rsidRPr="0050146A">
        <w:rPr>
          <w:rFonts w:hint="cs"/>
          <w:rtl/>
        </w:rPr>
        <w:t>.</w:t>
      </w:r>
      <w:bookmarkEnd w:id="5424"/>
    </w:p>
    <w:p w:rsidR="00F7606D" w:rsidRPr="0050146A" w:rsidRDefault="00F7606D" w:rsidP="00F7606D">
      <w:pPr>
        <w:pStyle w:val="a2"/>
        <w:rPr>
          <w:rtl/>
        </w:rPr>
      </w:pPr>
      <w:bookmarkStart w:id="5425" w:name="_Toc12872103"/>
      <w:bookmarkStart w:id="5426" w:name="_Toc12895379"/>
      <w:bookmarkStart w:id="5427" w:name="_Toc12896264"/>
      <w:bookmarkStart w:id="5428" w:name="_Toc12896424"/>
      <w:r w:rsidRPr="0050146A">
        <w:rPr>
          <w:rFonts w:hint="cs"/>
          <w:rtl/>
        </w:rPr>
        <w:t>דברי הגרעק"א דלר"ת אף במקום שאין דין נהפך ל"מ רוב כיון שהטעם נרגש וניכר ואינו מתבטל</w:t>
      </w:r>
      <w:bookmarkEnd w:id="5425"/>
      <w:bookmarkEnd w:id="5426"/>
      <w:bookmarkEnd w:id="5427"/>
      <w:bookmarkEnd w:id="5428"/>
    </w:p>
    <w:p w:rsidR="00F7606D" w:rsidRPr="0050146A" w:rsidRDefault="00F7606D" w:rsidP="009F44AF">
      <w:pPr>
        <w:pStyle w:val="a"/>
        <w:rPr>
          <w:rtl/>
        </w:rPr>
      </w:pPr>
      <w:bookmarkStart w:id="5429" w:name="_Ref12871845"/>
      <w:r w:rsidRPr="0050146A">
        <w:rPr>
          <w:rFonts w:hint="cs"/>
          <w:rtl/>
        </w:rPr>
        <w:t xml:space="preserve">אבל </w:t>
      </w:r>
      <w:r w:rsidRPr="0050146A">
        <w:rPr>
          <w:rStyle w:val="af8"/>
          <w:rFonts w:hint="cs"/>
          <w:rtl/>
        </w:rPr>
        <w:t>הגרעק"א</w:t>
      </w:r>
      <w:r w:rsidRPr="0050146A">
        <w:rPr>
          <w:rStyle w:val="af6"/>
          <w:rFonts w:eastAsia="Guttman Hodes" w:hint="cs"/>
          <w:rtl/>
        </w:rPr>
        <w:t xml:space="preserve"> (סי' צ"ח על הש"ך סק"ו) </w:t>
      </w:r>
      <w:r w:rsidRPr="0050146A">
        <w:rPr>
          <w:rFonts w:hint="cs"/>
          <w:rtl/>
        </w:rPr>
        <w:t xml:space="preserve">כתב דמ"ש </w:t>
      </w:r>
      <w:r w:rsidRPr="0050146A">
        <w:rPr>
          <w:rStyle w:val="af8"/>
          <w:rFonts w:hint="cs"/>
          <w:rtl/>
        </w:rPr>
        <w:t>הש"ך</w:t>
      </w:r>
      <w:r w:rsidRPr="0050146A">
        <w:rPr>
          <w:rFonts w:hint="cs"/>
          <w:rtl/>
        </w:rPr>
        <w:t xml:space="preserve"> דההיתר נהפך להיות איסור, הוא מיותר, דלדעת </w:t>
      </w:r>
      <w:r w:rsidRPr="0050146A">
        <w:rPr>
          <w:rStyle w:val="af8"/>
          <w:rFonts w:hint="cs"/>
          <w:rtl/>
        </w:rPr>
        <w:t>ר"ת ור"י</w:t>
      </w:r>
      <w:r w:rsidRPr="0050146A">
        <w:rPr>
          <w:rFonts w:hint="cs"/>
          <w:rtl/>
        </w:rPr>
        <w:t xml:space="preserve"> כל שאין כזית בכדי אכילת פרס, לא אמרינן דנהפך ההיתר להיות איסור, ומ"מ הוא טעם כעיקר דאסור מדאו', וביאר </w:t>
      </w:r>
      <w:r w:rsidRPr="0050146A">
        <w:rPr>
          <w:rStyle w:val="af8"/>
          <w:rFonts w:hint="cs"/>
          <w:rtl/>
        </w:rPr>
        <w:t>הגרעק"א</w:t>
      </w:r>
      <w:r w:rsidRPr="0050146A">
        <w:rPr>
          <w:rFonts w:hint="cs"/>
          <w:rtl/>
        </w:rPr>
        <w:t xml:space="preserve"> דכיון שהטעם נרגש האיסור אינו מתבטל,</w:t>
      </w:r>
      <w:r w:rsidRPr="0050146A">
        <w:rPr>
          <w:rStyle w:val="afa"/>
          <w:rFonts w:hint="cs"/>
          <w:rtl/>
        </w:rPr>
        <w:t xml:space="preserve"> [וכדברי </w:t>
      </w:r>
      <w:r w:rsidRPr="0050146A">
        <w:rPr>
          <w:rStyle w:val="affa"/>
          <w:rFonts w:hint="cs"/>
          <w:rtl/>
        </w:rPr>
        <w:t>הראב"ד</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Ref12868847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סט)</w:t>
      </w:r>
      <w:r w:rsidRPr="0050146A">
        <w:rPr>
          <w:rStyle w:val="aff6"/>
          <w:rtl/>
        </w:rPr>
        <w:fldChar w:fldCharType="end"/>
      </w:r>
      <w:r w:rsidRPr="0050146A">
        <w:rPr>
          <w:rStyle w:val="afa"/>
          <w:rFonts w:hint="cs"/>
          <w:rtl/>
        </w:rPr>
        <w:t xml:space="preserve">], </w:t>
      </w:r>
      <w:r w:rsidRPr="0050146A">
        <w:rPr>
          <w:rFonts w:hint="cs"/>
          <w:rtl/>
        </w:rPr>
        <w:t>ולכן אסור לאכול את התערובת מדאו' והוי כאוכל חצי שיעור, וא"כ אי"ז שייך לדין נהפך כלל.</w:t>
      </w:r>
      <w:bookmarkEnd w:id="5429"/>
    </w:p>
    <w:p w:rsidR="00F7606D" w:rsidRPr="0050146A" w:rsidRDefault="00F7606D" w:rsidP="00F7606D">
      <w:pPr>
        <w:pStyle w:val="a2"/>
        <w:rPr>
          <w:rtl/>
        </w:rPr>
      </w:pPr>
      <w:bookmarkStart w:id="5430" w:name="_Toc12872104"/>
      <w:bookmarkStart w:id="5431" w:name="_Toc12895380"/>
      <w:bookmarkStart w:id="5432" w:name="_Toc12896265"/>
      <w:bookmarkStart w:id="5433" w:name="_Toc12896425"/>
      <w:r w:rsidRPr="0050146A">
        <w:rPr>
          <w:rFonts w:hint="cs"/>
          <w:rtl/>
        </w:rPr>
        <w:t>דברי הט"ז דבמין במינו שאין הטעם נרגש א"צ ביטול מדאו' כלל דרק בשאינו מינו טע"כ דאו'</w:t>
      </w:r>
      <w:bookmarkEnd w:id="5430"/>
      <w:bookmarkEnd w:id="5431"/>
      <w:bookmarkEnd w:id="5432"/>
      <w:bookmarkEnd w:id="5433"/>
    </w:p>
    <w:p w:rsidR="00F7606D" w:rsidRPr="0050146A" w:rsidRDefault="00F7606D" w:rsidP="009F44AF">
      <w:pPr>
        <w:pStyle w:val="a"/>
        <w:rPr>
          <w:rStyle w:val="afa"/>
          <w:rtl/>
        </w:rPr>
      </w:pPr>
      <w:r w:rsidRPr="0050146A">
        <w:rPr>
          <w:rFonts w:hint="cs"/>
          <w:rtl/>
        </w:rPr>
        <w:t xml:space="preserve">וע"ע בדברי </w:t>
      </w:r>
      <w:r w:rsidRPr="0050146A">
        <w:rPr>
          <w:rStyle w:val="af8"/>
          <w:rFonts w:hint="cs"/>
          <w:rtl/>
        </w:rPr>
        <w:t>הט"ז</w:t>
      </w:r>
      <w:r w:rsidRPr="0050146A">
        <w:rPr>
          <w:rFonts w:hint="cs"/>
          <w:rtl/>
        </w:rPr>
        <w:t xml:space="preserve"> </w:t>
      </w:r>
      <w:r w:rsidRPr="0050146A">
        <w:rPr>
          <w:rStyle w:val="af6"/>
          <w:rFonts w:eastAsia="Guttman Hodes" w:hint="cs"/>
          <w:rtl/>
        </w:rPr>
        <w:t>(סי' ק"ב סוס"ק י' בתו"ד)</w:t>
      </w:r>
      <w:r w:rsidRPr="0050146A">
        <w:rPr>
          <w:rFonts w:hint="cs"/>
          <w:rtl/>
        </w:rPr>
        <w:t xml:space="preserve"> דכתב דהא דבטעמו ולא ממשו טעם כעיקר דאו', הוא רק במין בשאינו מינו, אבל במין במינו בטעמו ולא ממשו, מדאו' א"צ ביטול כלל, דהטעם אינו נרגש. </w:t>
      </w:r>
      <w:r w:rsidRPr="0050146A">
        <w:rPr>
          <w:rStyle w:val="afa"/>
          <w:rFonts w:hint="cs"/>
          <w:rtl/>
        </w:rPr>
        <w:t xml:space="preserve">[ומבואר מדברי </w:t>
      </w:r>
      <w:r w:rsidRPr="0050146A">
        <w:rPr>
          <w:rStyle w:val="affa"/>
          <w:rFonts w:hint="cs"/>
          <w:rtl/>
        </w:rPr>
        <w:t>הט"ז</w:t>
      </w:r>
      <w:r w:rsidRPr="0050146A">
        <w:rPr>
          <w:rStyle w:val="afa"/>
          <w:rFonts w:hint="cs"/>
          <w:rtl/>
        </w:rPr>
        <w:t xml:space="preserve"> דבמין בשאינו מינו כיון שהטעם נרגש צריך ביטול של הטעם, וכל שיש טעם אסור מדאו' דלא מהני ביטול דהא הטעם עדיין נרגש].</w:t>
      </w:r>
    </w:p>
    <w:p w:rsidR="00F7606D" w:rsidRPr="0050146A" w:rsidRDefault="00F7606D" w:rsidP="00F7606D">
      <w:pPr>
        <w:pStyle w:val="1"/>
        <w:rPr>
          <w:rtl/>
        </w:rPr>
      </w:pPr>
      <w:bookmarkStart w:id="5434" w:name="_Toc12872105"/>
      <w:bookmarkStart w:id="5435" w:name="_Toc12895381"/>
      <w:bookmarkStart w:id="5436" w:name="_Toc12896266"/>
      <w:bookmarkStart w:id="5437" w:name="_Toc12896426"/>
      <w:r w:rsidRPr="0050146A">
        <w:rPr>
          <w:rFonts w:hint="cs"/>
          <w:rtl/>
        </w:rPr>
        <w:t>ביאור הנחל"ד ברש"י דבטע"כ דאו' הטעם אסור רק מדין נהפך</w:t>
      </w:r>
      <w:bookmarkEnd w:id="5434"/>
      <w:bookmarkEnd w:id="5435"/>
      <w:bookmarkEnd w:id="5436"/>
      <w:bookmarkEnd w:id="5437"/>
    </w:p>
    <w:p w:rsidR="00F7606D" w:rsidRPr="0050146A" w:rsidRDefault="00F7606D" w:rsidP="00F7606D">
      <w:pPr>
        <w:pStyle w:val="a2"/>
        <w:rPr>
          <w:rtl/>
        </w:rPr>
      </w:pPr>
      <w:bookmarkStart w:id="5438" w:name="_Toc12895382"/>
      <w:bookmarkStart w:id="5439" w:name="_Toc12896267"/>
      <w:bookmarkStart w:id="5440" w:name="_Toc12896427"/>
      <w:r w:rsidRPr="0050146A">
        <w:rPr>
          <w:rFonts w:hint="cs"/>
          <w:rtl/>
        </w:rPr>
        <w:t>קושית הנחל"ד על רש"י בפסחים היאך ילפינן מגיעולי עכו"ם דבטע"כ נהפך ההיתר לאיסור</w:t>
      </w:r>
      <w:bookmarkEnd w:id="5438"/>
      <w:bookmarkEnd w:id="5439"/>
      <w:bookmarkEnd w:id="5440"/>
    </w:p>
    <w:p w:rsidR="002D7168" w:rsidRDefault="00F7606D" w:rsidP="009F44AF">
      <w:pPr>
        <w:pStyle w:val="a"/>
        <w:rPr>
          <w:rtl/>
        </w:rPr>
      </w:pPr>
      <w:bookmarkStart w:id="5441" w:name="_Ref12871854"/>
      <w:r w:rsidRPr="0050146A">
        <w:rPr>
          <w:rFonts w:hint="cs"/>
          <w:rtl/>
        </w:rPr>
        <w:t>הביא</w:t>
      </w:r>
      <w:r w:rsidRPr="0050146A">
        <w:rPr>
          <w:rtl/>
        </w:rPr>
        <w:t xml:space="preserve"> </w:t>
      </w:r>
      <w:r w:rsidRPr="0050146A">
        <w:rPr>
          <w:rStyle w:val="af8"/>
          <w:rtl/>
        </w:rPr>
        <w:t>הנחל"ד</w:t>
      </w:r>
      <w:r w:rsidRPr="0050146A">
        <w:rPr>
          <w:rtl/>
        </w:rPr>
        <w:t xml:space="preserve"> </w:t>
      </w:r>
      <w:r w:rsidRPr="0050146A">
        <w:rPr>
          <w:rStyle w:val="af6"/>
          <w:rFonts w:eastAsia="Guttman Hodes"/>
          <w:rtl/>
        </w:rPr>
        <w:t>(פסחים מג:, קונ' דברי דוד [מהדו' חד' עמ' קל"</w:t>
      </w:r>
      <w:r w:rsidRPr="0050146A">
        <w:rPr>
          <w:rStyle w:val="af6"/>
          <w:rFonts w:eastAsia="Guttman Hodes" w:hint="cs"/>
          <w:rtl/>
        </w:rPr>
        <w:t>ג</w:t>
      </w:r>
      <w:r w:rsidRPr="0050146A">
        <w:rPr>
          <w:rStyle w:val="af6"/>
          <w:rFonts w:eastAsia="Guttman Hodes"/>
          <w:rtl/>
        </w:rPr>
        <w:t xml:space="preserve">] ד"ה </w:t>
      </w:r>
      <w:r w:rsidRPr="0050146A">
        <w:rPr>
          <w:rStyle w:val="af6"/>
          <w:rFonts w:eastAsia="Guttman Hodes" w:hint="cs"/>
          <w:rtl/>
        </w:rPr>
        <w:t xml:space="preserve">והא דאמר) </w:t>
      </w:r>
      <w:r w:rsidRPr="0050146A">
        <w:rPr>
          <w:rFonts w:hint="cs"/>
          <w:rtl/>
        </w:rPr>
        <w:t xml:space="preserve">את דברי </w:t>
      </w:r>
      <w:r w:rsidRPr="0050146A">
        <w:rPr>
          <w:rStyle w:val="af8"/>
          <w:rFonts w:hint="cs"/>
          <w:rtl/>
        </w:rPr>
        <w:t>רש"י בפסחים</w:t>
      </w:r>
      <w:r w:rsidRPr="0050146A">
        <w:rPr>
          <w:rFonts w:hint="cs"/>
          <w:rtl/>
        </w:rPr>
        <w:t xml:space="preserve"> </w:t>
      </w:r>
      <w:r w:rsidRPr="0050146A">
        <w:rPr>
          <w:rStyle w:val="af6"/>
          <w:rFonts w:eastAsia="Guttman Hodes" w:hint="cs"/>
          <w:rtl/>
        </w:rPr>
        <w:t xml:space="preserve">(מד: ד"ה מפת) </w:t>
      </w:r>
      <w:r w:rsidRPr="0050146A">
        <w:rPr>
          <w:rFonts w:hint="cs"/>
          <w:rtl/>
        </w:rPr>
        <w:t xml:space="preserve">דכתב בדעת ר"ע דיליף מגיעולי עכו"ם דטעם כעיקר דאו', דהגדר הוא דנהפך ההיתר להיות איסור, והקשה </w:t>
      </w:r>
      <w:r w:rsidRPr="0050146A">
        <w:rPr>
          <w:rStyle w:val="af8"/>
          <w:rFonts w:hint="cs"/>
          <w:rtl/>
        </w:rPr>
        <w:t>הנחל"ד</w:t>
      </w:r>
      <w:r w:rsidRPr="0050146A">
        <w:rPr>
          <w:rFonts w:hint="cs"/>
          <w:rtl/>
        </w:rPr>
        <w:t xml:space="preserve"> דהא בגיעולי עכו"ם מצינו רק שהקפידה התורה על איסור הטעם, אך לא מצינו דההיתר נהפך להיות איסור, והאיך יליפינן מגיעולי עכו"ם לדין נהפך.</w:t>
      </w:r>
      <w:bookmarkEnd w:id="5441"/>
    </w:p>
    <w:p w:rsidR="00F7606D" w:rsidRPr="0050146A" w:rsidRDefault="00F7606D" w:rsidP="00F7606D">
      <w:pPr>
        <w:pStyle w:val="a2"/>
        <w:rPr>
          <w:rtl/>
        </w:rPr>
      </w:pPr>
      <w:bookmarkStart w:id="5442" w:name="_Toc12895383"/>
      <w:bookmarkStart w:id="5443" w:name="_Toc12896268"/>
      <w:bookmarkStart w:id="5444" w:name="_Toc12896428"/>
      <w:r w:rsidRPr="0050146A">
        <w:rPr>
          <w:rFonts w:hint="cs"/>
          <w:rtl/>
        </w:rPr>
        <w:t>דברי הנחל"ד דלרש"י א"א לומר דהטעם אסור מדאו' בלא גיעולי עכו"ם דהא פסק דטע"כ דרבנן</w:t>
      </w:r>
      <w:bookmarkEnd w:id="5442"/>
      <w:bookmarkEnd w:id="5443"/>
      <w:bookmarkEnd w:id="5444"/>
    </w:p>
    <w:p w:rsidR="00F7606D" w:rsidRPr="0050146A" w:rsidRDefault="00F7606D" w:rsidP="009F44AF">
      <w:pPr>
        <w:pStyle w:val="a"/>
        <w:rPr>
          <w:rtl/>
        </w:rPr>
      </w:pPr>
      <w:r w:rsidRPr="0050146A">
        <w:rPr>
          <w:rFonts w:hint="cs"/>
          <w:rtl/>
        </w:rPr>
        <w:t xml:space="preserve">וכתב </w:t>
      </w:r>
      <w:r w:rsidRPr="0050146A">
        <w:rPr>
          <w:rStyle w:val="af8"/>
          <w:rFonts w:hint="cs"/>
          <w:rtl/>
        </w:rPr>
        <w:t>הנחל"ד</w:t>
      </w:r>
      <w:r w:rsidRPr="0050146A">
        <w:rPr>
          <w:rFonts w:hint="cs"/>
          <w:rtl/>
        </w:rPr>
        <w:t xml:space="preserve"> דא"א לומר דלאיסור של הטעם עצמו א"צ ילפותא מגיעולי עכו"ם, דהוא אסור מסברא, או מילפותא דהטמאים, וא"כ כל הילפותא מגיעולי עכו"ם נצרכת רק לחדש דההיתר נהפך לאיסור, דהרי כיון דפסק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Ref12390306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כמ"ד דטעם כעיקר דרבנן, א"כ מבואר דס"ל </w:t>
      </w:r>
      <w:r w:rsidRPr="0050146A">
        <w:rPr>
          <w:rStyle w:val="af8"/>
          <w:rFonts w:hint="cs"/>
          <w:rtl/>
        </w:rPr>
        <w:t>לרש"י</w:t>
      </w:r>
      <w:r w:rsidRPr="0050146A">
        <w:rPr>
          <w:rFonts w:hint="cs"/>
          <w:rtl/>
        </w:rPr>
        <w:t xml:space="preserve"> דלמ"ד דלא ילפינן ממשרת או מגיעולי עכו"ם, מדאו' אין כל איסור בטעם עצמו, דבטעם עצמו מהני ביטול ברוב, </w:t>
      </w:r>
      <w:r w:rsidRPr="0050146A">
        <w:rPr>
          <w:rStyle w:val="afa"/>
          <w:rFonts w:hint="cs"/>
          <w:rtl/>
        </w:rPr>
        <w:t xml:space="preserve">[כדביאר </w:t>
      </w:r>
      <w:r w:rsidRPr="0050146A">
        <w:rPr>
          <w:rStyle w:val="affa"/>
          <w:rFonts w:hint="cs"/>
          <w:rtl/>
        </w:rPr>
        <w:t>הנחל"ד</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Ref12894881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צב)</w:t>
      </w:r>
      <w:r w:rsidRPr="0050146A">
        <w:rPr>
          <w:rStyle w:val="aff6"/>
          <w:rtl/>
        </w:rPr>
        <w:fldChar w:fldCharType="end"/>
      </w:r>
      <w:r w:rsidRPr="0050146A">
        <w:rPr>
          <w:rStyle w:val="afa"/>
          <w:rFonts w:hint="cs"/>
          <w:rtl/>
        </w:rPr>
        <w:t>],</w:t>
      </w:r>
      <w:r w:rsidRPr="0050146A">
        <w:rPr>
          <w:rFonts w:hint="cs"/>
          <w:rtl/>
        </w:rPr>
        <w:t xml:space="preserve"> וכל האיסור בטעם כעיקר </w:t>
      </w:r>
      <w:r w:rsidRPr="0050146A">
        <w:rPr>
          <w:rFonts w:hint="cs"/>
          <w:rtl/>
        </w:rPr>
        <w:lastRenderedPageBreak/>
        <w:t xml:space="preserve">הוא רק מדרבנן. </w:t>
      </w:r>
      <w:r w:rsidRPr="0050146A">
        <w:rPr>
          <w:rStyle w:val="afa"/>
          <w:rFonts w:hint="cs"/>
          <w:rtl/>
        </w:rPr>
        <w:t xml:space="preserve">[והוסיף </w:t>
      </w:r>
      <w:r w:rsidRPr="0050146A">
        <w:rPr>
          <w:rStyle w:val="affa"/>
          <w:rFonts w:hint="cs"/>
          <w:rtl/>
        </w:rPr>
        <w:t xml:space="preserve">הנחל"ד </w:t>
      </w:r>
      <w:r w:rsidRPr="0050146A">
        <w:rPr>
          <w:rStyle w:val="afa"/>
          <w:rFonts w:hint="cs"/>
          <w:rtl/>
        </w:rPr>
        <w:t>דהרי הילפותא מגיעולי עכו"ם אינה מיותרת, וא"א לומר דבאה לחדש דין נהפך].</w:t>
      </w:r>
    </w:p>
    <w:p w:rsidR="00F7606D" w:rsidRPr="0050146A" w:rsidRDefault="00F7606D" w:rsidP="00F7606D">
      <w:pPr>
        <w:pStyle w:val="a2"/>
        <w:rPr>
          <w:rtl/>
        </w:rPr>
      </w:pPr>
      <w:bookmarkStart w:id="5445" w:name="_Toc12895384"/>
      <w:bookmarkStart w:id="5446" w:name="_Toc12896269"/>
      <w:bookmarkStart w:id="5447" w:name="_Toc12896429"/>
      <w:r w:rsidRPr="0050146A">
        <w:rPr>
          <w:rFonts w:hint="cs"/>
          <w:rtl/>
        </w:rPr>
        <w:t>ביאור הנחל"ד ברש"י דלמ"ד טע"כ דאו' אין סברא מדאו' לאסור טעם באכילת היתר דאין בו ממש</w:t>
      </w:r>
      <w:bookmarkEnd w:id="5445"/>
      <w:bookmarkEnd w:id="5446"/>
      <w:bookmarkEnd w:id="5447"/>
    </w:p>
    <w:p w:rsidR="00F7606D" w:rsidRPr="0050146A" w:rsidRDefault="00F7606D" w:rsidP="009F44AF">
      <w:pPr>
        <w:pStyle w:val="a"/>
        <w:rPr>
          <w:rtl/>
        </w:rPr>
      </w:pPr>
      <w:r w:rsidRPr="0050146A">
        <w:rPr>
          <w:rFonts w:hint="cs"/>
          <w:rtl/>
        </w:rPr>
        <w:t xml:space="preserve">ותירץ </w:t>
      </w:r>
      <w:r w:rsidRPr="0050146A">
        <w:rPr>
          <w:rStyle w:val="af8"/>
          <w:rFonts w:hint="cs"/>
          <w:rtl/>
        </w:rPr>
        <w:t>הנחל"ד</w:t>
      </w:r>
      <w:r w:rsidRPr="0050146A">
        <w:rPr>
          <w:rFonts w:hint="cs"/>
          <w:rtl/>
        </w:rPr>
        <w:t xml:space="preserve"> </w:t>
      </w:r>
      <w:r w:rsidRPr="0050146A">
        <w:rPr>
          <w:rStyle w:val="af6"/>
          <w:rFonts w:eastAsia="Guttman Hodes"/>
          <w:rtl/>
        </w:rPr>
        <w:t>(פסחים מג:, קונ' דברי דוד [מהדו' חד' עמ' קל"</w:t>
      </w:r>
      <w:r w:rsidRPr="0050146A">
        <w:rPr>
          <w:rStyle w:val="af6"/>
          <w:rFonts w:eastAsia="Guttman Hodes" w:hint="cs"/>
          <w:rtl/>
        </w:rPr>
        <w:t>ג</w:t>
      </w:r>
      <w:r w:rsidRPr="0050146A">
        <w:rPr>
          <w:rStyle w:val="af6"/>
          <w:rFonts w:eastAsia="Guttman Hodes"/>
          <w:rtl/>
        </w:rPr>
        <w:t>] ד"ה</w:t>
      </w:r>
      <w:r w:rsidRPr="0050146A">
        <w:rPr>
          <w:rStyle w:val="af6"/>
          <w:rFonts w:eastAsia="Guttman Hodes" w:hint="cs"/>
          <w:rtl/>
        </w:rPr>
        <w:t xml:space="preserve"> ונראה דע"כ) </w:t>
      </w:r>
      <w:r w:rsidRPr="0050146A">
        <w:rPr>
          <w:rFonts w:hint="cs"/>
          <w:rtl/>
        </w:rPr>
        <w:t>דלמ"ד דילפינן דטעם כעיקר דאו', סבירא ליה דאין כל סברא לאסור את הטעם עצמו מדאו', דכיון שהוא דבר שאין בו ממש, דמי לקול מראה וריח דאין בהם מעילה כיון שאין בהם ממש, ואף שבמעילה יש בהם איסור זהו מדין איסורי הנאה, אבל באיסורי אכילה לא שייך לאסור בדבר שאין בו ממש, וכ"מ שאפשר לאוכלו הוא ע"י ההיתר.</w:t>
      </w:r>
    </w:p>
    <w:p w:rsidR="00F7606D" w:rsidRPr="0050146A" w:rsidRDefault="00F7606D" w:rsidP="00F7606D">
      <w:pPr>
        <w:pStyle w:val="a2"/>
      </w:pPr>
      <w:bookmarkStart w:id="5448" w:name="_Toc12895385"/>
      <w:bookmarkStart w:id="5449" w:name="_Toc12896270"/>
      <w:bookmarkStart w:id="5450" w:name="_Toc12896430"/>
      <w:r w:rsidRPr="0050146A">
        <w:rPr>
          <w:rFonts w:hint="cs"/>
          <w:rtl/>
        </w:rPr>
        <w:t>ביאור הנחל"ד ברש"י בפסחים דלמ"ד טע"כ דאו' האיסור בטעם הוא רק כיון שנהפך ההיתר לאיסור</w:t>
      </w:r>
      <w:bookmarkEnd w:id="5448"/>
      <w:bookmarkEnd w:id="5449"/>
      <w:bookmarkEnd w:id="5450"/>
    </w:p>
    <w:p w:rsidR="00F7606D" w:rsidRPr="0050146A" w:rsidRDefault="00F7606D" w:rsidP="009F44AF">
      <w:pPr>
        <w:pStyle w:val="a"/>
        <w:rPr>
          <w:rtl/>
        </w:rPr>
      </w:pPr>
      <w:r w:rsidRPr="0050146A">
        <w:rPr>
          <w:rFonts w:hint="cs"/>
          <w:rtl/>
        </w:rPr>
        <w:t xml:space="preserve">וכתב </w:t>
      </w:r>
      <w:r w:rsidRPr="0050146A">
        <w:rPr>
          <w:rStyle w:val="af8"/>
          <w:rFonts w:hint="cs"/>
          <w:rtl/>
        </w:rPr>
        <w:t>הנחל"ד</w:t>
      </w:r>
      <w:r w:rsidRPr="0050146A">
        <w:rPr>
          <w:rFonts w:hint="cs"/>
          <w:rtl/>
        </w:rPr>
        <w:t xml:space="preserve"> דלכן ביאר </w:t>
      </w:r>
      <w:r w:rsidRPr="0050146A">
        <w:rPr>
          <w:rStyle w:val="af8"/>
          <w:rFonts w:hint="cs"/>
          <w:rtl/>
        </w:rPr>
        <w:t>רש"י בפסחים</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Ref12871854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50146A">
        <w:rPr>
          <w:rStyle w:val="af6"/>
          <w:rFonts w:eastAsia="Guttman Hodes"/>
          <w:rtl/>
        </w:rPr>
        <w:fldChar w:fldCharType="end"/>
      </w:r>
      <w:r w:rsidRPr="0050146A">
        <w:rPr>
          <w:rFonts w:hint="cs"/>
          <w:rtl/>
        </w:rPr>
        <w:t xml:space="preserve"> דלמ"ד דילפינן דטעם כעיקר דאו', ס"ל דכיון דמצאנו בגיעולי עכו"ם ובמשרת דאסרה תורה את הטעם כעיקר, א"כ מוכח דגדר האיסור הוא דנהפך ההיתר להיות איסור, וממילא יש בו ממשו של איסור, ולכן אסרתו תורה באכילה, וכתב </w:t>
      </w:r>
      <w:r w:rsidRPr="0050146A">
        <w:rPr>
          <w:rStyle w:val="af8"/>
          <w:rFonts w:hint="cs"/>
          <w:rtl/>
        </w:rPr>
        <w:t>הנחל"ד</w:t>
      </w:r>
      <w:r w:rsidRPr="0050146A">
        <w:rPr>
          <w:rFonts w:hint="cs"/>
          <w:rtl/>
        </w:rPr>
        <w:t xml:space="preserve"> דכן צריך לבאר לכל הראשונים דס"ל דהגדר בטעם כעיקר הוא דנהפך ההיתר להיות איסור.</w:t>
      </w:r>
    </w:p>
    <w:p w:rsidR="00F7606D" w:rsidRPr="0050146A" w:rsidRDefault="00F7606D" w:rsidP="00F7606D">
      <w:pPr>
        <w:pStyle w:val="1"/>
        <w:rPr>
          <w:rtl/>
        </w:rPr>
      </w:pPr>
      <w:bookmarkStart w:id="5451" w:name="_Toc12895386"/>
      <w:bookmarkStart w:id="5452" w:name="_Toc12896271"/>
      <w:bookmarkStart w:id="5453" w:name="_Toc12896431"/>
      <w:bookmarkStart w:id="5454" w:name="_Toc12872106"/>
      <w:bookmarkEnd w:id="5384"/>
      <w:bookmarkEnd w:id="5385"/>
      <w:bookmarkEnd w:id="5409"/>
      <w:r w:rsidRPr="0050146A">
        <w:rPr>
          <w:rFonts w:hint="cs"/>
          <w:rtl/>
        </w:rPr>
        <w:t>דברי המהרי"ק ברש"י דלאביי לולי משרת הטעם מותר מדאו'</w:t>
      </w:r>
      <w:bookmarkEnd w:id="5451"/>
      <w:bookmarkEnd w:id="5452"/>
      <w:bookmarkEnd w:id="5453"/>
    </w:p>
    <w:p w:rsidR="00F7606D" w:rsidRPr="0050146A" w:rsidRDefault="00F7606D" w:rsidP="00F7606D">
      <w:pPr>
        <w:pStyle w:val="a2"/>
        <w:rPr>
          <w:rtl/>
        </w:rPr>
      </w:pPr>
      <w:bookmarkStart w:id="5455" w:name="_Toc12895387"/>
      <w:bookmarkStart w:id="5456" w:name="_Toc12896272"/>
      <w:bookmarkStart w:id="5457" w:name="_Toc12896432"/>
      <w:r w:rsidRPr="0050146A">
        <w:rPr>
          <w:rFonts w:hint="cs"/>
          <w:rtl/>
        </w:rPr>
        <w:t>דברי המהרי"ק ברש"י דלאביי טע"כ דאו' ולולי הילפותא מזרוע בשלה מהני בטעם ביטול ברוב</w:t>
      </w:r>
      <w:bookmarkEnd w:id="5455"/>
      <w:bookmarkEnd w:id="5456"/>
      <w:bookmarkEnd w:id="5457"/>
    </w:p>
    <w:p w:rsidR="00F7606D" w:rsidRPr="0050146A" w:rsidRDefault="00F7606D" w:rsidP="009F44AF">
      <w:pPr>
        <w:pStyle w:val="a"/>
        <w:rPr>
          <w:rtl/>
        </w:rPr>
      </w:pPr>
      <w:bookmarkStart w:id="5458" w:name="_Ref12890755"/>
      <w:r w:rsidRPr="0050146A">
        <w:rPr>
          <w:rFonts w:hint="cs"/>
          <w:rtl/>
        </w:rPr>
        <w:t xml:space="preserve">כתב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(שורש קמ"ד ד"ה ואשר דקדקת) </w:t>
      </w:r>
      <w:r w:rsidRPr="0050146A">
        <w:rPr>
          <w:rFonts w:hint="cs"/>
          <w:rtl/>
        </w:rPr>
        <w:t xml:space="preserve">דס"ל </w:t>
      </w:r>
      <w:r w:rsidRPr="0050146A">
        <w:rPr>
          <w:rStyle w:val="af8"/>
          <w:rFonts w:hint="cs"/>
          <w:rtl/>
        </w:rPr>
        <w:t>לרש"י</w:t>
      </w:r>
      <w:r w:rsidRPr="0050146A">
        <w:rPr>
          <w:rFonts w:hint="cs"/>
          <w:rtl/>
        </w:rPr>
        <w:t xml:space="preserve"> דלדעת אביי טעם כעיקר דאו', והילפותא מזרוע בשלה לדין שישים היא ילפותא גמורה, והביא </w:t>
      </w:r>
      <w:r w:rsidRPr="0050146A">
        <w:rPr>
          <w:rStyle w:val="af8"/>
          <w:rFonts w:hint="cs"/>
          <w:rtl/>
        </w:rPr>
        <w:t>המהרי"ק</w:t>
      </w:r>
      <w:r w:rsidRPr="0050146A">
        <w:rPr>
          <w:rFonts w:hint="cs"/>
          <w:rtl/>
        </w:rPr>
        <w:t xml:space="preserve"> דבדברי אביי 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דמדאו') </w:t>
      </w:r>
      <w:r w:rsidRPr="0050146A">
        <w:rPr>
          <w:rFonts w:hint="cs"/>
          <w:rtl/>
        </w:rPr>
        <w:t xml:space="preserve">דאי לא ילפינן מזרוע בשלה היה מהני ביטול ברוב ככל ביטול דאו', וכדילפינן מאחרי רבים להטות, וכתב </w:t>
      </w:r>
      <w:r w:rsidRPr="0050146A">
        <w:rPr>
          <w:rStyle w:val="af8"/>
          <w:rFonts w:hint="cs"/>
          <w:rtl/>
        </w:rPr>
        <w:t>המהרי"ק</w:t>
      </w:r>
      <w:r w:rsidRPr="0050146A">
        <w:rPr>
          <w:rFonts w:hint="cs"/>
          <w:rtl/>
        </w:rPr>
        <w:t xml:space="preserve"> דמבואר </w:t>
      </w:r>
      <w:r w:rsidRPr="0050146A">
        <w:rPr>
          <w:rStyle w:val="af8"/>
          <w:rFonts w:hint="cs"/>
          <w:rtl/>
        </w:rPr>
        <w:t>ברש"י</w:t>
      </w:r>
      <w:r w:rsidRPr="0050146A">
        <w:rPr>
          <w:rFonts w:hint="cs"/>
          <w:rtl/>
        </w:rPr>
        <w:t xml:space="preserve"> דלדעת אביי אחר הילפותא מזרוע בשלה, לא ילפינן מאחרי רבים להטות לדין הטעם דאינו מתבטל ברוב, דהא ילפינן מזרוע בשלה שצריך שישים, ועי' במה שביאר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Ref12890807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50146A">
        <w:rPr>
          <w:rStyle w:val="af6"/>
          <w:rFonts w:eastAsia="Guttman Hodes"/>
          <w:rtl/>
        </w:rPr>
        <w:fldChar w:fldCharType="end"/>
      </w:r>
      <w:r w:rsidRPr="0050146A">
        <w:rPr>
          <w:rFonts w:hint="cs"/>
          <w:rtl/>
        </w:rPr>
        <w:t xml:space="preserve"> בביאור </w:t>
      </w:r>
      <w:r w:rsidRPr="0050146A">
        <w:rPr>
          <w:rStyle w:val="af8"/>
          <w:rFonts w:hint="cs"/>
          <w:rtl/>
        </w:rPr>
        <w:t>רש"י</w:t>
      </w:r>
      <w:r w:rsidRPr="0050146A">
        <w:rPr>
          <w:rFonts w:hint="cs"/>
          <w:rtl/>
        </w:rPr>
        <w:t xml:space="preserve"> בדעת רבא דטעם כעיקר דרבנן.</w:t>
      </w:r>
      <w:bookmarkEnd w:id="5458"/>
      <w:r w:rsidRPr="0050146A">
        <w:rPr>
          <w:rFonts w:hint="cs"/>
          <w:rtl/>
        </w:rPr>
        <w:t xml:space="preserve"> </w:t>
      </w:r>
    </w:p>
    <w:p w:rsidR="00F7606D" w:rsidRPr="0050146A" w:rsidRDefault="00F7606D" w:rsidP="00F7606D">
      <w:pPr>
        <w:pStyle w:val="a2"/>
        <w:rPr>
          <w:rtl/>
        </w:rPr>
      </w:pPr>
      <w:bookmarkStart w:id="5459" w:name="_Toc12895388"/>
      <w:bookmarkStart w:id="5460" w:name="_Toc12896273"/>
      <w:bookmarkStart w:id="5461" w:name="_Toc12896433"/>
      <w:r w:rsidRPr="0050146A">
        <w:rPr>
          <w:rFonts w:hint="cs"/>
          <w:rtl/>
        </w:rPr>
        <w:t>ביאור המהרי"ק ברש"י דלמ"ד טע"כ דאו' לולי הילפותא ממשרת הו"א דלא אסרה תורה טעם כלל</w:t>
      </w:r>
      <w:bookmarkEnd w:id="5459"/>
      <w:bookmarkEnd w:id="5460"/>
      <w:bookmarkEnd w:id="5461"/>
      <w:r w:rsidRPr="0050146A">
        <w:rPr>
          <w:rFonts w:hint="cs"/>
          <w:rtl/>
        </w:rPr>
        <w:t xml:space="preserve"> </w:t>
      </w:r>
    </w:p>
    <w:p w:rsidR="002D7168" w:rsidRDefault="00F7606D" w:rsidP="009F44AF">
      <w:pPr>
        <w:pStyle w:val="a"/>
        <w:rPr>
          <w:rtl/>
        </w:rPr>
      </w:pPr>
      <w:r w:rsidRPr="0050146A">
        <w:rPr>
          <w:rFonts w:hint="cs"/>
          <w:rtl/>
        </w:rPr>
        <w:t xml:space="preserve">והוסיף </w:t>
      </w:r>
      <w:r w:rsidRPr="0050146A">
        <w:rPr>
          <w:rStyle w:val="af8"/>
          <w:rFonts w:hint="cs"/>
          <w:rtl/>
        </w:rPr>
        <w:t>המהרי"ק</w:t>
      </w:r>
      <w:r w:rsidRPr="0050146A">
        <w:rPr>
          <w:rFonts w:hint="cs"/>
          <w:rtl/>
        </w:rPr>
        <w:t xml:space="preserve"> </w:t>
      </w:r>
      <w:r w:rsidRPr="0050146A">
        <w:rPr>
          <w:rStyle w:val="af6"/>
          <w:rFonts w:eastAsia="Guttman Hodes" w:hint="cs"/>
          <w:rtl/>
        </w:rPr>
        <w:t>(שורש קמ"ד ד"ה ונחזור)</w:t>
      </w:r>
      <w:r w:rsidRPr="0050146A">
        <w:rPr>
          <w:rFonts w:hint="cs"/>
          <w:rtl/>
        </w:rPr>
        <w:t xml:space="preserve"> דלביאור </w:t>
      </w:r>
      <w:r w:rsidRPr="0050146A">
        <w:rPr>
          <w:rStyle w:val="af8"/>
          <w:rFonts w:hint="cs"/>
          <w:rtl/>
        </w:rPr>
        <w:t>רש"י</w:t>
      </w:r>
      <w:r w:rsidRPr="0050146A">
        <w:rPr>
          <w:rFonts w:hint="cs"/>
          <w:rtl/>
        </w:rPr>
        <w:t xml:space="preserve"> בדעת אביי דטעם כעיקר דאו', צריך גם את הילפותות דטעם כעיקר דאו' ממשרת ובשר בחלב וגיעולי עכו"ם, וגם את הילפותא מזרוע בשלה, וביאר </w:t>
      </w:r>
      <w:r w:rsidRPr="0050146A">
        <w:rPr>
          <w:rStyle w:val="af8"/>
          <w:rFonts w:hint="cs"/>
          <w:rtl/>
        </w:rPr>
        <w:t>המהרי"ק</w:t>
      </w:r>
      <w:r w:rsidRPr="0050146A">
        <w:rPr>
          <w:rFonts w:hint="cs"/>
          <w:rtl/>
        </w:rPr>
        <w:t xml:space="preserve"> דמזרוע בשלה א"א ללמוד את הדין דטעם בלא ממשו אסור מדאו', דהא זרוע בשלה הוא רק גילוי מילתא עד כמה מתפשט הטעם של האיסור, ועדיין היה אפש"ל דרק איסור בעין אסרה תורה, ולא אסרה תורה את הטעם כלל, ואחר דילפינן מבשר וחלב או ממשרת או מגיעולי עכו"ם דטעם כעיקר דאו', ואף כשהאיסור אינו בעין ורק טעמו לפנינו אסרתו תורה כממשו, אפשר ללמוד את שיעור שישים מזרוע בשלה, דהטעם מתפשט עד שישים.</w:t>
      </w:r>
    </w:p>
    <w:p w:rsidR="00331251" w:rsidRPr="00331251" w:rsidRDefault="00331251" w:rsidP="00331251">
      <w:pPr>
        <w:pStyle w:val="a2"/>
        <w:rPr>
          <w:rtl/>
        </w:rPr>
      </w:pPr>
    </w:p>
    <w:p w:rsidR="00F7606D" w:rsidRPr="0050146A" w:rsidRDefault="00F7606D" w:rsidP="00E669F8">
      <w:pPr>
        <w:pStyle w:val="afd"/>
        <w:rPr>
          <w:rtl/>
        </w:rPr>
      </w:pPr>
      <w:bookmarkStart w:id="5462" w:name="_Toc12895389"/>
      <w:bookmarkStart w:id="5463" w:name="_Toc12896274"/>
      <w:bookmarkStart w:id="5464" w:name="_Toc12896434"/>
      <w:r w:rsidRPr="0050146A">
        <w:rPr>
          <w:rFonts w:hint="cs"/>
          <w:rtl/>
        </w:rPr>
        <w:t>באיסור טעם וביטול ברוב בטע"כ דרבנן</w:t>
      </w:r>
      <w:bookmarkEnd w:id="5454"/>
      <w:bookmarkEnd w:id="5462"/>
      <w:bookmarkEnd w:id="5463"/>
      <w:bookmarkEnd w:id="5464"/>
    </w:p>
    <w:p w:rsidR="00F7606D" w:rsidRPr="0050146A" w:rsidRDefault="00F7606D" w:rsidP="00F7606D">
      <w:pPr>
        <w:pStyle w:val="1"/>
        <w:rPr>
          <w:rtl/>
        </w:rPr>
      </w:pPr>
      <w:bookmarkStart w:id="5465" w:name="_Toc12791837"/>
      <w:bookmarkStart w:id="5466" w:name="_Toc12826318"/>
      <w:bookmarkStart w:id="5467" w:name="_Toc12872107"/>
      <w:bookmarkStart w:id="5468" w:name="_Toc12895390"/>
      <w:bookmarkStart w:id="5469" w:name="_Toc12896275"/>
      <w:bookmarkStart w:id="5470" w:name="_Toc12896435"/>
      <w:r w:rsidRPr="0050146A">
        <w:rPr>
          <w:rFonts w:hint="cs"/>
          <w:rtl/>
        </w:rPr>
        <w:t>חקירת הגרעק"א</w:t>
      </w:r>
      <w:bookmarkEnd w:id="5386"/>
      <w:r w:rsidRPr="0050146A">
        <w:rPr>
          <w:rFonts w:hint="cs"/>
          <w:rtl/>
        </w:rPr>
        <w:t xml:space="preserve"> והחמד"ש</w:t>
      </w:r>
      <w:bookmarkEnd w:id="5387"/>
      <w:bookmarkEnd w:id="5465"/>
      <w:bookmarkEnd w:id="5466"/>
      <w:bookmarkEnd w:id="5467"/>
      <w:r w:rsidRPr="0050146A">
        <w:rPr>
          <w:rFonts w:hint="cs"/>
          <w:rtl/>
        </w:rPr>
        <w:t xml:space="preserve"> אי הטעם מותר מדאו' או בטל ברוב</w:t>
      </w:r>
      <w:bookmarkEnd w:id="5468"/>
      <w:bookmarkEnd w:id="5469"/>
      <w:bookmarkEnd w:id="5470"/>
    </w:p>
    <w:p w:rsidR="00F7606D" w:rsidRPr="0050146A" w:rsidRDefault="00F7606D" w:rsidP="00F7606D">
      <w:pPr>
        <w:pStyle w:val="a2"/>
        <w:rPr>
          <w:rtl/>
        </w:rPr>
      </w:pPr>
      <w:bookmarkStart w:id="5471" w:name="_Toc12895391"/>
      <w:bookmarkStart w:id="5472" w:name="_Toc12896276"/>
      <w:bookmarkStart w:id="5473" w:name="_Toc12896436"/>
      <w:r w:rsidRPr="0050146A">
        <w:rPr>
          <w:rFonts w:hint="cs"/>
          <w:rtl/>
        </w:rPr>
        <w:t>הצד הא' בגרעק"א דלמ"ד טע"כ דרבנן הטעם עצמו אסור מדין הטמאים ובטל ברוב</w:t>
      </w:r>
      <w:bookmarkEnd w:id="5471"/>
      <w:bookmarkEnd w:id="5472"/>
      <w:bookmarkEnd w:id="5473"/>
    </w:p>
    <w:p w:rsidR="00F7606D" w:rsidRPr="0050146A" w:rsidRDefault="00F7606D" w:rsidP="009F44AF">
      <w:pPr>
        <w:pStyle w:val="a"/>
        <w:rPr>
          <w:rtl/>
        </w:rPr>
      </w:pPr>
      <w:bookmarkStart w:id="5474" w:name="_Ref12782154"/>
      <w:r w:rsidRPr="0050146A">
        <w:rPr>
          <w:rFonts w:hint="cs"/>
          <w:rtl/>
        </w:rPr>
        <w:t xml:space="preserve">ביסוד דין טעם כעיקר, חקר </w:t>
      </w:r>
      <w:r w:rsidRPr="0050146A">
        <w:rPr>
          <w:rStyle w:val="af8"/>
          <w:rFonts w:hint="cs"/>
          <w:rtl/>
        </w:rPr>
        <w:t xml:space="preserve">הגרעק"א </w:t>
      </w:r>
      <w:r w:rsidRPr="0050146A">
        <w:rPr>
          <w:rStyle w:val="af6"/>
          <w:rFonts w:eastAsia="Guttman Hodes" w:hint="cs"/>
          <w:rtl/>
        </w:rPr>
        <w:t>(צז: במערכה אות ו')</w:t>
      </w:r>
      <w:r w:rsidRPr="0050146A">
        <w:rPr>
          <w:rFonts w:hint="cs"/>
          <w:rtl/>
        </w:rPr>
        <w:t xml:space="preserve"> למ"ד דטעם כעיקר דרבנן, אי מדאו' צריך רוב כנגד הטעם כפי שנראה מסברא, דהא אף דטעם כעיקר לאו דאו', מ"מ יש בהיתר את הציר של האיסור שהוא אסור מדאו', כדאיתא בגמ' לקמן </w:t>
      </w:r>
      <w:r w:rsidRPr="0050146A">
        <w:rPr>
          <w:rStyle w:val="af6"/>
          <w:rFonts w:eastAsia="Guttman Hodes" w:hint="cs"/>
          <w:rtl/>
        </w:rPr>
        <w:t>(קיב:)</w:t>
      </w:r>
      <w:r w:rsidRPr="0050146A">
        <w:rPr>
          <w:rFonts w:hint="cs"/>
          <w:rtl/>
        </w:rPr>
        <w:t xml:space="preserve"> דילפינן מדכתיב "הטמאים" לאסור את הציר והרוטב של האיסור, וא"כ אף מדאו' צריך רוב בכדי לבטל את הציר של האיסור.</w:t>
      </w:r>
      <w:bookmarkEnd w:id="5474"/>
    </w:p>
    <w:p w:rsidR="00F7606D" w:rsidRPr="0050146A" w:rsidRDefault="00F7606D" w:rsidP="00F7606D">
      <w:pPr>
        <w:pStyle w:val="a2"/>
        <w:rPr>
          <w:rtl/>
        </w:rPr>
      </w:pPr>
      <w:bookmarkStart w:id="5475" w:name="_Toc12895392"/>
      <w:bookmarkStart w:id="5476" w:name="_Toc12896277"/>
      <w:bookmarkStart w:id="5477" w:name="_Toc12896437"/>
      <w:r w:rsidRPr="0050146A">
        <w:rPr>
          <w:rFonts w:hint="cs"/>
          <w:rtl/>
        </w:rPr>
        <w:t>הצד הב' בגרעק"א דאסרה תורה ציר של איסור רק בעין ואף כשיש פחות מרוב כנגד הטעם מותר</w:t>
      </w:r>
      <w:bookmarkEnd w:id="5475"/>
      <w:bookmarkEnd w:id="5476"/>
      <w:bookmarkEnd w:id="5477"/>
    </w:p>
    <w:p w:rsidR="00F7606D" w:rsidRPr="0050146A" w:rsidRDefault="00F7606D" w:rsidP="009F44AF">
      <w:pPr>
        <w:pStyle w:val="a"/>
        <w:rPr>
          <w:rtl/>
        </w:rPr>
      </w:pPr>
      <w:r w:rsidRPr="0050146A">
        <w:rPr>
          <w:rFonts w:hint="cs"/>
          <w:rtl/>
        </w:rPr>
        <w:t xml:space="preserve">והצד השני כתב </w:t>
      </w:r>
      <w:r w:rsidRPr="0050146A">
        <w:rPr>
          <w:rStyle w:val="af8"/>
          <w:rFonts w:hint="cs"/>
          <w:rtl/>
        </w:rPr>
        <w:t xml:space="preserve">הגרעק"א </w:t>
      </w:r>
      <w:r w:rsidRPr="0050146A">
        <w:rPr>
          <w:rFonts w:hint="cs"/>
          <w:rtl/>
        </w:rPr>
        <w:t xml:space="preserve">דאפש"ל דכ"מ שאסרה תורה את הציר של האיסור, הוא דוקא כשהוא בעין, , וכדכתב </w:t>
      </w:r>
      <w:r w:rsidRPr="0050146A">
        <w:rPr>
          <w:rStyle w:val="af8"/>
          <w:rFonts w:hint="cs"/>
          <w:rtl/>
        </w:rPr>
        <w:t xml:space="preserve">הרשב"א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Ref12464402 \n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50146A">
        <w:rPr>
          <w:rStyle w:val="af6"/>
          <w:rFonts w:eastAsia="Guttman Hodes"/>
          <w:rtl/>
        </w:rPr>
        <w:fldChar w:fldCharType="end"/>
      </w:r>
      <w:r w:rsidRPr="0050146A">
        <w:rPr>
          <w:rFonts w:hint="cs"/>
          <w:rtl/>
        </w:rPr>
        <w:t xml:space="preserve">, אבל כשהציר מעורב בתערובת לא אסרתה תורה, ואף במקום שיש פחות מרוב כנגדו מותר, ועי' במה שהקשה </w:t>
      </w:r>
      <w:r w:rsidRPr="0050146A">
        <w:rPr>
          <w:rStyle w:val="af8"/>
          <w:rFonts w:hint="cs"/>
          <w:rtl/>
        </w:rPr>
        <w:t>הראב"ד</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Ref12862796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סה)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למ"ד טעם כעיקר דאו', ובמ"ש </w:t>
      </w:r>
      <w:r w:rsidRPr="0050146A">
        <w:rPr>
          <w:rStyle w:val="af8"/>
          <w:rFonts w:hint="cs"/>
          <w:rtl/>
        </w:rPr>
        <w:t>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Ref12896046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50146A">
        <w:rPr>
          <w:rStyle w:val="af6"/>
          <w:rFonts w:eastAsia="Guttman Hodes"/>
          <w:rtl/>
        </w:rPr>
        <w:fldChar w:fldCharType="end"/>
      </w:r>
      <w:r w:rsidRPr="0050146A">
        <w:rPr>
          <w:rFonts w:hint="cs"/>
          <w:rtl/>
        </w:rPr>
        <w:t>.</w:t>
      </w:r>
    </w:p>
    <w:p w:rsidR="00F7606D" w:rsidRPr="0050146A" w:rsidRDefault="00F7606D" w:rsidP="00F7606D">
      <w:pPr>
        <w:pStyle w:val="a2"/>
        <w:rPr>
          <w:rtl/>
        </w:rPr>
      </w:pPr>
      <w:bookmarkStart w:id="5478" w:name="_Toc12895393"/>
      <w:bookmarkStart w:id="5479" w:name="_Toc12896278"/>
      <w:bookmarkStart w:id="5480" w:name="_Toc12896438"/>
      <w:r w:rsidRPr="0050146A">
        <w:rPr>
          <w:rFonts w:hint="cs"/>
          <w:rtl/>
        </w:rPr>
        <w:t>חקירת החמד"ש אי מדאו' צריך רוב כנגד הטעם או דאינו כלום דאינו ממשו של האיסור</w:t>
      </w:r>
      <w:bookmarkEnd w:id="5478"/>
      <w:bookmarkEnd w:id="5479"/>
      <w:bookmarkEnd w:id="5480"/>
    </w:p>
    <w:p w:rsidR="00F7606D" w:rsidRDefault="00F7606D" w:rsidP="009F44AF">
      <w:pPr>
        <w:pStyle w:val="a"/>
        <w:rPr>
          <w:rStyle w:val="afa"/>
          <w:rtl/>
        </w:rPr>
      </w:pPr>
      <w:bookmarkStart w:id="5481" w:name="_Ref12782162"/>
      <w:r w:rsidRPr="0050146A">
        <w:rPr>
          <w:rFonts w:hint="cs"/>
          <w:rtl/>
        </w:rPr>
        <w:t xml:space="preserve">וכעי"ז חקר </w:t>
      </w:r>
      <w:r w:rsidRPr="0050146A">
        <w:rPr>
          <w:rStyle w:val="af8"/>
          <w:rFonts w:hint="cs"/>
          <w:rtl/>
        </w:rPr>
        <w:t xml:space="preserve">החמד"ש </w:t>
      </w:r>
      <w:r w:rsidRPr="0050146A">
        <w:rPr>
          <w:rStyle w:val="af6"/>
          <w:rFonts w:eastAsia="Guttman Hodes" w:hint="cs"/>
          <w:rtl/>
        </w:rPr>
        <w:t>(שו"ת יו"ד סי' י"ג)</w:t>
      </w:r>
      <w:r w:rsidRPr="0050146A">
        <w:rPr>
          <w:rFonts w:hint="cs"/>
          <w:rtl/>
        </w:rPr>
        <w:t xml:space="preserve"> בדעת המ"ד דטעם כעיקר דרבנן, האם מדאו' מהני ביטול בטעם, וא"כ צריך רוב כנגד הטעם, או דהטעם אינו כלום, דכיון שאינו אוכל את ממשו של האיסור, מותר מדאו' אף בלא ביטול.</w:t>
      </w:r>
      <w:bookmarkEnd w:id="5481"/>
      <w:r w:rsidRPr="0050146A">
        <w:rPr>
          <w:rFonts w:hint="cs"/>
          <w:rtl/>
        </w:rPr>
        <w:t xml:space="preserve"> </w:t>
      </w:r>
      <w:r w:rsidRPr="0050146A">
        <w:rPr>
          <w:rStyle w:val="afa"/>
          <w:rFonts w:hint="cs"/>
          <w:rtl/>
        </w:rPr>
        <w:t xml:space="preserve">[ולא הזכיר </w:t>
      </w:r>
      <w:r w:rsidRPr="0050146A">
        <w:rPr>
          <w:rStyle w:val="affa"/>
          <w:rFonts w:hint="cs"/>
          <w:rtl/>
        </w:rPr>
        <w:t>החמד"ש</w:t>
      </w:r>
      <w:r w:rsidRPr="0050146A">
        <w:rPr>
          <w:rStyle w:val="afa"/>
          <w:rFonts w:hint="cs"/>
          <w:rtl/>
        </w:rPr>
        <w:t xml:space="preserve"> את ילפותא דהטמאים].</w:t>
      </w:r>
    </w:p>
    <w:p w:rsidR="00F7606D" w:rsidRPr="0050146A" w:rsidRDefault="00F7606D" w:rsidP="00E669F8">
      <w:pPr>
        <w:pStyle w:val="afd"/>
        <w:rPr>
          <w:rtl/>
        </w:rPr>
      </w:pPr>
      <w:bookmarkStart w:id="5482" w:name="_Toc12895394"/>
      <w:bookmarkStart w:id="5483" w:name="_Toc12896279"/>
      <w:bookmarkStart w:id="5484" w:name="_Toc12896439"/>
      <w:r w:rsidRPr="0050146A">
        <w:rPr>
          <w:rFonts w:hint="cs"/>
          <w:rtl/>
        </w:rPr>
        <w:t>בדברי רש"י דמדאו' בטל ברוב</w:t>
      </w:r>
      <w:bookmarkEnd w:id="5482"/>
      <w:bookmarkEnd w:id="5483"/>
      <w:bookmarkEnd w:id="5484"/>
    </w:p>
    <w:p w:rsidR="00F7606D" w:rsidRPr="0050146A" w:rsidRDefault="00F7606D" w:rsidP="00F7606D">
      <w:pPr>
        <w:pStyle w:val="a2"/>
      </w:pPr>
      <w:bookmarkStart w:id="5485" w:name="_Toc12895395"/>
      <w:bookmarkStart w:id="5486" w:name="_Toc12896280"/>
      <w:bookmarkStart w:id="5487" w:name="_Toc12896440"/>
      <w:bookmarkStart w:id="5488" w:name="_Toc12826319"/>
      <w:bookmarkStart w:id="5489" w:name="_Toc12872108"/>
      <w:r w:rsidRPr="0050146A">
        <w:rPr>
          <w:rFonts w:hint="cs"/>
          <w:rtl/>
        </w:rPr>
        <w:t>דברי רש"י דלרבא וריו"ח טעם כעיקר דרבנן ומדאו' מהני ביטול ברוב ולחומרא צריך שישים</w:t>
      </w:r>
      <w:bookmarkEnd w:id="5485"/>
      <w:bookmarkEnd w:id="5486"/>
      <w:bookmarkEnd w:id="5487"/>
    </w:p>
    <w:p w:rsidR="00F7606D" w:rsidRPr="0050146A" w:rsidRDefault="00F7606D" w:rsidP="009F44AF">
      <w:pPr>
        <w:pStyle w:val="a"/>
        <w:rPr>
          <w:rtl/>
        </w:rPr>
      </w:pPr>
      <w:bookmarkStart w:id="5490" w:name="_Ref12891179"/>
      <w:r w:rsidRPr="0050146A">
        <w:rPr>
          <w:rFonts w:hint="cs"/>
          <w:rtl/>
        </w:rPr>
        <w:t xml:space="preserve">והנה </w:t>
      </w:r>
      <w:r w:rsidRPr="0050146A">
        <w:rPr>
          <w:rStyle w:val="af8"/>
          <w:rFonts w:hint="cs"/>
          <w:rtl/>
        </w:rPr>
        <w:t>רש"י</w:t>
      </w:r>
      <w:r w:rsidRPr="0050146A">
        <w:rPr>
          <w:rFonts w:hint="cs"/>
          <w:rtl/>
        </w:rPr>
        <w:t xml:space="preserve"> </w:t>
      </w:r>
      <w:r w:rsidRPr="0050146A">
        <w:rPr>
          <w:rStyle w:val="af6"/>
          <w:rFonts w:eastAsia="Guttman Hodes" w:hint="cs"/>
          <w:rtl/>
        </w:rPr>
        <w:t xml:space="preserve">(ד"ה לטעם כעיקר) </w:t>
      </w:r>
      <w:r w:rsidRPr="0050146A">
        <w:rPr>
          <w:rFonts w:hint="cs"/>
          <w:rtl/>
        </w:rPr>
        <w:t>כתב דרבא ס"ל דבחולין טעם כעיקר אינו מדאו' אלא מדרבנן, דילפינן מזרוע בשלה את דין ביטול בשישים או במאה, דכיון דמדאו' הטעם בטל ברוב, מדין אחרי רבים להטות, א"כ אפשר ללמוד לחומרא מזרוע בשלה דאינו מתבטל אלא במאה ושישים.</w:t>
      </w:r>
      <w:bookmarkEnd w:id="5490"/>
    </w:p>
    <w:p w:rsidR="00F7606D" w:rsidRPr="0050146A" w:rsidRDefault="00F7606D" w:rsidP="00F7606D">
      <w:pPr>
        <w:pStyle w:val="1"/>
        <w:rPr>
          <w:rtl/>
        </w:rPr>
      </w:pPr>
      <w:bookmarkStart w:id="5491" w:name="_Toc12895396"/>
      <w:bookmarkStart w:id="5492" w:name="_Toc12896281"/>
      <w:bookmarkStart w:id="5493" w:name="_Toc12896441"/>
      <w:bookmarkStart w:id="5494" w:name="_Toc12615947"/>
      <w:bookmarkStart w:id="5495" w:name="_Toc12791845"/>
      <w:bookmarkStart w:id="5496" w:name="_Toc12826327"/>
      <w:bookmarkStart w:id="5497" w:name="_Toc12872116"/>
      <w:r w:rsidRPr="0050146A">
        <w:rPr>
          <w:rFonts w:hint="cs"/>
          <w:rtl/>
        </w:rPr>
        <w:t>ביאורי האחרונים ברש"י דמדאו' הטעם בטל ברוב</w:t>
      </w:r>
      <w:bookmarkEnd w:id="5491"/>
      <w:bookmarkEnd w:id="5492"/>
      <w:bookmarkEnd w:id="5493"/>
    </w:p>
    <w:p w:rsidR="00F7606D" w:rsidRPr="0050146A" w:rsidRDefault="00F7606D" w:rsidP="00F7606D">
      <w:pPr>
        <w:pStyle w:val="a2"/>
      </w:pPr>
      <w:bookmarkStart w:id="5498" w:name="_Toc12895397"/>
      <w:bookmarkStart w:id="5499" w:name="_Toc12896282"/>
      <w:bookmarkStart w:id="5500" w:name="_Toc12896442"/>
      <w:r w:rsidRPr="0050146A">
        <w:rPr>
          <w:rFonts w:hint="cs"/>
          <w:rtl/>
        </w:rPr>
        <w:t>דברי המהרי"ק ברש"י דלרבא דטע"כ דרבנן א"כ מדאו' אף בטעם יש ביטול ברוב דשישים דרבנן</w:t>
      </w:r>
      <w:bookmarkEnd w:id="5494"/>
      <w:bookmarkEnd w:id="5495"/>
      <w:bookmarkEnd w:id="5496"/>
      <w:bookmarkEnd w:id="5497"/>
      <w:bookmarkEnd w:id="5498"/>
      <w:bookmarkEnd w:id="5499"/>
      <w:bookmarkEnd w:id="5500"/>
    </w:p>
    <w:p w:rsidR="00F7606D" w:rsidRPr="0050146A" w:rsidRDefault="00F7606D" w:rsidP="009F44AF">
      <w:pPr>
        <w:pStyle w:val="a"/>
        <w:rPr>
          <w:rtl/>
        </w:rPr>
      </w:pPr>
      <w:bookmarkStart w:id="5501" w:name="_Ref12890807"/>
      <w:r w:rsidRPr="0050146A">
        <w:rPr>
          <w:rFonts w:hint="cs"/>
          <w:rtl/>
        </w:rPr>
        <w:t xml:space="preserve">וציין </w:t>
      </w:r>
      <w:r w:rsidRPr="0050146A">
        <w:rPr>
          <w:rStyle w:val="af8"/>
          <w:rFonts w:hint="cs"/>
          <w:rtl/>
        </w:rPr>
        <w:t>החמד"ש</w:t>
      </w:r>
      <w:r w:rsidRPr="0050146A">
        <w:rPr>
          <w:rFonts w:hint="cs"/>
          <w:rtl/>
        </w:rPr>
        <w:t xml:space="preserve"> לדברי </w:t>
      </w:r>
      <w:r w:rsidRPr="0050146A">
        <w:rPr>
          <w:rStyle w:val="af8"/>
          <w:rFonts w:hint="cs"/>
          <w:rtl/>
        </w:rPr>
        <w:t>המהרי"ק</w:t>
      </w:r>
      <w:r w:rsidRPr="0050146A">
        <w:rPr>
          <w:rFonts w:hint="cs"/>
          <w:rtl/>
        </w:rPr>
        <w:t xml:space="preserve"> </w:t>
      </w:r>
      <w:r w:rsidRPr="0050146A">
        <w:rPr>
          <w:rStyle w:val="af6"/>
          <w:rFonts w:eastAsia="Guttman Hodes" w:hint="cs"/>
          <w:rtl/>
        </w:rPr>
        <w:t xml:space="preserve">(שורש קמ"ד ד"ה ואשר דקדקת)  </w:t>
      </w:r>
      <w:r w:rsidRPr="0050146A">
        <w:rPr>
          <w:rFonts w:hint="cs"/>
          <w:rtl/>
        </w:rPr>
        <w:t xml:space="preserve">דכתב דכיון דכתב </w:t>
      </w:r>
      <w:r w:rsidRPr="0050146A">
        <w:rPr>
          <w:rStyle w:val="af8"/>
          <w:rFonts w:hint="cs"/>
          <w:rtl/>
        </w:rPr>
        <w:t>רש"י</w:t>
      </w:r>
      <w:r w:rsidRPr="0050146A">
        <w:rPr>
          <w:rFonts w:hint="cs"/>
          <w:rtl/>
        </w:rPr>
        <w:t xml:space="preserve"> דילפינן מאחרי רבים להטות, א"כ משמע דלדעת רבא מדאו' יש בטעם ביטול מדין אחרי רבים להטות, והילפותא מזרוע בשלה היא אסמכתא מדרבנן, דהחמירו להצריך שישים, וכתב </w:t>
      </w:r>
      <w:r w:rsidRPr="0050146A">
        <w:rPr>
          <w:rStyle w:val="af8"/>
          <w:rFonts w:hint="cs"/>
          <w:rtl/>
        </w:rPr>
        <w:t>המהרי"ק</w:t>
      </w:r>
      <w:r w:rsidRPr="0050146A">
        <w:rPr>
          <w:rFonts w:hint="cs"/>
          <w:rtl/>
        </w:rPr>
        <w:t xml:space="preserve"> דאי ס"ל </w:t>
      </w:r>
      <w:r w:rsidRPr="0050146A">
        <w:rPr>
          <w:rStyle w:val="af8"/>
          <w:rFonts w:hint="cs"/>
          <w:rtl/>
        </w:rPr>
        <w:t>לרש"י</w:t>
      </w:r>
      <w:r w:rsidRPr="0050146A">
        <w:rPr>
          <w:rFonts w:hint="cs"/>
          <w:rtl/>
        </w:rPr>
        <w:t xml:space="preserve"> דאף לדעת רבא לא ילפינן בטעם מדין אחרי רבים להטות, ומדינא אין ביטול ברוב, א"כ היה </w:t>
      </w:r>
      <w:r w:rsidRPr="0050146A">
        <w:rPr>
          <w:rStyle w:val="af8"/>
          <w:rFonts w:hint="cs"/>
          <w:rtl/>
        </w:rPr>
        <w:t>לרש"י</w:t>
      </w:r>
      <w:r w:rsidRPr="0050146A">
        <w:rPr>
          <w:rFonts w:hint="cs"/>
          <w:rtl/>
        </w:rPr>
        <w:t xml:space="preserve"> לבאר בדברי רבא כדביאר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Ref12890755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w:t>
      </w:r>
      <w:r w:rsidRPr="0050146A">
        <w:rPr>
          <w:rStyle w:val="af6"/>
          <w:rFonts w:eastAsia="Guttman Hodes"/>
          <w:rtl/>
        </w:rPr>
        <w:fldChar w:fldCharType="end"/>
      </w:r>
      <w:r w:rsidRPr="0050146A">
        <w:rPr>
          <w:rFonts w:hint="cs"/>
          <w:rtl/>
        </w:rPr>
        <w:t xml:space="preserve"> בדברי אביי, דרק לולי הילפותא מזרוע בשלה, היה מהני ביטול ברוב מדין אחרי רבים להטות, וע"ע בדברי </w:t>
      </w:r>
      <w:r w:rsidRPr="0050146A">
        <w:rPr>
          <w:rStyle w:val="af8"/>
          <w:rFonts w:hint="cs"/>
          <w:rtl/>
        </w:rPr>
        <w:t>ההמנחת כהן</w:t>
      </w:r>
      <w:r w:rsidRPr="0050146A">
        <w:rPr>
          <w:rFonts w:hint="cs"/>
          <w:rtl/>
        </w:rPr>
        <w:t xml:space="preserve"> </w:t>
      </w:r>
      <w:r w:rsidRPr="0050146A">
        <w:rPr>
          <w:rStyle w:val="af6"/>
          <w:rFonts w:eastAsia="Guttman Hodes" w:hint="cs"/>
          <w:rtl/>
        </w:rPr>
        <w:t>(ספר התערובות ח"א פ"ב ד"ה וראיתי שכתב)</w:t>
      </w:r>
      <w:r w:rsidRPr="0050146A">
        <w:rPr>
          <w:rFonts w:hint="cs"/>
          <w:rtl/>
        </w:rPr>
        <w:t xml:space="preserve">, ובדברי </w:t>
      </w:r>
      <w:r w:rsidRPr="0050146A">
        <w:rPr>
          <w:rStyle w:val="af8"/>
          <w:rFonts w:hint="cs"/>
          <w:rtl/>
        </w:rPr>
        <w:t>החמד"ש</w:t>
      </w:r>
      <w:r w:rsidRPr="0050146A">
        <w:rPr>
          <w:rFonts w:hint="cs"/>
          <w:rtl/>
        </w:rPr>
        <w:t xml:space="preserve"> </w:t>
      </w:r>
      <w:r w:rsidRPr="0050146A">
        <w:rPr>
          <w:rStyle w:val="af6"/>
          <w:rFonts w:eastAsia="Guttman Hodes" w:hint="cs"/>
          <w:rtl/>
        </w:rPr>
        <w:t>(שו"ת יו"ד סי' י"ד אות ט')</w:t>
      </w:r>
      <w:r w:rsidRPr="0050146A">
        <w:rPr>
          <w:rFonts w:hint="cs"/>
          <w:rtl/>
        </w:rPr>
        <w:t>.</w:t>
      </w:r>
      <w:bookmarkEnd w:id="5501"/>
    </w:p>
    <w:p w:rsidR="00F7606D" w:rsidRPr="0050146A" w:rsidRDefault="00F7606D" w:rsidP="00F7606D">
      <w:pPr>
        <w:pStyle w:val="a2"/>
        <w:rPr>
          <w:rtl/>
        </w:rPr>
      </w:pPr>
      <w:bookmarkStart w:id="5502" w:name="_Toc12895398"/>
      <w:bookmarkStart w:id="5503" w:name="_Toc12896283"/>
      <w:bookmarkStart w:id="5504" w:name="_Toc12896443"/>
      <w:r w:rsidRPr="0050146A">
        <w:rPr>
          <w:rFonts w:hint="cs"/>
          <w:rtl/>
        </w:rPr>
        <w:t>דברי הפרמ"ג דלרש"י מדאו' הטעם מותר ברוב והטמאים אוסר בעין וטע"כ אוסר בתערובת</w:t>
      </w:r>
      <w:bookmarkEnd w:id="5502"/>
      <w:bookmarkEnd w:id="5503"/>
      <w:bookmarkEnd w:id="5504"/>
    </w:p>
    <w:p w:rsidR="00CF5545" w:rsidRPr="0050146A" w:rsidRDefault="00F7606D" w:rsidP="009F44AF">
      <w:pPr>
        <w:pStyle w:val="a"/>
        <w:rPr>
          <w:rtl/>
        </w:rPr>
      </w:pPr>
      <w:bookmarkStart w:id="5505" w:name="_Ref12891021"/>
      <w:r w:rsidRPr="0050146A">
        <w:rPr>
          <w:rFonts w:hint="cs"/>
          <w:rtl/>
        </w:rPr>
        <w:t xml:space="preserve">כתב </w:t>
      </w:r>
      <w:r w:rsidRPr="0050146A">
        <w:rPr>
          <w:rStyle w:val="af8"/>
          <w:rFonts w:hint="cs"/>
          <w:rtl/>
        </w:rPr>
        <w:t>הפרמ"ג</w:t>
      </w:r>
      <w:r w:rsidRPr="0050146A">
        <w:rPr>
          <w:rFonts w:hint="cs"/>
          <w:rtl/>
        </w:rPr>
        <w:t xml:space="preserve"> </w:t>
      </w:r>
      <w:r w:rsidRPr="0050146A">
        <w:rPr>
          <w:rStyle w:val="af6"/>
          <w:rFonts w:eastAsia="Guttman Hodes" w:hint="cs"/>
          <w:rtl/>
        </w:rPr>
        <w:t xml:space="preserve">(פתיחה להל' פסח החלק הב' אות א' ד"ה השטה הא') </w:t>
      </w:r>
      <w:r w:rsidRPr="0050146A">
        <w:rPr>
          <w:rFonts w:hint="cs"/>
          <w:rtl/>
        </w:rPr>
        <w:t xml:space="preserve">דלדעת </w:t>
      </w:r>
      <w:r w:rsidRPr="0050146A">
        <w:rPr>
          <w:rStyle w:val="af8"/>
          <w:rFonts w:hint="cs"/>
          <w:rtl/>
        </w:rPr>
        <w:t>רש"י</w:t>
      </w:r>
      <w:r w:rsidRPr="0050146A">
        <w:rPr>
          <w:rFonts w:hint="cs"/>
          <w:rtl/>
        </w:rPr>
        <w:t xml:space="preserve"> דטעם כעיקר דרבנן, הטעם הוא המוהל שבלוע ומעורב בתוך ההיתר, ומדאו' הוא מותר כדילפינן מאחרי רבים להטות, אבל כשהטעם בפנ"ע הוא אסור מילפותא דהטמאים, וציין </w:t>
      </w:r>
      <w:r w:rsidRPr="0050146A">
        <w:rPr>
          <w:rStyle w:val="af8"/>
          <w:rFonts w:hint="cs"/>
          <w:rtl/>
        </w:rPr>
        <w:t>הפרמ"ג</w:t>
      </w:r>
      <w:r w:rsidRPr="0050146A">
        <w:rPr>
          <w:rFonts w:hint="cs"/>
          <w:rtl/>
        </w:rPr>
        <w:t xml:space="preserve"> לקושית </w:t>
      </w:r>
      <w:r w:rsidRPr="0050146A">
        <w:rPr>
          <w:rStyle w:val="af8"/>
          <w:rFonts w:hint="cs"/>
          <w:rtl/>
        </w:rPr>
        <w:t>התוס' לקמן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Ref12872121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50146A">
        <w:rPr>
          <w:rStyle w:val="af6"/>
          <w:rFonts w:eastAsia="Guttman Hodes"/>
          <w:rtl/>
        </w:rPr>
        <w:fldChar w:fldCharType="end"/>
      </w:r>
      <w:r w:rsidRPr="0050146A">
        <w:rPr>
          <w:rFonts w:hint="cs"/>
          <w:rtl/>
        </w:rPr>
        <w:t xml:space="preserve"> דאמאי צריך ילפותא דהטמאים לאסור את הציר והרוטב, הא ילפינן לה ממשרת דטעם כעיקר, ותירצו </w:t>
      </w:r>
      <w:r w:rsidRPr="0050146A">
        <w:rPr>
          <w:rStyle w:val="af8"/>
          <w:rFonts w:hint="cs"/>
          <w:rtl/>
        </w:rPr>
        <w:t>התוס' לקמן</w:t>
      </w:r>
      <w:r w:rsidRPr="0050146A">
        <w:rPr>
          <w:rFonts w:hint="cs"/>
          <w:rtl/>
        </w:rPr>
        <w:t xml:space="preserve"> דהילפותא דהטמאים היא לענין הציר ולא לענין הרוטב, וכתב </w:t>
      </w:r>
      <w:r w:rsidRPr="0050146A">
        <w:rPr>
          <w:rStyle w:val="af8"/>
          <w:rFonts w:hint="cs"/>
          <w:rtl/>
        </w:rPr>
        <w:t>הפרמ"ג</w:t>
      </w:r>
      <w:r w:rsidRPr="0050146A">
        <w:rPr>
          <w:rFonts w:hint="cs"/>
          <w:rtl/>
        </w:rPr>
        <w:t xml:space="preserve"> דלדברי </w:t>
      </w:r>
      <w:r w:rsidRPr="0050146A">
        <w:rPr>
          <w:rStyle w:val="af8"/>
          <w:rFonts w:hint="cs"/>
          <w:rtl/>
        </w:rPr>
        <w:t>רש"י</w:t>
      </w:r>
      <w:r w:rsidRPr="0050146A">
        <w:rPr>
          <w:rFonts w:hint="cs"/>
          <w:rtl/>
        </w:rPr>
        <w:t xml:space="preserve"> הילפותא היא כפשוטה, דהטמאים אוסר את הטעם כשהוא בעין, ואילו דין טעם כעיקר, </w:t>
      </w:r>
      <w:r w:rsidRPr="0050146A">
        <w:rPr>
          <w:rStyle w:val="afa"/>
          <w:rFonts w:hint="cs"/>
          <w:rtl/>
        </w:rPr>
        <w:t>[למ"ד דטעם כעיקר דאו' כדילפינן ממשרת],</w:t>
      </w:r>
      <w:r w:rsidRPr="0050146A">
        <w:rPr>
          <w:rFonts w:hint="cs"/>
          <w:rtl/>
        </w:rPr>
        <w:t xml:space="preserve"> נאמר לענין טעם המעורב בהיתר.</w:t>
      </w:r>
      <w:bookmarkEnd w:id="5505"/>
    </w:p>
    <w:p w:rsidR="00F7606D" w:rsidRPr="0050146A" w:rsidRDefault="00F7606D" w:rsidP="00F7606D">
      <w:pPr>
        <w:pStyle w:val="a2"/>
        <w:rPr>
          <w:rtl/>
        </w:rPr>
      </w:pPr>
      <w:bookmarkStart w:id="5506" w:name="_Toc12895399"/>
      <w:bookmarkStart w:id="5507" w:name="_Toc12896284"/>
      <w:bookmarkStart w:id="5508" w:name="_Toc12896444"/>
      <w:r w:rsidRPr="0050146A">
        <w:rPr>
          <w:rFonts w:hint="cs"/>
          <w:rtl/>
        </w:rPr>
        <w:t>דברי החוו"ד דלרש"י מדאו' הטעם עצמו אסור מדאו' מילפותא דהטמאים ומהני בו ביטול ברוב</w:t>
      </w:r>
      <w:bookmarkEnd w:id="5506"/>
      <w:bookmarkEnd w:id="5507"/>
      <w:bookmarkEnd w:id="5508"/>
    </w:p>
    <w:p w:rsidR="00F7606D" w:rsidRPr="0050146A" w:rsidRDefault="00F7606D" w:rsidP="009F44AF">
      <w:pPr>
        <w:pStyle w:val="a"/>
        <w:rPr>
          <w:rtl/>
        </w:rPr>
      </w:pPr>
      <w:bookmarkStart w:id="5509" w:name="_Ref12894875"/>
      <w:r w:rsidRPr="0050146A">
        <w:rPr>
          <w:rFonts w:hint="cs"/>
          <w:rtl/>
        </w:rPr>
        <w:t xml:space="preserve">כתב </w:t>
      </w:r>
      <w:r w:rsidRPr="0050146A">
        <w:rPr>
          <w:rStyle w:val="af8"/>
          <w:rFonts w:hint="cs"/>
          <w:rtl/>
        </w:rPr>
        <w:t>החוו"ד</w:t>
      </w:r>
      <w:r w:rsidRPr="0050146A">
        <w:rPr>
          <w:rFonts w:hint="cs"/>
          <w:rtl/>
        </w:rPr>
        <w:t xml:space="preserve"> </w:t>
      </w:r>
      <w:r w:rsidRPr="0050146A">
        <w:rPr>
          <w:rStyle w:val="af6"/>
          <w:rFonts w:eastAsia="Guttman Hodes" w:hint="cs"/>
          <w:rtl/>
        </w:rPr>
        <w:t>(סי' ק"ה סק"ב)</w:t>
      </w:r>
      <w:r w:rsidRPr="0050146A">
        <w:rPr>
          <w:rFonts w:hint="cs"/>
          <w:rtl/>
        </w:rPr>
        <w:t xml:space="preserve"> דמדכתב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Ref12891179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50146A">
        <w:rPr>
          <w:rStyle w:val="af6"/>
          <w:rFonts w:eastAsia="Guttman Hodes"/>
          <w:rtl/>
        </w:rPr>
        <w:fldChar w:fldCharType="end"/>
      </w:r>
      <w:r w:rsidRPr="0050146A">
        <w:rPr>
          <w:rFonts w:hint="cs"/>
          <w:rtl/>
        </w:rPr>
        <w:t xml:space="preserve"> דלמ"ד דס"ל דטעם כעיקר דרבנן הוא כיון דמדאו' בטל הטעם ברוב, ולא כתב </w:t>
      </w:r>
      <w:r w:rsidRPr="0050146A">
        <w:rPr>
          <w:rStyle w:val="af8"/>
          <w:rFonts w:hint="cs"/>
          <w:rtl/>
        </w:rPr>
        <w:t>רש"י</w:t>
      </w:r>
      <w:r w:rsidRPr="0050146A">
        <w:rPr>
          <w:rFonts w:hint="cs"/>
          <w:rtl/>
        </w:rPr>
        <w:t xml:space="preserve"> דהטעם עצמו אינו אסור מדאו', א"כ מוכח דס"ל </w:t>
      </w:r>
      <w:r w:rsidRPr="0050146A">
        <w:rPr>
          <w:rStyle w:val="af8"/>
          <w:rFonts w:hint="cs"/>
          <w:rtl/>
        </w:rPr>
        <w:t>לרש"י</w:t>
      </w:r>
      <w:r w:rsidRPr="0050146A">
        <w:rPr>
          <w:rFonts w:hint="cs"/>
          <w:rtl/>
        </w:rPr>
        <w:t xml:space="preserve"> דכיון דילפינן בגמ' לקמן </w:t>
      </w:r>
      <w:r w:rsidRPr="0050146A">
        <w:rPr>
          <w:rStyle w:val="af6"/>
          <w:rFonts w:eastAsia="Guttman Hodes" w:hint="cs"/>
          <w:rtl/>
        </w:rPr>
        <w:t>(קיב:)</w:t>
      </w:r>
      <w:r w:rsidRPr="0050146A">
        <w:rPr>
          <w:rFonts w:hint="cs"/>
          <w:rtl/>
        </w:rPr>
        <w:t xml:space="preserve"> מילפותא דהטמאים לאסור צירן ורוטבן, א"כ כיון דכל היוצא מהטמא אסור ה"ה דהטעם אסור.</w:t>
      </w:r>
      <w:bookmarkEnd w:id="5509"/>
    </w:p>
    <w:p w:rsidR="00F7606D" w:rsidRPr="0050146A" w:rsidRDefault="00F7606D" w:rsidP="00F7606D">
      <w:pPr>
        <w:pStyle w:val="a2"/>
        <w:rPr>
          <w:rtl/>
        </w:rPr>
      </w:pPr>
      <w:bookmarkStart w:id="5510" w:name="_Toc12895400"/>
      <w:bookmarkStart w:id="5511" w:name="_Toc12896285"/>
      <w:bookmarkStart w:id="5512" w:name="_Toc12896445"/>
      <w:r w:rsidRPr="0050146A">
        <w:rPr>
          <w:rFonts w:hint="cs"/>
          <w:rtl/>
        </w:rPr>
        <w:t>הוכחת החוו"ד מהא דרש"י פסק כר"י דמין במינו לא בטל ואי הטעם מותר מדאו' אין איסור משהו</w:t>
      </w:r>
      <w:bookmarkEnd w:id="5510"/>
      <w:bookmarkEnd w:id="5511"/>
      <w:bookmarkEnd w:id="5512"/>
    </w:p>
    <w:p w:rsidR="00F7606D" w:rsidRPr="0050146A" w:rsidRDefault="00F7606D" w:rsidP="009F44AF">
      <w:pPr>
        <w:pStyle w:val="a"/>
        <w:rPr>
          <w:rStyle w:val="afa"/>
          <w:rtl/>
        </w:rPr>
      </w:pPr>
      <w:r w:rsidRPr="0050146A">
        <w:rPr>
          <w:rFonts w:hint="cs"/>
          <w:rtl/>
        </w:rPr>
        <w:t xml:space="preserve">והוסיף </w:t>
      </w:r>
      <w:r w:rsidRPr="0050146A">
        <w:rPr>
          <w:rStyle w:val="af8"/>
          <w:rFonts w:hint="cs"/>
          <w:rtl/>
        </w:rPr>
        <w:t>החוו"ד</w:t>
      </w:r>
      <w:r w:rsidRPr="0050146A">
        <w:rPr>
          <w:rFonts w:hint="cs"/>
          <w:rtl/>
        </w:rPr>
        <w:t xml:space="preserve"> דכן מוכח מהא דפסק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Ref12891179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50146A">
        <w:rPr>
          <w:rStyle w:val="af6"/>
          <w:rFonts w:eastAsia="Guttman Hodes"/>
          <w:rtl/>
        </w:rPr>
        <w:fldChar w:fldCharType="end"/>
      </w:r>
      <w:r w:rsidRPr="0050146A">
        <w:rPr>
          <w:rFonts w:hint="cs"/>
          <w:rtl/>
        </w:rPr>
        <w:t xml:space="preserve"> דטעם כעיקר דרבנן </w:t>
      </w:r>
      <w:r w:rsidRPr="0050146A">
        <w:rPr>
          <w:rStyle w:val="af8"/>
          <w:rFonts w:hint="cs"/>
          <w:rtl/>
        </w:rPr>
        <w:t>וברש"י</w:t>
      </w:r>
      <w:r w:rsidRPr="0050146A">
        <w:rPr>
          <w:rFonts w:hint="cs"/>
          <w:rtl/>
        </w:rPr>
        <w:t xml:space="preserve"> לקמן </w:t>
      </w:r>
      <w:r w:rsidRPr="0050146A">
        <w:rPr>
          <w:rStyle w:val="af6"/>
          <w:rFonts w:eastAsia="Guttman Hodes" w:hint="cs"/>
          <w:rtl/>
        </w:rPr>
        <w:t>(קט. ד"ה ותו)</w:t>
      </w:r>
      <w:r w:rsidRPr="0050146A">
        <w:rPr>
          <w:rFonts w:hint="cs"/>
          <w:rtl/>
        </w:rPr>
        <w:t xml:space="preserve"> פסק כר"י דמין במינו לא בטל, ואף </w:t>
      </w:r>
      <w:r w:rsidRPr="0050146A">
        <w:rPr>
          <w:rFonts w:hint="cs"/>
          <w:rtl/>
        </w:rPr>
        <w:lastRenderedPageBreak/>
        <w:t xml:space="preserve">כשקדם וסילק את האיסור לא מהני ביטול, ואי ס"ל </w:t>
      </w:r>
      <w:r w:rsidRPr="0050146A">
        <w:rPr>
          <w:rStyle w:val="af8"/>
          <w:rFonts w:hint="cs"/>
          <w:rtl/>
        </w:rPr>
        <w:t>לרש"י</w:t>
      </w:r>
      <w:r w:rsidRPr="0050146A">
        <w:rPr>
          <w:rFonts w:hint="cs"/>
          <w:rtl/>
        </w:rPr>
        <w:t xml:space="preserve"> דהטעם עצמו אסור רק מדרבנן, א"כ אינו אוסר במשהו כדמוכח בגמ' לקמן </w:t>
      </w:r>
      <w:r w:rsidRPr="0050146A">
        <w:rPr>
          <w:rStyle w:val="af6"/>
          <w:rFonts w:eastAsia="Guttman Hodes" w:hint="cs"/>
          <w:rtl/>
        </w:rPr>
        <w:t>(צט:)</w:t>
      </w:r>
      <w:r w:rsidRPr="0050146A">
        <w:rPr>
          <w:rFonts w:hint="cs"/>
          <w:rtl/>
        </w:rPr>
        <w:t xml:space="preserve"> בדין ציר האיסור. </w:t>
      </w:r>
      <w:r w:rsidRPr="0050146A">
        <w:rPr>
          <w:rStyle w:val="afa"/>
          <w:rFonts w:hint="cs"/>
          <w:rtl/>
        </w:rPr>
        <w:t xml:space="preserve">[ועי' במ"ש </w:t>
      </w:r>
      <w:r w:rsidRPr="0050146A">
        <w:rPr>
          <w:rStyle w:val="affa"/>
          <w:rFonts w:hint="cs"/>
          <w:rtl/>
        </w:rPr>
        <w:t>הרשב"א</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Ref12891455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כ)</w:t>
      </w:r>
      <w:r w:rsidRPr="0050146A">
        <w:rPr>
          <w:rStyle w:val="aff6"/>
          <w:rtl/>
        </w:rPr>
        <w:fldChar w:fldCharType="end"/>
      </w:r>
      <w:r w:rsidRPr="0050146A">
        <w:rPr>
          <w:rStyle w:val="afa"/>
          <w:rFonts w:hint="cs"/>
          <w:rtl/>
        </w:rPr>
        <w:t xml:space="preserve"> דלר"י טע"כ דאו'].</w:t>
      </w:r>
    </w:p>
    <w:p w:rsidR="00F7606D" w:rsidRPr="0050146A" w:rsidRDefault="00F7606D" w:rsidP="00F7606D">
      <w:pPr>
        <w:pStyle w:val="a2"/>
        <w:rPr>
          <w:rtl/>
        </w:rPr>
      </w:pPr>
      <w:bookmarkStart w:id="5513" w:name="_Toc12895401"/>
      <w:bookmarkStart w:id="5514" w:name="_Toc12896286"/>
      <w:bookmarkStart w:id="5515" w:name="_Toc12896446"/>
      <w:r w:rsidRPr="0050146A">
        <w:rPr>
          <w:rFonts w:hint="cs"/>
          <w:rtl/>
        </w:rPr>
        <w:t>דברי החוו"ד דאיסור מין במינו הוא רק בבישול ומוכח דמדאו' יש איסור בטעם</w:t>
      </w:r>
      <w:bookmarkEnd w:id="5513"/>
      <w:bookmarkEnd w:id="5514"/>
      <w:bookmarkEnd w:id="5515"/>
    </w:p>
    <w:p w:rsidR="00F7606D" w:rsidRPr="0050146A" w:rsidRDefault="00F7606D" w:rsidP="009F44AF">
      <w:pPr>
        <w:pStyle w:val="a"/>
        <w:rPr>
          <w:rtl/>
        </w:rPr>
      </w:pPr>
      <w:r w:rsidRPr="0050146A">
        <w:rPr>
          <w:rFonts w:hint="cs"/>
          <w:rtl/>
        </w:rPr>
        <w:t xml:space="preserve">והוסיף </w:t>
      </w:r>
      <w:r w:rsidRPr="0050146A">
        <w:rPr>
          <w:rStyle w:val="af8"/>
          <w:rFonts w:hint="cs"/>
          <w:rtl/>
        </w:rPr>
        <w:t>החוו"ד</w:t>
      </w:r>
      <w:r w:rsidRPr="0050146A">
        <w:rPr>
          <w:rFonts w:hint="cs"/>
          <w:rtl/>
        </w:rPr>
        <w:t xml:space="preserve"> דהרי דעת </w:t>
      </w:r>
      <w:r w:rsidRPr="0050146A">
        <w:rPr>
          <w:rStyle w:val="af8"/>
          <w:rFonts w:hint="cs"/>
          <w:rtl/>
        </w:rPr>
        <w:t>התוס'</w:t>
      </w:r>
      <w:r w:rsidRPr="0050146A">
        <w:rPr>
          <w:rFonts w:hint="cs"/>
          <w:rtl/>
        </w:rPr>
        <w:t xml:space="preserve"> </w:t>
      </w:r>
      <w:r w:rsidRPr="0050146A">
        <w:rPr>
          <w:rStyle w:val="af6"/>
          <w:rFonts w:eastAsia="Guttman Hodes" w:hint="cs"/>
          <w:rtl/>
        </w:rPr>
        <w:t>(יבמות פב. ד"ה רבי, זבחים עג. ד"ה רבי, מנחות כ. ד"ה ורבי)</w:t>
      </w:r>
      <w:r w:rsidRPr="0050146A">
        <w:rPr>
          <w:rFonts w:hint="cs"/>
          <w:rtl/>
        </w:rPr>
        <w:t xml:space="preserve"> דכל האיסור במין במינו לר"י הוא ע"י בישול, כשקיבל ההיתר טעם מהאיסור, ואי כל איסור הטעם הוא מדרבנן, א"כ לא שייך כלל מין במינו מדאו', אלא כתב </w:t>
      </w:r>
      <w:r w:rsidRPr="0050146A">
        <w:rPr>
          <w:rStyle w:val="af8"/>
          <w:rFonts w:hint="cs"/>
          <w:rtl/>
        </w:rPr>
        <w:t>החוו"ד</w:t>
      </w:r>
      <w:r w:rsidRPr="0050146A">
        <w:rPr>
          <w:rFonts w:hint="cs"/>
          <w:rtl/>
        </w:rPr>
        <w:t xml:space="preserve"> דמוכח דהטעם עצמו ודאי דאסור מדאו' מילפותא דהטמאים.</w:t>
      </w:r>
    </w:p>
    <w:p w:rsidR="00F7606D" w:rsidRPr="0050146A" w:rsidRDefault="00F7606D" w:rsidP="00F7606D">
      <w:pPr>
        <w:pStyle w:val="a2"/>
        <w:rPr>
          <w:rtl/>
        </w:rPr>
      </w:pPr>
      <w:bookmarkStart w:id="5516" w:name="_Toc12389126"/>
      <w:bookmarkStart w:id="5517" w:name="_Toc12453192"/>
      <w:bookmarkStart w:id="5518" w:name="_Toc12615943"/>
      <w:bookmarkStart w:id="5519" w:name="_Toc12791841"/>
      <w:bookmarkStart w:id="5520" w:name="_Toc12826323"/>
      <w:bookmarkStart w:id="5521" w:name="_Toc12872112"/>
      <w:bookmarkStart w:id="5522" w:name="_Toc12895402"/>
      <w:bookmarkStart w:id="5523" w:name="_Toc12896287"/>
      <w:bookmarkStart w:id="5524" w:name="_Toc12896447"/>
      <w:r w:rsidRPr="0050146A">
        <w:rPr>
          <w:rFonts w:hint="cs"/>
          <w:rtl/>
        </w:rPr>
        <w:t>ביאור החוו"ד ברש"י דגוף הטעם אסור מדאו' אף למ"ד דטע"כ דרבנן ולכן כתב רש"י דיש בו ביטול</w:t>
      </w:r>
      <w:bookmarkEnd w:id="5516"/>
      <w:bookmarkEnd w:id="5517"/>
      <w:bookmarkEnd w:id="5518"/>
      <w:bookmarkEnd w:id="5519"/>
      <w:bookmarkEnd w:id="5520"/>
      <w:bookmarkEnd w:id="5521"/>
      <w:bookmarkEnd w:id="5522"/>
      <w:bookmarkEnd w:id="5523"/>
      <w:bookmarkEnd w:id="5524"/>
    </w:p>
    <w:p w:rsidR="00F7606D" w:rsidRPr="0050146A" w:rsidRDefault="00F7606D" w:rsidP="009F44AF">
      <w:pPr>
        <w:pStyle w:val="a"/>
        <w:rPr>
          <w:rtl/>
        </w:rPr>
      </w:pPr>
      <w:r w:rsidRPr="0050146A">
        <w:rPr>
          <w:rFonts w:hint="cs"/>
          <w:rtl/>
        </w:rPr>
        <w:t xml:space="preserve">עוד כתב </w:t>
      </w:r>
      <w:r w:rsidRPr="0050146A">
        <w:rPr>
          <w:rStyle w:val="af8"/>
          <w:rFonts w:hint="cs"/>
          <w:rtl/>
        </w:rPr>
        <w:t>החוו"ד</w:t>
      </w:r>
      <w:r w:rsidRPr="0050146A">
        <w:rPr>
          <w:rFonts w:hint="cs"/>
          <w:rtl/>
        </w:rPr>
        <w:t xml:space="preserve"> </w:t>
      </w:r>
      <w:r w:rsidRPr="0050146A">
        <w:rPr>
          <w:rStyle w:val="af6"/>
          <w:rFonts w:eastAsia="Guttman Hodes" w:hint="cs"/>
          <w:rtl/>
        </w:rPr>
        <w:t>(סי' צ"ח סק"ג)</w:t>
      </w:r>
      <w:r w:rsidRPr="0050146A">
        <w:rPr>
          <w:rFonts w:hint="cs"/>
          <w:rtl/>
        </w:rPr>
        <w:t xml:space="preserve"> דמ"ש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Ref12891179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50146A">
        <w:rPr>
          <w:rStyle w:val="af6"/>
          <w:rFonts w:eastAsia="Guttman Hodes"/>
          <w:rtl/>
        </w:rPr>
        <w:fldChar w:fldCharType="end"/>
      </w:r>
      <w:r w:rsidRPr="0050146A">
        <w:rPr>
          <w:rFonts w:hint="cs"/>
          <w:rtl/>
        </w:rPr>
        <w:t xml:space="preserve"> דלרבא דס"ל דטעם כעיקר דרבנן, דמדאו' הטעם בטל ברוב, מדין אחרי רבים להטות, הוא כיון דהטעם אינו פחות מציר היוצא מאיסור דהוא אסור, כדאיתא בגמ' לקמן </w:t>
      </w:r>
      <w:r w:rsidRPr="0050146A">
        <w:rPr>
          <w:rStyle w:val="af6"/>
          <w:rFonts w:eastAsia="Guttman Rashi" w:hint="cs"/>
          <w:rtl/>
        </w:rPr>
        <w:t>(קיב:)</w:t>
      </w:r>
      <w:r w:rsidRPr="0050146A">
        <w:rPr>
          <w:rStyle w:val="af6"/>
          <w:rFonts w:eastAsia="Guttman Hodes" w:hint="cs"/>
          <w:rtl/>
        </w:rPr>
        <w:t xml:space="preserve"> </w:t>
      </w:r>
      <w:r w:rsidRPr="0050146A">
        <w:rPr>
          <w:rFonts w:hint="cs"/>
          <w:rtl/>
        </w:rPr>
        <w:t xml:space="preserve">דילפינן מהטמאים לאסור צירן ורוטבן, וא"כ גוף הטעם אינו אסור מדרבנן אף למ"ד דטעם כעיקר דרבנן, ולכן הוצרך </w:t>
      </w:r>
      <w:r w:rsidRPr="0050146A">
        <w:rPr>
          <w:rStyle w:val="af8"/>
          <w:rFonts w:hint="cs"/>
          <w:rtl/>
        </w:rPr>
        <w:t>רש"י</w:t>
      </w:r>
      <w:r w:rsidRPr="0050146A">
        <w:rPr>
          <w:rFonts w:hint="cs"/>
          <w:rtl/>
        </w:rPr>
        <w:t xml:space="preserve"> לבאר דאף דהטעם אסור מ"מ מהני בו ביטול</w:t>
      </w:r>
      <w:r w:rsidRPr="0050146A">
        <w:rPr>
          <w:rStyle w:val="af0"/>
          <w:rtl/>
        </w:rPr>
        <w:footnoteReference w:id="19"/>
      </w:r>
      <w:r w:rsidRPr="0050146A">
        <w:rPr>
          <w:rFonts w:hint="cs"/>
          <w:rtl/>
        </w:rPr>
        <w:t>.</w:t>
      </w:r>
    </w:p>
    <w:p w:rsidR="00F7606D" w:rsidRPr="0050146A" w:rsidRDefault="00F7606D" w:rsidP="00F7606D">
      <w:pPr>
        <w:pStyle w:val="a2"/>
        <w:rPr>
          <w:rtl/>
        </w:rPr>
      </w:pPr>
      <w:bookmarkStart w:id="5525" w:name="_Toc12895403"/>
      <w:bookmarkStart w:id="5526" w:name="_Toc12896288"/>
      <w:bookmarkStart w:id="5527" w:name="_Toc12896448"/>
      <w:r w:rsidRPr="0050146A">
        <w:rPr>
          <w:rFonts w:hint="cs"/>
          <w:rtl/>
        </w:rPr>
        <w:t>ביאור הנחל"ד ברש"י דבילפותא דזרוע בשלה לחומרא מוכח דמדאו' מהני ביטול ברוב בטעם</w:t>
      </w:r>
      <w:bookmarkEnd w:id="5525"/>
      <w:bookmarkEnd w:id="5526"/>
      <w:bookmarkEnd w:id="5527"/>
    </w:p>
    <w:p w:rsidR="00F7606D" w:rsidRPr="0050146A" w:rsidRDefault="00F7606D" w:rsidP="009F44AF">
      <w:pPr>
        <w:pStyle w:val="a"/>
        <w:rPr>
          <w:rtl/>
        </w:rPr>
      </w:pPr>
      <w:bookmarkStart w:id="5528" w:name="_Ref12894881"/>
      <w:r w:rsidRPr="0050146A">
        <w:rPr>
          <w:rFonts w:hint="cs"/>
          <w:rtl/>
        </w:rPr>
        <w:t>כתב</w:t>
      </w:r>
      <w:r w:rsidRPr="0050146A">
        <w:rPr>
          <w:rStyle w:val="af8"/>
          <w:rFonts w:hint="cs"/>
          <w:rtl/>
        </w:rPr>
        <w:t xml:space="preserve"> הנחל"ד </w:t>
      </w:r>
      <w:r w:rsidRPr="0050146A">
        <w:rPr>
          <w:rStyle w:val="af6"/>
          <w:rFonts w:eastAsia="Guttman Hodes" w:hint="cs"/>
          <w:rtl/>
        </w:rPr>
        <w:t>(פסחים מג:, קונ' דברי דוד [מהדו' חד' עמ' קל"ו] ד"ה גם יש להבין)</w:t>
      </w:r>
      <w:r w:rsidRPr="0050146A">
        <w:rPr>
          <w:rFonts w:hint="cs"/>
          <w:rtl/>
        </w:rPr>
        <w:t xml:space="preserve"> דכיון דכתב </w:t>
      </w:r>
      <w:r w:rsidRPr="0050146A">
        <w:rPr>
          <w:rStyle w:val="af8"/>
          <w:rFonts w:hint="cs"/>
          <w:rtl/>
        </w:rPr>
        <w:t>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Ref12891179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50146A">
        <w:rPr>
          <w:rStyle w:val="af6"/>
          <w:rFonts w:eastAsia="Guttman Hodes"/>
          <w:rtl/>
        </w:rPr>
        <w:fldChar w:fldCharType="end"/>
      </w:r>
      <w:r w:rsidRPr="0050146A">
        <w:rPr>
          <w:rFonts w:hint="cs"/>
          <w:rtl/>
        </w:rPr>
        <w:t xml:space="preserve"> דמדאו' הטעם בטל, ומשמע דבלא דין ביטול ברוב היה הטעם אסור, א"כ מבואר דאף דפסק </w:t>
      </w:r>
      <w:r w:rsidRPr="0050146A">
        <w:rPr>
          <w:rStyle w:val="af8"/>
          <w:rFonts w:hint="cs"/>
          <w:rtl/>
        </w:rPr>
        <w:t>רש"י</w:t>
      </w:r>
      <w:r w:rsidRPr="0050146A">
        <w:rPr>
          <w:rFonts w:hint="cs"/>
          <w:rtl/>
        </w:rPr>
        <w:t xml:space="preserve"> דטעם כעיקר דרבנן, מ"מ הטעם עצמו אסור מדאו', וביאר </w:t>
      </w:r>
      <w:r w:rsidRPr="0050146A">
        <w:rPr>
          <w:rStyle w:val="af8"/>
          <w:rFonts w:hint="cs"/>
          <w:rtl/>
        </w:rPr>
        <w:t>הנחל"ד</w:t>
      </w:r>
      <w:r w:rsidRPr="0050146A">
        <w:rPr>
          <w:rFonts w:hint="cs"/>
          <w:rtl/>
        </w:rPr>
        <w:t xml:space="preserve"> דהא דכתב </w:t>
      </w:r>
      <w:r w:rsidRPr="0050146A">
        <w:rPr>
          <w:rStyle w:val="af8"/>
          <w:rFonts w:hint="cs"/>
          <w:rtl/>
        </w:rPr>
        <w:t>רש"י</w:t>
      </w:r>
      <w:r w:rsidRPr="0050146A">
        <w:rPr>
          <w:rFonts w:hint="cs"/>
          <w:rtl/>
        </w:rPr>
        <w:t xml:space="preserve"> כן הוא כיון דאמרינן בגמ' בסוגיין, דהילפותא מזרוע בשלה היא לחומרא, דמדאו' ברובא בטל, ומוכח דמדאו' ההיתר הוא מצד ביטול ברוב.</w:t>
      </w:r>
      <w:bookmarkEnd w:id="5528"/>
    </w:p>
    <w:p w:rsidR="00F7606D" w:rsidRPr="0050146A" w:rsidRDefault="00F7606D" w:rsidP="00F7606D">
      <w:pPr>
        <w:pStyle w:val="a2"/>
      </w:pPr>
      <w:bookmarkStart w:id="5529" w:name="_Toc12895404"/>
      <w:bookmarkStart w:id="5530" w:name="_Toc12896289"/>
      <w:bookmarkStart w:id="5531" w:name="_Toc12896449"/>
      <w:r w:rsidRPr="0050146A">
        <w:rPr>
          <w:rFonts w:hint="cs"/>
          <w:rtl/>
        </w:rPr>
        <w:t>ביאור הנחל"ד ברש"י דהטעם אסור מדין הטמאים ובטעמו וממשו חשיב שהאיסור ניכר ולא בטל</w:t>
      </w:r>
      <w:bookmarkEnd w:id="5529"/>
      <w:bookmarkEnd w:id="5530"/>
      <w:bookmarkEnd w:id="5531"/>
    </w:p>
    <w:p w:rsidR="00F7606D" w:rsidRPr="0050146A" w:rsidRDefault="00F7606D" w:rsidP="009F44AF">
      <w:pPr>
        <w:pStyle w:val="a"/>
        <w:rPr>
          <w:rtl/>
        </w:rPr>
      </w:pPr>
      <w:r w:rsidRPr="0050146A">
        <w:rPr>
          <w:rFonts w:hint="cs"/>
          <w:rtl/>
        </w:rPr>
        <w:t xml:space="preserve">וכתב </w:t>
      </w:r>
      <w:r w:rsidRPr="0050146A">
        <w:rPr>
          <w:rStyle w:val="af8"/>
          <w:rFonts w:hint="cs"/>
          <w:rtl/>
        </w:rPr>
        <w:t>הנחל"ד</w:t>
      </w:r>
      <w:r w:rsidRPr="0050146A">
        <w:rPr>
          <w:rFonts w:hint="cs"/>
          <w:rtl/>
        </w:rPr>
        <w:t xml:space="preserve"> דא"כ מוכח דאף בטעם עצמו יש איסור, כדילפינן בגמ' לקמן </w:t>
      </w:r>
      <w:r w:rsidRPr="0050146A">
        <w:rPr>
          <w:rStyle w:val="af6"/>
          <w:rFonts w:eastAsia="Guttman Hodes" w:hint="cs"/>
          <w:rtl/>
        </w:rPr>
        <w:t>(קיב:)</w:t>
      </w:r>
      <w:r w:rsidRPr="0050146A">
        <w:rPr>
          <w:rFonts w:hint="cs"/>
          <w:rtl/>
        </w:rPr>
        <w:t xml:space="preserve"> מילפותא דהטמאים, אלא דמהני בו ביטול ברוב מדאו' אף שמורגש הטעם, אבל בטעמו וממשו כתב </w:t>
      </w:r>
      <w:r w:rsidRPr="0050146A">
        <w:rPr>
          <w:rStyle w:val="af8"/>
          <w:rFonts w:hint="cs"/>
          <w:rtl/>
        </w:rPr>
        <w:t>הנחל"ד</w:t>
      </w:r>
      <w:r w:rsidRPr="0050146A">
        <w:rPr>
          <w:rFonts w:hint="cs"/>
          <w:rtl/>
        </w:rPr>
        <w:t xml:space="preserve"> דהוא פשיטא דלא מהני ביה ביטול כיון שהטעם מורגש, ויש בו גם ממשות, א"כ חשיב שהאיסור ניכר, ולא מהני ביטול באיסור שניכר.</w:t>
      </w:r>
    </w:p>
    <w:p w:rsidR="00F7606D" w:rsidRPr="0050146A" w:rsidRDefault="00F7606D" w:rsidP="00F7606D">
      <w:pPr>
        <w:pStyle w:val="1"/>
        <w:rPr>
          <w:rtl/>
        </w:rPr>
      </w:pPr>
      <w:bookmarkStart w:id="5532" w:name="_Toc12895405"/>
      <w:bookmarkStart w:id="5533" w:name="_Toc12896290"/>
      <w:bookmarkStart w:id="5534" w:name="_Toc12896450"/>
      <w:r w:rsidRPr="0050146A">
        <w:rPr>
          <w:rFonts w:hint="cs"/>
          <w:rtl/>
        </w:rPr>
        <w:t>דברי הראשונים דמדאו' הטעם בטל ברוב</w:t>
      </w:r>
      <w:bookmarkEnd w:id="5532"/>
      <w:bookmarkEnd w:id="5533"/>
      <w:bookmarkEnd w:id="5534"/>
    </w:p>
    <w:p w:rsidR="00F7606D" w:rsidRPr="0050146A" w:rsidRDefault="00F7606D" w:rsidP="00F7606D">
      <w:pPr>
        <w:pStyle w:val="a2"/>
      </w:pPr>
      <w:bookmarkStart w:id="5535" w:name="_Toc12895406"/>
      <w:bookmarkStart w:id="5536" w:name="_Toc12896291"/>
      <w:bookmarkStart w:id="5537" w:name="_Toc12896451"/>
      <w:r w:rsidRPr="0050146A">
        <w:rPr>
          <w:rFonts w:hint="cs"/>
          <w:rtl/>
        </w:rPr>
        <w:t>דברי ר"ת בספר הישר דבגמ' משמע דלמ"ד טעם כעיקר דרבנן מדאו' מהני ביטול ברוב</w:t>
      </w:r>
      <w:bookmarkEnd w:id="5535"/>
      <w:bookmarkEnd w:id="5536"/>
      <w:bookmarkEnd w:id="5537"/>
    </w:p>
    <w:p w:rsidR="00F7606D" w:rsidRPr="0050146A" w:rsidRDefault="00F7606D" w:rsidP="009F44AF">
      <w:pPr>
        <w:pStyle w:val="a"/>
        <w:rPr>
          <w:rtl/>
        </w:rPr>
      </w:pPr>
      <w:r w:rsidRPr="0050146A">
        <w:rPr>
          <w:rFonts w:hint="cs"/>
          <w:rtl/>
        </w:rPr>
        <w:t xml:space="preserve">וכבר כתב כן </w:t>
      </w:r>
      <w:r w:rsidRPr="0050146A">
        <w:rPr>
          <w:rStyle w:val="af8"/>
          <w:rtl/>
        </w:rPr>
        <w:t xml:space="preserve">ר"ת בספר הישר </w:t>
      </w:r>
      <w:r w:rsidRPr="0050146A">
        <w:rPr>
          <w:rStyle w:val="af6"/>
          <w:rFonts w:eastAsia="Guttman Hodes" w:hint="cs"/>
          <w:rtl/>
        </w:rPr>
        <w:t>(חלק החי' סי' תרצ"ד, הועתק בקובץ שיטות קמאי ע"ז ח"ב עמ' אלף תר"י)</w:t>
      </w:r>
      <w:r w:rsidRPr="0050146A">
        <w:rPr>
          <w:rFonts w:hint="cs"/>
          <w:rtl/>
        </w:rPr>
        <w:t xml:space="preserve"> דבגמ' בסוגיין משמע דטעם כעיקר דרבנן, דאמרינן דהילפותא מזרוע בשלה לשישים ומאה היא לחומרא, אבל מדאו' מהני ביטול ברוב, ומבואר מדבריו דלדעת המ"ד דטעם כעיקר דרבנן מדאו' צריך רוב לבטל.</w:t>
      </w:r>
    </w:p>
    <w:p w:rsidR="00F7606D" w:rsidRPr="0050146A" w:rsidRDefault="00F7606D" w:rsidP="00F7606D">
      <w:pPr>
        <w:pStyle w:val="a2"/>
        <w:rPr>
          <w:rtl/>
        </w:rPr>
      </w:pPr>
      <w:bookmarkStart w:id="5538" w:name="_Toc12895407"/>
      <w:bookmarkStart w:id="5539" w:name="_Toc12896292"/>
      <w:bookmarkStart w:id="5540" w:name="_Toc12896452"/>
      <w:r w:rsidRPr="0050146A">
        <w:rPr>
          <w:rFonts w:hint="cs"/>
          <w:rtl/>
        </w:rPr>
        <w:t>דברי הרשב"א דלמ"ד דטע"כ דרבנן מדאו' הטעם בטל ברוב דאין בו ממשות וצריך שישים מדרבנן</w:t>
      </w:r>
      <w:bookmarkEnd w:id="5538"/>
      <w:bookmarkEnd w:id="5539"/>
      <w:bookmarkEnd w:id="5540"/>
    </w:p>
    <w:p w:rsidR="00F7606D" w:rsidRPr="0050146A" w:rsidRDefault="00F7606D" w:rsidP="009F44AF">
      <w:pPr>
        <w:pStyle w:val="a"/>
        <w:rPr>
          <w:rStyle w:val="afa"/>
          <w:rtl/>
        </w:rPr>
      </w:pPr>
      <w:r w:rsidRPr="0050146A">
        <w:rPr>
          <w:rFonts w:hint="cs"/>
          <w:rtl/>
        </w:rPr>
        <w:t xml:space="preserve">ויעוי' </w:t>
      </w:r>
      <w:r w:rsidRPr="0050146A">
        <w:rPr>
          <w:rStyle w:val="af8"/>
          <w:rFonts w:hint="cs"/>
          <w:rtl/>
        </w:rPr>
        <w:t xml:space="preserve">ברשב"א </w:t>
      </w:r>
      <w:r w:rsidRPr="0050146A">
        <w:rPr>
          <w:rStyle w:val="af6"/>
          <w:rFonts w:eastAsia="Guttman Hodes" w:hint="cs"/>
          <w:rtl/>
        </w:rPr>
        <w:t>(סוד"ה אי הכי)</w:t>
      </w:r>
      <w:r w:rsidRPr="0050146A">
        <w:rPr>
          <w:rFonts w:hint="cs"/>
          <w:rtl/>
        </w:rPr>
        <w:t xml:space="preserve"> דכתב דלמ"ד דטעם כעיקר דרבנן, הא דאין איסור מדאו' בטעמו ולא ממשו, הוא כיון דבטל ברוב, דאין בו את ממשו של האיסור ולכן אין לוקין עליו, וכ"כ </w:t>
      </w:r>
      <w:r w:rsidRPr="0050146A">
        <w:rPr>
          <w:rStyle w:val="af8"/>
          <w:rFonts w:hint="cs"/>
          <w:rtl/>
        </w:rPr>
        <w:t>הרשב"א בתשו'</w:t>
      </w:r>
      <w:r w:rsidRPr="0050146A">
        <w:rPr>
          <w:rFonts w:hint="cs"/>
          <w:rtl/>
        </w:rPr>
        <w:t xml:space="preserve"> </w:t>
      </w:r>
      <w:r w:rsidRPr="0050146A">
        <w:rPr>
          <w:rStyle w:val="af6"/>
          <w:rFonts w:eastAsia="Guttman Hodes" w:hint="cs"/>
          <w:rtl/>
        </w:rPr>
        <w:t>(ח"א סי' תקט"ו)</w:t>
      </w:r>
      <w:r w:rsidRPr="0050146A">
        <w:rPr>
          <w:rFonts w:hint="cs"/>
          <w:rtl/>
        </w:rPr>
        <w:t xml:space="preserve"> דלדעת </w:t>
      </w:r>
      <w:r w:rsidRPr="0050146A">
        <w:rPr>
          <w:rStyle w:val="af8"/>
          <w:rFonts w:hint="cs"/>
          <w:rtl/>
        </w:rPr>
        <w:t>רש"י</w:t>
      </w:r>
      <w:r w:rsidRPr="0050146A">
        <w:rPr>
          <w:rFonts w:hint="cs"/>
          <w:rtl/>
        </w:rPr>
        <w:t xml:space="preserve"> שיעור שישים הוא מדרבנן, דכל שיש בו יותר מחד בתרי אינו דאו' דס"ל </w:t>
      </w:r>
      <w:r w:rsidRPr="0050146A">
        <w:rPr>
          <w:rStyle w:val="af8"/>
          <w:rFonts w:hint="cs"/>
          <w:rtl/>
        </w:rPr>
        <w:t>לרש"י</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Ref12390306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0146A">
        <w:rPr>
          <w:rStyle w:val="af6"/>
          <w:rFonts w:eastAsia="Guttman Hodes"/>
          <w:rtl/>
        </w:rPr>
        <w:fldChar w:fldCharType="end"/>
      </w:r>
      <w:r w:rsidRPr="0050146A">
        <w:rPr>
          <w:rFonts w:hint="cs"/>
          <w:rtl/>
        </w:rPr>
        <w:t xml:space="preserve"> דטעם כעיקר לאו דאו'. </w:t>
      </w:r>
      <w:r w:rsidRPr="0050146A">
        <w:rPr>
          <w:rStyle w:val="afa"/>
          <w:rFonts w:hint="cs"/>
          <w:rtl/>
        </w:rPr>
        <w:t xml:space="preserve">[ומבואר מדברי </w:t>
      </w:r>
      <w:r w:rsidRPr="0050146A">
        <w:rPr>
          <w:rStyle w:val="affa"/>
          <w:rFonts w:hint="cs"/>
          <w:rtl/>
        </w:rPr>
        <w:t>הרשב"א</w:t>
      </w:r>
      <w:r w:rsidRPr="0050146A">
        <w:rPr>
          <w:rStyle w:val="afa"/>
          <w:rFonts w:hint="cs"/>
          <w:rtl/>
        </w:rPr>
        <w:t xml:space="preserve"> דמדאו' צריך ביטול בטעם].</w:t>
      </w:r>
    </w:p>
    <w:p w:rsidR="00F7606D" w:rsidRPr="0050146A" w:rsidRDefault="00F7606D" w:rsidP="00F7606D">
      <w:pPr>
        <w:pStyle w:val="1"/>
        <w:rPr>
          <w:rtl/>
        </w:rPr>
      </w:pPr>
      <w:bookmarkStart w:id="5541" w:name="_Toc12895408"/>
      <w:bookmarkStart w:id="5542" w:name="_Toc12896293"/>
      <w:bookmarkStart w:id="5543" w:name="_Toc12896453"/>
      <w:r w:rsidRPr="0050146A">
        <w:rPr>
          <w:rFonts w:hint="cs"/>
          <w:rtl/>
        </w:rPr>
        <w:t>הוכחת הגרעק"א מהראשונים דמדאו' בטעם צריך ביטול ברוב</w:t>
      </w:r>
      <w:bookmarkEnd w:id="5541"/>
      <w:bookmarkEnd w:id="5542"/>
      <w:bookmarkEnd w:id="5543"/>
    </w:p>
    <w:p w:rsidR="00F7606D" w:rsidRPr="0050146A" w:rsidRDefault="00F7606D" w:rsidP="00F7606D">
      <w:pPr>
        <w:pStyle w:val="a2"/>
        <w:rPr>
          <w:rtl/>
        </w:rPr>
      </w:pPr>
      <w:bookmarkStart w:id="5544" w:name="_Toc12895409"/>
      <w:bookmarkStart w:id="5545" w:name="_Toc12896294"/>
      <w:bookmarkStart w:id="5546" w:name="_Toc12896454"/>
      <w:r w:rsidRPr="0050146A">
        <w:rPr>
          <w:rFonts w:hint="cs"/>
          <w:rtl/>
        </w:rPr>
        <w:t>דברי הגרעק"א בדעת רש"י דטע"כ דרבנן ומדאו' בטעם צריך ביטול ברוב כמו ביבש ביבש</w:t>
      </w:r>
      <w:bookmarkEnd w:id="5544"/>
      <w:bookmarkEnd w:id="5545"/>
      <w:bookmarkEnd w:id="5546"/>
    </w:p>
    <w:p w:rsidR="00F7606D" w:rsidRPr="0050146A" w:rsidRDefault="00F7606D" w:rsidP="009F44AF">
      <w:pPr>
        <w:pStyle w:val="a"/>
        <w:rPr>
          <w:rtl/>
        </w:rPr>
      </w:pPr>
      <w:bookmarkStart w:id="5547" w:name="_Ref12894831"/>
      <w:r w:rsidRPr="0050146A">
        <w:rPr>
          <w:rStyle w:val="af8"/>
          <w:rFonts w:hint="cs"/>
          <w:rtl/>
        </w:rPr>
        <w:t>ובגרעק"א לעיל</w:t>
      </w:r>
      <w:r w:rsidRPr="0050146A">
        <w:rPr>
          <w:rFonts w:hint="cs"/>
          <w:rtl/>
        </w:rPr>
        <w:t xml:space="preserve"> </w:t>
      </w:r>
      <w:r w:rsidRPr="0050146A">
        <w:rPr>
          <w:rStyle w:val="af6"/>
          <w:rFonts w:eastAsia="Guttman Hodes" w:hint="cs"/>
          <w:rtl/>
        </w:rPr>
        <w:t xml:space="preserve">(ח: על רש"י ד"ה דוחקא) </w:t>
      </w:r>
      <w:r w:rsidRPr="0050146A">
        <w:rPr>
          <w:rFonts w:hint="cs"/>
          <w:rtl/>
        </w:rPr>
        <w:t xml:space="preserve">כתב דאף דס"ל </w:t>
      </w:r>
      <w:r w:rsidRPr="0050146A">
        <w:rPr>
          <w:rStyle w:val="af8"/>
          <w:rFonts w:hint="cs"/>
          <w:rtl/>
        </w:rPr>
        <w:t>לרש"י</w:t>
      </w:r>
      <w:r w:rsidRPr="0050146A">
        <w:rPr>
          <w:rFonts w:hint="cs"/>
          <w:rtl/>
        </w:rPr>
        <w:t xml:space="preserve"> דטעם כעיקר דרבנן, זהו דוקא לענין שיעור שישים, דמדאו' א"צ שישים, אבל עדיין מדאו' צריך רוב כנגד טעם האיסור, כמו ביבש ביבש, וכתב </w:t>
      </w:r>
      <w:r w:rsidRPr="0050146A">
        <w:rPr>
          <w:rStyle w:val="af8"/>
          <w:rFonts w:hint="cs"/>
          <w:rtl/>
        </w:rPr>
        <w:t>הגרעק"א</w:t>
      </w:r>
      <w:r w:rsidRPr="0050146A">
        <w:rPr>
          <w:rFonts w:hint="cs"/>
          <w:rtl/>
        </w:rPr>
        <w:t xml:space="preserve"> לעיל דכן מבואר בדברי </w:t>
      </w:r>
      <w:r w:rsidRPr="0050146A">
        <w:rPr>
          <w:rStyle w:val="af8"/>
          <w:rFonts w:hint="cs"/>
          <w:rtl/>
        </w:rPr>
        <w:t>הרשב"א בסוגיין</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Ref12531993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קח)</w:t>
      </w:r>
      <w:r w:rsidRPr="0050146A">
        <w:rPr>
          <w:rStyle w:val="af6"/>
          <w:rFonts w:eastAsia="Guttman Hodes"/>
          <w:rtl/>
        </w:rPr>
        <w:fldChar w:fldCharType="end"/>
      </w:r>
      <w:r w:rsidRPr="0050146A">
        <w:rPr>
          <w:rFonts w:hint="cs"/>
          <w:rtl/>
        </w:rPr>
        <w:t>.</w:t>
      </w:r>
      <w:bookmarkEnd w:id="5547"/>
      <w:r w:rsidRPr="0050146A">
        <w:rPr>
          <w:rFonts w:hint="cs"/>
          <w:rtl/>
        </w:rPr>
        <w:t xml:space="preserve">  </w:t>
      </w:r>
    </w:p>
    <w:p w:rsidR="00F7606D" w:rsidRPr="0050146A" w:rsidRDefault="00F7606D" w:rsidP="00F7606D">
      <w:pPr>
        <w:pStyle w:val="a2"/>
        <w:rPr>
          <w:rtl/>
        </w:rPr>
      </w:pPr>
      <w:bookmarkStart w:id="5548" w:name="_Toc12895410"/>
      <w:bookmarkStart w:id="5549" w:name="_Toc12896295"/>
      <w:bookmarkStart w:id="5550" w:name="_Toc12896455"/>
      <w:r w:rsidRPr="0050146A">
        <w:rPr>
          <w:rFonts w:hint="cs"/>
          <w:rtl/>
        </w:rPr>
        <w:t>דברי הגרעק"א דברשב"א מבואר דכשאין רוב כנגד בליעת האיסור אסור מדאו' למ"ד טע"כ דרבנן</w:t>
      </w:r>
      <w:bookmarkEnd w:id="5548"/>
      <w:bookmarkEnd w:id="5549"/>
      <w:bookmarkEnd w:id="5550"/>
      <w:r w:rsidRPr="0050146A">
        <w:rPr>
          <w:rFonts w:hint="cs"/>
          <w:rtl/>
        </w:rPr>
        <w:t xml:space="preserve"> </w:t>
      </w:r>
    </w:p>
    <w:p w:rsidR="00F7606D" w:rsidRDefault="00F7606D" w:rsidP="009F44AF">
      <w:pPr>
        <w:pStyle w:val="a"/>
        <w:rPr>
          <w:rtl/>
        </w:rPr>
      </w:pPr>
      <w:r w:rsidRPr="0050146A">
        <w:rPr>
          <w:rFonts w:hint="cs"/>
          <w:rtl/>
        </w:rPr>
        <w:t xml:space="preserve">והביא </w:t>
      </w:r>
      <w:r w:rsidRPr="0050146A">
        <w:rPr>
          <w:rStyle w:val="af8"/>
          <w:rFonts w:hint="cs"/>
          <w:rtl/>
        </w:rPr>
        <w:t>הגרעק"א</w:t>
      </w:r>
      <w:r w:rsidRPr="0050146A">
        <w:rPr>
          <w:rStyle w:val="af6"/>
          <w:rFonts w:eastAsia="Guttman Hodes" w:hint="cs"/>
          <w:rtl/>
        </w:rPr>
        <w:t xml:space="preserve"> (ד"ה ויש להסביר, שו"ת מהדו"ק סי' קס"ו,</w:t>
      </w:r>
      <w:r w:rsidRPr="0050146A">
        <w:rPr>
          <w:rtl/>
        </w:rPr>
        <w:t xml:space="preserve"> </w:t>
      </w:r>
      <w:r w:rsidRPr="0050146A">
        <w:rPr>
          <w:rStyle w:val="af6"/>
          <w:rFonts w:eastAsia="Guttman Hodes"/>
          <w:rtl/>
        </w:rPr>
        <w:t>לעיל ח: על רש"י ד"ה דוחקא</w:t>
      </w:r>
      <w:r w:rsidRPr="0050146A">
        <w:rPr>
          <w:rStyle w:val="af6"/>
          <w:rFonts w:eastAsia="Guttman Hodes" w:hint="cs"/>
          <w:rtl/>
        </w:rPr>
        <w:t>)</w:t>
      </w:r>
      <w:r w:rsidRPr="0050146A">
        <w:rPr>
          <w:rFonts w:hint="cs"/>
          <w:rtl/>
        </w:rPr>
        <w:t xml:space="preserve"> את דברי דברי </w:t>
      </w:r>
      <w:r w:rsidRPr="0050146A">
        <w:rPr>
          <w:rStyle w:val="af8"/>
          <w:rFonts w:hint="cs"/>
          <w:rtl/>
        </w:rPr>
        <w:t>רש"י</w:t>
      </w:r>
      <w:r w:rsidRPr="0050146A">
        <w:rPr>
          <w:rFonts w:hint="cs"/>
          <w:rtl/>
        </w:rPr>
        <w:t xml:space="preserve"> </w:t>
      </w:r>
      <w:r w:rsidRPr="0050146A">
        <w:rPr>
          <w:rStyle w:val="af8"/>
          <w:rFonts w:hint="cs"/>
          <w:rtl/>
        </w:rPr>
        <w:t xml:space="preserve">לעיל </w:t>
      </w:r>
      <w:r w:rsidRPr="0050146A">
        <w:rPr>
          <w:rStyle w:val="af6"/>
          <w:rFonts w:eastAsia="Guttman Hodes" w:hint="cs"/>
          <w:rtl/>
        </w:rPr>
        <w:t xml:space="preserve">(צז: ד"ה במאי) </w:t>
      </w:r>
      <w:r w:rsidRPr="0050146A">
        <w:rPr>
          <w:rFonts w:hint="cs"/>
          <w:rtl/>
        </w:rPr>
        <w:t xml:space="preserve">דכתב דבספק הגמ' בבליעת קדירה אזלינן לחומרא דהוא ספק דאו', והקשה </w:t>
      </w:r>
      <w:r w:rsidRPr="0050146A">
        <w:rPr>
          <w:rStyle w:val="af8"/>
          <w:rFonts w:hint="cs"/>
          <w:rtl/>
        </w:rPr>
        <w:t>הרשב"א לעיל</w:t>
      </w:r>
      <w:r w:rsidRPr="0050146A">
        <w:rPr>
          <w:rFonts w:hint="cs"/>
          <w:rtl/>
        </w:rPr>
        <w:t xml:space="preserve"> </w:t>
      </w:r>
      <w:r w:rsidRPr="0050146A">
        <w:rPr>
          <w:rStyle w:val="af6"/>
          <w:rFonts w:eastAsia="Guttman Hodes" w:hint="cs"/>
          <w:rtl/>
        </w:rPr>
        <w:t>(צז: סוד"ה ובקדירה)</w:t>
      </w:r>
      <w:r w:rsidRPr="0050146A">
        <w:rPr>
          <w:rFonts w:hint="cs"/>
          <w:rtl/>
        </w:rPr>
        <w:t xml:space="preserve"> על </w:t>
      </w:r>
      <w:r w:rsidRPr="0050146A">
        <w:rPr>
          <w:rStyle w:val="af8"/>
          <w:rFonts w:hint="cs"/>
          <w:rtl/>
        </w:rPr>
        <w:t>רש"י</w:t>
      </w:r>
      <w:r w:rsidRPr="0050146A">
        <w:rPr>
          <w:rFonts w:hint="cs"/>
          <w:rtl/>
        </w:rPr>
        <w:t xml:space="preserve"> דהרי מדאו' חד בתרי בטל, וכל שיעור שישים הוא מדרבנן, לדעת </w:t>
      </w:r>
      <w:r w:rsidRPr="0050146A">
        <w:rPr>
          <w:rStyle w:val="af8"/>
          <w:rFonts w:hint="cs"/>
          <w:rtl/>
        </w:rPr>
        <w:t>רש"י</w:t>
      </w:r>
      <w:r w:rsidRPr="0050146A">
        <w:rPr>
          <w:rFonts w:hint="cs"/>
          <w:rtl/>
        </w:rPr>
        <w:t xml:space="preserve"> דס"ל דטעם כעיקר דרבנן, ובדרבנן אזלינן לקולא, וכתב </w:t>
      </w:r>
      <w:r w:rsidRPr="0050146A">
        <w:rPr>
          <w:rStyle w:val="af8"/>
          <w:rFonts w:hint="cs"/>
          <w:rtl/>
        </w:rPr>
        <w:t>הגרעק"א</w:t>
      </w:r>
      <w:r w:rsidRPr="0050146A">
        <w:rPr>
          <w:rFonts w:hint="cs"/>
          <w:rtl/>
        </w:rPr>
        <w:t xml:space="preserve"> דמבואר מדברי</w:t>
      </w:r>
      <w:r w:rsidRPr="0050146A">
        <w:rPr>
          <w:rStyle w:val="af8"/>
          <w:rFonts w:hint="cs"/>
          <w:rtl/>
        </w:rPr>
        <w:t xml:space="preserve"> הרשב"א</w:t>
      </w:r>
      <w:r w:rsidRPr="0050146A">
        <w:rPr>
          <w:rFonts w:hint="cs"/>
          <w:rtl/>
        </w:rPr>
        <w:t xml:space="preserve"> דאם אין רוב היתר כנגד בליעת האיסור, דאסור אף לדעת </w:t>
      </w:r>
      <w:r w:rsidRPr="0050146A">
        <w:rPr>
          <w:rStyle w:val="af8"/>
          <w:rFonts w:hint="cs"/>
          <w:rtl/>
        </w:rPr>
        <w:t>רש"י</w:t>
      </w:r>
      <w:r w:rsidRPr="0050146A">
        <w:rPr>
          <w:rFonts w:hint="cs"/>
          <w:rtl/>
        </w:rPr>
        <w:t xml:space="preserve"> דס"ל דטעם כעיקר דרבנן.</w:t>
      </w:r>
      <w:r w:rsidRPr="0050146A">
        <w:rPr>
          <w:rtl/>
        </w:rPr>
        <w:t xml:space="preserve"> </w:t>
      </w:r>
    </w:p>
    <w:p w:rsidR="00F7606D" w:rsidRPr="0050146A" w:rsidRDefault="00F7606D" w:rsidP="00F7606D">
      <w:pPr>
        <w:pStyle w:val="a2"/>
        <w:rPr>
          <w:rtl/>
        </w:rPr>
      </w:pPr>
      <w:bookmarkStart w:id="5551" w:name="_Toc12895411"/>
      <w:bookmarkStart w:id="5552" w:name="_Toc12896296"/>
      <w:bookmarkStart w:id="5553" w:name="_Toc12896456"/>
      <w:r w:rsidRPr="0050146A">
        <w:rPr>
          <w:rFonts w:hint="cs"/>
          <w:rtl/>
        </w:rPr>
        <w:t>דברי הגרעק"א דכשיש פחות מרוב בהיתר חשיב שהאיסור נמצא בעין ואסור מילפותא דהטמאים</w:t>
      </w:r>
      <w:bookmarkEnd w:id="5551"/>
      <w:bookmarkEnd w:id="5552"/>
      <w:bookmarkEnd w:id="5553"/>
    </w:p>
    <w:p w:rsidR="00F7606D" w:rsidRPr="0050146A" w:rsidRDefault="00F7606D" w:rsidP="009F44AF">
      <w:pPr>
        <w:pStyle w:val="a"/>
        <w:rPr>
          <w:rtl/>
        </w:rPr>
      </w:pPr>
      <w:bookmarkStart w:id="5554" w:name="_Ref12546644"/>
      <w:r w:rsidRPr="0050146A">
        <w:rPr>
          <w:rFonts w:hint="cs"/>
          <w:rtl/>
        </w:rPr>
        <w:t xml:space="preserve">וביאר </w:t>
      </w:r>
      <w:r w:rsidRPr="0050146A">
        <w:rPr>
          <w:rStyle w:val="af8"/>
          <w:rFonts w:hint="cs"/>
          <w:rtl/>
        </w:rPr>
        <w:t>הגרעק"א</w:t>
      </w:r>
      <w:r w:rsidRPr="0050146A">
        <w:rPr>
          <w:rFonts w:hint="cs"/>
          <w:rtl/>
        </w:rPr>
        <w:t xml:space="preserve"> דכשיש פחות מרוב בהיתר מכנגד האיסור, אי"ז נחשב תערובת כלל, אלא חשיב שהטעם הוא בעין ואסור מילפותא דהטמאים, וכתב </w:t>
      </w:r>
      <w:r w:rsidRPr="0050146A">
        <w:rPr>
          <w:rStyle w:val="af8"/>
          <w:rFonts w:hint="cs"/>
          <w:rtl/>
        </w:rPr>
        <w:t>הגרעק"א</w:t>
      </w:r>
      <w:r w:rsidRPr="0050146A">
        <w:rPr>
          <w:rFonts w:hint="cs"/>
          <w:rtl/>
        </w:rPr>
        <w:t xml:space="preserve"> דאף כתב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Ref12546600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50146A">
        <w:rPr>
          <w:rStyle w:val="af6"/>
          <w:rFonts w:eastAsia="Guttman Hodes"/>
          <w:rtl/>
        </w:rPr>
        <w:fldChar w:fldCharType="end"/>
      </w:r>
      <w:r w:rsidRPr="0050146A">
        <w:rPr>
          <w:rFonts w:hint="cs"/>
          <w:rtl/>
        </w:rPr>
        <w:t xml:space="preserve"> דמילפותא דהטמאים ילפינן לאסור את הטעם דוקא כשהוא בעין, צ"ל דכשיש פחות מרוב היתר בתערובת הוא ג"כ כלול בזה והוי כבעין, ועי' </w:t>
      </w:r>
      <w:r w:rsidRPr="0050146A">
        <w:rPr>
          <w:rStyle w:val="af8"/>
          <w:rFonts w:hint="cs"/>
          <w:rtl/>
        </w:rPr>
        <w:t>בריטב"א</w:t>
      </w:r>
      <w:r w:rsidRPr="0050146A">
        <w:rPr>
          <w:rStyle w:val="af6"/>
          <w:rFonts w:eastAsia="Guttman Hodes" w:hint="cs"/>
          <w:rtl/>
        </w:rPr>
        <w:t xml:space="preserve"> (עי'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Ref12546610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דכתב כעי"ז, וע"ע במ"ש </w:t>
      </w:r>
      <w:r w:rsidRPr="0050146A">
        <w:rPr>
          <w:rStyle w:val="af8"/>
          <w:rFonts w:hint="cs"/>
          <w:rtl/>
        </w:rPr>
        <w:t>הגרעק"א</w:t>
      </w:r>
      <w:r w:rsidRPr="0050146A">
        <w:rPr>
          <w:rFonts w:hint="cs"/>
          <w:rtl/>
        </w:rPr>
        <w:t xml:space="preserve"> בדברי </w:t>
      </w:r>
      <w:r w:rsidRPr="0050146A">
        <w:rPr>
          <w:rStyle w:val="af8"/>
          <w:rFonts w:hint="cs"/>
          <w:rtl/>
        </w:rPr>
        <w:t>הרשב"א</w:t>
      </w:r>
      <w:r w:rsidRPr="0050146A">
        <w:rPr>
          <w:rFonts w:hint="cs"/>
          <w:rtl/>
        </w:rPr>
        <w:t xml:space="preserve"> בדין נותן טעם לפגם.</w:t>
      </w:r>
      <w:bookmarkEnd w:id="5554"/>
    </w:p>
    <w:p w:rsidR="00F7606D" w:rsidRPr="0050146A" w:rsidRDefault="00F7606D" w:rsidP="00F7606D">
      <w:pPr>
        <w:pStyle w:val="1"/>
        <w:rPr>
          <w:rtl/>
        </w:rPr>
      </w:pPr>
      <w:bookmarkStart w:id="5555" w:name="_Toc12895412"/>
      <w:bookmarkStart w:id="5556" w:name="_Toc12896297"/>
      <w:bookmarkStart w:id="5557" w:name="_Toc12896457"/>
      <w:bookmarkEnd w:id="5488"/>
      <w:bookmarkEnd w:id="5489"/>
      <w:r w:rsidRPr="0050146A">
        <w:rPr>
          <w:rFonts w:hint="cs"/>
          <w:rtl/>
        </w:rPr>
        <w:t>הוכחת הגרעק"א מהראשונים דמדאו' א"צ בטעם ביטול ברוב</w:t>
      </w:r>
      <w:bookmarkEnd w:id="5555"/>
      <w:bookmarkEnd w:id="5556"/>
      <w:bookmarkEnd w:id="5557"/>
    </w:p>
    <w:p w:rsidR="00F7606D" w:rsidRPr="0050146A" w:rsidRDefault="00F7606D" w:rsidP="00F7606D">
      <w:pPr>
        <w:pStyle w:val="a2"/>
        <w:rPr>
          <w:rtl/>
        </w:rPr>
      </w:pPr>
      <w:bookmarkStart w:id="5558" w:name="_Toc12895413"/>
      <w:bookmarkStart w:id="5559" w:name="_Toc12896298"/>
      <w:bookmarkStart w:id="5560" w:name="_Toc12896458"/>
      <w:r w:rsidRPr="0050146A">
        <w:rPr>
          <w:rFonts w:hint="cs"/>
          <w:rtl/>
        </w:rPr>
        <w:t>דברי הגרעק"א דלתוס' א"צ בטעם רוב מדכתבו התוס' דבזרוע בשלה מותר אף כשאין רוב בהיתר</w:t>
      </w:r>
      <w:bookmarkEnd w:id="5558"/>
      <w:bookmarkEnd w:id="5559"/>
      <w:bookmarkEnd w:id="5560"/>
    </w:p>
    <w:p w:rsidR="002D7168" w:rsidRDefault="00F7606D" w:rsidP="009F44AF">
      <w:pPr>
        <w:pStyle w:val="a"/>
        <w:rPr>
          <w:rtl/>
        </w:rPr>
      </w:pPr>
      <w:r w:rsidRPr="0050146A">
        <w:rPr>
          <w:rFonts w:hint="cs"/>
          <w:rtl/>
        </w:rPr>
        <w:t xml:space="preserve">והביא </w:t>
      </w:r>
      <w:r w:rsidRPr="0050146A">
        <w:rPr>
          <w:rStyle w:val="af8"/>
          <w:rFonts w:hint="cs"/>
          <w:rtl/>
        </w:rPr>
        <w:t>הגרעק"א</w:t>
      </w:r>
      <w:r w:rsidRPr="0050146A">
        <w:rPr>
          <w:rFonts w:hint="cs"/>
          <w:rtl/>
        </w:rPr>
        <w:t xml:space="preserve"> </w:t>
      </w:r>
      <w:r w:rsidRPr="0050146A">
        <w:rPr>
          <w:rStyle w:val="af6"/>
          <w:rFonts w:eastAsia="Guttman Hodes" w:hint="cs"/>
          <w:rtl/>
        </w:rPr>
        <w:t>(צז: במערכה אות ו')</w:t>
      </w:r>
      <w:r w:rsidRPr="0050146A">
        <w:rPr>
          <w:rFonts w:hint="cs"/>
          <w:rtl/>
        </w:rPr>
        <w:t xml:space="preserve"> את דברי </w:t>
      </w:r>
      <w:r w:rsidRPr="0050146A">
        <w:rPr>
          <w:rStyle w:val="af8"/>
          <w:rFonts w:hint="cs"/>
          <w:rtl/>
        </w:rPr>
        <w:t>התוס'</w:t>
      </w:r>
      <w:r w:rsidRPr="0050146A">
        <w:rPr>
          <w:rFonts w:hint="cs"/>
          <w:rtl/>
        </w:rPr>
        <w:t xml:space="preserve"> </w:t>
      </w:r>
      <w:r w:rsidRPr="0050146A">
        <w:rPr>
          <w:rStyle w:val="af6"/>
          <w:rFonts w:eastAsia="Guttman Hodes" w:hint="cs"/>
          <w:rtl/>
        </w:rPr>
        <w:t>(ד"ה רבא)</w:t>
      </w:r>
      <w:r w:rsidRPr="0050146A">
        <w:rPr>
          <w:rFonts w:hint="cs"/>
          <w:rtl/>
        </w:rPr>
        <w:t xml:space="preserve"> דכתבו דס"ל לרבא דטעם כעיקר דאו', </w:t>
      </w:r>
      <w:r w:rsidRPr="0050146A">
        <w:rPr>
          <w:rStyle w:val="afa"/>
          <w:rFonts w:hint="cs"/>
          <w:rtl/>
        </w:rPr>
        <w:t>[בין בקדשים ובין בחולין],</w:t>
      </w:r>
      <w:r w:rsidRPr="0050146A">
        <w:rPr>
          <w:rFonts w:hint="cs"/>
          <w:rtl/>
        </w:rPr>
        <w:t xml:space="preserve"> ובזרוע בשלה התירה תורה את הטעם כעיקר, וביארו </w:t>
      </w:r>
      <w:r w:rsidRPr="0050146A">
        <w:rPr>
          <w:rStyle w:val="af8"/>
          <w:rFonts w:hint="cs"/>
          <w:rtl/>
        </w:rPr>
        <w:t>התוס'</w:t>
      </w:r>
      <w:r w:rsidRPr="0050146A">
        <w:rPr>
          <w:rFonts w:hint="cs"/>
          <w:rtl/>
        </w:rPr>
        <w:t xml:space="preserve"> דאף  בזרוע בשלה הוא מין במינו ואין בה נתינת טעם, </w:t>
      </w:r>
      <w:r w:rsidRPr="0050146A">
        <w:rPr>
          <w:rStyle w:val="afa"/>
          <w:rFonts w:hint="cs"/>
          <w:rtl/>
        </w:rPr>
        <w:t>[וכן יש שישים כנגד הזרוע],</w:t>
      </w:r>
      <w:r w:rsidRPr="0050146A">
        <w:rPr>
          <w:rFonts w:hint="cs"/>
          <w:rtl/>
        </w:rPr>
        <w:t xml:space="preserve"> מ"מ לפעמים הזרוע וחלק מהאיל מחוץ לרוטב, והזרוע נותנת טעם במקצת שמחוץ לרוטב, ויתכן שלא יהיה במה שמחוץ לרוטב רוב כנגד טעם הזרוע, ולא יהיה בזה אפילו ביטול של חד בתרי, וזהו החידוש דאפ"ה התירה תורה את הטעם בזרוע בשלה, וכתב </w:t>
      </w:r>
      <w:r w:rsidRPr="0050146A">
        <w:rPr>
          <w:rStyle w:val="af8"/>
          <w:rFonts w:hint="cs"/>
          <w:rtl/>
        </w:rPr>
        <w:t xml:space="preserve">הגרעק"א </w:t>
      </w:r>
      <w:r w:rsidRPr="0050146A">
        <w:rPr>
          <w:rFonts w:hint="cs"/>
          <w:rtl/>
        </w:rPr>
        <w:t xml:space="preserve">דמוכח דס"ל </w:t>
      </w:r>
      <w:r w:rsidRPr="0050146A">
        <w:rPr>
          <w:rStyle w:val="af8"/>
          <w:rFonts w:hint="cs"/>
          <w:rtl/>
        </w:rPr>
        <w:t>להתוס'</w:t>
      </w:r>
      <w:r w:rsidRPr="0050146A">
        <w:rPr>
          <w:rFonts w:hint="cs"/>
          <w:rtl/>
        </w:rPr>
        <w:t xml:space="preserve"> דאחר שאין בזרוע בשלה איסור מחמת הטעם כעיקר, א"צ אף רוב כנגד הטעם, ומבואר דבמקום שטעם כעיקר לאו דאו', א"צ אפילו רוב בכדי לבטל את הטעם.</w:t>
      </w:r>
    </w:p>
    <w:p w:rsidR="00F7606D" w:rsidRPr="0050146A" w:rsidRDefault="00F7606D" w:rsidP="00F7606D">
      <w:pPr>
        <w:pStyle w:val="a2"/>
        <w:rPr>
          <w:rtl/>
        </w:rPr>
      </w:pPr>
      <w:bookmarkStart w:id="5561" w:name="_Toc12895414"/>
      <w:bookmarkStart w:id="5562" w:name="_Toc12896299"/>
      <w:bookmarkStart w:id="5563" w:name="_Toc12896459"/>
      <w:r w:rsidRPr="0050146A">
        <w:rPr>
          <w:rFonts w:hint="cs"/>
          <w:rtl/>
        </w:rPr>
        <w:t>דברי הר"ן דנחלקו אביי ורבא בדעת ר"י אי התירה תורה בזרוע בשלה אף כשנימוח גוף האיסור</w:t>
      </w:r>
      <w:bookmarkEnd w:id="5561"/>
      <w:bookmarkEnd w:id="5562"/>
      <w:bookmarkEnd w:id="5563"/>
    </w:p>
    <w:p w:rsidR="00F7606D" w:rsidRPr="0050146A" w:rsidRDefault="00F7606D" w:rsidP="009F44AF">
      <w:pPr>
        <w:pStyle w:val="a"/>
        <w:rPr>
          <w:rtl/>
        </w:rPr>
      </w:pPr>
      <w:bookmarkStart w:id="5564" w:name="_Ref12892555"/>
      <w:r w:rsidRPr="0050146A">
        <w:rPr>
          <w:rFonts w:hint="cs"/>
          <w:rtl/>
        </w:rPr>
        <w:t xml:space="preserve">ועוד הביאו </w:t>
      </w:r>
      <w:r w:rsidRPr="0050146A">
        <w:rPr>
          <w:rStyle w:val="af8"/>
          <w:rFonts w:hint="cs"/>
          <w:rtl/>
        </w:rPr>
        <w:t xml:space="preserve">הגרעק"א </w:t>
      </w:r>
      <w:r w:rsidRPr="0050146A">
        <w:rPr>
          <w:rStyle w:val="af6"/>
          <w:rFonts w:eastAsia="Guttman Hodes" w:hint="cs"/>
          <w:rtl/>
        </w:rPr>
        <w:t>(צז: במערכה אות ו')</w:t>
      </w:r>
      <w:r w:rsidRPr="0050146A">
        <w:rPr>
          <w:rFonts w:hint="cs"/>
          <w:rtl/>
        </w:rPr>
        <w:t xml:space="preserve"> </w:t>
      </w:r>
      <w:r w:rsidRPr="0050146A">
        <w:rPr>
          <w:rStyle w:val="af8"/>
          <w:rFonts w:hint="cs"/>
          <w:rtl/>
        </w:rPr>
        <w:t>והחמד"ש</w:t>
      </w:r>
      <w:r w:rsidRPr="0050146A">
        <w:rPr>
          <w:rStyle w:val="af6"/>
          <w:rFonts w:eastAsia="Guttman Hodes" w:hint="cs"/>
          <w:rtl/>
        </w:rPr>
        <w:t xml:space="preserve"> (שו"ת יו"ד סי' י"ג ד"ה שוב) </w:t>
      </w:r>
      <w:r w:rsidRPr="0050146A">
        <w:rPr>
          <w:rFonts w:hint="cs"/>
          <w:rtl/>
        </w:rPr>
        <w:t xml:space="preserve">את דברי </w:t>
      </w:r>
      <w:r w:rsidRPr="0050146A">
        <w:rPr>
          <w:rStyle w:val="af8"/>
          <w:rFonts w:hint="cs"/>
          <w:rtl/>
        </w:rPr>
        <w:t xml:space="preserve">הר"ן על הרי"ף </w:t>
      </w:r>
      <w:r w:rsidRPr="0050146A">
        <w:rPr>
          <w:rStyle w:val="af6"/>
          <w:rFonts w:eastAsia="Guttman Hodes" w:hint="cs"/>
          <w:rtl/>
        </w:rPr>
        <w:t xml:space="preserve">(לה. מדפי הרי"ף) </w:t>
      </w:r>
      <w:r w:rsidRPr="0050146A">
        <w:rPr>
          <w:rFonts w:hint="cs"/>
          <w:rtl/>
        </w:rPr>
        <w:t>דכתב דמודה רבא לאביי דהברייתא דזהו היתר הבא מכלל איסור דבזרוע בשלה מותר טעם כעיקר היא אליבא דר"י, אלא דלאביי הההיתר בזרוע בשלה הוא בעיקר דין ביטול ואף אם נמחה האיסור מותר, ולרבא לא התירה התורה כ"כ בזרוע בשלה, אף כשנמחה גוף האיסור, וההיתר הוא רק לענין נתינת טעם, דבכל מין במינו אסור לר"י דמין במינו לא בטל, ובזרוע בשלה הטעם מותר.</w:t>
      </w:r>
      <w:bookmarkEnd w:id="5564"/>
    </w:p>
    <w:p w:rsidR="00F7606D" w:rsidRPr="0050146A" w:rsidRDefault="00F7606D" w:rsidP="00F7606D">
      <w:pPr>
        <w:pStyle w:val="a2"/>
      </w:pPr>
      <w:bookmarkStart w:id="5565" w:name="_Toc12895415"/>
      <w:bookmarkStart w:id="5566" w:name="_Toc12896300"/>
      <w:bookmarkStart w:id="5567" w:name="_Toc12896460"/>
      <w:r w:rsidRPr="0050146A">
        <w:rPr>
          <w:rFonts w:hint="cs"/>
          <w:rtl/>
        </w:rPr>
        <w:t>דברי הגרעק"א דמבואר בר"ן דלולי דין טעם כעיקר אין כל איסור בטעם אף לדעת ר"י</w:t>
      </w:r>
      <w:bookmarkEnd w:id="5565"/>
      <w:bookmarkEnd w:id="5566"/>
      <w:bookmarkEnd w:id="5567"/>
    </w:p>
    <w:p w:rsidR="00F7606D" w:rsidRPr="0050146A" w:rsidRDefault="00F7606D" w:rsidP="009F44AF">
      <w:pPr>
        <w:pStyle w:val="a"/>
        <w:rPr>
          <w:rtl/>
        </w:rPr>
      </w:pPr>
      <w:r w:rsidRPr="0050146A">
        <w:rPr>
          <w:rFonts w:hint="cs"/>
          <w:rtl/>
        </w:rPr>
        <w:t xml:space="preserve">וכתב </w:t>
      </w:r>
      <w:r w:rsidRPr="0050146A">
        <w:rPr>
          <w:rStyle w:val="af8"/>
          <w:rFonts w:hint="cs"/>
          <w:rtl/>
        </w:rPr>
        <w:t>הגרעק"א</w:t>
      </w:r>
      <w:r w:rsidRPr="0050146A">
        <w:rPr>
          <w:rFonts w:hint="cs"/>
          <w:rtl/>
        </w:rPr>
        <w:t xml:space="preserve"> דמשמע מדברי </w:t>
      </w:r>
      <w:r w:rsidRPr="0050146A">
        <w:rPr>
          <w:rStyle w:val="af8"/>
          <w:rFonts w:hint="cs"/>
          <w:rtl/>
        </w:rPr>
        <w:t xml:space="preserve">הר"ן </w:t>
      </w:r>
      <w:r w:rsidRPr="0050146A">
        <w:rPr>
          <w:rFonts w:hint="cs"/>
          <w:rtl/>
        </w:rPr>
        <w:t xml:space="preserve">דכל ההיתר הוא בדין טעם כעיקר דאו', אבל בלא דין טעם כעיקר, היה מותר אף לר"י מעיקר הדין ולא רק בזרוע בשלה, ומוכח דכל שהטעם מעורב </w:t>
      </w:r>
      <w:r w:rsidRPr="0050146A">
        <w:rPr>
          <w:rFonts w:hint="cs"/>
          <w:rtl/>
        </w:rPr>
        <w:lastRenderedPageBreak/>
        <w:t xml:space="preserve">בתערובת, לולא דין טעם כעיקר א"צ לבטלו כלל, וביאר </w:t>
      </w:r>
      <w:r w:rsidRPr="0050146A">
        <w:rPr>
          <w:rStyle w:val="af8"/>
          <w:rFonts w:hint="cs"/>
          <w:rtl/>
        </w:rPr>
        <w:t>הגרעק"א</w:t>
      </w:r>
      <w:r w:rsidRPr="0050146A">
        <w:rPr>
          <w:rFonts w:hint="cs"/>
          <w:rtl/>
        </w:rPr>
        <w:t xml:space="preserve"> דאי לדעת רבנן צריך בטעם ביטול ברוב במין בשאינו מינו, א"כ לדעת ר"י במין במינו לא מהני ביטול כלל.</w:t>
      </w:r>
    </w:p>
    <w:p w:rsidR="00F7606D" w:rsidRPr="0050146A" w:rsidRDefault="00F7606D" w:rsidP="00F7606D">
      <w:pPr>
        <w:pStyle w:val="a2"/>
      </w:pPr>
      <w:bookmarkStart w:id="5568" w:name="_Toc12895416"/>
      <w:bookmarkStart w:id="5569" w:name="_Toc12896301"/>
      <w:bookmarkStart w:id="5570" w:name="_Toc12896461"/>
      <w:r w:rsidRPr="0050146A">
        <w:rPr>
          <w:rFonts w:hint="cs"/>
          <w:rtl/>
        </w:rPr>
        <w:t>דברי הגרעק"א והחמד"ש דמבואר בר"ן דמדאו' א"צ רוב לבטל את הטעם דלא אסרתו תורה</w:t>
      </w:r>
      <w:bookmarkEnd w:id="5568"/>
      <w:bookmarkEnd w:id="5569"/>
      <w:bookmarkEnd w:id="5570"/>
    </w:p>
    <w:p w:rsidR="00F7606D" w:rsidRPr="0050146A" w:rsidRDefault="00F7606D" w:rsidP="009F44AF">
      <w:pPr>
        <w:pStyle w:val="a"/>
        <w:rPr>
          <w:rtl/>
        </w:rPr>
      </w:pPr>
      <w:r w:rsidRPr="0050146A">
        <w:rPr>
          <w:rFonts w:hint="cs"/>
          <w:rtl/>
        </w:rPr>
        <w:t xml:space="preserve">וכ"כ </w:t>
      </w:r>
      <w:r w:rsidRPr="0050146A">
        <w:rPr>
          <w:rStyle w:val="af8"/>
          <w:rFonts w:hint="cs"/>
          <w:rtl/>
        </w:rPr>
        <w:t>הגרעק"א לעיל</w:t>
      </w:r>
      <w:r w:rsidRPr="0050146A">
        <w:rPr>
          <w:rStyle w:val="af6"/>
          <w:rFonts w:eastAsia="Guttman Hodes" w:hint="cs"/>
          <w:rtl/>
        </w:rPr>
        <w:t xml:space="preserve"> (ד"ה ואני נתקשיתי, שו"ת מהדו"ק סי' קס"ו)</w:t>
      </w:r>
      <w:r w:rsidRPr="0050146A">
        <w:rPr>
          <w:rFonts w:hint="cs"/>
          <w:rtl/>
        </w:rPr>
        <w:t xml:space="preserve"> דמשמע מדברי </w:t>
      </w:r>
      <w:r w:rsidRPr="0050146A">
        <w:rPr>
          <w:rStyle w:val="af8"/>
          <w:rFonts w:hint="cs"/>
          <w:rtl/>
        </w:rPr>
        <w:t>הר"ן</w:t>
      </w:r>
      <w:r w:rsidRPr="0050146A">
        <w:rPr>
          <w:rFonts w:hint="cs"/>
          <w:rtl/>
        </w:rPr>
        <w:t xml:space="preserve"> דאי טעם כעיקר דרבנן, מדאו' א"צ אפילו רוב לבטל את הטעם, ולכן אף לר"י דמין במינו לא בטל, אי טעם כעיקר דרבנן מדאו' מותר, דא"צ לבטל את הטעם כלל, והוסיף </w:t>
      </w:r>
      <w:r w:rsidRPr="0050146A">
        <w:rPr>
          <w:rStyle w:val="af8"/>
          <w:rFonts w:hint="cs"/>
          <w:rtl/>
        </w:rPr>
        <w:t>החמד"ש</w:t>
      </w:r>
      <w:r w:rsidRPr="0050146A">
        <w:rPr>
          <w:rFonts w:hint="cs"/>
          <w:rtl/>
        </w:rPr>
        <w:t xml:space="preserve"> דמוכח מדברי </w:t>
      </w:r>
      <w:r w:rsidRPr="0050146A">
        <w:rPr>
          <w:rStyle w:val="af8"/>
          <w:rFonts w:hint="cs"/>
          <w:rtl/>
        </w:rPr>
        <w:t>הר"ן</w:t>
      </w:r>
      <w:r w:rsidRPr="0050146A">
        <w:rPr>
          <w:rFonts w:hint="cs"/>
          <w:rtl/>
        </w:rPr>
        <w:t xml:space="preserve"> דבמקום שטעם כעיקר לאו דאו', הטעם אינו אסור כלל, דאסרה תורה רק את ממשו של האיסור, וא"צ בו ביטול ברוב, ולכן אף במין במינו  לר"י הטעם מותר מדאו'.</w:t>
      </w:r>
    </w:p>
    <w:p w:rsidR="00F7606D" w:rsidRPr="0050146A" w:rsidRDefault="00F7606D" w:rsidP="00F7606D">
      <w:pPr>
        <w:pStyle w:val="a2"/>
        <w:rPr>
          <w:rtl/>
        </w:rPr>
      </w:pPr>
      <w:bookmarkStart w:id="5571" w:name="_Toc12895417"/>
      <w:bookmarkStart w:id="5572" w:name="_Toc12896302"/>
      <w:bookmarkStart w:id="5573" w:name="_Toc12896462"/>
      <w:r w:rsidRPr="0050146A">
        <w:rPr>
          <w:rFonts w:hint="cs"/>
          <w:rtl/>
        </w:rPr>
        <w:t>דברי הרשב"א דלמ"ד טע"כ דאו' בבליעת קדירה מדאו' צריך שיעור של יותר מאחד מהאיסור</w:t>
      </w:r>
      <w:bookmarkEnd w:id="5571"/>
      <w:bookmarkEnd w:id="5572"/>
      <w:bookmarkEnd w:id="5573"/>
    </w:p>
    <w:p w:rsidR="00F7606D" w:rsidRPr="0050146A" w:rsidRDefault="00F7606D" w:rsidP="009F44AF">
      <w:pPr>
        <w:pStyle w:val="a"/>
        <w:rPr>
          <w:rtl/>
        </w:rPr>
      </w:pPr>
      <w:bookmarkStart w:id="5574" w:name="_Ref12894850"/>
      <w:r w:rsidRPr="0050146A">
        <w:rPr>
          <w:rFonts w:hint="cs"/>
          <w:rtl/>
        </w:rPr>
        <w:t xml:space="preserve">והביא </w:t>
      </w:r>
      <w:r w:rsidRPr="0050146A">
        <w:rPr>
          <w:rStyle w:val="af8"/>
          <w:rFonts w:hint="cs"/>
          <w:rtl/>
        </w:rPr>
        <w:t>החמד"ש</w:t>
      </w:r>
      <w:r w:rsidRPr="0050146A">
        <w:rPr>
          <w:rFonts w:hint="cs"/>
          <w:rtl/>
        </w:rPr>
        <w:t xml:space="preserve"> את דברי </w:t>
      </w:r>
      <w:r w:rsidRPr="0050146A">
        <w:rPr>
          <w:rStyle w:val="af8"/>
          <w:rFonts w:hint="cs"/>
          <w:rtl/>
        </w:rPr>
        <w:t>הרשב"א לעיל</w:t>
      </w:r>
      <w:r w:rsidRPr="0050146A">
        <w:rPr>
          <w:rFonts w:hint="cs"/>
          <w:rtl/>
        </w:rPr>
        <w:t xml:space="preserve"> </w:t>
      </w:r>
      <w:r w:rsidRPr="0050146A">
        <w:rPr>
          <w:rStyle w:val="af6"/>
          <w:rFonts w:eastAsia="Guttman Hodes" w:hint="cs"/>
          <w:rtl/>
        </w:rPr>
        <w:t xml:space="preserve">(צז: ד"ה הא) </w:t>
      </w:r>
      <w:r w:rsidRPr="0050146A">
        <w:rPr>
          <w:rFonts w:hint="cs"/>
          <w:rtl/>
        </w:rPr>
        <w:t xml:space="preserve">דכתב לגבי ספק הגמ' בדין כחל, אי משערים כנגד כולו, או כנגד  מה שנפלט מהכחל, וכתב </w:t>
      </w:r>
      <w:r w:rsidRPr="0050146A">
        <w:rPr>
          <w:rStyle w:val="af8"/>
          <w:rFonts w:hint="cs"/>
          <w:rtl/>
        </w:rPr>
        <w:t>הרשב"א</w:t>
      </w:r>
      <w:r w:rsidRPr="0050146A">
        <w:rPr>
          <w:rFonts w:hint="cs"/>
          <w:rtl/>
        </w:rPr>
        <w:t xml:space="preserve"> דבקדירה שנבלע בה איסור דאו', ודאי דמשערים כנגד כל האיסור, ולא רק כנגד מה שיצא ממנו, דהרי כיון שלא ידוע כמה יצא ממנו, א"כ במקום שאין בהיתר יותר מאחד מכל האיסור, א"א לשער ע"י אומד כמה יצא ממנו, דיתכן שיצא יותר מהאומד ולמ"ד דטעם כעיקר דאו' הוא איסור דאו', וא"כ תמיד צריך לשער שיהיה יותר מאחד מכל האיסור, דבכה"ג אין בזה ספק איסור דאו'.</w:t>
      </w:r>
      <w:bookmarkEnd w:id="5574"/>
    </w:p>
    <w:p w:rsidR="00F7606D" w:rsidRPr="0050146A" w:rsidRDefault="00F7606D" w:rsidP="00F7606D">
      <w:pPr>
        <w:pStyle w:val="a2"/>
      </w:pPr>
      <w:bookmarkStart w:id="5575" w:name="_Toc12895418"/>
      <w:bookmarkStart w:id="5576" w:name="_Toc12896303"/>
      <w:bookmarkStart w:id="5577" w:name="_Toc12896463"/>
      <w:r w:rsidRPr="0050146A">
        <w:rPr>
          <w:rFonts w:hint="cs"/>
          <w:rtl/>
        </w:rPr>
        <w:t>דברי החמד"ש דמבואר ברשב"א דרק למ"ד טע"כ דאו' צריך רוב אבל למ"ד דרבנן אין איסור בטעם</w:t>
      </w:r>
      <w:bookmarkEnd w:id="5575"/>
      <w:bookmarkEnd w:id="5576"/>
      <w:bookmarkEnd w:id="5577"/>
    </w:p>
    <w:p w:rsidR="00F7606D" w:rsidRDefault="00F7606D" w:rsidP="009F44AF">
      <w:pPr>
        <w:pStyle w:val="a"/>
        <w:rPr>
          <w:rStyle w:val="afa"/>
          <w:rtl/>
        </w:rPr>
      </w:pPr>
      <w:bookmarkStart w:id="5578" w:name="_Ref20426800"/>
      <w:r w:rsidRPr="0050146A">
        <w:rPr>
          <w:rFonts w:hint="cs"/>
          <w:rtl/>
        </w:rPr>
        <w:t xml:space="preserve">וכתב </w:t>
      </w:r>
      <w:r w:rsidRPr="0050146A">
        <w:rPr>
          <w:rStyle w:val="af8"/>
          <w:rFonts w:hint="cs"/>
          <w:rtl/>
        </w:rPr>
        <w:t>החמד"ש</w:t>
      </w:r>
      <w:r w:rsidRPr="0050146A">
        <w:rPr>
          <w:rFonts w:hint="cs"/>
          <w:rtl/>
        </w:rPr>
        <w:t xml:space="preserve"> דמבואר מדברי </w:t>
      </w:r>
      <w:r w:rsidRPr="0050146A">
        <w:rPr>
          <w:rStyle w:val="af8"/>
          <w:rFonts w:hint="cs"/>
          <w:rtl/>
        </w:rPr>
        <w:t>הרשב"א</w:t>
      </w:r>
      <w:r w:rsidRPr="0050146A">
        <w:rPr>
          <w:rFonts w:hint="cs"/>
          <w:rtl/>
        </w:rPr>
        <w:t xml:space="preserve"> דדוקא למ"ד טעם כעיקר דאו', צריך רוב כנגד הטעם, אבל למ"ד טעם כעיקר דרבנן א"צ רוב כנגד הטעם, דהטעם אין בו ממש כיון שאינו אוכל איסור כלל</w:t>
      </w:r>
      <w:r w:rsidR="00A005A4">
        <w:rPr>
          <w:rFonts w:hint="cs"/>
          <w:rtl/>
        </w:rPr>
        <w:t xml:space="preserve">, ועי' במה שהקשה </w:t>
      </w:r>
      <w:r w:rsidR="00A005A4" w:rsidRPr="007C7087">
        <w:rPr>
          <w:rStyle w:val="af8"/>
          <w:rFonts w:hint="cs"/>
          <w:rtl/>
        </w:rPr>
        <w:t>החמד"ש</w:t>
      </w:r>
      <w:r w:rsidR="00A005A4" w:rsidRPr="002E5A91">
        <w:rPr>
          <w:rFonts w:hint="cs"/>
          <w:rtl/>
        </w:rPr>
        <w:t xml:space="preserve"> </w:t>
      </w:r>
      <w:r w:rsidR="00A005A4" w:rsidRPr="00A005A4">
        <w:rPr>
          <w:rStyle w:val="af6"/>
          <w:rFonts w:eastAsia="Guttman Hodes" w:hint="cs"/>
          <w:rtl/>
        </w:rPr>
        <w:t>(שו"ת יו"ד סי' י"ד אות י' ד"ה וראיתי סי' ק"ג, הובא</w:t>
      </w:r>
      <w:r w:rsidR="00A005A4">
        <w:rPr>
          <w:rFonts w:hint="cs"/>
          <w:rtl/>
        </w:rPr>
        <w:t xml:space="preserve"> </w:t>
      </w:r>
      <w:r w:rsidR="00A005A4" w:rsidRPr="00A005A4">
        <w:rPr>
          <w:rStyle w:val="af6"/>
          <w:rFonts w:eastAsia="Guttman Hodes" w:hint="cs"/>
          <w:rtl/>
        </w:rPr>
        <w:t xml:space="preserve">לקמן סימן </w:t>
      </w:r>
      <w:r w:rsidR="00A005A4">
        <w:rPr>
          <w:rStyle w:val="af6"/>
          <w:rFonts w:eastAsia="Guttman Hodes" w:hint="cs"/>
          <w:rtl/>
        </w:rPr>
        <w:t>י"ב</w:t>
      </w:r>
      <w:r w:rsidR="00A005A4" w:rsidRPr="00A005A4">
        <w:rPr>
          <w:rStyle w:val="af6"/>
          <w:rFonts w:eastAsia="Guttman Hodes" w:hint="cs"/>
          <w:rtl/>
        </w:rPr>
        <w:t xml:space="preserve"> אות </w:t>
      </w:r>
      <w:r w:rsidR="00A005A4" w:rsidRPr="00A005A4">
        <w:rPr>
          <w:rStyle w:val="af6"/>
          <w:rFonts w:eastAsia="Guttman Hodes"/>
          <w:rtl/>
        </w:rPr>
        <w:fldChar w:fldCharType="begin"/>
      </w:r>
      <w:r w:rsidR="00A005A4" w:rsidRPr="00A005A4">
        <w:rPr>
          <w:rStyle w:val="af6"/>
          <w:rFonts w:eastAsia="Guttman Hodes"/>
          <w:rtl/>
        </w:rPr>
        <w:instrText xml:space="preserve"> </w:instrText>
      </w:r>
      <w:r w:rsidR="00A005A4" w:rsidRPr="00A005A4">
        <w:rPr>
          <w:rStyle w:val="af6"/>
          <w:rFonts w:eastAsia="Guttman Hodes" w:hint="cs"/>
        </w:rPr>
        <w:instrText>REF</w:instrText>
      </w:r>
      <w:r w:rsidR="00A005A4" w:rsidRPr="00A005A4">
        <w:rPr>
          <w:rStyle w:val="af6"/>
          <w:rFonts w:eastAsia="Guttman Hodes" w:hint="cs"/>
          <w:rtl/>
        </w:rPr>
        <w:instrText xml:space="preserve"> _</w:instrText>
      </w:r>
      <w:r w:rsidR="00A005A4" w:rsidRPr="00A005A4">
        <w:rPr>
          <w:rStyle w:val="af6"/>
          <w:rFonts w:eastAsia="Guttman Hodes" w:hint="cs"/>
        </w:rPr>
        <w:instrText>Ref20427029 \r \h</w:instrText>
      </w:r>
      <w:r w:rsidR="00A005A4" w:rsidRPr="00A005A4">
        <w:rPr>
          <w:rStyle w:val="af6"/>
          <w:rFonts w:eastAsia="Guttman Hodes"/>
          <w:rtl/>
        </w:rPr>
        <w:instrText xml:space="preserve"> </w:instrText>
      </w:r>
      <w:r w:rsidR="00A005A4" w:rsidRPr="00A005A4">
        <w:rPr>
          <w:rStyle w:val="af6"/>
          <w:rFonts w:eastAsia="Guttman Hodes"/>
          <w:rtl/>
        </w:rPr>
      </w:r>
      <w:r w:rsidR="00A005A4" w:rsidRPr="00A005A4">
        <w:rPr>
          <w:rStyle w:val="af6"/>
          <w:rFonts w:eastAsia="Guttman Hodes"/>
          <w:rtl/>
        </w:rPr>
        <w:fldChar w:fldCharType="separate"/>
      </w:r>
      <w:r w:rsidR="004D1C5B">
        <w:rPr>
          <w:rStyle w:val="af6"/>
          <w:rFonts w:eastAsia="Guttman Hodes"/>
          <w:cs/>
        </w:rPr>
        <w:t>‎</w:t>
      </w:r>
      <w:r w:rsidR="004D1C5B">
        <w:rPr>
          <w:rStyle w:val="af6"/>
          <w:rFonts w:eastAsia="Guttman Hodes"/>
          <w:rtl/>
        </w:rPr>
        <w:t>מב)</w:t>
      </w:r>
      <w:r w:rsidR="00A005A4" w:rsidRPr="00A005A4">
        <w:rPr>
          <w:rStyle w:val="af6"/>
          <w:rFonts w:eastAsia="Guttman Hodes"/>
          <w:rtl/>
        </w:rPr>
        <w:fldChar w:fldCharType="end"/>
      </w:r>
      <w:r w:rsidR="00A005A4">
        <w:rPr>
          <w:rFonts w:hint="cs"/>
          <w:rtl/>
        </w:rPr>
        <w:t xml:space="preserve"> מדברי </w:t>
      </w:r>
      <w:r w:rsidR="00A005A4" w:rsidRPr="00A005A4">
        <w:rPr>
          <w:rStyle w:val="af8"/>
          <w:rFonts w:hint="cs"/>
          <w:rtl/>
        </w:rPr>
        <w:t>הרשב"א</w:t>
      </w:r>
      <w:r w:rsidR="00A005A4">
        <w:rPr>
          <w:rFonts w:hint="cs"/>
          <w:rtl/>
        </w:rPr>
        <w:t xml:space="preserve"> בדין נותן טעם לפגם</w:t>
      </w:r>
      <w:r w:rsidRPr="0050146A">
        <w:rPr>
          <w:rFonts w:hint="cs"/>
          <w:rtl/>
        </w:rPr>
        <w:t xml:space="preserve">. </w:t>
      </w:r>
      <w:r w:rsidRPr="0050146A">
        <w:rPr>
          <w:rStyle w:val="afa"/>
          <w:rFonts w:hint="cs"/>
          <w:rtl/>
        </w:rPr>
        <w:t xml:space="preserve">[אמנם יעוי' בדברי </w:t>
      </w:r>
      <w:r w:rsidRPr="0050146A">
        <w:rPr>
          <w:rStyle w:val="affa"/>
          <w:rFonts w:hint="cs"/>
          <w:rtl/>
        </w:rPr>
        <w:t>החזו"א</w:t>
      </w:r>
      <w:r w:rsidRPr="0050146A">
        <w:rPr>
          <w:rStyle w:val="afa"/>
          <w:rFonts w:hint="cs"/>
          <w:rtl/>
        </w:rPr>
        <w:t xml:space="preserve"> </w:t>
      </w:r>
      <w:r w:rsidRPr="0050146A">
        <w:rPr>
          <w:rStyle w:val="aff6"/>
          <w:rFonts w:hint="cs"/>
          <w:rtl/>
        </w:rPr>
        <w:t>(סי' ל' סק"א)</w:t>
      </w:r>
      <w:r w:rsidRPr="0050146A">
        <w:rPr>
          <w:rStyle w:val="afa"/>
          <w:rFonts w:hint="cs"/>
          <w:rtl/>
        </w:rPr>
        <w:t xml:space="preserve"> דכתב דדברי </w:t>
      </w:r>
      <w:r w:rsidRPr="0050146A">
        <w:rPr>
          <w:rStyle w:val="affa"/>
          <w:rFonts w:hint="cs"/>
          <w:rtl/>
        </w:rPr>
        <w:t>הרשב"א</w:t>
      </w:r>
      <w:r w:rsidRPr="0050146A">
        <w:rPr>
          <w:rStyle w:val="afa"/>
          <w:rFonts w:hint="cs"/>
          <w:rtl/>
        </w:rPr>
        <w:t xml:space="preserve"> צ"ב, דאי כוונתו לומר דיתכן רוב ממה שיצא מהאיסור ומיעוט מההיתר, א"כ לא היה צריך </w:t>
      </w:r>
      <w:r w:rsidRPr="0050146A">
        <w:rPr>
          <w:rStyle w:val="affa"/>
          <w:rFonts w:hint="cs"/>
          <w:rtl/>
        </w:rPr>
        <w:t>הרשב"א</w:t>
      </w:r>
      <w:r w:rsidRPr="0050146A">
        <w:rPr>
          <w:rStyle w:val="afa"/>
          <w:rFonts w:hint="cs"/>
          <w:rtl/>
        </w:rPr>
        <w:t xml:space="preserve"> לומר דהוא למ"ד דטעם כעיקר דאו', דהא למ"ד דטעם כעיקר דאו' אסור בכל אופן שיש בו טעם אף כשאין רוב].</w:t>
      </w:r>
      <w:bookmarkEnd w:id="5578"/>
    </w:p>
    <w:p w:rsidR="00F7606D" w:rsidRPr="0050146A" w:rsidRDefault="00F7606D" w:rsidP="00F7606D">
      <w:pPr>
        <w:pStyle w:val="a2"/>
        <w:rPr>
          <w:rtl/>
        </w:rPr>
      </w:pPr>
      <w:bookmarkStart w:id="5579" w:name="_Toc12895419"/>
      <w:bookmarkStart w:id="5580" w:name="_Toc12896304"/>
      <w:bookmarkStart w:id="5581" w:name="_Toc12896464"/>
      <w:r w:rsidRPr="0050146A">
        <w:rPr>
          <w:rFonts w:hint="cs"/>
          <w:rtl/>
        </w:rPr>
        <w:t>דברי החמד"ש דמוכח בדברי הרשב"א לעיל דכוונתו על מין במינו ולא על דין טעם כעיקר</w:t>
      </w:r>
      <w:bookmarkEnd w:id="5579"/>
      <w:bookmarkEnd w:id="5580"/>
      <w:bookmarkEnd w:id="5581"/>
    </w:p>
    <w:p w:rsidR="00F7606D" w:rsidRPr="0050146A" w:rsidRDefault="00F7606D" w:rsidP="009F44AF">
      <w:pPr>
        <w:pStyle w:val="a"/>
        <w:rPr>
          <w:rStyle w:val="afa"/>
          <w:rtl/>
        </w:rPr>
      </w:pPr>
      <w:r w:rsidRPr="0050146A">
        <w:rPr>
          <w:rFonts w:hint="cs"/>
          <w:rtl/>
        </w:rPr>
        <w:t xml:space="preserve">אך הקשה </w:t>
      </w:r>
      <w:r w:rsidRPr="0050146A">
        <w:rPr>
          <w:rStyle w:val="af8"/>
          <w:rFonts w:hint="cs"/>
          <w:rtl/>
        </w:rPr>
        <w:t>החמד"ש</w:t>
      </w:r>
      <w:r w:rsidRPr="0050146A">
        <w:rPr>
          <w:rFonts w:hint="cs"/>
          <w:rtl/>
        </w:rPr>
        <w:t xml:space="preserve"> </w:t>
      </w:r>
      <w:r w:rsidRPr="0050146A">
        <w:rPr>
          <w:rStyle w:val="af6"/>
          <w:rFonts w:eastAsia="Guttman Hodes" w:hint="cs"/>
          <w:rtl/>
        </w:rPr>
        <w:t xml:space="preserve">(שו"ת יו"ד סי' י"ג ד"ה ודברי) </w:t>
      </w:r>
      <w:r w:rsidRPr="0050146A">
        <w:rPr>
          <w:rFonts w:hint="cs"/>
          <w:rtl/>
        </w:rPr>
        <w:t xml:space="preserve">על דברי </w:t>
      </w:r>
      <w:r w:rsidRPr="0050146A">
        <w:rPr>
          <w:rStyle w:val="af8"/>
          <w:rFonts w:hint="cs"/>
          <w:rtl/>
        </w:rPr>
        <w:t>הרשב"א</w:t>
      </w:r>
      <w:r w:rsidRPr="0050146A">
        <w:rPr>
          <w:rFonts w:hint="cs"/>
          <w:rtl/>
        </w:rPr>
        <w:t xml:space="preserve"> לעיל דבתחילת דבריו כתב </w:t>
      </w:r>
      <w:r w:rsidRPr="0050146A">
        <w:rPr>
          <w:rStyle w:val="af8"/>
          <w:rFonts w:hint="cs"/>
          <w:rtl/>
        </w:rPr>
        <w:t>הרשב"א</w:t>
      </w:r>
      <w:r w:rsidRPr="0050146A">
        <w:rPr>
          <w:rFonts w:hint="cs"/>
          <w:rtl/>
        </w:rPr>
        <w:t xml:space="preserve"> דאיירי באיסור שהוא עצמו אסור </w:t>
      </w:r>
      <w:r w:rsidRPr="0050146A">
        <w:rPr>
          <w:rFonts w:hint="cs"/>
          <w:rtl/>
        </w:rPr>
        <w:t xml:space="preserve">מדאו', אך שיעור השישים הוא מדרבנן, דהיינו כמ"ד דטעם כעיקר דרבנן, ובסוף דבריו כתב </w:t>
      </w:r>
      <w:r w:rsidRPr="0050146A">
        <w:rPr>
          <w:rStyle w:val="af8"/>
          <w:rFonts w:hint="cs"/>
          <w:rtl/>
        </w:rPr>
        <w:t>הרשב"א</w:t>
      </w:r>
      <w:r w:rsidRPr="0050146A">
        <w:rPr>
          <w:rFonts w:hint="cs"/>
          <w:rtl/>
        </w:rPr>
        <w:t xml:space="preserve"> דהוא למ"ד טעם כעיקר דאו', וביאר </w:t>
      </w:r>
      <w:r w:rsidRPr="0050146A">
        <w:rPr>
          <w:rStyle w:val="af8"/>
          <w:rFonts w:hint="cs"/>
          <w:rtl/>
        </w:rPr>
        <w:t>החמד"ש</w:t>
      </w:r>
      <w:r w:rsidRPr="0050146A">
        <w:rPr>
          <w:rFonts w:hint="cs"/>
          <w:rtl/>
        </w:rPr>
        <w:t xml:space="preserve"> דכוונת </w:t>
      </w:r>
      <w:r w:rsidRPr="0050146A">
        <w:rPr>
          <w:rStyle w:val="af8"/>
          <w:rFonts w:hint="cs"/>
          <w:rtl/>
        </w:rPr>
        <w:t>הרשב"א</w:t>
      </w:r>
      <w:r w:rsidRPr="0050146A">
        <w:rPr>
          <w:rFonts w:hint="cs"/>
          <w:rtl/>
        </w:rPr>
        <w:t xml:space="preserve"> היא על מין במינו. </w:t>
      </w:r>
      <w:r w:rsidRPr="0050146A">
        <w:rPr>
          <w:rStyle w:val="afa"/>
          <w:rFonts w:hint="cs"/>
          <w:rtl/>
        </w:rPr>
        <w:t>[דלכו"ע שיעור שישים הוא דרבנן].</w:t>
      </w:r>
    </w:p>
    <w:p w:rsidR="00F7606D" w:rsidRPr="0050146A" w:rsidRDefault="00F7606D" w:rsidP="00F7606D">
      <w:pPr>
        <w:pStyle w:val="a2"/>
        <w:rPr>
          <w:rtl/>
        </w:rPr>
      </w:pPr>
      <w:bookmarkStart w:id="5582" w:name="_Toc12895420"/>
      <w:bookmarkStart w:id="5583" w:name="_Toc12896305"/>
      <w:bookmarkStart w:id="5584" w:name="_Toc12896465"/>
      <w:r w:rsidRPr="0050146A">
        <w:rPr>
          <w:rFonts w:hint="cs"/>
          <w:rtl/>
        </w:rPr>
        <w:t>דברי החמד"ש דכוונת הרשב"א דלמ"ד טע"כ דאו' א"כ במין במינו צריך רוב כנגד הטעם</w:t>
      </w:r>
      <w:bookmarkEnd w:id="5582"/>
      <w:bookmarkEnd w:id="5583"/>
      <w:bookmarkEnd w:id="5584"/>
    </w:p>
    <w:p w:rsidR="00F7606D" w:rsidRPr="0050146A" w:rsidRDefault="00F7606D" w:rsidP="009F44AF">
      <w:pPr>
        <w:pStyle w:val="a"/>
        <w:rPr>
          <w:rtl/>
        </w:rPr>
      </w:pPr>
      <w:r w:rsidRPr="0050146A">
        <w:rPr>
          <w:rFonts w:hint="cs"/>
          <w:rtl/>
        </w:rPr>
        <w:t xml:space="preserve">וכתב </w:t>
      </w:r>
      <w:r w:rsidRPr="0050146A">
        <w:rPr>
          <w:rStyle w:val="af8"/>
          <w:rFonts w:hint="cs"/>
          <w:rtl/>
        </w:rPr>
        <w:t>החמד"ש</w:t>
      </w:r>
      <w:r w:rsidRPr="0050146A">
        <w:rPr>
          <w:rFonts w:hint="cs"/>
          <w:rtl/>
        </w:rPr>
        <w:t xml:space="preserve"> דא"כ מבואר מדברי </w:t>
      </w:r>
      <w:r w:rsidRPr="0050146A">
        <w:rPr>
          <w:rStyle w:val="af8"/>
          <w:rFonts w:hint="cs"/>
          <w:rtl/>
        </w:rPr>
        <w:t>הרשב"א</w:t>
      </w:r>
      <w:r w:rsidRPr="0050146A">
        <w:rPr>
          <w:rFonts w:hint="cs"/>
          <w:rtl/>
        </w:rPr>
        <w:t xml:space="preserve"> דלמ"ד טעם כעיקר דאו' במין בשאינו מינו, א"כ במין במינו מדאו' צריך רוב כנגד הטעם, </w:t>
      </w:r>
      <w:r w:rsidRPr="0050146A">
        <w:rPr>
          <w:rStyle w:val="afa"/>
          <w:rFonts w:hint="cs"/>
          <w:rtl/>
        </w:rPr>
        <w:t xml:space="preserve">[וזו כוונת </w:t>
      </w:r>
      <w:r w:rsidRPr="0050146A">
        <w:rPr>
          <w:rStyle w:val="affa"/>
          <w:rFonts w:hint="cs"/>
          <w:rtl/>
        </w:rPr>
        <w:t>הרשב"א</w:t>
      </w:r>
      <w:r w:rsidRPr="0050146A">
        <w:rPr>
          <w:rStyle w:val="afa"/>
          <w:rFonts w:hint="cs"/>
          <w:rtl/>
        </w:rPr>
        <w:t xml:space="preserve"> דרק שיעור שישים הוא מדרבנן], </w:t>
      </w:r>
      <w:r w:rsidRPr="0050146A">
        <w:rPr>
          <w:rFonts w:hint="cs"/>
          <w:rtl/>
        </w:rPr>
        <w:t xml:space="preserve">ואילו למ"ד דטעם כעיקר דרבנן, א"כ במין במינו מדאו' א"צ רוב כנגד הטעם, דטעם בלא ממשות אינו כלום, וע"ע במה שהביא </w:t>
      </w:r>
      <w:r w:rsidRPr="0050146A">
        <w:rPr>
          <w:rStyle w:val="af8"/>
          <w:rFonts w:hint="cs"/>
          <w:rtl/>
        </w:rPr>
        <w:t>החמד"ש</w:t>
      </w:r>
      <w:r w:rsidRPr="0050146A">
        <w:rPr>
          <w:rFonts w:hint="cs"/>
          <w:rtl/>
        </w:rPr>
        <w:t xml:space="preserve"> ראיה לזה מדברי </w:t>
      </w:r>
      <w:r w:rsidRPr="0050146A">
        <w:rPr>
          <w:rStyle w:val="af8"/>
          <w:rFonts w:hint="cs"/>
          <w:rtl/>
        </w:rPr>
        <w:t>התוס' בע"ז</w:t>
      </w:r>
      <w:r w:rsidRPr="0050146A">
        <w:rPr>
          <w:rFonts w:hint="cs"/>
          <w:rtl/>
        </w:rPr>
        <w:t xml:space="preserve"> </w:t>
      </w:r>
      <w:r w:rsidRPr="0050146A">
        <w:rPr>
          <w:rStyle w:val="af6"/>
          <w:rFonts w:eastAsia="Guttman Hodes" w:hint="cs"/>
          <w:rtl/>
        </w:rPr>
        <w:t>(סה: ד"ה הבגד)</w:t>
      </w:r>
      <w:r w:rsidRPr="0050146A">
        <w:rPr>
          <w:rFonts w:hint="cs"/>
          <w:rtl/>
        </w:rPr>
        <w:t>.</w:t>
      </w:r>
    </w:p>
    <w:p w:rsidR="00F7606D" w:rsidRPr="0050146A" w:rsidRDefault="00F7606D" w:rsidP="00F7606D">
      <w:pPr>
        <w:pStyle w:val="a2"/>
        <w:rPr>
          <w:rtl/>
        </w:rPr>
      </w:pPr>
      <w:bookmarkStart w:id="5585" w:name="_Toc12895421"/>
      <w:bookmarkStart w:id="5586" w:name="_Toc12896306"/>
      <w:bookmarkStart w:id="5587" w:name="_Toc12896466"/>
      <w:r w:rsidRPr="0050146A">
        <w:rPr>
          <w:rFonts w:hint="cs"/>
          <w:rtl/>
        </w:rPr>
        <w:t>הוכחת החמד"ש מקושית הרשב"א דלר"י טע"כ דאו' דס"ל דלמ"ד טע"כ אין הטעם אסור כלל</w:t>
      </w:r>
      <w:bookmarkEnd w:id="5585"/>
      <w:bookmarkEnd w:id="5586"/>
      <w:bookmarkEnd w:id="5587"/>
    </w:p>
    <w:p w:rsidR="00CF5545" w:rsidRPr="0050146A" w:rsidRDefault="00F7606D" w:rsidP="009F44AF">
      <w:pPr>
        <w:pStyle w:val="a"/>
        <w:rPr>
          <w:rtl/>
        </w:rPr>
      </w:pPr>
      <w:bookmarkStart w:id="5588" w:name="_Ref12893805"/>
      <w:r w:rsidRPr="0050146A">
        <w:rPr>
          <w:rFonts w:hint="cs"/>
          <w:rtl/>
        </w:rPr>
        <w:t xml:space="preserve">ועוד הביא </w:t>
      </w:r>
      <w:r w:rsidRPr="0050146A">
        <w:rPr>
          <w:rStyle w:val="af8"/>
          <w:rFonts w:hint="cs"/>
          <w:rtl/>
        </w:rPr>
        <w:t>החמד"ש</w:t>
      </w:r>
      <w:r w:rsidRPr="0050146A">
        <w:rPr>
          <w:rFonts w:hint="cs"/>
          <w:rtl/>
        </w:rPr>
        <w:t xml:space="preserve"> </w:t>
      </w:r>
      <w:r w:rsidRPr="0050146A">
        <w:rPr>
          <w:rStyle w:val="af6"/>
          <w:rFonts w:eastAsia="Guttman Hodes" w:hint="cs"/>
          <w:rtl/>
        </w:rPr>
        <w:t>(שו"ת יו"ד סי' י"ג ד"ה ומדברי הרשב"א)</w:t>
      </w:r>
      <w:r w:rsidRPr="0050146A">
        <w:rPr>
          <w:rFonts w:hint="cs"/>
          <w:rtl/>
        </w:rPr>
        <w:t xml:space="preserve"> ראיה מקושית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Ref12891455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50146A">
        <w:rPr>
          <w:rStyle w:val="af6"/>
          <w:rFonts w:eastAsia="Guttman Hodes"/>
          <w:rtl/>
        </w:rPr>
        <w:fldChar w:fldCharType="end"/>
      </w:r>
      <w:r w:rsidRPr="0050146A">
        <w:rPr>
          <w:rFonts w:hint="cs"/>
          <w:rtl/>
        </w:rPr>
        <w:t xml:space="preserve"> על </w:t>
      </w:r>
      <w:r w:rsidRPr="0050146A">
        <w:rPr>
          <w:rStyle w:val="af8"/>
          <w:rFonts w:hint="cs"/>
          <w:rtl/>
        </w:rPr>
        <w:t>רש"י</w:t>
      </w:r>
      <w:r w:rsidRPr="0050146A">
        <w:rPr>
          <w:rFonts w:hint="cs"/>
          <w:rtl/>
        </w:rPr>
        <w:t xml:space="preserve"> דהיאך אפש"ל דטעם כעיקר דרבנן, הא פסק </w:t>
      </w:r>
      <w:r w:rsidRPr="0050146A">
        <w:rPr>
          <w:rStyle w:val="af8"/>
          <w:rFonts w:hint="cs"/>
          <w:rtl/>
        </w:rPr>
        <w:t>רש"י</w:t>
      </w:r>
      <w:r w:rsidRPr="0050146A">
        <w:rPr>
          <w:rFonts w:hint="cs"/>
          <w:rtl/>
        </w:rPr>
        <w:t xml:space="preserve"> כר"י דמין במינו לא בטל, ולדעת ר"י מוכח דטעם כעיקר דאו', וכתב </w:t>
      </w:r>
      <w:r w:rsidRPr="0050146A">
        <w:rPr>
          <w:rStyle w:val="af8"/>
          <w:rFonts w:hint="cs"/>
          <w:rtl/>
        </w:rPr>
        <w:t>החמד"ש</w:t>
      </w:r>
      <w:r w:rsidRPr="0050146A">
        <w:rPr>
          <w:rFonts w:hint="cs"/>
          <w:rtl/>
        </w:rPr>
        <w:t xml:space="preserve"> דאי ס"ל </w:t>
      </w:r>
      <w:r w:rsidRPr="0050146A">
        <w:rPr>
          <w:rStyle w:val="af8"/>
          <w:rFonts w:hint="cs"/>
          <w:rtl/>
        </w:rPr>
        <w:t>להרשב"א</w:t>
      </w:r>
      <w:r w:rsidRPr="0050146A">
        <w:rPr>
          <w:rFonts w:hint="cs"/>
          <w:rtl/>
        </w:rPr>
        <w:t xml:space="preserve"> דהא דטעם כעיקר לאו דאו' הוא כיון דמהני ביה ביטול ברוב, א"כ פשיטא דלר"י דאין ביטול במין במינו דהטעם אסור מדאו', ולא היה </w:t>
      </w:r>
      <w:r w:rsidRPr="0050146A">
        <w:rPr>
          <w:rStyle w:val="af8"/>
          <w:rFonts w:hint="cs"/>
          <w:rtl/>
        </w:rPr>
        <w:t>להרשב"א</w:t>
      </w:r>
      <w:r w:rsidRPr="0050146A">
        <w:rPr>
          <w:rFonts w:hint="cs"/>
          <w:rtl/>
        </w:rPr>
        <w:t xml:space="preserve"> להוכיח דס"ל לר"י דטעם כעיקר דאו', אלא כתב </w:t>
      </w:r>
      <w:r w:rsidRPr="0050146A">
        <w:rPr>
          <w:rStyle w:val="af8"/>
          <w:rFonts w:hint="cs"/>
          <w:rtl/>
        </w:rPr>
        <w:t>החמד"ש</w:t>
      </w:r>
      <w:r w:rsidRPr="0050146A">
        <w:rPr>
          <w:rFonts w:hint="cs"/>
          <w:rtl/>
        </w:rPr>
        <w:t xml:space="preserve"> דמוכח דס"ל </w:t>
      </w:r>
      <w:r w:rsidRPr="0050146A">
        <w:rPr>
          <w:rStyle w:val="af8"/>
          <w:rFonts w:hint="cs"/>
          <w:rtl/>
        </w:rPr>
        <w:t>להרשב"א</w:t>
      </w:r>
      <w:r w:rsidRPr="0050146A">
        <w:rPr>
          <w:rFonts w:hint="cs"/>
          <w:rtl/>
        </w:rPr>
        <w:t xml:space="preserve"> דלמ"ד טעם כעיקר דרבנן, מדאו' א"צ ביטול כלל, דאסרה תורה רק את ממשו של האיסור ולא את טעמו, וע"ע במ"ש לפי"ז </w:t>
      </w:r>
      <w:r w:rsidRPr="0050146A">
        <w:rPr>
          <w:rStyle w:val="af8"/>
          <w:rFonts w:hint="cs"/>
          <w:rtl/>
        </w:rPr>
        <w:t>החמד"ש</w:t>
      </w:r>
      <w:r w:rsidRPr="0050146A">
        <w:rPr>
          <w:rFonts w:hint="cs"/>
          <w:rtl/>
        </w:rPr>
        <w:t xml:space="preserve"> </w:t>
      </w:r>
      <w:r w:rsidRPr="0050146A">
        <w:rPr>
          <w:rStyle w:val="af6"/>
          <w:rFonts w:eastAsia="Guttman Hodes" w:hint="cs"/>
          <w:rtl/>
        </w:rPr>
        <w:t>(שו"ת סי' י"ד ט' ד"ה נחזור)</w:t>
      </w:r>
      <w:r w:rsidRPr="0050146A">
        <w:rPr>
          <w:rFonts w:hint="cs"/>
          <w:rtl/>
        </w:rPr>
        <w:t xml:space="preserve"> בביאור הילפותא מזרוע בשלה לחומרא להצריך שישים.</w:t>
      </w:r>
      <w:bookmarkEnd w:id="5588"/>
    </w:p>
    <w:p w:rsidR="00F7606D" w:rsidRPr="0050146A" w:rsidRDefault="00F7606D" w:rsidP="00F7606D">
      <w:pPr>
        <w:pStyle w:val="a2"/>
        <w:rPr>
          <w:rtl/>
        </w:rPr>
      </w:pPr>
      <w:bookmarkStart w:id="5589" w:name="_Toc12895422"/>
      <w:bookmarkStart w:id="5590" w:name="_Toc12896307"/>
      <w:bookmarkStart w:id="5591" w:name="_Toc12896467"/>
      <w:r w:rsidRPr="0050146A">
        <w:rPr>
          <w:rFonts w:hint="cs"/>
          <w:rtl/>
        </w:rPr>
        <w:t>דברי הגרעק"א דמוכח ברשב"א דמדאו' צריך בטעם ביטול ברוב</w:t>
      </w:r>
      <w:bookmarkEnd w:id="5589"/>
      <w:bookmarkEnd w:id="5590"/>
      <w:bookmarkEnd w:id="5591"/>
    </w:p>
    <w:p w:rsidR="00F7606D" w:rsidRPr="0050146A" w:rsidRDefault="00F7606D" w:rsidP="009F44AF">
      <w:pPr>
        <w:pStyle w:val="a"/>
        <w:rPr>
          <w:rtl/>
        </w:rPr>
        <w:sectPr w:rsidR="00F7606D" w:rsidRPr="0050146A" w:rsidSect="005049E2">
          <w:type w:val="continuous"/>
          <w:pgSz w:w="11906" w:h="16838"/>
          <w:pgMar w:top="720" w:right="720" w:bottom="720" w:left="720" w:header="283" w:footer="283" w:gutter="0"/>
          <w:cols w:num="2" w:space="567"/>
          <w:titlePg/>
          <w:bidi/>
          <w:rtlGutter/>
          <w:docGrid w:linePitch="299"/>
        </w:sectPr>
      </w:pPr>
      <w:bookmarkStart w:id="5592" w:name="_Ref12531993"/>
      <w:r w:rsidRPr="0050146A">
        <w:rPr>
          <w:rFonts w:hint="cs"/>
          <w:rtl/>
        </w:rPr>
        <w:t xml:space="preserve">אמנם </w:t>
      </w:r>
      <w:r w:rsidRPr="0050146A">
        <w:rPr>
          <w:rStyle w:val="af8"/>
          <w:rFonts w:hint="cs"/>
          <w:rtl/>
        </w:rPr>
        <w:t>הגרעק"א</w:t>
      </w:r>
      <w:r w:rsidRPr="0050146A">
        <w:rPr>
          <w:rStyle w:val="af6"/>
          <w:rFonts w:eastAsia="Guttman Hodes" w:hint="cs"/>
          <w:rtl/>
        </w:rPr>
        <w:t xml:space="preserve"> (צז: במערכה אות ו') </w:t>
      </w:r>
      <w:r w:rsidRPr="0050146A">
        <w:rPr>
          <w:rFonts w:hint="cs"/>
          <w:rtl/>
        </w:rPr>
        <w:t xml:space="preserve">כתב להיפך דכיון דכתב </w:t>
      </w:r>
      <w:r w:rsidRPr="0050146A">
        <w:rPr>
          <w:rStyle w:val="af8"/>
          <w:rFonts w:hint="cs"/>
          <w:rtl/>
        </w:rPr>
        <w:t>הרשב"א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Ref12891455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50146A">
        <w:rPr>
          <w:rStyle w:val="af6"/>
          <w:rFonts w:eastAsia="Guttman Hodes"/>
          <w:rtl/>
        </w:rPr>
        <w:fldChar w:fldCharType="end"/>
      </w:r>
      <w:r w:rsidRPr="0050146A">
        <w:rPr>
          <w:rFonts w:hint="cs"/>
          <w:rtl/>
        </w:rPr>
        <w:t xml:space="preserve"> דלר"י דמין במינו לא בטל, חתיכת נבילה שנתנה טעם בחתיכת שחוטה שהיא מינה, דהשחוטה נעשית נבילה מדאו', דלא מהני בה ביטול, הוא אף למ"ד דטעם כעיקר דאו', א"כ משמע </w:t>
      </w:r>
      <w:r w:rsidRPr="0050146A">
        <w:rPr>
          <w:rStyle w:val="afa"/>
          <w:rFonts w:hint="cs"/>
          <w:rtl/>
        </w:rPr>
        <w:t>[דלמ"ד דטעם כעיקר דרבנן]</w:t>
      </w:r>
      <w:r w:rsidRPr="0050146A">
        <w:rPr>
          <w:rFonts w:hint="cs"/>
          <w:rtl/>
        </w:rPr>
        <w:t xml:space="preserve"> דמדאו' צריך בטעם ביטול ברוב, ועי' במה שביאר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Ref12532121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 xml:space="preserve">בדברי </w:t>
      </w:r>
      <w:r w:rsidRPr="0050146A">
        <w:rPr>
          <w:rStyle w:val="af8"/>
          <w:rFonts w:hint="cs"/>
          <w:rtl/>
        </w:rPr>
        <w:t>הרשב"א</w:t>
      </w:r>
      <w:bookmarkEnd w:id="5592"/>
      <w:r w:rsidRPr="0050146A">
        <w:rPr>
          <w:rFonts w:hint="cs"/>
          <w:rtl/>
        </w:rPr>
        <w:t xml:space="preserve">, ועיי"ש במ"ש </w:t>
      </w:r>
      <w:r w:rsidRPr="0050146A">
        <w:rPr>
          <w:rStyle w:val="af8"/>
          <w:rFonts w:hint="cs"/>
          <w:rtl/>
        </w:rPr>
        <w:t>הגרעק"א</w:t>
      </w:r>
      <w:r w:rsidRPr="0050146A">
        <w:rPr>
          <w:rFonts w:hint="cs"/>
          <w:rtl/>
        </w:rPr>
        <w:t xml:space="preserve"> </w:t>
      </w:r>
      <w:r w:rsidRPr="0050146A">
        <w:rPr>
          <w:rStyle w:val="af6"/>
          <w:rFonts w:eastAsia="Guttman Hodes" w:hint="cs"/>
          <w:rtl/>
        </w:rPr>
        <w:t xml:space="preserve">(צז: במערכה אות ז') </w:t>
      </w:r>
      <w:r w:rsidRPr="0050146A">
        <w:rPr>
          <w:rFonts w:hint="cs"/>
          <w:rtl/>
        </w:rPr>
        <w:t xml:space="preserve">באריכות בדברי </w:t>
      </w:r>
      <w:r w:rsidRPr="0050146A">
        <w:rPr>
          <w:rStyle w:val="af8"/>
          <w:rFonts w:hint="cs"/>
          <w:rtl/>
        </w:rPr>
        <w:t>הרשב"א</w:t>
      </w:r>
      <w:r w:rsidRPr="0050146A">
        <w:rPr>
          <w:rFonts w:hint="cs"/>
          <w:rtl/>
        </w:rPr>
        <w:t xml:space="preserve"> בדין נותן טעם לפגם.</w:t>
      </w:r>
    </w:p>
    <w:p w:rsidR="00F7606D" w:rsidRPr="0050146A" w:rsidRDefault="00F7606D" w:rsidP="00E669F8">
      <w:pPr>
        <w:pStyle w:val="afd"/>
        <w:rPr>
          <w:rtl/>
        </w:rPr>
        <w:sectPr w:rsidR="00F7606D" w:rsidRPr="0050146A" w:rsidSect="00EE03CB">
          <w:type w:val="continuous"/>
          <w:pgSz w:w="11906" w:h="16838"/>
          <w:pgMar w:top="720" w:right="720" w:bottom="720" w:left="720" w:header="283" w:footer="283" w:gutter="0"/>
          <w:cols w:space="567"/>
          <w:bidi/>
          <w:rtlGutter/>
          <w:docGrid w:linePitch="299"/>
        </w:sectPr>
      </w:pPr>
    </w:p>
    <w:p w:rsidR="006005E6" w:rsidRPr="0050146A" w:rsidRDefault="00651E3B" w:rsidP="006005E6">
      <w:pPr>
        <w:tabs>
          <w:tab w:val="left" w:pos="1163"/>
        </w:tabs>
        <w:spacing w:after="120" w:line="240" w:lineRule="auto"/>
        <w:ind w:left="0"/>
        <w:rPr>
          <w:rFonts w:ascii="Guttman Hodes" w:eastAsia="Guttman Hodes" w:hAnsi="Guttman Hodes" w:cs="Guttman Hodes"/>
          <w:noProof/>
          <w:sz w:val="18"/>
          <w:szCs w:val="18"/>
          <w:rtl/>
        </w:rPr>
      </w:pPr>
      <w:bookmarkStart w:id="5593" w:name="_Toc12615970"/>
      <w:bookmarkStart w:id="5594" w:name="_Toc12791847"/>
      <w:bookmarkStart w:id="5595" w:name="_Toc12826329"/>
      <w:bookmarkStart w:id="5596" w:name="_Toc12872118"/>
      <w:r>
        <w:rPr>
          <w:rFonts w:ascii="Guttman Hodes" w:eastAsia="Guttman Hodes" w:hAnsi="Guttman Hodes" w:cs="Guttman Hodes"/>
          <w:noProof/>
          <w:sz w:val="18"/>
          <w:szCs w:val="18"/>
        </w:rPr>
        <w:lastRenderedPageBreak/>
        <w:pict>
          <v:shape id="_x0000_i1027" type="#_x0000_t75" style="width:404.55pt;height:6.8pt" o:hrpct="0" o:hralign="center" o:hr="t">
            <v:imagedata r:id="rId48" o:title="BD14845_"/>
          </v:shape>
        </w:pict>
      </w:r>
      <w:r w:rsidR="006005E6" w:rsidRPr="0050146A">
        <w:rPr>
          <w:rFonts w:ascii="Guttman Hodes" w:eastAsia="Guttman Hodes" w:hAnsi="Guttman Hodes" w:cs="Guttman Hodes" w:hint="cs"/>
          <w:noProof/>
          <w:sz w:val="18"/>
          <w:szCs w:val="18"/>
          <w:rtl/>
        </w:rPr>
        <w:t xml:space="preserve"> </w:t>
      </w:r>
    </w:p>
    <w:p w:rsidR="006005E6" w:rsidRPr="0050146A" w:rsidRDefault="006005E6" w:rsidP="00E669F8">
      <w:pPr>
        <w:pStyle w:val="afd"/>
        <w:rPr>
          <w:rtl/>
        </w:rPr>
        <w:sectPr w:rsidR="006005E6" w:rsidRPr="0050146A" w:rsidSect="006005E6">
          <w:pgSz w:w="11906" w:h="16838"/>
          <w:pgMar w:top="720" w:right="720" w:bottom="720" w:left="720" w:header="283" w:footer="283" w:gutter="0"/>
          <w:cols w:space="567"/>
          <w:bidi/>
          <w:rtlGutter/>
          <w:docGrid w:linePitch="299"/>
        </w:sectPr>
      </w:pPr>
      <w:bookmarkStart w:id="5597" w:name="_Toc12615969"/>
      <w:bookmarkStart w:id="5598" w:name="_Toc12791846"/>
      <w:bookmarkStart w:id="5599" w:name="_Toc12826328"/>
      <w:bookmarkStart w:id="5600" w:name="_Toc12872117"/>
      <w:bookmarkStart w:id="5601" w:name="_Toc12895423"/>
      <w:bookmarkStart w:id="5602" w:name="_Toc12896308"/>
      <w:bookmarkStart w:id="5603" w:name="_Toc12896468"/>
      <w:r w:rsidRPr="0050146A">
        <w:rPr>
          <w:rFonts w:hint="cs"/>
          <w:rtl/>
        </w:rPr>
        <w:t>ביאורי ראשי הישיבות</w:t>
      </w:r>
      <w:bookmarkEnd w:id="5597"/>
      <w:bookmarkEnd w:id="5598"/>
      <w:bookmarkEnd w:id="5599"/>
      <w:bookmarkEnd w:id="5600"/>
      <w:bookmarkEnd w:id="5601"/>
      <w:bookmarkEnd w:id="5602"/>
      <w:bookmarkEnd w:id="5603"/>
    </w:p>
    <w:p w:rsidR="006005E6" w:rsidRPr="0050146A" w:rsidRDefault="006005E6" w:rsidP="00E669F8">
      <w:pPr>
        <w:pStyle w:val="afd"/>
        <w:rPr>
          <w:rtl/>
        </w:rPr>
      </w:pPr>
      <w:r w:rsidRPr="0050146A">
        <w:rPr>
          <w:rFonts w:hint="cs"/>
          <w:rtl/>
        </w:rPr>
        <w:t>בגדר האיסור בטעם כעיקר</w:t>
      </w:r>
    </w:p>
    <w:p w:rsidR="006005E6" w:rsidRPr="0050146A" w:rsidRDefault="006005E6" w:rsidP="006005E6">
      <w:pPr>
        <w:pStyle w:val="1"/>
        <w:rPr>
          <w:rtl/>
        </w:rPr>
      </w:pPr>
      <w:bookmarkStart w:id="5604" w:name="_Toc12895425"/>
      <w:bookmarkStart w:id="5605" w:name="_Toc12896310"/>
      <w:bookmarkStart w:id="5606" w:name="_Toc12896470"/>
      <w:r w:rsidRPr="0050146A">
        <w:rPr>
          <w:rFonts w:hint="cs"/>
          <w:rtl/>
        </w:rPr>
        <w:t>חקירת הגר"ח אי ע"י הטעם ל"מ ביטול או דטע"כ הוא דין איסור</w:t>
      </w:r>
      <w:bookmarkEnd w:id="5604"/>
      <w:bookmarkEnd w:id="5605"/>
      <w:bookmarkEnd w:id="5606"/>
      <w:r w:rsidRPr="0050146A">
        <w:rPr>
          <w:rFonts w:hint="cs"/>
          <w:rtl/>
        </w:rPr>
        <w:t xml:space="preserve"> </w:t>
      </w:r>
    </w:p>
    <w:p w:rsidR="006005E6" w:rsidRPr="0050146A" w:rsidRDefault="006005E6" w:rsidP="006005E6">
      <w:pPr>
        <w:pStyle w:val="a2"/>
        <w:rPr>
          <w:rtl/>
        </w:rPr>
      </w:pPr>
      <w:bookmarkStart w:id="5607" w:name="_Toc12895426"/>
      <w:bookmarkStart w:id="5608" w:name="_Toc12896311"/>
      <w:bookmarkStart w:id="5609" w:name="_Toc12896471"/>
      <w:r w:rsidRPr="0050146A">
        <w:rPr>
          <w:rFonts w:hint="cs"/>
          <w:rtl/>
        </w:rPr>
        <w:t>חקירת הגר"ח אי מדין טע"כ לא מהני ביטול ברוב דהאיסור ניכר או דמהני ביטול והוא איסור חדש</w:t>
      </w:r>
      <w:bookmarkEnd w:id="5607"/>
      <w:bookmarkEnd w:id="5608"/>
      <w:bookmarkEnd w:id="5609"/>
    </w:p>
    <w:p w:rsidR="006005E6" w:rsidRPr="0050146A" w:rsidRDefault="006005E6" w:rsidP="009F44AF">
      <w:pPr>
        <w:pStyle w:val="a"/>
        <w:rPr>
          <w:rtl/>
        </w:rPr>
      </w:pPr>
      <w:bookmarkStart w:id="5610" w:name="_Ref12896046"/>
      <w:r w:rsidRPr="0050146A">
        <w:rPr>
          <w:rFonts w:hint="cs"/>
          <w:rtl/>
        </w:rPr>
        <w:t xml:space="preserve">חקר </w:t>
      </w:r>
      <w:r w:rsidRPr="0050146A">
        <w:rPr>
          <w:rStyle w:val="af8"/>
          <w:rFonts w:hint="cs"/>
          <w:rtl/>
        </w:rPr>
        <w:t>הגר"ח</w:t>
      </w:r>
      <w:r w:rsidRPr="0050146A">
        <w:rPr>
          <w:rFonts w:hint="cs"/>
          <w:rtl/>
        </w:rPr>
        <w:t xml:space="preserve"> </w:t>
      </w:r>
      <w:r w:rsidRPr="0050146A">
        <w:rPr>
          <w:rStyle w:val="af6"/>
          <w:rFonts w:eastAsia="Guttman Hodes" w:hint="cs"/>
          <w:rtl/>
        </w:rPr>
        <w:t>(מעשה הקרבנות פ"י הי"ב ד"ה והנה ביסוד)</w:t>
      </w:r>
      <w:r w:rsidRPr="0050146A">
        <w:rPr>
          <w:rFonts w:hint="cs"/>
          <w:rtl/>
        </w:rPr>
        <w:t xml:space="preserve"> בגדר דין טעם כעיקר, האם ע"י הטעם חשיב שהאיסור ניכר ולא מהני בו ביטול כלל, </w:t>
      </w:r>
      <w:r w:rsidRPr="0050146A">
        <w:rPr>
          <w:rStyle w:val="afa"/>
          <w:rFonts w:hint="cs"/>
          <w:rtl/>
        </w:rPr>
        <w:t xml:space="preserve">[וכדכתב </w:t>
      </w:r>
      <w:r w:rsidRPr="0050146A">
        <w:rPr>
          <w:rStyle w:val="affa"/>
          <w:rFonts w:hint="cs"/>
          <w:rtl/>
        </w:rPr>
        <w:t>הראב"ד</w:t>
      </w:r>
      <w:r w:rsidRPr="0050146A">
        <w:rPr>
          <w:rStyle w:val="afa"/>
          <w:rFonts w:hint="cs"/>
          <w:rtl/>
        </w:rPr>
        <w:t xml:space="preserve"> </w:t>
      </w:r>
      <w:r w:rsidRPr="0050146A">
        <w:rPr>
          <w:rStyle w:val="aff6"/>
          <w:rFonts w:hint="cs"/>
          <w:rtl/>
        </w:rPr>
        <w:t xml:space="preserve">(עי' אות </w:t>
      </w:r>
      <w:r w:rsidRPr="0050146A">
        <w:rPr>
          <w:rStyle w:val="aff6"/>
          <w:rtl/>
        </w:rPr>
        <w:fldChar w:fldCharType="begin"/>
      </w:r>
      <w:r w:rsidRPr="0050146A">
        <w:rPr>
          <w:rStyle w:val="aff6"/>
          <w:rtl/>
        </w:rPr>
        <w:instrText xml:space="preserve"> </w:instrText>
      </w:r>
      <w:r w:rsidRPr="0050146A">
        <w:rPr>
          <w:rStyle w:val="aff6"/>
          <w:rFonts w:hint="cs"/>
        </w:rPr>
        <w:instrText>REF</w:instrText>
      </w:r>
      <w:r w:rsidRPr="0050146A">
        <w:rPr>
          <w:rStyle w:val="aff6"/>
          <w:rFonts w:hint="cs"/>
          <w:rtl/>
        </w:rPr>
        <w:instrText xml:space="preserve"> _</w:instrText>
      </w:r>
      <w:r w:rsidRPr="0050146A">
        <w:rPr>
          <w:rStyle w:val="aff6"/>
          <w:rFonts w:hint="cs"/>
        </w:rPr>
        <w:instrText>Ref12868847 \r \h</w:instrText>
      </w:r>
      <w:r w:rsidRPr="0050146A">
        <w:rPr>
          <w:rStyle w:val="aff6"/>
          <w:rtl/>
        </w:rPr>
        <w:instrText xml:space="preserve"> </w:instrText>
      </w:r>
      <w:r w:rsidRPr="0050146A">
        <w:rPr>
          <w:rStyle w:val="aff6"/>
          <w:rtl/>
        </w:rPr>
      </w:r>
      <w:r w:rsidRPr="0050146A">
        <w:rPr>
          <w:rStyle w:val="aff6"/>
          <w:rtl/>
        </w:rPr>
        <w:fldChar w:fldCharType="separate"/>
      </w:r>
      <w:r w:rsidR="004D1C5B">
        <w:rPr>
          <w:rStyle w:val="aff6"/>
          <w:cs/>
        </w:rPr>
        <w:t>‎</w:t>
      </w:r>
      <w:r w:rsidR="004D1C5B">
        <w:rPr>
          <w:rStyle w:val="aff6"/>
          <w:rtl/>
        </w:rPr>
        <w:t>סט)</w:t>
      </w:r>
      <w:r w:rsidRPr="0050146A">
        <w:rPr>
          <w:rStyle w:val="aff6"/>
          <w:rtl/>
        </w:rPr>
        <w:fldChar w:fldCharType="end"/>
      </w:r>
      <w:r w:rsidRPr="0050146A">
        <w:rPr>
          <w:rStyle w:val="afa"/>
          <w:rFonts w:hint="cs"/>
          <w:rtl/>
        </w:rPr>
        <w:t xml:space="preserve">], </w:t>
      </w:r>
      <w:r w:rsidRPr="0050146A">
        <w:rPr>
          <w:rFonts w:hint="cs"/>
          <w:rtl/>
        </w:rPr>
        <w:t xml:space="preserve">או דבאמת מהני בטעם דין ביטול, אלא שיש גם על טעם האיסור דין איסור, ודילפינן ממשרת ומגיעולי עכו"ם, וכתב </w:t>
      </w:r>
      <w:r w:rsidRPr="0050146A">
        <w:rPr>
          <w:rStyle w:val="af8"/>
          <w:rFonts w:hint="cs"/>
          <w:rtl/>
        </w:rPr>
        <w:t>הגר"ח</w:t>
      </w:r>
      <w:r w:rsidRPr="0050146A">
        <w:rPr>
          <w:rFonts w:hint="cs"/>
          <w:rtl/>
        </w:rPr>
        <w:t xml:space="preserve"> דזהו לשון הגמ' בכל מקום דטעם כעיקר.</w:t>
      </w:r>
      <w:bookmarkEnd w:id="5610"/>
    </w:p>
    <w:p w:rsidR="006005E6" w:rsidRPr="0050146A" w:rsidRDefault="006005E6" w:rsidP="006005E6">
      <w:pPr>
        <w:pStyle w:val="a2"/>
        <w:rPr>
          <w:rtl/>
        </w:rPr>
      </w:pPr>
      <w:bookmarkStart w:id="5611" w:name="_Toc12896312"/>
      <w:bookmarkStart w:id="5612" w:name="_Toc12896472"/>
      <w:r w:rsidRPr="0050146A">
        <w:rPr>
          <w:rFonts w:hint="cs"/>
          <w:rtl/>
        </w:rPr>
        <w:t>דברי הגר"ח דמדין עיסת אורז מוכח דטעם כעיקר אינו דין באיסורים דא"א לצאת יד"ח מצה בטעם</w:t>
      </w:r>
      <w:bookmarkEnd w:id="5611"/>
      <w:bookmarkEnd w:id="5612"/>
    </w:p>
    <w:p w:rsidR="006005E6" w:rsidRPr="0050146A" w:rsidRDefault="006005E6" w:rsidP="009F44AF">
      <w:pPr>
        <w:pStyle w:val="a"/>
        <w:rPr>
          <w:rtl/>
        </w:rPr>
      </w:pPr>
      <w:bookmarkStart w:id="5613" w:name="_Ref12895728"/>
      <w:r w:rsidRPr="0050146A">
        <w:rPr>
          <w:rFonts w:hint="cs"/>
          <w:rtl/>
        </w:rPr>
        <w:t xml:space="preserve">והביא </w:t>
      </w:r>
      <w:r w:rsidRPr="0050146A">
        <w:rPr>
          <w:rStyle w:val="af8"/>
          <w:rFonts w:hint="cs"/>
          <w:rtl/>
        </w:rPr>
        <w:t>הגר"ח</w:t>
      </w:r>
      <w:r w:rsidRPr="0050146A">
        <w:rPr>
          <w:rFonts w:hint="cs"/>
          <w:rtl/>
        </w:rPr>
        <w:t xml:space="preserve"> את המשנה בחלה </w:t>
      </w:r>
      <w:r w:rsidRPr="0050146A">
        <w:rPr>
          <w:rStyle w:val="af6"/>
          <w:rFonts w:eastAsia="Guttman Hodes" w:hint="cs"/>
          <w:rtl/>
        </w:rPr>
        <w:t>(פ"ג מ"ז)</w:t>
      </w:r>
      <w:r w:rsidRPr="0050146A">
        <w:rPr>
          <w:rFonts w:hint="cs"/>
          <w:rtl/>
        </w:rPr>
        <w:t xml:space="preserve"> דהעושה עיסה מחיטין ומאורז, אם יש בה טעם דגן חייבת בחלה, ויוצא בה ידי חובת מצה בפסח, והביא </w:t>
      </w:r>
      <w:r w:rsidRPr="0050146A">
        <w:rPr>
          <w:rStyle w:val="af8"/>
          <w:rFonts w:hint="cs"/>
          <w:rtl/>
        </w:rPr>
        <w:t>הגר"ח</w:t>
      </w:r>
      <w:r w:rsidRPr="0050146A">
        <w:rPr>
          <w:rFonts w:hint="cs"/>
          <w:rtl/>
        </w:rPr>
        <w:t xml:space="preserve"> דבגמ' בזבחים </w:t>
      </w:r>
      <w:r w:rsidRPr="0050146A">
        <w:rPr>
          <w:rStyle w:val="af6"/>
          <w:rFonts w:eastAsia="Guttman Hodes" w:hint="cs"/>
          <w:rtl/>
        </w:rPr>
        <w:t>(עח:)</w:t>
      </w:r>
      <w:r w:rsidRPr="0050146A">
        <w:rPr>
          <w:rFonts w:hint="cs"/>
          <w:rtl/>
        </w:rPr>
        <w:t xml:space="preserve"> מבואר דהוא כיון דדין מין בשאינו מינו הוא בטעמא, וכתב </w:t>
      </w:r>
      <w:r w:rsidRPr="0050146A">
        <w:rPr>
          <w:rStyle w:val="af8"/>
          <w:rFonts w:hint="cs"/>
          <w:rtl/>
        </w:rPr>
        <w:t>הגר"ח</w:t>
      </w:r>
      <w:r w:rsidRPr="0050146A">
        <w:rPr>
          <w:rFonts w:hint="cs"/>
          <w:rtl/>
        </w:rPr>
        <w:t xml:space="preserve"> דאי בטעם כעיקר מהני בו ביטול, והטעם נתבטל ברוב ההיתר, אלא דהוא אסור מדין טעם כעיקר, א"כ דין זה שייך רק באיסורין, וכדילפינן ממשרת וגיעולי עכו"ם, דאף שהדבר עצמו התבטל, מ"מ הוא אסור מדין טעם כעיקר, אבל לא מהני דין טעם כעיקר להחשיבו כמצה דיצא בו ידי חובתו בפסח, דכיון שנבטלו החיטין באורז, פשיטא דא"א לצאת בו ידי חובת מצה, וביאר </w:t>
      </w:r>
      <w:r w:rsidRPr="0050146A">
        <w:rPr>
          <w:rStyle w:val="af8"/>
          <w:rFonts w:hint="cs"/>
          <w:rtl/>
        </w:rPr>
        <w:t>הגר"ח</w:t>
      </w:r>
      <w:r w:rsidRPr="0050146A">
        <w:rPr>
          <w:rFonts w:hint="cs"/>
          <w:rtl/>
        </w:rPr>
        <w:t xml:space="preserve"> דלא מצינו דדין טעם כעיקר מהני שיוצא בו יד"ח מצותו.</w:t>
      </w:r>
      <w:bookmarkEnd w:id="5613"/>
    </w:p>
    <w:p w:rsidR="006005E6" w:rsidRPr="0050146A" w:rsidRDefault="006005E6" w:rsidP="006005E6">
      <w:pPr>
        <w:pStyle w:val="a2"/>
        <w:rPr>
          <w:rtl/>
        </w:rPr>
      </w:pPr>
      <w:bookmarkStart w:id="5614" w:name="_Toc12896313"/>
      <w:bookmarkStart w:id="5615" w:name="_Toc12896473"/>
      <w:r w:rsidRPr="0050146A">
        <w:rPr>
          <w:rFonts w:hint="cs"/>
          <w:rtl/>
        </w:rPr>
        <w:t>דברי הגר"ח דמוכח מעיסת אורז דבטעם כעיקר פקע דין ביטול ויש בעיסה את עיקר החיטים</w:t>
      </w:r>
      <w:bookmarkEnd w:id="5614"/>
      <w:bookmarkEnd w:id="5615"/>
    </w:p>
    <w:p w:rsidR="006005E6" w:rsidRPr="0050146A" w:rsidRDefault="006005E6" w:rsidP="009F44AF">
      <w:pPr>
        <w:pStyle w:val="a"/>
        <w:rPr>
          <w:rStyle w:val="afa"/>
          <w:rtl/>
        </w:rPr>
      </w:pPr>
      <w:r w:rsidRPr="0050146A">
        <w:rPr>
          <w:rFonts w:hint="cs"/>
          <w:rtl/>
        </w:rPr>
        <w:t xml:space="preserve">אלא כתב </w:t>
      </w:r>
      <w:r w:rsidRPr="0050146A">
        <w:rPr>
          <w:rStyle w:val="af8"/>
          <w:rFonts w:hint="cs"/>
          <w:rtl/>
        </w:rPr>
        <w:t>הגר"ח</w:t>
      </w:r>
      <w:r w:rsidRPr="0050146A">
        <w:rPr>
          <w:rFonts w:hint="cs"/>
          <w:rtl/>
        </w:rPr>
        <w:t xml:space="preserve"> דמוכח ממתני' דחלה, דהגדר בטעם כעיקר הוא, דכיון שהטעם ניכר פקע ממנו דין ביטול גם על העיקר, ולכן יוצא בו ידי חובת מצה, דיש בעיסה את עיקרם של החיטין לכל הדברים. </w:t>
      </w:r>
      <w:r w:rsidRPr="0050146A">
        <w:rPr>
          <w:rStyle w:val="afa"/>
          <w:rFonts w:hint="cs"/>
          <w:rtl/>
        </w:rPr>
        <w:t>[דכיון שניכר טעם החיטין, ממילא הם לא התבטלו באורז, והוא אוכל מצה מהחיטין עצמם].</w:t>
      </w:r>
    </w:p>
    <w:p w:rsidR="006005E6" w:rsidRPr="0050146A" w:rsidRDefault="006005E6" w:rsidP="006005E6">
      <w:pPr>
        <w:pStyle w:val="a2"/>
        <w:rPr>
          <w:rtl/>
        </w:rPr>
      </w:pPr>
      <w:bookmarkStart w:id="5616" w:name="_Toc12896314"/>
      <w:bookmarkStart w:id="5617" w:name="_Toc12896474"/>
      <w:r w:rsidRPr="0050146A">
        <w:rPr>
          <w:rFonts w:hint="cs"/>
          <w:rtl/>
        </w:rPr>
        <w:t>קושית הגר"ח דמבואר בגמ' שצריך ילפותא גמורה לטע"כ ואי ל"מ ביטול ברוב סגי בגילוי מילתא</w:t>
      </w:r>
      <w:bookmarkEnd w:id="5616"/>
      <w:bookmarkEnd w:id="5617"/>
    </w:p>
    <w:p w:rsidR="006005E6" w:rsidRPr="0050146A" w:rsidRDefault="006005E6" w:rsidP="009F44AF">
      <w:pPr>
        <w:pStyle w:val="a"/>
      </w:pPr>
      <w:bookmarkStart w:id="5618" w:name="_Ref12895972"/>
      <w:r w:rsidRPr="0050146A">
        <w:rPr>
          <w:rFonts w:hint="cs"/>
          <w:rtl/>
        </w:rPr>
        <w:t xml:space="preserve">אך הקשה </w:t>
      </w:r>
      <w:r w:rsidRPr="0050146A">
        <w:rPr>
          <w:rStyle w:val="af8"/>
          <w:rFonts w:hint="cs"/>
          <w:rtl/>
        </w:rPr>
        <w:t>הגר"ח</w:t>
      </w:r>
      <w:r w:rsidRPr="0050146A">
        <w:rPr>
          <w:rFonts w:hint="cs"/>
          <w:rtl/>
        </w:rPr>
        <w:t xml:space="preserve"> דמבואר בגמ' דדינא דטעם כעיקר הוא ילפותא גמורה, ואינו רק גילוי מילתא, וכדאיתא בגמ' בפסחים </w:t>
      </w:r>
      <w:r w:rsidRPr="0050146A">
        <w:rPr>
          <w:rStyle w:val="af6"/>
          <w:rFonts w:eastAsia="Guttman Hodes" w:hint="cs"/>
          <w:rtl/>
        </w:rPr>
        <w:t>(מד:)</w:t>
      </w:r>
      <w:r w:rsidRPr="0050146A">
        <w:rPr>
          <w:rFonts w:hint="cs"/>
          <w:rtl/>
        </w:rPr>
        <w:t xml:space="preserve"> דילפינן ממשרת בנזיר לכל התורה בק"ו, ובגמ' בפסחים </w:t>
      </w:r>
      <w:r w:rsidRPr="0050146A">
        <w:rPr>
          <w:rStyle w:val="af6"/>
          <w:rFonts w:eastAsia="Guttman Hodes" w:hint="cs"/>
          <w:rtl/>
        </w:rPr>
        <w:t>(מה.)</w:t>
      </w:r>
      <w:r w:rsidRPr="0050146A">
        <w:rPr>
          <w:rFonts w:hint="cs"/>
          <w:rtl/>
        </w:rPr>
        <w:t xml:space="preserve"> דמחטאת לא ילפינן דחולין מקדשים לא ילפינן, ובגמ' בנזיר </w:t>
      </w:r>
      <w:r w:rsidRPr="0050146A">
        <w:rPr>
          <w:rStyle w:val="af6"/>
          <w:rFonts w:eastAsia="Guttman Hodes" w:hint="cs"/>
          <w:rtl/>
        </w:rPr>
        <w:t>(לז:)</w:t>
      </w:r>
      <w:r w:rsidRPr="0050146A">
        <w:rPr>
          <w:rFonts w:hint="cs"/>
          <w:rtl/>
        </w:rPr>
        <w:t xml:space="preserve"> דמנזיר לא ילפינן דחמיר איסוריה דאסור לו אף חרצן, ואי דין טעם כעיקר הוא רק גילוי מילתא דע"י הטעם חשיב שהאיסור ניכר</w:t>
      </w:r>
      <w:r w:rsidRPr="0050146A">
        <w:rPr>
          <w:rStyle w:val="afa"/>
          <w:rFonts w:hint="cs"/>
          <w:rtl/>
        </w:rPr>
        <w:t>, [דכיון שהטעם ניכר, ממילא לא התבטל אף ממשו],</w:t>
      </w:r>
      <w:r w:rsidRPr="0050146A">
        <w:rPr>
          <w:rFonts w:hint="cs"/>
          <w:rtl/>
        </w:rPr>
        <w:t xml:space="preserve"> א"כ א"צ ילפותא גמורה לזה, אלא כתב </w:t>
      </w:r>
      <w:r w:rsidRPr="0050146A">
        <w:rPr>
          <w:rStyle w:val="af8"/>
          <w:rFonts w:hint="cs"/>
          <w:rtl/>
        </w:rPr>
        <w:t>הגר"ח</w:t>
      </w:r>
      <w:r w:rsidRPr="0050146A">
        <w:rPr>
          <w:rFonts w:hint="cs"/>
          <w:rtl/>
        </w:rPr>
        <w:t xml:space="preserve"> דמוכח דדין טעם כעיקר הוא גזיה"כ בפנ"ע, שיש חלות איסור על הטעם כמו העיקר, והקשה </w:t>
      </w:r>
      <w:r w:rsidRPr="0050146A">
        <w:rPr>
          <w:rStyle w:val="af8"/>
          <w:rFonts w:hint="cs"/>
          <w:rtl/>
        </w:rPr>
        <w:t>הגר"ח</w:t>
      </w:r>
      <w:r w:rsidRPr="0050146A">
        <w:rPr>
          <w:rFonts w:hint="cs"/>
          <w:rtl/>
        </w:rPr>
        <w:t xml:space="preserve"> דא"כ יש סתירה בין הגמ' בפסחים ובנזיר, לגמ' בזבחים.</w:t>
      </w:r>
      <w:bookmarkEnd w:id="5618"/>
    </w:p>
    <w:p w:rsidR="006005E6" w:rsidRPr="0050146A" w:rsidRDefault="006005E6" w:rsidP="006005E6">
      <w:pPr>
        <w:pStyle w:val="1"/>
        <w:rPr>
          <w:rtl/>
        </w:rPr>
      </w:pPr>
      <w:bookmarkStart w:id="5619" w:name="_Toc12615971"/>
      <w:bookmarkStart w:id="5620" w:name="_Toc12791848"/>
      <w:bookmarkStart w:id="5621" w:name="_Toc12826330"/>
      <w:bookmarkStart w:id="5622" w:name="_Toc12872119"/>
      <w:bookmarkStart w:id="5623" w:name="_Toc12895427"/>
      <w:bookmarkStart w:id="5624" w:name="_Toc12896315"/>
      <w:bookmarkStart w:id="5625" w:name="_Toc12896475"/>
      <w:r w:rsidRPr="0050146A">
        <w:rPr>
          <w:rFonts w:hint="cs"/>
          <w:rtl/>
        </w:rPr>
        <w:t>ביאור הגר"ח דטעם כעיקר הוא חלות איסור ועי"ז ל"מ בו ביטול</w:t>
      </w:r>
      <w:bookmarkEnd w:id="5619"/>
      <w:bookmarkEnd w:id="5620"/>
      <w:bookmarkEnd w:id="5621"/>
      <w:bookmarkEnd w:id="5622"/>
      <w:bookmarkEnd w:id="5623"/>
      <w:bookmarkEnd w:id="5624"/>
      <w:bookmarkEnd w:id="5625"/>
    </w:p>
    <w:p w:rsidR="006005E6" w:rsidRPr="0050146A" w:rsidRDefault="006005E6" w:rsidP="006005E6">
      <w:pPr>
        <w:pStyle w:val="a2"/>
        <w:rPr>
          <w:rtl/>
        </w:rPr>
      </w:pPr>
      <w:bookmarkStart w:id="5626" w:name="_Toc12896316"/>
      <w:bookmarkStart w:id="5627" w:name="_Toc12896476"/>
      <w:r w:rsidRPr="0050146A">
        <w:rPr>
          <w:rFonts w:hint="cs"/>
          <w:rtl/>
        </w:rPr>
        <w:t>ביאור הגר"ח דיסוד טע"כ דיש בו חלות איסור כדילפינן ממשרת אך גדרו הוא דאינו מתבטל ברוב</w:t>
      </w:r>
      <w:bookmarkEnd w:id="5626"/>
      <w:bookmarkEnd w:id="5627"/>
    </w:p>
    <w:p w:rsidR="006005E6" w:rsidRPr="0050146A" w:rsidRDefault="006005E6" w:rsidP="009F44AF">
      <w:pPr>
        <w:pStyle w:val="a"/>
        <w:rPr>
          <w:rtl/>
        </w:rPr>
      </w:pPr>
      <w:r w:rsidRPr="0050146A">
        <w:rPr>
          <w:rFonts w:hint="cs"/>
          <w:rtl/>
        </w:rPr>
        <w:t xml:space="preserve">אלא כתב </w:t>
      </w:r>
      <w:r w:rsidRPr="0050146A">
        <w:rPr>
          <w:rStyle w:val="af8"/>
          <w:rFonts w:hint="cs"/>
          <w:rtl/>
        </w:rPr>
        <w:t>הגר"ח</w:t>
      </w:r>
      <w:r w:rsidRPr="0050146A">
        <w:rPr>
          <w:rFonts w:hint="cs"/>
          <w:rtl/>
        </w:rPr>
        <w:t xml:space="preserve"> דודאי דהיסוד בדין טעם כעיקר, הוא שהוא דין בפנ"ע דיש בו חלות איסור של טעם כעיקר, וכדילפינן ממשרת דיש בו לאו ואיסור, </w:t>
      </w:r>
      <w:r w:rsidR="00EB4488">
        <w:rPr>
          <w:rFonts w:hint="cs"/>
          <w:rtl/>
        </w:rPr>
        <w:t xml:space="preserve">אלא דזהו גופא הדין באיסור דטעם כעיקר, </w:t>
      </w:r>
      <w:r w:rsidR="00EB4488">
        <w:rPr>
          <w:rFonts w:hint="cs"/>
          <w:rtl/>
        </w:rPr>
        <w:t>דאינו מתבטל ברוב,</w:t>
      </w:r>
      <w:r w:rsidRPr="0050146A">
        <w:rPr>
          <w:rFonts w:hint="cs"/>
          <w:rtl/>
        </w:rPr>
        <w:t xml:space="preserve"> ועיי"ש במ"ש ה</w:t>
      </w:r>
      <w:r w:rsidRPr="0050146A">
        <w:rPr>
          <w:rStyle w:val="af8"/>
          <w:rFonts w:hint="cs"/>
          <w:rtl/>
        </w:rPr>
        <w:t>גר"ח</w:t>
      </w:r>
      <w:r w:rsidRPr="0050146A">
        <w:rPr>
          <w:rFonts w:hint="cs"/>
          <w:rtl/>
        </w:rPr>
        <w:t xml:space="preserve"> להוכיח כן מדין נותן טעם לפגם.</w:t>
      </w:r>
    </w:p>
    <w:p w:rsidR="006005E6" w:rsidRPr="0050146A" w:rsidRDefault="006005E6" w:rsidP="006005E6">
      <w:pPr>
        <w:pStyle w:val="a2"/>
        <w:rPr>
          <w:rtl/>
        </w:rPr>
      </w:pPr>
      <w:bookmarkStart w:id="5628" w:name="_Toc12896317"/>
      <w:bookmarkStart w:id="5629" w:name="_Toc12896477"/>
      <w:r w:rsidRPr="0050146A">
        <w:rPr>
          <w:rFonts w:hint="cs"/>
          <w:rtl/>
        </w:rPr>
        <w:t>דברי הגר"ח דאחר שיש דין טע"כ דהטעם הוא כהעיקר ממש ממילא פקע הביטול ויצא יד"ח מצה</w:t>
      </w:r>
      <w:bookmarkEnd w:id="5628"/>
      <w:bookmarkEnd w:id="5629"/>
    </w:p>
    <w:p w:rsidR="006005E6" w:rsidRPr="0050146A" w:rsidRDefault="006005E6" w:rsidP="009F44AF">
      <w:pPr>
        <w:pStyle w:val="a"/>
        <w:rPr>
          <w:rtl/>
        </w:rPr>
      </w:pPr>
      <w:r w:rsidRPr="0050146A">
        <w:rPr>
          <w:rFonts w:hint="cs"/>
          <w:rtl/>
        </w:rPr>
        <w:t xml:space="preserve">וכתב </w:t>
      </w:r>
      <w:r w:rsidRPr="0050146A">
        <w:rPr>
          <w:rStyle w:val="af8"/>
          <w:rFonts w:hint="cs"/>
          <w:rtl/>
        </w:rPr>
        <w:t>הגר"ח</w:t>
      </w:r>
      <w:r w:rsidRPr="0050146A">
        <w:rPr>
          <w:rFonts w:hint="cs"/>
          <w:rtl/>
        </w:rPr>
        <w:t xml:space="preserve"> דבזה מבואר היאך ע"י דין טעם כעיקר, מהני לצאת ידי חובת מצה בעיסה דחיטין ואורז, דאחר שע"י טעם כעיקר דינו הוא שהטעם הוא כמו העיקר ממש, ומחמת דין זה פקע ממנו דין ביטול, ממילא חשיב מצה של חיטין.</w:t>
      </w:r>
    </w:p>
    <w:p w:rsidR="006005E6" w:rsidRPr="0050146A" w:rsidRDefault="006005E6" w:rsidP="006005E6">
      <w:pPr>
        <w:pStyle w:val="a2"/>
        <w:rPr>
          <w:rtl/>
        </w:rPr>
      </w:pPr>
      <w:bookmarkStart w:id="5630" w:name="_Toc12896318"/>
      <w:bookmarkStart w:id="5631" w:name="_Toc12896478"/>
      <w:r w:rsidRPr="0050146A">
        <w:rPr>
          <w:rFonts w:hint="cs"/>
          <w:rtl/>
        </w:rPr>
        <w:t>דברי הגר"ח דא"כ טע"כ אינו גילוי מילתא אלא רק ע"י שיש חלות דין טע"כ ממילא פקע הביטול</w:t>
      </w:r>
      <w:bookmarkEnd w:id="5630"/>
      <w:bookmarkEnd w:id="5631"/>
    </w:p>
    <w:p w:rsidR="006005E6" w:rsidRPr="0050146A" w:rsidRDefault="006005E6" w:rsidP="009F44AF">
      <w:pPr>
        <w:pStyle w:val="a"/>
        <w:rPr>
          <w:rtl/>
        </w:rPr>
      </w:pPr>
      <w:r w:rsidRPr="0050146A">
        <w:rPr>
          <w:rFonts w:hint="cs"/>
          <w:rtl/>
        </w:rPr>
        <w:t xml:space="preserve">וכתב </w:t>
      </w:r>
      <w:r w:rsidRPr="0050146A">
        <w:rPr>
          <w:rStyle w:val="af8"/>
          <w:rFonts w:hint="cs"/>
          <w:rtl/>
        </w:rPr>
        <w:t>הגר"ח</w:t>
      </w:r>
      <w:r w:rsidRPr="0050146A">
        <w:rPr>
          <w:rFonts w:hint="cs"/>
          <w:rtl/>
        </w:rPr>
        <w:t xml:space="preserve"> דכן מיושב לפי"ז אמאי אין דין טעם כעיקר גילוי מילתא בעלמא, דהא דאין בטעם כעיקר דין ביטול, אינו רק מחמת שהוא ניכר ע"י הטעם ואינו מתבטל, אלא דע"י דילפינן שיש חלות איסור בטעם כעיקר, ממילא פקע ממנו דין ביטול, וע"ע במ"ש </w:t>
      </w:r>
      <w:r w:rsidRPr="0050146A">
        <w:rPr>
          <w:rStyle w:val="af8"/>
          <w:rFonts w:hint="cs"/>
          <w:rtl/>
        </w:rPr>
        <w:t>הגר"ח</w:t>
      </w:r>
      <w:r w:rsidRPr="0050146A">
        <w:rPr>
          <w:rFonts w:hint="cs"/>
          <w:rtl/>
        </w:rPr>
        <w:t xml:space="preserve"> </w:t>
      </w:r>
      <w:r w:rsidRPr="0050146A">
        <w:rPr>
          <w:rStyle w:val="af6"/>
          <w:rFonts w:eastAsia="Guttman Hodes" w:hint="cs"/>
          <w:rtl/>
        </w:rPr>
        <w:t>(מאכ"א פט"ו ה"א ד"ה והנה בפי"ד)</w:t>
      </w:r>
      <w:r w:rsidRPr="0050146A">
        <w:rPr>
          <w:rFonts w:hint="cs"/>
          <w:rtl/>
        </w:rPr>
        <w:t xml:space="preserve"> בגדר טעם כעיקר.</w:t>
      </w:r>
    </w:p>
    <w:p w:rsidR="006005E6" w:rsidRPr="0050146A" w:rsidRDefault="006005E6" w:rsidP="006005E6">
      <w:pPr>
        <w:pStyle w:val="1"/>
        <w:rPr>
          <w:rtl/>
        </w:rPr>
      </w:pPr>
      <w:bookmarkStart w:id="5632" w:name="_Toc12615972"/>
      <w:bookmarkStart w:id="5633" w:name="_Toc12791849"/>
      <w:bookmarkStart w:id="5634" w:name="_Toc12826331"/>
      <w:bookmarkStart w:id="5635" w:name="_Toc12872120"/>
      <w:bookmarkStart w:id="5636" w:name="_Toc12895428"/>
      <w:bookmarkStart w:id="5637" w:name="_Toc12896319"/>
      <w:bookmarkStart w:id="5638" w:name="_Toc12896479"/>
      <w:r w:rsidRPr="0050146A">
        <w:rPr>
          <w:rFonts w:hint="cs"/>
          <w:rtl/>
        </w:rPr>
        <w:t>דברי הגר"ח בגדר האיסור בטעם כעיקר אף שהתבטל ברוב</w:t>
      </w:r>
      <w:bookmarkEnd w:id="5632"/>
      <w:bookmarkEnd w:id="5633"/>
      <w:bookmarkEnd w:id="5634"/>
      <w:bookmarkEnd w:id="5635"/>
      <w:bookmarkEnd w:id="5636"/>
      <w:bookmarkEnd w:id="5637"/>
      <w:bookmarkEnd w:id="5638"/>
    </w:p>
    <w:p w:rsidR="006005E6" w:rsidRPr="0050146A" w:rsidRDefault="006005E6" w:rsidP="006005E6">
      <w:pPr>
        <w:pStyle w:val="a2"/>
        <w:rPr>
          <w:rtl/>
        </w:rPr>
      </w:pPr>
      <w:bookmarkStart w:id="5639" w:name="_Toc12896320"/>
      <w:bookmarkStart w:id="5640" w:name="_Toc12896480"/>
      <w:r w:rsidRPr="0050146A">
        <w:rPr>
          <w:rFonts w:hint="cs"/>
          <w:rtl/>
        </w:rPr>
        <w:t>דברי הגר"ח דבמין במינו אין ביטול כלל ובטע"כ יש חלות איסור אף שנתבטל הטעם בהיתר</w:t>
      </w:r>
      <w:bookmarkEnd w:id="5639"/>
      <w:bookmarkEnd w:id="5640"/>
    </w:p>
    <w:p w:rsidR="006005E6" w:rsidRPr="0050146A" w:rsidRDefault="006005E6" w:rsidP="009F44AF">
      <w:pPr>
        <w:pStyle w:val="a"/>
        <w:rPr>
          <w:rtl/>
        </w:rPr>
      </w:pPr>
      <w:r w:rsidRPr="0050146A">
        <w:rPr>
          <w:rFonts w:hint="cs"/>
          <w:rtl/>
        </w:rPr>
        <w:t xml:space="preserve">עו"כ </w:t>
      </w:r>
      <w:r w:rsidRPr="0050146A">
        <w:rPr>
          <w:rStyle w:val="af8"/>
          <w:rFonts w:hint="cs"/>
          <w:rtl/>
        </w:rPr>
        <w:t>הגר"ח</w:t>
      </w:r>
      <w:r w:rsidRPr="0050146A">
        <w:rPr>
          <w:rFonts w:hint="cs"/>
          <w:rtl/>
        </w:rPr>
        <w:t xml:space="preserve"> </w:t>
      </w:r>
      <w:r w:rsidRPr="0050146A">
        <w:rPr>
          <w:rStyle w:val="af6"/>
          <w:rFonts w:eastAsia="Guttman Hodes" w:hint="cs"/>
          <w:rtl/>
        </w:rPr>
        <w:t>(מאכ"א פ"ט ה"ט ד"ה ונראה לומר)</w:t>
      </w:r>
      <w:r w:rsidRPr="0050146A">
        <w:rPr>
          <w:rFonts w:hint="cs"/>
          <w:rtl/>
        </w:rPr>
        <w:t xml:space="preserve"> </w:t>
      </w:r>
      <w:r w:rsidRPr="0050146A">
        <w:rPr>
          <w:rStyle w:val="afa"/>
          <w:rFonts w:hint="cs"/>
          <w:rtl/>
        </w:rPr>
        <w:t xml:space="preserve">[בדעת </w:t>
      </w:r>
      <w:r w:rsidRPr="0050146A">
        <w:rPr>
          <w:rStyle w:val="affa"/>
          <w:rFonts w:hint="cs"/>
          <w:rtl/>
        </w:rPr>
        <w:t>הראב"ד</w:t>
      </w:r>
      <w:r w:rsidRPr="0050146A">
        <w:rPr>
          <w:rStyle w:val="afa"/>
          <w:rFonts w:hint="cs"/>
          <w:rtl/>
        </w:rPr>
        <w:t xml:space="preserve">] </w:t>
      </w:r>
      <w:r w:rsidRPr="0050146A">
        <w:rPr>
          <w:rFonts w:hint="cs"/>
          <w:rtl/>
        </w:rPr>
        <w:t xml:space="preserve">דיש חילוק בין דין טעם כעיקר, לדין מין במינו דלא בטל, דהא דלא מהני ביטול במין במינו, גדרו הוא שאין דין ביטול במין במינו כלל, וחשיב כנמצא בעין, אבל בטעם כעיקר </w:t>
      </w:r>
      <w:r w:rsidRPr="0050146A">
        <w:rPr>
          <w:rStyle w:val="afa"/>
          <w:rFonts w:hint="cs"/>
          <w:rtl/>
        </w:rPr>
        <w:t>[למ"ד דטעם כעיקר דאו']</w:t>
      </w:r>
      <w:r w:rsidRPr="0050146A">
        <w:rPr>
          <w:rStyle w:val="af6"/>
          <w:rFonts w:eastAsia="Guttman Hodes" w:hint="cs"/>
          <w:rtl/>
        </w:rPr>
        <w:t xml:space="preserve"> </w:t>
      </w:r>
      <w:r w:rsidRPr="0050146A">
        <w:rPr>
          <w:rFonts w:hint="cs"/>
          <w:rtl/>
        </w:rPr>
        <w:t xml:space="preserve">דיש גזיה"כ דטעם כעיקר אסור, אי"ז מחמת שאין בו דין ביטול, אלא חידשה בו תורה חלות דין איסור, דאף שהטעם מעורב בהיתר, ומצד דין ביטול נתבטל הטעם בהיתר, מ"מ אסרה תורה טעם כעיקר, וכתב </w:t>
      </w:r>
      <w:r w:rsidRPr="0050146A">
        <w:rPr>
          <w:rStyle w:val="af8"/>
          <w:rFonts w:hint="cs"/>
          <w:rtl/>
        </w:rPr>
        <w:t>הגר"ח</w:t>
      </w:r>
      <w:r w:rsidRPr="0050146A">
        <w:rPr>
          <w:rFonts w:hint="cs"/>
          <w:rtl/>
        </w:rPr>
        <w:t xml:space="preserve"> </w:t>
      </w:r>
      <w:r w:rsidRPr="0050146A">
        <w:rPr>
          <w:rStyle w:val="af6"/>
          <w:rFonts w:eastAsia="Guttman Hodes" w:hint="cs"/>
          <w:rtl/>
        </w:rPr>
        <w:t xml:space="preserve">(עי' אות </w:t>
      </w:r>
      <w:r w:rsidRPr="0050146A">
        <w:rPr>
          <w:rStyle w:val="af6"/>
          <w:rFonts w:eastAsia="Guttman Hodes"/>
          <w:rtl/>
        </w:rPr>
        <w:fldChar w:fldCharType="begin"/>
      </w:r>
      <w:r w:rsidRPr="0050146A">
        <w:rPr>
          <w:rStyle w:val="af6"/>
          <w:rFonts w:eastAsia="Guttman Hodes"/>
          <w:rtl/>
        </w:rPr>
        <w:instrText xml:space="preserve"> </w:instrText>
      </w:r>
      <w:r w:rsidRPr="0050146A">
        <w:rPr>
          <w:rStyle w:val="af6"/>
          <w:rFonts w:eastAsia="Guttman Hodes" w:hint="cs"/>
        </w:rPr>
        <w:instrText>REF</w:instrText>
      </w:r>
      <w:r w:rsidRPr="0050146A">
        <w:rPr>
          <w:rStyle w:val="af6"/>
          <w:rFonts w:eastAsia="Guttman Hodes" w:hint="cs"/>
          <w:rtl/>
        </w:rPr>
        <w:instrText xml:space="preserve"> _</w:instrText>
      </w:r>
      <w:r w:rsidRPr="0050146A">
        <w:rPr>
          <w:rStyle w:val="af6"/>
          <w:rFonts w:eastAsia="Guttman Hodes" w:hint="cs"/>
        </w:rPr>
        <w:instrText>Ref12895972 \r \h</w:instrText>
      </w:r>
      <w:r w:rsidRPr="0050146A">
        <w:rPr>
          <w:rStyle w:val="af6"/>
          <w:rFonts w:eastAsia="Guttman Hodes"/>
          <w:rtl/>
        </w:rPr>
        <w:instrText xml:space="preserve"> </w:instrText>
      </w:r>
      <w:r w:rsidRPr="0050146A">
        <w:rPr>
          <w:rStyle w:val="af6"/>
          <w:rFonts w:eastAsia="Guttman Hodes"/>
          <w:rtl/>
        </w:rPr>
      </w:r>
      <w:r w:rsidRPr="0050146A">
        <w:rPr>
          <w:rStyle w:val="af6"/>
          <w:rFonts w:eastAsia="Guttman Hodes"/>
          <w:rtl/>
        </w:rPr>
        <w:fldChar w:fldCharType="separate"/>
      </w:r>
      <w:r w:rsidR="004D1C5B">
        <w:rPr>
          <w:rStyle w:val="af6"/>
          <w:rFonts w:eastAsia="Guttman Hodes"/>
          <w:cs/>
        </w:rPr>
        <w:t>‎</w:t>
      </w:r>
      <w:r w:rsidR="004D1C5B">
        <w:rPr>
          <w:rStyle w:val="af6"/>
          <w:rFonts w:eastAsia="Guttman Hodes"/>
          <w:rtl/>
        </w:rPr>
        <w:t>קיב)</w:t>
      </w:r>
      <w:r w:rsidRPr="0050146A">
        <w:rPr>
          <w:rStyle w:val="af6"/>
          <w:rFonts w:eastAsia="Guttman Hodes"/>
          <w:rtl/>
        </w:rPr>
        <w:fldChar w:fldCharType="end"/>
      </w:r>
      <w:r w:rsidRPr="0050146A">
        <w:rPr>
          <w:rStyle w:val="af6"/>
          <w:rFonts w:eastAsia="Guttman Hodes" w:hint="cs"/>
          <w:rtl/>
        </w:rPr>
        <w:t xml:space="preserve"> </w:t>
      </w:r>
      <w:r w:rsidRPr="0050146A">
        <w:rPr>
          <w:rFonts w:hint="cs"/>
          <w:rtl/>
        </w:rPr>
        <w:t>דכן מוכח בגמ' בפסחים שצריך ילפותא מפורשת לדין טעם כעיקר, ואינו גילוי מילתא דאין בו ביטול, כיון שהוא חלות איסור חדשה של טעם כעיקר.</w:t>
      </w:r>
    </w:p>
    <w:p w:rsidR="006005E6" w:rsidRPr="0050146A" w:rsidRDefault="006005E6" w:rsidP="006005E6">
      <w:pPr>
        <w:pStyle w:val="a2"/>
        <w:rPr>
          <w:rtl/>
        </w:rPr>
      </w:pPr>
      <w:bookmarkStart w:id="5641" w:name="_Toc12896321"/>
      <w:bookmarkStart w:id="5642" w:name="_Toc12896481"/>
      <w:r w:rsidRPr="0050146A">
        <w:rPr>
          <w:rFonts w:hint="cs"/>
          <w:rtl/>
        </w:rPr>
        <w:t>דברי הגר"ח דאף דהטעם אסור מהטמאים צריך ילפותא ממשרת לדין איסור של טעם כעיקר</w:t>
      </w:r>
      <w:bookmarkEnd w:id="5641"/>
      <w:bookmarkEnd w:id="5642"/>
    </w:p>
    <w:p w:rsidR="00CF5545" w:rsidRDefault="006005E6" w:rsidP="009F44AF">
      <w:pPr>
        <w:pStyle w:val="a"/>
        <w:rPr>
          <w:rtl/>
        </w:rPr>
      </w:pPr>
      <w:bookmarkStart w:id="5643" w:name="_Ref12896150"/>
      <w:r w:rsidRPr="0050146A">
        <w:rPr>
          <w:rFonts w:hint="cs"/>
          <w:rtl/>
        </w:rPr>
        <w:t xml:space="preserve">וכתב </w:t>
      </w:r>
      <w:r w:rsidRPr="0050146A">
        <w:rPr>
          <w:rStyle w:val="af8"/>
          <w:rFonts w:hint="cs"/>
          <w:rtl/>
        </w:rPr>
        <w:t>הגר"ח</w:t>
      </w:r>
      <w:r w:rsidRPr="0050146A">
        <w:rPr>
          <w:rFonts w:hint="cs"/>
          <w:rtl/>
        </w:rPr>
        <w:t xml:space="preserve"> דכן מבואר מהא שצריך ילפותא לטעם כעיקר ממשרת, אעפ"י שיש כבר ילפותא מהטמאים לאסור צירן ורוטבן, דמבואר בזה דהטעם אסור כמו העיקר, אלא כתב </w:t>
      </w:r>
      <w:r w:rsidRPr="0050146A">
        <w:rPr>
          <w:rStyle w:val="af8"/>
          <w:rFonts w:hint="cs"/>
          <w:rtl/>
        </w:rPr>
        <w:t>הגר"ח</w:t>
      </w:r>
      <w:r w:rsidRPr="0050146A">
        <w:rPr>
          <w:rFonts w:hint="cs"/>
          <w:rtl/>
        </w:rPr>
        <w:t xml:space="preserve"> דבילפותא דהטמאים איירי כשהטעם נמצא בפנ"ע וילפינן דהטעם שיצא מהאיסור הוא אסור, והילפותא ממשרת היא לאסור טעם כעיקר כשהוא בתערובת ונתבטל בתוך ההיתר, ועי' במה שביאר בזה </w:t>
      </w:r>
      <w:r w:rsidRPr="0050146A">
        <w:rPr>
          <w:rStyle w:val="af8"/>
          <w:rFonts w:hint="cs"/>
          <w:rtl/>
        </w:rPr>
        <w:t>הגרי"ז</w:t>
      </w:r>
      <w:r w:rsidRPr="0050146A">
        <w:rPr>
          <w:rFonts w:hint="cs"/>
          <w:rtl/>
        </w:rPr>
        <w:t xml:space="preserve"> </w:t>
      </w:r>
      <w:r w:rsidRPr="0050146A">
        <w:rPr>
          <w:rStyle w:val="af6"/>
          <w:rFonts w:eastAsia="Guttman Hodes" w:hint="cs"/>
          <w:rtl/>
        </w:rPr>
        <w:t>(נזיר לו. ד"ה ואמר הגר"ח)</w:t>
      </w:r>
      <w:bookmarkEnd w:id="5643"/>
      <w:r w:rsidR="00316C05" w:rsidRPr="00316C05">
        <w:rPr>
          <w:rFonts w:hint="cs"/>
          <w:rtl/>
        </w:rPr>
        <w:t>.</w:t>
      </w:r>
    </w:p>
    <w:p w:rsidR="004D2988" w:rsidRDefault="004D2988" w:rsidP="00E669F8">
      <w:pPr>
        <w:pStyle w:val="afd"/>
        <w:rPr>
          <w:rtl/>
        </w:rPr>
      </w:pPr>
      <w:r>
        <w:rPr>
          <w:rFonts w:hint="cs"/>
          <w:rtl/>
        </w:rPr>
        <w:t xml:space="preserve">דברי </w:t>
      </w:r>
      <w:r w:rsidRPr="003C246C">
        <w:rPr>
          <w:rtl/>
        </w:rPr>
        <w:t xml:space="preserve">הגר"ח ברוב בטע"כ </w:t>
      </w:r>
      <w:r>
        <w:rPr>
          <w:rFonts w:hint="cs"/>
          <w:rtl/>
        </w:rPr>
        <w:t>ל</w:t>
      </w:r>
      <w:r w:rsidRPr="003C246C">
        <w:rPr>
          <w:rtl/>
        </w:rPr>
        <w:t>רמב"ם ו</w:t>
      </w:r>
      <w:r>
        <w:rPr>
          <w:rFonts w:hint="cs"/>
          <w:rtl/>
        </w:rPr>
        <w:t>ל</w:t>
      </w:r>
      <w:r w:rsidRPr="003C246C">
        <w:rPr>
          <w:rtl/>
        </w:rPr>
        <w:t xml:space="preserve">ראב"ד </w:t>
      </w:r>
    </w:p>
    <w:p w:rsidR="004D2988" w:rsidRDefault="004D2988" w:rsidP="004D2988">
      <w:pPr>
        <w:pStyle w:val="1"/>
        <w:rPr>
          <w:rtl/>
        </w:rPr>
      </w:pPr>
      <w:r>
        <w:rPr>
          <w:rFonts w:hint="cs"/>
          <w:rtl/>
        </w:rPr>
        <w:t>ביאור הגר"ח ברמב"ם דטע"כ הוא חלות איסור בפנ"ע</w:t>
      </w:r>
    </w:p>
    <w:p w:rsidR="004D2988" w:rsidRDefault="004D2988" w:rsidP="004D2988">
      <w:pPr>
        <w:pStyle w:val="a2"/>
        <w:rPr>
          <w:rtl/>
        </w:rPr>
      </w:pPr>
      <w:r>
        <w:rPr>
          <w:rFonts w:hint="cs"/>
          <w:rtl/>
        </w:rPr>
        <w:t>ביאור הגר"ח ברמב"ם דס"ל כרבינו אליהו דטע"כ דאו' בכזית בכא"פ ובפחות מכא"פ הוא דרבנן</w:t>
      </w:r>
    </w:p>
    <w:p w:rsidR="004D2988" w:rsidRDefault="004D2988" w:rsidP="009F44AF">
      <w:pPr>
        <w:pStyle w:val="a"/>
        <w:rPr>
          <w:rtl/>
        </w:rPr>
      </w:pPr>
      <w:r>
        <w:rPr>
          <w:rFonts w:hint="cs"/>
          <w:rtl/>
        </w:rPr>
        <w:t xml:space="preserve">כתב </w:t>
      </w:r>
      <w:r w:rsidRPr="00206381">
        <w:rPr>
          <w:rStyle w:val="af8"/>
          <w:rFonts w:hint="cs"/>
          <w:rtl/>
        </w:rPr>
        <w:t>הגר"ח</w:t>
      </w:r>
      <w:r>
        <w:rPr>
          <w:rFonts w:hint="cs"/>
          <w:rtl/>
        </w:rPr>
        <w:t xml:space="preserve"> </w:t>
      </w:r>
      <w:r w:rsidRPr="00F22A55">
        <w:rPr>
          <w:rStyle w:val="af6"/>
          <w:rFonts w:eastAsia="Guttman Hodes" w:hint="cs"/>
          <w:rtl/>
        </w:rPr>
        <w:t xml:space="preserve">(מאכ"א פט"ו ה"א) </w:t>
      </w:r>
      <w:r>
        <w:rPr>
          <w:rFonts w:hint="cs"/>
          <w:rtl/>
        </w:rPr>
        <w:t xml:space="preserve">דמדברי </w:t>
      </w:r>
      <w:r w:rsidRPr="00206381">
        <w:rPr>
          <w:rStyle w:val="af8"/>
          <w:rFonts w:hint="cs"/>
          <w:rtl/>
        </w:rPr>
        <w:t>הרמב"ם</w:t>
      </w:r>
      <w:r>
        <w:rPr>
          <w:rFonts w:hint="cs"/>
          <w:rtl/>
        </w:rPr>
        <w:t xml:space="preserve"> </w:t>
      </w:r>
      <w:r w:rsidRPr="00B85505">
        <w:rPr>
          <w:rStyle w:val="af6"/>
          <w:rFonts w:eastAsia="Guttman Hodes" w:hint="cs"/>
          <w:rtl/>
        </w:rPr>
        <w:t>(מאכ"א פט"ו ה"ב</w:t>
      </w:r>
      <w:r>
        <w:rPr>
          <w:rStyle w:val="af6"/>
          <w:rFonts w:eastAsia="Guttman Hodes" w:hint="cs"/>
          <w:rtl/>
        </w:rPr>
        <w:t xml:space="preserve">, הובא לקמן סימן יא' אות </w:t>
      </w:r>
      <w:r w:rsidR="007003D7">
        <w:rPr>
          <w:rStyle w:val="af6"/>
          <w:rFonts w:eastAsia="Guttman Hodes"/>
          <w:rtl/>
        </w:rPr>
        <w:fldChar w:fldCharType="begin"/>
      </w:r>
      <w:r w:rsidR="007003D7">
        <w:rPr>
          <w:rStyle w:val="af6"/>
          <w:rFonts w:eastAsia="Guttman Hodes"/>
          <w:rtl/>
        </w:rPr>
        <w:instrText xml:space="preserve"> </w:instrText>
      </w:r>
      <w:r w:rsidR="007003D7">
        <w:rPr>
          <w:rStyle w:val="af6"/>
          <w:rFonts w:eastAsia="Guttman Hodes" w:hint="cs"/>
        </w:rPr>
        <w:instrText>REF</w:instrText>
      </w:r>
      <w:r w:rsidR="007003D7">
        <w:rPr>
          <w:rStyle w:val="af6"/>
          <w:rFonts w:eastAsia="Guttman Hodes" w:hint="cs"/>
          <w:rtl/>
        </w:rPr>
        <w:instrText xml:space="preserve"> _</w:instrText>
      </w:r>
      <w:r w:rsidR="007003D7">
        <w:rPr>
          <w:rStyle w:val="af6"/>
          <w:rFonts w:eastAsia="Guttman Hodes" w:hint="cs"/>
        </w:rPr>
        <w:instrText>Ref14726062 \r \h</w:instrText>
      </w:r>
      <w:r w:rsidR="007003D7">
        <w:rPr>
          <w:rStyle w:val="af6"/>
          <w:rFonts w:eastAsia="Guttman Hodes"/>
          <w:rtl/>
        </w:rPr>
        <w:instrText xml:space="preserve"> </w:instrText>
      </w:r>
      <w:r w:rsidR="007003D7">
        <w:rPr>
          <w:rStyle w:val="af6"/>
          <w:rFonts w:eastAsia="Guttman Hodes"/>
          <w:rtl/>
        </w:rPr>
      </w:r>
      <w:r w:rsidR="007003D7">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007003D7">
        <w:rPr>
          <w:rStyle w:val="af6"/>
          <w:rFonts w:eastAsia="Guttman Hodes"/>
          <w:rtl/>
        </w:rPr>
        <w:fldChar w:fldCharType="end"/>
      </w:r>
      <w:r>
        <w:rPr>
          <w:rStyle w:val="af6"/>
          <w:rFonts w:eastAsia="Guttman Hodes" w:hint="cs"/>
          <w:rtl/>
        </w:rPr>
        <w:t xml:space="preserve">, </w:t>
      </w:r>
      <w:r w:rsidRPr="00392AE5">
        <w:rPr>
          <w:rStyle w:val="af6"/>
          <w:rFonts w:eastAsia="Guttman Hodes" w:hint="cs"/>
          <w:rtl/>
        </w:rPr>
        <w:t>נזירות פ"ה ה"</w:t>
      </w:r>
      <w:r>
        <w:rPr>
          <w:rStyle w:val="af6"/>
          <w:rFonts w:eastAsia="Guttman Hodes" w:hint="cs"/>
          <w:rtl/>
        </w:rPr>
        <w:t xml:space="preserve">ה, הובא לקמן סימן יא' אות </w:t>
      </w:r>
      <w:r w:rsidR="007003D7">
        <w:rPr>
          <w:rStyle w:val="af6"/>
          <w:rFonts w:eastAsia="Guttman Hodes"/>
          <w:rtl/>
        </w:rPr>
        <w:fldChar w:fldCharType="begin"/>
      </w:r>
      <w:r w:rsidR="007003D7">
        <w:rPr>
          <w:rStyle w:val="af6"/>
          <w:rFonts w:eastAsia="Guttman Hodes"/>
          <w:rtl/>
        </w:rPr>
        <w:instrText xml:space="preserve"> </w:instrText>
      </w:r>
      <w:r w:rsidR="007003D7">
        <w:rPr>
          <w:rStyle w:val="af6"/>
          <w:rFonts w:eastAsia="Guttman Hodes" w:hint="cs"/>
        </w:rPr>
        <w:instrText>REF</w:instrText>
      </w:r>
      <w:r w:rsidR="007003D7">
        <w:rPr>
          <w:rStyle w:val="af6"/>
          <w:rFonts w:eastAsia="Guttman Hodes" w:hint="cs"/>
          <w:rtl/>
        </w:rPr>
        <w:instrText xml:space="preserve"> _</w:instrText>
      </w:r>
      <w:r w:rsidR="007003D7">
        <w:rPr>
          <w:rStyle w:val="af6"/>
          <w:rFonts w:eastAsia="Guttman Hodes" w:hint="cs"/>
        </w:rPr>
        <w:instrText>Ref14857341 \r \h</w:instrText>
      </w:r>
      <w:r w:rsidR="007003D7">
        <w:rPr>
          <w:rStyle w:val="af6"/>
          <w:rFonts w:eastAsia="Guttman Hodes"/>
          <w:rtl/>
        </w:rPr>
        <w:instrText xml:space="preserve"> </w:instrText>
      </w:r>
      <w:r w:rsidR="007003D7">
        <w:rPr>
          <w:rStyle w:val="af6"/>
          <w:rFonts w:eastAsia="Guttman Hodes"/>
          <w:rtl/>
        </w:rPr>
      </w:r>
      <w:r w:rsidR="007003D7">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007003D7">
        <w:rPr>
          <w:rStyle w:val="af6"/>
          <w:rFonts w:eastAsia="Guttman Hodes"/>
          <w:rtl/>
        </w:rPr>
        <w:fldChar w:fldCharType="end"/>
      </w:r>
      <w:r>
        <w:rPr>
          <w:rStyle w:val="af6"/>
          <w:rFonts w:eastAsia="Guttman Hodes" w:hint="cs"/>
          <w:rtl/>
        </w:rPr>
        <w:t xml:space="preserve"> </w:t>
      </w:r>
      <w:r>
        <w:rPr>
          <w:rFonts w:hint="cs"/>
          <w:rtl/>
        </w:rPr>
        <w:t xml:space="preserve">דכתב דבטעם בכזית בכדי אכילת פרס לוקין, ובפחות מכזית בכדי אכילת פרס אסור רק מדרבנן, מבואר דס"ל </w:t>
      </w:r>
      <w:r w:rsidRPr="00206381">
        <w:rPr>
          <w:rStyle w:val="af8"/>
          <w:rFonts w:hint="cs"/>
          <w:rtl/>
        </w:rPr>
        <w:t>להרמב"ם</w:t>
      </w:r>
      <w:r>
        <w:rPr>
          <w:rFonts w:hint="cs"/>
          <w:rtl/>
        </w:rPr>
        <w:t xml:space="preserve"> כדעת </w:t>
      </w:r>
      <w:r w:rsidRPr="00206381">
        <w:rPr>
          <w:rStyle w:val="af8"/>
          <w:rFonts w:hint="cs"/>
          <w:rtl/>
        </w:rPr>
        <w:t>רבינו אליהו בתוס' בע"ז</w:t>
      </w:r>
      <w:r>
        <w:rPr>
          <w:rFonts w:hint="cs"/>
          <w:rtl/>
        </w:rPr>
        <w:t xml:space="preserve"> </w:t>
      </w:r>
      <w:r>
        <w:rPr>
          <w:rStyle w:val="af6"/>
          <w:rFonts w:eastAsia="Guttman Hodes" w:hint="cs"/>
          <w:rtl/>
        </w:rPr>
        <w:t>(עי'</w:t>
      </w:r>
      <w:r w:rsidR="006E2A17">
        <w:rPr>
          <w:rStyle w:val="af6"/>
          <w:rFonts w:eastAsia="Guttman Hodes" w:hint="cs"/>
          <w:rtl/>
        </w:rPr>
        <w:t xml:space="preserve"> אות </w:t>
      </w:r>
      <w:r w:rsidR="006E2A17">
        <w:rPr>
          <w:rStyle w:val="af6"/>
          <w:rFonts w:eastAsia="Guttman Hodes"/>
          <w:rtl/>
        </w:rPr>
        <w:fldChar w:fldCharType="begin"/>
      </w:r>
      <w:r w:rsidR="006E2A17">
        <w:rPr>
          <w:rStyle w:val="af6"/>
          <w:rFonts w:eastAsia="Guttman Hodes"/>
          <w:rtl/>
        </w:rPr>
        <w:instrText xml:space="preserve"> </w:instrText>
      </w:r>
      <w:r w:rsidR="006E2A17">
        <w:rPr>
          <w:rStyle w:val="af6"/>
          <w:rFonts w:eastAsia="Guttman Hodes" w:hint="cs"/>
        </w:rPr>
        <w:instrText>REF</w:instrText>
      </w:r>
      <w:r w:rsidR="006E2A17">
        <w:rPr>
          <w:rStyle w:val="af6"/>
          <w:rFonts w:eastAsia="Guttman Hodes" w:hint="cs"/>
          <w:rtl/>
        </w:rPr>
        <w:instrText xml:space="preserve"> _</w:instrText>
      </w:r>
      <w:r w:rsidR="006E2A17">
        <w:rPr>
          <w:rStyle w:val="af6"/>
          <w:rFonts w:eastAsia="Guttman Hodes" w:hint="cs"/>
        </w:rPr>
        <w:instrText>Ref20429518 \r \h</w:instrText>
      </w:r>
      <w:r w:rsidR="006E2A17">
        <w:rPr>
          <w:rStyle w:val="af6"/>
          <w:rFonts w:eastAsia="Guttman Hodes"/>
          <w:rtl/>
        </w:rPr>
        <w:instrText xml:space="preserve"> </w:instrText>
      </w:r>
      <w:r w:rsidR="006E2A17">
        <w:rPr>
          <w:rStyle w:val="af6"/>
          <w:rFonts w:eastAsia="Guttman Hodes"/>
          <w:rtl/>
        </w:rPr>
      </w:r>
      <w:r w:rsidR="006E2A17">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006E2A17">
        <w:rPr>
          <w:rStyle w:val="af6"/>
          <w:rFonts w:eastAsia="Guttman Hodes"/>
          <w:rtl/>
        </w:rPr>
        <w:fldChar w:fldCharType="end"/>
      </w:r>
      <w:r>
        <w:rPr>
          <w:rStyle w:val="af6"/>
          <w:rFonts w:eastAsia="Guttman Hodes" w:hint="cs"/>
          <w:rtl/>
        </w:rPr>
        <w:t xml:space="preserve"> </w:t>
      </w:r>
      <w:r>
        <w:rPr>
          <w:rFonts w:hint="cs"/>
          <w:rtl/>
        </w:rPr>
        <w:t xml:space="preserve">דטעם כעיקר דאו', וכל שיש בתערובת מהאיסור כזית בכדי אכילת פרס, הוא כלול בטעמו וממשו דאמר ריו"ח בע"ז </w:t>
      </w:r>
      <w:r w:rsidRPr="00F22A55">
        <w:rPr>
          <w:rStyle w:val="af6"/>
          <w:rFonts w:eastAsia="Guttman Hodes" w:hint="cs"/>
          <w:rtl/>
        </w:rPr>
        <w:t xml:space="preserve">(סז.) </w:t>
      </w:r>
      <w:r>
        <w:rPr>
          <w:rFonts w:hint="cs"/>
          <w:rtl/>
        </w:rPr>
        <w:t xml:space="preserve">דלוקין עליו, וכל שאין בו כזית בכדי אכילת פרס, הוא כלול בטעמו ולא ממשו דאין </w:t>
      </w:r>
      <w:r>
        <w:rPr>
          <w:rFonts w:hint="cs"/>
          <w:rtl/>
        </w:rPr>
        <w:lastRenderedPageBreak/>
        <w:t xml:space="preserve">לוקין עליו, וכתב </w:t>
      </w:r>
      <w:r w:rsidRPr="00C00B89">
        <w:rPr>
          <w:rStyle w:val="af8"/>
          <w:rFonts w:hint="cs"/>
          <w:rtl/>
        </w:rPr>
        <w:t>הגר"ח</w:t>
      </w:r>
      <w:r>
        <w:rPr>
          <w:rFonts w:hint="cs"/>
          <w:rtl/>
        </w:rPr>
        <w:t xml:space="preserve"> דס"ל </w:t>
      </w:r>
      <w:r w:rsidRPr="00C00B89">
        <w:rPr>
          <w:rStyle w:val="af8"/>
          <w:rFonts w:hint="cs"/>
          <w:rtl/>
        </w:rPr>
        <w:t>להרמב"ם</w:t>
      </w:r>
      <w:r>
        <w:rPr>
          <w:rFonts w:hint="cs"/>
          <w:rtl/>
        </w:rPr>
        <w:t xml:space="preserve"> דבטעמו ולא ממשו אסור מדרבנן.</w:t>
      </w:r>
    </w:p>
    <w:p w:rsidR="004D2988" w:rsidRPr="00270162" w:rsidRDefault="004D2988" w:rsidP="004D2988">
      <w:pPr>
        <w:pStyle w:val="a2"/>
        <w:rPr>
          <w:rtl/>
        </w:rPr>
      </w:pPr>
      <w:r>
        <w:rPr>
          <w:rFonts w:hint="cs"/>
          <w:rtl/>
        </w:rPr>
        <w:t>ביאור הגר"ח ברמב"ם דילפינן ממשרת דיש חלות איסור בטע"כ וממילא אינו מתבטל ברוב</w:t>
      </w:r>
    </w:p>
    <w:p w:rsidR="004D2988" w:rsidRDefault="004D2988" w:rsidP="009F44AF">
      <w:pPr>
        <w:pStyle w:val="a"/>
        <w:rPr>
          <w:rtl/>
        </w:rPr>
      </w:pPr>
      <w:r>
        <w:rPr>
          <w:rFonts w:hint="cs"/>
          <w:rtl/>
        </w:rPr>
        <w:t xml:space="preserve">וביאר </w:t>
      </w:r>
      <w:r w:rsidRPr="0010302E">
        <w:rPr>
          <w:rStyle w:val="af8"/>
          <w:rFonts w:hint="cs"/>
          <w:rtl/>
        </w:rPr>
        <w:t>הגר"ח</w:t>
      </w:r>
      <w:r>
        <w:rPr>
          <w:rFonts w:hint="cs"/>
          <w:rtl/>
        </w:rPr>
        <w:t xml:space="preserve"> </w:t>
      </w:r>
      <w:r w:rsidRPr="00022BE1">
        <w:rPr>
          <w:rStyle w:val="af6"/>
          <w:rFonts w:eastAsia="Guttman Hodes" w:hint="cs"/>
          <w:rtl/>
        </w:rPr>
        <w:t>(מאכ"א פט"ו ה"א ד"ה והנה בפי"ד בתו"ד)</w:t>
      </w:r>
      <w:r>
        <w:rPr>
          <w:rFonts w:hint="cs"/>
          <w:rtl/>
        </w:rPr>
        <w:t xml:space="preserve"> דדעת </w:t>
      </w:r>
      <w:r w:rsidRPr="0010302E">
        <w:rPr>
          <w:rStyle w:val="af8"/>
          <w:rFonts w:hint="cs"/>
          <w:rtl/>
        </w:rPr>
        <w:t>הרמב"ם</w:t>
      </w:r>
      <w:r>
        <w:rPr>
          <w:rFonts w:hint="cs"/>
          <w:rtl/>
        </w:rPr>
        <w:t xml:space="preserve"> דאף דבדין טעם כעיקר כלול שהטעם אינו מתבטל ברוב, מ"מ עיקר דין טעם כעיקר לא בא לומר שלא מהני בטעם ביטול ברוב, דכשיש טעם פקע דין ביטול, אלא דילפינן ממשרת דין חדש, וטעם כעיקר הוא חלות איסור בפנ"ע, ואחר שיש בו חלות איסור, ממילא אינו מתבטל ברוב, וע"ע שביאר בזה </w:t>
      </w:r>
      <w:r w:rsidRPr="004D086C">
        <w:rPr>
          <w:rStyle w:val="af8"/>
          <w:rFonts w:hint="cs"/>
          <w:rtl/>
        </w:rPr>
        <w:t>הגר"ח</w:t>
      </w:r>
      <w:r>
        <w:rPr>
          <w:rFonts w:hint="cs"/>
          <w:rtl/>
        </w:rPr>
        <w:t xml:space="preserve"> </w:t>
      </w:r>
      <w:r>
        <w:rPr>
          <w:rStyle w:val="af6"/>
          <w:rFonts w:eastAsia="Guttman Hodes" w:hint="cs"/>
          <w:rtl/>
        </w:rPr>
        <w:t xml:space="preserve">(הובא לקמן </w:t>
      </w:r>
      <w:r w:rsidRPr="007003D7">
        <w:rPr>
          <w:rStyle w:val="af6"/>
          <w:rFonts w:eastAsia="Guttman Hodes" w:hint="cs"/>
          <w:rtl/>
        </w:rPr>
        <w:t xml:space="preserve">סימן יא' אות </w:t>
      </w:r>
      <w:r w:rsidR="007003D7" w:rsidRPr="007003D7">
        <w:rPr>
          <w:rStyle w:val="af6"/>
          <w:rFonts w:eastAsia="Guttman Hodes"/>
          <w:rtl/>
        </w:rPr>
        <w:fldChar w:fldCharType="begin"/>
      </w:r>
      <w:r w:rsidR="007003D7" w:rsidRPr="007003D7">
        <w:rPr>
          <w:rStyle w:val="af6"/>
          <w:rFonts w:eastAsia="Guttman Hodes"/>
          <w:rtl/>
        </w:rPr>
        <w:instrText xml:space="preserve"> </w:instrText>
      </w:r>
      <w:r w:rsidR="007003D7" w:rsidRPr="007003D7">
        <w:rPr>
          <w:rStyle w:val="af6"/>
          <w:rFonts w:eastAsia="Guttman Hodes" w:hint="cs"/>
        </w:rPr>
        <w:instrText>REF</w:instrText>
      </w:r>
      <w:r w:rsidR="007003D7" w:rsidRPr="007003D7">
        <w:rPr>
          <w:rStyle w:val="af6"/>
          <w:rFonts w:eastAsia="Guttman Hodes" w:hint="cs"/>
          <w:rtl/>
        </w:rPr>
        <w:instrText xml:space="preserve"> _</w:instrText>
      </w:r>
      <w:r w:rsidR="007003D7" w:rsidRPr="007003D7">
        <w:rPr>
          <w:rStyle w:val="af6"/>
          <w:rFonts w:eastAsia="Guttman Hodes" w:hint="cs"/>
        </w:rPr>
        <w:instrText>Ref15845578 \r \h</w:instrText>
      </w:r>
      <w:r w:rsidR="007003D7" w:rsidRPr="007003D7">
        <w:rPr>
          <w:rStyle w:val="af6"/>
          <w:rFonts w:eastAsia="Guttman Hodes"/>
          <w:rtl/>
        </w:rPr>
        <w:instrText xml:space="preserve"> </w:instrText>
      </w:r>
      <w:r w:rsidR="007003D7" w:rsidRPr="007003D7">
        <w:rPr>
          <w:rStyle w:val="af6"/>
          <w:rFonts w:eastAsia="Guttman Hodes"/>
          <w:rtl/>
        </w:rPr>
      </w:r>
      <w:r w:rsidR="007003D7" w:rsidRPr="007003D7">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007003D7" w:rsidRPr="007003D7">
        <w:rPr>
          <w:rStyle w:val="af6"/>
          <w:rFonts w:eastAsia="Guttman Hodes"/>
          <w:rtl/>
        </w:rPr>
        <w:fldChar w:fldCharType="end"/>
      </w:r>
      <w:r>
        <w:rPr>
          <w:rFonts w:hint="cs"/>
          <w:rtl/>
        </w:rPr>
        <w:t xml:space="preserve"> בדברי </w:t>
      </w:r>
      <w:r>
        <w:rPr>
          <w:rStyle w:val="af8"/>
          <w:rFonts w:hint="cs"/>
          <w:rtl/>
        </w:rPr>
        <w:t>הרמב</w:t>
      </w:r>
      <w:r w:rsidRPr="00802CDF">
        <w:rPr>
          <w:rStyle w:val="af8"/>
          <w:rFonts w:hint="cs"/>
          <w:rtl/>
        </w:rPr>
        <w:t>"ם והראב"ד</w:t>
      </w:r>
      <w:r>
        <w:rPr>
          <w:rFonts w:hint="cs"/>
          <w:rtl/>
        </w:rPr>
        <w:t>.</w:t>
      </w:r>
    </w:p>
    <w:p w:rsidR="004D2988" w:rsidRDefault="004D2988" w:rsidP="004D2988">
      <w:pPr>
        <w:pStyle w:val="1"/>
        <w:rPr>
          <w:rtl/>
        </w:rPr>
      </w:pPr>
      <w:r w:rsidRPr="0081521B">
        <w:rPr>
          <w:rFonts w:hint="cs"/>
          <w:rtl/>
        </w:rPr>
        <w:t xml:space="preserve">ביאור </w:t>
      </w:r>
      <w:r>
        <w:rPr>
          <w:rFonts w:hint="cs"/>
          <w:rtl/>
        </w:rPr>
        <w:t>הגר"ח בפלוגתת הרמב"ם והראב"ד בביטול ברוב בטע"כ</w:t>
      </w:r>
    </w:p>
    <w:p w:rsidR="004D2988" w:rsidRPr="0081521B" w:rsidRDefault="004D2988" w:rsidP="004D2988">
      <w:pPr>
        <w:pStyle w:val="a2"/>
        <w:rPr>
          <w:rtl/>
        </w:rPr>
      </w:pPr>
      <w:r>
        <w:rPr>
          <w:rFonts w:hint="cs"/>
          <w:rtl/>
        </w:rPr>
        <w:t>דברי הגר"ח דלהראב"ד פלוגתת ר"א ורבנן בחיוב כרת היא רק בפחות מכזית בכא"פ</w:t>
      </w:r>
    </w:p>
    <w:p w:rsidR="004D2988" w:rsidRDefault="004D2988" w:rsidP="009F44AF">
      <w:pPr>
        <w:pStyle w:val="a"/>
        <w:rPr>
          <w:rtl/>
        </w:rPr>
      </w:pPr>
      <w:bookmarkStart w:id="5644" w:name="_Ref15838163"/>
      <w:r>
        <w:rPr>
          <w:rFonts w:hint="cs"/>
          <w:rtl/>
        </w:rPr>
        <w:t xml:space="preserve">הביא </w:t>
      </w:r>
      <w:r w:rsidRPr="0081521B">
        <w:rPr>
          <w:rStyle w:val="af8"/>
          <w:rFonts w:hint="cs"/>
          <w:rtl/>
        </w:rPr>
        <w:t>בחי' הגר"ח על הש"ס</w:t>
      </w:r>
      <w:r>
        <w:rPr>
          <w:rFonts w:hint="cs"/>
          <w:rtl/>
        </w:rPr>
        <w:t xml:space="preserve"> </w:t>
      </w:r>
      <w:r w:rsidRPr="0081521B">
        <w:rPr>
          <w:rStyle w:val="af6"/>
          <w:rFonts w:eastAsia="Guttman Hodes" w:hint="cs"/>
          <w:rtl/>
        </w:rPr>
        <w:t>(מהדו' מישור ערלה פ"ב מ"א בענין טעם כעיקר ד"ה ומעתה מבואר)</w:t>
      </w:r>
      <w:r>
        <w:rPr>
          <w:rFonts w:hint="cs"/>
          <w:rtl/>
        </w:rPr>
        <w:t xml:space="preserve"> את פלוגתת </w:t>
      </w:r>
      <w:r w:rsidRPr="0081521B">
        <w:rPr>
          <w:rStyle w:val="af8"/>
          <w:rFonts w:hint="cs"/>
          <w:rtl/>
        </w:rPr>
        <w:t>הרמב"ם והראב"ד</w:t>
      </w:r>
      <w:r>
        <w:rPr>
          <w:rFonts w:hint="cs"/>
          <w:rtl/>
        </w:rPr>
        <w:t xml:space="preserve"> בדין תערובת חמץ</w:t>
      </w:r>
      <w:r w:rsidRPr="00DB55B0">
        <w:rPr>
          <w:rFonts w:hint="cs"/>
          <w:rtl/>
        </w:rPr>
        <w:t xml:space="preserve"> </w:t>
      </w:r>
      <w:r>
        <w:rPr>
          <w:rFonts w:hint="cs"/>
          <w:rtl/>
        </w:rPr>
        <w:t xml:space="preserve">בכותח, </w:t>
      </w:r>
      <w:r w:rsidRPr="00C561D0">
        <w:rPr>
          <w:rStyle w:val="af8"/>
          <w:rFonts w:hint="cs"/>
          <w:rtl/>
        </w:rPr>
        <w:t>דלהרמב"ם</w:t>
      </w:r>
      <w:r>
        <w:rPr>
          <w:rFonts w:hint="cs"/>
          <w:rtl/>
        </w:rPr>
        <w:t xml:space="preserve"> </w:t>
      </w:r>
      <w:r w:rsidRPr="00084854">
        <w:rPr>
          <w:rStyle w:val="af6"/>
          <w:rFonts w:eastAsia="Guttman Hodes" w:hint="cs"/>
          <w:rtl/>
        </w:rPr>
        <w:t>(</w:t>
      </w:r>
      <w:r w:rsidRPr="00C561D0">
        <w:rPr>
          <w:rStyle w:val="af6"/>
          <w:rFonts w:eastAsia="Guttman Hodes" w:hint="cs"/>
          <w:rtl/>
        </w:rPr>
        <w:t xml:space="preserve">חמץ ומצה פ"א ה"ו, הובא לקמן סימן </w:t>
      </w:r>
      <w:r w:rsidRPr="007003D7">
        <w:rPr>
          <w:rStyle w:val="af6"/>
          <w:rFonts w:eastAsia="Guttman Hodes" w:hint="cs"/>
          <w:rtl/>
        </w:rPr>
        <w:t xml:space="preserve">יא' אות </w:t>
      </w:r>
      <w:r w:rsidR="007003D7" w:rsidRPr="007003D7">
        <w:rPr>
          <w:rStyle w:val="af6"/>
          <w:rFonts w:eastAsia="Guttman Hodes"/>
          <w:rtl/>
        </w:rPr>
        <w:fldChar w:fldCharType="begin"/>
      </w:r>
      <w:r w:rsidR="007003D7" w:rsidRPr="007003D7">
        <w:rPr>
          <w:rStyle w:val="af6"/>
          <w:rFonts w:eastAsia="Guttman Hodes"/>
          <w:rtl/>
        </w:rPr>
        <w:instrText xml:space="preserve"> </w:instrText>
      </w:r>
      <w:r w:rsidR="007003D7" w:rsidRPr="007003D7">
        <w:rPr>
          <w:rStyle w:val="af6"/>
          <w:rFonts w:eastAsia="Guttman Hodes" w:hint="cs"/>
        </w:rPr>
        <w:instrText>REF</w:instrText>
      </w:r>
      <w:r w:rsidR="007003D7" w:rsidRPr="007003D7">
        <w:rPr>
          <w:rStyle w:val="af6"/>
          <w:rFonts w:eastAsia="Guttman Hodes" w:hint="cs"/>
          <w:rtl/>
        </w:rPr>
        <w:instrText xml:space="preserve"> _</w:instrText>
      </w:r>
      <w:r w:rsidR="007003D7" w:rsidRPr="007003D7">
        <w:rPr>
          <w:rStyle w:val="af6"/>
          <w:rFonts w:eastAsia="Guttman Hodes" w:hint="cs"/>
        </w:rPr>
        <w:instrText>Ref15034275 \r \h</w:instrText>
      </w:r>
      <w:r w:rsidR="007003D7" w:rsidRPr="007003D7">
        <w:rPr>
          <w:rStyle w:val="af6"/>
          <w:rFonts w:eastAsia="Guttman Hodes"/>
          <w:rtl/>
        </w:rPr>
        <w:instrText xml:space="preserve"> </w:instrText>
      </w:r>
      <w:r w:rsidR="007003D7" w:rsidRPr="007003D7">
        <w:rPr>
          <w:rStyle w:val="af6"/>
          <w:rFonts w:eastAsia="Guttman Hodes"/>
          <w:rtl/>
        </w:rPr>
      </w:r>
      <w:r w:rsidR="007003D7" w:rsidRPr="007003D7">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007003D7" w:rsidRPr="007003D7">
        <w:rPr>
          <w:rStyle w:val="af6"/>
          <w:rFonts w:eastAsia="Guttman Hodes"/>
          <w:rtl/>
        </w:rPr>
        <w:fldChar w:fldCharType="end"/>
      </w:r>
      <w:r>
        <w:rPr>
          <w:rFonts w:hint="cs"/>
          <w:rtl/>
        </w:rPr>
        <w:t xml:space="preserve"> כשיש כזית בכדי אכילת פרס, אף שהוא נותן טעם ואסור מדאו', מ"</w:t>
      </w:r>
      <w:r w:rsidRPr="0039715E">
        <w:rPr>
          <w:rFonts w:hint="cs"/>
          <w:rtl/>
        </w:rPr>
        <w:t xml:space="preserve">מ אין בו כרת </w:t>
      </w:r>
      <w:r>
        <w:rPr>
          <w:rFonts w:hint="cs"/>
          <w:rtl/>
        </w:rPr>
        <w:t>ואסור רק</w:t>
      </w:r>
      <w:r w:rsidRPr="0039715E">
        <w:rPr>
          <w:rFonts w:hint="cs"/>
          <w:rtl/>
        </w:rPr>
        <w:t xml:space="preserve"> מלאו "כל מחמת לא תאכלו", </w:t>
      </w:r>
      <w:r>
        <w:rPr>
          <w:rFonts w:hint="cs"/>
          <w:rtl/>
        </w:rPr>
        <w:t xml:space="preserve">ובפחות מכזית בכדי אכילת פרס, אף שהוא אסור אין בו מלקות, </w:t>
      </w:r>
      <w:r w:rsidRPr="0039715E">
        <w:rPr>
          <w:rFonts w:hint="cs"/>
          <w:rtl/>
        </w:rPr>
        <w:t>ו</w:t>
      </w:r>
      <w:r>
        <w:rPr>
          <w:rFonts w:hint="cs"/>
          <w:rtl/>
        </w:rPr>
        <w:t xml:space="preserve">השיג עליו </w:t>
      </w:r>
      <w:r w:rsidRPr="0081521B">
        <w:rPr>
          <w:rStyle w:val="af8"/>
          <w:rFonts w:hint="cs"/>
          <w:rtl/>
        </w:rPr>
        <w:t>הראב"ד</w:t>
      </w:r>
      <w:r w:rsidRPr="0081521B">
        <w:rPr>
          <w:rStyle w:val="af6"/>
          <w:rFonts w:eastAsia="Guttman Hodes" w:hint="cs"/>
          <w:rtl/>
        </w:rPr>
        <w:t xml:space="preserve"> </w:t>
      </w:r>
      <w:r w:rsidRPr="00084854">
        <w:rPr>
          <w:rStyle w:val="af6"/>
          <w:rFonts w:eastAsia="Guttman Hodes" w:hint="cs"/>
          <w:rtl/>
        </w:rPr>
        <w:t>(</w:t>
      </w:r>
      <w:r w:rsidRPr="00C561D0">
        <w:rPr>
          <w:rStyle w:val="af6"/>
          <w:rFonts w:eastAsia="Guttman Hodes" w:hint="cs"/>
          <w:rtl/>
        </w:rPr>
        <w:t xml:space="preserve">חמץ ומצה פ"א ה"ו, הובא לקמן סימן יא' </w:t>
      </w:r>
      <w:r w:rsidRPr="007003D7">
        <w:rPr>
          <w:rStyle w:val="af6"/>
          <w:rFonts w:eastAsia="Guttman Hodes" w:hint="cs"/>
          <w:rtl/>
        </w:rPr>
        <w:t xml:space="preserve">אות </w:t>
      </w:r>
      <w:r w:rsidR="007003D7" w:rsidRPr="007003D7">
        <w:rPr>
          <w:rStyle w:val="af6"/>
          <w:rFonts w:eastAsia="Guttman Hodes"/>
          <w:rtl/>
        </w:rPr>
        <w:fldChar w:fldCharType="begin"/>
      </w:r>
      <w:r w:rsidR="007003D7" w:rsidRPr="007003D7">
        <w:rPr>
          <w:rStyle w:val="af6"/>
          <w:rFonts w:eastAsia="Guttman Hodes"/>
          <w:rtl/>
        </w:rPr>
        <w:instrText xml:space="preserve"> </w:instrText>
      </w:r>
      <w:r w:rsidR="007003D7" w:rsidRPr="007003D7">
        <w:rPr>
          <w:rStyle w:val="af6"/>
          <w:rFonts w:eastAsia="Guttman Hodes" w:hint="cs"/>
        </w:rPr>
        <w:instrText>REF</w:instrText>
      </w:r>
      <w:r w:rsidR="007003D7" w:rsidRPr="007003D7">
        <w:rPr>
          <w:rStyle w:val="af6"/>
          <w:rFonts w:eastAsia="Guttman Hodes" w:hint="cs"/>
          <w:rtl/>
        </w:rPr>
        <w:instrText xml:space="preserve"> _</w:instrText>
      </w:r>
      <w:r w:rsidR="007003D7" w:rsidRPr="007003D7">
        <w:rPr>
          <w:rStyle w:val="af6"/>
          <w:rFonts w:eastAsia="Guttman Hodes" w:hint="cs"/>
        </w:rPr>
        <w:instrText>Ref15223924 \r \h</w:instrText>
      </w:r>
      <w:r w:rsidR="007003D7" w:rsidRPr="007003D7">
        <w:rPr>
          <w:rStyle w:val="af6"/>
          <w:rFonts w:eastAsia="Guttman Hodes"/>
          <w:rtl/>
        </w:rPr>
        <w:instrText xml:space="preserve"> </w:instrText>
      </w:r>
      <w:r w:rsidR="007003D7" w:rsidRPr="007003D7">
        <w:rPr>
          <w:rStyle w:val="af6"/>
          <w:rFonts w:eastAsia="Guttman Hodes"/>
          <w:rtl/>
        </w:rPr>
      </w:r>
      <w:r w:rsidR="007003D7" w:rsidRPr="007003D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007003D7" w:rsidRPr="007003D7">
        <w:rPr>
          <w:rStyle w:val="af6"/>
          <w:rFonts w:eastAsia="Guttman Hodes"/>
          <w:rtl/>
        </w:rPr>
        <w:fldChar w:fldCharType="end"/>
      </w:r>
      <w:r w:rsidRPr="00176222">
        <w:rPr>
          <w:rFonts w:hint="cs"/>
          <w:rtl/>
        </w:rPr>
        <w:t xml:space="preserve"> ד</w:t>
      </w:r>
      <w:r>
        <w:rPr>
          <w:rFonts w:hint="cs"/>
          <w:rtl/>
        </w:rPr>
        <w:t xml:space="preserve">בפחות מכזית בכדי אכילת פרס, פסק </w:t>
      </w:r>
      <w:r w:rsidRPr="0081521B">
        <w:rPr>
          <w:rStyle w:val="af8"/>
          <w:rFonts w:hint="cs"/>
          <w:rtl/>
        </w:rPr>
        <w:t>הר</w:t>
      </w:r>
      <w:r>
        <w:rPr>
          <w:rStyle w:val="af8"/>
          <w:rFonts w:hint="cs"/>
          <w:rtl/>
        </w:rPr>
        <w:t>י</w:t>
      </w:r>
      <w:r w:rsidRPr="0081521B">
        <w:rPr>
          <w:rStyle w:val="af8"/>
          <w:rFonts w:hint="cs"/>
          <w:rtl/>
        </w:rPr>
        <w:t>"</w:t>
      </w:r>
      <w:r>
        <w:rPr>
          <w:rStyle w:val="af8"/>
          <w:rFonts w:hint="cs"/>
          <w:rtl/>
        </w:rPr>
        <w:t>ף</w:t>
      </w:r>
      <w:r w:rsidRPr="00176222">
        <w:rPr>
          <w:rFonts w:hint="cs"/>
          <w:rtl/>
        </w:rPr>
        <w:t xml:space="preserve"> כדעת רבנן בפסחים </w:t>
      </w:r>
      <w:r w:rsidRPr="0081521B">
        <w:rPr>
          <w:rStyle w:val="af6"/>
          <w:rFonts w:eastAsia="Guttman Hodes" w:hint="cs"/>
          <w:rtl/>
        </w:rPr>
        <w:t>(מד.)</w:t>
      </w:r>
      <w:r w:rsidRPr="00176222">
        <w:rPr>
          <w:rFonts w:hint="cs"/>
          <w:rtl/>
        </w:rPr>
        <w:t xml:space="preserve"> </w:t>
      </w:r>
      <w:r>
        <w:rPr>
          <w:rFonts w:hint="cs"/>
          <w:rtl/>
        </w:rPr>
        <w:t>דאין לוקין עליו</w:t>
      </w:r>
      <w:r w:rsidRPr="00176222">
        <w:rPr>
          <w:rFonts w:hint="cs"/>
          <w:rtl/>
        </w:rPr>
        <w:t xml:space="preserve">, וביאר </w:t>
      </w:r>
      <w:r w:rsidRPr="0081521B">
        <w:rPr>
          <w:rStyle w:val="af8"/>
          <w:rFonts w:hint="cs"/>
          <w:rtl/>
        </w:rPr>
        <w:t>הגר"ח</w:t>
      </w:r>
      <w:r w:rsidRPr="00176222">
        <w:rPr>
          <w:rFonts w:hint="cs"/>
          <w:rtl/>
        </w:rPr>
        <w:t xml:space="preserve"> דבדין חמץ יש ב' איס</w:t>
      </w:r>
      <w:r>
        <w:rPr>
          <w:rFonts w:hint="cs"/>
          <w:rtl/>
        </w:rPr>
        <w:t xml:space="preserve">ורים, הא' חמץ גמור שחייב עליו כרת, והב' תערובת חמץ שאסור בלאו לדעת ר"א, ולרבנן באין בו אף לאו, וס"ל </w:t>
      </w:r>
      <w:r w:rsidRPr="00A0558E">
        <w:rPr>
          <w:rStyle w:val="af8"/>
          <w:rFonts w:hint="cs"/>
          <w:rtl/>
        </w:rPr>
        <w:t>להראב"ד</w:t>
      </w:r>
      <w:r>
        <w:rPr>
          <w:rFonts w:hint="cs"/>
          <w:rtl/>
        </w:rPr>
        <w:t xml:space="preserve"> דכל פלוגתת ר"א ורבנן היא בפחות מכזית בכדי אכילת פרס.</w:t>
      </w:r>
      <w:bookmarkEnd w:id="5644"/>
    </w:p>
    <w:p w:rsidR="004D2988" w:rsidRPr="0081521B" w:rsidRDefault="004D2988" w:rsidP="004D2988">
      <w:pPr>
        <w:pStyle w:val="a2"/>
      </w:pPr>
      <w:r>
        <w:rPr>
          <w:rFonts w:hint="cs"/>
          <w:rtl/>
        </w:rPr>
        <w:t>דברי הגר"ח דהראב"ד לשיטתו דבכל האיסורים אין מלקות רק בפחות מכא"פ ורק בזה פליגי בחמץ</w:t>
      </w:r>
    </w:p>
    <w:p w:rsidR="004D2988" w:rsidRPr="0039715E" w:rsidRDefault="004D2988" w:rsidP="009F44AF">
      <w:pPr>
        <w:pStyle w:val="a"/>
        <w:rPr>
          <w:rtl/>
        </w:rPr>
      </w:pPr>
      <w:r>
        <w:rPr>
          <w:rFonts w:hint="cs"/>
          <w:rtl/>
        </w:rPr>
        <w:t xml:space="preserve">וכתב </w:t>
      </w:r>
      <w:r w:rsidRPr="00A0558E">
        <w:rPr>
          <w:rStyle w:val="af8"/>
          <w:rFonts w:hint="cs"/>
          <w:rtl/>
        </w:rPr>
        <w:t>הגר"ח</w:t>
      </w:r>
      <w:r>
        <w:rPr>
          <w:rFonts w:hint="cs"/>
          <w:rtl/>
        </w:rPr>
        <w:t xml:space="preserve"> </w:t>
      </w:r>
      <w:r w:rsidRPr="00A0558E">
        <w:rPr>
          <w:rStyle w:val="af8"/>
          <w:rFonts w:hint="cs"/>
          <w:rtl/>
        </w:rPr>
        <w:t>דהראב"ד</w:t>
      </w:r>
      <w:r>
        <w:rPr>
          <w:rFonts w:hint="cs"/>
          <w:rtl/>
        </w:rPr>
        <w:t xml:space="preserve"> לשיטתו כדכתב</w:t>
      </w:r>
      <w:r>
        <w:rPr>
          <w:rStyle w:val="af8"/>
          <w:rFonts w:hint="cs"/>
          <w:rtl/>
        </w:rPr>
        <w:t xml:space="preserve"> הרשב"א </w:t>
      </w:r>
      <w:r w:rsidRPr="00904938">
        <w:rPr>
          <w:rStyle w:val="af8"/>
          <w:rFonts w:hint="cs"/>
          <w:rtl/>
        </w:rPr>
        <w:t xml:space="preserve">בחי'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Ref12862501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Pr>
          <w:rStyle w:val="af6"/>
          <w:rFonts w:eastAsia="Guttman Hodes"/>
          <w:rtl/>
        </w:rPr>
        <w:fldChar w:fldCharType="end"/>
      </w:r>
      <w:r>
        <w:rPr>
          <w:rFonts w:hint="cs"/>
          <w:rtl/>
        </w:rPr>
        <w:t xml:space="preserve"> כתב בשם </w:t>
      </w:r>
      <w:r w:rsidRPr="002F5CC7">
        <w:rPr>
          <w:rStyle w:val="af8"/>
          <w:rFonts w:hint="cs"/>
          <w:rtl/>
        </w:rPr>
        <w:t>הראב"ד</w:t>
      </w:r>
      <w:r>
        <w:rPr>
          <w:rFonts w:hint="cs"/>
          <w:rtl/>
        </w:rPr>
        <w:t xml:space="preserve"> דבכל האיסורים שבתורה אין לוקין על טעם כעיקר, בפחות מכזית בכדי אכילת פרס, ולכן  אף בתערובת חמץ אין מלקות לרבנן, ולר"א יש ילפותא מכל מחמצת לחייב מלקות, אבל כשיש בו כזית בכדי אכילת פרס, דבכל האיסורים שבתורה לוקין עליו, א"כ אף בחמץ יש בו מלקות לכו"ע, ואינו בכלל הילפותא מכל מחמצת. </w:t>
      </w:r>
    </w:p>
    <w:p w:rsidR="004D2988" w:rsidRDefault="004D2988" w:rsidP="004D2988">
      <w:pPr>
        <w:pStyle w:val="a2"/>
        <w:rPr>
          <w:rtl/>
        </w:rPr>
      </w:pPr>
      <w:r>
        <w:rPr>
          <w:rFonts w:hint="cs"/>
          <w:rtl/>
        </w:rPr>
        <w:t>ביאור הגר"ח ברמב"ם דמדינא הטעם בטל ברוב ורק ע"י כל מחמצת אינו בטל ולכן אינו חמץ גמור</w:t>
      </w:r>
    </w:p>
    <w:p w:rsidR="004D2988" w:rsidRDefault="004D2988" w:rsidP="009F44AF">
      <w:pPr>
        <w:pStyle w:val="a"/>
        <w:rPr>
          <w:rtl/>
        </w:rPr>
      </w:pPr>
      <w:r>
        <w:rPr>
          <w:rFonts w:hint="cs"/>
          <w:rtl/>
        </w:rPr>
        <w:t xml:space="preserve">ובדעת </w:t>
      </w:r>
      <w:r w:rsidRPr="004D086C">
        <w:rPr>
          <w:rStyle w:val="af8"/>
          <w:rFonts w:hint="cs"/>
          <w:rtl/>
        </w:rPr>
        <w:t>הרמב"ם</w:t>
      </w:r>
      <w:r>
        <w:rPr>
          <w:rFonts w:hint="cs"/>
          <w:rtl/>
        </w:rPr>
        <w:t xml:space="preserve"> ביאר בחי' </w:t>
      </w:r>
      <w:r w:rsidRPr="004D086C">
        <w:rPr>
          <w:rStyle w:val="af8"/>
          <w:rFonts w:hint="cs"/>
          <w:rtl/>
        </w:rPr>
        <w:t>הגר"ח על הש"ס</w:t>
      </w:r>
      <w:r>
        <w:rPr>
          <w:rFonts w:hint="cs"/>
          <w:rtl/>
        </w:rPr>
        <w:t xml:space="preserve"> דס"ל דהא דהטעם אינו מתבטל ברוב, הוא אחר שנאמר בו דין טעם כעיקר, דכיון דילפינן ממשרת דיש בו איסור בפנ"ע מדין טעם כעיקר דאו', לכן אין הטעם מתבטל ברוב, </w:t>
      </w:r>
      <w:r w:rsidRPr="0000140C">
        <w:rPr>
          <w:rStyle w:val="afa"/>
          <w:rFonts w:hint="cs"/>
          <w:rtl/>
        </w:rPr>
        <w:t xml:space="preserve">[כדביאר </w:t>
      </w:r>
      <w:r w:rsidRPr="004D086C">
        <w:rPr>
          <w:rStyle w:val="affa"/>
          <w:rFonts w:hint="cs"/>
          <w:rtl/>
        </w:rPr>
        <w:t>הגר"ח</w:t>
      </w:r>
      <w:r w:rsidRPr="0000140C">
        <w:rPr>
          <w:rStyle w:val="afa"/>
          <w:rFonts w:hint="cs"/>
          <w:rtl/>
        </w:rPr>
        <w:t xml:space="preserve"> </w:t>
      </w:r>
      <w:r w:rsidRPr="004D086C">
        <w:rPr>
          <w:rStyle w:val="af6"/>
          <w:rFonts w:eastAsia="Guttman Hodes" w:hint="cs"/>
          <w:rtl/>
        </w:rPr>
        <w:t xml:space="preserve">(עי' אות </w:t>
      </w:r>
      <w:r w:rsidRPr="004D086C">
        <w:rPr>
          <w:rStyle w:val="af6"/>
          <w:rFonts w:eastAsia="Guttman Hodes"/>
          <w:rtl/>
        </w:rPr>
        <w:fldChar w:fldCharType="begin"/>
      </w:r>
      <w:r w:rsidRPr="004D086C">
        <w:rPr>
          <w:rStyle w:val="af6"/>
          <w:rFonts w:eastAsia="Guttman Hodes"/>
          <w:rtl/>
        </w:rPr>
        <w:instrText xml:space="preserve"> </w:instrText>
      </w:r>
      <w:r w:rsidRPr="004D086C">
        <w:rPr>
          <w:rStyle w:val="af6"/>
          <w:rFonts w:eastAsia="Guttman Hodes" w:hint="cs"/>
        </w:rPr>
        <w:instrText>REF</w:instrText>
      </w:r>
      <w:r w:rsidRPr="004D086C">
        <w:rPr>
          <w:rStyle w:val="af6"/>
          <w:rFonts w:eastAsia="Guttman Hodes" w:hint="cs"/>
          <w:rtl/>
        </w:rPr>
        <w:instrText xml:space="preserve"> _</w:instrText>
      </w:r>
      <w:r w:rsidRPr="004D086C">
        <w:rPr>
          <w:rStyle w:val="af6"/>
          <w:rFonts w:eastAsia="Guttman Hodes" w:hint="cs"/>
        </w:rPr>
        <w:instrText>Ref15224249 \r \h</w:instrText>
      </w:r>
      <w:r w:rsidRPr="004D086C">
        <w:rPr>
          <w:rStyle w:val="af6"/>
          <w:rFonts w:eastAsia="Guttman Hodes"/>
          <w:rtl/>
        </w:rPr>
        <w:instrText xml:space="preserve"> </w:instrText>
      </w:r>
      <w:r w:rsidRPr="004D086C">
        <w:rPr>
          <w:rStyle w:val="af6"/>
          <w:rFonts w:eastAsia="Guttman Hodes"/>
          <w:rtl/>
        </w:rPr>
      </w:r>
      <w:r w:rsidRPr="004D086C">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4D086C">
        <w:rPr>
          <w:rStyle w:val="af6"/>
          <w:rFonts w:eastAsia="Guttman Hodes"/>
          <w:rtl/>
        </w:rPr>
        <w:fldChar w:fldCharType="end"/>
      </w:r>
      <w:r w:rsidRPr="0000140C">
        <w:rPr>
          <w:rStyle w:val="afa"/>
          <w:rFonts w:hint="cs"/>
          <w:rtl/>
        </w:rPr>
        <w:t xml:space="preserve">], </w:t>
      </w:r>
      <w:r>
        <w:rPr>
          <w:rFonts w:hint="cs"/>
          <w:rtl/>
        </w:rPr>
        <w:t xml:space="preserve">ולכן ס"ל </w:t>
      </w:r>
      <w:r w:rsidRPr="004D086C">
        <w:rPr>
          <w:rStyle w:val="af8"/>
          <w:rFonts w:hint="cs"/>
          <w:rtl/>
        </w:rPr>
        <w:t>להרמב"ם</w:t>
      </w:r>
      <w:r>
        <w:rPr>
          <w:rFonts w:hint="cs"/>
          <w:rtl/>
        </w:rPr>
        <w:t xml:space="preserve"> דכיון דמעיקר דין רוב היה צריך הטעם להתבטל, וכל מה שאינו מתבטל הוא מדין טעם כעיקר, א"כ האיסור בתערובת חמץ הוא רק בלאו מדין "כל מחמצת לא תאכלו", אך אינו אסור בכרת, דהא מעיקר דין איסור חמץ, היה הטעם מתבטל ברוב, ואיסורו הוא רק מדין טעם כעיקר</w:t>
      </w:r>
      <w:r w:rsidR="006B2095">
        <w:rPr>
          <w:rFonts w:hint="cs"/>
          <w:rtl/>
        </w:rPr>
        <w:t xml:space="preserve">, וע"ע במה שביאר </w:t>
      </w:r>
      <w:r w:rsidR="006B2095">
        <w:rPr>
          <w:rStyle w:val="af8"/>
          <w:rtl/>
        </w:rPr>
        <w:t>הזכר יצחק</w:t>
      </w:r>
      <w:r w:rsidR="006B2095">
        <w:rPr>
          <w:rFonts w:hint="cs"/>
          <w:rtl/>
        </w:rPr>
        <w:t xml:space="preserve"> </w:t>
      </w:r>
      <w:r w:rsidR="006B2095" w:rsidRPr="006B2095">
        <w:rPr>
          <w:rStyle w:val="af6"/>
          <w:rFonts w:eastAsia="Guttman Hodes" w:hint="cs"/>
          <w:rtl/>
        </w:rPr>
        <w:t xml:space="preserve">(עי' אות </w:t>
      </w:r>
      <w:r w:rsidR="006B2095" w:rsidRPr="006B2095">
        <w:rPr>
          <w:rStyle w:val="af6"/>
          <w:rFonts w:eastAsia="Guttman Hodes"/>
          <w:rtl/>
        </w:rPr>
        <w:fldChar w:fldCharType="begin"/>
      </w:r>
      <w:r w:rsidR="006B2095" w:rsidRPr="006B2095">
        <w:rPr>
          <w:rStyle w:val="af6"/>
          <w:rFonts w:eastAsia="Guttman Hodes"/>
          <w:rtl/>
        </w:rPr>
        <w:instrText xml:space="preserve"> </w:instrText>
      </w:r>
      <w:r w:rsidR="006B2095" w:rsidRPr="006B2095">
        <w:rPr>
          <w:rStyle w:val="af6"/>
          <w:rFonts w:eastAsia="Guttman Hodes" w:hint="cs"/>
        </w:rPr>
        <w:instrText>REF</w:instrText>
      </w:r>
      <w:r w:rsidR="006B2095" w:rsidRPr="006B2095">
        <w:rPr>
          <w:rStyle w:val="af6"/>
          <w:rFonts w:eastAsia="Guttman Hodes" w:hint="cs"/>
          <w:rtl/>
        </w:rPr>
        <w:instrText xml:space="preserve"> _</w:instrText>
      </w:r>
      <w:r w:rsidR="006B2095" w:rsidRPr="006B2095">
        <w:rPr>
          <w:rStyle w:val="af6"/>
          <w:rFonts w:eastAsia="Guttman Hodes" w:hint="cs"/>
        </w:rPr>
        <w:instrText>Ref15846791 \r \h</w:instrText>
      </w:r>
      <w:r w:rsidR="006B2095" w:rsidRPr="006B2095">
        <w:rPr>
          <w:rStyle w:val="af6"/>
          <w:rFonts w:eastAsia="Guttman Hodes"/>
          <w:rtl/>
        </w:rPr>
        <w:instrText xml:space="preserve"> </w:instrText>
      </w:r>
      <w:r w:rsidR="006B2095" w:rsidRPr="006B2095">
        <w:rPr>
          <w:rStyle w:val="af6"/>
          <w:rFonts w:eastAsia="Guttman Hodes"/>
          <w:rtl/>
        </w:rPr>
      </w:r>
      <w:r w:rsidR="006B2095" w:rsidRPr="006B2095">
        <w:rPr>
          <w:rStyle w:val="af6"/>
          <w:rFonts w:eastAsia="Guttman Hodes"/>
          <w:rtl/>
        </w:rPr>
        <w:fldChar w:fldCharType="separate"/>
      </w:r>
      <w:r w:rsidR="004D1C5B">
        <w:rPr>
          <w:rStyle w:val="af6"/>
          <w:rFonts w:eastAsia="Guttman Hodes"/>
          <w:cs/>
        </w:rPr>
        <w:t>‎</w:t>
      </w:r>
      <w:r w:rsidR="004D1C5B">
        <w:rPr>
          <w:rStyle w:val="af6"/>
          <w:rFonts w:eastAsia="Guttman Hodes"/>
          <w:rtl/>
        </w:rPr>
        <w:t>קלה)</w:t>
      </w:r>
      <w:r w:rsidR="006B2095" w:rsidRPr="006B2095">
        <w:rPr>
          <w:rStyle w:val="af6"/>
          <w:rFonts w:eastAsia="Guttman Hodes"/>
          <w:rtl/>
        </w:rPr>
        <w:fldChar w:fldCharType="end"/>
      </w:r>
      <w:r w:rsidR="006B2095">
        <w:rPr>
          <w:rFonts w:hint="cs"/>
          <w:rtl/>
        </w:rPr>
        <w:t xml:space="preserve"> בדעת </w:t>
      </w:r>
      <w:r w:rsidR="006B2095" w:rsidRPr="006B2095">
        <w:rPr>
          <w:rStyle w:val="af8"/>
          <w:rFonts w:hint="cs"/>
          <w:rtl/>
        </w:rPr>
        <w:t>הרמב"ם</w:t>
      </w:r>
      <w:r>
        <w:rPr>
          <w:rFonts w:hint="cs"/>
          <w:rtl/>
        </w:rPr>
        <w:t>.</w:t>
      </w:r>
    </w:p>
    <w:p w:rsidR="004D2988" w:rsidRDefault="004D2988" w:rsidP="004D2988">
      <w:pPr>
        <w:pStyle w:val="a2"/>
        <w:rPr>
          <w:rtl/>
        </w:rPr>
      </w:pPr>
      <w:r>
        <w:rPr>
          <w:rFonts w:hint="cs"/>
          <w:rtl/>
        </w:rPr>
        <w:t>ביאור הגר"ח בראב"ד דבטעם לא מהני ביטול דהוא ניכר ואינו מדין ביטול ברוב</w:t>
      </w:r>
    </w:p>
    <w:p w:rsidR="004D2988" w:rsidRDefault="004D2988" w:rsidP="009F44AF">
      <w:pPr>
        <w:pStyle w:val="a"/>
        <w:rPr>
          <w:rtl/>
        </w:rPr>
      </w:pPr>
      <w:r>
        <w:rPr>
          <w:rFonts w:hint="cs"/>
          <w:rtl/>
        </w:rPr>
        <w:t xml:space="preserve">אבל בדעת </w:t>
      </w:r>
      <w:r w:rsidRPr="0000140C">
        <w:rPr>
          <w:rStyle w:val="af8"/>
          <w:rFonts w:hint="cs"/>
          <w:rtl/>
        </w:rPr>
        <w:t>הראב"ד</w:t>
      </w:r>
      <w:r>
        <w:rPr>
          <w:rFonts w:hint="cs"/>
          <w:rtl/>
        </w:rPr>
        <w:t xml:space="preserve"> כתב </w:t>
      </w:r>
      <w:r w:rsidRPr="0000140C">
        <w:rPr>
          <w:rStyle w:val="af8"/>
          <w:rFonts w:hint="cs"/>
          <w:rtl/>
        </w:rPr>
        <w:t>בחי' הגר"ח על הש"ס</w:t>
      </w:r>
      <w:r>
        <w:rPr>
          <w:rFonts w:hint="cs"/>
          <w:rtl/>
        </w:rPr>
        <w:t xml:space="preserve"> דס"ל דהא דהטעם אינו מתבטל אינו דין נוסף, דאחר שנאמר דין טעם כעיקר, ממילא אינו מתבטל ברוב, אלא דבטעם לא מהני ביטול ברוב כיון שהוא ניכר.</w:t>
      </w:r>
    </w:p>
    <w:p w:rsidR="004D2988" w:rsidRPr="00DD24CC" w:rsidRDefault="004D2988" w:rsidP="004D2988">
      <w:pPr>
        <w:pStyle w:val="a2"/>
        <w:rPr>
          <w:rtl/>
        </w:rPr>
      </w:pPr>
      <w:r>
        <w:rPr>
          <w:rFonts w:hint="cs"/>
          <w:rtl/>
        </w:rPr>
        <w:t>ביאור הגר"ח בראב"ד דטעם אינו מתבטל מדינא ובפחות מכא"פ ילפינן ממשרת דהטעם אסור</w:t>
      </w:r>
    </w:p>
    <w:p w:rsidR="004D2988" w:rsidRDefault="004D2988" w:rsidP="009F44AF">
      <w:pPr>
        <w:pStyle w:val="a"/>
        <w:rPr>
          <w:rtl/>
        </w:rPr>
      </w:pPr>
      <w:r>
        <w:rPr>
          <w:rFonts w:hint="cs"/>
          <w:rtl/>
        </w:rPr>
        <w:t xml:space="preserve">והביא </w:t>
      </w:r>
      <w:r w:rsidRPr="0000140C">
        <w:rPr>
          <w:rStyle w:val="af8"/>
          <w:rFonts w:hint="cs"/>
          <w:rtl/>
        </w:rPr>
        <w:t>בחי' הגר"ח על הש"ס</w:t>
      </w:r>
      <w:r>
        <w:rPr>
          <w:rFonts w:hint="cs"/>
          <w:rtl/>
        </w:rPr>
        <w:t xml:space="preserve"> את דברי </w:t>
      </w:r>
      <w:r>
        <w:rPr>
          <w:rStyle w:val="af8"/>
          <w:rFonts w:hint="cs"/>
          <w:rtl/>
        </w:rPr>
        <w:t xml:space="preserve">הרשב"א </w:t>
      </w:r>
      <w:r w:rsidRPr="00904938">
        <w:rPr>
          <w:rStyle w:val="af8"/>
          <w:rFonts w:hint="cs"/>
          <w:rtl/>
        </w:rPr>
        <w:t xml:space="preserve">בחי'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Ref12862501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Pr>
          <w:rStyle w:val="af6"/>
          <w:rFonts w:eastAsia="Guttman Hodes"/>
          <w:rtl/>
        </w:rPr>
        <w:fldChar w:fldCharType="end"/>
      </w:r>
      <w:r>
        <w:rPr>
          <w:rFonts w:hint="cs"/>
          <w:rtl/>
        </w:rPr>
        <w:t xml:space="preserve"> </w:t>
      </w:r>
      <w:r w:rsidRPr="0050146A">
        <w:rPr>
          <w:rFonts w:hint="cs"/>
          <w:rtl/>
        </w:rPr>
        <w:t xml:space="preserve">בשם </w:t>
      </w:r>
      <w:r w:rsidRPr="0050146A">
        <w:rPr>
          <w:rStyle w:val="af8"/>
          <w:rFonts w:hint="cs"/>
          <w:rtl/>
        </w:rPr>
        <w:t>הראב"ד</w:t>
      </w:r>
      <w:r>
        <w:rPr>
          <w:rFonts w:hint="cs"/>
          <w:rtl/>
        </w:rPr>
        <w:t xml:space="preserve"> דכתב דטעם כעיקר דאו', וכשיש כזית בכדי אכילת פרס דלוקין עליו, ובפחות מכזית בכדי אכילת פרס, אסור מדאו' אך אין לוקין עליו, </w:t>
      </w:r>
      <w:r w:rsidRPr="0000140C">
        <w:rPr>
          <w:rStyle w:val="afa"/>
          <w:rFonts w:hint="cs"/>
          <w:rtl/>
        </w:rPr>
        <w:t>[דילפינן בהיקש ממשרת ואין לוקין על ההקישות],</w:t>
      </w:r>
      <w:r w:rsidRPr="00411AEB">
        <w:rPr>
          <w:rFonts w:hint="cs"/>
          <w:rtl/>
        </w:rPr>
        <w:t xml:space="preserve"> </w:t>
      </w:r>
      <w:r>
        <w:rPr>
          <w:rFonts w:hint="cs"/>
          <w:rtl/>
        </w:rPr>
        <w:t>והוסיף</w:t>
      </w:r>
      <w:r w:rsidRPr="0050146A">
        <w:rPr>
          <w:rFonts w:hint="cs"/>
          <w:rtl/>
        </w:rPr>
        <w:t xml:space="preserve"> </w:t>
      </w:r>
      <w:r w:rsidRPr="0050146A">
        <w:rPr>
          <w:rStyle w:val="af8"/>
          <w:rFonts w:hint="cs"/>
          <w:rtl/>
        </w:rPr>
        <w:t>הרשב"א</w:t>
      </w:r>
      <w:r w:rsidRPr="0050146A">
        <w:rPr>
          <w:rFonts w:hint="cs"/>
          <w:rtl/>
        </w:rPr>
        <w:t xml:space="preserve"> </w:t>
      </w:r>
      <w:r w:rsidRPr="00F54ECF">
        <w:rPr>
          <w:rStyle w:val="af8"/>
          <w:rFonts w:hint="cs"/>
          <w:rtl/>
        </w:rPr>
        <w:t>בחי'</w:t>
      </w:r>
      <w:r w:rsidR="0089476B">
        <w:rPr>
          <w:rStyle w:val="af8"/>
          <w:rFonts w:hint="cs"/>
          <w:rtl/>
        </w:rPr>
        <w:t xml:space="preserve"> </w:t>
      </w:r>
      <w:r w:rsidRPr="0050146A">
        <w:rPr>
          <w:rFonts w:hint="cs"/>
          <w:rtl/>
        </w:rPr>
        <w:t xml:space="preserve">בשם </w:t>
      </w:r>
      <w:r w:rsidRPr="0050146A">
        <w:rPr>
          <w:rStyle w:val="af8"/>
          <w:rFonts w:hint="cs"/>
          <w:rtl/>
        </w:rPr>
        <w:t>הראב"ד</w:t>
      </w:r>
      <w:r w:rsidRPr="0050146A">
        <w:rPr>
          <w:rFonts w:hint="cs"/>
          <w:rtl/>
        </w:rPr>
        <w:t xml:space="preserve"> </w:t>
      </w:r>
      <w:r>
        <w:rPr>
          <w:rFonts w:hint="cs"/>
          <w:rtl/>
        </w:rPr>
        <w:t>דהא דאין הטעם מתבטל ברוב, הוא כיון ד</w:t>
      </w:r>
      <w:r w:rsidRPr="0050146A">
        <w:rPr>
          <w:rFonts w:hint="cs"/>
          <w:rtl/>
        </w:rPr>
        <w:t>טעם</w:t>
      </w:r>
      <w:r w:rsidRPr="00411AEB">
        <w:rPr>
          <w:rFonts w:hint="cs"/>
          <w:rtl/>
        </w:rPr>
        <w:t xml:space="preserve"> </w:t>
      </w:r>
      <w:r w:rsidRPr="0050146A">
        <w:rPr>
          <w:rFonts w:hint="cs"/>
          <w:rtl/>
        </w:rPr>
        <w:t xml:space="preserve">ניכר האיסור בתוך ההיתר, טעימתו זוהי הכרתו, כדכתי' </w:t>
      </w:r>
      <w:r w:rsidRPr="0050146A">
        <w:rPr>
          <w:rFonts w:hint="cs"/>
          <w:rtl/>
        </w:rPr>
        <w:t>"וחיך אוכל יטעם לו", וכל החשיבות של האוכל היא בטעם</w:t>
      </w:r>
      <w:r>
        <w:rPr>
          <w:rFonts w:hint="cs"/>
          <w:rtl/>
        </w:rPr>
        <w:t xml:space="preserve">, וביאר </w:t>
      </w:r>
      <w:r w:rsidRPr="0000140C">
        <w:rPr>
          <w:rStyle w:val="af8"/>
          <w:rFonts w:hint="cs"/>
          <w:rtl/>
        </w:rPr>
        <w:t>הגר"ח</w:t>
      </w:r>
      <w:r>
        <w:rPr>
          <w:rFonts w:hint="cs"/>
          <w:rtl/>
        </w:rPr>
        <w:t xml:space="preserve"> דס"ל </w:t>
      </w:r>
      <w:r w:rsidRPr="0000140C">
        <w:rPr>
          <w:rStyle w:val="af8"/>
          <w:rFonts w:hint="cs"/>
          <w:rtl/>
        </w:rPr>
        <w:t>להראב"ד</w:t>
      </w:r>
      <w:r>
        <w:rPr>
          <w:rFonts w:hint="cs"/>
          <w:rtl/>
        </w:rPr>
        <w:t xml:space="preserve"> דהא דילפינן ממשרת דטעם כעיקר דאו', ונאמר בו דין מחודש שיש איסור על הטעם, היינו דוקא באופן שאין בו כזית בכדי אכילת פרס, ועל האיסור המחודש של טעם כעיקר אין מלקות.</w:t>
      </w:r>
    </w:p>
    <w:p w:rsidR="004D2988" w:rsidRPr="006C04F8" w:rsidRDefault="004D2988" w:rsidP="004D2988">
      <w:pPr>
        <w:pStyle w:val="a2"/>
      </w:pPr>
      <w:r>
        <w:rPr>
          <w:rFonts w:hint="cs"/>
          <w:rtl/>
        </w:rPr>
        <w:t>ביאור הגר"ח בראב"ד דביותר מכא"פ הטעם אינו אסור מדין טע"כ אלא דהאיסור לא התבטל</w:t>
      </w:r>
    </w:p>
    <w:p w:rsidR="004D2988" w:rsidRDefault="004D2988" w:rsidP="009F44AF">
      <w:pPr>
        <w:pStyle w:val="a"/>
        <w:rPr>
          <w:rtl/>
        </w:rPr>
      </w:pPr>
      <w:r>
        <w:rPr>
          <w:rFonts w:hint="cs"/>
          <w:rtl/>
        </w:rPr>
        <w:t xml:space="preserve">אבל במקום שיש בתערובת כזית בכדי אכילת פרס, ביאר </w:t>
      </w:r>
      <w:r w:rsidRPr="0000140C">
        <w:rPr>
          <w:rStyle w:val="af8"/>
          <w:rFonts w:hint="cs"/>
          <w:rtl/>
        </w:rPr>
        <w:t>בחי' הגר"ח על הש"ס</w:t>
      </w:r>
      <w:r>
        <w:rPr>
          <w:rFonts w:hint="cs"/>
          <w:rtl/>
        </w:rPr>
        <w:t xml:space="preserve"> דס"ל</w:t>
      </w:r>
      <w:r w:rsidRPr="0050146A">
        <w:rPr>
          <w:rFonts w:hint="cs"/>
          <w:rtl/>
        </w:rPr>
        <w:t xml:space="preserve"> </w:t>
      </w:r>
      <w:r>
        <w:rPr>
          <w:rStyle w:val="af8"/>
          <w:rFonts w:hint="cs"/>
          <w:rtl/>
        </w:rPr>
        <w:t>ל</w:t>
      </w:r>
      <w:r w:rsidRPr="0050146A">
        <w:rPr>
          <w:rStyle w:val="af8"/>
          <w:rFonts w:hint="cs"/>
          <w:rtl/>
        </w:rPr>
        <w:t>הראב"ד</w:t>
      </w:r>
      <w:r>
        <w:rPr>
          <w:rFonts w:hint="cs"/>
          <w:rtl/>
        </w:rPr>
        <w:t xml:space="preserve"> דבמין בשאינו מינו</w:t>
      </w:r>
      <w:r w:rsidRPr="001F7F9E">
        <w:rPr>
          <w:rFonts w:hint="cs"/>
          <w:rtl/>
        </w:rPr>
        <w:t xml:space="preserve"> </w:t>
      </w:r>
      <w:r>
        <w:rPr>
          <w:rFonts w:hint="cs"/>
          <w:rtl/>
        </w:rPr>
        <w:t>אינו הטעם מתבטל כלל דהוא ניכר, וא"כ א"צ ילפותא דהוא אסור, דהוא נשאר באיסור שהיה עליו, ולכן לוקין עליו, ו</w:t>
      </w:r>
      <w:r w:rsidRPr="0050146A">
        <w:rPr>
          <w:rFonts w:hint="cs"/>
          <w:rtl/>
        </w:rPr>
        <w:t xml:space="preserve">ביאר </w:t>
      </w:r>
      <w:r w:rsidRPr="0050146A">
        <w:rPr>
          <w:rStyle w:val="af8"/>
          <w:rFonts w:hint="cs"/>
          <w:rtl/>
        </w:rPr>
        <w:t>הגרי"ז</w:t>
      </w:r>
      <w:r w:rsidRPr="0050146A">
        <w:rPr>
          <w:rFonts w:hint="cs"/>
          <w:rtl/>
        </w:rPr>
        <w:t xml:space="preserve"> </w:t>
      </w:r>
      <w:r w:rsidRPr="0050146A">
        <w:rPr>
          <w:rStyle w:val="af6"/>
          <w:rFonts w:eastAsia="Guttman Hodes" w:hint="cs"/>
          <w:rtl/>
        </w:rPr>
        <w:t>(נזיר לו</w:t>
      </w:r>
      <w:r>
        <w:rPr>
          <w:rStyle w:val="af6"/>
          <w:rFonts w:eastAsia="Guttman Hodes" w:hint="cs"/>
          <w:rtl/>
        </w:rPr>
        <w:t>:</w:t>
      </w:r>
      <w:r w:rsidRPr="0050146A">
        <w:rPr>
          <w:rStyle w:val="af6"/>
          <w:rFonts w:eastAsia="Guttman Hodes" w:hint="cs"/>
          <w:rtl/>
        </w:rPr>
        <w:t xml:space="preserve"> ד"ה ואמר הגר"ח)</w:t>
      </w:r>
      <w:r>
        <w:rPr>
          <w:rFonts w:hint="cs"/>
          <w:rtl/>
        </w:rPr>
        <w:t xml:space="preserve"> דבכזית בכדי אכילת פרס איסורו לא נלמד מדין טעם כעיקר, אלא דחשיב שהאיסור הוא בעין, וע"ע </w:t>
      </w:r>
      <w:r w:rsidRPr="003D44F7">
        <w:rPr>
          <w:rStyle w:val="af8"/>
          <w:rFonts w:hint="cs"/>
          <w:rtl/>
        </w:rPr>
        <w:t>בגנזי הגר"ח</w:t>
      </w:r>
      <w:r>
        <w:rPr>
          <w:rFonts w:hint="cs"/>
          <w:rtl/>
        </w:rPr>
        <w:t xml:space="preserve"> </w:t>
      </w:r>
      <w:r w:rsidRPr="003D44F7">
        <w:rPr>
          <w:rStyle w:val="af6"/>
          <w:rFonts w:eastAsia="Guttman Hodes" w:hint="cs"/>
          <w:rtl/>
        </w:rPr>
        <w:t>(סי' ס"ט ד"ה ולכאו' היה נראה)</w:t>
      </w:r>
      <w:r>
        <w:rPr>
          <w:rFonts w:hint="cs"/>
          <w:rtl/>
        </w:rPr>
        <w:t>.</w:t>
      </w:r>
    </w:p>
    <w:p w:rsidR="004D2988" w:rsidRPr="00C54C11" w:rsidRDefault="004D2988" w:rsidP="004D2988">
      <w:pPr>
        <w:pStyle w:val="1"/>
        <w:rPr>
          <w:rtl/>
        </w:rPr>
      </w:pPr>
      <w:r>
        <w:rPr>
          <w:rFonts w:hint="cs"/>
          <w:rtl/>
        </w:rPr>
        <w:t xml:space="preserve">ביאור </w:t>
      </w:r>
      <w:r w:rsidRPr="00C54C11">
        <w:rPr>
          <w:rFonts w:hint="cs"/>
          <w:rtl/>
        </w:rPr>
        <w:t xml:space="preserve">הגר"ח </w:t>
      </w:r>
      <w:r>
        <w:rPr>
          <w:rFonts w:hint="cs"/>
          <w:rtl/>
        </w:rPr>
        <w:t xml:space="preserve">בפלוגתת הרמב"ם והראב"ד בביטול ברוב בכותח </w:t>
      </w:r>
    </w:p>
    <w:p w:rsidR="004D2988" w:rsidRPr="00954848" w:rsidRDefault="004D2988" w:rsidP="004D2988">
      <w:pPr>
        <w:pStyle w:val="a2"/>
        <w:rPr>
          <w:rtl/>
        </w:rPr>
      </w:pPr>
      <w:r>
        <w:rPr>
          <w:rFonts w:hint="cs"/>
          <w:rtl/>
        </w:rPr>
        <w:t>דברי הגר"ח דלהראב"ד תערובת חמץ שיש בה כא"פ הוא חמץ גמור ואינו מדין טע"כ</w:t>
      </w:r>
    </w:p>
    <w:p w:rsidR="004D2988" w:rsidRDefault="004D2988" w:rsidP="009F44AF">
      <w:pPr>
        <w:pStyle w:val="a"/>
        <w:rPr>
          <w:rtl/>
        </w:rPr>
      </w:pPr>
      <w:r>
        <w:rPr>
          <w:rFonts w:hint="cs"/>
          <w:rtl/>
        </w:rPr>
        <w:t xml:space="preserve">וכתב </w:t>
      </w:r>
      <w:r w:rsidRPr="00C7184D">
        <w:rPr>
          <w:rStyle w:val="af8"/>
          <w:rFonts w:hint="cs"/>
          <w:rtl/>
        </w:rPr>
        <w:t>בחי' הגר"ח על הש"ס</w:t>
      </w:r>
      <w:r>
        <w:rPr>
          <w:rFonts w:hint="cs"/>
          <w:rtl/>
        </w:rPr>
        <w:t xml:space="preserve"> דא"כ מבוארים דברי </w:t>
      </w:r>
      <w:r w:rsidRPr="00C7184D">
        <w:rPr>
          <w:rStyle w:val="af8"/>
          <w:rFonts w:hint="cs"/>
          <w:rtl/>
        </w:rPr>
        <w:t>הראב"ד</w:t>
      </w:r>
      <w:r>
        <w:rPr>
          <w:rFonts w:hint="cs"/>
          <w:rtl/>
        </w:rPr>
        <w:t xml:space="preserve"> </w:t>
      </w:r>
      <w:r w:rsidRPr="003160A4">
        <w:rPr>
          <w:rStyle w:val="af6"/>
          <w:rFonts w:eastAsia="Guttman Hodes" w:hint="cs"/>
          <w:rtl/>
        </w:rPr>
        <w:t xml:space="preserve">(עי' אות </w:t>
      </w:r>
      <w:r w:rsidRPr="003160A4">
        <w:rPr>
          <w:rStyle w:val="af6"/>
          <w:rFonts w:eastAsia="Guttman Hodes"/>
          <w:rtl/>
        </w:rPr>
        <w:fldChar w:fldCharType="begin"/>
      </w:r>
      <w:r w:rsidRPr="003160A4">
        <w:rPr>
          <w:rStyle w:val="af6"/>
          <w:rFonts w:eastAsia="Guttman Hodes"/>
          <w:rtl/>
        </w:rPr>
        <w:instrText xml:space="preserve"> </w:instrText>
      </w:r>
      <w:r w:rsidRPr="003160A4">
        <w:rPr>
          <w:rStyle w:val="af6"/>
          <w:rFonts w:eastAsia="Guttman Hodes" w:hint="cs"/>
        </w:rPr>
        <w:instrText>REF</w:instrText>
      </w:r>
      <w:r w:rsidRPr="003160A4">
        <w:rPr>
          <w:rStyle w:val="af6"/>
          <w:rFonts w:eastAsia="Guttman Hodes" w:hint="cs"/>
          <w:rtl/>
        </w:rPr>
        <w:instrText xml:space="preserve"> _</w:instrText>
      </w:r>
      <w:r w:rsidRPr="003160A4">
        <w:rPr>
          <w:rStyle w:val="af6"/>
          <w:rFonts w:eastAsia="Guttman Hodes" w:hint="cs"/>
        </w:rPr>
        <w:instrText>Ref15838163 \r \h</w:instrText>
      </w:r>
      <w:r w:rsidRPr="003160A4">
        <w:rPr>
          <w:rStyle w:val="af6"/>
          <w:rFonts w:eastAsia="Guttman Hodes"/>
          <w:rtl/>
        </w:rPr>
        <w:instrText xml:space="preserve"> </w:instrText>
      </w:r>
      <w:r w:rsidRPr="003160A4">
        <w:rPr>
          <w:rStyle w:val="af6"/>
          <w:rFonts w:eastAsia="Guttman Hodes"/>
          <w:rtl/>
        </w:rPr>
      </w:r>
      <w:r w:rsidRPr="003160A4">
        <w:rPr>
          <w:rStyle w:val="af6"/>
          <w:rFonts w:eastAsia="Guttman Hodes"/>
          <w:rtl/>
        </w:rPr>
        <w:fldChar w:fldCharType="separate"/>
      </w:r>
      <w:r w:rsidR="004D1C5B">
        <w:rPr>
          <w:rStyle w:val="af6"/>
          <w:rFonts w:eastAsia="Guttman Hodes"/>
          <w:cs/>
        </w:rPr>
        <w:t>‎</w:t>
      </w:r>
      <w:r w:rsidR="004D1C5B">
        <w:rPr>
          <w:rStyle w:val="af6"/>
          <w:rFonts w:eastAsia="Guttman Hodes"/>
          <w:rtl/>
        </w:rPr>
        <w:t>קכ)</w:t>
      </w:r>
      <w:r w:rsidRPr="003160A4">
        <w:rPr>
          <w:rStyle w:val="af6"/>
          <w:rFonts w:eastAsia="Guttman Hodes"/>
          <w:rtl/>
        </w:rPr>
        <w:fldChar w:fldCharType="end"/>
      </w:r>
      <w:r w:rsidRPr="003160A4">
        <w:rPr>
          <w:rStyle w:val="af6"/>
          <w:rFonts w:eastAsia="Guttman Hodes" w:hint="cs"/>
          <w:rtl/>
        </w:rPr>
        <w:t xml:space="preserve"> </w:t>
      </w:r>
      <w:r>
        <w:rPr>
          <w:rFonts w:hint="cs"/>
          <w:rtl/>
        </w:rPr>
        <w:t xml:space="preserve">דבתערובת חמץ יש חיוב כרת, כשיש כזית בכדי אכילת פרס, דלדעת </w:t>
      </w:r>
      <w:r w:rsidRPr="00C7184D">
        <w:rPr>
          <w:rStyle w:val="af8"/>
          <w:rFonts w:hint="cs"/>
          <w:rtl/>
        </w:rPr>
        <w:t>הראב"ד</w:t>
      </w:r>
      <w:r>
        <w:rPr>
          <w:rFonts w:hint="cs"/>
          <w:rtl/>
        </w:rPr>
        <w:t xml:space="preserve"> אינו אסור מהילפותא דטעם כעיקר דאו', אלא הוא בכלל איסור חמץ שנאמר בו כרת, דכיון שאינו מתבטל ברוב, ממילא הוא חמץ גמור.</w:t>
      </w:r>
    </w:p>
    <w:p w:rsidR="004D2988" w:rsidRPr="00FD36A6" w:rsidRDefault="004D2988" w:rsidP="004D2988">
      <w:pPr>
        <w:pStyle w:val="a2"/>
      </w:pPr>
      <w:r>
        <w:rPr>
          <w:rFonts w:hint="cs"/>
          <w:rtl/>
        </w:rPr>
        <w:t>ביאור הגר"ח ברמב"ם דמדינא בתערובת חמץ יש ביטול ברוב ורק מדין טע"כ אסור ואין בו כרת</w:t>
      </w:r>
    </w:p>
    <w:p w:rsidR="004D2988" w:rsidRDefault="004D2988" w:rsidP="009F44AF">
      <w:pPr>
        <w:pStyle w:val="a"/>
        <w:rPr>
          <w:rtl/>
        </w:rPr>
      </w:pPr>
      <w:r>
        <w:rPr>
          <w:rFonts w:hint="cs"/>
          <w:rtl/>
        </w:rPr>
        <w:t xml:space="preserve">אבל בדעת </w:t>
      </w:r>
      <w:r w:rsidRPr="004063F7">
        <w:rPr>
          <w:rStyle w:val="af8"/>
          <w:rFonts w:hint="cs"/>
          <w:rtl/>
        </w:rPr>
        <w:t>הרמב"ם</w:t>
      </w:r>
      <w:r>
        <w:rPr>
          <w:rFonts w:hint="cs"/>
          <w:rtl/>
        </w:rPr>
        <w:t xml:space="preserve"> </w:t>
      </w:r>
      <w:r w:rsidRPr="003160A4">
        <w:rPr>
          <w:rStyle w:val="af6"/>
          <w:rFonts w:eastAsia="Guttman Hodes" w:hint="cs"/>
          <w:rtl/>
        </w:rPr>
        <w:t xml:space="preserve">(עי' אות </w:t>
      </w:r>
      <w:r w:rsidRPr="003160A4">
        <w:rPr>
          <w:rStyle w:val="af6"/>
          <w:rFonts w:eastAsia="Guttman Hodes"/>
          <w:rtl/>
        </w:rPr>
        <w:fldChar w:fldCharType="begin"/>
      </w:r>
      <w:r w:rsidRPr="003160A4">
        <w:rPr>
          <w:rStyle w:val="af6"/>
          <w:rFonts w:eastAsia="Guttman Hodes"/>
          <w:rtl/>
        </w:rPr>
        <w:instrText xml:space="preserve"> </w:instrText>
      </w:r>
      <w:r w:rsidRPr="003160A4">
        <w:rPr>
          <w:rStyle w:val="af6"/>
          <w:rFonts w:eastAsia="Guttman Hodes" w:hint="cs"/>
        </w:rPr>
        <w:instrText>REF</w:instrText>
      </w:r>
      <w:r w:rsidRPr="003160A4">
        <w:rPr>
          <w:rStyle w:val="af6"/>
          <w:rFonts w:eastAsia="Guttman Hodes" w:hint="cs"/>
          <w:rtl/>
        </w:rPr>
        <w:instrText xml:space="preserve"> _</w:instrText>
      </w:r>
      <w:r w:rsidRPr="003160A4">
        <w:rPr>
          <w:rStyle w:val="af6"/>
          <w:rFonts w:eastAsia="Guttman Hodes" w:hint="cs"/>
        </w:rPr>
        <w:instrText>Ref15838163 \r \h</w:instrText>
      </w:r>
      <w:r w:rsidRPr="003160A4">
        <w:rPr>
          <w:rStyle w:val="af6"/>
          <w:rFonts w:eastAsia="Guttman Hodes"/>
          <w:rtl/>
        </w:rPr>
        <w:instrText xml:space="preserve"> </w:instrText>
      </w:r>
      <w:r w:rsidRPr="003160A4">
        <w:rPr>
          <w:rStyle w:val="af6"/>
          <w:rFonts w:eastAsia="Guttman Hodes"/>
          <w:rtl/>
        </w:rPr>
      </w:r>
      <w:r w:rsidRPr="003160A4">
        <w:rPr>
          <w:rStyle w:val="af6"/>
          <w:rFonts w:eastAsia="Guttman Hodes"/>
          <w:rtl/>
        </w:rPr>
        <w:fldChar w:fldCharType="separate"/>
      </w:r>
      <w:r w:rsidR="004D1C5B">
        <w:rPr>
          <w:rStyle w:val="af6"/>
          <w:rFonts w:eastAsia="Guttman Hodes"/>
          <w:cs/>
        </w:rPr>
        <w:t>‎</w:t>
      </w:r>
      <w:r w:rsidR="004D1C5B">
        <w:rPr>
          <w:rStyle w:val="af6"/>
          <w:rFonts w:eastAsia="Guttman Hodes"/>
          <w:rtl/>
        </w:rPr>
        <w:t>קכ)</w:t>
      </w:r>
      <w:r w:rsidRPr="003160A4">
        <w:rPr>
          <w:rStyle w:val="af6"/>
          <w:rFonts w:eastAsia="Guttman Hodes"/>
          <w:rtl/>
        </w:rPr>
        <w:fldChar w:fldCharType="end"/>
      </w:r>
      <w:r w:rsidRPr="003160A4">
        <w:rPr>
          <w:rStyle w:val="af6"/>
          <w:rFonts w:eastAsia="Guttman Hodes" w:hint="cs"/>
          <w:rtl/>
        </w:rPr>
        <w:t xml:space="preserve"> </w:t>
      </w:r>
      <w:r>
        <w:rPr>
          <w:rFonts w:hint="cs"/>
          <w:rtl/>
        </w:rPr>
        <w:t xml:space="preserve">כתב </w:t>
      </w:r>
      <w:r w:rsidRPr="00C7184D">
        <w:rPr>
          <w:rStyle w:val="af8"/>
          <w:rFonts w:hint="cs"/>
          <w:rtl/>
        </w:rPr>
        <w:t>בחי' הגר"ח על הש"ס</w:t>
      </w:r>
      <w:r>
        <w:rPr>
          <w:rFonts w:hint="cs"/>
          <w:rtl/>
        </w:rPr>
        <w:t xml:space="preserve"> דמעיקר דין רוב היה צריך הטעם להתבטל, וכל מה שאינו מתבטל הוא מדין טעם כעיקר, א"כ האיסור בתערובת חמץ הוא רק בלאו מדין "כל מחמצת לא תאכלו", אך אינו אסור בכרת, דהא מעיקר דין איסור חמץ, היה הטעם מתבטל ברוב, ואיסורו הוא רק מדין טעם כעיקר.</w:t>
      </w:r>
    </w:p>
    <w:p w:rsidR="004D2988" w:rsidRPr="00C54C11" w:rsidRDefault="004D2988" w:rsidP="004D2988">
      <w:pPr>
        <w:pStyle w:val="1"/>
        <w:rPr>
          <w:rtl/>
        </w:rPr>
      </w:pPr>
      <w:r>
        <w:rPr>
          <w:rFonts w:hint="cs"/>
          <w:rtl/>
        </w:rPr>
        <w:t xml:space="preserve">ביאור </w:t>
      </w:r>
      <w:r w:rsidRPr="00C54C11">
        <w:rPr>
          <w:rFonts w:hint="cs"/>
          <w:rtl/>
        </w:rPr>
        <w:t xml:space="preserve">הגר"ח </w:t>
      </w:r>
      <w:r>
        <w:rPr>
          <w:rFonts w:hint="cs"/>
          <w:rtl/>
        </w:rPr>
        <w:t>בפלוגתת הרמב"ם והראב"ד בביטול ברוב בנזיר</w:t>
      </w:r>
    </w:p>
    <w:p w:rsidR="004D2988" w:rsidRPr="00463417" w:rsidRDefault="004D2988" w:rsidP="004D2988">
      <w:pPr>
        <w:pStyle w:val="a2"/>
        <w:rPr>
          <w:rtl/>
        </w:rPr>
      </w:pPr>
      <w:r>
        <w:rPr>
          <w:rFonts w:hint="cs"/>
          <w:rtl/>
        </w:rPr>
        <w:t>ביאור הגר"ח בראב"ד בנזיר ביין פחות מכא"פ דאסור מדאו' מדין חצי שיעור</w:t>
      </w:r>
    </w:p>
    <w:p w:rsidR="004D2988" w:rsidRDefault="004D2988" w:rsidP="009F44AF">
      <w:pPr>
        <w:pStyle w:val="a"/>
        <w:rPr>
          <w:rtl/>
        </w:rPr>
      </w:pPr>
      <w:r>
        <w:rPr>
          <w:rFonts w:hint="cs"/>
          <w:rtl/>
        </w:rPr>
        <w:t xml:space="preserve">ועוד הביא </w:t>
      </w:r>
      <w:r w:rsidRPr="0000140C">
        <w:rPr>
          <w:rStyle w:val="af8"/>
          <w:rFonts w:hint="cs"/>
          <w:rtl/>
        </w:rPr>
        <w:t>בחי' הגר"ח על הש"ס</w:t>
      </w:r>
      <w:r>
        <w:rPr>
          <w:rFonts w:hint="cs"/>
          <w:rtl/>
        </w:rPr>
        <w:t xml:space="preserve"> </w:t>
      </w:r>
      <w:r w:rsidRPr="001F0B88">
        <w:rPr>
          <w:rStyle w:val="af6"/>
          <w:rFonts w:eastAsia="Guttman Hodes" w:hint="cs"/>
          <w:rtl/>
        </w:rPr>
        <w:t>(מהדו' מישור ערלה פ"ב מ"א בענין טעם כעיקר ד"ה והנה בפ"ה)</w:t>
      </w:r>
      <w:r>
        <w:rPr>
          <w:rFonts w:hint="cs"/>
          <w:rtl/>
        </w:rPr>
        <w:t xml:space="preserve"> את פלוגתת </w:t>
      </w:r>
      <w:r w:rsidRPr="00405FEE">
        <w:rPr>
          <w:rStyle w:val="af8"/>
          <w:rFonts w:hint="cs"/>
          <w:rtl/>
        </w:rPr>
        <w:t>הרמב"ם</w:t>
      </w:r>
      <w:r>
        <w:rPr>
          <w:rFonts w:hint="cs"/>
          <w:rtl/>
        </w:rPr>
        <w:t xml:space="preserve"> </w:t>
      </w:r>
      <w:r w:rsidRPr="00405FEE">
        <w:rPr>
          <w:rStyle w:val="af8"/>
          <w:rFonts w:hint="cs"/>
          <w:rtl/>
        </w:rPr>
        <w:t>והראב"ד</w:t>
      </w:r>
      <w:r>
        <w:rPr>
          <w:rFonts w:hint="cs"/>
          <w:rtl/>
        </w:rPr>
        <w:t xml:space="preserve"> ביין שהתערב בדבש בפחות מכזית בכדי אכילת פרס, ויש בו טעם יין, </w:t>
      </w:r>
      <w:r w:rsidRPr="00405FEE">
        <w:rPr>
          <w:rStyle w:val="af8"/>
          <w:rFonts w:hint="cs"/>
          <w:rtl/>
        </w:rPr>
        <w:t>דלהרמב"ם</w:t>
      </w:r>
      <w:r>
        <w:rPr>
          <w:rFonts w:hint="cs"/>
          <w:rtl/>
        </w:rPr>
        <w:t xml:space="preserve"> </w:t>
      </w:r>
      <w:r w:rsidRPr="001F0B88">
        <w:rPr>
          <w:rStyle w:val="af6"/>
          <w:rFonts w:eastAsia="Guttman Hodes" w:hint="cs"/>
          <w:rtl/>
        </w:rPr>
        <w:t xml:space="preserve">(נזירות פ"ה ה"ו ז', הובא לקמן סימן יא' </w:t>
      </w:r>
      <w:r w:rsidRPr="00B05229">
        <w:rPr>
          <w:rStyle w:val="af6"/>
          <w:rFonts w:eastAsia="Guttman Hodes" w:hint="cs"/>
          <w:rtl/>
        </w:rPr>
        <w:t xml:space="preserve">אות </w:t>
      </w:r>
      <w:r w:rsidR="00B05229" w:rsidRPr="00B05229">
        <w:rPr>
          <w:rStyle w:val="af6"/>
          <w:rFonts w:eastAsia="Guttman Hodes"/>
          <w:rtl/>
        </w:rPr>
        <w:fldChar w:fldCharType="begin"/>
      </w:r>
      <w:r w:rsidR="00B05229" w:rsidRPr="00B05229">
        <w:rPr>
          <w:rStyle w:val="af6"/>
          <w:rFonts w:eastAsia="Guttman Hodes"/>
          <w:rtl/>
        </w:rPr>
        <w:instrText xml:space="preserve"> </w:instrText>
      </w:r>
      <w:r w:rsidR="00B05229" w:rsidRPr="00B05229">
        <w:rPr>
          <w:rStyle w:val="af6"/>
          <w:rFonts w:eastAsia="Guttman Hodes" w:hint="cs"/>
        </w:rPr>
        <w:instrText>REF</w:instrText>
      </w:r>
      <w:r w:rsidR="00B05229" w:rsidRPr="00B05229">
        <w:rPr>
          <w:rStyle w:val="af6"/>
          <w:rFonts w:eastAsia="Guttman Hodes" w:hint="cs"/>
          <w:rtl/>
        </w:rPr>
        <w:instrText xml:space="preserve"> _</w:instrText>
      </w:r>
      <w:r w:rsidR="00B05229" w:rsidRPr="00B05229">
        <w:rPr>
          <w:rStyle w:val="af6"/>
          <w:rFonts w:eastAsia="Guttman Hodes" w:hint="cs"/>
        </w:rPr>
        <w:instrText>Ref14898712 \r \h</w:instrText>
      </w:r>
      <w:r w:rsidR="00B05229" w:rsidRPr="00B05229">
        <w:rPr>
          <w:rStyle w:val="af6"/>
          <w:rFonts w:eastAsia="Guttman Hodes"/>
          <w:rtl/>
        </w:rPr>
        <w:instrText xml:space="preserve"> </w:instrText>
      </w:r>
      <w:r w:rsidR="00B05229" w:rsidRPr="00B05229">
        <w:rPr>
          <w:rStyle w:val="af6"/>
          <w:rFonts w:eastAsia="Guttman Hodes"/>
          <w:rtl/>
        </w:rPr>
      </w:r>
      <w:r w:rsidR="00B05229" w:rsidRPr="00B05229">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00B05229" w:rsidRPr="00B05229">
        <w:rPr>
          <w:rStyle w:val="af6"/>
          <w:rFonts w:eastAsia="Guttman Hodes"/>
          <w:rtl/>
        </w:rPr>
        <w:fldChar w:fldCharType="end"/>
      </w:r>
      <w:r w:rsidR="00B05229">
        <w:rPr>
          <w:rFonts w:hint="cs"/>
          <w:rtl/>
        </w:rPr>
        <w:t xml:space="preserve"> </w:t>
      </w:r>
      <w:r>
        <w:rPr>
          <w:rFonts w:hint="cs"/>
          <w:rtl/>
        </w:rPr>
        <w:t xml:space="preserve">אסור מדרבנן </w:t>
      </w:r>
      <w:r w:rsidRPr="00405FEE">
        <w:rPr>
          <w:rStyle w:val="af8"/>
          <w:rFonts w:hint="cs"/>
          <w:rtl/>
        </w:rPr>
        <w:t>ולהראב"ד</w:t>
      </w:r>
      <w:r>
        <w:rPr>
          <w:rFonts w:hint="cs"/>
          <w:rtl/>
        </w:rPr>
        <w:t xml:space="preserve"> </w:t>
      </w:r>
      <w:r w:rsidRPr="001F0B88">
        <w:rPr>
          <w:rStyle w:val="af6"/>
          <w:rFonts w:eastAsia="Guttman Hodes" w:hint="cs"/>
          <w:rtl/>
        </w:rPr>
        <w:t xml:space="preserve">(נזירות פ"ה ה"ו, הובא לקמן סימן יא' אות </w:t>
      </w:r>
      <w:r w:rsidR="00B05229">
        <w:rPr>
          <w:rStyle w:val="af6"/>
          <w:rFonts w:eastAsia="Guttman Hodes"/>
          <w:rtl/>
        </w:rPr>
        <w:fldChar w:fldCharType="begin"/>
      </w:r>
      <w:r w:rsidR="00B05229">
        <w:rPr>
          <w:rStyle w:val="af6"/>
          <w:rFonts w:eastAsia="Guttman Hodes"/>
          <w:rtl/>
        </w:rPr>
        <w:instrText xml:space="preserve"> </w:instrText>
      </w:r>
      <w:r w:rsidR="00B05229">
        <w:rPr>
          <w:rStyle w:val="af6"/>
          <w:rFonts w:eastAsia="Guttman Hodes" w:hint="cs"/>
        </w:rPr>
        <w:instrText>REF</w:instrText>
      </w:r>
      <w:r w:rsidR="00B05229">
        <w:rPr>
          <w:rStyle w:val="af6"/>
          <w:rFonts w:eastAsia="Guttman Hodes" w:hint="cs"/>
          <w:rtl/>
        </w:rPr>
        <w:instrText xml:space="preserve"> _</w:instrText>
      </w:r>
      <w:r w:rsidR="00B05229">
        <w:rPr>
          <w:rStyle w:val="af6"/>
          <w:rFonts w:eastAsia="Guttman Hodes" w:hint="cs"/>
        </w:rPr>
        <w:instrText>Ref14857323 \r \h</w:instrText>
      </w:r>
      <w:r w:rsidR="00B05229">
        <w:rPr>
          <w:rStyle w:val="af6"/>
          <w:rFonts w:eastAsia="Guttman Hodes"/>
          <w:rtl/>
        </w:rPr>
        <w:instrText xml:space="preserve"> </w:instrText>
      </w:r>
      <w:r w:rsidR="00B05229">
        <w:rPr>
          <w:rStyle w:val="af6"/>
          <w:rFonts w:eastAsia="Guttman Hodes"/>
          <w:rtl/>
        </w:rPr>
      </w:r>
      <w:r w:rsidR="00B05229">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00B05229">
        <w:rPr>
          <w:rStyle w:val="af6"/>
          <w:rFonts w:eastAsia="Guttman Hodes"/>
          <w:rtl/>
        </w:rPr>
        <w:fldChar w:fldCharType="end"/>
      </w:r>
      <w:r w:rsidRPr="001F0B88">
        <w:rPr>
          <w:rStyle w:val="af6"/>
          <w:rFonts w:eastAsia="Guttman Hodes" w:hint="cs"/>
          <w:rtl/>
        </w:rPr>
        <w:t xml:space="preserve"> </w:t>
      </w:r>
      <w:r>
        <w:rPr>
          <w:rFonts w:hint="cs"/>
          <w:rtl/>
        </w:rPr>
        <w:t xml:space="preserve">אסור מדאו', וכתב </w:t>
      </w:r>
      <w:r w:rsidRPr="00C7184D">
        <w:rPr>
          <w:rStyle w:val="af8"/>
          <w:rFonts w:hint="cs"/>
          <w:rtl/>
        </w:rPr>
        <w:t>בחי' הגר"ח על הש"ס</w:t>
      </w:r>
      <w:r>
        <w:rPr>
          <w:rFonts w:hint="cs"/>
          <w:rtl/>
        </w:rPr>
        <w:t xml:space="preserve"> </w:t>
      </w:r>
      <w:r w:rsidRPr="001F0B88">
        <w:rPr>
          <w:rStyle w:val="af6"/>
          <w:rFonts w:eastAsia="Guttman Hodes" w:hint="cs"/>
          <w:rtl/>
        </w:rPr>
        <w:t>מהדו' מישור ערלה פ"ב מ"א בענין טעם כעיקר ד"ה ומעתה מבואר)</w:t>
      </w:r>
      <w:r>
        <w:rPr>
          <w:rFonts w:hint="cs"/>
          <w:rtl/>
        </w:rPr>
        <w:t xml:space="preserve"> דלפי דבריו מבואר </w:t>
      </w:r>
      <w:r w:rsidRPr="00C7184D">
        <w:rPr>
          <w:rStyle w:val="af8"/>
          <w:rFonts w:hint="cs"/>
          <w:rtl/>
        </w:rPr>
        <w:t>דהראב"ד</w:t>
      </w:r>
      <w:r>
        <w:rPr>
          <w:rFonts w:hint="cs"/>
          <w:rtl/>
        </w:rPr>
        <w:t xml:space="preserve"> ס"ל דכיון שהטעם ניכר א"כ לא שייך בו דין ביטול כלל, ולכן אף בפחות מרביעית בכדי אכילת פרס, שאין בו שיעור למלקות, מ"מ הוא אסור מדאו' מדין חצי שיעור</w:t>
      </w:r>
      <w:r w:rsidRPr="0050146A">
        <w:rPr>
          <w:rFonts w:hint="cs"/>
          <w:rtl/>
        </w:rPr>
        <w:t xml:space="preserve">, וע"ע במה שביאר </w:t>
      </w:r>
      <w:r w:rsidRPr="0050146A">
        <w:rPr>
          <w:rStyle w:val="af8"/>
          <w:rFonts w:hint="cs"/>
          <w:rtl/>
        </w:rPr>
        <w:t>הגרי"ז</w:t>
      </w:r>
      <w:r w:rsidRPr="0050146A">
        <w:rPr>
          <w:rFonts w:hint="cs"/>
          <w:rtl/>
        </w:rPr>
        <w:t xml:space="preserve"> </w:t>
      </w:r>
      <w:r w:rsidRPr="001F0B88">
        <w:rPr>
          <w:rStyle w:val="af6"/>
          <w:rFonts w:eastAsia="Guttman Hodes" w:hint="cs"/>
          <w:rtl/>
        </w:rPr>
        <w:t>(נזיר לו. ד"ה הואיל וזר)</w:t>
      </w:r>
      <w:r>
        <w:rPr>
          <w:rFonts w:hint="cs"/>
          <w:rtl/>
        </w:rPr>
        <w:t>.</w:t>
      </w:r>
    </w:p>
    <w:p w:rsidR="004D2988" w:rsidRPr="00463417" w:rsidRDefault="004D2988" w:rsidP="004D2988">
      <w:pPr>
        <w:pStyle w:val="a2"/>
        <w:rPr>
          <w:rtl/>
        </w:rPr>
      </w:pPr>
      <w:r>
        <w:rPr>
          <w:rFonts w:hint="cs"/>
          <w:rtl/>
        </w:rPr>
        <w:t>ביאור הגר"ח ברמב"ם דכיון שהאיסור דטע"כ הוא חידוש דאינו בטל אפש"ל דאין בו דין חצי שיעור</w:t>
      </w:r>
    </w:p>
    <w:p w:rsidR="002D7168" w:rsidRDefault="004D2988" w:rsidP="009F44AF">
      <w:pPr>
        <w:pStyle w:val="a"/>
        <w:rPr>
          <w:rStyle w:val="afa"/>
          <w:rtl/>
        </w:rPr>
      </w:pPr>
      <w:r>
        <w:rPr>
          <w:rFonts w:hint="cs"/>
          <w:rtl/>
        </w:rPr>
        <w:t xml:space="preserve">אבל בדעת </w:t>
      </w:r>
      <w:r w:rsidRPr="00C7184D">
        <w:rPr>
          <w:rStyle w:val="af8"/>
          <w:rFonts w:hint="cs"/>
          <w:rtl/>
        </w:rPr>
        <w:t>הרמב"ם</w:t>
      </w:r>
      <w:r>
        <w:rPr>
          <w:rFonts w:hint="cs"/>
          <w:rtl/>
        </w:rPr>
        <w:t xml:space="preserve"> ביאר </w:t>
      </w:r>
      <w:r w:rsidRPr="00C7184D">
        <w:rPr>
          <w:rStyle w:val="af8"/>
          <w:rFonts w:hint="cs"/>
          <w:rtl/>
        </w:rPr>
        <w:t>בחי' הגר"ח על הש"ס</w:t>
      </w:r>
      <w:r>
        <w:rPr>
          <w:rFonts w:hint="cs"/>
          <w:rtl/>
        </w:rPr>
        <w:t xml:space="preserve"> דכיון דס"ל דהא דהטעם אינו מתבטל ברוב, הוא רק מחמת שנאמר בו האיסור המחודש דטעם כעיקר, א"כ אפש"ל דכיון שטעם כעיקר הוא איסור מחודש בפנ"ע לא נאמר בו דין חצי שיעור מדאו' כלל, ולכן כתב </w:t>
      </w:r>
      <w:r w:rsidRPr="00B710D2">
        <w:rPr>
          <w:rStyle w:val="af8"/>
          <w:rFonts w:hint="cs"/>
          <w:rtl/>
        </w:rPr>
        <w:t>הרמב"ם</w:t>
      </w:r>
      <w:r>
        <w:rPr>
          <w:rFonts w:hint="cs"/>
          <w:rtl/>
        </w:rPr>
        <w:t xml:space="preserve"> דפחות מרביעית בכדי אכילת פרס, אסור רק מדרבנן ולא מדאו', ועיי"ש במה </w:t>
      </w:r>
      <w:r w:rsidRPr="00C7184D">
        <w:rPr>
          <w:rFonts w:hint="cs"/>
          <w:rtl/>
        </w:rPr>
        <w:t xml:space="preserve">שביאר בזה </w:t>
      </w:r>
      <w:r w:rsidRPr="00C7184D">
        <w:rPr>
          <w:rStyle w:val="af8"/>
          <w:rFonts w:hint="cs"/>
          <w:rtl/>
        </w:rPr>
        <w:t>בחי' הגר"ח על הש"ס</w:t>
      </w:r>
      <w:r w:rsidRPr="00C7184D">
        <w:rPr>
          <w:rFonts w:hint="cs"/>
          <w:rtl/>
        </w:rPr>
        <w:t xml:space="preserve"> את דברי </w:t>
      </w:r>
      <w:r w:rsidRPr="00C7184D">
        <w:rPr>
          <w:rStyle w:val="af8"/>
          <w:rFonts w:hint="cs"/>
          <w:rtl/>
        </w:rPr>
        <w:t>הרמב"ם</w:t>
      </w:r>
      <w:r w:rsidRPr="00C7184D">
        <w:rPr>
          <w:rFonts w:hint="cs"/>
          <w:rtl/>
        </w:rPr>
        <w:t xml:space="preserve"> בדין "רואין".</w:t>
      </w:r>
      <w:r w:rsidR="000F79F1">
        <w:rPr>
          <w:rFonts w:hint="cs"/>
          <w:rtl/>
        </w:rPr>
        <w:t xml:space="preserve"> </w:t>
      </w:r>
      <w:r w:rsidR="000F79F1" w:rsidRPr="000F79F1">
        <w:rPr>
          <w:rStyle w:val="afa"/>
          <w:rFonts w:hint="cs"/>
          <w:rtl/>
        </w:rPr>
        <w:t xml:space="preserve">[וע"ע במה שביאר </w:t>
      </w:r>
      <w:r w:rsidR="000F79F1" w:rsidRPr="000F79F1">
        <w:rPr>
          <w:rStyle w:val="affa"/>
          <w:rFonts w:hint="cs"/>
          <w:rtl/>
        </w:rPr>
        <w:t>האבהא"ז</w:t>
      </w:r>
      <w:r w:rsidR="000F79F1" w:rsidRPr="000F79F1">
        <w:rPr>
          <w:rStyle w:val="afa"/>
          <w:rFonts w:hint="cs"/>
          <w:rtl/>
        </w:rPr>
        <w:t xml:space="preserve"> </w:t>
      </w:r>
      <w:r w:rsidR="000F79F1" w:rsidRPr="0068093C">
        <w:rPr>
          <w:rStyle w:val="af6"/>
          <w:rFonts w:eastAsia="Guttman Hodes" w:hint="cs"/>
          <w:rtl/>
        </w:rPr>
        <w:t>(</w:t>
      </w:r>
      <w:r w:rsidR="000F79F1" w:rsidRPr="0068093C">
        <w:rPr>
          <w:rStyle w:val="af6"/>
          <w:rFonts w:eastAsia="Guttman Rashi" w:hint="cs"/>
          <w:rtl/>
        </w:rPr>
        <w:t>מ</w:t>
      </w:r>
      <w:r w:rsidR="000F79F1" w:rsidRPr="000F79F1">
        <w:rPr>
          <w:rStyle w:val="aff6"/>
          <w:rFonts w:hint="cs"/>
          <w:rtl/>
        </w:rPr>
        <w:t xml:space="preserve">אכ"א פט"ו ה"ב ד"ה ובדעת הרמב"ם, הובא לקמן סימן יא' אות </w:t>
      </w:r>
      <w:r w:rsidR="000F79F1" w:rsidRPr="000F79F1">
        <w:rPr>
          <w:rStyle w:val="aff6"/>
          <w:rtl/>
        </w:rPr>
        <w:fldChar w:fldCharType="begin"/>
      </w:r>
      <w:r w:rsidR="000F79F1" w:rsidRPr="000F79F1">
        <w:rPr>
          <w:rStyle w:val="aff6"/>
          <w:rtl/>
        </w:rPr>
        <w:instrText xml:space="preserve"> </w:instrText>
      </w:r>
      <w:r w:rsidR="000F79F1" w:rsidRPr="000F79F1">
        <w:rPr>
          <w:rStyle w:val="aff6"/>
          <w:rFonts w:hint="cs"/>
        </w:rPr>
        <w:instrText>REF</w:instrText>
      </w:r>
      <w:r w:rsidR="000F79F1" w:rsidRPr="000F79F1">
        <w:rPr>
          <w:rStyle w:val="aff6"/>
          <w:rFonts w:hint="cs"/>
          <w:rtl/>
        </w:rPr>
        <w:instrText xml:space="preserve"> _</w:instrText>
      </w:r>
      <w:r w:rsidR="000F79F1" w:rsidRPr="000F79F1">
        <w:rPr>
          <w:rStyle w:val="aff6"/>
          <w:rFonts w:hint="cs"/>
        </w:rPr>
        <w:instrText>Ref15848657 \r \h</w:instrText>
      </w:r>
      <w:r w:rsidR="000F79F1" w:rsidRPr="000F79F1">
        <w:rPr>
          <w:rStyle w:val="aff6"/>
          <w:rtl/>
        </w:rPr>
        <w:instrText xml:space="preserve"> </w:instrText>
      </w:r>
      <w:r w:rsidR="000F79F1" w:rsidRPr="000F79F1">
        <w:rPr>
          <w:rStyle w:val="aff6"/>
          <w:rtl/>
        </w:rPr>
      </w:r>
      <w:r w:rsidR="000F79F1" w:rsidRPr="000F79F1">
        <w:rPr>
          <w:rStyle w:val="aff6"/>
          <w:rtl/>
        </w:rPr>
        <w:fldChar w:fldCharType="separate"/>
      </w:r>
      <w:r w:rsidR="004D1C5B">
        <w:rPr>
          <w:rStyle w:val="aff6"/>
          <w:cs/>
        </w:rPr>
        <w:t>‎</w:t>
      </w:r>
      <w:r w:rsidR="004D1C5B">
        <w:rPr>
          <w:rStyle w:val="aff6"/>
          <w:rtl/>
        </w:rPr>
        <w:t>קיז)</w:t>
      </w:r>
      <w:r w:rsidR="000F79F1" w:rsidRPr="000F79F1">
        <w:rPr>
          <w:rStyle w:val="aff6"/>
          <w:rtl/>
        </w:rPr>
        <w:fldChar w:fldCharType="end"/>
      </w:r>
      <w:r w:rsidR="000F79F1" w:rsidRPr="000F79F1">
        <w:rPr>
          <w:rStyle w:val="afa"/>
          <w:rFonts w:hint="cs"/>
          <w:rtl/>
        </w:rPr>
        <w:t xml:space="preserve"> בדעת </w:t>
      </w:r>
      <w:r w:rsidR="000F79F1" w:rsidRPr="000F79F1">
        <w:rPr>
          <w:rStyle w:val="affa"/>
          <w:rFonts w:hint="cs"/>
          <w:rtl/>
        </w:rPr>
        <w:t>הרמב"ם</w:t>
      </w:r>
      <w:r w:rsidR="000F79F1" w:rsidRPr="000F79F1">
        <w:rPr>
          <w:rStyle w:val="afa"/>
          <w:rFonts w:hint="cs"/>
          <w:rtl/>
        </w:rPr>
        <w:t xml:space="preserve"> </w:t>
      </w:r>
      <w:r w:rsidR="000F79F1" w:rsidRPr="000F79F1">
        <w:rPr>
          <w:rStyle w:val="aff6"/>
          <w:rFonts w:hint="cs"/>
          <w:rtl/>
        </w:rPr>
        <w:t>(מאכ"א פט"ו ה"ב)</w:t>
      </w:r>
      <w:r w:rsidR="000F79F1" w:rsidRPr="000F79F1">
        <w:rPr>
          <w:rStyle w:val="afa"/>
          <w:rFonts w:hint="cs"/>
          <w:rtl/>
        </w:rPr>
        <w:t xml:space="preserve"> דס"ל דטעם כעיקר דאו', וממשרת ילפינן את עצם הדין דהטעם עצמו אסור, ולולי דין טעם כעיקר, לא היה הטעם אסור בתערובת כלל, והא דאינו אסור מדאו' מדין חצי שיעור, כתב </w:t>
      </w:r>
      <w:r w:rsidR="000F79F1" w:rsidRPr="000F79F1">
        <w:rPr>
          <w:rStyle w:val="affa"/>
          <w:rFonts w:hint="cs"/>
          <w:rtl/>
        </w:rPr>
        <w:t>האבאה"ז</w:t>
      </w:r>
      <w:r w:rsidR="000F79F1" w:rsidRPr="000F79F1">
        <w:rPr>
          <w:rStyle w:val="afa"/>
          <w:rFonts w:hint="cs"/>
          <w:rtl/>
        </w:rPr>
        <w:t xml:space="preserve"> דצ"ל דס"ל </w:t>
      </w:r>
      <w:r w:rsidR="000F79F1" w:rsidRPr="000F79F1">
        <w:rPr>
          <w:rStyle w:val="affa"/>
          <w:rFonts w:hint="cs"/>
          <w:rtl/>
        </w:rPr>
        <w:t>להרמב"ם</w:t>
      </w:r>
      <w:r w:rsidR="000F79F1" w:rsidRPr="000F79F1">
        <w:rPr>
          <w:rStyle w:val="afa"/>
          <w:rFonts w:hint="cs"/>
          <w:rtl/>
        </w:rPr>
        <w:t xml:space="preserve"> דבתערובת אין איסור חצי שיעור מדאו'].</w:t>
      </w:r>
    </w:p>
    <w:p w:rsidR="004D2988" w:rsidRDefault="004D2988" w:rsidP="00E669F8">
      <w:pPr>
        <w:pStyle w:val="afd"/>
        <w:rPr>
          <w:rtl/>
        </w:rPr>
      </w:pPr>
      <w:r>
        <w:rPr>
          <w:rFonts w:hint="cs"/>
          <w:rtl/>
        </w:rPr>
        <w:t xml:space="preserve">דברי המשנת ר"א דטע"כ לא ילפי' מדיינים </w:t>
      </w:r>
    </w:p>
    <w:p w:rsidR="004D2988" w:rsidRDefault="004D2988" w:rsidP="004D2988">
      <w:pPr>
        <w:pStyle w:val="1"/>
        <w:rPr>
          <w:rtl/>
        </w:rPr>
      </w:pPr>
      <w:r>
        <w:rPr>
          <w:rFonts w:hint="cs"/>
          <w:rtl/>
        </w:rPr>
        <w:lastRenderedPageBreak/>
        <w:t xml:space="preserve">ביאור המשנת ר"א דבטעם מהני ביטול ברוב וטע"כ הוא גזיה"כ </w:t>
      </w:r>
    </w:p>
    <w:p w:rsidR="004D2988" w:rsidRDefault="004D2988" w:rsidP="004D2988">
      <w:pPr>
        <w:pStyle w:val="a2"/>
      </w:pPr>
      <w:r>
        <w:rPr>
          <w:rFonts w:hint="cs"/>
          <w:rtl/>
        </w:rPr>
        <w:t>דברי המשנת ר"א דהא דאיסור ניכר לא בטיל הוא רק כשצריך לדון את דין התערובת לדין אחד</w:t>
      </w:r>
    </w:p>
    <w:p w:rsidR="004D2988" w:rsidRDefault="004D2988" w:rsidP="009F44AF">
      <w:pPr>
        <w:pStyle w:val="a"/>
        <w:rPr>
          <w:rtl/>
        </w:rPr>
      </w:pPr>
      <w:bookmarkStart w:id="5645" w:name="_Ref15838230"/>
      <w:r>
        <w:rPr>
          <w:rFonts w:hint="cs"/>
          <w:rtl/>
        </w:rPr>
        <w:t xml:space="preserve">הביא </w:t>
      </w:r>
      <w:r w:rsidRPr="00344171">
        <w:rPr>
          <w:rStyle w:val="af8"/>
          <w:rFonts w:hint="cs"/>
          <w:rtl/>
        </w:rPr>
        <w:t>המשנת ר"א</w:t>
      </w:r>
      <w:r>
        <w:rPr>
          <w:rFonts w:hint="cs"/>
          <w:rtl/>
        </w:rPr>
        <w:t xml:space="preserve"> </w:t>
      </w:r>
      <w:r w:rsidRPr="00344171">
        <w:rPr>
          <w:rStyle w:val="af6"/>
          <w:rFonts w:eastAsia="Guttman Hodes" w:hint="cs"/>
          <w:rtl/>
        </w:rPr>
        <w:t>(סי' ט' אות י"ב ד"ה ומדאתאן)</w:t>
      </w:r>
      <w:r>
        <w:rPr>
          <w:rFonts w:hint="cs"/>
          <w:rtl/>
        </w:rPr>
        <w:t xml:space="preserve"> את דברי </w:t>
      </w:r>
      <w:r w:rsidRPr="00344171">
        <w:rPr>
          <w:rStyle w:val="af8"/>
          <w:rFonts w:hint="cs"/>
          <w:rtl/>
        </w:rPr>
        <w:t>הגר"ח</w:t>
      </w:r>
      <w:r>
        <w:rPr>
          <w:rFonts w:hint="cs"/>
          <w:rtl/>
        </w:rPr>
        <w:t xml:space="preserve"> </w:t>
      </w:r>
      <w:r w:rsidRPr="00EB18C2">
        <w:rPr>
          <w:rStyle w:val="af6"/>
          <w:rFonts w:eastAsia="Guttman Hodes" w:hint="cs"/>
          <w:rtl/>
        </w:rPr>
        <w:t xml:space="preserve">(עי' אות </w:t>
      </w:r>
      <w:r w:rsidRPr="00EB18C2">
        <w:rPr>
          <w:rStyle w:val="af6"/>
          <w:rFonts w:eastAsia="Guttman Hodes"/>
          <w:rtl/>
        </w:rPr>
        <w:fldChar w:fldCharType="begin"/>
      </w:r>
      <w:r w:rsidRPr="00EB18C2">
        <w:rPr>
          <w:rStyle w:val="af6"/>
          <w:rFonts w:eastAsia="Guttman Hodes"/>
          <w:rtl/>
        </w:rPr>
        <w:instrText xml:space="preserve"> </w:instrText>
      </w:r>
      <w:r w:rsidRPr="00EB18C2">
        <w:rPr>
          <w:rStyle w:val="af6"/>
          <w:rFonts w:eastAsia="Guttman Hodes" w:hint="cs"/>
        </w:rPr>
        <w:instrText>REF</w:instrText>
      </w:r>
      <w:r w:rsidRPr="00EB18C2">
        <w:rPr>
          <w:rStyle w:val="af6"/>
          <w:rFonts w:eastAsia="Guttman Hodes" w:hint="cs"/>
          <w:rtl/>
        </w:rPr>
        <w:instrText xml:space="preserve"> _</w:instrText>
      </w:r>
      <w:r w:rsidRPr="00EB18C2">
        <w:rPr>
          <w:rStyle w:val="af6"/>
          <w:rFonts w:eastAsia="Guttman Hodes" w:hint="cs"/>
        </w:rPr>
        <w:instrText>Ref12896046 \r \h</w:instrText>
      </w:r>
      <w:r w:rsidRPr="00EB18C2">
        <w:rPr>
          <w:rStyle w:val="af6"/>
          <w:rFonts w:eastAsia="Guttman Hodes"/>
          <w:rtl/>
        </w:rPr>
        <w:instrText xml:space="preserve"> </w:instrText>
      </w:r>
      <w:r w:rsidRPr="00EB18C2">
        <w:rPr>
          <w:rStyle w:val="af6"/>
          <w:rFonts w:eastAsia="Guttman Hodes"/>
          <w:rtl/>
        </w:rPr>
      </w:r>
      <w:r w:rsidRPr="00EB18C2">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EB18C2">
        <w:rPr>
          <w:rStyle w:val="af6"/>
          <w:rFonts w:eastAsia="Guttman Hodes"/>
          <w:rtl/>
        </w:rPr>
        <w:fldChar w:fldCharType="end"/>
      </w:r>
      <w:r w:rsidRPr="00EB18C2">
        <w:rPr>
          <w:rStyle w:val="af6"/>
          <w:rFonts w:eastAsia="Guttman Hodes" w:hint="cs"/>
          <w:rtl/>
        </w:rPr>
        <w:t xml:space="preserve"> </w:t>
      </w:r>
      <w:r w:rsidRPr="00814C38">
        <w:rPr>
          <w:rStyle w:val="afa"/>
          <w:rFonts w:hint="cs"/>
          <w:rtl/>
        </w:rPr>
        <w:t>[</w:t>
      </w:r>
      <w:r>
        <w:rPr>
          <w:rStyle w:val="afa"/>
          <w:rFonts w:hint="cs"/>
          <w:rtl/>
        </w:rPr>
        <w:t xml:space="preserve"> בצד הא', </w:t>
      </w:r>
      <w:r w:rsidRPr="00814C38">
        <w:rPr>
          <w:rStyle w:val="afa"/>
          <w:rFonts w:hint="cs"/>
          <w:rtl/>
        </w:rPr>
        <w:t xml:space="preserve">וכדכתב </w:t>
      </w:r>
      <w:r w:rsidRPr="00814C38">
        <w:rPr>
          <w:rStyle w:val="affa"/>
          <w:rFonts w:hint="cs"/>
          <w:rtl/>
        </w:rPr>
        <w:t>הראב"ד</w:t>
      </w:r>
      <w:r w:rsidRPr="00814C38">
        <w:rPr>
          <w:rStyle w:val="afa"/>
          <w:rFonts w:hint="cs"/>
          <w:rtl/>
        </w:rPr>
        <w:t xml:space="preserve"> </w:t>
      </w:r>
      <w:r w:rsidRPr="00814C38">
        <w:rPr>
          <w:rStyle w:val="aff6"/>
          <w:rFonts w:hint="cs"/>
          <w:rtl/>
        </w:rPr>
        <w:t xml:space="preserve">(עי' אות </w:t>
      </w:r>
      <w:r w:rsidRPr="00814C38">
        <w:rPr>
          <w:rStyle w:val="aff6"/>
          <w:rtl/>
        </w:rPr>
        <w:fldChar w:fldCharType="begin"/>
      </w:r>
      <w:r w:rsidRPr="00814C38">
        <w:rPr>
          <w:rStyle w:val="aff6"/>
          <w:rtl/>
        </w:rPr>
        <w:instrText xml:space="preserve"> </w:instrText>
      </w:r>
      <w:r w:rsidRPr="00814C38">
        <w:rPr>
          <w:rStyle w:val="aff6"/>
          <w:rFonts w:hint="cs"/>
        </w:rPr>
        <w:instrText>REF</w:instrText>
      </w:r>
      <w:r w:rsidRPr="00814C38">
        <w:rPr>
          <w:rStyle w:val="aff6"/>
          <w:rFonts w:hint="cs"/>
          <w:rtl/>
        </w:rPr>
        <w:instrText xml:space="preserve"> _</w:instrText>
      </w:r>
      <w:r w:rsidRPr="00814C38">
        <w:rPr>
          <w:rStyle w:val="aff6"/>
          <w:rFonts w:hint="cs"/>
        </w:rPr>
        <w:instrText>Ref12868847 \r \h</w:instrText>
      </w:r>
      <w:r w:rsidRPr="00814C38">
        <w:rPr>
          <w:rStyle w:val="aff6"/>
          <w:rtl/>
        </w:rPr>
        <w:instrText xml:space="preserve"> </w:instrText>
      </w:r>
      <w:r w:rsidRPr="00814C38">
        <w:rPr>
          <w:rStyle w:val="aff6"/>
          <w:rtl/>
        </w:rPr>
      </w:r>
      <w:r w:rsidRPr="00814C38">
        <w:rPr>
          <w:rStyle w:val="aff6"/>
          <w:rtl/>
        </w:rPr>
        <w:fldChar w:fldCharType="separate"/>
      </w:r>
      <w:r w:rsidR="004D1C5B">
        <w:rPr>
          <w:rStyle w:val="aff6"/>
          <w:cs/>
        </w:rPr>
        <w:t>‎</w:t>
      </w:r>
      <w:r w:rsidR="004D1C5B">
        <w:rPr>
          <w:rStyle w:val="aff6"/>
          <w:rtl/>
        </w:rPr>
        <w:t>סט)</w:t>
      </w:r>
      <w:r w:rsidRPr="00814C38">
        <w:rPr>
          <w:rStyle w:val="aff6"/>
          <w:rtl/>
        </w:rPr>
        <w:fldChar w:fldCharType="end"/>
      </w:r>
      <w:r w:rsidRPr="00814C38">
        <w:rPr>
          <w:rStyle w:val="afa"/>
          <w:rFonts w:hint="cs"/>
          <w:rtl/>
        </w:rPr>
        <w:t xml:space="preserve">] </w:t>
      </w:r>
      <w:r>
        <w:rPr>
          <w:rFonts w:hint="cs"/>
          <w:rtl/>
        </w:rPr>
        <w:t xml:space="preserve">דכתב דהא דטעם כעיקר אינו מתבטל ברוב, הוא כיון שהאיסור נתן טעם ההיתר והטעם מורגש, לכן חשיב האיסור כנמצא בעין ואינו מתבטל ולא חשיב כתערובת, אך דחה </w:t>
      </w:r>
      <w:r w:rsidRPr="00344171">
        <w:rPr>
          <w:rStyle w:val="af8"/>
          <w:rFonts w:hint="cs"/>
          <w:rtl/>
        </w:rPr>
        <w:t>המשנת ר"א</w:t>
      </w:r>
      <w:r>
        <w:rPr>
          <w:rFonts w:hint="cs"/>
          <w:rtl/>
        </w:rPr>
        <w:t xml:space="preserve"> דכ"מ דאיסור שניכר בפנ"ע אינו מתבטל, זהו דוקא במקום שצריך לתת לתערובת את אותו הדין, וצריך לדון את כל התערובת או כמו הרוב או כמו המיעוט, ולכן אי אמרינן דהאיסור שניכר בטל ברוב, א"כ אזלינן בזה בתר הרוב, ולכן כשהמיעוט ניכר בפנ"ע לא חשיב תערובת,</w:t>
      </w:r>
      <w:r w:rsidRPr="00943179">
        <w:rPr>
          <w:rStyle w:val="afa"/>
          <w:rFonts w:hint="cs"/>
          <w:rtl/>
        </w:rPr>
        <w:t xml:space="preserve"> [דהיינו שאי"ז תערובת במציאות דהמיעוט ניכר, אלא הוא תערובת בדין],</w:t>
      </w:r>
      <w:r>
        <w:rPr>
          <w:rFonts w:hint="cs"/>
          <w:rtl/>
        </w:rPr>
        <w:t xml:space="preserve"> ולכן נשאר הדין של הרוב כמו שהיה מתחילה, והדין של המיעוט כמו שהיה מתחילה.</w:t>
      </w:r>
      <w:bookmarkEnd w:id="5645"/>
    </w:p>
    <w:p w:rsidR="004D2988" w:rsidRDefault="004D2988" w:rsidP="004D2988">
      <w:pPr>
        <w:pStyle w:val="a2"/>
        <w:rPr>
          <w:rtl/>
        </w:rPr>
      </w:pPr>
      <w:r>
        <w:rPr>
          <w:rFonts w:hint="cs"/>
          <w:rtl/>
        </w:rPr>
        <w:t>דברי המשנת ר"א דבטע"כ שמעורבים במציאות אי אינו מתבטל נאסר הרוב וע"ז נאמר ביטול ברוב</w:t>
      </w:r>
    </w:p>
    <w:p w:rsidR="004D2988" w:rsidRDefault="004D2988" w:rsidP="009F44AF">
      <w:pPr>
        <w:pStyle w:val="a"/>
        <w:rPr>
          <w:rtl/>
        </w:rPr>
      </w:pPr>
      <w:r>
        <w:rPr>
          <w:rFonts w:hint="cs"/>
          <w:rtl/>
        </w:rPr>
        <w:t xml:space="preserve">אבל בטעם כעיקר כתב </w:t>
      </w:r>
      <w:r w:rsidRPr="00344171">
        <w:rPr>
          <w:rStyle w:val="af8"/>
          <w:rFonts w:hint="cs"/>
          <w:rtl/>
        </w:rPr>
        <w:t>המשנת ר"א</w:t>
      </w:r>
      <w:r>
        <w:rPr>
          <w:rFonts w:hint="cs"/>
          <w:rtl/>
        </w:rPr>
        <w:t xml:space="preserve"> שבמציאות האיסור וההיתר מעורבים זה בזה, ואף אם המיעוט שניכר לא יתבטל ברוב, עדיין צריך לאסור את הרוב מחמת המיעוט שמעורב בו, וחל על הרוב הדין של המיעוט, ובזה גופא נאמר דין ביטול ברוב, דהדין של הרוב אינו כמו המיעוט, אלא המיעוט מתבטל ברוב, וכיון שהרוב מותר, אף המיעוט שניכר בו מתבטל ומותר.</w:t>
      </w:r>
    </w:p>
    <w:p w:rsidR="004D2988" w:rsidRDefault="004D2988" w:rsidP="004D2988">
      <w:pPr>
        <w:pStyle w:val="1"/>
        <w:rPr>
          <w:rtl/>
        </w:rPr>
      </w:pPr>
      <w:r>
        <w:rPr>
          <w:rFonts w:hint="cs"/>
          <w:rtl/>
        </w:rPr>
        <w:t>הוכחת המשנת ר"א דבדיינים יש ביטול ברוב במיעוט הניכר</w:t>
      </w:r>
    </w:p>
    <w:p w:rsidR="004D2988" w:rsidRDefault="004D2988" w:rsidP="004D2988">
      <w:pPr>
        <w:pStyle w:val="a2"/>
        <w:rPr>
          <w:rtl/>
        </w:rPr>
      </w:pPr>
      <w:r>
        <w:rPr>
          <w:rFonts w:hint="cs"/>
          <w:rtl/>
        </w:rPr>
        <w:t>דברי המשנת ר"א דכן מוכח מביטול ברוב בדיינים דאף שהמיעוט ניכר נאמר בו ביטול ברוב</w:t>
      </w:r>
    </w:p>
    <w:p w:rsidR="004D2988" w:rsidRDefault="004D2988" w:rsidP="009F44AF">
      <w:pPr>
        <w:pStyle w:val="a"/>
        <w:rPr>
          <w:rtl/>
        </w:rPr>
      </w:pPr>
      <w:r>
        <w:rPr>
          <w:rFonts w:hint="cs"/>
          <w:rtl/>
        </w:rPr>
        <w:t xml:space="preserve">וכתב </w:t>
      </w:r>
      <w:r w:rsidRPr="00344171">
        <w:rPr>
          <w:rStyle w:val="af8"/>
          <w:rFonts w:hint="cs"/>
          <w:rtl/>
        </w:rPr>
        <w:t>המשנת ר"א</w:t>
      </w:r>
      <w:r>
        <w:rPr>
          <w:rFonts w:hint="cs"/>
          <w:rtl/>
        </w:rPr>
        <w:t xml:space="preserve"> </w:t>
      </w:r>
      <w:r w:rsidRPr="00344171">
        <w:rPr>
          <w:rStyle w:val="af6"/>
          <w:rFonts w:eastAsia="Guttman Hodes" w:hint="cs"/>
          <w:rtl/>
        </w:rPr>
        <w:t>(סי' ט' אות י"ב ד"ה וראיה)</w:t>
      </w:r>
      <w:r>
        <w:rPr>
          <w:rFonts w:hint="cs"/>
          <w:rtl/>
        </w:rPr>
        <w:t xml:space="preserve"> דכן מוכח מהא דבעיקר דין רוב יש ב' דינים, הא' הוא דכל דפריש מרובא פריש, והב' הוא דין ביטול ברוב, וביארו </w:t>
      </w:r>
      <w:r w:rsidRPr="00344171">
        <w:rPr>
          <w:rStyle w:val="af8"/>
          <w:rFonts w:hint="cs"/>
          <w:rtl/>
        </w:rPr>
        <w:t>הראשונים</w:t>
      </w:r>
      <w:r>
        <w:rPr>
          <w:rFonts w:hint="cs"/>
          <w:rtl/>
        </w:rPr>
        <w:t xml:space="preserve"> דביטול ברוב נלמד מסנהדרין, דכתיב "אחרי רבים להטות" ודעת הרוב מבטלת את דעת המיעוט, והרי בסנהדרין ודאי שהמיעוט ניכר בפנ"ע, דהרי יש מיעוט בסנהדרין דסובר אחרת מהרוב, ואפ"ה אזלינן בתר הרוב, דכיון שצריך להכריע את הדין, בטלה דעת המיעוט אעפ"י שהוא ניכר, ורק במקום שא"צ להכריע את הדין, יכול המיעוט להשאר במקומו, ולא אמרינן דהוא מתבטל ברוב.</w:t>
      </w:r>
    </w:p>
    <w:p w:rsidR="004D2988" w:rsidRDefault="004D2988" w:rsidP="004D2988">
      <w:pPr>
        <w:pStyle w:val="a2"/>
        <w:rPr>
          <w:rtl/>
        </w:rPr>
      </w:pPr>
      <w:r>
        <w:rPr>
          <w:rFonts w:hint="cs"/>
          <w:rtl/>
        </w:rPr>
        <w:t>דברי המשנת ר"א דה"ה בטעם הניכר דאינו עומד בפנ"ע ומתבטל ע"י רוב ההיתר</w:t>
      </w:r>
    </w:p>
    <w:p w:rsidR="004D2988" w:rsidRDefault="004D2988" w:rsidP="009F44AF">
      <w:pPr>
        <w:pStyle w:val="a"/>
        <w:rPr>
          <w:rtl/>
        </w:rPr>
      </w:pPr>
      <w:r>
        <w:rPr>
          <w:rFonts w:hint="cs"/>
          <w:rtl/>
        </w:rPr>
        <w:t xml:space="preserve">וכתב </w:t>
      </w:r>
      <w:r w:rsidRPr="00344171">
        <w:rPr>
          <w:rStyle w:val="af8"/>
          <w:rFonts w:hint="cs"/>
          <w:rtl/>
        </w:rPr>
        <w:t>המשנת ר"א</w:t>
      </w:r>
      <w:r>
        <w:rPr>
          <w:rFonts w:hint="cs"/>
          <w:rtl/>
        </w:rPr>
        <w:t xml:space="preserve"> דא"כ אף בטעם שהוא ניכר ומורגש בתוך התערובת, מ"מ שייך בו דין ביטול ברוב, ולא אמרינן שהוא עומד בפנ"ע ואינו מתבטל, דאי לא יתבטל הטעם המועט ברוב ההיתר, א"כ המיעוט אוסר את ההיתר, כיון שבמציאות הם מעורבים, ובזה גופא נאמר דין ביטול ברוב.</w:t>
      </w:r>
    </w:p>
    <w:p w:rsidR="004D2988" w:rsidRPr="001D3E8A" w:rsidRDefault="004D2988" w:rsidP="004D2988">
      <w:pPr>
        <w:pStyle w:val="a2"/>
        <w:rPr>
          <w:rtl/>
        </w:rPr>
      </w:pPr>
      <w:r>
        <w:rPr>
          <w:rFonts w:hint="cs"/>
          <w:rtl/>
        </w:rPr>
        <w:t>ביאור המשנת ר"א דטע"כ הוא גזיה"כ דלא נאמר בו אחרי רבים להטות</w:t>
      </w:r>
    </w:p>
    <w:p w:rsidR="00023BA5" w:rsidRDefault="004D2988" w:rsidP="009F44AF">
      <w:pPr>
        <w:pStyle w:val="a"/>
        <w:rPr>
          <w:rStyle w:val="afa"/>
        </w:rPr>
      </w:pPr>
      <w:r>
        <w:rPr>
          <w:rFonts w:hint="cs"/>
          <w:rtl/>
        </w:rPr>
        <w:t xml:space="preserve">אלא כתב </w:t>
      </w:r>
      <w:r w:rsidRPr="00344171">
        <w:rPr>
          <w:rStyle w:val="af8"/>
          <w:rFonts w:hint="cs"/>
          <w:rtl/>
        </w:rPr>
        <w:t>המשנת ר"א</w:t>
      </w:r>
      <w:r>
        <w:rPr>
          <w:rFonts w:hint="cs"/>
          <w:rtl/>
        </w:rPr>
        <w:t xml:space="preserve"> דמוכח דדין טעם כעיקר הוא מגזיה"כ, דכל תערובת שטעם האיסור ניכר בה, לא נאמר בה דין ביטול ברוב, ודמי למין במינו לר"י, דאעפ"י דמודה ר"י לעיקר הילפותא מסנהדרין דיש דין ביטול ברוב, מ"מ ס"ל דבמין במינו יש גזיה"כ דאין ביטול ברוב, ה"ה לדידן בטעם כעיקר, דלא נאמרה בו הילפותא מאחרי רבים להטות, והוסיף </w:t>
      </w:r>
      <w:r w:rsidRPr="002F09F1">
        <w:rPr>
          <w:rStyle w:val="af8"/>
          <w:rFonts w:hint="cs"/>
          <w:rtl/>
        </w:rPr>
        <w:t>המשנת ר"א</w:t>
      </w:r>
      <w:r>
        <w:rPr>
          <w:rFonts w:hint="cs"/>
          <w:rtl/>
        </w:rPr>
        <w:t xml:space="preserve"> דכן מוכח דהוא גזיה"כ מהא דלוקין במקום שיש רק נתינת טעם, </w:t>
      </w:r>
      <w:r w:rsidRPr="00344171">
        <w:rPr>
          <w:rStyle w:val="afa"/>
          <w:rFonts w:hint="cs"/>
          <w:rtl/>
        </w:rPr>
        <w:t>[בנזיר ששרה ענבים במים],</w:t>
      </w:r>
      <w:r>
        <w:rPr>
          <w:rFonts w:hint="cs"/>
          <w:rtl/>
        </w:rPr>
        <w:t xml:space="preserve"> ומהא דבעיסת אורז שיש בה טעם דגן יוצא בה יד"ח מצה. </w:t>
      </w:r>
      <w:r w:rsidRPr="00344171">
        <w:rPr>
          <w:rStyle w:val="afa"/>
          <w:rFonts w:hint="cs"/>
          <w:rtl/>
        </w:rPr>
        <w:t xml:space="preserve">[ועיי"ש עוד במ"ש </w:t>
      </w:r>
      <w:r w:rsidRPr="00344171">
        <w:rPr>
          <w:rStyle w:val="affa"/>
          <w:rFonts w:hint="cs"/>
          <w:rtl/>
        </w:rPr>
        <w:t>המשנת ר"א</w:t>
      </w:r>
      <w:r w:rsidRPr="00344171">
        <w:rPr>
          <w:rStyle w:val="afa"/>
          <w:rFonts w:hint="cs"/>
          <w:rtl/>
        </w:rPr>
        <w:t xml:space="preserve"> להוכיח דטעם כעיקר הוא גזיה"כ, שיש חלות דין חדש דטעם כעיקר אסור, וממילא אין הטעם מתבטל, [כצד הב' </w:t>
      </w:r>
      <w:r w:rsidRPr="00344171">
        <w:rPr>
          <w:rStyle w:val="affa"/>
          <w:rFonts w:hint="cs"/>
          <w:rtl/>
        </w:rPr>
        <w:t>בגר"ח</w:t>
      </w:r>
      <w:r w:rsidRPr="00344171">
        <w:rPr>
          <w:rStyle w:val="afa"/>
          <w:rFonts w:hint="cs"/>
          <w:rtl/>
        </w:rPr>
        <w:t xml:space="preserve"> </w:t>
      </w:r>
      <w:r w:rsidRPr="009E4449">
        <w:rPr>
          <w:rStyle w:val="aff6"/>
          <w:rFonts w:hint="cs"/>
          <w:rtl/>
        </w:rPr>
        <w:t xml:space="preserve">(עי' אות </w:t>
      </w:r>
      <w:r w:rsidRPr="009E4449">
        <w:rPr>
          <w:rStyle w:val="aff6"/>
          <w:rtl/>
        </w:rPr>
        <w:fldChar w:fldCharType="begin"/>
      </w:r>
      <w:r w:rsidRPr="009E4449">
        <w:rPr>
          <w:rStyle w:val="aff6"/>
          <w:rtl/>
        </w:rPr>
        <w:instrText xml:space="preserve"> </w:instrText>
      </w:r>
      <w:r w:rsidRPr="009E4449">
        <w:rPr>
          <w:rStyle w:val="aff6"/>
          <w:rFonts w:hint="cs"/>
        </w:rPr>
        <w:instrText>REF</w:instrText>
      </w:r>
      <w:r w:rsidRPr="009E4449">
        <w:rPr>
          <w:rStyle w:val="aff6"/>
          <w:rFonts w:hint="cs"/>
          <w:rtl/>
        </w:rPr>
        <w:instrText xml:space="preserve"> _</w:instrText>
      </w:r>
      <w:r w:rsidRPr="009E4449">
        <w:rPr>
          <w:rStyle w:val="aff6"/>
          <w:rFonts w:hint="cs"/>
        </w:rPr>
        <w:instrText>Ref12896046 \r \h</w:instrText>
      </w:r>
      <w:r w:rsidRPr="009E4449">
        <w:rPr>
          <w:rStyle w:val="aff6"/>
          <w:rtl/>
        </w:rPr>
        <w:instrText xml:space="preserve"> </w:instrText>
      </w:r>
      <w:r w:rsidRPr="009E4449">
        <w:rPr>
          <w:rStyle w:val="aff6"/>
          <w:rtl/>
        </w:rPr>
      </w:r>
      <w:r w:rsidRPr="009E4449">
        <w:rPr>
          <w:rStyle w:val="aff6"/>
          <w:rtl/>
        </w:rPr>
        <w:fldChar w:fldCharType="separate"/>
      </w:r>
      <w:r w:rsidR="004D1C5B">
        <w:rPr>
          <w:rStyle w:val="aff6"/>
          <w:cs/>
        </w:rPr>
        <w:t>‎</w:t>
      </w:r>
      <w:r w:rsidR="004D1C5B">
        <w:rPr>
          <w:rStyle w:val="aff6"/>
          <w:rtl/>
        </w:rPr>
        <w:t>קט)</w:t>
      </w:r>
      <w:r w:rsidRPr="009E4449">
        <w:rPr>
          <w:rStyle w:val="aff6"/>
          <w:rtl/>
        </w:rPr>
        <w:fldChar w:fldCharType="end"/>
      </w:r>
      <w:r w:rsidRPr="00344171">
        <w:rPr>
          <w:rStyle w:val="afa"/>
          <w:rFonts w:hint="cs"/>
          <w:rtl/>
        </w:rPr>
        <w:t>], מדין זה וזה גורם]</w:t>
      </w:r>
      <w:r w:rsidR="00023BA5">
        <w:rPr>
          <w:rStyle w:val="afa"/>
          <w:rFonts w:hint="cs"/>
          <w:rtl/>
        </w:rPr>
        <w:t>.</w:t>
      </w:r>
    </w:p>
    <w:p w:rsidR="00023BA5" w:rsidRDefault="00023BA5" w:rsidP="008932A2">
      <w:pPr>
        <w:pStyle w:val="1"/>
      </w:pPr>
      <w:r>
        <w:rPr>
          <w:rFonts w:hint="cs"/>
          <w:rtl/>
        </w:rPr>
        <w:t>דברי הזכר יצחק ברמב"ם דטע"כ אינו בטל דההיתר ג"כ נאסר</w:t>
      </w:r>
    </w:p>
    <w:p w:rsidR="00023BA5" w:rsidRDefault="00023BA5" w:rsidP="00023BA5">
      <w:pPr>
        <w:pStyle w:val="a2"/>
        <w:rPr>
          <w:rtl/>
        </w:rPr>
      </w:pPr>
      <w:r>
        <w:rPr>
          <w:rFonts w:hint="cs"/>
          <w:rtl/>
        </w:rPr>
        <w:t>דברי הזכר יצחק דלהרמב"ם טעם אינו מתבטל ברוב דאף ההיתר נאסר ולא מחמת דהוא ניכר</w:t>
      </w:r>
    </w:p>
    <w:p w:rsidR="004D2988" w:rsidRPr="00023BA5" w:rsidRDefault="00023BA5" w:rsidP="009F44AF">
      <w:pPr>
        <w:pStyle w:val="a"/>
        <w:rPr>
          <w:rtl/>
        </w:rPr>
        <w:sectPr w:rsidR="004D2988" w:rsidRPr="00023BA5" w:rsidSect="006005E6">
          <w:type w:val="continuous"/>
          <w:pgSz w:w="11906" w:h="16838"/>
          <w:pgMar w:top="720" w:right="720" w:bottom="720" w:left="720" w:header="283" w:footer="283" w:gutter="0"/>
          <w:cols w:num="2" w:space="567"/>
          <w:bidi/>
          <w:rtlGutter/>
          <w:docGrid w:linePitch="299"/>
        </w:sectPr>
      </w:pPr>
      <w:bookmarkStart w:id="5646" w:name="_Ref15846791"/>
      <w:r>
        <w:rPr>
          <w:rFonts w:hint="cs"/>
          <w:rtl/>
        </w:rPr>
        <w:t xml:space="preserve">כתב </w:t>
      </w:r>
      <w:r>
        <w:rPr>
          <w:rStyle w:val="af8"/>
          <w:rtl/>
        </w:rPr>
        <w:t>הזכר יצחק</w:t>
      </w:r>
      <w:r>
        <w:rPr>
          <w:rFonts w:hint="cs"/>
          <w:rtl/>
        </w:rPr>
        <w:t xml:space="preserve"> </w:t>
      </w:r>
      <w:r w:rsidRPr="00023BA5">
        <w:rPr>
          <w:rStyle w:val="af6"/>
          <w:rFonts w:eastAsia="Guttman Hodes" w:hint="cs"/>
          <w:rtl/>
        </w:rPr>
        <w:t xml:space="preserve">(סי' ז' ד"ה ובזה יובן) </w:t>
      </w:r>
      <w:r>
        <w:rPr>
          <w:rFonts w:hint="cs"/>
          <w:rtl/>
        </w:rPr>
        <w:t xml:space="preserve">דהא דכתב </w:t>
      </w:r>
      <w:r>
        <w:rPr>
          <w:rStyle w:val="af8"/>
          <w:rtl/>
        </w:rPr>
        <w:t>הרמב"ם</w:t>
      </w:r>
      <w:r>
        <w:rPr>
          <w:rFonts w:hint="cs"/>
          <w:rtl/>
        </w:rPr>
        <w:t xml:space="preserve"> </w:t>
      </w:r>
      <w:r w:rsidRPr="00023BA5">
        <w:rPr>
          <w:rStyle w:val="af6"/>
          <w:rFonts w:eastAsia="Guttman Hodes" w:hint="cs"/>
          <w:rtl/>
        </w:rPr>
        <w:t>(עי' אות</w:t>
      </w:r>
      <w:r w:rsidR="006552D4">
        <w:rPr>
          <w:rStyle w:val="af6"/>
          <w:rFonts w:eastAsia="Guttman Hodes" w:hint="cs"/>
          <w:rtl/>
        </w:rPr>
        <w:t xml:space="preserve"> </w:t>
      </w:r>
      <w:r w:rsidR="006552D4">
        <w:rPr>
          <w:rStyle w:val="af6"/>
          <w:rFonts w:eastAsia="Guttman Hodes"/>
          <w:rtl/>
        </w:rPr>
        <w:fldChar w:fldCharType="begin"/>
      </w:r>
      <w:r w:rsidR="006552D4">
        <w:rPr>
          <w:rStyle w:val="af6"/>
          <w:rFonts w:eastAsia="Guttman Hodes"/>
          <w:rtl/>
        </w:rPr>
        <w:instrText xml:space="preserve"> </w:instrText>
      </w:r>
      <w:r w:rsidR="006552D4">
        <w:rPr>
          <w:rStyle w:val="af6"/>
          <w:rFonts w:eastAsia="Guttman Hodes" w:hint="cs"/>
        </w:rPr>
        <w:instrText>REF</w:instrText>
      </w:r>
      <w:r w:rsidR="006552D4">
        <w:rPr>
          <w:rStyle w:val="af6"/>
          <w:rFonts w:eastAsia="Guttman Hodes" w:hint="cs"/>
          <w:rtl/>
        </w:rPr>
        <w:instrText xml:space="preserve"> _</w:instrText>
      </w:r>
      <w:r w:rsidR="006552D4">
        <w:rPr>
          <w:rStyle w:val="af6"/>
          <w:rFonts w:eastAsia="Guttman Hodes" w:hint="cs"/>
        </w:rPr>
        <w:instrText>Ref15838163 \r \h</w:instrText>
      </w:r>
      <w:r w:rsidR="006552D4">
        <w:rPr>
          <w:rStyle w:val="af6"/>
          <w:rFonts w:eastAsia="Guttman Hodes"/>
          <w:rtl/>
        </w:rPr>
        <w:instrText xml:space="preserve"> </w:instrText>
      </w:r>
      <w:r w:rsidR="006552D4">
        <w:rPr>
          <w:rStyle w:val="af6"/>
          <w:rFonts w:eastAsia="Guttman Hodes"/>
          <w:rtl/>
        </w:rPr>
      </w:r>
      <w:r w:rsidR="006552D4">
        <w:rPr>
          <w:rStyle w:val="af6"/>
          <w:rFonts w:eastAsia="Guttman Hodes"/>
          <w:rtl/>
        </w:rPr>
        <w:fldChar w:fldCharType="separate"/>
      </w:r>
      <w:r w:rsidR="004D1C5B">
        <w:rPr>
          <w:rStyle w:val="af6"/>
          <w:rFonts w:eastAsia="Guttman Hodes"/>
          <w:cs/>
        </w:rPr>
        <w:t>‎</w:t>
      </w:r>
      <w:r w:rsidR="004D1C5B">
        <w:rPr>
          <w:rStyle w:val="af6"/>
          <w:rFonts w:eastAsia="Guttman Hodes"/>
          <w:rtl/>
        </w:rPr>
        <w:t>קכ)</w:t>
      </w:r>
      <w:r w:rsidR="006552D4">
        <w:rPr>
          <w:rStyle w:val="af6"/>
          <w:rFonts w:eastAsia="Guttman Hodes"/>
          <w:rtl/>
        </w:rPr>
        <w:fldChar w:fldCharType="end"/>
      </w:r>
      <w:r w:rsidR="006552D4">
        <w:rPr>
          <w:rStyle w:val="af6"/>
          <w:rFonts w:eastAsia="Guttman Hodes" w:hint="cs"/>
          <w:rtl/>
        </w:rPr>
        <w:t xml:space="preserve"> </w:t>
      </w:r>
      <w:r>
        <w:rPr>
          <w:rFonts w:hint="cs"/>
          <w:rtl/>
        </w:rPr>
        <w:t xml:space="preserve">דבתערובת חמץ שיש בה טעם חמץ, ויש בה כזית בכדי אכילת פרס, חייב מלקות אך אין בה כרת, היינו כיון דס"ל דהא דטעם כעיקר דאו' בכזית בכדי אכילת פרס, אינו מחמת שהטעם אינו מתבטל, דהוא ניכר בטעמו, </w:t>
      </w:r>
      <w:r>
        <w:rPr>
          <w:rStyle w:val="afa"/>
          <w:rtl/>
        </w:rPr>
        <w:t>[</w:t>
      </w:r>
      <w:r w:rsidR="006552D4" w:rsidRPr="00814C38">
        <w:rPr>
          <w:rStyle w:val="afa"/>
          <w:rFonts w:hint="cs"/>
          <w:rtl/>
        </w:rPr>
        <w:t xml:space="preserve">כתב </w:t>
      </w:r>
      <w:r w:rsidR="006552D4" w:rsidRPr="00814C38">
        <w:rPr>
          <w:rStyle w:val="affa"/>
          <w:rFonts w:hint="cs"/>
          <w:rtl/>
        </w:rPr>
        <w:t>הראב"ד</w:t>
      </w:r>
      <w:r w:rsidR="006552D4" w:rsidRPr="00814C38">
        <w:rPr>
          <w:rStyle w:val="afa"/>
          <w:rFonts w:hint="cs"/>
          <w:rtl/>
        </w:rPr>
        <w:t xml:space="preserve"> </w:t>
      </w:r>
      <w:r w:rsidR="006552D4" w:rsidRPr="00814C38">
        <w:rPr>
          <w:rStyle w:val="aff6"/>
          <w:rFonts w:hint="cs"/>
          <w:rtl/>
        </w:rPr>
        <w:t xml:space="preserve">(עי' אות </w:t>
      </w:r>
      <w:r w:rsidR="006552D4" w:rsidRPr="00814C38">
        <w:rPr>
          <w:rStyle w:val="aff6"/>
          <w:rtl/>
        </w:rPr>
        <w:fldChar w:fldCharType="begin"/>
      </w:r>
      <w:r w:rsidR="006552D4" w:rsidRPr="00814C38">
        <w:rPr>
          <w:rStyle w:val="aff6"/>
          <w:rtl/>
        </w:rPr>
        <w:instrText xml:space="preserve"> </w:instrText>
      </w:r>
      <w:r w:rsidR="006552D4" w:rsidRPr="00814C38">
        <w:rPr>
          <w:rStyle w:val="aff6"/>
          <w:rFonts w:hint="cs"/>
        </w:rPr>
        <w:instrText>REF</w:instrText>
      </w:r>
      <w:r w:rsidR="006552D4" w:rsidRPr="00814C38">
        <w:rPr>
          <w:rStyle w:val="aff6"/>
          <w:rFonts w:hint="cs"/>
          <w:rtl/>
        </w:rPr>
        <w:instrText xml:space="preserve"> _</w:instrText>
      </w:r>
      <w:r w:rsidR="006552D4" w:rsidRPr="00814C38">
        <w:rPr>
          <w:rStyle w:val="aff6"/>
          <w:rFonts w:hint="cs"/>
        </w:rPr>
        <w:instrText>Ref12868847 \r \h</w:instrText>
      </w:r>
      <w:r w:rsidR="006552D4" w:rsidRPr="00814C38">
        <w:rPr>
          <w:rStyle w:val="aff6"/>
          <w:rtl/>
        </w:rPr>
        <w:instrText xml:space="preserve"> </w:instrText>
      </w:r>
      <w:r w:rsidR="006552D4" w:rsidRPr="00814C38">
        <w:rPr>
          <w:rStyle w:val="aff6"/>
          <w:rtl/>
        </w:rPr>
      </w:r>
      <w:r w:rsidR="006552D4" w:rsidRPr="00814C38">
        <w:rPr>
          <w:rStyle w:val="aff6"/>
          <w:rtl/>
        </w:rPr>
        <w:fldChar w:fldCharType="separate"/>
      </w:r>
      <w:r w:rsidR="004D1C5B">
        <w:rPr>
          <w:rStyle w:val="aff6"/>
          <w:cs/>
        </w:rPr>
        <w:t>‎</w:t>
      </w:r>
      <w:r w:rsidR="004D1C5B">
        <w:rPr>
          <w:rStyle w:val="aff6"/>
          <w:rtl/>
        </w:rPr>
        <w:t>סט)</w:t>
      </w:r>
      <w:r w:rsidR="006552D4" w:rsidRPr="00814C38">
        <w:rPr>
          <w:rStyle w:val="aff6"/>
          <w:rtl/>
        </w:rPr>
        <w:fldChar w:fldCharType="end"/>
      </w:r>
      <w:r w:rsidR="006552D4" w:rsidRPr="00814C38">
        <w:rPr>
          <w:rStyle w:val="afa"/>
          <w:rFonts w:hint="cs"/>
          <w:rtl/>
        </w:rPr>
        <w:t>]</w:t>
      </w:r>
      <w:r>
        <w:rPr>
          <w:rStyle w:val="afa"/>
          <w:rtl/>
        </w:rPr>
        <w:t>,</w:t>
      </w:r>
      <w:r>
        <w:rPr>
          <w:rFonts w:hint="cs"/>
          <w:rtl/>
        </w:rPr>
        <w:t xml:space="preserve"> ודמי לדם במים שאינו מתבטל כיון שהוא ניכר בחזותא, אלא דס"ל </w:t>
      </w:r>
      <w:r>
        <w:rPr>
          <w:rStyle w:val="af8"/>
          <w:rtl/>
        </w:rPr>
        <w:t>להרמב"ם</w:t>
      </w:r>
      <w:r>
        <w:rPr>
          <w:rFonts w:hint="cs"/>
          <w:rtl/>
        </w:rPr>
        <w:t xml:space="preserve"> דכל היתר שהושבח ע"י האיסור, אף ההיתר נאסר. </w:t>
      </w:r>
      <w:r w:rsidRPr="00023BA5">
        <w:rPr>
          <w:rStyle w:val="afa"/>
          <w:rFonts w:hint="cs"/>
          <w:rtl/>
        </w:rPr>
        <w:t xml:space="preserve">[וביאר </w:t>
      </w:r>
      <w:r w:rsidRPr="00023BA5">
        <w:rPr>
          <w:rStyle w:val="affa"/>
          <w:rtl/>
        </w:rPr>
        <w:t>הזכר יצחק</w:t>
      </w:r>
      <w:r w:rsidRPr="00023BA5">
        <w:rPr>
          <w:rStyle w:val="afa"/>
          <w:rFonts w:hint="cs"/>
          <w:rtl/>
        </w:rPr>
        <w:t xml:space="preserve"> דלכן ס"ל </w:t>
      </w:r>
      <w:r w:rsidRPr="00023BA5">
        <w:rPr>
          <w:rStyle w:val="affa"/>
          <w:rtl/>
        </w:rPr>
        <w:t>להרמב"ם</w:t>
      </w:r>
      <w:r w:rsidRPr="00023BA5">
        <w:rPr>
          <w:rStyle w:val="afa"/>
          <w:rFonts w:hint="cs"/>
          <w:rtl/>
        </w:rPr>
        <w:t xml:space="preserve"> דבכל האיסורים כשיש בתערובת כזית איסור בכדי אכילת פרס, אין האיסור מתבטל בהיתר, כיון שגם ההיתר נאסר, ואיסורין אינם מבטלים זה את זה, וכתב </w:t>
      </w:r>
      <w:r w:rsidRPr="00023BA5">
        <w:rPr>
          <w:rStyle w:val="affa"/>
          <w:rtl/>
        </w:rPr>
        <w:t>הזכר יצחק</w:t>
      </w:r>
      <w:r w:rsidRPr="00023BA5">
        <w:rPr>
          <w:rStyle w:val="afa"/>
          <w:rFonts w:hint="cs"/>
          <w:rtl/>
        </w:rPr>
        <w:t xml:space="preserve"> דזהו דוקא בשאר איסורים, אבל בדין חמץ ס"ל </w:t>
      </w:r>
      <w:r w:rsidRPr="00023BA5">
        <w:rPr>
          <w:rStyle w:val="affa"/>
          <w:rtl/>
        </w:rPr>
        <w:t>להרמב"ם</w:t>
      </w:r>
      <w:r w:rsidRPr="00023BA5">
        <w:rPr>
          <w:rStyle w:val="afa"/>
          <w:rFonts w:hint="cs"/>
          <w:rtl/>
        </w:rPr>
        <w:t xml:space="preserve"> דלא שייך לומר דההיתר שהושבח ע"י החמץ נאסר מדין חמץ, </w:t>
      </w:r>
      <w:r w:rsidRPr="00023BA5">
        <w:rPr>
          <w:rStyle w:val="afa"/>
          <w:rtl/>
        </w:rPr>
        <w:t xml:space="preserve">[וביאר </w:t>
      </w:r>
      <w:r w:rsidRPr="00023BA5">
        <w:rPr>
          <w:rStyle w:val="affa"/>
          <w:rtl/>
        </w:rPr>
        <w:t>הזכר יצחק</w:t>
      </w:r>
      <w:r w:rsidRPr="00023BA5">
        <w:rPr>
          <w:rStyle w:val="afa"/>
          <w:rtl/>
        </w:rPr>
        <w:t xml:space="preserve"> דאיסור חמץ הוא על הגברא ולא איסור בעצם בחפצא של החמץ],</w:t>
      </w:r>
      <w:r w:rsidRPr="00023BA5">
        <w:rPr>
          <w:rStyle w:val="afa"/>
          <w:rFonts w:hint="cs"/>
          <w:rtl/>
        </w:rPr>
        <w:t xml:space="preserve"> ולכן ס"ל </w:t>
      </w:r>
      <w:r w:rsidRPr="00023BA5">
        <w:rPr>
          <w:rStyle w:val="affa"/>
          <w:rtl/>
        </w:rPr>
        <w:t>להרמב"ם</w:t>
      </w:r>
      <w:r w:rsidRPr="00023BA5">
        <w:rPr>
          <w:rStyle w:val="afa"/>
          <w:rFonts w:hint="cs"/>
          <w:rtl/>
        </w:rPr>
        <w:t xml:space="preserve"> דהוא נאסר רק בלאו מדין "כל מחמצת לא תאכלו", ומשו"ה לוקין עליו אך אין בו כרת, דלענין כרת לא נאסר ההיתר].</w:t>
      </w:r>
      <w:bookmarkEnd w:id="5646"/>
    </w:p>
    <w:bookmarkEnd w:id="5593"/>
    <w:bookmarkEnd w:id="5594"/>
    <w:bookmarkEnd w:id="5595"/>
    <w:bookmarkEnd w:id="5596"/>
    <w:p w:rsidR="009A0058" w:rsidRDefault="009A0058" w:rsidP="009F44AF">
      <w:pPr>
        <w:pStyle w:val="a"/>
        <w:numPr>
          <w:ilvl w:val="0"/>
          <w:numId w:val="0"/>
        </w:numPr>
        <w:rPr>
          <w:rtl/>
        </w:rPr>
        <w:sectPr w:rsidR="009A0058" w:rsidSect="00CF5545">
          <w:headerReference w:type="first" r:id="rId58"/>
          <w:type w:val="continuous"/>
          <w:pgSz w:w="11906" w:h="16838"/>
          <w:pgMar w:top="720" w:right="720" w:bottom="720" w:left="720" w:header="283" w:footer="283" w:gutter="0"/>
          <w:cols w:num="2" w:space="567"/>
          <w:bidi/>
          <w:rtlGutter/>
          <w:docGrid w:linePitch="299"/>
        </w:sectPr>
      </w:pPr>
    </w:p>
    <w:p w:rsidR="00C13D3D" w:rsidRDefault="00C13D3D" w:rsidP="005B1A17">
      <w:pPr>
        <w:pStyle w:val="afc"/>
        <w:rPr>
          <w:rtl/>
        </w:rPr>
        <w:sectPr w:rsidR="00C13D3D" w:rsidSect="0090473F">
          <w:footerReference w:type="default" r:id="rId59"/>
          <w:type w:val="continuous"/>
          <w:pgSz w:w="11906" w:h="16838"/>
          <w:pgMar w:top="720" w:right="720" w:bottom="720" w:left="720" w:header="283" w:footer="283" w:gutter="0"/>
          <w:cols w:space="113"/>
          <w:bidi/>
          <w:rtlGutter/>
          <w:docGrid w:linePitch="299"/>
        </w:sectPr>
      </w:pPr>
    </w:p>
    <w:p w:rsidR="00707961" w:rsidRDefault="00707961" w:rsidP="005B1A17">
      <w:pPr>
        <w:pStyle w:val="afc"/>
        <w:rPr>
          <w:rtl/>
        </w:rPr>
        <w:sectPr w:rsidR="00707961" w:rsidSect="00C13D3D">
          <w:headerReference w:type="default" r:id="rId60"/>
          <w:pgSz w:w="11906" w:h="16838"/>
          <w:pgMar w:top="720" w:right="720" w:bottom="720" w:left="720" w:header="283" w:footer="283" w:gutter="0"/>
          <w:cols w:space="113"/>
          <w:bidi/>
          <w:rtlGutter/>
          <w:docGrid w:linePitch="299"/>
        </w:sectPr>
      </w:pPr>
    </w:p>
    <w:p w:rsidR="009A0058" w:rsidRDefault="009A0058" w:rsidP="005B1A17">
      <w:pPr>
        <w:pStyle w:val="afc"/>
        <w:rPr>
          <w:rtl/>
        </w:rPr>
      </w:pPr>
      <w:bookmarkStart w:id="5647" w:name="_Toc15849574"/>
      <w:bookmarkStart w:id="5648" w:name="_Toc20429208"/>
      <w:bookmarkStart w:id="5649" w:name="_Toc20468155"/>
      <w:r>
        <w:rPr>
          <w:rFonts w:hint="cs"/>
          <w:rtl/>
        </w:rPr>
        <w:lastRenderedPageBreak/>
        <w:t>סימן ט'</w:t>
      </w:r>
      <w:bookmarkEnd w:id="5647"/>
      <w:bookmarkEnd w:id="5648"/>
      <w:bookmarkEnd w:id="5649"/>
    </w:p>
    <w:p w:rsidR="009A0058" w:rsidRPr="00F77511" w:rsidRDefault="009A0058" w:rsidP="005B1A17">
      <w:pPr>
        <w:pStyle w:val="afc"/>
      </w:pPr>
      <w:bookmarkStart w:id="5650" w:name="_Toc14425922"/>
      <w:bookmarkStart w:id="5651" w:name="_Toc15849575"/>
      <w:bookmarkStart w:id="5652" w:name="_Toc20429209"/>
      <w:bookmarkStart w:id="5653" w:name="_Toc20468156"/>
      <w:r>
        <w:rPr>
          <w:rFonts w:hint="cs"/>
          <w:rtl/>
        </w:rPr>
        <w:t>סוגית טעם כעיקר (ד')</w:t>
      </w:r>
      <w:bookmarkEnd w:id="5650"/>
      <w:bookmarkEnd w:id="5651"/>
      <w:bookmarkEnd w:id="5652"/>
      <w:bookmarkEnd w:id="5653"/>
    </w:p>
    <w:p w:rsidR="009A0058" w:rsidRPr="006B36A0" w:rsidRDefault="009A0058" w:rsidP="005B1A17">
      <w:pPr>
        <w:pStyle w:val="afc"/>
        <w:rPr>
          <w:rtl/>
        </w:rPr>
      </w:pPr>
      <w:bookmarkStart w:id="5654" w:name="_Toc14425923"/>
      <w:bookmarkStart w:id="5655" w:name="_Toc20429210"/>
      <w:bookmarkStart w:id="5656" w:name="_Toc20468157"/>
      <w:r>
        <w:rPr>
          <w:rFonts w:hint="cs"/>
          <w:rtl/>
        </w:rPr>
        <w:t>בביאור טעמו וממשו וטעמו ולא ממשו</w:t>
      </w:r>
      <w:bookmarkEnd w:id="5654"/>
      <w:bookmarkEnd w:id="5655"/>
      <w:bookmarkEnd w:id="5656"/>
      <w:r>
        <w:rPr>
          <w:rFonts w:hint="cs"/>
          <w:rtl/>
        </w:rPr>
        <w:t xml:space="preserve"> </w:t>
      </w:r>
    </w:p>
    <w:p w:rsidR="009A0058" w:rsidRDefault="002916D7" w:rsidP="009A0058">
      <w:pPr>
        <w:pStyle w:val="2"/>
        <w:keepNext w:val="0"/>
        <w:keepLines w:val="0"/>
        <w:rPr>
          <w:rtl/>
        </w:rPr>
      </w:pPr>
      <w:r>
        <w:rPr>
          <w:rtl/>
        </w:rPr>
        <w:t>מפתח הסוגיא</w:t>
      </w:r>
    </w:p>
    <w:p w:rsidR="0090473F" w:rsidRDefault="0090473F" w:rsidP="009A0058">
      <w:pPr>
        <w:pStyle w:val="2"/>
        <w:rPr>
          <w:rtl/>
        </w:rPr>
        <w:sectPr w:rsidR="0090473F" w:rsidSect="00707961">
          <w:headerReference w:type="default" r:id="rId61"/>
          <w:pgSz w:w="11906" w:h="16838"/>
          <w:pgMar w:top="720" w:right="720" w:bottom="720" w:left="720" w:header="283" w:footer="283" w:gutter="0"/>
          <w:cols w:space="113"/>
          <w:bidi/>
          <w:rtlGutter/>
          <w:docGrid w:linePitch="299"/>
        </w:sectPr>
      </w:pPr>
    </w:p>
    <w:p w:rsidR="009A0058" w:rsidRDefault="009A0058" w:rsidP="009A0058">
      <w:pPr>
        <w:pStyle w:val="2"/>
        <w:rPr>
          <w:rFonts w:eastAsiaTheme="minorEastAsia" w:cstheme="minorBidi"/>
          <w:i/>
          <w:iCs/>
          <w:noProof/>
          <w:sz w:val="22"/>
          <w:szCs w:val="22"/>
          <w:rtl/>
        </w:rPr>
      </w:pPr>
      <w:r w:rsidRPr="007E0C12">
        <w:rPr>
          <w:rtl/>
        </w:rPr>
        <w:fldChar w:fldCharType="begin"/>
      </w:r>
      <w:r w:rsidRPr="007E0C12">
        <w:rPr>
          <w:rtl/>
        </w:rPr>
        <w:instrText xml:space="preserve"> </w:instrText>
      </w:r>
      <w:r w:rsidRPr="007E0C12">
        <w:instrText>TOC</w:instrText>
      </w:r>
      <w:r w:rsidRPr="007E0C12">
        <w:rPr>
          <w:rtl/>
        </w:rPr>
        <w:instrText xml:space="preserve"> \</w:instrText>
      </w:r>
      <w:r w:rsidRPr="007E0C12">
        <w:instrText>o "1-9" \n \p " " \z \t</w:instrText>
      </w:r>
      <w:r w:rsidRPr="007E0C12">
        <w:rPr>
          <w:rtl/>
        </w:rPr>
        <w:instrText xml:space="preserve"> "כותרת 1,2,כות קט,3,כות מקטע,1" </w:instrText>
      </w:r>
      <w:r w:rsidRPr="007E0C12">
        <w:rPr>
          <w:rtl/>
        </w:rPr>
        <w:fldChar w:fldCharType="separate"/>
      </w:r>
      <w:r>
        <w:rPr>
          <w:noProof/>
          <w:rtl/>
        </w:rPr>
        <w:t>מראי מקומות וביאורים</w:t>
      </w:r>
    </w:p>
    <w:p w:rsidR="009A0058" w:rsidRDefault="009A0058" w:rsidP="009A0058">
      <w:pPr>
        <w:pStyle w:val="2"/>
        <w:rPr>
          <w:rFonts w:eastAsiaTheme="minorEastAsia" w:cstheme="minorBidi"/>
          <w:i/>
          <w:iCs/>
          <w:noProof/>
          <w:sz w:val="22"/>
          <w:szCs w:val="22"/>
          <w:rtl/>
        </w:rPr>
      </w:pPr>
      <w:r>
        <w:rPr>
          <w:noProof/>
          <w:rtl/>
        </w:rPr>
        <w:t>דברי רש"י מהו ממשו ומהו טעמו</w:t>
      </w:r>
    </w:p>
    <w:p w:rsidR="009A0058" w:rsidRDefault="009A0058" w:rsidP="009A0058">
      <w:pPr>
        <w:pStyle w:val="aff4"/>
        <w:rPr>
          <w:rFonts w:eastAsiaTheme="minorEastAsia" w:cstheme="minorBidi"/>
          <w:i/>
          <w:iCs/>
          <w:noProof/>
          <w:sz w:val="22"/>
          <w:szCs w:val="22"/>
          <w:rtl/>
        </w:rPr>
      </w:pPr>
      <w:r>
        <w:rPr>
          <w:noProof/>
          <w:rtl/>
        </w:rPr>
        <w:t>דברי רש"י דמבואר מדברי ריו"ח דס"ל דטעם כעיקר דרבנן</w:t>
      </w:r>
    </w:p>
    <w:p w:rsidR="009A0058" w:rsidRPr="009C4AA8" w:rsidRDefault="009A0058" w:rsidP="004D1C5B">
      <w:pPr>
        <w:pStyle w:val="TOC9"/>
        <w:numPr>
          <w:ilvl w:val="0"/>
          <w:numId w:val="18"/>
        </w:numPr>
        <w:rPr>
          <w:rtl/>
        </w:rPr>
      </w:pPr>
      <w:r w:rsidRPr="00E7650A">
        <w:rPr>
          <w:rtl/>
        </w:rPr>
        <w:t>דברי רש"י דלרבא וריו"ח טעם כעיקר דרבנן ולא ילפינן ממשרת ומגיעולי עכו"ם לטעם כעיק</w:t>
      </w:r>
      <w:r w:rsidR="00023BA5" w:rsidRPr="00E7650A">
        <w:rPr>
          <w:rFonts w:hint="cs"/>
          <w:rtl/>
        </w:rPr>
        <w:t>ר</w:t>
      </w:r>
    </w:p>
    <w:p w:rsidR="009A0058" w:rsidRDefault="009A0058" w:rsidP="009A0058">
      <w:pPr>
        <w:pStyle w:val="aff4"/>
        <w:rPr>
          <w:rFonts w:eastAsiaTheme="minorEastAsia" w:cstheme="minorBidi"/>
          <w:i/>
          <w:iCs/>
          <w:noProof/>
          <w:sz w:val="22"/>
          <w:szCs w:val="22"/>
          <w:rtl/>
        </w:rPr>
      </w:pPr>
      <w:r>
        <w:rPr>
          <w:noProof/>
          <w:rtl/>
        </w:rPr>
        <w:t>דברי רש"י בע"ז בטעמו וממשו בכזית בכא"פ ובפחות מכא"פ</w:t>
      </w:r>
    </w:p>
    <w:p w:rsidR="009A0058" w:rsidRDefault="009A0058" w:rsidP="009A0058">
      <w:pPr>
        <w:pStyle w:val="aff2"/>
        <w:numPr>
          <w:ilvl w:val="0"/>
          <w:numId w:val="3"/>
        </w:numPr>
        <w:rPr>
          <w:rFonts w:eastAsiaTheme="minorEastAsia" w:cstheme="minorBidi"/>
          <w:sz w:val="22"/>
          <w:szCs w:val="22"/>
          <w:rtl/>
        </w:rPr>
      </w:pPr>
      <w:r>
        <w:rPr>
          <w:rtl/>
        </w:rPr>
        <w:t>דברי רש"י דההלמ"מ דכזית בכא"פ נאמרה בטעמו וממשו דאף שלא אכל כזית בב"א לוקה</w:t>
      </w:r>
    </w:p>
    <w:p w:rsidR="009A0058" w:rsidRDefault="009A0058" w:rsidP="009A0058">
      <w:pPr>
        <w:pStyle w:val="aff2"/>
        <w:numPr>
          <w:ilvl w:val="0"/>
          <w:numId w:val="3"/>
        </w:numPr>
        <w:rPr>
          <w:rFonts w:eastAsiaTheme="minorEastAsia" w:cstheme="minorBidi"/>
          <w:sz w:val="22"/>
          <w:szCs w:val="22"/>
          <w:rtl/>
        </w:rPr>
      </w:pPr>
      <w:r>
        <w:rPr>
          <w:rtl/>
        </w:rPr>
        <w:t>דברי רש"י דבפחות מכזית בכא"פ אין לוקין דחשיב כב' אכילות שאינם מצטרפות</w:t>
      </w:r>
    </w:p>
    <w:p w:rsidR="009A0058" w:rsidRDefault="009A0058" w:rsidP="009A0058">
      <w:pPr>
        <w:pStyle w:val="aff4"/>
        <w:rPr>
          <w:rFonts w:eastAsiaTheme="minorEastAsia" w:cstheme="minorBidi"/>
          <w:i/>
          <w:iCs/>
          <w:noProof/>
          <w:sz w:val="22"/>
          <w:szCs w:val="22"/>
          <w:rtl/>
        </w:rPr>
      </w:pPr>
      <w:r>
        <w:rPr>
          <w:noProof/>
          <w:rtl/>
        </w:rPr>
        <w:t>דברי רש"י בע"ז דטעמו ולא ממשו הוא באיסור שנימוח</w:t>
      </w:r>
    </w:p>
    <w:p w:rsidR="009A0058" w:rsidRDefault="009A0058" w:rsidP="009A0058">
      <w:pPr>
        <w:pStyle w:val="aff2"/>
        <w:numPr>
          <w:ilvl w:val="0"/>
          <w:numId w:val="3"/>
        </w:numPr>
        <w:rPr>
          <w:rFonts w:eastAsiaTheme="minorEastAsia" w:cstheme="minorBidi"/>
          <w:sz w:val="22"/>
          <w:szCs w:val="22"/>
          <w:rtl/>
        </w:rPr>
      </w:pPr>
      <w:r>
        <w:rPr>
          <w:rtl/>
        </w:rPr>
        <w:t>דברי רש"י דטעמו ולא ממשו היינו חָלָב שנבלע בבשר וחֵלֶב שנימוח דממשו של האיסור אינו בעין</w:t>
      </w:r>
    </w:p>
    <w:p w:rsidR="009A0058" w:rsidRDefault="009A0058" w:rsidP="009A0058">
      <w:pPr>
        <w:pStyle w:val="aff2"/>
        <w:numPr>
          <w:ilvl w:val="0"/>
          <w:numId w:val="3"/>
        </w:numPr>
        <w:rPr>
          <w:rFonts w:eastAsiaTheme="minorEastAsia" w:cstheme="minorBidi"/>
          <w:sz w:val="22"/>
          <w:szCs w:val="22"/>
          <w:rtl/>
        </w:rPr>
      </w:pPr>
      <w:r>
        <w:rPr>
          <w:rtl/>
        </w:rPr>
        <w:t>דברי רש"י דבסילק את האיסור חשיב טעמו ולא ממשו כמו בבשר וחלב שסילקם זה מזה</w:t>
      </w:r>
    </w:p>
    <w:p w:rsidR="009A0058" w:rsidRDefault="009A0058" w:rsidP="009A0058">
      <w:pPr>
        <w:pStyle w:val="aff4"/>
        <w:rPr>
          <w:rFonts w:eastAsiaTheme="minorEastAsia" w:cstheme="minorBidi"/>
          <w:i/>
          <w:iCs/>
          <w:noProof/>
          <w:sz w:val="22"/>
          <w:szCs w:val="22"/>
          <w:rtl/>
        </w:rPr>
      </w:pPr>
      <w:r>
        <w:rPr>
          <w:noProof/>
          <w:rtl/>
        </w:rPr>
        <w:t>דברי רש"י בפסחים בגדר טעמו ולא ממשו</w:t>
      </w:r>
    </w:p>
    <w:p w:rsidR="009A0058" w:rsidRDefault="009A0058" w:rsidP="009A0058">
      <w:pPr>
        <w:pStyle w:val="aff2"/>
        <w:numPr>
          <w:ilvl w:val="0"/>
          <w:numId w:val="3"/>
        </w:numPr>
        <w:rPr>
          <w:rFonts w:eastAsiaTheme="minorEastAsia" w:cstheme="minorBidi"/>
          <w:sz w:val="22"/>
          <w:szCs w:val="22"/>
          <w:rtl/>
        </w:rPr>
      </w:pPr>
      <w:r>
        <w:rPr>
          <w:rtl/>
        </w:rPr>
        <w:t>דברי רש"י בפסחים דבטעם כעיקר יש רק טעם איסור ואין ממשות כלל כגון שרה ענבים ביין</w:t>
      </w:r>
    </w:p>
    <w:p w:rsidR="009A0058" w:rsidRDefault="009A0058" w:rsidP="009A0058">
      <w:pPr>
        <w:pStyle w:val="aff2"/>
        <w:numPr>
          <w:ilvl w:val="0"/>
          <w:numId w:val="3"/>
        </w:numPr>
        <w:rPr>
          <w:rFonts w:eastAsiaTheme="minorEastAsia" w:cstheme="minorBidi"/>
          <w:sz w:val="22"/>
          <w:szCs w:val="22"/>
          <w:rtl/>
        </w:rPr>
      </w:pPr>
      <w:r>
        <w:rPr>
          <w:rtl/>
        </w:rPr>
        <w:t>דברי רש"י דטעם כעיקר בבשר בחלב היינו דהבשר בעין ובלוע בו טעם החלב</w:t>
      </w:r>
    </w:p>
    <w:p w:rsidR="009A0058" w:rsidRDefault="009A0058" w:rsidP="009A0058">
      <w:pPr>
        <w:pStyle w:val="aff4"/>
        <w:rPr>
          <w:rFonts w:eastAsiaTheme="minorEastAsia" w:cstheme="minorBidi"/>
          <w:i/>
          <w:iCs/>
          <w:noProof/>
          <w:sz w:val="22"/>
          <w:szCs w:val="22"/>
          <w:rtl/>
        </w:rPr>
      </w:pPr>
      <w:r>
        <w:rPr>
          <w:noProof/>
          <w:rtl/>
        </w:rPr>
        <w:t>דברי רש"י בזבחים דשומן שנימוח חשיב ממשו ולא טעמו</w:t>
      </w:r>
    </w:p>
    <w:p w:rsidR="009A0058" w:rsidRDefault="009A0058" w:rsidP="009A0058">
      <w:pPr>
        <w:pStyle w:val="aff2"/>
        <w:numPr>
          <w:ilvl w:val="0"/>
          <w:numId w:val="3"/>
        </w:numPr>
        <w:rPr>
          <w:rFonts w:eastAsiaTheme="minorEastAsia" w:cstheme="minorBidi"/>
          <w:sz w:val="22"/>
          <w:szCs w:val="22"/>
          <w:rtl/>
        </w:rPr>
      </w:pPr>
      <w:r>
        <w:rPr>
          <w:rtl/>
        </w:rPr>
        <w:t>דברי רש"י בזבחים דשומן של חטאת שהתיכו וסכו בבשר שלמים חשיב ממשו ולא טעמו</w:t>
      </w:r>
    </w:p>
    <w:p w:rsidR="009A0058" w:rsidRDefault="009A0058" w:rsidP="009A0058">
      <w:pPr>
        <w:pStyle w:val="aff4"/>
        <w:rPr>
          <w:rFonts w:eastAsiaTheme="minorEastAsia" w:cstheme="minorBidi"/>
          <w:i/>
          <w:iCs/>
          <w:noProof/>
          <w:sz w:val="22"/>
          <w:szCs w:val="22"/>
          <w:rtl/>
        </w:rPr>
      </w:pPr>
      <w:r>
        <w:rPr>
          <w:noProof/>
          <w:rtl/>
        </w:rPr>
        <w:t>דברי רש"י דהגדר בטעם כעיקר דההיתר נהפך לאיסור</w:t>
      </w:r>
    </w:p>
    <w:p w:rsidR="009A0058" w:rsidRDefault="009A0058" w:rsidP="009A0058">
      <w:pPr>
        <w:pStyle w:val="aff2"/>
        <w:numPr>
          <w:ilvl w:val="0"/>
          <w:numId w:val="3"/>
        </w:numPr>
        <w:rPr>
          <w:rFonts w:eastAsiaTheme="minorEastAsia" w:cstheme="minorBidi"/>
          <w:sz w:val="22"/>
          <w:szCs w:val="22"/>
          <w:rtl/>
        </w:rPr>
      </w:pPr>
      <w:r>
        <w:rPr>
          <w:rtl/>
        </w:rPr>
        <w:t>דברי רש"י בפסחים דלמ"ד דטעם כעיקר דאו' כל שפשט בו טעם האיסור נעשה כולו איסור</w:t>
      </w:r>
    </w:p>
    <w:p w:rsidR="009A0058" w:rsidRDefault="009A0058" w:rsidP="009A0058">
      <w:pPr>
        <w:pStyle w:val="2"/>
        <w:rPr>
          <w:rFonts w:eastAsiaTheme="minorEastAsia" w:cstheme="minorBidi"/>
          <w:i/>
          <w:iCs/>
          <w:noProof/>
          <w:sz w:val="22"/>
          <w:szCs w:val="22"/>
          <w:rtl/>
        </w:rPr>
      </w:pPr>
      <w:r>
        <w:rPr>
          <w:noProof/>
          <w:rtl/>
        </w:rPr>
        <w:t>בביאור דעת רש</w:t>
      </w:r>
      <w:r w:rsidRPr="00B95EA1">
        <w:rPr>
          <w:noProof/>
          <w:rtl/>
        </w:rPr>
        <w:t>"</w:t>
      </w:r>
      <w:r>
        <w:rPr>
          <w:noProof/>
          <w:rtl/>
        </w:rPr>
        <w:t>י באיסור שנימוח</w:t>
      </w:r>
    </w:p>
    <w:p w:rsidR="009A0058" w:rsidRDefault="009A0058" w:rsidP="009A0058">
      <w:pPr>
        <w:pStyle w:val="aff4"/>
        <w:rPr>
          <w:rFonts w:eastAsiaTheme="minorEastAsia" w:cstheme="minorBidi"/>
          <w:i/>
          <w:iCs/>
          <w:noProof/>
          <w:sz w:val="22"/>
          <w:szCs w:val="22"/>
          <w:rtl/>
        </w:rPr>
      </w:pPr>
      <w:r>
        <w:rPr>
          <w:noProof/>
          <w:rtl/>
        </w:rPr>
        <w:t>ביאורי הראשונים ברש"י דאיסור שאינו בעין הוא טע"כ דרבנן</w:t>
      </w:r>
    </w:p>
    <w:p w:rsidR="009A0058" w:rsidRDefault="009A0058" w:rsidP="009A0058">
      <w:pPr>
        <w:pStyle w:val="aff2"/>
        <w:numPr>
          <w:ilvl w:val="0"/>
          <w:numId w:val="3"/>
        </w:numPr>
        <w:rPr>
          <w:rFonts w:eastAsiaTheme="minorEastAsia" w:cstheme="minorBidi"/>
          <w:sz w:val="22"/>
          <w:szCs w:val="22"/>
          <w:rtl/>
        </w:rPr>
      </w:pPr>
      <w:r>
        <w:rPr>
          <w:rtl/>
        </w:rPr>
        <w:t>דברי סה"ת והמרדכי וההג"מ דלרש"י טעמו ולא ממשו דרבנן הוא אף באופן דאכל כזית בכא"פ</w:t>
      </w:r>
    </w:p>
    <w:p w:rsidR="009A0058" w:rsidRDefault="009A0058" w:rsidP="009A0058">
      <w:pPr>
        <w:pStyle w:val="aff2"/>
        <w:numPr>
          <w:ilvl w:val="0"/>
          <w:numId w:val="3"/>
        </w:numPr>
        <w:rPr>
          <w:rFonts w:eastAsiaTheme="minorEastAsia" w:cstheme="minorBidi"/>
          <w:sz w:val="22"/>
          <w:szCs w:val="22"/>
          <w:rtl/>
        </w:rPr>
      </w:pPr>
      <w:r>
        <w:rPr>
          <w:rtl/>
        </w:rPr>
        <w:t>ביאור סה"ת והמרדכי וההג"מ ברש"י דאסרה תורה רק איסור בעין ולא אסרה טעם בלוע</w:t>
      </w:r>
    </w:p>
    <w:p w:rsidR="009A0058" w:rsidRDefault="009A0058" w:rsidP="009A0058">
      <w:pPr>
        <w:pStyle w:val="aff4"/>
        <w:rPr>
          <w:rFonts w:eastAsiaTheme="minorEastAsia" w:cstheme="minorBidi"/>
          <w:i/>
          <w:iCs/>
          <w:noProof/>
          <w:sz w:val="22"/>
          <w:szCs w:val="22"/>
          <w:rtl/>
        </w:rPr>
      </w:pPr>
      <w:r>
        <w:rPr>
          <w:noProof/>
          <w:rtl/>
        </w:rPr>
        <w:t>ביאורי הראשונים ברש"י דבטעם כעיקר גוף האיסור אינו בעין</w:t>
      </w:r>
    </w:p>
    <w:p w:rsidR="009A0058" w:rsidRDefault="009A0058" w:rsidP="009A0058">
      <w:pPr>
        <w:pStyle w:val="aff2"/>
        <w:numPr>
          <w:ilvl w:val="0"/>
          <w:numId w:val="3"/>
        </w:numPr>
        <w:rPr>
          <w:rFonts w:eastAsiaTheme="minorEastAsia" w:cstheme="minorBidi"/>
          <w:sz w:val="22"/>
          <w:szCs w:val="22"/>
          <w:rtl/>
        </w:rPr>
      </w:pPr>
      <w:r>
        <w:rPr>
          <w:rtl/>
        </w:rPr>
        <w:t>דברי הרמב"ן ברש"י דבטעמו ולא ממשו אין את ממשות האיסור לא בעין ולא  מעורב בהיתר</w:t>
      </w:r>
    </w:p>
    <w:p w:rsidR="009A0058" w:rsidRDefault="009A0058" w:rsidP="009A0058">
      <w:pPr>
        <w:pStyle w:val="aff2"/>
        <w:numPr>
          <w:ilvl w:val="0"/>
          <w:numId w:val="3"/>
        </w:numPr>
        <w:rPr>
          <w:rFonts w:eastAsiaTheme="minorEastAsia" w:cstheme="minorBidi"/>
          <w:sz w:val="22"/>
          <w:szCs w:val="22"/>
          <w:rtl/>
        </w:rPr>
      </w:pPr>
      <w:r>
        <w:rPr>
          <w:rtl/>
        </w:rPr>
        <w:t>דברי הרשב"א במשה"ב דלרש"י ותוס' טעם היינו שאין מגופו של איסור אבל חלב בבשר הוא ממשו</w:t>
      </w:r>
    </w:p>
    <w:p w:rsidR="009A0058" w:rsidRDefault="009A0058" w:rsidP="009A0058">
      <w:pPr>
        <w:pStyle w:val="aff2"/>
        <w:numPr>
          <w:ilvl w:val="0"/>
          <w:numId w:val="3"/>
        </w:numPr>
        <w:rPr>
          <w:rFonts w:eastAsiaTheme="minorEastAsia" w:cstheme="minorBidi"/>
          <w:sz w:val="22"/>
          <w:szCs w:val="22"/>
          <w:rtl/>
        </w:rPr>
      </w:pPr>
      <w:r>
        <w:rPr>
          <w:rtl/>
        </w:rPr>
        <w:t>דברי הריטב"א ברש"י דטעם כעיקר הוא באיסור נימוח או בשרה ענבים ביין או בסילק את האיסור</w:t>
      </w:r>
    </w:p>
    <w:p w:rsidR="009A0058" w:rsidRDefault="009A0058" w:rsidP="009A0058">
      <w:pPr>
        <w:pStyle w:val="aff2"/>
        <w:numPr>
          <w:ilvl w:val="0"/>
          <w:numId w:val="3"/>
        </w:numPr>
        <w:rPr>
          <w:rFonts w:eastAsiaTheme="minorEastAsia" w:cstheme="minorBidi"/>
          <w:sz w:val="22"/>
          <w:szCs w:val="22"/>
          <w:rtl/>
        </w:rPr>
      </w:pPr>
      <w:r>
        <w:rPr>
          <w:rtl/>
        </w:rPr>
        <w:t>ביאור הי"א ברא"ש ברש"י דבריבוי התערובת ע"י ממשות איסור שלא נימוח הוי טעמו וממשו</w:t>
      </w:r>
    </w:p>
    <w:p w:rsidR="009A0058" w:rsidRDefault="009A0058" w:rsidP="009A0058">
      <w:pPr>
        <w:pStyle w:val="aff4"/>
        <w:rPr>
          <w:rFonts w:eastAsiaTheme="minorEastAsia" w:cstheme="minorBidi"/>
          <w:i/>
          <w:iCs/>
          <w:noProof/>
          <w:sz w:val="22"/>
          <w:szCs w:val="22"/>
          <w:rtl/>
        </w:rPr>
      </w:pPr>
      <w:r>
        <w:rPr>
          <w:noProof/>
          <w:rtl/>
        </w:rPr>
        <w:t>ביאור הב"י בדעת רש"י דבכזית בכא"פ הוי ממשו ואסור מדאו'</w:t>
      </w:r>
    </w:p>
    <w:p w:rsidR="009A0058" w:rsidRDefault="009A0058" w:rsidP="009A0058">
      <w:pPr>
        <w:pStyle w:val="aff2"/>
        <w:numPr>
          <w:ilvl w:val="0"/>
          <w:numId w:val="3"/>
        </w:numPr>
        <w:rPr>
          <w:rFonts w:eastAsiaTheme="minorEastAsia" w:cstheme="minorBidi"/>
          <w:sz w:val="22"/>
          <w:szCs w:val="22"/>
          <w:rtl/>
        </w:rPr>
      </w:pPr>
      <w:r>
        <w:rPr>
          <w:rtl/>
        </w:rPr>
        <w:t>דברי הב"י דרק טעמו ולא ממשו הוא דרבנן לרש"י אבל כשיש ממשות כזית בכא"פ הוי דאו'</w:t>
      </w:r>
    </w:p>
    <w:p w:rsidR="009A0058" w:rsidRDefault="009A0058" w:rsidP="009A0058">
      <w:pPr>
        <w:pStyle w:val="aff4"/>
        <w:rPr>
          <w:rFonts w:eastAsiaTheme="minorEastAsia" w:cstheme="minorBidi"/>
          <w:i/>
          <w:iCs/>
          <w:noProof/>
          <w:sz w:val="22"/>
          <w:szCs w:val="22"/>
          <w:rtl/>
        </w:rPr>
      </w:pPr>
      <w:r>
        <w:rPr>
          <w:noProof/>
          <w:rtl/>
        </w:rPr>
        <w:t>ביאור האחרונים ברש"י דטעמו ולא ממשו בנימוח גוף האיסור</w:t>
      </w:r>
    </w:p>
    <w:p w:rsidR="009A0058" w:rsidRDefault="009A0058" w:rsidP="009A0058">
      <w:pPr>
        <w:pStyle w:val="aff2"/>
        <w:numPr>
          <w:ilvl w:val="0"/>
          <w:numId w:val="3"/>
        </w:numPr>
        <w:rPr>
          <w:rFonts w:eastAsiaTheme="minorEastAsia" w:cstheme="minorBidi"/>
          <w:sz w:val="22"/>
          <w:szCs w:val="22"/>
          <w:rtl/>
        </w:rPr>
      </w:pPr>
      <w:r>
        <w:rPr>
          <w:rtl/>
        </w:rPr>
        <w:t>קושית המנחת כהן דלרש"י הטעם בטל ברוב ולא שייך שיהיה באיסור שנימוח כזית בכא"פ מדאו'</w:t>
      </w:r>
    </w:p>
    <w:p w:rsidR="009A0058" w:rsidRDefault="009A0058" w:rsidP="009A0058">
      <w:pPr>
        <w:pStyle w:val="aff2"/>
        <w:numPr>
          <w:ilvl w:val="0"/>
          <w:numId w:val="3"/>
        </w:numPr>
        <w:rPr>
          <w:rFonts w:eastAsiaTheme="minorEastAsia" w:cstheme="minorBidi"/>
          <w:sz w:val="22"/>
          <w:szCs w:val="22"/>
          <w:rtl/>
        </w:rPr>
      </w:pPr>
      <w:r>
        <w:rPr>
          <w:rtl/>
        </w:rPr>
        <w:t>דברי המנחת כהן דלרש"י טעמו וממשו היינו כשהאיסור בעין וקמ"ל דבכא"פ יש צירוף לכזית</w:t>
      </w:r>
    </w:p>
    <w:p w:rsidR="009A0058" w:rsidRDefault="009A0058" w:rsidP="009A0058">
      <w:pPr>
        <w:pStyle w:val="aff2"/>
        <w:numPr>
          <w:ilvl w:val="0"/>
          <w:numId w:val="3"/>
        </w:numPr>
        <w:rPr>
          <w:rFonts w:eastAsiaTheme="minorEastAsia" w:cstheme="minorBidi"/>
          <w:sz w:val="22"/>
          <w:szCs w:val="22"/>
          <w:rtl/>
        </w:rPr>
      </w:pPr>
      <w:r>
        <w:rPr>
          <w:rtl/>
        </w:rPr>
        <w:t>דברי המנח"כ והפר"ח והלח"מ והפרמ"ג ברש"י דבנימוח גוף האיסור הוי טעמו ולא ממשו</w:t>
      </w:r>
    </w:p>
    <w:p w:rsidR="009A0058" w:rsidRDefault="009A0058" w:rsidP="009A0058">
      <w:pPr>
        <w:pStyle w:val="aff2"/>
        <w:numPr>
          <w:ilvl w:val="0"/>
          <w:numId w:val="3"/>
        </w:numPr>
        <w:rPr>
          <w:rFonts w:eastAsiaTheme="minorEastAsia" w:cstheme="minorBidi"/>
          <w:sz w:val="22"/>
          <w:szCs w:val="22"/>
          <w:rtl/>
        </w:rPr>
      </w:pPr>
      <w:r>
        <w:rPr>
          <w:rtl/>
        </w:rPr>
        <w:t>דברי הלח"מ דברש"י בע"ז מוכח דבנימוח גוף האיסור הוא טעמו ולא ממשו אף בכזית בכא"פ</w:t>
      </w:r>
    </w:p>
    <w:p w:rsidR="009A0058" w:rsidRDefault="009A0058" w:rsidP="009A0058">
      <w:pPr>
        <w:pStyle w:val="aff2"/>
        <w:numPr>
          <w:ilvl w:val="0"/>
          <w:numId w:val="3"/>
        </w:numPr>
        <w:rPr>
          <w:rFonts w:eastAsiaTheme="minorEastAsia" w:cstheme="minorBidi"/>
          <w:sz w:val="22"/>
          <w:szCs w:val="22"/>
          <w:rtl/>
        </w:rPr>
      </w:pPr>
      <w:r>
        <w:rPr>
          <w:rtl/>
        </w:rPr>
        <w:t>דחיית המנחת כהן דמדברי רש"י בע"ז לא מוכח דבכזית בכדי אכילת פרס הוא טעמו ולא ממשו</w:t>
      </w:r>
    </w:p>
    <w:p w:rsidR="009A0058" w:rsidRDefault="009A0058" w:rsidP="009A0058">
      <w:pPr>
        <w:pStyle w:val="aff2"/>
        <w:numPr>
          <w:ilvl w:val="0"/>
          <w:numId w:val="3"/>
        </w:numPr>
        <w:rPr>
          <w:rFonts w:eastAsiaTheme="minorEastAsia" w:cstheme="minorBidi"/>
          <w:sz w:val="22"/>
          <w:szCs w:val="22"/>
          <w:rtl/>
        </w:rPr>
      </w:pPr>
      <w:r>
        <w:rPr>
          <w:rtl/>
        </w:rPr>
        <w:t>דברי המנחת כהן דברש"י בסוגיין מוכח דטעמו ולא ממשו הוא בנימוח האיסור או שאין ממשו בעין</w:t>
      </w:r>
    </w:p>
    <w:p w:rsidR="009A0058" w:rsidRDefault="009A0058" w:rsidP="009A0058">
      <w:pPr>
        <w:pStyle w:val="aff2"/>
        <w:numPr>
          <w:ilvl w:val="0"/>
          <w:numId w:val="3"/>
        </w:numPr>
        <w:rPr>
          <w:rFonts w:eastAsiaTheme="minorEastAsia" w:cstheme="minorBidi"/>
          <w:sz w:val="22"/>
          <w:szCs w:val="22"/>
          <w:rtl/>
        </w:rPr>
      </w:pPr>
      <w:r>
        <w:rPr>
          <w:rtl/>
        </w:rPr>
        <w:t>דברי המנחת כהן דברש"י בפסחים מבואר דחָלָב שנבלע בבשר הוא טעמו אף ביותר מכזית בכא"פ</w:t>
      </w:r>
    </w:p>
    <w:p w:rsidR="009A0058" w:rsidRDefault="009A0058" w:rsidP="009A0058">
      <w:pPr>
        <w:pStyle w:val="aff2"/>
        <w:numPr>
          <w:ilvl w:val="0"/>
          <w:numId w:val="3"/>
        </w:numPr>
        <w:rPr>
          <w:rFonts w:eastAsiaTheme="minorEastAsia" w:cstheme="minorBidi"/>
          <w:sz w:val="22"/>
          <w:szCs w:val="22"/>
          <w:rtl/>
        </w:rPr>
      </w:pPr>
      <w:r>
        <w:rPr>
          <w:rtl/>
        </w:rPr>
        <w:t>דברי המנחת כהן דבמקום שאין רוב בהיתר כנגד איסור שנימוח אף לרש"י כזית בכא"פ הוא דאו'</w:t>
      </w:r>
    </w:p>
    <w:p w:rsidR="009A0058" w:rsidRDefault="009A0058" w:rsidP="009A0058">
      <w:pPr>
        <w:pStyle w:val="aff4"/>
        <w:rPr>
          <w:rFonts w:eastAsiaTheme="minorEastAsia" w:cstheme="minorBidi"/>
          <w:i/>
          <w:iCs/>
          <w:noProof/>
          <w:sz w:val="22"/>
          <w:szCs w:val="22"/>
          <w:rtl/>
        </w:rPr>
      </w:pPr>
      <w:r>
        <w:rPr>
          <w:noProof/>
          <w:rtl/>
        </w:rPr>
        <w:t>קושיות המנחת כהן על רש"י</w:t>
      </w:r>
    </w:p>
    <w:p w:rsidR="009A0058" w:rsidRDefault="009A0058" w:rsidP="009A0058">
      <w:pPr>
        <w:pStyle w:val="aff2"/>
        <w:numPr>
          <w:ilvl w:val="0"/>
          <w:numId w:val="3"/>
        </w:numPr>
        <w:rPr>
          <w:rFonts w:eastAsiaTheme="minorEastAsia" w:cstheme="minorBidi"/>
          <w:sz w:val="22"/>
          <w:szCs w:val="22"/>
          <w:rtl/>
        </w:rPr>
      </w:pPr>
      <w:r>
        <w:rPr>
          <w:rtl/>
        </w:rPr>
        <w:t>קושית המנחת כהן דבפסחים מבואר דכזית בכא"פ אסור מדאו' אף בנימוח גוף האיסור</w:t>
      </w:r>
    </w:p>
    <w:p w:rsidR="002D7168" w:rsidRDefault="009A0058" w:rsidP="009A0058">
      <w:pPr>
        <w:pStyle w:val="aff2"/>
        <w:numPr>
          <w:ilvl w:val="0"/>
          <w:numId w:val="3"/>
        </w:numPr>
        <w:rPr>
          <w:rFonts w:eastAsiaTheme="minorEastAsia" w:cstheme="minorBidi"/>
          <w:sz w:val="22"/>
          <w:szCs w:val="22"/>
          <w:rtl/>
        </w:rPr>
      </w:pPr>
      <w:r>
        <w:rPr>
          <w:rtl/>
        </w:rPr>
        <w:t>קושית המנחת כהן דמשמע מריו"ח דטעמו וממשו אינו רק באופן שגוף האיסור בעין</w:t>
      </w:r>
    </w:p>
    <w:p w:rsidR="009A0058" w:rsidRDefault="009A0058" w:rsidP="009A0058">
      <w:pPr>
        <w:pStyle w:val="aff4"/>
        <w:rPr>
          <w:rFonts w:eastAsiaTheme="minorEastAsia" w:cstheme="minorBidi"/>
          <w:i/>
          <w:iCs/>
          <w:noProof/>
          <w:sz w:val="22"/>
          <w:szCs w:val="22"/>
          <w:rtl/>
        </w:rPr>
      </w:pPr>
      <w:r>
        <w:rPr>
          <w:noProof/>
          <w:rtl/>
        </w:rPr>
        <w:t>ביאור היד יהודה ברש"י דודאי דבנימוח גוף האיסור אסור מדאו'</w:t>
      </w:r>
    </w:p>
    <w:p w:rsidR="009A0058" w:rsidRDefault="009A0058" w:rsidP="009A0058">
      <w:pPr>
        <w:pStyle w:val="aff2"/>
        <w:numPr>
          <w:ilvl w:val="0"/>
          <w:numId w:val="3"/>
        </w:numPr>
        <w:rPr>
          <w:rFonts w:eastAsiaTheme="minorEastAsia" w:cstheme="minorBidi"/>
          <w:sz w:val="22"/>
          <w:szCs w:val="22"/>
          <w:rtl/>
        </w:rPr>
      </w:pPr>
      <w:r>
        <w:rPr>
          <w:rtl/>
        </w:rPr>
        <w:t>קושית היד יהודה על המנחת כהן דלא מצינו דעה בראשונים דבנימוח גוף האיסור אסור מדרבנן</w:t>
      </w:r>
    </w:p>
    <w:p w:rsidR="009A0058" w:rsidRDefault="009A0058" w:rsidP="009A0058">
      <w:pPr>
        <w:pStyle w:val="aff2"/>
        <w:numPr>
          <w:ilvl w:val="0"/>
          <w:numId w:val="3"/>
        </w:numPr>
        <w:rPr>
          <w:rFonts w:eastAsiaTheme="minorEastAsia" w:cstheme="minorBidi"/>
          <w:sz w:val="22"/>
          <w:szCs w:val="22"/>
          <w:rtl/>
        </w:rPr>
      </w:pPr>
      <w:r>
        <w:rPr>
          <w:rtl/>
        </w:rPr>
        <w:t>דברי היד יהודה דברש"י בזבחים ובפסחים מבואר דבנימוח גוף האיסור אסור מדאו'</w:t>
      </w:r>
    </w:p>
    <w:p w:rsidR="009A0058" w:rsidRDefault="009A0058" w:rsidP="009A0058">
      <w:pPr>
        <w:pStyle w:val="aff4"/>
        <w:rPr>
          <w:rFonts w:eastAsiaTheme="minorEastAsia" w:cstheme="minorBidi"/>
          <w:i/>
          <w:iCs/>
          <w:noProof/>
          <w:sz w:val="22"/>
          <w:szCs w:val="22"/>
          <w:rtl/>
        </w:rPr>
      </w:pPr>
      <w:r>
        <w:rPr>
          <w:noProof/>
          <w:rtl/>
        </w:rPr>
        <w:t>דברי המעדני יו"ט ברש"י בדין טעמו ולא ממשו בכזית בכא"פ</w:t>
      </w:r>
    </w:p>
    <w:p w:rsidR="009A0058" w:rsidRDefault="009A0058" w:rsidP="009A0058">
      <w:pPr>
        <w:pStyle w:val="aff2"/>
        <w:numPr>
          <w:ilvl w:val="0"/>
          <w:numId w:val="3"/>
        </w:numPr>
        <w:rPr>
          <w:rFonts w:eastAsiaTheme="minorEastAsia" w:cstheme="minorBidi"/>
          <w:sz w:val="22"/>
          <w:szCs w:val="22"/>
          <w:rtl/>
        </w:rPr>
      </w:pPr>
      <w:r>
        <w:rPr>
          <w:rtl/>
        </w:rPr>
        <w:t>דברי המעדני יו"ט דאפש"ל דלרש"י יש איסור דאו' בכזית בכא"פ בטעמו ולא ממשו</w:t>
      </w:r>
    </w:p>
    <w:p w:rsidR="009A0058" w:rsidRDefault="009A0058" w:rsidP="009A0058">
      <w:pPr>
        <w:pStyle w:val="aff2"/>
        <w:numPr>
          <w:ilvl w:val="0"/>
          <w:numId w:val="3"/>
        </w:numPr>
        <w:rPr>
          <w:rFonts w:eastAsiaTheme="minorEastAsia" w:cstheme="minorBidi"/>
          <w:sz w:val="22"/>
          <w:szCs w:val="22"/>
          <w:rtl/>
        </w:rPr>
      </w:pPr>
      <w:r>
        <w:rPr>
          <w:rtl/>
        </w:rPr>
        <w:t>דחיית המעדני יו"ט דבטעמו ולא ממשו אין איסור דאו' אף בכזית בכא"פ לדעת רש"י</w:t>
      </w:r>
    </w:p>
    <w:p w:rsidR="009A0058" w:rsidRDefault="009A0058" w:rsidP="009A0058">
      <w:pPr>
        <w:pStyle w:val="2"/>
        <w:rPr>
          <w:rFonts w:eastAsiaTheme="minorEastAsia" w:cstheme="minorBidi"/>
          <w:i/>
          <w:iCs/>
          <w:noProof/>
          <w:sz w:val="22"/>
          <w:szCs w:val="22"/>
          <w:rtl/>
        </w:rPr>
      </w:pPr>
      <w:r>
        <w:rPr>
          <w:noProof/>
          <w:rtl/>
        </w:rPr>
        <w:t>בביאור דעת רש</w:t>
      </w:r>
      <w:r w:rsidRPr="00B95EA1">
        <w:rPr>
          <w:noProof/>
          <w:rtl/>
        </w:rPr>
        <w:t>"</w:t>
      </w:r>
      <w:r>
        <w:rPr>
          <w:noProof/>
          <w:rtl/>
        </w:rPr>
        <w:t xml:space="preserve">י </w:t>
      </w:r>
      <w:r>
        <w:rPr>
          <w:rFonts w:hint="cs"/>
          <w:noProof/>
          <w:rtl/>
        </w:rPr>
        <w:t>בטעמו וממשו</w:t>
      </w:r>
    </w:p>
    <w:p w:rsidR="009A0058" w:rsidRDefault="009A0058" w:rsidP="009A0058">
      <w:pPr>
        <w:pStyle w:val="aff4"/>
        <w:rPr>
          <w:rFonts w:eastAsiaTheme="minorEastAsia" w:cstheme="minorBidi"/>
          <w:i/>
          <w:iCs/>
          <w:noProof/>
          <w:sz w:val="22"/>
          <w:szCs w:val="22"/>
          <w:rtl/>
        </w:rPr>
      </w:pPr>
      <w:r>
        <w:rPr>
          <w:noProof/>
          <w:rtl/>
        </w:rPr>
        <w:t>דברי המנחת כהן והפרמ"ג בדעת רש"י בטעמו וממשו</w:t>
      </w:r>
    </w:p>
    <w:p w:rsidR="009A0058" w:rsidRDefault="009A0058" w:rsidP="009A0058">
      <w:pPr>
        <w:pStyle w:val="aff2"/>
        <w:numPr>
          <w:ilvl w:val="0"/>
          <w:numId w:val="3"/>
        </w:numPr>
        <w:rPr>
          <w:rFonts w:eastAsiaTheme="minorEastAsia" w:cstheme="minorBidi"/>
          <w:sz w:val="22"/>
          <w:szCs w:val="22"/>
          <w:rtl/>
        </w:rPr>
      </w:pPr>
      <w:r>
        <w:rPr>
          <w:rtl/>
        </w:rPr>
        <w:t>דברי המנחת כהן דלרש"י טעמו וממשו הוא כשגוף האיסור לא נימוח ומכירו בתוך התבשיל</w:t>
      </w:r>
    </w:p>
    <w:p w:rsidR="009A0058" w:rsidRDefault="009A0058" w:rsidP="009A0058">
      <w:pPr>
        <w:pStyle w:val="aff2"/>
        <w:numPr>
          <w:ilvl w:val="0"/>
          <w:numId w:val="3"/>
        </w:numPr>
      </w:pPr>
      <w:r w:rsidRPr="008C4F6A">
        <w:rPr>
          <w:rFonts w:hint="cs"/>
          <w:rtl/>
        </w:rPr>
        <w:t>דברי הפרמ"ג ד</w:t>
      </w:r>
      <w:r>
        <w:rPr>
          <w:rFonts w:hint="cs"/>
          <w:rtl/>
        </w:rPr>
        <w:t>מבואר ברש"י בע"ז ד</w:t>
      </w:r>
      <w:r w:rsidRPr="008C4F6A">
        <w:rPr>
          <w:rFonts w:hint="cs"/>
          <w:rtl/>
        </w:rPr>
        <w:t>אף באיסור שלא נ</w:t>
      </w:r>
      <w:r>
        <w:rPr>
          <w:rFonts w:hint="cs"/>
          <w:rtl/>
        </w:rPr>
        <w:t>י</w:t>
      </w:r>
      <w:r w:rsidRPr="008C4F6A">
        <w:rPr>
          <w:rFonts w:hint="cs"/>
          <w:rtl/>
        </w:rPr>
        <w:t>מ</w:t>
      </w:r>
      <w:r>
        <w:rPr>
          <w:rFonts w:hint="cs"/>
          <w:rtl/>
        </w:rPr>
        <w:t>ו</w:t>
      </w:r>
      <w:r w:rsidRPr="008C4F6A">
        <w:rPr>
          <w:rFonts w:hint="cs"/>
          <w:rtl/>
        </w:rPr>
        <w:t>ח ואינו מכירו חשיב טעמו וממשו</w:t>
      </w:r>
    </w:p>
    <w:p w:rsidR="009A0058" w:rsidRPr="00536F28" w:rsidRDefault="009A0058" w:rsidP="009A0058">
      <w:pPr>
        <w:pStyle w:val="aff2"/>
        <w:numPr>
          <w:ilvl w:val="0"/>
          <w:numId w:val="3"/>
        </w:numPr>
      </w:pPr>
      <w:r>
        <w:rPr>
          <w:rFonts w:hint="cs"/>
          <w:rtl/>
        </w:rPr>
        <w:t xml:space="preserve">דברי הפרמ"ג דמוכח ברש"י בע"ז באיסור שלא נימוח אף </w:t>
      </w:r>
      <w:r w:rsidRPr="008C4F6A">
        <w:rPr>
          <w:rFonts w:hint="cs"/>
          <w:rtl/>
        </w:rPr>
        <w:t>בפחות מכא"פ אסור מדאו'</w:t>
      </w:r>
    </w:p>
    <w:p w:rsidR="009A0058" w:rsidRDefault="009A0058" w:rsidP="009A0058">
      <w:pPr>
        <w:pStyle w:val="aff2"/>
        <w:numPr>
          <w:ilvl w:val="0"/>
          <w:numId w:val="3"/>
        </w:numPr>
        <w:rPr>
          <w:rFonts w:eastAsiaTheme="minorEastAsia" w:cstheme="minorBidi"/>
          <w:sz w:val="22"/>
          <w:szCs w:val="22"/>
          <w:rtl/>
        </w:rPr>
      </w:pPr>
      <w:r>
        <w:rPr>
          <w:rtl/>
        </w:rPr>
        <w:t>דברי הפרמ"ג ברש"י דאיסור שלא השתנה מברייתו חשיב טעמו וממשו אף שהוא לח ואינו ניכר</w:t>
      </w:r>
    </w:p>
    <w:p w:rsidR="009A0058" w:rsidRDefault="009A0058" w:rsidP="009A0058">
      <w:pPr>
        <w:pStyle w:val="aff2"/>
        <w:numPr>
          <w:ilvl w:val="0"/>
          <w:numId w:val="3"/>
        </w:numPr>
        <w:rPr>
          <w:rFonts w:eastAsiaTheme="minorEastAsia" w:cstheme="minorBidi"/>
          <w:sz w:val="22"/>
          <w:szCs w:val="22"/>
          <w:rtl/>
        </w:rPr>
      </w:pPr>
      <w:r>
        <w:rPr>
          <w:rtl/>
        </w:rPr>
        <w:t>דברי הפרמ"ג דמשמע במנחת כהן דאיסור שאינו ניכר בטל ואינו ממשו אף שהוא בעין ולא נימוח</w:t>
      </w:r>
    </w:p>
    <w:p w:rsidR="009A0058" w:rsidRDefault="009A0058" w:rsidP="009A0058">
      <w:pPr>
        <w:pStyle w:val="aff2"/>
        <w:numPr>
          <w:ilvl w:val="0"/>
          <w:numId w:val="3"/>
        </w:numPr>
        <w:rPr>
          <w:rFonts w:eastAsiaTheme="minorEastAsia" w:cstheme="minorBidi"/>
          <w:sz w:val="22"/>
          <w:szCs w:val="22"/>
          <w:rtl/>
        </w:rPr>
      </w:pPr>
      <w:r>
        <w:rPr>
          <w:rtl/>
        </w:rPr>
        <w:t>דחיית הפרמ"ג דאפש"ל דההלמ"מ בכזית בכא"פ נאמרה אף באיסור שלא נימוח ואינו מכירו</w:t>
      </w:r>
    </w:p>
    <w:p w:rsidR="009A0058" w:rsidRDefault="009A0058" w:rsidP="009A0058">
      <w:pPr>
        <w:pStyle w:val="aff2"/>
        <w:numPr>
          <w:ilvl w:val="0"/>
          <w:numId w:val="3"/>
        </w:numPr>
        <w:rPr>
          <w:rFonts w:eastAsiaTheme="minorEastAsia" w:cstheme="minorBidi"/>
          <w:sz w:val="22"/>
          <w:szCs w:val="22"/>
          <w:rtl/>
        </w:rPr>
      </w:pPr>
      <w:r>
        <w:rPr>
          <w:rtl/>
        </w:rPr>
        <w:t>ביאור הפרמ"ג בדברי ריו"ח דאמר "טעמו" וממשו ולא ממשו לבד דע"י הטעם חייב בכזית בכא"פ</w:t>
      </w:r>
    </w:p>
    <w:p w:rsidR="009A0058" w:rsidRDefault="009A0058" w:rsidP="009A0058">
      <w:pPr>
        <w:pStyle w:val="aff4"/>
        <w:rPr>
          <w:rFonts w:eastAsiaTheme="minorEastAsia" w:cstheme="minorBidi"/>
          <w:i/>
          <w:iCs/>
          <w:noProof/>
          <w:sz w:val="22"/>
          <w:szCs w:val="22"/>
          <w:rtl/>
        </w:rPr>
      </w:pPr>
      <w:r>
        <w:rPr>
          <w:noProof/>
          <w:rtl/>
        </w:rPr>
        <w:t>דברי הנחל"ד בביאור דעת רש"י בטעמו וממשו</w:t>
      </w:r>
    </w:p>
    <w:p w:rsidR="009A0058" w:rsidRDefault="009A0058" w:rsidP="009A0058">
      <w:pPr>
        <w:pStyle w:val="aff2"/>
        <w:numPr>
          <w:ilvl w:val="0"/>
          <w:numId w:val="3"/>
        </w:numPr>
        <w:rPr>
          <w:rFonts w:eastAsiaTheme="minorEastAsia" w:cstheme="minorBidi"/>
          <w:sz w:val="22"/>
          <w:szCs w:val="22"/>
          <w:rtl/>
        </w:rPr>
      </w:pPr>
      <w:r>
        <w:rPr>
          <w:rtl/>
        </w:rPr>
        <w:t>דברי הנחל"ד דטעמו וממשו לא מהני ביטול על הממשות כיון שניכר ע"י הטעם ולכן לוקין עליו</w:t>
      </w:r>
    </w:p>
    <w:p w:rsidR="009A0058" w:rsidRDefault="009A0058" w:rsidP="009A0058">
      <w:pPr>
        <w:pStyle w:val="aff2"/>
        <w:numPr>
          <w:ilvl w:val="0"/>
          <w:numId w:val="3"/>
        </w:numPr>
        <w:rPr>
          <w:rFonts w:eastAsiaTheme="minorEastAsia" w:cstheme="minorBidi"/>
          <w:sz w:val="22"/>
          <w:szCs w:val="22"/>
          <w:rtl/>
        </w:rPr>
      </w:pPr>
      <w:r>
        <w:rPr>
          <w:rtl/>
        </w:rPr>
        <w:t>דברי הנחל"ד דלרש"י טעמו ולא ממשו הוא רק כשאין כלל את ממשות האיסור ויש רק את טעמו</w:t>
      </w:r>
    </w:p>
    <w:p w:rsidR="009A0058" w:rsidRPr="005E217D" w:rsidRDefault="009A0058" w:rsidP="009A0058">
      <w:pPr>
        <w:pStyle w:val="aff2"/>
        <w:numPr>
          <w:ilvl w:val="0"/>
          <w:numId w:val="3"/>
        </w:numPr>
        <w:rPr>
          <w:rtl/>
        </w:rPr>
      </w:pPr>
      <w:r>
        <w:rPr>
          <w:rFonts w:hint="cs"/>
          <w:rtl/>
        </w:rPr>
        <w:t>דברי הנחל"ד דאפש"ל דלרש"י בפסחים איסור שנימוח הוי ממשו ורש"י בע"ז ביאר לפי הגמ' בנזיר</w:t>
      </w:r>
    </w:p>
    <w:p w:rsidR="009A0058" w:rsidRDefault="009A0058" w:rsidP="009A0058">
      <w:pPr>
        <w:pStyle w:val="aff2"/>
        <w:numPr>
          <w:ilvl w:val="0"/>
          <w:numId w:val="3"/>
        </w:numPr>
        <w:rPr>
          <w:rFonts w:eastAsiaTheme="minorEastAsia" w:cstheme="minorBidi"/>
          <w:sz w:val="22"/>
          <w:szCs w:val="22"/>
          <w:rtl/>
        </w:rPr>
      </w:pPr>
      <w:r>
        <w:rPr>
          <w:rtl/>
        </w:rPr>
        <w:t>דברי המנחת ברוך דס"ל לרש"י דלגמ' בזבחים איסור שנימוח הוא ממשו ולגמ' בע"ז הוא טעמו</w:t>
      </w:r>
    </w:p>
    <w:p w:rsidR="009A0058" w:rsidRDefault="009A0058" w:rsidP="009A0058">
      <w:pPr>
        <w:pStyle w:val="2"/>
        <w:rPr>
          <w:noProof/>
          <w:rtl/>
        </w:rPr>
      </w:pPr>
      <w:r>
        <w:rPr>
          <w:rFonts w:hint="cs"/>
          <w:noProof/>
          <w:rtl/>
        </w:rPr>
        <w:t>בביאור הר"ן בדעת רש"י</w:t>
      </w:r>
    </w:p>
    <w:p w:rsidR="009A0058" w:rsidRDefault="009A0058" w:rsidP="009A0058">
      <w:pPr>
        <w:pStyle w:val="aff4"/>
        <w:rPr>
          <w:rFonts w:eastAsiaTheme="minorEastAsia" w:cstheme="minorBidi"/>
          <w:i/>
          <w:iCs/>
          <w:noProof/>
          <w:sz w:val="22"/>
          <w:szCs w:val="22"/>
          <w:rtl/>
        </w:rPr>
      </w:pPr>
      <w:r>
        <w:rPr>
          <w:noProof/>
          <w:rtl/>
        </w:rPr>
        <w:t>פלוגתת הב"י והב"ח בביאור דברי הר"ן בדעת רש"י</w:t>
      </w:r>
    </w:p>
    <w:p w:rsidR="009A0058" w:rsidRDefault="009A0058" w:rsidP="009A0058">
      <w:pPr>
        <w:pStyle w:val="aff2"/>
        <w:numPr>
          <w:ilvl w:val="0"/>
          <w:numId w:val="3"/>
        </w:numPr>
        <w:rPr>
          <w:rFonts w:eastAsiaTheme="minorEastAsia" w:cstheme="minorBidi"/>
          <w:sz w:val="22"/>
          <w:szCs w:val="22"/>
          <w:rtl/>
        </w:rPr>
      </w:pPr>
      <w:r>
        <w:rPr>
          <w:rtl/>
        </w:rPr>
        <w:t>דברי הר"ן דבכזית בכא"פ לוקין עליו ובפחות אסור מדאו' ואין מלקות ובטעם כעיקר נח' רש"י ותוס'</w:t>
      </w:r>
    </w:p>
    <w:p w:rsidR="009A0058" w:rsidRDefault="009A0058" w:rsidP="009A0058">
      <w:pPr>
        <w:pStyle w:val="aff2"/>
        <w:numPr>
          <w:ilvl w:val="0"/>
          <w:numId w:val="3"/>
        </w:numPr>
        <w:rPr>
          <w:rFonts w:eastAsiaTheme="minorEastAsia" w:cstheme="minorBidi"/>
          <w:sz w:val="22"/>
          <w:szCs w:val="22"/>
          <w:rtl/>
        </w:rPr>
      </w:pPr>
      <w:r>
        <w:rPr>
          <w:rtl/>
        </w:rPr>
        <w:t>קושית הב"י על הר"ן דלדבריו ריו"ח איירי בנתערב גוף האיסור וטעם כעיקר בלא נתערב גוף האיסור</w:t>
      </w:r>
    </w:p>
    <w:p w:rsidR="009A0058" w:rsidRDefault="009A0058" w:rsidP="009A0058">
      <w:pPr>
        <w:pStyle w:val="aff2"/>
        <w:numPr>
          <w:ilvl w:val="0"/>
          <w:numId w:val="3"/>
        </w:numPr>
        <w:rPr>
          <w:rFonts w:eastAsiaTheme="minorEastAsia" w:cstheme="minorBidi"/>
          <w:sz w:val="22"/>
          <w:szCs w:val="22"/>
          <w:rtl/>
        </w:rPr>
      </w:pPr>
      <w:r>
        <w:rPr>
          <w:rtl/>
        </w:rPr>
        <w:t>ביאור הב"ח והפר"ח דכוונת הר"ן לומר דבטעמו וממשו אסור מדאו' בפחות מכזית בכא"פ</w:t>
      </w:r>
    </w:p>
    <w:p w:rsidR="009A0058" w:rsidRDefault="009A0058" w:rsidP="009A0058">
      <w:pPr>
        <w:pStyle w:val="aff2"/>
        <w:numPr>
          <w:ilvl w:val="0"/>
          <w:numId w:val="3"/>
        </w:numPr>
        <w:rPr>
          <w:rFonts w:eastAsiaTheme="minorEastAsia" w:cstheme="minorBidi"/>
          <w:sz w:val="22"/>
          <w:szCs w:val="22"/>
          <w:rtl/>
        </w:rPr>
      </w:pPr>
      <w:r>
        <w:rPr>
          <w:rtl/>
        </w:rPr>
        <w:t>ביאור הב"ח והפר"ח דמ"ש הר"ן דנח' רש"י ותוס' בטעם כעיקר כך ביאר בריו"ח טעמו ולא ממשו</w:t>
      </w:r>
    </w:p>
    <w:p w:rsidR="009A0058" w:rsidRDefault="009A0058" w:rsidP="009A0058">
      <w:pPr>
        <w:pStyle w:val="aff2"/>
        <w:numPr>
          <w:ilvl w:val="0"/>
          <w:numId w:val="3"/>
        </w:numPr>
        <w:rPr>
          <w:rFonts w:eastAsiaTheme="minorEastAsia" w:cstheme="minorBidi"/>
          <w:sz w:val="22"/>
          <w:szCs w:val="22"/>
          <w:rtl/>
        </w:rPr>
      </w:pPr>
      <w:r>
        <w:rPr>
          <w:rtl/>
        </w:rPr>
        <w:t>דברי הב"ח והמעדני יו"ט דכן מפורש בר"ן בע"ז דפחות מכזית בכא"פ הוא מדין טעמו וממשו</w:t>
      </w:r>
    </w:p>
    <w:p w:rsidR="009A0058" w:rsidRDefault="009A0058" w:rsidP="009A0058">
      <w:pPr>
        <w:pStyle w:val="aff2"/>
        <w:numPr>
          <w:ilvl w:val="0"/>
          <w:numId w:val="3"/>
        </w:numPr>
        <w:rPr>
          <w:rFonts w:eastAsiaTheme="minorEastAsia" w:cstheme="minorBidi"/>
          <w:sz w:val="22"/>
          <w:szCs w:val="22"/>
          <w:rtl/>
        </w:rPr>
      </w:pPr>
      <w:r>
        <w:rPr>
          <w:rtl/>
        </w:rPr>
        <w:t>קושית הב"ח על הר"ן דלרש"י טעמו וממשו הוא דוקא באיסור בעין שאינו ניכר ולא בנימוח</w:t>
      </w:r>
    </w:p>
    <w:p w:rsidR="009A0058" w:rsidRDefault="009A0058" w:rsidP="009A0058">
      <w:pPr>
        <w:pStyle w:val="2"/>
        <w:rPr>
          <w:rtl/>
        </w:rPr>
      </w:pPr>
      <w:r>
        <w:rPr>
          <w:rFonts w:hint="cs"/>
          <w:rtl/>
        </w:rPr>
        <w:t>בדין טעמו וממשו בלח בלח</w:t>
      </w:r>
    </w:p>
    <w:p w:rsidR="009A0058" w:rsidRDefault="009A0058" w:rsidP="009A0058">
      <w:pPr>
        <w:pStyle w:val="aff4"/>
        <w:rPr>
          <w:rFonts w:eastAsiaTheme="minorEastAsia" w:cstheme="minorBidi"/>
          <w:i/>
          <w:iCs/>
          <w:noProof/>
          <w:sz w:val="22"/>
          <w:szCs w:val="22"/>
          <w:rtl/>
        </w:rPr>
      </w:pPr>
      <w:r>
        <w:rPr>
          <w:noProof/>
          <w:rtl/>
        </w:rPr>
        <w:t>ביאור החוו"ד בחילוק בין איסור נימוח דהוא טעמו ללח בלח</w:t>
      </w:r>
    </w:p>
    <w:p w:rsidR="009A0058" w:rsidRDefault="009A0058" w:rsidP="009A0058">
      <w:pPr>
        <w:pStyle w:val="aff2"/>
        <w:numPr>
          <w:ilvl w:val="0"/>
          <w:numId w:val="3"/>
        </w:numPr>
        <w:rPr>
          <w:rFonts w:eastAsiaTheme="minorEastAsia" w:cstheme="minorBidi"/>
          <w:sz w:val="22"/>
          <w:szCs w:val="22"/>
          <w:rtl/>
        </w:rPr>
      </w:pPr>
      <w:r>
        <w:rPr>
          <w:rtl/>
        </w:rPr>
        <w:t>דברי החוו"ד דהא דאיסור נימוח חשיב טעמו הוא רק בנבלע בדבר גוש ולא בלח בלח</w:t>
      </w:r>
    </w:p>
    <w:p w:rsidR="009A0058" w:rsidRDefault="009A0058" w:rsidP="009A0058">
      <w:pPr>
        <w:pStyle w:val="aff2"/>
        <w:numPr>
          <w:ilvl w:val="0"/>
          <w:numId w:val="3"/>
        </w:numPr>
        <w:rPr>
          <w:rFonts w:eastAsiaTheme="minorEastAsia" w:cstheme="minorBidi"/>
          <w:sz w:val="22"/>
          <w:szCs w:val="22"/>
          <w:rtl/>
        </w:rPr>
      </w:pPr>
      <w:r>
        <w:rPr>
          <w:rtl/>
        </w:rPr>
        <w:t>דברי החוו"ד דחֵלֶב שנימוח הוא טעמו ולא ממשו ובגמ' בפסחים מבואר דלח בלח חשיב ממשו</w:t>
      </w:r>
    </w:p>
    <w:p w:rsidR="009A0058" w:rsidRDefault="009A0058" w:rsidP="009A0058">
      <w:pPr>
        <w:pStyle w:val="aff2"/>
        <w:numPr>
          <w:ilvl w:val="0"/>
          <w:numId w:val="3"/>
        </w:numPr>
        <w:rPr>
          <w:rFonts w:eastAsiaTheme="minorEastAsia" w:cstheme="minorBidi"/>
          <w:sz w:val="22"/>
          <w:szCs w:val="22"/>
          <w:rtl/>
        </w:rPr>
      </w:pPr>
      <w:r>
        <w:rPr>
          <w:rtl/>
        </w:rPr>
        <w:t>דברי החוו"ד דלח בלח אינו בלוע אלא תערובת אבל איסור שנימוח חשיב בלוע בתוך הגוש</w:t>
      </w:r>
    </w:p>
    <w:p w:rsidR="009A0058" w:rsidRDefault="009A0058" w:rsidP="009A0058">
      <w:pPr>
        <w:pStyle w:val="2"/>
        <w:rPr>
          <w:rFonts w:eastAsiaTheme="minorEastAsia" w:cstheme="minorBidi"/>
          <w:i/>
          <w:iCs/>
          <w:noProof/>
          <w:sz w:val="22"/>
          <w:szCs w:val="22"/>
          <w:rtl/>
        </w:rPr>
      </w:pPr>
      <w:r>
        <w:rPr>
          <w:noProof/>
          <w:rtl/>
        </w:rPr>
        <w:t>דעת התוס' בגדר טעמו ולא ממשו</w:t>
      </w:r>
    </w:p>
    <w:p w:rsidR="009A0058" w:rsidRDefault="009A0058" w:rsidP="009A0058">
      <w:pPr>
        <w:pStyle w:val="aff4"/>
        <w:rPr>
          <w:rFonts w:eastAsiaTheme="minorEastAsia" w:cstheme="minorBidi"/>
          <w:i/>
          <w:iCs/>
          <w:noProof/>
          <w:sz w:val="22"/>
          <w:szCs w:val="22"/>
          <w:rtl/>
        </w:rPr>
      </w:pPr>
      <w:r>
        <w:rPr>
          <w:noProof/>
          <w:rtl/>
        </w:rPr>
        <w:t>דברי התוס' בע"ז דחָלָב שנבלע בבשר הוא ממשו ואינו רק טעם</w:t>
      </w:r>
    </w:p>
    <w:p w:rsidR="009A0058" w:rsidRDefault="009A0058" w:rsidP="009A0058">
      <w:pPr>
        <w:pStyle w:val="aff2"/>
        <w:numPr>
          <w:ilvl w:val="0"/>
          <w:numId w:val="3"/>
        </w:numPr>
        <w:rPr>
          <w:rFonts w:eastAsiaTheme="minorEastAsia" w:cstheme="minorBidi"/>
          <w:sz w:val="22"/>
          <w:szCs w:val="22"/>
          <w:rtl/>
        </w:rPr>
      </w:pPr>
      <w:r>
        <w:rPr>
          <w:rtl/>
        </w:rPr>
        <w:t>קושית התוס' בע"ז דבבשר וחלב טעם כעיקר לכו"ע מדאו' דהא דרך בישול אסרה תורה</w:t>
      </w:r>
    </w:p>
    <w:p w:rsidR="009A0058" w:rsidRDefault="009A0058" w:rsidP="009A0058">
      <w:pPr>
        <w:pStyle w:val="aff2"/>
        <w:numPr>
          <w:ilvl w:val="0"/>
          <w:numId w:val="3"/>
        </w:numPr>
        <w:rPr>
          <w:rFonts w:eastAsiaTheme="minorEastAsia" w:cstheme="minorBidi"/>
          <w:sz w:val="22"/>
          <w:szCs w:val="22"/>
          <w:rtl/>
        </w:rPr>
      </w:pPr>
      <w:r>
        <w:rPr>
          <w:rtl/>
        </w:rPr>
        <w:t>דברי  התוס' בע"ז דבבשר בחָלָב הוא ממשו ולא רק טעמו דהא אוכל את ממשות הבשר</w:t>
      </w:r>
    </w:p>
    <w:p w:rsidR="009A0058" w:rsidRDefault="009A0058" w:rsidP="009A0058">
      <w:pPr>
        <w:pStyle w:val="aff2"/>
        <w:numPr>
          <w:ilvl w:val="0"/>
          <w:numId w:val="3"/>
        </w:numPr>
        <w:rPr>
          <w:rFonts w:eastAsiaTheme="minorEastAsia" w:cstheme="minorBidi"/>
          <w:sz w:val="22"/>
          <w:szCs w:val="22"/>
          <w:rtl/>
        </w:rPr>
      </w:pPr>
      <w:r>
        <w:rPr>
          <w:rtl/>
        </w:rPr>
        <w:t>דברי התוס' דטעמו ולא ממשו היינו בחֵלֶב שנימוח ונבלע בתוך הבשר</w:t>
      </w:r>
    </w:p>
    <w:p w:rsidR="009A0058" w:rsidRDefault="009A0058" w:rsidP="009A0058">
      <w:pPr>
        <w:pStyle w:val="aff2"/>
        <w:numPr>
          <w:ilvl w:val="0"/>
          <w:numId w:val="3"/>
        </w:numPr>
        <w:rPr>
          <w:rFonts w:eastAsiaTheme="minorEastAsia" w:cstheme="minorBidi"/>
          <w:sz w:val="22"/>
          <w:szCs w:val="22"/>
          <w:rtl/>
        </w:rPr>
      </w:pPr>
      <w:r>
        <w:rPr>
          <w:rtl/>
        </w:rPr>
        <w:t>ביאור הפר"ח והרש"ש דאיסור שהשתנה מברייתו ונימוח חשיב טעם אבל חָלָב הוא ממשו</w:t>
      </w:r>
    </w:p>
    <w:p w:rsidR="009A0058" w:rsidRDefault="009A0058" w:rsidP="009A0058">
      <w:pPr>
        <w:pStyle w:val="aff4"/>
        <w:rPr>
          <w:rFonts w:eastAsiaTheme="minorEastAsia" w:cstheme="minorBidi"/>
          <w:i/>
          <w:iCs/>
          <w:noProof/>
          <w:sz w:val="22"/>
          <w:szCs w:val="22"/>
          <w:rtl/>
        </w:rPr>
      </w:pPr>
      <w:r>
        <w:rPr>
          <w:noProof/>
          <w:rtl/>
        </w:rPr>
        <w:t>דברי התוס' דא"א לומר דס"ל לריו"ח דטעם כעיקר דרבנן</w:t>
      </w:r>
    </w:p>
    <w:p w:rsidR="009A0058" w:rsidRDefault="009A0058" w:rsidP="009A0058">
      <w:pPr>
        <w:pStyle w:val="aff2"/>
        <w:numPr>
          <w:ilvl w:val="0"/>
          <w:numId w:val="3"/>
        </w:numPr>
        <w:rPr>
          <w:rFonts w:eastAsiaTheme="minorEastAsia" w:cstheme="minorBidi"/>
          <w:sz w:val="22"/>
          <w:szCs w:val="22"/>
          <w:rtl/>
        </w:rPr>
      </w:pPr>
      <w:r>
        <w:rPr>
          <w:rtl/>
        </w:rPr>
        <w:t>קושית ר"ת בספר הישר דמדברי ריו"ח משמע דס"ל דטעם כעיקר דרבנן</w:t>
      </w:r>
    </w:p>
    <w:p w:rsidR="009A0058" w:rsidRDefault="009A0058" w:rsidP="009A0058">
      <w:pPr>
        <w:pStyle w:val="aff2"/>
        <w:numPr>
          <w:ilvl w:val="0"/>
          <w:numId w:val="3"/>
        </w:numPr>
        <w:rPr>
          <w:rFonts w:eastAsiaTheme="minorEastAsia" w:cstheme="minorBidi"/>
          <w:sz w:val="22"/>
          <w:szCs w:val="22"/>
          <w:rtl/>
        </w:rPr>
      </w:pPr>
      <w:r>
        <w:rPr>
          <w:rtl/>
        </w:rPr>
        <w:t>דברי ר"ת בספר הישר דטעמו ולא ממשו הוא לשון הגמ' והיינו טעם כעיקר בלשון הברייתא</w:t>
      </w:r>
    </w:p>
    <w:p w:rsidR="009A0058" w:rsidRDefault="009A0058" w:rsidP="009A0058">
      <w:pPr>
        <w:pStyle w:val="aff4"/>
        <w:rPr>
          <w:rFonts w:eastAsiaTheme="minorEastAsia" w:cstheme="minorBidi"/>
          <w:i/>
          <w:iCs/>
          <w:noProof/>
          <w:sz w:val="22"/>
          <w:szCs w:val="22"/>
          <w:rtl/>
        </w:rPr>
      </w:pPr>
      <w:r>
        <w:rPr>
          <w:noProof/>
          <w:rtl/>
        </w:rPr>
        <w:lastRenderedPageBreak/>
        <w:t>ביאור התוס' בריו"ח במין במינו דבאיסור בעין לוקין והטעם בטל</w:t>
      </w:r>
    </w:p>
    <w:p w:rsidR="009A0058" w:rsidRDefault="009A0058" w:rsidP="009A0058">
      <w:pPr>
        <w:pStyle w:val="aff2"/>
        <w:numPr>
          <w:ilvl w:val="0"/>
          <w:numId w:val="3"/>
        </w:numPr>
        <w:rPr>
          <w:rFonts w:eastAsiaTheme="minorEastAsia" w:cstheme="minorBidi"/>
          <w:sz w:val="22"/>
          <w:szCs w:val="22"/>
          <w:rtl/>
        </w:rPr>
      </w:pPr>
      <w:r>
        <w:rPr>
          <w:rtl/>
        </w:rPr>
        <w:t>דברי התוס' דריו"ח דאמר דאין לוקין על טעמו בלא ממשו היינו במין במינו דמדאו' מהני ביטול ברוב</w:t>
      </w:r>
    </w:p>
    <w:p w:rsidR="009A0058" w:rsidRDefault="009A0058" w:rsidP="009A0058">
      <w:pPr>
        <w:pStyle w:val="aff2"/>
        <w:numPr>
          <w:ilvl w:val="0"/>
          <w:numId w:val="3"/>
        </w:numPr>
        <w:rPr>
          <w:rFonts w:eastAsiaTheme="minorEastAsia" w:cstheme="minorBidi"/>
          <w:sz w:val="22"/>
          <w:szCs w:val="22"/>
          <w:rtl/>
        </w:rPr>
      </w:pPr>
      <w:r>
        <w:rPr>
          <w:rtl/>
        </w:rPr>
        <w:t>ביאור התוס' והרא"ש והרשב"א דבמין במינו אין לוקין אף בממשו דאינו ניכר ובטל ברוב</w:t>
      </w:r>
    </w:p>
    <w:p w:rsidR="009A0058" w:rsidRDefault="009A0058" w:rsidP="009A0058">
      <w:pPr>
        <w:pStyle w:val="aff2"/>
        <w:numPr>
          <w:ilvl w:val="0"/>
          <w:numId w:val="3"/>
        </w:numPr>
        <w:rPr>
          <w:rFonts w:eastAsiaTheme="minorEastAsia" w:cstheme="minorBidi"/>
          <w:sz w:val="22"/>
          <w:szCs w:val="22"/>
          <w:rtl/>
        </w:rPr>
      </w:pPr>
      <w:r>
        <w:rPr>
          <w:rtl/>
        </w:rPr>
        <w:t>ביאור התוס' והרא"ש דריו"ח נקט טעמו ולא ממשו לחדש דמין במינו אסור אף שאינו נותן טעם</w:t>
      </w:r>
    </w:p>
    <w:p w:rsidR="009A0058" w:rsidRDefault="009A0058" w:rsidP="009A0058">
      <w:pPr>
        <w:pStyle w:val="aff2"/>
        <w:numPr>
          <w:ilvl w:val="0"/>
          <w:numId w:val="3"/>
        </w:numPr>
        <w:rPr>
          <w:rFonts w:eastAsiaTheme="minorEastAsia" w:cstheme="minorBidi"/>
          <w:sz w:val="22"/>
          <w:szCs w:val="22"/>
          <w:rtl/>
        </w:rPr>
      </w:pPr>
      <w:r>
        <w:rPr>
          <w:rtl/>
        </w:rPr>
        <w:t>דברי הרשב"א והתוס' הרא"ש דבמין בשאינו מינו אף לריו"ח טעמו ולא ממשו הוא דאו' ולוקין עליו</w:t>
      </w:r>
    </w:p>
    <w:p w:rsidR="009A0058" w:rsidRDefault="009A0058" w:rsidP="009A0058">
      <w:pPr>
        <w:pStyle w:val="aff2"/>
        <w:numPr>
          <w:ilvl w:val="0"/>
          <w:numId w:val="3"/>
        </w:numPr>
        <w:rPr>
          <w:rFonts w:eastAsiaTheme="minorEastAsia" w:cstheme="minorBidi"/>
          <w:sz w:val="22"/>
          <w:szCs w:val="22"/>
          <w:rtl/>
        </w:rPr>
      </w:pPr>
      <w:r>
        <w:rPr>
          <w:rtl/>
        </w:rPr>
        <w:t>ביאור הרמב"ן בשם ר"ת דטעמו ולא ממשו היינו שהטעם מורגש אך לא ניכר דהוא מין במינו</w:t>
      </w:r>
    </w:p>
    <w:p w:rsidR="009A0058" w:rsidRDefault="009A0058" w:rsidP="009A0058">
      <w:pPr>
        <w:pStyle w:val="aff2"/>
        <w:numPr>
          <w:ilvl w:val="0"/>
          <w:numId w:val="3"/>
        </w:numPr>
        <w:rPr>
          <w:rFonts w:eastAsiaTheme="minorEastAsia" w:cstheme="minorBidi"/>
          <w:sz w:val="22"/>
          <w:szCs w:val="22"/>
          <w:rtl/>
        </w:rPr>
      </w:pPr>
      <w:r>
        <w:rPr>
          <w:rtl/>
        </w:rPr>
        <w:t>ביאור הרמב"ן בשם ר"ת דבטעמו וממשו האיסור ניכר דהוא בעין במין במינו ולכן לוקין עליו</w:t>
      </w:r>
    </w:p>
    <w:p w:rsidR="009A0058" w:rsidRDefault="009A0058" w:rsidP="009A0058">
      <w:pPr>
        <w:pStyle w:val="aff2"/>
        <w:numPr>
          <w:ilvl w:val="0"/>
          <w:numId w:val="3"/>
        </w:numPr>
        <w:rPr>
          <w:rFonts w:eastAsiaTheme="minorEastAsia" w:cstheme="minorBidi"/>
          <w:sz w:val="22"/>
          <w:szCs w:val="22"/>
          <w:rtl/>
        </w:rPr>
      </w:pPr>
      <w:r>
        <w:rPr>
          <w:rtl/>
        </w:rPr>
        <w:t>דחיית הרמב"ן דבדברי אביי לקמן מוכח דטעמו ולא ממשו היינו מין בשאינו מינו</w:t>
      </w:r>
    </w:p>
    <w:p w:rsidR="009A0058" w:rsidRDefault="009A0058" w:rsidP="009A0058">
      <w:pPr>
        <w:pStyle w:val="2"/>
        <w:rPr>
          <w:rFonts w:eastAsiaTheme="minorEastAsia" w:cstheme="minorBidi"/>
          <w:i/>
          <w:iCs/>
          <w:noProof/>
          <w:sz w:val="22"/>
          <w:szCs w:val="22"/>
          <w:rtl/>
        </w:rPr>
      </w:pPr>
      <w:r>
        <w:rPr>
          <w:noProof/>
          <w:rtl/>
        </w:rPr>
        <w:t>דעת הראשונים דממשו הוא כזית בכא"פ</w:t>
      </w:r>
    </w:p>
    <w:p w:rsidR="009A0058" w:rsidRDefault="009A0058" w:rsidP="009A0058">
      <w:pPr>
        <w:pStyle w:val="aff4"/>
        <w:rPr>
          <w:rFonts w:eastAsiaTheme="minorEastAsia" w:cstheme="minorBidi"/>
          <w:i/>
          <w:iCs/>
          <w:noProof/>
          <w:sz w:val="22"/>
          <w:szCs w:val="22"/>
          <w:rtl/>
        </w:rPr>
      </w:pPr>
      <w:r>
        <w:rPr>
          <w:noProof/>
          <w:rtl/>
        </w:rPr>
        <w:t>דברי הראב"ד דטעם אינו מתבטל ולוקין רק בכזית בכא"פ</w:t>
      </w:r>
    </w:p>
    <w:p w:rsidR="009A0058" w:rsidRDefault="009A0058" w:rsidP="009A0058">
      <w:pPr>
        <w:pStyle w:val="aff2"/>
        <w:numPr>
          <w:ilvl w:val="0"/>
          <w:numId w:val="3"/>
        </w:numPr>
        <w:rPr>
          <w:rFonts w:eastAsiaTheme="minorEastAsia" w:cstheme="minorBidi"/>
          <w:sz w:val="22"/>
          <w:szCs w:val="22"/>
          <w:rtl/>
        </w:rPr>
      </w:pPr>
      <w:r>
        <w:rPr>
          <w:rtl/>
        </w:rPr>
        <w:t>ביאור הראב"ד דבטעמו ולא ממשו אין כזית בכא"פ ואסור מדאו' ואין בו מלקות</w:t>
      </w:r>
    </w:p>
    <w:p w:rsidR="009A0058" w:rsidRDefault="009A0058" w:rsidP="009A0058">
      <w:pPr>
        <w:pStyle w:val="aff2"/>
        <w:numPr>
          <w:ilvl w:val="0"/>
          <w:numId w:val="3"/>
        </w:numPr>
        <w:rPr>
          <w:rFonts w:eastAsiaTheme="minorEastAsia" w:cstheme="minorBidi"/>
          <w:sz w:val="22"/>
          <w:szCs w:val="22"/>
          <w:rtl/>
        </w:rPr>
      </w:pPr>
      <w:r>
        <w:rPr>
          <w:rtl/>
        </w:rPr>
        <w:t>דברי הראב"ד דלרבנן אין מלקות בטעם כעיקר ולר"ע יש מלקות בטעם כעיקר</w:t>
      </w:r>
    </w:p>
    <w:p w:rsidR="009A0058" w:rsidRDefault="009A0058" w:rsidP="009A0058">
      <w:pPr>
        <w:pStyle w:val="aff2"/>
        <w:numPr>
          <w:ilvl w:val="0"/>
          <w:numId w:val="3"/>
        </w:numPr>
        <w:rPr>
          <w:rFonts w:eastAsiaTheme="minorEastAsia" w:cstheme="minorBidi"/>
          <w:sz w:val="22"/>
          <w:szCs w:val="22"/>
          <w:rtl/>
        </w:rPr>
      </w:pPr>
      <w:r>
        <w:rPr>
          <w:rtl/>
        </w:rPr>
        <w:t>דברי הראב"ד דריו"ח ס"ל כרבנן דכל שאין האיסור ניכר בטעם או מראה אין לוקין בפחות מכא"פ</w:t>
      </w:r>
    </w:p>
    <w:p w:rsidR="009A0058" w:rsidRDefault="009A0058" w:rsidP="009A0058">
      <w:pPr>
        <w:pStyle w:val="aff2"/>
        <w:numPr>
          <w:ilvl w:val="0"/>
          <w:numId w:val="3"/>
        </w:numPr>
        <w:rPr>
          <w:rFonts w:eastAsiaTheme="minorEastAsia" w:cstheme="minorBidi"/>
          <w:sz w:val="22"/>
          <w:szCs w:val="22"/>
          <w:rtl/>
        </w:rPr>
      </w:pPr>
      <w:r>
        <w:rPr>
          <w:rtl/>
        </w:rPr>
        <w:t>דברי הראב"ד דכל שהאיסור נותן טעם בהיתר חשיב הטעם בעין ואינו מתבטל ברוב</w:t>
      </w:r>
    </w:p>
    <w:p w:rsidR="009A0058" w:rsidRDefault="009A0058" w:rsidP="009A0058">
      <w:pPr>
        <w:pStyle w:val="aff2"/>
        <w:numPr>
          <w:ilvl w:val="0"/>
          <w:numId w:val="3"/>
        </w:numPr>
        <w:rPr>
          <w:rFonts w:eastAsiaTheme="minorEastAsia" w:cstheme="minorBidi"/>
          <w:sz w:val="22"/>
          <w:szCs w:val="22"/>
          <w:rtl/>
        </w:rPr>
      </w:pPr>
      <w:r>
        <w:rPr>
          <w:rtl/>
        </w:rPr>
        <w:t>דברי הראב"ד דטעמו וממשו היינו שיש כזית בכא"פ דמחמת הטעם האיסור לא מתבטל בהיתר</w:t>
      </w:r>
    </w:p>
    <w:p w:rsidR="009A0058" w:rsidRDefault="009A0058" w:rsidP="009A0058">
      <w:pPr>
        <w:pStyle w:val="aff2"/>
        <w:numPr>
          <w:ilvl w:val="0"/>
          <w:numId w:val="3"/>
        </w:numPr>
        <w:rPr>
          <w:rFonts w:eastAsiaTheme="minorEastAsia" w:cstheme="minorBidi"/>
          <w:sz w:val="22"/>
          <w:szCs w:val="22"/>
          <w:rtl/>
        </w:rPr>
      </w:pPr>
      <w:r>
        <w:rPr>
          <w:rtl/>
        </w:rPr>
        <w:t>דברי הראב"ד דטעמו ולא ממשו היינו בפחות מכזית בכא"פ דהאיסור חשיב בעין אך אין לוקין עליו</w:t>
      </w:r>
    </w:p>
    <w:p w:rsidR="009A0058" w:rsidRDefault="009A0058" w:rsidP="009A0058">
      <w:pPr>
        <w:pStyle w:val="aff4"/>
        <w:rPr>
          <w:rFonts w:eastAsiaTheme="minorEastAsia" w:cstheme="minorBidi"/>
          <w:i/>
          <w:iCs/>
          <w:noProof/>
          <w:sz w:val="22"/>
          <w:szCs w:val="22"/>
          <w:rtl/>
        </w:rPr>
      </w:pPr>
      <w:r>
        <w:rPr>
          <w:noProof/>
          <w:rtl/>
        </w:rPr>
        <w:t>דעת רבינו חיים ורבינו אליהו דבשיעור כזית בכא"פ הוי ממשו</w:t>
      </w:r>
    </w:p>
    <w:p w:rsidR="009A0058" w:rsidRDefault="009A0058" w:rsidP="009A0058">
      <w:pPr>
        <w:pStyle w:val="aff2"/>
        <w:numPr>
          <w:ilvl w:val="0"/>
          <w:numId w:val="3"/>
        </w:numPr>
        <w:rPr>
          <w:rFonts w:eastAsiaTheme="minorEastAsia" w:cstheme="minorBidi"/>
          <w:sz w:val="22"/>
          <w:szCs w:val="22"/>
          <w:rtl/>
        </w:rPr>
      </w:pPr>
      <w:r>
        <w:rPr>
          <w:rtl/>
        </w:rPr>
        <w:t>דעת רבינו אליהו ורבינו חיים דבמקום שיש כזית בכדי אכילת פרס חשיב ממשו</w:t>
      </w:r>
    </w:p>
    <w:p w:rsidR="009A0058" w:rsidRDefault="009A0058" w:rsidP="009A0058">
      <w:pPr>
        <w:pStyle w:val="aff2"/>
        <w:numPr>
          <w:ilvl w:val="0"/>
          <w:numId w:val="3"/>
        </w:numPr>
        <w:rPr>
          <w:rFonts w:eastAsiaTheme="minorEastAsia" w:cstheme="minorBidi"/>
          <w:sz w:val="22"/>
          <w:szCs w:val="22"/>
          <w:rtl/>
        </w:rPr>
      </w:pPr>
      <w:r>
        <w:rPr>
          <w:rtl/>
        </w:rPr>
        <w:t>דברי הרא"ש בשם רבינו חיים דכיון שמעורב כ"כ הרבה מהאיסור חשיב שכולו נעשה איסור</w:t>
      </w:r>
    </w:p>
    <w:p w:rsidR="009A0058" w:rsidRDefault="009A0058" w:rsidP="009A0058">
      <w:pPr>
        <w:pStyle w:val="aff2"/>
        <w:numPr>
          <w:ilvl w:val="0"/>
          <w:numId w:val="3"/>
        </w:numPr>
        <w:rPr>
          <w:rFonts w:eastAsiaTheme="minorEastAsia" w:cstheme="minorBidi"/>
          <w:sz w:val="22"/>
          <w:szCs w:val="22"/>
          <w:rtl/>
        </w:rPr>
      </w:pPr>
      <w:r>
        <w:rPr>
          <w:rtl/>
        </w:rPr>
        <w:t>דעת רבינו אליהו ורבינו חיים דבמקום שאין כזית בכדי אכילת פרס חשיב טעמו ולא ממשו</w:t>
      </w:r>
    </w:p>
    <w:p w:rsidR="009A0058" w:rsidRDefault="009A0058" w:rsidP="009A0058">
      <w:pPr>
        <w:pStyle w:val="aff2"/>
        <w:numPr>
          <w:ilvl w:val="0"/>
          <w:numId w:val="3"/>
        </w:numPr>
        <w:rPr>
          <w:rFonts w:eastAsiaTheme="minorEastAsia" w:cstheme="minorBidi"/>
          <w:sz w:val="22"/>
          <w:szCs w:val="22"/>
          <w:rtl/>
        </w:rPr>
      </w:pPr>
      <w:r>
        <w:rPr>
          <w:rtl/>
        </w:rPr>
        <w:t>דברי הרשב"א בשם ר"י דבפחות מכזית בכא"פ אסור מדאו' מדין חצי שיעור</w:t>
      </w:r>
    </w:p>
    <w:p w:rsidR="009A0058" w:rsidRDefault="009A0058" w:rsidP="009A0058">
      <w:pPr>
        <w:pStyle w:val="aff2"/>
        <w:numPr>
          <w:ilvl w:val="0"/>
          <w:numId w:val="3"/>
        </w:numPr>
        <w:rPr>
          <w:rFonts w:eastAsiaTheme="minorEastAsia" w:cstheme="minorBidi"/>
          <w:sz w:val="22"/>
          <w:szCs w:val="22"/>
          <w:rtl/>
        </w:rPr>
      </w:pPr>
      <w:r>
        <w:rPr>
          <w:rtl/>
        </w:rPr>
        <w:t>ביאור הרא"ש בשם רבינו חיים דבפחות מכא"פ לא מסתבר דכולו נהפך לאיסור</w:t>
      </w:r>
    </w:p>
    <w:p w:rsidR="009A0058" w:rsidRDefault="009A0058" w:rsidP="009A0058">
      <w:pPr>
        <w:pStyle w:val="aff2"/>
        <w:numPr>
          <w:ilvl w:val="0"/>
          <w:numId w:val="3"/>
        </w:numPr>
        <w:rPr>
          <w:rFonts w:eastAsiaTheme="minorEastAsia" w:cstheme="minorBidi"/>
          <w:sz w:val="22"/>
          <w:szCs w:val="22"/>
          <w:rtl/>
        </w:rPr>
      </w:pPr>
      <w:r>
        <w:rPr>
          <w:rtl/>
        </w:rPr>
        <w:t>קושית הרשב"א דבדברי אביי מוכח טעמו ולא ממשו דאו' וכזית בכא"פ דרבנן</w:t>
      </w:r>
    </w:p>
    <w:p w:rsidR="009A0058" w:rsidRDefault="009A0058" w:rsidP="009A0058">
      <w:pPr>
        <w:pStyle w:val="aff4"/>
        <w:rPr>
          <w:rFonts w:eastAsiaTheme="minorEastAsia" w:cstheme="minorBidi"/>
          <w:i/>
          <w:iCs/>
          <w:noProof/>
          <w:sz w:val="22"/>
          <w:szCs w:val="22"/>
          <w:rtl/>
        </w:rPr>
      </w:pPr>
      <w:r>
        <w:rPr>
          <w:noProof/>
          <w:rtl/>
        </w:rPr>
        <w:t>דעת הר</w:t>
      </w:r>
      <w:r w:rsidRPr="00B95EA1">
        <w:rPr>
          <w:rFonts w:cs="Guttman Adii-Light"/>
          <w:noProof/>
          <w:rtl/>
        </w:rPr>
        <w:t>"</w:t>
      </w:r>
      <w:r>
        <w:rPr>
          <w:noProof/>
          <w:rtl/>
        </w:rPr>
        <w:t>י מאורליינש דטעמו ולא ממשו הוא אף בכזית בכא"פ</w:t>
      </w:r>
    </w:p>
    <w:p w:rsidR="009A0058" w:rsidRDefault="009A0058" w:rsidP="009A0058">
      <w:pPr>
        <w:pStyle w:val="aff2"/>
        <w:numPr>
          <w:ilvl w:val="0"/>
          <w:numId w:val="3"/>
        </w:numPr>
        <w:rPr>
          <w:rFonts w:eastAsiaTheme="minorEastAsia" w:cstheme="minorBidi"/>
          <w:sz w:val="22"/>
          <w:szCs w:val="22"/>
          <w:rtl/>
        </w:rPr>
      </w:pPr>
      <w:r>
        <w:rPr>
          <w:rtl/>
        </w:rPr>
        <w:t>דברי הר"י מאורליינש דבגיעולי עכו"ם יש רק עשה ולא לאו ולכן אין לוקין בטע"כ אף כבזית בכא"פ</w:t>
      </w:r>
    </w:p>
    <w:p w:rsidR="009A0058" w:rsidRDefault="009A0058" w:rsidP="009A0058">
      <w:pPr>
        <w:pStyle w:val="aff2"/>
        <w:numPr>
          <w:ilvl w:val="0"/>
          <w:numId w:val="3"/>
        </w:numPr>
        <w:rPr>
          <w:rFonts w:eastAsiaTheme="minorEastAsia" w:cstheme="minorBidi"/>
          <w:sz w:val="22"/>
          <w:szCs w:val="22"/>
          <w:rtl/>
        </w:rPr>
      </w:pPr>
      <w:r>
        <w:rPr>
          <w:rtl/>
        </w:rPr>
        <w:t>דחיית ר"ת דאחר שלא קיים את העשה חזר הטעם לאיסורו ויש בו מלקות</w:t>
      </w:r>
    </w:p>
    <w:p w:rsidR="009A0058" w:rsidRDefault="009A0058" w:rsidP="009A0058">
      <w:pPr>
        <w:pStyle w:val="aff2"/>
        <w:numPr>
          <w:ilvl w:val="0"/>
          <w:numId w:val="3"/>
        </w:numPr>
        <w:rPr>
          <w:rFonts w:eastAsiaTheme="minorEastAsia" w:cstheme="minorBidi"/>
          <w:sz w:val="22"/>
          <w:szCs w:val="22"/>
          <w:rtl/>
        </w:rPr>
      </w:pPr>
      <w:r>
        <w:rPr>
          <w:rtl/>
        </w:rPr>
        <w:t>דברי התוס' דאפש"ל כר"י מאורליינש דבגיעולי עכו"ם לא חזר הלאו ונשאר רק איסור עשה</w:t>
      </w:r>
    </w:p>
    <w:p w:rsidR="009A0058" w:rsidRDefault="009A0058" w:rsidP="009A0058">
      <w:pPr>
        <w:pStyle w:val="2"/>
        <w:rPr>
          <w:rFonts w:eastAsiaTheme="minorEastAsia" w:cstheme="minorBidi"/>
          <w:i/>
          <w:iCs/>
          <w:noProof/>
          <w:sz w:val="22"/>
          <w:szCs w:val="22"/>
          <w:rtl/>
        </w:rPr>
      </w:pPr>
      <w:r>
        <w:rPr>
          <w:noProof/>
          <w:rtl/>
        </w:rPr>
        <w:t>ביאור</w:t>
      </w:r>
      <w:r>
        <w:rPr>
          <w:rFonts w:hint="cs"/>
          <w:noProof/>
          <w:rtl/>
        </w:rPr>
        <w:t>י הראשונים</w:t>
      </w:r>
      <w:r>
        <w:rPr>
          <w:noProof/>
          <w:rtl/>
        </w:rPr>
        <w:t xml:space="preserve"> בגדר טעמו ולא ממשו</w:t>
      </w:r>
    </w:p>
    <w:p w:rsidR="009A0058" w:rsidRDefault="009A0058" w:rsidP="009A0058">
      <w:pPr>
        <w:pStyle w:val="aff4"/>
        <w:rPr>
          <w:rFonts w:eastAsiaTheme="minorEastAsia" w:cstheme="minorBidi"/>
          <w:i/>
          <w:iCs/>
          <w:noProof/>
          <w:sz w:val="22"/>
          <w:szCs w:val="22"/>
          <w:rtl/>
        </w:rPr>
      </w:pPr>
      <w:r>
        <w:rPr>
          <w:noProof/>
          <w:rtl/>
        </w:rPr>
        <w:t>דברי הרמב"ן והרשב"א דכל שאין גוף האיסור בעין חשיב טעמו</w:t>
      </w:r>
    </w:p>
    <w:p w:rsidR="009A0058" w:rsidRDefault="009A0058" w:rsidP="009A0058">
      <w:pPr>
        <w:pStyle w:val="aff2"/>
        <w:numPr>
          <w:ilvl w:val="0"/>
          <w:numId w:val="3"/>
        </w:numPr>
        <w:rPr>
          <w:rFonts w:eastAsiaTheme="minorEastAsia" w:cstheme="minorBidi"/>
          <w:sz w:val="22"/>
          <w:szCs w:val="22"/>
          <w:rtl/>
        </w:rPr>
      </w:pPr>
      <w:r>
        <w:rPr>
          <w:rtl/>
        </w:rPr>
        <w:t>דברי הרמב"ן והרשב"א דטעמו הוא כשגוף האיסור אינו בתערובת או שאבד בו או בבליעת איסור</w:t>
      </w:r>
    </w:p>
    <w:p w:rsidR="009A0058" w:rsidRDefault="009A0058" w:rsidP="009A0058">
      <w:pPr>
        <w:pStyle w:val="aff2"/>
        <w:numPr>
          <w:ilvl w:val="0"/>
          <w:numId w:val="3"/>
        </w:numPr>
        <w:rPr>
          <w:rFonts w:eastAsiaTheme="minorEastAsia" w:cstheme="minorBidi"/>
          <w:sz w:val="22"/>
          <w:szCs w:val="22"/>
          <w:rtl/>
        </w:rPr>
      </w:pPr>
      <w:r>
        <w:rPr>
          <w:rtl/>
        </w:rPr>
        <w:t>דברי הב"י והפר"ח דלהרשב"א גוף האיסור שנימוח חשיב טעמו ולא ממשו</w:t>
      </w:r>
    </w:p>
    <w:p w:rsidR="009A0058" w:rsidRDefault="009A0058" w:rsidP="009A0058">
      <w:pPr>
        <w:pStyle w:val="aff2"/>
        <w:numPr>
          <w:ilvl w:val="0"/>
          <w:numId w:val="3"/>
        </w:numPr>
        <w:rPr>
          <w:rFonts w:eastAsiaTheme="minorEastAsia" w:cstheme="minorBidi"/>
          <w:sz w:val="22"/>
          <w:szCs w:val="22"/>
          <w:rtl/>
        </w:rPr>
      </w:pPr>
      <w:r>
        <w:rPr>
          <w:rtl/>
        </w:rPr>
        <w:t>ביאור הרשב"א בשם התוס' דבבשר שהתבשל בחלב שייך רק טעמו ולא שייך ממשו</w:t>
      </w:r>
    </w:p>
    <w:p w:rsidR="009A0058" w:rsidRDefault="009A0058" w:rsidP="009A0058">
      <w:pPr>
        <w:pStyle w:val="aff2"/>
        <w:numPr>
          <w:ilvl w:val="0"/>
          <w:numId w:val="3"/>
        </w:numPr>
        <w:rPr>
          <w:rFonts w:eastAsiaTheme="minorEastAsia" w:cstheme="minorBidi"/>
          <w:sz w:val="22"/>
          <w:szCs w:val="22"/>
          <w:rtl/>
        </w:rPr>
      </w:pPr>
      <w:r>
        <w:rPr>
          <w:rtl/>
        </w:rPr>
        <w:t>ביאור הרמב"ן והרשב"א דהטעם כעיקר כיון דע"י הטעם חשיב שנמחה ממשו של האיסור</w:t>
      </w:r>
    </w:p>
    <w:p w:rsidR="009A0058" w:rsidRDefault="00BF6BED" w:rsidP="004D1C5B">
      <w:pPr>
        <w:pStyle w:val="TOC9"/>
        <w:rPr>
          <w:rFonts w:eastAsiaTheme="minorEastAsia" w:cstheme="minorBidi"/>
          <w:sz w:val="22"/>
          <w:szCs w:val="22"/>
          <w:rtl/>
        </w:rPr>
      </w:pPr>
      <w:r w:rsidRPr="00BF6BED">
        <w:rPr>
          <w:rtl/>
        </w:rPr>
        <w:t xml:space="preserve">דברי רבינו יונה דבשרה ענבים במים יש ממשות ולא רק טעם ודברי היד </w:t>
      </w:r>
      <w:r w:rsidRPr="00BF6BED">
        <w:rPr>
          <w:rtl/>
        </w:rPr>
        <w:t>יהודה דהחוש מוכיח כן</w:t>
      </w:r>
    </w:p>
    <w:p w:rsidR="009A0058" w:rsidRDefault="009A0058" w:rsidP="009A0058">
      <w:pPr>
        <w:pStyle w:val="aff2"/>
        <w:numPr>
          <w:ilvl w:val="0"/>
          <w:numId w:val="3"/>
        </w:numPr>
        <w:rPr>
          <w:rFonts w:eastAsiaTheme="minorEastAsia" w:cstheme="minorBidi"/>
          <w:sz w:val="22"/>
          <w:szCs w:val="22"/>
          <w:rtl/>
        </w:rPr>
      </w:pPr>
      <w:r>
        <w:rPr>
          <w:rtl/>
        </w:rPr>
        <w:t>דברי הב"י דאין כוונת הרשב"א לומר דלרש"י חלב הבלוע בבשר הוי ממשו</w:t>
      </w:r>
    </w:p>
    <w:p w:rsidR="009A0058" w:rsidRDefault="009A0058" w:rsidP="009A0058">
      <w:pPr>
        <w:pStyle w:val="aff4"/>
        <w:rPr>
          <w:rFonts w:eastAsiaTheme="minorEastAsia" w:cstheme="minorBidi"/>
          <w:i/>
          <w:iCs/>
          <w:noProof/>
          <w:sz w:val="22"/>
          <w:szCs w:val="22"/>
          <w:rtl/>
        </w:rPr>
      </w:pPr>
      <w:r>
        <w:rPr>
          <w:noProof/>
          <w:rtl/>
        </w:rPr>
        <w:t>דברי הריטב"א דכזית בכא"פ שנימוח חשיב טעמו ולא ממשו</w:t>
      </w:r>
    </w:p>
    <w:p w:rsidR="009A0058" w:rsidRDefault="009A0058" w:rsidP="009A0058">
      <w:pPr>
        <w:pStyle w:val="aff2"/>
        <w:numPr>
          <w:ilvl w:val="0"/>
          <w:numId w:val="3"/>
        </w:numPr>
        <w:rPr>
          <w:rFonts w:eastAsiaTheme="minorEastAsia" w:cstheme="minorBidi"/>
          <w:sz w:val="22"/>
          <w:szCs w:val="22"/>
          <w:rtl/>
        </w:rPr>
      </w:pPr>
      <w:r>
        <w:rPr>
          <w:rtl/>
        </w:rPr>
        <w:t>ביאור הריטב"א דאיסור שהיה בתחילה כזית בכא"פ ונימוח בתערובת הוי טעמו ולא ממשו</w:t>
      </w:r>
    </w:p>
    <w:p w:rsidR="009A0058" w:rsidRDefault="009A0058" w:rsidP="009A0058">
      <w:pPr>
        <w:pStyle w:val="aff2"/>
        <w:numPr>
          <w:ilvl w:val="0"/>
          <w:numId w:val="3"/>
        </w:numPr>
        <w:rPr>
          <w:rFonts w:eastAsiaTheme="minorEastAsia" w:cstheme="minorBidi"/>
          <w:sz w:val="22"/>
          <w:szCs w:val="22"/>
          <w:rtl/>
        </w:rPr>
      </w:pPr>
      <w:r>
        <w:rPr>
          <w:rtl/>
        </w:rPr>
        <w:t>דברי הריטב"א בע"ז דבטעמו וממשו כיון שיש הטעם חשיב שאכל איסור בעין ולא בתערובת</w:t>
      </w:r>
    </w:p>
    <w:p w:rsidR="009A0058" w:rsidRDefault="009A0058" w:rsidP="009A0058">
      <w:pPr>
        <w:pStyle w:val="aff4"/>
        <w:rPr>
          <w:rFonts w:eastAsiaTheme="minorEastAsia" w:cstheme="minorBidi"/>
          <w:i/>
          <w:iCs/>
          <w:noProof/>
          <w:sz w:val="22"/>
          <w:szCs w:val="22"/>
          <w:rtl/>
        </w:rPr>
      </w:pPr>
      <w:r>
        <w:rPr>
          <w:noProof/>
          <w:rtl/>
        </w:rPr>
        <w:t>דברי הרא"ה דאף שהאיסור נימוח הטעם לא בטל מדין הטמאים</w:t>
      </w:r>
    </w:p>
    <w:p w:rsidR="009A0058" w:rsidRDefault="009A0058" w:rsidP="009A0058">
      <w:pPr>
        <w:pStyle w:val="aff2"/>
        <w:numPr>
          <w:ilvl w:val="0"/>
          <w:numId w:val="3"/>
        </w:numPr>
        <w:rPr>
          <w:rFonts w:eastAsiaTheme="minorEastAsia" w:cstheme="minorBidi"/>
          <w:sz w:val="22"/>
          <w:szCs w:val="22"/>
          <w:rtl/>
        </w:rPr>
      </w:pPr>
      <w:r>
        <w:rPr>
          <w:rtl/>
        </w:rPr>
        <w:t>דברי הרא"ה דטעמו ולא ממשו הוא כשאין את גוף האיסור או שנימוח האיסור ואינו ניכר כבב"ח</w:t>
      </w:r>
    </w:p>
    <w:p w:rsidR="009A0058" w:rsidRDefault="009A0058" w:rsidP="009A0058">
      <w:pPr>
        <w:pStyle w:val="aff2"/>
        <w:numPr>
          <w:ilvl w:val="0"/>
          <w:numId w:val="3"/>
        </w:numPr>
        <w:rPr>
          <w:rFonts w:eastAsiaTheme="minorEastAsia" w:cstheme="minorBidi"/>
          <w:sz w:val="22"/>
          <w:szCs w:val="22"/>
          <w:rtl/>
        </w:rPr>
      </w:pPr>
      <w:r>
        <w:rPr>
          <w:rtl/>
        </w:rPr>
        <w:t>דברי הרא"ה דבמקום שהאיסור נימוח ונתערב בהיתר מדאו' הוא בטל ברוב ואינו בכלל "הטמאים"</w:t>
      </w:r>
    </w:p>
    <w:p w:rsidR="009A0058" w:rsidRDefault="009A0058" w:rsidP="009A0058">
      <w:pPr>
        <w:pStyle w:val="aff4"/>
        <w:rPr>
          <w:rFonts w:eastAsiaTheme="minorEastAsia" w:cstheme="minorBidi"/>
          <w:i/>
          <w:iCs/>
          <w:noProof/>
          <w:sz w:val="22"/>
          <w:szCs w:val="22"/>
          <w:rtl/>
        </w:rPr>
      </w:pPr>
      <w:r>
        <w:rPr>
          <w:noProof/>
          <w:rtl/>
        </w:rPr>
        <w:t>דברי הר"ן דיש ג' אופנים בטעם כעיקר</w:t>
      </w:r>
    </w:p>
    <w:p w:rsidR="009A0058" w:rsidRDefault="009A0058" w:rsidP="009A0058">
      <w:pPr>
        <w:pStyle w:val="aff2"/>
        <w:numPr>
          <w:ilvl w:val="0"/>
          <w:numId w:val="3"/>
        </w:numPr>
        <w:rPr>
          <w:rFonts w:eastAsiaTheme="minorEastAsia" w:cstheme="minorBidi"/>
          <w:sz w:val="22"/>
          <w:szCs w:val="22"/>
          <w:rtl/>
        </w:rPr>
      </w:pPr>
      <w:r>
        <w:rPr>
          <w:rtl/>
        </w:rPr>
        <w:t>דברי הר"ן דכשיש בהיתר רק את טעם האיסור ילפינן ממשרת דאף שאין מגוף הענבים במים אסור</w:t>
      </w:r>
    </w:p>
    <w:p w:rsidR="009A0058" w:rsidRDefault="00A25FA5" w:rsidP="004D1C5B">
      <w:pPr>
        <w:pStyle w:val="TOC9"/>
        <w:rPr>
          <w:rFonts w:eastAsiaTheme="minorEastAsia" w:cstheme="minorBidi"/>
          <w:sz w:val="22"/>
          <w:szCs w:val="22"/>
          <w:rtl/>
        </w:rPr>
      </w:pPr>
      <w:r w:rsidRPr="00A25FA5">
        <w:rPr>
          <w:rtl/>
        </w:rPr>
        <w:t>דברי רבינו יונה דבשרה ענבים במים יש ממשות ולא רק טעם ודברי היד יהודה דהחוש מוכיח כן</w:t>
      </w:r>
    </w:p>
    <w:p w:rsidR="009A0058" w:rsidRDefault="009A0058" w:rsidP="009A0058">
      <w:pPr>
        <w:pStyle w:val="aff2"/>
        <w:numPr>
          <w:ilvl w:val="0"/>
          <w:numId w:val="3"/>
        </w:numPr>
        <w:rPr>
          <w:rFonts w:eastAsiaTheme="minorEastAsia" w:cstheme="minorBidi"/>
          <w:sz w:val="22"/>
          <w:szCs w:val="22"/>
          <w:rtl/>
        </w:rPr>
      </w:pPr>
      <w:r>
        <w:rPr>
          <w:rtl/>
        </w:rPr>
        <w:t>דברי הר"ן דכשיש בהיתר את פליטת האיסור ולא את גופו ילפינן מגיעולי עכו"ם דאסור</w:t>
      </w:r>
    </w:p>
    <w:p w:rsidR="009A0058" w:rsidRDefault="009A0058" w:rsidP="009A0058">
      <w:pPr>
        <w:pStyle w:val="aff2"/>
        <w:numPr>
          <w:ilvl w:val="0"/>
          <w:numId w:val="3"/>
        </w:numPr>
        <w:rPr>
          <w:rFonts w:eastAsiaTheme="minorEastAsia" w:cstheme="minorBidi"/>
          <w:sz w:val="22"/>
          <w:szCs w:val="22"/>
          <w:rtl/>
        </w:rPr>
      </w:pPr>
      <w:r>
        <w:rPr>
          <w:rtl/>
        </w:rPr>
        <w:t>דברי הר"ן דכשמעורב בהיתר את גוף האיסור וטעמו ילפינן מבשר בחלב דאסור</w:t>
      </w:r>
    </w:p>
    <w:p w:rsidR="009A0058" w:rsidRDefault="009A0058" w:rsidP="009A0058">
      <w:pPr>
        <w:pStyle w:val="aff2"/>
        <w:numPr>
          <w:ilvl w:val="0"/>
          <w:numId w:val="3"/>
        </w:numPr>
        <w:rPr>
          <w:rFonts w:eastAsiaTheme="minorEastAsia" w:cstheme="minorBidi"/>
          <w:sz w:val="22"/>
          <w:szCs w:val="22"/>
          <w:rtl/>
        </w:rPr>
      </w:pPr>
      <w:r>
        <w:rPr>
          <w:rtl/>
        </w:rPr>
        <w:t>דברי הר"ן דלח בלח חשיב עיקרו של איסור אבל חלב שבלוע בבשר נקרא טעם כעיקר</w:t>
      </w:r>
    </w:p>
    <w:p w:rsidR="009A0058" w:rsidRPr="007E0C12" w:rsidRDefault="009A0058" w:rsidP="009A0058">
      <w:pPr>
        <w:pStyle w:val="aff4"/>
        <w:rPr>
          <w:rtl/>
        </w:rPr>
      </w:pPr>
      <w:r w:rsidRPr="007E0C12">
        <w:rPr>
          <w:rFonts w:hint="cs"/>
          <w:rtl/>
        </w:rPr>
        <w:t xml:space="preserve">דעת הבעה"מ דטעם כעיקר הוא </w:t>
      </w:r>
      <w:r>
        <w:rPr>
          <w:rFonts w:hint="cs"/>
          <w:rtl/>
        </w:rPr>
        <w:t>ב</w:t>
      </w:r>
      <w:r w:rsidRPr="007E0C12">
        <w:rPr>
          <w:rFonts w:hint="cs"/>
          <w:rtl/>
        </w:rPr>
        <w:t>נמחה ממשו</w:t>
      </w:r>
      <w:r>
        <w:rPr>
          <w:rFonts w:hint="cs"/>
          <w:rtl/>
        </w:rPr>
        <w:t xml:space="preserve"> ואין בו מלקות</w:t>
      </w:r>
    </w:p>
    <w:p w:rsidR="009A0058" w:rsidRPr="007E0C12" w:rsidRDefault="009A0058" w:rsidP="009A0058">
      <w:pPr>
        <w:pStyle w:val="aff2"/>
        <w:numPr>
          <w:ilvl w:val="0"/>
          <w:numId w:val="3"/>
        </w:numPr>
        <w:rPr>
          <w:rtl/>
        </w:rPr>
      </w:pPr>
      <w:r>
        <w:rPr>
          <w:rFonts w:hint="cs"/>
          <w:rtl/>
        </w:rPr>
        <w:t>דברי הבעה"מ דטעמו ולא ממשו הוא רק באיסור שנימוח ולא ניכר ובכזית בכא"פ ואין בו מלקות</w:t>
      </w:r>
    </w:p>
    <w:p w:rsidR="009A0058" w:rsidRDefault="009A0058" w:rsidP="009A0058">
      <w:pPr>
        <w:pStyle w:val="aff2"/>
        <w:numPr>
          <w:ilvl w:val="0"/>
          <w:numId w:val="3"/>
        </w:numPr>
        <w:rPr>
          <w:rFonts w:eastAsiaTheme="minorEastAsia" w:cstheme="minorBidi"/>
          <w:sz w:val="22"/>
          <w:szCs w:val="22"/>
          <w:rtl/>
        </w:rPr>
      </w:pPr>
      <w:r>
        <w:rPr>
          <w:rtl/>
        </w:rPr>
        <w:t>דברי הבעה"מ דטעמו וממשו היינו שגוף האיסור ניכר בתערובת ונותן בה טעם  וטעמו היינו בנימוח</w:t>
      </w:r>
    </w:p>
    <w:p w:rsidR="009A0058" w:rsidRDefault="009A0058" w:rsidP="009A0058">
      <w:pPr>
        <w:pStyle w:val="2"/>
        <w:rPr>
          <w:rFonts w:eastAsiaTheme="minorEastAsia" w:cstheme="minorBidi"/>
          <w:i/>
          <w:iCs/>
          <w:noProof/>
          <w:sz w:val="22"/>
          <w:szCs w:val="22"/>
          <w:rtl/>
        </w:rPr>
      </w:pPr>
      <w:r>
        <w:rPr>
          <w:noProof/>
          <w:rtl/>
        </w:rPr>
        <w:t>פלוגתת ר"ת והרמב"ן והרא"ש בגדר ממשו</w:t>
      </w:r>
    </w:p>
    <w:p w:rsidR="009A0058" w:rsidRDefault="009A0058" w:rsidP="009A0058">
      <w:pPr>
        <w:pStyle w:val="aff4"/>
        <w:rPr>
          <w:rFonts w:eastAsiaTheme="minorEastAsia" w:cstheme="minorBidi"/>
          <w:i/>
          <w:iCs/>
          <w:noProof/>
          <w:sz w:val="22"/>
          <w:szCs w:val="22"/>
          <w:rtl/>
        </w:rPr>
      </w:pPr>
      <w:r>
        <w:rPr>
          <w:noProof/>
          <w:rtl/>
        </w:rPr>
        <w:t>דעת ר"ת דבעיסת אורז יש רק טעם דגן ואינו ממשו</w:t>
      </w:r>
    </w:p>
    <w:p w:rsidR="009A0058" w:rsidRDefault="009A0058" w:rsidP="009A0058">
      <w:pPr>
        <w:pStyle w:val="aff2"/>
        <w:numPr>
          <w:ilvl w:val="0"/>
          <w:numId w:val="3"/>
        </w:numPr>
        <w:rPr>
          <w:rFonts w:eastAsiaTheme="minorEastAsia" w:cstheme="minorBidi"/>
          <w:sz w:val="22"/>
          <w:szCs w:val="22"/>
          <w:rtl/>
        </w:rPr>
      </w:pPr>
      <w:r>
        <w:rPr>
          <w:rtl/>
        </w:rPr>
        <w:t>קושית ר"ת דבעיסה שרובה אורז ויש בה טעם דגן דינה כעיסת חיטין ומוכח דטע"כ דאו'</w:t>
      </w:r>
    </w:p>
    <w:p w:rsidR="009A0058" w:rsidRDefault="009A0058" w:rsidP="009A0058">
      <w:pPr>
        <w:pStyle w:val="aff2"/>
        <w:numPr>
          <w:ilvl w:val="0"/>
          <w:numId w:val="3"/>
        </w:numPr>
        <w:rPr>
          <w:rFonts w:eastAsiaTheme="minorEastAsia" w:cstheme="minorBidi"/>
          <w:sz w:val="22"/>
          <w:szCs w:val="22"/>
          <w:rtl/>
        </w:rPr>
      </w:pPr>
      <w:r>
        <w:rPr>
          <w:rtl/>
        </w:rPr>
        <w:t>ביאור הרא"ש דכיון שיש בעיסה טעם דגן אזלינן בתר הטעם וחשיבא כולה כעיסת חיטין</w:t>
      </w:r>
    </w:p>
    <w:p w:rsidR="009A0058" w:rsidRDefault="009A0058" w:rsidP="009A0058">
      <w:pPr>
        <w:pStyle w:val="aff4"/>
        <w:rPr>
          <w:rFonts w:eastAsiaTheme="minorEastAsia" w:cstheme="minorBidi"/>
          <w:i/>
          <w:iCs/>
          <w:noProof/>
          <w:sz w:val="22"/>
          <w:szCs w:val="22"/>
          <w:rtl/>
        </w:rPr>
      </w:pPr>
      <w:r>
        <w:rPr>
          <w:noProof/>
          <w:rtl/>
        </w:rPr>
        <w:t>ביאור הי"א ברא"ש ברש"י דהחיטין ריבו את העיסה והוי ממשו</w:t>
      </w:r>
    </w:p>
    <w:p w:rsidR="009A0058" w:rsidRDefault="009A0058" w:rsidP="009A0058">
      <w:pPr>
        <w:pStyle w:val="aff2"/>
        <w:numPr>
          <w:ilvl w:val="0"/>
          <w:numId w:val="3"/>
        </w:numPr>
        <w:rPr>
          <w:rFonts w:eastAsiaTheme="minorEastAsia" w:cstheme="minorBidi"/>
          <w:sz w:val="22"/>
          <w:szCs w:val="22"/>
          <w:rtl/>
        </w:rPr>
      </w:pPr>
      <w:r>
        <w:rPr>
          <w:rtl/>
        </w:rPr>
        <w:t>תירוץ הרא"ש בשם י"א דבעיסת אורז יש ממשות של חיטין כיון שהיא מתרבה ע"י החיטין</w:t>
      </w:r>
    </w:p>
    <w:p w:rsidR="009A0058" w:rsidRDefault="009A0058" w:rsidP="009A0058">
      <w:pPr>
        <w:pStyle w:val="aff4"/>
        <w:rPr>
          <w:rFonts w:eastAsiaTheme="minorEastAsia" w:cstheme="minorBidi"/>
          <w:i/>
          <w:iCs/>
          <w:noProof/>
          <w:sz w:val="22"/>
          <w:szCs w:val="22"/>
          <w:rtl/>
        </w:rPr>
      </w:pPr>
      <w:r>
        <w:rPr>
          <w:noProof/>
          <w:rtl/>
        </w:rPr>
        <w:t>דעת הרא"ש דלא חשיב ממשו וביש טעם דגן נעשית כולה כדגן</w:t>
      </w:r>
    </w:p>
    <w:p w:rsidR="009A0058" w:rsidRDefault="009A0058" w:rsidP="009A0058">
      <w:pPr>
        <w:pStyle w:val="aff2"/>
        <w:numPr>
          <w:ilvl w:val="0"/>
          <w:numId w:val="3"/>
        </w:numPr>
        <w:rPr>
          <w:rFonts w:eastAsiaTheme="minorEastAsia" w:cstheme="minorBidi"/>
          <w:sz w:val="22"/>
          <w:szCs w:val="22"/>
          <w:rtl/>
        </w:rPr>
      </w:pPr>
      <w:r>
        <w:rPr>
          <w:rtl/>
        </w:rPr>
        <w:t>דחיית הרא"ש דריבוי העיסה ע"י החיטין לא חשיב שיש בה ממשות חיטין</w:t>
      </w:r>
    </w:p>
    <w:p w:rsidR="009A0058" w:rsidRDefault="009A0058" w:rsidP="009A0058">
      <w:pPr>
        <w:pStyle w:val="aff2"/>
        <w:numPr>
          <w:ilvl w:val="0"/>
          <w:numId w:val="3"/>
        </w:numPr>
        <w:rPr>
          <w:rFonts w:eastAsiaTheme="minorEastAsia" w:cstheme="minorBidi"/>
          <w:sz w:val="22"/>
          <w:szCs w:val="22"/>
          <w:rtl/>
        </w:rPr>
      </w:pPr>
      <w:r>
        <w:rPr>
          <w:rtl/>
        </w:rPr>
        <w:t>דברי הרא"ש בשם ר"ת דכיון שיש בה טעם דגן נהפכה כל העיסה לעיסת דגן</w:t>
      </w:r>
    </w:p>
    <w:p w:rsidR="009A0058" w:rsidRDefault="009A0058" w:rsidP="009A0058">
      <w:pPr>
        <w:pStyle w:val="aff2"/>
        <w:numPr>
          <w:ilvl w:val="0"/>
          <w:numId w:val="3"/>
        </w:numPr>
        <w:rPr>
          <w:rFonts w:eastAsiaTheme="minorEastAsia" w:cstheme="minorBidi"/>
          <w:sz w:val="22"/>
          <w:szCs w:val="22"/>
          <w:rtl/>
        </w:rPr>
      </w:pPr>
      <w:r>
        <w:rPr>
          <w:rtl/>
        </w:rPr>
        <w:t>דחיית היש"ש דהחיטין שבעיסה לא השתנו ממה שהיו ולכן חשיב שממשות החיטין בתוך העיסה</w:t>
      </w:r>
    </w:p>
    <w:p w:rsidR="009A0058" w:rsidRDefault="009A0058" w:rsidP="009A0058">
      <w:pPr>
        <w:pStyle w:val="aff4"/>
        <w:rPr>
          <w:rFonts w:eastAsiaTheme="minorEastAsia" w:cstheme="minorBidi"/>
          <w:i/>
          <w:iCs/>
          <w:noProof/>
          <w:sz w:val="22"/>
          <w:szCs w:val="22"/>
          <w:rtl/>
        </w:rPr>
      </w:pPr>
      <w:r>
        <w:rPr>
          <w:noProof/>
          <w:rtl/>
        </w:rPr>
        <w:t>ביאור הרמב"ן דבעיסת אורז החיטין הם ממשו ולא רק טעמו</w:t>
      </w:r>
    </w:p>
    <w:p w:rsidR="009A0058" w:rsidRDefault="009A0058" w:rsidP="009A0058">
      <w:pPr>
        <w:pStyle w:val="aff2"/>
        <w:numPr>
          <w:ilvl w:val="0"/>
          <w:numId w:val="3"/>
        </w:numPr>
        <w:rPr>
          <w:rFonts w:eastAsiaTheme="minorEastAsia" w:cstheme="minorBidi"/>
          <w:sz w:val="22"/>
          <w:szCs w:val="22"/>
          <w:rtl/>
        </w:rPr>
      </w:pPr>
      <w:r>
        <w:rPr>
          <w:rtl/>
        </w:rPr>
        <w:t>ביאור הרמב"ן והרשב"א ברש"י דבעיסת אורז החיטים הם טעמו וממשו ואינו טעמו ולא ממשו</w:t>
      </w:r>
    </w:p>
    <w:p w:rsidR="009A0058" w:rsidRDefault="009A0058" w:rsidP="009A0058">
      <w:pPr>
        <w:pStyle w:val="aff2"/>
        <w:numPr>
          <w:ilvl w:val="0"/>
          <w:numId w:val="3"/>
        </w:numPr>
        <w:rPr>
          <w:rFonts w:eastAsiaTheme="minorEastAsia" w:cstheme="minorBidi"/>
          <w:sz w:val="22"/>
          <w:szCs w:val="22"/>
          <w:rtl/>
        </w:rPr>
      </w:pPr>
      <w:r>
        <w:rPr>
          <w:rtl/>
        </w:rPr>
        <w:t>דברי הר"ן דבמקום שמעורב גוף האיסור מדאו' לא בטל הטעם אפילו באלף</w:t>
      </w:r>
    </w:p>
    <w:p w:rsidR="009A0058" w:rsidRDefault="009A0058" w:rsidP="009A0058">
      <w:pPr>
        <w:pStyle w:val="aff2"/>
        <w:numPr>
          <w:ilvl w:val="0"/>
          <w:numId w:val="3"/>
        </w:numPr>
        <w:rPr>
          <w:rFonts w:eastAsiaTheme="minorEastAsia" w:cstheme="minorBidi"/>
          <w:sz w:val="22"/>
          <w:szCs w:val="22"/>
          <w:rtl/>
        </w:rPr>
      </w:pPr>
      <w:r>
        <w:rPr>
          <w:rtl/>
        </w:rPr>
        <w:t>דברי הרמב"ן בדעת רש"י דטעמו ולא ממשו הוא רק באופן שהעיקר אינו בעין בתערובת</w:t>
      </w:r>
    </w:p>
    <w:p w:rsidR="009A0058" w:rsidRDefault="009A0058" w:rsidP="009A0058">
      <w:pPr>
        <w:pStyle w:val="aff2"/>
        <w:numPr>
          <w:ilvl w:val="0"/>
          <w:numId w:val="3"/>
        </w:numPr>
        <w:rPr>
          <w:rFonts w:eastAsiaTheme="minorEastAsia" w:cstheme="minorBidi"/>
          <w:sz w:val="22"/>
          <w:szCs w:val="22"/>
          <w:rtl/>
        </w:rPr>
        <w:sectPr w:rsidR="009A0058" w:rsidSect="007C6A7B">
          <w:type w:val="continuous"/>
          <w:pgSz w:w="11906" w:h="16838"/>
          <w:pgMar w:top="720" w:right="720" w:bottom="720" w:left="720" w:header="283" w:footer="283" w:gutter="0"/>
          <w:cols w:num="2" w:space="113"/>
          <w:bidi/>
          <w:rtlGutter/>
          <w:docGrid w:linePitch="299"/>
        </w:sectPr>
      </w:pPr>
      <w:r>
        <w:rPr>
          <w:rtl/>
        </w:rPr>
        <w:t>דברי הרמב"ן דבטעמו וממשו ל"מ ביטול ברוב אבל בטעמו ולא ממשו או ממשו ולא טעמו מהני</w:t>
      </w:r>
    </w:p>
    <w:p w:rsidR="009A0058" w:rsidRDefault="009A0058" w:rsidP="009A0058">
      <w:pPr>
        <w:pStyle w:val="aff2"/>
        <w:rPr>
          <w:rFonts w:eastAsiaTheme="minorEastAsia" w:cstheme="minorBidi"/>
          <w:sz w:val="22"/>
          <w:szCs w:val="22"/>
          <w:rtl/>
        </w:rPr>
      </w:pPr>
    </w:p>
    <w:p w:rsidR="009A0058" w:rsidRPr="007E0C12" w:rsidRDefault="009A0058" w:rsidP="009A0058">
      <w:pPr>
        <w:pStyle w:val="aff4"/>
        <w:rPr>
          <w:rtl/>
        </w:rPr>
        <w:sectPr w:rsidR="009A0058" w:rsidRPr="007E0C12" w:rsidSect="007C6A7B">
          <w:type w:val="continuous"/>
          <w:pgSz w:w="11906" w:h="16838"/>
          <w:pgMar w:top="720" w:right="720" w:bottom="720" w:left="720" w:header="283" w:footer="283" w:gutter="0"/>
          <w:cols w:num="2" w:space="113"/>
          <w:bidi/>
          <w:rtlGutter/>
          <w:docGrid w:linePitch="299"/>
        </w:sectPr>
      </w:pPr>
      <w:r w:rsidRPr="007E0C12">
        <w:rPr>
          <w:rtl/>
        </w:rPr>
        <w:fldChar w:fldCharType="end"/>
      </w:r>
    </w:p>
    <w:p w:rsidR="009A0058" w:rsidRPr="007E0C12" w:rsidRDefault="009A0058" w:rsidP="00E669F8">
      <w:pPr>
        <w:pStyle w:val="afd"/>
        <w:rPr>
          <w:rtl/>
        </w:rPr>
      </w:pPr>
      <w:bookmarkStart w:id="5657" w:name="_Toc13045636"/>
      <w:bookmarkStart w:id="5658" w:name="_Toc13134821"/>
      <w:bookmarkStart w:id="5659" w:name="_Toc13244678"/>
      <w:bookmarkStart w:id="5660" w:name="_Toc13396623"/>
      <w:bookmarkStart w:id="5661" w:name="_Toc13418640"/>
      <w:bookmarkStart w:id="5662" w:name="_Toc13516473"/>
      <w:bookmarkStart w:id="5663" w:name="_Toc13562560"/>
      <w:bookmarkStart w:id="5664" w:name="_Toc13568528"/>
      <w:bookmarkStart w:id="5665" w:name="_Toc13603119"/>
      <w:bookmarkStart w:id="5666" w:name="_Toc13603222"/>
      <w:bookmarkStart w:id="5667" w:name="_Toc13657762"/>
      <w:bookmarkStart w:id="5668" w:name="_Toc13663918"/>
      <w:r w:rsidRPr="007E0C12">
        <w:rPr>
          <w:rFonts w:hint="cs"/>
          <w:rtl/>
        </w:rPr>
        <w:lastRenderedPageBreak/>
        <w:t>מראי מקומות וביאורים</w:t>
      </w:r>
      <w:bookmarkEnd w:id="5657"/>
      <w:bookmarkEnd w:id="5658"/>
      <w:bookmarkEnd w:id="5659"/>
      <w:bookmarkEnd w:id="5660"/>
      <w:bookmarkEnd w:id="5661"/>
      <w:bookmarkEnd w:id="5662"/>
      <w:bookmarkEnd w:id="5663"/>
      <w:bookmarkEnd w:id="5664"/>
      <w:bookmarkEnd w:id="5665"/>
      <w:bookmarkEnd w:id="5666"/>
      <w:bookmarkEnd w:id="5667"/>
      <w:bookmarkEnd w:id="5668"/>
    </w:p>
    <w:p w:rsidR="009A0058" w:rsidRPr="007E0C12" w:rsidRDefault="009A0058" w:rsidP="009A0058">
      <w:pPr>
        <w:pStyle w:val="2"/>
        <w:keepNext w:val="0"/>
        <w:keepLines w:val="0"/>
        <w:bidi w:val="0"/>
        <w:rPr>
          <w:rFonts w:asciiTheme="minorHAnsi" w:hAnsiTheme="minorHAnsi"/>
          <w:bCs/>
          <w:sz w:val="18"/>
          <w:szCs w:val="28"/>
          <w:rtl/>
        </w:rPr>
        <w:sectPr w:rsidR="009A0058" w:rsidRPr="007E0C12" w:rsidSect="00B71D8D">
          <w:pgSz w:w="11906" w:h="16838"/>
          <w:pgMar w:top="720" w:right="720" w:bottom="720" w:left="720" w:header="283" w:footer="283" w:gutter="0"/>
          <w:cols w:space="720"/>
          <w:bidi/>
          <w:rtlGutter/>
          <w:docGrid w:linePitch="299"/>
        </w:sectPr>
      </w:pPr>
    </w:p>
    <w:p w:rsidR="009A0058" w:rsidRPr="007E0C12" w:rsidRDefault="009A0058" w:rsidP="00E669F8">
      <w:pPr>
        <w:pStyle w:val="afd"/>
        <w:rPr>
          <w:rtl/>
        </w:rPr>
      </w:pPr>
      <w:bookmarkStart w:id="5669" w:name="_Toc13418641"/>
      <w:bookmarkStart w:id="5670" w:name="_Toc13516474"/>
      <w:bookmarkStart w:id="5671" w:name="_Toc13562561"/>
      <w:bookmarkStart w:id="5672" w:name="_Toc13568529"/>
      <w:bookmarkStart w:id="5673" w:name="_Toc13603120"/>
      <w:bookmarkStart w:id="5674" w:name="_Toc13603223"/>
      <w:bookmarkStart w:id="5675" w:name="_Toc13657763"/>
      <w:bookmarkStart w:id="5676" w:name="_Toc13663919"/>
      <w:r w:rsidRPr="007E0C12">
        <w:rPr>
          <w:rFonts w:hint="cs"/>
          <w:rtl/>
        </w:rPr>
        <w:t xml:space="preserve">דברי רש"י מהו ממשו </w:t>
      </w:r>
      <w:bookmarkEnd w:id="5669"/>
      <w:bookmarkEnd w:id="5670"/>
      <w:bookmarkEnd w:id="5671"/>
      <w:r w:rsidRPr="007E0C12">
        <w:rPr>
          <w:rFonts w:hint="cs"/>
          <w:rtl/>
        </w:rPr>
        <w:t>ומהו טעמו</w:t>
      </w:r>
      <w:bookmarkEnd w:id="5672"/>
      <w:bookmarkEnd w:id="5673"/>
      <w:bookmarkEnd w:id="5674"/>
      <w:bookmarkEnd w:id="5675"/>
      <w:bookmarkEnd w:id="5676"/>
    </w:p>
    <w:p w:rsidR="009A0058" w:rsidRPr="007E0C12" w:rsidRDefault="009A0058" w:rsidP="009A0058">
      <w:pPr>
        <w:pStyle w:val="1"/>
        <w:rPr>
          <w:rtl/>
        </w:rPr>
      </w:pPr>
      <w:bookmarkStart w:id="5677" w:name="_Toc13568530"/>
      <w:bookmarkStart w:id="5678" w:name="_Toc13603121"/>
      <w:bookmarkStart w:id="5679" w:name="_Toc13603224"/>
      <w:bookmarkStart w:id="5680" w:name="_Toc13657764"/>
      <w:bookmarkStart w:id="5681" w:name="_Toc13663920"/>
      <w:r w:rsidRPr="007E0C12">
        <w:rPr>
          <w:rFonts w:hint="cs"/>
          <w:rtl/>
        </w:rPr>
        <w:t>דברי רש"י דמבואר מדברי ריו"ח דס"ל דטעם כעיקר דרבנן</w:t>
      </w:r>
      <w:bookmarkEnd w:id="5677"/>
      <w:bookmarkEnd w:id="5678"/>
      <w:bookmarkEnd w:id="5679"/>
      <w:bookmarkEnd w:id="5680"/>
      <w:bookmarkEnd w:id="5681"/>
    </w:p>
    <w:p w:rsidR="009A0058" w:rsidRPr="007E0C12" w:rsidRDefault="009A0058" w:rsidP="009A0058">
      <w:pPr>
        <w:pStyle w:val="a2"/>
      </w:pPr>
      <w:bookmarkStart w:id="5682" w:name="_Toc13134822"/>
      <w:bookmarkStart w:id="5683" w:name="_Toc13244679"/>
      <w:bookmarkStart w:id="5684" w:name="_Toc13396624"/>
      <w:bookmarkStart w:id="5685" w:name="_Toc13418643"/>
      <w:bookmarkStart w:id="5686" w:name="_Toc13516476"/>
      <w:bookmarkStart w:id="5687" w:name="_Toc13562564"/>
      <w:bookmarkStart w:id="5688" w:name="_Toc13568531"/>
      <w:bookmarkStart w:id="5689" w:name="_Toc13603122"/>
      <w:bookmarkStart w:id="5690" w:name="_Toc13603225"/>
      <w:bookmarkStart w:id="5691" w:name="_Toc13657765"/>
      <w:bookmarkStart w:id="5692" w:name="_Toc13663921"/>
      <w:bookmarkStart w:id="5693" w:name="_Toc13418642"/>
      <w:bookmarkStart w:id="5694" w:name="_Toc13516475"/>
      <w:bookmarkStart w:id="5695" w:name="_Toc13562562"/>
      <w:r w:rsidRPr="007E0C12">
        <w:rPr>
          <w:rFonts w:hint="cs"/>
          <w:rtl/>
        </w:rPr>
        <w:t>דברי רש"י דלרבא וריו"ח טעם כעיקר דרבנן ולא ילפינן ממשרת ומגיעולי עכו"ם לטעם כעיקר</w:t>
      </w:r>
      <w:bookmarkEnd w:id="5682"/>
      <w:bookmarkEnd w:id="5683"/>
      <w:bookmarkEnd w:id="5684"/>
      <w:bookmarkEnd w:id="5685"/>
      <w:bookmarkEnd w:id="5686"/>
      <w:bookmarkEnd w:id="5687"/>
      <w:bookmarkEnd w:id="5688"/>
      <w:bookmarkEnd w:id="5689"/>
      <w:bookmarkEnd w:id="5690"/>
      <w:bookmarkEnd w:id="5691"/>
      <w:bookmarkEnd w:id="5692"/>
    </w:p>
    <w:p w:rsidR="009A0058" w:rsidRPr="009F44AF" w:rsidRDefault="009A0058" w:rsidP="009F44AF">
      <w:pPr>
        <w:pStyle w:val="a"/>
        <w:numPr>
          <w:ilvl w:val="0"/>
          <w:numId w:val="19"/>
        </w:numPr>
        <w:rPr>
          <w:rStyle w:val="af6"/>
          <w:rFonts w:eastAsia="Guttman Hodes"/>
          <w:rtl/>
        </w:rPr>
      </w:pPr>
      <w:bookmarkStart w:id="5696" w:name="_Ref13568615"/>
      <w:r w:rsidRPr="007E0C12">
        <w:rPr>
          <w:rFonts w:hint="cs"/>
          <w:rtl/>
        </w:rPr>
        <w:t xml:space="preserve">כתב </w:t>
      </w:r>
      <w:r w:rsidRPr="007E0C12">
        <w:rPr>
          <w:rStyle w:val="af8"/>
          <w:rFonts w:hint="cs"/>
          <w:rtl/>
        </w:rPr>
        <w:t>רש"י</w:t>
      </w:r>
      <w:r w:rsidRPr="007E0C12">
        <w:rPr>
          <w:rFonts w:hint="cs"/>
          <w:rtl/>
        </w:rPr>
        <w:t xml:space="preserve"> </w:t>
      </w:r>
      <w:r w:rsidRPr="007E0C12">
        <w:rPr>
          <w:rStyle w:val="af8"/>
          <w:rFonts w:hint="cs"/>
          <w:rtl/>
        </w:rPr>
        <w:t xml:space="preserve">בסוגיין </w:t>
      </w:r>
      <w:r w:rsidRPr="009F44AF">
        <w:rPr>
          <w:rStyle w:val="af6"/>
          <w:rFonts w:eastAsia="Guttman Hodes" w:hint="cs"/>
          <w:rtl/>
        </w:rPr>
        <w:t xml:space="preserve">(ד"ה לטעם כעיקר) </w:t>
      </w:r>
      <w:r w:rsidRPr="007E0C12">
        <w:rPr>
          <w:rFonts w:hint="cs"/>
          <w:rtl/>
        </w:rPr>
        <w:t>דרבא דאמר דטעם כעיקר בקדשים הוא דאו', ס"ל דבחולין טעם כעיקר אינו מדאו' אלא מדרבנן, וכן דעת ריו"ח בע"ז</w:t>
      </w:r>
      <w:r w:rsidRPr="009F44AF">
        <w:rPr>
          <w:rStyle w:val="af6"/>
          <w:rFonts w:eastAsia="Guttman Hodes" w:hint="cs"/>
          <w:rtl/>
        </w:rPr>
        <w:t xml:space="preserve"> </w:t>
      </w:r>
      <w:r w:rsidRPr="007E0C12">
        <w:rPr>
          <w:rFonts w:hint="cs"/>
          <w:rtl/>
        </w:rPr>
        <w:t xml:space="preserve">דאמר דטעמו ולא ממשו אין לוקין עליו, אבל מדאו' הטעם בטל ברוב, מדין אחרי רבים להטות, והוסיף </w:t>
      </w:r>
      <w:r w:rsidRPr="007E0C12">
        <w:rPr>
          <w:rStyle w:val="af8"/>
          <w:rFonts w:hint="cs"/>
          <w:rtl/>
        </w:rPr>
        <w:t>רש"י</w:t>
      </w:r>
      <w:r w:rsidRPr="007E0C12">
        <w:rPr>
          <w:rFonts w:hint="cs"/>
          <w:rtl/>
        </w:rPr>
        <w:t xml:space="preserve"> דלדעת רבא וריו"ח לא ילפינן ממשרת ומייעולי עכו"ם לטעם כעיקר דהוא אסמכתא, או דהם ב' כתובים הבאים כאחד ואינם מלמדים, עיי"ש בדבריו</w:t>
      </w:r>
      <w:r>
        <w:rPr>
          <w:rFonts w:hint="cs"/>
          <w:rtl/>
        </w:rPr>
        <w:t xml:space="preserve">, וע"ע  בדברי </w:t>
      </w:r>
      <w:r w:rsidRPr="00E115A7">
        <w:rPr>
          <w:rStyle w:val="af8"/>
          <w:rFonts w:hint="cs"/>
          <w:rtl/>
        </w:rPr>
        <w:t>רש"י בפסחים</w:t>
      </w:r>
      <w:r>
        <w:rPr>
          <w:rFonts w:hint="cs"/>
          <w:rtl/>
        </w:rPr>
        <w:t xml:space="preserve"> </w:t>
      </w:r>
      <w:r w:rsidRPr="009F44AF">
        <w:rPr>
          <w:rStyle w:val="af6"/>
          <w:rFonts w:eastAsia="Guttman Hodes" w:hint="cs"/>
          <w:rtl/>
        </w:rPr>
        <w:t>(מה. ד"ה ור"ע).</w:t>
      </w:r>
      <w:bookmarkEnd w:id="5696"/>
    </w:p>
    <w:p w:rsidR="009A0058" w:rsidRPr="007E0C12" w:rsidRDefault="009A0058" w:rsidP="009A0058">
      <w:pPr>
        <w:pStyle w:val="1"/>
        <w:rPr>
          <w:rtl/>
        </w:rPr>
      </w:pPr>
      <w:bookmarkStart w:id="5697" w:name="_Toc13568532"/>
      <w:bookmarkStart w:id="5698" w:name="_Toc13603123"/>
      <w:bookmarkStart w:id="5699" w:name="_Toc13603226"/>
      <w:bookmarkStart w:id="5700" w:name="_Toc13657766"/>
      <w:bookmarkStart w:id="5701" w:name="_Toc13663922"/>
      <w:r w:rsidRPr="007E0C12">
        <w:rPr>
          <w:rFonts w:hint="cs"/>
          <w:rtl/>
        </w:rPr>
        <w:t>דברי רש"י</w:t>
      </w:r>
      <w:bookmarkEnd w:id="5693"/>
      <w:bookmarkEnd w:id="5694"/>
      <w:r w:rsidRPr="007E0C12">
        <w:rPr>
          <w:rFonts w:hint="cs"/>
          <w:rtl/>
        </w:rPr>
        <w:t xml:space="preserve"> בע"ז בטעמו וממשו בכזית בכא"פ ובפחות מכא"פ</w:t>
      </w:r>
      <w:bookmarkEnd w:id="5695"/>
      <w:bookmarkEnd w:id="5697"/>
      <w:bookmarkEnd w:id="5698"/>
      <w:bookmarkEnd w:id="5699"/>
      <w:bookmarkEnd w:id="5700"/>
      <w:bookmarkEnd w:id="5701"/>
    </w:p>
    <w:p w:rsidR="009A0058" w:rsidRPr="007E0C12" w:rsidRDefault="009A0058" w:rsidP="009A0058">
      <w:pPr>
        <w:pStyle w:val="a2"/>
        <w:rPr>
          <w:rtl/>
        </w:rPr>
      </w:pPr>
      <w:bookmarkStart w:id="5702" w:name="_Toc13568533"/>
      <w:bookmarkStart w:id="5703" w:name="_Toc13603124"/>
      <w:bookmarkStart w:id="5704" w:name="_Toc13603227"/>
      <w:bookmarkStart w:id="5705" w:name="_Toc13657767"/>
      <w:bookmarkStart w:id="5706" w:name="_Toc13663923"/>
      <w:r w:rsidRPr="007E0C12">
        <w:rPr>
          <w:rFonts w:hint="cs"/>
          <w:rtl/>
        </w:rPr>
        <w:t>דברי רש"י דההלמ"מ דכזית בכא"פ נאמרה בטעמו וממשו דאף שלא אכל כזית בב"א לוקה</w:t>
      </w:r>
      <w:bookmarkEnd w:id="5702"/>
      <w:bookmarkEnd w:id="5703"/>
      <w:bookmarkEnd w:id="5704"/>
      <w:bookmarkEnd w:id="5705"/>
      <w:bookmarkEnd w:id="5706"/>
    </w:p>
    <w:p w:rsidR="009A0058" w:rsidRPr="007E0C12" w:rsidRDefault="009A0058" w:rsidP="009F44AF">
      <w:pPr>
        <w:pStyle w:val="a"/>
        <w:rPr>
          <w:rtl/>
        </w:rPr>
      </w:pPr>
      <w:bookmarkStart w:id="5707" w:name="_Ref13476932"/>
      <w:r w:rsidRPr="007E0C12">
        <w:rPr>
          <w:rFonts w:hint="cs"/>
          <w:rtl/>
        </w:rPr>
        <w:t xml:space="preserve">ובביאור דברי ריו"ח בע"ז דאמר דבטעמו וממשו לוקין עליו וזהו כזית בכדי אכילת פרס, כתב </w:t>
      </w:r>
      <w:r w:rsidRPr="007E0C12">
        <w:rPr>
          <w:rStyle w:val="af8"/>
          <w:rFonts w:hint="cs"/>
          <w:rtl/>
        </w:rPr>
        <w:t>רש"י בע"ז</w:t>
      </w:r>
      <w:r w:rsidRPr="007E0C12">
        <w:rPr>
          <w:rFonts w:hint="cs"/>
          <w:rtl/>
        </w:rPr>
        <w:t xml:space="preserve"> </w:t>
      </w:r>
      <w:r w:rsidRPr="007E0C12">
        <w:rPr>
          <w:rStyle w:val="af6"/>
          <w:rFonts w:eastAsia="Guttman Hodes" w:hint="cs"/>
          <w:rtl/>
        </w:rPr>
        <w:t>(סז. ד"ה כל)</w:t>
      </w:r>
      <w:r w:rsidRPr="007E0C12">
        <w:rPr>
          <w:rFonts w:hint="cs"/>
          <w:rtl/>
        </w:rPr>
        <w:t xml:space="preserve"> דשיעור כזית בכדי אכילת פרס שנלמד מהלכה למשה מסיני, נאמר על טעמו וממשו, דכל שיש בשיעור של פרס מתוך התבשיל כזית מהאיסור, לוקין עליו, וביאר </w:t>
      </w:r>
      <w:r w:rsidRPr="007E0C12">
        <w:rPr>
          <w:rStyle w:val="af8"/>
          <w:rFonts w:hint="cs"/>
          <w:rtl/>
        </w:rPr>
        <w:t>רש"י בע"ז</w:t>
      </w:r>
      <w:r w:rsidRPr="007E0C12">
        <w:rPr>
          <w:rFonts w:hint="cs"/>
          <w:rtl/>
        </w:rPr>
        <w:t xml:space="preserve"> דאעפ"י שאינו אוכל את הכזית בבת אחת, מ"מ כיון שמתחילת אכילת הכזית ועד סופו אינו שוהה אלא כדי אכילת פרס, האכילה שלו מצטרפת ולוקה, וביאר </w:t>
      </w:r>
      <w:r w:rsidRPr="007E0C12">
        <w:rPr>
          <w:rStyle w:val="af8"/>
          <w:rFonts w:hint="cs"/>
          <w:rtl/>
        </w:rPr>
        <w:t>הריטב"א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Ref13476944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פו)</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 xml:space="preserve">את דברי </w:t>
      </w:r>
      <w:r w:rsidRPr="007E0C12">
        <w:rPr>
          <w:rStyle w:val="af8"/>
          <w:rFonts w:hint="cs"/>
          <w:rtl/>
        </w:rPr>
        <w:t>רש"י</w:t>
      </w:r>
      <w:r w:rsidRPr="007E0C12">
        <w:rPr>
          <w:rFonts w:hint="cs"/>
          <w:rtl/>
        </w:rPr>
        <w:t xml:space="preserve"> דבכה"ג החשיבה התורה כאילו אכל את הכזית של האיסור בעין, ולא בתערובת.</w:t>
      </w:r>
      <w:bookmarkEnd w:id="5707"/>
    </w:p>
    <w:p w:rsidR="009A0058" w:rsidRPr="007E0C12" w:rsidRDefault="009A0058" w:rsidP="009A0058">
      <w:pPr>
        <w:pStyle w:val="a2"/>
      </w:pPr>
      <w:bookmarkStart w:id="5708" w:name="_Toc13568534"/>
      <w:bookmarkStart w:id="5709" w:name="_Toc13603125"/>
      <w:bookmarkStart w:id="5710" w:name="_Toc13603228"/>
      <w:bookmarkStart w:id="5711" w:name="_Toc13657768"/>
      <w:bookmarkStart w:id="5712" w:name="_Toc13663924"/>
      <w:r w:rsidRPr="007E0C12">
        <w:rPr>
          <w:rFonts w:hint="cs"/>
          <w:rtl/>
        </w:rPr>
        <w:t>דברי רש"י דבפחות מכזית בכא"פ אין לוקין דחשיב כב' אכילות שאינם מצטרפות</w:t>
      </w:r>
      <w:bookmarkEnd w:id="5708"/>
      <w:bookmarkEnd w:id="5709"/>
      <w:bookmarkEnd w:id="5710"/>
      <w:bookmarkEnd w:id="5711"/>
      <w:bookmarkEnd w:id="5712"/>
    </w:p>
    <w:p w:rsidR="009A0058" w:rsidRPr="007E0C12" w:rsidRDefault="009A0058" w:rsidP="009F44AF">
      <w:pPr>
        <w:pStyle w:val="a"/>
      </w:pPr>
      <w:bookmarkStart w:id="5713" w:name="_Ref13736062"/>
      <w:r w:rsidRPr="007E0C12">
        <w:rPr>
          <w:rFonts w:hint="cs"/>
          <w:rtl/>
        </w:rPr>
        <w:t xml:space="preserve">אבל במקום שאין כזית מהאיסור בכדי אכילת הפרס של התבשיל, כתב </w:t>
      </w:r>
      <w:r w:rsidRPr="007E0C12">
        <w:rPr>
          <w:rStyle w:val="af8"/>
          <w:rFonts w:hint="cs"/>
          <w:rtl/>
        </w:rPr>
        <w:t>רש"י בע"ז</w:t>
      </w:r>
      <w:r w:rsidRPr="007E0C12">
        <w:rPr>
          <w:rFonts w:hint="cs"/>
          <w:rtl/>
        </w:rPr>
        <w:t xml:space="preserve"> דאין לוקין עליו, דכיון שמתחילת אכילת הכזית ועד סופו הוא שוהה יותר מכדי אכילת פרס, חשיב כב' אכילות של ב' ימים ואינם מצטרפות</w:t>
      </w:r>
      <w:bookmarkStart w:id="5714" w:name="_Toc13562563"/>
      <w:bookmarkStart w:id="5715" w:name="_Toc13568535"/>
      <w:bookmarkStart w:id="5716" w:name="_Toc13603126"/>
      <w:bookmarkStart w:id="5717" w:name="_Toc13603229"/>
      <w:bookmarkStart w:id="5718" w:name="_Toc13657769"/>
      <w:bookmarkStart w:id="5719" w:name="_Toc13663925"/>
      <w:r w:rsidRPr="00450370">
        <w:rPr>
          <w:rFonts w:hint="cs"/>
          <w:rtl/>
        </w:rPr>
        <w:t xml:space="preserve"> </w:t>
      </w:r>
      <w:r w:rsidRPr="007E0C12">
        <w:rPr>
          <w:rFonts w:hint="cs"/>
          <w:rtl/>
        </w:rPr>
        <w:t xml:space="preserve">ועי' במ"ש </w:t>
      </w:r>
      <w:r w:rsidRPr="007E0C12">
        <w:rPr>
          <w:rStyle w:val="af8"/>
          <w:rFonts w:hint="cs"/>
          <w:rtl/>
        </w:rPr>
        <w:t>הפרמ"ג</w:t>
      </w:r>
      <w:r w:rsidRPr="007E0C12">
        <w:rPr>
          <w:rFonts w:hint="cs"/>
          <w:rtl/>
        </w:rPr>
        <w:t xml:space="preserve"> </w:t>
      </w:r>
      <w:r w:rsidRPr="007E0C1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Ref13736086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Pr>
          <w:rStyle w:val="af6"/>
          <w:rFonts w:eastAsia="Guttman Hodes"/>
          <w:rtl/>
        </w:rPr>
        <w:fldChar w:fldCharType="end"/>
      </w:r>
      <w:r w:rsidRPr="007E0C12">
        <w:rPr>
          <w:rStyle w:val="af6"/>
          <w:rFonts w:eastAsia="Guttman Hodes" w:hint="cs"/>
          <w:rtl/>
        </w:rPr>
        <w:t xml:space="preserve"> </w:t>
      </w:r>
      <w:r w:rsidRPr="007E0C12">
        <w:rPr>
          <w:rFonts w:hint="cs"/>
          <w:rtl/>
        </w:rPr>
        <w:t xml:space="preserve">בביאור דברי </w:t>
      </w:r>
      <w:r w:rsidRPr="007E0C12">
        <w:rPr>
          <w:rStyle w:val="af8"/>
          <w:rFonts w:hint="cs"/>
          <w:rtl/>
        </w:rPr>
        <w:t>רש"י</w:t>
      </w:r>
      <w:r w:rsidRPr="007E0C12">
        <w:rPr>
          <w:rFonts w:hint="cs"/>
          <w:rtl/>
        </w:rPr>
        <w:t>.</w:t>
      </w:r>
      <w:bookmarkEnd w:id="5713"/>
    </w:p>
    <w:p w:rsidR="009A0058" w:rsidRPr="007E0C12" w:rsidRDefault="009A0058" w:rsidP="009A0058">
      <w:pPr>
        <w:pStyle w:val="1"/>
        <w:rPr>
          <w:rtl/>
        </w:rPr>
      </w:pPr>
      <w:r w:rsidRPr="007E0C12">
        <w:rPr>
          <w:rFonts w:hint="cs"/>
          <w:rtl/>
        </w:rPr>
        <w:t>דברי רש"י בע"ז דטעמו ולא ממשו</w:t>
      </w:r>
      <w:bookmarkEnd w:id="5714"/>
      <w:r w:rsidRPr="007E0C12">
        <w:rPr>
          <w:rFonts w:hint="cs"/>
          <w:rtl/>
        </w:rPr>
        <w:t xml:space="preserve"> הוא באיסור שנימוח</w:t>
      </w:r>
      <w:bookmarkEnd w:id="5715"/>
      <w:bookmarkEnd w:id="5716"/>
      <w:bookmarkEnd w:id="5717"/>
      <w:bookmarkEnd w:id="5718"/>
      <w:bookmarkEnd w:id="5719"/>
    </w:p>
    <w:p w:rsidR="009A0058" w:rsidRPr="007E0C12" w:rsidRDefault="009A0058" w:rsidP="009A0058">
      <w:pPr>
        <w:pStyle w:val="a2"/>
        <w:rPr>
          <w:rtl/>
        </w:rPr>
      </w:pPr>
      <w:bookmarkStart w:id="5720" w:name="_Toc13568536"/>
      <w:bookmarkStart w:id="5721" w:name="_Toc13603127"/>
      <w:bookmarkStart w:id="5722" w:name="_Toc13603230"/>
      <w:bookmarkStart w:id="5723" w:name="_Toc13657770"/>
      <w:bookmarkStart w:id="5724" w:name="_Toc13663926"/>
      <w:r w:rsidRPr="007E0C12">
        <w:rPr>
          <w:rFonts w:hint="cs"/>
          <w:rtl/>
        </w:rPr>
        <w:t>דברי רש"י דטעמו ולא ממשו היינו חָלָב שנבלע בבשר וחֵלֶב שנימוח דממשו של האיסור אינו בעין</w:t>
      </w:r>
      <w:bookmarkEnd w:id="5720"/>
      <w:bookmarkEnd w:id="5721"/>
      <w:bookmarkEnd w:id="5722"/>
      <w:bookmarkEnd w:id="5723"/>
      <w:bookmarkEnd w:id="5724"/>
    </w:p>
    <w:p w:rsidR="009A0058" w:rsidRPr="007E0C12" w:rsidRDefault="009A0058" w:rsidP="009F44AF">
      <w:pPr>
        <w:pStyle w:val="a"/>
        <w:rPr>
          <w:rtl/>
        </w:rPr>
      </w:pPr>
      <w:bookmarkStart w:id="5725" w:name="_Ref12961369"/>
      <w:r w:rsidRPr="007E0C12">
        <w:rPr>
          <w:rFonts w:hint="cs"/>
          <w:rtl/>
        </w:rPr>
        <w:t xml:space="preserve">ובדברי ריו"ח דבטעמו ולא ממשו אין לוקין עליו, ביאר </w:t>
      </w:r>
      <w:r w:rsidRPr="007E0C12">
        <w:rPr>
          <w:rStyle w:val="af8"/>
          <w:rFonts w:hint="cs"/>
          <w:rtl/>
        </w:rPr>
        <w:t>רש"י בע"ז</w:t>
      </w:r>
      <w:r w:rsidRPr="007E0C12">
        <w:rPr>
          <w:rFonts w:hint="cs"/>
          <w:rtl/>
        </w:rPr>
        <w:t xml:space="preserve"> </w:t>
      </w:r>
      <w:r w:rsidRPr="007E0C12">
        <w:rPr>
          <w:rStyle w:val="af6"/>
          <w:rFonts w:eastAsia="Guttman Hodes" w:hint="cs"/>
          <w:rtl/>
        </w:rPr>
        <w:t>(סז: ד"ה טעמו)</w:t>
      </w:r>
      <w:r w:rsidRPr="007E0C12">
        <w:rPr>
          <w:rFonts w:hint="cs"/>
          <w:rtl/>
        </w:rPr>
        <w:t xml:space="preserve"> דטעמו ולא ממשו, הוא כגון </w:t>
      </w:r>
      <w:r w:rsidRPr="007E0C12">
        <w:rPr>
          <w:rtl/>
        </w:rPr>
        <w:t xml:space="preserve">חָלָב </w:t>
      </w:r>
      <w:r w:rsidRPr="007E0C12">
        <w:rPr>
          <w:rFonts w:hint="cs"/>
          <w:rtl/>
        </w:rPr>
        <w:t xml:space="preserve">שנפל לקדירה של בשר, או </w:t>
      </w:r>
      <w:r w:rsidRPr="007E0C12">
        <w:rPr>
          <w:rtl/>
        </w:rPr>
        <w:t>חֵלֶב</w:t>
      </w:r>
      <w:r w:rsidRPr="007E0C12">
        <w:rPr>
          <w:rFonts w:hint="cs"/>
          <w:rtl/>
        </w:rPr>
        <w:t xml:space="preserve"> שנפל ונימוח, דאין ממשו של האיסור בעין.</w:t>
      </w:r>
      <w:bookmarkEnd w:id="5725"/>
    </w:p>
    <w:p w:rsidR="009A0058" w:rsidRPr="007E0C12" w:rsidRDefault="009A0058" w:rsidP="009A0058">
      <w:pPr>
        <w:pStyle w:val="a2"/>
        <w:rPr>
          <w:rtl/>
        </w:rPr>
      </w:pPr>
      <w:bookmarkStart w:id="5726" w:name="_Toc13663927"/>
      <w:bookmarkStart w:id="5727" w:name="_Toc13568537"/>
      <w:bookmarkStart w:id="5728" w:name="_Toc13603128"/>
      <w:bookmarkStart w:id="5729" w:name="_Toc13603231"/>
      <w:bookmarkStart w:id="5730" w:name="_Toc13657771"/>
      <w:bookmarkStart w:id="5731" w:name="_Ref13134073"/>
      <w:r w:rsidRPr="007E0C12">
        <w:rPr>
          <w:rFonts w:hint="cs"/>
          <w:rtl/>
        </w:rPr>
        <w:t xml:space="preserve">דברי רש"י </w:t>
      </w:r>
      <w:r>
        <w:rPr>
          <w:rFonts w:hint="cs"/>
          <w:rtl/>
        </w:rPr>
        <w:t xml:space="preserve">דבסילק את האיסור </w:t>
      </w:r>
      <w:r w:rsidRPr="007E0C12">
        <w:rPr>
          <w:rFonts w:hint="cs"/>
          <w:rtl/>
        </w:rPr>
        <w:t xml:space="preserve">חשיב טעמו ולא ממשו </w:t>
      </w:r>
      <w:r>
        <w:rPr>
          <w:rFonts w:hint="cs"/>
          <w:rtl/>
        </w:rPr>
        <w:t>כמו בבשר וחלב שסילקם זה מזה</w:t>
      </w:r>
      <w:bookmarkEnd w:id="5726"/>
      <w:r>
        <w:rPr>
          <w:rFonts w:hint="cs"/>
          <w:rtl/>
        </w:rPr>
        <w:t xml:space="preserve"> </w:t>
      </w:r>
      <w:bookmarkEnd w:id="5727"/>
      <w:bookmarkEnd w:id="5728"/>
      <w:bookmarkEnd w:id="5729"/>
      <w:bookmarkEnd w:id="5730"/>
    </w:p>
    <w:p w:rsidR="00366EF4" w:rsidRDefault="009A0058" w:rsidP="009F44AF">
      <w:pPr>
        <w:pStyle w:val="a"/>
        <w:rPr>
          <w:rtl/>
        </w:rPr>
      </w:pPr>
      <w:bookmarkStart w:id="5732" w:name="_Ref13412942"/>
      <w:r w:rsidRPr="007E0C12">
        <w:rPr>
          <w:rFonts w:hint="cs"/>
          <w:rtl/>
        </w:rPr>
        <w:t xml:space="preserve">ובדברי אביי לקמן </w:t>
      </w:r>
      <w:r w:rsidRPr="007E0C12">
        <w:rPr>
          <w:rStyle w:val="af6"/>
          <w:rFonts w:eastAsia="Guttman Hodes" w:hint="cs"/>
          <w:rtl/>
        </w:rPr>
        <w:t>(קח.)</w:t>
      </w:r>
      <w:r w:rsidRPr="007E0C12">
        <w:rPr>
          <w:rFonts w:hint="cs"/>
          <w:rtl/>
        </w:rPr>
        <w:t xml:space="preserve"> דיליף מבשר בחלב דטעמו ולא ממשו דאו', ביאר </w:t>
      </w:r>
      <w:r w:rsidRPr="007E0C12">
        <w:rPr>
          <w:rStyle w:val="af8"/>
          <w:rtl/>
        </w:rPr>
        <w:t>רש"י לקמן</w:t>
      </w:r>
      <w:r w:rsidRPr="007E0C12">
        <w:rPr>
          <w:rtl/>
        </w:rPr>
        <w:t xml:space="preserve"> </w:t>
      </w:r>
      <w:r w:rsidRPr="007E0C12">
        <w:rPr>
          <w:rStyle w:val="af6"/>
          <w:rFonts w:eastAsia="Guttman Hodes"/>
          <w:rtl/>
        </w:rPr>
        <w:t>(קח. ד"ה אמר אביי)</w:t>
      </w:r>
      <w:r w:rsidRPr="007E0C12">
        <w:rPr>
          <w:rtl/>
        </w:rPr>
        <w:t xml:space="preserve"> דטעמו ולא ממשו, ה</w:t>
      </w:r>
      <w:r w:rsidRPr="007E0C12">
        <w:rPr>
          <w:rFonts w:hint="cs"/>
          <w:rtl/>
        </w:rPr>
        <w:t>יינו</w:t>
      </w:r>
      <w:r w:rsidRPr="007E0C12">
        <w:rPr>
          <w:rtl/>
        </w:rPr>
        <w:t xml:space="preserve"> כגון שסילק את האיסור ונשאר רק טעמו</w:t>
      </w:r>
      <w:r w:rsidRPr="007E0C12">
        <w:rPr>
          <w:rFonts w:hint="cs"/>
          <w:rtl/>
        </w:rPr>
        <w:t xml:space="preserve">, דילפינן מבשר בחלב דאסרה תורה באכילה, אעפ"י דאחר שהבשר והחלב התבשלו יחד, סילק את הבשר והחלב זה מזה ונשאר רק טעמם, וס"ל לאביי דמבשר בחלב ילפינן לכל האיסורים בבמה מצינו, ועי' במ"ש </w:t>
      </w:r>
      <w:r w:rsidRPr="007E0C12">
        <w:rPr>
          <w:rStyle w:val="af8"/>
          <w:rtl/>
        </w:rPr>
        <w:t>הנחל"ד</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Ref13412171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לט)</w:t>
      </w:r>
      <w:r w:rsidRPr="007E0C12">
        <w:rPr>
          <w:rStyle w:val="af6"/>
          <w:rFonts w:eastAsia="Guttman Hodes"/>
          <w:rtl/>
        </w:rPr>
        <w:fldChar w:fldCharType="end"/>
      </w:r>
      <w:r w:rsidRPr="007E0C12">
        <w:rPr>
          <w:rFonts w:hint="cs"/>
          <w:rtl/>
        </w:rPr>
        <w:t xml:space="preserve"> בביאור דברי </w:t>
      </w:r>
      <w:r w:rsidRPr="007E0C12">
        <w:rPr>
          <w:rStyle w:val="af8"/>
          <w:rFonts w:hint="cs"/>
          <w:rtl/>
        </w:rPr>
        <w:t>רש"י</w:t>
      </w:r>
      <w:r w:rsidRPr="007E0C12">
        <w:rPr>
          <w:rFonts w:hint="cs"/>
          <w:rtl/>
        </w:rPr>
        <w:t>.</w:t>
      </w:r>
      <w:bookmarkEnd w:id="5732"/>
    </w:p>
    <w:p w:rsidR="009A0058" w:rsidRPr="007E0C12" w:rsidRDefault="009A0058" w:rsidP="009A0058">
      <w:pPr>
        <w:pStyle w:val="1"/>
        <w:rPr>
          <w:rtl/>
        </w:rPr>
      </w:pPr>
      <w:bookmarkStart w:id="5733" w:name="_Toc13568538"/>
      <w:bookmarkStart w:id="5734" w:name="_Toc13603129"/>
      <w:bookmarkStart w:id="5735" w:name="_Toc13603232"/>
      <w:bookmarkStart w:id="5736" w:name="_Toc13657772"/>
      <w:bookmarkStart w:id="5737" w:name="_Toc13663928"/>
      <w:bookmarkEnd w:id="5731"/>
      <w:r w:rsidRPr="007E0C12">
        <w:rPr>
          <w:rFonts w:hint="cs"/>
          <w:rtl/>
        </w:rPr>
        <w:t>דברי רש"י בפסחים בגדר טעמו ולא ממשו</w:t>
      </w:r>
      <w:bookmarkEnd w:id="5733"/>
      <w:bookmarkEnd w:id="5734"/>
      <w:bookmarkEnd w:id="5735"/>
      <w:bookmarkEnd w:id="5736"/>
      <w:bookmarkEnd w:id="5737"/>
    </w:p>
    <w:p w:rsidR="009A0058" w:rsidRPr="007E0C12" w:rsidRDefault="009A0058" w:rsidP="009A0058">
      <w:pPr>
        <w:pStyle w:val="a2"/>
        <w:rPr>
          <w:rtl/>
        </w:rPr>
      </w:pPr>
      <w:bookmarkStart w:id="5738" w:name="_Toc13568539"/>
      <w:bookmarkStart w:id="5739" w:name="_Toc13603130"/>
      <w:bookmarkStart w:id="5740" w:name="_Toc13603233"/>
      <w:bookmarkStart w:id="5741" w:name="_Toc13657773"/>
      <w:bookmarkStart w:id="5742" w:name="_Toc13663929"/>
      <w:r w:rsidRPr="007E0C12">
        <w:rPr>
          <w:rFonts w:hint="cs"/>
          <w:rtl/>
        </w:rPr>
        <w:t>דברי רש"י בפסחים דבטעם כעיקר יש רק טעם איסור ואין ממשות כלל כגון שרה ענבים ביין</w:t>
      </w:r>
      <w:bookmarkEnd w:id="5738"/>
      <w:bookmarkEnd w:id="5739"/>
      <w:bookmarkEnd w:id="5740"/>
      <w:bookmarkEnd w:id="5741"/>
      <w:bookmarkEnd w:id="5742"/>
    </w:p>
    <w:p w:rsidR="009A0058" w:rsidRPr="007E0C12" w:rsidRDefault="009A0058" w:rsidP="009F44AF">
      <w:pPr>
        <w:pStyle w:val="a"/>
        <w:rPr>
          <w:rtl/>
        </w:rPr>
      </w:pPr>
      <w:bookmarkStart w:id="5743" w:name="_Ref13412531"/>
      <w:bookmarkStart w:id="5744" w:name="_Ref13134079"/>
      <w:r w:rsidRPr="007E0C12">
        <w:rPr>
          <w:rFonts w:hint="cs"/>
          <w:rtl/>
        </w:rPr>
        <w:t xml:space="preserve">בקושית הגמ' בפסחים </w:t>
      </w:r>
      <w:r w:rsidRPr="007E0C12">
        <w:rPr>
          <w:rStyle w:val="af6"/>
          <w:rFonts w:eastAsia="Guttman Hodes" w:hint="cs"/>
          <w:rtl/>
        </w:rPr>
        <w:t>(מד:)</w:t>
      </w:r>
      <w:r w:rsidRPr="007E0C12">
        <w:rPr>
          <w:rFonts w:hint="cs"/>
          <w:rtl/>
        </w:rPr>
        <w:t xml:space="preserve"> על ר"ע דיליף ממשרת דהיתר מצטרף לאיסור, דמנליה טעם כעיקר, ביאר </w:t>
      </w:r>
      <w:r w:rsidRPr="007E0C12">
        <w:rPr>
          <w:rStyle w:val="af8"/>
          <w:rFonts w:hint="cs"/>
          <w:rtl/>
        </w:rPr>
        <w:t>רש"י בפסחים</w:t>
      </w:r>
      <w:r w:rsidRPr="007E0C12">
        <w:rPr>
          <w:rFonts w:hint="cs"/>
          <w:rtl/>
        </w:rPr>
        <w:t xml:space="preserve"> </w:t>
      </w:r>
      <w:r w:rsidRPr="007E0C12">
        <w:rPr>
          <w:rStyle w:val="af6"/>
          <w:rFonts w:eastAsia="Guttman Hodes" w:hint="cs"/>
          <w:rtl/>
        </w:rPr>
        <w:t>(מד: ד"ה טעם כעיקר)</w:t>
      </w:r>
      <w:r w:rsidRPr="007E0C12">
        <w:rPr>
          <w:rFonts w:hint="cs"/>
          <w:rtl/>
        </w:rPr>
        <w:t xml:space="preserve"> דטעם כעיקר הוא כשאין כלל מהעיקר של האיסור, ויש רק את טעמו, כגון שרה ענבים במים, </w:t>
      </w:r>
      <w:r w:rsidRPr="007E0C12">
        <w:rPr>
          <w:rStyle w:val="afa"/>
          <w:rFonts w:hint="cs"/>
          <w:rtl/>
        </w:rPr>
        <w:t xml:space="preserve">[ומשמע מדברי </w:t>
      </w:r>
      <w:r w:rsidRPr="007E0C12">
        <w:rPr>
          <w:rStyle w:val="affa"/>
          <w:rFonts w:hint="cs"/>
          <w:rtl/>
        </w:rPr>
        <w:t>רש"י</w:t>
      </w:r>
      <w:r w:rsidRPr="007E0C12">
        <w:rPr>
          <w:rStyle w:val="afa"/>
          <w:rFonts w:hint="cs"/>
          <w:rtl/>
        </w:rPr>
        <w:t xml:space="preserve"> דטעמו ולא ממשו, היינו באופן שגוף האיסור אינו מעורב בתערובת כלל],</w:t>
      </w:r>
      <w:r w:rsidRPr="007E0C12">
        <w:rPr>
          <w:rFonts w:hint="cs"/>
          <w:rtl/>
        </w:rPr>
        <w:t xml:space="preserve"> ועי' במ</w:t>
      </w:r>
      <w:r>
        <w:rPr>
          <w:rFonts w:hint="cs"/>
          <w:rtl/>
        </w:rPr>
        <w:t>"</w:t>
      </w:r>
      <w:r w:rsidRPr="007E0C12">
        <w:rPr>
          <w:rFonts w:hint="cs"/>
          <w:rtl/>
        </w:rPr>
        <w:t xml:space="preserve">ש </w:t>
      </w:r>
      <w:r w:rsidRPr="00D65ADC">
        <w:rPr>
          <w:rStyle w:val="af8"/>
          <w:rFonts w:hint="cs"/>
          <w:rtl/>
        </w:rPr>
        <w:t xml:space="preserve">הפר"ח </w:t>
      </w:r>
      <w:r w:rsidRPr="00D65ADC">
        <w:rPr>
          <w:rStyle w:val="af6"/>
          <w:rFonts w:eastAsia="Guttman Hodes" w:hint="cs"/>
          <w:rtl/>
        </w:rPr>
        <w:t>(עי' הערה</w:t>
      </w:r>
      <w:r w:rsidRPr="005E217D">
        <w:rPr>
          <w:vertAlign w:val="superscript"/>
          <w:rtl/>
        </w:rPr>
        <w:fldChar w:fldCharType="begin"/>
      </w:r>
      <w:r w:rsidRPr="005E217D">
        <w:rPr>
          <w:vertAlign w:val="superscript"/>
          <w:rtl/>
        </w:rPr>
        <w:instrText xml:space="preserve"> </w:instrText>
      </w:r>
      <w:r w:rsidRPr="005E217D">
        <w:rPr>
          <w:rFonts w:hint="cs"/>
          <w:vertAlign w:val="superscript"/>
        </w:rPr>
        <w:instrText>NOTEREF</w:instrText>
      </w:r>
      <w:r w:rsidRPr="005E217D">
        <w:rPr>
          <w:rFonts w:hint="cs"/>
          <w:vertAlign w:val="superscript"/>
          <w:rtl/>
        </w:rPr>
        <w:instrText xml:space="preserve"> _</w:instrText>
      </w:r>
      <w:r w:rsidRPr="005E217D">
        <w:rPr>
          <w:rFonts w:hint="cs"/>
          <w:vertAlign w:val="superscript"/>
        </w:rPr>
        <w:instrText>Ref13663322 \h</w:instrText>
      </w:r>
      <w:r w:rsidRPr="005E217D">
        <w:rPr>
          <w:vertAlign w:val="superscript"/>
          <w:rtl/>
        </w:rPr>
        <w:instrText xml:space="preserve">  \* </w:instrText>
      </w:r>
      <w:r w:rsidRPr="005E217D">
        <w:rPr>
          <w:vertAlign w:val="superscript"/>
        </w:rPr>
        <w:instrText>MERGEFORMAT</w:instrText>
      </w:r>
      <w:r w:rsidRPr="005E217D">
        <w:rPr>
          <w:vertAlign w:val="superscript"/>
          <w:rtl/>
        </w:rPr>
        <w:instrText xml:space="preserve"> </w:instrText>
      </w:r>
      <w:r w:rsidRPr="005E217D">
        <w:rPr>
          <w:vertAlign w:val="superscript"/>
          <w:rtl/>
        </w:rPr>
      </w:r>
      <w:r w:rsidRPr="005E217D">
        <w:rPr>
          <w:vertAlign w:val="superscript"/>
          <w:rtl/>
        </w:rPr>
        <w:fldChar w:fldCharType="separate"/>
      </w:r>
      <w:r w:rsidR="004D1C5B">
        <w:rPr>
          <w:vertAlign w:val="superscript"/>
          <w:rtl/>
        </w:rPr>
        <w:t>21</w:t>
      </w:r>
      <w:r w:rsidRPr="005E217D">
        <w:rPr>
          <w:vertAlign w:val="superscript"/>
          <w:rtl/>
        </w:rPr>
        <w:fldChar w:fldCharType="end"/>
      </w:r>
      <w:r w:rsidRPr="005E217D">
        <w:rPr>
          <w:rStyle w:val="af6"/>
          <w:rFonts w:eastAsia="Guttman Hodes" w:hint="cs"/>
          <w:rtl/>
        </w:rPr>
        <w:t>)</w:t>
      </w:r>
      <w:r w:rsidRPr="00D65ADC">
        <w:rPr>
          <w:rStyle w:val="af6"/>
          <w:rFonts w:eastAsia="Guttman Hodes" w:hint="cs"/>
          <w:rtl/>
        </w:rPr>
        <w:t xml:space="preserve"> </w:t>
      </w:r>
      <w:r>
        <w:rPr>
          <w:rStyle w:val="af8"/>
          <w:rFonts w:hint="cs"/>
          <w:rtl/>
        </w:rPr>
        <w:t>ו</w:t>
      </w:r>
      <w:r w:rsidRPr="007E0C12">
        <w:rPr>
          <w:rStyle w:val="af8"/>
          <w:rFonts w:hint="cs"/>
          <w:rtl/>
        </w:rPr>
        <w:t>הנחל"ד</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Ref13412171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לט)</w:t>
      </w:r>
      <w:r w:rsidRPr="007E0C12">
        <w:rPr>
          <w:rStyle w:val="af6"/>
          <w:rFonts w:eastAsia="Guttman Hodes"/>
          <w:rtl/>
        </w:rPr>
        <w:fldChar w:fldCharType="end"/>
      </w:r>
      <w:r w:rsidRPr="007E0C12">
        <w:rPr>
          <w:rFonts w:hint="cs"/>
          <w:rtl/>
        </w:rPr>
        <w:t xml:space="preserve"> בביאור דברי </w:t>
      </w:r>
      <w:r w:rsidRPr="007E0C12">
        <w:rPr>
          <w:rStyle w:val="af8"/>
          <w:rFonts w:hint="cs"/>
          <w:rtl/>
        </w:rPr>
        <w:t>רש"י</w:t>
      </w:r>
      <w:r w:rsidRPr="007E0C12">
        <w:rPr>
          <w:rFonts w:hint="cs"/>
          <w:rtl/>
        </w:rPr>
        <w:t>.</w:t>
      </w:r>
      <w:bookmarkEnd w:id="5743"/>
    </w:p>
    <w:p w:rsidR="009A0058" w:rsidRPr="007E0C12" w:rsidRDefault="009A0058" w:rsidP="009A0058">
      <w:pPr>
        <w:pStyle w:val="a2"/>
      </w:pPr>
      <w:bookmarkStart w:id="5745" w:name="_Toc13568540"/>
      <w:bookmarkStart w:id="5746" w:name="_Toc13603131"/>
      <w:bookmarkStart w:id="5747" w:name="_Toc13603234"/>
      <w:bookmarkStart w:id="5748" w:name="_Toc13657774"/>
      <w:bookmarkStart w:id="5749" w:name="_Toc13663930"/>
      <w:r w:rsidRPr="007E0C12">
        <w:rPr>
          <w:rFonts w:hint="cs"/>
          <w:rtl/>
        </w:rPr>
        <w:t>דברי רש"י דטעם כעיקר בבשר בחלב היינו דהבשר בעין ובלוע בו טעם החלב</w:t>
      </w:r>
      <w:bookmarkEnd w:id="5745"/>
      <w:bookmarkEnd w:id="5746"/>
      <w:bookmarkEnd w:id="5747"/>
      <w:bookmarkEnd w:id="5748"/>
      <w:bookmarkEnd w:id="5749"/>
    </w:p>
    <w:p w:rsidR="009A0058" w:rsidRPr="007E0C12" w:rsidRDefault="009A0058" w:rsidP="009F44AF">
      <w:pPr>
        <w:pStyle w:val="a"/>
        <w:rPr>
          <w:rStyle w:val="afa"/>
          <w:rtl/>
        </w:rPr>
      </w:pPr>
      <w:bookmarkStart w:id="5750" w:name="_Ref13412241"/>
      <w:bookmarkStart w:id="5751" w:name="_Ref13412357"/>
      <w:r w:rsidRPr="007E0C12">
        <w:rPr>
          <w:rFonts w:hint="cs"/>
          <w:rtl/>
        </w:rPr>
        <w:t xml:space="preserve">ובתירוץ הגמ' בפסחים בהו"א דלר"ע ילפינן טעם כעיקר מבשר בחלב, כתב </w:t>
      </w:r>
      <w:r w:rsidRPr="007E0C12">
        <w:rPr>
          <w:rStyle w:val="af8"/>
          <w:rFonts w:hint="cs"/>
          <w:rtl/>
        </w:rPr>
        <w:t>רש"י בפסחים</w:t>
      </w:r>
      <w:r w:rsidRPr="007E0C12">
        <w:rPr>
          <w:rFonts w:hint="cs"/>
          <w:rtl/>
        </w:rPr>
        <w:t xml:space="preserve"> </w:t>
      </w:r>
      <w:r w:rsidRPr="007E0C12">
        <w:rPr>
          <w:rStyle w:val="af6"/>
          <w:rFonts w:eastAsia="Guttman Hodes" w:hint="cs"/>
          <w:rtl/>
        </w:rPr>
        <w:t>(מד: ד"ה בשר בחלב)</w:t>
      </w:r>
      <w:r w:rsidRPr="007E0C12">
        <w:rPr>
          <w:rFonts w:hint="cs"/>
          <w:rtl/>
        </w:rPr>
        <w:t xml:space="preserve"> דהכוונה היא לבשר שהתבשל בחלב, והבשר הוא בעין, אלא דבלוע בו טעם חלב. </w:t>
      </w:r>
      <w:r w:rsidRPr="007E0C12">
        <w:rPr>
          <w:rStyle w:val="afa"/>
          <w:rFonts w:hint="cs"/>
          <w:rtl/>
        </w:rPr>
        <w:t>[והיינו דהחלב הוא טעמו ולא ממשו].</w:t>
      </w:r>
      <w:bookmarkEnd w:id="5744"/>
      <w:bookmarkEnd w:id="5750"/>
      <w:r w:rsidRPr="007E0C12">
        <w:rPr>
          <w:rFonts w:hint="cs"/>
          <w:rtl/>
        </w:rPr>
        <w:t xml:space="preserve"> ועי' במ"ש </w:t>
      </w:r>
      <w:r w:rsidRPr="007E0C12">
        <w:rPr>
          <w:rStyle w:val="af8"/>
          <w:rFonts w:hint="cs"/>
          <w:rtl/>
        </w:rPr>
        <w:t xml:space="preserve">הב"י </w:t>
      </w:r>
      <w:r w:rsidRPr="007E0C1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Ref13687749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Pr>
          <w:rStyle w:val="af6"/>
          <w:rFonts w:eastAsia="Guttman Hodes"/>
          <w:rtl/>
        </w:rPr>
        <w:fldChar w:fldCharType="end"/>
      </w:r>
      <w:r>
        <w:rPr>
          <w:rStyle w:val="af6"/>
          <w:rFonts w:eastAsia="Guttman Hodes" w:hint="cs"/>
          <w:rtl/>
        </w:rPr>
        <w:t xml:space="preserve"> </w:t>
      </w:r>
      <w:r>
        <w:rPr>
          <w:rStyle w:val="af8"/>
          <w:rFonts w:hint="cs"/>
          <w:rtl/>
        </w:rPr>
        <w:t>ו</w:t>
      </w:r>
      <w:r w:rsidRPr="00D65ADC">
        <w:rPr>
          <w:rStyle w:val="af8"/>
          <w:rFonts w:hint="cs"/>
          <w:rtl/>
        </w:rPr>
        <w:t xml:space="preserve">הפר"ח </w:t>
      </w:r>
      <w:r w:rsidRPr="00D65ADC">
        <w:rPr>
          <w:rStyle w:val="af6"/>
          <w:rFonts w:eastAsia="Guttman Hodes" w:hint="cs"/>
          <w:rtl/>
        </w:rPr>
        <w:t>(עי' הערה</w:t>
      </w:r>
      <w:r w:rsidRPr="005E217D">
        <w:rPr>
          <w:vertAlign w:val="superscript"/>
          <w:rtl/>
        </w:rPr>
        <w:fldChar w:fldCharType="begin"/>
      </w:r>
      <w:r w:rsidRPr="005E217D">
        <w:rPr>
          <w:vertAlign w:val="superscript"/>
          <w:rtl/>
        </w:rPr>
        <w:instrText xml:space="preserve"> </w:instrText>
      </w:r>
      <w:r w:rsidRPr="005E217D">
        <w:rPr>
          <w:rFonts w:hint="cs"/>
          <w:vertAlign w:val="superscript"/>
        </w:rPr>
        <w:instrText>NOTEREF</w:instrText>
      </w:r>
      <w:r w:rsidRPr="005E217D">
        <w:rPr>
          <w:rFonts w:hint="cs"/>
          <w:vertAlign w:val="superscript"/>
          <w:rtl/>
        </w:rPr>
        <w:instrText xml:space="preserve"> _</w:instrText>
      </w:r>
      <w:r w:rsidRPr="005E217D">
        <w:rPr>
          <w:rFonts w:hint="cs"/>
          <w:vertAlign w:val="superscript"/>
        </w:rPr>
        <w:instrText>Ref13663322 \h</w:instrText>
      </w:r>
      <w:r w:rsidRPr="005E217D">
        <w:rPr>
          <w:vertAlign w:val="superscript"/>
          <w:rtl/>
        </w:rPr>
        <w:instrText xml:space="preserve">  \* </w:instrText>
      </w:r>
      <w:r w:rsidRPr="005E217D">
        <w:rPr>
          <w:vertAlign w:val="superscript"/>
        </w:rPr>
        <w:instrText>MERGEFORMAT</w:instrText>
      </w:r>
      <w:r w:rsidRPr="005E217D">
        <w:rPr>
          <w:vertAlign w:val="superscript"/>
          <w:rtl/>
        </w:rPr>
        <w:instrText xml:space="preserve"> </w:instrText>
      </w:r>
      <w:r w:rsidRPr="005E217D">
        <w:rPr>
          <w:vertAlign w:val="superscript"/>
          <w:rtl/>
        </w:rPr>
      </w:r>
      <w:r w:rsidRPr="005E217D">
        <w:rPr>
          <w:vertAlign w:val="superscript"/>
          <w:rtl/>
        </w:rPr>
        <w:fldChar w:fldCharType="separate"/>
      </w:r>
      <w:r w:rsidR="004D1C5B">
        <w:rPr>
          <w:vertAlign w:val="superscript"/>
          <w:rtl/>
        </w:rPr>
        <w:t>21</w:t>
      </w:r>
      <w:r w:rsidRPr="005E217D">
        <w:rPr>
          <w:vertAlign w:val="superscript"/>
          <w:rtl/>
        </w:rPr>
        <w:fldChar w:fldCharType="end"/>
      </w:r>
      <w:r w:rsidRPr="005E217D">
        <w:rPr>
          <w:rStyle w:val="af6"/>
          <w:rFonts w:eastAsia="Guttman Hodes" w:hint="cs"/>
          <w:rtl/>
        </w:rPr>
        <w:t>)</w:t>
      </w:r>
      <w:r w:rsidRPr="00D65ADC">
        <w:rPr>
          <w:rStyle w:val="af6"/>
          <w:rFonts w:eastAsia="Guttman Hodes" w:hint="cs"/>
          <w:rtl/>
        </w:rPr>
        <w:t xml:space="preserve"> </w:t>
      </w:r>
      <w:r w:rsidRPr="007E0C12">
        <w:rPr>
          <w:rStyle w:val="af8"/>
          <w:rFonts w:hint="cs"/>
          <w:rtl/>
        </w:rPr>
        <w:t>והמנחת כהן</w:t>
      </w:r>
      <w:r w:rsidRPr="007E0C12">
        <w:rPr>
          <w:rFonts w:hint="cs"/>
          <w:rtl/>
        </w:rPr>
        <w:t xml:space="preserve"> </w:t>
      </w:r>
      <w:r w:rsidRPr="007E0C12">
        <w:rPr>
          <w:rStyle w:val="af6"/>
          <w:rFonts w:eastAsia="Guttman Hodes" w:hint="cs"/>
          <w:rtl/>
        </w:rPr>
        <w:t xml:space="preserve"> (עי'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Ref13412325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7E0C12">
        <w:rPr>
          <w:rStyle w:val="af6"/>
          <w:rFonts w:eastAsia="Guttman Hodes"/>
          <w:rtl/>
        </w:rPr>
        <w:fldChar w:fldCharType="end"/>
      </w:r>
      <w:r w:rsidRPr="007E0C12">
        <w:rPr>
          <w:rFonts w:hint="cs"/>
          <w:rtl/>
        </w:rPr>
        <w:t xml:space="preserve"> בביאור דברי </w:t>
      </w:r>
      <w:r w:rsidRPr="007E0C12">
        <w:rPr>
          <w:rStyle w:val="af8"/>
          <w:rFonts w:hint="cs"/>
          <w:rtl/>
        </w:rPr>
        <w:t>רש"י</w:t>
      </w:r>
      <w:r w:rsidRPr="007E0C12">
        <w:rPr>
          <w:rFonts w:hint="cs"/>
          <w:rtl/>
        </w:rPr>
        <w:t>.</w:t>
      </w:r>
      <w:bookmarkEnd w:id="5751"/>
    </w:p>
    <w:p w:rsidR="009A0058" w:rsidRPr="007E0C12" w:rsidRDefault="009A0058" w:rsidP="009A0058">
      <w:pPr>
        <w:pStyle w:val="1"/>
        <w:rPr>
          <w:rtl/>
        </w:rPr>
      </w:pPr>
      <w:bookmarkStart w:id="5752" w:name="_Toc13568541"/>
      <w:bookmarkStart w:id="5753" w:name="_Toc13603132"/>
      <w:bookmarkStart w:id="5754" w:name="_Toc13603235"/>
      <w:bookmarkStart w:id="5755" w:name="_Toc13657775"/>
      <w:bookmarkStart w:id="5756" w:name="_Toc13663931"/>
      <w:r w:rsidRPr="007E0C12">
        <w:rPr>
          <w:rFonts w:hint="cs"/>
          <w:rtl/>
        </w:rPr>
        <w:t>דברי רש"י בזבחים דשומן שנימוח חשיב ממשו ולא טעמו</w:t>
      </w:r>
      <w:bookmarkEnd w:id="5752"/>
      <w:bookmarkEnd w:id="5753"/>
      <w:bookmarkEnd w:id="5754"/>
      <w:bookmarkEnd w:id="5755"/>
      <w:bookmarkEnd w:id="5756"/>
    </w:p>
    <w:p w:rsidR="009A0058" w:rsidRPr="007E0C12" w:rsidRDefault="009A0058" w:rsidP="009A0058">
      <w:pPr>
        <w:pStyle w:val="a2"/>
        <w:rPr>
          <w:rtl/>
        </w:rPr>
      </w:pPr>
      <w:bookmarkStart w:id="5757" w:name="_Toc13568542"/>
      <w:bookmarkStart w:id="5758" w:name="_Toc13603133"/>
      <w:bookmarkStart w:id="5759" w:name="_Toc13603236"/>
      <w:bookmarkStart w:id="5760" w:name="_Toc13657776"/>
      <w:bookmarkStart w:id="5761" w:name="_Toc13663932"/>
      <w:r w:rsidRPr="007E0C12">
        <w:rPr>
          <w:rFonts w:hint="cs"/>
          <w:rtl/>
        </w:rPr>
        <w:t>דברי רש"י בזבחים דשומן של חטאת שהתיכו וסכו בבשר שלמים חשיב ממשו ולא טעמו</w:t>
      </w:r>
      <w:bookmarkEnd w:id="5757"/>
      <w:bookmarkEnd w:id="5758"/>
      <w:bookmarkEnd w:id="5759"/>
      <w:bookmarkEnd w:id="5760"/>
      <w:bookmarkEnd w:id="5761"/>
      <w:r w:rsidRPr="007E0C12">
        <w:rPr>
          <w:rFonts w:hint="cs"/>
          <w:rtl/>
        </w:rPr>
        <w:t xml:space="preserve"> </w:t>
      </w:r>
    </w:p>
    <w:p w:rsidR="009A0058" w:rsidRPr="007E0C12" w:rsidRDefault="009A0058" w:rsidP="009F44AF">
      <w:pPr>
        <w:pStyle w:val="a"/>
        <w:rPr>
          <w:rtl/>
        </w:rPr>
      </w:pPr>
      <w:bookmarkStart w:id="5762" w:name="_Ref13591644"/>
      <w:r w:rsidRPr="007E0C12">
        <w:rPr>
          <w:rFonts w:hint="cs"/>
          <w:rtl/>
        </w:rPr>
        <w:t xml:space="preserve">ובהא דאיתא בגמ' בזבחים </w:t>
      </w:r>
      <w:r w:rsidRPr="007E0C12">
        <w:rPr>
          <w:rStyle w:val="af6"/>
          <w:rFonts w:eastAsia="Guttman Hodes" w:hint="cs"/>
          <w:rtl/>
        </w:rPr>
        <w:t>(צז:)</w:t>
      </w:r>
      <w:r w:rsidRPr="007E0C12">
        <w:rPr>
          <w:rFonts w:hint="cs"/>
          <w:rtl/>
        </w:rPr>
        <w:t xml:space="preserve"> דהדין חטאת דהנוגע בבשרה יקדש, הוא במקום שנבלע מהחטאת בתוך הבשר, ביאר </w:t>
      </w:r>
      <w:r w:rsidRPr="007E0C12">
        <w:rPr>
          <w:rStyle w:val="af8"/>
          <w:rFonts w:hint="cs"/>
          <w:rtl/>
        </w:rPr>
        <w:t xml:space="preserve">רש"י בזבחים </w:t>
      </w:r>
      <w:r w:rsidRPr="007E0C12">
        <w:rPr>
          <w:rStyle w:val="af6"/>
          <w:rFonts w:eastAsia="Guttman Hodes" w:hint="cs"/>
          <w:rtl/>
        </w:rPr>
        <w:t>(צז: ד"ה עד שיבלע)</w:t>
      </w:r>
      <w:r w:rsidRPr="007E0C12">
        <w:rPr>
          <w:rFonts w:hint="cs"/>
          <w:rtl/>
        </w:rPr>
        <w:t xml:space="preserve"> דאייר</w:t>
      </w:r>
      <w:r>
        <w:rPr>
          <w:rFonts w:hint="cs"/>
          <w:rtl/>
        </w:rPr>
        <w:t>י</w:t>
      </w:r>
      <w:r w:rsidRPr="007E0C12">
        <w:rPr>
          <w:rFonts w:hint="cs"/>
          <w:rtl/>
        </w:rPr>
        <w:t xml:space="preserve"> באופן שהתיך שומן של חטאת וסך בו שלמים, ונבלע שומן החטאת בשלמים, וכתב </w:t>
      </w:r>
      <w:r w:rsidRPr="007E0C12">
        <w:rPr>
          <w:rStyle w:val="af8"/>
          <w:rFonts w:hint="cs"/>
          <w:rtl/>
        </w:rPr>
        <w:t xml:space="preserve">רש"י בזבחים </w:t>
      </w:r>
      <w:r w:rsidRPr="007E0C12">
        <w:rPr>
          <w:rFonts w:hint="cs"/>
          <w:rtl/>
        </w:rPr>
        <w:t xml:space="preserve">דמחטאת ילפינן בגמ' בפסחים </w:t>
      </w:r>
      <w:r w:rsidRPr="007E0C12">
        <w:rPr>
          <w:rStyle w:val="af6"/>
          <w:rFonts w:eastAsia="Guttman Hodes" w:hint="cs"/>
          <w:rtl/>
        </w:rPr>
        <w:t>(מה.)</w:t>
      </w:r>
      <w:r w:rsidRPr="007E0C12">
        <w:rPr>
          <w:rFonts w:hint="cs"/>
          <w:rtl/>
        </w:rPr>
        <w:t xml:space="preserve"> להיתר מצטרף לאיסור, אך א"א ללמוד מזה לטעם כעיקר כיון שאי"ז רק טעם, אלא הוא ממשו של החטאת, ועי' במ"ש </w:t>
      </w:r>
      <w:r w:rsidRPr="007E0C12">
        <w:rPr>
          <w:rStyle w:val="af8"/>
          <w:rFonts w:hint="cs"/>
          <w:rtl/>
        </w:rPr>
        <w:t>המנחת ברוך</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Ref13414223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מא)</w:t>
      </w:r>
      <w:r w:rsidRPr="007E0C12">
        <w:rPr>
          <w:rStyle w:val="af6"/>
          <w:rFonts w:eastAsia="Guttman Hodes"/>
          <w:rtl/>
        </w:rPr>
        <w:fldChar w:fldCharType="end"/>
      </w:r>
      <w:r w:rsidRPr="007E0C12">
        <w:rPr>
          <w:rFonts w:hint="cs"/>
          <w:rtl/>
        </w:rPr>
        <w:t xml:space="preserve"> בדברי </w:t>
      </w:r>
      <w:r w:rsidRPr="007E0C12">
        <w:rPr>
          <w:rStyle w:val="af8"/>
          <w:rFonts w:hint="cs"/>
          <w:rtl/>
        </w:rPr>
        <w:t>רש"י</w:t>
      </w:r>
      <w:r w:rsidRPr="007E0C12">
        <w:rPr>
          <w:rFonts w:hint="cs"/>
          <w:rtl/>
        </w:rPr>
        <w:t>.</w:t>
      </w:r>
      <w:bookmarkEnd w:id="5762"/>
    </w:p>
    <w:p w:rsidR="009A0058" w:rsidRPr="007E0C12" w:rsidRDefault="009A0058" w:rsidP="009A0058">
      <w:pPr>
        <w:pStyle w:val="1"/>
        <w:rPr>
          <w:rtl/>
        </w:rPr>
      </w:pPr>
      <w:bookmarkStart w:id="5763" w:name="_Toc13418644"/>
      <w:bookmarkStart w:id="5764" w:name="_Toc13516477"/>
      <w:bookmarkStart w:id="5765" w:name="_Toc13562565"/>
      <w:bookmarkStart w:id="5766" w:name="_Toc13568543"/>
      <w:bookmarkStart w:id="5767" w:name="_Toc13603134"/>
      <w:bookmarkStart w:id="5768" w:name="_Toc13603237"/>
      <w:bookmarkStart w:id="5769" w:name="_Toc13657777"/>
      <w:bookmarkStart w:id="5770" w:name="_Toc13663933"/>
      <w:r w:rsidRPr="007E0C12">
        <w:rPr>
          <w:rFonts w:hint="cs"/>
          <w:rtl/>
        </w:rPr>
        <w:t>דברי רש"י דהגדר בטעם כעיקר דההיתר נהפך לאיסור</w:t>
      </w:r>
      <w:bookmarkEnd w:id="5763"/>
      <w:bookmarkEnd w:id="5764"/>
      <w:bookmarkEnd w:id="5765"/>
      <w:bookmarkEnd w:id="5766"/>
      <w:bookmarkEnd w:id="5767"/>
      <w:bookmarkEnd w:id="5768"/>
      <w:bookmarkEnd w:id="5769"/>
      <w:bookmarkEnd w:id="5770"/>
    </w:p>
    <w:p w:rsidR="009A0058" w:rsidRPr="007E0C12" w:rsidRDefault="009A0058" w:rsidP="009A0058">
      <w:pPr>
        <w:pStyle w:val="a2"/>
        <w:rPr>
          <w:rtl/>
        </w:rPr>
      </w:pPr>
      <w:bookmarkStart w:id="5771" w:name="_Toc13568544"/>
      <w:bookmarkStart w:id="5772" w:name="_Toc13603135"/>
      <w:bookmarkStart w:id="5773" w:name="_Toc13603238"/>
      <w:bookmarkStart w:id="5774" w:name="_Toc13657778"/>
      <w:bookmarkStart w:id="5775" w:name="_Toc13663934"/>
      <w:r w:rsidRPr="007E0C12">
        <w:rPr>
          <w:rFonts w:hint="cs"/>
          <w:rtl/>
        </w:rPr>
        <w:t>דברי רש"י בפסחים דלמ"ד דטעם כעיקר דאו' כל שפשט בו טעם האיסור נעשה כולו איסור</w:t>
      </w:r>
      <w:bookmarkEnd w:id="5771"/>
      <w:bookmarkEnd w:id="5772"/>
      <w:bookmarkEnd w:id="5773"/>
      <w:bookmarkEnd w:id="5774"/>
      <w:bookmarkEnd w:id="5775"/>
      <w:r w:rsidRPr="007E0C12">
        <w:rPr>
          <w:rFonts w:hint="cs"/>
          <w:rtl/>
        </w:rPr>
        <w:t xml:space="preserve"> </w:t>
      </w:r>
    </w:p>
    <w:p w:rsidR="009A0058" w:rsidRPr="007E0C12" w:rsidRDefault="009A0058" w:rsidP="009F44AF">
      <w:pPr>
        <w:pStyle w:val="a"/>
        <w:rPr>
          <w:rStyle w:val="afa"/>
          <w:rtl/>
        </w:rPr>
      </w:pPr>
      <w:bookmarkStart w:id="5776" w:name="_Ref13418335"/>
      <w:bookmarkStart w:id="5777" w:name="_Ref13662999"/>
      <w:r w:rsidRPr="007E0C12">
        <w:rPr>
          <w:rFonts w:hint="cs"/>
          <w:rtl/>
        </w:rPr>
        <w:t xml:space="preserve">עו"כ </w:t>
      </w:r>
      <w:r w:rsidRPr="007E0C12">
        <w:rPr>
          <w:rStyle w:val="af8"/>
          <w:rFonts w:hint="cs"/>
          <w:rtl/>
        </w:rPr>
        <w:t>רש"י בפסחים</w:t>
      </w:r>
      <w:r w:rsidRPr="007E0C12">
        <w:rPr>
          <w:rFonts w:hint="cs"/>
          <w:rtl/>
        </w:rPr>
        <w:t xml:space="preserve"> </w:t>
      </w:r>
      <w:r w:rsidRPr="007E0C12">
        <w:rPr>
          <w:rStyle w:val="af6"/>
          <w:rFonts w:eastAsia="Guttman Hodes" w:hint="cs"/>
          <w:rtl/>
        </w:rPr>
        <w:t>(מד: ד"ה מפת)</w:t>
      </w:r>
      <w:r w:rsidRPr="007E0C12">
        <w:rPr>
          <w:rFonts w:hint="cs"/>
          <w:rtl/>
        </w:rPr>
        <w:t xml:space="preserve"> דלדעת ר"ע דאמרינן דהיתר מצטרף לאיסור, השורה חלק מפת בתוך יין, ואכל נזיר כזית מהפת והיין חייב, דאף שלא שרה את כל הפת ביין היא מצטרפת לאיסור, ולרבנן דלית להו היתר מצטרף לאיסור פטור, אך כתב </w:t>
      </w:r>
      <w:r w:rsidRPr="007E0C12">
        <w:rPr>
          <w:rStyle w:val="af8"/>
          <w:rFonts w:hint="cs"/>
          <w:rtl/>
        </w:rPr>
        <w:t>רש"י בפסחים</w:t>
      </w:r>
      <w:r w:rsidRPr="007E0C12">
        <w:rPr>
          <w:rFonts w:hint="cs"/>
          <w:rtl/>
        </w:rPr>
        <w:t xml:space="preserve"> דבמקום שפשט הטעם של היין בכל הפת אף לרבנן חייב, דס"ל לרבנן דטעם כעיקר דאו' כדילפינן ממשרת, וא"כ נעשית כל הפת כגוף האיסור, וחייב על כל הפת.</w:t>
      </w:r>
      <w:bookmarkEnd w:id="5776"/>
      <w:r w:rsidRPr="007E0C12">
        <w:rPr>
          <w:rFonts w:hint="cs"/>
          <w:rtl/>
        </w:rPr>
        <w:t xml:space="preserve"> </w:t>
      </w:r>
      <w:r>
        <w:rPr>
          <w:rStyle w:val="afa"/>
          <w:rFonts w:hint="cs"/>
          <w:rtl/>
        </w:rPr>
        <w:t xml:space="preserve">[ועמ"ש בדברי </w:t>
      </w:r>
      <w:r w:rsidRPr="007E40B1">
        <w:rPr>
          <w:rStyle w:val="affa"/>
          <w:rFonts w:hint="cs"/>
          <w:rtl/>
        </w:rPr>
        <w:t>רש"י</w:t>
      </w:r>
      <w:r>
        <w:rPr>
          <w:rStyle w:val="afa"/>
          <w:rFonts w:hint="cs"/>
          <w:rtl/>
        </w:rPr>
        <w:t xml:space="preserve"> </w:t>
      </w:r>
      <w:r w:rsidRPr="007E40B1">
        <w:rPr>
          <w:rStyle w:val="aff6"/>
          <w:rFonts w:hint="cs"/>
          <w:rtl/>
        </w:rPr>
        <w:t xml:space="preserve">(הובא לקמן סימן י' אות </w:t>
      </w:r>
      <w:r w:rsidR="00971984">
        <w:rPr>
          <w:rStyle w:val="aff6"/>
          <w:rtl/>
        </w:rPr>
        <w:fldChar w:fldCharType="begin"/>
      </w:r>
      <w:r w:rsidR="00971984">
        <w:rPr>
          <w:rStyle w:val="aff6"/>
          <w:rtl/>
        </w:rPr>
        <w:instrText xml:space="preserve"> </w:instrText>
      </w:r>
      <w:r w:rsidR="00971984">
        <w:rPr>
          <w:rStyle w:val="aff6"/>
          <w:rFonts w:hint="cs"/>
        </w:rPr>
        <w:instrText>REF</w:instrText>
      </w:r>
      <w:r w:rsidR="00971984">
        <w:rPr>
          <w:rStyle w:val="aff6"/>
          <w:rFonts w:hint="cs"/>
          <w:rtl/>
        </w:rPr>
        <w:instrText xml:space="preserve"> _</w:instrText>
      </w:r>
      <w:r w:rsidR="00971984">
        <w:rPr>
          <w:rStyle w:val="aff6"/>
          <w:rFonts w:hint="cs"/>
        </w:rPr>
        <w:instrText>Ref14427955 \r \h</w:instrText>
      </w:r>
      <w:r w:rsidR="00971984">
        <w:rPr>
          <w:rStyle w:val="aff6"/>
          <w:rtl/>
        </w:rPr>
        <w:instrText xml:space="preserve"> </w:instrText>
      </w:r>
      <w:r w:rsidR="00971984">
        <w:rPr>
          <w:rStyle w:val="aff6"/>
          <w:rtl/>
        </w:rPr>
      </w:r>
      <w:r w:rsidR="00971984">
        <w:rPr>
          <w:rStyle w:val="aff6"/>
          <w:rtl/>
        </w:rPr>
        <w:fldChar w:fldCharType="separate"/>
      </w:r>
      <w:r w:rsidR="004D1C5B">
        <w:rPr>
          <w:rStyle w:val="aff6"/>
          <w:cs/>
        </w:rPr>
        <w:t>‎</w:t>
      </w:r>
      <w:r w:rsidR="004D1C5B">
        <w:rPr>
          <w:rStyle w:val="aff6"/>
          <w:rtl/>
        </w:rPr>
        <w:t>א)</w:t>
      </w:r>
      <w:r w:rsidR="00971984">
        <w:rPr>
          <w:rStyle w:val="aff6"/>
          <w:rtl/>
        </w:rPr>
        <w:fldChar w:fldCharType="end"/>
      </w:r>
      <w:r>
        <w:rPr>
          <w:rStyle w:val="afa"/>
          <w:rFonts w:hint="cs"/>
          <w:rtl/>
        </w:rPr>
        <w:t xml:space="preserve"> באריכות</w:t>
      </w:r>
      <w:r w:rsidRPr="007E0C12">
        <w:rPr>
          <w:rStyle w:val="afa"/>
          <w:rFonts w:hint="cs"/>
          <w:rtl/>
        </w:rPr>
        <w:t>].</w:t>
      </w:r>
      <w:bookmarkEnd w:id="5777"/>
    </w:p>
    <w:p w:rsidR="009A0058" w:rsidRPr="007E0C12" w:rsidRDefault="009A0058" w:rsidP="00E669F8">
      <w:pPr>
        <w:pStyle w:val="afd"/>
        <w:rPr>
          <w:rtl/>
        </w:rPr>
      </w:pPr>
      <w:bookmarkStart w:id="5778" w:name="_Toc13418645"/>
      <w:bookmarkStart w:id="5779" w:name="_Toc13516478"/>
      <w:bookmarkStart w:id="5780" w:name="_Toc13562566"/>
      <w:bookmarkStart w:id="5781" w:name="_Toc13568545"/>
      <w:bookmarkStart w:id="5782" w:name="_Toc13603136"/>
      <w:bookmarkStart w:id="5783" w:name="_Toc13603239"/>
      <w:bookmarkStart w:id="5784" w:name="_Toc13657779"/>
      <w:bookmarkStart w:id="5785" w:name="_Toc13663935"/>
      <w:r w:rsidRPr="007E0C12">
        <w:rPr>
          <w:rFonts w:hint="cs"/>
          <w:rtl/>
        </w:rPr>
        <w:t>בביאור דעת רש</w:t>
      </w:r>
      <w:r w:rsidRPr="007E0C12">
        <w:rPr>
          <w:rFonts w:cs="Guttman Hodes" w:hint="cs"/>
          <w:rtl/>
        </w:rPr>
        <w:t>"</w:t>
      </w:r>
      <w:r w:rsidRPr="007E0C12">
        <w:rPr>
          <w:rFonts w:hint="cs"/>
          <w:rtl/>
        </w:rPr>
        <w:t>י באיסור שנימוח</w:t>
      </w:r>
      <w:bookmarkEnd w:id="5778"/>
      <w:bookmarkEnd w:id="5779"/>
      <w:bookmarkEnd w:id="5780"/>
      <w:bookmarkEnd w:id="5781"/>
      <w:bookmarkEnd w:id="5782"/>
      <w:bookmarkEnd w:id="5783"/>
      <w:bookmarkEnd w:id="5784"/>
      <w:bookmarkEnd w:id="5785"/>
    </w:p>
    <w:p w:rsidR="009A0058" w:rsidRPr="007E0C12" w:rsidRDefault="009A0058" w:rsidP="009A0058">
      <w:pPr>
        <w:pStyle w:val="1"/>
        <w:rPr>
          <w:rtl/>
        </w:rPr>
      </w:pPr>
      <w:bookmarkStart w:id="5786" w:name="_Toc13418646"/>
      <w:bookmarkStart w:id="5787" w:name="_Toc13516479"/>
      <w:bookmarkStart w:id="5788" w:name="_Toc13562567"/>
      <w:bookmarkStart w:id="5789" w:name="_Toc13568546"/>
      <w:bookmarkStart w:id="5790" w:name="_Toc13603137"/>
      <w:bookmarkStart w:id="5791" w:name="_Toc13603240"/>
      <w:bookmarkStart w:id="5792" w:name="_Toc13657780"/>
      <w:bookmarkStart w:id="5793" w:name="_Toc13663936"/>
      <w:r w:rsidRPr="007E0C12">
        <w:rPr>
          <w:rFonts w:hint="cs"/>
          <w:rtl/>
        </w:rPr>
        <w:t xml:space="preserve">ביאורי </w:t>
      </w:r>
      <w:bookmarkEnd w:id="5786"/>
      <w:bookmarkEnd w:id="5787"/>
      <w:bookmarkEnd w:id="5788"/>
      <w:r w:rsidRPr="007E0C12">
        <w:rPr>
          <w:rFonts w:hint="cs"/>
          <w:rtl/>
        </w:rPr>
        <w:t>הראשונים ברש"י דאיסור שאינו בעין הוא טע"כ דרבנן</w:t>
      </w:r>
      <w:bookmarkEnd w:id="5789"/>
      <w:bookmarkEnd w:id="5790"/>
      <w:bookmarkEnd w:id="5791"/>
      <w:bookmarkEnd w:id="5792"/>
      <w:bookmarkEnd w:id="5793"/>
    </w:p>
    <w:p w:rsidR="009A0058" w:rsidRPr="007E0C12" w:rsidRDefault="009A0058" w:rsidP="009A0058">
      <w:pPr>
        <w:pStyle w:val="a2"/>
        <w:rPr>
          <w:rtl/>
        </w:rPr>
      </w:pPr>
      <w:bookmarkStart w:id="5794" w:name="_Toc13568547"/>
      <w:bookmarkStart w:id="5795" w:name="_Toc13603138"/>
      <w:bookmarkStart w:id="5796" w:name="_Toc13603241"/>
      <w:bookmarkStart w:id="5797" w:name="_Toc13657781"/>
      <w:bookmarkStart w:id="5798" w:name="_Toc13663937"/>
      <w:r w:rsidRPr="007E0C12">
        <w:rPr>
          <w:rFonts w:hint="cs"/>
          <w:rtl/>
        </w:rPr>
        <w:t>דברי סה"ת והמרדכי וההג"מ דלרש"י טעמו ולא ממשו דרבנן הוא אף באופן דאכל כזית בכא"פ</w:t>
      </w:r>
      <w:bookmarkEnd w:id="5794"/>
      <w:bookmarkEnd w:id="5795"/>
      <w:bookmarkEnd w:id="5796"/>
      <w:bookmarkEnd w:id="5797"/>
      <w:bookmarkEnd w:id="5798"/>
    </w:p>
    <w:p w:rsidR="009A0058" w:rsidRPr="007E0C12" w:rsidRDefault="009A0058" w:rsidP="009F44AF">
      <w:pPr>
        <w:pStyle w:val="a"/>
        <w:rPr>
          <w:rtl/>
        </w:rPr>
      </w:pPr>
      <w:bookmarkStart w:id="5799" w:name="_Ref13599598"/>
      <w:bookmarkStart w:id="5800" w:name="_Ref13134666"/>
      <w:r w:rsidRPr="007E0C12">
        <w:rPr>
          <w:rFonts w:hint="cs"/>
          <w:rtl/>
        </w:rPr>
        <w:t xml:space="preserve">וכתבו </w:t>
      </w:r>
      <w:r w:rsidRPr="007E0C12">
        <w:rPr>
          <w:rStyle w:val="af8"/>
          <w:rFonts w:hint="cs"/>
          <w:rtl/>
        </w:rPr>
        <w:t>בספר התרומה</w:t>
      </w:r>
      <w:r w:rsidRPr="007E0C12">
        <w:rPr>
          <w:rFonts w:hint="cs"/>
          <w:rtl/>
        </w:rPr>
        <w:t xml:space="preserve"> </w:t>
      </w:r>
      <w:r w:rsidRPr="007E0C12">
        <w:rPr>
          <w:rStyle w:val="af6"/>
          <w:rFonts w:eastAsia="Guttman Hodes" w:hint="cs"/>
          <w:rtl/>
        </w:rPr>
        <w:t xml:space="preserve">(איסור והיתר סי' מ"ט רד"ה ועתה, הועתק בקובץ שיטות קמאי חולין ח"ג עמ' ב' אלף רצ"ט) </w:t>
      </w:r>
      <w:r w:rsidRPr="007E0C12">
        <w:rPr>
          <w:rStyle w:val="af8"/>
          <w:rFonts w:hint="cs"/>
          <w:rtl/>
        </w:rPr>
        <w:t>ובמרדכי</w:t>
      </w:r>
      <w:r w:rsidRPr="007E0C12">
        <w:rPr>
          <w:rFonts w:hint="cs"/>
          <w:rtl/>
        </w:rPr>
        <w:t xml:space="preserve"> </w:t>
      </w:r>
      <w:r w:rsidRPr="007E0C12">
        <w:rPr>
          <w:rStyle w:val="af6"/>
          <w:rFonts w:eastAsia="Guttman Hodes" w:hint="cs"/>
          <w:rtl/>
        </w:rPr>
        <w:t>(ע"ז רמז תתנ"ד)</w:t>
      </w:r>
      <w:r w:rsidRPr="007E0C12">
        <w:rPr>
          <w:rFonts w:hint="cs"/>
          <w:rtl/>
        </w:rPr>
        <w:t xml:space="preserve"> </w:t>
      </w:r>
      <w:r w:rsidRPr="007E0C12">
        <w:rPr>
          <w:rStyle w:val="af8"/>
          <w:rFonts w:hint="cs"/>
          <w:rtl/>
        </w:rPr>
        <w:t>ובהג"מ</w:t>
      </w:r>
      <w:r w:rsidRPr="007E0C12">
        <w:rPr>
          <w:rFonts w:hint="cs"/>
          <w:rtl/>
        </w:rPr>
        <w:t xml:space="preserve"> </w:t>
      </w:r>
      <w:r w:rsidRPr="007E0C12">
        <w:rPr>
          <w:rStyle w:val="af6"/>
          <w:rFonts w:eastAsia="Guttman Hodes" w:hint="cs"/>
          <w:rtl/>
        </w:rPr>
        <w:t>(מאכ"א פט"ו ה"ג)</w:t>
      </w:r>
      <w:r w:rsidRPr="007E0C12">
        <w:rPr>
          <w:rFonts w:hint="cs"/>
          <w:rtl/>
        </w:rPr>
        <w:t xml:space="preserve"> דס"ל </w:t>
      </w:r>
      <w:r w:rsidRPr="007E0C12">
        <w:rPr>
          <w:rStyle w:val="af8"/>
          <w:rFonts w:hint="cs"/>
          <w:rtl/>
        </w:rPr>
        <w:t>לרש"י</w:t>
      </w:r>
      <w:r w:rsidRPr="007E0C12">
        <w:rPr>
          <w:rFonts w:hint="cs"/>
          <w:rtl/>
        </w:rPr>
        <w:t xml:space="preserve"> דטעם כעיקר אינו אסור מדאו', אף באופן שאכל כ"כ הרבה מהאיסור שנבלע בתערובת, כשיעור כזית בכדי אכילת פרס, והוסיף </w:t>
      </w:r>
      <w:r w:rsidRPr="007E0C12">
        <w:rPr>
          <w:rStyle w:val="af8"/>
          <w:rFonts w:hint="cs"/>
          <w:rtl/>
        </w:rPr>
        <w:t>ההג"מ</w:t>
      </w:r>
      <w:r w:rsidRPr="007E0C12">
        <w:rPr>
          <w:rFonts w:hint="cs"/>
          <w:rtl/>
        </w:rPr>
        <w:t xml:space="preserve"> דהוא כמשמעות הפשוטה בדברי ריו"ח בע"ז, וכתב </w:t>
      </w:r>
      <w:r w:rsidRPr="007E0C12">
        <w:rPr>
          <w:rStyle w:val="af8"/>
          <w:rFonts w:hint="cs"/>
          <w:rtl/>
        </w:rPr>
        <w:t>ההג"מ</w:t>
      </w:r>
      <w:r w:rsidRPr="007E0C12">
        <w:rPr>
          <w:rFonts w:hint="cs"/>
          <w:rtl/>
        </w:rPr>
        <w:t xml:space="preserve"> דכן דעת </w:t>
      </w:r>
      <w:r w:rsidRPr="007E0C12">
        <w:rPr>
          <w:rStyle w:val="af8"/>
          <w:rFonts w:hint="cs"/>
          <w:rtl/>
        </w:rPr>
        <w:t>הבה"ג</w:t>
      </w:r>
      <w:r w:rsidRPr="007E0C12">
        <w:rPr>
          <w:rFonts w:hint="cs"/>
          <w:rtl/>
        </w:rPr>
        <w:t xml:space="preserve"> </w:t>
      </w:r>
      <w:r w:rsidRPr="007E0C12">
        <w:rPr>
          <w:rStyle w:val="af6"/>
          <w:rFonts w:eastAsia="Guttman Hodes" w:hint="cs"/>
          <w:rtl/>
        </w:rPr>
        <w:t>(סי' ס"ד הלכות חלב [מהדו' מכון י-ם עמ' תרמ"א</w:t>
      </w:r>
      <w:r>
        <w:rPr>
          <w:rStyle w:val="af6"/>
          <w:rFonts w:eastAsia="Guttman Hodes" w:hint="cs"/>
          <w:rtl/>
        </w:rPr>
        <w:t>)</w:t>
      </w:r>
      <w:r w:rsidRPr="007E0C12">
        <w:rPr>
          <w:rFonts w:hint="cs"/>
          <w:rtl/>
        </w:rPr>
        <w:t>.</w:t>
      </w:r>
      <w:bookmarkEnd w:id="5799"/>
    </w:p>
    <w:p w:rsidR="009A0058" w:rsidRPr="007E0C12" w:rsidRDefault="009A0058" w:rsidP="009A0058">
      <w:pPr>
        <w:pStyle w:val="a2"/>
      </w:pPr>
      <w:bookmarkStart w:id="5801" w:name="_Toc13568548"/>
      <w:bookmarkStart w:id="5802" w:name="_Toc13603139"/>
      <w:bookmarkStart w:id="5803" w:name="_Toc13603242"/>
      <w:bookmarkStart w:id="5804" w:name="_Toc13657782"/>
      <w:bookmarkStart w:id="5805" w:name="_Toc13663938"/>
      <w:r w:rsidRPr="007E0C12">
        <w:rPr>
          <w:rFonts w:hint="cs"/>
          <w:rtl/>
        </w:rPr>
        <w:lastRenderedPageBreak/>
        <w:t>ביאור סה"ת והמרדכי וההג"מ ברש"י דאסרה תורה רק איסור בעין ולא אסרה טעם בלוע</w:t>
      </w:r>
      <w:bookmarkEnd w:id="5801"/>
      <w:bookmarkEnd w:id="5802"/>
      <w:bookmarkEnd w:id="5803"/>
      <w:bookmarkEnd w:id="5804"/>
      <w:bookmarkEnd w:id="5805"/>
    </w:p>
    <w:p w:rsidR="009A0058" w:rsidRDefault="009A0058" w:rsidP="009F44AF">
      <w:pPr>
        <w:pStyle w:val="a"/>
        <w:rPr>
          <w:rtl/>
        </w:rPr>
      </w:pPr>
      <w:r w:rsidRPr="007E0C12">
        <w:rPr>
          <w:rFonts w:hint="cs"/>
          <w:rtl/>
        </w:rPr>
        <w:t xml:space="preserve">וביארו </w:t>
      </w:r>
      <w:r w:rsidRPr="007E0C12">
        <w:rPr>
          <w:rStyle w:val="af8"/>
          <w:rFonts w:hint="cs"/>
          <w:rtl/>
        </w:rPr>
        <w:t>בספר התרומה ובמרדכי ובההג"מ</w:t>
      </w:r>
      <w:r w:rsidRPr="007E0C12">
        <w:rPr>
          <w:rFonts w:hint="cs"/>
          <w:rtl/>
        </w:rPr>
        <w:t xml:space="preserve"> דהתורה אסרה את האיסור רק כשהוא בעין, אבל לא אסרה תורה טעם של איסור שנבלע במקום אחר</w:t>
      </w:r>
      <w:bookmarkEnd w:id="5800"/>
      <w:r w:rsidRPr="007E0C12">
        <w:rPr>
          <w:rFonts w:hint="cs"/>
          <w:rtl/>
        </w:rPr>
        <w:t>.</w:t>
      </w:r>
    </w:p>
    <w:p w:rsidR="009A0058" w:rsidRPr="00011469" w:rsidRDefault="009A0058" w:rsidP="009A0058">
      <w:pPr>
        <w:pStyle w:val="1"/>
        <w:rPr>
          <w:rtl/>
        </w:rPr>
      </w:pPr>
      <w:bookmarkStart w:id="5806" w:name="_Toc13603243"/>
      <w:bookmarkStart w:id="5807" w:name="_Toc13657783"/>
      <w:bookmarkStart w:id="5808" w:name="_Toc13663939"/>
      <w:r w:rsidRPr="00011469">
        <w:rPr>
          <w:rtl/>
        </w:rPr>
        <w:t>ביאורי הראשונים ברש"י דבטעם כעיקר גוף האיסור אינו בעין</w:t>
      </w:r>
      <w:bookmarkEnd w:id="5806"/>
      <w:bookmarkEnd w:id="5807"/>
      <w:bookmarkEnd w:id="5808"/>
    </w:p>
    <w:p w:rsidR="009A0058" w:rsidRPr="007E0C12" w:rsidRDefault="009A0058" w:rsidP="009A0058">
      <w:pPr>
        <w:pStyle w:val="a2"/>
        <w:rPr>
          <w:rtl/>
        </w:rPr>
      </w:pPr>
      <w:bookmarkStart w:id="5809" w:name="_Toc13568550"/>
      <w:bookmarkStart w:id="5810" w:name="_Toc13603141"/>
      <w:bookmarkStart w:id="5811" w:name="_Toc13603244"/>
      <w:bookmarkStart w:id="5812" w:name="_Toc13657784"/>
      <w:bookmarkStart w:id="5813" w:name="_Toc13663940"/>
      <w:r w:rsidRPr="007E0C12">
        <w:rPr>
          <w:rFonts w:hint="cs"/>
          <w:rtl/>
        </w:rPr>
        <w:t>דברי הרמב"ן ברש"י דבטעמו ולא ממשו אין את ממשות האיסור לא בעין ולא  מעורב בהיתר</w:t>
      </w:r>
      <w:bookmarkEnd w:id="5809"/>
      <w:bookmarkEnd w:id="5810"/>
      <w:bookmarkEnd w:id="5811"/>
      <w:bookmarkEnd w:id="5812"/>
      <w:bookmarkEnd w:id="5813"/>
    </w:p>
    <w:p w:rsidR="009A0058" w:rsidRPr="007E0C12" w:rsidRDefault="009A0058" w:rsidP="009F44AF">
      <w:pPr>
        <w:pStyle w:val="a"/>
        <w:rPr>
          <w:rtl/>
        </w:rPr>
      </w:pPr>
      <w:r w:rsidRPr="007E0C12">
        <w:rPr>
          <w:rStyle w:val="af8"/>
          <w:rFonts w:hint="cs"/>
          <w:rtl/>
        </w:rPr>
        <w:t>והרמב"ן</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Ref13565457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קד)</w:t>
      </w:r>
      <w:r w:rsidRPr="007E0C12">
        <w:rPr>
          <w:rStyle w:val="af6"/>
          <w:rFonts w:eastAsia="Guttman Hodes"/>
          <w:rtl/>
        </w:rPr>
        <w:fldChar w:fldCharType="end"/>
      </w:r>
      <w:r w:rsidRPr="007E0C12">
        <w:rPr>
          <w:rFonts w:hint="cs"/>
          <w:rtl/>
        </w:rPr>
        <w:t xml:space="preserve"> כתב בדעת </w:t>
      </w:r>
      <w:r w:rsidRPr="007E0C12">
        <w:rPr>
          <w:rStyle w:val="af8"/>
          <w:rFonts w:hint="cs"/>
          <w:rtl/>
        </w:rPr>
        <w:t>רש"י</w:t>
      </w:r>
      <w:r w:rsidRPr="007E0C12">
        <w:rPr>
          <w:rFonts w:hint="cs"/>
          <w:rtl/>
        </w:rPr>
        <w:t xml:space="preserve"> דטעמו ולא ממשו, היינו במקום שאין את ממשו של האיסור, לא בעין ולא מעורב בתוך ההיתר, אלא האיסור התבטל לגמרי ונשאר רק טעם האיסור, וציין </w:t>
      </w:r>
      <w:r w:rsidRPr="007E0C12">
        <w:rPr>
          <w:rStyle w:val="af8"/>
          <w:rFonts w:hint="cs"/>
          <w:rtl/>
        </w:rPr>
        <w:t>הרמב"ן</w:t>
      </w:r>
      <w:r w:rsidRPr="007E0C12">
        <w:rPr>
          <w:rFonts w:hint="cs"/>
          <w:rtl/>
        </w:rPr>
        <w:t xml:space="preserve"> לדבריו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Ref13565897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7E0C12">
        <w:rPr>
          <w:rStyle w:val="af6"/>
          <w:rFonts w:eastAsia="Guttman Hodes"/>
          <w:rtl/>
        </w:rPr>
        <w:fldChar w:fldCharType="end"/>
      </w:r>
      <w:r w:rsidRPr="007E0C12">
        <w:rPr>
          <w:rFonts w:hint="cs"/>
          <w:rtl/>
        </w:rPr>
        <w:t xml:space="preserve"> דביאר דבטעם כעיקר גוף האיסור לא מעורב בתערובת, כשרה ענבים במים שאין בהם מגוף היין כלל, או שנפלה טיפת יין למים דחשיב שממשו של היין אבד, וכן בבשר בחלב שהבשר נתן טעם בחלב, או שנתן החלב טעם בבשר, ועי' בדברי </w:t>
      </w:r>
      <w:r w:rsidRPr="007E0C12">
        <w:rPr>
          <w:rStyle w:val="af8"/>
          <w:rFonts w:hint="cs"/>
          <w:rtl/>
        </w:rPr>
        <w:t>רש"י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Ref12961369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7E0C12">
        <w:rPr>
          <w:rStyle w:val="af6"/>
          <w:rFonts w:eastAsia="Guttman Hodes"/>
          <w:rtl/>
        </w:rPr>
        <w:fldChar w:fldCharType="end"/>
      </w:r>
      <w:r w:rsidRPr="007E0C12">
        <w:rPr>
          <w:rFonts w:hint="cs"/>
          <w:rtl/>
        </w:rPr>
        <w:t xml:space="preserve">.  </w:t>
      </w:r>
    </w:p>
    <w:p w:rsidR="009A0058" w:rsidRPr="007E0C12" w:rsidRDefault="009A0058" w:rsidP="009A0058">
      <w:pPr>
        <w:pStyle w:val="a2"/>
        <w:rPr>
          <w:rtl/>
        </w:rPr>
      </w:pPr>
      <w:bookmarkStart w:id="5814" w:name="_Toc13568551"/>
      <w:bookmarkStart w:id="5815" w:name="_Toc13603142"/>
      <w:bookmarkStart w:id="5816" w:name="_Toc13603245"/>
      <w:bookmarkStart w:id="5817" w:name="_Toc13657785"/>
      <w:bookmarkStart w:id="5818" w:name="_Toc13663941"/>
      <w:r w:rsidRPr="007E0C12">
        <w:rPr>
          <w:rFonts w:hint="cs"/>
          <w:rtl/>
        </w:rPr>
        <w:t>דברי הרשב"א במשה"ב דלרש"י ותוס' טעם היינו שאין מגופו של איסור אבל חלב בבשר הוא ממשו</w:t>
      </w:r>
      <w:bookmarkEnd w:id="5814"/>
      <w:bookmarkEnd w:id="5815"/>
      <w:bookmarkEnd w:id="5816"/>
      <w:bookmarkEnd w:id="5817"/>
      <w:bookmarkEnd w:id="5818"/>
    </w:p>
    <w:p w:rsidR="009A0058" w:rsidRPr="007E0C12" w:rsidRDefault="009A0058" w:rsidP="009F44AF">
      <w:pPr>
        <w:pStyle w:val="a"/>
        <w:rPr>
          <w:rtl/>
        </w:rPr>
      </w:pPr>
      <w:r w:rsidRPr="007E0C12">
        <w:rPr>
          <w:rFonts w:hint="cs"/>
          <w:rtl/>
        </w:rPr>
        <w:t xml:space="preserve">כתב </w:t>
      </w:r>
      <w:r w:rsidRPr="007E0C12">
        <w:rPr>
          <w:rStyle w:val="af8"/>
          <w:rFonts w:hint="cs"/>
          <w:rtl/>
        </w:rPr>
        <w:t>הרשב"א במשה"ב</w:t>
      </w:r>
      <w:r w:rsidRPr="007E0C12">
        <w:rPr>
          <w:rFonts w:hint="cs"/>
          <w:rtl/>
        </w:rPr>
        <w:t xml:space="preserve"> </w:t>
      </w:r>
      <w:r w:rsidRPr="007E0C12">
        <w:rPr>
          <w:rStyle w:val="af6"/>
          <w:rFonts w:eastAsia="Guttman Hodes" w:hint="cs"/>
          <w:rtl/>
        </w:rPr>
        <w:t xml:space="preserve">(ב"ד ש"א יט. מדה"ס סוף הד"ה הראשון) </w:t>
      </w:r>
      <w:r w:rsidRPr="007E0C12">
        <w:rPr>
          <w:rFonts w:hint="cs"/>
          <w:rtl/>
        </w:rPr>
        <w:t xml:space="preserve">דלדעת </w:t>
      </w:r>
      <w:r w:rsidRPr="007E0C12">
        <w:rPr>
          <w:rStyle w:val="af8"/>
          <w:rFonts w:hint="cs"/>
          <w:rtl/>
        </w:rPr>
        <w:t>רש"י ותוס'</w:t>
      </w:r>
      <w:r w:rsidRPr="007E0C12">
        <w:rPr>
          <w:rFonts w:hint="cs"/>
          <w:rtl/>
        </w:rPr>
        <w:t xml:space="preserve"> הביאור בטעמו ולא ממשו, הוא שאין בתערובת מגופו של האיסור, ויש רק את טעמו, כבשר בחלב שאין בחלב את גוף הבשר, ויש רק את טעמו, וכן ענבים ששרה אותם במים, ויש בהם טעם יין, אבל חלב שנבלע בתוך הבשר, אינו נקרא טעמו ולא ממשו, אלא הוא ממשו של האיסור, ועי' בדברי </w:t>
      </w:r>
      <w:r w:rsidRPr="007E0C12">
        <w:rPr>
          <w:rStyle w:val="af8"/>
          <w:rFonts w:hint="cs"/>
          <w:rtl/>
        </w:rPr>
        <w:t>רש"י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Ref12961369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7E0C12">
        <w:rPr>
          <w:rStyle w:val="af6"/>
          <w:rFonts w:eastAsia="Guttman Hodes"/>
          <w:rtl/>
        </w:rPr>
        <w:fldChar w:fldCharType="end"/>
      </w:r>
      <w:r w:rsidRPr="007E0C12">
        <w:rPr>
          <w:rFonts w:hint="cs"/>
          <w:rtl/>
        </w:rPr>
        <w:t>.</w:t>
      </w:r>
    </w:p>
    <w:p w:rsidR="009A0058" w:rsidRPr="007E0C12" w:rsidRDefault="009A0058" w:rsidP="009A0058">
      <w:pPr>
        <w:pStyle w:val="a2"/>
        <w:rPr>
          <w:rtl/>
        </w:rPr>
      </w:pPr>
      <w:bookmarkStart w:id="5819" w:name="_Toc13568552"/>
      <w:bookmarkStart w:id="5820" w:name="_Toc13603143"/>
      <w:bookmarkStart w:id="5821" w:name="_Toc13603246"/>
      <w:bookmarkStart w:id="5822" w:name="_Toc13657786"/>
      <w:bookmarkStart w:id="5823" w:name="_Toc13663942"/>
      <w:r w:rsidRPr="007E0C12">
        <w:rPr>
          <w:rFonts w:hint="cs"/>
          <w:rtl/>
        </w:rPr>
        <w:t>דברי הריטב"א ברש"י דטעם כעיקר הוא באיסור נימוח או בשרה ענבים ביין או בסילק את האיסור</w:t>
      </w:r>
      <w:bookmarkEnd w:id="5819"/>
      <w:bookmarkEnd w:id="5820"/>
      <w:bookmarkEnd w:id="5821"/>
      <w:bookmarkEnd w:id="5822"/>
      <w:bookmarkEnd w:id="5823"/>
    </w:p>
    <w:p w:rsidR="009A0058" w:rsidRDefault="009A0058" w:rsidP="009F44AF">
      <w:pPr>
        <w:pStyle w:val="a"/>
        <w:rPr>
          <w:rtl/>
        </w:rPr>
      </w:pPr>
      <w:r w:rsidRPr="007E0C12">
        <w:rPr>
          <w:rStyle w:val="af8"/>
          <w:rFonts w:hint="cs"/>
          <w:rtl/>
        </w:rPr>
        <w:t>והריטב"א</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Ref13431103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7E0C12">
        <w:rPr>
          <w:rStyle w:val="af6"/>
          <w:rFonts w:eastAsia="Guttman Hodes"/>
          <w:rtl/>
        </w:rPr>
        <w:fldChar w:fldCharType="end"/>
      </w:r>
      <w:r w:rsidRPr="007E0C12">
        <w:rPr>
          <w:rFonts w:hint="cs"/>
          <w:rtl/>
        </w:rPr>
        <w:t xml:space="preserve"> ביאר בדעת </w:t>
      </w:r>
      <w:r w:rsidRPr="007E0C12">
        <w:rPr>
          <w:rStyle w:val="af8"/>
          <w:rFonts w:hint="cs"/>
          <w:rtl/>
        </w:rPr>
        <w:t>רש"י</w:t>
      </w:r>
      <w:r w:rsidRPr="007E0C12">
        <w:rPr>
          <w:rFonts w:hint="cs"/>
          <w:rtl/>
        </w:rPr>
        <w:t xml:space="preserve"> דטעם כעיקר היינו שיש רק את טעמו ולא ממשו, כגון שנפל איסור שהיה בשעת הנפילה כזית בכדי אכילת פרס, ונמחה כולו עד שיש באיסור רק את טעמו ולא את ממשו, או בשרה ענבים ביין, או כשנפל איסור לתוך ההיתר, וסילק את האיסור ונשאר רק טעמו, והוסיף </w:t>
      </w:r>
      <w:r w:rsidRPr="007E0C12">
        <w:rPr>
          <w:rStyle w:val="af8"/>
          <w:rFonts w:hint="cs"/>
          <w:rtl/>
        </w:rPr>
        <w:t>הריטב"א</w:t>
      </w:r>
      <w:r>
        <w:rPr>
          <w:rFonts w:hint="cs"/>
          <w:rtl/>
        </w:rPr>
        <w:t xml:space="preserve"> דכן מוכח מלשון ריו"ח.</w:t>
      </w:r>
    </w:p>
    <w:p w:rsidR="009A0058" w:rsidRDefault="009A0058" w:rsidP="009A0058">
      <w:pPr>
        <w:pStyle w:val="a2"/>
        <w:rPr>
          <w:rtl/>
        </w:rPr>
      </w:pPr>
      <w:bookmarkStart w:id="5824" w:name="_Toc13657787"/>
      <w:bookmarkStart w:id="5825" w:name="_Toc13663943"/>
      <w:r>
        <w:rPr>
          <w:rFonts w:hint="cs"/>
          <w:rtl/>
        </w:rPr>
        <w:t>ביאור הי"א ברא"ש ברש"י דבריבוי התערובת ע"י ממשות איסור שלא נימוח הוי טעמו וממשו</w:t>
      </w:r>
      <w:bookmarkEnd w:id="5824"/>
      <w:bookmarkEnd w:id="5825"/>
    </w:p>
    <w:p w:rsidR="009A0058" w:rsidRDefault="009A0058" w:rsidP="009F44AF">
      <w:pPr>
        <w:pStyle w:val="a"/>
      </w:pPr>
      <w:r w:rsidRPr="007E0C12">
        <w:rPr>
          <w:rFonts w:hint="cs"/>
          <w:rtl/>
        </w:rPr>
        <w:t>ו</w:t>
      </w:r>
      <w:r>
        <w:rPr>
          <w:rFonts w:hint="cs"/>
          <w:rtl/>
        </w:rPr>
        <w:t xml:space="preserve">עי' במ"ש </w:t>
      </w:r>
      <w:r w:rsidRPr="00A34C06">
        <w:rPr>
          <w:rStyle w:val="af8"/>
          <w:rFonts w:hint="cs"/>
          <w:rtl/>
        </w:rPr>
        <w:t>הרא"ש</w:t>
      </w:r>
      <w:r w:rsidRPr="007E0C12">
        <w:rPr>
          <w:rFonts w:hint="cs"/>
          <w:rtl/>
        </w:rPr>
        <w:t xml:space="preserve"> </w:t>
      </w:r>
      <w:r w:rsidRPr="001C0CB1">
        <w:rPr>
          <w:rStyle w:val="af6"/>
          <w:rFonts w:eastAsia="Guttman Hodes" w:hint="cs"/>
          <w:rtl/>
        </w:rPr>
        <w:t xml:space="preserve">(עי' אות </w:t>
      </w:r>
      <w:r w:rsidRPr="001C0CB1">
        <w:rPr>
          <w:rStyle w:val="af6"/>
          <w:rFonts w:eastAsia="Guttman Hodes"/>
          <w:rtl/>
        </w:rPr>
        <w:fldChar w:fldCharType="begin"/>
      </w:r>
      <w:r w:rsidRPr="001C0CB1">
        <w:rPr>
          <w:rStyle w:val="af6"/>
          <w:rFonts w:eastAsia="Guttman Hodes"/>
          <w:rtl/>
        </w:rPr>
        <w:instrText xml:space="preserve"> </w:instrText>
      </w:r>
      <w:r w:rsidRPr="001C0CB1">
        <w:rPr>
          <w:rStyle w:val="af6"/>
          <w:rFonts w:eastAsia="Guttman Hodes" w:hint="cs"/>
        </w:rPr>
        <w:instrText>REF</w:instrText>
      </w:r>
      <w:r w:rsidRPr="001C0CB1">
        <w:rPr>
          <w:rStyle w:val="af6"/>
          <w:rFonts w:eastAsia="Guttman Hodes" w:hint="cs"/>
          <w:rtl/>
        </w:rPr>
        <w:instrText xml:space="preserve"> _</w:instrText>
      </w:r>
      <w:r w:rsidRPr="001C0CB1">
        <w:rPr>
          <w:rStyle w:val="af6"/>
          <w:rFonts w:eastAsia="Guttman Hodes" w:hint="cs"/>
        </w:rPr>
        <w:instrText>Ref13648317 \r \h</w:instrText>
      </w:r>
      <w:r w:rsidRPr="001C0CB1">
        <w:rPr>
          <w:rStyle w:val="af6"/>
          <w:rFonts w:eastAsia="Guttman Hodes"/>
          <w:rtl/>
        </w:rPr>
        <w:instrText xml:space="preserve"> </w:instrText>
      </w:r>
      <w:r w:rsidRPr="001C0CB1">
        <w:rPr>
          <w:rStyle w:val="af6"/>
          <w:rFonts w:eastAsia="Guttman Hodes"/>
          <w:rtl/>
        </w:rPr>
      </w:r>
      <w:r w:rsidRPr="001C0CB1">
        <w:rPr>
          <w:rStyle w:val="af6"/>
          <w:rFonts w:eastAsia="Guttman Hodes"/>
          <w:rtl/>
        </w:rPr>
        <w:fldChar w:fldCharType="separate"/>
      </w:r>
      <w:r w:rsidR="004D1C5B">
        <w:rPr>
          <w:rStyle w:val="af6"/>
          <w:rFonts w:eastAsia="Guttman Hodes"/>
          <w:cs/>
        </w:rPr>
        <w:t>‎</w:t>
      </w:r>
      <w:r w:rsidR="004D1C5B">
        <w:rPr>
          <w:rStyle w:val="af6"/>
          <w:rFonts w:eastAsia="Guttman Hodes"/>
          <w:rtl/>
        </w:rPr>
        <w:t>צח)</w:t>
      </w:r>
      <w:r w:rsidRPr="001C0CB1">
        <w:rPr>
          <w:rStyle w:val="af6"/>
          <w:rFonts w:eastAsia="Guttman Hodes"/>
          <w:rtl/>
        </w:rPr>
        <w:fldChar w:fldCharType="end"/>
      </w:r>
      <w:r>
        <w:rPr>
          <w:rFonts w:hint="cs"/>
          <w:rtl/>
        </w:rPr>
        <w:t xml:space="preserve"> </w:t>
      </w:r>
      <w:r w:rsidRPr="007E0C12">
        <w:rPr>
          <w:rFonts w:hint="cs"/>
          <w:rtl/>
        </w:rPr>
        <w:t xml:space="preserve">בשם </w:t>
      </w:r>
      <w:r w:rsidRPr="00A34C06">
        <w:rPr>
          <w:rStyle w:val="af8"/>
          <w:rFonts w:hint="cs"/>
          <w:rtl/>
        </w:rPr>
        <w:t>י"א</w:t>
      </w:r>
      <w:r w:rsidRPr="002040A5">
        <w:rPr>
          <w:rFonts w:hint="cs"/>
          <w:rtl/>
        </w:rPr>
        <w:t xml:space="preserve"> דביארו בדעת </w:t>
      </w:r>
      <w:r w:rsidRPr="00A34C06">
        <w:rPr>
          <w:rStyle w:val="af8"/>
          <w:rFonts w:hint="cs"/>
          <w:rtl/>
        </w:rPr>
        <w:t>רש"י</w:t>
      </w:r>
      <w:r w:rsidRPr="007E0C12">
        <w:rPr>
          <w:rFonts w:hint="cs"/>
          <w:rtl/>
        </w:rPr>
        <w:t xml:space="preserve"> </w:t>
      </w:r>
      <w:r>
        <w:rPr>
          <w:rFonts w:hint="cs"/>
          <w:rtl/>
        </w:rPr>
        <w:t>דבמקום שגופו של האיסור מעורב בתערובת, ונתרבתה התערובת עי"ז חשיב טעמו וממשו, ורק ב</w:t>
      </w:r>
      <w:r w:rsidRPr="007E0C12">
        <w:rPr>
          <w:rtl/>
        </w:rPr>
        <w:t>חֵלֶב</w:t>
      </w:r>
      <w:r w:rsidRPr="007E0C12">
        <w:rPr>
          <w:rFonts w:hint="cs"/>
          <w:rtl/>
        </w:rPr>
        <w:t xml:space="preserve"> </w:t>
      </w:r>
      <w:r>
        <w:rPr>
          <w:rFonts w:hint="cs"/>
          <w:rtl/>
        </w:rPr>
        <w:t>ש</w:t>
      </w:r>
      <w:r w:rsidRPr="007E0C12">
        <w:rPr>
          <w:rFonts w:hint="cs"/>
          <w:rtl/>
        </w:rPr>
        <w:t xml:space="preserve">נימוח שאין </w:t>
      </w:r>
      <w:r>
        <w:rPr>
          <w:rFonts w:hint="cs"/>
          <w:rtl/>
        </w:rPr>
        <w:t xml:space="preserve">בתערובת </w:t>
      </w:r>
      <w:r w:rsidRPr="007E0C12">
        <w:rPr>
          <w:rFonts w:hint="cs"/>
          <w:rtl/>
        </w:rPr>
        <w:t>את ממשות ה</w:t>
      </w:r>
      <w:r w:rsidRPr="007E0C12">
        <w:rPr>
          <w:rtl/>
        </w:rPr>
        <w:t>חֵלֶב</w:t>
      </w:r>
      <w:r w:rsidRPr="007E0C12">
        <w:rPr>
          <w:rFonts w:hint="cs"/>
          <w:rtl/>
        </w:rPr>
        <w:t xml:space="preserve">, </w:t>
      </w:r>
      <w:r>
        <w:rPr>
          <w:rFonts w:hint="cs"/>
          <w:rtl/>
        </w:rPr>
        <w:t xml:space="preserve">חשיב טעמו ולא ממשו, אף שנתרבתה התערובת ע"י החלב, ועי' במה שדחה </w:t>
      </w:r>
      <w:r w:rsidRPr="001E0D6D">
        <w:rPr>
          <w:rStyle w:val="af8"/>
          <w:rFonts w:hint="cs"/>
          <w:rtl/>
        </w:rPr>
        <w:t>הרא"ש</w:t>
      </w:r>
      <w:r>
        <w:rPr>
          <w:rFonts w:hint="cs"/>
          <w:rtl/>
        </w:rPr>
        <w:t xml:space="preserve"> </w:t>
      </w:r>
      <w:r w:rsidRPr="001C0CB1">
        <w:rPr>
          <w:rStyle w:val="af6"/>
          <w:rFonts w:eastAsia="Guttman Hodes" w:hint="cs"/>
          <w:rtl/>
        </w:rPr>
        <w:t xml:space="preserve">(עי' אות </w:t>
      </w:r>
      <w:r w:rsidRPr="001C0CB1">
        <w:rPr>
          <w:rStyle w:val="af6"/>
          <w:rFonts w:eastAsia="Guttman Hodes"/>
          <w:rtl/>
        </w:rPr>
        <w:fldChar w:fldCharType="begin"/>
      </w:r>
      <w:r w:rsidRPr="001C0CB1">
        <w:rPr>
          <w:rStyle w:val="af6"/>
          <w:rFonts w:eastAsia="Guttman Hodes"/>
          <w:rtl/>
        </w:rPr>
        <w:instrText xml:space="preserve"> </w:instrText>
      </w:r>
      <w:r w:rsidRPr="001C0CB1">
        <w:rPr>
          <w:rStyle w:val="af6"/>
          <w:rFonts w:eastAsia="Guttman Hodes" w:hint="cs"/>
        </w:rPr>
        <w:instrText>REF</w:instrText>
      </w:r>
      <w:r w:rsidRPr="001C0CB1">
        <w:rPr>
          <w:rStyle w:val="af6"/>
          <w:rFonts w:eastAsia="Guttman Hodes" w:hint="cs"/>
          <w:rtl/>
        </w:rPr>
        <w:instrText xml:space="preserve"> _</w:instrText>
      </w:r>
      <w:r w:rsidRPr="001C0CB1">
        <w:rPr>
          <w:rStyle w:val="af6"/>
          <w:rFonts w:eastAsia="Guttman Hodes" w:hint="cs"/>
        </w:rPr>
        <w:instrText>Ref13648325 \r \h</w:instrText>
      </w:r>
      <w:r w:rsidRPr="001C0CB1">
        <w:rPr>
          <w:rStyle w:val="af6"/>
          <w:rFonts w:eastAsia="Guttman Hodes"/>
          <w:rtl/>
        </w:rPr>
        <w:instrText xml:space="preserve"> </w:instrText>
      </w:r>
      <w:r w:rsidRPr="001C0CB1">
        <w:rPr>
          <w:rStyle w:val="af6"/>
          <w:rFonts w:eastAsia="Guttman Hodes"/>
          <w:rtl/>
        </w:rPr>
      </w:r>
      <w:r w:rsidRPr="001C0CB1">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1C0CB1">
        <w:rPr>
          <w:rStyle w:val="af6"/>
          <w:rFonts w:eastAsia="Guttman Hodes"/>
          <w:rtl/>
        </w:rPr>
        <w:fldChar w:fldCharType="end"/>
      </w:r>
      <w:r>
        <w:rPr>
          <w:rFonts w:hint="cs"/>
          <w:rtl/>
        </w:rPr>
        <w:t xml:space="preserve"> את ביאור </w:t>
      </w:r>
      <w:r w:rsidRPr="001E0D6D">
        <w:rPr>
          <w:rStyle w:val="af8"/>
          <w:rFonts w:hint="cs"/>
          <w:rtl/>
        </w:rPr>
        <w:t>הי"א ברש"י</w:t>
      </w:r>
      <w:r>
        <w:rPr>
          <w:rFonts w:hint="cs"/>
          <w:rtl/>
        </w:rPr>
        <w:t xml:space="preserve">, ועי' במה שתירץ </w:t>
      </w:r>
      <w:r w:rsidRPr="001C0CB1">
        <w:rPr>
          <w:rStyle w:val="af8"/>
          <w:rFonts w:hint="cs"/>
          <w:rtl/>
        </w:rPr>
        <w:t>היש"ש</w:t>
      </w:r>
      <w:r>
        <w:rPr>
          <w:rFonts w:hint="cs"/>
          <w:rtl/>
        </w:rPr>
        <w:t xml:space="preserve"> </w:t>
      </w:r>
      <w:r w:rsidRPr="001C0CB1">
        <w:rPr>
          <w:rStyle w:val="af6"/>
          <w:rFonts w:eastAsia="Guttman Hodes" w:hint="cs"/>
          <w:rtl/>
        </w:rPr>
        <w:t xml:space="preserve">(עי' אות </w:t>
      </w:r>
      <w:r w:rsidRPr="001C0CB1">
        <w:rPr>
          <w:rStyle w:val="af6"/>
          <w:rFonts w:eastAsia="Guttman Hodes"/>
          <w:rtl/>
        </w:rPr>
        <w:fldChar w:fldCharType="begin"/>
      </w:r>
      <w:r w:rsidRPr="001C0CB1">
        <w:rPr>
          <w:rStyle w:val="af6"/>
          <w:rFonts w:eastAsia="Guttman Hodes"/>
          <w:rtl/>
        </w:rPr>
        <w:instrText xml:space="preserve"> </w:instrText>
      </w:r>
      <w:r w:rsidRPr="001C0CB1">
        <w:rPr>
          <w:rStyle w:val="af6"/>
          <w:rFonts w:eastAsia="Guttman Hodes" w:hint="cs"/>
        </w:rPr>
        <w:instrText>REF</w:instrText>
      </w:r>
      <w:r w:rsidRPr="001C0CB1">
        <w:rPr>
          <w:rStyle w:val="af6"/>
          <w:rFonts w:eastAsia="Guttman Hodes" w:hint="cs"/>
          <w:rtl/>
        </w:rPr>
        <w:instrText xml:space="preserve"> _</w:instrText>
      </w:r>
      <w:r w:rsidRPr="001C0CB1">
        <w:rPr>
          <w:rStyle w:val="af6"/>
          <w:rFonts w:eastAsia="Guttman Hodes" w:hint="cs"/>
        </w:rPr>
        <w:instrText>Ref13648352 \r \h</w:instrText>
      </w:r>
      <w:r w:rsidRPr="001C0CB1">
        <w:rPr>
          <w:rStyle w:val="af6"/>
          <w:rFonts w:eastAsia="Guttman Hodes"/>
          <w:rtl/>
        </w:rPr>
        <w:instrText xml:space="preserve"> </w:instrText>
      </w:r>
      <w:r w:rsidRPr="001C0CB1">
        <w:rPr>
          <w:rStyle w:val="af6"/>
          <w:rFonts w:eastAsia="Guttman Hodes"/>
          <w:rtl/>
        </w:rPr>
      </w:r>
      <w:r w:rsidRPr="001C0CB1">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1C0CB1">
        <w:rPr>
          <w:rStyle w:val="af6"/>
          <w:rFonts w:eastAsia="Guttman Hodes"/>
          <w:rtl/>
        </w:rPr>
        <w:fldChar w:fldCharType="end"/>
      </w:r>
      <w:r>
        <w:rPr>
          <w:rFonts w:hint="cs"/>
          <w:rtl/>
        </w:rPr>
        <w:t xml:space="preserve"> את דעת </w:t>
      </w:r>
      <w:r w:rsidRPr="001C0CB1">
        <w:rPr>
          <w:rStyle w:val="af8"/>
          <w:rFonts w:hint="cs"/>
          <w:rtl/>
        </w:rPr>
        <w:t>הי"א</w:t>
      </w:r>
      <w:r>
        <w:rPr>
          <w:rFonts w:hint="cs"/>
          <w:rtl/>
        </w:rPr>
        <w:t>.</w:t>
      </w:r>
    </w:p>
    <w:p w:rsidR="009A0058" w:rsidRPr="007E0C12" w:rsidRDefault="009A0058" w:rsidP="009A0058">
      <w:pPr>
        <w:pStyle w:val="1"/>
        <w:rPr>
          <w:rtl/>
        </w:rPr>
      </w:pPr>
      <w:bookmarkStart w:id="5826" w:name="_Toc13418647"/>
      <w:bookmarkStart w:id="5827" w:name="_Toc13516480"/>
      <w:bookmarkStart w:id="5828" w:name="_Toc13562568"/>
      <w:bookmarkStart w:id="5829" w:name="_Toc13568553"/>
      <w:bookmarkStart w:id="5830" w:name="_Toc13603144"/>
      <w:bookmarkStart w:id="5831" w:name="_Toc13603247"/>
      <w:bookmarkStart w:id="5832" w:name="_Toc13657788"/>
      <w:bookmarkStart w:id="5833" w:name="_Toc13663944"/>
      <w:r w:rsidRPr="007E0C12">
        <w:rPr>
          <w:rFonts w:hint="cs"/>
          <w:rtl/>
        </w:rPr>
        <w:t>ביאור הב"י בדעת רש"י</w:t>
      </w:r>
      <w:bookmarkEnd w:id="5826"/>
      <w:bookmarkEnd w:id="5827"/>
      <w:bookmarkEnd w:id="5828"/>
      <w:r w:rsidRPr="007E0C12">
        <w:rPr>
          <w:rFonts w:hint="cs"/>
          <w:rtl/>
        </w:rPr>
        <w:t xml:space="preserve"> דבכזית בכא"פ הוי ממשו ואסור מדאו'</w:t>
      </w:r>
      <w:bookmarkEnd w:id="5829"/>
      <w:bookmarkEnd w:id="5830"/>
      <w:bookmarkEnd w:id="5831"/>
      <w:bookmarkEnd w:id="5832"/>
      <w:bookmarkEnd w:id="5833"/>
    </w:p>
    <w:p w:rsidR="009A0058" w:rsidRPr="007E0C12" w:rsidRDefault="009A0058" w:rsidP="009A0058">
      <w:pPr>
        <w:pStyle w:val="a2"/>
        <w:rPr>
          <w:rtl/>
        </w:rPr>
      </w:pPr>
      <w:bookmarkStart w:id="5834" w:name="_Toc13568554"/>
      <w:bookmarkStart w:id="5835" w:name="_Toc13603145"/>
      <w:bookmarkStart w:id="5836" w:name="_Toc13603248"/>
      <w:bookmarkStart w:id="5837" w:name="_Toc13657789"/>
      <w:bookmarkStart w:id="5838" w:name="_Toc13663945"/>
      <w:r w:rsidRPr="007E0C12">
        <w:rPr>
          <w:rFonts w:hint="cs"/>
          <w:rtl/>
        </w:rPr>
        <w:t>דברי הב"י דרק טעמו ולא ממשו הוא דרבנן לרש"י אבל כשיש ממשות כזית בכא"פ הוי דאו'</w:t>
      </w:r>
      <w:bookmarkEnd w:id="5834"/>
      <w:bookmarkEnd w:id="5835"/>
      <w:bookmarkEnd w:id="5836"/>
      <w:bookmarkEnd w:id="5837"/>
      <w:bookmarkEnd w:id="5838"/>
    </w:p>
    <w:p w:rsidR="002D7168" w:rsidRDefault="009A0058" w:rsidP="009F44AF">
      <w:pPr>
        <w:pStyle w:val="a"/>
        <w:rPr>
          <w:rtl/>
        </w:rPr>
      </w:pPr>
      <w:bookmarkStart w:id="5839" w:name="_Ref13084912"/>
      <w:r w:rsidRPr="007E0C12">
        <w:rPr>
          <w:rFonts w:hint="cs"/>
          <w:rtl/>
        </w:rPr>
        <w:t xml:space="preserve">כתב </w:t>
      </w:r>
      <w:r w:rsidRPr="007E0C12">
        <w:rPr>
          <w:rStyle w:val="af8"/>
          <w:rFonts w:hint="cs"/>
          <w:rtl/>
        </w:rPr>
        <w:t xml:space="preserve">הב"י </w:t>
      </w:r>
      <w:r w:rsidRPr="007E0C12">
        <w:rPr>
          <w:rStyle w:val="af6"/>
          <w:rFonts w:eastAsia="Guttman Hodes" w:hint="cs"/>
          <w:rtl/>
        </w:rPr>
        <w:t>(סי' צ"ח ב' ד"ה והרמב"ם)</w:t>
      </w:r>
      <w:r w:rsidRPr="007E0C12">
        <w:rPr>
          <w:rFonts w:hint="cs"/>
          <w:rtl/>
        </w:rPr>
        <w:t xml:space="preserve"> דהא דנחלקו </w:t>
      </w:r>
      <w:r w:rsidRPr="007E0C12">
        <w:rPr>
          <w:rStyle w:val="af8"/>
          <w:rFonts w:hint="cs"/>
          <w:rtl/>
        </w:rPr>
        <w:t xml:space="preserve">ר"ת ורש"י </w:t>
      </w:r>
      <w:r w:rsidRPr="007E0C12">
        <w:rPr>
          <w:rFonts w:hint="cs"/>
          <w:rtl/>
        </w:rPr>
        <w:t xml:space="preserve">אי טעם כעיקר דאו' או דרבנן, זהו דוקא בטעמו ולא ממשו, אבל כשיש בתערובת טעמו וממשו, דהיינו שיש כזית בכדי אכילת פרס, פשיטא דאף </w:t>
      </w:r>
      <w:r w:rsidRPr="007E0C12">
        <w:rPr>
          <w:rStyle w:val="af8"/>
          <w:rFonts w:hint="cs"/>
          <w:rtl/>
        </w:rPr>
        <w:t xml:space="preserve">לרש"י </w:t>
      </w:r>
      <w:r w:rsidRPr="007E0C12">
        <w:rPr>
          <w:rFonts w:hint="cs"/>
          <w:rtl/>
        </w:rPr>
        <w:t xml:space="preserve">אסור מדאו', ולוקין עליו, וכדאמר ריו"ח בע"ז </w:t>
      </w:r>
      <w:r w:rsidRPr="007E0C12">
        <w:rPr>
          <w:rStyle w:val="af6"/>
          <w:rFonts w:eastAsia="Guttman Hodes" w:hint="cs"/>
          <w:rtl/>
        </w:rPr>
        <w:t xml:space="preserve"> </w:t>
      </w:r>
      <w:r w:rsidRPr="007E0C12">
        <w:rPr>
          <w:rFonts w:hint="cs"/>
          <w:rtl/>
        </w:rPr>
        <w:t xml:space="preserve">דטעמו וממשו אסור ולוקין עליו, והיינו כשיש כזית בכדי אכילת פרס, וא"כ מבואר דטעמו ולא ממשו, היינו כשאין כזית בכדי אכילת פרס, ובזה ס"ל </w:t>
      </w:r>
      <w:r w:rsidRPr="007E0C12">
        <w:rPr>
          <w:rStyle w:val="af8"/>
          <w:rFonts w:hint="cs"/>
          <w:rtl/>
        </w:rPr>
        <w:t xml:space="preserve">לרש"י </w:t>
      </w:r>
      <w:r w:rsidRPr="007E0C12">
        <w:rPr>
          <w:rFonts w:hint="cs"/>
          <w:rtl/>
        </w:rPr>
        <w:t xml:space="preserve">דלרבא טעם כעיקר דרבנן, אף כשמעורב בתערובת גופו של האיסור, ועי' במ"ש </w:t>
      </w:r>
      <w:r w:rsidRPr="007E0C12">
        <w:rPr>
          <w:rStyle w:val="af8"/>
          <w:rFonts w:hint="cs"/>
          <w:rtl/>
        </w:rPr>
        <w:t>הר"ן</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Ref13413552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מב)</w:t>
      </w:r>
      <w:r w:rsidRPr="007E0C12">
        <w:rPr>
          <w:rStyle w:val="af6"/>
          <w:rFonts w:eastAsia="Guttman Hodes"/>
          <w:rtl/>
        </w:rPr>
        <w:fldChar w:fldCharType="end"/>
      </w:r>
      <w:r w:rsidRPr="007E0C12">
        <w:rPr>
          <w:rFonts w:hint="cs"/>
          <w:rtl/>
        </w:rPr>
        <w:t xml:space="preserve"> בדעת </w:t>
      </w:r>
      <w:r w:rsidRPr="007E0C12">
        <w:rPr>
          <w:rStyle w:val="af8"/>
          <w:rFonts w:hint="cs"/>
          <w:rtl/>
        </w:rPr>
        <w:t>רש"י</w:t>
      </w:r>
      <w:r w:rsidRPr="007E0C12">
        <w:rPr>
          <w:rFonts w:hint="cs"/>
          <w:rtl/>
        </w:rPr>
        <w:t xml:space="preserve">, ובמה שהקשה עליו </w:t>
      </w:r>
      <w:r w:rsidRPr="007E0C12">
        <w:rPr>
          <w:rStyle w:val="af8"/>
          <w:rFonts w:hint="cs"/>
          <w:rtl/>
        </w:rPr>
        <w:t>הב"י</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Ref13085488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7E0C12">
        <w:rPr>
          <w:rStyle w:val="af6"/>
          <w:rFonts w:eastAsia="Guttman Hodes"/>
          <w:rtl/>
        </w:rPr>
        <w:fldChar w:fldCharType="end"/>
      </w:r>
      <w:r w:rsidRPr="007E0C12">
        <w:rPr>
          <w:rFonts w:hint="cs"/>
          <w:rtl/>
        </w:rPr>
        <w:t>.</w:t>
      </w:r>
      <w:bookmarkEnd w:id="5839"/>
    </w:p>
    <w:p w:rsidR="009A0058" w:rsidRPr="007E0C12" w:rsidRDefault="009A0058" w:rsidP="009A0058">
      <w:pPr>
        <w:pStyle w:val="1"/>
      </w:pPr>
      <w:bookmarkStart w:id="5840" w:name="_Toc13603146"/>
      <w:bookmarkStart w:id="5841" w:name="_Toc13603249"/>
      <w:bookmarkStart w:id="5842" w:name="_Toc13657790"/>
      <w:bookmarkStart w:id="5843" w:name="_Toc13663946"/>
      <w:bookmarkStart w:id="5844" w:name="_Toc13568555"/>
      <w:r w:rsidRPr="007E0C12">
        <w:rPr>
          <w:rFonts w:hint="cs"/>
          <w:rtl/>
        </w:rPr>
        <w:t>ביאור האחרונים ברש"י דטעמו ולא ממשו בנימוח גוף האיסור</w:t>
      </w:r>
      <w:bookmarkEnd w:id="5840"/>
      <w:bookmarkEnd w:id="5841"/>
      <w:bookmarkEnd w:id="5842"/>
      <w:bookmarkEnd w:id="5843"/>
      <w:r w:rsidRPr="007E0C12">
        <w:rPr>
          <w:rFonts w:hint="cs"/>
          <w:rtl/>
        </w:rPr>
        <w:t xml:space="preserve"> </w:t>
      </w:r>
    </w:p>
    <w:p w:rsidR="009A0058" w:rsidRPr="007E0C12" w:rsidRDefault="009A0058" w:rsidP="009A0058">
      <w:pPr>
        <w:pStyle w:val="a2"/>
      </w:pPr>
      <w:bookmarkStart w:id="5845" w:name="_Toc13603147"/>
      <w:bookmarkStart w:id="5846" w:name="_Toc13603250"/>
      <w:bookmarkStart w:id="5847" w:name="_Toc13657791"/>
      <w:bookmarkStart w:id="5848" w:name="_Toc13663947"/>
      <w:r w:rsidRPr="007E0C12">
        <w:rPr>
          <w:rFonts w:hint="cs"/>
          <w:rtl/>
        </w:rPr>
        <w:t xml:space="preserve">קושית המנחת כהן </w:t>
      </w:r>
      <w:bookmarkEnd w:id="5844"/>
      <w:r w:rsidRPr="007E0C12">
        <w:rPr>
          <w:rFonts w:hint="cs"/>
          <w:rtl/>
        </w:rPr>
        <w:t>דלרש"י הטעם בטל ברוב ולא שייך שיהיה באיסור שנימוח כזית בכא"פ מדאו'</w:t>
      </w:r>
      <w:bookmarkEnd w:id="5845"/>
      <w:bookmarkEnd w:id="5846"/>
      <w:bookmarkEnd w:id="5847"/>
      <w:bookmarkEnd w:id="5848"/>
      <w:r w:rsidRPr="007E0C12">
        <w:rPr>
          <w:rFonts w:hint="cs"/>
          <w:rtl/>
        </w:rPr>
        <w:t xml:space="preserve"> </w:t>
      </w:r>
    </w:p>
    <w:p w:rsidR="009A0058" w:rsidRPr="007E0C12" w:rsidRDefault="009A0058" w:rsidP="009F44AF">
      <w:pPr>
        <w:pStyle w:val="a"/>
        <w:rPr>
          <w:rtl/>
        </w:rPr>
      </w:pPr>
      <w:bookmarkStart w:id="5849" w:name="_Ref13134611"/>
      <w:r w:rsidRPr="007E0C12">
        <w:rPr>
          <w:rFonts w:hint="cs"/>
          <w:rtl/>
        </w:rPr>
        <w:t xml:space="preserve">ותמה </w:t>
      </w:r>
      <w:r w:rsidRPr="007E0C12">
        <w:rPr>
          <w:rStyle w:val="af8"/>
          <w:rFonts w:hint="cs"/>
          <w:rtl/>
        </w:rPr>
        <w:t>המנחת כהן</w:t>
      </w:r>
      <w:r w:rsidRPr="007E0C12">
        <w:rPr>
          <w:rFonts w:hint="cs"/>
          <w:rtl/>
        </w:rPr>
        <w:t xml:space="preserve"> </w:t>
      </w:r>
      <w:r w:rsidRPr="007E0C12">
        <w:rPr>
          <w:rStyle w:val="af6"/>
          <w:rFonts w:eastAsia="Guttman Hodes" w:hint="cs"/>
          <w:rtl/>
        </w:rPr>
        <w:t>(ספר התערובות ח"א פ"ב ד"ה וראיתי שכתב)</w:t>
      </w:r>
      <w:r w:rsidRPr="007E0C12">
        <w:rPr>
          <w:rFonts w:hint="cs"/>
          <w:rtl/>
        </w:rPr>
        <w:t xml:space="preserve"> על </w:t>
      </w:r>
      <w:r w:rsidRPr="007E0C12">
        <w:rPr>
          <w:rStyle w:val="af8"/>
          <w:rFonts w:hint="cs"/>
          <w:rtl/>
        </w:rPr>
        <w:t>הב"י</w:t>
      </w:r>
      <w:r w:rsidRPr="007E0C12">
        <w:rPr>
          <w:rFonts w:hint="cs"/>
          <w:rtl/>
        </w:rPr>
        <w:t xml:space="preserve"> אמאי פשיטא ליה דבכזית בכדי אכילת פרס הוא דאו' אף </w:t>
      </w:r>
      <w:r w:rsidRPr="007E0C12">
        <w:rPr>
          <w:rStyle w:val="af8"/>
          <w:rFonts w:hint="cs"/>
          <w:rtl/>
        </w:rPr>
        <w:t>לרש"י</w:t>
      </w:r>
      <w:r w:rsidRPr="007E0C12">
        <w:rPr>
          <w:rFonts w:hint="cs"/>
          <w:rtl/>
        </w:rPr>
        <w:t xml:space="preserve">, דהרי </w:t>
      </w:r>
      <w:r w:rsidRPr="007E0C12">
        <w:rPr>
          <w:rStyle w:val="af8"/>
          <w:rFonts w:hint="cs"/>
          <w:rtl/>
        </w:rPr>
        <w:t>רש"י בסוגיין</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Ref13568615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כתב דלרבא טעם כעיקר דרבנן, ומדאו' מהני בטול ברוב, וכיון שהאיסור שנימוח התבטל ברוב, א"כ לא שייך שיהיה אסור מדאו', וכ"ש דאין בו מלקות, אף כשאכל ממנו כזית בכדי אכילת פרס, ואף אם אכל את כל הקדירה</w:t>
      </w:r>
      <w:r w:rsidR="00697C61">
        <w:rPr>
          <w:rFonts w:hint="cs"/>
          <w:rtl/>
        </w:rPr>
        <w:t xml:space="preserve">, וכעי"ז הקשה </w:t>
      </w:r>
      <w:r w:rsidR="00697C61" w:rsidRPr="00337EC5">
        <w:rPr>
          <w:rStyle w:val="af8"/>
          <w:rFonts w:hint="cs"/>
          <w:rtl/>
        </w:rPr>
        <w:t>הב"ח</w:t>
      </w:r>
      <w:r w:rsidR="00697C61">
        <w:rPr>
          <w:rFonts w:hint="cs"/>
          <w:rtl/>
        </w:rPr>
        <w:t xml:space="preserve"> </w:t>
      </w:r>
      <w:r w:rsidR="00697C61" w:rsidRPr="00337EC5">
        <w:rPr>
          <w:rStyle w:val="af6"/>
          <w:rFonts w:eastAsia="Guttman Hodes" w:hint="cs"/>
          <w:rtl/>
        </w:rPr>
        <w:t>(סי צ"ח ה' ד"ה עו"כ ב"י)</w:t>
      </w:r>
      <w:r w:rsidRPr="007E0C12">
        <w:rPr>
          <w:rFonts w:hint="cs"/>
          <w:rtl/>
        </w:rPr>
        <w:t>.</w:t>
      </w:r>
    </w:p>
    <w:p w:rsidR="009A0058" w:rsidRPr="007E0C12" w:rsidRDefault="009A0058" w:rsidP="009A0058">
      <w:pPr>
        <w:pStyle w:val="a2"/>
      </w:pPr>
      <w:bookmarkStart w:id="5850" w:name="_Toc13603148"/>
      <w:bookmarkStart w:id="5851" w:name="_Toc13603251"/>
      <w:bookmarkStart w:id="5852" w:name="_Toc13657792"/>
      <w:bookmarkStart w:id="5853" w:name="_Toc13663948"/>
      <w:bookmarkStart w:id="5854" w:name="_Toc13418651"/>
      <w:bookmarkStart w:id="5855" w:name="_Toc13516484"/>
      <w:bookmarkStart w:id="5856" w:name="_Toc13562572"/>
      <w:bookmarkStart w:id="5857" w:name="_Toc13568559"/>
      <w:bookmarkEnd w:id="5849"/>
      <w:r w:rsidRPr="007E0C12">
        <w:rPr>
          <w:rFonts w:hint="cs"/>
          <w:rtl/>
        </w:rPr>
        <w:t>דברי המנחת כהן דלרש"י טעמו וממשו היינו כשהאיסור בעין וקמ"ל דבכא"פ יש צירוף לכזית</w:t>
      </w:r>
      <w:bookmarkEnd w:id="5850"/>
      <w:bookmarkEnd w:id="5851"/>
      <w:bookmarkEnd w:id="5852"/>
      <w:bookmarkEnd w:id="5853"/>
    </w:p>
    <w:p w:rsidR="009A0058" w:rsidRPr="007E0C12" w:rsidRDefault="009A0058" w:rsidP="009F44AF">
      <w:pPr>
        <w:pStyle w:val="a"/>
        <w:rPr>
          <w:rtl/>
        </w:rPr>
      </w:pPr>
      <w:bookmarkStart w:id="5858" w:name="_Ref13168333"/>
      <w:r w:rsidRPr="007E0C12">
        <w:rPr>
          <w:rFonts w:hint="cs"/>
          <w:rtl/>
        </w:rPr>
        <w:t xml:space="preserve">ובמה שהביא </w:t>
      </w:r>
      <w:r w:rsidRPr="007E0C12">
        <w:rPr>
          <w:rStyle w:val="af8"/>
          <w:rFonts w:hint="cs"/>
          <w:rtl/>
        </w:rPr>
        <w:t>הב"י</w:t>
      </w:r>
      <w:r w:rsidRPr="007E0C12">
        <w:rPr>
          <w:rFonts w:hint="cs"/>
          <w:rtl/>
        </w:rPr>
        <w:t xml:space="preserve"> ראיה מדברי ריו"ח דלוקין על טעמו וממשו, כתב </w:t>
      </w:r>
      <w:r w:rsidRPr="007E0C12">
        <w:rPr>
          <w:rStyle w:val="af8"/>
          <w:rFonts w:hint="cs"/>
          <w:rtl/>
        </w:rPr>
        <w:t>המנחת כהן</w:t>
      </w:r>
      <w:r w:rsidRPr="007E0C12">
        <w:rPr>
          <w:rFonts w:hint="cs"/>
          <w:rtl/>
        </w:rPr>
        <w:t xml:space="preserve"> </w:t>
      </w:r>
      <w:r w:rsidRPr="007E0C12">
        <w:rPr>
          <w:rStyle w:val="af6"/>
          <w:rFonts w:eastAsia="Guttman Hodes" w:hint="cs"/>
          <w:rtl/>
        </w:rPr>
        <w:t xml:space="preserve">(ספר התערובות ח"א פ"ב סוד"ה ומצאתי) </w:t>
      </w:r>
      <w:r w:rsidRPr="007E0C12">
        <w:rPr>
          <w:rFonts w:hint="cs"/>
          <w:rtl/>
        </w:rPr>
        <w:t xml:space="preserve">דאפשר לבאר לדעת </w:t>
      </w:r>
      <w:r w:rsidRPr="007E0C12">
        <w:rPr>
          <w:rStyle w:val="af8"/>
          <w:rFonts w:hint="cs"/>
          <w:rtl/>
        </w:rPr>
        <w:t>רש"י</w:t>
      </w:r>
      <w:r w:rsidRPr="007E0C12">
        <w:rPr>
          <w:rFonts w:hint="cs"/>
          <w:rtl/>
        </w:rPr>
        <w:t xml:space="preserve"> דטעמו וממשו היינו כשהאיסור בעין, והוא נותן טעם בקדירה, וקמ"ל ריו"ח דאף שההיתר מעורב עם האיסור, מ"מ כל שאכל מתוך התבשיל כזית מהאיסור עצמו בכדי אכילת פרס חייב, אעפ"י שלא אכל כזית איסור בבת אחת.</w:t>
      </w:r>
      <w:bookmarkEnd w:id="5858"/>
    </w:p>
    <w:p w:rsidR="009A0058" w:rsidRPr="007E0C12" w:rsidRDefault="009A0058" w:rsidP="009A0058">
      <w:pPr>
        <w:pStyle w:val="a2"/>
        <w:rPr>
          <w:rtl/>
        </w:rPr>
      </w:pPr>
      <w:bookmarkStart w:id="5859" w:name="_Toc13603149"/>
      <w:bookmarkStart w:id="5860" w:name="_Toc13603252"/>
      <w:bookmarkStart w:id="5861" w:name="_Toc13657793"/>
      <w:bookmarkStart w:id="5862" w:name="_Toc13663949"/>
      <w:r w:rsidRPr="007E0C12">
        <w:rPr>
          <w:rFonts w:hint="cs"/>
          <w:rtl/>
        </w:rPr>
        <w:t>דברי המנח"כ והפר"ח והלח"מ והפרמ"ג ברש"י דבנימוח גוף האיסור הוי טעמו ולא ממשו</w:t>
      </w:r>
      <w:bookmarkEnd w:id="5859"/>
      <w:bookmarkEnd w:id="5860"/>
      <w:bookmarkEnd w:id="5861"/>
      <w:bookmarkEnd w:id="5862"/>
    </w:p>
    <w:p w:rsidR="009A0058" w:rsidRPr="007E0C12" w:rsidRDefault="009A0058" w:rsidP="009F44AF">
      <w:pPr>
        <w:pStyle w:val="a"/>
        <w:rPr>
          <w:rtl/>
        </w:rPr>
      </w:pPr>
      <w:bookmarkStart w:id="5863" w:name="_Ref13591605"/>
      <w:r w:rsidRPr="007E0C12">
        <w:rPr>
          <w:rFonts w:hint="cs"/>
          <w:rtl/>
        </w:rPr>
        <w:t xml:space="preserve">אלא כתבו </w:t>
      </w:r>
      <w:r w:rsidRPr="007E0C12">
        <w:rPr>
          <w:rStyle w:val="af8"/>
          <w:rFonts w:hint="cs"/>
          <w:rtl/>
        </w:rPr>
        <w:t>המנחת כהן</w:t>
      </w:r>
      <w:r w:rsidRPr="007E0C12">
        <w:rPr>
          <w:rFonts w:hint="cs"/>
          <w:rtl/>
        </w:rPr>
        <w:t xml:space="preserve"> </w:t>
      </w:r>
      <w:r w:rsidRPr="007E0C12">
        <w:rPr>
          <w:rStyle w:val="af6"/>
          <w:rFonts w:eastAsia="Guttman Hodes" w:hint="cs"/>
          <w:rtl/>
        </w:rPr>
        <w:t>(ספר התערובות ח"א פ"ב ד"ה ומצאתי)</w:t>
      </w:r>
      <w:r w:rsidRPr="007E0C12">
        <w:rPr>
          <w:rStyle w:val="af8"/>
          <w:rFonts w:hint="cs"/>
          <w:rtl/>
        </w:rPr>
        <w:t xml:space="preserve"> והפר"ח</w:t>
      </w:r>
      <w:r w:rsidRPr="007E0C12">
        <w:rPr>
          <w:rFonts w:hint="cs"/>
          <w:rtl/>
        </w:rPr>
        <w:t xml:space="preserve"> </w:t>
      </w:r>
      <w:r w:rsidRPr="007E0C12">
        <w:rPr>
          <w:rStyle w:val="af6"/>
          <w:rFonts w:eastAsia="Guttman Hodes" w:hint="cs"/>
          <w:rtl/>
        </w:rPr>
        <w:t>(או"ח סי' תמ"ב סק"א ד"ה ובב"י ביו"ד)</w:t>
      </w:r>
      <w:r w:rsidRPr="007E0C12">
        <w:rPr>
          <w:rStyle w:val="af8"/>
          <w:rFonts w:hint="cs"/>
          <w:rtl/>
        </w:rPr>
        <w:t xml:space="preserve"> והלח"מ</w:t>
      </w:r>
      <w:r w:rsidRPr="007E0C12">
        <w:rPr>
          <w:rFonts w:hint="cs"/>
          <w:rtl/>
        </w:rPr>
        <w:t xml:space="preserve"> </w:t>
      </w:r>
      <w:r w:rsidRPr="007E0C12">
        <w:rPr>
          <w:rStyle w:val="af6"/>
          <w:rFonts w:eastAsia="Guttman Hodes" w:hint="cs"/>
          <w:rtl/>
        </w:rPr>
        <w:t>(מאכ"א פט"ו ה"א)</w:t>
      </w:r>
      <w:r w:rsidRPr="007E0C12">
        <w:rPr>
          <w:rStyle w:val="af8"/>
          <w:rFonts w:hint="cs"/>
          <w:rtl/>
        </w:rPr>
        <w:t xml:space="preserve"> והפרמ"ג</w:t>
      </w:r>
      <w:r w:rsidRPr="007E0C12">
        <w:rPr>
          <w:rFonts w:hint="cs"/>
          <w:rtl/>
        </w:rPr>
        <w:t xml:space="preserve"> </w:t>
      </w:r>
      <w:r w:rsidRPr="007E0C12">
        <w:rPr>
          <w:rStyle w:val="af6"/>
          <w:rFonts w:eastAsia="Guttman Hodes" w:hint="cs"/>
          <w:rtl/>
        </w:rPr>
        <w:t>(או"ח פתיחה להל' פסח החלק הב' אות א' ד"ה השטה הא')</w:t>
      </w:r>
      <w:r w:rsidRPr="007E0C12">
        <w:rPr>
          <w:rFonts w:hint="cs"/>
          <w:rtl/>
        </w:rPr>
        <w:t xml:space="preserve"> דלדעת </w:t>
      </w:r>
      <w:r w:rsidRPr="007E0C12">
        <w:rPr>
          <w:rStyle w:val="af8"/>
          <w:rFonts w:hint="cs"/>
          <w:rtl/>
        </w:rPr>
        <w:t>רש"י</w:t>
      </w:r>
      <w:r w:rsidRPr="007E0C12">
        <w:rPr>
          <w:rFonts w:hint="cs"/>
          <w:rtl/>
        </w:rPr>
        <w:t xml:space="preserve"> טעמו וממשו היינו במקום שגוף האיסור בעין ולא נימוח, ובזה יש חיוב בכזית בכדי אכילת פרס, אבל כשגוף האיסור נימוח, הוא טעמו ולא ממשו, ואף כשיש כזית בכדי אכילת פרס אסור רק מדרבנן, וכתב </w:t>
      </w:r>
      <w:r w:rsidRPr="007E0C12">
        <w:rPr>
          <w:rStyle w:val="af8"/>
          <w:rFonts w:hint="cs"/>
          <w:rtl/>
        </w:rPr>
        <w:t>המנחת כהן</w:t>
      </w:r>
      <w:r w:rsidRPr="007E0C12">
        <w:rPr>
          <w:rFonts w:hint="cs"/>
          <w:rtl/>
        </w:rPr>
        <w:t xml:space="preserve"> דכן מבואר בדברי </w:t>
      </w:r>
      <w:r w:rsidRPr="007E0C12">
        <w:rPr>
          <w:rStyle w:val="af8"/>
          <w:rFonts w:hint="cs"/>
          <w:rtl/>
        </w:rPr>
        <w:t>ספר התרומה וההג"מ והמרדכי</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Ref13134666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7E0C12">
        <w:rPr>
          <w:rStyle w:val="af6"/>
          <w:rFonts w:eastAsia="Guttman Hodes"/>
          <w:rtl/>
        </w:rPr>
        <w:fldChar w:fldCharType="end"/>
      </w:r>
      <w:r w:rsidRPr="007E0C12">
        <w:rPr>
          <w:rFonts w:hint="cs"/>
          <w:rtl/>
        </w:rPr>
        <w:t xml:space="preserve"> בדעת </w:t>
      </w:r>
      <w:r w:rsidRPr="007E0C12">
        <w:rPr>
          <w:rStyle w:val="af8"/>
          <w:rFonts w:hint="cs"/>
          <w:rtl/>
        </w:rPr>
        <w:t>רש"י</w:t>
      </w:r>
      <w:r w:rsidRPr="007E0C12">
        <w:rPr>
          <w:rFonts w:hint="cs"/>
          <w:rtl/>
        </w:rPr>
        <w:t xml:space="preserve"> ודלא </w:t>
      </w:r>
      <w:r w:rsidRPr="007E0C12">
        <w:rPr>
          <w:rStyle w:val="af8"/>
          <w:rFonts w:hint="cs"/>
          <w:rtl/>
        </w:rPr>
        <w:t>כב"י</w:t>
      </w:r>
      <w:bookmarkEnd w:id="5863"/>
      <w:r w:rsidR="00C76A43">
        <w:rPr>
          <w:rFonts w:hint="cs"/>
          <w:rtl/>
        </w:rPr>
        <w:t xml:space="preserve">, וכעי"ז ביאר </w:t>
      </w:r>
      <w:r w:rsidR="00C76A43" w:rsidRPr="00337EC5">
        <w:rPr>
          <w:rStyle w:val="af8"/>
          <w:rFonts w:hint="cs"/>
          <w:rtl/>
        </w:rPr>
        <w:t>הב"ח</w:t>
      </w:r>
      <w:r w:rsidR="00C76A43">
        <w:rPr>
          <w:rStyle w:val="af8"/>
          <w:rFonts w:hint="cs"/>
          <w:rtl/>
        </w:rPr>
        <w:t xml:space="preserve"> </w:t>
      </w:r>
      <w:r w:rsidR="00C76A43" w:rsidRPr="00337EC5">
        <w:rPr>
          <w:rStyle w:val="af6"/>
          <w:rFonts w:eastAsia="Guttman Hodes" w:hint="cs"/>
          <w:rtl/>
        </w:rPr>
        <w:t>(סי צ"ח ה' ד"ה עו"כ ב"י)</w:t>
      </w:r>
      <w:r w:rsidR="00C76A43">
        <w:rPr>
          <w:rFonts w:hint="cs"/>
          <w:rtl/>
        </w:rPr>
        <w:t>.</w:t>
      </w:r>
    </w:p>
    <w:p w:rsidR="009A0058" w:rsidRPr="007E0C12" w:rsidRDefault="009A0058" w:rsidP="009A0058">
      <w:pPr>
        <w:pStyle w:val="a2"/>
        <w:rPr>
          <w:rtl/>
        </w:rPr>
      </w:pPr>
      <w:bookmarkStart w:id="5864" w:name="_Toc13603150"/>
      <w:bookmarkStart w:id="5865" w:name="_Toc13603253"/>
      <w:bookmarkStart w:id="5866" w:name="_Toc13657794"/>
      <w:bookmarkStart w:id="5867" w:name="_Toc13663950"/>
      <w:r w:rsidRPr="007E0C12">
        <w:rPr>
          <w:rFonts w:hint="cs"/>
          <w:rtl/>
        </w:rPr>
        <w:t>דברי הלח"מ דברש"י בע"ז מוכח דבנימוח גוף האיסור הוא טעמו ולא ממשו אף בכזית בכא"פ</w:t>
      </w:r>
      <w:bookmarkEnd w:id="5864"/>
      <w:bookmarkEnd w:id="5865"/>
      <w:bookmarkEnd w:id="5866"/>
      <w:bookmarkEnd w:id="5867"/>
    </w:p>
    <w:p w:rsidR="009A0058" w:rsidRPr="007E0C12" w:rsidRDefault="009A0058" w:rsidP="009F44AF">
      <w:pPr>
        <w:pStyle w:val="a"/>
        <w:rPr>
          <w:rtl/>
        </w:rPr>
      </w:pPr>
      <w:bookmarkStart w:id="5868" w:name="_Ref13601303"/>
      <w:r w:rsidRPr="007E0C12">
        <w:rPr>
          <w:rFonts w:hint="cs"/>
          <w:rtl/>
        </w:rPr>
        <w:t xml:space="preserve">וכתב </w:t>
      </w:r>
      <w:r w:rsidRPr="007E0C12">
        <w:rPr>
          <w:rStyle w:val="af8"/>
          <w:rFonts w:hint="cs"/>
          <w:rtl/>
        </w:rPr>
        <w:t>והלח"מ</w:t>
      </w:r>
      <w:r w:rsidRPr="007E0C12">
        <w:rPr>
          <w:rFonts w:hint="cs"/>
          <w:rtl/>
        </w:rPr>
        <w:t xml:space="preserve"> </w:t>
      </w:r>
      <w:r w:rsidRPr="007E0C12">
        <w:rPr>
          <w:rStyle w:val="af6"/>
          <w:rFonts w:eastAsia="Guttman Hodes" w:hint="cs"/>
          <w:rtl/>
        </w:rPr>
        <w:t>(מאכ"א פט"ו ה"א)</w:t>
      </w:r>
      <w:r w:rsidRPr="007E0C12">
        <w:rPr>
          <w:rFonts w:hint="cs"/>
          <w:rtl/>
        </w:rPr>
        <w:t xml:space="preserve"> דכן מוכח מדברי</w:t>
      </w:r>
      <w:r w:rsidRPr="007E0C12">
        <w:rPr>
          <w:rStyle w:val="af8"/>
          <w:rFonts w:hint="cs"/>
          <w:rtl/>
        </w:rPr>
        <w:t xml:space="preserve"> רש"י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Ref12961369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7E0C12">
        <w:rPr>
          <w:rStyle w:val="af6"/>
          <w:rFonts w:eastAsia="Guttman Hodes"/>
          <w:rtl/>
        </w:rPr>
        <w:fldChar w:fldCharType="end"/>
      </w:r>
      <w:r w:rsidRPr="007E0C12">
        <w:rPr>
          <w:rFonts w:hint="cs"/>
          <w:rtl/>
        </w:rPr>
        <w:t xml:space="preserve"> דכתב דבטעמו ולא ממשו איירי שנימוח גוף האיסור, משמע דטעמו וממשו הוא רק במקום שגוף האיסור לא נימוח בתבשיל, דבכה"ג חייב על כזית בכדי אכילת פרס, אבל כשנימוח גוף האיסור, הוא טעמו ולא ממשו, ומדאו' מותר אף בכזית בכדי אכילת פרס, וכתב </w:t>
      </w:r>
      <w:r w:rsidRPr="007E0C12">
        <w:rPr>
          <w:rStyle w:val="af8"/>
          <w:rFonts w:hint="cs"/>
          <w:rtl/>
        </w:rPr>
        <w:t>הלח"מ</w:t>
      </w:r>
      <w:r w:rsidRPr="007E0C12">
        <w:rPr>
          <w:rFonts w:hint="cs"/>
          <w:rtl/>
        </w:rPr>
        <w:t xml:space="preserve"> </w:t>
      </w:r>
      <w:r w:rsidRPr="007E0C12">
        <w:rPr>
          <w:rStyle w:val="af8"/>
          <w:rFonts w:hint="cs"/>
          <w:rtl/>
        </w:rPr>
        <w:t>דרש"י</w:t>
      </w:r>
      <w:r w:rsidRPr="007E0C12">
        <w:rPr>
          <w:rFonts w:hint="cs"/>
          <w:rtl/>
        </w:rPr>
        <w:t xml:space="preserve"> פליג על </w:t>
      </w:r>
      <w:r w:rsidRPr="007E0C12">
        <w:rPr>
          <w:rStyle w:val="af8"/>
          <w:rFonts w:hint="cs"/>
          <w:rtl/>
        </w:rPr>
        <w:t>רבינו אליהו</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Ref13584951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ע)</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דס"ל דאף כשנימוח גוף האיסור, לוקין עליו כשיש בו כזית בכדי אכילת פרס.</w:t>
      </w:r>
      <w:bookmarkEnd w:id="5868"/>
    </w:p>
    <w:p w:rsidR="009A0058" w:rsidRPr="007E0C12" w:rsidRDefault="009A0058" w:rsidP="009A0058">
      <w:pPr>
        <w:pStyle w:val="a2"/>
        <w:rPr>
          <w:rtl/>
        </w:rPr>
      </w:pPr>
      <w:bookmarkStart w:id="5869" w:name="_Toc13603151"/>
      <w:bookmarkStart w:id="5870" w:name="_Toc13603254"/>
      <w:bookmarkStart w:id="5871" w:name="_Toc13657795"/>
      <w:bookmarkStart w:id="5872" w:name="_Toc13663951"/>
      <w:r w:rsidRPr="007E0C12">
        <w:rPr>
          <w:rFonts w:hint="cs"/>
          <w:rtl/>
        </w:rPr>
        <w:t>דחיית המנחת כהן דמדברי רש"י בע"ז לא מוכח דבכזית בכדי אכילת פרס הוא טעמו ולא ממשו</w:t>
      </w:r>
      <w:bookmarkEnd w:id="5869"/>
      <w:bookmarkEnd w:id="5870"/>
      <w:bookmarkEnd w:id="5871"/>
      <w:bookmarkEnd w:id="5872"/>
    </w:p>
    <w:p w:rsidR="009A0058" w:rsidRPr="007E0C12" w:rsidRDefault="009A0058" w:rsidP="009F44AF">
      <w:pPr>
        <w:pStyle w:val="a"/>
        <w:rPr>
          <w:rtl/>
        </w:rPr>
      </w:pPr>
      <w:r w:rsidRPr="007E0C12">
        <w:rPr>
          <w:rFonts w:hint="cs"/>
          <w:rtl/>
        </w:rPr>
        <w:t xml:space="preserve">אך </w:t>
      </w:r>
      <w:r w:rsidRPr="007E0C12">
        <w:rPr>
          <w:rStyle w:val="af8"/>
          <w:rFonts w:hint="cs"/>
          <w:rtl/>
        </w:rPr>
        <w:t>המנחת כהן</w:t>
      </w:r>
      <w:r w:rsidRPr="007E0C12">
        <w:rPr>
          <w:rFonts w:hint="cs"/>
          <w:rtl/>
        </w:rPr>
        <w:t xml:space="preserve"> </w:t>
      </w:r>
      <w:r w:rsidRPr="007E0C12">
        <w:rPr>
          <w:rStyle w:val="af6"/>
          <w:rFonts w:eastAsia="Guttman Hodes" w:hint="cs"/>
          <w:rtl/>
        </w:rPr>
        <w:t xml:space="preserve">(ספר התערובות ח"א פ"ב ד"ה וראיתי שכתב) </w:t>
      </w:r>
      <w:r w:rsidRPr="007E0C12">
        <w:rPr>
          <w:rFonts w:hint="cs"/>
          <w:rtl/>
        </w:rPr>
        <w:t xml:space="preserve">דחה את ראיית </w:t>
      </w:r>
      <w:r w:rsidRPr="007E0C12">
        <w:rPr>
          <w:rStyle w:val="af8"/>
          <w:rFonts w:hint="cs"/>
          <w:rtl/>
        </w:rPr>
        <w:t>הלח"מ</w:t>
      </w:r>
      <w:r w:rsidRPr="007E0C12">
        <w:rPr>
          <w:rFonts w:hint="cs"/>
          <w:rtl/>
        </w:rPr>
        <w:t xml:space="preserve"> מדברי </w:t>
      </w:r>
      <w:r w:rsidRPr="007E0C12">
        <w:rPr>
          <w:rStyle w:val="af8"/>
          <w:rFonts w:hint="cs"/>
          <w:rtl/>
        </w:rPr>
        <w:t>רש"י בע"ז</w:t>
      </w:r>
      <w:r w:rsidRPr="007E0C12">
        <w:rPr>
          <w:rFonts w:hint="cs"/>
          <w:rtl/>
        </w:rPr>
        <w:t xml:space="preserve">, דאפש"ל דכוונתו לומר דאיסור שנימוח ואין בו כזית בכדי אכילת פרס, או שלא אכל כזית בכדי אכילת פרס, חשיב טעמו ולא ממשו, אבל באכל כזית בכדי אכילת פרס, אפש"ל דס"ל </w:t>
      </w:r>
      <w:r w:rsidRPr="007E0C12">
        <w:rPr>
          <w:rStyle w:val="af8"/>
          <w:rFonts w:hint="cs"/>
          <w:rtl/>
        </w:rPr>
        <w:t>לרש"י</w:t>
      </w:r>
      <w:r w:rsidRPr="007E0C12">
        <w:rPr>
          <w:rFonts w:hint="cs"/>
          <w:rtl/>
        </w:rPr>
        <w:t xml:space="preserve"> דלוקין עליו, וכדכתב </w:t>
      </w:r>
      <w:r w:rsidRPr="007E0C12">
        <w:rPr>
          <w:rStyle w:val="af8"/>
          <w:rFonts w:hint="cs"/>
          <w:rtl/>
        </w:rPr>
        <w:t>הב"י</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Ref13084912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7E0C12">
        <w:rPr>
          <w:rStyle w:val="af6"/>
          <w:rFonts w:eastAsia="Guttman Hodes"/>
          <w:rtl/>
        </w:rPr>
        <w:fldChar w:fldCharType="end"/>
      </w:r>
      <w:r w:rsidRPr="007E0C12">
        <w:rPr>
          <w:rFonts w:hint="cs"/>
          <w:rtl/>
        </w:rPr>
        <w:t>.</w:t>
      </w:r>
    </w:p>
    <w:p w:rsidR="009A0058" w:rsidRPr="007E0C12" w:rsidRDefault="009A0058" w:rsidP="009A0058">
      <w:pPr>
        <w:pStyle w:val="a2"/>
      </w:pPr>
      <w:bookmarkStart w:id="5873" w:name="_Toc13603152"/>
      <w:bookmarkStart w:id="5874" w:name="_Toc13603255"/>
      <w:bookmarkStart w:id="5875" w:name="_Toc13657796"/>
      <w:bookmarkStart w:id="5876" w:name="_Toc13663952"/>
      <w:r w:rsidRPr="007E0C12">
        <w:rPr>
          <w:rFonts w:hint="cs"/>
          <w:rtl/>
        </w:rPr>
        <w:t>דברי המנחת כהן דברש"י בסוגיין מוכח דטעמו ולא ממשו הוא בנימוח האיסור או שאין ממשו בעין</w:t>
      </w:r>
      <w:bookmarkEnd w:id="5873"/>
      <w:bookmarkEnd w:id="5874"/>
      <w:bookmarkEnd w:id="5875"/>
      <w:bookmarkEnd w:id="5876"/>
    </w:p>
    <w:p w:rsidR="009A0058" w:rsidRPr="007E0C12" w:rsidRDefault="009A0058" w:rsidP="009F44AF">
      <w:pPr>
        <w:pStyle w:val="a"/>
        <w:rPr>
          <w:rtl/>
        </w:rPr>
      </w:pPr>
      <w:r w:rsidRPr="007E0C12">
        <w:rPr>
          <w:rFonts w:hint="cs"/>
          <w:rtl/>
        </w:rPr>
        <w:t xml:space="preserve">ומ"מ כתב </w:t>
      </w:r>
      <w:r w:rsidRPr="007E0C12">
        <w:rPr>
          <w:rStyle w:val="af8"/>
          <w:rFonts w:hint="cs"/>
          <w:rtl/>
        </w:rPr>
        <w:t>המנחת כהן</w:t>
      </w:r>
      <w:r w:rsidRPr="007E0C12">
        <w:rPr>
          <w:rFonts w:hint="cs"/>
          <w:rtl/>
        </w:rPr>
        <w:t xml:space="preserve"> </w:t>
      </w:r>
      <w:r w:rsidRPr="007E0C12">
        <w:rPr>
          <w:rStyle w:val="af6"/>
          <w:rFonts w:eastAsia="Guttman Hodes" w:hint="cs"/>
          <w:rtl/>
        </w:rPr>
        <w:t>(ספר התערובות ח"א פ"ב ד"ה והנה ראשונה, וד"ה וראיתי שכתב)</w:t>
      </w:r>
      <w:r w:rsidRPr="007E0C12">
        <w:rPr>
          <w:rFonts w:hint="cs"/>
          <w:rtl/>
        </w:rPr>
        <w:t xml:space="preserve"> מדברי </w:t>
      </w:r>
      <w:r w:rsidRPr="007E0C12">
        <w:rPr>
          <w:rStyle w:val="af8"/>
          <w:rFonts w:hint="cs"/>
          <w:rtl/>
        </w:rPr>
        <w:t>רש"י בסוגיין</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Ref13568615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7E0C12">
        <w:rPr>
          <w:rStyle w:val="af6"/>
          <w:rFonts w:eastAsia="Guttman Hodes"/>
          <w:rtl/>
        </w:rPr>
        <w:fldChar w:fldCharType="end"/>
      </w:r>
      <w:r w:rsidRPr="007E0C12">
        <w:rPr>
          <w:rFonts w:hint="cs"/>
          <w:rtl/>
        </w:rPr>
        <w:t xml:space="preserve"> מוכח דכל שנימוח האיסור מדאו' הוא בטל ברוב, וכל התערובת מותרת, וא"כ לא שייך שיהיה איסור דאו' בכזית בכדי אכילת פרס, וכ"ש דאין לוקין עליו, וא"כ מבואר דטעמו ולא ממשו, היינו כשהאיסור נימוח ברוב של ההיתר ואין ממשו בעין, וכ"ש במקום שלא התערב ממשו של האיסור, ויש רק את טעמו, כשרה ענבים ביין, או בישל ירקות עם בשר, דהוא טעמו ולא ממשו.</w:t>
      </w:r>
    </w:p>
    <w:p w:rsidR="009A0058" w:rsidRPr="007E0C12" w:rsidRDefault="009A0058" w:rsidP="009A0058">
      <w:pPr>
        <w:pStyle w:val="a2"/>
        <w:rPr>
          <w:rtl/>
        </w:rPr>
      </w:pPr>
      <w:bookmarkStart w:id="5877" w:name="_Toc13603153"/>
      <w:bookmarkStart w:id="5878" w:name="_Toc13603256"/>
      <w:bookmarkStart w:id="5879" w:name="_Toc13657797"/>
      <w:bookmarkStart w:id="5880" w:name="_Toc13663953"/>
      <w:r w:rsidRPr="007E0C12">
        <w:rPr>
          <w:rFonts w:hint="cs"/>
          <w:rtl/>
        </w:rPr>
        <w:t>דברי המנחת כהן דברש"י בפסחים מבואר דחָלָב שנבלע בבשר הוא טעמו אף ביותר מכזית בכא"פ</w:t>
      </w:r>
      <w:bookmarkEnd w:id="5877"/>
      <w:bookmarkEnd w:id="5878"/>
      <w:bookmarkEnd w:id="5879"/>
      <w:bookmarkEnd w:id="5880"/>
      <w:r w:rsidRPr="007E0C12">
        <w:rPr>
          <w:rFonts w:hint="cs"/>
          <w:rtl/>
        </w:rPr>
        <w:t xml:space="preserve"> </w:t>
      </w:r>
    </w:p>
    <w:p w:rsidR="009A0058" w:rsidRPr="007E0C12" w:rsidRDefault="009A0058" w:rsidP="009F44AF">
      <w:pPr>
        <w:pStyle w:val="a"/>
        <w:rPr>
          <w:rtl/>
        </w:rPr>
      </w:pPr>
      <w:bookmarkStart w:id="5881" w:name="_Ref13412325"/>
      <w:r w:rsidRPr="007E0C12">
        <w:rPr>
          <w:rFonts w:hint="cs"/>
          <w:rtl/>
        </w:rPr>
        <w:t xml:space="preserve">וכתב </w:t>
      </w:r>
      <w:r w:rsidRPr="007E0C12">
        <w:rPr>
          <w:rStyle w:val="af8"/>
          <w:rFonts w:hint="cs"/>
          <w:rtl/>
        </w:rPr>
        <w:t>המנחת כהן</w:t>
      </w:r>
      <w:r w:rsidRPr="007E0C12">
        <w:rPr>
          <w:rFonts w:hint="cs"/>
          <w:rtl/>
        </w:rPr>
        <w:t xml:space="preserve"> דמדברי </w:t>
      </w:r>
      <w:r w:rsidRPr="007E0C12">
        <w:rPr>
          <w:rStyle w:val="af8"/>
          <w:rFonts w:hint="cs"/>
          <w:rtl/>
        </w:rPr>
        <w:t>רש"י בפסחים</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Ref13412241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מבואר ד</w:t>
      </w:r>
      <w:r w:rsidRPr="007E0C12">
        <w:rPr>
          <w:rtl/>
        </w:rPr>
        <w:t>חָלָב</w:t>
      </w:r>
      <w:r w:rsidRPr="007E0C12">
        <w:rPr>
          <w:rFonts w:hint="cs"/>
          <w:rtl/>
        </w:rPr>
        <w:t xml:space="preserve"> שהוא לח ונפל לקדירה ונבלע גוף החלב בבשר, דהוא טעמו ולא ממשו, כיון שאין האיסור </w:t>
      </w:r>
      <w:r w:rsidRPr="007E0C12">
        <w:rPr>
          <w:rStyle w:val="afa"/>
          <w:rFonts w:hint="cs"/>
          <w:rtl/>
        </w:rPr>
        <w:t>[דהוא החלב]</w:t>
      </w:r>
      <w:r w:rsidRPr="007E0C12">
        <w:rPr>
          <w:rFonts w:hint="cs"/>
          <w:rtl/>
        </w:rPr>
        <w:t xml:space="preserve"> בעין</w:t>
      </w:r>
      <w:bookmarkEnd w:id="5881"/>
      <w:r w:rsidRPr="007E0C12">
        <w:rPr>
          <w:rFonts w:hint="cs"/>
          <w:rtl/>
        </w:rPr>
        <w:t xml:space="preserve">, והוסיף </w:t>
      </w:r>
      <w:r w:rsidRPr="007E0C12">
        <w:rPr>
          <w:rStyle w:val="af8"/>
          <w:rFonts w:hint="cs"/>
          <w:rtl/>
        </w:rPr>
        <w:t>המנחת כהן</w:t>
      </w:r>
      <w:r w:rsidRPr="007E0C12">
        <w:rPr>
          <w:rFonts w:hint="cs"/>
          <w:rtl/>
        </w:rPr>
        <w:t xml:space="preserve"> דמשמע מדברי </w:t>
      </w:r>
      <w:r w:rsidRPr="007E0C12">
        <w:rPr>
          <w:rStyle w:val="af8"/>
          <w:rFonts w:hint="cs"/>
          <w:rtl/>
        </w:rPr>
        <w:t>רש"י בפסחים</w:t>
      </w:r>
      <w:r w:rsidRPr="007E0C12">
        <w:rPr>
          <w:rFonts w:hint="cs"/>
          <w:rtl/>
        </w:rPr>
        <w:t xml:space="preserve"> דאף אם נפל לקדירה כ"כ הרבה חלב, עד שיש כזית ממנו בכל שיעור של אכילת פרס בתבשיל, דאף אם אכל יותר מכדי אכילת פרס, חשיב טעמו ולא ממשו, ולדעת רבא וריו"ח אסור </w:t>
      </w:r>
      <w:r w:rsidRPr="007E0C12">
        <w:rPr>
          <w:rStyle w:val="af8"/>
          <w:rFonts w:hint="cs"/>
          <w:rtl/>
        </w:rPr>
        <w:t>לרש"י</w:t>
      </w:r>
      <w:r w:rsidRPr="007E0C12">
        <w:rPr>
          <w:rFonts w:hint="cs"/>
          <w:rtl/>
        </w:rPr>
        <w:t xml:space="preserve"> רק מדרבנן.</w:t>
      </w:r>
    </w:p>
    <w:p w:rsidR="009A0058" w:rsidRPr="007E0C12" w:rsidRDefault="009A0058" w:rsidP="009A0058">
      <w:pPr>
        <w:pStyle w:val="a2"/>
      </w:pPr>
      <w:bookmarkStart w:id="5882" w:name="_Toc13603154"/>
      <w:bookmarkStart w:id="5883" w:name="_Toc13603257"/>
      <w:bookmarkStart w:id="5884" w:name="_Toc13657798"/>
      <w:bookmarkStart w:id="5885" w:name="_Toc13663954"/>
      <w:r w:rsidRPr="007E0C12">
        <w:rPr>
          <w:rFonts w:hint="cs"/>
          <w:rtl/>
        </w:rPr>
        <w:t>דברי המנחת כהן דבמקום שאין רוב בהיתר כנגד איסור שנימוח אף לרש"י כזית בכא"פ הוא דאו'</w:t>
      </w:r>
      <w:bookmarkEnd w:id="5882"/>
      <w:bookmarkEnd w:id="5883"/>
      <w:bookmarkEnd w:id="5884"/>
      <w:bookmarkEnd w:id="5885"/>
    </w:p>
    <w:p w:rsidR="009A0058" w:rsidRPr="007E0C12" w:rsidRDefault="009A0058" w:rsidP="009F44AF">
      <w:pPr>
        <w:pStyle w:val="a"/>
        <w:rPr>
          <w:rtl/>
        </w:rPr>
      </w:pPr>
      <w:bookmarkStart w:id="5886" w:name="_Ref13414040"/>
      <w:r w:rsidRPr="007E0C12">
        <w:rPr>
          <w:rFonts w:hint="cs"/>
          <w:rtl/>
        </w:rPr>
        <w:lastRenderedPageBreak/>
        <w:t xml:space="preserve">אך כתב </w:t>
      </w:r>
      <w:r w:rsidRPr="007E0C12">
        <w:rPr>
          <w:rStyle w:val="af8"/>
          <w:rFonts w:hint="cs"/>
          <w:rtl/>
        </w:rPr>
        <w:t>המנחת כהן</w:t>
      </w:r>
      <w:r w:rsidRPr="007E0C12">
        <w:rPr>
          <w:rFonts w:hint="cs"/>
          <w:rtl/>
        </w:rPr>
        <w:t xml:space="preserve"> </w:t>
      </w:r>
      <w:r w:rsidRPr="007E0C12">
        <w:rPr>
          <w:rStyle w:val="af6"/>
          <w:rFonts w:eastAsia="Guttman Hodes" w:hint="cs"/>
          <w:rtl/>
        </w:rPr>
        <w:t>(ספר התערובות ח"א פ"ב ד"ה ומצאתי)</w:t>
      </w:r>
      <w:r w:rsidRPr="007E0C12">
        <w:rPr>
          <w:rStyle w:val="af8"/>
          <w:rFonts w:hint="cs"/>
          <w:rtl/>
        </w:rPr>
        <w:t xml:space="preserve"> </w:t>
      </w:r>
      <w:r w:rsidRPr="007E0C12">
        <w:rPr>
          <w:rFonts w:hint="cs"/>
          <w:rtl/>
        </w:rPr>
        <w:t xml:space="preserve">דהיינו דוקא במקום שהאיסור התערב ברוב של היתר, דס"ל </w:t>
      </w:r>
      <w:r w:rsidRPr="007E0C12">
        <w:rPr>
          <w:rStyle w:val="af8"/>
          <w:rFonts w:hint="cs"/>
          <w:rtl/>
        </w:rPr>
        <w:t>לרש"י</w:t>
      </w:r>
      <w:r w:rsidRPr="007E0C12">
        <w:rPr>
          <w:rFonts w:hint="cs"/>
          <w:rtl/>
        </w:rPr>
        <w:t xml:space="preserve"> דמדאו' מהני ביטול ברוב, ולכן מדאו' לא שייך לחייב על כזית בכדי אכילת פרס, אבל במקום שהתערב הרבה איסור עם מעט היתר, או ששניהם שווים, כתב </w:t>
      </w:r>
      <w:r w:rsidRPr="007E0C12">
        <w:rPr>
          <w:rStyle w:val="af8"/>
          <w:rFonts w:hint="cs"/>
          <w:rtl/>
        </w:rPr>
        <w:t>המנחת כהן</w:t>
      </w:r>
      <w:r w:rsidRPr="007E0C12">
        <w:rPr>
          <w:rFonts w:hint="cs"/>
          <w:rtl/>
        </w:rPr>
        <w:t xml:space="preserve"> דפשיטא דמודה </w:t>
      </w:r>
      <w:r w:rsidRPr="007E0C12">
        <w:rPr>
          <w:rStyle w:val="af8"/>
          <w:rFonts w:hint="cs"/>
          <w:rtl/>
        </w:rPr>
        <w:t>רש"י</w:t>
      </w:r>
      <w:r w:rsidRPr="007E0C12">
        <w:rPr>
          <w:rFonts w:hint="cs"/>
          <w:rtl/>
        </w:rPr>
        <w:t xml:space="preserve"> דבכזית בכדי אכילת פרס יש איסור דאו',  ולוקין עליו אף שהאיסור נימוח ואינו בעין, וכ"כ </w:t>
      </w:r>
      <w:r w:rsidRPr="007E0C12">
        <w:rPr>
          <w:rStyle w:val="af8"/>
          <w:rFonts w:hint="cs"/>
          <w:rtl/>
        </w:rPr>
        <w:t>הפר"ח</w:t>
      </w:r>
      <w:r w:rsidRPr="007E0C12">
        <w:rPr>
          <w:rFonts w:hint="cs"/>
          <w:rtl/>
        </w:rPr>
        <w:t xml:space="preserve"> דבדברי </w:t>
      </w:r>
      <w:r w:rsidRPr="007E0C12">
        <w:rPr>
          <w:rStyle w:val="af8"/>
          <w:rFonts w:hint="cs"/>
          <w:rtl/>
        </w:rPr>
        <w:t>רש"י בסוגיין</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Ref13568615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 xml:space="preserve">מבואר דמדאו' מהני ביטול ברוב, והביא </w:t>
      </w:r>
      <w:r w:rsidRPr="007E0C12">
        <w:rPr>
          <w:rStyle w:val="af8"/>
          <w:rFonts w:hint="cs"/>
          <w:rtl/>
        </w:rPr>
        <w:t>הפר"ח</w:t>
      </w:r>
      <w:r w:rsidRPr="007E0C12">
        <w:rPr>
          <w:rFonts w:hint="cs"/>
          <w:rtl/>
        </w:rPr>
        <w:t xml:space="preserve"> את דברי </w:t>
      </w:r>
      <w:r w:rsidRPr="007E0C12">
        <w:rPr>
          <w:rStyle w:val="af8"/>
          <w:rFonts w:hint="cs"/>
          <w:rtl/>
        </w:rPr>
        <w:t>הרשב"א בתשו'</w:t>
      </w:r>
      <w:r w:rsidRPr="007E0C12">
        <w:rPr>
          <w:rFonts w:hint="cs"/>
          <w:rtl/>
        </w:rPr>
        <w:t xml:space="preserve"> </w:t>
      </w:r>
      <w:r w:rsidRPr="007E0C12">
        <w:rPr>
          <w:rStyle w:val="af6"/>
          <w:rFonts w:eastAsia="Guttman Hodes" w:hint="cs"/>
          <w:rtl/>
        </w:rPr>
        <w:t>(ח"א סי' תקט"ו)</w:t>
      </w:r>
      <w:r w:rsidRPr="007E0C12">
        <w:rPr>
          <w:rFonts w:hint="cs"/>
          <w:rtl/>
        </w:rPr>
        <w:t xml:space="preserve"> דכתב בדעת </w:t>
      </w:r>
      <w:r w:rsidRPr="007E0C12">
        <w:rPr>
          <w:rStyle w:val="af8"/>
          <w:rFonts w:hint="cs"/>
          <w:rtl/>
        </w:rPr>
        <w:t>רש"י</w:t>
      </w:r>
      <w:r w:rsidRPr="007E0C12">
        <w:rPr>
          <w:rFonts w:hint="cs"/>
          <w:rtl/>
        </w:rPr>
        <w:t xml:space="preserve"> דמדאו' מהני בטעם ביטול בחד בתרי, דהא ס"ל דטעם כעיקר דרבנן.</w:t>
      </w:r>
      <w:bookmarkEnd w:id="5886"/>
    </w:p>
    <w:p w:rsidR="009A0058" w:rsidRPr="007E0C12" w:rsidRDefault="009A0058" w:rsidP="009A0058">
      <w:pPr>
        <w:pStyle w:val="1"/>
        <w:rPr>
          <w:rtl/>
        </w:rPr>
      </w:pPr>
      <w:bookmarkStart w:id="5887" w:name="_Toc13603155"/>
      <w:bookmarkStart w:id="5888" w:name="_Toc13603258"/>
      <w:bookmarkStart w:id="5889" w:name="_Toc13657799"/>
      <w:bookmarkStart w:id="5890" w:name="_Toc13663955"/>
      <w:r w:rsidRPr="007E0C12">
        <w:rPr>
          <w:rFonts w:hint="cs"/>
          <w:rtl/>
        </w:rPr>
        <w:t>קושיות המנחת כהן על רש"י</w:t>
      </w:r>
      <w:bookmarkEnd w:id="5854"/>
      <w:bookmarkEnd w:id="5855"/>
      <w:bookmarkEnd w:id="5856"/>
      <w:bookmarkEnd w:id="5857"/>
      <w:bookmarkEnd w:id="5887"/>
      <w:bookmarkEnd w:id="5888"/>
      <w:bookmarkEnd w:id="5889"/>
      <w:bookmarkEnd w:id="5890"/>
      <w:r w:rsidRPr="007E0C12">
        <w:rPr>
          <w:rFonts w:hint="cs"/>
          <w:rtl/>
        </w:rPr>
        <w:t xml:space="preserve"> </w:t>
      </w:r>
    </w:p>
    <w:p w:rsidR="009A0058" w:rsidRPr="007E0C12" w:rsidRDefault="009A0058" w:rsidP="009A0058">
      <w:pPr>
        <w:pStyle w:val="a2"/>
      </w:pPr>
      <w:bookmarkStart w:id="5891" w:name="_Toc13603156"/>
      <w:bookmarkStart w:id="5892" w:name="_Toc13603259"/>
      <w:bookmarkStart w:id="5893" w:name="_Toc13657800"/>
      <w:bookmarkStart w:id="5894" w:name="_Toc13663956"/>
      <w:r w:rsidRPr="007E0C12">
        <w:rPr>
          <w:rFonts w:hint="cs"/>
          <w:rtl/>
        </w:rPr>
        <w:t>קושית המנחת כהן דבפסחים מבואר דכזית בכא"פ אסור מדאו' אף בנימוח גוף האיסור</w:t>
      </w:r>
      <w:bookmarkEnd w:id="5891"/>
      <w:bookmarkEnd w:id="5892"/>
      <w:bookmarkEnd w:id="5893"/>
      <w:bookmarkEnd w:id="5894"/>
      <w:r w:rsidRPr="007E0C12">
        <w:rPr>
          <w:rFonts w:hint="cs"/>
          <w:rtl/>
        </w:rPr>
        <w:t xml:space="preserve"> </w:t>
      </w:r>
    </w:p>
    <w:p w:rsidR="009A0058" w:rsidRPr="007E0C12" w:rsidRDefault="009A0058" w:rsidP="009F44AF">
      <w:pPr>
        <w:pStyle w:val="a"/>
        <w:rPr>
          <w:rtl/>
        </w:rPr>
      </w:pPr>
      <w:bookmarkStart w:id="5895" w:name="_Ref13587192"/>
      <w:r w:rsidRPr="007E0C12">
        <w:rPr>
          <w:rFonts w:hint="cs"/>
          <w:rtl/>
        </w:rPr>
        <w:t xml:space="preserve">אך הקשה </w:t>
      </w:r>
      <w:r w:rsidRPr="007E0C12">
        <w:rPr>
          <w:rStyle w:val="af8"/>
          <w:rFonts w:hint="cs"/>
          <w:rtl/>
        </w:rPr>
        <w:t>המנחת כהן</w:t>
      </w:r>
      <w:r w:rsidRPr="007E0C12">
        <w:rPr>
          <w:rFonts w:hint="cs"/>
          <w:rtl/>
        </w:rPr>
        <w:t xml:space="preserve"> </w:t>
      </w:r>
      <w:r w:rsidRPr="007E0C12">
        <w:rPr>
          <w:rStyle w:val="af6"/>
          <w:rFonts w:eastAsia="Guttman Hodes" w:hint="cs"/>
          <w:rtl/>
        </w:rPr>
        <w:t xml:space="preserve">(ספר התערובות ח"א פ"ב ד"ה הטענה הראשונה) </w:t>
      </w:r>
      <w:r w:rsidRPr="007E0C12">
        <w:rPr>
          <w:rFonts w:hint="cs"/>
          <w:rtl/>
        </w:rPr>
        <w:t xml:space="preserve">על </w:t>
      </w:r>
      <w:r w:rsidRPr="007E0C12">
        <w:rPr>
          <w:rStyle w:val="af8"/>
          <w:rFonts w:hint="cs"/>
          <w:rtl/>
        </w:rPr>
        <w:t>רש"י</w:t>
      </w:r>
      <w:r w:rsidRPr="007E0C12">
        <w:rPr>
          <w:rFonts w:hint="cs"/>
          <w:rtl/>
        </w:rPr>
        <w:t xml:space="preserve"> דהרי מבואר בגמ' בפסחים </w:t>
      </w:r>
      <w:r w:rsidRPr="007E0C12">
        <w:rPr>
          <w:rStyle w:val="af6"/>
          <w:rFonts w:eastAsia="Guttman Hodes" w:hint="cs"/>
          <w:rtl/>
        </w:rPr>
        <w:t xml:space="preserve">(מד.) </w:t>
      </w:r>
      <w:r w:rsidRPr="007E0C12">
        <w:rPr>
          <w:rFonts w:hint="cs"/>
          <w:rtl/>
        </w:rPr>
        <w:t xml:space="preserve">ובגמ' בנזיר </w:t>
      </w:r>
      <w:r w:rsidRPr="007E0C12">
        <w:rPr>
          <w:rStyle w:val="af6"/>
          <w:rFonts w:eastAsia="Guttman Hodes" w:hint="cs"/>
          <w:rtl/>
        </w:rPr>
        <w:t xml:space="preserve">(לז.) </w:t>
      </w:r>
      <w:r w:rsidRPr="007E0C12">
        <w:rPr>
          <w:rFonts w:hint="cs"/>
          <w:rtl/>
        </w:rPr>
        <w:t xml:space="preserve">דלכו"ע במין בשאינו מינו כזית בכדי אכילת פרס אסור מדאו' ולוקין עליו, ומשמע בגמ' בפסחים דאיירי אף במקום שהאיסור נימוח ואינו בעין, דאמרינן דרבנן פטרי ממלקות באוכל בפסח, כותח הבבלי ושכר המדי שמעורב בהם מי קמח של שעורים ופירורי לחם, כיון שאין דרך לאכול מהם כזית בכדי אכילת פרס, והאוכל כזית בטלה דעתו, ומבואר שאם היה דרך לאכול מהם הרבה, דלוקין עליו לכו"ע, אעפ"י שהאיסור הוא נימוח, </w:t>
      </w:r>
      <w:r w:rsidRPr="007E0C12">
        <w:rPr>
          <w:rStyle w:val="afa"/>
          <w:rFonts w:hint="cs"/>
          <w:rtl/>
        </w:rPr>
        <w:t xml:space="preserve">[ועיי"ש במה שהוסיף </w:t>
      </w:r>
      <w:r w:rsidRPr="007E0C12">
        <w:rPr>
          <w:rStyle w:val="affa"/>
          <w:rFonts w:hint="cs"/>
          <w:rtl/>
        </w:rPr>
        <w:t>המנחת כהן</w:t>
      </w:r>
      <w:r w:rsidRPr="007E0C12">
        <w:rPr>
          <w:rStyle w:val="afa"/>
          <w:rFonts w:hint="cs"/>
          <w:rtl/>
        </w:rPr>
        <w:t xml:space="preserve"> להקשות מדין שכר המדי], </w:t>
      </w:r>
      <w:r w:rsidRPr="007E0C12">
        <w:rPr>
          <w:rFonts w:hint="cs"/>
          <w:rtl/>
        </w:rPr>
        <w:t xml:space="preserve">וכתב </w:t>
      </w:r>
      <w:r w:rsidRPr="007E0C12">
        <w:rPr>
          <w:rStyle w:val="af8"/>
          <w:rFonts w:hint="cs"/>
          <w:rtl/>
        </w:rPr>
        <w:t>המנחת כהן</w:t>
      </w:r>
      <w:r w:rsidRPr="007E0C12">
        <w:rPr>
          <w:rFonts w:hint="cs"/>
          <w:rtl/>
        </w:rPr>
        <w:t xml:space="preserve"> דא"כ מוכח בגמ' בפסחים, דלא כדברי </w:t>
      </w:r>
      <w:r w:rsidRPr="007E0C12">
        <w:rPr>
          <w:rStyle w:val="af8"/>
          <w:rFonts w:hint="cs"/>
          <w:rtl/>
        </w:rPr>
        <w:t>רש"י בע"ז ובסוגיין</w:t>
      </w:r>
      <w:r w:rsidRPr="007E0C12">
        <w:rPr>
          <w:rFonts w:hint="cs"/>
          <w:rtl/>
        </w:rPr>
        <w:t xml:space="preserve"> דכתב דלרבא וריו"ח כל שאין האיסור בעין מדאו' הוא בטל ברוב.</w:t>
      </w:r>
      <w:bookmarkEnd w:id="5895"/>
    </w:p>
    <w:p w:rsidR="009A0058" w:rsidRPr="007E0C12" w:rsidRDefault="009A0058" w:rsidP="009A0058">
      <w:pPr>
        <w:pStyle w:val="a2"/>
      </w:pPr>
      <w:bookmarkStart w:id="5896" w:name="_Toc13603157"/>
      <w:bookmarkStart w:id="5897" w:name="_Toc13603260"/>
      <w:bookmarkStart w:id="5898" w:name="_Toc13657801"/>
      <w:bookmarkStart w:id="5899" w:name="_Toc13663957"/>
      <w:r w:rsidRPr="007E0C12">
        <w:rPr>
          <w:rFonts w:hint="cs"/>
          <w:rtl/>
        </w:rPr>
        <w:t>קושית המנחת כהן דמשמע מריו"ח דטעמו וממשו אינו רק באופן שגוף האיסור בעין</w:t>
      </w:r>
      <w:bookmarkEnd w:id="5896"/>
      <w:bookmarkEnd w:id="5897"/>
      <w:bookmarkEnd w:id="5898"/>
      <w:bookmarkEnd w:id="5899"/>
    </w:p>
    <w:p w:rsidR="009A0058" w:rsidRDefault="009A0058" w:rsidP="009F44AF">
      <w:pPr>
        <w:pStyle w:val="a"/>
        <w:rPr>
          <w:rtl/>
        </w:rPr>
      </w:pPr>
      <w:bookmarkStart w:id="5900" w:name="_Ref13504213"/>
      <w:r w:rsidRPr="007E0C12">
        <w:rPr>
          <w:rFonts w:hint="cs"/>
          <w:rtl/>
        </w:rPr>
        <w:t xml:space="preserve">ועוד הקשה </w:t>
      </w:r>
      <w:r w:rsidRPr="007E0C12">
        <w:rPr>
          <w:rStyle w:val="af8"/>
          <w:rFonts w:hint="cs"/>
          <w:rtl/>
        </w:rPr>
        <w:t>המנחת כהן</w:t>
      </w:r>
      <w:r w:rsidRPr="007E0C12">
        <w:rPr>
          <w:rFonts w:hint="cs"/>
          <w:rtl/>
        </w:rPr>
        <w:t xml:space="preserve"> </w:t>
      </w:r>
      <w:r w:rsidRPr="007E0C12">
        <w:rPr>
          <w:rStyle w:val="af6"/>
          <w:rFonts w:eastAsia="Guttman Hodes" w:hint="cs"/>
          <w:rtl/>
        </w:rPr>
        <w:t>(ספר התערובות ח"א פ"ב ד"ה גם מה)</w:t>
      </w:r>
      <w:r w:rsidRPr="007E0C12">
        <w:rPr>
          <w:rFonts w:hint="cs"/>
          <w:rtl/>
        </w:rPr>
        <w:t xml:space="preserve"> דמדברי ריו"ח בע"ז משמע דלא </w:t>
      </w:r>
      <w:r w:rsidRPr="007E0C12">
        <w:rPr>
          <w:rStyle w:val="af8"/>
          <w:rFonts w:hint="cs"/>
          <w:rtl/>
        </w:rPr>
        <w:t>כרש"י</w:t>
      </w:r>
      <w:r w:rsidRPr="007E0C12">
        <w:rPr>
          <w:rFonts w:hint="cs"/>
          <w:rtl/>
        </w:rPr>
        <w:t xml:space="preserve">, דהא לדברי </w:t>
      </w:r>
      <w:r w:rsidRPr="007E0C12">
        <w:rPr>
          <w:rStyle w:val="af8"/>
          <w:rFonts w:hint="cs"/>
          <w:rtl/>
        </w:rPr>
        <w:t>רש"י</w:t>
      </w:r>
      <w:r w:rsidRPr="007E0C12">
        <w:rPr>
          <w:rFonts w:hint="cs"/>
          <w:rtl/>
        </w:rPr>
        <w:t xml:space="preserve"> טעמו וממשו היינו כשהאיסור בעין, וא"כ אמאי אמר ריו"ח טעמו וממשו דהוא שייך רק במין בשאינו מינו, הא ה"ה במין במינו שאין בו טעם, דחייב מלקות על כזית בכדי אכילת פרס כשהאיסור בעין ומכירו, דהרי לא מהני ביטול כשהאיסור ניכר</w:t>
      </w:r>
      <w:bookmarkEnd w:id="5900"/>
      <w:r w:rsidRPr="007E0C12">
        <w:rPr>
          <w:rFonts w:hint="cs"/>
          <w:rtl/>
        </w:rPr>
        <w:t xml:space="preserve">, ועוד הקשה </w:t>
      </w:r>
      <w:r w:rsidRPr="007E0C12">
        <w:rPr>
          <w:rStyle w:val="af8"/>
          <w:rFonts w:hint="cs"/>
          <w:rtl/>
        </w:rPr>
        <w:t xml:space="preserve">המנחת כהן </w:t>
      </w:r>
      <w:r w:rsidRPr="007E0C12">
        <w:rPr>
          <w:rFonts w:hint="cs"/>
          <w:rtl/>
        </w:rPr>
        <w:t xml:space="preserve">דמאי קמ"ל ריו"ח באיסור בעין, ואי נימא </w:t>
      </w:r>
      <w:r w:rsidRPr="007E0C12">
        <w:rPr>
          <w:rStyle w:val="afa"/>
          <w:rFonts w:hint="cs"/>
          <w:rtl/>
        </w:rPr>
        <w:t xml:space="preserve">[כדביאר </w:t>
      </w:r>
      <w:r w:rsidRPr="007E0C12">
        <w:rPr>
          <w:rStyle w:val="affa"/>
          <w:rFonts w:hint="cs"/>
          <w:rtl/>
        </w:rPr>
        <w:t>המנחת כהן</w:t>
      </w:r>
      <w:r w:rsidRPr="007E0C12">
        <w:rPr>
          <w:rStyle w:val="afa"/>
          <w:rFonts w:hint="cs"/>
          <w:rtl/>
        </w:rPr>
        <w:t xml:space="preserve"> </w:t>
      </w:r>
      <w:r w:rsidRPr="007E0C12">
        <w:rPr>
          <w:rStyle w:val="aff6"/>
          <w:rFonts w:hint="cs"/>
          <w:rtl/>
        </w:rPr>
        <w:t xml:space="preserve">(עי' אות </w:t>
      </w:r>
      <w:r w:rsidRPr="007E0C12">
        <w:rPr>
          <w:rStyle w:val="aff6"/>
          <w:rtl/>
        </w:rPr>
        <w:fldChar w:fldCharType="begin"/>
      </w:r>
      <w:r w:rsidRPr="007E0C12">
        <w:rPr>
          <w:rStyle w:val="aff6"/>
          <w:rtl/>
        </w:rPr>
        <w:instrText xml:space="preserve"> </w:instrText>
      </w:r>
      <w:r w:rsidRPr="007E0C12">
        <w:rPr>
          <w:rStyle w:val="aff6"/>
          <w:rFonts w:hint="cs"/>
        </w:rPr>
        <w:instrText>REF</w:instrText>
      </w:r>
      <w:r w:rsidRPr="007E0C12">
        <w:rPr>
          <w:rStyle w:val="aff6"/>
          <w:rFonts w:hint="cs"/>
          <w:rtl/>
        </w:rPr>
        <w:instrText xml:space="preserve"> _</w:instrText>
      </w:r>
      <w:r w:rsidRPr="007E0C12">
        <w:rPr>
          <w:rStyle w:val="aff6"/>
          <w:rFonts w:hint="cs"/>
        </w:rPr>
        <w:instrText>Ref13168333 \r \h</w:instrText>
      </w:r>
      <w:r w:rsidRPr="007E0C12">
        <w:rPr>
          <w:rStyle w:val="aff6"/>
          <w:rtl/>
        </w:rPr>
        <w:instrText xml:space="preserve">  \* </w:instrText>
      </w:r>
      <w:r w:rsidRPr="007E0C12">
        <w:rPr>
          <w:rStyle w:val="aff6"/>
        </w:rPr>
        <w:instrText>MERGEFORMAT</w:instrText>
      </w:r>
      <w:r w:rsidRPr="007E0C12">
        <w:rPr>
          <w:rStyle w:val="aff6"/>
          <w:rtl/>
        </w:rPr>
        <w:instrText xml:space="preserve"> </w:instrText>
      </w:r>
      <w:r w:rsidRPr="007E0C12">
        <w:rPr>
          <w:rStyle w:val="aff6"/>
          <w:rtl/>
        </w:rPr>
      </w:r>
      <w:r w:rsidRPr="007E0C12">
        <w:rPr>
          <w:rStyle w:val="aff6"/>
          <w:rtl/>
        </w:rPr>
        <w:fldChar w:fldCharType="separate"/>
      </w:r>
      <w:r w:rsidR="004D1C5B">
        <w:rPr>
          <w:rStyle w:val="aff6"/>
          <w:cs/>
        </w:rPr>
        <w:t>‎</w:t>
      </w:r>
      <w:r w:rsidR="004D1C5B">
        <w:rPr>
          <w:rStyle w:val="aff6"/>
          <w:rtl/>
        </w:rPr>
        <w:t>יח)</w:t>
      </w:r>
      <w:r w:rsidRPr="007E0C12">
        <w:rPr>
          <w:rStyle w:val="aff6"/>
          <w:rtl/>
        </w:rPr>
        <w:fldChar w:fldCharType="end"/>
      </w:r>
      <w:r w:rsidRPr="007E0C12">
        <w:rPr>
          <w:rStyle w:val="afa"/>
          <w:rFonts w:hint="cs"/>
          <w:rtl/>
        </w:rPr>
        <w:t xml:space="preserve">] </w:t>
      </w:r>
      <w:r w:rsidRPr="007E0C12">
        <w:rPr>
          <w:rFonts w:hint="cs"/>
          <w:rtl/>
        </w:rPr>
        <w:t xml:space="preserve">דבא לחדש דאף שההיתר מעורב עם האיסור, מ"מ כל שאכל מתוך התבשיל כזית מהאיסור עצמו בכדי אכילת פרס חייב, אעפ"י שלא אכל כזית איסור בבת אחת, כתב </w:t>
      </w:r>
      <w:r w:rsidRPr="007E0C12">
        <w:rPr>
          <w:rStyle w:val="af8"/>
          <w:rFonts w:hint="cs"/>
          <w:rtl/>
        </w:rPr>
        <w:t>המנחת כהן</w:t>
      </w:r>
      <w:r w:rsidRPr="007E0C12">
        <w:rPr>
          <w:rFonts w:hint="cs"/>
          <w:rtl/>
        </w:rPr>
        <w:t xml:space="preserve"> דהוא משנה מפורשת בכריתות </w:t>
      </w:r>
      <w:r w:rsidRPr="007E0C12">
        <w:rPr>
          <w:rStyle w:val="af6"/>
          <w:rFonts w:eastAsia="Guttman Hodes" w:hint="cs"/>
          <w:rtl/>
        </w:rPr>
        <w:t>(פ"ג מ"ג)</w:t>
      </w:r>
      <w:r>
        <w:rPr>
          <w:rFonts w:hint="cs"/>
          <w:rtl/>
        </w:rPr>
        <w:t>, וע"ע במה שהקשה</w:t>
      </w:r>
      <w:r w:rsidRPr="00113E8C">
        <w:rPr>
          <w:rStyle w:val="af8"/>
          <w:rFonts w:hint="cs"/>
          <w:rtl/>
        </w:rPr>
        <w:t xml:space="preserve"> המנחת כהן</w:t>
      </w:r>
      <w:r>
        <w:rPr>
          <w:rFonts w:hint="cs"/>
          <w:rtl/>
        </w:rPr>
        <w:t xml:space="preserve"> בילפותא דמשרת.</w:t>
      </w:r>
    </w:p>
    <w:p w:rsidR="009A0058" w:rsidRPr="007E0C12" w:rsidRDefault="009A0058" w:rsidP="009A0058">
      <w:pPr>
        <w:pStyle w:val="1"/>
        <w:rPr>
          <w:rtl/>
        </w:rPr>
      </w:pPr>
      <w:bookmarkStart w:id="5901" w:name="_Toc13603158"/>
      <w:bookmarkStart w:id="5902" w:name="_Toc13603261"/>
      <w:bookmarkStart w:id="5903" w:name="_Toc13657802"/>
      <w:bookmarkStart w:id="5904" w:name="_Toc13663958"/>
      <w:bookmarkStart w:id="5905" w:name="_Toc13726332"/>
      <w:r w:rsidRPr="007E0C12">
        <w:rPr>
          <w:rFonts w:hint="cs"/>
          <w:rtl/>
        </w:rPr>
        <w:t>ביאור היד יהודה ברש"י דודאי דבנימוח גוף האיסור אסור מדאו'</w:t>
      </w:r>
      <w:bookmarkEnd w:id="5901"/>
      <w:bookmarkEnd w:id="5902"/>
      <w:bookmarkEnd w:id="5903"/>
      <w:bookmarkEnd w:id="5904"/>
    </w:p>
    <w:p w:rsidR="009A0058" w:rsidRPr="007E0C12" w:rsidRDefault="009A0058" w:rsidP="009A0058">
      <w:pPr>
        <w:pStyle w:val="a2"/>
        <w:rPr>
          <w:rtl/>
        </w:rPr>
      </w:pPr>
      <w:bookmarkStart w:id="5906" w:name="_Toc13657803"/>
      <w:bookmarkStart w:id="5907" w:name="_Toc13663959"/>
      <w:r>
        <w:rPr>
          <w:rFonts w:hint="cs"/>
          <w:rtl/>
        </w:rPr>
        <w:t>קושית היד יהודה על המנחת כהן דלא מצינו דעה בראשונים דבנימוח גוף האיסור אסור מדרבנן</w:t>
      </w:r>
      <w:bookmarkEnd w:id="5906"/>
      <w:bookmarkEnd w:id="5907"/>
    </w:p>
    <w:p w:rsidR="009A0058" w:rsidRPr="007E0C12" w:rsidRDefault="009A0058" w:rsidP="009F44AF">
      <w:pPr>
        <w:pStyle w:val="a"/>
        <w:rPr>
          <w:rtl/>
        </w:rPr>
      </w:pPr>
      <w:bookmarkStart w:id="5908" w:name="_Ref13418555"/>
      <w:r>
        <w:rPr>
          <w:rStyle w:val="af8"/>
          <w:rFonts w:hint="cs"/>
          <w:rtl/>
        </w:rPr>
        <w:t>ו</w:t>
      </w:r>
      <w:r w:rsidRPr="007E0C12">
        <w:rPr>
          <w:rStyle w:val="af8"/>
          <w:rFonts w:hint="cs"/>
          <w:rtl/>
        </w:rPr>
        <w:t>היד יהודה</w:t>
      </w:r>
      <w:r w:rsidRPr="007E0C12">
        <w:rPr>
          <w:rFonts w:hint="cs"/>
          <w:rtl/>
        </w:rPr>
        <w:t xml:space="preserve"> </w:t>
      </w:r>
      <w:r w:rsidRPr="007E0C12">
        <w:rPr>
          <w:rStyle w:val="af6"/>
          <w:rFonts w:eastAsia="Guttman Hodes" w:hint="cs"/>
          <w:rtl/>
        </w:rPr>
        <w:t xml:space="preserve">(סי צ"ח סק"ו ד"ה </w:t>
      </w:r>
      <w:r w:rsidRPr="0068468F">
        <w:rPr>
          <w:rStyle w:val="af6"/>
          <w:rFonts w:eastAsia="Guttman Hodes" w:hint="cs"/>
          <w:rtl/>
        </w:rPr>
        <w:t xml:space="preserve">והמנחת כהן) </w:t>
      </w:r>
      <w:r w:rsidRPr="0068468F">
        <w:rPr>
          <w:rFonts w:hint="cs"/>
          <w:rtl/>
        </w:rPr>
        <w:t xml:space="preserve">כתב דכביאור </w:t>
      </w:r>
      <w:r w:rsidRPr="0068468F">
        <w:rPr>
          <w:rStyle w:val="af8"/>
          <w:rFonts w:hint="cs"/>
          <w:rtl/>
        </w:rPr>
        <w:t xml:space="preserve">המנחת כהן </w:t>
      </w:r>
      <w:r w:rsidRPr="0068468F">
        <w:rPr>
          <w:rStyle w:val="af6"/>
          <w:rFonts w:eastAsia="Guttman Hodes" w:hint="cs"/>
          <w:rtl/>
        </w:rPr>
        <w:t xml:space="preserve">(עי' אות </w:t>
      </w:r>
      <w:r w:rsidRPr="0068468F">
        <w:rPr>
          <w:rStyle w:val="af6"/>
          <w:rFonts w:eastAsia="Guttman Hodes"/>
          <w:rtl/>
        </w:rPr>
        <w:fldChar w:fldCharType="begin"/>
      </w:r>
      <w:r w:rsidRPr="0068468F">
        <w:rPr>
          <w:rStyle w:val="af6"/>
          <w:rFonts w:eastAsia="Guttman Hodes"/>
          <w:rtl/>
        </w:rPr>
        <w:instrText xml:space="preserve"> </w:instrText>
      </w:r>
      <w:r w:rsidRPr="0068468F">
        <w:rPr>
          <w:rStyle w:val="af6"/>
          <w:rFonts w:eastAsia="Guttman Hodes" w:hint="cs"/>
        </w:rPr>
        <w:instrText>REF</w:instrText>
      </w:r>
      <w:r w:rsidRPr="0068468F">
        <w:rPr>
          <w:rStyle w:val="af6"/>
          <w:rFonts w:eastAsia="Guttman Hodes" w:hint="cs"/>
          <w:rtl/>
        </w:rPr>
        <w:instrText xml:space="preserve"> _</w:instrText>
      </w:r>
      <w:r w:rsidRPr="0068468F">
        <w:rPr>
          <w:rStyle w:val="af6"/>
          <w:rFonts w:eastAsia="Guttman Hodes" w:hint="cs"/>
        </w:rPr>
        <w:instrText>Ref13591605 \r \h</w:instrText>
      </w:r>
      <w:r w:rsidRPr="0068468F">
        <w:rPr>
          <w:rStyle w:val="af6"/>
          <w:rFonts w:eastAsia="Guttman Hodes"/>
          <w:rtl/>
        </w:rPr>
        <w:instrText xml:space="preserve">  \* </w:instrText>
      </w:r>
      <w:r w:rsidRPr="0068468F">
        <w:rPr>
          <w:rStyle w:val="af6"/>
          <w:rFonts w:eastAsia="Guttman Hodes"/>
        </w:rPr>
        <w:instrText>MERGEFORMAT</w:instrText>
      </w:r>
      <w:r w:rsidRPr="0068468F">
        <w:rPr>
          <w:rStyle w:val="af6"/>
          <w:rFonts w:eastAsia="Guttman Hodes"/>
          <w:rtl/>
        </w:rPr>
        <w:instrText xml:space="preserve"> </w:instrText>
      </w:r>
      <w:r w:rsidRPr="0068468F">
        <w:rPr>
          <w:rStyle w:val="af6"/>
          <w:rFonts w:eastAsia="Guttman Hodes"/>
          <w:rtl/>
        </w:rPr>
      </w:r>
      <w:r w:rsidRPr="0068468F">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68468F">
        <w:rPr>
          <w:rStyle w:val="af6"/>
          <w:rFonts w:eastAsia="Guttman Hodes"/>
          <w:rtl/>
        </w:rPr>
        <w:fldChar w:fldCharType="end"/>
      </w:r>
      <w:r w:rsidRPr="0068468F">
        <w:rPr>
          <w:rStyle w:val="af6"/>
          <w:rFonts w:eastAsia="Guttman Hodes" w:hint="cs"/>
          <w:rtl/>
        </w:rPr>
        <w:t xml:space="preserve"> </w:t>
      </w:r>
      <w:r w:rsidRPr="0068468F">
        <w:rPr>
          <w:rStyle w:val="af8"/>
          <w:rFonts w:hint="cs"/>
          <w:rtl/>
        </w:rPr>
        <w:t>ברש"י</w:t>
      </w:r>
      <w:r w:rsidRPr="0068468F">
        <w:rPr>
          <w:rFonts w:hint="cs"/>
          <w:rtl/>
        </w:rPr>
        <w:t xml:space="preserve"> דכשנימוח גוף האיסור חשיב טעמו ולא ממשו, כן היא דעת</w:t>
      </w:r>
      <w:r w:rsidRPr="0068468F">
        <w:rPr>
          <w:rStyle w:val="af8"/>
          <w:rFonts w:hint="cs"/>
          <w:rtl/>
        </w:rPr>
        <w:t xml:space="preserve"> הבעה"מ בפסחים</w:t>
      </w:r>
      <w:r w:rsidRPr="0068468F">
        <w:rPr>
          <w:rFonts w:hint="cs"/>
          <w:rtl/>
        </w:rPr>
        <w:t xml:space="preserve"> </w:t>
      </w:r>
      <w:r w:rsidRPr="0068468F">
        <w:rPr>
          <w:rStyle w:val="af6"/>
          <w:rFonts w:eastAsia="Guttman Hodes" w:hint="cs"/>
          <w:rtl/>
        </w:rPr>
        <w:t xml:space="preserve">(עי' אות </w:t>
      </w:r>
      <w:r w:rsidRPr="0068468F">
        <w:rPr>
          <w:rStyle w:val="af6"/>
          <w:rFonts w:eastAsia="Guttman Hodes"/>
          <w:rtl/>
        </w:rPr>
        <w:fldChar w:fldCharType="begin"/>
      </w:r>
      <w:r w:rsidRPr="0068468F">
        <w:rPr>
          <w:rStyle w:val="af6"/>
          <w:rFonts w:eastAsia="Guttman Hodes"/>
          <w:rtl/>
        </w:rPr>
        <w:instrText xml:space="preserve"> </w:instrText>
      </w:r>
      <w:r w:rsidRPr="0068468F">
        <w:rPr>
          <w:rStyle w:val="af6"/>
          <w:rFonts w:eastAsia="Guttman Hodes" w:hint="cs"/>
        </w:rPr>
        <w:instrText>REF</w:instrText>
      </w:r>
      <w:r w:rsidRPr="0068468F">
        <w:rPr>
          <w:rStyle w:val="af6"/>
          <w:rFonts w:eastAsia="Guttman Hodes" w:hint="cs"/>
          <w:rtl/>
        </w:rPr>
        <w:instrText xml:space="preserve"> _</w:instrText>
      </w:r>
      <w:r w:rsidRPr="0068468F">
        <w:rPr>
          <w:rStyle w:val="af6"/>
          <w:rFonts w:eastAsia="Guttman Hodes" w:hint="cs"/>
        </w:rPr>
        <w:instrText>Ref13663908 \r \h</w:instrText>
      </w:r>
      <w:r w:rsidRPr="0068468F">
        <w:rPr>
          <w:rStyle w:val="af6"/>
          <w:rFonts w:eastAsia="Guttman Hodes"/>
          <w:rtl/>
        </w:rPr>
        <w:instrText xml:space="preserve"> </w:instrText>
      </w:r>
      <w:r w:rsidRPr="0068468F">
        <w:rPr>
          <w:rStyle w:val="af6"/>
          <w:rFonts w:eastAsia="Guttman Hodes"/>
          <w:rtl/>
        </w:rPr>
      </w:r>
      <w:r w:rsidRPr="0068468F">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68468F">
        <w:rPr>
          <w:rStyle w:val="af6"/>
          <w:rFonts w:eastAsia="Guttman Hodes"/>
          <w:rtl/>
        </w:rPr>
        <w:fldChar w:fldCharType="end"/>
      </w:r>
      <w:r w:rsidRPr="0068468F">
        <w:rPr>
          <w:rFonts w:hint="cs"/>
          <w:rtl/>
        </w:rPr>
        <w:t xml:space="preserve"> אלא דס"ל </w:t>
      </w:r>
      <w:r w:rsidRPr="0068468F">
        <w:rPr>
          <w:rStyle w:val="af8"/>
          <w:rFonts w:hint="cs"/>
          <w:rtl/>
        </w:rPr>
        <w:t>להבעה"מ</w:t>
      </w:r>
      <w:r w:rsidRPr="0068468F">
        <w:rPr>
          <w:rFonts w:hint="cs"/>
          <w:rtl/>
        </w:rPr>
        <w:t xml:space="preserve"> דאף בכה"ג אסור מדאו' אלא דאין לוקין עליו</w:t>
      </w:r>
      <w:r w:rsidRPr="007E0C12">
        <w:rPr>
          <w:rFonts w:hint="cs"/>
          <w:rtl/>
        </w:rPr>
        <w:t xml:space="preserve">, וכן מבואר לדעת </w:t>
      </w:r>
      <w:r w:rsidRPr="007E0C12">
        <w:rPr>
          <w:rStyle w:val="af8"/>
          <w:rFonts w:hint="cs"/>
          <w:rtl/>
        </w:rPr>
        <w:t>ר"ת</w:t>
      </w:r>
      <w:r w:rsidRPr="007E0C12">
        <w:rPr>
          <w:rFonts w:hint="cs"/>
          <w:rtl/>
        </w:rPr>
        <w:t xml:space="preserve"> </w:t>
      </w:r>
      <w:r w:rsidRPr="008F29AD">
        <w:rPr>
          <w:rStyle w:val="af6"/>
          <w:rFonts w:eastAsia="Guttman Hodes" w:hint="cs"/>
          <w:rtl/>
        </w:rPr>
        <w:t xml:space="preserve">(עי' אות </w:t>
      </w:r>
      <w:r w:rsidRPr="008F29AD">
        <w:rPr>
          <w:rStyle w:val="af6"/>
          <w:rFonts w:eastAsia="Guttman Hodes"/>
          <w:rtl/>
        </w:rPr>
        <w:fldChar w:fldCharType="begin"/>
      </w:r>
      <w:r w:rsidRPr="008F29AD">
        <w:rPr>
          <w:rStyle w:val="af6"/>
          <w:rFonts w:eastAsia="Guttman Hodes"/>
          <w:rtl/>
        </w:rPr>
        <w:instrText xml:space="preserve"> </w:instrText>
      </w:r>
      <w:r w:rsidRPr="008F29AD">
        <w:rPr>
          <w:rStyle w:val="af6"/>
          <w:rFonts w:eastAsia="Guttman Hodes" w:hint="cs"/>
        </w:rPr>
        <w:instrText>REF</w:instrText>
      </w:r>
      <w:r w:rsidRPr="008F29AD">
        <w:rPr>
          <w:rStyle w:val="af6"/>
          <w:rFonts w:eastAsia="Guttman Hodes" w:hint="cs"/>
          <w:rtl/>
        </w:rPr>
        <w:instrText xml:space="preserve"> _</w:instrText>
      </w:r>
      <w:r w:rsidRPr="008F29AD">
        <w:rPr>
          <w:rStyle w:val="af6"/>
          <w:rFonts w:eastAsia="Guttman Hodes" w:hint="cs"/>
        </w:rPr>
        <w:instrText>Ref13661830 \r \h</w:instrText>
      </w:r>
      <w:r w:rsidRPr="008F29AD">
        <w:rPr>
          <w:rStyle w:val="af6"/>
          <w:rFonts w:eastAsia="Guttman Hodes"/>
          <w:rtl/>
        </w:rPr>
        <w:instrText xml:space="preserve"> </w:instrText>
      </w:r>
      <w:r w:rsidRPr="008F29AD">
        <w:rPr>
          <w:rStyle w:val="af6"/>
          <w:rFonts w:eastAsia="Guttman Hodes"/>
          <w:rtl/>
        </w:rPr>
      </w:r>
      <w:r w:rsidRPr="008F29AD">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8F29AD">
        <w:rPr>
          <w:rStyle w:val="af6"/>
          <w:rFonts w:eastAsia="Guttman Hodes"/>
          <w:rtl/>
        </w:rPr>
        <w:fldChar w:fldCharType="end"/>
      </w:r>
      <w:r w:rsidRPr="007E0C12">
        <w:rPr>
          <w:rFonts w:hint="cs"/>
          <w:rtl/>
        </w:rPr>
        <w:t xml:space="preserve"> במין במינו, אך לא מצינו מי שסובר כביאור </w:t>
      </w:r>
      <w:r w:rsidRPr="007E0C12">
        <w:rPr>
          <w:rStyle w:val="af8"/>
          <w:rFonts w:hint="cs"/>
          <w:rtl/>
        </w:rPr>
        <w:t>המנחת כהן ברש"י</w:t>
      </w:r>
      <w:r w:rsidRPr="007E0C12">
        <w:rPr>
          <w:rFonts w:hint="cs"/>
          <w:rtl/>
        </w:rPr>
        <w:t xml:space="preserve"> דבנימוח גוף האיסור אסור רק מדרבנן.</w:t>
      </w:r>
      <w:bookmarkEnd w:id="5908"/>
    </w:p>
    <w:p w:rsidR="009A0058" w:rsidRPr="007E0C12" w:rsidRDefault="009A0058" w:rsidP="009A0058">
      <w:pPr>
        <w:pStyle w:val="a2"/>
        <w:rPr>
          <w:rtl/>
        </w:rPr>
      </w:pPr>
      <w:bookmarkStart w:id="5909" w:name="_Toc13657804"/>
      <w:bookmarkStart w:id="5910" w:name="_Toc13663960"/>
      <w:r>
        <w:rPr>
          <w:rFonts w:hint="cs"/>
          <w:rtl/>
        </w:rPr>
        <w:t>דברי היד יהודה דברש"י בזבחים ובפסחים מבואר דבנימוח גוף האיסור אסור מדאו'</w:t>
      </w:r>
      <w:bookmarkEnd w:id="5909"/>
      <w:bookmarkEnd w:id="5910"/>
    </w:p>
    <w:p w:rsidR="009A0058" w:rsidRDefault="009A0058" w:rsidP="009F44AF">
      <w:pPr>
        <w:pStyle w:val="a"/>
        <w:rPr>
          <w:rtl/>
        </w:rPr>
      </w:pPr>
      <w:r w:rsidRPr="007E0C12">
        <w:rPr>
          <w:rFonts w:hint="cs"/>
          <w:rtl/>
        </w:rPr>
        <w:t xml:space="preserve">והוסיף </w:t>
      </w:r>
      <w:r w:rsidRPr="007E0C12">
        <w:rPr>
          <w:rStyle w:val="af8"/>
          <w:rFonts w:hint="cs"/>
          <w:rtl/>
        </w:rPr>
        <w:t>היד יהודה</w:t>
      </w:r>
      <w:r w:rsidRPr="007E0C12">
        <w:rPr>
          <w:rFonts w:hint="cs"/>
          <w:rtl/>
        </w:rPr>
        <w:t xml:space="preserve"> דמדברי </w:t>
      </w:r>
      <w:r w:rsidRPr="007E0C12">
        <w:rPr>
          <w:rStyle w:val="af8"/>
          <w:rFonts w:hint="cs"/>
          <w:rtl/>
        </w:rPr>
        <w:t>רש"י בזבחים</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Ref13591644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7E0C12">
        <w:rPr>
          <w:rStyle w:val="af6"/>
          <w:rFonts w:eastAsia="Guttman Hodes"/>
          <w:rtl/>
        </w:rPr>
        <w:fldChar w:fldCharType="end"/>
      </w:r>
      <w:r w:rsidRPr="007E0C12">
        <w:rPr>
          <w:rStyle w:val="af6"/>
          <w:rFonts w:eastAsia="Guttman Hodes" w:hint="cs"/>
          <w:rtl/>
        </w:rPr>
        <w:t xml:space="preserve"> </w:t>
      </w:r>
      <w:r w:rsidRPr="007E0C12">
        <w:rPr>
          <w:rStyle w:val="af8"/>
          <w:rFonts w:hint="cs"/>
          <w:rtl/>
        </w:rPr>
        <w:t>ובפסחים</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Ref13412531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מבואר להדיא דטעם כעיקר הוא בדבר שאין בו ממש מהעיקר, ויש בו רק טעם בלבד, אבל בדבר שיש בו ממשות לוקין עליו מדאו'</w:t>
      </w:r>
      <w:r>
        <w:rPr>
          <w:rFonts w:hint="cs"/>
          <w:rtl/>
        </w:rPr>
        <w:t xml:space="preserve">, ועי' במה שהאריך בזה </w:t>
      </w:r>
      <w:r w:rsidRPr="00975E7D">
        <w:rPr>
          <w:rStyle w:val="af8"/>
          <w:rFonts w:hint="cs"/>
          <w:rtl/>
        </w:rPr>
        <w:t>היד יהודה</w:t>
      </w:r>
      <w:r>
        <w:rPr>
          <w:rFonts w:hint="cs"/>
          <w:rtl/>
        </w:rPr>
        <w:t xml:space="preserve"> טובא</w:t>
      </w:r>
      <w:r w:rsidRPr="007E0C12">
        <w:rPr>
          <w:rFonts w:hint="cs"/>
          <w:rtl/>
        </w:rPr>
        <w:t>.</w:t>
      </w:r>
    </w:p>
    <w:p w:rsidR="009A0058" w:rsidRPr="007E0C12" w:rsidRDefault="009A0058" w:rsidP="009A0058">
      <w:pPr>
        <w:pStyle w:val="1"/>
        <w:rPr>
          <w:rtl/>
        </w:rPr>
      </w:pPr>
      <w:bookmarkStart w:id="5911" w:name="_Toc13603159"/>
      <w:bookmarkStart w:id="5912" w:name="_Toc13603262"/>
      <w:bookmarkStart w:id="5913" w:name="_Toc13657805"/>
      <w:bookmarkStart w:id="5914" w:name="_Toc13396627"/>
      <w:bookmarkStart w:id="5915" w:name="_Toc13418654"/>
      <w:bookmarkStart w:id="5916" w:name="_Toc13516487"/>
      <w:bookmarkStart w:id="5917" w:name="_Toc13562575"/>
      <w:bookmarkStart w:id="5918" w:name="_Toc13568562"/>
      <w:bookmarkStart w:id="5919" w:name="_Toc13663965"/>
      <w:r w:rsidRPr="007E0C12">
        <w:rPr>
          <w:rFonts w:hint="cs"/>
          <w:rtl/>
        </w:rPr>
        <w:t>דברי המעדני יו"ט ברש"י</w:t>
      </w:r>
      <w:bookmarkEnd w:id="5911"/>
      <w:bookmarkEnd w:id="5912"/>
      <w:bookmarkEnd w:id="5913"/>
      <w:r w:rsidRPr="007E0C12">
        <w:rPr>
          <w:rFonts w:hint="cs"/>
          <w:rtl/>
        </w:rPr>
        <w:t xml:space="preserve"> </w:t>
      </w:r>
      <w:bookmarkEnd w:id="5914"/>
      <w:bookmarkEnd w:id="5915"/>
      <w:bookmarkEnd w:id="5916"/>
      <w:bookmarkEnd w:id="5917"/>
      <w:bookmarkEnd w:id="5918"/>
      <w:r>
        <w:rPr>
          <w:rFonts w:hint="cs"/>
          <w:rtl/>
        </w:rPr>
        <w:t>בדין טעמו ולא ממשו בכזית בכא"פ</w:t>
      </w:r>
      <w:bookmarkEnd w:id="5919"/>
    </w:p>
    <w:p w:rsidR="009A0058" w:rsidRPr="007E0C12" w:rsidRDefault="009A0058" w:rsidP="009A0058">
      <w:pPr>
        <w:pStyle w:val="a2"/>
        <w:rPr>
          <w:rtl/>
        </w:rPr>
      </w:pPr>
      <w:bookmarkStart w:id="5920" w:name="_Toc13603160"/>
      <w:bookmarkStart w:id="5921" w:name="_Toc13603263"/>
      <w:bookmarkStart w:id="5922" w:name="_Toc13657806"/>
      <w:bookmarkStart w:id="5923" w:name="_Toc13663966"/>
      <w:r w:rsidRPr="007E0C12">
        <w:rPr>
          <w:rFonts w:hint="cs"/>
          <w:rtl/>
        </w:rPr>
        <w:t>דברי המעדני יו"ט דאפש"ל דלרש"י יש איסור דאו' בכזית בכא"פ בטעמו ולא ממשו</w:t>
      </w:r>
      <w:bookmarkEnd w:id="5920"/>
      <w:bookmarkEnd w:id="5921"/>
      <w:bookmarkEnd w:id="5922"/>
      <w:bookmarkEnd w:id="5923"/>
    </w:p>
    <w:p w:rsidR="009A0058" w:rsidRPr="007E0C12" w:rsidRDefault="009A0058" w:rsidP="009F44AF">
      <w:pPr>
        <w:pStyle w:val="a"/>
        <w:rPr>
          <w:rtl/>
        </w:rPr>
      </w:pPr>
      <w:r w:rsidRPr="007E0C12">
        <w:rPr>
          <w:rFonts w:hint="cs"/>
          <w:rtl/>
        </w:rPr>
        <w:t xml:space="preserve">כתב </w:t>
      </w:r>
      <w:r w:rsidRPr="007E0C12">
        <w:rPr>
          <w:rStyle w:val="af8"/>
          <w:rFonts w:hint="cs"/>
          <w:rtl/>
        </w:rPr>
        <w:t>המעדני יו"ט</w:t>
      </w:r>
      <w:r w:rsidRPr="007E0C12">
        <w:rPr>
          <w:rFonts w:hint="cs"/>
          <w:rtl/>
        </w:rPr>
        <w:t xml:space="preserve"> </w:t>
      </w:r>
      <w:r w:rsidRPr="007E0C12">
        <w:rPr>
          <w:rStyle w:val="af6"/>
          <w:rFonts w:eastAsia="Guttman Hodes" w:hint="cs"/>
          <w:rtl/>
        </w:rPr>
        <w:t>(על הרא"ש סי' ל"א אות ד')</w:t>
      </w:r>
      <w:r w:rsidRPr="007E0C12">
        <w:rPr>
          <w:rFonts w:hint="cs"/>
          <w:rtl/>
        </w:rPr>
        <w:t xml:space="preserve"> דמדברי </w:t>
      </w:r>
      <w:r w:rsidRPr="007E0C12">
        <w:rPr>
          <w:rStyle w:val="af8"/>
          <w:rFonts w:hint="cs"/>
          <w:rtl/>
        </w:rPr>
        <w:t>רש"י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Ref12961369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מבואר דאף ב</w:t>
      </w:r>
      <w:r w:rsidRPr="007E0C12">
        <w:rPr>
          <w:rtl/>
        </w:rPr>
        <w:t>חָלָב</w:t>
      </w:r>
      <w:r w:rsidRPr="007E0C12">
        <w:rPr>
          <w:rFonts w:hint="cs"/>
          <w:rtl/>
        </w:rPr>
        <w:t xml:space="preserve"> שנבלע בבשר קרינן ליה טעמו ולא ממשו, כיון שאין הממשות של החלב מורגשת, וא"כ ס"ל </w:t>
      </w:r>
      <w:r w:rsidRPr="007E0C12">
        <w:rPr>
          <w:rStyle w:val="af8"/>
          <w:rFonts w:hint="cs"/>
          <w:rtl/>
        </w:rPr>
        <w:t>לרש"י</w:t>
      </w:r>
      <w:r w:rsidRPr="007E0C12">
        <w:rPr>
          <w:rFonts w:hint="cs"/>
          <w:rtl/>
        </w:rPr>
        <w:t xml:space="preserve"> דממשו וטעמו היינו כשגוף האיסור מורגש, אמנם אף דבאינו מורגש הוי טעמו ולא ממשו, זהו רק באופן שאין בו כזית בכדי אכילת פרס, אבל בכזית בכדי אכילת פרס, אף </w:t>
      </w:r>
      <w:r w:rsidRPr="007E0C12">
        <w:rPr>
          <w:rStyle w:val="af8"/>
          <w:rFonts w:hint="cs"/>
          <w:rtl/>
        </w:rPr>
        <w:t>לרש"י</w:t>
      </w:r>
      <w:r w:rsidRPr="007E0C12">
        <w:rPr>
          <w:rFonts w:hint="cs"/>
          <w:rtl/>
        </w:rPr>
        <w:t xml:space="preserve"> קרינן ביה טעמו וממשו, וזו כוונת ריו"ח בריש דבריו דבטעמו וממשו לוקין עליו, וכדמוכח מהא דסיפא דריו"ח בטעמו ולא ממשו ביאר</w:t>
      </w:r>
      <w:r w:rsidRPr="007E0C12">
        <w:rPr>
          <w:rStyle w:val="af8"/>
          <w:rFonts w:hint="cs"/>
          <w:rtl/>
        </w:rPr>
        <w:t xml:space="preserve"> רש"י</w:t>
      </w:r>
      <w:r w:rsidRPr="007E0C12">
        <w:rPr>
          <w:rFonts w:hint="cs"/>
          <w:rtl/>
        </w:rPr>
        <w:t xml:space="preserve"> דאיירי ב</w:t>
      </w:r>
      <w:r w:rsidRPr="007E0C12">
        <w:rPr>
          <w:rtl/>
        </w:rPr>
        <w:t xml:space="preserve">חָלָב </w:t>
      </w:r>
      <w:r w:rsidRPr="007E0C12">
        <w:rPr>
          <w:rFonts w:hint="cs"/>
          <w:rtl/>
        </w:rPr>
        <w:t xml:space="preserve">שנפל או </w:t>
      </w:r>
      <w:r w:rsidRPr="007E0C12">
        <w:rPr>
          <w:rtl/>
        </w:rPr>
        <w:t>חֵלֶב</w:t>
      </w:r>
      <w:r w:rsidRPr="007E0C12">
        <w:rPr>
          <w:rFonts w:hint="cs"/>
          <w:rtl/>
        </w:rPr>
        <w:t xml:space="preserve"> נימוח, א"כ משמע דברישא דריו"ח בטעמו וממשו, ג"כ איירי בכה"ג, והחילוק הוא דבטעמו וממשו יש כזית בכדי אכילת פרס.</w:t>
      </w:r>
    </w:p>
    <w:p w:rsidR="009A0058" w:rsidRPr="007E0C12" w:rsidRDefault="009A0058" w:rsidP="009A0058">
      <w:pPr>
        <w:pStyle w:val="a2"/>
        <w:rPr>
          <w:rtl/>
        </w:rPr>
      </w:pPr>
      <w:bookmarkStart w:id="5924" w:name="_Toc13603161"/>
      <w:bookmarkStart w:id="5925" w:name="_Toc13603264"/>
      <w:bookmarkStart w:id="5926" w:name="_Toc13657807"/>
      <w:bookmarkStart w:id="5927" w:name="_Toc13663967"/>
      <w:r w:rsidRPr="007E0C12">
        <w:rPr>
          <w:rFonts w:hint="cs"/>
          <w:rtl/>
        </w:rPr>
        <w:t>דחיית המעדני יו"ט דבטעמו ולא ממשו אין איסור דאו' אף בכזית בכא"פ לדעת רש"י</w:t>
      </w:r>
      <w:bookmarkEnd w:id="5924"/>
      <w:bookmarkEnd w:id="5925"/>
      <w:bookmarkEnd w:id="5926"/>
      <w:bookmarkEnd w:id="5927"/>
    </w:p>
    <w:p w:rsidR="009A0058" w:rsidRDefault="009A0058" w:rsidP="009F44AF">
      <w:pPr>
        <w:pStyle w:val="a"/>
        <w:rPr>
          <w:rtl/>
        </w:rPr>
      </w:pPr>
      <w:r w:rsidRPr="007E0C12">
        <w:rPr>
          <w:rFonts w:hint="cs"/>
          <w:rtl/>
        </w:rPr>
        <w:t xml:space="preserve">אך דחה </w:t>
      </w:r>
      <w:r w:rsidRPr="007E0C12">
        <w:rPr>
          <w:rStyle w:val="af8"/>
          <w:rFonts w:hint="cs"/>
          <w:rtl/>
        </w:rPr>
        <w:t>המעדני יו"ט</w:t>
      </w:r>
      <w:r w:rsidRPr="007E0C12">
        <w:rPr>
          <w:rFonts w:hint="cs"/>
          <w:rtl/>
        </w:rPr>
        <w:t xml:space="preserve"> דאפש"ל </w:t>
      </w:r>
      <w:r w:rsidRPr="007E0C12">
        <w:rPr>
          <w:rStyle w:val="af8"/>
          <w:rFonts w:hint="cs"/>
          <w:rtl/>
        </w:rPr>
        <w:t>דרש"י</w:t>
      </w:r>
      <w:r w:rsidRPr="007E0C12">
        <w:rPr>
          <w:rFonts w:hint="cs"/>
          <w:rtl/>
        </w:rPr>
        <w:t xml:space="preserve"> ביאר בסיפא דריו"ח בטעמו ולא ממשו כגון </w:t>
      </w:r>
      <w:r w:rsidRPr="007E0C12">
        <w:rPr>
          <w:rtl/>
        </w:rPr>
        <w:t xml:space="preserve">חָלָב </w:t>
      </w:r>
      <w:r w:rsidRPr="007E0C12">
        <w:rPr>
          <w:rFonts w:hint="cs"/>
          <w:rtl/>
        </w:rPr>
        <w:t xml:space="preserve">שנפל לקדירה של בשר, או </w:t>
      </w:r>
      <w:r w:rsidRPr="007E0C12">
        <w:rPr>
          <w:rtl/>
        </w:rPr>
        <w:t>חֵלֶב</w:t>
      </w:r>
      <w:r w:rsidRPr="007E0C12">
        <w:rPr>
          <w:rFonts w:hint="cs"/>
          <w:rtl/>
        </w:rPr>
        <w:t xml:space="preserve"> שנפל ונימוח, כיון דבכה"ג לא שייך מלקות כלל, דחיוב מלקות הוא רק בטעמו וממשו, שגוף האיסור הוא בעין, וכתב </w:t>
      </w:r>
      <w:r w:rsidRPr="007E0C12">
        <w:rPr>
          <w:rStyle w:val="af8"/>
          <w:rFonts w:hint="cs"/>
          <w:rtl/>
        </w:rPr>
        <w:t>המעדני יו"ט</w:t>
      </w:r>
      <w:r w:rsidRPr="007E0C12">
        <w:rPr>
          <w:rFonts w:hint="cs"/>
          <w:rtl/>
        </w:rPr>
        <w:t xml:space="preserve"> דכן מסתבר לומר מהא דהוצרך</w:t>
      </w:r>
      <w:r w:rsidRPr="007E0C12">
        <w:rPr>
          <w:rStyle w:val="af8"/>
          <w:rFonts w:hint="cs"/>
          <w:rtl/>
        </w:rPr>
        <w:t xml:space="preserve"> רש"י</w:t>
      </w:r>
      <w:r w:rsidRPr="007E0C12">
        <w:rPr>
          <w:rFonts w:hint="cs"/>
          <w:rtl/>
        </w:rPr>
        <w:t xml:space="preserve"> לפרש בסיפא דריו"ח דאיירי ב</w:t>
      </w:r>
      <w:r w:rsidRPr="007E0C12">
        <w:rPr>
          <w:rtl/>
        </w:rPr>
        <w:t xml:space="preserve">חָלָב </w:t>
      </w:r>
      <w:r w:rsidRPr="007E0C12">
        <w:rPr>
          <w:rFonts w:hint="cs"/>
          <w:rtl/>
        </w:rPr>
        <w:t xml:space="preserve">שנפל או </w:t>
      </w:r>
      <w:r w:rsidRPr="007E0C12">
        <w:rPr>
          <w:rtl/>
        </w:rPr>
        <w:t>חֵלֶב</w:t>
      </w:r>
      <w:r w:rsidRPr="007E0C12">
        <w:rPr>
          <w:rFonts w:hint="cs"/>
          <w:rtl/>
        </w:rPr>
        <w:t xml:space="preserve"> נימוח, ואם כל החילוק בין הרישא לסיפא הוא בדין כזית בכדי אכילת פרס, לא היה </w:t>
      </w:r>
      <w:r w:rsidRPr="007E0C12">
        <w:rPr>
          <w:rStyle w:val="af8"/>
          <w:rFonts w:hint="cs"/>
          <w:rtl/>
        </w:rPr>
        <w:t>לרש"י</w:t>
      </w:r>
      <w:r w:rsidRPr="007E0C12">
        <w:rPr>
          <w:rFonts w:hint="cs"/>
          <w:rtl/>
        </w:rPr>
        <w:t xml:space="preserve"> לבאר כן בסיפא של ריו"ח, אלא מוכח דכוונת </w:t>
      </w:r>
      <w:r w:rsidRPr="007E0C12">
        <w:rPr>
          <w:rStyle w:val="af8"/>
          <w:rFonts w:hint="cs"/>
          <w:rtl/>
        </w:rPr>
        <w:t>רש"י</w:t>
      </w:r>
      <w:r w:rsidRPr="007E0C12">
        <w:rPr>
          <w:rFonts w:hint="cs"/>
          <w:rtl/>
        </w:rPr>
        <w:t xml:space="preserve"> לומר דריו"ח בסיפא לא איירי באותו אופן של הרישא, דברישא בטעמו וממשו איירי שגוף האיסור מעורב, ובזה לוקין כשיש כזית בכדי אכילת פרס, ומשמע שאם אין כזית בכדי אכילת פרס, אין לוקין אף שגוף האיסור מעורב, ובסיפא דריו"ח בטעמו ולא ממשו, איירי רק באופן שגוף האיסור אינו מעורב כגון ב</w:t>
      </w:r>
      <w:r w:rsidRPr="007E0C12">
        <w:rPr>
          <w:rtl/>
        </w:rPr>
        <w:t xml:space="preserve">חָלָב </w:t>
      </w:r>
      <w:r w:rsidRPr="007E0C12">
        <w:rPr>
          <w:rFonts w:hint="cs"/>
          <w:rtl/>
        </w:rPr>
        <w:t xml:space="preserve">שנפל או </w:t>
      </w:r>
      <w:r w:rsidRPr="007E0C12">
        <w:rPr>
          <w:rtl/>
        </w:rPr>
        <w:t>חֵלֶב</w:t>
      </w:r>
      <w:r w:rsidRPr="007E0C12">
        <w:rPr>
          <w:rFonts w:hint="cs"/>
          <w:rtl/>
        </w:rPr>
        <w:t xml:space="preserve"> נימוח, ובזה אין כל נ"מ אם יש כזית בכדי אכילת פרס או לא, דלעולם אין בו מלקות, </w:t>
      </w:r>
      <w:r w:rsidRPr="007E0C12">
        <w:rPr>
          <w:rStyle w:val="afa"/>
          <w:rFonts w:hint="cs"/>
          <w:rtl/>
        </w:rPr>
        <w:t>[דס"ל לריו"ח]</w:t>
      </w:r>
      <w:r w:rsidRPr="007E0C12">
        <w:rPr>
          <w:rFonts w:hint="cs"/>
          <w:rtl/>
        </w:rPr>
        <w:t xml:space="preserve"> דטעם כעיקר לאו דאו'.</w:t>
      </w:r>
    </w:p>
    <w:p w:rsidR="009A0058" w:rsidRDefault="009A0058" w:rsidP="00E669F8">
      <w:pPr>
        <w:pStyle w:val="afd"/>
        <w:rPr>
          <w:rFonts w:eastAsiaTheme="minorEastAsia" w:cstheme="minorBidi"/>
          <w:i/>
          <w:iCs/>
          <w:szCs w:val="22"/>
          <w:rtl/>
        </w:rPr>
      </w:pPr>
      <w:r>
        <w:rPr>
          <w:rtl/>
        </w:rPr>
        <w:t>בביאור דעת רש</w:t>
      </w:r>
      <w:r w:rsidRPr="00B95EA1">
        <w:rPr>
          <w:rtl/>
        </w:rPr>
        <w:t>"</w:t>
      </w:r>
      <w:r>
        <w:rPr>
          <w:rtl/>
        </w:rPr>
        <w:t xml:space="preserve">י </w:t>
      </w:r>
      <w:r>
        <w:rPr>
          <w:rFonts w:hint="cs"/>
          <w:rtl/>
        </w:rPr>
        <w:t>בטעמו וממשו</w:t>
      </w:r>
    </w:p>
    <w:p w:rsidR="009A0058" w:rsidRPr="008C4F6A" w:rsidRDefault="009A0058" w:rsidP="009A0058">
      <w:pPr>
        <w:pStyle w:val="1"/>
        <w:rPr>
          <w:rtl/>
        </w:rPr>
      </w:pPr>
      <w:r>
        <w:rPr>
          <w:rFonts w:hint="cs"/>
          <w:rtl/>
        </w:rPr>
        <w:t>דברי המנחת כהן ו</w:t>
      </w:r>
      <w:r w:rsidRPr="00A5626B">
        <w:rPr>
          <w:rFonts w:hint="cs"/>
          <w:rtl/>
        </w:rPr>
        <w:t xml:space="preserve">הפרמ"ג בדעת </w:t>
      </w:r>
      <w:r w:rsidRPr="008C4F6A">
        <w:rPr>
          <w:rFonts w:hint="cs"/>
          <w:rtl/>
        </w:rPr>
        <w:t>רש"י בטעמו וממשו</w:t>
      </w:r>
      <w:bookmarkEnd w:id="5905"/>
    </w:p>
    <w:p w:rsidR="009A0058" w:rsidRPr="008C4F6A" w:rsidRDefault="009A0058" w:rsidP="009A0058">
      <w:pPr>
        <w:pStyle w:val="a2"/>
        <w:rPr>
          <w:rtl/>
        </w:rPr>
      </w:pPr>
      <w:bookmarkStart w:id="5928" w:name="_Toc13726333"/>
      <w:r w:rsidRPr="008C4F6A">
        <w:rPr>
          <w:rFonts w:hint="cs"/>
          <w:rtl/>
        </w:rPr>
        <w:t>דברי המנחת כהן דלרש"י טעמו וממשו הוא כשגוף האיסור לא נימוח ומכירו בתוך התבשיל</w:t>
      </w:r>
      <w:bookmarkEnd w:id="5928"/>
    </w:p>
    <w:p w:rsidR="009A0058" w:rsidRPr="008C4F6A" w:rsidRDefault="009A0058" w:rsidP="009F44AF">
      <w:pPr>
        <w:pStyle w:val="a"/>
        <w:rPr>
          <w:rtl/>
        </w:rPr>
      </w:pPr>
      <w:r w:rsidRPr="008C4F6A">
        <w:rPr>
          <w:rFonts w:hint="cs"/>
          <w:rtl/>
        </w:rPr>
        <w:t xml:space="preserve">כתב </w:t>
      </w:r>
      <w:r w:rsidRPr="008C4F6A">
        <w:rPr>
          <w:rStyle w:val="af8"/>
          <w:rFonts w:hint="cs"/>
          <w:rtl/>
        </w:rPr>
        <w:t>המנחת כהן</w:t>
      </w:r>
      <w:r w:rsidRPr="008C4F6A">
        <w:rPr>
          <w:rFonts w:hint="cs"/>
          <w:rtl/>
        </w:rPr>
        <w:t xml:space="preserve"> </w:t>
      </w:r>
      <w:r w:rsidRPr="008C4F6A">
        <w:rPr>
          <w:rStyle w:val="af6"/>
          <w:rFonts w:eastAsia="Guttman Hodes" w:hint="cs"/>
          <w:rtl/>
        </w:rPr>
        <w:t xml:space="preserve">(ספר התערובות ח"א פ"ב ד"ה גם מה, ח"א פ"ד ד"ה הסברא האחת) </w:t>
      </w:r>
      <w:r w:rsidRPr="008C4F6A">
        <w:rPr>
          <w:rFonts w:hint="cs"/>
          <w:rtl/>
        </w:rPr>
        <w:t xml:space="preserve">דלדעת </w:t>
      </w:r>
      <w:r w:rsidRPr="008C4F6A">
        <w:rPr>
          <w:rStyle w:val="af8"/>
          <w:rFonts w:hint="cs"/>
          <w:rtl/>
        </w:rPr>
        <w:t>רש"י</w:t>
      </w:r>
      <w:r w:rsidRPr="008C4F6A">
        <w:rPr>
          <w:rFonts w:hint="cs"/>
          <w:rtl/>
        </w:rPr>
        <w:t xml:space="preserve"> דטעמו ולא ממשו היינו אף כשגוף האיסור נימוח, א"כ טעמו וממשו הוא דוקא במקום שגוף האיסור לא נימוח והוא מכירו בתוך התבשיל.</w:t>
      </w:r>
    </w:p>
    <w:p w:rsidR="009A0058" w:rsidRPr="0051145B" w:rsidRDefault="009A0058" w:rsidP="009A0058">
      <w:pPr>
        <w:pStyle w:val="a2"/>
        <w:rPr>
          <w:rtl/>
        </w:rPr>
      </w:pPr>
      <w:bookmarkStart w:id="5929" w:name="_Toc13726334"/>
      <w:r w:rsidRPr="008C4F6A">
        <w:rPr>
          <w:rFonts w:hint="cs"/>
          <w:rtl/>
        </w:rPr>
        <w:t>דברי הפרמ"ג ד</w:t>
      </w:r>
      <w:r>
        <w:rPr>
          <w:rFonts w:hint="cs"/>
          <w:rtl/>
        </w:rPr>
        <w:t>מבואר ברש"י בע"ז ד</w:t>
      </w:r>
      <w:r w:rsidRPr="008C4F6A">
        <w:rPr>
          <w:rFonts w:hint="cs"/>
          <w:rtl/>
        </w:rPr>
        <w:t>אף באיסור שלא נ</w:t>
      </w:r>
      <w:r>
        <w:rPr>
          <w:rFonts w:hint="cs"/>
          <w:rtl/>
        </w:rPr>
        <w:t>י</w:t>
      </w:r>
      <w:r w:rsidRPr="008C4F6A">
        <w:rPr>
          <w:rFonts w:hint="cs"/>
          <w:rtl/>
        </w:rPr>
        <w:t>מ</w:t>
      </w:r>
      <w:r>
        <w:rPr>
          <w:rFonts w:hint="cs"/>
          <w:rtl/>
        </w:rPr>
        <w:t>ו</w:t>
      </w:r>
      <w:r w:rsidRPr="008C4F6A">
        <w:rPr>
          <w:rFonts w:hint="cs"/>
          <w:rtl/>
        </w:rPr>
        <w:t xml:space="preserve">ח ואינו מכירו חשיב טעמו וממשו </w:t>
      </w:r>
      <w:bookmarkEnd w:id="5929"/>
    </w:p>
    <w:p w:rsidR="009A0058" w:rsidRDefault="009A0058" w:rsidP="009F44AF">
      <w:pPr>
        <w:pStyle w:val="a"/>
        <w:rPr>
          <w:rtl/>
        </w:rPr>
      </w:pPr>
      <w:r w:rsidRPr="008C4F6A">
        <w:rPr>
          <w:rFonts w:hint="cs"/>
          <w:rtl/>
        </w:rPr>
        <w:t xml:space="preserve">אבל </w:t>
      </w:r>
      <w:r w:rsidRPr="008C4F6A">
        <w:rPr>
          <w:rStyle w:val="af8"/>
          <w:rFonts w:hint="cs"/>
          <w:rtl/>
        </w:rPr>
        <w:t>הפרמ"ג</w:t>
      </w:r>
      <w:r w:rsidRPr="008C4F6A">
        <w:rPr>
          <w:rFonts w:hint="cs"/>
          <w:rtl/>
        </w:rPr>
        <w:t xml:space="preserve"> </w:t>
      </w:r>
      <w:r w:rsidRPr="008C4F6A">
        <w:rPr>
          <w:rStyle w:val="af6"/>
          <w:rFonts w:eastAsia="Guttman Hodes" w:hint="cs"/>
          <w:rtl/>
        </w:rPr>
        <w:t xml:space="preserve">(או"ח פתיחה להל' פסח החלק הב' אות א' ד"ה השטה הא') </w:t>
      </w:r>
      <w:r w:rsidRPr="008C4F6A">
        <w:rPr>
          <w:rFonts w:hint="cs"/>
          <w:rtl/>
        </w:rPr>
        <w:t xml:space="preserve">כתב דאף במקום שהאיסור בעין ולא נמחה בתוך ההיתר, אך אין מכיר את האיסור בתוך התערובת, חשיב טעמו וממשו, וכתב </w:t>
      </w:r>
      <w:r w:rsidRPr="008C4F6A">
        <w:rPr>
          <w:rStyle w:val="af8"/>
          <w:rFonts w:hint="cs"/>
          <w:rtl/>
        </w:rPr>
        <w:t>הפרמ"ג</w:t>
      </w:r>
      <w:r w:rsidRPr="008C4F6A">
        <w:rPr>
          <w:rFonts w:hint="cs"/>
          <w:rtl/>
        </w:rPr>
        <w:t xml:space="preserve"> דכן מוכח מדברי </w:t>
      </w:r>
      <w:r w:rsidRPr="008C4F6A">
        <w:rPr>
          <w:rStyle w:val="af8"/>
          <w:rFonts w:hint="cs"/>
          <w:rtl/>
        </w:rPr>
        <w:t>רש"י בע"ז</w:t>
      </w:r>
      <w:r w:rsidRPr="008C4F6A">
        <w:rPr>
          <w:rFonts w:hint="cs"/>
          <w:rtl/>
        </w:rPr>
        <w:t xml:space="preserve"> </w:t>
      </w:r>
      <w:r w:rsidRPr="00450370">
        <w:rPr>
          <w:rStyle w:val="af6"/>
          <w:rFonts w:eastAsia="Guttman Hodes" w:hint="cs"/>
          <w:rtl/>
        </w:rPr>
        <w:t xml:space="preserve">(עי' אות </w:t>
      </w:r>
      <w:r w:rsidRPr="00450370">
        <w:rPr>
          <w:rStyle w:val="af6"/>
          <w:rFonts w:eastAsia="Guttman Hodes"/>
          <w:rtl/>
        </w:rPr>
        <w:fldChar w:fldCharType="begin"/>
      </w:r>
      <w:r w:rsidRPr="00450370">
        <w:rPr>
          <w:rStyle w:val="af6"/>
          <w:rFonts w:eastAsia="Guttman Hodes"/>
          <w:rtl/>
        </w:rPr>
        <w:instrText xml:space="preserve"> </w:instrText>
      </w:r>
      <w:r w:rsidRPr="00450370">
        <w:rPr>
          <w:rStyle w:val="af6"/>
          <w:rFonts w:eastAsia="Guttman Hodes" w:hint="cs"/>
        </w:rPr>
        <w:instrText>REF</w:instrText>
      </w:r>
      <w:r w:rsidRPr="00450370">
        <w:rPr>
          <w:rStyle w:val="af6"/>
          <w:rFonts w:eastAsia="Guttman Hodes" w:hint="cs"/>
          <w:rtl/>
        </w:rPr>
        <w:instrText xml:space="preserve"> _</w:instrText>
      </w:r>
      <w:r w:rsidRPr="00450370">
        <w:rPr>
          <w:rStyle w:val="af6"/>
          <w:rFonts w:eastAsia="Guttman Hodes" w:hint="cs"/>
        </w:rPr>
        <w:instrText>Ref13476932 \r \h</w:instrText>
      </w:r>
      <w:r w:rsidRPr="00450370">
        <w:rPr>
          <w:rStyle w:val="af6"/>
          <w:rFonts w:eastAsia="Guttman Hodes"/>
          <w:rtl/>
        </w:rPr>
        <w:instrText xml:space="preserve"> </w:instrText>
      </w:r>
      <w:r w:rsidRPr="00450370">
        <w:rPr>
          <w:rStyle w:val="af6"/>
          <w:rFonts w:eastAsia="Guttman Hodes"/>
          <w:rtl/>
        </w:rPr>
      </w:r>
      <w:r w:rsidRPr="00450370">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450370">
        <w:rPr>
          <w:rStyle w:val="af6"/>
          <w:rFonts w:eastAsia="Guttman Hodes"/>
          <w:rtl/>
        </w:rPr>
        <w:fldChar w:fldCharType="end"/>
      </w:r>
      <w:r>
        <w:rPr>
          <w:rFonts w:hint="cs"/>
          <w:rtl/>
        </w:rPr>
        <w:t xml:space="preserve"> </w:t>
      </w:r>
      <w:r w:rsidRPr="008C4F6A">
        <w:rPr>
          <w:rFonts w:hint="cs"/>
          <w:rtl/>
        </w:rPr>
        <w:t>ד</w:t>
      </w:r>
      <w:r>
        <w:rPr>
          <w:rFonts w:hint="cs"/>
          <w:rtl/>
        </w:rPr>
        <w:t>ביאר ד</w:t>
      </w:r>
      <w:r w:rsidRPr="008C4F6A">
        <w:rPr>
          <w:rFonts w:hint="cs"/>
          <w:rtl/>
        </w:rPr>
        <w:t xml:space="preserve">בטעמו ולא ממשו </w:t>
      </w:r>
      <w:r>
        <w:rPr>
          <w:rFonts w:hint="cs"/>
          <w:rtl/>
        </w:rPr>
        <w:t>איירי ד</w:t>
      </w:r>
      <w:r w:rsidRPr="008C4F6A">
        <w:rPr>
          <w:rFonts w:hint="cs"/>
          <w:rtl/>
        </w:rPr>
        <w:t>האיסור נימוח, וא"כ מבואר דכל שהאיסור לא נימוח, אף שאין מכירו בתערובת חשיב טעמו וממשו</w:t>
      </w:r>
      <w:bookmarkStart w:id="5930" w:name="_Ref13563293"/>
      <w:r>
        <w:rPr>
          <w:rFonts w:hint="cs"/>
          <w:rtl/>
        </w:rPr>
        <w:t xml:space="preserve">, ועי' במה שהאריך בזה </w:t>
      </w:r>
      <w:r w:rsidRPr="00EE2090">
        <w:rPr>
          <w:rStyle w:val="af8"/>
          <w:rFonts w:hint="cs"/>
          <w:rtl/>
        </w:rPr>
        <w:t xml:space="preserve">היד יהודה </w:t>
      </w:r>
      <w:r w:rsidRPr="00EE2090">
        <w:rPr>
          <w:rStyle w:val="af6"/>
          <w:rFonts w:eastAsia="Guttman Hodes" w:hint="cs"/>
          <w:rtl/>
        </w:rPr>
        <w:t>(סי' צ"ח סק"ו ד"ה וראיתי גם)</w:t>
      </w:r>
      <w:r>
        <w:rPr>
          <w:rFonts w:hint="cs"/>
          <w:rtl/>
        </w:rPr>
        <w:t>.</w:t>
      </w:r>
    </w:p>
    <w:p w:rsidR="009A0058" w:rsidRPr="00536F28" w:rsidRDefault="009A0058" w:rsidP="009A0058">
      <w:pPr>
        <w:pStyle w:val="a2"/>
      </w:pPr>
      <w:r>
        <w:rPr>
          <w:rFonts w:hint="cs"/>
          <w:rtl/>
        </w:rPr>
        <w:t xml:space="preserve">דברי הפרמ"ג דמוכח ברש"י בע"ז באיסור שלא נימוח אף </w:t>
      </w:r>
      <w:r w:rsidRPr="008C4F6A">
        <w:rPr>
          <w:rFonts w:hint="cs"/>
          <w:rtl/>
        </w:rPr>
        <w:t>בפחות מכא"פ אסור מדאו'</w:t>
      </w:r>
    </w:p>
    <w:p w:rsidR="002D7168" w:rsidRDefault="009A0058" w:rsidP="009F44AF">
      <w:pPr>
        <w:pStyle w:val="a"/>
        <w:rPr>
          <w:rtl/>
        </w:rPr>
      </w:pPr>
      <w:bookmarkStart w:id="5931" w:name="_Ref13736086"/>
      <w:r w:rsidRPr="008C4F6A">
        <w:rPr>
          <w:rFonts w:hint="cs"/>
          <w:rtl/>
        </w:rPr>
        <w:t xml:space="preserve">וכתב </w:t>
      </w:r>
      <w:r w:rsidRPr="008C4F6A">
        <w:rPr>
          <w:rStyle w:val="af8"/>
          <w:rFonts w:hint="cs"/>
          <w:rtl/>
        </w:rPr>
        <w:t>הפרמ"ג</w:t>
      </w:r>
      <w:r w:rsidRPr="008C4F6A">
        <w:rPr>
          <w:rFonts w:hint="cs"/>
          <w:rtl/>
        </w:rPr>
        <w:t xml:space="preserve"> דס"ל </w:t>
      </w:r>
      <w:r w:rsidRPr="008C4F6A">
        <w:rPr>
          <w:rStyle w:val="af8"/>
          <w:rFonts w:hint="cs"/>
          <w:rtl/>
        </w:rPr>
        <w:t>לרש"י</w:t>
      </w:r>
      <w:r w:rsidRPr="008C4F6A">
        <w:rPr>
          <w:rFonts w:hint="cs"/>
          <w:rtl/>
        </w:rPr>
        <w:t xml:space="preserve"> דבטעמו וממשו בפחות מכזית בכדי אכילת פרס אסור מדאו' אף שאין לוקין עליו, דהא כתב </w:t>
      </w:r>
      <w:r w:rsidRPr="00E571C4">
        <w:rPr>
          <w:rStyle w:val="af8"/>
          <w:rFonts w:hint="cs"/>
          <w:rtl/>
        </w:rPr>
        <w:t>רש"י בע"ז</w:t>
      </w:r>
      <w:r w:rsidRPr="008C4F6A">
        <w:rPr>
          <w:rFonts w:hint="cs"/>
          <w:rtl/>
        </w:rPr>
        <w:t xml:space="preserve"> </w:t>
      </w:r>
      <w:r w:rsidRPr="00E571C4">
        <w:rPr>
          <w:rStyle w:val="af6"/>
          <w:rFonts w:eastAsia="Guttman Hodes" w:hint="cs"/>
          <w:rtl/>
        </w:rPr>
        <w:t xml:space="preserve">(עי' אות </w:t>
      </w:r>
      <w:r w:rsidRPr="00E571C4">
        <w:rPr>
          <w:rStyle w:val="af6"/>
          <w:rFonts w:eastAsia="Guttman Hodes"/>
          <w:rtl/>
        </w:rPr>
        <w:fldChar w:fldCharType="begin"/>
      </w:r>
      <w:r w:rsidRPr="00E571C4">
        <w:rPr>
          <w:rStyle w:val="af6"/>
          <w:rFonts w:eastAsia="Guttman Hodes"/>
          <w:rtl/>
        </w:rPr>
        <w:instrText xml:space="preserve"> </w:instrText>
      </w:r>
      <w:r w:rsidRPr="00E571C4">
        <w:rPr>
          <w:rStyle w:val="af6"/>
          <w:rFonts w:eastAsia="Guttman Hodes" w:hint="cs"/>
        </w:rPr>
        <w:instrText>REF</w:instrText>
      </w:r>
      <w:r w:rsidRPr="00E571C4">
        <w:rPr>
          <w:rStyle w:val="af6"/>
          <w:rFonts w:eastAsia="Guttman Hodes" w:hint="cs"/>
          <w:rtl/>
        </w:rPr>
        <w:instrText xml:space="preserve"> _</w:instrText>
      </w:r>
      <w:r w:rsidRPr="00E571C4">
        <w:rPr>
          <w:rStyle w:val="af6"/>
          <w:rFonts w:eastAsia="Guttman Hodes" w:hint="cs"/>
        </w:rPr>
        <w:instrText>Ref13736062 \r \h</w:instrText>
      </w:r>
      <w:r w:rsidRPr="00E571C4">
        <w:rPr>
          <w:rStyle w:val="af6"/>
          <w:rFonts w:eastAsia="Guttman Hodes"/>
          <w:rtl/>
        </w:rPr>
        <w:instrText xml:space="preserve"> </w:instrText>
      </w:r>
      <w:r w:rsidRPr="00E571C4">
        <w:rPr>
          <w:rStyle w:val="af6"/>
          <w:rFonts w:eastAsia="Guttman Hodes"/>
          <w:rtl/>
        </w:rPr>
      </w:r>
      <w:r w:rsidRPr="00E571C4">
        <w:rPr>
          <w:rStyle w:val="af6"/>
          <w:rFonts w:eastAsia="Guttman Hodes"/>
          <w:rtl/>
        </w:rPr>
        <w:fldChar w:fldCharType="separate"/>
      </w:r>
      <w:r w:rsidR="004D1C5B">
        <w:rPr>
          <w:rStyle w:val="af6"/>
          <w:rFonts w:eastAsia="Guttman Hodes"/>
          <w:cs/>
        </w:rPr>
        <w:t>‎</w:t>
      </w:r>
      <w:r w:rsidR="004D1C5B">
        <w:rPr>
          <w:rStyle w:val="af6"/>
          <w:rFonts w:eastAsia="Guttman Hodes"/>
          <w:rtl/>
        </w:rPr>
        <w:t>ג)</w:t>
      </w:r>
      <w:r w:rsidRPr="00E571C4">
        <w:rPr>
          <w:rStyle w:val="af6"/>
          <w:rFonts w:eastAsia="Guttman Hodes"/>
          <w:rtl/>
        </w:rPr>
        <w:fldChar w:fldCharType="end"/>
      </w:r>
      <w:r>
        <w:rPr>
          <w:rFonts w:hint="cs"/>
          <w:rtl/>
        </w:rPr>
        <w:t xml:space="preserve"> </w:t>
      </w:r>
      <w:r w:rsidRPr="008C4F6A">
        <w:rPr>
          <w:rFonts w:hint="cs"/>
          <w:rtl/>
        </w:rPr>
        <w:t xml:space="preserve">דחשיב כב' אכילות, ולא כתב </w:t>
      </w:r>
      <w:r w:rsidRPr="008C4F6A">
        <w:rPr>
          <w:rStyle w:val="af8"/>
          <w:rFonts w:hint="cs"/>
          <w:rtl/>
        </w:rPr>
        <w:t>רש"י</w:t>
      </w:r>
      <w:r w:rsidRPr="008C4F6A">
        <w:rPr>
          <w:rFonts w:hint="cs"/>
          <w:rtl/>
        </w:rPr>
        <w:t xml:space="preserve"> דמדאו' מותר לגמרי בפחות מכזית בכדי אכילת פרס, ומוכח דכיון שהאיסור לא נימוח הוא אסור מדאו'</w:t>
      </w:r>
      <w:bookmarkEnd w:id="5930"/>
      <w:r w:rsidRPr="008C4F6A">
        <w:rPr>
          <w:rFonts w:hint="cs"/>
          <w:rtl/>
        </w:rPr>
        <w:t>.</w:t>
      </w:r>
      <w:bookmarkEnd w:id="5931"/>
    </w:p>
    <w:p w:rsidR="009A0058" w:rsidRPr="008C4F6A" w:rsidRDefault="009A0058" w:rsidP="009A0058">
      <w:pPr>
        <w:pStyle w:val="a2"/>
      </w:pPr>
      <w:bookmarkStart w:id="5932" w:name="_Toc13726335"/>
      <w:r w:rsidRPr="008C4F6A">
        <w:rPr>
          <w:rFonts w:hint="cs"/>
          <w:rtl/>
        </w:rPr>
        <w:t>דברי הפרמ"ג ברש"י דאיסור שלא השתנה מברייתו חשיב טעמו וממשו אף שהוא לח ואינו ניכר</w:t>
      </w:r>
      <w:bookmarkEnd w:id="5932"/>
    </w:p>
    <w:p w:rsidR="00366EF4" w:rsidRDefault="009A0058" w:rsidP="009F44AF">
      <w:pPr>
        <w:pStyle w:val="a"/>
        <w:rPr>
          <w:rtl/>
        </w:rPr>
      </w:pPr>
      <w:r w:rsidRPr="008C4F6A">
        <w:rPr>
          <w:rFonts w:hint="cs"/>
          <w:rtl/>
        </w:rPr>
        <w:lastRenderedPageBreak/>
        <w:t xml:space="preserve">והוסיף </w:t>
      </w:r>
      <w:r w:rsidRPr="008C4F6A">
        <w:rPr>
          <w:rStyle w:val="af8"/>
          <w:rFonts w:hint="cs"/>
          <w:rtl/>
        </w:rPr>
        <w:t>הפרמ"ג</w:t>
      </w:r>
      <w:r w:rsidRPr="008C4F6A">
        <w:rPr>
          <w:rFonts w:hint="cs"/>
          <w:rtl/>
        </w:rPr>
        <w:t xml:space="preserve"> דמדכתב </w:t>
      </w:r>
      <w:r w:rsidRPr="008C4F6A">
        <w:rPr>
          <w:rStyle w:val="af8"/>
          <w:rFonts w:hint="cs"/>
          <w:rtl/>
        </w:rPr>
        <w:t>רש"י בע"ז</w:t>
      </w:r>
      <w:r w:rsidRPr="008C4F6A">
        <w:rPr>
          <w:rFonts w:hint="cs"/>
          <w:rtl/>
        </w:rPr>
        <w:t xml:space="preserve"> </w:t>
      </w:r>
      <w:r w:rsidRPr="00450370">
        <w:rPr>
          <w:rStyle w:val="af6"/>
          <w:rFonts w:eastAsia="Guttman Hodes" w:hint="cs"/>
          <w:rtl/>
        </w:rPr>
        <w:t xml:space="preserve">(עי' אות </w:t>
      </w:r>
      <w:r w:rsidRPr="00450370">
        <w:rPr>
          <w:rStyle w:val="af6"/>
          <w:rFonts w:eastAsia="Guttman Hodes"/>
          <w:rtl/>
        </w:rPr>
        <w:fldChar w:fldCharType="begin"/>
      </w:r>
      <w:r w:rsidRPr="00450370">
        <w:rPr>
          <w:rStyle w:val="af6"/>
          <w:rFonts w:eastAsia="Guttman Hodes"/>
          <w:rtl/>
        </w:rPr>
        <w:instrText xml:space="preserve"> </w:instrText>
      </w:r>
      <w:r w:rsidRPr="00450370">
        <w:rPr>
          <w:rStyle w:val="af6"/>
          <w:rFonts w:eastAsia="Guttman Hodes" w:hint="cs"/>
        </w:rPr>
        <w:instrText>REF</w:instrText>
      </w:r>
      <w:r w:rsidRPr="00450370">
        <w:rPr>
          <w:rStyle w:val="af6"/>
          <w:rFonts w:eastAsia="Guttman Hodes" w:hint="cs"/>
          <w:rtl/>
        </w:rPr>
        <w:instrText xml:space="preserve"> _</w:instrText>
      </w:r>
      <w:r w:rsidRPr="00450370">
        <w:rPr>
          <w:rStyle w:val="af6"/>
          <w:rFonts w:eastAsia="Guttman Hodes" w:hint="cs"/>
        </w:rPr>
        <w:instrText>Ref12961369 \r \h</w:instrText>
      </w:r>
      <w:r w:rsidRPr="00450370">
        <w:rPr>
          <w:rStyle w:val="af6"/>
          <w:rFonts w:eastAsia="Guttman Hodes"/>
          <w:rtl/>
        </w:rPr>
        <w:instrText xml:space="preserve"> </w:instrText>
      </w:r>
      <w:r w:rsidRPr="00450370">
        <w:rPr>
          <w:rStyle w:val="af6"/>
          <w:rFonts w:eastAsia="Guttman Hodes"/>
          <w:rtl/>
        </w:rPr>
      </w:r>
      <w:r w:rsidRPr="00450370">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450370">
        <w:rPr>
          <w:rStyle w:val="af6"/>
          <w:rFonts w:eastAsia="Guttman Hodes"/>
          <w:rtl/>
        </w:rPr>
        <w:fldChar w:fldCharType="end"/>
      </w:r>
      <w:r w:rsidRPr="008C4F6A">
        <w:rPr>
          <w:rFonts w:hint="cs"/>
          <w:rtl/>
        </w:rPr>
        <w:t xml:space="preserve"> ד</w:t>
      </w:r>
      <w:r w:rsidRPr="008C4F6A">
        <w:rPr>
          <w:rtl/>
        </w:rPr>
        <w:t>חֵלֶב</w:t>
      </w:r>
      <w:r w:rsidRPr="008C4F6A">
        <w:rPr>
          <w:rFonts w:hint="cs"/>
          <w:rtl/>
        </w:rPr>
        <w:t xml:space="preserve"> שנימוח חשיב טעמו ולא ממשו, א"כ מבואר דרק איסור שהשתנה מברייתו חשיב טעמו ולא ממשו, אבל </w:t>
      </w:r>
      <w:r w:rsidRPr="008C4F6A">
        <w:rPr>
          <w:rtl/>
        </w:rPr>
        <w:t>חָלָב</w:t>
      </w:r>
      <w:r w:rsidRPr="008C4F6A">
        <w:rPr>
          <w:rFonts w:hint="cs"/>
          <w:rtl/>
        </w:rPr>
        <w:t xml:space="preserve"> או דם שלא השתנו מברייתם, נקרא ממשו, </w:t>
      </w:r>
      <w:r w:rsidRPr="009E4A32">
        <w:rPr>
          <w:rStyle w:val="afa"/>
          <w:rFonts w:hint="cs"/>
          <w:rtl/>
        </w:rPr>
        <w:t>[</w:t>
      </w:r>
      <w:r>
        <w:rPr>
          <w:rStyle w:val="afa"/>
          <w:rFonts w:hint="cs"/>
          <w:rtl/>
        </w:rPr>
        <w:t>וצ"ב</w:t>
      </w:r>
      <w:r w:rsidRPr="009E4A32">
        <w:rPr>
          <w:rStyle w:val="afa"/>
          <w:rFonts w:hint="cs"/>
          <w:rtl/>
        </w:rPr>
        <w:t xml:space="preserve"> מה כוונתו ב</w:t>
      </w:r>
      <w:r w:rsidRPr="009E4A32">
        <w:rPr>
          <w:rStyle w:val="afa"/>
          <w:rtl/>
        </w:rPr>
        <w:t>חָלָב</w:t>
      </w:r>
      <w:r>
        <w:rPr>
          <w:rStyle w:val="afa"/>
          <w:rFonts w:hint="cs"/>
          <w:rtl/>
        </w:rPr>
        <w:t xml:space="preserve">, הא </w:t>
      </w:r>
      <w:r w:rsidRPr="004F1FDC">
        <w:rPr>
          <w:rStyle w:val="affa"/>
          <w:rFonts w:hint="cs"/>
          <w:rtl/>
        </w:rPr>
        <w:t>רש"י בע"ז</w:t>
      </w:r>
      <w:r>
        <w:rPr>
          <w:rStyle w:val="afa"/>
          <w:rFonts w:hint="cs"/>
          <w:rtl/>
        </w:rPr>
        <w:t xml:space="preserve"> כתב להיפך</w:t>
      </w:r>
      <w:r w:rsidRPr="009E4A32">
        <w:rPr>
          <w:rStyle w:val="afa"/>
          <w:rFonts w:hint="cs"/>
          <w:rtl/>
        </w:rPr>
        <w:t xml:space="preserve">], </w:t>
      </w:r>
      <w:r w:rsidRPr="008C4F6A">
        <w:rPr>
          <w:rFonts w:hint="cs"/>
          <w:rtl/>
        </w:rPr>
        <w:t xml:space="preserve">והוסיף </w:t>
      </w:r>
      <w:r w:rsidRPr="008C4F6A">
        <w:rPr>
          <w:rStyle w:val="af8"/>
          <w:rFonts w:hint="cs"/>
          <w:rtl/>
        </w:rPr>
        <w:t>הפרמ"ג</w:t>
      </w:r>
      <w:r w:rsidRPr="008C4F6A">
        <w:rPr>
          <w:rFonts w:hint="cs"/>
          <w:rtl/>
        </w:rPr>
        <w:t xml:space="preserve"> דכן מדויק מלשון ריו"ח דאמר דטעמו ולא ממשו "אסור" ואין לוקין עליו, ומדהוסיף ריו"ח דהוא אסור משמע דכוונתו דכל שהאיסור בעין חשיב טעמו וממשו, ואסור מדאו' אף כשאין בו כזית בכדי אכילת פרס, אבל בטעמו ולא ממשו, דהיינו במקום שהאיסור נימוח, אמר ריו"ח דהוא "אסור" דהיינו שיש בו רק איסור דרבנן, מדין טעם כעיקר.</w:t>
      </w:r>
    </w:p>
    <w:p w:rsidR="009A0058" w:rsidRPr="008C4F6A" w:rsidRDefault="009A0058" w:rsidP="009A0058">
      <w:pPr>
        <w:pStyle w:val="a2"/>
        <w:rPr>
          <w:rtl/>
        </w:rPr>
      </w:pPr>
      <w:bookmarkStart w:id="5933" w:name="_Toc13726336"/>
      <w:r>
        <w:rPr>
          <w:rFonts w:hint="cs"/>
          <w:rtl/>
        </w:rPr>
        <w:t>דברי הפרמ"ג דמשמע במנחת כהן דאיסור שאינו ניכר בטל ואינו ממשו אף שהוא בעין ולא נימוח</w:t>
      </w:r>
      <w:bookmarkEnd w:id="5933"/>
    </w:p>
    <w:p w:rsidR="009A0058" w:rsidRPr="008C4F6A" w:rsidRDefault="009A0058" w:rsidP="009F44AF">
      <w:pPr>
        <w:pStyle w:val="a"/>
        <w:rPr>
          <w:rtl/>
        </w:rPr>
      </w:pPr>
      <w:r w:rsidRPr="008C4F6A">
        <w:rPr>
          <w:rFonts w:hint="cs"/>
          <w:rtl/>
        </w:rPr>
        <w:t xml:space="preserve">והביא </w:t>
      </w:r>
      <w:r w:rsidRPr="008C4F6A">
        <w:rPr>
          <w:rStyle w:val="af8"/>
          <w:rFonts w:hint="cs"/>
          <w:rtl/>
        </w:rPr>
        <w:t>הפרמ"ג</w:t>
      </w:r>
      <w:r w:rsidRPr="008C4F6A">
        <w:rPr>
          <w:rFonts w:hint="cs"/>
          <w:rtl/>
        </w:rPr>
        <w:t xml:space="preserve"> </w:t>
      </w:r>
      <w:r w:rsidRPr="008C4F6A">
        <w:rPr>
          <w:rStyle w:val="af6"/>
          <w:rFonts w:eastAsia="Guttman Hodes" w:hint="cs"/>
          <w:rtl/>
        </w:rPr>
        <w:t xml:space="preserve">(או"ח פתיחה להל' פסח החלק הב' אות א' ד"ה ויראה לרש"י) </w:t>
      </w:r>
      <w:r w:rsidRPr="008C4F6A">
        <w:rPr>
          <w:rFonts w:hint="cs"/>
          <w:rtl/>
        </w:rPr>
        <w:t xml:space="preserve">את דברי </w:t>
      </w:r>
      <w:r w:rsidRPr="008C4F6A">
        <w:rPr>
          <w:rStyle w:val="af8"/>
          <w:rFonts w:hint="cs"/>
          <w:rtl/>
        </w:rPr>
        <w:t>המנחת כהן</w:t>
      </w:r>
      <w:r>
        <w:rPr>
          <w:rFonts w:hint="cs"/>
          <w:rtl/>
        </w:rPr>
        <w:t xml:space="preserve"> </w:t>
      </w:r>
      <w:r w:rsidRPr="008C4F6A">
        <w:rPr>
          <w:rStyle w:val="af6"/>
          <w:rFonts w:eastAsia="Guttman Hodes" w:hint="cs"/>
          <w:rtl/>
        </w:rPr>
        <w:t xml:space="preserve">(ספר התערובות ח"א פ"ב ד"ה גם מה, ח"א פ"ד ד"ה הסברא האחת) </w:t>
      </w:r>
      <w:r w:rsidRPr="008C4F6A">
        <w:rPr>
          <w:rFonts w:hint="cs"/>
          <w:rtl/>
        </w:rPr>
        <w:t xml:space="preserve">דכתב בדעת </w:t>
      </w:r>
      <w:r w:rsidRPr="008C4F6A">
        <w:rPr>
          <w:rStyle w:val="af8"/>
          <w:rFonts w:hint="cs"/>
          <w:rtl/>
        </w:rPr>
        <w:t>רש"י</w:t>
      </w:r>
      <w:r w:rsidRPr="008C4F6A">
        <w:rPr>
          <w:rFonts w:hint="cs"/>
          <w:rtl/>
        </w:rPr>
        <w:t xml:space="preserve"> דטעמו וממשו היינו כשיש בו כזית בכדי אכילת פרס, והוא בעין ומכיר את האיסור, וכתב </w:t>
      </w:r>
      <w:r w:rsidRPr="008C4F6A">
        <w:rPr>
          <w:rStyle w:val="af8"/>
          <w:rFonts w:hint="cs"/>
          <w:rtl/>
        </w:rPr>
        <w:t>הפרמ"ג</w:t>
      </w:r>
      <w:r w:rsidRPr="008C4F6A">
        <w:rPr>
          <w:rFonts w:hint="cs"/>
          <w:rtl/>
        </w:rPr>
        <w:t xml:space="preserve"> דמשמע מדברי </w:t>
      </w:r>
      <w:r w:rsidRPr="008C4F6A">
        <w:rPr>
          <w:rStyle w:val="af8"/>
          <w:rFonts w:hint="cs"/>
          <w:rtl/>
        </w:rPr>
        <w:t>המנחת כהן</w:t>
      </w:r>
      <w:r w:rsidRPr="008C4F6A">
        <w:rPr>
          <w:rFonts w:hint="cs"/>
          <w:rtl/>
        </w:rPr>
        <w:t xml:space="preserve"> דאם האיסור אינו ניכר, הוא בטל אף שהוא בעין ולא נימוח, ולכן אמר ריו"ח דלוקין על טעמו וממשו, דאילו בממשו בלא טעמו, מהני ביטול כל שאין האיסור ניכר אף שהוא בעין, והביא </w:t>
      </w:r>
      <w:r w:rsidRPr="008C4F6A">
        <w:rPr>
          <w:rStyle w:val="af8"/>
          <w:rFonts w:hint="cs"/>
          <w:rtl/>
        </w:rPr>
        <w:t>המנחת כהן</w:t>
      </w:r>
      <w:r w:rsidRPr="008C4F6A">
        <w:rPr>
          <w:rFonts w:hint="cs"/>
          <w:rtl/>
        </w:rPr>
        <w:t xml:space="preserve"> ראיה מדברי </w:t>
      </w:r>
      <w:r w:rsidRPr="008C4F6A">
        <w:rPr>
          <w:rStyle w:val="af8"/>
          <w:rFonts w:hint="cs"/>
          <w:rtl/>
        </w:rPr>
        <w:t>רש"י בסוגיין</w:t>
      </w:r>
      <w:r w:rsidRPr="008C4F6A">
        <w:rPr>
          <w:rFonts w:hint="cs"/>
          <w:rtl/>
        </w:rPr>
        <w:t xml:space="preserve"> </w:t>
      </w:r>
      <w:r w:rsidRPr="00523438">
        <w:rPr>
          <w:rStyle w:val="af6"/>
          <w:rFonts w:eastAsia="Guttman Hodes" w:hint="cs"/>
          <w:rtl/>
        </w:rPr>
        <w:t xml:space="preserve">(עי' אות </w:t>
      </w:r>
      <w:r w:rsidRPr="00523438">
        <w:rPr>
          <w:rStyle w:val="af6"/>
          <w:rFonts w:eastAsia="Guttman Hodes"/>
          <w:rtl/>
        </w:rPr>
        <w:fldChar w:fldCharType="begin"/>
      </w:r>
      <w:r w:rsidRPr="00523438">
        <w:rPr>
          <w:rStyle w:val="af6"/>
          <w:rFonts w:eastAsia="Guttman Hodes"/>
          <w:rtl/>
        </w:rPr>
        <w:instrText xml:space="preserve"> </w:instrText>
      </w:r>
      <w:r w:rsidRPr="00523438">
        <w:rPr>
          <w:rStyle w:val="af6"/>
          <w:rFonts w:eastAsia="Guttman Hodes" w:hint="cs"/>
        </w:rPr>
        <w:instrText>REF</w:instrText>
      </w:r>
      <w:r w:rsidRPr="00523438">
        <w:rPr>
          <w:rStyle w:val="af6"/>
          <w:rFonts w:eastAsia="Guttman Hodes" w:hint="cs"/>
          <w:rtl/>
        </w:rPr>
        <w:instrText xml:space="preserve"> _</w:instrText>
      </w:r>
      <w:r w:rsidRPr="00523438">
        <w:rPr>
          <w:rStyle w:val="af6"/>
          <w:rFonts w:eastAsia="Guttman Hodes" w:hint="cs"/>
        </w:rPr>
        <w:instrText>Ref13568615 \r \h</w:instrText>
      </w:r>
      <w:r w:rsidRPr="00523438">
        <w:rPr>
          <w:rStyle w:val="af6"/>
          <w:rFonts w:eastAsia="Guttman Hodes"/>
          <w:rtl/>
        </w:rPr>
        <w:instrText xml:space="preserve"> </w:instrText>
      </w:r>
      <w:r w:rsidRPr="00523438">
        <w:rPr>
          <w:rStyle w:val="af6"/>
          <w:rFonts w:eastAsia="Guttman Hodes"/>
          <w:rtl/>
        </w:rPr>
      </w:r>
      <w:r w:rsidRPr="00523438">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523438">
        <w:rPr>
          <w:rStyle w:val="af6"/>
          <w:rFonts w:eastAsia="Guttman Hodes"/>
          <w:rtl/>
        </w:rPr>
        <w:fldChar w:fldCharType="end"/>
      </w:r>
      <w:r>
        <w:rPr>
          <w:rFonts w:hint="cs"/>
          <w:rtl/>
        </w:rPr>
        <w:t xml:space="preserve"> </w:t>
      </w:r>
      <w:r w:rsidRPr="008C4F6A">
        <w:rPr>
          <w:rFonts w:hint="cs"/>
          <w:rtl/>
        </w:rPr>
        <w:t>דכתב דמהני ביטול ברוב, ומשמע דאף כשהוא בעין.</w:t>
      </w:r>
    </w:p>
    <w:p w:rsidR="009A0058" w:rsidRPr="008C4F6A" w:rsidRDefault="009A0058" w:rsidP="009A0058">
      <w:pPr>
        <w:pStyle w:val="a2"/>
        <w:rPr>
          <w:rtl/>
        </w:rPr>
      </w:pPr>
      <w:bookmarkStart w:id="5934" w:name="_Toc13726337"/>
      <w:r>
        <w:rPr>
          <w:rFonts w:hint="cs"/>
          <w:rtl/>
        </w:rPr>
        <w:t>דחיית הפרמ"ג דאפש"ל דההלמ"מ בכזית בכא"פ נאמרה אף באיסור שלא נימוח ואינו מכירו</w:t>
      </w:r>
      <w:bookmarkEnd w:id="5934"/>
    </w:p>
    <w:p w:rsidR="009A0058" w:rsidRPr="008C4F6A" w:rsidRDefault="009A0058" w:rsidP="009F44AF">
      <w:pPr>
        <w:pStyle w:val="a"/>
        <w:rPr>
          <w:rtl/>
        </w:rPr>
      </w:pPr>
      <w:r w:rsidRPr="008C4F6A">
        <w:rPr>
          <w:rFonts w:hint="cs"/>
          <w:rtl/>
        </w:rPr>
        <w:t xml:space="preserve">ודחה </w:t>
      </w:r>
      <w:r w:rsidRPr="008C4F6A">
        <w:rPr>
          <w:rStyle w:val="af8"/>
          <w:rFonts w:hint="cs"/>
          <w:rtl/>
        </w:rPr>
        <w:t>הפרמ"ג</w:t>
      </w:r>
      <w:r w:rsidRPr="008C4F6A">
        <w:rPr>
          <w:rFonts w:hint="cs"/>
          <w:rtl/>
        </w:rPr>
        <w:t xml:space="preserve"> </w:t>
      </w:r>
      <w:r>
        <w:rPr>
          <w:rFonts w:hint="cs"/>
          <w:rtl/>
        </w:rPr>
        <w:t xml:space="preserve">את דברי </w:t>
      </w:r>
      <w:r w:rsidRPr="008C4F6A">
        <w:rPr>
          <w:rStyle w:val="af8"/>
          <w:rFonts w:hint="cs"/>
          <w:rtl/>
        </w:rPr>
        <w:t>המנחת כהן</w:t>
      </w:r>
      <w:r w:rsidRPr="008C4F6A">
        <w:rPr>
          <w:rFonts w:hint="cs"/>
          <w:rtl/>
        </w:rPr>
        <w:t xml:space="preserve"> דאפש"ל דאף דכזית בכדי אכילת פרס נלמד מהלכה למשה מסיני, מ"מ ס"ל לריו"ח דההלכה נאמרה רק באיסור שלא נימוח, דאף שאין מכירו יש בו חיוב כרת, </w:t>
      </w:r>
      <w:r w:rsidRPr="008C4F6A">
        <w:rPr>
          <w:rStyle w:val="afa"/>
          <w:rFonts w:hint="cs"/>
          <w:rtl/>
        </w:rPr>
        <w:t>[ובפחות מכזית בכדי אכילת פרס האיסור הוא רק במכירו],</w:t>
      </w:r>
      <w:r w:rsidRPr="008C4F6A">
        <w:rPr>
          <w:rFonts w:hint="cs"/>
          <w:rtl/>
        </w:rPr>
        <w:t xml:space="preserve"> וכתב </w:t>
      </w:r>
      <w:r w:rsidRPr="008C4F6A">
        <w:rPr>
          <w:rStyle w:val="af8"/>
          <w:rFonts w:hint="cs"/>
          <w:rtl/>
        </w:rPr>
        <w:t>הפרמ"ג</w:t>
      </w:r>
      <w:r w:rsidRPr="008C4F6A">
        <w:rPr>
          <w:rFonts w:hint="cs"/>
          <w:rtl/>
        </w:rPr>
        <w:t xml:space="preserve"> דכן מוכח מדברי </w:t>
      </w:r>
      <w:r w:rsidRPr="008C4F6A">
        <w:rPr>
          <w:rStyle w:val="af8"/>
          <w:rFonts w:hint="cs"/>
          <w:rtl/>
        </w:rPr>
        <w:t>רש"י בע"ז</w:t>
      </w:r>
      <w:r w:rsidRPr="008C4F6A">
        <w:rPr>
          <w:rFonts w:hint="cs"/>
          <w:rtl/>
        </w:rPr>
        <w:t xml:space="preserve"> </w:t>
      </w:r>
      <w:r w:rsidRPr="00FA2927">
        <w:rPr>
          <w:rStyle w:val="af6"/>
          <w:rFonts w:eastAsia="Guttman Hodes" w:hint="cs"/>
          <w:rtl/>
        </w:rPr>
        <w:t xml:space="preserve">(עי' אות </w:t>
      </w:r>
      <w:r w:rsidRPr="00FA2927">
        <w:rPr>
          <w:rStyle w:val="af6"/>
          <w:rFonts w:eastAsia="Guttman Hodes"/>
          <w:rtl/>
        </w:rPr>
        <w:fldChar w:fldCharType="begin"/>
      </w:r>
      <w:r w:rsidRPr="00FA2927">
        <w:rPr>
          <w:rStyle w:val="af6"/>
          <w:rFonts w:eastAsia="Guttman Hodes"/>
          <w:rtl/>
        </w:rPr>
        <w:instrText xml:space="preserve"> </w:instrText>
      </w:r>
      <w:r w:rsidRPr="00FA2927">
        <w:rPr>
          <w:rStyle w:val="af6"/>
          <w:rFonts w:eastAsia="Guttman Hodes" w:hint="cs"/>
        </w:rPr>
        <w:instrText>REF</w:instrText>
      </w:r>
      <w:r w:rsidRPr="00FA2927">
        <w:rPr>
          <w:rStyle w:val="af6"/>
          <w:rFonts w:eastAsia="Guttman Hodes" w:hint="cs"/>
          <w:rtl/>
        </w:rPr>
        <w:instrText xml:space="preserve"> _</w:instrText>
      </w:r>
      <w:r w:rsidRPr="00FA2927">
        <w:rPr>
          <w:rStyle w:val="af6"/>
          <w:rFonts w:eastAsia="Guttman Hodes" w:hint="cs"/>
        </w:rPr>
        <w:instrText>Ref12961369 \r \h</w:instrText>
      </w:r>
      <w:r w:rsidRPr="00FA2927">
        <w:rPr>
          <w:rStyle w:val="af6"/>
          <w:rFonts w:eastAsia="Guttman Hodes"/>
          <w:rtl/>
        </w:rPr>
        <w:instrText xml:space="preserve"> </w:instrText>
      </w:r>
      <w:r w:rsidRPr="00FA2927">
        <w:rPr>
          <w:rStyle w:val="af6"/>
          <w:rFonts w:eastAsia="Guttman Hodes"/>
          <w:rtl/>
        </w:rPr>
      </w:r>
      <w:r w:rsidRPr="00FA2927">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FA2927">
        <w:rPr>
          <w:rStyle w:val="af6"/>
          <w:rFonts w:eastAsia="Guttman Hodes"/>
          <w:rtl/>
        </w:rPr>
        <w:fldChar w:fldCharType="end"/>
      </w:r>
      <w:r w:rsidRPr="008C4F6A">
        <w:rPr>
          <w:rFonts w:hint="cs"/>
          <w:rtl/>
        </w:rPr>
        <w:t xml:space="preserve"> דכתב דטעמו ולא ממשו היינו שהאיסור נימוח, ומשמע דכל שלא נימוח האיסור חשיב ממשו אף שאינו מכירו.</w:t>
      </w:r>
    </w:p>
    <w:p w:rsidR="009A0058" w:rsidRPr="008C4F6A" w:rsidRDefault="009A0058" w:rsidP="009A0058">
      <w:pPr>
        <w:pStyle w:val="a2"/>
      </w:pPr>
      <w:bookmarkStart w:id="5935" w:name="_Toc13726338"/>
      <w:r>
        <w:rPr>
          <w:rFonts w:hint="cs"/>
          <w:rtl/>
        </w:rPr>
        <w:t>ביאור הפרמ"ג בדברי ריו"ח דאמר "טעמו" וממשו ולא ממשו לבד דע"י הטעם חייב בכזית בכא"פ</w:t>
      </w:r>
      <w:bookmarkEnd w:id="5935"/>
    </w:p>
    <w:p w:rsidR="009A0058" w:rsidRPr="008C4F6A" w:rsidRDefault="009A0058" w:rsidP="009F44AF">
      <w:pPr>
        <w:pStyle w:val="a"/>
        <w:rPr>
          <w:rtl/>
        </w:rPr>
      </w:pPr>
      <w:r w:rsidRPr="008C4F6A">
        <w:rPr>
          <w:rFonts w:hint="cs"/>
          <w:rtl/>
        </w:rPr>
        <w:t xml:space="preserve">וביאר </w:t>
      </w:r>
      <w:r w:rsidRPr="008C4F6A">
        <w:rPr>
          <w:rStyle w:val="af8"/>
          <w:rFonts w:hint="cs"/>
          <w:rtl/>
        </w:rPr>
        <w:t>הפרמ"ג</w:t>
      </w:r>
      <w:r w:rsidRPr="008C4F6A">
        <w:rPr>
          <w:rFonts w:hint="cs"/>
          <w:rtl/>
        </w:rPr>
        <w:t xml:space="preserve"> דלכן אמר ריו"ח דלוקין על "טעמו" וממשו, דאילו בממשו בלא טעמו, מהני ביטול אף בכזית בכדי אכילת פרס, כשהאיסור נימוח, וא"כ ההלכה למשה מסיני דכזית בכדי אכילת פרס נאמרה במין בשאינו מינו, דכשיש את טעמו וממשו לוקה בכזית בכדי אכילת פרס, ויתכן שיש בו גם כרת, אבל כשמכיר את האיסור כתב </w:t>
      </w:r>
      <w:r w:rsidRPr="008C4F6A">
        <w:rPr>
          <w:rStyle w:val="af8"/>
          <w:rFonts w:hint="cs"/>
          <w:rtl/>
        </w:rPr>
        <w:t>הפרמ"ג</w:t>
      </w:r>
      <w:r w:rsidRPr="008C4F6A">
        <w:rPr>
          <w:rFonts w:hint="cs"/>
          <w:rtl/>
        </w:rPr>
        <w:t xml:space="preserve"> דפשיטא שאף במין במינו יש חיוב כרת בפחות מכדי אכילת פרס, ובפחות מכזית בכדי אכילת פרס אסור מדאו' ולא שייך בו ביטול.</w:t>
      </w:r>
    </w:p>
    <w:p w:rsidR="009A0058" w:rsidRPr="007E0C12" w:rsidRDefault="009A0058" w:rsidP="009A0058">
      <w:pPr>
        <w:pStyle w:val="1"/>
        <w:rPr>
          <w:rtl/>
        </w:rPr>
      </w:pPr>
      <w:bookmarkStart w:id="5936" w:name="_Toc13244697"/>
      <w:bookmarkStart w:id="5937" w:name="_Toc13396645"/>
      <w:bookmarkStart w:id="5938" w:name="_Toc13418707"/>
      <w:bookmarkStart w:id="5939" w:name="_Toc13516543"/>
      <w:bookmarkStart w:id="5940" w:name="_Toc13562627"/>
      <w:bookmarkStart w:id="5941" w:name="_Toc13568614"/>
      <w:bookmarkStart w:id="5942" w:name="_Toc13603221"/>
      <w:bookmarkStart w:id="5943" w:name="_Toc13603324"/>
      <w:bookmarkStart w:id="5944" w:name="_Toc13657886"/>
      <w:bookmarkStart w:id="5945" w:name="_Toc13663961"/>
      <w:bookmarkStart w:id="5946" w:name="_Toc13045650"/>
      <w:bookmarkStart w:id="5947" w:name="_Toc13418652"/>
      <w:bookmarkStart w:id="5948" w:name="_Toc13516485"/>
      <w:bookmarkStart w:id="5949" w:name="_Toc13562573"/>
      <w:bookmarkStart w:id="5950" w:name="_Toc13568560"/>
      <w:r>
        <w:rPr>
          <w:rFonts w:hint="cs"/>
          <w:rtl/>
        </w:rPr>
        <w:t xml:space="preserve">דברי הנחל"ד </w:t>
      </w:r>
      <w:r w:rsidRPr="007E0C12">
        <w:rPr>
          <w:rFonts w:hint="cs"/>
          <w:rtl/>
        </w:rPr>
        <w:t>ב</w:t>
      </w:r>
      <w:r>
        <w:rPr>
          <w:rFonts w:hint="cs"/>
          <w:rtl/>
        </w:rPr>
        <w:t>ביאור דעת רש"י בטעמו</w:t>
      </w:r>
      <w:r w:rsidRPr="007E0C12">
        <w:rPr>
          <w:rFonts w:hint="cs"/>
          <w:rtl/>
        </w:rPr>
        <w:t xml:space="preserve"> וממשו</w:t>
      </w:r>
      <w:bookmarkEnd w:id="5936"/>
      <w:bookmarkEnd w:id="5937"/>
      <w:bookmarkEnd w:id="5938"/>
      <w:bookmarkEnd w:id="5939"/>
      <w:bookmarkEnd w:id="5940"/>
      <w:bookmarkEnd w:id="5941"/>
      <w:bookmarkEnd w:id="5942"/>
      <w:bookmarkEnd w:id="5943"/>
      <w:bookmarkEnd w:id="5944"/>
      <w:bookmarkEnd w:id="5945"/>
    </w:p>
    <w:p w:rsidR="009A0058" w:rsidRPr="007E0C12" w:rsidRDefault="009A0058" w:rsidP="009A0058">
      <w:pPr>
        <w:pStyle w:val="a2"/>
        <w:rPr>
          <w:rtl/>
        </w:rPr>
      </w:pPr>
      <w:bookmarkStart w:id="5951" w:name="_Toc13663962"/>
      <w:r>
        <w:rPr>
          <w:rFonts w:hint="cs"/>
          <w:rtl/>
        </w:rPr>
        <w:t>דברי הנחל"ד דטעמו וממשו לא מהני ביטול על הממשות כיון שניכר ע"י הטעם ולכן לוקין עליו</w:t>
      </w:r>
      <w:bookmarkEnd w:id="5951"/>
    </w:p>
    <w:p w:rsidR="009A0058" w:rsidRPr="007E0C12" w:rsidRDefault="009A0058" w:rsidP="009F44AF">
      <w:pPr>
        <w:pStyle w:val="a"/>
        <w:rPr>
          <w:rtl/>
        </w:rPr>
      </w:pPr>
      <w:r w:rsidRPr="007E0C12">
        <w:rPr>
          <w:rFonts w:hint="cs"/>
          <w:rtl/>
        </w:rPr>
        <w:t xml:space="preserve">כתב </w:t>
      </w:r>
      <w:r w:rsidRPr="007E0C12">
        <w:rPr>
          <w:rStyle w:val="af8"/>
          <w:rtl/>
        </w:rPr>
        <w:t>הנחל"ד</w:t>
      </w:r>
      <w:r w:rsidRPr="007E0C12">
        <w:rPr>
          <w:rtl/>
        </w:rPr>
        <w:t xml:space="preserve"> </w:t>
      </w:r>
      <w:r w:rsidRPr="007E0C12">
        <w:rPr>
          <w:rStyle w:val="af6"/>
          <w:rFonts w:eastAsia="Guttman Hodes"/>
          <w:rtl/>
        </w:rPr>
        <w:t>(פסחים מג:, קונ' דברי דוד [מהדו' חד' עמ' ק</w:t>
      </w:r>
      <w:r w:rsidRPr="007E0C12">
        <w:rPr>
          <w:rStyle w:val="af6"/>
          <w:rFonts w:eastAsia="Guttman Hodes" w:hint="cs"/>
          <w:rtl/>
        </w:rPr>
        <w:t>כ</w:t>
      </w:r>
      <w:r w:rsidRPr="007E0C12">
        <w:rPr>
          <w:rStyle w:val="af6"/>
          <w:rFonts w:eastAsia="Guttman Hodes"/>
          <w:rtl/>
        </w:rPr>
        <w:t>"</w:t>
      </w:r>
      <w:r w:rsidRPr="007E0C12">
        <w:rPr>
          <w:rStyle w:val="af6"/>
          <w:rFonts w:eastAsia="Guttman Hodes" w:hint="cs"/>
          <w:rtl/>
        </w:rPr>
        <w:t>ה</w:t>
      </w:r>
      <w:r w:rsidRPr="007E0C12">
        <w:rPr>
          <w:rStyle w:val="af6"/>
          <w:rFonts w:eastAsia="Guttman Hodes"/>
          <w:rtl/>
        </w:rPr>
        <w:t xml:space="preserve">] ד"ה </w:t>
      </w:r>
      <w:r w:rsidRPr="007E0C12">
        <w:rPr>
          <w:rStyle w:val="af6"/>
          <w:rFonts w:eastAsia="Guttman Hodes" w:hint="cs"/>
          <w:rtl/>
        </w:rPr>
        <w:t xml:space="preserve">וגדולה מזו בתו"ד) </w:t>
      </w:r>
      <w:r w:rsidRPr="007E0C12">
        <w:rPr>
          <w:rFonts w:hint="cs"/>
          <w:rtl/>
        </w:rPr>
        <w:t xml:space="preserve">דס"ל </w:t>
      </w:r>
      <w:r w:rsidRPr="007E0C12">
        <w:rPr>
          <w:rStyle w:val="af8"/>
          <w:rFonts w:hint="cs"/>
          <w:rtl/>
        </w:rPr>
        <w:t>לרש"י</w:t>
      </w:r>
      <w:r w:rsidRPr="007E0C12">
        <w:rPr>
          <w:rFonts w:hint="cs"/>
          <w:rtl/>
        </w:rPr>
        <w:t xml:space="preserve"> דהחיוב מלקות בטעמו וממשו הוא מסברא, דהא כיון דלדעת </w:t>
      </w:r>
      <w:r w:rsidRPr="007E0C12">
        <w:rPr>
          <w:rStyle w:val="af8"/>
          <w:rFonts w:hint="cs"/>
          <w:rtl/>
        </w:rPr>
        <w:t>רש"י</w:t>
      </w:r>
      <w:r w:rsidRPr="007E0C12">
        <w:rPr>
          <w:rFonts w:hint="cs"/>
          <w:rtl/>
        </w:rPr>
        <w:t xml:space="preserve"> לריו"ח טעם כעיקר דרבנן, א"כ אין כל ילפותא לדין טעם, אלא דמסברא אמרינן דלא מהני ביטול ברוב במין בשאינו מינו כשיש טעמו וממשו, דכ"מ דמהני ביטול ברוב הוא רק במין במינו דאינו ניכר, אבל במין בשאינו מינו דהטעם מורגש, ויש גם את ממשו של האיסור, חשיב שהאיסור ניכר ואינו בטל, </w:t>
      </w:r>
      <w:r w:rsidRPr="007E0C12">
        <w:rPr>
          <w:rStyle w:val="afa"/>
          <w:rFonts w:hint="cs"/>
          <w:rtl/>
        </w:rPr>
        <w:t xml:space="preserve">[כסברת </w:t>
      </w:r>
      <w:r w:rsidRPr="007E0C12">
        <w:rPr>
          <w:rStyle w:val="affa"/>
          <w:rFonts w:hint="cs"/>
          <w:rtl/>
        </w:rPr>
        <w:t>הראב"ד</w:t>
      </w:r>
      <w:r w:rsidRPr="007E0C12">
        <w:rPr>
          <w:rStyle w:val="afa"/>
          <w:rFonts w:hint="cs"/>
          <w:rtl/>
        </w:rPr>
        <w:t xml:space="preserve"> </w:t>
      </w:r>
      <w:r w:rsidRPr="00600416">
        <w:rPr>
          <w:rStyle w:val="aff6"/>
          <w:rFonts w:hint="cs"/>
          <w:rtl/>
        </w:rPr>
        <w:t xml:space="preserve">(עי' אות </w:t>
      </w:r>
      <w:r w:rsidRPr="00600416">
        <w:rPr>
          <w:rStyle w:val="aff6"/>
          <w:rtl/>
        </w:rPr>
        <w:fldChar w:fldCharType="begin"/>
      </w:r>
      <w:r w:rsidRPr="00600416">
        <w:rPr>
          <w:rStyle w:val="aff6"/>
          <w:rtl/>
        </w:rPr>
        <w:instrText xml:space="preserve"> </w:instrText>
      </w:r>
      <w:r w:rsidRPr="00600416">
        <w:rPr>
          <w:rStyle w:val="aff6"/>
          <w:rFonts w:hint="cs"/>
        </w:rPr>
        <w:instrText>REF</w:instrText>
      </w:r>
      <w:r w:rsidRPr="00600416">
        <w:rPr>
          <w:rStyle w:val="aff6"/>
          <w:rFonts w:hint="cs"/>
          <w:rtl/>
        </w:rPr>
        <w:instrText xml:space="preserve"> _</w:instrText>
      </w:r>
      <w:r w:rsidRPr="00600416">
        <w:rPr>
          <w:rStyle w:val="aff6"/>
          <w:rFonts w:hint="cs"/>
        </w:rPr>
        <w:instrText>Ref13662984 \r \h</w:instrText>
      </w:r>
      <w:r w:rsidRPr="00600416">
        <w:rPr>
          <w:rStyle w:val="aff6"/>
          <w:rtl/>
        </w:rPr>
        <w:instrText xml:space="preserve"> </w:instrText>
      </w:r>
      <w:r w:rsidRPr="00600416">
        <w:rPr>
          <w:rStyle w:val="aff6"/>
          <w:rtl/>
        </w:rPr>
      </w:r>
      <w:r w:rsidRPr="00600416">
        <w:rPr>
          <w:rStyle w:val="aff6"/>
          <w:rtl/>
        </w:rPr>
        <w:fldChar w:fldCharType="separate"/>
      </w:r>
      <w:r w:rsidR="004D1C5B">
        <w:rPr>
          <w:rStyle w:val="aff6"/>
          <w:cs/>
        </w:rPr>
        <w:t>‎</w:t>
      </w:r>
      <w:r w:rsidR="004D1C5B">
        <w:rPr>
          <w:rStyle w:val="aff6"/>
          <w:rtl/>
        </w:rPr>
        <w:t>סז)</w:t>
      </w:r>
      <w:r w:rsidRPr="00600416">
        <w:rPr>
          <w:rStyle w:val="aff6"/>
          <w:rtl/>
        </w:rPr>
        <w:fldChar w:fldCharType="end"/>
      </w:r>
      <w:r w:rsidRPr="007E0C12">
        <w:rPr>
          <w:rStyle w:val="afa"/>
          <w:rFonts w:hint="cs"/>
          <w:rtl/>
        </w:rPr>
        <w:t>],</w:t>
      </w:r>
      <w:r w:rsidRPr="007E0C12">
        <w:rPr>
          <w:rFonts w:hint="cs"/>
          <w:rtl/>
        </w:rPr>
        <w:t xml:space="preserve"> ואף דס"ל לריו"ח דטעם כעיקר דרבנן, ומדאו' ההיתר לא נהפך להיות איסור</w:t>
      </w:r>
      <w:r w:rsidRPr="007E0C12">
        <w:rPr>
          <w:rStyle w:val="afa"/>
          <w:rFonts w:hint="cs"/>
          <w:rtl/>
        </w:rPr>
        <w:t xml:space="preserve">, [אף </w:t>
      </w:r>
      <w:r w:rsidRPr="007E0C12">
        <w:rPr>
          <w:rStyle w:val="affa"/>
          <w:rFonts w:hint="cs"/>
          <w:rtl/>
        </w:rPr>
        <w:t>לרש"י</w:t>
      </w:r>
      <w:r w:rsidRPr="007E0C12">
        <w:rPr>
          <w:rStyle w:val="afa"/>
          <w:rFonts w:hint="cs"/>
          <w:rtl/>
        </w:rPr>
        <w:t xml:space="preserve"> </w:t>
      </w:r>
      <w:r w:rsidRPr="00600416">
        <w:rPr>
          <w:rStyle w:val="aff6"/>
          <w:rFonts w:hint="cs"/>
          <w:rtl/>
        </w:rPr>
        <w:t xml:space="preserve">(עי' אות </w:t>
      </w:r>
      <w:r w:rsidRPr="00600416">
        <w:rPr>
          <w:rStyle w:val="aff6"/>
          <w:rtl/>
        </w:rPr>
        <w:fldChar w:fldCharType="begin"/>
      </w:r>
      <w:r w:rsidRPr="00600416">
        <w:rPr>
          <w:rStyle w:val="aff6"/>
          <w:rtl/>
        </w:rPr>
        <w:instrText xml:space="preserve"> </w:instrText>
      </w:r>
      <w:r w:rsidRPr="00600416">
        <w:rPr>
          <w:rStyle w:val="aff6"/>
          <w:rFonts w:hint="cs"/>
        </w:rPr>
        <w:instrText>REF</w:instrText>
      </w:r>
      <w:r w:rsidRPr="00600416">
        <w:rPr>
          <w:rStyle w:val="aff6"/>
          <w:rFonts w:hint="cs"/>
          <w:rtl/>
        </w:rPr>
        <w:instrText xml:space="preserve"> _</w:instrText>
      </w:r>
      <w:r w:rsidRPr="00600416">
        <w:rPr>
          <w:rStyle w:val="aff6"/>
          <w:rFonts w:hint="cs"/>
        </w:rPr>
        <w:instrText>Ref13662999 \r \h</w:instrText>
      </w:r>
      <w:r w:rsidRPr="00600416">
        <w:rPr>
          <w:rStyle w:val="aff6"/>
          <w:rtl/>
        </w:rPr>
        <w:instrText xml:space="preserve"> </w:instrText>
      </w:r>
      <w:r w:rsidRPr="00600416">
        <w:rPr>
          <w:rStyle w:val="aff6"/>
          <w:rtl/>
        </w:rPr>
      </w:r>
      <w:r w:rsidRPr="00600416">
        <w:rPr>
          <w:rStyle w:val="aff6"/>
          <w:rtl/>
        </w:rPr>
        <w:fldChar w:fldCharType="separate"/>
      </w:r>
      <w:r w:rsidR="004D1C5B">
        <w:rPr>
          <w:rStyle w:val="aff6"/>
          <w:cs/>
        </w:rPr>
        <w:t>‎</w:t>
      </w:r>
      <w:r w:rsidR="004D1C5B">
        <w:rPr>
          <w:rStyle w:val="aff6"/>
          <w:rtl/>
        </w:rPr>
        <w:t>ט)</w:t>
      </w:r>
      <w:r w:rsidRPr="00600416">
        <w:rPr>
          <w:rStyle w:val="aff6"/>
          <w:rtl/>
        </w:rPr>
        <w:fldChar w:fldCharType="end"/>
      </w:r>
      <w:r w:rsidRPr="007E0C12">
        <w:rPr>
          <w:rStyle w:val="afa"/>
          <w:rFonts w:hint="cs"/>
          <w:rtl/>
        </w:rPr>
        <w:t xml:space="preserve"> דס"ל דבטעם כעיקר אמרינן נהפך], </w:t>
      </w:r>
      <w:r w:rsidRPr="007E0C12">
        <w:rPr>
          <w:rFonts w:hint="cs"/>
          <w:rtl/>
        </w:rPr>
        <w:t xml:space="preserve">מ"מ אין האיסור מתבטל וחייב על אכילת האיסור עצמו, ולכן כשאכל כזית בכדי אכילת פרס מהאיסור עצמו לוקה עליו. </w:t>
      </w:r>
      <w:r w:rsidRPr="007E0C12">
        <w:rPr>
          <w:rStyle w:val="afa"/>
          <w:rFonts w:hint="cs"/>
          <w:rtl/>
        </w:rPr>
        <w:t>[</w:t>
      </w:r>
      <w:r>
        <w:rPr>
          <w:rStyle w:val="afa"/>
          <w:rFonts w:hint="cs"/>
          <w:rtl/>
        </w:rPr>
        <w:t xml:space="preserve">ועי' מ"ש </w:t>
      </w:r>
      <w:r w:rsidRPr="001A1B83">
        <w:rPr>
          <w:rStyle w:val="affa"/>
          <w:rFonts w:hint="cs"/>
          <w:rtl/>
        </w:rPr>
        <w:t>הנחל"ד</w:t>
      </w:r>
      <w:r>
        <w:rPr>
          <w:rStyle w:val="afa"/>
          <w:rFonts w:hint="cs"/>
          <w:rtl/>
        </w:rPr>
        <w:t xml:space="preserve"> </w:t>
      </w:r>
      <w:r w:rsidRPr="001A1B83">
        <w:rPr>
          <w:rStyle w:val="aff6"/>
          <w:rFonts w:hint="cs"/>
          <w:rtl/>
        </w:rPr>
        <w:t xml:space="preserve">(הובא לקמן סימן י' אות </w:t>
      </w:r>
      <w:r w:rsidR="00971984">
        <w:rPr>
          <w:rStyle w:val="aff6"/>
          <w:rtl/>
        </w:rPr>
        <w:fldChar w:fldCharType="begin"/>
      </w:r>
      <w:r w:rsidR="00971984">
        <w:rPr>
          <w:rStyle w:val="aff6"/>
          <w:rtl/>
        </w:rPr>
        <w:instrText xml:space="preserve"> </w:instrText>
      </w:r>
      <w:r w:rsidR="00971984">
        <w:rPr>
          <w:rStyle w:val="aff6"/>
          <w:rFonts w:hint="cs"/>
        </w:rPr>
        <w:instrText>REF</w:instrText>
      </w:r>
      <w:r w:rsidR="00971984">
        <w:rPr>
          <w:rStyle w:val="aff6"/>
          <w:rFonts w:hint="cs"/>
          <w:rtl/>
        </w:rPr>
        <w:instrText xml:space="preserve"> _</w:instrText>
      </w:r>
      <w:r w:rsidR="00971984">
        <w:rPr>
          <w:rStyle w:val="aff6"/>
          <w:rFonts w:hint="cs"/>
        </w:rPr>
        <w:instrText>Ref14428010 \r \h</w:instrText>
      </w:r>
      <w:r w:rsidR="00971984">
        <w:rPr>
          <w:rStyle w:val="aff6"/>
          <w:rtl/>
        </w:rPr>
        <w:instrText xml:space="preserve"> </w:instrText>
      </w:r>
      <w:r w:rsidR="00971984">
        <w:rPr>
          <w:rStyle w:val="aff6"/>
          <w:rtl/>
        </w:rPr>
      </w:r>
      <w:r w:rsidR="00971984">
        <w:rPr>
          <w:rStyle w:val="aff6"/>
          <w:rtl/>
        </w:rPr>
        <w:fldChar w:fldCharType="separate"/>
      </w:r>
      <w:r w:rsidR="004D1C5B">
        <w:rPr>
          <w:rStyle w:val="aff6"/>
          <w:cs/>
        </w:rPr>
        <w:t>‎</w:t>
      </w:r>
      <w:r w:rsidR="004D1C5B">
        <w:rPr>
          <w:rStyle w:val="aff6"/>
          <w:rtl/>
        </w:rPr>
        <w:t>ד)</w:t>
      </w:r>
      <w:r w:rsidR="00971984">
        <w:rPr>
          <w:rStyle w:val="aff6"/>
          <w:rtl/>
        </w:rPr>
        <w:fldChar w:fldCharType="end"/>
      </w:r>
      <w:r w:rsidRPr="001A1B83">
        <w:rPr>
          <w:rStyle w:val="aff6"/>
          <w:rFonts w:hint="cs"/>
          <w:rtl/>
        </w:rPr>
        <w:t xml:space="preserve"> </w:t>
      </w:r>
      <w:r w:rsidRPr="007E0C12">
        <w:rPr>
          <w:rStyle w:val="afa"/>
          <w:rFonts w:hint="cs"/>
          <w:rtl/>
        </w:rPr>
        <w:t xml:space="preserve">בביאור </w:t>
      </w:r>
      <w:r>
        <w:rPr>
          <w:rStyle w:val="afa"/>
          <w:rFonts w:hint="cs"/>
          <w:rtl/>
        </w:rPr>
        <w:t xml:space="preserve">דעת </w:t>
      </w:r>
      <w:r w:rsidRPr="001A1B83">
        <w:rPr>
          <w:rStyle w:val="affa"/>
          <w:rFonts w:hint="cs"/>
          <w:rtl/>
        </w:rPr>
        <w:t>רש"י</w:t>
      </w:r>
      <w:r>
        <w:rPr>
          <w:rStyle w:val="afa"/>
          <w:rFonts w:hint="cs"/>
          <w:rtl/>
        </w:rPr>
        <w:t xml:space="preserve"> ב</w:t>
      </w:r>
      <w:r w:rsidRPr="007E0C12">
        <w:rPr>
          <w:rStyle w:val="afa"/>
          <w:rFonts w:hint="cs"/>
          <w:rtl/>
        </w:rPr>
        <w:t>דין נהפך].</w:t>
      </w:r>
    </w:p>
    <w:p w:rsidR="009A0058" w:rsidRPr="002205CB" w:rsidRDefault="009A0058" w:rsidP="009A0058">
      <w:pPr>
        <w:pStyle w:val="a2"/>
        <w:rPr>
          <w:rtl/>
        </w:rPr>
      </w:pPr>
      <w:bookmarkStart w:id="5952" w:name="_Toc13663963"/>
      <w:r w:rsidRPr="002205CB">
        <w:rPr>
          <w:rFonts w:hint="cs"/>
          <w:rtl/>
        </w:rPr>
        <w:t xml:space="preserve">דברי הנחל"ד </w:t>
      </w:r>
      <w:r>
        <w:rPr>
          <w:rFonts w:hint="cs"/>
          <w:rtl/>
        </w:rPr>
        <w:t>דלרש"י טעמו ולא ממשו הוא רק כשאין כלל את ממשות האיסור ויש רק את טעמו</w:t>
      </w:r>
      <w:bookmarkEnd w:id="5952"/>
    </w:p>
    <w:p w:rsidR="009A0058" w:rsidRPr="005E217D" w:rsidRDefault="009A0058" w:rsidP="009F44AF">
      <w:pPr>
        <w:pStyle w:val="a"/>
        <w:rPr>
          <w:rtl/>
        </w:rPr>
      </w:pPr>
      <w:bookmarkStart w:id="5953" w:name="_Ref13412171"/>
      <w:bookmarkStart w:id="5954" w:name="_Toc13134837"/>
      <w:r w:rsidRPr="007E0C12">
        <w:rPr>
          <w:rFonts w:hint="cs"/>
          <w:rtl/>
        </w:rPr>
        <w:t xml:space="preserve">כתב </w:t>
      </w:r>
      <w:r w:rsidRPr="007E0C12">
        <w:rPr>
          <w:rStyle w:val="af8"/>
          <w:rtl/>
        </w:rPr>
        <w:t>הנחל"ד</w:t>
      </w:r>
      <w:r w:rsidRPr="007E0C12">
        <w:rPr>
          <w:rtl/>
        </w:rPr>
        <w:t xml:space="preserve"> </w:t>
      </w:r>
      <w:r w:rsidRPr="007E0C12">
        <w:rPr>
          <w:rStyle w:val="af6"/>
          <w:rFonts w:eastAsia="Guttman Hodes"/>
          <w:rtl/>
        </w:rPr>
        <w:t>(פסחים מג:, קונ' דברי דוד [מהדו' חד' עמ' ק</w:t>
      </w:r>
      <w:r w:rsidRPr="007E0C12">
        <w:rPr>
          <w:rStyle w:val="af6"/>
          <w:rFonts w:eastAsia="Guttman Hodes" w:hint="cs"/>
          <w:rtl/>
        </w:rPr>
        <w:t>כ</w:t>
      </w:r>
      <w:r w:rsidRPr="007E0C12">
        <w:rPr>
          <w:rStyle w:val="af6"/>
          <w:rFonts w:eastAsia="Guttman Hodes"/>
          <w:rtl/>
        </w:rPr>
        <w:t>"</w:t>
      </w:r>
      <w:r w:rsidRPr="007E0C12">
        <w:rPr>
          <w:rStyle w:val="af6"/>
          <w:rFonts w:eastAsia="Guttman Hodes" w:hint="cs"/>
          <w:rtl/>
        </w:rPr>
        <w:t>ו</w:t>
      </w:r>
      <w:r w:rsidRPr="007E0C12">
        <w:rPr>
          <w:rStyle w:val="af6"/>
          <w:rFonts w:eastAsia="Guttman Hodes"/>
          <w:rtl/>
        </w:rPr>
        <w:t xml:space="preserve">] ד"ה </w:t>
      </w:r>
      <w:r w:rsidRPr="007E0C12">
        <w:rPr>
          <w:rStyle w:val="af6"/>
          <w:rFonts w:eastAsia="Guttman Hodes" w:hint="cs"/>
          <w:rtl/>
        </w:rPr>
        <w:t xml:space="preserve">העולה ממה) </w:t>
      </w:r>
      <w:r w:rsidRPr="007E0C12">
        <w:rPr>
          <w:rFonts w:hint="cs"/>
          <w:rtl/>
        </w:rPr>
        <w:t xml:space="preserve">דלפי"ז ס"ל </w:t>
      </w:r>
      <w:r w:rsidRPr="007E0C12">
        <w:rPr>
          <w:rStyle w:val="af8"/>
          <w:rFonts w:hint="cs"/>
          <w:rtl/>
        </w:rPr>
        <w:t>לרש"י</w:t>
      </w:r>
      <w:r w:rsidRPr="007E0C12">
        <w:rPr>
          <w:rFonts w:hint="cs"/>
          <w:rtl/>
        </w:rPr>
        <w:t xml:space="preserve"> מבואר שיין שנבלע בפת נקרא ממשו, וכמבואר מדברי </w:t>
      </w:r>
      <w:r w:rsidRPr="007E0C12">
        <w:rPr>
          <w:rStyle w:val="af8"/>
          <w:rFonts w:hint="cs"/>
          <w:rtl/>
        </w:rPr>
        <w:t>רש"י בפסחים</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Ref13412531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7E0C12">
        <w:rPr>
          <w:rStyle w:val="af6"/>
          <w:rFonts w:eastAsia="Guttman Hodes"/>
          <w:rtl/>
        </w:rPr>
        <w:fldChar w:fldCharType="end"/>
      </w:r>
      <w:r w:rsidRPr="007E0C12">
        <w:rPr>
          <w:rFonts w:hint="cs"/>
          <w:rtl/>
        </w:rPr>
        <w:t xml:space="preserve"> דטעם כעיקר הוא כשאין מהעיקר כלל, ויש </w:t>
      </w:r>
      <w:r w:rsidRPr="007E0C12">
        <w:rPr>
          <w:rFonts w:hint="cs"/>
          <w:rtl/>
        </w:rPr>
        <w:t xml:space="preserve">רק את טעמו, כגון שרה ענבים במים, ומוכח דטעם כעיקר הוא דוקא במקום שאין מממשו של האיסור כלל, כשרה ענבים במים, אבל בשרה פת ביין אף </w:t>
      </w:r>
      <w:r w:rsidRPr="002205CB">
        <w:rPr>
          <w:rStyle w:val="af8"/>
          <w:rFonts w:hint="cs"/>
          <w:rtl/>
        </w:rPr>
        <w:t>לרש"י</w:t>
      </w:r>
      <w:r w:rsidRPr="007E0C12">
        <w:rPr>
          <w:rFonts w:hint="cs"/>
          <w:rtl/>
        </w:rPr>
        <w:t xml:space="preserve"> חשיב כממשו, והוסיף </w:t>
      </w:r>
      <w:r w:rsidRPr="0002448A">
        <w:rPr>
          <w:rStyle w:val="af8"/>
          <w:rFonts w:hint="cs"/>
          <w:rtl/>
        </w:rPr>
        <w:t>הנחל"ד</w:t>
      </w:r>
      <w:r w:rsidRPr="007E0C12">
        <w:rPr>
          <w:rFonts w:hint="cs"/>
          <w:rtl/>
        </w:rPr>
        <w:t xml:space="preserve"> דכן מבואר בדברי </w:t>
      </w:r>
      <w:r w:rsidRPr="0002448A">
        <w:rPr>
          <w:rStyle w:val="af8"/>
          <w:rFonts w:hint="cs"/>
          <w:rtl/>
        </w:rPr>
        <w:t>רש"י לקמן</w:t>
      </w:r>
      <w:r w:rsidRPr="007E0C12">
        <w:rPr>
          <w:rFonts w:hint="cs"/>
          <w:rtl/>
        </w:rPr>
        <w:t xml:space="preserve"> </w:t>
      </w:r>
      <w:r w:rsidRPr="0002448A">
        <w:rPr>
          <w:rStyle w:val="af6"/>
          <w:rFonts w:eastAsia="Guttman Hodes" w:hint="cs"/>
          <w:rtl/>
        </w:rPr>
        <w:t xml:space="preserve">(עי' אות </w:t>
      </w:r>
      <w:r w:rsidRPr="0002448A">
        <w:rPr>
          <w:rStyle w:val="af6"/>
          <w:rFonts w:eastAsia="Guttman Hodes"/>
          <w:rtl/>
        </w:rPr>
        <w:fldChar w:fldCharType="begin"/>
      </w:r>
      <w:r w:rsidRPr="0002448A">
        <w:rPr>
          <w:rStyle w:val="af6"/>
          <w:rFonts w:eastAsia="Guttman Hodes"/>
          <w:rtl/>
        </w:rPr>
        <w:instrText xml:space="preserve"> </w:instrText>
      </w:r>
      <w:r w:rsidRPr="0002448A">
        <w:rPr>
          <w:rStyle w:val="af6"/>
          <w:rFonts w:eastAsia="Guttman Hodes" w:hint="cs"/>
        </w:rPr>
        <w:instrText>REF</w:instrText>
      </w:r>
      <w:r w:rsidRPr="0002448A">
        <w:rPr>
          <w:rStyle w:val="af6"/>
          <w:rFonts w:eastAsia="Guttman Hodes" w:hint="cs"/>
          <w:rtl/>
        </w:rPr>
        <w:instrText xml:space="preserve"> _</w:instrText>
      </w:r>
      <w:r w:rsidRPr="0002448A">
        <w:rPr>
          <w:rStyle w:val="af6"/>
          <w:rFonts w:eastAsia="Guttman Hodes" w:hint="cs"/>
        </w:rPr>
        <w:instrText>Ref13412942 \r \h</w:instrText>
      </w:r>
      <w:r w:rsidRPr="0002448A">
        <w:rPr>
          <w:rStyle w:val="af6"/>
          <w:rFonts w:eastAsia="Guttman Hodes"/>
          <w:rtl/>
        </w:rPr>
        <w:instrText xml:space="preserve">  \* </w:instrText>
      </w:r>
      <w:r w:rsidRPr="0002448A">
        <w:rPr>
          <w:rStyle w:val="af6"/>
          <w:rFonts w:eastAsia="Guttman Hodes"/>
        </w:rPr>
        <w:instrText>MERGEFORMAT</w:instrText>
      </w:r>
      <w:r w:rsidRPr="0002448A">
        <w:rPr>
          <w:rStyle w:val="af6"/>
          <w:rFonts w:eastAsia="Guttman Hodes"/>
          <w:rtl/>
        </w:rPr>
        <w:instrText xml:space="preserve"> </w:instrText>
      </w:r>
      <w:r w:rsidRPr="0002448A">
        <w:rPr>
          <w:rStyle w:val="af6"/>
          <w:rFonts w:eastAsia="Guttman Hodes"/>
          <w:rtl/>
        </w:rPr>
      </w:r>
      <w:r w:rsidRPr="0002448A">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02448A">
        <w:rPr>
          <w:rStyle w:val="af6"/>
          <w:rFonts w:eastAsia="Guttman Hodes"/>
          <w:rtl/>
        </w:rPr>
        <w:fldChar w:fldCharType="end"/>
      </w:r>
      <w:r w:rsidRPr="0002448A">
        <w:rPr>
          <w:rStyle w:val="af6"/>
          <w:rFonts w:eastAsia="Guttman Hodes" w:hint="cs"/>
          <w:rtl/>
        </w:rPr>
        <w:t xml:space="preserve"> </w:t>
      </w:r>
      <w:r w:rsidRPr="007E0C12">
        <w:rPr>
          <w:rFonts w:hint="cs"/>
          <w:rtl/>
        </w:rPr>
        <w:t>דטעמו ולא ממשו, הוא כגון שסילק את האיסור ונשאר רק טעמו.</w:t>
      </w:r>
      <w:bookmarkEnd w:id="5953"/>
      <w:r w:rsidRPr="0002448A">
        <w:rPr>
          <w:rStyle w:val="afa"/>
          <w:rFonts w:hint="cs"/>
          <w:rtl/>
        </w:rPr>
        <w:t xml:space="preserve"> [ועי' במ"ש </w:t>
      </w:r>
      <w:r w:rsidRPr="0002448A">
        <w:rPr>
          <w:rStyle w:val="affa"/>
          <w:rFonts w:hint="cs"/>
          <w:rtl/>
        </w:rPr>
        <w:t>הפר"ח</w:t>
      </w:r>
      <w:r w:rsidRPr="007E0C12">
        <w:rPr>
          <w:rFonts w:hint="cs"/>
          <w:rtl/>
        </w:rPr>
        <w:t xml:space="preserve"> </w:t>
      </w:r>
      <w:r w:rsidRPr="0002448A">
        <w:rPr>
          <w:rStyle w:val="afa"/>
          <w:rFonts w:hint="cs"/>
          <w:rtl/>
        </w:rPr>
        <w:t xml:space="preserve">בדברי </w:t>
      </w:r>
      <w:r w:rsidRPr="0002448A">
        <w:rPr>
          <w:rStyle w:val="affa"/>
          <w:rFonts w:hint="cs"/>
          <w:rtl/>
        </w:rPr>
        <w:t xml:space="preserve">רש"י </w:t>
      </w:r>
      <w:r>
        <w:rPr>
          <w:rStyle w:val="affa"/>
          <w:rFonts w:hint="cs"/>
          <w:rtl/>
        </w:rPr>
        <w:t>בפסחים</w:t>
      </w:r>
      <w:r>
        <w:rPr>
          <w:rStyle w:val="afa"/>
          <w:rFonts w:hint="cs"/>
          <w:rtl/>
        </w:rPr>
        <w:t xml:space="preserve">, ובמה </w:t>
      </w:r>
      <w:r w:rsidRPr="005E217D">
        <w:rPr>
          <w:rStyle w:val="afa"/>
          <w:rFonts w:hint="cs"/>
          <w:rtl/>
        </w:rPr>
        <w:t xml:space="preserve">שהקשה עליו </w:t>
      </w:r>
      <w:r w:rsidRPr="005E217D">
        <w:rPr>
          <w:rStyle w:val="affa"/>
          <w:rFonts w:hint="cs"/>
          <w:rtl/>
        </w:rPr>
        <w:t>הנחל"ד</w:t>
      </w:r>
      <w:r>
        <w:rPr>
          <w:rStyle w:val="affa"/>
          <w:rFonts w:hint="cs"/>
          <w:rtl/>
        </w:rPr>
        <w:t xml:space="preserve"> </w:t>
      </w:r>
      <w:r w:rsidRPr="005E217D">
        <w:rPr>
          <w:rStyle w:val="af6"/>
          <w:rFonts w:eastAsia="Guttman Hodes" w:hint="cs"/>
          <w:rtl/>
        </w:rPr>
        <w:t xml:space="preserve">(עי' הערה </w:t>
      </w:r>
      <w:r w:rsidRPr="005E217D">
        <w:rPr>
          <w:vertAlign w:val="superscript"/>
          <w:rtl/>
        </w:rPr>
        <w:fldChar w:fldCharType="begin"/>
      </w:r>
      <w:r w:rsidRPr="005E217D">
        <w:rPr>
          <w:vertAlign w:val="superscript"/>
          <w:rtl/>
        </w:rPr>
        <w:instrText xml:space="preserve"> </w:instrText>
      </w:r>
      <w:r w:rsidRPr="005E217D">
        <w:rPr>
          <w:rFonts w:hint="cs"/>
          <w:vertAlign w:val="superscript"/>
        </w:rPr>
        <w:instrText>NOTEREF</w:instrText>
      </w:r>
      <w:r w:rsidRPr="005E217D">
        <w:rPr>
          <w:rFonts w:hint="cs"/>
          <w:vertAlign w:val="superscript"/>
          <w:rtl/>
        </w:rPr>
        <w:instrText xml:space="preserve"> _</w:instrText>
      </w:r>
      <w:r w:rsidRPr="005E217D">
        <w:rPr>
          <w:rFonts w:hint="cs"/>
          <w:vertAlign w:val="superscript"/>
        </w:rPr>
        <w:instrText>Ref13663322 \h</w:instrText>
      </w:r>
      <w:r w:rsidRPr="005E217D">
        <w:rPr>
          <w:vertAlign w:val="superscript"/>
          <w:rtl/>
        </w:rPr>
        <w:instrText xml:space="preserve">  \* </w:instrText>
      </w:r>
      <w:r w:rsidRPr="005E217D">
        <w:rPr>
          <w:vertAlign w:val="superscript"/>
        </w:rPr>
        <w:instrText>MERGEFORMAT</w:instrText>
      </w:r>
      <w:r w:rsidRPr="005E217D">
        <w:rPr>
          <w:vertAlign w:val="superscript"/>
          <w:rtl/>
        </w:rPr>
        <w:instrText xml:space="preserve"> </w:instrText>
      </w:r>
      <w:r w:rsidRPr="005E217D">
        <w:rPr>
          <w:vertAlign w:val="superscript"/>
          <w:rtl/>
        </w:rPr>
      </w:r>
      <w:r w:rsidRPr="005E217D">
        <w:rPr>
          <w:vertAlign w:val="superscript"/>
          <w:rtl/>
        </w:rPr>
        <w:fldChar w:fldCharType="separate"/>
      </w:r>
      <w:r w:rsidR="004D1C5B">
        <w:rPr>
          <w:vertAlign w:val="superscript"/>
          <w:rtl/>
        </w:rPr>
        <w:t>21</w:t>
      </w:r>
      <w:r w:rsidRPr="005E217D">
        <w:rPr>
          <w:vertAlign w:val="superscript"/>
          <w:rtl/>
        </w:rPr>
        <w:fldChar w:fldCharType="end"/>
      </w:r>
      <w:r w:rsidRPr="005E217D">
        <w:rPr>
          <w:rStyle w:val="af6"/>
          <w:rFonts w:eastAsia="Guttman Hodes" w:hint="cs"/>
          <w:rtl/>
        </w:rPr>
        <w:t>)</w:t>
      </w:r>
      <w:r>
        <w:rPr>
          <w:rStyle w:val="af6"/>
          <w:rFonts w:eastAsia="Guttman Hodes" w:hint="cs"/>
          <w:rtl/>
        </w:rPr>
        <w:t xml:space="preserve"> </w:t>
      </w:r>
      <w:r>
        <w:rPr>
          <w:rStyle w:val="afa"/>
          <w:rFonts w:hint="cs"/>
          <w:rtl/>
        </w:rPr>
        <w:t xml:space="preserve">ובמה שביאר </w:t>
      </w:r>
      <w:r w:rsidRPr="003D447D">
        <w:rPr>
          <w:rStyle w:val="affa"/>
          <w:rFonts w:hint="cs"/>
          <w:rtl/>
        </w:rPr>
        <w:t>הנחל"ד</w:t>
      </w:r>
      <w:r>
        <w:rPr>
          <w:rStyle w:val="afa"/>
          <w:rFonts w:hint="cs"/>
          <w:rtl/>
        </w:rPr>
        <w:t xml:space="preserve"> דיש ט"ס בדברי </w:t>
      </w:r>
      <w:r w:rsidRPr="003D447D">
        <w:rPr>
          <w:rStyle w:val="affa"/>
          <w:rFonts w:hint="cs"/>
          <w:rtl/>
        </w:rPr>
        <w:t>רש"י בפסחים</w:t>
      </w:r>
      <w:r w:rsidRPr="005E217D">
        <w:rPr>
          <w:rStyle w:val="afa"/>
          <w:rFonts w:hint="cs"/>
          <w:rtl/>
        </w:rPr>
        <w:t>].</w:t>
      </w:r>
    </w:p>
    <w:bookmarkEnd w:id="5946"/>
    <w:bookmarkEnd w:id="5954"/>
    <w:p w:rsidR="009A0058" w:rsidRPr="005E217D" w:rsidRDefault="009A0058" w:rsidP="009A0058">
      <w:pPr>
        <w:pStyle w:val="a2"/>
        <w:rPr>
          <w:rtl/>
        </w:rPr>
      </w:pPr>
      <w:r>
        <w:rPr>
          <w:rFonts w:hint="cs"/>
          <w:rtl/>
        </w:rPr>
        <w:t>דברי הנחל"ד דאפש"ל דלרש"י בפסחים איסור שנימוח הוי ממשו ורש"י בע"ז ביאר לפי הגמ' בנזיר</w:t>
      </w:r>
    </w:p>
    <w:p w:rsidR="009A0058" w:rsidRPr="0068468F" w:rsidRDefault="009A0058" w:rsidP="009F44AF">
      <w:pPr>
        <w:pStyle w:val="a"/>
        <w:rPr>
          <w:rStyle w:val="afa"/>
          <w:rtl/>
        </w:rPr>
      </w:pPr>
      <w:r w:rsidRPr="005E217D">
        <w:rPr>
          <w:rFonts w:hint="cs"/>
          <w:rtl/>
        </w:rPr>
        <w:t xml:space="preserve">אך כתב </w:t>
      </w:r>
      <w:r w:rsidRPr="005E217D">
        <w:rPr>
          <w:rStyle w:val="af8"/>
          <w:rtl/>
        </w:rPr>
        <w:t>הנחל"ד</w:t>
      </w:r>
      <w:r w:rsidRPr="005E217D">
        <w:rPr>
          <w:rtl/>
        </w:rPr>
        <w:t xml:space="preserve"> </w:t>
      </w:r>
      <w:r w:rsidRPr="005E217D">
        <w:rPr>
          <w:rStyle w:val="af6"/>
          <w:rFonts w:eastAsia="Guttman Hodes"/>
          <w:rtl/>
        </w:rPr>
        <w:t xml:space="preserve">(פסחים מג:, קונ' דברי דוד [מהדו' חד' עמ' </w:t>
      </w:r>
      <w:r w:rsidRPr="005E217D">
        <w:rPr>
          <w:rStyle w:val="af6"/>
          <w:rFonts w:eastAsia="Guttman Hodes" w:hint="cs"/>
          <w:rtl/>
        </w:rPr>
        <w:t>קכ"ז</w:t>
      </w:r>
      <w:r w:rsidRPr="005E217D">
        <w:rPr>
          <w:rStyle w:val="af6"/>
          <w:rFonts w:eastAsia="Guttman Hodes"/>
          <w:rtl/>
        </w:rPr>
        <w:t xml:space="preserve">] ד"ה </w:t>
      </w:r>
      <w:r w:rsidRPr="005E217D">
        <w:rPr>
          <w:rStyle w:val="af6"/>
          <w:rFonts w:eastAsia="Guttman Hodes" w:hint="cs"/>
          <w:rtl/>
        </w:rPr>
        <w:t>אמנם אילולי דמסתפינא</w:t>
      </w:r>
      <w:r w:rsidRPr="005E217D">
        <w:rPr>
          <w:rStyle w:val="af6"/>
          <w:rFonts w:eastAsia="Guttman Hodes"/>
          <w:rtl/>
        </w:rPr>
        <w:t>)</w:t>
      </w:r>
      <w:r w:rsidRPr="005E217D">
        <w:rPr>
          <w:rStyle w:val="af6"/>
          <w:rFonts w:eastAsia="Guttman Hodes" w:hint="cs"/>
          <w:rtl/>
        </w:rPr>
        <w:t xml:space="preserve"> </w:t>
      </w:r>
      <w:r w:rsidRPr="005E217D">
        <w:rPr>
          <w:rFonts w:hint="cs"/>
          <w:rtl/>
        </w:rPr>
        <w:t xml:space="preserve">דהיה אפש"ל </w:t>
      </w:r>
      <w:r w:rsidRPr="005E217D">
        <w:rPr>
          <w:rStyle w:val="af8"/>
          <w:rFonts w:hint="cs"/>
          <w:rtl/>
        </w:rPr>
        <w:t>דרש"י בפסחים</w:t>
      </w:r>
      <w:r w:rsidRPr="005E217D">
        <w:rPr>
          <w:rFonts w:hint="cs"/>
          <w:rtl/>
        </w:rPr>
        <w:t xml:space="preserve"> ס"ל ד</w:t>
      </w:r>
      <w:r w:rsidRPr="005E217D">
        <w:rPr>
          <w:rtl/>
        </w:rPr>
        <w:t>חֵלֶב</w:t>
      </w:r>
      <w:r w:rsidRPr="005E217D">
        <w:rPr>
          <w:rFonts w:hint="cs"/>
          <w:rtl/>
        </w:rPr>
        <w:t xml:space="preserve"> שנימוח ג"כ נקרא ממשו, דא"א לחלק בין פת ששרה ביין ושמן שניתן לתוך מקפה, לבין </w:t>
      </w:r>
      <w:r w:rsidRPr="005E217D">
        <w:rPr>
          <w:rtl/>
        </w:rPr>
        <w:t>חֵלֶב</w:t>
      </w:r>
      <w:r w:rsidRPr="005E217D">
        <w:rPr>
          <w:rFonts w:hint="cs"/>
          <w:rtl/>
        </w:rPr>
        <w:t xml:space="preserve"> שנימוח, אלא </w:t>
      </w:r>
      <w:r w:rsidRPr="005E217D">
        <w:rPr>
          <w:rStyle w:val="af8"/>
          <w:rFonts w:hint="cs"/>
          <w:rtl/>
        </w:rPr>
        <w:t>דרש"י בע"ז</w:t>
      </w:r>
      <w:r w:rsidRPr="005E217D">
        <w:rPr>
          <w:rFonts w:hint="cs"/>
          <w:rtl/>
        </w:rPr>
        <w:t xml:space="preserve"> </w:t>
      </w:r>
      <w:r w:rsidRPr="0068468F">
        <w:rPr>
          <w:rStyle w:val="af6"/>
          <w:rFonts w:eastAsia="Guttman Hodes" w:hint="cs"/>
          <w:rtl/>
        </w:rPr>
        <w:t xml:space="preserve">(עי' אות </w:t>
      </w:r>
      <w:r w:rsidRPr="0068468F">
        <w:rPr>
          <w:rStyle w:val="af6"/>
          <w:rFonts w:eastAsia="Guttman Hodes"/>
          <w:rtl/>
        </w:rPr>
        <w:fldChar w:fldCharType="begin"/>
      </w:r>
      <w:r w:rsidRPr="0068468F">
        <w:rPr>
          <w:rStyle w:val="af6"/>
          <w:rFonts w:eastAsia="Guttman Hodes"/>
          <w:rtl/>
        </w:rPr>
        <w:instrText xml:space="preserve"> </w:instrText>
      </w:r>
      <w:r w:rsidRPr="0068468F">
        <w:rPr>
          <w:rStyle w:val="af6"/>
          <w:rFonts w:eastAsia="Guttman Hodes" w:hint="cs"/>
        </w:rPr>
        <w:instrText>REF</w:instrText>
      </w:r>
      <w:r w:rsidRPr="0068468F">
        <w:rPr>
          <w:rStyle w:val="af6"/>
          <w:rFonts w:eastAsia="Guttman Hodes" w:hint="cs"/>
          <w:rtl/>
        </w:rPr>
        <w:instrText xml:space="preserve"> _</w:instrText>
      </w:r>
      <w:r w:rsidRPr="0068468F">
        <w:rPr>
          <w:rStyle w:val="af6"/>
          <w:rFonts w:eastAsia="Guttman Hodes" w:hint="cs"/>
        </w:rPr>
        <w:instrText>Ref12961369 \r \h</w:instrText>
      </w:r>
      <w:r w:rsidRPr="0068468F">
        <w:rPr>
          <w:rStyle w:val="af6"/>
          <w:rFonts w:eastAsia="Guttman Hodes"/>
          <w:rtl/>
        </w:rPr>
        <w:instrText xml:space="preserve"> </w:instrText>
      </w:r>
      <w:r w:rsidRPr="0068468F">
        <w:rPr>
          <w:rStyle w:val="af6"/>
          <w:rFonts w:eastAsia="Guttman Hodes"/>
          <w:rtl/>
        </w:rPr>
      </w:r>
      <w:r w:rsidRPr="0068468F">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68468F">
        <w:rPr>
          <w:rStyle w:val="af6"/>
          <w:rFonts w:eastAsia="Guttman Hodes"/>
          <w:rtl/>
        </w:rPr>
        <w:fldChar w:fldCharType="end"/>
      </w:r>
      <w:r>
        <w:rPr>
          <w:rFonts w:hint="cs"/>
          <w:rtl/>
        </w:rPr>
        <w:t xml:space="preserve"> </w:t>
      </w:r>
      <w:r w:rsidRPr="005E217D">
        <w:rPr>
          <w:rFonts w:hint="cs"/>
          <w:rtl/>
        </w:rPr>
        <w:t>ביאר לפי סוגית הגמ' בנזיר, עיי"ש בדבריו</w:t>
      </w:r>
      <w:r>
        <w:rPr>
          <w:rFonts w:hint="cs"/>
          <w:rtl/>
        </w:rPr>
        <w:t>.</w:t>
      </w:r>
      <w:r w:rsidRPr="005E217D">
        <w:rPr>
          <w:rFonts w:hint="cs"/>
          <w:rtl/>
        </w:rPr>
        <w:t xml:space="preserve"> </w:t>
      </w:r>
      <w:r w:rsidRPr="0068468F">
        <w:rPr>
          <w:rStyle w:val="afa"/>
          <w:rFonts w:hint="cs"/>
          <w:rtl/>
        </w:rPr>
        <w:t xml:space="preserve">[והביא </w:t>
      </w:r>
      <w:r w:rsidRPr="0068468F">
        <w:rPr>
          <w:rStyle w:val="affa"/>
          <w:rFonts w:hint="cs"/>
          <w:rtl/>
        </w:rPr>
        <w:t>הנחל"ד</w:t>
      </w:r>
      <w:r w:rsidRPr="0068468F">
        <w:rPr>
          <w:rStyle w:val="afa"/>
          <w:rFonts w:hint="cs"/>
          <w:rtl/>
        </w:rPr>
        <w:t xml:space="preserve"> בשם </w:t>
      </w:r>
      <w:r w:rsidRPr="0068468F">
        <w:rPr>
          <w:rStyle w:val="affa"/>
          <w:rFonts w:hint="cs"/>
          <w:rtl/>
        </w:rPr>
        <w:t>רבו</w:t>
      </w:r>
      <w:r w:rsidRPr="0068468F">
        <w:rPr>
          <w:rStyle w:val="afa"/>
          <w:rFonts w:hint="cs"/>
          <w:rtl/>
        </w:rPr>
        <w:t xml:space="preserve"> [</w:t>
      </w:r>
      <w:r w:rsidRPr="0068468F">
        <w:rPr>
          <w:rStyle w:val="affa"/>
          <w:rFonts w:hint="cs"/>
          <w:rtl/>
        </w:rPr>
        <w:t>הגר"ח מוולוז'ין</w:t>
      </w:r>
      <w:r w:rsidRPr="0068468F">
        <w:rPr>
          <w:rStyle w:val="afa"/>
          <w:rFonts w:hint="cs"/>
          <w:rtl/>
        </w:rPr>
        <w:t xml:space="preserve">] </w:t>
      </w:r>
      <w:r w:rsidRPr="0068468F">
        <w:rPr>
          <w:rStyle w:val="affa"/>
          <w:rFonts w:hint="cs"/>
          <w:rtl/>
        </w:rPr>
        <w:t>דרש"י</w:t>
      </w:r>
      <w:r w:rsidRPr="0068468F">
        <w:rPr>
          <w:rStyle w:val="afa"/>
          <w:rFonts w:hint="cs"/>
          <w:rtl/>
        </w:rPr>
        <w:t xml:space="preserve"> בכל מסכת ביאר לפי אותה ה</w:t>
      </w:r>
      <w:r w:rsidR="00715158">
        <w:rPr>
          <w:rStyle w:val="afa"/>
          <w:rFonts w:hint="cs"/>
          <w:rtl/>
        </w:rPr>
        <w:t>סוגית</w:t>
      </w:r>
      <w:r w:rsidRPr="0068468F">
        <w:rPr>
          <w:rStyle w:val="afa"/>
          <w:rFonts w:hint="cs"/>
          <w:rtl/>
        </w:rPr>
        <w:t>, ואין להקשות סתירה מב' מסכתות].</w:t>
      </w:r>
    </w:p>
    <w:p w:rsidR="009A0058" w:rsidRPr="005E217D" w:rsidRDefault="009A0058" w:rsidP="009A0058">
      <w:pPr>
        <w:pStyle w:val="a2"/>
        <w:rPr>
          <w:rtl/>
        </w:rPr>
      </w:pPr>
      <w:bookmarkStart w:id="5955" w:name="_Toc13663964"/>
      <w:r>
        <w:rPr>
          <w:rFonts w:hint="cs"/>
          <w:rtl/>
        </w:rPr>
        <w:t>דברי המנחת ברוך דס"ל לרש"י דלגמ' בזבחים איסור שנימוח הוא ממשו ולגמ' בע"ז הוא טעמו</w:t>
      </w:r>
      <w:bookmarkEnd w:id="5955"/>
    </w:p>
    <w:p w:rsidR="009A0058" w:rsidRDefault="009A0058" w:rsidP="009F44AF">
      <w:pPr>
        <w:pStyle w:val="a"/>
        <w:rPr>
          <w:rtl/>
        </w:rPr>
      </w:pPr>
      <w:bookmarkStart w:id="5956" w:name="_Ref13414223"/>
      <w:r>
        <w:rPr>
          <w:rFonts w:hint="cs"/>
          <w:rtl/>
        </w:rPr>
        <w:t>וכעי"ז כתב</w:t>
      </w:r>
      <w:r w:rsidRPr="005E217D">
        <w:rPr>
          <w:rFonts w:hint="cs"/>
          <w:rtl/>
        </w:rPr>
        <w:t xml:space="preserve"> </w:t>
      </w:r>
      <w:r w:rsidRPr="003D447D">
        <w:rPr>
          <w:rStyle w:val="af8"/>
          <w:rFonts w:hint="cs"/>
          <w:rtl/>
        </w:rPr>
        <w:t>המנחת ברוך</w:t>
      </w:r>
      <w:r w:rsidRPr="005E217D">
        <w:rPr>
          <w:rFonts w:hint="cs"/>
          <w:rtl/>
        </w:rPr>
        <w:t xml:space="preserve"> </w:t>
      </w:r>
      <w:r w:rsidRPr="0068468F">
        <w:rPr>
          <w:rStyle w:val="af6"/>
          <w:rFonts w:eastAsia="Guttman Hodes" w:hint="cs"/>
          <w:rtl/>
        </w:rPr>
        <w:t>(סי' נ"ד ענף ב' סוד"ה אמנם מה)</w:t>
      </w:r>
      <w:r w:rsidRPr="005E217D">
        <w:rPr>
          <w:rFonts w:hint="cs"/>
          <w:rtl/>
        </w:rPr>
        <w:t xml:space="preserve"> </w:t>
      </w:r>
      <w:r w:rsidRPr="003D447D">
        <w:rPr>
          <w:rStyle w:val="af8"/>
          <w:rFonts w:hint="cs"/>
          <w:rtl/>
        </w:rPr>
        <w:t>דרש"י בזבחים</w:t>
      </w:r>
      <w:r w:rsidRPr="005E217D">
        <w:rPr>
          <w:rFonts w:hint="cs"/>
          <w:rtl/>
        </w:rPr>
        <w:t xml:space="preserve"> </w:t>
      </w:r>
      <w:r w:rsidRPr="0068468F">
        <w:rPr>
          <w:rStyle w:val="af6"/>
          <w:rFonts w:eastAsia="Guttman Hodes" w:hint="cs"/>
          <w:rtl/>
        </w:rPr>
        <w:t xml:space="preserve">(עי' אות </w:t>
      </w:r>
      <w:r w:rsidRPr="0068468F">
        <w:rPr>
          <w:rStyle w:val="af6"/>
          <w:rFonts w:eastAsia="Guttman Hodes"/>
          <w:rtl/>
        </w:rPr>
        <w:fldChar w:fldCharType="begin"/>
      </w:r>
      <w:r w:rsidRPr="0068468F">
        <w:rPr>
          <w:rStyle w:val="af6"/>
          <w:rFonts w:eastAsia="Guttman Hodes"/>
          <w:rtl/>
        </w:rPr>
        <w:instrText xml:space="preserve"> </w:instrText>
      </w:r>
      <w:r w:rsidRPr="0068468F">
        <w:rPr>
          <w:rStyle w:val="af6"/>
          <w:rFonts w:eastAsia="Guttman Hodes" w:hint="cs"/>
        </w:rPr>
        <w:instrText>REF</w:instrText>
      </w:r>
      <w:r w:rsidRPr="0068468F">
        <w:rPr>
          <w:rStyle w:val="af6"/>
          <w:rFonts w:eastAsia="Guttman Hodes" w:hint="cs"/>
          <w:rtl/>
        </w:rPr>
        <w:instrText xml:space="preserve"> _</w:instrText>
      </w:r>
      <w:r w:rsidRPr="0068468F">
        <w:rPr>
          <w:rStyle w:val="af6"/>
          <w:rFonts w:eastAsia="Guttman Hodes" w:hint="cs"/>
        </w:rPr>
        <w:instrText>Ref13591644 \r \h</w:instrText>
      </w:r>
      <w:r w:rsidRPr="0068468F">
        <w:rPr>
          <w:rStyle w:val="af6"/>
          <w:rFonts w:eastAsia="Guttman Hodes"/>
          <w:rtl/>
        </w:rPr>
        <w:instrText xml:space="preserve"> </w:instrText>
      </w:r>
      <w:r w:rsidRPr="0068468F">
        <w:rPr>
          <w:rStyle w:val="af6"/>
          <w:rFonts w:eastAsia="Guttman Hodes"/>
          <w:rtl/>
        </w:rPr>
      </w:r>
      <w:r w:rsidRPr="0068468F">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68468F">
        <w:rPr>
          <w:rStyle w:val="af6"/>
          <w:rFonts w:eastAsia="Guttman Hodes"/>
          <w:rtl/>
        </w:rPr>
        <w:fldChar w:fldCharType="end"/>
      </w:r>
      <w:r w:rsidRPr="005E217D">
        <w:rPr>
          <w:rFonts w:hint="cs"/>
          <w:rtl/>
        </w:rPr>
        <w:t xml:space="preserve"> דכתב דחלב שנימוח חשיב ממשו, הוא לפי ה</w:t>
      </w:r>
      <w:r w:rsidR="00715158">
        <w:rPr>
          <w:rFonts w:hint="cs"/>
          <w:rtl/>
        </w:rPr>
        <w:t>סוגית</w:t>
      </w:r>
      <w:r w:rsidRPr="005E217D">
        <w:rPr>
          <w:rFonts w:hint="cs"/>
          <w:rtl/>
        </w:rPr>
        <w:t xml:space="preserve"> בזבחים, אבל </w:t>
      </w:r>
      <w:r w:rsidRPr="005E217D">
        <w:rPr>
          <w:rStyle w:val="af8"/>
          <w:rFonts w:hint="cs"/>
          <w:rtl/>
        </w:rPr>
        <w:t>רש"י בע"ז</w:t>
      </w:r>
      <w:r w:rsidRPr="005E217D">
        <w:rPr>
          <w:rFonts w:hint="cs"/>
          <w:rtl/>
        </w:rPr>
        <w:t xml:space="preserve"> </w:t>
      </w:r>
      <w:r w:rsidRPr="0068468F">
        <w:rPr>
          <w:rStyle w:val="af6"/>
          <w:rFonts w:eastAsia="Guttman Hodes" w:hint="cs"/>
          <w:rtl/>
        </w:rPr>
        <w:t xml:space="preserve">(עי' אות </w:t>
      </w:r>
      <w:r w:rsidRPr="0068468F">
        <w:rPr>
          <w:rStyle w:val="af6"/>
          <w:rFonts w:eastAsia="Guttman Hodes"/>
          <w:rtl/>
        </w:rPr>
        <w:fldChar w:fldCharType="begin"/>
      </w:r>
      <w:r w:rsidRPr="0068468F">
        <w:rPr>
          <w:rStyle w:val="af6"/>
          <w:rFonts w:eastAsia="Guttman Hodes"/>
          <w:rtl/>
        </w:rPr>
        <w:instrText xml:space="preserve"> </w:instrText>
      </w:r>
      <w:r w:rsidRPr="0068468F">
        <w:rPr>
          <w:rStyle w:val="af6"/>
          <w:rFonts w:eastAsia="Guttman Hodes" w:hint="cs"/>
        </w:rPr>
        <w:instrText>REF</w:instrText>
      </w:r>
      <w:r w:rsidRPr="0068468F">
        <w:rPr>
          <w:rStyle w:val="af6"/>
          <w:rFonts w:eastAsia="Guttman Hodes" w:hint="cs"/>
          <w:rtl/>
        </w:rPr>
        <w:instrText xml:space="preserve"> _</w:instrText>
      </w:r>
      <w:r w:rsidRPr="0068468F">
        <w:rPr>
          <w:rStyle w:val="af6"/>
          <w:rFonts w:eastAsia="Guttman Hodes" w:hint="cs"/>
        </w:rPr>
        <w:instrText>Ref12961369 \r \h</w:instrText>
      </w:r>
      <w:r w:rsidRPr="0068468F">
        <w:rPr>
          <w:rStyle w:val="af6"/>
          <w:rFonts w:eastAsia="Guttman Hodes"/>
          <w:rtl/>
        </w:rPr>
        <w:instrText xml:space="preserve"> </w:instrText>
      </w:r>
      <w:r w:rsidRPr="0068468F">
        <w:rPr>
          <w:rStyle w:val="af6"/>
          <w:rFonts w:eastAsia="Guttman Hodes"/>
          <w:rtl/>
        </w:rPr>
      </w:r>
      <w:r w:rsidRPr="0068468F">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68468F">
        <w:rPr>
          <w:rStyle w:val="af6"/>
          <w:rFonts w:eastAsia="Guttman Hodes"/>
          <w:rtl/>
        </w:rPr>
        <w:fldChar w:fldCharType="end"/>
      </w:r>
      <w:r>
        <w:rPr>
          <w:rFonts w:hint="cs"/>
          <w:rtl/>
        </w:rPr>
        <w:t xml:space="preserve"> </w:t>
      </w:r>
      <w:r w:rsidRPr="005E217D">
        <w:rPr>
          <w:rFonts w:hint="cs"/>
          <w:rtl/>
        </w:rPr>
        <w:t>דכתב דאיסור שנימוח הוא טעמו ולא ממשו, ביאר כן לפי סוגית הגמ' בנזיר, דסברה דחשיב טעמו ולא ממשו, עיי"ש בדבריו.</w:t>
      </w:r>
      <w:bookmarkEnd w:id="5956"/>
    </w:p>
    <w:p w:rsidR="009A0058" w:rsidRDefault="009A0058" w:rsidP="00E669F8">
      <w:pPr>
        <w:pStyle w:val="afd"/>
        <w:rPr>
          <w:rtl/>
        </w:rPr>
      </w:pPr>
      <w:bookmarkStart w:id="5957" w:name="_Toc13418655"/>
      <w:bookmarkStart w:id="5958" w:name="_Toc13516488"/>
      <w:bookmarkStart w:id="5959" w:name="_Toc13562576"/>
      <w:bookmarkStart w:id="5960" w:name="_Toc13568563"/>
      <w:bookmarkStart w:id="5961" w:name="_Toc13603162"/>
      <w:bookmarkStart w:id="5962" w:name="_Toc13603265"/>
      <w:bookmarkStart w:id="5963" w:name="_Toc13657808"/>
      <w:bookmarkStart w:id="5964" w:name="_Toc13663968"/>
      <w:bookmarkEnd w:id="5947"/>
      <w:bookmarkEnd w:id="5948"/>
      <w:bookmarkEnd w:id="5949"/>
      <w:bookmarkEnd w:id="5950"/>
      <w:r>
        <w:rPr>
          <w:rFonts w:hint="cs"/>
          <w:rtl/>
        </w:rPr>
        <w:t>בביאור הר"ן בדעת רש"י</w:t>
      </w:r>
    </w:p>
    <w:p w:rsidR="009A0058" w:rsidRPr="007E0C12" w:rsidRDefault="009A0058" w:rsidP="009A0058">
      <w:pPr>
        <w:pStyle w:val="1"/>
        <w:rPr>
          <w:rtl/>
        </w:rPr>
      </w:pPr>
      <w:r>
        <w:rPr>
          <w:rFonts w:hint="cs"/>
          <w:rtl/>
        </w:rPr>
        <w:t xml:space="preserve">פלוגתת הב"י והב"ח </w:t>
      </w:r>
      <w:r w:rsidRPr="007E0C12">
        <w:rPr>
          <w:rFonts w:hint="cs"/>
          <w:rtl/>
        </w:rPr>
        <w:t>בביאור ד</w:t>
      </w:r>
      <w:r>
        <w:rPr>
          <w:rFonts w:hint="cs"/>
          <w:rtl/>
        </w:rPr>
        <w:t xml:space="preserve">ברי </w:t>
      </w:r>
      <w:r w:rsidRPr="007E0C12">
        <w:rPr>
          <w:rFonts w:hint="cs"/>
          <w:rtl/>
        </w:rPr>
        <w:t>הר"ן בד</w:t>
      </w:r>
      <w:r>
        <w:rPr>
          <w:rFonts w:hint="cs"/>
          <w:rtl/>
        </w:rPr>
        <w:t>עת</w:t>
      </w:r>
      <w:r w:rsidRPr="007E0C12">
        <w:rPr>
          <w:rFonts w:hint="cs"/>
          <w:rtl/>
        </w:rPr>
        <w:t xml:space="preserve"> רש"י</w:t>
      </w:r>
      <w:bookmarkEnd w:id="5957"/>
      <w:bookmarkEnd w:id="5958"/>
      <w:bookmarkEnd w:id="5959"/>
      <w:bookmarkEnd w:id="5960"/>
      <w:bookmarkEnd w:id="5961"/>
      <w:bookmarkEnd w:id="5962"/>
      <w:bookmarkEnd w:id="5963"/>
      <w:bookmarkEnd w:id="5964"/>
    </w:p>
    <w:p w:rsidR="009A0058" w:rsidRPr="007E0C12" w:rsidRDefault="009A0058" w:rsidP="009A0058">
      <w:pPr>
        <w:pStyle w:val="a2"/>
        <w:rPr>
          <w:rtl/>
        </w:rPr>
      </w:pPr>
      <w:bookmarkStart w:id="5965" w:name="_Toc13603163"/>
      <w:bookmarkStart w:id="5966" w:name="_Toc13603266"/>
      <w:bookmarkStart w:id="5967" w:name="_Toc13657809"/>
      <w:bookmarkStart w:id="5968" w:name="_Toc13663969"/>
      <w:r w:rsidRPr="007E0C12">
        <w:rPr>
          <w:rFonts w:hint="cs"/>
          <w:rtl/>
        </w:rPr>
        <w:t>דברי הר"ן דבכזית בכא"פ לוקין עליו ובפחות אסור מדאו' ואין מלקות ובטעם כעיקר נח' רש"י ותוס'</w:t>
      </w:r>
      <w:bookmarkEnd w:id="5965"/>
      <w:bookmarkEnd w:id="5966"/>
      <w:bookmarkEnd w:id="5967"/>
      <w:bookmarkEnd w:id="5968"/>
    </w:p>
    <w:p w:rsidR="009A0058" w:rsidRPr="007E0C12" w:rsidRDefault="009A0058" w:rsidP="009F44AF">
      <w:pPr>
        <w:pStyle w:val="a"/>
        <w:rPr>
          <w:rtl/>
        </w:rPr>
      </w:pPr>
      <w:bookmarkStart w:id="5969" w:name="_Ref13413552"/>
      <w:r w:rsidRPr="007E0C12">
        <w:rPr>
          <w:rFonts w:hint="cs"/>
          <w:rtl/>
        </w:rPr>
        <w:t xml:space="preserve">כתב </w:t>
      </w:r>
      <w:r w:rsidRPr="007E0C12">
        <w:rPr>
          <w:rStyle w:val="af8"/>
          <w:rFonts w:hint="cs"/>
          <w:rtl/>
        </w:rPr>
        <w:t>הר"ן על הרי"ף</w:t>
      </w:r>
      <w:r w:rsidRPr="007E0C12">
        <w:rPr>
          <w:rFonts w:hint="cs"/>
          <w:rtl/>
        </w:rPr>
        <w:t xml:space="preserve"> </w:t>
      </w:r>
      <w:r w:rsidRPr="007E0C12">
        <w:rPr>
          <w:rStyle w:val="af6"/>
          <w:rFonts w:eastAsia="Guttman Hodes" w:hint="cs"/>
          <w:rtl/>
        </w:rPr>
        <w:t xml:space="preserve">(לה: מדפי הרי"ף ד"ה ולענין) </w:t>
      </w:r>
      <w:r w:rsidRPr="007E0C12">
        <w:rPr>
          <w:rFonts w:hint="cs"/>
          <w:rtl/>
        </w:rPr>
        <w:t xml:space="preserve">דבמין בשאינו מינו שיש נתינת טעם, מדאו' אינו בטל אפילו באלף, כדברי רבא בזבחים </w:t>
      </w:r>
      <w:r w:rsidRPr="007E0C12">
        <w:rPr>
          <w:rStyle w:val="af6"/>
          <w:rFonts w:eastAsia="Guttman Hodes" w:hint="cs"/>
          <w:rtl/>
        </w:rPr>
        <w:t xml:space="preserve">(עט.) </w:t>
      </w:r>
      <w:r w:rsidRPr="007E0C12">
        <w:rPr>
          <w:rFonts w:hint="cs"/>
          <w:rtl/>
        </w:rPr>
        <w:t xml:space="preserve">דמין בשאינו מינו בטעמא, והיינו מדאו' כדאמר רבא דמין במינו ברובא דהוא מדאו', וכתב </w:t>
      </w:r>
      <w:r w:rsidRPr="007E0C12">
        <w:rPr>
          <w:rStyle w:val="af8"/>
          <w:rFonts w:hint="cs"/>
          <w:rtl/>
        </w:rPr>
        <w:t>הר"ן על הרי"ף</w:t>
      </w:r>
      <w:r w:rsidRPr="007E0C12">
        <w:rPr>
          <w:rFonts w:hint="cs"/>
          <w:rtl/>
        </w:rPr>
        <w:t xml:space="preserve"> דבמקום שיש כזית בכדי אכילת פרס לוקין עליו, כמבואר בגמ' בפסחים </w:t>
      </w:r>
      <w:r w:rsidRPr="007E0C12">
        <w:rPr>
          <w:rStyle w:val="af6"/>
          <w:rFonts w:eastAsia="Guttman Hodes" w:hint="cs"/>
          <w:rtl/>
        </w:rPr>
        <w:t>(מד.)</w:t>
      </w:r>
      <w:r w:rsidRPr="007E0C12">
        <w:rPr>
          <w:rFonts w:hint="cs"/>
          <w:rtl/>
        </w:rPr>
        <w:t xml:space="preserve">, ובמקום שאין כזית בכדי אכילת פרס, אסור מדאו' ואין בו מלקות, ובמקום שאין נתינת טעם שיעורו הוא בשישים, וכתב </w:t>
      </w:r>
      <w:r w:rsidRPr="007E0C12">
        <w:rPr>
          <w:rStyle w:val="af8"/>
          <w:rFonts w:hint="cs"/>
          <w:rtl/>
        </w:rPr>
        <w:t>הר"ן על הרי"ף</w:t>
      </w:r>
      <w:r w:rsidRPr="007E0C12">
        <w:rPr>
          <w:rFonts w:hint="cs"/>
          <w:rtl/>
        </w:rPr>
        <w:t xml:space="preserve"> דבמקום שהתערב טעמו ולא ממשו, הוא טעם כעיקר </w:t>
      </w:r>
      <w:r w:rsidRPr="007E0C12">
        <w:rPr>
          <w:rStyle w:val="af8"/>
          <w:rFonts w:hint="cs"/>
          <w:rtl/>
        </w:rPr>
        <w:t>דלר"ת</w:t>
      </w:r>
      <w:r w:rsidRPr="007E0C12">
        <w:rPr>
          <w:rFonts w:hint="cs"/>
          <w:rtl/>
        </w:rPr>
        <w:t xml:space="preserve"> הוא דאו', </w:t>
      </w:r>
      <w:r w:rsidRPr="007E0C12">
        <w:rPr>
          <w:rStyle w:val="af8"/>
          <w:rFonts w:hint="cs"/>
          <w:rtl/>
        </w:rPr>
        <w:t>ולרש"י</w:t>
      </w:r>
      <w:r w:rsidRPr="007E0C12">
        <w:rPr>
          <w:rFonts w:hint="cs"/>
          <w:rtl/>
        </w:rPr>
        <w:t xml:space="preserve"> הוא דרבנן, ועי' בדברי </w:t>
      </w:r>
      <w:r w:rsidRPr="007E0C12">
        <w:rPr>
          <w:rStyle w:val="af8"/>
          <w:rFonts w:hint="cs"/>
          <w:rtl/>
        </w:rPr>
        <w:t>הריטב"א</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Ref13431103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7E0C12">
        <w:rPr>
          <w:rStyle w:val="af6"/>
          <w:rFonts w:eastAsia="Guttman Hodes"/>
          <w:rtl/>
        </w:rPr>
        <w:fldChar w:fldCharType="end"/>
      </w:r>
      <w:r w:rsidRPr="007E0C12">
        <w:rPr>
          <w:rFonts w:hint="cs"/>
          <w:rtl/>
        </w:rPr>
        <w:t>.</w:t>
      </w:r>
      <w:bookmarkEnd w:id="5969"/>
    </w:p>
    <w:p w:rsidR="009A0058" w:rsidRPr="007E0C12" w:rsidRDefault="009A0058" w:rsidP="009A0058">
      <w:pPr>
        <w:pStyle w:val="a2"/>
        <w:rPr>
          <w:rtl/>
        </w:rPr>
      </w:pPr>
      <w:bookmarkStart w:id="5970" w:name="_Toc13603164"/>
      <w:bookmarkStart w:id="5971" w:name="_Toc13603267"/>
      <w:bookmarkStart w:id="5972" w:name="_Toc13657810"/>
      <w:bookmarkStart w:id="5973" w:name="_Toc13663970"/>
      <w:r w:rsidRPr="007E0C12">
        <w:rPr>
          <w:rFonts w:hint="cs"/>
          <w:rtl/>
        </w:rPr>
        <w:t>קושית הב"י על הר"ן דלדבריו ריו"ח איירי בנתערב גוף האיסור וטעם כעיקר בלא נתערב גוף האיסור</w:t>
      </w:r>
      <w:bookmarkEnd w:id="5970"/>
      <w:bookmarkEnd w:id="5971"/>
      <w:bookmarkEnd w:id="5972"/>
      <w:bookmarkEnd w:id="5973"/>
    </w:p>
    <w:p w:rsidR="009A0058" w:rsidRPr="007E0C12" w:rsidRDefault="009A0058" w:rsidP="009F44AF">
      <w:pPr>
        <w:pStyle w:val="a"/>
        <w:rPr>
          <w:rStyle w:val="afa"/>
          <w:rtl/>
        </w:rPr>
      </w:pPr>
      <w:bookmarkStart w:id="5974" w:name="_Ref13085488"/>
      <w:r w:rsidRPr="007E0C12">
        <w:rPr>
          <w:rFonts w:hint="cs"/>
          <w:rtl/>
        </w:rPr>
        <w:t xml:space="preserve">וכתב </w:t>
      </w:r>
      <w:r w:rsidRPr="007E0C12">
        <w:rPr>
          <w:rStyle w:val="af8"/>
          <w:rFonts w:hint="cs"/>
          <w:rtl/>
        </w:rPr>
        <w:t>הב"י</w:t>
      </w:r>
      <w:r w:rsidRPr="007E0C12">
        <w:rPr>
          <w:rStyle w:val="af6"/>
          <w:rFonts w:eastAsia="Guttman Hodes" w:hint="cs"/>
          <w:rtl/>
        </w:rPr>
        <w:t xml:space="preserve"> (סי' צ"ח ב' ד"ה אבל הר"ן) </w:t>
      </w:r>
      <w:r w:rsidRPr="007E0C12">
        <w:rPr>
          <w:rFonts w:hint="cs"/>
          <w:rtl/>
        </w:rPr>
        <w:t xml:space="preserve">דמבואר מדברי </w:t>
      </w:r>
      <w:r w:rsidRPr="007E0C12">
        <w:rPr>
          <w:rStyle w:val="af8"/>
          <w:rFonts w:hint="cs"/>
          <w:rtl/>
        </w:rPr>
        <w:t>הר"ן</w:t>
      </w:r>
      <w:r w:rsidRPr="007E0C12">
        <w:rPr>
          <w:rFonts w:hint="cs"/>
          <w:rtl/>
        </w:rPr>
        <w:t xml:space="preserve"> דדברי ריו"ח בע"ז בטעמו וממשו ובטעמו ולא ממשו לא שייכי כלל לפלוגתת </w:t>
      </w:r>
      <w:r w:rsidRPr="007E0C12">
        <w:rPr>
          <w:rStyle w:val="af8"/>
          <w:rFonts w:hint="cs"/>
          <w:rtl/>
        </w:rPr>
        <w:t>רש"י ור"ת</w:t>
      </w:r>
      <w:r w:rsidRPr="007E0C12">
        <w:rPr>
          <w:rFonts w:hint="cs"/>
          <w:rtl/>
        </w:rPr>
        <w:t xml:space="preserve"> בדין טעם כעיקר, דס"ל </w:t>
      </w:r>
      <w:r w:rsidRPr="007E0C12">
        <w:rPr>
          <w:rStyle w:val="af8"/>
          <w:rFonts w:hint="cs"/>
          <w:rtl/>
        </w:rPr>
        <w:t>להר"ן</w:t>
      </w:r>
      <w:r w:rsidRPr="007E0C12">
        <w:rPr>
          <w:rFonts w:hint="cs"/>
          <w:rtl/>
        </w:rPr>
        <w:t xml:space="preserve"> דריו"ח איירי במקום שגוף האיסור עצמו התערב בהיתר, ובזה אמר ריו"ח דבטעמו ולא ממשו אין לוקין עליו, והקשה </w:t>
      </w:r>
      <w:r w:rsidRPr="007E0C12">
        <w:rPr>
          <w:rStyle w:val="af8"/>
          <w:rFonts w:hint="cs"/>
          <w:rtl/>
        </w:rPr>
        <w:t>הב"י</w:t>
      </w:r>
      <w:r w:rsidRPr="007E0C12">
        <w:rPr>
          <w:rFonts w:hint="cs"/>
          <w:rtl/>
        </w:rPr>
        <w:t xml:space="preserve"> דהרי </w:t>
      </w:r>
      <w:r w:rsidRPr="007E0C12">
        <w:rPr>
          <w:rStyle w:val="af8"/>
          <w:rFonts w:hint="cs"/>
          <w:rtl/>
        </w:rPr>
        <w:t>רש"י בסוגיין</w:t>
      </w:r>
      <w:r w:rsidRPr="007E0C12">
        <w:rPr>
          <w:rFonts w:hint="cs"/>
          <w:rtl/>
        </w:rPr>
        <w:t xml:space="preserve"> </w:t>
      </w:r>
      <w:r w:rsidRPr="007E0C12">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Ref13568615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א)</w:t>
      </w:r>
      <w:r>
        <w:rPr>
          <w:rStyle w:val="af6"/>
          <w:rFonts w:eastAsia="Guttman Hodes"/>
          <w:rtl/>
        </w:rPr>
        <w:fldChar w:fldCharType="end"/>
      </w:r>
      <w:r w:rsidRPr="007E0C12">
        <w:rPr>
          <w:rStyle w:val="af6"/>
          <w:rFonts w:eastAsia="Guttman Hodes" w:hint="cs"/>
          <w:rtl/>
        </w:rPr>
        <w:t xml:space="preserve"> </w:t>
      </w:r>
      <w:r w:rsidRPr="007E0C12">
        <w:rPr>
          <w:rFonts w:hint="cs"/>
          <w:rtl/>
        </w:rPr>
        <w:t xml:space="preserve">כתב דריו"ח ס"ל כרבא דטעם כעיקר דרבנן, וכן </w:t>
      </w:r>
      <w:r w:rsidRPr="009801B6">
        <w:rPr>
          <w:rStyle w:val="af8"/>
          <w:rFonts w:hint="cs"/>
          <w:rtl/>
        </w:rPr>
        <w:t>התוס'</w:t>
      </w:r>
      <w:r w:rsidRPr="007E0C12">
        <w:rPr>
          <w:rFonts w:hint="cs"/>
          <w:rtl/>
        </w:rPr>
        <w:t xml:space="preserve"> </w:t>
      </w:r>
      <w:r w:rsidRPr="009801B6">
        <w:rPr>
          <w:rStyle w:val="af6"/>
          <w:rFonts w:eastAsia="Guttman Hodes" w:hint="cs"/>
          <w:rtl/>
        </w:rPr>
        <w:t xml:space="preserve">(עי' אות </w:t>
      </w:r>
      <w:r w:rsidRPr="009801B6">
        <w:rPr>
          <w:rStyle w:val="af6"/>
          <w:rFonts w:eastAsia="Guttman Hodes"/>
          <w:rtl/>
        </w:rPr>
        <w:fldChar w:fldCharType="begin"/>
      </w:r>
      <w:r w:rsidRPr="009801B6">
        <w:rPr>
          <w:rStyle w:val="af6"/>
          <w:rFonts w:eastAsia="Guttman Hodes"/>
          <w:rtl/>
        </w:rPr>
        <w:instrText xml:space="preserve"> </w:instrText>
      </w:r>
      <w:r w:rsidRPr="009801B6">
        <w:rPr>
          <w:rStyle w:val="af6"/>
          <w:rFonts w:eastAsia="Guttman Hodes" w:hint="cs"/>
        </w:rPr>
        <w:instrText>REF</w:instrText>
      </w:r>
      <w:r w:rsidRPr="009801B6">
        <w:rPr>
          <w:rStyle w:val="af6"/>
          <w:rFonts w:eastAsia="Guttman Hodes" w:hint="cs"/>
          <w:rtl/>
        </w:rPr>
        <w:instrText xml:space="preserve"> _</w:instrText>
      </w:r>
      <w:r w:rsidRPr="009801B6">
        <w:rPr>
          <w:rStyle w:val="af6"/>
          <w:rFonts w:eastAsia="Guttman Hodes" w:hint="cs"/>
        </w:rPr>
        <w:instrText>Ref13661830 \r \h</w:instrText>
      </w:r>
      <w:r w:rsidRPr="009801B6">
        <w:rPr>
          <w:rStyle w:val="af6"/>
          <w:rFonts w:eastAsia="Guttman Hodes"/>
          <w:rtl/>
        </w:rPr>
        <w:instrText xml:space="preserve"> </w:instrText>
      </w:r>
      <w:r w:rsidRPr="009801B6">
        <w:rPr>
          <w:rStyle w:val="af6"/>
          <w:rFonts w:eastAsia="Guttman Hodes"/>
          <w:rtl/>
        </w:rPr>
      </w:r>
      <w:r w:rsidRPr="009801B6">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9801B6">
        <w:rPr>
          <w:rStyle w:val="af6"/>
          <w:rFonts w:eastAsia="Guttman Hodes"/>
          <w:rtl/>
        </w:rPr>
        <w:fldChar w:fldCharType="end"/>
      </w:r>
      <w:r>
        <w:rPr>
          <w:rFonts w:hint="cs"/>
          <w:rtl/>
        </w:rPr>
        <w:t xml:space="preserve"> </w:t>
      </w:r>
      <w:r w:rsidRPr="007E0C12">
        <w:rPr>
          <w:rFonts w:hint="cs"/>
          <w:rtl/>
        </w:rPr>
        <w:t xml:space="preserve">ביארו את דברי ריו"ח לשיטתם דטעם כעיקר דרבנן, ואילו לביאור </w:t>
      </w:r>
      <w:r w:rsidRPr="007E0C12">
        <w:rPr>
          <w:rStyle w:val="af8"/>
          <w:rFonts w:hint="cs"/>
          <w:rtl/>
        </w:rPr>
        <w:t>הר"ן</w:t>
      </w:r>
      <w:r w:rsidRPr="007E0C12">
        <w:rPr>
          <w:rFonts w:hint="cs"/>
          <w:rtl/>
        </w:rPr>
        <w:t xml:space="preserve"> דברי ריו"ח לא שייכי לדין טעם כעיקר כלל, ואינו שייך לפלוגתת </w:t>
      </w:r>
      <w:r w:rsidRPr="007E0C12">
        <w:rPr>
          <w:rStyle w:val="af8"/>
          <w:rFonts w:hint="cs"/>
          <w:rtl/>
        </w:rPr>
        <w:t>רש"י ותוס'</w:t>
      </w:r>
      <w:r w:rsidRPr="007E0C12">
        <w:rPr>
          <w:rFonts w:hint="cs"/>
          <w:rtl/>
        </w:rPr>
        <w:t xml:space="preserve">, </w:t>
      </w:r>
      <w:r w:rsidRPr="007E0C12">
        <w:rPr>
          <w:rStyle w:val="afa"/>
          <w:rFonts w:hint="cs"/>
          <w:rtl/>
        </w:rPr>
        <w:t xml:space="preserve">[וכתב </w:t>
      </w:r>
      <w:r w:rsidRPr="007E0C12">
        <w:rPr>
          <w:rStyle w:val="affa"/>
          <w:rFonts w:hint="cs"/>
          <w:rtl/>
        </w:rPr>
        <w:t>הב"י</w:t>
      </w:r>
      <w:r w:rsidRPr="007E0C12">
        <w:rPr>
          <w:rStyle w:val="afa"/>
          <w:rFonts w:hint="cs"/>
          <w:rtl/>
        </w:rPr>
        <w:t xml:space="preserve"> דאפש"ל דכוונת </w:t>
      </w:r>
      <w:r w:rsidRPr="007E0C12">
        <w:rPr>
          <w:rStyle w:val="affa"/>
          <w:rFonts w:hint="cs"/>
          <w:rtl/>
        </w:rPr>
        <w:t>הר"ן</w:t>
      </w:r>
      <w:r w:rsidRPr="007E0C12">
        <w:rPr>
          <w:rStyle w:val="afa"/>
          <w:rFonts w:hint="cs"/>
          <w:rtl/>
        </w:rPr>
        <w:t xml:space="preserve"> כביאור </w:t>
      </w:r>
      <w:r w:rsidRPr="007E0C12">
        <w:rPr>
          <w:rStyle w:val="affa"/>
          <w:rFonts w:hint="cs"/>
          <w:rtl/>
        </w:rPr>
        <w:t>הב"י</w:t>
      </w:r>
      <w:r w:rsidRPr="007E0C12">
        <w:rPr>
          <w:rStyle w:val="afa"/>
          <w:rFonts w:hint="cs"/>
          <w:rtl/>
        </w:rPr>
        <w:t xml:space="preserve"> </w:t>
      </w:r>
      <w:r w:rsidRPr="007E0C12">
        <w:rPr>
          <w:rStyle w:val="aff6"/>
          <w:rFonts w:hint="cs"/>
          <w:rtl/>
        </w:rPr>
        <w:t xml:space="preserve">(עי' אות </w:t>
      </w:r>
      <w:r w:rsidRPr="007E0C12">
        <w:rPr>
          <w:rStyle w:val="aff6"/>
          <w:rtl/>
        </w:rPr>
        <w:fldChar w:fldCharType="begin"/>
      </w:r>
      <w:r w:rsidRPr="007E0C12">
        <w:rPr>
          <w:rStyle w:val="aff6"/>
          <w:rtl/>
        </w:rPr>
        <w:instrText xml:space="preserve"> </w:instrText>
      </w:r>
      <w:r w:rsidRPr="007E0C12">
        <w:rPr>
          <w:rStyle w:val="aff6"/>
          <w:rFonts w:hint="cs"/>
        </w:rPr>
        <w:instrText>REF</w:instrText>
      </w:r>
      <w:r w:rsidRPr="007E0C12">
        <w:rPr>
          <w:rStyle w:val="aff6"/>
          <w:rFonts w:hint="cs"/>
          <w:rtl/>
        </w:rPr>
        <w:instrText xml:space="preserve"> _</w:instrText>
      </w:r>
      <w:r w:rsidRPr="007E0C12">
        <w:rPr>
          <w:rStyle w:val="aff6"/>
          <w:rFonts w:hint="cs"/>
        </w:rPr>
        <w:instrText>Ref13085515 \r \h</w:instrText>
      </w:r>
      <w:r w:rsidRPr="007E0C12">
        <w:rPr>
          <w:rStyle w:val="aff6"/>
          <w:rtl/>
        </w:rPr>
        <w:instrText xml:space="preserve">  \* </w:instrText>
      </w:r>
      <w:r w:rsidRPr="007E0C12">
        <w:rPr>
          <w:rStyle w:val="aff6"/>
        </w:rPr>
        <w:instrText>MERGEFORMAT</w:instrText>
      </w:r>
      <w:r w:rsidRPr="007E0C12">
        <w:rPr>
          <w:rStyle w:val="aff6"/>
          <w:rtl/>
        </w:rPr>
        <w:instrText xml:space="preserve"> </w:instrText>
      </w:r>
      <w:r w:rsidRPr="007E0C12">
        <w:rPr>
          <w:rStyle w:val="aff6"/>
          <w:rtl/>
        </w:rPr>
      </w:r>
      <w:r w:rsidRPr="007E0C12">
        <w:rPr>
          <w:rStyle w:val="aff6"/>
          <w:rtl/>
        </w:rPr>
        <w:fldChar w:fldCharType="separate"/>
      </w:r>
      <w:r w:rsidR="004D1C5B">
        <w:rPr>
          <w:rStyle w:val="aff6"/>
          <w:cs/>
        </w:rPr>
        <w:t>‎</w:t>
      </w:r>
      <w:r w:rsidR="004D1C5B">
        <w:rPr>
          <w:rStyle w:val="aff6"/>
          <w:rtl/>
        </w:rPr>
        <w:t>פ)</w:t>
      </w:r>
      <w:r w:rsidRPr="007E0C12">
        <w:rPr>
          <w:rStyle w:val="aff6"/>
          <w:rtl/>
        </w:rPr>
        <w:fldChar w:fldCharType="end"/>
      </w:r>
      <w:r w:rsidRPr="007E0C12">
        <w:rPr>
          <w:rStyle w:val="afa"/>
          <w:rFonts w:hint="cs"/>
          <w:rtl/>
        </w:rPr>
        <w:t xml:space="preserve"> בדברי </w:t>
      </w:r>
      <w:r w:rsidRPr="007E0C12">
        <w:rPr>
          <w:rStyle w:val="affa"/>
          <w:rFonts w:hint="cs"/>
          <w:rtl/>
        </w:rPr>
        <w:t>הרשב"א</w:t>
      </w:r>
      <w:r w:rsidRPr="007E0C12">
        <w:rPr>
          <w:rStyle w:val="afa"/>
          <w:rFonts w:hint="cs"/>
          <w:rtl/>
        </w:rPr>
        <w:t xml:space="preserve"> דכשגוף האיסור מחוי בתערובת, חשיב שמעורב בה רק טעמו ולא ממשו, אך דחה </w:t>
      </w:r>
      <w:r w:rsidRPr="007E0C12">
        <w:rPr>
          <w:rStyle w:val="affa"/>
          <w:rFonts w:hint="cs"/>
          <w:rtl/>
        </w:rPr>
        <w:t>הב"י</w:t>
      </w:r>
      <w:r w:rsidRPr="007E0C12">
        <w:rPr>
          <w:rStyle w:val="afa"/>
          <w:rFonts w:hint="cs"/>
          <w:rtl/>
        </w:rPr>
        <w:t xml:space="preserve"> דאי"ז משמע בדברי </w:t>
      </w:r>
      <w:r w:rsidRPr="007E0C12">
        <w:rPr>
          <w:rStyle w:val="affa"/>
          <w:rFonts w:hint="cs"/>
          <w:rtl/>
        </w:rPr>
        <w:t>הר"ן</w:t>
      </w:r>
      <w:bookmarkEnd w:id="5974"/>
      <w:r w:rsidRPr="007E0C12">
        <w:rPr>
          <w:rStyle w:val="afa"/>
          <w:rFonts w:hint="cs"/>
          <w:rtl/>
        </w:rPr>
        <w:t xml:space="preserve">], </w:t>
      </w:r>
      <w:r w:rsidRPr="007E0C12">
        <w:rPr>
          <w:rFonts w:hint="cs"/>
          <w:rtl/>
        </w:rPr>
        <w:t xml:space="preserve">וכתב </w:t>
      </w:r>
      <w:r w:rsidRPr="007E0C12">
        <w:rPr>
          <w:rStyle w:val="af8"/>
          <w:rFonts w:hint="cs"/>
          <w:rtl/>
        </w:rPr>
        <w:t>הב"י</w:t>
      </w:r>
      <w:r w:rsidRPr="007E0C12">
        <w:rPr>
          <w:rFonts w:hint="cs"/>
          <w:rtl/>
        </w:rPr>
        <w:t xml:space="preserve"> דלפי דבריו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Ref13084912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7E0C12">
        <w:rPr>
          <w:rStyle w:val="af6"/>
          <w:rFonts w:eastAsia="Guttman Hodes"/>
          <w:rtl/>
        </w:rPr>
        <w:fldChar w:fldCharType="end"/>
      </w:r>
      <w:r w:rsidRPr="007E0C12">
        <w:rPr>
          <w:rStyle w:val="af6"/>
          <w:rFonts w:eastAsia="Guttman Hodes" w:hint="cs"/>
          <w:rtl/>
        </w:rPr>
        <w:t xml:space="preserve"> </w:t>
      </w:r>
      <w:r w:rsidRPr="007E0C12">
        <w:rPr>
          <w:rFonts w:hint="cs"/>
          <w:rtl/>
        </w:rPr>
        <w:t xml:space="preserve">דאין חילוק בין אם התערב טעמו של האיסור, לבין אם התערב גופו של האיסור, ואין בו כזית בכדי אכילת פרס, מיושב היטב. </w:t>
      </w:r>
      <w:r w:rsidRPr="007E0C12">
        <w:rPr>
          <w:rStyle w:val="afa"/>
          <w:rFonts w:hint="cs"/>
          <w:rtl/>
        </w:rPr>
        <w:t>[דאף דריו"ח איירי בהתערב גופו של איסור, מ"מ כשאין כזית בכדי אכילת פרס, נקרא טעמו ולא ממשו].</w:t>
      </w:r>
    </w:p>
    <w:p w:rsidR="009A0058" w:rsidRPr="007E0C12" w:rsidRDefault="009A0058" w:rsidP="009A0058">
      <w:pPr>
        <w:pStyle w:val="a2"/>
        <w:rPr>
          <w:rtl/>
        </w:rPr>
      </w:pPr>
      <w:bookmarkStart w:id="5975" w:name="_Toc13603165"/>
      <w:bookmarkStart w:id="5976" w:name="_Toc13603268"/>
      <w:bookmarkStart w:id="5977" w:name="_Toc13657811"/>
      <w:bookmarkStart w:id="5978" w:name="_Toc13663971"/>
      <w:bookmarkStart w:id="5979" w:name="_Toc13244682"/>
      <w:bookmarkStart w:id="5980" w:name="_Toc13396628"/>
      <w:bookmarkStart w:id="5981" w:name="_Toc13418656"/>
      <w:bookmarkStart w:id="5982" w:name="_Toc13516489"/>
      <w:bookmarkStart w:id="5983" w:name="_Toc13562577"/>
      <w:bookmarkStart w:id="5984" w:name="_Toc13568564"/>
      <w:r w:rsidRPr="007E0C12">
        <w:rPr>
          <w:rFonts w:hint="cs"/>
          <w:rtl/>
        </w:rPr>
        <w:t>ביאור הב"ח והפר"ח דכוונת הר"ן לומר דבטעמו וממשו אסור מדאו' בפחות מכזית בכא"פ</w:t>
      </w:r>
      <w:bookmarkEnd w:id="5975"/>
      <w:bookmarkEnd w:id="5976"/>
      <w:bookmarkEnd w:id="5977"/>
      <w:bookmarkEnd w:id="5978"/>
      <w:r w:rsidRPr="007E0C12">
        <w:rPr>
          <w:rFonts w:hint="cs"/>
          <w:rtl/>
        </w:rPr>
        <w:t xml:space="preserve"> </w:t>
      </w:r>
    </w:p>
    <w:p w:rsidR="009A0058" w:rsidRPr="007E0C12" w:rsidRDefault="009A0058" w:rsidP="009F44AF">
      <w:pPr>
        <w:pStyle w:val="a"/>
        <w:rPr>
          <w:rtl/>
        </w:rPr>
      </w:pPr>
      <w:r w:rsidRPr="007E0C12">
        <w:rPr>
          <w:rFonts w:hint="cs"/>
          <w:rtl/>
        </w:rPr>
        <w:t xml:space="preserve">ותירצו </w:t>
      </w:r>
      <w:r w:rsidRPr="007E0C12">
        <w:rPr>
          <w:rStyle w:val="af8"/>
          <w:rFonts w:hint="cs"/>
          <w:rtl/>
        </w:rPr>
        <w:t>הב"ח</w:t>
      </w:r>
      <w:r w:rsidRPr="007E0C12">
        <w:rPr>
          <w:rFonts w:hint="cs"/>
          <w:rtl/>
        </w:rPr>
        <w:t xml:space="preserve"> </w:t>
      </w:r>
      <w:r w:rsidRPr="007E0C12">
        <w:rPr>
          <w:rStyle w:val="af6"/>
          <w:rFonts w:eastAsia="Guttman Hodes" w:hint="cs"/>
          <w:rtl/>
        </w:rPr>
        <w:t xml:space="preserve">(סי צ"ח ו' ד"ה והר"ן) </w:t>
      </w:r>
      <w:r w:rsidRPr="007E0C12">
        <w:rPr>
          <w:rStyle w:val="af8"/>
          <w:rFonts w:hint="cs"/>
          <w:rtl/>
        </w:rPr>
        <w:t>והפר"ח</w:t>
      </w:r>
      <w:r w:rsidRPr="007E0C12">
        <w:rPr>
          <w:rFonts w:hint="cs"/>
          <w:rtl/>
        </w:rPr>
        <w:t xml:space="preserve"> </w:t>
      </w:r>
      <w:r w:rsidRPr="007E0C12">
        <w:rPr>
          <w:rStyle w:val="af6"/>
          <w:rFonts w:eastAsia="Guttman Hodes" w:hint="cs"/>
          <w:rtl/>
        </w:rPr>
        <w:t xml:space="preserve">(או"ח סי' תמ"ב סק"א ד"ה וכן דעת הר"ן) </w:t>
      </w:r>
      <w:r w:rsidRPr="007E0C12">
        <w:rPr>
          <w:rStyle w:val="af8"/>
          <w:rFonts w:hint="cs"/>
          <w:rtl/>
        </w:rPr>
        <w:t>והמעדני יו"ט</w:t>
      </w:r>
      <w:r w:rsidRPr="007E0C12">
        <w:rPr>
          <w:rFonts w:hint="cs"/>
          <w:rtl/>
        </w:rPr>
        <w:t xml:space="preserve"> </w:t>
      </w:r>
      <w:r w:rsidRPr="007E0C12">
        <w:rPr>
          <w:rStyle w:val="af6"/>
          <w:rFonts w:eastAsia="Guttman Hodes" w:hint="cs"/>
          <w:rtl/>
        </w:rPr>
        <w:t>(על הרא"ש סי' ל"א אות ד')</w:t>
      </w:r>
      <w:r w:rsidRPr="007E0C12">
        <w:rPr>
          <w:rFonts w:hint="cs"/>
          <w:rtl/>
        </w:rPr>
        <w:t xml:space="preserve"> את קושית </w:t>
      </w:r>
      <w:r w:rsidRPr="007E0C12">
        <w:rPr>
          <w:rStyle w:val="af8"/>
          <w:rFonts w:hint="cs"/>
          <w:rtl/>
        </w:rPr>
        <w:t>הב"י</w:t>
      </w:r>
      <w:r w:rsidRPr="007E0C12">
        <w:rPr>
          <w:rFonts w:hint="cs"/>
          <w:rtl/>
        </w:rPr>
        <w:t xml:space="preserve"> דמ"ש </w:t>
      </w:r>
      <w:r w:rsidRPr="007E0C12">
        <w:rPr>
          <w:rStyle w:val="af8"/>
          <w:rFonts w:hint="cs"/>
          <w:rtl/>
        </w:rPr>
        <w:t>הר"ן</w:t>
      </w:r>
      <w:r w:rsidRPr="007E0C12">
        <w:rPr>
          <w:rFonts w:hint="cs"/>
          <w:rtl/>
        </w:rPr>
        <w:t xml:space="preserve"> דבמקום שאין כזית בכדי אכילת פרס דאסור מדאו' ואין לוקין עליו, אין כוונתו לסיפא של דברי ריו"ח בטעמו ולא ממשו, אלא דדייק </w:t>
      </w:r>
      <w:r w:rsidRPr="007E0C12">
        <w:rPr>
          <w:rStyle w:val="af8"/>
          <w:rFonts w:hint="cs"/>
          <w:rtl/>
        </w:rPr>
        <w:t>הר"ן</w:t>
      </w:r>
      <w:r w:rsidRPr="007E0C12">
        <w:rPr>
          <w:rFonts w:hint="cs"/>
          <w:rtl/>
        </w:rPr>
        <w:t xml:space="preserve"> </w:t>
      </w:r>
      <w:r w:rsidRPr="007E0C12">
        <w:rPr>
          <w:rFonts w:hint="cs"/>
          <w:rtl/>
        </w:rPr>
        <w:lastRenderedPageBreak/>
        <w:t xml:space="preserve">כן מהרישא של ריו"ח דהא דבטעמו וממשו לוקין עליו, והיינו כשיש כזית בכדי אכילת פרס, א"כ משמע דבטעמו וממשו שאין כזית בכדי אכילת פרס, אסור מדאו' אך אין בו מלקות, והיינו </w:t>
      </w:r>
      <w:r w:rsidRPr="007E0C12">
        <w:rPr>
          <w:rtl/>
        </w:rPr>
        <w:t>חֵלֶב</w:t>
      </w:r>
      <w:r w:rsidRPr="007E0C12">
        <w:rPr>
          <w:rFonts w:hint="cs"/>
          <w:rtl/>
        </w:rPr>
        <w:t xml:space="preserve"> שלא נימוח וכדו' דאסור מדאו' ואף באלף לא בטיל, אך באין בו כזית בכדי אכילת פרס אין לוקין עליו.</w:t>
      </w:r>
    </w:p>
    <w:p w:rsidR="009A0058" w:rsidRPr="007E0C12" w:rsidRDefault="009A0058" w:rsidP="009A0058">
      <w:pPr>
        <w:pStyle w:val="a2"/>
      </w:pPr>
      <w:bookmarkStart w:id="5985" w:name="_Toc13603166"/>
      <w:bookmarkStart w:id="5986" w:name="_Toc13603269"/>
      <w:bookmarkStart w:id="5987" w:name="_Toc13657812"/>
      <w:bookmarkStart w:id="5988" w:name="_Toc13663972"/>
      <w:r w:rsidRPr="007E0C12">
        <w:rPr>
          <w:rFonts w:hint="cs"/>
          <w:rtl/>
        </w:rPr>
        <w:t>ביאור הב"ח והפר"ח דמ"ש הר"ן דנח' רש"י ותוס' בטעם כעיקר כך ביאר בריו"ח טעמו ולא ממשו</w:t>
      </w:r>
      <w:bookmarkEnd w:id="5985"/>
      <w:bookmarkEnd w:id="5986"/>
      <w:bookmarkEnd w:id="5987"/>
      <w:bookmarkEnd w:id="5988"/>
    </w:p>
    <w:p w:rsidR="009A0058" w:rsidRPr="007E0C12" w:rsidRDefault="009A0058" w:rsidP="009F44AF">
      <w:pPr>
        <w:pStyle w:val="a"/>
        <w:rPr>
          <w:rtl/>
        </w:rPr>
      </w:pPr>
      <w:r w:rsidRPr="007E0C12">
        <w:rPr>
          <w:rFonts w:hint="cs"/>
          <w:rtl/>
        </w:rPr>
        <w:t xml:space="preserve">ובמה שכתב </w:t>
      </w:r>
      <w:r w:rsidRPr="007E0C12">
        <w:rPr>
          <w:rStyle w:val="af8"/>
          <w:rFonts w:hint="cs"/>
          <w:rtl/>
        </w:rPr>
        <w:t xml:space="preserve">הר"ן </w:t>
      </w:r>
      <w:r w:rsidRPr="007E0C12">
        <w:rPr>
          <w:rFonts w:hint="cs"/>
          <w:rtl/>
        </w:rPr>
        <w:t>דנחלקו ר</w:t>
      </w:r>
      <w:r w:rsidRPr="007E0C12">
        <w:rPr>
          <w:rStyle w:val="af8"/>
          <w:rFonts w:hint="cs"/>
          <w:rtl/>
        </w:rPr>
        <w:t xml:space="preserve">"ת ורש"י </w:t>
      </w:r>
      <w:r w:rsidRPr="007E0C12">
        <w:rPr>
          <w:rFonts w:hint="cs"/>
          <w:rtl/>
        </w:rPr>
        <w:t xml:space="preserve">בטעם כעיקר, ביארו </w:t>
      </w:r>
      <w:r w:rsidRPr="007E0C12">
        <w:rPr>
          <w:rStyle w:val="af8"/>
          <w:rFonts w:hint="cs"/>
          <w:rtl/>
        </w:rPr>
        <w:t xml:space="preserve">הב"ח והפר"ח והמעדני יו"ט </w:t>
      </w:r>
      <w:r w:rsidRPr="007E0C12">
        <w:rPr>
          <w:rFonts w:hint="cs"/>
          <w:rtl/>
        </w:rPr>
        <w:t>היינו במקום שאין את ממשו, אלא רק את טעמו, דכך ביאר</w:t>
      </w:r>
      <w:r w:rsidRPr="007E0C12">
        <w:rPr>
          <w:rStyle w:val="af8"/>
          <w:rFonts w:hint="cs"/>
          <w:rtl/>
        </w:rPr>
        <w:t xml:space="preserve"> הר"ן </w:t>
      </w:r>
      <w:r w:rsidRPr="007E0C12">
        <w:rPr>
          <w:rFonts w:hint="cs"/>
          <w:rtl/>
        </w:rPr>
        <w:t>את הסיפא של ריו"ח בטעמו ולא ממשו, דלא איירי כלל כשמעורב בו גוף האיסור, ויש בו רק את טעמו.</w:t>
      </w:r>
    </w:p>
    <w:p w:rsidR="009A0058" w:rsidRPr="007E0C12" w:rsidRDefault="009A0058" w:rsidP="009A0058">
      <w:pPr>
        <w:pStyle w:val="a2"/>
        <w:rPr>
          <w:rtl/>
        </w:rPr>
      </w:pPr>
      <w:bookmarkStart w:id="5989" w:name="_Toc13603167"/>
      <w:bookmarkStart w:id="5990" w:name="_Toc13603270"/>
      <w:bookmarkStart w:id="5991" w:name="_Toc13657813"/>
      <w:bookmarkStart w:id="5992" w:name="_Toc13663973"/>
      <w:r w:rsidRPr="007E0C12">
        <w:rPr>
          <w:rFonts w:hint="cs"/>
          <w:rtl/>
        </w:rPr>
        <w:t>דברי הב"ח והמעדני יו"ט דכן מפורש בר"ן בע"ז דפחות מכזית בכא"פ הוא מדין טעמו וממשו</w:t>
      </w:r>
      <w:bookmarkEnd w:id="5989"/>
      <w:bookmarkEnd w:id="5990"/>
      <w:bookmarkEnd w:id="5991"/>
      <w:bookmarkEnd w:id="5992"/>
    </w:p>
    <w:p w:rsidR="009A0058" w:rsidRDefault="009A0058" w:rsidP="009F44AF">
      <w:pPr>
        <w:pStyle w:val="a"/>
        <w:rPr>
          <w:rtl/>
        </w:rPr>
      </w:pPr>
      <w:r w:rsidRPr="007E0C12">
        <w:rPr>
          <w:rFonts w:hint="cs"/>
          <w:rtl/>
        </w:rPr>
        <w:t xml:space="preserve">וכתבו </w:t>
      </w:r>
      <w:r w:rsidRPr="007E0C12">
        <w:rPr>
          <w:rStyle w:val="af8"/>
          <w:rFonts w:hint="cs"/>
          <w:rtl/>
        </w:rPr>
        <w:t>הב"ח והמעדני יו"ט</w:t>
      </w:r>
      <w:r w:rsidRPr="007E0C12">
        <w:rPr>
          <w:rFonts w:hint="cs"/>
          <w:rtl/>
        </w:rPr>
        <w:t xml:space="preserve"> דכן מבואר בדברי </w:t>
      </w:r>
      <w:r w:rsidRPr="007E0C12">
        <w:rPr>
          <w:rStyle w:val="af8"/>
          <w:rFonts w:hint="cs"/>
          <w:rtl/>
        </w:rPr>
        <w:t>הר"ן על הרי"ף בע"ז</w:t>
      </w:r>
      <w:r w:rsidRPr="007E0C12">
        <w:rPr>
          <w:rFonts w:hint="cs"/>
          <w:rtl/>
        </w:rPr>
        <w:t xml:space="preserve"> </w:t>
      </w:r>
      <w:r w:rsidRPr="007E0C12">
        <w:rPr>
          <w:rStyle w:val="af6"/>
          <w:rFonts w:eastAsia="Guttman Hodes" w:hint="cs"/>
          <w:rtl/>
        </w:rPr>
        <w:t>(לב: מדפי הרי"ף ד"ה טעמו)</w:t>
      </w:r>
      <w:r w:rsidRPr="007E0C12">
        <w:rPr>
          <w:rFonts w:hint="cs"/>
          <w:rtl/>
        </w:rPr>
        <w:t xml:space="preserve"> דכתב על הסיפא דריו"ח בטעמו ולא ממשו, דנחלקו בזה המפרשים בטעמו ולא ממשו, דהיינו טעם כעיקר אי אסור מדאו' או מדרבנן, וציין </w:t>
      </w:r>
      <w:r w:rsidRPr="007E0C12">
        <w:rPr>
          <w:rStyle w:val="af8"/>
          <w:rFonts w:hint="cs"/>
          <w:rtl/>
        </w:rPr>
        <w:t>הר"ן בע"ז</w:t>
      </w:r>
      <w:r w:rsidRPr="007E0C12">
        <w:rPr>
          <w:rFonts w:hint="cs"/>
          <w:rtl/>
        </w:rPr>
        <w:t xml:space="preserve"> לדבריו בסוגיין, וכתב </w:t>
      </w:r>
      <w:r w:rsidRPr="007E0C12">
        <w:rPr>
          <w:rStyle w:val="af8"/>
          <w:rFonts w:hint="cs"/>
          <w:rtl/>
        </w:rPr>
        <w:t>המעדני יו"ט</w:t>
      </w:r>
      <w:r w:rsidRPr="007E0C12">
        <w:rPr>
          <w:rFonts w:hint="cs"/>
          <w:rtl/>
        </w:rPr>
        <w:t xml:space="preserve"> דמוכח כדבריו דרק הסיפא דריו"ח שייכא לדין טעם כעיקר, אבל מ"ש </w:t>
      </w:r>
      <w:r w:rsidRPr="007E0C12">
        <w:rPr>
          <w:rStyle w:val="af8"/>
          <w:rFonts w:hint="cs"/>
          <w:rtl/>
        </w:rPr>
        <w:t>הר"ן</w:t>
      </w:r>
      <w:r w:rsidRPr="007E0C12">
        <w:rPr>
          <w:rFonts w:hint="cs"/>
          <w:rtl/>
        </w:rPr>
        <w:t xml:space="preserve"> דבממשו שאין כזית בכדי אכילת פרס אין לוקין עליו, למד </w:t>
      </w:r>
      <w:r w:rsidRPr="007E0C12">
        <w:rPr>
          <w:rStyle w:val="af8"/>
          <w:rFonts w:hint="cs"/>
          <w:rtl/>
        </w:rPr>
        <w:t>הר"ן</w:t>
      </w:r>
      <w:r w:rsidRPr="007E0C12">
        <w:rPr>
          <w:rFonts w:hint="cs"/>
          <w:rtl/>
        </w:rPr>
        <w:t xml:space="preserve"> כן מהרישא דריו"ח דבטעמו וממשו, כשאין כזית בכדי אכילת פרס אין לוקין עליו.</w:t>
      </w:r>
    </w:p>
    <w:p w:rsidR="009A0058" w:rsidRPr="007E0C12" w:rsidRDefault="009A0058" w:rsidP="009A0058">
      <w:pPr>
        <w:pStyle w:val="a2"/>
        <w:rPr>
          <w:rtl/>
        </w:rPr>
      </w:pPr>
      <w:bookmarkStart w:id="5993" w:name="_Toc13603168"/>
      <w:bookmarkStart w:id="5994" w:name="_Toc13603271"/>
      <w:bookmarkStart w:id="5995" w:name="_Toc13657814"/>
      <w:bookmarkStart w:id="5996" w:name="_Toc13663974"/>
      <w:r w:rsidRPr="007E0C12">
        <w:rPr>
          <w:rFonts w:hint="cs"/>
          <w:rtl/>
        </w:rPr>
        <w:t>קושית הב"ח על הר"ן דלרש"י טעמו וממשו הוא דוקא באיסור בעין שאינו ניכר ולא בנימוח</w:t>
      </w:r>
      <w:bookmarkEnd w:id="5993"/>
      <w:bookmarkEnd w:id="5994"/>
      <w:bookmarkEnd w:id="5995"/>
      <w:bookmarkEnd w:id="5996"/>
      <w:r w:rsidRPr="007E0C12">
        <w:rPr>
          <w:rFonts w:hint="cs"/>
          <w:rtl/>
        </w:rPr>
        <w:t xml:space="preserve">  </w:t>
      </w:r>
    </w:p>
    <w:p w:rsidR="009A0058" w:rsidRPr="007E0C12" w:rsidRDefault="009A0058" w:rsidP="009F44AF">
      <w:pPr>
        <w:pStyle w:val="a"/>
        <w:rPr>
          <w:rtl/>
        </w:rPr>
      </w:pPr>
      <w:r w:rsidRPr="007E0C12">
        <w:rPr>
          <w:rFonts w:hint="cs"/>
          <w:rtl/>
        </w:rPr>
        <w:t xml:space="preserve">אך הקשה </w:t>
      </w:r>
      <w:r w:rsidRPr="007E0C12">
        <w:rPr>
          <w:rStyle w:val="af8"/>
          <w:rFonts w:hint="cs"/>
          <w:rtl/>
        </w:rPr>
        <w:t>הב"ח</w:t>
      </w:r>
      <w:r w:rsidRPr="007E0C12">
        <w:rPr>
          <w:rFonts w:hint="cs"/>
          <w:rtl/>
        </w:rPr>
        <w:t xml:space="preserve"> על </w:t>
      </w:r>
      <w:r w:rsidRPr="007E0C12">
        <w:rPr>
          <w:rStyle w:val="af8"/>
          <w:rFonts w:hint="cs"/>
          <w:rtl/>
        </w:rPr>
        <w:t>הר"ן</w:t>
      </w:r>
      <w:r w:rsidRPr="007E0C12">
        <w:rPr>
          <w:rFonts w:hint="cs"/>
          <w:rtl/>
        </w:rPr>
        <w:t xml:space="preserve"> דהרי </w:t>
      </w:r>
      <w:r w:rsidRPr="007E0C12">
        <w:rPr>
          <w:rStyle w:val="af8"/>
          <w:rFonts w:hint="cs"/>
          <w:rtl/>
        </w:rPr>
        <w:t>רש"י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Ref12961369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7E0C12">
        <w:rPr>
          <w:rStyle w:val="af6"/>
          <w:rFonts w:eastAsia="Guttman Hodes"/>
          <w:rtl/>
        </w:rPr>
        <w:fldChar w:fldCharType="end"/>
      </w:r>
      <w:r w:rsidRPr="007E0C12">
        <w:rPr>
          <w:rFonts w:hint="cs"/>
          <w:rtl/>
        </w:rPr>
        <w:t xml:space="preserve"> כתב להדיא דטעמו ולא ממשו היינו כשהאיסור נימוח ואין ממשו בעין, ומבואר דאף שגוף האיסור נימוח ס"ל </w:t>
      </w:r>
      <w:r w:rsidRPr="007E0C12">
        <w:rPr>
          <w:rStyle w:val="af8"/>
          <w:rFonts w:hint="cs"/>
          <w:rtl/>
        </w:rPr>
        <w:t>לרש"י</w:t>
      </w:r>
      <w:r w:rsidRPr="007E0C12">
        <w:rPr>
          <w:rFonts w:hint="cs"/>
          <w:rtl/>
        </w:rPr>
        <w:t xml:space="preserve"> דהוא אסור רק מדרבנן, וטעמו וממשו דאסור מדאו' היינו כשממשו של האיסור בעין ולא נימוח, אלא שאינו ניכר, וכתב </w:t>
      </w:r>
      <w:r w:rsidRPr="007E0C12">
        <w:rPr>
          <w:rStyle w:val="af8"/>
          <w:rFonts w:hint="cs"/>
          <w:rtl/>
        </w:rPr>
        <w:t>הב"ח</w:t>
      </w:r>
      <w:r w:rsidRPr="007E0C12">
        <w:rPr>
          <w:rFonts w:hint="cs"/>
          <w:rtl/>
        </w:rPr>
        <w:t xml:space="preserve"> דמבואר </w:t>
      </w:r>
      <w:r w:rsidRPr="007E0C12">
        <w:rPr>
          <w:rStyle w:val="af8"/>
          <w:rFonts w:hint="cs"/>
          <w:rtl/>
        </w:rPr>
        <w:t>בר"ן</w:t>
      </w:r>
      <w:r w:rsidRPr="007E0C12">
        <w:rPr>
          <w:rFonts w:hint="cs"/>
          <w:rtl/>
        </w:rPr>
        <w:t xml:space="preserve"> דס"ל דא"א לבאר כן בדברי ריו"ח דהוכיח </w:t>
      </w:r>
      <w:r w:rsidRPr="007E0C12">
        <w:rPr>
          <w:rStyle w:val="af8"/>
          <w:rFonts w:hint="cs"/>
          <w:rtl/>
        </w:rPr>
        <w:t>הר"ן</w:t>
      </w:r>
      <w:r w:rsidRPr="007E0C12">
        <w:rPr>
          <w:rFonts w:hint="cs"/>
          <w:rtl/>
        </w:rPr>
        <w:t xml:space="preserve"> מדברי רבא בזבחים </w:t>
      </w:r>
      <w:r w:rsidRPr="007E0C12">
        <w:rPr>
          <w:rStyle w:val="af6"/>
          <w:rFonts w:eastAsia="Guttman Hodes" w:hint="cs"/>
          <w:rtl/>
        </w:rPr>
        <w:t>(עט.)</w:t>
      </w:r>
      <w:r w:rsidRPr="007E0C12">
        <w:rPr>
          <w:rFonts w:hint="cs"/>
          <w:rtl/>
        </w:rPr>
        <w:t xml:space="preserve"> דבמין במינו אסור מדאו' אף שהאיסור נימוח, ולכן הוצרך </w:t>
      </w:r>
      <w:r w:rsidRPr="007E0C12">
        <w:rPr>
          <w:rStyle w:val="af8"/>
          <w:rFonts w:hint="cs"/>
          <w:rtl/>
        </w:rPr>
        <w:t>הר"ן</w:t>
      </w:r>
      <w:r w:rsidRPr="007E0C12">
        <w:rPr>
          <w:rFonts w:hint="cs"/>
          <w:rtl/>
        </w:rPr>
        <w:t xml:space="preserve"> לבאר את דברי </w:t>
      </w:r>
      <w:r w:rsidRPr="007E0C12">
        <w:rPr>
          <w:rStyle w:val="af8"/>
          <w:rFonts w:hint="cs"/>
          <w:rtl/>
        </w:rPr>
        <w:t xml:space="preserve">רש"י בע"ז </w:t>
      </w:r>
      <w:r w:rsidRPr="007E0C12">
        <w:rPr>
          <w:rFonts w:hint="cs"/>
          <w:rtl/>
        </w:rPr>
        <w:t xml:space="preserve">דאין כוונתו לפסוק כן להלכה, אלא ביאר </w:t>
      </w:r>
      <w:r w:rsidRPr="007E0C12">
        <w:rPr>
          <w:rStyle w:val="af8"/>
          <w:rFonts w:hint="cs"/>
          <w:rtl/>
        </w:rPr>
        <w:t>רש"י</w:t>
      </w:r>
      <w:r w:rsidRPr="007E0C12">
        <w:rPr>
          <w:rFonts w:hint="cs"/>
          <w:rtl/>
        </w:rPr>
        <w:t xml:space="preserve"> את דעת ריו"ח, אבל בסוגיין ס"ל </w:t>
      </w:r>
      <w:r w:rsidRPr="007E0C12">
        <w:rPr>
          <w:rStyle w:val="af8"/>
          <w:rFonts w:hint="cs"/>
          <w:rtl/>
        </w:rPr>
        <w:t>לרש"י</w:t>
      </w:r>
      <w:r w:rsidRPr="007E0C12">
        <w:rPr>
          <w:rFonts w:hint="cs"/>
          <w:rtl/>
        </w:rPr>
        <w:t xml:space="preserve"> דכשגוף האיסור נימוח בתערובת אסור מדאו', אך הביא </w:t>
      </w:r>
      <w:r w:rsidRPr="007E0C12">
        <w:rPr>
          <w:rStyle w:val="af8"/>
          <w:rFonts w:hint="cs"/>
          <w:rtl/>
        </w:rPr>
        <w:t>הב"ח</w:t>
      </w:r>
      <w:r w:rsidRPr="007E0C12">
        <w:rPr>
          <w:rFonts w:hint="cs"/>
          <w:rtl/>
        </w:rPr>
        <w:t xml:space="preserve"> את דברי </w:t>
      </w:r>
      <w:r w:rsidRPr="007E0C12">
        <w:rPr>
          <w:rStyle w:val="af8"/>
          <w:rFonts w:hint="cs"/>
          <w:rtl/>
        </w:rPr>
        <w:t>המרדכי וההג"מ</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Ref13599598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7E0C12">
        <w:rPr>
          <w:rStyle w:val="af6"/>
          <w:rFonts w:eastAsia="Guttman Hodes"/>
          <w:rtl/>
        </w:rPr>
        <w:fldChar w:fldCharType="end"/>
      </w:r>
      <w:r w:rsidRPr="007E0C12">
        <w:rPr>
          <w:rFonts w:hint="cs"/>
          <w:rtl/>
        </w:rPr>
        <w:t xml:space="preserve"> דכתבו דלדעת </w:t>
      </w:r>
      <w:r w:rsidRPr="007E0C12">
        <w:rPr>
          <w:rStyle w:val="af8"/>
          <w:rFonts w:hint="cs"/>
          <w:rtl/>
        </w:rPr>
        <w:t>רש"י</w:t>
      </w:r>
      <w:r w:rsidRPr="007E0C12">
        <w:rPr>
          <w:rFonts w:hint="cs"/>
          <w:rtl/>
        </w:rPr>
        <w:t xml:space="preserve"> אף שגוף האיסור מעורב בתערובת, מ"מ כל שהאיסור נימוח אינו אסור מדאו', אלא מדרבנן.</w:t>
      </w:r>
    </w:p>
    <w:p w:rsidR="009A0058" w:rsidRDefault="009A0058" w:rsidP="00E669F8">
      <w:pPr>
        <w:pStyle w:val="afd"/>
        <w:rPr>
          <w:rtl/>
        </w:rPr>
      </w:pPr>
      <w:bookmarkStart w:id="5997" w:name="_Toc13657815"/>
      <w:bookmarkStart w:id="5998" w:name="_Toc13663975"/>
      <w:bookmarkStart w:id="5999" w:name="_Toc13603169"/>
      <w:bookmarkStart w:id="6000" w:name="_Toc13603272"/>
      <w:r>
        <w:rPr>
          <w:rFonts w:hint="cs"/>
          <w:rtl/>
        </w:rPr>
        <w:t>בדין טעמו וממשו בלח בלח</w:t>
      </w:r>
    </w:p>
    <w:p w:rsidR="009A0058" w:rsidRDefault="009A0058" w:rsidP="009A0058">
      <w:pPr>
        <w:pStyle w:val="1"/>
        <w:rPr>
          <w:rtl/>
        </w:rPr>
      </w:pPr>
      <w:r>
        <w:rPr>
          <w:rFonts w:hint="cs"/>
          <w:rtl/>
        </w:rPr>
        <w:t>ביאור החוו"ד בחילוק בין איסור נימוח דהוא טעמו ללח בלח</w:t>
      </w:r>
      <w:bookmarkEnd w:id="5997"/>
      <w:bookmarkEnd w:id="5998"/>
    </w:p>
    <w:p w:rsidR="009A0058" w:rsidRPr="00D40124" w:rsidRDefault="009A0058" w:rsidP="009A0058">
      <w:pPr>
        <w:pStyle w:val="a2"/>
        <w:rPr>
          <w:rtl/>
        </w:rPr>
      </w:pPr>
      <w:bookmarkStart w:id="6001" w:name="_Toc13657816"/>
      <w:bookmarkStart w:id="6002" w:name="_Toc13663976"/>
      <w:r>
        <w:rPr>
          <w:rFonts w:hint="cs"/>
          <w:rtl/>
        </w:rPr>
        <w:t>דברי החוו"ד דהא דאיסור נימוח חשיב טעמו הוא רק בנבלע בדבר גוש ולא בלח בלח</w:t>
      </w:r>
      <w:bookmarkEnd w:id="6001"/>
      <w:bookmarkEnd w:id="6002"/>
    </w:p>
    <w:p w:rsidR="009A0058" w:rsidRDefault="009A0058" w:rsidP="009F44AF">
      <w:pPr>
        <w:pStyle w:val="a"/>
        <w:rPr>
          <w:rtl/>
        </w:rPr>
      </w:pPr>
      <w:bookmarkStart w:id="6003" w:name="_Ref13662456"/>
      <w:r w:rsidRPr="007E0C12">
        <w:rPr>
          <w:rFonts w:hint="cs"/>
          <w:rtl/>
        </w:rPr>
        <w:t xml:space="preserve">כתב </w:t>
      </w:r>
      <w:r w:rsidRPr="00C9005D">
        <w:rPr>
          <w:rStyle w:val="af8"/>
          <w:rFonts w:hint="cs"/>
          <w:rtl/>
        </w:rPr>
        <w:t>החוו"ד</w:t>
      </w:r>
      <w:r w:rsidRPr="007E0C12">
        <w:rPr>
          <w:rFonts w:hint="cs"/>
          <w:rtl/>
        </w:rPr>
        <w:t xml:space="preserve"> </w:t>
      </w:r>
      <w:r w:rsidRPr="005F71AC">
        <w:rPr>
          <w:rStyle w:val="af6"/>
          <w:rFonts w:eastAsia="Guttman Hodes" w:hint="cs"/>
          <w:rtl/>
        </w:rPr>
        <w:t>(סי' ק"ב סק"ד)</w:t>
      </w:r>
      <w:r w:rsidRPr="007E0C12">
        <w:rPr>
          <w:rFonts w:hint="cs"/>
          <w:rtl/>
        </w:rPr>
        <w:t xml:space="preserve"> דהא דאיסור שנימוח נקרא טעמו ולא ממשו, היינו דוקא באיסור נימוח שנבלע לדבר גוש, דההיתר ניכר והאיסור שנימוח אינו ניכר, אבל בלח בלח דאף שהאיסור נימוח אין ההיתר ניכר יותר מהאיסור, דשניהם שווין נקרא טעמו וממשו</w:t>
      </w:r>
      <w:r>
        <w:rPr>
          <w:rFonts w:hint="cs"/>
          <w:rtl/>
        </w:rPr>
        <w:t>.</w:t>
      </w:r>
      <w:bookmarkEnd w:id="6003"/>
    </w:p>
    <w:p w:rsidR="009A0058" w:rsidRPr="00D40124" w:rsidRDefault="009A0058" w:rsidP="009A0058">
      <w:pPr>
        <w:pStyle w:val="a2"/>
      </w:pPr>
      <w:bookmarkStart w:id="6004" w:name="_Toc13657817"/>
      <w:bookmarkStart w:id="6005" w:name="_Toc13663977"/>
      <w:r>
        <w:rPr>
          <w:rFonts w:hint="cs"/>
          <w:rtl/>
        </w:rPr>
        <w:t xml:space="preserve">דברי החוו"ד </w:t>
      </w:r>
      <w:r w:rsidRPr="007E0C12">
        <w:rPr>
          <w:rFonts w:hint="cs"/>
          <w:rtl/>
        </w:rPr>
        <w:t>ד</w:t>
      </w:r>
      <w:r w:rsidRPr="007E0C12">
        <w:rPr>
          <w:rtl/>
        </w:rPr>
        <w:t>חֵלֶב</w:t>
      </w:r>
      <w:r w:rsidRPr="007E0C12">
        <w:rPr>
          <w:rFonts w:hint="cs"/>
          <w:rtl/>
        </w:rPr>
        <w:t xml:space="preserve"> שנימוח</w:t>
      </w:r>
      <w:r>
        <w:rPr>
          <w:rFonts w:hint="cs"/>
          <w:rtl/>
        </w:rPr>
        <w:t xml:space="preserve"> הוא טעמו ולא ממשו ובגמ' בפסחים מבואר דלח בלח חשיב ממשו</w:t>
      </w:r>
      <w:bookmarkEnd w:id="6004"/>
      <w:bookmarkEnd w:id="6005"/>
    </w:p>
    <w:p w:rsidR="009A0058" w:rsidRDefault="009A0058" w:rsidP="009F44AF">
      <w:pPr>
        <w:pStyle w:val="a"/>
        <w:rPr>
          <w:rtl/>
        </w:rPr>
      </w:pPr>
      <w:r w:rsidRPr="007E0C12">
        <w:rPr>
          <w:rFonts w:hint="cs"/>
          <w:rtl/>
        </w:rPr>
        <w:t xml:space="preserve">וכתב </w:t>
      </w:r>
      <w:r w:rsidRPr="00C9005D">
        <w:rPr>
          <w:rStyle w:val="af8"/>
          <w:rFonts w:hint="cs"/>
          <w:rtl/>
        </w:rPr>
        <w:t>החוו"ד</w:t>
      </w:r>
      <w:r w:rsidRPr="007E0C12">
        <w:rPr>
          <w:rFonts w:hint="cs"/>
          <w:rtl/>
        </w:rPr>
        <w:t xml:space="preserve"> דכן מוכח מדברי </w:t>
      </w:r>
      <w:r w:rsidRPr="00C9005D">
        <w:rPr>
          <w:rStyle w:val="af8"/>
          <w:rFonts w:hint="cs"/>
          <w:rtl/>
        </w:rPr>
        <w:t>רש"י בע"ז</w:t>
      </w:r>
      <w:r w:rsidRPr="007E0C12">
        <w:rPr>
          <w:rFonts w:hint="cs"/>
          <w:rtl/>
        </w:rPr>
        <w:t xml:space="preserve"> </w:t>
      </w:r>
      <w:r w:rsidRPr="005F71AC">
        <w:rPr>
          <w:rStyle w:val="af6"/>
          <w:rFonts w:eastAsia="Guttman Hodes" w:hint="cs"/>
          <w:rtl/>
        </w:rPr>
        <w:t xml:space="preserve">(עי' אות </w:t>
      </w:r>
      <w:r w:rsidRPr="005F71AC">
        <w:rPr>
          <w:rStyle w:val="af6"/>
          <w:rFonts w:eastAsia="Guttman Hodes"/>
          <w:rtl/>
        </w:rPr>
        <w:fldChar w:fldCharType="begin"/>
      </w:r>
      <w:r w:rsidRPr="005F71AC">
        <w:rPr>
          <w:rStyle w:val="af6"/>
          <w:rFonts w:eastAsia="Guttman Hodes"/>
          <w:rtl/>
        </w:rPr>
        <w:instrText xml:space="preserve"> </w:instrText>
      </w:r>
      <w:r w:rsidRPr="005F71AC">
        <w:rPr>
          <w:rStyle w:val="af6"/>
          <w:rFonts w:eastAsia="Guttman Hodes" w:hint="cs"/>
        </w:rPr>
        <w:instrText>REF</w:instrText>
      </w:r>
      <w:r w:rsidRPr="005F71AC">
        <w:rPr>
          <w:rStyle w:val="af6"/>
          <w:rFonts w:eastAsia="Guttman Hodes" w:hint="cs"/>
          <w:rtl/>
        </w:rPr>
        <w:instrText xml:space="preserve"> _</w:instrText>
      </w:r>
      <w:r w:rsidRPr="005F71AC">
        <w:rPr>
          <w:rStyle w:val="af6"/>
          <w:rFonts w:eastAsia="Guttman Hodes" w:hint="cs"/>
        </w:rPr>
        <w:instrText>Ref12961369 \r \h</w:instrText>
      </w:r>
      <w:r w:rsidRPr="005F71AC">
        <w:rPr>
          <w:rStyle w:val="af6"/>
          <w:rFonts w:eastAsia="Guttman Hodes"/>
          <w:rtl/>
        </w:rPr>
        <w:instrText xml:space="preserve"> </w:instrText>
      </w:r>
      <w:r w:rsidRPr="005F71AC">
        <w:rPr>
          <w:rStyle w:val="af6"/>
          <w:rFonts w:eastAsia="Guttman Hodes"/>
          <w:rtl/>
        </w:rPr>
      </w:r>
      <w:r w:rsidRPr="005F71AC">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F71AC">
        <w:rPr>
          <w:rStyle w:val="af6"/>
          <w:rFonts w:eastAsia="Guttman Hodes"/>
          <w:rtl/>
        </w:rPr>
        <w:fldChar w:fldCharType="end"/>
      </w:r>
      <w:r w:rsidRPr="007E0C12">
        <w:rPr>
          <w:rFonts w:hint="cs"/>
          <w:rtl/>
        </w:rPr>
        <w:t xml:space="preserve"> </w:t>
      </w:r>
      <w:r w:rsidRPr="00C9005D">
        <w:rPr>
          <w:rStyle w:val="af8"/>
          <w:rFonts w:hint="cs"/>
          <w:rtl/>
        </w:rPr>
        <w:t>והתוס' בע"ז</w:t>
      </w:r>
      <w:r w:rsidRPr="007E0C12">
        <w:rPr>
          <w:rFonts w:hint="cs"/>
          <w:rtl/>
        </w:rPr>
        <w:t xml:space="preserve"> </w:t>
      </w:r>
      <w:r w:rsidRPr="005F71AC">
        <w:rPr>
          <w:rStyle w:val="af6"/>
          <w:rFonts w:eastAsia="Guttman Hodes" w:hint="cs"/>
          <w:rtl/>
        </w:rPr>
        <w:t xml:space="preserve">(עי' אות </w:t>
      </w:r>
      <w:r w:rsidRPr="005F71AC">
        <w:rPr>
          <w:rStyle w:val="af6"/>
          <w:rFonts w:eastAsia="Guttman Hodes"/>
          <w:rtl/>
        </w:rPr>
        <w:fldChar w:fldCharType="begin"/>
      </w:r>
      <w:r w:rsidRPr="005F71AC">
        <w:rPr>
          <w:rStyle w:val="af6"/>
          <w:rFonts w:eastAsia="Guttman Hodes"/>
          <w:rtl/>
        </w:rPr>
        <w:instrText xml:space="preserve"> </w:instrText>
      </w:r>
      <w:r w:rsidRPr="005F71AC">
        <w:rPr>
          <w:rStyle w:val="af6"/>
          <w:rFonts w:eastAsia="Guttman Hodes" w:hint="cs"/>
        </w:rPr>
        <w:instrText>REF</w:instrText>
      </w:r>
      <w:r w:rsidRPr="005F71AC">
        <w:rPr>
          <w:rStyle w:val="af6"/>
          <w:rFonts w:eastAsia="Guttman Hodes" w:hint="cs"/>
          <w:rtl/>
        </w:rPr>
        <w:instrText xml:space="preserve"> _</w:instrText>
      </w:r>
      <w:r w:rsidRPr="005F71AC">
        <w:rPr>
          <w:rStyle w:val="af6"/>
          <w:rFonts w:eastAsia="Guttman Hodes" w:hint="cs"/>
        </w:rPr>
        <w:instrText>Ref13654417 \r \h</w:instrText>
      </w:r>
      <w:r w:rsidRPr="005F71AC">
        <w:rPr>
          <w:rStyle w:val="af6"/>
          <w:rFonts w:eastAsia="Guttman Hodes"/>
          <w:rtl/>
        </w:rPr>
        <w:instrText xml:space="preserve"> </w:instrText>
      </w:r>
      <w:r w:rsidRPr="005F71AC">
        <w:rPr>
          <w:rStyle w:val="af6"/>
          <w:rFonts w:eastAsia="Guttman Hodes"/>
          <w:rtl/>
        </w:rPr>
      </w:r>
      <w:r w:rsidRPr="005F71AC">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5F71AC">
        <w:rPr>
          <w:rStyle w:val="af6"/>
          <w:rFonts w:eastAsia="Guttman Hodes"/>
          <w:rtl/>
        </w:rPr>
        <w:fldChar w:fldCharType="end"/>
      </w:r>
      <w:r w:rsidRPr="007E0C12">
        <w:rPr>
          <w:rFonts w:hint="cs"/>
          <w:rtl/>
        </w:rPr>
        <w:t xml:space="preserve"> דכתבו ד</w:t>
      </w:r>
      <w:r w:rsidRPr="007E0C12">
        <w:rPr>
          <w:rtl/>
        </w:rPr>
        <w:t>חֵלֶב</w:t>
      </w:r>
      <w:r w:rsidRPr="007E0C12">
        <w:rPr>
          <w:rFonts w:hint="cs"/>
          <w:rtl/>
        </w:rPr>
        <w:t xml:space="preserve"> שנימוח נקרא טעמו ולא ממשו, ומבואר דאין לוקין עליו אף בכזית בכדי אכילת פרס, כיון שהוא טעמו ולא ממשו, ואילו בגמ' בפסחים </w:t>
      </w:r>
      <w:r w:rsidRPr="005F71AC">
        <w:rPr>
          <w:rStyle w:val="af6"/>
          <w:rFonts w:eastAsia="Guttman Hodes" w:hint="cs"/>
          <w:rtl/>
        </w:rPr>
        <w:t>(מד.)</w:t>
      </w:r>
      <w:r w:rsidRPr="007E0C12">
        <w:rPr>
          <w:rFonts w:hint="cs"/>
          <w:rtl/>
        </w:rPr>
        <w:t xml:space="preserve"> מבואר דכותח ושכר אם היה הדרך לאוכלם בכזית בכדי אכילת פרס, היה בהם חיוב כרת </w:t>
      </w:r>
      <w:r w:rsidRPr="00F1130F">
        <w:rPr>
          <w:rStyle w:val="afa"/>
          <w:rFonts w:hint="cs"/>
          <w:rtl/>
        </w:rPr>
        <w:t>[דחמץ בפסח]</w:t>
      </w:r>
      <w:r w:rsidRPr="007E0C12">
        <w:rPr>
          <w:rFonts w:hint="cs"/>
          <w:rtl/>
        </w:rPr>
        <w:t xml:space="preserve">, ומבואר </w:t>
      </w:r>
      <w:r w:rsidRPr="007E0C12">
        <w:rPr>
          <w:rFonts w:hint="cs"/>
          <w:rtl/>
        </w:rPr>
        <w:t>דכיון דבכותח ושכר איירי בלח בלח, לכן אף שהאיסור נימוח הוא נקרא ממשו</w:t>
      </w:r>
      <w:r>
        <w:rPr>
          <w:rFonts w:hint="cs"/>
          <w:rtl/>
        </w:rPr>
        <w:t>.</w:t>
      </w:r>
    </w:p>
    <w:p w:rsidR="009A0058" w:rsidRPr="008A6F15" w:rsidRDefault="009A0058" w:rsidP="009A0058">
      <w:pPr>
        <w:pStyle w:val="a2"/>
      </w:pPr>
      <w:bookmarkStart w:id="6006" w:name="_Toc13657818"/>
      <w:bookmarkStart w:id="6007" w:name="_Toc13663978"/>
      <w:r>
        <w:rPr>
          <w:rFonts w:hint="cs"/>
          <w:rtl/>
        </w:rPr>
        <w:t>דברי החוו"ד דלח בלח אינו בלוע אלא תערובת אבל איסור שנימוח חשיב בלוע בתוך הגוש</w:t>
      </w:r>
      <w:bookmarkEnd w:id="6006"/>
      <w:bookmarkEnd w:id="6007"/>
    </w:p>
    <w:p w:rsidR="00366EF4" w:rsidRDefault="009A0058" w:rsidP="009F44AF">
      <w:pPr>
        <w:pStyle w:val="a"/>
        <w:rPr>
          <w:rtl/>
        </w:rPr>
      </w:pPr>
      <w:r w:rsidRPr="007E0C12">
        <w:rPr>
          <w:rFonts w:hint="cs"/>
          <w:rtl/>
        </w:rPr>
        <w:t xml:space="preserve">וביאר </w:t>
      </w:r>
      <w:r w:rsidRPr="00C9005D">
        <w:rPr>
          <w:rStyle w:val="af8"/>
          <w:rFonts w:hint="cs"/>
          <w:rtl/>
        </w:rPr>
        <w:t>החוו"ד</w:t>
      </w:r>
      <w:r w:rsidRPr="007E0C12">
        <w:rPr>
          <w:rFonts w:hint="cs"/>
          <w:rtl/>
        </w:rPr>
        <w:t xml:space="preserve"> דלח בלח לא חשיב בלוע, אלא הוי תערובת, ולכן הוי ממשו ולא רק טעמו, והוסיף </w:t>
      </w:r>
      <w:r w:rsidRPr="00C9005D">
        <w:rPr>
          <w:rStyle w:val="af8"/>
          <w:rFonts w:hint="cs"/>
          <w:rtl/>
        </w:rPr>
        <w:t>החוו"ד</w:t>
      </w:r>
      <w:r w:rsidRPr="007E0C12">
        <w:rPr>
          <w:rFonts w:hint="cs"/>
          <w:rtl/>
        </w:rPr>
        <w:t xml:space="preserve"> דכן מוכח מסברא, דהא א"א לומר שאם התערב </w:t>
      </w:r>
      <w:r w:rsidRPr="007E0C12">
        <w:rPr>
          <w:rtl/>
        </w:rPr>
        <w:t>חֵלֶב</w:t>
      </w:r>
      <w:r w:rsidRPr="007E0C12">
        <w:rPr>
          <w:rFonts w:hint="cs"/>
          <w:rtl/>
        </w:rPr>
        <w:t xml:space="preserve"> שנימוח עם שומן, דיהיה דינו כטעמו ולא ממשו, אלא ודאי דהא דאיסור שנימוח נקרא טעמו, הוא דוקא כשנבלע בדבר גוש, וכדברי </w:t>
      </w:r>
      <w:r w:rsidRPr="00C9005D">
        <w:rPr>
          <w:rStyle w:val="af8"/>
          <w:rFonts w:hint="cs"/>
          <w:rtl/>
        </w:rPr>
        <w:t>רש"י בע"ז</w:t>
      </w:r>
      <w:r w:rsidRPr="007E0C12">
        <w:rPr>
          <w:rFonts w:hint="cs"/>
          <w:rtl/>
        </w:rPr>
        <w:t xml:space="preserve"> </w:t>
      </w:r>
      <w:r w:rsidRPr="005F71AC">
        <w:rPr>
          <w:rStyle w:val="af6"/>
          <w:rFonts w:eastAsia="Guttman Hodes" w:hint="cs"/>
          <w:rtl/>
        </w:rPr>
        <w:t xml:space="preserve">(עי' אות </w:t>
      </w:r>
      <w:r w:rsidRPr="005F71AC">
        <w:rPr>
          <w:rStyle w:val="af6"/>
          <w:rFonts w:eastAsia="Guttman Hodes"/>
          <w:rtl/>
        </w:rPr>
        <w:fldChar w:fldCharType="begin"/>
      </w:r>
      <w:r w:rsidRPr="005F71AC">
        <w:rPr>
          <w:rStyle w:val="af6"/>
          <w:rFonts w:eastAsia="Guttman Hodes"/>
          <w:rtl/>
        </w:rPr>
        <w:instrText xml:space="preserve"> </w:instrText>
      </w:r>
      <w:r w:rsidRPr="005F71AC">
        <w:rPr>
          <w:rStyle w:val="af6"/>
          <w:rFonts w:eastAsia="Guttman Hodes" w:hint="cs"/>
        </w:rPr>
        <w:instrText>REF</w:instrText>
      </w:r>
      <w:r w:rsidRPr="005F71AC">
        <w:rPr>
          <w:rStyle w:val="af6"/>
          <w:rFonts w:eastAsia="Guttman Hodes" w:hint="cs"/>
          <w:rtl/>
        </w:rPr>
        <w:instrText xml:space="preserve"> _</w:instrText>
      </w:r>
      <w:r w:rsidRPr="005F71AC">
        <w:rPr>
          <w:rStyle w:val="af6"/>
          <w:rFonts w:eastAsia="Guttman Hodes" w:hint="cs"/>
        </w:rPr>
        <w:instrText>Ref12961369 \r \h</w:instrText>
      </w:r>
      <w:r w:rsidRPr="005F71AC">
        <w:rPr>
          <w:rStyle w:val="af6"/>
          <w:rFonts w:eastAsia="Guttman Hodes"/>
          <w:rtl/>
        </w:rPr>
        <w:instrText xml:space="preserve"> </w:instrText>
      </w:r>
      <w:r w:rsidRPr="005F71AC">
        <w:rPr>
          <w:rStyle w:val="af6"/>
          <w:rFonts w:eastAsia="Guttman Hodes"/>
          <w:rtl/>
        </w:rPr>
      </w:r>
      <w:r w:rsidRPr="005F71AC">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5F71AC">
        <w:rPr>
          <w:rStyle w:val="af6"/>
          <w:rFonts w:eastAsia="Guttman Hodes"/>
          <w:rtl/>
        </w:rPr>
        <w:fldChar w:fldCharType="end"/>
      </w:r>
      <w:r>
        <w:rPr>
          <w:rFonts w:hint="cs"/>
          <w:rtl/>
        </w:rPr>
        <w:t xml:space="preserve">, ועי' בדברי </w:t>
      </w:r>
      <w:r>
        <w:rPr>
          <w:rStyle w:val="af8"/>
          <w:rFonts w:hint="cs"/>
          <w:rtl/>
        </w:rPr>
        <w:t>הר"ן</w:t>
      </w:r>
      <w:r>
        <w:rPr>
          <w:rFonts w:hint="cs"/>
          <w:rtl/>
        </w:rPr>
        <w:t xml:space="preserve"> </w:t>
      </w:r>
      <w:r w:rsidRPr="005A6523">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Ref13662508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צג)</w:t>
      </w:r>
      <w:r>
        <w:rPr>
          <w:rStyle w:val="af6"/>
          <w:rFonts w:eastAsia="Guttman Hodes"/>
          <w:rtl/>
        </w:rPr>
        <w:fldChar w:fldCharType="end"/>
      </w:r>
      <w:r>
        <w:rPr>
          <w:rStyle w:val="af6"/>
          <w:rFonts w:eastAsia="Guttman Hodes" w:hint="cs"/>
          <w:rtl/>
        </w:rPr>
        <w:t xml:space="preserve"> </w:t>
      </w:r>
      <w:r>
        <w:rPr>
          <w:rFonts w:hint="cs"/>
          <w:rtl/>
        </w:rPr>
        <w:t xml:space="preserve">במ"ש לחלק בין טעם בלוע ללח בלח, וע"ע במה שביאר בזה </w:t>
      </w:r>
      <w:r w:rsidRPr="006E679F">
        <w:rPr>
          <w:rStyle w:val="af8"/>
          <w:rFonts w:hint="cs"/>
          <w:rtl/>
        </w:rPr>
        <w:t>היד יהודה</w:t>
      </w:r>
      <w:r>
        <w:rPr>
          <w:rFonts w:hint="cs"/>
          <w:rtl/>
        </w:rPr>
        <w:t xml:space="preserve"> </w:t>
      </w:r>
      <w:r w:rsidRPr="006E679F">
        <w:rPr>
          <w:rStyle w:val="af6"/>
          <w:rFonts w:eastAsia="Guttman Hodes" w:hint="cs"/>
          <w:rtl/>
        </w:rPr>
        <w:t>(סי' צ"ח סק"ו ד"ה אבל בודאי)</w:t>
      </w:r>
      <w:r w:rsidRPr="007E0C12">
        <w:rPr>
          <w:rFonts w:hint="cs"/>
          <w:rtl/>
        </w:rPr>
        <w:t>.</w:t>
      </w:r>
    </w:p>
    <w:p w:rsidR="009A0058" w:rsidRPr="007E0C12" w:rsidRDefault="009A0058" w:rsidP="00E669F8">
      <w:pPr>
        <w:pStyle w:val="afd"/>
        <w:rPr>
          <w:rtl/>
        </w:rPr>
      </w:pPr>
      <w:bookmarkStart w:id="6008" w:name="_Toc13657819"/>
      <w:bookmarkStart w:id="6009" w:name="_Toc13663979"/>
      <w:r w:rsidRPr="007E0C12">
        <w:rPr>
          <w:rFonts w:hint="cs"/>
          <w:rtl/>
        </w:rPr>
        <w:t>דעת התוס'</w:t>
      </w:r>
      <w:bookmarkEnd w:id="5979"/>
      <w:bookmarkEnd w:id="5980"/>
      <w:bookmarkEnd w:id="5981"/>
      <w:bookmarkEnd w:id="5982"/>
      <w:bookmarkEnd w:id="5983"/>
      <w:bookmarkEnd w:id="5984"/>
      <w:bookmarkEnd w:id="5999"/>
      <w:bookmarkEnd w:id="6000"/>
      <w:r>
        <w:rPr>
          <w:rFonts w:hint="cs"/>
          <w:rtl/>
        </w:rPr>
        <w:t xml:space="preserve"> בגדר טעמו ולא ממשו</w:t>
      </w:r>
      <w:bookmarkEnd w:id="6008"/>
      <w:bookmarkEnd w:id="6009"/>
    </w:p>
    <w:p w:rsidR="009A0058" w:rsidRPr="007E0C12" w:rsidRDefault="009A0058" w:rsidP="009A0058">
      <w:pPr>
        <w:pStyle w:val="1"/>
        <w:rPr>
          <w:rtl/>
        </w:rPr>
      </w:pPr>
      <w:bookmarkStart w:id="6010" w:name="_Toc13244683"/>
      <w:bookmarkStart w:id="6011" w:name="_Toc13396629"/>
      <w:bookmarkStart w:id="6012" w:name="_Toc13418657"/>
      <w:bookmarkStart w:id="6013" w:name="_Toc13516490"/>
      <w:bookmarkStart w:id="6014" w:name="_Toc13562578"/>
      <w:bookmarkStart w:id="6015" w:name="_Toc13568565"/>
      <w:bookmarkStart w:id="6016" w:name="_Toc13603170"/>
      <w:bookmarkStart w:id="6017" w:name="_Toc13603273"/>
      <w:bookmarkStart w:id="6018" w:name="_Toc13657820"/>
      <w:bookmarkStart w:id="6019" w:name="_Toc13663980"/>
      <w:r w:rsidRPr="007E0C12">
        <w:rPr>
          <w:rFonts w:hint="cs"/>
          <w:rtl/>
        </w:rPr>
        <w:t>דברי התוס' בע"ז ד</w:t>
      </w:r>
      <w:r w:rsidRPr="007E0C12">
        <w:rPr>
          <w:rtl/>
        </w:rPr>
        <w:t>חָלָב</w:t>
      </w:r>
      <w:r w:rsidRPr="007E0C12">
        <w:rPr>
          <w:rFonts w:hint="cs"/>
          <w:rtl/>
        </w:rPr>
        <w:t xml:space="preserve"> שנבלע בבשר הוא ממשו</w:t>
      </w:r>
      <w:bookmarkEnd w:id="6010"/>
      <w:bookmarkEnd w:id="6011"/>
      <w:bookmarkEnd w:id="6012"/>
      <w:bookmarkEnd w:id="6013"/>
      <w:r w:rsidRPr="007E0C12">
        <w:rPr>
          <w:rFonts w:hint="cs"/>
          <w:rtl/>
        </w:rPr>
        <w:t xml:space="preserve"> ואינו רק טעם</w:t>
      </w:r>
      <w:bookmarkEnd w:id="6014"/>
      <w:bookmarkEnd w:id="6015"/>
      <w:bookmarkEnd w:id="6016"/>
      <w:bookmarkEnd w:id="6017"/>
      <w:bookmarkEnd w:id="6018"/>
      <w:bookmarkEnd w:id="6019"/>
    </w:p>
    <w:p w:rsidR="009A0058" w:rsidRPr="007E0C12" w:rsidRDefault="009A0058" w:rsidP="009A0058">
      <w:pPr>
        <w:pStyle w:val="a2"/>
        <w:rPr>
          <w:rtl/>
        </w:rPr>
      </w:pPr>
      <w:bookmarkStart w:id="6020" w:name="_Toc13603171"/>
      <w:bookmarkStart w:id="6021" w:name="_Toc13603274"/>
      <w:bookmarkStart w:id="6022" w:name="_Toc13657821"/>
      <w:bookmarkStart w:id="6023" w:name="_Toc13663981"/>
      <w:r>
        <w:rPr>
          <w:rFonts w:hint="cs"/>
          <w:rtl/>
        </w:rPr>
        <w:t xml:space="preserve">קושית </w:t>
      </w:r>
      <w:r w:rsidRPr="007E0C12">
        <w:rPr>
          <w:rFonts w:hint="cs"/>
          <w:rtl/>
        </w:rPr>
        <w:t xml:space="preserve">התוס' בע"ז דבבשר וחלב טעם כעיקר לכו"ע מדאו' </w:t>
      </w:r>
      <w:bookmarkEnd w:id="6020"/>
      <w:bookmarkEnd w:id="6021"/>
      <w:r>
        <w:rPr>
          <w:rFonts w:hint="cs"/>
          <w:rtl/>
        </w:rPr>
        <w:t>דהא דרך בישול אסרה תורה</w:t>
      </w:r>
      <w:bookmarkEnd w:id="6022"/>
      <w:bookmarkEnd w:id="6023"/>
    </w:p>
    <w:p w:rsidR="009A0058" w:rsidRDefault="009A0058" w:rsidP="009F44AF">
      <w:pPr>
        <w:pStyle w:val="a"/>
        <w:rPr>
          <w:rtl/>
        </w:rPr>
      </w:pPr>
      <w:r w:rsidRPr="007E0C12">
        <w:rPr>
          <w:rFonts w:hint="cs"/>
          <w:rtl/>
        </w:rPr>
        <w:t xml:space="preserve"> </w:t>
      </w:r>
      <w:bookmarkStart w:id="6024" w:name="_Ref13513502"/>
      <w:bookmarkStart w:id="6025" w:name="_Ref13600017"/>
      <w:r w:rsidRPr="007E0C12">
        <w:rPr>
          <w:rFonts w:hint="cs"/>
          <w:rtl/>
        </w:rPr>
        <w:t xml:space="preserve">הביאו </w:t>
      </w:r>
      <w:r w:rsidRPr="007E0C12">
        <w:rPr>
          <w:rStyle w:val="af8"/>
          <w:rFonts w:hint="cs"/>
          <w:rtl/>
        </w:rPr>
        <w:t>התוס' בע"ז</w:t>
      </w:r>
      <w:r w:rsidRPr="007E0C12">
        <w:rPr>
          <w:rFonts w:hint="cs"/>
          <w:rtl/>
        </w:rPr>
        <w:t xml:space="preserve"> </w:t>
      </w:r>
      <w:r w:rsidRPr="007E0C12">
        <w:rPr>
          <w:rStyle w:val="af6"/>
          <w:rFonts w:eastAsia="Guttman Hodes" w:hint="cs"/>
          <w:rtl/>
        </w:rPr>
        <w:t>(סז. ד"ה א"ר יוחנן)</w:t>
      </w:r>
      <w:r w:rsidRPr="007E0C12">
        <w:rPr>
          <w:rFonts w:hint="cs"/>
          <w:rtl/>
        </w:rPr>
        <w:t xml:space="preserve"> את דברי </w:t>
      </w:r>
      <w:r w:rsidRPr="007E0C12">
        <w:rPr>
          <w:rStyle w:val="af8"/>
          <w:rFonts w:hint="cs"/>
          <w:rtl/>
        </w:rPr>
        <w:t>רש"י בסוגיין</w:t>
      </w:r>
      <w:r w:rsidRPr="007E0C12">
        <w:rPr>
          <w:rFonts w:hint="cs"/>
          <w:rtl/>
        </w:rPr>
        <w:t xml:space="preserve"> </w:t>
      </w:r>
      <w:r w:rsidRPr="007E0C12">
        <w:rPr>
          <w:rStyle w:val="af6"/>
          <w:rFonts w:eastAsia="Guttman Hodes" w:hint="cs"/>
          <w:rtl/>
        </w:rPr>
        <w:t>(עי'</w:t>
      </w:r>
      <w:r>
        <w:rPr>
          <w:rStyle w:val="af6"/>
          <w:rFonts w:eastAsia="Guttman Hodes" w:hint="cs"/>
          <w:rtl/>
        </w:rPr>
        <w:t xml:space="preserve"> את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Ref13568615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א)</w:t>
      </w:r>
      <w:r>
        <w:rPr>
          <w:rStyle w:val="af6"/>
          <w:rFonts w:eastAsia="Guttman Hodes"/>
          <w:rtl/>
        </w:rPr>
        <w:fldChar w:fldCharType="end"/>
      </w:r>
      <w:r w:rsidRPr="007E0C12">
        <w:rPr>
          <w:rStyle w:val="af6"/>
          <w:rFonts w:eastAsia="Guttman Hodes" w:hint="cs"/>
          <w:rtl/>
        </w:rPr>
        <w:t xml:space="preserve"> </w:t>
      </w:r>
      <w:r w:rsidRPr="007E0C12">
        <w:rPr>
          <w:rFonts w:hint="cs"/>
          <w:rtl/>
        </w:rPr>
        <w:t xml:space="preserve">דכתב דמדברי ריו"ח בע"ז </w:t>
      </w:r>
      <w:r w:rsidRPr="007E0C12">
        <w:rPr>
          <w:rStyle w:val="af6"/>
          <w:rFonts w:eastAsia="Guttman Hodes" w:hint="cs"/>
          <w:rtl/>
        </w:rPr>
        <w:t xml:space="preserve"> </w:t>
      </w:r>
      <w:r w:rsidRPr="007E0C12">
        <w:rPr>
          <w:rFonts w:hint="cs"/>
          <w:rtl/>
        </w:rPr>
        <w:t xml:space="preserve">מוכח דטעם כעיקר דרבנן, ואת דברי </w:t>
      </w:r>
      <w:r w:rsidRPr="007E0C12">
        <w:rPr>
          <w:rStyle w:val="af8"/>
          <w:rFonts w:hint="cs"/>
          <w:rtl/>
        </w:rPr>
        <w:t>רש"י בע"ז</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Ref12961369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7E0C12">
        <w:rPr>
          <w:rStyle w:val="af6"/>
          <w:rFonts w:eastAsia="Guttman Hodes"/>
          <w:rtl/>
        </w:rPr>
        <w:fldChar w:fldCharType="end"/>
      </w:r>
      <w:r w:rsidRPr="007E0C12">
        <w:rPr>
          <w:rFonts w:hint="cs"/>
          <w:rtl/>
        </w:rPr>
        <w:t xml:space="preserve"> דכתב דאיירי ב</w:t>
      </w:r>
      <w:r w:rsidRPr="007E0C12">
        <w:rPr>
          <w:rtl/>
        </w:rPr>
        <w:t>חָלָב</w:t>
      </w:r>
      <w:r w:rsidRPr="007E0C12">
        <w:rPr>
          <w:rFonts w:hint="cs"/>
          <w:rtl/>
        </w:rPr>
        <w:t xml:space="preserve"> שנפל לתוך בשר, והקשו </w:t>
      </w:r>
      <w:r w:rsidRPr="007E0C12">
        <w:rPr>
          <w:rStyle w:val="af8"/>
          <w:rFonts w:hint="cs"/>
          <w:rtl/>
        </w:rPr>
        <w:t>התוס' בע"ז</w:t>
      </w:r>
      <w:r w:rsidRPr="007E0C12">
        <w:rPr>
          <w:rFonts w:hint="cs"/>
          <w:rtl/>
        </w:rPr>
        <w:t xml:space="preserve">  דהא בבשר בחלב טעם כעיקר דאו', אף לדעת </w:t>
      </w:r>
      <w:r w:rsidRPr="007E0C12">
        <w:rPr>
          <w:rStyle w:val="af8"/>
          <w:rFonts w:hint="cs"/>
          <w:rtl/>
        </w:rPr>
        <w:t>רש"י</w:t>
      </w:r>
      <w:r w:rsidRPr="007E0C12">
        <w:rPr>
          <w:rFonts w:hint="cs"/>
          <w:rtl/>
        </w:rPr>
        <w:t xml:space="preserve"> דטעם כעיקר דרבנן, כדאמר רבא בגמ' לקמן </w:t>
      </w:r>
      <w:r w:rsidRPr="007E0C12">
        <w:rPr>
          <w:rStyle w:val="af6"/>
          <w:rFonts w:eastAsia="Guttman Hodes" w:hint="cs"/>
          <w:rtl/>
        </w:rPr>
        <w:t>(קח.)</w:t>
      </w:r>
      <w:r w:rsidRPr="007E0C12">
        <w:rPr>
          <w:rFonts w:hint="cs"/>
          <w:rtl/>
        </w:rPr>
        <w:t xml:space="preserve"> דבבשר בחלב האיסור הוא בטעם, דדרך בישול אסרה תורה</w:t>
      </w:r>
      <w:r>
        <w:rPr>
          <w:rFonts w:hint="cs"/>
          <w:rtl/>
        </w:rPr>
        <w:t>.</w:t>
      </w:r>
    </w:p>
    <w:p w:rsidR="009A0058" w:rsidRPr="0027669F" w:rsidRDefault="009A0058" w:rsidP="009A0058">
      <w:pPr>
        <w:pStyle w:val="a2"/>
      </w:pPr>
      <w:bookmarkStart w:id="6026" w:name="_Toc13657822"/>
      <w:bookmarkStart w:id="6027" w:name="_Toc13663982"/>
      <w:r>
        <w:rPr>
          <w:rFonts w:hint="cs"/>
          <w:rtl/>
        </w:rPr>
        <w:t xml:space="preserve">דברי  התוס' בע"ז דבבשר </w:t>
      </w:r>
      <w:r w:rsidRPr="007E0C12">
        <w:rPr>
          <w:rFonts w:hint="cs"/>
          <w:rtl/>
        </w:rPr>
        <w:t>בחָלָב הוא ממשו ולא רק טעמו</w:t>
      </w:r>
      <w:r>
        <w:rPr>
          <w:rFonts w:hint="cs"/>
          <w:rtl/>
        </w:rPr>
        <w:t xml:space="preserve"> דהא אוכל את ממשות הבשר</w:t>
      </w:r>
      <w:bookmarkEnd w:id="6026"/>
      <w:bookmarkEnd w:id="6027"/>
    </w:p>
    <w:p w:rsidR="009A0058" w:rsidRDefault="009A0058" w:rsidP="009F44AF">
      <w:pPr>
        <w:pStyle w:val="a"/>
        <w:rPr>
          <w:rtl/>
        </w:rPr>
      </w:pPr>
      <w:bookmarkStart w:id="6028" w:name="_Ref13649734"/>
      <w:r w:rsidRPr="007E0C12">
        <w:rPr>
          <w:rFonts w:hint="cs"/>
          <w:rtl/>
        </w:rPr>
        <w:t xml:space="preserve">ועוד הקשו </w:t>
      </w:r>
      <w:r w:rsidRPr="007E0C12">
        <w:rPr>
          <w:rStyle w:val="af8"/>
          <w:rFonts w:hint="cs"/>
          <w:rtl/>
        </w:rPr>
        <w:t>התוס' בע"ז</w:t>
      </w:r>
      <w:r w:rsidRPr="007E0C12">
        <w:rPr>
          <w:rFonts w:hint="cs"/>
          <w:rtl/>
        </w:rPr>
        <w:t xml:space="preserve"> על </w:t>
      </w:r>
      <w:r w:rsidRPr="007E0C12">
        <w:rPr>
          <w:rStyle w:val="af8"/>
          <w:rFonts w:hint="cs"/>
          <w:rtl/>
        </w:rPr>
        <w:t>רש"י בע"ז</w:t>
      </w:r>
      <w:r w:rsidRPr="007E0C12">
        <w:rPr>
          <w:rFonts w:hint="cs"/>
          <w:rtl/>
        </w:rPr>
        <w:t xml:space="preserve"> דהא בבשר בחלב הוא אוכל גם את ממשו של האיסור דהוא הבשר, ולא רק את טעמו</w:t>
      </w:r>
      <w:r w:rsidRPr="007E0C12">
        <w:rPr>
          <w:rStyle w:val="af0"/>
          <w:rtl/>
        </w:rPr>
        <w:footnoteReference w:id="20"/>
      </w:r>
      <w:r w:rsidRPr="007E0C12">
        <w:rPr>
          <w:rFonts w:hint="cs"/>
          <w:rtl/>
        </w:rPr>
        <w:t xml:space="preserve">, ועי' במ"ש </w:t>
      </w:r>
      <w:r w:rsidRPr="007E0C12">
        <w:rPr>
          <w:rStyle w:val="af8"/>
          <w:rFonts w:hint="cs"/>
          <w:rtl/>
        </w:rPr>
        <w:t>החוו"ד</w:t>
      </w:r>
      <w:r w:rsidRPr="007E0C12">
        <w:rPr>
          <w:rStyle w:val="af6"/>
          <w:rFonts w:eastAsia="Guttman Hodes" w:hint="cs"/>
          <w:rtl/>
        </w:rPr>
        <w:t xml:space="preserve"> (סי' צ"א סק"ז)</w:t>
      </w:r>
      <w:r w:rsidRPr="007E0C12">
        <w:rPr>
          <w:rFonts w:hint="cs"/>
          <w:rtl/>
        </w:rPr>
        <w:t xml:space="preserve"> בתירוץ קושית </w:t>
      </w:r>
      <w:r w:rsidRPr="007E0C12">
        <w:rPr>
          <w:rStyle w:val="af8"/>
          <w:rFonts w:hint="cs"/>
          <w:rtl/>
        </w:rPr>
        <w:t>התוס'</w:t>
      </w:r>
      <w:bookmarkEnd w:id="6024"/>
      <w:r w:rsidRPr="007E0C12">
        <w:rPr>
          <w:rFonts w:hint="cs"/>
          <w:rtl/>
        </w:rPr>
        <w:t xml:space="preserve">, ועי' במ"ש </w:t>
      </w:r>
      <w:r w:rsidRPr="007E0C12">
        <w:rPr>
          <w:rStyle w:val="af8"/>
          <w:rFonts w:hint="cs"/>
          <w:rtl/>
        </w:rPr>
        <w:t>הרמב"ן</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Ref13600046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7E0C12">
        <w:rPr>
          <w:rStyle w:val="af6"/>
          <w:rFonts w:eastAsia="Guttman Hodes"/>
          <w:rtl/>
        </w:rPr>
        <w:fldChar w:fldCharType="end"/>
      </w:r>
      <w:r w:rsidRPr="007E0C12">
        <w:rPr>
          <w:rFonts w:hint="cs"/>
          <w:rtl/>
        </w:rPr>
        <w:t xml:space="preserve"> דבשר שנתן טעם בחלב, או שנתן החלב טעם בבשר הוא טעמו ולא ממשו.</w:t>
      </w:r>
      <w:bookmarkEnd w:id="6025"/>
      <w:bookmarkEnd w:id="6028"/>
    </w:p>
    <w:p w:rsidR="009A0058" w:rsidRPr="007E0C12" w:rsidRDefault="009A0058" w:rsidP="009A0058">
      <w:pPr>
        <w:pStyle w:val="a2"/>
        <w:rPr>
          <w:rtl/>
        </w:rPr>
      </w:pPr>
      <w:bookmarkStart w:id="6029" w:name="_Toc13603172"/>
      <w:bookmarkStart w:id="6030" w:name="_Toc13603275"/>
      <w:bookmarkStart w:id="6031" w:name="_Toc13657823"/>
      <w:bookmarkStart w:id="6032" w:name="_Toc13663983"/>
      <w:r w:rsidRPr="007E0C12">
        <w:rPr>
          <w:rFonts w:hint="cs"/>
          <w:rtl/>
        </w:rPr>
        <w:t>דברי התוס' דטעמו ולא ממשו היינו בחֵלֶב שנימוח ונבלע בתוך הבשר</w:t>
      </w:r>
      <w:bookmarkEnd w:id="6029"/>
      <w:bookmarkEnd w:id="6030"/>
      <w:bookmarkEnd w:id="6031"/>
      <w:bookmarkEnd w:id="6032"/>
    </w:p>
    <w:p w:rsidR="009A0058" w:rsidRPr="007E0C12" w:rsidRDefault="009A0058" w:rsidP="009F44AF">
      <w:pPr>
        <w:pStyle w:val="a"/>
        <w:rPr>
          <w:rtl/>
        </w:rPr>
      </w:pPr>
      <w:bookmarkStart w:id="6033" w:name="_Ref13654417"/>
      <w:r w:rsidRPr="007E0C12">
        <w:rPr>
          <w:rFonts w:hint="cs"/>
          <w:rtl/>
        </w:rPr>
        <w:t xml:space="preserve">אלא כתבו </w:t>
      </w:r>
      <w:r w:rsidRPr="007E0C12">
        <w:rPr>
          <w:rStyle w:val="af8"/>
          <w:rFonts w:hint="cs"/>
          <w:rtl/>
        </w:rPr>
        <w:t>התוס' בע"ז</w:t>
      </w:r>
      <w:r w:rsidRPr="007E0C12">
        <w:rPr>
          <w:rFonts w:hint="cs"/>
          <w:rtl/>
        </w:rPr>
        <w:t xml:space="preserve"> דטעמו ולא ממשו, הוא כאופן הב' דכתב </w:t>
      </w:r>
      <w:r w:rsidRPr="007E0C12">
        <w:rPr>
          <w:rStyle w:val="af8"/>
          <w:rFonts w:hint="cs"/>
          <w:rtl/>
        </w:rPr>
        <w:t>רש"י בע"ז</w:t>
      </w:r>
      <w:r w:rsidRPr="007E0C12">
        <w:rPr>
          <w:rFonts w:hint="cs"/>
          <w:rtl/>
        </w:rPr>
        <w:t xml:space="preserve"> ב</w:t>
      </w:r>
      <w:r w:rsidRPr="007E0C12">
        <w:rPr>
          <w:rtl/>
        </w:rPr>
        <w:t>חֵלֶב</w:t>
      </w:r>
      <w:r w:rsidRPr="007E0C12">
        <w:rPr>
          <w:rFonts w:hint="cs"/>
          <w:rtl/>
        </w:rPr>
        <w:t xml:space="preserve"> שנפל</w:t>
      </w:r>
      <w:r w:rsidRPr="007E0C12">
        <w:rPr>
          <w:rtl/>
        </w:rPr>
        <w:t xml:space="preserve"> </w:t>
      </w:r>
      <w:r w:rsidRPr="007E0C12">
        <w:rPr>
          <w:rFonts w:hint="cs"/>
          <w:rtl/>
        </w:rPr>
        <w:t>ונימוח ונבלע בתוך הבשר, דבכה"ג יש רק את טעם ה</w:t>
      </w:r>
      <w:r w:rsidRPr="007E0C12">
        <w:rPr>
          <w:rtl/>
        </w:rPr>
        <w:t>חֵלֶב</w:t>
      </w:r>
      <w:r w:rsidRPr="007E0C12">
        <w:rPr>
          <w:rFonts w:hint="cs"/>
          <w:rtl/>
        </w:rPr>
        <w:t xml:space="preserve"> ולא את ממשו.</w:t>
      </w:r>
      <w:bookmarkEnd w:id="6033"/>
    </w:p>
    <w:p w:rsidR="009A0058" w:rsidRPr="007E0C12" w:rsidRDefault="009A0058" w:rsidP="009A0058">
      <w:pPr>
        <w:pStyle w:val="a2"/>
        <w:rPr>
          <w:rtl/>
        </w:rPr>
      </w:pPr>
      <w:bookmarkStart w:id="6034" w:name="_Toc13603173"/>
      <w:bookmarkStart w:id="6035" w:name="_Toc13603276"/>
      <w:bookmarkStart w:id="6036" w:name="_Toc13657824"/>
      <w:bookmarkStart w:id="6037" w:name="_Toc13663984"/>
      <w:r w:rsidRPr="007E0C12">
        <w:rPr>
          <w:rFonts w:hint="cs"/>
          <w:rtl/>
        </w:rPr>
        <w:t>ביאור הפר"ח והרש"ש דאיסור שהשתנה מברייתו ונימוח חשיב טעם אבל חָלָב הוא ממשו</w:t>
      </w:r>
      <w:bookmarkEnd w:id="6034"/>
      <w:bookmarkEnd w:id="6035"/>
      <w:bookmarkEnd w:id="6036"/>
      <w:bookmarkEnd w:id="6037"/>
    </w:p>
    <w:p w:rsidR="009A0058" w:rsidRPr="007E0C12" w:rsidRDefault="009A0058" w:rsidP="009F44AF">
      <w:pPr>
        <w:pStyle w:val="a"/>
        <w:rPr>
          <w:rtl/>
        </w:rPr>
      </w:pPr>
      <w:r w:rsidRPr="007E0C12">
        <w:rPr>
          <w:rFonts w:hint="cs"/>
          <w:rtl/>
        </w:rPr>
        <w:t xml:space="preserve">וביארו </w:t>
      </w:r>
      <w:r w:rsidRPr="007E0C12">
        <w:rPr>
          <w:rStyle w:val="af8"/>
          <w:rFonts w:hint="cs"/>
          <w:rtl/>
        </w:rPr>
        <w:t>הפר"ח</w:t>
      </w:r>
      <w:r w:rsidRPr="007E0C12">
        <w:rPr>
          <w:rFonts w:hint="cs"/>
          <w:rtl/>
        </w:rPr>
        <w:t xml:space="preserve"> </w:t>
      </w:r>
      <w:r w:rsidRPr="007E0C12">
        <w:rPr>
          <w:rStyle w:val="af6"/>
          <w:rFonts w:eastAsia="Guttman Hodes" w:hint="cs"/>
          <w:rtl/>
        </w:rPr>
        <w:t>(או"ח סי' תמ"ב סק"א ד"ה ואע"ג דחלב)</w:t>
      </w:r>
      <w:r w:rsidRPr="007E0C12">
        <w:rPr>
          <w:rFonts w:hint="cs"/>
          <w:rtl/>
        </w:rPr>
        <w:t xml:space="preserve"> </w:t>
      </w:r>
      <w:r w:rsidRPr="007E0C12">
        <w:rPr>
          <w:rStyle w:val="af8"/>
          <w:rFonts w:hint="cs"/>
          <w:rtl/>
        </w:rPr>
        <w:t>והרש"ש</w:t>
      </w:r>
      <w:r w:rsidRPr="007E0C12">
        <w:rPr>
          <w:rFonts w:hint="cs"/>
          <w:rtl/>
        </w:rPr>
        <w:t xml:space="preserve"> </w:t>
      </w:r>
      <w:r w:rsidRPr="007E0C12">
        <w:rPr>
          <w:rStyle w:val="af6"/>
          <w:rFonts w:eastAsia="Guttman Hodes" w:hint="cs"/>
          <w:rtl/>
        </w:rPr>
        <w:t>(ע"ז סז. על תוד"ה אמר ריו"ח)</w:t>
      </w:r>
      <w:r w:rsidRPr="007E0C12">
        <w:rPr>
          <w:rFonts w:hint="cs"/>
          <w:rtl/>
        </w:rPr>
        <w:t xml:space="preserve"> דס"ל </w:t>
      </w:r>
      <w:r w:rsidRPr="007E0C12">
        <w:rPr>
          <w:rStyle w:val="af8"/>
          <w:rFonts w:hint="cs"/>
          <w:rtl/>
        </w:rPr>
        <w:t>להתוס' בע"ז</w:t>
      </w:r>
      <w:r w:rsidRPr="007E0C12">
        <w:rPr>
          <w:rFonts w:hint="cs"/>
          <w:rtl/>
        </w:rPr>
        <w:t xml:space="preserve"> ד</w:t>
      </w:r>
      <w:r w:rsidRPr="007E0C12">
        <w:rPr>
          <w:rtl/>
        </w:rPr>
        <w:t>חֵלֶב</w:t>
      </w:r>
      <w:r w:rsidRPr="007E0C12">
        <w:rPr>
          <w:rFonts w:hint="cs"/>
          <w:rtl/>
        </w:rPr>
        <w:t xml:space="preserve"> שנימוח נקרא טעמו ולא ממשו, היינו כיון דבתחילת ברייתו היה שלם ולכן כשנימוח ואינו בעין נקרא טעמו ולא ממשו, אבל יין ו</w:t>
      </w:r>
      <w:r w:rsidRPr="007E0C12">
        <w:rPr>
          <w:rtl/>
        </w:rPr>
        <w:t>חָלָב</w:t>
      </w:r>
      <w:r w:rsidRPr="007E0C12">
        <w:rPr>
          <w:rFonts w:hint="cs"/>
          <w:rtl/>
        </w:rPr>
        <w:t xml:space="preserve"> דכך הם מתחילת ברייתם, ואינם משתנים בבליעה ממה שהיו בתחילה, לעולם הם בעין ומיקרי טעמו וממשו.</w:t>
      </w:r>
    </w:p>
    <w:p w:rsidR="009A0058" w:rsidRPr="007E0C12" w:rsidRDefault="009A0058" w:rsidP="009A0058">
      <w:pPr>
        <w:pStyle w:val="1"/>
        <w:rPr>
          <w:rtl/>
        </w:rPr>
      </w:pPr>
      <w:bookmarkStart w:id="6038" w:name="_Toc13418658"/>
      <w:bookmarkStart w:id="6039" w:name="_Toc13516491"/>
      <w:bookmarkStart w:id="6040" w:name="_Toc13562579"/>
      <w:bookmarkStart w:id="6041" w:name="_Toc13568566"/>
      <w:bookmarkStart w:id="6042" w:name="_Toc13603174"/>
      <w:bookmarkStart w:id="6043" w:name="_Toc13603277"/>
      <w:bookmarkStart w:id="6044" w:name="_Toc13657825"/>
      <w:bookmarkStart w:id="6045" w:name="_Toc13663985"/>
      <w:r w:rsidRPr="007E0C12">
        <w:rPr>
          <w:rFonts w:hint="cs"/>
          <w:rtl/>
        </w:rPr>
        <w:t>דברי התוס' דא"א לומר דס"ל לריו"ח דטעם כעיקר</w:t>
      </w:r>
      <w:bookmarkEnd w:id="6038"/>
      <w:bookmarkEnd w:id="6039"/>
      <w:r w:rsidRPr="007E0C12">
        <w:rPr>
          <w:rFonts w:hint="cs"/>
          <w:rtl/>
        </w:rPr>
        <w:t xml:space="preserve"> דרבנן</w:t>
      </w:r>
      <w:bookmarkEnd w:id="6040"/>
      <w:bookmarkEnd w:id="6041"/>
      <w:bookmarkEnd w:id="6042"/>
      <w:bookmarkEnd w:id="6043"/>
      <w:bookmarkEnd w:id="6044"/>
      <w:bookmarkEnd w:id="6045"/>
    </w:p>
    <w:p w:rsidR="009A0058" w:rsidRPr="007E0C12" w:rsidRDefault="009A0058" w:rsidP="009A0058">
      <w:pPr>
        <w:pStyle w:val="a2"/>
        <w:rPr>
          <w:rtl/>
        </w:rPr>
      </w:pPr>
      <w:bookmarkStart w:id="6046" w:name="_Toc13396648"/>
      <w:bookmarkStart w:id="6047" w:name="_Toc13418660"/>
      <w:bookmarkStart w:id="6048" w:name="_Toc13516493"/>
      <w:bookmarkStart w:id="6049" w:name="_Toc13562580"/>
      <w:bookmarkStart w:id="6050" w:name="_Toc13568567"/>
      <w:bookmarkStart w:id="6051" w:name="_Toc13603175"/>
      <w:bookmarkStart w:id="6052" w:name="_Toc13603278"/>
      <w:bookmarkStart w:id="6053" w:name="_Toc13657826"/>
      <w:bookmarkStart w:id="6054" w:name="_Toc13663986"/>
      <w:r w:rsidRPr="007E0C12">
        <w:rPr>
          <w:rFonts w:hint="cs"/>
          <w:rtl/>
        </w:rPr>
        <w:t>קושית ר"ת בספר הישר דמדברי ריו"ח משמע דס"ל דטעם כעיקר דרבנן</w:t>
      </w:r>
      <w:bookmarkEnd w:id="6046"/>
      <w:bookmarkEnd w:id="6047"/>
      <w:bookmarkEnd w:id="6048"/>
      <w:bookmarkEnd w:id="6049"/>
      <w:bookmarkEnd w:id="6050"/>
      <w:bookmarkEnd w:id="6051"/>
      <w:bookmarkEnd w:id="6052"/>
      <w:bookmarkEnd w:id="6053"/>
      <w:bookmarkEnd w:id="6054"/>
    </w:p>
    <w:p w:rsidR="009A0058" w:rsidRPr="007E0C12" w:rsidRDefault="009A0058" w:rsidP="009F44AF">
      <w:pPr>
        <w:pStyle w:val="a"/>
        <w:rPr>
          <w:rStyle w:val="afa"/>
        </w:rPr>
      </w:pPr>
      <w:bookmarkStart w:id="6055" w:name="_Ref13654628"/>
      <w:r w:rsidRPr="007E0C12">
        <w:rPr>
          <w:rFonts w:hint="cs"/>
          <w:rtl/>
        </w:rPr>
        <w:t xml:space="preserve">ועי' בדברי </w:t>
      </w:r>
      <w:r w:rsidRPr="007E0C12">
        <w:rPr>
          <w:rStyle w:val="af8"/>
          <w:rFonts w:hint="cs"/>
          <w:rtl/>
        </w:rPr>
        <w:t>התוס' בסוגיין</w:t>
      </w:r>
      <w:r w:rsidRPr="007E0C12">
        <w:rPr>
          <w:rFonts w:hint="cs"/>
          <w:rtl/>
        </w:rPr>
        <w:t xml:space="preserve"> </w:t>
      </w:r>
      <w:r w:rsidRPr="007E0C12">
        <w:rPr>
          <w:rStyle w:val="af6"/>
          <w:rFonts w:eastAsia="Guttman Hodes" w:hint="cs"/>
          <w:rtl/>
        </w:rPr>
        <w:t>(ד"ה רבא)</w:t>
      </w:r>
      <w:r w:rsidRPr="007E0C12">
        <w:rPr>
          <w:rFonts w:hint="cs"/>
          <w:rtl/>
        </w:rPr>
        <w:t xml:space="preserve"> </w:t>
      </w:r>
      <w:r w:rsidRPr="007E0C12">
        <w:rPr>
          <w:rStyle w:val="af8"/>
          <w:rFonts w:hint="cs"/>
          <w:rtl/>
        </w:rPr>
        <w:t>והתוס' בע"ז</w:t>
      </w:r>
      <w:r w:rsidRPr="007E0C12">
        <w:rPr>
          <w:rFonts w:hint="cs"/>
          <w:rtl/>
        </w:rPr>
        <w:t xml:space="preserve"> </w:t>
      </w:r>
      <w:r w:rsidRPr="007E0C12">
        <w:rPr>
          <w:rStyle w:val="af6"/>
          <w:rFonts w:eastAsia="Guttman Hodes" w:hint="cs"/>
          <w:rtl/>
        </w:rPr>
        <w:t xml:space="preserve">(סז. ד"ה אמר ריו"ח) </w:t>
      </w:r>
      <w:r w:rsidRPr="007E0C12">
        <w:rPr>
          <w:rFonts w:hint="cs"/>
          <w:rtl/>
        </w:rPr>
        <w:t xml:space="preserve">בשם </w:t>
      </w:r>
      <w:r w:rsidRPr="007E0C12">
        <w:rPr>
          <w:rStyle w:val="af8"/>
          <w:rFonts w:hint="cs"/>
          <w:rtl/>
        </w:rPr>
        <w:t xml:space="preserve">ר"ת בספר הישר </w:t>
      </w:r>
      <w:r w:rsidRPr="007E0C12">
        <w:rPr>
          <w:rStyle w:val="af6"/>
          <w:rFonts w:eastAsia="Guttman Hodes" w:hint="cs"/>
          <w:rtl/>
        </w:rPr>
        <w:t>(חלק החי' סי' תרצ"ד, הועתק בקובץ שיטות קמאי ע"ז ח"ב עמ'</w:t>
      </w:r>
      <w:r w:rsidRPr="007E0C12">
        <w:rPr>
          <w:rStyle w:val="af6"/>
          <w:rFonts w:eastAsia="Guttman Hodes"/>
          <w:rtl/>
        </w:rPr>
        <w:t xml:space="preserve"> אלף תר</w:t>
      </w:r>
      <w:r w:rsidRPr="007E0C12">
        <w:rPr>
          <w:rStyle w:val="af6"/>
          <w:rFonts w:eastAsia="Guttman Hodes" w:hint="cs"/>
          <w:rtl/>
        </w:rPr>
        <w:t>"</w:t>
      </w:r>
      <w:r w:rsidRPr="007E0C12">
        <w:rPr>
          <w:rStyle w:val="af6"/>
          <w:rFonts w:eastAsia="Guttman Hodes"/>
          <w:rtl/>
        </w:rPr>
        <w:t>י</w:t>
      </w:r>
      <w:r w:rsidRPr="007E0C12">
        <w:rPr>
          <w:rStyle w:val="af6"/>
          <w:rFonts w:eastAsia="Guttman Hodes" w:hint="cs"/>
          <w:rtl/>
        </w:rPr>
        <w:t>)</w:t>
      </w:r>
      <w:r w:rsidRPr="007E0C12">
        <w:rPr>
          <w:rFonts w:hint="cs"/>
          <w:rtl/>
        </w:rPr>
        <w:t xml:space="preserve"> דהאריכו להוכיח דלכו"ע טעם כעיקר דאו', אך הקשו </w:t>
      </w:r>
      <w:r w:rsidRPr="007E0C12">
        <w:rPr>
          <w:rStyle w:val="af8"/>
          <w:rFonts w:hint="cs"/>
          <w:rtl/>
        </w:rPr>
        <w:t>התוס' בסוגיין</w:t>
      </w:r>
      <w:r w:rsidRPr="007E0C12">
        <w:rPr>
          <w:rFonts w:hint="cs"/>
          <w:rtl/>
        </w:rPr>
        <w:t xml:space="preserve"> </w:t>
      </w:r>
      <w:r w:rsidRPr="007E0C12">
        <w:rPr>
          <w:rStyle w:val="af8"/>
          <w:rFonts w:hint="cs"/>
          <w:rtl/>
        </w:rPr>
        <w:t>והתוס' בע"ז</w:t>
      </w:r>
      <w:r w:rsidRPr="007E0C12">
        <w:rPr>
          <w:rFonts w:hint="cs"/>
          <w:rtl/>
        </w:rPr>
        <w:t xml:space="preserve"> בשם </w:t>
      </w:r>
      <w:r w:rsidRPr="007E0C12">
        <w:rPr>
          <w:rStyle w:val="af8"/>
          <w:rFonts w:hint="cs"/>
          <w:rtl/>
        </w:rPr>
        <w:t xml:space="preserve">ר"ת בספר הישר </w:t>
      </w:r>
      <w:r w:rsidRPr="007E0C12">
        <w:rPr>
          <w:rFonts w:hint="cs"/>
          <w:rtl/>
        </w:rPr>
        <w:t xml:space="preserve">דמדברי ריו"ח בע"ז דאמר </w:t>
      </w:r>
      <w:r w:rsidRPr="007E0C12">
        <w:rPr>
          <w:rFonts w:hint="cs"/>
          <w:rtl/>
        </w:rPr>
        <w:lastRenderedPageBreak/>
        <w:t xml:space="preserve">דטעמו וממשו לוקים, ובטעמו ולא ממשו אין לוקין, משמע דטעם כעיקר דרבנן, </w:t>
      </w:r>
      <w:r w:rsidRPr="007E0C12">
        <w:rPr>
          <w:rStyle w:val="afa"/>
          <w:rFonts w:hint="cs"/>
          <w:rtl/>
        </w:rPr>
        <w:t xml:space="preserve">[כדכתב </w:t>
      </w:r>
      <w:r w:rsidRPr="007E0C12">
        <w:rPr>
          <w:rStyle w:val="affa"/>
          <w:rFonts w:hint="cs"/>
          <w:rtl/>
        </w:rPr>
        <w:t>רש"י</w:t>
      </w:r>
      <w:r w:rsidRPr="007E0C12">
        <w:rPr>
          <w:rStyle w:val="afa"/>
          <w:rFonts w:hint="cs"/>
          <w:rtl/>
        </w:rPr>
        <w:t xml:space="preserve"> </w:t>
      </w:r>
      <w:r w:rsidRPr="007E0C12">
        <w:rPr>
          <w:rStyle w:val="aff6"/>
          <w:rFonts w:hint="cs"/>
          <w:rtl/>
        </w:rPr>
        <w:t xml:space="preserve">(עי' אות </w:t>
      </w:r>
      <w:r w:rsidRPr="007E0C12">
        <w:rPr>
          <w:rStyle w:val="aff6"/>
          <w:rtl/>
        </w:rPr>
        <w:fldChar w:fldCharType="begin"/>
      </w:r>
      <w:r w:rsidRPr="007E0C12">
        <w:rPr>
          <w:rStyle w:val="aff6"/>
          <w:rtl/>
        </w:rPr>
        <w:instrText xml:space="preserve"> </w:instrText>
      </w:r>
      <w:r w:rsidRPr="007E0C12">
        <w:rPr>
          <w:rStyle w:val="aff6"/>
          <w:rFonts w:hint="cs"/>
        </w:rPr>
        <w:instrText>REF</w:instrText>
      </w:r>
      <w:r w:rsidRPr="007E0C12">
        <w:rPr>
          <w:rStyle w:val="aff6"/>
          <w:rFonts w:hint="cs"/>
          <w:rtl/>
        </w:rPr>
        <w:instrText xml:space="preserve"> _</w:instrText>
      </w:r>
      <w:r w:rsidRPr="007E0C12">
        <w:rPr>
          <w:rStyle w:val="aff6"/>
          <w:rFonts w:hint="cs"/>
        </w:rPr>
        <w:instrText>Ref12390306 \r \h</w:instrText>
      </w:r>
      <w:r w:rsidRPr="007E0C12">
        <w:rPr>
          <w:rStyle w:val="aff6"/>
          <w:rtl/>
        </w:rPr>
        <w:instrText xml:space="preserve">  \* </w:instrText>
      </w:r>
      <w:r w:rsidRPr="007E0C12">
        <w:rPr>
          <w:rStyle w:val="aff6"/>
        </w:rPr>
        <w:instrText>MERGEFORMAT</w:instrText>
      </w:r>
      <w:r w:rsidRPr="007E0C12">
        <w:rPr>
          <w:rStyle w:val="aff6"/>
          <w:rtl/>
        </w:rPr>
        <w:instrText xml:space="preserve"> </w:instrText>
      </w:r>
      <w:r w:rsidRPr="007E0C12">
        <w:rPr>
          <w:rStyle w:val="aff6"/>
          <w:rtl/>
        </w:rPr>
      </w:r>
      <w:r w:rsidRPr="007E0C12">
        <w:rPr>
          <w:rStyle w:val="aff6"/>
          <w:rtl/>
        </w:rPr>
        <w:fldChar w:fldCharType="separate"/>
      </w:r>
      <w:r w:rsidR="004D1C5B">
        <w:rPr>
          <w:rStyle w:val="aff6"/>
          <w:cs/>
        </w:rPr>
        <w:t>‎</w:t>
      </w:r>
      <w:r w:rsidR="004D1C5B">
        <w:rPr>
          <w:rStyle w:val="aff6"/>
          <w:rtl/>
        </w:rPr>
        <w:t>א)</w:t>
      </w:r>
      <w:r w:rsidRPr="007E0C12">
        <w:rPr>
          <w:rStyle w:val="aff6"/>
          <w:rtl/>
        </w:rPr>
        <w:fldChar w:fldCharType="end"/>
      </w:r>
      <w:r w:rsidRPr="007E0C12">
        <w:rPr>
          <w:rStyle w:val="afa"/>
          <w:rFonts w:hint="cs"/>
          <w:rtl/>
        </w:rPr>
        <w:t>],</w:t>
      </w:r>
      <w:r w:rsidRPr="007E0C12">
        <w:rPr>
          <w:rFonts w:hint="cs"/>
          <w:rtl/>
        </w:rPr>
        <w:t xml:space="preserve"> אך כתבו </w:t>
      </w:r>
      <w:r w:rsidRPr="007E0C12">
        <w:rPr>
          <w:rStyle w:val="af8"/>
          <w:rFonts w:hint="cs"/>
          <w:rtl/>
        </w:rPr>
        <w:t>התוס' בסוגיין</w:t>
      </w:r>
      <w:r w:rsidRPr="007E0C12">
        <w:rPr>
          <w:rFonts w:hint="cs"/>
          <w:rtl/>
        </w:rPr>
        <w:t xml:space="preserve"> </w:t>
      </w:r>
      <w:r w:rsidRPr="007E0C12">
        <w:rPr>
          <w:rStyle w:val="af8"/>
          <w:rFonts w:hint="cs"/>
          <w:rtl/>
        </w:rPr>
        <w:t>והתוס' בע"ז</w:t>
      </w:r>
      <w:r w:rsidRPr="007E0C12">
        <w:rPr>
          <w:rFonts w:hint="cs"/>
          <w:rtl/>
        </w:rPr>
        <w:t xml:space="preserve"> בשם </w:t>
      </w:r>
      <w:r w:rsidRPr="007E0C12">
        <w:rPr>
          <w:rStyle w:val="af8"/>
          <w:rFonts w:hint="cs"/>
          <w:rtl/>
        </w:rPr>
        <w:t xml:space="preserve">ר"ת בספר הישר </w:t>
      </w:r>
      <w:r w:rsidRPr="007E0C12">
        <w:rPr>
          <w:rFonts w:hint="cs"/>
          <w:rtl/>
        </w:rPr>
        <w:t xml:space="preserve">דבגמ' בפסחים </w:t>
      </w:r>
      <w:r w:rsidRPr="007E0C12">
        <w:rPr>
          <w:rStyle w:val="af6"/>
          <w:rFonts w:eastAsia="Guttman Hodes" w:hint="cs"/>
          <w:rtl/>
        </w:rPr>
        <w:t>(מד:)</w:t>
      </w:r>
      <w:r w:rsidRPr="007E0C12">
        <w:rPr>
          <w:rFonts w:hint="cs"/>
          <w:rtl/>
        </w:rPr>
        <w:t xml:space="preserve"> מוכח דא"א לומר דריו"ח בע"ז ס"ל דטעם כעיקר דרבנן, עיי"ש בדבריהם.</w:t>
      </w:r>
      <w:bookmarkEnd w:id="6055"/>
      <w:r w:rsidRPr="007E0C12">
        <w:rPr>
          <w:rFonts w:hint="cs"/>
          <w:rtl/>
        </w:rPr>
        <w:t xml:space="preserve"> </w:t>
      </w:r>
      <w:r w:rsidRPr="007E0C12">
        <w:rPr>
          <w:rStyle w:val="afa"/>
          <w:rFonts w:hint="cs"/>
          <w:rtl/>
        </w:rPr>
        <w:t xml:space="preserve">  </w:t>
      </w:r>
    </w:p>
    <w:p w:rsidR="009A0058" w:rsidRPr="007E0C12" w:rsidRDefault="009A0058" w:rsidP="009A0058">
      <w:pPr>
        <w:pStyle w:val="a2"/>
        <w:rPr>
          <w:rtl/>
        </w:rPr>
      </w:pPr>
      <w:bookmarkStart w:id="6056" w:name="_Toc13396649"/>
      <w:bookmarkStart w:id="6057" w:name="_Toc13418661"/>
      <w:bookmarkStart w:id="6058" w:name="_Toc13516494"/>
      <w:bookmarkStart w:id="6059" w:name="_Toc13562581"/>
      <w:bookmarkStart w:id="6060" w:name="_Toc13568568"/>
      <w:bookmarkStart w:id="6061" w:name="_Toc13603176"/>
      <w:bookmarkStart w:id="6062" w:name="_Toc13603279"/>
      <w:bookmarkStart w:id="6063" w:name="_Toc13657827"/>
      <w:bookmarkStart w:id="6064" w:name="_Toc13663987"/>
      <w:r w:rsidRPr="007E0C12">
        <w:rPr>
          <w:rFonts w:hint="cs"/>
          <w:rtl/>
        </w:rPr>
        <w:t>דברי ר"ת בספר הישר דטעמו ולא ממשו הוא לשון הגמ' והיינו טעם כעיקר בלשון הברייתא</w:t>
      </w:r>
      <w:bookmarkEnd w:id="6056"/>
      <w:bookmarkEnd w:id="6057"/>
      <w:bookmarkEnd w:id="6058"/>
      <w:bookmarkEnd w:id="6059"/>
      <w:bookmarkEnd w:id="6060"/>
      <w:bookmarkEnd w:id="6061"/>
      <w:bookmarkEnd w:id="6062"/>
      <w:bookmarkEnd w:id="6063"/>
      <w:bookmarkEnd w:id="6064"/>
    </w:p>
    <w:p w:rsidR="009A0058" w:rsidRPr="007E0C12" w:rsidRDefault="009A0058" w:rsidP="009F44AF">
      <w:pPr>
        <w:pStyle w:val="a"/>
        <w:rPr>
          <w:rStyle w:val="afa"/>
          <w:rtl/>
        </w:rPr>
      </w:pPr>
      <w:r w:rsidRPr="007E0C12">
        <w:rPr>
          <w:rFonts w:hint="cs"/>
          <w:rtl/>
        </w:rPr>
        <w:t xml:space="preserve">והוסיף </w:t>
      </w:r>
      <w:r w:rsidRPr="007E0C12">
        <w:rPr>
          <w:rStyle w:val="af8"/>
          <w:rFonts w:hint="cs"/>
          <w:rtl/>
        </w:rPr>
        <w:t xml:space="preserve">ר"ת בספר הישר </w:t>
      </w:r>
      <w:r w:rsidRPr="007E0C12">
        <w:rPr>
          <w:rFonts w:hint="cs"/>
          <w:rtl/>
        </w:rPr>
        <w:t xml:space="preserve">דהא דאמר ריו"ח בע"ז </w:t>
      </w:r>
      <w:r w:rsidRPr="007E0C12">
        <w:rPr>
          <w:rStyle w:val="af6"/>
          <w:rFonts w:eastAsia="Guttman Hodes" w:hint="cs"/>
          <w:rtl/>
        </w:rPr>
        <w:t xml:space="preserve"> </w:t>
      </w:r>
      <w:r w:rsidRPr="007E0C12">
        <w:rPr>
          <w:rFonts w:hint="cs"/>
          <w:rtl/>
        </w:rPr>
        <w:t xml:space="preserve">דטעמו וממשו לוקים, ובטעמו ולא ממשו אין לוקין, היינו טעם כעיקר שנאמר בגמ' בכל מקום, וביאר </w:t>
      </w:r>
      <w:r w:rsidRPr="007E0C12">
        <w:rPr>
          <w:rStyle w:val="af8"/>
          <w:rFonts w:hint="cs"/>
          <w:rtl/>
        </w:rPr>
        <w:t xml:space="preserve">ר"ת בספר הישר </w:t>
      </w:r>
      <w:r w:rsidRPr="007E0C12">
        <w:rPr>
          <w:rFonts w:hint="cs"/>
          <w:rtl/>
        </w:rPr>
        <w:t xml:space="preserve">דלשון הגמ' היא טעמו ולא ממשו, ולשון הברייתא היא טעם כעיקר, וכתב </w:t>
      </w:r>
      <w:r w:rsidRPr="007E0C12">
        <w:rPr>
          <w:rStyle w:val="af8"/>
          <w:rFonts w:hint="cs"/>
          <w:rtl/>
        </w:rPr>
        <w:t xml:space="preserve">ר"ת בספר הישר </w:t>
      </w:r>
      <w:r w:rsidRPr="007E0C12">
        <w:rPr>
          <w:rFonts w:hint="cs"/>
          <w:rtl/>
        </w:rPr>
        <w:t xml:space="preserve">דכן מוכח מדברי אביי לקמן </w:t>
      </w:r>
      <w:r w:rsidRPr="007E0C12">
        <w:rPr>
          <w:rStyle w:val="af6"/>
          <w:rFonts w:eastAsia="Guttman Hodes" w:hint="cs"/>
          <w:rtl/>
        </w:rPr>
        <w:t>(קח.)</w:t>
      </w:r>
      <w:r w:rsidRPr="007E0C12">
        <w:rPr>
          <w:rFonts w:hint="cs"/>
          <w:rtl/>
        </w:rPr>
        <w:t xml:space="preserve"> דיליף טעמו ולא ממשו מבשר בחלב, ור"ע דיליף בגמ' בפסחים </w:t>
      </w:r>
      <w:r w:rsidRPr="007E0C12">
        <w:rPr>
          <w:rStyle w:val="af6"/>
          <w:rFonts w:eastAsia="Guttman Hodes" w:hint="cs"/>
          <w:rtl/>
        </w:rPr>
        <w:t xml:space="preserve">(מד:) </w:t>
      </w:r>
      <w:r w:rsidRPr="007E0C12">
        <w:rPr>
          <w:rFonts w:hint="cs"/>
          <w:rtl/>
        </w:rPr>
        <w:t>ממשרת דהיתר מצטרף לאיסור, יליף טעם כעיקר מבשר בחלב, ומוכח דטעמו ולא ממשו וטעם כעיקר הם דבר אחד.</w:t>
      </w:r>
      <w:r w:rsidRPr="007E0C12">
        <w:rPr>
          <w:rStyle w:val="afa"/>
          <w:rFonts w:hint="cs"/>
          <w:rtl/>
        </w:rPr>
        <w:t xml:space="preserve"> </w:t>
      </w:r>
    </w:p>
    <w:p w:rsidR="009A0058" w:rsidRPr="007E0C12" w:rsidRDefault="009A0058" w:rsidP="009A0058">
      <w:pPr>
        <w:pStyle w:val="1"/>
        <w:rPr>
          <w:rtl/>
        </w:rPr>
      </w:pPr>
      <w:bookmarkStart w:id="6065" w:name="_Toc13396647"/>
      <w:bookmarkStart w:id="6066" w:name="_Toc13418659"/>
      <w:bookmarkStart w:id="6067" w:name="_Toc13516492"/>
      <w:bookmarkStart w:id="6068" w:name="_Toc13562582"/>
      <w:bookmarkStart w:id="6069" w:name="_Toc13568569"/>
      <w:bookmarkStart w:id="6070" w:name="_Toc13603177"/>
      <w:bookmarkStart w:id="6071" w:name="_Toc13603280"/>
      <w:bookmarkStart w:id="6072" w:name="_Toc13657828"/>
      <w:bookmarkStart w:id="6073" w:name="_Toc13663988"/>
      <w:bookmarkStart w:id="6074" w:name="_Toc13045637"/>
      <w:bookmarkStart w:id="6075" w:name="_Toc13134824"/>
      <w:bookmarkStart w:id="6076" w:name="_Toc13244684"/>
      <w:bookmarkStart w:id="6077" w:name="_Toc13396630"/>
      <w:bookmarkStart w:id="6078" w:name="_Toc13418662"/>
      <w:bookmarkStart w:id="6079" w:name="_Toc13516495"/>
      <w:r w:rsidRPr="007E0C12">
        <w:rPr>
          <w:rFonts w:hint="cs"/>
          <w:rtl/>
        </w:rPr>
        <w:t xml:space="preserve">ביאור התוס' </w:t>
      </w:r>
      <w:bookmarkEnd w:id="6065"/>
      <w:bookmarkEnd w:id="6066"/>
      <w:bookmarkEnd w:id="6067"/>
      <w:bookmarkEnd w:id="6068"/>
      <w:bookmarkEnd w:id="6069"/>
      <w:bookmarkEnd w:id="6070"/>
      <w:bookmarkEnd w:id="6071"/>
      <w:bookmarkEnd w:id="6072"/>
      <w:r>
        <w:rPr>
          <w:rFonts w:hint="cs"/>
          <w:rtl/>
        </w:rPr>
        <w:t>בריו"ח במין במינו דבאיסור בעין לוקין והטעם בטל</w:t>
      </w:r>
      <w:bookmarkEnd w:id="6073"/>
    </w:p>
    <w:p w:rsidR="009A0058" w:rsidRPr="007E0C12" w:rsidRDefault="009A0058" w:rsidP="009A0058">
      <w:pPr>
        <w:pStyle w:val="a2"/>
        <w:rPr>
          <w:rtl/>
        </w:rPr>
      </w:pPr>
      <w:bookmarkStart w:id="6080" w:name="_Toc13562583"/>
      <w:bookmarkStart w:id="6081" w:name="_Toc13568570"/>
      <w:bookmarkStart w:id="6082" w:name="_Toc13603178"/>
      <w:bookmarkStart w:id="6083" w:name="_Toc13603281"/>
      <w:bookmarkStart w:id="6084" w:name="_Toc13657829"/>
      <w:bookmarkStart w:id="6085" w:name="_Toc13663989"/>
      <w:r w:rsidRPr="007E0C12">
        <w:rPr>
          <w:rFonts w:hint="cs"/>
          <w:rtl/>
        </w:rPr>
        <w:t>דברי התוס' דריו"ח דאמר דאין לוקין על טעמו בלא ממשו היינו במין במינו דמדאו' מהני ביטול ברוב</w:t>
      </w:r>
      <w:bookmarkEnd w:id="6074"/>
      <w:bookmarkEnd w:id="6075"/>
      <w:bookmarkEnd w:id="6076"/>
      <w:bookmarkEnd w:id="6077"/>
      <w:bookmarkEnd w:id="6078"/>
      <w:bookmarkEnd w:id="6079"/>
      <w:bookmarkEnd w:id="6080"/>
      <w:bookmarkEnd w:id="6081"/>
      <w:bookmarkEnd w:id="6082"/>
      <w:bookmarkEnd w:id="6083"/>
      <w:bookmarkEnd w:id="6084"/>
      <w:bookmarkEnd w:id="6085"/>
    </w:p>
    <w:p w:rsidR="009A0058" w:rsidRDefault="009A0058" w:rsidP="009F44AF">
      <w:pPr>
        <w:pStyle w:val="a"/>
        <w:rPr>
          <w:rtl/>
        </w:rPr>
      </w:pPr>
      <w:bookmarkStart w:id="6086" w:name="_Ref13661830"/>
      <w:r w:rsidRPr="007E0C12">
        <w:rPr>
          <w:rFonts w:hint="cs"/>
          <w:rtl/>
        </w:rPr>
        <w:t xml:space="preserve">אלא ביארו </w:t>
      </w:r>
      <w:r w:rsidRPr="007E0C12">
        <w:rPr>
          <w:rStyle w:val="af8"/>
          <w:rFonts w:hint="cs"/>
          <w:rtl/>
        </w:rPr>
        <w:t>התוס' בסוגיין</w:t>
      </w:r>
      <w:r w:rsidRPr="007E0C12">
        <w:rPr>
          <w:rFonts w:hint="cs"/>
          <w:rtl/>
        </w:rPr>
        <w:t xml:space="preserve"> </w:t>
      </w:r>
      <w:r w:rsidRPr="007E0C12">
        <w:rPr>
          <w:rStyle w:val="af6"/>
          <w:rFonts w:eastAsia="Guttman Hodes" w:hint="cs"/>
          <w:rtl/>
        </w:rPr>
        <w:t>(ד"ה רבא)</w:t>
      </w:r>
      <w:r w:rsidRPr="007E0C12">
        <w:rPr>
          <w:rtl/>
        </w:rPr>
        <w:t xml:space="preserve"> </w:t>
      </w:r>
      <w:r w:rsidRPr="007E0C12">
        <w:rPr>
          <w:rStyle w:val="af8"/>
          <w:rFonts w:hint="cs"/>
          <w:rtl/>
        </w:rPr>
        <w:t>והתוס' בע"ז</w:t>
      </w:r>
      <w:r w:rsidRPr="007E0C12">
        <w:rPr>
          <w:rFonts w:hint="cs"/>
          <w:rtl/>
        </w:rPr>
        <w:t xml:space="preserve"> </w:t>
      </w:r>
      <w:r w:rsidRPr="007E0C12">
        <w:rPr>
          <w:rStyle w:val="af6"/>
          <w:rFonts w:eastAsia="Guttman Hodes" w:hint="cs"/>
          <w:rtl/>
        </w:rPr>
        <w:t>(סז. ד"ה א"ר יוחנן)</w:t>
      </w:r>
      <w:r w:rsidRPr="007E0C12">
        <w:rPr>
          <w:rFonts w:hint="cs"/>
          <w:rtl/>
        </w:rPr>
        <w:t xml:space="preserve"> </w:t>
      </w:r>
      <w:r w:rsidRPr="007E0C12">
        <w:rPr>
          <w:rStyle w:val="af8"/>
          <w:rFonts w:hint="cs"/>
          <w:rtl/>
        </w:rPr>
        <w:t xml:space="preserve">והרא"ש </w:t>
      </w:r>
      <w:r w:rsidRPr="007E0C12">
        <w:rPr>
          <w:rStyle w:val="af6"/>
          <w:rFonts w:eastAsia="Guttman Hodes" w:hint="cs"/>
          <w:rtl/>
        </w:rPr>
        <w:t>(סי' ל"א)</w:t>
      </w:r>
      <w:r w:rsidRPr="007E0C12">
        <w:rPr>
          <w:rStyle w:val="af8"/>
          <w:rFonts w:hint="cs"/>
          <w:rtl/>
        </w:rPr>
        <w:t xml:space="preserve"> </w:t>
      </w:r>
      <w:r w:rsidRPr="007E0C12">
        <w:rPr>
          <w:rFonts w:hint="cs"/>
          <w:rtl/>
        </w:rPr>
        <w:t xml:space="preserve">דריו"ח ס"ל דטעם כעיקר דאו', והא דאמר ריו"ח דטעמו ולא ממשו אסור ואין לוקין עליו, היינו דוקא במין במינו דמדאו' בטל ברוב, והוסיפו </w:t>
      </w:r>
      <w:r w:rsidRPr="007E0C12">
        <w:rPr>
          <w:rStyle w:val="af8"/>
          <w:rFonts w:hint="cs"/>
          <w:rtl/>
        </w:rPr>
        <w:t>התוס' בע"ז</w:t>
      </w:r>
      <w:r w:rsidRPr="007E0C12">
        <w:rPr>
          <w:rFonts w:hint="cs"/>
          <w:rtl/>
        </w:rPr>
        <w:t xml:space="preserve"> דכן מבואר בדברי רבא בזבחים</w:t>
      </w:r>
      <w:r w:rsidRPr="007E0C12">
        <w:rPr>
          <w:rStyle w:val="af6"/>
          <w:rFonts w:eastAsia="Guttman Hodes" w:hint="cs"/>
          <w:rtl/>
        </w:rPr>
        <w:t xml:space="preserve"> (עט.) </w:t>
      </w:r>
      <w:r w:rsidRPr="007E0C12">
        <w:rPr>
          <w:rFonts w:hint="cs"/>
          <w:rtl/>
        </w:rPr>
        <w:t xml:space="preserve">דמין במינו ברובא, דהיינו דמדאו' בטל ברוב ומדרבנן צריך שישים, ולכן אמר ריו"ח דאין בו מלקות </w:t>
      </w:r>
      <w:r w:rsidRPr="007E0C12">
        <w:rPr>
          <w:rStyle w:val="afa"/>
          <w:rFonts w:hint="cs"/>
          <w:rtl/>
        </w:rPr>
        <w:t xml:space="preserve">[והוסיף </w:t>
      </w:r>
      <w:r w:rsidRPr="007E0C12">
        <w:rPr>
          <w:rStyle w:val="affa"/>
          <w:rFonts w:hint="cs"/>
          <w:rtl/>
        </w:rPr>
        <w:t>הרא"ש</w:t>
      </w:r>
      <w:r w:rsidRPr="007E0C12">
        <w:rPr>
          <w:rStyle w:val="afa"/>
          <w:rFonts w:hint="cs"/>
          <w:rtl/>
        </w:rPr>
        <w:t xml:space="preserve"> דה"ה אם האיסור בעין ולא נימוח כלל, אלא דאינו ניכר בתערובת, דאין לוקין עליו דהוא בטל ברוב], </w:t>
      </w:r>
      <w:r w:rsidRPr="007E0C12">
        <w:rPr>
          <w:rFonts w:hint="cs"/>
          <w:rtl/>
        </w:rPr>
        <w:t xml:space="preserve">וביאר </w:t>
      </w:r>
      <w:r w:rsidRPr="007E0C12">
        <w:rPr>
          <w:rStyle w:val="af8"/>
          <w:rFonts w:hint="cs"/>
          <w:rtl/>
        </w:rPr>
        <w:t>הרשב"א בחי'</w:t>
      </w:r>
      <w:r w:rsidRPr="007E0C12">
        <w:rPr>
          <w:rFonts w:hint="cs"/>
          <w:rtl/>
        </w:rPr>
        <w:t xml:space="preserve"> </w:t>
      </w:r>
      <w:r w:rsidRPr="007E0C12">
        <w:rPr>
          <w:rStyle w:val="af6"/>
          <w:rFonts w:eastAsia="Guttman Hodes" w:hint="cs"/>
          <w:rtl/>
        </w:rPr>
        <w:t xml:space="preserve">(ד"ה ומיהו) </w:t>
      </w:r>
      <w:r w:rsidRPr="007E0C12">
        <w:rPr>
          <w:rFonts w:hint="cs"/>
          <w:rtl/>
        </w:rPr>
        <w:t>בשם</w:t>
      </w:r>
      <w:r w:rsidRPr="007E0C12">
        <w:rPr>
          <w:rStyle w:val="af8"/>
          <w:rFonts w:hint="cs"/>
          <w:rtl/>
        </w:rPr>
        <w:t xml:space="preserve"> ר"ת</w:t>
      </w:r>
      <w:r w:rsidRPr="007E0C12">
        <w:rPr>
          <w:rFonts w:hint="cs"/>
          <w:rtl/>
        </w:rPr>
        <w:t xml:space="preserve"> דהא דאמר ריו"ח דיש בו טעם, כוונתו דבתערובת כזו במין בשאינו מינו יש נתינת טעם, ואף במין במינו יש נתינת טעם אלא שאין הטעם ניכר.</w:t>
      </w:r>
      <w:bookmarkEnd w:id="6086"/>
    </w:p>
    <w:p w:rsidR="009A0058" w:rsidRPr="007E0C12" w:rsidRDefault="009A0058" w:rsidP="009A0058">
      <w:pPr>
        <w:pStyle w:val="a2"/>
      </w:pPr>
      <w:bookmarkStart w:id="6087" w:name="_Toc13045638"/>
      <w:bookmarkStart w:id="6088" w:name="_Toc13134825"/>
      <w:bookmarkStart w:id="6089" w:name="_Toc13244685"/>
      <w:bookmarkStart w:id="6090" w:name="_Toc13396631"/>
      <w:bookmarkStart w:id="6091" w:name="_Toc13418663"/>
      <w:bookmarkStart w:id="6092" w:name="_Toc13516496"/>
      <w:bookmarkStart w:id="6093" w:name="_Toc13562584"/>
      <w:bookmarkStart w:id="6094" w:name="_Toc13568571"/>
      <w:bookmarkStart w:id="6095" w:name="_Toc13603179"/>
      <w:bookmarkStart w:id="6096" w:name="_Toc13603282"/>
      <w:bookmarkStart w:id="6097" w:name="_Toc13657830"/>
      <w:bookmarkStart w:id="6098" w:name="_Toc13663990"/>
      <w:r w:rsidRPr="007E0C12">
        <w:rPr>
          <w:rFonts w:hint="cs"/>
          <w:rtl/>
        </w:rPr>
        <w:t>ביאור התוס' והרא"ש והרשב"א דבמין במינו אין לוקין אף בממשו דאינו ניכר ובטל ברוב</w:t>
      </w:r>
      <w:bookmarkEnd w:id="6087"/>
      <w:bookmarkEnd w:id="6088"/>
      <w:bookmarkEnd w:id="6089"/>
      <w:bookmarkEnd w:id="6090"/>
      <w:bookmarkEnd w:id="6091"/>
      <w:bookmarkEnd w:id="6092"/>
      <w:bookmarkEnd w:id="6093"/>
      <w:bookmarkEnd w:id="6094"/>
      <w:bookmarkEnd w:id="6095"/>
      <w:bookmarkEnd w:id="6096"/>
      <w:bookmarkEnd w:id="6097"/>
      <w:bookmarkEnd w:id="6098"/>
    </w:p>
    <w:p w:rsidR="009A0058" w:rsidRPr="007E0C12" w:rsidRDefault="009A0058" w:rsidP="009F44AF">
      <w:pPr>
        <w:pStyle w:val="a"/>
      </w:pPr>
      <w:r w:rsidRPr="007E0C12">
        <w:rPr>
          <w:rFonts w:hint="cs"/>
          <w:rtl/>
        </w:rPr>
        <w:t xml:space="preserve">והא דאמר ריו"ח דבטעמו וממשו לוקין, כתבו </w:t>
      </w:r>
      <w:r w:rsidRPr="007E0C12">
        <w:rPr>
          <w:rStyle w:val="af8"/>
          <w:rFonts w:hint="cs"/>
          <w:rtl/>
        </w:rPr>
        <w:t xml:space="preserve">התוס' והתוס' בע"ז </w:t>
      </w:r>
      <w:r w:rsidRPr="007E0C12">
        <w:rPr>
          <w:rFonts w:hint="cs"/>
          <w:rtl/>
        </w:rPr>
        <w:t xml:space="preserve">דאיירי במין במינו באופן שהאיסור בעין והוא ניכר, וביארו </w:t>
      </w:r>
      <w:r w:rsidRPr="007E0C12">
        <w:rPr>
          <w:rStyle w:val="af8"/>
          <w:rFonts w:hint="cs"/>
          <w:rtl/>
        </w:rPr>
        <w:t xml:space="preserve">התוס' </w:t>
      </w:r>
      <w:r w:rsidRPr="007E0C12">
        <w:rPr>
          <w:rFonts w:hint="cs"/>
          <w:rtl/>
        </w:rPr>
        <w:t xml:space="preserve">דאעפ"י דאמר ריו"ח דאין לוקין דוקא בטעמו ולא ממשו, ה"ה  דבמין במינו אין לוקין אף בטעמו וממשו, במקום שאין האיסור ניכר, וביאר </w:t>
      </w:r>
      <w:r w:rsidRPr="007E0C12">
        <w:rPr>
          <w:rStyle w:val="af8"/>
          <w:rFonts w:hint="cs"/>
          <w:rtl/>
        </w:rPr>
        <w:t>הרשב"א בחי'</w:t>
      </w:r>
      <w:r w:rsidRPr="007E0C12">
        <w:rPr>
          <w:rFonts w:hint="cs"/>
          <w:rtl/>
        </w:rPr>
        <w:t xml:space="preserve"> בשם </w:t>
      </w:r>
      <w:r w:rsidRPr="007E0C12">
        <w:rPr>
          <w:rStyle w:val="af8"/>
          <w:rFonts w:hint="cs"/>
          <w:rtl/>
        </w:rPr>
        <w:t>ר"ת</w:t>
      </w:r>
      <w:r w:rsidRPr="007E0C12">
        <w:rPr>
          <w:rFonts w:hint="cs"/>
          <w:rtl/>
        </w:rPr>
        <w:t xml:space="preserve"> דאין לוקין כיון שהוא בטל ברוב ואינו ניכר.</w:t>
      </w:r>
    </w:p>
    <w:p w:rsidR="009A0058" w:rsidRPr="004F18F9" w:rsidRDefault="009A0058" w:rsidP="009A0058">
      <w:pPr>
        <w:pStyle w:val="a2"/>
        <w:rPr>
          <w:rStyle w:val="10"/>
        </w:rPr>
      </w:pPr>
      <w:bookmarkStart w:id="6099" w:name="_Toc13045639"/>
      <w:bookmarkStart w:id="6100" w:name="_Toc13134826"/>
      <w:bookmarkStart w:id="6101" w:name="_Toc13244686"/>
      <w:bookmarkStart w:id="6102" w:name="_Toc13396632"/>
      <w:bookmarkStart w:id="6103" w:name="_Toc13418664"/>
      <w:bookmarkStart w:id="6104" w:name="_Toc13516497"/>
      <w:bookmarkStart w:id="6105" w:name="_Toc13562585"/>
      <w:bookmarkStart w:id="6106" w:name="_Toc13568572"/>
      <w:bookmarkStart w:id="6107" w:name="_Toc13603180"/>
      <w:bookmarkStart w:id="6108" w:name="_Toc13603283"/>
      <w:bookmarkStart w:id="6109" w:name="_Toc13657831"/>
      <w:bookmarkStart w:id="6110" w:name="_Toc13663991"/>
      <w:r w:rsidRPr="007E0C12">
        <w:rPr>
          <w:rFonts w:hint="cs"/>
          <w:rtl/>
        </w:rPr>
        <w:t>ביאור התוס' והרא"ש דריו"ח נקט טעמו ולא ממשו לחדש דמין במינו אסור אף שאינו נותן טעם</w:t>
      </w:r>
      <w:bookmarkEnd w:id="6099"/>
      <w:bookmarkEnd w:id="6100"/>
      <w:bookmarkEnd w:id="6101"/>
      <w:bookmarkEnd w:id="6102"/>
      <w:bookmarkEnd w:id="6103"/>
      <w:bookmarkEnd w:id="6104"/>
      <w:bookmarkEnd w:id="6105"/>
      <w:bookmarkEnd w:id="6106"/>
      <w:bookmarkEnd w:id="6107"/>
      <w:bookmarkEnd w:id="6108"/>
      <w:bookmarkEnd w:id="6109"/>
      <w:bookmarkEnd w:id="6110"/>
    </w:p>
    <w:p w:rsidR="009A0058" w:rsidRPr="007E0C12" w:rsidRDefault="009A0058" w:rsidP="009F44AF">
      <w:pPr>
        <w:pStyle w:val="a"/>
        <w:rPr>
          <w:rtl/>
        </w:rPr>
      </w:pPr>
      <w:r w:rsidRPr="007E0C12">
        <w:rPr>
          <w:rFonts w:hint="cs"/>
          <w:rtl/>
        </w:rPr>
        <w:t>וכתבו</w:t>
      </w:r>
      <w:r w:rsidRPr="007E0C12">
        <w:rPr>
          <w:rStyle w:val="af8"/>
          <w:rFonts w:hint="cs"/>
          <w:rtl/>
        </w:rPr>
        <w:t xml:space="preserve"> התוס' והתוס' בע"ז </w:t>
      </w:r>
      <w:r w:rsidRPr="007E0C12">
        <w:rPr>
          <w:rFonts w:hint="cs"/>
          <w:rtl/>
        </w:rPr>
        <w:t xml:space="preserve">דריו"ח נקט טעמו ולא ממשו דהוא מילתא דפסיקתא דבכל האופנים אין לוקין, וביארו </w:t>
      </w:r>
      <w:r w:rsidRPr="007E0C12">
        <w:rPr>
          <w:rStyle w:val="af8"/>
          <w:rFonts w:hint="cs"/>
          <w:rtl/>
        </w:rPr>
        <w:t>התוס' בע"ז</w:t>
      </w:r>
      <w:r w:rsidRPr="007E0C12">
        <w:rPr>
          <w:rFonts w:hint="cs"/>
          <w:rtl/>
        </w:rPr>
        <w:t xml:space="preserve"> דכשאמר ריו"ח טעמו ולא ממשו, אינו צריך לבאר דאיירי באופן שאינו מכירו, אבל אם היה ריו"ח אומר בפירוש טעמו וממשו, היה משמע דאיירי אפילו באופן שטעם האיסור וממשו הם בעין, ועוד ביארו </w:t>
      </w:r>
      <w:r w:rsidRPr="007E0C12">
        <w:rPr>
          <w:rStyle w:val="af8"/>
          <w:rFonts w:hint="cs"/>
          <w:rtl/>
        </w:rPr>
        <w:t>התוס' והתוס' בע"ז</w:t>
      </w:r>
      <w:r w:rsidRPr="007E0C12">
        <w:rPr>
          <w:rFonts w:hint="cs"/>
          <w:rtl/>
        </w:rPr>
        <w:t xml:space="preserve"> דריו"ח נקט טעמו ולא ממשו, לחדש דאף במין במינו שאין בו את ממשו של האיסור מ"מ הוא אסור, והוסיף </w:t>
      </w:r>
      <w:r w:rsidRPr="007E0C12">
        <w:rPr>
          <w:rStyle w:val="af8"/>
          <w:rFonts w:hint="cs"/>
          <w:rtl/>
        </w:rPr>
        <w:t>הרא"ש</w:t>
      </w:r>
      <w:r w:rsidRPr="007E0C12">
        <w:rPr>
          <w:rFonts w:hint="cs"/>
          <w:rtl/>
        </w:rPr>
        <w:t xml:space="preserve"> </w:t>
      </w:r>
      <w:r w:rsidRPr="007E0C12">
        <w:rPr>
          <w:rStyle w:val="af6"/>
          <w:rFonts w:eastAsia="Guttman Hodes" w:hint="cs"/>
          <w:rtl/>
        </w:rPr>
        <w:t>(סי' ל"א)</w:t>
      </w:r>
      <w:r w:rsidRPr="007E0C12">
        <w:rPr>
          <w:rStyle w:val="af8"/>
          <w:rFonts w:hint="cs"/>
          <w:rtl/>
        </w:rPr>
        <w:t xml:space="preserve"> </w:t>
      </w:r>
      <w:r w:rsidRPr="007E0C12">
        <w:rPr>
          <w:rFonts w:hint="cs"/>
          <w:rtl/>
        </w:rPr>
        <w:t>דקמ"ל ריו"ח דאף דבמין במינו האיסור אינו נותן טעם אחר בהיתר, מ"מ הוא אסור כשיעור של נתינת טעם במין בשאינו מינו.</w:t>
      </w:r>
    </w:p>
    <w:p w:rsidR="009A0058" w:rsidRPr="007E0C12" w:rsidRDefault="009A0058" w:rsidP="009A0058">
      <w:pPr>
        <w:pStyle w:val="a2"/>
        <w:rPr>
          <w:rtl/>
        </w:rPr>
      </w:pPr>
      <w:bookmarkStart w:id="6111" w:name="_Toc13396651"/>
      <w:bookmarkStart w:id="6112" w:name="_Toc13418665"/>
      <w:bookmarkStart w:id="6113" w:name="_Toc13516498"/>
      <w:bookmarkStart w:id="6114" w:name="_Toc13562586"/>
      <w:bookmarkStart w:id="6115" w:name="_Toc13568573"/>
      <w:bookmarkStart w:id="6116" w:name="_Toc13603181"/>
      <w:bookmarkStart w:id="6117" w:name="_Toc13603284"/>
      <w:bookmarkStart w:id="6118" w:name="_Toc13657832"/>
      <w:bookmarkStart w:id="6119" w:name="_Toc13663992"/>
      <w:r w:rsidRPr="007E0C12">
        <w:rPr>
          <w:rFonts w:hint="cs"/>
          <w:rtl/>
        </w:rPr>
        <w:t>דברי הרשב"א והתוס' הרא"ש דבמין בשאינו מינו אף לריו"ח טעמו ולא ממשו הוא דאו' ולוקין עליו</w:t>
      </w:r>
      <w:bookmarkEnd w:id="6111"/>
      <w:bookmarkEnd w:id="6112"/>
      <w:bookmarkEnd w:id="6113"/>
      <w:bookmarkEnd w:id="6114"/>
      <w:bookmarkEnd w:id="6115"/>
      <w:bookmarkEnd w:id="6116"/>
      <w:bookmarkEnd w:id="6117"/>
      <w:bookmarkEnd w:id="6118"/>
      <w:bookmarkEnd w:id="6119"/>
    </w:p>
    <w:p w:rsidR="009A0058" w:rsidRPr="007E0C12" w:rsidRDefault="009A0058" w:rsidP="009F44AF">
      <w:pPr>
        <w:pStyle w:val="a"/>
        <w:rPr>
          <w:rStyle w:val="afa"/>
        </w:rPr>
      </w:pPr>
      <w:r w:rsidRPr="007E0C12">
        <w:rPr>
          <w:rFonts w:hint="cs"/>
          <w:rtl/>
        </w:rPr>
        <w:t xml:space="preserve">אבל במין בשאינו מינו כתבו </w:t>
      </w:r>
      <w:r w:rsidRPr="007E0C12">
        <w:rPr>
          <w:rStyle w:val="af8"/>
          <w:rFonts w:hint="cs"/>
          <w:rtl/>
        </w:rPr>
        <w:t xml:space="preserve">התוס' בע"ז והרשב"א בחי' </w:t>
      </w:r>
      <w:r w:rsidRPr="007E0C12">
        <w:rPr>
          <w:rStyle w:val="af6"/>
          <w:rFonts w:eastAsia="Guttman Hodes" w:hint="cs"/>
          <w:rtl/>
        </w:rPr>
        <w:t xml:space="preserve">(ד"ה ומיהו) </w:t>
      </w:r>
      <w:r w:rsidRPr="007E0C12">
        <w:rPr>
          <w:rStyle w:val="af8"/>
          <w:rFonts w:hint="cs"/>
          <w:rtl/>
        </w:rPr>
        <w:t xml:space="preserve">והתוס' הרא"ש </w:t>
      </w:r>
      <w:r w:rsidRPr="007E0C12">
        <w:rPr>
          <w:rStyle w:val="af6"/>
          <w:rFonts w:eastAsia="Guttman Hodes" w:hint="cs"/>
          <w:rtl/>
        </w:rPr>
        <w:t>(ד"ה לא נצרכה)</w:t>
      </w:r>
      <w:r w:rsidRPr="007E0C12">
        <w:rPr>
          <w:rFonts w:hint="cs"/>
          <w:rtl/>
        </w:rPr>
        <w:t xml:space="preserve"> דלריו"ח אף בטעמו ולא ממשו, אסור מדאו' ולוקין עליו, והוסיף </w:t>
      </w:r>
      <w:r w:rsidRPr="007E0C12">
        <w:rPr>
          <w:rStyle w:val="af8"/>
          <w:rFonts w:hint="cs"/>
          <w:rtl/>
        </w:rPr>
        <w:t>התוס' הרא"ש</w:t>
      </w:r>
      <w:r w:rsidRPr="007E0C12">
        <w:rPr>
          <w:rFonts w:hint="cs"/>
          <w:rtl/>
        </w:rPr>
        <w:t xml:space="preserve"> דהיינו דוקא אם אכל כזית בכדי אכילת פרס, אבל </w:t>
      </w:r>
      <w:r w:rsidRPr="007E0C12">
        <w:rPr>
          <w:rStyle w:val="af8"/>
          <w:rFonts w:hint="cs"/>
          <w:rtl/>
        </w:rPr>
        <w:t>הגר"א</w:t>
      </w:r>
      <w:r w:rsidRPr="007E0C12">
        <w:rPr>
          <w:rFonts w:hint="cs"/>
          <w:rtl/>
        </w:rPr>
        <w:t xml:space="preserve"> </w:t>
      </w:r>
      <w:r w:rsidRPr="007E0C12">
        <w:rPr>
          <w:rStyle w:val="af6"/>
          <w:rFonts w:eastAsia="Guttman Hodes" w:hint="cs"/>
          <w:rtl/>
        </w:rPr>
        <w:t>(או"ח סי' תנ"ג סק"ט)</w:t>
      </w:r>
      <w:r w:rsidRPr="007E0C12">
        <w:rPr>
          <w:rFonts w:hint="cs"/>
          <w:rtl/>
        </w:rPr>
        <w:t xml:space="preserve"> כתב בדעת </w:t>
      </w:r>
      <w:r w:rsidRPr="007E0C12">
        <w:rPr>
          <w:rStyle w:val="af8"/>
          <w:rFonts w:hint="cs"/>
          <w:rtl/>
        </w:rPr>
        <w:t>ר"ת</w:t>
      </w:r>
      <w:r w:rsidRPr="007E0C12">
        <w:rPr>
          <w:rFonts w:hint="cs"/>
          <w:rtl/>
        </w:rPr>
        <w:t xml:space="preserve"> דה"ה אף במקום שאין כזית בכדי אכילת פרס. </w:t>
      </w:r>
      <w:bookmarkStart w:id="6120" w:name="_Toc13396654"/>
      <w:bookmarkStart w:id="6121" w:name="_Toc13418666"/>
      <w:bookmarkStart w:id="6122" w:name="_Toc13045640"/>
      <w:bookmarkStart w:id="6123" w:name="_Toc13134827"/>
      <w:bookmarkStart w:id="6124" w:name="_Toc13244687"/>
      <w:bookmarkStart w:id="6125" w:name="_Toc13396633"/>
      <w:r w:rsidRPr="007E0C12">
        <w:rPr>
          <w:rStyle w:val="afa"/>
          <w:rFonts w:hint="cs"/>
          <w:rtl/>
        </w:rPr>
        <w:t>[מדין נהפך</w:t>
      </w:r>
      <w:r>
        <w:rPr>
          <w:rStyle w:val="afa"/>
          <w:rFonts w:hint="cs"/>
          <w:rtl/>
        </w:rPr>
        <w:t xml:space="preserve">, ועמ"ש </w:t>
      </w:r>
      <w:r w:rsidRPr="007E0C12">
        <w:rPr>
          <w:rStyle w:val="afa"/>
          <w:rFonts w:hint="cs"/>
          <w:rtl/>
        </w:rPr>
        <w:t>בבי</w:t>
      </w:r>
      <w:r>
        <w:rPr>
          <w:rStyle w:val="afa"/>
          <w:rFonts w:hint="cs"/>
          <w:rtl/>
        </w:rPr>
        <w:t xml:space="preserve">אור דברי </w:t>
      </w:r>
      <w:r w:rsidRPr="00CC1CE2">
        <w:rPr>
          <w:rStyle w:val="affa"/>
          <w:rFonts w:hint="cs"/>
          <w:rtl/>
        </w:rPr>
        <w:t>ר"ת</w:t>
      </w:r>
      <w:r>
        <w:rPr>
          <w:rStyle w:val="afa"/>
          <w:rFonts w:hint="cs"/>
          <w:rtl/>
        </w:rPr>
        <w:t xml:space="preserve"> </w:t>
      </w:r>
      <w:r w:rsidRPr="00CC1CE2">
        <w:rPr>
          <w:rStyle w:val="aff6"/>
          <w:rFonts w:hint="cs"/>
          <w:rtl/>
        </w:rPr>
        <w:t>(הובא לקמן סימן י' אות</w:t>
      </w:r>
      <w:r w:rsidR="00971984">
        <w:rPr>
          <w:rStyle w:val="aff6"/>
          <w:rFonts w:hint="cs"/>
          <w:rtl/>
        </w:rPr>
        <w:t xml:space="preserve"> </w:t>
      </w:r>
      <w:r w:rsidR="00971984">
        <w:rPr>
          <w:rStyle w:val="aff6"/>
          <w:rtl/>
        </w:rPr>
        <w:fldChar w:fldCharType="begin"/>
      </w:r>
      <w:r w:rsidR="00971984">
        <w:rPr>
          <w:rStyle w:val="aff6"/>
          <w:rtl/>
        </w:rPr>
        <w:instrText xml:space="preserve"> </w:instrText>
      </w:r>
      <w:r w:rsidR="00971984">
        <w:rPr>
          <w:rStyle w:val="aff6"/>
          <w:rFonts w:hint="cs"/>
        </w:rPr>
        <w:instrText>REF</w:instrText>
      </w:r>
      <w:r w:rsidR="00971984">
        <w:rPr>
          <w:rStyle w:val="aff6"/>
          <w:rFonts w:hint="cs"/>
          <w:rtl/>
        </w:rPr>
        <w:instrText xml:space="preserve"> _</w:instrText>
      </w:r>
      <w:r w:rsidR="00971984">
        <w:rPr>
          <w:rStyle w:val="aff6"/>
          <w:rFonts w:hint="cs"/>
        </w:rPr>
        <w:instrText>Ref14194883 \r \h</w:instrText>
      </w:r>
      <w:r w:rsidR="00971984">
        <w:rPr>
          <w:rStyle w:val="aff6"/>
          <w:rtl/>
        </w:rPr>
        <w:instrText xml:space="preserve"> </w:instrText>
      </w:r>
      <w:r w:rsidR="00971984">
        <w:rPr>
          <w:rStyle w:val="aff6"/>
          <w:rtl/>
        </w:rPr>
      </w:r>
      <w:r w:rsidR="00971984">
        <w:rPr>
          <w:rStyle w:val="aff6"/>
          <w:rtl/>
        </w:rPr>
        <w:fldChar w:fldCharType="separate"/>
      </w:r>
      <w:r w:rsidR="004D1C5B">
        <w:rPr>
          <w:rStyle w:val="aff6"/>
          <w:cs/>
        </w:rPr>
        <w:t>‎</w:t>
      </w:r>
      <w:r w:rsidR="004D1C5B">
        <w:rPr>
          <w:rStyle w:val="aff6"/>
          <w:rtl/>
        </w:rPr>
        <w:t>טו)</w:t>
      </w:r>
      <w:r w:rsidR="00971984">
        <w:rPr>
          <w:rStyle w:val="aff6"/>
          <w:rtl/>
        </w:rPr>
        <w:fldChar w:fldCharType="end"/>
      </w:r>
      <w:r>
        <w:rPr>
          <w:rStyle w:val="afa"/>
          <w:rFonts w:hint="cs"/>
          <w:rtl/>
        </w:rPr>
        <w:t xml:space="preserve"> בדין נהפך</w:t>
      </w:r>
      <w:r w:rsidRPr="00E14A16">
        <w:rPr>
          <w:rFonts w:hint="cs"/>
          <w:sz w:val="10"/>
          <w:szCs w:val="14"/>
          <w:rtl/>
        </w:rPr>
        <w:t>]</w:t>
      </w:r>
      <w:r w:rsidRPr="007E0C12">
        <w:rPr>
          <w:rStyle w:val="afa"/>
          <w:rFonts w:hint="cs"/>
          <w:rtl/>
        </w:rPr>
        <w:t>.</w:t>
      </w:r>
      <w:r>
        <w:rPr>
          <w:rStyle w:val="afa"/>
          <w:rFonts w:hint="cs"/>
          <w:rtl/>
        </w:rPr>
        <w:t xml:space="preserve"> </w:t>
      </w:r>
    </w:p>
    <w:p w:rsidR="009A0058" w:rsidRPr="007E0C12" w:rsidRDefault="009A0058" w:rsidP="009A0058">
      <w:pPr>
        <w:pStyle w:val="a2"/>
      </w:pPr>
      <w:bookmarkStart w:id="6126" w:name="_Toc13516499"/>
      <w:bookmarkStart w:id="6127" w:name="_Toc13562587"/>
      <w:bookmarkStart w:id="6128" w:name="_Toc13568574"/>
      <w:bookmarkStart w:id="6129" w:name="_Toc13603182"/>
      <w:bookmarkStart w:id="6130" w:name="_Toc13603285"/>
      <w:bookmarkStart w:id="6131" w:name="_Toc13657833"/>
      <w:bookmarkStart w:id="6132" w:name="_Toc13663993"/>
      <w:r w:rsidRPr="007E0C12">
        <w:rPr>
          <w:rFonts w:hint="cs"/>
          <w:rtl/>
        </w:rPr>
        <w:t>ביאור הרמב"ן בשם ר"ת דטעמו ולא ממשו היינו שהטעם מורגש אך לא ניכר דהוא מין במינו</w:t>
      </w:r>
      <w:bookmarkEnd w:id="6120"/>
      <w:bookmarkEnd w:id="6121"/>
      <w:bookmarkEnd w:id="6126"/>
      <w:bookmarkEnd w:id="6127"/>
      <w:bookmarkEnd w:id="6128"/>
      <w:bookmarkEnd w:id="6129"/>
      <w:bookmarkEnd w:id="6130"/>
      <w:bookmarkEnd w:id="6131"/>
      <w:bookmarkEnd w:id="6132"/>
    </w:p>
    <w:p w:rsidR="009A0058" w:rsidRPr="007E0C12" w:rsidRDefault="009A0058" w:rsidP="009F44AF">
      <w:pPr>
        <w:pStyle w:val="a"/>
        <w:rPr>
          <w:rtl/>
        </w:rPr>
      </w:pPr>
      <w:r w:rsidRPr="007E0C12">
        <w:rPr>
          <w:rFonts w:hint="cs"/>
          <w:rtl/>
        </w:rPr>
        <w:t xml:space="preserve">וכן ביאר </w:t>
      </w:r>
      <w:r w:rsidRPr="007E0C12">
        <w:rPr>
          <w:rStyle w:val="af8"/>
          <w:rFonts w:hint="cs"/>
          <w:rtl/>
        </w:rPr>
        <w:t>הרמב"ן</w:t>
      </w:r>
      <w:r w:rsidRPr="007E0C12">
        <w:rPr>
          <w:rFonts w:hint="cs"/>
          <w:rtl/>
        </w:rPr>
        <w:t xml:space="preserve"> </w:t>
      </w:r>
      <w:r w:rsidRPr="007E0C12">
        <w:rPr>
          <w:rStyle w:val="af6"/>
          <w:rFonts w:eastAsia="Guttman Hodes" w:hint="cs"/>
          <w:rtl/>
        </w:rPr>
        <w:t>(ד"ה ופי' אחר)</w:t>
      </w:r>
      <w:r w:rsidRPr="007E0C12">
        <w:rPr>
          <w:rFonts w:hint="cs"/>
          <w:rtl/>
        </w:rPr>
        <w:t xml:space="preserve"> בשם </w:t>
      </w:r>
      <w:r w:rsidRPr="007E0C12">
        <w:rPr>
          <w:rStyle w:val="af8"/>
          <w:rFonts w:hint="cs"/>
          <w:rtl/>
        </w:rPr>
        <w:t>ר"ת</w:t>
      </w:r>
      <w:r w:rsidRPr="007E0C12">
        <w:rPr>
          <w:rFonts w:hint="cs"/>
          <w:rtl/>
        </w:rPr>
        <w:t xml:space="preserve"> דריו"ח בע"ז איירי במין במינו, וכוונת ריו"ח לומר דטעמו ולא ממשו, היינו כל שהטעם </w:t>
      </w:r>
      <w:r w:rsidRPr="007E0C12">
        <w:rPr>
          <w:rFonts w:hint="cs"/>
          <w:rtl/>
        </w:rPr>
        <w:t>מורגש בו אך האיסור אינו ניכר דלא נתערב בו ממשו לגמרי, דהוא בטל ברוב כיון שהוא מין במינו.</w:t>
      </w:r>
    </w:p>
    <w:p w:rsidR="009A0058" w:rsidRPr="007E0C12" w:rsidRDefault="009A0058" w:rsidP="009A0058">
      <w:pPr>
        <w:pStyle w:val="a2"/>
      </w:pPr>
      <w:bookmarkStart w:id="6133" w:name="_Toc13396655"/>
      <w:bookmarkStart w:id="6134" w:name="_Toc13418667"/>
      <w:bookmarkStart w:id="6135" w:name="_Toc13516500"/>
      <w:bookmarkStart w:id="6136" w:name="_Toc13562588"/>
      <w:bookmarkStart w:id="6137" w:name="_Toc13568575"/>
      <w:bookmarkStart w:id="6138" w:name="_Toc13603183"/>
      <w:bookmarkStart w:id="6139" w:name="_Toc13603286"/>
      <w:bookmarkStart w:id="6140" w:name="_Toc13657834"/>
      <w:bookmarkStart w:id="6141" w:name="_Toc13663994"/>
      <w:r w:rsidRPr="007E0C12">
        <w:rPr>
          <w:rFonts w:hint="cs"/>
          <w:rtl/>
        </w:rPr>
        <w:t>ביאור הרמב"ן בשם ר"ת דבטעמו וממשו האיסור ניכר דהוא בעין במין במינו ולכן לוקין עליו</w:t>
      </w:r>
      <w:bookmarkEnd w:id="6133"/>
      <w:bookmarkEnd w:id="6134"/>
      <w:bookmarkEnd w:id="6135"/>
      <w:bookmarkEnd w:id="6136"/>
      <w:bookmarkEnd w:id="6137"/>
      <w:bookmarkEnd w:id="6138"/>
      <w:bookmarkEnd w:id="6139"/>
      <w:bookmarkEnd w:id="6140"/>
      <w:bookmarkEnd w:id="6141"/>
    </w:p>
    <w:p w:rsidR="009A0058" w:rsidRPr="007E0C12" w:rsidRDefault="009A0058" w:rsidP="009F44AF">
      <w:pPr>
        <w:pStyle w:val="a"/>
        <w:rPr>
          <w:rtl/>
        </w:rPr>
      </w:pPr>
      <w:r w:rsidRPr="007E0C12">
        <w:rPr>
          <w:rFonts w:hint="cs"/>
          <w:rtl/>
        </w:rPr>
        <w:t xml:space="preserve">ובטעמו וממשו ביאר </w:t>
      </w:r>
      <w:r w:rsidRPr="007E0C12">
        <w:rPr>
          <w:rStyle w:val="af8"/>
          <w:rFonts w:hint="cs"/>
          <w:rtl/>
        </w:rPr>
        <w:t>הרמב"ן</w:t>
      </w:r>
      <w:r w:rsidRPr="007E0C12">
        <w:rPr>
          <w:rFonts w:hint="cs"/>
          <w:rtl/>
        </w:rPr>
        <w:t xml:space="preserve"> בשם </w:t>
      </w:r>
      <w:r w:rsidRPr="007E0C12">
        <w:rPr>
          <w:rStyle w:val="af8"/>
          <w:rFonts w:hint="cs"/>
          <w:rtl/>
        </w:rPr>
        <w:t>ר"ת</w:t>
      </w:r>
      <w:r w:rsidRPr="007E0C12">
        <w:rPr>
          <w:rFonts w:hint="cs"/>
          <w:rtl/>
        </w:rPr>
        <w:t xml:space="preserve"> דכוונת ריו"ח לומר דהאיסור עצמו ניכר ממש בתוך ההיתר דהוא בעין, ולכן לוקין עליו אפילו במין במינו, וזהו דין כזית בכדי אכילת פרס, אבל במין בשאינו מינו, לוקים אף על טעמו אף כשלא מעורב גוף האיסור כלל, דטעם כעיקר דאו'.</w:t>
      </w:r>
    </w:p>
    <w:p w:rsidR="009A0058" w:rsidRPr="007E0C12" w:rsidRDefault="009A0058" w:rsidP="009A0058">
      <w:pPr>
        <w:pStyle w:val="a2"/>
        <w:rPr>
          <w:rtl/>
        </w:rPr>
      </w:pPr>
      <w:bookmarkStart w:id="6142" w:name="_Toc13396656"/>
      <w:bookmarkStart w:id="6143" w:name="_Toc13418668"/>
      <w:bookmarkStart w:id="6144" w:name="_Toc13516501"/>
      <w:bookmarkStart w:id="6145" w:name="_Toc13562589"/>
      <w:bookmarkStart w:id="6146" w:name="_Toc13568576"/>
      <w:bookmarkStart w:id="6147" w:name="_Toc13603184"/>
      <w:bookmarkStart w:id="6148" w:name="_Toc13603287"/>
      <w:bookmarkStart w:id="6149" w:name="_Toc13657835"/>
      <w:bookmarkStart w:id="6150" w:name="_Toc13663995"/>
      <w:r w:rsidRPr="007E0C12">
        <w:rPr>
          <w:rFonts w:hint="cs"/>
          <w:rtl/>
        </w:rPr>
        <w:t>דחיית הרמב"ן דבדברי אביי לקמן מוכח דטעמו ולא ממשו היינו מין בשאינו מינו</w:t>
      </w:r>
      <w:bookmarkEnd w:id="6142"/>
      <w:bookmarkEnd w:id="6143"/>
      <w:bookmarkEnd w:id="6144"/>
      <w:bookmarkEnd w:id="6145"/>
      <w:bookmarkEnd w:id="6146"/>
      <w:bookmarkEnd w:id="6147"/>
      <w:bookmarkEnd w:id="6148"/>
      <w:bookmarkEnd w:id="6149"/>
      <w:bookmarkEnd w:id="6150"/>
    </w:p>
    <w:p w:rsidR="009A0058" w:rsidRDefault="009A0058" w:rsidP="009F44AF">
      <w:pPr>
        <w:pStyle w:val="a"/>
        <w:rPr>
          <w:rStyle w:val="afa"/>
          <w:rtl/>
        </w:rPr>
      </w:pPr>
      <w:r w:rsidRPr="007E0C12">
        <w:rPr>
          <w:rFonts w:hint="cs"/>
          <w:rtl/>
        </w:rPr>
        <w:t xml:space="preserve">אך דחה </w:t>
      </w:r>
      <w:r w:rsidRPr="007E0C12">
        <w:rPr>
          <w:rStyle w:val="af8"/>
          <w:rFonts w:hint="cs"/>
          <w:rtl/>
        </w:rPr>
        <w:t>הרמב"ן</w:t>
      </w:r>
      <w:r w:rsidRPr="007E0C12">
        <w:rPr>
          <w:rFonts w:hint="cs"/>
          <w:rtl/>
        </w:rPr>
        <w:t xml:space="preserve"> את ביאור</w:t>
      </w:r>
      <w:r w:rsidRPr="007E0C12">
        <w:rPr>
          <w:rStyle w:val="af8"/>
          <w:rFonts w:hint="cs"/>
          <w:rtl/>
        </w:rPr>
        <w:t xml:space="preserve"> ר"ת</w:t>
      </w:r>
      <w:r w:rsidRPr="007E0C12">
        <w:rPr>
          <w:rFonts w:hint="cs"/>
          <w:rtl/>
        </w:rPr>
        <w:t xml:space="preserve"> דהא בגמ' לקמן </w:t>
      </w:r>
      <w:r w:rsidRPr="007E0C12">
        <w:rPr>
          <w:rStyle w:val="af6"/>
          <w:rFonts w:eastAsia="Guttman Hodes" w:hint="cs"/>
          <w:rtl/>
        </w:rPr>
        <w:t>(קח.)</w:t>
      </w:r>
      <w:r w:rsidRPr="007E0C12">
        <w:rPr>
          <w:rFonts w:hint="cs"/>
          <w:rtl/>
        </w:rPr>
        <w:t xml:space="preserve"> אמר אביי דילפינן מבשר בחלב דטעמו ולא ממשו דאו', והרי בשר בחלב הוא מין בשאינו מינו, ואיירי בטעם ממש, </w:t>
      </w:r>
      <w:r w:rsidRPr="007E0C12">
        <w:rPr>
          <w:rStyle w:val="afa"/>
          <w:rFonts w:hint="cs"/>
          <w:rtl/>
        </w:rPr>
        <w:t>[דהאיסור בבשר בחלב הוא כשמעורב רק טעם, אף כשאין כלום ממשות הבשר בחלב],</w:t>
      </w:r>
      <w:r w:rsidRPr="007E0C12">
        <w:rPr>
          <w:rFonts w:hint="cs"/>
          <w:rtl/>
        </w:rPr>
        <w:t xml:space="preserve"> וקרי לה אביי טעמו ולא ממשו, והוסיף </w:t>
      </w:r>
      <w:r w:rsidRPr="007E0C12">
        <w:rPr>
          <w:rStyle w:val="af8"/>
          <w:rFonts w:hint="cs"/>
          <w:rtl/>
        </w:rPr>
        <w:t>הרמב"ן</w:t>
      </w:r>
      <w:r w:rsidRPr="007E0C12">
        <w:rPr>
          <w:rFonts w:hint="cs"/>
          <w:rtl/>
        </w:rPr>
        <w:t xml:space="preserve"> דא"א להפסיק את לשון הגמ' מכח סברא. </w:t>
      </w:r>
      <w:r w:rsidRPr="007E0C12">
        <w:rPr>
          <w:rStyle w:val="afa"/>
          <w:rFonts w:hint="cs"/>
          <w:rtl/>
        </w:rPr>
        <w:t xml:space="preserve">[ומבואר מדברי </w:t>
      </w:r>
      <w:r w:rsidRPr="007E0C12">
        <w:rPr>
          <w:rStyle w:val="affa"/>
          <w:rFonts w:hint="cs"/>
          <w:rtl/>
        </w:rPr>
        <w:t>הרמב"ן</w:t>
      </w:r>
      <w:r w:rsidRPr="007E0C12">
        <w:rPr>
          <w:rStyle w:val="afa"/>
          <w:rFonts w:hint="cs"/>
          <w:rtl/>
        </w:rPr>
        <w:t xml:space="preserve"> דבשר בחלב נקרא טעמו ולא ממשו, ודלא </w:t>
      </w:r>
      <w:r w:rsidRPr="007E0C12">
        <w:rPr>
          <w:rStyle w:val="affa"/>
          <w:rFonts w:hint="cs"/>
          <w:rtl/>
        </w:rPr>
        <w:t>כהתוס' בע"ז</w:t>
      </w:r>
      <w:r w:rsidRPr="007E0C12">
        <w:rPr>
          <w:rStyle w:val="afa"/>
          <w:rFonts w:hint="cs"/>
          <w:rtl/>
        </w:rPr>
        <w:t xml:space="preserve"> </w:t>
      </w:r>
      <w:r w:rsidRPr="007E0C12">
        <w:rPr>
          <w:rStyle w:val="aff6"/>
          <w:rFonts w:hint="cs"/>
          <w:rtl/>
        </w:rPr>
        <w:t xml:space="preserve">(עי' אות </w:t>
      </w:r>
      <w:r w:rsidRPr="007E0C12">
        <w:rPr>
          <w:rStyle w:val="aff6"/>
          <w:rtl/>
        </w:rPr>
        <w:fldChar w:fldCharType="begin"/>
      </w:r>
      <w:r w:rsidRPr="007E0C12">
        <w:rPr>
          <w:rStyle w:val="aff6"/>
          <w:rtl/>
        </w:rPr>
        <w:instrText xml:space="preserve"> </w:instrText>
      </w:r>
      <w:r w:rsidRPr="007E0C12">
        <w:rPr>
          <w:rStyle w:val="aff6"/>
          <w:rFonts w:hint="cs"/>
        </w:rPr>
        <w:instrText>REF</w:instrText>
      </w:r>
      <w:r w:rsidRPr="007E0C12">
        <w:rPr>
          <w:rStyle w:val="aff6"/>
          <w:rFonts w:hint="cs"/>
          <w:rtl/>
        </w:rPr>
        <w:instrText xml:space="preserve"> _</w:instrText>
      </w:r>
      <w:r w:rsidRPr="007E0C12">
        <w:rPr>
          <w:rStyle w:val="aff6"/>
          <w:rFonts w:hint="cs"/>
        </w:rPr>
        <w:instrText>Ref13513502 \r \h</w:instrText>
      </w:r>
      <w:r w:rsidRPr="007E0C12">
        <w:rPr>
          <w:rStyle w:val="aff6"/>
          <w:rtl/>
        </w:rPr>
        <w:instrText xml:space="preserve">  \* </w:instrText>
      </w:r>
      <w:r w:rsidRPr="007E0C12">
        <w:rPr>
          <w:rStyle w:val="aff6"/>
        </w:rPr>
        <w:instrText>MERGEFORMAT</w:instrText>
      </w:r>
      <w:r w:rsidRPr="007E0C12">
        <w:rPr>
          <w:rStyle w:val="aff6"/>
          <w:rtl/>
        </w:rPr>
        <w:instrText xml:space="preserve"> </w:instrText>
      </w:r>
      <w:r w:rsidRPr="007E0C12">
        <w:rPr>
          <w:rStyle w:val="aff6"/>
          <w:rtl/>
        </w:rPr>
      </w:r>
      <w:r w:rsidRPr="007E0C12">
        <w:rPr>
          <w:rStyle w:val="aff6"/>
          <w:rtl/>
        </w:rPr>
        <w:fldChar w:fldCharType="separate"/>
      </w:r>
      <w:r w:rsidR="004D1C5B">
        <w:rPr>
          <w:rStyle w:val="aff6"/>
          <w:cs/>
        </w:rPr>
        <w:t>‎</w:t>
      </w:r>
      <w:r w:rsidR="004D1C5B">
        <w:rPr>
          <w:rStyle w:val="aff6"/>
          <w:rtl/>
        </w:rPr>
        <w:t>נא)</w:t>
      </w:r>
      <w:r w:rsidRPr="007E0C12">
        <w:rPr>
          <w:rStyle w:val="aff6"/>
          <w:rtl/>
        </w:rPr>
        <w:fldChar w:fldCharType="end"/>
      </w:r>
      <w:r w:rsidRPr="007E0C12">
        <w:rPr>
          <w:rStyle w:val="afa"/>
          <w:rFonts w:hint="cs"/>
          <w:rtl/>
        </w:rPr>
        <w:t>].</w:t>
      </w:r>
    </w:p>
    <w:p w:rsidR="009A0058" w:rsidRPr="007E0C12" w:rsidRDefault="009A0058" w:rsidP="00E669F8">
      <w:pPr>
        <w:pStyle w:val="afd"/>
        <w:rPr>
          <w:rtl/>
        </w:rPr>
      </w:pPr>
      <w:bookmarkStart w:id="6151" w:name="_Toc13562590"/>
      <w:bookmarkStart w:id="6152" w:name="_Toc13568577"/>
      <w:bookmarkStart w:id="6153" w:name="_Toc13603185"/>
      <w:bookmarkStart w:id="6154" w:name="_Toc13603288"/>
      <w:bookmarkStart w:id="6155" w:name="_Toc13657836"/>
      <w:bookmarkStart w:id="6156" w:name="_Toc13663996"/>
      <w:bookmarkStart w:id="6157" w:name="_Toc13396657"/>
      <w:bookmarkStart w:id="6158" w:name="_Toc13418669"/>
      <w:bookmarkStart w:id="6159" w:name="_Toc13516502"/>
      <w:bookmarkStart w:id="6160" w:name="_Toc13418672"/>
      <w:bookmarkStart w:id="6161" w:name="_Toc13045641"/>
      <w:bookmarkStart w:id="6162" w:name="_Toc13134828"/>
      <w:bookmarkStart w:id="6163" w:name="_Toc13244688"/>
      <w:bookmarkStart w:id="6164" w:name="_Toc13396634"/>
      <w:bookmarkStart w:id="6165" w:name="_Toc13045643"/>
      <w:bookmarkStart w:id="6166" w:name="_Toc13134830"/>
      <w:bookmarkStart w:id="6167" w:name="_Toc13244690"/>
      <w:bookmarkStart w:id="6168" w:name="_Toc13396636"/>
      <w:bookmarkStart w:id="6169" w:name="_Toc13396660"/>
      <w:r w:rsidRPr="007E0C12">
        <w:rPr>
          <w:rFonts w:hint="cs"/>
          <w:rtl/>
        </w:rPr>
        <w:t>דעת הראשונים דממשו הוא כזית בכא"פ</w:t>
      </w:r>
      <w:bookmarkEnd w:id="6151"/>
      <w:bookmarkEnd w:id="6152"/>
      <w:bookmarkEnd w:id="6153"/>
      <w:bookmarkEnd w:id="6154"/>
      <w:bookmarkEnd w:id="6155"/>
      <w:bookmarkEnd w:id="6156"/>
    </w:p>
    <w:p w:rsidR="009A0058" w:rsidRPr="00F54ECF" w:rsidRDefault="009A0058" w:rsidP="009A0058">
      <w:pPr>
        <w:pStyle w:val="1"/>
        <w:rPr>
          <w:rtl/>
        </w:rPr>
      </w:pPr>
      <w:bookmarkStart w:id="6170" w:name="_Toc13657837"/>
      <w:bookmarkStart w:id="6171" w:name="_Toc13663997"/>
      <w:bookmarkStart w:id="6172" w:name="_Toc13045651"/>
      <w:bookmarkStart w:id="6173" w:name="_Toc13134838"/>
      <w:bookmarkStart w:id="6174" w:name="_Toc13244699"/>
      <w:bookmarkStart w:id="6175" w:name="_Toc13396675"/>
      <w:bookmarkStart w:id="6176" w:name="_Toc13418694"/>
      <w:bookmarkStart w:id="6177" w:name="_Toc13516530"/>
      <w:bookmarkStart w:id="6178" w:name="_Toc13562619"/>
      <w:bookmarkStart w:id="6179" w:name="_Toc13568606"/>
      <w:bookmarkStart w:id="6180" w:name="_Toc13603213"/>
      <w:bookmarkStart w:id="6181" w:name="_Toc13603316"/>
      <w:bookmarkStart w:id="6182" w:name="_Toc13562591"/>
      <w:bookmarkStart w:id="6183" w:name="_Toc13568578"/>
      <w:bookmarkStart w:id="6184" w:name="_Toc13603186"/>
      <w:bookmarkStart w:id="6185" w:name="_Toc13603289"/>
      <w:r w:rsidRPr="00F54ECF">
        <w:rPr>
          <w:rFonts w:hint="cs"/>
          <w:rtl/>
        </w:rPr>
        <w:t xml:space="preserve">דברי הראב"ד </w:t>
      </w:r>
      <w:r>
        <w:rPr>
          <w:rFonts w:hint="cs"/>
          <w:rtl/>
        </w:rPr>
        <w:t>דטעם אינו מתבטל ולוקין רק בכזית בכא"פ</w:t>
      </w:r>
      <w:bookmarkEnd w:id="6170"/>
      <w:bookmarkEnd w:id="6171"/>
      <w:r w:rsidRPr="00F54ECF">
        <w:rPr>
          <w:rFonts w:hint="cs"/>
          <w:rtl/>
        </w:rPr>
        <w:t xml:space="preserve"> </w:t>
      </w:r>
      <w:bookmarkEnd w:id="6172"/>
      <w:bookmarkEnd w:id="6173"/>
      <w:bookmarkEnd w:id="6174"/>
      <w:bookmarkEnd w:id="6175"/>
      <w:bookmarkEnd w:id="6176"/>
      <w:bookmarkEnd w:id="6177"/>
      <w:bookmarkEnd w:id="6178"/>
      <w:bookmarkEnd w:id="6179"/>
      <w:bookmarkEnd w:id="6180"/>
      <w:bookmarkEnd w:id="6181"/>
    </w:p>
    <w:p w:rsidR="009A0058" w:rsidRPr="00F54ECF" w:rsidRDefault="009A0058" w:rsidP="009A0058">
      <w:pPr>
        <w:pStyle w:val="a2"/>
        <w:rPr>
          <w:rtl/>
        </w:rPr>
      </w:pPr>
      <w:bookmarkStart w:id="6186" w:name="_Toc13045652"/>
      <w:bookmarkStart w:id="6187" w:name="_Toc13134839"/>
      <w:bookmarkStart w:id="6188" w:name="_Toc13244700"/>
      <w:bookmarkStart w:id="6189" w:name="_Toc13396676"/>
      <w:bookmarkStart w:id="6190" w:name="_Toc13418695"/>
      <w:bookmarkStart w:id="6191" w:name="_Toc13516531"/>
      <w:bookmarkStart w:id="6192" w:name="_Toc13562620"/>
      <w:bookmarkStart w:id="6193" w:name="_Toc13568607"/>
      <w:bookmarkStart w:id="6194" w:name="_Toc13603214"/>
      <w:bookmarkStart w:id="6195" w:name="_Toc13603317"/>
      <w:bookmarkStart w:id="6196" w:name="_Toc13657838"/>
      <w:bookmarkStart w:id="6197" w:name="_Toc13663998"/>
      <w:r w:rsidRPr="00F54ECF">
        <w:rPr>
          <w:rFonts w:hint="cs"/>
          <w:rtl/>
        </w:rPr>
        <w:t xml:space="preserve">ביאור הראב"ד </w:t>
      </w:r>
      <w:bookmarkEnd w:id="6186"/>
      <w:bookmarkEnd w:id="6187"/>
      <w:bookmarkEnd w:id="6188"/>
      <w:bookmarkEnd w:id="6189"/>
      <w:bookmarkEnd w:id="6190"/>
      <w:bookmarkEnd w:id="6191"/>
      <w:bookmarkEnd w:id="6192"/>
      <w:bookmarkEnd w:id="6193"/>
      <w:bookmarkEnd w:id="6194"/>
      <w:bookmarkEnd w:id="6195"/>
      <w:r>
        <w:rPr>
          <w:rFonts w:hint="cs"/>
          <w:rtl/>
        </w:rPr>
        <w:t>דבטעמו ולא ממשו אין כזית בכא"פ ואסור מדאו' ואין בו מלקות</w:t>
      </w:r>
      <w:bookmarkEnd w:id="6196"/>
      <w:bookmarkEnd w:id="6197"/>
    </w:p>
    <w:p w:rsidR="009A0058" w:rsidRDefault="009A0058" w:rsidP="009F44AF">
      <w:pPr>
        <w:pStyle w:val="a"/>
        <w:rPr>
          <w:rtl/>
        </w:rPr>
      </w:pPr>
      <w:r w:rsidRPr="00F54ECF">
        <w:rPr>
          <w:rStyle w:val="af8"/>
          <w:rFonts w:hint="cs"/>
          <w:rtl/>
        </w:rPr>
        <w:t xml:space="preserve">והרשב"א בחי' </w:t>
      </w:r>
      <w:r w:rsidRPr="00F54ECF">
        <w:rPr>
          <w:rStyle w:val="af6"/>
          <w:rFonts w:eastAsia="Guttman Hodes" w:hint="cs"/>
          <w:rtl/>
        </w:rPr>
        <w:t>(ד"ה והראב"ד)</w:t>
      </w:r>
      <w:r w:rsidRPr="00F54ECF">
        <w:rPr>
          <w:rFonts w:hint="cs"/>
          <w:rtl/>
        </w:rPr>
        <w:t xml:space="preserve"> הביא בשם </w:t>
      </w:r>
      <w:r w:rsidRPr="00F54ECF">
        <w:rPr>
          <w:rStyle w:val="af8"/>
          <w:rFonts w:hint="cs"/>
          <w:rtl/>
        </w:rPr>
        <w:t>הראב"ד באיסור משהו</w:t>
      </w:r>
      <w:r w:rsidRPr="00F54ECF">
        <w:rPr>
          <w:rFonts w:hint="cs"/>
          <w:rtl/>
        </w:rPr>
        <w:t xml:space="preserve"> דס"ל </w:t>
      </w:r>
      <w:r w:rsidRPr="00F54ECF">
        <w:rPr>
          <w:rStyle w:val="af8"/>
          <w:rFonts w:hint="cs"/>
          <w:rtl/>
        </w:rPr>
        <w:t>כר"ת</w:t>
      </w:r>
      <w:r w:rsidRPr="00F54ECF">
        <w:rPr>
          <w:rFonts w:hint="cs"/>
          <w:rtl/>
        </w:rPr>
        <w:t xml:space="preserve"> </w:t>
      </w:r>
      <w:r w:rsidRPr="00F54ECF">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Ref13654628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Pr>
          <w:rStyle w:val="af6"/>
          <w:rFonts w:eastAsia="Guttman Hodes"/>
          <w:rtl/>
        </w:rPr>
        <w:fldChar w:fldCharType="end"/>
      </w:r>
      <w:r w:rsidRPr="00F54ECF">
        <w:rPr>
          <w:rStyle w:val="af6"/>
          <w:rFonts w:eastAsia="Guttman Hodes" w:hint="cs"/>
          <w:rtl/>
        </w:rPr>
        <w:t xml:space="preserve"> </w:t>
      </w:r>
      <w:r w:rsidRPr="00F54ECF">
        <w:rPr>
          <w:rFonts w:hint="cs"/>
          <w:rtl/>
        </w:rPr>
        <w:t xml:space="preserve">דטעם כעיקר דאו', וכתב </w:t>
      </w:r>
      <w:r w:rsidRPr="00F54ECF">
        <w:rPr>
          <w:rStyle w:val="af8"/>
          <w:rFonts w:hint="cs"/>
          <w:rtl/>
        </w:rPr>
        <w:t>הראב"ד</w:t>
      </w:r>
      <w:r w:rsidRPr="00F54ECF">
        <w:rPr>
          <w:rFonts w:hint="cs"/>
          <w:rtl/>
        </w:rPr>
        <w:t xml:space="preserve"> דיש ג' אופנים בנתינת טעם, האופן הא' שיש בו כזית בכדי אכילת פרס, ויש נתינת טעם בכולו, דכל שאכל כזית בכדי אכילת פרס לוקה עליו לכו"ע, </w:t>
      </w:r>
      <w:r w:rsidRPr="009D29E9">
        <w:rPr>
          <w:rStyle w:val="afa"/>
          <w:rFonts w:hint="cs"/>
          <w:rtl/>
        </w:rPr>
        <w:t>[דהיינו טעמו וממשו],</w:t>
      </w:r>
      <w:r>
        <w:rPr>
          <w:rFonts w:hint="cs"/>
          <w:rtl/>
        </w:rPr>
        <w:t xml:space="preserve"> </w:t>
      </w:r>
      <w:r w:rsidRPr="00F54ECF">
        <w:rPr>
          <w:rFonts w:hint="cs"/>
          <w:rtl/>
        </w:rPr>
        <w:t xml:space="preserve">והאופן הב' בטעמו ולא ממשו, כגון שיש ארבעים או חמישים מההיתר כנגד אחד של איסור, </w:t>
      </w:r>
      <w:r w:rsidRPr="00F54ECF">
        <w:rPr>
          <w:rStyle w:val="afa"/>
          <w:rFonts w:hint="cs"/>
          <w:rtl/>
        </w:rPr>
        <w:t>[פחות מביטול בשישים],</w:t>
      </w:r>
      <w:r w:rsidRPr="00F54ECF">
        <w:rPr>
          <w:rFonts w:hint="cs"/>
          <w:rtl/>
        </w:rPr>
        <w:t xml:space="preserve"> ואין כזית בכדי אכילת פרס, דהוא אסור ואין בו מלקות לכו"ע, דלרבנן ילפינן ממשרת דטעם כעיקר דאו', ולר"ע ילפינן לה מגיעולי עכו"ם, ואין מלקות בילפותא מהיקש או מק"ו, והאופן הג' הוא היתר מצטרף לאיסור, דנחלקו בו ר"ע ורבנן, עיי"ש בדברי </w:t>
      </w:r>
      <w:r w:rsidRPr="00F54ECF">
        <w:rPr>
          <w:rStyle w:val="af8"/>
          <w:rFonts w:hint="cs"/>
          <w:rtl/>
        </w:rPr>
        <w:t>הרשב"א</w:t>
      </w:r>
      <w:r w:rsidRPr="00F54ECF">
        <w:rPr>
          <w:rFonts w:hint="cs"/>
          <w:rtl/>
        </w:rPr>
        <w:t xml:space="preserve"> במה שביאר בזה בקדשים ובחולין</w:t>
      </w:r>
      <w:r w:rsidR="00420E4D" w:rsidRPr="0050146A">
        <w:rPr>
          <w:rFonts w:hint="cs"/>
          <w:rtl/>
        </w:rPr>
        <w:t xml:space="preserve">, </w:t>
      </w:r>
      <w:r w:rsidR="00420E4D">
        <w:rPr>
          <w:rFonts w:hint="cs"/>
          <w:rtl/>
        </w:rPr>
        <w:t xml:space="preserve">והוסיף </w:t>
      </w:r>
      <w:r w:rsidR="00420E4D">
        <w:rPr>
          <w:rStyle w:val="af8"/>
          <w:rFonts w:hint="cs"/>
          <w:rtl/>
        </w:rPr>
        <w:t xml:space="preserve">הרשב"א בחי' </w:t>
      </w:r>
      <w:r w:rsidR="00420E4D">
        <w:rPr>
          <w:rFonts w:hint="cs"/>
          <w:rtl/>
        </w:rPr>
        <w:t xml:space="preserve">בשם </w:t>
      </w:r>
      <w:r w:rsidR="00420E4D" w:rsidRPr="00904938">
        <w:rPr>
          <w:rStyle w:val="af8"/>
          <w:rFonts w:hint="cs"/>
          <w:rtl/>
        </w:rPr>
        <w:t>הראב"ד</w:t>
      </w:r>
      <w:r w:rsidR="00420E4D">
        <w:rPr>
          <w:rFonts w:hint="cs"/>
          <w:rtl/>
        </w:rPr>
        <w:t xml:space="preserve"> דלרבנן משרת הוא גילוי מילתא בעלמא לשאר האיסורים, דכל שיש נתינת טעם, אף שיש רוב כנגדו חשיב שהאיסור נמצא בעין, ובטעם הוא אוכל כזית איסור, </w:t>
      </w:r>
      <w:r w:rsidR="00420E4D" w:rsidRPr="00EF0BE5">
        <w:rPr>
          <w:rStyle w:val="afa"/>
          <w:rFonts w:hint="cs"/>
          <w:rtl/>
        </w:rPr>
        <w:t>[דהיינו כשאוכל מהאיסור כזית בכדי אכילת פרס דלוקה עליו],</w:t>
      </w:r>
      <w:r w:rsidR="00420E4D">
        <w:rPr>
          <w:rFonts w:hint="cs"/>
          <w:rtl/>
        </w:rPr>
        <w:t xml:space="preserve"> או דהוא גילוי מילתא לטעמו ולא ממשו, דיש בו איסור ואין בו מלקות כיון שלא אכל ממנו כזית, וכעי"ז כתב </w:t>
      </w:r>
      <w:r w:rsidR="00420E4D" w:rsidRPr="00300035">
        <w:rPr>
          <w:rStyle w:val="af8"/>
          <w:rFonts w:hint="cs"/>
          <w:rtl/>
        </w:rPr>
        <w:t>הראב"ד בהשג' על הבעה"מ בפסחים</w:t>
      </w:r>
      <w:r w:rsidR="00420E4D">
        <w:rPr>
          <w:rFonts w:hint="cs"/>
          <w:rtl/>
        </w:rPr>
        <w:t xml:space="preserve"> </w:t>
      </w:r>
      <w:r w:rsidR="00420E4D" w:rsidRPr="00FD4A01">
        <w:rPr>
          <w:rStyle w:val="af6"/>
          <w:rFonts w:eastAsia="Guttman Hodes" w:hint="cs"/>
          <w:rtl/>
        </w:rPr>
        <w:t>(יג: מדפי הרי"ף ד"ה א"א ראיתי)</w:t>
      </w:r>
      <w:r w:rsidR="00420E4D">
        <w:rPr>
          <w:rFonts w:hint="cs"/>
          <w:rtl/>
        </w:rPr>
        <w:t xml:space="preserve">, </w:t>
      </w:r>
      <w:r w:rsidR="00420E4D" w:rsidRPr="0050146A">
        <w:rPr>
          <w:rFonts w:hint="cs"/>
          <w:rtl/>
        </w:rPr>
        <w:t xml:space="preserve">וע"ע במה שביאר </w:t>
      </w:r>
      <w:r w:rsidR="00420E4D" w:rsidRPr="0050146A">
        <w:rPr>
          <w:rStyle w:val="af8"/>
          <w:rFonts w:hint="cs"/>
          <w:rtl/>
        </w:rPr>
        <w:t>הגרי"ז</w:t>
      </w:r>
      <w:r w:rsidR="00420E4D" w:rsidRPr="0050146A">
        <w:rPr>
          <w:rFonts w:hint="cs"/>
          <w:rtl/>
        </w:rPr>
        <w:t xml:space="preserve"> </w:t>
      </w:r>
      <w:r w:rsidR="00420E4D" w:rsidRPr="0050146A">
        <w:rPr>
          <w:rStyle w:val="af6"/>
          <w:rFonts w:eastAsia="Guttman Hodes" w:hint="cs"/>
          <w:rtl/>
        </w:rPr>
        <w:t>(נזיר לו. ד"ה ואמר הגר"ח)</w:t>
      </w:r>
      <w:r w:rsidR="00420E4D" w:rsidRPr="0050146A">
        <w:rPr>
          <w:rFonts w:hint="cs"/>
          <w:rtl/>
        </w:rPr>
        <w:t xml:space="preserve"> בדברי </w:t>
      </w:r>
      <w:r w:rsidR="00420E4D" w:rsidRPr="0050146A">
        <w:rPr>
          <w:rStyle w:val="af8"/>
          <w:rFonts w:hint="cs"/>
          <w:rtl/>
        </w:rPr>
        <w:t>הראב"ד</w:t>
      </w:r>
      <w:r w:rsidR="00420E4D" w:rsidRPr="0050146A">
        <w:rPr>
          <w:rFonts w:hint="cs"/>
          <w:rtl/>
        </w:rPr>
        <w:t>.</w:t>
      </w:r>
    </w:p>
    <w:p w:rsidR="009A0058" w:rsidRPr="007E0C12" w:rsidRDefault="009A0058" w:rsidP="009A0058">
      <w:pPr>
        <w:pStyle w:val="a2"/>
        <w:rPr>
          <w:rtl/>
        </w:rPr>
      </w:pPr>
      <w:bookmarkStart w:id="6198" w:name="_Toc13657839"/>
      <w:bookmarkStart w:id="6199" w:name="_Toc13663999"/>
      <w:r>
        <w:rPr>
          <w:rFonts w:hint="cs"/>
          <w:rtl/>
        </w:rPr>
        <w:t>דברי הראב"ד דלרבנן אין מלקות בטעם כעיקר ולר"ע יש מלקות בטעם כעיקר</w:t>
      </w:r>
      <w:bookmarkEnd w:id="6198"/>
      <w:bookmarkEnd w:id="6199"/>
    </w:p>
    <w:p w:rsidR="009A0058" w:rsidRPr="007E0C12" w:rsidRDefault="009A0058" w:rsidP="009F44AF">
      <w:pPr>
        <w:pStyle w:val="a"/>
        <w:rPr>
          <w:rtl/>
        </w:rPr>
      </w:pPr>
      <w:r>
        <w:rPr>
          <w:rFonts w:hint="cs"/>
          <w:rtl/>
        </w:rPr>
        <w:t>ו</w:t>
      </w:r>
      <w:r w:rsidRPr="007E0C12">
        <w:rPr>
          <w:rFonts w:hint="cs"/>
          <w:rtl/>
        </w:rPr>
        <w:t xml:space="preserve">כתב </w:t>
      </w:r>
      <w:r w:rsidRPr="00BC2B3B">
        <w:rPr>
          <w:rStyle w:val="af8"/>
          <w:rFonts w:hint="cs"/>
          <w:rtl/>
        </w:rPr>
        <w:t xml:space="preserve">הראב"ד בהשג' על הבעה"מ </w:t>
      </w:r>
      <w:r w:rsidRPr="00BC2B3B">
        <w:rPr>
          <w:rStyle w:val="af6"/>
          <w:rFonts w:eastAsia="Guttman Hodes" w:hint="cs"/>
          <w:rtl/>
        </w:rPr>
        <w:t xml:space="preserve">בפסחים (יג: מדפי הרי"ף ד"ה א"א טעם) </w:t>
      </w:r>
      <w:r w:rsidRPr="007E0C12">
        <w:rPr>
          <w:rFonts w:hint="cs"/>
          <w:rtl/>
        </w:rPr>
        <w:t>דלדעת רבנן אין לוקין בטעם כעיקר, דכיון דילפינן לה מנזיר בק"ו ואין לוקין מן הדין, אבל לדעת ר"ע לוקין על טעם כעיקר, דס"ל לר"ע דטעם כעיקר נלמד מגיעולי עכו"ם ומשרת הוא מיותר ודרשינן מיניה להיתר מצטרף לאיסור, וא"כ מוכח דמגיעולי עכו"ם ילפינן דלוקין על טעם כעיקר, דאי הילפותא מגיעולי עכו"ם היא רק לאיסור ולא למלקות, א"כ משרת אינו מיותר להיתר מצטרף לאיסור, דצריך ללמוד ממנו דלוקין על טעם כעיקר, אלא כתב הראב"ד דמוכח דלר"ע ילפינן מגיעולי עכו"ם אף למלקות.</w:t>
      </w:r>
    </w:p>
    <w:p w:rsidR="009A0058" w:rsidRPr="007E0C12" w:rsidRDefault="009A0058" w:rsidP="009A0058">
      <w:pPr>
        <w:pStyle w:val="a2"/>
        <w:rPr>
          <w:rtl/>
        </w:rPr>
      </w:pPr>
      <w:bookmarkStart w:id="6200" w:name="_Toc13657840"/>
      <w:bookmarkStart w:id="6201" w:name="_Toc13664000"/>
      <w:r>
        <w:rPr>
          <w:rFonts w:hint="cs"/>
          <w:rtl/>
        </w:rPr>
        <w:t>דברי הראב"ד דריו"ח ס"ל כרבנן דכל שאין האיסור ניכר בטעם או מראה אין לוקין בפחות מכא"פ</w:t>
      </w:r>
      <w:bookmarkEnd w:id="6200"/>
      <w:bookmarkEnd w:id="6201"/>
    </w:p>
    <w:p w:rsidR="009A0058" w:rsidRPr="007E0C12" w:rsidRDefault="009A0058" w:rsidP="009F44AF">
      <w:pPr>
        <w:pStyle w:val="a"/>
      </w:pPr>
      <w:bookmarkStart w:id="6202" w:name="_Ref14428659"/>
      <w:r w:rsidRPr="007E0C12">
        <w:rPr>
          <w:rFonts w:hint="cs"/>
          <w:rtl/>
        </w:rPr>
        <w:t xml:space="preserve">ובדעת ריו"ח ביאר </w:t>
      </w:r>
      <w:r w:rsidRPr="006B3AF1">
        <w:rPr>
          <w:rStyle w:val="af8"/>
          <w:rFonts w:hint="cs"/>
          <w:rtl/>
        </w:rPr>
        <w:t>הראב"ד בהשג' על הבעה"מ בפסחים</w:t>
      </w:r>
      <w:r w:rsidRPr="007E0C12">
        <w:rPr>
          <w:rFonts w:hint="cs"/>
          <w:rtl/>
        </w:rPr>
        <w:t xml:space="preserve"> דס"ל כרבנן דאין מלקות בטעם כעיקר, ולכן אמר ריו"ח בע"ז  דטעמו ולא ממשו אין לוקין עליו, וכתב </w:t>
      </w:r>
      <w:r w:rsidRPr="002E5DA7">
        <w:rPr>
          <w:rStyle w:val="af8"/>
          <w:rFonts w:hint="cs"/>
          <w:rtl/>
        </w:rPr>
        <w:t>הראב"ד</w:t>
      </w:r>
      <w:r w:rsidRPr="007E0C12">
        <w:rPr>
          <w:rFonts w:hint="cs"/>
          <w:rtl/>
        </w:rPr>
        <w:t xml:space="preserve"> דס"ל לרבנן דכל תערובת שלא ניכר בה האיסור בעין או במראה, אין בה מלקות, אא"כ אכל מהאיסור כזית בכדי אכילת פרס.</w:t>
      </w:r>
      <w:bookmarkEnd w:id="6202"/>
    </w:p>
    <w:p w:rsidR="009A0058" w:rsidRPr="002E5DA7" w:rsidRDefault="009A0058" w:rsidP="009A0058">
      <w:pPr>
        <w:pStyle w:val="a2"/>
        <w:rPr>
          <w:rtl/>
        </w:rPr>
      </w:pPr>
      <w:bookmarkStart w:id="6203" w:name="_Toc13134848"/>
      <w:bookmarkStart w:id="6204" w:name="_Toc13244709"/>
      <w:bookmarkStart w:id="6205" w:name="_Toc13396685"/>
      <w:bookmarkStart w:id="6206" w:name="_Toc13418704"/>
      <w:bookmarkStart w:id="6207" w:name="_Toc13516540"/>
      <w:bookmarkStart w:id="6208" w:name="_Toc13562626"/>
      <w:bookmarkStart w:id="6209" w:name="_Toc13568613"/>
      <w:bookmarkStart w:id="6210" w:name="_Toc13603220"/>
      <w:bookmarkStart w:id="6211" w:name="_Toc13603323"/>
      <w:bookmarkStart w:id="6212" w:name="_Toc13657841"/>
      <w:bookmarkStart w:id="6213" w:name="_Toc13664001"/>
      <w:r w:rsidRPr="002E5DA7">
        <w:rPr>
          <w:rFonts w:hint="cs"/>
          <w:rtl/>
        </w:rPr>
        <w:lastRenderedPageBreak/>
        <w:t xml:space="preserve">דברי הראב"ד </w:t>
      </w:r>
      <w:r>
        <w:rPr>
          <w:rFonts w:hint="cs"/>
          <w:rtl/>
        </w:rPr>
        <w:t>דכל שהאיסור נותן טעם בהיתר</w:t>
      </w:r>
      <w:r w:rsidRPr="002E5DA7">
        <w:rPr>
          <w:rFonts w:hint="cs"/>
          <w:rtl/>
        </w:rPr>
        <w:t xml:space="preserve"> חשיב הטעם בעין ואינו מתבטל ברוב</w:t>
      </w:r>
      <w:bookmarkEnd w:id="6203"/>
      <w:bookmarkEnd w:id="6204"/>
      <w:bookmarkEnd w:id="6205"/>
      <w:bookmarkEnd w:id="6206"/>
      <w:bookmarkEnd w:id="6207"/>
      <w:bookmarkEnd w:id="6208"/>
      <w:bookmarkEnd w:id="6209"/>
      <w:bookmarkEnd w:id="6210"/>
      <w:bookmarkEnd w:id="6211"/>
      <w:bookmarkEnd w:id="6212"/>
      <w:bookmarkEnd w:id="6213"/>
    </w:p>
    <w:p w:rsidR="009A0058" w:rsidRDefault="009A0058" w:rsidP="009F44AF">
      <w:pPr>
        <w:pStyle w:val="a"/>
        <w:rPr>
          <w:rtl/>
        </w:rPr>
      </w:pPr>
      <w:bookmarkStart w:id="6214" w:name="_Ref13662984"/>
      <w:r w:rsidRPr="007E0C12">
        <w:rPr>
          <w:rFonts w:hint="cs"/>
          <w:rtl/>
        </w:rPr>
        <w:t>וע</w:t>
      </w:r>
      <w:r>
        <w:rPr>
          <w:rFonts w:hint="cs"/>
          <w:rtl/>
        </w:rPr>
        <w:t>וד כתב</w:t>
      </w:r>
      <w:r w:rsidRPr="007E0C12">
        <w:rPr>
          <w:rFonts w:hint="cs"/>
          <w:rtl/>
        </w:rPr>
        <w:t xml:space="preserve"> </w:t>
      </w:r>
      <w:r w:rsidRPr="007E0C12">
        <w:rPr>
          <w:rStyle w:val="af8"/>
          <w:rFonts w:hint="cs"/>
          <w:rtl/>
        </w:rPr>
        <w:t>הראב"ד בהשג' על הבעה"מ בפסחים</w:t>
      </w:r>
      <w:r w:rsidRPr="007E0C12">
        <w:rPr>
          <w:rFonts w:hint="cs"/>
          <w:rtl/>
        </w:rPr>
        <w:t xml:space="preserve"> </w:t>
      </w:r>
      <w:r w:rsidRPr="007E0C12">
        <w:rPr>
          <w:rStyle w:val="af6"/>
          <w:rFonts w:eastAsia="Guttman Hodes" w:hint="cs"/>
          <w:rtl/>
        </w:rPr>
        <w:t>(יג: מדפי הרי"ף ד"ה א"א ראיתי)</w:t>
      </w:r>
      <w:r w:rsidRPr="007E0C12">
        <w:rPr>
          <w:rFonts w:hint="cs"/>
          <w:rtl/>
        </w:rPr>
        <w:t xml:space="preserve"> </w:t>
      </w:r>
      <w:r w:rsidRPr="007E0C12">
        <w:rPr>
          <w:rtl/>
        </w:rPr>
        <w:t xml:space="preserve">דהביאור בטעם כעיקר </w:t>
      </w:r>
      <w:r w:rsidRPr="007E0C12">
        <w:rPr>
          <w:rFonts w:hint="cs"/>
          <w:rtl/>
        </w:rPr>
        <w:t xml:space="preserve">הוא דכיון שהאיסור נותן טעם בהיתר, חשיב שהאיסור הוא בעין ואינו בטל ברוב, ואינו כמין במינו דאיתא בגמ' בזבחים </w:t>
      </w:r>
      <w:r w:rsidRPr="007E0C12">
        <w:rPr>
          <w:rStyle w:val="af6"/>
          <w:rFonts w:eastAsia="Guttman Hodes" w:hint="cs"/>
          <w:rtl/>
        </w:rPr>
        <w:t>(עט.)</w:t>
      </w:r>
      <w:r w:rsidRPr="007E0C12">
        <w:rPr>
          <w:rFonts w:hint="cs"/>
          <w:rtl/>
        </w:rPr>
        <w:t xml:space="preserve"> דבטל ברוב</w:t>
      </w:r>
      <w:r>
        <w:rPr>
          <w:rFonts w:hint="cs"/>
          <w:rtl/>
        </w:rPr>
        <w:t xml:space="preserve">, וכן ביאר </w:t>
      </w:r>
      <w:r w:rsidRPr="00295A76">
        <w:rPr>
          <w:rStyle w:val="af8"/>
          <w:rFonts w:hint="cs"/>
          <w:rtl/>
        </w:rPr>
        <w:t>הרשב"א</w:t>
      </w:r>
      <w:r>
        <w:rPr>
          <w:rStyle w:val="af8"/>
          <w:rFonts w:hint="cs"/>
          <w:rtl/>
        </w:rPr>
        <w:t xml:space="preserve"> בחי'</w:t>
      </w:r>
      <w:r>
        <w:rPr>
          <w:rFonts w:hint="cs"/>
          <w:rtl/>
        </w:rPr>
        <w:t xml:space="preserve"> </w:t>
      </w:r>
      <w:r w:rsidRPr="0025101E">
        <w:rPr>
          <w:rStyle w:val="af6"/>
          <w:rFonts w:eastAsia="Guttman Hodes" w:hint="cs"/>
          <w:rtl/>
        </w:rPr>
        <w:t>(ד"ה וקשיא)</w:t>
      </w:r>
      <w:r>
        <w:rPr>
          <w:rFonts w:hint="cs"/>
          <w:rtl/>
        </w:rPr>
        <w:t xml:space="preserve"> בשם </w:t>
      </w:r>
      <w:r w:rsidRPr="00295A76">
        <w:rPr>
          <w:rStyle w:val="af8"/>
          <w:rFonts w:hint="cs"/>
          <w:rtl/>
        </w:rPr>
        <w:t>הראב"ד</w:t>
      </w:r>
      <w:r w:rsidRPr="00A61675">
        <w:rPr>
          <w:rFonts w:hint="cs"/>
          <w:rtl/>
        </w:rPr>
        <w:t xml:space="preserve"> </w:t>
      </w:r>
      <w:r>
        <w:rPr>
          <w:rFonts w:hint="cs"/>
          <w:rtl/>
        </w:rPr>
        <w:t>דכיון שההיתר מקבל טעם מהאיסור, וניכר טעם האיסור בתוך ההיתר, טעימתו זוהי הכרתו, כדכתי' "וחיך אוכל יטעם לו", וכל החשיבות של האוכל היא בטעם.</w:t>
      </w:r>
      <w:bookmarkEnd w:id="6214"/>
    </w:p>
    <w:p w:rsidR="009A0058" w:rsidRPr="00FA49E1" w:rsidRDefault="009A0058" w:rsidP="009A0058">
      <w:pPr>
        <w:pStyle w:val="a2"/>
      </w:pPr>
      <w:bookmarkStart w:id="6215" w:name="_Toc13657842"/>
      <w:bookmarkStart w:id="6216" w:name="_Toc13664002"/>
      <w:r>
        <w:rPr>
          <w:rFonts w:hint="cs"/>
          <w:rtl/>
        </w:rPr>
        <w:t>דברי הראב"ד דטעמו וממשו היינו שיש כזית בכא"פ דמחמת הטעם האיסור לא מתבטל בהיתר</w:t>
      </w:r>
      <w:bookmarkEnd w:id="6215"/>
      <w:bookmarkEnd w:id="6216"/>
    </w:p>
    <w:p w:rsidR="009A0058" w:rsidRPr="007E0C12" w:rsidRDefault="009A0058" w:rsidP="009F44AF">
      <w:pPr>
        <w:pStyle w:val="a"/>
        <w:rPr>
          <w:rtl/>
        </w:rPr>
      </w:pPr>
      <w:r w:rsidRPr="007E0C12">
        <w:rPr>
          <w:rFonts w:hint="cs"/>
          <w:rtl/>
        </w:rPr>
        <w:t>ו</w:t>
      </w:r>
      <w:r>
        <w:rPr>
          <w:rFonts w:hint="cs"/>
          <w:rtl/>
        </w:rPr>
        <w:t>כתב</w:t>
      </w:r>
      <w:r w:rsidRPr="007E0C12">
        <w:rPr>
          <w:rFonts w:hint="cs"/>
          <w:rtl/>
        </w:rPr>
        <w:t xml:space="preserve"> </w:t>
      </w:r>
      <w:r w:rsidRPr="007E0C12">
        <w:rPr>
          <w:rStyle w:val="af8"/>
          <w:rFonts w:hint="cs"/>
          <w:rtl/>
        </w:rPr>
        <w:t>הראב"ד בהשג' על הבעה"מ בפסחים</w:t>
      </w:r>
      <w:r w:rsidRPr="007E0C12">
        <w:rPr>
          <w:rFonts w:hint="cs"/>
          <w:rtl/>
        </w:rPr>
        <w:t xml:space="preserve"> </w:t>
      </w:r>
      <w:r>
        <w:rPr>
          <w:rFonts w:hint="cs"/>
          <w:rtl/>
        </w:rPr>
        <w:t xml:space="preserve">דאף בטעם כעיקר </w:t>
      </w:r>
      <w:r w:rsidRPr="007E0C12">
        <w:rPr>
          <w:rFonts w:hint="cs"/>
          <w:rtl/>
        </w:rPr>
        <w:t>ב</w:t>
      </w:r>
      <w:r>
        <w:rPr>
          <w:rFonts w:hint="cs"/>
          <w:rtl/>
        </w:rPr>
        <w:t xml:space="preserve">מקום </w:t>
      </w:r>
      <w:r w:rsidRPr="007E0C12">
        <w:rPr>
          <w:rFonts w:hint="cs"/>
          <w:rtl/>
        </w:rPr>
        <w:t xml:space="preserve">שיש כזית בכדי אכילת פרס ויש נתינת טעם לוקין עליו, אעפ"י שיש רוב של היתר, כיון שהאיסור </w:t>
      </w:r>
      <w:r>
        <w:rPr>
          <w:rFonts w:hint="cs"/>
          <w:rtl/>
        </w:rPr>
        <w:t xml:space="preserve">נותן טעם </w:t>
      </w:r>
      <w:r w:rsidRPr="007E0C12">
        <w:rPr>
          <w:rFonts w:hint="cs"/>
          <w:rtl/>
        </w:rPr>
        <w:t xml:space="preserve">אינו מתבטל בהיתר, וכתב </w:t>
      </w:r>
      <w:r w:rsidRPr="007E0C12">
        <w:rPr>
          <w:rStyle w:val="af8"/>
          <w:rFonts w:hint="cs"/>
          <w:rtl/>
        </w:rPr>
        <w:t xml:space="preserve">בפי' הראב"ד בע"ז </w:t>
      </w:r>
      <w:r w:rsidRPr="007E0C12">
        <w:rPr>
          <w:rStyle w:val="af6"/>
          <w:rFonts w:eastAsia="Guttman Hodes" w:hint="cs"/>
          <w:rtl/>
        </w:rPr>
        <w:t xml:space="preserve">(סז. ד"ה כל, ד"ה לוקין) </w:t>
      </w:r>
      <w:r w:rsidRPr="007E0C12">
        <w:rPr>
          <w:rFonts w:hint="cs"/>
          <w:rtl/>
        </w:rPr>
        <w:t>דזהו טעמו וממשו, דהכזית של האיסור שבתוך כדי אכילת פרס הוא חשיב ממשו, שיש הרבה איסור בתערובת.</w:t>
      </w:r>
    </w:p>
    <w:p w:rsidR="009A0058" w:rsidRPr="007E0C12" w:rsidRDefault="009A0058" w:rsidP="009A0058">
      <w:pPr>
        <w:pStyle w:val="a2"/>
      </w:pPr>
      <w:bookmarkStart w:id="6217" w:name="_Toc13657843"/>
      <w:bookmarkStart w:id="6218" w:name="_Toc13664003"/>
      <w:r>
        <w:rPr>
          <w:rFonts w:hint="cs"/>
          <w:rtl/>
        </w:rPr>
        <w:t>דברי הראב"ד דטעמו ולא ממשו היינו בפחות מכזית בכא"פ דהאיסור חשיב בעין אך אין לוקין עליו</w:t>
      </w:r>
      <w:bookmarkEnd w:id="6217"/>
      <w:bookmarkEnd w:id="6218"/>
    </w:p>
    <w:p w:rsidR="009A0058" w:rsidRPr="007E0C12" w:rsidRDefault="009A0058" w:rsidP="009F44AF">
      <w:pPr>
        <w:pStyle w:val="a"/>
        <w:rPr>
          <w:rtl/>
        </w:rPr>
      </w:pPr>
      <w:r w:rsidRPr="007E0C12">
        <w:rPr>
          <w:rFonts w:hint="cs"/>
          <w:rtl/>
        </w:rPr>
        <w:t xml:space="preserve">ובמקום שאין בו כזית בכדי אכילת פרס, כתב </w:t>
      </w:r>
      <w:r w:rsidRPr="007E0C12">
        <w:rPr>
          <w:rStyle w:val="af8"/>
          <w:rFonts w:hint="cs"/>
          <w:rtl/>
        </w:rPr>
        <w:t>הראב"ד בהשג' על הבעה"מ בפסחים</w:t>
      </w:r>
      <w:r w:rsidRPr="007E0C12">
        <w:rPr>
          <w:rFonts w:hint="cs"/>
          <w:rtl/>
        </w:rPr>
        <w:t xml:space="preserve"> דאסור ואין לוקין עליו, אך מ"מ אינו מתבטל ברוב של ההיתר, וחשיב כאילו האיסור נמצא בעין, וכתב </w:t>
      </w:r>
      <w:r w:rsidRPr="007E0C12">
        <w:rPr>
          <w:rStyle w:val="af8"/>
          <w:rFonts w:hint="cs"/>
          <w:rtl/>
        </w:rPr>
        <w:t xml:space="preserve">בפי' הראב"ד בע"ז </w:t>
      </w:r>
      <w:r w:rsidRPr="007E0C12">
        <w:rPr>
          <w:rStyle w:val="af6"/>
          <w:rFonts w:eastAsia="Guttman Hodes" w:hint="cs"/>
          <w:rtl/>
        </w:rPr>
        <w:t xml:space="preserve">(סז: ד"ה טעמו) </w:t>
      </w:r>
      <w:r w:rsidRPr="007E0C12">
        <w:rPr>
          <w:rFonts w:hint="cs"/>
          <w:rtl/>
        </w:rPr>
        <w:t>דזהו טעמו ולא ממשו, שלא אכל מהכזית של האיסור בכדי אכילת פרס, וא"כ אין הרבה איסור בתערובת ולא חשיב ממשו.</w:t>
      </w:r>
    </w:p>
    <w:p w:rsidR="009A0058" w:rsidRPr="007E0C12" w:rsidRDefault="009A0058" w:rsidP="009A0058">
      <w:pPr>
        <w:pStyle w:val="1"/>
        <w:rPr>
          <w:rtl/>
        </w:rPr>
      </w:pPr>
      <w:bookmarkStart w:id="6219" w:name="_Toc13657844"/>
      <w:bookmarkStart w:id="6220" w:name="_Toc13664004"/>
      <w:r w:rsidRPr="007E0C12">
        <w:rPr>
          <w:rFonts w:hint="cs"/>
          <w:rtl/>
        </w:rPr>
        <w:t>דעת רבינו חיים ורבינו אליהו דבשיעור כזית בכא"פ הוי ממשו</w:t>
      </w:r>
      <w:bookmarkEnd w:id="6157"/>
      <w:bookmarkEnd w:id="6158"/>
      <w:bookmarkEnd w:id="6159"/>
      <w:bookmarkEnd w:id="6182"/>
      <w:bookmarkEnd w:id="6183"/>
      <w:bookmarkEnd w:id="6184"/>
      <w:bookmarkEnd w:id="6185"/>
      <w:bookmarkEnd w:id="6219"/>
      <w:bookmarkEnd w:id="6220"/>
      <w:r w:rsidRPr="007E0C12">
        <w:rPr>
          <w:rFonts w:hint="cs"/>
          <w:rtl/>
        </w:rPr>
        <w:t xml:space="preserve"> </w:t>
      </w:r>
    </w:p>
    <w:p w:rsidR="009A0058" w:rsidRPr="007E0C12" w:rsidRDefault="009A0058" w:rsidP="009A0058">
      <w:pPr>
        <w:pStyle w:val="a2"/>
        <w:rPr>
          <w:rtl/>
        </w:rPr>
      </w:pPr>
      <w:bookmarkStart w:id="6221" w:name="_Toc13396658"/>
      <w:bookmarkStart w:id="6222" w:name="_Toc13418670"/>
      <w:bookmarkStart w:id="6223" w:name="_Toc13516503"/>
      <w:bookmarkStart w:id="6224" w:name="_Toc13562592"/>
      <w:bookmarkStart w:id="6225" w:name="_Toc13568579"/>
      <w:bookmarkStart w:id="6226" w:name="_Toc13603187"/>
      <w:bookmarkStart w:id="6227" w:name="_Toc13603290"/>
      <w:bookmarkStart w:id="6228" w:name="_Toc13657845"/>
      <w:bookmarkStart w:id="6229" w:name="_Toc13664005"/>
      <w:r w:rsidRPr="007E0C12">
        <w:rPr>
          <w:rFonts w:hint="cs"/>
          <w:rtl/>
        </w:rPr>
        <w:t>דעת רבינו אליהו ורבינו חיים דבמקום שיש כזית בכדי אכילת פרס חשיב ממשו</w:t>
      </w:r>
      <w:bookmarkEnd w:id="6221"/>
      <w:bookmarkEnd w:id="6222"/>
      <w:bookmarkEnd w:id="6223"/>
      <w:bookmarkEnd w:id="6224"/>
      <w:bookmarkEnd w:id="6225"/>
      <w:bookmarkEnd w:id="6226"/>
      <w:bookmarkEnd w:id="6227"/>
      <w:bookmarkEnd w:id="6228"/>
      <w:bookmarkEnd w:id="6229"/>
    </w:p>
    <w:p w:rsidR="009A0058" w:rsidRPr="00682DC3" w:rsidRDefault="009A0058" w:rsidP="009F44AF">
      <w:pPr>
        <w:pStyle w:val="a"/>
        <w:rPr>
          <w:rStyle w:val="afa"/>
          <w:rtl/>
        </w:rPr>
      </w:pPr>
      <w:bookmarkStart w:id="6230" w:name="_Ref13584951"/>
      <w:bookmarkStart w:id="6231" w:name="_Ref14428533"/>
      <w:r>
        <w:rPr>
          <w:rFonts w:hint="cs"/>
          <w:rtl/>
        </w:rPr>
        <w:t>כתבו</w:t>
      </w:r>
      <w:r w:rsidRPr="007E0C12">
        <w:rPr>
          <w:rFonts w:hint="cs"/>
          <w:rtl/>
        </w:rPr>
        <w:t xml:space="preserve"> </w:t>
      </w:r>
      <w:r w:rsidRPr="007E0C12">
        <w:rPr>
          <w:rStyle w:val="af8"/>
          <w:rtl/>
        </w:rPr>
        <w:t xml:space="preserve">התוס' </w:t>
      </w:r>
      <w:r w:rsidRPr="007E0C12">
        <w:rPr>
          <w:rStyle w:val="af8"/>
          <w:rFonts w:hint="cs"/>
          <w:rtl/>
        </w:rPr>
        <w:t xml:space="preserve">בסוגיין בתירוצם הב' </w:t>
      </w:r>
      <w:r w:rsidRPr="007E0C12">
        <w:rPr>
          <w:rStyle w:val="af6"/>
          <w:rFonts w:eastAsia="Guttman Hodes" w:hint="cs"/>
          <w:rtl/>
        </w:rPr>
        <w:t>(ד"ה רבא)</w:t>
      </w:r>
      <w:r w:rsidRPr="007E0C12">
        <w:rPr>
          <w:rtl/>
        </w:rPr>
        <w:t xml:space="preserve"> </w:t>
      </w:r>
      <w:r w:rsidRPr="007E0C12">
        <w:rPr>
          <w:rStyle w:val="af8"/>
          <w:rFonts w:hint="cs"/>
          <w:rtl/>
        </w:rPr>
        <w:t>והתוס' בע"ז</w:t>
      </w:r>
      <w:r w:rsidRPr="007E0C12">
        <w:rPr>
          <w:rFonts w:hint="cs"/>
          <w:rtl/>
        </w:rPr>
        <w:t xml:space="preserve"> </w:t>
      </w:r>
      <w:r w:rsidRPr="007E0C12">
        <w:rPr>
          <w:rStyle w:val="af6"/>
          <w:rFonts w:eastAsia="Guttman Hodes" w:hint="cs"/>
          <w:rtl/>
        </w:rPr>
        <w:t>(סז. ד"ה א"ר יוחנן)</w:t>
      </w:r>
      <w:r w:rsidRPr="007E0C12">
        <w:rPr>
          <w:rFonts w:hint="cs"/>
          <w:rtl/>
        </w:rPr>
        <w:t xml:space="preserve"> בשם </w:t>
      </w:r>
      <w:r w:rsidRPr="007E0C12">
        <w:rPr>
          <w:rStyle w:val="af8"/>
          <w:rFonts w:hint="cs"/>
          <w:rtl/>
        </w:rPr>
        <w:t>רבינו אליהו</w:t>
      </w:r>
      <w:r w:rsidRPr="007E0C12">
        <w:rPr>
          <w:rFonts w:hint="cs"/>
          <w:rtl/>
        </w:rPr>
        <w:t xml:space="preserve"> </w:t>
      </w:r>
      <w:r w:rsidRPr="007E0C12">
        <w:rPr>
          <w:rStyle w:val="af8"/>
          <w:rFonts w:hint="cs"/>
          <w:rtl/>
        </w:rPr>
        <w:t xml:space="preserve">והרא"ש </w:t>
      </w:r>
      <w:r w:rsidRPr="007E0C12">
        <w:rPr>
          <w:rStyle w:val="af6"/>
          <w:rFonts w:eastAsia="Guttman Hodes" w:hint="cs"/>
          <w:rtl/>
        </w:rPr>
        <w:t>(סי' ל"א)</w:t>
      </w:r>
      <w:r w:rsidRPr="007E0C12">
        <w:rPr>
          <w:rStyle w:val="af8"/>
          <w:rFonts w:hint="cs"/>
          <w:rtl/>
        </w:rPr>
        <w:t xml:space="preserve"> בשם רבינו חיים </w:t>
      </w:r>
      <w:r w:rsidRPr="007E0C12">
        <w:rPr>
          <w:rFonts w:hint="cs"/>
          <w:rtl/>
        </w:rPr>
        <w:t>דאף ריו"ח בגמ' בע"ז איירי במין בשאינו מינו, והא דאמר ריו"ח דלוקין רק בטעמו וממשו, כוונתו דבמקום שיש מטעם האיסור כזית בכדי אכילת פרס,</w:t>
      </w:r>
      <w:r w:rsidRPr="007E0C12">
        <w:rPr>
          <w:rStyle w:val="af8"/>
          <w:rFonts w:hint="cs"/>
          <w:rtl/>
        </w:rPr>
        <w:t xml:space="preserve"> </w:t>
      </w:r>
      <w:r w:rsidRPr="007E0C12">
        <w:rPr>
          <w:rFonts w:hint="cs"/>
          <w:rtl/>
        </w:rPr>
        <w:t xml:space="preserve">דבכה"ג חשיב שיש בו טעמו וממשו, ולכן לוקין עליו, וכ"כ </w:t>
      </w:r>
      <w:r w:rsidRPr="007E0C12">
        <w:rPr>
          <w:rStyle w:val="af8"/>
          <w:rFonts w:hint="cs"/>
          <w:rtl/>
        </w:rPr>
        <w:t>הרשב"א בחי'</w:t>
      </w:r>
      <w:r w:rsidRPr="007E0C12">
        <w:rPr>
          <w:rFonts w:hint="cs"/>
          <w:rtl/>
        </w:rPr>
        <w:t xml:space="preserve"> </w:t>
      </w:r>
      <w:r w:rsidRPr="007E0C12">
        <w:rPr>
          <w:rStyle w:val="af6"/>
          <w:rFonts w:eastAsia="Guttman Hodes" w:hint="cs"/>
          <w:rtl/>
        </w:rPr>
        <w:t>(ד"ה ור"י)</w:t>
      </w:r>
      <w:r w:rsidRPr="007E0C12">
        <w:rPr>
          <w:rFonts w:hint="cs"/>
          <w:rtl/>
        </w:rPr>
        <w:t xml:space="preserve"> </w:t>
      </w:r>
      <w:r w:rsidRPr="007E0C12">
        <w:rPr>
          <w:rStyle w:val="af8"/>
          <w:rFonts w:hint="cs"/>
          <w:rtl/>
        </w:rPr>
        <w:t>ובתוה"ב</w:t>
      </w:r>
      <w:r w:rsidRPr="007E0C12">
        <w:rPr>
          <w:rFonts w:hint="cs"/>
          <w:rtl/>
        </w:rPr>
        <w:t xml:space="preserve"> </w:t>
      </w:r>
      <w:r w:rsidRPr="007E0C12">
        <w:rPr>
          <w:rStyle w:val="af6"/>
          <w:rFonts w:eastAsia="Guttman Hodes" w:hint="cs"/>
          <w:rtl/>
        </w:rPr>
        <w:t>(ב"ד ש"א יא. מדה"ס)</w:t>
      </w:r>
      <w:r w:rsidRPr="007E0C12">
        <w:rPr>
          <w:rFonts w:hint="cs"/>
          <w:rtl/>
        </w:rPr>
        <w:t xml:space="preserve"> בשם </w:t>
      </w:r>
      <w:r w:rsidRPr="007E0C12">
        <w:rPr>
          <w:rStyle w:val="af8"/>
          <w:rFonts w:hint="cs"/>
          <w:rtl/>
        </w:rPr>
        <w:t>ר"י</w:t>
      </w:r>
      <w:r w:rsidRPr="007E0C12">
        <w:rPr>
          <w:rFonts w:hint="cs"/>
          <w:rtl/>
        </w:rPr>
        <w:t xml:space="preserve">, וכתבו </w:t>
      </w:r>
      <w:r w:rsidRPr="007E0C12">
        <w:rPr>
          <w:rStyle w:val="af8"/>
          <w:rFonts w:hint="cs"/>
          <w:rtl/>
        </w:rPr>
        <w:t>הלח"מ</w:t>
      </w:r>
      <w:r w:rsidRPr="007E0C12">
        <w:rPr>
          <w:rFonts w:hint="cs"/>
          <w:rtl/>
        </w:rPr>
        <w:t xml:space="preserve"> </w:t>
      </w:r>
      <w:r w:rsidRPr="007E0C12">
        <w:rPr>
          <w:rStyle w:val="af6"/>
          <w:rFonts w:eastAsia="Guttman Hodes" w:hint="cs"/>
          <w:rtl/>
        </w:rPr>
        <w:t>(מאכ"א פט"ו ה"א)</w:t>
      </w:r>
      <w:r w:rsidRPr="007E0C12">
        <w:rPr>
          <w:rStyle w:val="af8"/>
          <w:rFonts w:hint="cs"/>
          <w:rtl/>
        </w:rPr>
        <w:t xml:space="preserve"> והגר"א</w:t>
      </w:r>
      <w:r w:rsidRPr="007E0C12">
        <w:rPr>
          <w:rFonts w:hint="cs"/>
          <w:rtl/>
        </w:rPr>
        <w:t xml:space="preserve"> </w:t>
      </w:r>
      <w:r w:rsidRPr="007E0C12">
        <w:rPr>
          <w:rStyle w:val="af6"/>
          <w:rFonts w:eastAsia="Guttman Hodes" w:hint="cs"/>
          <w:rtl/>
        </w:rPr>
        <w:t>(או"ח סי' תנ"ג סק"ט)</w:t>
      </w:r>
      <w:r w:rsidRPr="007E0C12">
        <w:rPr>
          <w:rFonts w:hint="cs"/>
          <w:rtl/>
        </w:rPr>
        <w:t xml:space="preserve"> דאיירי אף באופן שגוף האיסור נימוח ואפ"ה ס"ל דחשיב טעמו וממשו.</w:t>
      </w:r>
      <w:r w:rsidRPr="007E0C12">
        <w:rPr>
          <w:rFonts w:hint="cs"/>
          <w:sz w:val="10"/>
          <w:szCs w:val="14"/>
          <w:rtl/>
        </w:rPr>
        <w:t xml:space="preserve"> [וכתב </w:t>
      </w:r>
      <w:r w:rsidRPr="007E0C12">
        <w:rPr>
          <w:rStyle w:val="affa"/>
          <w:rFonts w:hint="cs"/>
          <w:rtl/>
        </w:rPr>
        <w:t>הגר"א דהתי' הב' בתוס' בסוגיין ורבינו חיים ורבינו אליהו והרשב"א</w:t>
      </w:r>
      <w:r w:rsidRPr="007E0C12">
        <w:rPr>
          <w:rFonts w:hint="cs"/>
          <w:sz w:val="10"/>
          <w:szCs w:val="14"/>
          <w:rtl/>
        </w:rPr>
        <w:t xml:space="preserve"> הם ביאור אחד]. </w:t>
      </w:r>
      <w:r w:rsidRPr="007E0C12">
        <w:rPr>
          <w:rFonts w:hint="cs"/>
          <w:rtl/>
        </w:rPr>
        <w:t xml:space="preserve">וכתב </w:t>
      </w:r>
      <w:r w:rsidRPr="007E0C12">
        <w:rPr>
          <w:rStyle w:val="af8"/>
          <w:rFonts w:hint="cs"/>
          <w:rtl/>
        </w:rPr>
        <w:t>הלח"מ</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Ref13601303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7E0C12">
        <w:rPr>
          <w:rStyle w:val="af6"/>
          <w:rFonts w:eastAsia="Guttman Hodes"/>
          <w:rtl/>
        </w:rPr>
        <w:fldChar w:fldCharType="end"/>
      </w:r>
      <w:r w:rsidRPr="007E0C12">
        <w:rPr>
          <w:rFonts w:hint="cs"/>
          <w:rtl/>
        </w:rPr>
        <w:t xml:space="preserve"> </w:t>
      </w:r>
      <w:r w:rsidRPr="007E0C12">
        <w:rPr>
          <w:rStyle w:val="af8"/>
          <w:rFonts w:hint="cs"/>
          <w:rtl/>
        </w:rPr>
        <w:t>דרבינו אליהו</w:t>
      </w:r>
      <w:r w:rsidRPr="007E0C12">
        <w:rPr>
          <w:rFonts w:hint="cs"/>
          <w:rtl/>
        </w:rPr>
        <w:t xml:space="preserve"> פליג על </w:t>
      </w:r>
      <w:r w:rsidRPr="007E0C12">
        <w:rPr>
          <w:rStyle w:val="af8"/>
          <w:rFonts w:hint="cs"/>
          <w:rtl/>
        </w:rPr>
        <w:t>רש"י</w:t>
      </w:r>
      <w:bookmarkEnd w:id="6230"/>
      <w:r w:rsidRPr="007E0C12">
        <w:rPr>
          <w:rFonts w:hint="cs"/>
          <w:rtl/>
        </w:rPr>
        <w:t xml:space="preserve"> דס"ל דבנימוח גוף האיסור, הוא טעמו ולא ממשו</w:t>
      </w:r>
      <w:r>
        <w:rPr>
          <w:rFonts w:hint="cs"/>
          <w:rtl/>
        </w:rPr>
        <w:t xml:space="preserve">. </w:t>
      </w:r>
      <w:r w:rsidRPr="00682DC3">
        <w:rPr>
          <w:rStyle w:val="afa"/>
          <w:rFonts w:hint="cs"/>
          <w:rtl/>
        </w:rPr>
        <w:t xml:space="preserve">[ועמ"ש בביאור דעת </w:t>
      </w:r>
      <w:r w:rsidRPr="00682DC3">
        <w:rPr>
          <w:rStyle w:val="affa"/>
          <w:rFonts w:hint="cs"/>
          <w:rtl/>
        </w:rPr>
        <w:t>רבינו חיים</w:t>
      </w:r>
      <w:r w:rsidRPr="00682DC3">
        <w:rPr>
          <w:rStyle w:val="afa"/>
          <w:rFonts w:hint="cs"/>
          <w:rtl/>
        </w:rPr>
        <w:t xml:space="preserve"> </w:t>
      </w:r>
      <w:r w:rsidRPr="00682DC3">
        <w:rPr>
          <w:rStyle w:val="aff6"/>
          <w:rFonts w:hint="cs"/>
          <w:rtl/>
        </w:rPr>
        <w:t xml:space="preserve">(הובא לקמן סימן י' אות </w:t>
      </w:r>
      <w:r w:rsidR="00971984">
        <w:rPr>
          <w:rStyle w:val="aff6"/>
          <w:rtl/>
        </w:rPr>
        <w:fldChar w:fldCharType="begin"/>
      </w:r>
      <w:r w:rsidR="00971984">
        <w:rPr>
          <w:rStyle w:val="aff6"/>
          <w:rtl/>
        </w:rPr>
        <w:instrText xml:space="preserve"> </w:instrText>
      </w:r>
      <w:r w:rsidR="00971984">
        <w:rPr>
          <w:rStyle w:val="aff6"/>
          <w:rFonts w:hint="cs"/>
        </w:rPr>
        <w:instrText>REF</w:instrText>
      </w:r>
      <w:r w:rsidR="00971984">
        <w:rPr>
          <w:rStyle w:val="aff6"/>
          <w:rFonts w:hint="cs"/>
          <w:rtl/>
        </w:rPr>
        <w:instrText xml:space="preserve"> _</w:instrText>
      </w:r>
      <w:r w:rsidR="00971984">
        <w:rPr>
          <w:rStyle w:val="aff6"/>
          <w:rFonts w:hint="cs"/>
        </w:rPr>
        <w:instrText>Ref14249711 \r \h</w:instrText>
      </w:r>
      <w:r w:rsidR="00971984">
        <w:rPr>
          <w:rStyle w:val="aff6"/>
          <w:rtl/>
        </w:rPr>
        <w:instrText xml:space="preserve"> </w:instrText>
      </w:r>
      <w:r w:rsidR="00971984">
        <w:rPr>
          <w:rStyle w:val="aff6"/>
          <w:rtl/>
        </w:rPr>
      </w:r>
      <w:r w:rsidR="00971984">
        <w:rPr>
          <w:rStyle w:val="aff6"/>
          <w:rtl/>
        </w:rPr>
        <w:fldChar w:fldCharType="separate"/>
      </w:r>
      <w:r w:rsidR="004D1C5B">
        <w:rPr>
          <w:rStyle w:val="aff6"/>
          <w:cs/>
        </w:rPr>
        <w:t>‎</w:t>
      </w:r>
      <w:r w:rsidR="004D1C5B">
        <w:rPr>
          <w:rStyle w:val="aff6"/>
          <w:rtl/>
        </w:rPr>
        <w:t>לה)</w:t>
      </w:r>
      <w:r w:rsidR="00971984">
        <w:rPr>
          <w:rStyle w:val="aff6"/>
          <w:rtl/>
        </w:rPr>
        <w:fldChar w:fldCharType="end"/>
      </w:r>
      <w:r w:rsidR="00971984">
        <w:rPr>
          <w:rStyle w:val="aff6"/>
          <w:rFonts w:hint="cs"/>
          <w:rtl/>
        </w:rPr>
        <w:t xml:space="preserve"> </w:t>
      </w:r>
      <w:r w:rsidRPr="00682DC3">
        <w:rPr>
          <w:rStyle w:val="afa"/>
          <w:rFonts w:hint="cs"/>
          <w:rtl/>
        </w:rPr>
        <w:t>בדין נהפך].</w:t>
      </w:r>
      <w:bookmarkEnd w:id="6231"/>
    </w:p>
    <w:p w:rsidR="009A0058" w:rsidRPr="007E0C12" w:rsidRDefault="009A0058" w:rsidP="009A0058">
      <w:pPr>
        <w:pStyle w:val="a2"/>
      </w:pPr>
      <w:bookmarkStart w:id="6232" w:name="_Toc13603188"/>
      <w:bookmarkStart w:id="6233" w:name="_Toc13603291"/>
      <w:bookmarkStart w:id="6234" w:name="_Toc13657846"/>
      <w:bookmarkStart w:id="6235" w:name="_Toc13664006"/>
      <w:r w:rsidRPr="007E0C12">
        <w:rPr>
          <w:rFonts w:hint="cs"/>
          <w:rtl/>
        </w:rPr>
        <w:t>דברי הרא"ש בשם רבינו חיים דכיון שמעורב כ"כ הרבה מהאיסור חשיב שכולו נעשה איסור</w:t>
      </w:r>
      <w:bookmarkEnd w:id="6232"/>
      <w:bookmarkEnd w:id="6233"/>
      <w:bookmarkEnd w:id="6234"/>
      <w:bookmarkEnd w:id="6235"/>
    </w:p>
    <w:p w:rsidR="009A0058" w:rsidRPr="007E0C12" w:rsidRDefault="009A0058" w:rsidP="009F44AF">
      <w:pPr>
        <w:pStyle w:val="a"/>
        <w:rPr>
          <w:rStyle w:val="afa"/>
          <w:rtl/>
        </w:rPr>
      </w:pPr>
      <w:r w:rsidRPr="007E0C12">
        <w:rPr>
          <w:rFonts w:hint="cs"/>
          <w:rtl/>
        </w:rPr>
        <w:t xml:space="preserve">וביאר </w:t>
      </w:r>
      <w:r w:rsidRPr="007E0C12">
        <w:rPr>
          <w:rStyle w:val="af8"/>
          <w:rFonts w:hint="cs"/>
          <w:rtl/>
        </w:rPr>
        <w:t>הרא"ש בשם רבינו חיים</w:t>
      </w:r>
      <w:r w:rsidRPr="007E0C12">
        <w:rPr>
          <w:rFonts w:hint="cs"/>
          <w:rtl/>
        </w:rPr>
        <w:t xml:space="preserve"> דכיון שמעורב בהיתר כ"כ הרבה מהאיסור, חשיב שנעשה כולו איסור, וכדמוכח מהגמ' בזבחים </w:t>
      </w:r>
      <w:r w:rsidRPr="007E0C12">
        <w:rPr>
          <w:rStyle w:val="af6"/>
          <w:rFonts w:eastAsia="Guttman Hodes" w:hint="cs"/>
          <w:rtl/>
        </w:rPr>
        <w:t>(עח.)</w:t>
      </w:r>
      <w:r w:rsidRPr="007E0C12">
        <w:rPr>
          <w:rFonts w:hint="cs"/>
          <w:rtl/>
        </w:rPr>
        <w:t xml:space="preserve"> בדין עיסת אורז, דכיון שיש לה טעם דגן יוצא בה יד"ח מצה.</w:t>
      </w:r>
      <w:r w:rsidRPr="007E0C12">
        <w:rPr>
          <w:rStyle w:val="afa"/>
          <w:rFonts w:hint="cs"/>
          <w:rtl/>
        </w:rPr>
        <w:t xml:space="preserve"> [עי' בדברי </w:t>
      </w:r>
      <w:r w:rsidRPr="007E0C12">
        <w:rPr>
          <w:rStyle w:val="affa"/>
          <w:rFonts w:hint="cs"/>
          <w:rtl/>
        </w:rPr>
        <w:t>הרא"ש</w:t>
      </w:r>
      <w:r w:rsidRPr="007E0C12">
        <w:rPr>
          <w:rStyle w:val="afa"/>
          <w:rFonts w:hint="cs"/>
          <w:rtl/>
        </w:rPr>
        <w:t xml:space="preserve"> </w:t>
      </w:r>
      <w:r w:rsidRPr="007E0C12">
        <w:rPr>
          <w:rStyle w:val="aff6"/>
          <w:rFonts w:hint="cs"/>
          <w:rtl/>
        </w:rPr>
        <w:t xml:space="preserve">(עי' אות </w:t>
      </w:r>
      <w:r w:rsidRPr="007E0C12">
        <w:rPr>
          <w:rStyle w:val="aff6"/>
          <w:rtl/>
        </w:rPr>
        <w:fldChar w:fldCharType="begin"/>
      </w:r>
      <w:r w:rsidRPr="007E0C12">
        <w:rPr>
          <w:rStyle w:val="aff6"/>
          <w:rtl/>
        </w:rPr>
        <w:instrText xml:space="preserve"> </w:instrText>
      </w:r>
      <w:r w:rsidRPr="007E0C12">
        <w:rPr>
          <w:rStyle w:val="aff6"/>
          <w:rFonts w:hint="cs"/>
        </w:rPr>
        <w:instrText>REF</w:instrText>
      </w:r>
      <w:r w:rsidRPr="007E0C12">
        <w:rPr>
          <w:rStyle w:val="aff6"/>
          <w:rFonts w:hint="cs"/>
          <w:rtl/>
        </w:rPr>
        <w:instrText xml:space="preserve"> _</w:instrText>
      </w:r>
      <w:r w:rsidRPr="007E0C12">
        <w:rPr>
          <w:rStyle w:val="aff6"/>
          <w:rFonts w:hint="cs"/>
        </w:rPr>
        <w:instrText>Ref12888725 \r \h</w:instrText>
      </w:r>
      <w:r w:rsidRPr="007E0C12">
        <w:rPr>
          <w:rStyle w:val="aff6"/>
          <w:rtl/>
        </w:rPr>
        <w:instrText xml:space="preserve">  \* </w:instrText>
      </w:r>
      <w:r w:rsidRPr="007E0C12">
        <w:rPr>
          <w:rStyle w:val="aff6"/>
        </w:rPr>
        <w:instrText>MERGEFORMAT</w:instrText>
      </w:r>
      <w:r w:rsidRPr="007E0C12">
        <w:rPr>
          <w:rStyle w:val="aff6"/>
          <w:rtl/>
        </w:rPr>
        <w:instrText xml:space="preserve"> </w:instrText>
      </w:r>
      <w:r w:rsidRPr="007E0C12">
        <w:rPr>
          <w:rStyle w:val="aff6"/>
          <w:rtl/>
        </w:rPr>
      </w:r>
      <w:r w:rsidRPr="007E0C12">
        <w:rPr>
          <w:rStyle w:val="aff6"/>
          <w:rtl/>
        </w:rPr>
        <w:fldChar w:fldCharType="separate"/>
      </w:r>
      <w:r w:rsidR="004D1C5B">
        <w:rPr>
          <w:rStyle w:val="aff6"/>
          <w:cs/>
        </w:rPr>
        <w:t>‎</w:t>
      </w:r>
      <w:r w:rsidR="004D1C5B">
        <w:rPr>
          <w:rStyle w:val="aff6"/>
          <w:rtl/>
        </w:rPr>
        <w:t>נב)</w:t>
      </w:r>
      <w:r w:rsidRPr="007E0C12">
        <w:rPr>
          <w:rStyle w:val="aff6"/>
          <w:rtl/>
        </w:rPr>
        <w:fldChar w:fldCharType="end"/>
      </w:r>
      <w:r w:rsidRPr="007E0C12">
        <w:rPr>
          <w:rStyle w:val="afa"/>
          <w:rFonts w:hint="cs"/>
          <w:rtl/>
        </w:rPr>
        <w:t>].</w:t>
      </w:r>
    </w:p>
    <w:p w:rsidR="009A0058" w:rsidRPr="007E0C12" w:rsidRDefault="009A0058" w:rsidP="009A0058">
      <w:pPr>
        <w:pStyle w:val="a2"/>
      </w:pPr>
      <w:bookmarkStart w:id="6236" w:name="_Toc13396659"/>
      <w:bookmarkStart w:id="6237" w:name="_Toc13418671"/>
      <w:bookmarkStart w:id="6238" w:name="_Toc13516504"/>
      <w:bookmarkStart w:id="6239" w:name="_Toc13562593"/>
      <w:bookmarkStart w:id="6240" w:name="_Toc13568580"/>
      <w:bookmarkStart w:id="6241" w:name="_Toc13603189"/>
      <w:bookmarkStart w:id="6242" w:name="_Toc13603292"/>
      <w:bookmarkStart w:id="6243" w:name="_Toc13657847"/>
      <w:bookmarkStart w:id="6244" w:name="_Toc13664007"/>
      <w:r w:rsidRPr="007E0C12">
        <w:rPr>
          <w:rFonts w:hint="cs"/>
          <w:rtl/>
        </w:rPr>
        <w:t>דעת רבינו אליהו ורבינו חיים דבמקום שאין כזית בכדי אכילת פרס חשיב טעמו ולא ממשו</w:t>
      </w:r>
      <w:bookmarkEnd w:id="6236"/>
      <w:bookmarkEnd w:id="6237"/>
      <w:bookmarkEnd w:id="6238"/>
      <w:bookmarkEnd w:id="6239"/>
      <w:bookmarkEnd w:id="6240"/>
      <w:bookmarkEnd w:id="6241"/>
      <w:bookmarkEnd w:id="6242"/>
      <w:bookmarkEnd w:id="6243"/>
      <w:bookmarkEnd w:id="6244"/>
    </w:p>
    <w:p w:rsidR="009A0058" w:rsidRPr="007E0C12" w:rsidRDefault="009A0058" w:rsidP="009F44AF">
      <w:pPr>
        <w:pStyle w:val="a"/>
        <w:rPr>
          <w:rtl/>
        </w:rPr>
      </w:pPr>
      <w:r w:rsidRPr="007E0C12">
        <w:rPr>
          <w:rFonts w:hint="cs"/>
          <w:rtl/>
        </w:rPr>
        <w:t xml:space="preserve">ובטעמו ולא ממשו דאין לוקין עליו, ביארו </w:t>
      </w:r>
      <w:r w:rsidRPr="007E0C12">
        <w:rPr>
          <w:rStyle w:val="af8"/>
          <w:rtl/>
        </w:rPr>
        <w:t xml:space="preserve">התוס' </w:t>
      </w:r>
      <w:r w:rsidRPr="007E0C12">
        <w:rPr>
          <w:rStyle w:val="af8"/>
          <w:rFonts w:hint="cs"/>
          <w:rtl/>
        </w:rPr>
        <w:t xml:space="preserve">בסוגיין </w:t>
      </w:r>
      <w:r w:rsidRPr="007E0C12">
        <w:rPr>
          <w:rStyle w:val="af8"/>
          <w:rtl/>
        </w:rPr>
        <w:t>בתירוצם הב'</w:t>
      </w:r>
      <w:r w:rsidRPr="007E0C12">
        <w:rPr>
          <w:rStyle w:val="af8"/>
          <w:rFonts w:hint="cs"/>
          <w:rtl/>
        </w:rPr>
        <w:t xml:space="preserve"> והתוס' בע"ז</w:t>
      </w:r>
      <w:r w:rsidRPr="007E0C12">
        <w:rPr>
          <w:rFonts w:hint="cs"/>
          <w:rtl/>
        </w:rPr>
        <w:t xml:space="preserve"> בשם </w:t>
      </w:r>
      <w:r w:rsidRPr="007E0C12">
        <w:rPr>
          <w:rStyle w:val="af8"/>
          <w:rFonts w:hint="cs"/>
          <w:rtl/>
        </w:rPr>
        <w:t>רבינו אליהו</w:t>
      </w:r>
      <w:r w:rsidRPr="007E0C12">
        <w:rPr>
          <w:rFonts w:hint="cs"/>
          <w:rtl/>
        </w:rPr>
        <w:t xml:space="preserve"> דאיירי במקום שאין מהטעם של האיסור כזית בכדי אכילת פרס.</w:t>
      </w:r>
    </w:p>
    <w:p w:rsidR="009A0058" w:rsidRPr="007E0C12" w:rsidRDefault="009A0058" w:rsidP="009A0058">
      <w:pPr>
        <w:pStyle w:val="a2"/>
      </w:pPr>
      <w:bookmarkStart w:id="6245" w:name="_Toc13603190"/>
      <w:bookmarkStart w:id="6246" w:name="_Toc13603293"/>
      <w:bookmarkStart w:id="6247" w:name="_Toc13657848"/>
      <w:bookmarkStart w:id="6248" w:name="_Toc13664008"/>
      <w:r w:rsidRPr="007E0C12">
        <w:rPr>
          <w:rFonts w:hint="cs"/>
          <w:rtl/>
        </w:rPr>
        <w:t>דברי הרשב"א בשם ר"י דבפחות מכזית בכא"פ אסור מדאו' מדין חצי שיעור</w:t>
      </w:r>
      <w:bookmarkEnd w:id="6245"/>
      <w:bookmarkEnd w:id="6246"/>
      <w:bookmarkEnd w:id="6247"/>
      <w:bookmarkEnd w:id="6248"/>
    </w:p>
    <w:p w:rsidR="009A0058" w:rsidRPr="00682DC3" w:rsidRDefault="009A0058" w:rsidP="009F44AF">
      <w:pPr>
        <w:pStyle w:val="a"/>
        <w:rPr>
          <w:rStyle w:val="afa"/>
        </w:rPr>
      </w:pPr>
      <w:r w:rsidRPr="007E0C12">
        <w:rPr>
          <w:rFonts w:hint="cs"/>
          <w:rtl/>
        </w:rPr>
        <w:t xml:space="preserve">והוסיף </w:t>
      </w:r>
      <w:r w:rsidRPr="007E0C12">
        <w:rPr>
          <w:rStyle w:val="af8"/>
          <w:rFonts w:hint="cs"/>
          <w:rtl/>
        </w:rPr>
        <w:t>הרשב"א בחי'</w:t>
      </w:r>
      <w:r w:rsidRPr="007E0C12">
        <w:rPr>
          <w:rFonts w:hint="cs"/>
          <w:rtl/>
        </w:rPr>
        <w:t xml:space="preserve"> </w:t>
      </w:r>
      <w:r w:rsidRPr="007E0C12">
        <w:rPr>
          <w:rStyle w:val="af8"/>
          <w:rFonts w:hint="cs"/>
          <w:rtl/>
        </w:rPr>
        <w:t>ובתוה"ב</w:t>
      </w:r>
      <w:r w:rsidRPr="007E0C12">
        <w:rPr>
          <w:rFonts w:hint="cs"/>
          <w:rtl/>
        </w:rPr>
        <w:t xml:space="preserve"> בשם </w:t>
      </w:r>
      <w:r w:rsidRPr="007E0C12">
        <w:rPr>
          <w:rStyle w:val="af8"/>
          <w:rFonts w:hint="cs"/>
          <w:rtl/>
        </w:rPr>
        <w:t>ר"י</w:t>
      </w:r>
      <w:r w:rsidRPr="007E0C12">
        <w:rPr>
          <w:rFonts w:hint="cs"/>
          <w:rtl/>
        </w:rPr>
        <w:t xml:space="preserve"> דאף דאין לוקין על פחות מכזית בכדי אכילת פרס, מ"מ יש בו איסור דאו' מדין חצי שיעור, ועי' במה שהקשה </w:t>
      </w:r>
      <w:r w:rsidRPr="007E0C12">
        <w:rPr>
          <w:rStyle w:val="af8"/>
          <w:rFonts w:hint="cs"/>
          <w:rtl/>
        </w:rPr>
        <w:t>הגר"א</w:t>
      </w:r>
      <w:r w:rsidRPr="007E0C12">
        <w:rPr>
          <w:rFonts w:hint="cs"/>
          <w:rtl/>
        </w:rPr>
        <w:t xml:space="preserve"> </w:t>
      </w:r>
      <w:r w:rsidRPr="00682DC3">
        <w:rPr>
          <w:rStyle w:val="af6"/>
          <w:rFonts w:eastAsia="Guttman Hodes" w:hint="cs"/>
          <w:rtl/>
        </w:rPr>
        <w:t>(או"ח סי' תנ"ג סק"ט)</w:t>
      </w:r>
      <w:r w:rsidRPr="007E0C12">
        <w:rPr>
          <w:rFonts w:hint="cs"/>
          <w:rtl/>
        </w:rPr>
        <w:t xml:space="preserve"> על </w:t>
      </w:r>
      <w:r w:rsidRPr="007E0C12">
        <w:rPr>
          <w:rStyle w:val="af8"/>
          <w:rFonts w:hint="cs"/>
          <w:rtl/>
        </w:rPr>
        <w:t>הרשב"א</w:t>
      </w:r>
      <w:r w:rsidRPr="007E0C12">
        <w:rPr>
          <w:rFonts w:hint="cs"/>
          <w:rtl/>
        </w:rPr>
        <w:t xml:space="preserve"> בדעת </w:t>
      </w:r>
      <w:r w:rsidRPr="007E0C12">
        <w:rPr>
          <w:rStyle w:val="af8"/>
          <w:rFonts w:hint="cs"/>
          <w:rtl/>
        </w:rPr>
        <w:t>רבינו חיים</w:t>
      </w:r>
      <w:r w:rsidRPr="007E0C12">
        <w:rPr>
          <w:rFonts w:hint="cs"/>
          <w:rtl/>
        </w:rPr>
        <w:t>.</w:t>
      </w:r>
      <w:r w:rsidRPr="003E43A1">
        <w:rPr>
          <w:rStyle w:val="afa"/>
          <w:rFonts w:hint="cs"/>
          <w:rtl/>
        </w:rPr>
        <w:t xml:space="preserve"> </w:t>
      </w:r>
      <w:bookmarkStart w:id="6249" w:name="_Toc13603191"/>
      <w:bookmarkStart w:id="6250" w:name="_Toc13603294"/>
      <w:bookmarkStart w:id="6251" w:name="_Toc13657849"/>
      <w:bookmarkStart w:id="6252" w:name="_Toc13664009"/>
    </w:p>
    <w:p w:rsidR="009A0058" w:rsidRPr="007E0C12" w:rsidRDefault="009A0058" w:rsidP="009A0058">
      <w:pPr>
        <w:pStyle w:val="a2"/>
      </w:pPr>
      <w:r w:rsidRPr="007E0C12">
        <w:rPr>
          <w:rFonts w:hint="cs"/>
          <w:rtl/>
        </w:rPr>
        <w:t>ביאור הרא"ש בשם רבינו חיים דבפחות מכא"פ לא מסתבר דכולו נהפך לאיסור</w:t>
      </w:r>
      <w:bookmarkEnd w:id="6249"/>
      <w:bookmarkEnd w:id="6250"/>
      <w:bookmarkEnd w:id="6251"/>
      <w:bookmarkEnd w:id="6252"/>
    </w:p>
    <w:p w:rsidR="009A0058" w:rsidRDefault="009A0058" w:rsidP="009F44AF">
      <w:pPr>
        <w:pStyle w:val="a"/>
        <w:rPr>
          <w:rtl/>
        </w:rPr>
      </w:pPr>
      <w:bookmarkStart w:id="6253" w:name="_Ref13515528"/>
      <w:r w:rsidRPr="007E0C12">
        <w:rPr>
          <w:rFonts w:hint="cs"/>
          <w:rtl/>
        </w:rPr>
        <w:t xml:space="preserve">וביאר </w:t>
      </w:r>
      <w:r w:rsidRPr="007E0C12">
        <w:rPr>
          <w:rStyle w:val="af8"/>
          <w:rFonts w:hint="cs"/>
          <w:rtl/>
        </w:rPr>
        <w:t>הרא"ש בשם רבינו חיים</w:t>
      </w:r>
      <w:r w:rsidRPr="007E0C12">
        <w:rPr>
          <w:rFonts w:hint="cs"/>
          <w:rtl/>
        </w:rPr>
        <w:t xml:space="preserve"> דבפחות מכזית בכדי אכילת פרס, אף שהאיסור נתן טעם בהיתר, וילפינן מקרא דטעם כעיקר דאו', מ"מ אין לוקין עליו, דלא מסתבר לומר דהחמירה התורה </w:t>
      </w:r>
      <w:r w:rsidRPr="007E0C12">
        <w:rPr>
          <w:rFonts w:hint="cs"/>
          <w:rtl/>
        </w:rPr>
        <w:t xml:space="preserve">שטעם האיסור יהפוך את ההיתר לאיסור, במקום שאם היה האיסור ניכר בתוך ההיתר בלא נתינת טעם לא היה בו מלקות כיון שאין בו כזית בכדי אכילת פרס, וכתב </w:t>
      </w:r>
      <w:r w:rsidRPr="007E0C12">
        <w:rPr>
          <w:rStyle w:val="af8"/>
          <w:rFonts w:hint="cs"/>
          <w:rtl/>
        </w:rPr>
        <w:t>הגר"א</w:t>
      </w:r>
      <w:r w:rsidRPr="007E0C12">
        <w:rPr>
          <w:rFonts w:hint="cs"/>
          <w:rtl/>
        </w:rPr>
        <w:t xml:space="preserve"> </w:t>
      </w:r>
      <w:r w:rsidRPr="007E0C12">
        <w:rPr>
          <w:rStyle w:val="af6"/>
          <w:rFonts w:eastAsia="Guttman Hodes" w:hint="cs"/>
          <w:rtl/>
        </w:rPr>
        <w:t>(או"ח סי' תנ"ג סק"ט)</w:t>
      </w:r>
      <w:r w:rsidRPr="007E0C12">
        <w:rPr>
          <w:rFonts w:hint="cs"/>
          <w:rtl/>
        </w:rPr>
        <w:t xml:space="preserve"> דמדברי </w:t>
      </w:r>
      <w:r w:rsidRPr="007E0C12">
        <w:rPr>
          <w:rStyle w:val="af8"/>
          <w:rFonts w:hint="cs"/>
          <w:rtl/>
        </w:rPr>
        <w:t>הרא"ש</w:t>
      </w:r>
      <w:r w:rsidRPr="007E0C12">
        <w:rPr>
          <w:rFonts w:hint="cs"/>
          <w:rtl/>
        </w:rPr>
        <w:t xml:space="preserve"> משמע דלא </w:t>
      </w:r>
      <w:r w:rsidRPr="007E0C12">
        <w:rPr>
          <w:rStyle w:val="af8"/>
          <w:rFonts w:hint="cs"/>
          <w:rtl/>
        </w:rPr>
        <w:t>כהרשב"א</w:t>
      </w:r>
      <w:r w:rsidRPr="007E0C12">
        <w:rPr>
          <w:rFonts w:hint="cs"/>
          <w:rtl/>
        </w:rPr>
        <w:t xml:space="preserve"> </w:t>
      </w:r>
      <w:r w:rsidRPr="007E0C12">
        <w:rPr>
          <w:rStyle w:val="af6"/>
          <w:rFonts w:eastAsia="Guttman Hodes" w:hint="cs"/>
          <w:rtl/>
        </w:rPr>
        <w:t xml:space="preserve">(עי' אות </w:t>
      </w:r>
      <w:r w:rsidRPr="007E0C12">
        <w:rPr>
          <w:rStyle w:val="af6"/>
          <w:rFonts w:eastAsia="Guttman Hodes"/>
          <w:rtl/>
        </w:rPr>
        <w:fldChar w:fldCharType="begin"/>
      </w:r>
      <w:r w:rsidRPr="007E0C12">
        <w:rPr>
          <w:rStyle w:val="af6"/>
          <w:rFonts w:eastAsia="Guttman Hodes"/>
          <w:rtl/>
        </w:rPr>
        <w:instrText xml:space="preserve"> </w:instrText>
      </w:r>
      <w:r w:rsidRPr="007E0C12">
        <w:rPr>
          <w:rStyle w:val="af6"/>
          <w:rFonts w:eastAsia="Guttman Hodes" w:hint="cs"/>
        </w:rPr>
        <w:instrText>REF</w:instrText>
      </w:r>
      <w:r w:rsidRPr="007E0C12">
        <w:rPr>
          <w:rStyle w:val="af6"/>
          <w:rFonts w:eastAsia="Guttman Hodes" w:hint="cs"/>
          <w:rtl/>
        </w:rPr>
        <w:instrText xml:space="preserve"> _</w:instrText>
      </w:r>
      <w:r w:rsidRPr="007E0C12">
        <w:rPr>
          <w:rStyle w:val="af6"/>
          <w:rFonts w:eastAsia="Guttman Hodes" w:hint="cs"/>
        </w:rPr>
        <w:instrText>Ref13515528 \r \h</w:instrText>
      </w:r>
      <w:r w:rsidRPr="007E0C12">
        <w:rPr>
          <w:rStyle w:val="af6"/>
          <w:rFonts w:eastAsia="Guttman Hodes"/>
          <w:rtl/>
        </w:rPr>
        <w:instrText xml:space="preserve">  \* </w:instrText>
      </w:r>
      <w:r w:rsidRPr="007E0C12">
        <w:rPr>
          <w:rStyle w:val="af6"/>
          <w:rFonts w:eastAsia="Guttman Hodes"/>
        </w:rPr>
        <w:instrText>MERGEFORMAT</w:instrText>
      </w:r>
      <w:r w:rsidRPr="007E0C12">
        <w:rPr>
          <w:rStyle w:val="af6"/>
          <w:rFonts w:eastAsia="Guttman Hodes"/>
          <w:rtl/>
        </w:rPr>
        <w:instrText xml:space="preserve"> </w:instrText>
      </w:r>
      <w:r w:rsidRPr="007E0C12">
        <w:rPr>
          <w:rStyle w:val="af6"/>
          <w:rFonts w:eastAsia="Guttman Hodes"/>
          <w:rtl/>
        </w:rPr>
      </w:r>
      <w:r w:rsidRPr="007E0C12">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7E0C12">
        <w:rPr>
          <w:rStyle w:val="af6"/>
          <w:rFonts w:eastAsia="Guttman Hodes"/>
          <w:rtl/>
        </w:rPr>
        <w:fldChar w:fldCharType="end"/>
      </w:r>
      <w:r w:rsidRPr="007E0C12">
        <w:rPr>
          <w:rFonts w:hint="cs"/>
          <w:rtl/>
        </w:rPr>
        <w:t>, עיי"ש בדבריו</w:t>
      </w:r>
      <w:bookmarkEnd w:id="6253"/>
      <w:r>
        <w:rPr>
          <w:rFonts w:hint="cs"/>
          <w:rtl/>
        </w:rPr>
        <w:t>.</w:t>
      </w:r>
    </w:p>
    <w:p w:rsidR="009A0058" w:rsidRPr="007E0C12" w:rsidRDefault="009A0058" w:rsidP="009A0058">
      <w:pPr>
        <w:pStyle w:val="a2"/>
        <w:rPr>
          <w:rtl/>
        </w:rPr>
      </w:pPr>
      <w:bookmarkStart w:id="6254" w:name="_Toc13603192"/>
      <w:bookmarkStart w:id="6255" w:name="_Toc13603295"/>
      <w:bookmarkStart w:id="6256" w:name="_Toc13657850"/>
      <w:bookmarkStart w:id="6257" w:name="_Toc13664010"/>
      <w:r w:rsidRPr="007E0C12">
        <w:rPr>
          <w:rFonts w:hint="cs"/>
          <w:rtl/>
        </w:rPr>
        <w:t>קושית הר</w:t>
      </w:r>
      <w:r>
        <w:rPr>
          <w:rFonts w:hint="cs"/>
          <w:rtl/>
        </w:rPr>
        <w:t>שב"א דבדברי אביי מוכח טעמו ולא ממשו דאו' וכזית בכא"פ דרבנן</w:t>
      </w:r>
      <w:bookmarkEnd w:id="6254"/>
      <w:bookmarkEnd w:id="6255"/>
      <w:bookmarkEnd w:id="6256"/>
      <w:bookmarkEnd w:id="6257"/>
    </w:p>
    <w:p w:rsidR="00366EF4" w:rsidRDefault="009A0058" w:rsidP="009F44AF">
      <w:pPr>
        <w:pStyle w:val="a"/>
        <w:rPr>
          <w:rtl/>
        </w:rPr>
      </w:pPr>
      <w:r w:rsidRPr="007E0C12">
        <w:rPr>
          <w:rFonts w:hint="cs"/>
          <w:rtl/>
        </w:rPr>
        <w:t xml:space="preserve">והקשה </w:t>
      </w:r>
      <w:r w:rsidRPr="007E0C12">
        <w:rPr>
          <w:rStyle w:val="af8"/>
          <w:rFonts w:hint="cs"/>
          <w:rtl/>
        </w:rPr>
        <w:t>הרשב"א בחי' ובתוה"ב</w:t>
      </w:r>
      <w:r w:rsidRPr="007E0C12">
        <w:rPr>
          <w:rFonts w:hint="cs"/>
          <w:rtl/>
        </w:rPr>
        <w:t xml:space="preserve"> דהרי אביי לקמן </w:t>
      </w:r>
      <w:r w:rsidRPr="00357502">
        <w:rPr>
          <w:rStyle w:val="af6"/>
          <w:rFonts w:eastAsia="Guttman Hodes" w:hint="cs"/>
          <w:rtl/>
        </w:rPr>
        <w:t>(קח.)</w:t>
      </w:r>
      <w:r w:rsidRPr="007E0C12">
        <w:rPr>
          <w:rFonts w:hint="cs"/>
          <w:rtl/>
        </w:rPr>
        <w:t xml:space="preserve"> אמר דטעמו ולא ממשו הוא דאו', ובגמ' בפסחים </w:t>
      </w:r>
      <w:r w:rsidRPr="00357502">
        <w:rPr>
          <w:rStyle w:val="af6"/>
          <w:rFonts w:eastAsia="Guttman Hodes" w:hint="cs"/>
          <w:rtl/>
        </w:rPr>
        <w:t>(מד.)</w:t>
      </w:r>
      <w:r w:rsidRPr="007E0C12">
        <w:rPr>
          <w:rFonts w:hint="cs"/>
          <w:rtl/>
        </w:rPr>
        <w:t xml:space="preserve"> משמע דלאביי כזית בכדי אכילת פרס אינו מדאו', דאביי בפסחים הקשה דבכל איסורים שבתורה היתר מצטרף לאיסור, כדמוכח מדין מקפה של תרומה, ודחתה הגמ' בפסחים דבמקפה איירי שיש כזית בכדי אכילת פרס, ומקשה הגמ' דכזית בכדי אכילת פרס לאו דאו', כדמוכח בדין ב' קופות, וכתב </w:t>
      </w:r>
      <w:r w:rsidRPr="007E0C12">
        <w:rPr>
          <w:rStyle w:val="af8"/>
          <w:rFonts w:hint="cs"/>
          <w:rtl/>
        </w:rPr>
        <w:t>הרשב"א</w:t>
      </w:r>
      <w:r w:rsidRPr="007E0C12">
        <w:rPr>
          <w:rFonts w:hint="cs"/>
          <w:rtl/>
        </w:rPr>
        <w:t xml:space="preserve"> דא"כ משמע דלדעת אביי כזית בכדי אכילת פרס אינו מדאו', וא"כ מוכח דטעמו ולא ממשו, אין הכוונה לכזית בכדי אכילת פרס</w:t>
      </w:r>
      <w:r>
        <w:rPr>
          <w:rFonts w:hint="cs"/>
          <w:rtl/>
        </w:rPr>
        <w:t xml:space="preserve">, </w:t>
      </w:r>
      <w:r w:rsidRPr="007E0C12">
        <w:rPr>
          <w:rFonts w:hint="cs"/>
          <w:rtl/>
        </w:rPr>
        <w:t xml:space="preserve">ותירץ </w:t>
      </w:r>
      <w:r w:rsidRPr="007E0C12">
        <w:rPr>
          <w:rStyle w:val="af8"/>
          <w:rFonts w:hint="cs"/>
          <w:rtl/>
        </w:rPr>
        <w:t>הרשב"א בתוה"ב</w:t>
      </w:r>
      <w:r w:rsidRPr="007E0C12">
        <w:rPr>
          <w:rFonts w:hint="cs"/>
          <w:rtl/>
        </w:rPr>
        <w:t xml:space="preserve"> דאפש"ל דהא דאביי לקמן יליף מבשר בחלב לטעם כעיקר, הוא לאחר שקיבל את סברת הגמ' בפסחים דכזית בכדי אכילת פרס דאו'.</w:t>
      </w:r>
    </w:p>
    <w:p w:rsidR="009A0058" w:rsidRPr="0063443F" w:rsidRDefault="009A0058" w:rsidP="009A0058">
      <w:pPr>
        <w:pStyle w:val="1"/>
        <w:rPr>
          <w:rtl/>
        </w:rPr>
      </w:pPr>
      <w:bookmarkStart w:id="6258" w:name="_Toc13516505"/>
      <w:bookmarkStart w:id="6259" w:name="_Toc13562594"/>
      <w:bookmarkStart w:id="6260" w:name="_Toc13568581"/>
      <w:bookmarkStart w:id="6261" w:name="_Toc13603193"/>
      <w:bookmarkStart w:id="6262" w:name="_Toc13603296"/>
      <w:bookmarkStart w:id="6263" w:name="_Toc13657851"/>
      <w:bookmarkStart w:id="6264" w:name="_Toc13664011"/>
      <w:r w:rsidRPr="0063443F">
        <w:rPr>
          <w:rFonts w:hint="cs"/>
          <w:rtl/>
        </w:rPr>
        <w:t xml:space="preserve">דעת </w:t>
      </w:r>
      <w:bookmarkEnd w:id="6160"/>
      <w:bookmarkEnd w:id="6258"/>
      <w:bookmarkEnd w:id="6259"/>
      <w:bookmarkEnd w:id="6260"/>
      <w:bookmarkEnd w:id="6261"/>
      <w:bookmarkEnd w:id="6262"/>
      <w:r>
        <w:rPr>
          <w:rFonts w:hint="cs"/>
          <w:rtl/>
        </w:rPr>
        <w:t>הר</w:t>
      </w:r>
      <w:r>
        <w:rPr>
          <w:rFonts w:cs="Guttman Adii-Light" w:hint="cs"/>
          <w:rtl/>
        </w:rPr>
        <w:t>"</w:t>
      </w:r>
      <w:r>
        <w:rPr>
          <w:rFonts w:hint="cs"/>
          <w:rtl/>
        </w:rPr>
        <w:t>י מאורליינש דטעמו ולא ממשו הוא אף בכזית בכא"פ</w:t>
      </w:r>
      <w:bookmarkEnd w:id="6263"/>
      <w:bookmarkEnd w:id="6264"/>
    </w:p>
    <w:p w:rsidR="009A0058" w:rsidRPr="007E0C12" w:rsidRDefault="009A0058" w:rsidP="009A0058">
      <w:pPr>
        <w:pStyle w:val="a2"/>
        <w:rPr>
          <w:rtl/>
        </w:rPr>
      </w:pPr>
      <w:bookmarkStart w:id="6265" w:name="_Toc13418675"/>
      <w:bookmarkStart w:id="6266" w:name="_Toc13516508"/>
      <w:bookmarkStart w:id="6267" w:name="_Toc13562597"/>
      <w:bookmarkStart w:id="6268" w:name="_Toc13568584"/>
      <w:bookmarkStart w:id="6269" w:name="_Toc13603194"/>
      <w:bookmarkStart w:id="6270" w:name="_Toc13603297"/>
      <w:bookmarkStart w:id="6271" w:name="_Toc13657852"/>
      <w:bookmarkStart w:id="6272" w:name="_Toc13664012"/>
      <w:bookmarkEnd w:id="6161"/>
      <w:bookmarkEnd w:id="6162"/>
      <w:bookmarkEnd w:id="6163"/>
      <w:bookmarkEnd w:id="6164"/>
      <w:r w:rsidRPr="007E0C12">
        <w:rPr>
          <w:rFonts w:hint="cs"/>
          <w:rtl/>
        </w:rPr>
        <w:t xml:space="preserve">דברי הר"י מאורליינש דבגיעולי עכו"ם יש רק עשה ולא לאו ולכן אין </w:t>
      </w:r>
      <w:bookmarkEnd w:id="6165"/>
      <w:bookmarkEnd w:id="6166"/>
      <w:bookmarkEnd w:id="6167"/>
      <w:bookmarkEnd w:id="6168"/>
      <w:bookmarkEnd w:id="6265"/>
      <w:bookmarkEnd w:id="6266"/>
      <w:bookmarkEnd w:id="6267"/>
      <w:bookmarkEnd w:id="6268"/>
      <w:bookmarkEnd w:id="6269"/>
      <w:bookmarkEnd w:id="6270"/>
      <w:r>
        <w:rPr>
          <w:rFonts w:hint="cs"/>
          <w:rtl/>
        </w:rPr>
        <w:t>לוקין בטע"כ אף כבזית בכא"פ</w:t>
      </w:r>
      <w:bookmarkEnd w:id="6271"/>
      <w:bookmarkEnd w:id="6272"/>
    </w:p>
    <w:p w:rsidR="009A0058" w:rsidRPr="007E0C12" w:rsidRDefault="009A0058" w:rsidP="009F44AF">
      <w:pPr>
        <w:pStyle w:val="a"/>
        <w:rPr>
          <w:rtl/>
        </w:rPr>
      </w:pPr>
      <w:bookmarkStart w:id="6273" w:name="_Toc12895360"/>
      <w:bookmarkStart w:id="6274" w:name="_Toc12896245"/>
      <w:bookmarkStart w:id="6275" w:name="_Toc12896405"/>
      <w:r w:rsidRPr="007E0C12">
        <w:rPr>
          <w:rStyle w:val="af8"/>
          <w:rFonts w:hint="cs"/>
          <w:rtl/>
        </w:rPr>
        <w:t xml:space="preserve">והתוס' בסוגיין </w:t>
      </w:r>
      <w:r w:rsidRPr="007E0C12">
        <w:rPr>
          <w:rStyle w:val="af6"/>
          <w:rFonts w:eastAsia="Guttman Hodes" w:hint="cs"/>
          <w:rtl/>
        </w:rPr>
        <w:t xml:space="preserve">(סוד"ה רבא) </w:t>
      </w:r>
      <w:r w:rsidRPr="007E0C12">
        <w:rPr>
          <w:rStyle w:val="af8"/>
          <w:rFonts w:hint="cs"/>
          <w:rtl/>
        </w:rPr>
        <w:t>ובע"ז</w:t>
      </w:r>
      <w:r w:rsidRPr="007E0C12">
        <w:rPr>
          <w:rFonts w:hint="cs"/>
          <w:rtl/>
        </w:rPr>
        <w:t xml:space="preserve"> </w:t>
      </w:r>
      <w:r w:rsidRPr="007E0C12">
        <w:rPr>
          <w:rStyle w:val="af6"/>
          <w:rFonts w:eastAsia="Guttman Hodes" w:hint="cs"/>
          <w:rtl/>
        </w:rPr>
        <w:t>(סז. סוד"ה א"ר יוחנן)</w:t>
      </w:r>
      <w:r w:rsidRPr="007E0C12">
        <w:rPr>
          <w:rFonts w:hint="cs"/>
          <w:rtl/>
        </w:rPr>
        <w:t xml:space="preserve"> כתבו בשם </w:t>
      </w:r>
      <w:r w:rsidRPr="007E0C12">
        <w:rPr>
          <w:rStyle w:val="af8"/>
          <w:rFonts w:hint="cs"/>
          <w:rtl/>
        </w:rPr>
        <w:t xml:space="preserve">רבינו יוסף מאורליינש </w:t>
      </w:r>
      <w:r w:rsidRPr="007E0C12">
        <w:rPr>
          <w:rFonts w:hint="cs"/>
          <w:rtl/>
        </w:rPr>
        <w:t xml:space="preserve">דביאר את דברי ריו"ח בע"ז </w:t>
      </w:r>
      <w:r>
        <w:rPr>
          <w:rFonts w:hint="cs"/>
          <w:rtl/>
        </w:rPr>
        <w:t xml:space="preserve">דאיירי במין בשאינו מינו, ובין בטעמו וממשו ובין בטעמו ולא ממשו, איירי שיש בתערובת כזית בכדי אכילת פרס, ואף טעמו ולא ממשו אסור מדאו' דהא דטעם כעיקר דאו', אך מ"מ אין ס"ל לריו"ח דאין לוקין על טעמו ולא ממשו, כיון דלדעת ריו"ח הילפותא דטעם כעיקר דאו' היא </w:t>
      </w:r>
      <w:r w:rsidRPr="007E0C12">
        <w:rPr>
          <w:rFonts w:hint="cs"/>
          <w:rtl/>
        </w:rPr>
        <w:t xml:space="preserve">מגיעולי עכו"ם, </w:t>
      </w:r>
      <w:r>
        <w:rPr>
          <w:rFonts w:hint="cs"/>
          <w:rtl/>
        </w:rPr>
        <w:t>ו</w:t>
      </w:r>
      <w:r w:rsidRPr="007E0C12">
        <w:rPr>
          <w:rFonts w:hint="cs"/>
          <w:rtl/>
        </w:rPr>
        <w:t xml:space="preserve">בגיעולי עכו"ם </w:t>
      </w:r>
      <w:r>
        <w:rPr>
          <w:rFonts w:hint="cs"/>
          <w:rtl/>
        </w:rPr>
        <w:t>יש רק</w:t>
      </w:r>
      <w:r w:rsidRPr="007E0C12">
        <w:rPr>
          <w:rFonts w:hint="cs"/>
          <w:rtl/>
        </w:rPr>
        <w:t xml:space="preserve"> עשה שצריך ליבון והגעלה ואין בזה לאו, ולכן ס"ל דאין מלקות </w:t>
      </w:r>
      <w:r>
        <w:rPr>
          <w:rFonts w:hint="cs"/>
          <w:rtl/>
        </w:rPr>
        <w:t>בטעמו ולא ממשו</w:t>
      </w:r>
      <w:r w:rsidRPr="007E0C12">
        <w:rPr>
          <w:rFonts w:hint="cs"/>
          <w:rtl/>
        </w:rPr>
        <w:t xml:space="preserve"> גם במין בשאינו מינו, ועי' במה שהקשה </w:t>
      </w:r>
      <w:r w:rsidRPr="007E0C12">
        <w:rPr>
          <w:rStyle w:val="af8"/>
          <w:rFonts w:hint="cs"/>
          <w:rtl/>
        </w:rPr>
        <w:t>הגרעק"א בגלהש"ס בזבחים</w:t>
      </w:r>
      <w:r w:rsidRPr="007E0C12">
        <w:rPr>
          <w:rFonts w:hint="cs"/>
          <w:rtl/>
        </w:rPr>
        <w:t xml:space="preserve"> </w:t>
      </w:r>
      <w:r w:rsidRPr="007E0C12">
        <w:rPr>
          <w:rStyle w:val="af6"/>
          <w:rFonts w:eastAsia="Guttman Hodes" w:hint="cs"/>
          <w:rtl/>
        </w:rPr>
        <w:t>(עח. ד"ה וש"מ)</w:t>
      </w:r>
      <w:r w:rsidRPr="007E0C12">
        <w:rPr>
          <w:rFonts w:hint="cs"/>
          <w:rtl/>
        </w:rPr>
        <w:t xml:space="preserve"> דבגמ' בזבחים </w:t>
      </w:r>
      <w:r w:rsidRPr="007E0C12">
        <w:rPr>
          <w:rStyle w:val="af6"/>
          <w:rFonts w:eastAsia="Guttman Hodes" w:hint="cs"/>
          <w:rtl/>
        </w:rPr>
        <w:t>(עח.)</w:t>
      </w:r>
      <w:r w:rsidRPr="007E0C12">
        <w:rPr>
          <w:rFonts w:hint="cs"/>
          <w:rtl/>
        </w:rPr>
        <w:t xml:space="preserve"> מוכח דיש גם מלקות, ובמה שתיר</w:t>
      </w:r>
      <w:r>
        <w:rPr>
          <w:rFonts w:hint="cs"/>
          <w:rtl/>
        </w:rPr>
        <w:t xml:space="preserve">צו </w:t>
      </w:r>
      <w:r w:rsidRPr="001B62B8">
        <w:rPr>
          <w:rStyle w:val="af8"/>
          <w:rFonts w:hint="cs"/>
          <w:rtl/>
        </w:rPr>
        <w:t>הדברי יחזקאל</w:t>
      </w:r>
      <w:r>
        <w:rPr>
          <w:rFonts w:hint="cs"/>
          <w:rtl/>
        </w:rPr>
        <w:t xml:space="preserve"> </w:t>
      </w:r>
      <w:r w:rsidRPr="001B62B8">
        <w:rPr>
          <w:rStyle w:val="af6"/>
          <w:rFonts w:eastAsia="Guttman Hodes" w:hint="cs"/>
          <w:rtl/>
        </w:rPr>
        <w:t>(סי' י"א אות י"א ד"ה ומה מאוד)</w:t>
      </w:r>
      <w:r w:rsidRPr="007E0C12">
        <w:rPr>
          <w:rFonts w:hint="cs"/>
          <w:rtl/>
        </w:rPr>
        <w:t xml:space="preserve"> </w:t>
      </w:r>
      <w:r>
        <w:rPr>
          <w:rStyle w:val="af8"/>
          <w:rFonts w:hint="cs"/>
          <w:rtl/>
        </w:rPr>
        <w:t>ו</w:t>
      </w:r>
      <w:r w:rsidRPr="007E0C12">
        <w:rPr>
          <w:rStyle w:val="af8"/>
          <w:rFonts w:hint="cs"/>
          <w:rtl/>
        </w:rPr>
        <w:t>החזו"א</w:t>
      </w:r>
      <w:r w:rsidRPr="007E0C12">
        <w:rPr>
          <w:rFonts w:hint="cs"/>
          <w:rtl/>
        </w:rPr>
        <w:t xml:space="preserve"> </w:t>
      </w:r>
      <w:r w:rsidRPr="007E0C12">
        <w:rPr>
          <w:rStyle w:val="af6"/>
          <w:rFonts w:eastAsia="Guttman Hodes" w:hint="cs"/>
          <w:rtl/>
        </w:rPr>
        <w:t>(סי' כ"ד סק"ג)</w:t>
      </w:r>
      <w:r w:rsidRPr="007E0C12">
        <w:rPr>
          <w:rFonts w:hint="cs"/>
          <w:rtl/>
        </w:rPr>
        <w:t>.</w:t>
      </w:r>
    </w:p>
    <w:p w:rsidR="009A0058" w:rsidRPr="007E0C12" w:rsidRDefault="009A0058" w:rsidP="009A0058">
      <w:pPr>
        <w:pStyle w:val="a2"/>
        <w:rPr>
          <w:rtl/>
        </w:rPr>
      </w:pPr>
      <w:bookmarkStart w:id="6276" w:name="_Toc13516509"/>
      <w:bookmarkStart w:id="6277" w:name="_Toc13562598"/>
      <w:bookmarkStart w:id="6278" w:name="_Toc13568585"/>
      <w:bookmarkStart w:id="6279" w:name="_Toc13603195"/>
      <w:bookmarkStart w:id="6280" w:name="_Toc13603298"/>
      <w:bookmarkStart w:id="6281" w:name="_Toc13657853"/>
      <w:bookmarkStart w:id="6282" w:name="_Toc13664013"/>
      <w:bookmarkStart w:id="6283" w:name="_Toc13418677"/>
      <w:bookmarkEnd w:id="6273"/>
      <w:bookmarkEnd w:id="6274"/>
      <w:bookmarkEnd w:id="6275"/>
      <w:r w:rsidRPr="007E0C12">
        <w:rPr>
          <w:rFonts w:hint="cs"/>
          <w:rtl/>
        </w:rPr>
        <w:t>דחיית ר"ת דאחר שלא קיים את העשה חזר הטעם לאיסורו ויש בו מלקות</w:t>
      </w:r>
      <w:bookmarkEnd w:id="6276"/>
      <w:bookmarkEnd w:id="6277"/>
      <w:bookmarkEnd w:id="6278"/>
      <w:bookmarkEnd w:id="6279"/>
      <w:bookmarkEnd w:id="6280"/>
      <w:bookmarkEnd w:id="6281"/>
      <w:bookmarkEnd w:id="6282"/>
    </w:p>
    <w:p w:rsidR="009A0058" w:rsidRPr="007E0C12" w:rsidRDefault="009A0058" w:rsidP="009F44AF">
      <w:pPr>
        <w:pStyle w:val="a"/>
        <w:rPr>
          <w:rtl/>
        </w:rPr>
      </w:pPr>
      <w:r w:rsidRPr="007E0C12">
        <w:rPr>
          <w:rFonts w:hint="cs"/>
          <w:rtl/>
        </w:rPr>
        <w:t xml:space="preserve">אך </w:t>
      </w:r>
      <w:r w:rsidRPr="007E0C12">
        <w:rPr>
          <w:rStyle w:val="af8"/>
          <w:rFonts w:hint="cs"/>
          <w:rtl/>
        </w:rPr>
        <w:t>דחה ר"ת בתוס' בסוגיין ובע"ז</w:t>
      </w:r>
      <w:r w:rsidRPr="007E0C12">
        <w:rPr>
          <w:rFonts w:hint="cs"/>
          <w:rtl/>
        </w:rPr>
        <w:t xml:space="preserve"> את דברי בשם </w:t>
      </w:r>
      <w:r w:rsidRPr="007E0C12">
        <w:rPr>
          <w:rStyle w:val="af8"/>
          <w:rFonts w:hint="cs"/>
          <w:rtl/>
        </w:rPr>
        <w:t xml:space="preserve">רבינו יוסף מאורליינש </w:t>
      </w:r>
      <w:r w:rsidRPr="007E0C12">
        <w:rPr>
          <w:rFonts w:hint="cs"/>
          <w:rtl/>
        </w:rPr>
        <w:t xml:space="preserve">דאפש"ל דכל שלא קיים בגיעולי עכו"ם את העשה דליבון או הגעלה החזירה התורה אותם לאיסורם, כדאיתא בגמ' בבכורות </w:t>
      </w:r>
      <w:r w:rsidRPr="007E0C12">
        <w:rPr>
          <w:rStyle w:val="af6"/>
          <w:rFonts w:eastAsia="Guttman Hodes" w:hint="cs"/>
          <w:rtl/>
        </w:rPr>
        <w:t xml:space="preserve">(טו:) </w:t>
      </w:r>
      <w:r w:rsidRPr="007E0C12">
        <w:rPr>
          <w:rFonts w:hint="cs"/>
          <w:rtl/>
        </w:rPr>
        <w:t xml:space="preserve">לענין גוזז בפסולי המוקדשים, וביארו </w:t>
      </w:r>
      <w:r w:rsidRPr="007E0C12">
        <w:rPr>
          <w:rStyle w:val="af8"/>
          <w:rFonts w:hint="cs"/>
          <w:rtl/>
        </w:rPr>
        <w:t>התוס' בע"ז</w:t>
      </w:r>
      <w:r w:rsidRPr="007E0C12">
        <w:rPr>
          <w:rFonts w:hint="cs"/>
          <w:rtl/>
        </w:rPr>
        <w:t xml:space="preserve"> דאמרה תורה שהכלים שבלועים מאיסור נבילה ו</w:t>
      </w:r>
      <w:r w:rsidRPr="007E0C12">
        <w:rPr>
          <w:rtl/>
        </w:rPr>
        <w:t>חֵלֶב</w:t>
      </w:r>
      <w:r w:rsidRPr="007E0C12">
        <w:rPr>
          <w:rFonts w:hint="cs"/>
          <w:rtl/>
        </w:rPr>
        <w:t xml:space="preserve"> ושאר איסורין, צריכים העברה באש ואם לא יעבירו אותם באש, יחזרו הכלים לאיסור נבילה ו</w:t>
      </w:r>
      <w:r w:rsidRPr="007E0C12">
        <w:rPr>
          <w:rtl/>
        </w:rPr>
        <w:t>חֵלֶב</w:t>
      </w:r>
      <w:r w:rsidRPr="007E0C12">
        <w:rPr>
          <w:rFonts w:hint="cs"/>
          <w:rtl/>
        </w:rPr>
        <w:t xml:space="preserve"> ושאר איסורין, והשמיעה לנו התורה דהפליטה של הכלי אסורה לעולם בלאו.</w:t>
      </w:r>
    </w:p>
    <w:p w:rsidR="009A0058" w:rsidRPr="007E0C12" w:rsidRDefault="009A0058" w:rsidP="009A0058">
      <w:pPr>
        <w:pStyle w:val="a2"/>
      </w:pPr>
      <w:bookmarkStart w:id="6284" w:name="_Toc13657854"/>
      <w:bookmarkStart w:id="6285" w:name="_Toc13664014"/>
      <w:r>
        <w:rPr>
          <w:rFonts w:hint="cs"/>
          <w:rtl/>
        </w:rPr>
        <w:t>דברי התוס' דאפש"ל כר"י מאורליינש דבגיעולי עכו"ם לא חזר הלאו ונשאר רק איסור עשה</w:t>
      </w:r>
      <w:bookmarkEnd w:id="6284"/>
      <w:bookmarkEnd w:id="6285"/>
    </w:p>
    <w:p w:rsidR="009A0058" w:rsidRPr="007E0C12" w:rsidRDefault="009A0058" w:rsidP="009F44AF">
      <w:pPr>
        <w:pStyle w:val="a"/>
        <w:rPr>
          <w:rtl/>
        </w:rPr>
      </w:pPr>
      <w:r w:rsidRPr="007E0C12">
        <w:rPr>
          <w:rFonts w:hint="cs"/>
          <w:rtl/>
        </w:rPr>
        <w:t xml:space="preserve">אך דחו </w:t>
      </w:r>
      <w:r w:rsidRPr="007E0C12">
        <w:rPr>
          <w:rStyle w:val="af8"/>
          <w:rFonts w:hint="cs"/>
          <w:rtl/>
        </w:rPr>
        <w:t>התוס' בסוגיין</w:t>
      </w:r>
      <w:r w:rsidRPr="007E0C12">
        <w:rPr>
          <w:rFonts w:hint="cs"/>
          <w:rtl/>
        </w:rPr>
        <w:t xml:space="preserve"> דאפש"ל דבגיעולי עכו"ם לא חשיב שהחזירה תורה לאיסורם, דלא דמי לגמ' בבכורות, וביאר </w:t>
      </w:r>
      <w:r w:rsidRPr="007E0C12">
        <w:rPr>
          <w:rStyle w:val="af8"/>
          <w:rFonts w:hint="cs"/>
          <w:rtl/>
        </w:rPr>
        <w:t>התוס' הרא"ש</w:t>
      </w:r>
      <w:r w:rsidRPr="007E0C12">
        <w:rPr>
          <w:rFonts w:hint="cs"/>
          <w:rtl/>
        </w:rPr>
        <w:t xml:space="preserve"> </w:t>
      </w:r>
      <w:r w:rsidRPr="007E0C12">
        <w:rPr>
          <w:rStyle w:val="af6"/>
          <w:rFonts w:eastAsia="Guttman Hodes" w:hint="cs"/>
          <w:rtl/>
        </w:rPr>
        <w:t>(ד"ה לא נצרכה)</w:t>
      </w:r>
      <w:r w:rsidRPr="007E0C12">
        <w:rPr>
          <w:rFonts w:hint="cs"/>
          <w:rtl/>
        </w:rPr>
        <w:t xml:space="preserve"> דהכא כיון שהאיסור התערב בהיתר, אזיל ליה לאו דנבילה, ולא שייך לומר שאם לא קיים את העשה חוזר איסור נבילה.</w:t>
      </w:r>
    </w:p>
    <w:p w:rsidR="009A0058" w:rsidRPr="0077459F" w:rsidRDefault="009A0058" w:rsidP="00E669F8">
      <w:pPr>
        <w:pStyle w:val="afd"/>
        <w:rPr>
          <w:rtl/>
        </w:rPr>
      </w:pPr>
      <w:bookmarkStart w:id="6286" w:name="_Toc13045645"/>
      <w:bookmarkStart w:id="6287" w:name="_Toc13134832"/>
      <w:bookmarkStart w:id="6288" w:name="_Toc13244692"/>
      <w:bookmarkStart w:id="6289" w:name="_Toc13396638"/>
      <w:bookmarkStart w:id="6290" w:name="_Toc13418686"/>
      <w:bookmarkStart w:id="6291" w:name="_Toc13516520"/>
      <w:bookmarkStart w:id="6292" w:name="_Toc13562609"/>
      <w:bookmarkStart w:id="6293" w:name="_Toc13568596"/>
      <w:bookmarkStart w:id="6294" w:name="_Toc13603203"/>
      <w:bookmarkStart w:id="6295" w:name="_Toc13603306"/>
      <w:bookmarkStart w:id="6296" w:name="_Toc13657855"/>
      <w:bookmarkStart w:id="6297" w:name="_Toc13664015"/>
      <w:bookmarkStart w:id="6298" w:name="_Toc13396663"/>
      <w:bookmarkStart w:id="6299" w:name="_Toc13418680"/>
      <w:bookmarkStart w:id="6300" w:name="_Toc13516513"/>
      <w:bookmarkStart w:id="6301" w:name="_Toc13562602"/>
      <w:bookmarkStart w:id="6302" w:name="_Toc13568589"/>
      <w:bookmarkStart w:id="6303" w:name="_Toc13603196"/>
      <w:bookmarkStart w:id="6304" w:name="_Toc13603299"/>
      <w:bookmarkEnd w:id="6169"/>
      <w:bookmarkEnd w:id="6283"/>
      <w:r>
        <w:rPr>
          <w:rtl/>
        </w:rPr>
        <w:t>ביאור</w:t>
      </w:r>
      <w:r>
        <w:rPr>
          <w:rFonts w:hint="cs"/>
          <w:rtl/>
        </w:rPr>
        <w:t>י הראשונים</w:t>
      </w:r>
      <w:r w:rsidRPr="0077459F">
        <w:rPr>
          <w:rFonts w:hint="cs"/>
          <w:rtl/>
        </w:rPr>
        <w:t xml:space="preserve"> ב</w:t>
      </w:r>
      <w:bookmarkEnd w:id="6286"/>
      <w:bookmarkEnd w:id="6287"/>
      <w:bookmarkEnd w:id="6288"/>
      <w:bookmarkEnd w:id="6289"/>
      <w:bookmarkEnd w:id="6290"/>
      <w:bookmarkEnd w:id="6291"/>
      <w:bookmarkEnd w:id="6292"/>
      <w:bookmarkEnd w:id="6293"/>
      <w:bookmarkEnd w:id="6294"/>
      <w:bookmarkEnd w:id="6295"/>
      <w:r>
        <w:rPr>
          <w:rFonts w:hint="cs"/>
          <w:rtl/>
        </w:rPr>
        <w:t>גדר טעמו ולא ממשו</w:t>
      </w:r>
      <w:bookmarkEnd w:id="6296"/>
      <w:bookmarkEnd w:id="6297"/>
    </w:p>
    <w:p w:rsidR="009A0058" w:rsidRPr="0077459F" w:rsidRDefault="009A0058" w:rsidP="009A0058">
      <w:pPr>
        <w:pStyle w:val="1"/>
        <w:rPr>
          <w:rtl/>
        </w:rPr>
      </w:pPr>
      <w:bookmarkStart w:id="6305" w:name="_Toc13045646"/>
      <w:bookmarkStart w:id="6306" w:name="_Toc13134833"/>
      <w:bookmarkStart w:id="6307" w:name="_Toc13244693"/>
      <w:bookmarkStart w:id="6308" w:name="_Toc13396639"/>
      <w:bookmarkStart w:id="6309" w:name="_Toc13418687"/>
      <w:bookmarkStart w:id="6310" w:name="_Toc13516521"/>
      <w:bookmarkStart w:id="6311" w:name="_Toc13562610"/>
      <w:bookmarkStart w:id="6312" w:name="_Toc13568597"/>
      <w:bookmarkStart w:id="6313" w:name="_Toc13603204"/>
      <w:bookmarkStart w:id="6314" w:name="_Toc13603307"/>
      <w:bookmarkStart w:id="6315" w:name="_Toc13657856"/>
      <w:bookmarkStart w:id="6316" w:name="_Toc13664016"/>
      <w:r w:rsidRPr="0077459F">
        <w:rPr>
          <w:rFonts w:hint="cs"/>
          <w:rtl/>
        </w:rPr>
        <w:t>דברי הרמב"ן</w:t>
      </w:r>
      <w:r>
        <w:rPr>
          <w:rFonts w:hint="cs"/>
          <w:rtl/>
        </w:rPr>
        <w:t xml:space="preserve"> והרשב"א</w:t>
      </w:r>
      <w:r w:rsidRPr="0077459F">
        <w:rPr>
          <w:rFonts w:hint="cs"/>
          <w:rtl/>
        </w:rPr>
        <w:t xml:space="preserve"> </w:t>
      </w:r>
      <w:r>
        <w:rPr>
          <w:rFonts w:hint="cs"/>
          <w:rtl/>
        </w:rPr>
        <w:t>דכל שאין גוף האיסור בעין חשיב</w:t>
      </w:r>
      <w:r w:rsidRPr="0077459F">
        <w:rPr>
          <w:rFonts w:hint="cs"/>
          <w:rtl/>
        </w:rPr>
        <w:t xml:space="preserve"> </w:t>
      </w:r>
      <w:r>
        <w:rPr>
          <w:rFonts w:hint="cs"/>
          <w:rtl/>
        </w:rPr>
        <w:t>טעמו</w:t>
      </w:r>
      <w:bookmarkEnd w:id="6305"/>
      <w:bookmarkEnd w:id="6306"/>
      <w:bookmarkEnd w:id="6307"/>
      <w:bookmarkEnd w:id="6308"/>
      <w:bookmarkEnd w:id="6309"/>
      <w:bookmarkEnd w:id="6310"/>
      <w:bookmarkEnd w:id="6311"/>
      <w:bookmarkEnd w:id="6312"/>
      <w:bookmarkEnd w:id="6313"/>
      <w:bookmarkEnd w:id="6314"/>
      <w:bookmarkEnd w:id="6315"/>
      <w:bookmarkEnd w:id="6316"/>
    </w:p>
    <w:p w:rsidR="009A0058" w:rsidRPr="0077459F" w:rsidRDefault="009A0058" w:rsidP="009A0058">
      <w:pPr>
        <w:pStyle w:val="a2"/>
        <w:rPr>
          <w:rtl/>
        </w:rPr>
      </w:pPr>
      <w:bookmarkStart w:id="6317" w:name="_Toc13045647"/>
      <w:bookmarkStart w:id="6318" w:name="_Toc13134834"/>
      <w:bookmarkStart w:id="6319" w:name="_Toc13244694"/>
      <w:bookmarkStart w:id="6320" w:name="_Toc13396640"/>
      <w:bookmarkStart w:id="6321" w:name="_Toc13418688"/>
      <w:bookmarkStart w:id="6322" w:name="_Toc13516522"/>
      <w:bookmarkStart w:id="6323" w:name="_Toc13562611"/>
      <w:bookmarkStart w:id="6324" w:name="_Toc13568598"/>
      <w:bookmarkStart w:id="6325" w:name="_Toc13603205"/>
      <w:bookmarkStart w:id="6326" w:name="_Toc13603308"/>
      <w:bookmarkStart w:id="6327" w:name="_Toc13657857"/>
      <w:bookmarkStart w:id="6328" w:name="_Toc13664017"/>
      <w:r w:rsidRPr="0077459F">
        <w:rPr>
          <w:rFonts w:hint="cs"/>
          <w:rtl/>
        </w:rPr>
        <w:t>דברי הרמב"ן והרשב"א דטע</w:t>
      </w:r>
      <w:r>
        <w:rPr>
          <w:rFonts w:hint="cs"/>
          <w:rtl/>
        </w:rPr>
        <w:t>מו</w:t>
      </w:r>
      <w:r w:rsidRPr="0077459F">
        <w:rPr>
          <w:rFonts w:hint="cs"/>
          <w:rtl/>
        </w:rPr>
        <w:t xml:space="preserve"> הוא כשגוף האיסור אינו בתערובת או שאבד בו או בבליעת איסור</w:t>
      </w:r>
      <w:bookmarkEnd w:id="6317"/>
      <w:bookmarkEnd w:id="6318"/>
      <w:bookmarkEnd w:id="6319"/>
      <w:bookmarkEnd w:id="6320"/>
      <w:bookmarkEnd w:id="6321"/>
      <w:bookmarkEnd w:id="6322"/>
      <w:bookmarkEnd w:id="6323"/>
      <w:bookmarkEnd w:id="6324"/>
      <w:bookmarkEnd w:id="6325"/>
      <w:bookmarkEnd w:id="6326"/>
      <w:bookmarkEnd w:id="6327"/>
      <w:bookmarkEnd w:id="6328"/>
    </w:p>
    <w:p w:rsidR="009A0058" w:rsidRPr="0077459F" w:rsidRDefault="009A0058" w:rsidP="009F44AF">
      <w:pPr>
        <w:pStyle w:val="a"/>
        <w:rPr>
          <w:rtl/>
        </w:rPr>
      </w:pPr>
      <w:bookmarkStart w:id="6329" w:name="_Ref13565897"/>
      <w:bookmarkStart w:id="6330" w:name="_Ref13600046"/>
      <w:bookmarkStart w:id="6331" w:name="_Ref13652675"/>
      <w:bookmarkStart w:id="6332" w:name="_Ref13081169"/>
      <w:r w:rsidRPr="0077459F">
        <w:rPr>
          <w:rFonts w:hint="cs"/>
          <w:rtl/>
        </w:rPr>
        <w:t xml:space="preserve">כתבו </w:t>
      </w:r>
      <w:r w:rsidRPr="0077459F">
        <w:rPr>
          <w:rStyle w:val="af8"/>
          <w:rFonts w:hint="cs"/>
          <w:rtl/>
        </w:rPr>
        <w:t xml:space="preserve">הרמב"ן </w:t>
      </w:r>
      <w:r w:rsidRPr="004A25B0">
        <w:rPr>
          <w:rStyle w:val="af6"/>
          <w:rFonts w:eastAsia="Guttman Hodes" w:hint="cs"/>
          <w:rtl/>
        </w:rPr>
        <w:t xml:space="preserve">(ד"ה אלא) </w:t>
      </w:r>
      <w:r w:rsidRPr="0077459F">
        <w:rPr>
          <w:rStyle w:val="af8"/>
          <w:rFonts w:hint="cs"/>
          <w:rtl/>
        </w:rPr>
        <w:t xml:space="preserve">והרשב"א בחי' </w:t>
      </w:r>
      <w:r w:rsidRPr="004A25B0">
        <w:rPr>
          <w:rStyle w:val="af6"/>
          <w:rFonts w:eastAsia="Guttman Hodes" w:hint="cs"/>
          <w:rtl/>
        </w:rPr>
        <w:t xml:space="preserve">(ד"ה ופי' טעם) </w:t>
      </w:r>
      <w:r w:rsidRPr="0077459F">
        <w:rPr>
          <w:rStyle w:val="af8"/>
          <w:rFonts w:hint="cs"/>
          <w:rtl/>
        </w:rPr>
        <w:t>ובתוה"ב</w:t>
      </w:r>
      <w:r w:rsidRPr="0077459F">
        <w:rPr>
          <w:rFonts w:hint="cs"/>
          <w:rtl/>
        </w:rPr>
        <w:t xml:space="preserve"> </w:t>
      </w:r>
      <w:r w:rsidRPr="004A25B0">
        <w:rPr>
          <w:rStyle w:val="af6"/>
          <w:rFonts w:eastAsia="Guttman Hodes" w:hint="cs"/>
          <w:rtl/>
        </w:rPr>
        <w:t xml:space="preserve">(ב"ד ש"א י. מדה"ס) </w:t>
      </w:r>
      <w:r w:rsidRPr="0077459F">
        <w:rPr>
          <w:rFonts w:hint="cs"/>
          <w:rtl/>
        </w:rPr>
        <w:t xml:space="preserve">דטעם כעיקר היינו שגוף האיסור לא מעורב בתערובת, כמו </w:t>
      </w:r>
      <w:r w:rsidRPr="0077459F">
        <w:rPr>
          <w:rFonts w:hint="cs"/>
          <w:rtl/>
        </w:rPr>
        <w:lastRenderedPageBreak/>
        <w:t xml:space="preserve">בשרה ענבים במים שיש במים טעם של יין, אך אין בהם מגוף היין כלל, ועוד ביארו </w:t>
      </w:r>
      <w:r w:rsidRPr="0077459F">
        <w:rPr>
          <w:rStyle w:val="af8"/>
          <w:rFonts w:hint="cs"/>
          <w:rtl/>
        </w:rPr>
        <w:t>הרמב"ן</w:t>
      </w:r>
      <w:r w:rsidRPr="0077459F">
        <w:rPr>
          <w:rFonts w:hint="cs"/>
          <w:rtl/>
        </w:rPr>
        <w:t xml:space="preserve"> </w:t>
      </w:r>
      <w:r w:rsidRPr="0077459F">
        <w:rPr>
          <w:rStyle w:val="af8"/>
          <w:rFonts w:hint="cs"/>
          <w:rtl/>
        </w:rPr>
        <w:t xml:space="preserve">והרשב"א </w:t>
      </w:r>
      <w:r w:rsidRPr="0077459F">
        <w:rPr>
          <w:rFonts w:hint="cs"/>
          <w:rtl/>
        </w:rPr>
        <w:t>דאיירי באופן שנפלה טיפת יין למים, ואין בהם מראה יין, דכיון שהוא מיעוט אבד היין, וחשיב שממשו אבד, וכן בבשר בחלב שהבשר נתן טעם בחלב, או שנתן החלב טעם בבשר.</w:t>
      </w:r>
      <w:bookmarkEnd w:id="6329"/>
      <w:r w:rsidRPr="0077459F">
        <w:rPr>
          <w:rFonts w:hint="cs"/>
          <w:rtl/>
        </w:rPr>
        <w:t xml:space="preserve"> </w:t>
      </w:r>
      <w:r w:rsidRPr="0077459F">
        <w:rPr>
          <w:rStyle w:val="afa"/>
          <w:rFonts w:hint="cs"/>
          <w:rtl/>
        </w:rPr>
        <w:t xml:space="preserve">[ודלא </w:t>
      </w:r>
      <w:r w:rsidRPr="0077459F">
        <w:rPr>
          <w:rStyle w:val="affa"/>
          <w:rFonts w:hint="cs"/>
          <w:rtl/>
        </w:rPr>
        <w:t>כתוס' בע"ז</w:t>
      </w:r>
      <w:r w:rsidRPr="0077459F">
        <w:rPr>
          <w:rStyle w:val="afa"/>
          <w:rFonts w:hint="cs"/>
          <w:rtl/>
        </w:rPr>
        <w:t xml:space="preserve"> </w:t>
      </w:r>
      <w:r w:rsidRPr="0077459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Ref13649734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נב)</w:t>
      </w:r>
      <w:r>
        <w:rPr>
          <w:rStyle w:val="aff6"/>
          <w:rtl/>
        </w:rPr>
        <w:fldChar w:fldCharType="end"/>
      </w:r>
      <w:r>
        <w:rPr>
          <w:rStyle w:val="aff6"/>
          <w:rFonts w:hint="cs"/>
          <w:rtl/>
        </w:rPr>
        <w:t xml:space="preserve"> </w:t>
      </w:r>
      <w:r>
        <w:rPr>
          <w:rStyle w:val="afa"/>
          <w:rFonts w:hint="cs"/>
          <w:rtl/>
        </w:rPr>
        <w:t>דכתבו דבשר בחלב הוא ממשו ולא רק טעמו</w:t>
      </w:r>
      <w:r w:rsidRPr="0077459F">
        <w:rPr>
          <w:rStyle w:val="afa"/>
          <w:rFonts w:hint="cs"/>
          <w:rtl/>
        </w:rPr>
        <w:t>]</w:t>
      </w:r>
      <w:bookmarkEnd w:id="6330"/>
      <w:r>
        <w:rPr>
          <w:rStyle w:val="afa"/>
          <w:rFonts w:hint="cs"/>
          <w:rtl/>
        </w:rPr>
        <w:t>,</w:t>
      </w:r>
      <w:r w:rsidRPr="0077459F">
        <w:rPr>
          <w:rFonts w:hint="cs"/>
          <w:rtl/>
        </w:rPr>
        <w:t xml:space="preserve">וכתב </w:t>
      </w:r>
      <w:r w:rsidRPr="0077459F">
        <w:rPr>
          <w:rStyle w:val="af8"/>
          <w:rFonts w:hint="cs"/>
          <w:rtl/>
        </w:rPr>
        <w:t>הרמב"ן</w:t>
      </w:r>
      <w:r w:rsidRPr="0077459F">
        <w:rPr>
          <w:rFonts w:hint="cs"/>
          <w:rtl/>
        </w:rPr>
        <w:t xml:space="preserve"> דהא דאמר רבא הכא "</w:t>
      </w:r>
      <w:r>
        <w:rPr>
          <w:rFonts w:hint="cs"/>
          <w:rtl/>
        </w:rPr>
        <w:t>טעם כעיקר" היינו טעמו ולא ממשו</w:t>
      </w:r>
      <w:r w:rsidRPr="0077459F">
        <w:rPr>
          <w:rFonts w:hint="cs"/>
          <w:rtl/>
        </w:rPr>
        <w:t xml:space="preserve"> בגמ' לקמן </w:t>
      </w:r>
      <w:r w:rsidRPr="004A25B0">
        <w:rPr>
          <w:rStyle w:val="af6"/>
          <w:rFonts w:eastAsia="Guttman Hodes" w:hint="cs"/>
          <w:rtl/>
        </w:rPr>
        <w:t xml:space="preserve">(קח.) </w:t>
      </w:r>
      <w:r w:rsidRPr="0077459F">
        <w:rPr>
          <w:rFonts w:hint="cs"/>
          <w:rtl/>
        </w:rPr>
        <w:t xml:space="preserve">ובגמ' בע"ז </w:t>
      </w:r>
      <w:r w:rsidRPr="004A25B0">
        <w:rPr>
          <w:rStyle w:val="af6"/>
          <w:rFonts w:eastAsia="Guttman Hodes" w:hint="cs"/>
          <w:rtl/>
        </w:rPr>
        <w:t>(סז:)</w:t>
      </w:r>
      <w:r>
        <w:rPr>
          <w:rFonts w:hint="cs"/>
          <w:rtl/>
        </w:rPr>
        <w:t xml:space="preserve">, </w:t>
      </w:r>
      <w:r w:rsidRPr="0077459F">
        <w:rPr>
          <w:rFonts w:hint="cs"/>
          <w:rtl/>
        </w:rPr>
        <w:t xml:space="preserve">והוסיף </w:t>
      </w:r>
      <w:r w:rsidRPr="0077459F">
        <w:rPr>
          <w:rStyle w:val="af8"/>
          <w:rFonts w:hint="cs"/>
          <w:rtl/>
        </w:rPr>
        <w:t xml:space="preserve">הרשב"א </w:t>
      </w:r>
      <w:r w:rsidRPr="0077459F">
        <w:rPr>
          <w:rFonts w:hint="cs"/>
          <w:rtl/>
        </w:rPr>
        <w:t xml:space="preserve"> דכן שייך טעם כעיקר בגיעולי עכו"ם שיש בהם רק את בליעת הטעם של האיסור, ואין </w:t>
      </w:r>
      <w:r>
        <w:rPr>
          <w:rFonts w:hint="cs"/>
          <w:rtl/>
        </w:rPr>
        <w:t xml:space="preserve">בהם </w:t>
      </w:r>
      <w:r w:rsidRPr="0077459F">
        <w:rPr>
          <w:rFonts w:hint="cs"/>
          <w:rtl/>
        </w:rPr>
        <w:t>את ממשו</w:t>
      </w:r>
      <w:r>
        <w:rPr>
          <w:rFonts w:hint="cs"/>
          <w:rtl/>
        </w:rPr>
        <w:t xml:space="preserve"> של האיסור</w:t>
      </w:r>
      <w:r w:rsidRPr="0077459F">
        <w:rPr>
          <w:rFonts w:hint="cs"/>
          <w:rtl/>
        </w:rPr>
        <w:t>.</w:t>
      </w:r>
      <w:bookmarkEnd w:id="6331"/>
    </w:p>
    <w:p w:rsidR="009A0058" w:rsidRPr="0077459F" w:rsidRDefault="009A0058" w:rsidP="009A0058">
      <w:pPr>
        <w:pStyle w:val="a2"/>
        <w:rPr>
          <w:rtl/>
        </w:rPr>
      </w:pPr>
      <w:bookmarkStart w:id="6333" w:name="_Toc13657858"/>
      <w:bookmarkStart w:id="6334" w:name="_Toc13664018"/>
      <w:r>
        <w:rPr>
          <w:rFonts w:hint="cs"/>
          <w:rtl/>
        </w:rPr>
        <w:t>דברי הב"י והפר"ח דלהרשב"א גוף האיסור שנימוח חשיב טעמו ולא ממשו</w:t>
      </w:r>
      <w:bookmarkEnd w:id="6333"/>
      <w:bookmarkEnd w:id="6334"/>
    </w:p>
    <w:p w:rsidR="00366EF4" w:rsidRDefault="009A0058" w:rsidP="009F44AF">
      <w:pPr>
        <w:pStyle w:val="a"/>
        <w:rPr>
          <w:rtl/>
        </w:rPr>
      </w:pPr>
      <w:bookmarkStart w:id="6335" w:name="_Ref13085515"/>
      <w:r w:rsidRPr="0077459F">
        <w:rPr>
          <w:rFonts w:hint="cs"/>
          <w:rtl/>
        </w:rPr>
        <w:t xml:space="preserve">וכתב </w:t>
      </w:r>
      <w:r w:rsidRPr="0077459F">
        <w:rPr>
          <w:rStyle w:val="af8"/>
          <w:rFonts w:hint="cs"/>
          <w:rtl/>
        </w:rPr>
        <w:t>הב"י</w:t>
      </w:r>
      <w:r w:rsidRPr="0077459F">
        <w:rPr>
          <w:rFonts w:hint="cs"/>
          <w:rtl/>
        </w:rPr>
        <w:t xml:space="preserve"> </w:t>
      </w:r>
      <w:r w:rsidRPr="00815E4C">
        <w:rPr>
          <w:rStyle w:val="af6"/>
          <w:rFonts w:eastAsia="Guttman Hodes" w:hint="cs"/>
          <w:rtl/>
        </w:rPr>
        <w:t>(סי' צ"ח ב' ד"ה והרשב"א)</w:t>
      </w:r>
      <w:r w:rsidRPr="0077459F">
        <w:rPr>
          <w:rFonts w:hint="cs"/>
          <w:rtl/>
        </w:rPr>
        <w:t xml:space="preserve"> דמבואר מדברי </w:t>
      </w:r>
      <w:r w:rsidRPr="0077459F">
        <w:rPr>
          <w:rStyle w:val="af8"/>
          <w:rFonts w:hint="cs"/>
          <w:rtl/>
        </w:rPr>
        <w:t>הרשב"א</w:t>
      </w:r>
      <w:r w:rsidRPr="0077459F">
        <w:rPr>
          <w:rFonts w:hint="cs"/>
          <w:rtl/>
        </w:rPr>
        <w:t xml:space="preserve"> דאף כשגוף האיסור מעורב בתערובת, מ"מ כיון שהוא נמחה וממשו אינו לפנינו, כגון יין שאבד ממשו מחמת מיעוטו, מ"מ חשיב שגוף האיסור אינו מעורב בתערובת</w:t>
      </w:r>
      <w:r>
        <w:rPr>
          <w:rFonts w:hint="cs"/>
          <w:rtl/>
        </w:rPr>
        <w:t>,</w:t>
      </w:r>
      <w:r w:rsidRPr="0077459F">
        <w:rPr>
          <w:rFonts w:hint="cs"/>
          <w:rtl/>
        </w:rPr>
        <w:t xml:space="preserve"> </w:t>
      </w:r>
      <w:r>
        <w:rPr>
          <w:rFonts w:hint="cs"/>
          <w:rtl/>
        </w:rPr>
        <w:t>והוי טעמו ולא ממשו,</w:t>
      </w:r>
      <w:r w:rsidRPr="0077459F">
        <w:rPr>
          <w:rFonts w:hint="cs"/>
          <w:rtl/>
        </w:rPr>
        <w:t xml:space="preserve"> וכתב </w:t>
      </w:r>
      <w:r w:rsidRPr="0077459F">
        <w:rPr>
          <w:rStyle w:val="af8"/>
          <w:rFonts w:hint="cs"/>
          <w:rtl/>
        </w:rPr>
        <w:t>הב"י</w:t>
      </w:r>
      <w:r w:rsidRPr="0077459F">
        <w:rPr>
          <w:rFonts w:hint="cs"/>
          <w:rtl/>
        </w:rPr>
        <w:t xml:space="preserve"> דהוא דלא כדמשמע מדברי </w:t>
      </w:r>
      <w:r w:rsidRPr="0077459F">
        <w:rPr>
          <w:rStyle w:val="af8"/>
          <w:rFonts w:hint="cs"/>
          <w:rtl/>
        </w:rPr>
        <w:t>הר"ן</w:t>
      </w:r>
      <w:r w:rsidRPr="0077459F">
        <w:rPr>
          <w:rFonts w:hint="cs"/>
          <w:rtl/>
        </w:rPr>
        <w:t xml:space="preserve"> </w:t>
      </w:r>
      <w:r w:rsidRPr="00815E4C">
        <w:rPr>
          <w:rStyle w:val="af6"/>
          <w:rFonts w:eastAsia="Guttman Hodes" w:hint="cs"/>
          <w:rtl/>
        </w:rPr>
        <w:t xml:space="preserve">(עי' אות </w:t>
      </w:r>
      <w:r w:rsidRPr="00815E4C">
        <w:rPr>
          <w:rStyle w:val="af6"/>
          <w:rFonts w:eastAsia="Guttman Hodes"/>
          <w:rtl/>
        </w:rPr>
        <w:fldChar w:fldCharType="begin"/>
      </w:r>
      <w:r w:rsidRPr="00815E4C">
        <w:rPr>
          <w:rStyle w:val="af6"/>
          <w:rFonts w:eastAsia="Guttman Hodes"/>
          <w:rtl/>
        </w:rPr>
        <w:instrText xml:space="preserve"> </w:instrText>
      </w:r>
      <w:r w:rsidRPr="00815E4C">
        <w:rPr>
          <w:rStyle w:val="af6"/>
          <w:rFonts w:eastAsia="Guttman Hodes" w:hint="cs"/>
        </w:rPr>
        <w:instrText>REF</w:instrText>
      </w:r>
      <w:r w:rsidRPr="00815E4C">
        <w:rPr>
          <w:rStyle w:val="af6"/>
          <w:rFonts w:eastAsia="Guttman Hodes" w:hint="cs"/>
          <w:rtl/>
        </w:rPr>
        <w:instrText xml:space="preserve"> _</w:instrText>
      </w:r>
      <w:r w:rsidRPr="00815E4C">
        <w:rPr>
          <w:rStyle w:val="af6"/>
          <w:rFonts w:eastAsia="Guttman Hodes" w:hint="cs"/>
        </w:rPr>
        <w:instrText>Ref13085488 \r \h</w:instrText>
      </w:r>
      <w:r w:rsidRPr="00815E4C">
        <w:rPr>
          <w:rStyle w:val="af6"/>
          <w:rFonts w:eastAsia="Guttman Hodes"/>
          <w:rtl/>
        </w:rPr>
        <w:instrText xml:space="preserve">  \* </w:instrText>
      </w:r>
      <w:r w:rsidRPr="00815E4C">
        <w:rPr>
          <w:rStyle w:val="af6"/>
          <w:rFonts w:eastAsia="Guttman Hodes"/>
        </w:rPr>
        <w:instrText>MERGEFORMAT</w:instrText>
      </w:r>
      <w:r w:rsidRPr="00815E4C">
        <w:rPr>
          <w:rStyle w:val="af6"/>
          <w:rFonts w:eastAsia="Guttman Hodes"/>
          <w:rtl/>
        </w:rPr>
        <w:instrText xml:space="preserve"> </w:instrText>
      </w:r>
      <w:r w:rsidRPr="00815E4C">
        <w:rPr>
          <w:rStyle w:val="af6"/>
          <w:rFonts w:eastAsia="Guttman Hodes"/>
          <w:rtl/>
        </w:rPr>
      </w:r>
      <w:r w:rsidRPr="00815E4C">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815E4C">
        <w:rPr>
          <w:rStyle w:val="af6"/>
          <w:rFonts w:eastAsia="Guttman Hodes"/>
          <w:rtl/>
        </w:rPr>
        <w:fldChar w:fldCharType="end"/>
      </w:r>
      <w:bookmarkEnd w:id="6335"/>
      <w:r>
        <w:rPr>
          <w:rFonts w:hint="cs"/>
          <w:rtl/>
        </w:rPr>
        <w:t xml:space="preserve">, וכתב </w:t>
      </w:r>
      <w:r w:rsidRPr="0077459F">
        <w:rPr>
          <w:rStyle w:val="af8"/>
          <w:rFonts w:hint="cs"/>
          <w:rtl/>
        </w:rPr>
        <w:t>הפר"ח</w:t>
      </w:r>
      <w:r w:rsidRPr="0077459F">
        <w:rPr>
          <w:rFonts w:hint="cs"/>
          <w:rtl/>
        </w:rPr>
        <w:t xml:space="preserve"> </w:t>
      </w:r>
      <w:r w:rsidRPr="00815E4C">
        <w:rPr>
          <w:rStyle w:val="af6"/>
          <w:rFonts w:eastAsia="Guttman Hodes" w:hint="cs"/>
          <w:rtl/>
        </w:rPr>
        <w:t>(או"ח סי' תמ"ב ריש סק"א)</w:t>
      </w:r>
      <w:r w:rsidRPr="0077459F">
        <w:rPr>
          <w:rFonts w:hint="cs"/>
          <w:rtl/>
        </w:rPr>
        <w:t xml:space="preserve"> דמבואר מדברי </w:t>
      </w:r>
      <w:r w:rsidRPr="0077459F">
        <w:rPr>
          <w:rStyle w:val="af8"/>
          <w:rFonts w:hint="cs"/>
          <w:rtl/>
        </w:rPr>
        <w:t>הרשב"א</w:t>
      </w:r>
      <w:r w:rsidRPr="0077459F">
        <w:rPr>
          <w:rFonts w:hint="cs"/>
          <w:rtl/>
        </w:rPr>
        <w:t xml:space="preserve"> דס"ל כדעת </w:t>
      </w:r>
      <w:r w:rsidRPr="0077459F">
        <w:rPr>
          <w:rStyle w:val="af8"/>
          <w:rFonts w:hint="cs"/>
          <w:rtl/>
        </w:rPr>
        <w:t>רש"י בע"ז</w:t>
      </w:r>
      <w:r w:rsidRPr="0077459F">
        <w:rPr>
          <w:rFonts w:hint="cs"/>
          <w:rtl/>
        </w:rPr>
        <w:t xml:space="preserve"> </w:t>
      </w:r>
      <w:r w:rsidRPr="00815E4C">
        <w:rPr>
          <w:rStyle w:val="af6"/>
          <w:rFonts w:eastAsia="Guttman Hodes" w:hint="cs"/>
          <w:rtl/>
        </w:rPr>
        <w:t xml:space="preserve">(עי' אות </w:t>
      </w:r>
      <w:r w:rsidRPr="00815E4C">
        <w:rPr>
          <w:rStyle w:val="af6"/>
          <w:rFonts w:eastAsia="Guttman Hodes"/>
          <w:rtl/>
        </w:rPr>
        <w:fldChar w:fldCharType="begin"/>
      </w:r>
      <w:r w:rsidRPr="00815E4C">
        <w:rPr>
          <w:rStyle w:val="af6"/>
          <w:rFonts w:eastAsia="Guttman Hodes"/>
          <w:rtl/>
        </w:rPr>
        <w:instrText xml:space="preserve"> </w:instrText>
      </w:r>
      <w:r w:rsidRPr="00815E4C">
        <w:rPr>
          <w:rStyle w:val="af6"/>
          <w:rFonts w:eastAsia="Guttman Hodes" w:hint="cs"/>
        </w:rPr>
        <w:instrText>REF</w:instrText>
      </w:r>
      <w:r w:rsidRPr="00815E4C">
        <w:rPr>
          <w:rStyle w:val="af6"/>
          <w:rFonts w:eastAsia="Guttman Hodes" w:hint="cs"/>
          <w:rtl/>
        </w:rPr>
        <w:instrText xml:space="preserve"> _</w:instrText>
      </w:r>
      <w:r w:rsidRPr="00815E4C">
        <w:rPr>
          <w:rStyle w:val="af6"/>
          <w:rFonts w:eastAsia="Guttman Hodes" w:hint="cs"/>
        </w:rPr>
        <w:instrText>Ref12961369 \r \h</w:instrText>
      </w:r>
      <w:r w:rsidRPr="00815E4C">
        <w:rPr>
          <w:rStyle w:val="af6"/>
          <w:rFonts w:eastAsia="Guttman Hodes"/>
          <w:rtl/>
        </w:rPr>
        <w:instrText xml:space="preserve">  \* </w:instrText>
      </w:r>
      <w:r w:rsidRPr="00815E4C">
        <w:rPr>
          <w:rStyle w:val="af6"/>
          <w:rFonts w:eastAsia="Guttman Hodes"/>
        </w:rPr>
        <w:instrText>MERGEFORMAT</w:instrText>
      </w:r>
      <w:r w:rsidRPr="00815E4C">
        <w:rPr>
          <w:rStyle w:val="af6"/>
          <w:rFonts w:eastAsia="Guttman Hodes"/>
          <w:rtl/>
        </w:rPr>
        <w:instrText xml:space="preserve"> </w:instrText>
      </w:r>
      <w:r w:rsidRPr="00815E4C">
        <w:rPr>
          <w:rStyle w:val="af6"/>
          <w:rFonts w:eastAsia="Guttman Hodes"/>
          <w:rtl/>
        </w:rPr>
      </w:r>
      <w:r w:rsidRPr="00815E4C">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815E4C">
        <w:rPr>
          <w:rStyle w:val="af6"/>
          <w:rFonts w:eastAsia="Guttman Hodes"/>
          <w:rtl/>
        </w:rPr>
        <w:fldChar w:fldCharType="end"/>
      </w:r>
      <w:r w:rsidRPr="0077459F">
        <w:rPr>
          <w:rFonts w:hint="cs"/>
          <w:rtl/>
        </w:rPr>
        <w:t xml:space="preserve"> דכל שהאיסור מחוי ואינו בגופו בתערובת, נקרא טעמו ולא ממשו.</w:t>
      </w:r>
    </w:p>
    <w:p w:rsidR="009A0058" w:rsidRPr="0077459F" w:rsidRDefault="009A0058" w:rsidP="009A0058">
      <w:pPr>
        <w:pStyle w:val="a2"/>
      </w:pPr>
      <w:bookmarkStart w:id="6336" w:name="_Toc13045648"/>
      <w:bookmarkStart w:id="6337" w:name="_Toc13134835"/>
      <w:bookmarkStart w:id="6338" w:name="_Toc13244695"/>
      <w:bookmarkStart w:id="6339" w:name="_Toc13396641"/>
      <w:bookmarkStart w:id="6340" w:name="_Toc13418689"/>
      <w:bookmarkStart w:id="6341" w:name="_Toc13516523"/>
      <w:bookmarkStart w:id="6342" w:name="_Toc13562612"/>
      <w:bookmarkStart w:id="6343" w:name="_Toc13568599"/>
      <w:bookmarkStart w:id="6344" w:name="_Toc13603206"/>
      <w:bookmarkStart w:id="6345" w:name="_Toc13603309"/>
      <w:bookmarkStart w:id="6346" w:name="_Toc13657859"/>
      <w:bookmarkStart w:id="6347" w:name="_Toc13664019"/>
      <w:bookmarkEnd w:id="6332"/>
      <w:r w:rsidRPr="0077459F">
        <w:rPr>
          <w:rFonts w:hint="cs"/>
          <w:rtl/>
        </w:rPr>
        <w:t>ביאור הרשב"א בשם התוס' דבבשר שהתבשל בחלב שייך רק טעמו ולא שייך ממשו</w:t>
      </w:r>
      <w:bookmarkEnd w:id="6336"/>
      <w:bookmarkEnd w:id="6337"/>
      <w:bookmarkEnd w:id="6338"/>
      <w:bookmarkEnd w:id="6339"/>
      <w:bookmarkEnd w:id="6340"/>
      <w:bookmarkEnd w:id="6341"/>
      <w:bookmarkEnd w:id="6342"/>
      <w:bookmarkEnd w:id="6343"/>
      <w:bookmarkEnd w:id="6344"/>
      <w:bookmarkEnd w:id="6345"/>
      <w:bookmarkEnd w:id="6346"/>
      <w:bookmarkEnd w:id="6347"/>
    </w:p>
    <w:p w:rsidR="009A0058" w:rsidRDefault="009A0058" w:rsidP="009F44AF">
      <w:pPr>
        <w:pStyle w:val="a"/>
        <w:rPr>
          <w:rStyle w:val="afa"/>
          <w:rtl/>
        </w:rPr>
      </w:pPr>
      <w:bookmarkStart w:id="6348" w:name="_Ref13393299"/>
      <w:bookmarkStart w:id="6349" w:name="_Ref13652683"/>
      <w:r w:rsidRPr="0077459F">
        <w:rPr>
          <w:rFonts w:hint="cs"/>
          <w:rtl/>
        </w:rPr>
        <w:t>ו</w:t>
      </w:r>
      <w:r>
        <w:rPr>
          <w:rFonts w:hint="cs"/>
          <w:rtl/>
        </w:rPr>
        <w:t>הוסיף</w:t>
      </w:r>
      <w:r w:rsidRPr="0077459F">
        <w:rPr>
          <w:rFonts w:hint="cs"/>
          <w:rtl/>
        </w:rPr>
        <w:t xml:space="preserve"> </w:t>
      </w:r>
      <w:r w:rsidRPr="0077459F">
        <w:rPr>
          <w:rStyle w:val="af8"/>
          <w:rFonts w:hint="cs"/>
          <w:rtl/>
        </w:rPr>
        <w:t>הרשב"א</w:t>
      </w:r>
      <w:r w:rsidRPr="0077459F">
        <w:rPr>
          <w:rFonts w:hint="cs"/>
          <w:rtl/>
        </w:rPr>
        <w:t xml:space="preserve"> </w:t>
      </w:r>
      <w:r w:rsidRPr="0077459F">
        <w:rPr>
          <w:rStyle w:val="af8"/>
          <w:rFonts w:hint="cs"/>
          <w:rtl/>
        </w:rPr>
        <w:t>בחי'</w:t>
      </w:r>
      <w:r w:rsidRPr="0077459F">
        <w:rPr>
          <w:rFonts w:hint="cs"/>
          <w:rtl/>
        </w:rPr>
        <w:t xml:space="preserve"> </w:t>
      </w:r>
      <w:r w:rsidRPr="0077459F">
        <w:rPr>
          <w:rStyle w:val="af8"/>
          <w:rFonts w:hint="cs"/>
          <w:rtl/>
        </w:rPr>
        <w:t>ובתוה"ב</w:t>
      </w:r>
      <w:r w:rsidRPr="0077459F">
        <w:rPr>
          <w:rFonts w:hint="cs"/>
          <w:rtl/>
        </w:rPr>
        <w:t xml:space="preserve"> בשם </w:t>
      </w:r>
      <w:r w:rsidRPr="0077459F">
        <w:rPr>
          <w:rStyle w:val="af8"/>
          <w:rFonts w:hint="cs"/>
          <w:rtl/>
        </w:rPr>
        <w:t>התוס'</w:t>
      </w:r>
      <w:r w:rsidRPr="0077459F">
        <w:rPr>
          <w:rFonts w:hint="cs"/>
          <w:rtl/>
        </w:rPr>
        <w:t xml:space="preserve"> דהא </w:t>
      </w:r>
      <w:r>
        <w:rPr>
          <w:rFonts w:hint="cs"/>
          <w:rtl/>
        </w:rPr>
        <w:t>ד</w:t>
      </w:r>
      <w:r w:rsidRPr="0077459F">
        <w:rPr>
          <w:rFonts w:hint="cs"/>
          <w:rtl/>
        </w:rPr>
        <w:t xml:space="preserve">מבואר בגמ' בפסחים </w:t>
      </w:r>
      <w:r w:rsidRPr="0077459F">
        <w:rPr>
          <w:rStyle w:val="af6"/>
          <w:rFonts w:eastAsia="Guttman Hodes" w:hint="cs"/>
          <w:rtl/>
        </w:rPr>
        <w:t>(מד:)</w:t>
      </w:r>
      <w:r w:rsidRPr="0077459F">
        <w:rPr>
          <w:rFonts w:hint="cs"/>
          <w:rtl/>
        </w:rPr>
        <w:t xml:space="preserve"> </w:t>
      </w:r>
      <w:r>
        <w:rPr>
          <w:rFonts w:hint="cs"/>
          <w:rtl/>
        </w:rPr>
        <w:t xml:space="preserve">ובגמ' </w:t>
      </w:r>
      <w:r w:rsidRPr="0077459F">
        <w:rPr>
          <w:rFonts w:hint="cs"/>
          <w:rtl/>
        </w:rPr>
        <w:t xml:space="preserve">לקמן </w:t>
      </w:r>
      <w:r w:rsidRPr="0077459F">
        <w:rPr>
          <w:rStyle w:val="af6"/>
          <w:rFonts w:eastAsia="Guttman Hodes" w:hint="cs"/>
          <w:rtl/>
        </w:rPr>
        <w:t>(קח.)</w:t>
      </w:r>
      <w:r w:rsidRPr="0077459F">
        <w:rPr>
          <w:rFonts w:hint="cs"/>
          <w:rtl/>
        </w:rPr>
        <w:t xml:space="preserve"> דהאיסור בבשר בחלב הוא רק מחמת נתינת טעם, </w:t>
      </w:r>
      <w:r>
        <w:rPr>
          <w:rFonts w:hint="cs"/>
          <w:rtl/>
        </w:rPr>
        <w:t xml:space="preserve">והוי </w:t>
      </w:r>
      <w:r w:rsidRPr="0077459F">
        <w:rPr>
          <w:rFonts w:hint="cs"/>
          <w:rtl/>
        </w:rPr>
        <w:t xml:space="preserve">טעמו ולא ממשו, </w:t>
      </w:r>
      <w:r>
        <w:rPr>
          <w:rFonts w:hint="cs"/>
          <w:rtl/>
        </w:rPr>
        <w:t xml:space="preserve">הוא </w:t>
      </w:r>
      <w:r w:rsidRPr="0077459F">
        <w:rPr>
          <w:rFonts w:hint="cs"/>
          <w:rtl/>
        </w:rPr>
        <w:t xml:space="preserve">כיון שבחלב לא יכול להיות מעורב ממשו של הבשר, </w:t>
      </w:r>
      <w:r w:rsidRPr="0077459F">
        <w:rPr>
          <w:rStyle w:val="afa"/>
          <w:rFonts w:hint="cs"/>
          <w:rtl/>
        </w:rPr>
        <w:t xml:space="preserve">[דהוא ניכר], </w:t>
      </w:r>
      <w:r w:rsidRPr="0077459F">
        <w:rPr>
          <w:rFonts w:hint="cs"/>
          <w:rtl/>
        </w:rPr>
        <w:t>ורק הטעם של הבשר יכול להיות מעורב בחלב, ואפ"ה אסרתו תורה, אבל בבשר יכול להיות שיש בו גם את ממשות האיסור של החלב, שנבלע החלב בתוך הבשר ונמחה בו.</w:t>
      </w:r>
      <w:bookmarkEnd w:id="6348"/>
      <w:r>
        <w:rPr>
          <w:rFonts w:hint="cs"/>
          <w:rtl/>
        </w:rPr>
        <w:t xml:space="preserve"> </w:t>
      </w:r>
      <w:r w:rsidRPr="008624E3">
        <w:rPr>
          <w:rStyle w:val="afa"/>
          <w:rFonts w:hint="cs"/>
          <w:rtl/>
        </w:rPr>
        <w:t>[</w:t>
      </w:r>
      <w:r>
        <w:rPr>
          <w:rStyle w:val="afa"/>
          <w:rFonts w:hint="cs"/>
          <w:rtl/>
        </w:rPr>
        <w:t>ו</w:t>
      </w:r>
      <w:r w:rsidRPr="008624E3">
        <w:rPr>
          <w:rStyle w:val="afa"/>
          <w:rFonts w:hint="cs"/>
          <w:rtl/>
        </w:rPr>
        <w:t xml:space="preserve">כדכתבו </w:t>
      </w:r>
      <w:r w:rsidRPr="00A7705E">
        <w:rPr>
          <w:rStyle w:val="affa"/>
          <w:rFonts w:hint="cs"/>
          <w:rtl/>
        </w:rPr>
        <w:t>התוס' בע"ז</w:t>
      </w:r>
      <w:r w:rsidRPr="008624E3">
        <w:rPr>
          <w:rStyle w:val="afa"/>
          <w:rFonts w:hint="cs"/>
          <w:rtl/>
        </w:rPr>
        <w:t xml:space="preserve"> </w:t>
      </w:r>
      <w:r w:rsidRPr="00A7705E">
        <w:rPr>
          <w:rStyle w:val="aff6"/>
          <w:rFonts w:hint="cs"/>
          <w:rtl/>
        </w:rPr>
        <w:t xml:space="preserve">(עי' אות </w:t>
      </w:r>
      <w:r w:rsidRPr="00A7705E">
        <w:rPr>
          <w:rStyle w:val="aff6"/>
          <w:rtl/>
        </w:rPr>
        <w:fldChar w:fldCharType="begin"/>
      </w:r>
      <w:r w:rsidRPr="00A7705E">
        <w:rPr>
          <w:rStyle w:val="aff6"/>
          <w:rtl/>
        </w:rPr>
        <w:instrText xml:space="preserve"> </w:instrText>
      </w:r>
      <w:r w:rsidRPr="00A7705E">
        <w:rPr>
          <w:rStyle w:val="aff6"/>
          <w:rFonts w:hint="cs"/>
        </w:rPr>
        <w:instrText>REF</w:instrText>
      </w:r>
      <w:r w:rsidRPr="00A7705E">
        <w:rPr>
          <w:rStyle w:val="aff6"/>
          <w:rFonts w:hint="cs"/>
          <w:rtl/>
        </w:rPr>
        <w:instrText xml:space="preserve"> _</w:instrText>
      </w:r>
      <w:r w:rsidRPr="00A7705E">
        <w:rPr>
          <w:rStyle w:val="aff6"/>
          <w:rFonts w:hint="cs"/>
        </w:rPr>
        <w:instrText>Ref13649734 \r \h</w:instrText>
      </w:r>
      <w:r w:rsidRPr="00A7705E">
        <w:rPr>
          <w:rStyle w:val="aff6"/>
          <w:rtl/>
        </w:rPr>
        <w:instrText xml:space="preserve"> </w:instrText>
      </w:r>
      <w:r w:rsidRPr="00A7705E">
        <w:rPr>
          <w:rStyle w:val="aff6"/>
          <w:rtl/>
        </w:rPr>
      </w:r>
      <w:r w:rsidRPr="00A7705E">
        <w:rPr>
          <w:rStyle w:val="aff6"/>
          <w:rtl/>
        </w:rPr>
        <w:fldChar w:fldCharType="separate"/>
      </w:r>
      <w:r w:rsidR="004D1C5B">
        <w:rPr>
          <w:rStyle w:val="aff6"/>
          <w:cs/>
        </w:rPr>
        <w:t>‎</w:t>
      </w:r>
      <w:r w:rsidR="004D1C5B">
        <w:rPr>
          <w:rStyle w:val="aff6"/>
          <w:rtl/>
        </w:rPr>
        <w:t>נב)</w:t>
      </w:r>
      <w:r w:rsidRPr="00A7705E">
        <w:rPr>
          <w:rStyle w:val="aff6"/>
          <w:rtl/>
        </w:rPr>
        <w:fldChar w:fldCharType="end"/>
      </w:r>
      <w:r w:rsidRPr="008624E3">
        <w:rPr>
          <w:rStyle w:val="afa"/>
          <w:rFonts w:hint="cs"/>
          <w:rtl/>
        </w:rPr>
        <w:t xml:space="preserve"> </w:t>
      </w:r>
      <w:r>
        <w:rPr>
          <w:rStyle w:val="afa"/>
          <w:rFonts w:hint="cs"/>
          <w:rtl/>
        </w:rPr>
        <w:t>דחלב שבלוע בבשר הוא ממשו ולא רק טעמו</w:t>
      </w:r>
      <w:r w:rsidRPr="008624E3">
        <w:rPr>
          <w:rStyle w:val="afa"/>
          <w:rFonts w:hint="cs"/>
          <w:rtl/>
        </w:rPr>
        <w:t>].</w:t>
      </w:r>
      <w:bookmarkEnd w:id="6349"/>
    </w:p>
    <w:p w:rsidR="009A0058" w:rsidRPr="0077459F" w:rsidRDefault="009A0058" w:rsidP="009A0058">
      <w:pPr>
        <w:pStyle w:val="a2"/>
        <w:rPr>
          <w:rtl/>
        </w:rPr>
      </w:pPr>
      <w:bookmarkStart w:id="6350" w:name="_Toc13657860"/>
      <w:bookmarkStart w:id="6351" w:name="_Toc13664020"/>
      <w:bookmarkStart w:id="6352" w:name="_Toc13045649"/>
      <w:bookmarkStart w:id="6353" w:name="_Toc13134836"/>
      <w:bookmarkStart w:id="6354" w:name="_Toc13244696"/>
      <w:bookmarkStart w:id="6355" w:name="_Toc13396642"/>
      <w:bookmarkStart w:id="6356" w:name="_Toc13418690"/>
      <w:bookmarkStart w:id="6357" w:name="_Toc13516524"/>
      <w:bookmarkStart w:id="6358" w:name="_Toc13562613"/>
      <w:bookmarkStart w:id="6359" w:name="_Toc13568600"/>
      <w:bookmarkStart w:id="6360" w:name="_Toc13603207"/>
      <w:bookmarkStart w:id="6361" w:name="_Toc13603310"/>
      <w:r w:rsidRPr="0077459F">
        <w:rPr>
          <w:rFonts w:hint="cs"/>
          <w:rtl/>
        </w:rPr>
        <w:t>ביאור הרמב"ן והרשב"א ד</w:t>
      </w:r>
      <w:r>
        <w:rPr>
          <w:rFonts w:hint="cs"/>
          <w:rtl/>
        </w:rPr>
        <w:t>ה</w:t>
      </w:r>
      <w:r w:rsidRPr="0077459F">
        <w:rPr>
          <w:rFonts w:hint="cs"/>
          <w:rtl/>
        </w:rPr>
        <w:t xml:space="preserve">טעם כעיקר </w:t>
      </w:r>
      <w:r>
        <w:rPr>
          <w:rFonts w:hint="cs"/>
          <w:rtl/>
        </w:rPr>
        <w:t>כיון</w:t>
      </w:r>
      <w:r w:rsidRPr="0077459F">
        <w:rPr>
          <w:rFonts w:hint="cs"/>
          <w:rtl/>
        </w:rPr>
        <w:t xml:space="preserve"> ד</w:t>
      </w:r>
      <w:r>
        <w:rPr>
          <w:rFonts w:hint="cs"/>
          <w:rtl/>
        </w:rPr>
        <w:t xml:space="preserve">ע"י הטעם </w:t>
      </w:r>
      <w:r w:rsidRPr="0077459F">
        <w:rPr>
          <w:rFonts w:hint="cs"/>
          <w:rtl/>
        </w:rPr>
        <w:t>חשיב שנמחה ממשו של האיסור</w:t>
      </w:r>
      <w:bookmarkEnd w:id="6350"/>
      <w:bookmarkEnd w:id="6351"/>
      <w:r w:rsidRPr="0077459F">
        <w:rPr>
          <w:rFonts w:hint="cs"/>
          <w:rtl/>
        </w:rPr>
        <w:t xml:space="preserve"> </w:t>
      </w:r>
      <w:bookmarkEnd w:id="6352"/>
      <w:bookmarkEnd w:id="6353"/>
      <w:bookmarkEnd w:id="6354"/>
      <w:bookmarkEnd w:id="6355"/>
      <w:bookmarkEnd w:id="6356"/>
      <w:bookmarkEnd w:id="6357"/>
      <w:bookmarkEnd w:id="6358"/>
      <w:bookmarkEnd w:id="6359"/>
      <w:bookmarkEnd w:id="6360"/>
      <w:bookmarkEnd w:id="6361"/>
    </w:p>
    <w:p w:rsidR="009A0058" w:rsidRDefault="009A0058" w:rsidP="009F44AF">
      <w:pPr>
        <w:pStyle w:val="a"/>
        <w:rPr>
          <w:rtl/>
        </w:rPr>
      </w:pPr>
      <w:bookmarkStart w:id="6362" w:name="_Ref13214583"/>
      <w:bookmarkStart w:id="6363" w:name="_Ref13430522"/>
      <w:r>
        <w:rPr>
          <w:rFonts w:hint="cs"/>
          <w:rtl/>
        </w:rPr>
        <w:t>וביארו</w:t>
      </w:r>
      <w:r w:rsidRPr="0077459F">
        <w:rPr>
          <w:rFonts w:hint="cs"/>
          <w:rtl/>
        </w:rPr>
        <w:t xml:space="preserve"> </w:t>
      </w:r>
      <w:r w:rsidRPr="0077459F">
        <w:rPr>
          <w:rStyle w:val="af8"/>
          <w:rFonts w:hint="cs"/>
          <w:rtl/>
        </w:rPr>
        <w:t>הרמב"ן</w:t>
      </w:r>
      <w:r w:rsidRPr="0077459F">
        <w:rPr>
          <w:rFonts w:hint="cs"/>
          <w:rtl/>
        </w:rPr>
        <w:t xml:space="preserve"> </w:t>
      </w:r>
      <w:r w:rsidRPr="0077459F">
        <w:rPr>
          <w:rStyle w:val="af6"/>
          <w:rFonts w:eastAsia="Guttman Hodes" w:hint="cs"/>
          <w:rtl/>
        </w:rPr>
        <w:t>(ד"ה אלא)</w:t>
      </w:r>
      <w:r w:rsidRPr="0077459F">
        <w:rPr>
          <w:rFonts w:hint="cs"/>
          <w:rtl/>
        </w:rPr>
        <w:t xml:space="preserve"> </w:t>
      </w:r>
      <w:r w:rsidRPr="0077459F">
        <w:rPr>
          <w:rStyle w:val="af8"/>
          <w:rFonts w:hint="cs"/>
          <w:rtl/>
        </w:rPr>
        <w:t>והרשב"א בחי'</w:t>
      </w:r>
      <w:r w:rsidRPr="0077459F">
        <w:rPr>
          <w:rFonts w:hint="cs"/>
          <w:rtl/>
        </w:rPr>
        <w:t xml:space="preserve"> </w:t>
      </w:r>
      <w:r w:rsidRPr="0077459F">
        <w:rPr>
          <w:rStyle w:val="af6"/>
          <w:rFonts w:eastAsia="Guttman Hodes" w:hint="cs"/>
          <w:rtl/>
        </w:rPr>
        <w:t xml:space="preserve">(ד"ה ופי' טעם) </w:t>
      </w:r>
      <w:r w:rsidRPr="0077459F">
        <w:rPr>
          <w:rStyle w:val="af8"/>
          <w:rFonts w:hint="cs"/>
          <w:rtl/>
        </w:rPr>
        <w:t>ובתוה"ב</w:t>
      </w:r>
      <w:r w:rsidRPr="0077459F">
        <w:rPr>
          <w:rFonts w:hint="cs"/>
          <w:rtl/>
        </w:rPr>
        <w:t xml:space="preserve"> </w:t>
      </w:r>
      <w:r w:rsidRPr="0077459F">
        <w:rPr>
          <w:rStyle w:val="af6"/>
          <w:rFonts w:eastAsia="Guttman Hodes" w:hint="cs"/>
          <w:rtl/>
        </w:rPr>
        <w:t xml:space="preserve">(ב"ד ש"א י. מדה"ס) </w:t>
      </w:r>
      <w:r w:rsidRPr="0077459F">
        <w:rPr>
          <w:rFonts w:hint="cs"/>
          <w:rtl/>
        </w:rPr>
        <w:t xml:space="preserve">דהא </w:t>
      </w:r>
      <w:r>
        <w:rPr>
          <w:rFonts w:hint="cs"/>
          <w:rtl/>
        </w:rPr>
        <w:t xml:space="preserve">דטעם חשיב כעיקר, </w:t>
      </w:r>
      <w:r w:rsidRPr="006542F8">
        <w:rPr>
          <w:rStyle w:val="afa"/>
          <w:rFonts w:hint="cs"/>
          <w:rtl/>
        </w:rPr>
        <w:t>[בקדשים</w:t>
      </w:r>
      <w:r>
        <w:rPr>
          <w:rStyle w:val="afa"/>
          <w:rFonts w:hint="cs"/>
          <w:rtl/>
        </w:rPr>
        <w:t xml:space="preserve"> ובנזיר</w:t>
      </w:r>
      <w:r w:rsidRPr="006542F8">
        <w:rPr>
          <w:rStyle w:val="afa"/>
          <w:rFonts w:hint="cs"/>
          <w:rtl/>
        </w:rPr>
        <w:t xml:space="preserve"> מדאו' ובחולין מדרבנן],</w:t>
      </w:r>
      <w:r w:rsidRPr="0077459F">
        <w:rPr>
          <w:rFonts w:hint="cs"/>
          <w:rtl/>
        </w:rPr>
        <w:t xml:space="preserve"> הוא כיון דבמקום שהאיסור נתן טעם גדול בהיתר, חשיב כאילו נמחה ממשו של האיסור כזית בתוך ההיתר, ולכן </w:t>
      </w:r>
      <w:r>
        <w:rPr>
          <w:rFonts w:hint="cs"/>
          <w:rtl/>
        </w:rPr>
        <w:t xml:space="preserve">בקדשים </w:t>
      </w:r>
      <w:r w:rsidRPr="0077459F">
        <w:rPr>
          <w:rFonts w:hint="cs"/>
          <w:rtl/>
        </w:rPr>
        <w:t xml:space="preserve">לוקין עליו, וה"ה בנזיר שאם הענבים נתנו טעם גדול של יין במים, חשיב שנתערב במים רביעית יין, ואם שתה הנזיר בתוך השיעור </w:t>
      </w:r>
      <w:r w:rsidRPr="0077459F">
        <w:rPr>
          <w:rStyle w:val="afa"/>
          <w:rFonts w:hint="cs"/>
          <w:rtl/>
        </w:rPr>
        <w:t>[כדי אכילת פרס]</w:t>
      </w:r>
      <w:r w:rsidRPr="0077459F">
        <w:rPr>
          <w:rFonts w:hint="cs"/>
          <w:rtl/>
        </w:rPr>
        <w:t xml:space="preserve">, לוקה עליו, אעפ"י שהטעם הוא לא מגוף הענבים, דהא הענבים נשארו לפנינו כמו שהיו לפני ששרה אותם במים, והוסיף </w:t>
      </w:r>
      <w:r w:rsidRPr="0077459F">
        <w:rPr>
          <w:rStyle w:val="af8"/>
          <w:rFonts w:hint="cs"/>
          <w:rtl/>
        </w:rPr>
        <w:t>הרשב"א בחי'</w:t>
      </w:r>
      <w:r w:rsidRPr="0077459F">
        <w:rPr>
          <w:rFonts w:hint="cs"/>
          <w:rtl/>
        </w:rPr>
        <w:t xml:space="preserve"> דכן ביאר </w:t>
      </w:r>
      <w:r w:rsidRPr="0077459F">
        <w:rPr>
          <w:rStyle w:val="af8"/>
          <w:rFonts w:hint="cs"/>
          <w:rtl/>
        </w:rPr>
        <w:t>רש"י</w:t>
      </w:r>
      <w:r w:rsidRPr="0077459F">
        <w:rPr>
          <w:rFonts w:hint="cs"/>
          <w:rtl/>
        </w:rPr>
        <w:t xml:space="preserve"> </w:t>
      </w:r>
      <w:r w:rsidRPr="0077459F">
        <w:rPr>
          <w:rStyle w:val="af6"/>
          <w:rFonts w:eastAsia="Guttman Hodes" w:hint="cs"/>
          <w:rtl/>
        </w:rPr>
        <w:t xml:space="preserve">(עי' אות </w:t>
      </w:r>
      <w:r w:rsidRPr="0077459F">
        <w:rPr>
          <w:rStyle w:val="af6"/>
          <w:rFonts w:eastAsia="Guttman Hodes"/>
          <w:rtl/>
        </w:rPr>
        <w:fldChar w:fldCharType="begin"/>
      </w:r>
      <w:r w:rsidRPr="0077459F">
        <w:rPr>
          <w:rStyle w:val="af6"/>
          <w:rFonts w:eastAsia="Guttman Hodes"/>
          <w:rtl/>
        </w:rPr>
        <w:instrText xml:space="preserve"> </w:instrText>
      </w:r>
      <w:r w:rsidRPr="0077459F">
        <w:rPr>
          <w:rStyle w:val="af6"/>
          <w:rFonts w:eastAsia="Guttman Hodes" w:hint="cs"/>
        </w:rPr>
        <w:instrText>REF</w:instrText>
      </w:r>
      <w:r w:rsidRPr="0077459F">
        <w:rPr>
          <w:rStyle w:val="af6"/>
          <w:rFonts w:eastAsia="Guttman Hodes" w:hint="cs"/>
          <w:rtl/>
        </w:rPr>
        <w:instrText xml:space="preserve"> _</w:instrText>
      </w:r>
      <w:r w:rsidRPr="0077459F">
        <w:rPr>
          <w:rStyle w:val="af6"/>
          <w:rFonts w:eastAsia="Guttman Hodes" w:hint="cs"/>
        </w:rPr>
        <w:instrText>Ref12390306 \n \h</w:instrText>
      </w:r>
      <w:r w:rsidRPr="0077459F">
        <w:rPr>
          <w:rStyle w:val="af6"/>
          <w:rFonts w:eastAsia="Guttman Hodes"/>
          <w:rtl/>
        </w:rPr>
        <w:instrText xml:space="preserve">  \* </w:instrText>
      </w:r>
      <w:r w:rsidRPr="0077459F">
        <w:rPr>
          <w:rStyle w:val="af6"/>
          <w:rFonts w:eastAsia="Guttman Hodes"/>
        </w:rPr>
        <w:instrText>MERGEFORMAT</w:instrText>
      </w:r>
      <w:r w:rsidRPr="0077459F">
        <w:rPr>
          <w:rStyle w:val="af6"/>
          <w:rFonts w:eastAsia="Guttman Hodes"/>
          <w:rtl/>
        </w:rPr>
        <w:instrText xml:space="preserve"> </w:instrText>
      </w:r>
      <w:r w:rsidRPr="0077459F">
        <w:rPr>
          <w:rStyle w:val="af6"/>
          <w:rFonts w:eastAsia="Guttman Hodes"/>
          <w:rtl/>
        </w:rPr>
      </w:r>
      <w:r w:rsidRPr="0077459F">
        <w:rPr>
          <w:rStyle w:val="af6"/>
          <w:rFonts w:eastAsia="Guttman Hodes"/>
          <w:rtl/>
        </w:rPr>
        <w:fldChar w:fldCharType="separate"/>
      </w:r>
      <w:r w:rsidR="004D1C5B" w:rsidRPr="004D1C5B">
        <w:rPr>
          <w:rStyle w:val="af6"/>
          <w:rFonts w:eastAsia="Guttman Hodes"/>
          <w:b/>
          <w:bCs/>
          <w:cs/>
        </w:rPr>
        <w:t>‎</w:t>
      </w:r>
      <w:r w:rsidR="004D1C5B" w:rsidRPr="004D1C5B">
        <w:rPr>
          <w:rStyle w:val="af6"/>
          <w:rFonts w:eastAsia="Guttman Hodes"/>
          <w:b/>
          <w:bCs/>
          <w:rtl/>
        </w:rPr>
        <w:t>א)</w:t>
      </w:r>
      <w:r w:rsidRPr="0077459F">
        <w:rPr>
          <w:rStyle w:val="af6"/>
          <w:rFonts w:eastAsia="Guttman Hodes"/>
          <w:rtl/>
        </w:rPr>
        <w:fldChar w:fldCharType="end"/>
      </w:r>
      <w:r w:rsidRPr="0077459F">
        <w:rPr>
          <w:rFonts w:hint="cs"/>
          <w:rtl/>
        </w:rPr>
        <w:t xml:space="preserve"> את דין טעמו ולא ממשו שהוזכר בש"ס</w:t>
      </w:r>
      <w:bookmarkEnd w:id="6362"/>
      <w:bookmarkEnd w:id="6363"/>
      <w:r>
        <w:rPr>
          <w:rFonts w:hint="cs"/>
          <w:rtl/>
        </w:rPr>
        <w:t>.</w:t>
      </w:r>
    </w:p>
    <w:p w:rsidR="009A0058" w:rsidRPr="00F03EB4" w:rsidRDefault="007E784B" w:rsidP="007E784B">
      <w:pPr>
        <w:pStyle w:val="a2"/>
      </w:pPr>
      <w:bookmarkStart w:id="6364" w:name="_Toc13657861"/>
      <w:bookmarkStart w:id="6365" w:name="_Toc13664021"/>
      <w:r>
        <w:rPr>
          <w:rFonts w:hint="cs"/>
          <w:rtl/>
        </w:rPr>
        <w:t xml:space="preserve">דברי רבינו יונה </w:t>
      </w:r>
      <w:r w:rsidR="009A0058">
        <w:rPr>
          <w:rFonts w:hint="cs"/>
          <w:rtl/>
        </w:rPr>
        <w:t>דבשרה ענבים במים יש ממשות ולא רק טעם</w:t>
      </w:r>
      <w:bookmarkEnd w:id="6364"/>
      <w:bookmarkEnd w:id="6365"/>
      <w:r>
        <w:rPr>
          <w:rFonts w:hint="cs"/>
          <w:rtl/>
        </w:rPr>
        <w:t xml:space="preserve"> ודברי היד יהודה דהחוש מוכיח כן</w:t>
      </w:r>
    </w:p>
    <w:p w:rsidR="00BF6BED" w:rsidRDefault="00BF6BED" w:rsidP="009F44AF">
      <w:pPr>
        <w:pStyle w:val="a"/>
      </w:pPr>
      <w:bookmarkStart w:id="6366" w:name="_Toc13657862"/>
      <w:bookmarkStart w:id="6367" w:name="_Toc13664022"/>
      <w:bookmarkStart w:id="6368" w:name="_Ref13412403"/>
      <w:r>
        <w:rPr>
          <w:rFonts w:hint="cs"/>
          <w:rtl/>
        </w:rPr>
        <w:t xml:space="preserve">ועי' במה שתמה </w:t>
      </w:r>
      <w:r w:rsidRPr="00013AD7">
        <w:rPr>
          <w:rStyle w:val="af8"/>
          <w:rFonts w:hint="cs"/>
          <w:rtl/>
        </w:rPr>
        <w:t>היד יהודה</w:t>
      </w:r>
      <w:r>
        <w:rPr>
          <w:rFonts w:hint="cs"/>
          <w:rtl/>
        </w:rPr>
        <w:t xml:space="preserve"> </w:t>
      </w:r>
      <w:r w:rsidRPr="00D96D90">
        <w:rPr>
          <w:rStyle w:val="af6"/>
          <w:rFonts w:eastAsia="Guttman Hodes" w:hint="cs"/>
          <w:rtl/>
        </w:rPr>
        <w:t>(סי' צ"ח סק"ו ד"ה והנה אדרבה בתו"ד)</w:t>
      </w:r>
      <w:r>
        <w:rPr>
          <w:rFonts w:hint="cs"/>
          <w:rtl/>
        </w:rPr>
        <w:t xml:space="preserve"> דבשרה ענבים במים החוש מוכיח דיש ממשות של הענבים במים, דהמים נכנסים לתוך הענבים, ומהענבים יוצא ממשות לתוך המים, וכן מבואר להדיא בדברי תלמידי </w:t>
      </w:r>
      <w:r>
        <w:rPr>
          <w:rtl/>
        </w:rPr>
        <w:t xml:space="preserve">רבינו יונה בע"ז </w:t>
      </w:r>
      <w:r w:rsidRPr="00BF6BED">
        <w:rPr>
          <w:rStyle w:val="af6"/>
          <w:rFonts w:eastAsia="Guttman Hodes"/>
          <w:rtl/>
        </w:rPr>
        <w:t>(ס. ד"ה ומאי דאמרינן בתו"ד</w:t>
      </w:r>
      <w:r w:rsidRPr="00BF6BED">
        <w:rPr>
          <w:rStyle w:val="af6"/>
          <w:rFonts w:eastAsia="Guttman Hodes" w:hint="cs"/>
          <w:rtl/>
        </w:rPr>
        <w:t>, הועתק בקובץ שיטות קמאי ע"ז ח"ב עמ' אלף תרכ"ו</w:t>
      </w:r>
      <w:r w:rsidRPr="00BF6BED">
        <w:rPr>
          <w:rStyle w:val="af6"/>
          <w:rFonts w:eastAsia="Guttman Hodes"/>
          <w:rtl/>
        </w:rPr>
        <w:t>)</w:t>
      </w:r>
      <w:r>
        <w:rPr>
          <w:rtl/>
        </w:rPr>
        <w:t xml:space="preserve"> </w:t>
      </w:r>
      <w:r>
        <w:rPr>
          <w:rFonts w:hint="cs"/>
          <w:rtl/>
        </w:rPr>
        <w:t xml:space="preserve">דכתבו </w:t>
      </w:r>
      <w:r>
        <w:rPr>
          <w:rtl/>
        </w:rPr>
        <w:t>דבמשרת חשיב שמעורב ממשו של האיסור.</w:t>
      </w:r>
    </w:p>
    <w:p w:rsidR="009A0058" w:rsidRDefault="009A0058" w:rsidP="00D96D90">
      <w:pPr>
        <w:pStyle w:val="a2"/>
      </w:pPr>
      <w:r>
        <w:rPr>
          <w:rFonts w:hint="cs"/>
          <w:rtl/>
        </w:rPr>
        <w:t>דברי הב"י דאין כוונת הרשב"א לומר דלרש"י חלב הבלוע בבשר הוי ממשו</w:t>
      </w:r>
      <w:bookmarkEnd w:id="6366"/>
      <w:bookmarkEnd w:id="6367"/>
    </w:p>
    <w:p w:rsidR="009A0058" w:rsidRPr="007E0C12" w:rsidRDefault="009A0058" w:rsidP="009F44AF">
      <w:pPr>
        <w:pStyle w:val="a"/>
        <w:rPr>
          <w:rtl/>
        </w:rPr>
      </w:pPr>
      <w:bookmarkStart w:id="6369" w:name="_Ref13687749"/>
      <w:r>
        <w:rPr>
          <w:rFonts w:hint="cs"/>
          <w:rtl/>
        </w:rPr>
        <w:t xml:space="preserve">כתב </w:t>
      </w:r>
      <w:r w:rsidRPr="004A02C7">
        <w:rPr>
          <w:rStyle w:val="af8"/>
          <w:rFonts w:hint="cs"/>
          <w:rtl/>
        </w:rPr>
        <w:t>הב"י</w:t>
      </w:r>
      <w:r w:rsidRPr="00AC0DAE">
        <w:rPr>
          <w:rFonts w:hint="cs"/>
          <w:rtl/>
        </w:rPr>
        <w:t xml:space="preserve"> </w:t>
      </w:r>
      <w:r w:rsidRPr="004A02C7">
        <w:rPr>
          <w:rStyle w:val="af6"/>
          <w:rFonts w:eastAsia="Guttman Hodes"/>
          <w:rtl/>
        </w:rPr>
        <w:t>(סי' צ"ח ב' ד"ה</w:t>
      </w:r>
      <w:r w:rsidRPr="004A02C7">
        <w:rPr>
          <w:rStyle w:val="af6"/>
          <w:rFonts w:eastAsia="Guttman Hodes" w:hint="cs"/>
          <w:rtl/>
        </w:rPr>
        <w:t xml:space="preserve"> ומ"ש הרשב"א)</w:t>
      </w:r>
      <w:r w:rsidRPr="00AC0DAE">
        <w:rPr>
          <w:rFonts w:hint="cs"/>
          <w:rtl/>
        </w:rPr>
        <w:t xml:space="preserve"> </w:t>
      </w:r>
      <w:r>
        <w:rPr>
          <w:rFonts w:hint="cs"/>
          <w:rtl/>
        </w:rPr>
        <w:t>דמ"ש</w:t>
      </w:r>
      <w:r w:rsidRPr="00AC0DAE">
        <w:rPr>
          <w:rFonts w:hint="cs"/>
          <w:rtl/>
        </w:rPr>
        <w:t xml:space="preserve"> </w:t>
      </w:r>
      <w:r w:rsidRPr="004A02C7">
        <w:rPr>
          <w:rStyle w:val="af8"/>
          <w:rFonts w:hint="cs"/>
          <w:rtl/>
        </w:rPr>
        <w:t>הרשב"א</w:t>
      </w:r>
      <w:r w:rsidRPr="00AC0DAE">
        <w:rPr>
          <w:rFonts w:hint="cs"/>
          <w:rtl/>
        </w:rPr>
        <w:t xml:space="preserve"> </w:t>
      </w:r>
      <w:r w:rsidRPr="004A02C7">
        <w:rPr>
          <w:rStyle w:val="af6"/>
          <w:rFonts w:eastAsia="Guttman Hodes" w:hint="cs"/>
          <w:rtl/>
        </w:rPr>
        <w:t xml:space="preserve">(עי' אות </w:t>
      </w:r>
      <w:r w:rsidRPr="004A02C7">
        <w:rPr>
          <w:rStyle w:val="af6"/>
          <w:rFonts w:eastAsia="Guttman Hodes"/>
          <w:rtl/>
        </w:rPr>
        <w:fldChar w:fldCharType="begin"/>
      </w:r>
      <w:r w:rsidRPr="004A02C7">
        <w:rPr>
          <w:rStyle w:val="af6"/>
          <w:rFonts w:eastAsia="Guttman Hodes"/>
          <w:rtl/>
        </w:rPr>
        <w:instrText xml:space="preserve"> </w:instrText>
      </w:r>
      <w:r w:rsidRPr="004A02C7">
        <w:rPr>
          <w:rStyle w:val="af6"/>
          <w:rFonts w:eastAsia="Guttman Hodes" w:hint="cs"/>
        </w:rPr>
        <w:instrText>REF</w:instrText>
      </w:r>
      <w:r w:rsidRPr="004A02C7">
        <w:rPr>
          <w:rStyle w:val="af6"/>
          <w:rFonts w:eastAsia="Guttman Hodes" w:hint="cs"/>
          <w:rtl/>
        </w:rPr>
        <w:instrText xml:space="preserve"> _</w:instrText>
      </w:r>
      <w:r w:rsidRPr="004A02C7">
        <w:rPr>
          <w:rStyle w:val="af6"/>
          <w:rFonts w:eastAsia="Guttman Hodes" w:hint="cs"/>
        </w:rPr>
        <w:instrText>Ref13430522 \r \h</w:instrText>
      </w:r>
      <w:r w:rsidRPr="004A02C7">
        <w:rPr>
          <w:rStyle w:val="af6"/>
          <w:rFonts w:eastAsia="Guttman Hodes"/>
          <w:rtl/>
        </w:rPr>
        <w:instrText xml:space="preserve">  \* </w:instrText>
      </w:r>
      <w:r w:rsidRPr="004A02C7">
        <w:rPr>
          <w:rStyle w:val="af6"/>
          <w:rFonts w:eastAsia="Guttman Hodes"/>
        </w:rPr>
        <w:instrText>MERGEFORMAT</w:instrText>
      </w:r>
      <w:r w:rsidRPr="004A02C7">
        <w:rPr>
          <w:rStyle w:val="af6"/>
          <w:rFonts w:eastAsia="Guttman Hodes"/>
          <w:rtl/>
        </w:rPr>
        <w:instrText xml:space="preserve"> </w:instrText>
      </w:r>
      <w:r w:rsidRPr="004A02C7">
        <w:rPr>
          <w:rStyle w:val="af6"/>
          <w:rFonts w:eastAsia="Guttman Hodes"/>
          <w:rtl/>
        </w:rPr>
      </w:r>
      <w:r w:rsidRPr="004A02C7">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4A02C7">
        <w:rPr>
          <w:rStyle w:val="af6"/>
          <w:rFonts w:eastAsia="Guttman Hodes"/>
          <w:rtl/>
        </w:rPr>
        <w:fldChar w:fldCharType="end"/>
      </w:r>
      <w:r w:rsidRPr="00AC0DAE">
        <w:rPr>
          <w:rFonts w:hint="cs"/>
          <w:rtl/>
        </w:rPr>
        <w:t xml:space="preserve"> דכן פירש </w:t>
      </w:r>
      <w:r w:rsidRPr="004A02C7">
        <w:rPr>
          <w:rStyle w:val="af8"/>
          <w:rFonts w:hint="cs"/>
          <w:rtl/>
        </w:rPr>
        <w:t>רש"י</w:t>
      </w:r>
      <w:r w:rsidRPr="00AC0DAE">
        <w:rPr>
          <w:rFonts w:hint="cs"/>
          <w:rtl/>
        </w:rPr>
        <w:t xml:space="preserve"> </w:t>
      </w:r>
      <w:r>
        <w:rPr>
          <w:rFonts w:hint="cs"/>
          <w:rtl/>
        </w:rPr>
        <w:t xml:space="preserve">בטעמו ולא ממשו, כוונתו לביאור </w:t>
      </w:r>
      <w:r w:rsidRPr="004A02C7">
        <w:rPr>
          <w:rStyle w:val="af8"/>
          <w:rFonts w:hint="cs"/>
          <w:rtl/>
        </w:rPr>
        <w:t>הרשב"א</w:t>
      </w:r>
      <w:r w:rsidRPr="00AC0DAE">
        <w:rPr>
          <w:rFonts w:hint="cs"/>
          <w:rtl/>
        </w:rPr>
        <w:t xml:space="preserve"> </w:t>
      </w:r>
      <w:r w:rsidRPr="004A02C7">
        <w:rPr>
          <w:rStyle w:val="af6"/>
          <w:rFonts w:eastAsia="Guttman Hodes" w:hint="cs"/>
          <w:rtl/>
        </w:rPr>
        <w:t xml:space="preserve">(עי' אות </w:t>
      </w:r>
      <w:r w:rsidRPr="004A02C7">
        <w:rPr>
          <w:rStyle w:val="af6"/>
          <w:rFonts w:eastAsia="Guttman Hodes"/>
          <w:rtl/>
        </w:rPr>
        <w:fldChar w:fldCharType="begin"/>
      </w:r>
      <w:r w:rsidRPr="004A02C7">
        <w:rPr>
          <w:rStyle w:val="af6"/>
          <w:rFonts w:eastAsia="Guttman Hodes"/>
          <w:rtl/>
        </w:rPr>
        <w:instrText xml:space="preserve"> </w:instrText>
      </w:r>
      <w:r w:rsidRPr="004A02C7">
        <w:rPr>
          <w:rStyle w:val="af6"/>
          <w:rFonts w:eastAsia="Guttman Hodes" w:hint="cs"/>
        </w:rPr>
        <w:instrText>REF</w:instrText>
      </w:r>
      <w:r w:rsidRPr="004A02C7">
        <w:rPr>
          <w:rStyle w:val="af6"/>
          <w:rFonts w:eastAsia="Guttman Hodes" w:hint="cs"/>
          <w:rtl/>
        </w:rPr>
        <w:instrText xml:space="preserve"> _</w:instrText>
      </w:r>
      <w:r w:rsidRPr="004A02C7">
        <w:rPr>
          <w:rStyle w:val="af6"/>
          <w:rFonts w:eastAsia="Guttman Hodes" w:hint="cs"/>
        </w:rPr>
        <w:instrText>Ref13652675 \r \h</w:instrText>
      </w:r>
      <w:r w:rsidRPr="004A02C7">
        <w:rPr>
          <w:rStyle w:val="af6"/>
          <w:rFonts w:eastAsia="Guttman Hodes"/>
          <w:rtl/>
        </w:rPr>
        <w:instrText xml:space="preserve"> </w:instrText>
      </w:r>
      <w:r w:rsidRPr="004A02C7">
        <w:rPr>
          <w:rStyle w:val="af6"/>
          <w:rFonts w:eastAsia="Guttman Hodes"/>
          <w:rtl/>
        </w:rPr>
      </w:r>
      <w:r w:rsidRPr="004A02C7">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4A02C7">
        <w:rPr>
          <w:rStyle w:val="af6"/>
          <w:rFonts w:eastAsia="Guttman Hodes"/>
          <w:rtl/>
        </w:rPr>
        <w:fldChar w:fldCharType="end"/>
      </w:r>
      <w:r w:rsidRPr="00AC0DAE">
        <w:rPr>
          <w:rFonts w:hint="cs"/>
          <w:rtl/>
        </w:rPr>
        <w:t xml:space="preserve"> בתחילת דבריו בדין טעמו ולא ממשו, </w:t>
      </w:r>
      <w:r>
        <w:rPr>
          <w:rFonts w:hint="cs"/>
          <w:rtl/>
        </w:rPr>
        <w:t xml:space="preserve">אך אין כוונת </w:t>
      </w:r>
      <w:r w:rsidRPr="004A02C7">
        <w:rPr>
          <w:rStyle w:val="af8"/>
          <w:rFonts w:hint="cs"/>
          <w:rtl/>
        </w:rPr>
        <w:t>הרשב"א</w:t>
      </w:r>
      <w:r>
        <w:rPr>
          <w:rFonts w:hint="cs"/>
          <w:rtl/>
        </w:rPr>
        <w:t xml:space="preserve"> לומר </w:t>
      </w:r>
      <w:r w:rsidRPr="004A02C7">
        <w:rPr>
          <w:rStyle w:val="af8"/>
          <w:rFonts w:hint="cs"/>
          <w:rtl/>
        </w:rPr>
        <w:t>דרש"י</w:t>
      </w:r>
      <w:r>
        <w:rPr>
          <w:rFonts w:hint="cs"/>
          <w:rtl/>
        </w:rPr>
        <w:t xml:space="preserve"> ס"ל כדביאר</w:t>
      </w:r>
      <w:r w:rsidRPr="00AC0DAE">
        <w:rPr>
          <w:rFonts w:hint="cs"/>
          <w:rtl/>
        </w:rPr>
        <w:t xml:space="preserve"> </w:t>
      </w:r>
      <w:r w:rsidRPr="004A02C7">
        <w:rPr>
          <w:rStyle w:val="af8"/>
          <w:rFonts w:hint="cs"/>
          <w:rtl/>
        </w:rPr>
        <w:t>הרשב"א</w:t>
      </w:r>
      <w:r w:rsidRPr="00AC0DAE">
        <w:rPr>
          <w:rFonts w:hint="cs"/>
          <w:rtl/>
        </w:rPr>
        <w:t xml:space="preserve"> </w:t>
      </w:r>
      <w:r w:rsidRPr="004A02C7">
        <w:rPr>
          <w:rStyle w:val="af6"/>
          <w:rFonts w:eastAsia="Guttman Hodes" w:hint="cs"/>
          <w:rtl/>
        </w:rPr>
        <w:t xml:space="preserve">(עי' אות </w:t>
      </w:r>
      <w:r w:rsidRPr="004A02C7">
        <w:rPr>
          <w:rStyle w:val="af6"/>
          <w:rFonts w:eastAsia="Guttman Hodes"/>
          <w:rtl/>
        </w:rPr>
        <w:fldChar w:fldCharType="begin"/>
      </w:r>
      <w:r w:rsidRPr="004A02C7">
        <w:rPr>
          <w:rStyle w:val="af6"/>
          <w:rFonts w:eastAsia="Guttman Hodes"/>
          <w:rtl/>
        </w:rPr>
        <w:instrText xml:space="preserve"> </w:instrText>
      </w:r>
      <w:r w:rsidRPr="004A02C7">
        <w:rPr>
          <w:rStyle w:val="af6"/>
          <w:rFonts w:eastAsia="Guttman Hodes" w:hint="cs"/>
        </w:rPr>
        <w:instrText>REF</w:instrText>
      </w:r>
      <w:r w:rsidRPr="004A02C7">
        <w:rPr>
          <w:rStyle w:val="af6"/>
          <w:rFonts w:eastAsia="Guttman Hodes" w:hint="cs"/>
          <w:rtl/>
        </w:rPr>
        <w:instrText xml:space="preserve"> _</w:instrText>
      </w:r>
      <w:r w:rsidRPr="004A02C7">
        <w:rPr>
          <w:rStyle w:val="af6"/>
          <w:rFonts w:eastAsia="Guttman Hodes" w:hint="cs"/>
        </w:rPr>
        <w:instrText>Ref13652683 \r \h</w:instrText>
      </w:r>
      <w:r w:rsidRPr="004A02C7">
        <w:rPr>
          <w:rStyle w:val="af6"/>
          <w:rFonts w:eastAsia="Guttman Hodes"/>
          <w:rtl/>
        </w:rPr>
        <w:instrText xml:space="preserve"> </w:instrText>
      </w:r>
      <w:r w:rsidRPr="004A02C7">
        <w:rPr>
          <w:rStyle w:val="af6"/>
          <w:rFonts w:eastAsia="Guttman Hodes"/>
          <w:rtl/>
        </w:rPr>
      </w:r>
      <w:r w:rsidRPr="004A02C7">
        <w:rPr>
          <w:rStyle w:val="af6"/>
          <w:rFonts w:eastAsia="Guttman Hodes"/>
          <w:rtl/>
        </w:rPr>
        <w:fldChar w:fldCharType="separate"/>
      </w:r>
      <w:r w:rsidR="004D1C5B">
        <w:rPr>
          <w:rStyle w:val="af6"/>
          <w:rFonts w:eastAsia="Guttman Hodes"/>
          <w:cs/>
        </w:rPr>
        <w:t>‎</w:t>
      </w:r>
      <w:r w:rsidR="004D1C5B">
        <w:rPr>
          <w:rStyle w:val="af6"/>
          <w:rFonts w:eastAsia="Guttman Hodes"/>
          <w:rtl/>
        </w:rPr>
        <w:t>פא)</w:t>
      </w:r>
      <w:r w:rsidRPr="004A02C7">
        <w:rPr>
          <w:rStyle w:val="af6"/>
          <w:rFonts w:eastAsia="Guttman Hodes"/>
          <w:rtl/>
        </w:rPr>
        <w:fldChar w:fldCharType="end"/>
      </w:r>
      <w:r w:rsidRPr="00AC0DAE">
        <w:rPr>
          <w:rFonts w:hint="cs"/>
          <w:rtl/>
        </w:rPr>
        <w:t xml:space="preserve"> בשם </w:t>
      </w:r>
      <w:r w:rsidRPr="004A02C7">
        <w:rPr>
          <w:rStyle w:val="af8"/>
          <w:rFonts w:hint="cs"/>
          <w:rtl/>
        </w:rPr>
        <w:t>התוס'</w:t>
      </w:r>
      <w:r w:rsidRPr="00AC0DAE">
        <w:rPr>
          <w:rFonts w:hint="cs"/>
          <w:rtl/>
        </w:rPr>
        <w:t xml:space="preserve"> דחלב בבשר הוא טעמו </w:t>
      </w:r>
      <w:r w:rsidRPr="00AC0DAE">
        <w:rPr>
          <w:rFonts w:hint="cs"/>
          <w:rtl/>
        </w:rPr>
        <w:t xml:space="preserve">וממשו, דהרי </w:t>
      </w:r>
      <w:r>
        <w:rPr>
          <w:rFonts w:hint="cs"/>
          <w:rtl/>
        </w:rPr>
        <w:t xml:space="preserve">ס"ל </w:t>
      </w:r>
      <w:r w:rsidRPr="004A02C7">
        <w:rPr>
          <w:rStyle w:val="af8"/>
          <w:rFonts w:hint="cs"/>
          <w:rtl/>
        </w:rPr>
        <w:t>לרש"י</w:t>
      </w:r>
      <w:r>
        <w:rPr>
          <w:rFonts w:hint="cs"/>
          <w:rtl/>
        </w:rPr>
        <w:t xml:space="preserve"> דחלב הבלוע בבשר הוא טעמו ולא ממשו, וכדכתב </w:t>
      </w:r>
      <w:r w:rsidRPr="004A02C7">
        <w:rPr>
          <w:rStyle w:val="af8"/>
          <w:rFonts w:hint="cs"/>
          <w:rtl/>
        </w:rPr>
        <w:t>רש"י בפסחים</w:t>
      </w:r>
      <w:r w:rsidRPr="00AC0DAE">
        <w:rPr>
          <w:rFonts w:hint="cs"/>
          <w:rtl/>
        </w:rPr>
        <w:t xml:space="preserve"> </w:t>
      </w:r>
      <w:r w:rsidRPr="004A02C7">
        <w:rPr>
          <w:rStyle w:val="af6"/>
          <w:rFonts w:eastAsia="Guttman Hodes" w:hint="cs"/>
          <w:rtl/>
        </w:rPr>
        <w:t xml:space="preserve">(עי' אות </w:t>
      </w:r>
      <w:r w:rsidRPr="004A02C7">
        <w:rPr>
          <w:rStyle w:val="af6"/>
          <w:rFonts w:eastAsia="Guttman Hodes"/>
          <w:rtl/>
        </w:rPr>
        <w:fldChar w:fldCharType="begin"/>
      </w:r>
      <w:r w:rsidRPr="004A02C7">
        <w:rPr>
          <w:rStyle w:val="af6"/>
          <w:rFonts w:eastAsia="Guttman Hodes"/>
          <w:rtl/>
        </w:rPr>
        <w:instrText xml:space="preserve"> </w:instrText>
      </w:r>
      <w:r w:rsidRPr="004A02C7">
        <w:rPr>
          <w:rStyle w:val="af6"/>
          <w:rFonts w:eastAsia="Guttman Hodes" w:hint="cs"/>
        </w:rPr>
        <w:instrText>REF</w:instrText>
      </w:r>
      <w:r w:rsidRPr="004A02C7">
        <w:rPr>
          <w:rStyle w:val="af6"/>
          <w:rFonts w:eastAsia="Guttman Hodes" w:hint="cs"/>
          <w:rtl/>
        </w:rPr>
        <w:instrText xml:space="preserve"> _</w:instrText>
      </w:r>
      <w:r w:rsidRPr="004A02C7">
        <w:rPr>
          <w:rStyle w:val="af6"/>
          <w:rFonts w:eastAsia="Guttman Hodes" w:hint="cs"/>
        </w:rPr>
        <w:instrText>Ref13412357 \r \h</w:instrText>
      </w:r>
      <w:r w:rsidRPr="004A02C7">
        <w:rPr>
          <w:rStyle w:val="af6"/>
          <w:rFonts w:eastAsia="Guttman Hodes"/>
          <w:rtl/>
        </w:rPr>
        <w:instrText xml:space="preserve">  \* </w:instrText>
      </w:r>
      <w:r w:rsidRPr="004A02C7">
        <w:rPr>
          <w:rStyle w:val="af6"/>
          <w:rFonts w:eastAsia="Guttman Hodes"/>
        </w:rPr>
        <w:instrText>MERGEFORMAT</w:instrText>
      </w:r>
      <w:r w:rsidRPr="004A02C7">
        <w:rPr>
          <w:rStyle w:val="af6"/>
          <w:rFonts w:eastAsia="Guttman Hodes"/>
          <w:rtl/>
        </w:rPr>
        <w:instrText xml:space="preserve"> </w:instrText>
      </w:r>
      <w:r w:rsidRPr="004A02C7">
        <w:rPr>
          <w:rStyle w:val="af6"/>
          <w:rFonts w:eastAsia="Guttman Hodes"/>
          <w:rtl/>
        </w:rPr>
      </w:r>
      <w:r w:rsidRPr="004A02C7">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Pr="004A02C7">
        <w:rPr>
          <w:rStyle w:val="af6"/>
          <w:rFonts w:eastAsia="Guttman Hodes"/>
          <w:rtl/>
        </w:rPr>
        <w:fldChar w:fldCharType="end"/>
      </w:r>
      <w:r>
        <w:rPr>
          <w:rFonts w:hint="cs"/>
          <w:rtl/>
        </w:rPr>
        <w:t xml:space="preserve"> </w:t>
      </w:r>
      <w:r w:rsidRPr="007E0C12">
        <w:rPr>
          <w:rFonts w:hint="cs"/>
          <w:rtl/>
        </w:rPr>
        <w:t xml:space="preserve">דבבשר בחלב הבשר הוא בעין אלא שבלוע בו טעם החלב, </w:t>
      </w:r>
      <w:r>
        <w:rPr>
          <w:rFonts w:hint="cs"/>
          <w:rtl/>
        </w:rPr>
        <w:t>וכד</w:t>
      </w:r>
      <w:r w:rsidRPr="007E0C12">
        <w:rPr>
          <w:rFonts w:hint="cs"/>
          <w:rtl/>
        </w:rPr>
        <w:t xml:space="preserve">ביאר </w:t>
      </w:r>
      <w:r w:rsidRPr="004A02C7">
        <w:rPr>
          <w:rStyle w:val="af8"/>
          <w:rFonts w:hint="cs"/>
          <w:rtl/>
        </w:rPr>
        <w:t>רש"י בע"ז</w:t>
      </w:r>
      <w:r w:rsidRPr="007E0C12">
        <w:rPr>
          <w:rFonts w:hint="cs"/>
          <w:rtl/>
        </w:rPr>
        <w:t xml:space="preserve"> </w:t>
      </w:r>
      <w:r w:rsidRPr="004A02C7">
        <w:rPr>
          <w:rStyle w:val="af6"/>
          <w:rFonts w:eastAsia="Guttman Hodes" w:hint="cs"/>
          <w:rtl/>
        </w:rPr>
        <w:t xml:space="preserve">(עי' אות </w:t>
      </w:r>
      <w:r w:rsidRPr="004A02C7">
        <w:rPr>
          <w:rStyle w:val="af6"/>
          <w:rFonts w:eastAsia="Guttman Hodes"/>
          <w:rtl/>
        </w:rPr>
        <w:fldChar w:fldCharType="begin"/>
      </w:r>
      <w:r w:rsidRPr="004A02C7">
        <w:rPr>
          <w:rStyle w:val="af6"/>
          <w:rFonts w:eastAsia="Guttman Hodes"/>
          <w:rtl/>
        </w:rPr>
        <w:instrText xml:space="preserve"> </w:instrText>
      </w:r>
      <w:r w:rsidRPr="004A02C7">
        <w:rPr>
          <w:rStyle w:val="af6"/>
          <w:rFonts w:eastAsia="Guttman Hodes" w:hint="cs"/>
        </w:rPr>
        <w:instrText>REF</w:instrText>
      </w:r>
      <w:r w:rsidRPr="004A02C7">
        <w:rPr>
          <w:rStyle w:val="af6"/>
          <w:rFonts w:eastAsia="Guttman Hodes" w:hint="cs"/>
          <w:rtl/>
        </w:rPr>
        <w:instrText xml:space="preserve"> _</w:instrText>
      </w:r>
      <w:r w:rsidRPr="004A02C7">
        <w:rPr>
          <w:rStyle w:val="af6"/>
          <w:rFonts w:eastAsia="Guttman Hodes" w:hint="cs"/>
        </w:rPr>
        <w:instrText>Ref12961369 \r \h</w:instrText>
      </w:r>
      <w:r w:rsidRPr="004A02C7">
        <w:rPr>
          <w:rStyle w:val="af6"/>
          <w:rFonts w:eastAsia="Guttman Hodes"/>
          <w:rtl/>
        </w:rPr>
        <w:instrText xml:space="preserve">  \* </w:instrText>
      </w:r>
      <w:r w:rsidRPr="004A02C7">
        <w:rPr>
          <w:rStyle w:val="af6"/>
          <w:rFonts w:eastAsia="Guttman Hodes"/>
        </w:rPr>
        <w:instrText>MERGEFORMAT</w:instrText>
      </w:r>
      <w:r w:rsidRPr="004A02C7">
        <w:rPr>
          <w:rStyle w:val="af6"/>
          <w:rFonts w:eastAsia="Guttman Hodes"/>
          <w:rtl/>
        </w:rPr>
        <w:instrText xml:space="preserve"> </w:instrText>
      </w:r>
      <w:r w:rsidRPr="004A02C7">
        <w:rPr>
          <w:rStyle w:val="af6"/>
          <w:rFonts w:eastAsia="Guttman Hodes"/>
          <w:rtl/>
        </w:rPr>
      </w:r>
      <w:r w:rsidRPr="004A02C7">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4A02C7">
        <w:rPr>
          <w:rStyle w:val="af6"/>
          <w:rFonts w:eastAsia="Guttman Hodes"/>
          <w:rtl/>
        </w:rPr>
        <w:fldChar w:fldCharType="end"/>
      </w:r>
      <w:r w:rsidRPr="007E0C12">
        <w:rPr>
          <w:rFonts w:hint="cs"/>
          <w:rtl/>
        </w:rPr>
        <w:t xml:space="preserve"> ד</w:t>
      </w:r>
      <w:r>
        <w:rPr>
          <w:rFonts w:hint="cs"/>
          <w:rtl/>
        </w:rPr>
        <w:t xml:space="preserve">בטעמו ולא ממשו </w:t>
      </w:r>
      <w:r w:rsidRPr="007E0C12">
        <w:rPr>
          <w:rFonts w:hint="cs"/>
          <w:rtl/>
        </w:rPr>
        <w:t>איירי ב</w:t>
      </w:r>
      <w:r w:rsidRPr="007E0C12">
        <w:rPr>
          <w:rtl/>
        </w:rPr>
        <w:t xml:space="preserve">חָלָב </w:t>
      </w:r>
      <w:r w:rsidRPr="007E0C12">
        <w:rPr>
          <w:rFonts w:hint="cs"/>
          <w:rtl/>
        </w:rPr>
        <w:t xml:space="preserve">שנפל לקדירה של בשר, או </w:t>
      </w:r>
      <w:r w:rsidRPr="007E0C12">
        <w:rPr>
          <w:rtl/>
        </w:rPr>
        <w:t>חֵלֶב</w:t>
      </w:r>
      <w:r w:rsidRPr="007E0C12">
        <w:rPr>
          <w:rFonts w:hint="cs"/>
          <w:rtl/>
        </w:rPr>
        <w:t xml:space="preserve"> שנפל ונימוח, דאין ממשו של האיסור בעין</w:t>
      </w:r>
      <w:r>
        <w:rPr>
          <w:rFonts w:hint="cs"/>
          <w:rtl/>
        </w:rPr>
        <w:t>, ועי' בהערה</w:t>
      </w:r>
      <w:bookmarkStart w:id="6370" w:name="_Ref13663322"/>
      <w:r>
        <w:rPr>
          <w:rStyle w:val="af0"/>
          <w:rtl/>
        </w:rPr>
        <w:footnoteReference w:id="21"/>
      </w:r>
      <w:bookmarkEnd w:id="6370"/>
      <w:r>
        <w:rPr>
          <w:rFonts w:hint="cs"/>
          <w:rtl/>
        </w:rPr>
        <w:t xml:space="preserve"> במ"ש </w:t>
      </w:r>
      <w:r w:rsidRPr="00B669D9">
        <w:rPr>
          <w:rStyle w:val="af8"/>
          <w:rFonts w:hint="cs"/>
          <w:rtl/>
        </w:rPr>
        <w:t>הפר"ח</w:t>
      </w:r>
      <w:r>
        <w:rPr>
          <w:rFonts w:hint="cs"/>
          <w:rtl/>
        </w:rPr>
        <w:t xml:space="preserve"> דמדברי </w:t>
      </w:r>
      <w:r w:rsidRPr="00B669D9">
        <w:rPr>
          <w:rStyle w:val="af8"/>
          <w:rFonts w:hint="cs"/>
          <w:rtl/>
        </w:rPr>
        <w:t>רש"י בפסחים</w:t>
      </w:r>
      <w:r>
        <w:rPr>
          <w:rFonts w:hint="cs"/>
          <w:rtl/>
        </w:rPr>
        <w:t xml:space="preserve"> א"א להוכיח כדברי </w:t>
      </w:r>
      <w:r w:rsidRPr="00B669D9">
        <w:rPr>
          <w:rStyle w:val="af8"/>
          <w:rFonts w:hint="cs"/>
          <w:rtl/>
        </w:rPr>
        <w:t>הב"י</w:t>
      </w:r>
      <w:r>
        <w:rPr>
          <w:rFonts w:hint="cs"/>
          <w:rtl/>
        </w:rPr>
        <w:t>.</w:t>
      </w:r>
      <w:bookmarkEnd w:id="6369"/>
      <w:r w:rsidRPr="007E0C12">
        <w:rPr>
          <w:rFonts w:hint="cs"/>
          <w:rtl/>
        </w:rPr>
        <w:t xml:space="preserve"> </w:t>
      </w:r>
      <w:bookmarkEnd w:id="6368"/>
    </w:p>
    <w:p w:rsidR="009A0058" w:rsidRDefault="009A0058" w:rsidP="009A0058">
      <w:pPr>
        <w:pStyle w:val="1"/>
        <w:rPr>
          <w:rtl/>
        </w:rPr>
      </w:pPr>
      <w:bookmarkStart w:id="6371" w:name="_Toc13657863"/>
      <w:bookmarkStart w:id="6372" w:name="_Toc13664023"/>
      <w:r>
        <w:rPr>
          <w:rFonts w:hint="cs"/>
          <w:rtl/>
        </w:rPr>
        <w:t>דברי הריטב"א דכזית בכא"פ שנימוח חשיב טעמו ולא ממשו</w:t>
      </w:r>
      <w:bookmarkEnd w:id="6371"/>
      <w:bookmarkEnd w:id="6372"/>
    </w:p>
    <w:p w:rsidR="009A0058" w:rsidRPr="00352060" w:rsidRDefault="009A0058" w:rsidP="009A0058">
      <w:pPr>
        <w:pStyle w:val="a2"/>
        <w:rPr>
          <w:rtl/>
        </w:rPr>
      </w:pPr>
      <w:bookmarkStart w:id="6373" w:name="_Toc13657864"/>
      <w:bookmarkStart w:id="6374" w:name="_Toc13664024"/>
      <w:r>
        <w:rPr>
          <w:rFonts w:hint="cs"/>
          <w:rtl/>
        </w:rPr>
        <w:t>ביאור הריטב"א דאיסור שהיה בתחילה כזית בכא"פ ונימוח בתערובת הוי טעמו ולא ממשו</w:t>
      </w:r>
      <w:bookmarkEnd w:id="6373"/>
      <w:bookmarkEnd w:id="6374"/>
    </w:p>
    <w:p w:rsidR="009A0058" w:rsidRPr="0077459F" w:rsidRDefault="009A0058" w:rsidP="009F44AF">
      <w:pPr>
        <w:pStyle w:val="a"/>
        <w:rPr>
          <w:rtl/>
        </w:rPr>
      </w:pPr>
      <w:bookmarkStart w:id="6375" w:name="_Ref13431103"/>
      <w:r w:rsidRPr="0077459F">
        <w:rPr>
          <w:rFonts w:hint="cs"/>
          <w:rtl/>
        </w:rPr>
        <w:t xml:space="preserve">כתב </w:t>
      </w:r>
      <w:r w:rsidRPr="00D67177">
        <w:rPr>
          <w:rStyle w:val="af8"/>
          <w:rFonts w:hint="cs"/>
          <w:rtl/>
        </w:rPr>
        <w:t>הריטב"א</w:t>
      </w:r>
      <w:r w:rsidRPr="0077459F">
        <w:rPr>
          <w:rFonts w:hint="cs"/>
          <w:rtl/>
        </w:rPr>
        <w:t xml:space="preserve"> </w:t>
      </w:r>
      <w:r w:rsidRPr="00D67177">
        <w:rPr>
          <w:rStyle w:val="af6"/>
          <w:rFonts w:eastAsia="Guttman Hodes" w:hint="cs"/>
          <w:rtl/>
        </w:rPr>
        <w:t>(ד"ה ופירוש טעם כעיקר)</w:t>
      </w:r>
      <w:r w:rsidRPr="0077459F">
        <w:rPr>
          <w:rFonts w:hint="cs"/>
          <w:rtl/>
        </w:rPr>
        <w:t xml:space="preserve"> דטעם כעיקר שמוזכר בכל מקום, היינו שאין בתערובת מממשו של האיסור ויש בה רק את טעמו, וכלשון ריו"ח בע"ז טעמו ולא ממשו, וכדביאר </w:t>
      </w:r>
      <w:r w:rsidRPr="0077459F">
        <w:rPr>
          <w:rStyle w:val="af8"/>
          <w:rFonts w:hint="cs"/>
          <w:rtl/>
        </w:rPr>
        <w:t>רש"י</w:t>
      </w:r>
      <w:r w:rsidRPr="0077459F">
        <w:rPr>
          <w:rFonts w:hint="cs"/>
          <w:rtl/>
        </w:rPr>
        <w:t xml:space="preserve"> </w:t>
      </w:r>
      <w:r w:rsidRPr="00352060">
        <w:rPr>
          <w:rStyle w:val="af6"/>
          <w:rFonts w:eastAsia="Guttman Hodes" w:hint="cs"/>
          <w:rtl/>
        </w:rPr>
        <w:t xml:space="preserve">(עי' אות </w:t>
      </w:r>
      <w:r w:rsidRPr="00352060">
        <w:rPr>
          <w:rStyle w:val="af6"/>
          <w:rFonts w:eastAsia="Guttman Hodes"/>
          <w:rtl/>
        </w:rPr>
        <w:fldChar w:fldCharType="begin"/>
      </w:r>
      <w:r w:rsidRPr="00352060">
        <w:rPr>
          <w:rStyle w:val="af6"/>
          <w:rFonts w:eastAsia="Guttman Hodes"/>
          <w:rtl/>
        </w:rPr>
        <w:instrText xml:space="preserve"> </w:instrText>
      </w:r>
      <w:r w:rsidRPr="00352060">
        <w:rPr>
          <w:rStyle w:val="af6"/>
          <w:rFonts w:eastAsia="Guttman Hodes" w:hint="cs"/>
        </w:rPr>
        <w:instrText>REF</w:instrText>
      </w:r>
      <w:r w:rsidRPr="00352060">
        <w:rPr>
          <w:rStyle w:val="af6"/>
          <w:rFonts w:eastAsia="Guttman Hodes" w:hint="cs"/>
          <w:rtl/>
        </w:rPr>
        <w:instrText xml:space="preserve"> _</w:instrText>
      </w:r>
      <w:r w:rsidRPr="00352060">
        <w:rPr>
          <w:rStyle w:val="af6"/>
          <w:rFonts w:eastAsia="Guttman Hodes" w:hint="cs"/>
        </w:rPr>
        <w:instrText>Ref12961369 \r \h</w:instrText>
      </w:r>
      <w:r w:rsidRPr="00352060">
        <w:rPr>
          <w:rStyle w:val="af6"/>
          <w:rFonts w:eastAsia="Guttman Hodes"/>
          <w:rtl/>
        </w:rPr>
        <w:instrText xml:space="preserve">  \* </w:instrText>
      </w:r>
      <w:r w:rsidRPr="00352060">
        <w:rPr>
          <w:rStyle w:val="af6"/>
          <w:rFonts w:eastAsia="Guttman Hodes"/>
        </w:rPr>
        <w:instrText>MERGEFORMAT</w:instrText>
      </w:r>
      <w:r w:rsidRPr="00352060">
        <w:rPr>
          <w:rStyle w:val="af6"/>
          <w:rFonts w:eastAsia="Guttman Hodes"/>
          <w:rtl/>
        </w:rPr>
        <w:instrText xml:space="preserve"> </w:instrText>
      </w:r>
      <w:r w:rsidRPr="00352060">
        <w:rPr>
          <w:rStyle w:val="af6"/>
          <w:rFonts w:eastAsia="Guttman Hodes"/>
          <w:rtl/>
        </w:rPr>
      </w:r>
      <w:r w:rsidRPr="00352060">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352060">
        <w:rPr>
          <w:rStyle w:val="af6"/>
          <w:rFonts w:eastAsia="Guttman Hodes"/>
          <w:rtl/>
        </w:rPr>
        <w:fldChar w:fldCharType="end"/>
      </w:r>
      <w:r w:rsidRPr="0077459F">
        <w:rPr>
          <w:rFonts w:hint="cs"/>
          <w:rtl/>
        </w:rPr>
        <w:t xml:space="preserve"> שזהו הביאור הנכון, וכמדמוכח מלשון ריו"ח</w:t>
      </w:r>
      <w:bookmarkEnd w:id="6375"/>
      <w:r>
        <w:rPr>
          <w:rFonts w:hint="cs"/>
          <w:rtl/>
        </w:rPr>
        <w:t xml:space="preserve">, </w:t>
      </w:r>
      <w:r w:rsidRPr="0077459F">
        <w:rPr>
          <w:rFonts w:hint="cs"/>
          <w:rtl/>
        </w:rPr>
        <w:t xml:space="preserve">וביאר </w:t>
      </w:r>
      <w:r w:rsidRPr="0077459F">
        <w:rPr>
          <w:rStyle w:val="af8"/>
          <w:rFonts w:hint="cs"/>
          <w:rtl/>
        </w:rPr>
        <w:t>הריטב"א</w:t>
      </w:r>
      <w:r w:rsidRPr="0077459F">
        <w:rPr>
          <w:rFonts w:hint="cs"/>
          <w:rtl/>
        </w:rPr>
        <w:t xml:space="preserve"> דאיירי שנפל ממשו של האיסור לתערובת, ובתחילה היה בו כזית בכדי אכילת פרס, אלא שאח"כ נימוח האיסור, ואין בתערובת את ממשו של האיסור</w:t>
      </w:r>
      <w:r>
        <w:rPr>
          <w:rFonts w:hint="cs"/>
          <w:rtl/>
        </w:rPr>
        <w:t xml:space="preserve">, וכן </w:t>
      </w:r>
      <w:r w:rsidRPr="0077459F">
        <w:rPr>
          <w:rFonts w:hint="cs"/>
          <w:rtl/>
        </w:rPr>
        <w:t>באופן שלא היה מממשו של האיסור כלל אפילו בתחילה, כגון נזיר ששרה ענבים במים, ויש במים טעם יין בכדי רביעית באכילת פרס, או בגיעולי עכו"ם שנפלה חתיכת איסור לתוך היתר, וניכר האיסור וסילקוהו מההיתר, שהרוטב של ההיתר שיעורו בנותן טעם.</w:t>
      </w:r>
    </w:p>
    <w:p w:rsidR="009A0058" w:rsidRPr="0077459F" w:rsidRDefault="009A0058" w:rsidP="009A0058">
      <w:pPr>
        <w:pStyle w:val="a2"/>
        <w:rPr>
          <w:rtl/>
        </w:rPr>
      </w:pPr>
      <w:bookmarkStart w:id="6376" w:name="_Toc13657865"/>
      <w:bookmarkStart w:id="6377" w:name="_Toc13664025"/>
      <w:r>
        <w:rPr>
          <w:rFonts w:hint="cs"/>
          <w:rtl/>
        </w:rPr>
        <w:t>דברי הריטב"א בע"ז דבטעמו וממשו כיון שיש הטעם חשיב שאכל איסור בעין ולא בתערובת</w:t>
      </w:r>
      <w:bookmarkEnd w:id="6376"/>
      <w:bookmarkEnd w:id="6377"/>
    </w:p>
    <w:p w:rsidR="009A0058" w:rsidRDefault="009A0058" w:rsidP="009F44AF">
      <w:pPr>
        <w:pStyle w:val="a"/>
        <w:rPr>
          <w:rStyle w:val="afa"/>
          <w:rtl/>
        </w:rPr>
      </w:pPr>
      <w:bookmarkStart w:id="6378" w:name="_Ref13476944"/>
      <w:r>
        <w:rPr>
          <w:rFonts w:hint="cs"/>
          <w:rtl/>
        </w:rPr>
        <w:t xml:space="preserve">עוד </w:t>
      </w:r>
      <w:r w:rsidRPr="0077459F">
        <w:rPr>
          <w:rFonts w:hint="cs"/>
          <w:rtl/>
        </w:rPr>
        <w:t xml:space="preserve">כתב </w:t>
      </w:r>
      <w:r w:rsidRPr="0077459F">
        <w:rPr>
          <w:rStyle w:val="af8"/>
          <w:rFonts w:hint="cs"/>
          <w:rtl/>
        </w:rPr>
        <w:t>הריטב"א בע"ז</w:t>
      </w:r>
      <w:r w:rsidRPr="0077459F">
        <w:rPr>
          <w:rFonts w:hint="cs"/>
          <w:rtl/>
        </w:rPr>
        <w:t xml:space="preserve"> </w:t>
      </w:r>
      <w:r w:rsidRPr="0077459F">
        <w:rPr>
          <w:rStyle w:val="af6"/>
          <w:rFonts w:eastAsia="Guttman Hodes" w:hint="cs"/>
          <w:rtl/>
        </w:rPr>
        <w:t>(סז. ד"ה אמר ר"א)</w:t>
      </w:r>
      <w:r w:rsidRPr="0077459F">
        <w:rPr>
          <w:rFonts w:hint="cs"/>
          <w:rtl/>
        </w:rPr>
        <w:t xml:space="preserve"> דבטעמו וממשו ואכל כזית בכדי אכילת פרס לוקין עליו, כיון דהחשיבה התורה כאילו אכל את הכזית איסור בעין ולא בתערובת, וכדפירש </w:t>
      </w:r>
      <w:r w:rsidRPr="0077459F">
        <w:rPr>
          <w:rStyle w:val="af8"/>
          <w:rFonts w:hint="cs"/>
          <w:rtl/>
        </w:rPr>
        <w:t>רש"י</w:t>
      </w:r>
      <w:r w:rsidRPr="0077459F">
        <w:rPr>
          <w:rFonts w:hint="cs"/>
          <w:rtl/>
        </w:rPr>
        <w:t xml:space="preserve"> </w:t>
      </w:r>
      <w:r w:rsidRPr="0077459F">
        <w:rPr>
          <w:rStyle w:val="af6"/>
          <w:rFonts w:eastAsia="Guttman Hodes" w:hint="cs"/>
          <w:rtl/>
        </w:rPr>
        <w:t xml:space="preserve">(עי' אות </w:t>
      </w:r>
      <w:r w:rsidRPr="0077459F">
        <w:rPr>
          <w:rStyle w:val="af6"/>
          <w:rFonts w:eastAsia="Guttman Hodes"/>
          <w:rtl/>
        </w:rPr>
        <w:fldChar w:fldCharType="begin"/>
      </w:r>
      <w:r w:rsidRPr="0077459F">
        <w:rPr>
          <w:rStyle w:val="af6"/>
          <w:rFonts w:eastAsia="Guttman Hodes"/>
          <w:rtl/>
        </w:rPr>
        <w:instrText xml:space="preserve"> </w:instrText>
      </w:r>
      <w:r w:rsidRPr="0077459F">
        <w:rPr>
          <w:rStyle w:val="af6"/>
          <w:rFonts w:eastAsia="Guttman Hodes" w:hint="cs"/>
        </w:rPr>
        <w:instrText>REF</w:instrText>
      </w:r>
      <w:r w:rsidRPr="0077459F">
        <w:rPr>
          <w:rStyle w:val="af6"/>
          <w:rFonts w:eastAsia="Guttman Hodes" w:hint="cs"/>
          <w:rtl/>
        </w:rPr>
        <w:instrText xml:space="preserve"> _</w:instrText>
      </w:r>
      <w:r w:rsidRPr="0077459F">
        <w:rPr>
          <w:rStyle w:val="af6"/>
          <w:rFonts w:eastAsia="Guttman Hodes" w:hint="cs"/>
        </w:rPr>
        <w:instrText>Ref13476932 \r \h</w:instrText>
      </w:r>
      <w:r w:rsidRPr="0077459F">
        <w:rPr>
          <w:rStyle w:val="af6"/>
          <w:rFonts w:eastAsia="Guttman Hodes"/>
          <w:rtl/>
        </w:rPr>
        <w:instrText xml:space="preserve">  \* </w:instrText>
      </w:r>
      <w:r w:rsidRPr="0077459F">
        <w:rPr>
          <w:rStyle w:val="af6"/>
          <w:rFonts w:eastAsia="Guttman Hodes"/>
        </w:rPr>
        <w:instrText>MERGEFORMAT</w:instrText>
      </w:r>
      <w:r w:rsidRPr="0077459F">
        <w:rPr>
          <w:rStyle w:val="af6"/>
          <w:rFonts w:eastAsia="Guttman Hodes"/>
          <w:rtl/>
        </w:rPr>
        <w:instrText xml:space="preserve"> </w:instrText>
      </w:r>
      <w:r w:rsidRPr="0077459F">
        <w:rPr>
          <w:rStyle w:val="af6"/>
          <w:rFonts w:eastAsia="Guttman Hodes"/>
          <w:rtl/>
        </w:rPr>
      </w:r>
      <w:r w:rsidRPr="0077459F">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77459F">
        <w:rPr>
          <w:rStyle w:val="af6"/>
          <w:rFonts w:eastAsia="Guttman Hodes"/>
          <w:rtl/>
        </w:rPr>
        <w:fldChar w:fldCharType="end"/>
      </w:r>
      <w:r w:rsidRPr="0077459F">
        <w:rPr>
          <w:rFonts w:hint="cs"/>
          <w:rtl/>
        </w:rPr>
        <w:t xml:space="preserve">, וביאר </w:t>
      </w:r>
      <w:r w:rsidRPr="0045497F">
        <w:rPr>
          <w:rStyle w:val="af8"/>
          <w:rFonts w:hint="cs"/>
          <w:rtl/>
        </w:rPr>
        <w:t>הריטב"א</w:t>
      </w:r>
      <w:r w:rsidRPr="0077459F">
        <w:rPr>
          <w:rFonts w:hint="cs"/>
          <w:rtl/>
        </w:rPr>
        <w:t xml:space="preserve"> דהא ד</w:t>
      </w:r>
      <w:r>
        <w:rPr>
          <w:rFonts w:hint="cs"/>
          <w:rtl/>
        </w:rPr>
        <w:t>נקט</w:t>
      </w:r>
      <w:r w:rsidRPr="0077459F">
        <w:rPr>
          <w:rFonts w:hint="cs"/>
          <w:rtl/>
        </w:rPr>
        <w:t xml:space="preserve"> ריו"ח </w:t>
      </w:r>
      <w:r>
        <w:rPr>
          <w:rFonts w:hint="cs"/>
          <w:rtl/>
        </w:rPr>
        <w:t>בטעמו וממשו לשון "</w:t>
      </w:r>
      <w:r w:rsidRPr="0077459F">
        <w:rPr>
          <w:rFonts w:hint="cs"/>
          <w:rtl/>
        </w:rPr>
        <w:t>טעמו</w:t>
      </w:r>
      <w:r>
        <w:rPr>
          <w:rFonts w:hint="cs"/>
          <w:rtl/>
        </w:rPr>
        <w:t>"</w:t>
      </w:r>
      <w:r w:rsidRPr="0077459F">
        <w:rPr>
          <w:rFonts w:hint="cs"/>
          <w:rtl/>
        </w:rPr>
        <w:t>, אעפ"י דהטעם הוא בכלל הממשות, הוא כיון דכל הדין של ריו"ח הוא רק במין בשאינו מינו שיש בו נתינת טעם, אבל במין במינו מדאו' חד בתרי בטיל, ובלח בלח</w:t>
      </w:r>
      <w:r w:rsidRPr="007E0C12">
        <w:rPr>
          <w:rFonts w:hint="cs"/>
          <w:rtl/>
        </w:rPr>
        <w:t xml:space="preserve"> מדרבנן שיעורו הוא בנותן טעם, וביבש ביבש אף מדרבנן מהני ביטול כשאינו דבר חשוב, וכדאמר רבא בזבחים </w:t>
      </w:r>
      <w:r w:rsidRPr="006007FD">
        <w:rPr>
          <w:rStyle w:val="af6"/>
          <w:rFonts w:eastAsia="Guttman Hodes" w:hint="cs"/>
          <w:rtl/>
        </w:rPr>
        <w:t>(עט.)</w:t>
      </w:r>
      <w:r w:rsidRPr="007E0C12">
        <w:rPr>
          <w:rFonts w:hint="cs"/>
          <w:rtl/>
        </w:rPr>
        <w:t xml:space="preserve"> דאמור רבנן ברובא, והיינו יבש ביבש דאף מדרבנן שיעורו הוא ברוב, והוסיף </w:t>
      </w:r>
      <w:r w:rsidRPr="006007FD">
        <w:rPr>
          <w:rStyle w:val="af8"/>
          <w:rFonts w:hint="cs"/>
          <w:rtl/>
        </w:rPr>
        <w:t>הריטב"א</w:t>
      </w:r>
      <w:r w:rsidRPr="007E0C12">
        <w:rPr>
          <w:rFonts w:hint="cs"/>
          <w:rtl/>
        </w:rPr>
        <w:t xml:space="preserve"> דכל השיעורים שבנותן טעם הם מדרבנן</w:t>
      </w:r>
      <w:r>
        <w:rPr>
          <w:rFonts w:hint="cs"/>
          <w:rtl/>
        </w:rPr>
        <w:t>.</w:t>
      </w:r>
      <w:r w:rsidRPr="007E0C12">
        <w:rPr>
          <w:rFonts w:hint="cs"/>
          <w:rtl/>
        </w:rPr>
        <w:t xml:space="preserve"> </w:t>
      </w:r>
      <w:r w:rsidRPr="006007FD">
        <w:rPr>
          <w:rStyle w:val="afa"/>
          <w:rFonts w:hint="cs"/>
          <w:rtl/>
        </w:rPr>
        <w:t xml:space="preserve">[וציין </w:t>
      </w:r>
      <w:r w:rsidRPr="006007FD">
        <w:rPr>
          <w:rStyle w:val="affa"/>
          <w:rFonts w:hint="cs"/>
          <w:rtl/>
        </w:rPr>
        <w:t>הריטב"א בע"ז</w:t>
      </w:r>
      <w:r w:rsidRPr="006007FD">
        <w:rPr>
          <w:rStyle w:val="afa"/>
          <w:rFonts w:hint="cs"/>
          <w:rtl/>
        </w:rPr>
        <w:t xml:space="preserve"> לדבריו </w:t>
      </w:r>
      <w:r w:rsidRPr="006007FD">
        <w:rPr>
          <w:rStyle w:val="affa"/>
          <w:rFonts w:hint="cs"/>
          <w:rtl/>
        </w:rPr>
        <w:t>בסוגיין</w:t>
      </w:r>
      <w:r w:rsidRPr="006007FD">
        <w:rPr>
          <w:rStyle w:val="afa"/>
          <w:rFonts w:hint="cs"/>
          <w:rtl/>
        </w:rPr>
        <w:t xml:space="preserve"> </w:t>
      </w:r>
      <w:r w:rsidRPr="006007FD">
        <w:rPr>
          <w:rStyle w:val="aff6"/>
          <w:rFonts w:hint="cs"/>
          <w:rtl/>
        </w:rPr>
        <w:t xml:space="preserve">(ד"ה וכן פוסק) </w:t>
      </w:r>
      <w:r w:rsidRPr="006007FD">
        <w:rPr>
          <w:rStyle w:val="afa"/>
          <w:rFonts w:hint="cs"/>
          <w:rtl/>
        </w:rPr>
        <w:t>דכתב דטעם כעיקר לאו דאו'].</w:t>
      </w:r>
      <w:bookmarkEnd w:id="6378"/>
    </w:p>
    <w:p w:rsidR="009A0058" w:rsidRDefault="009A0058" w:rsidP="009A0058">
      <w:pPr>
        <w:pStyle w:val="1"/>
        <w:rPr>
          <w:rtl/>
        </w:rPr>
      </w:pPr>
      <w:bookmarkStart w:id="6379" w:name="_Toc13657866"/>
      <w:bookmarkStart w:id="6380" w:name="_Toc13664026"/>
      <w:r>
        <w:rPr>
          <w:rFonts w:hint="cs"/>
          <w:rtl/>
        </w:rPr>
        <w:t>דברי הרא"ה דאף שהאיסור נימוח הטעם לא בטל מדין הטמאים</w:t>
      </w:r>
      <w:bookmarkEnd w:id="6379"/>
      <w:bookmarkEnd w:id="6380"/>
    </w:p>
    <w:p w:rsidR="009A0058" w:rsidRPr="00C55D19" w:rsidRDefault="009A0058" w:rsidP="009A0058">
      <w:pPr>
        <w:pStyle w:val="a2"/>
        <w:rPr>
          <w:rtl/>
        </w:rPr>
      </w:pPr>
      <w:bookmarkStart w:id="6381" w:name="_Toc13657867"/>
      <w:bookmarkStart w:id="6382" w:name="_Toc13664027"/>
      <w:r>
        <w:rPr>
          <w:rFonts w:hint="cs"/>
          <w:rtl/>
        </w:rPr>
        <w:t>דברי הרא"ה דטעמו ולא ממשו הוא כשאין את גוף האיסור או שנימוח האיסור ואינו ניכר כבב"ח</w:t>
      </w:r>
      <w:bookmarkEnd w:id="6381"/>
      <w:bookmarkEnd w:id="6382"/>
    </w:p>
    <w:p w:rsidR="002D7168" w:rsidRDefault="009A0058" w:rsidP="009F44AF">
      <w:pPr>
        <w:pStyle w:val="a"/>
        <w:rPr>
          <w:rtl/>
        </w:rPr>
      </w:pPr>
      <w:bookmarkStart w:id="6383" w:name="_Ref13136039"/>
      <w:r w:rsidRPr="007E0C12">
        <w:rPr>
          <w:rFonts w:hint="cs"/>
          <w:rtl/>
        </w:rPr>
        <w:t xml:space="preserve">כתב </w:t>
      </w:r>
      <w:r w:rsidRPr="007E0C12">
        <w:rPr>
          <w:rStyle w:val="af8"/>
          <w:rFonts w:hint="cs"/>
          <w:rtl/>
        </w:rPr>
        <w:t>הרא"ה בבד"ה</w:t>
      </w:r>
      <w:r w:rsidRPr="007E0C12">
        <w:rPr>
          <w:rFonts w:hint="cs"/>
          <w:rtl/>
        </w:rPr>
        <w:t xml:space="preserve"> </w:t>
      </w:r>
      <w:r w:rsidRPr="007E0C12">
        <w:rPr>
          <w:rStyle w:val="af6"/>
          <w:rFonts w:eastAsia="Guttman Hodes" w:hint="cs"/>
          <w:rtl/>
        </w:rPr>
        <w:t xml:space="preserve">(ב"ד ש"א יא. מדה"ס) </w:t>
      </w:r>
      <w:r w:rsidRPr="007E0C12">
        <w:rPr>
          <w:rFonts w:hint="cs"/>
          <w:rtl/>
        </w:rPr>
        <w:t xml:space="preserve">דטעמו ולא ממשו זהו טעם כעיקר, ויש ב' אופנים בטעמו ולא ממשו, האופן הא' במקום שאין כלום מממשו של האיסור, כמו בשרה ענבים במים ויש בהם טעם יין, דאין במים כלום מגוף הענבים, ואמרינן בגמ' בפסחים </w:t>
      </w:r>
      <w:r w:rsidRPr="00704DD4">
        <w:rPr>
          <w:rStyle w:val="af6"/>
          <w:rFonts w:eastAsia="Guttman Hodes" w:hint="cs"/>
          <w:rtl/>
        </w:rPr>
        <w:t xml:space="preserve">(מד:) </w:t>
      </w:r>
      <w:r w:rsidRPr="007E0C12">
        <w:rPr>
          <w:rFonts w:hint="cs"/>
          <w:rtl/>
        </w:rPr>
        <w:t xml:space="preserve">ובנזיר </w:t>
      </w:r>
      <w:r w:rsidRPr="00704DD4">
        <w:rPr>
          <w:rStyle w:val="af6"/>
          <w:rFonts w:eastAsia="Guttman Hodes" w:hint="cs"/>
          <w:rtl/>
        </w:rPr>
        <w:t>(לז.)</w:t>
      </w:r>
      <w:r w:rsidRPr="007E0C12">
        <w:rPr>
          <w:rFonts w:hint="cs"/>
          <w:rtl/>
        </w:rPr>
        <w:t xml:space="preserve"> דהוא טעם כעיקר, והאופן הב' הוא כשנמחה בתערובת  ממשו של האיסור, אך אינו ניכר במראה, וכתב </w:t>
      </w:r>
      <w:r w:rsidRPr="00704DD4">
        <w:rPr>
          <w:rStyle w:val="af8"/>
          <w:rFonts w:hint="cs"/>
          <w:rtl/>
        </w:rPr>
        <w:t>הרא"ה בבד"ה</w:t>
      </w:r>
      <w:r w:rsidRPr="007E0C12">
        <w:rPr>
          <w:rFonts w:hint="cs"/>
          <w:rtl/>
        </w:rPr>
        <w:t xml:space="preserve"> דכן מוכח דבבשר בחלב דממשו של האיסור מחוי ובגמ' לקמן </w:t>
      </w:r>
      <w:r w:rsidRPr="00704DD4">
        <w:rPr>
          <w:rStyle w:val="af6"/>
          <w:rFonts w:eastAsia="Guttman Hodes" w:hint="cs"/>
          <w:rtl/>
        </w:rPr>
        <w:t xml:space="preserve">(קח.) </w:t>
      </w:r>
      <w:r w:rsidRPr="007E0C12">
        <w:rPr>
          <w:rFonts w:hint="cs"/>
          <w:rtl/>
        </w:rPr>
        <w:t xml:space="preserve">אמרינן דהוא טעם כעיקר, וכתב </w:t>
      </w:r>
      <w:r w:rsidRPr="00704DD4">
        <w:rPr>
          <w:rStyle w:val="af8"/>
          <w:rFonts w:hint="cs"/>
          <w:rtl/>
        </w:rPr>
        <w:t>הרא"ה בבד"ה</w:t>
      </w:r>
      <w:r w:rsidRPr="007E0C12">
        <w:rPr>
          <w:rFonts w:hint="cs"/>
          <w:rtl/>
        </w:rPr>
        <w:t xml:space="preserve"> דריו"ח בע"ז  ס"ל דטעם כעיקר דרבנן, וכדעת רבא בסוגיין ובגמ' לקמן </w:t>
      </w:r>
      <w:r w:rsidRPr="00704DD4">
        <w:rPr>
          <w:rStyle w:val="af6"/>
          <w:rFonts w:eastAsia="Guttman Hodes" w:hint="cs"/>
          <w:rtl/>
        </w:rPr>
        <w:t>(קח.)</w:t>
      </w:r>
      <w:r w:rsidRPr="007E0C12">
        <w:rPr>
          <w:rFonts w:hint="cs"/>
          <w:rtl/>
        </w:rPr>
        <w:t xml:space="preserve">, </w:t>
      </w:r>
      <w:r>
        <w:rPr>
          <w:rFonts w:hint="cs"/>
          <w:rtl/>
        </w:rPr>
        <w:t>ו</w:t>
      </w:r>
      <w:r w:rsidRPr="007E0C12">
        <w:rPr>
          <w:rFonts w:hint="cs"/>
          <w:rtl/>
        </w:rPr>
        <w:t xml:space="preserve">כדעת </w:t>
      </w:r>
      <w:r w:rsidRPr="00704DD4">
        <w:rPr>
          <w:rStyle w:val="af8"/>
          <w:rFonts w:hint="cs"/>
          <w:rtl/>
        </w:rPr>
        <w:t>רש"י</w:t>
      </w:r>
      <w:r w:rsidRPr="007E0C12">
        <w:rPr>
          <w:rFonts w:hint="cs"/>
          <w:rtl/>
        </w:rPr>
        <w:t xml:space="preserve"> </w:t>
      </w:r>
      <w:r w:rsidRPr="00704DD4">
        <w:rPr>
          <w:rStyle w:val="af6"/>
          <w:rFonts w:eastAsia="Guttman Hodes" w:hint="cs"/>
          <w:rtl/>
        </w:rPr>
        <w:t xml:space="preserve">(עי' אות </w:t>
      </w:r>
      <w:r w:rsidRPr="00704DD4">
        <w:rPr>
          <w:rStyle w:val="af6"/>
          <w:rFonts w:eastAsia="Guttman Hodes"/>
          <w:rtl/>
        </w:rPr>
        <w:fldChar w:fldCharType="begin"/>
      </w:r>
      <w:r w:rsidRPr="00704DD4">
        <w:rPr>
          <w:rStyle w:val="af6"/>
          <w:rFonts w:eastAsia="Guttman Hodes"/>
          <w:rtl/>
        </w:rPr>
        <w:instrText xml:space="preserve"> </w:instrText>
      </w:r>
      <w:r w:rsidRPr="00704DD4">
        <w:rPr>
          <w:rStyle w:val="af6"/>
          <w:rFonts w:eastAsia="Guttman Hodes" w:hint="cs"/>
        </w:rPr>
        <w:instrText>REF</w:instrText>
      </w:r>
      <w:r w:rsidRPr="00704DD4">
        <w:rPr>
          <w:rStyle w:val="af6"/>
          <w:rFonts w:eastAsia="Guttman Hodes" w:hint="cs"/>
          <w:rtl/>
        </w:rPr>
        <w:instrText xml:space="preserve"> _</w:instrText>
      </w:r>
      <w:r w:rsidRPr="00704DD4">
        <w:rPr>
          <w:rStyle w:val="af6"/>
          <w:rFonts w:eastAsia="Guttman Hodes" w:hint="cs"/>
        </w:rPr>
        <w:instrText>Ref13568615 \r \h</w:instrText>
      </w:r>
      <w:r w:rsidRPr="00704DD4">
        <w:rPr>
          <w:rStyle w:val="af6"/>
          <w:rFonts w:eastAsia="Guttman Hodes"/>
          <w:rtl/>
        </w:rPr>
        <w:instrText xml:space="preserve"> </w:instrText>
      </w:r>
      <w:r w:rsidRPr="00704DD4">
        <w:rPr>
          <w:rStyle w:val="af6"/>
          <w:rFonts w:eastAsia="Guttman Hodes"/>
          <w:rtl/>
        </w:rPr>
      </w:r>
      <w:r w:rsidRPr="00704DD4">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704DD4">
        <w:rPr>
          <w:rStyle w:val="af6"/>
          <w:rFonts w:eastAsia="Guttman Hodes"/>
          <w:rtl/>
        </w:rPr>
        <w:fldChar w:fldCharType="end"/>
      </w:r>
      <w:r w:rsidRPr="007E0C12">
        <w:rPr>
          <w:rFonts w:hint="cs"/>
          <w:rtl/>
        </w:rPr>
        <w:t>.</w:t>
      </w:r>
      <w:bookmarkEnd w:id="6383"/>
    </w:p>
    <w:p w:rsidR="009A0058" w:rsidRPr="007E0C12" w:rsidRDefault="009A0058" w:rsidP="009A0058">
      <w:pPr>
        <w:pStyle w:val="a2"/>
        <w:rPr>
          <w:rtl/>
        </w:rPr>
      </w:pPr>
      <w:bookmarkStart w:id="6384" w:name="_Toc13134841"/>
      <w:bookmarkStart w:id="6385" w:name="_Toc13244702"/>
      <w:bookmarkStart w:id="6386" w:name="_Toc13396678"/>
      <w:bookmarkStart w:id="6387" w:name="_Toc13418697"/>
      <w:bookmarkStart w:id="6388" w:name="_Toc13516533"/>
      <w:bookmarkStart w:id="6389" w:name="_Toc13562622"/>
      <w:bookmarkStart w:id="6390" w:name="_Toc13568609"/>
      <w:bookmarkStart w:id="6391" w:name="_Toc13603216"/>
      <w:bookmarkStart w:id="6392" w:name="_Toc13603319"/>
      <w:bookmarkStart w:id="6393" w:name="_Toc13657868"/>
      <w:bookmarkStart w:id="6394" w:name="_Toc13664028"/>
      <w:r w:rsidRPr="007E0C12">
        <w:rPr>
          <w:rFonts w:hint="cs"/>
          <w:rtl/>
        </w:rPr>
        <w:t>דברי הרא"ה דבמקום שהאיסור נימוח ונתערב בהיתר מדאו' הוא בטל ברוב ואינו בכלל "הטמאים"</w:t>
      </w:r>
      <w:bookmarkEnd w:id="6384"/>
      <w:bookmarkEnd w:id="6385"/>
      <w:bookmarkEnd w:id="6386"/>
      <w:bookmarkEnd w:id="6387"/>
      <w:bookmarkEnd w:id="6388"/>
      <w:bookmarkEnd w:id="6389"/>
      <w:bookmarkEnd w:id="6390"/>
      <w:bookmarkEnd w:id="6391"/>
      <w:bookmarkEnd w:id="6392"/>
      <w:bookmarkEnd w:id="6393"/>
      <w:bookmarkEnd w:id="6394"/>
    </w:p>
    <w:p w:rsidR="009A0058" w:rsidRPr="007E0C12" w:rsidRDefault="009A0058" w:rsidP="009F44AF">
      <w:pPr>
        <w:pStyle w:val="a"/>
        <w:rPr>
          <w:rStyle w:val="afa"/>
          <w:rtl/>
        </w:rPr>
      </w:pPr>
      <w:r w:rsidRPr="007E0C12">
        <w:rPr>
          <w:rFonts w:hint="cs"/>
          <w:rtl/>
        </w:rPr>
        <w:lastRenderedPageBreak/>
        <w:t xml:space="preserve">וביאר </w:t>
      </w:r>
      <w:r w:rsidRPr="007E0C12">
        <w:rPr>
          <w:rStyle w:val="af8"/>
          <w:rFonts w:hint="cs"/>
          <w:rtl/>
        </w:rPr>
        <w:t>הרא"ה בבד"ה</w:t>
      </w:r>
      <w:r w:rsidRPr="007E0C12">
        <w:rPr>
          <w:rFonts w:hint="cs"/>
          <w:rtl/>
        </w:rPr>
        <w:t xml:space="preserve"> דכיון שהאיסור נמחה ואינו ניכר במראה, והתערב ברוב של ההיתר, דהאיסור עצמו בטל מדין חד בתרי בטיל, אבל במקום שהטעם עומד בפנ"ע ודאי דאסור מדאו', מילפותא דהטמאים. [</w:t>
      </w:r>
      <w:r w:rsidRPr="007E0C12">
        <w:rPr>
          <w:rStyle w:val="afa"/>
          <w:rFonts w:hint="cs"/>
          <w:rtl/>
        </w:rPr>
        <w:t xml:space="preserve">ועי' במה שחקרו </w:t>
      </w:r>
      <w:r w:rsidRPr="007E0C12">
        <w:rPr>
          <w:rStyle w:val="affa"/>
          <w:rFonts w:hint="cs"/>
          <w:rtl/>
        </w:rPr>
        <w:t>הגרעק"א</w:t>
      </w:r>
      <w:r w:rsidRPr="007E0C12">
        <w:rPr>
          <w:rStyle w:val="afa"/>
          <w:rFonts w:hint="cs"/>
          <w:rtl/>
        </w:rPr>
        <w:t xml:space="preserve"> </w:t>
      </w:r>
      <w:r w:rsidRPr="00163236">
        <w:rPr>
          <w:rStyle w:val="aff6"/>
          <w:rFonts w:hint="cs"/>
          <w:rtl/>
        </w:rPr>
        <w:t>(צז: במערכה אות ו')</w:t>
      </w:r>
      <w:r>
        <w:rPr>
          <w:rFonts w:hint="cs"/>
          <w:rtl/>
        </w:rPr>
        <w:t xml:space="preserve"> </w:t>
      </w:r>
      <w:r w:rsidRPr="007E0C12">
        <w:rPr>
          <w:rStyle w:val="afa"/>
          <w:rFonts w:hint="cs"/>
          <w:rtl/>
        </w:rPr>
        <w:t xml:space="preserve"> </w:t>
      </w:r>
      <w:r w:rsidRPr="007E0C12">
        <w:rPr>
          <w:rStyle w:val="affa"/>
          <w:rFonts w:hint="cs"/>
          <w:rtl/>
        </w:rPr>
        <w:t>והחמד"</w:t>
      </w:r>
      <w:r>
        <w:rPr>
          <w:rStyle w:val="affa"/>
          <w:rFonts w:hint="cs"/>
          <w:rtl/>
        </w:rPr>
        <w:t xml:space="preserve">ש </w:t>
      </w:r>
      <w:r w:rsidRPr="00163236">
        <w:rPr>
          <w:rStyle w:val="aff6"/>
          <w:rFonts w:hint="cs"/>
          <w:rtl/>
        </w:rPr>
        <w:t xml:space="preserve">(שו"ת יו"ד סי' י"ג, הובאו לעיל סימן ח' אות </w:t>
      </w:r>
      <w:r w:rsidR="00971984">
        <w:rPr>
          <w:rStyle w:val="aff6"/>
          <w:rtl/>
        </w:rPr>
        <w:fldChar w:fldCharType="begin"/>
      </w:r>
      <w:r w:rsidR="00971984">
        <w:rPr>
          <w:rStyle w:val="aff6"/>
          <w:rtl/>
        </w:rPr>
        <w:instrText xml:space="preserve"> </w:instrText>
      </w:r>
      <w:r w:rsidR="00971984">
        <w:rPr>
          <w:rStyle w:val="aff6"/>
          <w:rFonts w:hint="cs"/>
        </w:rPr>
        <w:instrText>REF</w:instrText>
      </w:r>
      <w:r w:rsidR="00971984">
        <w:rPr>
          <w:rStyle w:val="aff6"/>
          <w:rFonts w:hint="cs"/>
          <w:rtl/>
        </w:rPr>
        <w:instrText xml:space="preserve"> _</w:instrText>
      </w:r>
      <w:r w:rsidR="00971984">
        <w:rPr>
          <w:rStyle w:val="aff6"/>
          <w:rFonts w:hint="cs"/>
        </w:rPr>
        <w:instrText>Ref14428134 \r \h</w:instrText>
      </w:r>
      <w:r w:rsidR="00971984">
        <w:rPr>
          <w:rStyle w:val="aff6"/>
          <w:rtl/>
        </w:rPr>
        <w:instrText xml:space="preserve"> </w:instrText>
      </w:r>
      <w:r w:rsidR="00971984">
        <w:rPr>
          <w:rStyle w:val="aff6"/>
          <w:rtl/>
        </w:rPr>
      </w:r>
      <w:r w:rsidR="00971984">
        <w:rPr>
          <w:rStyle w:val="aff6"/>
          <w:rtl/>
        </w:rPr>
        <w:fldChar w:fldCharType="separate"/>
      </w:r>
      <w:r w:rsidR="004D1C5B">
        <w:rPr>
          <w:rStyle w:val="aff6"/>
          <w:cs/>
        </w:rPr>
        <w:t>‎</w:t>
      </w:r>
      <w:r w:rsidR="004D1C5B">
        <w:rPr>
          <w:rStyle w:val="aff6"/>
          <w:rtl/>
        </w:rPr>
        <w:t>פב)</w:t>
      </w:r>
      <w:r w:rsidR="00971984">
        <w:rPr>
          <w:rStyle w:val="aff6"/>
          <w:rtl/>
        </w:rPr>
        <w:fldChar w:fldCharType="end"/>
      </w:r>
      <w:r>
        <w:rPr>
          <w:rFonts w:hint="cs"/>
          <w:rtl/>
        </w:rPr>
        <w:t xml:space="preserve"> </w:t>
      </w:r>
      <w:r w:rsidRPr="007E0C12">
        <w:rPr>
          <w:rStyle w:val="afa"/>
          <w:rFonts w:hint="cs"/>
          <w:rtl/>
        </w:rPr>
        <w:t xml:space="preserve">אי מדאו' צריך ביטול ברוב, או שמדאו' אין איסור בטעם בתערובת, ומדברי </w:t>
      </w:r>
      <w:r w:rsidRPr="007E0C12">
        <w:rPr>
          <w:rStyle w:val="affa"/>
          <w:rFonts w:hint="cs"/>
          <w:rtl/>
        </w:rPr>
        <w:t>הרא"ה</w:t>
      </w:r>
      <w:r w:rsidRPr="007E0C12">
        <w:rPr>
          <w:rStyle w:val="afa"/>
          <w:rFonts w:hint="cs"/>
          <w:rtl/>
        </w:rPr>
        <w:t xml:space="preserve"> לכאו' מוכח שצריך ביטול].</w:t>
      </w:r>
    </w:p>
    <w:p w:rsidR="009A0058" w:rsidRPr="007E0C12" w:rsidRDefault="009A0058" w:rsidP="009A0058">
      <w:pPr>
        <w:pStyle w:val="1"/>
        <w:rPr>
          <w:rtl/>
        </w:rPr>
      </w:pPr>
      <w:bookmarkStart w:id="6395" w:name="_Toc13134845"/>
      <w:bookmarkStart w:id="6396" w:name="_Toc13244706"/>
      <w:bookmarkStart w:id="6397" w:name="_Toc13396682"/>
      <w:bookmarkStart w:id="6398" w:name="_Toc13418701"/>
      <w:bookmarkStart w:id="6399" w:name="_Toc13516537"/>
      <w:bookmarkStart w:id="6400" w:name="_Toc13562623"/>
      <w:bookmarkStart w:id="6401" w:name="_Toc13568610"/>
      <w:bookmarkStart w:id="6402" w:name="_Toc13603217"/>
      <w:bookmarkStart w:id="6403" w:name="_Toc13603320"/>
      <w:bookmarkStart w:id="6404" w:name="_Toc13657869"/>
      <w:bookmarkStart w:id="6405" w:name="_Toc13664029"/>
      <w:r w:rsidRPr="007E0C12">
        <w:rPr>
          <w:rFonts w:hint="cs"/>
          <w:rtl/>
        </w:rPr>
        <w:t>דברי הר"ן דיש ג' אופנים בטעם כעיקר</w:t>
      </w:r>
      <w:bookmarkEnd w:id="6395"/>
      <w:bookmarkEnd w:id="6396"/>
      <w:bookmarkEnd w:id="6397"/>
      <w:bookmarkEnd w:id="6398"/>
      <w:bookmarkEnd w:id="6399"/>
      <w:bookmarkEnd w:id="6400"/>
      <w:bookmarkEnd w:id="6401"/>
      <w:bookmarkEnd w:id="6402"/>
      <w:bookmarkEnd w:id="6403"/>
      <w:bookmarkEnd w:id="6404"/>
      <w:bookmarkEnd w:id="6405"/>
    </w:p>
    <w:p w:rsidR="009A0058" w:rsidRPr="007E0C12" w:rsidRDefault="009A0058" w:rsidP="009A0058">
      <w:pPr>
        <w:pStyle w:val="a2"/>
        <w:rPr>
          <w:rtl/>
        </w:rPr>
      </w:pPr>
      <w:bookmarkStart w:id="6406" w:name="_Toc13664030"/>
      <w:r>
        <w:rPr>
          <w:rFonts w:hint="cs"/>
          <w:rtl/>
        </w:rPr>
        <w:t>דברי הר"ן דכשיש בהיתר רק את טעם האיסור ילפינן ממשרת דאף שאין מגוף הענבים במים אסור</w:t>
      </w:r>
      <w:bookmarkEnd w:id="6406"/>
      <w:r>
        <w:rPr>
          <w:rFonts w:hint="cs"/>
          <w:rtl/>
        </w:rPr>
        <w:t xml:space="preserve"> </w:t>
      </w:r>
    </w:p>
    <w:p w:rsidR="009A0058" w:rsidRPr="005A6523" w:rsidRDefault="009A0058" w:rsidP="009F44AF">
      <w:pPr>
        <w:pStyle w:val="a"/>
        <w:rPr>
          <w:rStyle w:val="afa"/>
        </w:rPr>
      </w:pPr>
      <w:bookmarkStart w:id="6407" w:name="_Ref13068443"/>
      <w:r w:rsidRPr="007E0C12">
        <w:rPr>
          <w:rFonts w:hint="cs"/>
          <w:rtl/>
        </w:rPr>
        <w:t xml:space="preserve">כתב </w:t>
      </w:r>
      <w:r w:rsidRPr="005A6523">
        <w:rPr>
          <w:rStyle w:val="af8"/>
          <w:rFonts w:hint="cs"/>
          <w:rtl/>
        </w:rPr>
        <w:t>הר"ן בחי'</w:t>
      </w:r>
      <w:r w:rsidRPr="007E0C12">
        <w:rPr>
          <w:rFonts w:hint="cs"/>
          <w:rtl/>
        </w:rPr>
        <w:t xml:space="preserve"> </w:t>
      </w:r>
      <w:r w:rsidRPr="005A6523">
        <w:rPr>
          <w:rStyle w:val="af6"/>
          <w:rFonts w:eastAsia="Guttman Hodes" w:hint="cs"/>
          <w:rtl/>
        </w:rPr>
        <w:t>(ד"ה והוי)</w:t>
      </w:r>
      <w:r w:rsidRPr="007E0C12">
        <w:rPr>
          <w:rFonts w:hint="cs"/>
          <w:rtl/>
        </w:rPr>
        <w:t xml:space="preserve"> דלדעת רבנן יש ג' פסוקים בדין טעם כעיקר, כנגד ג' אופנים שיש בטעם כעיקר, האופן הא' כשההיתר קלט מהאיסור רק את טעמו, ולא את גופו ולא את פליטתו, דילפינן ממשרת דנז</w:t>
      </w:r>
      <w:r>
        <w:rPr>
          <w:rFonts w:hint="cs"/>
          <w:rtl/>
        </w:rPr>
        <w:t xml:space="preserve">יר ששרה ענבים ביין ויש בהם טעם </w:t>
      </w:r>
      <w:r w:rsidRPr="007E0C12">
        <w:rPr>
          <w:rFonts w:hint="cs"/>
          <w:rtl/>
        </w:rPr>
        <w:t>יין חייב, ואיירי שאין מעורב במים לא מגוף הענבים ולא מהפליטה שלהם, ואפ"ה כיון שקלטו המים את טעם הענבים, חשיב כאילו מעורב במים טעם יין וחייב.</w:t>
      </w:r>
      <w:bookmarkEnd w:id="6407"/>
      <w:r w:rsidRPr="007E0C12">
        <w:rPr>
          <w:rFonts w:hint="cs"/>
          <w:rtl/>
        </w:rPr>
        <w:t xml:space="preserve"> </w:t>
      </w:r>
      <w:r w:rsidRPr="005A6523">
        <w:rPr>
          <w:rStyle w:val="afa"/>
          <w:rFonts w:hint="cs"/>
          <w:rtl/>
        </w:rPr>
        <w:t xml:space="preserve">[ודלא </w:t>
      </w:r>
      <w:r w:rsidRPr="005A6523">
        <w:rPr>
          <w:rStyle w:val="affa"/>
          <w:rFonts w:hint="cs"/>
          <w:rtl/>
        </w:rPr>
        <w:t>כבעה"מ</w:t>
      </w:r>
      <w:r w:rsidRPr="005A6523">
        <w:rPr>
          <w:rStyle w:val="afa"/>
          <w:rFonts w:hint="cs"/>
          <w:rtl/>
        </w:rPr>
        <w:t xml:space="preserve"> </w:t>
      </w:r>
      <w:r w:rsidRPr="005A6523">
        <w:rPr>
          <w:rStyle w:val="aff6"/>
          <w:rFonts w:hint="cs"/>
          <w:rtl/>
        </w:rPr>
        <w:t xml:space="preserve">(עי' אות </w:t>
      </w:r>
      <w:r w:rsidRPr="005A6523">
        <w:rPr>
          <w:rStyle w:val="aff6"/>
          <w:rtl/>
        </w:rPr>
        <w:fldChar w:fldCharType="begin"/>
      </w:r>
      <w:r w:rsidRPr="005A6523">
        <w:rPr>
          <w:rStyle w:val="aff6"/>
          <w:rtl/>
        </w:rPr>
        <w:instrText xml:space="preserve"> </w:instrText>
      </w:r>
      <w:r w:rsidRPr="005A6523">
        <w:rPr>
          <w:rStyle w:val="aff6"/>
          <w:rFonts w:hint="cs"/>
        </w:rPr>
        <w:instrText>REF</w:instrText>
      </w:r>
      <w:r w:rsidRPr="005A6523">
        <w:rPr>
          <w:rStyle w:val="aff6"/>
          <w:rFonts w:hint="cs"/>
          <w:rtl/>
        </w:rPr>
        <w:instrText xml:space="preserve"> _</w:instrText>
      </w:r>
      <w:r w:rsidRPr="005A6523">
        <w:rPr>
          <w:rStyle w:val="aff6"/>
          <w:rFonts w:hint="cs"/>
        </w:rPr>
        <w:instrText>Ref13068475 \r \h</w:instrText>
      </w:r>
      <w:r w:rsidRPr="005A6523">
        <w:rPr>
          <w:rStyle w:val="aff6"/>
          <w:rtl/>
        </w:rPr>
        <w:instrText xml:space="preserve">  \* </w:instrText>
      </w:r>
      <w:r w:rsidRPr="005A6523">
        <w:rPr>
          <w:rStyle w:val="aff6"/>
        </w:rPr>
        <w:instrText>MERGEFORMAT</w:instrText>
      </w:r>
      <w:r w:rsidRPr="005A6523">
        <w:rPr>
          <w:rStyle w:val="aff6"/>
          <w:rtl/>
        </w:rPr>
        <w:instrText xml:space="preserve"> </w:instrText>
      </w:r>
      <w:r w:rsidRPr="005A6523">
        <w:rPr>
          <w:rStyle w:val="aff6"/>
          <w:rtl/>
        </w:rPr>
      </w:r>
      <w:r w:rsidRPr="005A6523">
        <w:rPr>
          <w:rStyle w:val="aff6"/>
          <w:rtl/>
        </w:rPr>
        <w:fldChar w:fldCharType="separate"/>
      </w:r>
      <w:r w:rsidR="004D1C5B">
        <w:rPr>
          <w:rStyle w:val="aff6"/>
          <w:cs/>
        </w:rPr>
        <w:t>‎</w:t>
      </w:r>
      <w:r w:rsidR="004D1C5B">
        <w:rPr>
          <w:rStyle w:val="aff6"/>
          <w:rtl/>
        </w:rPr>
        <w:t>צד)</w:t>
      </w:r>
      <w:r w:rsidRPr="005A6523">
        <w:rPr>
          <w:rStyle w:val="aff6"/>
          <w:rtl/>
        </w:rPr>
        <w:fldChar w:fldCharType="end"/>
      </w:r>
      <w:r w:rsidRPr="005A6523">
        <w:rPr>
          <w:rStyle w:val="afa"/>
          <w:rFonts w:hint="cs"/>
          <w:rtl/>
        </w:rPr>
        <w:t xml:space="preserve"> דכתב דטעם כעיקר הוא דוקא כשנמחה בו ממשו של האיסור].</w:t>
      </w:r>
    </w:p>
    <w:p w:rsidR="00BF6BED" w:rsidRPr="00F03EB4" w:rsidRDefault="00BF6BED" w:rsidP="00BF6BED">
      <w:pPr>
        <w:pStyle w:val="a2"/>
      </w:pPr>
      <w:bookmarkStart w:id="6408" w:name="_Toc13664032"/>
      <w:r>
        <w:rPr>
          <w:rFonts w:hint="cs"/>
          <w:rtl/>
        </w:rPr>
        <w:t>דברי רבינו יונה דבשרה ענבים במים יש ממשות ולא רק טעם ודברי היד יהודה דהחוש מוכיח כן</w:t>
      </w:r>
    </w:p>
    <w:p w:rsidR="00BF6BED" w:rsidRDefault="00BF6BED" w:rsidP="009F44AF">
      <w:pPr>
        <w:pStyle w:val="a"/>
      </w:pPr>
      <w:r>
        <w:rPr>
          <w:rFonts w:hint="cs"/>
          <w:rtl/>
        </w:rPr>
        <w:t xml:space="preserve">ועי' במה שתמה </w:t>
      </w:r>
      <w:r w:rsidRPr="00013AD7">
        <w:rPr>
          <w:rStyle w:val="af8"/>
          <w:rFonts w:hint="cs"/>
          <w:rtl/>
        </w:rPr>
        <w:t>היד יהודה</w:t>
      </w:r>
      <w:r>
        <w:rPr>
          <w:rFonts w:hint="cs"/>
          <w:rtl/>
        </w:rPr>
        <w:t xml:space="preserve"> </w:t>
      </w:r>
      <w:r w:rsidRPr="00D96D90">
        <w:rPr>
          <w:rStyle w:val="af6"/>
          <w:rFonts w:eastAsia="Guttman Hodes" w:hint="cs"/>
          <w:rtl/>
        </w:rPr>
        <w:t>(סי' צ"ח סק"ו ד"ה והנה אדרבה בתו"ד)</w:t>
      </w:r>
      <w:r>
        <w:rPr>
          <w:rFonts w:hint="cs"/>
          <w:rtl/>
        </w:rPr>
        <w:t xml:space="preserve"> דבשרה ענבים במים החוש מוכיח דיש ממשות של הענבים במים, דהמים נכנסים לתוך הענבים, ומהענבים יוצא ממשות לתוך המים, וכן מבואר להדיא בדברי תלמידי </w:t>
      </w:r>
      <w:r>
        <w:rPr>
          <w:rtl/>
        </w:rPr>
        <w:t xml:space="preserve">רבינו יונה בע"ז </w:t>
      </w:r>
      <w:r w:rsidRPr="00BF6BED">
        <w:rPr>
          <w:rStyle w:val="af6"/>
          <w:rFonts w:eastAsia="Guttman Hodes"/>
          <w:rtl/>
        </w:rPr>
        <w:t>(ס. ד"ה ומאי דאמרינן בתו"ד</w:t>
      </w:r>
      <w:r w:rsidRPr="00BF6BED">
        <w:rPr>
          <w:rStyle w:val="af6"/>
          <w:rFonts w:eastAsia="Guttman Hodes" w:hint="cs"/>
          <w:rtl/>
        </w:rPr>
        <w:t>, הועתק בקובץ שיטות קמאי ע"ז ח"ב עמ' אלף תרכ"ו</w:t>
      </w:r>
      <w:r w:rsidRPr="00BF6BED">
        <w:rPr>
          <w:rStyle w:val="af6"/>
          <w:rFonts w:eastAsia="Guttman Hodes"/>
          <w:rtl/>
        </w:rPr>
        <w:t>)</w:t>
      </w:r>
      <w:r>
        <w:rPr>
          <w:rtl/>
        </w:rPr>
        <w:t xml:space="preserve"> </w:t>
      </w:r>
      <w:r>
        <w:rPr>
          <w:rFonts w:hint="cs"/>
          <w:rtl/>
        </w:rPr>
        <w:t xml:space="preserve">דכתבו </w:t>
      </w:r>
      <w:r>
        <w:rPr>
          <w:rtl/>
        </w:rPr>
        <w:t>דבמשרת חשיב שמעורב ממשו של האיסור.</w:t>
      </w:r>
    </w:p>
    <w:p w:rsidR="009A0058" w:rsidRPr="007E0C12" w:rsidRDefault="009A0058" w:rsidP="009A0058">
      <w:pPr>
        <w:pStyle w:val="a2"/>
        <w:rPr>
          <w:rtl/>
        </w:rPr>
      </w:pPr>
      <w:r>
        <w:rPr>
          <w:rFonts w:hint="cs"/>
          <w:rtl/>
        </w:rPr>
        <w:t>דברי הר"ן דכשיש בהיתר את פליטת האיסור ולא את גופו ילפינן מגיעולי עכו"ם דאסור</w:t>
      </w:r>
      <w:bookmarkEnd w:id="6408"/>
    </w:p>
    <w:p w:rsidR="009A0058" w:rsidRPr="007E0C12" w:rsidRDefault="009A0058" w:rsidP="009F44AF">
      <w:pPr>
        <w:pStyle w:val="a"/>
        <w:rPr>
          <w:rtl/>
        </w:rPr>
      </w:pPr>
      <w:r w:rsidRPr="007E0C12">
        <w:rPr>
          <w:rFonts w:hint="cs"/>
          <w:rtl/>
        </w:rPr>
        <w:t xml:space="preserve">והאופן הב' כתב </w:t>
      </w:r>
      <w:r w:rsidRPr="005A6523">
        <w:rPr>
          <w:rStyle w:val="af8"/>
          <w:rFonts w:hint="cs"/>
          <w:rtl/>
        </w:rPr>
        <w:t>הר"ן בחי'</w:t>
      </w:r>
      <w:r w:rsidRPr="007E0C12">
        <w:rPr>
          <w:rFonts w:hint="cs"/>
          <w:rtl/>
        </w:rPr>
        <w:t xml:space="preserve"> שההיתר קלט מהאיסור את פליטתו, אך לא מעורב בהיתר מגוף האיסור, דילפינן מגיעולי עכו"ם.</w:t>
      </w:r>
    </w:p>
    <w:p w:rsidR="009A0058" w:rsidRPr="007E0C12" w:rsidRDefault="009A0058" w:rsidP="009A0058">
      <w:pPr>
        <w:pStyle w:val="a2"/>
        <w:rPr>
          <w:rtl/>
        </w:rPr>
      </w:pPr>
      <w:bookmarkStart w:id="6409" w:name="_Toc13664033"/>
      <w:r>
        <w:rPr>
          <w:rFonts w:hint="cs"/>
          <w:rtl/>
        </w:rPr>
        <w:t>דברי הר"ן דכשמעורב בהיתר את גוף האיסור וטעמו ילפינן מבשר בחלב דאסור</w:t>
      </w:r>
      <w:bookmarkEnd w:id="6409"/>
    </w:p>
    <w:p w:rsidR="009A0058" w:rsidRDefault="009A0058" w:rsidP="009F44AF">
      <w:pPr>
        <w:pStyle w:val="a"/>
        <w:rPr>
          <w:rtl/>
        </w:rPr>
      </w:pPr>
      <w:r w:rsidRPr="007E0C12">
        <w:rPr>
          <w:rFonts w:hint="cs"/>
          <w:rtl/>
        </w:rPr>
        <w:t>והאופן הג' כתב</w:t>
      </w:r>
      <w:r w:rsidRPr="005A6523">
        <w:rPr>
          <w:rStyle w:val="af8"/>
          <w:rFonts w:hint="cs"/>
          <w:rtl/>
        </w:rPr>
        <w:t xml:space="preserve"> הר"ן בחי'</w:t>
      </w:r>
      <w:r w:rsidRPr="007E0C12">
        <w:rPr>
          <w:rFonts w:hint="cs"/>
          <w:rtl/>
        </w:rPr>
        <w:t xml:space="preserve"> דמעורב בהיתר מגופו של האיסור, דילפינן מבשר בחלב, כדאיתא בגמ' לקמן </w:t>
      </w:r>
      <w:r w:rsidRPr="005A6523">
        <w:rPr>
          <w:rStyle w:val="af6"/>
          <w:rFonts w:eastAsia="Guttman Hodes" w:hint="cs"/>
          <w:rtl/>
        </w:rPr>
        <w:t>(קח.)</w:t>
      </w:r>
      <w:r w:rsidRPr="007E0C12">
        <w:rPr>
          <w:rFonts w:hint="cs"/>
          <w:rtl/>
        </w:rPr>
        <w:t>, דאף שגוף החלב מעורב בבשר נקרא טעם כעיקר, כיון שגוף החלב נבלע בבשר</w:t>
      </w:r>
      <w:r>
        <w:rPr>
          <w:rFonts w:hint="cs"/>
          <w:rtl/>
        </w:rPr>
        <w:t>.</w:t>
      </w:r>
    </w:p>
    <w:p w:rsidR="009A0058" w:rsidRPr="006D19DF" w:rsidRDefault="009A0058" w:rsidP="009A0058">
      <w:pPr>
        <w:pStyle w:val="a2"/>
      </w:pPr>
      <w:bookmarkStart w:id="6410" w:name="_Toc13664034"/>
      <w:r>
        <w:rPr>
          <w:rFonts w:hint="cs"/>
          <w:rtl/>
        </w:rPr>
        <w:t>דברי הר"ן דלח בלח חשיב עיקרו של איסור אבל חלב שבלוע בבשר נקרא טעם כעיקר</w:t>
      </w:r>
      <w:bookmarkEnd w:id="6410"/>
    </w:p>
    <w:p w:rsidR="009A0058" w:rsidRDefault="009A0058" w:rsidP="009F44AF">
      <w:pPr>
        <w:pStyle w:val="a"/>
        <w:rPr>
          <w:rtl/>
        </w:rPr>
      </w:pPr>
      <w:bookmarkStart w:id="6411" w:name="_Ref13662508"/>
      <w:r w:rsidRPr="007E0C12">
        <w:rPr>
          <w:rFonts w:hint="cs"/>
          <w:rtl/>
        </w:rPr>
        <w:t>ו</w:t>
      </w:r>
      <w:r>
        <w:rPr>
          <w:rFonts w:hint="cs"/>
          <w:rtl/>
        </w:rPr>
        <w:t xml:space="preserve">הוסיף </w:t>
      </w:r>
      <w:r w:rsidRPr="005A6523">
        <w:rPr>
          <w:rStyle w:val="af8"/>
          <w:rFonts w:hint="cs"/>
          <w:rtl/>
        </w:rPr>
        <w:t>הר"ן בחי'</w:t>
      </w:r>
      <w:r>
        <w:rPr>
          <w:rFonts w:hint="cs"/>
          <w:rtl/>
        </w:rPr>
        <w:t xml:space="preserve"> דבשר בחלב </w:t>
      </w:r>
      <w:r w:rsidRPr="007E0C12">
        <w:rPr>
          <w:rFonts w:hint="cs"/>
          <w:rtl/>
        </w:rPr>
        <w:t>אינו כלח בלח שנבלל אחד בחבירו, דבלח בלח נקרא עיקרו של איסור ולא טעם כעיקר, דהאיסור וההיתר בלולים יחד, אבל בבשר בחלב שהחלב הלח נבלע בתוך הבשר, חשיב טעם כעיקר</w:t>
      </w:r>
      <w:r>
        <w:rPr>
          <w:rFonts w:hint="cs"/>
          <w:rtl/>
        </w:rPr>
        <w:t xml:space="preserve">, ועיי"ש במה שביאר </w:t>
      </w:r>
      <w:r w:rsidRPr="005A6523">
        <w:rPr>
          <w:rStyle w:val="af8"/>
          <w:rFonts w:hint="cs"/>
          <w:rtl/>
        </w:rPr>
        <w:t>הר"ן</w:t>
      </w:r>
      <w:r>
        <w:rPr>
          <w:rFonts w:hint="cs"/>
          <w:rtl/>
        </w:rPr>
        <w:t xml:space="preserve"> בילפותות לדין טעם כעיקר, ובביאור דברי </w:t>
      </w:r>
      <w:r w:rsidRPr="005A6523">
        <w:rPr>
          <w:rStyle w:val="af8"/>
          <w:rFonts w:hint="cs"/>
          <w:rtl/>
        </w:rPr>
        <w:t>רש"י</w:t>
      </w:r>
      <w:r>
        <w:rPr>
          <w:rFonts w:hint="cs"/>
          <w:rtl/>
        </w:rPr>
        <w:t xml:space="preserve"> דטעם כעיקר דרבנן, ועי' בדברי </w:t>
      </w:r>
      <w:r w:rsidRPr="005A6523">
        <w:rPr>
          <w:rStyle w:val="af8"/>
          <w:rFonts w:hint="cs"/>
          <w:rtl/>
        </w:rPr>
        <w:t>החוו"ד</w:t>
      </w:r>
      <w:r>
        <w:rPr>
          <w:rFonts w:hint="cs"/>
          <w:rtl/>
        </w:rPr>
        <w:t xml:space="preserve"> </w:t>
      </w:r>
      <w:r w:rsidRPr="005A6523">
        <w:rPr>
          <w:rStyle w:val="af6"/>
          <w:rFonts w:eastAsia="Guttman Hodes" w:hint="cs"/>
          <w:rtl/>
        </w:rPr>
        <w:t xml:space="preserve">(עי' אות </w:t>
      </w:r>
      <w:r w:rsidRPr="005A6523">
        <w:rPr>
          <w:rStyle w:val="af6"/>
          <w:rFonts w:eastAsia="Guttman Hodes"/>
          <w:rtl/>
        </w:rPr>
        <w:fldChar w:fldCharType="begin"/>
      </w:r>
      <w:r w:rsidRPr="005A6523">
        <w:rPr>
          <w:rStyle w:val="af6"/>
          <w:rFonts w:eastAsia="Guttman Hodes"/>
          <w:rtl/>
        </w:rPr>
        <w:instrText xml:space="preserve"> </w:instrText>
      </w:r>
      <w:r w:rsidRPr="005A6523">
        <w:rPr>
          <w:rStyle w:val="af6"/>
          <w:rFonts w:eastAsia="Guttman Hodes" w:hint="cs"/>
        </w:rPr>
        <w:instrText>REF</w:instrText>
      </w:r>
      <w:r w:rsidRPr="005A6523">
        <w:rPr>
          <w:rStyle w:val="af6"/>
          <w:rFonts w:eastAsia="Guttman Hodes" w:hint="cs"/>
          <w:rtl/>
        </w:rPr>
        <w:instrText xml:space="preserve"> _</w:instrText>
      </w:r>
      <w:r w:rsidRPr="005A6523">
        <w:rPr>
          <w:rStyle w:val="af6"/>
          <w:rFonts w:eastAsia="Guttman Hodes" w:hint="cs"/>
        </w:rPr>
        <w:instrText>Ref13662456 \r \h</w:instrText>
      </w:r>
      <w:r w:rsidRPr="005A6523">
        <w:rPr>
          <w:rStyle w:val="af6"/>
          <w:rFonts w:eastAsia="Guttman Hodes"/>
          <w:rtl/>
        </w:rPr>
        <w:instrText xml:space="preserve"> </w:instrText>
      </w:r>
      <w:r w:rsidRPr="005A6523">
        <w:rPr>
          <w:rStyle w:val="af6"/>
          <w:rFonts w:eastAsia="Guttman Hodes"/>
          <w:rtl/>
        </w:rPr>
      </w:r>
      <w:r w:rsidRPr="005A6523">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5A6523">
        <w:rPr>
          <w:rStyle w:val="af6"/>
          <w:rFonts w:eastAsia="Guttman Hodes"/>
          <w:rtl/>
        </w:rPr>
        <w:fldChar w:fldCharType="end"/>
      </w:r>
      <w:r>
        <w:rPr>
          <w:rFonts w:hint="cs"/>
          <w:rtl/>
        </w:rPr>
        <w:t xml:space="preserve"> במ"ש לחלק בין טעם בלוע ללח בלח</w:t>
      </w:r>
      <w:r w:rsidRPr="007E0C12">
        <w:rPr>
          <w:rFonts w:hint="cs"/>
          <w:rtl/>
        </w:rPr>
        <w:t>.</w:t>
      </w:r>
      <w:bookmarkEnd w:id="6411"/>
    </w:p>
    <w:p w:rsidR="009A0058" w:rsidRPr="00A57B8D" w:rsidRDefault="009A0058" w:rsidP="009A0058">
      <w:pPr>
        <w:pStyle w:val="1"/>
        <w:rPr>
          <w:rtl/>
        </w:rPr>
      </w:pPr>
      <w:bookmarkStart w:id="6412" w:name="_Toc13134846"/>
      <w:bookmarkStart w:id="6413" w:name="_Toc13244707"/>
      <w:bookmarkStart w:id="6414" w:name="_Toc13396683"/>
      <w:bookmarkStart w:id="6415" w:name="_Toc13418702"/>
      <w:bookmarkStart w:id="6416" w:name="_Toc13516538"/>
      <w:bookmarkStart w:id="6417" w:name="_Toc13562624"/>
      <w:bookmarkStart w:id="6418" w:name="_Toc13568611"/>
      <w:bookmarkStart w:id="6419" w:name="_Toc13603218"/>
      <w:bookmarkStart w:id="6420" w:name="_Toc13603321"/>
      <w:bookmarkStart w:id="6421" w:name="_Toc13657870"/>
      <w:bookmarkStart w:id="6422" w:name="_Toc13664035"/>
      <w:r w:rsidRPr="007E0C12">
        <w:rPr>
          <w:rFonts w:hint="cs"/>
          <w:rtl/>
        </w:rPr>
        <w:t>דעת הבעה"</w:t>
      </w:r>
      <w:r w:rsidRPr="00A57B8D">
        <w:rPr>
          <w:rFonts w:hint="cs"/>
          <w:rtl/>
        </w:rPr>
        <w:t>מ דטעם כעיקר הוא בנמחה ממשו</w:t>
      </w:r>
      <w:bookmarkEnd w:id="6412"/>
      <w:bookmarkEnd w:id="6413"/>
      <w:bookmarkEnd w:id="6414"/>
      <w:bookmarkEnd w:id="6415"/>
      <w:bookmarkEnd w:id="6416"/>
      <w:bookmarkEnd w:id="6417"/>
      <w:bookmarkEnd w:id="6418"/>
      <w:bookmarkEnd w:id="6419"/>
      <w:bookmarkEnd w:id="6420"/>
      <w:bookmarkEnd w:id="6421"/>
      <w:bookmarkEnd w:id="6422"/>
      <w:r w:rsidRPr="00A57B8D">
        <w:rPr>
          <w:rFonts w:hint="cs"/>
          <w:rtl/>
        </w:rPr>
        <w:t xml:space="preserve"> ואין בו מלקות</w:t>
      </w:r>
    </w:p>
    <w:p w:rsidR="009A0058" w:rsidRPr="00A57B8D" w:rsidRDefault="009A0058" w:rsidP="009A0058">
      <w:pPr>
        <w:pStyle w:val="a2"/>
        <w:rPr>
          <w:rtl/>
        </w:rPr>
      </w:pPr>
      <w:bookmarkStart w:id="6423" w:name="_Toc13664036"/>
      <w:r w:rsidRPr="00A57B8D">
        <w:rPr>
          <w:rFonts w:hint="cs"/>
          <w:rtl/>
        </w:rPr>
        <w:t>דברי הבעה"מ דטעמו ולא ממשו הוא רק באיסור שנימוח ולא ניכר ובכזית בכא"פ</w:t>
      </w:r>
      <w:bookmarkEnd w:id="6423"/>
      <w:r w:rsidRPr="00A57B8D">
        <w:rPr>
          <w:rFonts w:hint="cs"/>
          <w:rtl/>
        </w:rPr>
        <w:t xml:space="preserve"> ואין בו מלקות</w:t>
      </w:r>
    </w:p>
    <w:p w:rsidR="009A0058" w:rsidRPr="00A57B8D" w:rsidRDefault="009A0058" w:rsidP="009F44AF">
      <w:pPr>
        <w:pStyle w:val="a"/>
        <w:rPr>
          <w:rtl/>
        </w:rPr>
      </w:pPr>
      <w:bookmarkStart w:id="6424" w:name="_Ref13068475"/>
      <w:bookmarkStart w:id="6425" w:name="_Ref13663908"/>
      <w:r w:rsidRPr="00A57B8D">
        <w:rPr>
          <w:rFonts w:hint="cs"/>
          <w:rtl/>
        </w:rPr>
        <w:t xml:space="preserve">כתב </w:t>
      </w:r>
      <w:r w:rsidRPr="00A57B8D">
        <w:rPr>
          <w:rStyle w:val="af8"/>
          <w:rFonts w:hint="cs"/>
          <w:rtl/>
        </w:rPr>
        <w:t>הבעה"מ בפסחים</w:t>
      </w:r>
      <w:r w:rsidRPr="00A57B8D">
        <w:rPr>
          <w:rFonts w:hint="cs"/>
          <w:rtl/>
        </w:rPr>
        <w:t xml:space="preserve"> </w:t>
      </w:r>
      <w:r w:rsidRPr="00A57B8D">
        <w:rPr>
          <w:rStyle w:val="af6"/>
          <w:rFonts w:eastAsia="Guttman Hodes" w:hint="cs"/>
          <w:rtl/>
        </w:rPr>
        <w:t>(יג: מדפי הרי"ף)</w:t>
      </w:r>
      <w:r w:rsidRPr="00A57B8D">
        <w:rPr>
          <w:rFonts w:hint="cs"/>
          <w:rtl/>
        </w:rPr>
        <w:t xml:space="preserve"> דטעם כעיקר הוא רק בדבר שיש בו שיעור כזית מהאיסור, ונמחה האיסור בתוך ההיתר וטעמו ניכר בו, וכשאוכל ממנו שיעור כזית בכדי אכילת פרס מהאיסור שנמחה בו, זהו דין טעם כעיקר דאסור בכל התורה, ואין לוקין עליו, חוץ מאיסורי נזיר דלוקין עליו, ובמקום שניכר בהיתר ממשו של האיסור, לוקין עליו בכל האיסורים. </w:t>
      </w:r>
      <w:r w:rsidRPr="00A57B8D">
        <w:rPr>
          <w:rStyle w:val="afa"/>
          <w:rFonts w:hint="cs"/>
          <w:rtl/>
        </w:rPr>
        <w:t xml:space="preserve">[ודלא </w:t>
      </w:r>
      <w:r w:rsidRPr="00A57B8D">
        <w:rPr>
          <w:rStyle w:val="affa"/>
          <w:rFonts w:hint="cs"/>
          <w:rtl/>
        </w:rPr>
        <w:t xml:space="preserve">כהר"ן </w:t>
      </w:r>
      <w:r w:rsidRPr="00A57B8D">
        <w:rPr>
          <w:rStyle w:val="aff6"/>
          <w:rFonts w:hint="cs"/>
          <w:rtl/>
        </w:rPr>
        <w:t xml:space="preserve">(עי' אות </w:t>
      </w:r>
      <w:r w:rsidRPr="00A57B8D">
        <w:rPr>
          <w:rStyle w:val="aff6"/>
          <w:rtl/>
        </w:rPr>
        <w:fldChar w:fldCharType="begin"/>
      </w:r>
      <w:r w:rsidRPr="00A57B8D">
        <w:rPr>
          <w:rStyle w:val="aff6"/>
          <w:rtl/>
        </w:rPr>
        <w:instrText xml:space="preserve"> </w:instrText>
      </w:r>
      <w:r w:rsidRPr="00A57B8D">
        <w:rPr>
          <w:rStyle w:val="aff6"/>
          <w:rFonts w:hint="cs"/>
        </w:rPr>
        <w:instrText>REF</w:instrText>
      </w:r>
      <w:r w:rsidRPr="00A57B8D">
        <w:rPr>
          <w:rStyle w:val="aff6"/>
          <w:rFonts w:hint="cs"/>
          <w:rtl/>
        </w:rPr>
        <w:instrText xml:space="preserve"> _</w:instrText>
      </w:r>
      <w:r w:rsidRPr="00A57B8D">
        <w:rPr>
          <w:rStyle w:val="aff6"/>
          <w:rFonts w:hint="cs"/>
        </w:rPr>
        <w:instrText>Ref13068443 \r \h</w:instrText>
      </w:r>
      <w:r w:rsidRPr="00A57B8D">
        <w:rPr>
          <w:rStyle w:val="aff6"/>
          <w:rtl/>
        </w:rPr>
        <w:instrText xml:space="preserve">  \* </w:instrText>
      </w:r>
      <w:r w:rsidRPr="00A57B8D">
        <w:rPr>
          <w:rStyle w:val="aff6"/>
        </w:rPr>
        <w:instrText>MERGEFORMAT</w:instrText>
      </w:r>
      <w:r w:rsidRPr="00A57B8D">
        <w:rPr>
          <w:rStyle w:val="aff6"/>
          <w:rtl/>
        </w:rPr>
        <w:instrText xml:space="preserve"> </w:instrText>
      </w:r>
      <w:r w:rsidRPr="00A57B8D">
        <w:rPr>
          <w:rStyle w:val="aff6"/>
          <w:rtl/>
        </w:rPr>
      </w:r>
      <w:r w:rsidRPr="00A57B8D">
        <w:rPr>
          <w:rStyle w:val="aff6"/>
          <w:rtl/>
        </w:rPr>
        <w:fldChar w:fldCharType="separate"/>
      </w:r>
      <w:r w:rsidR="004D1C5B">
        <w:rPr>
          <w:rStyle w:val="aff6"/>
          <w:cs/>
        </w:rPr>
        <w:t>‎</w:t>
      </w:r>
      <w:r w:rsidR="004D1C5B">
        <w:rPr>
          <w:rStyle w:val="aff6"/>
          <w:rtl/>
        </w:rPr>
        <w:t>פט)</w:t>
      </w:r>
      <w:r w:rsidRPr="00A57B8D">
        <w:rPr>
          <w:rStyle w:val="aff6"/>
          <w:rtl/>
        </w:rPr>
        <w:fldChar w:fldCharType="end"/>
      </w:r>
      <w:r w:rsidRPr="00A57B8D">
        <w:rPr>
          <w:rStyle w:val="afa"/>
          <w:rFonts w:hint="cs"/>
          <w:rtl/>
        </w:rPr>
        <w:t xml:space="preserve"> דטעם כעיקר הוא אף כשאין בו ממשות כלל]</w:t>
      </w:r>
      <w:bookmarkEnd w:id="6424"/>
      <w:r w:rsidRPr="00A57B8D">
        <w:rPr>
          <w:rStyle w:val="afa"/>
          <w:rFonts w:hint="cs"/>
          <w:rtl/>
        </w:rPr>
        <w:t xml:space="preserve">, </w:t>
      </w:r>
      <w:r w:rsidRPr="00A57B8D">
        <w:rPr>
          <w:rFonts w:hint="cs"/>
          <w:rtl/>
        </w:rPr>
        <w:t xml:space="preserve">והוסיף </w:t>
      </w:r>
      <w:r w:rsidRPr="00A57B8D">
        <w:rPr>
          <w:rStyle w:val="af8"/>
          <w:rFonts w:hint="cs"/>
          <w:rtl/>
        </w:rPr>
        <w:t>הבעה"מ בפסחים</w:t>
      </w:r>
      <w:r w:rsidRPr="00A57B8D">
        <w:rPr>
          <w:rFonts w:hint="cs"/>
          <w:rtl/>
        </w:rPr>
        <w:t xml:space="preserve"> דאעפ"י דממשרת ילפינן לכל התורה דטעם כעיקר, מ"מ רק בנזיר לוקין על טעם כעיקר, ובכל התורה אין לוקין עליו, כיון דאין עונשין מן הדין.</w:t>
      </w:r>
      <w:bookmarkEnd w:id="6425"/>
    </w:p>
    <w:p w:rsidR="009A0058" w:rsidRPr="00A57B8D" w:rsidRDefault="009A0058" w:rsidP="009A0058">
      <w:pPr>
        <w:pStyle w:val="a2"/>
        <w:rPr>
          <w:rtl/>
        </w:rPr>
      </w:pPr>
      <w:bookmarkStart w:id="6426" w:name="_Toc13664037"/>
      <w:r w:rsidRPr="00A57B8D">
        <w:rPr>
          <w:rFonts w:hint="cs"/>
          <w:rtl/>
        </w:rPr>
        <w:t>דברי הבעה"מ דטעמו וממשו היינו שגוף האיסור ניכר בתערובת ונותן בה טעם  וטעמו היינו בנימוח</w:t>
      </w:r>
      <w:bookmarkEnd w:id="6426"/>
    </w:p>
    <w:p w:rsidR="009A0058" w:rsidRDefault="009A0058" w:rsidP="009F44AF">
      <w:pPr>
        <w:pStyle w:val="a"/>
        <w:rPr>
          <w:rtl/>
        </w:rPr>
      </w:pPr>
      <w:r w:rsidRPr="00A57B8D">
        <w:rPr>
          <w:rFonts w:hint="cs"/>
          <w:rtl/>
        </w:rPr>
        <w:t xml:space="preserve">וכתב </w:t>
      </w:r>
      <w:r w:rsidRPr="00A57B8D">
        <w:rPr>
          <w:rStyle w:val="af8"/>
          <w:rFonts w:hint="cs"/>
          <w:rtl/>
        </w:rPr>
        <w:t>הבעה"מ בפסחים</w:t>
      </w:r>
      <w:r w:rsidRPr="00A57B8D">
        <w:rPr>
          <w:rFonts w:hint="cs"/>
          <w:rtl/>
        </w:rPr>
        <w:t xml:space="preserve"> דהא דאמר ריו"ח בע"ז דטעמו וממשו אסור ולוקין עליו, היינו דכל שממשו של האיסור ניכר בתערובת והוא נותן טעם, דאף אם הוא פירורין פירורין ויש בתערובת רוב </w:t>
      </w:r>
      <w:r w:rsidRPr="00A57B8D">
        <w:rPr>
          <w:rFonts w:hint="cs"/>
          <w:rtl/>
        </w:rPr>
        <w:t>היתר כנגדו, מ"מ לוקין עליו כשאוכל כזית בכדי אכילת פרס, וטעמו ולא ממשו זהו טעם כעיקר, כיון שגוף האיסור נימוח, ואין ממשו נראה לעין, ואעפ"י דהוא אסור מדאו', מ"מ אין לוקין עליו דילפינן ממשרת ואין לוקין מן הדין.</w:t>
      </w:r>
    </w:p>
    <w:p w:rsidR="009A0058" w:rsidRDefault="009A0058" w:rsidP="00E669F8">
      <w:pPr>
        <w:pStyle w:val="afd"/>
        <w:rPr>
          <w:rtl/>
        </w:rPr>
      </w:pPr>
      <w:bookmarkStart w:id="6427" w:name="_Toc13657871"/>
      <w:bookmarkStart w:id="6428" w:name="_Toc13664038"/>
      <w:r w:rsidRPr="007E0C12">
        <w:rPr>
          <w:rFonts w:hint="cs"/>
          <w:rtl/>
        </w:rPr>
        <w:t xml:space="preserve">פלוגתת ר"ת והרמב"ן </w:t>
      </w:r>
      <w:bookmarkEnd w:id="6298"/>
      <w:bookmarkEnd w:id="6299"/>
      <w:bookmarkEnd w:id="6300"/>
      <w:bookmarkEnd w:id="6301"/>
      <w:bookmarkEnd w:id="6302"/>
      <w:bookmarkEnd w:id="6303"/>
      <w:bookmarkEnd w:id="6304"/>
      <w:r>
        <w:rPr>
          <w:rFonts w:hint="cs"/>
          <w:rtl/>
        </w:rPr>
        <w:t>והרא"ש בגדר ממשו</w:t>
      </w:r>
      <w:bookmarkEnd w:id="6427"/>
      <w:bookmarkEnd w:id="6428"/>
    </w:p>
    <w:p w:rsidR="009A0058" w:rsidRPr="0049072D" w:rsidRDefault="009A0058" w:rsidP="009A0058">
      <w:pPr>
        <w:pStyle w:val="1"/>
        <w:rPr>
          <w:rtl/>
        </w:rPr>
      </w:pPr>
      <w:bookmarkStart w:id="6429" w:name="_Toc13657872"/>
      <w:bookmarkStart w:id="6430" w:name="_Toc13664039"/>
      <w:r>
        <w:rPr>
          <w:rFonts w:hint="cs"/>
          <w:rtl/>
        </w:rPr>
        <w:t>דעת ר"ת דבעיסת אורז יש רק טעם דגן ואינו ממשו</w:t>
      </w:r>
      <w:bookmarkEnd w:id="6429"/>
      <w:bookmarkEnd w:id="6430"/>
    </w:p>
    <w:p w:rsidR="009A0058" w:rsidRPr="007E0C12" w:rsidRDefault="009A0058" w:rsidP="009A0058">
      <w:pPr>
        <w:pStyle w:val="a2"/>
      </w:pPr>
      <w:bookmarkStart w:id="6431" w:name="_Toc13396664"/>
      <w:bookmarkStart w:id="6432" w:name="_Toc13418681"/>
      <w:bookmarkStart w:id="6433" w:name="_Toc13516514"/>
      <w:bookmarkStart w:id="6434" w:name="_Toc13562603"/>
      <w:bookmarkStart w:id="6435" w:name="_Toc13568590"/>
      <w:bookmarkStart w:id="6436" w:name="_Toc13603197"/>
      <w:bookmarkStart w:id="6437" w:name="_Toc13603300"/>
      <w:bookmarkStart w:id="6438" w:name="_Toc13657873"/>
      <w:bookmarkStart w:id="6439" w:name="_Toc13664040"/>
      <w:r>
        <w:rPr>
          <w:rFonts w:hint="cs"/>
          <w:rtl/>
        </w:rPr>
        <w:t xml:space="preserve">קושית ר"ת </w:t>
      </w:r>
      <w:r w:rsidRPr="007E0C12">
        <w:rPr>
          <w:rFonts w:hint="cs"/>
          <w:rtl/>
        </w:rPr>
        <w:t>דבעיס</w:t>
      </w:r>
      <w:r>
        <w:rPr>
          <w:rFonts w:hint="cs"/>
          <w:rtl/>
        </w:rPr>
        <w:t>ה שרובה</w:t>
      </w:r>
      <w:r w:rsidRPr="007E0C12">
        <w:rPr>
          <w:rFonts w:hint="cs"/>
          <w:rtl/>
        </w:rPr>
        <w:t xml:space="preserve"> אורז </w:t>
      </w:r>
      <w:r>
        <w:rPr>
          <w:rFonts w:hint="cs"/>
          <w:rtl/>
        </w:rPr>
        <w:t>ו</w:t>
      </w:r>
      <w:r w:rsidRPr="007E0C12">
        <w:rPr>
          <w:rFonts w:hint="cs"/>
          <w:rtl/>
        </w:rPr>
        <w:t xml:space="preserve">יש בה טעם דגן </w:t>
      </w:r>
      <w:r>
        <w:rPr>
          <w:rFonts w:hint="cs"/>
          <w:rtl/>
        </w:rPr>
        <w:t>דינה כעיסת חיטין ו</w:t>
      </w:r>
      <w:r w:rsidRPr="007E0C12">
        <w:rPr>
          <w:rFonts w:hint="cs"/>
          <w:rtl/>
        </w:rPr>
        <w:t>מוכח דטע"כ דאו'</w:t>
      </w:r>
      <w:bookmarkEnd w:id="6431"/>
      <w:bookmarkEnd w:id="6432"/>
      <w:bookmarkEnd w:id="6433"/>
      <w:bookmarkEnd w:id="6434"/>
      <w:bookmarkEnd w:id="6435"/>
      <w:bookmarkEnd w:id="6436"/>
      <w:bookmarkEnd w:id="6437"/>
      <w:bookmarkEnd w:id="6438"/>
      <w:bookmarkEnd w:id="6439"/>
    </w:p>
    <w:p w:rsidR="00366EF4" w:rsidRDefault="009A0058" w:rsidP="009F44AF">
      <w:pPr>
        <w:pStyle w:val="a"/>
        <w:rPr>
          <w:rtl/>
        </w:rPr>
      </w:pPr>
      <w:bookmarkStart w:id="6440" w:name="_Ref14428505"/>
      <w:bookmarkStart w:id="6441" w:name="_Toc13396665"/>
      <w:bookmarkStart w:id="6442" w:name="_Toc13418682"/>
      <w:r w:rsidRPr="007E0C12">
        <w:rPr>
          <w:rFonts w:hint="cs"/>
          <w:rtl/>
        </w:rPr>
        <w:t xml:space="preserve">עוד הביאו </w:t>
      </w:r>
      <w:r w:rsidRPr="007E0C12">
        <w:rPr>
          <w:rStyle w:val="af8"/>
          <w:rFonts w:hint="cs"/>
          <w:rtl/>
        </w:rPr>
        <w:t xml:space="preserve">הרמב"ן </w:t>
      </w:r>
      <w:r w:rsidRPr="007E0C12">
        <w:rPr>
          <w:rStyle w:val="af6"/>
          <w:rFonts w:eastAsia="Guttman Hodes" w:hint="cs"/>
          <w:rtl/>
        </w:rPr>
        <w:t xml:space="preserve">(ד"ה ועוד ר"ת) </w:t>
      </w:r>
      <w:r w:rsidRPr="007E0C12">
        <w:rPr>
          <w:rStyle w:val="af8"/>
          <w:rFonts w:hint="cs"/>
          <w:rtl/>
        </w:rPr>
        <w:t xml:space="preserve">והרא"ש </w:t>
      </w:r>
      <w:r w:rsidRPr="007E0C12">
        <w:rPr>
          <w:rStyle w:val="af6"/>
          <w:rFonts w:eastAsia="Guttman Hodes" w:hint="cs"/>
          <w:rtl/>
        </w:rPr>
        <w:t>(סי' ל"א)</w:t>
      </w:r>
      <w:r w:rsidRPr="007E0C12">
        <w:rPr>
          <w:rFonts w:hint="cs"/>
          <w:rtl/>
        </w:rPr>
        <w:t xml:space="preserve"> </w:t>
      </w:r>
      <w:r w:rsidRPr="007E0C12">
        <w:rPr>
          <w:rStyle w:val="af8"/>
          <w:rFonts w:hint="cs"/>
          <w:rtl/>
        </w:rPr>
        <w:t>והתוס' הרא"ש</w:t>
      </w:r>
      <w:r w:rsidRPr="007E0C12">
        <w:rPr>
          <w:rFonts w:hint="cs"/>
          <w:rtl/>
        </w:rPr>
        <w:t xml:space="preserve"> </w:t>
      </w:r>
      <w:r w:rsidRPr="007E0C12">
        <w:rPr>
          <w:rStyle w:val="af6"/>
          <w:rFonts w:eastAsia="Guttman Hodes" w:hint="cs"/>
          <w:rtl/>
        </w:rPr>
        <w:t xml:space="preserve">(ד"ה לא נצרכה)  </w:t>
      </w:r>
      <w:r w:rsidRPr="007E0C12">
        <w:rPr>
          <w:rFonts w:hint="cs"/>
          <w:rtl/>
        </w:rPr>
        <w:t xml:space="preserve">בשם </w:t>
      </w:r>
      <w:r w:rsidRPr="007E0C12">
        <w:rPr>
          <w:rStyle w:val="af8"/>
          <w:rFonts w:hint="cs"/>
          <w:rtl/>
        </w:rPr>
        <w:t>ר"ת בספר הישר</w:t>
      </w:r>
      <w:r w:rsidRPr="007E0C12">
        <w:rPr>
          <w:rFonts w:hint="cs"/>
          <w:rtl/>
        </w:rPr>
        <w:t xml:space="preserve"> </w:t>
      </w:r>
      <w:r w:rsidRPr="007E0C12">
        <w:rPr>
          <w:rStyle w:val="af6"/>
          <w:rFonts w:eastAsia="Guttman Hodes" w:hint="cs"/>
          <w:rtl/>
        </w:rPr>
        <w:t>(חלק החי' סי' תרצ"ד, הועתק בקובץ שיטות קמאי ע"ז ח"ב עמ'</w:t>
      </w:r>
      <w:r w:rsidRPr="007E0C12">
        <w:rPr>
          <w:rStyle w:val="af6"/>
          <w:rFonts w:eastAsia="Guttman Hodes"/>
          <w:rtl/>
        </w:rPr>
        <w:t xml:space="preserve"> אלף תר</w:t>
      </w:r>
      <w:r w:rsidRPr="007E0C12">
        <w:rPr>
          <w:rStyle w:val="af6"/>
          <w:rFonts w:eastAsia="Guttman Hodes" w:hint="cs"/>
          <w:rtl/>
        </w:rPr>
        <w:t>"</w:t>
      </w:r>
      <w:r w:rsidRPr="007E0C12">
        <w:rPr>
          <w:rStyle w:val="af6"/>
          <w:rFonts w:eastAsia="Guttman Hodes"/>
          <w:rtl/>
        </w:rPr>
        <w:t>י</w:t>
      </w:r>
      <w:r w:rsidRPr="007E0C12">
        <w:rPr>
          <w:rStyle w:val="af6"/>
          <w:rFonts w:eastAsia="Guttman Hodes" w:hint="cs"/>
          <w:rtl/>
        </w:rPr>
        <w:t>)</w:t>
      </w:r>
      <w:r w:rsidRPr="007E0C12">
        <w:rPr>
          <w:rFonts w:hint="cs"/>
          <w:rtl/>
        </w:rPr>
        <w:t xml:space="preserve"> </w:t>
      </w:r>
      <w:r>
        <w:rPr>
          <w:rFonts w:hint="cs"/>
          <w:rtl/>
        </w:rPr>
        <w:t xml:space="preserve">דהקשה על </w:t>
      </w:r>
      <w:r w:rsidRPr="00DA58C3">
        <w:rPr>
          <w:rStyle w:val="af8"/>
          <w:rFonts w:hint="cs"/>
          <w:rtl/>
        </w:rPr>
        <w:t>רש"י</w:t>
      </w:r>
      <w:r>
        <w:rPr>
          <w:rFonts w:hint="cs"/>
          <w:rtl/>
        </w:rPr>
        <w:t xml:space="preserve"> דא"א לומר דטעם כעיקר דרבנן, דהא ב</w:t>
      </w:r>
      <w:r w:rsidRPr="007E0C12">
        <w:rPr>
          <w:rFonts w:hint="cs"/>
          <w:rtl/>
        </w:rPr>
        <w:t xml:space="preserve">גמ' בזבחים </w:t>
      </w:r>
      <w:r w:rsidRPr="007E0C12">
        <w:rPr>
          <w:rStyle w:val="af6"/>
          <w:rFonts w:eastAsia="Guttman Hodes" w:hint="cs"/>
          <w:rtl/>
        </w:rPr>
        <w:t>(עח.)</w:t>
      </w:r>
      <w:r w:rsidRPr="007E0C12">
        <w:rPr>
          <w:rFonts w:hint="cs"/>
          <w:rtl/>
        </w:rPr>
        <w:t xml:space="preserve"> </w:t>
      </w:r>
      <w:r>
        <w:rPr>
          <w:rFonts w:hint="cs"/>
          <w:rtl/>
        </w:rPr>
        <w:t xml:space="preserve">מוכח </w:t>
      </w:r>
      <w:r w:rsidRPr="007E0C12">
        <w:rPr>
          <w:rFonts w:hint="cs"/>
          <w:rtl/>
        </w:rPr>
        <w:t xml:space="preserve">דטעם כעיקר דאו', דאמר ר"ל דפגול ונותר שהתערבו ואכל כזית מהם פטור, דלא יתכן שלא ירבה מין אחד על חבירו ויבטלנו, ואמרינן בגמ' בזבחים דמבואר מזה דנותן טעם ברוב אינו מדאו', והקשה רבא דהרי תנן בחלה </w:t>
      </w:r>
      <w:r w:rsidRPr="007E0C12">
        <w:rPr>
          <w:rStyle w:val="af6"/>
          <w:rFonts w:eastAsia="Guttman Hodes" w:hint="cs"/>
          <w:rtl/>
        </w:rPr>
        <w:t>(פ"ג מ"ז)</w:t>
      </w:r>
      <w:r w:rsidRPr="007E0C12">
        <w:rPr>
          <w:rFonts w:hint="cs"/>
          <w:rtl/>
        </w:rPr>
        <w:t xml:space="preserve"> דהעושה עיסה מחיטין ואורז, אם יש טעם דגן חייבת בחלה, ואדם יוצא בה ידי חובתו בפסח, אף אם רובה הוא מאורז, ותירצה הגמ' בזבחים דמין בשאינו מינו בטעמא ומין במינו ברובא, ור"ל דאמר דמהני ביטול ברוב איירי במין במינו, וכתבו </w:t>
      </w:r>
      <w:r w:rsidRPr="007E0C12">
        <w:rPr>
          <w:rStyle w:val="af8"/>
          <w:rFonts w:hint="cs"/>
          <w:rtl/>
        </w:rPr>
        <w:t>הרמב"ן והרא"ש</w:t>
      </w:r>
      <w:r w:rsidRPr="007E0C12">
        <w:rPr>
          <w:rFonts w:hint="cs"/>
          <w:rtl/>
        </w:rPr>
        <w:t xml:space="preserve"> בשם </w:t>
      </w:r>
      <w:r w:rsidRPr="007E0C12">
        <w:rPr>
          <w:rStyle w:val="af8"/>
          <w:rFonts w:hint="cs"/>
          <w:rtl/>
        </w:rPr>
        <w:t>ר"ת בספר הישר</w:t>
      </w:r>
      <w:r w:rsidRPr="007E0C12">
        <w:rPr>
          <w:rFonts w:hint="cs"/>
          <w:rtl/>
        </w:rPr>
        <w:t xml:space="preserve"> </w:t>
      </w:r>
      <w:r>
        <w:rPr>
          <w:rFonts w:hint="cs"/>
          <w:rtl/>
        </w:rPr>
        <w:t>דכיון שיש בעיסה טעם דגן דינה כדין עיסת חיטין, אעפ"י שרוב העיסה היא אורז, וא</w:t>
      </w:r>
      <w:r w:rsidRPr="007E0C12">
        <w:rPr>
          <w:rFonts w:hint="cs"/>
          <w:rtl/>
        </w:rPr>
        <w:t>"כ מוכח דטעם כעיקר דאו'</w:t>
      </w:r>
      <w:r>
        <w:rPr>
          <w:rFonts w:hint="cs"/>
          <w:rtl/>
        </w:rPr>
        <w:t>.</w:t>
      </w:r>
      <w:bookmarkEnd w:id="6440"/>
    </w:p>
    <w:p w:rsidR="009A0058" w:rsidRPr="00F41BFD" w:rsidRDefault="009A0058" w:rsidP="009A0058">
      <w:pPr>
        <w:pStyle w:val="a2"/>
      </w:pPr>
      <w:bookmarkStart w:id="6443" w:name="_Toc13657874"/>
      <w:bookmarkStart w:id="6444" w:name="_Toc13664041"/>
      <w:r>
        <w:rPr>
          <w:rFonts w:hint="cs"/>
          <w:rtl/>
        </w:rPr>
        <w:t>ביאור הרא"ש דכיון שיש בעיסה טעם דגן אזלינן בתר הטעם וחשיבא כולה כעיסת חיטין</w:t>
      </w:r>
      <w:bookmarkEnd w:id="6443"/>
      <w:bookmarkEnd w:id="6444"/>
    </w:p>
    <w:p w:rsidR="009A0058" w:rsidRDefault="009A0058" w:rsidP="009F44AF">
      <w:pPr>
        <w:pStyle w:val="a"/>
        <w:rPr>
          <w:rtl/>
        </w:rPr>
      </w:pPr>
      <w:r w:rsidRPr="007E0C12">
        <w:rPr>
          <w:rFonts w:hint="cs"/>
          <w:rtl/>
        </w:rPr>
        <w:t xml:space="preserve">וביאר </w:t>
      </w:r>
      <w:r w:rsidRPr="007E0C12">
        <w:rPr>
          <w:rStyle w:val="af8"/>
          <w:rFonts w:hint="cs"/>
          <w:rtl/>
        </w:rPr>
        <w:t>הרא"ש</w:t>
      </w:r>
      <w:r w:rsidRPr="007E0C12">
        <w:rPr>
          <w:rFonts w:hint="cs"/>
          <w:rtl/>
        </w:rPr>
        <w:t xml:space="preserve"> דאף שרוב העיסה היא מהאורז, מ"מ כיון שיש בה טעם דגן, אזלינן בתר הטעם, ואם אכל כזית מהעיסה יוצא בה יד"ח מצה, כאילו כל העיסה היא מחיטין.</w:t>
      </w:r>
      <w:r w:rsidRPr="003E43A1">
        <w:rPr>
          <w:rStyle w:val="afa"/>
          <w:rFonts w:hint="cs"/>
          <w:rtl/>
        </w:rPr>
        <w:t xml:space="preserve"> </w:t>
      </w:r>
      <w:r w:rsidRPr="007E0C12">
        <w:rPr>
          <w:rStyle w:val="afa"/>
          <w:rFonts w:hint="cs"/>
          <w:rtl/>
        </w:rPr>
        <w:t>[</w:t>
      </w:r>
      <w:r>
        <w:rPr>
          <w:rStyle w:val="afa"/>
          <w:rFonts w:hint="cs"/>
          <w:rtl/>
        </w:rPr>
        <w:t xml:space="preserve">ועי' במ"ש </w:t>
      </w:r>
      <w:r w:rsidRPr="007E0C12">
        <w:rPr>
          <w:rStyle w:val="afa"/>
          <w:rFonts w:hint="cs"/>
          <w:rtl/>
        </w:rPr>
        <w:t xml:space="preserve">בביאור </w:t>
      </w:r>
      <w:r>
        <w:rPr>
          <w:rStyle w:val="afa"/>
          <w:rFonts w:hint="cs"/>
          <w:rtl/>
        </w:rPr>
        <w:t xml:space="preserve">דברי </w:t>
      </w:r>
      <w:r w:rsidR="00DE2B01" w:rsidRPr="004B1288">
        <w:rPr>
          <w:rStyle w:val="affa"/>
          <w:rFonts w:hint="cs"/>
          <w:rtl/>
        </w:rPr>
        <w:t>הרא"ש</w:t>
      </w:r>
      <w:r w:rsidR="00DE2B01">
        <w:rPr>
          <w:rStyle w:val="afa"/>
          <w:rFonts w:hint="cs"/>
          <w:rtl/>
        </w:rPr>
        <w:t xml:space="preserve"> </w:t>
      </w:r>
      <w:r w:rsidR="00DE2B01" w:rsidRPr="004B1288">
        <w:rPr>
          <w:rStyle w:val="aff6"/>
          <w:rFonts w:hint="cs"/>
          <w:rtl/>
        </w:rPr>
        <w:t>(הובא לקמן סימן י' אות</w:t>
      </w:r>
      <w:r w:rsidR="00DE2B01">
        <w:rPr>
          <w:rStyle w:val="aff6"/>
          <w:rFonts w:hint="cs"/>
          <w:rtl/>
        </w:rPr>
        <w:t xml:space="preserve"> </w:t>
      </w:r>
      <w:r w:rsidR="00DE2B01">
        <w:rPr>
          <w:rStyle w:val="aff6"/>
          <w:rtl/>
        </w:rPr>
        <w:fldChar w:fldCharType="begin"/>
      </w:r>
      <w:r w:rsidR="00DE2B01">
        <w:rPr>
          <w:rStyle w:val="aff6"/>
          <w:rtl/>
        </w:rPr>
        <w:instrText xml:space="preserve"> </w:instrText>
      </w:r>
      <w:r w:rsidR="00DE2B01">
        <w:rPr>
          <w:rStyle w:val="aff6"/>
          <w:rFonts w:hint="cs"/>
        </w:rPr>
        <w:instrText>REF</w:instrText>
      </w:r>
      <w:r w:rsidR="00DE2B01">
        <w:rPr>
          <w:rStyle w:val="aff6"/>
          <w:rFonts w:hint="cs"/>
          <w:rtl/>
        </w:rPr>
        <w:instrText xml:space="preserve"> _</w:instrText>
      </w:r>
      <w:r w:rsidR="00DE2B01">
        <w:rPr>
          <w:rStyle w:val="aff6"/>
          <w:rFonts w:hint="cs"/>
        </w:rPr>
        <w:instrText>Ref14428204 \r \h</w:instrText>
      </w:r>
      <w:r w:rsidR="00DE2B01">
        <w:rPr>
          <w:rStyle w:val="aff6"/>
          <w:rtl/>
        </w:rPr>
        <w:instrText xml:space="preserve"> </w:instrText>
      </w:r>
      <w:r w:rsidR="00DE2B01">
        <w:rPr>
          <w:rStyle w:val="aff6"/>
          <w:rtl/>
        </w:rPr>
      </w:r>
      <w:r w:rsidR="00DE2B01">
        <w:rPr>
          <w:rStyle w:val="aff6"/>
          <w:rtl/>
        </w:rPr>
        <w:fldChar w:fldCharType="separate"/>
      </w:r>
      <w:r w:rsidR="004D1C5B">
        <w:rPr>
          <w:rStyle w:val="aff6"/>
          <w:cs/>
        </w:rPr>
        <w:t>‎</w:t>
      </w:r>
      <w:r w:rsidR="004D1C5B">
        <w:rPr>
          <w:rStyle w:val="aff6"/>
          <w:rtl/>
        </w:rPr>
        <w:t>כט)</w:t>
      </w:r>
      <w:r w:rsidR="00DE2B01">
        <w:rPr>
          <w:rStyle w:val="aff6"/>
          <w:rtl/>
        </w:rPr>
        <w:fldChar w:fldCharType="end"/>
      </w:r>
      <w:r w:rsidR="00DE2B01" w:rsidRPr="004B1288">
        <w:rPr>
          <w:rStyle w:val="aff6"/>
          <w:rFonts w:hint="cs"/>
          <w:rtl/>
        </w:rPr>
        <w:t xml:space="preserve"> </w:t>
      </w:r>
      <w:r>
        <w:rPr>
          <w:rStyle w:val="afa"/>
          <w:rFonts w:hint="cs"/>
          <w:rtl/>
        </w:rPr>
        <w:t>ב</w:t>
      </w:r>
      <w:r w:rsidRPr="007E0C12">
        <w:rPr>
          <w:rStyle w:val="afa"/>
          <w:rFonts w:hint="cs"/>
          <w:rtl/>
        </w:rPr>
        <w:t xml:space="preserve">דין נהפך </w:t>
      </w:r>
      <w:r>
        <w:rPr>
          <w:rStyle w:val="afa"/>
          <w:rFonts w:hint="cs"/>
          <w:rtl/>
        </w:rPr>
        <w:t>בעיסת אורז</w:t>
      </w:r>
      <w:r w:rsidRPr="007E0C12">
        <w:rPr>
          <w:rStyle w:val="afa"/>
          <w:rFonts w:hint="cs"/>
          <w:rtl/>
        </w:rPr>
        <w:t>].</w:t>
      </w:r>
    </w:p>
    <w:p w:rsidR="009A0058" w:rsidRPr="00A34C06" w:rsidRDefault="009A0058" w:rsidP="009A0058">
      <w:pPr>
        <w:pStyle w:val="1"/>
      </w:pPr>
      <w:bookmarkStart w:id="6445" w:name="_Toc13657875"/>
      <w:bookmarkStart w:id="6446" w:name="_Toc13664042"/>
      <w:r w:rsidRPr="00BB35F8">
        <w:rPr>
          <w:rFonts w:hint="cs"/>
          <w:rtl/>
        </w:rPr>
        <w:t>ביאור ה</w:t>
      </w:r>
      <w:r>
        <w:rPr>
          <w:rFonts w:hint="cs"/>
          <w:rtl/>
        </w:rPr>
        <w:t>י"א ב</w:t>
      </w:r>
      <w:r w:rsidRPr="00BB35F8">
        <w:rPr>
          <w:rFonts w:hint="cs"/>
          <w:rtl/>
        </w:rPr>
        <w:t>רא"ש</w:t>
      </w:r>
      <w:r>
        <w:rPr>
          <w:rFonts w:hint="cs"/>
          <w:rtl/>
        </w:rPr>
        <w:t xml:space="preserve"> ברש"י דהחיטין ריבו את העיסה והוי ממשו</w:t>
      </w:r>
      <w:bookmarkEnd w:id="6445"/>
      <w:bookmarkEnd w:id="6446"/>
    </w:p>
    <w:p w:rsidR="009A0058" w:rsidRPr="007E0C12" w:rsidRDefault="009A0058" w:rsidP="009A0058">
      <w:pPr>
        <w:pStyle w:val="a2"/>
        <w:rPr>
          <w:rtl/>
        </w:rPr>
      </w:pPr>
      <w:bookmarkStart w:id="6447" w:name="_Toc13657876"/>
      <w:bookmarkStart w:id="6448" w:name="_Toc13664043"/>
      <w:bookmarkStart w:id="6449" w:name="_Toc13516515"/>
      <w:bookmarkStart w:id="6450" w:name="_Toc13562604"/>
      <w:bookmarkStart w:id="6451" w:name="_Toc13568591"/>
      <w:bookmarkStart w:id="6452" w:name="_Toc13603198"/>
      <w:bookmarkStart w:id="6453" w:name="_Toc13603301"/>
      <w:r>
        <w:rPr>
          <w:rFonts w:hint="cs"/>
          <w:rtl/>
        </w:rPr>
        <w:t>תירוץ הרא"ש בשם י"א דבעיסת אורז יש ממשות של חיטין כיון שהיא מתרבה ע"י החיטין</w:t>
      </w:r>
      <w:bookmarkEnd w:id="6447"/>
      <w:bookmarkEnd w:id="6448"/>
    </w:p>
    <w:p w:rsidR="009A0058" w:rsidRDefault="009A0058" w:rsidP="009F44AF">
      <w:pPr>
        <w:pStyle w:val="a"/>
        <w:rPr>
          <w:rtl/>
        </w:rPr>
      </w:pPr>
      <w:bookmarkStart w:id="6454" w:name="_Ref13648317"/>
      <w:r w:rsidRPr="007E0C12">
        <w:rPr>
          <w:rFonts w:hint="cs"/>
          <w:rtl/>
        </w:rPr>
        <w:t xml:space="preserve">ותירץ </w:t>
      </w:r>
      <w:r w:rsidRPr="00A34C06">
        <w:rPr>
          <w:rStyle w:val="af8"/>
          <w:rFonts w:hint="cs"/>
          <w:rtl/>
        </w:rPr>
        <w:t>הרא"ש</w:t>
      </w:r>
      <w:r w:rsidRPr="007E0C12">
        <w:rPr>
          <w:rFonts w:hint="cs"/>
          <w:rtl/>
        </w:rPr>
        <w:t xml:space="preserve"> בשם </w:t>
      </w:r>
      <w:r w:rsidRPr="00A34C06">
        <w:rPr>
          <w:rStyle w:val="af8"/>
          <w:rFonts w:hint="cs"/>
          <w:rtl/>
        </w:rPr>
        <w:t>י"א</w:t>
      </w:r>
      <w:r w:rsidRPr="007E0C12">
        <w:rPr>
          <w:rFonts w:hint="cs"/>
          <w:rtl/>
        </w:rPr>
        <w:t xml:space="preserve"> </w:t>
      </w:r>
      <w:r w:rsidRPr="00A34C06">
        <w:rPr>
          <w:rStyle w:val="afa"/>
          <w:rFonts w:hint="cs"/>
          <w:rtl/>
        </w:rPr>
        <w:t xml:space="preserve">[עי' </w:t>
      </w:r>
      <w:r w:rsidRPr="00A34C06">
        <w:rPr>
          <w:rStyle w:val="affa"/>
          <w:rFonts w:hint="cs"/>
          <w:rtl/>
        </w:rPr>
        <w:t>ברמב"ן</w:t>
      </w:r>
      <w:r w:rsidRPr="00A34C06">
        <w:rPr>
          <w:rStyle w:val="afa"/>
          <w:rFonts w:hint="cs"/>
          <w:rtl/>
        </w:rPr>
        <w:t xml:space="preserve"> </w:t>
      </w:r>
      <w:r w:rsidRPr="00A34C06">
        <w:rPr>
          <w:rStyle w:val="aff6"/>
          <w:rFonts w:hint="cs"/>
          <w:rtl/>
        </w:rPr>
        <w:t xml:space="preserve">(עי' אות </w:t>
      </w:r>
      <w:r w:rsidRPr="00A34C06">
        <w:rPr>
          <w:rStyle w:val="aff6"/>
          <w:rtl/>
        </w:rPr>
        <w:fldChar w:fldCharType="begin"/>
      </w:r>
      <w:r w:rsidRPr="00A34C06">
        <w:rPr>
          <w:rStyle w:val="aff6"/>
          <w:rtl/>
        </w:rPr>
        <w:instrText xml:space="preserve"> </w:instrText>
      </w:r>
      <w:r w:rsidRPr="00A34C06">
        <w:rPr>
          <w:rStyle w:val="aff6"/>
          <w:rFonts w:hint="cs"/>
        </w:rPr>
        <w:instrText>REF</w:instrText>
      </w:r>
      <w:r w:rsidRPr="00A34C06">
        <w:rPr>
          <w:rStyle w:val="aff6"/>
          <w:rFonts w:hint="cs"/>
          <w:rtl/>
        </w:rPr>
        <w:instrText xml:space="preserve"> _</w:instrText>
      </w:r>
      <w:r w:rsidRPr="00A34C06">
        <w:rPr>
          <w:rStyle w:val="aff6"/>
          <w:rFonts w:hint="cs"/>
        </w:rPr>
        <w:instrText>Ref13647339 \r \h</w:instrText>
      </w:r>
      <w:r w:rsidRPr="00A34C06">
        <w:rPr>
          <w:rStyle w:val="aff6"/>
          <w:rtl/>
        </w:rPr>
        <w:instrText xml:space="preserve"> </w:instrText>
      </w:r>
      <w:r w:rsidRPr="00A34C06">
        <w:rPr>
          <w:rStyle w:val="aff6"/>
          <w:rtl/>
        </w:rPr>
      </w:r>
      <w:r w:rsidRPr="00A34C06">
        <w:rPr>
          <w:rStyle w:val="aff6"/>
          <w:rtl/>
        </w:rPr>
        <w:fldChar w:fldCharType="separate"/>
      </w:r>
      <w:r w:rsidR="004D1C5B">
        <w:rPr>
          <w:rStyle w:val="aff6"/>
          <w:cs/>
        </w:rPr>
        <w:t>‎</w:t>
      </w:r>
      <w:r w:rsidR="004D1C5B">
        <w:rPr>
          <w:rStyle w:val="aff6"/>
          <w:rtl/>
        </w:rPr>
        <w:t>קב)</w:t>
      </w:r>
      <w:r w:rsidRPr="00A34C06">
        <w:rPr>
          <w:rStyle w:val="aff6"/>
          <w:rtl/>
        </w:rPr>
        <w:fldChar w:fldCharType="end"/>
      </w:r>
      <w:r w:rsidRPr="00A34C06">
        <w:rPr>
          <w:rStyle w:val="afa"/>
          <w:rFonts w:hint="cs"/>
          <w:rtl/>
        </w:rPr>
        <w:t xml:space="preserve">] </w:t>
      </w:r>
      <w:r w:rsidRPr="007E0C12">
        <w:rPr>
          <w:rFonts w:hint="cs"/>
          <w:rtl/>
        </w:rPr>
        <w:t xml:space="preserve">את דעת </w:t>
      </w:r>
      <w:r w:rsidRPr="00A34C06">
        <w:rPr>
          <w:rStyle w:val="af8"/>
          <w:rFonts w:hint="cs"/>
          <w:rtl/>
        </w:rPr>
        <w:t>רש"י</w:t>
      </w:r>
      <w:r w:rsidRPr="007E0C12">
        <w:rPr>
          <w:rFonts w:hint="cs"/>
          <w:rtl/>
        </w:rPr>
        <w:t xml:space="preserve"> דבעיס</w:t>
      </w:r>
      <w:r>
        <w:rPr>
          <w:rFonts w:hint="cs"/>
          <w:rtl/>
        </w:rPr>
        <w:t>ת</w:t>
      </w:r>
      <w:r w:rsidRPr="007E0C12">
        <w:rPr>
          <w:rFonts w:hint="cs"/>
          <w:rtl/>
        </w:rPr>
        <w:t xml:space="preserve"> אורז </w:t>
      </w:r>
      <w:r>
        <w:rPr>
          <w:rFonts w:hint="cs"/>
          <w:rtl/>
        </w:rPr>
        <w:t xml:space="preserve">שיש בה טעם דגן דדינה כדין עיסת חיטין </w:t>
      </w:r>
      <w:r w:rsidRPr="007E0C12">
        <w:rPr>
          <w:rFonts w:hint="cs"/>
          <w:rtl/>
        </w:rPr>
        <w:t xml:space="preserve">דטעם כעיקר, לא איירי באופן </w:t>
      </w:r>
      <w:r>
        <w:rPr>
          <w:rFonts w:hint="cs"/>
          <w:rtl/>
        </w:rPr>
        <w:t>שיש בה רק טעם ו</w:t>
      </w:r>
      <w:r w:rsidRPr="007E0C12">
        <w:rPr>
          <w:rFonts w:hint="cs"/>
          <w:rtl/>
        </w:rPr>
        <w:t>אין בה ממשות, אלא יש בה גם את הממשות של החיטים, ד</w:t>
      </w:r>
      <w:r>
        <w:rPr>
          <w:rFonts w:hint="cs"/>
          <w:rtl/>
        </w:rPr>
        <w:t xml:space="preserve">הא </w:t>
      </w:r>
      <w:r w:rsidRPr="007E0C12">
        <w:rPr>
          <w:rFonts w:hint="cs"/>
          <w:rtl/>
        </w:rPr>
        <w:t>עיסת האורז התרבתה ע"י שגלגל בה קמח של דגן, וכיון שיש בה גם ממשות וגם טעם, לכן לא דמי ל</w:t>
      </w:r>
      <w:r w:rsidRPr="007E0C12">
        <w:rPr>
          <w:rtl/>
        </w:rPr>
        <w:t>חֵלֶב</w:t>
      </w:r>
      <w:r w:rsidRPr="007E0C12">
        <w:rPr>
          <w:rFonts w:hint="cs"/>
          <w:rtl/>
        </w:rPr>
        <w:t xml:space="preserve"> שנפל לקדירה ונימוח שאין את ממשות ה</w:t>
      </w:r>
      <w:r w:rsidRPr="007E0C12">
        <w:rPr>
          <w:rtl/>
        </w:rPr>
        <w:t>חֵלֶב</w:t>
      </w:r>
      <w:r w:rsidRPr="007E0C12">
        <w:rPr>
          <w:rFonts w:hint="cs"/>
          <w:rtl/>
        </w:rPr>
        <w:t>, ויש רק את טעמו.</w:t>
      </w:r>
      <w:bookmarkEnd w:id="6454"/>
    </w:p>
    <w:p w:rsidR="009A0058" w:rsidRPr="002B4CC7" w:rsidRDefault="009A0058" w:rsidP="009A0058">
      <w:pPr>
        <w:pStyle w:val="1"/>
        <w:rPr>
          <w:rtl/>
        </w:rPr>
      </w:pPr>
      <w:bookmarkStart w:id="6455" w:name="_Toc13657877"/>
      <w:bookmarkStart w:id="6456" w:name="_Toc13664044"/>
      <w:r>
        <w:rPr>
          <w:rFonts w:hint="cs"/>
          <w:rtl/>
        </w:rPr>
        <w:t>דעת הרא"ש דלא חשיב ממשו וביש טעם דגן נעשית כולה כדגן</w:t>
      </w:r>
      <w:bookmarkEnd w:id="6455"/>
      <w:bookmarkEnd w:id="6456"/>
    </w:p>
    <w:p w:rsidR="009A0058" w:rsidRPr="007E0C12" w:rsidRDefault="009A0058" w:rsidP="009A0058">
      <w:pPr>
        <w:pStyle w:val="a2"/>
      </w:pPr>
      <w:bookmarkStart w:id="6457" w:name="_Toc13657878"/>
      <w:bookmarkStart w:id="6458" w:name="_Toc13664045"/>
      <w:r>
        <w:rPr>
          <w:rFonts w:hint="cs"/>
          <w:rtl/>
        </w:rPr>
        <w:t>דחיית הרא"ש דריבוי העיסה ע"י החיטין לא חשיב שיש בה ממשות חיטין</w:t>
      </w:r>
      <w:bookmarkEnd w:id="6457"/>
      <w:bookmarkEnd w:id="6458"/>
    </w:p>
    <w:p w:rsidR="009A0058" w:rsidRPr="007E0C12" w:rsidRDefault="009A0058" w:rsidP="009F44AF">
      <w:pPr>
        <w:pStyle w:val="a"/>
        <w:rPr>
          <w:rtl/>
        </w:rPr>
      </w:pPr>
      <w:bookmarkStart w:id="6459" w:name="_Ref13648325"/>
      <w:r w:rsidRPr="007E0C12">
        <w:rPr>
          <w:rFonts w:hint="cs"/>
          <w:rtl/>
        </w:rPr>
        <w:t>אך דחה ה</w:t>
      </w:r>
      <w:r w:rsidRPr="00A34C06">
        <w:rPr>
          <w:rStyle w:val="af8"/>
          <w:rFonts w:hint="cs"/>
          <w:rtl/>
        </w:rPr>
        <w:t>רא"ש</w:t>
      </w:r>
      <w:r w:rsidRPr="007E0C12">
        <w:rPr>
          <w:rFonts w:hint="cs"/>
          <w:rtl/>
        </w:rPr>
        <w:t xml:space="preserve"> דכיון שהממשות של הדגן אינה ניכרת בתוך האורז, לא חשיב טעמו וממשו, ומה </w:t>
      </w:r>
      <w:r>
        <w:rPr>
          <w:rFonts w:hint="cs"/>
          <w:rtl/>
        </w:rPr>
        <w:t>ד</w:t>
      </w:r>
      <w:r w:rsidRPr="007E0C12">
        <w:rPr>
          <w:rFonts w:hint="cs"/>
          <w:rtl/>
        </w:rPr>
        <w:t>עיסת האורז התרבתה ע"י שגלגל בה דגן, אינו נחשב לממשו, דהא אף הרוטב שנפל לתוכו ה</w:t>
      </w:r>
      <w:r w:rsidRPr="007E0C12">
        <w:rPr>
          <w:rtl/>
        </w:rPr>
        <w:t>חֵלֶב</w:t>
      </w:r>
      <w:r w:rsidRPr="00947DD3">
        <w:rPr>
          <w:rFonts w:hint="cs"/>
          <w:rtl/>
        </w:rPr>
        <w:t xml:space="preserve"> </w:t>
      </w:r>
      <w:r w:rsidRPr="007E0C12">
        <w:rPr>
          <w:rFonts w:hint="cs"/>
          <w:rtl/>
        </w:rPr>
        <w:t>ונימוח, הרוטב התרבה מחמת ה</w:t>
      </w:r>
      <w:r w:rsidRPr="007E0C12">
        <w:rPr>
          <w:rtl/>
        </w:rPr>
        <w:t>חֵלֶב</w:t>
      </w:r>
      <w:r w:rsidRPr="007E0C12">
        <w:rPr>
          <w:rFonts w:hint="cs"/>
          <w:rtl/>
        </w:rPr>
        <w:t>, ואפ"ה חשיב טעמו ולא ממשו.</w:t>
      </w:r>
      <w:bookmarkEnd w:id="6459"/>
    </w:p>
    <w:p w:rsidR="009A0058" w:rsidRPr="007E0C12" w:rsidRDefault="009A0058" w:rsidP="009A0058">
      <w:pPr>
        <w:pStyle w:val="a2"/>
        <w:rPr>
          <w:rtl/>
        </w:rPr>
      </w:pPr>
      <w:bookmarkStart w:id="6460" w:name="_Toc13657879"/>
      <w:bookmarkStart w:id="6461" w:name="_Toc13664046"/>
      <w:r>
        <w:rPr>
          <w:rFonts w:hint="cs"/>
          <w:rtl/>
        </w:rPr>
        <w:t>דברי הרא"ש בשם ר"ת דכיון שיש בה טעם דגן נהפכה כל העיסה לעיסת דגן</w:t>
      </w:r>
      <w:bookmarkEnd w:id="6460"/>
      <w:bookmarkEnd w:id="6461"/>
    </w:p>
    <w:p w:rsidR="002D7168" w:rsidRDefault="009A0058" w:rsidP="009F44AF">
      <w:pPr>
        <w:pStyle w:val="a"/>
        <w:rPr>
          <w:rtl/>
        </w:rPr>
      </w:pPr>
      <w:r w:rsidRPr="007E0C12">
        <w:rPr>
          <w:rFonts w:hint="cs"/>
          <w:rtl/>
        </w:rPr>
        <w:t xml:space="preserve">אלא כתב </w:t>
      </w:r>
      <w:r w:rsidRPr="00A34C06">
        <w:rPr>
          <w:rStyle w:val="af8"/>
          <w:rFonts w:hint="cs"/>
          <w:rtl/>
        </w:rPr>
        <w:t>הרא"ש</w:t>
      </w:r>
      <w:r w:rsidRPr="007E0C12">
        <w:rPr>
          <w:rFonts w:hint="cs"/>
          <w:rtl/>
        </w:rPr>
        <w:t xml:space="preserve"> בשם </w:t>
      </w:r>
      <w:r w:rsidRPr="00A34C06">
        <w:rPr>
          <w:rStyle w:val="af8"/>
          <w:rFonts w:hint="cs"/>
          <w:rtl/>
        </w:rPr>
        <w:t>ר"ת</w:t>
      </w:r>
      <w:r w:rsidRPr="007E0C12">
        <w:rPr>
          <w:rFonts w:hint="cs"/>
          <w:rtl/>
        </w:rPr>
        <w:t xml:space="preserve"> דהא דעיסת אורז שיש בה טעם דגן, חייבת בחלה ויוצאין בה ידי חובת מצה בפסח, הוא כיון דטעם כעיקר דאו', ובאיסור שנתן טעם בהיתר אמרינן דנהפך כולו להיות איסור, וכן בעיסת אורז דכיון שיש בה טעם דגן כולה כעיסת דגן, אעפ"י </w:t>
      </w:r>
      <w:r w:rsidRPr="007E0C12">
        <w:rPr>
          <w:rFonts w:hint="cs"/>
          <w:rtl/>
        </w:rPr>
        <w:lastRenderedPageBreak/>
        <w:t>שרובה אורז, וכדליפינן לה ממשרת או מגיעולי עכו"ם</w:t>
      </w:r>
      <w:bookmarkStart w:id="6462" w:name="_Toc13657880"/>
      <w:bookmarkStart w:id="6463" w:name="_Toc13664047"/>
      <w:r>
        <w:rPr>
          <w:rFonts w:hint="cs"/>
          <w:rtl/>
        </w:rPr>
        <w:t>.</w:t>
      </w:r>
      <w:r w:rsidRPr="004B1288">
        <w:rPr>
          <w:rStyle w:val="afa"/>
          <w:rFonts w:hint="cs"/>
          <w:rtl/>
        </w:rPr>
        <w:t xml:space="preserve"> </w:t>
      </w:r>
      <w:r w:rsidRPr="007E0C12">
        <w:rPr>
          <w:rStyle w:val="afa"/>
          <w:rFonts w:hint="cs"/>
          <w:rtl/>
        </w:rPr>
        <w:t>[</w:t>
      </w:r>
      <w:r>
        <w:rPr>
          <w:rStyle w:val="afa"/>
          <w:rFonts w:hint="cs"/>
          <w:rtl/>
        </w:rPr>
        <w:t xml:space="preserve">ועי' במ"ש </w:t>
      </w:r>
      <w:r w:rsidRPr="007E0C12">
        <w:rPr>
          <w:rStyle w:val="afa"/>
          <w:rFonts w:hint="cs"/>
          <w:rtl/>
        </w:rPr>
        <w:t xml:space="preserve">בביאור </w:t>
      </w:r>
      <w:r>
        <w:rPr>
          <w:rStyle w:val="afa"/>
          <w:rFonts w:hint="cs"/>
          <w:rtl/>
        </w:rPr>
        <w:t xml:space="preserve">דברי </w:t>
      </w:r>
      <w:r w:rsidR="00DE2B01" w:rsidRPr="004B1288">
        <w:rPr>
          <w:rStyle w:val="affa"/>
          <w:rFonts w:hint="cs"/>
          <w:rtl/>
        </w:rPr>
        <w:t>הרא"ש</w:t>
      </w:r>
      <w:r w:rsidR="00DE2B01">
        <w:rPr>
          <w:rStyle w:val="afa"/>
          <w:rFonts w:hint="cs"/>
          <w:rtl/>
        </w:rPr>
        <w:t xml:space="preserve"> </w:t>
      </w:r>
      <w:r w:rsidR="00DE2B01" w:rsidRPr="004B1288">
        <w:rPr>
          <w:rStyle w:val="aff6"/>
          <w:rFonts w:hint="cs"/>
          <w:rtl/>
        </w:rPr>
        <w:t>(הובא לקמן סימן י' אות</w:t>
      </w:r>
      <w:r w:rsidR="00DE2B01">
        <w:rPr>
          <w:rStyle w:val="aff6"/>
          <w:rFonts w:hint="cs"/>
          <w:rtl/>
        </w:rPr>
        <w:t xml:space="preserve"> </w:t>
      </w:r>
      <w:r w:rsidR="00DE2B01">
        <w:rPr>
          <w:rStyle w:val="aff6"/>
          <w:rtl/>
        </w:rPr>
        <w:fldChar w:fldCharType="begin"/>
      </w:r>
      <w:r w:rsidR="00DE2B01">
        <w:rPr>
          <w:rStyle w:val="aff6"/>
          <w:rtl/>
        </w:rPr>
        <w:instrText xml:space="preserve"> </w:instrText>
      </w:r>
      <w:r w:rsidR="00DE2B01">
        <w:rPr>
          <w:rStyle w:val="aff6"/>
          <w:rFonts w:hint="cs"/>
        </w:rPr>
        <w:instrText>REF</w:instrText>
      </w:r>
      <w:r w:rsidR="00DE2B01">
        <w:rPr>
          <w:rStyle w:val="aff6"/>
          <w:rFonts w:hint="cs"/>
          <w:rtl/>
        </w:rPr>
        <w:instrText xml:space="preserve"> _</w:instrText>
      </w:r>
      <w:r w:rsidR="00DE2B01">
        <w:rPr>
          <w:rStyle w:val="aff6"/>
          <w:rFonts w:hint="cs"/>
        </w:rPr>
        <w:instrText>Ref14428204 \r \h</w:instrText>
      </w:r>
      <w:r w:rsidR="00DE2B01">
        <w:rPr>
          <w:rStyle w:val="aff6"/>
          <w:rtl/>
        </w:rPr>
        <w:instrText xml:space="preserve"> </w:instrText>
      </w:r>
      <w:r w:rsidR="00DE2B01">
        <w:rPr>
          <w:rStyle w:val="aff6"/>
          <w:rtl/>
        </w:rPr>
      </w:r>
      <w:r w:rsidR="00DE2B01">
        <w:rPr>
          <w:rStyle w:val="aff6"/>
          <w:rtl/>
        </w:rPr>
        <w:fldChar w:fldCharType="separate"/>
      </w:r>
      <w:r w:rsidR="004D1C5B">
        <w:rPr>
          <w:rStyle w:val="aff6"/>
          <w:cs/>
        </w:rPr>
        <w:t>‎</w:t>
      </w:r>
      <w:r w:rsidR="004D1C5B">
        <w:rPr>
          <w:rStyle w:val="aff6"/>
          <w:rtl/>
        </w:rPr>
        <w:t>כט)</w:t>
      </w:r>
      <w:r w:rsidR="00DE2B01">
        <w:rPr>
          <w:rStyle w:val="aff6"/>
          <w:rtl/>
        </w:rPr>
        <w:fldChar w:fldCharType="end"/>
      </w:r>
      <w:r w:rsidR="00DE2B01" w:rsidRPr="004B1288">
        <w:rPr>
          <w:rStyle w:val="aff6"/>
          <w:rFonts w:hint="cs"/>
          <w:rtl/>
        </w:rPr>
        <w:t xml:space="preserve"> </w:t>
      </w:r>
      <w:r>
        <w:rPr>
          <w:rStyle w:val="afa"/>
          <w:rFonts w:hint="cs"/>
          <w:rtl/>
        </w:rPr>
        <w:t>ב</w:t>
      </w:r>
      <w:r w:rsidRPr="007E0C12">
        <w:rPr>
          <w:rStyle w:val="afa"/>
          <w:rFonts w:hint="cs"/>
          <w:rtl/>
        </w:rPr>
        <w:t xml:space="preserve">דין נהפך </w:t>
      </w:r>
      <w:r>
        <w:rPr>
          <w:rStyle w:val="afa"/>
          <w:rFonts w:hint="cs"/>
          <w:rtl/>
        </w:rPr>
        <w:t>בעיסת אורז</w:t>
      </w:r>
      <w:r w:rsidRPr="007E0C12">
        <w:rPr>
          <w:rStyle w:val="afa"/>
          <w:rFonts w:hint="cs"/>
          <w:rtl/>
        </w:rPr>
        <w:t>].</w:t>
      </w:r>
    </w:p>
    <w:p w:rsidR="009A0058" w:rsidRPr="007E0C12" w:rsidRDefault="009A0058" w:rsidP="009A0058">
      <w:pPr>
        <w:pStyle w:val="a2"/>
        <w:rPr>
          <w:rtl/>
        </w:rPr>
      </w:pPr>
      <w:r>
        <w:rPr>
          <w:rFonts w:hint="cs"/>
          <w:rtl/>
        </w:rPr>
        <w:t>דחיית היש"ש דהחיטין שבעיסה לא השתנו ממה שהיו ולכן חשיב שממשות החיטין בתוך העיסה</w:t>
      </w:r>
      <w:bookmarkEnd w:id="6462"/>
      <w:bookmarkEnd w:id="6463"/>
    </w:p>
    <w:p w:rsidR="009A0058" w:rsidRDefault="009A0058" w:rsidP="009F44AF">
      <w:pPr>
        <w:pStyle w:val="a"/>
        <w:rPr>
          <w:rtl/>
        </w:rPr>
      </w:pPr>
      <w:bookmarkStart w:id="6464" w:name="_Ref13648352"/>
      <w:r w:rsidRPr="007E0C12">
        <w:rPr>
          <w:rFonts w:hint="cs"/>
          <w:rtl/>
        </w:rPr>
        <w:t xml:space="preserve">אבל </w:t>
      </w:r>
      <w:r w:rsidRPr="00A34C06">
        <w:rPr>
          <w:rStyle w:val="af8"/>
          <w:rFonts w:hint="cs"/>
          <w:rtl/>
        </w:rPr>
        <w:t>היש"ש</w:t>
      </w:r>
      <w:r w:rsidRPr="007E0C12">
        <w:rPr>
          <w:rFonts w:hint="cs"/>
          <w:rtl/>
        </w:rPr>
        <w:t xml:space="preserve"> </w:t>
      </w:r>
      <w:r w:rsidRPr="00067B81">
        <w:rPr>
          <w:rStyle w:val="af6"/>
          <w:rFonts w:eastAsia="Guttman Hodes" w:hint="cs"/>
          <w:rtl/>
        </w:rPr>
        <w:t xml:space="preserve">(בפירקין סי' מ"ו ד"ה וכתב הרא"ש) </w:t>
      </w:r>
      <w:r w:rsidRPr="007E0C12">
        <w:rPr>
          <w:rFonts w:hint="cs"/>
          <w:rtl/>
        </w:rPr>
        <w:t xml:space="preserve">דחה את דברי </w:t>
      </w:r>
      <w:r w:rsidRPr="00A34C06">
        <w:rPr>
          <w:rStyle w:val="af8"/>
          <w:rFonts w:hint="cs"/>
          <w:rtl/>
        </w:rPr>
        <w:t>הרא"ש</w:t>
      </w:r>
      <w:r w:rsidRPr="007E0C12">
        <w:rPr>
          <w:rFonts w:hint="cs"/>
          <w:rtl/>
        </w:rPr>
        <w:t xml:space="preserve"> וביאר דעיסת אורז לא דמי כלל, לרוטב שנימוח בו ה</w:t>
      </w:r>
      <w:r w:rsidRPr="007E0C12">
        <w:rPr>
          <w:rtl/>
        </w:rPr>
        <w:t>חֵלֶב</w:t>
      </w:r>
      <w:r w:rsidRPr="007E0C12">
        <w:rPr>
          <w:rFonts w:hint="cs"/>
          <w:rtl/>
        </w:rPr>
        <w:t>, דאף שהרוטב התרבה ע"י ה</w:t>
      </w:r>
      <w:r w:rsidRPr="007E0C12">
        <w:rPr>
          <w:rtl/>
        </w:rPr>
        <w:t>חֵלֶב</w:t>
      </w:r>
      <w:r w:rsidRPr="007E0C12">
        <w:rPr>
          <w:rFonts w:hint="cs"/>
          <w:rtl/>
        </w:rPr>
        <w:t xml:space="preserve">, מ"מ כיון שבתחילה האיסור היה ניכר והיה </w:t>
      </w:r>
      <w:r>
        <w:rPr>
          <w:rFonts w:hint="cs"/>
          <w:rtl/>
        </w:rPr>
        <w:t>כ</w:t>
      </w:r>
      <w:r w:rsidRPr="007E0C12">
        <w:rPr>
          <w:rFonts w:hint="cs"/>
          <w:rtl/>
        </w:rPr>
        <w:t>מו ממש, ועכשיו ה</w:t>
      </w:r>
      <w:r w:rsidRPr="007E0C12">
        <w:rPr>
          <w:rtl/>
        </w:rPr>
        <w:t>חֵלֶב</w:t>
      </w:r>
      <w:r w:rsidRPr="007E0C12">
        <w:rPr>
          <w:rFonts w:hint="cs"/>
          <w:rtl/>
        </w:rPr>
        <w:t xml:space="preserve"> נימוח, לכן הוא מתבטל ברוב, אבל בעיסת אורז, התערובת של החיטין והאורז נשארה כמו שהייתה בתחילה, אלא שיש בה מעט שינוי דבתחילה היה קמח, ועכשיו עשו ממנה עיסה, אך בעצם הממשות של החיטים לא היה שינוי, ולכן חשיב טעמו וממשו.</w:t>
      </w:r>
      <w:bookmarkEnd w:id="6464"/>
    </w:p>
    <w:p w:rsidR="009A0058" w:rsidRPr="007E0C12" w:rsidRDefault="009A0058" w:rsidP="009A0058">
      <w:pPr>
        <w:pStyle w:val="1"/>
        <w:rPr>
          <w:rtl/>
        </w:rPr>
      </w:pPr>
      <w:bookmarkStart w:id="6465" w:name="_Toc13657881"/>
      <w:bookmarkStart w:id="6466" w:name="_Toc13664048"/>
      <w:r w:rsidRPr="007E0C12">
        <w:rPr>
          <w:rFonts w:hint="cs"/>
          <w:rtl/>
        </w:rPr>
        <w:t xml:space="preserve">ביאור הרמב"ן </w:t>
      </w:r>
      <w:bookmarkEnd w:id="6441"/>
      <w:bookmarkEnd w:id="6442"/>
      <w:bookmarkEnd w:id="6449"/>
      <w:bookmarkEnd w:id="6450"/>
      <w:bookmarkEnd w:id="6451"/>
      <w:bookmarkEnd w:id="6452"/>
      <w:bookmarkEnd w:id="6453"/>
      <w:r>
        <w:rPr>
          <w:rFonts w:hint="cs"/>
          <w:rtl/>
        </w:rPr>
        <w:t>דבעיסת אורז החיטין הם ממשו ולא רק טעמו</w:t>
      </w:r>
      <w:bookmarkEnd w:id="6465"/>
      <w:bookmarkEnd w:id="6466"/>
    </w:p>
    <w:p w:rsidR="009A0058" w:rsidRPr="002523D3" w:rsidRDefault="009A0058" w:rsidP="009A0058">
      <w:pPr>
        <w:pStyle w:val="a2"/>
        <w:rPr>
          <w:rtl/>
        </w:rPr>
      </w:pPr>
      <w:bookmarkStart w:id="6467" w:name="_Toc13396666"/>
      <w:bookmarkStart w:id="6468" w:name="_Toc13418683"/>
      <w:bookmarkStart w:id="6469" w:name="_Toc13516516"/>
      <w:bookmarkStart w:id="6470" w:name="_Toc13562605"/>
      <w:bookmarkStart w:id="6471" w:name="_Toc13568592"/>
      <w:bookmarkStart w:id="6472" w:name="_Toc13603199"/>
      <w:bookmarkStart w:id="6473" w:name="_Toc13603302"/>
      <w:bookmarkStart w:id="6474" w:name="_Toc13657882"/>
      <w:bookmarkStart w:id="6475" w:name="_Toc13664049"/>
      <w:r w:rsidRPr="007E0C12">
        <w:rPr>
          <w:rFonts w:hint="cs"/>
          <w:rtl/>
        </w:rPr>
        <w:t>ביאור הרמב"ן והרשב</w:t>
      </w:r>
      <w:r w:rsidRPr="002523D3">
        <w:rPr>
          <w:rFonts w:hint="cs"/>
          <w:rtl/>
        </w:rPr>
        <w:t xml:space="preserve">"א </w:t>
      </w:r>
      <w:bookmarkEnd w:id="6467"/>
      <w:bookmarkEnd w:id="6468"/>
      <w:bookmarkEnd w:id="6469"/>
      <w:bookmarkEnd w:id="6470"/>
      <w:bookmarkEnd w:id="6471"/>
      <w:bookmarkEnd w:id="6472"/>
      <w:bookmarkEnd w:id="6473"/>
      <w:r>
        <w:rPr>
          <w:rFonts w:hint="cs"/>
          <w:rtl/>
        </w:rPr>
        <w:t>ברש"י דבעיסת אורז החיטים הם טעמו וממשו ואינו טעמו ולא ממשו</w:t>
      </w:r>
      <w:bookmarkEnd w:id="6474"/>
      <w:bookmarkEnd w:id="6475"/>
    </w:p>
    <w:p w:rsidR="002D7168" w:rsidRDefault="009A0058" w:rsidP="009F44AF">
      <w:pPr>
        <w:pStyle w:val="a"/>
        <w:rPr>
          <w:rtl/>
        </w:rPr>
      </w:pPr>
      <w:bookmarkStart w:id="6476" w:name="_Ref13647339"/>
      <w:bookmarkStart w:id="6477" w:name="_Toc13396667"/>
      <w:bookmarkStart w:id="6478" w:name="_Toc13418684"/>
      <w:r w:rsidRPr="002523D3">
        <w:rPr>
          <w:rFonts w:hint="cs"/>
          <w:rtl/>
        </w:rPr>
        <w:t xml:space="preserve">ותירצו </w:t>
      </w:r>
      <w:r w:rsidRPr="007E0C12">
        <w:rPr>
          <w:rStyle w:val="af8"/>
          <w:rFonts w:hint="cs"/>
          <w:rtl/>
        </w:rPr>
        <w:t xml:space="preserve">הרמב"ן </w:t>
      </w:r>
      <w:r w:rsidRPr="007E0C12">
        <w:rPr>
          <w:rStyle w:val="af6"/>
          <w:rFonts w:eastAsia="Guttman Hodes" w:hint="cs"/>
          <w:rtl/>
        </w:rPr>
        <w:t xml:space="preserve">(ד"ה ועוד ר"ת) </w:t>
      </w:r>
      <w:r w:rsidRPr="002523D3">
        <w:rPr>
          <w:rStyle w:val="af8"/>
          <w:rFonts w:hint="cs"/>
          <w:rtl/>
        </w:rPr>
        <w:t xml:space="preserve">והרשב"א </w:t>
      </w:r>
      <w:r w:rsidRPr="002523D3">
        <w:rPr>
          <w:rStyle w:val="af6"/>
          <w:rFonts w:eastAsia="Guttman Hodes" w:hint="cs"/>
          <w:rtl/>
        </w:rPr>
        <w:t>(ד"ה ור"י)</w:t>
      </w:r>
      <w:r w:rsidRPr="002523D3">
        <w:rPr>
          <w:rFonts w:hint="cs"/>
          <w:rtl/>
        </w:rPr>
        <w:t xml:space="preserve"> </w:t>
      </w:r>
      <w:r>
        <w:rPr>
          <w:rFonts w:hint="cs"/>
          <w:rtl/>
        </w:rPr>
        <w:t xml:space="preserve">דס"ל </w:t>
      </w:r>
      <w:r>
        <w:rPr>
          <w:rStyle w:val="af8"/>
          <w:rFonts w:hint="cs"/>
          <w:rtl/>
        </w:rPr>
        <w:t>ל</w:t>
      </w:r>
      <w:r w:rsidRPr="002523D3">
        <w:rPr>
          <w:rStyle w:val="af8"/>
          <w:rFonts w:hint="cs"/>
          <w:rtl/>
        </w:rPr>
        <w:t>רש"י</w:t>
      </w:r>
      <w:r w:rsidRPr="002523D3">
        <w:rPr>
          <w:rFonts w:hint="cs"/>
          <w:rtl/>
        </w:rPr>
        <w:t xml:space="preserve"> דבעיסה מחיטים ואורז אי"ז רק טעמו בלא ממשו, אלא הוא טעמו וממשו, דהרי העיקר של החיטים עצמם מעורב בעיסה, ומיעוט החיטים נותן טעם ברוב האורז, ודמי לגמ' לקמן </w:t>
      </w:r>
      <w:r w:rsidRPr="002523D3">
        <w:rPr>
          <w:rStyle w:val="af6"/>
          <w:rFonts w:eastAsia="Guttman Hodes" w:hint="cs"/>
          <w:rtl/>
        </w:rPr>
        <w:t>(צט.)</w:t>
      </w:r>
      <w:r w:rsidRPr="002523D3">
        <w:rPr>
          <w:rFonts w:hint="cs"/>
          <w:rtl/>
        </w:rPr>
        <w:t xml:space="preserve"> בגריסים שהתבשלו עם העדשים, ויש בהם באחד מהם רוב על השני, </w:t>
      </w:r>
      <w:r>
        <w:rPr>
          <w:rFonts w:hint="cs"/>
          <w:rtl/>
        </w:rPr>
        <w:t>דחשיב טעמו וממשו.</w:t>
      </w:r>
      <w:bookmarkEnd w:id="6476"/>
    </w:p>
    <w:p w:rsidR="009A0058" w:rsidRPr="00A560B2" w:rsidRDefault="009A0058" w:rsidP="009A0058">
      <w:pPr>
        <w:pStyle w:val="a2"/>
      </w:pPr>
      <w:bookmarkStart w:id="6479" w:name="_Toc13657883"/>
      <w:bookmarkStart w:id="6480" w:name="_Toc13664050"/>
      <w:r>
        <w:rPr>
          <w:rFonts w:hint="cs"/>
          <w:rtl/>
        </w:rPr>
        <w:t>דברי הר"ן דבמקום שמעורב גוף האיסור מדאו' לא בטל הטעם אפילו באלף</w:t>
      </w:r>
      <w:bookmarkEnd w:id="6479"/>
      <w:bookmarkEnd w:id="6480"/>
    </w:p>
    <w:p w:rsidR="00366EF4" w:rsidRDefault="009A0058" w:rsidP="009F44AF">
      <w:pPr>
        <w:pStyle w:val="a"/>
        <w:rPr>
          <w:rtl/>
        </w:rPr>
      </w:pPr>
      <w:r>
        <w:rPr>
          <w:rFonts w:hint="cs"/>
          <w:rtl/>
        </w:rPr>
        <w:t>וכעי"ז כתב</w:t>
      </w:r>
      <w:r w:rsidRPr="002523D3">
        <w:rPr>
          <w:rFonts w:hint="cs"/>
          <w:rtl/>
        </w:rPr>
        <w:t xml:space="preserve"> </w:t>
      </w:r>
      <w:r w:rsidRPr="002523D3">
        <w:rPr>
          <w:rStyle w:val="af8"/>
          <w:rFonts w:hint="cs"/>
          <w:rtl/>
        </w:rPr>
        <w:t>הר"ן על הרי"ף</w:t>
      </w:r>
      <w:r w:rsidRPr="002523D3">
        <w:rPr>
          <w:rFonts w:hint="cs"/>
          <w:rtl/>
        </w:rPr>
        <w:t xml:space="preserve"> </w:t>
      </w:r>
      <w:r w:rsidRPr="002523D3">
        <w:rPr>
          <w:rStyle w:val="af6"/>
          <w:rFonts w:eastAsia="Guttman Hodes" w:hint="cs"/>
          <w:rtl/>
        </w:rPr>
        <w:t>(לה: מדפי הרי"ף ד"ה ולענין מין)</w:t>
      </w:r>
      <w:r w:rsidRPr="002523D3">
        <w:rPr>
          <w:rFonts w:hint="cs"/>
          <w:rtl/>
        </w:rPr>
        <w:t xml:space="preserve"> </w:t>
      </w:r>
      <w:r>
        <w:rPr>
          <w:rFonts w:hint="cs"/>
          <w:rtl/>
        </w:rPr>
        <w:t xml:space="preserve">דבכל דבר </w:t>
      </w:r>
      <w:r w:rsidRPr="002523D3">
        <w:rPr>
          <w:rFonts w:hint="cs"/>
          <w:rtl/>
        </w:rPr>
        <w:t xml:space="preserve">שגופו מעורב בתערובת והוא נותן טעם, אינו בטל אפילו באלף, כדברי רבא בגמ' בזבחים </w:t>
      </w:r>
      <w:r w:rsidRPr="002523D3">
        <w:rPr>
          <w:rStyle w:val="af6"/>
          <w:rFonts w:eastAsia="Guttman Hodes" w:hint="cs"/>
          <w:rtl/>
        </w:rPr>
        <w:t>(עט.)</w:t>
      </w:r>
      <w:r w:rsidRPr="002523D3">
        <w:rPr>
          <w:rFonts w:hint="cs"/>
          <w:rtl/>
        </w:rPr>
        <w:t xml:space="preserve"> דמין בשאינו מינו בטעמא, וכוונת</w:t>
      </w:r>
      <w:r>
        <w:rPr>
          <w:rFonts w:hint="cs"/>
          <w:rtl/>
        </w:rPr>
        <w:t xml:space="preserve"> רבא לומר</w:t>
      </w:r>
      <w:r w:rsidRPr="002523D3">
        <w:rPr>
          <w:rFonts w:hint="cs"/>
          <w:rtl/>
        </w:rPr>
        <w:t xml:space="preserve"> דבטעמו וממשו אסור מדאו', כמו דבמין במינו דאמר רבא ברובא דהוא מדאו'.</w:t>
      </w:r>
    </w:p>
    <w:p w:rsidR="009A0058" w:rsidRDefault="009A0058" w:rsidP="009A0058">
      <w:pPr>
        <w:pStyle w:val="a2"/>
        <w:rPr>
          <w:rtl/>
        </w:rPr>
      </w:pPr>
      <w:bookmarkStart w:id="6481" w:name="_Toc13657884"/>
      <w:bookmarkStart w:id="6482" w:name="_Toc13664051"/>
      <w:bookmarkStart w:id="6483" w:name="_Toc13516517"/>
      <w:bookmarkStart w:id="6484" w:name="_Toc13562606"/>
      <w:bookmarkStart w:id="6485" w:name="_Toc13568593"/>
      <w:bookmarkStart w:id="6486" w:name="_Toc13603200"/>
      <w:bookmarkStart w:id="6487" w:name="_Toc13603303"/>
      <w:r w:rsidRPr="007E0C12">
        <w:rPr>
          <w:rFonts w:hint="cs"/>
          <w:rtl/>
        </w:rPr>
        <w:t xml:space="preserve">דברי הרמב"ן </w:t>
      </w:r>
      <w:r>
        <w:rPr>
          <w:rFonts w:hint="cs"/>
          <w:rtl/>
        </w:rPr>
        <w:t>בדעת רש"י דטעמו ולא ממשו הוא רק באופן שהעיקר אינו בעין בתערובת</w:t>
      </w:r>
      <w:bookmarkEnd w:id="6481"/>
      <w:bookmarkEnd w:id="6482"/>
    </w:p>
    <w:p w:rsidR="009A0058" w:rsidRDefault="009A0058" w:rsidP="009F44AF">
      <w:pPr>
        <w:pStyle w:val="a"/>
      </w:pPr>
      <w:bookmarkStart w:id="6488" w:name="_Ref13565457"/>
      <w:bookmarkEnd w:id="6483"/>
      <w:bookmarkEnd w:id="6484"/>
      <w:bookmarkEnd w:id="6485"/>
      <w:bookmarkEnd w:id="6486"/>
      <w:bookmarkEnd w:id="6487"/>
      <w:r>
        <w:rPr>
          <w:rFonts w:hint="cs"/>
          <w:rtl/>
        </w:rPr>
        <w:t xml:space="preserve">וביאר </w:t>
      </w:r>
      <w:r w:rsidRPr="007E0C12">
        <w:rPr>
          <w:rStyle w:val="af8"/>
          <w:rFonts w:hint="cs"/>
          <w:rtl/>
        </w:rPr>
        <w:t>הרמב"ן</w:t>
      </w:r>
      <w:r w:rsidRPr="007E0C12">
        <w:rPr>
          <w:rFonts w:hint="cs"/>
          <w:rtl/>
        </w:rPr>
        <w:t xml:space="preserve"> </w:t>
      </w:r>
      <w:r>
        <w:rPr>
          <w:rFonts w:hint="cs"/>
          <w:rtl/>
        </w:rPr>
        <w:t xml:space="preserve">דהא דכתב </w:t>
      </w:r>
      <w:r w:rsidRPr="001324DC">
        <w:rPr>
          <w:rStyle w:val="af8"/>
          <w:rFonts w:hint="cs"/>
          <w:rtl/>
        </w:rPr>
        <w:t>רש"י</w:t>
      </w:r>
      <w:r>
        <w:rPr>
          <w:rFonts w:hint="cs"/>
          <w:rtl/>
        </w:rPr>
        <w:t xml:space="preserve"> </w:t>
      </w:r>
      <w:r w:rsidRPr="001324DC">
        <w:rPr>
          <w:rStyle w:val="af6"/>
          <w:rFonts w:eastAsia="Guttman Hodes" w:hint="cs"/>
          <w:rtl/>
        </w:rPr>
        <w:t xml:space="preserve">(עי' אות </w:t>
      </w:r>
      <w:r w:rsidRPr="001324DC">
        <w:rPr>
          <w:rStyle w:val="af6"/>
          <w:rFonts w:eastAsia="Guttman Hodes"/>
          <w:rtl/>
        </w:rPr>
        <w:fldChar w:fldCharType="begin"/>
      </w:r>
      <w:r w:rsidRPr="001324DC">
        <w:rPr>
          <w:rStyle w:val="af6"/>
          <w:rFonts w:eastAsia="Guttman Hodes"/>
          <w:rtl/>
        </w:rPr>
        <w:instrText xml:space="preserve"> </w:instrText>
      </w:r>
      <w:r w:rsidRPr="001324DC">
        <w:rPr>
          <w:rStyle w:val="af6"/>
          <w:rFonts w:eastAsia="Guttman Hodes" w:hint="cs"/>
        </w:rPr>
        <w:instrText>REF</w:instrText>
      </w:r>
      <w:r w:rsidRPr="001324DC">
        <w:rPr>
          <w:rStyle w:val="af6"/>
          <w:rFonts w:eastAsia="Guttman Hodes" w:hint="cs"/>
          <w:rtl/>
        </w:rPr>
        <w:instrText xml:space="preserve"> _</w:instrText>
      </w:r>
      <w:r w:rsidRPr="001324DC">
        <w:rPr>
          <w:rStyle w:val="af6"/>
          <w:rFonts w:eastAsia="Guttman Hodes" w:hint="cs"/>
        </w:rPr>
        <w:instrText>Ref13568615 \r \h</w:instrText>
      </w:r>
      <w:r w:rsidRPr="001324DC">
        <w:rPr>
          <w:rStyle w:val="af6"/>
          <w:rFonts w:eastAsia="Guttman Hodes"/>
          <w:rtl/>
        </w:rPr>
        <w:instrText xml:space="preserve"> </w:instrText>
      </w:r>
      <w:r w:rsidRPr="001324DC">
        <w:rPr>
          <w:rStyle w:val="af6"/>
          <w:rFonts w:eastAsia="Guttman Hodes"/>
          <w:rtl/>
        </w:rPr>
      </w:r>
      <w:r w:rsidRPr="001324DC">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1324DC">
        <w:rPr>
          <w:rStyle w:val="af6"/>
          <w:rFonts w:eastAsia="Guttman Hodes"/>
          <w:rtl/>
        </w:rPr>
        <w:fldChar w:fldCharType="end"/>
      </w:r>
      <w:r>
        <w:rPr>
          <w:rFonts w:hint="cs"/>
          <w:rtl/>
        </w:rPr>
        <w:t xml:space="preserve"> דטעם כעיקר דרבנן, הוא דוקא </w:t>
      </w:r>
      <w:r w:rsidRPr="007E0C12">
        <w:rPr>
          <w:rFonts w:hint="cs"/>
          <w:rtl/>
        </w:rPr>
        <w:t xml:space="preserve">במקום שהעיקר אינו בתערובת, </w:t>
      </w:r>
      <w:r>
        <w:rPr>
          <w:rFonts w:hint="cs"/>
          <w:rtl/>
        </w:rPr>
        <w:t>ו</w:t>
      </w:r>
      <w:r w:rsidRPr="007E0C12">
        <w:rPr>
          <w:rFonts w:hint="cs"/>
          <w:rtl/>
        </w:rPr>
        <w:t xml:space="preserve">יש בתערובת רק טעם ואין שם </w:t>
      </w:r>
      <w:r>
        <w:rPr>
          <w:rFonts w:hint="cs"/>
          <w:rtl/>
        </w:rPr>
        <w:t xml:space="preserve">את </w:t>
      </w:r>
      <w:r w:rsidRPr="007E0C12">
        <w:rPr>
          <w:rFonts w:hint="cs"/>
          <w:rtl/>
        </w:rPr>
        <w:t>ממשו של האיסור לא בעין ולא מעורב בתוך ההיתר, אלא האיסור התבטל לגמרי ונשאר רק טעם האיסור,</w:t>
      </w:r>
      <w:r>
        <w:rPr>
          <w:rFonts w:hint="cs"/>
          <w:rtl/>
        </w:rPr>
        <w:t xml:space="preserve"> וציין </w:t>
      </w:r>
      <w:r w:rsidRPr="00AE5A9A">
        <w:rPr>
          <w:rStyle w:val="af8"/>
          <w:rFonts w:hint="cs"/>
          <w:rtl/>
        </w:rPr>
        <w:t>הרמב"ן</w:t>
      </w:r>
      <w:r>
        <w:rPr>
          <w:rFonts w:hint="cs"/>
          <w:rtl/>
        </w:rPr>
        <w:t xml:space="preserve"> לדבריו </w:t>
      </w:r>
      <w:r w:rsidRPr="00AE5A9A">
        <w:rPr>
          <w:rStyle w:val="af6"/>
          <w:rFonts w:eastAsia="Guttman Hodes" w:hint="cs"/>
          <w:rtl/>
        </w:rPr>
        <w:t xml:space="preserve">(עי' אות </w:t>
      </w:r>
      <w:r w:rsidRPr="00AE5A9A">
        <w:rPr>
          <w:rStyle w:val="af6"/>
          <w:rFonts w:eastAsia="Guttman Hodes"/>
          <w:rtl/>
        </w:rPr>
        <w:fldChar w:fldCharType="begin"/>
      </w:r>
      <w:r w:rsidRPr="00AE5A9A">
        <w:rPr>
          <w:rStyle w:val="af6"/>
          <w:rFonts w:eastAsia="Guttman Hodes"/>
          <w:rtl/>
        </w:rPr>
        <w:instrText xml:space="preserve"> </w:instrText>
      </w:r>
      <w:r w:rsidRPr="00AE5A9A">
        <w:rPr>
          <w:rStyle w:val="af6"/>
          <w:rFonts w:eastAsia="Guttman Hodes" w:hint="cs"/>
        </w:rPr>
        <w:instrText>REF</w:instrText>
      </w:r>
      <w:r w:rsidRPr="00AE5A9A">
        <w:rPr>
          <w:rStyle w:val="af6"/>
          <w:rFonts w:eastAsia="Guttman Hodes" w:hint="cs"/>
          <w:rtl/>
        </w:rPr>
        <w:instrText xml:space="preserve"> _</w:instrText>
      </w:r>
      <w:r w:rsidRPr="00AE5A9A">
        <w:rPr>
          <w:rStyle w:val="af6"/>
          <w:rFonts w:eastAsia="Guttman Hodes" w:hint="cs"/>
        </w:rPr>
        <w:instrText>Ref13600046 \r \h</w:instrText>
      </w:r>
      <w:r w:rsidRPr="00AE5A9A">
        <w:rPr>
          <w:rStyle w:val="af6"/>
          <w:rFonts w:eastAsia="Guttman Hodes"/>
          <w:rtl/>
        </w:rPr>
        <w:instrText xml:space="preserve"> </w:instrText>
      </w:r>
      <w:r w:rsidRPr="00AE5A9A">
        <w:rPr>
          <w:rStyle w:val="af6"/>
          <w:rFonts w:eastAsia="Guttman Hodes"/>
          <w:rtl/>
        </w:rPr>
      </w:r>
      <w:r w:rsidRPr="00AE5A9A">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AE5A9A">
        <w:rPr>
          <w:rStyle w:val="af6"/>
          <w:rFonts w:eastAsia="Guttman Hodes"/>
          <w:rtl/>
        </w:rPr>
        <w:fldChar w:fldCharType="end"/>
      </w:r>
      <w:r w:rsidRPr="00AE5A9A">
        <w:rPr>
          <w:rStyle w:val="af6"/>
          <w:rFonts w:eastAsia="Guttman Hodes" w:hint="cs"/>
          <w:rtl/>
        </w:rPr>
        <w:t xml:space="preserve"> </w:t>
      </w:r>
      <w:r>
        <w:rPr>
          <w:rFonts w:hint="cs"/>
          <w:rtl/>
        </w:rPr>
        <w:t xml:space="preserve">במ"ש מהו טעמו ולא ממשו, וכ"כ </w:t>
      </w:r>
      <w:r w:rsidRPr="002523D3">
        <w:rPr>
          <w:rStyle w:val="af8"/>
          <w:rFonts w:hint="cs"/>
          <w:rtl/>
        </w:rPr>
        <w:t>הר"ן על הרי"ף</w:t>
      </w:r>
      <w:r>
        <w:rPr>
          <w:rFonts w:hint="cs"/>
          <w:rtl/>
        </w:rPr>
        <w:t xml:space="preserve"> דפלוגתת </w:t>
      </w:r>
      <w:r w:rsidRPr="00A34C06">
        <w:rPr>
          <w:rStyle w:val="af8"/>
          <w:rFonts w:hint="cs"/>
          <w:rtl/>
        </w:rPr>
        <w:t>רש"י ותוס'</w:t>
      </w:r>
      <w:r>
        <w:rPr>
          <w:rFonts w:hint="cs"/>
          <w:rtl/>
        </w:rPr>
        <w:t xml:space="preserve"> בטעם כעיקר, היא במקום שמעורב בתערובת רק הטעם ואין בה מממשו של האיסור.</w:t>
      </w:r>
      <w:r w:rsidRPr="007E0C12">
        <w:rPr>
          <w:rFonts w:hint="cs"/>
          <w:rtl/>
        </w:rPr>
        <w:t xml:space="preserve"> </w:t>
      </w:r>
    </w:p>
    <w:p w:rsidR="009A0058" w:rsidRPr="007E0C12" w:rsidRDefault="009A0058" w:rsidP="009A0058">
      <w:pPr>
        <w:pStyle w:val="a2"/>
        <w:rPr>
          <w:rtl/>
        </w:rPr>
      </w:pPr>
      <w:bookmarkStart w:id="6489" w:name="_Toc13396668"/>
      <w:bookmarkStart w:id="6490" w:name="_Toc13418685"/>
      <w:bookmarkStart w:id="6491" w:name="_Toc13516519"/>
      <w:bookmarkStart w:id="6492" w:name="_Toc13562608"/>
      <w:bookmarkStart w:id="6493" w:name="_Toc13568595"/>
      <w:bookmarkStart w:id="6494" w:name="_Toc13603202"/>
      <w:bookmarkStart w:id="6495" w:name="_Toc13603305"/>
      <w:bookmarkStart w:id="6496" w:name="_Toc13657885"/>
      <w:bookmarkStart w:id="6497" w:name="_Toc13664052"/>
      <w:bookmarkEnd w:id="6477"/>
      <w:bookmarkEnd w:id="6478"/>
      <w:bookmarkEnd w:id="6488"/>
      <w:r w:rsidRPr="007E0C12">
        <w:rPr>
          <w:rFonts w:hint="cs"/>
          <w:rtl/>
        </w:rPr>
        <w:t>דברי הרמב"ן דבטעמו וממשו ל"מ ביטול ברוב אבל בטעמו ולא ממשו או ממשו ולא טעמו מהני</w:t>
      </w:r>
      <w:bookmarkEnd w:id="6489"/>
      <w:bookmarkEnd w:id="6490"/>
      <w:bookmarkEnd w:id="6491"/>
      <w:bookmarkEnd w:id="6492"/>
      <w:bookmarkEnd w:id="6493"/>
      <w:bookmarkEnd w:id="6494"/>
      <w:bookmarkEnd w:id="6495"/>
      <w:bookmarkEnd w:id="6496"/>
      <w:bookmarkEnd w:id="6497"/>
    </w:p>
    <w:p w:rsidR="006104BD" w:rsidRDefault="009A0058" w:rsidP="009F44AF">
      <w:pPr>
        <w:pStyle w:val="a"/>
        <w:rPr>
          <w:rtl/>
        </w:rPr>
        <w:sectPr w:rsidR="006104BD" w:rsidSect="005049E2">
          <w:type w:val="continuous"/>
          <w:pgSz w:w="11906" w:h="16838"/>
          <w:pgMar w:top="720" w:right="720" w:bottom="720" w:left="720" w:header="283" w:footer="283" w:gutter="0"/>
          <w:cols w:num="2" w:space="567"/>
          <w:titlePg/>
          <w:bidi/>
          <w:rtlGutter/>
          <w:docGrid w:linePitch="299"/>
        </w:sectPr>
      </w:pPr>
      <w:r>
        <w:rPr>
          <w:rFonts w:hint="cs"/>
          <w:rtl/>
        </w:rPr>
        <w:t>ו</w:t>
      </w:r>
      <w:r w:rsidRPr="00927430">
        <w:rPr>
          <w:rFonts w:hint="cs"/>
          <w:rtl/>
        </w:rPr>
        <w:t xml:space="preserve">כתב </w:t>
      </w:r>
      <w:r w:rsidRPr="00927430">
        <w:rPr>
          <w:rStyle w:val="af8"/>
          <w:rFonts w:hint="cs"/>
          <w:rtl/>
        </w:rPr>
        <w:t>הרמב"ן</w:t>
      </w:r>
      <w:r w:rsidRPr="00927430">
        <w:rPr>
          <w:rFonts w:hint="cs"/>
          <w:rtl/>
        </w:rPr>
        <w:t xml:space="preserve"> </w:t>
      </w:r>
      <w:r w:rsidRPr="004E7E78">
        <w:rPr>
          <w:rStyle w:val="af6"/>
          <w:rFonts w:eastAsia="Guttman Hodes" w:hint="cs"/>
          <w:rtl/>
        </w:rPr>
        <w:t>(ד"ה ושמעינן)</w:t>
      </w:r>
      <w:r w:rsidRPr="00927430">
        <w:rPr>
          <w:rFonts w:hint="cs"/>
          <w:rtl/>
        </w:rPr>
        <w:t xml:space="preserve"> </w:t>
      </w:r>
      <w:r>
        <w:rPr>
          <w:rFonts w:hint="cs"/>
          <w:rtl/>
        </w:rPr>
        <w:t xml:space="preserve">בדעת </w:t>
      </w:r>
      <w:r w:rsidRPr="00AF5013">
        <w:rPr>
          <w:rStyle w:val="af8"/>
          <w:rFonts w:hint="cs"/>
          <w:rtl/>
        </w:rPr>
        <w:t xml:space="preserve">רש"י </w:t>
      </w:r>
      <w:r w:rsidRPr="00927430">
        <w:rPr>
          <w:rFonts w:hint="cs"/>
          <w:rtl/>
        </w:rPr>
        <w:t xml:space="preserve">דמבואר דהא </w:t>
      </w:r>
      <w:r>
        <w:rPr>
          <w:rFonts w:hint="cs"/>
          <w:rtl/>
        </w:rPr>
        <w:t xml:space="preserve">דאמר רבא </w:t>
      </w:r>
      <w:r w:rsidRPr="00927430">
        <w:rPr>
          <w:rFonts w:hint="cs"/>
          <w:rtl/>
        </w:rPr>
        <w:t>בגמ' בזבחים</w:t>
      </w:r>
      <w:r>
        <w:rPr>
          <w:rFonts w:hint="cs"/>
          <w:rtl/>
        </w:rPr>
        <w:t xml:space="preserve"> </w:t>
      </w:r>
      <w:r w:rsidRPr="004E7E78">
        <w:rPr>
          <w:rStyle w:val="af6"/>
          <w:rFonts w:eastAsia="Guttman Hodes" w:hint="cs"/>
          <w:rtl/>
        </w:rPr>
        <w:t>(עט.)</w:t>
      </w:r>
      <w:r w:rsidRPr="002523D3">
        <w:rPr>
          <w:rFonts w:hint="cs"/>
          <w:rtl/>
        </w:rPr>
        <w:t xml:space="preserve"> </w:t>
      </w:r>
      <w:r>
        <w:rPr>
          <w:rFonts w:hint="cs"/>
          <w:rtl/>
        </w:rPr>
        <w:t>דמין במינו ברובא, ואילו מין בשאינו מינו בטעמא, ו</w:t>
      </w:r>
      <w:r w:rsidRPr="00927430">
        <w:rPr>
          <w:rFonts w:hint="cs"/>
          <w:rtl/>
        </w:rPr>
        <w:t>לא מהני מדאו' ביטול ברוב</w:t>
      </w:r>
      <w:r>
        <w:rPr>
          <w:rFonts w:hint="cs"/>
          <w:rtl/>
        </w:rPr>
        <w:t>,</w:t>
      </w:r>
      <w:r w:rsidRPr="00927430">
        <w:rPr>
          <w:rFonts w:hint="cs"/>
          <w:rtl/>
        </w:rPr>
        <w:t xml:space="preserve"> </w:t>
      </w:r>
      <w:r>
        <w:rPr>
          <w:rFonts w:hint="cs"/>
          <w:rtl/>
        </w:rPr>
        <w:t>זהו</w:t>
      </w:r>
      <w:r w:rsidRPr="00927430">
        <w:rPr>
          <w:rFonts w:hint="cs"/>
          <w:rtl/>
        </w:rPr>
        <w:t xml:space="preserve"> דוקא </w:t>
      </w:r>
      <w:r>
        <w:rPr>
          <w:rFonts w:hint="cs"/>
          <w:rtl/>
        </w:rPr>
        <w:t>במקום ש</w:t>
      </w:r>
      <w:r w:rsidRPr="00927430">
        <w:rPr>
          <w:rFonts w:hint="cs"/>
          <w:rtl/>
        </w:rPr>
        <w:t>גם טעמו וגם ממשו של האיסור מ</w:t>
      </w:r>
      <w:r w:rsidRPr="007E0C12">
        <w:rPr>
          <w:rFonts w:hint="cs"/>
          <w:rtl/>
        </w:rPr>
        <w:t xml:space="preserve">עורב בהיתר, אבל בטעמו ולא ממשו, או ממשו ולא טעמו כמין במינו, מהני ביטול ברוב מדאו', והוא אסור </w:t>
      </w:r>
      <w:r w:rsidRPr="007E0C12">
        <w:rPr>
          <w:rStyle w:val="afa"/>
          <w:rFonts w:hint="cs"/>
          <w:rtl/>
        </w:rPr>
        <w:t xml:space="preserve">[מדרבנן] </w:t>
      </w:r>
      <w:r w:rsidRPr="007E0C12">
        <w:rPr>
          <w:rFonts w:hint="cs"/>
          <w:rtl/>
        </w:rPr>
        <w:t>ואין בו מלקות</w:t>
      </w:r>
      <w:r>
        <w:rPr>
          <w:rFonts w:hint="cs"/>
          <w:rtl/>
        </w:rPr>
        <w:t>,</w:t>
      </w:r>
      <w:r w:rsidRPr="007E0C12">
        <w:rPr>
          <w:rStyle w:val="afa"/>
          <w:rFonts w:hint="cs"/>
          <w:rtl/>
        </w:rPr>
        <w:t xml:space="preserve"> </w:t>
      </w:r>
      <w:r w:rsidRPr="007E0C12">
        <w:rPr>
          <w:rFonts w:hint="cs"/>
          <w:rtl/>
        </w:rPr>
        <w:t xml:space="preserve">ועיי"ש במה שביאר </w:t>
      </w:r>
      <w:r w:rsidRPr="007E0C12">
        <w:rPr>
          <w:rStyle w:val="af8"/>
          <w:rFonts w:hint="cs"/>
          <w:rtl/>
        </w:rPr>
        <w:t>הרמב"ן</w:t>
      </w:r>
      <w:r w:rsidRPr="007E0C12">
        <w:rPr>
          <w:rFonts w:hint="cs"/>
          <w:rtl/>
        </w:rPr>
        <w:t xml:space="preserve"> בגמ' בזב</w:t>
      </w:r>
      <w:bookmarkStart w:id="6498" w:name="_Toc13045654"/>
      <w:bookmarkEnd w:id="6122"/>
      <w:bookmarkEnd w:id="6123"/>
      <w:bookmarkEnd w:id="6124"/>
      <w:bookmarkEnd w:id="6125"/>
      <w:r>
        <w:rPr>
          <w:rFonts w:hint="cs"/>
          <w:rtl/>
        </w:rPr>
        <w:t>חים.</w:t>
      </w:r>
    </w:p>
    <w:p w:rsidR="006104BD" w:rsidRDefault="006104BD" w:rsidP="009F44AF">
      <w:pPr>
        <w:pStyle w:val="a"/>
        <w:numPr>
          <w:ilvl w:val="0"/>
          <w:numId w:val="0"/>
        </w:numPr>
        <w:rPr>
          <w:rtl/>
        </w:rPr>
        <w:sectPr w:rsidR="006104BD" w:rsidSect="005049E2">
          <w:type w:val="continuous"/>
          <w:pgSz w:w="11906" w:h="16838"/>
          <w:pgMar w:top="720" w:right="720" w:bottom="720" w:left="720" w:header="283" w:footer="283" w:gutter="0"/>
          <w:cols w:num="2" w:space="567"/>
          <w:titlePg/>
          <w:bidi/>
          <w:rtlGutter/>
          <w:docGrid w:linePitch="299"/>
        </w:sectPr>
      </w:pPr>
    </w:p>
    <w:bookmarkEnd w:id="6498"/>
    <w:p w:rsidR="00856AF4" w:rsidRDefault="00F34A57" w:rsidP="00E669F8">
      <w:pPr>
        <w:pStyle w:val="afd"/>
        <w:rPr>
          <w:sz w:val="24"/>
          <w:szCs w:val="24"/>
          <w:rtl/>
        </w:rPr>
        <w:sectPr w:rsidR="00856AF4" w:rsidSect="007C6A7B">
          <w:footerReference w:type="default" r:id="rId62"/>
          <w:type w:val="continuous"/>
          <w:pgSz w:w="11906" w:h="16838"/>
          <w:pgMar w:top="720" w:right="720" w:bottom="720" w:left="720" w:header="283" w:footer="283" w:gutter="0"/>
          <w:cols w:num="2" w:space="113"/>
          <w:bidi/>
          <w:rtlGutter/>
          <w:docGrid w:linePitch="299"/>
        </w:sectPr>
      </w:pPr>
      <w:r>
        <w:rPr>
          <w:sz w:val="24"/>
          <w:szCs w:val="24"/>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sz w:val="24"/>
          <w:szCs w:val="24"/>
          <w:rtl/>
        </w:rPr>
        <w:fldChar w:fldCharType="separate"/>
      </w:r>
    </w:p>
    <w:p w:rsidR="00615D29" w:rsidRPr="00F0090D" w:rsidRDefault="00615D29" w:rsidP="00E669F8">
      <w:pPr>
        <w:pStyle w:val="afd"/>
        <w:rPr>
          <w:rtl/>
        </w:rPr>
      </w:pPr>
      <w:bookmarkStart w:id="6499" w:name="_Toc15849577"/>
      <w:bookmarkStart w:id="6500" w:name="_Toc20429211"/>
      <w:bookmarkStart w:id="6501" w:name="_Toc20468158"/>
      <w:r w:rsidRPr="00F0090D">
        <w:rPr>
          <w:rFonts w:hint="cs"/>
          <w:rtl/>
        </w:rPr>
        <w:lastRenderedPageBreak/>
        <w:t>סימן י'</w:t>
      </w:r>
      <w:bookmarkEnd w:id="6499"/>
      <w:bookmarkEnd w:id="6500"/>
      <w:bookmarkEnd w:id="6501"/>
    </w:p>
    <w:p w:rsidR="00615D29" w:rsidRPr="00F0090D" w:rsidRDefault="00615D29" w:rsidP="00E669F8">
      <w:pPr>
        <w:pStyle w:val="afd"/>
      </w:pPr>
      <w:bookmarkStart w:id="6502" w:name="_Toc14425925"/>
      <w:bookmarkStart w:id="6503" w:name="_Toc15849578"/>
      <w:bookmarkStart w:id="6504" w:name="_Toc20429212"/>
      <w:bookmarkStart w:id="6505" w:name="_Toc20468159"/>
      <w:r w:rsidRPr="00F0090D">
        <w:rPr>
          <w:rFonts w:hint="cs"/>
          <w:rtl/>
        </w:rPr>
        <w:t>סוגית טעם כעיקר (ה')</w:t>
      </w:r>
      <w:bookmarkEnd w:id="6502"/>
      <w:bookmarkEnd w:id="6503"/>
      <w:bookmarkEnd w:id="6504"/>
      <w:bookmarkEnd w:id="6505"/>
    </w:p>
    <w:p w:rsidR="00615D29" w:rsidRPr="00F0090D" w:rsidRDefault="00615D29" w:rsidP="00E669F8">
      <w:pPr>
        <w:pStyle w:val="afd"/>
        <w:rPr>
          <w:rtl/>
        </w:rPr>
      </w:pPr>
      <w:bookmarkStart w:id="6506" w:name="_Toc14425926"/>
      <w:bookmarkStart w:id="6507" w:name="_Toc20429213"/>
      <w:bookmarkStart w:id="6508" w:name="_Toc20468160"/>
      <w:r w:rsidRPr="00F0090D">
        <w:rPr>
          <w:rFonts w:hint="cs"/>
          <w:rtl/>
        </w:rPr>
        <w:t>בפלוגתת הראשונים בדין נהפך בטעם כעיקר</w:t>
      </w:r>
      <w:bookmarkEnd w:id="6506"/>
      <w:bookmarkEnd w:id="6507"/>
      <w:bookmarkEnd w:id="6508"/>
    </w:p>
    <w:p w:rsidR="00615D29" w:rsidRDefault="002916D7" w:rsidP="00E669F8">
      <w:pPr>
        <w:pStyle w:val="afd"/>
        <w:rPr>
          <w:rtl/>
        </w:rPr>
        <w:sectPr w:rsidR="00615D29" w:rsidSect="006104BD">
          <w:headerReference w:type="default" r:id="rId63"/>
          <w:pgSz w:w="11906" w:h="16838"/>
          <w:pgMar w:top="720" w:right="720" w:bottom="720" w:left="720" w:header="283" w:footer="283" w:gutter="0"/>
          <w:cols w:space="113"/>
          <w:bidi/>
          <w:rtlGutter/>
          <w:docGrid w:linePitch="299"/>
        </w:sectPr>
      </w:pPr>
      <w:r>
        <w:rPr>
          <w:rtl/>
        </w:rPr>
        <w:t>מפתח הסוגיא</w:t>
      </w:r>
    </w:p>
    <w:p w:rsidR="004D1C5B" w:rsidRDefault="004D1C5B" w:rsidP="004D1C5B">
      <w:pPr>
        <w:pStyle w:val="2"/>
        <w:rPr>
          <w:rFonts w:eastAsiaTheme="minorEastAsia" w:cstheme="minorBidi"/>
          <w:i/>
          <w:iCs/>
          <w:noProof/>
          <w:sz w:val="22"/>
          <w:szCs w:val="22"/>
          <w:rtl/>
        </w:rPr>
      </w:pPr>
      <w:r>
        <w:rPr>
          <w:noProof/>
          <w:rtl/>
        </w:rPr>
        <w:t>מראי מקומות וביאורים</w:t>
      </w:r>
    </w:p>
    <w:p w:rsidR="004D1C5B" w:rsidRDefault="004D1C5B" w:rsidP="004D1C5B">
      <w:pPr>
        <w:pStyle w:val="2"/>
        <w:rPr>
          <w:rFonts w:eastAsiaTheme="minorEastAsia" w:cstheme="minorBidi"/>
          <w:i/>
          <w:iCs/>
          <w:noProof/>
          <w:sz w:val="22"/>
          <w:szCs w:val="22"/>
          <w:rtl/>
        </w:rPr>
      </w:pPr>
      <w:r>
        <w:rPr>
          <w:noProof/>
          <w:rtl/>
        </w:rPr>
        <w:t>דעת רש"י דלמ"ד טע"כ דאו' אמרינן נהפך</w:t>
      </w:r>
    </w:p>
    <w:p w:rsidR="004D1C5B" w:rsidRDefault="004D1C5B" w:rsidP="004D1C5B">
      <w:pPr>
        <w:pStyle w:val="aff4"/>
        <w:rPr>
          <w:rFonts w:eastAsiaTheme="minorEastAsia" w:cstheme="minorBidi"/>
          <w:i/>
          <w:iCs/>
          <w:noProof/>
          <w:sz w:val="22"/>
          <w:szCs w:val="22"/>
          <w:rtl/>
        </w:rPr>
      </w:pPr>
      <w:r>
        <w:rPr>
          <w:noProof/>
          <w:rtl/>
        </w:rPr>
        <w:t>דברי רש"י דכשפשט הטעם בכל ההיתר נעשה איסור מדין טע"כ</w:t>
      </w:r>
    </w:p>
    <w:p w:rsidR="004D1C5B" w:rsidRPr="004D1C5B" w:rsidRDefault="004D1C5B" w:rsidP="004D1C5B">
      <w:pPr>
        <w:pStyle w:val="TOC9"/>
        <w:numPr>
          <w:ilvl w:val="0"/>
          <w:numId w:val="42"/>
        </w:numPr>
        <w:rPr>
          <w:rFonts w:eastAsiaTheme="minorEastAsia" w:cstheme="minorBidi"/>
          <w:sz w:val="22"/>
          <w:szCs w:val="22"/>
          <w:rtl/>
        </w:rPr>
      </w:pPr>
      <w:r w:rsidRPr="004D1C5B">
        <w:rPr>
          <w:rFonts w:ascii="Guttman Hodes" w:eastAsia="Guttman Hodes" w:hAnsi="Guttman Hodes" w:cs="Guttman Hodes"/>
          <w:sz w:val="12"/>
          <w:szCs w:val="12"/>
          <w:rtl/>
        </w:rPr>
        <w:t>דברי רש"י בפסחים דדין</w:t>
      </w:r>
      <w:r w:rsidRPr="004D1C5B">
        <w:rPr>
          <w:rFonts w:ascii="Guttman Hodes" w:eastAsia="Guttman Hodes" w:hAnsi="Guttman Hodes" w:cs="Guttman Hodes" w:hint="cs"/>
          <w:sz w:val="12"/>
          <w:szCs w:val="12"/>
          <w:rtl/>
        </w:rPr>
        <w:t xml:space="preserve"> </w:t>
      </w:r>
      <w:r w:rsidRPr="004D1C5B">
        <w:rPr>
          <w:rFonts w:ascii="Guttman Hodes" w:eastAsia="Guttman Hodes" w:hAnsi="Guttman Hodes" w:cs="Guttman Hodes"/>
          <w:sz w:val="12"/>
          <w:szCs w:val="12"/>
          <w:rtl/>
        </w:rPr>
        <w:t>היתר מצטרף לאיסור לר"ע הוא בשרה חלק מהפת ביין דהפת מצטרפת ליין</w:t>
      </w:r>
    </w:p>
    <w:p w:rsidR="004D1C5B" w:rsidRDefault="004D1C5B" w:rsidP="004D1C5B">
      <w:pPr>
        <w:pStyle w:val="aff2"/>
        <w:numPr>
          <w:ilvl w:val="0"/>
          <w:numId w:val="3"/>
        </w:numPr>
        <w:rPr>
          <w:rFonts w:eastAsiaTheme="minorEastAsia" w:cstheme="minorBidi"/>
          <w:sz w:val="22"/>
          <w:szCs w:val="22"/>
          <w:rtl/>
        </w:rPr>
      </w:pPr>
      <w:r>
        <w:rPr>
          <w:rtl/>
        </w:rPr>
        <w:t>דברי רש"י בפסחים דלמ"ד דטעם כעיקר דאו' כל שפשט היין בכל הפת נעשית כל הפת כגוף האיסור</w:t>
      </w:r>
    </w:p>
    <w:p w:rsidR="004D1C5B" w:rsidRDefault="004D1C5B" w:rsidP="004D1C5B">
      <w:pPr>
        <w:pStyle w:val="aff4"/>
        <w:rPr>
          <w:rFonts w:eastAsiaTheme="minorEastAsia" w:cstheme="minorBidi"/>
          <w:i/>
          <w:iCs/>
          <w:noProof/>
          <w:sz w:val="22"/>
          <w:szCs w:val="22"/>
          <w:rtl/>
        </w:rPr>
      </w:pPr>
      <w:r>
        <w:rPr>
          <w:noProof/>
          <w:rtl/>
        </w:rPr>
        <w:t>ביאור הגרעק"א והנחל"ד ברש"י דבטע"כ ההיתר נהפך לאיסור</w:t>
      </w:r>
    </w:p>
    <w:p w:rsidR="004D1C5B" w:rsidRDefault="004D1C5B" w:rsidP="004D1C5B">
      <w:pPr>
        <w:pStyle w:val="aff2"/>
        <w:numPr>
          <w:ilvl w:val="0"/>
          <w:numId w:val="3"/>
        </w:numPr>
        <w:rPr>
          <w:rFonts w:eastAsiaTheme="minorEastAsia" w:cstheme="minorBidi"/>
          <w:sz w:val="22"/>
          <w:szCs w:val="22"/>
          <w:rtl/>
        </w:rPr>
      </w:pPr>
      <w:r>
        <w:rPr>
          <w:rtl/>
        </w:rPr>
        <w:t>ביאור הגרעק"א ברש"י דבטע"כ נהפך ההיתר לאיסור וחייב בכזית מההיתר אף שאין כזית מהאיסור</w:t>
      </w:r>
    </w:p>
    <w:p w:rsidR="004D1C5B" w:rsidRDefault="004D1C5B" w:rsidP="004D1C5B">
      <w:pPr>
        <w:pStyle w:val="aff2"/>
        <w:numPr>
          <w:ilvl w:val="0"/>
          <w:numId w:val="3"/>
        </w:numPr>
        <w:rPr>
          <w:rFonts w:eastAsiaTheme="minorEastAsia" w:cstheme="minorBidi"/>
          <w:sz w:val="22"/>
          <w:szCs w:val="22"/>
          <w:rtl/>
        </w:rPr>
      </w:pPr>
      <w:r>
        <w:rPr>
          <w:rtl/>
        </w:rPr>
        <w:t>ביאור הנחל"ד ברש"י דבטע"כ נהפך ההיתר לאיסור ולוקה על כל כזית מהתערובת</w:t>
      </w:r>
    </w:p>
    <w:p w:rsidR="004D1C5B" w:rsidRDefault="004D1C5B" w:rsidP="004D1C5B">
      <w:pPr>
        <w:pStyle w:val="aff2"/>
        <w:numPr>
          <w:ilvl w:val="0"/>
          <w:numId w:val="3"/>
        </w:numPr>
        <w:rPr>
          <w:rFonts w:eastAsiaTheme="minorEastAsia" w:cstheme="minorBidi"/>
          <w:sz w:val="22"/>
          <w:szCs w:val="22"/>
          <w:rtl/>
        </w:rPr>
      </w:pPr>
      <w:r>
        <w:rPr>
          <w:rtl/>
        </w:rPr>
        <w:t>דברי הנחל"ד דכן מבואר בדברי רש"י בפסחים בדעת רבנן בהיתר מצטרף לאיסור בקדשים</w:t>
      </w:r>
    </w:p>
    <w:p w:rsidR="004D1C5B" w:rsidRDefault="004D1C5B" w:rsidP="004D1C5B">
      <w:pPr>
        <w:pStyle w:val="aff2"/>
        <w:numPr>
          <w:ilvl w:val="0"/>
          <w:numId w:val="3"/>
        </w:numPr>
        <w:rPr>
          <w:rFonts w:eastAsiaTheme="minorEastAsia" w:cstheme="minorBidi"/>
          <w:sz w:val="22"/>
          <w:szCs w:val="22"/>
          <w:rtl/>
        </w:rPr>
      </w:pPr>
      <w:r>
        <w:rPr>
          <w:rtl/>
        </w:rPr>
        <w:t>דברי רש"י בפסחים דבטעם כעיקר נעשה טעמו של איסור כעיקרו וכממשו</w:t>
      </w:r>
    </w:p>
    <w:p w:rsidR="004D1C5B" w:rsidRDefault="004D1C5B" w:rsidP="004D1C5B">
      <w:pPr>
        <w:pStyle w:val="aff2"/>
        <w:numPr>
          <w:ilvl w:val="0"/>
          <w:numId w:val="3"/>
        </w:numPr>
        <w:rPr>
          <w:rFonts w:eastAsiaTheme="minorEastAsia" w:cstheme="minorBidi"/>
          <w:sz w:val="22"/>
          <w:szCs w:val="22"/>
          <w:rtl/>
        </w:rPr>
      </w:pPr>
      <w:r>
        <w:rPr>
          <w:rtl/>
        </w:rPr>
        <w:t>קושית הגרעק"א דבגמ' לעיל מבואר דחצי זית טעם בלוע הוא דרבנן והרי מדין נהפך אסור מדאו'</w:t>
      </w:r>
    </w:p>
    <w:p w:rsidR="004D1C5B" w:rsidRDefault="004D1C5B" w:rsidP="004D1C5B">
      <w:pPr>
        <w:pStyle w:val="aff4"/>
        <w:rPr>
          <w:rFonts w:eastAsiaTheme="minorEastAsia" w:cstheme="minorBidi"/>
          <w:i/>
          <w:iCs/>
          <w:noProof/>
          <w:sz w:val="22"/>
          <w:szCs w:val="22"/>
          <w:rtl/>
        </w:rPr>
      </w:pPr>
      <w:r>
        <w:rPr>
          <w:noProof/>
          <w:rtl/>
        </w:rPr>
        <w:t>ביאור הנחל"ד ברש"י דלולי דין נהפך אין בטעם כל איסור דאו'</w:t>
      </w:r>
    </w:p>
    <w:p w:rsidR="004D1C5B" w:rsidRDefault="004D1C5B" w:rsidP="004D1C5B">
      <w:pPr>
        <w:pStyle w:val="aff2"/>
        <w:numPr>
          <w:ilvl w:val="0"/>
          <w:numId w:val="3"/>
        </w:numPr>
        <w:rPr>
          <w:rFonts w:eastAsiaTheme="minorEastAsia" w:cstheme="minorBidi"/>
          <w:sz w:val="22"/>
          <w:szCs w:val="22"/>
          <w:rtl/>
        </w:rPr>
      </w:pPr>
      <w:r>
        <w:rPr>
          <w:rtl/>
        </w:rPr>
        <w:t>קושית הנחל"ד על רש"י בפסחים היאך לר"ע ילפינן מגיעולי עכו"ם דבטע"כ נהפך ההיתר לאיסור</w:t>
      </w:r>
    </w:p>
    <w:p w:rsidR="004D1C5B" w:rsidRDefault="004D1C5B" w:rsidP="004D1C5B">
      <w:pPr>
        <w:pStyle w:val="aff2"/>
        <w:numPr>
          <w:ilvl w:val="0"/>
          <w:numId w:val="3"/>
        </w:numPr>
        <w:rPr>
          <w:rFonts w:eastAsiaTheme="minorEastAsia" w:cstheme="minorBidi"/>
          <w:sz w:val="22"/>
          <w:szCs w:val="22"/>
          <w:rtl/>
        </w:rPr>
      </w:pPr>
      <w:r>
        <w:rPr>
          <w:rtl/>
        </w:rPr>
        <w:t>דברי הנחל"ד דלרש"י א"א לומר דהטעם אסור מדאו' בלא גיעולי עכו"ם דהא פסק דטע"כ דרבנן</w:t>
      </w:r>
    </w:p>
    <w:p w:rsidR="004D1C5B" w:rsidRDefault="004D1C5B" w:rsidP="004D1C5B">
      <w:pPr>
        <w:pStyle w:val="aff2"/>
        <w:numPr>
          <w:ilvl w:val="0"/>
          <w:numId w:val="3"/>
        </w:numPr>
        <w:rPr>
          <w:rFonts w:eastAsiaTheme="minorEastAsia" w:cstheme="minorBidi"/>
          <w:sz w:val="22"/>
          <w:szCs w:val="22"/>
          <w:rtl/>
        </w:rPr>
      </w:pPr>
      <w:r>
        <w:rPr>
          <w:rtl/>
        </w:rPr>
        <w:t>ביאור הנחל"ד ברש"י דלמ"ד טע"כ דאו' אין סברא מדאו' לאסור טעם באכילת היתר דאין בו ממש</w:t>
      </w:r>
    </w:p>
    <w:p w:rsidR="004D1C5B" w:rsidRDefault="004D1C5B" w:rsidP="004D1C5B">
      <w:pPr>
        <w:pStyle w:val="aff2"/>
        <w:numPr>
          <w:ilvl w:val="0"/>
          <w:numId w:val="3"/>
        </w:numPr>
        <w:rPr>
          <w:rFonts w:eastAsiaTheme="minorEastAsia" w:cstheme="minorBidi"/>
          <w:sz w:val="22"/>
          <w:szCs w:val="22"/>
          <w:rtl/>
        </w:rPr>
      </w:pPr>
      <w:r>
        <w:rPr>
          <w:rtl/>
        </w:rPr>
        <w:t>ביאור הנחל"ד ברש"י בפסחים דלמ"ד טע"כ דאו' האיסור בטעם הוא רק כיון שנהפך ההיתר לאיסור</w:t>
      </w:r>
    </w:p>
    <w:p w:rsidR="004D1C5B" w:rsidRDefault="004D1C5B" w:rsidP="004D1C5B">
      <w:pPr>
        <w:pStyle w:val="aff4"/>
        <w:rPr>
          <w:rFonts w:eastAsiaTheme="minorEastAsia" w:cstheme="minorBidi"/>
          <w:i/>
          <w:iCs/>
          <w:noProof/>
          <w:sz w:val="22"/>
          <w:szCs w:val="22"/>
          <w:rtl/>
        </w:rPr>
      </w:pPr>
      <w:r>
        <w:rPr>
          <w:noProof/>
          <w:rtl/>
        </w:rPr>
        <w:t>ביאור החוו"ד ברש"י דכל החידוש בדין טע"כ הוא רק לנהפך</w:t>
      </w:r>
    </w:p>
    <w:p w:rsidR="004D1C5B" w:rsidRDefault="004D1C5B" w:rsidP="004D1C5B">
      <w:pPr>
        <w:pStyle w:val="aff2"/>
        <w:numPr>
          <w:ilvl w:val="0"/>
          <w:numId w:val="3"/>
        </w:numPr>
        <w:rPr>
          <w:rFonts w:eastAsiaTheme="minorEastAsia" w:cstheme="minorBidi"/>
          <w:sz w:val="22"/>
          <w:szCs w:val="22"/>
          <w:rtl/>
        </w:rPr>
      </w:pPr>
      <w:r>
        <w:rPr>
          <w:rtl/>
        </w:rPr>
        <w:t>דברי החוו"ד דההלמ"מ בכזית בכא"פ דל"מ ביטול במין בשאינו מינו ולא אזלינן בתר רובא</w:t>
      </w:r>
    </w:p>
    <w:p w:rsidR="004D1C5B" w:rsidRDefault="004D1C5B" w:rsidP="004D1C5B">
      <w:pPr>
        <w:pStyle w:val="aff2"/>
        <w:numPr>
          <w:ilvl w:val="0"/>
          <w:numId w:val="3"/>
        </w:numPr>
        <w:rPr>
          <w:rFonts w:eastAsiaTheme="minorEastAsia" w:cstheme="minorBidi"/>
          <w:sz w:val="22"/>
          <w:szCs w:val="22"/>
          <w:rtl/>
        </w:rPr>
      </w:pPr>
      <w:r>
        <w:rPr>
          <w:rtl/>
        </w:rPr>
        <w:t>קושית החוו"ד דא"צ ילפותא לטע"כ דאף בלא הטעם אסורה הממשות מהלמ"מ דכזית בכא"פ</w:t>
      </w:r>
    </w:p>
    <w:p w:rsidR="004D1C5B" w:rsidRDefault="004D1C5B" w:rsidP="004D1C5B">
      <w:pPr>
        <w:pStyle w:val="aff2"/>
        <w:numPr>
          <w:ilvl w:val="0"/>
          <w:numId w:val="3"/>
        </w:numPr>
        <w:rPr>
          <w:rFonts w:eastAsiaTheme="minorEastAsia" w:cstheme="minorBidi"/>
          <w:sz w:val="22"/>
          <w:szCs w:val="22"/>
          <w:rtl/>
        </w:rPr>
      </w:pPr>
      <w:r>
        <w:rPr>
          <w:rtl/>
        </w:rPr>
        <w:t>ביאור החוו"ד ברש"י דהחידוש בטע"כ דאמרינן נהפך וההלמ"מ דכזית בכא"פ נאמרה כשאין טעם</w:t>
      </w:r>
    </w:p>
    <w:p w:rsidR="004D1C5B" w:rsidRDefault="004D1C5B" w:rsidP="004D1C5B">
      <w:pPr>
        <w:pStyle w:val="2"/>
        <w:rPr>
          <w:rFonts w:eastAsiaTheme="minorEastAsia" w:cstheme="minorBidi"/>
          <w:i/>
          <w:iCs/>
          <w:noProof/>
          <w:sz w:val="22"/>
          <w:szCs w:val="22"/>
          <w:rtl/>
        </w:rPr>
      </w:pPr>
      <w:r>
        <w:rPr>
          <w:noProof/>
          <w:rtl/>
        </w:rPr>
        <w:t xml:space="preserve">בביאור </w:t>
      </w:r>
      <w:r>
        <w:rPr>
          <w:rFonts w:hint="cs"/>
          <w:noProof/>
          <w:rtl/>
        </w:rPr>
        <w:t>הרא"ש ב</w:t>
      </w:r>
      <w:r>
        <w:rPr>
          <w:noProof/>
          <w:rtl/>
        </w:rPr>
        <w:t>ר"ת דאמרינן נהפך</w:t>
      </w:r>
    </w:p>
    <w:p w:rsidR="004D1C5B" w:rsidRDefault="004D1C5B" w:rsidP="004D1C5B">
      <w:pPr>
        <w:pStyle w:val="aff4"/>
        <w:rPr>
          <w:rFonts w:eastAsiaTheme="minorEastAsia" w:cstheme="minorBidi"/>
          <w:i/>
          <w:iCs/>
          <w:noProof/>
          <w:sz w:val="22"/>
          <w:szCs w:val="22"/>
          <w:rtl/>
        </w:rPr>
      </w:pPr>
      <w:r>
        <w:rPr>
          <w:noProof/>
          <w:rtl/>
        </w:rPr>
        <w:t xml:space="preserve">דברי </w:t>
      </w:r>
      <w:r>
        <w:rPr>
          <w:rFonts w:hint="cs"/>
          <w:noProof/>
          <w:rtl/>
        </w:rPr>
        <w:t>הרא"ש ב</w:t>
      </w:r>
      <w:r>
        <w:rPr>
          <w:noProof/>
          <w:rtl/>
        </w:rPr>
        <w:t>ר"ת דטעם כעיקר דאו' ולוקין עליו</w:t>
      </w:r>
      <w:r>
        <w:rPr>
          <w:rFonts w:hint="cs"/>
          <w:noProof/>
          <w:rtl/>
        </w:rPr>
        <w:t xml:space="preserve"> ואמרינן נהפך</w:t>
      </w:r>
    </w:p>
    <w:p w:rsidR="004D1C5B" w:rsidRDefault="004D1C5B" w:rsidP="004D1C5B">
      <w:pPr>
        <w:pStyle w:val="aff2"/>
        <w:numPr>
          <w:ilvl w:val="0"/>
          <w:numId w:val="3"/>
        </w:numPr>
        <w:rPr>
          <w:rFonts w:eastAsiaTheme="minorEastAsia" w:cstheme="minorBidi"/>
          <w:sz w:val="22"/>
          <w:szCs w:val="22"/>
          <w:rtl/>
        </w:rPr>
      </w:pPr>
      <w:r>
        <w:rPr>
          <w:rtl/>
        </w:rPr>
        <w:t>דברי התוס' והרא"ש והרשב"א בשם ר"ת דבמין בשאינו מינו לכו"ע אסור מדאו' ולוקין עליו</w:t>
      </w:r>
    </w:p>
    <w:p w:rsidR="004D1C5B" w:rsidRDefault="004D1C5B" w:rsidP="004D1C5B">
      <w:pPr>
        <w:pStyle w:val="aff2"/>
        <w:numPr>
          <w:ilvl w:val="0"/>
          <w:numId w:val="3"/>
        </w:numPr>
        <w:rPr>
          <w:rFonts w:eastAsiaTheme="minorEastAsia" w:cstheme="minorBidi"/>
          <w:sz w:val="22"/>
          <w:szCs w:val="22"/>
          <w:rtl/>
        </w:rPr>
      </w:pPr>
      <w:r>
        <w:rPr>
          <w:rtl/>
        </w:rPr>
        <w:t>דברי הרא"ש דלדעת ר"ת אם נשפך הרוטב ולא ידוע אם היה שישים הוא ספק דאו' ואסור</w:t>
      </w:r>
    </w:p>
    <w:p w:rsidR="004D1C5B" w:rsidRDefault="004D1C5B" w:rsidP="004D1C5B">
      <w:pPr>
        <w:pStyle w:val="aff4"/>
        <w:rPr>
          <w:rFonts w:eastAsiaTheme="minorEastAsia" w:cstheme="minorBidi"/>
          <w:i/>
          <w:iCs/>
          <w:noProof/>
          <w:sz w:val="22"/>
          <w:szCs w:val="22"/>
          <w:rtl/>
        </w:rPr>
      </w:pPr>
      <w:r>
        <w:rPr>
          <w:noProof/>
          <w:rtl/>
        </w:rPr>
        <w:t>דעת הסוברים דלר"ת אמרינן נהפך דוקא כשיש כזית בכא"פ</w:t>
      </w:r>
    </w:p>
    <w:p w:rsidR="004D1C5B" w:rsidRDefault="004D1C5B" w:rsidP="004D1C5B">
      <w:pPr>
        <w:pStyle w:val="aff2"/>
        <w:numPr>
          <w:ilvl w:val="0"/>
          <w:numId w:val="3"/>
        </w:numPr>
        <w:rPr>
          <w:rFonts w:eastAsiaTheme="minorEastAsia" w:cstheme="minorBidi"/>
          <w:sz w:val="22"/>
          <w:szCs w:val="22"/>
          <w:rtl/>
        </w:rPr>
      </w:pPr>
      <w:r>
        <w:rPr>
          <w:rtl/>
        </w:rPr>
        <w:t>דברי התוס' הרא"ש בשם ר"ת דרק כזית בכא"פ לוקין על טעם כעיקר</w:t>
      </w:r>
    </w:p>
    <w:p w:rsidR="004D1C5B" w:rsidRDefault="004D1C5B" w:rsidP="004D1C5B">
      <w:pPr>
        <w:pStyle w:val="aff2"/>
        <w:numPr>
          <w:ilvl w:val="0"/>
          <w:numId w:val="3"/>
        </w:numPr>
        <w:rPr>
          <w:rFonts w:eastAsiaTheme="minorEastAsia" w:cstheme="minorBidi"/>
          <w:sz w:val="22"/>
          <w:szCs w:val="22"/>
          <w:rtl/>
        </w:rPr>
      </w:pPr>
      <w:r>
        <w:rPr>
          <w:rtl/>
        </w:rPr>
        <w:t>דברי הטור בשם ר"ת דרק כשיש כזית בכא"פ לוקין על טע"כ וחייב על כל כזית מהתערובת</w:t>
      </w:r>
    </w:p>
    <w:p w:rsidR="004D1C5B" w:rsidRDefault="004D1C5B" w:rsidP="004D1C5B">
      <w:pPr>
        <w:pStyle w:val="aff2"/>
        <w:numPr>
          <w:ilvl w:val="0"/>
          <w:numId w:val="3"/>
        </w:numPr>
        <w:rPr>
          <w:rFonts w:eastAsiaTheme="minorEastAsia" w:cstheme="minorBidi"/>
          <w:sz w:val="22"/>
          <w:szCs w:val="22"/>
          <w:rtl/>
        </w:rPr>
      </w:pPr>
      <w:r>
        <w:rPr>
          <w:rtl/>
        </w:rPr>
        <w:t>ביאור הב"י בדברי הטור דס"ל דר"ת מודה לדעת רבינו חיים דאין מלקות בפחות מכזית בכא"פ</w:t>
      </w:r>
    </w:p>
    <w:p w:rsidR="004D1C5B" w:rsidRDefault="004D1C5B" w:rsidP="004D1C5B">
      <w:pPr>
        <w:pStyle w:val="aff2"/>
        <w:numPr>
          <w:ilvl w:val="0"/>
          <w:numId w:val="3"/>
        </w:numPr>
        <w:rPr>
          <w:rFonts w:eastAsiaTheme="minorEastAsia" w:cstheme="minorBidi"/>
          <w:sz w:val="22"/>
          <w:szCs w:val="22"/>
          <w:rtl/>
        </w:rPr>
      </w:pPr>
      <w:r>
        <w:rPr>
          <w:rtl/>
        </w:rPr>
        <w:t>דברי ר"ת בספר הישר דהחיוב בטעם כעיקר הוא דוקא כשיש כזית בכדי אכילת פרס</w:t>
      </w:r>
    </w:p>
    <w:p w:rsidR="004D1C5B" w:rsidRDefault="004D1C5B" w:rsidP="004D1C5B">
      <w:pPr>
        <w:pStyle w:val="aff4"/>
        <w:rPr>
          <w:rFonts w:eastAsiaTheme="minorEastAsia" w:cstheme="minorBidi"/>
          <w:i/>
          <w:iCs/>
          <w:noProof/>
          <w:sz w:val="22"/>
          <w:szCs w:val="22"/>
          <w:rtl/>
        </w:rPr>
      </w:pPr>
      <w:r>
        <w:rPr>
          <w:noProof/>
          <w:rtl/>
        </w:rPr>
        <w:t>דעת הסוברים דלר"ת אמרינן נהפך אף בפחות מכזית בכא"פ</w:t>
      </w:r>
    </w:p>
    <w:p w:rsidR="004D1C5B" w:rsidRDefault="004D1C5B" w:rsidP="004D1C5B">
      <w:pPr>
        <w:pStyle w:val="aff2"/>
        <w:numPr>
          <w:ilvl w:val="0"/>
          <w:numId w:val="3"/>
        </w:numPr>
        <w:rPr>
          <w:rFonts w:eastAsiaTheme="minorEastAsia" w:cstheme="minorBidi"/>
          <w:sz w:val="22"/>
          <w:szCs w:val="22"/>
          <w:rtl/>
        </w:rPr>
      </w:pPr>
      <w:r>
        <w:rPr>
          <w:rtl/>
        </w:rPr>
        <w:t>דברי הגר"א והפרמ"ג והפר"ח דלדעת ר"ת לוקין בטע"כ אף בפחות מכזית בכא"פ על כל כזית</w:t>
      </w:r>
    </w:p>
    <w:p w:rsidR="004D1C5B" w:rsidRDefault="004D1C5B" w:rsidP="004D1C5B">
      <w:pPr>
        <w:pStyle w:val="aff2"/>
        <w:numPr>
          <w:ilvl w:val="0"/>
          <w:numId w:val="3"/>
        </w:numPr>
        <w:rPr>
          <w:rFonts w:eastAsiaTheme="minorEastAsia" w:cstheme="minorBidi"/>
          <w:sz w:val="22"/>
          <w:szCs w:val="22"/>
          <w:rtl/>
        </w:rPr>
      </w:pPr>
      <w:r>
        <w:rPr>
          <w:rtl/>
        </w:rPr>
        <w:t>דברי הפרמ"ג דלר"ת אף כשסילק את האיסור ונשאר רק הטעם לוקין על כל כזית מהתערובת</w:t>
      </w:r>
    </w:p>
    <w:p w:rsidR="004D1C5B" w:rsidRDefault="004D1C5B" w:rsidP="004D1C5B">
      <w:pPr>
        <w:pStyle w:val="aff2"/>
        <w:numPr>
          <w:ilvl w:val="0"/>
          <w:numId w:val="3"/>
        </w:numPr>
        <w:rPr>
          <w:rFonts w:eastAsiaTheme="minorEastAsia" w:cstheme="minorBidi"/>
          <w:sz w:val="22"/>
          <w:szCs w:val="22"/>
          <w:rtl/>
        </w:rPr>
      </w:pPr>
      <w:r>
        <w:rPr>
          <w:rtl/>
        </w:rPr>
        <w:t>דברי הגר"א והפר"ח דכן מוכח מהרא"ש דכתב את דין נשפך הרוטב רק לדעת רבינו חיים ולא לר"ת</w:t>
      </w:r>
    </w:p>
    <w:p w:rsidR="004D1C5B" w:rsidRDefault="004D1C5B" w:rsidP="004D1C5B">
      <w:pPr>
        <w:pStyle w:val="aff2"/>
        <w:numPr>
          <w:ilvl w:val="0"/>
          <w:numId w:val="3"/>
        </w:numPr>
        <w:rPr>
          <w:rFonts w:eastAsiaTheme="minorEastAsia" w:cstheme="minorBidi"/>
          <w:sz w:val="22"/>
          <w:szCs w:val="22"/>
          <w:rtl/>
        </w:rPr>
      </w:pPr>
      <w:r>
        <w:rPr>
          <w:rtl/>
        </w:rPr>
        <w:t>דברי הפר"ח דבתוס' בע"ז וברשב"א מבואר דלר"ת לוקין על טע"כ אף שיש אלף כנגד האיסור</w:t>
      </w:r>
    </w:p>
    <w:p w:rsidR="004D1C5B" w:rsidRDefault="004D1C5B" w:rsidP="004D1C5B">
      <w:pPr>
        <w:pStyle w:val="aff2"/>
        <w:numPr>
          <w:ilvl w:val="0"/>
          <w:numId w:val="3"/>
        </w:numPr>
        <w:rPr>
          <w:rFonts w:eastAsiaTheme="minorEastAsia" w:cstheme="minorBidi"/>
          <w:sz w:val="22"/>
          <w:szCs w:val="22"/>
          <w:rtl/>
        </w:rPr>
      </w:pPr>
      <w:r>
        <w:rPr>
          <w:rtl/>
        </w:rPr>
        <w:t>דברי הפר"ח דברא"ש בהלכות חלה מוכח דלר"ת לוקה על כל כזית מהתערובת</w:t>
      </w:r>
    </w:p>
    <w:p w:rsidR="004D1C5B" w:rsidRDefault="004D1C5B" w:rsidP="004D1C5B">
      <w:pPr>
        <w:pStyle w:val="aff2"/>
        <w:numPr>
          <w:ilvl w:val="0"/>
          <w:numId w:val="3"/>
        </w:numPr>
        <w:rPr>
          <w:rFonts w:eastAsiaTheme="minorEastAsia" w:cstheme="minorBidi"/>
          <w:sz w:val="22"/>
          <w:szCs w:val="22"/>
          <w:rtl/>
        </w:rPr>
      </w:pPr>
      <w:r>
        <w:rPr>
          <w:rtl/>
        </w:rPr>
        <w:t>דברי האחרונים שצריך להגיה בטור דכתב דחייב רק בכזית בכא"פ דהוא בשם רבינו חיים ולא ר"ת</w:t>
      </w:r>
    </w:p>
    <w:p w:rsidR="004D1C5B" w:rsidRDefault="004D1C5B" w:rsidP="004D1C5B">
      <w:pPr>
        <w:pStyle w:val="aff4"/>
        <w:rPr>
          <w:rFonts w:eastAsiaTheme="minorEastAsia" w:cstheme="minorBidi"/>
          <w:i/>
          <w:iCs/>
          <w:noProof/>
          <w:sz w:val="22"/>
          <w:szCs w:val="22"/>
          <w:rtl/>
        </w:rPr>
      </w:pPr>
      <w:r>
        <w:rPr>
          <w:noProof/>
          <w:rtl/>
        </w:rPr>
        <w:t>פלוגתת הש"ך והגרעק"א אי דין נשפך הוא מדין נהפך</w:t>
      </w:r>
    </w:p>
    <w:p w:rsidR="004D1C5B" w:rsidRDefault="004D1C5B" w:rsidP="004D1C5B">
      <w:pPr>
        <w:pStyle w:val="aff2"/>
        <w:numPr>
          <w:ilvl w:val="0"/>
          <w:numId w:val="3"/>
        </w:numPr>
        <w:rPr>
          <w:rFonts w:eastAsiaTheme="minorEastAsia" w:cstheme="minorBidi"/>
          <w:sz w:val="22"/>
          <w:szCs w:val="22"/>
          <w:rtl/>
        </w:rPr>
      </w:pPr>
      <w:r>
        <w:rPr>
          <w:rtl/>
        </w:rPr>
        <w:t>דברי הש"ך דהא דנשפך הרוטב הוא ספק דאו' הוא כיון דס"ל לר"ת דבטע"כ אמרינן נהפך</w:t>
      </w:r>
    </w:p>
    <w:p w:rsidR="004D1C5B" w:rsidRDefault="004D1C5B" w:rsidP="004D1C5B">
      <w:pPr>
        <w:pStyle w:val="aff2"/>
        <w:numPr>
          <w:ilvl w:val="0"/>
          <w:numId w:val="3"/>
        </w:numPr>
        <w:rPr>
          <w:rFonts w:eastAsiaTheme="minorEastAsia" w:cstheme="minorBidi"/>
          <w:sz w:val="22"/>
          <w:szCs w:val="22"/>
          <w:rtl/>
        </w:rPr>
      </w:pPr>
      <w:r>
        <w:rPr>
          <w:rtl/>
        </w:rPr>
        <w:t>דברי הגרעק"א דדין נשפך הרוטב אינו שייך לנהפך דלר"ת ור"י רק בכזית בכא"פ אמרינן נהפך</w:t>
      </w:r>
    </w:p>
    <w:p w:rsidR="004D1C5B" w:rsidRDefault="004D1C5B" w:rsidP="004D1C5B">
      <w:pPr>
        <w:pStyle w:val="aff4"/>
        <w:rPr>
          <w:rFonts w:eastAsiaTheme="minorEastAsia" w:cstheme="minorBidi"/>
          <w:i/>
          <w:iCs/>
          <w:noProof/>
          <w:sz w:val="22"/>
          <w:szCs w:val="22"/>
          <w:rtl/>
        </w:rPr>
      </w:pPr>
      <w:r>
        <w:rPr>
          <w:noProof/>
          <w:rtl/>
        </w:rPr>
        <w:t>דברי הרא"ש בדעת ר"ת בדין נהפך בעיסת אורז</w:t>
      </w:r>
    </w:p>
    <w:p w:rsidR="004D1C5B" w:rsidRDefault="004D1C5B" w:rsidP="004D1C5B">
      <w:pPr>
        <w:pStyle w:val="aff2"/>
        <w:numPr>
          <w:ilvl w:val="0"/>
          <w:numId w:val="3"/>
        </w:numPr>
        <w:rPr>
          <w:rFonts w:eastAsiaTheme="minorEastAsia" w:cstheme="minorBidi"/>
          <w:sz w:val="22"/>
          <w:szCs w:val="22"/>
          <w:rtl/>
        </w:rPr>
      </w:pPr>
      <w:r>
        <w:rPr>
          <w:rtl/>
        </w:rPr>
        <w:t>דברי הרא"ש בשם ר"ת דכיון שיש בה טעם דגן נהפכה כל העיסה לעיסת דגן</w:t>
      </w:r>
    </w:p>
    <w:p w:rsidR="004D1C5B" w:rsidRDefault="004D1C5B" w:rsidP="004D1C5B">
      <w:pPr>
        <w:pStyle w:val="aff2"/>
        <w:numPr>
          <w:ilvl w:val="0"/>
          <w:numId w:val="3"/>
        </w:numPr>
        <w:rPr>
          <w:rFonts w:eastAsiaTheme="minorEastAsia" w:cstheme="minorBidi"/>
          <w:sz w:val="22"/>
          <w:szCs w:val="22"/>
          <w:rtl/>
        </w:rPr>
      </w:pPr>
      <w:r>
        <w:rPr>
          <w:rtl/>
        </w:rPr>
        <w:t>דברי הרא"ש דבעיסת אורז שיש בה טעמו וממשו של החיטים נהפך האורז להיות כמו החיטים</w:t>
      </w:r>
    </w:p>
    <w:p w:rsidR="004D1C5B" w:rsidRDefault="004D1C5B" w:rsidP="004D1C5B">
      <w:pPr>
        <w:pStyle w:val="aff2"/>
        <w:numPr>
          <w:ilvl w:val="0"/>
          <w:numId w:val="3"/>
        </w:numPr>
        <w:rPr>
          <w:rFonts w:eastAsiaTheme="minorEastAsia" w:cstheme="minorBidi"/>
          <w:sz w:val="22"/>
          <w:szCs w:val="22"/>
          <w:rtl/>
        </w:rPr>
      </w:pPr>
      <w:r>
        <w:rPr>
          <w:rtl/>
        </w:rPr>
        <w:t>דברי הרא"ש דבגמ' בזבחים מוכח דכיון שנתנו החיטים טעם באורז נקראת עיסת חיטים</w:t>
      </w:r>
    </w:p>
    <w:p w:rsidR="004D1C5B" w:rsidRDefault="004D1C5B" w:rsidP="004D1C5B">
      <w:pPr>
        <w:pStyle w:val="aff2"/>
        <w:numPr>
          <w:ilvl w:val="0"/>
          <w:numId w:val="3"/>
        </w:numPr>
        <w:rPr>
          <w:rFonts w:eastAsiaTheme="minorEastAsia" w:cstheme="minorBidi"/>
          <w:sz w:val="22"/>
          <w:szCs w:val="22"/>
          <w:rtl/>
        </w:rPr>
      </w:pPr>
      <w:r>
        <w:rPr>
          <w:rtl/>
        </w:rPr>
        <w:t>דברי הרא"ש דמוכח בדברי ריו"ח דהטעם עושה את התערובת כממשו של הטעם</w:t>
      </w:r>
    </w:p>
    <w:p w:rsidR="004D1C5B" w:rsidRDefault="004D1C5B" w:rsidP="004D1C5B">
      <w:pPr>
        <w:pStyle w:val="aff2"/>
        <w:numPr>
          <w:ilvl w:val="0"/>
          <w:numId w:val="3"/>
        </w:numPr>
        <w:rPr>
          <w:rFonts w:eastAsiaTheme="minorEastAsia" w:cstheme="minorBidi"/>
          <w:sz w:val="22"/>
          <w:szCs w:val="22"/>
          <w:rtl/>
        </w:rPr>
      </w:pPr>
      <w:r>
        <w:rPr>
          <w:rtl/>
        </w:rPr>
        <w:t>ביאור הרא"ש דאף דנהפכה העיסה לאורז מ"מ רק מדין גרירה היא ראויה להחמיץ ויש לה דין מצה</w:t>
      </w:r>
    </w:p>
    <w:p w:rsidR="004D1C5B" w:rsidRDefault="004D1C5B" w:rsidP="004D1C5B">
      <w:pPr>
        <w:pStyle w:val="aff2"/>
        <w:numPr>
          <w:ilvl w:val="0"/>
          <w:numId w:val="3"/>
        </w:numPr>
        <w:rPr>
          <w:rFonts w:eastAsiaTheme="minorEastAsia" w:cstheme="minorBidi"/>
          <w:sz w:val="22"/>
          <w:szCs w:val="22"/>
          <w:rtl/>
        </w:rPr>
      </w:pPr>
      <w:r>
        <w:rPr>
          <w:rtl/>
        </w:rPr>
        <w:t>ביאור הפרמ"ג בר"ת דאף שאין בעיסה כזית חיטים ואכל מהתערובת יצא יד"ח מצה מדין נהפך</w:t>
      </w:r>
    </w:p>
    <w:p w:rsidR="004D1C5B" w:rsidRDefault="004D1C5B" w:rsidP="004D1C5B">
      <w:pPr>
        <w:pStyle w:val="2"/>
        <w:rPr>
          <w:rFonts w:eastAsiaTheme="minorEastAsia" w:cstheme="minorBidi"/>
          <w:i/>
          <w:iCs/>
          <w:noProof/>
          <w:sz w:val="22"/>
          <w:szCs w:val="22"/>
          <w:rtl/>
        </w:rPr>
      </w:pPr>
      <w:r>
        <w:rPr>
          <w:noProof/>
          <w:rtl/>
        </w:rPr>
        <w:t>דעת רבינו חיים דדין נהפך בכזית בכא"פ</w:t>
      </w:r>
    </w:p>
    <w:p w:rsidR="004D1C5B" w:rsidRDefault="004D1C5B" w:rsidP="004D1C5B">
      <w:pPr>
        <w:pStyle w:val="aff4"/>
        <w:rPr>
          <w:rFonts w:eastAsiaTheme="minorEastAsia" w:cstheme="minorBidi"/>
          <w:i/>
          <w:iCs/>
          <w:noProof/>
          <w:sz w:val="22"/>
          <w:szCs w:val="22"/>
          <w:rtl/>
        </w:rPr>
      </w:pPr>
      <w:r>
        <w:rPr>
          <w:noProof/>
          <w:rtl/>
        </w:rPr>
        <w:t>דברי רבינו חיים ורבינו אליהו דרק בכזית בכא"פ לוקין מדאו'</w:t>
      </w:r>
    </w:p>
    <w:p w:rsidR="004D1C5B" w:rsidRDefault="004D1C5B" w:rsidP="004D1C5B">
      <w:pPr>
        <w:pStyle w:val="aff2"/>
        <w:numPr>
          <w:ilvl w:val="0"/>
          <w:numId w:val="3"/>
        </w:numPr>
        <w:rPr>
          <w:rFonts w:eastAsiaTheme="minorEastAsia" w:cstheme="minorBidi"/>
          <w:sz w:val="22"/>
          <w:szCs w:val="22"/>
          <w:rtl/>
        </w:rPr>
      </w:pPr>
      <w:r>
        <w:rPr>
          <w:rtl/>
        </w:rPr>
        <w:t>דעת רבינו אליהו ורבינו חיים דבכזית בכא"פ לוקין עליו ובפחות מכזית בכא"פ אין לוקין</w:t>
      </w:r>
    </w:p>
    <w:p w:rsidR="004D1C5B" w:rsidRDefault="004D1C5B" w:rsidP="004D1C5B">
      <w:pPr>
        <w:pStyle w:val="aff4"/>
        <w:rPr>
          <w:rFonts w:eastAsiaTheme="minorEastAsia" w:cstheme="minorBidi"/>
          <w:i/>
          <w:iCs/>
          <w:noProof/>
          <w:sz w:val="22"/>
          <w:szCs w:val="22"/>
          <w:rtl/>
        </w:rPr>
      </w:pPr>
      <w:r>
        <w:rPr>
          <w:noProof/>
          <w:rtl/>
        </w:rPr>
        <w:t>ביאור הרא"ש ברבינו חיים דדין נהפך הוא רק בכזית בכא"פ</w:t>
      </w:r>
    </w:p>
    <w:p w:rsidR="004D1C5B" w:rsidRDefault="004D1C5B" w:rsidP="004D1C5B">
      <w:pPr>
        <w:pStyle w:val="aff2"/>
        <w:numPr>
          <w:ilvl w:val="0"/>
          <w:numId w:val="3"/>
        </w:numPr>
        <w:rPr>
          <w:rFonts w:eastAsiaTheme="minorEastAsia" w:cstheme="minorBidi"/>
          <w:sz w:val="22"/>
          <w:szCs w:val="22"/>
          <w:rtl/>
        </w:rPr>
      </w:pPr>
      <w:r>
        <w:rPr>
          <w:rtl/>
        </w:rPr>
        <w:t>דברי הרא"ש בשם רבינו חיים דכיון שמעורב כ"כ הרבה מהאיסור חשיב שכולו נעשה איסור</w:t>
      </w:r>
    </w:p>
    <w:p w:rsidR="004D1C5B" w:rsidRDefault="004D1C5B" w:rsidP="004D1C5B">
      <w:pPr>
        <w:pStyle w:val="aff2"/>
        <w:numPr>
          <w:ilvl w:val="0"/>
          <w:numId w:val="3"/>
        </w:numPr>
        <w:rPr>
          <w:rFonts w:eastAsiaTheme="minorEastAsia" w:cstheme="minorBidi"/>
          <w:sz w:val="22"/>
          <w:szCs w:val="22"/>
          <w:rtl/>
        </w:rPr>
      </w:pPr>
      <w:r>
        <w:rPr>
          <w:rtl/>
        </w:rPr>
        <w:t>ביאור הרא"ש בשם רבינו חיים דבפחות מכא"פ לא מסתבר דכולו נהפך לאיסור</w:t>
      </w:r>
    </w:p>
    <w:p w:rsidR="004D1C5B" w:rsidRDefault="004D1C5B" w:rsidP="004D1C5B">
      <w:pPr>
        <w:pStyle w:val="aff2"/>
        <w:numPr>
          <w:ilvl w:val="0"/>
          <w:numId w:val="3"/>
        </w:numPr>
        <w:rPr>
          <w:rFonts w:eastAsiaTheme="minorEastAsia" w:cstheme="minorBidi"/>
          <w:sz w:val="22"/>
          <w:szCs w:val="22"/>
          <w:rtl/>
        </w:rPr>
      </w:pPr>
      <w:r>
        <w:rPr>
          <w:rtl/>
        </w:rPr>
        <w:t>דברי הגר"א והמהרש"א דרבינו חיים  ברא"ש ורבינו אליהו בתוס' בע"ז הם שיטה אחת</w:t>
      </w:r>
    </w:p>
    <w:p w:rsidR="004D1C5B" w:rsidRDefault="004D1C5B" w:rsidP="004D1C5B">
      <w:pPr>
        <w:pStyle w:val="aff2"/>
        <w:numPr>
          <w:ilvl w:val="0"/>
          <w:numId w:val="3"/>
        </w:numPr>
        <w:rPr>
          <w:rFonts w:eastAsiaTheme="minorEastAsia" w:cstheme="minorBidi"/>
          <w:sz w:val="22"/>
          <w:szCs w:val="22"/>
          <w:rtl/>
        </w:rPr>
      </w:pPr>
      <w:r>
        <w:rPr>
          <w:rtl/>
        </w:rPr>
        <w:t>דברי החזו"א דאפש"ל דרבינו אליהו מודה לרבינו חיים דבכזית בכא"פ אמרינן נהפך</w:t>
      </w:r>
    </w:p>
    <w:p w:rsidR="004D1C5B" w:rsidRDefault="004D1C5B" w:rsidP="004D1C5B">
      <w:pPr>
        <w:pStyle w:val="aff2"/>
        <w:numPr>
          <w:ilvl w:val="0"/>
          <w:numId w:val="3"/>
        </w:numPr>
        <w:rPr>
          <w:rFonts w:eastAsiaTheme="minorEastAsia" w:cstheme="minorBidi"/>
          <w:sz w:val="22"/>
          <w:szCs w:val="22"/>
          <w:rtl/>
        </w:rPr>
      </w:pPr>
      <w:r>
        <w:rPr>
          <w:rtl/>
        </w:rPr>
        <w:t>דברי הרא"ש בשם רבינו חיים דבעיסת אורז איירי שיש כזית חיטים בכא"פ ונהפכה לעיסת חיטים</w:t>
      </w:r>
    </w:p>
    <w:p w:rsidR="004D1C5B" w:rsidRDefault="004D1C5B" w:rsidP="004D1C5B">
      <w:pPr>
        <w:pStyle w:val="aff2"/>
        <w:numPr>
          <w:ilvl w:val="0"/>
          <w:numId w:val="3"/>
        </w:numPr>
        <w:rPr>
          <w:rFonts w:eastAsiaTheme="minorEastAsia" w:cstheme="minorBidi"/>
          <w:sz w:val="22"/>
          <w:szCs w:val="22"/>
          <w:rtl/>
        </w:rPr>
      </w:pPr>
      <w:r>
        <w:rPr>
          <w:rtl/>
        </w:rPr>
        <w:t>ביאור הפרמ"ג ברבינו חיים דבעיסת אורז יש כזית בכא"פ ומדין נהפך יצא יד"ח מצה בכזית מהעיסה</w:t>
      </w:r>
    </w:p>
    <w:p w:rsidR="004D1C5B" w:rsidRDefault="004D1C5B" w:rsidP="004D1C5B">
      <w:pPr>
        <w:pStyle w:val="2"/>
        <w:rPr>
          <w:rFonts w:eastAsiaTheme="minorEastAsia" w:cstheme="minorBidi"/>
          <w:i/>
          <w:iCs/>
          <w:noProof/>
          <w:sz w:val="22"/>
          <w:szCs w:val="22"/>
          <w:rtl/>
        </w:rPr>
      </w:pPr>
      <w:r>
        <w:rPr>
          <w:noProof/>
          <w:rtl/>
        </w:rPr>
        <w:t>בדעת רבינו חיים בפחות מכזית בכא"פ</w:t>
      </w:r>
    </w:p>
    <w:p w:rsidR="004D1C5B" w:rsidRDefault="004D1C5B" w:rsidP="004D1C5B">
      <w:pPr>
        <w:pStyle w:val="aff4"/>
        <w:rPr>
          <w:rFonts w:eastAsiaTheme="minorEastAsia" w:cstheme="minorBidi"/>
          <w:i/>
          <w:iCs/>
          <w:noProof/>
          <w:sz w:val="22"/>
          <w:szCs w:val="22"/>
          <w:rtl/>
        </w:rPr>
      </w:pPr>
      <w:r>
        <w:rPr>
          <w:noProof/>
          <w:rtl/>
        </w:rPr>
        <w:t>דעת האחרונים דלרבינו חיים פחות מכזית בכא"פ אסור מדרבנן</w:t>
      </w:r>
    </w:p>
    <w:p w:rsidR="004D1C5B" w:rsidRDefault="004D1C5B" w:rsidP="004D1C5B">
      <w:pPr>
        <w:pStyle w:val="aff2"/>
        <w:numPr>
          <w:ilvl w:val="0"/>
          <w:numId w:val="3"/>
        </w:numPr>
        <w:rPr>
          <w:rFonts w:eastAsiaTheme="minorEastAsia" w:cstheme="minorBidi"/>
          <w:sz w:val="22"/>
          <w:szCs w:val="22"/>
          <w:rtl/>
        </w:rPr>
      </w:pPr>
      <w:r>
        <w:rPr>
          <w:rtl/>
        </w:rPr>
        <w:t>דברי הגר"א דלהרא"ש ברבינו חיים פחות מכזית בכא"פ אינו דאו' ולהרשב"א בר"י הוא חצי שיעור</w:t>
      </w:r>
    </w:p>
    <w:p w:rsidR="004D1C5B" w:rsidRDefault="004D1C5B" w:rsidP="004D1C5B">
      <w:pPr>
        <w:pStyle w:val="aff2"/>
        <w:numPr>
          <w:ilvl w:val="0"/>
          <w:numId w:val="3"/>
        </w:numPr>
        <w:rPr>
          <w:rFonts w:eastAsiaTheme="minorEastAsia" w:cstheme="minorBidi"/>
          <w:sz w:val="22"/>
          <w:szCs w:val="22"/>
          <w:rtl/>
        </w:rPr>
      </w:pPr>
      <w:r>
        <w:rPr>
          <w:rtl/>
        </w:rPr>
        <w:t>דברי הגר"א דמדכתב הרא"ש את דין נשפך הרוטב לדעת ר"ת משמע דלרבינו חיים אינו מדאו'</w:t>
      </w:r>
    </w:p>
    <w:p w:rsidR="004D1C5B" w:rsidRDefault="004D1C5B" w:rsidP="004D1C5B">
      <w:pPr>
        <w:pStyle w:val="aff2"/>
        <w:numPr>
          <w:ilvl w:val="0"/>
          <w:numId w:val="3"/>
        </w:numPr>
        <w:rPr>
          <w:rFonts w:eastAsiaTheme="minorEastAsia" w:cstheme="minorBidi"/>
          <w:sz w:val="22"/>
          <w:szCs w:val="22"/>
          <w:rtl/>
        </w:rPr>
      </w:pPr>
      <w:r>
        <w:rPr>
          <w:rtl/>
        </w:rPr>
        <w:t>ביאור הנחל"ד ברא"ש דלא אסרה תורה את הטעם עצמו וכל שאין נהפך מסתבר דמותר מדאו'</w:t>
      </w:r>
    </w:p>
    <w:p w:rsidR="004D1C5B" w:rsidRDefault="004D1C5B" w:rsidP="004D1C5B">
      <w:pPr>
        <w:pStyle w:val="aff4"/>
        <w:rPr>
          <w:rFonts w:eastAsiaTheme="minorEastAsia" w:cstheme="minorBidi"/>
          <w:i/>
          <w:iCs/>
          <w:noProof/>
          <w:sz w:val="22"/>
          <w:szCs w:val="22"/>
          <w:rtl/>
        </w:rPr>
      </w:pPr>
      <w:r>
        <w:rPr>
          <w:noProof/>
          <w:rtl/>
        </w:rPr>
        <w:t>דברי הרשב"א בשם ר"י דבפחות מכא"פ אסור כחצי שיעור</w:t>
      </w:r>
    </w:p>
    <w:p w:rsidR="004D1C5B" w:rsidRDefault="004D1C5B" w:rsidP="004D1C5B">
      <w:pPr>
        <w:pStyle w:val="aff2"/>
        <w:numPr>
          <w:ilvl w:val="0"/>
          <w:numId w:val="3"/>
        </w:numPr>
        <w:rPr>
          <w:rFonts w:eastAsiaTheme="minorEastAsia" w:cstheme="minorBidi"/>
          <w:sz w:val="22"/>
          <w:szCs w:val="22"/>
          <w:rtl/>
        </w:rPr>
      </w:pPr>
      <w:r>
        <w:rPr>
          <w:rtl/>
        </w:rPr>
        <w:t>דברי הרשב"א בשם ר"י דבפחות מכזית בכא"פ אין מלקות ואסור מדאו' מדין חצי שיעור</w:t>
      </w:r>
    </w:p>
    <w:p w:rsidR="004D1C5B" w:rsidRDefault="004D1C5B" w:rsidP="004D1C5B">
      <w:pPr>
        <w:pStyle w:val="aff2"/>
        <w:numPr>
          <w:ilvl w:val="0"/>
          <w:numId w:val="3"/>
        </w:numPr>
        <w:rPr>
          <w:rFonts w:eastAsiaTheme="minorEastAsia" w:cstheme="minorBidi"/>
          <w:sz w:val="22"/>
          <w:szCs w:val="22"/>
          <w:rtl/>
        </w:rPr>
      </w:pPr>
      <w:r>
        <w:rPr>
          <w:rtl/>
        </w:rPr>
        <w:t>דברי הגר"א דלהרשב"א והראב"ד פחות מכזית בכא"פ אסור מדאו' ולהרא"ש והרמב"ן מדרבנן</w:t>
      </w:r>
    </w:p>
    <w:p w:rsidR="004D1C5B" w:rsidRDefault="004D1C5B" w:rsidP="004D1C5B">
      <w:pPr>
        <w:pStyle w:val="aff4"/>
        <w:rPr>
          <w:rFonts w:eastAsiaTheme="minorEastAsia" w:cstheme="minorBidi"/>
          <w:i/>
          <w:iCs/>
          <w:noProof/>
          <w:sz w:val="22"/>
          <w:szCs w:val="22"/>
          <w:rtl/>
        </w:rPr>
      </w:pPr>
      <w:r>
        <w:rPr>
          <w:noProof/>
          <w:rtl/>
        </w:rPr>
        <w:t>דעת האחרונים דלרבינו חיים פחות מכזית בכא"פ אסור מדאו'</w:t>
      </w:r>
    </w:p>
    <w:p w:rsidR="004D1C5B" w:rsidRDefault="004D1C5B" w:rsidP="004D1C5B">
      <w:pPr>
        <w:pStyle w:val="aff2"/>
        <w:numPr>
          <w:ilvl w:val="0"/>
          <w:numId w:val="3"/>
        </w:numPr>
        <w:rPr>
          <w:rFonts w:eastAsiaTheme="minorEastAsia" w:cstheme="minorBidi"/>
          <w:sz w:val="22"/>
          <w:szCs w:val="22"/>
          <w:rtl/>
        </w:rPr>
      </w:pPr>
      <w:r>
        <w:rPr>
          <w:rtl/>
        </w:rPr>
        <w:t>דברי המנחת כהן והפרמ"ג דלרבינו חיים בפחות מכזית בכא"פ אסור מדאו' ואין נהפך</w:t>
      </w:r>
    </w:p>
    <w:p w:rsidR="004D1C5B" w:rsidRDefault="004D1C5B" w:rsidP="004D1C5B">
      <w:pPr>
        <w:pStyle w:val="aff2"/>
        <w:numPr>
          <w:ilvl w:val="0"/>
          <w:numId w:val="3"/>
        </w:numPr>
        <w:rPr>
          <w:rFonts w:eastAsiaTheme="minorEastAsia" w:cstheme="minorBidi"/>
          <w:sz w:val="22"/>
          <w:szCs w:val="22"/>
          <w:rtl/>
        </w:rPr>
      </w:pPr>
      <w:r>
        <w:rPr>
          <w:rtl/>
        </w:rPr>
        <w:t>ביאור המנחת כהן דבטעם בלא ממשות ובפחות מכא"פ אין כח בטעם הקלוש לעשות נהפך</w:t>
      </w:r>
    </w:p>
    <w:p w:rsidR="004D1C5B" w:rsidRDefault="004D1C5B" w:rsidP="004D1C5B">
      <w:pPr>
        <w:pStyle w:val="aff2"/>
        <w:numPr>
          <w:ilvl w:val="0"/>
          <w:numId w:val="3"/>
        </w:numPr>
        <w:rPr>
          <w:rFonts w:eastAsiaTheme="minorEastAsia" w:cstheme="minorBidi"/>
          <w:sz w:val="22"/>
          <w:szCs w:val="22"/>
          <w:rtl/>
        </w:rPr>
      </w:pPr>
      <w:r>
        <w:rPr>
          <w:rtl/>
        </w:rPr>
        <w:t>ביאור הפר"ח והגרעק"א דבפחות מכזית בכא"פ ההיתר והאיסור מעורבים ואסור דטע"כ דאו'</w:t>
      </w:r>
    </w:p>
    <w:p w:rsidR="004D1C5B" w:rsidRDefault="004D1C5B" w:rsidP="004D1C5B">
      <w:pPr>
        <w:pStyle w:val="aff2"/>
        <w:numPr>
          <w:ilvl w:val="0"/>
          <w:numId w:val="3"/>
        </w:numPr>
        <w:rPr>
          <w:rFonts w:eastAsiaTheme="minorEastAsia" w:cstheme="minorBidi"/>
          <w:sz w:val="22"/>
          <w:szCs w:val="22"/>
          <w:rtl/>
        </w:rPr>
      </w:pPr>
      <w:r>
        <w:rPr>
          <w:rtl/>
        </w:rPr>
        <w:t>דברי הנחל"ד דהפר"ח הוצרך לבאר כן כיון דגרס בדעת הטור דלרבינו חיים אסור כזית בכא"פ</w:t>
      </w:r>
    </w:p>
    <w:p w:rsidR="004D1C5B" w:rsidRDefault="004D1C5B" w:rsidP="004D1C5B">
      <w:pPr>
        <w:pStyle w:val="aff2"/>
        <w:numPr>
          <w:ilvl w:val="0"/>
          <w:numId w:val="3"/>
        </w:numPr>
        <w:rPr>
          <w:rFonts w:eastAsiaTheme="minorEastAsia" w:cstheme="minorBidi"/>
          <w:sz w:val="22"/>
          <w:szCs w:val="22"/>
        </w:rPr>
      </w:pPr>
      <w:r>
        <w:rPr>
          <w:rtl/>
        </w:rPr>
        <w:t>קושית המנחת כהן דבמשרת לוקין אף על טעם בלא ממשות ומנזיר ילפינן לכל התורה</w:t>
      </w:r>
    </w:p>
    <w:p w:rsidR="004D1C5B" w:rsidRDefault="004D1C5B" w:rsidP="004D1C5B">
      <w:pPr>
        <w:pStyle w:val="aff4"/>
      </w:pPr>
      <w:r>
        <w:rPr>
          <w:rFonts w:hint="cs"/>
          <w:rtl/>
        </w:rPr>
        <w:t>ביאור הנחל"ד דלרבינו אליהו אין דין נהפך ודלא כרבינו חיים</w:t>
      </w:r>
    </w:p>
    <w:p w:rsidR="004D1C5B" w:rsidRPr="00894082" w:rsidRDefault="004D1C5B" w:rsidP="004D1C5B">
      <w:pPr>
        <w:pStyle w:val="aff2"/>
        <w:numPr>
          <w:ilvl w:val="0"/>
          <w:numId w:val="3"/>
        </w:numPr>
        <w:rPr>
          <w:rtl/>
        </w:rPr>
      </w:pPr>
      <w:r>
        <w:rPr>
          <w:rFonts w:hint="cs"/>
          <w:rtl/>
        </w:rPr>
        <w:t>ביאור הנחל"ד דלרבינו אליהו לא אמרינן נהפך ולוקה רק כשאכל כזית מהאיסור ודלא כרבינו חיים</w:t>
      </w:r>
    </w:p>
    <w:p w:rsidR="004D1C5B" w:rsidRDefault="004D1C5B" w:rsidP="004D1C5B">
      <w:pPr>
        <w:pStyle w:val="2"/>
        <w:rPr>
          <w:rFonts w:eastAsiaTheme="minorEastAsia" w:cstheme="minorBidi"/>
          <w:i/>
          <w:iCs/>
          <w:noProof/>
          <w:sz w:val="22"/>
          <w:szCs w:val="22"/>
          <w:rtl/>
        </w:rPr>
      </w:pPr>
      <w:r>
        <w:rPr>
          <w:noProof/>
          <w:rtl/>
        </w:rPr>
        <w:t>ביאור האחרונים ברמב"ן דלא אמרינן נהפך</w:t>
      </w:r>
    </w:p>
    <w:p w:rsidR="004D1C5B" w:rsidRDefault="004D1C5B" w:rsidP="004D1C5B">
      <w:pPr>
        <w:pStyle w:val="aff4"/>
        <w:rPr>
          <w:rFonts w:eastAsiaTheme="minorEastAsia" w:cstheme="minorBidi"/>
          <w:i/>
          <w:iCs/>
          <w:noProof/>
          <w:sz w:val="22"/>
          <w:szCs w:val="22"/>
          <w:rtl/>
        </w:rPr>
      </w:pPr>
      <w:r>
        <w:rPr>
          <w:noProof/>
          <w:rtl/>
        </w:rPr>
        <w:t>דברי הרמב"ן דבעיסת אורז אף בפחות מכא"פ יש לה דין דגן</w:t>
      </w:r>
    </w:p>
    <w:p w:rsidR="004D1C5B" w:rsidRDefault="004D1C5B" w:rsidP="004D1C5B">
      <w:pPr>
        <w:pStyle w:val="aff2"/>
        <w:numPr>
          <w:ilvl w:val="0"/>
          <w:numId w:val="3"/>
        </w:numPr>
        <w:rPr>
          <w:rFonts w:eastAsiaTheme="minorEastAsia" w:cstheme="minorBidi"/>
          <w:sz w:val="22"/>
          <w:szCs w:val="22"/>
          <w:rtl/>
        </w:rPr>
      </w:pPr>
      <w:r>
        <w:rPr>
          <w:rtl/>
        </w:rPr>
        <w:t>קושית הרמב"ן היאך יוצא יד"ח מצה בעיסת אורז שיש בה טעם דגן בפחות מכזית בכא"פ</w:t>
      </w:r>
    </w:p>
    <w:p w:rsidR="004D1C5B" w:rsidRDefault="004D1C5B" w:rsidP="004D1C5B">
      <w:pPr>
        <w:pStyle w:val="aff2"/>
        <w:numPr>
          <w:ilvl w:val="0"/>
          <w:numId w:val="3"/>
        </w:numPr>
        <w:rPr>
          <w:rFonts w:eastAsiaTheme="minorEastAsia" w:cstheme="minorBidi"/>
          <w:sz w:val="22"/>
          <w:szCs w:val="22"/>
          <w:rtl/>
        </w:rPr>
      </w:pPr>
      <w:r>
        <w:rPr>
          <w:rtl/>
        </w:rPr>
        <w:t>ביאור הרמב"ן דבעיסת אורז יש לה דין עיסת חיטים מדין גרירה</w:t>
      </w:r>
    </w:p>
    <w:p w:rsidR="004D1C5B" w:rsidRDefault="004D1C5B" w:rsidP="004D1C5B">
      <w:pPr>
        <w:pStyle w:val="aff2"/>
        <w:numPr>
          <w:ilvl w:val="0"/>
          <w:numId w:val="3"/>
        </w:numPr>
        <w:rPr>
          <w:rFonts w:eastAsiaTheme="minorEastAsia" w:cstheme="minorBidi"/>
          <w:sz w:val="22"/>
          <w:szCs w:val="22"/>
          <w:rtl/>
        </w:rPr>
      </w:pPr>
      <w:r>
        <w:rPr>
          <w:rtl/>
        </w:rPr>
        <w:t>ביאור הרמב"ן דמ"מ מוכח דטעם כעיקר דאו' דטעם החיטים לא מתבטל ברוב ולכן גורר את האורז</w:t>
      </w:r>
    </w:p>
    <w:p w:rsidR="004D1C5B" w:rsidRDefault="004D1C5B" w:rsidP="004D1C5B">
      <w:pPr>
        <w:pStyle w:val="aff2"/>
        <w:numPr>
          <w:ilvl w:val="0"/>
          <w:numId w:val="3"/>
        </w:numPr>
        <w:rPr>
          <w:rFonts w:eastAsiaTheme="minorEastAsia" w:cstheme="minorBidi"/>
          <w:sz w:val="22"/>
          <w:szCs w:val="22"/>
          <w:rtl/>
        </w:rPr>
      </w:pPr>
      <w:r>
        <w:rPr>
          <w:rtl/>
        </w:rPr>
        <w:t>קושית הרא"ש על הרמב"ן דיש בה טעם דגן ומדין נהפך יש לה דין דגן אף בפחות מכזית בכא"פ</w:t>
      </w:r>
    </w:p>
    <w:p w:rsidR="004D1C5B" w:rsidRDefault="004D1C5B" w:rsidP="004D1C5B">
      <w:pPr>
        <w:pStyle w:val="aff2"/>
        <w:numPr>
          <w:ilvl w:val="0"/>
          <w:numId w:val="3"/>
        </w:numPr>
        <w:rPr>
          <w:rFonts w:eastAsiaTheme="minorEastAsia" w:cstheme="minorBidi"/>
          <w:sz w:val="22"/>
          <w:szCs w:val="22"/>
          <w:rtl/>
        </w:rPr>
      </w:pPr>
      <w:r>
        <w:rPr>
          <w:rtl/>
        </w:rPr>
        <w:lastRenderedPageBreak/>
        <w:t>דברי הגר"א דמבואר ברמב"ן דבפחות מכזית בכא"פ אין איסור דאו' בטע"כ</w:t>
      </w:r>
    </w:p>
    <w:p w:rsidR="004D1C5B" w:rsidRDefault="004D1C5B" w:rsidP="004D1C5B">
      <w:pPr>
        <w:pStyle w:val="aff4"/>
        <w:rPr>
          <w:rFonts w:eastAsiaTheme="minorEastAsia" w:cstheme="minorBidi"/>
          <w:i/>
          <w:iCs/>
          <w:noProof/>
          <w:sz w:val="22"/>
          <w:szCs w:val="22"/>
          <w:rtl/>
        </w:rPr>
      </w:pPr>
      <w:r>
        <w:rPr>
          <w:noProof/>
          <w:rtl/>
        </w:rPr>
        <w:t>דברי הרמב"ן והרשב"א דבטע"כ חשיב שיש ממשו כזית בכא"פ</w:t>
      </w:r>
    </w:p>
    <w:p w:rsidR="004D1C5B" w:rsidRDefault="004D1C5B" w:rsidP="004D1C5B">
      <w:pPr>
        <w:pStyle w:val="aff2"/>
        <w:numPr>
          <w:ilvl w:val="0"/>
          <w:numId w:val="3"/>
        </w:numPr>
        <w:rPr>
          <w:rFonts w:eastAsiaTheme="minorEastAsia" w:cstheme="minorBidi"/>
          <w:sz w:val="22"/>
          <w:szCs w:val="22"/>
          <w:rtl/>
        </w:rPr>
      </w:pPr>
      <w:r>
        <w:rPr>
          <w:rtl/>
        </w:rPr>
        <w:t>דברי הרמב"ן והרשב"א דטעמו הוא כשגוף האיסור אינו בתערובת או שאבד בו או בבליעת איסור</w:t>
      </w:r>
    </w:p>
    <w:p w:rsidR="004D1C5B" w:rsidRDefault="004D1C5B" w:rsidP="004D1C5B">
      <w:pPr>
        <w:pStyle w:val="aff2"/>
        <w:numPr>
          <w:ilvl w:val="0"/>
          <w:numId w:val="3"/>
        </w:numPr>
        <w:rPr>
          <w:rFonts w:eastAsiaTheme="minorEastAsia" w:cstheme="minorBidi"/>
          <w:sz w:val="22"/>
          <w:szCs w:val="22"/>
          <w:rtl/>
        </w:rPr>
      </w:pPr>
      <w:r>
        <w:rPr>
          <w:rtl/>
        </w:rPr>
        <w:t>ביאור הרמב"ן והרשב"א דאיסור שנתן טעם גדול חשיב שנמחה כזית מממשו של האיסור בהיתר</w:t>
      </w:r>
    </w:p>
    <w:p w:rsidR="004D1C5B" w:rsidRDefault="004D1C5B" w:rsidP="004D1C5B">
      <w:pPr>
        <w:pStyle w:val="aff2"/>
        <w:numPr>
          <w:ilvl w:val="0"/>
          <w:numId w:val="3"/>
        </w:numPr>
        <w:rPr>
          <w:rFonts w:eastAsiaTheme="minorEastAsia" w:cstheme="minorBidi"/>
          <w:sz w:val="22"/>
          <w:szCs w:val="22"/>
          <w:rtl/>
        </w:rPr>
      </w:pPr>
      <w:r>
        <w:rPr>
          <w:rtl/>
        </w:rPr>
        <w:t>ביאור הרמב"ן דהיתר מצטרף לאיסור היינו שלוקים על כל כזית מהתערובת</w:t>
      </w:r>
    </w:p>
    <w:p w:rsidR="004D1C5B" w:rsidRDefault="004D1C5B" w:rsidP="004D1C5B">
      <w:pPr>
        <w:pStyle w:val="aff2"/>
        <w:numPr>
          <w:ilvl w:val="0"/>
          <w:numId w:val="3"/>
        </w:numPr>
        <w:rPr>
          <w:rFonts w:eastAsiaTheme="minorEastAsia" w:cstheme="minorBidi"/>
          <w:sz w:val="22"/>
          <w:szCs w:val="22"/>
          <w:rtl/>
        </w:rPr>
      </w:pPr>
      <w:r>
        <w:rPr>
          <w:rtl/>
        </w:rPr>
        <w:t>דברי הרמב"ן במלחמות דרק בכזית בכא"פ יש חיוב דאו' בטעמו וממשו</w:t>
      </w:r>
    </w:p>
    <w:p w:rsidR="004D1C5B" w:rsidRDefault="004D1C5B" w:rsidP="004D1C5B">
      <w:pPr>
        <w:pStyle w:val="aff4"/>
        <w:rPr>
          <w:rFonts w:eastAsiaTheme="minorEastAsia" w:cstheme="minorBidi"/>
          <w:i/>
          <w:iCs/>
          <w:noProof/>
          <w:sz w:val="22"/>
          <w:szCs w:val="22"/>
          <w:rtl/>
        </w:rPr>
      </w:pPr>
      <w:r>
        <w:rPr>
          <w:noProof/>
          <w:rtl/>
        </w:rPr>
        <w:t>ביאור הנחל"ד והחזו"א ברמב"ן דבטע"כ אין דין נהפך</w:t>
      </w:r>
    </w:p>
    <w:p w:rsidR="004D1C5B" w:rsidRDefault="004D1C5B" w:rsidP="004D1C5B">
      <w:pPr>
        <w:pStyle w:val="aff2"/>
        <w:numPr>
          <w:ilvl w:val="0"/>
          <w:numId w:val="3"/>
        </w:numPr>
        <w:rPr>
          <w:rFonts w:eastAsiaTheme="minorEastAsia" w:cstheme="minorBidi"/>
          <w:sz w:val="22"/>
          <w:szCs w:val="22"/>
          <w:rtl/>
        </w:rPr>
      </w:pPr>
      <w:r>
        <w:rPr>
          <w:rtl/>
        </w:rPr>
        <w:t>ביאור הנחל"ד ברמב"ן דבטע"כ ל"א נהפך אלא דהטעם אינו מתבטל ואינו חמור מהאיסור עצמו</w:t>
      </w:r>
    </w:p>
    <w:p w:rsidR="004D1C5B" w:rsidRDefault="004D1C5B" w:rsidP="004D1C5B">
      <w:pPr>
        <w:pStyle w:val="aff2"/>
        <w:numPr>
          <w:ilvl w:val="0"/>
          <w:numId w:val="3"/>
        </w:numPr>
        <w:rPr>
          <w:rFonts w:eastAsiaTheme="minorEastAsia" w:cstheme="minorBidi"/>
          <w:sz w:val="22"/>
          <w:szCs w:val="22"/>
          <w:rtl/>
        </w:rPr>
      </w:pPr>
      <w:r>
        <w:rPr>
          <w:rtl/>
        </w:rPr>
        <w:t>ביאור החזו"א ברמב"ן דבטע"כ ל"א נהפך אלא דבכזית בכא"פ הטעם אינו מתבטל ברוב</w:t>
      </w:r>
    </w:p>
    <w:p w:rsidR="004D1C5B" w:rsidRDefault="004D1C5B" w:rsidP="004D1C5B">
      <w:pPr>
        <w:pStyle w:val="aff2"/>
        <w:numPr>
          <w:ilvl w:val="0"/>
          <w:numId w:val="3"/>
        </w:numPr>
        <w:rPr>
          <w:rFonts w:eastAsiaTheme="minorEastAsia" w:cstheme="minorBidi"/>
          <w:sz w:val="22"/>
          <w:szCs w:val="22"/>
          <w:rtl/>
        </w:rPr>
      </w:pPr>
      <w:r>
        <w:rPr>
          <w:rtl/>
        </w:rPr>
        <w:t>ביאור החזו"א ברמב"ן דבנימוח ממשו של האיסור דין טע"כ הוא רק אם נימוח כזית בכא"פ</w:t>
      </w:r>
    </w:p>
    <w:p w:rsidR="004D1C5B" w:rsidRDefault="004D1C5B" w:rsidP="004D1C5B">
      <w:pPr>
        <w:pStyle w:val="aff2"/>
        <w:numPr>
          <w:ilvl w:val="0"/>
          <w:numId w:val="3"/>
        </w:numPr>
        <w:rPr>
          <w:rFonts w:eastAsiaTheme="minorEastAsia" w:cstheme="minorBidi"/>
          <w:sz w:val="22"/>
          <w:szCs w:val="22"/>
          <w:rtl/>
        </w:rPr>
      </w:pPr>
      <w:r>
        <w:rPr>
          <w:rtl/>
        </w:rPr>
        <w:t>ביאור החזו"א ברמב"ן דכ</w:t>
      </w:r>
      <w:r>
        <w:rPr>
          <w:rFonts w:hint="cs"/>
          <w:rtl/>
        </w:rPr>
        <w:t>ש</w:t>
      </w:r>
      <w:r>
        <w:rPr>
          <w:rtl/>
        </w:rPr>
        <w:t>האיסור נתן רק טעם משערים דטעם חזק חשיב כאילו נתערב כזית בכא"פ</w:t>
      </w:r>
    </w:p>
    <w:p w:rsidR="004D1C5B" w:rsidRDefault="004D1C5B" w:rsidP="004D1C5B">
      <w:pPr>
        <w:pStyle w:val="aff2"/>
        <w:numPr>
          <w:ilvl w:val="0"/>
          <w:numId w:val="3"/>
        </w:numPr>
        <w:rPr>
          <w:rFonts w:eastAsiaTheme="minorEastAsia" w:cstheme="minorBidi"/>
          <w:sz w:val="22"/>
          <w:szCs w:val="22"/>
        </w:rPr>
      </w:pPr>
      <w:r>
        <w:rPr>
          <w:rtl/>
        </w:rPr>
        <w:t>דברי החזו"א ברמב"ן דבמקום שאין בתערובת כזית בכא"פ אסור מדאו' מדין חצי שיעור</w:t>
      </w:r>
    </w:p>
    <w:p w:rsidR="004D1C5B" w:rsidRDefault="004D1C5B" w:rsidP="004D1C5B">
      <w:pPr>
        <w:pStyle w:val="2"/>
        <w:rPr>
          <w:rFonts w:eastAsiaTheme="minorEastAsia" w:cstheme="minorBidi"/>
          <w:i/>
          <w:iCs/>
          <w:noProof/>
          <w:sz w:val="22"/>
          <w:szCs w:val="22"/>
          <w:rtl/>
        </w:rPr>
      </w:pPr>
      <w:r>
        <w:rPr>
          <w:noProof/>
          <w:rtl/>
        </w:rPr>
        <w:t>דברי הראב"ד בגדר טעם כעיקר</w:t>
      </w:r>
    </w:p>
    <w:p w:rsidR="004D1C5B" w:rsidRDefault="004D1C5B" w:rsidP="004D1C5B">
      <w:pPr>
        <w:pStyle w:val="aff4"/>
        <w:rPr>
          <w:rFonts w:eastAsiaTheme="minorEastAsia" w:cstheme="minorBidi"/>
          <w:i/>
          <w:iCs/>
          <w:noProof/>
          <w:sz w:val="22"/>
          <w:szCs w:val="22"/>
          <w:rtl/>
        </w:rPr>
      </w:pPr>
      <w:r>
        <w:rPr>
          <w:noProof/>
          <w:rtl/>
        </w:rPr>
        <w:t>דברי הראב"ד בטעם כעיקר והיתר מצטרף לאיסור</w:t>
      </w:r>
    </w:p>
    <w:p w:rsidR="004D1C5B" w:rsidRDefault="004D1C5B" w:rsidP="004D1C5B">
      <w:pPr>
        <w:pStyle w:val="aff2"/>
        <w:numPr>
          <w:ilvl w:val="0"/>
          <w:numId w:val="3"/>
        </w:numPr>
        <w:rPr>
          <w:rFonts w:eastAsiaTheme="minorEastAsia" w:cstheme="minorBidi"/>
          <w:sz w:val="22"/>
          <w:szCs w:val="22"/>
          <w:rtl/>
        </w:rPr>
      </w:pPr>
      <w:r>
        <w:rPr>
          <w:rtl/>
        </w:rPr>
        <w:t>דברי הרשב"א בשם הראב"ד דכשאכל מהאיסור כזית בכא"פ לוקה עליו דחשיב כממשו</w:t>
      </w:r>
    </w:p>
    <w:p w:rsidR="004D1C5B" w:rsidRDefault="004D1C5B" w:rsidP="004D1C5B">
      <w:pPr>
        <w:pStyle w:val="aff2"/>
        <w:numPr>
          <w:ilvl w:val="0"/>
          <w:numId w:val="3"/>
        </w:numPr>
        <w:rPr>
          <w:rFonts w:eastAsiaTheme="minorEastAsia" w:cstheme="minorBidi"/>
          <w:sz w:val="22"/>
          <w:szCs w:val="22"/>
          <w:rtl/>
        </w:rPr>
      </w:pPr>
      <w:r>
        <w:rPr>
          <w:rtl/>
        </w:rPr>
        <w:t>דברי הרשב"א בשם הראב"ד דבפחות מכזית בכא"פ אסור מדאו' ואין בו מלקות דלא חשיב ממשו</w:t>
      </w:r>
    </w:p>
    <w:p w:rsidR="004D1C5B" w:rsidRDefault="004D1C5B" w:rsidP="004D1C5B">
      <w:pPr>
        <w:pStyle w:val="aff2"/>
        <w:numPr>
          <w:ilvl w:val="0"/>
          <w:numId w:val="3"/>
        </w:numPr>
        <w:rPr>
          <w:rFonts w:eastAsiaTheme="minorEastAsia" w:cstheme="minorBidi"/>
          <w:sz w:val="22"/>
          <w:szCs w:val="22"/>
          <w:rtl/>
        </w:rPr>
      </w:pPr>
      <w:r>
        <w:rPr>
          <w:rtl/>
        </w:rPr>
        <w:t>ביאור הרשב"א בשם הראב"ד דהיתר מצטרף לאיסור הוא במחצה היתר ומחצה איסור</w:t>
      </w:r>
    </w:p>
    <w:p w:rsidR="004D1C5B" w:rsidRDefault="004D1C5B" w:rsidP="004D1C5B">
      <w:pPr>
        <w:pStyle w:val="aff2"/>
        <w:numPr>
          <w:ilvl w:val="0"/>
          <w:numId w:val="3"/>
        </w:numPr>
        <w:rPr>
          <w:rFonts w:eastAsiaTheme="minorEastAsia" w:cstheme="minorBidi"/>
          <w:sz w:val="22"/>
          <w:szCs w:val="22"/>
          <w:rtl/>
        </w:rPr>
      </w:pPr>
      <w:r>
        <w:rPr>
          <w:rtl/>
        </w:rPr>
        <w:t>דברי הרשב"א בשם הראב"ד דמשרת הוא גילוי מילתא דהטעם חשיב כנמצא בעין</w:t>
      </w:r>
    </w:p>
    <w:p w:rsidR="004D1C5B" w:rsidRDefault="004D1C5B" w:rsidP="004D1C5B">
      <w:pPr>
        <w:pStyle w:val="aff2"/>
        <w:numPr>
          <w:ilvl w:val="0"/>
          <w:numId w:val="3"/>
        </w:numPr>
        <w:rPr>
          <w:rFonts w:eastAsiaTheme="minorEastAsia" w:cstheme="minorBidi"/>
          <w:sz w:val="22"/>
          <w:szCs w:val="22"/>
          <w:rtl/>
        </w:rPr>
      </w:pPr>
      <w:r>
        <w:rPr>
          <w:rtl/>
        </w:rPr>
        <w:t>דברי הרשב"א בשם הראב"ד דרק בנזיר שנאמר בו בפירוש משרת לוקין על הטעם</w:t>
      </w:r>
    </w:p>
    <w:p w:rsidR="004D1C5B" w:rsidRDefault="004D1C5B" w:rsidP="004D1C5B">
      <w:pPr>
        <w:pStyle w:val="aff2"/>
        <w:numPr>
          <w:ilvl w:val="0"/>
          <w:numId w:val="3"/>
        </w:numPr>
        <w:rPr>
          <w:rFonts w:eastAsiaTheme="minorEastAsia" w:cstheme="minorBidi"/>
          <w:sz w:val="22"/>
          <w:szCs w:val="22"/>
          <w:rtl/>
        </w:rPr>
      </w:pPr>
      <w:r>
        <w:rPr>
          <w:rtl/>
        </w:rPr>
        <w:t>דברי הרשב"א דטע"כ דאו' ובטעמו ולא ממשו אין בו מלקות כדין חצי שיעור</w:t>
      </w:r>
    </w:p>
    <w:p w:rsidR="004D1C5B" w:rsidRDefault="004D1C5B" w:rsidP="004D1C5B">
      <w:pPr>
        <w:pStyle w:val="aff2"/>
        <w:numPr>
          <w:ilvl w:val="0"/>
          <w:numId w:val="3"/>
        </w:numPr>
        <w:rPr>
          <w:rFonts w:eastAsiaTheme="minorEastAsia" w:cstheme="minorBidi"/>
          <w:sz w:val="22"/>
          <w:szCs w:val="22"/>
          <w:rtl/>
        </w:rPr>
      </w:pPr>
      <w:r>
        <w:rPr>
          <w:rtl/>
        </w:rPr>
        <w:t>ביאור הראב"ד דבמין בשאינו מינו טעימת האיסור בהיתר זו הכרתו דחשיבות האוכל היא בטעמו</w:t>
      </w:r>
    </w:p>
    <w:p w:rsidR="004D1C5B" w:rsidRDefault="004D1C5B" w:rsidP="004D1C5B">
      <w:pPr>
        <w:pStyle w:val="aff4"/>
        <w:rPr>
          <w:rFonts w:eastAsiaTheme="minorEastAsia" w:cstheme="minorBidi"/>
          <w:i/>
          <w:iCs/>
          <w:noProof/>
          <w:sz w:val="22"/>
          <w:szCs w:val="22"/>
          <w:rtl/>
        </w:rPr>
      </w:pPr>
      <w:r>
        <w:rPr>
          <w:noProof/>
          <w:rtl/>
        </w:rPr>
        <w:t>דברי הראב"ד בתמים דעים ובהשג' בדין נהפך</w:t>
      </w:r>
    </w:p>
    <w:p w:rsidR="004D1C5B" w:rsidRDefault="004D1C5B" w:rsidP="004D1C5B">
      <w:pPr>
        <w:pStyle w:val="aff2"/>
        <w:numPr>
          <w:ilvl w:val="0"/>
          <w:numId w:val="3"/>
        </w:numPr>
        <w:rPr>
          <w:rFonts w:eastAsiaTheme="minorEastAsia" w:cstheme="minorBidi"/>
          <w:sz w:val="22"/>
          <w:szCs w:val="22"/>
          <w:rtl/>
        </w:rPr>
      </w:pPr>
      <w:r>
        <w:rPr>
          <w:rtl/>
        </w:rPr>
        <w:t xml:space="preserve">דברי הראב"ד בתמים דעים דא"א </w:t>
      </w:r>
      <w:r>
        <w:rPr>
          <w:rFonts w:hint="cs"/>
          <w:rtl/>
        </w:rPr>
        <w:t xml:space="preserve">לומר </w:t>
      </w:r>
      <w:r>
        <w:rPr>
          <w:rtl/>
        </w:rPr>
        <w:t>דין נהפך דמוכח בפסחים דאין לוקין על כזית ממשות ההיתר</w:t>
      </w:r>
    </w:p>
    <w:p w:rsidR="004D1C5B" w:rsidRDefault="004D1C5B" w:rsidP="004D1C5B">
      <w:pPr>
        <w:pStyle w:val="aff2"/>
        <w:numPr>
          <w:ilvl w:val="0"/>
          <w:numId w:val="3"/>
        </w:numPr>
        <w:rPr>
          <w:rFonts w:eastAsiaTheme="minorEastAsia" w:cstheme="minorBidi"/>
          <w:sz w:val="22"/>
          <w:szCs w:val="22"/>
          <w:rtl/>
        </w:rPr>
      </w:pPr>
      <w:r>
        <w:rPr>
          <w:rtl/>
        </w:rPr>
        <w:t>דברי הראב"ד בהשג' ובתמים דעים דבעיסת אורז קיי"ל כרשב"ג דרק כשיש שיעור דגן חייבת בחלה</w:t>
      </w:r>
    </w:p>
    <w:p w:rsidR="004D1C5B" w:rsidRDefault="004D1C5B" w:rsidP="004D1C5B">
      <w:pPr>
        <w:pStyle w:val="aff2"/>
        <w:numPr>
          <w:ilvl w:val="0"/>
          <w:numId w:val="3"/>
        </w:numPr>
        <w:rPr>
          <w:rFonts w:eastAsiaTheme="minorEastAsia" w:cstheme="minorBidi"/>
          <w:sz w:val="22"/>
          <w:szCs w:val="22"/>
          <w:rtl/>
        </w:rPr>
      </w:pPr>
      <w:r>
        <w:rPr>
          <w:rtl/>
        </w:rPr>
        <w:t>דברי הראב"ד בהשג' דיצא יד"ח מצה בעיסת אורז רק כשאכל כזית דגן בכדי אכילת פרס</w:t>
      </w:r>
    </w:p>
    <w:p w:rsidR="004D1C5B" w:rsidRDefault="004D1C5B" w:rsidP="004D1C5B">
      <w:pPr>
        <w:pStyle w:val="aff2"/>
        <w:numPr>
          <w:ilvl w:val="0"/>
          <w:numId w:val="3"/>
        </w:numPr>
        <w:rPr>
          <w:rFonts w:eastAsiaTheme="minorEastAsia" w:cstheme="minorBidi"/>
          <w:sz w:val="22"/>
          <w:szCs w:val="22"/>
          <w:rtl/>
        </w:rPr>
      </w:pPr>
      <w:r>
        <w:rPr>
          <w:rtl/>
        </w:rPr>
        <w:t>דברי הראב"ד בהשג' דיין שמעורב עם דבר אחר ויש טעם יין לוקין אף בפחות מכזית בכא"פ</w:t>
      </w:r>
    </w:p>
    <w:p w:rsidR="004D1C5B" w:rsidRDefault="004D1C5B" w:rsidP="004D1C5B">
      <w:pPr>
        <w:pStyle w:val="2"/>
        <w:rPr>
          <w:rFonts w:eastAsiaTheme="minorEastAsia" w:cstheme="minorBidi"/>
          <w:i/>
          <w:iCs/>
          <w:noProof/>
          <w:sz w:val="22"/>
          <w:szCs w:val="22"/>
          <w:rtl/>
        </w:rPr>
      </w:pPr>
      <w:r>
        <w:rPr>
          <w:noProof/>
          <w:rtl/>
        </w:rPr>
        <w:t>ביאורי האחרונים בד' הראב"ד בנהפך</w:t>
      </w:r>
    </w:p>
    <w:p w:rsidR="004D1C5B" w:rsidRDefault="004D1C5B" w:rsidP="004D1C5B">
      <w:pPr>
        <w:pStyle w:val="aff4"/>
        <w:rPr>
          <w:rFonts w:eastAsiaTheme="minorEastAsia" w:cstheme="minorBidi"/>
          <w:i/>
          <w:iCs/>
          <w:noProof/>
          <w:sz w:val="22"/>
          <w:szCs w:val="22"/>
          <w:rtl/>
        </w:rPr>
      </w:pPr>
      <w:r>
        <w:rPr>
          <w:noProof/>
          <w:rtl/>
        </w:rPr>
        <w:t>דעת הסוברים דלהראב"ד והרשב"א אין דין נהפך</w:t>
      </w:r>
    </w:p>
    <w:p w:rsidR="004D1C5B" w:rsidRDefault="004D1C5B" w:rsidP="004D1C5B">
      <w:pPr>
        <w:pStyle w:val="aff2"/>
        <w:numPr>
          <w:ilvl w:val="0"/>
          <w:numId w:val="3"/>
        </w:numPr>
        <w:rPr>
          <w:rFonts w:eastAsiaTheme="minorEastAsia" w:cstheme="minorBidi"/>
          <w:sz w:val="22"/>
          <w:szCs w:val="22"/>
          <w:rtl/>
        </w:rPr>
      </w:pPr>
      <w:r>
        <w:rPr>
          <w:rtl/>
        </w:rPr>
        <w:t>דברי הפר"ח דלהראב"ד והרשב"א צריך לאכול כזית מהאיסור וטע"כ דאו' ולא אמרינן נהפך</w:t>
      </w:r>
    </w:p>
    <w:p w:rsidR="004D1C5B" w:rsidRDefault="004D1C5B" w:rsidP="004D1C5B">
      <w:pPr>
        <w:pStyle w:val="aff2"/>
        <w:numPr>
          <w:ilvl w:val="0"/>
          <w:numId w:val="3"/>
        </w:numPr>
        <w:rPr>
          <w:rFonts w:eastAsiaTheme="minorEastAsia" w:cstheme="minorBidi"/>
          <w:sz w:val="22"/>
          <w:szCs w:val="22"/>
          <w:rtl/>
        </w:rPr>
      </w:pPr>
      <w:r>
        <w:rPr>
          <w:rtl/>
        </w:rPr>
        <w:t>דברי הפר"ח דלהראב"ד הטעם אינו מתבטל ברוב ולא יוצא יד"ח מצה כשאוכל כזית מהדגן</w:t>
      </w:r>
    </w:p>
    <w:p w:rsidR="004D1C5B" w:rsidRDefault="004D1C5B" w:rsidP="004D1C5B">
      <w:pPr>
        <w:pStyle w:val="aff2"/>
        <w:numPr>
          <w:ilvl w:val="0"/>
          <w:numId w:val="3"/>
        </w:numPr>
        <w:rPr>
          <w:rFonts w:eastAsiaTheme="minorEastAsia" w:cstheme="minorBidi"/>
          <w:sz w:val="22"/>
          <w:szCs w:val="22"/>
          <w:rtl/>
        </w:rPr>
      </w:pPr>
      <w:r>
        <w:rPr>
          <w:rtl/>
        </w:rPr>
        <w:t>דברי הפרמ"ג דלהראב"ד והרשב"א טע"כ דאו' ואין לוקין עליו אף בסילק את האיסור ויש רק טעם</w:t>
      </w:r>
    </w:p>
    <w:p w:rsidR="004D1C5B" w:rsidRDefault="004D1C5B" w:rsidP="004D1C5B">
      <w:pPr>
        <w:pStyle w:val="aff2"/>
        <w:numPr>
          <w:ilvl w:val="0"/>
          <w:numId w:val="3"/>
        </w:numPr>
        <w:rPr>
          <w:rFonts w:eastAsiaTheme="minorEastAsia" w:cstheme="minorBidi"/>
          <w:sz w:val="22"/>
          <w:szCs w:val="22"/>
          <w:rtl/>
        </w:rPr>
      </w:pPr>
      <w:r>
        <w:rPr>
          <w:rtl/>
        </w:rPr>
        <w:t>דברי הפרמ"ג דלהראב"ד והרשב"א הטעם רק אוסר את התערובת ואין דין נהפך אף בכזית בכא"פ</w:t>
      </w:r>
    </w:p>
    <w:p w:rsidR="004D1C5B" w:rsidRDefault="004D1C5B" w:rsidP="004D1C5B">
      <w:pPr>
        <w:pStyle w:val="aff2"/>
        <w:numPr>
          <w:ilvl w:val="0"/>
          <w:numId w:val="3"/>
        </w:numPr>
        <w:rPr>
          <w:rFonts w:eastAsiaTheme="minorEastAsia" w:cstheme="minorBidi"/>
          <w:sz w:val="22"/>
          <w:szCs w:val="22"/>
          <w:rtl/>
        </w:rPr>
      </w:pPr>
      <w:r>
        <w:rPr>
          <w:rtl/>
        </w:rPr>
        <w:t>דברי המנחת כהן והיד יהודה דלהראב"ד לא אמרינן נהפך ולכן אין לוקין בפחות מכזית בכא"פ</w:t>
      </w:r>
    </w:p>
    <w:p w:rsidR="004D1C5B" w:rsidRDefault="004D1C5B" w:rsidP="004D1C5B">
      <w:pPr>
        <w:pStyle w:val="aff2"/>
        <w:numPr>
          <w:ilvl w:val="0"/>
          <w:numId w:val="3"/>
        </w:numPr>
        <w:rPr>
          <w:rFonts w:eastAsiaTheme="minorEastAsia" w:cstheme="minorBidi"/>
          <w:sz w:val="22"/>
          <w:szCs w:val="22"/>
          <w:rtl/>
        </w:rPr>
      </w:pPr>
      <w:r>
        <w:rPr>
          <w:rtl/>
        </w:rPr>
        <w:t>קושית המנחת כהן על הראב"ד דאף במשרת יש רק טעם ואפ"ה לוקה הנזיר עליו</w:t>
      </w:r>
    </w:p>
    <w:p w:rsidR="004D1C5B" w:rsidRDefault="004D1C5B" w:rsidP="004D1C5B">
      <w:pPr>
        <w:pStyle w:val="aff2"/>
        <w:numPr>
          <w:ilvl w:val="0"/>
          <w:numId w:val="3"/>
        </w:numPr>
        <w:rPr>
          <w:rFonts w:eastAsiaTheme="minorEastAsia" w:cstheme="minorBidi"/>
          <w:sz w:val="22"/>
          <w:szCs w:val="22"/>
          <w:rtl/>
        </w:rPr>
      </w:pPr>
      <w:r>
        <w:rPr>
          <w:rtl/>
        </w:rPr>
        <w:t>דברי המנחת כהן דמשמע ברשב"א בתוה"ב דכשיש טעם גדול ככזית בכא"פ לוקין עליו וה"ה בנזיר</w:t>
      </w:r>
    </w:p>
    <w:p w:rsidR="004D1C5B" w:rsidRDefault="004D1C5B" w:rsidP="004D1C5B">
      <w:pPr>
        <w:pStyle w:val="aff2"/>
        <w:numPr>
          <w:ilvl w:val="0"/>
          <w:numId w:val="3"/>
        </w:numPr>
        <w:rPr>
          <w:rFonts w:eastAsiaTheme="minorEastAsia" w:cstheme="minorBidi"/>
          <w:sz w:val="22"/>
          <w:szCs w:val="22"/>
          <w:rtl/>
        </w:rPr>
      </w:pPr>
      <w:r>
        <w:rPr>
          <w:rtl/>
        </w:rPr>
        <w:t>דברי המנחת כהן דלהראב"ד רק בנזיר לוקין על טעם בלבד ולא בשאר האיסורים</w:t>
      </w:r>
    </w:p>
    <w:p w:rsidR="004D1C5B" w:rsidRDefault="004D1C5B" w:rsidP="004D1C5B">
      <w:pPr>
        <w:pStyle w:val="aff4"/>
        <w:rPr>
          <w:rFonts w:eastAsiaTheme="minorEastAsia" w:cstheme="minorBidi"/>
          <w:i/>
          <w:iCs/>
          <w:noProof/>
          <w:sz w:val="22"/>
          <w:szCs w:val="22"/>
          <w:rtl/>
        </w:rPr>
      </w:pPr>
      <w:r>
        <w:rPr>
          <w:noProof/>
          <w:rtl/>
        </w:rPr>
        <w:t>דעת הסוברים דלהראב"ד אמרינן נהפך</w:t>
      </w:r>
    </w:p>
    <w:p w:rsidR="004D1C5B" w:rsidRDefault="004D1C5B" w:rsidP="004D1C5B">
      <w:pPr>
        <w:pStyle w:val="aff2"/>
        <w:numPr>
          <w:ilvl w:val="0"/>
          <w:numId w:val="3"/>
        </w:numPr>
        <w:rPr>
          <w:rFonts w:eastAsiaTheme="minorEastAsia" w:cstheme="minorBidi"/>
          <w:sz w:val="22"/>
          <w:szCs w:val="22"/>
          <w:rtl/>
        </w:rPr>
      </w:pPr>
      <w:r>
        <w:rPr>
          <w:rtl/>
        </w:rPr>
        <w:t>דברי הגר"א דהראב"ד פסק כרשב"ג שצריך שיעור דגן ורק בכזית בכא"פ לוקין דהוא טעמו וממשו</w:t>
      </w:r>
    </w:p>
    <w:p w:rsidR="004D1C5B" w:rsidRDefault="004D1C5B" w:rsidP="004D1C5B">
      <w:pPr>
        <w:pStyle w:val="aff2"/>
        <w:numPr>
          <w:ilvl w:val="0"/>
          <w:numId w:val="3"/>
        </w:numPr>
        <w:rPr>
          <w:rFonts w:eastAsiaTheme="minorEastAsia" w:cstheme="minorBidi"/>
          <w:sz w:val="22"/>
          <w:szCs w:val="22"/>
          <w:rtl/>
        </w:rPr>
      </w:pPr>
      <w:r>
        <w:rPr>
          <w:rtl/>
        </w:rPr>
        <w:t>דברי הגר"א דלהראב"ד דבטע"כ</w:t>
      </w:r>
      <w:r>
        <w:rPr>
          <w:rFonts w:hint="cs"/>
          <w:rtl/>
        </w:rPr>
        <w:t xml:space="preserve"> </w:t>
      </w:r>
      <w:r>
        <w:rPr>
          <w:rtl/>
        </w:rPr>
        <w:t>אמרינן נהפך ובפחות מכזית בכא"פ אסור מדאו' דהוא חצי שיעור</w:t>
      </w:r>
    </w:p>
    <w:p w:rsidR="004D1C5B" w:rsidRDefault="004D1C5B" w:rsidP="004D1C5B">
      <w:pPr>
        <w:pStyle w:val="aff2"/>
        <w:numPr>
          <w:ilvl w:val="0"/>
          <w:numId w:val="3"/>
        </w:numPr>
        <w:rPr>
          <w:rFonts w:eastAsiaTheme="minorEastAsia" w:cstheme="minorBidi"/>
          <w:sz w:val="22"/>
          <w:szCs w:val="22"/>
          <w:rtl/>
        </w:rPr>
      </w:pPr>
      <w:r>
        <w:rPr>
          <w:rtl/>
        </w:rPr>
        <w:t>דברי הנחל"ד דלהראב"ד אמרינן נהפך ותירץ את קושית רש"י מריו"ח דטע"כ דאו' ואין לוקין עליו</w:t>
      </w:r>
    </w:p>
    <w:p w:rsidR="004D1C5B" w:rsidRDefault="004D1C5B" w:rsidP="004D1C5B">
      <w:pPr>
        <w:pStyle w:val="aff2"/>
        <w:numPr>
          <w:ilvl w:val="0"/>
          <w:numId w:val="3"/>
        </w:numPr>
        <w:rPr>
          <w:rFonts w:eastAsiaTheme="minorEastAsia" w:cstheme="minorBidi"/>
          <w:sz w:val="22"/>
          <w:szCs w:val="22"/>
          <w:rtl/>
        </w:rPr>
      </w:pPr>
      <w:r>
        <w:rPr>
          <w:rtl/>
        </w:rPr>
        <w:t>דברי הנחל"ד דכשיש בתעורבת רק טעם ואין ממשות אסור מדאו' אך אין לוקין אף בכזית בכא"פ</w:t>
      </w:r>
    </w:p>
    <w:p w:rsidR="004D1C5B" w:rsidRDefault="004D1C5B" w:rsidP="004D1C5B">
      <w:pPr>
        <w:pStyle w:val="aff2"/>
        <w:numPr>
          <w:ilvl w:val="0"/>
          <w:numId w:val="3"/>
        </w:numPr>
        <w:rPr>
          <w:rFonts w:eastAsiaTheme="minorEastAsia" w:cstheme="minorBidi"/>
          <w:sz w:val="22"/>
          <w:szCs w:val="22"/>
          <w:rtl/>
        </w:rPr>
      </w:pPr>
      <w:r>
        <w:rPr>
          <w:rtl/>
        </w:rPr>
        <w:t>דברי הנחל"ד בראב"ד דצריך כזית בכא"פ דאף דנהפך מ"מ מוכח דאינו כממשו דאין לוקין בטעם</w:t>
      </w:r>
    </w:p>
    <w:p w:rsidR="004D1C5B" w:rsidRDefault="004D1C5B" w:rsidP="004D1C5B">
      <w:pPr>
        <w:pStyle w:val="aff2"/>
        <w:numPr>
          <w:ilvl w:val="0"/>
          <w:numId w:val="3"/>
        </w:numPr>
        <w:rPr>
          <w:rFonts w:eastAsiaTheme="minorEastAsia" w:cstheme="minorBidi"/>
          <w:sz w:val="22"/>
          <w:szCs w:val="22"/>
          <w:rtl/>
        </w:rPr>
      </w:pPr>
      <w:r>
        <w:rPr>
          <w:rtl/>
        </w:rPr>
        <w:t>דברי הנחל"ד דלהרשב"א בראב"ד לוקין על טעם בכזית בכא"פ מסברא דהוא כממשו ולא מילפותא</w:t>
      </w:r>
    </w:p>
    <w:p w:rsidR="004D1C5B" w:rsidRDefault="004D1C5B" w:rsidP="004D1C5B">
      <w:pPr>
        <w:pStyle w:val="aff2"/>
        <w:numPr>
          <w:ilvl w:val="0"/>
          <w:numId w:val="3"/>
        </w:numPr>
        <w:rPr>
          <w:rFonts w:eastAsiaTheme="minorEastAsia" w:cstheme="minorBidi"/>
          <w:sz w:val="22"/>
          <w:szCs w:val="22"/>
          <w:rtl/>
        </w:rPr>
      </w:pPr>
      <w:r>
        <w:rPr>
          <w:rtl/>
        </w:rPr>
        <w:t>קושית הנחל"ד על הרשב"א דמסברא אין חילוק בין מקצת טעם דאין לוקין להרבה טעם</w:t>
      </w:r>
    </w:p>
    <w:p w:rsidR="004D1C5B" w:rsidRDefault="004D1C5B" w:rsidP="004D1C5B">
      <w:pPr>
        <w:pStyle w:val="aff2"/>
        <w:numPr>
          <w:ilvl w:val="0"/>
          <w:numId w:val="3"/>
        </w:numPr>
        <w:rPr>
          <w:rFonts w:eastAsiaTheme="minorEastAsia" w:cstheme="minorBidi"/>
          <w:sz w:val="22"/>
          <w:szCs w:val="22"/>
          <w:rtl/>
        </w:rPr>
      </w:pPr>
      <w:r>
        <w:rPr>
          <w:rtl/>
        </w:rPr>
        <w:t>קושית הנחל"ד דכיון דס"ל להראב"ד דאמרינן נהפך א"כ מוכח דמסברא אין איסור בטעם עצמו</w:t>
      </w:r>
    </w:p>
    <w:p w:rsidR="004D1C5B" w:rsidRDefault="004D1C5B" w:rsidP="004D1C5B">
      <w:pPr>
        <w:pStyle w:val="aff2"/>
        <w:numPr>
          <w:ilvl w:val="0"/>
          <w:numId w:val="3"/>
        </w:numPr>
        <w:rPr>
          <w:rFonts w:eastAsiaTheme="minorEastAsia" w:cstheme="minorBidi"/>
          <w:sz w:val="22"/>
          <w:szCs w:val="22"/>
          <w:rtl/>
        </w:rPr>
      </w:pPr>
      <w:r>
        <w:rPr>
          <w:rtl/>
        </w:rPr>
        <w:t>ביאור הנחל"ד בראב"ד דאין מלקות על טעם בלא ממשות אף ביותר מכזית בכא"פ</w:t>
      </w:r>
    </w:p>
    <w:p w:rsidR="004D1C5B" w:rsidRDefault="004D1C5B" w:rsidP="004D1C5B">
      <w:pPr>
        <w:pStyle w:val="2"/>
        <w:rPr>
          <w:rtl/>
        </w:rPr>
      </w:pPr>
      <w:r>
        <w:rPr>
          <w:rFonts w:hint="cs"/>
          <w:rtl/>
        </w:rPr>
        <w:t>דעת הרשב"א בעיסת אורז</w:t>
      </w:r>
    </w:p>
    <w:p w:rsidR="004D1C5B" w:rsidRPr="000A1ED0" w:rsidRDefault="004D1C5B" w:rsidP="004D1C5B">
      <w:pPr>
        <w:pStyle w:val="aff4"/>
        <w:rPr>
          <w:rtl/>
        </w:rPr>
      </w:pPr>
      <w:r>
        <w:rPr>
          <w:rFonts w:hint="cs"/>
          <w:rtl/>
        </w:rPr>
        <w:t>דברי הרשב"א בפסקי חלה דבעיסת אורז יש כזית בכא"פ</w:t>
      </w:r>
    </w:p>
    <w:p w:rsidR="004D1C5B" w:rsidRDefault="004D1C5B" w:rsidP="004D1C5B">
      <w:pPr>
        <w:pStyle w:val="aff2"/>
        <w:numPr>
          <w:ilvl w:val="0"/>
          <w:numId w:val="3"/>
        </w:numPr>
        <w:rPr>
          <w:rFonts w:eastAsiaTheme="minorEastAsia" w:cstheme="minorBidi"/>
          <w:sz w:val="22"/>
          <w:szCs w:val="22"/>
          <w:rtl/>
        </w:rPr>
      </w:pPr>
      <w:r>
        <w:rPr>
          <w:rtl/>
        </w:rPr>
        <w:t>דברי הרשב"א דדינה כעיסת חיטים רק כשיש מהחיטים כזית בכא"פ ואכל מהתערובת כזית בכא"פ</w:t>
      </w:r>
    </w:p>
    <w:p w:rsidR="004D1C5B" w:rsidRDefault="004D1C5B" w:rsidP="004D1C5B">
      <w:pPr>
        <w:pStyle w:val="aff2"/>
        <w:numPr>
          <w:ilvl w:val="0"/>
          <w:numId w:val="3"/>
        </w:numPr>
        <w:rPr>
          <w:rFonts w:eastAsiaTheme="minorEastAsia" w:cstheme="minorBidi"/>
          <w:sz w:val="22"/>
          <w:szCs w:val="22"/>
          <w:rtl/>
        </w:rPr>
      </w:pPr>
      <w:r>
        <w:rPr>
          <w:rtl/>
        </w:rPr>
        <w:t>דברי הרשב"א בשם רבותיו דאף בפחות מכזית בכא"פ יש לעיסה דין עיסת חיטים</w:t>
      </w:r>
    </w:p>
    <w:p w:rsidR="004D1C5B" w:rsidRDefault="004D1C5B" w:rsidP="004D1C5B">
      <w:pPr>
        <w:pStyle w:val="aff2"/>
        <w:numPr>
          <w:ilvl w:val="0"/>
          <w:numId w:val="3"/>
        </w:numPr>
        <w:rPr>
          <w:rFonts w:eastAsiaTheme="minorEastAsia" w:cstheme="minorBidi"/>
          <w:sz w:val="22"/>
          <w:szCs w:val="22"/>
          <w:rtl/>
        </w:rPr>
      </w:pPr>
      <w:r>
        <w:rPr>
          <w:rtl/>
        </w:rPr>
        <w:t>ספ</w:t>
      </w:r>
      <w:r>
        <w:rPr>
          <w:rFonts w:hint="cs"/>
          <w:rtl/>
        </w:rPr>
        <w:t>ק</w:t>
      </w:r>
      <w:r>
        <w:rPr>
          <w:rtl/>
        </w:rPr>
        <w:t xml:space="preserve"> השער הציון ברשב"א אם צריך לאכול כזית מהחיטים עצמם או דסגי שיש שיעור כזית בכא"פ</w:t>
      </w:r>
    </w:p>
    <w:p w:rsidR="004D1C5B" w:rsidRDefault="004D1C5B" w:rsidP="004D1C5B">
      <w:pPr>
        <w:pStyle w:val="2"/>
        <w:rPr>
          <w:rFonts w:eastAsiaTheme="minorEastAsia" w:cstheme="minorBidi"/>
          <w:i/>
          <w:iCs/>
          <w:noProof/>
          <w:sz w:val="22"/>
          <w:szCs w:val="22"/>
          <w:rtl/>
        </w:rPr>
      </w:pPr>
      <w:r>
        <w:rPr>
          <w:noProof/>
          <w:rtl/>
        </w:rPr>
        <w:t>דעת הר"י מאורליינש בדין נהפך</w:t>
      </w:r>
    </w:p>
    <w:p w:rsidR="004D1C5B" w:rsidRDefault="004D1C5B" w:rsidP="004D1C5B">
      <w:pPr>
        <w:pStyle w:val="aff4"/>
        <w:rPr>
          <w:rFonts w:eastAsiaTheme="minorEastAsia" w:cstheme="minorBidi"/>
          <w:i/>
          <w:iCs/>
          <w:noProof/>
          <w:sz w:val="22"/>
          <w:szCs w:val="22"/>
          <w:rtl/>
        </w:rPr>
      </w:pPr>
      <w:r>
        <w:rPr>
          <w:noProof/>
          <w:rtl/>
        </w:rPr>
        <w:t>ביאור הנחל"ד בר"י מאורליינש דאמרינן נהפך ואינו כממשו</w:t>
      </w:r>
    </w:p>
    <w:p w:rsidR="004D1C5B" w:rsidRDefault="004D1C5B" w:rsidP="004D1C5B">
      <w:pPr>
        <w:pStyle w:val="aff2"/>
        <w:numPr>
          <w:ilvl w:val="0"/>
          <w:numId w:val="3"/>
        </w:numPr>
        <w:rPr>
          <w:rFonts w:eastAsiaTheme="minorEastAsia" w:cstheme="minorBidi"/>
          <w:sz w:val="22"/>
          <w:szCs w:val="22"/>
          <w:rtl/>
        </w:rPr>
      </w:pPr>
      <w:r>
        <w:rPr>
          <w:rtl/>
        </w:rPr>
        <w:t>דברי הר"י מאורליינש דבגיעולי עכו"ם יש רק עשה ולא לאו ולכן אין לוקין בטע"כ אף כבזית בכא"פ</w:t>
      </w:r>
    </w:p>
    <w:p w:rsidR="004D1C5B" w:rsidRDefault="004D1C5B" w:rsidP="004D1C5B">
      <w:pPr>
        <w:pStyle w:val="aff2"/>
        <w:numPr>
          <w:ilvl w:val="0"/>
          <w:numId w:val="3"/>
        </w:numPr>
        <w:rPr>
          <w:rFonts w:eastAsiaTheme="minorEastAsia" w:cstheme="minorBidi"/>
          <w:sz w:val="22"/>
          <w:szCs w:val="22"/>
          <w:rtl/>
        </w:rPr>
      </w:pPr>
      <w:r>
        <w:rPr>
          <w:rtl/>
        </w:rPr>
        <w:t>ביאור הר"ש בר"י מאורליינש דרק בנזיר לוקין בטע"כ</w:t>
      </w:r>
      <w:r>
        <w:rPr>
          <w:rFonts w:hint="cs"/>
          <w:rtl/>
        </w:rPr>
        <w:t xml:space="preserve"> </w:t>
      </w:r>
      <w:r>
        <w:rPr>
          <w:rtl/>
        </w:rPr>
        <w:t>ובשאר איסורים אסור מדין חצי שיעור</w:t>
      </w:r>
    </w:p>
    <w:p w:rsidR="004D1C5B" w:rsidRDefault="004D1C5B" w:rsidP="004D1C5B">
      <w:pPr>
        <w:pStyle w:val="aff2"/>
        <w:numPr>
          <w:ilvl w:val="0"/>
          <w:numId w:val="3"/>
        </w:numPr>
        <w:rPr>
          <w:rFonts w:eastAsiaTheme="minorEastAsia" w:cstheme="minorBidi"/>
          <w:sz w:val="22"/>
          <w:szCs w:val="22"/>
          <w:rtl/>
        </w:rPr>
      </w:pPr>
      <w:r>
        <w:rPr>
          <w:rtl/>
        </w:rPr>
        <w:t>דברי הר"ש דאפש"ל דמשרת הוא גילוי מילתא דטע"כ אסור מדאו' ואינו ק"ו ולוקין עליו</w:t>
      </w:r>
    </w:p>
    <w:p w:rsidR="004D1C5B" w:rsidRDefault="004D1C5B" w:rsidP="004D1C5B">
      <w:pPr>
        <w:pStyle w:val="aff2"/>
        <w:numPr>
          <w:ilvl w:val="0"/>
          <w:numId w:val="3"/>
        </w:numPr>
        <w:rPr>
          <w:rFonts w:eastAsiaTheme="minorEastAsia" w:cstheme="minorBidi"/>
          <w:sz w:val="22"/>
          <w:szCs w:val="22"/>
          <w:rtl/>
        </w:rPr>
      </w:pPr>
      <w:r>
        <w:rPr>
          <w:rtl/>
        </w:rPr>
        <w:t>ביאור הנחל"ד דלר"י מאורליינש אמרינן נהפך ותירץ את דברי ריו"ח דטע"כ דאו' ואין לוקין עליו</w:t>
      </w:r>
    </w:p>
    <w:p w:rsidR="004D1C5B" w:rsidRDefault="004D1C5B" w:rsidP="004D1C5B">
      <w:pPr>
        <w:pStyle w:val="aff2"/>
        <w:numPr>
          <w:ilvl w:val="0"/>
          <w:numId w:val="3"/>
        </w:numPr>
        <w:rPr>
          <w:rFonts w:eastAsiaTheme="minorEastAsia" w:cstheme="minorBidi"/>
          <w:sz w:val="22"/>
          <w:szCs w:val="22"/>
          <w:rtl/>
        </w:rPr>
      </w:pPr>
      <w:r>
        <w:rPr>
          <w:rtl/>
        </w:rPr>
        <w:t>דברי הנחל"ד דלר"י מאורליינש צריך כזית בכא"פ דאף דנהפך מ"מ אינו כממשו דאין לוקין בטעם</w:t>
      </w:r>
    </w:p>
    <w:p w:rsidR="004D1C5B" w:rsidRDefault="004D1C5B" w:rsidP="004D1C5B">
      <w:pPr>
        <w:pStyle w:val="2"/>
        <w:rPr>
          <w:rFonts w:eastAsiaTheme="minorEastAsia" w:cstheme="minorBidi"/>
          <w:i/>
          <w:iCs/>
          <w:noProof/>
          <w:sz w:val="22"/>
          <w:szCs w:val="22"/>
          <w:rtl/>
        </w:rPr>
      </w:pPr>
      <w:r>
        <w:rPr>
          <w:noProof/>
          <w:rtl/>
        </w:rPr>
        <w:t xml:space="preserve">דעת הבעה"מ </w:t>
      </w:r>
      <w:r w:rsidRPr="004955D8">
        <w:rPr>
          <w:noProof/>
          <w:rtl/>
        </w:rPr>
        <w:t>בגדר טע"כ ובנהפך</w:t>
      </w:r>
    </w:p>
    <w:p w:rsidR="004D1C5B" w:rsidRDefault="004D1C5B" w:rsidP="004D1C5B">
      <w:pPr>
        <w:pStyle w:val="aff4"/>
        <w:rPr>
          <w:rFonts w:eastAsiaTheme="minorEastAsia" w:cstheme="minorBidi"/>
          <w:i/>
          <w:iCs/>
          <w:noProof/>
          <w:sz w:val="22"/>
          <w:szCs w:val="22"/>
          <w:rtl/>
        </w:rPr>
      </w:pPr>
      <w:r>
        <w:rPr>
          <w:noProof/>
          <w:rtl/>
        </w:rPr>
        <w:t>דברי</w:t>
      </w:r>
      <w:r>
        <w:rPr>
          <w:rFonts w:hint="cs"/>
          <w:noProof/>
          <w:rtl/>
        </w:rPr>
        <w:t xml:space="preserve"> </w:t>
      </w:r>
      <w:r>
        <w:rPr>
          <w:noProof/>
          <w:rtl/>
        </w:rPr>
        <w:t>הבעה"מ דטעם כעיקר הוא בנמחה ממשו ואין בו מלקות</w:t>
      </w:r>
    </w:p>
    <w:p w:rsidR="004D1C5B" w:rsidRDefault="004D1C5B" w:rsidP="004D1C5B">
      <w:pPr>
        <w:pStyle w:val="aff2"/>
        <w:numPr>
          <w:ilvl w:val="0"/>
          <w:numId w:val="3"/>
        </w:numPr>
        <w:rPr>
          <w:rFonts w:eastAsiaTheme="minorEastAsia" w:cstheme="minorBidi"/>
          <w:sz w:val="22"/>
          <w:szCs w:val="22"/>
          <w:rtl/>
        </w:rPr>
      </w:pPr>
      <w:r>
        <w:rPr>
          <w:rtl/>
        </w:rPr>
        <w:t>דברי הבעה"מ דטעמו ולא ממשו הוא רק באיסור שנימוח ולא ניכר ובכזית בכא"פ ואין בו מלקות</w:t>
      </w:r>
    </w:p>
    <w:p w:rsidR="004D1C5B" w:rsidRDefault="004D1C5B" w:rsidP="004D1C5B">
      <w:pPr>
        <w:pStyle w:val="aff2"/>
        <w:numPr>
          <w:ilvl w:val="0"/>
          <w:numId w:val="3"/>
        </w:numPr>
        <w:rPr>
          <w:rFonts w:eastAsiaTheme="minorEastAsia" w:cstheme="minorBidi"/>
          <w:sz w:val="22"/>
          <w:szCs w:val="22"/>
          <w:rtl/>
        </w:rPr>
      </w:pPr>
      <w:r>
        <w:rPr>
          <w:rtl/>
        </w:rPr>
        <w:t>דברי הבעה"מ דטעמו וממשו היינו שגוף האיסור ניכר בתערובת ונותן בה טעם וטעמו היינו בנימוח</w:t>
      </w:r>
    </w:p>
    <w:p w:rsidR="004D1C5B" w:rsidRDefault="004D1C5B" w:rsidP="004D1C5B">
      <w:pPr>
        <w:pStyle w:val="aff2"/>
        <w:numPr>
          <w:ilvl w:val="0"/>
          <w:numId w:val="3"/>
        </w:numPr>
        <w:rPr>
          <w:rFonts w:eastAsiaTheme="minorEastAsia" w:cstheme="minorBidi"/>
          <w:sz w:val="22"/>
          <w:szCs w:val="22"/>
          <w:rtl/>
        </w:rPr>
      </w:pPr>
      <w:r>
        <w:rPr>
          <w:rtl/>
        </w:rPr>
        <w:t>דברי הנחל"ד בבעה"מ דבטע"כ ל"א נהפך אלא דהטעם אינו מתבטל ואינו חמור מהאיסור עצמו</w:t>
      </w:r>
    </w:p>
    <w:p w:rsidR="004D1C5B" w:rsidRDefault="004D1C5B" w:rsidP="004D1C5B">
      <w:pPr>
        <w:pStyle w:val="2"/>
        <w:rPr>
          <w:rFonts w:eastAsiaTheme="minorEastAsia" w:cstheme="minorBidi"/>
          <w:i/>
          <w:iCs/>
          <w:noProof/>
          <w:sz w:val="22"/>
          <w:szCs w:val="22"/>
          <w:rtl/>
        </w:rPr>
      </w:pPr>
      <w:r>
        <w:rPr>
          <w:noProof/>
          <w:rtl/>
        </w:rPr>
        <w:t>ביאור הר"ש בגדר טע"כ ובנהפך</w:t>
      </w:r>
    </w:p>
    <w:p w:rsidR="004D1C5B" w:rsidRDefault="004D1C5B" w:rsidP="004D1C5B">
      <w:pPr>
        <w:pStyle w:val="aff4"/>
        <w:rPr>
          <w:rFonts w:eastAsiaTheme="minorEastAsia" w:cstheme="minorBidi"/>
          <w:i/>
          <w:iCs/>
          <w:noProof/>
          <w:sz w:val="22"/>
          <w:szCs w:val="22"/>
          <w:rtl/>
        </w:rPr>
      </w:pPr>
      <w:r>
        <w:rPr>
          <w:noProof/>
          <w:rtl/>
        </w:rPr>
        <w:t>דעת הר"ש דלוקין על טעמו וממשו אף בפחות מכא"פ שנימוח</w:t>
      </w:r>
    </w:p>
    <w:p w:rsidR="004D1C5B" w:rsidRDefault="004D1C5B" w:rsidP="004D1C5B">
      <w:pPr>
        <w:pStyle w:val="aff2"/>
        <w:numPr>
          <w:ilvl w:val="0"/>
          <w:numId w:val="3"/>
        </w:numPr>
        <w:rPr>
          <w:rFonts w:eastAsiaTheme="minorEastAsia" w:cstheme="minorBidi"/>
          <w:sz w:val="22"/>
          <w:szCs w:val="22"/>
          <w:rtl/>
        </w:rPr>
      </w:pPr>
      <w:r>
        <w:rPr>
          <w:rtl/>
        </w:rPr>
        <w:t>דברי הר"ש דבמין במינו באיסור נימוח מהני ביטול ברוב אף בכזית בכא"פ ובממשו לוקין</w:t>
      </w:r>
    </w:p>
    <w:p w:rsidR="004D1C5B" w:rsidRDefault="004D1C5B" w:rsidP="004D1C5B">
      <w:pPr>
        <w:pStyle w:val="aff2"/>
        <w:numPr>
          <w:ilvl w:val="0"/>
          <w:numId w:val="3"/>
        </w:numPr>
        <w:rPr>
          <w:rFonts w:eastAsiaTheme="minorEastAsia" w:cstheme="minorBidi"/>
          <w:sz w:val="22"/>
          <w:szCs w:val="22"/>
          <w:rtl/>
        </w:rPr>
      </w:pPr>
      <w:r>
        <w:rPr>
          <w:rtl/>
        </w:rPr>
        <w:t>דברי הר"ש דבטע"כ לוקין על טעמו וממשו אף בפחות מכזית בכא"פ ואף באיסור שנימוח ואינו ניכר</w:t>
      </w:r>
    </w:p>
    <w:p w:rsidR="004D1C5B" w:rsidRDefault="004D1C5B" w:rsidP="004D1C5B">
      <w:pPr>
        <w:pStyle w:val="aff2"/>
        <w:numPr>
          <w:ilvl w:val="0"/>
          <w:numId w:val="3"/>
        </w:numPr>
        <w:rPr>
          <w:rFonts w:eastAsiaTheme="minorEastAsia" w:cstheme="minorBidi"/>
          <w:sz w:val="22"/>
          <w:szCs w:val="22"/>
          <w:rtl/>
        </w:rPr>
      </w:pPr>
      <w:r>
        <w:rPr>
          <w:rtl/>
        </w:rPr>
        <w:t>ביאור הנחל"ד בר"ש דבטע"כ ל"א נהפך אלא דהטעם אינו מתבטל ואינו חמור מהאיסור עצמו</w:t>
      </w:r>
    </w:p>
    <w:p w:rsidR="004D1C5B" w:rsidRDefault="004D1C5B" w:rsidP="004D1C5B">
      <w:pPr>
        <w:pStyle w:val="2"/>
        <w:rPr>
          <w:rFonts w:eastAsiaTheme="minorEastAsia" w:cstheme="minorBidi"/>
          <w:i/>
          <w:iCs/>
          <w:noProof/>
          <w:sz w:val="22"/>
          <w:szCs w:val="22"/>
          <w:rtl/>
        </w:rPr>
      </w:pPr>
      <w:r>
        <w:rPr>
          <w:noProof/>
          <w:rtl/>
        </w:rPr>
        <w:t>דעת הר"ן בגדר טע"כ ובדין נהפך</w:t>
      </w:r>
    </w:p>
    <w:p w:rsidR="004D1C5B" w:rsidRDefault="004D1C5B" w:rsidP="004D1C5B">
      <w:pPr>
        <w:pStyle w:val="aff4"/>
        <w:rPr>
          <w:rFonts w:eastAsiaTheme="minorEastAsia" w:cstheme="minorBidi"/>
          <w:i/>
          <w:iCs/>
          <w:noProof/>
          <w:sz w:val="22"/>
          <w:szCs w:val="22"/>
          <w:rtl/>
        </w:rPr>
      </w:pPr>
      <w:r>
        <w:rPr>
          <w:noProof/>
          <w:rtl/>
        </w:rPr>
        <w:t>דברי הר"ן דרק בכזית בכא"פ לוקין על טעם כעיקר</w:t>
      </w:r>
    </w:p>
    <w:p w:rsidR="004D1C5B" w:rsidRDefault="004D1C5B" w:rsidP="004D1C5B">
      <w:pPr>
        <w:pStyle w:val="aff2"/>
        <w:numPr>
          <w:ilvl w:val="0"/>
          <w:numId w:val="3"/>
        </w:numPr>
        <w:rPr>
          <w:rFonts w:eastAsiaTheme="minorEastAsia" w:cstheme="minorBidi"/>
          <w:sz w:val="22"/>
          <w:szCs w:val="22"/>
          <w:rtl/>
        </w:rPr>
      </w:pPr>
      <w:r>
        <w:rPr>
          <w:rtl/>
        </w:rPr>
        <w:t>דברי הר"ן דבכזית בכא"פ לוקין עליו ובפחות אסור מדאו' ואין מלקות ובטעם כעיקר נח' רש"י ותוס'</w:t>
      </w:r>
    </w:p>
    <w:p w:rsidR="004D1C5B" w:rsidRDefault="004D1C5B" w:rsidP="004D1C5B">
      <w:pPr>
        <w:pStyle w:val="aff2"/>
        <w:numPr>
          <w:ilvl w:val="0"/>
          <w:numId w:val="3"/>
        </w:numPr>
        <w:rPr>
          <w:rFonts w:eastAsiaTheme="minorEastAsia" w:cstheme="minorBidi"/>
          <w:sz w:val="22"/>
          <w:szCs w:val="22"/>
          <w:rtl/>
        </w:rPr>
      </w:pPr>
      <w:r>
        <w:rPr>
          <w:rtl/>
        </w:rPr>
        <w:t>דברי הפרמ"ג בר"ן דבנמחה ממשו של האיסור ויש כזית בכא"פ חייב מלקות דטע"כ דאו'</w:t>
      </w:r>
    </w:p>
    <w:p w:rsidR="004D1C5B" w:rsidRDefault="004D1C5B" w:rsidP="004D1C5B">
      <w:pPr>
        <w:pStyle w:val="aff2"/>
        <w:numPr>
          <w:ilvl w:val="0"/>
          <w:numId w:val="3"/>
        </w:numPr>
        <w:rPr>
          <w:rFonts w:eastAsiaTheme="minorEastAsia" w:cstheme="minorBidi"/>
          <w:sz w:val="22"/>
          <w:szCs w:val="22"/>
          <w:rtl/>
        </w:rPr>
      </w:pPr>
      <w:r>
        <w:rPr>
          <w:rtl/>
        </w:rPr>
        <w:t>ביאור הפרמ"ג בר"ן דבטע"כ לא אמרינן נהפך ולכן אין לוקין בפחות מכא"פ ובזה פליגי רש"י ותוס'</w:t>
      </w:r>
    </w:p>
    <w:p w:rsidR="004D1C5B" w:rsidRDefault="004D1C5B" w:rsidP="004D1C5B">
      <w:pPr>
        <w:pStyle w:val="aff4"/>
        <w:rPr>
          <w:rFonts w:eastAsiaTheme="minorEastAsia" w:cstheme="minorBidi"/>
          <w:i/>
          <w:iCs/>
          <w:noProof/>
          <w:sz w:val="22"/>
          <w:szCs w:val="22"/>
          <w:rtl/>
        </w:rPr>
      </w:pPr>
      <w:r>
        <w:rPr>
          <w:noProof/>
          <w:rtl/>
        </w:rPr>
        <w:t>דברי הר"ן בפסחים דבכזית בכא"פ לוקין אף על טעם בלא ממשו</w:t>
      </w:r>
    </w:p>
    <w:p w:rsidR="004D1C5B" w:rsidRDefault="004D1C5B" w:rsidP="004D1C5B">
      <w:pPr>
        <w:pStyle w:val="aff2"/>
        <w:numPr>
          <w:ilvl w:val="0"/>
          <w:numId w:val="3"/>
        </w:numPr>
        <w:rPr>
          <w:rFonts w:eastAsiaTheme="minorEastAsia" w:cstheme="minorBidi"/>
          <w:sz w:val="22"/>
          <w:szCs w:val="22"/>
          <w:rtl/>
        </w:rPr>
      </w:pPr>
      <w:r>
        <w:rPr>
          <w:rtl/>
        </w:rPr>
        <w:t>דברי הר"ן דטע"כ הוא אף כשהתערב הרבה טעם עד שיש בו כזית בכא"פ אף שאין את גוף האיסור</w:t>
      </w:r>
    </w:p>
    <w:p w:rsidR="004D1C5B" w:rsidRDefault="004D1C5B" w:rsidP="004D1C5B">
      <w:pPr>
        <w:pStyle w:val="aff2"/>
        <w:numPr>
          <w:ilvl w:val="0"/>
          <w:numId w:val="3"/>
        </w:numPr>
        <w:rPr>
          <w:rFonts w:eastAsiaTheme="minorEastAsia" w:cstheme="minorBidi"/>
          <w:sz w:val="22"/>
          <w:szCs w:val="22"/>
          <w:rtl/>
        </w:rPr>
      </w:pPr>
      <w:r>
        <w:rPr>
          <w:rtl/>
        </w:rPr>
        <w:t>דברי הר"ן דבאכל טעם בכזית בכא"פ חייב מדין טע"כ כיון שטועם בכזית ההיתר את טעם האיסור</w:t>
      </w:r>
    </w:p>
    <w:p w:rsidR="004D1C5B" w:rsidRDefault="004D1C5B" w:rsidP="004D1C5B">
      <w:pPr>
        <w:pStyle w:val="aff2"/>
        <w:numPr>
          <w:ilvl w:val="0"/>
          <w:numId w:val="3"/>
        </w:numPr>
        <w:rPr>
          <w:rFonts w:eastAsiaTheme="minorEastAsia" w:cstheme="minorBidi"/>
          <w:sz w:val="22"/>
          <w:szCs w:val="22"/>
          <w:rtl/>
        </w:rPr>
      </w:pPr>
      <w:r>
        <w:rPr>
          <w:rtl/>
        </w:rPr>
        <w:t>דברי הר"ן דטע"כ חמור מהיתרמצטף לאסור דהוא לכו"ע</w:t>
      </w:r>
    </w:p>
    <w:p w:rsidR="004D1C5B" w:rsidRDefault="004D1C5B" w:rsidP="004D1C5B">
      <w:pPr>
        <w:pStyle w:val="aff2"/>
        <w:numPr>
          <w:ilvl w:val="0"/>
          <w:numId w:val="3"/>
        </w:numPr>
        <w:rPr>
          <w:rFonts w:eastAsiaTheme="minorEastAsia" w:cstheme="minorBidi"/>
          <w:sz w:val="22"/>
          <w:szCs w:val="22"/>
          <w:rtl/>
        </w:rPr>
      </w:pPr>
      <w:r>
        <w:rPr>
          <w:rtl/>
        </w:rPr>
        <w:t>דחיית הר"ן לדברי רש"י דבטע"כ אמרינן נהפך דלא משמע כן בגמ' בפסחים</w:t>
      </w:r>
    </w:p>
    <w:p w:rsidR="004D1C5B" w:rsidRDefault="004D1C5B" w:rsidP="004D1C5B">
      <w:pPr>
        <w:pStyle w:val="2"/>
        <w:rPr>
          <w:rFonts w:eastAsiaTheme="minorEastAsia" w:cstheme="minorBidi"/>
          <w:i/>
          <w:iCs/>
          <w:noProof/>
          <w:sz w:val="22"/>
          <w:szCs w:val="22"/>
          <w:rtl/>
        </w:rPr>
      </w:pPr>
      <w:r>
        <w:rPr>
          <w:noProof/>
          <w:rtl/>
        </w:rPr>
        <w:t>ביאורי ראשי הישיבות</w:t>
      </w:r>
    </w:p>
    <w:p w:rsidR="004D1C5B" w:rsidRPr="00E721A3" w:rsidRDefault="004D1C5B" w:rsidP="004D1C5B">
      <w:pPr>
        <w:pStyle w:val="2"/>
        <w:rPr>
          <w:rtl/>
        </w:rPr>
      </w:pPr>
      <w:r>
        <w:rPr>
          <w:rFonts w:hint="cs"/>
          <w:rtl/>
        </w:rPr>
        <w:t>בגדר האיסור בטע"כ ובדין עיסת אורז</w:t>
      </w:r>
    </w:p>
    <w:p w:rsidR="004D1C5B" w:rsidRDefault="004D1C5B" w:rsidP="004D1C5B">
      <w:pPr>
        <w:pStyle w:val="aff4"/>
        <w:rPr>
          <w:rFonts w:eastAsiaTheme="minorEastAsia" w:cstheme="minorBidi"/>
          <w:i/>
          <w:iCs/>
          <w:noProof/>
          <w:sz w:val="22"/>
          <w:szCs w:val="22"/>
          <w:rtl/>
        </w:rPr>
      </w:pPr>
      <w:r>
        <w:rPr>
          <w:noProof/>
          <w:rtl/>
        </w:rPr>
        <w:t>חקירת הגר"ח אי ע"י הטעם ל"מ ביטול או דטע"כ הוא דין איסור</w:t>
      </w:r>
    </w:p>
    <w:p w:rsidR="004D1C5B" w:rsidRDefault="004D1C5B" w:rsidP="004D1C5B">
      <w:pPr>
        <w:pStyle w:val="aff2"/>
        <w:numPr>
          <w:ilvl w:val="0"/>
          <w:numId w:val="3"/>
        </w:numPr>
        <w:rPr>
          <w:rFonts w:eastAsiaTheme="minorEastAsia" w:cstheme="minorBidi"/>
          <w:sz w:val="22"/>
          <w:szCs w:val="22"/>
          <w:rtl/>
        </w:rPr>
      </w:pPr>
      <w:r>
        <w:rPr>
          <w:rtl/>
        </w:rPr>
        <w:t>חקירת הגר"ח אי מדין טע"כ לא מהני ביטול ברוב דהאיסור ניכר או דמהני ביטול והוא איסור חדש</w:t>
      </w:r>
    </w:p>
    <w:p w:rsidR="004D1C5B" w:rsidRPr="002A21C6" w:rsidRDefault="004D1C5B" w:rsidP="004D1C5B">
      <w:pPr>
        <w:pStyle w:val="aff4"/>
        <w:rPr>
          <w:rtl/>
        </w:rPr>
      </w:pPr>
      <w:r>
        <w:rPr>
          <w:rFonts w:hint="cs"/>
          <w:rtl/>
        </w:rPr>
        <w:t>ביאור הגר"ח בעיסת אורז דפקע ביטול ברוב ויש ממשות חיטים</w:t>
      </w:r>
    </w:p>
    <w:p w:rsidR="004D1C5B" w:rsidRDefault="004D1C5B" w:rsidP="004D1C5B">
      <w:pPr>
        <w:pStyle w:val="aff2"/>
        <w:numPr>
          <w:ilvl w:val="0"/>
          <w:numId w:val="3"/>
        </w:numPr>
        <w:rPr>
          <w:rFonts w:eastAsiaTheme="minorEastAsia" w:cstheme="minorBidi"/>
          <w:sz w:val="22"/>
          <w:szCs w:val="22"/>
          <w:rtl/>
        </w:rPr>
      </w:pPr>
      <w:r>
        <w:rPr>
          <w:rtl/>
        </w:rPr>
        <w:t>דברי הגר"ח דמדין עיסת אורז מוכח דטעם כעיקר אינו דין באיסורים דא"א לצאת יד"ח מצה בטעם</w:t>
      </w:r>
    </w:p>
    <w:p w:rsidR="004D1C5B" w:rsidRDefault="004D1C5B" w:rsidP="004D1C5B">
      <w:pPr>
        <w:pStyle w:val="aff2"/>
        <w:numPr>
          <w:ilvl w:val="0"/>
          <w:numId w:val="3"/>
        </w:numPr>
        <w:rPr>
          <w:rFonts w:eastAsiaTheme="minorEastAsia" w:cstheme="minorBidi"/>
          <w:sz w:val="22"/>
          <w:szCs w:val="22"/>
          <w:rtl/>
        </w:rPr>
      </w:pPr>
      <w:r>
        <w:rPr>
          <w:rtl/>
        </w:rPr>
        <w:t>דברי הגר"ח דמוכח מעיסת אורז דבטעם כעיקר פקע דין ביטול ויש בעיסה את עיקר החיטים</w:t>
      </w:r>
    </w:p>
    <w:p w:rsidR="004D1C5B" w:rsidRDefault="004D1C5B" w:rsidP="004D1C5B">
      <w:pPr>
        <w:pStyle w:val="aff2"/>
        <w:numPr>
          <w:ilvl w:val="0"/>
          <w:numId w:val="3"/>
        </w:numPr>
        <w:rPr>
          <w:rFonts w:eastAsiaTheme="minorEastAsia" w:cstheme="minorBidi"/>
          <w:sz w:val="22"/>
          <w:szCs w:val="22"/>
          <w:rtl/>
        </w:rPr>
      </w:pPr>
      <w:r>
        <w:rPr>
          <w:rtl/>
        </w:rPr>
        <w:t>קושית הגר"ח דמבואר בגמ' שצריך ילפותא גמורה לטע"כ ואי ל"מ ביטול ברוב סגי בגילוי מילתא</w:t>
      </w:r>
    </w:p>
    <w:p w:rsidR="004D1C5B" w:rsidRDefault="004D1C5B" w:rsidP="004D1C5B">
      <w:pPr>
        <w:pStyle w:val="aff4"/>
        <w:rPr>
          <w:rFonts w:eastAsiaTheme="minorEastAsia" w:cstheme="minorBidi"/>
          <w:i/>
          <w:iCs/>
          <w:noProof/>
          <w:sz w:val="22"/>
          <w:szCs w:val="22"/>
          <w:rtl/>
        </w:rPr>
      </w:pPr>
      <w:r>
        <w:rPr>
          <w:noProof/>
          <w:rtl/>
        </w:rPr>
        <w:t>ביאור הגר"ח דטעם כעיקר הוא חלות איסור ועי"ז ל"מ בו ביטול</w:t>
      </w:r>
    </w:p>
    <w:p w:rsidR="004D1C5B" w:rsidRDefault="004D1C5B" w:rsidP="004D1C5B">
      <w:pPr>
        <w:pStyle w:val="aff2"/>
        <w:numPr>
          <w:ilvl w:val="0"/>
          <w:numId w:val="3"/>
        </w:numPr>
        <w:rPr>
          <w:rFonts w:eastAsiaTheme="minorEastAsia" w:cstheme="minorBidi"/>
          <w:sz w:val="22"/>
          <w:szCs w:val="22"/>
          <w:rtl/>
        </w:rPr>
      </w:pPr>
      <w:r>
        <w:rPr>
          <w:rtl/>
        </w:rPr>
        <w:t>ביאור הגר"ח דיסוד טע"כ דיש בו חלות איסור כדילפינן ממשרת אך גדרו הוא דאינו מתבטל ברוב</w:t>
      </w:r>
    </w:p>
    <w:p w:rsidR="004D1C5B" w:rsidRDefault="004D1C5B" w:rsidP="004D1C5B">
      <w:pPr>
        <w:pStyle w:val="aff2"/>
        <w:numPr>
          <w:ilvl w:val="0"/>
          <w:numId w:val="3"/>
        </w:numPr>
        <w:rPr>
          <w:rFonts w:eastAsiaTheme="minorEastAsia" w:cstheme="minorBidi"/>
          <w:sz w:val="22"/>
          <w:szCs w:val="22"/>
          <w:rtl/>
        </w:rPr>
      </w:pPr>
      <w:r>
        <w:rPr>
          <w:rtl/>
        </w:rPr>
        <w:t>דברי הגר"ח דאחר שיש דין טע"כ דהטעם הוא כהעיקר ממש ממילא פקע הביטול ויצא יד"ח מצה</w:t>
      </w:r>
    </w:p>
    <w:p w:rsidR="004D1C5B" w:rsidRDefault="004D1C5B" w:rsidP="004D1C5B">
      <w:pPr>
        <w:pStyle w:val="aff2"/>
        <w:numPr>
          <w:ilvl w:val="0"/>
          <w:numId w:val="3"/>
        </w:numPr>
        <w:rPr>
          <w:rFonts w:eastAsiaTheme="minorEastAsia" w:cstheme="minorBidi"/>
          <w:sz w:val="22"/>
          <w:szCs w:val="22"/>
          <w:rtl/>
        </w:rPr>
      </w:pPr>
      <w:r>
        <w:rPr>
          <w:rtl/>
        </w:rPr>
        <w:t>דברי הגר"ח דא"כ טע"כ אינו גילוי מילתא אלא רק ע"י שיש חלות דין טע"כ ממילא פקע הביטול</w:t>
      </w:r>
    </w:p>
    <w:p w:rsidR="004D1C5B" w:rsidRDefault="004D1C5B" w:rsidP="004D1C5B">
      <w:pPr>
        <w:pStyle w:val="aff4"/>
        <w:rPr>
          <w:rFonts w:eastAsiaTheme="minorEastAsia" w:cstheme="minorBidi"/>
          <w:i/>
          <w:iCs/>
          <w:noProof/>
          <w:sz w:val="22"/>
          <w:szCs w:val="22"/>
          <w:rtl/>
        </w:rPr>
      </w:pPr>
      <w:r>
        <w:rPr>
          <w:noProof/>
          <w:rtl/>
        </w:rPr>
        <w:t>דברי הגר"ח בגדר האיסור בטעם כעיקר אף שהתבטל ברוב</w:t>
      </w:r>
    </w:p>
    <w:p w:rsidR="004D1C5B" w:rsidRDefault="004D1C5B" w:rsidP="004D1C5B">
      <w:pPr>
        <w:pStyle w:val="aff2"/>
        <w:numPr>
          <w:ilvl w:val="0"/>
          <w:numId w:val="3"/>
        </w:numPr>
        <w:rPr>
          <w:rFonts w:eastAsiaTheme="minorEastAsia" w:cstheme="minorBidi"/>
          <w:sz w:val="22"/>
          <w:szCs w:val="22"/>
          <w:rtl/>
        </w:rPr>
      </w:pPr>
      <w:r>
        <w:rPr>
          <w:rtl/>
        </w:rPr>
        <w:t>דברי הגר"ח דבמין במינו אין ביטול כלל ובטע"כ יש חלות איסור אף שנתבטל הטעם בהיתר</w:t>
      </w:r>
    </w:p>
    <w:p w:rsidR="004D1C5B" w:rsidRDefault="004D1C5B" w:rsidP="004D1C5B">
      <w:pPr>
        <w:pStyle w:val="aff2"/>
        <w:numPr>
          <w:ilvl w:val="0"/>
          <w:numId w:val="3"/>
        </w:numPr>
        <w:rPr>
          <w:rtl/>
        </w:rPr>
      </w:pPr>
      <w:r>
        <w:rPr>
          <w:rtl/>
        </w:rPr>
        <w:t>דברי הגר"ח דאף דהטעם אסור מהטמאים צריך ילפותא ממשרת לדין איסור של טעם כעיק</w:t>
      </w:r>
      <w:r>
        <w:rPr>
          <w:rFonts w:hint="cs"/>
          <w:rtl/>
        </w:rPr>
        <w:t>ר</w:t>
      </w:r>
    </w:p>
    <w:p w:rsidR="004D1C5B" w:rsidRDefault="004D1C5B" w:rsidP="004D1C5B">
      <w:pPr>
        <w:pStyle w:val="2"/>
        <w:rPr>
          <w:rFonts w:eastAsiaTheme="minorEastAsia" w:cstheme="minorBidi"/>
          <w:i/>
          <w:iCs/>
          <w:noProof/>
          <w:sz w:val="22"/>
          <w:szCs w:val="22"/>
          <w:rtl/>
        </w:rPr>
      </w:pPr>
      <w:r>
        <w:rPr>
          <w:noProof/>
          <w:rtl/>
        </w:rPr>
        <w:t>בגדר דין נהפך ובמקורו</w:t>
      </w:r>
    </w:p>
    <w:p w:rsidR="004D1C5B" w:rsidRDefault="004D1C5B" w:rsidP="004D1C5B">
      <w:pPr>
        <w:pStyle w:val="aff4"/>
        <w:rPr>
          <w:rFonts w:eastAsiaTheme="minorEastAsia" w:cstheme="minorBidi"/>
          <w:i/>
          <w:iCs/>
          <w:noProof/>
          <w:sz w:val="22"/>
          <w:szCs w:val="22"/>
          <w:rtl/>
        </w:rPr>
      </w:pPr>
      <w:r>
        <w:rPr>
          <w:noProof/>
          <w:rtl/>
        </w:rPr>
        <w:t>ביאור הקוב"ש בדין נהפך עפי"ד הראב"ד דהאיסור הוא בטעם</w:t>
      </w:r>
    </w:p>
    <w:p w:rsidR="004D1C5B" w:rsidRDefault="004D1C5B" w:rsidP="004D1C5B">
      <w:pPr>
        <w:pStyle w:val="aff2"/>
        <w:numPr>
          <w:ilvl w:val="0"/>
          <w:numId w:val="3"/>
        </w:numPr>
        <w:rPr>
          <w:rFonts w:eastAsiaTheme="minorEastAsia" w:cstheme="minorBidi"/>
          <w:sz w:val="22"/>
          <w:szCs w:val="22"/>
          <w:rtl/>
        </w:rPr>
      </w:pPr>
      <w:r>
        <w:rPr>
          <w:rtl/>
        </w:rPr>
        <w:t>דברי הקוב"ש דמדברי הראב"ד דטעם אינו מתבטל ברוב משמע דס"ל דאמרינן נהפך</w:t>
      </w:r>
    </w:p>
    <w:p w:rsidR="004D1C5B" w:rsidRDefault="004D1C5B" w:rsidP="004D1C5B">
      <w:pPr>
        <w:pStyle w:val="aff2"/>
        <w:numPr>
          <w:ilvl w:val="0"/>
          <w:numId w:val="3"/>
        </w:numPr>
        <w:rPr>
          <w:rFonts w:eastAsiaTheme="minorEastAsia" w:cstheme="minorBidi"/>
          <w:sz w:val="22"/>
          <w:szCs w:val="22"/>
          <w:rtl/>
        </w:rPr>
      </w:pPr>
      <w:r>
        <w:rPr>
          <w:rtl/>
        </w:rPr>
        <w:t>קושית הקוב"ש דאף דטעם אינו מתבטל מסברא דטעימתו זו הכרתו מ"מ אי"ז מקור לדין נהפך</w:t>
      </w:r>
    </w:p>
    <w:p w:rsidR="004D1C5B" w:rsidRDefault="004D1C5B" w:rsidP="004D1C5B">
      <w:pPr>
        <w:pStyle w:val="aff2"/>
        <w:numPr>
          <w:ilvl w:val="0"/>
          <w:numId w:val="3"/>
        </w:numPr>
        <w:rPr>
          <w:rFonts w:eastAsiaTheme="minorEastAsia" w:cstheme="minorBidi"/>
          <w:sz w:val="22"/>
          <w:szCs w:val="22"/>
          <w:rtl/>
        </w:rPr>
      </w:pPr>
      <w:r>
        <w:rPr>
          <w:rtl/>
        </w:rPr>
        <w:t>דברי הקוב"ש דבכל האיסורים האיסור בממשות הוא רק ע"י הטעם אך הממשות עצמה לא אסורה</w:t>
      </w:r>
    </w:p>
    <w:p w:rsidR="004D1C5B" w:rsidRDefault="004D1C5B" w:rsidP="004D1C5B">
      <w:pPr>
        <w:pStyle w:val="aff2"/>
        <w:numPr>
          <w:ilvl w:val="0"/>
          <w:numId w:val="3"/>
        </w:numPr>
        <w:rPr>
          <w:rFonts w:eastAsiaTheme="minorEastAsia" w:cstheme="minorBidi"/>
          <w:sz w:val="22"/>
          <w:szCs w:val="22"/>
          <w:rtl/>
        </w:rPr>
      </w:pPr>
      <w:r>
        <w:rPr>
          <w:rtl/>
        </w:rPr>
        <w:t>ביאור הקוב"ש דבתערובת שיש בה טעם איסור אין חילוק אי הממשות של היתר או של איסור</w:t>
      </w:r>
    </w:p>
    <w:p w:rsidR="004D1C5B" w:rsidRDefault="004D1C5B" w:rsidP="004D1C5B">
      <w:pPr>
        <w:pStyle w:val="aff4"/>
        <w:rPr>
          <w:rFonts w:eastAsiaTheme="minorEastAsia" w:cstheme="minorBidi"/>
          <w:i/>
          <w:iCs/>
          <w:noProof/>
          <w:sz w:val="22"/>
          <w:szCs w:val="22"/>
          <w:rtl/>
        </w:rPr>
      </w:pPr>
      <w:r>
        <w:rPr>
          <w:noProof/>
          <w:rtl/>
        </w:rPr>
        <w:t>ביאור המשנת ר"א בפלוגתת הראשונים בדין נהפך</w:t>
      </w:r>
    </w:p>
    <w:p w:rsidR="004D1C5B" w:rsidRDefault="004D1C5B" w:rsidP="004D1C5B">
      <w:pPr>
        <w:pStyle w:val="aff2"/>
        <w:numPr>
          <w:ilvl w:val="0"/>
          <w:numId w:val="3"/>
        </w:numPr>
        <w:rPr>
          <w:rFonts w:eastAsiaTheme="minorEastAsia" w:cstheme="minorBidi"/>
          <w:sz w:val="22"/>
          <w:szCs w:val="22"/>
          <w:rtl/>
        </w:rPr>
      </w:pPr>
      <w:r>
        <w:rPr>
          <w:rtl/>
        </w:rPr>
        <w:t>דברי המשנת ר"א דבטע"כ נאמר גם שאינו מתבטל ברוב וגם שההיתר נהפך לאיסור</w:t>
      </w:r>
    </w:p>
    <w:p w:rsidR="004D1C5B" w:rsidRDefault="004D1C5B" w:rsidP="004D1C5B">
      <w:pPr>
        <w:pStyle w:val="aff2"/>
        <w:numPr>
          <w:ilvl w:val="0"/>
          <w:numId w:val="3"/>
        </w:numPr>
        <w:rPr>
          <w:rFonts w:eastAsiaTheme="minorEastAsia" w:cstheme="minorBidi"/>
          <w:sz w:val="22"/>
          <w:szCs w:val="22"/>
          <w:rtl/>
        </w:rPr>
      </w:pPr>
      <w:r>
        <w:rPr>
          <w:rtl/>
        </w:rPr>
        <w:t>דברי המשנת ר"א דלר"ת דלוקין על כל כזית האיסור והלאו בטעם הוא כמו באיסור עצמו</w:t>
      </w:r>
    </w:p>
    <w:p w:rsidR="004D1C5B" w:rsidRDefault="004D1C5B" w:rsidP="004D1C5B">
      <w:pPr>
        <w:pStyle w:val="aff2"/>
        <w:numPr>
          <w:ilvl w:val="0"/>
          <w:numId w:val="3"/>
        </w:numPr>
        <w:rPr>
          <w:rFonts w:eastAsiaTheme="minorEastAsia" w:cstheme="minorBidi"/>
          <w:sz w:val="22"/>
          <w:szCs w:val="22"/>
          <w:rtl/>
        </w:rPr>
      </w:pPr>
      <w:r>
        <w:rPr>
          <w:rtl/>
        </w:rPr>
        <w:t>דברי המשנת ר"א דלרבינו חיים בכזית בכא"פ האיסור והלאו בטעם הוא כמו באיסור עצמו</w:t>
      </w:r>
    </w:p>
    <w:p w:rsidR="004D1C5B" w:rsidRDefault="004D1C5B" w:rsidP="004D1C5B">
      <w:pPr>
        <w:pStyle w:val="aff2"/>
        <w:numPr>
          <w:ilvl w:val="0"/>
          <w:numId w:val="3"/>
        </w:numPr>
        <w:rPr>
          <w:rFonts w:eastAsiaTheme="minorEastAsia" w:cstheme="minorBidi"/>
          <w:sz w:val="22"/>
          <w:szCs w:val="22"/>
          <w:rtl/>
        </w:rPr>
      </w:pPr>
      <w:r>
        <w:rPr>
          <w:rtl/>
        </w:rPr>
        <w:t>ביאור המשנת ר"א בר"י מאורליינש דהאיסור בתערובת הוא איסור חדש מדין טעם</w:t>
      </w:r>
    </w:p>
    <w:p w:rsidR="004D1C5B" w:rsidRDefault="004D1C5B" w:rsidP="004D1C5B">
      <w:pPr>
        <w:pStyle w:val="aff2"/>
        <w:numPr>
          <w:ilvl w:val="0"/>
          <w:numId w:val="3"/>
        </w:numPr>
        <w:rPr>
          <w:rFonts w:eastAsiaTheme="minorEastAsia" w:cstheme="minorBidi"/>
          <w:sz w:val="22"/>
          <w:szCs w:val="22"/>
          <w:rtl/>
        </w:rPr>
      </w:pPr>
      <w:r>
        <w:rPr>
          <w:rtl/>
        </w:rPr>
        <w:t>דברי המשנת ר"א דלכל הראשונים נאסר ההיתר רק כיון שהטעם אינו מתבטל ברוב</w:t>
      </w:r>
    </w:p>
    <w:p w:rsidR="004D1C5B" w:rsidRDefault="004D1C5B" w:rsidP="004D1C5B">
      <w:pPr>
        <w:pStyle w:val="aff2"/>
        <w:numPr>
          <w:ilvl w:val="0"/>
          <w:numId w:val="3"/>
        </w:numPr>
        <w:rPr>
          <w:rFonts w:eastAsiaTheme="minorEastAsia" w:cstheme="minorBidi"/>
          <w:sz w:val="22"/>
          <w:szCs w:val="22"/>
          <w:rtl/>
        </w:rPr>
      </w:pPr>
      <w:r>
        <w:rPr>
          <w:rtl/>
        </w:rPr>
        <w:t>דברי המשנת ר"א דאף להר"י מאורליינש הטעם לא מתבטל אלא דס"ל דדין נהפך אינו לאו</w:t>
      </w:r>
    </w:p>
    <w:p w:rsidR="004D1C5B" w:rsidRDefault="004D1C5B" w:rsidP="004D1C5B">
      <w:pPr>
        <w:pStyle w:val="aff4"/>
        <w:rPr>
          <w:rFonts w:eastAsiaTheme="minorEastAsia" w:cstheme="minorBidi"/>
          <w:i/>
          <w:iCs/>
          <w:noProof/>
          <w:sz w:val="22"/>
          <w:szCs w:val="22"/>
          <w:rtl/>
        </w:rPr>
      </w:pPr>
      <w:r>
        <w:rPr>
          <w:noProof/>
          <w:rtl/>
        </w:rPr>
        <w:t>דברי האבי עזרי בדעת הרמב"ן דלא אמרינן נהפך</w:t>
      </w:r>
    </w:p>
    <w:p w:rsidR="004D1C5B" w:rsidRDefault="004D1C5B" w:rsidP="004D1C5B">
      <w:pPr>
        <w:pStyle w:val="aff2"/>
        <w:numPr>
          <w:ilvl w:val="0"/>
          <w:numId w:val="3"/>
        </w:numPr>
        <w:rPr>
          <w:rFonts w:eastAsiaTheme="minorEastAsia" w:cstheme="minorBidi"/>
          <w:sz w:val="22"/>
          <w:szCs w:val="22"/>
          <w:rtl/>
        </w:rPr>
      </w:pPr>
      <w:r>
        <w:rPr>
          <w:rtl/>
        </w:rPr>
        <w:lastRenderedPageBreak/>
        <w:t>קושית האבי עזרי היאך הוכיחה הגמ' בזבחים דטע"כ דאו' מעיסת אורז הא טע"כ הוא דין באכילה</w:t>
      </w:r>
    </w:p>
    <w:p w:rsidR="004D1C5B" w:rsidRDefault="004D1C5B" w:rsidP="004D1C5B">
      <w:pPr>
        <w:pStyle w:val="aff2"/>
        <w:numPr>
          <w:ilvl w:val="0"/>
          <w:numId w:val="3"/>
        </w:numPr>
        <w:rPr>
          <w:rFonts w:eastAsiaTheme="minorEastAsia" w:cstheme="minorBidi"/>
          <w:sz w:val="22"/>
          <w:szCs w:val="22"/>
          <w:rtl/>
        </w:rPr>
      </w:pPr>
      <w:r>
        <w:rPr>
          <w:rtl/>
        </w:rPr>
        <w:t>קושית האבי עזרי דהאיך עיסת האורז מתחייבת בחלה הא אף שיש בה טעם מ"מ היא עצמה אורז</w:t>
      </w:r>
    </w:p>
    <w:p w:rsidR="004D1C5B" w:rsidRDefault="004D1C5B" w:rsidP="004D1C5B">
      <w:pPr>
        <w:pStyle w:val="aff2"/>
        <w:numPr>
          <w:ilvl w:val="0"/>
          <w:numId w:val="3"/>
        </w:numPr>
        <w:rPr>
          <w:rFonts w:eastAsiaTheme="minorEastAsia" w:cstheme="minorBidi"/>
          <w:sz w:val="22"/>
          <w:szCs w:val="22"/>
          <w:rtl/>
        </w:rPr>
      </w:pPr>
      <w:r>
        <w:rPr>
          <w:rtl/>
        </w:rPr>
        <w:t>דברי האבי עזרי דמדין טע"כ אין הדגן מתבטל ולכן ס"ל להראב"ד דצריך שיעור דגן למצה וחלה</w:t>
      </w:r>
    </w:p>
    <w:p w:rsidR="004D1C5B" w:rsidRDefault="004D1C5B" w:rsidP="004D1C5B">
      <w:pPr>
        <w:pStyle w:val="aff2"/>
        <w:numPr>
          <w:ilvl w:val="0"/>
          <w:numId w:val="3"/>
        </w:numPr>
        <w:rPr>
          <w:rFonts w:eastAsiaTheme="minorEastAsia" w:cstheme="minorBidi"/>
          <w:sz w:val="22"/>
          <w:szCs w:val="22"/>
          <w:rtl/>
        </w:rPr>
      </w:pPr>
      <w:r>
        <w:rPr>
          <w:rtl/>
        </w:rPr>
        <w:t>ביאור האבי עזרי בקושית הרמב"ן דלא אמרינן נהפך ועיסת אורז בפחות מכא"פ ואין בזה מלקות</w:t>
      </w:r>
    </w:p>
    <w:p w:rsidR="004D1C5B" w:rsidRDefault="004D1C5B" w:rsidP="004D1C5B">
      <w:pPr>
        <w:pStyle w:val="aff2"/>
        <w:numPr>
          <w:ilvl w:val="0"/>
          <w:numId w:val="3"/>
        </w:numPr>
        <w:rPr>
          <w:rFonts w:eastAsiaTheme="minorEastAsia" w:cstheme="minorBidi"/>
          <w:sz w:val="22"/>
          <w:szCs w:val="22"/>
          <w:rtl/>
        </w:rPr>
      </w:pPr>
      <w:r>
        <w:rPr>
          <w:rtl/>
        </w:rPr>
        <w:t>דברי האבי עזרי דכוונת הרמב"ן לומר דבפחות מכא"פ יש איסור דאו' אך א"א לצאת יד"ח מצה</w:t>
      </w:r>
    </w:p>
    <w:p w:rsidR="004D1C5B" w:rsidRDefault="004D1C5B" w:rsidP="004D1C5B">
      <w:pPr>
        <w:pStyle w:val="aff2"/>
        <w:numPr>
          <w:ilvl w:val="0"/>
          <w:numId w:val="3"/>
        </w:numPr>
        <w:rPr>
          <w:rFonts w:eastAsiaTheme="minorEastAsia" w:cstheme="minorBidi"/>
          <w:sz w:val="22"/>
          <w:szCs w:val="22"/>
          <w:rtl/>
        </w:rPr>
      </w:pPr>
      <w:r>
        <w:rPr>
          <w:rtl/>
        </w:rPr>
        <w:t>ביאור האבי עזרי בקושית הרמב"ן דאף לענין חיוב צריך כזית בכא"פ וטעם אינו מחייב במצה וחלה</w:t>
      </w:r>
    </w:p>
    <w:p w:rsidR="004D1C5B" w:rsidRDefault="004D1C5B" w:rsidP="004D1C5B">
      <w:pPr>
        <w:pStyle w:val="aff2"/>
        <w:numPr>
          <w:ilvl w:val="0"/>
          <w:numId w:val="3"/>
        </w:numPr>
        <w:rPr>
          <w:rFonts w:eastAsiaTheme="minorEastAsia" w:cstheme="minorBidi"/>
          <w:sz w:val="22"/>
          <w:szCs w:val="22"/>
          <w:rtl/>
        </w:rPr>
      </w:pPr>
      <w:r>
        <w:rPr>
          <w:rtl/>
        </w:rPr>
        <w:t>ביאור האבי עזרי ברמב"ן דכיון שמדאו' הטעם לא התבטל יש לכל העיסה דין דגן מדין גרירה</w:t>
      </w:r>
    </w:p>
    <w:p w:rsidR="004D1C5B" w:rsidRDefault="004D1C5B" w:rsidP="004D1C5B">
      <w:pPr>
        <w:pStyle w:val="aff4"/>
        <w:rPr>
          <w:rFonts w:eastAsiaTheme="minorEastAsia" w:cstheme="minorBidi"/>
          <w:i/>
          <w:iCs/>
          <w:noProof/>
          <w:sz w:val="22"/>
          <w:szCs w:val="22"/>
          <w:rtl/>
        </w:rPr>
      </w:pPr>
      <w:r>
        <w:rPr>
          <w:noProof/>
          <w:rtl/>
        </w:rPr>
        <w:t>קושית האבי עזרי על הרא"ש דדין נהפך ל"מ לעיסת אורז</w:t>
      </w:r>
    </w:p>
    <w:p w:rsidR="004D1C5B" w:rsidRDefault="004D1C5B" w:rsidP="004D1C5B">
      <w:pPr>
        <w:pStyle w:val="aff2"/>
        <w:numPr>
          <w:ilvl w:val="0"/>
          <w:numId w:val="3"/>
        </w:numPr>
        <w:rPr>
          <w:rFonts w:eastAsiaTheme="minorEastAsia" w:cstheme="minorBidi"/>
          <w:sz w:val="22"/>
          <w:szCs w:val="22"/>
          <w:rtl/>
        </w:rPr>
      </w:pPr>
      <w:r>
        <w:rPr>
          <w:rtl/>
        </w:rPr>
        <w:t>קושית האבי עזרי על הרא"ש דהיאך מהני דין נהפך שהוא לענין איסור לדין מצה וחלה</w:t>
      </w:r>
    </w:p>
    <w:p w:rsidR="004D1C5B" w:rsidRDefault="004D1C5B" w:rsidP="004D1C5B">
      <w:pPr>
        <w:pStyle w:val="aff4"/>
        <w:rPr>
          <w:rFonts w:eastAsiaTheme="minorEastAsia" w:cstheme="minorBidi"/>
          <w:i/>
          <w:iCs/>
          <w:noProof/>
          <w:sz w:val="22"/>
          <w:szCs w:val="22"/>
          <w:rtl/>
        </w:rPr>
      </w:pPr>
      <w:r>
        <w:rPr>
          <w:noProof/>
          <w:rtl/>
        </w:rPr>
        <w:t>דברי הקה"י בגדר דין נהפך</w:t>
      </w:r>
    </w:p>
    <w:p w:rsidR="004D1C5B" w:rsidRDefault="004D1C5B" w:rsidP="004D1C5B">
      <w:pPr>
        <w:pStyle w:val="aff2"/>
        <w:numPr>
          <w:ilvl w:val="0"/>
          <w:numId w:val="3"/>
        </w:numPr>
        <w:rPr>
          <w:rFonts w:eastAsiaTheme="minorEastAsia" w:cstheme="minorBidi"/>
          <w:sz w:val="22"/>
          <w:szCs w:val="22"/>
          <w:rtl/>
        </w:rPr>
      </w:pPr>
      <w:r>
        <w:rPr>
          <w:rtl/>
        </w:rPr>
        <w:t>קושית הקה"י דבגמ' בזבחים מוכח דההיתר לא נהפך לאיסור</w:t>
      </w:r>
    </w:p>
    <w:p w:rsidR="004D1C5B" w:rsidRDefault="004D1C5B" w:rsidP="004D1C5B">
      <w:pPr>
        <w:pStyle w:val="aff2"/>
        <w:numPr>
          <w:ilvl w:val="0"/>
          <w:numId w:val="3"/>
        </w:numPr>
        <w:rPr>
          <w:rFonts w:eastAsiaTheme="minorEastAsia" w:cstheme="minorBidi"/>
          <w:sz w:val="22"/>
          <w:szCs w:val="22"/>
          <w:rtl/>
        </w:rPr>
      </w:pPr>
      <w:r>
        <w:rPr>
          <w:rtl/>
        </w:rPr>
        <w:t>דברי הקה"י דאפש"ל דדין נהפך נאמר רק לענין איסור אך לא נעשה ההיתר לפסול לענין קדשים</w:t>
      </w:r>
    </w:p>
    <w:p w:rsidR="00072B83" w:rsidRDefault="004D1C5B" w:rsidP="004D1C5B">
      <w:pPr>
        <w:pStyle w:val="aff2"/>
        <w:rPr>
          <w:rtl/>
        </w:rPr>
        <w:sectPr w:rsidR="00072B83" w:rsidSect="00A639F8">
          <w:type w:val="continuous"/>
          <w:pgSz w:w="11906" w:h="16838"/>
          <w:pgMar w:top="720" w:right="720" w:bottom="720" w:left="720" w:header="283" w:footer="283" w:gutter="0"/>
          <w:cols w:num="2" w:space="113"/>
          <w:bidi/>
          <w:rtlGutter/>
          <w:docGrid w:linePitch="299"/>
        </w:sectPr>
      </w:pPr>
      <w:r>
        <w:rPr>
          <w:rtl/>
        </w:rPr>
        <w:t>דברי הקה"י דכיון דמדין נהפך האורז חשיב כחיטים לענין מצה משמע דנהפך לגמרי כמו האיסור</w:t>
      </w:r>
    </w:p>
    <w:p w:rsidR="00856AF4" w:rsidRPr="00856AF4" w:rsidRDefault="00856AF4" w:rsidP="00E669F8">
      <w:pPr>
        <w:pStyle w:val="afd"/>
        <w:rPr>
          <w:rFonts w:eastAsiaTheme="minorEastAsia" w:cstheme="minorBidi"/>
          <w:szCs w:val="22"/>
          <w:rtl/>
        </w:rPr>
        <w:sectPr w:rsidR="00856AF4" w:rsidRPr="00856AF4" w:rsidSect="007C6A7B">
          <w:footerReference w:type="default" r:id="rId64"/>
          <w:type w:val="continuous"/>
          <w:pgSz w:w="11906" w:h="16838"/>
          <w:pgMar w:top="720" w:right="720" w:bottom="720" w:left="720" w:header="283" w:footer="283" w:gutter="0"/>
          <w:cols w:num="2" w:space="113"/>
          <w:bidi/>
          <w:rtlGutter/>
          <w:docGrid w:linePitch="299"/>
        </w:sectPr>
      </w:pPr>
    </w:p>
    <w:p w:rsidR="00F34A57" w:rsidRDefault="00F34A57" w:rsidP="00E669F8">
      <w:pPr>
        <w:pStyle w:val="afd"/>
        <w:rPr>
          <w:rtl/>
        </w:rPr>
      </w:pPr>
      <w:r>
        <w:rPr>
          <w:rtl/>
        </w:rPr>
        <w:lastRenderedPageBreak/>
        <w:fldChar w:fldCharType="end"/>
      </w:r>
      <w:bookmarkStart w:id="6509" w:name="_Toc13773274"/>
      <w:bookmarkStart w:id="6510" w:name="_Toc13952581"/>
      <w:bookmarkStart w:id="6511" w:name="_Toc14089930"/>
      <w:bookmarkStart w:id="6512" w:name="_Toc14109721"/>
      <w:bookmarkStart w:id="6513" w:name="_Toc14120085"/>
      <w:bookmarkStart w:id="6514" w:name="_Toc14122260"/>
      <w:bookmarkStart w:id="6515" w:name="_Toc14196212"/>
      <w:bookmarkStart w:id="6516" w:name="_Toc14208775"/>
      <w:bookmarkStart w:id="6517" w:name="_Toc14248868"/>
      <w:bookmarkStart w:id="6518" w:name="_Toc14257374"/>
      <w:r>
        <w:rPr>
          <w:rFonts w:hint="cs"/>
          <w:rtl/>
        </w:rPr>
        <w:t>מראי מקומות וביאורים</w:t>
      </w:r>
      <w:bookmarkEnd w:id="6509"/>
      <w:bookmarkEnd w:id="6510"/>
      <w:bookmarkEnd w:id="6511"/>
      <w:bookmarkEnd w:id="6512"/>
      <w:bookmarkEnd w:id="6513"/>
      <w:bookmarkEnd w:id="6514"/>
      <w:bookmarkEnd w:id="6515"/>
      <w:bookmarkEnd w:id="6516"/>
      <w:bookmarkEnd w:id="6517"/>
      <w:bookmarkEnd w:id="6518"/>
    </w:p>
    <w:p w:rsidR="00F34A57" w:rsidRPr="0065105E" w:rsidRDefault="00F34A57" w:rsidP="00F34A57">
      <w:pPr>
        <w:pStyle w:val="2"/>
        <w:keepNext w:val="0"/>
        <w:keepLines w:val="0"/>
        <w:bidi w:val="0"/>
        <w:rPr>
          <w:rFonts w:asciiTheme="minorHAnsi" w:hAnsiTheme="minorHAnsi"/>
          <w:bCs/>
          <w:sz w:val="18"/>
          <w:szCs w:val="28"/>
          <w:rtl/>
        </w:rPr>
        <w:sectPr w:rsidR="00F34A57" w:rsidRPr="0065105E" w:rsidSect="00072B83">
          <w:pgSz w:w="11906" w:h="16838"/>
          <w:pgMar w:top="720" w:right="720" w:bottom="720" w:left="720" w:header="283" w:footer="283" w:gutter="0"/>
          <w:cols w:space="720"/>
          <w:bidi/>
          <w:rtlGutter/>
          <w:docGrid w:linePitch="299"/>
        </w:sectPr>
      </w:pPr>
    </w:p>
    <w:p w:rsidR="00F34A57" w:rsidRDefault="00F34A57" w:rsidP="00E669F8">
      <w:pPr>
        <w:pStyle w:val="afd"/>
        <w:rPr>
          <w:rtl/>
        </w:rPr>
      </w:pPr>
      <w:bookmarkStart w:id="6519" w:name="_Toc14109722"/>
      <w:bookmarkStart w:id="6520" w:name="_Toc14120086"/>
      <w:bookmarkStart w:id="6521" w:name="_Toc14122261"/>
      <w:bookmarkStart w:id="6522" w:name="_Toc14196213"/>
      <w:bookmarkStart w:id="6523" w:name="_Toc14208776"/>
      <w:bookmarkStart w:id="6524" w:name="_Toc14248869"/>
      <w:bookmarkStart w:id="6525" w:name="_Toc14257375"/>
      <w:r>
        <w:rPr>
          <w:rFonts w:hint="cs"/>
          <w:rtl/>
        </w:rPr>
        <w:t>דעת רש"י דלמ"ד טע"כ דאו' אמרינן נהפך</w:t>
      </w:r>
      <w:bookmarkEnd w:id="6519"/>
      <w:bookmarkEnd w:id="6520"/>
      <w:bookmarkEnd w:id="6521"/>
      <w:bookmarkEnd w:id="6522"/>
      <w:bookmarkEnd w:id="6523"/>
      <w:bookmarkEnd w:id="6524"/>
      <w:bookmarkEnd w:id="6525"/>
    </w:p>
    <w:p w:rsidR="00F34A57" w:rsidRDefault="00F34A57" w:rsidP="00F34A57">
      <w:pPr>
        <w:pStyle w:val="1"/>
        <w:rPr>
          <w:rtl/>
        </w:rPr>
      </w:pPr>
      <w:bookmarkStart w:id="6526" w:name="_Toc13773275"/>
      <w:bookmarkStart w:id="6527" w:name="_Toc13952582"/>
      <w:bookmarkStart w:id="6528" w:name="_Toc14089931"/>
      <w:bookmarkStart w:id="6529" w:name="_Toc14109723"/>
      <w:bookmarkStart w:id="6530" w:name="_Toc14120087"/>
      <w:bookmarkStart w:id="6531" w:name="_Toc14122262"/>
      <w:bookmarkStart w:id="6532" w:name="_Toc14196214"/>
      <w:bookmarkStart w:id="6533" w:name="_Toc14208777"/>
      <w:bookmarkStart w:id="6534" w:name="_Toc14248870"/>
      <w:bookmarkStart w:id="6535" w:name="_Toc14257376"/>
      <w:r w:rsidRPr="007E0C12">
        <w:rPr>
          <w:rFonts w:hint="cs"/>
          <w:rtl/>
        </w:rPr>
        <w:t xml:space="preserve">דברי רש"י </w:t>
      </w:r>
      <w:bookmarkEnd w:id="6526"/>
      <w:bookmarkEnd w:id="6527"/>
      <w:bookmarkEnd w:id="6528"/>
      <w:r>
        <w:rPr>
          <w:rFonts w:hint="cs"/>
          <w:rtl/>
        </w:rPr>
        <w:t>דכשפשט הטעם בכל ההיתר נעשה איסור מדין טע"כ</w:t>
      </w:r>
      <w:bookmarkEnd w:id="6529"/>
      <w:bookmarkEnd w:id="6530"/>
      <w:bookmarkEnd w:id="6531"/>
      <w:bookmarkEnd w:id="6532"/>
      <w:bookmarkEnd w:id="6533"/>
      <w:bookmarkEnd w:id="6534"/>
      <w:bookmarkEnd w:id="6535"/>
    </w:p>
    <w:p w:rsidR="00F34A57" w:rsidRPr="00D55B0B" w:rsidRDefault="00F34A57" w:rsidP="00F34A57">
      <w:pPr>
        <w:pStyle w:val="a2"/>
        <w:rPr>
          <w:rtl/>
        </w:rPr>
      </w:pPr>
      <w:bookmarkStart w:id="6536" w:name="_Toc14109724"/>
      <w:bookmarkStart w:id="6537" w:name="_Toc14120088"/>
      <w:bookmarkStart w:id="6538" w:name="_Toc14122263"/>
      <w:bookmarkStart w:id="6539" w:name="_Toc14196215"/>
      <w:bookmarkStart w:id="6540" w:name="_Toc14208778"/>
      <w:bookmarkStart w:id="6541" w:name="_Toc14248871"/>
      <w:bookmarkStart w:id="6542" w:name="_Toc14257377"/>
      <w:r>
        <w:rPr>
          <w:rFonts w:hint="cs"/>
          <w:rtl/>
        </w:rPr>
        <w:t>דברי רש"י בפסחים דדיןהיתר מצטרף לאיסור לר"ע הוא בשרה חלק מהפת ביין דהפת מצטרפת ליין</w:t>
      </w:r>
      <w:bookmarkEnd w:id="6536"/>
      <w:bookmarkEnd w:id="6537"/>
      <w:bookmarkEnd w:id="6538"/>
      <w:bookmarkEnd w:id="6539"/>
      <w:bookmarkEnd w:id="6540"/>
      <w:bookmarkEnd w:id="6541"/>
      <w:bookmarkEnd w:id="6542"/>
    </w:p>
    <w:p w:rsidR="00F34A57" w:rsidRDefault="00F34A57" w:rsidP="009F44AF">
      <w:pPr>
        <w:pStyle w:val="a"/>
        <w:numPr>
          <w:ilvl w:val="0"/>
          <w:numId w:val="20"/>
        </w:numPr>
        <w:rPr>
          <w:rtl/>
        </w:rPr>
      </w:pPr>
      <w:bookmarkStart w:id="6543" w:name="_Ref14427955"/>
      <w:r>
        <w:rPr>
          <w:rFonts w:hint="cs"/>
          <w:rtl/>
        </w:rPr>
        <w:t>כתב</w:t>
      </w:r>
      <w:r w:rsidRPr="007E0C12">
        <w:rPr>
          <w:rFonts w:hint="cs"/>
          <w:rtl/>
        </w:rPr>
        <w:t xml:space="preserve"> </w:t>
      </w:r>
      <w:r w:rsidRPr="007E0C12">
        <w:rPr>
          <w:rStyle w:val="af8"/>
          <w:rFonts w:hint="cs"/>
          <w:rtl/>
        </w:rPr>
        <w:t>רש"י בפסחים</w:t>
      </w:r>
      <w:r w:rsidRPr="007E0C12">
        <w:rPr>
          <w:rFonts w:hint="cs"/>
          <w:rtl/>
        </w:rPr>
        <w:t xml:space="preserve"> </w:t>
      </w:r>
      <w:r w:rsidRPr="009F44AF">
        <w:rPr>
          <w:rStyle w:val="af6"/>
          <w:rFonts w:eastAsia="Guttman Hodes" w:hint="cs"/>
          <w:rtl/>
        </w:rPr>
        <w:t>(מד: ד"ה מפת)</w:t>
      </w:r>
      <w:r w:rsidRPr="007E0C12">
        <w:rPr>
          <w:rFonts w:hint="cs"/>
          <w:rtl/>
        </w:rPr>
        <w:t xml:space="preserve"> דלדעת ר"ע דאמרינן דהיתר מצטרף לאיסור, השורה חלק מפת בתוך יין, ואכל נזיר כזית מהפת והיין חייב, דאף שלא שרה את כל הפת ביין היא מצטרפת לאיסור, ולרבנן דלית להו היתר מצטרף לאיסור פטור</w:t>
      </w:r>
      <w:r>
        <w:rPr>
          <w:rFonts w:hint="cs"/>
          <w:rtl/>
        </w:rPr>
        <w:t>.</w:t>
      </w:r>
      <w:bookmarkEnd w:id="6543"/>
    </w:p>
    <w:p w:rsidR="00F34A57" w:rsidRPr="007E0C12" w:rsidRDefault="00F34A57" w:rsidP="00F34A57">
      <w:pPr>
        <w:pStyle w:val="a2"/>
        <w:rPr>
          <w:rtl/>
        </w:rPr>
      </w:pPr>
      <w:bookmarkStart w:id="6544" w:name="_Toc13773276"/>
      <w:bookmarkStart w:id="6545" w:name="_Toc13952583"/>
      <w:bookmarkStart w:id="6546" w:name="_Toc14089932"/>
      <w:bookmarkStart w:id="6547" w:name="_Toc14109725"/>
      <w:bookmarkStart w:id="6548" w:name="_Toc14120089"/>
      <w:bookmarkStart w:id="6549" w:name="_Toc14122264"/>
      <w:bookmarkStart w:id="6550" w:name="_Toc14196216"/>
      <w:bookmarkStart w:id="6551" w:name="_Toc14208779"/>
      <w:bookmarkStart w:id="6552" w:name="_Toc14248872"/>
      <w:bookmarkStart w:id="6553" w:name="_Toc14257378"/>
      <w:r w:rsidRPr="007E0C12">
        <w:rPr>
          <w:rFonts w:hint="cs"/>
          <w:rtl/>
        </w:rPr>
        <w:t xml:space="preserve">דברי רש"י בפסחים דלמ"ד דטעם כעיקר דאו' כל שפשט </w:t>
      </w:r>
      <w:r>
        <w:rPr>
          <w:rFonts w:hint="cs"/>
          <w:rtl/>
        </w:rPr>
        <w:t>היין בכל הפת</w:t>
      </w:r>
      <w:r w:rsidRPr="007E0C12">
        <w:rPr>
          <w:rFonts w:hint="cs"/>
          <w:rtl/>
        </w:rPr>
        <w:t xml:space="preserve"> </w:t>
      </w:r>
      <w:bookmarkEnd w:id="6544"/>
      <w:bookmarkEnd w:id="6545"/>
      <w:bookmarkEnd w:id="6546"/>
      <w:r>
        <w:rPr>
          <w:rFonts w:hint="cs"/>
          <w:rtl/>
        </w:rPr>
        <w:t>נעשית כל הפת כגוף האיסור</w:t>
      </w:r>
      <w:bookmarkEnd w:id="6547"/>
      <w:bookmarkEnd w:id="6548"/>
      <w:bookmarkEnd w:id="6549"/>
      <w:bookmarkEnd w:id="6550"/>
      <w:bookmarkEnd w:id="6551"/>
      <w:bookmarkEnd w:id="6552"/>
      <w:bookmarkEnd w:id="6553"/>
      <w:r w:rsidRPr="007E0C12">
        <w:rPr>
          <w:rFonts w:hint="cs"/>
          <w:rtl/>
        </w:rPr>
        <w:t xml:space="preserve"> </w:t>
      </w:r>
    </w:p>
    <w:p w:rsidR="00F34A57" w:rsidRPr="00507C4C" w:rsidRDefault="00F34A57" w:rsidP="009F44AF">
      <w:pPr>
        <w:pStyle w:val="a"/>
        <w:rPr>
          <w:rStyle w:val="afa"/>
          <w:rtl/>
        </w:rPr>
      </w:pPr>
      <w:bookmarkStart w:id="6554" w:name="_Ref14106142"/>
      <w:r w:rsidRPr="007E0C12">
        <w:rPr>
          <w:rFonts w:hint="cs"/>
          <w:rtl/>
        </w:rPr>
        <w:t xml:space="preserve">אך כתב </w:t>
      </w:r>
      <w:r w:rsidRPr="007E0C12">
        <w:rPr>
          <w:rStyle w:val="af8"/>
          <w:rFonts w:hint="cs"/>
          <w:rtl/>
        </w:rPr>
        <w:t>רש"י בפסחים</w:t>
      </w:r>
      <w:r w:rsidRPr="007E0C12">
        <w:rPr>
          <w:rFonts w:hint="cs"/>
          <w:rtl/>
        </w:rPr>
        <w:t xml:space="preserve"> דבמקום שפשט הטעם של היין בכל הפת אף לרבנן חייב, דס"ל לרבנן דטעם כעיקר דאו' כדילפינן ממשרת, וא"כ נעשית כל הפת כגוף האיסור, וחייב על כל הפת.</w:t>
      </w:r>
      <w:r>
        <w:rPr>
          <w:rFonts w:hint="cs"/>
          <w:rtl/>
        </w:rPr>
        <w:t xml:space="preserve"> </w:t>
      </w:r>
      <w:r w:rsidRPr="00507C4C">
        <w:rPr>
          <w:rStyle w:val="afa"/>
          <w:rFonts w:hint="cs"/>
          <w:rtl/>
        </w:rPr>
        <w:t xml:space="preserve">[אמנם להלכה פסק </w:t>
      </w:r>
      <w:r w:rsidRPr="00507C4C">
        <w:rPr>
          <w:rStyle w:val="affa"/>
          <w:rFonts w:hint="cs"/>
          <w:rtl/>
        </w:rPr>
        <w:t>רש"י בסוגיין</w:t>
      </w:r>
      <w:r w:rsidRPr="00507C4C">
        <w:rPr>
          <w:rStyle w:val="afa"/>
          <w:rFonts w:hint="cs"/>
          <w:rtl/>
        </w:rPr>
        <w:t xml:space="preserve"> </w:t>
      </w:r>
      <w:r w:rsidRPr="00507C4C">
        <w:rPr>
          <w:rStyle w:val="aff6"/>
          <w:rFonts w:hint="cs"/>
          <w:rtl/>
        </w:rPr>
        <w:t>(ד"ה רבא)</w:t>
      </w:r>
      <w:r w:rsidRPr="00507C4C">
        <w:rPr>
          <w:rStyle w:val="afa"/>
          <w:rFonts w:hint="cs"/>
          <w:rtl/>
        </w:rPr>
        <w:t xml:space="preserve"> כרבא וריו"ח דטעם כעיקר דרבנן, </w:t>
      </w:r>
      <w:r>
        <w:rPr>
          <w:rStyle w:val="afa"/>
          <w:rFonts w:hint="cs"/>
          <w:rtl/>
        </w:rPr>
        <w:t>ועיקר ה</w:t>
      </w:r>
      <w:r w:rsidRPr="00507C4C">
        <w:rPr>
          <w:rStyle w:val="afa"/>
          <w:rFonts w:hint="cs"/>
          <w:rtl/>
        </w:rPr>
        <w:t xml:space="preserve">נ"מ </w:t>
      </w:r>
      <w:r>
        <w:rPr>
          <w:rStyle w:val="afa"/>
          <w:rFonts w:hint="cs"/>
          <w:rtl/>
        </w:rPr>
        <w:t>ב</w:t>
      </w:r>
      <w:r w:rsidRPr="00507C4C">
        <w:rPr>
          <w:rStyle w:val="afa"/>
          <w:rFonts w:hint="cs"/>
          <w:rtl/>
        </w:rPr>
        <w:t xml:space="preserve">דין נהפך הוא </w:t>
      </w:r>
      <w:r>
        <w:rPr>
          <w:rStyle w:val="afa"/>
          <w:rFonts w:hint="cs"/>
          <w:rtl/>
        </w:rPr>
        <w:t xml:space="preserve">למ"ד טע"כ </w:t>
      </w:r>
      <w:r w:rsidRPr="00507C4C">
        <w:rPr>
          <w:rStyle w:val="afa"/>
          <w:rFonts w:hint="cs"/>
          <w:rtl/>
        </w:rPr>
        <w:t>דאו'</w:t>
      </w:r>
      <w:r>
        <w:rPr>
          <w:rStyle w:val="afa"/>
          <w:rFonts w:hint="cs"/>
          <w:rtl/>
        </w:rPr>
        <w:t xml:space="preserve"> </w:t>
      </w:r>
      <w:r w:rsidRPr="00507C4C">
        <w:rPr>
          <w:rStyle w:val="afa"/>
          <w:rFonts w:hint="cs"/>
          <w:rtl/>
        </w:rPr>
        <w:t>ל</w:t>
      </w:r>
      <w:r>
        <w:rPr>
          <w:rStyle w:val="afa"/>
          <w:rFonts w:hint="cs"/>
          <w:rtl/>
        </w:rPr>
        <w:t xml:space="preserve">חיוב </w:t>
      </w:r>
      <w:r w:rsidRPr="00514EFF">
        <w:rPr>
          <w:rStyle w:val="afa"/>
          <w:rFonts w:hint="cs"/>
          <w:rtl/>
        </w:rPr>
        <w:t>מלקות, וע"ע  בדברי</w:t>
      </w:r>
      <w:r>
        <w:rPr>
          <w:rFonts w:hint="cs"/>
          <w:rtl/>
        </w:rPr>
        <w:t xml:space="preserve"> </w:t>
      </w:r>
      <w:r w:rsidRPr="00514EFF">
        <w:rPr>
          <w:rStyle w:val="affa"/>
          <w:rFonts w:hint="cs"/>
          <w:rtl/>
        </w:rPr>
        <w:t>רש"י בפסחים</w:t>
      </w:r>
      <w:r>
        <w:rPr>
          <w:rFonts w:hint="cs"/>
          <w:rtl/>
        </w:rPr>
        <w:t xml:space="preserve"> </w:t>
      </w:r>
      <w:r w:rsidRPr="00514EFF">
        <w:rPr>
          <w:rStyle w:val="aff6"/>
          <w:rFonts w:hint="cs"/>
          <w:rtl/>
        </w:rPr>
        <w:t>(מה. ד"ה ור"ע)</w:t>
      </w:r>
      <w:r>
        <w:rPr>
          <w:rStyle w:val="afa"/>
          <w:rFonts w:hint="cs"/>
          <w:rtl/>
        </w:rPr>
        <w:t xml:space="preserve">, ועי' בדברי </w:t>
      </w:r>
      <w:r w:rsidRPr="00C01BC6">
        <w:rPr>
          <w:rStyle w:val="affa"/>
          <w:rFonts w:hint="cs"/>
          <w:rtl/>
        </w:rPr>
        <w:t>הרמב"ן</w:t>
      </w:r>
      <w:r>
        <w:rPr>
          <w:rStyle w:val="afa"/>
          <w:rFonts w:hint="cs"/>
          <w:rtl/>
        </w:rPr>
        <w:t xml:space="preserve"> </w:t>
      </w:r>
      <w:r w:rsidRPr="00C01BC6">
        <w:rPr>
          <w:rStyle w:val="aff6"/>
          <w:rFonts w:hint="cs"/>
          <w:rtl/>
        </w:rPr>
        <w:t xml:space="preserve">(ד"ה ור"ת, הובא לעיל סימן ח' אות </w:t>
      </w:r>
      <w:r w:rsidR="00DE2B01">
        <w:rPr>
          <w:rStyle w:val="aff6"/>
          <w:rtl/>
        </w:rPr>
        <w:fldChar w:fldCharType="begin"/>
      </w:r>
      <w:r w:rsidR="00DE2B01">
        <w:rPr>
          <w:rStyle w:val="aff6"/>
          <w:rtl/>
        </w:rPr>
        <w:instrText xml:space="preserve"> </w:instrText>
      </w:r>
      <w:r w:rsidR="00DE2B01">
        <w:rPr>
          <w:rStyle w:val="aff6"/>
          <w:rFonts w:hint="cs"/>
        </w:rPr>
        <w:instrText>REF</w:instrText>
      </w:r>
      <w:r w:rsidR="00DE2B01">
        <w:rPr>
          <w:rStyle w:val="aff6"/>
          <w:rFonts w:hint="cs"/>
          <w:rtl/>
        </w:rPr>
        <w:instrText xml:space="preserve"> _</w:instrText>
      </w:r>
      <w:r w:rsidR="00DE2B01">
        <w:rPr>
          <w:rStyle w:val="aff6"/>
          <w:rFonts w:hint="cs"/>
        </w:rPr>
        <w:instrText>Ref12862288 \r \h</w:instrText>
      </w:r>
      <w:r w:rsidR="00DE2B01">
        <w:rPr>
          <w:rStyle w:val="aff6"/>
          <w:rtl/>
        </w:rPr>
        <w:instrText xml:space="preserve"> </w:instrText>
      </w:r>
      <w:r w:rsidR="00DE2B01">
        <w:rPr>
          <w:rStyle w:val="aff6"/>
          <w:rtl/>
        </w:rPr>
      </w:r>
      <w:r w:rsidR="00DE2B01">
        <w:rPr>
          <w:rStyle w:val="aff6"/>
          <w:rtl/>
        </w:rPr>
        <w:fldChar w:fldCharType="separate"/>
      </w:r>
      <w:r w:rsidR="004D1C5B">
        <w:rPr>
          <w:rStyle w:val="aff6"/>
          <w:cs/>
        </w:rPr>
        <w:t>‎</w:t>
      </w:r>
      <w:r w:rsidR="004D1C5B">
        <w:rPr>
          <w:rStyle w:val="aff6"/>
          <w:rtl/>
        </w:rPr>
        <w:t>לב)</w:t>
      </w:r>
      <w:r w:rsidR="00DE2B01">
        <w:rPr>
          <w:rStyle w:val="aff6"/>
          <w:rtl/>
        </w:rPr>
        <w:fldChar w:fldCharType="end"/>
      </w:r>
      <w:r>
        <w:rPr>
          <w:rStyle w:val="afa"/>
          <w:rFonts w:hint="cs"/>
          <w:rtl/>
        </w:rPr>
        <w:t xml:space="preserve"> דכתב בדעת </w:t>
      </w:r>
      <w:r w:rsidRPr="00C01BC6">
        <w:rPr>
          <w:rStyle w:val="affa"/>
          <w:rFonts w:hint="cs"/>
          <w:rtl/>
        </w:rPr>
        <w:t>רש"י</w:t>
      </w:r>
      <w:r>
        <w:rPr>
          <w:rStyle w:val="afa"/>
          <w:rFonts w:hint="cs"/>
          <w:rtl/>
        </w:rPr>
        <w:t xml:space="preserve"> דה</w:t>
      </w:r>
      <w:r w:rsidR="00715158">
        <w:rPr>
          <w:rStyle w:val="afa"/>
          <w:rFonts w:hint="cs"/>
          <w:rtl/>
        </w:rPr>
        <w:t>סוגית</w:t>
      </w:r>
      <w:r>
        <w:rPr>
          <w:rStyle w:val="afa"/>
          <w:rFonts w:hint="cs"/>
          <w:rtl/>
        </w:rPr>
        <w:t xml:space="preserve"> בפסחים היא אליבא דאביי, דס"ל דטעם כעיקר דאו'</w:t>
      </w:r>
      <w:r w:rsidRPr="00507C4C">
        <w:rPr>
          <w:rStyle w:val="afa"/>
          <w:rFonts w:hint="cs"/>
          <w:rtl/>
        </w:rPr>
        <w:t>].</w:t>
      </w:r>
      <w:bookmarkEnd w:id="6554"/>
    </w:p>
    <w:p w:rsidR="00F34A57" w:rsidRDefault="00F34A57" w:rsidP="00F34A57">
      <w:pPr>
        <w:pStyle w:val="1"/>
        <w:rPr>
          <w:rtl/>
        </w:rPr>
      </w:pPr>
      <w:bookmarkStart w:id="6555" w:name="_Toc14109726"/>
      <w:bookmarkStart w:id="6556" w:name="_Toc14120090"/>
      <w:bookmarkStart w:id="6557" w:name="_Toc14122265"/>
      <w:bookmarkStart w:id="6558" w:name="_Toc14196217"/>
      <w:bookmarkStart w:id="6559" w:name="_Toc14208780"/>
      <w:bookmarkStart w:id="6560" w:name="_Toc14248873"/>
      <w:bookmarkStart w:id="6561" w:name="_Toc14257379"/>
      <w:r>
        <w:rPr>
          <w:rFonts w:hint="cs"/>
          <w:rtl/>
        </w:rPr>
        <w:t>ביאור הגרעק"א והנחל"ד ב</w:t>
      </w:r>
      <w:r w:rsidRPr="007E0C12">
        <w:rPr>
          <w:rFonts w:hint="cs"/>
          <w:rtl/>
        </w:rPr>
        <w:t>רש"י ד</w:t>
      </w:r>
      <w:r>
        <w:rPr>
          <w:rFonts w:hint="cs"/>
          <w:rtl/>
        </w:rPr>
        <w:t xml:space="preserve">בטע"כ </w:t>
      </w:r>
      <w:r w:rsidRPr="007E0C12">
        <w:rPr>
          <w:rFonts w:hint="cs"/>
          <w:rtl/>
        </w:rPr>
        <w:t>ההיתר נהפך לאיסור</w:t>
      </w:r>
      <w:bookmarkEnd w:id="6555"/>
      <w:bookmarkEnd w:id="6556"/>
      <w:bookmarkEnd w:id="6557"/>
      <w:bookmarkEnd w:id="6558"/>
      <w:bookmarkEnd w:id="6559"/>
      <w:bookmarkEnd w:id="6560"/>
      <w:bookmarkEnd w:id="6561"/>
    </w:p>
    <w:p w:rsidR="00F34A57" w:rsidRDefault="00F34A57" w:rsidP="00F34A57">
      <w:pPr>
        <w:pStyle w:val="a2"/>
        <w:rPr>
          <w:rtl/>
        </w:rPr>
      </w:pPr>
      <w:bookmarkStart w:id="6562" w:name="_Toc14109727"/>
      <w:bookmarkStart w:id="6563" w:name="_Toc14120091"/>
      <w:bookmarkStart w:id="6564" w:name="_Toc14122266"/>
      <w:bookmarkStart w:id="6565" w:name="_Toc14196218"/>
      <w:bookmarkStart w:id="6566" w:name="_Toc14208781"/>
      <w:bookmarkStart w:id="6567" w:name="_Toc14248874"/>
      <w:bookmarkStart w:id="6568" w:name="_Toc14257380"/>
      <w:r>
        <w:rPr>
          <w:rFonts w:hint="cs"/>
          <w:rtl/>
        </w:rPr>
        <w:t>ביאור הגרעק"א ברש"י דבטע"כ נהפך ההיתר לאיסור וחייב בכזית מההיתר אף שאין כזית מהאיסור</w:t>
      </w:r>
      <w:bookmarkEnd w:id="6562"/>
      <w:bookmarkEnd w:id="6563"/>
      <w:bookmarkEnd w:id="6564"/>
      <w:bookmarkEnd w:id="6565"/>
      <w:bookmarkEnd w:id="6566"/>
      <w:bookmarkEnd w:id="6567"/>
      <w:bookmarkEnd w:id="6568"/>
    </w:p>
    <w:p w:rsidR="00F34A57" w:rsidRPr="006036A5" w:rsidRDefault="00F34A57" w:rsidP="009F44AF">
      <w:pPr>
        <w:pStyle w:val="a"/>
        <w:rPr>
          <w:rStyle w:val="afa"/>
          <w:rtl/>
        </w:rPr>
      </w:pPr>
      <w:r>
        <w:rPr>
          <w:rFonts w:hint="cs"/>
          <w:rtl/>
        </w:rPr>
        <w:t xml:space="preserve">וכתב </w:t>
      </w:r>
      <w:r w:rsidRPr="009E5B74">
        <w:rPr>
          <w:rStyle w:val="af8"/>
          <w:rFonts w:hint="cs"/>
          <w:rtl/>
        </w:rPr>
        <w:t xml:space="preserve">הגרעק"א </w:t>
      </w:r>
      <w:r w:rsidRPr="009E5B74">
        <w:rPr>
          <w:rStyle w:val="af6"/>
          <w:rFonts w:eastAsia="Guttman Hodes" w:hint="cs"/>
          <w:rtl/>
        </w:rPr>
        <w:t>(לעיל צח. ד"ה ההוא, ובפסחים מד. על רש"י ד"ה מפת)</w:t>
      </w:r>
      <w:r>
        <w:rPr>
          <w:rFonts w:hint="cs"/>
          <w:rtl/>
        </w:rPr>
        <w:t xml:space="preserve"> דמבואר מדברי </w:t>
      </w:r>
      <w:r w:rsidRPr="00E404C0">
        <w:rPr>
          <w:rStyle w:val="af8"/>
          <w:rFonts w:hint="cs"/>
          <w:rtl/>
        </w:rPr>
        <w:t>רש"י בפסחים</w:t>
      </w:r>
      <w:r>
        <w:rPr>
          <w:rFonts w:hint="cs"/>
          <w:rtl/>
        </w:rPr>
        <w:t xml:space="preserve"> דבטעם כעיקר נהפך ההיתר לאיסור, ואף שאין בו כזית טעם, מ"מ גוף ההיתר עצמו נעשה לאיסור, כיון שיש בתוך ההיתר את טעם האיסור, ואף אם כל הטעם הבלוע הוא רק חצי זית, מ"מ כיון שאוכל כזית מפת שבלוע בו חצי זית של יין חייב, דההיתר נהפך לאיסור. </w:t>
      </w:r>
      <w:r w:rsidRPr="006036A5">
        <w:rPr>
          <w:rStyle w:val="afa"/>
          <w:rFonts w:hint="cs"/>
          <w:rtl/>
        </w:rPr>
        <w:t xml:space="preserve">[ועי' בדברי </w:t>
      </w:r>
      <w:r w:rsidRPr="006036A5">
        <w:rPr>
          <w:rStyle w:val="affa"/>
          <w:rFonts w:hint="cs"/>
          <w:rtl/>
        </w:rPr>
        <w:t>הקוב"ש בפסחים</w:t>
      </w:r>
      <w:r w:rsidRPr="006036A5">
        <w:rPr>
          <w:rStyle w:val="afa"/>
          <w:rFonts w:hint="cs"/>
          <w:rtl/>
        </w:rPr>
        <w:t xml:space="preserve"> </w:t>
      </w:r>
      <w:r w:rsidR="009A3500">
        <w:rPr>
          <w:rStyle w:val="aff6"/>
          <w:rFonts w:hint="cs"/>
          <w:rtl/>
        </w:rPr>
        <w:t>(אות ק</w:t>
      </w:r>
      <w:r w:rsidRPr="006036A5">
        <w:rPr>
          <w:rStyle w:val="aff6"/>
          <w:rFonts w:hint="cs"/>
          <w:rtl/>
        </w:rPr>
        <w:t>ע</w:t>
      </w:r>
      <w:r w:rsidR="009A3500">
        <w:rPr>
          <w:rStyle w:val="aff6"/>
          <w:rFonts w:hint="cs"/>
          <w:rtl/>
        </w:rPr>
        <w:t>"ד</w:t>
      </w:r>
      <w:r w:rsidRPr="006036A5">
        <w:rPr>
          <w:rStyle w:val="aff6"/>
          <w:rFonts w:hint="cs"/>
          <w:rtl/>
        </w:rPr>
        <w:t>)</w:t>
      </w:r>
      <w:r w:rsidRPr="006036A5">
        <w:rPr>
          <w:rStyle w:val="afa"/>
          <w:rFonts w:hint="cs"/>
          <w:rtl/>
        </w:rPr>
        <w:t xml:space="preserve"> במה שחקר בגדר החיוב בזה].</w:t>
      </w:r>
    </w:p>
    <w:p w:rsidR="00F34A57" w:rsidRDefault="00F34A57" w:rsidP="00F34A57">
      <w:pPr>
        <w:pStyle w:val="a2"/>
        <w:rPr>
          <w:rtl/>
        </w:rPr>
      </w:pPr>
      <w:bookmarkStart w:id="6569" w:name="_Toc14109728"/>
      <w:bookmarkStart w:id="6570" w:name="_Toc14120092"/>
      <w:bookmarkStart w:id="6571" w:name="_Toc14122267"/>
      <w:bookmarkStart w:id="6572" w:name="_Toc14196219"/>
      <w:bookmarkStart w:id="6573" w:name="_Toc14208782"/>
      <w:bookmarkStart w:id="6574" w:name="_Toc14248875"/>
      <w:bookmarkStart w:id="6575" w:name="_Toc14257381"/>
      <w:r>
        <w:rPr>
          <w:rFonts w:hint="cs"/>
          <w:rtl/>
        </w:rPr>
        <w:t>ביאור הנחל"ד ברש"י דבטע"כ נהפך ההיתר לאיסור ולוקה על כל כזית מהתערובת</w:t>
      </w:r>
      <w:bookmarkEnd w:id="6569"/>
      <w:bookmarkEnd w:id="6570"/>
      <w:bookmarkEnd w:id="6571"/>
      <w:bookmarkEnd w:id="6572"/>
      <w:bookmarkEnd w:id="6573"/>
      <w:bookmarkEnd w:id="6574"/>
      <w:bookmarkEnd w:id="6575"/>
    </w:p>
    <w:p w:rsidR="00F34A57" w:rsidRDefault="00F34A57" w:rsidP="009F44AF">
      <w:pPr>
        <w:pStyle w:val="a"/>
        <w:rPr>
          <w:rtl/>
        </w:rPr>
      </w:pPr>
      <w:bookmarkStart w:id="6576" w:name="_Ref14428010"/>
      <w:r>
        <w:rPr>
          <w:rFonts w:hint="cs"/>
          <w:rtl/>
        </w:rPr>
        <w:t>וכ"כ</w:t>
      </w:r>
      <w:r w:rsidRPr="002C78F3">
        <w:rPr>
          <w:rtl/>
        </w:rPr>
        <w:t xml:space="preserve"> </w:t>
      </w:r>
      <w:r w:rsidRPr="0074087A">
        <w:rPr>
          <w:rStyle w:val="af8"/>
          <w:rtl/>
        </w:rPr>
        <w:t>הנחל"ד</w:t>
      </w:r>
      <w:r w:rsidRPr="002C78F3">
        <w:rPr>
          <w:rtl/>
        </w:rPr>
        <w:t xml:space="preserve"> </w:t>
      </w:r>
      <w:r w:rsidRPr="0074087A">
        <w:rPr>
          <w:rStyle w:val="af6"/>
          <w:rFonts w:eastAsia="Guttman Hodes"/>
          <w:rtl/>
        </w:rPr>
        <w:t xml:space="preserve">(פסחים מג:, </w:t>
      </w:r>
      <w:r>
        <w:rPr>
          <w:rStyle w:val="af6"/>
          <w:rFonts w:eastAsia="Guttman Hodes" w:hint="cs"/>
          <w:rtl/>
        </w:rPr>
        <w:t xml:space="preserve">ריש </w:t>
      </w:r>
      <w:r w:rsidRPr="0074087A">
        <w:rPr>
          <w:rStyle w:val="af6"/>
          <w:rFonts w:eastAsia="Guttman Hodes"/>
          <w:rtl/>
        </w:rPr>
        <w:t>קונ' דברי דוד</w:t>
      </w:r>
      <w:r>
        <w:rPr>
          <w:rStyle w:val="af6"/>
          <w:rFonts w:eastAsia="Guttman Hodes" w:hint="cs"/>
          <w:rtl/>
        </w:rPr>
        <w:t xml:space="preserve"> ד"ה שיטת רש"י</w:t>
      </w:r>
      <w:r w:rsidRPr="0074087A">
        <w:rPr>
          <w:rStyle w:val="af6"/>
          <w:rFonts w:eastAsia="Guttman Hodes" w:hint="cs"/>
          <w:rtl/>
        </w:rPr>
        <w:t xml:space="preserve">) </w:t>
      </w:r>
      <w:r>
        <w:rPr>
          <w:rFonts w:hint="cs"/>
          <w:rtl/>
        </w:rPr>
        <w:t xml:space="preserve">דס"ל </w:t>
      </w:r>
      <w:r>
        <w:rPr>
          <w:rStyle w:val="af8"/>
          <w:rFonts w:hint="cs"/>
          <w:rtl/>
        </w:rPr>
        <w:t>ל</w:t>
      </w:r>
      <w:r w:rsidRPr="0074087A">
        <w:rPr>
          <w:rStyle w:val="af8"/>
          <w:rFonts w:hint="cs"/>
          <w:rtl/>
        </w:rPr>
        <w:t>רש"י</w:t>
      </w:r>
      <w:r>
        <w:rPr>
          <w:rStyle w:val="af6"/>
          <w:rFonts w:eastAsia="Guttman Hodes" w:hint="cs"/>
          <w:rtl/>
        </w:rPr>
        <w:t xml:space="preserve"> </w:t>
      </w:r>
      <w:r>
        <w:rPr>
          <w:rFonts w:hint="cs"/>
          <w:rtl/>
        </w:rPr>
        <w:t xml:space="preserve">דהביאור בדין טעם כעיקר הוא דההיתר נהפך לאיסור, ולמ"ד דטעם כעיקר דאו', לוקה על כל כזית וכזית מהתערובת, אף שמעורב בה רק מעט איסור, ולכן הוצרך </w:t>
      </w:r>
      <w:r w:rsidRPr="00C23E8D">
        <w:rPr>
          <w:rStyle w:val="af8"/>
          <w:rFonts w:hint="cs"/>
          <w:rtl/>
        </w:rPr>
        <w:t>רש"י</w:t>
      </w:r>
      <w:r>
        <w:rPr>
          <w:rFonts w:hint="cs"/>
          <w:rtl/>
        </w:rPr>
        <w:t xml:space="preserve"> לומר דדין היתר מצטרף לאיסור שייך רק באופן שהיין לא התפשט בכל הפת.</w:t>
      </w:r>
      <w:r w:rsidRPr="00B65A90">
        <w:rPr>
          <w:rFonts w:hint="cs"/>
          <w:rtl/>
        </w:rPr>
        <w:t xml:space="preserve"> </w:t>
      </w:r>
      <w:r w:rsidRPr="00B65A90">
        <w:rPr>
          <w:rStyle w:val="afa"/>
          <w:rFonts w:hint="cs"/>
          <w:rtl/>
        </w:rPr>
        <w:t xml:space="preserve">[וע"ע בדברי </w:t>
      </w:r>
      <w:r w:rsidRPr="00B65A90">
        <w:rPr>
          <w:rStyle w:val="affa"/>
          <w:rFonts w:hint="cs"/>
          <w:rtl/>
        </w:rPr>
        <w:t>הברוך טעם</w:t>
      </w:r>
      <w:r w:rsidRPr="00B65A90">
        <w:rPr>
          <w:rStyle w:val="afa"/>
          <w:rFonts w:hint="cs"/>
          <w:rtl/>
        </w:rPr>
        <w:t xml:space="preserve"> </w:t>
      </w:r>
      <w:r w:rsidRPr="00B65A90">
        <w:rPr>
          <w:rStyle w:val="aff6"/>
          <w:rFonts w:hint="cs"/>
          <w:rtl/>
        </w:rPr>
        <w:t>(שער התערובות דין שמיני פ"ג אות ג')</w:t>
      </w:r>
      <w:r w:rsidRPr="00B65A90">
        <w:rPr>
          <w:rStyle w:val="afa"/>
          <w:rFonts w:hint="cs"/>
          <w:rtl/>
        </w:rPr>
        <w:t xml:space="preserve"> דכתב דכל דברי </w:t>
      </w:r>
      <w:r w:rsidRPr="00B65A90">
        <w:rPr>
          <w:rStyle w:val="affa"/>
          <w:rFonts w:hint="cs"/>
          <w:rtl/>
        </w:rPr>
        <w:t>רש"י</w:t>
      </w:r>
      <w:r w:rsidRPr="00B65A90">
        <w:rPr>
          <w:rStyle w:val="afa"/>
          <w:rFonts w:hint="cs"/>
          <w:rtl/>
        </w:rPr>
        <w:t xml:space="preserve"> </w:t>
      </w:r>
      <w:r>
        <w:rPr>
          <w:rStyle w:val="afa"/>
          <w:rFonts w:hint="cs"/>
          <w:rtl/>
        </w:rPr>
        <w:t xml:space="preserve">דבטעם כעיקר אמרינן נהפך, </w:t>
      </w:r>
      <w:r w:rsidRPr="00B65A90">
        <w:rPr>
          <w:rStyle w:val="afa"/>
          <w:rFonts w:hint="cs"/>
          <w:rtl/>
        </w:rPr>
        <w:t>הם רק לדעת רבנן ולא לדעת ר"ע].</w:t>
      </w:r>
      <w:bookmarkEnd w:id="6576"/>
    </w:p>
    <w:p w:rsidR="00F34A57" w:rsidRPr="00781899" w:rsidRDefault="00F34A57" w:rsidP="00F34A57">
      <w:pPr>
        <w:pStyle w:val="a2"/>
      </w:pPr>
      <w:bookmarkStart w:id="6577" w:name="_Toc14109729"/>
      <w:bookmarkStart w:id="6578" w:name="_Toc14120093"/>
      <w:bookmarkStart w:id="6579" w:name="_Toc14122268"/>
      <w:bookmarkStart w:id="6580" w:name="_Toc14196220"/>
      <w:bookmarkStart w:id="6581" w:name="_Toc14208783"/>
      <w:bookmarkStart w:id="6582" w:name="_Toc14248876"/>
      <w:bookmarkStart w:id="6583" w:name="_Toc14257382"/>
      <w:r>
        <w:rPr>
          <w:rFonts w:hint="cs"/>
          <w:rtl/>
        </w:rPr>
        <w:t>דברי הנחל"ד דכן מבואר בדברי רש"י בפסחים בדעת רבנן בהיתר מצטרף לאיסור בקדשים</w:t>
      </w:r>
      <w:bookmarkEnd w:id="6577"/>
      <w:bookmarkEnd w:id="6578"/>
      <w:bookmarkEnd w:id="6579"/>
      <w:bookmarkEnd w:id="6580"/>
      <w:bookmarkEnd w:id="6581"/>
      <w:bookmarkEnd w:id="6582"/>
      <w:bookmarkEnd w:id="6583"/>
    </w:p>
    <w:p w:rsidR="00F34A57" w:rsidRPr="009C04C2" w:rsidRDefault="00F34A57" w:rsidP="009F44AF">
      <w:pPr>
        <w:pStyle w:val="a"/>
        <w:rPr>
          <w:rtl/>
        </w:rPr>
      </w:pPr>
      <w:r>
        <w:rPr>
          <w:rFonts w:hint="cs"/>
          <w:rtl/>
        </w:rPr>
        <w:t xml:space="preserve">וכתב </w:t>
      </w:r>
      <w:r w:rsidRPr="00781899">
        <w:rPr>
          <w:rStyle w:val="af8"/>
          <w:rFonts w:hint="cs"/>
          <w:rtl/>
        </w:rPr>
        <w:t>הנחל"ד</w:t>
      </w:r>
      <w:r>
        <w:rPr>
          <w:rFonts w:hint="cs"/>
          <w:rtl/>
        </w:rPr>
        <w:t xml:space="preserve"> דכן מבואר מדברי </w:t>
      </w:r>
      <w:r w:rsidRPr="00781899">
        <w:rPr>
          <w:rStyle w:val="af8"/>
          <w:rFonts w:hint="cs"/>
          <w:rtl/>
        </w:rPr>
        <w:t>רש"י בפסחים</w:t>
      </w:r>
      <w:r>
        <w:rPr>
          <w:rFonts w:hint="cs"/>
          <w:rtl/>
        </w:rPr>
        <w:t xml:space="preserve"> </w:t>
      </w:r>
      <w:r w:rsidRPr="00781899">
        <w:rPr>
          <w:rStyle w:val="af6"/>
          <w:rFonts w:eastAsia="Guttman Hodes" w:hint="cs"/>
          <w:rtl/>
        </w:rPr>
        <w:t>(מה. ד"ה ה"ג)</w:t>
      </w:r>
      <w:r>
        <w:rPr>
          <w:rFonts w:hint="cs"/>
          <w:rtl/>
        </w:rPr>
        <w:t xml:space="preserve"> דכתב דלרבנן דדין היתר מצטרף לאיסור נאמר רק בחטאת, איירי שלא נבלעה החטאת בכל הבשר, ומבואר דבמקום שנבלעה החטאת בכל הבשר, מודו רבנן דנאסר מדין טעם כעיקר. </w:t>
      </w:r>
    </w:p>
    <w:p w:rsidR="00F34A57" w:rsidRDefault="00F34A57" w:rsidP="00F34A57">
      <w:pPr>
        <w:pStyle w:val="a2"/>
        <w:rPr>
          <w:rtl/>
        </w:rPr>
      </w:pPr>
      <w:bookmarkStart w:id="6584" w:name="_Toc14109730"/>
      <w:bookmarkStart w:id="6585" w:name="_Toc14120094"/>
      <w:bookmarkStart w:id="6586" w:name="_Toc14122269"/>
      <w:bookmarkStart w:id="6587" w:name="_Toc14196221"/>
      <w:bookmarkStart w:id="6588" w:name="_Toc14208784"/>
      <w:bookmarkStart w:id="6589" w:name="_Toc14248877"/>
      <w:bookmarkStart w:id="6590" w:name="_Toc14257383"/>
      <w:r>
        <w:rPr>
          <w:rFonts w:hint="cs"/>
          <w:rtl/>
        </w:rPr>
        <w:t>דברי רש"י בפסחים דבטעם כעיקר נעשה טעמו של איסור כעיקרו וכממשו</w:t>
      </w:r>
      <w:bookmarkEnd w:id="6584"/>
      <w:bookmarkEnd w:id="6585"/>
      <w:bookmarkEnd w:id="6586"/>
      <w:bookmarkEnd w:id="6587"/>
      <w:bookmarkEnd w:id="6588"/>
      <w:bookmarkEnd w:id="6589"/>
      <w:bookmarkEnd w:id="6590"/>
    </w:p>
    <w:p w:rsidR="00F34A57" w:rsidRPr="00A0498C" w:rsidRDefault="00F34A57" w:rsidP="009F44AF">
      <w:pPr>
        <w:pStyle w:val="a"/>
      </w:pPr>
      <w:r>
        <w:rPr>
          <w:rFonts w:hint="cs"/>
          <w:rtl/>
        </w:rPr>
        <w:t>וע"ע בדברי</w:t>
      </w:r>
      <w:r w:rsidRPr="003612D6">
        <w:rPr>
          <w:rStyle w:val="af8"/>
          <w:rFonts w:hint="cs"/>
          <w:rtl/>
        </w:rPr>
        <w:t xml:space="preserve"> רש"י בפסחים </w:t>
      </w:r>
      <w:r w:rsidRPr="003612D6">
        <w:rPr>
          <w:rStyle w:val="af6"/>
          <w:rFonts w:eastAsia="Guttman Hodes" w:hint="cs"/>
          <w:rtl/>
        </w:rPr>
        <w:t>(מד: ד"ה ליתן טעם כעיקר)</w:t>
      </w:r>
      <w:r>
        <w:rPr>
          <w:rFonts w:hint="cs"/>
          <w:rtl/>
        </w:rPr>
        <w:t xml:space="preserve"> דכתב דטעם כעיקר היינו שנעשה טעמו של האיסור, כעיקרו וכממשו. </w:t>
      </w:r>
    </w:p>
    <w:p w:rsidR="00F34A57" w:rsidRPr="009E5B74" w:rsidRDefault="00F34A57" w:rsidP="00F34A57">
      <w:pPr>
        <w:pStyle w:val="a2"/>
      </w:pPr>
      <w:bookmarkStart w:id="6591" w:name="_Toc14109731"/>
      <w:bookmarkStart w:id="6592" w:name="_Toc14120095"/>
      <w:bookmarkStart w:id="6593" w:name="_Toc14122270"/>
      <w:bookmarkStart w:id="6594" w:name="_Toc14196222"/>
      <w:bookmarkStart w:id="6595" w:name="_Toc14208785"/>
      <w:bookmarkStart w:id="6596" w:name="_Toc14248878"/>
      <w:bookmarkStart w:id="6597" w:name="_Toc14257384"/>
      <w:bookmarkStart w:id="6598" w:name="_Toc14089944"/>
      <w:bookmarkStart w:id="6599" w:name="_Toc14089933"/>
      <w:r>
        <w:rPr>
          <w:rFonts w:hint="cs"/>
          <w:rtl/>
        </w:rPr>
        <w:t>קושית הגרעק"א דבגמ' לעיל מבואר דחצי זית טעם בלוע הוא דרבנן והרי מדין נהפך אסור מדאו'</w:t>
      </w:r>
      <w:bookmarkEnd w:id="6591"/>
      <w:bookmarkEnd w:id="6592"/>
      <w:bookmarkEnd w:id="6593"/>
      <w:bookmarkEnd w:id="6594"/>
      <w:bookmarkEnd w:id="6595"/>
      <w:bookmarkEnd w:id="6596"/>
      <w:bookmarkEnd w:id="6597"/>
    </w:p>
    <w:p w:rsidR="00F34A57" w:rsidRPr="002D4346" w:rsidRDefault="00F34A57" w:rsidP="009F44AF">
      <w:pPr>
        <w:pStyle w:val="a"/>
        <w:rPr>
          <w:rtl/>
        </w:rPr>
      </w:pPr>
      <w:r>
        <w:rPr>
          <w:rFonts w:hint="cs"/>
          <w:rtl/>
        </w:rPr>
        <w:t xml:space="preserve">אך הקשה </w:t>
      </w:r>
      <w:r w:rsidRPr="009E5B74">
        <w:rPr>
          <w:rStyle w:val="af8"/>
          <w:rFonts w:hint="cs"/>
          <w:rtl/>
        </w:rPr>
        <w:t>הגרעק"א</w:t>
      </w:r>
      <w:r>
        <w:rPr>
          <w:rFonts w:hint="cs"/>
          <w:rtl/>
        </w:rPr>
        <w:t xml:space="preserve"> </w:t>
      </w:r>
      <w:r w:rsidRPr="009E5B74">
        <w:rPr>
          <w:rStyle w:val="af6"/>
          <w:rFonts w:eastAsia="Guttman Hodes" w:hint="cs"/>
          <w:rtl/>
        </w:rPr>
        <w:t>(לעיל צח. ד"ה ההוא, ובפסחים מד. על רש"י ד"ה מפת)</w:t>
      </w:r>
      <w:r>
        <w:rPr>
          <w:rFonts w:hint="cs"/>
          <w:rtl/>
        </w:rPr>
        <w:t xml:space="preserve"> דבגמ' לעיל </w:t>
      </w:r>
      <w:r w:rsidRPr="009E5B74">
        <w:rPr>
          <w:rStyle w:val="af6"/>
          <w:rFonts w:eastAsia="Guttman Hodes" w:hint="cs"/>
          <w:rtl/>
        </w:rPr>
        <w:t>(צח.)</w:t>
      </w:r>
      <w:r>
        <w:rPr>
          <w:rFonts w:hint="cs"/>
          <w:rtl/>
        </w:rPr>
        <w:t xml:space="preserve"> מבואר דחצי זית </w:t>
      </w:r>
      <w:r>
        <w:rPr>
          <w:rtl/>
        </w:rPr>
        <w:t>חֵלֶב</w:t>
      </w:r>
      <w:r>
        <w:rPr>
          <w:rFonts w:hint="cs"/>
          <w:rtl/>
        </w:rPr>
        <w:t xml:space="preserve"> שבלוע בבשר הוא שיעור דרבנן, ואילו לדברי </w:t>
      </w:r>
      <w:r w:rsidRPr="00E404C0">
        <w:rPr>
          <w:rStyle w:val="af8"/>
          <w:rFonts w:hint="cs"/>
          <w:rtl/>
        </w:rPr>
        <w:t>רש"י בפסחים</w:t>
      </w:r>
      <w:r>
        <w:rPr>
          <w:rFonts w:hint="cs"/>
          <w:rtl/>
        </w:rPr>
        <w:t xml:space="preserve"> הוא שיעור דאו' דיש כזית מדין נהפך, ועי' במ"ש </w:t>
      </w:r>
      <w:r w:rsidRPr="006C70CA">
        <w:rPr>
          <w:rStyle w:val="af8"/>
          <w:rFonts w:hint="cs"/>
          <w:rtl/>
        </w:rPr>
        <w:t>החזו"א</w:t>
      </w:r>
      <w:r>
        <w:rPr>
          <w:rFonts w:hint="cs"/>
          <w:rtl/>
        </w:rPr>
        <w:t xml:space="preserve"> </w:t>
      </w:r>
      <w:r w:rsidRPr="00182B16">
        <w:rPr>
          <w:rStyle w:val="af6"/>
          <w:rFonts w:eastAsia="Guttman Hodes" w:hint="cs"/>
          <w:rtl/>
        </w:rPr>
        <w:t xml:space="preserve">(סי' כ"ד </w:t>
      </w:r>
      <w:r w:rsidRPr="002D4346">
        <w:rPr>
          <w:rStyle w:val="af6"/>
          <w:rFonts w:eastAsia="Guttman Hodes" w:hint="cs"/>
          <w:rtl/>
        </w:rPr>
        <w:t>סק"ה)</w:t>
      </w:r>
      <w:r w:rsidRPr="002D4346">
        <w:rPr>
          <w:rFonts w:hint="cs"/>
          <w:rtl/>
        </w:rPr>
        <w:t xml:space="preserve"> בזה, וע"ע בדברי </w:t>
      </w:r>
      <w:r w:rsidRPr="002D4346">
        <w:rPr>
          <w:rStyle w:val="af8"/>
          <w:rFonts w:hint="cs"/>
          <w:rtl/>
        </w:rPr>
        <w:t>הגר"א</w:t>
      </w:r>
      <w:r w:rsidRPr="002D4346">
        <w:rPr>
          <w:rFonts w:hint="cs"/>
          <w:rtl/>
        </w:rPr>
        <w:t xml:space="preserve"> </w:t>
      </w:r>
      <w:r w:rsidRPr="002D4346">
        <w:rPr>
          <w:rStyle w:val="af6"/>
          <w:rFonts w:eastAsia="Guttman Hodes" w:hint="cs"/>
          <w:rtl/>
        </w:rPr>
        <w:t>(סי' צ"ח סק"א)</w:t>
      </w:r>
      <w:r w:rsidRPr="002D4346">
        <w:rPr>
          <w:rFonts w:hint="cs"/>
          <w:rtl/>
        </w:rPr>
        <w:t xml:space="preserve">. וע"ע בדברי </w:t>
      </w:r>
      <w:r w:rsidRPr="002D4346">
        <w:rPr>
          <w:rStyle w:val="af8"/>
          <w:rFonts w:hint="cs"/>
          <w:rtl/>
        </w:rPr>
        <w:t>הר"ש</w:t>
      </w:r>
      <w:r w:rsidRPr="002D4346">
        <w:rPr>
          <w:rFonts w:hint="cs"/>
          <w:rtl/>
        </w:rPr>
        <w:t xml:space="preserve"> </w:t>
      </w:r>
      <w:r w:rsidRPr="002D4346">
        <w:rPr>
          <w:rStyle w:val="af6"/>
          <w:rFonts w:eastAsia="Guttman Hodes" w:hint="cs"/>
          <w:rtl/>
        </w:rPr>
        <w:t xml:space="preserve">(עי' אות </w:t>
      </w:r>
      <w:r w:rsidRPr="002D4346">
        <w:rPr>
          <w:rStyle w:val="af6"/>
          <w:rFonts w:eastAsia="Guttman Hodes"/>
          <w:rtl/>
        </w:rPr>
        <w:fldChar w:fldCharType="begin"/>
      </w:r>
      <w:r w:rsidRPr="002D4346">
        <w:rPr>
          <w:rStyle w:val="af6"/>
          <w:rFonts w:eastAsia="Guttman Hodes"/>
          <w:rtl/>
        </w:rPr>
        <w:instrText xml:space="preserve"> </w:instrText>
      </w:r>
      <w:r w:rsidRPr="002D4346">
        <w:rPr>
          <w:rStyle w:val="af6"/>
          <w:rFonts w:eastAsia="Guttman Hodes" w:hint="cs"/>
        </w:rPr>
        <w:instrText>REF</w:instrText>
      </w:r>
      <w:r w:rsidRPr="002D4346">
        <w:rPr>
          <w:rStyle w:val="af6"/>
          <w:rFonts w:eastAsia="Guttman Hodes" w:hint="cs"/>
          <w:rtl/>
        </w:rPr>
        <w:instrText xml:space="preserve"> _</w:instrText>
      </w:r>
      <w:r w:rsidRPr="002D4346">
        <w:rPr>
          <w:rStyle w:val="af6"/>
          <w:rFonts w:eastAsia="Guttman Hodes" w:hint="cs"/>
        </w:rPr>
        <w:instrText>Ref14254135 \r \h</w:instrText>
      </w:r>
      <w:r w:rsidRPr="002D4346">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2D4346">
        <w:rPr>
          <w:rStyle w:val="af6"/>
          <w:rFonts w:eastAsia="Guttman Hodes"/>
          <w:rtl/>
        </w:rPr>
      </w:r>
      <w:r w:rsidRPr="002D4346">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2D4346">
        <w:rPr>
          <w:rStyle w:val="af6"/>
          <w:rFonts w:eastAsia="Guttman Hodes"/>
          <w:rtl/>
        </w:rPr>
        <w:fldChar w:fldCharType="end"/>
      </w:r>
      <w:r w:rsidRPr="002D4346">
        <w:rPr>
          <w:rFonts w:hint="cs"/>
          <w:rtl/>
        </w:rPr>
        <w:t xml:space="preserve">. </w:t>
      </w:r>
    </w:p>
    <w:p w:rsidR="00F34A57" w:rsidRDefault="00F34A57" w:rsidP="00F34A57">
      <w:pPr>
        <w:pStyle w:val="1"/>
        <w:rPr>
          <w:rtl/>
        </w:rPr>
      </w:pPr>
      <w:bookmarkStart w:id="6600" w:name="_Toc14109732"/>
      <w:bookmarkStart w:id="6601" w:name="_Toc14120096"/>
      <w:bookmarkStart w:id="6602" w:name="_Toc14122271"/>
      <w:bookmarkStart w:id="6603" w:name="_Toc14196223"/>
      <w:bookmarkStart w:id="6604" w:name="_Toc14208786"/>
      <w:bookmarkStart w:id="6605" w:name="_Toc14248879"/>
      <w:bookmarkStart w:id="6606" w:name="_Toc14257385"/>
      <w:r>
        <w:rPr>
          <w:rFonts w:hint="cs"/>
          <w:rtl/>
        </w:rPr>
        <w:t>ביאור הנחל"ד ברש"י דלולי דין נהפך אין בטעם כל איסור דאו'</w:t>
      </w:r>
      <w:bookmarkEnd w:id="6600"/>
      <w:bookmarkEnd w:id="6601"/>
      <w:bookmarkEnd w:id="6602"/>
      <w:bookmarkEnd w:id="6603"/>
      <w:bookmarkEnd w:id="6604"/>
      <w:bookmarkEnd w:id="6605"/>
      <w:bookmarkEnd w:id="6606"/>
      <w:r>
        <w:rPr>
          <w:rFonts w:hint="cs"/>
          <w:rtl/>
        </w:rPr>
        <w:t xml:space="preserve"> </w:t>
      </w:r>
    </w:p>
    <w:p w:rsidR="00F34A57" w:rsidRDefault="00F34A57" w:rsidP="00F34A57">
      <w:pPr>
        <w:pStyle w:val="a2"/>
        <w:rPr>
          <w:rtl/>
        </w:rPr>
      </w:pPr>
      <w:bookmarkStart w:id="6607" w:name="_Toc13773307"/>
      <w:bookmarkStart w:id="6608" w:name="_Toc13952613"/>
      <w:bookmarkStart w:id="6609" w:name="_Toc14089974"/>
      <w:bookmarkStart w:id="6610" w:name="_Toc14109733"/>
      <w:bookmarkStart w:id="6611" w:name="_Toc14120097"/>
      <w:bookmarkStart w:id="6612" w:name="_Toc14122272"/>
      <w:bookmarkStart w:id="6613" w:name="_Toc14196224"/>
      <w:bookmarkStart w:id="6614" w:name="_Toc14208787"/>
      <w:bookmarkStart w:id="6615" w:name="_Toc14248880"/>
      <w:bookmarkStart w:id="6616" w:name="_Toc14257386"/>
      <w:r>
        <w:rPr>
          <w:rFonts w:hint="cs"/>
          <w:rtl/>
        </w:rPr>
        <w:t>קושית הנחל"ד על רש"י בפסחים היאך לר"ע ילפינן מגיעולי עכו"ם דבטע"כ נהפך ההיתר לאיסור</w:t>
      </w:r>
      <w:bookmarkEnd w:id="6607"/>
      <w:bookmarkEnd w:id="6608"/>
      <w:bookmarkEnd w:id="6609"/>
      <w:bookmarkEnd w:id="6610"/>
      <w:bookmarkEnd w:id="6611"/>
      <w:bookmarkEnd w:id="6612"/>
      <w:bookmarkEnd w:id="6613"/>
      <w:bookmarkEnd w:id="6614"/>
      <w:bookmarkEnd w:id="6615"/>
      <w:bookmarkEnd w:id="6616"/>
    </w:p>
    <w:p w:rsidR="00F34A57" w:rsidRDefault="00F34A57" w:rsidP="009F44AF">
      <w:pPr>
        <w:pStyle w:val="a"/>
        <w:rPr>
          <w:rtl/>
        </w:rPr>
      </w:pPr>
      <w:r>
        <w:rPr>
          <w:rFonts w:hint="cs"/>
          <w:rtl/>
        </w:rPr>
        <w:t xml:space="preserve">אך </w:t>
      </w:r>
      <w:r w:rsidRPr="00144252">
        <w:rPr>
          <w:rFonts w:hint="cs"/>
          <w:rtl/>
        </w:rPr>
        <w:t>הקשה</w:t>
      </w:r>
      <w:r w:rsidRPr="002C78F3">
        <w:rPr>
          <w:rtl/>
        </w:rPr>
        <w:t xml:space="preserve"> </w:t>
      </w:r>
      <w:r w:rsidRPr="00144252">
        <w:rPr>
          <w:rStyle w:val="af8"/>
          <w:rtl/>
        </w:rPr>
        <w:t>הנחל"ד</w:t>
      </w:r>
      <w:r w:rsidRPr="00144252">
        <w:rPr>
          <w:rtl/>
        </w:rPr>
        <w:t xml:space="preserve"> </w:t>
      </w:r>
      <w:r w:rsidRPr="00144252">
        <w:rPr>
          <w:rStyle w:val="af6"/>
          <w:rFonts w:eastAsia="Guttman Hodes"/>
          <w:rtl/>
        </w:rPr>
        <w:t>(פסחים מג:, קונ' דברי דוד [מהדו' חד' עמ' קל"</w:t>
      </w:r>
      <w:r w:rsidRPr="00144252">
        <w:rPr>
          <w:rStyle w:val="af6"/>
          <w:rFonts w:eastAsia="Guttman Hodes" w:hint="cs"/>
          <w:rtl/>
        </w:rPr>
        <w:t>ג</w:t>
      </w:r>
      <w:r w:rsidRPr="00144252">
        <w:rPr>
          <w:rStyle w:val="af6"/>
          <w:rFonts w:eastAsia="Guttman Hodes"/>
          <w:rtl/>
        </w:rPr>
        <w:t xml:space="preserve">] ד"ה </w:t>
      </w:r>
      <w:r w:rsidRPr="00144252">
        <w:rPr>
          <w:rStyle w:val="af6"/>
          <w:rFonts w:eastAsia="Guttman Hodes" w:hint="cs"/>
          <w:rtl/>
        </w:rPr>
        <w:t xml:space="preserve">והא דאמר) </w:t>
      </w:r>
      <w:r>
        <w:rPr>
          <w:rFonts w:hint="cs"/>
          <w:rtl/>
        </w:rPr>
        <w:t xml:space="preserve">על </w:t>
      </w:r>
      <w:r w:rsidRPr="00144252">
        <w:rPr>
          <w:rFonts w:hint="cs"/>
          <w:rtl/>
        </w:rPr>
        <w:t xml:space="preserve">דברי </w:t>
      </w:r>
      <w:r w:rsidRPr="00144252">
        <w:rPr>
          <w:rStyle w:val="af8"/>
          <w:rFonts w:hint="cs"/>
          <w:rtl/>
        </w:rPr>
        <w:t>רש"י בפסחים</w:t>
      </w:r>
      <w:r w:rsidRPr="00144252">
        <w:rPr>
          <w:rFonts w:hint="cs"/>
          <w:rtl/>
        </w:rPr>
        <w:t xml:space="preserve"> ד</w:t>
      </w:r>
      <w:r>
        <w:rPr>
          <w:rFonts w:hint="cs"/>
          <w:rtl/>
        </w:rPr>
        <w:t>ס"ל ב</w:t>
      </w:r>
      <w:r w:rsidRPr="00144252">
        <w:rPr>
          <w:rFonts w:hint="cs"/>
          <w:rtl/>
        </w:rPr>
        <w:t xml:space="preserve">טעם כעיקר דנהפך ההיתר להיות איסור, </w:t>
      </w:r>
      <w:r>
        <w:rPr>
          <w:rFonts w:hint="cs"/>
          <w:rtl/>
        </w:rPr>
        <w:t>דהרי</w:t>
      </w:r>
      <w:r w:rsidRPr="00144252">
        <w:rPr>
          <w:rFonts w:hint="cs"/>
          <w:rtl/>
        </w:rPr>
        <w:t xml:space="preserve"> ר"ע יליף </w:t>
      </w:r>
      <w:r>
        <w:rPr>
          <w:rFonts w:hint="cs"/>
          <w:rtl/>
        </w:rPr>
        <w:t xml:space="preserve">דטעם כעיקר דאו' </w:t>
      </w:r>
      <w:r w:rsidRPr="00144252">
        <w:rPr>
          <w:rFonts w:hint="cs"/>
          <w:rtl/>
        </w:rPr>
        <w:t xml:space="preserve">מגיעולי עכו"ם, </w:t>
      </w:r>
      <w:r>
        <w:rPr>
          <w:rFonts w:hint="cs"/>
          <w:rtl/>
        </w:rPr>
        <w:t>ו</w:t>
      </w:r>
      <w:r w:rsidRPr="00144252">
        <w:rPr>
          <w:rFonts w:hint="cs"/>
          <w:rtl/>
        </w:rPr>
        <w:t>הא בגיעולי עכו"ם מצינו רק שהקפידה התורה על איסור הטעם, אך לא מצינו</w:t>
      </w:r>
      <w:r>
        <w:rPr>
          <w:rFonts w:hint="cs"/>
          <w:rtl/>
        </w:rPr>
        <w:t xml:space="preserve"> דההיתר נהפך להיות איסור, והאיך יליפינן מגיעולי עכו"ם לדין נהפך.</w:t>
      </w:r>
    </w:p>
    <w:p w:rsidR="00F34A57" w:rsidRDefault="00F34A57" w:rsidP="00F34A57">
      <w:pPr>
        <w:pStyle w:val="a2"/>
        <w:rPr>
          <w:rtl/>
        </w:rPr>
      </w:pPr>
      <w:bookmarkStart w:id="6617" w:name="_Toc13773308"/>
      <w:bookmarkStart w:id="6618" w:name="_Toc13952614"/>
      <w:bookmarkStart w:id="6619" w:name="_Toc14089975"/>
      <w:bookmarkStart w:id="6620" w:name="_Toc14109734"/>
      <w:bookmarkStart w:id="6621" w:name="_Toc14120098"/>
      <w:bookmarkStart w:id="6622" w:name="_Toc14122273"/>
      <w:bookmarkStart w:id="6623" w:name="_Toc14196225"/>
      <w:bookmarkStart w:id="6624" w:name="_Toc14208788"/>
      <w:bookmarkStart w:id="6625" w:name="_Toc14248881"/>
      <w:bookmarkStart w:id="6626" w:name="_Toc14257387"/>
      <w:r>
        <w:rPr>
          <w:rFonts w:hint="cs"/>
          <w:rtl/>
        </w:rPr>
        <w:t>דברי הנחל"ד דלרש"י א"א לומר דהטעם אסור מדאו' בלא גיעולי עכו"ם דהא פסק דטע"כ דרבנן</w:t>
      </w:r>
      <w:bookmarkEnd w:id="6617"/>
      <w:bookmarkEnd w:id="6618"/>
      <w:bookmarkEnd w:id="6619"/>
      <w:bookmarkEnd w:id="6620"/>
      <w:bookmarkEnd w:id="6621"/>
      <w:bookmarkEnd w:id="6622"/>
      <w:bookmarkEnd w:id="6623"/>
      <w:bookmarkEnd w:id="6624"/>
      <w:bookmarkEnd w:id="6625"/>
      <w:bookmarkEnd w:id="6626"/>
    </w:p>
    <w:p w:rsidR="00F34A57" w:rsidRPr="00F136C4" w:rsidRDefault="00F34A57" w:rsidP="009F44AF">
      <w:pPr>
        <w:pStyle w:val="a"/>
        <w:rPr>
          <w:rtl/>
        </w:rPr>
      </w:pPr>
      <w:r>
        <w:rPr>
          <w:rFonts w:hint="cs"/>
          <w:rtl/>
        </w:rPr>
        <w:t xml:space="preserve">וכתב </w:t>
      </w:r>
      <w:r w:rsidRPr="0074087A">
        <w:rPr>
          <w:rStyle w:val="af8"/>
          <w:rFonts w:hint="cs"/>
          <w:rtl/>
        </w:rPr>
        <w:t>הנחל"ד</w:t>
      </w:r>
      <w:r>
        <w:rPr>
          <w:rFonts w:hint="cs"/>
          <w:rtl/>
        </w:rPr>
        <w:t xml:space="preserve"> דא"א לומר דלאיסור של הטעם עצמו א"צ ילפותא מגיעולי עכו"ם, דהוא אסור מסברא, או מילפותא דהטמאים בגמ' לקמן </w:t>
      </w:r>
      <w:r w:rsidRPr="00612993">
        <w:rPr>
          <w:rStyle w:val="af6"/>
          <w:rFonts w:eastAsia="Guttman Hodes" w:hint="cs"/>
          <w:rtl/>
        </w:rPr>
        <w:t>(קיב:)</w:t>
      </w:r>
      <w:r>
        <w:rPr>
          <w:rFonts w:hint="cs"/>
          <w:rtl/>
        </w:rPr>
        <w:t xml:space="preserve">, וא"כ כל הילפותא מגיעולי עכו"ם נצרכת רק לחדש דההיתר נהפך לאיסור, דהרי כיון דפסק </w:t>
      </w:r>
      <w:r w:rsidRPr="0074087A">
        <w:rPr>
          <w:rStyle w:val="af8"/>
          <w:rFonts w:hint="cs"/>
          <w:rtl/>
        </w:rPr>
        <w:t>רש"י</w:t>
      </w:r>
      <w:r>
        <w:rPr>
          <w:rFonts w:hint="cs"/>
          <w:rtl/>
        </w:rPr>
        <w:t xml:space="preserve"> כמ"ד דטעם כעיקר דרבנן </w:t>
      </w:r>
      <w:r w:rsidRPr="00D9649B">
        <w:rPr>
          <w:rStyle w:val="af6"/>
          <w:rFonts w:eastAsia="Guttman Hodes" w:hint="cs"/>
          <w:rtl/>
        </w:rPr>
        <w:t xml:space="preserve">(עי' אות </w:t>
      </w:r>
      <w:r w:rsidRPr="00D9649B">
        <w:rPr>
          <w:rStyle w:val="af6"/>
          <w:rFonts w:eastAsia="Guttman Hodes"/>
          <w:rtl/>
        </w:rPr>
        <w:fldChar w:fldCharType="begin"/>
      </w:r>
      <w:r w:rsidRPr="00D9649B">
        <w:rPr>
          <w:rStyle w:val="af6"/>
          <w:rFonts w:eastAsia="Guttman Hodes"/>
          <w:rtl/>
        </w:rPr>
        <w:instrText xml:space="preserve"> </w:instrText>
      </w:r>
      <w:r w:rsidRPr="00D9649B">
        <w:rPr>
          <w:rStyle w:val="af6"/>
          <w:rFonts w:eastAsia="Guttman Hodes" w:hint="cs"/>
        </w:rPr>
        <w:instrText>REF</w:instrText>
      </w:r>
      <w:r w:rsidRPr="00D9649B">
        <w:rPr>
          <w:rStyle w:val="af6"/>
          <w:rFonts w:eastAsia="Guttman Hodes" w:hint="cs"/>
          <w:rtl/>
        </w:rPr>
        <w:instrText xml:space="preserve"> _</w:instrText>
      </w:r>
      <w:r w:rsidRPr="00D9649B">
        <w:rPr>
          <w:rStyle w:val="af6"/>
          <w:rFonts w:eastAsia="Guttman Hodes" w:hint="cs"/>
        </w:rPr>
        <w:instrText>Ref14106142 \r \h</w:instrText>
      </w:r>
      <w:r w:rsidRPr="00D9649B">
        <w:rPr>
          <w:rStyle w:val="af6"/>
          <w:rFonts w:eastAsia="Guttman Hodes"/>
          <w:rtl/>
        </w:rPr>
        <w:instrText xml:space="preserve"> </w:instrText>
      </w:r>
      <w:r w:rsidRPr="00D9649B">
        <w:rPr>
          <w:rStyle w:val="af6"/>
          <w:rFonts w:eastAsia="Guttman Hodes"/>
          <w:rtl/>
        </w:rPr>
      </w:r>
      <w:r w:rsidRPr="00D9649B">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D9649B">
        <w:rPr>
          <w:rStyle w:val="af6"/>
          <w:rFonts w:eastAsia="Guttman Hodes"/>
          <w:rtl/>
        </w:rPr>
        <w:fldChar w:fldCharType="end"/>
      </w:r>
      <w:r>
        <w:rPr>
          <w:rFonts w:hint="cs"/>
          <w:rtl/>
        </w:rPr>
        <w:t xml:space="preserve">, א"כ מבואר דס"ל </w:t>
      </w:r>
      <w:r w:rsidRPr="0074087A">
        <w:rPr>
          <w:rStyle w:val="af8"/>
          <w:rFonts w:hint="cs"/>
          <w:rtl/>
        </w:rPr>
        <w:t>לרש"י</w:t>
      </w:r>
      <w:r>
        <w:rPr>
          <w:rFonts w:hint="cs"/>
          <w:rtl/>
        </w:rPr>
        <w:t xml:space="preserve"> דלמ"ד דלא ילפינן ממשרת או מגיעולי עכו"ם, מדאו' אין כל איסור בטעם עצמו, דבטעם עצמו מהני ביטול ברוב,</w:t>
      </w:r>
      <w:r w:rsidRPr="0074087A">
        <w:rPr>
          <w:rFonts w:hint="cs"/>
          <w:rtl/>
        </w:rPr>
        <w:t xml:space="preserve"> </w:t>
      </w:r>
      <w:r w:rsidRPr="0074087A">
        <w:rPr>
          <w:rStyle w:val="afa"/>
          <w:rFonts w:hint="cs"/>
          <w:rtl/>
        </w:rPr>
        <w:t xml:space="preserve">[כדביאר </w:t>
      </w:r>
      <w:r w:rsidRPr="0074087A">
        <w:rPr>
          <w:rStyle w:val="affa"/>
          <w:rFonts w:hint="cs"/>
          <w:rtl/>
        </w:rPr>
        <w:t>הנחל"ד</w:t>
      </w:r>
      <w:r w:rsidRPr="0074087A">
        <w:rPr>
          <w:rStyle w:val="afa"/>
          <w:rFonts w:hint="cs"/>
          <w:rtl/>
        </w:rPr>
        <w:t xml:space="preserve"> </w:t>
      </w:r>
      <w:r w:rsidRPr="00E424C3">
        <w:rPr>
          <w:rStyle w:val="aff6"/>
          <w:rtl/>
        </w:rPr>
        <w:t>(פסחים מג:, קונ' דברי דוד [מהדו' חד' עמ' קל"ו] ד"ה גם יש להבין</w:t>
      </w:r>
      <w:r>
        <w:rPr>
          <w:rStyle w:val="aff6"/>
          <w:rFonts w:hint="cs"/>
          <w:rtl/>
        </w:rPr>
        <w:t>, הובא לעיל סימן ח' אות</w:t>
      </w:r>
      <w:r w:rsidR="00CA7594">
        <w:rPr>
          <w:rStyle w:val="aff6"/>
          <w:rFonts w:hint="cs"/>
          <w:rtl/>
        </w:rPr>
        <w:t xml:space="preserve"> </w:t>
      </w:r>
      <w:r w:rsidR="00CA7594">
        <w:rPr>
          <w:rStyle w:val="aff6"/>
          <w:rtl/>
        </w:rPr>
        <w:fldChar w:fldCharType="begin"/>
      </w:r>
      <w:r w:rsidR="00CA7594">
        <w:rPr>
          <w:rStyle w:val="aff6"/>
          <w:rtl/>
        </w:rPr>
        <w:instrText xml:space="preserve"> </w:instrText>
      </w:r>
      <w:r w:rsidR="00CA7594">
        <w:rPr>
          <w:rStyle w:val="aff6"/>
          <w:rFonts w:hint="cs"/>
        </w:rPr>
        <w:instrText>REF</w:instrText>
      </w:r>
      <w:r w:rsidR="00CA7594">
        <w:rPr>
          <w:rStyle w:val="aff6"/>
          <w:rFonts w:hint="cs"/>
          <w:rtl/>
        </w:rPr>
        <w:instrText xml:space="preserve"> _</w:instrText>
      </w:r>
      <w:r w:rsidR="00CA7594">
        <w:rPr>
          <w:rStyle w:val="aff6"/>
          <w:rFonts w:hint="cs"/>
        </w:rPr>
        <w:instrText>Ref12894881 \r \h</w:instrText>
      </w:r>
      <w:r w:rsidR="00CA7594">
        <w:rPr>
          <w:rStyle w:val="aff6"/>
          <w:rtl/>
        </w:rPr>
        <w:instrText xml:space="preserve"> </w:instrText>
      </w:r>
      <w:r w:rsidR="00CA7594">
        <w:rPr>
          <w:rStyle w:val="aff6"/>
          <w:rtl/>
        </w:rPr>
      </w:r>
      <w:r w:rsidR="00CA7594">
        <w:rPr>
          <w:rStyle w:val="aff6"/>
          <w:rtl/>
        </w:rPr>
        <w:fldChar w:fldCharType="separate"/>
      </w:r>
      <w:r w:rsidR="004D1C5B">
        <w:rPr>
          <w:rStyle w:val="aff6"/>
          <w:cs/>
        </w:rPr>
        <w:t>‎</w:t>
      </w:r>
      <w:r w:rsidR="004D1C5B">
        <w:rPr>
          <w:rStyle w:val="aff6"/>
          <w:rtl/>
        </w:rPr>
        <w:t>צב)</w:t>
      </w:r>
      <w:r w:rsidR="00CA7594">
        <w:rPr>
          <w:rStyle w:val="aff6"/>
          <w:rtl/>
        </w:rPr>
        <w:fldChar w:fldCharType="end"/>
      </w:r>
      <w:r>
        <w:rPr>
          <w:rStyle w:val="aff6"/>
          <w:rFonts w:hint="cs"/>
          <w:rtl/>
        </w:rPr>
        <w:t xml:space="preserve"> </w:t>
      </w:r>
      <w:r>
        <w:rPr>
          <w:rStyle w:val="afa"/>
          <w:rFonts w:hint="cs"/>
          <w:rtl/>
        </w:rPr>
        <w:t xml:space="preserve">בדעת </w:t>
      </w:r>
      <w:r w:rsidRPr="00E424C3">
        <w:rPr>
          <w:rStyle w:val="affa"/>
          <w:rFonts w:hint="cs"/>
          <w:rtl/>
        </w:rPr>
        <w:t>רש"י</w:t>
      </w:r>
      <w:r>
        <w:rPr>
          <w:rStyle w:val="afa"/>
          <w:rFonts w:hint="cs"/>
          <w:rtl/>
        </w:rPr>
        <w:t xml:space="preserve"> למ"ד דטעם כעיקר דרבנן</w:t>
      </w:r>
      <w:r w:rsidRPr="00E424C3">
        <w:rPr>
          <w:rStyle w:val="afa"/>
          <w:rFonts w:hint="cs"/>
          <w:rtl/>
        </w:rPr>
        <w:t>],</w:t>
      </w:r>
      <w:r>
        <w:rPr>
          <w:rFonts w:hint="cs"/>
          <w:rtl/>
        </w:rPr>
        <w:t xml:space="preserve"> וכל האיסור בטעם כעיקר הוא רק מדרבנן. </w:t>
      </w:r>
      <w:r w:rsidRPr="0074087A">
        <w:rPr>
          <w:rStyle w:val="afa"/>
          <w:rFonts w:hint="cs"/>
          <w:rtl/>
        </w:rPr>
        <w:t xml:space="preserve">[והוסיף </w:t>
      </w:r>
      <w:r w:rsidRPr="0074087A">
        <w:rPr>
          <w:rStyle w:val="affa"/>
          <w:rFonts w:hint="cs"/>
          <w:rtl/>
        </w:rPr>
        <w:t xml:space="preserve">הנחל"ד </w:t>
      </w:r>
      <w:r w:rsidRPr="0074087A">
        <w:rPr>
          <w:rStyle w:val="afa"/>
          <w:rFonts w:hint="cs"/>
          <w:rtl/>
        </w:rPr>
        <w:t>דהרי הילפותא מגיעולי עכו"ם אינה מיותרת, וא"א לומר דבאה לחדש דין נהפך].</w:t>
      </w:r>
    </w:p>
    <w:p w:rsidR="00F34A57" w:rsidRDefault="00F34A57" w:rsidP="00F34A57">
      <w:pPr>
        <w:pStyle w:val="a2"/>
        <w:rPr>
          <w:rtl/>
        </w:rPr>
      </w:pPr>
      <w:bookmarkStart w:id="6627" w:name="_Toc13773309"/>
      <w:bookmarkStart w:id="6628" w:name="_Toc13952615"/>
      <w:bookmarkStart w:id="6629" w:name="_Toc14089976"/>
      <w:bookmarkStart w:id="6630" w:name="_Toc14109735"/>
      <w:bookmarkStart w:id="6631" w:name="_Toc14120099"/>
      <w:bookmarkStart w:id="6632" w:name="_Toc14122274"/>
      <w:bookmarkStart w:id="6633" w:name="_Toc14196226"/>
      <w:bookmarkStart w:id="6634" w:name="_Toc14208789"/>
      <w:bookmarkStart w:id="6635" w:name="_Toc14248882"/>
      <w:bookmarkStart w:id="6636" w:name="_Toc14257388"/>
      <w:r>
        <w:rPr>
          <w:rFonts w:hint="cs"/>
          <w:rtl/>
        </w:rPr>
        <w:t>ביאור הנחל"ד ברש"י דלמ"ד טע"כ דאו' אין סברא מדאו' לאסור טעם באכילת היתר דאין בו ממש</w:t>
      </w:r>
      <w:bookmarkEnd w:id="6627"/>
      <w:bookmarkEnd w:id="6628"/>
      <w:bookmarkEnd w:id="6629"/>
      <w:bookmarkEnd w:id="6630"/>
      <w:bookmarkEnd w:id="6631"/>
      <w:bookmarkEnd w:id="6632"/>
      <w:bookmarkEnd w:id="6633"/>
      <w:bookmarkEnd w:id="6634"/>
      <w:bookmarkEnd w:id="6635"/>
      <w:bookmarkEnd w:id="6636"/>
    </w:p>
    <w:p w:rsidR="00F34A57" w:rsidRDefault="00F34A57" w:rsidP="009F44AF">
      <w:pPr>
        <w:pStyle w:val="a"/>
        <w:rPr>
          <w:rtl/>
        </w:rPr>
      </w:pPr>
      <w:r>
        <w:rPr>
          <w:rFonts w:hint="cs"/>
          <w:rtl/>
        </w:rPr>
        <w:t xml:space="preserve">ותירץ </w:t>
      </w:r>
      <w:r w:rsidRPr="003C4C51">
        <w:rPr>
          <w:rStyle w:val="af8"/>
          <w:rFonts w:hint="cs"/>
          <w:rtl/>
        </w:rPr>
        <w:t>הנחל"ד</w:t>
      </w:r>
      <w:r>
        <w:rPr>
          <w:rFonts w:hint="cs"/>
          <w:rtl/>
        </w:rPr>
        <w:t xml:space="preserve"> </w:t>
      </w:r>
      <w:r w:rsidRPr="0074087A">
        <w:rPr>
          <w:rStyle w:val="af6"/>
          <w:rFonts w:eastAsia="Guttman Hodes"/>
          <w:rtl/>
        </w:rPr>
        <w:t>(פסחים מג:, קונ' דברי דוד [מהדו' חד' עמ' קל"</w:t>
      </w:r>
      <w:r w:rsidRPr="0074087A">
        <w:rPr>
          <w:rStyle w:val="af6"/>
          <w:rFonts w:eastAsia="Guttman Hodes" w:hint="cs"/>
          <w:rtl/>
        </w:rPr>
        <w:t>ג</w:t>
      </w:r>
      <w:r w:rsidRPr="0074087A">
        <w:rPr>
          <w:rStyle w:val="af6"/>
          <w:rFonts w:eastAsia="Guttman Hodes"/>
          <w:rtl/>
        </w:rPr>
        <w:t>] ד"ה</w:t>
      </w:r>
      <w:r w:rsidRPr="0074087A">
        <w:rPr>
          <w:rStyle w:val="af6"/>
          <w:rFonts w:eastAsia="Guttman Hodes" w:hint="cs"/>
          <w:rtl/>
        </w:rPr>
        <w:t xml:space="preserve"> ונראה דע"כ) </w:t>
      </w:r>
      <w:r>
        <w:rPr>
          <w:rFonts w:hint="cs"/>
          <w:rtl/>
        </w:rPr>
        <w:t>דלמ"ד דילפינן דטעם כעיקר דאו', סבירא ליה דאין כל סברא לאסור את הטעם עצמו מדאו', דכיון שהוא דבר שאין בו ממש, דמי לקול מראה וריח דאין בהם מעילה כיון שאין בהם ממש, ואף שבמעילה יש בהם איסור זהו מדין איסורי הנאה, אבל באיסורי אכילה לא שייך לאסור בדבר שאין בו ממש, וכ"מ שאפשר לאוכלו הוא ע"י ההיתר.</w:t>
      </w:r>
    </w:p>
    <w:p w:rsidR="00F34A57" w:rsidRPr="00CA4E9F" w:rsidRDefault="00F34A57" w:rsidP="00F34A57">
      <w:pPr>
        <w:pStyle w:val="a2"/>
      </w:pPr>
      <w:bookmarkStart w:id="6637" w:name="_Toc13773310"/>
      <w:bookmarkStart w:id="6638" w:name="_Toc13952616"/>
      <w:bookmarkStart w:id="6639" w:name="_Toc14089977"/>
      <w:bookmarkStart w:id="6640" w:name="_Toc14109736"/>
      <w:bookmarkStart w:id="6641" w:name="_Toc14120100"/>
      <w:bookmarkStart w:id="6642" w:name="_Toc14122275"/>
      <w:bookmarkStart w:id="6643" w:name="_Toc14196227"/>
      <w:bookmarkStart w:id="6644" w:name="_Toc14208790"/>
      <w:bookmarkStart w:id="6645" w:name="_Toc14248883"/>
      <w:bookmarkStart w:id="6646" w:name="_Toc14257389"/>
      <w:r>
        <w:rPr>
          <w:rFonts w:hint="cs"/>
          <w:rtl/>
        </w:rPr>
        <w:t>ביאור הנחל"ד ברש"י בפסחים דלמ"ד טע"כ דאו' האיסור בטעם הוא רק כיון שנהפך ההיתר לאיסור</w:t>
      </w:r>
      <w:bookmarkEnd w:id="6637"/>
      <w:bookmarkEnd w:id="6638"/>
      <w:bookmarkEnd w:id="6639"/>
      <w:bookmarkEnd w:id="6640"/>
      <w:bookmarkEnd w:id="6641"/>
      <w:bookmarkEnd w:id="6642"/>
      <w:bookmarkEnd w:id="6643"/>
      <w:bookmarkEnd w:id="6644"/>
      <w:bookmarkEnd w:id="6645"/>
      <w:bookmarkEnd w:id="6646"/>
    </w:p>
    <w:p w:rsidR="00F34A57" w:rsidRPr="00655759" w:rsidRDefault="00F34A57" w:rsidP="009F44AF">
      <w:pPr>
        <w:pStyle w:val="a"/>
        <w:rPr>
          <w:rtl/>
        </w:rPr>
      </w:pPr>
      <w:r>
        <w:rPr>
          <w:rFonts w:hint="cs"/>
          <w:rtl/>
        </w:rPr>
        <w:t xml:space="preserve">וכתב </w:t>
      </w:r>
      <w:r w:rsidRPr="0074087A">
        <w:rPr>
          <w:rStyle w:val="af8"/>
          <w:rFonts w:hint="cs"/>
          <w:rtl/>
        </w:rPr>
        <w:t>הנחל"ד</w:t>
      </w:r>
      <w:r>
        <w:rPr>
          <w:rFonts w:hint="cs"/>
          <w:rtl/>
        </w:rPr>
        <w:t xml:space="preserve"> דלכן ביאר </w:t>
      </w:r>
      <w:r w:rsidRPr="0074087A">
        <w:rPr>
          <w:rStyle w:val="af8"/>
          <w:rFonts w:hint="cs"/>
          <w:rtl/>
        </w:rPr>
        <w:t>רש"י בפסחים</w:t>
      </w:r>
      <w:r>
        <w:rPr>
          <w:rFonts w:hint="cs"/>
          <w:rtl/>
        </w:rPr>
        <w:t xml:space="preserve"> </w:t>
      </w:r>
      <w:r w:rsidRPr="0074087A">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Ref14106142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ב)</w:t>
      </w:r>
      <w:r>
        <w:rPr>
          <w:rStyle w:val="af6"/>
          <w:rFonts w:eastAsia="Guttman Hodes"/>
          <w:rtl/>
        </w:rPr>
        <w:fldChar w:fldCharType="end"/>
      </w:r>
      <w:r w:rsidRPr="0074087A">
        <w:rPr>
          <w:rStyle w:val="af6"/>
          <w:rFonts w:eastAsia="Guttman Hodes" w:hint="cs"/>
          <w:rtl/>
        </w:rPr>
        <w:t xml:space="preserve"> </w:t>
      </w:r>
      <w:r>
        <w:rPr>
          <w:rFonts w:hint="cs"/>
          <w:rtl/>
        </w:rPr>
        <w:t xml:space="preserve">דלמ"ד דילפינן דטעם כעיקר דאו', ס"ל דכיון דמצאנו בגיעולי עכו"ם ובמשרת דאסרה תורה את הטעם כעיקר, א"כ מוכח דגדר האיסור הוא דנהפך ההיתר להיות איסור, וממילא יש בו ממשו של איסור, ולכן אסרתו תורה באכילה, וכתב </w:t>
      </w:r>
      <w:r w:rsidRPr="0074087A">
        <w:rPr>
          <w:rStyle w:val="af8"/>
          <w:rFonts w:hint="cs"/>
          <w:rtl/>
        </w:rPr>
        <w:t>הנחל"ד</w:t>
      </w:r>
      <w:r>
        <w:rPr>
          <w:rFonts w:hint="cs"/>
          <w:rtl/>
        </w:rPr>
        <w:t xml:space="preserve"> דכן צריך לבאר לכל </w:t>
      </w:r>
      <w:r w:rsidRPr="00563F4A">
        <w:rPr>
          <w:rStyle w:val="af8"/>
          <w:rFonts w:hint="cs"/>
          <w:rtl/>
        </w:rPr>
        <w:t>הראשונים</w:t>
      </w:r>
      <w:r>
        <w:rPr>
          <w:rFonts w:hint="cs"/>
          <w:rtl/>
        </w:rPr>
        <w:t xml:space="preserve"> דס"ל דהגדר בטעם כעיקר הוא דנהפך ההיתר להיות איסור.</w:t>
      </w:r>
    </w:p>
    <w:p w:rsidR="00F34A57" w:rsidRPr="008E51A1" w:rsidRDefault="00F34A57" w:rsidP="00F34A57">
      <w:pPr>
        <w:pStyle w:val="1"/>
        <w:rPr>
          <w:rtl/>
        </w:rPr>
      </w:pPr>
      <w:bookmarkStart w:id="6647" w:name="_Toc14109737"/>
      <w:bookmarkStart w:id="6648" w:name="_Toc14120101"/>
      <w:bookmarkStart w:id="6649" w:name="_Toc14122276"/>
      <w:bookmarkStart w:id="6650" w:name="_Toc14196228"/>
      <w:bookmarkStart w:id="6651" w:name="_Toc14208791"/>
      <w:bookmarkStart w:id="6652" w:name="_Toc14248884"/>
      <w:bookmarkStart w:id="6653" w:name="_Toc14257390"/>
      <w:r>
        <w:rPr>
          <w:rFonts w:hint="cs"/>
          <w:rtl/>
        </w:rPr>
        <w:t>ביאור</w:t>
      </w:r>
      <w:r w:rsidRPr="008E51A1">
        <w:rPr>
          <w:rFonts w:hint="cs"/>
          <w:rtl/>
        </w:rPr>
        <w:t xml:space="preserve"> החוו"ד</w:t>
      </w:r>
      <w:bookmarkEnd w:id="6598"/>
      <w:bookmarkEnd w:id="6647"/>
      <w:r>
        <w:rPr>
          <w:rFonts w:hint="cs"/>
          <w:rtl/>
        </w:rPr>
        <w:t xml:space="preserve"> ברש"י דכל החידוש בדין טע"כ הוא רק לנהפך</w:t>
      </w:r>
      <w:bookmarkEnd w:id="6648"/>
      <w:bookmarkEnd w:id="6649"/>
      <w:bookmarkEnd w:id="6650"/>
      <w:bookmarkEnd w:id="6651"/>
      <w:bookmarkEnd w:id="6652"/>
      <w:bookmarkEnd w:id="6653"/>
    </w:p>
    <w:p w:rsidR="00F34A57" w:rsidRPr="0005754A" w:rsidRDefault="00F34A57" w:rsidP="00F34A57">
      <w:pPr>
        <w:pStyle w:val="a2"/>
      </w:pPr>
      <w:bookmarkStart w:id="6654" w:name="_Toc14120102"/>
      <w:bookmarkStart w:id="6655" w:name="_Toc14122277"/>
      <w:bookmarkStart w:id="6656" w:name="_Toc14196229"/>
      <w:bookmarkStart w:id="6657" w:name="_Toc14208792"/>
      <w:bookmarkStart w:id="6658" w:name="_Toc14248885"/>
      <w:bookmarkStart w:id="6659" w:name="_Toc14257391"/>
      <w:r>
        <w:rPr>
          <w:rFonts w:hint="cs"/>
          <w:rtl/>
        </w:rPr>
        <w:t>דברי החוו"ד דההלמ"מ בכזית בכא"פ דל"מ ביטול במין בשאינו מינו ולא אזלינן בתר רובא</w:t>
      </w:r>
      <w:bookmarkEnd w:id="6654"/>
      <w:bookmarkEnd w:id="6655"/>
      <w:bookmarkEnd w:id="6656"/>
      <w:bookmarkEnd w:id="6657"/>
      <w:bookmarkEnd w:id="6658"/>
      <w:bookmarkEnd w:id="6659"/>
    </w:p>
    <w:p w:rsidR="00F34A57" w:rsidRDefault="00F34A57" w:rsidP="009F44AF">
      <w:pPr>
        <w:pStyle w:val="a"/>
        <w:rPr>
          <w:rtl/>
        </w:rPr>
      </w:pPr>
      <w:r>
        <w:rPr>
          <w:rFonts w:hint="cs"/>
          <w:rtl/>
        </w:rPr>
        <w:t xml:space="preserve">הביא </w:t>
      </w:r>
      <w:r>
        <w:rPr>
          <w:rStyle w:val="af8"/>
          <w:rtl/>
        </w:rPr>
        <w:t>החוו"ד</w:t>
      </w:r>
      <w:r>
        <w:rPr>
          <w:rStyle w:val="af6"/>
          <w:rFonts w:eastAsia="Guttman Hodes" w:hint="cs"/>
          <w:rtl/>
        </w:rPr>
        <w:t xml:space="preserve"> (סי' צ"ח סק"ג) </w:t>
      </w:r>
      <w:r>
        <w:rPr>
          <w:rFonts w:hint="cs"/>
          <w:rtl/>
        </w:rPr>
        <w:t xml:space="preserve">את דברי </w:t>
      </w:r>
      <w:r>
        <w:rPr>
          <w:rStyle w:val="af8"/>
          <w:rtl/>
        </w:rPr>
        <w:t>רש"י בפסחים</w:t>
      </w:r>
      <w:r>
        <w:rPr>
          <w:rFonts w:hint="cs"/>
          <w:rtl/>
        </w:rPr>
        <w:t xml:space="preserve"> </w:t>
      </w:r>
      <w:r>
        <w:rPr>
          <w:rStyle w:val="af6"/>
          <w:rFonts w:eastAsia="Guttman Hodes" w:hint="cs"/>
          <w:rtl/>
        </w:rPr>
        <w:t xml:space="preserve">(מד. ד"ה וכזית) </w:t>
      </w:r>
      <w:r>
        <w:rPr>
          <w:rFonts w:hint="cs"/>
          <w:rtl/>
        </w:rPr>
        <w:t xml:space="preserve">דכתב דהא דכזית בכדי אכילת פרס הוא דאו', נלמד מהלכה למשה מסיני כשאר השיעורים, וכתב </w:t>
      </w:r>
      <w:r>
        <w:rPr>
          <w:rStyle w:val="af8"/>
          <w:rtl/>
        </w:rPr>
        <w:t>החוו"ד</w:t>
      </w:r>
      <w:r>
        <w:rPr>
          <w:rFonts w:hint="cs"/>
          <w:rtl/>
        </w:rPr>
        <w:t xml:space="preserve"> דהביאור בזה הוא כדכתבו </w:t>
      </w:r>
      <w:r>
        <w:rPr>
          <w:rStyle w:val="af8"/>
          <w:rtl/>
        </w:rPr>
        <w:t>התוס' בפסחים</w:t>
      </w:r>
      <w:r>
        <w:rPr>
          <w:rFonts w:hint="cs"/>
          <w:rtl/>
        </w:rPr>
        <w:t xml:space="preserve"> </w:t>
      </w:r>
      <w:r>
        <w:rPr>
          <w:rStyle w:val="af6"/>
          <w:rFonts w:eastAsia="Guttman Hodes" w:hint="cs"/>
          <w:rtl/>
        </w:rPr>
        <w:t xml:space="preserve">(מד. ד"ה איתיביה) </w:t>
      </w:r>
      <w:r>
        <w:rPr>
          <w:rFonts w:hint="cs"/>
          <w:rtl/>
        </w:rPr>
        <w:t xml:space="preserve">דהחידוש בכזית בכדי אכילת פרס, הוא דאף דמהני ביטול ברוב במין במינו, מ"מ במין בשאינו מינו נאמרה ההלכה למשה מסיני דלא מהני ביטול ברוב מדאו', וכתב </w:t>
      </w:r>
      <w:r>
        <w:rPr>
          <w:rStyle w:val="af8"/>
          <w:rtl/>
        </w:rPr>
        <w:t>החוו"ד</w:t>
      </w:r>
      <w:r>
        <w:rPr>
          <w:rFonts w:hint="cs"/>
          <w:rtl/>
        </w:rPr>
        <w:t xml:space="preserve"> דצ"ל דההלכה למשה מסיני היא, דבמין בשאינו מינו לא אזלינן בתר רובא, ולא ילפינן מקרא דאחרי רבים להטות, ולכן האיסור אינו מתבטל ברוב, ומדאו' הוא אוסר עד שישים, ובשישים בטל האיסור, כדילפינן מזרוע בשלה.</w:t>
      </w:r>
    </w:p>
    <w:p w:rsidR="00F34A57" w:rsidRDefault="00F34A57" w:rsidP="00F34A57">
      <w:pPr>
        <w:pStyle w:val="a2"/>
        <w:rPr>
          <w:rtl/>
        </w:rPr>
      </w:pPr>
      <w:bookmarkStart w:id="6660" w:name="_Toc14120103"/>
      <w:bookmarkStart w:id="6661" w:name="_Toc14122278"/>
      <w:bookmarkStart w:id="6662" w:name="_Toc14196230"/>
      <w:bookmarkStart w:id="6663" w:name="_Toc14208793"/>
      <w:bookmarkStart w:id="6664" w:name="_Toc14248886"/>
      <w:bookmarkStart w:id="6665" w:name="_Toc14257392"/>
      <w:r>
        <w:rPr>
          <w:rFonts w:hint="cs"/>
          <w:rtl/>
        </w:rPr>
        <w:t>קושית החוו"ד דא"צ ילפותא לטע"כ דאף בלא הטעם אסורה הממשות מהלמ"מ דכזית בכא"פ</w:t>
      </w:r>
      <w:bookmarkEnd w:id="6660"/>
      <w:bookmarkEnd w:id="6661"/>
      <w:bookmarkEnd w:id="6662"/>
      <w:bookmarkEnd w:id="6663"/>
      <w:bookmarkEnd w:id="6664"/>
      <w:bookmarkEnd w:id="6665"/>
    </w:p>
    <w:p w:rsidR="00F34A57" w:rsidRDefault="00F34A57" w:rsidP="009F44AF">
      <w:pPr>
        <w:pStyle w:val="a"/>
        <w:rPr>
          <w:rtl/>
        </w:rPr>
      </w:pPr>
      <w:r>
        <w:rPr>
          <w:rFonts w:hint="cs"/>
          <w:rtl/>
        </w:rPr>
        <w:t xml:space="preserve">והקשה </w:t>
      </w:r>
      <w:r>
        <w:rPr>
          <w:rStyle w:val="af8"/>
          <w:rtl/>
        </w:rPr>
        <w:t>החוו"ד</w:t>
      </w:r>
      <w:r>
        <w:rPr>
          <w:rFonts w:hint="cs"/>
          <w:rtl/>
        </w:rPr>
        <w:t xml:space="preserve"> דהא איתא בגמ' בפסחים</w:t>
      </w:r>
      <w:r>
        <w:rPr>
          <w:rStyle w:val="af6"/>
          <w:rFonts w:eastAsia="Guttman Hodes" w:hint="cs"/>
          <w:rtl/>
        </w:rPr>
        <w:t xml:space="preserve"> </w:t>
      </w:r>
      <w:r w:rsidRPr="001275CC">
        <w:rPr>
          <w:rStyle w:val="af6"/>
          <w:rFonts w:eastAsia="Guttman Hodes" w:hint="cs"/>
          <w:rtl/>
        </w:rPr>
        <w:t>(מד.)</w:t>
      </w:r>
      <w:r>
        <w:rPr>
          <w:rFonts w:hint="cs"/>
          <w:rtl/>
        </w:rPr>
        <w:t xml:space="preserve"> דממשרת ילפינן דבשרה פתו ביין חייב דטעם כעיקר דאו', ואמאי צריך ילפותא לטעם </w:t>
      </w:r>
      <w:r>
        <w:rPr>
          <w:rFonts w:hint="cs"/>
          <w:rtl/>
        </w:rPr>
        <w:lastRenderedPageBreak/>
        <w:t>כעיקר, הרי אף כשאין טעם יש איסור בממשות מדין כזית בכדי אכילת פרס, וכ"ש להסוברים דטעם כעיקר דרבנן, ורק בכזית בכדי אכילת פרס טעם כעיקר דאו', א"כ א"צ את הילפותא ממשרת, דהכל נלמד מההלכה למשה מסיני דכזית בכדי אכילת פרס, דיש חיוב דאו' אף במקום שאין טעם איסור.</w:t>
      </w:r>
    </w:p>
    <w:p w:rsidR="00F34A57" w:rsidRDefault="00F34A57" w:rsidP="00F34A57">
      <w:pPr>
        <w:pStyle w:val="a2"/>
        <w:rPr>
          <w:rtl/>
        </w:rPr>
      </w:pPr>
      <w:bookmarkStart w:id="6666" w:name="_Toc14120104"/>
      <w:bookmarkStart w:id="6667" w:name="_Toc14122279"/>
      <w:bookmarkStart w:id="6668" w:name="_Toc14196231"/>
      <w:bookmarkStart w:id="6669" w:name="_Toc14208794"/>
      <w:bookmarkStart w:id="6670" w:name="_Toc14248887"/>
      <w:bookmarkStart w:id="6671" w:name="_Toc14257393"/>
      <w:r>
        <w:rPr>
          <w:rFonts w:hint="cs"/>
          <w:rtl/>
        </w:rPr>
        <w:t>ביאור החוו"ד ברש"י דהחידוש בטע"כ דאמרינן נהפך וההלמ"מ דכזית בכא"פ נאמרה כשאין טעם</w:t>
      </w:r>
      <w:bookmarkEnd w:id="6666"/>
      <w:bookmarkEnd w:id="6667"/>
      <w:bookmarkEnd w:id="6668"/>
      <w:bookmarkEnd w:id="6669"/>
      <w:bookmarkEnd w:id="6670"/>
      <w:bookmarkEnd w:id="6671"/>
    </w:p>
    <w:p w:rsidR="00F34A57" w:rsidRDefault="00F34A57" w:rsidP="009F44AF">
      <w:pPr>
        <w:pStyle w:val="a"/>
        <w:rPr>
          <w:rtl/>
        </w:rPr>
      </w:pPr>
      <w:r>
        <w:rPr>
          <w:rFonts w:hint="cs"/>
          <w:rtl/>
        </w:rPr>
        <w:t xml:space="preserve">ותירץ </w:t>
      </w:r>
      <w:r>
        <w:rPr>
          <w:rStyle w:val="af8"/>
          <w:rtl/>
        </w:rPr>
        <w:t>החוו"ד</w:t>
      </w:r>
      <w:r>
        <w:rPr>
          <w:rFonts w:hint="cs"/>
          <w:rtl/>
        </w:rPr>
        <w:t xml:space="preserve"> דהחידוש בטעם כעיקר הוא לדין נהפך כדכתב </w:t>
      </w:r>
      <w:r>
        <w:rPr>
          <w:rStyle w:val="af8"/>
          <w:rtl/>
        </w:rPr>
        <w:t>רש"י בפסחים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Ref14106142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ב)</w:t>
      </w:r>
      <w:r>
        <w:rPr>
          <w:rStyle w:val="af6"/>
          <w:rFonts w:eastAsia="Guttman Hodes"/>
          <w:rtl/>
        </w:rPr>
        <w:fldChar w:fldCharType="end"/>
      </w:r>
      <w:r>
        <w:rPr>
          <w:rFonts w:hint="cs"/>
          <w:rtl/>
        </w:rPr>
        <w:t xml:space="preserve"> כשאכל כזית מהפת והיין יחד דהפת עצמה אסורה מדין נהפך בטעם כעיקר, אבל במקום שאין טעם של איסור, לא נאמר דין נהפך, ובזה נאמרה ההלכה למשה מסיני דכזית בכדי אכילת פרס, דהאיסור לא התבטל בהיתר, ולוקה עליו כשאכל כזית בכדי אכילת פרס.</w:t>
      </w:r>
    </w:p>
    <w:p w:rsidR="00F34A57" w:rsidRDefault="00F34A57" w:rsidP="00E669F8">
      <w:pPr>
        <w:pStyle w:val="afd"/>
        <w:rPr>
          <w:rFonts w:eastAsiaTheme="minorEastAsia" w:cstheme="minorBidi"/>
          <w:i/>
          <w:iCs/>
          <w:szCs w:val="22"/>
          <w:rtl/>
        </w:rPr>
      </w:pPr>
      <w:bookmarkStart w:id="6672" w:name="_Toc13773280"/>
      <w:bookmarkStart w:id="6673" w:name="_Toc13952587"/>
      <w:bookmarkStart w:id="6674" w:name="_Toc14089934"/>
      <w:bookmarkStart w:id="6675" w:name="_Toc14109740"/>
      <w:bookmarkStart w:id="6676" w:name="_Toc14120107"/>
      <w:bookmarkStart w:id="6677" w:name="_Toc14122282"/>
      <w:bookmarkStart w:id="6678" w:name="_Toc14196234"/>
      <w:bookmarkStart w:id="6679" w:name="_Toc14208797"/>
      <w:bookmarkStart w:id="6680" w:name="_Toc14248890"/>
      <w:bookmarkStart w:id="6681" w:name="_Toc14257396"/>
      <w:bookmarkEnd w:id="6599"/>
      <w:r>
        <w:rPr>
          <w:rtl/>
        </w:rPr>
        <w:t xml:space="preserve">בביאור </w:t>
      </w:r>
      <w:r>
        <w:rPr>
          <w:rFonts w:hint="cs"/>
          <w:rtl/>
        </w:rPr>
        <w:t>הרא"ש ב</w:t>
      </w:r>
      <w:r>
        <w:rPr>
          <w:rtl/>
        </w:rPr>
        <w:t>ר"ת דאמרינן נהפך</w:t>
      </w:r>
    </w:p>
    <w:p w:rsidR="00F34A57" w:rsidRDefault="00F34A57" w:rsidP="00F34A57">
      <w:pPr>
        <w:pStyle w:val="1"/>
        <w:rPr>
          <w:rFonts w:eastAsiaTheme="minorEastAsia" w:cstheme="minorBidi"/>
          <w:i/>
          <w:iCs/>
          <w:noProof/>
          <w:sz w:val="22"/>
          <w:szCs w:val="22"/>
          <w:rtl/>
        </w:rPr>
      </w:pPr>
      <w:r>
        <w:rPr>
          <w:noProof/>
          <w:rtl/>
        </w:rPr>
        <w:t xml:space="preserve">דברי </w:t>
      </w:r>
      <w:r>
        <w:rPr>
          <w:rFonts w:hint="cs"/>
          <w:noProof/>
          <w:rtl/>
        </w:rPr>
        <w:t>הרא"ש ב</w:t>
      </w:r>
      <w:r>
        <w:rPr>
          <w:noProof/>
          <w:rtl/>
        </w:rPr>
        <w:t>ר"ת דטעם כעיקר דאו' ולוקין עליו</w:t>
      </w:r>
      <w:r>
        <w:rPr>
          <w:rFonts w:hint="cs"/>
          <w:noProof/>
          <w:rtl/>
        </w:rPr>
        <w:t xml:space="preserve"> ואמרינן נהפך</w:t>
      </w:r>
    </w:p>
    <w:p w:rsidR="00F34A57" w:rsidRPr="007E0C12" w:rsidRDefault="00F34A57" w:rsidP="00F34A57">
      <w:pPr>
        <w:pStyle w:val="a2"/>
        <w:rPr>
          <w:rtl/>
        </w:rPr>
      </w:pPr>
      <w:r w:rsidRPr="0085621E">
        <w:rPr>
          <w:rFonts w:hint="cs"/>
          <w:rtl/>
        </w:rPr>
        <w:t xml:space="preserve">דברי התוס' </w:t>
      </w:r>
      <w:bookmarkStart w:id="6682" w:name="_Toc14089935"/>
      <w:bookmarkStart w:id="6683" w:name="_Toc14109741"/>
      <w:bookmarkEnd w:id="6672"/>
      <w:bookmarkEnd w:id="6673"/>
      <w:bookmarkEnd w:id="6674"/>
      <w:bookmarkEnd w:id="6675"/>
      <w:r>
        <w:rPr>
          <w:rFonts w:hint="cs"/>
          <w:rtl/>
        </w:rPr>
        <w:t>ו</w:t>
      </w:r>
      <w:r w:rsidRPr="007E0C12">
        <w:rPr>
          <w:rFonts w:hint="cs"/>
          <w:rtl/>
        </w:rPr>
        <w:t xml:space="preserve">הרא"ש </w:t>
      </w:r>
      <w:r>
        <w:rPr>
          <w:rFonts w:hint="cs"/>
          <w:rtl/>
        </w:rPr>
        <w:t xml:space="preserve">והרשב"א בשם ר"ת </w:t>
      </w:r>
      <w:r w:rsidRPr="007E0C12">
        <w:rPr>
          <w:rFonts w:hint="cs"/>
          <w:rtl/>
        </w:rPr>
        <w:t xml:space="preserve">דבמין בשאינו מינו </w:t>
      </w:r>
      <w:r>
        <w:rPr>
          <w:rFonts w:hint="cs"/>
          <w:rtl/>
        </w:rPr>
        <w:t>לכו"ע אסור</w:t>
      </w:r>
      <w:r w:rsidRPr="007E0C12">
        <w:rPr>
          <w:rFonts w:hint="cs"/>
          <w:rtl/>
        </w:rPr>
        <w:t xml:space="preserve"> </w:t>
      </w:r>
      <w:r>
        <w:rPr>
          <w:rFonts w:hint="cs"/>
          <w:rtl/>
        </w:rPr>
        <w:t>מ</w:t>
      </w:r>
      <w:r w:rsidRPr="007E0C12">
        <w:rPr>
          <w:rFonts w:hint="cs"/>
          <w:rtl/>
        </w:rPr>
        <w:t>דאו' ולוקין עליו</w:t>
      </w:r>
      <w:bookmarkEnd w:id="6676"/>
      <w:bookmarkEnd w:id="6677"/>
      <w:bookmarkEnd w:id="6678"/>
      <w:bookmarkEnd w:id="6679"/>
      <w:bookmarkEnd w:id="6680"/>
      <w:bookmarkEnd w:id="6681"/>
      <w:bookmarkEnd w:id="6682"/>
      <w:bookmarkEnd w:id="6683"/>
    </w:p>
    <w:p w:rsidR="00F34A57" w:rsidRPr="00030B26" w:rsidRDefault="00F34A57" w:rsidP="009F44AF">
      <w:pPr>
        <w:pStyle w:val="a"/>
        <w:rPr>
          <w:sz w:val="10"/>
          <w:szCs w:val="14"/>
        </w:rPr>
      </w:pPr>
      <w:bookmarkStart w:id="6684" w:name="_Ref14016801"/>
      <w:bookmarkStart w:id="6685" w:name="_Ref14194883"/>
      <w:r>
        <w:rPr>
          <w:rFonts w:hint="cs"/>
          <w:rtl/>
        </w:rPr>
        <w:t>כתבו</w:t>
      </w:r>
      <w:r w:rsidRPr="0085621E">
        <w:rPr>
          <w:rFonts w:hint="cs"/>
          <w:rtl/>
        </w:rPr>
        <w:t xml:space="preserve"> </w:t>
      </w:r>
      <w:r w:rsidRPr="0085621E">
        <w:rPr>
          <w:rStyle w:val="af8"/>
          <w:rFonts w:hint="cs"/>
          <w:rtl/>
        </w:rPr>
        <w:t>התוס' בסוגיין</w:t>
      </w:r>
      <w:r w:rsidRPr="0085621E">
        <w:rPr>
          <w:rFonts w:hint="cs"/>
          <w:rtl/>
        </w:rPr>
        <w:t xml:space="preserve"> </w:t>
      </w:r>
      <w:r w:rsidRPr="0085621E">
        <w:rPr>
          <w:rStyle w:val="af6"/>
          <w:rFonts w:eastAsia="Guttman Hodes" w:hint="cs"/>
          <w:rtl/>
        </w:rPr>
        <w:t>(ד"ה רבא)</w:t>
      </w:r>
      <w:r w:rsidRPr="0085621E">
        <w:rPr>
          <w:rtl/>
        </w:rPr>
        <w:t xml:space="preserve"> </w:t>
      </w:r>
      <w:r w:rsidRPr="0085621E">
        <w:rPr>
          <w:rStyle w:val="af8"/>
          <w:rFonts w:hint="cs"/>
          <w:rtl/>
        </w:rPr>
        <w:t>והתוס' בע"ז</w:t>
      </w:r>
      <w:r w:rsidRPr="0085621E">
        <w:rPr>
          <w:rFonts w:hint="cs"/>
          <w:rtl/>
        </w:rPr>
        <w:t xml:space="preserve"> </w:t>
      </w:r>
      <w:r w:rsidRPr="0085621E">
        <w:rPr>
          <w:rStyle w:val="af6"/>
          <w:rFonts w:eastAsia="Guttman Hodes" w:hint="cs"/>
          <w:rtl/>
        </w:rPr>
        <w:t>(סז. ד"ה א"ר יוחנן)</w:t>
      </w:r>
      <w:r w:rsidRPr="0085621E">
        <w:rPr>
          <w:rFonts w:hint="cs"/>
          <w:rtl/>
        </w:rPr>
        <w:t xml:space="preserve"> </w:t>
      </w:r>
      <w:r w:rsidRPr="0085621E">
        <w:rPr>
          <w:rStyle w:val="af8"/>
          <w:rFonts w:hint="cs"/>
          <w:rtl/>
        </w:rPr>
        <w:t xml:space="preserve">והרא"ש </w:t>
      </w:r>
      <w:r w:rsidRPr="0085621E">
        <w:rPr>
          <w:rStyle w:val="af6"/>
          <w:rFonts w:eastAsia="Guttman Hodes" w:hint="cs"/>
          <w:rtl/>
        </w:rPr>
        <w:t>(סי' ל"א)</w:t>
      </w:r>
      <w:r>
        <w:rPr>
          <w:rStyle w:val="af8"/>
          <w:rFonts w:hint="cs"/>
          <w:rtl/>
        </w:rPr>
        <w:t xml:space="preserve"> </w:t>
      </w:r>
      <w:r w:rsidRPr="007E0C12">
        <w:rPr>
          <w:rFonts w:hint="cs"/>
          <w:rtl/>
        </w:rPr>
        <w:t xml:space="preserve">בשם </w:t>
      </w:r>
      <w:r w:rsidRPr="007E0C12">
        <w:rPr>
          <w:rStyle w:val="af8"/>
          <w:rFonts w:hint="cs"/>
          <w:rtl/>
        </w:rPr>
        <w:t xml:space="preserve">ר"ת בספר הישר </w:t>
      </w:r>
      <w:r w:rsidRPr="007E0C12">
        <w:rPr>
          <w:rStyle w:val="af6"/>
          <w:rFonts w:eastAsia="Guttman Hodes" w:hint="cs"/>
          <w:rtl/>
        </w:rPr>
        <w:t>(חלק החי' סי' תרצ"ד, הועתק בקובץ שיטות קמאי ע"ז ח"ב עמ'</w:t>
      </w:r>
      <w:r w:rsidRPr="007E0C12">
        <w:rPr>
          <w:rStyle w:val="af6"/>
          <w:rFonts w:eastAsia="Guttman Hodes"/>
          <w:rtl/>
        </w:rPr>
        <w:t xml:space="preserve"> אלף תר</w:t>
      </w:r>
      <w:r w:rsidRPr="007E0C12">
        <w:rPr>
          <w:rStyle w:val="af6"/>
          <w:rFonts w:eastAsia="Guttman Hodes" w:hint="cs"/>
          <w:rtl/>
        </w:rPr>
        <w:t>"</w:t>
      </w:r>
      <w:r w:rsidRPr="007E0C12">
        <w:rPr>
          <w:rStyle w:val="af6"/>
          <w:rFonts w:eastAsia="Guttman Hodes"/>
          <w:rtl/>
        </w:rPr>
        <w:t>י</w:t>
      </w:r>
      <w:r w:rsidRPr="007E0C12">
        <w:rPr>
          <w:rStyle w:val="af6"/>
          <w:rFonts w:eastAsia="Guttman Hodes" w:hint="cs"/>
          <w:rtl/>
        </w:rPr>
        <w:t>)</w:t>
      </w:r>
      <w:r w:rsidRPr="007E0C12">
        <w:rPr>
          <w:rFonts w:hint="cs"/>
          <w:rtl/>
        </w:rPr>
        <w:t xml:space="preserve"> </w:t>
      </w:r>
      <w:r w:rsidRPr="0085621E">
        <w:rPr>
          <w:rFonts w:hint="cs"/>
          <w:rtl/>
        </w:rPr>
        <w:t xml:space="preserve">דריו"ח דאמר </w:t>
      </w:r>
      <w:r>
        <w:rPr>
          <w:rFonts w:hint="cs"/>
          <w:rtl/>
        </w:rPr>
        <w:t>בע"ז</w:t>
      </w:r>
      <w:r w:rsidRPr="0085621E">
        <w:rPr>
          <w:rFonts w:hint="cs"/>
          <w:rtl/>
        </w:rPr>
        <w:t xml:space="preserve"> דבטעמו וממשו לוקין, </w:t>
      </w:r>
      <w:r>
        <w:rPr>
          <w:rFonts w:hint="cs"/>
          <w:rtl/>
        </w:rPr>
        <w:t>וב</w:t>
      </w:r>
      <w:r w:rsidRPr="0085621E">
        <w:rPr>
          <w:rFonts w:hint="cs"/>
          <w:rtl/>
        </w:rPr>
        <w:t>טעמו ולא ממשו אסור ואין לוקין עליו, היינו דוקא במין במינו דמדאו' בטל ברוב</w:t>
      </w:r>
      <w:r>
        <w:rPr>
          <w:rFonts w:hint="cs"/>
          <w:rtl/>
        </w:rPr>
        <w:t>,</w:t>
      </w:r>
      <w:bookmarkStart w:id="6686" w:name="_Toc13773283"/>
      <w:bookmarkStart w:id="6687" w:name="_Toc13952590"/>
      <w:r w:rsidRPr="00841A2F">
        <w:rPr>
          <w:rFonts w:hint="cs"/>
          <w:rtl/>
        </w:rPr>
        <w:t xml:space="preserve"> </w:t>
      </w:r>
      <w:r w:rsidRPr="00030B26">
        <w:rPr>
          <w:rFonts w:hint="cs"/>
          <w:rtl/>
        </w:rPr>
        <w:t>אבל במין בשאינו מינו</w:t>
      </w:r>
      <w:r>
        <w:rPr>
          <w:rFonts w:hint="cs"/>
          <w:rtl/>
        </w:rPr>
        <w:t xml:space="preserve"> אף לריו"ח טעם כעיקר דאו',</w:t>
      </w:r>
      <w:r w:rsidRPr="00030B26">
        <w:rPr>
          <w:rFonts w:hint="cs"/>
          <w:rtl/>
        </w:rPr>
        <w:t xml:space="preserve"> </w:t>
      </w:r>
      <w:r>
        <w:rPr>
          <w:rFonts w:hint="cs"/>
          <w:rtl/>
        </w:rPr>
        <w:t>וביארו</w:t>
      </w:r>
      <w:r w:rsidRPr="00030B26">
        <w:rPr>
          <w:rFonts w:hint="cs"/>
          <w:rtl/>
        </w:rPr>
        <w:t xml:space="preserve"> </w:t>
      </w:r>
      <w:r w:rsidRPr="00030B26">
        <w:rPr>
          <w:rStyle w:val="af8"/>
          <w:rFonts w:hint="cs"/>
          <w:rtl/>
        </w:rPr>
        <w:t xml:space="preserve">התוס' בע"ז והרשב"א בחי' </w:t>
      </w:r>
      <w:r w:rsidRPr="00030B26">
        <w:rPr>
          <w:rStyle w:val="af6"/>
          <w:rFonts w:eastAsia="Guttman Hodes" w:hint="cs"/>
          <w:rtl/>
        </w:rPr>
        <w:t xml:space="preserve">(ד"ה ומיהו) </w:t>
      </w:r>
      <w:r w:rsidRPr="00030B26">
        <w:rPr>
          <w:rStyle w:val="af8"/>
          <w:rFonts w:hint="cs"/>
          <w:rtl/>
        </w:rPr>
        <w:t xml:space="preserve">והתוס' הרא"ש </w:t>
      </w:r>
      <w:r w:rsidRPr="00030B26">
        <w:rPr>
          <w:rStyle w:val="af6"/>
          <w:rFonts w:eastAsia="Guttman Hodes" w:hint="cs"/>
          <w:rtl/>
        </w:rPr>
        <w:t>(ד"ה לא נצרכה)</w:t>
      </w:r>
      <w:r w:rsidRPr="00030B26">
        <w:rPr>
          <w:rFonts w:hint="cs"/>
          <w:rtl/>
        </w:rPr>
        <w:t xml:space="preserve"> ד</w:t>
      </w:r>
      <w:r>
        <w:rPr>
          <w:rFonts w:hint="cs"/>
          <w:rtl/>
        </w:rPr>
        <w:t xml:space="preserve">במין בשאינו מינו </w:t>
      </w:r>
      <w:r w:rsidRPr="00030B26">
        <w:rPr>
          <w:rFonts w:hint="cs"/>
          <w:rtl/>
        </w:rPr>
        <w:t>אף בטעמו ולא ממשו, אסור מדאו' ולוקין עליו</w:t>
      </w:r>
      <w:r>
        <w:rPr>
          <w:rFonts w:hint="cs"/>
          <w:rtl/>
        </w:rPr>
        <w:t>.</w:t>
      </w:r>
      <w:bookmarkEnd w:id="6684"/>
      <w:r>
        <w:rPr>
          <w:rFonts w:hint="cs"/>
          <w:sz w:val="10"/>
          <w:szCs w:val="14"/>
          <w:rtl/>
        </w:rPr>
        <w:t xml:space="preserve"> [ועמ"ש באריכות בדברי </w:t>
      </w:r>
      <w:r w:rsidRPr="00D73986">
        <w:rPr>
          <w:rStyle w:val="affa"/>
          <w:rFonts w:hint="cs"/>
          <w:rtl/>
        </w:rPr>
        <w:t>ר"ת</w:t>
      </w:r>
      <w:r>
        <w:rPr>
          <w:rFonts w:hint="cs"/>
          <w:sz w:val="10"/>
          <w:szCs w:val="14"/>
          <w:rtl/>
        </w:rPr>
        <w:t xml:space="preserve"> </w:t>
      </w:r>
      <w:r w:rsidRPr="00D73986">
        <w:rPr>
          <w:rStyle w:val="aff6"/>
          <w:rFonts w:hint="cs"/>
          <w:rtl/>
        </w:rPr>
        <w:t>(הובא לעיל סימן ט' אות</w:t>
      </w:r>
      <w:r w:rsidR="00CA7594">
        <w:rPr>
          <w:rStyle w:val="aff6"/>
          <w:rFonts w:hint="cs"/>
          <w:rtl/>
        </w:rPr>
        <w:t xml:space="preserve"> </w:t>
      </w:r>
      <w:r w:rsidR="00664FAE">
        <w:rPr>
          <w:rStyle w:val="aff6"/>
          <w:rtl/>
        </w:rPr>
        <w:fldChar w:fldCharType="begin"/>
      </w:r>
      <w:r w:rsidR="00664FAE">
        <w:rPr>
          <w:rStyle w:val="aff6"/>
          <w:rtl/>
        </w:rPr>
        <w:instrText xml:space="preserve"> </w:instrText>
      </w:r>
      <w:r w:rsidR="00664FAE">
        <w:rPr>
          <w:rStyle w:val="aff6"/>
          <w:rFonts w:hint="cs"/>
        </w:rPr>
        <w:instrText>REF</w:instrText>
      </w:r>
      <w:r w:rsidR="00664FAE">
        <w:rPr>
          <w:rStyle w:val="aff6"/>
          <w:rFonts w:hint="cs"/>
          <w:rtl/>
        </w:rPr>
        <w:instrText xml:space="preserve"> _</w:instrText>
      </w:r>
      <w:r w:rsidR="00664FAE">
        <w:rPr>
          <w:rStyle w:val="aff6"/>
          <w:rFonts w:hint="cs"/>
        </w:rPr>
        <w:instrText>Ref13654628 \r \h</w:instrText>
      </w:r>
      <w:r w:rsidR="00664FAE">
        <w:rPr>
          <w:rStyle w:val="aff6"/>
          <w:rtl/>
        </w:rPr>
        <w:instrText xml:space="preserve"> </w:instrText>
      </w:r>
      <w:r w:rsidR="00664FAE">
        <w:rPr>
          <w:rStyle w:val="aff6"/>
          <w:rtl/>
        </w:rPr>
      </w:r>
      <w:r w:rsidR="00664FAE">
        <w:rPr>
          <w:rStyle w:val="aff6"/>
          <w:rtl/>
        </w:rPr>
        <w:fldChar w:fldCharType="separate"/>
      </w:r>
      <w:r w:rsidR="004D1C5B">
        <w:rPr>
          <w:rStyle w:val="aff6"/>
          <w:cs/>
        </w:rPr>
        <w:t>‎</w:t>
      </w:r>
      <w:r w:rsidR="004D1C5B">
        <w:rPr>
          <w:rStyle w:val="aff6"/>
          <w:rtl/>
        </w:rPr>
        <w:t>נה)</w:t>
      </w:r>
      <w:r w:rsidR="00664FAE">
        <w:rPr>
          <w:rStyle w:val="aff6"/>
          <w:rtl/>
        </w:rPr>
        <w:fldChar w:fldCharType="end"/>
      </w:r>
      <w:r>
        <w:rPr>
          <w:rFonts w:hint="cs"/>
          <w:sz w:val="10"/>
          <w:szCs w:val="14"/>
          <w:rtl/>
        </w:rPr>
        <w:t xml:space="preserve"> בביאור דברי ריו"ח בטעמו וממשו וטעמו ולא ממשו].</w:t>
      </w:r>
      <w:bookmarkEnd w:id="6685"/>
    </w:p>
    <w:p w:rsidR="00F34A57" w:rsidRPr="00E00709" w:rsidRDefault="00F34A57" w:rsidP="00F34A57">
      <w:pPr>
        <w:pStyle w:val="a2"/>
        <w:rPr>
          <w:rtl/>
        </w:rPr>
      </w:pPr>
      <w:bookmarkStart w:id="6688" w:name="_Toc14122283"/>
      <w:bookmarkStart w:id="6689" w:name="_Toc14196235"/>
      <w:bookmarkStart w:id="6690" w:name="_Toc14208798"/>
      <w:bookmarkStart w:id="6691" w:name="_Toc14248891"/>
      <w:bookmarkStart w:id="6692" w:name="_Toc14257397"/>
      <w:bookmarkStart w:id="6693" w:name="_Toc14109742"/>
      <w:bookmarkStart w:id="6694" w:name="_Toc14120108"/>
      <w:r>
        <w:rPr>
          <w:rFonts w:hint="cs"/>
          <w:rtl/>
        </w:rPr>
        <w:t>דברי הרא"ש דלדעת ר"ת אם נשפך הרוטב ולא ידוע אם היה שישים הוא ספק דאו' ואסור</w:t>
      </w:r>
      <w:bookmarkEnd w:id="6688"/>
      <w:bookmarkEnd w:id="6689"/>
      <w:bookmarkEnd w:id="6690"/>
      <w:bookmarkEnd w:id="6691"/>
      <w:bookmarkEnd w:id="6692"/>
    </w:p>
    <w:p w:rsidR="00F34A57" w:rsidRPr="00CF74F1" w:rsidRDefault="00F34A57" w:rsidP="009F44AF">
      <w:pPr>
        <w:pStyle w:val="a"/>
        <w:rPr>
          <w:rtl/>
        </w:rPr>
      </w:pPr>
      <w:bookmarkStart w:id="6695" w:name="_Ref13759399"/>
      <w:r>
        <w:rPr>
          <w:rFonts w:hint="cs"/>
          <w:rtl/>
        </w:rPr>
        <w:t xml:space="preserve">וכתב </w:t>
      </w:r>
      <w:r w:rsidRPr="00CC7D10">
        <w:rPr>
          <w:rStyle w:val="af8"/>
          <w:rFonts w:hint="cs"/>
          <w:rtl/>
        </w:rPr>
        <w:t xml:space="preserve">הרא"ש </w:t>
      </w:r>
      <w:r>
        <w:rPr>
          <w:rFonts w:hint="cs"/>
          <w:rtl/>
        </w:rPr>
        <w:t xml:space="preserve">דלדעת </w:t>
      </w:r>
      <w:r w:rsidRPr="00CC7D10">
        <w:rPr>
          <w:rStyle w:val="af8"/>
          <w:rFonts w:hint="cs"/>
          <w:rtl/>
        </w:rPr>
        <w:t xml:space="preserve">ר"ת </w:t>
      </w:r>
      <w:r>
        <w:rPr>
          <w:rFonts w:hint="cs"/>
          <w:rtl/>
        </w:rPr>
        <w:t xml:space="preserve">דטעם כעיקר דאו', במקום שנשפך הרוטב ולא ידוע אם היה בו שישים, הוא ספק דאו' ואסור, אבל לדעת </w:t>
      </w:r>
      <w:r w:rsidRPr="00CC7D10">
        <w:rPr>
          <w:rStyle w:val="af8"/>
          <w:rFonts w:hint="cs"/>
          <w:rtl/>
        </w:rPr>
        <w:t xml:space="preserve">רש"י </w:t>
      </w:r>
      <w:r w:rsidRPr="00E00709">
        <w:rPr>
          <w:rStyle w:val="af6"/>
          <w:rFonts w:eastAsia="Guttman Hodes" w:hint="cs"/>
          <w:rtl/>
        </w:rPr>
        <w:t xml:space="preserve">(עי' אות </w:t>
      </w:r>
      <w:r w:rsidRPr="00E00709">
        <w:rPr>
          <w:rStyle w:val="af6"/>
          <w:rFonts w:eastAsia="Guttman Hodes"/>
          <w:rtl/>
        </w:rPr>
        <w:fldChar w:fldCharType="begin"/>
      </w:r>
      <w:r w:rsidRPr="00E00709">
        <w:rPr>
          <w:rStyle w:val="af6"/>
          <w:rFonts w:eastAsia="Guttman Hodes"/>
          <w:rtl/>
        </w:rPr>
        <w:instrText xml:space="preserve"> </w:instrText>
      </w:r>
      <w:r w:rsidRPr="00E00709">
        <w:rPr>
          <w:rStyle w:val="af6"/>
          <w:rFonts w:eastAsia="Guttman Hodes" w:hint="cs"/>
        </w:rPr>
        <w:instrText>REF</w:instrText>
      </w:r>
      <w:r w:rsidRPr="00E00709">
        <w:rPr>
          <w:rStyle w:val="af6"/>
          <w:rFonts w:eastAsia="Guttman Hodes" w:hint="cs"/>
          <w:rtl/>
        </w:rPr>
        <w:instrText xml:space="preserve"> _</w:instrText>
      </w:r>
      <w:r w:rsidRPr="00E00709">
        <w:rPr>
          <w:rStyle w:val="af6"/>
          <w:rFonts w:eastAsia="Guttman Hodes" w:hint="cs"/>
        </w:rPr>
        <w:instrText>Ref14106142 \r \h</w:instrText>
      </w:r>
      <w:r w:rsidRPr="00E00709">
        <w:rPr>
          <w:rStyle w:val="af6"/>
          <w:rFonts w:eastAsia="Guttman Hodes"/>
          <w:rtl/>
        </w:rPr>
        <w:instrText xml:space="preserve"> </w:instrText>
      </w:r>
      <w:r w:rsidRPr="00E00709">
        <w:rPr>
          <w:rStyle w:val="af6"/>
          <w:rFonts w:eastAsia="Guttman Hodes"/>
          <w:rtl/>
        </w:rPr>
      </w:r>
      <w:r w:rsidRPr="00E00709">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E00709">
        <w:rPr>
          <w:rStyle w:val="af6"/>
          <w:rFonts w:eastAsia="Guttman Hodes"/>
          <w:rtl/>
        </w:rPr>
        <w:fldChar w:fldCharType="end"/>
      </w:r>
      <w:r>
        <w:rPr>
          <w:rFonts w:hint="cs"/>
          <w:rtl/>
        </w:rPr>
        <w:t xml:space="preserve"> דטעם כעיקר דרבנן, הוא ספק דרבנן ומותר, ועי' במ"ש </w:t>
      </w:r>
      <w:r w:rsidRPr="00CC7D10">
        <w:rPr>
          <w:rStyle w:val="af8"/>
          <w:rFonts w:hint="cs"/>
          <w:rtl/>
        </w:rPr>
        <w:t xml:space="preserve">הגר"א </w:t>
      </w:r>
      <w:r>
        <w:rPr>
          <w:rStyle w:val="af8"/>
          <w:rFonts w:hint="cs"/>
          <w:rtl/>
        </w:rPr>
        <w:t>וה</w:t>
      </w:r>
      <w:r w:rsidRPr="007E0C12">
        <w:rPr>
          <w:rStyle w:val="af8"/>
          <w:rFonts w:hint="cs"/>
          <w:rtl/>
        </w:rPr>
        <w:t>פר"ח</w:t>
      </w:r>
      <w:r w:rsidRPr="007E0C12">
        <w:rPr>
          <w:rFonts w:hint="cs"/>
          <w:rtl/>
        </w:rPr>
        <w:t xml:space="preserve"> </w:t>
      </w:r>
      <w:r w:rsidRPr="00EB5D4E">
        <w:rPr>
          <w:rStyle w:val="af6"/>
          <w:rFonts w:eastAsia="Guttman Hodes" w:hint="cs"/>
          <w:rtl/>
        </w:rPr>
        <w:t xml:space="preserve">(עי' אות </w:t>
      </w:r>
      <w:r w:rsidRPr="00EB5D4E">
        <w:rPr>
          <w:rStyle w:val="af6"/>
          <w:rFonts w:eastAsia="Guttman Hodes"/>
          <w:rtl/>
        </w:rPr>
        <w:fldChar w:fldCharType="begin"/>
      </w:r>
      <w:r w:rsidRPr="00EB5D4E">
        <w:rPr>
          <w:rStyle w:val="af6"/>
          <w:rFonts w:eastAsia="Guttman Hodes"/>
          <w:rtl/>
        </w:rPr>
        <w:instrText xml:space="preserve"> </w:instrText>
      </w:r>
      <w:r w:rsidRPr="00EB5D4E">
        <w:rPr>
          <w:rStyle w:val="af6"/>
          <w:rFonts w:eastAsia="Guttman Hodes" w:hint="cs"/>
        </w:rPr>
        <w:instrText>REF</w:instrText>
      </w:r>
      <w:r w:rsidRPr="00EB5D4E">
        <w:rPr>
          <w:rStyle w:val="af6"/>
          <w:rFonts w:eastAsia="Guttman Hodes" w:hint="cs"/>
          <w:rtl/>
        </w:rPr>
        <w:instrText xml:space="preserve"> _</w:instrText>
      </w:r>
      <w:r w:rsidRPr="00EB5D4E">
        <w:rPr>
          <w:rStyle w:val="af6"/>
          <w:rFonts w:eastAsia="Guttman Hodes" w:hint="cs"/>
        </w:rPr>
        <w:instrText>Ref13759369 \r \h</w:instrText>
      </w:r>
      <w:r w:rsidRPr="00EB5D4E">
        <w:rPr>
          <w:rStyle w:val="af6"/>
          <w:rFonts w:eastAsia="Guttman Hodes"/>
          <w:rtl/>
        </w:rPr>
        <w:instrText xml:space="preserve"> </w:instrText>
      </w:r>
      <w:r w:rsidRPr="00EB5D4E">
        <w:rPr>
          <w:rStyle w:val="af6"/>
          <w:rFonts w:eastAsia="Guttman Hodes"/>
          <w:rtl/>
        </w:rPr>
      </w:r>
      <w:r w:rsidRPr="00EB5D4E">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EB5D4E">
        <w:rPr>
          <w:rStyle w:val="af6"/>
          <w:rFonts w:eastAsia="Guttman Hodes"/>
          <w:rtl/>
        </w:rPr>
        <w:fldChar w:fldCharType="end"/>
      </w:r>
      <w:r>
        <w:rPr>
          <w:rFonts w:hint="cs"/>
          <w:rtl/>
        </w:rPr>
        <w:t xml:space="preserve"> דכוונת </w:t>
      </w:r>
      <w:r w:rsidRPr="00CC7D10">
        <w:rPr>
          <w:rStyle w:val="af8"/>
          <w:rFonts w:hint="cs"/>
          <w:rtl/>
        </w:rPr>
        <w:t xml:space="preserve">הרא"ש </w:t>
      </w:r>
      <w:r>
        <w:rPr>
          <w:rFonts w:hint="cs"/>
          <w:rtl/>
        </w:rPr>
        <w:t xml:space="preserve">לומר כן רק בדעת </w:t>
      </w:r>
      <w:r w:rsidRPr="00C968BA">
        <w:rPr>
          <w:rStyle w:val="af8"/>
          <w:rFonts w:hint="cs"/>
          <w:rtl/>
        </w:rPr>
        <w:t>ר"ת</w:t>
      </w:r>
      <w:r>
        <w:rPr>
          <w:rFonts w:hint="cs"/>
          <w:rtl/>
        </w:rPr>
        <w:t xml:space="preserve">, ולא בדעת </w:t>
      </w:r>
      <w:r w:rsidRPr="00CC7D10">
        <w:rPr>
          <w:rStyle w:val="af8"/>
          <w:rFonts w:hint="cs"/>
          <w:rtl/>
        </w:rPr>
        <w:t>רבינו חיים</w:t>
      </w:r>
      <w:r>
        <w:rPr>
          <w:rFonts w:hint="cs"/>
          <w:rtl/>
        </w:rPr>
        <w:t xml:space="preserve"> </w:t>
      </w:r>
      <w:r w:rsidRPr="00967B7E">
        <w:rPr>
          <w:rStyle w:val="af6"/>
          <w:rFonts w:eastAsia="Guttman Hodes" w:hint="cs"/>
          <w:rtl/>
        </w:rPr>
        <w:t xml:space="preserve">(עי' אות </w:t>
      </w:r>
      <w:r w:rsidRPr="00967B7E">
        <w:rPr>
          <w:rStyle w:val="af6"/>
          <w:rFonts w:eastAsia="Guttman Hodes"/>
          <w:rtl/>
        </w:rPr>
        <w:fldChar w:fldCharType="begin"/>
      </w:r>
      <w:r w:rsidRPr="00967B7E">
        <w:rPr>
          <w:rStyle w:val="af6"/>
          <w:rFonts w:eastAsia="Guttman Hodes"/>
          <w:rtl/>
        </w:rPr>
        <w:instrText xml:space="preserve"> </w:instrText>
      </w:r>
      <w:r w:rsidRPr="00967B7E">
        <w:rPr>
          <w:rStyle w:val="af6"/>
          <w:rFonts w:eastAsia="Guttman Hodes" w:hint="cs"/>
        </w:rPr>
        <w:instrText>REF</w:instrText>
      </w:r>
      <w:r w:rsidRPr="00967B7E">
        <w:rPr>
          <w:rStyle w:val="af6"/>
          <w:rFonts w:eastAsia="Guttman Hodes" w:hint="cs"/>
          <w:rtl/>
        </w:rPr>
        <w:instrText xml:space="preserve"> _</w:instrText>
      </w:r>
      <w:r w:rsidRPr="00967B7E">
        <w:rPr>
          <w:rStyle w:val="af6"/>
          <w:rFonts w:eastAsia="Guttman Hodes" w:hint="cs"/>
        </w:rPr>
        <w:instrText>Ref14122210 \r \h</w:instrText>
      </w:r>
      <w:r w:rsidRPr="00967B7E">
        <w:rPr>
          <w:rStyle w:val="af6"/>
          <w:rFonts w:eastAsia="Guttman Hodes"/>
          <w:rtl/>
        </w:rPr>
        <w:instrText xml:space="preserve"> </w:instrText>
      </w:r>
      <w:r w:rsidRPr="00967B7E">
        <w:rPr>
          <w:rStyle w:val="af6"/>
          <w:rFonts w:eastAsia="Guttman Hodes"/>
          <w:rtl/>
        </w:rPr>
      </w:r>
      <w:r w:rsidRPr="00967B7E">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967B7E">
        <w:rPr>
          <w:rStyle w:val="af6"/>
          <w:rFonts w:eastAsia="Guttman Hodes"/>
          <w:rtl/>
        </w:rPr>
        <w:fldChar w:fldCharType="end"/>
      </w:r>
      <w:r>
        <w:rPr>
          <w:rFonts w:hint="cs"/>
          <w:rtl/>
        </w:rPr>
        <w:t xml:space="preserve">, וע"ע בדברי </w:t>
      </w:r>
      <w:r w:rsidRPr="00C968BA">
        <w:rPr>
          <w:rStyle w:val="af8"/>
          <w:rFonts w:hint="cs"/>
          <w:rtl/>
        </w:rPr>
        <w:t>הש"ך</w:t>
      </w:r>
      <w:r>
        <w:rPr>
          <w:rFonts w:hint="cs"/>
          <w:rtl/>
        </w:rPr>
        <w:t xml:space="preserve"> </w:t>
      </w:r>
      <w:r w:rsidRPr="00AF257B">
        <w:rPr>
          <w:rStyle w:val="af6"/>
          <w:rFonts w:eastAsia="Guttman Hodes" w:hint="cs"/>
          <w:rtl/>
        </w:rPr>
        <w:t xml:space="preserve">(עי' אות </w:t>
      </w:r>
      <w:r w:rsidRPr="00AF257B">
        <w:rPr>
          <w:rStyle w:val="af6"/>
          <w:rFonts w:eastAsia="Guttman Hodes"/>
          <w:rtl/>
        </w:rPr>
        <w:fldChar w:fldCharType="begin"/>
      </w:r>
      <w:r w:rsidRPr="00AF257B">
        <w:rPr>
          <w:rStyle w:val="af6"/>
          <w:rFonts w:eastAsia="Guttman Hodes"/>
          <w:rtl/>
        </w:rPr>
        <w:instrText xml:space="preserve"> </w:instrText>
      </w:r>
      <w:r w:rsidRPr="00AF257B">
        <w:rPr>
          <w:rStyle w:val="af6"/>
          <w:rFonts w:eastAsia="Guttman Hodes" w:hint="cs"/>
        </w:rPr>
        <w:instrText>REF</w:instrText>
      </w:r>
      <w:r w:rsidRPr="00AF257B">
        <w:rPr>
          <w:rStyle w:val="af6"/>
          <w:rFonts w:eastAsia="Guttman Hodes" w:hint="cs"/>
          <w:rtl/>
        </w:rPr>
        <w:instrText xml:space="preserve"> _</w:instrText>
      </w:r>
      <w:r w:rsidRPr="00AF257B">
        <w:rPr>
          <w:rStyle w:val="af6"/>
          <w:rFonts w:eastAsia="Guttman Hodes" w:hint="cs"/>
        </w:rPr>
        <w:instrText>Ref14122173 \r \h</w:instrText>
      </w:r>
      <w:r w:rsidRPr="00AF257B">
        <w:rPr>
          <w:rStyle w:val="af6"/>
          <w:rFonts w:eastAsia="Guttman Hodes"/>
          <w:rtl/>
        </w:rPr>
        <w:instrText xml:space="preserve"> </w:instrText>
      </w:r>
      <w:r w:rsidRPr="00AF257B">
        <w:rPr>
          <w:rStyle w:val="af6"/>
          <w:rFonts w:eastAsia="Guttman Hodes"/>
          <w:rtl/>
        </w:rPr>
      </w:r>
      <w:r w:rsidRPr="00AF257B">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AF257B">
        <w:rPr>
          <w:rStyle w:val="af6"/>
          <w:rFonts w:eastAsia="Guttman Hodes"/>
          <w:rtl/>
        </w:rPr>
        <w:fldChar w:fldCharType="end"/>
      </w:r>
      <w:r>
        <w:rPr>
          <w:rFonts w:hint="cs"/>
          <w:rtl/>
        </w:rPr>
        <w:t xml:space="preserve"> </w:t>
      </w:r>
      <w:r>
        <w:rPr>
          <w:rStyle w:val="af8"/>
          <w:rFonts w:hint="cs"/>
          <w:rtl/>
        </w:rPr>
        <w:t>ו</w:t>
      </w:r>
      <w:r w:rsidRPr="00C968BA">
        <w:rPr>
          <w:rStyle w:val="af8"/>
          <w:rFonts w:hint="cs"/>
          <w:rtl/>
        </w:rPr>
        <w:t>הגרעק"א</w:t>
      </w:r>
      <w:r>
        <w:rPr>
          <w:rFonts w:hint="cs"/>
          <w:rtl/>
        </w:rPr>
        <w:t xml:space="preserve"> </w:t>
      </w:r>
      <w:r w:rsidRPr="00AF257B">
        <w:rPr>
          <w:rStyle w:val="af6"/>
          <w:rFonts w:eastAsia="Guttman Hodes" w:hint="cs"/>
          <w:rtl/>
        </w:rPr>
        <w:t xml:space="preserve">(עי' אות </w:t>
      </w:r>
      <w:r w:rsidRPr="00AF257B">
        <w:rPr>
          <w:rStyle w:val="af6"/>
          <w:rFonts w:eastAsia="Guttman Hodes"/>
          <w:rtl/>
        </w:rPr>
        <w:fldChar w:fldCharType="begin"/>
      </w:r>
      <w:r w:rsidRPr="00AF257B">
        <w:rPr>
          <w:rStyle w:val="af6"/>
          <w:rFonts w:eastAsia="Guttman Hodes"/>
          <w:rtl/>
        </w:rPr>
        <w:instrText xml:space="preserve"> </w:instrText>
      </w:r>
      <w:r w:rsidRPr="00AF257B">
        <w:rPr>
          <w:rStyle w:val="af6"/>
          <w:rFonts w:eastAsia="Guttman Hodes" w:hint="cs"/>
        </w:rPr>
        <w:instrText>REF</w:instrText>
      </w:r>
      <w:r w:rsidRPr="00AF257B">
        <w:rPr>
          <w:rStyle w:val="af6"/>
          <w:rFonts w:eastAsia="Guttman Hodes" w:hint="cs"/>
          <w:rtl/>
        </w:rPr>
        <w:instrText xml:space="preserve"> _</w:instrText>
      </w:r>
      <w:r w:rsidRPr="00AF257B">
        <w:rPr>
          <w:rStyle w:val="af6"/>
          <w:rFonts w:eastAsia="Guttman Hodes" w:hint="cs"/>
        </w:rPr>
        <w:instrText>Ref14121147 \r \h</w:instrText>
      </w:r>
      <w:r w:rsidRPr="00AF257B">
        <w:rPr>
          <w:rStyle w:val="af6"/>
          <w:rFonts w:eastAsia="Guttman Hodes"/>
          <w:rtl/>
        </w:rPr>
        <w:instrText xml:space="preserve"> </w:instrText>
      </w:r>
      <w:r w:rsidRPr="00AF257B">
        <w:rPr>
          <w:rStyle w:val="af6"/>
          <w:rFonts w:eastAsia="Guttman Hodes"/>
          <w:rtl/>
        </w:rPr>
      </w:r>
      <w:r w:rsidRPr="00AF257B">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AF257B">
        <w:rPr>
          <w:rStyle w:val="af6"/>
          <w:rFonts w:eastAsia="Guttman Hodes"/>
          <w:rtl/>
        </w:rPr>
        <w:fldChar w:fldCharType="end"/>
      </w:r>
      <w:r>
        <w:rPr>
          <w:rFonts w:hint="cs"/>
          <w:rtl/>
        </w:rPr>
        <w:t xml:space="preserve"> ובדברי </w:t>
      </w:r>
      <w:r w:rsidRPr="00C04077">
        <w:rPr>
          <w:rStyle w:val="af8"/>
          <w:rFonts w:hint="cs"/>
          <w:rtl/>
        </w:rPr>
        <w:t>המשנת ר"א</w:t>
      </w:r>
      <w:r>
        <w:rPr>
          <w:rFonts w:hint="cs"/>
          <w:rtl/>
        </w:rPr>
        <w:t xml:space="preserve"> </w:t>
      </w:r>
      <w:r w:rsidRPr="00C04077">
        <w:rPr>
          <w:rStyle w:val="af6"/>
          <w:rFonts w:eastAsia="Guttman Hodes" w:hint="cs"/>
          <w:rtl/>
        </w:rPr>
        <w:t xml:space="preserve">(עי' אות </w:t>
      </w:r>
      <w:r w:rsidRPr="00C04077">
        <w:rPr>
          <w:rStyle w:val="af6"/>
          <w:rFonts w:eastAsia="Guttman Hodes"/>
          <w:rtl/>
        </w:rPr>
        <w:fldChar w:fldCharType="begin"/>
      </w:r>
      <w:r w:rsidRPr="00C04077">
        <w:rPr>
          <w:rStyle w:val="af6"/>
          <w:rFonts w:eastAsia="Guttman Hodes"/>
          <w:rtl/>
        </w:rPr>
        <w:instrText xml:space="preserve"> </w:instrText>
      </w:r>
      <w:r w:rsidRPr="00C04077">
        <w:rPr>
          <w:rStyle w:val="af6"/>
          <w:rFonts w:eastAsia="Guttman Hodes" w:hint="cs"/>
        </w:rPr>
        <w:instrText>REF</w:instrText>
      </w:r>
      <w:r w:rsidRPr="00C04077">
        <w:rPr>
          <w:rStyle w:val="af6"/>
          <w:rFonts w:eastAsia="Guttman Hodes" w:hint="cs"/>
          <w:rtl/>
        </w:rPr>
        <w:instrText xml:space="preserve"> _</w:instrText>
      </w:r>
      <w:r w:rsidRPr="00C04077">
        <w:rPr>
          <w:rStyle w:val="af6"/>
          <w:rFonts w:eastAsia="Guttman Hodes" w:hint="cs"/>
        </w:rPr>
        <w:instrText>Ref14255715 \r \h</w:instrText>
      </w:r>
      <w:r w:rsidRPr="00C04077">
        <w:rPr>
          <w:rStyle w:val="af6"/>
          <w:rFonts w:eastAsia="Guttman Hodes"/>
          <w:rtl/>
        </w:rPr>
        <w:instrText xml:space="preserve"> </w:instrText>
      </w:r>
      <w:r w:rsidRPr="00C04077">
        <w:rPr>
          <w:rStyle w:val="af6"/>
          <w:rFonts w:eastAsia="Guttman Hodes"/>
          <w:rtl/>
        </w:rPr>
      </w:r>
      <w:r w:rsidRPr="00C04077">
        <w:rPr>
          <w:rStyle w:val="af6"/>
          <w:rFonts w:eastAsia="Guttman Hodes"/>
          <w:rtl/>
        </w:rPr>
        <w:fldChar w:fldCharType="separate"/>
      </w:r>
      <w:r w:rsidR="004D1C5B">
        <w:rPr>
          <w:rStyle w:val="af6"/>
          <w:rFonts w:eastAsia="Guttman Hodes"/>
          <w:cs/>
        </w:rPr>
        <w:t>‎</w:t>
      </w:r>
      <w:r w:rsidR="004D1C5B">
        <w:rPr>
          <w:rStyle w:val="af6"/>
          <w:rFonts w:eastAsia="Guttman Hodes"/>
          <w:rtl/>
        </w:rPr>
        <w:t>קל)</w:t>
      </w:r>
      <w:r w:rsidRPr="00C04077">
        <w:rPr>
          <w:rStyle w:val="af6"/>
          <w:rFonts w:eastAsia="Guttman Hodes"/>
          <w:rtl/>
        </w:rPr>
        <w:fldChar w:fldCharType="end"/>
      </w:r>
      <w:r>
        <w:rPr>
          <w:rFonts w:hint="cs"/>
          <w:rtl/>
        </w:rPr>
        <w:t>.</w:t>
      </w:r>
      <w:bookmarkEnd w:id="6695"/>
    </w:p>
    <w:p w:rsidR="00F34A57" w:rsidRPr="00B47472" w:rsidRDefault="00F34A57" w:rsidP="00F34A57">
      <w:pPr>
        <w:pStyle w:val="1"/>
        <w:rPr>
          <w:rtl/>
        </w:rPr>
      </w:pPr>
      <w:bookmarkStart w:id="6696" w:name="_Toc14122284"/>
      <w:bookmarkStart w:id="6697" w:name="_Toc14196236"/>
      <w:bookmarkStart w:id="6698" w:name="_Toc14208799"/>
      <w:bookmarkStart w:id="6699" w:name="_Toc14248892"/>
      <w:bookmarkStart w:id="6700" w:name="_Toc14257398"/>
      <w:r>
        <w:rPr>
          <w:rFonts w:hint="cs"/>
          <w:rtl/>
        </w:rPr>
        <w:t>דעת הסוברים דלר"ת אמרינן נהפך דוקא כשיש כזית בכא"פ</w:t>
      </w:r>
      <w:bookmarkEnd w:id="6693"/>
      <w:bookmarkEnd w:id="6694"/>
      <w:bookmarkEnd w:id="6696"/>
      <w:bookmarkEnd w:id="6697"/>
      <w:bookmarkEnd w:id="6698"/>
      <w:bookmarkEnd w:id="6699"/>
      <w:bookmarkEnd w:id="6700"/>
    </w:p>
    <w:p w:rsidR="00F34A57" w:rsidRDefault="00F34A57" w:rsidP="00F34A57">
      <w:pPr>
        <w:pStyle w:val="a2"/>
      </w:pPr>
      <w:bookmarkStart w:id="6701" w:name="_Toc14120109"/>
      <w:bookmarkStart w:id="6702" w:name="_Toc14122285"/>
      <w:bookmarkStart w:id="6703" w:name="_Toc14196237"/>
      <w:bookmarkStart w:id="6704" w:name="_Toc14208800"/>
      <w:bookmarkStart w:id="6705" w:name="_Toc14248893"/>
      <w:bookmarkStart w:id="6706" w:name="_Toc14257399"/>
      <w:r>
        <w:rPr>
          <w:rFonts w:hint="cs"/>
          <w:rtl/>
        </w:rPr>
        <w:t>דברי התוס' הרא"ש בשם ר"ת דרק כזית בכא"פ לוקין על טעם כעיקר</w:t>
      </w:r>
      <w:bookmarkEnd w:id="6701"/>
      <w:bookmarkEnd w:id="6702"/>
      <w:bookmarkEnd w:id="6703"/>
      <w:bookmarkEnd w:id="6704"/>
      <w:bookmarkEnd w:id="6705"/>
      <w:bookmarkEnd w:id="6706"/>
    </w:p>
    <w:p w:rsidR="00F34A57" w:rsidRDefault="00F34A57" w:rsidP="009F44AF">
      <w:pPr>
        <w:pStyle w:val="a"/>
        <w:rPr>
          <w:rtl/>
        </w:rPr>
      </w:pPr>
      <w:bookmarkStart w:id="6707" w:name="_Ref14016688"/>
      <w:bookmarkEnd w:id="6686"/>
      <w:bookmarkEnd w:id="6687"/>
      <w:r w:rsidRPr="00030B26">
        <w:rPr>
          <w:rFonts w:hint="cs"/>
          <w:rtl/>
        </w:rPr>
        <w:t xml:space="preserve">והוסיף </w:t>
      </w:r>
      <w:r w:rsidRPr="00030B26">
        <w:rPr>
          <w:rStyle w:val="af8"/>
          <w:rFonts w:hint="cs"/>
          <w:rtl/>
        </w:rPr>
        <w:t>התוס' הרא"ש</w:t>
      </w:r>
      <w:r w:rsidRPr="00030B26">
        <w:rPr>
          <w:rFonts w:hint="cs"/>
          <w:rtl/>
        </w:rPr>
        <w:t xml:space="preserve"> </w:t>
      </w:r>
      <w:r w:rsidRPr="00030B26">
        <w:rPr>
          <w:rStyle w:val="af6"/>
          <w:rFonts w:eastAsia="Guttman Hodes" w:hint="cs"/>
          <w:rtl/>
        </w:rPr>
        <w:t>(ד"ה לא נצרכה)</w:t>
      </w:r>
      <w:r w:rsidRPr="00030B26">
        <w:rPr>
          <w:rFonts w:hint="cs"/>
          <w:rtl/>
        </w:rPr>
        <w:t xml:space="preserve"> </w:t>
      </w:r>
      <w:r w:rsidRPr="007E0C12">
        <w:rPr>
          <w:rFonts w:hint="cs"/>
          <w:rtl/>
        </w:rPr>
        <w:t xml:space="preserve">בשם </w:t>
      </w:r>
      <w:r w:rsidRPr="007E0C12">
        <w:rPr>
          <w:rStyle w:val="af8"/>
          <w:rFonts w:hint="cs"/>
          <w:rtl/>
        </w:rPr>
        <w:t xml:space="preserve">ר"ת </w:t>
      </w:r>
      <w:r>
        <w:rPr>
          <w:rFonts w:hint="cs"/>
          <w:rtl/>
        </w:rPr>
        <w:t xml:space="preserve">דהא דלוקין בטעם כעיקר, </w:t>
      </w:r>
      <w:r w:rsidRPr="00030B26">
        <w:rPr>
          <w:rFonts w:hint="cs"/>
          <w:rtl/>
        </w:rPr>
        <w:t>היינו דוקא אם אכל כזית בכדי אכילת פרס</w:t>
      </w:r>
      <w:r>
        <w:rPr>
          <w:rFonts w:hint="cs"/>
          <w:rtl/>
        </w:rPr>
        <w:t>.</w:t>
      </w:r>
    </w:p>
    <w:p w:rsidR="00F34A57" w:rsidRPr="0083252D" w:rsidRDefault="00F34A57" w:rsidP="00F34A57">
      <w:pPr>
        <w:pStyle w:val="a2"/>
      </w:pPr>
      <w:bookmarkStart w:id="6708" w:name="_Toc14120110"/>
      <w:bookmarkStart w:id="6709" w:name="_Toc14122286"/>
      <w:bookmarkStart w:id="6710" w:name="_Toc14196238"/>
      <w:bookmarkStart w:id="6711" w:name="_Toc14208801"/>
      <w:bookmarkStart w:id="6712" w:name="_Toc14248894"/>
      <w:bookmarkStart w:id="6713" w:name="_Toc14257400"/>
      <w:r>
        <w:rPr>
          <w:rFonts w:hint="cs"/>
          <w:rtl/>
        </w:rPr>
        <w:t>דברי הטור בשם ר"ת דרק כשיש כזית בכא"פ לוקין על טע"כ וחייב על כל כזית מהתערובת</w:t>
      </w:r>
      <w:bookmarkEnd w:id="6708"/>
      <w:bookmarkEnd w:id="6709"/>
      <w:bookmarkEnd w:id="6710"/>
      <w:bookmarkEnd w:id="6711"/>
      <w:bookmarkEnd w:id="6712"/>
      <w:bookmarkEnd w:id="6713"/>
    </w:p>
    <w:p w:rsidR="00F34A57" w:rsidRDefault="00F34A57" w:rsidP="009F44AF">
      <w:pPr>
        <w:pStyle w:val="a"/>
        <w:rPr>
          <w:rtl/>
        </w:rPr>
      </w:pPr>
      <w:r>
        <w:rPr>
          <w:rFonts w:hint="cs"/>
          <w:rtl/>
        </w:rPr>
        <w:t xml:space="preserve">וכ"כ </w:t>
      </w:r>
      <w:r w:rsidRPr="000D4BB8">
        <w:rPr>
          <w:rStyle w:val="af8"/>
          <w:rFonts w:hint="cs"/>
          <w:rtl/>
        </w:rPr>
        <w:t>הט</w:t>
      </w:r>
      <w:r w:rsidRPr="00CC7D10">
        <w:rPr>
          <w:rStyle w:val="af8"/>
          <w:rFonts w:hint="cs"/>
          <w:rtl/>
        </w:rPr>
        <w:t>ור</w:t>
      </w:r>
      <w:r>
        <w:rPr>
          <w:rFonts w:hint="cs"/>
          <w:rtl/>
        </w:rPr>
        <w:t xml:space="preserve"> </w:t>
      </w:r>
      <w:r w:rsidRPr="000D4BB8">
        <w:rPr>
          <w:rStyle w:val="af6"/>
          <w:rFonts w:eastAsia="Guttman Hodes" w:hint="cs"/>
          <w:rtl/>
        </w:rPr>
        <w:t>(סי' צ"ח ב')</w:t>
      </w:r>
      <w:r>
        <w:rPr>
          <w:rFonts w:hint="cs"/>
          <w:rtl/>
        </w:rPr>
        <w:t xml:space="preserve"> בשם </w:t>
      </w:r>
      <w:r w:rsidRPr="00CC7D10">
        <w:rPr>
          <w:rStyle w:val="af8"/>
          <w:rFonts w:hint="cs"/>
          <w:rtl/>
        </w:rPr>
        <w:t xml:space="preserve">ר"ת </w:t>
      </w:r>
      <w:r>
        <w:rPr>
          <w:rFonts w:hint="cs"/>
          <w:rtl/>
        </w:rPr>
        <w:t xml:space="preserve">דהא דלוקין בטעם כעיקר, הוא רק באופן שיש כ"כ הרבה מהאיסור בתוך התערובת, עד שהאיסור מעורב בהיתר בשיעור כזית בכדי אכילת פרס, והוסיף </w:t>
      </w:r>
      <w:r w:rsidRPr="00CC7D10">
        <w:rPr>
          <w:rStyle w:val="af8"/>
          <w:rFonts w:hint="cs"/>
          <w:rtl/>
        </w:rPr>
        <w:t>הטור</w:t>
      </w:r>
      <w:r>
        <w:rPr>
          <w:rFonts w:hint="cs"/>
          <w:rtl/>
        </w:rPr>
        <w:t xml:space="preserve"> בשם </w:t>
      </w:r>
      <w:r w:rsidRPr="00CC7D10">
        <w:rPr>
          <w:rStyle w:val="af8"/>
          <w:rFonts w:hint="cs"/>
          <w:rtl/>
        </w:rPr>
        <w:t xml:space="preserve">ר"ת </w:t>
      </w:r>
      <w:r>
        <w:rPr>
          <w:rFonts w:hint="cs"/>
          <w:rtl/>
        </w:rPr>
        <w:t xml:space="preserve">דכשיש כזית בכדי אכילת פרס, חייב מלקות על כל כזית וכזית מהתערובת, אך יעוי' בדברי </w:t>
      </w:r>
      <w:r>
        <w:rPr>
          <w:rStyle w:val="af8"/>
          <w:rFonts w:hint="cs"/>
          <w:rtl/>
        </w:rPr>
        <w:t>האחרונים</w:t>
      </w:r>
      <w:r>
        <w:rPr>
          <w:rFonts w:hint="cs"/>
          <w:rtl/>
        </w:rPr>
        <w:t xml:space="preserve"> </w:t>
      </w:r>
      <w:r w:rsidRPr="00F16EF2">
        <w:rPr>
          <w:rStyle w:val="af6"/>
          <w:rFonts w:eastAsia="Guttman Hodes" w:hint="cs"/>
          <w:rtl/>
        </w:rPr>
        <w:t xml:space="preserve">(עי' אות </w:t>
      </w:r>
      <w:r w:rsidRPr="00F16EF2">
        <w:rPr>
          <w:rStyle w:val="af6"/>
          <w:rFonts w:eastAsia="Guttman Hodes"/>
          <w:rtl/>
        </w:rPr>
        <w:fldChar w:fldCharType="begin"/>
      </w:r>
      <w:r w:rsidRPr="00F16EF2">
        <w:rPr>
          <w:rStyle w:val="af6"/>
          <w:rFonts w:eastAsia="Guttman Hodes"/>
          <w:rtl/>
        </w:rPr>
        <w:instrText xml:space="preserve"> </w:instrText>
      </w:r>
      <w:r w:rsidRPr="00F16EF2">
        <w:rPr>
          <w:rStyle w:val="af6"/>
          <w:rFonts w:eastAsia="Guttman Hodes" w:hint="cs"/>
        </w:rPr>
        <w:instrText>REF</w:instrText>
      </w:r>
      <w:r w:rsidRPr="00F16EF2">
        <w:rPr>
          <w:rStyle w:val="af6"/>
          <w:rFonts w:eastAsia="Guttman Hodes" w:hint="cs"/>
          <w:rtl/>
        </w:rPr>
        <w:instrText xml:space="preserve"> _</w:instrText>
      </w:r>
      <w:r w:rsidRPr="00F16EF2">
        <w:rPr>
          <w:rStyle w:val="af6"/>
          <w:rFonts w:eastAsia="Guttman Hodes" w:hint="cs"/>
        </w:rPr>
        <w:instrText>Ref14101227 \r \h</w:instrText>
      </w:r>
      <w:r w:rsidRPr="00F16EF2">
        <w:rPr>
          <w:rStyle w:val="af6"/>
          <w:rFonts w:eastAsia="Guttman Hodes"/>
          <w:rtl/>
        </w:rPr>
        <w:instrText xml:space="preserve"> </w:instrText>
      </w:r>
      <w:r w:rsidRPr="00F16EF2">
        <w:rPr>
          <w:rStyle w:val="af6"/>
          <w:rFonts w:eastAsia="Guttman Hodes"/>
          <w:rtl/>
        </w:rPr>
      </w:r>
      <w:r w:rsidRPr="00F16EF2">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F16EF2">
        <w:rPr>
          <w:rStyle w:val="af6"/>
          <w:rFonts w:eastAsia="Guttman Hodes"/>
          <w:rtl/>
        </w:rPr>
        <w:fldChar w:fldCharType="end"/>
      </w:r>
      <w:r>
        <w:rPr>
          <w:rFonts w:hint="cs"/>
          <w:rtl/>
        </w:rPr>
        <w:t xml:space="preserve"> דגרסו </w:t>
      </w:r>
      <w:r w:rsidRPr="00F16EF2">
        <w:rPr>
          <w:rStyle w:val="af8"/>
          <w:rFonts w:hint="cs"/>
          <w:rtl/>
        </w:rPr>
        <w:t>דהטור</w:t>
      </w:r>
      <w:r>
        <w:rPr>
          <w:rFonts w:hint="cs"/>
          <w:rtl/>
        </w:rPr>
        <w:t xml:space="preserve"> כ"כ בשם </w:t>
      </w:r>
      <w:r w:rsidRPr="00F16EF2">
        <w:rPr>
          <w:rStyle w:val="af8"/>
          <w:rFonts w:hint="cs"/>
          <w:rtl/>
        </w:rPr>
        <w:t>רבינו חיים</w:t>
      </w:r>
      <w:r>
        <w:rPr>
          <w:rFonts w:hint="cs"/>
          <w:rtl/>
        </w:rPr>
        <w:t xml:space="preserve"> ולא </w:t>
      </w:r>
      <w:r w:rsidRPr="00F16EF2">
        <w:rPr>
          <w:rStyle w:val="af8"/>
          <w:rFonts w:hint="cs"/>
          <w:rtl/>
        </w:rPr>
        <w:t>ר"ת</w:t>
      </w:r>
      <w:r>
        <w:rPr>
          <w:rFonts w:hint="cs"/>
          <w:rtl/>
        </w:rPr>
        <w:t>.</w:t>
      </w:r>
      <w:bookmarkEnd w:id="6707"/>
    </w:p>
    <w:p w:rsidR="00F34A57" w:rsidRPr="00054A8F" w:rsidRDefault="00F34A57" w:rsidP="00F34A57">
      <w:pPr>
        <w:pStyle w:val="a2"/>
        <w:rPr>
          <w:rtl/>
        </w:rPr>
      </w:pPr>
      <w:bookmarkStart w:id="6714" w:name="_Toc14120111"/>
      <w:bookmarkStart w:id="6715" w:name="_Toc14122287"/>
      <w:bookmarkStart w:id="6716" w:name="_Toc14196239"/>
      <w:bookmarkStart w:id="6717" w:name="_Toc14208802"/>
      <w:bookmarkStart w:id="6718" w:name="_Toc14248895"/>
      <w:bookmarkStart w:id="6719" w:name="_Toc14257401"/>
      <w:r>
        <w:rPr>
          <w:rFonts w:hint="cs"/>
          <w:rtl/>
        </w:rPr>
        <w:t>ביאור הב"י בדברי הטור דס"ל דר"ת מודה לדעת רבינו חיים דאין מלקות בפחות מכזית בכא"פ</w:t>
      </w:r>
      <w:bookmarkEnd w:id="6714"/>
      <w:bookmarkEnd w:id="6715"/>
      <w:bookmarkEnd w:id="6716"/>
      <w:bookmarkEnd w:id="6717"/>
      <w:bookmarkEnd w:id="6718"/>
      <w:bookmarkEnd w:id="6719"/>
    </w:p>
    <w:p w:rsidR="002D7168" w:rsidRDefault="00F34A57" w:rsidP="009F44AF">
      <w:pPr>
        <w:pStyle w:val="a"/>
        <w:rPr>
          <w:rtl/>
        </w:rPr>
      </w:pPr>
      <w:r>
        <w:rPr>
          <w:rFonts w:hint="cs"/>
          <w:rtl/>
        </w:rPr>
        <w:t xml:space="preserve">וכתב </w:t>
      </w:r>
      <w:r w:rsidRPr="00CC7D10">
        <w:rPr>
          <w:rStyle w:val="af8"/>
          <w:rFonts w:hint="cs"/>
          <w:rtl/>
        </w:rPr>
        <w:t xml:space="preserve">הב"י </w:t>
      </w:r>
      <w:r w:rsidRPr="00696700">
        <w:rPr>
          <w:rStyle w:val="af6"/>
          <w:rFonts w:eastAsia="Guttman Hodes" w:hint="cs"/>
          <w:rtl/>
        </w:rPr>
        <w:t xml:space="preserve">(סי' צ"ח ב' ד"ה וז"ל הרא"ש) </w:t>
      </w:r>
      <w:r>
        <w:rPr>
          <w:rFonts w:hint="cs"/>
          <w:rtl/>
        </w:rPr>
        <w:t xml:space="preserve">דהא דכתב </w:t>
      </w:r>
      <w:r w:rsidRPr="00CC7D10">
        <w:rPr>
          <w:rStyle w:val="af8"/>
          <w:rFonts w:hint="cs"/>
          <w:rtl/>
        </w:rPr>
        <w:t>הטור</w:t>
      </w:r>
      <w:r>
        <w:rPr>
          <w:rFonts w:hint="cs"/>
          <w:rtl/>
        </w:rPr>
        <w:t xml:space="preserve"> </w:t>
      </w:r>
      <w:r w:rsidRPr="00CB2789">
        <w:rPr>
          <w:rStyle w:val="af6"/>
          <w:rFonts w:eastAsia="Guttman Hodes" w:hint="cs"/>
          <w:rtl/>
        </w:rPr>
        <w:t xml:space="preserve">(עי' אות </w:t>
      </w:r>
      <w:r w:rsidRPr="00CB2789">
        <w:rPr>
          <w:rStyle w:val="af6"/>
          <w:rFonts w:eastAsia="Guttman Hodes"/>
          <w:rtl/>
        </w:rPr>
        <w:fldChar w:fldCharType="begin"/>
      </w:r>
      <w:r w:rsidRPr="00CB2789">
        <w:rPr>
          <w:rStyle w:val="af6"/>
          <w:rFonts w:eastAsia="Guttman Hodes"/>
          <w:rtl/>
        </w:rPr>
        <w:instrText xml:space="preserve"> </w:instrText>
      </w:r>
      <w:r w:rsidRPr="00CB2789">
        <w:rPr>
          <w:rStyle w:val="af6"/>
          <w:rFonts w:eastAsia="Guttman Hodes" w:hint="cs"/>
        </w:rPr>
        <w:instrText>REF</w:instrText>
      </w:r>
      <w:r w:rsidRPr="00CB2789">
        <w:rPr>
          <w:rStyle w:val="af6"/>
          <w:rFonts w:eastAsia="Guttman Hodes" w:hint="cs"/>
          <w:rtl/>
        </w:rPr>
        <w:instrText xml:space="preserve"> _</w:instrText>
      </w:r>
      <w:r w:rsidRPr="00CB2789">
        <w:rPr>
          <w:rStyle w:val="af6"/>
          <w:rFonts w:eastAsia="Guttman Hodes" w:hint="cs"/>
        </w:rPr>
        <w:instrText>Ref14016688 \r \h</w:instrText>
      </w:r>
      <w:r w:rsidRPr="00CB2789">
        <w:rPr>
          <w:rStyle w:val="af6"/>
          <w:rFonts w:eastAsia="Guttman Hodes"/>
          <w:rtl/>
        </w:rPr>
        <w:instrText xml:space="preserve"> </w:instrText>
      </w:r>
      <w:r w:rsidRPr="00CB2789">
        <w:rPr>
          <w:rStyle w:val="af6"/>
          <w:rFonts w:eastAsia="Guttman Hodes"/>
          <w:rtl/>
        </w:rPr>
      </w:r>
      <w:r w:rsidRPr="00CB2789">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CB2789">
        <w:rPr>
          <w:rStyle w:val="af6"/>
          <w:rFonts w:eastAsia="Guttman Hodes"/>
          <w:rtl/>
        </w:rPr>
        <w:fldChar w:fldCharType="end"/>
      </w:r>
      <w:r>
        <w:rPr>
          <w:rFonts w:hint="cs"/>
          <w:rtl/>
        </w:rPr>
        <w:t xml:space="preserve"> בשם </w:t>
      </w:r>
      <w:r w:rsidRPr="00CC7D10">
        <w:rPr>
          <w:rStyle w:val="af8"/>
          <w:rFonts w:hint="cs"/>
          <w:rtl/>
        </w:rPr>
        <w:t xml:space="preserve">ר"ת </w:t>
      </w:r>
      <w:r>
        <w:rPr>
          <w:rFonts w:hint="cs"/>
          <w:rtl/>
        </w:rPr>
        <w:t xml:space="preserve">דטעמו וממשו היינו בכזית בכדי אכילת פרס, הם דברי </w:t>
      </w:r>
      <w:r w:rsidRPr="00696700">
        <w:rPr>
          <w:rStyle w:val="af8"/>
          <w:rFonts w:hint="cs"/>
          <w:rtl/>
        </w:rPr>
        <w:t xml:space="preserve">הרא"ש </w:t>
      </w:r>
      <w:r>
        <w:rPr>
          <w:rFonts w:hint="cs"/>
          <w:rtl/>
        </w:rPr>
        <w:t xml:space="preserve">(עי' אות </w:t>
      </w:r>
      <w:r w:rsidRPr="006372EA">
        <w:rPr>
          <w:rStyle w:val="af6"/>
          <w:rFonts w:eastAsia="Guttman Hodes"/>
          <w:rtl/>
        </w:rPr>
        <w:fldChar w:fldCharType="begin"/>
      </w:r>
      <w:r w:rsidRPr="006372EA">
        <w:rPr>
          <w:rStyle w:val="af6"/>
          <w:rFonts w:eastAsia="Guttman Hodes"/>
          <w:rtl/>
        </w:rPr>
        <w:instrText xml:space="preserve"> </w:instrText>
      </w:r>
      <w:r w:rsidRPr="006372EA">
        <w:rPr>
          <w:rStyle w:val="af6"/>
          <w:rFonts w:eastAsia="Guttman Hodes" w:hint="cs"/>
        </w:rPr>
        <w:instrText>REF</w:instrText>
      </w:r>
      <w:r w:rsidRPr="006372EA">
        <w:rPr>
          <w:rStyle w:val="af6"/>
          <w:rFonts w:eastAsia="Guttman Hodes" w:hint="cs"/>
          <w:rtl/>
        </w:rPr>
        <w:instrText xml:space="preserve"> _</w:instrText>
      </w:r>
      <w:r w:rsidRPr="006372EA">
        <w:rPr>
          <w:rStyle w:val="af6"/>
          <w:rFonts w:eastAsia="Guttman Hodes" w:hint="cs"/>
        </w:rPr>
        <w:instrText>Ref14249711 \r \h</w:instrText>
      </w:r>
      <w:r w:rsidRPr="006372EA">
        <w:rPr>
          <w:rStyle w:val="af6"/>
          <w:rFonts w:eastAsia="Guttman Hodes"/>
          <w:rtl/>
        </w:rPr>
        <w:instrText xml:space="preserve"> </w:instrText>
      </w:r>
      <w:r w:rsidRPr="006372EA">
        <w:rPr>
          <w:rStyle w:val="af6"/>
          <w:rFonts w:eastAsia="Guttman Hodes"/>
          <w:rtl/>
        </w:rPr>
      </w:r>
      <w:r w:rsidRPr="006372EA">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6372EA">
        <w:rPr>
          <w:rStyle w:val="af6"/>
          <w:rFonts w:eastAsia="Guttman Hodes"/>
          <w:rtl/>
        </w:rPr>
        <w:fldChar w:fldCharType="end"/>
      </w:r>
      <w:r>
        <w:rPr>
          <w:rFonts w:hint="cs"/>
          <w:rtl/>
        </w:rPr>
        <w:t xml:space="preserve"> בשם </w:t>
      </w:r>
      <w:r w:rsidRPr="00696700">
        <w:rPr>
          <w:rStyle w:val="af8"/>
          <w:rFonts w:hint="cs"/>
          <w:rtl/>
        </w:rPr>
        <w:t>רבינו חיים</w:t>
      </w:r>
      <w:r>
        <w:rPr>
          <w:rFonts w:hint="cs"/>
          <w:rtl/>
        </w:rPr>
        <w:t xml:space="preserve">, אלא דס"ל </w:t>
      </w:r>
      <w:r w:rsidRPr="00CC7D10">
        <w:rPr>
          <w:rStyle w:val="af8"/>
          <w:rFonts w:hint="cs"/>
          <w:rtl/>
        </w:rPr>
        <w:t>להטור</w:t>
      </w:r>
      <w:r>
        <w:rPr>
          <w:rFonts w:hint="cs"/>
          <w:rtl/>
        </w:rPr>
        <w:t xml:space="preserve"> דלדינא לא נחלקו </w:t>
      </w:r>
      <w:r w:rsidRPr="00CC7D10">
        <w:rPr>
          <w:rStyle w:val="af8"/>
          <w:rFonts w:hint="cs"/>
          <w:rtl/>
        </w:rPr>
        <w:t>ר"ת ורבינו חיים</w:t>
      </w:r>
      <w:r>
        <w:rPr>
          <w:rFonts w:hint="cs"/>
          <w:rtl/>
        </w:rPr>
        <w:t xml:space="preserve">, וכ"כ </w:t>
      </w:r>
      <w:r w:rsidRPr="0080677F">
        <w:rPr>
          <w:rStyle w:val="af8"/>
          <w:rFonts w:hint="cs"/>
          <w:rtl/>
        </w:rPr>
        <w:t>הגרעק"א</w:t>
      </w:r>
      <w:r>
        <w:rPr>
          <w:rFonts w:hint="cs"/>
          <w:rtl/>
        </w:rPr>
        <w:t xml:space="preserve"> </w:t>
      </w:r>
      <w:r w:rsidRPr="0080677F">
        <w:rPr>
          <w:rStyle w:val="af6"/>
          <w:rFonts w:eastAsia="Guttman Hodes" w:hint="cs"/>
          <w:rtl/>
        </w:rPr>
        <w:t xml:space="preserve">(עי' אות </w:t>
      </w:r>
      <w:r w:rsidRPr="0080677F">
        <w:rPr>
          <w:rStyle w:val="af6"/>
          <w:rFonts w:eastAsia="Guttman Hodes"/>
          <w:rtl/>
        </w:rPr>
        <w:fldChar w:fldCharType="begin"/>
      </w:r>
      <w:r w:rsidRPr="0080677F">
        <w:rPr>
          <w:rStyle w:val="af6"/>
          <w:rFonts w:eastAsia="Guttman Hodes"/>
          <w:rtl/>
        </w:rPr>
        <w:instrText xml:space="preserve"> </w:instrText>
      </w:r>
      <w:r w:rsidRPr="0080677F">
        <w:rPr>
          <w:rStyle w:val="af6"/>
          <w:rFonts w:eastAsia="Guttman Hodes" w:hint="cs"/>
        </w:rPr>
        <w:instrText>REF</w:instrText>
      </w:r>
      <w:r w:rsidRPr="0080677F">
        <w:rPr>
          <w:rStyle w:val="af6"/>
          <w:rFonts w:eastAsia="Guttman Hodes" w:hint="cs"/>
          <w:rtl/>
        </w:rPr>
        <w:instrText xml:space="preserve"> _</w:instrText>
      </w:r>
      <w:r w:rsidRPr="0080677F">
        <w:rPr>
          <w:rStyle w:val="af6"/>
          <w:rFonts w:eastAsia="Guttman Hodes" w:hint="cs"/>
        </w:rPr>
        <w:instrText>Ref14121147 \r \h</w:instrText>
      </w:r>
      <w:r w:rsidRPr="0080677F">
        <w:rPr>
          <w:rStyle w:val="af6"/>
          <w:rFonts w:eastAsia="Guttman Hodes"/>
          <w:rtl/>
        </w:rPr>
        <w:instrText xml:space="preserve"> </w:instrText>
      </w:r>
      <w:r w:rsidRPr="0080677F">
        <w:rPr>
          <w:rStyle w:val="af6"/>
          <w:rFonts w:eastAsia="Guttman Hodes"/>
          <w:rtl/>
        </w:rPr>
      </w:r>
      <w:r w:rsidRPr="0080677F">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80677F">
        <w:rPr>
          <w:rStyle w:val="af6"/>
          <w:rFonts w:eastAsia="Guttman Hodes"/>
          <w:rtl/>
        </w:rPr>
        <w:fldChar w:fldCharType="end"/>
      </w:r>
      <w:r>
        <w:rPr>
          <w:rFonts w:hint="cs"/>
          <w:rtl/>
        </w:rPr>
        <w:t>.</w:t>
      </w:r>
    </w:p>
    <w:p w:rsidR="00F34A57" w:rsidRPr="006332B1" w:rsidRDefault="00F34A57" w:rsidP="00F34A57">
      <w:pPr>
        <w:pStyle w:val="a2"/>
        <w:rPr>
          <w:rtl/>
        </w:rPr>
      </w:pPr>
      <w:bookmarkStart w:id="6720" w:name="_Toc14089936"/>
      <w:bookmarkStart w:id="6721" w:name="_Toc14109743"/>
      <w:bookmarkStart w:id="6722" w:name="_Toc14120112"/>
      <w:bookmarkStart w:id="6723" w:name="_Toc14122288"/>
      <w:bookmarkStart w:id="6724" w:name="_Toc14196240"/>
      <w:bookmarkStart w:id="6725" w:name="_Toc14208803"/>
      <w:bookmarkStart w:id="6726" w:name="_Toc14248896"/>
      <w:bookmarkStart w:id="6727" w:name="_Toc14257402"/>
      <w:r>
        <w:rPr>
          <w:rFonts w:hint="cs"/>
          <w:rtl/>
        </w:rPr>
        <w:t>דברי ר"ת בספר הישר דהחיוב בטעם כעיקר הוא דוקא כשיש כזית בכדי אכילת פרס</w:t>
      </w:r>
      <w:bookmarkEnd w:id="6720"/>
      <w:bookmarkEnd w:id="6721"/>
      <w:bookmarkEnd w:id="6722"/>
      <w:bookmarkEnd w:id="6723"/>
      <w:bookmarkEnd w:id="6724"/>
      <w:bookmarkEnd w:id="6725"/>
      <w:bookmarkEnd w:id="6726"/>
      <w:bookmarkEnd w:id="6727"/>
    </w:p>
    <w:p w:rsidR="00F34A57" w:rsidRDefault="00F34A57" w:rsidP="009F44AF">
      <w:pPr>
        <w:pStyle w:val="a"/>
        <w:rPr>
          <w:rtl/>
        </w:rPr>
      </w:pPr>
      <w:r>
        <w:rPr>
          <w:rFonts w:hint="cs"/>
          <w:rtl/>
        </w:rPr>
        <w:t xml:space="preserve">וכן מבואר בדברי </w:t>
      </w:r>
      <w:r w:rsidRPr="005D4302">
        <w:rPr>
          <w:rStyle w:val="af8"/>
          <w:rFonts w:hint="cs"/>
          <w:rtl/>
        </w:rPr>
        <w:t>ר"ת בספר הישר</w:t>
      </w:r>
      <w:r>
        <w:rPr>
          <w:rFonts w:hint="cs"/>
          <w:rtl/>
        </w:rPr>
        <w:t xml:space="preserve"> </w:t>
      </w:r>
      <w:r w:rsidRPr="00416AB0">
        <w:rPr>
          <w:rStyle w:val="af6"/>
          <w:rFonts w:eastAsia="Guttman Hodes" w:hint="cs"/>
          <w:rtl/>
        </w:rPr>
        <w:t>(חלק החי' סי' תרצ"ד, הועתק בקובץ שיטות קמאי ע"ז ח"ב עמ'</w:t>
      </w:r>
      <w:r w:rsidRPr="00416AB0">
        <w:rPr>
          <w:rStyle w:val="af6"/>
          <w:rFonts w:eastAsia="Guttman Hodes"/>
          <w:rtl/>
        </w:rPr>
        <w:t xml:space="preserve"> אלף תר</w:t>
      </w:r>
      <w:r w:rsidRPr="00416AB0">
        <w:rPr>
          <w:rStyle w:val="af6"/>
          <w:rFonts w:eastAsia="Guttman Hodes" w:hint="cs"/>
          <w:rtl/>
        </w:rPr>
        <w:t>"</w:t>
      </w:r>
      <w:r w:rsidRPr="00416AB0">
        <w:rPr>
          <w:rStyle w:val="af6"/>
          <w:rFonts w:eastAsia="Guttman Hodes"/>
          <w:rtl/>
        </w:rPr>
        <w:t>י</w:t>
      </w:r>
      <w:r w:rsidRPr="00416AB0">
        <w:rPr>
          <w:rStyle w:val="af6"/>
          <w:rFonts w:eastAsia="Guttman Hodes" w:hint="cs"/>
          <w:rtl/>
        </w:rPr>
        <w:t>)</w:t>
      </w:r>
      <w:r>
        <w:rPr>
          <w:rFonts w:hint="cs"/>
          <w:rtl/>
        </w:rPr>
        <w:t xml:space="preserve"> דהביא ראיה דטעם כעיקר דאו', מהגמ' בזבחים </w:t>
      </w:r>
      <w:r w:rsidRPr="003B60E2">
        <w:rPr>
          <w:rStyle w:val="af6"/>
          <w:rFonts w:eastAsia="Guttman Hodes" w:hint="cs"/>
          <w:rtl/>
        </w:rPr>
        <w:t>(עח.)</w:t>
      </w:r>
      <w:r>
        <w:rPr>
          <w:rFonts w:hint="cs"/>
          <w:rtl/>
        </w:rPr>
        <w:t xml:space="preserve">, וביאר </w:t>
      </w:r>
      <w:r w:rsidRPr="00E34C0D">
        <w:rPr>
          <w:rStyle w:val="af8"/>
          <w:rFonts w:hint="cs"/>
          <w:rtl/>
        </w:rPr>
        <w:t>ר"ת בספר הישר</w:t>
      </w:r>
      <w:r>
        <w:rPr>
          <w:rFonts w:hint="cs"/>
          <w:rtl/>
        </w:rPr>
        <w:t xml:space="preserve"> דכוונת הגמ' בזבחים לומר דמין בשאינו מינו שיעורו הוא בנותן טעם, ואם יש בטעם בכדי לצרף כזית חייב, וא"כ מין בשאינו מינו כשיש בו טעמו ואין בו ממשו, דינו הוא כמין במינו כשיש בו טעמו וממשו, דבשניהם יש חיוב על כזית בכדי אכילת פרס,  וכדברי ריו"ח בע"ז דטעמו וממשו בכדי אכילת פרס, וה"ה במין בשאינו מינו בטעמו ולא ממשו, וביאר </w:t>
      </w:r>
      <w:r w:rsidRPr="00E34C0D">
        <w:rPr>
          <w:rStyle w:val="af8"/>
          <w:rFonts w:hint="cs"/>
          <w:rtl/>
        </w:rPr>
        <w:t>ר"ת בספר הישר</w:t>
      </w:r>
      <w:r>
        <w:rPr>
          <w:rFonts w:hint="cs"/>
          <w:rtl/>
        </w:rPr>
        <w:t xml:space="preserve"> דילפינן לה ממשרת דבמין בשאינו מינו, יכול הטעם להצטרף לכדי אכילת פרס.</w:t>
      </w:r>
    </w:p>
    <w:p w:rsidR="00F34A57" w:rsidRPr="00B47472" w:rsidRDefault="00F34A57" w:rsidP="00F34A57">
      <w:pPr>
        <w:pStyle w:val="1"/>
        <w:rPr>
          <w:rtl/>
        </w:rPr>
      </w:pPr>
      <w:bookmarkStart w:id="6728" w:name="_Toc14109744"/>
      <w:bookmarkStart w:id="6729" w:name="_Toc14120113"/>
      <w:bookmarkStart w:id="6730" w:name="_Toc14122289"/>
      <w:bookmarkStart w:id="6731" w:name="_Toc14196241"/>
      <w:bookmarkStart w:id="6732" w:name="_Toc14208804"/>
      <w:bookmarkStart w:id="6733" w:name="_Toc14248897"/>
      <w:bookmarkStart w:id="6734" w:name="_Toc14257403"/>
      <w:r>
        <w:rPr>
          <w:rFonts w:hint="cs"/>
          <w:rtl/>
        </w:rPr>
        <w:t>דעת הסוברים דלר"ת אמרינן נהפך אף בפחות מכזית בכא"פ</w:t>
      </w:r>
      <w:bookmarkEnd w:id="6728"/>
      <w:bookmarkEnd w:id="6729"/>
      <w:bookmarkEnd w:id="6730"/>
      <w:bookmarkEnd w:id="6731"/>
      <w:bookmarkEnd w:id="6732"/>
      <w:bookmarkEnd w:id="6733"/>
      <w:bookmarkEnd w:id="6734"/>
    </w:p>
    <w:p w:rsidR="00F34A57" w:rsidRDefault="00F34A57" w:rsidP="00F34A57">
      <w:pPr>
        <w:pStyle w:val="a2"/>
      </w:pPr>
      <w:bookmarkStart w:id="6735" w:name="_Toc14120114"/>
      <w:bookmarkStart w:id="6736" w:name="_Toc14122290"/>
      <w:bookmarkStart w:id="6737" w:name="_Toc14196242"/>
      <w:bookmarkStart w:id="6738" w:name="_Toc14208805"/>
      <w:bookmarkStart w:id="6739" w:name="_Toc14248898"/>
      <w:bookmarkStart w:id="6740" w:name="_Toc14257404"/>
      <w:r>
        <w:rPr>
          <w:rFonts w:hint="cs"/>
          <w:rtl/>
        </w:rPr>
        <w:t>דברי הגר"א והפרמ"ג והפר"ח דלדעת ר"ת לוקין בטע"כ אף בפחות מכזית בכא"פ על כל כזית</w:t>
      </w:r>
      <w:bookmarkEnd w:id="6735"/>
      <w:bookmarkEnd w:id="6736"/>
      <w:bookmarkEnd w:id="6737"/>
      <w:bookmarkEnd w:id="6738"/>
      <w:bookmarkEnd w:id="6739"/>
      <w:bookmarkEnd w:id="6740"/>
    </w:p>
    <w:p w:rsidR="00F34A57" w:rsidRDefault="00F34A57" w:rsidP="009F44AF">
      <w:pPr>
        <w:pStyle w:val="a"/>
        <w:rPr>
          <w:rtl/>
        </w:rPr>
      </w:pPr>
      <w:r w:rsidRPr="00030B26">
        <w:rPr>
          <w:rFonts w:hint="cs"/>
          <w:rtl/>
        </w:rPr>
        <w:t xml:space="preserve">אבל </w:t>
      </w:r>
      <w:r w:rsidRPr="00030B26">
        <w:rPr>
          <w:rStyle w:val="af8"/>
          <w:rFonts w:hint="cs"/>
          <w:rtl/>
        </w:rPr>
        <w:t>הגר"א</w:t>
      </w:r>
      <w:r w:rsidRPr="00030B26">
        <w:rPr>
          <w:rFonts w:hint="cs"/>
          <w:rtl/>
        </w:rPr>
        <w:t xml:space="preserve"> </w:t>
      </w:r>
      <w:r w:rsidRPr="00030B26">
        <w:rPr>
          <w:rStyle w:val="af6"/>
          <w:rFonts w:eastAsia="Guttman Hodes" w:hint="cs"/>
          <w:rtl/>
        </w:rPr>
        <w:t>(</w:t>
      </w:r>
      <w:r w:rsidRPr="003B0AAA">
        <w:rPr>
          <w:rStyle w:val="af6"/>
          <w:rFonts w:eastAsia="Guttman Hodes" w:hint="cs"/>
          <w:rtl/>
        </w:rPr>
        <w:t>סי' צ"ח סק"ח</w:t>
      </w:r>
      <w:r>
        <w:rPr>
          <w:rStyle w:val="af6"/>
          <w:rFonts w:eastAsia="Guttman Hodes" w:hint="cs"/>
          <w:rtl/>
        </w:rPr>
        <w:t xml:space="preserve">, </w:t>
      </w:r>
      <w:r w:rsidRPr="00030B26">
        <w:rPr>
          <w:rStyle w:val="af6"/>
          <w:rFonts w:eastAsia="Guttman Hodes" w:hint="cs"/>
          <w:rtl/>
        </w:rPr>
        <w:t>או"ח סי' תנ"ג סק"ט)</w:t>
      </w:r>
      <w:r w:rsidRPr="00030B26">
        <w:rPr>
          <w:rFonts w:hint="cs"/>
          <w:rtl/>
        </w:rPr>
        <w:t xml:space="preserve"> </w:t>
      </w:r>
      <w:r>
        <w:rPr>
          <w:rStyle w:val="af8"/>
          <w:rFonts w:hint="cs"/>
          <w:rtl/>
        </w:rPr>
        <w:t xml:space="preserve">והפרמ"ג </w:t>
      </w:r>
      <w:r w:rsidRPr="00220BFA">
        <w:rPr>
          <w:rStyle w:val="af6"/>
          <w:rFonts w:eastAsia="Guttman Hodes" w:hint="cs"/>
          <w:rtl/>
        </w:rPr>
        <w:t>(פתיחה להל' פסח החלק השני פ"א סק"י ד"ה השיטה הד')</w:t>
      </w:r>
      <w:r>
        <w:rPr>
          <w:rFonts w:hint="cs"/>
          <w:rtl/>
        </w:rPr>
        <w:t xml:space="preserve"> </w:t>
      </w:r>
      <w:r w:rsidRPr="007E0C12">
        <w:rPr>
          <w:rStyle w:val="af8"/>
          <w:rFonts w:hint="cs"/>
          <w:rtl/>
        </w:rPr>
        <w:t>והפר"ח</w:t>
      </w:r>
      <w:r w:rsidRPr="007E0C12">
        <w:rPr>
          <w:rFonts w:hint="cs"/>
          <w:rtl/>
        </w:rPr>
        <w:t xml:space="preserve"> </w:t>
      </w:r>
      <w:r w:rsidRPr="007E0C12">
        <w:rPr>
          <w:rStyle w:val="af6"/>
          <w:rFonts w:eastAsia="Guttman Hodes" w:hint="cs"/>
          <w:rtl/>
        </w:rPr>
        <w:t>(או"ח סי' תמ"ב סק"א</w:t>
      </w:r>
      <w:r w:rsidRPr="00E81B5B">
        <w:rPr>
          <w:rStyle w:val="af6"/>
          <w:rFonts w:eastAsia="Guttman Hodes" w:hint="cs"/>
          <w:rtl/>
        </w:rPr>
        <w:t xml:space="preserve"> בתו"ד</w:t>
      </w:r>
      <w:r>
        <w:rPr>
          <w:rStyle w:val="af6"/>
          <w:rFonts w:eastAsia="Guttman Hodes" w:hint="cs"/>
          <w:rtl/>
        </w:rPr>
        <w:t>)</w:t>
      </w:r>
      <w:r w:rsidRPr="007E0C12">
        <w:rPr>
          <w:rStyle w:val="af6"/>
          <w:rFonts w:eastAsia="Guttman Hodes" w:hint="cs"/>
          <w:rtl/>
        </w:rPr>
        <w:t xml:space="preserve"> </w:t>
      </w:r>
      <w:r w:rsidRPr="00E81B5B">
        <w:rPr>
          <w:rStyle w:val="af8"/>
          <w:rFonts w:hint="cs"/>
          <w:rtl/>
        </w:rPr>
        <w:t xml:space="preserve">והיד יהודה </w:t>
      </w:r>
      <w:r w:rsidRPr="00E81B5B">
        <w:rPr>
          <w:rStyle w:val="af6"/>
          <w:rFonts w:eastAsia="Guttman Hodes" w:hint="cs"/>
          <w:rtl/>
        </w:rPr>
        <w:t>(סי' צ"ח סק"י בתו"ד)</w:t>
      </w:r>
      <w:r>
        <w:rPr>
          <w:rFonts w:hint="cs"/>
          <w:rtl/>
        </w:rPr>
        <w:t xml:space="preserve"> </w:t>
      </w:r>
      <w:r w:rsidRPr="00030B26">
        <w:rPr>
          <w:rFonts w:hint="cs"/>
          <w:rtl/>
        </w:rPr>
        <w:t>כתב</w:t>
      </w:r>
      <w:r>
        <w:rPr>
          <w:rFonts w:hint="cs"/>
          <w:rtl/>
        </w:rPr>
        <w:t>ו</w:t>
      </w:r>
      <w:r w:rsidRPr="00030B26">
        <w:rPr>
          <w:rFonts w:hint="cs"/>
          <w:rtl/>
        </w:rPr>
        <w:t xml:space="preserve"> בדעת </w:t>
      </w:r>
      <w:r w:rsidRPr="00030B26">
        <w:rPr>
          <w:rStyle w:val="af8"/>
          <w:rFonts w:hint="cs"/>
          <w:rtl/>
        </w:rPr>
        <w:t>ר"ת</w:t>
      </w:r>
      <w:r w:rsidRPr="00030B26">
        <w:rPr>
          <w:rFonts w:hint="cs"/>
          <w:rtl/>
        </w:rPr>
        <w:t xml:space="preserve"> </w:t>
      </w:r>
      <w:r>
        <w:rPr>
          <w:rFonts w:hint="cs"/>
          <w:rtl/>
        </w:rPr>
        <w:t xml:space="preserve">דהא דלוקין בטעם כעיקר, </w:t>
      </w:r>
      <w:r w:rsidRPr="00030B26">
        <w:rPr>
          <w:rFonts w:hint="cs"/>
          <w:rtl/>
        </w:rPr>
        <w:t>ה</w:t>
      </w:r>
      <w:r>
        <w:rPr>
          <w:rFonts w:hint="cs"/>
          <w:rtl/>
        </w:rPr>
        <w:t>יינו</w:t>
      </w:r>
      <w:r w:rsidRPr="00030B26">
        <w:rPr>
          <w:rFonts w:hint="cs"/>
          <w:rtl/>
        </w:rPr>
        <w:t xml:space="preserve"> אף במקום שאין כזית בכדי אכילת פרס</w:t>
      </w:r>
      <w:r>
        <w:rPr>
          <w:rFonts w:hint="cs"/>
          <w:rtl/>
        </w:rPr>
        <w:t>,</w:t>
      </w:r>
      <w:r w:rsidRPr="00030B26">
        <w:rPr>
          <w:rFonts w:hint="cs"/>
          <w:rtl/>
        </w:rPr>
        <w:t xml:space="preserve"> </w:t>
      </w:r>
      <w:r>
        <w:rPr>
          <w:rFonts w:hint="cs"/>
          <w:rtl/>
        </w:rPr>
        <w:t>דכל שיש בתערובת טעם של איסור, הוא בכלל טעם כעיקר דאו', וההיתר נהפך לאיסור ולוקין על כל כזית מהתערובת.</w:t>
      </w:r>
      <w:r w:rsidRPr="007769EA">
        <w:rPr>
          <w:rFonts w:hint="cs"/>
          <w:rtl/>
        </w:rPr>
        <w:t xml:space="preserve"> </w:t>
      </w:r>
    </w:p>
    <w:p w:rsidR="00F34A57" w:rsidRDefault="00F34A57" w:rsidP="00F34A57">
      <w:pPr>
        <w:pStyle w:val="a2"/>
        <w:rPr>
          <w:rtl/>
        </w:rPr>
      </w:pPr>
      <w:bookmarkStart w:id="6741" w:name="_Toc14120115"/>
      <w:bookmarkStart w:id="6742" w:name="_Toc14122291"/>
      <w:bookmarkStart w:id="6743" w:name="_Toc14196243"/>
      <w:bookmarkStart w:id="6744" w:name="_Toc14208806"/>
      <w:bookmarkStart w:id="6745" w:name="_Toc14248899"/>
      <w:bookmarkStart w:id="6746" w:name="_Toc14257405"/>
      <w:r>
        <w:rPr>
          <w:rFonts w:hint="cs"/>
          <w:rtl/>
        </w:rPr>
        <w:t>דברי הפרמ"ג דלר"ת אף כשסילק את האיסור ונשאר רק הטעם לוקין על כל כזית מהתערובת</w:t>
      </w:r>
      <w:bookmarkEnd w:id="6741"/>
      <w:bookmarkEnd w:id="6742"/>
      <w:bookmarkEnd w:id="6743"/>
      <w:bookmarkEnd w:id="6744"/>
      <w:bookmarkEnd w:id="6745"/>
      <w:bookmarkEnd w:id="6746"/>
    </w:p>
    <w:p w:rsidR="00F34A57" w:rsidRDefault="00F34A57" w:rsidP="009F44AF">
      <w:pPr>
        <w:pStyle w:val="a"/>
      </w:pPr>
      <w:r>
        <w:rPr>
          <w:rFonts w:hint="cs"/>
          <w:rtl/>
        </w:rPr>
        <w:t xml:space="preserve">והוסיפו </w:t>
      </w:r>
      <w:r w:rsidRPr="00967972">
        <w:rPr>
          <w:rStyle w:val="af8"/>
          <w:rFonts w:hint="cs"/>
          <w:rtl/>
        </w:rPr>
        <w:t>הפרמ"ג</w:t>
      </w:r>
      <w:r>
        <w:rPr>
          <w:rFonts w:hint="cs"/>
          <w:rtl/>
        </w:rPr>
        <w:t xml:space="preserve"> </w:t>
      </w:r>
      <w:r w:rsidRPr="00220BFA">
        <w:rPr>
          <w:rStyle w:val="af6"/>
          <w:rFonts w:eastAsia="Guttman Hodes" w:hint="cs"/>
          <w:rtl/>
        </w:rPr>
        <w:t>(פתיחה להל' פסח החלק השני פ"א סק"י ד"ה השיטה הד')</w:t>
      </w:r>
      <w:r>
        <w:rPr>
          <w:rFonts w:hint="cs"/>
          <w:rtl/>
        </w:rPr>
        <w:t xml:space="preserve"> </w:t>
      </w:r>
      <w:r>
        <w:rPr>
          <w:rStyle w:val="af8"/>
          <w:rFonts w:hint="cs"/>
          <w:rtl/>
        </w:rPr>
        <w:t>ו</w:t>
      </w:r>
      <w:r w:rsidRPr="00CB2789">
        <w:rPr>
          <w:rStyle w:val="af8"/>
          <w:rFonts w:hint="cs"/>
          <w:rtl/>
        </w:rPr>
        <w:t xml:space="preserve">המנחת כהן </w:t>
      </w:r>
      <w:r w:rsidRPr="00CB2789">
        <w:rPr>
          <w:rStyle w:val="af6"/>
          <w:rFonts w:eastAsia="Guttman Hodes" w:hint="cs"/>
          <w:rtl/>
        </w:rPr>
        <w:t>(ס' התערובות ח"א פ"ה ד"ה הדעת ה</w:t>
      </w:r>
      <w:r>
        <w:rPr>
          <w:rStyle w:val="af6"/>
          <w:rFonts w:eastAsia="Guttman Hodes" w:hint="cs"/>
          <w:rtl/>
        </w:rPr>
        <w:t>ראשונה</w:t>
      </w:r>
      <w:r w:rsidRPr="00CB2789">
        <w:rPr>
          <w:rStyle w:val="af6"/>
          <w:rFonts w:eastAsia="Guttman Hodes" w:hint="cs"/>
          <w:rtl/>
        </w:rPr>
        <w:t xml:space="preserve">) </w:t>
      </w:r>
      <w:r>
        <w:rPr>
          <w:rFonts w:hint="cs"/>
          <w:rtl/>
        </w:rPr>
        <w:t xml:space="preserve">דלדעת </w:t>
      </w:r>
      <w:r w:rsidRPr="00D51730">
        <w:rPr>
          <w:rStyle w:val="af8"/>
          <w:rFonts w:hint="cs"/>
          <w:rtl/>
        </w:rPr>
        <w:t>ר"ת</w:t>
      </w:r>
      <w:r>
        <w:rPr>
          <w:rFonts w:hint="cs"/>
          <w:rtl/>
        </w:rPr>
        <w:t xml:space="preserve"> כל שהאיסור נתן טעם בהיתר, אף אם סילק את האיסור ונשאר בו רק טעם איסור, נהפך כל ההיתר לאיסור, ולוקה על כל כזית מהתערובת,</w:t>
      </w:r>
      <w:r w:rsidRPr="00F12682">
        <w:rPr>
          <w:rFonts w:hint="cs"/>
          <w:rtl/>
        </w:rPr>
        <w:t xml:space="preserve"> </w:t>
      </w:r>
      <w:r>
        <w:rPr>
          <w:rFonts w:hint="cs"/>
          <w:rtl/>
        </w:rPr>
        <w:t xml:space="preserve">וכתב </w:t>
      </w:r>
      <w:r w:rsidRPr="00CB2789">
        <w:rPr>
          <w:rStyle w:val="af8"/>
          <w:rFonts w:hint="cs"/>
          <w:rtl/>
        </w:rPr>
        <w:t xml:space="preserve">המנחת כהן </w:t>
      </w:r>
      <w:r>
        <w:rPr>
          <w:rFonts w:hint="cs"/>
          <w:rtl/>
        </w:rPr>
        <w:t>דכן מבואר מדברי</w:t>
      </w:r>
      <w:r w:rsidRPr="00CB2789">
        <w:rPr>
          <w:rStyle w:val="af8"/>
          <w:rFonts w:hint="cs"/>
          <w:rtl/>
        </w:rPr>
        <w:t xml:space="preserve"> התוס' והרא"ש </w:t>
      </w:r>
      <w:r w:rsidRPr="003F297E">
        <w:rPr>
          <w:rStyle w:val="af6"/>
          <w:rFonts w:eastAsia="Guttman Hodes" w:hint="cs"/>
          <w:rtl/>
        </w:rPr>
        <w:t xml:space="preserve">(עי' אות </w:t>
      </w:r>
      <w:r w:rsidRPr="003F297E">
        <w:rPr>
          <w:rStyle w:val="af6"/>
          <w:rFonts w:eastAsia="Guttman Hodes"/>
          <w:rtl/>
        </w:rPr>
        <w:fldChar w:fldCharType="begin"/>
      </w:r>
      <w:r w:rsidRPr="003F297E">
        <w:rPr>
          <w:rStyle w:val="af6"/>
          <w:rFonts w:eastAsia="Guttman Hodes"/>
          <w:rtl/>
        </w:rPr>
        <w:instrText xml:space="preserve"> </w:instrText>
      </w:r>
      <w:r w:rsidRPr="003F297E">
        <w:rPr>
          <w:rStyle w:val="af6"/>
          <w:rFonts w:eastAsia="Guttman Hodes" w:hint="cs"/>
        </w:rPr>
        <w:instrText>REF</w:instrText>
      </w:r>
      <w:r w:rsidRPr="003F297E">
        <w:rPr>
          <w:rStyle w:val="af6"/>
          <w:rFonts w:eastAsia="Guttman Hodes" w:hint="cs"/>
          <w:rtl/>
        </w:rPr>
        <w:instrText xml:space="preserve"> _</w:instrText>
      </w:r>
      <w:r w:rsidRPr="003F297E">
        <w:rPr>
          <w:rStyle w:val="af6"/>
          <w:rFonts w:eastAsia="Guttman Hodes" w:hint="cs"/>
        </w:rPr>
        <w:instrText>Ref14016801 \r \h</w:instrText>
      </w:r>
      <w:r w:rsidRPr="003F297E">
        <w:rPr>
          <w:rStyle w:val="af6"/>
          <w:rFonts w:eastAsia="Guttman Hodes"/>
          <w:rtl/>
        </w:rPr>
        <w:instrText xml:space="preserve"> </w:instrText>
      </w:r>
      <w:r w:rsidRPr="003F297E">
        <w:rPr>
          <w:rStyle w:val="af6"/>
          <w:rFonts w:eastAsia="Guttman Hodes"/>
          <w:rtl/>
        </w:rPr>
      </w:r>
      <w:r w:rsidRPr="003F297E">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3F297E">
        <w:rPr>
          <w:rStyle w:val="af6"/>
          <w:rFonts w:eastAsia="Guttman Hodes"/>
          <w:rtl/>
        </w:rPr>
        <w:fldChar w:fldCharType="end"/>
      </w:r>
      <w:r>
        <w:rPr>
          <w:rFonts w:hint="cs"/>
          <w:rtl/>
        </w:rPr>
        <w:t xml:space="preserve"> </w:t>
      </w:r>
      <w:r w:rsidRPr="00CB2789">
        <w:rPr>
          <w:rStyle w:val="af8"/>
          <w:rFonts w:hint="cs"/>
          <w:rtl/>
        </w:rPr>
        <w:t xml:space="preserve">וספר התרומה </w:t>
      </w:r>
      <w:r w:rsidRPr="00D51730">
        <w:rPr>
          <w:rStyle w:val="af6"/>
          <w:rFonts w:eastAsia="Guttman Hodes" w:hint="cs"/>
          <w:rtl/>
        </w:rPr>
        <w:t>(איסור והיתר סי' מ"ט)</w:t>
      </w:r>
      <w:r>
        <w:rPr>
          <w:rFonts w:hint="cs"/>
          <w:rtl/>
        </w:rPr>
        <w:t>, דלוקין על כל כזית, אף שלא אכל כזית מממשו של האיסור, בתוך כדי אכילת פרס, ואף כשאין מעורב בתערובת ממשו של האיסור, אלא רק טעמו, כשרה ענבים במים.</w:t>
      </w:r>
    </w:p>
    <w:p w:rsidR="00F34A57" w:rsidRDefault="00F34A57" w:rsidP="00F34A57">
      <w:pPr>
        <w:pStyle w:val="a2"/>
        <w:rPr>
          <w:rtl/>
        </w:rPr>
      </w:pPr>
      <w:bookmarkStart w:id="6747" w:name="_Toc14120116"/>
      <w:bookmarkStart w:id="6748" w:name="_Toc14122292"/>
      <w:bookmarkStart w:id="6749" w:name="_Toc14196244"/>
      <w:bookmarkStart w:id="6750" w:name="_Toc14208807"/>
      <w:bookmarkStart w:id="6751" w:name="_Toc14248900"/>
      <w:bookmarkStart w:id="6752" w:name="_Toc14257406"/>
      <w:r>
        <w:rPr>
          <w:rFonts w:hint="cs"/>
          <w:rtl/>
        </w:rPr>
        <w:t>דברי הגר"א והפר"ח דכן מוכח מהרא"ש דכתב את דין נשפך הרוטב רק לדעת רבינו חיים ולא לר"ת</w:t>
      </w:r>
      <w:bookmarkEnd w:id="6747"/>
      <w:bookmarkEnd w:id="6748"/>
      <w:bookmarkEnd w:id="6749"/>
      <w:bookmarkEnd w:id="6750"/>
      <w:bookmarkEnd w:id="6751"/>
      <w:bookmarkEnd w:id="6752"/>
    </w:p>
    <w:p w:rsidR="00F34A57" w:rsidRDefault="00F34A57" w:rsidP="009F44AF">
      <w:pPr>
        <w:pStyle w:val="a"/>
        <w:rPr>
          <w:rtl/>
        </w:rPr>
      </w:pPr>
      <w:bookmarkStart w:id="6753" w:name="_Ref13759369"/>
      <w:r>
        <w:rPr>
          <w:rFonts w:hint="cs"/>
          <w:rtl/>
        </w:rPr>
        <w:t xml:space="preserve">וכתבו </w:t>
      </w:r>
      <w:r w:rsidRPr="00696700">
        <w:rPr>
          <w:rStyle w:val="af8"/>
          <w:rFonts w:hint="cs"/>
          <w:rtl/>
        </w:rPr>
        <w:t>הגר"א</w:t>
      </w:r>
      <w:r>
        <w:rPr>
          <w:rFonts w:hint="cs"/>
          <w:rtl/>
        </w:rPr>
        <w:t xml:space="preserve"> </w:t>
      </w:r>
      <w:r w:rsidRPr="003B0AAA">
        <w:rPr>
          <w:rStyle w:val="af6"/>
          <w:rFonts w:eastAsia="Guttman Hodes" w:hint="cs"/>
          <w:rtl/>
        </w:rPr>
        <w:t>(סי' צ"ח סק"ח</w:t>
      </w:r>
      <w:r>
        <w:rPr>
          <w:rStyle w:val="af6"/>
          <w:rFonts w:eastAsia="Guttman Hodes" w:hint="cs"/>
          <w:rtl/>
        </w:rPr>
        <w:t xml:space="preserve">, </w:t>
      </w:r>
      <w:r w:rsidRPr="00030B26">
        <w:rPr>
          <w:rStyle w:val="af6"/>
          <w:rFonts w:eastAsia="Guttman Hodes" w:hint="cs"/>
          <w:rtl/>
        </w:rPr>
        <w:t>או"ח סי' תנ"ג סק"ט</w:t>
      </w:r>
      <w:r w:rsidRPr="003B0AAA">
        <w:rPr>
          <w:rStyle w:val="af6"/>
          <w:rFonts w:eastAsia="Guttman Hodes" w:hint="cs"/>
          <w:rtl/>
        </w:rPr>
        <w:t>)</w:t>
      </w:r>
      <w:r>
        <w:rPr>
          <w:rFonts w:hint="cs"/>
          <w:rtl/>
        </w:rPr>
        <w:t xml:space="preserve"> </w:t>
      </w:r>
      <w:r>
        <w:rPr>
          <w:rStyle w:val="af8"/>
          <w:rFonts w:hint="cs"/>
          <w:rtl/>
        </w:rPr>
        <w:t>וה</w:t>
      </w:r>
      <w:r w:rsidRPr="007E0C12">
        <w:rPr>
          <w:rStyle w:val="af8"/>
          <w:rFonts w:hint="cs"/>
          <w:rtl/>
        </w:rPr>
        <w:t>פר"ח</w:t>
      </w:r>
      <w:r w:rsidRPr="007E0C12">
        <w:rPr>
          <w:rFonts w:hint="cs"/>
          <w:rtl/>
        </w:rPr>
        <w:t xml:space="preserve"> </w:t>
      </w:r>
      <w:r w:rsidRPr="007E0C12">
        <w:rPr>
          <w:rStyle w:val="af6"/>
          <w:rFonts w:eastAsia="Guttman Hodes" w:hint="cs"/>
          <w:rtl/>
        </w:rPr>
        <w:t>(או"ח סי' תמ"ב סק"א</w:t>
      </w:r>
      <w:r w:rsidRPr="00E81B5B">
        <w:rPr>
          <w:rStyle w:val="af6"/>
          <w:rFonts w:eastAsia="Guttman Hodes" w:hint="cs"/>
          <w:rtl/>
        </w:rPr>
        <w:t xml:space="preserve"> </w:t>
      </w:r>
      <w:r>
        <w:rPr>
          <w:rStyle w:val="af6"/>
          <w:rFonts w:eastAsia="Guttman Hodes" w:hint="cs"/>
          <w:rtl/>
        </w:rPr>
        <w:t>ד"ה ואכתי יש לדקדק)</w:t>
      </w:r>
      <w:r>
        <w:rPr>
          <w:rFonts w:hint="cs"/>
          <w:rtl/>
        </w:rPr>
        <w:t xml:space="preserve"> דכן </w:t>
      </w:r>
      <w:r w:rsidRPr="00C91E82">
        <w:rPr>
          <w:rFonts w:hint="cs"/>
          <w:rtl/>
        </w:rPr>
        <w:t xml:space="preserve">מבואר מהא דכתב </w:t>
      </w:r>
      <w:r w:rsidRPr="00696700">
        <w:rPr>
          <w:rStyle w:val="af8"/>
          <w:rFonts w:hint="cs"/>
          <w:rtl/>
        </w:rPr>
        <w:t>הרא"ש</w:t>
      </w:r>
      <w:r w:rsidRPr="00C91E82">
        <w:rPr>
          <w:rFonts w:hint="cs"/>
          <w:rtl/>
        </w:rPr>
        <w:t xml:space="preserve"> </w:t>
      </w:r>
      <w:r w:rsidRPr="003B0AAA">
        <w:rPr>
          <w:rStyle w:val="af6"/>
          <w:rFonts w:eastAsia="Guttman Hodes" w:hint="cs"/>
          <w:rtl/>
        </w:rPr>
        <w:t xml:space="preserve">(עי' אות </w:t>
      </w:r>
      <w:r w:rsidRPr="003B0AAA">
        <w:rPr>
          <w:rStyle w:val="af6"/>
          <w:rFonts w:eastAsia="Guttman Hodes"/>
          <w:rtl/>
        </w:rPr>
        <w:fldChar w:fldCharType="begin"/>
      </w:r>
      <w:r w:rsidRPr="003B0AAA">
        <w:rPr>
          <w:rStyle w:val="af6"/>
          <w:rFonts w:eastAsia="Guttman Hodes"/>
          <w:rtl/>
        </w:rPr>
        <w:instrText xml:space="preserve"> </w:instrText>
      </w:r>
      <w:r w:rsidRPr="003B0AAA">
        <w:rPr>
          <w:rStyle w:val="af6"/>
          <w:rFonts w:eastAsia="Guttman Hodes" w:hint="cs"/>
        </w:rPr>
        <w:instrText>REF</w:instrText>
      </w:r>
      <w:r w:rsidRPr="003B0AAA">
        <w:rPr>
          <w:rStyle w:val="af6"/>
          <w:rFonts w:eastAsia="Guttman Hodes" w:hint="cs"/>
          <w:rtl/>
        </w:rPr>
        <w:instrText xml:space="preserve"> _</w:instrText>
      </w:r>
      <w:r w:rsidRPr="003B0AAA">
        <w:rPr>
          <w:rStyle w:val="af6"/>
          <w:rFonts w:eastAsia="Guttman Hodes" w:hint="cs"/>
        </w:rPr>
        <w:instrText>Ref13759399 \r \h</w:instrText>
      </w:r>
      <w:r w:rsidRPr="003B0AAA">
        <w:rPr>
          <w:rStyle w:val="af6"/>
          <w:rFonts w:eastAsia="Guttman Hodes"/>
          <w:rtl/>
        </w:rPr>
        <w:instrText xml:space="preserve">  \* </w:instrText>
      </w:r>
      <w:r w:rsidRPr="003B0AAA">
        <w:rPr>
          <w:rStyle w:val="af6"/>
          <w:rFonts w:eastAsia="Guttman Hodes"/>
        </w:rPr>
        <w:instrText>MERGEFORMAT</w:instrText>
      </w:r>
      <w:r w:rsidRPr="003B0AAA">
        <w:rPr>
          <w:rStyle w:val="af6"/>
          <w:rFonts w:eastAsia="Guttman Hodes"/>
          <w:rtl/>
        </w:rPr>
        <w:instrText xml:space="preserve"> </w:instrText>
      </w:r>
      <w:r w:rsidRPr="003B0AAA">
        <w:rPr>
          <w:rStyle w:val="af6"/>
          <w:rFonts w:eastAsia="Guttman Hodes"/>
          <w:rtl/>
        </w:rPr>
      </w:r>
      <w:r w:rsidRPr="003B0AAA">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3B0AAA">
        <w:rPr>
          <w:rStyle w:val="af6"/>
          <w:rFonts w:eastAsia="Guttman Hodes"/>
          <w:rtl/>
        </w:rPr>
        <w:fldChar w:fldCharType="end"/>
      </w:r>
      <w:r w:rsidRPr="00C91E82">
        <w:rPr>
          <w:rFonts w:hint="cs"/>
          <w:rtl/>
        </w:rPr>
        <w:t xml:space="preserve"> דלדעת </w:t>
      </w:r>
      <w:r w:rsidRPr="00696700">
        <w:rPr>
          <w:rStyle w:val="af8"/>
          <w:rFonts w:hint="cs"/>
          <w:rtl/>
        </w:rPr>
        <w:t>ר"ת</w:t>
      </w:r>
      <w:r w:rsidRPr="00C91E82">
        <w:rPr>
          <w:rFonts w:hint="cs"/>
          <w:rtl/>
        </w:rPr>
        <w:t xml:space="preserve">  </w:t>
      </w:r>
      <w:r>
        <w:rPr>
          <w:rFonts w:hint="cs"/>
          <w:rtl/>
        </w:rPr>
        <w:t>במקום שנשפך הרוטב ולא ידוע אם היה שישים הוא ספק דאו'</w:t>
      </w:r>
      <w:r w:rsidRPr="00C91E82">
        <w:rPr>
          <w:rFonts w:hint="cs"/>
          <w:rtl/>
        </w:rPr>
        <w:t xml:space="preserve">, ולא כתב </w:t>
      </w:r>
      <w:r w:rsidRPr="00696700">
        <w:rPr>
          <w:rStyle w:val="af8"/>
          <w:rFonts w:hint="cs"/>
          <w:rtl/>
        </w:rPr>
        <w:t>הרא"ש</w:t>
      </w:r>
      <w:r w:rsidRPr="00C91E82">
        <w:rPr>
          <w:rFonts w:hint="cs"/>
          <w:rtl/>
        </w:rPr>
        <w:t xml:space="preserve"> כן בדעת </w:t>
      </w:r>
      <w:r w:rsidRPr="00696700">
        <w:rPr>
          <w:rStyle w:val="af8"/>
          <w:rFonts w:hint="cs"/>
          <w:rtl/>
        </w:rPr>
        <w:t>רבינו חיים</w:t>
      </w:r>
      <w:r w:rsidRPr="00C91E82">
        <w:rPr>
          <w:rFonts w:hint="cs"/>
          <w:rtl/>
        </w:rPr>
        <w:t xml:space="preserve">, ומשמע דלדעת </w:t>
      </w:r>
      <w:r w:rsidRPr="00696700">
        <w:rPr>
          <w:rStyle w:val="af8"/>
          <w:rFonts w:hint="cs"/>
          <w:rtl/>
        </w:rPr>
        <w:t>ר"ת</w:t>
      </w:r>
      <w:r w:rsidRPr="00C91E82">
        <w:rPr>
          <w:rFonts w:hint="cs"/>
          <w:rtl/>
        </w:rPr>
        <w:t xml:space="preserve"> אין כל חילוק במין</w:t>
      </w:r>
      <w:r>
        <w:rPr>
          <w:rFonts w:hint="cs"/>
          <w:rtl/>
        </w:rPr>
        <w:t xml:space="preserve"> במינו בין אם יש כזית בכדי אכילת פרס או לא, דמדאו' חייב בטעם כעיקר אף בפחות מכזית בכדי אכילת פרס</w:t>
      </w:r>
      <w:bookmarkEnd w:id="6753"/>
      <w:r>
        <w:rPr>
          <w:rFonts w:hint="cs"/>
          <w:rtl/>
        </w:rPr>
        <w:t xml:space="preserve">, וכ"כ </w:t>
      </w:r>
      <w:r w:rsidRPr="00CB2789">
        <w:rPr>
          <w:rStyle w:val="af8"/>
          <w:rFonts w:hint="cs"/>
          <w:rtl/>
        </w:rPr>
        <w:t xml:space="preserve">המנחת כהן </w:t>
      </w:r>
      <w:r w:rsidRPr="00CB2789">
        <w:rPr>
          <w:rStyle w:val="af6"/>
          <w:rFonts w:eastAsia="Guttman Hodes" w:hint="cs"/>
          <w:rtl/>
        </w:rPr>
        <w:t>(ס' התערובות ח"א פ"ה ד"ה הדעת השנית)</w:t>
      </w:r>
      <w:r>
        <w:rPr>
          <w:rFonts w:hint="cs"/>
          <w:rtl/>
        </w:rPr>
        <w:t>.</w:t>
      </w:r>
    </w:p>
    <w:p w:rsidR="00F34A57" w:rsidRPr="00492008" w:rsidRDefault="00F34A57" w:rsidP="00F34A57">
      <w:pPr>
        <w:pStyle w:val="a2"/>
        <w:rPr>
          <w:rtl/>
        </w:rPr>
      </w:pPr>
      <w:bookmarkStart w:id="6754" w:name="_Toc14120117"/>
      <w:bookmarkStart w:id="6755" w:name="_Toc14122293"/>
      <w:bookmarkStart w:id="6756" w:name="_Toc14196245"/>
      <w:bookmarkStart w:id="6757" w:name="_Toc14208808"/>
      <w:bookmarkStart w:id="6758" w:name="_Toc14248901"/>
      <w:bookmarkStart w:id="6759" w:name="_Toc14257407"/>
      <w:r>
        <w:rPr>
          <w:rFonts w:hint="cs"/>
          <w:rtl/>
        </w:rPr>
        <w:t>דברי הפר"ח דבתוס' בע"ז וברשב"א מבואר דלר"ת לוקין על טע"כ אף שיש אלף כנגד האיסור</w:t>
      </w:r>
      <w:bookmarkEnd w:id="6754"/>
      <w:bookmarkEnd w:id="6755"/>
      <w:bookmarkEnd w:id="6756"/>
      <w:bookmarkEnd w:id="6757"/>
      <w:bookmarkEnd w:id="6758"/>
      <w:bookmarkEnd w:id="6759"/>
    </w:p>
    <w:p w:rsidR="00F34A57" w:rsidRDefault="00F34A57" w:rsidP="009F44AF">
      <w:pPr>
        <w:pStyle w:val="a"/>
        <w:rPr>
          <w:rtl/>
        </w:rPr>
      </w:pPr>
      <w:r>
        <w:rPr>
          <w:rFonts w:hint="cs"/>
          <w:rtl/>
        </w:rPr>
        <w:t xml:space="preserve">וכתב </w:t>
      </w:r>
      <w:r>
        <w:rPr>
          <w:rStyle w:val="af8"/>
          <w:rFonts w:hint="cs"/>
          <w:rtl/>
        </w:rPr>
        <w:t>ה</w:t>
      </w:r>
      <w:r w:rsidRPr="007E0C12">
        <w:rPr>
          <w:rStyle w:val="af8"/>
          <w:rFonts w:hint="cs"/>
          <w:rtl/>
        </w:rPr>
        <w:t>פר"ח</w:t>
      </w:r>
      <w:r w:rsidRPr="007E0C12">
        <w:rPr>
          <w:rFonts w:hint="cs"/>
          <w:rtl/>
        </w:rPr>
        <w:t xml:space="preserve"> </w:t>
      </w:r>
      <w:r>
        <w:rPr>
          <w:rFonts w:hint="cs"/>
          <w:rtl/>
        </w:rPr>
        <w:t xml:space="preserve">דכן משמע מדברי </w:t>
      </w:r>
      <w:r w:rsidRPr="003F297E">
        <w:rPr>
          <w:rStyle w:val="af8"/>
          <w:rFonts w:hint="cs"/>
          <w:rtl/>
        </w:rPr>
        <w:t>התוס' בע"ז והרשב"א בחי'</w:t>
      </w:r>
      <w:r>
        <w:rPr>
          <w:rFonts w:hint="cs"/>
          <w:rtl/>
        </w:rPr>
        <w:t xml:space="preserve"> </w:t>
      </w:r>
      <w:r w:rsidRPr="003F297E">
        <w:rPr>
          <w:rStyle w:val="af6"/>
          <w:rFonts w:eastAsia="Guttman Hodes" w:hint="cs"/>
          <w:rtl/>
        </w:rPr>
        <w:t xml:space="preserve">(עי' אות </w:t>
      </w:r>
      <w:r w:rsidRPr="003F297E">
        <w:rPr>
          <w:rStyle w:val="af6"/>
          <w:rFonts w:eastAsia="Guttman Hodes"/>
          <w:rtl/>
        </w:rPr>
        <w:fldChar w:fldCharType="begin"/>
      </w:r>
      <w:r w:rsidRPr="003F297E">
        <w:rPr>
          <w:rStyle w:val="af6"/>
          <w:rFonts w:eastAsia="Guttman Hodes"/>
          <w:rtl/>
        </w:rPr>
        <w:instrText xml:space="preserve"> </w:instrText>
      </w:r>
      <w:r w:rsidRPr="003F297E">
        <w:rPr>
          <w:rStyle w:val="af6"/>
          <w:rFonts w:eastAsia="Guttman Hodes" w:hint="cs"/>
        </w:rPr>
        <w:instrText>REF</w:instrText>
      </w:r>
      <w:r w:rsidRPr="003F297E">
        <w:rPr>
          <w:rStyle w:val="af6"/>
          <w:rFonts w:eastAsia="Guttman Hodes" w:hint="cs"/>
          <w:rtl/>
        </w:rPr>
        <w:instrText xml:space="preserve"> _</w:instrText>
      </w:r>
      <w:r w:rsidRPr="003F297E">
        <w:rPr>
          <w:rStyle w:val="af6"/>
          <w:rFonts w:eastAsia="Guttman Hodes" w:hint="cs"/>
        </w:rPr>
        <w:instrText>Ref14016801 \r \h</w:instrText>
      </w:r>
      <w:r w:rsidRPr="003F297E">
        <w:rPr>
          <w:rStyle w:val="af6"/>
          <w:rFonts w:eastAsia="Guttman Hodes"/>
          <w:rtl/>
        </w:rPr>
        <w:instrText xml:space="preserve"> </w:instrText>
      </w:r>
      <w:r w:rsidRPr="003F297E">
        <w:rPr>
          <w:rStyle w:val="af6"/>
          <w:rFonts w:eastAsia="Guttman Hodes"/>
          <w:rtl/>
        </w:rPr>
      </w:r>
      <w:r w:rsidRPr="003F297E">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3F297E">
        <w:rPr>
          <w:rStyle w:val="af6"/>
          <w:rFonts w:eastAsia="Guttman Hodes"/>
          <w:rtl/>
        </w:rPr>
        <w:fldChar w:fldCharType="end"/>
      </w:r>
      <w:r>
        <w:rPr>
          <w:rFonts w:hint="cs"/>
          <w:rtl/>
        </w:rPr>
        <w:t xml:space="preserve"> דכתבו בשם </w:t>
      </w:r>
      <w:r w:rsidRPr="00577264">
        <w:rPr>
          <w:rStyle w:val="af8"/>
          <w:rFonts w:hint="cs"/>
          <w:rtl/>
        </w:rPr>
        <w:t>ר"ת</w:t>
      </w:r>
      <w:r>
        <w:rPr>
          <w:rFonts w:hint="cs"/>
          <w:rtl/>
        </w:rPr>
        <w:t xml:space="preserve"> דעל טעם גרידא לוקין מדאו', מבואר דלדעת </w:t>
      </w:r>
      <w:r w:rsidRPr="00577264">
        <w:rPr>
          <w:rStyle w:val="af8"/>
          <w:rFonts w:hint="cs"/>
          <w:rtl/>
        </w:rPr>
        <w:t>ר"ת</w:t>
      </w:r>
      <w:r>
        <w:rPr>
          <w:rFonts w:hint="cs"/>
          <w:rtl/>
        </w:rPr>
        <w:t xml:space="preserve"> א"צ שיהיה כזית בכדי אכילת פרס, דס"ל </w:t>
      </w:r>
      <w:r w:rsidRPr="00577264">
        <w:rPr>
          <w:rStyle w:val="af8"/>
          <w:rFonts w:hint="cs"/>
          <w:rtl/>
        </w:rPr>
        <w:t>לר"ת</w:t>
      </w:r>
      <w:r>
        <w:rPr>
          <w:rFonts w:hint="cs"/>
          <w:rtl/>
        </w:rPr>
        <w:t xml:space="preserve"> דאף כשיש אלף כנגד האיסור, מ"מ כל שיש בו טעם איסור, לוקין על כל כזית מהתערובת.</w:t>
      </w:r>
    </w:p>
    <w:p w:rsidR="00F34A57" w:rsidRPr="00577264" w:rsidRDefault="00F34A57" w:rsidP="00F34A57">
      <w:pPr>
        <w:pStyle w:val="a2"/>
      </w:pPr>
      <w:bookmarkStart w:id="6760" w:name="_Toc14120118"/>
      <w:bookmarkStart w:id="6761" w:name="_Toc14122294"/>
      <w:bookmarkStart w:id="6762" w:name="_Toc14196246"/>
      <w:bookmarkStart w:id="6763" w:name="_Toc14208809"/>
      <w:bookmarkStart w:id="6764" w:name="_Toc14248902"/>
      <w:bookmarkStart w:id="6765" w:name="_Toc14257408"/>
      <w:r>
        <w:rPr>
          <w:rFonts w:hint="cs"/>
          <w:rtl/>
        </w:rPr>
        <w:t>דברי הפר"ח דברא"ש בהלכות חלה מוכח דלר"ת לוקה על כל כזית מהתערובת</w:t>
      </w:r>
      <w:bookmarkEnd w:id="6760"/>
      <w:bookmarkEnd w:id="6761"/>
      <w:bookmarkEnd w:id="6762"/>
      <w:bookmarkEnd w:id="6763"/>
      <w:bookmarkEnd w:id="6764"/>
      <w:bookmarkEnd w:id="6765"/>
    </w:p>
    <w:p w:rsidR="00F34A57" w:rsidRDefault="00F34A57" w:rsidP="009F44AF">
      <w:pPr>
        <w:pStyle w:val="a"/>
        <w:rPr>
          <w:rtl/>
        </w:rPr>
      </w:pPr>
      <w:r>
        <w:rPr>
          <w:rFonts w:hint="cs"/>
          <w:rtl/>
        </w:rPr>
        <w:t>והוסיף</w:t>
      </w:r>
      <w:r w:rsidRPr="00030B26">
        <w:rPr>
          <w:rFonts w:hint="cs"/>
          <w:rtl/>
        </w:rPr>
        <w:t xml:space="preserve"> </w:t>
      </w:r>
      <w:r w:rsidRPr="007E0C12">
        <w:rPr>
          <w:rStyle w:val="af8"/>
          <w:rFonts w:hint="cs"/>
          <w:rtl/>
        </w:rPr>
        <w:t>הפר"ח</w:t>
      </w:r>
      <w:r>
        <w:rPr>
          <w:rFonts w:hint="cs"/>
          <w:rtl/>
        </w:rPr>
        <w:t xml:space="preserve"> דכן מוכח מדברי </w:t>
      </w:r>
      <w:r w:rsidRPr="00577264">
        <w:rPr>
          <w:rStyle w:val="af8"/>
          <w:rFonts w:hint="cs"/>
          <w:rtl/>
        </w:rPr>
        <w:t xml:space="preserve">הרא"ש </w:t>
      </w:r>
      <w:r>
        <w:rPr>
          <w:rStyle w:val="af8"/>
          <w:rFonts w:hint="cs"/>
          <w:rtl/>
        </w:rPr>
        <w:t>בהלכות חלה</w:t>
      </w:r>
      <w:r>
        <w:rPr>
          <w:rFonts w:hint="cs"/>
          <w:rtl/>
        </w:rPr>
        <w:t xml:space="preserve"> </w:t>
      </w:r>
      <w:r w:rsidRPr="000F1DE3">
        <w:rPr>
          <w:rStyle w:val="af6"/>
          <w:rFonts w:eastAsia="Guttman Hodes" w:hint="cs"/>
          <w:rtl/>
        </w:rPr>
        <w:t xml:space="preserve">(עי' אות </w:t>
      </w:r>
      <w:r w:rsidRPr="000F1DE3">
        <w:rPr>
          <w:rStyle w:val="af6"/>
          <w:rFonts w:eastAsia="Guttman Hodes"/>
          <w:rtl/>
        </w:rPr>
        <w:fldChar w:fldCharType="begin"/>
      </w:r>
      <w:r w:rsidRPr="000F1DE3">
        <w:rPr>
          <w:rStyle w:val="af6"/>
          <w:rFonts w:eastAsia="Guttman Hodes"/>
          <w:rtl/>
        </w:rPr>
        <w:instrText xml:space="preserve"> </w:instrText>
      </w:r>
      <w:r w:rsidRPr="000F1DE3">
        <w:rPr>
          <w:rStyle w:val="af6"/>
          <w:rFonts w:eastAsia="Guttman Hodes" w:hint="cs"/>
        </w:rPr>
        <w:instrText>REF</w:instrText>
      </w:r>
      <w:r w:rsidRPr="000F1DE3">
        <w:rPr>
          <w:rStyle w:val="af6"/>
          <w:rFonts w:eastAsia="Guttman Hodes" w:hint="cs"/>
          <w:rtl/>
        </w:rPr>
        <w:instrText xml:space="preserve"> _</w:instrText>
      </w:r>
      <w:r w:rsidRPr="000F1DE3">
        <w:rPr>
          <w:rStyle w:val="af6"/>
          <w:rFonts w:eastAsia="Guttman Hodes" w:hint="cs"/>
        </w:rPr>
        <w:instrText>Ref14119151 \r \h</w:instrText>
      </w:r>
      <w:r w:rsidRPr="000F1DE3">
        <w:rPr>
          <w:rStyle w:val="af6"/>
          <w:rFonts w:eastAsia="Guttman Hodes"/>
          <w:rtl/>
        </w:rPr>
        <w:instrText xml:space="preserve"> </w:instrText>
      </w:r>
      <w:r w:rsidRPr="000F1DE3">
        <w:rPr>
          <w:rStyle w:val="af6"/>
          <w:rFonts w:eastAsia="Guttman Hodes"/>
          <w:rtl/>
        </w:rPr>
      </w:r>
      <w:r w:rsidRPr="000F1DE3">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0F1DE3">
        <w:rPr>
          <w:rStyle w:val="af6"/>
          <w:rFonts w:eastAsia="Guttman Hodes"/>
          <w:rtl/>
        </w:rPr>
        <w:fldChar w:fldCharType="end"/>
      </w:r>
      <w:r>
        <w:rPr>
          <w:rFonts w:hint="cs"/>
          <w:rtl/>
        </w:rPr>
        <w:t xml:space="preserve"> דכתב בדעת </w:t>
      </w:r>
      <w:r w:rsidRPr="00577264">
        <w:rPr>
          <w:rStyle w:val="af8"/>
          <w:rFonts w:hint="cs"/>
          <w:rtl/>
        </w:rPr>
        <w:t>ר"ת</w:t>
      </w:r>
      <w:r>
        <w:rPr>
          <w:rFonts w:hint="cs"/>
          <w:rtl/>
        </w:rPr>
        <w:t xml:space="preserve"> דבעיסת אורז יוצא יד"ח מצה, כשאכל כזית מהעיסה שיש בה טעם דגן, אף שאין כזית דגן בכדי אכילת פרס, וא"כ מוכח דס"ל דלדעת </w:t>
      </w:r>
      <w:r w:rsidRPr="00577264">
        <w:rPr>
          <w:rStyle w:val="af8"/>
          <w:rFonts w:hint="cs"/>
          <w:rtl/>
        </w:rPr>
        <w:t>ר"ת</w:t>
      </w:r>
      <w:r>
        <w:rPr>
          <w:rFonts w:hint="cs"/>
          <w:rtl/>
        </w:rPr>
        <w:t xml:space="preserve"> לוקה מדאו' על כל כזית מהתערובת.</w:t>
      </w:r>
    </w:p>
    <w:p w:rsidR="00F34A57" w:rsidRPr="003B0A8B" w:rsidRDefault="00F34A57" w:rsidP="00F34A57">
      <w:pPr>
        <w:pStyle w:val="a2"/>
        <w:rPr>
          <w:rtl/>
        </w:rPr>
      </w:pPr>
      <w:bookmarkStart w:id="6766" w:name="_Toc14120119"/>
      <w:bookmarkStart w:id="6767" w:name="_Toc14122295"/>
      <w:bookmarkStart w:id="6768" w:name="_Toc14196247"/>
      <w:bookmarkStart w:id="6769" w:name="_Toc14208810"/>
      <w:bookmarkStart w:id="6770" w:name="_Toc14248903"/>
      <w:bookmarkStart w:id="6771" w:name="_Toc14257409"/>
      <w:r>
        <w:rPr>
          <w:rFonts w:hint="cs"/>
          <w:rtl/>
        </w:rPr>
        <w:t>דברי האחרונים שצריך להגיה בטור דכתב דחייב רק בכזית בכא"פ דהוא בשם רבינו חיים ולא ר"ת</w:t>
      </w:r>
      <w:bookmarkEnd w:id="6766"/>
      <w:bookmarkEnd w:id="6767"/>
      <w:bookmarkEnd w:id="6768"/>
      <w:bookmarkEnd w:id="6769"/>
      <w:bookmarkEnd w:id="6770"/>
      <w:bookmarkEnd w:id="6771"/>
    </w:p>
    <w:p w:rsidR="00F34A57" w:rsidRDefault="00F34A57" w:rsidP="009F44AF">
      <w:pPr>
        <w:pStyle w:val="a"/>
      </w:pPr>
      <w:bookmarkStart w:id="6772" w:name="_Ref14101227"/>
      <w:bookmarkStart w:id="6773" w:name="_Ref14173965"/>
      <w:r>
        <w:rPr>
          <w:rFonts w:hint="cs"/>
          <w:rtl/>
        </w:rPr>
        <w:t xml:space="preserve">וכתבו </w:t>
      </w:r>
      <w:r w:rsidRPr="00CC7D10">
        <w:rPr>
          <w:rStyle w:val="af8"/>
          <w:rFonts w:hint="cs"/>
          <w:rtl/>
        </w:rPr>
        <w:t xml:space="preserve">הגר"א </w:t>
      </w:r>
      <w:r w:rsidRPr="00696700">
        <w:rPr>
          <w:rStyle w:val="af6"/>
          <w:rFonts w:eastAsia="Guttman Hodes" w:hint="cs"/>
          <w:rtl/>
        </w:rPr>
        <w:t>(</w:t>
      </w:r>
      <w:r w:rsidRPr="00696700">
        <w:rPr>
          <w:rStyle w:val="af6"/>
          <w:rFonts w:eastAsia="Guttman Hodes"/>
          <w:rtl/>
        </w:rPr>
        <w:t>סי' צ</w:t>
      </w:r>
      <w:r w:rsidRPr="00696700">
        <w:rPr>
          <w:rStyle w:val="af6"/>
          <w:rFonts w:eastAsia="Guttman Hodes" w:hint="cs"/>
          <w:rtl/>
        </w:rPr>
        <w:t>"</w:t>
      </w:r>
      <w:r w:rsidRPr="00696700">
        <w:rPr>
          <w:rStyle w:val="af6"/>
          <w:rFonts w:eastAsia="Guttman Hodes"/>
          <w:rtl/>
        </w:rPr>
        <w:t>ח סק</w:t>
      </w:r>
      <w:r w:rsidRPr="00696700">
        <w:rPr>
          <w:rStyle w:val="af6"/>
          <w:rFonts w:eastAsia="Guttman Hodes" w:hint="cs"/>
          <w:rtl/>
        </w:rPr>
        <w:t>"</w:t>
      </w:r>
      <w:r w:rsidRPr="00696700">
        <w:rPr>
          <w:rStyle w:val="af6"/>
          <w:rFonts w:eastAsia="Guttman Hodes"/>
          <w:rtl/>
        </w:rPr>
        <w:t>ח</w:t>
      </w:r>
      <w:r w:rsidRPr="00696700">
        <w:rPr>
          <w:rStyle w:val="af6"/>
          <w:rFonts w:eastAsia="Guttman Hodes" w:hint="cs"/>
          <w:rtl/>
        </w:rPr>
        <w:t xml:space="preserve">, או"ח סי' תנ"ג סק"ט) </w:t>
      </w:r>
      <w:r w:rsidRPr="007E0C12">
        <w:rPr>
          <w:rStyle w:val="af8"/>
          <w:rFonts w:hint="cs"/>
          <w:rtl/>
        </w:rPr>
        <w:t>והפר"ח</w:t>
      </w:r>
      <w:r w:rsidRPr="007E0C12">
        <w:rPr>
          <w:rFonts w:hint="cs"/>
          <w:rtl/>
        </w:rPr>
        <w:t xml:space="preserve"> </w:t>
      </w:r>
      <w:r w:rsidRPr="007E0C12">
        <w:rPr>
          <w:rStyle w:val="af6"/>
          <w:rFonts w:eastAsia="Guttman Hodes" w:hint="cs"/>
          <w:rtl/>
        </w:rPr>
        <w:t>(או"ח סי' תמ"ב סק"א</w:t>
      </w:r>
      <w:r w:rsidRPr="00E81B5B">
        <w:rPr>
          <w:rFonts w:hint="cs"/>
          <w:rtl/>
        </w:rPr>
        <w:t xml:space="preserve"> </w:t>
      </w:r>
      <w:r w:rsidRPr="00E81B5B">
        <w:rPr>
          <w:rStyle w:val="af6"/>
          <w:rFonts w:eastAsia="Guttman Hodes" w:hint="cs"/>
          <w:rtl/>
        </w:rPr>
        <w:t>בתו"ד</w:t>
      </w:r>
      <w:r>
        <w:rPr>
          <w:rStyle w:val="af6"/>
          <w:rFonts w:eastAsia="Guttman Hodes" w:hint="cs"/>
          <w:rtl/>
        </w:rPr>
        <w:t>)</w:t>
      </w:r>
      <w:r w:rsidRPr="007E0C12">
        <w:rPr>
          <w:rStyle w:val="af6"/>
          <w:rFonts w:eastAsia="Guttman Hodes" w:hint="cs"/>
          <w:rtl/>
        </w:rPr>
        <w:t xml:space="preserve"> </w:t>
      </w:r>
      <w:r w:rsidRPr="00E81B5B">
        <w:rPr>
          <w:rStyle w:val="af8"/>
          <w:rFonts w:hint="cs"/>
          <w:rtl/>
        </w:rPr>
        <w:t xml:space="preserve">והיד יהודה </w:t>
      </w:r>
      <w:r w:rsidRPr="00E81B5B">
        <w:rPr>
          <w:rStyle w:val="af6"/>
          <w:rFonts w:eastAsia="Guttman Hodes" w:hint="cs"/>
          <w:rtl/>
        </w:rPr>
        <w:t>(סי' צ"ח סק"י בתו"ד)</w:t>
      </w:r>
      <w:r>
        <w:rPr>
          <w:rFonts w:hint="cs"/>
          <w:rtl/>
        </w:rPr>
        <w:t xml:space="preserve"> דצריך להגיה בדברי </w:t>
      </w:r>
      <w:r w:rsidRPr="00CC7D10">
        <w:rPr>
          <w:rStyle w:val="af8"/>
          <w:rFonts w:hint="cs"/>
          <w:rtl/>
        </w:rPr>
        <w:t>הטור</w:t>
      </w:r>
      <w:r>
        <w:rPr>
          <w:rFonts w:hint="cs"/>
          <w:rtl/>
        </w:rPr>
        <w:t xml:space="preserve"> </w:t>
      </w:r>
      <w:r w:rsidRPr="00E86FB6">
        <w:rPr>
          <w:rStyle w:val="af6"/>
          <w:rFonts w:eastAsia="Guttman Hodes" w:hint="cs"/>
          <w:rtl/>
        </w:rPr>
        <w:t xml:space="preserve">(עי' אות </w:t>
      </w:r>
      <w:r w:rsidRPr="00E86FB6">
        <w:rPr>
          <w:rStyle w:val="af6"/>
          <w:rFonts w:eastAsia="Guttman Hodes"/>
          <w:rtl/>
        </w:rPr>
        <w:fldChar w:fldCharType="begin"/>
      </w:r>
      <w:r w:rsidRPr="00E86FB6">
        <w:rPr>
          <w:rStyle w:val="af6"/>
          <w:rFonts w:eastAsia="Guttman Hodes"/>
          <w:rtl/>
        </w:rPr>
        <w:instrText xml:space="preserve"> </w:instrText>
      </w:r>
      <w:r w:rsidRPr="00E86FB6">
        <w:rPr>
          <w:rStyle w:val="af6"/>
          <w:rFonts w:eastAsia="Guttman Hodes" w:hint="cs"/>
        </w:rPr>
        <w:instrText>REF</w:instrText>
      </w:r>
      <w:r w:rsidRPr="00E86FB6">
        <w:rPr>
          <w:rStyle w:val="af6"/>
          <w:rFonts w:eastAsia="Guttman Hodes" w:hint="cs"/>
          <w:rtl/>
        </w:rPr>
        <w:instrText xml:space="preserve"> _</w:instrText>
      </w:r>
      <w:r w:rsidRPr="00E86FB6">
        <w:rPr>
          <w:rStyle w:val="af6"/>
          <w:rFonts w:eastAsia="Guttman Hodes" w:hint="cs"/>
        </w:rPr>
        <w:instrText>Ref14016688 \r \h</w:instrText>
      </w:r>
      <w:r w:rsidRPr="00E86FB6">
        <w:rPr>
          <w:rStyle w:val="af6"/>
          <w:rFonts w:eastAsia="Guttman Hodes"/>
          <w:rtl/>
        </w:rPr>
        <w:instrText xml:space="preserve"> </w:instrText>
      </w:r>
      <w:r w:rsidRPr="00E86FB6">
        <w:rPr>
          <w:rStyle w:val="af6"/>
          <w:rFonts w:eastAsia="Guttman Hodes"/>
          <w:rtl/>
        </w:rPr>
      </w:r>
      <w:r w:rsidRPr="00E86FB6">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E86FB6">
        <w:rPr>
          <w:rStyle w:val="af6"/>
          <w:rFonts w:eastAsia="Guttman Hodes"/>
          <w:rtl/>
        </w:rPr>
        <w:fldChar w:fldCharType="end"/>
      </w:r>
      <w:r>
        <w:rPr>
          <w:rFonts w:hint="cs"/>
          <w:rtl/>
        </w:rPr>
        <w:t xml:space="preserve">, דכתב כן בשם </w:t>
      </w:r>
      <w:r w:rsidRPr="00CC7D10">
        <w:rPr>
          <w:rStyle w:val="af8"/>
          <w:rFonts w:hint="cs"/>
          <w:rtl/>
        </w:rPr>
        <w:t>ר"ח</w:t>
      </w:r>
      <w:r w:rsidRPr="00E5004C">
        <w:rPr>
          <w:rFonts w:hint="cs"/>
          <w:rtl/>
        </w:rPr>
        <w:t xml:space="preserve"> דהיינו</w:t>
      </w:r>
      <w:r>
        <w:rPr>
          <w:rStyle w:val="af8"/>
          <w:rFonts w:hint="cs"/>
          <w:rtl/>
        </w:rPr>
        <w:t xml:space="preserve"> </w:t>
      </w:r>
      <w:r w:rsidRPr="00CC7D10">
        <w:rPr>
          <w:rStyle w:val="af8"/>
          <w:rFonts w:hint="cs"/>
          <w:rtl/>
        </w:rPr>
        <w:t>רבינו חיים</w:t>
      </w:r>
      <w:r>
        <w:rPr>
          <w:rFonts w:hint="cs"/>
          <w:rtl/>
        </w:rPr>
        <w:t xml:space="preserve">, ולא בשם </w:t>
      </w:r>
      <w:r w:rsidRPr="00CC7D10">
        <w:rPr>
          <w:rStyle w:val="af8"/>
          <w:rFonts w:hint="cs"/>
          <w:rtl/>
        </w:rPr>
        <w:t>ר"ת</w:t>
      </w:r>
      <w:bookmarkEnd w:id="6772"/>
      <w:r>
        <w:rPr>
          <w:rFonts w:hint="cs"/>
          <w:rtl/>
        </w:rPr>
        <w:t>.</w:t>
      </w:r>
      <w:bookmarkEnd w:id="6773"/>
    </w:p>
    <w:p w:rsidR="00F34A57" w:rsidRDefault="00F34A57" w:rsidP="00F34A57">
      <w:pPr>
        <w:pStyle w:val="1"/>
        <w:rPr>
          <w:rtl/>
        </w:rPr>
      </w:pPr>
      <w:bookmarkStart w:id="6774" w:name="_Toc13952598"/>
      <w:bookmarkStart w:id="6775" w:name="_Toc14089937"/>
      <w:bookmarkStart w:id="6776" w:name="_Toc14109745"/>
      <w:bookmarkStart w:id="6777" w:name="_Toc14120120"/>
      <w:bookmarkStart w:id="6778" w:name="_Toc14122296"/>
      <w:bookmarkStart w:id="6779" w:name="_Toc14196248"/>
      <w:bookmarkStart w:id="6780" w:name="_Toc14208811"/>
      <w:bookmarkStart w:id="6781" w:name="_Toc14248904"/>
      <w:bookmarkStart w:id="6782" w:name="_Toc14257410"/>
      <w:bookmarkStart w:id="6783" w:name="_Toc13773284"/>
      <w:bookmarkStart w:id="6784" w:name="_Toc13952591"/>
      <w:r w:rsidRPr="00053EA8">
        <w:rPr>
          <w:rFonts w:hint="cs"/>
          <w:rtl/>
        </w:rPr>
        <w:t>פלוגתת הש"ך והגרעק"א אי דין נשפך הוא מדין נהפך</w:t>
      </w:r>
      <w:bookmarkEnd w:id="6774"/>
      <w:bookmarkEnd w:id="6775"/>
      <w:bookmarkEnd w:id="6776"/>
      <w:bookmarkEnd w:id="6777"/>
      <w:bookmarkEnd w:id="6778"/>
      <w:bookmarkEnd w:id="6779"/>
      <w:bookmarkEnd w:id="6780"/>
      <w:bookmarkEnd w:id="6781"/>
      <w:bookmarkEnd w:id="6782"/>
    </w:p>
    <w:p w:rsidR="00F34A57" w:rsidRPr="001F7B5C" w:rsidRDefault="00F34A57" w:rsidP="00F34A57">
      <w:pPr>
        <w:pStyle w:val="a2"/>
        <w:rPr>
          <w:rtl/>
        </w:rPr>
      </w:pPr>
      <w:bookmarkStart w:id="6785" w:name="_Toc14122297"/>
      <w:bookmarkStart w:id="6786" w:name="_Toc14196249"/>
      <w:bookmarkStart w:id="6787" w:name="_Toc14208812"/>
      <w:bookmarkStart w:id="6788" w:name="_Toc14248905"/>
      <w:bookmarkStart w:id="6789" w:name="_Toc14257411"/>
      <w:r>
        <w:rPr>
          <w:rFonts w:hint="cs"/>
          <w:rtl/>
        </w:rPr>
        <w:t>דברי הש"ך דהא דנשפך הרוטב הוא ספק דאו' הוא כיון דס"ל לר"ת דבטע"כ אמרינן נהפך</w:t>
      </w:r>
      <w:bookmarkEnd w:id="6785"/>
      <w:bookmarkEnd w:id="6786"/>
      <w:bookmarkEnd w:id="6787"/>
      <w:bookmarkEnd w:id="6788"/>
      <w:bookmarkEnd w:id="6789"/>
    </w:p>
    <w:p w:rsidR="00F34A57" w:rsidRPr="00E87276" w:rsidRDefault="00F34A57" w:rsidP="009F44AF">
      <w:pPr>
        <w:pStyle w:val="a"/>
        <w:rPr>
          <w:rtl/>
        </w:rPr>
      </w:pPr>
      <w:bookmarkStart w:id="6790" w:name="_Ref14122173"/>
      <w:r>
        <w:rPr>
          <w:rFonts w:hint="cs"/>
          <w:rtl/>
        </w:rPr>
        <w:lastRenderedPageBreak/>
        <w:t xml:space="preserve">כתב </w:t>
      </w:r>
      <w:r w:rsidRPr="00CC7D10">
        <w:rPr>
          <w:rStyle w:val="af8"/>
          <w:rFonts w:hint="cs"/>
          <w:rtl/>
        </w:rPr>
        <w:t xml:space="preserve">השו"ע </w:t>
      </w:r>
      <w:r w:rsidRPr="00696700">
        <w:rPr>
          <w:rStyle w:val="af6"/>
          <w:rFonts w:eastAsia="Guttman Hodes" w:hint="cs"/>
          <w:rtl/>
        </w:rPr>
        <w:t>(סי' צ"ח ב')</w:t>
      </w:r>
      <w:r>
        <w:rPr>
          <w:rFonts w:hint="cs"/>
          <w:rtl/>
        </w:rPr>
        <w:t xml:space="preserve"> דבתערובת איסור והיתר, ונשפך הרוטב וא"א לשער אם היה בו שישים, דבמין במינו אם היה רוב היתר מותר, ובמין בשאינו מינו אף ברוב היתר אסור, </w:t>
      </w:r>
      <w:r w:rsidRPr="00696700">
        <w:rPr>
          <w:rStyle w:val="afa"/>
          <w:rFonts w:hint="cs"/>
          <w:rtl/>
        </w:rPr>
        <w:t xml:space="preserve">[כדברי </w:t>
      </w:r>
      <w:r w:rsidRPr="00696700">
        <w:rPr>
          <w:rStyle w:val="affa"/>
          <w:rFonts w:hint="cs"/>
          <w:rtl/>
        </w:rPr>
        <w:t>הרא"ש</w:t>
      </w:r>
      <w:r w:rsidRPr="00696700">
        <w:rPr>
          <w:rStyle w:val="afa"/>
          <w:rFonts w:hint="cs"/>
          <w:rtl/>
        </w:rPr>
        <w:t xml:space="preserve"> </w:t>
      </w:r>
      <w:r w:rsidRPr="00042663">
        <w:rPr>
          <w:rStyle w:val="aff6"/>
          <w:rFonts w:hint="cs"/>
          <w:rtl/>
        </w:rPr>
        <w:t xml:space="preserve">(עי' אות </w:t>
      </w:r>
      <w:r w:rsidRPr="00042663">
        <w:rPr>
          <w:rStyle w:val="aff6"/>
          <w:rtl/>
        </w:rPr>
        <w:fldChar w:fldCharType="begin"/>
      </w:r>
      <w:r w:rsidRPr="00042663">
        <w:rPr>
          <w:rStyle w:val="aff6"/>
          <w:rtl/>
        </w:rPr>
        <w:instrText xml:space="preserve"> </w:instrText>
      </w:r>
      <w:r w:rsidRPr="00042663">
        <w:rPr>
          <w:rStyle w:val="aff6"/>
          <w:rFonts w:hint="cs"/>
        </w:rPr>
        <w:instrText>REF</w:instrText>
      </w:r>
      <w:r w:rsidRPr="00042663">
        <w:rPr>
          <w:rStyle w:val="aff6"/>
          <w:rFonts w:hint="cs"/>
          <w:rtl/>
        </w:rPr>
        <w:instrText xml:space="preserve"> _</w:instrText>
      </w:r>
      <w:r w:rsidRPr="00042663">
        <w:rPr>
          <w:rStyle w:val="aff6"/>
          <w:rFonts w:hint="cs"/>
        </w:rPr>
        <w:instrText>Ref13759399 \r \h</w:instrText>
      </w:r>
      <w:r w:rsidRPr="00042663">
        <w:rPr>
          <w:rStyle w:val="aff6"/>
          <w:rtl/>
        </w:rPr>
        <w:instrText xml:space="preserve"> </w:instrText>
      </w:r>
      <w:r w:rsidRPr="00042663">
        <w:rPr>
          <w:rStyle w:val="aff6"/>
          <w:rtl/>
        </w:rPr>
      </w:r>
      <w:r w:rsidRPr="00042663">
        <w:rPr>
          <w:rStyle w:val="aff6"/>
          <w:rtl/>
        </w:rPr>
        <w:fldChar w:fldCharType="separate"/>
      </w:r>
      <w:r w:rsidR="004D1C5B">
        <w:rPr>
          <w:rStyle w:val="aff6"/>
          <w:cs/>
        </w:rPr>
        <w:t>‎</w:t>
      </w:r>
      <w:r w:rsidR="004D1C5B">
        <w:rPr>
          <w:rStyle w:val="aff6"/>
          <w:rtl/>
        </w:rPr>
        <w:t>טז)</w:t>
      </w:r>
      <w:r w:rsidRPr="00042663">
        <w:rPr>
          <w:rStyle w:val="aff6"/>
          <w:rtl/>
        </w:rPr>
        <w:fldChar w:fldCharType="end"/>
      </w:r>
      <w:r w:rsidRPr="00696700">
        <w:rPr>
          <w:rStyle w:val="afa"/>
          <w:rFonts w:hint="cs"/>
          <w:rtl/>
        </w:rPr>
        <w:t>]</w:t>
      </w:r>
      <w:r>
        <w:rPr>
          <w:rStyle w:val="afa"/>
          <w:rFonts w:hint="cs"/>
          <w:rtl/>
        </w:rPr>
        <w:t xml:space="preserve">, </w:t>
      </w:r>
      <w:r>
        <w:rPr>
          <w:rFonts w:hint="cs"/>
          <w:rtl/>
        </w:rPr>
        <w:t xml:space="preserve">וביאר </w:t>
      </w:r>
      <w:r w:rsidRPr="008A4F1C">
        <w:rPr>
          <w:rStyle w:val="af8"/>
          <w:rFonts w:hint="cs"/>
          <w:rtl/>
        </w:rPr>
        <w:t>הש"ך</w:t>
      </w:r>
      <w:r w:rsidRPr="006D4701">
        <w:rPr>
          <w:rStyle w:val="af6"/>
          <w:rFonts w:eastAsia="Guttman Hodes" w:hint="cs"/>
          <w:rtl/>
        </w:rPr>
        <w:t xml:space="preserve"> (סי' צ"ח סק"ו) </w:t>
      </w:r>
      <w:r>
        <w:rPr>
          <w:rFonts w:hint="cs"/>
          <w:rtl/>
        </w:rPr>
        <w:t xml:space="preserve">דהוא כדעת </w:t>
      </w:r>
      <w:r w:rsidRPr="00CC7D10">
        <w:rPr>
          <w:rStyle w:val="af8"/>
          <w:rFonts w:hint="cs"/>
          <w:rtl/>
        </w:rPr>
        <w:t xml:space="preserve">ר"ת </w:t>
      </w:r>
      <w:r>
        <w:rPr>
          <w:rFonts w:hint="cs"/>
          <w:rtl/>
        </w:rPr>
        <w:t xml:space="preserve">ושאר </w:t>
      </w:r>
      <w:r w:rsidRPr="00CC7D10">
        <w:rPr>
          <w:rStyle w:val="af8"/>
          <w:rFonts w:hint="cs"/>
          <w:rtl/>
        </w:rPr>
        <w:t>הראשונים</w:t>
      </w:r>
      <w:r>
        <w:rPr>
          <w:rFonts w:hint="cs"/>
          <w:rtl/>
        </w:rPr>
        <w:t xml:space="preserve"> דפוסקים דטעם כעיקר דאו', וס"ל דבמין בשאינו מינו כיון שהאיסור נתן טעם בהיתר, נהפך כל ההיתר להיות אסור, וכל התערובת אסורה מדאו', ודין שישים הוא מדאו', והוי </w:t>
      </w:r>
      <w:r w:rsidRPr="00E87276">
        <w:rPr>
          <w:rFonts w:hint="cs"/>
          <w:rtl/>
        </w:rPr>
        <w:t xml:space="preserve">ספק דאו' לחומרא, משא"כ במין במינו דמדאו' מהני בו ביטול ברוב, וכל דין שישים הוא רק מדרבנן, ולכן בנשפך הרוטב הוא ספק דרבנן ומותר, ועי' במ"ש בביאור דברי </w:t>
      </w:r>
      <w:r w:rsidRPr="00E87276">
        <w:rPr>
          <w:rStyle w:val="af8"/>
          <w:rFonts w:hint="cs"/>
          <w:rtl/>
        </w:rPr>
        <w:t>הש"ך בשיעורי מקדש דוד</w:t>
      </w:r>
      <w:r w:rsidRPr="00E87276">
        <w:rPr>
          <w:rFonts w:hint="cs"/>
          <w:rtl/>
        </w:rPr>
        <w:t xml:space="preserve"> </w:t>
      </w:r>
      <w:r w:rsidRPr="00E87276">
        <w:rPr>
          <w:rStyle w:val="af6"/>
          <w:rFonts w:eastAsia="Guttman Hodes" w:hint="cs"/>
          <w:rtl/>
        </w:rPr>
        <w:t xml:space="preserve">(חולין סי' י"א, </w:t>
      </w:r>
      <w:r>
        <w:rPr>
          <w:rStyle w:val="af6"/>
          <w:rFonts w:eastAsia="Guttman Hodes" w:hint="cs"/>
          <w:rtl/>
        </w:rPr>
        <w:t xml:space="preserve">ספר </w:t>
      </w:r>
      <w:r w:rsidRPr="00E87276">
        <w:rPr>
          <w:rStyle w:val="af6"/>
          <w:rFonts w:eastAsia="Guttman Hodes" w:hint="cs"/>
          <w:rtl/>
        </w:rPr>
        <w:t>קובץ עניינים חולין סי' ח')</w:t>
      </w:r>
      <w:r w:rsidRPr="00E87276">
        <w:rPr>
          <w:rFonts w:hint="cs"/>
          <w:rtl/>
        </w:rPr>
        <w:t>.</w:t>
      </w:r>
      <w:bookmarkEnd w:id="6790"/>
    </w:p>
    <w:p w:rsidR="00F34A57" w:rsidRDefault="00F34A57" w:rsidP="00F34A57">
      <w:pPr>
        <w:pStyle w:val="a2"/>
        <w:rPr>
          <w:rtl/>
        </w:rPr>
      </w:pPr>
      <w:bookmarkStart w:id="6791" w:name="_Toc14122298"/>
      <w:bookmarkStart w:id="6792" w:name="_Toc14196250"/>
      <w:bookmarkStart w:id="6793" w:name="_Toc14208813"/>
      <w:bookmarkStart w:id="6794" w:name="_Toc14248906"/>
      <w:bookmarkStart w:id="6795" w:name="_Toc14257412"/>
      <w:r>
        <w:rPr>
          <w:rFonts w:hint="cs"/>
          <w:rtl/>
        </w:rPr>
        <w:t>דברי הגרעק"א דדין נשפך הרוטב אינו שייך לנהפך דלר"ת ור"י רק בכזית בכא"פ אמרינן נהפך</w:t>
      </w:r>
      <w:bookmarkEnd w:id="6791"/>
      <w:bookmarkEnd w:id="6792"/>
      <w:bookmarkEnd w:id="6793"/>
      <w:bookmarkEnd w:id="6794"/>
      <w:bookmarkEnd w:id="6795"/>
    </w:p>
    <w:p w:rsidR="00F34A57" w:rsidRDefault="00F34A57" w:rsidP="009F44AF">
      <w:pPr>
        <w:pStyle w:val="a"/>
        <w:rPr>
          <w:rtl/>
        </w:rPr>
      </w:pPr>
      <w:bookmarkStart w:id="6796" w:name="_Ref14121147"/>
      <w:r>
        <w:rPr>
          <w:rFonts w:hint="cs"/>
          <w:rtl/>
        </w:rPr>
        <w:t xml:space="preserve">אבל </w:t>
      </w:r>
      <w:r w:rsidRPr="008A4F1C">
        <w:rPr>
          <w:rStyle w:val="af8"/>
          <w:rFonts w:hint="cs"/>
          <w:rtl/>
        </w:rPr>
        <w:t>הגרעק"א</w:t>
      </w:r>
      <w:r w:rsidRPr="006D4701">
        <w:rPr>
          <w:rStyle w:val="af6"/>
          <w:rFonts w:eastAsia="Guttman Hodes" w:hint="cs"/>
          <w:rtl/>
        </w:rPr>
        <w:t xml:space="preserve"> (סי' צ"ח על הש"ך סק"ו) </w:t>
      </w:r>
      <w:r>
        <w:rPr>
          <w:rFonts w:hint="cs"/>
          <w:rtl/>
        </w:rPr>
        <w:t xml:space="preserve">כתב דמ"ש </w:t>
      </w:r>
      <w:r w:rsidRPr="008A4F1C">
        <w:rPr>
          <w:rStyle w:val="af8"/>
          <w:rFonts w:hint="cs"/>
          <w:rtl/>
        </w:rPr>
        <w:t>הש"ך</w:t>
      </w:r>
      <w:r>
        <w:rPr>
          <w:rFonts w:hint="cs"/>
          <w:rtl/>
        </w:rPr>
        <w:t xml:space="preserve"> דלדעת </w:t>
      </w:r>
      <w:r w:rsidRPr="00CC7D10">
        <w:rPr>
          <w:rStyle w:val="af8"/>
          <w:rFonts w:hint="cs"/>
          <w:rtl/>
        </w:rPr>
        <w:t xml:space="preserve">ר"ת </w:t>
      </w:r>
      <w:r>
        <w:rPr>
          <w:rFonts w:hint="cs"/>
          <w:rtl/>
        </w:rPr>
        <w:t xml:space="preserve">ושאר </w:t>
      </w:r>
      <w:r w:rsidRPr="00CC7D10">
        <w:rPr>
          <w:rStyle w:val="af8"/>
          <w:rFonts w:hint="cs"/>
          <w:rtl/>
        </w:rPr>
        <w:t>הראשונים</w:t>
      </w:r>
      <w:r>
        <w:rPr>
          <w:rFonts w:hint="cs"/>
          <w:rtl/>
        </w:rPr>
        <w:t xml:space="preserve"> נהפך ההיתר להיות איסור, הוא מיותר, דהא לדעת </w:t>
      </w:r>
      <w:r w:rsidRPr="00CC7D10">
        <w:rPr>
          <w:rStyle w:val="af8"/>
          <w:rFonts w:hint="cs"/>
          <w:rtl/>
        </w:rPr>
        <w:t xml:space="preserve">ר"ת </w:t>
      </w:r>
      <w:r w:rsidRPr="00C1107D">
        <w:rPr>
          <w:rStyle w:val="af6"/>
          <w:rFonts w:eastAsia="Guttman Hodes" w:hint="cs"/>
          <w:rtl/>
        </w:rPr>
        <w:t xml:space="preserve">(עי' אות </w:t>
      </w:r>
      <w:r w:rsidRPr="00C1107D">
        <w:rPr>
          <w:rStyle w:val="af6"/>
          <w:rFonts w:eastAsia="Guttman Hodes"/>
          <w:rtl/>
        </w:rPr>
        <w:fldChar w:fldCharType="begin"/>
      </w:r>
      <w:r w:rsidRPr="00C1107D">
        <w:rPr>
          <w:rStyle w:val="af6"/>
          <w:rFonts w:eastAsia="Guttman Hodes"/>
          <w:rtl/>
        </w:rPr>
        <w:instrText xml:space="preserve"> </w:instrText>
      </w:r>
      <w:r w:rsidRPr="00C1107D">
        <w:rPr>
          <w:rStyle w:val="af6"/>
          <w:rFonts w:eastAsia="Guttman Hodes" w:hint="cs"/>
        </w:rPr>
        <w:instrText>REF</w:instrText>
      </w:r>
      <w:r w:rsidRPr="00C1107D">
        <w:rPr>
          <w:rStyle w:val="af6"/>
          <w:rFonts w:eastAsia="Guttman Hodes" w:hint="cs"/>
          <w:rtl/>
        </w:rPr>
        <w:instrText xml:space="preserve"> _</w:instrText>
      </w:r>
      <w:r w:rsidRPr="00C1107D">
        <w:rPr>
          <w:rStyle w:val="af6"/>
          <w:rFonts w:eastAsia="Guttman Hodes" w:hint="cs"/>
        </w:rPr>
        <w:instrText>Ref14016801 \r \h</w:instrText>
      </w:r>
      <w:r w:rsidRPr="00C1107D">
        <w:rPr>
          <w:rStyle w:val="af6"/>
          <w:rFonts w:eastAsia="Guttman Hodes"/>
          <w:rtl/>
        </w:rPr>
        <w:instrText xml:space="preserve"> </w:instrText>
      </w:r>
      <w:r w:rsidRPr="00C1107D">
        <w:rPr>
          <w:rStyle w:val="af6"/>
          <w:rFonts w:eastAsia="Guttman Hodes"/>
          <w:rtl/>
        </w:rPr>
      </w:r>
      <w:r w:rsidRPr="00C1107D">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C1107D">
        <w:rPr>
          <w:rStyle w:val="af6"/>
          <w:rFonts w:eastAsia="Guttman Hodes"/>
          <w:rtl/>
        </w:rPr>
        <w:fldChar w:fldCharType="end"/>
      </w:r>
      <w:r>
        <w:rPr>
          <w:rStyle w:val="af8"/>
          <w:rFonts w:hint="cs"/>
          <w:rtl/>
        </w:rPr>
        <w:t xml:space="preserve"> </w:t>
      </w:r>
      <w:r w:rsidRPr="00CC7D10">
        <w:rPr>
          <w:rStyle w:val="af8"/>
          <w:rFonts w:hint="cs"/>
          <w:rtl/>
        </w:rPr>
        <w:t xml:space="preserve">ור"י </w:t>
      </w:r>
      <w:r w:rsidRPr="00C1107D">
        <w:rPr>
          <w:rStyle w:val="afa"/>
          <w:rFonts w:hint="cs"/>
          <w:rtl/>
        </w:rPr>
        <w:t>[</w:t>
      </w:r>
      <w:r>
        <w:rPr>
          <w:rStyle w:val="afa"/>
          <w:rFonts w:hint="cs"/>
          <w:rtl/>
        </w:rPr>
        <w:t xml:space="preserve">עי' </w:t>
      </w:r>
      <w:r>
        <w:rPr>
          <w:rStyle w:val="affa"/>
          <w:rFonts w:hint="cs"/>
          <w:rtl/>
        </w:rPr>
        <w:t>ב</w:t>
      </w:r>
      <w:r w:rsidRPr="00C1107D">
        <w:rPr>
          <w:rStyle w:val="affa"/>
          <w:rFonts w:hint="cs"/>
          <w:rtl/>
        </w:rPr>
        <w:t>רשב"א</w:t>
      </w:r>
      <w:r w:rsidRPr="00C1107D">
        <w:rPr>
          <w:rStyle w:val="afa"/>
          <w:rFonts w:hint="cs"/>
          <w:rtl/>
        </w:rPr>
        <w:t xml:space="preserve"> </w:t>
      </w:r>
      <w:r w:rsidRPr="00C1107D">
        <w:rPr>
          <w:rStyle w:val="aff6"/>
          <w:rFonts w:hint="cs"/>
          <w:rtl/>
        </w:rPr>
        <w:t xml:space="preserve">(עי' אות </w:t>
      </w:r>
      <w:r w:rsidRPr="00C1107D">
        <w:rPr>
          <w:rStyle w:val="aff6"/>
          <w:rtl/>
        </w:rPr>
        <w:fldChar w:fldCharType="begin"/>
      </w:r>
      <w:r w:rsidRPr="00C1107D">
        <w:rPr>
          <w:rStyle w:val="aff6"/>
          <w:rtl/>
        </w:rPr>
        <w:instrText xml:space="preserve"> </w:instrText>
      </w:r>
      <w:r w:rsidRPr="00C1107D">
        <w:rPr>
          <w:rStyle w:val="aff6"/>
          <w:rFonts w:hint="cs"/>
        </w:rPr>
        <w:instrText>REF</w:instrText>
      </w:r>
      <w:r w:rsidRPr="00C1107D">
        <w:rPr>
          <w:rStyle w:val="aff6"/>
          <w:rFonts w:hint="cs"/>
          <w:rtl/>
        </w:rPr>
        <w:instrText xml:space="preserve"> _</w:instrText>
      </w:r>
      <w:r w:rsidRPr="00C1107D">
        <w:rPr>
          <w:rStyle w:val="aff6"/>
          <w:rFonts w:hint="cs"/>
        </w:rPr>
        <w:instrText>Ref14121221 \r \h</w:instrText>
      </w:r>
      <w:r w:rsidRPr="00C1107D">
        <w:rPr>
          <w:rStyle w:val="aff6"/>
          <w:rtl/>
        </w:rPr>
        <w:instrText xml:space="preserve"> </w:instrText>
      </w:r>
      <w:r w:rsidRPr="00C1107D">
        <w:rPr>
          <w:rStyle w:val="aff6"/>
          <w:rtl/>
        </w:rPr>
      </w:r>
      <w:r w:rsidRPr="00C1107D">
        <w:rPr>
          <w:rStyle w:val="aff6"/>
          <w:rtl/>
        </w:rPr>
        <w:fldChar w:fldCharType="separate"/>
      </w:r>
      <w:r w:rsidR="004D1C5B">
        <w:rPr>
          <w:rStyle w:val="aff6"/>
          <w:cs/>
        </w:rPr>
        <w:t>‎</w:t>
      </w:r>
      <w:r w:rsidR="004D1C5B">
        <w:rPr>
          <w:rStyle w:val="aff6"/>
          <w:rtl/>
        </w:rPr>
        <w:t>לה)</w:t>
      </w:r>
      <w:r w:rsidRPr="00C1107D">
        <w:rPr>
          <w:rStyle w:val="aff6"/>
          <w:rtl/>
        </w:rPr>
        <w:fldChar w:fldCharType="end"/>
      </w:r>
      <w:r>
        <w:rPr>
          <w:rStyle w:val="afa"/>
          <w:rFonts w:hint="cs"/>
          <w:rtl/>
        </w:rPr>
        <w:t xml:space="preserve"> </w:t>
      </w:r>
      <w:r w:rsidRPr="00C1107D">
        <w:rPr>
          <w:rStyle w:val="afa"/>
          <w:rFonts w:hint="cs"/>
          <w:rtl/>
        </w:rPr>
        <w:t xml:space="preserve">בשם </w:t>
      </w:r>
      <w:r w:rsidRPr="00C1107D">
        <w:rPr>
          <w:rStyle w:val="affa"/>
          <w:rFonts w:hint="cs"/>
          <w:rtl/>
        </w:rPr>
        <w:t>ר"י</w:t>
      </w:r>
      <w:r w:rsidRPr="00C1107D">
        <w:rPr>
          <w:rStyle w:val="afa"/>
          <w:rFonts w:hint="cs"/>
          <w:rtl/>
        </w:rPr>
        <w:t xml:space="preserve"> דכתב כדברי </w:t>
      </w:r>
      <w:r w:rsidRPr="00C1107D">
        <w:rPr>
          <w:rStyle w:val="affa"/>
          <w:rFonts w:hint="cs"/>
          <w:rtl/>
        </w:rPr>
        <w:t>רבינו חיים</w:t>
      </w:r>
      <w:r w:rsidRPr="00C1107D">
        <w:rPr>
          <w:rStyle w:val="afa"/>
          <w:rFonts w:hint="cs"/>
          <w:rtl/>
        </w:rPr>
        <w:t xml:space="preserve">] </w:t>
      </w:r>
      <w:r>
        <w:rPr>
          <w:rFonts w:hint="cs"/>
          <w:rtl/>
        </w:rPr>
        <w:t xml:space="preserve">כל שאין כזית בכדי אכילת פרס, לא אמרינן דנהפך ההיתר להיות איסור, ומ"מ </w:t>
      </w:r>
      <w:r w:rsidRPr="006372EA">
        <w:rPr>
          <w:rFonts w:hint="cs"/>
          <w:rtl/>
        </w:rPr>
        <w:t xml:space="preserve">כיון שהטעם נרגש האיסור אין האיסור מתבטל, </w:t>
      </w:r>
      <w:r w:rsidRPr="006372EA">
        <w:rPr>
          <w:rStyle w:val="afa"/>
          <w:rFonts w:hint="cs"/>
          <w:rtl/>
        </w:rPr>
        <w:t xml:space="preserve">[וכסברת </w:t>
      </w:r>
      <w:r w:rsidRPr="006372EA">
        <w:rPr>
          <w:rStyle w:val="affa"/>
          <w:rFonts w:hint="cs"/>
          <w:rtl/>
        </w:rPr>
        <w:t>הראב"ד</w:t>
      </w:r>
      <w:r w:rsidRPr="006372EA">
        <w:rPr>
          <w:rStyle w:val="afa"/>
          <w:rFonts w:hint="cs"/>
          <w:rtl/>
        </w:rPr>
        <w:t xml:space="preserve"> </w:t>
      </w:r>
      <w:r w:rsidRPr="006372EA">
        <w:rPr>
          <w:rStyle w:val="aff6"/>
          <w:rFonts w:hint="cs"/>
          <w:rtl/>
        </w:rPr>
        <w:t xml:space="preserve">(עי' אות </w:t>
      </w:r>
      <w:r w:rsidRPr="006372EA">
        <w:rPr>
          <w:rStyle w:val="aff6"/>
          <w:rtl/>
        </w:rPr>
        <w:fldChar w:fldCharType="begin"/>
      </w:r>
      <w:r w:rsidRPr="006372EA">
        <w:rPr>
          <w:rStyle w:val="aff6"/>
          <w:rtl/>
        </w:rPr>
        <w:instrText xml:space="preserve"> </w:instrText>
      </w:r>
      <w:r w:rsidRPr="006372EA">
        <w:rPr>
          <w:rStyle w:val="aff6"/>
          <w:rFonts w:hint="cs"/>
        </w:rPr>
        <w:instrText>REF</w:instrText>
      </w:r>
      <w:r w:rsidRPr="006372EA">
        <w:rPr>
          <w:rStyle w:val="aff6"/>
          <w:rFonts w:hint="cs"/>
          <w:rtl/>
        </w:rPr>
        <w:instrText xml:space="preserve"> _</w:instrText>
      </w:r>
      <w:r w:rsidRPr="006372EA">
        <w:rPr>
          <w:rStyle w:val="aff6"/>
          <w:rFonts w:hint="cs"/>
        </w:rPr>
        <w:instrText>Ref14258101 \r \h</w:instrText>
      </w:r>
      <w:r w:rsidRPr="006372EA">
        <w:rPr>
          <w:rStyle w:val="aff6"/>
          <w:rtl/>
        </w:rPr>
        <w:instrText xml:space="preserve">  \* </w:instrText>
      </w:r>
      <w:r w:rsidRPr="006372EA">
        <w:rPr>
          <w:rStyle w:val="aff6"/>
        </w:rPr>
        <w:instrText>MERGEFORMAT</w:instrText>
      </w:r>
      <w:r w:rsidRPr="006372EA">
        <w:rPr>
          <w:rStyle w:val="aff6"/>
          <w:rtl/>
        </w:rPr>
        <w:instrText xml:space="preserve"> </w:instrText>
      </w:r>
      <w:r w:rsidRPr="006372EA">
        <w:rPr>
          <w:rStyle w:val="aff6"/>
          <w:rtl/>
        </w:rPr>
      </w:r>
      <w:r w:rsidRPr="006372EA">
        <w:rPr>
          <w:rStyle w:val="aff6"/>
          <w:rtl/>
        </w:rPr>
        <w:fldChar w:fldCharType="separate"/>
      </w:r>
      <w:r w:rsidR="004D1C5B">
        <w:rPr>
          <w:rStyle w:val="aff6"/>
          <w:cs/>
        </w:rPr>
        <w:t>‎</w:t>
      </w:r>
      <w:r w:rsidR="004D1C5B">
        <w:rPr>
          <w:rStyle w:val="aff6"/>
          <w:rtl/>
        </w:rPr>
        <w:t>עג)</w:t>
      </w:r>
      <w:r w:rsidRPr="006372EA">
        <w:rPr>
          <w:rStyle w:val="aff6"/>
          <w:rtl/>
        </w:rPr>
        <w:fldChar w:fldCharType="end"/>
      </w:r>
      <w:r w:rsidRPr="006372EA">
        <w:rPr>
          <w:rStyle w:val="afa"/>
          <w:rFonts w:hint="cs"/>
          <w:rtl/>
        </w:rPr>
        <w:t>]</w:t>
      </w:r>
      <w:r w:rsidRPr="006372EA">
        <w:rPr>
          <w:rFonts w:hint="cs"/>
          <w:rtl/>
        </w:rPr>
        <w:t>, ו</w:t>
      </w:r>
      <w:r>
        <w:rPr>
          <w:rFonts w:hint="cs"/>
          <w:rtl/>
        </w:rPr>
        <w:t xml:space="preserve">לכן מדאו' אסור לאכול את התערובת  והוי כאוכל חצי שיעור, וממילא כשנשפך הרוטב, הוא ספק דאו', וכתב </w:t>
      </w:r>
      <w:r w:rsidRPr="00CC7D10">
        <w:rPr>
          <w:rStyle w:val="af8"/>
          <w:rFonts w:hint="cs"/>
          <w:rtl/>
        </w:rPr>
        <w:t xml:space="preserve">הגרעק"א </w:t>
      </w:r>
      <w:r>
        <w:rPr>
          <w:rFonts w:hint="cs"/>
          <w:rtl/>
        </w:rPr>
        <w:t>דא"כ הא דצריך להחמיר בנשפך הרוטב, אינו שייך לדין נהפך כלל.</w:t>
      </w:r>
      <w:bookmarkEnd w:id="6796"/>
    </w:p>
    <w:p w:rsidR="00F34A57" w:rsidRDefault="00F34A57" w:rsidP="00F34A57">
      <w:pPr>
        <w:pStyle w:val="1"/>
        <w:rPr>
          <w:rtl/>
        </w:rPr>
      </w:pPr>
      <w:bookmarkStart w:id="6797" w:name="_Toc14196251"/>
      <w:bookmarkStart w:id="6798" w:name="_Toc14208814"/>
      <w:bookmarkStart w:id="6799" w:name="_Toc14248907"/>
      <w:bookmarkStart w:id="6800" w:name="_Toc14257413"/>
      <w:bookmarkStart w:id="6801" w:name="_Toc14122299"/>
      <w:r>
        <w:rPr>
          <w:rFonts w:hint="cs"/>
          <w:rtl/>
        </w:rPr>
        <w:t>דברי הרא"ש בדעת ר"ת בדין נהפך בעיסת אורז</w:t>
      </w:r>
      <w:bookmarkEnd w:id="6797"/>
      <w:bookmarkEnd w:id="6798"/>
      <w:bookmarkEnd w:id="6799"/>
      <w:bookmarkEnd w:id="6800"/>
    </w:p>
    <w:p w:rsidR="00F34A57" w:rsidRPr="007E0C12" w:rsidRDefault="00F34A57" w:rsidP="00F34A57">
      <w:pPr>
        <w:pStyle w:val="a2"/>
        <w:rPr>
          <w:rtl/>
        </w:rPr>
      </w:pPr>
      <w:bookmarkStart w:id="6802" w:name="_Toc13773300"/>
      <w:bookmarkStart w:id="6803" w:name="_Toc13952609"/>
      <w:bookmarkStart w:id="6804" w:name="_Toc14089970"/>
      <w:bookmarkStart w:id="6805" w:name="_Toc14109776"/>
      <w:bookmarkStart w:id="6806" w:name="_Toc14120151"/>
      <w:bookmarkStart w:id="6807" w:name="_Toc14122329"/>
      <w:bookmarkStart w:id="6808" w:name="_Toc14196253"/>
      <w:bookmarkStart w:id="6809" w:name="_Toc14208815"/>
      <w:bookmarkStart w:id="6810" w:name="_Toc14248908"/>
      <w:bookmarkStart w:id="6811" w:name="_Toc14257414"/>
      <w:bookmarkStart w:id="6812" w:name="_Toc13773294"/>
      <w:bookmarkStart w:id="6813" w:name="_Toc13952603"/>
      <w:bookmarkStart w:id="6814" w:name="_Toc14089964"/>
      <w:bookmarkStart w:id="6815" w:name="_Toc14109770"/>
      <w:bookmarkStart w:id="6816" w:name="_Toc14120145"/>
      <w:bookmarkStart w:id="6817" w:name="_Toc14122323"/>
      <w:r>
        <w:rPr>
          <w:rFonts w:hint="cs"/>
          <w:rtl/>
        </w:rPr>
        <w:t>דברי הרא"ש בשם ר"ת דכיון שיש בה טעם דגן נהפכה כל העיסה לעיסת דגן</w:t>
      </w:r>
      <w:bookmarkEnd w:id="6802"/>
      <w:bookmarkEnd w:id="6803"/>
      <w:bookmarkEnd w:id="6804"/>
      <w:bookmarkEnd w:id="6805"/>
      <w:bookmarkEnd w:id="6806"/>
      <w:bookmarkEnd w:id="6807"/>
      <w:bookmarkEnd w:id="6808"/>
      <w:bookmarkEnd w:id="6809"/>
      <w:bookmarkEnd w:id="6810"/>
      <w:bookmarkEnd w:id="6811"/>
    </w:p>
    <w:p w:rsidR="00F34A57" w:rsidRPr="008120AC" w:rsidRDefault="00F34A57" w:rsidP="009F44AF">
      <w:pPr>
        <w:pStyle w:val="a"/>
        <w:rPr>
          <w:rStyle w:val="afa"/>
          <w:rtl/>
        </w:rPr>
      </w:pPr>
      <w:bookmarkStart w:id="6818" w:name="_Ref14428204"/>
      <w:bookmarkEnd w:id="6812"/>
      <w:bookmarkEnd w:id="6813"/>
      <w:bookmarkEnd w:id="6814"/>
      <w:bookmarkEnd w:id="6815"/>
      <w:bookmarkEnd w:id="6816"/>
      <w:bookmarkEnd w:id="6817"/>
      <w:r w:rsidRPr="00175B7E">
        <w:rPr>
          <w:rFonts w:hint="cs"/>
          <w:rtl/>
        </w:rPr>
        <w:t xml:space="preserve">הביא </w:t>
      </w:r>
      <w:r w:rsidRPr="00175B7E">
        <w:rPr>
          <w:rStyle w:val="af8"/>
          <w:rFonts w:hint="cs"/>
          <w:rtl/>
        </w:rPr>
        <w:t xml:space="preserve">הרא"ש </w:t>
      </w:r>
      <w:r w:rsidRPr="00175B7E">
        <w:rPr>
          <w:rStyle w:val="af6"/>
          <w:rFonts w:eastAsia="Guttman Hodes" w:hint="cs"/>
          <w:rtl/>
        </w:rPr>
        <w:t>(סי' ל"א)</w:t>
      </w:r>
      <w:r w:rsidRPr="00175B7E">
        <w:rPr>
          <w:rFonts w:hint="cs"/>
          <w:rtl/>
        </w:rPr>
        <w:t xml:space="preserve"> </w:t>
      </w:r>
      <w:r w:rsidRPr="00175B7E">
        <w:rPr>
          <w:rStyle w:val="af8"/>
          <w:rFonts w:hint="cs"/>
          <w:rtl/>
        </w:rPr>
        <w:t>והתוס' הרא"ש</w:t>
      </w:r>
      <w:r w:rsidRPr="00175B7E">
        <w:rPr>
          <w:rFonts w:hint="cs"/>
          <w:rtl/>
        </w:rPr>
        <w:t xml:space="preserve"> </w:t>
      </w:r>
      <w:r w:rsidRPr="00175B7E">
        <w:rPr>
          <w:rStyle w:val="af6"/>
          <w:rFonts w:eastAsia="Guttman Hodes" w:hint="cs"/>
          <w:rtl/>
        </w:rPr>
        <w:t xml:space="preserve">(ד"ה לא נצרכה)  </w:t>
      </w:r>
      <w:r w:rsidRPr="00175B7E">
        <w:rPr>
          <w:rFonts w:hint="cs"/>
          <w:rtl/>
        </w:rPr>
        <w:t xml:space="preserve">בשם </w:t>
      </w:r>
      <w:r w:rsidRPr="00175B7E">
        <w:rPr>
          <w:rStyle w:val="af8"/>
          <w:rFonts w:hint="cs"/>
          <w:rtl/>
        </w:rPr>
        <w:t>ר"ת בספר הישר</w:t>
      </w:r>
      <w:r w:rsidRPr="00175B7E">
        <w:rPr>
          <w:rFonts w:hint="cs"/>
          <w:rtl/>
        </w:rPr>
        <w:t xml:space="preserve"> </w:t>
      </w:r>
      <w:r w:rsidRPr="00175B7E">
        <w:rPr>
          <w:rStyle w:val="af6"/>
          <w:rFonts w:eastAsia="Guttman Hodes" w:hint="cs"/>
          <w:rtl/>
        </w:rPr>
        <w:t>(חלק החי' סי' תרצ"ד, הועתק בקובץ שיטות קמאי ע"ז ח"ב עמ'</w:t>
      </w:r>
      <w:r w:rsidRPr="00175B7E">
        <w:rPr>
          <w:rStyle w:val="af6"/>
          <w:rFonts w:eastAsia="Guttman Hodes"/>
          <w:rtl/>
        </w:rPr>
        <w:t xml:space="preserve"> אלף תר</w:t>
      </w:r>
      <w:r w:rsidRPr="00175B7E">
        <w:rPr>
          <w:rStyle w:val="af6"/>
          <w:rFonts w:eastAsia="Guttman Hodes" w:hint="cs"/>
          <w:rtl/>
        </w:rPr>
        <w:t>"</w:t>
      </w:r>
      <w:r w:rsidRPr="00175B7E">
        <w:rPr>
          <w:rStyle w:val="af6"/>
          <w:rFonts w:eastAsia="Guttman Hodes"/>
          <w:rtl/>
        </w:rPr>
        <w:t>י</w:t>
      </w:r>
      <w:r w:rsidRPr="00175B7E">
        <w:rPr>
          <w:rStyle w:val="af6"/>
          <w:rFonts w:eastAsia="Guttman Hodes" w:hint="cs"/>
          <w:rtl/>
        </w:rPr>
        <w:t>)</w:t>
      </w:r>
      <w:r w:rsidRPr="00175B7E">
        <w:rPr>
          <w:rFonts w:hint="cs"/>
          <w:rtl/>
        </w:rPr>
        <w:t xml:space="preserve"> ד</w:t>
      </w:r>
      <w:r>
        <w:rPr>
          <w:rFonts w:hint="cs"/>
          <w:rtl/>
        </w:rPr>
        <w:t xml:space="preserve">הוכיח </w:t>
      </w:r>
      <w:r w:rsidRPr="00175B7E">
        <w:rPr>
          <w:rFonts w:hint="cs"/>
          <w:rtl/>
        </w:rPr>
        <w:t>דטעם כעיקר דאו'</w:t>
      </w:r>
      <w:r>
        <w:rPr>
          <w:rFonts w:hint="cs"/>
          <w:rtl/>
        </w:rPr>
        <w:t xml:space="preserve">, מדין עיסת אורז </w:t>
      </w:r>
      <w:r w:rsidRPr="00175B7E">
        <w:rPr>
          <w:rFonts w:hint="cs"/>
          <w:rtl/>
        </w:rPr>
        <w:t xml:space="preserve">שיש בעיסה טעם דגן </w:t>
      </w:r>
      <w:r>
        <w:rPr>
          <w:rFonts w:hint="cs"/>
          <w:rtl/>
        </w:rPr>
        <w:t>ד</w:t>
      </w:r>
      <w:r w:rsidRPr="00175B7E">
        <w:rPr>
          <w:rFonts w:hint="cs"/>
          <w:rtl/>
        </w:rPr>
        <w:t xml:space="preserve">דינה כדין עיסת חיטין, </w:t>
      </w:r>
      <w:r w:rsidRPr="007E0C12">
        <w:rPr>
          <w:rFonts w:hint="cs"/>
          <w:rtl/>
        </w:rPr>
        <w:t>ו</w:t>
      </w:r>
      <w:r>
        <w:rPr>
          <w:rFonts w:hint="cs"/>
          <w:rtl/>
        </w:rPr>
        <w:t>כתב</w:t>
      </w:r>
      <w:r w:rsidRPr="007E0C12">
        <w:rPr>
          <w:rFonts w:hint="cs"/>
          <w:rtl/>
        </w:rPr>
        <w:t xml:space="preserve"> </w:t>
      </w:r>
      <w:r w:rsidRPr="007E0C12">
        <w:rPr>
          <w:rStyle w:val="af8"/>
          <w:rFonts w:hint="cs"/>
          <w:rtl/>
        </w:rPr>
        <w:t>הרא"ש</w:t>
      </w:r>
      <w:r w:rsidRPr="007E0C12">
        <w:rPr>
          <w:rFonts w:hint="cs"/>
          <w:rtl/>
        </w:rPr>
        <w:t xml:space="preserve"> דאף שרוב העיסה היא מהאורז, מ"מ כיון שיש בה טעם דגן, אזלינן בתר הטעם, ואם אכל כזית מהעיסה יוצא בה יד"ח מצה, כאילו כל העיסה היא מחיטין</w:t>
      </w:r>
      <w:r>
        <w:rPr>
          <w:rFonts w:hint="cs"/>
          <w:rtl/>
        </w:rPr>
        <w:t>,</w:t>
      </w:r>
      <w:r w:rsidRPr="00855E95">
        <w:rPr>
          <w:rFonts w:hint="cs"/>
          <w:rtl/>
        </w:rPr>
        <w:t xml:space="preserve"> </w:t>
      </w:r>
      <w:r>
        <w:rPr>
          <w:rFonts w:hint="cs"/>
          <w:rtl/>
        </w:rPr>
        <w:t>וביאר</w:t>
      </w:r>
      <w:r w:rsidRPr="007E0C12">
        <w:rPr>
          <w:rFonts w:hint="cs"/>
          <w:rtl/>
        </w:rPr>
        <w:t xml:space="preserve"> </w:t>
      </w:r>
      <w:r w:rsidRPr="00A34C06">
        <w:rPr>
          <w:rStyle w:val="af8"/>
          <w:rFonts w:hint="cs"/>
          <w:rtl/>
        </w:rPr>
        <w:t>הרא"ש</w:t>
      </w:r>
      <w:r w:rsidRPr="007E0C12">
        <w:rPr>
          <w:rFonts w:hint="cs"/>
          <w:rtl/>
        </w:rPr>
        <w:t xml:space="preserve"> בשם </w:t>
      </w:r>
      <w:r w:rsidRPr="00A34C06">
        <w:rPr>
          <w:rStyle w:val="af8"/>
          <w:rFonts w:hint="cs"/>
          <w:rtl/>
        </w:rPr>
        <w:t>ר"ת</w:t>
      </w:r>
      <w:r w:rsidRPr="007E0C12">
        <w:rPr>
          <w:rFonts w:hint="cs"/>
          <w:rtl/>
        </w:rPr>
        <w:t xml:space="preserve"> </w:t>
      </w:r>
      <w:r>
        <w:rPr>
          <w:rFonts w:hint="cs"/>
          <w:rtl/>
        </w:rPr>
        <w:t xml:space="preserve">דבטעם כעיקר כל שהאיסור </w:t>
      </w:r>
      <w:r w:rsidRPr="007E0C12">
        <w:rPr>
          <w:rFonts w:hint="cs"/>
          <w:rtl/>
        </w:rPr>
        <w:t>נתן טעם בהיתר אמרינן דנהפך כולו להיות איסור, ו</w:t>
      </w:r>
      <w:r>
        <w:rPr>
          <w:rFonts w:hint="cs"/>
          <w:rtl/>
        </w:rPr>
        <w:t xml:space="preserve">לכן בעיסת אורז </w:t>
      </w:r>
      <w:r w:rsidRPr="007E0C12">
        <w:rPr>
          <w:rFonts w:hint="cs"/>
          <w:rtl/>
        </w:rPr>
        <w:t>כיון שיש בה טעם דגן כולה כעיסת דגן, אעפ"י שרובה אורז, וכדליפינן לה ממשרת או מגיעולי עכו"ם</w:t>
      </w:r>
      <w:r>
        <w:rPr>
          <w:rFonts w:hint="cs"/>
          <w:rtl/>
        </w:rPr>
        <w:t xml:space="preserve">. </w:t>
      </w:r>
      <w:r w:rsidRPr="008120AC">
        <w:rPr>
          <w:rStyle w:val="afa"/>
          <w:rFonts w:hint="cs"/>
          <w:rtl/>
        </w:rPr>
        <w:t>[</w:t>
      </w:r>
      <w:r>
        <w:rPr>
          <w:rStyle w:val="afa"/>
          <w:rFonts w:hint="cs"/>
          <w:rtl/>
        </w:rPr>
        <w:t>ועי' ב</w:t>
      </w:r>
      <w:r w:rsidRPr="008120AC">
        <w:rPr>
          <w:rStyle w:val="afa"/>
          <w:rFonts w:hint="cs"/>
          <w:rtl/>
        </w:rPr>
        <w:t xml:space="preserve">מ"ש </w:t>
      </w:r>
      <w:r w:rsidRPr="008120AC">
        <w:rPr>
          <w:rStyle w:val="affa"/>
          <w:rFonts w:hint="cs"/>
          <w:rtl/>
        </w:rPr>
        <w:t>הרא"ש</w:t>
      </w:r>
      <w:r w:rsidRPr="008120AC">
        <w:rPr>
          <w:rStyle w:val="afa"/>
          <w:rFonts w:hint="cs"/>
          <w:rtl/>
        </w:rPr>
        <w:t xml:space="preserve"> בשם </w:t>
      </w:r>
      <w:r w:rsidRPr="008120AC">
        <w:rPr>
          <w:rStyle w:val="affa"/>
          <w:rFonts w:hint="cs"/>
          <w:rtl/>
        </w:rPr>
        <w:t>ר"ת</w:t>
      </w:r>
      <w:r w:rsidRPr="008120AC">
        <w:rPr>
          <w:rStyle w:val="afa"/>
          <w:rFonts w:hint="cs"/>
          <w:rtl/>
        </w:rPr>
        <w:t xml:space="preserve"> </w:t>
      </w:r>
      <w:r w:rsidRPr="008120AC">
        <w:rPr>
          <w:rStyle w:val="aff6"/>
          <w:rFonts w:hint="cs"/>
          <w:rtl/>
        </w:rPr>
        <w:t>(הובא לעיל סימן ט' אות</w:t>
      </w:r>
      <w:r w:rsidR="00664FAE">
        <w:rPr>
          <w:rStyle w:val="aff6"/>
          <w:rFonts w:hint="cs"/>
          <w:rtl/>
        </w:rPr>
        <w:t xml:space="preserve"> </w:t>
      </w:r>
      <w:r w:rsidR="00664FAE">
        <w:rPr>
          <w:rStyle w:val="aff6"/>
          <w:rtl/>
        </w:rPr>
        <w:fldChar w:fldCharType="begin"/>
      </w:r>
      <w:r w:rsidR="00664FAE">
        <w:rPr>
          <w:rStyle w:val="aff6"/>
          <w:rtl/>
        </w:rPr>
        <w:instrText xml:space="preserve"> </w:instrText>
      </w:r>
      <w:r w:rsidR="00664FAE">
        <w:rPr>
          <w:rStyle w:val="aff6"/>
          <w:rFonts w:hint="cs"/>
        </w:rPr>
        <w:instrText>REF</w:instrText>
      </w:r>
      <w:r w:rsidR="00664FAE">
        <w:rPr>
          <w:rStyle w:val="aff6"/>
          <w:rFonts w:hint="cs"/>
          <w:rtl/>
        </w:rPr>
        <w:instrText xml:space="preserve"> _</w:instrText>
      </w:r>
      <w:r w:rsidR="00664FAE">
        <w:rPr>
          <w:rStyle w:val="aff6"/>
          <w:rFonts w:hint="cs"/>
        </w:rPr>
        <w:instrText>Ref14428505 \r \h</w:instrText>
      </w:r>
      <w:r w:rsidR="00664FAE">
        <w:rPr>
          <w:rStyle w:val="aff6"/>
          <w:rtl/>
        </w:rPr>
        <w:instrText xml:space="preserve"> </w:instrText>
      </w:r>
      <w:r w:rsidR="00664FAE">
        <w:rPr>
          <w:rStyle w:val="aff6"/>
          <w:rtl/>
        </w:rPr>
      </w:r>
      <w:r w:rsidR="00664FAE">
        <w:rPr>
          <w:rStyle w:val="aff6"/>
          <w:rtl/>
        </w:rPr>
        <w:fldChar w:fldCharType="separate"/>
      </w:r>
      <w:r w:rsidR="004D1C5B">
        <w:rPr>
          <w:rStyle w:val="aff6"/>
          <w:cs/>
        </w:rPr>
        <w:t>‎</w:t>
      </w:r>
      <w:r w:rsidR="004D1C5B">
        <w:rPr>
          <w:rStyle w:val="aff6"/>
          <w:rtl/>
        </w:rPr>
        <w:t>צו)</w:t>
      </w:r>
      <w:r w:rsidR="00664FAE">
        <w:rPr>
          <w:rStyle w:val="aff6"/>
          <w:rtl/>
        </w:rPr>
        <w:fldChar w:fldCharType="end"/>
      </w:r>
      <w:r w:rsidRPr="008120AC">
        <w:rPr>
          <w:rStyle w:val="afa"/>
          <w:rFonts w:hint="cs"/>
          <w:rtl/>
        </w:rPr>
        <w:t xml:space="preserve"> באריכות להוכיח דטעם כעיקר דאו'].</w:t>
      </w:r>
      <w:bookmarkEnd w:id="6818"/>
    </w:p>
    <w:p w:rsidR="00F34A57" w:rsidRPr="00E4575D" w:rsidRDefault="00F34A57" w:rsidP="00F34A57">
      <w:pPr>
        <w:pStyle w:val="a2"/>
      </w:pPr>
      <w:bookmarkStart w:id="6819" w:name="_Toc14196254"/>
      <w:bookmarkStart w:id="6820" w:name="_Toc14208816"/>
      <w:bookmarkStart w:id="6821" w:name="_Toc14248909"/>
      <w:bookmarkStart w:id="6822" w:name="_Toc14257415"/>
      <w:r>
        <w:rPr>
          <w:rFonts w:hint="cs"/>
          <w:rtl/>
        </w:rPr>
        <w:t>דברי הרא"ש דבעיסת אורז שיש בה טעמו וממשו של החיטים נהפך האורז להיות כמו החיטים</w:t>
      </w:r>
      <w:bookmarkEnd w:id="6819"/>
      <w:bookmarkEnd w:id="6820"/>
      <w:bookmarkEnd w:id="6821"/>
      <w:bookmarkEnd w:id="6822"/>
    </w:p>
    <w:p w:rsidR="00F34A57" w:rsidRDefault="00F34A57" w:rsidP="009F44AF">
      <w:pPr>
        <w:pStyle w:val="a"/>
        <w:rPr>
          <w:rtl/>
        </w:rPr>
      </w:pPr>
      <w:bookmarkStart w:id="6823" w:name="_Ref14191039"/>
      <w:r w:rsidRPr="00DB2464">
        <w:rPr>
          <w:rStyle w:val="af8"/>
          <w:rFonts w:hint="cs"/>
          <w:rtl/>
        </w:rPr>
        <w:t>והרא"ש בהלכות חלה</w:t>
      </w:r>
      <w:r w:rsidRPr="00DB2464">
        <w:rPr>
          <w:rFonts w:hint="cs"/>
          <w:rtl/>
        </w:rPr>
        <w:t xml:space="preserve"> </w:t>
      </w:r>
      <w:r w:rsidRPr="00DB2464">
        <w:rPr>
          <w:rStyle w:val="af6"/>
          <w:rFonts w:eastAsia="Guttman Hodes" w:hint="cs"/>
          <w:rtl/>
        </w:rPr>
        <w:t>(סי' ט"ו, נד' בסוף מנחות)</w:t>
      </w:r>
      <w:r w:rsidRPr="00DB2464">
        <w:rPr>
          <w:rFonts w:hint="cs"/>
          <w:rtl/>
        </w:rPr>
        <w:t xml:space="preserve"> </w:t>
      </w:r>
      <w:r>
        <w:rPr>
          <w:rFonts w:hint="cs"/>
          <w:rtl/>
        </w:rPr>
        <w:t xml:space="preserve">הביא את קושית </w:t>
      </w:r>
      <w:r w:rsidRPr="00657B21">
        <w:rPr>
          <w:rStyle w:val="af8"/>
          <w:rFonts w:hint="cs"/>
          <w:rtl/>
        </w:rPr>
        <w:t xml:space="preserve">הרמב"ן </w:t>
      </w:r>
      <w:r>
        <w:rPr>
          <w:rStyle w:val="af8"/>
          <w:rFonts w:hint="cs"/>
          <w:rtl/>
        </w:rPr>
        <w:t>בהלכות חלה</w:t>
      </w:r>
      <w:r>
        <w:rPr>
          <w:rFonts w:hint="cs"/>
          <w:rtl/>
        </w:rPr>
        <w:t xml:space="preserve"> </w:t>
      </w:r>
      <w:r w:rsidRPr="00647D76">
        <w:rPr>
          <w:rStyle w:val="af6"/>
          <w:rFonts w:eastAsia="Guttman Hodes" w:hint="cs"/>
          <w:rtl/>
        </w:rPr>
        <w:t xml:space="preserve">(עי' אות </w:t>
      </w:r>
      <w:r w:rsidRPr="00647D76">
        <w:rPr>
          <w:rStyle w:val="af6"/>
          <w:rFonts w:eastAsia="Guttman Hodes"/>
          <w:rtl/>
        </w:rPr>
        <w:fldChar w:fldCharType="begin"/>
      </w:r>
      <w:r w:rsidRPr="00647D76">
        <w:rPr>
          <w:rStyle w:val="af6"/>
          <w:rFonts w:eastAsia="Guttman Hodes"/>
          <w:rtl/>
        </w:rPr>
        <w:instrText xml:space="preserve"> </w:instrText>
      </w:r>
      <w:r w:rsidRPr="00647D76">
        <w:rPr>
          <w:rStyle w:val="af6"/>
          <w:rFonts w:eastAsia="Guttman Hodes" w:hint="cs"/>
        </w:rPr>
        <w:instrText>REF</w:instrText>
      </w:r>
      <w:r w:rsidRPr="00647D76">
        <w:rPr>
          <w:rStyle w:val="af6"/>
          <w:rFonts w:eastAsia="Guttman Hodes" w:hint="cs"/>
          <w:rtl/>
        </w:rPr>
        <w:instrText xml:space="preserve"> _</w:instrText>
      </w:r>
      <w:r w:rsidRPr="00647D76">
        <w:rPr>
          <w:rStyle w:val="af6"/>
          <w:rFonts w:eastAsia="Guttman Hodes" w:hint="cs"/>
        </w:rPr>
        <w:instrText>Ref14194652 \r \h</w:instrText>
      </w:r>
      <w:r w:rsidRPr="00647D76">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647D76">
        <w:rPr>
          <w:rStyle w:val="af6"/>
          <w:rFonts w:eastAsia="Guttman Hodes"/>
          <w:rtl/>
        </w:rPr>
      </w:r>
      <w:r w:rsidRPr="00647D76">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647D76">
        <w:rPr>
          <w:rStyle w:val="af6"/>
          <w:rFonts w:eastAsia="Guttman Hodes"/>
          <w:rtl/>
        </w:rPr>
        <w:fldChar w:fldCharType="end"/>
      </w:r>
      <w:r>
        <w:rPr>
          <w:rFonts w:hint="cs"/>
          <w:rtl/>
        </w:rPr>
        <w:t xml:space="preserve"> דאמאי בעיסת אורז שיש בה טעם דגן יש לה דין עיסת חיטים והא פחות מכזית בכדי אכילת פרס אינו מדאו', וא"כ אף שהטעם לא התבטל, מ"מ אינה עיסת חיטים דעיקר העיסה היא אורז, וה</w:t>
      </w:r>
      <w:r w:rsidRPr="00DB2464">
        <w:rPr>
          <w:rFonts w:hint="cs"/>
          <w:rtl/>
        </w:rPr>
        <w:t>קשה</w:t>
      </w:r>
      <w:r w:rsidRPr="00647D76">
        <w:rPr>
          <w:rStyle w:val="af8"/>
          <w:rFonts w:hint="cs"/>
          <w:rtl/>
        </w:rPr>
        <w:t xml:space="preserve"> </w:t>
      </w:r>
      <w:r w:rsidRPr="00DB2464">
        <w:rPr>
          <w:rStyle w:val="af8"/>
          <w:rFonts w:hint="cs"/>
          <w:rtl/>
        </w:rPr>
        <w:t xml:space="preserve">הרא"ש </w:t>
      </w:r>
      <w:r w:rsidRPr="00DB2464">
        <w:rPr>
          <w:rFonts w:hint="cs"/>
          <w:rtl/>
        </w:rPr>
        <w:t xml:space="preserve">על </w:t>
      </w:r>
      <w:r w:rsidRPr="00DB2464">
        <w:rPr>
          <w:rStyle w:val="af8"/>
          <w:rFonts w:hint="cs"/>
          <w:rtl/>
        </w:rPr>
        <w:t>הרמב"ן</w:t>
      </w:r>
      <w:r w:rsidRPr="00DB2464">
        <w:rPr>
          <w:rFonts w:hint="cs"/>
          <w:rtl/>
        </w:rPr>
        <w:t xml:space="preserve"> דאף שאין בעיסה כזית</w:t>
      </w:r>
      <w:r>
        <w:rPr>
          <w:rFonts w:hint="cs"/>
          <w:rtl/>
        </w:rPr>
        <w:t xml:space="preserve"> בכדי אכילת פרס, מ"מ הרי יש בה טעמו וממשו של החיטים, וכיון שהחיטים נתנו טעם באורז וטעם כעיקר דאו', א"כ נהפך האורז להיות כמו החיטים, וחשיב האורז כטעמו של החיטים, ועי' במה שהקשה </w:t>
      </w:r>
      <w:r w:rsidRPr="005C0B48">
        <w:rPr>
          <w:rStyle w:val="af8"/>
          <w:rFonts w:hint="cs"/>
          <w:rtl/>
        </w:rPr>
        <w:t>האבי עזרי</w:t>
      </w:r>
      <w:r>
        <w:rPr>
          <w:rFonts w:hint="cs"/>
          <w:rtl/>
        </w:rPr>
        <w:t xml:space="preserve"> </w:t>
      </w:r>
      <w:r w:rsidRPr="00BB5F54">
        <w:rPr>
          <w:rStyle w:val="af6"/>
          <w:rFonts w:eastAsia="Guttman Hodes" w:hint="cs"/>
          <w:rtl/>
        </w:rPr>
        <w:t xml:space="preserve">(עי' אות </w:t>
      </w:r>
      <w:r w:rsidRPr="00BB5F54">
        <w:rPr>
          <w:rStyle w:val="af6"/>
          <w:rFonts w:eastAsia="Guttman Hodes"/>
          <w:rtl/>
        </w:rPr>
        <w:fldChar w:fldCharType="begin"/>
      </w:r>
      <w:r w:rsidRPr="00BB5F54">
        <w:rPr>
          <w:rStyle w:val="af6"/>
          <w:rFonts w:eastAsia="Guttman Hodes"/>
          <w:rtl/>
        </w:rPr>
        <w:instrText xml:space="preserve"> </w:instrText>
      </w:r>
      <w:r w:rsidRPr="00BB5F54">
        <w:rPr>
          <w:rStyle w:val="af6"/>
          <w:rFonts w:eastAsia="Guttman Hodes" w:hint="cs"/>
        </w:rPr>
        <w:instrText>REF</w:instrText>
      </w:r>
      <w:r w:rsidRPr="00BB5F54">
        <w:rPr>
          <w:rStyle w:val="af6"/>
          <w:rFonts w:eastAsia="Guttman Hodes" w:hint="cs"/>
          <w:rtl/>
        </w:rPr>
        <w:instrText xml:space="preserve"> _</w:instrText>
      </w:r>
      <w:r w:rsidRPr="00BB5F54">
        <w:rPr>
          <w:rStyle w:val="af6"/>
          <w:rFonts w:eastAsia="Guttman Hodes" w:hint="cs"/>
        </w:rPr>
        <w:instrText>Ref14257321 \r \h</w:instrText>
      </w:r>
      <w:r w:rsidRPr="00BB5F54">
        <w:rPr>
          <w:rStyle w:val="af6"/>
          <w:rFonts w:eastAsia="Guttman Hodes"/>
          <w:rtl/>
        </w:rPr>
        <w:instrText xml:space="preserve"> </w:instrText>
      </w:r>
      <w:r w:rsidRPr="00BB5F54">
        <w:rPr>
          <w:rStyle w:val="af6"/>
          <w:rFonts w:eastAsia="Guttman Hodes"/>
          <w:rtl/>
        </w:rPr>
      </w:r>
      <w:r w:rsidRPr="00BB5F54">
        <w:rPr>
          <w:rStyle w:val="af6"/>
          <w:rFonts w:eastAsia="Guttman Hodes"/>
          <w:rtl/>
        </w:rPr>
        <w:fldChar w:fldCharType="separate"/>
      </w:r>
      <w:r w:rsidR="004D1C5B">
        <w:rPr>
          <w:rStyle w:val="af6"/>
          <w:rFonts w:eastAsia="Guttman Hodes"/>
          <w:cs/>
        </w:rPr>
        <w:t>‎</w:t>
      </w:r>
      <w:r w:rsidR="004D1C5B">
        <w:rPr>
          <w:rStyle w:val="af6"/>
          <w:rFonts w:eastAsia="Guttman Hodes"/>
          <w:rtl/>
        </w:rPr>
        <w:t>קמב)</w:t>
      </w:r>
      <w:r w:rsidRPr="00BB5F54">
        <w:rPr>
          <w:rStyle w:val="af6"/>
          <w:rFonts w:eastAsia="Guttman Hodes"/>
          <w:rtl/>
        </w:rPr>
        <w:fldChar w:fldCharType="end"/>
      </w:r>
      <w:r>
        <w:rPr>
          <w:rFonts w:hint="cs"/>
          <w:rtl/>
        </w:rPr>
        <w:t xml:space="preserve"> על דברי </w:t>
      </w:r>
      <w:r w:rsidRPr="00EA17D9">
        <w:rPr>
          <w:rStyle w:val="af8"/>
          <w:rFonts w:hint="cs"/>
          <w:rtl/>
        </w:rPr>
        <w:t>הרא"ש</w:t>
      </w:r>
      <w:r>
        <w:rPr>
          <w:rFonts w:hint="cs"/>
          <w:rtl/>
        </w:rPr>
        <w:t xml:space="preserve">, וע"ע במה שביאר </w:t>
      </w:r>
      <w:r w:rsidRPr="00EA17D9">
        <w:rPr>
          <w:rStyle w:val="af8"/>
          <w:rFonts w:hint="cs"/>
          <w:rtl/>
        </w:rPr>
        <w:t>הגר"ח</w:t>
      </w:r>
      <w:r>
        <w:rPr>
          <w:rFonts w:hint="cs"/>
          <w:rtl/>
        </w:rPr>
        <w:t xml:space="preserve"> </w:t>
      </w:r>
      <w:r w:rsidRPr="00EA17D9">
        <w:rPr>
          <w:rStyle w:val="af6"/>
          <w:rFonts w:eastAsia="Guttman Hodes" w:hint="cs"/>
          <w:rtl/>
        </w:rPr>
        <w:t xml:space="preserve">(עי' אות </w:t>
      </w:r>
      <w:r w:rsidRPr="00EA17D9">
        <w:rPr>
          <w:rStyle w:val="af6"/>
          <w:rFonts w:eastAsia="Guttman Hodes"/>
          <w:rtl/>
        </w:rPr>
        <w:fldChar w:fldCharType="begin"/>
      </w:r>
      <w:r w:rsidRPr="00EA17D9">
        <w:rPr>
          <w:rStyle w:val="af6"/>
          <w:rFonts w:eastAsia="Guttman Hodes"/>
          <w:rtl/>
        </w:rPr>
        <w:instrText xml:space="preserve"> </w:instrText>
      </w:r>
      <w:r w:rsidRPr="00EA17D9">
        <w:rPr>
          <w:rStyle w:val="af6"/>
          <w:rFonts w:eastAsia="Guttman Hodes" w:hint="cs"/>
        </w:rPr>
        <w:instrText>REF</w:instrText>
      </w:r>
      <w:r w:rsidRPr="00EA17D9">
        <w:rPr>
          <w:rStyle w:val="af6"/>
          <w:rFonts w:eastAsia="Guttman Hodes" w:hint="cs"/>
          <w:rtl/>
        </w:rPr>
        <w:instrText xml:space="preserve"> _</w:instrText>
      </w:r>
      <w:r w:rsidRPr="00EA17D9">
        <w:rPr>
          <w:rStyle w:val="af6"/>
          <w:rFonts w:eastAsia="Guttman Hodes" w:hint="cs"/>
        </w:rPr>
        <w:instrText>Ref12895728 \r \h</w:instrText>
      </w:r>
      <w:r w:rsidRPr="00EA17D9">
        <w:rPr>
          <w:rStyle w:val="af6"/>
          <w:rFonts w:eastAsia="Guttman Hodes"/>
          <w:rtl/>
        </w:rPr>
        <w:instrText xml:space="preserve"> </w:instrText>
      </w:r>
      <w:r w:rsidRPr="00EA17D9">
        <w:rPr>
          <w:rStyle w:val="af6"/>
          <w:rFonts w:eastAsia="Guttman Hodes"/>
          <w:rtl/>
        </w:rPr>
      </w:r>
      <w:r w:rsidRPr="00EA17D9">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EA17D9">
        <w:rPr>
          <w:rStyle w:val="af6"/>
          <w:rFonts w:eastAsia="Guttman Hodes"/>
          <w:rtl/>
        </w:rPr>
        <w:fldChar w:fldCharType="end"/>
      </w:r>
      <w:r>
        <w:rPr>
          <w:rFonts w:hint="cs"/>
          <w:rtl/>
        </w:rPr>
        <w:t xml:space="preserve"> בדין עיסת אורז.</w:t>
      </w:r>
      <w:bookmarkEnd w:id="6823"/>
    </w:p>
    <w:p w:rsidR="00F34A57" w:rsidRDefault="00F34A57" w:rsidP="00F34A57">
      <w:pPr>
        <w:pStyle w:val="a2"/>
        <w:rPr>
          <w:rtl/>
        </w:rPr>
      </w:pPr>
      <w:bookmarkStart w:id="6824" w:name="_Toc14196255"/>
      <w:bookmarkStart w:id="6825" w:name="_Toc14208817"/>
      <w:bookmarkStart w:id="6826" w:name="_Toc14248910"/>
      <w:bookmarkStart w:id="6827" w:name="_Toc14257416"/>
      <w:r>
        <w:rPr>
          <w:rFonts w:hint="cs"/>
          <w:rtl/>
        </w:rPr>
        <w:t>דברי הרא"ש דבגמ' בזבחים מוכח דכיון שנתנו החיטים טעם באורז נקראת עיסת חיטים</w:t>
      </w:r>
      <w:bookmarkEnd w:id="6824"/>
      <w:bookmarkEnd w:id="6825"/>
      <w:bookmarkEnd w:id="6826"/>
      <w:bookmarkEnd w:id="6827"/>
    </w:p>
    <w:p w:rsidR="00F34A57" w:rsidRDefault="00F34A57" w:rsidP="009F44AF">
      <w:pPr>
        <w:pStyle w:val="a"/>
        <w:rPr>
          <w:rtl/>
        </w:rPr>
      </w:pPr>
      <w:r>
        <w:rPr>
          <w:rFonts w:hint="cs"/>
          <w:rtl/>
        </w:rPr>
        <w:t xml:space="preserve">וכתב </w:t>
      </w:r>
      <w:r w:rsidRPr="00EB5D4E">
        <w:rPr>
          <w:rStyle w:val="af8"/>
          <w:rFonts w:hint="cs"/>
          <w:rtl/>
        </w:rPr>
        <w:t xml:space="preserve">הרא"ש </w:t>
      </w:r>
      <w:r>
        <w:rPr>
          <w:rStyle w:val="af8"/>
          <w:rFonts w:hint="cs"/>
          <w:rtl/>
        </w:rPr>
        <w:t>בהלכות חלה</w:t>
      </w:r>
      <w:r>
        <w:rPr>
          <w:rFonts w:hint="cs"/>
          <w:rtl/>
        </w:rPr>
        <w:t xml:space="preserve"> דכן מוכח בגמ' ב</w:t>
      </w:r>
      <w:r w:rsidRPr="007E0C12">
        <w:rPr>
          <w:rFonts w:hint="cs"/>
          <w:rtl/>
        </w:rPr>
        <w:t xml:space="preserve">גמ' בזבחים </w:t>
      </w:r>
      <w:r w:rsidRPr="007E0C12">
        <w:rPr>
          <w:rStyle w:val="af6"/>
          <w:rFonts w:eastAsia="Guttman Hodes" w:hint="cs"/>
          <w:rtl/>
        </w:rPr>
        <w:t>(עח.)</w:t>
      </w:r>
      <w:r>
        <w:rPr>
          <w:rStyle w:val="af6"/>
          <w:rFonts w:eastAsia="Guttman Hodes" w:hint="cs"/>
          <w:rtl/>
        </w:rPr>
        <w:t xml:space="preserve"> </w:t>
      </w:r>
      <w:r w:rsidRPr="007E0C12">
        <w:rPr>
          <w:rFonts w:hint="cs"/>
          <w:rtl/>
        </w:rPr>
        <w:t>דאמר ר"ל דפגול ונותר שהתערבו ואכל כזית מהם פטור, דלא יתכן שלא ירבה מין אחד על חבירו ויבטלנו</w:t>
      </w:r>
      <w:r w:rsidRPr="007D510A">
        <w:rPr>
          <w:rFonts w:hint="cs"/>
          <w:rtl/>
        </w:rPr>
        <w:t xml:space="preserve"> </w:t>
      </w:r>
      <w:r w:rsidRPr="007E0C12">
        <w:rPr>
          <w:rFonts w:hint="cs"/>
          <w:rtl/>
        </w:rPr>
        <w:t>, ואמרינן בגמ' בזבחים דמבואר מזה דנותן טעם ברוב אינו מדאו',</w:t>
      </w:r>
      <w:r w:rsidRPr="007D510A">
        <w:rPr>
          <w:rFonts w:hint="cs"/>
          <w:rtl/>
        </w:rPr>
        <w:t xml:space="preserve"> </w:t>
      </w:r>
      <w:r w:rsidRPr="007E0C12">
        <w:rPr>
          <w:rFonts w:hint="cs"/>
          <w:rtl/>
        </w:rPr>
        <w:t>והקשה רבא</w:t>
      </w:r>
      <w:r>
        <w:rPr>
          <w:rFonts w:hint="cs"/>
          <w:rtl/>
        </w:rPr>
        <w:t xml:space="preserve"> דבמשנה בחלה מבואר דכיון שיש לעיסה טעם דגן דינה כעיסת חיטים אעפ"י שרובה אורז, </w:t>
      </w:r>
      <w:r w:rsidRPr="007E0C12">
        <w:rPr>
          <w:rFonts w:hint="cs"/>
          <w:rtl/>
        </w:rPr>
        <w:t>תירצה הגמ' דמין בשאינו מינו בטעמא ומין במינו ברובא, ור"ל דאמר דמהני ביטול ברוב איירי במין במינו</w:t>
      </w:r>
      <w:r>
        <w:rPr>
          <w:rFonts w:hint="cs"/>
          <w:rtl/>
        </w:rPr>
        <w:t>, וכתב</w:t>
      </w:r>
      <w:r w:rsidRPr="00657B21">
        <w:rPr>
          <w:rStyle w:val="af8"/>
          <w:rFonts w:hint="cs"/>
          <w:rtl/>
        </w:rPr>
        <w:t xml:space="preserve"> הרא"ש</w:t>
      </w:r>
      <w:r>
        <w:rPr>
          <w:rFonts w:hint="cs"/>
          <w:rtl/>
        </w:rPr>
        <w:t xml:space="preserve"> דמבואר דכיון שהחיטים נתנו טעם בעיסת האורז, נקראת העיסה בשם החיטים, ולכן יוצא בה יד"ח מצה בפסח, דחשיב כטעמו וממשו של החיטים.</w:t>
      </w:r>
    </w:p>
    <w:p w:rsidR="00F34A57" w:rsidRPr="00B63251" w:rsidRDefault="00F34A57" w:rsidP="00F34A57">
      <w:pPr>
        <w:pStyle w:val="a2"/>
        <w:rPr>
          <w:rtl/>
        </w:rPr>
      </w:pPr>
      <w:bookmarkStart w:id="6828" w:name="_Toc14196256"/>
      <w:bookmarkStart w:id="6829" w:name="_Toc14208818"/>
      <w:bookmarkStart w:id="6830" w:name="_Toc14248911"/>
      <w:bookmarkStart w:id="6831" w:name="_Toc14257417"/>
      <w:r>
        <w:rPr>
          <w:rFonts w:hint="cs"/>
          <w:rtl/>
        </w:rPr>
        <w:t>דברי הרא"ש דמוכח בדברי ריו"ח דהטעם עושה את התערובת כממשו של הטעם</w:t>
      </w:r>
      <w:bookmarkEnd w:id="6828"/>
      <w:bookmarkEnd w:id="6829"/>
      <w:bookmarkEnd w:id="6830"/>
      <w:bookmarkEnd w:id="6831"/>
    </w:p>
    <w:p w:rsidR="00F34A57" w:rsidRDefault="00F34A57" w:rsidP="009F44AF">
      <w:pPr>
        <w:pStyle w:val="a"/>
        <w:rPr>
          <w:rtl/>
        </w:rPr>
      </w:pPr>
      <w:bookmarkStart w:id="6832" w:name="_Ref14119151"/>
      <w:r>
        <w:rPr>
          <w:rFonts w:hint="cs"/>
          <w:rtl/>
        </w:rPr>
        <w:t xml:space="preserve">והוסיף </w:t>
      </w:r>
      <w:r w:rsidRPr="00657B21">
        <w:rPr>
          <w:rStyle w:val="af8"/>
          <w:rFonts w:hint="cs"/>
          <w:rtl/>
        </w:rPr>
        <w:t xml:space="preserve">הרא"ש </w:t>
      </w:r>
      <w:r>
        <w:rPr>
          <w:rStyle w:val="af8"/>
          <w:rFonts w:hint="cs"/>
          <w:rtl/>
        </w:rPr>
        <w:t>בהלכות חלה</w:t>
      </w:r>
      <w:r>
        <w:rPr>
          <w:rFonts w:hint="cs"/>
          <w:rtl/>
        </w:rPr>
        <w:t xml:space="preserve"> דכן מוכח מדברי ריו"ח בע"ז </w:t>
      </w:r>
      <w:r w:rsidRPr="000F1DE3">
        <w:rPr>
          <w:rStyle w:val="af6"/>
          <w:rFonts w:eastAsia="Guttman Hodes" w:hint="cs"/>
          <w:rtl/>
        </w:rPr>
        <w:t xml:space="preserve">(סז.) </w:t>
      </w:r>
      <w:r>
        <w:rPr>
          <w:rFonts w:hint="cs"/>
          <w:rtl/>
        </w:rPr>
        <w:t xml:space="preserve">דאמר דטעמו ולא ממשו אין לוקין עליו, ואילו בגמ' בפסחים </w:t>
      </w:r>
      <w:r w:rsidRPr="000F1DE3">
        <w:rPr>
          <w:rStyle w:val="af6"/>
          <w:rFonts w:eastAsia="Guttman Hodes" w:hint="cs"/>
          <w:rtl/>
        </w:rPr>
        <w:t xml:space="preserve">(מד:) </w:t>
      </w:r>
      <w:r>
        <w:rPr>
          <w:rFonts w:hint="cs"/>
          <w:rtl/>
        </w:rPr>
        <w:t xml:space="preserve">ובנזיר </w:t>
      </w:r>
      <w:r w:rsidRPr="000F1DE3">
        <w:rPr>
          <w:rStyle w:val="af6"/>
          <w:rFonts w:eastAsia="Guttman Hodes" w:hint="cs"/>
          <w:rtl/>
        </w:rPr>
        <w:t xml:space="preserve">(לז.) </w:t>
      </w:r>
      <w:r>
        <w:rPr>
          <w:rFonts w:hint="cs"/>
          <w:rtl/>
        </w:rPr>
        <w:t xml:space="preserve">ס"ל לריו"ח כר"ע דטעם כעיקר דאו', אלא כתב </w:t>
      </w:r>
      <w:r w:rsidRPr="00657B21">
        <w:rPr>
          <w:rStyle w:val="af8"/>
          <w:rFonts w:hint="cs"/>
          <w:rtl/>
        </w:rPr>
        <w:t>הרא"ש</w:t>
      </w:r>
      <w:r>
        <w:rPr>
          <w:rFonts w:hint="cs"/>
          <w:rtl/>
        </w:rPr>
        <w:t xml:space="preserve"> דמוכח מדברי ריו"ח דהטעם עושה את התערובת כממשו של הטעם, וכתב </w:t>
      </w:r>
      <w:r w:rsidRPr="00657B21">
        <w:rPr>
          <w:rStyle w:val="af8"/>
          <w:rFonts w:hint="cs"/>
          <w:rtl/>
        </w:rPr>
        <w:t xml:space="preserve">הרא"ש </w:t>
      </w:r>
      <w:r>
        <w:rPr>
          <w:rStyle w:val="af8"/>
          <w:rFonts w:hint="cs"/>
          <w:rtl/>
        </w:rPr>
        <w:t>בהלכות חלה</w:t>
      </w:r>
      <w:r>
        <w:rPr>
          <w:rFonts w:hint="cs"/>
          <w:rtl/>
        </w:rPr>
        <w:t xml:space="preserve"> הא דאמר ריו"ח בע"ז דבטעמו ולא ממשו אין לוקין, ביאר </w:t>
      </w:r>
      <w:r w:rsidRPr="00657B21">
        <w:rPr>
          <w:rStyle w:val="af8"/>
          <w:rFonts w:hint="cs"/>
          <w:rtl/>
        </w:rPr>
        <w:t>ר"ת</w:t>
      </w:r>
      <w:r>
        <w:rPr>
          <w:rFonts w:hint="cs"/>
          <w:rtl/>
        </w:rPr>
        <w:t xml:space="preserve"> </w:t>
      </w:r>
      <w:r w:rsidRPr="00A5612E">
        <w:rPr>
          <w:rStyle w:val="af6"/>
          <w:rFonts w:eastAsia="Guttman Hodes" w:hint="cs"/>
          <w:rtl/>
        </w:rPr>
        <w:t xml:space="preserve">(עי' אות </w:t>
      </w:r>
      <w:r w:rsidRPr="00A5612E">
        <w:rPr>
          <w:rStyle w:val="af6"/>
          <w:rFonts w:eastAsia="Guttman Hodes"/>
          <w:rtl/>
        </w:rPr>
        <w:fldChar w:fldCharType="begin"/>
      </w:r>
      <w:r w:rsidRPr="00A5612E">
        <w:rPr>
          <w:rStyle w:val="af6"/>
          <w:rFonts w:eastAsia="Guttman Hodes"/>
          <w:rtl/>
        </w:rPr>
        <w:instrText xml:space="preserve"> </w:instrText>
      </w:r>
      <w:r w:rsidRPr="00A5612E">
        <w:rPr>
          <w:rStyle w:val="af6"/>
          <w:rFonts w:eastAsia="Guttman Hodes" w:hint="cs"/>
        </w:rPr>
        <w:instrText>REF</w:instrText>
      </w:r>
      <w:r w:rsidRPr="00A5612E">
        <w:rPr>
          <w:rStyle w:val="af6"/>
          <w:rFonts w:eastAsia="Guttman Hodes" w:hint="cs"/>
          <w:rtl/>
        </w:rPr>
        <w:instrText xml:space="preserve"> _</w:instrText>
      </w:r>
      <w:r w:rsidRPr="00A5612E">
        <w:rPr>
          <w:rStyle w:val="af6"/>
          <w:rFonts w:eastAsia="Guttman Hodes" w:hint="cs"/>
        </w:rPr>
        <w:instrText>Ref14194883 \r \h</w:instrText>
      </w:r>
      <w:r w:rsidRPr="00A5612E">
        <w:rPr>
          <w:rStyle w:val="af6"/>
          <w:rFonts w:eastAsia="Guttman Hodes"/>
          <w:rtl/>
        </w:rPr>
        <w:instrText xml:space="preserve"> </w:instrText>
      </w:r>
      <w:r w:rsidRPr="00A5612E">
        <w:rPr>
          <w:rStyle w:val="af6"/>
          <w:rFonts w:eastAsia="Guttman Hodes"/>
          <w:rtl/>
        </w:rPr>
      </w:r>
      <w:r w:rsidRPr="00A5612E">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A5612E">
        <w:rPr>
          <w:rStyle w:val="af6"/>
          <w:rFonts w:eastAsia="Guttman Hodes"/>
          <w:rtl/>
        </w:rPr>
        <w:fldChar w:fldCharType="end"/>
      </w:r>
      <w:r>
        <w:rPr>
          <w:rFonts w:hint="cs"/>
          <w:rtl/>
        </w:rPr>
        <w:t xml:space="preserve"> דאיירי במין במינו.</w:t>
      </w:r>
      <w:bookmarkEnd w:id="6832"/>
    </w:p>
    <w:p w:rsidR="00F34A57" w:rsidRDefault="00F34A57" w:rsidP="00E51BB6">
      <w:pPr>
        <w:pStyle w:val="a2"/>
        <w:rPr>
          <w:rtl/>
        </w:rPr>
      </w:pPr>
      <w:bookmarkStart w:id="6833" w:name="_Toc14196257"/>
      <w:bookmarkStart w:id="6834" w:name="_Toc14208819"/>
      <w:bookmarkStart w:id="6835" w:name="_Toc14248912"/>
      <w:bookmarkStart w:id="6836" w:name="_Toc14257418"/>
      <w:bookmarkStart w:id="6837" w:name="_Toc13773293"/>
      <w:bookmarkStart w:id="6838" w:name="_Toc13952602"/>
      <w:bookmarkStart w:id="6839" w:name="_Toc14089963"/>
      <w:bookmarkStart w:id="6840" w:name="_Toc14109769"/>
      <w:bookmarkStart w:id="6841" w:name="_Toc14120144"/>
      <w:bookmarkStart w:id="6842" w:name="_Toc14122322"/>
      <w:r>
        <w:rPr>
          <w:rFonts w:hint="cs"/>
          <w:rtl/>
        </w:rPr>
        <w:t>ביאור הר</w:t>
      </w:r>
      <w:r w:rsidR="00E51BB6">
        <w:rPr>
          <w:rFonts w:hint="cs"/>
          <w:rtl/>
        </w:rPr>
        <w:t xml:space="preserve">א"ש דאף דנהפכה העיסה לאורז מ"מ </w:t>
      </w:r>
      <w:r>
        <w:rPr>
          <w:rFonts w:hint="cs"/>
          <w:rtl/>
        </w:rPr>
        <w:t xml:space="preserve"> מדין גרירה היא ראויה להחמיץ ויש לה דין מצה</w:t>
      </w:r>
      <w:bookmarkEnd w:id="6833"/>
      <w:bookmarkEnd w:id="6834"/>
      <w:bookmarkEnd w:id="6835"/>
      <w:bookmarkEnd w:id="6836"/>
    </w:p>
    <w:p w:rsidR="00F34A57" w:rsidRDefault="00F34A57" w:rsidP="009F44AF">
      <w:pPr>
        <w:pStyle w:val="a"/>
        <w:rPr>
          <w:rtl/>
        </w:rPr>
      </w:pPr>
      <w:bookmarkStart w:id="6843" w:name="_Ref13772316"/>
      <w:r>
        <w:rPr>
          <w:rFonts w:hint="cs"/>
          <w:rtl/>
        </w:rPr>
        <w:t xml:space="preserve">ובמה שהביא </w:t>
      </w:r>
      <w:r w:rsidRPr="00657B21">
        <w:rPr>
          <w:rStyle w:val="af8"/>
          <w:rFonts w:hint="cs"/>
          <w:rtl/>
        </w:rPr>
        <w:t>הרמב"ן</w:t>
      </w:r>
      <w:r>
        <w:rPr>
          <w:rFonts w:hint="cs"/>
          <w:rtl/>
        </w:rPr>
        <w:t xml:space="preserve"> </w:t>
      </w:r>
      <w:r w:rsidRPr="00657B21">
        <w:rPr>
          <w:rStyle w:val="af6"/>
          <w:rFonts w:eastAsia="Guttman Hodes" w:hint="cs"/>
          <w:rtl/>
        </w:rPr>
        <w:t xml:space="preserve">(עי' אות </w:t>
      </w:r>
      <w:r w:rsidRPr="00657B21">
        <w:rPr>
          <w:rStyle w:val="af6"/>
          <w:rFonts w:eastAsia="Guttman Hodes"/>
          <w:rtl/>
        </w:rPr>
        <w:fldChar w:fldCharType="begin"/>
      </w:r>
      <w:r w:rsidRPr="00657B21">
        <w:rPr>
          <w:rStyle w:val="af6"/>
          <w:rFonts w:eastAsia="Guttman Hodes"/>
          <w:rtl/>
        </w:rPr>
        <w:instrText xml:space="preserve"> </w:instrText>
      </w:r>
      <w:r w:rsidRPr="00657B21">
        <w:rPr>
          <w:rStyle w:val="af6"/>
          <w:rFonts w:eastAsia="Guttman Hodes" w:hint="cs"/>
        </w:rPr>
        <w:instrText>REF</w:instrText>
      </w:r>
      <w:r w:rsidRPr="00657B21">
        <w:rPr>
          <w:rStyle w:val="af6"/>
          <w:rFonts w:eastAsia="Guttman Hodes" w:hint="cs"/>
          <w:rtl/>
        </w:rPr>
        <w:instrText xml:space="preserve"> _</w:instrText>
      </w:r>
      <w:r w:rsidRPr="00657B21">
        <w:rPr>
          <w:rStyle w:val="af6"/>
          <w:rFonts w:eastAsia="Guttman Hodes" w:hint="cs"/>
        </w:rPr>
        <w:instrText>Ref13772324 \r \h</w:instrText>
      </w:r>
      <w:r w:rsidRPr="00657B21">
        <w:rPr>
          <w:rStyle w:val="af6"/>
          <w:rFonts w:eastAsia="Guttman Hodes"/>
          <w:rtl/>
        </w:rPr>
        <w:instrText xml:space="preserve"> </w:instrText>
      </w:r>
      <w:r w:rsidRPr="00657B21">
        <w:rPr>
          <w:rStyle w:val="af6"/>
          <w:rFonts w:eastAsia="Guttman Hodes"/>
          <w:rtl/>
        </w:rPr>
      </w:r>
      <w:r w:rsidRPr="00657B21">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657B21">
        <w:rPr>
          <w:rStyle w:val="af6"/>
          <w:rFonts w:eastAsia="Guttman Hodes"/>
          <w:rtl/>
        </w:rPr>
        <w:fldChar w:fldCharType="end"/>
      </w:r>
      <w:r>
        <w:rPr>
          <w:rFonts w:hint="cs"/>
          <w:rtl/>
        </w:rPr>
        <w:t xml:space="preserve"> מה</w:t>
      </w:r>
      <w:r w:rsidR="00973666">
        <w:rPr>
          <w:rFonts w:hint="cs"/>
          <w:rtl/>
        </w:rPr>
        <w:t xml:space="preserve">ירושלמי בחלה </w:t>
      </w:r>
      <w:r w:rsidR="00973666" w:rsidRPr="0043743E">
        <w:rPr>
          <w:rStyle w:val="af6"/>
          <w:rFonts w:eastAsia="Guttman Hodes" w:hint="cs"/>
          <w:rtl/>
        </w:rPr>
        <w:t>(פ"</w:t>
      </w:r>
      <w:r w:rsidR="00973666">
        <w:rPr>
          <w:rStyle w:val="af6"/>
          <w:rFonts w:eastAsia="Guttman Hodes" w:hint="cs"/>
          <w:rtl/>
        </w:rPr>
        <w:t>א</w:t>
      </w:r>
      <w:r w:rsidR="00973666" w:rsidRPr="0043743E">
        <w:rPr>
          <w:rStyle w:val="af6"/>
          <w:rFonts w:eastAsia="Guttman Hodes" w:hint="cs"/>
          <w:rtl/>
        </w:rPr>
        <w:t xml:space="preserve"> ה"</w:t>
      </w:r>
      <w:r w:rsidR="00973666">
        <w:rPr>
          <w:rStyle w:val="af6"/>
          <w:rFonts w:eastAsia="Guttman Hodes" w:hint="cs"/>
          <w:rtl/>
        </w:rPr>
        <w:t>א</w:t>
      </w:r>
      <w:r w:rsidR="00973666" w:rsidRPr="0043743E">
        <w:rPr>
          <w:rStyle w:val="af6"/>
          <w:rFonts w:eastAsia="Guttman Hodes" w:hint="cs"/>
          <w:rtl/>
        </w:rPr>
        <w:t xml:space="preserve"> </w:t>
      </w:r>
      <w:r w:rsidR="00973666">
        <w:rPr>
          <w:rStyle w:val="af6"/>
          <w:rFonts w:eastAsia="Guttman Hodes" w:hint="cs"/>
          <w:rtl/>
        </w:rPr>
        <w:t>א</w:t>
      </w:r>
      <w:r w:rsidR="00973666" w:rsidRPr="0043743E">
        <w:rPr>
          <w:rStyle w:val="af6"/>
          <w:rFonts w:eastAsia="Guttman Hodes" w:hint="cs"/>
          <w:rtl/>
        </w:rPr>
        <w:t>:)</w:t>
      </w:r>
      <w:r>
        <w:rPr>
          <w:rFonts w:hint="cs"/>
          <w:rtl/>
        </w:rPr>
        <w:t xml:space="preserve"> דביאר דהטעם בעיסת חיטים הוא מדין גרירה, כתב </w:t>
      </w:r>
      <w:r w:rsidRPr="00657B21">
        <w:rPr>
          <w:rStyle w:val="af8"/>
          <w:rFonts w:hint="cs"/>
          <w:rtl/>
        </w:rPr>
        <w:t xml:space="preserve">הרא"ש </w:t>
      </w:r>
      <w:r>
        <w:rPr>
          <w:rStyle w:val="af8"/>
          <w:rFonts w:hint="cs"/>
          <w:rtl/>
        </w:rPr>
        <w:t>בהלכות חלה</w:t>
      </w:r>
      <w:r>
        <w:rPr>
          <w:rFonts w:hint="cs"/>
          <w:rtl/>
        </w:rPr>
        <w:t xml:space="preserve"> דהוקשה לירושלמי דאף דאזלינן בתר הטעם, וחשיבא כל העיסה כעיסת חיטים, מ"מ אין העיסה יכולה לבא לידי חימוץ כיון שרובה אורז, וא"א א"א לצאת בה יד"ח מצה, ולכן ביאר הירושלמי דהטעם של החיטים גורר את האורז, ואף האורז יכול לבא לידי חימוץ.</w:t>
      </w:r>
      <w:bookmarkEnd w:id="6843"/>
    </w:p>
    <w:p w:rsidR="00F34A57" w:rsidRPr="00384053" w:rsidRDefault="00F34A57" w:rsidP="00F34A57">
      <w:pPr>
        <w:pStyle w:val="a2"/>
        <w:rPr>
          <w:rtl/>
        </w:rPr>
      </w:pPr>
      <w:bookmarkStart w:id="6844" w:name="_Toc14196258"/>
      <w:bookmarkStart w:id="6845" w:name="_Toc14208820"/>
      <w:bookmarkStart w:id="6846" w:name="_Toc14248913"/>
      <w:bookmarkStart w:id="6847" w:name="_Toc14257419"/>
      <w:r>
        <w:rPr>
          <w:rFonts w:hint="cs"/>
          <w:rtl/>
        </w:rPr>
        <w:t>ביאור הפרמ"ג בר"ת דאף שאין בעיסה כזית חיטים ואכל מהתערובת יצא יד"ח מצה מדין נהפך</w:t>
      </w:r>
      <w:bookmarkEnd w:id="6844"/>
      <w:bookmarkEnd w:id="6845"/>
      <w:bookmarkEnd w:id="6846"/>
      <w:bookmarkEnd w:id="6847"/>
    </w:p>
    <w:bookmarkEnd w:id="6837"/>
    <w:bookmarkEnd w:id="6838"/>
    <w:bookmarkEnd w:id="6839"/>
    <w:bookmarkEnd w:id="6840"/>
    <w:bookmarkEnd w:id="6841"/>
    <w:bookmarkEnd w:id="6842"/>
    <w:p w:rsidR="00F34A57" w:rsidRDefault="00F34A57" w:rsidP="009F44AF">
      <w:pPr>
        <w:pStyle w:val="a"/>
        <w:rPr>
          <w:rtl/>
        </w:rPr>
      </w:pPr>
      <w:r>
        <w:rPr>
          <w:rFonts w:hint="cs"/>
          <w:rtl/>
        </w:rPr>
        <w:t>כתב</w:t>
      </w:r>
      <w:r w:rsidRPr="00967972">
        <w:rPr>
          <w:rStyle w:val="af8"/>
          <w:rFonts w:hint="cs"/>
          <w:rtl/>
        </w:rPr>
        <w:t xml:space="preserve"> הפרמ"ג</w:t>
      </w:r>
      <w:r>
        <w:rPr>
          <w:rFonts w:hint="cs"/>
          <w:rtl/>
        </w:rPr>
        <w:t xml:space="preserve"> </w:t>
      </w:r>
      <w:r w:rsidRPr="00B127DB">
        <w:rPr>
          <w:rStyle w:val="af6"/>
          <w:rFonts w:eastAsia="Guttman Hodes" w:hint="cs"/>
          <w:rtl/>
        </w:rPr>
        <w:t>(פתיחה להל' פסח החלק השני פ"א סק"</w:t>
      </w:r>
      <w:r>
        <w:rPr>
          <w:rStyle w:val="af6"/>
          <w:rFonts w:eastAsia="Guttman Hodes" w:hint="cs"/>
          <w:rtl/>
        </w:rPr>
        <w:t>י</w:t>
      </w:r>
      <w:r w:rsidRPr="00B127DB">
        <w:rPr>
          <w:rStyle w:val="af6"/>
          <w:rFonts w:eastAsia="Guttman Hodes" w:hint="cs"/>
          <w:rtl/>
        </w:rPr>
        <w:t xml:space="preserve"> ד"ה השיטה </w:t>
      </w:r>
      <w:r>
        <w:rPr>
          <w:rStyle w:val="af6"/>
          <w:rFonts w:eastAsia="Guttman Hodes" w:hint="cs"/>
          <w:rtl/>
        </w:rPr>
        <w:t>הד'</w:t>
      </w:r>
      <w:r w:rsidRPr="00B127DB">
        <w:rPr>
          <w:rStyle w:val="af6"/>
          <w:rFonts w:eastAsia="Guttman Hodes" w:hint="cs"/>
          <w:rtl/>
        </w:rPr>
        <w:t>)</w:t>
      </w:r>
      <w:r>
        <w:rPr>
          <w:rFonts w:hint="cs"/>
          <w:rtl/>
        </w:rPr>
        <w:t xml:space="preserve"> דלדעת </w:t>
      </w:r>
      <w:r w:rsidRPr="005270BB">
        <w:rPr>
          <w:rStyle w:val="af8"/>
          <w:rFonts w:hint="cs"/>
          <w:rtl/>
        </w:rPr>
        <w:t>ר"ת</w:t>
      </w:r>
      <w:r>
        <w:rPr>
          <w:rFonts w:hint="cs"/>
          <w:rtl/>
        </w:rPr>
        <w:t xml:space="preserve"> שהביא </w:t>
      </w:r>
      <w:r w:rsidRPr="005270BB">
        <w:rPr>
          <w:rStyle w:val="af8"/>
          <w:rFonts w:hint="cs"/>
          <w:rtl/>
        </w:rPr>
        <w:t>הרא"ש</w:t>
      </w:r>
      <w:r>
        <w:rPr>
          <w:rFonts w:hint="cs"/>
          <w:rtl/>
        </w:rPr>
        <w:t xml:space="preserve"> דבעיסת אורז, כל שיש בה טעם חיטים דינה כעיסת חיטים, היינו אף באופם שאין בה מהחיטים כזית בכדי אכילת פרס, ואף כשאכל כזית מהתערובת יצא יד"ח מצה בפסח, </w:t>
      </w:r>
      <w:r w:rsidRPr="005270BB">
        <w:rPr>
          <w:rStyle w:val="afa"/>
          <w:rFonts w:hint="cs"/>
          <w:rtl/>
        </w:rPr>
        <w:t>[דא"צ לאכול כזית מהחיטים],</w:t>
      </w:r>
      <w:r>
        <w:rPr>
          <w:rFonts w:hint="cs"/>
          <w:rtl/>
        </w:rPr>
        <w:t xml:space="preserve"> והיא חייבת בחלה, אעפ"י שאין בה שיעור חיטים, דכיון שיש בה טעם חיטים, נהפכה כל העיסה לחיטים.</w:t>
      </w:r>
    </w:p>
    <w:p w:rsidR="00F34A57" w:rsidRPr="00561109" w:rsidRDefault="00F34A57" w:rsidP="00E669F8">
      <w:pPr>
        <w:pStyle w:val="afd"/>
        <w:rPr>
          <w:rtl/>
        </w:rPr>
      </w:pPr>
      <w:bookmarkStart w:id="6848" w:name="_Toc14196259"/>
      <w:bookmarkStart w:id="6849" w:name="_Toc14208821"/>
      <w:bookmarkStart w:id="6850" w:name="_Toc14248914"/>
      <w:bookmarkStart w:id="6851" w:name="_Toc14257420"/>
      <w:r>
        <w:rPr>
          <w:rFonts w:hint="cs"/>
          <w:rtl/>
        </w:rPr>
        <w:t>דעת רבינו חיים דדין נהפך בכזית בכא"פ</w:t>
      </w:r>
      <w:bookmarkEnd w:id="6801"/>
      <w:bookmarkEnd w:id="6848"/>
      <w:bookmarkEnd w:id="6849"/>
      <w:bookmarkEnd w:id="6850"/>
      <w:bookmarkEnd w:id="6851"/>
    </w:p>
    <w:p w:rsidR="00F34A57" w:rsidRPr="007E0C12" w:rsidRDefault="00F34A57" w:rsidP="00F34A57">
      <w:pPr>
        <w:pStyle w:val="1"/>
        <w:rPr>
          <w:rtl/>
        </w:rPr>
      </w:pPr>
      <w:bookmarkStart w:id="6852" w:name="_Toc14089938"/>
      <w:bookmarkStart w:id="6853" w:name="_Toc14109746"/>
      <w:bookmarkStart w:id="6854" w:name="_Toc14120121"/>
      <w:bookmarkStart w:id="6855" w:name="_Toc14122300"/>
      <w:bookmarkStart w:id="6856" w:name="_Toc14196260"/>
      <w:bookmarkStart w:id="6857" w:name="_Toc14208822"/>
      <w:bookmarkStart w:id="6858" w:name="_Toc14248915"/>
      <w:bookmarkStart w:id="6859" w:name="_Toc14257421"/>
      <w:r>
        <w:rPr>
          <w:rFonts w:hint="cs"/>
          <w:rtl/>
        </w:rPr>
        <w:t xml:space="preserve">דברי </w:t>
      </w:r>
      <w:r w:rsidRPr="007E0C12">
        <w:rPr>
          <w:rFonts w:hint="cs"/>
          <w:rtl/>
        </w:rPr>
        <w:t>רבינו חיים ורבינו אליהו ד</w:t>
      </w:r>
      <w:r>
        <w:rPr>
          <w:rFonts w:hint="cs"/>
          <w:rtl/>
        </w:rPr>
        <w:t>רק</w:t>
      </w:r>
      <w:r w:rsidRPr="007E0C12">
        <w:rPr>
          <w:rFonts w:hint="cs"/>
          <w:rtl/>
        </w:rPr>
        <w:t xml:space="preserve"> </w:t>
      </w:r>
      <w:r>
        <w:rPr>
          <w:rFonts w:hint="cs"/>
          <w:rtl/>
        </w:rPr>
        <w:t>ב</w:t>
      </w:r>
      <w:r w:rsidRPr="007E0C12">
        <w:rPr>
          <w:rFonts w:hint="cs"/>
          <w:rtl/>
        </w:rPr>
        <w:t xml:space="preserve">כזית בכא"פ </w:t>
      </w:r>
      <w:bookmarkEnd w:id="6783"/>
      <w:bookmarkEnd w:id="6784"/>
      <w:bookmarkEnd w:id="6852"/>
      <w:bookmarkEnd w:id="6853"/>
      <w:bookmarkEnd w:id="6854"/>
      <w:bookmarkEnd w:id="6855"/>
      <w:r>
        <w:rPr>
          <w:rFonts w:hint="cs"/>
          <w:rtl/>
        </w:rPr>
        <w:t>לוקין מדאו'</w:t>
      </w:r>
      <w:bookmarkEnd w:id="6856"/>
      <w:bookmarkEnd w:id="6857"/>
      <w:bookmarkEnd w:id="6858"/>
      <w:bookmarkEnd w:id="6859"/>
      <w:r w:rsidRPr="007E0C12">
        <w:rPr>
          <w:rFonts w:hint="cs"/>
          <w:rtl/>
        </w:rPr>
        <w:t xml:space="preserve"> </w:t>
      </w:r>
    </w:p>
    <w:p w:rsidR="00F34A57" w:rsidRPr="007E0C12" w:rsidRDefault="00F34A57" w:rsidP="00F34A57">
      <w:pPr>
        <w:pStyle w:val="a2"/>
        <w:rPr>
          <w:rtl/>
        </w:rPr>
      </w:pPr>
      <w:bookmarkStart w:id="6860" w:name="_Toc13773285"/>
      <w:bookmarkStart w:id="6861" w:name="_Toc13952592"/>
      <w:bookmarkStart w:id="6862" w:name="_Toc14089939"/>
      <w:bookmarkStart w:id="6863" w:name="_Toc14109747"/>
      <w:bookmarkStart w:id="6864" w:name="_Toc14120122"/>
      <w:bookmarkStart w:id="6865" w:name="_Toc14122301"/>
      <w:bookmarkStart w:id="6866" w:name="_Toc14196261"/>
      <w:bookmarkStart w:id="6867" w:name="_Toc14208823"/>
      <w:bookmarkStart w:id="6868" w:name="_Toc14248916"/>
      <w:bookmarkStart w:id="6869" w:name="_Toc14257422"/>
      <w:r w:rsidRPr="007E0C12">
        <w:rPr>
          <w:rFonts w:hint="cs"/>
          <w:rtl/>
        </w:rPr>
        <w:t xml:space="preserve">דעת רבינו אליהו ורבינו חיים </w:t>
      </w:r>
      <w:r>
        <w:rPr>
          <w:rFonts w:hint="cs"/>
          <w:rtl/>
        </w:rPr>
        <w:t>דב</w:t>
      </w:r>
      <w:r w:rsidRPr="007E0C12">
        <w:rPr>
          <w:rFonts w:hint="cs"/>
          <w:rtl/>
        </w:rPr>
        <w:t xml:space="preserve">כזית </w:t>
      </w:r>
      <w:r>
        <w:rPr>
          <w:rFonts w:hint="cs"/>
          <w:rtl/>
        </w:rPr>
        <w:t>בכא"פ</w:t>
      </w:r>
      <w:r w:rsidRPr="007E0C12">
        <w:rPr>
          <w:rFonts w:hint="cs"/>
          <w:rtl/>
        </w:rPr>
        <w:t xml:space="preserve"> </w:t>
      </w:r>
      <w:bookmarkEnd w:id="6860"/>
      <w:bookmarkEnd w:id="6861"/>
      <w:bookmarkEnd w:id="6862"/>
      <w:bookmarkEnd w:id="6863"/>
      <w:bookmarkEnd w:id="6864"/>
      <w:r>
        <w:rPr>
          <w:rFonts w:hint="cs"/>
          <w:rtl/>
        </w:rPr>
        <w:t>לוקין עליו ובפחות מכזית בכא"פ אין לוקין</w:t>
      </w:r>
      <w:bookmarkEnd w:id="6865"/>
      <w:bookmarkEnd w:id="6866"/>
      <w:bookmarkEnd w:id="6867"/>
      <w:bookmarkEnd w:id="6868"/>
      <w:bookmarkEnd w:id="6869"/>
    </w:p>
    <w:p w:rsidR="00F34A57" w:rsidRDefault="00F34A57" w:rsidP="009F44AF">
      <w:pPr>
        <w:pStyle w:val="a"/>
        <w:rPr>
          <w:rtl/>
        </w:rPr>
      </w:pPr>
      <w:bookmarkStart w:id="6870" w:name="_Ref14121221"/>
      <w:bookmarkStart w:id="6871" w:name="_Ref14122210"/>
      <w:bookmarkStart w:id="6872" w:name="_Ref14249711"/>
      <w:r>
        <w:rPr>
          <w:rFonts w:hint="cs"/>
          <w:rtl/>
        </w:rPr>
        <w:t>כתבו</w:t>
      </w:r>
      <w:r w:rsidRPr="007E0C12">
        <w:rPr>
          <w:rFonts w:hint="cs"/>
          <w:rtl/>
        </w:rPr>
        <w:t xml:space="preserve"> </w:t>
      </w:r>
      <w:r w:rsidRPr="007E0C12">
        <w:rPr>
          <w:rStyle w:val="af8"/>
          <w:rtl/>
        </w:rPr>
        <w:t xml:space="preserve">התוס' </w:t>
      </w:r>
      <w:r w:rsidRPr="007E0C12">
        <w:rPr>
          <w:rStyle w:val="af8"/>
          <w:rFonts w:hint="cs"/>
          <w:rtl/>
        </w:rPr>
        <w:t xml:space="preserve">בסוגיין בתירוצם הב' </w:t>
      </w:r>
      <w:r w:rsidRPr="007E0C12">
        <w:rPr>
          <w:rStyle w:val="af6"/>
          <w:rFonts w:eastAsia="Guttman Hodes" w:hint="cs"/>
          <w:rtl/>
        </w:rPr>
        <w:t>(ד"ה רבא)</w:t>
      </w:r>
      <w:r w:rsidRPr="007E0C12">
        <w:rPr>
          <w:rtl/>
        </w:rPr>
        <w:t xml:space="preserve"> </w:t>
      </w:r>
      <w:r w:rsidRPr="007E0C12">
        <w:rPr>
          <w:rStyle w:val="af8"/>
          <w:rFonts w:hint="cs"/>
          <w:rtl/>
        </w:rPr>
        <w:t>והתוס' בע"ז</w:t>
      </w:r>
      <w:r w:rsidRPr="007E0C12">
        <w:rPr>
          <w:rFonts w:hint="cs"/>
          <w:rtl/>
        </w:rPr>
        <w:t xml:space="preserve"> </w:t>
      </w:r>
      <w:r w:rsidRPr="007E0C12">
        <w:rPr>
          <w:rStyle w:val="af6"/>
          <w:rFonts w:eastAsia="Guttman Hodes" w:hint="cs"/>
          <w:rtl/>
        </w:rPr>
        <w:t>(סז. ד"ה א"ר יוחנן)</w:t>
      </w:r>
      <w:r w:rsidRPr="007E0C12">
        <w:rPr>
          <w:rFonts w:hint="cs"/>
          <w:rtl/>
        </w:rPr>
        <w:t xml:space="preserve"> בשם </w:t>
      </w:r>
      <w:r w:rsidRPr="007E0C12">
        <w:rPr>
          <w:rStyle w:val="af8"/>
          <w:rFonts w:hint="cs"/>
          <w:rtl/>
        </w:rPr>
        <w:t>רבינו אליהו</w:t>
      </w:r>
      <w:r w:rsidRPr="007E0C12">
        <w:rPr>
          <w:rFonts w:hint="cs"/>
          <w:rtl/>
        </w:rPr>
        <w:t xml:space="preserve"> </w:t>
      </w:r>
      <w:r w:rsidRPr="007E0C12">
        <w:rPr>
          <w:rStyle w:val="af8"/>
          <w:rFonts w:hint="cs"/>
          <w:rtl/>
        </w:rPr>
        <w:t xml:space="preserve">והרא"ש </w:t>
      </w:r>
      <w:r w:rsidRPr="007E0C12">
        <w:rPr>
          <w:rStyle w:val="af6"/>
          <w:rFonts w:eastAsia="Guttman Hodes" w:hint="cs"/>
          <w:rtl/>
        </w:rPr>
        <w:t>(סי' ל"א)</w:t>
      </w:r>
      <w:r w:rsidRPr="007E0C12">
        <w:rPr>
          <w:rStyle w:val="af8"/>
          <w:rFonts w:hint="cs"/>
          <w:rtl/>
        </w:rPr>
        <w:t xml:space="preserve"> בשם רבינו חיים </w:t>
      </w:r>
      <w:r w:rsidRPr="007E0C12">
        <w:rPr>
          <w:rFonts w:hint="cs"/>
          <w:rtl/>
        </w:rPr>
        <w:t>דהא דאמר ריו"ח בגמ' בע"ז דלוקין רק בטעמו וממשו, כוונתו דבמקום שיש מטעם האיסור כזית בכדי אכילת פרס,</w:t>
      </w:r>
      <w:r w:rsidRPr="007E0C12">
        <w:rPr>
          <w:rStyle w:val="af8"/>
          <w:rFonts w:hint="cs"/>
          <w:rtl/>
        </w:rPr>
        <w:t xml:space="preserve"> </w:t>
      </w:r>
      <w:r w:rsidRPr="007E0C12">
        <w:rPr>
          <w:rFonts w:hint="cs"/>
          <w:rtl/>
        </w:rPr>
        <w:t>דבכה"ג חשיב שיש בו טעמו וממשו, ולכן לוקין עליו,</w:t>
      </w:r>
      <w:r w:rsidRPr="00E2056B">
        <w:rPr>
          <w:rFonts w:hint="cs"/>
          <w:rtl/>
        </w:rPr>
        <w:t xml:space="preserve"> </w:t>
      </w:r>
      <w:r w:rsidRPr="007E0C12">
        <w:rPr>
          <w:rFonts w:hint="cs"/>
          <w:rtl/>
        </w:rPr>
        <w:t>ובטעמו ולא ממשו דאין לוקין עליו, איירי במקום שאין מהטעם של האיסור כזית בכדי אכילת פרס</w:t>
      </w:r>
      <w:r>
        <w:rPr>
          <w:rFonts w:hint="cs"/>
          <w:rtl/>
        </w:rPr>
        <w:t>,</w:t>
      </w:r>
      <w:r w:rsidRPr="007E0C12">
        <w:rPr>
          <w:rFonts w:hint="cs"/>
          <w:rtl/>
        </w:rPr>
        <w:t xml:space="preserve"> וכ"כ </w:t>
      </w:r>
      <w:r w:rsidRPr="007E0C12">
        <w:rPr>
          <w:rStyle w:val="af8"/>
          <w:rFonts w:hint="cs"/>
          <w:rtl/>
        </w:rPr>
        <w:t>הרשב"א בחי'</w:t>
      </w:r>
      <w:r w:rsidRPr="007E0C12">
        <w:rPr>
          <w:rFonts w:hint="cs"/>
          <w:rtl/>
        </w:rPr>
        <w:t xml:space="preserve"> </w:t>
      </w:r>
      <w:r w:rsidRPr="007E0C12">
        <w:rPr>
          <w:rStyle w:val="af6"/>
          <w:rFonts w:eastAsia="Guttman Hodes" w:hint="cs"/>
          <w:rtl/>
        </w:rPr>
        <w:t>(ד"ה ור"י)</w:t>
      </w:r>
      <w:r w:rsidRPr="007E0C12">
        <w:rPr>
          <w:rFonts w:hint="cs"/>
          <w:rtl/>
        </w:rPr>
        <w:t xml:space="preserve"> </w:t>
      </w:r>
      <w:r w:rsidRPr="007E0C12">
        <w:rPr>
          <w:rStyle w:val="af8"/>
          <w:rFonts w:hint="cs"/>
          <w:rtl/>
        </w:rPr>
        <w:t>ובתוה"ב</w:t>
      </w:r>
      <w:r w:rsidRPr="007E0C12">
        <w:rPr>
          <w:rFonts w:hint="cs"/>
          <w:rtl/>
        </w:rPr>
        <w:t xml:space="preserve"> </w:t>
      </w:r>
      <w:r w:rsidRPr="007E0C12">
        <w:rPr>
          <w:rStyle w:val="af6"/>
          <w:rFonts w:eastAsia="Guttman Hodes" w:hint="cs"/>
          <w:rtl/>
        </w:rPr>
        <w:t>(ב"ד ש"א יא. מדה"ס)</w:t>
      </w:r>
      <w:r w:rsidRPr="007E0C12">
        <w:rPr>
          <w:rFonts w:hint="cs"/>
          <w:rtl/>
        </w:rPr>
        <w:t xml:space="preserve"> בשם </w:t>
      </w:r>
      <w:r w:rsidRPr="007E0C12">
        <w:rPr>
          <w:rStyle w:val="af8"/>
          <w:rFonts w:hint="cs"/>
          <w:rtl/>
        </w:rPr>
        <w:t>ר"י</w:t>
      </w:r>
      <w:bookmarkEnd w:id="6870"/>
      <w:r>
        <w:rPr>
          <w:rFonts w:hint="cs"/>
          <w:rtl/>
        </w:rPr>
        <w:t xml:space="preserve">, </w:t>
      </w:r>
      <w:bookmarkEnd w:id="6871"/>
      <w:r>
        <w:rPr>
          <w:rFonts w:hint="cs"/>
          <w:sz w:val="10"/>
          <w:szCs w:val="14"/>
          <w:rtl/>
        </w:rPr>
        <w:t xml:space="preserve">[ועמ"ש באריכות בדברי </w:t>
      </w:r>
      <w:r w:rsidRPr="00D73986">
        <w:rPr>
          <w:rStyle w:val="affa"/>
          <w:rFonts w:hint="cs"/>
          <w:rtl/>
        </w:rPr>
        <w:t>ר</w:t>
      </w:r>
      <w:r>
        <w:rPr>
          <w:rStyle w:val="affa"/>
          <w:rFonts w:hint="cs"/>
          <w:rtl/>
        </w:rPr>
        <w:t>בינו חיים</w:t>
      </w:r>
      <w:r>
        <w:rPr>
          <w:rFonts w:hint="cs"/>
          <w:sz w:val="10"/>
          <w:szCs w:val="14"/>
          <w:rtl/>
        </w:rPr>
        <w:t xml:space="preserve"> </w:t>
      </w:r>
      <w:r w:rsidRPr="00D73986">
        <w:rPr>
          <w:rStyle w:val="aff6"/>
          <w:rFonts w:hint="cs"/>
          <w:rtl/>
        </w:rPr>
        <w:t xml:space="preserve">(הובא לעיל סימן ט' אות </w:t>
      </w:r>
      <w:r w:rsidR="00664FAE">
        <w:rPr>
          <w:rStyle w:val="aff6"/>
          <w:rtl/>
        </w:rPr>
        <w:fldChar w:fldCharType="begin"/>
      </w:r>
      <w:r w:rsidR="00664FAE">
        <w:rPr>
          <w:rStyle w:val="aff6"/>
          <w:rtl/>
        </w:rPr>
        <w:instrText xml:space="preserve"> </w:instrText>
      </w:r>
      <w:r w:rsidR="00664FAE">
        <w:rPr>
          <w:rStyle w:val="aff6"/>
          <w:rFonts w:hint="cs"/>
        </w:rPr>
        <w:instrText>REF</w:instrText>
      </w:r>
      <w:r w:rsidR="00664FAE">
        <w:rPr>
          <w:rStyle w:val="aff6"/>
          <w:rFonts w:hint="cs"/>
          <w:rtl/>
        </w:rPr>
        <w:instrText xml:space="preserve"> _</w:instrText>
      </w:r>
      <w:r w:rsidR="00664FAE">
        <w:rPr>
          <w:rStyle w:val="aff6"/>
          <w:rFonts w:hint="cs"/>
        </w:rPr>
        <w:instrText>Ref14428533 \r \h</w:instrText>
      </w:r>
      <w:r w:rsidR="00664FAE">
        <w:rPr>
          <w:rStyle w:val="aff6"/>
          <w:rtl/>
        </w:rPr>
        <w:instrText xml:space="preserve"> </w:instrText>
      </w:r>
      <w:r w:rsidR="00664FAE">
        <w:rPr>
          <w:rStyle w:val="aff6"/>
          <w:rtl/>
        </w:rPr>
      </w:r>
      <w:r w:rsidR="00664FAE">
        <w:rPr>
          <w:rStyle w:val="aff6"/>
          <w:rtl/>
        </w:rPr>
        <w:fldChar w:fldCharType="separate"/>
      </w:r>
      <w:r w:rsidR="004D1C5B">
        <w:rPr>
          <w:rStyle w:val="aff6"/>
          <w:cs/>
        </w:rPr>
        <w:t>‎</w:t>
      </w:r>
      <w:r w:rsidR="004D1C5B">
        <w:rPr>
          <w:rStyle w:val="aff6"/>
          <w:rtl/>
        </w:rPr>
        <w:t>ע)</w:t>
      </w:r>
      <w:r w:rsidR="00664FAE">
        <w:rPr>
          <w:rStyle w:val="aff6"/>
          <w:rtl/>
        </w:rPr>
        <w:fldChar w:fldCharType="end"/>
      </w:r>
      <w:r>
        <w:rPr>
          <w:rFonts w:hint="cs"/>
          <w:sz w:val="10"/>
          <w:szCs w:val="14"/>
          <w:rtl/>
        </w:rPr>
        <w:t xml:space="preserve"> במ"ש ביאור דברי ריו"ח בטעמו וממשו וטעמו ולא ממשו].</w:t>
      </w:r>
      <w:bookmarkEnd w:id="6872"/>
    </w:p>
    <w:p w:rsidR="00F34A57" w:rsidRPr="00F277E5" w:rsidRDefault="00F34A57" w:rsidP="00F34A57">
      <w:pPr>
        <w:pStyle w:val="1"/>
        <w:rPr>
          <w:rtl/>
        </w:rPr>
      </w:pPr>
      <w:bookmarkStart w:id="6873" w:name="_Toc14196262"/>
      <w:bookmarkStart w:id="6874" w:name="_Toc14208824"/>
      <w:bookmarkStart w:id="6875" w:name="_Toc14248917"/>
      <w:bookmarkStart w:id="6876" w:name="_Toc14257423"/>
      <w:r>
        <w:rPr>
          <w:rFonts w:hint="cs"/>
          <w:rtl/>
        </w:rPr>
        <w:t>ביאור הרא"ש ברבינו חיים דדין נהפך הוא רק בכזית בכא"פ</w:t>
      </w:r>
      <w:bookmarkEnd w:id="6873"/>
      <w:bookmarkEnd w:id="6874"/>
      <w:bookmarkEnd w:id="6875"/>
      <w:bookmarkEnd w:id="6876"/>
    </w:p>
    <w:p w:rsidR="00F34A57" w:rsidRPr="007E0C12" w:rsidRDefault="00F34A57" w:rsidP="00F34A57">
      <w:pPr>
        <w:pStyle w:val="a2"/>
      </w:pPr>
      <w:bookmarkStart w:id="6877" w:name="_Toc13773286"/>
      <w:bookmarkStart w:id="6878" w:name="_Toc13952593"/>
      <w:bookmarkStart w:id="6879" w:name="_Toc14089940"/>
      <w:bookmarkStart w:id="6880" w:name="_Toc14109748"/>
      <w:bookmarkStart w:id="6881" w:name="_Toc14120123"/>
      <w:bookmarkStart w:id="6882" w:name="_Toc14122302"/>
      <w:bookmarkStart w:id="6883" w:name="_Toc14196263"/>
      <w:bookmarkStart w:id="6884" w:name="_Toc14208825"/>
      <w:bookmarkStart w:id="6885" w:name="_Toc14248918"/>
      <w:bookmarkStart w:id="6886" w:name="_Toc14257424"/>
      <w:r w:rsidRPr="007E0C12">
        <w:rPr>
          <w:rFonts w:hint="cs"/>
          <w:rtl/>
        </w:rPr>
        <w:t>דברי הרא"ש בשם רבינו חיים דכיון שמעורב כ"כ הרבה מהאיסור חשיב שכולו נעשה איסור</w:t>
      </w:r>
      <w:bookmarkEnd w:id="6877"/>
      <w:bookmarkEnd w:id="6878"/>
      <w:bookmarkEnd w:id="6879"/>
      <w:bookmarkEnd w:id="6880"/>
      <w:bookmarkEnd w:id="6881"/>
      <w:bookmarkEnd w:id="6882"/>
      <w:bookmarkEnd w:id="6883"/>
      <w:bookmarkEnd w:id="6884"/>
      <w:bookmarkEnd w:id="6885"/>
      <w:bookmarkEnd w:id="6886"/>
    </w:p>
    <w:p w:rsidR="00F34A57" w:rsidRPr="00D16460" w:rsidRDefault="00F34A57" w:rsidP="009F44AF">
      <w:pPr>
        <w:pStyle w:val="a"/>
        <w:rPr>
          <w:rStyle w:val="afa"/>
          <w:rtl/>
        </w:rPr>
      </w:pPr>
      <w:bookmarkStart w:id="6887" w:name="_Ref14896529"/>
      <w:r w:rsidRPr="007E0C12">
        <w:rPr>
          <w:rFonts w:hint="cs"/>
          <w:rtl/>
        </w:rPr>
        <w:t xml:space="preserve">וביאר </w:t>
      </w:r>
      <w:r w:rsidRPr="007E0C12">
        <w:rPr>
          <w:rStyle w:val="af8"/>
          <w:rFonts w:hint="cs"/>
          <w:rtl/>
        </w:rPr>
        <w:t>הרא"ש בשם רבינו חיים</w:t>
      </w:r>
      <w:r w:rsidRPr="007E0C12">
        <w:rPr>
          <w:rFonts w:hint="cs"/>
          <w:rtl/>
        </w:rPr>
        <w:t xml:space="preserve"> ד</w:t>
      </w:r>
      <w:r>
        <w:rPr>
          <w:rFonts w:hint="cs"/>
          <w:rtl/>
        </w:rPr>
        <w:t xml:space="preserve">כשיש כזית בכדי אכילת פרס, </w:t>
      </w:r>
      <w:r w:rsidRPr="007E0C12">
        <w:rPr>
          <w:rFonts w:hint="cs"/>
          <w:rtl/>
        </w:rPr>
        <w:t xml:space="preserve">כיון שמעורב בהיתר כ"כ הרבה מהאיסור, חשיב שנעשה כולו איסור, וכדמוכח מהגמ' בזבחים </w:t>
      </w:r>
      <w:r w:rsidRPr="007E0C12">
        <w:rPr>
          <w:rStyle w:val="af6"/>
          <w:rFonts w:eastAsia="Guttman Hodes" w:hint="cs"/>
          <w:rtl/>
        </w:rPr>
        <w:t>(עח.)</w:t>
      </w:r>
      <w:r w:rsidRPr="007E0C12">
        <w:rPr>
          <w:rFonts w:hint="cs"/>
          <w:rtl/>
        </w:rPr>
        <w:t xml:space="preserve"> בדין עיסת אורז, דכיון שיש לה טעם דגן יוצא בה יד"ח מצה.</w:t>
      </w:r>
      <w:r w:rsidRPr="007E0C12">
        <w:rPr>
          <w:rStyle w:val="afa"/>
          <w:rFonts w:hint="cs"/>
          <w:rtl/>
        </w:rPr>
        <w:t xml:space="preserve"> [עי' </w:t>
      </w:r>
      <w:r w:rsidRPr="00D16460">
        <w:rPr>
          <w:rStyle w:val="afa"/>
          <w:rFonts w:hint="cs"/>
          <w:rtl/>
        </w:rPr>
        <w:t xml:space="preserve">בדברי </w:t>
      </w:r>
      <w:r w:rsidRPr="00D16460">
        <w:rPr>
          <w:rStyle w:val="affa"/>
          <w:rFonts w:hint="cs"/>
          <w:rtl/>
        </w:rPr>
        <w:t>הרא"ש</w:t>
      </w:r>
      <w:r w:rsidRPr="00D16460">
        <w:rPr>
          <w:rStyle w:val="afa"/>
          <w:rFonts w:hint="cs"/>
          <w:rtl/>
        </w:rPr>
        <w:t xml:space="preserve"> </w:t>
      </w:r>
      <w:r w:rsidRPr="00D16460">
        <w:rPr>
          <w:rStyle w:val="aff6"/>
          <w:rFonts w:hint="cs"/>
          <w:rtl/>
        </w:rPr>
        <w:t xml:space="preserve">(עי' אות </w:t>
      </w:r>
      <w:r w:rsidRPr="00D16460">
        <w:rPr>
          <w:rStyle w:val="aff6"/>
          <w:rtl/>
        </w:rPr>
        <w:fldChar w:fldCharType="begin"/>
      </w:r>
      <w:r w:rsidRPr="00D16460">
        <w:rPr>
          <w:rStyle w:val="aff6"/>
          <w:rtl/>
        </w:rPr>
        <w:instrText xml:space="preserve"> </w:instrText>
      </w:r>
      <w:r w:rsidRPr="00D16460">
        <w:rPr>
          <w:rStyle w:val="aff6"/>
          <w:rFonts w:hint="cs"/>
        </w:rPr>
        <w:instrText>REF</w:instrText>
      </w:r>
      <w:r w:rsidRPr="00D16460">
        <w:rPr>
          <w:rStyle w:val="aff6"/>
          <w:rFonts w:hint="cs"/>
          <w:rtl/>
        </w:rPr>
        <w:instrText xml:space="preserve"> _</w:instrText>
      </w:r>
      <w:r w:rsidRPr="00D16460">
        <w:rPr>
          <w:rStyle w:val="aff6"/>
          <w:rFonts w:hint="cs"/>
        </w:rPr>
        <w:instrText>Ref12888725 \r \h</w:instrText>
      </w:r>
      <w:r w:rsidRPr="00D16460">
        <w:rPr>
          <w:rStyle w:val="aff6"/>
          <w:rtl/>
        </w:rPr>
        <w:instrText xml:space="preserve">  \* </w:instrText>
      </w:r>
      <w:r w:rsidRPr="00D16460">
        <w:rPr>
          <w:rStyle w:val="aff6"/>
        </w:rPr>
        <w:instrText>MERGEFORMAT</w:instrText>
      </w:r>
      <w:r w:rsidRPr="00D16460">
        <w:rPr>
          <w:rStyle w:val="aff6"/>
          <w:rtl/>
        </w:rPr>
        <w:instrText xml:space="preserve"> </w:instrText>
      </w:r>
      <w:r w:rsidRPr="00D16460">
        <w:rPr>
          <w:rStyle w:val="aff6"/>
          <w:rtl/>
        </w:rPr>
      </w:r>
      <w:r w:rsidRPr="00D16460">
        <w:rPr>
          <w:rStyle w:val="aff6"/>
          <w:rtl/>
        </w:rPr>
        <w:fldChar w:fldCharType="separate"/>
      </w:r>
      <w:r w:rsidR="004D1C5B">
        <w:rPr>
          <w:rStyle w:val="aff6"/>
          <w:cs/>
        </w:rPr>
        <w:t>‎</w:t>
      </w:r>
      <w:r w:rsidR="004D1C5B">
        <w:rPr>
          <w:rStyle w:val="aff6"/>
          <w:rtl/>
        </w:rPr>
        <w:t>נב)</w:t>
      </w:r>
      <w:r w:rsidRPr="00D16460">
        <w:rPr>
          <w:rStyle w:val="aff6"/>
          <w:rtl/>
        </w:rPr>
        <w:fldChar w:fldCharType="end"/>
      </w:r>
      <w:r w:rsidRPr="00D16460">
        <w:rPr>
          <w:rStyle w:val="afa"/>
          <w:rFonts w:hint="cs"/>
          <w:rtl/>
        </w:rPr>
        <w:t>]</w:t>
      </w:r>
      <w:r>
        <w:rPr>
          <w:rStyle w:val="afa"/>
          <w:rFonts w:hint="cs"/>
          <w:rtl/>
        </w:rPr>
        <w:t>,</w:t>
      </w:r>
      <w:r w:rsidRPr="00C04077">
        <w:rPr>
          <w:rFonts w:hint="cs"/>
          <w:rtl/>
        </w:rPr>
        <w:t xml:space="preserve"> ועי' בדברי</w:t>
      </w:r>
      <w:r w:rsidRPr="00C04077">
        <w:rPr>
          <w:rStyle w:val="af8"/>
          <w:rFonts w:hint="cs"/>
          <w:rtl/>
        </w:rPr>
        <w:t xml:space="preserve"> </w:t>
      </w:r>
      <w:r w:rsidRPr="00367EC7">
        <w:rPr>
          <w:rStyle w:val="af8"/>
          <w:rFonts w:hint="cs"/>
          <w:rtl/>
        </w:rPr>
        <w:t>המשנת ר"א</w:t>
      </w:r>
      <w:r>
        <w:rPr>
          <w:rFonts w:hint="cs"/>
          <w:rtl/>
        </w:rPr>
        <w:t xml:space="preserve"> </w:t>
      </w:r>
      <w:r w:rsidRPr="00C04077">
        <w:rPr>
          <w:rStyle w:val="af6"/>
          <w:rFonts w:eastAsia="Guttman Hodes" w:hint="cs"/>
          <w:rtl/>
        </w:rPr>
        <w:t xml:space="preserve">(עי' אות </w:t>
      </w:r>
      <w:r w:rsidRPr="00C04077">
        <w:rPr>
          <w:rStyle w:val="af6"/>
          <w:rFonts w:eastAsia="Guttman Hodes"/>
          <w:rtl/>
        </w:rPr>
        <w:fldChar w:fldCharType="begin"/>
      </w:r>
      <w:r w:rsidRPr="00C04077">
        <w:rPr>
          <w:rStyle w:val="af6"/>
          <w:rFonts w:eastAsia="Guttman Hodes"/>
          <w:rtl/>
        </w:rPr>
        <w:instrText xml:space="preserve"> </w:instrText>
      </w:r>
      <w:r w:rsidRPr="00C04077">
        <w:rPr>
          <w:rStyle w:val="af6"/>
          <w:rFonts w:eastAsia="Guttman Hodes" w:hint="cs"/>
        </w:rPr>
        <w:instrText>REF</w:instrText>
      </w:r>
      <w:r w:rsidRPr="00C04077">
        <w:rPr>
          <w:rStyle w:val="af6"/>
          <w:rFonts w:eastAsia="Guttman Hodes" w:hint="cs"/>
          <w:rtl/>
        </w:rPr>
        <w:instrText xml:space="preserve"> _</w:instrText>
      </w:r>
      <w:r w:rsidRPr="00C04077">
        <w:rPr>
          <w:rStyle w:val="af6"/>
          <w:rFonts w:eastAsia="Guttman Hodes" w:hint="cs"/>
        </w:rPr>
        <w:instrText>Ref14255802 \r \h</w:instrText>
      </w:r>
      <w:r w:rsidRPr="00C04077">
        <w:rPr>
          <w:rStyle w:val="af6"/>
          <w:rFonts w:eastAsia="Guttman Hodes"/>
          <w:rtl/>
        </w:rPr>
        <w:instrText xml:space="preserve"> </w:instrText>
      </w:r>
      <w:r w:rsidRPr="00C04077">
        <w:rPr>
          <w:rStyle w:val="af6"/>
          <w:rFonts w:eastAsia="Guttman Hodes"/>
          <w:rtl/>
        </w:rPr>
      </w:r>
      <w:r w:rsidRPr="00C04077">
        <w:rPr>
          <w:rStyle w:val="af6"/>
          <w:rFonts w:eastAsia="Guttman Hodes"/>
          <w:rtl/>
        </w:rPr>
        <w:fldChar w:fldCharType="separate"/>
      </w:r>
      <w:r w:rsidR="004D1C5B">
        <w:rPr>
          <w:rStyle w:val="af6"/>
          <w:rFonts w:eastAsia="Guttman Hodes"/>
          <w:cs/>
        </w:rPr>
        <w:t>‎</w:t>
      </w:r>
      <w:r w:rsidR="004D1C5B">
        <w:rPr>
          <w:rStyle w:val="af6"/>
          <w:rFonts w:eastAsia="Guttman Hodes"/>
          <w:rtl/>
        </w:rPr>
        <w:t>קלא)</w:t>
      </w:r>
      <w:r w:rsidRPr="00C04077">
        <w:rPr>
          <w:rStyle w:val="af6"/>
          <w:rFonts w:eastAsia="Guttman Hodes"/>
          <w:rtl/>
        </w:rPr>
        <w:fldChar w:fldCharType="end"/>
      </w:r>
      <w:r>
        <w:rPr>
          <w:rFonts w:hint="cs"/>
          <w:rtl/>
        </w:rPr>
        <w:t>.</w:t>
      </w:r>
      <w:bookmarkEnd w:id="6887"/>
      <w:r w:rsidRPr="00C04077">
        <w:rPr>
          <w:rFonts w:hint="cs"/>
          <w:rtl/>
        </w:rPr>
        <w:t xml:space="preserve"> </w:t>
      </w:r>
    </w:p>
    <w:p w:rsidR="00F34A57" w:rsidRPr="007E0C12" w:rsidRDefault="00F34A57" w:rsidP="00F34A57">
      <w:pPr>
        <w:pStyle w:val="a2"/>
      </w:pPr>
      <w:bookmarkStart w:id="6888" w:name="_Toc13773289"/>
      <w:bookmarkStart w:id="6889" w:name="_Toc13952596"/>
      <w:bookmarkStart w:id="6890" w:name="_Toc14089943"/>
      <w:bookmarkStart w:id="6891" w:name="_Toc14109751"/>
      <w:bookmarkStart w:id="6892" w:name="_Toc14120126"/>
      <w:bookmarkStart w:id="6893" w:name="_Toc14122303"/>
      <w:bookmarkStart w:id="6894" w:name="_Toc14196264"/>
      <w:bookmarkStart w:id="6895" w:name="_Toc14208826"/>
      <w:bookmarkStart w:id="6896" w:name="_Toc14248919"/>
      <w:bookmarkStart w:id="6897" w:name="_Toc14257425"/>
      <w:bookmarkStart w:id="6898" w:name="_Toc13773288"/>
      <w:bookmarkStart w:id="6899" w:name="_Toc13952595"/>
      <w:bookmarkStart w:id="6900" w:name="_Toc14089942"/>
      <w:bookmarkStart w:id="6901" w:name="_Toc14109750"/>
      <w:bookmarkStart w:id="6902" w:name="_Toc14120125"/>
      <w:r w:rsidRPr="007E0C12">
        <w:rPr>
          <w:rFonts w:hint="cs"/>
          <w:rtl/>
        </w:rPr>
        <w:t>ביאור הרא"ש בשם רבינו חיים דבפחות מכא"פ לא מסתבר דכולו נהפך לאיסור</w:t>
      </w:r>
      <w:bookmarkEnd w:id="6888"/>
      <w:bookmarkEnd w:id="6889"/>
      <w:bookmarkEnd w:id="6890"/>
      <w:bookmarkEnd w:id="6891"/>
      <w:bookmarkEnd w:id="6892"/>
      <w:bookmarkEnd w:id="6893"/>
      <w:bookmarkEnd w:id="6894"/>
      <w:bookmarkEnd w:id="6895"/>
      <w:bookmarkEnd w:id="6896"/>
      <w:bookmarkEnd w:id="6897"/>
    </w:p>
    <w:p w:rsidR="00F34A57" w:rsidRPr="00CC57AA" w:rsidRDefault="00F34A57" w:rsidP="009F44AF">
      <w:pPr>
        <w:pStyle w:val="a"/>
      </w:pPr>
      <w:bookmarkStart w:id="6903" w:name="_Ref14163494"/>
      <w:r>
        <w:rPr>
          <w:rFonts w:hint="cs"/>
          <w:rtl/>
        </w:rPr>
        <w:t xml:space="preserve">אבל </w:t>
      </w:r>
      <w:r w:rsidRPr="007E0C12">
        <w:rPr>
          <w:rFonts w:hint="cs"/>
          <w:rtl/>
        </w:rPr>
        <w:t xml:space="preserve">בפחות מכזית בכדי אכילת פרס, ביאר </w:t>
      </w:r>
      <w:r w:rsidRPr="007E0C12">
        <w:rPr>
          <w:rStyle w:val="af8"/>
          <w:rFonts w:hint="cs"/>
          <w:rtl/>
        </w:rPr>
        <w:t>הרא"ש בשם רבינו חיים</w:t>
      </w:r>
      <w:r w:rsidRPr="007E0C12">
        <w:rPr>
          <w:rFonts w:hint="cs"/>
          <w:rtl/>
        </w:rPr>
        <w:t xml:space="preserve"> </w:t>
      </w:r>
      <w:r>
        <w:rPr>
          <w:rFonts w:hint="cs"/>
          <w:rtl/>
        </w:rPr>
        <w:t>ד</w:t>
      </w:r>
      <w:r w:rsidRPr="007E0C12">
        <w:rPr>
          <w:rFonts w:hint="cs"/>
          <w:rtl/>
        </w:rPr>
        <w:t xml:space="preserve">אף שהאיסור נתן טעם בהיתר, וילפינן מקרא דטעם כעיקר דאו', מ"מ אין לוקין עליו, דלא מסתבר לומר דהחמירה התורה שטעם האיסור יהפוך את ההיתר לאיסור, במקום </w:t>
      </w:r>
      <w:r w:rsidRPr="00E51693">
        <w:rPr>
          <w:rFonts w:hint="cs"/>
          <w:rtl/>
        </w:rPr>
        <w:t xml:space="preserve">שאם היה האיסור ניכר בתוך ההיתר בלא נתינת טעם לא היה בו מלקות כיון שאין בו כזית בכדי </w:t>
      </w:r>
      <w:r w:rsidRPr="00CC57AA">
        <w:rPr>
          <w:rFonts w:hint="cs"/>
          <w:rtl/>
        </w:rPr>
        <w:t>אכילת פרס.</w:t>
      </w:r>
      <w:bookmarkEnd w:id="6903"/>
    </w:p>
    <w:p w:rsidR="00F34A57" w:rsidRPr="00BB284D" w:rsidRDefault="00F34A57" w:rsidP="00F34A57">
      <w:pPr>
        <w:pStyle w:val="a2"/>
        <w:rPr>
          <w:rtl/>
        </w:rPr>
      </w:pPr>
      <w:bookmarkStart w:id="6904" w:name="_Toc14196265"/>
      <w:bookmarkStart w:id="6905" w:name="_Toc14208827"/>
      <w:bookmarkStart w:id="6906" w:name="_Toc14248920"/>
      <w:bookmarkStart w:id="6907" w:name="_Toc14257426"/>
      <w:bookmarkStart w:id="6908" w:name="_Toc14122304"/>
      <w:r w:rsidRPr="00BB284D">
        <w:rPr>
          <w:rFonts w:hint="cs"/>
          <w:rtl/>
        </w:rPr>
        <w:t>דברי הגר"א והמהרש"</w:t>
      </w:r>
      <w:r>
        <w:rPr>
          <w:rFonts w:hint="cs"/>
          <w:rtl/>
        </w:rPr>
        <w:t>א דרבינו ח</w:t>
      </w:r>
      <w:r w:rsidRPr="00BB284D">
        <w:rPr>
          <w:rFonts w:hint="cs"/>
          <w:rtl/>
        </w:rPr>
        <w:t>יים</w:t>
      </w:r>
      <w:r>
        <w:rPr>
          <w:rFonts w:hint="cs"/>
          <w:rtl/>
        </w:rPr>
        <w:t xml:space="preserve"> </w:t>
      </w:r>
      <w:r w:rsidRPr="00BB284D">
        <w:rPr>
          <w:rFonts w:hint="cs"/>
          <w:rtl/>
        </w:rPr>
        <w:t xml:space="preserve"> </w:t>
      </w:r>
      <w:r>
        <w:rPr>
          <w:rFonts w:hint="cs"/>
          <w:rtl/>
        </w:rPr>
        <w:t>ברא"ש ורבינו אליהו בתוס' בע"ז הם שיטה אחת</w:t>
      </w:r>
      <w:bookmarkEnd w:id="6904"/>
      <w:bookmarkEnd w:id="6905"/>
      <w:bookmarkEnd w:id="6906"/>
      <w:bookmarkEnd w:id="6907"/>
    </w:p>
    <w:p w:rsidR="00F34A57" w:rsidRPr="007D69AB" w:rsidRDefault="007D69AB" w:rsidP="009F44AF">
      <w:pPr>
        <w:pStyle w:val="a"/>
        <w:rPr>
          <w:rtl/>
        </w:rPr>
      </w:pPr>
      <w:r w:rsidRPr="007E0C12">
        <w:rPr>
          <w:rFonts w:hint="cs"/>
          <w:sz w:val="10"/>
          <w:rtl/>
        </w:rPr>
        <w:t>וכתב</w:t>
      </w:r>
      <w:r>
        <w:rPr>
          <w:rFonts w:hint="cs"/>
          <w:sz w:val="10"/>
          <w:rtl/>
        </w:rPr>
        <w:t>ו</w:t>
      </w:r>
      <w:r w:rsidRPr="007E0C12">
        <w:rPr>
          <w:rFonts w:hint="cs"/>
          <w:sz w:val="10"/>
          <w:rtl/>
        </w:rPr>
        <w:t xml:space="preserve"> </w:t>
      </w:r>
      <w:r w:rsidRPr="007E0C12">
        <w:rPr>
          <w:rStyle w:val="af8"/>
          <w:rFonts w:hint="cs"/>
          <w:rtl/>
        </w:rPr>
        <w:t>הגר"א</w:t>
      </w:r>
      <w:r w:rsidRPr="007E0C12">
        <w:rPr>
          <w:rFonts w:hint="cs"/>
          <w:rtl/>
        </w:rPr>
        <w:t xml:space="preserve"> </w:t>
      </w:r>
      <w:r w:rsidRPr="007E0C12">
        <w:rPr>
          <w:rStyle w:val="af6"/>
          <w:rFonts w:eastAsia="Guttman Hodes" w:hint="cs"/>
          <w:rtl/>
        </w:rPr>
        <w:t>(או"ח סי' תנ"ג סק"ט)</w:t>
      </w:r>
      <w:r w:rsidRPr="007E0C12">
        <w:rPr>
          <w:rFonts w:hint="cs"/>
          <w:rtl/>
        </w:rPr>
        <w:t xml:space="preserve"> </w:t>
      </w:r>
      <w:r>
        <w:rPr>
          <w:rStyle w:val="af8"/>
          <w:rFonts w:hint="cs"/>
          <w:rtl/>
        </w:rPr>
        <w:t xml:space="preserve">והמהרש"א </w:t>
      </w:r>
      <w:r w:rsidRPr="00797AE3">
        <w:rPr>
          <w:rStyle w:val="af6"/>
          <w:rFonts w:eastAsia="Guttman Hodes" w:hint="cs"/>
          <w:rtl/>
        </w:rPr>
        <w:t>(ע"ז סז: ד"ה בא"ד ועוד אמר)</w:t>
      </w:r>
      <w:r>
        <w:rPr>
          <w:rStyle w:val="af8"/>
          <w:rFonts w:hint="cs"/>
          <w:rtl/>
        </w:rPr>
        <w:t xml:space="preserve"> </w:t>
      </w:r>
      <w:r w:rsidRPr="003F0FEA">
        <w:rPr>
          <w:rStyle w:val="af8"/>
          <w:rFonts w:hint="cs"/>
          <w:rtl/>
        </w:rPr>
        <w:t xml:space="preserve">דהתי' הב' בתוס' בסוגיין ורבינו חיים ורבינו אליהו </w:t>
      </w:r>
      <w:r w:rsidRPr="003F0FEA">
        <w:rPr>
          <w:rFonts w:hint="cs"/>
          <w:rtl/>
        </w:rPr>
        <w:t>הם ביאור אחד</w:t>
      </w:r>
      <w:r>
        <w:rPr>
          <w:rFonts w:hint="cs"/>
          <w:rtl/>
        </w:rPr>
        <w:t xml:space="preserve">, אמנם </w:t>
      </w:r>
      <w:r w:rsidRPr="00295681">
        <w:rPr>
          <w:rStyle w:val="af8"/>
          <w:rFonts w:hint="cs"/>
          <w:rtl/>
        </w:rPr>
        <w:lastRenderedPageBreak/>
        <w:t>הנחל"ד</w:t>
      </w:r>
      <w:r>
        <w:rPr>
          <w:rFonts w:hint="cs"/>
          <w:rtl/>
        </w:rPr>
        <w:t xml:space="preserve"> </w:t>
      </w:r>
      <w:r w:rsidRPr="0029568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Ref14899423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Pr>
          <w:rStyle w:val="af6"/>
          <w:rFonts w:eastAsia="Guttman Hodes"/>
          <w:rtl/>
        </w:rPr>
        <w:fldChar w:fldCharType="end"/>
      </w:r>
      <w:r>
        <w:rPr>
          <w:rStyle w:val="af6"/>
          <w:rFonts w:eastAsia="Guttman Hodes" w:hint="cs"/>
          <w:rtl/>
        </w:rPr>
        <w:t xml:space="preserve"> </w:t>
      </w:r>
      <w:r>
        <w:rPr>
          <w:rFonts w:hint="cs"/>
          <w:rtl/>
        </w:rPr>
        <w:t xml:space="preserve">כתב במסקנת דבריו </w:t>
      </w:r>
      <w:r w:rsidRPr="00295681">
        <w:rPr>
          <w:rStyle w:val="af8"/>
          <w:rFonts w:hint="cs"/>
          <w:rtl/>
        </w:rPr>
        <w:t>דלרבינו אליהו</w:t>
      </w:r>
      <w:r>
        <w:rPr>
          <w:rFonts w:hint="cs"/>
          <w:rtl/>
        </w:rPr>
        <w:t xml:space="preserve"> לא אמרינן נהפך, אף בכזית בכדי אכילת פרס, ופליג על </w:t>
      </w:r>
      <w:r w:rsidRPr="00295681">
        <w:rPr>
          <w:rStyle w:val="af8"/>
          <w:rFonts w:hint="cs"/>
          <w:rtl/>
        </w:rPr>
        <w:t>רבינו חיים</w:t>
      </w:r>
      <w:r w:rsidRPr="007D69AB">
        <w:rPr>
          <w:rFonts w:hint="cs"/>
          <w:rtl/>
        </w:rPr>
        <w:t>.</w:t>
      </w:r>
    </w:p>
    <w:p w:rsidR="00F34A57" w:rsidRPr="00C6069E" w:rsidRDefault="00F34A57" w:rsidP="00F34A57">
      <w:pPr>
        <w:pStyle w:val="a2"/>
      </w:pPr>
      <w:bookmarkStart w:id="6909" w:name="_Toc14196266"/>
      <w:bookmarkStart w:id="6910" w:name="_Toc14208828"/>
      <w:bookmarkStart w:id="6911" w:name="_Toc14248921"/>
      <w:bookmarkStart w:id="6912" w:name="_Toc14257427"/>
      <w:r>
        <w:rPr>
          <w:rFonts w:hint="cs"/>
          <w:rtl/>
        </w:rPr>
        <w:t>דברי החזו"א דאפש"ל דרבינו אליהו מודה לרבינו חיים דבכזית בכא"פ אמרינן נהפך</w:t>
      </w:r>
      <w:bookmarkEnd w:id="6909"/>
      <w:bookmarkEnd w:id="6910"/>
      <w:bookmarkEnd w:id="6911"/>
      <w:bookmarkEnd w:id="6912"/>
    </w:p>
    <w:p w:rsidR="00F34A57" w:rsidRPr="00BE156B" w:rsidRDefault="00F34A57" w:rsidP="009F44AF">
      <w:pPr>
        <w:pStyle w:val="a"/>
        <w:rPr>
          <w:rtl/>
        </w:rPr>
      </w:pPr>
      <w:r>
        <w:rPr>
          <w:rStyle w:val="af8"/>
          <w:rFonts w:hint="cs"/>
          <w:rtl/>
        </w:rPr>
        <w:t>ו</w:t>
      </w:r>
      <w:r w:rsidRPr="00541CB9">
        <w:rPr>
          <w:rStyle w:val="af8"/>
          <w:rFonts w:hint="cs"/>
          <w:rtl/>
        </w:rPr>
        <w:t>החזו"א</w:t>
      </w:r>
      <w:r>
        <w:rPr>
          <w:rFonts w:hint="cs"/>
          <w:rtl/>
        </w:rPr>
        <w:t xml:space="preserve"> </w:t>
      </w:r>
      <w:r w:rsidRPr="00541CB9">
        <w:rPr>
          <w:rStyle w:val="af6"/>
          <w:rFonts w:eastAsia="Guttman Hodes" w:hint="cs"/>
          <w:rtl/>
        </w:rPr>
        <w:t>(סי' כ"ד ה')</w:t>
      </w:r>
      <w:r>
        <w:rPr>
          <w:rFonts w:hint="cs"/>
          <w:rtl/>
        </w:rPr>
        <w:t xml:space="preserve"> כתב דמדברי </w:t>
      </w:r>
      <w:r w:rsidRPr="007E0C12">
        <w:rPr>
          <w:rStyle w:val="af8"/>
          <w:rtl/>
        </w:rPr>
        <w:t xml:space="preserve">התוס' </w:t>
      </w:r>
      <w:r w:rsidRPr="007E0C12">
        <w:rPr>
          <w:rStyle w:val="af8"/>
          <w:rFonts w:hint="cs"/>
          <w:rtl/>
        </w:rPr>
        <w:t>בסוגיין בתירוצם הב' והתוס' בע"ז</w:t>
      </w:r>
      <w:r w:rsidRPr="000E2EFA">
        <w:rPr>
          <w:rFonts w:hint="cs"/>
          <w:rtl/>
        </w:rPr>
        <w:t xml:space="preserve"> </w:t>
      </w:r>
      <w:r w:rsidRPr="007E0C12">
        <w:rPr>
          <w:rFonts w:hint="cs"/>
          <w:rtl/>
        </w:rPr>
        <w:t xml:space="preserve">בשם </w:t>
      </w:r>
      <w:r w:rsidRPr="007E0C12">
        <w:rPr>
          <w:rStyle w:val="af8"/>
          <w:rFonts w:hint="cs"/>
          <w:rtl/>
        </w:rPr>
        <w:t>רבינו אליהו</w:t>
      </w:r>
      <w:r>
        <w:rPr>
          <w:rFonts w:hint="cs"/>
          <w:rtl/>
        </w:rPr>
        <w:t xml:space="preserve"> מבואר דאף דלוקין על טעם כעיקר, מ"מ אין ההיתר מצטרף לאיסור ללקות עליו, אלא דלוקה רק כשאכל כזית בכדי אכילת פרס, אך כתב </w:t>
      </w:r>
      <w:r w:rsidRPr="00560EEB">
        <w:rPr>
          <w:rStyle w:val="af8"/>
          <w:rFonts w:hint="cs"/>
          <w:rtl/>
        </w:rPr>
        <w:t>החזו"א</w:t>
      </w:r>
      <w:r>
        <w:rPr>
          <w:rFonts w:hint="cs"/>
          <w:rtl/>
        </w:rPr>
        <w:t xml:space="preserve"> דאפש"ל </w:t>
      </w:r>
      <w:r>
        <w:rPr>
          <w:rStyle w:val="af8"/>
          <w:rFonts w:hint="cs"/>
          <w:rtl/>
        </w:rPr>
        <w:t>ד</w:t>
      </w:r>
      <w:r w:rsidRPr="007E0C12">
        <w:rPr>
          <w:rStyle w:val="af8"/>
          <w:rtl/>
        </w:rPr>
        <w:t xml:space="preserve">התוס' </w:t>
      </w:r>
      <w:r w:rsidRPr="007E0C12">
        <w:rPr>
          <w:rStyle w:val="af8"/>
          <w:rFonts w:hint="cs"/>
          <w:rtl/>
        </w:rPr>
        <w:t>בסוגיין בתירוצם הב' והתוס' בע"ז</w:t>
      </w:r>
      <w:r w:rsidRPr="000E2EFA">
        <w:rPr>
          <w:rFonts w:hint="cs"/>
          <w:rtl/>
        </w:rPr>
        <w:t xml:space="preserve"> </w:t>
      </w:r>
      <w:r w:rsidRPr="007E0C12">
        <w:rPr>
          <w:rFonts w:hint="cs"/>
          <w:rtl/>
        </w:rPr>
        <w:t xml:space="preserve">בשם </w:t>
      </w:r>
      <w:r w:rsidRPr="007E0C12">
        <w:rPr>
          <w:rStyle w:val="af8"/>
          <w:rFonts w:hint="cs"/>
          <w:rtl/>
        </w:rPr>
        <w:t>רבינו אליהו</w:t>
      </w:r>
      <w:r>
        <w:rPr>
          <w:rFonts w:hint="cs"/>
          <w:rtl/>
        </w:rPr>
        <w:t xml:space="preserve"> מודים לדברי </w:t>
      </w:r>
      <w:r w:rsidRPr="00560EEB">
        <w:rPr>
          <w:rStyle w:val="af8"/>
          <w:rFonts w:hint="cs"/>
          <w:rtl/>
        </w:rPr>
        <w:t>הרא"ש</w:t>
      </w:r>
      <w:r>
        <w:rPr>
          <w:rFonts w:hint="cs"/>
          <w:rtl/>
        </w:rPr>
        <w:t xml:space="preserve"> בשם </w:t>
      </w:r>
      <w:r w:rsidRPr="00560EEB">
        <w:rPr>
          <w:rStyle w:val="af8"/>
          <w:rFonts w:hint="cs"/>
          <w:rtl/>
        </w:rPr>
        <w:t>רבינו חיים</w:t>
      </w:r>
      <w:r>
        <w:rPr>
          <w:rFonts w:hint="cs"/>
          <w:rtl/>
        </w:rPr>
        <w:t>, דבמקום שיש כזית בכדי אכילת פרס, חייב על כל כזית מהתערובת דנהפך ההיתר לאיסור.</w:t>
      </w:r>
    </w:p>
    <w:p w:rsidR="00F34A57" w:rsidRPr="00625C88" w:rsidRDefault="00F34A57" w:rsidP="00F34A57">
      <w:pPr>
        <w:pStyle w:val="a2"/>
        <w:rPr>
          <w:rtl/>
        </w:rPr>
      </w:pPr>
      <w:bookmarkStart w:id="6913" w:name="_Toc14196267"/>
      <w:bookmarkStart w:id="6914" w:name="_Toc14208829"/>
      <w:bookmarkStart w:id="6915" w:name="_Toc14248922"/>
      <w:bookmarkStart w:id="6916" w:name="_Toc14257428"/>
      <w:r>
        <w:rPr>
          <w:rFonts w:hint="cs"/>
          <w:rtl/>
        </w:rPr>
        <w:t>דברי הרא"ש בשם רבינו חיים דבעיסת אורז איירי שיש כזית חיטים בכא"פ ונהפכה לעיסת חיטים</w:t>
      </w:r>
      <w:bookmarkEnd w:id="6913"/>
      <w:bookmarkEnd w:id="6914"/>
      <w:bookmarkEnd w:id="6915"/>
      <w:bookmarkEnd w:id="6916"/>
    </w:p>
    <w:p w:rsidR="00F34A57" w:rsidRDefault="00F34A57" w:rsidP="009F44AF">
      <w:pPr>
        <w:pStyle w:val="a"/>
        <w:rPr>
          <w:rtl/>
        </w:rPr>
      </w:pPr>
      <w:r>
        <w:rPr>
          <w:rFonts w:hint="cs"/>
          <w:rtl/>
        </w:rPr>
        <w:t xml:space="preserve">עו"כ </w:t>
      </w:r>
      <w:r w:rsidRPr="00657B21">
        <w:rPr>
          <w:rStyle w:val="af8"/>
          <w:rFonts w:hint="cs"/>
          <w:rtl/>
        </w:rPr>
        <w:t xml:space="preserve">הרא"ש </w:t>
      </w:r>
      <w:r>
        <w:rPr>
          <w:rStyle w:val="af8"/>
          <w:rFonts w:hint="cs"/>
          <w:rtl/>
        </w:rPr>
        <w:t>בהלכות חלה</w:t>
      </w:r>
      <w:r w:rsidRPr="00DB2464">
        <w:rPr>
          <w:rFonts w:hint="cs"/>
          <w:rtl/>
        </w:rPr>
        <w:t xml:space="preserve"> </w:t>
      </w:r>
      <w:r w:rsidRPr="00DB2464">
        <w:rPr>
          <w:rStyle w:val="af6"/>
          <w:rFonts w:eastAsia="Guttman Hodes" w:hint="cs"/>
          <w:rtl/>
        </w:rPr>
        <w:t>(סי' ט"ו, נד' בסוף מנחות)</w:t>
      </w:r>
      <w:r w:rsidRPr="00DB2464">
        <w:rPr>
          <w:rFonts w:hint="cs"/>
          <w:rtl/>
        </w:rPr>
        <w:t xml:space="preserve"> </w:t>
      </w:r>
      <w:r>
        <w:rPr>
          <w:rFonts w:hint="cs"/>
          <w:rtl/>
        </w:rPr>
        <w:t xml:space="preserve">בשם </w:t>
      </w:r>
      <w:r w:rsidRPr="00657B21">
        <w:rPr>
          <w:rStyle w:val="af8"/>
          <w:rFonts w:hint="cs"/>
          <w:rtl/>
        </w:rPr>
        <w:t>רבינו חיים</w:t>
      </w:r>
      <w:r>
        <w:rPr>
          <w:rFonts w:hint="cs"/>
          <w:rtl/>
        </w:rPr>
        <w:t xml:space="preserve"> דהא דאמר ריו"ח דבטעמו וממשו לוקין, היינו כשיש כזית בכדי אכילת פרס, ובעיסת אורז שיש בה טעם חיטים, דדינה כדין עיסת חיטים, איירי שיש כזית חיטים בכדי אכילת פרס, ובכה"ג כל העיסה נהפכת לעיסת חיטים, ויוצא בה יד"ח מצה בכל כזית ממנה, וע"ע במה שביאר </w:t>
      </w:r>
      <w:r w:rsidRPr="00EA17D9">
        <w:rPr>
          <w:rStyle w:val="af8"/>
          <w:rFonts w:hint="cs"/>
          <w:rtl/>
        </w:rPr>
        <w:t>הגר"ח</w:t>
      </w:r>
      <w:r>
        <w:rPr>
          <w:rFonts w:hint="cs"/>
          <w:rtl/>
        </w:rPr>
        <w:t xml:space="preserve"> </w:t>
      </w:r>
      <w:r w:rsidRPr="00EA17D9">
        <w:rPr>
          <w:rStyle w:val="af6"/>
          <w:rFonts w:eastAsia="Guttman Hodes" w:hint="cs"/>
          <w:rtl/>
        </w:rPr>
        <w:t xml:space="preserve">(עי' אות </w:t>
      </w:r>
      <w:r w:rsidRPr="00EA17D9">
        <w:rPr>
          <w:rStyle w:val="af6"/>
          <w:rFonts w:eastAsia="Guttman Hodes"/>
          <w:rtl/>
        </w:rPr>
        <w:fldChar w:fldCharType="begin"/>
      </w:r>
      <w:r w:rsidRPr="00EA17D9">
        <w:rPr>
          <w:rStyle w:val="af6"/>
          <w:rFonts w:eastAsia="Guttman Hodes"/>
          <w:rtl/>
        </w:rPr>
        <w:instrText xml:space="preserve"> </w:instrText>
      </w:r>
      <w:r w:rsidRPr="00EA17D9">
        <w:rPr>
          <w:rStyle w:val="af6"/>
          <w:rFonts w:eastAsia="Guttman Hodes" w:hint="cs"/>
        </w:rPr>
        <w:instrText>REF</w:instrText>
      </w:r>
      <w:r w:rsidRPr="00EA17D9">
        <w:rPr>
          <w:rStyle w:val="af6"/>
          <w:rFonts w:eastAsia="Guttman Hodes" w:hint="cs"/>
          <w:rtl/>
        </w:rPr>
        <w:instrText xml:space="preserve"> _</w:instrText>
      </w:r>
      <w:r w:rsidRPr="00EA17D9">
        <w:rPr>
          <w:rStyle w:val="af6"/>
          <w:rFonts w:eastAsia="Guttman Hodes" w:hint="cs"/>
        </w:rPr>
        <w:instrText>Ref12895728 \r \h</w:instrText>
      </w:r>
      <w:r w:rsidRPr="00EA17D9">
        <w:rPr>
          <w:rStyle w:val="af6"/>
          <w:rFonts w:eastAsia="Guttman Hodes"/>
          <w:rtl/>
        </w:rPr>
        <w:instrText xml:space="preserve"> </w:instrText>
      </w:r>
      <w:r w:rsidRPr="00EA17D9">
        <w:rPr>
          <w:rStyle w:val="af6"/>
          <w:rFonts w:eastAsia="Guttman Hodes"/>
          <w:rtl/>
        </w:rPr>
      </w:r>
      <w:r w:rsidRPr="00EA17D9">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EA17D9">
        <w:rPr>
          <w:rStyle w:val="af6"/>
          <w:rFonts w:eastAsia="Guttman Hodes"/>
          <w:rtl/>
        </w:rPr>
        <w:fldChar w:fldCharType="end"/>
      </w:r>
      <w:r>
        <w:rPr>
          <w:rFonts w:hint="cs"/>
          <w:rtl/>
        </w:rPr>
        <w:t xml:space="preserve"> בדין עיסת אורז.</w:t>
      </w:r>
    </w:p>
    <w:p w:rsidR="00F34A57" w:rsidRPr="00EB55CA" w:rsidRDefault="00F34A57" w:rsidP="00F34A57">
      <w:pPr>
        <w:pStyle w:val="a2"/>
        <w:rPr>
          <w:rtl/>
        </w:rPr>
      </w:pPr>
      <w:bookmarkStart w:id="6917" w:name="_Toc14196268"/>
      <w:bookmarkStart w:id="6918" w:name="_Toc14208830"/>
      <w:bookmarkStart w:id="6919" w:name="_Toc14248923"/>
      <w:bookmarkStart w:id="6920" w:name="_Toc14257429"/>
      <w:r>
        <w:rPr>
          <w:rFonts w:hint="cs"/>
          <w:rtl/>
        </w:rPr>
        <w:t>ביאור הפרמ"ג ברבינו חיים דבעיסת אורז יש כזית בכא"פ ומדין נהפך יצא יד"ח מצה בכזית מהעיסה</w:t>
      </w:r>
      <w:bookmarkEnd w:id="6917"/>
      <w:bookmarkEnd w:id="6918"/>
      <w:bookmarkEnd w:id="6919"/>
      <w:bookmarkEnd w:id="6920"/>
    </w:p>
    <w:p w:rsidR="00F34A57" w:rsidRDefault="00F34A57" w:rsidP="009F44AF">
      <w:pPr>
        <w:pStyle w:val="a"/>
        <w:rPr>
          <w:rtl/>
        </w:rPr>
      </w:pPr>
      <w:r>
        <w:rPr>
          <w:rFonts w:hint="cs"/>
          <w:rtl/>
        </w:rPr>
        <w:t>וכתב</w:t>
      </w:r>
      <w:r w:rsidRPr="00967972">
        <w:rPr>
          <w:rStyle w:val="af8"/>
          <w:rFonts w:hint="cs"/>
          <w:rtl/>
        </w:rPr>
        <w:t xml:space="preserve"> הפרמ"ג</w:t>
      </w:r>
      <w:r>
        <w:rPr>
          <w:rFonts w:hint="cs"/>
          <w:rtl/>
        </w:rPr>
        <w:t xml:space="preserve"> </w:t>
      </w:r>
      <w:r w:rsidRPr="00B127DB">
        <w:rPr>
          <w:rStyle w:val="af6"/>
          <w:rFonts w:eastAsia="Guttman Hodes" w:hint="cs"/>
          <w:rtl/>
        </w:rPr>
        <w:t>(פתיחה להל' פסח החלק השני פ"א סק"</w:t>
      </w:r>
      <w:r>
        <w:rPr>
          <w:rStyle w:val="af6"/>
          <w:rFonts w:eastAsia="Guttman Hodes" w:hint="cs"/>
          <w:rtl/>
        </w:rPr>
        <w:t>ט</w:t>
      </w:r>
      <w:r w:rsidRPr="00B127DB">
        <w:rPr>
          <w:rStyle w:val="af6"/>
          <w:rFonts w:eastAsia="Guttman Hodes" w:hint="cs"/>
          <w:rtl/>
        </w:rPr>
        <w:t xml:space="preserve"> ד"ה השיטה </w:t>
      </w:r>
      <w:r>
        <w:rPr>
          <w:rStyle w:val="af6"/>
          <w:rFonts w:eastAsia="Guttman Hodes" w:hint="cs"/>
          <w:rtl/>
        </w:rPr>
        <w:t>השלישית</w:t>
      </w:r>
      <w:r w:rsidRPr="00B127DB">
        <w:rPr>
          <w:rStyle w:val="af6"/>
          <w:rFonts w:eastAsia="Guttman Hodes" w:hint="cs"/>
          <w:rtl/>
        </w:rPr>
        <w:t>)</w:t>
      </w:r>
      <w:r>
        <w:rPr>
          <w:rFonts w:hint="cs"/>
          <w:rtl/>
        </w:rPr>
        <w:t xml:space="preserve"> דלדעת </w:t>
      </w:r>
      <w:r w:rsidRPr="00EB55CA">
        <w:rPr>
          <w:rStyle w:val="af8"/>
          <w:rFonts w:hint="cs"/>
          <w:rtl/>
        </w:rPr>
        <w:t>רבינו חיים</w:t>
      </w:r>
      <w:r>
        <w:rPr>
          <w:rFonts w:hint="cs"/>
          <w:rtl/>
        </w:rPr>
        <w:t xml:space="preserve"> שהביא </w:t>
      </w:r>
      <w:r w:rsidRPr="00EB55CA">
        <w:rPr>
          <w:rStyle w:val="af8"/>
          <w:rFonts w:hint="cs"/>
          <w:rtl/>
        </w:rPr>
        <w:t>הרא"ש</w:t>
      </w:r>
      <w:r>
        <w:rPr>
          <w:rFonts w:hint="cs"/>
          <w:rtl/>
        </w:rPr>
        <w:t xml:space="preserve"> בעיסת אורז, כל שיש בה טעם חיטים דינה כעיסת חיטים, היינו דוקא באופן שיש בעיסה חיטים בכזית בכדי אכילת פרס, ובכה"ג אף כשאכל כזית מהתערובת יצא יד"ח מצה בפסח, והיא חייבת בחלה, אעפ"י שלא אכל שיעור מהחיטים, דכיון שיש בה חיטים בכזית בכדי אכילת פרס, נהפכה כל העיסה לחיטים.</w:t>
      </w:r>
    </w:p>
    <w:p w:rsidR="00F34A57" w:rsidRDefault="00F34A57" w:rsidP="00E669F8">
      <w:pPr>
        <w:pStyle w:val="afd"/>
        <w:rPr>
          <w:rtl/>
        </w:rPr>
      </w:pPr>
      <w:bookmarkStart w:id="6921" w:name="_Toc14196269"/>
      <w:bookmarkStart w:id="6922" w:name="_Toc14208831"/>
      <w:bookmarkStart w:id="6923" w:name="_Toc14248924"/>
      <w:bookmarkStart w:id="6924" w:name="_Toc14257430"/>
      <w:r>
        <w:rPr>
          <w:rFonts w:hint="cs"/>
          <w:rtl/>
        </w:rPr>
        <w:t>בדעת רבינו חיים בפחות מכזית בכא"פ</w:t>
      </w:r>
      <w:bookmarkEnd w:id="6921"/>
      <w:bookmarkEnd w:id="6922"/>
      <w:bookmarkEnd w:id="6923"/>
      <w:bookmarkEnd w:id="6924"/>
    </w:p>
    <w:p w:rsidR="00F34A57" w:rsidRDefault="00F34A57" w:rsidP="00F34A57">
      <w:pPr>
        <w:pStyle w:val="1"/>
        <w:rPr>
          <w:rtl/>
        </w:rPr>
      </w:pPr>
      <w:bookmarkStart w:id="6925" w:name="_Toc14196270"/>
      <w:bookmarkStart w:id="6926" w:name="_Toc14208832"/>
      <w:bookmarkStart w:id="6927" w:name="_Toc14248925"/>
      <w:bookmarkStart w:id="6928" w:name="_Toc14257431"/>
      <w:r>
        <w:rPr>
          <w:rFonts w:hint="cs"/>
          <w:rtl/>
        </w:rPr>
        <w:t>דעת האחרונים דלרבינו חיים פחות מכזית בכא"פ אסור מדרבנן</w:t>
      </w:r>
      <w:bookmarkEnd w:id="6925"/>
      <w:bookmarkEnd w:id="6926"/>
      <w:bookmarkEnd w:id="6927"/>
      <w:bookmarkEnd w:id="6928"/>
    </w:p>
    <w:p w:rsidR="00F34A57" w:rsidRPr="00CC57AA" w:rsidRDefault="00F34A57" w:rsidP="00F34A57">
      <w:pPr>
        <w:pStyle w:val="a2"/>
        <w:rPr>
          <w:rtl/>
        </w:rPr>
      </w:pPr>
      <w:bookmarkStart w:id="6929" w:name="_Toc14196271"/>
      <w:bookmarkStart w:id="6930" w:name="_Toc14208833"/>
      <w:bookmarkStart w:id="6931" w:name="_Toc14248926"/>
      <w:bookmarkStart w:id="6932" w:name="_Toc14257432"/>
      <w:r>
        <w:rPr>
          <w:rFonts w:hint="cs"/>
          <w:rtl/>
        </w:rPr>
        <w:t>דברי הגר"א דלהרא"ש ברבינו חיים פחות מכזית בכא"פ אינו דאו' ולהרשב"א בר"י הוא חצי שיעור</w:t>
      </w:r>
      <w:bookmarkEnd w:id="6929"/>
      <w:bookmarkEnd w:id="6930"/>
      <w:bookmarkEnd w:id="6931"/>
      <w:bookmarkEnd w:id="6932"/>
    </w:p>
    <w:p w:rsidR="00F34A57" w:rsidRDefault="00F34A57" w:rsidP="009F44AF">
      <w:pPr>
        <w:pStyle w:val="a"/>
        <w:rPr>
          <w:sz w:val="10"/>
          <w:szCs w:val="14"/>
          <w:rtl/>
        </w:rPr>
      </w:pPr>
      <w:bookmarkStart w:id="6933" w:name="_Ref14257555"/>
      <w:r w:rsidRPr="00CC57AA">
        <w:rPr>
          <w:rFonts w:hint="cs"/>
          <w:rtl/>
        </w:rPr>
        <w:t xml:space="preserve">כתב </w:t>
      </w:r>
      <w:r w:rsidRPr="00CC57AA">
        <w:rPr>
          <w:rStyle w:val="af8"/>
          <w:rFonts w:hint="cs"/>
          <w:rtl/>
        </w:rPr>
        <w:t>הגר"א</w:t>
      </w:r>
      <w:r w:rsidRPr="00CC57AA">
        <w:rPr>
          <w:rFonts w:hint="cs"/>
          <w:rtl/>
        </w:rPr>
        <w:t xml:space="preserve"> </w:t>
      </w:r>
      <w:r w:rsidRPr="00CC57AA">
        <w:rPr>
          <w:rStyle w:val="af6"/>
          <w:rFonts w:eastAsia="Guttman Hodes" w:hint="cs"/>
          <w:rtl/>
        </w:rPr>
        <w:t>(</w:t>
      </w:r>
      <w:r w:rsidRPr="003B0AAA">
        <w:rPr>
          <w:rStyle w:val="af6"/>
          <w:rFonts w:eastAsia="Guttman Hodes" w:hint="cs"/>
          <w:rtl/>
        </w:rPr>
        <w:t>סי' צ"ח סק"ח</w:t>
      </w:r>
      <w:r>
        <w:rPr>
          <w:rStyle w:val="af6"/>
          <w:rFonts w:eastAsia="Guttman Hodes" w:hint="cs"/>
          <w:rtl/>
        </w:rPr>
        <w:t xml:space="preserve">, </w:t>
      </w:r>
      <w:r w:rsidRPr="00CC57AA">
        <w:rPr>
          <w:rStyle w:val="af6"/>
          <w:rFonts w:eastAsia="Guttman Hodes" w:hint="cs"/>
          <w:rtl/>
        </w:rPr>
        <w:t>או"ח סי' תנ"ג סק"ט)</w:t>
      </w:r>
      <w:r w:rsidRPr="00CC57AA">
        <w:rPr>
          <w:rFonts w:hint="cs"/>
          <w:rtl/>
        </w:rPr>
        <w:t xml:space="preserve"> דמדברי </w:t>
      </w:r>
      <w:r w:rsidRPr="00CC57AA">
        <w:rPr>
          <w:rStyle w:val="af8"/>
          <w:rFonts w:hint="cs"/>
          <w:rtl/>
        </w:rPr>
        <w:t>הרא"ש</w:t>
      </w:r>
      <w:r w:rsidRPr="00CC57AA">
        <w:rPr>
          <w:rFonts w:hint="cs"/>
          <w:rtl/>
        </w:rPr>
        <w:t xml:space="preserve"> </w:t>
      </w:r>
      <w:r w:rsidRPr="00CC57AA">
        <w:rPr>
          <w:rStyle w:val="af6"/>
          <w:rFonts w:eastAsia="Guttman Hodes" w:hint="cs"/>
          <w:rtl/>
        </w:rPr>
        <w:t xml:space="preserve">(עי' אות </w:t>
      </w:r>
      <w:r w:rsidRPr="00CC57AA">
        <w:rPr>
          <w:rStyle w:val="af6"/>
          <w:rFonts w:eastAsia="Guttman Hodes"/>
          <w:rtl/>
        </w:rPr>
        <w:fldChar w:fldCharType="begin"/>
      </w:r>
      <w:r w:rsidRPr="00CC57AA">
        <w:rPr>
          <w:rStyle w:val="af6"/>
          <w:rFonts w:eastAsia="Guttman Hodes"/>
          <w:rtl/>
        </w:rPr>
        <w:instrText xml:space="preserve"> </w:instrText>
      </w:r>
      <w:r w:rsidRPr="00CC57AA">
        <w:rPr>
          <w:rStyle w:val="af6"/>
          <w:rFonts w:eastAsia="Guttman Hodes" w:hint="cs"/>
        </w:rPr>
        <w:instrText>REF</w:instrText>
      </w:r>
      <w:r w:rsidRPr="00CC57AA">
        <w:rPr>
          <w:rStyle w:val="af6"/>
          <w:rFonts w:eastAsia="Guttman Hodes" w:hint="cs"/>
          <w:rtl/>
        </w:rPr>
        <w:instrText xml:space="preserve"> _</w:instrText>
      </w:r>
      <w:r w:rsidRPr="00CC57AA">
        <w:rPr>
          <w:rStyle w:val="af6"/>
          <w:rFonts w:eastAsia="Guttman Hodes" w:hint="cs"/>
        </w:rPr>
        <w:instrText>Ref14163494 \r \h</w:instrText>
      </w:r>
      <w:r w:rsidRPr="00CC57A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CC57AA">
        <w:rPr>
          <w:rStyle w:val="af6"/>
          <w:rFonts w:eastAsia="Guttman Hodes"/>
          <w:rtl/>
        </w:rPr>
      </w:r>
      <w:r w:rsidRPr="00CC57AA">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CC57AA">
        <w:rPr>
          <w:rStyle w:val="af6"/>
          <w:rFonts w:eastAsia="Guttman Hodes"/>
          <w:rtl/>
        </w:rPr>
        <w:fldChar w:fldCharType="end"/>
      </w:r>
      <w:r w:rsidRPr="00CC57AA">
        <w:rPr>
          <w:rFonts w:hint="cs"/>
          <w:rtl/>
        </w:rPr>
        <w:t xml:space="preserve"> משמע דלדעת </w:t>
      </w:r>
      <w:r w:rsidRPr="00CC57AA">
        <w:rPr>
          <w:rStyle w:val="af8"/>
          <w:rFonts w:hint="cs"/>
          <w:rtl/>
        </w:rPr>
        <w:t>רבינו חיים</w:t>
      </w:r>
      <w:r w:rsidRPr="00CC57AA">
        <w:rPr>
          <w:rFonts w:hint="cs"/>
          <w:rtl/>
        </w:rPr>
        <w:t xml:space="preserve"> האיסור דאו' הוא רק בכזית בכדי אכילת פרס, אבל בפחות מכזית בכדי</w:t>
      </w:r>
      <w:r>
        <w:rPr>
          <w:rFonts w:hint="cs"/>
          <w:rtl/>
        </w:rPr>
        <w:t xml:space="preserve"> אכילת פרס, אינו אסור מדאו', אף מדין חצי שיעור, וכדעת </w:t>
      </w:r>
      <w:r w:rsidRPr="001255F7">
        <w:rPr>
          <w:rStyle w:val="af8"/>
          <w:rFonts w:hint="cs"/>
          <w:rtl/>
        </w:rPr>
        <w:t>הרמב"ן</w:t>
      </w:r>
      <w:r>
        <w:rPr>
          <w:rFonts w:hint="cs"/>
          <w:rtl/>
        </w:rPr>
        <w:t xml:space="preserve"> </w:t>
      </w:r>
      <w:r w:rsidRPr="00E7113C">
        <w:rPr>
          <w:rStyle w:val="af6"/>
          <w:rFonts w:eastAsia="Guttman Hodes" w:hint="cs"/>
          <w:rtl/>
        </w:rPr>
        <w:t xml:space="preserve">(עי' אות </w:t>
      </w:r>
      <w:r w:rsidRPr="00E7113C">
        <w:rPr>
          <w:rStyle w:val="af6"/>
          <w:rFonts w:eastAsia="Guttman Hodes"/>
          <w:highlight w:val="yellow"/>
          <w:rtl/>
        </w:rPr>
        <w:fldChar w:fldCharType="begin"/>
      </w:r>
      <w:r w:rsidRPr="00E7113C">
        <w:rPr>
          <w:rStyle w:val="af6"/>
          <w:rFonts w:eastAsia="Guttman Hodes"/>
          <w:rtl/>
        </w:rPr>
        <w:instrText xml:space="preserve"> </w:instrText>
      </w:r>
      <w:r w:rsidRPr="00E7113C">
        <w:rPr>
          <w:rStyle w:val="af6"/>
          <w:rFonts w:eastAsia="Guttman Hodes" w:hint="cs"/>
        </w:rPr>
        <w:instrText>REF</w:instrText>
      </w:r>
      <w:r w:rsidRPr="00E7113C">
        <w:rPr>
          <w:rStyle w:val="af6"/>
          <w:rFonts w:eastAsia="Guttman Hodes" w:hint="cs"/>
          <w:rtl/>
        </w:rPr>
        <w:instrText xml:space="preserve"> _</w:instrText>
      </w:r>
      <w:r w:rsidRPr="00E7113C">
        <w:rPr>
          <w:rStyle w:val="af6"/>
          <w:rFonts w:eastAsia="Guttman Hodes" w:hint="cs"/>
        </w:rPr>
        <w:instrText>Ref14257634 \r \h</w:instrText>
      </w:r>
      <w:r w:rsidRPr="00E7113C">
        <w:rPr>
          <w:rStyle w:val="af6"/>
          <w:rFonts w:eastAsia="Guttman Hodes"/>
          <w:rtl/>
        </w:rPr>
        <w:instrText xml:space="preserve"> </w:instrText>
      </w:r>
      <w:r w:rsidRPr="00E7113C">
        <w:rPr>
          <w:rStyle w:val="af6"/>
          <w:rFonts w:eastAsia="Guttman Hodes"/>
          <w:highlight w:val="yellow"/>
          <w:rtl/>
        </w:rPr>
      </w:r>
      <w:r w:rsidRPr="00E7113C">
        <w:rPr>
          <w:rStyle w:val="af6"/>
          <w:rFonts w:eastAsia="Guttman Hodes"/>
          <w:highlight w:val="yellow"/>
          <w:rtl/>
        </w:rPr>
        <w:fldChar w:fldCharType="separate"/>
      </w:r>
      <w:r w:rsidR="004D1C5B">
        <w:rPr>
          <w:rStyle w:val="af6"/>
          <w:rFonts w:eastAsia="Guttman Hodes"/>
          <w:cs/>
        </w:rPr>
        <w:t>‎</w:t>
      </w:r>
      <w:r w:rsidR="004D1C5B">
        <w:rPr>
          <w:rStyle w:val="af6"/>
          <w:rFonts w:eastAsia="Guttman Hodes"/>
          <w:rtl/>
        </w:rPr>
        <w:t>נז)</w:t>
      </w:r>
      <w:r w:rsidRPr="00E7113C">
        <w:rPr>
          <w:rStyle w:val="af6"/>
          <w:rFonts w:eastAsia="Guttman Hodes"/>
          <w:highlight w:val="yellow"/>
          <w:rtl/>
        </w:rPr>
        <w:fldChar w:fldCharType="end"/>
      </w:r>
      <w:r>
        <w:rPr>
          <w:rFonts w:hint="cs"/>
          <w:rtl/>
        </w:rPr>
        <w:t xml:space="preserve">,ופליג על הרשב"א </w:t>
      </w:r>
      <w:r w:rsidRPr="00E7113C">
        <w:rPr>
          <w:rStyle w:val="af6"/>
          <w:rFonts w:eastAsia="Guttman Hodes" w:hint="cs"/>
          <w:rtl/>
        </w:rPr>
        <w:t xml:space="preserve">(עי' אות </w:t>
      </w:r>
      <w:r w:rsidRPr="00E7113C">
        <w:rPr>
          <w:rStyle w:val="af6"/>
          <w:rFonts w:eastAsia="Guttman Hodes"/>
          <w:rtl/>
        </w:rPr>
        <w:fldChar w:fldCharType="begin"/>
      </w:r>
      <w:r w:rsidRPr="00E7113C">
        <w:rPr>
          <w:rStyle w:val="af6"/>
          <w:rFonts w:eastAsia="Guttman Hodes"/>
          <w:rtl/>
        </w:rPr>
        <w:instrText xml:space="preserve"> </w:instrText>
      </w:r>
      <w:r w:rsidRPr="00E7113C">
        <w:rPr>
          <w:rStyle w:val="af6"/>
          <w:rFonts w:eastAsia="Guttman Hodes" w:hint="cs"/>
        </w:rPr>
        <w:instrText>REF</w:instrText>
      </w:r>
      <w:r w:rsidRPr="00E7113C">
        <w:rPr>
          <w:rStyle w:val="af6"/>
          <w:rFonts w:eastAsia="Guttman Hodes" w:hint="cs"/>
          <w:rtl/>
        </w:rPr>
        <w:instrText xml:space="preserve"> _</w:instrText>
      </w:r>
      <w:r w:rsidRPr="00E7113C">
        <w:rPr>
          <w:rStyle w:val="af6"/>
          <w:rFonts w:eastAsia="Guttman Hodes" w:hint="cs"/>
        </w:rPr>
        <w:instrText>Ref14257575 \r \h</w:instrText>
      </w:r>
      <w:r w:rsidRPr="00E7113C">
        <w:rPr>
          <w:rStyle w:val="af6"/>
          <w:rFonts w:eastAsia="Guttman Hodes"/>
          <w:rtl/>
        </w:rPr>
        <w:instrText xml:space="preserve"> </w:instrText>
      </w:r>
      <w:r w:rsidRPr="00E7113C">
        <w:rPr>
          <w:rStyle w:val="af6"/>
          <w:rFonts w:eastAsia="Guttman Hodes"/>
          <w:rtl/>
        </w:rPr>
      </w:r>
      <w:r w:rsidRPr="00E7113C">
        <w:rPr>
          <w:rStyle w:val="af6"/>
          <w:rFonts w:eastAsia="Guttman Hodes"/>
          <w:rtl/>
        </w:rPr>
        <w:fldChar w:fldCharType="separate"/>
      </w:r>
      <w:r w:rsidR="004D1C5B">
        <w:rPr>
          <w:rStyle w:val="af6"/>
          <w:rFonts w:eastAsia="Guttman Hodes"/>
          <w:cs/>
        </w:rPr>
        <w:t>‎</w:t>
      </w:r>
      <w:r w:rsidR="004D1C5B">
        <w:rPr>
          <w:rStyle w:val="af6"/>
          <w:rFonts w:eastAsia="Guttman Hodes"/>
          <w:rtl/>
        </w:rPr>
        <w:t>מה)</w:t>
      </w:r>
      <w:r w:rsidRPr="00E7113C">
        <w:rPr>
          <w:rStyle w:val="af6"/>
          <w:rFonts w:eastAsia="Guttman Hodes"/>
          <w:rtl/>
        </w:rPr>
        <w:fldChar w:fldCharType="end"/>
      </w:r>
      <w:r>
        <w:rPr>
          <w:rFonts w:hint="cs"/>
          <w:rtl/>
        </w:rPr>
        <w:t xml:space="preserve">. </w:t>
      </w:r>
      <w:r w:rsidRPr="002838F8">
        <w:rPr>
          <w:rStyle w:val="afa"/>
          <w:rFonts w:hint="cs"/>
          <w:rtl/>
        </w:rPr>
        <w:t>[אמנם צ"ב ד</w:t>
      </w:r>
      <w:r>
        <w:rPr>
          <w:rStyle w:val="afa"/>
          <w:rFonts w:hint="cs"/>
          <w:rtl/>
        </w:rPr>
        <w:t xml:space="preserve">מהמשך </w:t>
      </w:r>
      <w:r w:rsidRPr="002838F8">
        <w:rPr>
          <w:rStyle w:val="afa"/>
          <w:rFonts w:hint="cs"/>
          <w:rtl/>
        </w:rPr>
        <w:t xml:space="preserve">דברי </w:t>
      </w:r>
      <w:r w:rsidRPr="002838F8">
        <w:rPr>
          <w:rStyle w:val="affa"/>
          <w:rFonts w:hint="cs"/>
          <w:rtl/>
        </w:rPr>
        <w:t>הגר"א</w:t>
      </w:r>
      <w:r w:rsidRPr="002838F8">
        <w:rPr>
          <w:rStyle w:val="afa"/>
          <w:rFonts w:hint="cs"/>
          <w:rtl/>
        </w:rPr>
        <w:t xml:space="preserve"> </w:t>
      </w:r>
      <w:r w:rsidRPr="002838F8">
        <w:rPr>
          <w:rStyle w:val="aff6"/>
          <w:rFonts w:hint="cs"/>
          <w:rtl/>
        </w:rPr>
        <w:t>(סי' צ"ח סק"י)</w:t>
      </w:r>
      <w:r w:rsidRPr="002838F8">
        <w:rPr>
          <w:rStyle w:val="afa"/>
          <w:rFonts w:hint="cs"/>
          <w:rtl/>
        </w:rPr>
        <w:t xml:space="preserve"> משמע דאף </w:t>
      </w:r>
      <w:r w:rsidRPr="002838F8">
        <w:rPr>
          <w:rStyle w:val="affa"/>
          <w:rFonts w:hint="cs"/>
          <w:rtl/>
        </w:rPr>
        <w:t>להרא"ש</w:t>
      </w:r>
      <w:r w:rsidRPr="002838F8">
        <w:rPr>
          <w:rStyle w:val="afa"/>
          <w:rFonts w:hint="cs"/>
          <w:rtl/>
        </w:rPr>
        <w:t xml:space="preserve"> בדעת </w:t>
      </w:r>
      <w:r w:rsidRPr="002838F8">
        <w:rPr>
          <w:rStyle w:val="affa"/>
          <w:rFonts w:hint="cs"/>
          <w:rtl/>
        </w:rPr>
        <w:t>רבינו חיים</w:t>
      </w:r>
      <w:r w:rsidRPr="002838F8">
        <w:rPr>
          <w:rStyle w:val="afa"/>
          <w:rFonts w:hint="cs"/>
          <w:rtl/>
        </w:rPr>
        <w:t xml:space="preserve"> פחות מכזית בכא"פ אסור מדאו', אך אין לוקין עליו].</w:t>
      </w:r>
      <w:bookmarkEnd w:id="6933"/>
    </w:p>
    <w:p w:rsidR="00F34A57" w:rsidRPr="00B13FDE" w:rsidRDefault="00F34A57" w:rsidP="00F34A57">
      <w:pPr>
        <w:pStyle w:val="a2"/>
      </w:pPr>
      <w:bookmarkStart w:id="6934" w:name="_Toc14196272"/>
      <w:bookmarkStart w:id="6935" w:name="_Toc14208834"/>
      <w:bookmarkStart w:id="6936" w:name="_Toc14248927"/>
      <w:bookmarkStart w:id="6937" w:name="_Toc14257433"/>
      <w:r>
        <w:rPr>
          <w:rFonts w:hint="cs"/>
          <w:rtl/>
        </w:rPr>
        <w:t>דברי הגר"א דמדכתב הרא"ש את דין נשפך הרוטב לדעת ר"ת משמע דלרבינו חיים אינו מדאו'</w:t>
      </w:r>
      <w:bookmarkEnd w:id="6934"/>
      <w:bookmarkEnd w:id="6935"/>
      <w:bookmarkEnd w:id="6936"/>
      <w:bookmarkEnd w:id="6937"/>
    </w:p>
    <w:p w:rsidR="00F34A57" w:rsidRPr="00B13FDE" w:rsidRDefault="00F34A57" w:rsidP="009F44AF">
      <w:pPr>
        <w:pStyle w:val="a"/>
        <w:rPr>
          <w:rStyle w:val="afa"/>
        </w:rPr>
      </w:pPr>
      <w:r>
        <w:rPr>
          <w:rFonts w:hint="cs"/>
          <w:rtl/>
        </w:rPr>
        <w:t xml:space="preserve">וכתב </w:t>
      </w:r>
      <w:r w:rsidRPr="00696700">
        <w:rPr>
          <w:rStyle w:val="af8"/>
          <w:rFonts w:hint="cs"/>
          <w:rtl/>
        </w:rPr>
        <w:t>הגר"א</w:t>
      </w:r>
      <w:r>
        <w:rPr>
          <w:rFonts w:hint="cs"/>
          <w:rtl/>
        </w:rPr>
        <w:t xml:space="preserve"> </w:t>
      </w:r>
      <w:r w:rsidRPr="00B13FDE">
        <w:rPr>
          <w:rStyle w:val="af6"/>
          <w:rFonts w:eastAsia="Guttman Hodes" w:hint="cs"/>
          <w:rtl/>
        </w:rPr>
        <w:t>(סי' צ"ח סק"ח, או"ח סי' תנ"ג סק"ט)</w:t>
      </w:r>
      <w:r>
        <w:rPr>
          <w:rFonts w:hint="cs"/>
          <w:rtl/>
        </w:rPr>
        <w:t xml:space="preserve"> דכן </w:t>
      </w:r>
      <w:r w:rsidRPr="00C91E82">
        <w:rPr>
          <w:rFonts w:hint="cs"/>
          <w:rtl/>
        </w:rPr>
        <w:t xml:space="preserve">מבואר מהא דכתב </w:t>
      </w:r>
      <w:r w:rsidRPr="00696700">
        <w:rPr>
          <w:rStyle w:val="af8"/>
          <w:rFonts w:hint="cs"/>
          <w:rtl/>
        </w:rPr>
        <w:t>הרא"ש</w:t>
      </w:r>
      <w:r w:rsidRPr="00C91E82">
        <w:rPr>
          <w:rFonts w:hint="cs"/>
          <w:rtl/>
        </w:rPr>
        <w:t xml:space="preserve"> </w:t>
      </w:r>
      <w:r w:rsidRPr="00B13FDE">
        <w:rPr>
          <w:rStyle w:val="af6"/>
          <w:rFonts w:eastAsia="Guttman Hodes" w:hint="cs"/>
          <w:rtl/>
        </w:rPr>
        <w:t xml:space="preserve">(עי' אות </w:t>
      </w:r>
      <w:r w:rsidRPr="00B13FDE">
        <w:rPr>
          <w:rStyle w:val="af6"/>
          <w:rFonts w:eastAsia="Guttman Hodes"/>
          <w:rtl/>
        </w:rPr>
        <w:fldChar w:fldCharType="begin"/>
      </w:r>
      <w:r w:rsidRPr="00B13FDE">
        <w:rPr>
          <w:rStyle w:val="af6"/>
          <w:rFonts w:eastAsia="Guttman Hodes"/>
          <w:rtl/>
        </w:rPr>
        <w:instrText xml:space="preserve"> </w:instrText>
      </w:r>
      <w:r w:rsidRPr="00B13FDE">
        <w:rPr>
          <w:rStyle w:val="af6"/>
          <w:rFonts w:eastAsia="Guttman Hodes" w:hint="cs"/>
        </w:rPr>
        <w:instrText>REF</w:instrText>
      </w:r>
      <w:r w:rsidRPr="00B13FDE">
        <w:rPr>
          <w:rStyle w:val="af6"/>
          <w:rFonts w:eastAsia="Guttman Hodes" w:hint="cs"/>
          <w:rtl/>
        </w:rPr>
        <w:instrText xml:space="preserve"> _</w:instrText>
      </w:r>
      <w:r w:rsidRPr="00B13FDE">
        <w:rPr>
          <w:rStyle w:val="af6"/>
          <w:rFonts w:eastAsia="Guttman Hodes" w:hint="cs"/>
        </w:rPr>
        <w:instrText>Ref13759399 \r \h</w:instrText>
      </w:r>
      <w:r w:rsidRPr="00B13FDE">
        <w:rPr>
          <w:rStyle w:val="af6"/>
          <w:rFonts w:eastAsia="Guttman Hodes"/>
          <w:rtl/>
        </w:rPr>
        <w:instrText xml:space="preserve">  \* </w:instrText>
      </w:r>
      <w:r w:rsidRPr="00B13FDE">
        <w:rPr>
          <w:rStyle w:val="af6"/>
          <w:rFonts w:eastAsia="Guttman Hodes"/>
        </w:rPr>
        <w:instrText>MERGEFORMAT</w:instrText>
      </w:r>
      <w:r w:rsidRPr="00B13FDE">
        <w:rPr>
          <w:rStyle w:val="af6"/>
          <w:rFonts w:eastAsia="Guttman Hodes"/>
          <w:rtl/>
        </w:rPr>
        <w:instrText xml:space="preserve"> </w:instrText>
      </w:r>
      <w:r w:rsidRPr="00B13FDE">
        <w:rPr>
          <w:rStyle w:val="af6"/>
          <w:rFonts w:eastAsia="Guttman Hodes"/>
          <w:rtl/>
        </w:rPr>
      </w:r>
      <w:r w:rsidRPr="00B13FDE">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B13FDE">
        <w:rPr>
          <w:rStyle w:val="af6"/>
          <w:rFonts w:eastAsia="Guttman Hodes"/>
          <w:rtl/>
        </w:rPr>
        <w:fldChar w:fldCharType="end"/>
      </w:r>
      <w:r w:rsidRPr="00C91E82">
        <w:rPr>
          <w:rFonts w:hint="cs"/>
          <w:rtl/>
        </w:rPr>
        <w:t xml:space="preserve"> דלדעת </w:t>
      </w:r>
      <w:r w:rsidRPr="00696700">
        <w:rPr>
          <w:rStyle w:val="af8"/>
          <w:rFonts w:hint="cs"/>
          <w:rtl/>
        </w:rPr>
        <w:t>ר"ת</w:t>
      </w:r>
      <w:r w:rsidRPr="00C91E82">
        <w:rPr>
          <w:rFonts w:hint="cs"/>
          <w:rtl/>
        </w:rPr>
        <w:t xml:space="preserve">  </w:t>
      </w:r>
      <w:r>
        <w:rPr>
          <w:rFonts w:hint="cs"/>
          <w:rtl/>
        </w:rPr>
        <w:t>במקום שנשפך הרוטב ולא ידוע אם היה שישים הוא ספק דאו'</w:t>
      </w:r>
      <w:r w:rsidRPr="00C91E82">
        <w:rPr>
          <w:rFonts w:hint="cs"/>
          <w:rtl/>
        </w:rPr>
        <w:t>, ולא כתב כן</w:t>
      </w:r>
      <w:r w:rsidRPr="00696700">
        <w:rPr>
          <w:rStyle w:val="af8"/>
          <w:rFonts w:hint="cs"/>
          <w:rtl/>
        </w:rPr>
        <w:t xml:space="preserve"> הרא"ש</w:t>
      </w:r>
      <w:r w:rsidRPr="00C91E82">
        <w:rPr>
          <w:rFonts w:hint="cs"/>
          <w:rtl/>
        </w:rPr>
        <w:t xml:space="preserve"> בדעת </w:t>
      </w:r>
      <w:r w:rsidRPr="00696700">
        <w:rPr>
          <w:rStyle w:val="af8"/>
          <w:rFonts w:hint="cs"/>
          <w:rtl/>
        </w:rPr>
        <w:t>רבינו חיים</w:t>
      </w:r>
      <w:r w:rsidRPr="00C91E82">
        <w:rPr>
          <w:rFonts w:hint="cs"/>
          <w:rtl/>
        </w:rPr>
        <w:t>, ומשמע ד</w:t>
      </w:r>
      <w:r>
        <w:rPr>
          <w:rFonts w:hint="cs"/>
          <w:rtl/>
        </w:rPr>
        <w:t xml:space="preserve">רק </w:t>
      </w:r>
      <w:r w:rsidRPr="00C91E82">
        <w:rPr>
          <w:rFonts w:hint="cs"/>
          <w:rtl/>
        </w:rPr>
        <w:t xml:space="preserve">לדעת </w:t>
      </w:r>
      <w:r w:rsidRPr="00696700">
        <w:rPr>
          <w:rStyle w:val="af8"/>
          <w:rFonts w:hint="cs"/>
          <w:rtl/>
        </w:rPr>
        <w:t>ר"ת</w:t>
      </w:r>
      <w:r w:rsidRPr="00C91E82">
        <w:rPr>
          <w:rFonts w:hint="cs"/>
          <w:rtl/>
        </w:rPr>
        <w:t xml:space="preserve"> </w:t>
      </w:r>
      <w:r>
        <w:rPr>
          <w:rFonts w:hint="cs"/>
          <w:rtl/>
        </w:rPr>
        <w:t>בפחות מכזית בכדי אכילת פרס יש איסור דאו', אבל לדעת רבינו חיים אינו אסור מדאו'.</w:t>
      </w:r>
    </w:p>
    <w:p w:rsidR="00F34A57" w:rsidRPr="005419A0" w:rsidRDefault="00F34A57" w:rsidP="00F34A57">
      <w:pPr>
        <w:pStyle w:val="a2"/>
        <w:rPr>
          <w:rtl/>
        </w:rPr>
      </w:pPr>
      <w:bookmarkStart w:id="6938" w:name="_Toc14196273"/>
      <w:bookmarkStart w:id="6939" w:name="_Toc14208835"/>
      <w:bookmarkStart w:id="6940" w:name="_Toc14248928"/>
      <w:bookmarkStart w:id="6941" w:name="_Toc14257434"/>
      <w:r>
        <w:rPr>
          <w:rFonts w:hint="cs"/>
          <w:rtl/>
        </w:rPr>
        <w:t>ביאור הנחל"ד ברא"ש דלא אסרה תורה את הטעם עצמו וכל שאין נהפך מסתבר דמותר מדאו'</w:t>
      </w:r>
      <w:bookmarkEnd w:id="6938"/>
      <w:bookmarkEnd w:id="6939"/>
      <w:bookmarkEnd w:id="6940"/>
      <w:bookmarkEnd w:id="6941"/>
    </w:p>
    <w:p w:rsidR="00F34A57" w:rsidRDefault="00F34A57" w:rsidP="009F44AF">
      <w:pPr>
        <w:pStyle w:val="a"/>
        <w:rPr>
          <w:rtl/>
        </w:rPr>
      </w:pPr>
      <w:r>
        <w:rPr>
          <w:rFonts w:hint="cs"/>
          <w:rtl/>
        </w:rPr>
        <w:t xml:space="preserve">וכ"כ </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 ד"ה אך באמת)</w:t>
      </w:r>
      <w:r>
        <w:rPr>
          <w:rFonts w:hint="cs"/>
          <w:rtl/>
        </w:rPr>
        <w:t xml:space="preserve"> דמשמע בדברי </w:t>
      </w:r>
      <w:r w:rsidRPr="00B4539D">
        <w:rPr>
          <w:rStyle w:val="af8"/>
          <w:rFonts w:hint="cs"/>
          <w:rtl/>
        </w:rPr>
        <w:t>רבינו חיים</w:t>
      </w:r>
      <w:r>
        <w:rPr>
          <w:rFonts w:hint="cs"/>
          <w:rtl/>
        </w:rPr>
        <w:t xml:space="preserve">, דבפחות מכזית בכדי אכילת פרס אין איסור דאו', עיי"ש בדבריו באריכות, וביאר </w:t>
      </w:r>
      <w:r>
        <w:rPr>
          <w:rStyle w:val="af8"/>
          <w:rtl/>
        </w:rPr>
        <w:t>הנחל"ד</w:t>
      </w:r>
      <w:r>
        <w:rPr>
          <w:rtl/>
        </w:rPr>
        <w:t xml:space="preserve"> </w:t>
      </w:r>
      <w:r>
        <w:rPr>
          <w:rStyle w:val="af6"/>
          <w:rFonts w:eastAsia="Guttman Hodes" w:hint="cs"/>
          <w:rtl/>
        </w:rPr>
        <w:t xml:space="preserve">(פסחים מג:, קונ' דברי דוד [מהדו' חד' עמ' ק"מ] ד"ה לכן נראה לענ"ד) </w:t>
      </w:r>
      <w:r>
        <w:rPr>
          <w:rFonts w:hint="cs"/>
          <w:rtl/>
        </w:rPr>
        <w:t xml:space="preserve">דלדעת </w:t>
      </w:r>
      <w:r w:rsidRPr="00630124">
        <w:rPr>
          <w:rStyle w:val="af8"/>
          <w:rFonts w:hint="cs"/>
          <w:rtl/>
        </w:rPr>
        <w:t>רבינו חיים</w:t>
      </w:r>
      <w:r>
        <w:rPr>
          <w:rFonts w:hint="cs"/>
          <w:rtl/>
        </w:rPr>
        <w:t xml:space="preserve"> בפחות מכזית בכדי אכילת פרס אסור רק מדרבנן, וכוונת </w:t>
      </w:r>
      <w:r w:rsidRPr="00630124">
        <w:rPr>
          <w:rStyle w:val="af8"/>
          <w:rFonts w:hint="cs"/>
          <w:rtl/>
        </w:rPr>
        <w:t>הרא"ש</w:t>
      </w:r>
      <w:r>
        <w:rPr>
          <w:rFonts w:hint="cs"/>
          <w:rtl/>
        </w:rPr>
        <w:t xml:space="preserve"> </w:t>
      </w:r>
      <w:r w:rsidRPr="00742EED">
        <w:rPr>
          <w:rStyle w:val="af6"/>
          <w:rFonts w:eastAsia="Guttman Hodes" w:hint="cs"/>
          <w:rtl/>
        </w:rPr>
        <w:t xml:space="preserve">(עי' אות </w:t>
      </w:r>
      <w:r w:rsidRPr="00742EED">
        <w:rPr>
          <w:rStyle w:val="af6"/>
          <w:rFonts w:eastAsia="Guttman Hodes"/>
          <w:rtl/>
        </w:rPr>
        <w:fldChar w:fldCharType="begin"/>
      </w:r>
      <w:r w:rsidRPr="00742EED">
        <w:rPr>
          <w:rStyle w:val="af6"/>
          <w:rFonts w:eastAsia="Guttman Hodes"/>
          <w:rtl/>
        </w:rPr>
        <w:instrText xml:space="preserve"> </w:instrText>
      </w:r>
      <w:r w:rsidRPr="00742EED">
        <w:rPr>
          <w:rStyle w:val="af6"/>
          <w:rFonts w:eastAsia="Guttman Hodes" w:hint="cs"/>
        </w:rPr>
        <w:instrText>REF</w:instrText>
      </w:r>
      <w:r w:rsidRPr="00742EED">
        <w:rPr>
          <w:rStyle w:val="af6"/>
          <w:rFonts w:eastAsia="Guttman Hodes" w:hint="cs"/>
          <w:rtl/>
        </w:rPr>
        <w:instrText xml:space="preserve"> _</w:instrText>
      </w:r>
      <w:r w:rsidRPr="00742EED">
        <w:rPr>
          <w:rStyle w:val="af6"/>
          <w:rFonts w:eastAsia="Guttman Hodes" w:hint="cs"/>
        </w:rPr>
        <w:instrText>Ref14163494 \r \h</w:instrText>
      </w:r>
      <w:r w:rsidRPr="00742EED">
        <w:rPr>
          <w:rStyle w:val="af6"/>
          <w:rFonts w:eastAsia="Guttman Hodes"/>
          <w:rtl/>
        </w:rPr>
        <w:instrText xml:space="preserve"> </w:instrText>
      </w:r>
      <w:r w:rsidRPr="00742EED">
        <w:rPr>
          <w:rStyle w:val="af6"/>
          <w:rFonts w:eastAsia="Guttman Hodes"/>
          <w:rtl/>
        </w:rPr>
      </w:r>
      <w:r w:rsidRPr="00742EED">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742EED">
        <w:rPr>
          <w:rStyle w:val="af6"/>
          <w:rFonts w:eastAsia="Guttman Hodes"/>
          <w:rtl/>
        </w:rPr>
        <w:fldChar w:fldCharType="end"/>
      </w:r>
      <w:r>
        <w:rPr>
          <w:rFonts w:hint="cs"/>
          <w:rtl/>
        </w:rPr>
        <w:t xml:space="preserve"> לומר דלא מסתבר דהקפידה תורה לאסור את הטעם, אלא מוכח דכל מה שאסרה תורה טעם כעיקר, הוא רק במקום שע"י הטעם נהפך ההיתר לאיסור, ובזה ביאר ריו"ח דהוא דוקא כשיש כזית בכדי אכילת פרס, ועיי"ש במ"ש בזה </w:t>
      </w:r>
      <w:r w:rsidRPr="00630124">
        <w:rPr>
          <w:rStyle w:val="af8"/>
          <w:rFonts w:hint="cs"/>
          <w:rtl/>
        </w:rPr>
        <w:t>הנחל"ד</w:t>
      </w:r>
      <w:r>
        <w:rPr>
          <w:rFonts w:hint="cs"/>
          <w:rtl/>
        </w:rPr>
        <w:t>.</w:t>
      </w:r>
    </w:p>
    <w:p w:rsidR="00F34A57" w:rsidRDefault="00F34A57" w:rsidP="00F34A57">
      <w:pPr>
        <w:pStyle w:val="1"/>
        <w:rPr>
          <w:rtl/>
        </w:rPr>
      </w:pPr>
      <w:bookmarkStart w:id="6942" w:name="_Toc14196274"/>
      <w:bookmarkStart w:id="6943" w:name="_Toc14208836"/>
      <w:bookmarkStart w:id="6944" w:name="_Toc14248929"/>
      <w:bookmarkStart w:id="6945" w:name="_Toc14257435"/>
      <w:r>
        <w:rPr>
          <w:rFonts w:hint="cs"/>
          <w:rtl/>
        </w:rPr>
        <w:t>דברי הרשב"א בשם ר"י דבפחות מכא"פ אסור כחצי שיעור</w:t>
      </w:r>
      <w:bookmarkEnd w:id="6942"/>
      <w:bookmarkEnd w:id="6943"/>
      <w:bookmarkEnd w:id="6944"/>
      <w:bookmarkEnd w:id="6945"/>
    </w:p>
    <w:p w:rsidR="00F34A57" w:rsidRPr="00CC57AA" w:rsidRDefault="00F34A57" w:rsidP="00F34A57">
      <w:pPr>
        <w:pStyle w:val="a2"/>
      </w:pPr>
      <w:bookmarkStart w:id="6946" w:name="_Toc14196275"/>
      <w:bookmarkStart w:id="6947" w:name="_Toc14208837"/>
      <w:bookmarkStart w:id="6948" w:name="_Toc14248930"/>
      <w:bookmarkStart w:id="6949" w:name="_Toc14257436"/>
      <w:r w:rsidRPr="00CC57AA">
        <w:rPr>
          <w:rFonts w:hint="cs"/>
          <w:rtl/>
        </w:rPr>
        <w:t>דברי הרשב"א בשם ר"י דבפחות מכזית בכא"פ</w:t>
      </w:r>
      <w:r>
        <w:rPr>
          <w:rFonts w:hint="cs"/>
          <w:rtl/>
        </w:rPr>
        <w:t xml:space="preserve"> אין מלקות ו</w:t>
      </w:r>
      <w:r w:rsidRPr="00CC57AA">
        <w:rPr>
          <w:rFonts w:hint="cs"/>
          <w:rtl/>
        </w:rPr>
        <w:t>אסור מדאו' מדין חצי שיעור</w:t>
      </w:r>
      <w:bookmarkEnd w:id="6898"/>
      <w:bookmarkEnd w:id="6899"/>
      <w:bookmarkEnd w:id="6900"/>
      <w:bookmarkEnd w:id="6901"/>
      <w:bookmarkEnd w:id="6902"/>
      <w:bookmarkEnd w:id="6908"/>
      <w:bookmarkEnd w:id="6946"/>
      <w:bookmarkEnd w:id="6947"/>
      <w:bookmarkEnd w:id="6948"/>
      <w:bookmarkEnd w:id="6949"/>
    </w:p>
    <w:p w:rsidR="00AB5ACD" w:rsidRDefault="00F34A57" w:rsidP="009F44AF">
      <w:pPr>
        <w:pStyle w:val="a"/>
        <w:rPr>
          <w:rtl/>
        </w:rPr>
      </w:pPr>
      <w:bookmarkStart w:id="6950" w:name="_Ref14257575"/>
      <w:r>
        <w:rPr>
          <w:rFonts w:hint="cs"/>
          <w:rtl/>
        </w:rPr>
        <w:t>אבל</w:t>
      </w:r>
      <w:r w:rsidRPr="00CC57AA">
        <w:rPr>
          <w:rFonts w:hint="cs"/>
          <w:rtl/>
        </w:rPr>
        <w:t xml:space="preserve"> </w:t>
      </w:r>
      <w:r w:rsidRPr="00CC57AA">
        <w:rPr>
          <w:rStyle w:val="af8"/>
          <w:rFonts w:hint="cs"/>
          <w:rtl/>
        </w:rPr>
        <w:t>הרשב"א בחי'</w:t>
      </w:r>
      <w:r w:rsidRPr="00CC57AA">
        <w:rPr>
          <w:rFonts w:hint="cs"/>
          <w:rtl/>
        </w:rPr>
        <w:t xml:space="preserve"> </w:t>
      </w:r>
      <w:r w:rsidRPr="00CC57AA">
        <w:rPr>
          <w:rStyle w:val="af6"/>
          <w:rFonts w:eastAsia="Guttman Hodes" w:hint="cs"/>
          <w:rtl/>
        </w:rPr>
        <w:t>(ד"ה ור"י)</w:t>
      </w:r>
      <w:r w:rsidRPr="00CC57AA">
        <w:rPr>
          <w:rFonts w:hint="cs"/>
          <w:rtl/>
        </w:rPr>
        <w:t xml:space="preserve"> </w:t>
      </w:r>
      <w:r w:rsidRPr="00CC57AA">
        <w:rPr>
          <w:rStyle w:val="af8"/>
          <w:rFonts w:hint="cs"/>
          <w:rtl/>
        </w:rPr>
        <w:t>ובתוה"ב</w:t>
      </w:r>
      <w:r w:rsidRPr="00CC57AA">
        <w:rPr>
          <w:rFonts w:hint="cs"/>
          <w:rtl/>
        </w:rPr>
        <w:t xml:space="preserve"> </w:t>
      </w:r>
      <w:r w:rsidRPr="00CC57AA">
        <w:rPr>
          <w:rStyle w:val="af6"/>
          <w:rFonts w:eastAsia="Guttman Hodes" w:hint="cs"/>
          <w:rtl/>
        </w:rPr>
        <w:t>(ב"ד ש"א יא. מדה"ס)</w:t>
      </w:r>
      <w:r w:rsidRPr="00CC57AA">
        <w:rPr>
          <w:rFonts w:hint="cs"/>
          <w:rtl/>
        </w:rPr>
        <w:t xml:space="preserve"> </w:t>
      </w:r>
      <w:r>
        <w:rPr>
          <w:rFonts w:hint="cs"/>
          <w:rtl/>
        </w:rPr>
        <w:t xml:space="preserve">כתב </w:t>
      </w:r>
      <w:r w:rsidRPr="00CC57AA">
        <w:rPr>
          <w:rFonts w:hint="cs"/>
          <w:rtl/>
        </w:rPr>
        <w:t xml:space="preserve">בשם </w:t>
      </w:r>
      <w:r w:rsidRPr="00CC57AA">
        <w:rPr>
          <w:rStyle w:val="af8"/>
          <w:rFonts w:hint="cs"/>
          <w:rtl/>
        </w:rPr>
        <w:t>ר"י</w:t>
      </w:r>
      <w:r w:rsidRPr="00CC57AA">
        <w:rPr>
          <w:rFonts w:hint="cs"/>
          <w:rtl/>
        </w:rPr>
        <w:t xml:space="preserve"> </w:t>
      </w:r>
      <w:r>
        <w:rPr>
          <w:rFonts w:hint="cs"/>
          <w:rtl/>
        </w:rPr>
        <w:t xml:space="preserve">כביאור </w:t>
      </w:r>
      <w:r w:rsidRPr="007C7B1D">
        <w:rPr>
          <w:rStyle w:val="af8"/>
          <w:rFonts w:hint="cs"/>
          <w:rtl/>
        </w:rPr>
        <w:t>רבינו חיים</w:t>
      </w:r>
      <w:r>
        <w:rPr>
          <w:rFonts w:hint="cs"/>
          <w:rtl/>
        </w:rPr>
        <w:t xml:space="preserve">, דטעמו וממשו הוא רק בכזית בכדי אכילת פרס, ובפחות מכזית בכדי אכילת פרס אין מלקות, אך הוסיף </w:t>
      </w:r>
      <w:r w:rsidRPr="007C7B1D">
        <w:rPr>
          <w:rStyle w:val="af8"/>
          <w:rFonts w:hint="cs"/>
          <w:rtl/>
        </w:rPr>
        <w:t xml:space="preserve">הרשב"א </w:t>
      </w:r>
      <w:r>
        <w:rPr>
          <w:rFonts w:hint="cs"/>
          <w:rtl/>
        </w:rPr>
        <w:t xml:space="preserve">בשם </w:t>
      </w:r>
      <w:r w:rsidRPr="007C7B1D">
        <w:rPr>
          <w:rStyle w:val="af8"/>
          <w:rFonts w:hint="cs"/>
          <w:rtl/>
        </w:rPr>
        <w:t xml:space="preserve">ר"י </w:t>
      </w:r>
      <w:r w:rsidRPr="00CC57AA">
        <w:rPr>
          <w:rFonts w:hint="cs"/>
          <w:rtl/>
        </w:rPr>
        <w:t>דאף דאין לוקין על פחות מכזית בכדי אכילת פרס, מ"מ יש בו איסור דאו' מדין חצי שיעור.</w:t>
      </w:r>
      <w:bookmarkEnd w:id="6950"/>
    </w:p>
    <w:p w:rsidR="00F34A57" w:rsidRPr="00F60FC2" w:rsidRDefault="00F34A57" w:rsidP="00F34A57">
      <w:pPr>
        <w:pStyle w:val="a2"/>
      </w:pPr>
      <w:bookmarkStart w:id="6951" w:name="_Toc14196276"/>
      <w:bookmarkStart w:id="6952" w:name="_Toc14208838"/>
      <w:bookmarkStart w:id="6953" w:name="_Toc14248931"/>
      <w:bookmarkStart w:id="6954" w:name="_Toc14257437"/>
      <w:r>
        <w:rPr>
          <w:rFonts w:hint="cs"/>
          <w:rtl/>
        </w:rPr>
        <w:t>דברי הגר"א דלהרשב"א והראב"ד פחות מכזית בכא"פ אסור מדאו' ולהרא"ש והרמב"ן מדרבנן</w:t>
      </w:r>
      <w:bookmarkEnd w:id="6951"/>
      <w:bookmarkEnd w:id="6952"/>
      <w:bookmarkEnd w:id="6953"/>
      <w:bookmarkEnd w:id="6954"/>
    </w:p>
    <w:p w:rsidR="00F34A57" w:rsidRDefault="00F34A57" w:rsidP="009F44AF">
      <w:pPr>
        <w:pStyle w:val="a"/>
        <w:rPr>
          <w:rtl/>
        </w:rPr>
      </w:pPr>
      <w:bookmarkStart w:id="6955" w:name="_Ref14194309"/>
      <w:r>
        <w:rPr>
          <w:rFonts w:hint="cs"/>
          <w:rtl/>
        </w:rPr>
        <w:t xml:space="preserve">וכתב </w:t>
      </w:r>
      <w:r w:rsidRPr="00CC7D10">
        <w:rPr>
          <w:rStyle w:val="af8"/>
          <w:rFonts w:hint="cs"/>
          <w:rtl/>
        </w:rPr>
        <w:t xml:space="preserve">הגר"א </w:t>
      </w:r>
      <w:r w:rsidRPr="00696700">
        <w:rPr>
          <w:rStyle w:val="af6"/>
          <w:rFonts w:eastAsia="Guttman Hodes" w:hint="cs"/>
          <w:rtl/>
        </w:rPr>
        <w:t>(</w:t>
      </w:r>
      <w:r w:rsidRPr="00696700">
        <w:rPr>
          <w:rStyle w:val="af6"/>
          <w:rFonts w:eastAsia="Guttman Hodes"/>
          <w:rtl/>
        </w:rPr>
        <w:t>סי' צ</w:t>
      </w:r>
      <w:r w:rsidRPr="00696700">
        <w:rPr>
          <w:rStyle w:val="af6"/>
          <w:rFonts w:eastAsia="Guttman Hodes" w:hint="cs"/>
          <w:rtl/>
        </w:rPr>
        <w:t>"</w:t>
      </w:r>
      <w:r w:rsidRPr="00696700">
        <w:rPr>
          <w:rStyle w:val="af6"/>
          <w:rFonts w:eastAsia="Guttman Hodes"/>
          <w:rtl/>
        </w:rPr>
        <w:t>ח סק</w:t>
      </w:r>
      <w:r w:rsidRPr="00696700">
        <w:rPr>
          <w:rStyle w:val="af6"/>
          <w:rFonts w:eastAsia="Guttman Hodes" w:hint="cs"/>
          <w:rtl/>
        </w:rPr>
        <w:t>"</w:t>
      </w:r>
      <w:r w:rsidRPr="00696700">
        <w:rPr>
          <w:rStyle w:val="af6"/>
          <w:rFonts w:eastAsia="Guttman Hodes"/>
          <w:rtl/>
        </w:rPr>
        <w:t>ח</w:t>
      </w:r>
      <w:r w:rsidRPr="00696700">
        <w:rPr>
          <w:rStyle w:val="af6"/>
          <w:rFonts w:eastAsia="Guttman Hodes" w:hint="cs"/>
          <w:rtl/>
        </w:rPr>
        <w:t xml:space="preserve">, או"ח סי' תנ"ג סק"ט) </w:t>
      </w:r>
      <w:r>
        <w:rPr>
          <w:rFonts w:hint="cs"/>
          <w:rtl/>
        </w:rPr>
        <w:t xml:space="preserve"> דדברי </w:t>
      </w:r>
      <w:r w:rsidRPr="00E51693">
        <w:rPr>
          <w:rStyle w:val="af8"/>
          <w:rFonts w:hint="cs"/>
          <w:rtl/>
        </w:rPr>
        <w:t>הרשב"א</w:t>
      </w:r>
      <w:r w:rsidRPr="00E51693">
        <w:rPr>
          <w:rFonts w:hint="cs"/>
          <w:rtl/>
        </w:rPr>
        <w:t xml:space="preserve"> </w:t>
      </w:r>
      <w:r w:rsidRPr="001F45F0">
        <w:rPr>
          <w:rStyle w:val="af6"/>
          <w:rFonts w:eastAsia="Guttman Hodes" w:hint="cs"/>
          <w:rtl/>
        </w:rPr>
        <w:t xml:space="preserve">(עי' אות </w:t>
      </w:r>
      <w:r w:rsidRPr="001F45F0">
        <w:rPr>
          <w:rStyle w:val="af6"/>
          <w:rFonts w:eastAsia="Guttman Hodes"/>
          <w:rtl/>
        </w:rPr>
        <w:fldChar w:fldCharType="begin"/>
      </w:r>
      <w:r w:rsidRPr="001F45F0">
        <w:rPr>
          <w:rStyle w:val="af6"/>
          <w:rFonts w:eastAsia="Guttman Hodes"/>
          <w:rtl/>
        </w:rPr>
        <w:instrText xml:space="preserve"> </w:instrText>
      </w:r>
      <w:r w:rsidRPr="001F45F0">
        <w:rPr>
          <w:rStyle w:val="af6"/>
          <w:rFonts w:eastAsia="Guttman Hodes" w:hint="cs"/>
        </w:rPr>
        <w:instrText>REF</w:instrText>
      </w:r>
      <w:r w:rsidRPr="001F45F0">
        <w:rPr>
          <w:rStyle w:val="af6"/>
          <w:rFonts w:eastAsia="Guttman Hodes" w:hint="cs"/>
          <w:rtl/>
        </w:rPr>
        <w:instrText xml:space="preserve"> _</w:instrText>
      </w:r>
      <w:r w:rsidRPr="001F45F0">
        <w:rPr>
          <w:rStyle w:val="af6"/>
          <w:rFonts w:eastAsia="Guttman Hodes" w:hint="cs"/>
        </w:rPr>
        <w:instrText>Ref13515528 \r \h</w:instrText>
      </w:r>
      <w:r w:rsidRPr="001F45F0">
        <w:rPr>
          <w:rStyle w:val="af6"/>
          <w:rFonts w:eastAsia="Guttman Hodes"/>
          <w:rtl/>
        </w:rPr>
        <w:instrText xml:space="preserve">  \* </w:instrText>
      </w:r>
      <w:r w:rsidRPr="001F45F0">
        <w:rPr>
          <w:rStyle w:val="af6"/>
          <w:rFonts w:eastAsia="Guttman Hodes"/>
        </w:rPr>
        <w:instrText>MERGEFORMAT</w:instrText>
      </w:r>
      <w:r w:rsidRPr="001F45F0">
        <w:rPr>
          <w:rStyle w:val="af6"/>
          <w:rFonts w:eastAsia="Guttman Hodes"/>
          <w:rtl/>
        </w:rPr>
        <w:instrText xml:space="preserve"> </w:instrText>
      </w:r>
      <w:r w:rsidRPr="001F45F0">
        <w:rPr>
          <w:rStyle w:val="af6"/>
          <w:rFonts w:eastAsia="Guttman Hodes"/>
          <w:rtl/>
        </w:rPr>
      </w:r>
      <w:r w:rsidRPr="001F45F0">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1F45F0">
        <w:rPr>
          <w:rStyle w:val="af6"/>
          <w:rFonts w:eastAsia="Guttman Hodes"/>
          <w:rtl/>
        </w:rPr>
        <w:fldChar w:fldCharType="end"/>
      </w:r>
      <w:r>
        <w:rPr>
          <w:rFonts w:hint="cs"/>
          <w:rtl/>
        </w:rPr>
        <w:t xml:space="preserve"> בשם </w:t>
      </w:r>
      <w:r w:rsidRPr="00E76F6F">
        <w:rPr>
          <w:rStyle w:val="af8"/>
          <w:rFonts w:hint="cs"/>
          <w:rtl/>
        </w:rPr>
        <w:t>ר"י</w:t>
      </w:r>
      <w:r>
        <w:rPr>
          <w:rFonts w:hint="cs"/>
          <w:rtl/>
        </w:rPr>
        <w:t xml:space="preserve"> דאסור מדאו' מדין חצי שיעור, היינו כדעת </w:t>
      </w:r>
      <w:r w:rsidRPr="001255F7">
        <w:rPr>
          <w:rStyle w:val="af8"/>
          <w:rFonts w:hint="cs"/>
          <w:rtl/>
        </w:rPr>
        <w:t>הראב"ד</w:t>
      </w:r>
      <w:r>
        <w:rPr>
          <w:rFonts w:hint="cs"/>
          <w:rtl/>
        </w:rPr>
        <w:t xml:space="preserve"> </w:t>
      </w:r>
      <w:r w:rsidRPr="001255F7">
        <w:rPr>
          <w:rStyle w:val="af8"/>
          <w:rFonts w:hint="cs"/>
          <w:rtl/>
        </w:rPr>
        <w:t>והטור</w:t>
      </w:r>
      <w:r>
        <w:rPr>
          <w:rFonts w:hint="cs"/>
          <w:rtl/>
        </w:rPr>
        <w:t xml:space="preserve"> </w:t>
      </w:r>
      <w:r w:rsidRPr="00FF4A2D">
        <w:rPr>
          <w:rStyle w:val="af6"/>
          <w:rFonts w:eastAsia="Guttman Hodes" w:hint="cs"/>
          <w:rtl/>
        </w:rPr>
        <w:t>(עי'</w:t>
      </w:r>
      <w:r w:rsidRPr="00FF4A2D">
        <w:rPr>
          <w:rStyle w:val="af6"/>
          <w:rFonts w:eastAsia="Guttman Hodes"/>
          <w:rtl/>
        </w:rPr>
        <w:fldChar w:fldCharType="begin"/>
      </w:r>
      <w:r w:rsidRPr="00FF4A2D">
        <w:rPr>
          <w:rStyle w:val="af6"/>
          <w:rFonts w:eastAsia="Guttman Hodes"/>
          <w:rtl/>
        </w:rPr>
        <w:instrText xml:space="preserve"> </w:instrText>
      </w:r>
      <w:r w:rsidRPr="00FF4A2D">
        <w:rPr>
          <w:rStyle w:val="af6"/>
          <w:rFonts w:eastAsia="Guttman Hodes" w:hint="cs"/>
        </w:rPr>
        <w:instrText>REF</w:instrText>
      </w:r>
      <w:r w:rsidRPr="00FF4A2D">
        <w:rPr>
          <w:rStyle w:val="af6"/>
          <w:rFonts w:eastAsia="Guttman Hodes" w:hint="cs"/>
          <w:rtl/>
        </w:rPr>
        <w:instrText xml:space="preserve"> _</w:instrText>
      </w:r>
      <w:r w:rsidRPr="00FF4A2D">
        <w:rPr>
          <w:rStyle w:val="af6"/>
          <w:rFonts w:eastAsia="Guttman Hodes" w:hint="cs"/>
        </w:rPr>
        <w:instrText>Ref14250824 \r \h</w:instrText>
      </w:r>
      <w:r w:rsidRPr="00FF4A2D">
        <w:rPr>
          <w:rStyle w:val="af6"/>
          <w:rFonts w:eastAsia="Guttman Hodes"/>
          <w:rtl/>
        </w:rPr>
        <w:instrText xml:space="preserve"> </w:instrText>
      </w:r>
      <w:r w:rsidRPr="00FF4A2D">
        <w:rPr>
          <w:rStyle w:val="af6"/>
          <w:rFonts w:eastAsia="Guttman Hodes"/>
          <w:rtl/>
        </w:rPr>
      </w:r>
      <w:r w:rsidRPr="00FF4A2D">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FF4A2D">
        <w:rPr>
          <w:rStyle w:val="af6"/>
          <w:rFonts w:eastAsia="Guttman Hodes"/>
          <w:rtl/>
        </w:rPr>
        <w:fldChar w:fldCharType="end"/>
      </w:r>
      <w:r w:rsidRPr="00FF4A2D">
        <w:rPr>
          <w:rStyle w:val="af6"/>
          <w:rFonts w:eastAsia="Guttman Hodes" w:hint="cs"/>
          <w:rtl/>
        </w:rPr>
        <w:t xml:space="preserve"> </w:t>
      </w:r>
      <w:r w:rsidRPr="002838F8">
        <w:rPr>
          <w:rStyle w:val="afa"/>
          <w:rFonts w:hint="cs"/>
          <w:rtl/>
        </w:rPr>
        <w:t xml:space="preserve">[לגי' </w:t>
      </w:r>
      <w:r w:rsidRPr="002838F8">
        <w:rPr>
          <w:rStyle w:val="affa"/>
          <w:rFonts w:hint="cs"/>
          <w:rtl/>
        </w:rPr>
        <w:t>הגר"א</w:t>
      </w:r>
      <w:r w:rsidRPr="002838F8">
        <w:rPr>
          <w:rStyle w:val="afa"/>
          <w:rFonts w:hint="cs"/>
          <w:rtl/>
        </w:rPr>
        <w:t xml:space="preserve"> </w:t>
      </w:r>
      <w:r w:rsidRPr="002838F8">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Ref14173965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כו)</w:t>
      </w:r>
      <w:r>
        <w:rPr>
          <w:rStyle w:val="aff6"/>
          <w:rtl/>
        </w:rPr>
        <w:fldChar w:fldCharType="end"/>
      </w:r>
      <w:r>
        <w:rPr>
          <w:rFonts w:hint="cs"/>
          <w:rtl/>
        </w:rPr>
        <w:t xml:space="preserve"> </w:t>
      </w:r>
      <w:r w:rsidRPr="002838F8">
        <w:rPr>
          <w:rStyle w:val="affa"/>
          <w:rFonts w:hint="cs"/>
          <w:rtl/>
        </w:rPr>
        <w:t>דהטור</w:t>
      </w:r>
      <w:r w:rsidRPr="002838F8">
        <w:rPr>
          <w:rStyle w:val="afa"/>
          <w:rFonts w:hint="cs"/>
          <w:rtl/>
        </w:rPr>
        <w:t xml:space="preserve"> כ"כ בשם </w:t>
      </w:r>
      <w:r w:rsidRPr="002838F8">
        <w:rPr>
          <w:rStyle w:val="affa"/>
          <w:rFonts w:hint="cs"/>
          <w:rtl/>
        </w:rPr>
        <w:t>רבינו חיים</w:t>
      </w:r>
      <w:r w:rsidRPr="002838F8">
        <w:rPr>
          <w:rStyle w:val="afa"/>
          <w:rFonts w:hint="cs"/>
          <w:rtl/>
        </w:rPr>
        <w:t>]</w:t>
      </w:r>
      <w:r>
        <w:rPr>
          <w:rFonts w:hint="cs"/>
          <w:rtl/>
        </w:rPr>
        <w:t xml:space="preserve">, ופליגי על </w:t>
      </w:r>
      <w:r w:rsidRPr="00150322">
        <w:rPr>
          <w:rStyle w:val="af8"/>
          <w:rFonts w:hint="cs"/>
          <w:rtl/>
        </w:rPr>
        <w:t>הרא"ש והרמב"ן</w:t>
      </w:r>
      <w:r>
        <w:rPr>
          <w:rFonts w:hint="cs"/>
          <w:rtl/>
        </w:rPr>
        <w:t xml:space="preserve"> </w:t>
      </w:r>
      <w:r w:rsidRPr="00E7113C">
        <w:rPr>
          <w:rStyle w:val="af6"/>
          <w:rFonts w:eastAsia="Guttman Hodes" w:hint="cs"/>
          <w:rtl/>
        </w:rPr>
        <w:t xml:space="preserve">(עי' אות </w:t>
      </w:r>
      <w:r w:rsidRPr="00E7113C">
        <w:rPr>
          <w:rStyle w:val="af6"/>
          <w:rFonts w:eastAsia="Guttman Hodes"/>
          <w:highlight w:val="yellow"/>
          <w:rtl/>
        </w:rPr>
        <w:fldChar w:fldCharType="begin"/>
      </w:r>
      <w:r w:rsidRPr="00E7113C">
        <w:rPr>
          <w:rStyle w:val="af6"/>
          <w:rFonts w:eastAsia="Guttman Hodes"/>
          <w:rtl/>
        </w:rPr>
        <w:instrText xml:space="preserve"> </w:instrText>
      </w:r>
      <w:r w:rsidRPr="00E7113C">
        <w:rPr>
          <w:rStyle w:val="af6"/>
          <w:rFonts w:eastAsia="Guttman Hodes" w:hint="cs"/>
        </w:rPr>
        <w:instrText>REF</w:instrText>
      </w:r>
      <w:r w:rsidRPr="00E7113C">
        <w:rPr>
          <w:rStyle w:val="af6"/>
          <w:rFonts w:eastAsia="Guttman Hodes" w:hint="cs"/>
          <w:rtl/>
        </w:rPr>
        <w:instrText xml:space="preserve"> _</w:instrText>
      </w:r>
      <w:r w:rsidRPr="00E7113C">
        <w:rPr>
          <w:rStyle w:val="af6"/>
          <w:rFonts w:eastAsia="Guttman Hodes" w:hint="cs"/>
        </w:rPr>
        <w:instrText>Ref14257555 \r \h</w:instrText>
      </w:r>
      <w:r w:rsidRPr="00E7113C">
        <w:rPr>
          <w:rStyle w:val="af6"/>
          <w:rFonts w:eastAsia="Guttman Hodes"/>
          <w:rtl/>
        </w:rPr>
        <w:instrText xml:space="preserve"> </w:instrText>
      </w:r>
      <w:r w:rsidRPr="00E7113C">
        <w:rPr>
          <w:rStyle w:val="af6"/>
          <w:rFonts w:eastAsia="Guttman Hodes"/>
          <w:highlight w:val="yellow"/>
          <w:rtl/>
        </w:rPr>
      </w:r>
      <w:r w:rsidRPr="00E7113C">
        <w:rPr>
          <w:rStyle w:val="af6"/>
          <w:rFonts w:eastAsia="Guttman Hodes"/>
          <w:highlight w:val="yellow"/>
          <w:rtl/>
        </w:rPr>
        <w:fldChar w:fldCharType="separate"/>
      </w:r>
      <w:r w:rsidR="004D1C5B">
        <w:rPr>
          <w:rStyle w:val="af6"/>
          <w:rFonts w:eastAsia="Guttman Hodes"/>
          <w:cs/>
        </w:rPr>
        <w:t>‎</w:t>
      </w:r>
      <w:r w:rsidR="004D1C5B">
        <w:rPr>
          <w:rStyle w:val="af6"/>
          <w:rFonts w:eastAsia="Guttman Hodes"/>
          <w:rtl/>
        </w:rPr>
        <w:t>מב)</w:t>
      </w:r>
      <w:r w:rsidRPr="00E7113C">
        <w:rPr>
          <w:rStyle w:val="af6"/>
          <w:rFonts w:eastAsia="Guttman Hodes"/>
          <w:highlight w:val="yellow"/>
          <w:rtl/>
        </w:rPr>
        <w:fldChar w:fldCharType="end"/>
      </w:r>
      <w:r>
        <w:rPr>
          <w:rFonts w:hint="cs"/>
          <w:rtl/>
        </w:rPr>
        <w:t xml:space="preserve"> דס"ל דבפחות מכזית בכדי אכילת פרס אינו אסור מדאו'.</w:t>
      </w:r>
      <w:bookmarkEnd w:id="6955"/>
    </w:p>
    <w:p w:rsidR="00F34A57" w:rsidRDefault="00F34A57" w:rsidP="00F34A57">
      <w:pPr>
        <w:pStyle w:val="1"/>
        <w:rPr>
          <w:rtl/>
        </w:rPr>
      </w:pPr>
      <w:bookmarkStart w:id="6956" w:name="_Toc14196277"/>
      <w:bookmarkStart w:id="6957" w:name="_Toc14208839"/>
      <w:bookmarkStart w:id="6958" w:name="_Toc14248932"/>
      <w:bookmarkStart w:id="6959" w:name="_Toc14257438"/>
      <w:r>
        <w:rPr>
          <w:rFonts w:hint="cs"/>
          <w:rtl/>
        </w:rPr>
        <w:t>דעת האחרונים דלרבינו חיים פחות מכזית בכא"פ אסור מדאו'</w:t>
      </w:r>
      <w:bookmarkEnd w:id="6956"/>
      <w:bookmarkEnd w:id="6957"/>
      <w:bookmarkEnd w:id="6958"/>
      <w:bookmarkEnd w:id="6959"/>
    </w:p>
    <w:p w:rsidR="00F34A57" w:rsidRDefault="00F34A57" w:rsidP="00F34A57">
      <w:pPr>
        <w:pStyle w:val="a2"/>
        <w:rPr>
          <w:rtl/>
        </w:rPr>
      </w:pPr>
      <w:bookmarkStart w:id="6960" w:name="_Toc14196278"/>
      <w:bookmarkStart w:id="6961" w:name="_Toc14208840"/>
      <w:bookmarkStart w:id="6962" w:name="_Toc14248933"/>
      <w:bookmarkStart w:id="6963" w:name="_Toc14257439"/>
      <w:r>
        <w:rPr>
          <w:rFonts w:hint="cs"/>
          <w:rtl/>
        </w:rPr>
        <w:t>דברי המנחת כהן והפרמ"ג דלרבינו חיים בפחות מכזית בכא"פ אסור מדאו' ואין נהפך</w:t>
      </w:r>
      <w:bookmarkEnd w:id="6960"/>
      <w:bookmarkEnd w:id="6961"/>
      <w:bookmarkEnd w:id="6962"/>
      <w:bookmarkEnd w:id="6963"/>
    </w:p>
    <w:p w:rsidR="00F34A57" w:rsidRDefault="00F34A57" w:rsidP="009F44AF">
      <w:pPr>
        <w:pStyle w:val="a"/>
        <w:rPr>
          <w:rtl/>
        </w:rPr>
      </w:pPr>
      <w:r>
        <w:rPr>
          <w:rFonts w:hint="cs"/>
          <w:rtl/>
        </w:rPr>
        <w:t>כתבו</w:t>
      </w:r>
      <w:r w:rsidRPr="00967972">
        <w:rPr>
          <w:rStyle w:val="af8"/>
          <w:rFonts w:hint="cs"/>
          <w:rtl/>
        </w:rPr>
        <w:t xml:space="preserve"> </w:t>
      </w:r>
      <w:r w:rsidRPr="00A51A09">
        <w:rPr>
          <w:rStyle w:val="af8"/>
          <w:rFonts w:hint="cs"/>
          <w:rtl/>
        </w:rPr>
        <w:t>המנחת כהן</w:t>
      </w:r>
      <w:r>
        <w:rPr>
          <w:rFonts w:hint="cs"/>
          <w:rtl/>
        </w:rPr>
        <w:t xml:space="preserve"> </w:t>
      </w:r>
      <w:r w:rsidRPr="00A51A09">
        <w:rPr>
          <w:rStyle w:val="af6"/>
          <w:rFonts w:eastAsia="Guttman Hodes" w:hint="cs"/>
          <w:rtl/>
        </w:rPr>
        <w:t xml:space="preserve">(ס' התערובות ח"א פ"ה ד"ה הדעת השנית) </w:t>
      </w:r>
      <w:r>
        <w:rPr>
          <w:rStyle w:val="af8"/>
          <w:rFonts w:hint="cs"/>
          <w:rtl/>
        </w:rPr>
        <w:t>ו</w:t>
      </w:r>
      <w:r w:rsidRPr="00967972">
        <w:rPr>
          <w:rStyle w:val="af8"/>
          <w:rFonts w:hint="cs"/>
          <w:rtl/>
        </w:rPr>
        <w:t>הפרמ"ג</w:t>
      </w:r>
      <w:r>
        <w:rPr>
          <w:rFonts w:hint="cs"/>
          <w:rtl/>
        </w:rPr>
        <w:t xml:space="preserve"> </w:t>
      </w:r>
      <w:r w:rsidRPr="00B127DB">
        <w:rPr>
          <w:rStyle w:val="af6"/>
          <w:rFonts w:eastAsia="Guttman Hodes" w:hint="cs"/>
          <w:rtl/>
        </w:rPr>
        <w:t>(פתיחה להל' פסח החלק השני פ"א סק"</w:t>
      </w:r>
      <w:r>
        <w:rPr>
          <w:rStyle w:val="af6"/>
          <w:rFonts w:eastAsia="Guttman Hodes" w:hint="cs"/>
          <w:rtl/>
        </w:rPr>
        <w:t>ט</w:t>
      </w:r>
      <w:r w:rsidRPr="00B127DB">
        <w:rPr>
          <w:rStyle w:val="af6"/>
          <w:rFonts w:eastAsia="Guttman Hodes" w:hint="cs"/>
          <w:rtl/>
        </w:rPr>
        <w:t xml:space="preserve"> ד"ה השיטה </w:t>
      </w:r>
      <w:r>
        <w:rPr>
          <w:rStyle w:val="af6"/>
          <w:rFonts w:eastAsia="Guttman Hodes" w:hint="cs"/>
          <w:rtl/>
        </w:rPr>
        <w:t>השלישית</w:t>
      </w:r>
      <w:r w:rsidRPr="00B127DB">
        <w:rPr>
          <w:rStyle w:val="af6"/>
          <w:rFonts w:eastAsia="Guttman Hodes" w:hint="cs"/>
          <w:rtl/>
        </w:rPr>
        <w:t>)</w:t>
      </w:r>
      <w:r>
        <w:rPr>
          <w:rFonts w:hint="cs"/>
          <w:rtl/>
        </w:rPr>
        <w:t xml:space="preserve"> דלדעת </w:t>
      </w:r>
      <w:r w:rsidRPr="008832CB">
        <w:rPr>
          <w:rStyle w:val="af8"/>
          <w:rFonts w:hint="cs"/>
          <w:rtl/>
        </w:rPr>
        <w:t>רבינו חיים</w:t>
      </w:r>
      <w:r>
        <w:rPr>
          <w:rFonts w:hint="cs"/>
          <w:rtl/>
        </w:rPr>
        <w:t xml:space="preserve"> שהביא </w:t>
      </w:r>
      <w:r w:rsidRPr="008832CB">
        <w:rPr>
          <w:rStyle w:val="af8"/>
          <w:rFonts w:hint="cs"/>
          <w:rtl/>
        </w:rPr>
        <w:t>הרא"ש</w:t>
      </w:r>
      <w:r>
        <w:rPr>
          <w:rFonts w:hint="cs"/>
          <w:rtl/>
        </w:rPr>
        <w:t xml:space="preserve"> כל שיש בתערובת כזית בכדי אכילת פרס, נהפך כל ההיתר לאיסור, ולוקה על כל כזית מהתערובת, ובמקום שיש בתערובת פחות מכזית בכדי אכילת פרס, או שיש בה רק טעם של איסור, אסור מדאו' אך אין לוקין עליו.</w:t>
      </w:r>
    </w:p>
    <w:p w:rsidR="00F34A57" w:rsidRDefault="00F34A57" w:rsidP="00F34A57">
      <w:pPr>
        <w:pStyle w:val="a2"/>
      </w:pPr>
      <w:bookmarkStart w:id="6964" w:name="_Toc14196279"/>
      <w:bookmarkStart w:id="6965" w:name="_Toc14208841"/>
      <w:bookmarkStart w:id="6966" w:name="_Toc14248934"/>
      <w:bookmarkStart w:id="6967" w:name="_Toc14257440"/>
      <w:r>
        <w:rPr>
          <w:rFonts w:hint="cs"/>
          <w:rtl/>
        </w:rPr>
        <w:t>ביאור המנחת כהן דבטעם בלא ממשות ובפחות מכא"פ אין כח בטעם הקלוש לעשות נהפך</w:t>
      </w:r>
      <w:bookmarkEnd w:id="6964"/>
      <w:bookmarkEnd w:id="6965"/>
      <w:bookmarkEnd w:id="6966"/>
      <w:bookmarkEnd w:id="6967"/>
    </w:p>
    <w:p w:rsidR="00F34A57" w:rsidRPr="00DA2A9C" w:rsidRDefault="00F34A57" w:rsidP="009F44AF">
      <w:pPr>
        <w:pStyle w:val="a"/>
        <w:rPr>
          <w:rStyle w:val="afa"/>
          <w:rtl/>
        </w:rPr>
      </w:pPr>
      <w:r w:rsidRPr="00A51A09">
        <w:rPr>
          <w:rFonts w:hint="cs"/>
          <w:rtl/>
        </w:rPr>
        <w:t>ו</w:t>
      </w:r>
      <w:r>
        <w:rPr>
          <w:rFonts w:hint="cs"/>
          <w:rtl/>
        </w:rPr>
        <w:t>ביאר</w:t>
      </w:r>
      <w:r w:rsidRPr="00A51A09">
        <w:rPr>
          <w:rFonts w:hint="cs"/>
          <w:rtl/>
        </w:rPr>
        <w:t xml:space="preserve"> </w:t>
      </w:r>
      <w:r w:rsidRPr="00AF06ED">
        <w:rPr>
          <w:rStyle w:val="af8"/>
          <w:rFonts w:hint="cs"/>
          <w:rtl/>
        </w:rPr>
        <w:t>המנחת כהן</w:t>
      </w:r>
      <w:r w:rsidRPr="00A51A09">
        <w:rPr>
          <w:rFonts w:hint="cs"/>
          <w:rtl/>
        </w:rPr>
        <w:t xml:space="preserve"> בדעת </w:t>
      </w:r>
      <w:r w:rsidRPr="00AF06ED">
        <w:rPr>
          <w:rStyle w:val="af8"/>
          <w:rFonts w:hint="cs"/>
          <w:rtl/>
        </w:rPr>
        <w:t>רבינו חיים</w:t>
      </w:r>
      <w:r w:rsidRPr="00A51A09">
        <w:rPr>
          <w:rFonts w:hint="cs"/>
          <w:rtl/>
        </w:rPr>
        <w:t xml:space="preserve"> </w:t>
      </w:r>
      <w:r>
        <w:rPr>
          <w:rFonts w:hint="cs"/>
          <w:rtl/>
        </w:rPr>
        <w:t>ד</w:t>
      </w:r>
      <w:r w:rsidRPr="00A51A09">
        <w:rPr>
          <w:rFonts w:hint="cs"/>
          <w:rtl/>
        </w:rPr>
        <w:t xml:space="preserve">בפחות מכזית בכדי אכילת פרס, וכ"ש כשתערב רק הטעם ולא הממשות, </w:t>
      </w:r>
      <w:r>
        <w:rPr>
          <w:rFonts w:hint="cs"/>
          <w:rtl/>
        </w:rPr>
        <w:t>ד</w:t>
      </w:r>
      <w:r w:rsidRPr="00A51A09">
        <w:rPr>
          <w:rFonts w:hint="cs"/>
          <w:rtl/>
        </w:rPr>
        <w:t>אין כח בטעם להפוך את כל ההיתר לאיסור, ו</w:t>
      </w:r>
      <w:r>
        <w:rPr>
          <w:rFonts w:hint="cs"/>
          <w:rtl/>
        </w:rPr>
        <w:t>הוסיף</w:t>
      </w:r>
      <w:r w:rsidRPr="00A51A09">
        <w:rPr>
          <w:rFonts w:hint="cs"/>
          <w:rtl/>
        </w:rPr>
        <w:t xml:space="preserve"> </w:t>
      </w:r>
      <w:r w:rsidRPr="00AF06ED">
        <w:rPr>
          <w:rStyle w:val="af8"/>
          <w:rFonts w:hint="cs"/>
          <w:rtl/>
        </w:rPr>
        <w:t>המנחת כהן</w:t>
      </w:r>
      <w:r w:rsidRPr="00A51A09">
        <w:rPr>
          <w:rFonts w:hint="cs"/>
          <w:rtl/>
        </w:rPr>
        <w:t xml:space="preserve"> דמשמע מדברי </w:t>
      </w:r>
      <w:r w:rsidRPr="00B52A50">
        <w:rPr>
          <w:rStyle w:val="af8"/>
          <w:rFonts w:hint="cs"/>
          <w:rtl/>
        </w:rPr>
        <w:t>הרא"ש</w:t>
      </w:r>
      <w:r w:rsidRPr="00A51A09">
        <w:rPr>
          <w:rFonts w:hint="cs"/>
          <w:rtl/>
        </w:rPr>
        <w:t xml:space="preserve"> </w:t>
      </w:r>
      <w:r w:rsidRPr="00DA2A9C">
        <w:rPr>
          <w:rStyle w:val="af6"/>
          <w:rFonts w:eastAsia="Guttman Hodes" w:hint="cs"/>
          <w:rtl/>
        </w:rPr>
        <w:t xml:space="preserve">(עי' אות </w:t>
      </w:r>
      <w:r w:rsidRPr="00DA2A9C">
        <w:rPr>
          <w:rStyle w:val="af6"/>
          <w:rFonts w:eastAsia="Guttman Hodes"/>
          <w:rtl/>
        </w:rPr>
        <w:fldChar w:fldCharType="begin"/>
      </w:r>
      <w:r w:rsidRPr="00DA2A9C">
        <w:rPr>
          <w:rStyle w:val="af6"/>
          <w:rFonts w:eastAsia="Guttman Hodes"/>
          <w:rtl/>
        </w:rPr>
        <w:instrText xml:space="preserve"> </w:instrText>
      </w:r>
      <w:r w:rsidRPr="00DA2A9C">
        <w:rPr>
          <w:rStyle w:val="af6"/>
          <w:rFonts w:eastAsia="Guttman Hodes" w:hint="cs"/>
        </w:rPr>
        <w:instrText>REF</w:instrText>
      </w:r>
      <w:r w:rsidRPr="00DA2A9C">
        <w:rPr>
          <w:rStyle w:val="af6"/>
          <w:rFonts w:eastAsia="Guttman Hodes" w:hint="cs"/>
          <w:rtl/>
        </w:rPr>
        <w:instrText xml:space="preserve"> _</w:instrText>
      </w:r>
      <w:r w:rsidRPr="00DA2A9C">
        <w:rPr>
          <w:rStyle w:val="af6"/>
          <w:rFonts w:eastAsia="Guttman Hodes" w:hint="cs"/>
        </w:rPr>
        <w:instrText>Ref14163494 \r \h</w:instrText>
      </w:r>
      <w:r w:rsidRPr="00DA2A9C">
        <w:rPr>
          <w:rStyle w:val="af6"/>
          <w:rFonts w:eastAsia="Guttman Hodes"/>
          <w:rtl/>
        </w:rPr>
        <w:instrText xml:space="preserve">  \* </w:instrText>
      </w:r>
      <w:r w:rsidRPr="00DA2A9C">
        <w:rPr>
          <w:rStyle w:val="af6"/>
          <w:rFonts w:eastAsia="Guttman Hodes"/>
        </w:rPr>
        <w:instrText>MERGEFORMAT</w:instrText>
      </w:r>
      <w:r w:rsidRPr="00DA2A9C">
        <w:rPr>
          <w:rStyle w:val="af6"/>
          <w:rFonts w:eastAsia="Guttman Hodes"/>
          <w:rtl/>
        </w:rPr>
        <w:instrText xml:space="preserve"> </w:instrText>
      </w:r>
      <w:r w:rsidRPr="00DA2A9C">
        <w:rPr>
          <w:rStyle w:val="af6"/>
          <w:rFonts w:eastAsia="Guttman Hodes"/>
          <w:rtl/>
        </w:rPr>
      </w:r>
      <w:r w:rsidRPr="00DA2A9C">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DA2A9C">
        <w:rPr>
          <w:rStyle w:val="af6"/>
          <w:rFonts w:eastAsia="Guttman Hodes"/>
          <w:rtl/>
        </w:rPr>
        <w:fldChar w:fldCharType="end"/>
      </w:r>
      <w:r>
        <w:rPr>
          <w:rFonts w:hint="cs"/>
          <w:rtl/>
        </w:rPr>
        <w:t xml:space="preserve"> </w:t>
      </w:r>
      <w:r w:rsidRPr="00A51A09">
        <w:rPr>
          <w:rFonts w:hint="cs"/>
          <w:rtl/>
        </w:rPr>
        <w:t>דכיון שהאיסור הוא מועט כ"כ וטעמו גרוע וקלוש, לכן אין בו מלקות, אף דמדאו' אסור באכילה</w:t>
      </w:r>
      <w:r>
        <w:rPr>
          <w:rFonts w:hint="cs"/>
          <w:rtl/>
        </w:rPr>
        <w:t xml:space="preserve">. </w:t>
      </w:r>
      <w:r w:rsidRPr="00DA2A9C">
        <w:rPr>
          <w:rStyle w:val="afa"/>
          <w:rFonts w:hint="cs"/>
          <w:rtl/>
        </w:rPr>
        <w:t xml:space="preserve">[והביא </w:t>
      </w:r>
      <w:r w:rsidRPr="00AF06ED">
        <w:rPr>
          <w:rStyle w:val="affa"/>
          <w:rFonts w:hint="cs"/>
          <w:rtl/>
        </w:rPr>
        <w:t>המנחת כהן</w:t>
      </w:r>
      <w:r w:rsidRPr="00DA2A9C">
        <w:rPr>
          <w:rStyle w:val="afa"/>
          <w:rFonts w:hint="cs"/>
          <w:rtl/>
        </w:rPr>
        <w:t xml:space="preserve"> את דברי </w:t>
      </w:r>
      <w:r w:rsidRPr="00A94150">
        <w:rPr>
          <w:rStyle w:val="affa"/>
          <w:rFonts w:hint="cs"/>
          <w:rtl/>
        </w:rPr>
        <w:t>המעדני יו"ט</w:t>
      </w:r>
      <w:r w:rsidRPr="00DA2A9C">
        <w:rPr>
          <w:rStyle w:val="afa"/>
          <w:rFonts w:hint="cs"/>
          <w:rtl/>
        </w:rPr>
        <w:t xml:space="preserve"> </w:t>
      </w:r>
      <w:r w:rsidRPr="00AF06ED">
        <w:rPr>
          <w:rStyle w:val="aff6"/>
          <w:rFonts w:hint="cs"/>
          <w:rtl/>
        </w:rPr>
        <w:t>(על הרא"ש סי' ל"א אות ע')</w:t>
      </w:r>
      <w:r w:rsidRPr="00DA2A9C">
        <w:rPr>
          <w:rStyle w:val="afa"/>
          <w:rFonts w:hint="cs"/>
          <w:rtl/>
        </w:rPr>
        <w:t xml:space="preserve"> דביאר דכוונת </w:t>
      </w:r>
      <w:r w:rsidRPr="00A94150">
        <w:rPr>
          <w:rStyle w:val="affa"/>
          <w:rFonts w:hint="cs"/>
          <w:rtl/>
        </w:rPr>
        <w:t>הרא"ש</w:t>
      </w:r>
      <w:r w:rsidRPr="00DA2A9C">
        <w:rPr>
          <w:rStyle w:val="afa"/>
          <w:rFonts w:hint="cs"/>
          <w:rtl/>
        </w:rPr>
        <w:t xml:space="preserve"> לומר דלדעת </w:t>
      </w:r>
      <w:r w:rsidRPr="00A94150">
        <w:rPr>
          <w:rStyle w:val="affa"/>
          <w:rFonts w:hint="cs"/>
          <w:rtl/>
        </w:rPr>
        <w:t>רבינו חיים</w:t>
      </w:r>
      <w:r w:rsidRPr="00DA2A9C">
        <w:rPr>
          <w:rStyle w:val="afa"/>
          <w:rFonts w:hint="cs"/>
          <w:rtl/>
        </w:rPr>
        <w:t xml:space="preserve"> אין לוקין על פחות מכדי אכילת פרס, היינו כשאכל מהאיסור פחות מכזית בכדי אכילת פרס, דחשיב כב' אכילות של ב' ימים, כדביאר </w:t>
      </w:r>
      <w:r w:rsidRPr="00AF06ED">
        <w:rPr>
          <w:rStyle w:val="affa"/>
          <w:rFonts w:hint="cs"/>
          <w:rtl/>
        </w:rPr>
        <w:t>רש"י בע"ז</w:t>
      </w:r>
      <w:r w:rsidRPr="007E0C12">
        <w:rPr>
          <w:rFonts w:hint="cs"/>
          <w:rtl/>
        </w:rPr>
        <w:t xml:space="preserve"> </w:t>
      </w:r>
      <w:r w:rsidRPr="00AF06ED">
        <w:rPr>
          <w:rStyle w:val="aff6"/>
          <w:rFonts w:hint="cs"/>
          <w:rtl/>
        </w:rPr>
        <w:t>(סז. ד"ה כל)</w:t>
      </w:r>
      <w:r w:rsidRPr="00DA2A9C">
        <w:rPr>
          <w:rStyle w:val="afa"/>
          <w:rFonts w:hint="cs"/>
          <w:rtl/>
        </w:rPr>
        <w:t xml:space="preserve">, ולכן אין בו מלקות, ודחה </w:t>
      </w:r>
      <w:r w:rsidRPr="00A94150">
        <w:rPr>
          <w:rStyle w:val="affa"/>
          <w:rFonts w:hint="cs"/>
          <w:rtl/>
        </w:rPr>
        <w:t>המנחת כהן</w:t>
      </w:r>
      <w:r w:rsidRPr="00DA2A9C">
        <w:rPr>
          <w:rStyle w:val="afa"/>
          <w:rFonts w:hint="cs"/>
          <w:rtl/>
        </w:rPr>
        <w:t xml:space="preserve"> דמשמע </w:t>
      </w:r>
      <w:r w:rsidRPr="00A94150">
        <w:rPr>
          <w:rStyle w:val="affa"/>
          <w:rFonts w:hint="cs"/>
          <w:rtl/>
        </w:rPr>
        <w:t>ברא"ש</w:t>
      </w:r>
      <w:r w:rsidRPr="00DA2A9C">
        <w:rPr>
          <w:rStyle w:val="afa"/>
          <w:rFonts w:hint="cs"/>
          <w:rtl/>
        </w:rPr>
        <w:t xml:space="preserve"> דבמקום שנתערב בתערובת כ"כ הרבה איסור, עד שיש כזית בכדי אכילת פרס, לוקין אף על כזית אחד מהתערובת].</w:t>
      </w:r>
    </w:p>
    <w:p w:rsidR="00F34A57" w:rsidRPr="00C6069E" w:rsidRDefault="00F34A57" w:rsidP="00F34A57">
      <w:pPr>
        <w:pStyle w:val="a2"/>
        <w:rPr>
          <w:rtl/>
        </w:rPr>
      </w:pPr>
      <w:bookmarkStart w:id="6968" w:name="_Toc14196280"/>
      <w:bookmarkStart w:id="6969" w:name="_Toc14208842"/>
      <w:bookmarkStart w:id="6970" w:name="_Toc14248935"/>
      <w:bookmarkStart w:id="6971" w:name="_Toc14257441"/>
      <w:r>
        <w:rPr>
          <w:rFonts w:hint="cs"/>
          <w:rtl/>
        </w:rPr>
        <w:t>ביאור הפר"ח והגרעק"א דבפחות מכזית בכא"פ ההיתר והאיסור מעורבים ואסור דטע"כ דאו'</w:t>
      </w:r>
      <w:bookmarkEnd w:id="6968"/>
      <w:bookmarkEnd w:id="6969"/>
      <w:bookmarkEnd w:id="6970"/>
      <w:bookmarkEnd w:id="6971"/>
    </w:p>
    <w:p w:rsidR="00F34A57" w:rsidRDefault="00F34A57" w:rsidP="009F44AF">
      <w:pPr>
        <w:pStyle w:val="a"/>
        <w:rPr>
          <w:rtl/>
        </w:rPr>
      </w:pPr>
      <w:r>
        <w:rPr>
          <w:rStyle w:val="af8"/>
          <w:rFonts w:hint="cs"/>
          <w:rtl/>
        </w:rPr>
        <w:t>וה</w:t>
      </w:r>
      <w:r w:rsidRPr="007E0C12">
        <w:rPr>
          <w:rStyle w:val="af8"/>
          <w:rFonts w:hint="cs"/>
          <w:rtl/>
        </w:rPr>
        <w:t>פר"ח</w:t>
      </w:r>
      <w:r w:rsidRPr="007E0C12">
        <w:rPr>
          <w:rFonts w:hint="cs"/>
          <w:rtl/>
        </w:rPr>
        <w:t xml:space="preserve"> </w:t>
      </w:r>
      <w:r w:rsidRPr="00B13FDE">
        <w:rPr>
          <w:rStyle w:val="af6"/>
          <w:rFonts w:eastAsia="Guttman Hodes" w:hint="cs"/>
          <w:rtl/>
        </w:rPr>
        <w:t xml:space="preserve">(או"ח סי' תמ"ב סק"א </w:t>
      </w:r>
      <w:r>
        <w:rPr>
          <w:rStyle w:val="af6"/>
          <w:rFonts w:eastAsia="Guttman Hodes" w:hint="cs"/>
          <w:rtl/>
        </w:rPr>
        <w:t>סו</w:t>
      </w:r>
      <w:r w:rsidRPr="00B13FDE">
        <w:rPr>
          <w:rStyle w:val="af6"/>
          <w:rFonts w:eastAsia="Guttman Hodes" w:hint="cs"/>
          <w:rtl/>
        </w:rPr>
        <w:t>ד"ה ואכתי יש לדקדק</w:t>
      </w:r>
      <w:r w:rsidRPr="008640E6">
        <w:rPr>
          <w:rStyle w:val="af6"/>
          <w:rFonts w:eastAsia="Guttman Hodes" w:hint="cs"/>
          <w:rtl/>
        </w:rPr>
        <w:t xml:space="preserve">) </w:t>
      </w:r>
      <w:r>
        <w:rPr>
          <w:rFonts w:hint="cs"/>
          <w:rtl/>
        </w:rPr>
        <w:t xml:space="preserve">כתב דמבואר מדברי </w:t>
      </w:r>
      <w:r w:rsidRPr="00AF06ED">
        <w:rPr>
          <w:rStyle w:val="af8"/>
          <w:rFonts w:hint="cs"/>
          <w:rtl/>
        </w:rPr>
        <w:t>הרא"ש</w:t>
      </w:r>
      <w:r>
        <w:rPr>
          <w:rFonts w:hint="cs"/>
          <w:rtl/>
        </w:rPr>
        <w:t xml:space="preserve"> דלדעת </w:t>
      </w:r>
      <w:r w:rsidRPr="00AF06ED">
        <w:rPr>
          <w:rStyle w:val="af8"/>
          <w:rFonts w:hint="cs"/>
          <w:rtl/>
        </w:rPr>
        <w:t>רבינו חיים</w:t>
      </w:r>
      <w:r>
        <w:rPr>
          <w:rFonts w:hint="cs"/>
          <w:rtl/>
        </w:rPr>
        <w:t xml:space="preserve"> דין נהפך נאמר רק בכזית בכדי אכילת פרס, ובזה יש חיוב על כל כזית מהתערובת, אבל בפחות מכזית בכדי אכילת פרס, אין דין נהפך אלא דההיתר והאיסור אינם מתבטלים, ונמצא שההיתר והאיסור מעורבים זה בזה, ומדאו' אסור לאכול את התערובת, ודמי לדין חצי שיעור, וכתב </w:t>
      </w:r>
      <w:r w:rsidRPr="001853E1">
        <w:rPr>
          <w:rStyle w:val="af8"/>
          <w:rFonts w:hint="cs"/>
          <w:rtl/>
        </w:rPr>
        <w:t>הפר"ח</w:t>
      </w:r>
      <w:r>
        <w:rPr>
          <w:rFonts w:hint="cs"/>
          <w:rtl/>
        </w:rPr>
        <w:t xml:space="preserve"> דא"א לומר דלדעת </w:t>
      </w:r>
      <w:r w:rsidRPr="001853E1">
        <w:rPr>
          <w:rStyle w:val="af8"/>
          <w:rFonts w:hint="cs"/>
          <w:rtl/>
        </w:rPr>
        <w:t>רבינו חיים</w:t>
      </w:r>
      <w:r>
        <w:rPr>
          <w:rFonts w:hint="cs"/>
          <w:rtl/>
        </w:rPr>
        <w:t xml:space="preserve"> פחות מכזית בכדי אכילת פרס הוא דרבנן, דהא ס"ל דטעם כעיקר דאו'</w:t>
      </w:r>
      <w:r w:rsidRPr="00CC57AA">
        <w:rPr>
          <w:rFonts w:hint="cs"/>
          <w:rtl/>
        </w:rPr>
        <w:t xml:space="preserve">, וכ"כ </w:t>
      </w:r>
      <w:r w:rsidRPr="00CC57AA">
        <w:rPr>
          <w:rStyle w:val="af8"/>
          <w:rFonts w:hint="cs"/>
          <w:rtl/>
        </w:rPr>
        <w:t>הגרעק"א</w:t>
      </w:r>
      <w:r w:rsidRPr="00CC57AA">
        <w:rPr>
          <w:rFonts w:hint="cs"/>
          <w:rtl/>
        </w:rPr>
        <w:t xml:space="preserve"> </w:t>
      </w:r>
      <w:r w:rsidRPr="00CC57AA">
        <w:rPr>
          <w:rStyle w:val="af6"/>
          <w:rFonts w:eastAsia="Guttman Hodes" w:hint="cs"/>
          <w:rtl/>
        </w:rPr>
        <w:t xml:space="preserve">(עי' אות </w:t>
      </w:r>
      <w:r w:rsidRPr="00CC57AA">
        <w:rPr>
          <w:rStyle w:val="af6"/>
          <w:rFonts w:eastAsia="Guttman Hodes"/>
          <w:rtl/>
        </w:rPr>
        <w:fldChar w:fldCharType="begin"/>
      </w:r>
      <w:r w:rsidRPr="00CC57AA">
        <w:rPr>
          <w:rStyle w:val="af6"/>
          <w:rFonts w:eastAsia="Guttman Hodes"/>
          <w:rtl/>
        </w:rPr>
        <w:instrText xml:space="preserve"> </w:instrText>
      </w:r>
      <w:r w:rsidRPr="00CC57AA">
        <w:rPr>
          <w:rStyle w:val="af6"/>
          <w:rFonts w:eastAsia="Guttman Hodes" w:hint="cs"/>
        </w:rPr>
        <w:instrText>REF</w:instrText>
      </w:r>
      <w:r w:rsidRPr="00CC57AA">
        <w:rPr>
          <w:rStyle w:val="af6"/>
          <w:rFonts w:eastAsia="Guttman Hodes" w:hint="cs"/>
          <w:rtl/>
        </w:rPr>
        <w:instrText xml:space="preserve"> _</w:instrText>
      </w:r>
      <w:r w:rsidRPr="00CC57AA">
        <w:rPr>
          <w:rStyle w:val="af6"/>
          <w:rFonts w:eastAsia="Guttman Hodes" w:hint="cs"/>
        </w:rPr>
        <w:instrText>Ref14121147 \r \h</w:instrText>
      </w:r>
      <w:r w:rsidRPr="00CC57A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CC57AA">
        <w:rPr>
          <w:rStyle w:val="af6"/>
          <w:rFonts w:eastAsia="Guttman Hodes"/>
          <w:rtl/>
        </w:rPr>
      </w:r>
      <w:r w:rsidRPr="00CC57A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CC57AA">
        <w:rPr>
          <w:rStyle w:val="af6"/>
          <w:rFonts w:eastAsia="Guttman Hodes"/>
          <w:rtl/>
        </w:rPr>
        <w:fldChar w:fldCharType="end"/>
      </w:r>
      <w:r w:rsidRPr="00CC57AA">
        <w:rPr>
          <w:rStyle w:val="af6"/>
          <w:rFonts w:eastAsia="Guttman Hodes" w:hint="cs"/>
          <w:rtl/>
        </w:rPr>
        <w:t xml:space="preserve"> </w:t>
      </w:r>
      <w:r w:rsidRPr="00CC57AA">
        <w:rPr>
          <w:rFonts w:hint="cs"/>
          <w:rtl/>
        </w:rPr>
        <w:t xml:space="preserve">בדעת </w:t>
      </w:r>
      <w:r w:rsidRPr="00CC57AA">
        <w:rPr>
          <w:rStyle w:val="af8"/>
          <w:rFonts w:hint="cs"/>
          <w:rtl/>
        </w:rPr>
        <w:t>רבינו חיים</w:t>
      </w:r>
      <w:r>
        <w:rPr>
          <w:rFonts w:hint="cs"/>
          <w:rtl/>
        </w:rPr>
        <w:t>.</w:t>
      </w:r>
    </w:p>
    <w:p w:rsidR="00F34A57" w:rsidRPr="000835FC" w:rsidRDefault="00F34A57" w:rsidP="00F34A57">
      <w:pPr>
        <w:pStyle w:val="a2"/>
        <w:rPr>
          <w:rtl/>
        </w:rPr>
      </w:pPr>
      <w:bookmarkStart w:id="6972" w:name="_Toc14196281"/>
      <w:bookmarkStart w:id="6973" w:name="_Toc14208843"/>
      <w:bookmarkStart w:id="6974" w:name="_Toc14248936"/>
      <w:bookmarkStart w:id="6975" w:name="_Toc14257442"/>
      <w:r>
        <w:rPr>
          <w:rFonts w:hint="cs"/>
          <w:rtl/>
        </w:rPr>
        <w:t>דברי הנחל"ד דהפר"ח הוצרך לבאר כן כיון דגרס בדעת הטור דלרבינו חיים אסור כזית בכא"פ</w:t>
      </w:r>
      <w:bookmarkEnd w:id="6972"/>
      <w:bookmarkEnd w:id="6973"/>
      <w:bookmarkEnd w:id="6974"/>
      <w:bookmarkEnd w:id="6975"/>
      <w:r>
        <w:rPr>
          <w:rFonts w:hint="cs"/>
          <w:rtl/>
        </w:rPr>
        <w:t xml:space="preserve"> </w:t>
      </w:r>
    </w:p>
    <w:p w:rsidR="00F34A57" w:rsidRDefault="00F34A57" w:rsidP="009F44AF">
      <w:pPr>
        <w:pStyle w:val="a"/>
        <w:rPr>
          <w:rStyle w:val="afa"/>
          <w:rtl/>
        </w:rPr>
      </w:pPr>
      <w:r>
        <w:rPr>
          <w:rFonts w:hint="cs"/>
          <w:rtl/>
        </w:rPr>
        <w:t xml:space="preserve">וביאר </w:t>
      </w:r>
      <w:r w:rsidRPr="00630124">
        <w:rPr>
          <w:rStyle w:val="af8"/>
          <w:rFonts w:hint="cs"/>
          <w:rtl/>
        </w:rPr>
        <w:t>הנחל"ד</w:t>
      </w:r>
      <w:r>
        <w:rPr>
          <w:rFonts w:hint="cs"/>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קל"ט] ד"ה ושיטת רבינו חיים) </w:t>
      </w:r>
      <w:r>
        <w:rPr>
          <w:rFonts w:hint="cs"/>
          <w:rtl/>
        </w:rPr>
        <w:t xml:space="preserve">את דברי </w:t>
      </w:r>
      <w:r w:rsidRPr="00731DEA">
        <w:rPr>
          <w:rStyle w:val="af8"/>
          <w:rFonts w:hint="cs"/>
          <w:rtl/>
        </w:rPr>
        <w:t>הפר"ח</w:t>
      </w:r>
      <w:r>
        <w:rPr>
          <w:rFonts w:hint="cs"/>
          <w:rtl/>
        </w:rPr>
        <w:t xml:space="preserve">, דכיון </w:t>
      </w:r>
      <w:r w:rsidRPr="00630124">
        <w:rPr>
          <w:rStyle w:val="af8"/>
          <w:rFonts w:hint="cs"/>
          <w:rtl/>
        </w:rPr>
        <w:t>דהפר"ח</w:t>
      </w:r>
      <w:r>
        <w:rPr>
          <w:rFonts w:hint="cs"/>
          <w:rtl/>
        </w:rPr>
        <w:t xml:space="preserve"> </w:t>
      </w:r>
      <w:r w:rsidRPr="00731DEA">
        <w:rPr>
          <w:rStyle w:val="af6"/>
          <w:rFonts w:eastAsia="Guttman Hodes" w:hint="cs"/>
          <w:rtl/>
        </w:rPr>
        <w:t xml:space="preserve">(עי' אות </w:t>
      </w:r>
      <w:r w:rsidRPr="00731DEA">
        <w:rPr>
          <w:rStyle w:val="af6"/>
          <w:rFonts w:eastAsia="Guttman Hodes"/>
          <w:rtl/>
        </w:rPr>
        <w:fldChar w:fldCharType="begin"/>
      </w:r>
      <w:r w:rsidRPr="00731DEA">
        <w:rPr>
          <w:rStyle w:val="af6"/>
          <w:rFonts w:eastAsia="Guttman Hodes"/>
          <w:rtl/>
        </w:rPr>
        <w:instrText xml:space="preserve"> </w:instrText>
      </w:r>
      <w:r w:rsidRPr="00731DEA">
        <w:rPr>
          <w:rStyle w:val="af6"/>
          <w:rFonts w:eastAsia="Guttman Hodes" w:hint="cs"/>
        </w:rPr>
        <w:instrText>REF</w:instrText>
      </w:r>
      <w:r w:rsidRPr="00731DEA">
        <w:rPr>
          <w:rStyle w:val="af6"/>
          <w:rFonts w:eastAsia="Guttman Hodes" w:hint="cs"/>
          <w:rtl/>
        </w:rPr>
        <w:instrText xml:space="preserve"> _</w:instrText>
      </w:r>
      <w:r w:rsidRPr="00731DEA">
        <w:rPr>
          <w:rStyle w:val="af6"/>
          <w:rFonts w:eastAsia="Guttman Hodes" w:hint="cs"/>
        </w:rPr>
        <w:instrText>Ref14173965 \r \h</w:instrText>
      </w:r>
      <w:r w:rsidRPr="00731DEA">
        <w:rPr>
          <w:rStyle w:val="af6"/>
          <w:rFonts w:eastAsia="Guttman Hodes"/>
          <w:rtl/>
        </w:rPr>
        <w:instrText xml:space="preserve"> </w:instrText>
      </w:r>
      <w:r w:rsidRPr="00731DEA">
        <w:rPr>
          <w:rStyle w:val="af6"/>
          <w:rFonts w:eastAsia="Guttman Hodes"/>
          <w:rtl/>
        </w:rPr>
      </w:r>
      <w:r w:rsidRPr="00731DEA">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731DEA">
        <w:rPr>
          <w:rStyle w:val="af6"/>
          <w:rFonts w:eastAsia="Guttman Hodes"/>
          <w:rtl/>
        </w:rPr>
        <w:fldChar w:fldCharType="end"/>
      </w:r>
      <w:r>
        <w:rPr>
          <w:rFonts w:hint="cs"/>
          <w:rtl/>
        </w:rPr>
        <w:t xml:space="preserve"> גרס בדברי </w:t>
      </w:r>
      <w:r w:rsidRPr="00630124">
        <w:rPr>
          <w:rStyle w:val="af8"/>
          <w:rFonts w:hint="cs"/>
          <w:rtl/>
        </w:rPr>
        <w:t>הטור</w:t>
      </w:r>
      <w:r>
        <w:rPr>
          <w:rFonts w:hint="cs"/>
          <w:rtl/>
        </w:rPr>
        <w:t xml:space="preserve"> </w:t>
      </w:r>
      <w:r w:rsidRPr="00630124">
        <w:rPr>
          <w:rStyle w:val="af8"/>
          <w:rFonts w:hint="cs"/>
          <w:rtl/>
        </w:rPr>
        <w:t>דלרבינו חיים</w:t>
      </w:r>
      <w:r>
        <w:rPr>
          <w:rFonts w:hint="cs"/>
          <w:rtl/>
        </w:rPr>
        <w:t xml:space="preserve"> אסור בכזית בכדי אכילת פרס, לכן הוצרך לבאר כן דהא בתחילת דברי כתב </w:t>
      </w:r>
      <w:r w:rsidRPr="00630124">
        <w:rPr>
          <w:rStyle w:val="af8"/>
          <w:rFonts w:hint="cs"/>
          <w:rtl/>
        </w:rPr>
        <w:t>הטור</w:t>
      </w:r>
      <w:r>
        <w:rPr>
          <w:rFonts w:hint="cs"/>
          <w:rtl/>
        </w:rPr>
        <w:t xml:space="preserve"> להדיא דיש בזה איסורא דאו', אך הקשה </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 ד"ה אך באמת)</w:t>
      </w:r>
      <w:r>
        <w:rPr>
          <w:rFonts w:hint="cs"/>
          <w:rtl/>
        </w:rPr>
        <w:t xml:space="preserve"> דלא משמע כן בדברי </w:t>
      </w:r>
      <w:r w:rsidRPr="00B4539D">
        <w:rPr>
          <w:rStyle w:val="af8"/>
          <w:rFonts w:hint="cs"/>
          <w:rtl/>
        </w:rPr>
        <w:t>רבינו חיים</w:t>
      </w:r>
      <w:r>
        <w:rPr>
          <w:rFonts w:hint="cs"/>
          <w:rtl/>
        </w:rPr>
        <w:t xml:space="preserve">, עיי"ש בדבריו, ובמ"ש בדעת </w:t>
      </w:r>
      <w:r w:rsidRPr="001F0337">
        <w:rPr>
          <w:rStyle w:val="af8"/>
          <w:rFonts w:hint="cs"/>
          <w:rtl/>
        </w:rPr>
        <w:t>הטור</w:t>
      </w:r>
      <w:r>
        <w:rPr>
          <w:rFonts w:hint="cs"/>
          <w:rtl/>
        </w:rPr>
        <w:t xml:space="preserve">. </w:t>
      </w:r>
      <w:r w:rsidRPr="00456407">
        <w:rPr>
          <w:rStyle w:val="afa"/>
          <w:rFonts w:hint="cs"/>
          <w:rtl/>
        </w:rPr>
        <w:t xml:space="preserve">[וע"ע בדברי </w:t>
      </w:r>
      <w:r w:rsidRPr="00456407">
        <w:rPr>
          <w:rStyle w:val="affa"/>
          <w:rFonts w:hint="cs"/>
          <w:rtl/>
        </w:rPr>
        <w:t>הנחל"ד</w:t>
      </w:r>
      <w:r w:rsidRPr="00456407">
        <w:rPr>
          <w:rStyle w:val="afa"/>
          <w:rFonts w:hint="cs"/>
          <w:rtl/>
        </w:rPr>
        <w:t xml:space="preserve"> </w:t>
      </w:r>
      <w:r w:rsidRPr="00456407">
        <w:rPr>
          <w:rStyle w:val="aff6"/>
          <w:rtl/>
        </w:rPr>
        <w:t>(פסחים מג:, קונ' דברי דוד [מהדו' חד' עמ'</w:t>
      </w:r>
      <w:r w:rsidRPr="00456407">
        <w:rPr>
          <w:rStyle w:val="aff6"/>
          <w:rFonts w:hint="cs"/>
          <w:rtl/>
        </w:rPr>
        <w:t xml:space="preserve"> קמ"ז] ד"ה וזהו לדעתי) </w:t>
      </w:r>
      <w:r w:rsidRPr="00456407">
        <w:rPr>
          <w:rStyle w:val="afa"/>
          <w:rFonts w:hint="cs"/>
          <w:rtl/>
        </w:rPr>
        <w:t xml:space="preserve">דכתב בדעת </w:t>
      </w:r>
      <w:r w:rsidRPr="00456407">
        <w:rPr>
          <w:rStyle w:val="affa"/>
          <w:rFonts w:hint="cs"/>
          <w:rtl/>
        </w:rPr>
        <w:t>הרמב"ם</w:t>
      </w:r>
      <w:r w:rsidRPr="00456407">
        <w:rPr>
          <w:rStyle w:val="afa"/>
          <w:rFonts w:hint="cs"/>
          <w:rtl/>
        </w:rPr>
        <w:t xml:space="preserve"> דס"ל </w:t>
      </w:r>
      <w:r w:rsidRPr="00456407">
        <w:rPr>
          <w:rStyle w:val="affa"/>
          <w:rFonts w:hint="cs"/>
          <w:rtl/>
        </w:rPr>
        <w:t>כרבינו חיים</w:t>
      </w:r>
      <w:r w:rsidRPr="00456407">
        <w:rPr>
          <w:rStyle w:val="afa"/>
          <w:rFonts w:hint="cs"/>
          <w:rtl/>
        </w:rPr>
        <w:t xml:space="preserve"> </w:t>
      </w:r>
      <w:r w:rsidR="008A21FD">
        <w:rPr>
          <w:rStyle w:val="afa"/>
          <w:rFonts w:hint="cs"/>
          <w:rtl/>
        </w:rPr>
        <w:t>דטעמו וממשו הוא</w:t>
      </w:r>
      <w:r w:rsidRPr="00456407">
        <w:rPr>
          <w:rStyle w:val="afa"/>
          <w:rFonts w:hint="cs"/>
          <w:rtl/>
        </w:rPr>
        <w:t xml:space="preserve"> רק בכזית </w:t>
      </w:r>
      <w:r w:rsidR="00640BC2">
        <w:rPr>
          <w:rStyle w:val="afa"/>
          <w:rFonts w:hint="cs"/>
          <w:rtl/>
        </w:rPr>
        <w:t>בכדי אכילת פרס</w:t>
      </w:r>
      <w:r w:rsidRPr="00456407">
        <w:rPr>
          <w:rStyle w:val="afa"/>
          <w:rFonts w:hint="cs"/>
          <w:rtl/>
        </w:rPr>
        <w:t xml:space="preserve">, ובפחות מכזית בכא"פ כתב </w:t>
      </w:r>
      <w:r w:rsidRPr="00456407">
        <w:rPr>
          <w:rStyle w:val="affa"/>
          <w:rFonts w:hint="cs"/>
          <w:rtl/>
        </w:rPr>
        <w:t>הנחל"ד</w:t>
      </w:r>
      <w:r w:rsidRPr="00456407">
        <w:rPr>
          <w:rStyle w:val="afa"/>
          <w:rFonts w:hint="cs"/>
          <w:rtl/>
        </w:rPr>
        <w:t xml:space="preserve"> בדעת </w:t>
      </w:r>
      <w:r w:rsidRPr="00456407">
        <w:rPr>
          <w:rStyle w:val="affa"/>
          <w:rFonts w:hint="cs"/>
          <w:rtl/>
        </w:rPr>
        <w:t>הרמב"ם</w:t>
      </w:r>
      <w:r w:rsidRPr="00456407">
        <w:rPr>
          <w:rStyle w:val="afa"/>
          <w:rFonts w:hint="cs"/>
          <w:rtl/>
        </w:rPr>
        <w:t xml:space="preserve"> דאף דטעם כעיקר דאו', מ"מ </w:t>
      </w:r>
      <w:r w:rsidR="008A21FD">
        <w:rPr>
          <w:rStyle w:val="afa"/>
          <w:rFonts w:hint="cs"/>
          <w:rtl/>
        </w:rPr>
        <w:t xml:space="preserve">ס"ל </w:t>
      </w:r>
      <w:r w:rsidR="008A21FD" w:rsidRPr="00D26559">
        <w:rPr>
          <w:rStyle w:val="affa"/>
          <w:rFonts w:hint="cs"/>
          <w:rtl/>
        </w:rPr>
        <w:t>להרמב"ם</w:t>
      </w:r>
      <w:r w:rsidR="008A21FD">
        <w:rPr>
          <w:rStyle w:val="afa"/>
          <w:rFonts w:hint="cs"/>
          <w:rtl/>
        </w:rPr>
        <w:t xml:space="preserve"> דלעולם אין</w:t>
      </w:r>
      <w:r w:rsidRPr="00456407">
        <w:rPr>
          <w:rStyle w:val="afa"/>
          <w:rFonts w:hint="cs"/>
          <w:rtl/>
        </w:rPr>
        <w:t xml:space="preserve"> דין נהפך, ולכן אין לוקין עליו, ו</w:t>
      </w:r>
      <w:r w:rsidR="008A21FD">
        <w:rPr>
          <w:rStyle w:val="afa"/>
          <w:rFonts w:hint="cs"/>
          <w:rtl/>
        </w:rPr>
        <w:t>אף כשיש בתערובת כזית בכדי אכילת פרס</w:t>
      </w:r>
      <w:r w:rsidR="00640BC2">
        <w:rPr>
          <w:rStyle w:val="afa"/>
          <w:rFonts w:hint="cs"/>
          <w:rtl/>
        </w:rPr>
        <w:t>,</w:t>
      </w:r>
      <w:r w:rsidR="008A21FD">
        <w:rPr>
          <w:rStyle w:val="afa"/>
          <w:rFonts w:hint="cs"/>
          <w:rtl/>
        </w:rPr>
        <w:t xml:space="preserve"> </w:t>
      </w:r>
      <w:r w:rsidR="00640BC2" w:rsidRPr="00640BC2">
        <w:rPr>
          <w:rStyle w:val="afa"/>
          <w:rtl/>
        </w:rPr>
        <w:t>רק כשאכל את כל הפרס מהתערובת, דאכל בו כזית מהטעם עצמו לוקה</w:t>
      </w:r>
      <w:r w:rsidR="00640BC2">
        <w:rPr>
          <w:rStyle w:val="afa"/>
          <w:rFonts w:hint="cs"/>
          <w:rtl/>
        </w:rPr>
        <w:t xml:space="preserve">. ויל"ע אי כוונתו דאף לדעת </w:t>
      </w:r>
      <w:r w:rsidR="00640BC2" w:rsidRPr="00D26559">
        <w:rPr>
          <w:rStyle w:val="affa"/>
          <w:rFonts w:hint="cs"/>
          <w:rtl/>
        </w:rPr>
        <w:t>רבינו חיים</w:t>
      </w:r>
      <w:r w:rsidR="00640BC2">
        <w:rPr>
          <w:rStyle w:val="afa"/>
          <w:rFonts w:hint="cs"/>
          <w:rtl/>
        </w:rPr>
        <w:t xml:space="preserve"> לא אמרינן נהפך</w:t>
      </w:r>
      <w:r w:rsidRPr="00456407">
        <w:rPr>
          <w:rStyle w:val="afa"/>
          <w:rFonts w:hint="cs"/>
          <w:rtl/>
        </w:rPr>
        <w:t>].</w:t>
      </w:r>
    </w:p>
    <w:p w:rsidR="00F34A57" w:rsidRDefault="00F34A57" w:rsidP="00F34A57">
      <w:pPr>
        <w:pStyle w:val="a2"/>
        <w:rPr>
          <w:rtl/>
        </w:rPr>
      </w:pPr>
      <w:bookmarkStart w:id="6976" w:name="_Toc14248937"/>
      <w:bookmarkStart w:id="6977" w:name="_Toc14257443"/>
      <w:r>
        <w:rPr>
          <w:rFonts w:hint="cs"/>
          <w:rtl/>
        </w:rPr>
        <w:t>קושית המנחת כהן דבמשרת לוקין אף על טעם בלא ממשות ומנזיר ילפינן לכל התורה</w:t>
      </w:r>
      <w:bookmarkEnd w:id="6976"/>
      <w:bookmarkEnd w:id="6977"/>
    </w:p>
    <w:p w:rsidR="00F34A57" w:rsidRDefault="00F34A57" w:rsidP="009F44AF">
      <w:pPr>
        <w:pStyle w:val="a"/>
      </w:pPr>
      <w:bookmarkStart w:id="6978" w:name="_Toc13773315"/>
      <w:bookmarkStart w:id="6979" w:name="_Toc13952621"/>
      <w:bookmarkStart w:id="6980" w:name="_Toc14089994"/>
      <w:bookmarkStart w:id="6981" w:name="_Toc14109794"/>
      <w:bookmarkStart w:id="6982" w:name="_Toc14120169"/>
      <w:bookmarkStart w:id="6983" w:name="_Toc14122347"/>
      <w:bookmarkStart w:id="6984" w:name="_Toc14196282"/>
      <w:bookmarkStart w:id="6985" w:name="_Toc14208844"/>
      <w:r>
        <w:rPr>
          <w:rFonts w:hint="cs"/>
          <w:rtl/>
        </w:rPr>
        <w:lastRenderedPageBreak/>
        <w:t>אך הקשה</w:t>
      </w:r>
      <w:r w:rsidRPr="00967972">
        <w:rPr>
          <w:rStyle w:val="af8"/>
          <w:rFonts w:hint="cs"/>
          <w:rtl/>
        </w:rPr>
        <w:t xml:space="preserve"> </w:t>
      </w:r>
      <w:r w:rsidRPr="00A51A09">
        <w:rPr>
          <w:rStyle w:val="af8"/>
          <w:rFonts w:hint="cs"/>
          <w:rtl/>
        </w:rPr>
        <w:t>המנחת כהן</w:t>
      </w:r>
      <w:r>
        <w:rPr>
          <w:rFonts w:hint="cs"/>
          <w:rtl/>
        </w:rPr>
        <w:t xml:space="preserve"> </w:t>
      </w:r>
      <w:r w:rsidRPr="00A51A09">
        <w:rPr>
          <w:rStyle w:val="af6"/>
          <w:rFonts w:eastAsia="Guttman Hodes" w:hint="cs"/>
          <w:rtl/>
        </w:rPr>
        <w:t xml:space="preserve">(ס' התערובות ח"א פ"ה </w:t>
      </w:r>
      <w:r>
        <w:rPr>
          <w:rStyle w:val="af6"/>
          <w:rFonts w:eastAsia="Guttman Hodes" w:hint="cs"/>
          <w:rtl/>
        </w:rPr>
        <w:t>סו</w:t>
      </w:r>
      <w:r w:rsidRPr="00A51A09">
        <w:rPr>
          <w:rStyle w:val="af6"/>
          <w:rFonts w:eastAsia="Guttman Hodes" w:hint="cs"/>
          <w:rtl/>
        </w:rPr>
        <w:t xml:space="preserve">ד"ה הדעת השנית) </w:t>
      </w:r>
      <w:r>
        <w:rPr>
          <w:rFonts w:hint="cs"/>
          <w:rtl/>
        </w:rPr>
        <w:t xml:space="preserve">על </w:t>
      </w:r>
      <w:r w:rsidRPr="00CA6BF0">
        <w:rPr>
          <w:rStyle w:val="af8"/>
          <w:rFonts w:hint="cs"/>
          <w:rtl/>
        </w:rPr>
        <w:t>דברי רבינו חיים</w:t>
      </w:r>
      <w:r>
        <w:rPr>
          <w:rFonts w:hint="cs"/>
          <w:rtl/>
        </w:rPr>
        <w:t xml:space="preserve"> דאין לוקין בטעם כעיקר בפחות מכדי אכילת פרס, וכ"ש במקום שיש רק טעם בלא ממשות, דהרי בדין משרת משמע דלמ"ד דטעם כעיקר דאו', לוקין על טעם כעיקר, אף במקום שיש רק טעם ואין את הממשות כלל, דהרי בשרה ענבים במים, ויש בהם טעם יין אין את הממשות של הענבים, ואפ"ה הנזיר לוקה עליהם, וממשרת ילפינן לכל האיסורים שבתורה, וכ"ש דלוקין במקום שנמחה ממשו של האיסור, ואין בו כזית בכדי אכילת פרס, וציין </w:t>
      </w:r>
      <w:r w:rsidRPr="00CA6BF0">
        <w:rPr>
          <w:rStyle w:val="af8"/>
          <w:rFonts w:hint="cs"/>
          <w:rtl/>
        </w:rPr>
        <w:t>המנחת כהן</w:t>
      </w:r>
      <w:r>
        <w:rPr>
          <w:rFonts w:hint="cs"/>
          <w:rtl/>
        </w:rPr>
        <w:t xml:space="preserve"> למה שתירץ את קושיה זו בדעת </w:t>
      </w:r>
      <w:r w:rsidRPr="00CA6BF0">
        <w:rPr>
          <w:rStyle w:val="af8"/>
          <w:rFonts w:hint="cs"/>
          <w:rtl/>
        </w:rPr>
        <w:t>הראב"ד</w:t>
      </w:r>
      <w:r>
        <w:rPr>
          <w:rFonts w:hint="cs"/>
          <w:rtl/>
        </w:rPr>
        <w:t xml:space="preserve"> </w:t>
      </w:r>
      <w:r w:rsidRPr="00CA6BF0">
        <w:rPr>
          <w:rStyle w:val="af6"/>
          <w:rFonts w:eastAsia="Guttman Hodes" w:hint="cs"/>
          <w:rtl/>
        </w:rPr>
        <w:t xml:space="preserve">(עי' אות </w:t>
      </w:r>
      <w:r w:rsidRPr="00CA6BF0">
        <w:rPr>
          <w:rStyle w:val="af6"/>
          <w:rFonts w:eastAsia="Guttman Hodes"/>
          <w:rtl/>
        </w:rPr>
        <w:fldChar w:fldCharType="begin"/>
      </w:r>
      <w:r w:rsidRPr="00CA6BF0">
        <w:rPr>
          <w:rStyle w:val="af6"/>
          <w:rFonts w:eastAsia="Guttman Hodes"/>
          <w:rtl/>
        </w:rPr>
        <w:instrText xml:space="preserve"> </w:instrText>
      </w:r>
      <w:r w:rsidRPr="00CA6BF0">
        <w:rPr>
          <w:rStyle w:val="af6"/>
          <w:rFonts w:eastAsia="Guttman Hodes" w:hint="cs"/>
        </w:rPr>
        <w:instrText>REF</w:instrText>
      </w:r>
      <w:r w:rsidRPr="00CA6BF0">
        <w:rPr>
          <w:rStyle w:val="af6"/>
          <w:rFonts w:eastAsia="Guttman Hodes" w:hint="cs"/>
          <w:rtl/>
        </w:rPr>
        <w:instrText xml:space="preserve"> _</w:instrText>
      </w:r>
      <w:r w:rsidRPr="00CA6BF0">
        <w:rPr>
          <w:rStyle w:val="af6"/>
          <w:rFonts w:eastAsia="Guttman Hodes" w:hint="cs"/>
        </w:rPr>
        <w:instrText>Ref14212328 \r \h</w:instrText>
      </w:r>
      <w:r w:rsidRPr="00CA6BF0">
        <w:rPr>
          <w:rStyle w:val="af6"/>
          <w:rFonts w:eastAsia="Guttman Hodes"/>
          <w:rtl/>
        </w:rPr>
        <w:instrText xml:space="preserve"> </w:instrText>
      </w:r>
      <w:r w:rsidRPr="00CA6BF0">
        <w:rPr>
          <w:rStyle w:val="af6"/>
          <w:rFonts w:eastAsia="Guttman Hodes"/>
          <w:rtl/>
        </w:rPr>
      </w:r>
      <w:r w:rsidRPr="00CA6BF0">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sidRPr="00CA6BF0">
        <w:rPr>
          <w:rStyle w:val="af6"/>
          <w:rFonts w:eastAsia="Guttman Hodes"/>
          <w:rtl/>
        </w:rPr>
        <w:fldChar w:fldCharType="end"/>
      </w:r>
      <w:r>
        <w:rPr>
          <w:rFonts w:hint="cs"/>
          <w:rtl/>
        </w:rPr>
        <w:t>.</w:t>
      </w:r>
    </w:p>
    <w:p w:rsidR="00A61798" w:rsidRDefault="00A61798" w:rsidP="00A61798">
      <w:pPr>
        <w:pStyle w:val="1"/>
      </w:pPr>
      <w:bookmarkStart w:id="6986" w:name="_Toc14248938"/>
      <w:bookmarkStart w:id="6987" w:name="_Toc14257444"/>
      <w:r>
        <w:rPr>
          <w:rFonts w:hint="cs"/>
          <w:rtl/>
        </w:rPr>
        <w:t>ביאור הנחל"ד דלרבינו אליהו אין דין נהפך ודלא כרבינו חיים</w:t>
      </w:r>
    </w:p>
    <w:p w:rsidR="00A61798" w:rsidRDefault="00A61798" w:rsidP="00A61798">
      <w:pPr>
        <w:pStyle w:val="a2"/>
        <w:rPr>
          <w:rtl/>
        </w:rPr>
      </w:pPr>
      <w:r>
        <w:rPr>
          <w:rFonts w:hint="cs"/>
          <w:rtl/>
        </w:rPr>
        <w:t>ביאור הנחל"ד דלרבינו אליהו לא אמרינן נהפך ולוקה רק כשאכל כזית מהאיסור ודלא כרבינו חיים</w:t>
      </w:r>
    </w:p>
    <w:p w:rsidR="00A61798" w:rsidRPr="00894082" w:rsidRDefault="00A61798" w:rsidP="009F44AF">
      <w:pPr>
        <w:pStyle w:val="a"/>
      </w:pPr>
      <w:bookmarkStart w:id="6988" w:name="_Ref14899423"/>
      <w:r w:rsidRPr="00823D90">
        <w:rPr>
          <w:rFonts w:hint="cs"/>
          <w:rtl/>
        </w:rPr>
        <w:t xml:space="preserve">ועוד </w:t>
      </w:r>
      <w:r>
        <w:rPr>
          <w:rFonts w:hint="cs"/>
          <w:rtl/>
        </w:rPr>
        <w:t xml:space="preserve">כתב </w:t>
      </w:r>
      <w:r w:rsidRPr="0050146A">
        <w:rPr>
          <w:rStyle w:val="af8"/>
          <w:rtl/>
        </w:rPr>
        <w:t>הנחל"ד</w:t>
      </w:r>
      <w:r w:rsidRPr="0050146A">
        <w:rPr>
          <w:rtl/>
        </w:rPr>
        <w:t xml:space="preserve"> </w:t>
      </w:r>
      <w:r w:rsidRPr="00B207AA">
        <w:rPr>
          <w:rStyle w:val="af6"/>
          <w:rFonts w:eastAsia="Guttman Hodes"/>
          <w:rtl/>
        </w:rPr>
        <w:t>(פסחים מג:, קונ' דברי דוד [מהדו' חד' עמ' ק</w:t>
      </w:r>
      <w:r w:rsidRPr="00B207AA">
        <w:rPr>
          <w:rStyle w:val="af6"/>
          <w:rFonts w:eastAsia="Guttman Hodes" w:hint="cs"/>
          <w:rtl/>
        </w:rPr>
        <w:t>מ</w:t>
      </w:r>
      <w:r w:rsidRPr="00B207AA">
        <w:rPr>
          <w:rStyle w:val="af6"/>
          <w:rFonts w:eastAsia="Guttman Hodes"/>
          <w:rtl/>
        </w:rPr>
        <w:t>"</w:t>
      </w:r>
      <w:r w:rsidRPr="00B207AA">
        <w:rPr>
          <w:rStyle w:val="af6"/>
          <w:rFonts w:eastAsia="Guttman Hodes" w:hint="cs"/>
          <w:rtl/>
        </w:rPr>
        <w:t>ז</w:t>
      </w:r>
      <w:r w:rsidRPr="00B207AA">
        <w:rPr>
          <w:rStyle w:val="af6"/>
          <w:rFonts w:eastAsia="Guttman Hodes"/>
          <w:rtl/>
        </w:rPr>
        <w:t xml:space="preserve">] </w:t>
      </w:r>
      <w:r>
        <w:rPr>
          <w:rStyle w:val="af6"/>
          <w:rFonts w:eastAsia="Guttman Hodes" w:hint="cs"/>
          <w:rtl/>
        </w:rPr>
        <w:t>סו</w:t>
      </w:r>
      <w:r w:rsidRPr="00B207AA">
        <w:rPr>
          <w:rStyle w:val="af6"/>
          <w:rFonts w:eastAsia="Guttman Hodes"/>
          <w:rtl/>
        </w:rPr>
        <w:t xml:space="preserve">ד"ה </w:t>
      </w:r>
      <w:r w:rsidRPr="00B207AA">
        <w:rPr>
          <w:rStyle w:val="af6"/>
          <w:rFonts w:eastAsia="Guttman Hodes" w:hint="cs"/>
          <w:rtl/>
        </w:rPr>
        <w:t xml:space="preserve">וזהו לדעתי) </w:t>
      </w:r>
      <w:r w:rsidRPr="000E4BF7">
        <w:rPr>
          <w:rStyle w:val="af8"/>
          <w:rFonts w:hint="cs"/>
          <w:rtl/>
        </w:rPr>
        <w:t xml:space="preserve">דרבינו אליהו בתוס' בע"ז </w:t>
      </w:r>
      <w:r w:rsidRPr="003A6146">
        <w:rPr>
          <w:rStyle w:val="af6"/>
          <w:rFonts w:eastAsia="Guttman Hodes" w:hint="cs"/>
          <w:rtl/>
        </w:rPr>
        <w:t xml:space="preserve">(עי' אות </w:t>
      </w:r>
      <w:r w:rsidRPr="003A6146">
        <w:rPr>
          <w:rStyle w:val="af6"/>
          <w:rFonts w:eastAsia="Guttman Hodes"/>
          <w:rtl/>
        </w:rPr>
        <w:fldChar w:fldCharType="begin"/>
      </w:r>
      <w:r w:rsidRPr="003A6146">
        <w:rPr>
          <w:rStyle w:val="af6"/>
          <w:rFonts w:eastAsia="Guttman Hodes"/>
          <w:rtl/>
        </w:rPr>
        <w:instrText xml:space="preserve"> </w:instrText>
      </w:r>
      <w:r w:rsidRPr="003A6146">
        <w:rPr>
          <w:rStyle w:val="af6"/>
          <w:rFonts w:eastAsia="Guttman Hodes" w:hint="cs"/>
        </w:rPr>
        <w:instrText>REF</w:instrText>
      </w:r>
      <w:r w:rsidRPr="003A6146">
        <w:rPr>
          <w:rStyle w:val="af6"/>
          <w:rFonts w:eastAsia="Guttman Hodes" w:hint="cs"/>
          <w:rtl/>
        </w:rPr>
        <w:instrText xml:space="preserve"> _</w:instrText>
      </w:r>
      <w:r w:rsidRPr="003A6146">
        <w:rPr>
          <w:rStyle w:val="af6"/>
          <w:rFonts w:eastAsia="Guttman Hodes" w:hint="cs"/>
        </w:rPr>
        <w:instrText>Ref14249711 \r \h</w:instrText>
      </w:r>
      <w:r w:rsidRPr="003A6146">
        <w:rPr>
          <w:rStyle w:val="af6"/>
          <w:rFonts w:eastAsia="Guttman Hodes"/>
          <w:rtl/>
        </w:rPr>
        <w:instrText xml:space="preserve"> </w:instrText>
      </w:r>
      <w:r w:rsidRPr="003A6146">
        <w:rPr>
          <w:rStyle w:val="af6"/>
          <w:rFonts w:eastAsia="Guttman Hodes"/>
          <w:rtl/>
        </w:rPr>
      </w:r>
      <w:r w:rsidRPr="003A6146">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3A6146">
        <w:rPr>
          <w:rStyle w:val="af6"/>
          <w:rFonts w:eastAsia="Guttman Hodes"/>
          <w:rtl/>
        </w:rPr>
        <w:fldChar w:fldCharType="end"/>
      </w:r>
      <w:r>
        <w:rPr>
          <w:rFonts w:hint="cs"/>
          <w:rtl/>
        </w:rPr>
        <w:t xml:space="preserve"> לא ס"ל כדעת </w:t>
      </w:r>
      <w:r w:rsidRPr="000E4BF7">
        <w:rPr>
          <w:rStyle w:val="af8"/>
          <w:rFonts w:hint="cs"/>
          <w:rtl/>
        </w:rPr>
        <w:t>רבינו חיים</w:t>
      </w:r>
      <w:r w:rsidRPr="000E4BF7">
        <w:rPr>
          <w:rFonts w:hint="cs"/>
          <w:rtl/>
        </w:rPr>
        <w:t xml:space="preserve"> </w:t>
      </w:r>
      <w:r>
        <w:rPr>
          <w:rFonts w:hint="cs"/>
          <w:rtl/>
        </w:rPr>
        <w:t>שהביא</w:t>
      </w:r>
      <w:r w:rsidRPr="000E4BF7">
        <w:rPr>
          <w:rStyle w:val="af8"/>
          <w:rFonts w:hint="cs"/>
          <w:rtl/>
        </w:rPr>
        <w:t xml:space="preserve"> הרא"ש </w:t>
      </w:r>
      <w:r w:rsidRPr="003A6146">
        <w:rPr>
          <w:rStyle w:val="af6"/>
          <w:rFonts w:eastAsia="Guttman Hodes" w:hint="cs"/>
          <w:rtl/>
        </w:rPr>
        <w:t>(עי' אות</w:t>
      </w:r>
      <w:r w:rsidR="00776FBE">
        <w:rPr>
          <w:rStyle w:val="af6"/>
          <w:rFonts w:eastAsia="Guttman Hodes" w:hint="cs"/>
          <w:rtl/>
        </w:rPr>
        <w:t xml:space="preserve"> </w:t>
      </w:r>
      <w:r w:rsidR="00776FBE">
        <w:rPr>
          <w:rStyle w:val="af6"/>
          <w:rFonts w:eastAsia="Guttman Hodes"/>
          <w:rtl/>
        </w:rPr>
        <w:fldChar w:fldCharType="begin"/>
      </w:r>
      <w:r w:rsidR="00776FBE">
        <w:rPr>
          <w:rStyle w:val="af6"/>
          <w:rFonts w:eastAsia="Guttman Hodes"/>
          <w:rtl/>
        </w:rPr>
        <w:instrText xml:space="preserve"> </w:instrText>
      </w:r>
      <w:r w:rsidR="00776FBE">
        <w:rPr>
          <w:rStyle w:val="af6"/>
          <w:rFonts w:eastAsia="Guttman Hodes" w:hint="cs"/>
        </w:rPr>
        <w:instrText>REF</w:instrText>
      </w:r>
      <w:r w:rsidR="00776FBE">
        <w:rPr>
          <w:rStyle w:val="af6"/>
          <w:rFonts w:eastAsia="Guttman Hodes" w:hint="cs"/>
          <w:rtl/>
        </w:rPr>
        <w:instrText xml:space="preserve"> _</w:instrText>
      </w:r>
      <w:r w:rsidR="00776FBE">
        <w:rPr>
          <w:rStyle w:val="af6"/>
          <w:rFonts w:eastAsia="Guttman Hodes" w:hint="cs"/>
        </w:rPr>
        <w:instrText>Ref14896529 \r \h</w:instrText>
      </w:r>
      <w:r w:rsidR="00776FBE">
        <w:rPr>
          <w:rStyle w:val="af6"/>
          <w:rFonts w:eastAsia="Guttman Hodes"/>
          <w:rtl/>
        </w:rPr>
        <w:instrText xml:space="preserve"> </w:instrText>
      </w:r>
      <w:r w:rsidR="00776FBE">
        <w:rPr>
          <w:rStyle w:val="af6"/>
          <w:rFonts w:eastAsia="Guttman Hodes"/>
          <w:rtl/>
        </w:rPr>
      </w:r>
      <w:r w:rsidR="00776FBE">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00776FBE">
        <w:rPr>
          <w:rStyle w:val="af6"/>
          <w:rFonts w:eastAsia="Guttman Hodes"/>
          <w:rtl/>
        </w:rPr>
        <w:fldChar w:fldCharType="end"/>
      </w:r>
      <w:r>
        <w:rPr>
          <w:rFonts w:hint="cs"/>
          <w:rtl/>
        </w:rPr>
        <w:t xml:space="preserve">, </w:t>
      </w:r>
      <w:r w:rsidRPr="000E4BF7">
        <w:rPr>
          <w:rStyle w:val="af8"/>
          <w:rFonts w:hint="cs"/>
          <w:rtl/>
        </w:rPr>
        <w:t>דלרבינו אליהו</w:t>
      </w:r>
      <w:r>
        <w:rPr>
          <w:rFonts w:hint="cs"/>
          <w:rtl/>
        </w:rPr>
        <w:t xml:space="preserve"> לעולם לא אמרינן נהפך, </w:t>
      </w:r>
      <w:r w:rsidRPr="005122D8">
        <w:rPr>
          <w:rStyle w:val="afa"/>
          <w:rFonts w:hint="cs"/>
          <w:rtl/>
        </w:rPr>
        <w:t xml:space="preserve">[וכדביאר </w:t>
      </w:r>
      <w:r w:rsidRPr="00CD7AD6">
        <w:rPr>
          <w:rStyle w:val="affa"/>
          <w:rFonts w:hint="cs"/>
          <w:rtl/>
        </w:rPr>
        <w:t>הנחל"ד</w:t>
      </w:r>
      <w:r w:rsidRPr="005122D8">
        <w:rPr>
          <w:rStyle w:val="afa"/>
          <w:rFonts w:hint="cs"/>
          <w:rtl/>
        </w:rPr>
        <w:t xml:space="preserve"> בדעת </w:t>
      </w:r>
      <w:r w:rsidR="00315CF9">
        <w:rPr>
          <w:rStyle w:val="affa"/>
          <w:rFonts w:hint="cs"/>
          <w:rtl/>
        </w:rPr>
        <w:t>הרמב"ם</w:t>
      </w:r>
      <w:r w:rsidR="00315CF9">
        <w:rPr>
          <w:rStyle w:val="afa"/>
          <w:rFonts w:hint="cs"/>
          <w:rtl/>
        </w:rPr>
        <w:t xml:space="preserve"> </w:t>
      </w:r>
      <w:r w:rsidR="00315CF9" w:rsidRPr="00315CF9">
        <w:rPr>
          <w:rStyle w:val="aff6"/>
          <w:rFonts w:hint="cs"/>
          <w:rtl/>
        </w:rPr>
        <w:t>(הובא לקמן סימן י</w:t>
      </w:r>
      <w:r w:rsidR="00315CF9" w:rsidRPr="0004466A">
        <w:rPr>
          <w:rStyle w:val="aff6"/>
          <w:rFonts w:hint="cs"/>
          <w:rtl/>
        </w:rPr>
        <w:t xml:space="preserve">"א אות </w:t>
      </w:r>
      <w:r w:rsidR="0004466A" w:rsidRPr="0004466A">
        <w:rPr>
          <w:rStyle w:val="aff6"/>
          <w:rtl/>
        </w:rPr>
        <w:fldChar w:fldCharType="begin"/>
      </w:r>
      <w:r w:rsidR="0004466A" w:rsidRPr="0004466A">
        <w:rPr>
          <w:rStyle w:val="aff6"/>
          <w:rtl/>
        </w:rPr>
        <w:instrText xml:space="preserve"> </w:instrText>
      </w:r>
      <w:r w:rsidR="0004466A" w:rsidRPr="0004466A">
        <w:rPr>
          <w:rStyle w:val="aff6"/>
          <w:rFonts w:hint="cs"/>
        </w:rPr>
        <w:instrText>REF</w:instrText>
      </w:r>
      <w:r w:rsidR="0004466A" w:rsidRPr="0004466A">
        <w:rPr>
          <w:rStyle w:val="aff6"/>
          <w:rFonts w:hint="cs"/>
          <w:rtl/>
        </w:rPr>
        <w:instrText xml:space="preserve"> _</w:instrText>
      </w:r>
      <w:r w:rsidR="0004466A" w:rsidRPr="0004466A">
        <w:rPr>
          <w:rStyle w:val="aff6"/>
          <w:rFonts w:hint="cs"/>
        </w:rPr>
        <w:instrText>Ref15848164 \r \h</w:instrText>
      </w:r>
      <w:r w:rsidR="0004466A" w:rsidRPr="0004466A">
        <w:rPr>
          <w:rStyle w:val="aff6"/>
          <w:rtl/>
        </w:rPr>
        <w:instrText xml:space="preserve"> </w:instrText>
      </w:r>
      <w:r w:rsidR="0004466A" w:rsidRPr="0004466A">
        <w:rPr>
          <w:rStyle w:val="aff6"/>
          <w:rtl/>
        </w:rPr>
      </w:r>
      <w:r w:rsidR="0004466A" w:rsidRPr="0004466A">
        <w:rPr>
          <w:rStyle w:val="aff6"/>
          <w:rtl/>
        </w:rPr>
        <w:fldChar w:fldCharType="separate"/>
      </w:r>
      <w:r w:rsidR="004D1C5B">
        <w:rPr>
          <w:rStyle w:val="aff6"/>
          <w:cs/>
        </w:rPr>
        <w:t>‎</w:t>
      </w:r>
      <w:r w:rsidR="004D1C5B">
        <w:rPr>
          <w:rStyle w:val="aff6"/>
          <w:rtl/>
        </w:rPr>
        <w:t>לב)</w:t>
      </w:r>
      <w:r w:rsidR="0004466A" w:rsidRPr="0004466A">
        <w:rPr>
          <w:rStyle w:val="aff6"/>
          <w:rtl/>
        </w:rPr>
        <w:fldChar w:fldCharType="end"/>
      </w:r>
      <w:r w:rsidRPr="005122D8">
        <w:rPr>
          <w:rStyle w:val="afa"/>
          <w:rFonts w:hint="cs"/>
          <w:rtl/>
        </w:rPr>
        <w:t xml:space="preserve">], </w:t>
      </w:r>
      <w:r>
        <w:rPr>
          <w:rFonts w:hint="cs"/>
          <w:rtl/>
        </w:rPr>
        <w:t xml:space="preserve">ולכן בפחות מכזית בכדי אכילת פרס לא שייך מלקות, דלא אכל כשיעור, ואף כשיש בתערובת כזית בכדי אכילת פרס, מ"מ רק כשאכל את כל הפרס מהתערובת, דכלול בו כזית מטעם האיסור עצמו לוקה, וביאר </w:t>
      </w:r>
      <w:r w:rsidRPr="000E4BF7">
        <w:rPr>
          <w:rStyle w:val="af8"/>
          <w:rFonts w:hint="cs"/>
          <w:rtl/>
        </w:rPr>
        <w:t>הנחל"ד</w:t>
      </w:r>
      <w:r>
        <w:rPr>
          <w:rFonts w:hint="cs"/>
          <w:rtl/>
        </w:rPr>
        <w:t xml:space="preserve"> דהא דבפחות מכזית בכדי אכילת פרס, אסור רק מדרבנן, אף בטעמו וממשו וכ"ש בטעם לבדו, דס"ל </w:t>
      </w:r>
      <w:r w:rsidRPr="000E4BF7">
        <w:rPr>
          <w:rStyle w:val="af8"/>
          <w:rFonts w:hint="cs"/>
          <w:rtl/>
        </w:rPr>
        <w:t>לרבינו אליהו</w:t>
      </w:r>
      <w:r>
        <w:rPr>
          <w:rFonts w:hint="cs"/>
          <w:rtl/>
        </w:rPr>
        <w:t xml:space="preserve"> דאיסור חצי שיעור הוא רק בעין ולא בתערובת כיון דלא חזי לאיצטרופי, </w:t>
      </w:r>
      <w:r w:rsidRPr="00A339EE">
        <w:rPr>
          <w:rStyle w:val="afa"/>
          <w:rFonts w:hint="cs"/>
          <w:rtl/>
        </w:rPr>
        <w:t xml:space="preserve">[עיי"ש במ"ש </w:t>
      </w:r>
      <w:r w:rsidRPr="00A339EE">
        <w:rPr>
          <w:rStyle w:val="affa"/>
          <w:rFonts w:hint="cs"/>
          <w:rtl/>
        </w:rPr>
        <w:t>הנחל"ד</w:t>
      </w:r>
      <w:r w:rsidRPr="00A339EE">
        <w:rPr>
          <w:rStyle w:val="afa"/>
          <w:rFonts w:hint="cs"/>
          <w:rtl/>
        </w:rPr>
        <w:t xml:space="preserve"> להוכיח כן, ו</w:t>
      </w:r>
      <w:r>
        <w:rPr>
          <w:rStyle w:val="afa"/>
          <w:rFonts w:hint="cs"/>
          <w:rtl/>
        </w:rPr>
        <w:t xml:space="preserve">ע"ע </w:t>
      </w:r>
      <w:r w:rsidRPr="00A339EE">
        <w:rPr>
          <w:rStyle w:val="afa"/>
          <w:rFonts w:hint="cs"/>
          <w:rtl/>
        </w:rPr>
        <w:t>במה שהאריך</w:t>
      </w:r>
      <w:r>
        <w:rPr>
          <w:rStyle w:val="afa"/>
          <w:rFonts w:hint="cs"/>
          <w:rtl/>
        </w:rPr>
        <w:t xml:space="preserve"> </w:t>
      </w:r>
      <w:r w:rsidRPr="005131BC">
        <w:rPr>
          <w:rStyle w:val="affa"/>
          <w:rtl/>
        </w:rPr>
        <w:t>הנחל"ד</w:t>
      </w:r>
      <w:r w:rsidRPr="005131BC">
        <w:rPr>
          <w:rStyle w:val="afa"/>
          <w:rtl/>
        </w:rPr>
        <w:t xml:space="preserve"> </w:t>
      </w:r>
      <w:r w:rsidRPr="005131BC">
        <w:rPr>
          <w:rStyle w:val="aff6"/>
          <w:rtl/>
        </w:rPr>
        <w:t xml:space="preserve">(פסחים מג:, קונ' דברי דוד [מהדו' חד' עמ' </w:t>
      </w:r>
      <w:r w:rsidRPr="005131BC">
        <w:rPr>
          <w:rStyle w:val="aff6"/>
          <w:rFonts w:hint="cs"/>
          <w:rtl/>
        </w:rPr>
        <w:t>קכ"</w:t>
      </w:r>
      <w:r>
        <w:rPr>
          <w:rStyle w:val="aff6"/>
          <w:rFonts w:hint="cs"/>
          <w:rtl/>
        </w:rPr>
        <w:t>ח</w:t>
      </w:r>
      <w:r w:rsidRPr="005131BC">
        <w:rPr>
          <w:rStyle w:val="aff6"/>
          <w:rtl/>
        </w:rPr>
        <w:t xml:space="preserve">] ד"ה </w:t>
      </w:r>
      <w:r w:rsidRPr="005131BC">
        <w:rPr>
          <w:rStyle w:val="aff6"/>
          <w:rFonts w:hint="cs"/>
          <w:rtl/>
        </w:rPr>
        <w:t xml:space="preserve">אמנם </w:t>
      </w:r>
      <w:r>
        <w:rPr>
          <w:rStyle w:val="aff6"/>
          <w:rFonts w:hint="cs"/>
          <w:rtl/>
        </w:rPr>
        <w:t>ומה שהקשה</w:t>
      </w:r>
      <w:r w:rsidRPr="005131BC">
        <w:rPr>
          <w:rStyle w:val="aff6"/>
          <w:rtl/>
        </w:rPr>
        <w:t>)</w:t>
      </w:r>
      <w:r w:rsidRPr="00A339EE">
        <w:rPr>
          <w:rStyle w:val="afa"/>
          <w:rFonts w:hint="cs"/>
          <w:rtl/>
        </w:rPr>
        <w:t xml:space="preserve"> </w:t>
      </w:r>
      <w:r>
        <w:rPr>
          <w:rStyle w:val="afa"/>
          <w:rFonts w:hint="cs"/>
          <w:rtl/>
        </w:rPr>
        <w:t>בביאור סברא זו</w:t>
      </w:r>
      <w:r w:rsidRPr="005131BC">
        <w:rPr>
          <w:rStyle w:val="afa"/>
          <w:rFonts w:hint="cs"/>
          <w:rtl/>
        </w:rPr>
        <w:t>]</w:t>
      </w:r>
      <w:r>
        <w:rPr>
          <w:rStyle w:val="afa"/>
          <w:rFonts w:hint="cs"/>
          <w:rtl/>
        </w:rPr>
        <w:t>,</w:t>
      </w:r>
      <w:r>
        <w:rPr>
          <w:rFonts w:hint="cs"/>
          <w:rtl/>
        </w:rPr>
        <w:t xml:space="preserve"> וכתב </w:t>
      </w:r>
      <w:r w:rsidRPr="000E4BF7">
        <w:rPr>
          <w:rStyle w:val="af8"/>
          <w:rFonts w:hint="cs"/>
          <w:rtl/>
        </w:rPr>
        <w:t xml:space="preserve">הנחל"ד </w:t>
      </w:r>
      <w:r>
        <w:rPr>
          <w:rFonts w:hint="cs"/>
          <w:rtl/>
        </w:rPr>
        <w:t xml:space="preserve">דא"כ </w:t>
      </w:r>
      <w:r w:rsidRPr="000E4BF7">
        <w:rPr>
          <w:rStyle w:val="af8"/>
          <w:rFonts w:hint="cs"/>
          <w:rtl/>
        </w:rPr>
        <w:t>לרבינו אליהו</w:t>
      </w:r>
      <w:r>
        <w:rPr>
          <w:rFonts w:hint="cs"/>
          <w:rtl/>
        </w:rPr>
        <w:t xml:space="preserve"> אין כל חילוק בין טעמו וממשו, לטעמו בלא ממשו, דכל שיש כזית בכדי אכילת פרס, לוקה בשתיהן, וכשאין כזית בכדי אכילת פרס, אין איסור דאו', אפילו מדין חצי שיעור.</w:t>
      </w:r>
      <w:bookmarkEnd w:id="6988"/>
    </w:p>
    <w:p w:rsidR="00F34A57" w:rsidRDefault="00F34A57" w:rsidP="00E669F8">
      <w:pPr>
        <w:pStyle w:val="afd"/>
        <w:rPr>
          <w:rtl/>
        </w:rPr>
      </w:pPr>
      <w:r w:rsidRPr="00D133F3">
        <w:rPr>
          <w:rFonts w:hint="cs"/>
          <w:rtl/>
        </w:rPr>
        <w:t xml:space="preserve">ביאור האחרונים ברמב"ן </w:t>
      </w:r>
      <w:bookmarkEnd w:id="6978"/>
      <w:bookmarkEnd w:id="6979"/>
      <w:bookmarkEnd w:id="6980"/>
      <w:bookmarkEnd w:id="6981"/>
      <w:bookmarkEnd w:id="6982"/>
      <w:bookmarkEnd w:id="6983"/>
      <w:r w:rsidRPr="00D133F3">
        <w:rPr>
          <w:rFonts w:hint="cs"/>
          <w:rtl/>
        </w:rPr>
        <w:t>דלא אמרינן נהפך</w:t>
      </w:r>
      <w:bookmarkEnd w:id="6984"/>
      <w:bookmarkEnd w:id="6985"/>
      <w:bookmarkEnd w:id="6986"/>
      <w:bookmarkEnd w:id="6987"/>
    </w:p>
    <w:p w:rsidR="00F34A57" w:rsidRDefault="00F34A57" w:rsidP="00F34A57">
      <w:pPr>
        <w:pStyle w:val="1"/>
        <w:rPr>
          <w:rtl/>
        </w:rPr>
      </w:pPr>
      <w:bookmarkStart w:id="6989" w:name="_Toc14196283"/>
      <w:bookmarkStart w:id="6990" w:name="_Toc14208845"/>
      <w:bookmarkStart w:id="6991" w:name="_Toc14248939"/>
      <w:bookmarkStart w:id="6992" w:name="_Toc14257445"/>
      <w:r>
        <w:rPr>
          <w:rFonts w:hint="cs"/>
          <w:rtl/>
        </w:rPr>
        <w:t>דברי הרמב"ן דבעיסת אורז אף בפחות מכא"פ יש לה דין דגן</w:t>
      </w:r>
      <w:bookmarkEnd w:id="6989"/>
      <w:bookmarkEnd w:id="6990"/>
      <w:bookmarkEnd w:id="6991"/>
      <w:bookmarkEnd w:id="6992"/>
    </w:p>
    <w:p w:rsidR="00F34A57" w:rsidRPr="00EB6AAB" w:rsidRDefault="00F34A57" w:rsidP="00F34A57">
      <w:pPr>
        <w:pStyle w:val="a2"/>
        <w:rPr>
          <w:rtl/>
        </w:rPr>
      </w:pPr>
      <w:bookmarkStart w:id="6993" w:name="_Toc14196284"/>
      <w:bookmarkStart w:id="6994" w:name="_Toc14208846"/>
      <w:bookmarkStart w:id="6995" w:name="_Toc14248940"/>
      <w:bookmarkStart w:id="6996" w:name="_Toc14257446"/>
      <w:r>
        <w:rPr>
          <w:rFonts w:hint="cs"/>
          <w:rtl/>
        </w:rPr>
        <w:t>קושית הרמב"ן היאך יוצא יד"ח מצה בעיסת אורז שיש בה טעם דגן בפחות מכזית בכא"פ</w:t>
      </w:r>
      <w:bookmarkEnd w:id="6993"/>
      <w:bookmarkEnd w:id="6994"/>
      <w:bookmarkEnd w:id="6995"/>
      <w:bookmarkEnd w:id="6996"/>
    </w:p>
    <w:p w:rsidR="00F34A57" w:rsidRDefault="00F34A57" w:rsidP="009F44AF">
      <w:pPr>
        <w:pStyle w:val="a"/>
        <w:rPr>
          <w:sz w:val="10"/>
          <w:szCs w:val="14"/>
          <w:rtl/>
        </w:rPr>
      </w:pPr>
      <w:bookmarkStart w:id="6997" w:name="_Ref14194652"/>
      <w:bookmarkStart w:id="6998" w:name="_Ref13772324"/>
      <w:r>
        <w:rPr>
          <w:rFonts w:hint="cs"/>
          <w:rtl/>
        </w:rPr>
        <w:t xml:space="preserve">בהא דאיתא בגמ' בזבחים </w:t>
      </w:r>
      <w:r w:rsidRPr="00657B21">
        <w:rPr>
          <w:rStyle w:val="af6"/>
          <w:rFonts w:eastAsia="Guttman Hodes" w:hint="cs"/>
          <w:rtl/>
        </w:rPr>
        <w:t>(עט.)</w:t>
      </w:r>
      <w:r>
        <w:rPr>
          <w:rFonts w:hint="cs"/>
          <w:rtl/>
        </w:rPr>
        <w:t xml:space="preserve"> דהעושה עיסה מחיטין ומאורז, אם יש בה טעם דגן חייבת בחלה, אעפ"י דרובה אורז, ויוצא בה ידי חובת מצה בפסח, הקשה </w:t>
      </w:r>
      <w:r w:rsidRPr="00657B21">
        <w:rPr>
          <w:rStyle w:val="af8"/>
          <w:rFonts w:hint="cs"/>
          <w:rtl/>
        </w:rPr>
        <w:t>הרמב"ן בהל</w:t>
      </w:r>
      <w:r>
        <w:rPr>
          <w:rStyle w:val="af8"/>
          <w:rFonts w:hint="cs"/>
          <w:rtl/>
        </w:rPr>
        <w:t>כות</w:t>
      </w:r>
      <w:r w:rsidRPr="00657B21">
        <w:rPr>
          <w:rStyle w:val="af8"/>
          <w:rFonts w:hint="cs"/>
          <w:rtl/>
        </w:rPr>
        <w:t xml:space="preserve"> חלה</w:t>
      </w:r>
      <w:r>
        <w:rPr>
          <w:rFonts w:hint="cs"/>
          <w:rtl/>
        </w:rPr>
        <w:t xml:space="preserve"> </w:t>
      </w:r>
      <w:r w:rsidRPr="00657B21">
        <w:rPr>
          <w:rStyle w:val="af6"/>
          <w:rFonts w:eastAsia="Guttman Hodes" w:hint="cs"/>
          <w:rtl/>
        </w:rPr>
        <w:t>(פ"ג מ"ז נד' בסוף בכורות לא. מדה"ס,</w:t>
      </w:r>
      <w:r>
        <w:rPr>
          <w:rStyle w:val="af6"/>
          <w:rFonts w:eastAsia="Guttman Hodes" w:hint="cs"/>
          <w:rtl/>
        </w:rPr>
        <w:t xml:space="preserve"> ["וילנא" עמ' ק"ה "עוז והדר" עמ' קכ"א]</w:t>
      </w:r>
      <w:r w:rsidRPr="00657B21">
        <w:rPr>
          <w:rStyle w:val="af6"/>
          <w:rFonts w:eastAsia="Guttman Hodes" w:hint="cs"/>
          <w:rtl/>
        </w:rPr>
        <w:t>)</w:t>
      </w:r>
      <w:r>
        <w:rPr>
          <w:rFonts w:hint="cs"/>
          <w:rtl/>
        </w:rPr>
        <w:t xml:space="preserve"> דהרי  רק כזית בכדי אכילת פרס בטעמו וממשו הוא דאו', אבל פחות מכזית בכדי אכילת פרס, לכו"ע אינו מדאו', וא"כ אף שהטעם לא התבטל, היאך יוצא בה יד"ח מצה בפסח, הרי עיקר העיסה היא אורז.</w:t>
      </w:r>
      <w:r w:rsidRPr="00BC0598">
        <w:rPr>
          <w:rStyle w:val="afa"/>
          <w:rFonts w:hint="cs"/>
          <w:rtl/>
        </w:rPr>
        <w:t xml:space="preserve"> </w:t>
      </w:r>
      <w:r>
        <w:rPr>
          <w:rStyle w:val="afa"/>
          <w:rFonts w:hint="cs"/>
          <w:rtl/>
        </w:rPr>
        <w:t>[ו</w:t>
      </w:r>
      <w:r w:rsidRPr="000F5760">
        <w:rPr>
          <w:rStyle w:val="afa"/>
          <w:rFonts w:hint="cs"/>
          <w:rtl/>
        </w:rPr>
        <w:t xml:space="preserve">ס"ל </w:t>
      </w:r>
      <w:r w:rsidRPr="000F5760">
        <w:rPr>
          <w:rStyle w:val="affa"/>
          <w:rFonts w:hint="cs"/>
          <w:rtl/>
        </w:rPr>
        <w:t>להרמב"ן</w:t>
      </w:r>
      <w:r w:rsidRPr="000F5760">
        <w:rPr>
          <w:rStyle w:val="afa"/>
          <w:rFonts w:hint="cs"/>
          <w:rtl/>
        </w:rPr>
        <w:t xml:space="preserve"> דאיירי שאין בה כזית בכדי אכילת פרס כזית, וסגי שיש בה טעם דגן</w:t>
      </w:r>
      <w:r>
        <w:rPr>
          <w:rStyle w:val="afa"/>
          <w:rFonts w:hint="cs"/>
          <w:rtl/>
        </w:rPr>
        <w:t xml:space="preserve">, ודלא </w:t>
      </w:r>
      <w:r w:rsidRPr="000F5760">
        <w:rPr>
          <w:rStyle w:val="affa"/>
          <w:rFonts w:hint="cs"/>
          <w:rtl/>
        </w:rPr>
        <w:t>כהראב"ד</w:t>
      </w:r>
      <w:r>
        <w:rPr>
          <w:rStyle w:val="afa"/>
          <w:rFonts w:hint="cs"/>
          <w:rtl/>
        </w:rPr>
        <w:t xml:space="preserve"> </w:t>
      </w:r>
      <w:r w:rsidRPr="00175B7E">
        <w:rPr>
          <w:rStyle w:val="aff6"/>
          <w:rFonts w:hint="cs"/>
          <w:rtl/>
        </w:rPr>
        <w:t xml:space="preserve">(עי' </w:t>
      </w:r>
      <w:r w:rsidRPr="007729A2">
        <w:rPr>
          <w:rStyle w:val="aff6"/>
          <w:rFonts w:hint="cs"/>
          <w:rtl/>
        </w:rPr>
        <w:t xml:space="preserve">אות </w:t>
      </w:r>
      <w:r w:rsidRPr="007729A2">
        <w:rPr>
          <w:rStyle w:val="aff6"/>
          <w:rtl/>
        </w:rPr>
        <w:fldChar w:fldCharType="begin"/>
      </w:r>
      <w:r w:rsidRPr="007729A2">
        <w:rPr>
          <w:rStyle w:val="aff6"/>
          <w:rtl/>
        </w:rPr>
        <w:instrText xml:space="preserve"> </w:instrText>
      </w:r>
      <w:r w:rsidRPr="007729A2">
        <w:rPr>
          <w:rStyle w:val="aff6"/>
          <w:rFonts w:hint="cs"/>
        </w:rPr>
        <w:instrText>REF</w:instrText>
      </w:r>
      <w:r w:rsidRPr="007729A2">
        <w:rPr>
          <w:rStyle w:val="aff6"/>
          <w:rFonts w:hint="cs"/>
          <w:rtl/>
        </w:rPr>
        <w:instrText xml:space="preserve"> _</w:instrText>
      </w:r>
      <w:r w:rsidRPr="007729A2">
        <w:rPr>
          <w:rStyle w:val="aff6"/>
          <w:rFonts w:hint="cs"/>
        </w:rPr>
        <w:instrText>Ref14256814 \r \h</w:instrText>
      </w:r>
      <w:r w:rsidRPr="007729A2">
        <w:rPr>
          <w:rStyle w:val="aff6"/>
          <w:rtl/>
        </w:rPr>
        <w:instrText xml:space="preserve"> </w:instrText>
      </w:r>
      <w:r w:rsidRPr="007729A2">
        <w:rPr>
          <w:rStyle w:val="aff6"/>
          <w:rtl/>
        </w:rPr>
      </w:r>
      <w:r w:rsidRPr="007729A2">
        <w:rPr>
          <w:rStyle w:val="aff6"/>
          <w:rtl/>
        </w:rPr>
        <w:fldChar w:fldCharType="separate"/>
      </w:r>
      <w:r w:rsidR="004D1C5B">
        <w:rPr>
          <w:rStyle w:val="aff6"/>
          <w:cs/>
        </w:rPr>
        <w:t>‎</w:t>
      </w:r>
      <w:r w:rsidR="004D1C5B">
        <w:rPr>
          <w:rStyle w:val="aff6"/>
          <w:rtl/>
        </w:rPr>
        <w:t>עו)</w:t>
      </w:r>
      <w:r w:rsidRPr="007729A2">
        <w:rPr>
          <w:rStyle w:val="aff6"/>
          <w:rtl/>
        </w:rPr>
        <w:fldChar w:fldCharType="end"/>
      </w:r>
      <w:r>
        <w:rPr>
          <w:rStyle w:val="affa"/>
          <w:rFonts w:hint="cs"/>
          <w:rtl/>
        </w:rPr>
        <w:t xml:space="preserve"> </w:t>
      </w:r>
      <w:r w:rsidRPr="000F5760">
        <w:rPr>
          <w:rStyle w:val="affa"/>
          <w:rFonts w:hint="cs"/>
          <w:rtl/>
        </w:rPr>
        <w:t>והרשב"א</w:t>
      </w:r>
      <w:r>
        <w:rPr>
          <w:rStyle w:val="afa"/>
          <w:rFonts w:hint="cs"/>
          <w:rtl/>
        </w:rPr>
        <w:t xml:space="preserve"> </w:t>
      </w:r>
      <w:r w:rsidRPr="00175B7E">
        <w:rPr>
          <w:rStyle w:val="aff6"/>
          <w:rFonts w:hint="cs"/>
          <w:rtl/>
        </w:rPr>
        <w:t xml:space="preserve">(עי' אות </w:t>
      </w:r>
      <w:r w:rsidRPr="00175B7E">
        <w:rPr>
          <w:rStyle w:val="aff6"/>
          <w:rtl/>
        </w:rPr>
        <w:fldChar w:fldCharType="begin"/>
      </w:r>
      <w:r w:rsidRPr="00175B7E">
        <w:rPr>
          <w:rStyle w:val="aff6"/>
          <w:rtl/>
        </w:rPr>
        <w:instrText xml:space="preserve"> </w:instrText>
      </w:r>
      <w:r w:rsidRPr="00175B7E">
        <w:rPr>
          <w:rStyle w:val="aff6"/>
          <w:rFonts w:hint="cs"/>
        </w:rPr>
        <w:instrText>REF</w:instrText>
      </w:r>
      <w:r w:rsidRPr="00175B7E">
        <w:rPr>
          <w:rStyle w:val="aff6"/>
          <w:rFonts w:hint="cs"/>
          <w:rtl/>
        </w:rPr>
        <w:instrText xml:space="preserve"> _</w:instrText>
      </w:r>
      <w:r w:rsidRPr="00175B7E">
        <w:rPr>
          <w:rStyle w:val="aff6"/>
          <w:rFonts w:hint="cs"/>
        </w:rPr>
        <w:instrText>Ref13949540 \r \h</w:instrText>
      </w:r>
      <w:r w:rsidRPr="00175B7E">
        <w:rPr>
          <w:rStyle w:val="aff6"/>
          <w:rtl/>
        </w:rPr>
        <w:instrText xml:space="preserve"> </w:instrText>
      </w:r>
      <w:r w:rsidRPr="00175B7E">
        <w:rPr>
          <w:rStyle w:val="aff6"/>
          <w:rtl/>
        </w:rPr>
      </w:r>
      <w:r w:rsidRPr="00175B7E">
        <w:rPr>
          <w:rStyle w:val="aff6"/>
          <w:rtl/>
        </w:rPr>
        <w:fldChar w:fldCharType="separate"/>
      </w:r>
      <w:r w:rsidR="004D1C5B">
        <w:rPr>
          <w:rStyle w:val="aff6"/>
          <w:cs/>
        </w:rPr>
        <w:t>‎</w:t>
      </w:r>
      <w:r w:rsidR="004D1C5B">
        <w:rPr>
          <w:rStyle w:val="aff6"/>
          <w:rtl/>
        </w:rPr>
        <w:t>צה)</w:t>
      </w:r>
      <w:r w:rsidRPr="00175B7E">
        <w:rPr>
          <w:rStyle w:val="aff6"/>
          <w:rtl/>
        </w:rPr>
        <w:fldChar w:fldCharType="end"/>
      </w:r>
      <w:r w:rsidRPr="000F5760">
        <w:rPr>
          <w:rStyle w:val="afa"/>
          <w:rFonts w:hint="cs"/>
          <w:rtl/>
        </w:rPr>
        <w:t>]</w:t>
      </w:r>
      <w:bookmarkEnd w:id="6997"/>
      <w:r>
        <w:rPr>
          <w:rtl/>
        </w:rPr>
        <w:t xml:space="preserve">, ועי' בדברי </w:t>
      </w:r>
      <w:r>
        <w:rPr>
          <w:rStyle w:val="af8"/>
          <w:rtl/>
        </w:rPr>
        <w:t>האבי עזרי</w:t>
      </w:r>
      <w:r>
        <w:rPr>
          <w:rtl/>
        </w:rPr>
        <w:t xml:space="preserve"> </w:t>
      </w:r>
      <w:r w:rsidRPr="007729A2">
        <w:rPr>
          <w:rStyle w:val="af6"/>
          <w:rFonts w:eastAsia="Guttman Hodes" w:hint="cs"/>
          <w:rtl/>
        </w:rPr>
        <w:t xml:space="preserve">(עי' אות </w:t>
      </w:r>
      <w:r w:rsidRPr="007729A2">
        <w:rPr>
          <w:rStyle w:val="af6"/>
          <w:rFonts w:eastAsia="Guttman Hodes"/>
          <w:rtl/>
        </w:rPr>
        <w:fldChar w:fldCharType="begin"/>
      </w:r>
      <w:r w:rsidRPr="007729A2">
        <w:rPr>
          <w:rStyle w:val="af6"/>
          <w:rFonts w:eastAsia="Guttman Hodes"/>
          <w:rtl/>
        </w:rPr>
        <w:instrText xml:space="preserve"> </w:instrText>
      </w:r>
      <w:r w:rsidRPr="007729A2">
        <w:rPr>
          <w:rStyle w:val="af6"/>
          <w:rFonts w:eastAsia="Guttman Hodes" w:hint="cs"/>
        </w:rPr>
        <w:instrText>REF</w:instrText>
      </w:r>
      <w:r w:rsidRPr="007729A2">
        <w:rPr>
          <w:rStyle w:val="af6"/>
          <w:rFonts w:eastAsia="Guttman Hodes" w:hint="cs"/>
          <w:rtl/>
        </w:rPr>
        <w:instrText xml:space="preserve"> _</w:instrText>
      </w:r>
      <w:r w:rsidRPr="007729A2">
        <w:rPr>
          <w:rStyle w:val="af6"/>
          <w:rFonts w:eastAsia="Guttman Hodes" w:hint="cs"/>
        </w:rPr>
        <w:instrText>Ref14256775 \r \h</w:instrText>
      </w:r>
      <w:r w:rsidRPr="007729A2">
        <w:rPr>
          <w:rStyle w:val="af6"/>
          <w:rFonts w:eastAsia="Guttman Hodes"/>
          <w:rtl/>
        </w:rPr>
        <w:instrText xml:space="preserve"> </w:instrText>
      </w:r>
      <w:r w:rsidRPr="007729A2">
        <w:rPr>
          <w:rStyle w:val="af6"/>
          <w:rFonts w:eastAsia="Guttman Hodes"/>
          <w:rtl/>
        </w:rPr>
      </w:r>
      <w:r w:rsidRPr="007729A2">
        <w:rPr>
          <w:rStyle w:val="af6"/>
          <w:rFonts w:eastAsia="Guttman Hodes"/>
          <w:rtl/>
        </w:rPr>
        <w:fldChar w:fldCharType="separate"/>
      </w:r>
      <w:r w:rsidR="004D1C5B">
        <w:rPr>
          <w:rStyle w:val="af6"/>
          <w:rFonts w:eastAsia="Guttman Hodes"/>
          <w:cs/>
        </w:rPr>
        <w:t>‎</w:t>
      </w:r>
      <w:r w:rsidR="004D1C5B">
        <w:rPr>
          <w:rStyle w:val="af6"/>
          <w:rFonts w:eastAsia="Guttman Hodes"/>
          <w:rtl/>
        </w:rPr>
        <w:t>קלח)</w:t>
      </w:r>
      <w:r w:rsidRPr="007729A2">
        <w:rPr>
          <w:rStyle w:val="af6"/>
          <w:rFonts w:eastAsia="Guttman Hodes"/>
          <w:rtl/>
        </w:rPr>
        <w:fldChar w:fldCharType="end"/>
      </w:r>
      <w:r>
        <w:rPr>
          <w:rFonts w:hint="cs"/>
          <w:rtl/>
        </w:rPr>
        <w:t xml:space="preserve"> במה שביאר בקושית </w:t>
      </w:r>
      <w:r w:rsidRPr="007729A2">
        <w:rPr>
          <w:rStyle w:val="af8"/>
          <w:rFonts w:hint="cs"/>
          <w:rtl/>
        </w:rPr>
        <w:t>הרמב"ן</w:t>
      </w:r>
      <w:r>
        <w:rPr>
          <w:rFonts w:hint="cs"/>
          <w:rtl/>
        </w:rPr>
        <w:t xml:space="preserve">, וע"ע במה שביאר </w:t>
      </w:r>
      <w:r w:rsidRPr="00EA17D9">
        <w:rPr>
          <w:rStyle w:val="af8"/>
          <w:rFonts w:hint="cs"/>
          <w:rtl/>
        </w:rPr>
        <w:t>הגר"ח</w:t>
      </w:r>
      <w:r>
        <w:rPr>
          <w:rFonts w:hint="cs"/>
          <w:rtl/>
        </w:rPr>
        <w:t xml:space="preserve"> </w:t>
      </w:r>
      <w:r w:rsidRPr="00EA17D9">
        <w:rPr>
          <w:rStyle w:val="af6"/>
          <w:rFonts w:eastAsia="Guttman Hodes" w:hint="cs"/>
          <w:rtl/>
        </w:rPr>
        <w:t xml:space="preserve">(עי' אות </w:t>
      </w:r>
      <w:r w:rsidRPr="00EA17D9">
        <w:rPr>
          <w:rStyle w:val="af6"/>
          <w:rFonts w:eastAsia="Guttman Hodes"/>
          <w:rtl/>
        </w:rPr>
        <w:fldChar w:fldCharType="begin"/>
      </w:r>
      <w:r w:rsidRPr="00EA17D9">
        <w:rPr>
          <w:rStyle w:val="af6"/>
          <w:rFonts w:eastAsia="Guttman Hodes"/>
          <w:rtl/>
        </w:rPr>
        <w:instrText xml:space="preserve"> </w:instrText>
      </w:r>
      <w:r w:rsidRPr="00EA17D9">
        <w:rPr>
          <w:rStyle w:val="af6"/>
          <w:rFonts w:eastAsia="Guttman Hodes" w:hint="cs"/>
        </w:rPr>
        <w:instrText>REF</w:instrText>
      </w:r>
      <w:r w:rsidRPr="00EA17D9">
        <w:rPr>
          <w:rStyle w:val="af6"/>
          <w:rFonts w:eastAsia="Guttman Hodes" w:hint="cs"/>
          <w:rtl/>
        </w:rPr>
        <w:instrText xml:space="preserve"> _</w:instrText>
      </w:r>
      <w:r w:rsidRPr="00EA17D9">
        <w:rPr>
          <w:rStyle w:val="af6"/>
          <w:rFonts w:eastAsia="Guttman Hodes" w:hint="cs"/>
        </w:rPr>
        <w:instrText>Ref12895728 \r \h</w:instrText>
      </w:r>
      <w:r w:rsidRPr="00EA17D9">
        <w:rPr>
          <w:rStyle w:val="af6"/>
          <w:rFonts w:eastAsia="Guttman Hodes"/>
          <w:rtl/>
        </w:rPr>
        <w:instrText xml:space="preserve"> </w:instrText>
      </w:r>
      <w:r w:rsidRPr="00EA17D9">
        <w:rPr>
          <w:rStyle w:val="af6"/>
          <w:rFonts w:eastAsia="Guttman Hodes"/>
          <w:rtl/>
        </w:rPr>
      </w:r>
      <w:r w:rsidRPr="00EA17D9">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EA17D9">
        <w:rPr>
          <w:rStyle w:val="af6"/>
          <w:rFonts w:eastAsia="Guttman Hodes"/>
          <w:rtl/>
        </w:rPr>
        <w:fldChar w:fldCharType="end"/>
      </w:r>
      <w:r>
        <w:rPr>
          <w:rFonts w:hint="cs"/>
          <w:rtl/>
        </w:rPr>
        <w:t xml:space="preserve"> בדין עיסת אורז. </w:t>
      </w:r>
      <w:r>
        <w:rPr>
          <w:rStyle w:val="afa"/>
          <w:rFonts w:hint="cs"/>
          <w:rtl/>
        </w:rPr>
        <w:t xml:space="preserve"> </w:t>
      </w:r>
    </w:p>
    <w:p w:rsidR="00F34A57" w:rsidRPr="00BC0598" w:rsidRDefault="00F34A57" w:rsidP="00F34A57">
      <w:pPr>
        <w:pStyle w:val="a2"/>
      </w:pPr>
      <w:bookmarkStart w:id="6999" w:name="_Toc14196285"/>
      <w:bookmarkStart w:id="7000" w:name="_Toc14208847"/>
      <w:bookmarkStart w:id="7001" w:name="_Toc14248941"/>
      <w:bookmarkStart w:id="7002" w:name="_Toc14257447"/>
      <w:r>
        <w:rPr>
          <w:rFonts w:hint="cs"/>
          <w:rtl/>
        </w:rPr>
        <w:t>ביאור הרמב"ן דבעיסת אורז יש לה דין עיסת חיטים מדין גרירה</w:t>
      </w:r>
      <w:bookmarkEnd w:id="6999"/>
      <w:bookmarkEnd w:id="7000"/>
      <w:bookmarkEnd w:id="7001"/>
      <w:bookmarkEnd w:id="7002"/>
      <w:r>
        <w:rPr>
          <w:rFonts w:hint="cs"/>
          <w:rtl/>
        </w:rPr>
        <w:t xml:space="preserve"> </w:t>
      </w:r>
    </w:p>
    <w:p w:rsidR="00F34A57" w:rsidRDefault="00F34A57" w:rsidP="009F44AF">
      <w:pPr>
        <w:pStyle w:val="a"/>
        <w:rPr>
          <w:rStyle w:val="afa"/>
          <w:rtl/>
        </w:rPr>
      </w:pPr>
      <w:bookmarkStart w:id="7003" w:name="_Toc14196286"/>
      <w:bookmarkStart w:id="7004" w:name="_Toc14208848"/>
      <w:bookmarkEnd w:id="6998"/>
      <w:r>
        <w:rPr>
          <w:rFonts w:hint="cs"/>
          <w:rtl/>
        </w:rPr>
        <w:t xml:space="preserve"> </w:t>
      </w:r>
      <w:bookmarkStart w:id="7005" w:name="_Ref14256340"/>
      <w:r>
        <w:rPr>
          <w:rFonts w:hint="cs"/>
          <w:rtl/>
        </w:rPr>
        <w:t xml:space="preserve">ותירץ </w:t>
      </w:r>
      <w:r w:rsidRPr="00657B21">
        <w:rPr>
          <w:rStyle w:val="af8"/>
          <w:rFonts w:hint="cs"/>
          <w:rtl/>
        </w:rPr>
        <w:t>הרמב"ן</w:t>
      </w:r>
      <w:r>
        <w:rPr>
          <w:rFonts w:hint="cs"/>
          <w:rtl/>
        </w:rPr>
        <w:t xml:space="preserve"> </w:t>
      </w:r>
      <w:r w:rsidRPr="00657B21">
        <w:rPr>
          <w:rStyle w:val="af8"/>
          <w:rFonts w:hint="cs"/>
          <w:rtl/>
        </w:rPr>
        <w:t>בהל</w:t>
      </w:r>
      <w:r>
        <w:rPr>
          <w:rStyle w:val="af8"/>
          <w:rFonts w:hint="cs"/>
          <w:rtl/>
        </w:rPr>
        <w:t>כות</w:t>
      </w:r>
      <w:r w:rsidRPr="00657B21">
        <w:rPr>
          <w:rStyle w:val="af8"/>
          <w:rFonts w:hint="cs"/>
          <w:rtl/>
        </w:rPr>
        <w:t xml:space="preserve"> חלה</w:t>
      </w:r>
      <w:r>
        <w:rPr>
          <w:rFonts w:hint="cs"/>
          <w:rtl/>
        </w:rPr>
        <w:t xml:space="preserve"> דמבואר </w:t>
      </w:r>
      <w:r w:rsidR="00973666">
        <w:rPr>
          <w:rFonts w:hint="cs"/>
          <w:rtl/>
        </w:rPr>
        <w:t xml:space="preserve">בירושלמי בחלה </w:t>
      </w:r>
      <w:r w:rsidR="00973666" w:rsidRPr="0043743E">
        <w:rPr>
          <w:rStyle w:val="af6"/>
          <w:rFonts w:eastAsia="Guttman Hodes" w:hint="cs"/>
          <w:rtl/>
        </w:rPr>
        <w:t>(פ"</w:t>
      </w:r>
      <w:r w:rsidR="00973666">
        <w:rPr>
          <w:rStyle w:val="af6"/>
          <w:rFonts w:eastAsia="Guttman Hodes" w:hint="cs"/>
          <w:rtl/>
        </w:rPr>
        <w:t>א</w:t>
      </w:r>
      <w:r w:rsidR="00973666" w:rsidRPr="0043743E">
        <w:rPr>
          <w:rStyle w:val="af6"/>
          <w:rFonts w:eastAsia="Guttman Hodes" w:hint="cs"/>
          <w:rtl/>
        </w:rPr>
        <w:t xml:space="preserve"> ה"</w:t>
      </w:r>
      <w:r w:rsidR="00973666">
        <w:rPr>
          <w:rStyle w:val="af6"/>
          <w:rFonts w:eastAsia="Guttman Hodes" w:hint="cs"/>
          <w:rtl/>
        </w:rPr>
        <w:t>א</w:t>
      </w:r>
      <w:r w:rsidR="00973666" w:rsidRPr="0043743E">
        <w:rPr>
          <w:rStyle w:val="af6"/>
          <w:rFonts w:eastAsia="Guttman Hodes" w:hint="cs"/>
          <w:rtl/>
        </w:rPr>
        <w:t xml:space="preserve"> </w:t>
      </w:r>
      <w:r w:rsidR="00973666">
        <w:rPr>
          <w:rStyle w:val="af6"/>
          <w:rFonts w:eastAsia="Guttman Hodes" w:hint="cs"/>
          <w:rtl/>
        </w:rPr>
        <w:t>א</w:t>
      </w:r>
      <w:r w:rsidR="00973666" w:rsidRPr="0043743E">
        <w:rPr>
          <w:rStyle w:val="af6"/>
          <w:rFonts w:eastAsia="Guttman Hodes" w:hint="cs"/>
          <w:rtl/>
        </w:rPr>
        <w:t>:)</w:t>
      </w:r>
      <w:r>
        <w:rPr>
          <w:rFonts w:hint="cs"/>
          <w:rtl/>
        </w:rPr>
        <w:t xml:space="preserve"> דהא דיש לה דין עיסת חיטים הוא מדין גרירה, </w:t>
      </w:r>
      <w:r w:rsidR="00E66008" w:rsidRPr="002D36E2">
        <w:rPr>
          <w:rStyle w:val="afa"/>
          <w:rFonts w:hint="cs"/>
          <w:rtl/>
        </w:rPr>
        <w:t>[דלדין מצה בעינן דגן הבא לידי חימוץ, וכשנגרר אחר החיטים אף האורז בא לידי חימוץ],</w:t>
      </w:r>
      <w:r w:rsidR="00E66008" w:rsidRPr="00564456">
        <w:rPr>
          <w:rFonts w:hint="cs"/>
          <w:rtl/>
        </w:rPr>
        <w:t xml:space="preserve"> </w:t>
      </w:r>
      <w:r>
        <w:rPr>
          <w:rFonts w:hint="cs"/>
          <w:rtl/>
        </w:rPr>
        <w:t xml:space="preserve">עיי"ש בדבריו, ועי' במה שדחה </w:t>
      </w:r>
      <w:r>
        <w:rPr>
          <w:rStyle w:val="af8"/>
          <w:rtl/>
        </w:rPr>
        <w:t xml:space="preserve">הרא"ש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Ref13772316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לג</w:t>
      </w:r>
      <w:r w:rsidR="004D1C5B">
        <w:rPr>
          <w:rStyle w:val="af6"/>
          <w:rFonts w:eastAsia="Guttman Hodes"/>
          <w:rtl/>
        </w:rPr>
        <w:t>)</w:t>
      </w:r>
      <w:r>
        <w:rPr>
          <w:rStyle w:val="af6"/>
          <w:rFonts w:eastAsia="Guttman Hodes" w:hint="cs"/>
          <w:rtl/>
        </w:rPr>
        <w:fldChar w:fldCharType="end"/>
      </w:r>
      <w:r>
        <w:rPr>
          <w:rFonts w:hint="cs"/>
          <w:rtl/>
        </w:rPr>
        <w:t xml:space="preserve"> דאי"ז כוונת הירושלמי.</w:t>
      </w:r>
      <w:r w:rsidRPr="00F07DC4">
        <w:rPr>
          <w:rStyle w:val="afa"/>
          <w:rtl/>
        </w:rPr>
        <w:t xml:space="preserve"> </w:t>
      </w:r>
      <w:r>
        <w:rPr>
          <w:rStyle w:val="afa"/>
          <w:rtl/>
        </w:rPr>
        <w:t xml:space="preserve">[וע"ע במ"ש </w:t>
      </w:r>
      <w:r>
        <w:rPr>
          <w:rStyle w:val="affa"/>
          <w:rtl/>
        </w:rPr>
        <w:t>הרמב"ן בחי'</w:t>
      </w:r>
      <w:r>
        <w:rPr>
          <w:rStyle w:val="afa"/>
          <w:rtl/>
        </w:rPr>
        <w:t xml:space="preserve"> </w:t>
      </w:r>
      <w:r>
        <w:rPr>
          <w:rStyle w:val="aff6"/>
          <w:rtl/>
        </w:rPr>
        <w:t>(ד"ה ועוד ר"ת)</w:t>
      </w:r>
      <w:r>
        <w:rPr>
          <w:rStyle w:val="afa"/>
          <w:rtl/>
        </w:rPr>
        <w:t xml:space="preserve"> </w:t>
      </w:r>
      <w:r>
        <w:rPr>
          <w:rStyle w:val="affa"/>
          <w:rtl/>
        </w:rPr>
        <w:t>והרשב"א</w:t>
      </w:r>
      <w:r>
        <w:rPr>
          <w:rStyle w:val="af8"/>
          <w:rtl/>
        </w:rPr>
        <w:t xml:space="preserve"> </w:t>
      </w:r>
      <w:r>
        <w:rPr>
          <w:rStyle w:val="affa"/>
          <w:rtl/>
        </w:rPr>
        <w:t>בחי'</w:t>
      </w:r>
      <w:r>
        <w:rPr>
          <w:rStyle w:val="afa"/>
          <w:rtl/>
        </w:rPr>
        <w:t xml:space="preserve"> </w:t>
      </w:r>
      <w:r>
        <w:rPr>
          <w:rStyle w:val="aff6"/>
          <w:rtl/>
        </w:rPr>
        <w:t>(ד"ה ור"י, הובא לעיל סימן ט אות</w:t>
      </w:r>
      <w:r w:rsidR="00664FAE">
        <w:rPr>
          <w:rStyle w:val="aff6"/>
          <w:rFonts w:hint="cs"/>
          <w:rtl/>
        </w:rPr>
        <w:t xml:space="preserve"> </w:t>
      </w:r>
      <w:r w:rsidR="00664FAE">
        <w:rPr>
          <w:rStyle w:val="aff6"/>
          <w:rtl/>
        </w:rPr>
        <w:fldChar w:fldCharType="begin"/>
      </w:r>
      <w:r w:rsidR="00664FAE">
        <w:rPr>
          <w:rStyle w:val="aff6"/>
          <w:rtl/>
        </w:rPr>
        <w:instrText xml:space="preserve"> </w:instrText>
      </w:r>
      <w:r w:rsidR="00664FAE">
        <w:rPr>
          <w:rStyle w:val="aff6"/>
          <w:rFonts w:hint="cs"/>
        </w:rPr>
        <w:instrText>REF</w:instrText>
      </w:r>
      <w:r w:rsidR="00664FAE">
        <w:rPr>
          <w:rStyle w:val="aff6"/>
          <w:rFonts w:hint="cs"/>
          <w:rtl/>
        </w:rPr>
        <w:instrText xml:space="preserve"> _</w:instrText>
      </w:r>
      <w:r w:rsidR="00664FAE">
        <w:rPr>
          <w:rStyle w:val="aff6"/>
          <w:rFonts w:hint="cs"/>
        </w:rPr>
        <w:instrText>Ref13647339 \r \h</w:instrText>
      </w:r>
      <w:r w:rsidR="00664FAE">
        <w:rPr>
          <w:rStyle w:val="aff6"/>
          <w:rtl/>
        </w:rPr>
        <w:instrText xml:space="preserve"> </w:instrText>
      </w:r>
      <w:r w:rsidR="00664FAE">
        <w:rPr>
          <w:rStyle w:val="aff6"/>
          <w:rtl/>
        </w:rPr>
      </w:r>
      <w:r w:rsidR="00664FAE">
        <w:rPr>
          <w:rStyle w:val="aff6"/>
          <w:rtl/>
        </w:rPr>
        <w:fldChar w:fldCharType="separate"/>
      </w:r>
      <w:r w:rsidR="004D1C5B">
        <w:rPr>
          <w:rStyle w:val="aff6"/>
          <w:cs/>
        </w:rPr>
        <w:t>‎</w:t>
      </w:r>
      <w:r w:rsidR="004D1C5B">
        <w:rPr>
          <w:rStyle w:val="aff6"/>
          <w:rtl/>
        </w:rPr>
        <w:t>קב)</w:t>
      </w:r>
      <w:r w:rsidR="00664FAE">
        <w:rPr>
          <w:rStyle w:val="aff6"/>
          <w:rtl/>
        </w:rPr>
        <w:fldChar w:fldCharType="end"/>
      </w:r>
      <w:r>
        <w:rPr>
          <w:rStyle w:val="afa"/>
          <w:rtl/>
        </w:rPr>
        <w:t xml:space="preserve">  בביאור פלוגתת </w:t>
      </w:r>
      <w:r>
        <w:rPr>
          <w:rStyle w:val="affa"/>
          <w:rtl/>
        </w:rPr>
        <w:t>ר"ת ורש"י</w:t>
      </w:r>
      <w:r>
        <w:rPr>
          <w:rStyle w:val="afa"/>
          <w:rtl/>
        </w:rPr>
        <w:t xml:space="preserve"> בדין עיסת אורז, ובמ"ש בזה</w:t>
      </w:r>
      <w:r>
        <w:rPr>
          <w:rStyle w:val="affa"/>
          <w:rtl/>
        </w:rPr>
        <w:t xml:space="preserve"> הרא"ש</w:t>
      </w:r>
      <w:r>
        <w:rPr>
          <w:rStyle w:val="afa"/>
          <w:rtl/>
        </w:rPr>
        <w:t xml:space="preserve"> </w:t>
      </w:r>
      <w:r>
        <w:rPr>
          <w:rStyle w:val="aff6"/>
          <w:rtl/>
        </w:rPr>
        <w:t>(סי' ל"א , הובא לעיל סימן ט' אות</w:t>
      </w:r>
      <w:r w:rsidR="00664FAE">
        <w:rPr>
          <w:rStyle w:val="aff6"/>
          <w:rFonts w:hint="cs"/>
          <w:rtl/>
        </w:rPr>
        <w:t xml:space="preserve"> </w:t>
      </w:r>
      <w:r w:rsidR="00664FAE">
        <w:rPr>
          <w:rStyle w:val="aff6"/>
          <w:rtl/>
        </w:rPr>
        <w:fldChar w:fldCharType="begin"/>
      </w:r>
      <w:r w:rsidR="00664FAE">
        <w:rPr>
          <w:rStyle w:val="aff6"/>
          <w:rtl/>
        </w:rPr>
        <w:instrText xml:space="preserve"> </w:instrText>
      </w:r>
      <w:r w:rsidR="00664FAE">
        <w:rPr>
          <w:rStyle w:val="aff6"/>
          <w:rFonts w:hint="cs"/>
        </w:rPr>
        <w:instrText>REF</w:instrText>
      </w:r>
      <w:r w:rsidR="00664FAE">
        <w:rPr>
          <w:rStyle w:val="aff6"/>
          <w:rFonts w:hint="cs"/>
          <w:rtl/>
        </w:rPr>
        <w:instrText xml:space="preserve"> _</w:instrText>
      </w:r>
      <w:r w:rsidR="00664FAE">
        <w:rPr>
          <w:rStyle w:val="aff6"/>
          <w:rFonts w:hint="cs"/>
        </w:rPr>
        <w:instrText>Ref13648325 \r \h</w:instrText>
      </w:r>
      <w:r w:rsidR="00664FAE">
        <w:rPr>
          <w:rStyle w:val="aff6"/>
          <w:rtl/>
        </w:rPr>
        <w:instrText xml:space="preserve"> </w:instrText>
      </w:r>
      <w:r w:rsidR="00664FAE">
        <w:rPr>
          <w:rStyle w:val="aff6"/>
          <w:rtl/>
        </w:rPr>
      </w:r>
      <w:r w:rsidR="00664FAE">
        <w:rPr>
          <w:rStyle w:val="aff6"/>
          <w:rtl/>
        </w:rPr>
        <w:fldChar w:fldCharType="separate"/>
      </w:r>
      <w:r w:rsidR="004D1C5B">
        <w:rPr>
          <w:rStyle w:val="aff6"/>
          <w:cs/>
        </w:rPr>
        <w:t>‎</w:t>
      </w:r>
      <w:r w:rsidR="004D1C5B">
        <w:rPr>
          <w:rStyle w:val="aff6"/>
          <w:rtl/>
        </w:rPr>
        <w:t>צט)</w:t>
      </w:r>
      <w:r w:rsidR="00664FAE">
        <w:rPr>
          <w:rStyle w:val="aff6"/>
          <w:rtl/>
        </w:rPr>
        <w:fldChar w:fldCharType="end"/>
      </w:r>
      <w:r>
        <w:rPr>
          <w:rStyle w:val="afa"/>
          <w:rtl/>
        </w:rPr>
        <w:t>]</w:t>
      </w:r>
      <w:bookmarkEnd w:id="7005"/>
      <w:r>
        <w:rPr>
          <w:rFonts w:hint="cs"/>
          <w:rtl/>
        </w:rPr>
        <w:t>, ועי' במה שהאריך</w:t>
      </w:r>
      <w:r w:rsidRPr="00B06FAB">
        <w:rPr>
          <w:rFonts w:hint="cs"/>
          <w:rtl/>
        </w:rPr>
        <w:t xml:space="preserve"> </w:t>
      </w:r>
      <w:r w:rsidRPr="005C0B48">
        <w:rPr>
          <w:rStyle w:val="af8"/>
          <w:rFonts w:hint="cs"/>
          <w:rtl/>
        </w:rPr>
        <w:t>האבי עזרי</w:t>
      </w:r>
      <w:r>
        <w:rPr>
          <w:rFonts w:hint="cs"/>
          <w:rtl/>
        </w:rPr>
        <w:t xml:space="preserve"> </w:t>
      </w:r>
      <w:r w:rsidRPr="00B06FAB">
        <w:rPr>
          <w:rStyle w:val="af6"/>
          <w:rFonts w:eastAsia="Guttman Hodes" w:hint="cs"/>
          <w:rtl/>
        </w:rPr>
        <w:t xml:space="preserve">(עי' אות </w:t>
      </w:r>
      <w:r w:rsidRPr="00B06FAB">
        <w:rPr>
          <w:rStyle w:val="af6"/>
          <w:rFonts w:eastAsia="Guttman Hodes"/>
          <w:rtl/>
        </w:rPr>
        <w:fldChar w:fldCharType="begin"/>
      </w:r>
      <w:r w:rsidRPr="00B06FAB">
        <w:rPr>
          <w:rStyle w:val="af6"/>
          <w:rFonts w:eastAsia="Guttman Hodes"/>
          <w:rtl/>
        </w:rPr>
        <w:instrText xml:space="preserve"> </w:instrText>
      </w:r>
      <w:r w:rsidRPr="00B06FAB">
        <w:rPr>
          <w:rStyle w:val="af6"/>
          <w:rFonts w:eastAsia="Guttman Hodes" w:hint="cs"/>
        </w:rPr>
        <w:instrText>REF</w:instrText>
      </w:r>
      <w:r w:rsidRPr="00B06FAB">
        <w:rPr>
          <w:rStyle w:val="af6"/>
          <w:rFonts w:eastAsia="Guttman Hodes" w:hint="cs"/>
          <w:rtl/>
        </w:rPr>
        <w:instrText xml:space="preserve"> _</w:instrText>
      </w:r>
      <w:r w:rsidRPr="00B06FAB">
        <w:rPr>
          <w:rStyle w:val="af6"/>
          <w:rFonts w:eastAsia="Guttman Hodes" w:hint="cs"/>
        </w:rPr>
        <w:instrText>Ref14256413 \r \h</w:instrText>
      </w:r>
      <w:r w:rsidRPr="00B06FAB">
        <w:rPr>
          <w:rStyle w:val="af6"/>
          <w:rFonts w:eastAsia="Guttman Hodes"/>
          <w:rtl/>
        </w:rPr>
        <w:instrText xml:space="preserve"> </w:instrText>
      </w:r>
      <w:r w:rsidRPr="00B06FAB">
        <w:rPr>
          <w:rStyle w:val="af6"/>
          <w:rFonts w:eastAsia="Guttman Hodes"/>
          <w:rtl/>
        </w:rPr>
      </w:r>
      <w:r w:rsidRPr="00B06FAB">
        <w:rPr>
          <w:rStyle w:val="af6"/>
          <w:rFonts w:eastAsia="Guttman Hodes"/>
          <w:rtl/>
        </w:rPr>
        <w:fldChar w:fldCharType="separate"/>
      </w:r>
      <w:r w:rsidR="004D1C5B">
        <w:rPr>
          <w:rStyle w:val="af6"/>
          <w:rFonts w:eastAsia="Guttman Hodes"/>
          <w:cs/>
        </w:rPr>
        <w:t>‎</w:t>
      </w:r>
      <w:r w:rsidR="004D1C5B">
        <w:rPr>
          <w:rStyle w:val="af6"/>
          <w:rFonts w:eastAsia="Guttman Hodes"/>
          <w:rtl/>
        </w:rPr>
        <w:t>קלה)</w:t>
      </w:r>
      <w:r w:rsidRPr="00B06FAB">
        <w:rPr>
          <w:rStyle w:val="af6"/>
          <w:rFonts w:eastAsia="Guttman Hodes"/>
          <w:rtl/>
        </w:rPr>
        <w:fldChar w:fldCharType="end"/>
      </w:r>
      <w:r>
        <w:rPr>
          <w:rFonts w:hint="cs"/>
          <w:rtl/>
        </w:rPr>
        <w:t xml:space="preserve"> בביאור דברי </w:t>
      </w:r>
      <w:r w:rsidRPr="00B06FAB">
        <w:rPr>
          <w:rStyle w:val="af8"/>
          <w:rFonts w:hint="cs"/>
          <w:rtl/>
        </w:rPr>
        <w:t>הרמב"ן</w:t>
      </w:r>
      <w:r w:rsidR="000A0BFB">
        <w:rPr>
          <w:rFonts w:hint="cs"/>
          <w:rtl/>
        </w:rPr>
        <w:t xml:space="preserve">, וע"ע במ"ש </w:t>
      </w:r>
      <w:r w:rsidR="000A0BFB" w:rsidRPr="00C00B89">
        <w:rPr>
          <w:rStyle w:val="af8"/>
          <w:rFonts w:hint="cs"/>
          <w:rtl/>
        </w:rPr>
        <w:t>הגר"ח</w:t>
      </w:r>
      <w:r w:rsidR="000A0BFB">
        <w:rPr>
          <w:rFonts w:hint="cs"/>
          <w:rtl/>
        </w:rPr>
        <w:t xml:space="preserve"> </w:t>
      </w:r>
      <w:r w:rsidR="000A0BFB" w:rsidRPr="00F22A55">
        <w:rPr>
          <w:rStyle w:val="af6"/>
          <w:rFonts w:eastAsia="Guttman Hodes" w:hint="cs"/>
          <w:rtl/>
        </w:rPr>
        <w:t>(מאכ"א פט"ו ה"א ד"ה והנה כבר</w:t>
      </w:r>
      <w:r w:rsidR="000A0BFB">
        <w:rPr>
          <w:rStyle w:val="af6"/>
          <w:rFonts w:eastAsia="Guttman Hodes" w:hint="cs"/>
          <w:rtl/>
        </w:rPr>
        <w:t xml:space="preserve">, הובא לקמן סימן </w:t>
      </w:r>
      <w:r w:rsidR="005F6544" w:rsidRPr="0004466A">
        <w:rPr>
          <w:rStyle w:val="af6"/>
          <w:rFonts w:eastAsia="Guttman Hodes" w:hint="cs"/>
          <w:rtl/>
        </w:rPr>
        <w:t>י</w:t>
      </w:r>
      <w:r w:rsidR="000A0BFB" w:rsidRPr="0004466A">
        <w:rPr>
          <w:rStyle w:val="af6"/>
          <w:rFonts w:eastAsia="Guttman Hodes" w:hint="cs"/>
          <w:rtl/>
        </w:rPr>
        <w:t xml:space="preserve">א' אות </w:t>
      </w:r>
      <w:r w:rsidR="0004466A" w:rsidRPr="0004466A">
        <w:rPr>
          <w:rStyle w:val="af6"/>
          <w:rFonts w:eastAsia="Guttman Hodes"/>
          <w:rtl/>
        </w:rPr>
        <w:fldChar w:fldCharType="begin"/>
      </w:r>
      <w:r w:rsidR="0004466A" w:rsidRPr="0004466A">
        <w:rPr>
          <w:rStyle w:val="af6"/>
          <w:rFonts w:eastAsia="Guttman Hodes"/>
          <w:rtl/>
        </w:rPr>
        <w:instrText xml:space="preserve"> </w:instrText>
      </w:r>
      <w:r w:rsidR="0004466A" w:rsidRPr="0004466A">
        <w:rPr>
          <w:rStyle w:val="af6"/>
          <w:rFonts w:eastAsia="Guttman Hodes" w:hint="cs"/>
        </w:rPr>
        <w:instrText>REF</w:instrText>
      </w:r>
      <w:r w:rsidR="0004466A" w:rsidRPr="0004466A">
        <w:rPr>
          <w:rStyle w:val="af6"/>
          <w:rFonts w:eastAsia="Guttman Hodes" w:hint="cs"/>
          <w:rtl/>
        </w:rPr>
        <w:instrText xml:space="preserve"> _</w:instrText>
      </w:r>
      <w:r w:rsidR="0004466A" w:rsidRPr="0004466A">
        <w:rPr>
          <w:rStyle w:val="af6"/>
          <w:rFonts w:eastAsia="Guttman Hodes" w:hint="cs"/>
        </w:rPr>
        <w:instrText>Ref15848189 \r \h</w:instrText>
      </w:r>
      <w:r w:rsidR="0004466A" w:rsidRPr="0004466A">
        <w:rPr>
          <w:rStyle w:val="af6"/>
          <w:rFonts w:eastAsia="Guttman Hodes"/>
          <w:rtl/>
        </w:rPr>
        <w:instrText xml:space="preserve"> </w:instrText>
      </w:r>
      <w:r w:rsidR="0004466A" w:rsidRPr="0004466A">
        <w:rPr>
          <w:rStyle w:val="af6"/>
          <w:rFonts w:eastAsia="Guttman Hodes"/>
          <w:rtl/>
        </w:rPr>
      </w:r>
      <w:r w:rsidR="0004466A" w:rsidRPr="0004466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0004466A" w:rsidRPr="0004466A">
        <w:rPr>
          <w:rStyle w:val="af6"/>
          <w:rFonts w:eastAsia="Guttman Hodes"/>
          <w:rtl/>
        </w:rPr>
        <w:fldChar w:fldCharType="end"/>
      </w:r>
      <w:r w:rsidR="0004466A">
        <w:rPr>
          <w:rFonts w:hint="cs"/>
          <w:rtl/>
        </w:rPr>
        <w:t xml:space="preserve"> </w:t>
      </w:r>
      <w:r w:rsidR="000A0BFB">
        <w:rPr>
          <w:rFonts w:hint="cs"/>
          <w:rtl/>
        </w:rPr>
        <w:t xml:space="preserve">בדעת </w:t>
      </w:r>
      <w:r w:rsidR="000A0BFB" w:rsidRPr="000A0BFB">
        <w:rPr>
          <w:rStyle w:val="af8"/>
          <w:rFonts w:hint="cs"/>
          <w:rtl/>
        </w:rPr>
        <w:t xml:space="preserve">הרמב"ם </w:t>
      </w:r>
      <w:r w:rsidR="000A0BFB">
        <w:rPr>
          <w:rFonts w:hint="cs"/>
          <w:rtl/>
        </w:rPr>
        <w:t xml:space="preserve">דס"ל </w:t>
      </w:r>
      <w:r w:rsidR="000A0BFB" w:rsidRPr="000A0BFB">
        <w:rPr>
          <w:rStyle w:val="af8"/>
          <w:rFonts w:hint="cs"/>
          <w:rtl/>
        </w:rPr>
        <w:t>כהרמב"ן</w:t>
      </w:r>
      <w:r w:rsidR="000A0BFB" w:rsidRPr="000A0BFB">
        <w:rPr>
          <w:rFonts w:hint="cs"/>
          <w:rtl/>
        </w:rPr>
        <w:t xml:space="preserve"> </w:t>
      </w:r>
      <w:r w:rsidR="000A0BFB">
        <w:rPr>
          <w:rFonts w:hint="cs"/>
          <w:rtl/>
        </w:rPr>
        <w:t xml:space="preserve">ובמה שביאר </w:t>
      </w:r>
      <w:r w:rsidR="005F6544" w:rsidRPr="00C00B89">
        <w:rPr>
          <w:rStyle w:val="af8"/>
          <w:rFonts w:hint="cs"/>
          <w:rtl/>
        </w:rPr>
        <w:t>הגר"ח</w:t>
      </w:r>
      <w:r w:rsidR="005F6544">
        <w:rPr>
          <w:rFonts w:hint="cs"/>
          <w:rtl/>
        </w:rPr>
        <w:t xml:space="preserve"> דדוקא ע"י טעם כעיקר שייך לומר גרירה</w:t>
      </w:r>
      <w:r>
        <w:rPr>
          <w:rFonts w:hint="cs"/>
          <w:rtl/>
        </w:rPr>
        <w:t>.</w:t>
      </w:r>
    </w:p>
    <w:p w:rsidR="00F34A57" w:rsidRPr="001D6A71" w:rsidRDefault="00F34A57" w:rsidP="00F34A57">
      <w:pPr>
        <w:pStyle w:val="a2"/>
      </w:pPr>
      <w:bookmarkStart w:id="7006" w:name="_Toc14248942"/>
      <w:bookmarkStart w:id="7007" w:name="_Toc14257448"/>
      <w:r>
        <w:rPr>
          <w:rFonts w:hint="cs"/>
          <w:rtl/>
        </w:rPr>
        <w:t>ביאור הרמב"ן דמ"מ מוכח דטעם כעיקר דאו' דטעם החיטים לא מתבטל ברוב ולכן גורר את האורז</w:t>
      </w:r>
      <w:bookmarkEnd w:id="7006"/>
      <w:bookmarkEnd w:id="7007"/>
    </w:p>
    <w:p w:rsidR="00F34A57" w:rsidRPr="00F07DC4" w:rsidRDefault="00F34A57" w:rsidP="009F44AF">
      <w:pPr>
        <w:pStyle w:val="a"/>
        <w:rPr>
          <w:rStyle w:val="afa"/>
        </w:rPr>
      </w:pPr>
      <w:r>
        <w:rPr>
          <w:rFonts w:hint="cs"/>
          <w:rtl/>
        </w:rPr>
        <w:t xml:space="preserve">וביאר </w:t>
      </w:r>
      <w:r w:rsidRPr="00657B21">
        <w:rPr>
          <w:rStyle w:val="af8"/>
          <w:rFonts w:hint="cs"/>
          <w:rtl/>
        </w:rPr>
        <w:t>הרמב"ן</w:t>
      </w:r>
      <w:r>
        <w:rPr>
          <w:rFonts w:hint="cs"/>
          <w:rtl/>
        </w:rPr>
        <w:t xml:space="preserve"> </w:t>
      </w:r>
      <w:r w:rsidRPr="00657B21">
        <w:rPr>
          <w:rStyle w:val="af8"/>
          <w:rFonts w:hint="cs"/>
          <w:rtl/>
        </w:rPr>
        <w:t>בהל</w:t>
      </w:r>
      <w:r>
        <w:rPr>
          <w:rStyle w:val="af8"/>
          <w:rFonts w:hint="cs"/>
          <w:rtl/>
        </w:rPr>
        <w:t>כות</w:t>
      </w:r>
      <w:r w:rsidRPr="00657B21">
        <w:rPr>
          <w:rStyle w:val="af8"/>
          <w:rFonts w:hint="cs"/>
          <w:rtl/>
        </w:rPr>
        <w:t xml:space="preserve"> חלה</w:t>
      </w:r>
      <w:r>
        <w:rPr>
          <w:rFonts w:hint="cs"/>
          <w:rtl/>
        </w:rPr>
        <w:t xml:space="preserve"> דהא דהגמ' בזבחים הביאה ראיה מדין עיסת אורז לדין טעם כעיקר, היינו דמוכח דהטעם אינו מתבטל, דהא אי הטעם מתבטל ברוב, א"כ אף דהאורז נגרר ע"י החיטים, מ"מ כל שהטעם התבטל אינו יכול לגרור אחרים עמו, אלא מוכח שטעם החיטים אינו מתבטל, ולכן הוא יכול לצרף את האורז אליו, במקום שיש כזית בכדי אכילת פרס, וכמו שהטעם מצטרף לכל עונשים שבתורה, כמו"כ מהני לגרור את האורז שיהיה לו דין לחם לענין חלה ומצה, ועי' במה שהקשה </w:t>
      </w:r>
      <w:r w:rsidRPr="00893653">
        <w:rPr>
          <w:rStyle w:val="af8"/>
          <w:rFonts w:hint="cs"/>
          <w:rtl/>
        </w:rPr>
        <w:t>החזו"א</w:t>
      </w:r>
      <w:r>
        <w:rPr>
          <w:rFonts w:hint="cs"/>
          <w:rtl/>
        </w:rPr>
        <w:t xml:space="preserve"> </w:t>
      </w:r>
      <w:r w:rsidRPr="00F07DC4">
        <w:rPr>
          <w:rStyle w:val="af6"/>
          <w:rFonts w:eastAsia="Guttman Hodes" w:hint="cs"/>
          <w:rtl/>
        </w:rPr>
        <w:t>(סי' כ"ד סק"י)</w:t>
      </w:r>
      <w:r>
        <w:rPr>
          <w:rFonts w:hint="cs"/>
          <w:rtl/>
        </w:rPr>
        <w:t xml:space="preserve"> על דברי </w:t>
      </w:r>
      <w:r w:rsidRPr="00893653">
        <w:rPr>
          <w:rStyle w:val="af8"/>
          <w:rFonts w:hint="cs"/>
          <w:rtl/>
        </w:rPr>
        <w:t>הרמב"ן</w:t>
      </w:r>
      <w:r>
        <w:rPr>
          <w:rFonts w:hint="cs"/>
          <w:rtl/>
        </w:rPr>
        <w:t>.</w:t>
      </w:r>
      <w:r w:rsidRPr="00E044CE">
        <w:rPr>
          <w:rStyle w:val="afa"/>
          <w:rFonts w:hint="cs"/>
          <w:rtl/>
        </w:rPr>
        <w:t xml:space="preserve"> </w:t>
      </w:r>
    </w:p>
    <w:p w:rsidR="00F34A57" w:rsidRPr="00BC0598" w:rsidRDefault="00F34A57" w:rsidP="00F34A57">
      <w:pPr>
        <w:pStyle w:val="a2"/>
        <w:rPr>
          <w:rtl/>
        </w:rPr>
      </w:pPr>
      <w:bookmarkStart w:id="7008" w:name="_Toc14248943"/>
      <w:bookmarkStart w:id="7009" w:name="_Toc14257449"/>
      <w:r>
        <w:rPr>
          <w:rFonts w:hint="cs"/>
          <w:rtl/>
        </w:rPr>
        <w:t>קושית הרא"ש על הרמב"ן דיש בה טעם דגן ומדין נהפך יש לה דין דגן אף בפחות מכזית בכא"פ</w:t>
      </w:r>
      <w:bookmarkEnd w:id="7003"/>
      <w:bookmarkEnd w:id="7004"/>
      <w:bookmarkEnd w:id="7008"/>
      <w:bookmarkEnd w:id="7009"/>
    </w:p>
    <w:p w:rsidR="00F34A57" w:rsidRPr="0051313E" w:rsidRDefault="00F34A57" w:rsidP="009F44AF">
      <w:pPr>
        <w:pStyle w:val="a"/>
        <w:rPr>
          <w:rStyle w:val="afa"/>
        </w:rPr>
      </w:pPr>
      <w:r>
        <w:rPr>
          <w:rFonts w:hint="cs"/>
          <w:rtl/>
        </w:rPr>
        <w:t>ועי' בדברי</w:t>
      </w:r>
      <w:r w:rsidRPr="00E4575D">
        <w:rPr>
          <w:rStyle w:val="af8"/>
          <w:rFonts w:hint="cs"/>
          <w:rtl/>
        </w:rPr>
        <w:t xml:space="preserve"> </w:t>
      </w:r>
      <w:r w:rsidRPr="00DB2464">
        <w:rPr>
          <w:rStyle w:val="af8"/>
          <w:rFonts w:hint="cs"/>
          <w:rtl/>
        </w:rPr>
        <w:t>הרא"ש בהלכות חלה</w:t>
      </w:r>
      <w:r w:rsidRPr="00DB2464">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Ref14191039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w:t>
      </w:r>
      <w:r>
        <w:rPr>
          <w:rStyle w:val="af6"/>
          <w:rFonts w:eastAsia="Guttman Hodes"/>
          <w:rtl/>
        </w:rPr>
        <w:fldChar w:fldCharType="end"/>
      </w:r>
      <w:r>
        <w:rPr>
          <w:rStyle w:val="af6"/>
          <w:rFonts w:eastAsia="Guttman Hodes" w:hint="cs"/>
          <w:rtl/>
        </w:rPr>
        <w:t xml:space="preserve"> </w:t>
      </w:r>
      <w:r w:rsidRPr="00DB2464">
        <w:rPr>
          <w:rFonts w:hint="cs"/>
          <w:rtl/>
        </w:rPr>
        <w:t xml:space="preserve"> </w:t>
      </w:r>
      <w:r>
        <w:rPr>
          <w:rFonts w:hint="cs"/>
          <w:rtl/>
        </w:rPr>
        <w:t>ד</w:t>
      </w:r>
      <w:r w:rsidRPr="00DB2464">
        <w:rPr>
          <w:rFonts w:hint="cs"/>
          <w:rtl/>
        </w:rPr>
        <w:t xml:space="preserve">הקשה על </w:t>
      </w:r>
      <w:r w:rsidRPr="00DB2464">
        <w:rPr>
          <w:rStyle w:val="af8"/>
          <w:rFonts w:hint="cs"/>
          <w:rtl/>
        </w:rPr>
        <w:t>הרמב"ן</w:t>
      </w:r>
      <w:r w:rsidRPr="00DB2464">
        <w:rPr>
          <w:rFonts w:hint="cs"/>
          <w:rtl/>
        </w:rPr>
        <w:t xml:space="preserve"> דאף שאין בעיסה כזית</w:t>
      </w:r>
      <w:r>
        <w:rPr>
          <w:rFonts w:hint="cs"/>
          <w:rtl/>
        </w:rPr>
        <w:t xml:space="preserve"> בכדי אכילת פרס, מ"מ כיון שנתנו החיטים טעם באורז, מדין נהפך יש לעיסה דין עיסת חיטי</w:t>
      </w:r>
      <w:r w:rsidRPr="00A14272">
        <w:rPr>
          <w:rFonts w:hint="cs"/>
          <w:rtl/>
        </w:rPr>
        <w:t>ם.</w:t>
      </w:r>
      <w:r w:rsidRPr="0051313E">
        <w:rPr>
          <w:rStyle w:val="afa"/>
          <w:rFonts w:hint="cs"/>
          <w:rtl/>
        </w:rPr>
        <w:t xml:space="preserve"> [ומשמע מדברי </w:t>
      </w:r>
      <w:r w:rsidRPr="0051313E">
        <w:rPr>
          <w:rStyle w:val="affa"/>
          <w:rFonts w:hint="cs"/>
          <w:rtl/>
        </w:rPr>
        <w:t>הרא"ש</w:t>
      </w:r>
      <w:r w:rsidRPr="0051313E">
        <w:rPr>
          <w:rStyle w:val="afa"/>
          <w:rFonts w:hint="cs"/>
          <w:rtl/>
        </w:rPr>
        <w:t xml:space="preserve"> דהבין</w:t>
      </w:r>
      <w:r>
        <w:rPr>
          <w:rStyle w:val="afa"/>
          <w:rFonts w:hint="cs"/>
          <w:rtl/>
        </w:rPr>
        <w:t xml:space="preserve"> בדעת</w:t>
      </w:r>
      <w:r w:rsidRPr="0051313E">
        <w:rPr>
          <w:rStyle w:val="afa"/>
          <w:rFonts w:hint="cs"/>
          <w:rtl/>
        </w:rPr>
        <w:t xml:space="preserve"> </w:t>
      </w:r>
      <w:r>
        <w:rPr>
          <w:rStyle w:val="affa"/>
          <w:rFonts w:hint="cs"/>
          <w:rtl/>
        </w:rPr>
        <w:t>ה</w:t>
      </w:r>
      <w:r w:rsidRPr="0051313E">
        <w:rPr>
          <w:rStyle w:val="affa"/>
          <w:rFonts w:hint="cs"/>
          <w:rtl/>
        </w:rPr>
        <w:t>רמב"ן</w:t>
      </w:r>
      <w:r w:rsidRPr="0051313E">
        <w:rPr>
          <w:rStyle w:val="afa"/>
          <w:rFonts w:hint="cs"/>
          <w:rtl/>
        </w:rPr>
        <w:t xml:space="preserve"> דלא אמרינן בטעם כעיקר נהפך בפחות מכא"פ].</w:t>
      </w:r>
    </w:p>
    <w:p w:rsidR="00F34A57" w:rsidRPr="00175B7E" w:rsidRDefault="00F34A57" w:rsidP="00F34A57">
      <w:pPr>
        <w:pStyle w:val="a2"/>
        <w:rPr>
          <w:rtl/>
        </w:rPr>
      </w:pPr>
      <w:bookmarkStart w:id="7010" w:name="_Toc14196287"/>
      <w:bookmarkStart w:id="7011" w:name="_Toc14208849"/>
      <w:bookmarkStart w:id="7012" w:name="_Toc14248944"/>
      <w:bookmarkStart w:id="7013" w:name="_Toc14257450"/>
      <w:r>
        <w:rPr>
          <w:rFonts w:hint="cs"/>
          <w:rtl/>
        </w:rPr>
        <w:t>דברי הגר"א דמבואר ברמב"ן דבפחות מכזית בכא"פ אין איסור דאו' בטע"כ</w:t>
      </w:r>
      <w:bookmarkEnd w:id="7010"/>
      <w:bookmarkEnd w:id="7011"/>
      <w:bookmarkEnd w:id="7012"/>
      <w:bookmarkEnd w:id="7013"/>
    </w:p>
    <w:p w:rsidR="00F34A57" w:rsidRPr="00DB2464" w:rsidRDefault="00F34A57" w:rsidP="009F44AF">
      <w:pPr>
        <w:pStyle w:val="a"/>
        <w:rPr>
          <w:rtl/>
        </w:rPr>
      </w:pPr>
      <w:bookmarkStart w:id="7014" w:name="_Ref14257634"/>
      <w:r>
        <w:rPr>
          <w:rFonts w:hint="cs"/>
          <w:rtl/>
        </w:rPr>
        <w:t xml:space="preserve">וכתב </w:t>
      </w:r>
      <w:r w:rsidRPr="00696700">
        <w:rPr>
          <w:rStyle w:val="af8"/>
          <w:rFonts w:hint="cs"/>
          <w:rtl/>
        </w:rPr>
        <w:t>הגר"א</w:t>
      </w:r>
      <w:r>
        <w:rPr>
          <w:rFonts w:hint="cs"/>
          <w:rtl/>
        </w:rPr>
        <w:t xml:space="preserve"> </w:t>
      </w:r>
      <w:r w:rsidRPr="001853E1">
        <w:rPr>
          <w:rStyle w:val="af6"/>
          <w:rFonts w:eastAsia="Guttman Hodes" w:hint="cs"/>
          <w:rtl/>
        </w:rPr>
        <w:t>(ס</w:t>
      </w:r>
      <w:r w:rsidRPr="00696700">
        <w:rPr>
          <w:rStyle w:val="af6"/>
          <w:rFonts w:eastAsia="Guttman Hodes" w:hint="cs"/>
          <w:rtl/>
        </w:rPr>
        <w:t>י' צ"ח סק"ח, או"ח רנ"ג סק"ט)</w:t>
      </w:r>
      <w:r>
        <w:rPr>
          <w:rFonts w:hint="cs"/>
          <w:rtl/>
        </w:rPr>
        <w:t xml:space="preserve"> דמבואר בדברי </w:t>
      </w:r>
      <w:r w:rsidRPr="00696700">
        <w:rPr>
          <w:rStyle w:val="af8"/>
          <w:rFonts w:hint="cs"/>
          <w:rtl/>
        </w:rPr>
        <w:t xml:space="preserve">הרמב"ן </w:t>
      </w:r>
      <w:r>
        <w:rPr>
          <w:rStyle w:val="af8"/>
          <w:rFonts w:hint="cs"/>
          <w:rtl/>
        </w:rPr>
        <w:t>בהלכות חלה</w:t>
      </w:r>
      <w:r>
        <w:rPr>
          <w:rFonts w:hint="cs"/>
          <w:rtl/>
        </w:rPr>
        <w:t xml:space="preserve"> דס</w:t>
      </w:r>
      <w:r w:rsidRPr="00DB2464">
        <w:rPr>
          <w:rFonts w:hint="cs"/>
          <w:rtl/>
        </w:rPr>
        <w:t xml:space="preserve">"ל דבפחות מכזית בכדי אכילת פרס </w:t>
      </w:r>
      <w:r>
        <w:rPr>
          <w:rFonts w:hint="cs"/>
          <w:rtl/>
        </w:rPr>
        <w:t>אין איסור דאו'</w:t>
      </w:r>
      <w:r w:rsidRPr="00DB2464">
        <w:rPr>
          <w:rFonts w:hint="cs"/>
          <w:rtl/>
        </w:rPr>
        <w:t xml:space="preserve">, וכדעת </w:t>
      </w:r>
      <w:r w:rsidRPr="00E044CE">
        <w:rPr>
          <w:rStyle w:val="af8"/>
          <w:rFonts w:hint="cs"/>
          <w:rtl/>
        </w:rPr>
        <w:t>הרא"ש</w:t>
      </w:r>
      <w:r w:rsidRPr="00DB2464">
        <w:rPr>
          <w:rFonts w:hint="cs"/>
          <w:rtl/>
        </w:rPr>
        <w:t xml:space="preserve"> בשם </w:t>
      </w:r>
      <w:r w:rsidRPr="00E044CE">
        <w:rPr>
          <w:rStyle w:val="af8"/>
          <w:rFonts w:hint="cs"/>
          <w:rtl/>
        </w:rPr>
        <w:t>רבינו חיים</w:t>
      </w:r>
      <w:r w:rsidRPr="00DB2464">
        <w:rPr>
          <w:rFonts w:hint="cs"/>
          <w:rtl/>
        </w:rPr>
        <w:t xml:space="preserve"> </w:t>
      </w:r>
      <w:r w:rsidRPr="00E7113C">
        <w:rPr>
          <w:rStyle w:val="af6"/>
          <w:rFonts w:eastAsia="Guttman Hodes" w:hint="cs"/>
          <w:rtl/>
        </w:rPr>
        <w:t xml:space="preserve">(עי' אות </w:t>
      </w:r>
      <w:r w:rsidRPr="00E7113C">
        <w:rPr>
          <w:rStyle w:val="af6"/>
          <w:rFonts w:eastAsia="Guttman Hodes"/>
          <w:rtl/>
        </w:rPr>
        <w:fldChar w:fldCharType="begin"/>
      </w:r>
      <w:r w:rsidRPr="00E7113C">
        <w:rPr>
          <w:rStyle w:val="af6"/>
          <w:rFonts w:eastAsia="Guttman Hodes"/>
          <w:rtl/>
        </w:rPr>
        <w:instrText xml:space="preserve"> </w:instrText>
      </w:r>
      <w:r w:rsidRPr="00E7113C">
        <w:rPr>
          <w:rStyle w:val="af6"/>
          <w:rFonts w:eastAsia="Guttman Hodes" w:hint="cs"/>
        </w:rPr>
        <w:instrText>REF</w:instrText>
      </w:r>
      <w:r w:rsidRPr="00E7113C">
        <w:rPr>
          <w:rStyle w:val="af6"/>
          <w:rFonts w:eastAsia="Guttman Hodes" w:hint="cs"/>
          <w:rtl/>
        </w:rPr>
        <w:instrText xml:space="preserve"> _</w:instrText>
      </w:r>
      <w:r w:rsidRPr="00E7113C">
        <w:rPr>
          <w:rStyle w:val="af6"/>
          <w:rFonts w:eastAsia="Guttman Hodes" w:hint="cs"/>
        </w:rPr>
        <w:instrText>Ref14257555 \r \h</w:instrText>
      </w:r>
      <w:r w:rsidRPr="00E7113C">
        <w:rPr>
          <w:rStyle w:val="af6"/>
          <w:rFonts w:eastAsia="Guttman Hodes"/>
          <w:rtl/>
        </w:rPr>
        <w:instrText xml:space="preserve"> </w:instrText>
      </w:r>
      <w:r w:rsidRPr="00E7113C">
        <w:rPr>
          <w:rStyle w:val="af6"/>
          <w:rFonts w:eastAsia="Guttman Hodes"/>
          <w:rtl/>
        </w:rPr>
      </w:r>
      <w:r w:rsidRPr="00E7113C">
        <w:rPr>
          <w:rStyle w:val="af6"/>
          <w:rFonts w:eastAsia="Guttman Hodes"/>
          <w:rtl/>
        </w:rPr>
        <w:fldChar w:fldCharType="separate"/>
      </w:r>
      <w:r w:rsidR="004D1C5B">
        <w:rPr>
          <w:rStyle w:val="af6"/>
          <w:rFonts w:eastAsia="Guttman Hodes"/>
          <w:cs/>
        </w:rPr>
        <w:t>‎</w:t>
      </w:r>
      <w:r w:rsidR="004D1C5B">
        <w:rPr>
          <w:rStyle w:val="af6"/>
          <w:rFonts w:eastAsia="Guttman Hodes"/>
          <w:rtl/>
        </w:rPr>
        <w:t>מב)</w:t>
      </w:r>
      <w:r w:rsidRPr="00E7113C">
        <w:rPr>
          <w:rStyle w:val="af6"/>
          <w:rFonts w:eastAsia="Guttman Hodes"/>
          <w:rtl/>
        </w:rPr>
        <w:fldChar w:fldCharType="end"/>
      </w:r>
      <w:r>
        <w:rPr>
          <w:rFonts w:hint="cs"/>
          <w:rtl/>
        </w:rPr>
        <w:t xml:space="preserve">, </w:t>
      </w:r>
      <w:r w:rsidRPr="00DB2464">
        <w:rPr>
          <w:rFonts w:hint="cs"/>
          <w:rtl/>
        </w:rPr>
        <w:t xml:space="preserve">ודלא </w:t>
      </w:r>
      <w:r w:rsidRPr="00E044CE">
        <w:rPr>
          <w:rStyle w:val="af8"/>
          <w:rFonts w:hint="cs"/>
          <w:rtl/>
        </w:rPr>
        <w:t>כהרשב"א</w:t>
      </w:r>
      <w:r w:rsidRPr="00DB2464">
        <w:rPr>
          <w:rFonts w:hint="cs"/>
          <w:rtl/>
        </w:rPr>
        <w:t xml:space="preserve"> בשם </w:t>
      </w:r>
      <w:r w:rsidRPr="00E044CE">
        <w:rPr>
          <w:rStyle w:val="af8"/>
          <w:rFonts w:hint="cs"/>
          <w:rtl/>
        </w:rPr>
        <w:t>ר"י</w:t>
      </w:r>
      <w:r w:rsidRPr="00DB2464">
        <w:rPr>
          <w:rFonts w:hint="cs"/>
          <w:rtl/>
        </w:rPr>
        <w:t xml:space="preserve"> </w:t>
      </w:r>
      <w:r w:rsidRPr="00E7113C">
        <w:rPr>
          <w:rStyle w:val="af6"/>
          <w:rFonts w:eastAsia="Guttman Hodes" w:hint="cs"/>
          <w:rtl/>
        </w:rPr>
        <w:t xml:space="preserve">(עי' אות </w:t>
      </w:r>
      <w:r w:rsidRPr="00E7113C">
        <w:rPr>
          <w:rStyle w:val="af6"/>
          <w:rFonts w:eastAsia="Guttman Hodes"/>
          <w:rtl/>
        </w:rPr>
        <w:fldChar w:fldCharType="begin"/>
      </w:r>
      <w:r w:rsidRPr="00E7113C">
        <w:rPr>
          <w:rStyle w:val="af6"/>
          <w:rFonts w:eastAsia="Guttman Hodes"/>
          <w:rtl/>
        </w:rPr>
        <w:instrText xml:space="preserve"> </w:instrText>
      </w:r>
      <w:r w:rsidRPr="00E7113C">
        <w:rPr>
          <w:rStyle w:val="af6"/>
          <w:rFonts w:eastAsia="Guttman Hodes" w:hint="cs"/>
        </w:rPr>
        <w:instrText>REF</w:instrText>
      </w:r>
      <w:r w:rsidRPr="00E7113C">
        <w:rPr>
          <w:rStyle w:val="af6"/>
          <w:rFonts w:eastAsia="Guttman Hodes" w:hint="cs"/>
          <w:rtl/>
        </w:rPr>
        <w:instrText xml:space="preserve"> _</w:instrText>
      </w:r>
      <w:r w:rsidRPr="00E7113C">
        <w:rPr>
          <w:rStyle w:val="af6"/>
          <w:rFonts w:eastAsia="Guttman Hodes" w:hint="cs"/>
        </w:rPr>
        <w:instrText>Ref14257575 \r \h</w:instrText>
      </w:r>
      <w:r w:rsidRPr="00E7113C">
        <w:rPr>
          <w:rStyle w:val="af6"/>
          <w:rFonts w:eastAsia="Guttman Hodes"/>
          <w:rtl/>
        </w:rPr>
        <w:instrText xml:space="preserve"> </w:instrText>
      </w:r>
      <w:r w:rsidRPr="00E7113C">
        <w:rPr>
          <w:rStyle w:val="af6"/>
          <w:rFonts w:eastAsia="Guttman Hodes"/>
          <w:rtl/>
        </w:rPr>
      </w:r>
      <w:r w:rsidRPr="00E7113C">
        <w:rPr>
          <w:rStyle w:val="af6"/>
          <w:rFonts w:eastAsia="Guttman Hodes"/>
          <w:rtl/>
        </w:rPr>
        <w:fldChar w:fldCharType="separate"/>
      </w:r>
      <w:r w:rsidR="004D1C5B">
        <w:rPr>
          <w:rStyle w:val="af6"/>
          <w:rFonts w:eastAsia="Guttman Hodes"/>
          <w:cs/>
        </w:rPr>
        <w:t>‎</w:t>
      </w:r>
      <w:r w:rsidR="004D1C5B">
        <w:rPr>
          <w:rStyle w:val="af6"/>
          <w:rFonts w:eastAsia="Guttman Hodes"/>
          <w:rtl/>
        </w:rPr>
        <w:t>מה)</w:t>
      </w:r>
      <w:r w:rsidRPr="00E7113C">
        <w:rPr>
          <w:rStyle w:val="af6"/>
          <w:rFonts w:eastAsia="Guttman Hodes"/>
          <w:rtl/>
        </w:rPr>
        <w:fldChar w:fldCharType="end"/>
      </w:r>
      <w:r>
        <w:rPr>
          <w:rFonts w:hint="cs"/>
          <w:rtl/>
        </w:rPr>
        <w:t xml:space="preserve">, </w:t>
      </w:r>
      <w:r w:rsidRPr="00E044CE">
        <w:rPr>
          <w:rStyle w:val="af8"/>
          <w:rFonts w:hint="cs"/>
          <w:rtl/>
        </w:rPr>
        <w:t>והראב"ד</w:t>
      </w:r>
      <w:r>
        <w:rPr>
          <w:rFonts w:hint="cs"/>
          <w:rtl/>
        </w:rPr>
        <w:t xml:space="preserve">, וכתב </w:t>
      </w:r>
      <w:r w:rsidRPr="00E044CE">
        <w:rPr>
          <w:rStyle w:val="af8"/>
          <w:rFonts w:hint="cs"/>
          <w:rtl/>
        </w:rPr>
        <w:t>הגר"א</w:t>
      </w:r>
      <w:r>
        <w:rPr>
          <w:rFonts w:hint="cs"/>
          <w:rtl/>
        </w:rPr>
        <w:t xml:space="preserve"> דאפ"ה ס"ל </w:t>
      </w:r>
      <w:r w:rsidRPr="00E044CE">
        <w:rPr>
          <w:rStyle w:val="af8"/>
          <w:rFonts w:hint="cs"/>
          <w:rtl/>
        </w:rPr>
        <w:t>לרמב"ן</w:t>
      </w:r>
      <w:r>
        <w:rPr>
          <w:rFonts w:hint="cs"/>
          <w:rtl/>
        </w:rPr>
        <w:t xml:space="preserve"> דיש לעיסה דין עיסת חיטים מדין גרירה</w:t>
      </w:r>
      <w:r w:rsidRPr="00DB2464">
        <w:rPr>
          <w:rFonts w:hint="cs"/>
          <w:rtl/>
        </w:rPr>
        <w:t>.</w:t>
      </w:r>
      <w:bookmarkEnd w:id="7014"/>
      <w:r w:rsidRPr="00DB2464">
        <w:rPr>
          <w:rStyle w:val="afa"/>
          <w:rFonts w:hint="cs"/>
          <w:rtl/>
        </w:rPr>
        <w:t xml:space="preserve"> </w:t>
      </w:r>
    </w:p>
    <w:p w:rsidR="00F34A57" w:rsidRDefault="00F34A57" w:rsidP="00F34A57">
      <w:pPr>
        <w:pStyle w:val="1"/>
        <w:rPr>
          <w:rtl/>
        </w:rPr>
      </w:pPr>
      <w:bookmarkStart w:id="7015" w:name="_Toc14196288"/>
      <w:bookmarkStart w:id="7016" w:name="_Toc14208850"/>
      <w:bookmarkStart w:id="7017" w:name="_Toc14248945"/>
      <w:bookmarkStart w:id="7018" w:name="_Toc14257451"/>
      <w:bookmarkStart w:id="7019" w:name="_Toc13773313"/>
      <w:bookmarkStart w:id="7020" w:name="_Toc13952618"/>
      <w:bookmarkStart w:id="7021" w:name="_Toc14089988"/>
      <w:bookmarkStart w:id="7022" w:name="_Toc14109787"/>
      <w:bookmarkStart w:id="7023" w:name="_Toc14120162"/>
      <w:bookmarkStart w:id="7024" w:name="_Toc14122340"/>
      <w:r>
        <w:rPr>
          <w:rFonts w:hint="cs"/>
          <w:rtl/>
        </w:rPr>
        <w:t>דברי הרמב"ן והרשב"א דבטע"כ חשיב שיש ממשו כזית בכא"פ</w:t>
      </w:r>
      <w:bookmarkEnd w:id="7015"/>
      <w:bookmarkEnd w:id="7016"/>
      <w:bookmarkEnd w:id="7017"/>
      <w:bookmarkEnd w:id="7018"/>
    </w:p>
    <w:p w:rsidR="00F34A57" w:rsidRPr="005E4DF4" w:rsidRDefault="00F34A57" w:rsidP="00F34A57">
      <w:pPr>
        <w:pStyle w:val="a2"/>
        <w:rPr>
          <w:rtl/>
        </w:rPr>
      </w:pPr>
      <w:bookmarkStart w:id="7025" w:name="_Toc14196289"/>
      <w:bookmarkStart w:id="7026" w:name="_Toc14208851"/>
      <w:bookmarkStart w:id="7027" w:name="_Toc14248946"/>
      <w:bookmarkStart w:id="7028" w:name="_Toc14257452"/>
      <w:r w:rsidRPr="0077459F">
        <w:rPr>
          <w:rFonts w:hint="cs"/>
          <w:rtl/>
        </w:rPr>
        <w:t xml:space="preserve">דברי </w:t>
      </w:r>
      <w:r w:rsidRPr="005E4DF4">
        <w:rPr>
          <w:rFonts w:hint="cs"/>
          <w:rtl/>
        </w:rPr>
        <w:t>הרמב"ן והרשב"א דטעמו הוא כשגוף האיסור אינו בתערובת או שאבד בו או בבליעת איסור</w:t>
      </w:r>
      <w:bookmarkEnd w:id="7019"/>
      <w:bookmarkEnd w:id="7020"/>
      <w:bookmarkEnd w:id="7021"/>
      <w:bookmarkEnd w:id="7022"/>
      <w:bookmarkEnd w:id="7023"/>
      <w:bookmarkEnd w:id="7024"/>
      <w:bookmarkEnd w:id="7025"/>
      <w:bookmarkEnd w:id="7026"/>
      <w:bookmarkEnd w:id="7027"/>
      <w:bookmarkEnd w:id="7028"/>
    </w:p>
    <w:p w:rsidR="00AB5ACD" w:rsidRDefault="00F34A57" w:rsidP="009F44AF">
      <w:pPr>
        <w:pStyle w:val="a"/>
        <w:rPr>
          <w:rtl/>
        </w:rPr>
      </w:pPr>
      <w:r w:rsidRPr="005E4DF4">
        <w:rPr>
          <w:rFonts w:hint="cs"/>
          <w:rtl/>
        </w:rPr>
        <w:t xml:space="preserve">כתבו </w:t>
      </w:r>
      <w:r w:rsidRPr="005E4DF4">
        <w:rPr>
          <w:rStyle w:val="af8"/>
          <w:rFonts w:hint="cs"/>
          <w:rtl/>
        </w:rPr>
        <w:t xml:space="preserve">הרמב"ן </w:t>
      </w:r>
      <w:r w:rsidRPr="005E4DF4">
        <w:rPr>
          <w:rStyle w:val="af6"/>
          <w:rFonts w:eastAsia="Guttman Hodes" w:hint="cs"/>
          <w:rtl/>
        </w:rPr>
        <w:t xml:space="preserve">(ד"ה אלא) </w:t>
      </w:r>
      <w:r w:rsidRPr="005E4DF4">
        <w:rPr>
          <w:rStyle w:val="af8"/>
          <w:rFonts w:hint="cs"/>
          <w:rtl/>
        </w:rPr>
        <w:t xml:space="preserve">והרשב"א בחי' </w:t>
      </w:r>
      <w:r w:rsidRPr="005E4DF4">
        <w:rPr>
          <w:rStyle w:val="af6"/>
          <w:rFonts w:eastAsia="Guttman Hodes" w:hint="cs"/>
          <w:rtl/>
        </w:rPr>
        <w:t xml:space="preserve">(ד"ה ופי' טעם) </w:t>
      </w:r>
      <w:r w:rsidRPr="005E4DF4">
        <w:rPr>
          <w:rStyle w:val="af8"/>
          <w:rFonts w:hint="cs"/>
          <w:rtl/>
        </w:rPr>
        <w:t>ובתוה"ב</w:t>
      </w:r>
      <w:r w:rsidRPr="005E4DF4">
        <w:rPr>
          <w:rFonts w:hint="cs"/>
          <w:rtl/>
        </w:rPr>
        <w:t xml:space="preserve"> </w:t>
      </w:r>
      <w:r w:rsidRPr="005E4DF4">
        <w:rPr>
          <w:rStyle w:val="af6"/>
          <w:rFonts w:eastAsia="Guttman Hodes" w:hint="cs"/>
          <w:rtl/>
        </w:rPr>
        <w:t xml:space="preserve">(ב"ד ש"א י. מדה"ס) </w:t>
      </w:r>
      <w:r w:rsidRPr="005E4DF4">
        <w:rPr>
          <w:rFonts w:hint="cs"/>
          <w:rtl/>
        </w:rPr>
        <w:t xml:space="preserve">דטעם כעיקר היינו שגוף האיסור לא מעורב בתערובת, כמו בשרה ענבים במים שיש במים טעם של יין, אך אין בהם מגוף היין כלל, ועוד ביארו </w:t>
      </w:r>
      <w:r w:rsidRPr="005E4DF4">
        <w:rPr>
          <w:rStyle w:val="af8"/>
          <w:rFonts w:hint="cs"/>
          <w:rtl/>
        </w:rPr>
        <w:t>הרמב"ן</w:t>
      </w:r>
      <w:r w:rsidRPr="005E4DF4">
        <w:rPr>
          <w:rFonts w:hint="cs"/>
          <w:rtl/>
        </w:rPr>
        <w:t xml:space="preserve"> </w:t>
      </w:r>
      <w:r w:rsidRPr="005E4DF4">
        <w:rPr>
          <w:rStyle w:val="af8"/>
          <w:rFonts w:hint="cs"/>
          <w:rtl/>
        </w:rPr>
        <w:t xml:space="preserve">והרשב"א </w:t>
      </w:r>
      <w:r w:rsidRPr="005E4DF4">
        <w:rPr>
          <w:rFonts w:hint="cs"/>
          <w:rtl/>
        </w:rPr>
        <w:t>דאיירי באופן שנפלה טיפת יין למים, ואין בהם מראה יין, דכיון שהוא מיעוט אבד היין, וחשיב שממשו אבד, וכן בבשר בחלב שהבשר נתן טעם בחלב, או שנתן החלב טעם בבשר</w:t>
      </w:r>
      <w:r w:rsidRPr="00FB6129">
        <w:rPr>
          <w:rFonts w:hint="cs"/>
          <w:rtl/>
        </w:rPr>
        <w:t>.</w:t>
      </w:r>
    </w:p>
    <w:p w:rsidR="00F34A57" w:rsidRPr="0077459F" w:rsidRDefault="00F34A57" w:rsidP="00F34A57">
      <w:pPr>
        <w:pStyle w:val="a2"/>
        <w:rPr>
          <w:rtl/>
        </w:rPr>
      </w:pPr>
      <w:bookmarkStart w:id="7029" w:name="_Toc13773314"/>
      <w:bookmarkStart w:id="7030" w:name="_Toc13952619"/>
      <w:bookmarkStart w:id="7031" w:name="_Toc14089989"/>
      <w:bookmarkStart w:id="7032" w:name="_Toc14109788"/>
      <w:bookmarkStart w:id="7033" w:name="_Toc14120163"/>
      <w:bookmarkStart w:id="7034" w:name="_Toc14122341"/>
      <w:bookmarkStart w:id="7035" w:name="_Toc14196290"/>
      <w:bookmarkStart w:id="7036" w:name="_Toc14208852"/>
      <w:bookmarkStart w:id="7037" w:name="_Toc14248947"/>
      <w:bookmarkStart w:id="7038" w:name="_Toc14257453"/>
      <w:r w:rsidRPr="0077459F">
        <w:rPr>
          <w:rFonts w:hint="cs"/>
          <w:rtl/>
        </w:rPr>
        <w:t xml:space="preserve">ביאור הרמב"ן והרשב"א </w:t>
      </w:r>
      <w:r>
        <w:rPr>
          <w:rFonts w:hint="cs"/>
          <w:rtl/>
        </w:rPr>
        <w:t xml:space="preserve">דאיסור שנתן טעם גדול </w:t>
      </w:r>
      <w:r w:rsidRPr="0077459F">
        <w:rPr>
          <w:rFonts w:hint="cs"/>
          <w:rtl/>
        </w:rPr>
        <w:t xml:space="preserve">חשיב שנמחה </w:t>
      </w:r>
      <w:r>
        <w:rPr>
          <w:rFonts w:hint="cs"/>
          <w:rtl/>
        </w:rPr>
        <w:t>כזית מ</w:t>
      </w:r>
      <w:r w:rsidRPr="0077459F">
        <w:rPr>
          <w:rFonts w:hint="cs"/>
          <w:rtl/>
        </w:rPr>
        <w:t>ממשו של האיסור</w:t>
      </w:r>
      <w:bookmarkEnd w:id="7029"/>
      <w:bookmarkEnd w:id="7030"/>
      <w:bookmarkEnd w:id="7031"/>
      <w:bookmarkEnd w:id="7032"/>
      <w:bookmarkEnd w:id="7033"/>
      <w:bookmarkEnd w:id="7034"/>
      <w:r w:rsidRPr="00BE265B">
        <w:rPr>
          <w:rFonts w:hint="cs"/>
          <w:rtl/>
        </w:rPr>
        <w:t xml:space="preserve"> </w:t>
      </w:r>
      <w:r>
        <w:rPr>
          <w:rFonts w:hint="cs"/>
          <w:rtl/>
        </w:rPr>
        <w:t>בהיתר</w:t>
      </w:r>
      <w:bookmarkEnd w:id="7035"/>
      <w:bookmarkEnd w:id="7036"/>
      <w:bookmarkEnd w:id="7037"/>
      <w:bookmarkEnd w:id="7038"/>
    </w:p>
    <w:p w:rsidR="00F34A57" w:rsidRDefault="00F34A57" w:rsidP="009F44AF">
      <w:pPr>
        <w:pStyle w:val="a"/>
        <w:rPr>
          <w:rtl/>
        </w:rPr>
      </w:pPr>
      <w:bookmarkStart w:id="7039" w:name="_Ref14191543"/>
      <w:r>
        <w:rPr>
          <w:rFonts w:hint="cs"/>
          <w:rtl/>
        </w:rPr>
        <w:t>וביארו</w:t>
      </w:r>
      <w:r w:rsidRPr="0077459F">
        <w:rPr>
          <w:rFonts w:hint="cs"/>
          <w:rtl/>
        </w:rPr>
        <w:t xml:space="preserve"> </w:t>
      </w:r>
      <w:r w:rsidRPr="0077459F">
        <w:rPr>
          <w:rStyle w:val="af8"/>
          <w:rFonts w:hint="cs"/>
          <w:rtl/>
        </w:rPr>
        <w:t>הרמב"ן</w:t>
      </w:r>
      <w:r w:rsidRPr="0077459F">
        <w:rPr>
          <w:rFonts w:hint="cs"/>
          <w:rtl/>
        </w:rPr>
        <w:t xml:space="preserve"> </w:t>
      </w:r>
      <w:r w:rsidRPr="0077459F">
        <w:rPr>
          <w:rStyle w:val="af6"/>
          <w:rFonts w:eastAsia="Guttman Hodes" w:hint="cs"/>
          <w:rtl/>
        </w:rPr>
        <w:t>(ד"ה אלא)</w:t>
      </w:r>
      <w:r w:rsidRPr="0077459F">
        <w:rPr>
          <w:rFonts w:hint="cs"/>
          <w:rtl/>
        </w:rPr>
        <w:t xml:space="preserve"> </w:t>
      </w:r>
      <w:r w:rsidRPr="0077459F">
        <w:rPr>
          <w:rStyle w:val="af8"/>
          <w:rFonts w:hint="cs"/>
          <w:rtl/>
        </w:rPr>
        <w:t>והרשב"א בחי'</w:t>
      </w:r>
      <w:r w:rsidRPr="0077459F">
        <w:rPr>
          <w:rFonts w:hint="cs"/>
          <w:rtl/>
        </w:rPr>
        <w:t xml:space="preserve"> </w:t>
      </w:r>
      <w:r w:rsidRPr="0077459F">
        <w:rPr>
          <w:rStyle w:val="af6"/>
          <w:rFonts w:eastAsia="Guttman Hodes" w:hint="cs"/>
          <w:rtl/>
        </w:rPr>
        <w:t xml:space="preserve">(ד"ה ופי' טעם) </w:t>
      </w:r>
      <w:r w:rsidRPr="0077459F">
        <w:rPr>
          <w:rStyle w:val="af8"/>
          <w:rFonts w:hint="cs"/>
          <w:rtl/>
        </w:rPr>
        <w:t>ובתוה"ב</w:t>
      </w:r>
      <w:r w:rsidRPr="0077459F">
        <w:rPr>
          <w:rFonts w:hint="cs"/>
          <w:rtl/>
        </w:rPr>
        <w:t xml:space="preserve"> </w:t>
      </w:r>
      <w:r w:rsidRPr="0077459F">
        <w:rPr>
          <w:rStyle w:val="af6"/>
          <w:rFonts w:eastAsia="Guttman Hodes" w:hint="cs"/>
          <w:rtl/>
        </w:rPr>
        <w:t xml:space="preserve">(ב"ד ש"א י. מדה"ס) </w:t>
      </w:r>
      <w:r w:rsidRPr="0077459F">
        <w:rPr>
          <w:rFonts w:hint="cs"/>
          <w:rtl/>
        </w:rPr>
        <w:t xml:space="preserve">דהא </w:t>
      </w:r>
      <w:r>
        <w:rPr>
          <w:rFonts w:hint="cs"/>
          <w:rtl/>
        </w:rPr>
        <w:t xml:space="preserve">דטעם חשיב כעיקר, </w:t>
      </w:r>
      <w:r w:rsidRPr="006542F8">
        <w:rPr>
          <w:rStyle w:val="afa"/>
          <w:rFonts w:hint="cs"/>
          <w:rtl/>
        </w:rPr>
        <w:t>[בקדשים</w:t>
      </w:r>
      <w:r>
        <w:rPr>
          <w:rStyle w:val="afa"/>
          <w:rFonts w:hint="cs"/>
          <w:rtl/>
        </w:rPr>
        <w:t xml:space="preserve"> ובנזיר</w:t>
      </w:r>
      <w:r w:rsidRPr="006542F8">
        <w:rPr>
          <w:rStyle w:val="afa"/>
          <w:rFonts w:hint="cs"/>
          <w:rtl/>
        </w:rPr>
        <w:t xml:space="preserve"> מדאו' ובחולין מדרבנן],</w:t>
      </w:r>
      <w:r w:rsidRPr="0077459F">
        <w:rPr>
          <w:rFonts w:hint="cs"/>
          <w:rtl/>
        </w:rPr>
        <w:t xml:space="preserve"> הוא כיון דבמקום שהאיסור נתן טעם גדול בהיתר, חשיב כאילו נמחה ממשו של האיסור כזית בתוך ההיתר, ולכן </w:t>
      </w:r>
      <w:r>
        <w:rPr>
          <w:rFonts w:hint="cs"/>
          <w:rtl/>
        </w:rPr>
        <w:t xml:space="preserve">בקדשים </w:t>
      </w:r>
      <w:r w:rsidRPr="0077459F">
        <w:rPr>
          <w:rFonts w:hint="cs"/>
          <w:rtl/>
        </w:rPr>
        <w:t xml:space="preserve">לוקין עליו, וה"ה בנזיר שאם הענבים נתנו טעם גדול של יין במים, חשיב שנתערב במים רביעית יין, ואם שתה הנזיר בתוך השיעור </w:t>
      </w:r>
      <w:r w:rsidRPr="0077459F">
        <w:rPr>
          <w:rStyle w:val="afa"/>
          <w:rFonts w:hint="cs"/>
          <w:rtl/>
        </w:rPr>
        <w:t>[כדי אכילת פרס]</w:t>
      </w:r>
      <w:r w:rsidRPr="0077459F">
        <w:rPr>
          <w:rFonts w:hint="cs"/>
          <w:rtl/>
        </w:rPr>
        <w:t xml:space="preserve">, לוקה עליו, אעפ"י שהטעם הוא לא מגוף הענבים, דהא הענבים נשארו לפנינו כמו שהיו לפני ששרה אותם במים, והוסיף </w:t>
      </w:r>
      <w:r w:rsidRPr="0077459F">
        <w:rPr>
          <w:rStyle w:val="af8"/>
          <w:rFonts w:hint="cs"/>
          <w:rtl/>
        </w:rPr>
        <w:t>הרשב"א בחי'</w:t>
      </w:r>
      <w:r w:rsidRPr="0077459F">
        <w:rPr>
          <w:rFonts w:hint="cs"/>
          <w:rtl/>
        </w:rPr>
        <w:t xml:space="preserve"> דכן ביאר </w:t>
      </w:r>
      <w:r w:rsidRPr="0077459F">
        <w:rPr>
          <w:rStyle w:val="af8"/>
          <w:rFonts w:hint="cs"/>
          <w:rtl/>
        </w:rPr>
        <w:t>רש"י</w:t>
      </w:r>
      <w:r>
        <w:rPr>
          <w:rFonts w:hint="cs"/>
          <w:rtl/>
        </w:rPr>
        <w:t xml:space="preserve"> </w:t>
      </w:r>
      <w:r w:rsidRPr="0077459F">
        <w:rPr>
          <w:rFonts w:hint="cs"/>
          <w:rtl/>
        </w:rPr>
        <w:t>את דין טעמו ולא ממשו שהוזכר בש"ס</w:t>
      </w:r>
      <w:r>
        <w:rPr>
          <w:rFonts w:hint="cs"/>
          <w:rtl/>
        </w:rPr>
        <w:t>.</w:t>
      </w:r>
      <w:bookmarkEnd w:id="7039"/>
    </w:p>
    <w:p w:rsidR="00F34A57" w:rsidRPr="00DC3DE3" w:rsidRDefault="00F34A57" w:rsidP="00F34A57">
      <w:pPr>
        <w:pStyle w:val="a2"/>
      </w:pPr>
      <w:bookmarkStart w:id="7040" w:name="_Toc14089983"/>
      <w:bookmarkStart w:id="7041" w:name="_Toc14109782"/>
      <w:bookmarkStart w:id="7042" w:name="_Toc14120157"/>
      <w:bookmarkStart w:id="7043" w:name="_Toc14122335"/>
      <w:bookmarkStart w:id="7044" w:name="_Toc14196321"/>
      <w:bookmarkStart w:id="7045" w:name="_Toc14208853"/>
      <w:bookmarkStart w:id="7046" w:name="_Toc14248948"/>
      <w:bookmarkStart w:id="7047" w:name="_Toc14257454"/>
      <w:bookmarkStart w:id="7048" w:name="_Toc14196291"/>
      <w:r>
        <w:rPr>
          <w:rFonts w:hint="cs"/>
          <w:rtl/>
        </w:rPr>
        <w:t>ביאור הרמב"ן דהיתר מצטרף לאיסור היינו שלוקים על כל כזית מהתערובת</w:t>
      </w:r>
      <w:bookmarkEnd w:id="7040"/>
      <w:bookmarkEnd w:id="7041"/>
      <w:bookmarkEnd w:id="7042"/>
      <w:bookmarkEnd w:id="7043"/>
      <w:bookmarkEnd w:id="7044"/>
      <w:bookmarkEnd w:id="7045"/>
      <w:bookmarkEnd w:id="7046"/>
      <w:bookmarkEnd w:id="7047"/>
    </w:p>
    <w:p w:rsidR="00F34A57" w:rsidRDefault="00F34A57" w:rsidP="009F44AF">
      <w:pPr>
        <w:pStyle w:val="a"/>
        <w:rPr>
          <w:rtl/>
        </w:rPr>
      </w:pPr>
      <w:r>
        <w:rPr>
          <w:rFonts w:hint="cs"/>
          <w:rtl/>
        </w:rPr>
        <w:t xml:space="preserve">אבל בדין "היתר מצטרף לאיסור" שהביאה הגמ' בפסחים </w:t>
      </w:r>
      <w:r w:rsidRPr="004138B5">
        <w:rPr>
          <w:rStyle w:val="af6"/>
          <w:rFonts w:eastAsia="Guttman Hodes" w:hint="cs"/>
          <w:rtl/>
        </w:rPr>
        <w:t>(מד.)</w:t>
      </w:r>
      <w:r>
        <w:rPr>
          <w:rFonts w:hint="cs"/>
          <w:rtl/>
        </w:rPr>
        <w:t xml:space="preserve">, כתב </w:t>
      </w:r>
      <w:r w:rsidRPr="004138B5">
        <w:rPr>
          <w:rStyle w:val="af8"/>
          <w:rFonts w:hint="cs"/>
          <w:rtl/>
        </w:rPr>
        <w:t>הרמב"ן</w:t>
      </w:r>
      <w:r>
        <w:rPr>
          <w:rFonts w:hint="cs"/>
          <w:rtl/>
        </w:rPr>
        <w:t xml:space="preserve"> דביאורו הוא דכל דבר שנאסר ע"י שיש בו טעם של איסור כולו אסור, ואינו כטעם כעיקר, דלוקין רק על אכילת כזית מהטעם של האיסור שמעורב בתוך ההיתר, </w:t>
      </w:r>
      <w:r w:rsidRPr="003630E8">
        <w:rPr>
          <w:rStyle w:val="afa"/>
          <w:rFonts w:hint="cs"/>
          <w:rtl/>
        </w:rPr>
        <w:t>[באכלו בכדי אכילת פרס],</w:t>
      </w:r>
      <w:r>
        <w:rPr>
          <w:rFonts w:hint="cs"/>
          <w:rtl/>
        </w:rPr>
        <w:t xml:space="preserve"> אלא דכיון שההיתר מצטרף לאיסור לוקין על כל כזית מהתערובת, אף אם בכזית שאוכל יש גם היתר וגם איסור, וכתב </w:t>
      </w:r>
      <w:r w:rsidRPr="002F5DE9">
        <w:rPr>
          <w:rStyle w:val="af8"/>
          <w:rFonts w:hint="cs"/>
          <w:rtl/>
        </w:rPr>
        <w:t>הרמב"ן</w:t>
      </w:r>
      <w:r>
        <w:rPr>
          <w:rFonts w:hint="cs"/>
          <w:rtl/>
        </w:rPr>
        <w:t xml:space="preserve"> דאפש"ל דהמ"ד דס"ל דהיתר מצטרף לאיסור, לא ס"ל דטעם כעיקר דאו', וכן המ"ד דס"ל דטעם כעיקר דאו', אפש"ל דלא ס"ל דהיתר מצטרף לאיסור, דהם ב' דינים שלא תלויים זה בזה, ועיי"ש במה שביאר </w:t>
      </w:r>
      <w:r w:rsidRPr="00DC2254">
        <w:rPr>
          <w:rStyle w:val="af8"/>
          <w:rFonts w:hint="cs"/>
          <w:rtl/>
        </w:rPr>
        <w:t>הרמב"ן</w:t>
      </w:r>
      <w:r w:rsidRPr="00DC2254">
        <w:rPr>
          <w:rFonts w:hint="cs"/>
          <w:rtl/>
        </w:rPr>
        <w:t xml:space="preserve"> </w:t>
      </w:r>
      <w:r w:rsidR="00664FAE">
        <w:rPr>
          <w:rStyle w:val="af6"/>
          <w:rFonts w:eastAsia="Guttman Hodes" w:hint="cs"/>
          <w:rtl/>
        </w:rPr>
        <w:t xml:space="preserve">(ד"ה אלא, הובא לעיל סימן </w:t>
      </w:r>
      <w:r w:rsidR="00664FAE">
        <w:rPr>
          <w:rStyle w:val="af6"/>
          <w:rFonts w:eastAsiaTheme="minorHAnsi" w:hint="cs"/>
          <w:rtl/>
        </w:rPr>
        <w:t xml:space="preserve">ז' אות </w:t>
      </w:r>
      <w:r w:rsidR="00664FAE">
        <w:rPr>
          <w:rStyle w:val="af6"/>
          <w:rFonts w:eastAsiaTheme="minorHAnsi" w:hint="cs"/>
          <w:rtl/>
        </w:rPr>
        <w:fldChar w:fldCharType="begin"/>
      </w:r>
      <w:r w:rsidR="00664FAE">
        <w:rPr>
          <w:rStyle w:val="af6"/>
          <w:rFonts w:eastAsiaTheme="minorHAnsi" w:hint="cs"/>
          <w:rtl/>
        </w:rPr>
        <w:instrText xml:space="preserve"> </w:instrText>
      </w:r>
      <w:r w:rsidR="00664FAE">
        <w:rPr>
          <w:rStyle w:val="af6"/>
          <w:rFonts w:eastAsiaTheme="minorHAnsi"/>
        </w:rPr>
        <w:instrText>REF</w:instrText>
      </w:r>
      <w:r w:rsidR="00664FAE">
        <w:rPr>
          <w:rStyle w:val="af6"/>
          <w:rFonts w:eastAsiaTheme="minorHAnsi" w:hint="cs"/>
          <w:rtl/>
        </w:rPr>
        <w:instrText xml:space="preserve"> _</w:instrText>
      </w:r>
      <w:r w:rsidR="00664FAE">
        <w:rPr>
          <w:rStyle w:val="af6"/>
          <w:rFonts w:eastAsiaTheme="minorHAnsi"/>
        </w:rPr>
        <w:instrText>Ref14427802 \r \h</w:instrText>
      </w:r>
      <w:r w:rsidR="00664FAE">
        <w:rPr>
          <w:rStyle w:val="af6"/>
          <w:rFonts w:eastAsiaTheme="minorHAnsi" w:hint="cs"/>
          <w:rtl/>
        </w:rPr>
        <w:instrText xml:space="preserve"> </w:instrText>
      </w:r>
      <w:r w:rsidR="00664FAE">
        <w:rPr>
          <w:rStyle w:val="af6"/>
          <w:rFonts w:eastAsiaTheme="minorHAnsi" w:hint="cs"/>
          <w:rtl/>
        </w:rPr>
      </w:r>
      <w:r w:rsidR="00664FAE">
        <w:rPr>
          <w:rStyle w:val="af6"/>
          <w:rFonts w:eastAsiaTheme="minorHAnsi" w:hint="cs"/>
          <w:rtl/>
        </w:rPr>
        <w:fldChar w:fldCharType="separate"/>
      </w:r>
      <w:r w:rsidR="004D1C5B">
        <w:rPr>
          <w:rStyle w:val="af6"/>
          <w:rFonts w:eastAsiaTheme="minorHAnsi" w:hint="eastAsia"/>
          <w:cs/>
        </w:rPr>
        <w:t>‎</w:t>
      </w:r>
      <w:r w:rsidR="004D1C5B">
        <w:rPr>
          <w:rStyle w:val="af6"/>
          <w:rFonts w:eastAsiaTheme="minorHAnsi" w:hint="eastAsia"/>
          <w:rtl/>
        </w:rPr>
        <w:t>מה</w:t>
      </w:r>
      <w:r w:rsidR="004D1C5B">
        <w:rPr>
          <w:rStyle w:val="af6"/>
          <w:rFonts w:eastAsiaTheme="minorHAnsi"/>
          <w:rtl/>
        </w:rPr>
        <w:t>)</w:t>
      </w:r>
      <w:r w:rsidR="00664FAE">
        <w:rPr>
          <w:rStyle w:val="af6"/>
          <w:rFonts w:eastAsiaTheme="minorHAnsi" w:hint="cs"/>
          <w:rtl/>
        </w:rPr>
        <w:fldChar w:fldCharType="end"/>
      </w:r>
      <w:r>
        <w:rPr>
          <w:rFonts w:hint="cs"/>
          <w:rtl/>
        </w:rPr>
        <w:t>, בדין טעם כעיקר והיתר מצטרף לאיסור בקדשים.</w:t>
      </w:r>
    </w:p>
    <w:p w:rsidR="00F34A57" w:rsidRDefault="00F34A57" w:rsidP="00F34A57">
      <w:pPr>
        <w:pStyle w:val="a2"/>
        <w:rPr>
          <w:rtl/>
        </w:rPr>
      </w:pPr>
      <w:bookmarkStart w:id="7049" w:name="_Toc14208854"/>
      <w:bookmarkStart w:id="7050" w:name="_Toc14248949"/>
      <w:bookmarkStart w:id="7051" w:name="_Toc14257455"/>
      <w:r>
        <w:rPr>
          <w:rFonts w:hint="cs"/>
          <w:rtl/>
        </w:rPr>
        <w:t>דברי הרמב"ן במלחמות דרק בכזית בכא"פ יש חיוב דאו' בטעמו וממשו</w:t>
      </w:r>
      <w:bookmarkEnd w:id="7048"/>
      <w:bookmarkEnd w:id="7049"/>
      <w:bookmarkEnd w:id="7050"/>
      <w:bookmarkEnd w:id="7051"/>
    </w:p>
    <w:p w:rsidR="00F34A57" w:rsidRDefault="00F34A57" w:rsidP="009F44AF">
      <w:pPr>
        <w:pStyle w:val="a"/>
        <w:rPr>
          <w:rtl/>
        </w:rPr>
      </w:pPr>
      <w:bookmarkStart w:id="7052" w:name="_Ref14256889"/>
      <w:r>
        <w:rPr>
          <w:rFonts w:hint="cs"/>
          <w:rtl/>
        </w:rPr>
        <w:t xml:space="preserve">ועו"כ </w:t>
      </w:r>
      <w:r w:rsidRPr="00B67005">
        <w:rPr>
          <w:rStyle w:val="af8"/>
          <w:rFonts w:hint="cs"/>
          <w:rtl/>
        </w:rPr>
        <w:t>הרמב"ן במלחמ</w:t>
      </w:r>
      <w:r>
        <w:rPr>
          <w:rStyle w:val="af8"/>
          <w:rFonts w:hint="cs"/>
          <w:rtl/>
        </w:rPr>
        <w:t>ו</w:t>
      </w:r>
      <w:r w:rsidRPr="00B67005">
        <w:rPr>
          <w:rStyle w:val="af8"/>
          <w:rFonts w:hint="cs"/>
          <w:rtl/>
        </w:rPr>
        <w:t xml:space="preserve">ת בפסחים </w:t>
      </w:r>
      <w:r w:rsidRPr="00B67005">
        <w:rPr>
          <w:rStyle w:val="af6"/>
          <w:rFonts w:eastAsia="Guttman Hodes" w:hint="cs"/>
          <w:rtl/>
        </w:rPr>
        <w:t>(יג. מדפי הרי"ף)</w:t>
      </w:r>
      <w:r w:rsidRPr="00B77459">
        <w:rPr>
          <w:rFonts w:hint="cs"/>
          <w:rtl/>
        </w:rPr>
        <w:t xml:space="preserve"> דהחיוב </w:t>
      </w:r>
      <w:r>
        <w:rPr>
          <w:rFonts w:hint="cs"/>
          <w:rtl/>
        </w:rPr>
        <w:t xml:space="preserve">מלקות מדאו' </w:t>
      </w:r>
      <w:r w:rsidRPr="00B77459">
        <w:rPr>
          <w:rFonts w:hint="cs"/>
          <w:rtl/>
        </w:rPr>
        <w:t>בטעמו וממשו</w:t>
      </w:r>
      <w:r>
        <w:rPr>
          <w:rFonts w:hint="cs"/>
          <w:rtl/>
        </w:rPr>
        <w:t>,</w:t>
      </w:r>
      <w:r w:rsidRPr="00B77459">
        <w:rPr>
          <w:rFonts w:hint="cs"/>
          <w:rtl/>
        </w:rPr>
        <w:t xml:space="preserve"> הוא רק באופן שיש </w:t>
      </w:r>
      <w:r>
        <w:rPr>
          <w:rFonts w:hint="cs"/>
          <w:rtl/>
        </w:rPr>
        <w:t>מהאיסור</w:t>
      </w:r>
      <w:r w:rsidRPr="00B77459">
        <w:rPr>
          <w:rFonts w:hint="cs"/>
          <w:rtl/>
        </w:rPr>
        <w:t xml:space="preserve"> כזית</w:t>
      </w:r>
      <w:r>
        <w:rPr>
          <w:rFonts w:hint="cs"/>
          <w:rtl/>
        </w:rPr>
        <w:t xml:space="preserve"> </w:t>
      </w:r>
      <w:r w:rsidRPr="00B77459">
        <w:rPr>
          <w:rFonts w:hint="cs"/>
          <w:rtl/>
        </w:rPr>
        <w:t>בכדי אכי</w:t>
      </w:r>
      <w:r>
        <w:rPr>
          <w:rFonts w:hint="cs"/>
          <w:rtl/>
        </w:rPr>
        <w:t>ל</w:t>
      </w:r>
      <w:r w:rsidRPr="00B77459">
        <w:rPr>
          <w:rFonts w:hint="cs"/>
          <w:rtl/>
        </w:rPr>
        <w:t>ת פרס</w:t>
      </w:r>
      <w:r>
        <w:rPr>
          <w:rFonts w:hint="cs"/>
          <w:rtl/>
        </w:rPr>
        <w:t>.</w:t>
      </w:r>
      <w:bookmarkEnd w:id="7052"/>
    </w:p>
    <w:p w:rsidR="00F34A57" w:rsidRDefault="00F34A57" w:rsidP="00F34A57">
      <w:pPr>
        <w:pStyle w:val="1"/>
        <w:rPr>
          <w:rtl/>
        </w:rPr>
      </w:pPr>
      <w:bookmarkStart w:id="7053" w:name="_Toc14089987"/>
      <w:bookmarkStart w:id="7054" w:name="_Toc14109786"/>
      <w:bookmarkStart w:id="7055" w:name="_Toc14120161"/>
      <w:bookmarkStart w:id="7056" w:name="_Toc14122339"/>
      <w:bookmarkStart w:id="7057" w:name="_Toc14196292"/>
      <w:bookmarkStart w:id="7058" w:name="_Toc14208855"/>
      <w:bookmarkStart w:id="7059" w:name="_Toc14248950"/>
      <w:bookmarkStart w:id="7060" w:name="_Toc14257456"/>
      <w:r>
        <w:rPr>
          <w:rFonts w:hint="cs"/>
          <w:rtl/>
        </w:rPr>
        <w:lastRenderedPageBreak/>
        <w:t>ביאור הנחל"ד והחזו"א ברמב"ן דבטע"כ אין דין נהפך</w:t>
      </w:r>
      <w:bookmarkEnd w:id="7053"/>
      <w:bookmarkEnd w:id="7054"/>
      <w:bookmarkEnd w:id="7055"/>
      <w:bookmarkEnd w:id="7056"/>
      <w:bookmarkEnd w:id="7057"/>
      <w:bookmarkEnd w:id="7058"/>
      <w:bookmarkEnd w:id="7059"/>
      <w:bookmarkEnd w:id="7060"/>
    </w:p>
    <w:p w:rsidR="00F34A57" w:rsidRPr="009D0DF8" w:rsidRDefault="00F34A57" w:rsidP="00F34A57">
      <w:pPr>
        <w:pStyle w:val="a2"/>
        <w:rPr>
          <w:rtl/>
        </w:rPr>
      </w:pPr>
      <w:bookmarkStart w:id="7061" w:name="_Toc14196293"/>
      <w:bookmarkStart w:id="7062" w:name="_Toc14208856"/>
      <w:bookmarkStart w:id="7063" w:name="_Toc14248951"/>
      <w:bookmarkStart w:id="7064" w:name="_Toc14257457"/>
      <w:r>
        <w:rPr>
          <w:rFonts w:hint="cs"/>
          <w:rtl/>
        </w:rPr>
        <w:t>ביאור הנחל"ד ברמב"ן דבטע"כ ל"א נהפך אלא דהטעם אינו מתבטל ואינו חמור מהאיסור עצמו</w:t>
      </w:r>
      <w:bookmarkEnd w:id="7061"/>
      <w:bookmarkEnd w:id="7062"/>
      <w:bookmarkEnd w:id="7063"/>
      <w:bookmarkEnd w:id="7064"/>
    </w:p>
    <w:p w:rsidR="00F34A57" w:rsidRPr="00E7526B" w:rsidRDefault="00F34A57" w:rsidP="009F44AF">
      <w:pPr>
        <w:pStyle w:val="a"/>
        <w:rPr>
          <w:rtl/>
        </w:rPr>
      </w:pPr>
      <w:r w:rsidRPr="00B77459">
        <w:rPr>
          <w:rFonts w:hint="cs"/>
          <w:rtl/>
        </w:rPr>
        <w:t>ו</w:t>
      </w:r>
      <w:r w:rsidRPr="007E0C12">
        <w:rPr>
          <w:rFonts w:hint="cs"/>
          <w:rtl/>
        </w:rPr>
        <w:t xml:space="preserve">כתב </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קמ"ה] סוד"ה והא דבעו)</w:t>
      </w:r>
      <w:r w:rsidRPr="007E0C12">
        <w:rPr>
          <w:rStyle w:val="af6"/>
          <w:rFonts w:eastAsia="Guttman Hodes"/>
          <w:rtl/>
        </w:rPr>
        <w:t xml:space="preserve"> </w:t>
      </w:r>
      <w:r w:rsidRPr="00B77459">
        <w:rPr>
          <w:rFonts w:hint="cs"/>
          <w:rtl/>
        </w:rPr>
        <w:t xml:space="preserve">דמבואר </w:t>
      </w:r>
      <w:r>
        <w:rPr>
          <w:rFonts w:hint="cs"/>
          <w:rtl/>
        </w:rPr>
        <w:t>מדברי</w:t>
      </w:r>
      <w:r w:rsidRPr="00B77459">
        <w:rPr>
          <w:rFonts w:hint="cs"/>
          <w:rtl/>
        </w:rPr>
        <w:t xml:space="preserve"> </w:t>
      </w:r>
      <w:r w:rsidRPr="00B67005">
        <w:rPr>
          <w:rStyle w:val="af8"/>
          <w:rFonts w:hint="cs"/>
          <w:rtl/>
        </w:rPr>
        <w:t>הרמב"ן במלחמ</w:t>
      </w:r>
      <w:r>
        <w:rPr>
          <w:rStyle w:val="af8"/>
          <w:rFonts w:hint="cs"/>
          <w:rtl/>
        </w:rPr>
        <w:t>ו</w:t>
      </w:r>
      <w:r w:rsidRPr="00B67005">
        <w:rPr>
          <w:rStyle w:val="af8"/>
          <w:rFonts w:hint="cs"/>
          <w:rtl/>
        </w:rPr>
        <w:t xml:space="preserve">ת </w:t>
      </w:r>
      <w:r>
        <w:rPr>
          <w:rFonts w:hint="cs"/>
          <w:rtl/>
        </w:rPr>
        <w:t xml:space="preserve">דס"ל </w:t>
      </w:r>
      <w:r w:rsidRPr="00B77459">
        <w:rPr>
          <w:rFonts w:hint="cs"/>
          <w:rtl/>
        </w:rPr>
        <w:t xml:space="preserve">דבטעם כעיקר </w:t>
      </w:r>
      <w:r>
        <w:rPr>
          <w:rFonts w:hint="cs"/>
          <w:rtl/>
        </w:rPr>
        <w:t>ההיתר אינו</w:t>
      </w:r>
      <w:r w:rsidRPr="00B77459">
        <w:rPr>
          <w:rFonts w:hint="cs"/>
          <w:rtl/>
        </w:rPr>
        <w:t xml:space="preserve"> נהפך</w:t>
      </w:r>
      <w:r>
        <w:rPr>
          <w:rFonts w:hint="cs"/>
          <w:rtl/>
        </w:rPr>
        <w:t xml:space="preserve"> לאיסור</w:t>
      </w:r>
      <w:r w:rsidRPr="00B77459">
        <w:rPr>
          <w:rFonts w:hint="cs"/>
          <w:rtl/>
        </w:rPr>
        <w:t>, ורק הטעם עצמו אסור,</w:t>
      </w:r>
      <w:r>
        <w:rPr>
          <w:rFonts w:hint="cs"/>
          <w:rtl/>
        </w:rPr>
        <w:t xml:space="preserve"> ואין כל חומרא בטעם יותר מאשר באיסור </w:t>
      </w:r>
      <w:r w:rsidRPr="00E7526B">
        <w:rPr>
          <w:rFonts w:hint="cs"/>
          <w:rtl/>
        </w:rPr>
        <w:t xml:space="preserve">עצמו, וכ"כ </w:t>
      </w:r>
      <w:r w:rsidRPr="00E7526B">
        <w:rPr>
          <w:rStyle w:val="af8"/>
          <w:rFonts w:hint="cs"/>
          <w:rtl/>
        </w:rPr>
        <w:t>הנחל"ד</w:t>
      </w:r>
      <w:r w:rsidRPr="00E7526B">
        <w:rPr>
          <w:rFonts w:hint="cs"/>
          <w:rtl/>
        </w:rPr>
        <w:t xml:space="preserve"> בדעת </w:t>
      </w:r>
      <w:r w:rsidRPr="00E7526B">
        <w:rPr>
          <w:rStyle w:val="af8"/>
          <w:rFonts w:hint="cs"/>
          <w:rtl/>
        </w:rPr>
        <w:t>הבעה"מ</w:t>
      </w:r>
      <w:r w:rsidRPr="00E7526B">
        <w:rPr>
          <w:rFonts w:hint="cs"/>
          <w:rtl/>
        </w:rPr>
        <w:t xml:space="preserve"> </w:t>
      </w:r>
      <w:r w:rsidRPr="00E7526B">
        <w:rPr>
          <w:rStyle w:val="af6"/>
          <w:rFonts w:eastAsia="Guttman Hodes" w:hint="cs"/>
          <w:rtl/>
        </w:rPr>
        <w:t xml:space="preserve">(עי' אות </w:t>
      </w:r>
      <w:r w:rsidRPr="00E7526B">
        <w:rPr>
          <w:rStyle w:val="af6"/>
          <w:rFonts w:eastAsia="Guttman Hodes"/>
          <w:rtl/>
        </w:rPr>
        <w:fldChar w:fldCharType="begin"/>
      </w:r>
      <w:r w:rsidRPr="00E7526B">
        <w:rPr>
          <w:rStyle w:val="af6"/>
          <w:rFonts w:eastAsia="Guttman Hodes"/>
          <w:rtl/>
        </w:rPr>
        <w:instrText xml:space="preserve"> </w:instrText>
      </w:r>
      <w:r w:rsidRPr="00E7526B">
        <w:rPr>
          <w:rStyle w:val="af6"/>
          <w:rFonts w:eastAsia="Guttman Hodes" w:hint="cs"/>
        </w:rPr>
        <w:instrText>REF</w:instrText>
      </w:r>
      <w:r w:rsidRPr="00E7526B">
        <w:rPr>
          <w:rStyle w:val="af6"/>
          <w:rFonts w:eastAsia="Guttman Hodes" w:hint="cs"/>
          <w:rtl/>
        </w:rPr>
        <w:instrText xml:space="preserve"> _</w:instrText>
      </w:r>
      <w:r w:rsidRPr="00E7526B">
        <w:rPr>
          <w:rStyle w:val="af6"/>
          <w:rFonts w:eastAsia="Guttman Hodes" w:hint="cs"/>
        </w:rPr>
        <w:instrText>Ref14252989 \r \h</w:instrText>
      </w:r>
      <w:r w:rsidRPr="00E7526B">
        <w:rPr>
          <w:rStyle w:val="af6"/>
          <w:rFonts w:eastAsia="Guttman Hodes"/>
          <w:rtl/>
        </w:rPr>
        <w:instrText xml:space="preserve"> </w:instrText>
      </w:r>
      <w:r w:rsidRPr="00E7526B">
        <w:rPr>
          <w:rStyle w:val="af6"/>
          <w:rFonts w:eastAsia="Guttman Hodes"/>
          <w:rtl/>
        </w:rPr>
      </w:r>
      <w:r w:rsidRPr="00E7526B">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E7526B">
        <w:rPr>
          <w:rStyle w:val="af6"/>
          <w:rFonts w:eastAsia="Guttman Hodes"/>
          <w:rtl/>
        </w:rPr>
        <w:fldChar w:fldCharType="end"/>
      </w:r>
      <w:r>
        <w:rPr>
          <w:rFonts w:hint="cs"/>
          <w:rtl/>
        </w:rPr>
        <w:t xml:space="preserve"> </w:t>
      </w:r>
      <w:r w:rsidRPr="00E7526B">
        <w:rPr>
          <w:rStyle w:val="af8"/>
          <w:rFonts w:hint="cs"/>
          <w:rtl/>
        </w:rPr>
        <w:t>והר"ש</w:t>
      </w:r>
      <w:r>
        <w:rPr>
          <w:rFonts w:hint="cs"/>
          <w:rtl/>
        </w:rPr>
        <w:t xml:space="preserve"> </w:t>
      </w:r>
      <w:r w:rsidRPr="006372EA">
        <w:rPr>
          <w:rStyle w:val="af6"/>
          <w:rFonts w:eastAsia="Guttman Hodes" w:hint="cs"/>
          <w:rtl/>
        </w:rPr>
        <w:t xml:space="preserve">(עי' אות </w:t>
      </w:r>
      <w:r w:rsidRPr="006372EA">
        <w:rPr>
          <w:rStyle w:val="af6"/>
          <w:rFonts w:eastAsia="Guttman Hodes"/>
          <w:rtl/>
        </w:rPr>
        <w:fldChar w:fldCharType="begin"/>
      </w:r>
      <w:r w:rsidRPr="006372EA">
        <w:rPr>
          <w:rStyle w:val="af6"/>
          <w:rFonts w:eastAsia="Guttman Hodes"/>
          <w:rtl/>
        </w:rPr>
        <w:instrText xml:space="preserve"> </w:instrText>
      </w:r>
      <w:r w:rsidRPr="006372EA">
        <w:rPr>
          <w:rStyle w:val="af6"/>
          <w:rFonts w:eastAsia="Guttman Hodes" w:hint="cs"/>
        </w:rPr>
        <w:instrText>REF</w:instrText>
      </w:r>
      <w:r w:rsidRPr="006372EA">
        <w:rPr>
          <w:rStyle w:val="af6"/>
          <w:rFonts w:eastAsia="Guttman Hodes" w:hint="cs"/>
          <w:rtl/>
        </w:rPr>
        <w:instrText xml:space="preserve"> _</w:instrText>
      </w:r>
      <w:r w:rsidRPr="006372EA">
        <w:rPr>
          <w:rStyle w:val="af6"/>
          <w:rFonts w:eastAsia="Guttman Hodes" w:hint="cs"/>
        </w:rPr>
        <w:instrText>Ref14258128 \r \h</w:instrText>
      </w:r>
      <w:r w:rsidRPr="006372EA">
        <w:rPr>
          <w:rStyle w:val="af6"/>
          <w:rFonts w:eastAsia="Guttman Hodes"/>
          <w:rtl/>
        </w:rPr>
        <w:instrText xml:space="preserve"> </w:instrText>
      </w:r>
      <w:r w:rsidRPr="006372EA">
        <w:rPr>
          <w:rStyle w:val="af6"/>
          <w:rFonts w:eastAsia="Guttman Hodes"/>
          <w:rtl/>
        </w:rPr>
      </w:r>
      <w:r w:rsidRPr="006372EA">
        <w:rPr>
          <w:rStyle w:val="af6"/>
          <w:rFonts w:eastAsia="Guttman Hodes"/>
          <w:rtl/>
        </w:rPr>
        <w:fldChar w:fldCharType="separate"/>
      </w:r>
      <w:r w:rsidR="004D1C5B">
        <w:rPr>
          <w:rStyle w:val="af6"/>
          <w:rFonts w:eastAsia="Guttman Hodes"/>
          <w:cs/>
        </w:rPr>
        <w:t>‎</w:t>
      </w:r>
      <w:r w:rsidR="004D1C5B">
        <w:rPr>
          <w:rStyle w:val="af6"/>
          <w:rFonts w:eastAsia="Guttman Hodes"/>
          <w:rtl/>
        </w:rPr>
        <w:t>קח)</w:t>
      </w:r>
      <w:r w:rsidRPr="006372EA">
        <w:rPr>
          <w:rStyle w:val="af6"/>
          <w:rFonts w:eastAsia="Guttman Hodes"/>
          <w:rtl/>
        </w:rPr>
        <w:fldChar w:fldCharType="end"/>
      </w:r>
      <w:r>
        <w:rPr>
          <w:rFonts w:hint="cs"/>
          <w:rtl/>
        </w:rPr>
        <w:t>.</w:t>
      </w:r>
    </w:p>
    <w:p w:rsidR="00F34A57" w:rsidRPr="00B67005" w:rsidRDefault="00F34A57" w:rsidP="00F34A57">
      <w:pPr>
        <w:pStyle w:val="a2"/>
      </w:pPr>
      <w:bookmarkStart w:id="7065" w:name="_Toc14196294"/>
      <w:bookmarkStart w:id="7066" w:name="_Toc14208857"/>
      <w:bookmarkStart w:id="7067" w:name="_Toc14248952"/>
      <w:bookmarkStart w:id="7068" w:name="_Toc14257458"/>
      <w:r>
        <w:rPr>
          <w:rFonts w:hint="cs"/>
          <w:rtl/>
        </w:rPr>
        <w:t>ביאור החזו"א ברמב"ן דבטע"כ ל"א נהפך אלא דבכזית בכא"פ הטעם אינו מתבטל ברוב</w:t>
      </w:r>
      <w:bookmarkEnd w:id="7065"/>
      <w:bookmarkEnd w:id="7066"/>
      <w:bookmarkEnd w:id="7067"/>
      <w:bookmarkEnd w:id="7068"/>
    </w:p>
    <w:p w:rsidR="00F34A57" w:rsidRDefault="00F34A57" w:rsidP="009F44AF">
      <w:pPr>
        <w:pStyle w:val="a"/>
        <w:rPr>
          <w:rtl/>
        </w:rPr>
      </w:pPr>
      <w:r>
        <w:rPr>
          <w:rFonts w:hint="cs"/>
          <w:rtl/>
        </w:rPr>
        <w:t xml:space="preserve">וכ"כ </w:t>
      </w:r>
      <w:r w:rsidRPr="001C0444">
        <w:rPr>
          <w:rStyle w:val="af8"/>
          <w:rFonts w:hint="cs"/>
          <w:rtl/>
        </w:rPr>
        <w:t>החזו"א</w:t>
      </w:r>
      <w:r>
        <w:rPr>
          <w:rFonts w:hint="cs"/>
          <w:rtl/>
        </w:rPr>
        <w:t xml:space="preserve"> </w:t>
      </w:r>
      <w:r w:rsidRPr="006C27E6">
        <w:rPr>
          <w:rStyle w:val="af6"/>
          <w:rFonts w:eastAsia="Guttman Hodes" w:hint="cs"/>
          <w:rtl/>
        </w:rPr>
        <w:t>(סי כ"ד א')</w:t>
      </w:r>
      <w:r>
        <w:rPr>
          <w:rFonts w:hint="cs"/>
          <w:rtl/>
        </w:rPr>
        <w:t xml:space="preserve"> דמדברי </w:t>
      </w:r>
      <w:r w:rsidRPr="001C0444">
        <w:rPr>
          <w:rStyle w:val="af8"/>
          <w:rFonts w:hint="cs"/>
          <w:rtl/>
        </w:rPr>
        <w:t>הרמב</w:t>
      </w:r>
      <w:r w:rsidRPr="00B67005">
        <w:rPr>
          <w:rStyle w:val="af8"/>
          <w:rFonts w:hint="cs"/>
          <w:rtl/>
        </w:rPr>
        <w:t>"ן בסוגיין</w:t>
      </w:r>
      <w:r>
        <w:rPr>
          <w:rFonts w:hint="cs"/>
          <w:rtl/>
        </w:rPr>
        <w:t xml:space="preserve"> </w:t>
      </w:r>
      <w:r w:rsidRPr="006C27E6">
        <w:rPr>
          <w:rStyle w:val="af6"/>
          <w:rFonts w:eastAsia="Guttman Hodes" w:hint="cs"/>
          <w:rtl/>
        </w:rPr>
        <w:t xml:space="preserve">(עי' אות </w:t>
      </w:r>
      <w:r w:rsidRPr="006C27E6">
        <w:rPr>
          <w:rStyle w:val="af6"/>
          <w:rFonts w:eastAsia="Guttman Hodes"/>
          <w:rtl/>
        </w:rPr>
        <w:fldChar w:fldCharType="begin"/>
      </w:r>
      <w:r w:rsidRPr="006C27E6">
        <w:rPr>
          <w:rStyle w:val="af6"/>
          <w:rFonts w:eastAsia="Guttman Hodes"/>
          <w:rtl/>
        </w:rPr>
        <w:instrText xml:space="preserve"> </w:instrText>
      </w:r>
      <w:r w:rsidRPr="006C27E6">
        <w:rPr>
          <w:rStyle w:val="af6"/>
          <w:rFonts w:eastAsia="Guttman Hodes" w:hint="cs"/>
        </w:rPr>
        <w:instrText>REF</w:instrText>
      </w:r>
      <w:r w:rsidRPr="006C27E6">
        <w:rPr>
          <w:rStyle w:val="af6"/>
          <w:rFonts w:eastAsia="Guttman Hodes" w:hint="cs"/>
          <w:rtl/>
        </w:rPr>
        <w:instrText xml:space="preserve"> _</w:instrText>
      </w:r>
      <w:r w:rsidRPr="006C27E6">
        <w:rPr>
          <w:rStyle w:val="af6"/>
          <w:rFonts w:eastAsia="Guttman Hodes" w:hint="cs"/>
        </w:rPr>
        <w:instrText>Ref14191543 \r \h</w:instrText>
      </w:r>
      <w:r w:rsidRPr="006C27E6">
        <w:rPr>
          <w:rStyle w:val="af6"/>
          <w:rFonts w:eastAsia="Guttman Hodes"/>
          <w:rtl/>
        </w:rPr>
        <w:instrText xml:space="preserve"> </w:instrText>
      </w:r>
      <w:r w:rsidRPr="006C27E6">
        <w:rPr>
          <w:rStyle w:val="af6"/>
          <w:rFonts w:eastAsia="Guttman Hodes"/>
          <w:rtl/>
        </w:rPr>
      </w:r>
      <w:r w:rsidRPr="006C27E6">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6C27E6">
        <w:rPr>
          <w:rStyle w:val="af6"/>
          <w:rFonts w:eastAsia="Guttman Hodes"/>
          <w:rtl/>
        </w:rPr>
        <w:fldChar w:fldCharType="end"/>
      </w:r>
      <w:r>
        <w:rPr>
          <w:rFonts w:hint="cs"/>
          <w:rtl/>
        </w:rPr>
        <w:t xml:space="preserve"> מבואר דהאיסור בטעם כעיקר, אינו מחמת דההיתר נהפך לאיסור, אלא שהטעם של האיסור לא התבטל ואף שהוא מעורב בתערובת שיש בה רוב של היתר, הוא עדיין אסור, וכתב </w:t>
      </w:r>
      <w:r w:rsidRPr="001C0444">
        <w:rPr>
          <w:rStyle w:val="af8"/>
          <w:rFonts w:hint="cs"/>
          <w:rtl/>
        </w:rPr>
        <w:t>החזו"א</w:t>
      </w:r>
      <w:r>
        <w:rPr>
          <w:rFonts w:hint="cs"/>
          <w:rtl/>
        </w:rPr>
        <w:t xml:space="preserve"> דלכן ס"ל </w:t>
      </w:r>
      <w:r w:rsidRPr="001C0444">
        <w:rPr>
          <w:rStyle w:val="af8"/>
          <w:rFonts w:hint="cs"/>
          <w:rtl/>
        </w:rPr>
        <w:t>להרמב"ן</w:t>
      </w:r>
      <w:r>
        <w:rPr>
          <w:rFonts w:hint="cs"/>
          <w:rtl/>
        </w:rPr>
        <w:t xml:space="preserve"> דהחיוב בטעם כעיקר הוא רק כשיש בו מטעם האיסור כזית בכדי אכילת פרס.</w:t>
      </w:r>
    </w:p>
    <w:p w:rsidR="00F34A57" w:rsidRDefault="00F34A57" w:rsidP="00F34A57">
      <w:pPr>
        <w:pStyle w:val="a2"/>
        <w:rPr>
          <w:rtl/>
        </w:rPr>
      </w:pPr>
      <w:bookmarkStart w:id="7069" w:name="_Toc14196295"/>
      <w:bookmarkStart w:id="7070" w:name="_Toc14208858"/>
      <w:bookmarkStart w:id="7071" w:name="_Toc14248953"/>
      <w:bookmarkStart w:id="7072" w:name="_Toc14257459"/>
      <w:r>
        <w:rPr>
          <w:rFonts w:hint="cs"/>
          <w:rtl/>
        </w:rPr>
        <w:t>ביאור החזו"א ברמב"ן דבנימוח ממשו של האיסור דין טע"כ הוא רק אם נימוח כזית בכא"פ</w:t>
      </w:r>
      <w:bookmarkEnd w:id="7069"/>
      <w:bookmarkEnd w:id="7070"/>
      <w:bookmarkEnd w:id="7071"/>
      <w:bookmarkEnd w:id="7072"/>
      <w:r>
        <w:rPr>
          <w:rFonts w:hint="cs"/>
          <w:rtl/>
        </w:rPr>
        <w:t xml:space="preserve"> </w:t>
      </w:r>
    </w:p>
    <w:p w:rsidR="00F34A57" w:rsidRDefault="00F34A57" w:rsidP="009F44AF">
      <w:pPr>
        <w:pStyle w:val="a"/>
        <w:rPr>
          <w:rtl/>
        </w:rPr>
      </w:pPr>
      <w:r>
        <w:rPr>
          <w:rFonts w:hint="cs"/>
          <w:rtl/>
        </w:rPr>
        <w:t xml:space="preserve">וביאר </w:t>
      </w:r>
      <w:r w:rsidRPr="00223081">
        <w:rPr>
          <w:rStyle w:val="af8"/>
          <w:rFonts w:hint="cs"/>
          <w:rtl/>
        </w:rPr>
        <w:t>החזו"א</w:t>
      </w:r>
      <w:r>
        <w:rPr>
          <w:rFonts w:hint="cs"/>
          <w:rtl/>
        </w:rPr>
        <w:t xml:space="preserve"> בדעת </w:t>
      </w:r>
      <w:r w:rsidRPr="00223081">
        <w:rPr>
          <w:rStyle w:val="af8"/>
          <w:rFonts w:hint="cs"/>
          <w:rtl/>
        </w:rPr>
        <w:t>הרמב"ן</w:t>
      </w:r>
      <w:r>
        <w:rPr>
          <w:rFonts w:hint="cs"/>
          <w:rtl/>
        </w:rPr>
        <w:t xml:space="preserve"> דבמקום שממשו של האיסור נימוח בתוך התערובת, שייך לברר אם יש בתערובת כזית בכדי אכילת פרס מהאיסור.</w:t>
      </w:r>
    </w:p>
    <w:p w:rsidR="00F34A57" w:rsidRPr="00E03E70" w:rsidRDefault="00F34A57" w:rsidP="00F34A57">
      <w:pPr>
        <w:pStyle w:val="a2"/>
      </w:pPr>
      <w:bookmarkStart w:id="7073" w:name="_Toc14196296"/>
      <w:bookmarkStart w:id="7074" w:name="_Toc14208859"/>
      <w:bookmarkStart w:id="7075" w:name="_Toc14248954"/>
      <w:bookmarkStart w:id="7076" w:name="_Toc14257460"/>
      <w:r>
        <w:rPr>
          <w:rFonts w:hint="cs"/>
          <w:rtl/>
        </w:rPr>
        <w:t>ביאור החזו"א ברמב"ן דכשהאיסור נתן רק טעם משערים דטעם חזק חשיב כאילו נתערב כזית בכא"פ</w:t>
      </w:r>
      <w:bookmarkEnd w:id="7073"/>
      <w:bookmarkEnd w:id="7074"/>
      <w:bookmarkEnd w:id="7075"/>
      <w:bookmarkEnd w:id="7076"/>
    </w:p>
    <w:p w:rsidR="00F34A57" w:rsidRDefault="00F34A57" w:rsidP="009F44AF">
      <w:pPr>
        <w:pStyle w:val="a"/>
        <w:rPr>
          <w:rtl/>
        </w:rPr>
      </w:pPr>
      <w:r>
        <w:rPr>
          <w:rFonts w:hint="cs"/>
          <w:rtl/>
        </w:rPr>
        <w:t xml:space="preserve">ובמקום שהאיסור לא נימוח, והוא רק נתן טעם בתערובת, ביאר </w:t>
      </w:r>
      <w:r w:rsidRPr="00223081">
        <w:rPr>
          <w:rStyle w:val="af8"/>
          <w:rFonts w:hint="cs"/>
          <w:rtl/>
        </w:rPr>
        <w:t>החזו"א</w:t>
      </w:r>
      <w:r>
        <w:rPr>
          <w:rFonts w:hint="cs"/>
          <w:rtl/>
        </w:rPr>
        <w:t xml:space="preserve"> דלדעת </w:t>
      </w:r>
      <w:r w:rsidRPr="00223081">
        <w:rPr>
          <w:rStyle w:val="af8"/>
          <w:rFonts w:hint="cs"/>
          <w:rtl/>
        </w:rPr>
        <w:t>הרמב"ן</w:t>
      </w:r>
      <w:r>
        <w:rPr>
          <w:rFonts w:hint="cs"/>
          <w:rtl/>
        </w:rPr>
        <w:t xml:space="preserve"> משערים את הטעם, דאם הוא טעם חזק כ"כ, שהוא כמו הטעם שהיה בה אם היה בתערובת כזית בכדי אכילת פרס מממשו של האיסור, בכה"כ אף כשיש בה רק טעם, חשיב שמעורב בה כזית בכדי אכילת פרס, וחייב עליו.</w:t>
      </w:r>
    </w:p>
    <w:p w:rsidR="00F34A57" w:rsidRDefault="00F34A57" w:rsidP="00F34A57">
      <w:pPr>
        <w:pStyle w:val="a2"/>
        <w:rPr>
          <w:rtl/>
        </w:rPr>
      </w:pPr>
      <w:bookmarkStart w:id="7077" w:name="_Toc14196297"/>
      <w:bookmarkStart w:id="7078" w:name="_Toc14208860"/>
      <w:bookmarkStart w:id="7079" w:name="_Toc14248955"/>
      <w:bookmarkStart w:id="7080" w:name="_Toc14257461"/>
      <w:r>
        <w:rPr>
          <w:rFonts w:hint="cs"/>
          <w:rtl/>
        </w:rPr>
        <w:t>דברי החזו"א ברמב"ן דבמקום שאין בתערובת כזית בכא"פ אסור מדאו' מדין חצי שיעור</w:t>
      </w:r>
      <w:bookmarkEnd w:id="7077"/>
      <w:bookmarkEnd w:id="7078"/>
      <w:bookmarkEnd w:id="7079"/>
      <w:bookmarkEnd w:id="7080"/>
    </w:p>
    <w:p w:rsidR="00F34A57" w:rsidRDefault="00F34A57" w:rsidP="009F44AF">
      <w:pPr>
        <w:pStyle w:val="a"/>
        <w:rPr>
          <w:rtl/>
        </w:rPr>
      </w:pPr>
      <w:r>
        <w:rPr>
          <w:rFonts w:hint="cs"/>
          <w:rtl/>
        </w:rPr>
        <w:t xml:space="preserve">ובמקום שאין בתערובת כזית בכדי אכילת פרס, כתב </w:t>
      </w:r>
      <w:r w:rsidRPr="00223081">
        <w:rPr>
          <w:rStyle w:val="af8"/>
          <w:rFonts w:hint="cs"/>
          <w:rtl/>
        </w:rPr>
        <w:t>החזו"א</w:t>
      </w:r>
      <w:r>
        <w:rPr>
          <w:rFonts w:hint="cs"/>
          <w:rtl/>
        </w:rPr>
        <w:t xml:space="preserve"> דאסור מדאו' מדין חצי שיעור, </w:t>
      </w:r>
      <w:r w:rsidRPr="00327C67">
        <w:rPr>
          <w:rStyle w:val="afa"/>
          <w:rFonts w:hint="cs"/>
          <w:rtl/>
        </w:rPr>
        <w:t>[למ"ד דטע"כ דאו'],</w:t>
      </w:r>
      <w:r>
        <w:rPr>
          <w:rFonts w:hint="cs"/>
          <w:rtl/>
        </w:rPr>
        <w:t xml:space="preserve"> וכתב </w:t>
      </w:r>
      <w:r w:rsidRPr="00223081">
        <w:rPr>
          <w:rStyle w:val="af8"/>
          <w:rFonts w:hint="cs"/>
          <w:rtl/>
        </w:rPr>
        <w:t>החזו"א</w:t>
      </w:r>
      <w:r>
        <w:rPr>
          <w:rFonts w:hint="cs"/>
          <w:rtl/>
        </w:rPr>
        <w:t xml:space="preserve"> דכן דעת </w:t>
      </w:r>
      <w:r>
        <w:rPr>
          <w:rStyle w:val="af8"/>
          <w:rFonts w:hint="cs"/>
          <w:rtl/>
        </w:rPr>
        <w:t>הר</w:t>
      </w:r>
      <w:r>
        <w:rPr>
          <w:rStyle w:val="af8"/>
          <w:rtl/>
        </w:rPr>
        <w:t>"</w:t>
      </w:r>
      <w:r>
        <w:rPr>
          <w:rStyle w:val="af8"/>
          <w:rFonts w:hint="cs"/>
          <w:rtl/>
        </w:rPr>
        <w:t>ש בטבול יום</w:t>
      </w:r>
      <w:r>
        <w:rPr>
          <w:rFonts w:hint="cs"/>
          <w:rtl/>
        </w:rPr>
        <w:t xml:space="preserve"> </w:t>
      </w:r>
      <w:r w:rsidRPr="001F65BB">
        <w:rPr>
          <w:rStyle w:val="af6"/>
          <w:rFonts w:eastAsia="Guttman Hodes" w:hint="cs"/>
          <w:rtl/>
        </w:rPr>
        <w:t xml:space="preserve">(עי' אות </w:t>
      </w:r>
      <w:r w:rsidRPr="001F65BB">
        <w:rPr>
          <w:rStyle w:val="af6"/>
          <w:rFonts w:eastAsia="Guttman Hodes"/>
          <w:rtl/>
        </w:rPr>
        <w:fldChar w:fldCharType="begin"/>
      </w:r>
      <w:r w:rsidRPr="001F65BB">
        <w:rPr>
          <w:rStyle w:val="af6"/>
          <w:rFonts w:eastAsia="Guttman Hodes"/>
          <w:rtl/>
        </w:rPr>
        <w:instrText xml:space="preserve"> </w:instrText>
      </w:r>
      <w:r w:rsidRPr="001F65BB">
        <w:rPr>
          <w:rStyle w:val="af6"/>
          <w:rFonts w:eastAsia="Guttman Hodes" w:hint="cs"/>
        </w:rPr>
        <w:instrText>REF</w:instrText>
      </w:r>
      <w:r w:rsidRPr="001F65BB">
        <w:rPr>
          <w:rStyle w:val="af6"/>
          <w:rFonts w:eastAsia="Guttman Hodes" w:hint="cs"/>
          <w:rtl/>
        </w:rPr>
        <w:instrText xml:space="preserve"> _</w:instrText>
      </w:r>
      <w:r w:rsidRPr="001F65BB">
        <w:rPr>
          <w:rStyle w:val="af6"/>
          <w:rFonts w:eastAsia="Guttman Hodes" w:hint="cs"/>
        </w:rPr>
        <w:instrText>Ref14254135 \r \h</w:instrText>
      </w:r>
      <w:r w:rsidRPr="001F65BB">
        <w:rPr>
          <w:rStyle w:val="af6"/>
          <w:rFonts w:eastAsia="Guttman Hodes"/>
          <w:rtl/>
        </w:rPr>
        <w:instrText xml:space="preserve"> </w:instrText>
      </w:r>
      <w:r w:rsidRPr="001F65BB">
        <w:rPr>
          <w:rStyle w:val="af6"/>
          <w:rFonts w:eastAsia="Guttman Hodes"/>
          <w:rtl/>
        </w:rPr>
      </w:r>
      <w:r w:rsidRPr="001F65BB">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1F65BB">
        <w:rPr>
          <w:rStyle w:val="af6"/>
          <w:rFonts w:eastAsia="Guttman Hodes"/>
          <w:rtl/>
        </w:rPr>
        <w:fldChar w:fldCharType="end"/>
      </w:r>
      <w:r>
        <w:rPr>
          <w:rFonts w:hint="cs"/>
          <w:rtl/>
        </w:rPr>
        <w:t xml:space="preserve">, אמנם יעוי' במ"ש </w:t>
      </w:r>
      <w:r w:rsidRPr="00426CA6">
        <w:rPr>
          <w:rStyle w:val="af8"/>
          <w:rFonts w:hint="cs"/>
          <w:rtl/>
        </w:rPr>
        <w:t>הגר"א</w:t>
      </w:r>
      <w:r>
        <w:rPr>
          <w:rFonts w:hint="cs"/>
          <w:rtl/>
        </w:rPr>
        <w:t xml:space="preserve"> </w:t>
      </w:r>
      <w:r w:rsidRPr="00426CA6">
        <w:rPr>
          <w:rStyle w:val="af6"/>
          <w:rFonts w:eastAsia="Guttman Hodes" w:hint="cs"/>
          <w:rtl/>
        </w:rPr>
        <w:t xml:space="preserve">(עי' אות </w:t>
      </w:r>
      <w:r w:rsidRPr="00426CA6">
        <w:rPr>
          <w:rStyle w:val="af6"/>
          <w:rFonts w:eastAsia="Guttman Hodes"/>
          <w:rtl/>
        </w:rPr>
        <w:fldChar w:fldCharType="begin"/>
      </w:r>
      <w:r w:rsidRPr="00426CA6">
        <w:rPr>
          <w:rStyle w:val="af6"/>
          <w:rFonts w:eastAsia="Guttman Hodes"/>
          <w:rtl/>
        </w:rPr>
        <w:instrText xml:space="preserve"> </w:instrText>
      </w:r>
      <w:r w:rsidRPr="00426CA6">
        <w:rPr>
          <w:rStyle w:val="af6"/>
          <w:rFonts w:eastAsia="Guttman Hodes" w:hint="cs"/>
        </w:rPr>
        <w:instrText>REF</w:instrText>
      </w:r>
      <w:r w:rsidRPr="00426CA6">
        <w:rPr>
          <w:rStyle w:val="af6"/>
          <w:rFonts w:eastAsia="Guttman Hodes" w:hint="cs"/>
          <w:rtl/>
        </w:rPr>
        <w:instrText xml:space="preserve"> _</w:instrText>
      </w:r>
      <w:r w:rsidRPr="00426CA6">
        <w:rPr>
          <w:rStyle w:val="af6"/>
          <w:rFonts w:eastAsia="Guttman Hodes" w:hint="cs"/>
        </w:rPr>
        <w:instrText>Ref14194309 \r \h</w:instrText>
      </w:r>
      <w:r w:rsidRPr="00426CA6">
        <w:rPr>
          <w:rStyle w:val="af6"/>
          <w:rFonts w:eastAsia="Guttman Hodes"/>
          <w:rtl/>
        </w:rPr>
        <w:instrText xml:space="preserve"> </w:instrText>
      </w:r>
      <w:r w:rsidRPr="00426CA6">
        <w:rPr>
          <w:rStyle w:val="af6"/>
          <w:rFonts w:eastAsia="Guttman Hodes"/>
          <w:rtl/>
        </w:rPr>
      </w:r>
      <w:r w:rsidRPr="00426CA6">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426CA6">
        <w:rPr>
          <w:rStyle w:val="af6"/>
          <w:rFonts w:eastAsia="Guttman Hodes"/>
          <w:rtl/>
        </w:rPr>
        <w:fldChar w:fldCharType="end"/>
      </w:r>
      <w:r>
        <w:rPr>
          <w:rFonts w:hint="cs"/>
          <w:rtl/>
        </w:rPr>
        <w:t xml:space="preserve"> דכן היא דעת </w:t>
      </w:r>
      <w:r w:rsidRPr="00426CA6">
        <w:rPr>
          <w:rStyle w:val="af8"/>
          <w:rFonts w:hint="cs"/>
          <w:rtl/>
        </w:rPr>
        <w:t>הרשב"א</w:t>
      </w:r>
      <w:r>
        <w:rPr>
          <w:rFonts w:hint="cs"/>
          <w:rtl/>
        </w:rPr>
        <w:t xml:space="preserve"> אבל </w:t>
      </w:r>
      <w:r>
        <w:rPr>
          <w:rStyle w:val="af8"/>
          <w:rFonts w:hint="cs"/>
          <w:rtl/>
        </w:rPr>
        <w:t>ל</w:t>
      </w:r>
      <w:r w:rsidRPr="00426CA6">
        <w:rPr>
          <w:rStyle w:val="af8"/>
          <w:rFonts w:hint="cs"/>
          <w:rtl/>
        </w:rPr>
        <w:t>הרמב"ן</w:t>
      </w:r>
      <w:r>
        <w:rPr>
          <w:rFonts w:hint="cs"/>
          <w:rtl/>
        </w:rPr>
        <w:t xml:space="preserve"> אסור מדרבנן.</w:t>
      </w:r>
    </w:p>
    <w:p w:rsidR="00F34A57" w:rsidRDefault="00F34A57" w:rsidP="00E669F8">
      <w:pPr>
        <w:pStyle w:val="afd"/>
        <w:rPr>
          <w:rtl/>
        </w:rPr>
      </w:pPr>
      <w:bookmarkStart w:id="7081" w:name="_Toc14196298"/>
      <w:bookmarkStart w:id="7082" w:name="_Toc14208861"/>
      <w:bookmarkStart w:id="7083" w:name="_Toc14248956"/>
      <w:bookmarkStart w:id="7084" w:name="_Toc14257462"/>
      <w:r>
        <w:rPr>
          <w:rFonts w:hint="cs"/>
          <w:rtl/>
        </w:rPr>
        <w:t>דברי הראב"ד</w:t>
      </w:r>
      <w:bookmarkEnd w:id="7081"/>
      <w:bookmarkEnd w:id="7082"/>
      <w:r>
        <w:rPr>
          <w:rFonts w:hint="cs"/>
          <w:rtl/>
        </w:rPr>
        <w:t xml:space="preserve"> בגדר טעם כעיקר</w:t>
      </w:r>
      <w:bookmarkEnd w:id="7083"/>
      <w:bookmarkEnd w:id="7084"/>
    </w:p>
    <w:p w:rsidR="00F34A57" w:rsidRDefault="00F34A57" w:rsidP="00F34A57">
      <w:pPr>
        <w:pStyle w:val="1"/>
        <w:rPr>
          <w:rtl/>
        </w:rPr>
      </w:pPr>
      <w:bookmarkStart w:id="7085" w:name="_Toc14089984"/>
      <w:bookmarkStart w:id="7086" w:name="_Toc14109783"/>
      <w:bookmarkStart w:id="7087" w:name="_Toc14120158"/>
      <w:bookmarkStart w:id="7088" w:name="_Toc14122336"/>
      <w:bookmarkStart w:id="7089" w:name="_Toc14196322"/>
      <w:bookmarkStart w:id="7090" w:name="_Toc14208862"/>
      <w:bookmarkStart w:id="7091" w:name="_Toc14248957"/>
      <w:bookmarkStart w:id="7092" w:name="_Toc14257463"/>
      <w:r>
        <w:rPr>
          <w:rFonts w:hint="cs"/>
          <w:rtl/>
        </w:rPr>
        <w:t>דברי הראב"ד בטעם כעיקר והיתר מצטרף לאיסור</w:t>
      </w:r>
      <w:bookmarkStart w:id="7093" w:name="_Toc14089986"/>
      <w:bookmarkStart w:id="7094" w:name="_Toc14109785"/>
      <w:bookmarkStart w:id="7095" w:name="_Toc14120160"/>
      <w:bookmarkStart w:id="7096" w:name="_Toc14122338"/>
      <w:bookmarkStart w:id="7097" w:name="_Toc14196324"/>
      <w:bookmarkEnd w:id="7085"/>
      <w:bookmarkEnd w:id="7086"/>
      <w:bookmarkEnd w:id="7087"/>
      <w:bookmarkEnd w:id="7088"/>
      <w:bookmarkEnd w:id="7089"/>
      <w:bookmarkEnd w:id="7090"/>
      <w:bookmarkEnd w:id="7091"/>
      <w:bookmarkEnd w:id="7092"/>
    </w:p>
    <w:p w:rsidR="00F34A57" w:rsidRPr="00AD4EA0" w:rsidRDefault="00F34A57" w:rsidP="00F34A57">
      <w:pPr>
        <w:pStyle w:val="a2"/>
        <w:rPr>
          <w:rtl/>
        </w:rPr>
      </w:pPr>
      <w:bookmarkStart w:id="7098" w:name="_Toc14248958"/>
      <w:bookmarkStart w:id="7099" w:name="_Toc14257464"/>
      <w:r>
        <w:rPr>
          <w:rFonts w:hint="cs"/>
          <w:rtl/>
        </w:rPr>
        <w:t>דברי הרשב"א בשם הראב"ד דכשאכל מהאיסור</w:t>
      </w:r>
      <w:r w:rsidRPr="00AD4EA0">
        <w:rPr>
          <w:rFonts w:hint="cs"/>
          <w:rtl/>
        </w:rPr>
        <w:t xml:space="preserve"> </w:t>
      </w:r>
      <w:r>
        <w:rPr>
          <w:rFonts w:hint="cs"/>
          <w:rtl/>
        </w:rPr>
        <w:t>כזית בכא"פ לוקה עליו דחשיב כממשו</w:t>
      </w:r>
      <w:bookmarkEnd w:id="7098"/>
      <w:bookmarkEnd w:id="7099"/>
    </w:p>
    <w:p w:rsidR="002D7168" w:rsidRDefault="00F34A57" w:rsidP="009F44AF">
      <w:pPr>
        <w:pStyle w:val="a"/>
        <w:rPr>
          <w:rStyle w:val="afa"/>
          <w:rtl/>
        </w:rPr>
      </w:pPr>
      <w:bookmarkStart w:id="7100" w:name="_Ref14249145"/>
      <w:r>
        <w:rPr>
          <w:rFonts w:hint="cs"/>
          <w:rtl/>
        </w:rPr>
        <w:t xml:space="preserve">הביא </w:t>
      </w:r>
      <w:r w:rsidRPr="00904938">
        <w:rPr>
          <w:rStyle w:val="af8"/>
          <w:rFonts w:hint="cs"/>
          <w:rtl/>
        </w:rPr>
        <w:t xml:space="preserve">הרשב"א בחי' </w:t>
      </w:r>
      <w:r w:rsidRPr="004416A2">
        <w:rPr>
          <w:rStyle w:val="af6"/>
          <w:rFonts w:eastAsia="Guttman Hodes" w:hint="cs"/>
          <w:rtl/>
        </w:rPr>
        <w:t>(ד"ה והראב"ד)</w:t>
      </w:r>
      <w:r>
        <w:rPr>
          <w:rFonts w:hint="cs"/>
          <w:rtl/>
        </w:rPr>
        <w:t xml:space="preserve"> </w:t>
      </w:r>
      <w:r>
        <w:rPr>
          <w:rStyle w:val="af8"/>
          <w:rFonts w:hint="cs"/>
          <w:rtl/>
        </w:rPr>
        <w:t>ו</w:t>
      </w:r>
      <w:r w:rsidRPr="0043743E">
        <w:rPr>
          <w:rStyle w:val="af8"/>
          <w:rFonts w:hint="cs"/>
          <w:rtl/>
        </w:rPr>
        <w:t>בתוה"ב</w:t>
      </w:r>
      <w:r>
        <w:rPr>
          <w:rFonts w:hint="cs"/>
          <w:rtl/>
        </w:rPr>
        <w:t xml:space="preserve"> </w:t>
      </w:r>
      <w:r w:rsidRPr="0043743E">
        <w:rPr>
          <w:rStyle w:val="af6"/>
          <w:rFonts w:eastAsia="Guttman Hodes" w:hint="cs"/>
          <w:rtl/>
        </w:rPr>
        <w:t xml:space="preserve">(ב"ד </w:t>
      </w:r>
      <w:r w:rsidRPr="00FC5C7F">
        <w:rPr>
          <w:rStyle w:val="af6"/>
          <w:rFonts w:eastAsia="Guttman Hodes" w:hint="cs"/>
          <w:rtl/>
        </w:rPr>
        <w:t>ש"א יא: מדה"ס, ובתוה"ב הקצר ב"ד ש"א ז. מדה"ס)</w:t>
      </w:r>
      <w:r>
        <w:rPr>
          <w:rFonts w:hint="cs"/>
          <w:rtl/>
        </w:rPr>
        <w:t xml:space="preserve"> בשם </w:t>
      </w:r>
      <w:r w:rsidRPr="00904938">
        <w:rPr>
          <w:rStyle w:val="af8"/>
          <w:rFonts w:hint="cs"/>
          <w:rtl/>
        </w:rPr>
        <w:t>הראב"ד באיסור משהו</w:t>
      </w:r>
      <w:r w:rsidRPr="00834597">
        <w:rPr>
          <w:rFonts w:hint="cs"/>
          <w:rtl/>
        </w:rPr>
        <w:t xml:space="preserve"> </w:t>
      </w:r>
      <w:r>
        <w:rPr>
          <w:rFonts w:hint="cs"/>
          <w:rtl/>
        </w:rPr>
        <w:t xml:space="preserve">דס"ל </w:t>
      </w:r>
      <w:r w:rsidRPr="00904938">
        <w:rPr>
          <w:rStyle w:val="af8"/>
          <w:rFonts w:hint="cs"/>
          <w:rtl/>
        </w:rPr>
        <w:t>כר"ת</w:t>
      </w:r>
      <w:r>
        <w:rPr>
          <w:rFonts w:hint="cs"/>
          <w:rtl/>
        </w:rPr>
        <w:t xml:space="preserve"> </w:t>
      </w:r>
      <w:r w:rsidRPr="004416A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Ref14194883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Pr>
          <w:rStyle w:val="af6"/>
          <w:rFonts w:eastAsia="Guttman Hodes"/>
          <w:rtl/>
        </w:rPr>
        <w:fldChar w:fldCharType="end"/>
      </w:r>
      <w:r w:rsidRPr="004416A2">
        <w:rPr>
          <w:rStyle w:val="af6"/>
          <w:rFonts w:eastAsia="Guttman Hodes" w:hint="cs"/>
          <w:rtl/>
        </w:rPr>
        <w:t xml:space="preserve"> </w:t>
      </w:r>
      <w:r>
        <w:rPr>
          <w:rFonts w:hint="cs"/>
          <w:rtl/>
        </w:rPr>
        <w:t xml:space="preserve">דטעם כעיקר דאו', וכתב </w:t>
      </w:r>
      <w:r w:rsidRPr="00904938">
        <w:rPr>
          <w:rStyle w:val="af8"/>
          <w:rFonts w:hint="cs"/>
          <w:rtl/>
        </w:rPr>
        <w:t>הראב"ד</w:t>
      </w:r>
      <w:r>
        <w:rPr>
          <w:rFonts w:hint="cs"/>
          <w:rtl/>
        </w:rPr>
        <w:t xml:space="preserve"> דיש ג' אופנים בנתינת טעם, בשנים מהם יש מלקות לכו"ע, ובשלישי נחלקו ר"ע ורבנן, האופן הא' שיש מהאיסור כזית בכדי אכילת פרס, ונתן האיסור טעם בכל התערובת, דכל שאכל כזית מהאיסור בכדי אכילת פרס לוקה עליו לכו"ע</w:t>
      </w:r>
      <w:r w:rsidRPr="007E0C12">
        <w:rPr>
          <w:rFonts w:hint="cs"/>
          <w:rtl/>
        </w:rPr>
        <w:t xml:space="preserve">, וכתב </w:t>
      </w:r>
      <w:r w:rsidRPr="007E0C12">
        <w:rPr>
          <w:rStyle w:val="af8"/>
          <w:rFonts w:hint="cs"/>
          <w:rtl/>
        </w:rPr>
        <w:t xml:space="preserve">בפי' הראב"ד בע"ז </w:t>
      </w:r>
      <w:r w:rsidRPr="007E0C12">
        <w:rPr>
          <w:rStyle w:val="af6"/>
          <w:rFonts w:eastAsia="Guttman Hodes" w:hint="cs"/>
          <w:rtl/>
        </w:rPr>
        <w:t xml:space="preserve">(סז. ד"ה כל, ד"ה לוקין) </w:t>
      </w:r>
      <w:r w:rsidRPr="007E0C12">
        <w:rPr>
          <w:rFonts w:hint="cs"/>
          <w:rtl/>
        </w:rPr>
        <w:t>דזהו טעמו וממשו, דהכזית של האיסור שבתוך כדי אכילת פרס הוא חשיב ממשו, שיש הרבה איסור בתערובת</w:t>
      </w:r>
      <w:r>
        <w:rPr>
          <w:rFonts w:hint="cs"/>
          <w:rtl/>
        </w:rPr>
        <w:t xml:space="preserve">. </w:t>
      </w:r>
      <w:r w:rsidRPr="00870B6A">
        <w:rPr>
          <w:rStyle w:val="afa"/>
          <w:rFonts w:hint="cs"/>
          <w:rtl/>
        </w:rPr>
        <w:t xml:space="preserve">[ועי' במה שביאר </w:t>
      </w:r>
      <w:r w:rsidRPr="00870B6A">
        <w:rPr>
          <w:rStyle w:val="affa"/>
          <w:rFonts w:hint="cs"/>
          <w:rtl/>
        </w:rPr>
        <w:t>הראב"ד</w:t>
      </w:r>
      <w:r w:rsidRPr="00870B6A">
        <w:rPr>
          <w:rStyle w:val="afa"/>
          <w:rFonts w:hint="cs"/>
          <w:rtl/>
        </w:rPr>
        <w:t xml:space="preserve"> </w:t>
      </w:r>
      <w:r w:rsidRPr="00870B6A">
        <w:rPr>
          <w:rStyle w:val="aff6"/>
          <w:rFonts w:hint="cs"/>
          <w:rtl/>
        </w:rPr>
        <w:t>(הובא לעיל סימן ט' אות</w:t>
      </w:r>
      <w:r w:rsidR="00664FAE">
        <w:rPr>
          <w:rStyle w:val="aff6"/>
          <w:rFonts w:hint="cs"/>
          <w:rtl/>
        </w:rPr>
        <w:t xml:space="preserve"> </w:t>
      </w:r>
      <w:r w:rsidR="00664FAE">
        <w:rPr>
          <w:rStyle w:val="aff6"/>
          <w:rtl/>
        </w:rPr>
        <w:fldChar w:fldCharType="begin"/>
      </w:r>
      <w:r w:rsidR="00664FAE">
        <w:rPr>
          <w:rStyle w:val="aff6"/>
          <w:rtl/>
        </w:rPr>
        <w:instrText xml:space="preserve"> </w:instrText>
      </w:r>
      <w:r w:rsidR="00664FAE">
        <w:rPr>
          <w:rStyle w:val="aff6"/>
          <w:rFonts w:hint="cs"/>
        </w:rPr>
        <w:instrText>REF</w:instrText>
      </w:r>
      <w:r w:rsidR="00664FAE">
        <w:rPr>
          <w:rStyle w:val="aff6"/>
          <w:rFonts w:hint="cs"/>
          <w:rtl/>
        </w:rPr>
        <w:instrText xml:space="preserve"> _</w:instrText>
      </w:r>
      <w:r w:rsidR="00664FAE">
        <w:rPr>
          <w:rStyle w:val="aff6"/>
          <w:rFonts w:hint="cs"/>
        </w:rPr>
        <w:instrText>Ref14428659 \r \h</w:instrText>
      </w:r>
      <w:r w:rsidR="00664FAE">
        <w:rPr>
          <w:rStyle w:val="aff6"/>
          <w:rtl/>
        </w:rPr>
        <w:instrText xml:space="preserve"> </w:instrText>
      </w:r>
      <w:r w:rsidR="00664FAE">
        <w:rPr>
          <w:rStyle w:val="aff6"/>
          <w:rtl/>
        </w:rPr>
      </w:r>
      <w:r w:rsidR="00664FAE">
        <w:rPr>
          <w:rStyle w:val="aff6"/>
          <w:rtl/>
        </w:rPr>
        <w:fldChar w:fldCharType="separate"/>
      </w:r>
      <w:r w:rsidR="004D1C5B">
        <w:rPr>
          <w:rStyle w:val="aff6"/>
          <w:cs/>
        </w:rPr>
        <w:t>‎</w:t>
      </w:r>
      <w:r w:rsidR="004D1C5B">
        <w:rPr>
          <w:rStyle w:val="aff6"/>
          <w:rtl/>
        </w:rPr>
        <w:t>סו)</w:t>
      </w:r>
      <w:r w:rsidR="00664FAE">
        <w:rPr>
          <w:rStyle w:val="aff6"/>
          <w:rtl/>
        </w:rPr>
        <w:fldChar w:fldCharType="end"/>
      </w:r>
      <w:r w:rsidRPr="00870B6A">
        <w:rPr>
          <w:rStyle w:val="afa"/>
          <w:rFonts w:hint="cs"/>
          <w:rtl/>
        </w:rPr>
        <w:t xml:space="preserve"> בדברי ריו"ח בע"ז].</w:t>
      </w:r>
      <w:bookmarkEnd w:id="7100"/>
    </w:p>
    <w:p w:rsidR="00F34A57" w:rsidRPr="00216010" w:rsidRDefault="00F34A57" w:rsidP="00F34A57">
      <w:pPr>
        <w:pStyle w:val="a2"/>
      </w:pPr>
      <w:bookmarkStart w:id="7101" w:name="_Toc14248959"/>
      <w:bookmarkStart w:id="7102" w:name="_Toc14257465"/>
      <w:r>
        <w:rPr>
          <w:rFonts w:hint="cs"/>
          <w:rtl/>
        </w:rPr>
        <w:t>דברי הרשב"א בשם הראב"ד דבפחות מכזית בכא"פ אסור מדאו' ואין בו מלקות דלא חשיב ממשו</w:t>
      </w:r>
      <w:bookmarkEnd w:id="7101"/>
      <w:bookmarkEnd w:id="7102"/>
    </w:p>
    <w:p w:rsidR="00F34A57" w:rsidRDefault="00F34A57" w:rsidP="009F44AF">
      <w:pPr>
        <w:pStyle w:val="a"/>
      </w:pPr>
      <w:bookmarkStart w:id="7103" w:name="_Ref14249126"/>
      <w:r>
        <w:rPr>
          <w:rFonts w:hint="cs"/>
          <w:rtl/>
        </w:rPr>
        <w:t xml:space="preserve">והאופן הב' כתב </w:t>
      </w:r>
      <w:r>
        <w:rPr>
          <w:rStyle w:val="af8"/>
          <w:rFonts w:hint="cs"/>
          <w:rtl/>
        </w:rPr>
        <w:t>הרשב"א בחי' ו</w:t>
      </w:r>
      <w:r w:rsidRPr="0043743E">
        <w:rPr>
          <w:rStyle w:val="af8"/>
          <w:rFonts w:hint="cs"/>
          <w:rtl/>
        </w:rPr>
        <w:t>בתוה"ב</w:t>
      </w:r>
      <w:r>
        <w:rPr>
          <w:rFonts w:hint="cs"/>
          <w:rtl/>
        </w:rPr>
        <w:t xml:space="preserve"> בשם </w:t>
      </w:r>
      <w:r w:rsidRPr="00904938">
        <w:rPr>
          <w:rStyle w:val="af8"/>
          <w:rFonts w:hint="cs"/>
          <w:rtl/>
        </w:rPr>
        <w:t xml:space="preserve">הראב"ד </w:t>
      </w:r>
      <w:r>
        <w:rPr>
          <w:rFonts w:hint="cs"/>
          <w:rtl/>
        </w:rPr>
        <w:t>בטעמו ולא ממשו, כגון שיש ארבעים או חמישים מההיתר כנגד אחד של איסור,</w:t>
      </w:r>
      <w:r w:rsidRPr="002C7175">
        <w:rPr>
          <w:rFonts w:hint="cs"/>
          <w:rtl/>
        </w:rPr>
        <w:t xml:space="preserve"> </w:t>
      </w:r>
      <w:r>
        <w:rPr>
          <w:rFonts w:hint="cs"/>
          <w:rtl/>
        </w:rPr>
        <w:t>ואין מהאיסור כזית בכדי אכילת פרס, דאסור מדאו' עד שיתבטל במיעוטו בשישים, ואין בו מלקות לכו"ע, דלרבנן ילפינן ממשרת דטעם כעיקר דאו', ולר"ע ילפינן לה מגיעולי עכו"ם, ואין מלקות בילפותא מהיקש או מק"ו</w:t>
      </w:r>
      <w:r w:rsidRPr="007E0C12">
        <w:rPr>
          <w:rFonts w:hint="cs"/>
          <w:rtl/>
        </w:rPr>
        <w:t xml:space="preserve">, וכתב </w:t>
      </w:r>
      <w:r w:rsidRPr="007E0C12">
        <w:rPr>
          <w:rStyle w:val="af8"/>
          <w:rFonts w:hint="cs"/>
          <w:rtl/>
        </w:rPr>
        <w:t xml:space="preserve">בפי' הראב"ד בע"ז </w:t>
      </w:r>
      <w:r w:rsidRPr="007E0C12">
        <w:rPr>
          <w:rStyle w:val="af6"/>
          <w:rFonts w:eastAsia="Guttman Hodes" w:hint="cs"/>
          <w:rtl/>
        </w:rPr>
        <w:t xml:space="preserve">(סז: ד"ה </w:t>
      </w:r>
      <w:r w:rsidRPr="007E0C12">
        <w:rPr>
          <w:rStyle w:val="af6"/>
          <w:rFonts w:eastAsia="Guttman Hodes" w:hint="cs"/>
          <w:rtl/>
        </w:rPr>
        <w:t xml:space="preserve">טעמו) </w:t>
      </w:r>
      <w:r w:rsidRPr="007E0C12">
        <w:rPr>
          <w:rFonts w:hint="cs"/>
          <w:rtl/>
        </w:rPr>
        <w:t>דזהו טעמו ולא ממשו, שלא אכל מהכזית של האיסור בכדי אכילת פרס, וא"כ אין הרבה איסור בתערובת ולא חשיב ממשו</w:t>
      </w:r>
      <w:bookmarkStart w:id="7104" w:name="_Ref14212235"/>
      <w:r>
        <w:rPr>
          <w:rFonts w:hint="cs"/>
          <w:rtl/>
        </w:rPr>
        <w:t>.</w:t>
      </w:r>
      <w:bookmarkEnd w:id="7103"/>
      <w:bookmarkEnd w:id="7104"/>
    </w:p>
    <w:p w:rsidR="00F34A57" w:rsidRPr="00C77524" w:rsidRDefault="00F34A57" w:rsidP="00F34A57">
      <w:pPr>
        <w:pStyle w:val="a2"/>
      </w:pPr>
      <w:bookmarkStart w:id="7105" w:name="_Toc14248960"/>
      <w:bookmarkStart w:id="7106" w:name="_Toc14257466"/>
      <w:r>
        <w:rPr>
          <w:rFonts w:hint="cs"/>
          <w:rtl/>
        </w:rPr>
        <w:t>ביאור הרשב"א בשם הראב"ד דהיתר מצטרף לאיסור הוא במחצה היתר ומחצה איסור</w:t>
      </w:r>
      <w:bookmarkEnd w:id="7105"/>
      <w:bookmarkEnd w:id="7106"/>
    </w:p>
    <w:p w:rsidR="00F34A57" w:rsidRDefault="00F34A57" w:rsidP="009F44AF">
      <w:pPr>
        <w:pStyle w:val="a"/>
        <w:rPr>
          <w:rtl/>
        </w:rPr>
      </w:pPr>
      <w:r>
        <w:rPr>
          <w:rFonts w:hint="cs"/>
          <w:rtl/>
        </w:rPr>
        <w:t xml:space="preserve">והאופן הג' כתב </w:t>
      </w:r>
      <w:r>
        <w:rPr>
          <w:rStyle w:val="af8"/>
          <w:rFonts w:hint="cs"/>
          <w:rtl/>
        </w:rPr>
        <w:t xml:space="preserve">הרשב"א </w:t>
      </w:r>
      <w:r w:rsidRPr="00904938">
        <w:rPr>
          <w:rStyle w:val="af8"/>
          <w:rFonts w:hint="cs"/>
          <w:rtl/>
        </w:rPr>
        <w:t xml:space="preserve">בחי' </w:t>
      </w:r>
      <w:r w:rsidRPr="004416A2">
        <w:rPr>
          <w:rStyle w:val="af6"/>
          <w:rFonts w:eastAsia="Guttman Hodes" w:hint="cs"/>
          <w:rtl/>
        </w:rPr>
        <w:t>(ד"ה והראב"ד)</w:t>
      </w:r>
      <w:r>
        <w:rPr>
          <w:rFonts w:hint="cs"/>
          <w:rtl/>
        </w:rPr>
        <w:t xml:space="preserve"> בשם </w:t>
      </w:r>
      <w:r w:rsidRPr="00904938">
        <w:rPr>
          <w:rStyle w:val="af8"/>
          <w:rFonts w:hint="cs"/>
          <w:rtl/>
        </w:rPr>
        <w:t xml:space="preserve">הראב"ד </w:t>
      </w:r>
      <w:r>
        <w:rPr>
          <w:rFonts w:hint="cs"/>
          <w:rtl/>
        </w:rPr>
        <w:t xml:space="preserve">דהוא היתר מצטרף לאיסור, דנחלקו בו ר"ע ורבנן, כגון שעירב מחצה היתר ומחצה איסור, והאיסור נתן טעם בהיתר, וכשאכל משניהם כזית, א"כ אכל חצי זית היתר וחצי זית איסור, דלדעת ר"ע בנזיר ובחטאת לוקין על היתר מצטרף לאיסור, ובשאר איסורים ילפינן ממשרת, </w:t>
      </w:r>
      <w:r w:rsidRPr="00CA6BF0">
        <w:rPr>
          <w:rStyle w:val="afa"/>
          <w:rFonts w:hint="cs"/>
          <w:rtl/>
        </w:rPr>
        <w:t xml:space="preserve">[ואין לוקין על ההיקשות], </w:t>
      </w:r>
      <w:r>
        <w:rPr>
          <w:rFonts w:hint="cs"/>
          <w:rtl/>
        </w:rPr>
        <w:t>ולרבנן רק בקדשים נאמר דין היתר מצטרף לאיסור, כדילפינן מחטאת, אבל בשאר האיסורים אין דין היתר מצטרף לאיסור, דממשרת ילפינן לטעם כעיקר, או לכזית בכדי אכילת פרס דלוקין עליו.</w:t>
      </w:r>
    </w:p>
    <w:p w:rsidR="00F34A57" w:rsidRDefault="00F34A57" w:rsidP="00F34A57">
      <w:pPr>
        <w:pStyle w:val="a2"/>
        <w:rPr>
          <w:rtl/>
        </w:rPr>
      </w:pPr>
      <w:bookmarkStart w:id="7107" w:name="_Toc14248961"/>
      <w:bookmarkStart w:id="7108" w:name="_Toc14257467"/>
      <w:r>
        <w:rPr>
          <w:rFonts w:hint="cs"/>
          <w:rtl/>
        </w:rPr>
        <w:t>דברי הרשב"א בשם הראב"ד דמשרת הוא גילוי מילתא דהטעם חשיב כנמצא בעין</w:t>
      </w:r>
      <w:bookmarkEnd w:id="7107"/>
      <w:bookmarkEnd w:id="7108"/>
    </w:p>
    <w:p w:rsidR="00F34A57" w:rsidRPr="007E0C12" w:rsidRDefault="00F34A57" w:rsidP="009F44AF">
      <w:pPr>
        <w:pStyle w:val="a"/>
      </w:pPr>
      <w:r>
        <w:rPr>
          <w:rFonts w:hint="cs"/>
          <w:rtl/>
        </w:rPr>
        <w:t xml:space="preserve">והוסיף </w:t>
      </w:r>
      <w:r>
        <w:rPr>
          <w:rStyle w:val="af8"/>
          <w:rFonts w:hint="cs"/>
          <w:rtl/>
        </w:rPr>
        <w:t xml:space="preserve">הרשב"א בחי' </w:t>
      </w:r>
      <w:r>
        <w:rPr>
          <w:rFonts w:hint="cs"/>
          <w:rtl/>
        </w:rPr>
        <w:t xml:space="preserve">בשם </w:t>
      </w:r>
      <w:r w:rsidRPr="00904938">
        <w:rPr>
          <w:rStyle w:val="af8"/>
          <w:rFonts w:hint="cs"/>
          <w:rtl/>
        </w:rPr>
        <w:t>הראב"ד</w:t>
      </w:r>
      <w:r w:rsidR="003602B9">
        <w:rPr>
          <w:rFonts w:hint="cs"/>
          <w:rtl/>
        </w:rPr>
        <w:t xml:space="preserve"> דלרבנן משרת הוא גילוי מילתא ב</w:t>
      </w:r>
      <w:r>
        <w:rPr>
          <w:rFonts w:hint="cs"/>
          <w:rtl/>
        </w:rPr>
        <w:t xml:space="preserve">עלמא לשאר האיסורים, דכל שיש נתינת טעם, אף שיש רוב כנגדו חשיב שהאיסור נמצא בעין, ובטעם הוא אוכל כזית איסור, </w:t>
      </w:r>
      <w:r w:rsidRPr="00EF0BE5">
        <w:rPr>
          <w:rStyle w:val="afa"/>
          <w:rFonts w:hint="cs"/>
          <w:rtl/>
        </w:rPr>
        <w:t>[דהיינו כשאוכל מהאיסור כזית בכדי אכילת פרס דלוקה עליו],</w:t>
      </w:r>
      <w:r>
        <w:rPr>
          <w:rFonts w:hint="cs"/>
          <w:rtl/>
        </w:rPr>
        <w:t xml:space="preserve"> או דהוא גילוי מילתא לטעמו ולא ממשו, דיש בו איסור ואין בו מלקות כיון שלא אכל ממנו כזית, וכעי"ז כתב </w:t>
      </w:r>
      <w:r w:rsidRPr="00300035">
        <w:rPr>
          <w:rStyle w:val="af8"/>
          <w:rFonts w:hint="cs"/>
          <w:rtl/>
        </w:rPr>
        <w:t>הראב"ד בהשג' על הבעה"מ בפסחים</w:t>
      </w:r>
      <w:r>
        <w:rPr>
          <w:rFonts w:hint="cs"/>
          <w:rtl/>
        </w:rPr>
        <w:t xml:space="preserve"> </w:t>
      </w:r>
      <w:r w:rsidRPr="00FD4A01">
        <w:rPr>
          <w:rStyle w:val="af6"/>
          <w:rFonts w:eastAsia="Guttman Hodes" w:hint="cs"/>
          <w:rtl/>
        </w:rPr>
        <w:t>(יג: מדפי הרי"ף ד"ה א"א ראיתי)</w:t>
      </w:r>
      <w:r>
        <w:rPr>
          <w:rFonts w:hint="cs"/>
          <w:rtl/>
        </w:rPr>
        <w:t>, והוסיף</w:t>
      </w:r>
      <w:r w:rsidRPr="007E0C12">
        <w:rPr>
          <w:rFonts w:hint="cs"/>
          <w:rtl/>
        </w:rPr>
        <w:t xml:space="preserve"> </w:t>
      </w:r>
      <w:r w:rsidRPr="006B3AF1">
        <w:rPr>
          <w:rStyle w:val="af8"/>
          <w:rFonts w:hint="cs"/>
          <w:rtl/>
        </w:rPr>
        <w:t>הראב"ד בהשג' על הבעה"מ בפסחים</w:t>
      </w:r>
      <w:r w:rsidRPr="007E0C12">
        <w:rPr>
          <w:rFonts w:hint="cs"/>
          <w:rtl/>
        </w:rPr>
        <w:t xml:space="preserve"> </w:t>
      </w:r>
      <w:r w:rsidRPr="00FD4A01">
        <w:rPr>
          <w:rStyle w:val="af6"/>
          <w:rFonts w:eastAsia="Guttman Hodes" w:hint="cs"/>
          <w:rtl/>
        </w:rPr>
        <w:t xml:space="preserve">(יג: מדפי הרי"ף ד"ה א"א טעם) </w:t>
      </w:r>
      <w:r w:rsidRPr="007E0C12">
        <w:rPr>
          <w:rFonts w:hint="cs"/>
          <w:rtl/>
        </w:rPr>
        <w:t>ד</w:t>
      </w:r>
      <w:r>
        <w:rPr>
          <w:rFonts w:hint="cs"/>
          <w:rtl/>
        </w:rPr>
        <w:t xml:space="preserve">ריו"ח </w:t>
      </w:r>
      <w:r w:rsidRPr="007E0C12">
        <w:rPr>
          <w:rFonts w:hint="cs"/>
          <w:rtl/>
        </w:rPr>
        <w:t>ס"ל כרבנן דכל תערובת שלא ניכר בה האיסור בעין או במראה, אין בה מלקות, אא"כ אכל מהאיסור כזית בכדי אכילת פרס.</w:t>
      </w:r>
    </w:p>
    <w:p w:rsidR="00F34A57" w:rsidRPr="00FD4A01" w:rsidRDefault="00F34A57" w:rsidP="00F34A57">
      <w:pPr>
        <w:pStyle w:val="a2"/>
        <w:rPr>
          <w:rtl/>
        </w:rPr>
      </w:pPr>
      <w:bookmarkStart w:id="7109" w:name="_Toc14248962"/>
      <w:bookmarkStart w:id="7110" w:name="_Toc14257468"/>
      <w:r>
        <w:rPr>
          <w:rFonts w:hint="cs"/>
          <w:rtl/>
        </w:rPr>
        <w:t>דברי הרשב"א בשם הראב"ד דרק בנזיר שנאמר בו בפירוש משרת לוקין על הטעם</w:t>
      </w:r>
      <w:bookmarkEnd w:id="7109"/>
      <w:bookmarkEnd w:id="7110"/>
    </w:p>
    <w:p w:rsidR="00F34A57" w:rsidRPr="00950782" w:rsidRDefault="00F34A57" w:rsidP="009F44AF">
      <w:pPr>
        <w:pStyle w:val="a"/>
      </w:pPr>
      <w:bookmarkStart w:id="7111" w:name="_Ref14248314"/>
      <w:r>
        <w:rPr>
          <w:rFonts w:hint="cs"/>
          <w:rtl/>
        </w:rPr>
        <w:t xml:space="preserve">וכתב </w:t>
      </w:r>
      <w:r>
        <w:rPr>
          <w:rStyle w:val="af8"/>
          <w:rFonts w:hint="cs"/>
          <w:rtl/>
        </w:rPr>
        <w:t xml:space="preserve">הרשב"א בחי' </w:t>
      </w:r>
      <w:r>
        <w:rPr>
          <w:rFonts w:hint="cs"/>
          <w:rtl/>
        </w:rPr>
        <w:t xml:space="preserve">בשם </w:t>
      </w:r>
      <w:r w:rsidRPr="00904938">
        <w:rPr>
          <w:rStyle w:val="af8"/>
          <w:rFonts w:hint="cs"/>
          <w:rtl/>
        </w:rPr>
        <w:t>הראב"ד</w:t>
      </w:r>
      <w:r>
        <w:rPr>
          <w:rFonts w:hint="cs"/>
          <w:rtl/>
        </w:rPr>
        <w:t xml:space="preserve"> דדוקא בנזיר שנאמר בו בהדיא דין משרת, לוקין עליו אף כששרה ענבים במים ויש בהם טעם, אבל בשאר איסורים שנלמדים מנזיר, יש בהם איסור מדאו' אך אין בהם מלקות, וכן פסק </w:t>
      </w:r>
      <w:r w:rsidRPr="00533510">
        <w:rPr>
          <w:rStyle w:val="af8"/>
          <w:rFonts w:hint="cs"/>
          <w:rtl/>
        </w:rPr>
        <w:t>הראב"ד בהשג'</w:t>
      </w:r>
      <w:r>
        <w:rPr>
          <w:rFonts w:hint="cs"/>
          <w:rtl/>
        </w:rPr>
        <w:t xml:space="preserve"> </w:t>
      </w:r>
      <w:r w:rsidRPr="00533510">
        <w:rPr>
          <w:rStyle w:val="af6"/>
          <w:rFonts w:eastAsia="Guttman Hodes" w:hint="cs"/>
          <w:rtl/>
        </w:rPr>
        <w:t xml:space="preserve">(עי' אות </w:t>
      </w:r>
      <w:r w:rsidRPr="00533510">
        <w:rPr>
          <w:rStyle w:val="af6"/>
          <w:rFonts w:eastAsia="Guttman Hodes"/>
          <w:rtl/>
        </w:rPr>
        <w:fldChar w:fldCharType="begin"/>
      </w:r>
      <w:r w:rsidRPr="00533510">
        <w:rPr>
          <w:rStyle w:val="af6"/>
          <w:rFonts w:eastAsia="Guttman Hodes"/>
          <w:rtl/>
        </w:rPr>
        <w:instrText xml:space="preserve"> </w:instrText>
      </w:r>
      <w:r w:rsidRPr="00533510">
        <w:rPr>
          <w:rStyle w:val="af6"/>
          <w:rFonts w:eastAsia="Guttman Hodes" w:hint="cs"/>
        </w:rPr>
        <w:instrText>REF</w:instrText>
      </w:r>
      <w:r w:rsidRPr="00533510">
        <w:rPr>
          <w:rStyle w:val="af6"/>
          <w:rFonts w:eastAsia="Guttman Hodes" w:hint="cs"/>
          <w:rtl/>
        </w:rPr>
        <w:instrText xml:space="preserve"> _</w:instrText>
      </w:r>
      <w:r w:rsidRPr="00533510">
        <w:rPr>
          <w:rStyle w:val="af6"/>
          <w:rFonts w:eastAsia="Guttman Hodes" w:hint="cs"/>
        </w:rPr>
        <w:instrText>Ref14248337 \r \h</w:instrText>
      </w:r>
      <w:r w:rsidRPr="00533510">
        <w:rPr>
          <w:rStyle w:val="af6"/>
          <w:rFonts w:eastAsia="Guttman Hodes"/>
          <w:rtl/>
        </w:rPr>
        <w:instrText xml:space="preserve"> </w:instrText>
      </w:r>
      <w:r w:rsidRPr="00533510">
        <w:rPr>
          <w:rStyle w:val="af6"/>
          <w:rFonts w:eastAsia="Guttman Hodes"/>
          <w:rtl/>
        </w:rPr>
      </w:r>
      <w:r w:rsidRPr="00533510">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533510">
        <w:rPr>
          <w:rStyle w:val="af6"/>
          <w:rFonts w:eastAsia="Guttman Hodes"/>
          <w:rtl/>
        </w:rPr>
        <w:fldChar w:fldCharType="end"/>
      </w:r>
      <w:r>
        <w:rPr>
          <w:rFonts w:hint="cs"/>
          <w:rtl/>
        </w:rPr>
        <w:t xml:space="preserve">, וע"ע במה שביאר </w:t>
      </w:r>
      <w:r w:rsidRPr="007406F3">
        <w:rPr>
          <w:rStyle w:val="af8"/>
          <w:rFonts w:hint="cs"/>
          <w:rtl/>
        </w:rPr>
        <w:t>הגרי"ז</w:t>
      </w:r>
      <w:r>
        <w:rPr>
          <w:rFonts w:hint="cs"/>
          <w:rtl/>
        </w:rPr>
        <w:t xml:space="preserve"> </w:t>
      </w:r>
      <w:r w:rsidRPr="007406F3">
        <w:rPr>
          <w:rStyle w:val="af6"/>
          <w:rFonts w:eastAsia="Guttman Hodes" w:hint="cs"/>
          <w:rtl/>
        </w:rPr>
        <w:t>(נזיר לו. ד"ה ואמר הגר"ח)</w:t>
      </w:r>
      <w:r>
        <w:rPr>
          <w:rFonts w:hint="cs"/>
          <w:rtl/>
        </w:rPr>
        <w:t xml:space="preserve"> בדברי </w:t>
      </w:r>
      <w:r w:rsidRPr="007406F3">
        <w:rPr>
          <w:rStyle w:val="af8"/>
          <w:rFonts w:hint="cs"/>
          <w:rtl/>
        </w:rPr>
        <w:t>הראב"ד</w:t>
      </w:r>
      <w:r>
        <w:rPr>
          <w:rFonts w:hint="cs"/>
          <w:rtl/>
        </w:rPr>
        <w:t>.</w:t>
      </w:r>
      <w:bookmarkEnd w:id="7111"/>
    </w:p>
    <w:p w:rsidR="00F34A57" w:rsidRPr="00143564" w:rsidRDefault="00F34A57" w:rsidP="00F34A57">
      <w:pPr>
        <w:pStyle w:val="a2"/>
        <w:rPr>
          <w:rtl/>
        </w:rPr>
      </w:pPr>
      <w:bookmarkStart w:id="7112" w:name="_Toc14208864"/>
      <w:bookmarkStart w:id="7113" w:name="_Toc14248963"/>
      <w:bookmarkStart w:id="7114" w:name="_Toc14257469"/>
      <w:r>
        <w:rPr>
          <w:rFonts w:hint="cs"/>
          <w:rtl/>
        </w:rPr>
        <w:t>דברי הרשב"א דטע"כ דאו' ובטעמו ולא ממשו אין בו מלקות כדין חצי שיעור</w:t>
      </w:r>
      <w:bookmarkEnd w:id="7112"/>
      <w:bookmarkEnd w:id="7113"/>
      <w:bookmarkEnd w:id="7114"/>
    </w:p>
    <w:p w:rsidR="00F34A57" w:rsidRDefault="00F34A57" w:rsidP="009F44AF">
      <w:pPr>
        <w:pStyle w:val="a"/>
        <w:rPr>
          <w:rtl/>
        </w:rPr>
      </w:pPr>
      <w:r w:rsidRPr="00143564">
        <w:rPr>
          <w:rFonts w:hint="cs"/>
          <w:rtl/>
        </w:rPr>
        <w:t xml:space="preserve">וכתב </w:t>
      </w:r>
      <w:r w:rsidRPr="00143564">
        <w:rPr>
          <w:rStyle w:val="af8"/>
          <w:rFonts w:hint="cs"/>
          <w:rtl/>
        </w:rPr>
        <w:t>הרשב"א</w:t>
      </w:r>
      <w:r w:rsidRPr="00143564">
        <w:rPr>
          <w:rFonts w:hint="cs"/>
          <w:rtl/>
        </w:rPr>
        <w:t xml:space="preserve"> דכן </w:t>
      </w:r>
      <w:r>
        <w:rPr>
          <w:rFonts w:hint="cs"/>
          <w:rtl/>
        </w:rPr>
        <w:t xml:space="preserve">משמע מדברי ריו"ח </w:t>
      </w:r>
      <w:r w:rsidRPr="00143564">
        <w:rPr>
          <w:rFonts w:hint="cs"/>
          <w:rtl/>
        </w:rPr>
        <w:t xml:space="preserve">דס"ל דטעם כעיקר דאו', אך </w:t>
      </w:r>
      <w:r>
        <w:rPr>
          <w:rFonts w:hint="cs"/>
          <w:rtl/>
        </w:rPr>
        <w:t xml:space="preserve">בטעמו ולא ממשו </w:t>
      </w:r>
      <w:r w:rsidRPr="00143564">
        <w:rPr>
          <w:rFonts w:hint="cs"/>
          <w:rtl/>
        </w:rPr>
        <w:t>אין בו מלקות כדי</w:t>
      </w:r>
      <w:r>
        <w:rPr>
          <w:rFonts w:hint="cs"/>
          <w:rtl/>
        </w:rPr>
        <w:t>ן</w:t>
      </w:r>
      <w:r w:rsidRPr="00143564">
        <w:rPr>
          <w:rFonts w:hint="cs"/>
          <w:rtl/>
        </w:rPr>
        <w:t xml:space="preserve"> חצי שיעור.</w:t>
      </w:r>
    </w:p>
    <w:p w:rsidR="00F34A57" w:rsidRPr="00C95C51" w:rsidRDefault="00F34A57" w:rsidP="00F34A57">
      <w:pPr>
        <w:pStyle w:val="a2"/>
      </w:pPr>
      <w:bookmarkStart w:id="7115" w:name="_Toc14208865"/>
      <w:bookmarkStart w:id="7116" w:name="_Toc14248964"/>
      <w:bookmarkStart w:id="7117" w:name="_Toc14257470"/>
      <w:r>
        <w:rPr>
          <w:rFonts w:hint="cs"/>
          <w:rtl/>
        </w:rPr>
        <w:t>ביאור הראב"ד דבמין בשאינו מינו טעימת האיסור בהיתר זו הכרתו דחשיבות האוכל היא בטעמו</w:t>
      </w:r>
      <w:bookmarkEnd w:id="7115"/>
      <w:bookmarkEnd w:id="7116"/>
      <w:bookmarkEnd w:id="7117"/>
    </w:p>
    <w:p w:rsidR="00F34A57" w:rsidRDefault="00F34A57" w:rsidP="009F44AF">
      <w:pPr>
        <w:pStyle w:val="a"/>
        <w:rPr>
          <w:rtl/>
        </w:rPr>
      </w:pPr>
      <w:bookmarkStart w:id="7118" w:name="_Ref14254994"/>
      <w:bookmarkStart w:id="7119" w:name="_Ref14258101"/>
      <w:r>
        <w:rPr>
          <w:rFonts w:hint="cs"/>
          <w:rtl/>
        </w:rPr>
        <w:t>וע"ע במ"ש</w:t>
      </w:r>
      <w:r w:rsidRPr="0050266D">
        <w:rPr>
          <w:rFonts w:hint="cs"/>
          <w:rtl/>
        </w:rPr>
        <w:t xml:space="preserve"> </w:t>
      </w:r>
      <w:r w:rsidRPr="0025101E">
        <w:rPr>
          <w:rStyle w:val="af8"/>
          <w:rFonts w:hint="cs"/>
          <w:rtl/>
        </w:rPr>
        <w:t>הרשב"א</w:t>
      </w:r>
      <w:r w:rsidRPr="0050266D">
        <w:rPr>
          <w:rFonts w:hint="cs"/>
          <w:rtl/>
        </w:rPr>
        <w:t xml:space="preserve"> </w:t>
      </w:r>
      <w:r w:rsidRPr="0034007B">
        <w:rPr>
          <w:rStyle w:val="af6"/>
          <w:rFonts w:eastAsia="Guttman Hodes" w:hint="cs"/>
          <w:rtl/>
        </w:rPr>
        <w:t>(ד"ה וקשיא)</w:t>
      </w:r>
      <w:r w:rsidRPr="0050266D">
        <w:rPr>
          <w:rFonts w:hint="cs"/>
          <w:rtl/>
        </w:rPr>
        <w:t xml:space="preserve"> בשם </w:t>
      </w:r>
      <w:r w:rsidRPr="0025101E">
        <w:rPr>
          <w:rStyle w:val="af8"/>
          <w:rFonts w:hint="cs"/>
          <w:rtl/>
        </w:rPr>
        <w:t>הראב"ד</w:t>
      </w:r>
      <w:r w:rsidRPr="0050266D">
        <w:rPr>
          <w:rFonts w:hint="cs"/>
          <w:rtl/>
        </w:rPr>
        <w:t xml:space="preserve"> </w:t>
      </w:r>
      <w:r>
        <w:rPr>
          <w:rFonts w:hint="cs"/>
          <w:rtl/>
        </w:rPr>
        <w:t xml:space="preserve">דהא דמדאו' חד בתרי בטל, זהו דוקא במקום שהאיסור וההיתר כ"א מהם הוא עומד בפנ"ע, ואינם ניכרים בתערובת, דכיון שהאיסור אינו ניכר מועיל בו ביטול ברוב, אבל במין בשאינו מינו ביאר </w:t>
      </w:r>
      <w:r w:rsidRPr="0025101E">
        <w:rPr>
          <w:rStyle w:val="af8"/>
          <w:rFonts w:hint="cs"/>
          <w:rtl/>
        </w:rPr>
        <w:t>הרשב"א</w:t>
      </w:r>
      <w:r>
        <w:rPr>
          <w:rFonts w:hint="cs"/>
          <w:rtl/>
        </w:rPr>
        <w:t xml:space="preserve"> בשם </w:t>
      </w:r>
      <w:r w:rsidRPr="0025101E">
        <w:rPr>
          <w:rStyle w:val="af8"/>
          <w:rFonts w:hint="cs"/>
          <w:rtl/>
        </w:rPr>
        <w:t>הראב"ד</w:t>
      </w:r>
      <w:r>
        <w:rPr>
          <w:rFonts w:hint="cs"/>
          <w:rtl/>
        </w:rPr>
        <w:t xml:space="preserve"> דההיתר מקבל טעם מהאיסור, וניכר טעם האיסור בתוך ההיתר, טעימתו זוהי הכרתו, כדכתי' "וחיך אוכל יטעם לו", וכל החשיבות של האוכל היא בטעם. </w:t>
      </w:r>
      <w:r w:rsidRPr="0025101E">
        <w:rPr>
          <w:rStyle w:val="afa"/>
          <w:rFonts w:hint="cs"/>
          <w:rtl/>
        </w:rPr>
        <w:t>[</w:t>
      </w:r>
      <w:r>
        <w:rPr>
          <w:rStyle w:val="afa"/>
          <w:rFonts w:hint="cs"/>
          <w:rtl/>
        </w:rPr>
        <w:t xml:space="preserve">עיי"ש בדברי </w:t>
      </w:r>
      <w:r w:rsidRPr="00D91AC2">
        <w:rPr>
          <w:rStyle w:val="affa"/>
          <w:rFonts w:hint="cs"/>
          <w:rtl/>
        </w:rPr>
        <w:t>הרשב"א</w:t>
      </w:r>
      <w:r>
        <w:rPr>
          <w:rStyle w:val="afa"/>
          <w:rFonts w:hint="cs"/>
          <w:rtl/>
        </w:rPr>
        <w:t xml:space="preserve"> </w:t>
      </w:r>
      <w:r w:rsidRPr="00D91AC2">
        <w:rPr>
          <w:rStyle w:val="aff6"/>
          <w:rFonts w:hint="cs"/>
          <w:rtl/>
        </w:rPr>
        <w:t>(הובא לעיל סימן ח' אות</w:t>
      </w:r>
      <w:r w:rsidR="00664FAE">
        <w:rPr>
          <w:rStyle w:val="aff6"/>
          <w:rFonts w:hint="cs"/>
          <w:rtl/>
        </w:rPr>
        <w:t xml:space="preserve"> </w:t>
      </w:r>
      <w:r w:rsidR="00747F94">
        <w:rPr>
          <w:rStyle w:val="aff6"/>
          <w:rtl/>
        </w:rPr>
        <w:fldChar w:fldCharType="begin"/>
      </w:r>
      <w:r w:rsidR="00747F94">
        <w:rPr>
          <w:rStyle w:val="aff6"/>
          <w:rtl/>
        </w:rPr>
        <w:instrText xml:space="preserve"> </w:instrText>
      </w:r>
      <w:r w:rsidR="00747F94">
        <w:rPr>
          <w:rStyle w:val="aff6"/>
          <w:rFonts w:hint="cs"/>
        </w:rPr>
        <w:instrText>REF</w:instrText>
      </w:r>
      <w:r w:rsidR="00747F94">
        <w:rPr>
          <w:rStyle w:val="aff6"/>
          <w:rFonts w:hint="cs"/>
          <w:rtl/>
        </w:rPr>
        <w:instrText xml:space="preserve"> _</w:instrText>
      </w:r>
      <w:r w:rsidR="00747F94">
        <w:rPr>
          <w:rStyle w:val="aff6"/>
          <w:rFonts w:hint="cs"/>
        </w:rPr>
        <w:instrText>Ref12862796 \r \h</w:instrText>
      </w:r>
      <w:r w:rsidR="00747F94">
        <w:rPr>
          <w:rStyle w:val="aff6"/>
          <w:rtl/>
        </w:rPr>
        <w:instrText xml:space="preserve"> </w:instrText>
      </w:r>
      <w:r w:rsidR="00747F94">
        <w:rPr>
          <w:rStyle w:val="aff6"/>
          <w:rtl/>
        </w:rPr>
      </w:r>
      <w:r w:rsidR="00747F94">
        <w:rPr>
          <w:rStyle w:val="aff6"/>
          <w:rtl/>
        </w:rPr>
        <w:fldChar w:fldCharType="separate"/>
      </w:r>
      <w:r w:rsidR="004D1C5B">
        <w:rPr>
          <w:rStyle w:val="aff6"/>
          <w:cs/>
        </w:rPr>
        <w:t>‎</w:t>
      </w:r>
      <w:r w:rsidR="004D1C5B">
        <w:rPr>
          <w:rStyle w:val="aff6"/>
          <w:rtl/>
        </w:rPr>
        <w:t>סה)</w:t>
      </w:r>
      <w:r w:rsidR="00747F94">
        <w:rPr>
          <w:rStyle w:val="aff6"/>
          <w:rtl/>
        </w:rPr>
        <w:fldChar w:fldCharType="end"/>
      </w:r>
      <w:r>
        <w:rPr>
          <w:rStyle w:val="afa"/>
          <w:rFonts w:hint="cs"/>
          <w:rtl/>
        </w:rPr>
        <w:t xml:space="preserve"> באריכות</w:t>
      </w:r>
      <w:r w:rsidRPr="0025101E">
        <w:rPr>
          <w:rStyle w:val="afa"/>
          <w:rFonts w:hint="cs"/>
          <w:rtl/>
        </w:rPr>
        <w:t>]</w:t>
      </w:r>
      <w:bookmarkEnd w:id="7118"/>
      <w:r>
        <w:rPr>
          <w:rStyle w:val="afa"/>
          <w:rFonts w:hint="cs"/>
          <w:rtl/>
        </w:rPr>
        <w:t>,</w:t>
      </w:r>
      <w:r>
        <w:rPr>
          <w:rFonts w:hint="cs"/>
          <w:rtl/>
        </w:rPr>
        <w:t xml:space="preserve"> ועי' בדברי </w:t>
      </w:r>
      <w:r w:rsidRPr="00367EC7">
        <w:rPr>
          <w:rStyle w:val="af8"/>
          <w:rFonts w:hint="cs"/>
          <w:rtl/>
        </w:rPr>
        <w:t>הקוב"ש</w:t>
      </w:r>
      <w:r>
        <w:rPr>
          <w:rFonts w:hint="cs"/>
          <w:rtl/>
        </w:rPr>
        <w:t xml:space="preserve"> </w:t>
      </w:r>
      <w:r w:rsidRPr="00C15691">
        <w:rPr>
          <w:rStyle w:val="af6"/>
          <w:rFonts w:eastAsia="Guttman Hodes" w:hint="cs"/>
          <w:rtl/>
        </w:rPr>
        <w:t xml:space="preserve">(עי' אות </w:t>
      </w:r>
      <w:r w:rsidRPr="00C15691">
        <w:rPr>
          <w:rStyle w:val="af6"/>
          <w:rFonts w:eastAsia="Guttman Hodes"/>
          <w:rtl/>
        </w:rPr>
        <w:fldChar w:fldCharType="begin"/>
      </w:r>
      <w:r w:rsidRPr="00C15691">
        <w:rPr>
          <w:rStyle w:val="af6"/>
          <w:rFonts w:eastAsia="Guttman Hodes"/>
          <w:rtl/>
        </w:rPr>
        <w:instrText xml:space="preserve"> </w:instrText>
      </w:r>
      <w:r w:rsidRPr="00C15691">
        <w:rPr>
          <w:rStyle w:val="af6"/>
          <w:rFonts w:eastAsia="Guttman Hodes" w:hint="cs"/>
        </w:rPr>
        <w:instrText>REF</w:instrText>
      </w:r>
      <w:r w:rsidRPr="00C15691">
        <w:rPr>
          <w:rStyle w:val="af6"/>
          <w:rFonts w:eastAsia="Guttman Hodes" w:hint="cs"/>
          <w:rtl/>
        </w:rPr>
        <w:instrText xml:space="preserve"> _</w:instrText>
      </w:r>
      <w:r w:rsidRPr="00C15691">
        <w:rPr>
          <w:rStyle w:val="af6"/>
          <w:rFonts w:eastAsia="Guttman Hodes" w:hint="cs"/>
        </w:rPr>
        <w:instrText>Ref14255051 \r \h</w:instrText>
      </w:r>
      <w:r w:rsidRPr="00C15691">
        <w:rPr>
          <w:rStyle w:val="af6"/>
          <w:rFonts w:eastAsia="Guttman Hodes"/>
          <w:rtl/>
        </w:rPr>
        <w:instrText xml:space="preserve"> </w:instrText>
      </w:r>
      <w:r w:rsidRPr="00C15691">
        <w:rPr>
          <w:rStyle w:val="af6"/>
          <w:rFonts w:eastAsia="Guttman Hodes"/>
          <w:rtl/>
        </w:rPr>
      </w:r>
      <w:r w:rsidRPr="00C15691">
        <w:rPr>
          <w:rStyle w:val="af6"/>
          <w:rFonts w:eastAsia="Guttman Hodes"/>
          <w:rtl/>
        </w:rPr>
        <w:fldChar w:fldCharType="separate"/>
      </w:r>
      <w:r w:rsidR="004D1C5B">
        <w:rPr>
          <w:rStyle w:val="af6"/>
          <w:rFonts w:eastAsia="Guttman Hodes"/>
          <w:cs/>
        </w:rPr>
        <w:t>‎</w:t>
      </w:r>
      <w:r w:rsidR="004D1C5B">
        <w:rPr>
          <w:rStyle w:val="af6"/>
          <w:rFonts w:eastAsia="Guttman Hodes"/>
          <w:rtl/>
        </w:rPr>
        <w:t>קכה)</w:t>
      </w:r>
      <w:r w:rsidRPr="00C15691">
        <w:rPr>
          <w:rStyle w:val="af6"/>
          <w:rFonts w:eastAsia="Guttman Hodes"/>
          <w:rtl/>
        </w:rPr>
        <w:fldChar w:fldCharType="end"/>
      </w:r>
      <w:r>
        <w:rPr>
          <w:rFonts w:hint="cs"/>
          <w:rtl/>
        </w:rPr>
        <w:t xml:space="preserve"> דכתב דמשמע </w:t>
      </w:r>
      <w:r w:rsidRPr="00C15691">
        <w:rPr>
          <w:rStyle w:val="af8"/>
          <w:rFonts w:hint="cs"/>
          <w:rtl/>
        </w:rPr>
        <w:t>בראב"ד</w:t>
      </w:r>
      <w:r>
        <w:rPr>
          <w:rFonts w:hint="cs"/>
          <w:rtl/>
        </w:rPr>
        <w:t xml:space="preserve"> דבטעם כעיקר אמרינן נהפך.</w:t>
      </w:r>
      <w:bookmarkEnd w:id="7119"/>
    </w:p>
    <w:p w:rsidR="00F34A57" w:rsidRDefault="00F34A57" w:rsidP="00F34A57">
      <w:pPr>
        <w:pStyle w:val="1"/>
        <w:rPr>
          <w:rtl/>
        </w:rPr>
      </w:pPr>
      <w:bookmarkStart w:id="7120" w:name="_Toc14208866"/>
      <w:bookmarkStart w:id="7121" w:name="_Toc14248965"/>
      <w:bookmarkStart w:id="7122" w:name="_Toc14257471"/>
      <w:r>
        <w:rPr>
          <w:rFonts w:hint="cs"/>
          <w:rtl/>
        </w:rPr>
        <w:t>דברי הראב"ד בתמים דעים ובהשג'</w:t>
      </w:r>
      <w:bookmarkEnd w:id="7120"/>
      <w:r>
        <w:rPr>
          <w:rFonts w:hint="cs"/>
          <w:rtl/>
        </w:rPr>
        <w:t xml:space="preserve"> בדין נהפך</w:t>
      </w:r>
      <w:bookmarkEnd w:id="7121"/>
      <w:bookmarkEnd w:id="7122"/>
    </w:p>
    <w:p w:rsidR="00F34A57" w:rsidRDefault="00F34A57" w:rsidP="00F34A57">
      <w:pPr>
        <w:pStyle w:val="a2"/>
        <w:rPr>
          <w:rtl/>
        </w:rPr>
      </w:pPr>
      <w:bookmarkStart w:id="7123" w:name="_Toc14248966"/>
      <w:bookmarkStart w:id="7124" w:name="_Toc14257472"/>
      <w:r>
        <w:rPr>
          <w:rFonts w:hint="cs"/>
          <w:rtl/>
        </w:rPr>
        <w:t>דברי הראב"ד בתמים דעים דא"א לומר דין נהפך דמוכח בפסחים דאין לוקין על כזית ממשות ההיתר</w:t>
      </w:r>
      <w:bookmarkEnd w:id="7123"/>
      <w:bookmarkEnd w:id="7124"/>
      <w:r>
        <w:rPr>
          <w:rFonts w:hint="cs"/>
          <w:rtl/>
        </w:rPr>
        <w:t xml:space="preserve"> </w:t>
      </w:r>
      <w:bookmarkStart w:id="7125" w:name="_Toc14089955"/>
      <w:bookmarkStart w:id="7126" w:name="_Toc14109760"/>
      <w:bookmarkStart w:id="7127" w:name="_Toc14120135"/>
      <w:bookmarkStart w:id="7128" w:name="_Toc14122313"/>
      <w:bookmarkStart w:id="7129" w:name="_Toc14196308"/>
    </w:p>
    <w:p w:rsidR="00F34A57" w:rsidRDefault="00F34A57" w:rsidP="009F44AF">
      <w:pPr>
        <w:pStyle w:val="a"/>
        <w:rPr>
          <w:rtl/>
        </w:rPr>
      </w:pPr>
      <w:r>
        <w:rPr>
          <w:rFonts w:hint="cs"/>
          <w:rtl/>
        </w:rPr>
        <w:t xml:space="preserve">עוד כתב </w:t>
      </w:r>
      <w:r w:rsidRPr="0043743E">
        <w:rPr>
          <w:rStyle w:val="af8"/>
          <w:rFonts w:hint="cs"/>
          <w:rtl/>
        </w:rPr>
        <w:t>הראב"ד בתמים דעים</w:t>
      </w:r>
      <w:r>
        <w:rPr>
          <w:rFonts w:hint="cs"/>
          <w:rtl/>
        </w:rPr>
        <w:t xml:space="preserve"> </w:t>
      </w:r>
      <w:r w:rsidRPr="0043743E">
        <w:rPr>
          <w:rStyle w:val="af6"/>
          <w:rFonts w:eastAsia="Guttman Hodes" w:hint="cs"/>
          <w:rtl/>
        </w:rPr>
        <w:t>(סי' ז'</w:t>
      </w:r>
      <w:r w:rsidR="00F84B0B">
        <w:rPr>
          <w:rStyle w:val="af6"/>
          <w:rFonts w:eastAsia="Guttman Hodes" w:hint="cs"/>
          <w:rtl/>
        </w:rPr>
        <w:t xml:space="preserve">, הועתק בקובץ שיטות קמאי חולין ח"ג עמ' </w:t>
      </w:r>
      <w:r w:rsidR="00F84B0B" w:rsidRPr="00F84B0B">
        <w:rPr>
          <w:rStyle w:val="af6"/>
          <w:rFonts w:eastAsia="Guttman Hodes"/>
          <w:rtl/>
        </w:rPr>
        <w:t>ב' אלף רפג</w:t>
      </w:r>
      <w:r w:rsidRPr="0043743E">
        <w:rPr>
          <w:rStyle w:val="af6"/>
          <w:rFonts w:eastAsia="Guttman Hodes" w:hint="cs"/>
          <w:rtl/>
        </w:rPr>
        <w:t>)</w:t>
      </w:r>
      <w:r>
        <w:rPr>
          <w:rFonts w:hint="cs"/>
          <w:rtl/>
        </w:rPr>
        <w:t xml:space="preserve"> </w:t>
      </w:r>
      <w:r w:rsidRPr="0043743E">
        <w:rPr>
          <w:rStyle w:val="af8"/>
          <w:rFonts w:hint="cs"/>
          <w:rtl/>
        </w:rPr>
        <w:t>ובתשו'</w:t>
      </w:r>
      <w:r w:rsidRPr="00F554FE">
        <w:rPr>
          <w:rStyle w:val="af6"/>
          <w:rFonts w:eastAsia="Guttman Hodes" w:hint="cs"/>
          <w:rtl/>
        </w:rPr>
        <w:t xml:space="preserve"> </w:t>
      </w:r>
      <w:r w:rsidRPr="0043743E">
        <w:rPr>
          <w:rStyle w:val="af6"/>
          <w:rFonts w:eastAsia="Guttman Hodes" w:hint="cs"/>
          <w:rtl/>
        </w:rPr>
        <w:t>(סי' צ"ב ד"ה ואני תמה)</w:t>
      </w:r>
      <w:r>
        <w:rPr>
          <w:rFonts w:hint="cs"/>
          <w:rtl/>
        </w:rPr>
        <w:t xml:space="preserve"> דהיתר שקיבל טעם מההאיסור, א"א לומר דההיתר נהפך לאיסור, דא"כ צריך ללקות על הטעם של האיסור כשיעור הממשות של התערובת, והרי מבואר בגמ' בפסחים </w:t>
      </w:r>
      <w:r w:rsidRPr="0043743E">
        <w:rPr>
          <w:rStyle w:val="af6"/>
          <w:rFonts w:eastAsia="Guttman Hodes" w:hint="cs"/>
          <w:rtl/>
        </w:rPr>
        <w:t>(מד.)</w:t>
      </w:r>
      <w:r>
        <w:rPr>
          <w:rFonts w:hint="cs"/>
          <w:rtl/>
        </w:rPr>
        <w:t xml:space="preserve"> דבכותח הבבלי שאין בו כזית בכדי אכילת פרס אין בו חיוב מדין טעם כעיקר, ורק לר"ע חייב עליו מדין היתר מצטרף לאיסור.</w:t>
      </w:r>
    </w:p>
    <w:p w:rsidR="00F34A57" w:rsidRPr="009B5A63" w:rsidRDefault="00F34A57" w:rsidP="00F34A57">
      <w:pPr>
        <w:pStyle w:val="a2"/>
      </w:pPr>
      <w:bookmarkStart w:id="7130" w:name="_Toc14248967"/>
      <w:bookmarkStart w:id="7131" w:name="_Toc14257473"/>
      <w:r>
        <w:rPr>
          <w:rFonts w:hint="cs"/>
          <w:rtl/>
        </w:rPr>
        <w:t>דברי הראב"ד בהשג' ובתמים דעים דבעיסת אורז קיי"ל כרשב"ג דרק כשיש שיעור דגן חייבת בחלה</w:t>
      </w:r>
      <w:bookmarkEnd w:id="7130"/>
      <w:bookmarkEnd w:id="7131"/>
      <w:r>
        <w:rPr>
          <w:rFonts w:hint="cs"/>
          <w:rtl/>
        </w:rPr>
        <w:t xml:space="preserve"> </w:t>
      </w:r>
    </w:p>
    <w:p w:rsidR="00F34A57" w:rsidRPr="00CE2607" w:rsidRDefault="00F34A57" w:rsidP="009F44AF">
      <w:pPr>
        <w:pStyle w:val="a"/>
        <w:rPr>
          <w:rStyle w:val="afa"/>
          <w:rtl/>
        </w:rPr>
      </w:pPr>
      <w:bookmarkStart w:id="7132" w:name="_Ref14250740"/>
      <w:r>
        <w:rPr>
          <w:rFonts w:hint="cs"/>
          <w:rtl/>
        </w:rPr>
        <w:t xml:space="preserve">אך הקשה </w:t>
      </w:r>
      <w:r w:rsidRPr="0043743E">
        <w:rPr>
          <w:rStyle w:val="af8"/>
          <w:rFonts w:hint="cs"/>
          <w:rtl/>
        </w:rPr>
        <w:t>הראב"ד</w:t>
      </w:r>
      <w:r>
        <w:rPr>
          <w:rFonts w:hint="cs"/>
          <w:rtl/>
        </w:rPr>
        <w:t xml:space="preserve"> </w:t>
      </w:r>
      <w:r w:rsidRPr="0043743E">
        <w:rPr>
          <w:rStyle w:val="af8"/>
          <w:rFonts w:hint="cs"/>
          <w:rtl/>
        </w:rPr>
        <w:t>בתמים דעים</w:t>
      </w:r>
      <w:r>
        <w:rPr>
          <w:rFonts w:hint="cs"/>
          <w:rtl/>
        </w:rPr>
        <w:t xml:space="preserve"> </w:t>
      </w:r>
      <w:r w:rsidRPr="0043743E">
        <w:rPr>
          <w:rStyle w:val="af8"/>
          <w:rFonts w:hint="cs"/>
          <w:rtl/>
        </w:rPr>
        <w:t>ובתשו'</w:t>
      </w:r>
      <w:r>
        <w:rPr>
          <w:rFonts w:hint="cs"/>
          <w:rtl/>
        </w:rPr>
        <w:t xml:space="preserve"> דהא דמצינו במשנה בחלה </w:t>
      </w:r>
      <w:r w:rsidRPr="00387FFA">
        <w:rPr>
          <w:rStyle w:val="af6"/>
          <w:rFonts w:eastAsia="Guttman Hodes" w:hint="cs"/>
          <w:rtl/>
        </w:rPr>
        <w:t>(פ"</w:t>
      </w:r>
      <w:r w:rsidRPr="0043743E">
        <w:rPr>
          <w:rStyle w:val="af6"/>
          <w:rFonts w:eastAsia="Guttman Hodes" w:hint="cs"/>
          <w:rtl/>
        </w:rPr>
        <w:t>ג מ"ז)</w:t>
      </w:r>
      <w:r>
        <w:rPr>
          <w:rFonts w:hint="cs"/>
          <w:rtl/>
        </w:rPr>
        <w:t xml:space="preserve"> דעיסת אורז וחיטים, שיש בה טעם דגן חייבת בחלה </w:t>
      </w:r>
      <w:r>
        <w:rPr>
          <w:rFonts w:hint="cs"/>
          <w:rtl/>
        </w:rPr>
        <w:lastRenderedPageBreak/>
        <w:t xml:space="preserve">ויוצא בה יד"ח מצה בפסח, אף כשרובה אורז, ותירץ </w:t>
      </w:r>
      <w:r w:rsidRPr="0043743E">
        <w:rPr>
          <w:rStyle w:val="af8"/>
          <w:rFonts w:hint="cs"/>
          <w:rtl/>
        </w:rPr>
        <w:t>הראב"ד</w:t>
      </w:r>
      <w:r>
        <w:rPr>
          <w:rFonts w:hint="cs"/>
          <w:rtl/>
        </w:rPr>
        <w:t xml:space="preserve"> דמבואר בירושלמי בחלה </w:t>
      </w:r>
      <w:r w:rsidRPr="0043743E">
        <w:rPr>
          <w:rStyle w:val="af6"/>
          <w:rFonts w:eastAsia="Guttman Hodes" w:hint="cs"/>
          <w:rtl/>
        </w:rPr>
        <w:t>(פ"ג ה"ה יח:)</w:t>
      </w:r>
      <w:r>
        <w:rPr>
          <w:rFonts w:hint="cs"/>
          <w:rtl/>
        </w:rPr>
        <w:t xml:space="preserve"> דקיי"ל כרשב"ג דאינה חייבת בחלה עד שיהיה בה חיטים כשיעור חיוב חלה</w:t>
      </w:r>
      <w:r w:rsidRPr="003B52E1">
        <w:rPr>
          <w:rFonts w:hint="cs"/>
          <w:rtl/>
        </w:rPr>
        <w:t xml:space="preserve"> </w:t>
      </w:r>
      <w:r>
        <w:rPr>
          <w:rFonts w:hint="cs"/>
          <w:rtl/>
        </w:rPr>
        <w:t xml:space="preserve">וכ"כ </w:t>
      </w:r>
      <w:r w:rsidRPr="00351C04">
        <w:rPr>
          <w:rStyle w:val="af8"/>
          <w:rFonts w:hint="cs"/>
          <w:rtl/>
        </w:rPr>
        <w:t>הראב"ד בהשג'</w:t>
      </w:r>
      <w:r>
        <w:rPr>
          <w:rFonts w:hint="cs"/>
          <w:rtl/>
        </w:rPr>
        <w:t xml:space="preserve"> </w:t>
      </w:r>
      <w:r w:rsidRPr="00351C04">
        <w:rPr>
          <w:rStyle w:val="af6"/>
          <w:rFonts w:eastAsia="Guttman Hodes" w:hint="cs"/>
          <w:rtl/>
        </w:rPr>
        <w:t>(</w:t>
      </w:r>
      <w:r>
        <w:rPr>
          <w:rStyle w:val="af6"/>
          <w:rFonts w:eastAsia="Guttman Hodes" w:hint="cs"/>
          <w:rtl/>
        </w:rPr>
        <w:t>ביכורים פ"ו הי"א</w:t>
      </w:r>
      <w:r w:rsidRPr="00351C04">
        <w:rPr>
          <w:rStyle w:val="af6"/>
          <w:rFonts w:eastAsia="Guttman Hodes" w:hint="cs"/>
          <w:rtl/>
        </w:rPr>
        <w:t>)</w:t>
      </w:r>
      <w:r>
        <w:rPr>
          <w:rFonts w:hint="cs"/>
          <w:rtl/>
        </w:rPr>
        <w:t xml:space="preserve">. </w:t>
      </w:r>
      <w:r w:rsidRPr="00CE2607">
        <w:rPr>
          <w:rStyle w:val="afa"/>
          <w:rFonts w:hint="cs"/>
          <w:rtl/>
        </w:rPr>
        <w:t xml:space="preserve">[ומשמע מדברי </w:t>
      </w:r>
      <w:r w:rsidRPr="00CE2607">
        <w:rPr>
          <w:rStyle w:val="affa"/>
          <w:rFonts w:hint="cs"/>
          <w:rtl/>
        </w:rPr>
        <w:t>הראב"ד בהשג' ובתמים דעים</w:t>
      </w:r>
      <w:r w:rsidRPr="00CE2607">
        <w:rPr>
          <w:rStyle w:val="afa"/>
          <w:rFonts w:hint="cs"/>
          <w:rtl/>
        </w:rPr>
        <w:t xml:space="preserve"> דלדעת רבנן דכל שיש בעיסה טעם דגן, יש חיוב חלה, אף במקום שאין שיעור דגן, דהוא מדין נהפך, וכדעת </w:t>
      </w:r>
      <w:r w:rsidRPr="00CE2607">
        <w:rPr>
          <w:rStyle w:val="affa"/>
          <w:rFonts w:hint="cs"/>
          <w:rtl/>
        </w:rPr>
        <w:t>הרא"ש בהלכות חלה</w:t>
      </w:r>
      <w:r w:rsidRPr="00CE2607">
        <w:rPr>
          <w:rStyle w:val="afa"/>
          <w:rFonts w:hint="cs"/>
          <w:rtl/>
        </w:rPr>
        <w:t xml:space="preserve"> </w:t>
      </w:r>
      <w:r w:rsidRPr="008E2993">
        <w:rPr>
          <w:rStyle w:val="aff6"/>
          <w:rFonts w:hint="cs"/>
          <w:rtl/>
        </w:rPr>
        <w:t xml:space="preserve">(עי' אות </w:t>
      </w:r>
      <w:r w:rsidRPr="008E2993">
        <w:rPr>
          <w:rStyle w:val="aff6"/>
          <w:rtl/>
        </w:rPr>
        <w:fldChar w:fldCharType="begin"/>
      </w:r>
      <w:r w:rsidRPr="008E2993">
        <w:rPr>
          <w:rStyle w:val="aff6"/>
          <w:rtl/>
        </w:rPr>
        <w:instrText xml:space="preserve"> </w:instrText>
      </w:r>
      <w:r w:rsidRPr="008E2993">
        <w:rPr>
          <w:rStyle w:val="aff6"/>
          <w:rFonts w:hint="cs"/>
        </w:rPr>
        <w:instrText>REF</w:instrText>
      </w:r>
      <w:r w:rsidRPr="008E2993">
        <w:rPr>
          <w:rStyle w:val="aff6"/>
          <w:rFonts w:hint="cs"/>
          <w:rtl/>
        </w:rPr>
        <w:instrText xml:space="preserve"> _</w:instrText>
      </w:r>
      <w:r w:rsidRPr="008E2993">
        <w:rPr>
          <w:rStyle w:val="aff6"/>
          <w:rFonts w:hint="cs"/>
        </w:rPr>
        <w:instrText>Ref14191039 \r \h</w:instrText>
      </w:r>
      <w:r w:rsidRPr="008E2993">
        <w:rPr>
          <w:rStyle w:val="aff6"/>
          <w:rtl/>
        </w:rPr>
        <w:instrText xml:space="preserve"> </w:instrText>
      </w:r>
      <w:r w:rsidRPr="008E2993">
        <w:rPr>
          <w:rStyle w:val="aff6"/>
          <w:rtl/>
        </w:rPr>
      </w:r>
      <w:r w:rsidRPr="008E2993">
        <w:rPr>
          <w:rStyle w:val="aff6"/>
          <w:rtl/>
        </w:rPr>
        <w:fldChar w:fldCharType="separate"/>
      </w:r>
      <w:r w:rsidR="004D1C5B">
        <w:rPr>
          <w:rStyle w:val="aff6"/>
          <w:cs/>
        </w:rPr>
        <w:t>‎</w:t>
      </w:r>
      <w:r w:rsidR="004D1C5B">
        <w:rPr>
          <w:rStyle w:val="aff6"/>
          <w:rtl/>
        </w:rPr>
        <w:t>ל)</w:t>
      </w:r>
      <w:r w:rsidRPr="008E2993">
        <w:rPr>
          <w:rStyle w:val="aff6"/>
          <w:rtl/>
        </w:rPr>
        <w:fldChar w:fldCharType="end"/>
      </w:r>
      <w:r>
        <w:rPr>
          <w:rStyle w:val="afa"/>
          <w:rFonts w:hint="cs"/>
          <w:rtl/>
        </w:rPr>
        <w:t xml:space="preserve">, ועי' בדברי </w:t>
      </w:r>
      <w:r w:rsidRPr="008E2993">
        <w:rPr>
          <w:rStyle w:val="affa"/>
          <w:rFonts w:hint="cs"/>
          <w:rtl/>
        </w:rPr>
        <w:t>הגר"א</w:t>
      </w:r>
      <w:r w:rsidRPr="008E2993">
        <w:rPr>
          <w:rStyle w:val="aff6"/>
          <w:rFonts w:hint="cs"/>
          <w:rtl/>
        </w:rPr>
        <w:t xml:space="preserve"> (עי' אות </w:t>
      </w:r>
      <w:r w:rsidRPr="008E2993">
        <w:rPr>
          <w:rStyle w:val="aff6"/>
          <w:rtl/>
        </w:rPr>
        <w:fldChar w:fldCharType="begin"/>
      </w:r>
      <w:r w:rsidRPr="008E2993">
        <w:rPr>
          <w:rStyle w:val="aff6"/>
          <w:rtl/>
        </w:rPr>
        <w:instrText xml:space="preserve"> </w:instrText>
      </w:r>
      <w:r w:rsidRPr="008E2993">
        <w:rPr>
          <w:rStyle w:val="aff6"/>
          <w:rFonts w:hint="cs"/>
        </w:rPr>
        <w:instrText>REF</w:instrText>
      </w:r>
      <w:r w:rsidRPr="008E2993">
        <w:rPr>
          <w:rStyle w:val="aff6"/>
          <w:rFonts w:hint="cs"/>
          <w:rtl/>
        </w:rPr>
        <w:instrText xml:space="preserve"> _</w:instrText>
      </w:r>
      <w:r w:rsidRPr="008E2993">
        <w:rPr>
          <w:rStyle w:val="aff6"/>
          <w:rFonts w:hint="cs"/>
        </w:rPr>
        <w:instrText>Ref14250824 \r \h</w:instrText>
      </w:r>
      <w:r w:rsidRPr="008E2993">
        <w:rPr>
          <w:rStyle w:val="aff6"/>
          <w:rtl/>
        </w:rPr>
        <w:instrText xml:space="preserve"> </w:instrText>
      </w:r>
      <w:r w:rsidRPr="008E2993">
        <w:rPr>
          <w:rStyle w:val="aff6"/>
          <w:rtl/>
        </w:rPr>
      </w:r>
      <w:r w:rsidRPr="008E2993">
        <w:rPr>
          <w:rStyle w:val="aff6"/>
          <w:rtl/>
        </w:rPr>
        <w:fldChar w:fldCharType="separate"/>
      </w:r>
      <w:r w:rsidR="004D1C5B">
        <w:rPr>
          <w:rStyle w:val="aff6"/>
          <w:cs/>
        </w:rPr>
        <w:t>‎</w:t>
      </w:r>
      <w:r w:rsidR="004D1C5B">
        <w:rPr>
          <w:rStyle w:val="aff6"/>
          <w:rtl/>
        </w:rPr>
        <w:t>פז)</w:t>
      </w:r>
      <w:r w:rsidRPr="008E2993">
        <w:rPr>
          <w:rStyle w:val="aff6"/>
          <w:rtl/>
        </w:rPr>
        <w:fldChar w:fldCharType="end"/>
      </w:r>
      <w:r w:rsidRPr="00CE2607">
        <w:rPr>
          <w:rStyle w:val="afa"/>
          <w:rFonts w:hint="cs"/>
          <w:rtl/>
        </w:rPr>
        <w:t>]</w:t>
      </w:r>
      <w:bookmarkEnd w:id="7132"/>
      <w:r>
        <w:rPr>
          <w:rFonts w:hint="cs"/>
          <w:rtl/>
        </w:rPr>
        <w:t xml:space="preserve">, ועי' בדברי </w:t>
      </w:r>
      <w:r w:rsidRPr="005C0B48">
        <w:rPr>
          <w:rStyle w:val="af8"/>
          <w:rFonts w:hint="cs"/>
          <w:rtl/>
        </w:rPr>
        <w:t>האבי עזרי</w:t>
      </w:r>
      <w:r>
        <w:rPr>
          <w:rFonts w:hint="cs"/>
          <w:rtl/>
        </w:rPr>
        <w:t xml:space="preserve"> </w:t>
      </w:r>
      <w:r w:rsidRPr="007729A2">
        <w:rPr>
          <w:rStyle w:val="af6"/>
          <w:rFonts w:eastAsia="Guttman Hodes" w:hint="cs"/>
          <w:rtl/>
        </w:rPr>
        <w:t xml:space="preserve">(עי' אות </w:t>
      </w:r>
      <w:r w:rsidRPr="007729A2">
        <w:rPr>
          <w:rStyle w:val="af6"/>
          <w:rFonts w:eastAsia="Guttman Hodes"/>
          <w:rtl/>
        </w:rPr>
        <w:fldChar w:fldCharType="begin"/>
      </w:r>
      <w:r w:rsidRPr="007729A2">
        <w:rPr>
          <w:rStyle w:val="af6"/>
          <w:rFonts w:eastAsia="Guttman Hodes"/>
          <w:rtl/>
        </w:rPr>
        <w:instrText xml:space="preserve"> </w:instrText>
      </w:r>
      <w:r w:rsidRPr="007729A2">
        <w:rPr>
          <w:rStyle w:val="af6"/>
          <w:rFonts w:eastAsia="Guttman Hodes" w:hint="cs"/>
        </w:rPr>
        <w:instrText>REF</w:instrText>
      </w:r>
      <w:r w:rsidRPr="007729A2">
        <w:rPr>
          <w:rStyle w:val="af6"/>
          <w:rFonts w:eastAsia="Guttman Hodes" w:hint="cs"/>
          <w:rtl/>
        </w:rPr>
        <w:instrText xml:space="preserve"> _</w:instrText>
      </w:r>
      <w:r w:rsidRPr="007729A2">
        <w:rPr>
          <w:rStyle w:val="af6"/>
          <w:rFonts w:eastAsia="Guttman Hodes" w:hint="cs"/>
        </w:rPr>
        <w:instrText>Ref14256619 \r \h</w:instrText>
      </w:r>
      <w:r w:rsidRPr="007729A2">
        <w:rPr>
          <w:rStyle w:val="af6"/>
          <w:rFonts w:eastAsia="Guttman Hodes"/>
          <w:rtl/>
        </w:rPr>
        <w:instrText xml:space="preserve"> </w:instrText>
      </w:r>
      <w:r w:rsidRPr="007729A2">
        <w:rPr>
          <w:rStyle w:val="af6"/>
          <w:rFonts w:eastAsia="Guttman Hodes"/>
          <w:rtl/>
        </w:rPr>
      </w:r>
      <w:r w:rsidRPr="007729A2">
        <w:rPr>
          <w:rStyle w:val="af6"/>
          <w:rFonts w:eastAsia="Guttman Hodes"/>
          <w:rtl/>
        </w:rPr>
        <w:fldChar w:fldCharType="separate"/>
      </w:r>
      <w:r w:rsidR="004D1C5B">
        <w:rPr>
          <w:rStyle w:val="af6"/>
          <w:rFonts w:eastAsia="Guttman Hodes"/>
          <w:cs/>
        </w:rPr>
        <w:t>‎</w:t>
      </w:r>
      <w:r w:rsidR="004D1C5B">
        <w:rPr>
          <w:rStyle w:val="af6"/>
          <w:rFonts w:eastAsia="Guttman Hodes"/>
          <w:rtl/>
        </w:rPr>
        <w:t>קלז)</w:t>
      </w:r>
      <w:r w:rsidRPr="007729A2">
        <w:rPr>
          <w:rStyle w:val="af6"/>
          <w:rFonts w:eastAsia="Guttman Hodes"/>
          <w:rtl/>
        </w:rPr>
        <w:fldChar w:fldCharType="end"/>
      </w:r>
      <w:r>
        <w:rPr>
          <w:rFonts w:hint="cs"/>
          <w:rtl/>
        </w:rPr>
        <w:t xml:space="preserve">, וע"ע במה שביאר </w:t>
      </w:r>
      <w:r w:rsidRPr="00EA17D9">
        <w:rPr>
          <w:rStyle w:val="af8"/>
          <w:rFonts w:hint="cs"/>
          <w:rtl/>
        </w:rPr>
        <w:t>הגר"ח</w:t>
      </w:r>
      <w:r>
        <w:rPr>
          <w:rFonts w:hint="cs"/>
          <w:rtl/>
        </w:rPr>
        <w:t xml:space="preserve"> </w:t>
      </w:r>
      <w:r w:rsidRPr="00EA17D9">
        <w:rPr>
          <w:rStyle w:val="af6"/>
          <w:rFonts w:eastAsia="Guttman Hodes" w:hint="cs"/>
          <w:rtl/>
        </w:rPr>
        <w:t xml:space="preserve">(עי' אות </w:t>
      </w:r>
      <w:r w:rsidRPr="00EA17D9">
        <w:rPr>
          <w:rStyle w:val="af6"/>
          <w:rFonts w:eastAsia="Guttman Hodes"/>
          <w:rtl/>
        </w:rPr>
        <w:fldChar w:fldCharType="begin"/>
      </w:r>
      <w:r w:rsidRPr="00EA17D9">
        <w:rPr>
          <w:rStyle w:val="af6"/>
          <w:rFonts w:eastAsia="Guttman Hodes"/>
          <w:rtl/>
        </w:rPr>
        <w:instrText xml:space="preserve"> </w:instrText>
      </w:r>
      <w:r w:rsidRPr="00EA17D9">
        <w:rPr>
          <w:rStyle w:val="af6"/>
          <w:rFonts w:eastAsia="Guttman Hodes" w:hint="cs"/>
        </w:rPr>
        <w:instrText>REF</w:instrText>
      </w:r>
      <w:r w:rsidRPr="00EA17D9">
        <w:rPr>
          <w:rStyle w:val="af6"/>
          <w:rFonts w:eastAsia="Guttman Hodes" w:hint="cs"/>
          <w:rtl/>
        </w:rPr>
        <w:instrText xml:space="preserve"> _</w:instrText>
      </w:r>
      <w:r w:rsidRPr="00EA17D9">
        <w:rPr>
          <w:rStyle w:val="af6"/>
          <w:rFonts w:eastAsia="Guttman Hodes" w:hint="cs"/>
        </w:rPr>
        <w:instrText>Ref12895728 \r \h</w:instrText>
      </w:r>
      <w:r w:rsidRPr="00EA17D9">
        <w:rPr>
          <w:rStyle w:val="af6"/>
          <w:rFonts w:eastAsia="Guttman Hodes"/>
          <w:rtl/>
        </w:rPr>
        <w:instrText xml:space="preserve"> </w:instrText>
      </w:r>
      <w:r w:rsidRPr="00EA17D9">
        <w:rPr>
          <w:rStyle w:val="af6"/>
          <w:rFonts w:eastAsia="Guttman Hodes"/>
          <w:rtl/>
        </w:rPr>
      </w:r>
      <w:r w:rsidRPr="00EA17D9">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EA17D9">
        <w:rPr>
          <w:rStyle w:val="af6"/>
          <w:rFonts w:eastAsia="Guttman Hodes"/>
          <w:rtl/>
        </w:rPr>
        <w:fldChar w:fldCharType="end"/>
      </w:r>
      <w:r>
        <w:rPr>
          <w:rFonts w:hint="cs"/>
          <w:rtl/>
        </w:rPr>
        <w:t xml:space="preserve"> בדין עיסת אורז.</w:t>
      </w:r>
    </w:p>
    <w:p w:rsidR="00F34A57" w:rsidRDefault="00F34A57" w:rsidP="00F34A57">
      <w:pPr>
        <w:pStyle w:val="a2"/>
        <w:rPr>
          <w:rtl/>
        </w:rPr>
      </w:pPr>
      <w:bookmarkStart w:id="7133" w:name="_Toc14248968"/>
      <w:bookmarkStart w:id="7134" w:name="_Toc14257474"/>
      <w:r>
        <w:rPr>
          <w:rFonts w:hint="cs"/>
          <w:rtl/>
        </w:rPr>
        <w:t>דברי הראב"ד בהשג' דיצא יד"ח מצה בעיסת אורז רק כשאכל כזית דגן בכדי אכילת פרס</w:t>
      </w:r>
      <w:bookmarkEnd w:id="7133"/>
      <w:bookmarkEnd w:id="7134"/>
    </w:p>
    <w:p w:rsidR="00F34A57" w:rsidRDefault="00F34A57" w:rsidP="009F44AF">
      <w:pPr>
        <w:pStyle w:val="a"/>
      </w:pPr>
      <w:bookmarkStart w:id="7135" w:name="_Ref14244863"/>
      <w:bookmarkStart w:id="7136" w:name="_Ref14256814"/>
      <w:r>
        <w:rPr>
          <w:rFonts w:hint="cs"/>
          <w:rtl/>
        </w:rPr>
        <w:t xml:space="preserve">עו"כ </w:t>
      </w:r>
      <w:r w:rsidRPr="00351C04">
        <w:rPr>
          <w:rStyle w:val="af8"/>
          <w:rFonts w:hint="cs"/>
          <w:rtl/>
        </w:rPr>
        <w:t>הראב"ד בהשג'</w:t>
      </w:r>
      <w:r>
        <w:rPr>
          <w:rFonts w:hint="cs"/>
          <w:rtl/>
        </w:rPr>
        <w:t xml:space="preserve"> </w:t>
      </w:r>
      <w:r w:rsidRPr="00351C04">
        <w:rPr>
          <w:rStyle w:val="af6"/>
          <w:rFonts w:eastAsia="Guttman Hodes" w:hint="cs"/>
          <w:rtl/>
        </w:rPr>
        <w:t>(חמץ ומצה פ"ו ה"ה)</w:t>
      </w:r>
      <w:r>
        <w:rPr>
          <w:rFonts w:hint="cs"/>
          <w:rtl/>
        </w:rPr>
        <w:t xml:space="preserve"> דהא דבעיסת אורז שיש בה טעם דגן, דיש לה דין עיסת חיטים, הוא דוקא כשיש בה חיטים בשיעור כזית בכדי אכילת פרס, ויאכלנו, וכתב </w:t>
      </w:r>
      <w:r w:rsidRPr="00351C04">
        <w:rPr>
          <w:rStyle w:val="af8"/>
          <w:rFonts w:hint="cs"/>
          <w:rtl/>
        </w:rPr>
        <w:t>השער הציון</w:t>
      </w:r>
      <w:r>
        <w:rPr>
          <w:rFonts w:hint="cs"/>
          <w:rtl/>
        </w:rPr>
        <w:t xml:space="preserve"> </w:t>
      </w:r>
      <w:r w:rsidRPr="00351C04">
        <w:rPr>
          <w:rStyle w:val="af6"/>
          <w:rFonts w:eastAsia="Guttman Hodes" w:hint="cs"/>
          <w:rtl/>
        </w:rPr>
        <w:t>(סי' תנ"ג סקט"ז)</w:t>
      </w:r>
      <w:r>
        <w:rPr>
          <w:rFonts w:hint="cs"/>
          <w:rtl/>
        </w:rPr>
        <w:t xml:space="preserve"> דמבואר </w:t>
      </w:r>
      <w:r w:rsidRPr="00351C04">
        <w:rPr>
          <w:rStyle w:val="af8"/>
          <w:rFonts w:hint="cs"/>
          <w:rtl/>
        </w:rPr>
        <w:t>בראב"ד</w:t>
      </w:r>
      <w:r>
        <w:rPr>
          <w:rFonts w:hint="cs"/>
          <w:rtl/>
        </w:rPr>
        <w:t xml:space="preserve"> שצריך לאכול כזית מהחיטים עצמם, ולא סגי בכזית מהעיסה, ועי' בדברי </w:t>
      </w:r>
      <w:r w:rsidRPr="005C0B48">
        <w:rPr>
          <w:rStyle w:val="af8"/>
          <w:rFonts w:hint="cs"/>
          <w:rtl/>
        </w:rPr>
        <w:t>האבי עזרי</w:t>
      </w:r>
      <w:bookmarkEnd w:id="7135"/>
      <w:r>
        <w:rPr>
          <w:rFonts w:hint="cs"/>
          <w:rtl/>
        </w:rPr>
        <w:t xml:space="preserve"> </w:t>
      </w:r>
      <w:r w:rsidRPr="007729A2">
        <w:rPr>
          <w:rStyle w:val="af6"/>
          <w:rFonts w:eastAsia="Guttman Hodes" w:hint="cs"/>
          <w:rtl/>
        </w:rPr>
        <w:t xml:space="preserve">(עי' אות </w:t>
      </w:r>
      <w:r w:rsidRPr="007729A2">
        <w:rPr>
          <w:rStyle w:val="af6"/>
          <w:rFonts w:eastAsia="Guttman Hodes"/>
          <w:rtl/>
        </w:rPr>
        <w:fldChar w:fldCharType="begin"/>
      </w:r>
      <w:r w:rsidRPr="007729A2">
        <w:rPr>
          <w:rStyle w:val="af6"/>
          <w:rFonts w:eastAsia="Guttman Hodes"/>
          <w:rtl/>
        </w:rPr>
        <w:instrText xml:space="preserve"> </w:instrText>
      </w:r>
      <w:r w:rsidRPr="007729A2">
        <w:rPr>
          <w:rStyle w:val="af6"/>
          <w:rFonts w:eastAsia="Guttman Hodes" w:hint="cs"/>
        </w:rPr>
        <w:instrText>REF</w:instrText>
      </w:r>
      <w:r w:rsidRPr="007729A2">
        <w:rPr>
          <w:rStyle w:val="af6"/>
          <w:rFonts w:eastAsia="Guttman Hodes" w:hint="cs"/>
          <w:rtl/>
        </w:rPr>
        <w:instrText xml:space="preserve"> _</w:instrText>
      </w:r>
      <w:r w:rsidRPr="007729A2">
        <w:rPr>
          <w:rStyle w:val="af6"/>
          <w:rFonts w:eastAsia="Guttman Hodes" w:hint="cs"/>
        </w:rPr>
        <w:instrText>Ref14256619 \r \h</w:instrText>
      </w:r>
      <w:r w:rsidRPr="007729A2">
        <w:rPr>
          <w:rStyle w:val="af6"/>
          <w:rFonts w:eastAsia="Guttman Hodes"/>
          <w:rtl/>
        </w:rPr>
        <w:instrText xml:space="preserve"> </w:instrText>
      </w:r>
      <w:r w:rsidRPr="007729A2">
        <w:rPr>
          <w:rStyle w:val="af6"/>
          <w:rFonts w:eastAsia="Guttman Hodes"/>
          <w:rtl/>
        </w:rPr>
      </w:r>
      <w:r w:rsidRPr="007729A2">
        <w:rPr>
          <w:rStyle w:val="af6"/>
          <w:rFonts w:eastAsia="Guttman Hodes"/>
          <w:rtl/>
        </w:rPr>
        <w:fldChar w:fldCharType="separate"/>
      </w:r>
      <w:r w:rsidR="004D1C5B">
        <w:rPr>
          <w:rStyle w:val="af6"/>
          <w:rFonts w:eastAsia="Guttman Hodes"/>
          <w:cs/>
        </w:rPr>
        <w:t>‎</w:t>
      </w:r>
      <w:r w:rsidR="004D1C5B">
        <w:rPr>
          <w:rStyle w:val="af6"/>
          <w:rFonts w:eastAsia="Guttman Hodes"/>
          <w:rtl/>
        </w:rPr>
        <w:t>קלז)</w:t>
      </w:r>
      <w:r w:rsidRPr="007729A2">
        <w:rPr>
          <w:rStyle w:val="af6"/>
          <w:rFonts w:eastAsia="Guttman Hodes"/>
          <w:rtl/>
        </w:rPr>
        <w:fldChar w:fldCharType="end"/>
      </w:r>
      <w:r>
        <w:rPr>
          <w:rFonts w:hint="cs"/>
          <w:rtl/>
        </w:rPr>
        <w:t xml:space="preserve">, וע"ע במה שביאר </w:t>
      </w:r>
      <w:r w:rsidRPr="001B62B8">
        <w:rPr>
          <w:rStyle w:val="af8"/>
          <w:rFonts w:hint="cs"/>
          <w:rtl/>
        </w:rPr>
        <w:t>הדברי יחזקאל</w:t>
      </w:r>
      <w:r>
        <w:rPr>
          <w:rFonts w:hint="cs"/>
          <w:rtl/>
        </w:rPr>
        <w:t xml:space="preserve"> </w:t>
      </w:r>
      <w:r w:rsidRPr="001B62B8">
        <w:rPr>
          <w:rStyle w:val="af6"/>
          <w:rFonts w:eastAsia="Guttman Hodes" w:hint="cs"/>
          <w:rtl/>
        </w:rPr>
        <w:t xml:space="preserve">(סי' י"א אות </w:t>
      </w:r>
      <w:r>
        <w:rPr>
          <w:rStyle w:val="af6"/>
          <w:rFonts w:eastAsia="Guttman Hodes" w:hint="cs"/>
          <w:rtl/>
        </w:rPr>
        <w:t>י"א</w:t>
      </w:r>
      <w:r w:rsidRPr="001B62B8">
        <w:rPr>
          <w:rStyle w:val="af6"/>
          <w:rFonts w:eastAsia="Guttman Hodes" w:hint="cs"/>
          <w:rtl/>
        </w:rPr>
        <w:t xml:space="preserve"> ד"ה </w:t>
      </w:r>
      <w:r>
        <w:rPr>
          <w:rStyle w:val="af6"/>
          <w:rFonts w:eastAsia="Guttman Hodes" w:hint="cs"/>
          <w:rtl/>
        </w:rPr>
        <w:t>עלה בדעתי</w:t>
      </w:r>
      <w:r w:rsidRPr="001B62B8">
        <w:rPr>
          <w:rStyle w:val="af6"/>
          <w:rFonts w:eastAsia="Guttman Hodes" w:hint="cs"/>
          <w:rtl/>
        </w:rPr>
        <w:t>)</w:t>
      </w:r>
      <w:r>
        <w:rPr>
          <w:rFonts w:hint="cs"/>
          <w:rtl/>
        </w:rPr>
        <w:t xml:space="preserve"> בדעת </w:t>
      </w:r>
      <w:r w:rsidRPr="00E122A5">
        <w:rPr>
          <w:rStyle w:val="af8"/>
          <w:rFonts w:hint="cs"/>
          <w:rtl/>
        </w:rPr>
        <w:t>הראב"ד</w:t>
      </w:r>
      <w:r>
        <w:rPr>
          <w:rFonts w:hint="cs"/>
          <w:rtl/>
        </w:rPr>
        <w:t>.</w:t>
      </w:r>
      <w:bookmarkEnd w:id="7136"/>
    </w:p>
    <w:p w:rsidR="00F34A57" w:rsidRDefault="00F34A57" w:rsidP="00F34A57">
      <w:pPr>
        <w:pStyle w:val="a2"/>
        <w:rPr>
          <w:rtl/>
        </w:rPr>
      </w:pPr>
      <w:bookmarkStart w:id="7137" w:name="_Toc14248969"/>
      <w:bookmarkStart w:id="7138" w:name="_Toc14257475"/>
      <w:r>
        <w:rPr>
          <w:rFonts w:hint="cs"/>
          <w:rtl/>
        </w:rPr>
        <w:t>דברי הראב"ד בהשג' דיין שמעורב עם דבר אחר ויש טעם יין לוקין אף בפחות מכזית בכא"פ</w:t>
      </w:r>
      <w:bookmarkEnd w:id="7137"/>
      <w:bookmarkEnd w:id="7138"/>
    </w:p>
    <w:p w:rsidR="00F34A57" w:rsidRDefault="00F34A57" w:rsidP="009F44AF">
      <w:pPr>
        <w:pStyle w:val="a"/>
        <w:rPr>
          <w:rtl/>
        </w:rPr>
      </w:pPr>
      <w:bookmarkStart w:id="7139" w:name="_Ref14248337"/>
      <w:r>
        <w:rPr>
          <w:rFonts w:hint="cs"/>
          <w:rtl/>
        </w:rPr>
        <w:t xml:space="preserve">ועו"כ </w:t>
      </w:r>
      <w:r w:rsidRPr="00351C04">
        <w:rPr>
          <w:rStyle w:val="af8"/>
          <w:rFonts w:hint="cs"/>
          <w:rtl/>
        </w:rPr>
        <w:t>הראב"ד בהשג'</w:t>
      </w:r>
      <w:r>
        <w:rPr>
          <w:rFonts w:hint="cs"/>
          <w:rtl/>
        </w:rPr>
        <w:t xml:space="preserve"> </w:t>
      </w:r>
      <w:r w:rsidRPr="00FB0F73">
        <w:rPr>
          <w:rStyle w:val="af6"/>
          <w:rFonts w:eastAsia="Guttman Hodes" w:hint="cs"/>
          <w:rtl/>
        </w:rPr>
        <w:t>(נזירות פ"ה ה"ו)</w:t>
      </w:r>
      <w:r>
        <w:rPr>
          <w:rFonts w:hint="cs"/>
          <w:rtl/>
        </w:rPr>
        <w:t xml:space="preserve"> דיין שנתערב בדבר אחר</w:t>
      </w:r>
      <w:r w:rsidRPr="00006075">
        <w:rPr>
          <w:rFonts w:hint="cs"/>
          <w:rtl/>
        </w:rPr>
        <w:t xml:space="preserve"> </w:t>
      </w:r>
      <w:r w:rsidRPr="008B3BF3">
        <w:rPr>
          <w:rStyle w:val="afa"/>
          <w:rFonts w:hint="cs"/>
          <w:rtl/>
        </w:rPr>
        <w:t>[כ</w:t>
      </w:r>
      <w:r w:rsidRPr="00351C04">
        <w:rPr>
          <w:rStyle w:val="afa"/>
          <w:rFonts w:hint="cs"/>
          <w:rtl/>
        </w:rPr>
        <w:t>דבש וכיו"ב]</w:t>
      </w:r>
      <w:r>
        <w:rPr>
          <w:rFonts w:hint="cs"/>
          <w:rtl/>
        </w:rPr>
        <w:t xml:space="preserve">, ויש בתערובת טעם יין, אך הוא פחות מרביעית בכדי אכילת פרס, דאסור מדאו' ואין לוקין עליו, ועי' במה שביאר בזה </w:t>
      </w:r>
      <w:r w:rsidRPr="00533510">
        <w:rPr>
          <w:rStyle w:val="af8"/>
          <w:rFonts w:hint="cs"/>
          <w:rtl/>
        </w:rPr>
        <w:t>הרשב"א</w:t>
      </w:r>
      <w:r>
        <w:rPr>
          <w:rFonts w:hint="cs"/>
          <w:rtl/>
        </w:rPr>
        <w:t xml:space="preserve"> </w:t>
      </w:r>
      <w:r w:rsidRPr="00533510">
        <w:rPr>
          <w:rStyle w:val="af6"/>
          <w:rFonts w:eastAsia="Guttman Hodes" w:hint="cs"/>
          <w:rtl/>
        </w:rPr>
        <w:t xml:space="preserve">(עי' אות </w:t>
      </w:r>
      <w:r w:rsidRPr="00533510">
        <w:rPr>
          <w:rStyle w:val="af6"/>
          <w:rFonts w:eastAsia="Guttman Hodes"/>
          <w:rtl/>
        </w:rPr>
        <w:fldChar w:fldCharType="begin"/>
      </w:r>
      <w:r w:rsidRPr="00533510">
        <w:rPr>
          <w:rStyle w:val="af6"/>
          <w:rFonts w:eastAsia="Guttman Hodes"/>
          <w:rtl/>
        </w:rPr>
        <w:instrText xml:space="preserve"> </w:instrText>
      </w:r>
      <w:r w:rsidRPr="00533510">
        <w:rPr>
          <w:rStyle w:val="af6"/>
          <w:rFonts w:eastAsia="Guttman Hodes" w:hint="cs"/>
        </w:rPr>
        <w:instrText>REF</w:instrText>
      </w:r>
      <w:r w:rsidRPr="00533510">
        <w:rPr>
          <w:rStyle w:val="af6"/>
          <w:rFonts w:eastAsia="Guttman Hodes" w:hint="cs"/>
          <w:rtl/>
        </w:rPr>
        <w:instrText xml:space="preserve"> _</w:instrText>
      </w:r>
      <w:r w:rsidRPr="00533510">
        <w:rPr>
          <w:rStyle w:val="af6"/>
          <w:rFonts w:eastAsia="Guttman Hodes" w:hint="cs"/>
        </w:rPr>
        <w:instrText>Ref14248314 \r \h</w:instrText>
      </w:r>
      <w:r w:rsidRPr="00533510">
        <w:rPr>
          <w:rStyle w:val="af6"/>
          <w:rFonts w:eastAsia="Guttman Hodes"/>
          <w:rtl/>
        </w:rPr>
        <w:instrText xml:space="preserve"> </w:instrText>
      </w:r>
      <w:r w:rsidRPr="00533510">
        <w:rPr>
          <w:rStyle w:val="af6"/>
          <w:rFonts w:eastAsia="Guttman Hodes"/>
          <w:rtl/>
        </w:rPr>
      </w:r>
      <w:r w:rsidRPr="00533510">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533510">
        <w:rPr>
          <w:rStyle w:val="af6"/>
          <w:rFonts w:eastAsia="Guttman Hodes"/>
          <w:rtl/>
        </w:rPr>
        <w:fldChar w:fldCharType="end"/>
      </w:r>
      <w:r>
        <w:rPr>
          <w:rFonts w:hint="cs"/>
          <w:rtl/>
        </w:rPr>
        <w:t xml:space="preserve"> בשם </w:t>
      </w:r>
      <w:r w:rsidRPr="00533510">
        <w:rPr>
          <w:rStyle w:val="af8"/>
          <w:rFonts w:hint="cs"/>
          <w:rtl/>
        </w:rPr>
        <w:t>הראב"ד</w:t>
      </w:r>
      <w:r>
        <w:rPr>
          <w:rFonts w:hint="cs"/>
          <w:rtl/>
        </w:rPr>
        <w:t>.</w:t>
      </w:r>
      <w:bookmarkEnd w:id="7139"/>
    </w:p>
    <w:p w:rsidR="00F34A57" w:rsidRDefault="00F34A57" w:rsidP="00E669F8">
      <w:pPr>
        <w:pStyle w:val="afd"/>
        <w:rPr>
          <w:rtl/>
        </w:rPr>
      </w:pPr>
      <w:bookmarkStart w:id="7140" w:name="_Toc14208867"/>
      <w:bookmarkStart w:id="7141" w:name="_Toc14248970"/>
      <w:bookmarkStart w:id="7142" w:name="_Toc14257476"/>
      <w:r>
        <w:rPr>
          <w:rFonts w:hint="cs"/>
          <w:rtl/>
        </w:rPr>
        <w:t>ביאורי האחרונים בד' הראב"ד בנהפך</w:t>
      </w:r>
      <w:bookmarkEnd w:id="7140"/>
      <w:bookmarkEnd w:id="7141"/>
      <w:bookmarkEnd w:id="7142"/>
    </w:p>
    <w:p w:rsidR="00F34A57" w:rsidRDefault="00F34A57" w:rsidP="00F34A57">
      <w:pPr>
        <w:pStyle w:val="1"/>
        <w:rPr>
          <w:rtl/>
        </w:rPr>
      </w:pPr>
      <w:bookmarkStart w:id="7143" w:name="_Toc14208868"/>
      <w:bookmarkStart w:id="7144" w:name="_Toc14248971"/>
      <w:bookmarkStart w:id="7145" w:name="_Toc14257477"/>
      <w:r>
        <w:rPr>
          <w:rFonts w:hint="cs"/>
          <w:rtl/>
        </w:rPr>
        <w:t>דעת הסוברים דלהראב"ד והרשב"א אין דין נהפך</w:t>
      </w:r>
      <w:bookmarkEnd w:id="7125"/>
      <w:bookmarkEnd w:id="7126"/>
      <w:bookmarkEnd w:id="7127"/>
      <w:bookmarkEnd w:id="7128"/>
      <w:bookmarkEnd w:id="7129"/>
      <w:bookmarkEnd w:id="7143"/>
      <w:bookmarkEnd w:id="7144"/>
      <w:bookmarkEnd w:id="7145"/>
    </w:p>
    <w:p w:rsidR="00F34A57" w:rsidRPr="00AA0361" w:rsidRDefault="00F34A57" w:rsidP="00F34A57">
      <w:pPr>
        <w:pStyle w:val="a2"/>
        <w:rPr>
          <w:rtl/>
        </w:rPr>
      </w:pPr>
      <w:bookmarkStart w:id="7146" w:name="_Toc14257478"/>
      <w:bookmarkStart w:id="7147" w:name="_Toc14248972"/>
      <w:r>
        <w:rPr>
          <w:rFonts w:hint="cs"/>
          <w:rtl/>
        </w:rPr>
        <w:t>דברי הפר"ח דלהראב"ד והרשב"א צריך לאכול כזית מהאיסור וטע"כ דאו' ולא אמרינן נהפך</w:t>
      </w:r>
      <w:bookmarkEnd w:id="7146"/>
    </w:p>
    <w:p w:rsidR="00F34A57" w:rsidRDefault="00F34A57" w:rsidP="009F44AF">
      <w:pPr>
        <w:pStyle w:val="a"/>
        <w:rPr>
          <w:rtl/>
        </w:rPr>
      </w:pPr>
      <w:r>
        <w:rPr>
          <w:rFonts w:hint="cs"/>
          <w:rtl/>
        </w:rPr>
        <w:t>כתב</w:t>
      </w:r>
      <w:r w:rsidRPr="00030B26">
        <w:rPr>
          <w:rFonts w:hint="cs"/>
          <w:rtl/>
        </w:rPr>
        <w:t xml:space="preserve"> </w:t>
      </w:r>
      <w:r w:rsidRPr="007E0C12">
        <w:rPr>
          <w:rStyle w:val="af8"/>
          <w:rFonts w:hint="cs"/>
          <w:rtl/>
        </w:rPr>
        <w:t>הפר"ח</w:t>
      </w:r>
      <w:r w:rsidRPr="007E0C12">
        <w:rPr>
          <w:rFonts w:hint="cs"/>
          <w:rtl/>
        </w:rPr>
        <w:t xml:space="preserve"> </w:t>
      </w:r>
      <w:r w:rsidRPr="005F2BF2">
        <w:rPr>
          <w:rStyle w:val="af6"/>
          <w:rFonts w:eastAsia="Guttman Hodes" w:hint="cs"/>
          <w:rtl/>
        </w:rPr>
        <w:t xml:space="preserve">(או"ח סי' תמ"ב סק"א ד"ה ואכתי </w:t>
      </w:r>
      <w:r w:rsidRPr="003652F9">
        <w:rPr>
          <w:rStyle w:val="af6"/>
          <w:rFonts w:eastAsia="Guttman Hodes" w:hint="cs"/>
          <w:rtl/>
        </w:rPr>
        <w:t>יש לדקדק, ד"ה והראב"ד והרשב"א)</w:t>
      </w:r>
      <w:r>
        <w:rPr>
          <w:rFonts w:hint="cs"/>
          <w:rtl/>
        </w:rPr>
        <w:t xml:space="preserve"> דלדעת </w:t>
      </w:r>
      <w:r w:rsidRPr="00B567AE">
        <w:rPr>
          <w:rStyle w:val="af8"/>
          <w:rFonts w:hint="cs"/>
          <w:rtl/>
        </w:rPr>
        <w:t>הראב"ד והרשב"א</w:t>
      </w:r>
      <w:r>
        <w:rPr>
          <w:rFonts w:hint="cs"/>
          <w:rtl/>
        </w:rPr>
        <w:t xml:space="preserve"> צריך שיאכל מהאיסור כזית בכדי אכילת פרס, ומ"ש </w:t>
      </w:r>
      <w:r w:rsidRPr="00B567AE">
        <w:rPr>
          <w:rStyle w:val="af8"/>
          <w:rFonts w:hint="cs"/>
          <w:rtl/>
        </w:rPr>
        <w:t>הרשב"א</w:t>
      </w:r>
      <w:r>
        <w:rPr>
          <w:rFonts w:hint="cs"/>
          <w:rtl/>
        </w:rPr>
        <w:t xml:space="preserve"> </w:t>
      </w:r>
      <w:r w:rsidRPr="00C664F5">
        <w:rPr>
          <w:rStyle w:val="af6"/>
          <w:rFonts w:eastAsia="Guttman Hodes" w:hint="cs"/>
          <w:rtl/>
        </w:rPr>
        <w:t xml:space="preserve">(עי' אות </w:t>
      </w:r>
      <w:r w:rsidRPr="00C664F5">
        <w:rPr>
          <w:rStyle w:val="af6"/>
          <w:rFonts w:eastAsia="Guttman Hodes"/>
          <w:rtl/>
        </w:rPr>
        <w:fldChar w:fldCharType="begin"/>
      </w:r>
      <w:r w:rsidRPr="00C664F5">
        <w:rPr>
          <w:rStyle w:val="af6"/>
          <w:rFonts w:eastAsia="Guttman Hodes"/>
          <w:rtl/>
        </w:rPr>
        <w:instrText xml:space="preserve"> </w:instrText>
      </w:r>
      <w:r w:rsidRPr="00C664F5">
        <w:rPr>
          <w:rStyle w:val="af6"/>
          <w:rFonts w:eastAsia="Guttman Hodes" w:hint="cs"/>
        </w:rPr>
        <w:instrText>REF</w:instrText>
      </w:r>
      <w:r w:rsidRPr="00C664F5">
        <w:rPr>
          <w:rStyle w:val="af6"/>
          <w:rFonts w:eastAsia="Guttman Hodes" w:hint="cs"/>
          <w:rtl/>
        </w:rPr>
        <w:instrText xml:space="preserve"> _</w:instrText>
      </w:r>
      <w:r w:rsidRPr="00C664F5">
        <w:rPr>
          <w:rStyle w:val="af6"/>
          <w:rFonts w:eastAsia="Guttman Hodes" w:hint="cs"/>
        </w:rPr>
        <w:instrText>Ref14249145 \r \h</w:instrText>
      </w:r>
      <w:r w:rsidRPr="00C664F5">
        <w:rPr>
          <w:rStyle w:val="af6"/>
          <w:rFonts w:eastAsia="Guttman Hodes"/>
          <w:rtl/>
        </w:rPr>
        <w:instrText xml:space="preserve"> </w:instrText>
      </w:r>
      <w:r w:rsidRPr="00C664F5">
        <w:rPr>
          <w:rStyle w:val="af6"/>
          <w:rFonts w:eastAsia="Guttman Hodes"/>
          <w:rtl/>
        </w:rPr>
      </w:r>
      <w:r w:rsidRPr="00C664F5">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C664F5">
        <w:rPr>
          <w:rStyle w:val="af6"/>
          <w:rFonts w:eastAsia="Guttman Hodes"/>
          <w:rtl/>
        </w:rPr>
        <w:fldChar w:fldCharType="end"/>
      </w:r>
      <w:r>
        <w:rPr>
          <w:rFonts w:hint="cs"/>
          <w:rtl/>
        </w:rPr>
        <w:t xml:space="preserve"> </w:t>
      </w:r>
      <w:r w:rsidRPr="00B567AE">
        <w:rPr>
          <w:rStyle w:val="af8"/>
          <w:rFonts w:hint="cs"/>
          <w:rtl/>
        </w:rPr>
        <w:t>דהראב"ד</w:t>
      </w:r>
      <w:r>
        <w:rPr>
          <w:rFonts w:hint="cs"/>
          <w:rtl/>
        </w:rPr>
        <w:t xml:space="preserve"> ס"ל </w:t>
      </w:r>
      <w:r w:rsidRPr="00B567AE">
        <w:rPr>
          <w:rStyle w:val="af8"/>
          <w:rFonts w:hint="cs"/>
          <w:rtl/>
        </w:rPr>
        <w:t>כר"ת</w:t>
      </w:r>
      <w:r>
        <w:rPr>
          <w:rFonts w:hint="cs"/>
          <w:rtl/>
        </w:rPr>
        <w:t xml:space="preserve">, כוונתו דס"ל </w:t>
      </w:r>
      <w:r w:rsidRPr="00B567AE">
        <w:rPr>
          <w:rStyle w:val="af8"/>
          <w:rFonts w:hint="cs"/>
          <w:rtl/>
        </w:rPr>
        <w:t>כר"ת</w:t>
      </w:r>
      <w:r>
        <w:rPr>
          <w:rFonts w:hint="cs"/>
          <w:rtl/>
        </w:rPr>
        <w:t xml:space="preserve"> </w:t>
      </w:r>
      <w:r w:rsidRPr="00C664F5">
        <w:rPr>
          <w:rStyle w:val="af6"/>
          <w:rFonts w:eastAsia="Guttman Hodes" w:hint="cs"/>
          <w:rtl/>
        </w:rPr>
        <w:t xml:space="preserve">(עי' אות </w:t>
      </w:r>
      <w:r w:rsidRPr="00C664F5">
        <w:rPr>
          <w:rStyle w:val="af6"/>
          <w:rFonts w:eastAsia="Guttman Hodes"/>
          <w:rtl/>
        </w:rPr>
        <w:fldChar w:fldCharType="begin"/>
      </w:r>
      <w:r w:rsidRPr="00C664F5">
        <w:rPr>
          <w:rStyle w:val="af6"/>
          <w:rFonts w:eastAsia="Guttman Hodes"/>
          <w:rtl/>
        </w:rPr>
        <w:instrText xml:space="preserve"> </w:instrText>
      </w:r>
      <w:r w:rsidRPr="00C664F5">
        <w:rPr>
          <w:rStyle w:val="af6"/>
          <w:rFonts w:eastAsia="Guttman Hodes" w:hint="cs"/>
        </w:rPr>
        <w:instrText>REF</w:instrText>
      </w:r>
      <w:r w:rsidRPr="00C664F5">
        <w:rPr>
          <w:rStyle w:val="af6"/>
          <w:rFonts w:eastAsia="Guttman Hodes" w:hint="cs"/>
          <w:rtl/>
        </w:rPr>
        <w:instrText xml:space="preserve"> _</w:instrText>
      </w:r>
      <w:r w:rsidRPr="00C664F5">
        <w:rPr>
          <w:rStyle w:val="af6"/>
          <w:rFonts w:eastAsia="Guttman Hodes" w:hint="cs"/>
        </w:rPr>
        <w:instrText>Ref14249711 \r \h</w:instrText>
      </w:r>
      <w:r w:rsidRPr="00C664F5">
        <w:rPr>
          <w:rStyle w:val="af6"/>
          <w:rFonts w:eastAsia="Guttman Hodes"/>
          <w:rtl/>
        </w:rPr>
        <w:instrText xml:space="preserve"> </w:instrText>
      </w:r>
      <w:r w:rsidRPr="00C664F5">
        <w:rPr>
          <w:rStyle w:val="af6"/>
          <w:rFonts w:eastAsia="Guttman Hodes"/>
          <w:rtl/>
        </w:rPr>
      </w:r>
      <w:r w:rsidRPr="00C664F5">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C664F5">
        <w:rPr>
          <w:rStyle w:val="af6"/>
          <w:rFonts w:eastAsia="Guttman Hodes"/>
          <w:rtl/>
        </w:rPr>
        <w:fldChar w:fldCharType="end"/>
      </w:r>
      <w:r>
        <w:rPr>
          <w:rFonts w:hint="cs"/>
          <w:rtl/>
        </w:rPr>
        <w:t xml:space="preserve"> דטעם כעיקר דאו', ודלא </w:t>
      </w:r>
      <w:r w:rsidRPr="00B567AE">
        <w:rPr>
          <w:rStyle w:val="af8"/>
          <w:rFonts w:hint="cs"/>
          <w:rtl/>
        </w:rPr>
        <w:t>כרש"י</w:t>
      </w:r>
      <w:r>
        <w:rPr>
          <w:rFonts w:hint="cs"/>
          <w:rtl/>
        </w:rPr>
        <w:t xml:space="preserve"> </w:t>
      </w:r>
      <w:r w:rsidRPr="00C664F5">
        <w:rPr>
          <w:rStyle w:val="af6"/>
          <w:rFonts w:eastAsia="Guttman Hodes" w:hint="cs"/>
          <w:rtl/>
        </w:rPr>
        <w:t xml:space="preserve">(עי' אות </w:t>
      </w:r>
      <w:r w:rsidRPr="00C664F5">
        <w:rPr>
          <w:rStyle w:val="af6"/>
          <w:rFonts w:eastAsia="Guttman Hodes"/>
          <w:rtl/>
        </w:rPr>
        <w:fldChar w:fldCharType="begin"/>
      </w:r>
      <w:r w:rsidRPr="00C664F5">
        <w:rPr>
          <w:rStyle w:val="af6"/>
          <w:rFonts w:eastAsia="Guttman Hodes"/>
          <w:rtl/>
        </w:rPr>
        <w:instrText xml:space="preserve"> </w:instrText>
      </w:r>
      <w:r w:rsidRPr="00C664F5">
        <w:rPr>
          <w:rStyle w:val="af6"/>
          <w:rFonts w:eastAsia="Guttman Hodes" w:hint="cs"/>
        </w:rPr>
        <w:instrText>REF</w:instrText>
      </w:r>
      <w:r w:rsidRPr="00C664F5">
        <w:rPr>
          <w:rStyle w:val="af6"/>
          <w:rFonts w:eastAsia="Guttman Hodes" w:hint="cs"/>
          <w:rtl/>
        </w:rPr>
        <w:instrText xml:space="preserve"> _</w:instrText>
      </w:r>
      <w:r w:rsidRPr="00C664F5">
        <w:rPr>
          <w:rStyle w:val="af6"/>
          <w:rFonts w:eastAsia="Guttman Hodes" w:hint="cs"/>
        </w:rPr>
        <w:instrText>Ref14106142 \r \h</w:instrText>
      </w:r>
      <w:r w:rsidRPr="00C664F5">
        <w:rPr>
          <w:rStyle w:val="af6"/>
          <w:rFonts w:eastAsia="Guttman Hodes"/>
          <w:rtl/>
        </w:rPr>
        <w:instrText xml:space="preserve"> </w:instrText>
      </w:r>
      <w:r w:rsidRPr="00C664F5">
        <w:rPr>
          <w:rStyle w:val="af6"/>
          <w:rFonts w:eastAsia="Guttman Hodes"/>
          <w:rtl/>
        </w:rPr>
      </w:r>
      <w:r w:rsidRPr="00C664F5">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C664F5">
        <w:rPr>
          <w:rStyle w:val="af6"/>
          <w:rFonts w:eastAsia="Guttman Hodes"/>
          <w:rtl/>
        </w:rPr>
        <w:fldChar w:fldCharType="end"/>
      </w:r>
      <w:r>
        <w:rPr>
          <w:rFonts w:hint="cs"/>
          <w:rtl/>
        </w:rPr>
        <w:t xml:space="preserve">, אך לדעת </w:t>
      </w:r>
      <w:r w:rsidRPr="00B567AE">
        <w:rPr>
          <w:rStyle w:val="af8"/>
          <w:rFonts w:hint="cs"/>
          <w:rtl/>
        </w:rPr>
        <w:t>הראב"ד</w:t>
      </w:r>
      <w:r>
        <w:rPr>
          <w:rFonts w:hint="cs"/>
          <w:rtl/>
        </w:rPr>
        <w:t xml:space="preserve"> אין לוקין על טעם כעיקר, ואין חיוב על כל כזית מהתערובת, דס"ל </w:t>
      </w:r>
      <w:r w:rsidRPr="00B567AE">
        <w:rPr>
          <w:rStyle w:val="af8"/>
          <w:rFonts w:hint="cs"/>
          <w:rtl/>
        </w:rPr>
        <w:t>להראב"ד והרשב"א</w:t>
      </w:r>
      <w:r>
        <w:rPr>
          <w:rFonts w:hint="cs"/>
          <w:rtl/>
        </w:rPr>
        <w:t xml:space="preserve"> דלעולם אין ההיתר נהפך לאיסור, ולכן צריך לאכול פרס מהאיסור.</w:t>
      </w:r>
    </w:p>
    <w:p w:rsidR="00F34A57" w:rsidRPr="00DA233E" w:rsidRDefault="00F34A57" w:rsidP="00F34A57">
      <w:pPr>
        <w:pStyle w:val="a2"/>
      </w:pPr>
      <w:bookmarkStart w:id="7148" w:name="_Toc14257479"/>
      <w:r>
        <w:rPr>
          <w:rFonts w:hint="cs"/>
          <w:rtl/>
        </w:rPr>
        <w:t>דברי הפר"ח דלהראב"ד הטעם אינו מתבטל ברוב ולא יוצא יד"ח מצה כשאוכל כזית מהדגן</w:t>
      </w:r>
      <w:bookmarkEnd w:id="7148"/>
    </w:p>
    <w:p w:rsidR="00F34A57" w:rsidRPr="00202064" w:rsidRDefault="00F34A57" w:rsidP="009F44AF">
      <w:pPr>
        <w:pStyle w:val="a"/>
        <w:rPr>
          <w:rStyle w:val="afa"/>
          <w:rtl/>
        </w:rPr>
      </w:pPr>
      <w:r>
        <w:rPr>
          <w:rFonts w:hint="cs"/>
          <w:rtl/>
        </w:rPr>
        <w:t>וכתב</w:t>
      </w:r>
      <w:r w:rsidRPr="00B44769">
        <w:rPr>
          <w:rFonts w:hint="cs"/>
          <w:rtl/>
        </w:rPr>
        <w:t xml:space="preserve"> </w:t>
      </w:r>
      <w:r w:rsidRPr="00202064">
        <w:rPr>
          <w:rStyle w:val="af8"/>
          <w:rFonts w:hint="cs"/>
          <w:rtl/>
        </w:rPr>
        <w:t>הפר"ח</w:t>
      </w:r>
      <w:r>
        <w:rPr>
          <w:rFonts w:hint="cs"/>
          <w:rtl/>
        </w:rPr>
        <w:t xml:space="preserve"> </w:t>
      </w:r>
      <w:r w:rsidRPr="00202064">
        <w:rPr>
          <w:rStyle w:val="af6"/>
          <w:rFonts w:eastAsia="Guttman Hodes" w:hint="cs"/>
          <w:rtl/>
        </w:rPr>
        <w:t xml:space="preserve">(או"ח סי' תמ"ב סק"א ד"ה </w:t>
      </w:r>
      <w:r>
        <w:rPr>
          <w:rStyle w:val="af6"/>
          <w:rFonts w:eastAsia="Guttman Hodes" w:hint="cs"/>
          <w:rtl/>
        </w:rPr>
        <w:t>עוד מסתברא</w:t>
      </w:r>
      <w:r w:rsidRPr="00202064">
        <w:rPr>
          <w:rStyle w:val="af6"/>
          <w:rFonts w:eastAsia="Guttman Hodes" w:hint="cs"/>
          <w:rtl/>
        </w:rPr>
        <w:t>)</w:t>
      </w:r>
      <w:r>
        <w:rPr>
          <w:rFonts w:hint="cs"/>
          <w:rtl/>
        </w:rPr>
        <w:t xml:space="preserve"> דמדברי </w:t>
      </w:r>
      <w:r w:rsidRPr="00202064">
        <w:rPr>
          <w:rStyle w:val="af8"/>
          <w:rFonts w:hint="cs"/>
          <w:rtl/>
        </w:rPr>
        <w:t>הראב"ד</w:t>
      </w:r>
      <w:r>
        <w:rPr>
          <w:rStyle w:val="af8"/>
          <w:rFonts w:hint="cs"/>
          <w:rtl/>
        </w:rPr>
        <w:t xml:space="preserve"> בהשג' </w:t>
      </w:r>
      <w:r w:rsidRPr="00787146">
        <w:rPr>
          <w:rStyle w:val="af6"/>
          <w:rFonts w:eastAsia="Guttman Hodes" w:hint="cs"/>
          <w:rtl/>
        </w:rPr>
        <w:t xml:space="preserve">(עי' אות </w:t>
      </w:r>
      <w:r w:rsidRPr="00787146">
        <w:rPr>
          <w:rStyle w:val="af6"/>
          <w:rFonts w:eastAsia="Guttman Hodes"/>
          <w:rtl/>
        </w:rPr>
        <w:fldChar w:fldCharType="begin"/>
      </w:r>
      <w:r w:rsidRPr="00787146">
        <w:rPr>
          <w:rStyle w:val="af6"/>
          <w:rFonts w:eastAsia="Guttman Hodes"/>
          <w:rtl/>
        </w:rPr>
        <w:instrText xml:space="preserve"> </w:instrText>
      </w:r>
      <w:r w:rsidRPr="00787146">
        <w:rPr>
          <w:rStyle w:val="af6"/>
          <w:rFonts w:eastAsia="Guttman Hodes" w:hint="cs"/>
        </w:rPr>
        <w:instrText>REF</w:instrText>
      </w:r>
      <w:r w:rsidRPr="00787146">
        <w:rPr>
          <w:rStyle w:val="af6"/>
          <w:rFonts w:eastAsia="Guttman Hodes" w:hint="cs"/>
          <w:rtl/>
        </w:rPr>
        <w:instrText xml:space="preserve"> _</w:instrText>
      </w:r>
      <w:r w:rsidRPr="00787146">
        <w:rPr>
          <w:rStyle w:val="af6"/>
          <w:rFonts w:eastAsia="Guttman Hodes" w:hint="cs"/>
        </w:rPr>
        <w:instrText>Ref14244863 \r \h</w:instrText>
      </w:r>
      <w:r w:rsidRPr="00787146">
        <w:rPr>
          <w:rStyle w:val="af6"/>
          <w:rFonts w:eastAsia="Guttman Hodes"/>
          <w:rtl/>
        </w:rPr>
        <w:instrText xml:space="preserve"> </w:instrText>
      </w:r>
      <w:r w:rsidRPr="00787146">
        <w:rPr>
          <w:rStyle w:val="af6"/>
          <w:rFonts w:eastAsia="Guttman Hodes"/>
          <w:rtl/>
        </w:rPr>
      </w:r>
      <w:r w:rsidRPr="00787146">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787146">
        <w:rPr>
          <w:rStyle w:val="af6"/>
          <w:rFonts w:eastAsia="Guttman Hodes"/>
          <w:rtl/>
        </w:rPr>
        <w:fldChar w:fldCharType="end"/>
      </w:r>
      <w:r w:rsidRPr="00787146">
        <w:rPr>
          <w:rStyle w:val="af6"/>
          <w:rFonts w:eastAsia="Guttman Hodes" w:hint="cs"/>
          <w:rtl/>
        </w:rPr>
        <w:t xml:space="preserve"> </w:t>
      </w:r>
      <w:r>
        <w:rPr>
          <w:rFonts w:hint="cs"/>
          <w:rtl/>
        </w:rPr>
        <w:t xml:space="preserve">דכתב דיוצא יד"ח מצה רק כשאכל כזית מהדגן בכדי אכילת פרס, מבואר דבמין במינו כזית בכדי אכילת פרס בטל ברוב, ורק במין בשאינו מינו שיש בו טעם אינו בטל, ולכן רק כשאכל כזית מהחיטים יצא יד"ח מצה, דאכל את הממשות של החיטים שלא התבטלו ברוב האורז, עיי"ש בדבריו. </w:t>
      </w:r>
      <w:r w:rsidRPr="00202064">
        <w:rPr>
          <w:rStyle w:val="afa"/>
          <w:rFonts w:hint="cs"/>
          <w:rtl/>
        </w:rPr>
        <w:t>[והיינו דלא ס"ל דנהפכה העיסה לחיטים].</w:t>
      </w:r>
    </w:p>
    <w:p w:rsidR="00F34A57" w:rsidRPr="004F279D" w:rsidRDefault="00F34A57" w:rsidP="00F34A57">
      <w:pPr>
        <w:pStyle w:val="a2"/>
        <w:rPr>
          <w:rtl/>
        </w:rPr>
      </w:pPr>
      <w:bookmarkStart w:id="7149" w:name="_Toc14257480"/>
      <w:r>
        <w:rPr>
          <w:rFonts w:hint="cs"/>
          <w:rtl/>
        </w:rPr>
        <w:t>דברי הפרמ"ג דלהראב"ד והרשב"א טע"כ דאו' ואין לוקין עליו אף בסילק את האיסור ויש רק טעם</w:t>
      </w:r>
      <w:bookmarkEnd w:id="7149"/>
      <w:r>
        <w:rPr>
          <w:rFonts w:hint="cs"/>
          <w:rtl/>
        </w:rPr>
        <w:t xml:space="preserve"> </w:t>
      </w:r>
    </w:p>
    <w:p w:rsidR="00F34A57" w:rsidRDefault="00F34A57" w:rsidP="009F44AF">
      <w:pPr>
        <w:pStyle w:val="a"/>
        <w:rPr>
          <w:rtl/>
        </w:rPr>
      </w:pPr>
      <w:r>
        <w:rPr>
          <w:rFonts w:hint="cs"/>
          <w:rtl/>
        </w:rPr>
        <w:t xml:space="preserve">כתב </w:t>
      </w:r>
      <w:r w:rsidRPr="00967972">
        <w:rPr>
          <w:rStyle w:val="af8"/>
          <w:rFonts w:hint="cs"/>
          <w:rtl/>
        </w:rPr>
        <w:t>הפרמ"ג</w:t>
      </w:r>
      <w:r>
        <w:rPr>
          <w:rFonts w:hint="cs"/>
          <w:rtl/>
        </w:rPr>
        <w:t xml:space="preserve"> </w:t>
      </w:r>
      <w:r w:rsidRPr="00B127DB">
        <w:rPr>
          <w:rStyle w:val="af6"/>
          <w:rFonts w:eastAsia="Guttman Hodes" w:hint="cs"/>
          <w:rtl/>
        </w:rPr>
        <w:t xml:space="preserve">(פתיחה להל' פסח החלק השני פ"א סקי"ג ד"ה השיטה הה') </w:t>
      </w:r>
      <w:r w:rsidRPr="00967972">
        <w:rPr>
          <w:rStyle w:val="af8"/>
          <w:rFonts w:hint="cs"/>
          <w:rtl/>
        </w:rPr>
        <w:t>דדעת הראב"ד והרשב"א</w:t>
      </w:r>
      <w:r>
        <w:rPr>
          <w:rFonts w:hint="cs"/>
          <w:rtl/>
        </w:rPr>
        <w:t xml:space="preserve"> דטעם כעיקר דאו', ואף במקום שסילק את האיסור, ונשאר בתערובת רק את טעם האיסור, הוי טעם כעיקר, אלא דאין לוקין עליו, ורק כשאכל כזית בכדי אכילת פרס לוקין עליו.</w:t>
      </w:r>
    </w:p>
    <w:p w:rsidR="00F34A57" w:rsidRPr="00AA0361" w:rsidRDefault="00F34A57" w:rsidP="00F34A57">
      <w:pPr>
        <w:pStyle w:val="a2"/>
      </w:pPr>
      <w:bookmarkStart w:id="7150" w:name="_Toc14257481"/>
      <w:r>
        <w:rPr>
          <w:rFonts w:hint="cs"/>
          <w:rtl/>
        </w:rPr>
        <w:t>דברי הפרמ"ג דלהראב"ד והרשב"א הטעם רק אוסר את התערובת ואין דין נהפך אף בכזית בכא"פ</w:t>
      </w:r>
      <w:bookmarkEnd w:id="7150"/>
    </w:p>
    <w:p w:rsidR="00F34A57" w:rsidRDefault="00F34A57" w:rsidP="009F44AF">
      <w:pPr>
        <w:pStyle w:val="a"/>
        <w:rPr>
          <w:rStyle w:val="afa"/>
          <w:rtl/>
        </w:rPr>
      </w:pPr>
      <w:r>
        <w:rPr>
          <w:rFonts w:hint="cs"/>
          <w:rtl/>
        </w:rPr>
        <w:t xml:space="preserve">וביאר </w:t>
      </w:r>
      <w:r w:rsidRPr="00967972">
        <w:rPr>
          <w:rStyle w:val="af8"/>
          <w:rFonts w:hint="cs"/>
          <w:rtl/>
        </w:rPr>
        <w:t>הפרמ"ג</w:t>
      </w:r>
      <w:r>
        <w:rPr>
          <w:rFonts w:hint="cs"/>
          <w:rtl/>
        </w:rPr>
        <w:t xml:space="preserve"> </w:t>
      </w:r>
      <w:r w:rsidRPr="00B127DB">
        <w:rPr>
          <w:rStyle w:val="af6"/>
          <w:rFonts w:eastAsia="Guttman Hodes" w:hint="cs"/>
          <w:rtl/>
        </w:rPr>
        <w:t xml:space="preserve">(פתיחה להל' פסח החלק השני פ"א סקי"ב ד"ה אמנם כן, סקט"ו אות ה' ד"ה פירוש הראב"ד) </w:t>
      </w:r>
      <w:r>
        <w:rPr>
          <w:rFonts w:hint="cs"/>
          <w:rtl/>
        </w:rPr>
        <w:t xml:space="preserve">דס"ל </w:t>
      </w:r>
      <w:r w:rsidRPr="00967972">
        <w:rPr>
          <w:rStyle w:val="af8"/>
          <w:rFonts w:hint="cs"/>
          <w:rtl/>
        </w:rPr>
        <w:t>להרשב"א והראב"ד</w:t>
      </w:r>
      <w:r>
        <w:rPr>
          <w:rFonts w:hint="cs"/>
          <w:rtl/>
        </w:rPr>
        <w:t xml:space="preserve"> דכל דין טעם כעיקר הוא לאסור את התערובת, אך אין ההיתר נהפך לאיסור, אף במקום שיש כזית בכדי אכילת פרס. </w:t>
      </w:r>
      <w:r w:rsidRPr="00ED05B9">
        <w:rPr>
          <w:rStyle w:val="afa"/>
          <w:rFonts w:hint="cs"/>
          <w:rtl/>
        </w:rPr>
        <w:t xml:space="preserve">[ועיי"ש בדברי </w:t>
      </w:r>
      <w:r w:rsidRPr="00967972">
        <w:rPr>
          <w:rStyle w:val="affa"/>
          <w:rFonts w:hint="cs"/>
          <w:rtl/>
        </w:rPr>
        <w:t>הפרמ"ג</w:t>
      </w:r>
      <w:r w:rsidRPr="00ED05B9">
        <w:rPr>
          <w:rStyle w:val="afa"/>
          <w:rFonts w:hint="cs"/>
          <w:rtl/>
        </w:rPr>
        <w:t xml:space="preserve"> </w:t>
      </w:r>
      <w:r w:rsidRPr="00967972">
        <w:rPr>
          <w:rStyle w:val="aff6"/>
          <w:rFonts w:hint="cs"/>
          <w:rtl/>
        </w:rPr>
        <w:t>(פתיחה להל' פסח החלק השני פ"א סקי"ב ד"ה אמנם כן)</w:t>
      </w:r>
      <w:r>
        <w:rPr>
          <w:rStyle w:val="af6"/>
          <w:rFonts w:eastAsia="Guttman Hodes" w:hint="cs"/>
          <w:rtl/>
        </w:rPr>
        <w:t xml:space="preserve"> </w:t>
      </w:r>
      <w:r w:rsidRPr="00ED05B9">
        <w:rPr>
          <w:rStyle w:val="afa"/>
          <w:rFonts w:hint="cs"/>
          <w:rtl/>
        </w:rPr>
        <w:t xml:space="preserve">דהוסיף דאפש"ל דכן דעת </w:t>
      </w:r>
      <w:r w:rsidRPr="00967972">
        <w:rPr>
          <w:rStyle w:val="affa"/>
          <w:rFonts w:hint="cs"/>
          <w:rtl/>
        </w:rPr>
        <w:t>השו"ע</w:t>
      </w:r>
      <w:r w:rsidRPr="00ED05B9">
        <w:rPr>
          <w:rStyle w:val="afa"/>
          <w:rFonts w:hint="cs"/>
          <w:rtl/>
        </w:rPr>
        <w:t xml:space="preserve">  </w:t>
      </w:r>
      <w:r w:rsidRPr="00967972">
        <w:rPr>
          <w:rStyle w:val="aff6"/>
          <w:rFonts w:hint="cs"/>
          <w:rtl/>
        </w:rPr>
        <w:t>(יו"ד סי שכ"ד סעיף ט' י')</w:t>
      </w:r>
      <w:r w:rsidRPr="00ED05B9">
        <w:rPr>
          <w:rStyle w:val="afa"/>
          <w:rFonts w:hint="cs"/>
          <w:rtl/>
        </w:rPr>
        <w:t xml:space="preserve"> דאין דין נהפך, ובעיסת אורז שיש בה טעם דגן, יש לה דין עיסת חיטים, אף כשיש בה פחות מכזית בכדי אכילת פרס, מדין גרירה].</w:t>
      </w:r>
    </w:p>
    <w:p w:rsidR="00F34A57" w:rsidRPr="0067404A" w:rsidRDefault="00F34A57" w:rsidP="00F34A57">
      <w:pPr>
        <w:pStyle w:val="a2"/>
      </w:pPr>
      <w:bookmarkStart w:id="7151" w:name="_Toc14257482"/>
      <w:r>
        <w:rPr>
          <w:rFonts w:hint="cs"/>
          <w:rtl/>
        </w:rPr>
        <w:t>דברי המנחת כהן והיד יהודה דלהראב"ד לא אמרינן נהפך ולכן אין לוקין בפחות מכזית בכא"פ</w:t>
      </w:r>
      <w:bookmarkEnd w:id="7147"/>
      <w:bookmarkEnd w:id="7151"/>
    </w:p>
    <w:p w:rsidR="00F34A57" w:rsidRPr="00D14EF2" w:rsidRDefault="00F34A57" w:rsidP="009F44AF">
      <w:pPr>
        <w:pStyle w:val="a"/>
      </w:pPr>
      <w:r>
        <w:rPr>
          <w:rFonts w:hint="cs"/>
          <w:rtl/>
        </w:rPr>
        <w:t xml:space="preserve">וכ"כ </w:t>
      </w:r>
      <w:r w:rsidRPr="00CB2789">
        <w:rPr>
          <w:rStyle w:val="af8"/>
          <w:rFonts w:hint="cs"/>
          <w:rtl/>
        </w:rPr>
        <w:t>המנחת כהן</w:t>
      </w:r>
      <w:r w:rsidRPr="0058224B">
        <w:rPr>
          <w:rStyle w:val="af6"/>
          <w:rFonts w:eastAsia="Guttman Hodes" w:hint="cs"/>
          <w:rtl/>
        </w:rPr>
        <w:t xml:space="preserve"> (</w:t>
      </w:r>
      <w:r w:rsidRPr="00CB2789">
        <w:rPr>
          <w:rStyle w:val="af6"/>
          <w:rFonts w:eastAsia="Guttman Hodes" w:hint="cs"/>
          <w:rtl/>
        </w:rPr>
        <w:t xml:space="preserve">ס' התערובות ח"א פ"ה ד"ה הדעת </w:t>
      </w:r>
      <w:r w:rsidRPr="0058224B">
        <w:rPr>
          <w:rStyle w:val="af6"/>
          <w:rFonts w:eastAsia="Guttman Hodes" w:hint="cs"/>
          <w:rtl/>
        </w:rPr>
        <w:t>השלישית)</w:t>
      </w:r>
      <w:r w:rsidRPr="00CB2789">
        <w:rPr>
          <w:rStyle w:val="af6"/>
          <w:rFonts w:eastAsia="Guttman Hodes" w:hint="cs"/>
          <w:rtl/>
        </w:rPr>
        <w:t xml:space="preserve"> </w:t>
      </w:r>
      <w:r>
        <w:rPr>
          <w:rFonts w:hint="cs"/>
          <w:rtl/>
        </w:rPr>
        <w:t xml:space="preserve">דכיון דכתבו </w:t>
      </w:r>
      <w:r w:rsidRPr="003108B7">
        <w:rPr>
          <w:rStyle w:val="af8"/>
          <w:rFonts w:hint="cs"/>
          <w:rtl/>
        </w:rPr>
        <w:t>הראב"ד והרשב"א בתוה"ב</w:t>
      </w:r>
      <w:r>
        <w:rPr>
          <w:rFonts w:hint="cs"/>
          <w:rtl/>
        </w:rPr>
        <w:t xml:space="preserve"> </w:t>
      </w:r>
      <w:r w:rsidRPr="00CA6BF0">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Ref14249126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סח)</w:t>
      </w:r>
      <w:r>
        <w:rPr>
          <w:rStyle w:val="af6"/>
          <w:rFonts w:eastAsia="Guttman Hodes"/>
          <w:rtl/>
        </w:rPr>
        <w:fldChar w:fldCharType="end"/>
      </w:r>
      <w:r>
        <w:rPr>
          <w:rStyle w:val="af6"/>
          <w:rFonts w:eastAsia="Guttman Hodes" w:hint="cs"/>
          <w:rtl/>
        </w:rPr>
        <w:t xml:space="preserve"> </w:t>
      </w:r>
      <w:r>
        <w:rPr>
          <w:rFonts w:hint="cs"/>
          <w:rtl/>
        </w:rPr>
        <w:t xml:space="preserve">דאף שיש בתערובת שיעור של כזית בכדי אכילת פרס, מ"מ אין לוקין על כל כזית מהתערובת, ורק כשאכל כזית מהאיסור עצמו לוקין עליו, א"כ מבואר דס"ל דלא אמרינן נהפך, וכ"כ </w:t>
      </w:r>
      <w:r w:rsidRPr="0015179F">
        <w:rPr>
          <w:rStyle w:val="af8"/>
          <w:rFonts w:hint="cs"/>
          <w:rtl/>
        </w:rPr>
        <w:t>היד יהודה</w:t>
      </w:r>
      <w:r w:rsidRPr="0080398E">
        <w:rPr>
          <w:rStyle w:val="af6"/>
          <w:rFonts w:eastAsia="Guttman Hodes" w:hint="cs"/>
          <w:rtl/>
        </w:rPr>
        <w:t xml:space="preserve"> (סי' צ"ח סק"י בתו"ד) </w:t>
      </w:r>
      <w:r>
        <w:rPr>
          <w:rFonts w:hint="cs"/>
          <w:rtl/>
        </w:rPr>
        <w:t xml:space="preserve">דדעת </w:t>
      </w:r>
      <w:r w:rsidRPr="0015179F">
        <w:rPr>
          <w:rStyle w:val="af8"/>
          <w:rFonts w:hint="cs"/>
          <w:rtl/>
        </w:rPr>
        <w:t>הראב"ד והרשב"א</w:t>
      </w:r>
      <w:r>
        <w:rPr>
          <w:rFonts w:hint="cs"/>
          <w:rtl/>
        </w:rPr>
        <w:t xml:space="preserve"> דלא אמרינן נהפך.</w:t>
      </w:r>
      <w:r w:rsidRPr="00D15FA5">
        <w:rPr>
          <w:rFonts w:hint="cs"/>
          <w:highlight w:val="yellow"/>
          <w:rtl/>
        </w:rPr>
        <w:t xml:space="preserve"> </w:t>
      </w:r>
    </w:p>
    <w:p w:rsidR="00F34A57" w:rsidRDefault="00F34A57" w:rsidP="00F34A57">
      <w:pPr>
        <w:pStyle w:val="a2"/>
      </w:pPr>
      <w:bookmarkStart w:id="7152" w:name="_Toc14248973"/>
      <w:bookmarkStart w:id="7153" w:name="_Toc14257483"/>
      <w:r>
        <w:rPr>
          <w:rFonts w:hint="cs"/>
          <w:rtl/>
        </w:rPr>
        <w:t>קושית המנחת כהן על הראב"ד</w:t>
      </w:r>
      <w:bookmarkEnd w:id="7152"/>
      <w:r>
        <w:rPr>
          <w:rFonts w:hint="cs"/>
          <w:rtl/>
        </w:rPr>
        <w:t xml:space="preserve"> דאף במשרת יש רק טעם ואפ"ה לוקה הנזיר עליו</w:t>
      </w:r>
      <w:bookmarkEnd w:id="7153"/>
    </w:p>
    <w:p w:rsidR="00F34A57" w:rsidRDefault="00F34A57" w:rsidP="009F44AF">
      <w:pPr>
        <w:pStyle w:val="a"/>
        <w:rPr>
          <w:rtl/>
        </w:rPr>
      </w:pPr>
      <w:r>
        <w:rPr>
          <w:rFonts w:hint="cs"/>
          <w:rtl/>
        </w:rPr>
        <w:t xml:space="preserve">אך הקשה </w:t>
      </w:r>
      <w:r w:rsidRPr="003108B7">
        <w:rPr>
          <w:rStyle w:val="af8"/>
          <w:rFonts w:hint="cs"/>
          <w:rtl/>
        </w:rPr>
        <w:t>המנחת כהן</w:t>
      </w:r>
      <w:r>
        <w:rPr>
          <w:rFonts w:hint="cs"/>
          <w:rtl/>
        </w:rPr>
        <w:t xml:space="preserve"> על </w:t>
      </w:r>
      <w:r w:rsidRPr="003108B7">
        <w:rPr>
          <w:rStyle w:val="af8"/>
          <w:rFonts w:hint="cs"/>
          <w:rtl/>
        </w:rPr>
        <w:t>הראב"ד</w:t>
      </w:r>
      <w:r>
        <w:rPr>
          <w:rFonts w:hint="cs"/>
          <w:rtl/>
        </w:rPr>
        <w:t xml:space="preserve"> דכיון דממשרת ילפינן דטעם כעיקר דאו', א"כ אמאי אין מלקות בטעם כעיקר, כמו דלוקה הנזיר בשרה ענבים במים ויש בהם טעם יין.</w:t>
      </w:r>
    </w:p>
    <w:p w:rsidR="00F34A57" w:rsidRDefault="00F34A57" w:rsidP="00F34A57">
      <w:pPr>
        <w:pStyle w:val="a2"/>
        <w:rPr>
          <w:rtl/>
        </w:rPr>
      </w:pPr>
      <w:bookmarkStart w:id="7154" w:name="_Toc14257484"/>
      <w:r>
        <w:rPr>
          <w:rFonts w:hint="cs"/>
          <w:rtl/>
        </w:rPr>
        <w:t>דברי המנחת כהן דמשמע ברשב"א בתוה"ב דכשיש טעם גדול ככזית בכא"פ לוקין עליו וה"ה בנזיר</w:t>
      </w:r>
      <w:bookmarkEnd w:id="7154"/>
    </w:p>
    <w:p w:rsidR="00F34A57" w:rsidRPr="00B815EB" w:rsidRDefault="00F34A57" w:rsidP="009F44AF">
      <w:pPr>
        <w:pStyle w:val="a"/>
      </w:pPr>
      <w:bookmarkStart w:id="7155" w:name="_Ref14212328"/>
      <w:r>
        <w:rPr>
          <w:rFonts w:hint="cs"/>
          <w:rtl/>
        </w:rPr>
        <w:t xml:space="preserve">וכתב </w:t>
      </w:r>
      <w:r w:rsidRPr="003108B7">
        <w:rPr>
          <w:rStyle w:val="af8"/>
          <w:rFonts w:hint="cs"/>
          <w:rtl/>
        </w:rPr>
        <w:t>המנחת כהן</w:t>
      </w:r>
      <w:r>
        <w:rPr>
          <w:rFonts w:hint="cs"/>
          <w:rtl/>
        </w:rPr>
        <w:t xml:space="preserve"> דאפש"ל דהחיוב בשרה ענבים במים, הוא דוקא במקום ששרה את הענבים כ"כ הרבה במים, עד שיש במים טעם גדול כאילו נמחה שם רביעית יין בכדי אכילת פרס, ולכן חייב בנזיר, וכתב </w:t>
      </w:r>
      <w:r w:rsidRPr="003108B7">
        <w:rPr>
          <w:rStyle w:val="af8"/>
          <w:rFonts w:hint="cs"/>
          <w:rtl/>
        </w:rPr>
        <w:t>המנחת כהן</w:t>
      </w:r>
      <w:r>
        <w:rPr>
          <w:rFonts w:hint="cs"/>
          <w:rtl/>
        </w:rPr>
        <w:t xml:space="preserve"> דכן משמע בדברי </w:t>
      </w:r>
      <w:r w:rsidRPr="003108B7">
        <w:rPr>
          <w:rStyle w:val="af8"/>
          <w:rFonts w:hint="cs"/>
          <w:rtl/>
        </w:rPr>
        <w:t>הרשב"א בתוה"ב</w:t>
      </w:r>
      <w:r>
        <w:rPr>
          <w:rStyle w:val="af8"/>
          <w:rFonts w:hint="cs"/>
          <w:rtl/>
        </w:rPr>
        <w:t xml:space="preserve"> </w:t>
      </w:r>
      <w:r w:rsidRPr="008B3BF3">
        <w:rPr>
          <w:rStyle w:val="af6"/>
          <w:rFonts w:eastAsia="Guttman Hodes" w:hint="cs"/>
          <w:rtl/>
        </w:rPr>
        <w:t xml:space="preserve">(עי' אות </w:t>
      </w:r>
      <w:r w:rsidRPr="008B3BF3">
        <w:rPr>
          <w:rStyle w:val="af6"/>
          <w:rFonts w:eastAsia="Guttman Hodes"/>
          <w:rtl/>
        </w:rPr>
        <w:fldChar w:fldCharType="begin"/>
      </w:r>
      <w:r w:rsidRPr="008B3BF3">
        <w:rPr>
          <w:rStyle w:val="af6"/>
          <w:rFonts w:eastAsia="Guttman Hodes"/>
          <w:rtl/>
        </w:rPr>
        <w:instrText xml:space="preserve"> </w:instrText>
      </w:r>
      <w:r w:rsidRPr="008B3BF3">
        <w:rPr>
          <w:rStyle w:val="af6"/>
          <w:rFonts w:eastAsia="Guttman Hodes" w:hint="cs"/>
        </w:rPr>
        <w:instrText>REF</w:instrText>
      </w:r>
      <w:r w:rsidRPr="008B3BF3">
        <w:rPr>
          <w:rStyle w:val="af6"/>
          <w:rFonts w:eastAsia="Guttman Hodes" w:hint="cs"/>
          <w:rtl/>
        </w:rPr>
        <w:instrText xml:space="preserve"> _</w:instrText>
      </w:r>
      <w:r w:rsidRPr="008B3BF3">
        <w:rPr>
          <w:rStyle w:val="af6"/>
          <w:rFonts w:eastAsia="Guttman Hodes" w:hint="cs"/>
        </w:rPr>
        <w:instrText>Ref14249145 \r \h</w:instrText>
      </w:r>
      <w:r w:rsidRPr="008B3BF3">
        <w:rPr>
          <w:rStyle w:val="af6"/>
          <w:rFonts w:eastAsia="Guttman Hodes"/>
          <w:rtl/>
        </w:rPr>
        <w:instrText xml:space="preserve"> </w:instrText>
      </w:r>
      <w:r w:rsidRPr="008B3BF3">
        <w:rPr>
          <w:rStyle w:val="af6"/>
          <w:rFonts w:eastAsia="Guttman Hodes"/>
          <w:rtl/>
        </w:rPr>
      </w:r>
      <w:r w:rsidRPr="008B3BF3">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8B3BF3">
        <w:rPr>
          <w:rStyle w:val="af6"/>
          <w:rFonts w:eastAsia="Guttman Hodes"/>
          <w:rtl/>
        </w:rPr>
        <w:fldChar w:fldCharType="end"/>
      </w:r>
      <w:r>
        <w:rPr>
          <w:rFonts w:hint="cs"/>
          <w:rtl/>
        </w:rPr>
        <w:t xml:space="preserve">, ועי' במ"ש בזה </w:t>
      </w:r>
      <w:r w:rsidRPr="006210D6">
        <w:rPr>
          <w:rStyle w:val="af8"/>
          <w:rFonts w:hint="cs"/>
          <w:rtl/>
        </w:rPr>
        <w:t>הנחל"ד</w:t>
      </w:r>
      <w:r>
        <w:rPr>
          <w:rFonts w:hint="cs"/>
          <w:rtl/>
        </w:rPr>
        <w:t xml:space="preserve"> </w:t>
      </w:r>
      <w:r w:rsidRPr="006210D6">
        <w:rPr>
          <w:rStyle w:val="af6"/>
          <w:rFonts w:eastAsia="Guttman Hodes" w:hint="cs"/>
          <w:rtl/>
        </w:rPr>
        <w:t xml:space="preserve">(עי' אות </w:t>
      </w:r>
      <w:r w:rsidRPr="006210D6">
        <w:rPr>
          <w:rStyle w:val="af6"/>
          <w:rFonts w:eastAsia="Guttman Hodes"/>
          <w:rtl/>
        </w:rPr>
        <w:fldChar w:fldCharType="begin"/>
      </w:r>
      <w:r w:rsidRPr="006210D6">
        <w:rPr>
          <w:rStyle w:val="af6"/>
          <w:rFonts w:eastAsia="Guttman Hodes"/>
          <w:rtl/>
        </w:rPr>
        <w:instrText xml:space="preserve"> </w:instrText>
      </w:r>
      <w:r w:rsidRPr="006210D6">
        <w:rPr>
          <w:rStyle w:val="af6"/>
          <w:rFonts w:eastAsia="Guttman Hodes" w:hint="cs"/>
        </w:rPr>
        <w:instrText>REF</w:instrText>
      </w:r>
      <w:r w:rsidRPr="006210D6">
        <w:rPr>
          <w:rStyle w:val="af6"/>
          <w:rFonts w:eastAsia="Guttman Hodes" w:hint="cs"/>
          <w:rtl/>
        </w:rPr>
        <w:instrText xml:space="preserve"> _</w:instrText>
      </w:r>
      <w:r w:rsidRPr="006210D6">
        <w:rPr>
          <w:rStyle w:val="af6"/>
          <w:rFonts w:eastAsia="Guttman Hodes" w:hint="cs"/>
        </w:rPr>
        <w:instrText>Ref14249273 \r \h</w:instrText>
      </w:r>
      <w:r w:rsidRPr="006210D6">
        <w:rPr>
          <w:rStyle w:val="af6"/>
          <w:rFonts w:eastAsia="Guttman Hodes"/>
          <w:rtl/>
        </w:rPr>
        <w:instrText xml:space="preserve"> </w:instrText>
      </w:r>
      <w:r w:rsidRPr="006210D6">
        <w:rPr>
          <w:rStyle w:val="af6"/>
          <w:rFonts w:eastAsia="Guttman Hodes"/>
          <w:rtl/>
        </w:rPr>
      </w:r>
      <w:r w:rsidRPr="006210D6">
        <w:rPr>
          <w:rStyle w:val="af6"/>
          <w:rFonts w:eastAsia="Guttman Hodes"/>
          <w:rtl/>
        </w:rPr>
        <w:fldChar w:fldCharType="separate"/>
      </w:r>
      <w:r w:rsidR="004D1C5B">
        <w:rPr>
          <w:rStyle w:val="af6"/>
          <w:rFonts w:eastAsia="Guttman Hodes"/>
          <w:cs/>
        </w:rPr>
        <w:t>‎</w:t>
      </w:r>
      <w:r w:rsidR="004D1C5B">
        <w:rPr>
          <w:rStyle w:val="af6"/>
          <w:rFonts w:eastAsia="Guttman Hodes"/>
          <w:rtl/>
        </w:rPr>
        <w:t>צא)</w:t>
      </w:r>
      <w:r w:rsidRPr="006210D6">
        <w:rPr>
          <w:rStyle w:val="af6"/>
          <w:rFonts w:eastAsia="Guttman Hodes"/>
          <w:rtl/>
        </w:rPr>
        <w:fldChar w:fldCharType="end"/>
      </w:r>
      <w:r>
        <w:rPr>
          <w:rFonts w:hint="cs"/>
          <w:rtl/>
        </w:rPr>
        <w:t>.</w:t>
      </w:r>
      <w:bookmarkEnd w:id="7155"/>
    </w:p>
    <w:p w:rsidR="00F34A57" w:rsidRDefault="00F34A57" w:rsidP="00F34A57">
      <w:pPr>
        <w:pStyle w:val="a2"/>
      </w:pPr>
      <w:bookmarkStart w:id="7156" w:name="_Toc14257485"/>
      <w:r>
        <w:rPr>
          <w:rFonts w:hint="cs"/>
          <w:rtl/>
        </w:rPr>
        <w:t>דברי המנחת כהן דלהראב"ד רק בנזיר לוקין על טעם בלבד ולא בשאר האיסורים</w:t>
      </w:r>
      <w:bookmarkEnd w:id="7156"/>
    </w:p>
    <w:p w:rsidR="00F34A57" w:rsidRDefault="00F34A57" w:rsidP="009F44AF">
      <w:pPr>
        <w:pStyle w:val="a"/>
      </w:pPr>
      <w:r>
        <w:rPr>
          <w:rFonts w:hint="cs"/>
          <w:rtl/>
        </w:rPr>
        <w:t xml:space="preserve">אך כתב </w:t>
      </w:r>
      <w:r>
        <w:rPr>
          <w:rStyle w:val="af8"/>
          <w:rtl/>
        </w:rPr>
        <w:t xml:space="preserve">המנחת כהן </w:t>
      </w:r>
      <w:r>
        <w:rPr>
          <w:rStyle w:val="af6"/>
          <w:rFonts w:eastAsia="Guttman Hodes" w:hint="cs"/>
          <w:rtl/>
        </w:rPr>
        <w:t xml:space="preserve">(ס' התערובות ח"א פ"ה ד"ה אמנם נראה) </w:t>
      </w:r>
      <w:r>
        <w:rPr>
          <w:rFonts w:hint="cs"/>
          <w:rtl/>
        </w:rPr>
        <w:t xml:space="preserve">דיותר נראה דאף לדעת </w:t>
      </w:r>
      <w:r w:rsidRPr="003108B7">
        <w:rPr>
          <w:rStyle w:val="af8"/>
          <w:rFonts w:hint="cs"/>
          <w:rtl/>
        </w:rPr>
        <w:t>הראב"ד</w:t>
      </w:r>
      <w:r>
        <w:rPr>
          <w:rFonts w:hint="cs"/>
          <w:rtl/>
        </w:rPr>
        <w:t xml:space="preserve"> נזיר חייב בשרה ענבים במים אף כשיש בהם טעם בלבד, כיון דהילפותא לטעם כעיקר היא מהפסו' במשרת, אלא דבשאר איסורין אין לוקין על טעם בלבד, כיון דאין לוקין על ההיקשות, ועי' בדברי </w:t>
      </w:r>
      <w:r w:rsidRPr="00533510">
        <w:rPr>
          <w:rStyle w:val="af8"/>
          <w:rFonts w:hint="cs"/>
          <w:rtl/>
        </w:rPr>
        <w:t>הרשב"א</w:t>
      </w:r>
      <w:r>
        <w:rPr>
          <w:rFonts w:hint="cs"/>
          <w:rtl/>
        </w:rPr>
        <w:t xml:space="preserve"> </w:t>
      </w:r>
      <w:r w:rsidRPr="00533510">
        <w:rPr>
          <w:rStyle w:val="af6"/>
          <w:rFonts w:eastAsia="Guttman Hodes" w:hint="cs"/>
          <w:rtl/>
        </w:rPr>
        <w:t xml:space="preserve">(עי' אות </w:t>
      </w:r>
      <w:r w:rsidRPr="00533510">
        <w:rPr>
          <w:rStyle w:val="af6"/>
          <w:rFonts w:eastAsia="Guttman Hodes"/>
          <w:rtl/>
        </w:rPr>
        <w:fldChar w:fldCharType="begin"/>
      </w:r>
      <w:r w:rsidRPr="00533510">
        <w:rPr>
          <w:rStyle w:val="af6"/>
          <w:rFonts w:eastAsia="Guttman Hodes"/>
          <w:rtl/>
        </w:rPr>
        <w:instrText xml:space="preserve"> </w:instrText>
      </w:r>
      <w:r w:rsidRPr="00533510">
        <w:rPr>
          <w:rStyle w:val="af6"/>
          <w:rFonts w:eastAsia="Guttman Hodes" w:hint="cs"/>
        </w:rPr>
        <w:instrText>REF</w:instrText>
      </w:r>
      <w:r w:rsidRPr="00533510">
        <w:rPr>
          <w:rStyle w:val="af6"/>
          <w:rFonts w:eastAsia="Guttman Hodes" w:hint="cs"/>
          <w:rtl/>
        </w:rPr>
        <w:instrText xml:space="preserve"> _</w:instrText>
      </w:r>
      <w:r w:rsidRPr="00533510">
        <w:rPr>
          <w:rStyle w:val="af6"/>
          <w:rFonts w:eastAsia="Guttman Hodes" w:hint="cs"/>
        </w:rPr>
        <w:instrText>Ref14248314 \r \h</w:instrText>
      </w:r>
      <w:r w:rsidRPr="00533510">
        <w:rPr>
          <w:rStyle w:val="af6"/>
          <w:rFonts w:eastAsia="Guttman Hodes"/>
          <w:rtl/>
        </w:rPr>
        <w:instrText xml:space="preserve"> </w:instrText>
      </w:r>
      <w:r w:rsidRPr="00533510">
        <w:rPr>
          <w:rStyle w:val="af6"/>
          <w:rFonts w:eastAsia="Guttman Hodes"/>
          <w:rtl/>
        </w:rPr>
      </w:r>
      <w:r w:rsidRPr="00533510">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533510">
        <w:rPr>
          <w:rStyle w:val="af6"/>
          <w:rFonts w:eastAsia="Guttman Hodes"/>
          <w:rtl/>
        </w:rPr>
        <w:fldChar w:fldCharType="end"/>
      </w:r>
      <w:r>
        <w:rPr>
          <w:rFonts w:hint="cs"/>
          <w:rtl/>
        </w:rPr>
        <w:t xml:space="preserve"> בשם </w:t>
      </w:r>
      <w:r w:rsidRPr="00533510">
        <w:rPr>
          <w:rStyle w:val="af8"/>
          <w:rFonts w:hint="cs"/>
          <w:rtl/>
        </w:rPr>
        <w:t>הראב"ד</w:t>
      </w:r>
      <w:r>
        <w:rPr>
          <w:rFonts w:hint="cs"/>
          <w:rtl/>
        </w:rPr>
        <w:t xml:space="preserve"> דכ"כ להדיא.</w:t>
      </w:r>
    </w:p>
    <w:p w:rsidR="00F34A57" w:rsidRDefault="00F34A57" w:rsidP="00F34A57">
      <w:pPr>
        <w:pStyle w:val="1"/>
        <w:rPr>
          <w:rtl/>
        </w:rPr>
      </w:pPr>
      <w:bookmarkStart w:id="7157" w:name="_Toc14208869"/>
      <w:bookmarkStart w:id="7158" w:name="_Toc14248974"/>
      <w:bookmarkStart w:id="7159" w:name="_Toc14257486"/>
      <w:r w:rsidRPr="009B239C">
        <w:rPr>
          <w:rFonts w:hint="cs"/>
          <w:rtl/>
        </w:rPr>
        <w:t>דעת הסוברים דלהראב"ד אמרינן נהפך</w:t>
      </w:r>
      <w:bookmarkEnd w:id="7157"/>
      <w:bookmarkEnd w:id="7158"/>
      <w:bookmarkEnd w:id="7159"/>
    </w:p>
    <w:p w:rsidR="00F34A57" w:rsidRPr="009954AD" w:rsidRDefault="00F34A57" w:rsidP="00F34A57">
      <w:pPr>
        <w:pStyle w:val="a2"/>
        <w:rPr>
          <w:rtl/>
        </w:rPr>
      </w:pPr>
      <w:bookmarkStart w:id="7160" w:name="_Toc14257487"/>
      <w:r>
        <w:rPr>
          <w:rFonts w:hint="cs"/>
          <w:rtl/>
        </w:rPr>
        <w:t>דברי הגר"א דהראב"ד פסק כרשב"ג שצריך שיעור דגן ורק בכזית בכא"פ לוקין דהוא טעמו וממשו</w:t>
      </w:r>
      <w:bookmarkEnd w:id="7160"/>
    </w:p>
    <w:p w:rsidR="00F34A57" w:rsidRDefault="00F34A57" w:rsidP="009F44AF">
      <w:pPr>
        <w:pStyle w:val="a"/>
        <w:rPr>
          <w:rtl/>
        </w:rPr>
      </w:pPr>
      <w:r>
        <w:rPr>
          <w:rFonts w:hint="cs"/>
          <w:rtl/>
        </w:rPr>
        <w:t xml:space="preserve">כתב </w:t>
      </w:r>
      <w:r w:rsidRPr="00FB0F73">
        <w:rPr>
          <w:rStyle w:val="af8"/>
          <w:rFonts w:hint="cs"/>
          <w:rtl/>
        </w:rPr>
        <w:t>הגר"א</w:t>
      </w:r>
      <w:r>
        <w:rPr>
          <w:rFonts w:hint="cs"/>
          <w:rtl/>
        </w:rPr>
        <w:t xml:space="preserve"> </w:t>
      </w:r>
      <w:r w:rsidRPr="00FB0F73">
        <w:rPr>
          <w:rStyle w:val="af6"/>
          <w:rFonts w:eastAsia="Guttman Hodes" w:hint="cs"/>
          <w:rtl/>
        </w:rPr>
        <w:t>(או"ח סי' תנ"ג סק"ט)</w:t>
      </w:r>
      <w:r>
        <w:rPr>
          <w:rFonts w:hint="cs"/>
          <w:rtl/>
        </w:rPr>
        <w:t xml:space="preserve"> דהא דכתב </w:t>
      </w:r>
      <w:r w:rsidRPr="00C44730">
        <w:rPr>
          <w:rStyle w:val="af8"/>
          <w:rFonts w:hint="cs"/>
          <w:rtl/>
        </w:rPr>
        <w:t>הראב"ד בהשג'</w:t>
      </w:r>
      <w:r>
        <w:rPr>
          <w:rFonts w:hint="cs"/>
          <w:rtl/>
        </w:rPr>
        <w:t xml:space="preserve"> </w:t>
      </w:r>
      <w:r w:rsidRPr="00B2134D">
        <w:rPr>
          <w:rStyle w:val="af6"/>
          <w:rFonts w:eastAsia="Guttman Hodes" w:hint="cs"/>
          <w:rtl/>
        </w:rPr>
        <w:t>(ע</w:t>
      </w:r>
      <w:r w:rsidRPr="008E2993">
        <w:rPr>
          <w:rStyle w:val="af6"/>
          <w:rFonts w:eastAsia="Guttman Hodes" w:hint="cs"/>
          <w:rtl/>
        </w:rPr>
        <w:t xml:space="preserve">י' אות </w:t>
      </w:r>
      <w:r w:rsidRPr="008E2993">
        <w:rPr>
          <w:rStyle w:val="af6"/>
          <w:rFonts w:eastAsia="Guttman Hodes"/>
          <w:rtl/>
        </w:rPr>
        <w:fldChar w:fldCharType="begin"/>
      </w:r>
      <w:r w:rsidRPr="008E2993">
        <w:rPr>
          <w:rStyle w:val="af6"/>
          <w:rFonts w:eastAsia="Guttman Hodes"/>
          <w:rtl/>
        </w:rPr>
        <w:instrText xml:space="preserve"> </w:instrText>
      </w:r>
      <w:r w:rsidRPr="008E2993">
        <w:rPr>
          <w:rStyle w:val="af6"/>
          <w:rFonts w:eastAsia="Guttman Hodes" w:hint="cs"/>
        </w:rPr>
        <w:instrText>REF</w:instrText>
      </w:r>
      <w:r w:rsidRPr="008E2993">
        <w:rPr>
          <w:rStyle w:val="af6"/>
          <w:rFonts w:eastAsia="Guttman Hodes" w:hint="cs"/>
          <w:rtl/>
        </w:rPr>
        <w:instrText xml:space="preserve"> _</w:instrText>
      </w:r>
      <w:r w:rsidRPr="008E2993">
        <w:rPr>
          <w:rStyle w:val="af6"/>
          <w:rFonts w:eastAsia="Guttman Hodes" w:hint="cs"/>
        </w:rPr>
        <w:instrText>Ref14244863 \r \h</w:instrText>
      </w:r>
      <w:r w:rsidRPr="008E2993">
        <w:rPr>
          <w:rStyle w:val="af6"/>
          <w:rFonts w:eastAsia="Guttman Hodes"/>
          <w:rtl/>
        </w:rPr>
        <w:instrText xml:space="preserve"> </w:instrText>
      </w:r>
      <w:r w:rsidRPr="008E2993">
        <w:rPr>
          <w:rStyle w:val="af6"/>
          <w:rFonts w:eastAsia="Guttman Hodes"/>
          <w:rtl/>
        </w:rPr>
      </w:r>
      <w:r w:rsidRPr="008E2993">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8E2993">
        <w:rPr>
          <w:rStyle w:val="af6"/>
          <w:rFonts w:eastAsia="Guttman Hodes"/>
          <w:rtl/>
        </w:rPr>
        <w:fldChar w:fldCharType="end"/>
      </w:r>
      <w:r>
        <w:rPr>
          <w:rFonts w:hint="cs"/>
          <w:rtl/>
        </w:rPr>
        <w:t xml:space="preserve"> דבעיסת אורז שיש בה טעם דגן יוצא יד"ח מצה, רק כשאכל כזית דגן, הוא כיון </w:t>
      </w:r>
      <w:r w:rsidRPr="00C44730">
        <w:rPr>
          <w:rStyle w:val="af8"/>
          <w:rFonts w:hint="cs"/>
          <w:rtl/>
        </w:rPr>
        <w:t xml:space="preserve">דהראב"ד בהשג' </w:t>
      </w:r>
      <w:r w:rsidRPr="008E2993">
        <w:rPr>
          <w:rStyle w:val="af6"/>
          <w:rFonts w:eastAsia="Guttman Hodes" w:hint="cs"/>
          <w:rtl/>
        </w:rPr>
        <w:t xml:space="preserve">(עי' אות </w:t>
      </w:r>
      <w:r w:rsidRPr="008E2993">
        <w:rPr>
          <w:rStyle w:val="af6"/>
          <w:rFonts w:eastAsia="Guttman Hodes"/>
          <w:rtl/>
        </w:rPr>
        <w:fldChar w:fldCharType="begin"/>
      </w:r>
      <w:r w:rsidRPr="008E2993">
        <w:rPr>
          <w:rStyle w:val="af6"/>
          <w:rFonts w:eastAsia="Guttman Hodes"/>
          <w:rtl/>
        </w:rPr>
        <w:instrText xml:space="preserve"> </w:instrText>
      </w:r>
      <w:r w:rsidRPr="008E2993">
        <w:rPr>
          <w:rStyle w:val="af6"/>
          <w:rFonts w:eastAsia="Guttman Hodes" w:hint="cs"/>
        </w:rPr>
        <w:instrText>REF</w:instrText>
      </w:r>
      <w:r w:rsidRPr="008E2993">
        <w:rPr>
          <w:rStyle w:val="af6"/>
          <w:rFonts w:eastAsia="Guttman Hodes" w:hint="cs"/>
          <w:rtl/>
        </w:rPr>
        <w:instrText xml:space="preserve"> _</w:instrText>
      </w:r>
      <w:r w:rsidRPr="008E2993">
        <w:rPr>
          <w:rStyle w:val="af6"/>
          <w:rFonts w:eastAsia="Guttman Hodes" w:hint="cs"/>
        </w:rPr>
        <w:instrText>Ref14250740 \r \h</w:instrText>
      </w:r>
      <w:r w:rsidRPr="008E2993">
        <w:rPr>
          <w:rStyle w:val="af6"/>
          <w:rFonts w:eastAsia="Guttman Hodes"/>
          <w:rtl/>
        </w:rPr>
        <w:instrText xml:space="preserve"> </w:instrText>
      </w:r>
      <w:r w:rsidRPr="008E2993">
        <w:rPr>
          <w:rStyle w:val="af6"/>
          <w:rFonts w:eastAsia="Guttman Hodes"/>
          <w:rtl/>
        </w:rPr>
      </w:r>
      <w:r w:rsidRPr="008E2993">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8E2993">
        <w:rPr>
          <w:rStyle w:val="af6"/>
          <w:rFonts w:eastAsia="Guttman Hodes"/>
          <w:rtl/>
        </w:rPr>
        <w:fldChar w:fldCharType="end"/>
      </w:r>
      <w:r>
        <w:rPr>
          <w:rFonts w:hint="cs"/>
          <w:rtl/>
        </w:rPr>
        <w:t xml:space="preserve"> פסק כרשב"ג דהחיוב חלה בעיסת אורז, הוא רק במקום שיש דגן בשיעור חיוב חלה, ופסק </w:t>
      </w:r>
      <w:r w:rsidRPr="00C44730">
        <w:rPr>
          <w:rStyle w:val="af8"/>
          <w:rFonts w:hint="cs"/>
          <w:rtl/>
        </w:rPr>
        <w:t xml:space="preserve">הראב"ד </w:t>
      </w:r>
      <w:r>
        <w:rPr>
          <w:rFonts w:hint="cs"/>
          <w:rtl/>
        </w:rPr>
        <w:t xml:space="preserve">דהוא אף במקום שרובה אורז, כדאיתא בגמ' בזבחים </w:t>
      </w:r>
      <w:r w:rsidRPr="008E2993">
        <w:rPr>
          <w:rStyle w:val="af6"/>
          <w:rFonts w:eastAsia="Guttman Hodes" w:hint="cs"/>
          <w:rtl/>
        </w:rPr>
        <w:t>(עט.)</w:t>
      </w:r>
      <w:r>
        <w:rPr>
          <w:rFonts w:hint="cs"/>
          <w:rtl/>
        </w:rPr>
        <w:t xml:space="preserve">, אך זהו דוקא כשיש כזית דגן בכדי אכילת פרס, כדברי ריו"ח בע"ז דרק בטעמו וממשו לוקין על טעם כעיקר, וביאר </w:t>
      </w:r>
      <w:r w:rsidRPr="00C44730">
        <w:rPr>
          <w:rStyle w:val="af8"/>
          <w:rFonts w:hint="cs"/>
          <w:rtl/>
        </w:rPr>
        <w:t xml:space="preserve">הראב"ד </w:t>
      </w:r>
      <w:r w:rsidRPr="008E2993">
        <w:rPr>
          <w:rStyle w:val="af6"/>
          <w:rFonts w:eastAsia="Guttman Hodes" w:hint="cs"/>
          <w:rtl/>
        </w:rPr>
        <w:t xml:space="preserve">(עי' אות </w:t>
      </w:r>
      <w:r w:rsidRPr="008E2993">
        <w:rPr>
          <w:rStyle w:val="af6"/>
          <w:rFonts w:eastAsia="Guttman Hodes"/>
          <w:rtl/>
        </w:rPr>
        <w:fldChar w:fldCharType="begin"/>
      </w:r>
      <w:r w:rsidRPr="008E2993">
        <w:rPr>
          <w:rStyle w:val="af6"/>
          <w:rFonts w:eastAsia="Guttman Hodes"/>
          <w:rtl/>
        </w:rPr>
        <w:instrText xml:space="preserve"> </w:instrText>
      </w:r>
      <w:r w:rsidRPr="008E2993">
        <w:rPr>
          <w:rStyle w:val="af6"/>
          <w:rFonts w:eastAsia="Guttman Hodes" w:hint="cs"/>
        </w:rPr>
        <w:instrText>REF</w:instrText>
      </w:r>
      <w:r w:rsidRPr="008E2993">
        <w:rPr>
          <w:rStyle w:val="af6"/>
          <w:rFonts w:eastAsia="Guttman Hodes" w:hint="cs"/>
          <w:rtl/>
        </w:rPr>
        <w:instrText xml:space="preserve"> _</w:instrText>
      </w:r>
      <w:r w:rsidRPr="008E2993">
        <w:rPr>
          <w:rStyle w:val="af6"/>
          <w:rFonts w:eastAsia="Guttman Hodes" w:hint="cs"/>
        </w:rPr>
        <w:instrText>Ref14249145 \r \h</w:instrText>
      </w:r>
      <w:r w:rsidRPr="008E2993">
        <w:rPr>
          <w:rStyle w:val="af6"/>
          <w:rFonts w:eastAsia="Guttman Hodes"/>
          <w:rtl/>
        </w:rPr>
        <w:instrText xml:space="preserve"> </w:instrText>
      </w:r>
      <w:r w:rsidRPr="008E2993">
        <w:rPr>
          <w:rStyle w:val="af6"/>
          <w:rFonts w:eastAsia="Guttman Hodes"/>
          <w:rtl/>
        </w:rPr>
      </w:r>
      <w:r w:rsidRPr="008E2993">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8E2993">
        <w:rPr>
          <w:rStyle w:val="af6"/>
          <w:rFonts w:eastAsia="Guttman Hodes"/>
          <w:rtl/>
        </w:rPr>
        <w:fldChar w:fldCharType="end"/>
      </w:r>
      <w:r>
        <w:rPr>
          <w:rFonts w:hint="cs"/>
          <w:rtl/>
        </w:rPr>
        <w:t xml:space="preserve"> דהיינו כשיש כזית בכדי אכילת פרס, ועי' במה שתמה </w:t>
      </w:r>
      <w:r w:rsidRPr="001B62B8">
        <w:rPr>
          <w:rStyle w:val="af8"/>
          <w:rFonts w:hint="cs"/>
          <w:rtl/>
        </w:rPr>
        <w:t>הדברי יחזקאל</w:t>
      </w:r>
      <w:r>
        <w:rPr>
          <w:rFonts w:hint="cs"/>
          <w:rtl/>
        </w:rPr>
        <w:t xml:space="preserve"> </w:t>
      </w:r>
      <w:r w:rsidRPr="001B62B8">
        <w:rPr>
          <w:rStyle w:val="af6"/>
          <w:rFonts w:eastAsia="Guttman Hodes" w:hint="cs"/>
          <w:rtl/>
        </w:rPr>
        <w:t xml:space="preserve">(סי' י"א אות </w:t>
      </w:r>
      <w:r>
        <w:rPr>
          <w:rStyle w:val="af6"/>
          <w:rFonts w:eastAsia="Guttman Hodes" w:hint="cs"/>
          <w:rtl/>
        </w:rPr>
        <w:t>י'</w:t>
      </w:r>
      <w:r w:rsidRPr="001B62B8">
        <w:rPr>
          <w:rStyle w:val="af6"/>
          <w:rFonts w:eastAsia="Guttman Hodes" w:hint="cs"/>
          <w:rtl/>
        </w:rPr>
        <w:t xml:space="preserve"> ד"ה </w:t>
      </w:r>
      <w:r>
        <w:rPr>
          <w:rStyle w:val="af6"/>
          <w:rFonts w:eastAsia="Guttman Hodes" w:hint="cs"/>
          <w:rtl/>
        </w:rPr>
        <w:t>אמנם לדברי הראב"ד</w:t>
      </w:r>
      <w:r w:rsidRPr="001B62B8">
        <w:rPr>
          <w:rStyle w:val="af6"/>
          <w:rFonts w:eastAsia="Guttman Hodes" w:hint="cs"/>
          <w:rtl/>
        </w:rPr>
        <w:t>)</w:t>
      </w:r>
      <w:r>
        <w:rPr>
          <w:rFonts w:hint="cs"/>
          <w:rtl/>
        </w:rPr>
        <w:t>.</w:t>
      </w:r>
    </w:p>
    <w:p w:rsidR="00F34A57" w:rsidRPr="00C44730" w:rsidRDefault="00F34A57" w:rsidP="00F34A57">
      <w:pPr>
        <w:pStyle w:val="a2"/>
        <w:rPr>
          <w:rtl/>
        </w:rPr>
      </w:pPr>
      <w:bookmarkStart w:id="7161" w:name="_Toc14257488"/>
      <w:r>
        <w:rPr>
          <w:rFonts w:hint="cs"/>
          <w:rtl/>
        </w:rPr>
        <w:t>דברי הגר"א דלהראב"ד דבטע"כ אמרינן נהפך ובפחות מכזית בכא"פ אסור מדאו' דהוא חצי שיעור</w:t>
      </w:r>
      <w:bookmarkEnd w:id="7161"/>
    </w:p>
    <w:p w:rsidR="00F34A57" w:rsidRDefault="00F34A57" w:rsidP="009F44AF">
      <w:pPr>
        <w:pStyle w:val="a"/>
        <w:rPr>
          <w:rStyle w:val="afa"/>
          <w:rtl/>
        </w:rPr>
      </w:pPr>
      <w:bookmarkStart w:id="7162" w:name="_Ref14250824"/>
      <w:r>
        <w:rPr>
          <w:rFonts w:hint="cs"/>
          <w:rtl/>
        </w:rPr>
        <w:t xml:space="preserve">והביא </w:t>
      </w:r>
      <w:r w:rsidRPr="00C44730">
        <w:rPr>
          <w:rStyle w:val="af8"/>
          <w:rFonts w:hint="cs"/>
          <w:rtl/>
        </w:rPr>
        <w:t xml:space="preserve">הגר"א </w:t>
      </w:r>
      <w:r>
        <w:rPr>
          <w:rFonts w:hint="cs"/>
          <w:rtl/>
        </w:rPr>
        <w:t xml:space="preserve">את דברי </w:t>
      </w:r>
      <w:r w:rsidRPr="00C44730">
        <w:rPr>
          <w:rStyle w:val="af8"/>
          <w:rFonts w:hint="cs"/>
          <w:rtl/>
        </w:rPr>
        <w:t xml:space="preserve">הראב"ד בהשג' </w:t>
      </w:r>
      <w:r w:rsidRPr="008E2993">
        <w:rPr>
          <w:rStyle w:val="af6"/>
          <w:rFonts w:eastAsia="Guttman Hodes" w:hint="cs"/>
          <w:rtl/>
        </w:rPr>
        <w:t xml:space="preserve">(עי' אות </w:t>
      </w:r>
      <w:r w:rsidRPr="008E2993">
        <w:rPr>
          <w:rStyle w:val="af6"/>
          <w:rFonts w:eastAsia="Guttman Hodes"/>
          <w:rtl/>
        </w:rPr>
        <w:fldChar w:fldCharType="begin"/>
      </w:r>
      <w:r w:rsidRPr="008E2993">
        <w:rPr>
          <w:rStyle w:val="af6"/>
          <w:rFonts w:eastAsia="Guttman Hodes"/>
          <w:rtl/>
        </w:rPr>
        <w:instrText xml:space="preserve"> </w:instrText>
      </w:r>
      <w:r w:rsidRPr="008E2993">
        <w:rPr>
          <w:rStyle w:val="af6"/>
          <w:rFonts w:eastAsia="Guttman Hodes" w:hint="cs"/>
        </w:rPr>
        <w:instrText>REF</w:instrText>
      </w:r>
      <w:r w:rsidRPr="008E2993">
        <w:rPr>
          <w:rStyle w:val="af6"/>
          <w:rFonts w:eastAsia="Guttman Hodes" w:hint="cs"/>
          <w:rtl/>
        </w:rPr>
        <w:instrText xml:space="preserve"> _</w:instrText>
      </w:r>
      <w:r w:rsidRPr="008E2993">
        <w:rPr>
          <w:rStyle w:val="af6"/>
          <w:rFonts w:eastAsia="Guttman Hodes" w:hint="cs"/>
        </w:rPr>
        <w:instrText>Ref14248337 \r \h</w:instrText>
      </w:r>
      <w:r w:rsidRPr="008E2993">
        <w:rPr>
          <w:rStyle w:val="af6"/>
          <w:rFonts w:eastAsia="Guttman Hodes"/>
          <w:rtl/>
        </w:rPr>
        <w:instrText xml:space="preserve"> </w:instrText>
      </w:r>
      <w:r w:rsidRPr="008E2993">
        <w:rPr>
          <w:rStyle w:val="af6"/>
          <w:rFonts w:eastAsia="Guttman Hodes"/>
          <w:rtl/>
        </w:rPr>
      </w:r>
      <w:r w:rsidRPr="008E2993">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8E2993">
        <w:rPr>
          <w:rStyle w:val="af6"/>
          <w:rFonts w:eastAsia="Guttman Hodes"/>
          <w:rtl/>
        </w:rPr>
        <w:fldChar w:fldCharType="end"/>
      </w:r>
      <w:r>
        <w:rPr>
          <w:rFonts w:hint="cs"/>
          <w:rtl/>
        </w:rPr>
        <w:t xml:space="preserve"> דכתב דבשרה ענבים במים, הנזיר לוקה עליו, וכתב </w:t>
      </w:r>
      <w:r w:rsidRPr="00C44730">
        <w:rPr>
          <w:rStyle w:val="af8"/>
          <w:rFonts w:hint="cs"/>
          <w:rtl/>
        </w:rPr>
        <w:t xml:space="preserve">הגר"א </w:t>
      </w:r>
      <w:r>
        <w:rPr>
          <w:rFonts w:hint="cs"/>
          <w:rtl/>
        </w:rPr>
        <w:t xml:space="preserve">דמבואר מדברי </w:t>
      </w:r>
      <w:r w:rsidRPr="00C44730">
        <w:rPr>
          <w:rStyle w:val="af8"/>
          <w:rFonts w:hint="cs"/>
          <w:rtl/>
        </w:rPr>
        <w:t xml:space="preserve">הראב"ד </w:t>
      </w:r>
      <w:r>
        <w:rPr>
          <w:rFonts w:hint="cs"/>
          <w:rtl/>
        </w:rPr>
        <w:t xml:space="preserve">דטעם כעיקר אסור מדאו' אף בפחות מכזית בכדי אכילת פרס, וכתב </w:t>
      </w:r>
      <w:r w:rsidRPr="00FB0F73">
        <w:rPr>
          <w:rStyle w:val="af8"/>
          <w:rFonts w:hint="cs"/>
          <w:rtl/>
        </w:rPr>
        <w:t>הגר"א</w:t>
      </w:r>
      <w:r>
        <w:rPr>
          <w:rFonts w:hint="cs"/>
          <w:rtl/>
        </w:rPr>
        <w:t xml:space="preserve"> דכן היא דעת </w:t>
      </w:r>
      <w:r w:rsidRPr="00FB0F73">
        <w:rPr>
          <w:rStyle w:val="af8"/>
          <w:rFonts w:hint="cs"/>
          <w:rtl/>
        </w:rPr>
        <w:t>הטור</w:t>
      </w:r>
      <w:r>
        <w:rPr>
          <w:rFonts w:hint="cs"/>
          <w:rtl/>
        </w:rPr>
        <w:t xml:space="preserve"> </w:t>
      </w:r>
      <w:r w:rsidRPr="008E2993">
        <w:rPr>
          <w:rStyle w:val="af6"/>
          <w:rFonts w:eastAsia="Guttman Hodes" w:hint="cs"/>
          <w:rtl/>
        </w:rPr>
        <w:t>(סי' צ"ח ב')</w:t>
      </w:r>
      <w:r>
        <w:rPr>
          <w:rFonts w:hint="cs"/>
          <w:rtl/>
        </w:rPr>
        <w:t xml:space="preserve"> דכתב דבמין בשאינו מינו ויש בו פחות משישים, אסור מדאו' דטעם כעיקר דאו', אך אין לוקין עליו בפחות מכזית בכדי אכילת פרס, דס"ל </w:t>
      </w:r>
      <w:r w:rsidRPr="00C44730">
        <w:rPr>
          <w:rStyle w:val="af8"/>
          <w:rFonts w:hint="cs"/>
          <w:rtl/>
        </w:rPr>
        <w:t xml:space="preserve">להראב"ד והטור </w:t>
      </w:r>
      <w:r>
        <w:rPr>
          <w:rFonts w:hint="cs"/>
          <w:rtl/>
        </w:rPr>
        <w:t xml:space="preserve">דאמרינן נהפך אם יש כזית בכדי אכילת פרס, והוסיף </w:t>
      </w:r>
      <w:r w:rsidRPr="00696700">
        <w:rPr>
          <w:rStyle w:val="af8"/>
          <w:rFonts w:hint="cs"/>
          <w:rtl/>
        </w:rPr>
        <w:t>הגר"א</w:t>
      </w:r>
      <w:r>
        <w:rPr>
          <w:rFonts w:hint="cs"/>
          <w:rtl/>
        </w:rPr>
        <w:t xml:space="preserve"> </w:t>
      </w:r>
      <w:r w:rsidRPr="00FB0F73">
        <w:rPr>
          <w:rStyle w:val="af6"/>
          <w:rFonts w:eastAsia="Guttman Hodes" w:hint="cs"/>
          <w:rtl/>
        </w:rPr>
        <w:t>(סי' צ"ח סק"ח)</w:t>
      </w:r>
      <w:r>
        <w:rPr>
          <w:rFonts w:hint="cs"/>
          <w:rtl/>
        </w:rPr>
        <w:t xml:space="preserve"> דלדעת </w:t>
      </w:r>
      <w:r w:rsidRPr="00696700">
        <w:rPr>
          <w:rStyle w:val="af8"/>
          <w:rFonts w:hint="cs"/>
          <w:rtl/>
        </w:rPr>
        <w:t>הראב"ד והטור</w:t>
      </w:r>
      <w:r>
        <w:rPr>
          <w:rFonts w:hint="cs"/>
          <w:rtl/>
        </w:rPr>
        <w:t xml:space="preserve"> דבפחות מכזית בכדי אכילת פרס, טעם כעיקר הוא דאו', אלא דהוא כמו חצי שיעור דאסור מדאו', וכולו נהפך לאיסור. </w:t>
      </w:r>
      <w:r w:rsidRPr="00C44730">
        <w:rPr>
          <w:rStyle w:val="afa"/>
          <w:rFonts w:hint="cs"/>
          <w:rtl/>
        </w:rPr>
        <w:t xml:space="preserve">[אולי כוונת </w:t>
      </w:r>
      <w:r w:rsidRPr="008E2993">
        <w:rPr>
          <w:rStyle w:val="affa"/>
          <w:rFonts w:hint="cs"/>
          <w:rtl/>
        </w:rPr>
        <w:t>הגר"א</w:t>
      </w:r>
      <w:r w:rsidRPr="00C44730">
        <w:rPr>
          <w:rStyle w:val="afa"/>
          <w:rFonts w:hint="cs"/>
          <w:rtl/>
        </w:rPr>
        <w:t xml:space="preserve"> דמבואר </w:t>
      </w:r>
      <w:r w:rsidRPr="008E2993">
        <w:rPr>
          <w:rStyle w:val="affa"/>
          <w:rFonts w:hint="cs"/>
          <w:rtl/>
        </w:rPr>
        <w:t>בראב"ד</w:t>
      </w:r>
      <w:r w:rsidRPr="00C44730">
        <w:rPr>
          <w:rStyle w:val="afa"/>
          <w:rFonts w:hint="cs"/>
          <w:rtl/>
        </w:rPr>
        <w:t xml:space="preserve"> </w:t>
      </w:r>
      <w:r w:rsidRPr="008E2993">
        <w:rPr>
          <w:rStyle w:val="aff6"/>
          <w:rFonts w:hint="cs"/>
          <w:rtl/>
        </w:rPr>
        <w:t xml:space="preserve">(עי' אות </w:t>
      </w:r>
      <w:r w:rsidRPr="008E2993">
        <w:rPr>
          <w:rStyle w:val="aff6"/>
          <w:rtl/>
        </w:rPr>
        <w:fldChar w:fldCharType="begin"/>
      </w:r>
      <w:r w:rsidRPr="008E2993">
        <w:rPr>
          <w:rStyle w:val="aff6"/>
          <w:rtl/>
        </w:rPr>
        <w:instrText xml:space="preserve"> </w:instrText>
      </w:r>
      <w:r w:rsidRPr="008E2993">
        <w:rPr>
          <w:rStyle w:val="aff6"/>
          <w:rFonts w:hint="cs"/>
        </w:rPr>
        <w:instrText>REF</w:instrText>
      </w:r>
      <w:r w:rsidRPr="008E2993">
        <w:rPr>
          <w:rStyle w:val="aff6"/>
          <w:rFonts w:hint="cs"/>
          <w:rtl/>
        </w:rPr>
        <w:instrText xml:space="preserve"> _</w:instrText>
      </w:r>
      <w:r w:rsidRPr="008E2993">
        <w:rPr>
          <w:rStyle w:val="aff6"/>
          <w:rFonts w:hint="cs"/>
        </w:rPr>
        <w:instrText>Ref14250740 \r \h</w:instrText>
      </w:r>
      <w:r w:rsidRPr="008E2993">
        <w:rPr>
          <w:rStyle w:val="aff6"/>
          <w:rtl/>
        </w:rPr>
        <w:instrText xml:space="preserve"> </w:instrText>
      </w:r>
      <w:r w:rsidRPr="008E2993">
        <w:rPr>
          <w:rStyle w:val="aff6"/>
          <w:rtl/>
        </w:rPr>
      </w:r>
      <w:r w:rsidRPr="008E2993">
        <w:rPr>
          <w:rStyle w:val="aff6"/>
          <w:rtl/>
        </w:rPr>
        <w:fldChar w:fldCharType="separate"/>
      </w:r>
      <w:r w:rsidR="004D1C5B">
        <w:rPr>
          <w:rStyle w:val="aff6"/>
          <w:cs/>
        </w:rPr>
        <w:t>‎</w:t>
      </w:r>
      <w:r w:rsidR="004D1C5B">
        <w:rPr>
          <w:rStyle w:val="aff6"/>
          <w:rtl/>
        </w:rPr>
        <w:t>עה)</w:t>
      </w:r>
      <w:r w:rsidRPr="008E2993">
        <w:rPr>
          <w:rStyle w:val="aff6"/>
          <w:rtl/>
        </w:rPr>
        <w:fldChar w:fldCharType="end"/>
      </w:r>
      <w:r>
        <w:rPr>
          <w:rFonts w:hint="cs"/>
          <w:rtl/>
        </w:rPr>
        <w:t xml:space="preserve"> </w:t>
      </w:r>
      <w:r w:rsidRPr="00C44730">
        <w:rPr>
          <w:rStyle w:val="afa"/>
          <w:rFonts w:hint="cs"/>
          <w:rtl/>
        </w:rPr>
        <w:t>דלדעת רבנן דא"צ שיעור חלה, הכל נהפך לאיסור].</w:t>
      </w:r>
      <w:bookmarkEnd w:id="7162"/>
    </w:p>
    <w:p w:rsidR="00F34A57" w:rsidRPr="00C44730" w:rsidRDefault="00F34A57" w:rsidP="00F34A57">
      <w:pPr>
        <w:pStyle w:val="a2"/>
        <w:rPr>
          <w:rtl/>
        </w:rPr>
      </w:pPr>
      <w:bookmarkStart w:id="7163" w:name="_Toc14257489"/>
      <w:r>
        <w:rPr>
          <w:rFonts w:hint="cs"/>
          <w:rtl/>
        </w:rPr>
        <w:t>דברי הנחל"ד דלהראב"ד אמרינן נהפך ותירץ את קושית רש"י מריו"ח דטע"כ דאו' ואין לוקין עליו</w:t>
      </w:r>
      <w:bookmarkEnd w:id="7163"/>
    </w:p>
    <w:p w:rsidR="00F34A57" w:rsidRDefault="00F34A57" w:rsidP="009F44AF">
      <w:pPr>
        <w:pStyle w:val="a"/>
        <w:rPr>
          <w:rtl/>
        </w:rPr>
      </w:pPr>
      <w:bookmarkStart w:id="7164" w:name="_Ref14246678"/>
      <w:bookmarkStart w:id="7165" w:name="_Toc14089991"/>
      <w:bookmarkStart w:id="7166" w:name="_Toc14109790"/>
      <w:bookmarkStart w:id="7167" w:name="_Toc14120165"/>
      <w:bookmarkStart w:id="7168" w:name="_Toc14122343"/>
      <w:bookmarkStart w:id="7169" w:name="_Toc14196325"/>
      <w:bookmarkStart w:id="7170" w:name="_Toc14208870"/>
      <w:bookmarkEnd w:id="7093"/>
      <w:bookmarkEnd w:id="7094"/>
      <w:bookmarkEnd w:id="7095"/>
      <w:bookmarkEnd w:id="7096"/>
      <w:bookmarkEnd w:id="7097"/>
      <w:r>
        <w:rPr>
          <w:rStyle w:val="af8"/>
          <w:rFonts w:hint="cs"/>
          <w:rtl/>
        </w:rPr>
        <w:t>ו</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קמ"ב] ד"ה ונראה דהם מפרשים)</w:t>
      </w:r>
      <w:r w:rsidRPr="007E0C12">
        <w:rPr>
          <w:rStyle w:val="af6"/>
          <w:rFonts w:eastAsia="Guttman Hodes"/>
          <w:rtl/>
        </w:rPr>
        <w:t xml:space="preserve"> </w:t>
      </w:r>
      <w:r>
        <w:rPr>
          <w:rStyle w:val="af8"/>
          <w:rFonts w:hint="cs"/>
          <w:rtl/>
        </w:rPr>
        <w:t xml:space="preserve">דהראב"ד </w:t>
      </w:r>
      <w:r>
        <w:rPr>
          <w:rFonts w:hint="cs"/>
          <w:rtl/>
        </w:rPr>
        <w:t xml:space="preserve">ביאר ס"ל כדעת </w:t>
      </w:r>
      <w:r w:rsidRPr="00BB36A0">
        <w:rPr>
          <w:rStyle w:val="af8"/>
          <w:rFonts w:hint="cs"/>
          <w:rtl/>
        </w:rPr>
        <w:t>רש"י בפסחים</w:t>
      </w:r>
      <w:r>
        <w:rPr>
          <w:rFonts w:hint="cs"/>
          <w:rtl/>
        </w:rPr>
        <w:t xml:space="preserve"> </w:t>
      </w:r>
      <w:r w:rsidRPr="00611E63">
        <w:rPr>
          <w:rStyle w:val="af6"/>
          <w:rFonts w:eastAsia="Guttman Hodes" w:hint="cs"/>
          <w:rtl/>
        </w:rPr>
        <w:t xml:space="preserve">(עי' אות </w:t>
      </w:r>
      <w:r w:rsidRPr="00611E63">
        <w:rPr>
          <w:rStyle w:val="af6"/>
          <w:rFonts w:eastAsia="Guttman Hodes"/>
          <w:rtl/>
        </w:rPr>
        <w:fldChar w:fldCharType="begin"/>
      </w:r>
      <w:r w:rsidRPr="00611E63">
        <w:rPr>
          <w:rStyle w:val="af6"/>
          <w:rFonts w:eastAsia="Guttman Hodes"/>
          <w:rtl/>
        </w:rPr>
        <w:instrText xml:space="preserve"> </w:instrText>
      </w:r>
      <w:r w:rsidRPr="00611E63">
        <w:rPr>
          <w:rStyle w:val="af6"/>
          <w:rFonts w:eastAsia="Guttman Hodes" w:hint="cs"/>
        </w:rPr>
        <w:instrText>REF</w:instrText>
      </w:r>
      <w:r w:rsidRPr="00611E63">
        <w:rPr>
          <w:rStyle w:val="af6"/>
          <w:rFonts w:eastAsia="Guttman Hodes" w:hint="cs"/>
          <w:rtl/>
        </w:rPr>
        <w:instrText xml:space="preserve"> _</w:instrText>
      </w:r>
      <w:r w:rsidRPr="00611E63">
        <w:rPr>
          <w:rStyle w:val="af6"/>
          <w:rFonts w:eastAsia="Guttman Hodes" w:hint="cs"/>
        </w:rPr>
        <w:instrText>Ref14106142 \r \h</w:instrText>
      </w:r>
      <w:r w:rsidRPr="00611E63">
        <w:rPr>
          <w:rStyle w:val="af6"/>
          <w:rFonts w:eastAsia="Guttman Hodes"/>
          <w:rtl/>
        </w:rPr>
        <w:instrText xml:space="preserve"> </w:instrText>
      </w:r>
      <w:r w:rsidRPr="00611E63">
        <w:rPr>
          <w:rStyle w:val="af6"/>
          <w:rFonts w:eastAsia="Guttman Hodes"/>
          <w:rtl/>
        </w:rPr>
      </w:r>
      <w:r w:rsidRPr="00611E63">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611E63">
        <w:rPr>
          <w:rStyle w:val="af6"/>
          <w:rFonts w:eastAsia="Guttman Hodes"/>
          <w:rtl/>
        </w:rPr>
        <w:fldChar w:fldCharType="end"/>
      </w:r>
      <w:r>
        <w:rPr>
          <w:rFonts w:hint="cs"/>
          <w:rtl/>
        </w:rPr>
        <w:t xml:space="preserve"> דבטעם כעיקר אמרינן דההיתר נהפך לאיסור, אלא דמה שהוקשה </w:t>
      </w:r>
      <w:r w:rsidRPr="00BB36A0">
        <w:rPr>
          <w:rStyle w:val="af8"/>
          <w:rFonts w:hint="cs"/>
          <w:rtl/>
        </w:rPr>
        <w:t>לרש"י בפסחים</w:t>
      </w:r>
      <w:r>
        <w:rPr>
          <w:rFonts w:hint="cs"/>
          <w:rtl/>
        </w:rPr>
        <w:t xml:space="preserve"> </w:t>
      </w:r>
      <w:r w:rsidRPr="007A1EDB">
        <w:rPr>
          <w:rStyle w:val="af6"/>
          <w:rFonts w:eastAsia="Guttman Hodes" w:hint="cs"/>
          <w:rtl/>
        </w:rPr>
        <w:t>(מה. ד"ה ור"ע)</w:t>
      </w:r>
      <w:r>
        <w:rPr>
          <w:rFonts w:hint="cs"/>
          <w:rtl/>
        </w:rPr>
        <w:t xml:space="preserve"> דמבואר מדברי רבנן דפליגי בכותח על ר"א דטעם כעיקר דרבנן דאין לוקין עליו, וכן מה שהוקשה </w:t>
      </w:r>
      <w:r w:rsidRPr="00980996">
        <w:rPr>
          <w:rStyle w:val="af8"/>
          <w:rFonts w:hint="cs"/>
          <w:rtl/>
        </w:rPr>
        <w:t>לרש"י בסוגיין</w:t>
      </w:r>
      <w:r w:rsidRPr="00611E63">
        <w:rPr>
          <w:rStyle w:val="af6"/>
          <w:rFonts w:eastAsia="Guttman Hodes" w:hint="cs"/>
          <w:rtl/>
        </w:rPr>
        <w:t xml:space="preserve"> (עי' אות </w:t>
      </w:r>
      <w:r w:rsidRPr="00611E63">
        <w:rPr>
          <w:rStyle w:val="af6"/>
          <w:rFonts w:eastAsia="Guttman Hodes"/>
          <w:rtl/>
        </w:rPr>
        <w:fldChar w:fldCharType="begin"/>
      </w:r>
      <w:r w:rsidRPr="00611E63">
        <w:rPr>
          <w:rStyle w:val="af6"/>
          <w:rFonts w:eastAsia="Guttman Hodes"/>
          <w:rtl/>
        </w:rPr>
        <w:instrText xml:space="preserve"> </w:instrText>
      </w:r>
      <w:r w:rsidRPr="00611E63">
        <w:rPr>
          <w:rStyle w:val="af6"/>
          <w:rFonts w:eastAsia="Guttman Hodes" w:hint="cs"/>
        </w:rPr>
        <w:instrText>REF</w:instrText>
      </w:r>
      <w:r w:rsidRPr="00611E63">
        <w:rPr>
          <w:rStyle w:val="af6"/>
          <w:rFonts w:eastAsia="Guttman Hodes" w:hint="cs"/>
          <w:rtl/>
        </w:rPr>
        <w:instrText xml:space="preserve"> _</w:instrText>
      </w:r>
      <w:r w:rsidRPr="00611E63">
        <w:rPr>
          <w:rStyle w:val="af6"/>
          <w:rFonts w:eastAsia="Guttman Hodes" w:hint="cs"/>
        </w:rPr>
        <w:instrText>Ref14106142 \r \h</w:instrText>
      </w:r>
      <w:r w:rsidRPr="00611E63">
        <w:rPr>
          <w:rStyle w:val="af6"/>
          <w:rFonts w:eastAsia="Guttman Hodes"/>
          <w:rtl/>
        </w:rPr>
        <w:instrText xml:space="preserve"> </w:instrText>
      </w:r>
      <w:r w:rsidRPr="00611E63">
        <w:rPr>
          <w:rStyle w:val="af6"/>
          <w:rFonts w:eastAsia="Guttman Hodes"/>
          <w:rtl/>
        </w:rPr>
      </w:r>
      <w:r w:rsidRPr="00611E63">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611E63">
        <w:rPr>
          <w:rStyle w:val="af6"/>
          <w:rFonts w:eastAsia="Guttman Hodes"/>
          <w:rtl/>
        </w:rPr>
        <w:fldChar w:fldCharType="end"/>
      </w:r>
      <w:r>
        <w:rPr>
          <w:rFonts w:hint="cs"/>
          <w:rtl/>
        </w:rPr>
        <w:t xml:space="preserve"> דמדברי ריו"ח בע"ז מבואר דאין לוקין על טעמו וממשו, ולכן פסק </w:t>
      </w:r>
      <w:r w:rsidRPr="00BB36A0">
        <w:rPr>
          <w:rStyle w:val="af8"/>
          <w:rFonts w:hint="cs"/>
          <w:rtl/>
        </w:rPr>
        <w:t>רש"י</w:t>
      </w:r>
      <w:r>
        <w:rPr>
          <w:rFonts w:hint="cs"/>
          <w:rtl/>
        </w:rPr>
        <w:t xml:space="preserve"> דטעם כעיקר דרבנן, בזה תירץ </w:t>
      </w:r>
      <w:r>
        <w:rPr>
          <w:rStyle w:val="af8"/>
          <w:rFonts w:hint="cs"/>
          <w:rtl/>
        </w:rPr>
        <w:t>הראב"ד</w:t>
      </w:r>
      <w:r>
        <w:rPr>
          <w:rFonts w:hint="cs"/>
          <w:rtl/>
        </w:rPr>
        <w:t xml:space="preserve"> דאף דטעם כעיקר דאו', מ"מ אין בו מלקות דהוא איסור עשה ואינו לאו, וא"כ אף לדעת </w:t>
      </w:r>
      <w:r>
        <w:rPr>
          <w:rFonts w:hint="cs"/>
          <w:rtl/>
        </w:rPr>
        <w:lastRenderedPageBreak/>
        <w:t xml:space="preserve">ריו"ח בע"ז ורבנן בכותח הבבלי טעם כעיקר דאו', ואין מ"ד דס"ל דטעם כעיקר דרבנן, וכן ביאר </w:t>
      </w:r>
      <w:r w:rsidRPr="00980996">
        <w:rPr>
          <w:rStyle w:val="af8"/>
          <w:rFonts w:hint="cs"/>
          <w:rtl/>
        </w:rPr>
        <w:t>הנחל"ד</w:t>
      </w:r>
      <w:r>
        <w:rPr>
          <w:rFonts w:hint="cs"/>
          <w:rtl/>
        </w:rPr>
        <w:t xml:space="preserve"> </w:t>
      </w:r>
      <w:r w:rsidRPr="008A6F64">
        <w:rPr>
          <w:rStyle w:val="af6"/>
          <w:rFonts w:eastAsia="Guttman Hodes" w:hint="cs"/>
          <w:rtl/>
        </w:rPr>
        <w:t xml:space="preserve">(עי' אות </w:t>
      </w:r>
      <w:r w:rsidRPr="008A6F64">
        <w:rPr>
          <w:rStyle w:val="af6"/>
          <w:rFonts w:eastAsia="Guttman Hodes"/>
          <w:rtl/>
        </w:rPr>
        <w:fldChar w:fldCharType="begin"/>
      </w:r>
      <w:r w:rsidRPr="008A6F64">
        <w:rPr>
          <w:rStyle w:val="af6"/>
          <w:rFonts w:eastAsia="Guttman Hodes"/>
          <w:rtl/>
        </w:rPr>
        <w:instrText xml:space="preserve"> </w:instrText>
      </w:r>
      <w:r w:rsidRPr="008A6F64">
        <w:rPr>
          <w:rStyle w:val="af6"/>
          <w:rFonts w:eastAsia="Guttman Hodes" w:hint="cs"/>
        </w:rPr>
        <w:instrText>REF</w:instrText>
      </w:r>
      <w:r w:rsidRPr="008A6F64">
        <w:rPr>
          <w:rStyle w:val="af6"/>
          <w:rFonts w:eastAsia="Guttman Hodes" w:hint="cs"/>
          <w:rtl/>
        </w:rPr>
        <w:instrText xml:space="preserve"> _</w:instrText>
      </w:r>
      <w:r w:rsidRPr="008A6F64">
        <w:rPr>
          <w:rStyle w:val="af6"/>
          <w:rFonts w:eastAsia="Guttman Hodes" w:hint="cs"/>
        </w:rPr>
        <w:instrText>Ref14252367 \r \h</w:instrText>
      </w:r>
      <w:r w:rsidRPr="008A6F64">
        <w:rPr>
          <w:rStyle w:val="af6"/>
          <w:rFonts w:eastAsia="Guttman Hodes"/>
          <w:rtl/>
        </w:rPr>
        <w:instrText xml:space="preserve"> </w:instrText>
      </w:r>
      <w:r w:rsidRPr="008A6F64">
        <w:rPr>
          <w:rStyle w:val="af6"/>
          <w:rFonts w:eastAsia="Guttman Hodes"/>
          <w:rtl/>
        </w:rPr>
      </w:r>
      <w:r w:rsidRPr="008A6F64">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8A6F64">
        <w:rPr>
          <w:rStyle w:val="af6"/>
          <w:rFonts w:eastAsia="Guttman Hodes"/>
          <w:rtl/>
        </w:rPr>
        <w:fldChar w:fldCharType="end"/>
      </w:r>
      <w:r>
        <w:rPr>
          <w:rFonts w:hint="cs"/>
          <w:rtl/>
        </w:rPr>
        <w:t xml:space="preserve"> בדעת </w:t>
      </w:r>
      <w:r w:rsidRPr="00980996">
        <w:rPr>
          <w:rStyle w:val="af8"/>
          <w:rFonts w:hint="cs"/>
          <w:rtl/>
        </w:rPr>
        <w:t>הר"י מאורליינש</w:t>
      </w:r>
      <w:r>
        <w:rPr>
          <w:rStyle w:val="af8"/>
          <w:rFonts w:hint="cs"/>
          <w:rtl/>
        </w:rPr>
        <w:t xml:space="preserve">, </w:t>
      </w:r>
      <w:r>
        <w:rPr>
          <w:rFonts w:hint="cs"/>
          <w:rtl/>
        </w:rPr>
        <w:t xml:space="preserve">ועי' בדברי </w:t>
      </w:r>
      <w:r w:rsidRPr="00367EC7">
        <w:rPr>
          <w:rStyle w:val="af8"/>
          <w:rFonts w:hint="cs"/>
          <w:rtl/>
        </w:rPr>
        <w:t>הקוב"ש</w:t>
      </w:r>
      <w:r>
        <w:rPr>
          <w:rFonts w:hint="cs"/>
          <w:rtl/>
        </w:rPr>
        <w:t xml:space="preserve"> </w:t>
      </w:r>
      <w:r w:rsidRPr="00C15691">
        <w:rPr>
          <w:rStyle w:val="af6"/>
          <w:rFonts w:eastAsia="Guttman Hodes" w:hint="cs"/>
          <w:rtl/>
        </w:rPr>
        <w:t xml:space="preserve">(עי' אות </w:t>
      </w:r>
      <w:r w:rsidRPr="00C15691">
        <w:rPr>
          <w:rStyle w:val="af6"/>
          <w:rFonts w:eastAsia="Guttman Hodes"/>
          <w:rtl/>
        </w:rPr>
        <w:fldChar w:fldCharType="begin"/>
      </w:r>
      <w:r w:rsidRPr="00C15691">
        <w:rPr>
          <w:rStyle w:val="af6"/>
          <w:rFonts w:eastAsia="Guttman Hodes"/>
          <w:rtl/>
        </w:rPr>
        <w:instrText xml:space="preserve"> </w:instrText>
      </w:r>
      <w:r w:rsidRPr="00C15691">
        <w:rPr>
          <w:rStyle w:val="af6"/>
          <w:rFonts w:eastAsia="Guttman Hodes" w:hint="cs"/>
        </w:rPr>
        <w:instrText>REF</w:instrText>
      </w:r>
      <w:r w:rsidRPr="00C15691">
        <w:rPr>
          <w:rStyle w:val="af6"/>
          <w:rFonts w:eastAsia="Guttman Hodes" w:hint="cs"/>
          <w:rtl/>
        </w:rPr>
        <w:instrText xml:space="preserve"> _</w:instrText>
      </w:r>
      <w:r w:rsidRPr="00C15691">
        <w:rPr>
          <w:rStyle w:val="af6"/>
          <w:rFonts w:eastAsia="Guttman Hodes" w:hint="cs"/>
        </w:rPr>
        <w:instrText>Ref14255051 \r \h</w:instrText>
      </w:r>
      <w:r w:rsidRPr="00C15691">
        <w:rPr>
          <w:rStyle w:val="af6"/>
          <w:rFonts w:eastAsia="Guttman Hodes"/>
          <w:rtl/>
        </w:rPr>
        <w:instrText xml:space="preserve"> </w:instrText>
      </w:r>
      <w:r w:rsidRPr="00C15691">
        <w:rPr>
          <w:rStyle w:val="af6"/>
          <w:rFonts w:eastAsia="Guttman Hodes"/>
          <w:rtl/>
        </w:rPr>
      </w:r>
      <w:r w:rsidRPr="00C15691">
        <w:rPr>
          <w:rStyle w:val="af6"/>
          <w:rFonts w:eastAsia="Guttman Hodes"/>
          <w:rtl/>
        </w:rPr>
        <w:fldChar w:fldCharType="separate"/>
      </w:r>
      <w:r w:rsidR="004D1C5B">
        <w:rPr>
          <w:rStyle w:val="af6"/>
          <w:rFonts w:eastAsia="Guttman Hodes"/>
          <w:cs/>
        </w:rPr>
        <w:t>‎</w:t>
      </w:r>
      <w:r w:rsidR="004D1C5B">
        <w:rPr>
          <w:rStyle w:val="af6"/>
          <w:rFonts w:eastAsia="Guttman Hodes"/>
          <w:rtl/>
        </w:rPr>
        <w:t>קכה)</w:t>
      </w:r>
      <w:r w:rsidRPr="00C15691">
        <w:rPr>
          <w:rStyle w:val="af6"/>
          <w:rFonts w:eastAsia="Guttman Hodes"/>
          <w:rtl/>
        </w:rPr>
        <w:fldChar w:fldCharType="end"/>
      </w:r>
      <w:r>
        <w:rPr>
          <w:rFonts w:hint="cs"/>
          <w:rtl/>
        </w:rPr>
        <w:t xml:space="preserve"> דכתב דמשמע </w:t>
      </w:r>
      <w:r w:rsidRPr="00C15691">
        <w:rPr>
          <w:rStyle w:val="af8"/>
          <w:rFonts w:hint="cs"/>
          <w:rtl/>
        </w:rPr>
        <w:t>בראב"ד</w:t>
      </w:r>
      <w:r>
        <w:rPr>
          <w:rFonts w:hint="cs"/>
          <w:rtl/>
        </w:rPr>
        <w:t xml:space="preserve"> דבטעם כעיקר אמרינן נהפך.</w:t>
      </w:r>
      <w:bookmarkEnd w:id="7164"/>
    </w:p>
    <w:p w:rsidR="00F34A57" w:rsidRPr="009D5436" w:rsidRDefault="00F34A57" w:rsidP="00F34A57">
      <w:pPr>
        <w:pStyle w:val="a2"/>
        <w:rPr>
          <w:rtl/>
        </w:rPr>
      </w:pPr>
      <w:bookmarkStart w:id="7171" w:name="_Toc14257490"/>
      <w:r>
        <w:rPr>
          <w:rFonts w:hint="cs"/>
          <w:rtl/>
        </w:rPr>
        <w:t>דברי הנחל"ד דכשיש בתעורבת רק טעם ואין ממשות אסור מדאו' אך אין לוקין אף בכזית בכא"פ</w:t>
      </w:r>
      <w:bookmarkEnd w:id="7171"/>
    </w:p>
    <w:p w:rsidR="00F34A57" w:rsidRDefault="00F34A57" w:rsidP="009F44AF">
      <w:pPr>
        <w:pStyle w:val="a"/>
        <w:rPr>
          <w:rtl/>
        </w:rPr>
      </w:pPr>
      <w:bookmarkStart w:id="7172" w:name="_Ref14252348"/>
      <w:r>
        <w:rPr>
          <w:rFonts w:hint="cs"/>
          <w:rtl/>
        </w:rPr>
        <w:t>וכתב</w:t>
      </w:r>
      <w:r w:rsidRPr="007E0C12">
        <w:rPr>
          <w:rFonts w:hint="cs"/>
          <w:rtl/>
        </w:rPr>
        <w:t xml:space="preserve"> </w:t>
      </w:r>
      <w:r w:rsidRPr="007E0C12">
        <w:rPr>
          <w:rStyle w:val="af8"/>
          <w:rtl/>
        </w:rPr>
        <w:t>הנחל"ד</w:t>
      </w:r>
      <w:r>
        <w:rPr>
          <w:rStyle w:val="af6"/>
          <w:rFonts w:eastAsia="Guttman Hodes" w:hint="cs"/>
          <w:rtl/>
        </w:rPr>
        <w:t xml:space="preserve"> </w:t>
      </w:r>
      <w:r w:rsidRPr="00683EDB">
        <w:rPr>
          <w:rFonts w:hint="cs"/>
          <w:rtl/>
        </w:rPr>
        <w:t>דכי</w:t>
      </w:r>
      <w:r>
        <w:rPr>
          <w:rFonts w:hint="cs"/>
          <w:rtl/>
        </w:rPr>
        <w:t xml:space="preserve">ון דכתב </w:t>
      </w:r>
      <w:r w:rsidRPr="00C44730">
        <w:rPr>
          <w:rStyle w:val="af8"/>
          <w:rFonts w:hint="cs"/>
          <w:rtl/>
        </w:rPr>
        <w:t>הראב"ד בהשג'</w:t>
      </w:r>
      <w:r>
        <w:rPr>
          <w:rFonts w:hint="cs"/>
          <w:rtl/>
        </w:rPr>
        <w:t xml:space="preserve"> </w:t>
      </w:r>
      <w:r w:rsidRPr="00B2134D">
        <w:rPr>
          <w:rStyle w:val="af6"/>
          <w:rFonts w:eastAsia="Guttman Hodes" w:hint="cs"/>
          <w:rtl/>
        </w:rPr>
        <w:t>(ע</w:t>
      </w:r>
      <w:r w:rsidRPr="008E2993">
        <w:rPr>
          <w:rStyle w:val="af6"/>
          <w:rFonts w:eastAsia="Guttman Hodes" w:hint="cs"/>
          <w:rtl/>
        </w:rPr>
        <w:t xml:space="preserve">י' אות </w:t>
      </w:r>
      <w:r w:rsidRPr="008E2993">
        <w:rPr>
          <w:rStyle w:val="af6"/>
          <w:rFonts w:eastAsia="Guttman Hodes"/>
          <w:rtl/>
        </w:rPr>
        <w:fldChar w:fldCharType="begin"/>
      </w:r>
      <w:r w:rsidRPr="008E2993">
        <w:rPr>
          <w:rStyle w:val="af6"/>
          <w:rFonts w:eastAsia="Guttman Hodes"/>
          <w:rtl/>
        </w:rPr>
        <w:instrText xml:space="preserve"> </w:instrText>
      </w:r>
      <w:r w:rsidRPr="008E2993">
        <w:rPr>
          <w:rStyle w:val="af6"/>
          <w:rFonts w:eastAsia="Guttman Hodes" w:hint="cs"/>
        </w:rPr>
        <w:instrText>REF</w:instrText>
      </w:r>
      <w:r w:rsidRPr="008E2993">
        <w:rPr>
          <w:rStyle w:val="af6"/>
          <w:rFonts w:eastAsia="Guttman Hodes" w:hint="cs"/>
          <w:rtl/>
        </w:rPr>
        <w:instrText xml:space="preserve"> _</w:instrText>
      </w:r>
      <w:r w:rsidRPr="008E2993">
        <w:rPr>
          <w:rStyle w:val="af6"/>
          <w:rFonts w:eastAsia="Guttman Hodes" w:hint="cs"/>
        </w:rPr>
        <w:instrText>Ref14244863 \r \h</w:instrText>
      </w:r>
      <w:r w:rsidRPr="008E2993">
        <w:rPr>
          <w:rStyle w:val="af6"/>
          <w:rFonts w:eastAsia="Guttman Hodes"/>
          <w:rtl/>
        </w:rPr>
        <w:instrText xml:space="preserve"> </w:instrText>
      </w:r>
      <w:r w:rsidRPr="008E2993">
        <w:rPr>
          <w:rStyle w:val="af6"/>
          <w:rFonts w:eastAsia="Guttman Hodes"/>
          <w:rtl/>
        </w:rPr>
      </w:r>
      <w:r w:rsidRPr="008E2993">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8E2993">
        <w:rPr>
          <w:rStyle w:val="af6"/>
          <w:rFonts w:eastAsia="Guttman Hodes"/>
          <w:rtl/>
        </w:rPr>
        <w:fldChar w:fldCharType="end"/>
      </w:r>
      <w:r>
        <w:rPr>
          <w:rFonts w:hint="cs"/>
          <w:rtl/>
        </w:rPr>
        <w:t xml:space="preserve"> דבעיסת אורז איירי שאכל כזית דגן בכדי אכילת פרס, ורק בכה"ג יצא יד"ח מצה, א"כ מבואר דבמקום שיש בתערובת רק טעם ואין את ממשו של האיסור, אף אם אכל מהטעם כזית בכדי אכילת פרס אינו לוקה, אך הוא אסור מדאו', כדס"ל </w:t>
      </w:r>
      <w:r w:rsidRPr="00980996">
        <w:rPr>
          <w:rStyle w:val="af8"/>
          <w:rFonts w:hint="cs"/>
          <w:rtl/>
        </w:rPr>
        <w:t>להראב"ד</w:t>
      </w:r>
      <w:r>
        <w:rPr>
          <w:rFonts w:hint="cs"/>
          <w:rtl/>
        </w:rPr>
        <w:t xml:space="preserve"> דאף בפחות מכזית בכדי אכילת פרס אסור מדאו' ואין לוקין עליו, ורק בטעמו וממשו לוקין בכזית בכדי אכילת פרס, וכשאכל מהאיסור עצמו כזית בכדי אכילת פרס.</w:t>
      </w:r>
      <w:bookmarkEnd w:id="7172"/>
    </w:p>
    <w:p w:rsidR="00F34A57" w:rsidRPr="00D44698" w:rsidRDefault="00F34A57" w:rsidP="00F34A57">
      <w:pPr>
        <w:pStyle w:val="a2"/>
        <w:rPr>
          <w:rtl/>
        </w:rPr>
      </w:pPr>
      <w:bookmarkStart w:id="7173" w:name="_Toc14257491"/>
      <w:r>
        <w:rPr>
          <w:rFonts w:hint="cs"/>
          <w:rtl/>
        </w:rPr>
        <w:t>דברי הנחל"ד בראב"ד דצריך כזית בכא"פ דאף דנהפך מ"מ מוכח דאינו כממשו דאין לוקין בטעם</w:t>
      </w:r>
      <w:bookmarkEnd w:id="7173"/>
      <w:r>
        <w:rPr>
          <w:rFonts w:hint="cs"/>
          <w:rtl/>
        </w:rPr>
        <w:t xml:space="preserve"> </w:t>
      </w:r>
    </w:p>
    <w:p w:rsidR="00F34A57" w:rsidRPr="005159FA" w:rsidRDefault="00F34A57" w:rsidP="009F44AF">
      <w:pPr>
        <w:pStyle w:val="a"/>
        <w:rPr>
          <w:rtl/>
        </w:rPr>
      </w:pPr>
      <w:r>
        <w:rPr>
          <w:rFonts w:hint="cs"/>
          <w:rtl/>
        </w:rPr>
        <w:t xml:space="preserve">וכתב </w:t>
      </w:r>
      <w:r w:rsidRPr="00BB36A0">
        <w:rPr>
          <w:rStyle w:val="af8"/>
          <w:rFonts w:hint="cs"/>
          <w:rtl/>
        </w:rPr>
        <w:t>הנחל"ד</w:t>
      </w:r>
      <w:r>
        <w:rPr>
          <w:rFonts w:hint="cs"/>
          <w:rtl/>
        </w:rPr>
        <w:t xml:space="preserve"> דהא דס"ל </w:t>
      </w:r>
      <w:r>
        <w:rPr>
          <w:rStyle w:val="af8"/>
          <w:rFonts w:hint="cs"/>
          <w:rtl/>
        </w:rPr>
        <w:t>להראב"ד</w:t>
      </w:r>
      <w:r>
        <w:rPr>
          <w:rFonts w:hint="cs"/>
          <w:rtl/>
        </w:rPr>
        <w:t xml:space="preserve"> דבעיסת אורז יצא יד"ח מצה רק כשיש כזית דגן בכדי אכילת פרס, ואכל מהכזית דגן עצמו, הוא אעפ"י דס"ל </w:t>
      </w:r>
      <w:r>
        <w:rPr>
          <w:rStyle w:val="af8"/>
          <w:rFonts w:hint="cs"/>
          <w:rtl/>
        </w:rPr>
        <w:t>להראב"ד</w:t>
      </w:r>
      <w:r>
        <w:rPr>
          <w:rFonts w:hint="cs"/>
          <w:rtl/>
        </w:rPr>
        <w:t xml:space="preserve"> דבטעם כעיקר נהפך ההיתר לאיסור, אך מ"מ א"א לומר דמדין נהפך יוצא ידי חובת מצה והעיסה מתחייבת בחלה, דהא כיון דאין לוקין על טעם כעיקר, א"כ מוכח דהטעם אינו כמו ממשו לגמרי, ובשביל לצאת יד"ח מצה צריך לאכול כזית דגן, ולכן רק כשאכל כזית בכדי אכילת פרס מהדגן עצמו, יצא יד"ח מצה.</w:t>
      </w:r>
    </w:p>
    <w:p w:rsidR="00F34A57" w:rsidRDefault="00F34A57" w:rsidP="00F34A57">
      <w:pPr>
        <w:pStyle w:val="a2"/>
        <w:rPr>
          <w:rtl/>
        </w:rPr>
      </w:pPr>
      <w:bookmarkStart w:id="7174" w:name="_Toc14257492"/>
      <w:r>
        <w:rPr>
          <w:rFonts w:hint="cs"/>
          <w:rtl/>
        </w:rPr>
        <w:t>דברי הנחל"ד דלהרשב"א בראב"ד לוקין על טעם בכזית בכא"פ מסברא דהוא כממשו ולא מילפותא</w:t>
      </w:r>
      <w:bookmarkEnd w:id="7174"/>
    </w:p>
    <w:p w:rsidR="00F34A57" w:rsidRDefault="00F34A57" w:rsidP="009F44AF">
      <w:pPr>
        <w:pStyle w:val="a"/>
        <w:rPr>
          <w:rtl/>
        </w:rPr>
      </w:pPr>
      <w:bookmarkStart w:id="7175" w:name="_Ref14249273"/>
      <w:r>
        <w:rPr>
          <w:rFonts w:hint="cs"/>
          <w:rtl/>
        </w:rPr>
        <w:t xml:space="preserve">אך הביא </w:t>
      </w:r>
      <w:r w:rsidRPr="00980996">
        <w:rPr>
          <w:rStyle w:val="af8"/>
          <w:rFonts w:hint="cs"/>
          <w:rtl/>
        </w:rPr>
        <w:t>הנחל"ד</w:t>
      </w:r>
      <w:r>
        <w:rPr>
          <w:rFonts w:hint="cs"/>
          <w:rtl/>
        </w:rPr>
        <w:t xml:space="preserve"> את דברי </w:t>
      </w:r>
      <w:r w:rsidRPr="00980996">
        <w:rPr>
          <w:rStyle w:val="af8"/>
          <w:rFonts w:hint="cs"/>
          <w:rtl/>
        </w:rPr>
        <w:t xml:space="preserve">הרשב"א </w:t>
      </w:r>
      <w:r w:rsidRPr="003108B7">
        <w:rPr>
          <w:rStyle w:val="af8"/>
          <w:rFonts w:hint="cs"/>
          <w:rtl/>
        </w:rPr>
        <w:t>בתוה"ב</w:t>
      </w:r>
      <w:r>
        <w:rPr>
          <w:rStyle w:val="af8"/>
          <w:rFonts w:hint="cs"/>
          <w:rtl/>
        </w:rPr>
        <w:t xml:space="preserve"> </w:t>
      </w:r>
      <w:r w:rsidRPr="008B3BF3">
        <w:rPr>
          <w:rStyle w:val="af6"/>
          <w:rFonts w:eastAsia="Guttman Hodes" w:hint="cs"/>
          <w:rtl/>
        </w:rPr>
        <w:t xml:space="preserve">(עי' אות </w:t>
      </w:r>
      <w:r w:rsidRPr="008B3BF3">
        <w:rPr>
          <w:rStyle w:val="af6"/>
          <w:rFonts w:eastAsia="Guttman Hodes"/>
          <w:rtl/>
        </w:rPr>
        <w:fldChar w:fldCharType="begin"/>
      </w:r>
      <w:r w:rsidRPr="008B3BF3">
        <w:rPr>
          <w:rStyle w:val="af6"/>
          <w:rFonts w:eastAsia="Guttman Hodes"/>
          <w:rtl/>
        </w:rPr>
        <w:instrText xml:space="preserve"> </w:instrText>
      </w:r>
      <w:r w:rsidRPr="008B3BF3">
        <w:rPr>
          <w:rStyle w:val="af6"/>
          <w:rFonts w:eastAsia="Guttman Hodes" w:hint="cs"/>
        </w:rPr>
        <w:instrText>REF</w:instrText>
      </w:r>
      <w:r w:rsidRPr="008B3BF3">
        <w:rPr>
          <w:rStyle w:val="af6"/>
          <w:rFonts w:eastAsia="Guttman Hodes" w:hint="cs"/>
          <w:rtl/>
        </w:rPr>
        <w:instrText xml:space="preserve"> _</w:instrText>
      </w:r>
      <w:r w:rsidRPr="008B3BF3">
        <w:rPr>
          <w:rStyle w:val="af6"/>
          <w:rFonts w:eastAsia="Guttman Hodes" w:hint="cs"/>
        </w:rPr>
        <w:instrText>Ref14249145 \r \h</w:instrText>
      </w:r>
      <w:r w:rsidRPr="008B3BF3">
        <w:rPr>
          <w:rStyle w:val="af6"/>
          <w:rFonts w:eastAsia="Guttman Hodes"/>
          <w:rtl/>
        </w:rPr>
        <w:instrText xml:space="preserve"> </w:instrText>
      </w:r>
      <w:r w:rsidRPr="008B3BF3">
        <w:rPr>
          <w:rStyle w:val="af6"/>
          <w:rFonts w:eastAsia="Guttman Hodes"/>
          <w:rtl/>
        </w:rPr>
      </w:r>
      <w:r w:rsidRPr="008B3BF3">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8B3BF3">
        <w:rPr>
          <w:rStyle w:val="af6"/>
          <w:rFonts w:eastAsia="Guttman Hodes"/>
          <w:rtl/>
        </w:rPr>
        <w:fldChar w:fldCharType="end"/>
      </w:r>
      <w:r>
        <w:rPr>
          <w:rFonts w:hint="cs"/>
          <w:rtl/>
        </w:rPr>
        <w:t xml:space="preserve"> בשם </w:t>
      </w:r>
      <w:r w:rsidRPr="00980996">
        <w:rPr>
          <w:rStyle w:val="af8"/>
          <w:rFonts w:hint="cs"/>
          <w:rtl/>
        </w:rPr>
        <w:t>הראב"ד</w:t>
      </w:r>
      <w:r>
        <w:rPr>
          <w:rFonts w:hint="cs"/>
          <w:rtl/>
        </w:rPr>
        <w:t xml:space="preserve"> דכתב דבכזית בכדי אכילת פרס כל שאכל כזית מהאיסור עצמו לוקה, וכתב </w:t>
      </w:r>
      <w:r w:rsidRPr="00980996">
        <w:rPr>
          <w:rStyle w:val="af8"/>
          <w:rFonts w:hint="cs"/>
          <w:rtl/>
        </w:rPr>
        <w:t>הנחל"ד</w:t>
      </w:r>
      <w:r>
        <w:rPr>
          <w:rFonts w:hint="cs"/>
          <w:rtl/>
        </w:rPr>
        <w:t xml:space="preserve"> דמשמע מדברי </w:t>
      </w:r>
      <w:r w:rsidRPr="00980996">
        <w:rPr>
          <w:rStyle w:val="af8"/>
          <w:rFonts w:hint="cs"/>
          <w:rtl/>
        </w:rPr>
        <w:t>הרשב"א</w:t>
      </w:r>
      <w:r>
        <w:rPr>
          <w:rFonts w:hint="cs"/>
          <w:rtl/>
        </w:rPr>
        <w:t xml:space="preserve"> דאף באופן שאכל כזית רק מהטעם ולא מהממשות של האיסור לוקה עליו, כיון דחילק </w:t>
      </w:r>
      <w:r w:rsidRPr="00980996">
        <w:rPr>
          <w:rStyle w:val="af8"/>
          <w:rFonts w:hint="cs"/>
          <w:rtl/>
        </w:rPr>
        <w:t>הרשב"א</w:t>
      </w:r>
      <w:r>
        <w:rPr>
          <w:rFonts w:hint="cs"/>
          <w:rtl/>
        </w:rPr>
        <w:t xml:space="preserve"> רק בין כזית לפחות מכזית, ולא חילק בין טעמו לממשו, והקשה </w:t>
      </w:r>
      <w:r w:rsidRPr="00980996">
        <w:rPr>
          <w:rStyle w:val="af8"/>
          <w:rFonts w:hint="cs"/>
          <w:rtl/>
        </w:rPr>
        <w:t>הנחל"ד</w:t>
      </w:r>
      <w:r>
        <w:rPr>
          <w:rFonts w:hint="cs"/>
          <w:rtl/>
        </w:rPr>
        <w:t xml:space="preserve"> דא"כ צ"ל דמסברא אמרינן דכל שיש טעם מרובה כ"כ עד שהוא בשיעור כזית בכדי אכילת פרס לוקין עליו, דהא א"א ללומדו ממשרת או מגיעולי עכו"ם, דאין לוקין על הקשות וק"ו, ומוכח דהוא סברא דבכה"ג חשיב הטעם כממשות.</w:t>
      </w:r>
      <w:bookmarkEnd w:id="7175"/>
    </w:p>
    <w:p w:rsidR="00F34A57" w:rsidRPr="00980996" w:rsidRDefault="00F34A57" w:rsidP="00F34A57">
      <w:pPr>
        <w:pStyle w:val="a2"/>
      </w:pPr>
      <w:bookmarkStart w:id="7176" w:name="_Toc14257493"/>
      <w:r>
        <w:rPr>
          <w:rFonts w:hint="cs"/>
          <w:rtl/>
        </w:rPr>
        <w:t>קושית הנחל"ד על הרשב"א דמסברא אין חילוק בין מקצת טעם דאין לוקין להרבה טעם</w:t>
      </w:r>
      <w:bookmarkEnd w:id="7176"/>
    </w:p>
    <w:p w:rsidR="00AB5ACD" w:rsidRDefault="00F34A57" w:rsidP="009F44AF">
      <w:pPr>
        <w:pStyle w:val="a"/>
        <w:rPr>
          <w:rtl/>
        </w:rPr>
      </w:pPr>
      <w:r>
        <w:rPr>
          <w:rFonts w:hint="cs"/>
          <w:rtl/>
        </w:rPr>
        <w:t xml:space="preserve">והקשה </w:t>
      </w:r>
      <w:r w:rsidRPr="00980996">
        <w:rPr>
          <w:rStyle w:val="af8"/>
          <w:rFonts w:hint="cs"/>
          <w:rtl/>
        </w:rPr>
        <w:t>הנחל"ד</w:t>
      </w:r>
      <w:r>
        <w:rPr>
          <w:rFonts w:hint="cs"/>
          <w:rtl/>
        </w:rPr>
        <w:t xml:space="preserve"> דברי </w:t>
      </w:r>
      <w:r w:rsidRPr="00980996">
        <w:rPr>
          <w:rStyle w:val="af8"/>
          <w:rFonts w:hint="cs"/>
          <w:rtl/>
        </w:rPr>
        <w:t>הרשב"א</w:t>
      </w:r>
      <w:r w:rsidRPr="009C2607">
        <w:rPr>
          <w:rFonts w:hint="cs"/>
          <w:rtl/>
        </w:rPr>
        <w:t xml:space="preserve"> </w:t>
      </w:r>
      <w:r>
        <w:rPr>
          <w:rFonts w:hint="cs"/>
          <w:rtl/>
        </w:rPr>
        <w:t xml:space="preserve">בשם </w:t>
      </w:r>
      <w:r w:rsidRPr="00980996">
        <w:rPr>
          <w:rStyle w:val="af8"/>
          <w:rFonts w:hint="cs"/>
          <w:rtl/>
        </w:rPr>
        <w:t>הראב"ד</w:t>
      </w:r>
      <w:r w:rsidRPr="009C2607">
        <w:rPr>
          <w:rFonts w:hint="cs"/>
          <w:rtl/>
        </w:rPr>
        <w:t xml:space="preserve"> </w:t>
      </w:r>
      <w:r>
        <w:rPr>
          <w:rFonts w:hint="cs"/>
          <w:rtl/>
        </w:rPr>
        <w:t>דאינו סברא פשוטה כ"כ לומר דלוקה על טעם כשאין ילפותא דהטעם חשיב כעיקר לענין מלקות, ואדרבה מסברא יותר נראה לומר דכיון שההית ממילא נהפך לאיסור, א"כ א"א לחלק בין מקצת טעם שהוא פחות מכדי אכילת פרס, לטעם מרובה.</w:t>
      </w:r>
    </w:p>
    <w:p w:rsidR="00F34A57" w:rsidRPr="009C2607" w:rsidRDefault="00F34A57" w:rsidP="00F34A57">
      <w:pPr>
        <w:pStyle w:val="a2"/>
      </w:pPr>
      <w:bookmarkStart w:id="7177" w:name="_Toc14257494"/>
      <w:r>
        <w:rPr>
          <w:rFonts w:hint="cs"/>
          <w:rtl/>
        </w:rPr>
        <w:t>קושית הנחל"ד דכיון דס"ל להראב"ד דאמרינן נהפך א"כ מוכח דמסברא אין איסור בטעם עצמו</w:t>
      </w:r>
      <w:bookmarkEnd w:id="7177"/>
    </w:p>
    <w:p w:rsidR="00F34A57" w:rsidRDefault="00F34A57" w:rsidP="009F44AF">
      <w:pPr>
        <w:pStyle w:val="a"/>
        <w:rPr>
          <w:rtl/>
        </w:rPr>
      </w:pPr>
      <w:r>
        <w:rPr>
          <w:rFonts w:hint="cs"/>
          <w:rtl/>
        </w:rPr>
        <w:t xml:space="preserve">ועוד הקשה </w:t>
      </w:r>
      <w:r w:rsidRPr="00980996">
        <w:rPr>
          <w:rStyle w:val="af8"/>
          <w:rFonts w:hint="cs"/>
          <w:rtl/>
        </w:rPr>
        <w:t>הנחל"ד</w:t>
      </w:r>
      <w:r>
        <w:rPr>
          <w:rFonts w:hint="cs"/>
          <w:rtl/>
        </w:rPr>
        <w:t xml:space="preserve"> דכיון דס"ל </w:t>
      </w:r>
      <w:r w:rsidRPr="00980996">
        <w:rPr>
          <w:rStyle w:val="af8"/>
          <w:rFonts w:hint="cs"/>
          <w:rtl/>
        </w:rPr>
        <w:t>להראב"ד</w:t>
      </w:r>
      <w:r>
        <w:rPr>
          <w:rFonts w:hint="cs"/>
          <w:rtl/>
        </w:rPr>
        <w:t xml:space="preserve"> </w:t>
      </w:r>
      <w:r w:rsidRPr="00980996">
        <w:rPr>
          <w:rStyle w:val="af6"/>
          <w:rFonts w:eastAsia="Guttman Hodes" w:hint="cs"/>
          <w:rtl/>
        </w:rPr>
        <w:t xml:space="preserve">(עי' אות </w:t>
      </w:r>
      <w:r w:rsidRPr="00980996">
        <w:rPr>
          <w:rStyle w:val="af6"/>
          <w:rFonts w:eastAsia="Guttman Hodes"/>
          <w:highlight w:val="yellow"/>
          <w:rtl/>
        </w:rPr>
        <w:fldChar w:fldCharType="begin"/>
      </w:r>
      <w:r w:rsidRPr="00980996">
        <w:rPr>
          <w:rStyle w:val="af6"/>
          <w:rFonts w:eastAsia="Guttman Hodes"/>
          <w:rtl/>
        </w:rPr>
        <w:instrText xml:space="preserve"> </w:instrText>
      </w:r>
      <w:r w:rsidRPr="00980996">
        <w:rPr>
          <w:rStyle w:val="af6"/>
          <w:rFonts w:eastAsia="Guttman Hodes" w:hint="cs"/>
        </w:rPr>
        <w:instrText>REF</w:instrText>
      </w:r>
      <w:r w:rsidRPr="00980996">
        <w:rPr>
          <w:rStyle w:val="af6"/>
          <w:rFonts w:eastAsia="Guttman Hodes" w:hint="cs"/>
          <w:rtl/>
        </w:rPr>
        <w:instrText xml:space="preserve"> _</w:instrText>
      </w:r>
      <w:r w:rsidRPr="00980996">
        <w:rPr>
          <w:rStyle w:val="af6"/>
          <w:rFonts w:eastAsia="Guttman Hodes" w:hint="cs"/>
        </w:rPr>
        <w:instrText>Ref14246678 \r \h</w:instrText>
      </w:r>
      <w:r w:rsidRPr="00980996">
        <w:rPr>
          <w:rStyle w:val="af6"/>
          <w:rFonts w:eastAsia="Guttman Hodes"/>
          <w:rtl/>
        </w:rPr>
        <w:instrText xml:space="preserve"> </w:instrText>
      </w:r>
      <w:r w:rsidRPr="00980996">
        <w:rPr>
          <w:rStyle w:val="af6"/>
          <w:rFonts w:eastAsia="Guttman Hodes"/>
          <w:highlight w:val="yellow"/>
          <w:rtl/>
        </w:rPr>
      </w:r>
      <w:r w:rsidRPr="00980996">
        <w:rPr>
          <w:rStyle w:val="af6"/>
          <w:rFonts w:eastAsia="Guttman Hodes"/>
          <w:highlight w:val="yellow"/>
          <w:rtl/>
        </w:rPr>
        <w:fldChar w:fldCharType="separate"/>
      </w:r>
      <w:r w:rsidR="004D1C5B">
        <w:rPr>
          <w:rStyle w:val="af6"/>
          <w:rFonts w:eastAsia="Guttman Hodes"/>
          <w:cs/>
        </w:rPr>
        <w:t>‎</w:t>
      </w:r>
      <w:r w:rsidR="004D1C5B">
        <w:rPr>
          <w:rStyle w:val="af6"/>
          <w:rFonts w:eastAsia="Guttman Hodes"/>
          <w:rtl/>
        </w:rPr>
        <w:t>פח)</w:t>
      </w:r>
      <w:r w:rsidRPr="00980996">
        <w:rPr>
          <w:rStyle w:val="af6"/>
          <w:rFonts w:eastAsia="Guttman Hodes"/>
          <w:highlight w:val="yellow"/>
          <w:rtl/>
        </w:rPr>
        <w:fldChar w:fldCharType="end"/>
      </w:r>
      <w:r>
        <w:rPr>
          <w:rFonts w:hint="cs"/>
          <w:rtl/>
        </w:rPr>
        <w:t xml:space="preserve"> דההיתר נהפך לאיסור, א"כ משמע דמסברא אין כל איסור בטעם עצמו, וכל מה שאפשר לאוסרו הוא רק מדין נהפך, </w:t>
      </w:r>
      <w:r w:rsidRPr="00980996">
        <w:rPr>
          <w:rStyle w:val="afa"/>
          <w:rFonts w:hint="cs"/>
          <w:rtl/>
        </w:rPr>
        <w:t>[דהממשות של ההיתר נאסרת],</w:t>
      </w:r>
      <w:r>
        <w:rPr>
          <w:rFonts w:hint="cs"/>
          <w:rtl/>
        </w:rPr>
        <w:t xml:space="preserve"> וא"כ לא שייך כזית בכדי אכילת פרס בטעם לבדו.</w:t>
      </w:r>
    </w:p>
    <w:p w:rsidR="00F34A57" w:rsidRDefault="00F34A57" w:rsidP="00F34A57">
      <w:pPr>
        <w:pStyle w:val="a2"/>
        <w:rPr>
          <w:rtl/>
        </w:rPr>
      </w:pPr>
      <w:bookmarkStart w:id="7178" w:name="_Toc14257495"/>
      <w:r>
        <w:rPr>
          <w:rFonts w:hint="cs"/>
          <w:rtl/>
        </w:rPr>
        <w:t>ביאור הנחל"ד בראב"ד דאין מלקות על טעם בלא ממשות אף ביותר מכזית בכא"פ</w:t>
      </w:r>
      <w:bookmarkEnd w:id="7178"/>
    </w:p>
    <w:p w:rsidR="00F34A57" w:rsidRPr="00AD4EA0" w:rsidRDefault="00F34A57" w:rsidP="009F44AF">
      <w:pPr>
        <w:pStyle w:val="a"/>
        <w:rPr>
          <w:rtl/>
        </w:rPr>
      </w:pPr>
      <w:r>
        <w:rPr>
          <w:rFonts w:hint="cs"/>
          <w:rtl/>
        </w:rPr>
        <w:t xml:space="preserve">אלא ביאר </w:t>
      </w:r>
      <w:r w:rsidRPr="00AD4EA0">
        <w:rPr>
          <w:rStyle w:val="af8"/>
          <w:rFonts w:hint="cs"/>
          <w:rtl/>
        </w:rPr>
        <w:t>הנחל"ד</w:t>
      </w:r>
      <w:r>
        <w:rPr>
          <w:rFonts w:hint="cs"/>
          <w:rtl/>
        </w:rPr>
        <w:t xml:space="preserve"> דאף לדעת </w:t>
      </w:r>
      <w:r w:rsidRPr="00AD4EA0">
        <w:rPr>
          <w:rStyle w:val="af8"/>
          <w:rFonts w:hint="cs"/>
          <w:rtl/>
        </w:rPr>
        <w:t>הראב"ד</w:t>
      </w:r>
      <w:r>
        <w:rPr>
          <w:rFonts w:hint="cs"/>
          <w:rtl/>
        </w:rPr>
        <w:t xml:space="preserve"> אין מלקות על הטעם לבדו, אף בטעם גדול שיש בו כזית בכדי אכילת פרס, ודוקא כשמעורב בתערובת טעמו וממשו של האיסור בכזית בכדי אכילת פרס, ואכל כזית מהאיסור עצמו, רק בכה"ג לוקין עליו, אבל בפחות מכזית בכדי אכילת פרס, ס"ל </w:t>
      </w:r>
      <w:r w:rsidRPr="00AD4EA0">
        <w:rPr>
          <w:rStyle w:val="af8"/>
          <w:rFonts w:hint="cs"/>
          <w:rtl/>
        </w:rPr>
        <w:t>להראב"ד</w:t>
      </w:r>
      <w:r>
        <w:rPr>
          <w:rFonts w:hint="cs"/>
          <w:rtl/>
        </w:rPr>
        <w:t xml:space="preserve"> דאף דההיתר נהפך לאיסור, וא"כ אכל כזית של איסור, מ"מ אין בו מלקות דאין לוקין על ההיקשות, אבל על הטעם עצמו ודאי שאין לוקין כלל.</w:t>
      </w:r>
    </w:p>
    <w:p w:rsidR="00F34A57" w:rsidRDefault="00F34A57" w:rsidP="00E669F8">
      <w:pPr>
        <w:pStyle w:val="afd"/>
        <w:rPr>
          <w:rtl/>
        </w:rPr>
      </w:pPr>
      <w:bookmarkStart w:id="7179" w:name="_Toc14248975"/>
      <w:bookmarkStart w:id="7180" w:name="_Toc14257496"/>
      <w:r>
        <w:rPr>
          <w:rFonts w:hint="cs"/>
          <w:rtl/>
        </w:rPr>
        <w:t xml:space="preserve">דעת הרשב"א </w:t>
      </w:r>
      <w:bookmarkEnd w:id="7165"/>
      <w:bookmarkEnd w:id="7166"/>
      <w:bookmarkEnd w:id="7167"/>
      <w:bookmarkEnd w:id="7168"/>
      <w:bookmarkEnd w:id="7169"/>
      <w:r>
        <w:rPr>
          <w:rFonts w:hint="cs"/>
          <w:rtl/>
        </w:rPr>
        <w:t>בעיסת אורז</w:t>
      </w:r>
      <w:bookmarkEnd w:id="7170"/>
      <w:bookmarkEnd w:id="7179"/>
      <w:bookmarkEnd w:id="7180"/>
    </w:p>
    <w:p w:rsidR="00F34A57" w:rsidRPr="000A1ED0" w:rsidRDefault="00F34A57" w:rsidP="00F34A57">
      <w:pPr>
        <w:pStyle w:val="1"/>
        <w:rPr>
          <w:rtl/>
        </w:rPr>
      </w:pPr>
      <w:r>
        <w:rPr>
          <w:rFonts w:hint="cs"/>
          <w:rtl/>
        </w:rPr>
        <w:t>דברי הרשב"א בפסקי חלה דבעיסת אורז יש כזית בכא"פ</w:t>
      </w:r>
    </w:p>
    <w:p w:rsidR="00F34A57" w:rsidRDefault="00F34A57" w:rsidP="00F34A57">
      <w:pPr>
        <w:pStyle w:val="a2"/>
        <w:rPr>
          <w:rtl/>
        </w:rPr>
      </w:pPr>
      <w:bookmarkStart w:id="7181" w:name="_Toc13952622"/>
      <w:bookmarkStart w:id="7182" w:name="_Toc14089995"/>
      <w:bookmarkStart w:id="7183" w:name="_Toc14109795"/>
      <w:bookmarkStart w:id="7184" w:name="_Toc14120170"/>
      <w:bookmarkStart w:id="7185" w:name="_Toc14122348"/>
      <w:bookmarkStart w:id="7186" w:name="_Toc14196299"/>
      <w:bookmarkStart w:id="7187" w:name="_Toc14208871"/>
      <w:bookmarkStart w:id="7188" w:name="_Toc14248976"/>
      <w:bookmarkStart w:id="7189" w:name="_Toc14257497"/>
      <w:r>
        <w:rPr>
          <w:rFonts w:hint="cs"/>
          <w:rtl/>
        </w:rPr>
        <w:t>דברי הרשב"א דדינה כעיסת חיטים רק כשיש מהחיטים כזית בכא"פ ואכל מהתערובת כזית בכא"פ</w:t>
      </w:r>
      <w:bookmarkEnd w:id="7181"/>
      <w:bookmarkEnd w:id="7182"/>
      <w:bookmarkEnd w:id="7183"/>
      <w:bookmarkEnd w:id="7184"/>
      <w:bookmarkEnd w:id="7185"/>
      <w:bookmarkEnd w:id="7186"/>
      <w:bookmarkEnd w:id="7187"/>
      <w:bookmarkEnd w:id="7188"/>
      <w:bookmarkEnd w:id="7189"/>
    </w:p>
    <w:p w:rsidR="00F34A57" w:rsidRDefault="00F34A57" w:rsidP="009F44AF">
      <w:pPr>
        <w:pStyle w:val="a"/>
        <w:rPr>
          <w:rStyle w:val="afa"/>
          <w:rtl/>
        </w:rPr>
      </w:pPr>
      <w:bookmarkStart w:id="7190" w:name="_Ref13949540"/>
      <w:r>
        <w:rPr>
          <w:rFonts w:hint="cs"/>
          <w:rtl/>
        </w:rPr>
        <w:t xml:space="preserve">כתב </w:t>
      </w:r>
      <w:r w:rsidRPr="00F35CBD">
        <w:rPr>
          <w:rStyle w:val="af8"/>
          <w:rFonts w:hint="cs"/>
          <w:rtl/>
        </w:rPr>
        <w:t>הרשב"א בפסקי חלה</w:t>
      </w:r>
      <w:r>
        <w:rPr>
          <w:rFonts w:hint="cs"/>
          <w:rtl/>
        </w:rPr>
        <w:t xml:space="preserve"> </w:t>
      </w:r>
      <w:r w:rsidRPr="00F35CBD">
        <w:rPr>
          <w:rStyle w:val="af6"/>
          <w:rFonts w:eastAsia="Guttman Hodes" w:hint="cs"/>
          <w:rtl/>
        </w:rPr>
        <w:t>(סוף שער א' ד"ה ומיהו)</w:t>
      </w:r>
      <w:r>
        <w:rPr>
          <w:rFonts w:hint="cs"/>
          <w:rtl/>
        </w:rPr>
        <w:t xml:space="preserve"> דכל הדין בעיסת אורז דיש לה טעם דגן, דדינה כדין עיסת חיטים, הוא דוקא בעושה עיסה מחיטים ואורז, כיון שהאורז נגרר אחר החיטים, אבל שאר מינים שאינם נגררים אחר חיטים, אין דינם כעיסת חיטים, וכתב </w:t>
      </w:r>
      <w:r w:rsidRPr="00F35CBD">
        <w:rPr>
          <w:rStyle w:val="af8"/>
          <w:rFonts w:hint="cs"/>
          <w:rtl/>
        </w:rPr>
        <w:t>הרשב"א בפסקי חלה</w:t>
      </w:r>
      <w:r>
        <w:rPr>
          <w:rFonts w:hint="cs"/>
          <w:rtl/>
        </w:rPr>
        <w:t xml:space="preserve"> </w:t>
      </w:r>
      <w:r w:rsidRPr="00F35CBD">
        <w:rPr>
          <w:rStyle w:val="af6"/>
          <w:rFonts w:eastAsia="Guttman Hodes" w:hint="cs"/>
          <w:rtl/>
        </w:rPr>
        <w:t>(סוף שער א' ד"ה והא דקתני)</w:t>
      </w:r>
      <w:r>
        <w:rPr>
          <w:rFonts w:hint="cs"/>
          <w:rtl/>
        </w:rPr>
        <w:t xml:space="preserve"> דהא דבעיסת אורז שיש בה טעם דגן יוצא בה יד"ח מצה בפסח, היינו דוקא כשיש בה כזית חיטים בכדי אכילת פרס, וכשאכל מהתערובת כזית בכדי אכילת פרס. </w:t>
      </w:r>
      <w:r>
        <w:rPr>
          <w:rStyle w:val="afa"/>
          <w:rFonts w:hint="cs"/>
          <w:rtl/>
        </w:rPr>
        <w:t xml:space="preserve">[ומשמע מדברי </w:t>
      </w:r>
      <w:r w:rsidRPr="004A6EF2">
        <w:rPr>
          <w:rStyle w:val="affa"/>
          <w:rFonts w:hint="cs"/>
          <w:rtl/>
        </w:rPr>
        <w:t>הרשב"א</w:t>
      </w:r>
      <w:r>
        <w:rPr>
          <w:rStyle w:val="afa"/>
          <w:rFonts w:hint="cs"/>
          <w:rtl/>
        </w:rPr>
        <w:t xml:space="preserve"> </w:t>
      </w:r>
      <w:r w:rsidRPr="00F35CBD">
        <w:rPr>
          <w:rStyle w:val="afa"/>
          <w:rFonts w:hint="cs"/>
          <w:rtl/>
        </w:rPr>
        <w:t xml:space="preserve">דדין נהפך </w:t>
      </w:r>
      <w:r>
        <w:rPr>
          <w:rStyle w:val="afa"/>
          <w:rFonts w:hint="cs"/>
          <w:rtl/>
        </w:rPr>
        <w:t>הוא רק ב</w:t>
      </w:r>
      <w:r w:rsidRPr="00F35CBD">
        <w:rPr>
          <w:rStyle w:val="afa"/>
          <w:rFonts w:hint="cs"/>
          <w:rtl/>
        </w:rPr>
        <w:t>כזית בכדי אכילת פרס, ולכן א"צ לאכול כזית מהחיטים, אך אפש"ל דהיינו דוקא מדין גרירה].</w:t>
      </w:r>
      <w:bookmarkEnd w:id="7190"/>
    </w:p>
    <w:p w:rsidR="00F34A57" w:rsidRPr="007241F7" w:rsidRDefault="00F34A57" w:rsidP="00F34A57">
      <w:pPr>
        <w:pStyle w:val="a2"/>
      </w:pPr>
      <w:bookmarkStart w:id="7191" w:name="_Toc14257498"/>
      <w:r>
        <w:rPr>
          <w:rFonts w:hint="cs"/>
          <w:rtl/>
        </w:rPr>
        <w:t>דברי הרשב"א בשם רבותיו דאף בפחות מכזית בכא"פ יש לעיסה דין עיסת חיטים</w:t>
      </w:r>
      <w:bookmarkEnd w:id="7191"/>
    </w:p>
    <w:p w:rsidR="00F34A57" w:rsidRDefault="00F34A57" w:rsidP="009F44AF">
      <w:pPr>
        <w:pStyle w:val="a"/>
        <w:rPr>
          <w:rtl/>
        </w:rPr>
      </w:pPr>
      <w:r>
        <w:rPr>
          <w:rFonts w:hint="cs"/>
          <w:rtl/>
        </w:rPr>
        <w:t xml:space="preserve">והביא </w:t>
      </w:r>
      <w:r w:rsidRPr="007241F7">
        <w:rPr>
          <w:rStyle w:val="af8"/>
          <w:rFonts w:hint="cs"/>
          <w:rtl/>
        </w:rPr>
        <w:t>הרשב"א בפסקי חלה</w:t>
      </w:r>
      <w:r>
        <w:rPr>
          <w:rFonts w:hint="cs"/>
          <w:rtl/>
        </w:rPr>
        <w:t xml:space="preserve"> בשם </w:t>
      </w:r>
      <w:r w:rsidRPr="007241F7">
        <w:rPr>
          <w:rStyle w:val="af8"/>
          <w:rFonts w:hint="cs"/>
          <w:rtl/>
        </w:rPr>
        <w:t>רבותיו</w:t>
      </w:r>
      <w:r>
        <w:rPr>
          <w:rFonts w:hint="cs"/>
          <w:rtl/>
        </w:rPr>
        <w:t xml:space="preserve"> </w:t>
      </w:r>
      <w:r w:rsidRPr="000F5760">
        <w:rPr>
          <w:rStyle w:val="afa"/>
          <w:rFonts w:hint="cs"/>
          <w:rtl/>
        </w:rPr>
        <w:t>[</w:t>
      </w:r>
      <w:r w:rsidRPr="000F5760">
        <w:rPr>
          <w:rStyle w:val="affa"/>
          <w:rFonts w:hint="cs"/>
          <w:rtl/>
        </w:rPr>
        <w:t>הרמב"ן</w:t>
      </w:r>
      <w:r w:rsidRPr="000F5760">
        <w:rPr>
          <w:rStyle w:val="afa"/>
          <w:rFonts w:hint="cs"/>
          <w:rtl/>
        </w:rPr>
        <w:t xml:space="preserve"> </w:t>
      </w:r>
      <w:r w:rsidRPr="00653D64">
        <w:rPr>
          <w:rStyle w:val="aff6"/>
          <w:rFonts w:hint="cs"/>
          <w:rtl/>
        </w:rPr>
        <w:t xml:space="preserve">(עי' אות </w:t>
      </w:r>
      <w:r w:rsidRPr="00653D64">
        <w:rPr>
          <w:rStyle w:val="aff6"/>
          <w:rtl/>
        </w:rPr>
        <w:fldChar w:fldCharType="begin"/>
      </w:r>
      <w:r w:rsidRPr="00653D64">
        <w:rPr>
          <w:rStyle w:val="aff6"/>
          <w:rtl/>
        </w:rPr>
        <w:instrText xml:space="preserve"> </w:instrText>
      </w:r>
      <w:r w:rsidRPr="00653D64">
        <w:rPr>
          <w:rStyle w:val="aff6"/>
          <w:rFonts w:hint="cs"/>
        </w:rPr>
        <w:instrText>REF</w:instrText>
      </w:r>
      <w:r w:rsidRPr="00653D64">
        <w:rPr>
          <w:rStyle w:val="aff6"/>
          <w:rFonts w:hint="cs"/>
          <w:rtl/>
        </w:rPr>
        <w:instrText xml:space="preserve"> _</w:instrText>
      </w:r>
      <w:r w:rsidRPr="00653D64">
        <w:rPr>
          <w:rStyle w:val="aff6"/>
          <w:rFonts w:hint="cs"/>
        </w:rPr>
        <w:instrText>Ref13772324 \r \h</w:instrText>
      </w:r>
      <w:r w:rsidRPr="00653D64">
        <w:rPr>
          <w:rStyle w:val="aff6"/>
          <w:rtl/>
        </w:rPr>
        <w:instrText xml:space="preserve"> </w:instrText>
      </w:r>
      <w:r w:rsidRPr="00653D64">
        <w:rPr>
          <w:rStyle w:val="aff6"/>
          <w:rtl/>
        </w:rPr>
      </w:r>
      <w:r w:rsidRPr="00653D64">
        <w:rPr>
          <w:rStyle w:val="aff6"/>
          <w:rtl/>
        </w:rPr>
        <w:fldChar w:fldCharType="separate"/>
      </w:r>
      <w:r w:rsidR="004D1C5B">
        <w:rPr>
          <w:rStyle w:val="aff6"/>
          <w:cs/>
        </w:rPr>
        <w:t>‎</w:t>
      </w:r>
      <w:r w:rsidR="004D1C5B">
        <w:rPr>
          <w:rStyle w:val="aff6"/>
          <w:rtl/>
        </w:rPr>
        <w:t>נג)</w:t>
      </w:r>
      <w:r w:rsidRPr="00653D64">
        <w:rPr>
          <w:rStyle w:val="aff6"/>
          <w:rtl/>
        </w:rPr>
        <w:fldChar w:fldCharType="end"/>
      </w:r>
      <w:r w:rsidRPr="000F5760">
        <w:rPr>
          <w:rStyle w:val="afa"/>
          <w:rFonts w:hint="cs"/>
          <w:rtl/>
        </w:rPr>
        <w:t>]</w:t>
      </w:r>
      <w:r>
        <w:rPr>
          <w:rStyle w:val="afa"/>
          <w:rFonts w:hint="cs"/>
          <w:rtl/>
        </w:rPr>
        <w:t>,</w:t>
      </w:r>
      <w:r w:rsidRPr="000F5760">
        <w:rPr>
          <w:rStyle w:val="afa"/>
          <w:rFonts w:hint="cs"/>
          <w:rtl/>
        </w:rPr>
        <w:t xml:space="preserve"> </w:t>
      </w:r>
      <w:r>
        <w:rPr>
          <w:rFonts w:hint="cs"/>
          <w:rtl/>
        </w:rPr>
        <w:t xml:space="preserve">דכתבו דאף כשיש בה חיטים בפחות מכזית בכדי אכילת פרס, דינה כדין עיסת חיטים, כל שיש בה טעם דגן, וכתב </w:t>
      </w:r>
      <w:r w:rsidRPr="007241F7">
        <w:rPr>
          <w:rStyle w:val="af8"/>
          <w:rFonts w:hint="cs"/>
          <w:rtl/>
        </w:rPr>
        <w:t>הרשב"א</w:t>
      </w:r>
      <w:r>
        <w:rPr>
          <w:rFonts w:hint="cs"/>
          <w:rtl/>
        </w:rPr>
        <w:t xml:space="preserve"> דהראשון נראה עיקר.</w:t>
      </w:r>
    </w:p>
    <w:p w:rsidR="00F34A57" w:rsidRPr="005B37BC" w:rsidRDefault="00F34A57" w:rsidP="00F34A57">
      <w:pPr>
        <w:pStyle w:val="a2"/>
        <w:rPr>
          <w:rtl/>
        </w:rPr>
      </w:pPr>
      <w:bookmarkStart w:id="7192" w:name="_Toc14257499"/>
      <w:r>
        <w:rPr>
          <w:rFonts w:hint="cs"/>
          <w:rtl/>
        </w:rPr>
        <w:t>ספק השער הציון ברשב"א אם צריך לאכול כזית מהחיטים עצמם או דסגי שיש שיעור כזית בכא"פ</w:t>
      </w:r>
      <w:bookmarkEnd w:id="7192"/>
    </w:p>
    <w:p w:rsidR="00F34A57" w:rsidRDefault="00F34A57" w:rsidP="009F44AF">
      <w:pPr>
        <w:pStyle w:val="a"/>
        <w:rPr>
          <w:rtl/>
        </w:rPr>
      </w:pPr>
      <w:r>
        <w:rPr>
          <w:rFonts w:hint="cs"/>
          <w:rtl/>
        </w:rPr>
        <w:t xml:space="preserve">וכתב </w:t>
      </w:r>
      <w:r w:rsidRPr="00351C04">
        <w:rPr>
          <w:rStyle w:val="af8"/>
          <w:rFonts w:hint="cs"/>
          <w:rtl/>
        </w:rPr>
        <w:t>השער הציון</w:t>
      </w:r>
      <w:r>
        <w:rPr>
          <w:rFonts w:hint="cs"/>
          <w:rtl/>
        </w:rPr>
        <w:t xml:space="preserve"> </w:t>
      </w:r>
      <w:r w:rsidRPr="00351C04">
        <w:rPr>
          <w:rStyle w:val="af6"/>
          <w:rFonts w:eastAsia="Guttman Hodes" w:hint="cs"/>
          <w:rtl/>
        </w:rPr>
        <w:t>(סי' תנ"ג סקט"ז)</w:t>
      </w:r>
      <w:r>
        <w:rPr>
          <w:rFonts w:hint="cs"/>
          <w:rtl/>
        </w:rPr>
        <w:t xml:space="preserve"> </w:t>
      </w:r>
      <w:r w:rsidRPr="00351C04">
        <w:rPr>
          <w:rStyle w:val="af8"/>
          <w:rFonts w:hint="cs"/>
          <w:rtl/>
        </w:rPr>
        <w:t>דהפוסקים</w:t>
      </w:r>
      <w:r>
        <w:rPr>
          <w:rFonts w:hint="cs"/>
          <w:rtl/>
        </w:rPr>
        <w:t xml:space="preserve"> הביאו בשם </w:t>
      </w:r>
      <w:r w:rsidRPr="00351C04">
        <w:rPr>
          <w:rStyle w:val="af8"/>
          <w:rFonts w:hint="cs"/>
          <w:rtl/>
        </w:rPr>
        <w:t>הרשב"א</w:t>
      </w:r>
      <w:r>
        <w:rPr>
          <w:rFonts w:hint="cs"/>
          <w:rtl/>
        </w:rPr>
        <w:t xml:space="preserve"> </w:t>
      </w:r>
      <w:r w:rsidRPr="00351C04">
        <w:rPr>
          <w:rStyle w:val="af6"/>
          <w:rFonts w:eastAsia="Guttman Hodes" w:hint="cs"/>
          <w:rtl/>
        </w:rPr>
        <w:t xml:space="preserve">(עי' אות </w:t>
      </w:r>
      <w:r w:rsidRPr="00351C04">
        <w:rPr>
          <w:rStyle w:val="af6"/>
          <w:rFonts w:eastAsia="Guttman Hodes"/>
          <w:rtl/>
        </w:rPr>
        <w:fldChar w:fldCharType="begin"/>
      </w:r>
      <w:r w:rsidRPr="00351C04">
        <w:rPr>
          <w:rStyle w:val="af6"/>
          <w:rFonts w:eastAsia="Guttman Hodes"/>
          <w:rtl/>
        </w:rPr>
        <w:instrText xml:space="preserve"> </w:instrText>
      </w:r>
      <w:r w:rsidRPr="00351C04">
        <w:rPr>
          <w:rStyle w:val="af6"/>
          <w:rFonts w:eastAsia="Guttman Hodes" w:hint="cs"/>
        </w:rPr>
        <w:instrText>REF</w:instrText>
      </w:r>
      <w:r w:rsidRPr="00351C04">
        <w:rPr>
          <w:rStyle w:val="af6"/>
          <w:rFonts w:eastAsia="Guttman Hodes" w:hint="cs"/>
          <w:rtl/>
        </w:rPr>
        <w:instrText xml:space="preserve"> _</w:instrText>
      </w:r>
      <w:r w:rsidRPr="00351C04">
        <w:rPr>
          <w:rStyle w:val="af6"/>
          <w:rFonts w:eastAsia="Guttman Hodes" w:hint="cs"/>
        </w:rPr>
        <w:instrText>Ref13949540 \r \h</w:instrText>
      </w:r>
      <w:r w:rsidRPr="00351C04">
        <w:rPr>
          <w:rStyle w:val="af6"/>
          <w:rFonts w:eastAsia="Guttman Hodes"/>
          <w:rtl/>
        </w:rPr>
        <w:instrText xml:space="preserve"> </w:instrText>
      </w:r>
      <w:r w:rsidRPr="00351C04">
        <w:rPr>
          <w:rStyle w:val="af6"/>
          <w:rFonts w:eastAsia="Guttman Hodes"/>
          <w:rtl/>
        </w:rPr>
      </w:r>
      <w:r w:rsidRPr="00351C04">
        <w:rPr>
          <w:rStyle w:val="af6"/>
          <w:rFonts w:eastAsia="Guttman Hodes"/>
          <w:rtl/>
        </w:rPr>
        <w:fldChar w:fldCharType="separate"/>
      </w:r>
      <w:r w:rsidR="004D1C5B">
        <w:rPr>
          <w:rStyle w:val="af6"/>
          <w:rFonts w:eastAsia="Guttman Hodes"/>
          <w:cs/>
        </w:rPr>
        <w:t>‎</w:t>
      </w:r>
      <w:r w:rsidR="004D1C5B">
        <w:rPr>
          <w:rStyle w:val="af6"/>
          <w:rFonts w:eastAsia="Guttman Hodes"/>
          <w:rtl/>
        </w:rPr>
        <w:t>צה)</w:t>
      </w:r>
      <w:r w:rsidRPr="00351C04">
        <w:rPr>
          <w:rStyle w:val="af6"/>
          <w:rFonts w:eastAsia="Guttman Hodes"/>
          <w:rtl/>
        </w:rPr>
        <w:fldChar w:fldCharType="end"/>
      </w:r>
      <w:r>
        <w:rPr>
          <w:rFonts w:hint="cs"/>
          <w:rtl/>
        </w:rPr>
        <w:t xml:space="preserve"> דס"ל </w:t>
      </w:r>
      <w:r w:rsidRPr="00351C04">
        <w:rPr>
          <w:rStyle w:val="af8"/>
          <w:rFonts w:hint="cs"/>
          <w:rtl/>
        </w:rPr>
        <w:t>כהראב"ד</w:t>
      </w:r>
      <w:r>
        <w:rPr>
          <w:rFonts w:hint="cs"/>
          <w:rtl/>
        </w:rPr>
        <w:t>, אך יש להסתפק אי ס"ל</w:t>
      </w:r>
      <w:r w:rsidRPr="00351C04">
        <w:rPr>
          <w:rStyle w:val="af8"/>
          <w:rFonts w:hint="cs"/>
          <w:rtl/>
        </w:rPr>
        <w:t xml:space="preserve"> </w:t>
      </w:r>
      <w:r>
        <w:rPr>
          <w:rStyle w:val="af8"/>
          <w:rFonts w:hint="cs"/>
          <w:rtl/>
        </w:rPr>
        <w:t>ל</w:t>
      </w:r>
      <w:r w:rsidRPr="00351C04">
        <w:rPr>
          <w:rStyle w:val="af8"/>
          <w:rFonts w:hint="cs"/>
          <w:rtl/>
        </w:rPr>
        <w:t>הרשב"א</w:t>
      </w:r>
      <w:r>
        <w:rPr>
          <w:rFonts w:hint="cs"/>
          <w:rtl/>
        </w:rPr>
        <w:t xml:space="preserve"> שצריך לאכול כזית מהחיטים עצמם</w:t>
      </w:r>
      <w:r w:rsidRPr="00351C04">
        <w:rPr>
          <w:rStyle w:val="af8"/>
          <w:rFonts w:hint="cs"/>
          <w:rtl/>
        </w:rPr>
        <w:t xml:space="preserve"> כהראב"ד</w:t>
      </w:r>
      <w:r w:rsidRPr="00173387">
        <w:rPr>
          <w:rStyle w:val="af8"/>
          <w:rFonts w:hint="cs"/>
          <w:rtl/>
        </w:rPr>
        <w:t xml:space="preserve"> </w:t>
      </w:r>
      <w:r w:rsidRPr="00C44730">
        <w:rPr>
          <w:rStyle w:val="af8"/>
          <w:rFonts w:hint="cs"/>
          <w:rtl/>
        </w:rPr>
        <w:t>בהשג'</w:t>
      </w:r>
      <w:r>
        <w:rPr>
          <w:rFonts w:hint="cs"/>
          <w:rtl/>
        </w:rPr>
        <w:t xml:space="preserve"> </w:t>
      </w:r>
      <w:r w:rsidRPr="00B2134D">
        <w:rPr>
          <w:rStyle w:val="af6"/>
          <w:rFonts w:eastAsia="Guttman Hodes" w:hint="cs"/>
          <w:rtl/>
        </w:rPr>
        <w:t>(ע</w:t>
      </w:r>
      <w:r w:rsidRPr="008E2993">
        <w:rPr>
          <w:rStyle w:val="af6"/>
          <w:rFonts w:eastAsia="Guttman Hodes" w:hint="cs"/>
          <w:rtl/>
        </w:rPr>
        <w:t xml:space="preserve">י' אות </w:t>
      </w:r>
      <w:r w:rsidRPr="008E2993">
        <w:rPr>
          <w:rStyle w:val="af6"/>
          <w:rFonts w:eastAsia="Guttman Hodes"/>
          <w:rtl/>
        </w:rPr>
        <w:fldChar w:fldCharType="begin"/>
      </w:r>
      <w:r w:rsidRPr="008E2993">
        <w:rPr>
          <w:rStyle w:val="af6"/>
          <w:rFonts w:eastAsia="Guttman Hodes"/>
          <w:rtl/>
        </w:rPr>
        <w:instrText xml:space="preserve"> </w:instrText>
      </w:r>
      <w:r w:rsidRPr="008E2993">
        <w:rPr>
          <w:rStyle w:val="af6"/>
          <w:rFonts w:eastAsia="Guttman Hodes" w:hint="cs"/>
        </w:rPr>
        <w:instrText>REF</w:instrText>
      </w:r>
      <w:r w:rsidRPr="008E2993">
        <w:rPr>
          <w:rStyle w:val="af6"/>
          <w:rFonts w:eastAsia="Guttman Hodes" w:hint="cs"/>
          <w:rtl/>
        </w:rPr>
        <w:instrText xml:space="preserve"> _</w:instrText>
      </w:r>
      <w:r w:rsidRPr="008E2993">
        <w:rPr>
          <w:rStyle w:val="af6"/>
          <w:rFonts w:eastAsia="Guttman Hodes" w:hint="cs"/>
        </w:rPr>
        <w:instrText>Ref14244863 \r \h</w:instrText>
      </w:r>
      <w:r w:rsidRPr="008E2993">
        <w:rPr>
          <w:rStyle w:val="af6"/>
          <w:rFonts w:eastAsia="Guttman Hodes"/>
          <w:rtl/>
        </w:rPr>
        <w:instrText xml:space="preserve"> </w:instrText>
      </w:r>
      <w:r w:rsidRPr="008E2993">
        <w:rPr>
          <w:rStyle w:val="af6"/>
          <w:rFonts w:eastAsia="Guttman Hodes"/>
          <w:rtl/>
        </w:rPr>
      </w:r>
      <w:r w:rsidRPr="008E2993">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8E2993">
        <w:rPr>
          <w:rStyle w:val="af6"/>
          <w:rFonts w:eastAsia="Guttman Hodes"/>
          <w:rtl/>
        </w:rPr>
        <w:fldChar w:fldCharType="end"/>
      </w:r>
      <w:r>
        <w:rPr>
          <w:rFonts w:hint="cs"/>
          <w:rtl/>
        </w:rPr>
        <w:t xml:space="preserve">, או דס"ל </w:t>
      </w:r>
      <w:r w:rsidRPr="00173387">
        <w:rPr>
          <w:rStyle w:val="af8"/>
          <w:rFonts w:hint="cs"/>
          <w:rtl/>
        </w:rPr>
        <w:t>להרשב"א</w:t>
      </w:r>
      <w:r>
        <w:rPr>
          <w:rFonts w:hint="cs"/>
          <w:rtl/>
        </w:rPr>
        <w:t xml:space="preserve"> דסגי בכזית מהעיסה.</w:t>
      </w:r>
    </w:p>
    <w:p w:rsidR="00F34A57" w:rsidRDefault="00F34A57" w:rsidP="00E669F8">
      <w:pPr>
        <w:pStyle w:val="afd"/>
        <w:rPr>
          <w:rtl/>
        </w:rPr>
      </w:pPr>
      <w:bookmarkStart w:id="7193" w:name="_Toc14257500"/>
      <w:bookmarkStart w:id="7194" w:name="_Toc14248977"/>
      <w:bookmarkStart w:id="7195" w:name="_Toc14089956"/>
      <w:bookmarkStart w:id="7196" w:name="_Toc14109762"/>
      <w:bookmarkStart w:id="7197" w:name="_Toc14120137"/>
      <w:bookmarkStart w:id="7198" w:name="_Toc14122315"/>
      <w:bookmarkStart w:id="7199" w:name="_Toc14196310"/>
      <w:bookmarkStart w:id="7200" w:name="_Toc14208872"/>
      <w:bookmarkStart w:id="7201" w:name="_Toc13773292"/>
      <w:bookmarkStart w:id="7202" w:name="_Toc13952601"/>
      <w:r>
        <w:rPr>
          <w:rFonts w:hint="cs"/>
          <w:rtl/>
        </w:rPr>
        <w:t>דעת הר"י מאורליינש בדין נהפך</w:t>
      </w:r>
      <w:bookmarkEnd w:id="7193"/>
    </w:p>
    <w:p w:rsidR="00F34A57" w:rsidRDefault="00F34A57" w:rsidP="00F34A57">
      <w:pPr>
        <w:pStyle w:val="1"/>
        <w:rPr>
          <w:rtl/>
        </w:rPr>
      </w:pPr>
      <w:bookmarkStart w:id="7203" w:name="_Toc14257501"/>
      <w:r>
        <w:rPr>
          <w:rFonts w:hint="cs"/>
          <w:rtl/>
        </w:rPr>
        <w:t>ביאור הנחל"ד בר"י מאורליינש דאמרינן נהפך ואינו כממשו</w:t>
      </w:r>
      <w:bookmarkEnd w:id="7194"/>
      <w:bookmarkEnd w:id="7203"/>
    </w:p>
    <w:p w:rsidR="00F34A57" w:rsidRPr="007E0C12" w:rsidRDefault="00F34A57" w:rsidP="00F34A57">
      <w:pPr>
        <w:pStyle w:val="a2"/>
        <w:rPr>
          <w:rtl/>
        </w:rPr>
      </w:pPr>
      <w:bookmarkStart w:id="7204" w:name="_Toc14248978"/>
      <w:bookmarkStart w:id="7205" w:name="_Toc14257502"/>
      <w:r w:rsidRPr="007E0C12">
        <w:rPr>
          <w:rFonts w:hint="cs"/>
          <w:rtl/>
        </w:rPr>
        <w:t xml:space="preserve">דברי הר"י מאורליינש דבגיעולי עכו"ם יש רק עשה ולא לאו ולכן אין </w:t>
      </w:r>
      <w:r>
        <w:rPr>
          <w:rFonts w:hint="cs"/>
          <w:rtl/>
        </w:rPr>
        <w:t>לוקין בטע"כ אף כבזית בכא"פ</w:t>
      </w:r>
      <w:bookmarkEnd w:id="7204"/>
      <w:bookmarkEnd w:id="7205"/>
    </w:p>
    <w:p w:rsidR="00F34A57" w:rsidRDefault="00F34A57" w:rsidP="009F44AF">
      <w:pPr>
        <w:pStyle w:val="a"/>
        <w:rPr>
          <w:rtl/>
        </w:rPr>
      </w:pPr>
      <w:bookmarkStart w:id="7206" w:name="_Ref14255578"/>
      <w:r w:rsidRPr="007E0C12">
        <w:rPr>
          <w:rStyle w:val="af8"/>
          <w:rFonts w:hint="cs"/>
          <w:rtl/>
        </w:rPr>
        <w:t xml:space="preserve">והתוס' בסוגיין </w:t>
      </w:r>
      <w:r w:rsidRPr="007E0C12">
        <w:rPr>
          <w:rStyle w:val="af6"/>
          <w:rFonts w:eastAsia="Guttman Hodes" w:hint="cs"/>
          <w:rtl/>
        </w:rPr>
        <w:t xml:space="preserve">(סוד"ה רבא) </w:t>
      </w:r>
      <w:r w:rsidRPr="007E0C12">
        <w:rPr>
          <w:rStyle w:val="af8"/>
          <w:rFonts w:hint="cs"/>
          <w:rtl/>
        </w:rPr>
        <w:t>ובע"ז</w:t>
      </w:r>
      <w:r w:rsidRPr="007E0C12">
        <w:rPr>
          <w:rFonts w:hint="cs"/>
          <w:rtl/>
        </w:rPr>
        <w:t xml:space="preserve"> </w:t>
      </w:r>
      <w:r w:rsidRPr="007E0C12">
        <w:rPr>
          <w:rStyle w:val="af6"/>
          <w:rFonts w:eastAsia="Guttman Hodes" w:hint="cs"/>
          <w:rtl/>
        </w:rPr>
        <w:t>(סז. סוד"ה א"ר יוחנן)</w:t>
      </w:r>
      <w:r w:rsidRPr="007E0C12">
        <w:rPr>
          <w:rFonts w:hint="cs"/>
          <w:rtl/>
        </w:rPr>
        <w:t xml:space="preserve"> כתבו בשם </w:t>
      </w:r>
      <w:r w:rsidRPr="007E0C12">
        <w:rPr>
          <w:rStyle w:val="af8"/>
          <w:rFonts w:hint="cs"/>
          <w:rtl/>
        </w:rPr>
        <w:t xml:space="preserve">רבינו יוסף מאורליינש </w:t>
      </w:r>
      <w:r w:rsidRPr="007E0C12">
        <w:rPr>
          <w:rFonts w:hint="cs"/>
          <w:rtl/>
        </w:rPr>
        <w:t xml:space="preserve">דביאר את דברי ריו"ח בע"ז </w:t>
      </w:r>
      <w:r>
        <w:rPr>
          <w:rFonts w:hint="cs"/>
          <w:rtl/>
        </w:rPr>
        <w:t xml:space="preserve">דאיירי במין בשאינו מינו, ובין בטעמו וממשו ובין בטעמו ולא ממשו, איירי שיש בתערובת כזית בכדי אכילת פרס, ואף טעמו ולא ממשו אסור מדאו' דהא דטעם כעיקר דאו', אך מ"מ אין ס"ל לריו"ח דאין לוקין על טעמו ולא ממשו, כיון דלדעת ריו"ח הילפותא דטעם כעיקר דאו' היא </w:t>
      </w:r>
      <w:r w:rsidRPr="007E0C12">
        <w:rPr>
          <w:rFonts w:hint="cs"/>
          <w:rtl/>
        </w:rPr>
        <w:t xml:space="preserve">מגיעולי עכו"ם, </w:t>
      </w:r>
      <w:r>
        <w:rPr>
          <w:rFonts w:hint="cs"/>
          <w:rtl/>
        </w:rPr>
        <w:t>ו</w:t>
      </w:r>
      <w:r w:rsidRPr="007E0C12">
        <w:rPr>
          <w:rFonts w:hint="cs"/>
          <w:rtl/>
        </w:rPr>
        <w:t xml:space="preserve">בגיעולי עכו"ם </w:t>
      </w:r>
      <w:r>
        <w:rPr>
          <w:rFonts w:hint="cs"/>
          <w:rtl/>
        </w:rPr>
        <w:t>יש רק</w:t>
      </w:r>
      <w:r w:rsidRPr="007E0C12">
        <w:rPr>
          <w:rFonts w:hint="cs"/>
          <w:rtl/>
        </w:rPr>
        <w:t xml:space="preserve"> עשה שצריך ליבון והגעלה ואין בזה לאו, ולכן ס"ל דאין מלקות </w:t>
      </w:r>
      <w:r>
        <w:rPr>
          <w:rFonts w:hint="cs"/>
          <w:rtl/>
        </w:rPr>
        <w:t>בטעמו ולא ממשו</w:t>
      </w:r>
      <w:r w:rsidRPr="007E0C12">
        <w:rPr>
          <w:rFonts w:hint="cs"/>
          <w:rtl/>
        </w:rPr>
        <w:t xml:space="preserve"> גם במין בשאינו מינו, ועי' במה שהקשה </w:t>
      </w:r>
      <w:r w:rsidRPr="007E0C12">
        <w:rPr>
          <w:rStyle w:val="af8"/>
          <w:rFonts w:hint="cs"/>
          <w:rtl/>
        </w:rPr>
        <w:t>הגרעק"א בגלהש"ס בזבחים</w:t>
      </w:r>
      <w:r w:rsidRPr="007E0C12">
        <w:rPr>
          <w:rFonts w:hint="cs"/>
          <w:rtl/>
        </w:rPr>
        <w:t xml:space="preserve"> </w:t>
      </w:r>
      <w:r w:rsidRPr="007E0C12">
        <w:rPr>
          <w:rStyle w:val="af6"/>
          <w:rFonts w:eastAsia="Guttman Hodes" w:hint="cs"/>
          <w:rtl/>
        </w:rPr>
        <w:t>(עח. ד"ה וש"מ)</w:t>
      </w:r>
      <w:r w:rsidRPr="007E0C12">
        <w:rPr>
          <w:rFonts w:hint="cs"/>
          <w:rtl/>
        </w:rPr>
        <w:t xml:space="preserve"> דבגמ' בזבחים </w:t>
      </w:r>
      <w:r w:rsidRPr="007E0C12">
        <w:rPr>
          <w:rStyle w:val="af6"/>
          <w:rFonts w:eastAsia="Guttman Hodes" w:hint="cs"/>
          <w:rtl/>
        </w:rPr>
        <w:t>(עח.)</w:t>
      </w:r>
      <w:r w:rsidRPr="007E0C12">
        <w:rPr>
          <w:rFonts w:hint="cs"/>
          <w:rtl/>
        </w:rPr>
        <w:t xml:space="preserve"> מוכח דיש גם מלקות, ובמה שתיר</w:t>
      </w:r>
      <w:r>
        <w:rPr>
          <w:rFonts w:hint="cs"/>
          <w:rtl/>
        </w:rPr>
        <w:t xml:space="preserve">צו </w:t>
      </w:r>
      <w:r w:rsidRPr="001B62B8">
        <w:rPr>
          <w:rStyle w:val="af8"/>
          <w:rFonts w:hint="cs"/>
          <w:rtl/>
        </w:rPr>
        <w:t>הדברי יחזקאל</w:t>
      </w:r>
      <w:r>
        <w:rPr>
          <w:rFonts w:hint="cs"/>
          <w:rtl/>
        </w:rPr>
        <w:t xml:space="preserve"> </w:t>
      </w:r>
      <w:r w:rsidRPr="001B62B8">
        <w:rPr>
          <w:rStyle w:val="af6"/>
          <w:rFonts w:eastAsia="Guttman Hodes" w:hint="cs"/>
          <w:rtl/>
        </w:rPr>
        <w:t>(סי' י"א אות י"א ד"ה ומה מאוד)</w:t>
      </w:r>
      <w:r w:rsidRPr="007E0C12">
        <w:rPr>
          <w:rFonts w:hint="cs"/>
          <w:rtl/>
        </w:rPr>
        <w:t xml:space="preserve"> </w:t>
      </w:r>
      <w:r>
        <w:rPr>
          <w:rStyle w:val="af8"/>
          <w:rFonts w:hint="cs"/>
          <w:rtl/>
        </w:rPr>
        <w:t>ו</w:t>
      </w:r>
      <w:r w:rsidRPr="007E0C12">
        <w:rPr>
          <w:rStyle w:val="af8"/>
          <w:rFonts w:hint="cs"/>
          <w:rtl/>
        </w:rPr>
        <w:t>החזו"א</w:t>
      </w:r>
      <w:r w:rsidRPr="007E0C12">
        <w:rPr>
          <w:rFonts w:hint="cs"/>
          <w:rtl/>
        </w:rPr>
        <w:t xml:space="preserve"> </w:t>
      </w:r>
      <w:r w:rsidRPr="007E0C12">
        <w:rPr>
          <w:rStyle w:val="af6"/>
          <w:rFonts w:eastAsia="Guttman Hodes" w:hint="cs"/>
          <w:rtl/>
        </w:rPr>
        <w:t>(סי' כ"ד סק"ג)</w:t>
      </w:r>
      <w:r>
        <w:rPr>
          <w:rFonts w:hint="cs"/>
          <w:rtl/>
        </w:rPr>
        <w:t xml:space="preserve">, ועי' בדברי </w:t>
      </w:r>
      <w:r w:rsidRPr="004C5D90">
        <w:rPr>
          <w:rStyle w:val="af8"/>
          <w:rFonts w:hint="cs"/>
          <w:rtl/>
        </w:rPr>
        <w:t>המשנת ר"א</w:t>
      </w:r>
      <w:r>
        <w:rPr>
          <w:rFonts w:hint="cs"/>
          <w:rtl/>
        </w:rPr>
        <w:t xml:space="preserve"> </w:t>
      </w:r>
      <w:r w:rsidRPr="00C04077">
        <w:rPr>
          <w:rStyle w:val="af6"/>
          <w:rFonts w:eastAsia="Guttman Hodes" w:hint="cs"/>
          <w:rtl/>
        </w:rPr>
        <w:t xml:space="preserve">(עי' אות </w:t>
      </w:r>
      <w:r w:rsidRPr="00C04077">
        <w:rPr>
          <w:rStyle w:val="af6"/>
          <w:rFonts w:eastAsia="Guttman Hodes"/>
          <w:rtl/>
        </w:rPr>
        <w:fldChar w:fldCharType="begin"/>
      </w:r>
      <w:r w:rsidRPr="00C04077">
        <w:rPr>
          <w:rStyle w:val="af6"/>
          <w:rFonts w:eastAsia="Guttman Hodes"/>
          <w:rtl/>
        </w:rPr>
        <w:instrText xml:space="preserve"> </w:instrText>
      </w:r>
      <w:r w:rsidRPr="00C04077">
        <w:rPr>
          <w:rStyle w:val="af6"/>
          <w:rFonts w:eastAsia="Guttman Hodes" w:hint="cs"/>
        </w:rPr>
        <w:instrText>REF</w:instrText>
      </w:r>
      <w:r w:rsidRPr="00C04077">
        <w:rPr>
          <w:rStyle w:val="af6"/>
          <w:rFonts w:eastAsia="Guttman Hodes" w:hint="cs"/>
          <w:rtl/>
        </w:rPr>
        <w:instrText xml:space="preserve"> _</w:instrText>
      </w:r>
      <w:r w:rsidRPr="00C04077">
        <w:rPr>
          <w:rStyle w:val="af6"/>
          <w:rFonts w:eastAsia="Guttman Hodes" w:hint="cs"/>
        </w:rPr>
        <w:instrText>Ref14255649 \r \h</w:instrText>
      </w:r>
      <w:r w:rsidRPr="00C04077">
        <w:rPr>
          <w:rStyle w:val="af6"/>
          <w:rFonts w:eastAsia="Guttman Hodes"/>
          <w:rtl/>
        </w:rPr>
        <w:instrText xml:space="preserve"> </w:instrText>
      </w:r>
      <w:r w:rsidRPr="00C04077">
        <w:rPr>
          <w:rStyle w:val="af6"/>
          <w:rFonts w:eastAsia="Guttman Hodes"/>
          <w:rtl/>
        </w:rPr>
      </w:r>
      <w:r w:rsidRPr="00C04077">
        <w:rPr>
          <w:rStyle w:val="af6"/>
          <w:rFonts w:eastAsia="Guttman Hodes"/>
          <w:rtl/>
        </w:rPr>
        <w:fldChar w:fldCharType="separate"/>
      </w:r>
      <w:r w:rsidR="004D1C5B">
        <w:rPr>
          <w:rStyle w:val="af6"/>
          <w:rFonts w:eastAsia="Guttman Hodes"/>
          <w:cs/>
        </w:rPr>
        <w:t>‎</w:t>
      </w:r>
      <w:r w:rsidR="004D1C5B">
        <w:rPr>
          <w:rStyle w:val="af6"/>
          <w:rFonts w:eastAsia="Guttman Hodes"/>
          <w:rtl/>
        </w:rPr>
        <w:t>קלב)</w:t>
      </w:r>
      <w:r w:rsidRPr="00C04077">
        <w:rPr>
          <w:rStyle w:val="af6"/>
          <w:rFonts w:eastAsia="Guttman Hodes"/>
          <w:rtl/>
        </w:rPr>
        <w:fldChar w:fldCharType="end"/>
      </w:r>
      <w:r w:rsidRPr="007E0C12">
        <w:rPr>
          <w:rFonts w:hint="cs"/>
          <w:rtl/>
        </w:rPr>
        <w:t>.</w:t>
      </w:r>
      <w:bookmarkEnd w:id="7206"/>
    </w:p>
    <w:p w:rsidR="00F34A57" w:rsidRDefault="00F34A57" w:rsidP="00F34A57">
      <w:pPr>
        <w:pStyle w:val="a2"/>
      </w:pPr>
      <w:bookmarkStart w:id="7207" w:name="_Toc14257503"/>
      <w:r>
        <w:rPr>
          <w:rFonts w:hint="cs"/>
          <w:rtl/>
        </w:rPr>
        <w:t>ביאור הר"ש בר"י מאורליינש דרק בנזיר לוקין בטע"כ ובשאר איסורים אסור מדין חצי שיעור</w:t>
      </w:r>
      <w:bookmarkEnd w:id="7207"/>
    </w:p>
    <w:p w:rsidR="00F34A57" w:rsidRDefault="00F34A57" w:rsidP="009F44AF">
      <w:pPr>
        <w:pStyle w:val="a"/>
        <w:rPr>
          <w:rtl/>
        </w:rPr>
      </w:pPr>
      <w:r>
        <w:rPr>
          <w:rFonts w:hint="cs"/>
          <w:rtl/>
        </w:rPr>
        <w:t xml:space="preserve">והוסיף </w:t>
      </w:r>
      <w:r w:rsidRPr="00BF625B">
        <w:rPr>
          <w:rStyle w:val="af8"/>
          <w:rFonts w:hint="cs"/>
          <w:rtl/>
        </w:rPr>
        <w:t>הר"ש בטבול יום</w:t>
      </w:r>
      <w:r w:rsidRPr="00201C94">
        <w:rPr>
          <w:rFonts w:hint="cs"/>
          <w:rtl/>
        </w:rPr>
        <w:t xml:space="preserve"> </w:t>
      </w:r>
      <w:r w:rsidRPr="00BF625B">
        <w:rPr>
          <w:rStyle w:val="af6"/>
          <w:rFonts w:eastAsia="Guttman Hodes" w:hint="cs"/>
          <w:rtl/>
        </w:rPr>
        <w:t>(פ"ב מ"ג)</w:t>
      </w:r>
      <w:r>
        <w:rPr>
          <w:rFonts w:hint="cs"/>
          <w:rtl/>
        </w:rPr>
        <w:t xml:space="preserve"> בביאור דברי </w:t>
      </w:r>
      <w:r w:rsidRPr="00C04077">
        <w:rPr>
          <w:rStyle w:val="af8"/>
          <w:rFonts w:hint="cs"/>
          <w:rtl/>
        </w:rPr>
        <w:t>הר"י מאורליינש</w:t>
      </w:r>
      <w:r>
        <w:rPr>
          <w:rFonts w:hint="cs"/>
          <w:rtl/>
        </w:rPr>
        <w:t xml:space="preserve"> דדוקא בנזיר לוקין דכתיב ביה משרת בהדיא, אבל בשאר איסורים אין לוקין דאין מזהירים מן הדין, אך מ"מ אסור מדאו' מדין חצי שיעור.</w:t>
      </w:r>
    </w:p>
    <w:p w:rsidR="00F34A57" w:rsidRDefault="00F34A57" w:rsidP="00F34A57">
      <w:pPr>
        <w:pStyle w:val="a2"/>
        <w:rPr>
          <w:rtl/>
        </w:rPr>
      </w:pPr>
      <w:bookmarkStart w:id="7208" w:name="_Toc14257504"/>
      <w:r>
        <w:rPr>
          <w:rFonts w:hint="cs"/>
          <w:rtl/>
        </w:rPr>
        <w:t>דברי הר"ש דאפש"ל דמשרת הוא גילוי מילתא דטע"כ אסור מדאו' ואינו ק"ו ולוקין עליו</w:t>
      </w:r>
      <w:bookmarkEnd w:id="7208"/>
    </w:p>
    <w:p w:rsidR="00F34A57" w:rsidRDefault="00F34A57" w:rsidP="009F44AF">
      <w:pPr>
        <w:pStyle w:val="a"/>
        <w:rPr>
          <w:rStyle w:val="afff4"/>
          <w:rtl/>
        </w:rPr>
      </w:pPr>
      <w:bookmarkStart w:id="7209" w:name="_Ref14254135"/>
      <w:r>
        <w:rPr>
          <w:rFonts w:hint="cs"/>
          <w:rtl/>
        </w:rPr>
        <w:t xml:space="preserve">אך דחה </w:t>
      </w:r>
      <w:r w:rsidRPr="00BF625B">
        <w:rPr>
          <w:rStyle w:val="af8"/>
          <w:rFonts w:hint="cs"/>
          <w:rtl/>
        </w:rPr>
        <w:t>הר"ש בטבול יום</w:t>
      </w:r>
      <w:r>
        <w:rPr>
          <w:rFonts w:hint="cs"/>
          <w:rtl/>
        </w:rPr>
        <w:t xml:space="preserve"> דמדברי אביי מוכח דלוקין על טעם כעיקר, וכן מבואר מדברי ריו"ח דלמ"ד דילפינן ממשרת דס"ל דנזיר וחטאת אינם ב' כתובים הבאים כאחד, ילפינן לכל איסורים שבתורה דלוקין על טעם כעיקר , וכתב </w:t>
      </w:r>
      <w:r w:rsidRPr="00BF625B">
        <w:rPr>
          <w:rStyle w:val="af8"/>
          <w:rFonts w:hint="cs"/>
          <w:rtl/>
        </w:rPr>
        <w:t>הר"ש בטבול יום</w:t>
      </w:r>
      <w:r>
        <w:rPr>
          <w:rFonts w:hint="cs"/>
          <w:rtl/>
        </w:rPr>
        <w:t xml:space="preserve"> דאפש"ל דהילפותא ממשרת אינה ק"ו, אלא הוא גילוי מילתא בעלמא, דטעם כעיקר אסור ולכן לוקים עליו.</w:t>
      </w:r>
      <w:bookmarkEnd w:id="7209"/>
      <w:r>
        <w:rPr>
          <w:rFonts w:hint="cs"/>
          <w:rtl/>
        </w:rPr>
        <w:t xml:space="preserve">  </w:t>
      </w:r>
    </w:p>
    <w:p w:rsidR="00F34A57" w:rsidRPr="00C44730" w:rsidRDefault="00F34A57" w:rsidP="00F34A57">
      <w:pPr>
        <w:pStyle w:val="a2"/>
        <w:rPr>
          <w:rtl/>
        </w:rPr>
      </w:pPr>
      <w:bookmarkStart w:id="7210" w:name="_Toc14257505"/>
      <w:r>
        <w:rPr>
          <w:rFonts w:hint="cs"/>
          <w:rtl/>
        </w:rPr>
        <w:t>ביאור הנחל"ד דלר"י מאורליינש אמרינן נהפך ותירץ את דברי ריו"ח דטע"כ דאו' ואין לוקין עליו</w:t>
      </w:r>
      <w:bookmarkEnd w:id="7210"/>
    </w:p>
    <w:p w:rsidR="00F34A57" w:rsidRDefault="00F34A57" w:rsidP="009F44AF">
      <w:pPr>
        <w:pStyle w:val="a"/>
        <w:rPr>
          <w:rtl/>
        </w:rPr>
      </w:pPr>
      <w:bookmarkStart w:id="7211" w:name="_Ref14252367"/>
      <w:r w:rsidRPr="00B77459">
        <w:rPr>
          <w:rFonts w:hint="cs"/>
          <w:rtl/>
        </w:rPr>
        <w:lastRenderedPageBreak/>
        <w:t>ו</w:t>
      </w:r>
      <w:r>
        <w:rPr>
          <w:rFonts w:hint="cs"/>
          <w:rtl/>
        </w:rPr>
        <w:t>ביאר</w:t>
      </w:r>
      <w:r w:rsidRPr="007E0C12">
        <w:rPr>
          <w:rFonts w:hint="cs"/>
          <w:rtl/>
        </w:rPr>
        <w:t xml:space="preserve"> </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קמ"ב] ד"ה ונראה דהם מפרשים)</w:t>
      </w:r>
      <w:r w:rsidRPr="007E0C12">
        <w:rPr>
          <w:rStyle w:val="af6"/>
          <w:rFonts w:eastAsia="Guttman Hodes"/>
          <w:rtl/>
        </w:rPr>
        <w:t xml:space="preserve"> </w:t>
      </w:r>
      <w:r w:rsidRPr="00BB36A0">
        <w:rPr>
          <w:rStyle w:val="af8"/>
          <w:rFonts w:hint="cs"/>
          <w:rtl/>
        </w:rPr>
        <w:t>דהר"י מאורליינש</w:t>
      </w:r>
      <w:r>
        <w:rPr>
          <w:rFonts w:hint="cs"/>
          <w:rtl/>
        </w:rPr>
        <w:t xml:space="preserve"> ס"ל כדעת </w:t>
      </w:r>
      <w:r w:rsidRPr="00BB36A0">
        <w:rPr>
          <w:rStyle w:val="af8"/>
          <w:rFonts w:hint="cs"/>
          <w:rtl/>
        </w:rPr>
        <w:t>רש"י בפסחים</w:t>
      </w:r>
      <w:r>
        <w:rPr>
          <w:rFonts w:hint="cs"/>
          <w:rtl/>
        </w:rPr>
        <w:t xml:space="preserve"> </w:t>
      </w:r>
      <w:r w:rsidRPr="00611E63">
        <w:rPr>
          <w:rStyle w:val="af6"/>
          <w:rFonts w:eastAsia="Guttman Hodes" w:hint="cs"/>
          <w:rtl/>
        </w:rPr>
        <w:t xml:space="preserve">(עי' אות </w:t>
      </w:r>
      <w:r w:rsidRPr="00611E63">
        <w:rPr>
          <w:rStyle w:val="af6"/>
          <w:rFonts w:eastAsia="Guttman Hodes"/>
          <w:rtl/>
        </w:rPr>
        <w:fldChar w:fldCharType="begin"/>
      </w:r>
      <w:r w:rsidRPr="00611E63">
        <w:rPr>
          <w:rStyle w:val="af6"/>
          <w:rFonts w:eastAsia="Guttman Hodes"/>
          <w:rtl/>
        </w:rPr>
        <w:instrText xml:space="preserve"> </w:instrText>
      </w:r>
      <w:r w:rsidRPr="00611E63">
        <w:rPr>
          <w:rStyle w:val="af6"/>
          <w:rFonts w:eastAsia="Guttman Hodes" w:hint="cs"/>
        </w:rPr>
        <w:instrText>REF</w:instrText>
      </w:r>
      <w:r w:rsidRPr="00611E63">
        <w:rPr>
          <w:rStyle w:val="af6"/>
          <w:rFonts w:eastAsia="Guttman Hodes" w:hint="cs"/>
          <w:rtl/>
        </w:rPr>
        <w:instrText xml:space="preserve"> _</w:instrText>
      </w:r>
      <w:r w:rsidRPr="00611E63">
        <w:rPr>
          <w:rStyle w:val="af6"/>
          <w:rFonts w:eastAsia="Guttman Hodes" w:hint="cs"/>
        </w:rPr>
        <w:instrText>Ref14106142 \r \h</w:instrText>
      </w:r>
      <w:r w:rsidRPr="00611E63">
        <w:rPr>
          <w:rStyle w:val="af6"/>
          <w:rFonts w:eastAsia="Guttman Hodes"/>
          <w:rtl/>
        </w:rPr>
        <w:instrText xml:space="preserve"> </w:instrText>
      </w:r>
      <w:r w:rsidRPr="00611E63">
        <w:rPr>
          <w:rStyle w:val="af6"/>
          <w:rFonts w:eastAsia="Guttman Hodes"/>
          <w:rtl/>
        </w:rPr>
      </w:r>
      <w:r w:rsidRPr="00611E63">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611E63">
        <w:rPr>
          <w:rStyle w:val="af6"/>
          <w:rFonts w:eastAsia="Guttman Hodes"/>
          <w:rtl/>
        </w:rPr>
        <w:fldChar w:fldCharType="end"/>
      </w:r>
      <w:r>
        <w:rPr>
          <w:rFonts w:hint="cs"/>
          <w:rtl/>
        </w:rPr>
        <w:t xml:space="preserve"> דבטעם כעיקר אמרינן דההיתר נהפך לאיסור, אלא דמה שהוקשה </w:t>
      </w:r>
      <w:r w:rsidRPr="00BB36A0">
        <w:rPr>
          <w:rStyle w:val="af8"/>
          <w:rFonts w:hint="cs"/>
          <w:rtl/>
        </w:rPr>
        <w:t>לרש"י בפסחים</w:t>
      </w:r>
      <w:r>
        <w:rPr>
          <w:rFonts w:hint="cs"/>
          <w:rtl/>
        </w:rPr>
        <w:t xml:space="preserve"> </w:t>
      </w:r>
      <w:r w:rsidRPr="007A1EDB">
        <w:rPr>
          <w:rStyle w:val="af6"/>
          <w:rFonts w:eastAsia="Guttman Hodes" w:hint="cs"/>
          <w:rtl/>
        </w:rPr>
        <w:t>(מה. ד"ה ור"ע)</w:t>
      </w:r>
      <w:r>
        <w:rPr>
          <w:rFonts w:hint="cs"/>
          <w:rtl/>
        </w:rPr>
        <w:t xml:space="preserve"> דמבואר מדברי רבנן דפליגי בכותח על ר"א דטעם כעיקר דרבנן דאין לוקין עליו, וכן מה שהוקשה </w:t>
      </w:r>
      <w:r w:rsidRPr="007F2136">
        <w:rPr>
          <w:rStyle w:val="af8"/>
          <w:rFonts w:hint="cs"/>
          <w:rtl/>
        </w:rPr>
        <w:t>לרש"י בסוגיין</w:t>
      </w:r>
      <w:r w:rsidRPr="00611E63">
        <w:rPr>
          <w:rStyle w:val="af6"/>
          <w:rFonts w:eastAsia="Guttman Hodes" w:hint="cs"/>
          <w:rtl/>
        </w:rPr>
        <w:t xml:space="preserve"> (עי' אות </w:t>
      </w:r>
      <w:r w:rsidRPr="00611E63">
        <w:rPr>
          <w:rStyle w:val="af6"/>
          <w:rFonts w:eastAsia="Guttman Hodes"/>
          <w:rtl/>
        </w:rPr>
        <w:fldChar w:fldCharType="begin"/>
      </w:r>
      <w:r w:rsidRPr="00611E63">
        <w:rPr>
          <w:rStyle w:val="af6"/>
          <w:rFonts w:eastAsia="Guttman Hodes"/>
          <w:rtl/>
        </w:rPr>
        <w:instrText xml:space="preserve"> </w:instrText>
      </w:r>
      <w:r w:rsidRPr="00611E63">
        <w:rPr>
          <w:rStyle w:val="af6"/>
          <w:rFonts w:eastAsia="Guttman Hodes" w:hint="cs"/>
        </w:rPr>
        <w:instrText>REF</w:instrText>
      </w:r>
      <w:r w:rsidRPr="00611E63">
        <w:rPr>
          <w:rStyle w:val="af6"/>
          <w:rFonts w:eastAsia="Guttman Hodes" w:hint="cs"/>
          <w:rtl/>
        </w:rPr>
        <w:instrText xml:space="preserve"> _</w:instrText>
      </w:r>
      <w:r w:rsidRPr="00611E63">
        <w:rPr>
          <w:rStyle w:val="af6"/>
          <w:rFonts w:eastAsia="Guttman Hodes" w:hint="cs"/>
        </w:rPr>
        <w:instrText>Ref14106142 \r \h</w:instrText>
      </w:r>
      <w:r w:rsidRPr="00611E63">
        <w:rPr>
          <w:rStyle w:val="af6"/>
          <w:rFonts w:eastAsia="Guttman Hodes"/>
          <w:rtl/>
        </w:rPr>
        <w:instrText xml:space="preserve"> </w:instrText>
      </w:r>
      <w:r w:rsidRPr="00611E63">
        <w:rPr>
          <w:rStyle w:val="af6"/>
          <w:rFonts w:eastAsia="Guttman Hodes"/>
          <w:rtl/>
        </w:rPr>
      </w:r>
      <w:r w:rsidRPr="00611E63">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611E63">
        <w:rPr>
          <w:rStyle w:val="af6"/>
          <w:rFonts w:eastAsia="Guttman Hodes"/>
          <w:rtl/>
        </w:rPr>
        <w:fldChar w:fldCharType="end"/>
      </w:r>
      <w:r>
        <w:rPr>
          <w:rFonts w:hint="cs"/>
          <w:rtl/>
        </w:rPr>
        <w:t xml:space="preserve"> דמדברי ריו"ח בע"ז מבואר דאין לוקין על טעמו וממשו, ולכן פסק </w:t>
      </w:r>
      <w:r w:rsidRPr="00BB36A0">
        <w:rPr>
          <w:rStyle w:val="af8"/>
          <w:rFonts w:hint="cs"/>
          <w:rtl/>
        </w:rPr>
        <w:t>רש"י</w:t>
      </w:r>
      <w:r>
        <w:rPr>
          <w:rFonts w:hint="cs"/>
          <w:rtl/>
        </w:rPr>
        <w:t xml:space="preserve"> דטעם כעיקר דרבנן, בזה תירץ </w:t>
      </w:r>
      <w:r w:rsidRPr="00BB36A0">
        <w:rPr>
          <w:rStyle w:val="af8"/>
          <w:rFonts w:hint="cs"/>
          <w:rtl/>
        </w:rPr>
        <w:t>הר"י מאורליינש</w:t>
      </w:r>
      <w:r>
        <w:rPr>
          <w:rFonts w:hint="cs"/>
          <w:rtl/>
        </w:rPr>
        <w:t xml:space="preserve"> דאף דטעם כעיקר דאו', מ"מ אין בו מלקות דהוא איסור עשה ואינו לאו, וא"כ אף לדעת ריו"ח בע"ז ורבנן בכותח הבבלי טעם כעיקר דאו', ואין מ"ד דס"ל דטעם כעיקר דרבנן, וכן ביאר </w:t>
      </w:r>
      <w:r w:rsidRPr="008A6F64">
        <w:rPr>
          <w:rStyle w:val="af8"/>
          <w:rFonts w:hint="cs"/>
          <w:rtl/>
        </w:rPr>
        <w:t>הנחל"ד</w:t>
      </w:r>
      <w:r>
        <w:rPr>
          <w:rFonts w:hint="cs"/>
          <w:rtl/>
        </w:rPr>
        <w:t xml:space="preserve"> </w:t>
      </w:r>
      <w:r w:rsidRPr="008A6F64">
        <w:rPr>
          <w:rStyle w:val="af6"/>
          <w:rFonts w:eastAsia="Guttman Hodes" w:hint="cs"/>
          <w:rtl/>
        </w:rPr>
        <w:t xml:space="preserve">(עי' אות </w:t>
      </w:r>
      <w:r w:rsidRPr="008A6F64">
        <w:rPr>
          <w:rStyle w:val="af6"/>
          <w:rFonts w:eastAsia="Guttman Hodes"/>
          <w:rtl/>
        </w:rPr>
        <w:fldChar w:fldCharType="begin"/>
      </w:r>
      <w:r w:rsidRPr="008A6F64">
        <w:rPr>
          <w:rStyle w:val="af6"/>
          <w:rFonts w:eastAsia="Guttman Hodes"/>
          <w:rtl/>
        </w:rPr>
        <w:instrText xml:space="preserve"> </w:instrText>
      </w:r>
      <w:r w:rsidRPr="008A6F64">
        <w:rPr>
          <w:rStyle w:val="af6"/>
          <w:rFonts w:eastAsia="Guttman Hodes" w:hint="cs"/>
        </w:rPr>
        <w:instrText>REF</w:instrText>
      </w:r>
      <w:r w:rsidRPr="008A6F64">
        <w:rPr>
          <w:rStyle w:val="af6"/>
          <w:rFonts w:eastAsia="Guttman Hodes" w:hint="cs"/>
          <w:rtl/>
        </w:rPr>
        <w:instrText xml:space="preserve"> _</w:instrText>
      </w:r>
      <w:r w:rsidRPr="008A6F64">
        <w:rPr>
          <w:rStyle w:val="af6"/>
          <w:rFonts w:eastAsia="Guttman Hodes" w:hint="cs"/>
        </w:rPr>
        <w:instrText>Ref14252348 \r \h</w:instrText>
      </w:r>
      <w:r w:rsidRPr="008A6F64">
        <w:rPr>
          <w:rStyle w:val="af6"/>
          <w:rFonts w:eastAsia="Guttman Hodes"/>
          <w:rtl/>
        </w:rPr>
        <w:instrText xml:space="preserve"> </w:instrText>
      </w:r>
      <w:r w:rsidRPr="008A6F64">
        <w:rPr>
          <w:rStyle w:val="af6"/>
          <w:rFonts w:eastAsia="Guttman Hodes"/>
          <w:rtl/>
        </w:rPr>
      </w:r>
      <w:r w:rsidRPr="008A6F64">
        <w:rPr>
          <w:rStyle w:val="af6"/>
          <w:rFonts w:eastAsia="Guttman Hodes"/>
          <w:rtl/>
        </w:rPr>
        <w:fldChar w:fldCharType="separate"/>
      </w:r>
      <w:r w:rsidR="004D1C5B">
        <w:rPr>
          <w:rStyle w:val="af6"/>
          <w:rFonts w:eastAsia="Guttman Hodes"/>
          <w:cs/>
        </w:rPr>
        <w:t>‎</w:t>
      </w:r>
      <w:r w:rsidR="004D1C5B">
        <w:rPr>
          <w:rStyle w:val="af6"/>
          <w:rFonts w:eastAsia="Guttman Hodes"/>
          <w:rtl/>
        </w:rPr>
        <w:t>פט)</w:t>
      </w:r>
      <w:r w:rsidRPr="008A6F64">
        <w:rPr>
          <w:rStyle w:val="af6"/>
          <w:rFonts w:eastAsia="Guttman Hodes"/>
          <w:rtl/>
        </w:rPr>
        <w:fldChar w:fldCharType="end"/>
      </w:r>
      <w:r>
        <w:rPr>
          <w:rFonts w:hint="cs"/>
          <w:rtl/>
        </w:rPr>
        <w:t xml:space="preserve"> בדברי </w:t>
      </w:r>
      <w:r w:rsidRPr="008A6F64">
        <w:rPr>
          <w:rStyle w:val="af8"/>
          <w:rFonts w:hint="cs"/>
          <w:rtl/>
        </w:rPr>
        <w:t>הראב"ד</w:t>
      </w:r>
      <w:r>
        <w:rPr>
          <w:rFonts w:hint="cs"/>
          <w:rtl/>
        </w:rPr>
        <w:t>.</w:t>
      </w:r>
      <w:bookmarkEnd w:id="7211"/>
    </w:p>
    <w:p w:rsidR="00F34A57" w:rsidRPr="00D44698" w:rsidRDefault="00F34A57" w:rsidP="00F34A57">
      <w:pPr>
        <w:pStyle w:val="a2"/>
        <w:rPr>
          <w:rtl/>
        </w:rPr>
      </w:pPr>
      <w:bookmarkStart w:id="7212" w:name="_Toc14257506"/>
      <w:r>
        <w:rPr>
          <w:rFonts w:hint="cs"/>
          <w:rtl/>
        </w:rPr>
        <w:t>דברי הנחל"ד דלר"י מאורליינש צריך כזית בכא"פ דאף דנהפך מ"מ אינו כממשו דאין לוקין בטעם</w:t>
      </w:r>
      <w:bookmarkEnd w:id="7212"/>
      <w:r>
        <w:rPr>
          <w:rFonts w:hint="cs"/>
          <w:rtl/>
        </w:rPr>
        <w:t xml:space="preserve"> </w:t>
      </w:r>
    </w:p>
    <w:p w:rsidR="00F34A57" w:rsidRPr="005159FA" w:rsidRDefault="00F34A57" w:rsidP="009F44AF">
      <w:pPr>
        <w:pStyle w:val="a"/>
        <w:rPr>
          <w:rtl/>
        </w:rPr>
      </w:pPr>
      <w:r>
        <w:rPr>
          <w:rFonts w:hint="cs"/>
          <w:rtl/>
        </w:rPr>
        <w:t xml:space="preserve">וכתב </w:t>
      </w:r>
      <w:r w:rsidRPr="00BB36A0">
        <w:rPr>
          <w:rStyle w:val="af8"/>
          <w:rFonts w:hint="cs"/>
          <w:rtl/>
        </w:rPr>
        <w:t>הנחל"ד</w:t>
      </w:r>
      <w:r>
        <w:rPr>
          <w:rFonts w:hint="cs"/>
          <w:rtl/>
        </w:rPr>
        <w:t xml:space="preserve"> דבעיסת אורז ס"ל </w:t>
      </w:r>
      <w:r w:rsidRPr="00BB36A0">
        <w:rPr>
          <w:rStyle w:val="af8"/>
          <w:rFonts w:hint="cs"/>
          <w:rtl/>
        </w:rPr>
        <w:t>להר"י מאורליינש</w:t>
      </w:r>
      <w:r>
        <w:rPr>
          <w:rFonts w:hint="cs"/>
          <w:rtl/>
        </w:rPr>
        <w:t xml:space="preserve"> שיש כזית דגן בכדי אכילת פרס, ואכל מהכזית דגן עצמו, וכדעת </w:t>
      </w:r>
      <w:r w:rsidRPr="00BB36A0">
        <w:rPr>
          <w:rStyle w:val="af8"/>
          <w:rFonts w:hint="cs"/>
          <w:rtl/>
        </w:rPr>
        <w:t>הראב"ד</w:t>
      </w:r>
      <w:r>
        <w:rPr>
          <w:rFonts w:hint="cs"/>
          <w:rtl/>
        </w:rPr>
        <w:t xml:space="preserve"> </w:t>
      </w:r>
      <w:r w:rsidRPr="00611E63">
        <w:rPr>
          <w:rStyle w:val="af6"/>
          <w:rFonts w:eastAsia="Guttman Hodes" w:hint="cs"/>
          <w:rtl/>
        </w:rPr>
        <w:t xml:space="preserve">(עי' אות </w:t>
      </w:r>
      <w:r w:rsidRPr="00611E63">
        <w:rPr>
          <w:rStyle w:val="af6"/>
          <w:rFonts w:eastAsia="Guttman Hodes"/>
          <w:rtl/>
        </w:rPr>
        <w:fldChar w:fldCharType="begin"/>
      </w:r>
      <w:r w:rsidRPr="00611E63">
        <w:rPr>
          <w:rStyle w:val="af6"/>
          <w:rFonts w:eastAsia="Guttman Hodes"/>
          <w:rtl/>
        </w:rPr>
        <w:instrText xml:space="preserve"> </w:instrText>
      </w:r>
      <w:r w:rsidRPr="00611E63">
        <w:rPr>
          <w:rStyle w:val="af6"/>
          <w:rFonts w:eastAsia="Guttman Hodes" w:hint="cs"/>
        </w:rPr>
        <w:instrText>REF</w:instrText>
      </w:r>
      <w:r w:rsidRPr="00611E63">
        <w:rPr>
          <w:rStyle w:val="af6"/>
          <w:rFonts w:eastAsia="Guttman Hodes" w:hint="cs"/>
          <w:rtl/>
        </w:rPr>
        <w:instrText xml:space="preserve"> _</w:instrText>
      </w:r>
      <w:r w:rsidRPr="00611E63">
        <w:rPr>
          <w:rStyle w:val="af6"/>
          <w:rFonts w:eastAsia="Guttman Hodes" w:hint="cs"/>
        </w:rPr>
        <w:instrText>Ref14244863 \r \h</w:instrText>
      </w:r>
      <w:r w:rsidRPr="00611E63">
        <w:rPr>
          <w:rStyle w:val="af6"/>
          <w:rFonts w:eastAsia="Guttman Hodes"/>
          <w:rtl/>
        </w:rPr>
        <w:instrText xml:space="preserve"> </w:instrText>
      </w:r>
      <w:r w:rsidRPr="00611E63">
        <w:rPr>
          <w:rStyle w:val="af6"/>
          <w:rFonts w:eastAsia="Guttman Hodes"/>
          <w:rtl/>
        </w:rPr>
      </w:r>
      <w:r w:rsidRPr="00611E63">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611E63">
        <w:rPr>
          <w:rStyle w:val="af6"/>
          <w:rFonts w:eastAsia="Guttman Hodes"/>
          <w:rtl/>
        </w:rPr>
        <w:fldChar w:fldCharType="end"/>
      </w:r>
      <w:r>
        <w:rPr>
          <w:rFonts w:hint="cs"/>
          <w:rtl/>
        </w:rPr>
        <w:t>, דאעפ"י דס"ל דבטעם כעיקר נהפך ההיתר לאיסור, אך מ"מ א"א לומר דמדין נהפך יוצא ידי חובת מצה והעיסה מתחייבת בחלה, דהא כיון דאין לוקין על טעם כעיקר, א"כ מוכח דהטעם אינו כמו ממשו לגמרי, ובשביל לצאת יד"ח מצה צריך לאכול כזית דגן, ולכן רק כשאכל כזית בכדי אכילת פרס מהדגן עצמו, יצא יד"ח מצה.</w:t>
      </w:r>
    </w:p>
    <w:p w:rsidR="00F34A57" w:rsidRDefault="00F34A57" w:rsidP="00E669F8">
      <w:pPr>
        <w:pStyle w:val="afd"/>
        <w:rPr>
          <w:rtl/>
        </w:rPr>
      </w:pPr>
      <w:bookmarkStart w:id="7213" w:name="_Toc14257507"/>
      <w:bookmarkStart w:id="7214" w:name="_Toc14248979"/>
      <w:r w:rsidRPr="009978FA">
        <w:rPr>
          <w:rtl/>
        </w:rPr>
        <w:t xml:space="preserve">דעת </w:t>
      </w:r>
      <w:r>
        <w:rPr>
          <w:rFonts w:hint="cs"/>
          <w:rtl/>
        </w:rPr>
        <w:t>הבעה"מ</w:t>
      </w:r>
      <w:r w:rsidRPr="009978FA">
        <w:rPr>
          <w:rtl/>
        </w:rPr>
        <w:t xml:space="preserve"> </w:t>
      </w:r>
      <w:bookmarkEnd w:id="7213"/>
      <w:r>
        <w:rPr>
          <w:rFonts w:hint="cs"/>
          <w:rtl/>
        </w:rPr>
        <w:t>בגדר טע"כ ובנהפך</w:t>
      </w:r>
    </w:p>
    <w:p w:rsidR="00F34A57" w:rsidRPr="007E0C12" w:rsidRDefault="00F34A57" w:rsidP="00F34A57">
      <w:pPr>
        <w:pStyle w:val="1"/>
        <w:rPr>
          <w:rtl/>
        </w:rPr>
      </w:pPr>
      <w:bookmarkStart w:id="7215" w:name="_Toc14257508"/>
      <w:r w:rsidRPr="007E0C12">
        <w:rPr>
          <w:rFonts w:hint="cs"/>
          <w:rtl/>
        </w:rPr>
        <w:t>ד</w:t>
      </w:r>
      <w:r>
        <w:rPr>
          <w:rFonts w:hint="cs"/>
          <w:rtl/>
        </w:rPr>
        <w:t xml:space="preserve">ברי </w:t>
      </w:r>
      <w:r w:rsidRPr="007E0C12">
        <w:rPr>
          <w:rFonts w:hint="cs"/>
          <w:rtl/>
        </w:rPr>
        <w:t xml:space="preserve">הבעה"מ דטעם כעיקר הוא </w:t>
      </w:r>
      <w:r>
        <w:rPr>
          <w:rFonts w:hint="cs"/>
          <w:rtl/>
        </w:rPr>
        <w:t>ב</w:t>
      </w:r>
      <w:r w:rsidRPr="007E0C12">
        <w:rPr>
          <w:rFonts w:hint="cs"/>
          <w:rtl/>
        </w:rPr>
        <w:t>נמחה ממשו</w:t>
      </w:r>
      <w:r>
        <w:rPr>
          <w:rFonts w:hint="cs"/>
          <w:rtl/>
        </w:rPr>
        <w:t xml:space="preserve"> ואין בו מלקות</w:t>
      </w:r>
      <w:bookmarkEnd w:id="7195"/>
      <w:bookmarkEnd w:id="7196"/>
      <w:bookmarkEnd w:id="7197"/>
      <w:bookmarkEnd w:id="7198"/>
      <w:bookmarkEnd w:id="7199"/>
      <w:bookmarkEnd w:id="7200"/>
      <w:bookmarkEnd w:id="7214"/>
      <w:bookmarkEnd w:id="7215"/>
    </w:p>
    <w:p w:rsidR="00F34A57" w:rsidRPr="007E0C12" w:rsidRDefault="00F34A57" w:rsidP="00F34A57">
      <w:pPr>
        <w:pStyle w:val="a2"/>
        <w:rPr>
          <w:rtl/>
        </w:rPr>
      </w:pPr>
      <w:bookmarkStart w:id="7216" w:name="_Toc14089957"/>
      <w:bookmarkStart w:id="7217" w:name="_Toc14109763"/>
      <w:bookmarkStart w:id="7218" w:name="_Toc14120138"/>
      <w:bookmarkStart w:id="7219" w:name="_Toc14122316"/>
      <w:bookmarkStart w:id="7220" w:name="_Toc14196311"/>
      <w:bookmarkStart w:id="7221" w:name="_Toc14208873"/>
      <w:bookmarkStart w:id="7222" w:name="_Toc14248980"/>
      <w:bookmarkStart w:id="7223" w:name="_Toc14257509"/>
      <w:r>
        <w:rPr>
          <w:rFonts w:hint="cs"/>
          <w:rtl/>
        </w:rPr>
        <w:t>דברי הבעה"מ דטעמו ולא ממשו הוא רק באיסור שנימוח ולא ניכר ובכזית בכא"פ ואין בו מלקות</w:t>
      </w:r>
      <w:bookmarkEnd w:id="7216"/>
      <w:bookmarkEnd w:id="7217"/>
      <w:bookmarkEnd w:id="7218"/>
      <w:bookmarkEnd w:id="7219"/>
      <w:bookmarkEnd w:id="7220"/>
      <w:bookmarkEnd w:id="7221"/>
      <w:bookmarkEnd w:id="7222"/>
      <w:bookmarkEnd w:id="7223"/>
    </w:p>
    <w:p w:rsidR="00F34A57" w:rsidRDefault="00F34A57" w:rsidP="009F44AF">
      <w:pPr>
        <w:pStyle w:val="a"/>
        <w:rPr>
          <w:rtl/>
        </w:rPr>
      </w:pPr>
      <w:r w:rsidRPr="007E0C12">
        <w:rPr>
          <w:rFonts w:hint="cs"/>
          <w:rtl/>
        </w:rPr>
        <w:t xml:space="preserve">כתב </w:t>
      </w:r>
      <w:r w:rsidRPr="007E0C12">
        <w:rPr>
          <w:rStyle w:val="af8"/>
          <w:rFonts w:hint="cs"/>
          <w:rtl/>
        </w:rPr>
        <w:t>הבעה"מ בפסחים</w:t>
      </w:r>
      <w:r w:rsidRPr="007E0C12">
        <w:rPr>
          <w:rFonts w:hint="cs"/>
          <w:rtl/>
        </w:rPr>
        <w:t xml:space="preserve"> </w:t>
      </w:r>
      <w:r w:rsidRPr="004132DA">
        <w:rPr>
          <w:rStyle w:val="af6"/>
          <w:rFonts w:eastAsia="Guttman Hodes" w:hint="cs"/>
          <w:rtl/>
        </w:rPr>
        <w:t>(יג: מדפי הרי"ף)</w:t>
      </w:r>
      <w:r w:rsidRPr="007E0C12">
        <w:rPr>
          <w:rFonts w:hint="cs"/>
          <w:rtl/>
        </w:rPr>
        <w:t xml:space="preserve"> דטעם כעיקר הוא רק בדבר שיש בו שיעור כזית מהאיסור, ונמחה האיסור בתוך ההיתר וטעמו ניכר בו, וכשאוכל ממנו שיעור כזית בכדי אכילת פרס מהאיסור שנמחה בו, זהו דין טעם כעיקר דאסור בכל התורה, ואין לוקין עליו, חוץ מאיסורי נזיר דלוקין עליו, ובמקום שניכר בהיתר ממשו של האיסור, לוקין עליו בכל האיסורים</w:t>
      </w:r>
      <w:r>
        <w:rPr>
          <w:rFonts w:hint="cs"/>
          <w:rtl/>
        </w:rPr>
        <w:t>,</w:t>
      </w:r>
      <w:r w:rsidRPr="007E0C12">
        <w:rPr>
          <w:rFonts w:hint="cs"/>
          <w:rtl/>
        </w:rPr>
        <w:t xml:space="preserve"> והוסיף </w:t>
      </w:r>
      <w:r w:rsidRPr="006B3AF1">
        <w:rPr>
          <w:rStyle w:val="af8"/>
          <w:rFonts w:hint="cs"/>
          <w:rtl/>
        </w:rPr>
        <w:t>הבעה"מ בפסחים</w:t>
      </w:r>
      <w:r w:rsidRPr="007E0C12">
        <w:rPr>
          <w:rFonts w:hint="cs"/>
          <w:rtl/>
        </w:rPr>
        <w:t xml:space="preserve"> דאעפ"י דממשרת ילפינן לכל התורה דטעם כעיקר, מ"מ רק בנזיר לוקין על טעם כעיקר, ובכל התורה אין לוקין עליו, כיון דאין עונשין מן הדין.</w:t>
      </w:r>
    </w:p>
    <w:p w:rsidR="00F34A57" w:rsidRPr="007E0C12" w:rsidRDefault="00F34A57" w:rsidP="00F34A57">
      <w:pPr>
        <w:pStyle w:val="a2"/>
        <w:rPr>
          <w:rtl/>
        </w:rPr>
      </w:pPr>
      <w:bookmarkStart w:id="7224" w:name="_Toc14089958"/>
      <w:bookmarkStart w:id="7225" w:name="_Toc14109764"/>
      <w:bookmarkStart w:id="7226" w:name="_Toc14120139"/>
      <w:bookmarkStart w:id="7227" w:name="_Toc14122317"/>
      <w:bookmarkStart w:id="7228" w:name="_Toc14196312"/>
      <w:bookmarkStart w:id="7229" w:name="_Toc14208874"/>
      <w:bookmarkStart w:id="7230" w:name="_Toc14248981"/>
      <w:bookmarkStart w:id="7231" w:name="_Toc14257510"/>
      <w:r>
        <w:rPr>
          <w:rFonts w:hint="cs"/>
          <w:rtl/>
        </w:rPr>
        <w:t>דברי הבעה"מ דטעמו וממשו היינו שגוף האיסור ניכר בתערובת ונותן בה טעם וטעמו היינו בנימוח</w:t>
      </w:r>
      <w:bookmarkEnd w:id="7224"/>
      <w:bookmarkEnd w:id="7225"/>
      <w:bookmarkEnd w:id="7226"/>
      <w:bookmarkEnd w:id="7227"/>
      <w:bookmarkEnd w:id="7228"/>
      <w:bookmarkEnd w:id="7229"/>
      <w:bookmarkEnd w:id="7230"/>
      <w:bookmarkEnd w:id="7231"/>
    </w:p>
    <w:p w:rsidR="00F34A57" w:rsidRDefault="00F34A57" w:rsidP="009F44AF">
      <w:pPr>
        <w:pStyle w:val="a"/>
        <w:rPr>
          <w:rtl/>
        </w:rPr>
      </w:pPr>
      <w:r w:rsidRPr="007E0C12">
        <w:rPr>
          <w:rFonts w:hint="cs"/>
          <w:rtl/>
        </w:rPr>
        <w:t xml:space="preserve">וכתב </w:t>
      </w:r>
      <w:r w:rsidRPr="00BC2B3B">
        <w:rPr>
          <w:rStyle w:val="af8"/>
          <w:rFonts w:hint="cs"/>
          <w:rtl/>
        </w:rPr>
        <w:t>הבעה"מ בפסחים</w:t>
      </w:r>
      <w:r w:rsidRPr="007E0C12">
        <w:rPr>
          <w:rFonts w:hint="cs"/>
          <w:rtl/>
        </w:rPr>
        <w:t xml:space="preserve"> דהא דאמר ריו"ח בע"ז דטעמו וממשו אסור ולוקין עליו, היינו דכל שממשו של האיסור ניכר בתערובת והוא נותן טעם, דאף אם הוא פירורין פירורין ויש בתערובת רוב היתר כנגדו, מ"מ לוקין עליו כשאוכל כזית בכדי אכילת פרס, וטעמו ולא ממשו זהו טעם כעיקר, כיון שגוף האיסור נימוח, ואין ממשו נראה לעין, ואעפ"י דהוא אסור מדאו', מ"מ אין לוקין עליו דילפינן ממשרת ואין לוקין מן הדין.</w:t>
      </w:r>
    </w:p>
    <w:p w:rsidR="00F34A57" w:rsidRPr="009D0DF8" w:rsidRDefault="00F34A57" w:rsidP="00F34A57">
      <w:pPr>
        <w:pStyle w:val="a2"/>
        <w:rPr>
          <w:rtl/>
        </w:rPr>
      </w:pPr>
      <w:bookmarkStart w:id="7232" w:name="_Toc14257511"/>
      <w:r>
        <w:rPr>
          <w:rFonts w:hint="cs"/>
          <w:rtl/>
        </w:rPr>
        <w:t>דברי הנחל"ד בבעה"מ דבטע"כ ל"א נהפך אלא דהטעם אינו מתבטל ואינו חמור מהאיסור עצמו</w:t>
      </w:r>
      <w:bookmarkEnd w:id="7232"/>
    </w:p>
    <w:p w:rsidR="002D7168" w:rsidRDefault="00F34A57" w:rsidP="009F44AF">
      <w:pPr>
        <w:pStyle w:val="a"/>
        <w:rPr>
          <w:rtl/>
        </w:rPr>
      </w:pPr>
      <w:bookmarkStart w:id="7233" w:name="_Ref14252989"/>
      <w:r w:rsidRPr="00B77459">
        <w:rPr>
          <w:rFonts w:hint="cs"/>
          <w:rtl/>
        </w:rPr>
        <w:t>ו</w:t>
      </w:r>
      <w:r w:rsidRPr="007E0C12">
        <w:rPr>
          <w:rFonts w:hint="cs"/>
          <w:rtl/>
        </w:rPr>
        <w:t xml:space="preserve">כתב </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קמ"ה] סוד"ה והא דבעו)</w:t>
      </w:r>
      <w:r w:rsidRPr="007E0C12">
        <w:rPr>
          <w:rStyle w:val="af6"/>
          <w:rFonts w:eastAsia="Guttman Hodes"/>
          <w:rtl/>
        </w:rPr>
        <w:t xml:space="preserve"> </w:t>
      </w:r>
      <w:r w:rsidRPr="00B77459">
        <w:rPr>
          <w:rFonts w:hint="cs"/>
          <w:rtl/>
        </w:rPr>
        <w:t xml:space="preserve">דמבואר דס"ל </w:t>
      </w:r>
      <w:r w:rsidRPr="00071FE6">
        <w:rPr>
          <w:rStyle w:val="af8"/>
          <w:rFonts w:hint="cs"/>
          <w:rtl/>
        </w:rPr>
        <w:t>לבעה"מ</w:t>
      </w:r>
      <w:r>
        <w:rPr>
          <w:rFonts w:hint="cs"/>
          <w:rtl/>
        </w:rPr>
        <w:t xml:space="preserve"> </w:t>
      </w:r>
      <w:r w:rsidRPr="00B77459">
        <w:rPr>
          <w:rFonts w:hint="cs"/>
          <w:rtl/>
        </w:rPr>
        <w:t xml:space="preserve">דבטעם כעיקר </w:t>
      </w:r>
      <w:r>
        <w:rPr>
          <w:rFonts w:hint="cs"/>
          <w:rtl/>
        </w:rPr>
        <w:t>ההיתר אינו</w:t>
      </w:r>
      <w:r w:rsidRPr="00B77459">
        <w:rPr>
          <w:rFonts w:hint="cs"/>
          <w:rtl/>
        </w:rPr>
        <w:t xml:space="preserve"> נהפך</w:t>
      </w:r>
      <w:r>
        <w:rPr>
          <w:rFonts w:hint="cs"/>
          <w:rtl/>
        </w:rPr>
        <w:t xml:space="preserve"> לאיסור</w:t>
      </w:r>
      <w:r w:rsidRPr="00B77459">
        <w:rPr>
          <w:rFonts w:hint="cs"/>
          <w:rtl/>
        </w:rPr>
        <w:t>, ורק הטעם עצמו אסור,</w:t>
      </w:r>
      <w:r>
        <w:rPr>
          <w:rFonts w:hint="cs"/>
          <w:rtl/>
        </w:rPr>
        <w:t xml:space="preserve"> דאינו מתטל ברוב, ואין כל חומרא בטעם יותר מאשר באיסור עצמו.</w:t>
      </w:r>
      <w:bookmarkEnd w:id="7233"/>
    </w:p>
    <w:p w:rsidR="00F34A57" w:rsidRDefault="00F34A57" w:rsidP="00E669F8">
      <w:pPr>
        <w:pStyle w:val="afd"/>
        <w:rPr>
          <w:rtl/>
        </w:rPr>
      </w:pPr>
      <w:bookmarkStart w:id="7234" w:name="_Toc14089978"/>
      <w:bookmarkStart w:id="7235" w:name="_Toc14109777"/>
      <w:bookmarkStart w:id="7236" w:name="_Toc14120152"/>
      <w:bookmarkStart w:id="7237" w:name="_Toc14122330"/>
      <w:bookmarkStart w:id="7238" w:name="_Toc14196316"/>
      <w:bookmarkStart w:id="7239" w:name="_Toc14208875"/>
      <w:bookmarkStart w:id="7240" w:name="_Toc14248982"/>
      <w:bookmarkStart w:id="7241" w:name="_Toc14257512"/>
      <w:bookmarkStart w:id="7242" w:name="_Toc13773311"/>
      <w:bookmarkStart w:id="7243" w:name="_Toc13952617"/>
      <w:bookmarkEnd w:id="7201"/>
      <w:bookmarkEnd w:id="7202"/>
      <w:r>
        <w:rPr>
          <w:rFonts w:hint="cs"/>
          <w:rtl/>
        </w:rPr>
        <w:t>ביאור הר"ש בגדר טע"כ</w:t>
      </w:r>
      <w:bookmarkEnd w:id="7234"/>
      <w:bookmarkEnd w:id="7235"/>
      <w:bookmarkEnd w:id="7236"/>
      <w:bookmarkEnd w:id="7237"/>
      <w:bookmarkEnd w:id="7238"/>
      <w:bookmarkEnd w:id="7239"/>
      <w:bookmarkEnd w:id="7240"/>
      <w:r>
        <w:rPr>
          <w:rFonts w:hint="cs"/>
          <w:rtl/>
        </w:rPr>
        <w:t xml:space="preserve"> ובנהפך</w:t>
      </w:r>
      <w:bookmarkEnd w:id="7241"/>
    </w:p>
    <w:p w:rsidR="00F34A57" w:rsidRPr="00234C9B" w:rsidRDefault="00F34A57" w:rsidP="00F34A57">
      <w:pPr>
        <w:pStyle w:val="1"/>
        <w:rPr>
          <w:rtl/>
        </w:rPr>
      </w:pPr>
      <w:bookmarkStart w:id="7244" w:name="_Toc14109791"/>
      <w:bookmarkStart w:id="7245" w:name="_Toc14120166"/>
      <w:bookmarkStart w:id="7246" w:name="_Toc14122344"/>
      <w:bookmarkStart w:id="7247" w:name="_Toc14196326"/>
      <w:bookmarkStart w:id="7248" w:name="_Toc14208876"/>
      <w:bookmarkStart w:id="7249" w:name="_Toc14248983"/>
      <w:bookmarkStart w:id="7250" w:name="_Toc14257513"/>
      <w:bookmarkEnd w:id="7242"/>
      <w:bookmarkEnd w:id="7243"/>
      <w:r>
        <w:rPr>
          <w:rFonts w:hint="cs"/>
          <w:rtl/>
        </w:rPr>
        <w:t>דעת הר"ש</w:t>
      </w:r>
      <w:bookmarkEnd w:id="7244"/>
      <w:bookmarkEnd w:id="7245"/>
      <w:bookmarkEnd w:id="7246"/>
      <w:bookmarkEnd w:id="7247"/>
      <w:bookmarkEnd w:id="7248"/>
      <w:bookmarkEnd w:id="7249"/>
      <w:r>
        <w:rPr>
          <w:rFonts w:hint="cs"/>
          <w:rtl/>
        </w:rPr>
        <w:t xml:space="preserve"> דלוקין על טעמו וממשו אף בפחות מכא"פ שנימוח</w:t>
      </w:r>
      <w:bookmarkEnd w:id="7250"/>
    </w:p>
    <w:p w:rsidR="00F34A57" w:rsidRDefault="00F34A57" w:rsidP="00F34A57">
      <w:pPr>
        <w:pStyle w:val="a2"/>
        <w:rPr>
          <w:rtl/>
        </w:rPr>
      </w:pPr>
      <w:bookmarkStart w:id="7251" w:name="_Toc14257514"/>
      <w:r>
        <w:rPr>
          <w:rFonts w:hint="cs"/>
          <w:rtl/>
        </w:rPr>
        <w:t>דברי הר"ש דבמין במינו באיסור נימוח מהני ביטול ברוב אף בכזית בכא"פ ובממשו לוקין</w:t>
      </w:r>
      <w:bookmarkEnd w:id="7251"/>
    </w:p>
    <w:p w:rsidR="00F34A57" w:rsidRDefault="00F34A57" w:rsidP="009F44AF">
      <w:pPr>
        <w:pStyle w:val="a"/>
        <w:rPr>
          <w:rtl/>
        </w:rPr>
      </w:pPr>
      <w:r w:rsidRPr="00201C94">
        <w:rPr>
          <w:rFonts w:hint="cs"/>
          <w:rtl/>
        </w:rPr>
        <w:t xml:space="preserve">כתב </w:t>
      </w:r>
      <w:r w:rsidRPr="00BF625B">
        <w:rPr>
          <w:rStyle w:val="af8"/>
          <w:rFonts w:hint="cs"/>
          <w:rtl/>
        </w:rPr>
        <w:t>הר"ש בטבול יום</w:t>
      </w:r>
      <w:r w:rsidRPr="00201C94">
        <w:rPr>
          <w:rFonts w:hint="cs"/>
          <w:rtl/>
        </w:rPr>
        <w:t xml:space="preserve"> </w:t>
      </w:r>
      <w:r w:rsidRPr="00BF625B">
        <w:rPr>
          <w:rStyle w:val="af6"/>
          <w:rFonts w:eastAsia="Guttman Hodes" w:hint="cs"/>
          <w:rtl/>
        </w:rPr>
        <w:t>(פ"ב מ"ג)</w:t>
      </w:r>
      <w:r>
        <w:rPr>
          <w:rFonts w:hint="cs"/>
          <w:rtl/>
        </w:rPr>
        <w:t xml:space="preserve"> </w:t>
      </w:r>
      <w:r w:rsidRPr="00DF000E">
        <w:rPr>
          <w:rStyle w:val="afa"/>
          <w:rFonts w:hint="cs"/>
          <w:rtl/>
        </w:rPr>
        <w:t xml:space="preserve">[בתירוצו הב'] </w:t>
      </w:r>
      <w:r>
        <w:rPr>
          <w:rFonts w:hint="cs"/>
          <w:rtl/>
        </w:rPr>
        <w:t>דאיסור מין במינו שנימוח ואינו ניכר, ויש בו כזית בכדי אכילת פרס, מדאו' הוא בטל ברוב,</w:t>
      </w:r>
      <w:r w:rsidRPr="009D5DB3">
        <w:rPr>
          <w:rStyle w:val="afa"/>
          <w:rFonts w:hint="cs"/>
          <w:rtl/>
        </w:rPr>
        <w:t xml:space="preserve"> [כיון שהוא נימוח ומיעוט מתחבר עם הרוב ומתבטל, אבל בדבר שכ"א עומד בפנ"ע כגון חיטים ושעורים, אף במין במינו יש חיוב על כזית בכדי אכילת פרס אעפ"י שאינו ניכר], </w:t>
      </w:r>
      <w:r>
        <w:rPr>
          <w:rFonts w:hint="cs"/>
          <w:rtl/>
        </w:rPr>
        <w:t xml:space="preserve">וכתב </w:t>
      </w:r>
      <w:r w:rsidRPr="00BF625B">
        <w:rPr>
          <w:rStyle w:val="af8"/>
          <w:rFonts w:hint="cs"/>
          <w:rtl/>
        </w:rPr>
        <w:t>הר"ש</w:t>
      </w:r>
      <w:r>
        <w:rPr>
          <w:rFonts w:hint="cs"/>
          <w:rtl/>
        </w:rPr>
        <w:t xml:space="preserve"> דהא דאמר ריו"ח בע"ז </w:t>
      </w:r>
      <w:r w:rsidRPr="00BF625B">
        <w:rPr>
          <w:rStyle w:val="af6"/>
          <w:rFonts w:eastAsia="Guttman Hodes" w:hint="cs"/>
          <w:rtl/>
        </w:rPr>
        <w:t>(סז.)</w:t>
      </w:r>
      <w:r>
        <w:rPr>
          <w:rFonts w:hint="cs"/>
          <w:rtl/>
        </w:rPr>
        <w:t xml:space="preserve"> דלוקין על טעמו וממשו, רק בכזית בכדי אכילת פרס, </w:t>
      </w:r>
      <w:r w:rsidRPr="00E7526B">
        <w:rPr>
          <w:rStyle w:val="afa"/>
          <w:rFonts w:hint="cs"/>
          <w:rtl/>
        </w:rPr>
        <w:t>[וממשו היינו שאינו נימוח],</w:t>
      </w:r>
      <w:r>
        <w:rPr>
          <w:rFonts w:hint="cs"/>
          <w:rtl/>
        </w:rPr>
        <w:t xml:space="preserve"> הוא כדביאר </w:t>
      </w:r>
      <w:r w:rsidRPr="00BF625B">
        <w:rPr>
          <w:rStyle w:val="af8"/>
          <w:rFonts w:hint="cs"/>
          <w:rtl/>
        </w:rPr>
        <w:t>ר"ת</w:t>
      </w:r>
      <w:r>
        <w:rPr>
          <w:rFonts w:hint="cs"/>
          <w:rtl/>
        </w:rPr>
        <w:t xml:space="preserve"> </w:t>
      </w:r>
      <w:r w:rsidRPr="00E7526B">
        <w:rPr>
          <w:rStyle w:val="af6"/>
          <w:rFonts w:eastAsia="Guttman Hodes" w:hint="cs"/>
          <w:rtl/>
        </w:rPr>
        <w:t xml:space="preserve">(עי' אות </w:t>
      </w:r>
      <w:r w:rsidRPr="00E7526B">
        <w:rPr>
          <w:rStyle w:val="af6"/>
          <w:rFonts w:eastAsia="Guttman Hodes"/>
          <w:rtl/>
        </w:rPr>
        <w:fldChar w:fldCharType="begin"/>
      </w:r>
      <w:r w:rsidRPr="00E7526B">
        <w:rPr>
          <w:rStyle w:val="af6"/>
          <w:rFonts w:eastAsia="Guttman Hodes"/>
          <w:rtl/>
        </w:rPr>
        <w:instrText xml:space="preserve"> </w:instrText>
      </w:r>
      <w:r w:rsidRPr="00E7526B">
        <w:rPr>
          <w:rStyle w:val="af6"/>
          <w:rFonts w:eastAsia="Guttman Hodes" w:hint="cs"/>
        </w:rPr>
        <w:instrText>REF</w:instrText>
      </w:r>
      <w:r w:rsidRPr="00E7526B">
        <w:rPr>
          <w:rStyle w:val="af6"/>
          <w:rFonts w:eastAsia="Guttman Hodes" w:hint="cs"/>
          <w:rtl/>
        </w:rPr>
        <w:instrText xml:space="preserve"> _</w:instrText>
      </w:r>
      <w:r w:rsidRPr="00E7526B">
        <w:rPr>
          <w:rStyle w:val="af6"/>
          <w:rFonts w:eastAsia="Guttman Hodes" w:hint="cs"/>
        </w:rPr>
        <w:instrText>Ref14194883 \r \h</w:instrText>
      </w:r>
      <w:r w:rsidRPr="00E7526B">
        <w:rPr>
          <w:rStyle w:val="af6"/>
          <w:rFonts w:eastAsia="Guttman Hodes"/>
          <w:rtl/>
        </w:rPr>
        <w:instrText xml:space="preserve"> </w:instrText>
      </w:r>
      <w:r w:rsidRPr="00E7526B">
        <w:rPr>
          <w:rStyle w:val="af6"/>
          <w:rFonts w:eastAsia="Guttman Hodes"/>
          <w:rtl/>
        </w:rPr>
      </w:r>
      <w:r w:rsidRPr="00E7526B">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E7526B">
        <w:rPr>
          <w:rStyle w:val="af6"/>
          <w:rFonts w:eastAsia="Guttman Hodes"/>
          <w:rtl/>
        </w:rPr>
        <w:fldChar w:fldCharType="end"/>
      </w:r>
      <w:r>
        <w:rPr>
          <w:rFonts w:hint="cs"/>
          <w:rtl/>
        </w:rPr>
        <w:t xml:space="preserve"> דאיירי במין במינו, ולכן לוקין עליו רק בכזית בכדי אכילת פרס, אבל בפחות מכדי אכילת פרס, הוא בטל ברוב.</w:t>
      </w:r>
    </w:p>
    <w:p w:rsidR="00F34A57" w:rsidRPr="00BF625B" w:rsidRDefault="00F34A57" w:rsidP="00F34A57">
      <w:pPr>
        <w:pStyle w:val="a2"/>
        <w:rPr>
          <w:rtl/>
        </w:rPr>
      </w:pPr>
      <w:bookmarkStart w:id="7252" w:name="_Toc14257515"/>
      <w:r>
        <w:rPr>
          <w:rFonts w:hint="cs"/>
          <w:rtl/>
        </w:rPr>
        <w:t>דברי הר"ש דבטע"כ לוקין על טעמו וממשו אף בפחות מכזית בכא"פ ואף באיסור שנימוח ואינו ניכר</w:t>
      </w:r>
      <w:bookmarkEnd w:id="7252"/>
    </w:p>
    <w:p w:rsidR="00F34A57" w:rsidRDefault="00F34A57" w:rsidP="009F44AF">
      <w:pPr>
        <w:pStyle w:val="a"/>
        <w:rPr>
          <w:rtl/>
        </w:rPr>
      </w:pPr>
      <w:r>
        <w:rPr>
          <w:rFonts w:hint="cs"/>
          <w:rtl/>
        </w:rPr>
        <w:t xml:space="preserve">אבל במין בשאינו מינו, כתב </w:t>
      </w:r>
      <w:r w:rsidRPr="00201C94">
        <w:rPr>
          <w:rFonts w:hint="cs"/>
          <w:rtl/>
        </w:rPr>
        <w:t xml:space="preserve">כתב </w:t>
      </w:r>
      <w:r w:rsidRPr="00BF625B">
        <w:rPr>
          <w:rStyle w:val="af8"/>
          <w:rFonts w:hint="cs"/>
          <w:rtl/>
        </w:rPr>
        <w:t>הר"ש בטבול יום</w:t>
      </w:r>
      <w:r>
        <w:rPr>
          <w:rFonts w:hint="cs"/>
          <w:rtl/>
        </w:rPr>
        <w:t xml:space="preserve"> בדעת </w:t>
      </w:r>
      <w:r w:rsidRPr="00BF625B">
        <w:rPr>
          <w:rStyle w:val="af8"/>
          <w:rFonts w:hint="cs"/>
          <w:rtl/>
        </w:rPr>
        <w:t>ר"ת</w:t>
      </w:r>
      <w:r>
        <w:rPr>
          <w:rFonts w:hint="cs"/>
          <w:rtl/>
        </w:rPr>
        <w:t xml:space="preserve"> דלוקין עליו בטעמו וממשו, אף בפחות מכזית בכדי אכילת פרס, ואף באיסור שנימוח ואינו ניכר, דהא טעם כעיקר דאו'. </w:t>
      </w:r>
    </w:p>
    <w:p w:rsidR="00F34A57" w:rsidRPr="009D0DF8" w:rsidRDefault="00F34A57" w:rsidP="00F34A57">
      <w:pPr>
        <w:pStyle w:val="a2"/>
        <w:rPr>
          <w:rtl/>
        </w:rPr>
      </w:pPr>
      <w:bookmarkStart w:id="7253" w:name="_Toc14257516"/>
      <w:r>
        <w:rPr>
          <w:rFonts w:hint="cs"/>
          <w:rtl/>
        </w:rPr>
        <w:t>ביאור הנחל"ד בר"ש דבטע"כ ל"א נהפך אלא דהטעם אינו מתבטל ואינו חמור מהאיסור עצמו</w:t>
      </w:r>
      <w:bookmarkEnd w:id="7253"/>
    </w:p>
    <w:p w:rsidR="00F34A57" w:rsidRDefault="00F34A57" w:rsidP="009F44AF">
      <w:pPr>
        <w:pStyle w:val="a"/>
        <w:rPr>
          <w:rtl/>
        </w:rPr>
      </w:pPr>
      <w:bookmarkStart w:id="7254" w:name="_Ref14258128"/>
      <w:r w:rsidRPr="00B77459">
        <w:rPr>
          <w:rFonts w:hint="cs"/>
          <w:rtl/>
        </w:rPr>
        <w:t>ו</w:t>
      </w:r>
      <w:r w:rsidRPr="007E0C12">
        <w:rPr>
          <w:rFonts w:hint="cs"/>
          <w:rtl/>
        </w:rPr>
        <w:t xml:space="preserve">כתב </w:t>
      </w:r>
      <w:r w:rsidRPr="007E0C12">
        <w:rPr>
          <w:rStyle w:val="af8"/>
          <w:rtl/>
        </w:rPr>
        <w:t>הנחל"ד</w:t>
      </w:r>
      <w:r w:rsidRPr="007E0C12">
        <w:rPr>
          <w:rtl/>
        </w:rPr>
        <w:t xml:space="preserve"> </w:t>
      </w:r>
      <w:r w:rsidRPr="007E0C12">
        <w:rPr>
          <w:rStyle w:val="af6"/>
          <w:rFonts w:eastAsia="Guttman Hodes"/>
          <w:rtl/>
        </w:rPr>
        <w:t>(פסחים מג:, קונ' דברי דוד [מהדו' חד' עמ'</w:t>
      </w:r>
      <w:r>
        <w:rPr>
          <w:rStyle w:val="af6"/>
          <w:rFonts w:eastAsia="Guttman Hodes" w:hint="cs"/>
          <w:rtl/>
        </w:rPr>
        <w:t xml:space="preserve"> קמ"ה] סוד"ה והא דבעו)</w:t>
      </w:r>
      <w:r w:rsidRPr="007E0C12">
        <w:rPr>
          <w:rStyle w:val="af6"/>
          <w:rFonts w:eastAsia="Guttman Hodes"/>
          <w:rtl/>
        </w:rPr>
        <w:t xml:space="preserve"> </w:t>
      </w:r>
      <w:r w:rsidRPr="00B77459">
        <w:rPr>
          <w:rFonts w:hint="cs"/>
          <w:rtl/>
        </w:rPr>
        <w:t>דמבואר דס"ל</w:t>
      </w:r>
      <w:r>
        <w:rPr>
          <w:rFonts w:hint="cs"/>
          <w:rtl/>
        </w:rPr>
        <w:t xml:space="preserve"> </w:t>
      </w:r>
      <w:r w:rsidRPr="00BF625B">
        <w:rPr>
          <w:rStyle w:val="af8"/>
          <w:rFonts w:hint="cs"/>
          <w:rtl/>
        </w:rPr>
        <w:t>להר"ש</w:t>
      </w:r>
      <w:r w:rsidRPr="00B77459">
        <w:rPr>
          <w:rFonts w:hint="cs"/>
          <w:rtl/>
        </w:rPr>
        <w:t xml:space="preserve"> דבטעם כעיקר </w:t>
      </w:r>
      <w:r>
        <w:rPr>
          <w:rFonts w:hint="cs"/>
          <w:rtl/>
        </w:rPr>
        <w:t>ההיתר אינו</w:t>
      </w:r>
      <w:r w:rsidRPr="00B77459">
        <w:rPr>
          <w:rFonts w:hint="cs"/>
          <w:rtl/>
        </w:rPr>
        <w:t xml:space="preserve"> נהפך</w:t>
      </w:r>
      <w:r>
        <w:rPr>
          <w:rFonts w:hint="cs"/>
          <w:rtl/>
        </w:rPr>
        <w:t xml:space="preserve"> לאיסור</w:t>
      </w:r>
      <w:r w:rsidRPr="00B77459">
        <w:rPr>
          <w:rFonts w:hint="cs"/>
          <w:rtl/>
        </w:rPr>
        <w:t>, ורק הטעם עצמו אסור,</w:t>
      </w:r>
      <w:r>
        <w:rPr>
          <w:rFonts w:hint="cs"/>
          <w:rtl/>
        </w:rPr>
        <w:t xml:space="preserve"> ואין כל חומרא בטעם יותר מאשר באיסור עצמו,</w:t>
      </w:r>
      <w:r w:rsidRPr="00B77459">
        <w:rPr>
          <w:rFonts w:hint="cs"/>
          <w:rtl/>
        </w:rPr>
        <w:t xml:space="preserve"> וביאר </w:t>
      </w:r>
      <w:r w:rsidRPr="00BF625B">
        <w:rPr>
          <w:rStyle w:val="af8"/>
          <w:rFonts w:hint="cs"/>
          <w:rtl/>
        </w:rPr>
        <w:t>הנחל"ד</w:t>
      </w:r>
      <w:r w:rsidRPr="00B77459">
        <w:rPr>
          <w:rFonts w:hint="cs"/>
          <w:rtl/>
        </w:rPr>
        <w:t xml:space="preserve"> דס"ל </w:t>
      </w:r>
      <w:r w:rsidRPr="00BF625B">
        <w:rPr>
          <w:rStyle w:val="af8"/>
          <w:rFonts w:hint="cs"/>
          <w:rtl/>
        </w:rPr>
        <w:t>להר"ש</w:t>
      </w:r>
      <w:r w:rsidRPr="00B77459">
        <w:rPr>
          <w:rFonts w:hint="cs"/>
          <w:rtl/>
        </w:rPr>
        <w:t xml:space="preserve"> </w:t>
      </w:r>
      <w:r>
        <w:rPr>
          <w:rFonts w:hint="cs"/>
          <w:rtl/>
        </w:rPr>
        <w:t>ד</w:t>
      </w:r>
      <w:r w:rsidRPr="00B77459">
        <w:rPr>
          <w:rFonts w:hint="cs"/>
          <w:rtl/>
        </w:rPr>
        <w:t xml:space="preserve">טעם כעיקר היינו כמו דעת </w:t>
      </w:r>
      <w:r w:rsidRPr="00BF625B">
        <w:rPr>
          <w:rStyle w:val="af8"/>
          <w:rFonts w:hint="cs"/>
          <w:rtl/>
        </w:rPr>
        <w:t>רש"י</w:t>
      </w:r>
      <w:r>
        <w:rPr>
          <w:rStyle w:val="af8"/>
          <w:rFonts w:hint="cs"/>
          <w:rtl/>
        </w:rPr>
        <w:t xml:space="preserve"> בע"ז </w:t>
      </w:r>
      <w:r>
        <w:rPr>
          <w:rStyle w:val="af6"/>
          <w:rFonts w:eastAsia="Guttman Hodes" w:hint="cs"/>
          <w:rtl/>
        </w:rPr>
        <w:t>(סז. ד"ה כל, הובא לעיל סימן ט' אות</w:t>
      </w:r>
      <w:r w:rsidR="00747F94">
        <w:rPr>
          <w:rStyle w:val="af6"/>
          <w:rFonts w:eastAsia="Guttman Hodes" w:hint="cs"/>
          <w:rtl/>
        </w:rPr>
        <w:t xml:space="preserve"> </w:t>
      </w:r>
      <w:r w:rsidR="00747F94">
        <w:rPr>
          <w:rStyle w:val="af6"/>
          <w:rFonts w:eastAsia="Guttman Hodes"/>
          <w:rtl/>
        </w:rPr>
        <w:fldChar w:fldCharType="begin"/>
      </w:r>
      <w:r w:rsidR="00747F94">
        <w:rPr>
          <w:rStyle w:val="af6"/>
          <w:rFonts w:eastAsia="Guttman Hodes"/>
          <w:rtl/>
        </w:rPr>
        <w:instrText xml:space="preserve"> </w:instrText>
      </w:r>
      <w:r w:rsidR="00747F94">
        <w:rPr>
          <w:rStyle w:val="af6"/>
          <w:rFonts w:eastAsia="Guttman Hodes" w:hint="cs"/>
        </w:rPr>
        <w:instrText>REF</w:instrText>
      </w:r>
      <w:r w:rsidR="00747F94">
        <w:rPr>
          <w:rStyle w:val="af6"/>
          <w:rFonts w:eastAsia="Guttman Hodes" w:hint="cs"/>
          <w:rtl/>
        </w:rPr>
        <w:instrText xml:space="preserve"> _</w:instrText>
      </w:r>
      <w:r w:rsidR="00747F94">
        <w:rPr>
          <w:rStyle w:val="af6"/>
          <w:rFonts w:eastAsia="Guttman Hodes" w:hint="cs"/>
        </w:rPr>
        <w:instrText>Ref13476932 \r \h</w:instrText>
      </w:r>
      <w:r w:rsidR="00747F94">
        <w:rPr>
          <w:rStyle w:val="af6"/>
          <w:rFonts w:eastAsia="Guttman Hodes"/>
          <w:rtl/>
        </w:rPr>
        <w:instrText xml:space="preserve"> </w:instrText>
      </w:r>
      <w:r w:rsidR="00747F94">
        <w:rPr>
          <w:rStyle w:val="af6"/>
          <w:rFonts w:eastAsia="Guttman Hodes"/>
          <w:rtl/>
        </w:rPr>
      </w:r>
      <w:r w:rsidR="00747F94">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00747F94">
        <w:rPr>
          <w:rStyle w:val="af6"/>
          <w:rFonts w:eastAsia="Guttman Hodes"/>
          <w:rtl/>
        </w:rPr>
        <w:fldChar w:fldCharType="end"/>
      </w:r>
      <w:r>
        <w:rPr>
          <w:rStyle w:val="af6"/>
          <w:rFonts w:eastAsia="Guttman Hodes" w:hint="cs"/>
          <w:rtl/>
        </w:rPr>
        <w:t xml:space="preserve"> </w:t>
      </w:r>
      <w:r>
        <w:rPr>
          <w:rFonts w:hint="cs"/>
          <w:rtl/>
        </w:rPr>
        <w:t>ב</w:t>
      </w:r>
      <w:r w:rsidRPr="00B77459">
        <w:rPr>
          <w:rFonts w:hint="cs"/>
          <w:rtl/>
        </w:rPr>
        <w:t>טעמו וממשו</w:t>
      </w:r>
      <w:r>
        <w:rPr>
          <w:rFonts w:hint="cs"/>
          <w:rtl/>
        </w:rPr>
        <w:t>, דביאר דממשו היינו שאין האיסור נימוח, ובטעמו ולא ממשו האיסור נימוח.</w:t>
      </w:r>
      <w:bookmarkEnd w:id="7254"/>
    </w:p>
    <w:p w:rsidR="00F34A57" w:rsidRDefault="00F34A57" w:rsidP="00E669F8">
      <w:pPr>
        <w:pStyle w:val="afd"/>
        <w:rPr>
          <w:rtl/>
        </w:rPr>
      </w:pPr>
      <w:bookmarkStart w:id="7255" w:name="_Toc14089992"/>
      <w:bookmarkStart w:id="7256" w:name="_Toc14109792"/>
      <w:bookmarkStart w:id="7257" w:name="_Toc14120167"/>
      <w:bookmarkStart w:id="7258" w:name="_Toc14122345"/>
      <w:bookmarkStart w:id="7259" w:name="_Toc14196327"/>
      <w:bookmarkStart w:id="7260" w:name="_Toc14208877"/>
      <w:bookmarkStart w:id="7261" w:name="_Toc14248984"/>
      <w:bookmarkStart w:id="7262" w:name="_Toc14257517"/>
      <w:r>
        <w:rPr>
          <w:rFonts w:hint="cs"/>
          <w:rtl/>
        </w:rPr>
        <w:t>דעת הר"ן</w:t>
      </w:r>
      <w:bookmarkEnd w:id="7255"/>
      <w:bookmarkEnd w:id="7256"/>
      <w:bookmarkEnd w:id="7257"/>
      <w:bookmarkEnd w:id="7258"/>
      <w:bookmarkEnd w:id="7259"/>
      <w:bookmarkEnd w:id="7260"/>
      <w:bookmarkEnd w:id="7261"/>
      <w:r>
        <w:rPr>
          <w:rFonts w:hint="cs"/>
          <w:rtl/>
        </w:rPr>
        <w:t xml:space="preserve"> בגדר טע"כ ובדין נהפך</w:t>
      </w:r>
      <w:bookmarkEnd w:id="7262"/>
    </w:p>
    <w:p w:rsidR="00F34A57" w:rsidRDefault="00F34A57" w:rsidP="00F34A57">
      <w:pPr>
        <w:pStyle w:val="1"/>
        <w:rPr>
          <w:rtl/>
        </w:rPr>
      </w:pPr>
      <w:bookmarkStart w:id="7263" w:name="_Toc14257518"/>
      <w:r>
        <w:rPr>
          <w:rFonts w:hint="cs"/>
          <w:rtl/>
        </w:rPr>
        <w:t>דברי הר"ן דרק בכזית בכא"פ לוקין על טעם כעיקר</w:t>
      </w:r>
      <w:bookmarkEnd w:id="7263"/>
    </w:p>
    <w:p w:rsidR="00F34A57" w:rsidRPr="007E0C12" w:rsidRDefault="00F34A57" w:rsidP="00F34A57">
      <w:pPr>
        <w:pStyle w:val="a2"/>
        <w:rPr>
          <w:rtl/>
        </w:rPr>
      </w:pPr>
      <w:bookmarkStart w:id="7264" w:name="_Toc14089993"/>
      <w:bookmarkStart w:id="7265" w:name="_Toc14109793"/>
      <w:bookmarkStart w:id="7266" w:name="_Toc14120168"/>
      <w:bookmarkStart w:id="7267" w:name="_Toc14122346"/>
      <w:bookmarkStart w:id="7268" w:name="_Toc14196328"/>
      <w:bookmarkStart w:id="7269" w:name="_Toc14208878"/>
      <w:bookmarkStart w:id="7270" w:name="_Toc14248985"/>
      <w:bookmarkStart w:id="7271" w:name="_Toc14257519"/>
      <w:r w:rsidRPr="007E0C12">
        <w:rPr>
          <w:rFonts w:hint="cs"/>
          <w:rtl/>
        </w:rPr>
        <w:t>דברי הר"ן דבכזית בכא"פ לוקין עליו ובפחות אסור מדאו' ואין מלקות ובטעם כעיקר נח' רש"י ותוס'</w:t>
      </w:r>
      <w:bookmarkEnd w:id="7264"/>
      <w:bookmarkEnd w:id="7265"/>
      <w:bookmarkEnd w:id="7266"/>
      <w:bookmarkEnd w:id="7267"/>
      <w:bookmarkEnd w:id="7268"/>
      <w:bookmarkEnd w:id="7269"/>
      <w:bookmarkEnd w:id="7270"/>
      <w:bookmarkEnd w:id="7271"/>
    </w:p>
    <w:p w:rsidR="00F34A57" w:rsidRDefault="00F34A57" w:rsidP="009F44AF">
      <w:pPr>
        <w:pStyle w:val="a"/>
        <w:rPr>
          <w:rtl/>
        </w:rPr>
      </w:pPr>
      <w:r w:rsidRPr="007E0C12">
        <w:rPr>
          <w:rFonts w:hint="cs"/>
          <w:rtl/>
        </w:rPr>
        <w:t xml:space="preserve">כתב </w:t>
      </w:r>
      <w:r w:rsidRPr="007E0C12">
        <w:rPr>
          <w:rStyle w:val="af8"/>
          <w:rFonts w:hint="cs"/>
          <w:rtl/>
        </w:rPr>
        <w:t>הר"ן על הרי"ף</w:t>
      </w:r>
      <w:r w:rsidRPr="007E0C12">
        <w:rPr>
          <w:rFonts w:hint="cs"/>
          <w:rtl/>
        </w:rPr>
        <w:t xml:space="preserve"> </w:t>
      </w:r>
      <w:r w:rsidRPr="007E0C12">
        <w:rPr>
          <w:rStyle w:val="af6"/>
          <w:rFonts w:eastAsia="Guttman Hodes" w:hint="cs"/>
          <w:rtl/>
        </w:rPr>
        <w:t xml:space="preserve">(לה: מדפי הרי"ף ד"ה ולענין) </w:t>
      </w:r>
      <w:r w:rsidRPr="007E0C12">
        <w:rPr>
          <w:rFonts w:hint="cs"/>
          <w:rtl/>
        </w:rPr>
        <w:t xml:space="preserve">דבמין בשאינו מינו שיש נתינת טעם, מדאו' אינו בטל אפילו באלף, כדברי רבא בזבחים </w:t>
      </w:r>
      <w:r w:rsidRPr="007E0C12">
        <w:rPr>
          <w:rStyle w:val="af6"/>
          <w:rFonts w:eastAsia="Guttman Hodes" w:hint="cs"/>
          <w:rtl/>
        </w:rPr>
        <w:t xml:space="preserve">(עט.) </w:t>
      </w:r>
      <w:r w:rsidRPr="007E0C12">
        <w:rPr>
          <w:rFonts w:hint="cs"/>
          <w:rtl/>
        </w:rPr>
        <w:t xml:space="preserve">דמין בשאינו מינו בטעמא, והיינו מדאו' כדאמר רבא דמין במינו ברובא דהוא מדאו', וכתב </w:t>
      </w:r>
      <w:r w:rsidRPr="007E0C12">
        <w:rPr>
          <w:rStyle w:val="af8"/>
          <w:rFonts w:hint="cs"/>
          <w:rtl/>
        </w:rPr>
        <w:t>הר"ן על הרי"ף</w:t>
      </w:r>
      <w:r w:rsidRPr="007E0C12">
        <w:rPr>
          <w:rFonts w:hint="cs"/>
          <w:rtl/>
        </w:rPr>
        <w:t xml:space="preserve"> דבמקום שיש כזית בכדי אכילת פרס לוקין עליו, כמבואר בגמ' בפסחים </w:t>
      </w:r>
      <w:r w:rsidRPr="007E0C12">
        <w:rPr>
          <w:rStyle w:val="af6"/>
          <w:rFonts w:eastAsia="Guttman Hodes" w:hint="cs"/>
          <w:rtl/>
        </w:rPr>
        <w:t>(מד.)</w:t>
      </w:r>
      <w:r w:rsidRPr="007E0C12">
        <w:rPr>
          <w:rFonts w:hint="cs"/>
          <w:rtl/>
        </w:rPr>
        <w:t xml:space="preserve">, ובמקום שאין כזית בכדי אכילת פרס, אסור מדאו' ואין בו מלקות, ובמקום שאין נתינת טעם שיעורו הוא בשישים, וכתב </w:t>
      </w:r>
      <w:r w:rsidRPr="007E0C12">
        <w:rPr>
          <w:rStyle w:val="af8"/>
          <w:rFonts w:hint="cs"/>
          <w:rtl/>
        </w:rPr>
        <w:t>הר"ן על הרי"ף</w:t>
      </w:r>
      <w:r w:rsidRPr="007E0C12">
        <w:rPr>
          <w:rFonts w:hint="cs"/>
          <w:rtl/>
        </w:rPr>
        <w:t xml:space="preserve"> דבמקום שהתערב טעמו ולא ממשו, הוא טעם כעיקר </w:t>
      </w:r>
      <w:r w:rsidRPr="007E0C12">
        <w:rPr>
          <w:rStyle w:val="af8"/>
          <w:rFonts w:hint="cs"/>
          <w:rtl/>
        </w:rPr>
        <w:t>דלר"ת</w:t>
      </w:r>
      <w:r w:rsidRPr="007E0C12">
        <w:rPr>
          <w:rFonts w:hint="cs"/>
          <w:rtl/>
        </w:rPr>
        <w:t xml:space="preserve"> </w:t>
      </w:r>
      <w:r w:rsidRPr="00474B7E">
        <w:rPr>
          <w:rStyle w:val="af6"/>
          <w:rFonts w:eastAsia="Guttman Hodes" w:hint="cs"/>
          <w:rtl/>
        </w:rPr>
        <w:t xml:space="preserve">(עי' אות </w:t>
      </w:r>
      <w:r w:rsidRPr="00474B7E">
        <w:rPr>
          <w:rStyle w:val="af6"/>
          <w:rFonts w:eastAsia="Guttman Hodes"/>
          <w:rtl/>
        </w:rPr>
        <w:fldChar w:fldCharType="begin"/>
      </w:r>
      <w:r w:rsidRPr="00474B7E">
        <w:rPr>
          <w:rStyle w:val="af6"/>
          <w:rFonts w:eastAsia="Guttman Hodes"/>
          <w:rtl/>
        </w:rPr>
        <w:instrText xml:space="preserve"> </w:instrText>
      </w:r>
      <w:r w:rsidRPr="00474B7E">
        <w:rPr>
          <w:rStyle w:val="af6"/>
          <w:rFonts w:eastAsia="Guttman Hodes" w:hint="cs"/>
        </w:rPr>
        <w:instrText>REF</w:instrText>
      </w:r>
      <w:r w:rsidRPr="00474B7E">
        <w:rPr>
          <w:rStyle w:val="af6"/>
          <w:rFonts w:eastAsia="Guttman Hodes" w:hint="cs"/>
          <w:rtl/>
        </w:rPr>
        <w:instrText xml:space="preserve"> _</w:instrText>
      </w:r>
      <w:r w:rsidRPr="00474B7E">
        <w:rPr>
          <w:rStyle w:val="af6"/>
          <w:rFonts w:eastAsia="Guttman Hodes" w:hint="cs"/>
        </w:rPr>
        <w:instrText>Ref14194883 \r \h</w:instrText>
      </w:r>
      <w:r w:rsidRPr="00474B7E">
        <w:rPr>
          <w:rStyle w:val="af6"/>
          <w:rFonts w:eastAsia="Guttman Hodes"/>
          <w:rtl/>
        </w:rPr>
        <w:instrText xml:space="preserve"> </w:instrText>
      </w:r>
      <w:r w:rsidRPr="00474B7E">
        <w:rPr>
          <w:rStyle w:val="af6"/>
          <w:rFonts w:eastAsia="Guttman Hodes"/>
          <w:rtl/>
        </w:rPr>
      </w:r>
      <w:r w:rsidRPr="00474B7E">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474B7E">
        <w:rPr>
          <w:rStyle w:val="af6"/>
          <w:rFonts w:eastAsia="Guttman Hodes"/>
          <w:rtl/>
        </w:rPr>
        <w:fldChar w:fldCharType="end"/>
      </w:r>
      <w:r>
        <w:rPr>
          <w:rFonts w:hint="cs"/>
          <w:rtl/>
        </w:rPr>
        <w:t xml:space="preserve"> </w:t>
      </w:r>
      <w:r w:rsidRPr="007E0C12">
        <w:rPr>
          <w:rFonts w:hint="cs"/>
          <w:rtl/>
        </w:rPr>
        <w:t xml:space="preserve">הוא דאו', </w:t>
      </w:r>
      <w:r w:rsidRPr="007E0C12">
        <w:rPr>
          <w:rStyle w:val="af8"/>
          <w:rFonts w:hint="cs"/>
          <w:rtl/>
        </w:rPr>
        <w:t>ולרש"י</w:t>
      </w:r>
      <w:r>
        <w:rPr>
          <w:rFonts w:hint="cs"/>
          <w:rtl/>
        </w:rPr>
        <w:t xml:space="preserve"> </w:t>
      </w:r>
      <w:r w:rsidRPr="00235B8C">
        <w:rPr>
          <w:rStyle w:val="af6"/>
          <w:rFonts w:eastAsia="Guttman Hodes" w:hint="cs"/>
          <w:rtl/>
        </w:rPr>
        <w:t xml:space="preserve">(עי' אות </w:t>
      </w:r>
      <w:r w:rsidRPr="00235B8C">
        <w:rPr>
          <w:rStyle w:val="af6"/>
          <w:rFonts w:eastAsia="Guttman Hodes"/>
          <w:rtl/>
        </w:rPr>
        <w:fldChar w:fldCharType="begin"/>
      </w:r>
      <w:r w:rsidRPr="00235B8C">
        <w:rPr>
          <w:rStyle w:val="af6"/>
          <w:rFonts w:eastAsia="Guttman Hodes"/>
          <w:rtl/>
        </w:rPr>
        <w:instrText xml:space="preserve"> </w:instrText>
      </w:r>
      <w:r w:rsidRPr="00235B8C">
        <w:rPr>
          <w:rStyle w:val="af6"/>
          <w:rFonts w:eastAsia="Guttman Hodes" w:hint="cs"/>
        </w:rPr>
        <w:instrText>REF</w:instrText>
      </w:r>
      <w:r w:rsidRPr="00235B8C">
        <w:rPr>
          <w:rStyle w:val="af6"/>
          <w:rFonts w:eastAsia="Guttman Hodes" w:hint="cs"/>
          <w:rtl/>
        </w:rPr>
        <w:instrText xml:space="preserve"> _</w:instrText>
      </w:r>
      <w:r w:rsidRPr="00235B8C">
        <w:rPr>
          <w:rStyle w:val="af6"/>
          <w:rFonts w:eastAsia="Guttman Hodes" w:hint="cs"/>
        </w:rPr>
        <w:instrText>Ref14106142 \r \h</w:instrText>
      </w:r>
      <w:r w:rsidRPr="00235B8C">
        <w:rPr>
          <w:rStyle w:val="af6"/>
          <w:rFonts w:eastAsia="Guttman Hodes"/>
          <w:rtl/>
        </w:rPr>
        <w:instrText xml:space="preserve"> </w:instrText>
      </w:r>
      <w:r w:rsidRPr="00235B8C">
        <w:rPr>
          <w:rStyle w:val="af6"/>
          <w:rFonts w:eastAsia="Guttman Hodes"/>
          <w:rtl/>
        </w:rPr>
      </w:r>
      <w:r w:rsidRPr="00235B8C">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235B8C">
        <w:rPr>
          <w:rStyle w:val="af6"/>
          <w:rFonts w:eastAsia="Guttman Hodes"/>
          <w:rtl/>
        </w:rPr>
        <w:fldChar w:fldCharType="end"/>
      </w:r>
      <w:r>
        <w:rPr>
          <w:rStyle w:val="af6"/>
          <w:rFonts w:eastAsia="Guttman Hodes" w:hint="cs"/>
          <w:rtl/>
        </w:rPr>
        <w:t xml:space="preserve"> </w:t>
      </w:r>
      <w:r w:rsidRPr="007E0C12">
        <w:rPr>
          <w:rFonts w:hint="cs"/>
          <w:rtl/>
        </w:rPr>
        <w:t>הוא דרבנן</w:t>
      </w:r>
      <w:r>
        <w:rPr>
          <w:rFonts w:hint="cs"/>
          <w:rtl/>
        </w:rPr>
        <w:t>.</w:t>
      </w:r>
    </w:p>
    <w:p w:rsidR="00F34A57" w:rsidRDefault="00F34A57" w:rsidP="00F34A57">
      <w:pPr>
        <w:pStyle w:val="a2"/>
        <w:rPr>
          <w:rtl/>
        </w:rPr>
      </w:pPr>
      <w:bookmarkStart w:id="7272" w:name="_Toc14257520"/>
      <w:r>
        <w:rPr>
          <w:rFonts w:hint="cs"/>
          <w:rtl/>
        </w:rPr>
        <w:t>דברי הפרמ"ג בר"ן דבנמחה ממשו של האיסור ויש כזית בכא"פ חייב מלקות דטע"כ דאו'</w:t>
      </w:r>
      <w:bookmarkEnd w:id="7272"/>
    </w:p>
    <w:p w:rsidR="00F34A57" w:rsidRDefault="00F34A57" w:rsidP="009F44AF">
      <w:pPr>
        <w:pStyle w:val="a"/>
        <w:rPr>
          <w:rtl/>
        </w:rPr>
      </w:pPr>
      <w:r>
        <w:rPr>
          <w:rFonts w:hint="cs"/>
          <w:rtl/>
        </w:rPr>
        <w:t>וכתב</w:t>
      </w:r>
      <w:r w:rsidRPr="00967972">
        <w:rPr>
          <w:rStyle w:val="af8"/>
          <w:rFonts w:hint="cs"/>
          <w:rtl/>
        </w:rPr>
        <w:t xml:space="preserve"> הפרמ"ג</w:t>
      </w:r>
      <w:r>
        <w:rPr>
          <w:rFonts w:hint="cs"/>
          <w:rtl/>
        </w:rPr>
        <w:t xml:space="preserve"> </w:t>
      </w:r>
      <w:r w:rsidRPr="00B127DB">
        <w:rPr>
          <w:rStyle w:val="af6"/>
          <w:rFonts w:eastAsia="Guttman Hodes" w:hint="cs"/>
          <w:rtl/>
        </w:rPr>
        <w:t>(פתיחה להל' פסח החלק השני פ"א סק"</w:t>
      </w:r>
      <w:r>
        <w:rPr>
          <w:rStyle w:val="af6"/>
          <w:rFonts w:eastAsia="Guttman Hodes" w:hint="cs"/>
          <w:rtl/>
        </w:rPr>
        <w:t>ט</w:t>
      </w:r>
      <w:r w:rsidRPr="00B127DB">
        <w:rPr>
          <w:rStyle w:val="af6"/>
          <w:rFonts w:eastAsia="Guttman Hodes" w:hint="cs"/>
          <w:rtl/>
        </w:rPr>
        <w:t xml:space="preserve"> ד"ה השיטה</w:t>
      </w:r>
      <w:r>
        <w:rPr>
          <w:rStyle w:val="af6"/>
          <w:rFonts w:eastAsia="Guttman Hodes" w:hint="cs"/>
          <w:rtl/>
        </w:rPr>
        <w:t xml:space="preserve"> הששית)</w:t>
      </w:r>
      <w:r>
        <w:rPr>
          <w:rFonts w:hint="cs"/>
          <w:rtl/>
        </w:rPr>
        <w:t xml:space="preserve"> דדעת </w:t>
      </w:r>
      <w:r w:rsidRPr="00474B7E">
        <w:rPr>
          <w:rStyle w:val="af8"/>
          <w:rFonts w:hint="cs"/>
          <w:rtl/>
        </w:rPr>
        <w:t>הר"ן</w:t>
      </w:r>
      <w:r>
        <w:rPr>
          <w:rFonts w:hint="cs"/>
          <w:rtl/>
        </w:rPr>
        <w:t xml:space="preserve"> דבמקום שממשו של האיסור נמחה לתוך ההיתר ויש בו כזית בכדי אכילת פרס, ואכל מהאיסור כזית בכדי אכילת פרס, חייב מלקות מדין טעם כעיקר דאו'.</w:t>
      </w:r>
    </w:p>
    <w:p w:rsidR="00F34A57" w:rsidRPr="00E45B9D" w:rsidRDefault="00F34A57" w:rsidP="00F34A57">
      <w:pPr>
        <w:pStyle w:val="a2"/>
      </w:pPr>
      <w:bookmarkStart w:id="7273" w:name="_Toc14257521"/>
      <w:r>
        <w:rPr>
          <w:rFonts w:hint="cs"/>
          <w:rtl/>
        </w:rPr>
        <w:t>ביאור הפרמ"ג בר"ן דבטע"כ לא אמרינן נהפך ולכן אין לוקין בפחות מכא"פ ובזה פליגי רש"י ותוס'</w:t>
      </w:r>
      <w:bookmarkEnd w:id="7273"/>
    </w:p>
    <w:p w:rsidR="00F34A57" w:rsidRPr="00B02375" w:rsidRDefault="00F34A57" w:rsidP="009F44AF">
      <w:pPr>
        <w:pStyle w:val="a"/>
        <w:rPr>
          <w:rtl/>
        </w:rPr>
      </w:pPr>
      <w:r>
        <w:rPr>
          <w:rFonts w:hint="cs"/>
          <w:rtl/>
        </w:rPr>
        <w:t xml:space="preserve">וביאר </w:t>
      </w:r>
      <w:r w:rsidRPr="00761431">
        <w:rPr>
          <w:rStyle w:val="af8"/>
          <w:rFonts w:hint="cs"/>
          <w:rtl/>
        </w:rPr>
        <w:t>הפרמ"ג</w:t>
      </w:r>
      <w:r>
        <w:rPr>
          <w:rFonts w:hint="cs"/>
          <w:rtl/>
        </w:rPr>
        <w:t xml:space="preserve"> דס"ל </w:t>
      </w:r>
      <w:r w:rsidRPr="00761431">
        <w:rPr>
          <w:rStyle w:val="af8"/>
          <w:rFonts w:hint="cs"/>
          <w:rtl/>
        </w:rPr>
        <w:t>להר"ן</w:t>
      </w:r>
      <w:r>
        <w:rPr>
          <w:rFonts w:hint="cs"/>
          <w:rtl/>
        </w:rPr>
        <w:t xml:space="preserve"> דלא אמרינן דין נהפך, ולכן כל שאין בו כזית בכדי אכילת פרס, אף דאסור מדאו' דטעמא אפילו באלף לא בטיל, מ"מ אין בו מלקות, ובמקום שאין בו ממשות ויש רק טעם, ס"ל </w:t>
      </w:r>
      <w:r w:rsidRPr="00761431">
        <w:rPr>
          <w:rStyle w:val="af8"/>
          <w:rFonts w:hint="cs"/>
          <w:rtl/>
        </w:rPr>
        <w:t>להר"ן</w:t>
      </w:r>
      <w:r>
        <w:rPr>
          <w:rFonts w:hint="cs"/>
          <w:rtl/>
        </w:rPr>
        <w:t xml:space="preserve"> דבזה נחלקו </w:t>
      </w:r>
      <w:r w:rsidRPr="00761431">
        <w:rPr>
          <w:rStyle w:val="af8"/>
          <w:rFonts w:hint="cs"/>
          <w:rtl/>
        </w:rPr>
        <w:t>רש"י ור"ת</w:t>
      </w:r>
      <w:r>
        <w:rPr>
          <w:rFonts w:hint="cs"/>
          <w:rtl/>
        </w:rPr>
        <w:t xml:space="preserve"> אם טעם כעיקר דאו'.</w:t>
      </w:r>
    </w:p>
    <w:p w:rsidR="00F34A57" w:rsidRDefault="00F34A57" w:rsidP="00F34A57">
      <w:pPr>
        <w:pStyle w:val="1"/>
        <w:rPr>
          <w:rtl/>
        </w:rPr>
      </w:pPr>
      <w:bookmarkStart w:id="7274" w:name="_Toc14257522"/>
      <w:r>
        <w:rPr>
          <w:rFonts w:hint="cs"/>
          <w:rtl/>
        </w:rPr>
        <w:t>דברי הר"ן בפסחים דבכזית בכא"פ לוקין אף על טעם בלא ממשו</w:t>
      </w:r>
      <w:bookmarkEnd w:id="7274"/>
      <w:r>
        <w:rPr>
          <w:rFonts w:hint="cs"/>
          <w:rtl/>
        </w:rPr>
        <w:t xml:space="preserve"> </w:t>
      </w:r>
    </w:p>
    <w:p w:rsidR="00F34A57" w:rsidRDefault="00F34A57" w:rsidP="00F34A57">
      <w:pPr>
        <w:pStyle w:val="a2"/>
        <w:rPr>
          <w:rtl/>
        </w:rPr>
      </w:pPr>
      <w:bookmarkStart w:id="7275" w:name="_Toc14257523"/>
      <w:r>
        <w:rPr>
          <w:rFonts w:hint="cs"/>
          <w:rtl/>
        </w:rPr>
        <w:t>דברי הר"ן דטע"כ הוא אף כשהתערב הרבה טעם עד שיש בו כזית בכא"פ אף שאין את גוף האיסור</w:t>
      </w:r>
      <w:bookmarkEnd w:id="7275"/>
    </w:p>
    <w:p w:rsidR="00F34A57" w:rsidRDefault="00F34A57" w:rsidP="009F44AF">
      <w:pPr>
        <w:pStyle w:val="a"/>
        <w:rPr>
          <w:rtl/>
        </w:rPr>
      </w:pPr>
      <w:r>
        <w:rPr>
          <w:rFonts w:hint="cs"/>
          <w:rtl/>
        </w:rPr>
        <w:t xml:space="preserve">בקושית הגמ' בפסחים </w:t>
      </w:r>
      <w:r w:rsidRPr="00543DDF">
        <w:rPr>
          <w:rStyle w:val="af6"/>
          <w:rFonts w:eastAsia="Guttman Hodes" w:hint="cs"/>
          <w:rtl/>
        </w:rPr>
        <w:t xml:space="preserve">(מד.) </w:t>
      </w:r>
      <w:r>
        <w:rPr>
          <w:rFonts w:hint="cs"/>
          <w:rtl/>
        </w:rPr>
        <w:t xml:space="preserve">דהיאך אפשר ללמוד ממשרת דטעם כעיקר דאו', והא ממשרת ילפינן דהיתר מצטרף לאיסור, כתב </w:t>
      </w:r>
      <w:r w:rsidRPr="00543DDF">
        <w:rPr>
          <w:rStyle w:val="af8"/>
          <w:rFonts w:hint="cs"/>
          <w:rtl/>
        </w:rPr>
        <w:t xml:space="preserve">הר"ן </w:t>
      </w:r>
      <w:r w:rsidRPr="00543DDF">
        <w:rPr>
          <w:rStyle w:val="af8"/>
          <w:rFonts w:hint="cs"/>
          <w:rtl/>
        </w:rPr>
        <w:lastRenderedPageBreak/>
        <w:t>בחי' בפסחים</w:t>
      </w:r>
      <w:r>
        <w:rPr>
          <w:rFonts w:hint="cs"/>
          <w:rtl/>
        </w:rPr>
        <w:t xml:space="preserve"> </w:t>
      </w:r>
      <w:r w:rsidRPr="00543DDF">
        <w:rPr>
          <w:rStyle w:val="af6"/>
          <w:rFonts w:eastAsia="Guttman Hodes" w:hint="cs"/>
          <w:rtl/>
        </w:rPr>
        <w:t xml:space="preserve">(מד. ד"ה והאי) </w:t>
      </w:r>
      <w:r>
        <w:rPr>
          <w:rFonts w:hint="cs"/>
          <w:rtl/>
        </w:rPr>
        <w:t xml:space="preserve">דטעם כעיקר והיתר מצטרף לאיסור, אינם תלוים זה בזה, דיש אופן שחייב בו מדין טעם כעיקר, אף שלא שייך בו דין היתר מצטרף לאיסור, והוא במקום שההיתר קיבל טעם כ"כ גדול מהאיסור, עד שהוא כאילו התערב בהיתר טעם של איסור בכזית בכדי אכילת פרס, דחייב עליו מדין טעם כעיקר, אעפ"י שאין בתערובת את גוף האיסור כלל, וכ"כ </w:t>
      </w:r>
      <w:r w:rsidRPr="008E27C9">
        <w:rPr>
          <w:rStyle w:val="af8"/>
          <w:rFonts w:hint="cs"/>
          <w:rtl/>
        </w:rPr>
        <w:t>הרמב"ן</w:t>
      </w:r>
      <w:r>
        <w:rPr>
          <w:rFonts w:hint="cs"/>
          <w:rtl/>
        </w:rPr>
        <w:t xml:space="preserve"> </w:t>
      </w:r>
      <w:r w:rsidRPr="006372EA">
        <w:rPr>
          <w:rStyle w:val="af6"/>
          <w:rFonts w:eastAsia="Guttman Hodes" w:hint="cs"/>
          <w:rtl/>
        </w:rPr>
        <w:t xml:space="preserve">(עי' אות </w:t>
      </w:r>
      <w:r w:rsidRPr="006372EA">
        <w:rPr>
          <w:rStyle w:val="af6"/>
          <w:rFonts w:eastAsia="Guttman Hodes"/>
          <w:rtl/>
        </w:rPr>
        <w:fldChar w:fldCharType="begin"/>
      </w:r>
      <w:r w:rsidRPr="006372EA">
        <w:rPr>
          <w:rStyle w:val="af6"/>
          <w:rFonts w:eastAsia="Guttman Hodes"/>
          <w:rtl/>
        </w:rPr>
        <w:instrText xml:space="preserve"> </w:instrText>
      </w:r>
      <w:r w:rsidRPr="006372EA">
        <w:rPr>
          <w:rStyle w:val="af6"/>
          <w:rFonts w:eastAsia="Guttman Hodes" w:hint="cs"/>
        </w:rPr>
        <w:instrText>REF</w:instrText>
      </w:r>
      <w:r w:rsidRPr="006372EA">
        <w:rPr>
          <w:rStyle w:val="af6"/>
          <w:rFonts w:eastAsia="Guttman Hodes" w:hint="cs"/>
          <w:rtl/>
        </w:rPr>
        <w:instrText xml:space="preserve"> _</w:instrText>
      </w:r>
      <w:r w:rsidRPr="006372EA">
        <w:rPr>
          <w:rStyle w:val="af6"/>
          <w:rFonts w:eastAsia="Guttman Hodes" w:hint="cs"/>
        </w:rPr>
        <w:instrText>Ref13652675 \r \h</w:instrText>
      </w:r>
      <w:r w:rsidRPr="006372EA">
        <w:rPr>
          <w:rStyle w:val="af6"/>
          <w:rFonts w:eastAsia="Guttman Hodes"/>
          <w:rtl/>
        </w:rPr>
        <w:instrText xml:space="preserve"> </w:instrText>
      </w:r>
      <w:r w:rsidRPr="006372EA">
        <w:rPr>
          <w:rStyle w:val="af6"/>
          <w:rFonts w:eastAsia="Guttman Hodes"/>
          <w:rtl/>
        </w:rPr>
      </w:r>
      <w:r w:rsidRPr="006372EA">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6372EA">
        <w:rPr>
          <w:rStyle w:val="af6"/>
          <w:rFonts w:eastAsia="Guttman Hodes"/>
          <w:rtl/>
        </w:rPr>
        <w:fldChar w:fldCharType="end"/>
      </w:r>
      <w:r>
        <w:rPr>
          <w:rFonts w:hint="cs"/>
          <w:rtl/>
        </w:rPr>
        <w:t>.</w:t>
      </w:r>
    </w:p>
    <w:p w:rsidR="00F34A57" w:rsidRDefault="00F34A57" w:rsidP="00F34A57">
      <w:pPr>
        <w:pStyle w:val="a2"/>
        <w:rPr>
          <w:rtl/>
        </w:rPr>
      </w:pPr>
      <w:bookmarkStart w:id="7276" w:name="_Toc14257524"/>
      <w:r>
        <w:rPr>
          <w:rFonts w:hint="cs"/>
          <w:rtl/>
        </w:rPr>
        <w:t>דברי הר"ן דבאכל טעם בכזית בכא"פ חייב מדין טע"כ כיון שטועם בכזית ההיתר את טעם האיסור</w:t>
      </w:r>
      <w:bookmarkEnd w:id="7276"/>
    </w:p>
    <w:p w:rsidR="00F34A57" w:rsidRDefault="00F34A57" w:rsidP="009F44AF">
      <w:pPr>
        <w:pStyle w:val="a"/>
        <w:rPr>
          <w:rtl/>
        </w:rPr>
      </w:pPr>
      <w:r>
        <w:rPr>
          <w:rFonts w:hint="cs"/>
          <w:rtl/>
        </w:rPr>
        <w:t xml:space="preserve">וכתב </w:t>
      </w:r>
      <w:r w:rsidRPr="00543DDF">
        <w:rPr>
          <w:rStyle w:val="af8"/>
          <w:rFonts w:hint="cs"/>
          <w:rtl/>
        </w:rPr>
        <w:t xml:space="preserve">הר"ן בחי' בפסחים </w:t>
      </w:r>
      <w:r>
        <w:rPr>
          <w:rFonts w:hint="cs"/>
          <w:rtl/>
        </w:rPr>
        <w:t xml:space="preserve">דבכה"ג האוכל כזית בכדי אכילת פרס מהתערובת שמעורב בה כ"כ הרבה טעם איסור, דחייב מדין טעם כעיקר בלא היתר מצטרף לאיסור, וביאר </w:t>
      </w:r>
      <w:r w:rsidRPr="00543DDF">
        <w:rPr>
          <w:rStyle w:val="af8"/>
          <w:rFonts w:hint="cs"/>
          <w:rtl/>
        </w:rPr>
        <w:t xml:space="preserve">הר"ן </w:t>
      </w:r>
      <w:r>
        <w:rPr>
          <w:rFonts w:hint="cs"/>
          <w:rtl/>
        </w:rPr>
        <w:t xml:space="preserve">דהרי אם אכל כזית מההיתר אינו חייב עד שיאכל את כולו, </w:t>
      </w:r>
      <w:r w:rsidRPr="002C679C">
        <w:rPr>
          <w:rStyle w:val="afa"/>
          <w:rFonts w:hint="cs"/>
          <w:rtl/>
        </w:rPr>
        <w:t xml:space="preserve">[דהיינו את כל הכזית מהאיסור], </w:t>
      </w:r>
      <w:r>
        <w:rPr>
          <w:rFonts w:hint="cs"/>
          <w:rtl/>
        </w:rPr>
        <w:t>כיון דבכל ההיתר טועם האוכל את טעם האיסור, וחשיב כאילו אכל מהאיסור כזית, ולכן א"צ להגיע לדין היתר מצטרף לאיסור כלל.</w:t>
      </w:r>
    </w:p>
    <w:p w:rsidR="00F34A57" w:rsidRPr="002C679C" w:rsidRDefault="00F34A57" w:rsidP="00F34A57">
      <w:pPr>
        <w:pStyle w:val="a2"/>
      </w:pPr>
      <w:bookmarkStart w:id="7277" w:name="_Toc14257525"/>
      <w:r>
        <w:rPr>
          <w:rFonts w:hint="cs"/>
          <w:rtl/>
        </w:rPr>
        <w:t>דברי הר"ן דטע"כ חמור מהיתרמצטף לאסור דהוא לכו"ע</w:t>
      </w:r>
      <w:bookmarkEnd w:id="7277"/>
    </w:p>
    <w:p w:rsidR="00F34A57" w:rsidRDefault="00F34A57" w:rsidP="009F44AF">
      <w:pPr>
        <w:pStyle w:val="a"/>
        <w:rPr>
          <w:rtl/>
        </w:rPr>
      </w:pPr>
      <w:r>
        <w:rPr>
          <w:rFonts w:hint="cs"/>
          <w:rtl/>
        </w:rPr>
        <w:t xml:space="preserve">והוסיף </w:t>
      </w:r>
      <w:r w:rsidRPr="00543DDF">
        <w:rPr>
          <w:rStyle w:val="af8"/>
          <w:rFonts w:hint="cs"/>
          <w:rtl/>
        </w:rPr>
        <w:t xml:space="preserve">הר"ן בחי' בפסחים </w:t>
      </w:r>
      <w:r w:rsidRPr="002C679C">
        <w:rPr>
          <w:rStyle w:val="af6"/>
          <w:rFonts w:eastAsia="Guttman Hodes" w:hint="cs"/>
          <w:rtl/>
        </w:rPr>
        <w:t>(מד. ד"ה וכן נמי)</w:t>
      </w:r>
      <w:r>
        <w:rPr>
          <w:rFonts w:hint="cs"/>
          <w:rtl/>
        </w:rPr>
        <w:t xml:space="preserve"> דשייך אופן שחייב בו מדין היתר מצטרף לאיסור, אף שלא שייך בו דין טעם כעיקר, עיי"ש, אך כתב </w:t>
      </w:r>
      <w:r w:rsidRPr="00543DDF">
        <w:rPr>
          <w:rStyle w:val="af8"/>
          <w:rFonts w:hint="cs"/>
          <w:rtl/>
        </w:rPr>
        <w:t>הר"ן בחי' בפסחים</w:t>
      </w:r>
      <w:r>
        <w:rPr>
          <w:rFonts w:hint="cs"/>
          <w:rtl/>
        </w:rPr>
        <w:t xml:space="preserve"> דדין טעם כעיקר חמור מדין היתר מצטרף לאיסור, דהרי מבואר בגמ' בפסחים </w:t>
      </w:r>
      <w:r w:rsidRPr="002C679C">
        <w:rPr>
          <w:rStyle w:val="af6"/>
          <w:rFonts w:eastAsia="Guttman Hodes" w:hint="cs"/>
          <w:rtl/>
        </w:rPr>
        <w:t>(מד.)</w:t>
      </w:r>
      <w:r>
        <w:rPr>
          <w:rFonts w:hint="cs"/>
          <w:rtl/>
        </w:rPr>
        <w:t xml:space="preserve"> דלכו"ע טעם כעיקר דאו' בכל איסורים שבתורה, ואילו לדעת רבנן היתר מצטרף לאיסור, נאמר רק בחטאת, ורק לר"ע הוא דין בכל האיסורים שבתורה.</w:t>
      </w:r>
    </w:p>
    <w:p w:rsidR="00F34A57" w:rsidRPr="00235B8C" w:rsidRDefault="00F34A57" w:rsidP="00F34A57">
      <w:pPr>
        <w:pStyle w:val="a2"/>
      </w:pPr>
      <w:bookmarkStart w:id="7278" w:name="_Toc14257526"/>
      <w:r>
        <w:rPr>
          <w:rFonts w:hint="cs"/>
          <w:rtl/>
        </w:rPr>
        <w:t>דחיית הר"ן לדברי רש"י דבטע"כ אמרינן נהפך דלא משמע כן בגמ' בפסחים</w:t>
      </w:r>
      <w:bookmarkEnd w:id="7278"/>
      <w:r>
        <w:rPr>
          <w:rFonts w:hint="cs"/>
          <w:rtl/>
        </w:rPr>
        <w:t xml:space="preserve"> </w:t>
      </w:r>
    </w:p>
    <w:p w:rsidR="00F34A57" w:rsidRPr="00B437CE" w:rsidRDefault="00F34A57" w:rsidP="009F44AF">
      <w:pPr>
        <w:pStyle w:val="a"/>
        <w:rPr>
          <w:rStyle w:val="afa"/>
          <w:rtl/>
        </w:rPr>
      </w:pPr>
      <w:r>
        <w:rPr>
          <w:rFonts w:hint="cs"/>
          <w:rtl/>
        </w:rPr>
        <w:t xml:space="preserve">והביא </w:t>
      </w:r>
      <w:r w:rsidRPr="00543DDF">
        <w:rPr>
          <w:rStyle w:val="af8"/>
          <w:rFonts w:hint="cs"/>
          <w:rtl/>
        </w:rPr>
        <w:t>הר"ן</w:t>
      </w:r>
      <w:r>
        <w:rPr>
          <w:rFonts w:hint="cs"/>
          <w:rtl/>
        </w:rPr>
        <w:t xml:space="preserve"> את דברי </w:t>
      </w:r>
      <w:r w:rsidRPr="00543DDF">
        <w:rPr>
          <w:rStyle w:val="af8"/>
          <w:rFonts w:hint="cs"/>
          <w:rtl/>
        </w:rPr>
        <w:t>רש"י בפסחים</w:t>
      </w:r>
      <w:r>
        <w:rPr>
          <w:rFonts w:hint="cs"/>
          <w:rtl/>
        </w:rPr>
        <w:t xml:space="preserve"> </w:t>
      </w:r>
      <w:r w:rsidRPr="00235B8C">
        <w:rPr>
          <w:rStyle w:val="af6"/>
          <w:rFonts w:eastAsia="Guttman Hodes" w:hint="cs"/>
          <w:rtl/>
        </w:rPr>
        <w:t xml:space="preserve">(עי' אות </w:t>
      </w:r>
      <w:r w:rsidRPr="00235B8C">
        <w:rPr>
          <w:rStyle w:val="af6"/>
          <w:rFonts w:eastAsia="Guttman Hodes"/>
          <w:rtl/>
        </w:rPr>
        <w:fldChar w:fldCharType="begin"/>
      </w:r>
      <w:r w:rsidRPr="00235B8C">
        <w:rPr>
          <w:rStyle w:val="af6"/>
          <w:rFonts w:eastAsia="Guttman Hodes"/>
          <w:rtl/>
        </w:rPr>
        <w:instrText xml:space="preserve"> </w:instrText>
      </w:r>
      <w:r w:rsidRPr="00235B8C">
        <w:rPr>
          <w:rStyle w:val="af6"/>
          <w:rFonts w:eastAsia="Guttman Hodes" w:hint="cs"/>
        </w:rPr>
        <w:instrText>REF</w:instrText>
      </w:r>
      <w:r w:rsidRPr="00235B8C">
        <w:rPr>
          <w:rStyle w:val="af6"/>
          <w:rFonts w:eastAsia="Guttman Hodes" w:hint="cs"/>
          <w:rtl/>
        </w:rPr>
        <w:instrText xml:space="preserve"> _</w:instrText>
      </w:r>
      <w:r w:rsidRPr="00235B8C">
        <w:rPr>
          <w:rStyle w:val="af6"/>
          <w:rFonts w:eastAsia="Guttman Hodes" w:hint="cs"/>
        </w:rPr>
        <w:instrText>Ref14106142 \r \h</w:instrText>
      </w:r>
      <w:r w:rsidRPr="00235B8C">
        <w:rPr>
          <w:rStyle w:val="af6"/>
          <w:rFonts w:eastAsia="Guttman Hodes"/>
          <w:rtl/>
        </w:rPr>
        <w:instrText xml:space="preserve"> </w:instrText>
      </w:r>
      <w:r w:rsidRPr="00235B8C">
        <w:rPr>
          <w:rStyle w:val="af6"/>
          <w:rFonts w:eastAsia="Guttman Hodes"/>
          <w:rtl/>
        </w:rPr>
      </w:r>
      <w:r w:rsidRPr="00235B8C">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235B8C">
        <w:rPr>
          <w:rStyle w:val="af6"/>
          <w:rFonts w:eastAsia="Guttman Hodes"/>
          <w:rtl/>
        </w:rPr>
        <w:fldChar w:fldCharType="end"/>
      </w:r>
      <w:r>
        <w:rPr>
          <w:rFonts w:hint="cs"/>
          <w:rtl/>
        </w:rPr>
        <w:t xml:space="preserve"> דכתב דטעם כעיקר הוא אף כשאוכל כזית רק מההיתר,</w:t>
      </w:r>
      <w:r w:rsidRPr="00543DDF">
        <w:rPr>
          <w:rStyle w:val="afa"/>
          <w:rFonts w:hint="cs"/>
          <w:rtl/>
        </w:rPr>
        <w:t xml:space="preserve"> [וא"צ לאכול כזית מטעם האיסור], </w:t>
      </w:r>
      <w:r>
        <w:rPr>
          <w:rFonts w:hint="cs"/>
          <w:rtl/>
        </w:rPr>
        <w:t>דחייב עליו כיון שכל הכזית היתר קיבל טעם מהאיסור, ולכן</w:t>
      </w:r>
      <w:r w:rsidRPr="00C529BD">
        <w:rPr>
          <w:rFonts w:hint="cs"/>
          <w:rtl/>
        </w:rPr>
        <w:t xml:space="preserve"> </w:t>
      </w:r>
      <w:r w:rsidRPr="007E0C12">
        <w:rPr>
          <w:rFonts w:hint="cs"/>
          <w:rtl/>
        </w:rPr>
        <w:t>במקום שפשט הטעם של היין בכל הפת אף לרבנן ח</w:t>
      </w:r>
      <w:r>
        <w:rPr>
          <w:rFonts w:hint="cs"/>
          <w:rtl/>
        </w:rPr>
        <w:t xml:space="preserve">ייב, דס"ל לרבנן דטעם כעיקר דאו', ודחה </w:t>
      </w:r>
      <w:r w:rsidRPr="00543DDF">
        <w:rPr>
          <w:rStyle w:val="af8"/>
          <w:rFonts w:hint="cs"/>
          <w:rtl/>
        </w:rPr>
        <w:t>הר"ן</w:t>
      </w:r>
      <w:r>
        <w:rPr>
          <w:rFonts w:hint="cs"/>
          <w:rtl/>
        </w:rPr>
        <w:t xml:space="preserve"> את דברי </w:t>
      </w:r>
      <w:r w:rsidRPr="00543DDF">
        <w:rPr>
          <w:rStyle w:val="af8"/>
          <w:rFonts w:hint="cs"/>
          <w:rtl/>
        </w:rPr>
        <w:t>רש"י</w:t>
      </w:r>
      <w:r>
        <w:rPr>
          <w:rFonts w:hint="cs"/>
          <w:rtl/>
        </w:rPr>
        <w:t xml:space="preserve"> דלא משמע כן בלשון הגמ' בפסחים עיי"ש. </w:t>
      </w:r>
      <w:r w:rsidRPr="00B437CE">
        <w:rPr>
          <w:rStyle w:val="afa"/>
          <w:rFonts w:hint="cs"/>
          <w:rtl/>
        </w:rPr>
        <w:t xml:space="preserve">[ומבואר דס"ל </w:t>
      </w:r>
      <w:r w:rsidRPr="00B437CE">
        <w:rPr>
          <w:rStyle w:val="affa"/>
          <w:rFonts w:hint="cs"/>
          <w:rtl/>
        </w:rPr>
        <w:t>להר"ן</w:t>
      </w:r>
      <w:r w:rsidRPr="00B437CE">
        <w:rPr>
          <w:rStyle w:val="afa"/>
          <w:rFonts w:hint="cs"/>
          <w:rtl/>
        </w:rPr>
        <w:t xml:space="preserve"> דלא אמרינן נהפך]. </w:t>
      </w:r>
    </w:p>
    <w:p w:rsidR="00F34A57" w:rsidRPr="007413D5" w:rsidRDefault="00F34A57" w:rsidP="009F44AF">
      <w:pPr>
        <w:pStyle w:val="a"/>
        <w:rPr>
          <w:rtl/>
        </w:rPr>
        <w:sectPr w:rsidR="00F34A57" w:rsidRPr="007413D5" w:rsidSect="005049E2">
          <w:type w:val="continuous"/>
          <w:pgSz w:w="11906" w:h="16838"/>
          <w:pgMar w:top="720" w:right="720" w:bottom="720" w:left="720" w:header="283" w:footer="283" w:gutter="0"/>
          <w:cols w:num="2" w:space="567"/>
          <w:titlePg/>
          <w:bidi/>
          <w:rtlGutter/>
          <w:docGrid w:linePitch="299"/>
        </w:sectPr>
      </w:pPr>
    </w:p>
    <w:p w:rsidR="00F34A57" w:rsidRDefault="00F34A57" w:rsidP="00F34A57">
      <w:pPr>
        <w:tabs>
          <w:tab w:val="left" w:pos="1163"/>
        </w:tabs>
        <w:spacing w:after="120" w:line="240" w:lineRule="auto"/>
        <w:ind w:left="0"/>
        <w:rPr>
          <w:rFonts w:ascii="Guttman Hodes" w:eastAsia="Guttman Hodes" w:hAnsi="Guttman Hodes" w:cs="Guttman Hodes"/>
          <w:noProof/>
          <w:sz w:val="18"/>
          <w:szCs w:val="18"/>
        </w:rPr>
        <w:sectPr w:rsidR="00F34A57" w:rsidSect="00F34A57">
          <w:type w:val="continuous"/>
          <w:pgSz w:w="11906" w:h="16838"/>
          <w:pgMar w:top="720" w:right="720" w:bottom="720" w:left="720" w:header="283" w:footer="283" w:gutter="0"/>
          <w:cols w:space="567"/>
          <w:bidi/>
          <w:rtlGutter/>
          <w:docGrid w:linePitch="299"/>
        </w:sectPr>
      </w:pPr>
    </w:p>
    <w:p w:rsidR="00F34A57" w:rsidRPr="00B06D6B" w:rsidRDefault="00651E3B" w:rsidP="00F34A5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28" type="#_x0000_t75" style="width:404.55pt;height:6.8pt" o:hrpct="0" o:hralign="center" o:hr="t">
            <v:imagedata r:id="rId48" o:title="BD14845_"/>
          </v:shape>
        </w:pict>
      </w:r>
      <w:r w:rsidR="00F34A57" w:rsidRPr="00B06D6B">
        <w:rPr>
          <w:rFonts w:ascii="Guttman Hodes" w:eastAsia="Guttman Hodes" w:hAnsi="Guttman Hodes" w:cs="Guttman Hodes" w:hint="cs"/>
          <w:noProof/>
          <w:sz w:val="18"/>
          <w:szCs w:val="18"/>
          <w:rtl/>
        </w:rPr>
        <w:t xml:space="preserve"> </w:t>
      </w:r>
    </w:p>
    <w:p w:rsidR="009342E7" w:rsidRDefault="00F34A57" w:rsidP="00E669F8">
      <w:pPr>
        <w:pStyle w:val="afd"/>
        <w:rPr>
          <w:rtl/>
        </w:rPr>
        <w:sectPr w:rsidR="009342E7" w:rsidSect="00F34A57">
          <w:pgSz w:w="11906" w:h="16838"/>
          <w:pgMar w:top="720" w:right="720" w:bottom="720" w:left="720" w:header="283" w:footer="283" w:gutter="0"/>
          <w:cols w:space="567"/>
          <w:bidi/>
          <w:rtlGutter/>
          <w:docGrid w:linePitch="299"/>
        </w:sectPr>
      </w:pPr>
      <w:bookmarkStart w:id="7279" w:name="_Toc13134851"/>
      <w:bookmarkStart w:id="7280" w:name="_Toc13244712"/>
      <w:bookmarkStart w:id="7281" w:name="_Toc13396689"/>
      <w:bookmarkStart w:id="7282" w:name="_Toc13418709"/>
      <w:bookmarkStart w:id="7283" w:name="_Toc13516545"/>
      <w:bookmarkStart w:id="7284" w:name="_Toc13773316"/>
      <w:bookmarkStart w:id="7285" w:name="_Toc13952623"/>
      <w:bookmarkStart w:id="7286" w:name="_Toc14089996"/>
      <w:bookmarkStart w:id="7287" w:name="_Toc14109796"/>
      <w:bookmarkStart w:id="7288" w:name="_Toc14120171"/>
      <w:bookmarkStart w:id="7289" w:name="_Toc14122349"/>
      <w:bookmarkStart w:id="7290" w:name="_Toc14196329"/>
      <w:bookmarkStart w:id="7291" w:name="_Toc14208879"/>
      <w:bookmarkStart w:id="7292" w:name="_Toc14248986"/>
      <w:bookmarkStart w:id="7293" w:name="_Toc14257527"/>
      <w:r w:rsidRPr="00B06D6B">
        <w:rPr>
          <w:rFonts w:hint="cs"/>
          <w:rtl/>
        </w:rPr>
        <w:t>ביאורי ראשי הישיבות</w:t>
      </w:r>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r w:rsidRPr="00B06D6B">
        <w:rPr>
          <w:rFonts w:hint="cs"/>
          <w:rtl/>
        </w:rPr>
        <w:t xml:space="preserve"> </w:t>
      </w:r>
    </w:p>
    <w:p w:rsidR="00F71EAC" w:rsidRPr="00E721A3" w:rsidRDefault="00F71EAC" w:rsidP="00E669F8">
      <w:pPr>
        <w:pStyle w:val="afd"/>
        <w:rPr>
          <w:rtl/>
        </w:rPr>
      </w:pPr>
      <w:bookmarkStart w:id="7294" w:name="_Toc14257528"/>
      <w:r>
        <w:rPr>
          <w:rFonts w:hint="cs"/>
          <w:rtl/>
        </w:rPr>
        <w:t>בגדר האיסור בטע"כ ובדין עיסת אורז</w:t>
      </w:r>
    </w:p>
    <w:p w:rsidR="00F71EAC" w:rsidRDefault="00F71EAC" w:rsidP="00F71EAC">
      <w:pPr>
        <w:pStyle w:val="1"/>
        <w:rPr>
          <w:rtl/>
        </w:rPr>
      </w:pPr>
      <w:r>
        <w:rPr>
          <w:rFonts w:hint="cs"/>
          <w:rtl/>
        </w:rPr>
        <w:t xml:space="preserve">חקירת הגר"ח אי ע"י הטעם ל"מ ביטול או דטע"כ הוא דין איסור </w:t>
      </w:r>
    </w:p>
    <w:p w:rsidR="00F71EAC" w:rsidRDefault="00F71EAC" w:rsidP="00F71EAC">
      <w:pPr>
        <w:pStyle w:val="a2"/>
        <w:rPr>
          <w:rtl/>
        </w:rPr>
      </w:pPr>
      <w:r>
        <w:rPr>
          <w:rFonts w:hint="cs"/>
          <w:rtl/>
        </w:rPr>
        <w:t>חקירת הגר"ח אי מדין טע"כ לא מהני ביטול ברוב דהאיסור ניכר או דמהני ביטול והוא איסור חדש</w:t>
      </w:r>
    </w:p>
    <w:p w:rsidR="00F71EAC" w:rsidRDefault="00F71EAC" w:rsidP="009F44AF">
      <w:pPr>
        <w:pStyle w:val="a"/>
        <w:rPr>
          <w:rtl/>
        </w:rPr>
      </w:pPr>
      <w:r>
        <w:rPr>
          <w:rFonts w:hint="cs"/>
          <w:rtl/>
        </w:rPr>
        <w:t xml:space="preserve">חקר </w:t>
      </w:r>
      <w:r w:rsidRPr="00866C33">
        <w:rPr>
          <w:rStyle w:val="af8"/>
          <w:rFonts w:hint="cs"/>
          <w:rtl/>
        </w:rPr>
        <w:t>הגר"ח</w:t>
      </w:r>
      <w:r>
        <w:rPr>
          <w:rFonts w:hint="cs"/>
          <w:rtl/>
        </w:rPr>
        <w:t xml:space="preserve"> </w:t>
      </w:r>
      <w:r w:rsidRPr="00866C33">
        <w:rPr>
          <w:rStyle w:val="af6"/>
          <w:rFonts w:eastAsia="Guttman Hodes" w:hint="cs"/>
          <w:rtl/>
        </w:rPr>
        <w:t>(מעשה הקרבנות פ"י הי"ב ד"ה והנה ביסוד)</w:t>
      </w:r>
      <w:r>
        <w:rPr>
          <w:rFonts w:hint="cs"/>
          <w:rtl/>
        </w:rPr>
        <w:t xml:space="preserve"> בגדר דין טעם כעיקר, האם ע"י הטעם חשיב שהאיסור ניכר ולא מהני בו ביטול כלל, </w:t>
      </w:r>
      <w:r w:rsidRPr="00814C38">
        <w:rPr>
          <w:rStyle w:val="afa"/>
          <w:rFonts w:hint="cs"/>
          <w:rtl/>
        </w:rPr>
        <w:t xml:space="preserve">[וכדכתב </w:t>
      </w:r>
      <w:r w:rsidRPr="00814C38">
        <w:rPr>
          <w:rStyle w:val="affa"/>
          <w:rFonts w:hint="cs"/>
          <w:rtl/>
        </w:rPr>
        <w:t>הראב"ד</w:t>
      </w:r>
      <w:r w:rsidRPr="00814C38">
        <w:rPr>
          <w:rStyle w:val="afa"/>
          <w:rFonts w:hint="cs"/>
          <w:rtl/>
        </w:rPr>
        <w:t xml:space="preserve"> </w:t>
      </w:r>
      <w:r w:rsidRPr="00814C38">
        <w:rPr>
          <w:rStyle w:val="aff6"/>
          <w:rFonts w:hint="cs"/>
          <w:rtl/>
        </w:rPr>
        <w:t xml:space="preserve">(עי' אות </w:t>
      </w:r>
      <w:r w:rsidRPr="00814C38">
        <w:rPr>
          <w:rStyle w:val="aff6"/>
          <w:rtl/>
        </w:rPr>
        <w:fldChar w:fldCharType="begin"/>
      </w:r>
      <w:r w:rsidRPr="00814C38">
        <w:rPr>
          <w:rStyle w:val="aff6"/>
          <w:rtl/>
        </w:rPr>
        <w:instrText xml:space="preserve"> </w:instrText>
      </w:r>
      <w:r w:rsidRPr="00814C38">
        <w:rPr>
          <w:rStyle w:val="aff6"/>
          <w:rFonts w:hint="cs"/>
        </w:rPr>
        <w:instrText>REF</w:instrText>
      </w:r>
      <w:r w:rsidRPr="00814C38">
        <w:rPr>
          <w:rStyle w:val="aff6"/>
          <w:rFonts w:hint="cs"/>
          <w:rtl/>
        </w:rPr>
        <w:instrText xml:space="preserve"> _</w:instrText>
      </w:r>
      <w:r w:rsidRPr="00814C38">
        <w:rPr>
          <w:rStyle w:val="aff6"/>
          <w:rFonts w:hint="cs"/>
        </w:rPr>
        <w:instrText>Ref12868847 \r \h</w:instrText>
      </w:r>
      <w:r w:rsidRPr="00814C38">
        <w:rPr>
          <w:rStyle w:val="aff6"/>
          <w:rtl/>
        </w:rPr>
        <w:instrText xml:space="preserve"> </w:instrText>
      </w:r>
      <w:r w:rsidRPr="00814C38">
        <w:rPr>
          <w:rStyle w:val="aff6"/>
          <w:rtl/>
        </w:rPr>
      </w:r>
      <w:r w:rsidRPr="00814C38">
        <w:rPr>
          <w:rStyle w:val="aff6"/>
          <w:rtl/>
        </w:rPr>
        <w:fldChar w:fldCharType="separate"/>
      </w:r>
      <w:r w:rsidR="004D1C5B">
        <w:rPr>
          <w:rStyle w:val="aff6"/>
          <w:cs/>
        </w:rPr>
        <w:t>‎</w:t>
      </w:r>
      <w:r w:rsidR="004D1C5B">
        <w:rPr>
          <w:rStyle w:val="aff6"/>
          <w:rtl/>
        </w:rPr>
        <w:t>סט)</w:t>
      </w:r>
      <w:r w:rsidRPr="00814C38">
        <w:rPr>
          <w:rStyle w:val="aff6"/>
          <w:rtl/>
        </w:rPr>
        <w:fldChar w:fldCharType="end"/>
      </w:r>
      <w:r w:rsidRPr="00814C38">
        <w:rPr>
          <w:rStyle w:val="afa"/>
          <w:rFonts w:hint="cs"/>
          <w:rtl/>
        </w:rPr>
        <w:t xml:space="preserve">], </w:t>
      </w:r>
      <w:r>
        <w:rPr>
          <w:rFonts w:hint="cs"/>
          <w:rtl/>
        </w:rPr>
        <w:t xml:space="preserve">או דבאמת מהני בטעם דין ביטול, אלא שיש גם על טעם האיסור דין איסור, ודילפינן ממשרת ומגיעולי עכו"ם, וכתב </w:t>
      </w:r>
      <w:r w:rsidRPr="007B2EDA">
        <w:rPr>
          <w:rStyle w:val="af8"/>
          <w:rFonts w:hint="cs"/>
          <w:rtl/>
        </w:rPr>
        <w:t>הגר"ח</w:t>
      </w:r>
      <w:r>
        <w:rPr>
          <w:rFonts w:hint="cs"/>
          <w:rtl/>
        </w:rPr>
        <w:t xml:space="preserve"> דזהו לשון הגמ' בכל מקום דטעם כעיקר.</w:t>
      </w:r>
    </w:p>
    <w:p w:rsidR="00F71EAC" w:rsidRPr="002A21C6" w:rsidRDefault="00F71EAC" w:rsidP="00F71EAC">
      <w:pPr>
        <w:pStyle w:val="1"/>
        <w:rPr>
          <w:rtl/>
        </w:rPr>
      </w:pPr>
      <w:r>
        <w:rPr>
          <w:rFonts w:hint="cs"/>
          <w:rtl/>
        </w:rPr>
        <w:t>ביאור הגר"ח בעיסת אורז דפקע ביטול ברוב ויש ממשות חיטים</w:t>
      </w:r>
    </w:p>
    <w:p w:rsidR="00F71EAC" w:rsidRDefault="00F71EAC" w:rsidP="00F71EAC">
      <w:pPr>
        <w:pStyle w:val="a2"/>
        <w:rPr>
          <w:rtl/>
        </w:rPr>
      </w:pPr>
      <w:r>
        <w:rPr>
          <w:rFonts w:hint="cs"/>
          <w:rtl/>
        </w:rPr>
        <w:t>דברי הגר"ח דמדין עיסת אורז מוכח דטעם כעיקר אינו דין באיסורים דא"א לצאת יד"ח מצה בטעם</w:t>
      </w:r>
    </w:p>
    <w:p w:rsidR="00F71EAC" w:rsidRDefault="00F71EAC" w:rsidP="009F44AF">
      <w:pPr>
        <w:pStyle w:val="a"/>
        <w:rPr>
          <w:rtl/>
        </w:rPr>
      </w:pPr>
      <w:r>
        <w:rPr>
          <w:rFonts w:hint="cs"/>
          <w:rtl/>
        </w:rPr>
        <w:t xml:space="preserve">והביא </w:t>
      </w:r>
      <w:r w:rsidRPr="00866C33">
        <w:rPr>
          <w:rStyle w:val="af8"/>
          <w:rFonts w:hint="cs"/>
          <w:rtl/>
        </w:rPr>
        <w:t>הגר"ח</w:t>
      </w:r>
      <w:r>
        <w:rPr>
          <w:rFonts w:hint="cs"/>
          <w:rtl/>
        </w:rPr>
        <w:t xml:space="preserve"> את המשנה בחלה </w:t>
      </w:r>
      <w:r w:rsidRPr="00866C33">
        <w:rPr>
          <w:rStyle w:val="af6"/>
          <w:rFonts w:eastAsia="Guttman Hodes" w:hint="cs"/>
          <w:rtl/>
        </w:rPr>
        <w:t>(פ"ג מ"ז)</w:t>
      </w:r>
      <w:r>
        <w:rPr>
          <w:rFonts w:hint="cs"/>
          <w:rtl/>
        </w:rPr>
        <w:t xml:space="preserve"> דהעושה עיסה מחיטין ומאורז, אם יש בה טעם דגן חייבת בחלה, ויוצא בה ידי חובת מצה בפסח, והביא </w:t>
      </w:r>
      <w:r w:rsidRPr="00866C33">
        <w:rPr>
          <w:rStyle w:val="af8"/>
          <w:rFonts w:hint="cs"/>
          <w:rtl/>
        </w:rPr>
        <w:t>הגר"ח</w:t>
      </w:r>
      <w:r>
        <w:rPr>
          <w:rFonts w:hint="cs"/>
          <w:rtl/>
        </w:rPr>
        <w:t xml:space="preserve"> דבגמ' בזבחים </w:t>
      </w:r>
      <w:r w:rsidRPr="003F641F">
        <w:rPr>
          <w:rStyle w:val="af6"/>
          <w:rFonts w:eastAsia="Guttman Hodes" w:hint="cs"/>
          <w:rtl/>
        </w:rPr>
        <w:t>(עח:)</w:t>
      </w:r>
      <w:r>
        <w:rPr>
          <w:rFonts w:hint="cs"/>
          <w:rtl/>
        </w:rPr>
        <w:t xml:space="preserve"> מבואר דהוא כיון דדין מין בשאינו מינו הוא בטעמא, וכתב </w:t>
      </w:r>
      <w:r w:rsidRPr="003F641F">
        <w:rPr>
          <w:rStyle w:val="af8"/>
          <w:rFonts w:hint="cs"/>
          <w:rtl/>
        </w:rPr>
        <w:t>הגר"ח</w:t>
      </w:r>
      <w:r>
        <w:rPr>
          <w:rFonts w:hint="cs"/>
          <w:rtl/>
        </w:rPr>
        <w:t xml:space="preserve"> דאי בטעם כעיקר מהני בו ביטול, והטעם נתבטל ברוב ההיתר, אלא דהוא אסור מדין טעם כעיקר, א"כ דין זה שייך רק באיסורין, וכדילפינן ממשרת וגיעולי עכו"ם, דאף שהדבר עצמו התבטל, מ"מ הוא אסור מדין טעם כעיקר, אבל לא מהני דין טעם כעיקר להחשיבו כמצה דיצא בו ידי חובתו בפסח, דכיון שנבטלו החיטין באורז, פשיטא דא"א לצאת בו ידי חובת מצה, וביאר </w:t>
      </w:r>
      <w:r w:rsidRPr="003F641F">
        <w:rPr>
          <w:rStyle w:val="af8"/>
          <w:rFonts w:hint="cs"/>
          <w:rtl/>
        </w:rPr>
        <w:t>הגר"ח</w:t>
      </w:r>
      <w:r>
        <w:rPr>
          <w:rFonts w:hint="cs"/>
          <w:rtl/>
        </w:rPr>
        <w:t xml:space="preserve"> דלא מצינו דדין טעם כעיקר מהני שיוצא בו יד"ח מצותו.</w:t>
      </w:r>
    </w:p>
    <w:p w:rsidR="00F71EAC" w:rsidRDefault="00F71EAC" w:rsidP="00F71EAC">
      <w:pPr>
        <w:pStyle w:val="a2"/>
        <w:rPr>
          <w:rtl/>
        </w:rPr>
      </w:pPr>
      <w:r>
        <w:rPr>
          <w:rFonts w:hint="cs"/>
          <w:rtl/>
        </w:rPr>
        <w:t>דברי הגר"ח דמוכח מעיסת אורז דבטעם כעיקר פקע דין ביטול ויש בעיסה את עיקר החיטים</w:t>
      </w:r>
    </w:p>
    <w:p w:rsidR="00F71EAC" w:rsidRPr="003F641F" w:rsidRDefault="00F71EAC" w:rsidP="009F44AF">
      <w:pPr>
        <w:pStyle w:val="a"/>
        <w:rPr>
          <w:rStyle w:val="afa"/>
          <w:rtl/>
        </w:rPr>
      </w:pPr>
      <w:r>
        <w:rPr>
          <w:rFonts w:hint="cs"/>
          <w:rtl/>
        </w:rPr>
        <w:t xml:space="preserve">אלא כתב </w:t>
      </w:r>
      <w:r w:rsidRPr="003F641F">
        <w:rPr>
          <w:rStyle w:val="af8"/>
          <w:rFonts w:hint="cs"/>
          <w:rtl/>
        </w:rPr>
        <w:t>הגר"ח</w:t>
      </w:r>
      <w:r>
        <w:rPr>
          <w:rFonts w:hint="cs"/>
          <w:rtl/>
        </w:rPr>
        <w:t xml:space="preserve"> דמוכח ממתני' דחלה, דהגדר בטעם כעיקר הוא, דכיון שהטעם ניכר פקע ממנו דין ביטול גם על העיקר, ולכן יוצא בו ידי חובת מצה, דיש בעיסה את עיקרם של החיטין לכל הדברים. </w:t>
      </w:r>
      <w:r w:rsidRPr="003F641F">
        <w:rPr>
          <w:rStyle w:val="afa"/>
          <w:rFonts w:hint="cs"/>
          <w:rtl/>
        </w:rPr>
        <w:t>[דכיון שניכר טעם החיטין, ממילא הם לא התבטלו באורז, והוא אוכל מצה מהחיטין עצמם].</w:t>
      </w:r>
    </w:p>
    <w:p w:rsidR="00F71EAC" w:rsidRDefault="00F71EAC" w:rsidP="00F71EAC">
      <w:pPr>
        <w:pStyle w:val="a2"/>
        <w:rPr>
          <w:rtl/>
        </w:rPr>
      </w:pPr>
      <w:r>
        <w:rPr>
          <w:rFonts w:hint="cs"/>
          <w:rtl/>
        </w:rPr>
        <w:t>קושית הגר"ח דמבואר בגמ' שצריך ילפותא גמורה לטע"כ ואי ל"מ ביטול ברוב סגי בגילוי מילתא</w:t>
      </w:r>
    </w:p>
    <w:p w:rsidR="002D7168" w:rsidRDefault="00F71EAC" w:rsidP="009F44AF">
      <w:pPr>
        <w:pStyle w:val="a"/>
        <w:rPr>
          <w:rtl/>
        </w:rPr>
      </w:pPr>
      <w:r>
        <w:rPr>
          <w:rFonts w:hint="cs"/>
          <w:rtl/>
        </w:rPr>
        <w:t xml:space="preserve">אך הקשה </w:t>
      </w:r>
      <w:r w:rsidRPr="003F641F">
        <w:rPr>
          <w:rStyle w:val="af8"/>
          <w:rFonts w:hint="cs"/>
          <w:rtl/>
        </w:rPr>
        <w:t>הגר"ח</w:t>
      </w:r>
      <w:r>
        <w:rPr>
          <w:rFonts w:hint="cs"/>
          <w:rtl/>
        </w:rPr>
        <w:t xml:space="preserve"> דמבואר בגמ' דדינא דטעם כעיקר הוא ילפותא גמורה, ואינו רק גילוי מילתא, וכדאיתא בגמ' בפסחים </w:t>
      </w:r>
      <w:r w:rsidRPr="007B0EC3">
        <w:rPr>
          <w:rStyle w:val="af6"/>
          <w:rFonts w:eastAsia="Guttman Hodes" w:hint="cs"/>
          <w:rtl/>
        </w:rPr>
        <w:t>(מד:)</w:t>
      </w:r>
      <w:r>
        <w:rPr>
          <w:rFonts w:hint="cs"/>
          <w:rtl/>
        </w:rPr>
        <w:t xml:space="preserve"> דילפינן ממשרת בנזיר לכל התורה בק"ו, ובגמ' בפסחים </w:t>
      </w:r>
      <w:r w:rsidRPr="007B0EC3">
        <w:rPr>
          <w:rStyle w:val="af6"/>
          <w:rFonts w:eastAsia="Guttman Hodes" w:hint="cs"/>
          <w:rtl/>
        </w:rPr>
        <w:t>(מה.)</w:t>
      </w:r>
      <w:r>
        <w:rPr>
          <w:rFonts w:hint="cs"/>
          <w:rtl/>
        </w:rPr>
        <w:t xml:space="preserve"> דמחטאת לא ילפינן דחולין מקדשים לא ילפינן, ובגמ' בנזיר </w:t>
      </w:r>
      <w:r w:rsidRPr="007B0EC3">
        <w:rPr>
          <w:rStyle w:val="af6"/>
          <w:rFonts w:eastAsia="Guttman Hodes" w:hint="cs"/>
          <w:rtl/>
        </w:rPr>
        <w:t>(לז:)</w:t>
      </w:r>
      <w:r>
        <w:rPr>
          <w:rFonts w:hint="cs"/>
          <w:rtl/>
        </w:rPr>
        <w:t xml:space="preserve"> דמנזיר לא ילפינן דחמיר איסוריה דאסור לו</w:t>
      </w:r>
      <w:r w:rsidRPr="005162A9">
        <w:rPr>
          <w:rFonts w:hint="cs"/>
          <w:rtl/>
        </w:rPr>
        <w:t xml:space="preserve"> </w:t>
      </w:r>
      <w:r>
        <w:rPr>
          <w:rFonts w:hint="cs"/>
          <w:rtl/>
        </w:rPr>
        <w:t>אף חרצן, ואי דין טעם כעיקר הוא רק גילוי מילתא דע"י הטעם חשיב שהאיסור ניכר</w:t>
      </w:r>
      <w:r w:rsidRPr="0016472F">
        <w:rPr>
          <w:rStyle w:val="afa"/>
          <w:rFonts w:hint="cs"/>
          <w:rtl/>
        </w:rPr>
        <w:t>, [דכיון שהטעם ניכר, ממילא לא התבטל אף ממשו],</w:t>
      </w:r>
      <w:r>
        <w:rPr>
          <w:rFonts w:hint="cs"/>
          <w:rtl/>
        </w:rPr>
        <w:t xml:space="preserve"> א"כ א"צ ילפותא גמורה לזה, אלא כתב הגר"ח דמוכח דדין טעם כעיקר הוא גזיה"כ בפנ"ע, שיש חלות איסור על הטעם כמו העיקר, והקשה </w:t>
      </w:r>
      <w:r w:rsidRPr="00866C33">
        <w:rPr>
          <w:rStyle w:val="af8"/>
          <w:rFonts w:hint="cs"/>
          <w:rtl/>
        </w:rPr>
        <w:t>הגר"ח</w:t>
      </w:r>
      <w:r>
        <w:rPr>
          <w:rFonts w:hint="cs"/>
          <w:rtl/>
        </w:rPr>
        <w:t xml:space="preserve"> דא"כ יש סתירה בין הגמ' בפסחים ובנזיר, לגמ' בזבחים.</w:t>
      </w:r>
    </w:p>
    <w:p w:rsidR="00F71EAC" w:rsidRDefault="00F71EAC" w:rsidP="00F71EAC">
      <w:pPr>
        <w:pStyle w:val="1"/>
        <w:rPr>
          <w:rtl/>
        </w:rPr>
      </w:pPr>
      <w:r>
        <w:rPr>
          <w:rFonts w:hint="cs"/>
          <w:rtl/>
        </w:rPr>
        <w:t>ביאור הגר"ח דטעם כעיקר הוא חלות איסור ועי"ז ל"מ בו ביטול</w:t>
      </w:r>
    </w:p>
    <w:p w:rsidR="00F71EAC" w:rsidRPr="002500B6" w:rsidRDefault="00F71EAC" w:rsidP="00F71EAC">
      <w:pPr>
        <w:pStyle w:val="a2"/>
        <w:rPr>
          <w:rtl/>
        </w:rPr>
      </w:pPr>
      <w:r>
        <w:rPr>
          <w:rFonts w:hint="cs"/>
          <w:rtl/>
        </w:rPr>
        <w:t>ביאור הגר"ח דיסוד טע"כ דיש בו חלות איסור כדילפינן ממשרת אך גדרו הוא דאינו מתבטל ברוב</w:t>
      </w:r>
    </w:p>
    <w:p w:rsidR="00F71EAC" w:rsidRDefault="00F71EAC" w:rsidP="009F44AF">
      <w:pPr>
        <w:pStyle w:val="a"/>
        <w:rPr>
          <w:rtl/>
        </w:rPr>
      </w:pPr>
      <w:r>
        <w:rPr>
          <w:rFonts w:hint="cs"/>
          <w:rtl/>
        </w:rPr>
        <w:t xml:space="preserve">אלא כתב </w:t>
      </w:r>
      <w:r w:rsidRPr="00866C33">
        <w:rPr>
          <w:rStyle w:val="af8"/>
          <w:rFonts w:hint="cs"/>
          <w:rtl/>
        </w:rPr>
        <w:t>הגר"ח</w:t>
      </w:r>
      <w:r>
        <w:rPr>
          <w:rFonts w:hint="cs"/>
          <w:rtl/>
        </w:rPr>
        <w:t xml:space="preserve"> דודאי דהיסוד בדין טעם כעיקר, הוא שהוא דין בפנ"ע דיש בו חלות איסור של טעם כעיקר, וכדילפינן ממשרת דיש בו לאו ואיסור, </w:t>
      </w:r>
      <w:r w:rsidR="00EB4488">
        <w:rPr>
          <w:rFonts w:hint="cs"/>
          <w:rtl/>
        </w:rPr>
        <w:t>אלא דזהו גופא הדין באיסור דטעם כעיקר, דאינו מתבטל ברוב,</w:t>
      </w:r>
      <w:r>
        <w:rPr>
          <w:rFonts w:hint="cs"/>
          <w:rtl/>
        </w:rPr>
        <w:t xml:space="preserve"> ועיי"ש במ"ש ה</w:t>
      </w:r>
      <w:r w:rsidRPr="00866C33">
        <w:rPr>
          <w:rStyle w:val="af8"/>
          <w:rFonts w:hint="cs"/>
          <w:rtl/>
        </w:rPr>
        <w:t>גר"ח</w:t>
      </w:r>
      <w:r>
        <w:rPr>
          <w:rFonts w:hint="cs"/>
          <w:rtl/>
        </w:rPr>
        <w:t xml:space="preserve"> להוכיח כן מדין נותן טעם לפגם.</w:t>
      </w:r>
    </w:p>
    <w:p w:rsidR="00F71EAC" w:rsidRDefault="00F71EAC" w:rsidP="00F71EAC">
      <w:pPr>
        <w:pStyle w:val="a2"/>
        <w:rPr>
          <w:rtl/>
        </w:rPr>
      </w:pPr>
      <w:r>
        <w:rPr>
          <w:rFonts w:hint="cs"/>
          <w:rtl/>
        </w:rPr>
        <w:t>דברי הגר"ח דאחר שיש דין טע"כ דהטעם הוא כהעיקר ממש ממילא פקע הביטול ויצא יד"ח מצה</w:t>
      </w:r>
    </w:p>
    <w:p w:rsidR="00F71EAC" w:rsidRDefault="00F71EAC" w:rsidP="009F44AF">
      <w:pPr>
        <w:pStyle w:val="a"/>
        <w:rPr>
          <w:rtl/>
        </w:rPr>
      </w:pPr>
      <w:r>
        <w:rPr>
          <w:rFonts w:hint="cs"/>
          <w:rtl/>
        </w:rPr>
        <w:t xml:space="preserve">וכתב </w:t>
      </w:r>
      <w:r w:rsidRPr="003F641F">
        <w:rPr>
          <w:rStyle w:val="af8"/>
          <w:rFonts w:hint="cs"/>
          <w:rtl/>
        </w:rPr>
        <w:t>הגר"ח</w:t>
      </w:r>
      <w:r>
        <w:rPr>
          <w:rFonts w:hint="cs"/>
          <w:rtl/>
        </w:rPr>
        <w:t xml:space="preserve"> דבזה מבואר היאך ע"י דין טעם כעיקר, מהני לצאת ידי חובת מצה בעיסה דחיטין ואורז, דאחר שע"י טעם כעיקר דינו הוא שהטעם הוא כמו העיקר ממש, ומחמת דין זה פקע ממנו דין ביטול, ממילא חשיב מצה של חיטין.</w:t>
      </w:r>
    </w:p>
    <w:p w:rsidR="00F71EAC" w:rsidRPr="00A61924" w:rsidRDefault="00F71EAC" w:rsidP="00F71EAC">
      <w:pPr>
        <w:pStyle w:val="a2"/>
        <w:rPr>
          <w:rtl/>
        </w:rPr>
      </w:pPr>
      <w:r>
        <w:rPr>
          <w:rFonts w:hint="cs"/>
          <w:rtl/>
        </w:rPr>
        <w:t>דברי הגר"ח דא"כ טע"כ אינו גילוי מילתא אלא רק ע"י שיש חלות דין טע"כ ממילא פקע הביטול</w:t>
      </w:r>
    </w:p>
    <w:p w:rsidR="00F71EAC" w:rsidRPr="00602E4D" w:rsidRDefault="00F71EAC" w:rsidP="009F44AF">
      <w:pPr>
        <w:pStyle w:val="a"/>
        <w:rPr>
          <w:rtl/>
        </w:rPr>
      </w:pPr>
      <w:r>
        <w:rPr>
          <w:rFonts w:hint="cs"/>
          <w:rtl/>
        </w:rPr>
        <w:t xml:space="preserve">וכתב </w:t>
      </w:r>
      <w:r w:rsidRPr="003F641F">
        <w:rPr>
          <w:rStyle w:val="af8"/>
          <w:rFonts w:hint="cs"/>
          <w:rtl/>
        </w:rPr>
        <w:t>הגר"ח</w:t>
      </w:r>
      <w:r>
        <w:rPr>
          <w:rFonts w:hint="cs"/>
          <w:rtl/>
        </w:rPr>
        <w:t xml:space="preserve"> דכן מיושב לפי"ז אמאי אין דין טעם כעיקר גילוי מילתא בעלמא, דהא דאין בטעם כעיקר דין ביטול, אינו רק מחמת שהוא ניכר ע"י הטעם ואינו מתבטל, אלא דע"י דילפינן שיש חלות איסור בטעם כעיקר, ממילא פקע ממנו דין ביטול, וע"ע במ"ש </w:t>
      </w:r>
      <w:r w:rsidRPr="008C1674">
        <w:rPr>
          <w:rStyle w:val="af8"/>
          <w:rFonts w:hint="cs"/>
          <w:rtl/>
        </w:rPr>
        <w:t>הגר"ח</w:t>
      </w:r>
      <w:r>
        <w:rPr>
          <w:rFonts w:hint="cs"/>
          <w:rtl/>
        </w:rPr>
        <w:t xml:space="preserve"> </w:t>
      </w:r>
      <w:r w:rsidRPr="008C1674">
        <w:rPr>
          <w:rStyle w:val="af6"/>
          <w:rFonts w:eastAsia="Guttman Hodes" w:hint="cs"/>
          <w:rtl/>
        </w:rPr>
        <w:t>(מאכ"א פט"ו ה"א ד"ה והנה בפי"ד)</w:t>
      </w:r>
      <w:r>
        <w:rPr>
          <w:rFonts w:hint="cs"/>
          <w:rtl/>
        </w:rPr>
        <w:t xml:space="preserve"> בגדר טעם כעיקר.</w:t>
      </w:r>
    </w:p>
    <w:p w:rsidR="00F71EAC" w:rsidRDefault="00F71EAC" w:rsidP="00F71EAC">
      <w:pPr>
        <w:pStyle w:val="1"/>
        <w:rPr>
          <w:rtl/>
        </w:rPr>
      </w:pPr>
      <w:r w:rsidRPr="00D635EE">
        <w:rPr>
          <w:rFonts w:hint="cs"/>
          <w:rtl/>
        </w:rPr>
        <w:t xml:space="preserve">דברי </w:t>
      </w:r>
      <w:r>
        <w:rPr>
          <w:rFonts w:hint="cs"/>
          <w:rtl/>
        </w:rPr>
        <w:t>הגר"ח בגדר האיסור בטעם כעיקר אף שהתבטל ברוב</w:t>
      </w:r>
    </w:p>
    <w:p w:rsidR="00F71EAC" w:rsidRDefault="00F71EAC" w:rsidP="00F71EAC">
      <w:pPr>
        <w:pStyle w:val="a2"/>
        <w:rPr>
          <w:rtl/>
        </w:rPr>
      </w:pPr>
      <w:r>
        <w:rPr>
          <w:rFonts w:hint="cs"/>
          <w:rtl/>
        </w:rPr>
        <w:t>דברי הגר"ח דבמין במינו אין ביטול כלל ובטע"כ יש חלות איסור אף שנתבטל הטעם בהיתר</w:t>
      </w:r>
    </w:p>
    <w:p w:rsidR="00F71EAC" w:rsidRDefault="00F71EAC" w:rsidP="009F44AF">
      <w:pPr>
        <w:pStyle w:val="a"/>
        <w:rPr>
          <w:rtl/>
        </w:rPr>
      </w:pPr>
      <w:r>
        <w:rPr>
          <w:rFonts w:hint="cs"/>
          <w:rtl/>
        </w:rPr>
        <w:t xml:space="preserve">עו"כ </w:t>
      </w:r>
      <w:r w:rsidRPr="003F641F">
        <w:rPr>
          <w:rStyle w:val="af8"/>
          <w:rFonts w:hint="cs"/>
          <w:rtl/>
        </w:rPr>
        <w:t>הגר"ח</w:t>
      </w:r>
      <w:r>
        <w:rPr>
          <w:rFonts w:hint="cs"/>
          <w:rtl/>
        </w:rPr>
        <w:t xml:space="preserve"> </w:t>
      </w:r>
      <w:r w:rsidRPr="003F641F">
        <w:rPr>
          <w:rStyle w:val="af6"/>
          <w:rFonts w:eastAsia="Guttman Hodes" w:hint="cs"/>
          <w:rtl/>
        </w:rPr>
        <w:t>(מאכ"א פ"ט ה"ט ד"ה ונראה לומר)</w:t>
      </w:r>
      <w:r>
        <w:rPr>
          <w:rFonts w:hint="cs"/>
          <w:rtl/>
        </w:rPr>
        <w:t xml:space="preserve"> </w:t>
      </w:r>
      <w:r w:rsidRPr="003F641F">
        <w:rPr>
          <w:rStyle w:val="afa"/>
          <w:rFonts w:hint="cs"/>
          <w:rtl/>
        </w:rPr>
        <w:t xml:space="preserve">[בדעת </w:t>
      </w:r>
      <w:r w:rsidRPr="003F641F">
        <w:rPr>
          <w:rStyle w:val="affa"/>
          <w:rFonts w:hint="cs"/>
          <w:rtl/>
        </w:rPr>
        <w:t>הראב"ד</w:t>
      </w:r>
      <w:r w:rsidRPr="003F641F">
        <w:rPr>
          <w:rStyle w:val="afa"/>
          <w:rFonts w:hint="cs"/>
          <w:rtl/>
        </w:rPr>
        <w:t xml:space="preserve">] </w:t>
      </w:r>
      <w:r>
        <w:rPr>
          <w:rFonts w:hint="cs"/>
          <w:rtl/>
        </w:rPr>
        <w:t xml:space="preserve">דיש חילוק בין דין טעם כעיקר, לדין מין במינו דלא בטל, דהא דלא מהני ביטול במין במינו, גדרו הוא שאין דין ביטול במין במינו כלל, וחשיב כנמצא בעין, אבל בטעם כעיקר </w:t>
      </w:r>
      <w:r w:rsidRPr="007B0EC3">
        <w:rPr>
          <w:rStyle w:val="afa"/>
          <w:rFonts w:hint="cs"/>
          <w:rtl/>
        </w:rPr>
        <w:t>[למ"ד דטעם כעיקר דאו']</w:t>
      </w:r>
      <w:r w:rsidRPr="007B0EC3">
        <w:rPr>
          <w:rStyle w:val="af6"/>
          <w:rFonts w:eastAsia="Guttman Hodes" w:hint="cs"/>
          <w:rtl/>
        </w:rPr>
        <w:t xml:space="preserve"> </w:t>
      </w:r>
      <w:r>
        <w:rPr>
          <w:rFonts w:hint="cs"/>
          <w:rtl/>
        </w:rPr>
        <w:t xml:space="preserve">דיש גזיה"כ דטעם כעיקר אסור, אי"ז מחמת שאין בו דין ביטול, אלא חידשה בו תורה חלות דין איסור, דאף שהטעם מעורב בהיתר, ומצד דין ביטול נתבטל הטעם בהיתר, מ"מ אסרה תורה טעם כעיקר, וכתב </w:t>
      </w:r>
      <w:r w:rsidRPr="00866C33">
        <w:rPr>
          <w:rStyle w:val="af8"/>
          <w:rFonts w:hint="cs"/>
          <w:rtl/>
        </w:rPr>
        <w:t>הגר"ח</w:t>
      </w:r>
      <w:r>
        <w:rPr>
          <w:rFonts w:hint="cs"/>
          <w:rtl/>
        </w:rPr>
        <w:t xml:space="preserve"> </w:t>
      </w:r>
      <w:r w:rsidRPr="007B0EC3">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Ref12895972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קיב)</w:t>
      </w:r>
      <w:r>
        <w:rPr>
          <w:rStyle w:val="af6"/>
          <w:rFonts w:eastAsia="Guttman Hodes"/>
          <w:rtl/>
        </w:rPr>
        <w:fldChar w:fldCharType="end"/>
      </w:r>
      <w:r w:rsidRPr="007B0EC3">
        <w:rPr>
          <w:rStyle w:val="af6"/>
          <w:rFonts w:eastAsia="Guttman Hodes" w:hint="cs"/>
          <w:rtl/>
        </w:rPr>
        <w:t xml:space="preserve"> </w:t>
      </w:r>
      <w:r>
        <w:rPr>
          <w:rFonts w:hint="cs"/>
          <w:rtl/>
        </w:rPr>
        <w:t>ד</w:t>
      </w:r>
      <w:r w:rsidRPr="00814819">
        <w:rPr>
          <w:rFonts w:hint="cs"/>
          <w:rtl/>
        </w:rPr>
        <w:t>כן מוכח בגמ' בפסחים שצריך ילפותא מפורשת לדין טעם כעיקר, ואינו גילוי מילתא דאין בו ביטול, כיון שהו</w:t>
      </w:r>
      <w:r>
        <w:rPr>
          <w:rFonts w:hint="cs"/>
          <w:rtl/>
        </w:rPr>
        <w:t>א חלות איסור חדשה של טעם כעיקר.</w:t>
      </w:r>
    </w:p>
    <w:p w:rsidR="00F71EAC" w:rsidRDefault="00F71EAC" w:rsidP="00F71EAC">
      <w:pPr>
        <w:pStyle w:val="a2"/>
        <w:rPr>
          <w:rtl/>
        </w:rPr>
      </w:pPr>
      <w:r>
        <w:rPr>
          <w:rFonts w:hint="cs"/>
          <w:rtl/>
        </w:rPr>
        <w:t>דברי הגר"ח דאף דהטעם אסור מהטמאים צריך ילפותא ממשרת לדין איסור של טעם כעיקר</w:t>
      </w:r>
    </w:p>
    <w:p w:rsidR="002D7168" w:rsidRDefault="00F71EAC" w:rsidP="009F44AF">
      <w:pPr>
        <w:pStyle w:val="a"/>
        <w:rPr>
          <w:rtl/>
        </w:rPr>
      </w:pPr>
      <w:r>
        <w:rPr>
          <w:rFonts w:hint="cs"/>
          <w:rtl/>
        </w:rPr>
        <w:t xml:space="preserve">וכתב </w:t>
      </w:r>
      <w:r w:rsidRPr="00866C33">
        <w:rPr>
          <w:rStyle w:val="af8"/>
          <w:rFonts w:hint="cs"/>
          <w:rtl/>
        </w:rPr>
        <w:t>הגר"ח</w:t>
      </w:r>
      <w:r>
        <w:rPr>
          <w:rFonts w:hint="cs"/>
          <w:rtl/>
        </w:rPr>
        <w:t xml:space="preserve"> דכן מבואר מהא שצריך ילפותא לטעם כעיקר ממשרת, אעפ"י שיש כבר ילפותא מהטמאים לאסור צירן ורוטבן, דמבואר בזה דהטעם אסור כמו העיקר, אלא כתב </w:t>
      </w:r>
      <w:r w:rsidRPr="00866C33">
        <w:rPr>
          <w:rStyle w:val="af8"/>
          <w:rFonts w:hint="cs"/>
          <w:rtl/>
        </w:rPr>
        <w:t>הגר"ח</w:t>
      </w:r>
      <w:r>
        <w:rPr>
          <w:rFonts w:hint="cs"/>
          <w:rtl/>
        </w:rPr>
        <w:t xml:space="preserve"> דבילפותא דהטמאים איירי כשהטעם נמצא בפנ"ע וילפינן דהטעם שיצא מהאיסור הוא אסור, והילפותא ממשרת היא לאסור טעם כעיקר כשהוא בתערובת ונתבטל בתוך ההיתר, ועי' במה שביאר בזה </w:t>
      </w:r>
      <w:r w:rsidRPr="007406F3">
        <w:rPr>
          <w:rStyle w:val="af8"/>
          <w:rFonts w:hint="cs"/>
          <w:rtl/>
        </w:rPr>
        <w:t>הגרי"ז</w:t>
      </w:r>
      <w:r>
        <w:rPr>
          <w:rFonts w:hint="cs"/>
          <w:rtl/>
        </w:rPr>
        <w:t xml:space="preserve"> </w:t>
      </w:r>
      <w:r w:rsidRPr="00D2277B">
        <w:rPr>
          <w:rStyle w:val="af6"/>
          <w:rFonts w:eastAsia="Guttman Hodes" w:hint="cs"/>
          <w:rtl/>
        </w:rPr>
        <w:t>(נזיר לו. ד"ה ואמר הגר"ח)</w:t>
      </w:r>
      <w:r>
        <w:rPr>
          <w:rFonts w:hint="cs"/>
          <w:rtl/>
        </w:rPr>
        <w:t>.</w:t>
      </w:r>
    </w:p>
    <w:p w:rsidR="00FA7852" w:rsidRPr="00FA7852" w:rsidRDefault="00FA7852" w:rsidP="00FA7852">
      <w:pPr>
        <w:pStyle w:val="a2"/>
        <w:rPr>
          <w:rtl/>
        </w:rPr>
      </w:pPr>
    </w:p>
    <w:p w:rsidR="00F71EAC" w:rsidRDefault="00F71EAC" w:rsidP="00E669F8">
      <w:pPr>
        <w:pStyle w:val="afd"/>
        <w:rPr>
          <w:rtl/>
        </w:rPr>
      </w:pPr>
      <w:r>
        <w:rPr>
          <w:rFonts w:hint="cs"/>
          <w:rtl/>
        </w:rPr>
        <w:t>בגדר דין נהפך ובמקורו</w:t>
      </w:r>
      <w:bookmarkEnd w:id="7294"/>
    </w:p>
    <w:p w:rsidR="00F71EAC" w:rsidRPr="002573BE" w:rsidRDefault="00F71EAC" w:rsidP="00F71EAC">
      <w:pPr>
        <w:pStyle w:val="1"/>
        <w:rPr>
          <w:rtl/>
        </w:rPr>
      </w:pPr>
      <w:bookmarkStart w:id="7295" w:name="_Toc13134853"/>
      <w:bookmarkStart w:id="7296" w:name="_Toc13244714"/>
      <w:bookmarkStart w:id="7297" w:name="_Toc13396691"/>
      <w:bookmarkStart w:id="7298" w:name="_Toc13418711"/>
      <w:bookmarkStart w:id="7299" w:name="_Toc13516547"/>
      <w:bookmarkStart w:id="7300" w:name="_Toc13773318"/>
      <w:bookmarkStart w:id="7301" w:name="_Toc13952625"/>
      <w:bookmarkStart w:id="7302" w:name="_Toc14089998"/>
      <w:bookmarkStart w:id="7303" w:name="_Toc14109798"/>
      <w:bookmarkStart w:id="7304" w:name="_Toc14120173"/>
      <w:bookmarkStart w:id="7305" w:name="_Toc14122351"/>
      <w:bookmarkStart w:id="7306" w:name="_Toc14196331"/>
      <w:bookmarkStart w:id="7307" w:name="_Toc14208881"/>
      <w:bookmarkStart w:id="7308" w:name="_Toc14248988"/>
      <w:bookmarkStart w:id="7309" w:name="_Toc14257529"/>
      <w:r>
        <w:rPr>
          <w:rFonts w:hint="cs"/>
          <w:rtl/>
        </w:rPr>
        <w:t>ביאור הקוב"ש בדין נהפך עפי"ד הראב"ד דהאיסור הוא בטעם</w:t>
      </w:r>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p>
    <w:p w:rsidR="00F71EAC" w:rsidRDefault="00F71EAC" w:rsidP="00F71EAC">
      <w:pPr>
        <w:pStyle w:val="a2"/>
        <w:rPr>
          <w:rtl/>
        </w:rPr>
      </w:pPr>
      <w:bookmarkStart w:id="7310" w:name="_Toc14257530"/>
      <w:r>
        <w:rPr>
          <w:rFonts w:hint="cs"/>
          <w:rtl/>
        </w:rPr>
        <w:t>דברי הקוב"ש דמדברי הראב"ד דטעם אינו מתבטל ברוב משמע דס"ל דאמרינן נהפך</w:t>
      </w:r>
      <w:bookmarkEnd w:id="7310"/>
    </w:p>
    <w:p w:rsidR="00AB5ACD" w:rsidRDefault="00F71EAC" w:rsidP="009F44AF">
      <w:pPr>
        <w:pStyle w:val="a"/>
        <w:rPr>
          <w:rtl/>
        </w:rPr>
      </w:pPr>
      <w:bookmarkStart w:id="7311" w:name="_Ref14255051"/>
      <w:r>
        <w:rPr>
          <w:rFonts w:hint="cs"/>
          <w:rtl/>
        </w:rPr>
        <w:t xml:space="preserve">הביא </w:t>
      </w:r>
      <w:r w:rsidRPr="00367EC7">
        <w:rPr>
          <w:rStyle w:val="af8"/>
          <w:rFonts w:hint="cs"/>
          <w:rtl/>
        </w:rPr>
        <w:t>הקוב"ש</w:t>
      </w:r>
      <w:r>
        <w:rPr>
          <w:rFonts w:hint="cs"/>
          <w:rtl/>
        </w:rPr>
        <w:t xml:space="preserve"> </w:t>
      </w:r>
      <w:r w:rsidRPr="00367EC7">
        <w:rPr>
          <w:rStyle w:val="af6"/>
          <w:rFonts w:eastAsia="Guttman Hodes" w:hint="cs"/>
          <w:rtl/>
        </w:rPr>
        <w:t xml:space="preserve">(פסחים אות </w:t>
      </w:r>
      <w:r w:rsidRPr="00C15691">
        <w:rPr>
          <w:rStyle w:val="af6"/>
          <w:rFonts w:eastAsia="Guttman Hodes" w:hint="cs"/>
          <w:rtl/>
        </w:rPr>
        <w:t>קע"ה)</w:t>
      </w:r>
      <w:r w:rsidRPr="00C15691">
        <w:rPr>
          <w:rFonts w:hint="cs"/>
          <w:rtl/>
        </w:rPr>
        <w:t xml:space="preserve"> את דברי </w:t>
      </w:r>
      <w:r w:rsidRPr="00C15691">
        <w:rPr>
          <w:rStyle w:val="af8"/>
          <w:rFonts w:hint="cs"/>
          <w:rtl/>
        </w:rPr>
        <w:t>הרשב"א</w:t>
      </w:r>
      <w:r w:rsidRPr="00C15691">
        <w:rPr>
          <w:rFonts w:hint="cs"/>
          <w:rtl/>
        </w:rPr>
        <w:t xml:space="preserve"> בשם </w:t>
      </w:r>
      <w:r w:rsidRPr="00C15691">
        <w:rPr>
          <w:rStyle w:val="af8"/>
          <w:rFonts w:hint="cs"/>
          <w:rtl/>
        </w:rPr>
        <w:t>הראב"ד</w:t>
      </w:r>
      <w:r w:rsidRPr="00C15691">
        <w:rPr>
          <w:rFonts w:hint="cs"/>
          <w:rtl/>
        </w:rPr>
        <w:t xml:space="preserve"> </w:t>
      </w:r>
      <w:r w:rsidRPr="00C15691">
        <w:rPr>
          <w:rStyle w:val="af6"/>
          <w:rFonts w:eastAsia="Guttman Hodes" w:hint="cs"/>
          <w:rtl/>
        </w:rPr>
        <w:t xml:space="preserve">(עי' אות </w:t>
      </w:r>
      <w:r w:rsidRPr="00C15691">
        <w:rPr>
          <w:rStyle w:val="af6"/>
          <w:rFonts w:eastAsia="Guttman Hodes"/>
          <w:rtl/>
        </w:rPr>
        <w:fldChar w:fldCharType="begin"/>
      </w:r>
      <w:r w:rsidRPr="00C15691">
        <w:rPr>
          <w:rStyle w:val="af6"/>
          <w:rFonts w:eastAsia="Guttman Hodes"/>
          <w:rtl/>
        </w:rPr>
        <w:instrText xml:space="preserve"> </w:instrText>
      </w:r>
      <w:r w:rsidRPr="00C15691">
        <w:rPr>
          <w:rStyle w:val="af6"/>
          <w:rFonts w:eastAsia="Guttman Hodes" w:hint="cs"/>
        </w:rPr>
        <w:instrText>REF</w:instrText>
      </w:r>
      <w:r w:rsidRPr="00C15691">
        <w:rPr>
          <w:rStyle w:val="af6"/>
          <w:rFonts w:eastAsia="Guttman Hodes" w:hint="cs"/>
          <w:rtl/>
        </w:rPr>
        <w:instrText xml:space="preserve"> _</w:instrText>
      </w:r>
      <w:r w:rsidRPr="00C15691">
        <w:rPr>
          <w:rStyle w:val="af6"/>
          <w:rFonts w:eastAsia="Guttman Hodes" w:hint="cs"/>
        </w:rPr>
        <w:instrText>Ref14254994 \r \h</w:instrText>
      </w:r>
      <w:r w:rsidRPr="00C15691">
        <w:rPr>
          <w:rStyle w:val="af6"/>
          <w:rFonts w:eastAsia="Guttman Hodes"/>
          <w:rtl/>
        </w:rPr>
        <w:instrText xml:space="preserve"> </w:instrText>
      </w:r>
      <w:r w:rsidRPr="00C15691">
        <w:rPr>
          <w:rStyle w:val="af6"/>
          <w:rFonts w:eastAsia="Guttman Hodes"/>
          <w:rtl/>
        </w:rPr>
      </w:r>
      <w:r w:rsidRPr="00C15691">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C15691">
        <w:rPr>
          <w:rStyle w:val="af6"/>
          <w:rFonts w:eastAsia="Guttman Hodes"/>
          <w:rtl/>
        </w:rPr>
        <w:fldChar w:fldCharType="end"/>
      </w:r>
      <w:r w:rsidRPr="00C15691">
        <w:rPr>
          <w:rFonts w:hint="cs"/>
          <w:rtl/>
        </w:rPr>
        <w:t xml:space="preserve"> דהא דהטעם אינו מתבטל ברוב הוא כיון דניכר טעם האיסור </w:t>
      </w:r>
      <w:r w:rsidRPr="00C15691">
        <w:rPr>
          <w:rFonts w:hint="cs"/>
          <w:rtl/>
        </w:rPr>
        <w:lastRenderedPageBreak/>
        <w:t>בתוך ההיתר, דטעימתו</w:t>
      </w:r>
      <w:r>
        <w:rPr>
          <w:rFonts w:hint="cs"/>
          <w:rtl/>
        </w:rPr>
        <w:t xml:space="preserve"> זוהי הכרתו, וכל החשיבות של האוכל היא בטעם, וכתב </w:t>
      </w:r>
      <w:r w:rsidRPr="00367EC7">
        <w:rPr>
          <w:rStyle w:val="af8"/>
          <w:rFonts w:hint="cs"/>
          <w:rtl/>
        </w:rPr>
        <w:t>הקוב"ש</w:t>
      </w:r>
      <w:r>
        <w:rPr>
          <w:rFonts w:hint="cs"/>
          <w:rtl/>
        </w:rPr>
        <w:t xml:space="preserve"> דמדברי </w:t>
      </w:r>
      <w:r w:rsidRPr="00367EC7">
        <w:rPr>
          <w:rStyle w:val="af8"/>
          <w:rFonts w:hint="cs"/>
          <w:rtl/>
        </w:rPr>
        <w:t>הראב"ד</w:t>
      </w:r>
      <w:r>
        <w:rPr>
          <w:rFonts w:hint="cs"/>
          <w:rtl/>
        </w:rPr>
        <w:t xml:space="preserve"> משמע דס"ל כדעת </w:t>
      </w:r>
      <w:r w:rsidRPr="0074087A">
        <w:rPr>
          <w:rStyle w:val="af8"/>
          <w:rFonts w:hint="cs"/>
          <w:rtl/>
        </w:rPr>
        <w:t>רש"י בפסחים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Ref13418335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ט)</w:t>
      </w:r>
      <w:r>
        <w:rPr>
          <w:rStyle w:val="af6"/>
          <w:rFonts w:eastAsia="Guttman Hodes"/>
          <w:rtl/>
        </w:rPr>
        <w:fldChar w:fldCharType="end"/>
      </w:r>
      <w:r w:rsidRPr="0074087A">
        <w:rPr>
          <w:rStyle w:val="af6"/>
          <w:rFonts w:eastAsia="Guttman Hodes" w:hint="cs"/>
          <w:rtl/>
        </w:rPr>
        <w:t xml:space="preserve"> </w:t>
      </w:r>
      <w:r>
        <w:rPr>
          <w:rFonts w:hint="cs"/>
          <w:rtl/>
        </w:rPr>
        <w:t>דכתב בדעת ר"ע דיליף מגיעולי עכו"ם דטעם כעיקר דאו', דהגדר הוא דנהפך ההיתר להיות איסור.</w:t>
      </w:r>
    </w:p>
    <w:p w:rsidR="00F71EAC" w:rsidRPr="008030C8" w:rsidRDefault="00F71EAC" w:rsidP="00F71EAC">
      <w:pPr>
        <w:pStyle w:val="a2"/>
      </w:pPr>
      <w:bookmarkStart w:id="7312" w:name="_Toc14257531"/>
      <w:r>
        <w:rPr>
          <w:rFonts w:hint="cs"/>
          <w:rtl/>
        </w:rPr>
        <w:t>קושית הקוב"ש דאף דטעם אינו מתבטל מסברא דטעימתו זו הכרתו מ"מ אי"ז מקור לדין נהפך</w:t>
      </w:r>
      <w:bookmarkEnd w:id="7312"/>
    </w:p>
    <w:p w:rsidR="00F71EAC" w:rsidRDefault="00F71EAC" w:rsidP="009F44AF">
      <w:pPr>
        <w:pStyle w:val="a"/>
        <w:rPr>
          <w:rtl/>
        </w:rPr>
      </w:pPr>
      <w:r>
        <w:rPr>
          <w:rFonts w:hint="cs"/>
          <w:rtl/>
        </w:rPr>
        <w:t xml:space="preserve">והקשה </w:t>
      </w:r>
      <w:r w:rsidRPr="00367EC7">
        <w:rPr>
          <w:rStyle w:val="af8"/>
          <w:rFonts w:hint="cs"/>
          <w:rtl/>
        </w:rPr>
        <w:t>הקוב"ש</w:t>
      </w:r>
      <w:r>
        <w:rPr>
          <w:rFonts w:hint="cs"/>
          <w:rtl/>
        </w:rPr>
        <w:t xml:space="preserve"> דכ"מ דמהני סברת </w:t>
      </w:r>
      <w:r w:rsidRPr="00C15691">
        <w:rPr>
          <w:rStyle w:val="af8"/>
          <w:rFonts w:hint="cs"/>
          <w:rtl/>
        </w:rPr>
        <w:t>הראב"ד</w:t>
      </w:r>
      <w:r>
        <w:rPr>
          <w:rFonts w:hint="cs"/>
          <w:rtl/>
        </w:rPr>
        <w:t xml:space="preserve"> היא רק לומר דלא מהני ביטול ברוב, אך לא מהני לומר דההיתר יהפך להיות איסור.</w:t>
      </w:r>
      <w:bookmarkEnd w:id="7311"/>
    </w:p>
    <w:p w:rsidR="00F71EAC" w:rsidRDefault="00F71EAC" w:rsidP="00F71EAC">
      <w:pPr>
        <w:pStyle w:val="a2"/>
        <w:rPr>
          <w:rtl/>
        </w:rPr>
      </w:pPr>
      <w:bookmarkStart w:id="7313" w:name="_Toc14257532"/>
      <w:r>
        <w:rPr>
          <w:rFonts w:hint="cs"/>
          <w:rtl/>
        </w:rPr>
        <w:t>דברי הקוב"ש דבכל האיסורים האיסור בממשות הוא רק ע"י הטעם אך הממשות עצמה לא אסורה</w:t>
      </w:r>
      <w:bookmarkEnd w:id="7313"/>
    </w:p>
    <w:p w:rsidR="00F71EAC" w:rsidRDefault="00F71EAC" w:rsidP="009F44AF">
      <w:pPr>
        <w:pStyle w:val="a"/>
        <w:rPr>
          <w:rtl/>
        </w:rPr>
      </w:pPr>
      <w:r>
        <w:rPr>
          <w:rFonts w:hint="cs"/>
          <w:rtl/>
        </w:rPr>
        <w:t xml:space="preserve">וכתב </w:t>
      </w:r>
      <w:r w:rsidRPr="00367EC7">
        <w:rPr>
          <w:rStyle w:val="af8"/>
          <w:rFonts w:hint="cs"/>
          <w:rtl/>
        </w:rPr>
        <w:t>הקוב"ש</w:t>
      </w:r>
      <w:r>
        <w:rPr>
          <w:rFonts w:hint="cs"/>
          <w:rtl/>
        </w:rPr>
        <w:t xml:space="preserve"> דאפש"ל דכיון דמצינו דלמ"ד דאין בגידין בנותן טעם, אין בהם איסור אחר </w:t>
      </w:r>
      <w:r w:rsidRPr="00367EC7">
        <w:rPr>
          <w:rStyle w:val="afa"/>
          <w:rFonts w:hint="cs"/>
          <w:rtl/>
        </w:rPr>
        <w:t xml:space="preserve">[כנבילה] </w:t>
      </w:r>
      <w:r>
        <w:rPr>
          <w:rFonts w:hint="cs"/>
          <w:rtl/>
        </w:rPr>
        <w:t xml:space="preserve">מלבד איסור גיד, דאיסור זה הוא חיוב מיוחד של התורה </w:t>
      </w:r>
      <w:r w:rsidRPr="00367EC7">
        <w:rPr>
          <w:rStyle w:val="afa"/>
          <w:rFonts w:hint="cs"/>
          <w:rtl/>
        </w:rPr>
        <w:t>[אף בלא טעם]</w:t>
      </w:r>
      <w:r>
        <w:rPr>
          <w:rFonts w:hint="cs"/>
          <w:rtl/>
        </w:rPr>
        <w:t>, א"כ מבואר דבכל שאר האיסורים, כל מה שממשו של האיסור אסור, הוא רק ע"י הטעם שלו, אך הממשות עצמה לעולם אינה אסורה.</w:t>
      </w:r>
    </w:p>
    <w:p w:rsidR="00F71EAC" w:rsidRDefault="00F71EAC" w:rsidP="00F71EAC">
      <w:pPr>
        <w:pStyle w:val="a2"/>
        <w:rPr>
          <w:rtl/>
        </w:rPr>
      </w:pPr>
      <w:bookmarkStart w:id="7314" w:name="_Toc14257533"/>
      <w:r>
        <w:rPr>
          <w:rFonts w:hint="cs"/>
          <w:rtl/>
        </w:rPr>
        <w:t>ביאור הקוב"ש דבתערובת שיש בה טעם איסור אין חילוק אי הממשות של היתר או של איסור</w:t>
      </w:r>
      <w:bookmarkEnd w:id="7314"/>
    </w:p>
    <w:p w:rsidR="00F71EAC" w:rsidRPr="00B2256D" w:rsidRDefault="00F71EAC" w:rsidP="009F44AF">
      <w:pPr>
        <w:pStyle w:val="a"/>
        <w:rPr>
          <w:rStyle w:val="afa"/>
          <w:rtl/>
        </w:rPr>
      </w:pPr>
      <w:r>
        <w:rPr>
          <w:rFonts w:hint="cs"/>
          <w:rtl/>
        </w:rPr>
        <w:t xml:space="preserve">וכתב </w:t>
      </w:r>
      <w:r w:rsidRPr="00367EC7">
        <w:rPr>
          <w:rStyle w:val="af8"/>
          <w:rFonts w:hint="cs"/>
          <w:rtl/>
        </w:rPr>
        <w:t>הקוב"ש</w:t>
      </w:r>
      <w:r>
        <w:rPr>
          <w:rFonts w:hint="cs"/>
          <w:rtl/>
        </w:rPr>
        <w:t xml:space="preserve"> דא"כ בתערובת של היתר ואיסור שיש בה טעם איסור, אין כל נ"מ אי הממשות היא היתר או איסור, דהטעם הוא אוסר את הממשות בין אם הוא איסור ובין אם הוא היתר, וכתב </w:t>
      </w:r>
      <w:r w:rsidRPr="00367EC7">
        <w:rPr>
          <w:rStyle w:val="af8"/>
          <w:rFonts w:hint="cs"/>
          <w:rtl/>
        </w:rPr>
        <w:t>הקוב"ש</w:t>
      </w:r>
      <w:r>
        <w:rPr>
          <w:rFonts w:hint="cs"/>
          <w:rtl/>
        </w:rPr>
        <w:t xml:space="preserve"> דזו כוונת </w:t>
      </w:r>
      <w:r w:rsidRPr="00367EC7">
        <w:rPr>
          <w:rStyle w:val="af8"/>
          <w:rFonts w:hint="cs"/>
          <w:rtl/>
        </w:rPr>
        <w:t>הראב"ד</w:t>
      </w:r>
      <w:r>
        <w:rPr>
          <w:rFonts w:hint="cs"/>
          <w:rtl/>
        </w:rPr>
        <w:t xml:space="preserve"> דכתב שאין חשיבות לאוכל אלא בטעמו, </w:t>
      </w:r>
      <w:r w:rsidRPr="00B2256D">
        <w:rPr>
          <w:rStyle w:val="afa"/>
          <w:rFonts w:hint="cs"/>
          <w:rtl/>
        </w:rPr>
        <w:t xml:space="preserve">[אך כתב </w:t>
      </w:r>
      <w:r w:rsidRPr="00B2256D">
        <w:rPr>
          <w:rStyle w:val="affa"/>
          <w:rFonts w:hint="cs"/>
          <w:rtl/>
        </w:rPr>
        <w:t>הקוב"ש</w:t>
      </w:r>
      <w:r w:rsidRPr="00B2256D">
        <w:rPr>
          <w:rStyle w:val="afa"/>
          <w:rFonts w:hint="cs"/>
          <w:rtl/>
        </w:rPr>
        <w:t xml:space="preserve"> דסברת </w:t>
      </w:r>
      <w:r w:rsidRPr="00B2256D">
        <w:rPr>
          <w:rStyle w:val="affa"/>
          <w:rFonts w:hint="cs"/>
          <w:rtl/>
        </w:rPr>
        <w:t>הראב"ד</w:t>
      </w:r>
      <w:r w:rsidRPr="00B2256D">
        <w:rPr>
          <w:rStyle w:val="afa"/>
          <w:rFonts w:hint="cs"/>
          <w:rtl/>
        </w:rPr>
        <w:t xml:space="preserve"> היא רק להסוברים דטעם כעיקר נאמר רק לאכילה, אבל להסוברים דהוא נאמר אף לאיסורי הנאה, א"א לבאר כסברת </w:t>
      </w:r>
      <w:r w:rsidRPr="00B2256D">
        <w:rPr>
          <w:rStyle w:val="affa"/>
          <w:rFonts w:hint="cs"/>
          <w:rtl/>
        </w:rPr>
        <w:t>הראב"ד</w:t>
      </w:r>
      <w:r w:rsidRPr="00B2256D">
        <w:rPr>
          <w:rStyle w:val="afa"/>
          <w:rFonts w:hint="cs"/>
          <w:rtl/>
        </w:rPr>
        <w:t>].</w:t>
      </w:r>
    </w:p>
    <w:p w:rsidR="00F71EAC" w:rsidRDefault="00F71EAC" w:rsidP="00F71EAC">
      <w:pPr>
        <w:pStyle w:val="1"/>
        <w:rPr>
          <w:rtl/>
        </w:rPr>
      </w:pPr>
      <w:bookmarkStart w:id="7315" w:name="_Toc13952626"/>
      <w:bookmarkStart w:id="7316" w:name="_Toc14089999"/>
      <w:bookmarkStart w:id="7317" w:name="_Toc14109799"/>
      <w:bookmarkStart w:id="7318" w:name="_Toc14120174"/>
      <w:bookmarkStart w:id="7319" w:name="_Toc14122352"/>
      <w:bookmarkStart w:id="7320" w:name="_Toc14196332"/>
      <w:bookmarkStart w:id="7321" w:name="_Toc14208882"/>
      <w:bookmarkStart w:id="7322" w:name="_Toc14248989"/>
      <w:bookmarkStart w:id="7323" w:name="_Toc14257535"/>
      <w:r>
        <w:rPr>
          <w:rFonts w:hint="cs"/>
          <w:rtl/>
        </w:rPr>
        <w:t>ביאור המשנת ר"א</w:t>
      </w:r>
      <w:bookmarkEnd w:id="7315"/>
      <w:bookmarkEnd w:id="7316"/>
      <w:bookmarkEnd w:id="7317"/>
      <w:bookmarkEnd w:id="7318"/>
      <w:bookmarkEnd w:id="7319"/>
      <w:bookmarkEnd w:id="7320"/>
      <w:bookmarkEnd w:id="7321"/>
      <w:bookmarkEnd w:id="7322"/>
      <w:r>
        <w:rPr>
          <w:rFonts w:hint="cs"/>
          <w:rtl/>
        </w:rPr>
        <w:t xml:space="preserve"> בפלוגתת הראשונים בדין נהפך</w:t>
      </w:r>
      <w:bookmarkEnd w:id="7323"/>
    </w:p>
    <w:p w:rsidR="00F71EAC" w:rsidRDefault="00F71EAC" w:rsidP="00F71EAC">
      <w:pPr>
        <w:pStyle w:val="a2"/>
      </w:pPr>
      <w:bookmarkStart w:id="7324" w:name="_Toc14257536"/>
      <w:r>
        <w:rPr>
          <w:rFonts w:hint="cs"/>
          <w:rtl/>
        </w:rPr>
        <w:t>דברי המשנת ר"א דבטע"כ נאמר גם שאינו מתבטל ברוב וגם שההיתר נהפך לאיסור</w:t>
      </w:r>
      <w:bookmarkEnd w:id="7324"/>
    </w:p>
    <w:p w:rsidR="00F71EAC" w:rsidRDefault="00F71EAC" w:rsidP="009F44AF">
      <w:pPr>
        <w:pStyle w:val="a"/>
        <w:rPr>
          <w:rtl/>
        </w:rPr>
      </w:pPr>
      <w:r>
        <w:rPr>
          <w:rFonts w:hint="cs"/>
          <w:rtl/>
        </w:rPr>
        <w:t xml:space="preserve">כתב </w:t>
      </w:r>
      <w:r w:rsidRPr="00B2256D">
        <w:rPr>
          <w:rStyle w:val="af8"/>
          <w:rFonts w:hint="cs"/>
          <w:rtl/>
        </w:rPr>
        <w:t>במשנת ר"א</w:t>
      </w:r>
      <w:r>
        <w:rPr>
          <w:rFonts w:hint="cs"/>
          <w:rtl/>
        </w:rPr>
        <w:t xml:space="preserve"> </w:t>
      </w:r>
      <w:r w:rsidRPr="00367EC7">
        <w:rPr>
          <w:rStyle w:val="af6"/>
          <w:rFonts w:eastAsia="Guttman Hodes" w:hint="cs"/>
          <w:rtl/>
        </w:rPr>
        <w:t>(סי' ט' אות ז')</w:t>
      </w:r>
      <w:r>
        <w:rPr>
          <w:rFonts w:hint="cs"/>
          <w:rtl/>
        </w:rPr>
        <w:t xml:space="preserve"> דבדין טעם כעיקר כלולים ב' דינים, והדין הא' דכשהאיסור נותן טעם בהיתר, לא מתבטל חלק האיסור בתוך ההיתר, ונשאר האיסור בעין בכל מקום שהוא נמצא, דכיון שהטעם ניכר ממילא הוא גורם שאין בטעם דין ביטול ברוב, </w:t>
      </w:r>
      <w:r w:rsidRPr="008030C8">
        <w:rPr>
          <w:rStyle w:val="afa"/>
          <w:rFonts w:hint="cs"/>
          <w:rtl/>
        </w:rPr>
        <w:t xml:space="preserve">[כסברת </w:t>
      </w:r>
      <w:r w:rsidRPr="008030C8">
        <w:rPr>
          <w:rStyle w:val="affa"/>
          <w:rFonts w:hint="cs"/>
          <w:rtl/>
        </w:rPr>
        <w:t>הראב"ד</w:t>
      </w:r>
      <w:r w:rsidRPr="008030C8">
        <w:rPr>
          <w:rStyle w:val="afa"/>
          <w:rFonts w:hint="cs"/>
          <w:rtl/>
        </w:rPr>
        <w:t xml:space="preserve"> </w:t>
      </w:r>
      <w:r w:rsidRPr="008030C8">
        <w:rPr>
          <w:rStyle w:val="aff6"/>
          <w:rFonts w:hint="cs"/>
          <w:rtl/>
        </w:rPr>
        <w:t xml:space="preserve">(עי' אות </w:t>
      </w:r>
      <w:r w:rsidRPr="008030C8">
        <w:rPr>
          <w:rStyle w:val="aff6"/>
          <w:rtl/>
        </w:rPr>
        <w:fldChar w:fldCharType="begin"/>
      </w:r>
      <w:r w:rsidRPr="008030C8">
        <w:rPr>
          <w:rStyle w:val="aff6"/>
          <w:rtl/>
        </w:rPr>
        <w:instrText xml:space="preserve"> </w:instrText>
      </w:r>
      <w:r w:rsidRPr="008030C8">
        <w:rPr>
          <w:rStyle w:val="aff6"/>
          <w:rFonts w:hint="cs"/>
        </w:rPr>
        <w:instrText>REF</w:instrText>
      </w:r>
      <w:r w:rsidRPr="008030C8">
        <w:rPr>
          <w:rStyle w:val="aff6"/>
          <w:rFonts w:hint="cs"/>
          <w:rtl/>
        </w:rPr>
        <w:instrText xml:space="preserve"> _</w:instrText>
      </w:r>
      <w:r w:rsidRPr="008030C8">
        <w:rPr>
          <w:rStyle w:val="aff6"/>
          <w:rFonts w:hint="cs"/>
        </w:rPr>
        <w:instrText>Ref14254994 \r \h</w:instrText>
      </w:r>
      <w:r w:rsidRPr="008030C8">
        <w:rPr>
          <w:rStyle w:val="aff6"/>
          <w:rtl/>
        </w:rPr>
        <w:instrText xml:space="preserve"> </w:instrText>
      </w:r>
      <w:r w:rsidRPr="008030C8">
        <w:rPr>
          <w:rStyle w:val="aff6"/>
          <w:rtl/>
        </w:rPr>
      </w:r>
      <w:r w:rsidRPr="008030C8">
        <w:rPr>
          <w:rStyle w:val="aff6"/>
          <w:rtl/>
        </w:rPr>
        <w:fldChar w:fldCharType="separate"/>
      </w:r>
      <w:r w:rsidR="004D1C5B">
        <w:rPr>
          <w:rStyle w:val="aff6"/>
          <w:cs/>
        </w:rPr>
        <w:t>‎</w:t>
      </w:r>
      <w:r w:rsidR="004D1C5B">
        <w:rPr>
          <w:rStyle w:val="aff6"/>
          <w:rtl/>
        </w:rPr>
        <w:t>עג)</w:t>
      </w:r>
      <w:r w:rsidRPr="008030C8">
        <w:rPr>
          <w:rStyle w:val="aff6"/>
          <w:rtl/>
        </w:rPr>
        <w:fldChar w:fldCharType="end"/>
      </w:r>
      <w:r w:rsidRPr="008030C8">
        <w:rPr>
          <w:rStyle w:val="afa"/>
          <w:rFonts w:hint="cs"/>
          <w:rtl/>
        </w:rPr>
        <w:t>],</w:t>
      </w:r>
      <w:r>
        <w:rPr>
          <w:rFonts w:hint="cs"/>
          <w:rtl/>
        </w:rPr>
        <w:t xml:space="preserve"> והדין הב' הוא דכיון שהאיסור נתן טעם בהיתר, נהפך גם ההיתר להיות איסור.</w:t>
      </w:r>
    </w:p>
    <w:p w:rsidR="00F71EAC" w:rsidRPr="00A15435" w:rsidRDefault="00F71EAC" w:rsidP="00F71EAC">
      <w:pPr>
        <w:pStyle w:val="a2"/>
      </w:pPr>
      <w:bookmarkStart w:id="7325" w:name="_Toc14257537"/>
      <w:r>
        <w:rPr>
          <w:rFonts w:hint="cs"/>
          <w:rtl/>
        </w:rPr>
        <w:t>דברי המשנת ר"א דלר"ת דלוקין על כל כזית האיסור והלאו בטעם הוא כמו באיסור עצמו</w:t>
      </w:r>
      <w:bookmarkEnd w:id="7325"/>
    </w:p>
    <w:p w:rsidR="00F71EAC" w:rsidRDefault="00F71EAC" w:rsidP="009F44AF">
      <w:pPr>
        <w:pStyle w:val="a"/>
        <w:rPr>
          <w:rtl/>
        </w:rPr>
      </w:pPr>
      <w:bookmarkStart w:id="7326" w:name="_Ref14255715"/>
      <w:r w:rsidRPr="00A15435">
        <w:rPr>
          <w:rtl/>
        </w:rPr>
        <w:t xml:space="preserve">וכתב </w:t>
      </w:r>
      <w:r w:rsidRPr="00B2256D">
        <w:rPr>
          <w:rStyle w:val="af8"/>
          <w:rtl/>
        </w:rPr>
        <w:t>במשנת ר"א</w:t>
      </w:r>
      <w:r w:rsidRPr="00A15435">
        <w:rPr>
          <w:rtl/>
        </w:rPr>
        <w:t xml:space="preserve"> דיש ג' שיטות בראשונים בטעם כעיקר, דעת </w:t>
      </w:r>
      <w:r w:rsidRPr="00B2256D">
        <w:rPr>
          <w:rStyle w:val="af8"/>
          <w:rtl/>
        </w:rPr>
        <w:t>ר"ת בתוס' וברא"ש</w:t>
      </w:r>
      <w:r w:rsidRPr="00A15435">
        <w:rPr>
          <w:rtl/>
        </w:rPr>
        <w:t xml:space="preserve"> </w:t>
      </w:r>
      <w:r w:rsidRPr="002F4C8B">
        <w:rPr>
          <w:rStyle w:val="af6"/>
          <w:rFonts w:eastAsia="Guttman Hode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Ref13759399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Pr>
          <w:rStyle w:val="af6"/>
          <w:rFonts w:eastAsia="Guttman Hodes"/>
          <w:rtl/>
        </w:rPr>
        <w:fldChar w:fldCharType="end"/>
      </w:r>
      <w:r>
        <w:rPr>
          <w:rStyle w:val="af6"/>
          <w:rFonts w:eastAsia="Guttman Hodes" w:hint="cs"/>
          <w:rtl/>
        </w:rPr>
        <w:t xml:space="preserve"> </w:t>
      </w:r>
      <w:r w:rsidRPr="00A15435">
        <w:rPr>
          <w:rtl/>
        </w:rPr>
        <w:t xml:space="preserve">דמדין טעם כעיקר לוקין על כל כזית מהתערובת שיש בה טעם של איסור, וכתב </w:t>
      </w:r>
      <w:r w:rsidRPr="00B2256D">
        <w:rPr>
          <w:rStyle w:val="af8"/>
          <w:rtl/>
        </w:rPr>
        <w:t>המשנת ר"א</w:t>
      </w:r>
      <w:r w:rsidRPr="00A15435">
        <w:rPr>
          <w:rtl/>
        </w:rPr>
        <w:t xml:space="preserve"> דלפי"ז האיסור בטעם הוא כמו העיקר עצמו, וההיתר נהפך להיות איסור, ע</w:t>
      </w:r>
      <w:r>
        <w:rPr>
          <w:rtl/>
        </w:rPr>
        <w:t>ד שיש בו את כל הלאו כמו באיסור</w:t>
      </w:r>
      <w:r>
        <w:rPr>
          <w:rFonts w:hint="cs"/>
          <w:rtl/>
        </w:rPr>
        <w:t>.</w:t>
      </w:r>
      <w:bookmarkEnd w:id="7326"/>
    </w:p>
    <w:p w:rsidR="00F71EAC" w:rsidRDefault="00F71EAC" w:rsidP="00F71EAC">
      <w:pPr>
        <w:pStyle w:val="a2"/>
        <w:rPr>
          <w:rtl/>
        </w:rPr>
      </w:pPr>
      <w:bookmarkStart w:id="7327" w:name="_Toc14257538"/>
      <w:r>
        <w:rPr>
          <w:rFonts w:hint="cs"/>
          <w:rtl/>
        </w:rPr>
        <w:t>דברי המשנת ר"א דלרבינו חיים בכזית בכא"פ האיסור והלאו בטעם הוא כמו באיסור עצמו</w:t>
      </w:r>
      <w:bookmarkEnd w:id="7327"/>
    </w:p>
    <w:p w:rsidR="002D7168" w:rsidRDefault="00F71EAC" w:rsidP="009F44AF">
      <w:pPr>
        <w:pStyle w:val="a"/>
        <w:rPr>
          <w:rtl/>
        </w:rPr>
      </w:pPr>
      <w:bookmarkStart w:id="7328" w:name="_Ref14255802"/>
      <w:r>
        <w:rPr>
          <w:rFonts w:hint="cs"/>
          <w:rtl/>
        </w:rPr>
        <w:t xml:space="preserve">וכתב </w:t>
      </w:r>
      <w:r w:rsidRPr="002F4C8B">
        <w:rPr>
          <w:rStyle w:val="af8"/>
          <w:rFonts w:hint="cs"/>
          <w:rtl/>
        </w:rPr>
        <w:t>המשנת ר"א</w:t>
      </w:r>
      <w:r>
        <w:rPr>
          <w:rFonts w:hint="cs"/>
          <w:rtl/>
        </w:rPr>
        <w:t xml:space="preserve"> דהשיטה הב' היא שיטת </w:t>
      </w:r>
      <w:r w:rsidRPr="002F4C8B">
        <w:rPr>
          <w:rStyle w:val="af8"/>
          <w:rFonts w:hint="cs"/>
          <w:rtl/>
        </w:rPr>
        <w:t>רבינו חיים</w:t>
      </w:r>
      <w:r>
        <w:rPr>
          <w:rFonts w:hint="cs"/>
          <w:rtl/>
        </w:rPr>
        <w:t xml:space="preserve"> שהביא </w:t>
      </w:r>
      <w:r w:rsidRPr="002F4C8B">
        <w:rPr>
          <w:rStyle w:val="af8"/>
          <w:rFonts w:hint="cs"/>
          <w:rtl/>
        </w:rPr>
        <w:t>הרא"ש</w:t>
      </w:r>
      <w:r>
        <w:rPr>
          <w:rFonts w:hint="cs"/>
          <w:rtl/>
        </w:rPr>
        <w:t xml:space="preserve"> </w:t>
      </w:r>
      <w:r w:rsidRPr="002F4C8B">
        <w:rPr>
          <w:rStyle w:val="af6"/>
          <w:rFonts w:eastAsia="Guttman Hodes" w:hint="cs"/>
          <w:rtl/>
        </w:rPr>
        <w:t xml:space="preserve">(עי' אות </w:t>
      </w:r>
      <w:r w:rsidRPr="002F4C8B">
        <w:rPr>
          <w:rStyle w:val="af6"/>
          <w:rFonts w:eastAsia="Guttman Hodes"/>
          <w:rtl/>
        </w:rPr>
        <w:fldChar w:fldCharType="begin"/>
      </w:r>
      <w:r w:rsidRPr="002F4C8B">
        <w:rPr>
          <w:rStyle w:val="af6"/>
          <w:rFonts w:eastAsia="Guttman Hodes"/>
          <w:rtl/>
        </w:rPr>
        <w:instrText xml:space="preserve"> </w:instrText>
      </w:r>
      <w:r w:rsidRPr="002F4C8B">
        <w:rPr>
          <w:rStyle w:val="af6"/>
          <w:rFonts w:eastAsia="Guttman Hodes" w:hint="cs"/>
        </w:rPr>
        <w:instrText>REF</w:instrText>
      </w:r>
      <w:r w:rsidRPr="002F4C8B">
        <w:rPr>
          <w:rStyle w:val="af6"/>
          <w:rFonts w:eastAsia="Guttman Hodes" w:hint="cs"/>
          <w:rtl/>
        </w:rPr>
        <w:instrText xml:space="preserve"> _</w:instrText>
      </w:r>
      <w:r w:rsidRPr="002F4C8B">
        <w:rPr>
          <w:rStyle w:val="af6"/>
          <w:rFonts w:eastAsia="Guttman Hodes" w:hint="cs"/>
        </w:rPr>
        <w:instrText>Ref14249711 \r \h</w:instrText>
      </w:r>
      <w:r w:rsidRPr="002F4C8B">
        <w:rPr>
          <w:rStyle w:val="af6"/>
          <w:rFonts w:eastAsia="Guttman Hodes"/>
          <w:rtl/>
        </w:rPr>
        <w:instrText xml:space="preserve"> </w:instrText>
      </w:r>
      <w:r w:rsidRPr="002F4C8B">
        <w:rPr>
          <w:rStyle w:val="af6"/>
          <w:rFonts w:eastAsia="Guttman Hodes"/>
          <w:rtl/>
        </w:rPr>
      </w:r>
      <w:r w:rsidRPr="002F4C8B">
        <w:rPr>
          <w:rStyle w:val="af6"/>
          <w:rFonts w:eastAsia="Guttman Hodes"/>
          <w:rtl/>
        </w:rPr>
        <w:fldChar w:fldCharType="separate"/>
      </w:r>
      <w:r w:rsidR="004D1C5B">
        <w:rPr>
          <w:rStyle w:val="af6"/>
          <w:rFonts w:eastAsia="Guttman Hodes"/>
          <w:cs/>
        </w:rPr>
        <w:t>‎</w:t>
      </w:r>
      <w:r w:rsidR="004D1C5B">
        <w:rPr>
          <w:rStyle w:val="af6"/>
          <w:rFonts w:eastAsia="Guttman Hodes"/>
          <w:rtl/>
        </w:rPr>
        <w:t>לה)</w:t>
      </w:r>
      <w:r w:rsidRPr="002F4C8B">
        <w:rPr>
          <w:rStyle w:val="af6"/>
          <w:rFonts w:eastAsia="Guttman Hodes"/>
          <w:rtl/>
        </w:rPr>
        <w:fldChar w:fldCharType="end"/>
      </w:r>
      <w:r>
        <w:rPr>
          <w:rFonts w:hint="cs"/>
          <w:rtl/>
        </w:rPr>
        <w:t xml:space="preserve"> דכל שיש בתערובת איסור בשיעור כזית בכדי אכילת פרס, לוקין על כל כזית מהתערובת, וכתב </w:t>
      </w:r>
      <w:r w:rsidRPr="002F4C8B">
        <w:rPr>
          <w:rStyle w:val="af8"/>
          <w:rFonts w:hint="cs"/>
          <w:rtl/>
        </w:rPr>
        <w:t>המשנת ר"א</w:t>
      </w:r>
      <w:r>
        <w:rPr>
          <w:rFonts w:hint="cs"/>
          <w:rtl/>
        </w:rPr>
        <w:t xml:space="preserve"> דאף לדעת </w:t>
      </w:r>
      <w:r w:rsidRPr="002F4C8B">
        <w:rPr>
          <w:rStyle w:val="af8"/>
          <w:rFonts w:hint="cs"/>
          <w:rtl/>
        </w:rPr>
        <w:t>רבינו חיים</w:t>
      </w:r>
      <w:r>
        <w:rPr>
          <w:rFonts w:hint="cs"/>
          <w:rtl/>
        </w:rPr>
        <w:t xml:space="preserve"> בכזית בכדי אכילת פרס ההיתר נהפך לאיסור</w:t>
      </w:r>
      <w:r w:rsidRPr="00A15435">
        <w:rPr>
          <w:rtl/>
        </w:rPr>
        <w:t xml:space="preserve">, וכתב </w:t>
      </w:r>
      <w:r w:rsidRPr="00B2256D">
        <w:rPr>
          <w:rStyle w:val="af8"/>
          <w:rtl/>
        </w:rPr>
        <w:t>המשנת ר"א</w:t>
      </w:r>
      <w:r w:rsidRPr="00A15435">
        <w:rPr>
          <w:rtl/>
        </w:rPr>
        <w:t xml:space="preserve"> דלפי"ז האיסור בטעם הוא כמו העיקר עצמו, וההיתר נהפך להיות איסור, ע</w:t>
      </w:r>
      <w:r>
        <w:rPr>
          <w:rtl/>
        </w:rPr>
        <w:t>ד שיש בו את כל הלאו כמו באיסור</w:t>
      </w:r>
      <w:r>
        <w:rPr>
          <w:rFonts w:hint="cs"/>
          <w:rtl/>
        </w:rPr>
        <w:t>.</w:t>
      </w:r>
      <w:bookmarkEnd w:id="7328"/>
    </w:p>
    <w:p w:rsidR="00F71EAC" w:rsidRDefault="00F71EAC" w:rsidP="00F71EAC">
      <w:pPr>
        <w:pStyle w:val="a2"/>
        <w:rPr>
          <w:rtl/>
        </w:rPr>
      </w:pPr>
      <w:bookmarkStart w:id="7329" w:name="_Toc14257539"/>
      <w:r>
        <w:rPr>
          <w:rFonts w:hint="cs"/>
          <w:rtl/>
        </w:rPr>
        <w:t>ביאור המשנת ר"א בר"י מאורליינש דהאיסור בתערובת הוא איסור חדש מדין טעם</w:t>
      </w:r>
      <w:bookmarkEnd w:id="7329"/>
    </w:p>
    <w:p w:rsidR="00F71EAC" w:rsidRDefault="00F71EAC" w:rsidP="009F44AF">
      <w:pPr>
        <w:pStyle w:val="a"/>
        <w:rPr>
          <w:rtl/>
        </w:rPr>
      </w:pPr>
      <w:bookmarkStart w:id="7330" w:name="_Ref14255649"/>
      <w:r>
        <w:rPr>
          <w:rFonts w:hint="cs"/>
          <w:rtl/>
        </w:rPr>
        <w:t xml:space="preserve">וכתב </w:t>
      </w:r>
      <w:r w:rsidRPr="00367EC7">
        <w:rPr>
          <w:rStyle w:val="af8"/>
          <w:rFonts w:hint="cs"/>
          <w:rtl/>
        </w:rPr>
        <w:t>המשנת ר"א</w:t>
      </w:r>
      <w:r>
        <w:rPr>
          <w:rFonts w:hint="cs"/>
          <w:rtl/>
        </w:rPr>
        <w:t xml:space="preserve"> דהשיטה הג' היא שיטת </w:t>
      </w:r>
      <w:r w:rsidRPr="00367EC7">
        <w:rPr>
          <w:rStyle w:val="af8"/>
          <w:rFonts w:hint="cs"/>
          <w:rtl/>
        </w:rPr>
        <w:t>הר"י מאורליינש</w:t>
      </w:r>
      <w:r>
        <w:rPr>
          <w:rFonts w:hint="cs"/>
          <w:rtl/>
        </w:rPr>
        <w:t xml:space="preserve"> שהביאו </w:t>
      </w:r>
      <w:r w:rsidRPr="00367EC7">
        <w:rPr>
          <w:rStyle w:val="af8"/>
          <w:rFonts w:hint="cs"/>
          <w:rtl/>
        </w:rPr>
        <w:t>התוס'</w:t>
      </w:r>
      <w:r>
        <w:rPr>
          <w:rFonts w:hint="cs"/>
          <w:rtl/>
        </w:rPr>
        <w:t xml:space="preserve"> </w:t>
      </w:r>
      <w:r w:rsidRPr="002F4C8B">
        <w:rPr>
          <w:rStyle w:val="af6"/>
          <w:rFonts w:eastAsia="Guttman Hodes" w:hint="cs"/>
          <w:rtl/>
        </w:rPr>
        <w:t xml:space="preserve">(עי' אות </w:t>
      </w:r>
      <w:r w:rsidRPr="002F4C8B">
        <w:rPr>
          <w:rStyle w:val="af6"/>
          <w:rFonts w:eastAsia="Guttman Hodes"/>
          <w:rtl/>
        </w:rPr>
        <w:fldChar w:fldCharType="begin"/>
      </w:r>
      <w:r w:rsidRPr="002F4C8B">
        <w:rPr>
          <w:rStyle w:val="af6"/>
          <w:rFonts w:eastAsia="Guttman Hodes"/>
          <w:rtl/>
        </w:rPr>
        <w:instrText xml:space="preserve"> </w:instrText>
      </w:r>
      <w:r w:rsidRPr="002F4C8B">
        <w:rPr>
          <w:rStyle w:val="af6"/>
          <w:rFonts w:eastAsia="Guttman Hodes" w:hint="cs"/>
        </w:rPr>
        <w:instrText>REF</w:instrText>
      </w:r>
      <w:r w:rsidRPr="002F4C8B">
        <w:rPr>
          <w:rStyle w:val="af6"/>
          <w:rFonts w:eastAsia="Guttman Hodes" w:hint="cs"/>
          <w:rtl/>
        </w:rPr>
        <w:instrText xml:space="preserve"> _</w:instrText>
      </w:r>
      <w:r w:rsidRPr="002F4C8B">
        <w:rPr>
          <w:rStyle w:val="af6"/>
          <w:rFonts w:eastAsia="Guttman Hodes" w:hint="cs"/>
        </w:rPr>
        <w:instrText>Ref14255578 \r \h</w:instrText>
      </w:r>
      <w:r w:rsidRPr="002F4C8B">
        <w:rPr>
          <w:rStyle w:val="af6"/>
          <w:rFonts w:eastAsia="Guttman Hodes"/>
          <w:rtl/>
        </w:rPr>
        <w:instrText xml:space="preserve"> </w:instrText>
      </w:r>
      <w:r w:rsidRPr="002F4C8B">
        <w:rPr>
          <w:rStyle w:val="af6"/>
          <w:rFonts w:eastAsia="Guttman Hodes"/>
          <w:rtl/>
        </w:rPr>
      </w:r>
      <w:r w:rsidRPr="002F4C8B">
        <w:rPr>
          <w:rStyle w:val="af6"/>
          <w:rFonts w:eastAsia="Guttman Hodes"/>
          <w:rtl/>
        </w:rPr>
        <w:fldChar w:fldCharType="separate"/>
      </w:r>
      <w:r w:rsidR="004D1C5B">
        <w:rPr>
          <w:rStyle w:val="af6"/>
          <w:rFonts w:eastAsia="Guttman Hodes"/>
          <w:cs/>
        </w:rPr>
        <w:t>‎</w:t>
      </w:r>
      <w:r w:rsidR="004D1C5B">
        <w:rPr>
          <w:rStyle w:val="af6"/>
          <w:rFonts w:eastAsia="Guttman Hodes"/>
          <w:rtl/>
        </w:rPr>
        <w:t>צח)</w:t>
      </w:r>
      <w:r w:rsidRPr="002F4C8B">
        <w:rPr>
          <w:rStyle w:val="af6"/>
          <w:rFonts w:eastAsia="Guttman Hodes"/>
          <w:rtl/>
        </w:rPr>
        <w:fldChar w:fldCharType="end"/>
      </w:r>
      <w:r>
        <w:rPr>
          <w:rFonts w:hint="cs"/>
          <w:rtl/>
        </w:rPr>
        <w:t xml:space="preserve"> דהאיסור בתערובת אינו כמו האיסור שנבלע בה, אלא הוא איסור חדש, מדין טעם כעיקר כדילפינן מגיעולי עכו"ם, ואיסור זה הוא בעשה דתעבירו באש, ואין בו לאו.</w:t>
      </w:r>
      <w:bookmarkEnd w:id="7330"/>
    </w:p>
    <w:p w:rsidR="00F71EAC" w:rsidRDefault="00F71EAC" w:rsidP="00F71EAC">
      <w:pPr>
        <w:pStyle w:val="a2"/>
        <w:rPr>
          <w:rtl/>
        </w:rPr>
      </w:pPr>
      <w:bookmarkStart w:id="7331" w:name="_Toc14257540"/>
      <w:r>
        <w:rPr>
          <w:rFonts w:hint="cs"/>
          <w:rtl/>
        </w:rPr>
        <w:t>דברי המשנת ר"א דלכל הראשונים נאסר ההיתר רק כיון שהטעם אינו מתבטל ברוב</w:t>
      </w:r>
      <w:bookmarkEnd w:id="7331"/>
    </w:p>
    <w:p w:rsidR="00F71EAC" w:rsidRDefault="00F71EAC" w:rsidP="009F44AF">
      <w:pPr>
        <w:pStyle w:val="a"/>
        <w:rPr>
          <w:rtl/>
        </w:rPr>
      </w:pPr>
      <w:r>
        <w:rPr>
          <w:rFonts w:hint="cs"/>
          <w:rtl/>
        </w:rPr>
        <w:t xml:space="preserve">וכתב </w:t>
      </w:r>
      <w:r w:rsidRPr="00367EC7">
        <w:rPr>
          <w:rStyle w:val="af8"/>
          <w:rFonts w:hint="cs"/>
          <w:rtl/>
        </w:rPr>
        <w:t>במשנת ר"א</w:t>
      </w:r>
      <w:r>
        <w:rPr>
          <w:rFonts w:hint="cs"/>
          <w:rtl/>
        </w:rPr>
        <w:t xml:space="preserve"> דלכל השיטות ההיתר נאסר כיון שיש בו טעם של איסור, אך מ"מ כל האיסור הזה הוא מחמת שהטעם לא בטל ברוב, ואם היה מהני בטעם ביטול ברוב, א"א לומר דהאיסור שבטל ברוב יאסור את ההיתר.</w:t>
      </w:r>
    </w:p>
    <w:p w:rsidR="00F71EAC" w:rsidRDefault="00F71EAC" w:rsidP="00F71EAC">
      <w:pPr>
        <w:pStyle w:val="a2"/>
        <w:rPr>
          <w:rtl/>
        </w:rPr>
      </w:pPr>
      <w:bookmarkStart w:id="7332" w:name="_Toc14257541"/>
      <w:r>
        <w:rPr>
          <w:rFonts w:hint="cs"/>
          <w:rtl/>
        </w:rPr>
        <w:t>דברי המשנת ר"א דאף להר"י מאורליינש הטעם לא מתבטל אלא דס"ל דדין נהפך אינו לאו</w:t>
      </w:r>
      <w:bookmarkEnd w:id="7332"/>
    </w:p>
    <w:p w:rsidR="00F71EAC" w:rsidRPr="006B392A" w:rsidRDefault="00F71EAC" w:rsidP="009F44AF">
      <w:pPr>
        <w:pStyle w:val="a"/>
      </w:pPr>
      <w:r>
        <w:rPr>
          <w:rFonts w:hint="cs"/>
          <w:rtl/>
        </w:rPr>
        <w:t xml:space="preserve">והוסיף </w:t>
      </w:r>
      <w:r w:rsidRPr="00367EC7">
        <w:rPr>
          <w:rStyle w:val="af8"/>
          <w:rFonts w:hint="cs"/>
          <w:rtl/>
        </w:rPr>
        <w:t>המשנת ר"א</w:t>
      </w:r>
      <w:r>
        <w:rPr>
          <w:rFonts w:hint="cs"/>
          <w:rtl/>
        </w:rPr>
        <w:t xml:space="preserve"> דאף לשיטת </w:t>
      </w:r>
      <w:r w:rsidRPr="00367EC7">
        <w:rPr>
          <w:rStyle w:val="af8"/>
          <w:rFonts w:hint="cs"/>
          <w:rtl/>
        </w:rPr>
        <w:t>הר"י מאורליינש</w:t>
      </w:r>
      <w:r>
        <w:rPr>
          <w:rFonts w:hint="cs"/>
          <w:rtl/>
        </w:rPr>
        <w:t xml:space="preserve"> צ"ל דהאיסור אינו מתבטל, אלא דלענין הדין השני בטעם כעיקר דההיתר נהפך להיות איסור, בזה ס"ל </w:t>
      </w:r>
      <w:r w:rsidRPr="00367EC7">
        <w:rPr>
          <w:rStyle w:val="af8"/>
          <w:rFonts w:hint="cs"/>
          <w:rtl/>
        </w:rPr>
        <w:t>להר"י מאורליינש</w:t>
      </w:r>
      <w:r>
        <w:rPr>
          <w:rFonts w:hint="cs"/>
          <w:rtl/>
        </w:rPr>
        <w:t xml:space="preserve"> דהוא איסור עשה ואין בו לאו.</w:t>
      </w:r>
    </w:p>
    <w:p w:rsidR="00F71EAC" w:rsidRDefault="00F71EAC" w:rsidP="00F71EAC">
      <w:pPr>
        <w:pStyle w:val="1"/>
        <w:rPr>
          <w:rtl/>
        </w:rPr>
      </w:pPr>
      <w:bookmarkStart w:id="7333" w:name="_Toc14109801"/>
      <w:bookmarkStart w:id="7334" w:name="_Toc14120176"/>
      <w:bookmarkStart w:id="7335" w:name="_Toc14122354"/>
      <w:bookmarkStart w:id="7336" w:name="_Toc14196334"/>
      <w:bookmarkStart w:id="7337" w:name="_Toc14208884"/>
      <w:bookmarkStart w:id="7338" w:name="_Toc14248991"/>
      <w:bookmarkStart w:id="7339" w:name="_Toc14257542"/>
      <w:r>
        <w:rPr>
          <w:rFonts w:hint="cs"/>
          <w:rtl/>
        </w:rPr>
        <w:t>דברי האבי עזרי</w:t>
      </w:r>
      <w:bookmarkEnd w:id="7333"/>
      <w:bookmarkEnd w:id="7334"/>
      <w:bookmarkEnd w:id="7335"/>
      <w:bookmarkEnd w:id="7336"/>
      <w:bookmarkEnd w:id="7337"/>
      <w:bookmarkEnd w:id="7338"/>
      <w:r>
        <w:rPr>
          <w:rFonts w:hint="cs"/>
          <w:rtl/>
        </w:rPr>
        <w:t xml:space="preserve"> בדעת הרמב"ן דלא אמרינן נהפך</w:t>
      </w:r>
      <w:bookmarkEnd w:id="7339"/>
    </w:p>
    <w:p w:rsidR="00F71EAC" w:rsidRDefault="00F71EAC" w:rsidP="00F71EAC">
      <w:pPr>
        <w:pStyle w:val="a2"/>
        <w:rPr>
          <w:rtl/>
        </w:rPr>
      </w:pPr>
      <w:bookmarkStart w:id="7340" w:name="_Toc14257534"/>
      <w:r>
        <w:rPr>
          <w:rFonts w:hint="cs"/>
          <w:rtl/>
        </w:rPr>
        <w:t>קושית האבי עזרי היאך הוכיחה הגמ' בזבחים דטע"כ דאו' מעיסת אורז הא טע"כ הוא דין באכילה</w:t>
      </w:r>
      <w:bookmarkEnd w:id="7340"/>
    </w:p>
    <w:p w:rsidR="00F71EAC" w:rsidRPr="005478B3" w:rsidRDefault="00F71EAC" w:rsidP="009F44AF">
      <w:pPr>
        <w:pStyle w:val="a"/>
        <w:rPr>
          <w:rtl/>
        </w:rPr>
      </w:pPr>
      <w:bookmarkStart w:id="7341" w:name="_Ref14256413"/>
      <w:r>
        <w:rPr>
          <w:rFonts w:hint="cs"/>
          <w:rtl/>
        </w:rPr>
        <w:t xml:space="preserve">הביא </w:t>
      </w:r>
      <w:r w:rsidRPr="005C0B48">
        <w:rPr>
          <w:rStyle w:val="af8"/>
          <w:rFonts w:hint="cs"/>
          <w:rtl/>
        </w:rPr>
        <w:t>האבי עזרי</w:t>
      </w:r>
      <w:r>
        <w:rPr>
          <w:rFonts w:hint="cs"/>
          <w:rtl/>
        </w:rPr>
        <w:t xml:space="preserve"> </w:t>
      </w:r>
      <w:r w:rsidRPr="00B06FAB">
        <w:rPr>
          <w:rStyle w:val="af6"/>
          <w:rFonts w:eastAsia="Guttman Hodes" w:hint="cs"/>
          <w:rtl/>
        </w:rPr>
        <w:t>(חמץ ומצה פ"ה ה"ב ד"ה ונראה בביאור)</w:t>
      </w:r>
      <w:r w:rsidRPr="000D07E4">
        <w:rPr>
          <w:rFonts w:hint="cs"/>
          <w:rtl/>
        </w:rPr>
        <w:t xml:space="preserve"> </w:t>
      </w:r>
      <w:r>
        <w:rPr>
          <w:rFonts w:hint="cs"/>
          <w:rtl/>
        </w:rPr>
        <w:t xml:space="preserve">את דברי </w:t>
      </w:r>
      <w:r w:rsidRPr="005C0B48">
        <w:rPr>
          <w:rStyle w:val="af8"/>
          <w:rFonts w:hint="cs"/>
          <w:rtl/>
        </w:rPr>
        <w:t>הרמב"ן בהלכות חלה</w:t>
      </w:r>
      <w:r>
        <w:rPr>
          <w:rFonts w:hint="cs"/>
          <w:rtl/>
        </w:rPr>
        <w:t xml:space="preserve"> </w:t>
      </w:r>
      <w:r w:rsidRPr="00B06FAB">
        <w:rPr>
          <w:rStyle w:val="af6"/>
          <w:rFonts w:eastAsia="Guttman Hodes" w:hint="cs"/>
          <w:rtl/>
        </w:rPr>
        <w:t xml:space="preserve">(עי' אות </w:t>
      </w:r>
      <w:r w:rsidRPr="00B06FAB">
        <w:rPr>
          <w:rStyle w:val="af6"/>
          <w:rFonts w:eastAsia="Guttman Hodes"/>
          <w:rtl/>
        </w:rPr>
        <w:fldChar w:fldCharType="begin"/>
      </w:r>
      <w:r w:rsidRPr="00B06FAB">
        <w:rPr>
          <w:rStyle w:val="af6"/>
          <w:rFonts w:eastAsia="Guttman Hodes"/>
          <w:rtl/>
        </w:rPr>
        <w:instrText xml:space="preserve"> </w:instrText>
      </w:r>
      <w:r w:rsidRPr="00B06FAB">
        <w:rPr>
          <w:rStyle w:val="af6"/>
          <w:rFonts w:eastAsia="Guttman Hodes" w:hint="cs"/>
        </w:rPr>
        <w:instrText>REF</w:instrText>
      </w:r>
      <w:r w:rsidRPr="00B06FAB">
        <w:rPr>
          <w:rStyle w:val="af6"/>
          <w:rFonts w:eastAsia="Guttman Hodes" w:hint="cs"/>
          <w:rtl/>
        </w:rPr>
        <w:instrText xml:space="preserve"> _</w:instrText>
      </w:r>
      <w:r w:rsidRPr="00B06FAB">
        <w:rPr>
          <w:rStyle w:val="af6"/>
          <w:rFonts w:eastAsia="Guttman Hodes" w:hint="cs"/>
        </w:rPr>
        <w:instrText>Ref14256340 \r \h</w:instrText>
      </w:r>
      <w:r w:rsidRPr="00B06FAB">
        <w:rPr>
          <w:rStyle w:val="af6"/>
          <w:rFonts w:eastAsia="Guttman Hodes"/>
          <w:rtl/>
        </w:rPr>
        <w:instrText xml:space="preserve"> </w:instrText>
      </w:r>
      <w:r w:rsidRPr="00B06FAB">
        <w:rPr>
          <w:rStyle w:val="af6"/>
          <w:rFonts w:eastAsia="Guttman Hodes"/>
          <w:rtl/>
        </w:rPr>
      </w:r>
      <w:r w:rsidRPr="00B06FAB">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B06FAB">
        <w:rPr>
          <w:rStyle w:val="af6"/>
          <w:rFonts w:eastAsia="Guttman Hodes"/>
          <w:rtl/>
        </w:rPr>
        <w:fldChar w:fldCharType="end"/>
      </w:r>
      <w:r>
        <w:rPr>
          <w:rFonts w:hint="cs"/>
          <w:rtl/>
        </w:rPr>
        <w:t xml:space="preserve"> דכתב דבעיסת אורז הוא מדין גרירה, וכיון שהטעם לא מתבטל יכולים החיטים לגרור את האורז וכתב </w:t>
      </w:r>
      <w:r w:rsidRPr="005C0B48">
        <w:rPr>
          <w:rStyle w:val="af8"/>
          <w:rFonts w:hint="cs"/>
          <w:rtl/>
        </w:rPr>
        <w:t>האבי עזרי</w:t>
      </w:r>
      <w:r>
        <w:rPr>
          <w:rFonts w:hint="cs"/>
          <w:rtl/>
        </w:rPr>
        <w:t xml:space="preserve"> דבעיקר דברי הגמ' בזבחים </w:t>
      </w:r>
      <w:r w:rsidRPr="00B06FAB">
        <w:rPr>
          <w:rStyle w:val="af6"/>
          <w:rFonts w:eastAsia="Guttman Hodes" w:hint="cs"/>
          <w:rtl/>
        </w:rPr>
        <w:t>(עט.)</w:t>
      </w:r>
      <w:r>
        <w:rPr>
          <w:rFonts w:hint="cs"/>
          <w:rtl/>
        </w:rPr>
        <w:t xml:space="preserve"> יש להקשות דהיאך הביאה הגמ' ראיה לדין טעם כעיקר, מדין עיסת אורז, הרי בפשטות דין טעם כעיקר הוא דין באכילה, </w:t>
      </w:r>
      <w:r w:rsidR="00A17673" w:rsidRPr="00DE543E">
        <w:rPr>
          <w:rStyle w:val="afa"/>
          <w:rFonts w:hint="cs"/>
          <w:rtl/>
        </w:rPr>
        <w:t xml:space="preserve">[כדכתב </w:t>
      </w:r>
      <w:r w:rsidR="00A17673" w:rsidRPr="00DE543E">
        <w:rPr>
          <w:rStyle w:val="affa"/>
          <w:rFonts w:hint="cs"/>
          <w:rtl/>
        </w:rPr>
        <w:t>הגר"ח</w:t>
      </w:r>
      <w:r w:rsidR="00A17673" w:rsidRPr="00DE543E">
        <w:rPr>
          <w:rStyle w:val="afa"/>
          <w:rFonts w:hint="cs"/>
          <w:rtl/>
        </w:rPr>
        <w:t xml:space="preserve"> </w:t>
      </w:r>
      <w:r w:rsidR="00A17673" w:rsidRPr="00DE543E">
        <w:rPr>
          <w:rStyle w:val="aff6"/>
          <w:rFonts w:hint="cs"/>
          <w:rtl/>
        </w:rPr>
        <w:t xml:space="preserve">(מאכ"א פט"ו ה"א ד"ה והנה בפי"ד בתו"ד, הובא לקמן סימן יא' אות </w:t>
      </w:r>
      <w:r w:rsidR="00A17673" w:rsidRPr="00DE543E">
        <w:rPr>
          <w:rStyle w:val="aff6"/>
          <w:rtl/>
        </w:rPr>
        <w:fldChar w:fldCharType="begin"/>
      </w:r>
      <w:r w:rsidR="00A17673" w:rsidRPr="00DE543E">
        <w:rPr>
          <w:rStyle w:val="aff6"/>
          <w:rtl/>
        </w:rPr>
        <w:instrText xml:space="preserve"> </w:instrText>
      </w:r>
      <w:r w:rsidR="00A17673" w:rsidRPr="00DE543E">
        <w:rPr>
          <w:rStyle w:val="aff6"/>
          <w:rFonts w:hint="cs"/>
        </w:rPr>
        <w:instrText>REF</w:instrText>
      </w:r>
      <w:r w:rsidR="00A17673" w:rsidRPr="00DE543E">
        <w:rPr>
          <w:rStyle w:val="aff6"/>
          <w:rFonts w:hint="cs"/>
          <w:rtl/>
        </w:rPr>
        <w:instrText xml:space="preserve"> _</w:instrText>
      </w:r>
      <w:r w:rsidR="00A17673" w:rsidRPr="00DE543E">
        <w:rPr>
          <w:rStyle w:val="aff6"/>
          <w:rFonts w:hint="cs"/>
        </w:rPr>
        <w:instrText>Ref15224249 \r \h</w:instrText>
      </w:r>
      <w:r w:rsidR="00A17673" w:rsidRPr="00DE543E">
        <w:rPr>
          <w:rStyle w:val="aff6"/>
          <w:rtl/>
        </w:rPr>
        <w:instrText xml:space="preserve"> </w:instrText>
      </w:r>
      <w:r w:rsidR="00A17673" w:rsidRPr="00DE543E">
        <w:rPr>
          <w:rStyle w:val="aff6"/>
          <w:rtl/>
        </w:rPr>
      </w:r>
      <w:r w:rsidR="00A17673" w:rsidRPr="00DE543E">
        <w:rPr>
          <w:rStyle w:val="aff6"/>
          <w:rtl/>
        </w:rPr>
        <w:fldChar w:fldCharType="separate"/>
      </w:r>
      <w:r w:rsidR="004D1C5B">
        <w:rPr>
          <w:rStyle w:val="aff6"/>
          <w:cs/>
        </w:rPr>
        <w:t>‎</w:t>
      </w:r>
      <w:r w:rsidR="004D1C5B">
        <w:rPr>
          <w:rStyle w:val="aff6"/>
          <w:rtl/>
        </w:rPr>
        <w:t>עח)</w:t>
      </w:r>
      <w:r w:rsidR="00A17673" w:rsidRPr="00DE543E">
        <w:rPr>
          <w:rStyle w:val="aff6"/>
          <w:rtl/>
        </w:rPr>
        <w:fldChar w:fldCharType="end"/>
      </w:r>
      <w:r w:rsidR="00A17673" w:rsidRPr="00DE543E">
        <w:rPr>
          <w:rStyle w:val="afa"/>
          <w:rFonts w:hint="cs"/>
          <w:rtl/>
        </w:rPr>
        <w:t>],</w:t>
      </w:r>
      <w:r w:rsidR="00A17673">
        <w:rPr>
          <w:rStyle w:val="afa"/>
          <w:rFonts w:hint="cs"/>
          <w:rtl/>
        </w:rPr>
        <w:t xml:space="preserve"> </w:t>
      </w:r>
      <w:r>
        <w:rPr>
          <w:rFonts w:hint="cs"/>
          <w:rtl/>
        </w:rPr>
        <w:t>דכל דבר שיש בו טעם איסור, חשיב שאוכל את האיסור, אך אי"ז שייך כלל להא דיוצא יד"ח מצה, דהא מצה היא רק מדגן, ומה שיש בה טעם דגן אינו מחשיבה לדגן, דהא אף אורז הוא בטעם דגן ואין יוצא בו יד"ח מצה.</w:t>
      </w:r>
      <w:bookmarkEnd w:id="7341"/>
    </w:p>
    <w:p w:rsidR="00F71EAC" w:rsidRPr="005478B3" w:rsidRDefault="00F71EAC" w:rsidP="00F71EAC">
      <w:pPr>
        <w:pStyle w:val="a2"/>
        <w:rPr>
          <w:rtl/>
        </w:rPr>
      </w:pPr>
      <w:bookmarkStart w:id="7342" w:name="_Toc14257543"/>
      <w:r>
        <w:rPr>
          <w:rFonts w:hint="cs"/>
          <w:rtl/>
        </w:rPr>
        <w:t>קושית האבי עזרי דהאיך עיסת האורז מתחייבת בחלה הא אף שיש בה טעם מ"מ היא עצמה אורז</w:t>
      </w:r>
      <w:bookmarkEnd w:id="7342"/>
    </w:p>
    <w:p w:rsidR="00F71EAC" w:rsidRDefault="00F71EAC" w:rsidP="009F44AF">
      <w:pPr>
        <w:pStyle w:val="a"/>
        <w:rPr>
          <w:rtl/>
        </w:rPr>
      </w:pPr>
      <w:r>
        <w:rPr>
          <w:rFonts w:hint="cs"/>
          <w:rtl/>
        </w:rPr>
        <w:t xml:space="preserve">וכן הקשה </w:t>
      </w:r>
      <w:r w:rsidRPr="005C0B48">
        <w:rPr>
          <w:rStyle w:val="af8"/>
          <w:rFonts w:hint="cs"/>
          <w:rtl/>
        </w:rPr>
        <w:t>האבי עזרי</w:t>
      </w:r>
      <w:r>
        <w:rPr>
          <w:rFonts w:hint="cs"/>
          <w:rtl/>
        </w:rPr>
        <w:t xml:space="preserve"> לענין חלה, דאף שיש בעיסת האורז טעם דגן, מ"מ הרי אין הדגן אוסר את העיסה מדין חלה, דאפש"ל דהטעם של העיסה אסור , אלא דאם אפה מהעיסה לחם יש בו חיוב הפרשת חלה, אך עדיין העיסה היא עיסת אורז דהא רובה הוא אורז, ואף שיש בה טעם דגן, עדיין אי"ז צריך לחייבה בחלה.</w:t>
      </w:r>
    </w:p>
    <w:p w:rsidR="00F71EAC" w:rsidRDefault="00F71EAC" w:rsidP="00F71EAC">
      <w:pPr>
        <w:pStyle w:val="a2"/>
        <w:rPr>
          <w:rtl/>
        </w:rPr>
      </w:pPr>
      <w:bookmarkStart w:id="7343" w:name="_Toc14257544"/>
      <w:r>
        <w:rPr>
          <w:rFonts w:hint="cs"/>
          <w:rtl/>
        </w:rPr>
        <w:t>דברי האבי עזרי דמדין טע"כ אין הדגן מתבטל ולכן ס"ל להראב"ד דצריך שיעור דגן למצה וחלה</w:t>
      </w:r>
      <w:bookmarkEnd w:id="7343"/>
    </w:p>
    <w:p w:rsidR="00F71EAC" w:rsidRDefault="00F71EAC" w:rsidP="009F44AF">
      <w:pPr>
        <w:pStyle w:val="a"/>
        <w:rPr>
          <w:rFonts w:asciiTheme="minorHAnsi" w:hAnsiTheme="minorHAnsi"/>
        </w:rPr>
      </w:pPr>
      <w:bookmarkStart w:id="7344" w:name="_Ref14256619"/>
      <w:r>
        <w:rPr>
          <w:rFonts w:hint="cs"/>
          <w:rtl/>
        </w:rPr>
        <w:t xml:space="preserve">וביאר </w:t>
      </w:r>
      <w:r w:rsidRPr="005C0B48">
        <w:rPr>
          <w:rStyle w:val="af8"/>
          <w:rFonts w:hint="cs"/>
          <w:rtl/>
        </w:rPr>
        <w:t>האבי עזרי</w:t>
      </w:r>
      <w:r>
        <w:rPr>
          <w:rFonts w:hint="cs"/>
          <w:rtl/>
        </w:rPr>
        <w:t xml:space="preserve"> דכיון שהטעם של הדגן לא מתבטל מדין טעם כעיקר, א"כ יש בתוך העיסה קצת דגן שאינו מבטל, ואם יש בדגן שיעור חיוב חלה, היא חייבת בחלה מצד עצמה, וכן אם אכל כזית דגן בכדי אכילת פרס, יצא יד"ח מצה, דאכל כזית דגן, וזוהי דעת </w:t>
      </w:r>
      <w:r w:rsidRPr="005C0B48">
        <w:rPr>
          <w:rStyle w:val="af8"/>
          <w:rFonts w:hint="cs"/>
          <w:rtl/>
        </w:rPr>
        <w:t>הראב"ד</w:t>
      </w:r>
      <w:r>
        <w:rPr>
          <w:rFonts w:hint="cs"/>
          <w:rtl/>
        </w:rPr>
        <w:t xml:space="preserve"> </w:t>
      </w:r>
      <w:r w:rsidRPr="007729A2">
        <w:rPr>
          <w:rStyle w:val="af6"/>
          <w:rFonts w:eastAsia="Guttman Hodes" w:hint="cs"/>
          <w:rtl/>
        </w:rPr>
        <w:t xml:space="preserve">(עי' אות </w:t>
      </w:r>
      <w:r w:rsidRPr="007729A2">
        <w:rPr>
          <w:rStyle w:val="af6"/>
          <w:rFonts w:eastAsia="Guttman Hodes"/>
          <w:rtl/>
        </w:rPr>
        <w:fldChar w:fldCharType="begin"/>
      </w:r>
      <w:r w:rsidRPr="007729A2">
        <w:rPr>
          <w:rStyle w:val="af6"/>
          <w:rFonts w:eastAsia="Guttman Hodes"/>
          <w:rtl/>
        </w:rPr>
        <w:instrText xml:space="preserve"> </w:instrText>
      </w:r>
      <w:r w:rsidRPr="007729A2">
        <w:rPr>
          <w:rStyle w:val="af6"/>
          <w:rFonts w:eastAsia="Guttman Hodes" w:hint="cs"/>
        </w:rPr>
        <w:instrText>REF</w:instrText>
      </w:r>
      <w:r w:rsidRPr="007729A2">
        <w:rPr>
          <w:rStyle w:val="af6"/>
          <w:rFonts w:eastAsia="Guttman Hodes" w:hint="cs"/>
          <w:rtl/>
        </w:rPr>
        <w:instrText xml:space="preserve"> _</w:instrText>
      </w:r>
      <w:r w:rsidRPr="007729A2">
        <w:rPr>
          <w:rStyle w:val="af6"/>
          <w:rFonts w:eastAsia="Guttman Hodes" w:hint="cs"/>
        </w:rPr>
        <w:instrText>Ref14244863 \r \h</w:instrText>
      </w:r>
      <w:r w:rsidRPr="007729A2">
        <w:rPr>
          <w:rStyle w:val="af6"/>
          <w:rFonts w:eastAsia="Guttman Hodes"/>
          <w:rtl/>
        </w:rPr>
        <w:instrText xml:space="preserve"> </w:instrText>
      </w:r>
      <w:r w:rsidRPr="007729A2">
        <w:rPr>
          <w:rStyle w:val="af6"/>
          <w:rFonts w:eastAsia="Guttman Hodes"/>
          <w:rtl/>
        </w:rPr>
      </w:r>
      <w:r w:rsidRPr="007729A2">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7729A2">
        <w:rPr>
          <w:rStyle w:val="af6"/>
          <w:rFonts w:eastAsia="Guttman Hodes"/>
          <w:rtl/>
        </w:rPr>
        <w:fldChar w:fldCharType="end"/>
      </w:r>
      <w:r>
        <w:rPr>
          <w:rFonts w:hint="cs"/>
          <w:rtl/>
        </w:rPr>
        <w:t xml:space="preserve"> דפסק כרשב"ג שצריך שיהיה בעיסה שיעור חלה, וכן לענין מצה כתב </w:t>
      </w:r>
      <w:r w:rsidRPr="005C0B48">
        <w:rPr>
          <w:rStyle w:val="af8"/>
          <w:rFonts w:hint="cs"/>
          <w:rtl/>
        </w:rPr>
        <w:t>הראב"ד</w:t>
      </w:r>
      <w:r>
        <w:rPr>
          <w:rFonts w:hint="cs"/>
          <w:rtl/>
        </w:rPr>
        <w:t xml:space="preserve"> </w:t>
      </w:r>
      <w:r w:rsidRPr="007729A2">
        <w:rPr>
          <w:rStyle w:val="af6"/>
          <w:rFonts w:eastAsia="Guttman Hodes" w:hint="cs"/>
          <w:rtl/>
        </w:rPr>
        <w:t xml:space="preserve">(עי' אות </w:t>
      </w:r>
      <w:r w:rsidRPr="007729A2">
        <w:rPr>
          <w:rStyle w:val="af6"/>
          <w:rFonts w:eastAsia="Guttman Hodes"/>
          <w:rtl/>
        </w:rPr>
        <w:fldChar w:fldCharType="begin"/>
      </w:r>
      <w:r w:rsidRPr="007729A2">
        <w:rPr>
          <w:rStyle w:val="af6"/>
          <w:rFonts w:eastAsia="Guttman Hodes"/>
          <w:rtl/>
        </w:rPr>
        <w:instrText xml:space="preserve"> </w:instrText>
      </w:r>
      <w:r w:rsidRPr="007729A2">
        <w:rPr>
          <w:rStyle w:val="af6"/>
          <w:rFonts w:eastAsia="Guttman Hodes" w:hint="cs"/>
        </w:rPr>
        <w:instrText>REF</w:instrText>
      </w:r>
      <w:r w:rsidRPr="007729A2">
        <w:rPr>
          <w:rStyle w:val="af6"/>
          <w:rFonts w:eastAsia="Guttman Hodes" w:hint="cs"/>
          <w:rtl/>
        </w:rPr>
        <w:instrText xml:space="preserve"> _</w:instrText>
      </w:r>
      <w:r w:rsidRPr="007729A2">
        <w:rPr>
          <w:rStyle w:val="af6"/>
          <w:rFonts w:eastAsia="Guttman Hodes" w:hint="cs"/>
        </w:rPr>
        <w:instrText>Ref14250740 \r \h</w:instrText>
      </w:r>
      <w:r w:rsidRPr="007729A2">
        <w:rPr>
          <w:rStyle w:val="af6"/>
          <w:rFonts w:eastAsia="Guttman Hodes"/>
          <w:rtl/>
        </w:rPr>
        <w:instrText xml:space="preserve"> </w:instrText>
      </w:r>
      <w:r w:rsidRPr="007729A2">
        <w:rPr>
          <w:rStyle w:val="af6"/>
          <w:rFonts w:eastAsia="Guttman Hodes"/>
          <w:rtl/>
        </w:rPr>
      </w:r>
      <w:r w:rsidRPr="007729A2">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7729A2">
        <w:rPr>
          <w:rStyle w:val="af6"/>
          <w:rFonts w:eastAsia="Guttman Hodes"/>
          <w:rtl/>
        </w:rPr>
        <w:fldChar w:fldCharType="end"/>
      </w:r>
      <w:r>
        <w:rPr>
          <w:rFonts w:hint="cs"/>
          <w:rtl/>
        </w:rPr>
        <w:t xml:space="preserve"> דיוצא בה יד"ח מצה רק כשאכל כזית דגן בכדי אכילת פרס.</w:t>
      </w:r>
      <w:bookmarkEnd w:id="7344"/>
    </w:p>
    <w:p w:rsidR="00F71EAC" w:rsidRDefault="00F71EAC" w:rsidP="00F71EAC">
      <w:pPr>
        <w:pStyle w:val="a2"/>
      </w:pPr>
      <w:bookmarkStart w:id="7345" w:name="_Toc14257545"/>
      <w:r>
        <w:rPr>
          <w:rFonts w:hint="cs"/>
          <w:rtl/>
        </w:rPr>
        <w:t>ביאור האבי עזרי בקושית הרמב"ן דלא אמרינן נהפך ועיסת אורז בפחות מכא"פ ואין בזה מלקות</w:t>
      </w:r>
      <w:bookmarkEnd w:id="7345"/>
    </w:p>
    <w:p w:rsidR="002D7168" w:rsidRDefault="00F71EAC" w:rsidP="009F44AF">
      <w:pPr>
        <w:pStyle w:val="a"/>
        <w:rPr>
          <w:rtl/>
        </w:rPr>
      </w:pPr>
      <w:bookmarkStart w:id="7346" w:name="_Ref14256775"/>
      <w:r>
        <w:rPr>
          <w:rFonts w:hint="cs"/>
          <w:rtl/>
        </w:rPr>
        <w:t xml:space="preserve">וכתב </w:t>
      </w:r>
      <w:r w:rsidRPr="005C0B48">
        <w:rPr>
          <w:rStyle w:val="af8"/>
          <w:rFonts w:hint="cs"/>
          <w:rtl/>
        </w:rPr>
        <w:t>האבי עזרי</w:t>
      </w:r>
      <w:r>
        <w:rPr>
          <w:rFonts w:hint="cs"/>
          <w:rtl/>
        </w:rPr>
        <w:t xml:space="preserve"> דהא דמבואר במשנה בחלה דאף בפחות מכזית בכדי אכילת פרס יוצא בה יד"ח מצה, הוא דלא כרשב"ג, ובזה ביאר </w:t>
      </w:r>
      <w:r w:rsidRPr="005C0B48">
        <w:rPr>
          <w:rStyle w:val="af8"/>
          <w:rFonts w:hint="cs"/>
          <w:rtl/>
        </w:rPr>
        <w:t>הרמב"ן</w:t>
      </w:r>
      <w:r>
        <w:rPr>
          <w:rFonts w:hint="cs"/>
          <w:rtl/>
        </w:rPr>
        <w:t xml:space="preserve"> </w:t>
      </w:r>
      <w:r w:rsidRPr="005C0B48">
        <w:rPr>
          <w:rStyle w:val="af8"/>
          <w:rFonts w:hint="cs"/>
          <w:rtl/>
        </w:rPr>
        <w:t>בהלכות חלה</w:t>
      </w:r>
      <w:r>
        <w:rPr>
          <w:rFonts w:hint="cs"/>
          <w:rtl/>
        </w:rPr>
        <w:t xml:space="preserve"> </w:t>
      </w:r>
      <w:r w:rsidRPr="00B06FAB">
        <w:rPr>
          <w:rStyle w:val="af6"/>
          <w:rFonts w:eastAsia="Guttman Hodes" w:hint="cs"/>
          <w:rtl/>
        </w:rPr>
        <w:t xml:space="preserve">(עי' אות </w:t>
      </w:r>
      <w:r w:rsidRPr="00B06FAB">
        <w:rPr>
          <w:rStyle w:val="af6"/>
          <w:rFonts w:eastAsia="Guttman Hodes"/>
          <w:rtl/>
        </w:rPr>
        <w:fldChar w:fldCharType="begin"/>
      </w:r>
      <w:r w:rsidRPr="00B06FAB">
        <w:rPr>
          <w:rStyle w:val="af6"/>
          <w:rFonts w:eastAsia="Guttman Hodes"/>
          <w:rtl/>
        </w:rPr>
        <w:instrText xml:space="preserve"> </w:instrText>
      </w:r>
      <w:r w:rsidRPr="00B06FAB">
        <w:rPr>
          <w:rStyle w:val="af6"/>
          <w:rFonts w:eastAsia="Guttman Hodes" w:hint="cs"/>
        </w:rPr>
        <w:instrText>REF</w:instrText>
      </w:r>
      <w:r w:rsidRPr="00B06FAB">
        <w:rPr>
          <w:rStyle w:val="af6"/>
          <w:rFonts w:eastAsia="Guttman Hodes" w:hint="cs"/>
          <w:rtl/>
        </w:rPr>
        <w:instrText xml:space="preserve"> _</w:instrText>
      </w:r>
      <w:r w:rsidRPr="00B06FAB">
        <w:rPr>
          <w:rStyle w:val="af6"/>
          <w:rFonts w:eastAsia="Guttman Hodes" w:hint="cs"/>
        </w:rPr>
        <w:instrText>Ref14256340 \r \h</w:instrText>
      </w:r>
      <w:r w:rsidRPr="00B06FAB">
        <w:rPr>
          <w:rStyle w:val="af6"/>
          <w:rFonts w:eastAsia="Guttman Hodes"/>
          <w:rtl/>
        </w:rPr>
        <w:instrText xml:space="preserve"> </w:instrText>
      </w:r>
      <w:r w:rsidRPr="00B06FAB">
        <w:rPr>
          <w:rStyle w:val="af6"/>
          <w:rFonts w:eastAsia="Guttman Hodes"/>
          <w:rtl/>
        </w:rPr>
      </w:r>
      <w:r w:rsidRPr="00B06FAB">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B06FAB">
        <w:rPr>
          <w:rStyle w:val="af6"/>
          <w:rFonts w:eastAsia="Guttman Hodes"/>
          <w:rtl/>
        </w:rPr>
        <w:fldChar w:fldCharType="end"/>
      </w:r>
      <w:r>
        <w:rPr>
          <w:rFonts w:hint="cs"/>
          <w:rtl/>
        </w:rPr>
        <w:t xml:space="preserve"> דהוא מדין גרירה, וביאר </w:t>
      </w:r>
      <w:r w:rsidRPr="007729A2">
        <w:rPr>
          <w:rStyle w:val="af8"/>
          <w:rFonts w:hint="cs"/>
          <w:rtl/>
        </w:rPr>
        <w:t>האבי עזרי</w:t>
      </w:r>
      <w:r>
        <w:rPr>
          <w:rFonts w:hint="cs"/>
          <w:rtl/>
        </w:rPr>
        <w:t xml:space="preserve"> דזו כוונת </w:t>
      </w:r>
      <w:r w:rsidRPr="007729A2">
        <w:rPr>
          <w:rStyle w:val="af8"/>
          <w:rFonts w:hint="cs"/>
          <w:rtl/>
        </w:rPr>
        <w:t>הרמב"ן</w:t>
      </w:r>
      <w:r>
        <w:rPr>
          <w:rFonts w:hint="cs"/>
          <w:rtl/>
        </w:rPr>
        <w:t xml:space="preserve"> </w:t>
      </w:r>
      <w:r w:rsidRPr="007729A2">
        <w:rPr>
          <w:rStyle w:val="af6"/>
          <w:rFonts w:eastAsia="Guttman Hodes" w:hint="cs"/>
          <w:rtl/>
        </w:rPr>
        <w:t xml:space="preserve">(עי' אות </w:t>
      </w:r>
      <w:r w:rsidRPr="007729A2">
        <w:rPr>
          <w:rStyle w:val="af6"/>
          <w:rFonts w:eastAsia="Guttman Hodes"/>
          <w:rtl/>
        </w:rPr>
        <w:fldChar w:fldCharType="begin"/>
      </w:r>
      <w:r w:rsidRPr="007729A2">
        <w:rPr>
          <w:rStyle w:val="af6"/>
          <w:rFonts w:eastAsia="Guttman Hodes"/>
          <w:rtl/>
        </w:rPr>
        <w:instrText xml:space="preserve"> </w:instrText>
      </w:r>
      <w:r w:rsidRPr="007729A2">
        <w:rPr>
          <w:rStyle w:val="af6"/>
          <w:rFonts w:eastAsia="Guttman Hodes" w:hint="cs"/>
        </w:rPr>
        <w:instrText>REF</w:instrText>
      </w:r>
      <w:r w:rsidRPr="007729A2">
        <w:rPr>
          <w:rStyle w:val="af6"/>
          <w:rFonts w:eastAsia="Guttman Hodes" w:hint="cs"/>
          <w:rtl/>
        </w:rPr>
        <w:instrText xml:space="preserve"> _</w:instrText>
      </w:r>
      <w:r w:rsidRPr="007729A2">
        <w:rPr>
          <w:rStyle w:val="af6"/>
          <w:rFonts w:eastAsia="Guttman Hodes" w:hint="cs"/>
        </w:rPr>
        <w:instrText>Ref14194652 \r \h</w:instrText>
      </w:r>
      <w:r w:rsidRPr="007729A2">
        <w:rPr>
          <w:rStyle w:val="af6"/>
          <w:rFonts w:eastAsia="Guttman Hodes"/>
          <w:rtl/>
        </w:rPr>
        <w:instrText xml:space="preserve"> </w:instrText>
      </w:r>
      <w:r w:rsidRPr="007729A2">
        <w:rPr>
          <w:rStyle w:val="af6"/>
          <w:rFonts w:eastAsia="Guttman Hodes"/>
          <w:rtl/>
        </w:rPr>
      </w:r>
      <w:r w:rsidRPr="007729A2">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7729A2">
        <w:rPr>
          <w:rStyle w:val="af6"/>
          <w:rFonts w:eastAsia="Guttman Hodes"/>
          <w:rtl/>
        </w:rPr>
        <w:fldChar w:fldCharType="end"/>
      </w:r>
      <w:r w:rsidRPr="007729A2">
        <w:rPr>
          <w:rStyle w:val="af6"/>
          <w:rFonts w:eastAsia="Guttman Hodes" w:hint="cs"/>
          <w:rtl/>
        </w:rPr>
        <w:t xml:space="preserve"> </w:t>
      </w:r>
      <w:r>
        <w:rPr>
          <w:rFonts w:hint="cs"/>
          <w:rtl/>
        </w:rPr>
        <w:t xml:space="preserve">בקושייתו דהאיך אפש"ל שיש לה דין עיסת חיטים, הא אפילו לענין עונש אין לוקין על פחות מכזית בכדי אכילת פרס, כדכתב </w:t>
      </w:r>
      <w:r w:rsidRPr="005C0B48">
        <w:rPr>
          <w:rStyle w:val="af8"/>
          <w:rFonts w:hint="cs"/>
          <w:rtl/>
        </w:rPr>
        <w:t>הרמב"ן בסוגיין</w:t>
      </w:r>
      <w:r>
        <w:rPr>
          <w:rFonts w:hint="cs"/>
          <w:rtl/>
        </w:rPr>
        <w:t xml:space="preserve"> </w:t>
      </w:r>
      <w:r w:rsidRPr="00905E28">
        <w:rPr>
          <w:rStyle w:val="af6"/>
          <w:rFonts w:eastAsia="Guttman Hodes" w:hint="cs"/>
          <w:rtl/>
        </w:rPr>
        <w:t xml:space="preserve">(עי' אות </w:t>
      </w:r>
      <w:r w:rsidRPr="00905E28">
        <w:rPr>
          <w:rStyle w:val="af6"/>
          <w:rFonts w:eastAsia="Guttman Hodes"/>
          <w:rtl/>
        </w:rPr>
        <w:fldChar w:fldCharType="begin"/>
      </w:r>
      <w:r w:rsidRPr="00905E28">
        <w:rPr>
          <w:rStyle w:val="af6"/>
          <w:rFonts w:eastAsia="Guttman Hodes"/>
          <w:rtl/>
        </w:rPr>
        <w:instrText xml:space="preserve"> </w:instrText>
      </w:r>
      <w:r w:rsidRPr="00905E28">
        <w:rPr>
          <w:rStyle w:val="af6"/>
          <w:rFonts w:eastAsia="Guttman Hodes" w:hint="cs"/>
        </w:rPr>
        <w:instrText>REF</w:instrText>
      </w:r>
      <w:r w:rsidRPr="00905E28">
        <w:rPr>
          <w:rStyle w:val="af6"/>
          <w:rFonts w:eastAsia="Guttman Hodes" w:hint="cs"/>
          <w:rtl/>
        </w:rPr>
        <w:instrText xml:space="preserve"> _</w:instrText>
      </w:r>
      <w:r w:rsidRPr="00905E28">
        <w:rPr>
          <w:rStyle w:val="af6"/>
          <w:rFonts w:eastAsia="Guttman Hodes" w:hint="cs"/>
        </w:rPr>
        <w:instrText>Ref14191543 \r \h</w:instrText>
      </w:r>
      <w:r w:rsidRPr="00905E28">
        <w:rPr>
          <w:rStyle w:val="af6"/>
          <w:rFonts w:eastAsia="Guttman Hodes"/>
          <w:rtl/>
        </w:rPr>
        <w:instrText xml:space="preserve"> </w:instrText>
      </w:r>
      <w:r w:rsidRPr="00905E28">
        <w:rPr>
          <w:rStyle w:val="af6"/>
          <w:rFonts w:eastAsia="Guttman Hodes"/>
          <w:rtl/>
        </w:rPr>
      </w:r>
      <w:r w:rsidRPr="00905E28">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905E28">
        <w:rPr>
          <w:rStyle w:val="af6"/>
          <w:rFonts w:eastAsia="Guttman Hodes"/>
          <w:rtl/>
        </w:rPr>
        <w:fldChar w:fldCharType="end"/>
      </w:r>
      <w:r>
        <w:rPr>
          <w:rFonts w:hint="cs"/>
          <w:rtl/>
        </w:rPr>
        <w:t xml:space="preserve"> </w:t>
      </w:r>
      <w:r w:rsidRPr="005C0B48">
        <w:rPr>
          <w:rStyle w:val="af8"/>
          <w:rFonts w:hint="cs"/>
          <w:rtl/>
        </w:rPr>
        <w:t>ובמלחמות בפסחים</w:t>
      </w:r>
      <w:r>
        <w:rPr>
          <w:rFonts w:hint="cs"/>
          <w:rtl/>
        </w:rPr>
        <w:t xml:space="preserve"> </w:t>
      </w:r>
      <w:r w:rsidRPr="00905E28">
        <w:rPr>
          <w:rStyle w:val="af6"/>
          <w:rFonts w:eastAsia="Guttman Hodes" w:hint="cs"/>
          <w:rtl/>
        </w:rPr>
        <w:t xml:space="preserve">(עי' אות </w:t>
      </w:r>
      <w:r w:rsidRPr="00905E28">
        <w:rPr>
          <w:rStyle w:val="af6"/>
          <w:rFonts w:eastAsia="Guttman Hodes"/>
          <w:rtl/>
        </w:rPr>
        <w:fldChar w:fldCharType="begin"/>
      </w:r>
      <w:r w:rsidRPr="00905E28">
        <w:rPr>
          <w:rStyle w:val="af6"/>
          <w:rFonts w:eastAsia="Guttman Hodes"/>
          <w:rtl/>
        </w:rPr>
        <w:instrText xml:space="preserve"> </w:instrText>
      </w:r>
      <w:r w:rsidRPr="00905E28">
        <w:rPr>
          <w:rStyle w:val="af6"/>
          <w:rFonts w:eastAsia="Guttman Hodes" w:hint="cs"/>
        </w:rPr>
        <w:instrText>REF</w:instrText>
      </w:r>
      <w:r w:rsidRPr="00905E28">
        <w:rPr>
          <w:rStyle w:val="af6"/>
          <w:rFonts w:eastAsia="Guttman Hodes" w:hint="cs"/>
          <w:rtl/>
        </w:rPr>
        <w:instrText xml:space="preserve"> _</w:instrText>
      </w:r>
      <w:r w:rsidRPr="00905E28">
        <w:rPr>
          <w:rStyle w:val="af6"/>
          <w:rFonts w:eastAsia="Guttman Hodes" w:hint="cs"/>
        </w:rPr>
        <w:instrText>Ref14256889 \r \h</w:instrText>
      </w:r>
      <w:r w:rsidRPr="00905E28">
        <w:rPr>
          <w:rStyle w:val="af6"/>
          <w:rFonts w:eastAsia="Guttman Hodes"/>
          <w:rtl/>
        </w:rPr>
        <w:instrText xml:space="preserve"> </w:instrText>
      </w:r>
      <w:r w:rsidRPr="00905E28">
        <w:rPr>
          <w:rStyle w:val="af6"/>
          <w:rFonts w:eastAsia="Guttman Hodes"/>
          <w:rtl/>
        </w:rPr>
      </w:r>
      <w:r w:rsidRPr="00905E28">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905E28">
        <w:rPr>
          <w:rStyle w:val="af6"/>
          <w:rFonts w:eastAsia="Guttman Hodes"/>
          <w:rtl/>
        </w:rPr>
        <w:fldChar w:fldCharType="end"/>
      </w:r>
      <w:r>
        <w:rPr>
          <w:rFonts w:hint="cs"/>
          <w:rtl/>
        </w:rPr>
        <w:t xml:space="preserve">, דאף שהטעם אינו מתבטל, מ"מ ס"ל </w:t>
      </w:r>
      <w:r w:rsidRPr="005C0B48">
        <w:rPr>
          <w:rStyle w:val="af8"/>
          <w:rFonts w:hint="cs"/>
          <w:rtl/>
        </w:rPr>
        <w:t>להרמב"ן</w:t>
      </w:r>
      <w:r>
        <w:rPr>
          <w:rFonts w:hint="cs"/>
          <w:rtl/>
        </w:rPr>
        <w:t xml:space="preserve"> דלא אמרינן דנהפך ההיתר לאיסור, ולכן לוקין רק על כזית בכדי אכילת פרס, וא"כ הקשה </w:t>
      </w:r>
      <w:r w:rsidRPr="005C0B48">
        <w:rPr>
          <w:rStyle w:val="af8"/>
          <w:rFonts w:hint="cs"/>
          <w:rtl/>
        </w:rPr>
        <w:t>הרמב"ן</w:t>
      </w:r>
      <w:r>
        <w:rPr>
          <w:rFonts w:hint="cs"/>
          <w:rtl/>
        </w:rPr>
        <w:t xml:space="preserve"> דא"כ היאך יוצא יד"ח מצה כשאכל כזית מהעיסה, וכן א"א לחייבו בחלה כשאין בעיסה שיעור דגן המחייב בחלה.</w:t>
      </w:r>
      <w:bookmarkEnd w:id="7346"/>
    </w:p>
    <w:p w:rsidR="00F71EAC" w:rsidRDefault="00F71EAC" w:rsidP="00F71EAC">
      <w:pPr>
        <w:pStyle w:val="a2"/>
        <w:rPr>
          <w:rtl/>
        </w:rPr>
      </w:pPr>
      <w:bookmarkStart w:id="7347" w:name="_Toc14257546"/>
      <w:r>
        <w:rPr>
          <w:rFonts w:hint="cs"/>
          <w:rtl/>
        </w:rPr>
        <w:t>דברי האבי עזרי דכוונת הרמב"ן לומר דבפחות מכא"פ יש איסור דאו' אך א"א לצאת יד"ח מצה</w:t>
      </w:r>
      <w:bookmarkEnd w:id="7347"/>
    </w:p>
    <w:p w:rsidR="00F71EAC" w:rsidRDefault="00F71EAC" w:rsidP="009F44AF">
      <w:pPr>
        <w:pStyle w:val="a"/>
        <w:rPr>
          <w:rtl/>
        </w:rPr>
      </w:pPr>
      <w:r>
        <w:rPr>
          <w:rFonts w:hint="cs"/>
          <w:rtl/>
        </w:rPr>
        <w:t xml:space="preserve">וביאר </w:t>
      </w:r>
      <w:r w:rsidRPr="005C0B48">
        <w:rPr>
          <w:rStyle w:val="af8"/>
          <w:rFonts w:hint="cs"/>
          <w:rtl/>
        </w:rPr>
        <w:t>האבי עזרי</w:t>
      </w:r>
      <w:r>
        <w:rPr>
          <w:rFonts w:hint="cs"/>
          <w:rtl/>
        </w:rPr>
        <w:t xml:space="preserve"> דמ"ש </w:t>
      </w:r>
      <w:r w:rsidRPr="005C0B48">
        <w:rPr>
          <w:rStyle w:val="af8"/>
          <w:rFonts w:hint="cs"/>
          <w:rtl/>
        </w:rPr>
        <w:t>הרמב"ן</w:t>
      </w:r>
      <w:r>
        <w:rPr>
          <w:rFonts w:hint="cs"/>
          <w:rtl/>
        </w:rPr>
        <w:t xml:space="preserve"> בקושייתו דבמקום שאין כזית בכדי אכילת פרס אינו דאו', כוונת </w:t>
      </w:r>
      <w:r w:rsidRPr="00B06FAB">
        <w:rPr>
          <w:rStyle w:val="af8"/>
          <w:rFonts w:hint="cs"/>
          <w:rtl/>
        </w:rPr>
        <w:t>הרמב"ן</w:t>
      </w:r>
      <w:r>
        <w:rPr>
          <w:rFonts w:hint="cs"/>
          <w:rtl/>
        </w:rPr>
        <w:t xml:space="preserve"> לומר דלענין לצאת יד"ח מצה אינו דאו', דהא מצות מצה היא לאכול כזית מהדגן, אך אין כוונת </w:t>
      </w:r>
      <w:r w:rsidRPr="005C0B48">
        <w:rPr>
          <w:rStyle w:val="af8"/>
          <w:rFonts w:hint="cs"/>
          <w:rtl/>
        </w:rPr>
        <w:t>הרמב"ן</w:t>
      </w:r>
      <w:r>
        <w:rPr>
          <w:rFonts w:hint="cs"/>
          <w:rtl/>
        </w:rPr>
        <w:t xml:space="preserve"> לומר דבפחות מכזית בכדי אכילת פרס אין איסור דאו', דהא חצי שיעור אסור מהתורה, וכיון שהטעם אינו מתבטל, ממילא יש בו איסור דאו', אף שאין בו כזית בכדי אכילת פרס.</w:t>
      </w:r>
    </w:p>
    <w:p w:rsidR="00F71EAC" w:rsidRDefault="00F71EAC" w:rsidP="00F71EAC">
      <w:pPr>
        <w:pStyle w:val="a2"/>
      </w:pPr>
      <w:bookmarkStart w:id="7348" w:name="_Toc14257547"/>
      <w:r>
        <w:rPr>
          <w:rFonts w:hint="cs"/>
          <w:rtl/>
        </w:rPr>
        <w:t>ביאור האבי עזרי בקושית הרמב"ן דאף לענין חיוב צריך כזית בכא"פ וטעם אינו מחייב במצה וחלה</w:t>
      </w:r>
      <w:bookmarkEnd w:id="7348"/>
    </w:p>
    <w:p w:rsidR="00F71EAC" w:rsidRDefault="00F71EAC" w:rsidP="009F44AF">
      <w:pPr>
        <w:pStyle w:val="a"/>
        <w:rPr>
          <w:rtl/>
        </w:rPr>
      </w:pPr>
      <w:r>
        <w:rPr>
          <w:rFonts w:hint="cs"/>
          <w:rtl/>
        </w:rPr>
        <w:t xml:space="preserve">וביאר </w:t>
      </w:r>
      <w:r w:rsidRPr="005C0B48">
        <w:rPr>
          <w:rStyle w:val="af8"/>
          <w:rFonts w:hint="cs"/>
          <w:rtl/>
        </w:rPr>
        <w:t>האבי עזרי</w:t>
      </w:r>
      <w:r>
        <w:rPr>
          <w:rFonts w:hint="cs"/>
          <w:rtl/>
        </w:rPr>
        <w:t xml:space="preserve"> דכוונת </w:t>
      </w:r>
      <w:r w:rsidRPr="005C0B48">
        <w:rPr>
          <w:rStyle w:val="af8"/>
          <w:rFonts w:hint="cs"/>
          <w:rtl/>
        </w:rPr>
        <w:t>הרמב"ן</w:t>
      </w:r>
      <w:r>
        <w:rPr>
          <w:rFonts w:hint="cs"/>
          <w:rtl/>
        </w:rPr>
        <w:t xml:space="preserve"> להקשות דהא אף דלענין איסור, החיוב הוא רק כשיש כזית בכדי אכילת פרס, ועוד דהרי לענין לצאת יד"ח מצה ולהתחייב בחלה, צריך שיהיה שיעור דגן, ואילו </w:t>
      </w:r>
      <w:r>
        <w:rPr>
          <w:rFonts w:hint="cs"/>
          <w:rtl/>
        </w:rPr>
        <w:lastRenderedPageBreak/>
        <w:t>העיסה היא עיסת אורז, ואף שיש לה טעם דגן, אין הטעם מחייב בחלה ומחשיבה כמצה.</w:t>
      </w:r>
    </w:p>
    <w:p w:rsidR="00F71EAC" w:rsidRDefault="00F71EAC" w:rsidP="00F71EAC">
      <w:pPr>
        <w:pStyle w:val="a2"/>
        <w:rPr>
          <w:rtl/>
        </w:rPr>
      </w:pPr>
      <w:bookmarkStart w:id="7349" w:name="_Toc14257548"/>
      <w:r>
        <w:rPr>
          <w:rFonts w:hint="cs"/>
          <w:rtl/>
        </w:rPr>
        <w:t>ביאור האבי עזרי ברמב"ן דכיון שמדאו' הטעם לא התבטל יש לכל העיסה דין דגן מדין גרירה</w:t>
      </w:r>
      <w:bookmarkEnd w:id="7349"/>
      <w:r>
        <w:rPr>
          <w:rFonts w:hint="cs"/>
          <w:rtl/>
        </w:rPr>
        <w:t xml:space="preserve"> </w:t>
      </w:r>
    </w:p>
    <w:p w:rsidR="00F71EAC" w:rsidRDefault="00F71EAC" w:rsidP="009F44AF">
      <w:pPr>
        <w:pStyle w:val="a"/>
        <w:rPr>
          <w:rtl/>
        </w:rPr>
      </w:pPr>
      <w:r>
        <w:rPr>
          <w:rFonts w:hint="cs"/>
          <w:rtl/>
        </w:rPr>
        <w:t xml:space="preserve">ובביאור תירוץ </w:t>
      </w:r>
      <w:r w:rsidRPr="005C0B48">
        <w:rPr>
          <w:rStyle w:val="af8"/>
          <w:rFonts w:hint="cs"/>
          <w:rtl/>
        </w:rPr>
        <w:t>הרמב"ן בהלכות חלה</w:t>
      </w:r>
      <w:r>
        <w:rPr>
          <w:rFonts w:hint="cs"/>
          <w:rtl/>
        </w:rPr>
        <w:t xml:space="preserve"> </w:t>
      </w:r>
      <w:r w:rsidRPr="00B06FAB">
        <w:rPr>
          <w:rStyle w:val="af6"/>
          <w:rFonts w:eastAsia="Guttman Hodes" w:hint="cs"/>
          <w:rtl/>
        </w:rPr>
        <w:t xml:space="preserve">(עי' אות </w:t>
      </w:r>
      <w:r w:rsidRPr="00B06FAB">
        <w:rPr>
          <w:rStyle w:val="af6"/>
          <w:rFonts w:eastAsia="Guttman Hodes"/>
          <w:rtl/>
        </w:rPr>
        <w:fldChar w:fldCharType="begin"/>
      </w:r>
      <w:r w:rsidRPr="00B06FAB">
        <w:rPr>
          <w:rStyle w:val="af6"/>
          <w:rFonts w:eastAsia="Guttman Hodes"/>
          <w:rtl/>
        </w:rPr>
        <w:instrText xml:space="preserve"> </w:instrText>
      </w:r>
      <w:r w:rsidRPr="00B06FAB">
        <w:rPr>
          <w:rStyle w:val="af6"/>
          <w:rFonts w:eastAsia="Guttman Hodes" w:hint="cs"/>
        </w:rPr>
        <w:instrText>REF</w:instrText>
      </w:r>
      <w:r w:rsidRPr="00B06FAB">
        <w:rPr>
          <w:rStyle w:val="af6"/>
          <w:rFonts w:eastAsia="Guttman Hodes" w:hint="cs"/>
          <w:rtl/>
        </w:rPr>
        <w:instrText xml:space="preserve"> _</w:instrText>
      </w:r>
      <w:r w:rsidRPr="00B06FAB">
        <w:rPr>
          <w:rStyle w:val="af6"/>
          <w:rFonts w:eastAsia="Guttman Hodes" w:hint="cs"/>
        </w:rPr>
        <w:instrText>Ref14256340 \r \h</w:instrText>
      </w:r>
      <w:r w:rsidRPr="00B06FAB">
        <w:rPr>
          <w:rStyle w:val="af6"/>
          <w:rFonts w:eastAsia="Guttman Hodes"/>
          <w:rtl/>
        </w:rPr>
        <w:instrText xml:space="preserve"> </w:instrText>
      </w:r>
      <w:r w:rsidRPr="00B06FAB">
        <w:rPr>
          <w:rStyle w:val="af6"/>
          <w:rFonts w:eastAsia="Guttman Hodes"/>
          <w:rtl/>
        </w:rPr>
      </w:r>
      <w:r w:rsidRPr="00B06FAB">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B06FAB">
        <w:rPr>
          <w:rStyle w:val="af6"/>
          <w:rFonts w:eastAsia="Guttman Hodes"/>
          <w:rtl/>
        </w:rPr>
        <w:fldChar w:fldCharType="end"/>
      </w:r>
      <w:r>
        <w:rPr>
          <w:rFonts w:hint="cs"/>
          <w:rtl/>
        </w:rPr>
        <w:t xml:space="preserve"> כתב </w:t>
      </w:r>
      <w:r w:rsidRPr="005C0B48">
        <w:rPr>
          <w:rStyle w:val="af8"/>
          <w:rFonts w:hint="cs"/>
          <w:rtl/>
        </w:rPr>
        <w:t>האבי עזרי</w:t>
      </w:r>
      <w:r>
        <w:rPr>
          <w:rFonts w:hint="cs"/>
          <w:rtl/>
        </w:rPr>
        <w:t xml:space="preserve"> דמדין גרירה נחשבת כל העיסה כמין דגן, אך כ"ז הוא דוקא אם הטעם אינו מתבטל ברוב, אבל אי טעם כעיקר לאו דאו', ובטל טעם הדגן ברוב האורז, לא שייך לומר דע"י המיעוט דגן שיש בעיסה, דתחשב כולה כמין דגן, ואדרבה כיון שרובה אורז דינה כדין האורז, אלא מוכח דטעם כעיקר אינו מתבטל מדאו'.</w:t>
      </w:r>
    </w:p>
    <w:p w:rsidR="00F71EAC" w:rsidRPr="00BB5F54" w:rsidRDefault="00F71EAC" w:rsidP="00F71EAC">
      <w:pPr>
        <w:pStyle w:val="1"/>
        <w:rPr>
          <w:rtl/>
        </w:rPr>
      </w:pPr>
      <w:bookmarkStart w:id="7350" w:name="_Toc14257549"/>
      <w:r>
        <w:rPr>
          <w:rFonts w:hint="cs"/>
          <w:rtl/>
        </w:rPr>
        <w:t>קושית האבי עזרי על הרא"ש דדין נהפך ל"מ לעיסת אורז</w:t>
      </w:r>
      <w:bookmarkEnd w:id="7350"/>
    </w:p>
    <w:p w:rsidR="00F71EAC" w:rsidRDefault="00F71EAC" w:rsidP="00F71EAC">
      <w:pPr>
        <w:pStyle w:val="a2"/>
      </w:pPr>
      <w:bookmarkStart w:id="7351" w:name="_Toc14257550"/>
      <w:r>
        <w:rPr>
          <w:rFonts w:hint="cs"/>
          <w:rtl/>
        </w:rPr>
        <w:t>קושית האבי עזרי על הרא"ש דהיאך מהני דין נהפך שהוא לענין איסור לדין מצה וחלה</w:t>
      </w:r>
      <w:bookmarkEnd w:id="7351"/>
      <w:r>
        <w:rPr>
          <w:rFonts w:hint="cs"/>
          <w:rtl/>
        </w:rPr>
        <w:t xml:space="preserve"> </w:t>
      </w:r>
    </w:p>
    <w:p w:rsidR="00F71EAC" w:rsidRDefault="00F71EAC" w:rsidP="009F44AF">
      <w:pPr>
        <w:pStyle w:val="a"/>
        <w:rPr>
          <w:rFonts w:asciiTheme="minorHAnsi" w:hAnsiTheme="minorHAnsi"/>
        </w:rPr>
      </w:pPr>
      <w:bookmarkStart w:id="7352" w:name="_Ref14257321"/>
      <w:r>
        <w:rPr>
          <w:rFonts w:hint="cs"/>
          <w:rtl/>
        </w:rPr>
        <w:t xml:space="preserve">אבל בדברי </w:t>
      </w:r>
      <w:r w:rsidRPr="005C0B48">
        <w:rPr>
          <w:rStyle w:val="af8"/>
          <w:rFonts w:hint="cs"/>
          <w:rtl/>
        </w:rPr>
        <w:t>הרא"ש בהלכות חלה</w:t>
      </w:r>
      <w:r>
        <w:rPr>
          <w:rFonts w:hint="cs"/>
          <w:rtl/>
        </w:rPr>
        <w:t xml:space="preserve"> </w:t>
      </w:r>
      <w:r w:rsidRPr="00BB5F54">
        <w:rPr>
          <w:rStyle w:val="af6"/>
          <w:rFonts w:eastAsia="Guttman Hodes" w:hint="cs"/>
          <w:rtl/>
        </w:rPr>
        <w:t xml:space="preserve">(עי' אות </w:t>
      </w:r>
      <w:r w:rsidRPr="00BB5F54">
        <w:rPr>
          <w:rStyle w:val="af6"/>
          <w:rFonts w:eastAsia="Guttman Hodes"/>
          <w:rtl/>
        </w:rPr>
        <w:fldChar w:fldCharType="begin"/>
      </w:r>
      <w:r w:rsidRPr="00BB5F54">
        <w:rPr>
          <w:rStyle w:val="af6"/>
          <w:rFonts w:eastAsia="Guttman Hodes"/>
          <w:rtl/>
        </w:rPr>
        <w:instrText xml:space="preserve"> </w:instrText>
      </w:r>
      <w:r w:rsidRPr="00BB5F54">
        <w:rPr>
          <w:rStyle w:val="af6"/>
          <w:rFonts w:eastAsia="Guttman Hodes" w:hint="cs"/>
        </w:rPr>
        <w:instrText>REF</w:instrText>
      </w:r>
      <w:r w:rsidRPr="00BB5F54">
        <w:rPr>
          <w:rStyle w:val="af6"/>
          <w:rFonts w:eastAsia="Guttman Hodes" w:hint="cs"/>
          <w:rtl/>
        </w:rPr>
        <w:instrText xml:space="preserve"> _</w:instrText>
      </w:r>
      <w:r w:rsidRPr="00BB5F54">
        <w:rPr>
          <w:rStyle w:val="af6"/>
          <w:rFonts w:eastAsia="Guttman Hodes" w:hint="cs"/>
        </w:rPr>
        <w:instrText>Ref14191039 \r \h</w:instrText>
      </w:r>
      <w:r w:rsidRPr="00BB5F54">
        <w:rPr>
          <w:rStyle w:val="af6"/>
          <w:rFonts w:eastAsia="Guttman Hodes"/>
          <w:rtl/>
        </w:rPr>
        <w:instrText xml:space="preserve"> </w:instrText>
      </w:r>
      <w:r w:rsidRPr="00BB5F54">
        <w:rPr>
          <w:rStyle w:val="af6"/>
          <w:rFonts w:eastAsia="Guttman Hodes"/>
          <w:rtl/>
        </w:rPr>
      </w:r>
      <w:r w:rsidRPr="00BB5F54">
        <w:rPr>
          <w:rStyle w:val="af6"/>
          <w:rFonts w:eastAsia="Guttman Hodes"/>
          <w:rtl/>
        </w:rPr>
        <w:fldChar w:fldCharType="separate"/>
      </w:r>
      <w:r w:rsidR="004D1C5B">
        <w:rPr>
          <w:rStyle w:val="af6"/>
          <w:rFonts w:eastAsia="Guttman Hodes"/>
          <w:cs/>
        </w:rPr>
        <w:t>‎</w:t>
      </w:r>
      <w:r w:rsidR="004D1C5B">
        <w:rPr>
          <w:rStyle w:val="af6"/>
          <w:rFonts w:eastAsia="Guttman Hodes"/>
          <w:rtl/>
        </w:rPr>
        <w:t>ל)</w:t>
      </w:r>
      <w:r w:rsidRPr="00BB5F54">
        <w:rPr>
          <w:rStyle w:val="af6"/>
          <w:rFonts w:eastAsia="Guttman Hodes"/>
          <w:rtl/>
        </w:rPr>
        <w:fldChar w:fldCharType="end"/>
      </w:r>
      <w:r>
        <w:rPr>
          <w:rFonts w:hint="cs"/>
          <w:rtl/>
        </w:rPr>
        <w:t xml:space="preserve"> הקשה </w:t>
      </w:r>
      <w:r w:rsidRPr="005C0B48">
        <w:rPr>
          <w:rStyle w:val="af8"/>
          <w:rFonts w:hint="cs"/>
          <w:rtl/>
        </w:rPr>
        <w:t>האבי עזרי</w:t>
      </w:r>
      <w:r>
        <w:rPr>
          <w:rFonts w:hint="cs"/>
          <w:rtl/>
        </w:rPr>
        <w:t xml:space="preserve"> </w:t>
      </w:r>
      <w:r w:rsidRPr="00BB5F54">
        <w:rPr>
          <w:rStyle w:val="af6"/>
          <w:rFonts w:eastAsia="Guttman Hodes" w:hint="cs"/>
          <w:rtl/>
        </w:rPr>
        <w:t>(חמץ ומצה פ"ה ה"ב ד"ה אולם דעת)</w:t>
      </w:r>
      <w:r>
        <w:rPr>
          <w:rFonts w:hint="cs"/>
          <w:rtl/>
        </w:rPr>
        <w:t xml:space="preserve"> דהיאך אפש"ל דע"י טעם החיטים תחשב העיסה כעיסת חיטים, דהרי העיסה נעשית ע"י הממשות של האורז ולא ע"י הטעם של החיטים, ואף אם לענין איסור, אמרינן דבטעם כעיקר אסור מדאו', מחמת הטעם, עדיין היאך מהני הטעם לענין חלה ומצה, ואף דס"ל </w:t>
      </w:r>
      <w:r w:rsidRPr="005C0B48">
        <w:rPr>
          <w:rStyle w:val="af8"/>
          <w:rFonts w:hint="cs"/>
          <w:rtl/>
        </w:rPr>
        <w:t>להרא"ש</w:t>
      </w:r>
      <w:r>
        <w:rPr>
          <w:rFonts w:hint="cs"/>
          <w:rtl/>
        </w:rPr>
        <w:t xml:space="preserve"> דבטעם כעיקר יש דין נהפך, ולוקין על כל כזית מהתערובת, מ"מ זהו לענין איסור אכילה, ולא לענין חלה ומצה, והביא </w:t>
      </w:r>
      <w:r w:rsidRPr="005C0B48">
        <w:rPr>
          <w:rStyle w:val="af8"/>
          <w:rFonts w:hint="cs"/>
          <w:rtl/>
        </w:rPr>
        <w:t>האבי עזרי</w:t>
      </w:r>
      <w:r>
        <w:rPr>
          <w:rFonts w:hint="cs"/>
          <w:rtl/>
        </w:rPr>
        <w:t xml:space="preserve"> את דברי </w:t>
      </w:r>
      <w:r w:rsidRPr="005C0B48">
        <w:rPr>
          <w:rStyle w:val="af8"/>
          <w:rFonts w:hint="cs"/>
          <w:rtl/>
        </w:rPr>
        <w:t>הר</w:t>
      </w:r>
      <w:r w:rsidRPr="005C0B48">
        <w:rPr>
          <w:rStyle w:val="af8"/>
          <w:rtl/>
        </w:rPr>
        <w:t>"</w:t>
      </w:r>
      <w:r w:rsidRPr="005C0B48">
        <w:rPr>
          <w:rStyle w:val="af8"/>
          <w:rFonts w:hint="cs"/>
          <w:rtl/>
        </w:rPr>
        <w:t xml:space="preserve">ש </w:t>
      </w:r>
      <w:r w:rsidRPr="00BF625B">
        <w:rPr>
          <w:rStyle w:val="af8"/>
          <w:rFonts w:hint="cs"/>
          <w:rtl/>
        </w:rPr>
        <w:t>בטבול יום</w:t>
      </w:r>
      <w:r w:rsidRPr="00201C94">
        <w:rPr>
          <w:rFonts w:hint="cs"/>
          <w:rtl/>
        </w:rPr>
        <w:t xml:space="preserve"> </w:t>
      </w:r>
      <w:r w:rsidRPr="00BF625B">
        <w:rPr>
          <w:rStyle w:val="af6"/>
          <w:rFonts w:eastAsia="Guttman Hodes" w:hint="cs"/>
          <w:rtl/>
        </w:rPr>
        <w:t>(פ"ב מ"ג)</w:t>
      </w:r>
      <w:r>
        <w:rPr>
          <w:rFonts w:hint="cs"/>
          <w:rtl/>
        </w:rPr>
        <w:t xml:space="preserve"> דמבואר בדבריו דדין טעם כעיקר הוא לענין איסור אכילה ולא לשאר דבריו, והניח </w:t>
      </w:r>
      <w:r w:rsidRPr="005C0B48">
        <w:rPr>
          <w:rStyle w:val="af8"/>
          <w:rFonts w:hint="cs"/>
          <w:rtl/>
        </w:rPr>
        <w:t>האבי עזרי</w:t>
      </w:r>
      <w:r>
        <w:rPr>
          <w:rFonts w:hint="cs"/>
          <w:rtl/>
        </w:rPr>
        <w:t xml:space="preserve"> בצ"ע.</w:t>
      </w:r>
      <w:bookmarkEnd w:id="7352"/>
    </w:p>
    <w:p w:rsidR="00F71EAC" w:rsidRDefault="00F71EAC" w:rsidP="00F71EAC">
      <w:pPr>
        <w:pStyle w:val="1"/>
        <w:rPr>
          <w:rtl/>
        </w:rPr>
      </w:pPr>
      <w:bookmarkStart w:id="7353" w:name="_Toc13952627"/>
      <w:bookmarkStart w:id="7354" w:name="_Toc14090000"/>
      <w:bookmarkStart w:id="7355" w:name="_Toc14109800"/>
      <w:bookmarkStart w:id="7356" w:name="_Toc14120175"/>
      <w:bookmarkStart w:id="7357" w:name="_Toc14122353"/>
      <w:bookmarkStart w:id="7358" w:name="_Toc14196333"/>
      <w:bookmarkStart w:id="7359" w:name="_Toc14208883"/>
      <w:bookmarkStart w:id="7360" w:name="_Toc14248990"/>
      <w:bookmarkStart w:id="7361" w:name="_Toc14257551"/>
      <w:r>
        <w:rPr>
          <w:rFonts w:hint="cs"/>
          <w:rtl/>
        </w:rPr>
        <w:t>דברי הקה"י</w:t>
      </w:r>
      <w:bookmarkEnd w:id="7353"/>
      <w:bookmarkEnd w:id="7354"/>
      <w:bookmarkEnd w:id="7355"/>
      <w:bookmarkEnd w:id="7356"/>
      <w:bookmarkEnd w:id="7357"/>
      <w:bookmarkEnd w:id="7358"/>
      <w:bookmarkEnd w:id="7359"/>
      <w:bookmarkEnd w:id="7360"/>
      <w:r>
        <w:rPr>
          <w:rFonts w:hint="cs"/>
          <w:rtl/>
        </w:rPr>
        <w:t xml:space="preserve"> בגדר דין נהפך</w:t>
      </w:r>
      <w:bookmarkEnd w:id="7361"/>
    </w:p>
    <w:p w:rsidR="00F71EAC" w:rsidRPr="00A3389A" w:rsidRDefault="00F71EAC" w:rsidP="00F71EAC">
      <w:pPr>
        <w:pStyle w:val="a2"/>
        <w:rPr>
          <w:rtl/>
        </w:rPr>
      </w:pPr>
      <w:bookmarkStart w:id="7362" w:name="_Toc14257552"/>
      <w:r>
        <w:rPr>
          <w:rFonts w:hint="cs"/>
          <w:rtl/>
        </w:rPr>
        <w:t>קושית הקה"י דבגמ' בזבחים מוכח דההיתר לא נהפך לאיסור</w:t>
      </w:r>
      <w:bookmarkEnd w:id="7362"/>
    </w:p>
    <w:p w:rsidR="00F71EAC" w:rsidRDefault="00F71EAC" w:rsidP="009F44AF">
      <w:pPr>
        <w:pStyle w:val="a"/>
        <w:rPr>
          <w:rFonts w:asciiTheme="minorHAnsi" w:hAnsiTheme="minorHAnsi"/>
        </w:rPr>
      </w:pPr>
      <w:r>
        <w:rPr>
          <w:rFonts w:hint="cs"/>
          <w:rtl/>
        </w:rPr>
        <w:t xml:space="preserve">הקשה </w:t>
      </w:r>
      <w:r w:rsidRPr="00B2256D">
        <w:rPr>
          <w:rStyle w:val="af8"/>
          <w:rFonts w:hint="cs"/>
          <w:rtl/>
        </w:rPr>
        <w:t>הקה"י</w:t>
      </w:r>
      <w:r>
        <w:rPr>
          <w:rFonts w:hint="cs"/>
          <w:rtl/>
        </w:rPr>
        <w:t xml:space="preserve"> </w:t>
      </w:r>
      <w:r w:rsidRPr="00367EC7">
        <w:rPr>
          <w:rStyle w:val="af6"/>
          <w:rFonts w:eastAsia="Guttman Hodes" w:hint="cs"/>
          <w:rtl/>
        </w:rPr>
        <w:t>(סי כ"ט ב')</w:t>
      </w:r>
      <w:r>
        <w:rPr>
          <w:rFonts w:hint="cs"/>
          <w:rtl/>
        </w:rPr>
        <w:t xml:space="preserve"> על ביאור </w:t>
      </w:r>
      <w:r w:rsidRPr="00B2256D">
        <w:rPr>
          <w:rStyle w:val="af8"/>
          <w:rFonts w:hint="cs"/>
          <w:rtl/>
        </w:rPr>
        <w:t>הרא"ש</w:t>
      </w:r>
      <w:r>
        <w:rPr>
          <w:rFonts w:hint="cs"/>
          <w:rtl/>
        </w:rPr>
        <w:t xml:space="preserve"> </w:t>
      </w:r>
      <w:r w:rsidRPr="002F4C8B">
        <w:rPr>
          <w:rStyle w:val="af6"/>
          <w:rFonts w:eastAsia="Guttman Hode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Ref13759399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Pr>
          <w:rStyle w:val="af6"/>
          <w:rFonts w:eastAsia="Guttman Hodes"/>
          <w:rtl/>
        </w:rPr>
        <w:fldChar w:fldCharType="end"/>
      </w:r>
      <w:r>
        <w:rPr>
          <w:rStyle w:val="af6"/>
          <w:rFonts w:eastAsia="Guttman Hodes" w:hint="cs"/>
          <w:rtl/>
        </w:rPr>
        <w:t xml:space="preserve"> </w:t>
      </w:r>
      <w:r>
        <w:rPr>
          <w:rFonts w:hint="cs"/>
          <w:rtl/>
        </w:rPr>
        <w:t xml:space="preserve">בדעת </w:t>
      </w:r>
      <w:r w:rsidRPr="00B2256D">
        <w:rPr>
          <w:rStyle w:val="af8"/>
          <w:rFonts w:hint="cs"/>
          <w:rtl/>
        </w:rPr>
        <w:t>ר"ת</w:t>
      </w:r>
      <w:r>
        <w:rPr>
          <w:rFonts w:hint="cs"/>
          <w:rtl/>
        </w:rPr>
        <w:t xml:space="preserve"> דבטעם כעיקר אמרינן נהפך, מהא דהגמ' בזבחים </w:t>
      </w:r>
      <w:r w:rsidRPr="00367EC7">
        <w:rPr>
          <w:rStyle w:val="af6"/>
          <w:rFonts w:eastAsia="Guttman Hodes" w:hint="cs"/>
          <w:rtl/>
        </w:rPr>
        <w:t>(צז:)</w:t>
      </w:r>
      <w:r>
        <w:rPr>
          <w:rFonts w:hint="cs"/>
          <w:rtl/>
        </w:rPr>
        <w:t xml:space="preserve"> דבדין שנאמר בחטאת "יקדש" דהבלוע מחטאת דינה כחטאת, דאם היא פסולה תפסל, </w:t>
      </w:r>
      <w:r w:rsidRPr="006A75C7">
        <w:rPr>
          <w:rStyle w:val="afa"/>
          <w:rFonts w:hint="cs"/>
          <w:rtl/>
        </w:rPr>
        <w:t xml:space="preserve">[וביאר </w:t>
      </w:r>
      <w:r w:rsidRPr="006A75C7">
        <w:rPr>
          <w:rStyle w:val="affa"/>
          <w:rFonts w:hint="cs"/>
          <w:rtl/>
        </w:rPr>
        <w:t>רש"י בזבחים</w:t>
      </w:r>
      <w:r w:rsidRPr="006A75C7">
        <w:rPr>
          <w:rStyle w:val="afa"/>
          <w:rFonts w:hint="cs"/>
          <w:rtl/>
        </w:rPr>
        <w:t xml:space="preserve"> </w:t>
      </w:r>
      <w:r w:rsidRPr="006A75C7">
        <w:rPr>
          <w:rStyle w:val="aff6"/>
          <w:rFonts w:hint="cs"/>
          <w:rtl/>
        </w:rPr>
        <w:t>(צז: ד"ה עד שיבלע)</w:t>
      </w:r>
      <w:r w:rsidRPr="006A75C7">
        <w:rPr>
          <w:rStyle w:val="afa"/>
          <w:rFonts w:hint="cs"/>
          <w:rtl/>
        </w:rPr>
        <w:t xml:space="preserve"> דהתיך שומן חטאת וסך בו שלמים], </w:t>
      </w:r>
      <w:r>
        <w:rPr>
          <w:rFonts w:hint="cs"/>
          <w:rtl/>
        </w:rPr>
        <w:t xml:space="preserve">מקשה הגמ' דאף אם נפסלה החטאת, </w:t>
      </w:r>
      <w:r w:rsidRPr="00B964B4">
        <w:rPr>
          <w:rStyle w:val="afa"/>
          <w:rFonts w:hint="cs"/>
          <w:rtl/>
        </w:rPr>
        <w:t>[</w:t>
      </w:r>
      <w:r>
        <w:rPr>
          <w:rStyle w:val="afa"/>
          <w:rFonts w:hint="cs"/>
          <w:rtl/>
        </w:rPr>
        <w:t>ו</w:t>
      </w:r>
      <w:r w:rsidRPr="00B964B4">
        <w:rPr>
          <w:rStyle w:val="afa"/>
          <w:rFonts w:hint="cs"/>
          <w:rtl/>
        </w:rPr>
        <w:t>נעשו השלמים נותר כדין החטאת],</w:t>
      </w:r>
      <w:r>
        <w:rPr>
          <w:rFonts w:hint="cs"/>
          <w:rtl/>
        </w:rPr>
        <w:t xml:space="preserve"> יבא עשה דאכילת קדשים וידחה את הלא תעשה, וכתב </w:t>
      </w:r>
      <w:r w:rsidRPr="00B2256D">
        <w:rPr>
          <w:rStyle w:val="af8"/>
          <w:rFonts w:hint="cs"/>
          <w:rtl/>
        </w:rPr>
        <w:t>הקה"י</w:t>
      </w:r>
      <w:r>
        <w:rPr>
          <w:rFonts w:hint="cs"/>
          <w:rtl/>
        </w:rPr>
        <w:t xml:space="preserve"> דאי רק הטעם שבלוע בכשרה יש לו דין חטאת והוא נאסר, שייך לומר דיבא העשה של אכילת הקדשים שהוא על שאר הבשר הכשר, וידחה את הלא תעשה שיש בבלוע שנפסל, אבל לדברי </w:t>
      </w:r>
      <w:r w:rsidRPr="00B2256D">
        <w:rPr>
          <w:rStyle w:val="af8"/>
          <w:rFonts w:hint="cs"/>
          <w:rtl/>
        </w:rPr>
        <w:t>הרא"ש</w:t>
      </w:r>
      <w:r>
        <w:rPr>
          <w:rFonts w:hint="cs"/>
          <w:rtl/>
        </w:rPr>
        <w:t xml:space="preserve"> דהכל נהפך לאיסור, א"כ אין כל עשה של אכילת קדשים, דהכל נהפך לפסול, ועשה דאכילת קדשים נאמר רק בקדשים כשרים.</w:t>
      </w:r>
    </w:p>
    <w:p w:rsidR="00F71EAC" w:rsidRDefault="00F71EAC" w:rsidP="00F71EAC">
      <w:pPr>
        <w:pStyle w:val="a2"/>
      </w:pPr>
      <w:bookmarkStart w:id="7363" w:name="_Toc14257553"/>
      <w:r>
        <w:rPr>
          <w:rFonts w:hint="cs"/>
          <w:rtl/>
        </w:rPr>
        <w:t>דברי הקה"י דאפש"ל דדין נהפך נאמר רק לענין איסור אך לא נעשה ההיתר לפסול לענין קדשים</w:t>
      </w:r>
      <w:bookmarkEnd w:id="7363"/>
    </w:p>
    <w:p w:rsidR="00F71EAC" w:rsidRDefault="00F71EAC" w:rsidP="009F44AF">
      <w:pPr>
        <w:pStyle w:val="a"/>
        <w:rPr>
          <w:rtl/>
        </w:rPr>
      </w:pPr>
      <w:r>
        <w:rPr>
          <w:rFonts w:hint="cs"/>
          <w:rtl/>
        </w:rPr>
        <w:t xml:space="preserve">וכתב </w:t>
      </w:r>
      <w:r w:rsidRPr="00C24352">
        <w:rPr>
          <w:rStyle w:val="af8"/>
          <w:rFonts w:hint="cs"/>
          <w:rtl/>
        </w:rPr>
        <w:t>הקה"י</w:t>
      </w:r>
      <w:r>
        <w:rPr>
          <w:rFonts w:hint="cs"/>
          <w:rtl/>
        </w:rPr>
        <w:t xml:space="preserve"> דאולי אפש"ל דכל דין נהפך בטעם כעיקר הוא רק לענין איסור, אך לא חשיב דנעשה כולו פסול, אלא שיש בו איסורא בעלמא, ולכן אפש"ל שיבא העשה וידחה את הלא תעשה.</w:t>
      </w:r>
    </w:p>
    <w:p w:rsidR="00F71EAC" w:rsidRPr="006E75E2" w:rsidRDefault="00F71EAC" w:rsidP="00F71EAC">
      <w:pPr>
        <w:pStyle w:val="a2"/>
      </w:pPr>
      <w:bookmarkStart w:id="7364" w:name="_Toc14257554"/>
      <w:r>
        <w:rPr>
          <w:rFonts w:hint="cs"/>
          <w:rtl/>
        </w:rPr>
        <w:t>דברי הקה"י דכיון דמדין נהפך האורז חשיב כחיטים לענין מצה משמע דנהפך לגמרי כמו האיסור</w:t>
      </w:r>
      <w:bookmarkEnd w:id="7364"/>
    </w:p>
    <w:p w:rsidR="00AB5ACD" w:rsidRDefault="00F71EAC" w:rsidP="009F44AF">
      <w:pPr>
        <w:pStyle w:val="a"/>
        <w:rPr>
          <w:rtl/>
        </w:rPr>
        <w:sectPr w:rsidR="00AB5ACD" w:rsidSect="00F71EAC">
          <w:type w:val="continuous"/>
          <w:pgSz w:w="11906" w:h="16838"/>
          <w:pgMar w:top="720" w:right="720" w:bottom="720" w:left="720" w:header="283" w:footer="283" w:gutter="0"/>
          <w:cols w:num="2" w:space="567"/>
          <w:bidi/>
          <w:rtlGutter/>
          <w:docGrid w:linePitch="299"/>
        </w:sectPr>
      </w:pPr>
      <w:r>
        <w:rPr>
          <w:rFonts w:hint="cs"/>
          <w:rtl/>
        </w:rPr>
        <w:t xml:space="preserve">אך כתב </w:t>
      </w:r>
      <w:r w:rsidRPr="00C24352">
        <w:rPr>
          <w:rStyle w:val="af8"/>
          <w:rFonts w:hint="cs"/>
          <w:rtl/>
        </w:rPr>
        <w:t>הקה"י</w:t>
      </w:r>
      <w:r>
        <w:rPr>
          <w:rFonts w:hint="cs"/>
          <w:rtl/>
        </w:rPr>
        <w:t xml:space="preserve"> דהוא דוחק דהרי מדין טעם כעיקר, אף האורז נהפך לחיטים ויוצא בה יד"ח מצה, ומשמע דמדין טעם כעיקר נהפכה התערובת לגמרי לדין של הטעם שמעורב בה, וכן לשון הגמ' בזבחים בדין "יקדש" דאם היא פסולה </w:t>
      </w:r>
      <w:r w:rsidR="00FF684E">
        <w:rPr>
          <w:rFonts w:hint="cs"/>
          <w:rtl/>
        </w:rPr>
        <w:t>תפסל, ומשמע דכולה נעשית פסולה</w:t>
      </w:r>
    </w:p>
    <w:p w:rsidR="005C0DE0" w:rsidRDefault="005C0DE0" w:rsidP="009F44AF">
      <w:pPr>
        <w:pStyle w:val="a"/>
        <w:numPr>
          <w:ilvl w:val="0"/>
          <w:numId w:val="0"/>
        </w:numPr>
        <w:rPr>
          <w:rtl/>
        </w:rPr>
        <w:sectPr w:rsidR="005C0DE0" w:rsidSect="00E42131">
          <w:type w:val="continuous"/>
          <w:pgSz w:w="11906" w:h="16838"/>
          <w:pgMar w:top="720" w:right="720" w:bottom="720" w:left="720" w:header="283" w:footer="283" w:gutter="0"/>
          <w:cols w:num="2" w:space="567"/>
          <w:titlePg/>
          <w:bidi/>
          <w:rtlGutter/>
          <w:docGrid w:linePitch="299"/>
        </w:sectPr>
      </w:pPr>
    </w:p>
    <w:p w:rsidR="003336C9" w:rsidRDefault="003336C9" w:rsidP="005B1A17">
      <w:pPr>
        <w:pStyle w:val="afc"/>
        <w:rPr>
          <w:rtl/>
        </w:rPr>
        <w:sectPr w:rsidR="003336C9">
          <w:type w:val="continuous"/>
          <w:pgSz w:w="11906" w:h="16838"/>
          <w:pgMar w:top="720" w:right="720" w:bottom="720" w:left="720" w:header="283" w:footer="283" w:gutter="0"/>
          <w:cols w:space="720"/>
          <w:bidi/>
          <w:rtlGutter/>
        </w:sectPr>
      </w:pPr>
    </w:p>
    <w:p w:rsidR="00FF684E" w:rsidRDefault="00FF684E" w:rsidP="005B1A17">
      <w:pPr>
        <w:pStyle w:val="afc"/>
      </w:pPr>
      <w:bookmarkStart w:id="7365" w:name="_Toc15849580"/>
      <w:bookmarkStart w:id="7366" w:name="_Toc20429214"/>
      <w:bookmarkStart w:id="7367" w:name="_Toc20468161"/>
      <w:r>
        <w:rPr>
          <w:rFonts w:hint="cs"/>
          <w:rtl/>
        </w:rPr>
        <w:lastRenderedPageBreak/>
        <w:t>סימן י"א</w:t>
      </w:r>
      <w:bookmarkEnd w:id="7365"/>
      <w:bookmarkEnd w:id="7366"/>
      <w:bookmarkEnd w:id="7367"/>
    </w:p>
    <w:p w:rsidR="00FF684E" w:rsidRDefault="00FF684E" w:rsidP="005B1A17">
      <w:pPr>
        <w:pStyle w:val="afc"/>
      </w:pPr>
      <w:bookmarkStart w:id="7368" w:name="_Toc15849581"/>
      <w:bookmarkStart w:id="7369" w:name="_Toc20429215"/>
      <w:bookmarkStart w:id="7370" w:name="_Toc20468162"/>
      <w:r>
        <w:rPr>
          <w:rFonts w:hint="cs"/>
          <w:rtl/>
        </w:rPr>
        <w:t>סוגית טעם כעיקר (ו')</w:t>
      </w:r>
      <w:bookmarkEnd w:id="7368"/>
      <w:bookmarkEnd w:id="7369"/>
      <w:bookmarkEnd w:id="7370"/>
    </w:p>
    <w:p w:rsidR="00FF684E" w:rsidRDefault="00FF684E" w:rsidP="005B1A17">
      <w:pPr>
        <w:pStyle w:val="afc"/>
        <w:rPr>
          <w:rtl/>
        </w:rPr>
      </w:pPr>
      <w:bookmarkStart w:id="7371" w:name="_Toc20429216"/>
      <w:bookmarkStart w:id="7372" w:name="_Toc20468163"/>
      <w:r>
        <w:rPr>
          <w:rFonts w:hint="cs"/>
          <w:rtl/>
        </w:rPr>
        <w:t>בביאור דעת הרמב"ם בטעם כעיקר</w:t>
      </w:r>
      <w:bookmarkEnd w:id="7371"/>
      <w:bookmarkEnd w:id="7372"/>
    </w:p>
    <w:p w:rsidR="00FF684E" w:rsidRDefault="002916D7" w:rsidP="00FF684E">
      <w:pPr>
        <w:pStyle w:val="2"/>
        <w:keepNext w:val="0"/>
        <w:keepLines w:val="0"/>
        <w:rPr>
          <w:rtl/>
        </w:rPr>
      </w:pPr>
      <w:r>
        <w:rPr>
          <w:rFonts w:hint="cs"/>
          <w:rtl/>
        </w:rPr>
        <w:t>מפתח הסוגיא</w:t>
      </w:r>
    </w:p>
    <w:p w:rsidR="00FF684E" w:rsidRDefault="00FF684E" w:rsidP="00FF684E">
      <w:pPr>
        <w:bidi w:val="0"/>
        <w:ind w:left="0"/>
        <w:jc w:val="left"/>
        <w:rPr>
          <w:rFonts w:ascii="Guttman Adii-Light" w:eastAsia="Guttman Adii-Light" w:hAnsi="Guttman Adii-Light" w:cs="Guttman Adii-Light"/>
          <w:sz w:val="24"/>
          <w:szCs w:val="24"/>
          <w:rtl/>
        </w:rPr>
        <w:sectPr w:rsidR="00FF684E" w:rsidSect="003336C9">
          <w:headerReference w:type="default" r:id="rId65"/>
          <w:pgSz w:w="11906" w:h="16838"/>
          <w:pgMar w:top="720" w:right="720" w:bottom="720" w:left="720" w:header="283" w:footer="283" w:gutter="0"/>
          <w:cols w:space="720"/>
          <w:bidi/>
          <w:rtlGutter/>
        </w:sectPr>
      </w:pPr>
    </w:p>
    <w:p w:rsidR="00906D8F" w:rsidRDefault="00FF684E" w:rsidP="00906D8F">
      <w:pPr>
        <w:pStyle w:val="2"/>
        <w:rPr>
          <w:rFonts w:eastAsiaTheme="minorEastAsia" w:cstheme="minorBidi"/>
          <w:i/>
          <w:iCs/>
          <w:noProof/>
          <w:sz w:val="22"/>
          <w:szCs w:val="22"/>
          <w:rtl/>
        </w:rPr>
      </w:pP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r w:rsidR="00906D8F">
        <w:rPr>
          <w:noProof/>
          <w:rtl/>
        </w:rPr>
        <w:t>מראי מקומות וביאורים</w:t>
      </w:r>
    </w:p>
    <w:p w:rsidR="00906D8F" w:rsidRDefault="00906D8F" w:rsidP="00906D8F">
      <w:pPr>
        <w:pStyle w:val="2"/>
        <w:rPr>
          <w:rFonts w:eastAsiaTheme="minorEastAsia" w:cstheme="minorBidi"/>
          <w:i/>
          <w:iCs/>
          <w:noProof/>
          <w:sz w:val="22"/>
          <w:szCs w:val="22"/>
          <w:rtl/>
        </w:rPr>
      </w:pPr>
      <w:r>
        <w:rPr>
          <w:noProof/>
          <w:rtl/>
        </w:rPr>
        <w:t>דברי הרמב"ם בטע"כ ובנזיר וחמץ</w:t>
      </w:r>
    </w:p>
    <w:p w:rsidR="00906D8F" w:rsidRDefault="00906D8F" w:rsidP="00906D8F">
      <w:pPr>
        <w:pStyle w:val="aff4"/>
        <w:rPr>
          <w:rFonts w:eastAsiaTheme="minorEastAsia" w:cstheme="minorBidi"/>
          <w:i/>
          <w:iCs/>
          <w:noProof/>
          <w:sz w:val="22"/>
          <w:szCs w:val="22"/>
          <w:rtl/>
        </w:rPr>
      </w:pPr>
      <w:r>
        <w:rPr>
          <w:noProof/>
          <w:rtl/>
        </w:rPr>
        <w:t>דברי הרמב"ם דמאו' טעמו וממשו בכא"פ ובלא ממשו מדרבנן</w:t>
      </w:r>
    </w:p>
    <w:p w:rsidR="00906D8F" w:rsidRPr="004D1C5B" w:rsidRDefault="00906D8F" w:rsidP="004D1C5B">
      <w:pPr>
        <w:pStyle w:val="TOC9"/>
        <w:numPr>
          <w:ilvl w:val="0"/>
          <w:numId w:val="23"/>
        </w:numPr>
        <w:rPr>
          <w:rFonts w:eastAsiaTheme="minorEastAsia" w:cstheme="minorBidi"/>
          <w:sz w:val="22"/>
          <w:szCs w:val="22"/>
          <w:rtl/>
        </w:rPr>
      </w:pPr>
      <w:r w:rsidRPr="00906D8F">
        <w:rPr>
          <w:rtl/>
        </w:rPr>
        <w:t>דברי הרמב"ם דבמין בשאינו מינו בטעמו וממשו אסור מדאו' ובטעמו ולא ממשו אסור מד"</w:t>
      </w:r>
      <w:r w:rsidR="00A24340">
        <w:rPr>
          <w:rFonts w:hint="cs"/>
          <w:rtl/>
        </w:rPr>
        <w:t>ס</w:t>
      </w:r>
    </w:p>
    <w:p w:rsidR="00906D8F" w:rsidRDefault="00906D8F" w:rsidP="00906D8F">
      <w:pPr>
        <w:pStyle w:val="aff2"/>
        <w:numPr>
          <w:ilvl w:val="0"/>
          <w:numId w:val="3"/>
        </w:numPr>
        <w:rPr>
          <w:rFonts w:eastAsiaTheme="minorEastAsia" w:cstheme="minorBidi"/>
          <w:sz w:val="22"/>
          <w:szCs w:val="22"/>
          <w:rtl/>
        </w:rPr>
      </w:pPr>
      <w:r>
        <w:rPr>
          <w:rtl/>
        </w:rPr>
        <w:t>דברי הרמב"ם דממשו הוא בכזית בכא"פ ואכל שיעור פרס דלוקה כיון שיש גם טעמו וגם ממשו</w:t>
      </w:r>
    </w:p>
    <w:p w:rsidR="00906D8F" w:rsidRDefault="00906D8F" w:rsidP="00906D8F">
      <w:pPr>
        <w:pStyle w:val="aff2"/>
        <w:numPr>
          <w:ilvl w:val="0"/>
          <w:numId w:val="3"/>
        </w:numPr>
        <w:rPr>
          <w:rFonts w:eastAsiaTheme="minorEastAsia" w:cstheme="minorBidi"/>
          <w:sz w:val="22"/>
          <w:szCs w:val="22"/>
          <w:rtl/>
        </w:rPr>
      </w:pPr>
      <w:r>
        <w:rPr>
          <w:rtl/>
        </w:rPr>
        <w:t>דברי הרמב"ם דאם אכל פחות מכא"פ או שאין בתערובת כזית בכא"פ מכין אותו מכת מרדות</w:t>
      </w:r>
    </w:p>
    <w:p w:rsidR="00906D8F" w:rsidRDefault="00906D8F" w:rsidP="00906D8F">
      <w:pPr>
        <w:pStyle w:val="aff2"/>
        <w:numPr>
          <w:ilvl w:val="0"/>
          <w:numId w:val="3"/>
        </w:numPr>
        <w:rPr>
          <w:rFonts w:eastAsiaTheme="minorEastAsia" w:cstheme="minorBidi"/>
          <w:sz w:val="22"/>
          <w:szCs w:val="22"/>
          <w:rtl/>
        </w:rPr>
      </w:pPr>
      <w:r>
        <w:rPr>
          <w:rtl/>
        </w:rPr>
        <w:t>דברי הרמב"ם דמין במינו אסור מדרבנן עד שיאבד מעוצם מיעוטו ולא יחשב בפנ"ע דהוא שישים</w:t>
      </w:r>
    </w:p>
    <w:p w:rsidR="00906D8F" w:rsidRDefault="00906D8F" w:rsidP="00906D8F">
      <w:pPr>
        <w:pStyle w:val="aff4"/>
        <w:rPr>
          <w:rFonts w:eastAsiaTheme="minorEastAsia" w:cstheme="minorBidi"/>
          <w:i/>
          <w:iCs/>
          <w:noProof/>
          <w:sz w:val="22"/>
          <w:szCs w:val="22"/>
          <w:rtl/>
        </w:rPr>
      </w:pPr>
      <w:r>
        <w:rPr>
          <w:noProof/>
          <w:rtl/>
        </w:rPr>
        <w:t>פלוגתת הרמב"ם והראב"ד בחיוב נזיר בטע"כ בפחות מכא"פ</w:t>
      </w:r>
    </w:p>
    <w:p w:rsidR="00906D8F" w:rsidRDefault="00906D8F" w:rsidP="00906D8F">
      <w:pPr>
        <w:pStyle w:val="aff2"/>
        <w:numPr>
          <w:ilvl w:val="0"/>
          <w:numId w:val="3"/>
        </w:numPr>
        <w:rPr>
          <w:rFonts w:eastAsiaTheme="minorEastAsia" w:cstheme="minorBidi"/>
          <w:sz w:val="22"/>
          <w:szCs w:val="22"/>
          <w:rtl/>
        </w:rPr>
      </w:pPr>
      <w:r>
        <w:rPr>
          <w:rtl/>
        </w:rPr>
        <w:t>דברי הרמב"ם דאין היתר מצטרף לאיסור ו הנזיר לוקה רק בכזית בכא"פ כמו בכל האיסורים</w:t>
      </w:r>
    </w:p>
    <w:p w:rsidR="00906D8F" w:rsidRDefault="00906D8F" w:rsidP="00906D8F">
      <w:pPr>
        <w:pStyle w:val="aff2"/>
        <w:numPr>
          <w:ilvl w:val="0"/>
          <w:numId w:val="3"/>
        </w:numPr>
        <w:rPr>
          <w:rFonts w:eastAsiaTheme="minorEastAsia" w:cstheme="minorBidi"/>
          <w:sz w:val="22"/>
          <w:szCs w:val="22"/>
          <w:rtl/>
        </w:rPr>
      </w:pPr>
      <w:r>
        <w:rPr>
          <w:rtl/>
        </w:rPr>
        <w:t>דברי הרמב"ם דבשרה פת ביין ויש ממשות יין הנזיר לוקה ברבעית בכא"פ וכדילפינן ממשרת</w:t>
      </w:r>
    </w:p>
    <w:p w:rsidR="00906D8F" w:rsidRDefault="00906D8F" w:rsidP="00906D8F">
      <w:pPr>
        <w:pStyle w:val="aff2"/>
        <w:numPr>
          <w:ilvl w:val="0"/>
          <w:numId w:val="3"/>
        </w:numPr>
        <w:rPr>
          <w:rFonts w:eastAsiaTheme="minorEastAsia" w:cstheme="minorBidi"/>
          <w:sz w:val="22"/>
          <w:szCs w:val="22"/>
          <w:rtl/>
        </w:rPr>
      </w:pPr>
      <w:r>
        <w:rPr>
          <w:rtl/>
        </w:rPr>
        <w:t>דברי הרמב"ם דיין שנתערב בדבר אחר ויש טעם יין ואין שיעור רביעית בכא"פ אסור מדרבנן</w:t>
      </w:r>
    </w:p>
    <w:p w:rsidR="00906D8F" w:rsidRDefault="00906D8F" w:rsidP="00906D8F">
      <w:pPr>
        <w:pStyle w:val="aff2"/>
        <w:numPr>
          <w:ilvl w:val="0"/>
          <w:numId w:val="3"/>
        </w:numPr>
        <w:rPr>
          <w:rFonts w:eastAsiaTheme="minorEastAsia" w:cstheme="minorBidi"/>
          <w:sz w:val="22"/>
          <w:szCs w:val="22"/>
          <w:rtl/>
        </w:rPr>
      </w:pPr>
      <w:r>
        <w:rPr>
          <w:rtl/>
        </w:rPr>
        <w:t>דברי הראב"ד דיין דכשיש טעם יין ואין שיעור רביעית בכא"פ אסור מדאו' ואין מלקות</w:t>
      </w:r>
    </w:p>
    <w:p w:rsidR="00906D8F" w:rsidRDefault="00906D8F" w:rsidP="00906D8F">
      <w:pPr>
        <w:pStyle w:val="aff4"/>
        <w:rPr>
          <w:rFonts w:eastAsiaTheme="minorEastAsia" w:cstheme="minorBidi"/>
          <w:i/>
          <w:iCs/>
          <w:noProof/>
          <w:sz w:val="22"/>
          <w:szCs w:val="22"/>
          <w:rtl/>
        </w:rPr>
      </w:pPr>
      <w:r>
        <w:rPr>
          <w:noProof/>
          <w:rtl/>
        </w:rPr>
        <w:t>פלוגתת הרמב"ם והראב"ד בדין עיסת אורז בפחות מכא"פ</w:t>
      </w:r>
    </w:p>
    <w:p w:rsidR="00906D8F" w:rsidRDefault="00906D8F" w:rsidP="00906D8F">
      <w:pPr>
        <w:pStyle w:val="aff2"/>
        <w:numPr>
          <w:ilvl w:val="0"/>
          <w:numId w:val="3"/>
        </w:numPr>
        <w:rPr>
          <w:rFonts w:eastAsiaTheme="minorEastAsia" w:cstheme="minorBidi"/>
          <w:sz w:val="22"/>
          <w:szCs w:val="22"/>
          <w:rtl/>
        </w:rPr>
      </w:pPr>
      <w:r>
        <w:rPr>
          <w:rtl/>
        </w:rPr>
        <w:t>דברי הרמב"ם דבעיסה מחיטים ומאורז אם יש בה טעם דגן יוצא בה יד"ח מצה בפסח</w:t>
      </w:r>
    </w:p>
    <w:p w:rsidR="00906D8F" w:rsidRDefault="00906D8F" w:rsidP="00906D8F">
      <w:pPr>
        <w:pStyle w:val="aff2"/>
        <w:numPr>
          <w:ilvl w:val="0"/>
          <w:numId w:val="3"/>
        </w:numPr>
        <w:rPr>
          <w:rFonts w:eastAsiaTheme="minorEastAsia" w:cstheme="minorBidi"/>
          <w:sz w:val="22"/>
          <w:szCs w:val="22"/>
          <w:rtl/>
        </w:rPr>
      </w:pPr>
      <w:r>
        <w:rPr>
          <w:rtl/>
        </w:rPr>
        <w:t>דברי הראב"ד דרק כשיש כזית דגן ואוכלו בכא"פ יוצא בה יד"ח מצה</w:t>
      </w:r>
    </w:p>
    <w:p w:rsidR="00906D8F" w:rsidRDefault="00906D8F" w:rsidP="00906D8F">
      <w:pPr>
        <w:pStyle w:val="aff2"/>
        <w:numPr>
          <w:ilvl w:val="0"/>
          <w:numId w:val="3"/>
        </w:numPr>
        <w:rPr>
          <w:rFonts w:eastAsiaTheme="minorEastAsia" w:cstheme="minorBidi"/>
          <w:sz w:val="22"/>
          <w:szCs w:val="22"/>
          <w:rtl/>
        </w:rPr>
      </w:pPr>
      <w:r>
        <w:rPr>
          <w:rtl/>
        </w:rPr>
        <w:t>דברי המ"מ דהרמב"ם ס"ל כרמב"ן דאף בפחות מכזית בכא"פ יוצא יד"ח מצה מדין גרירה</w:t>
      </w:r>
    </w:p>
    <w:p w:rsidR="00906D8F" w:rsidRDefault="00906D8F" w:rsidP="00906D8F">
      <w:pPr>
        <w:pStyle w:val="aff2"/>
        <w:numPr>
          <w:ilvl w:val="0"/>
          <w:numId w:val="3"/>
        </w:numPr>
        <w:rPr>
          <w:rFonts w:eastAsiaTheme="minorEastAsia" w:cstheme="minorBidi"/>
          <w:sz w:val="22"/>
          <w:szCs w:val="22"/>
          <w:rtl/>
        </w:rPr>
      </w:pPr>
      <w:r>
        <w:rPr>
          <w:rtl/>
        </w:rPr>
        <w:t>דברי הרמב"ם דעיסה מחיטים ואורז שיש בה טעם דגן חייבת בחלה</w:t>
      </w:r>
    </w:p>
    <w:p w:rsidR="00906D8F" w:rsidRDefault="00906D8F" w:rsidP="00906D8F">
      <w:pPr>
        <w:pStyle w:val="aff2"/>
        <w:numPr>
          <w:ilvl w:val="0"/>
          <w:numId w:val="3"/>
        </w:numPr>
        <w:rPr>
          <w:rFonts w:eastAsiaTheme="minorEastAsia" w:cstheme="minorBidi"/>
          <w:sz w:val="22"/>
          <w:szCs w:val="22"/>
          <w:rtl/>
        </w:rPr>
      </w:pPr>
      <w:r>
        <w:rPr>
          <w:rtl/>
        </w:rPr>
        <w:t>דברי הראב"ד דקיי"ל כרשב"ג דרק כשיש בה שיעור דגן המחייב בחלה היא חייבת אף שרובה אורז</w:t>
      </w:r>
    </w:p>
    <w:p w:rsidR="00906D8F" w:rsidRDefault="00906D8F" w:rsidP="00906D8F">
      <w:pPr>
        <w:pStyle w:val="aff4"/>
        <w:rPr>
          <w:rFonts w:eastAsiaTheme="minorEastAsia" w:cstheme="minorBidi"/>
          <w:i/>
          <w:iCs/>
          <w:noProof/>
          <w:sz w:val="22"/>
          <w:szCs w:val="22"/>
          <w:rtl/>
        </w:rPr>
      </w:pPr>
      <w:r>
        <w:rPr>
          <w:noProof/>
          <w:rtl/>
        </w:rPr>
        <w:t>פלוגתת הרמב"ם והראב"ד בתערובת חמץ בפחות מכא"פ</w:t>
      </w:r>
    </w:p>
    <w:p w:rsidR="00906D8F" w:rsidRDefault="00906D8F" w:rsidP="00906D8F">
      <w:pPr>
        <w:pStyle w:val="aff2"/>
        <w:numPr>
          <w:ilvl w:val="0"/>
          <w:numId w:val="3"/>
        </w:numPr>
        <w:rPr>
          <w:rFonts w:eastAsiaTheme="minorEastAsia" w:cstheme="minorBidi"/>
          <w:sz w:val="22"/>
          <w:szCs w:val="22"/>
          <w:rtl/>
        </w:rPr>
      </w:pPr>
      <w:r>
        <w:rPr>
          <w:rtl/>
        </w:rPr>
        <w:t>דברי הרמב"ם דבתערובת חמץ אין כרת וכשאכל כזית בכא"פ לוקין ובפחות מכין מכת מרדות</w:t>
      </w:r>
    </w:p>
    <w:p w:rsidR="00906D8F" w:rsidRDefault="00906D8F" w:rsidP="00906D8F">
      <w:pPr>
        <w:pStyle w:val="aff2"/>
        <w:numPr>
          <w:ilvl w:val="0"/>
          <w:numId w:val="3"/>
        </w:numPr>
        <w:rPr>
          <w:rFonts w:eastAsiaTheme="minorEastAsia" w:cstheme="minorBidi"/>
          <w:sz w:val="22"/>
          <w:szCs w:val="22"/>
          <w:rtl/>
        </w:rPr>
      </w:pPr>
      <w:r>
        <w:rPr>
          <w:rtl/>
        </w:rPr>
        <w:t>דברי הראב"ד דהריף פסק בתערובת חמץ כרבנן כיון שאין בכותח כזית בכא"פ</w:t>
      </w:r>
    </w:p>
    <w:p w:rsidR="00906D8F" w:rsidRDefault="00906D8F" w:rsidP="00906D8F">
      <w:pPr>
        <w:pStyle w:val="aff2"/>
        <w:numPr>
          <w:ilvl w:val="0"/>
          <w:numId w:val="3"/>
        </w:numPr>
        <w:rPr>
          <w:rFonts w:eastAsiaTheme="minorEastAsia" w:cstheme="minorBidi"/>
          <w:sz w:val="22"/>
          <w:szCs w:val="22"/>
          <w:rtl/>
        </w:rPr>
      </w:pPr>
      <w:r>
        <w:rPr>
          <w:rtl/>
        </w:rPr>
        <w:t>ביאור המ"מ בהשג' הראב"ד דמשמע בדברי הרמב"ם דבכותח יש כזית בכא"פ ודלא כהרי"ף</w:t>
      </w:r>
    </w:p>
    <w:p w:rsidR="00906D8F" w:rsidRDefault="00906D8F" w:rsidP="00906D8F">
      <w:pPr>
        <w:pStyle w:val="aff2"/>
        <w:numPr>
          <w:ilvl w:val="0"/>
          <w:numId w:val="3"/>
        </w:numPr>
        <w:rPr>
          <w:rFonts w:eastAsiaTheme="minorEastAsia" w:cstheme="minorBidi"/>
          <w:sz w:val="22"/>
          <w:szCs w:val="22"/>
          <w:rtl/>
        </w:rPr>
      </w:pPr>
      <w:r>
        <w:rPr>
          <w:rtl/>
        </w:rPr>
        <w:t>קושית הכס"מ דאמאי צריך ילפותא לתערובת חמץ הא בכל האיסורים לוקין בכזית בכא"פ</w:t>
      </w:r>
    </w:p>
    <w:p w:rsidR="00906D8F" w:rsidRDefault="00906D8F" w:rsidP="00906D8F">
      <w:pPr>
        <w:pStyle w:val="2"/>
        <w:rPr>
          <w:rFonts w:eastAsiaTheme="minorEastAsia" w:cstheme="minorBidi"/>
          <w:i/>
          <w:iCs/>
          <w:noProof/>
          <w:sz w:val="22"/>
          <w:szCs w:val="22"/>
          <w:rtl/>
        </w:rPr>
      </w:pPr>
      <w:r>
        <w:rPr>
          <w:noProof/>
          <w:rtl/>
        </w:rPr>
        <w:t>דעת הסוברים דלהרמב"ם טע"כ דאו'</w:t>
      </w:r>
    </w:p>
    <w:p w:rsidR="00906D8F" w:rsidRDefault="00906D8F" w:rsidP="00906D8F">
      <w:pPr>
        <w:pStyle w:val="aff4"/>
        <w:rPr>
          <w:rFonts w:eastAsiaTheme="minorEastAsia" w:cstheme="minorBidi"/>
          <w:i/>
          <w:iCs/>
          <w:noProof/>
          <w:sz w:val="22"/>
          <w:szCs w:val="22"/>
          <w:rtl/>
        </w:rPr>
      </w:pPr>
      <w:r>
        <w:rPr>
          <w:noProof/>
          <w:rtl/>
        </w:rPr>
        <w:t>דעת הסוברים דלהרמב"ם טעם כעיקר דאו' וס"ל כרבינו חיים</w:t>
      </w:r>
    </w:p>
    <w:p w:rsidR="00906D8F" w:rsidRDefault="00906D8F" w:rsidP="00906D8F">
      <w:pPr>
        <w:pStyle w:val="aff2"/>
        <w:numPr>
          <w:ilvl w:val="0"/>
          <w:numId w:val="3"/>
        </w:numPr>
        <w:rPr>
          <w:rFonts w:eastAsiaTheme="minorEastAsia" w:cstheme="minorBidi"/>
          <w:sz w:val="22"/>
          <w:szCs w:val="22"/>
          <w:rtl/>
        </w:rPr>
      </w:pPr>
      <w:r>
        <w:rPr>
          <w:rtl/>
        </w:rPr>
        <w:t>ביאור  ההג"מ ברמב"ם דבכזית בכא"פ הוא טעמו וממשו ובפחות מכא"פ הוא טע"כ דאו' וכדעת ר"י</w:t>
      </w:r>
    </w:p>
    <w:p w:rsidR="00906D8F" w:rsidRDefault="00906D8F" w:rsidP="00906D8F">
      <w:pPr>
        <w:pStyle w:val="aff2"/>
        <w:numPr>
          <w:ilvl w:val="0"/>
          <w:numId w:val="3"/>
        </w:numPr>
        <w:rPr>
          <w:rFonts w:eastAsiaTheme="minorEastAsia" w:cstheme="minorBidi"/>
          <w:sz w:val="22"/>
          <w:szCs w:val="22"/>
          <w:rtl/>
        </w:rPr>
      </w:pPr>
      <w:r>
        <w:rPr>
          <w:rtl/>
        </w:rPr>
        <w:t>ביאור הלח"מ ברמב"ם דס"ל כרבינו אליהו דטעמו וממשו הוא בכזית בכא"פ אף באיסור שנימוח</w:t>
      </w:r>
    </w:p>
    <w:p w:rsidR="00906D8F" w:rsidRDefault="00906D8F" w:rsidP="00906D8F">
      <w:pPr>
        <w:pStyle w:val="aff2"/>
        <w:numPr>
          <w:ilvl w:val="0"/>
          <w:numId w:val="3"/>
        </w:numPr>
        <w:rPr>
          <w:rFonts w:eastAsiaTheme="minorEastAsia" w:cstheme="minorBidi"/>
          <w:sz w:val="22"/>
          <w:szCs w:val="22"/>
          <w:rtl/>
        </w:rPr>
      </w:pPr>
      <w:r>
        <w:rPr>
          <w:rtl/>
        </w:rPr>
        <w:t>דברי הלח"מ דלהרמב"ם אף בכזית בכא"פ לא אמרינן נהפך ופליג בזה על רבינו חיים</w:t>
      </w:r>
    </w:p>
    <w:p w:rsidR="00906D8F" w:rsidRDefault="00906D8F" w:rsidP="00906D8F">
      <w:pPr>
        <w:pStyle w:val="aff2"/>
        <w:numPr>
          <w:ilvl w:val="0"/>
          <w:numId w:val="3"/>
        </w:numPr>
        <w:rPr>
          <w:rFonts w:eastAsiaTheme="minorEastAsia" w:cstheme="minorBidi"/>
          <w:sz w:val="22"/>
          <w:szCs w:val="22"/>
          <w:rtl/>
        </w:rPr>
      </w:pPr>
      <w:r>
        <w:rPr>
          <w:rtl/>
        </w:rPr>
        <w:t>דברי הלח"מ דלהרמב"ם בפחות מכא"פ מותר ודלא כרבינו חיים דאסור מדאו' ואין לוקין עליו</w:t>
      </w:r>
    </w:p>
    <w:p w:rsidR="00906D8F" w:rsidRDefault="00906D8F" w:rsidP="00906D8F">
      <w:pPr>
        <w:pStyle w:val="aff4"/>
        <w:rPr>
          <w:rFonts w:eastAsiaTheme="minorEastAsia" w:cstheme="minorBidi"/>
          <w:i/>
          <w:iCs/>
          <w:noProof/>
          <w:sz w:val="22"/>
          <w:szCs w:val="22"/>
          <w:rtl/>
        </w:rPr>
      </w:pPr>
      <w:r>
        <w:rPr>
          <w:noProof/>
          <w:rtl/>
        </w:rPr>
        <w:t>דברי הגר"א דעיסת אורז הוא אף בפחות מכא"פ ואין נהפך</w:t>
      </w:r>
    </w:p>
    <w:p w:rsidR="00906D8F" w:rsidRDefault="00906D8F" w:rsidP="00906D8F">
      <w:pPr>
        <w:pStyle w:val="aff2"/>
        <w:numPr>
          <w:ilvl w:val="0"/>
          <w:numId w:val="3"/>
        </w:numPr>
        <w:rPr>
          <w:rFonts w:eastAsiaTheme="minorEastAsia" w:cstheme="minorBidi"/>
          <w:sz w:val="22"/>
          <w:szCs w:val="22"/>
          <w:rtl/>
        </w:rPr>
      </w:pPr>
      <w:r>
        <w:rPr>
          <w:rtl/>
        </w:rPr>
        <w:t>ביאור הגר"א ברמב"ם דבעיסת אורז יוצא יד"ח מצה אף בפחות מכא"פ חיטים ולא אמרינן נהפך</w:t>
      </w:r>
    </w:p>
    <w:p w:rsidR="00906D8F" w:rsidRDefault="00906D8F" w:rsidP="00906D8F">
      <w:pPr>
        <w:pStyle w:val="aff4"/>
        <w:rPr>
          <w:rFonts w:eastAsiaTheme="minorEastAsia" w:cstheme="minorBidi"/>
          <w:i/>
          <w:iCs/>
          <w:noProof/>
          <w:sz w:val="22"/>
          <w:szCs w:val="22"/>
          <w:rtl/>
        </w:rPr>
      </w:pPr>
      <w:r>
        <w:rPr>
          <w:noProof/>
          <w:rtl/>
        </w:rPr>
        <w:t>קושית הגר"א מסתירת דברי הרמב"ם מטע"כ לעיסת אורז</w:t>
      </w:r>
    </w:p>
    <w:p w:rsidR="00906D8F" w:rsidRDefault="00906D8F" w:rsidP="00906D8F">
      <w:pPr>
        <w:pStyle w:val="aff2"/>
        <w:numPr>
          <w:ilvl w:val="0"/>
          <w:numId w:val="3"/>
        </w:numPr>
        <w:rPr>
          <w:rFonts w:eastAsiaTheme="minorEastAsia" w:cstheme="minorBidi"/>
          <w:sz w:val="22"/>
          <w:szCs w:val="22"/>
          <w:rtl/>
        </w:rPr>
      </w:pPr>
      <w:r>
        <w:rPr>
          <w:rtl/>
        </w:rPr>
        <w:t>קושית הגר"א דבנזיר וטע"כ כתב הרמב"ם דבפחות מכא"פ אסור מדרבנן והיאך מהני בעיסת אורז</w:t>
      </w:r>
    </w:p>
    <w:p w:rsidR="00906D8F" w:rsidRDefault="00906D8F" w:rsidP="00906D8F">
      <w:pPr>
        <w:pStyle w:val="aff4"/>
        <w:rPr>
          <w:rFonts w:eastAsiaTheme="minorEastAsia" w:cstheme="minorBidi"/>
          <w:i/>
          <w:iCs/>
          <w:noProof/>
          <w:sz w:val="22"/>
          <w:szCs w:val="22"/>
          <w:rtl/>
        </w:rPr>
      </w:pPr>
      <w:r>
        <w:rPr>
          <w:noProof/>
          <w:rtl/>
        </w:rPr>
        <w:t>דברי הגר"א ברמב"ם דפחות מכא"פ דרבנן ואורז ע"י גרירה</w:t>
      </w:r>
    </w:p>
    <w:p w:rsidR="00906D8F" w:rsidRDefault="00906D8F" w:rsidP="00906D8F">
      <w:pPr>
        <w:pStyle w:val="aff2"/>
        <w:numPr>
          <w:ilvl w:val="0"/>
          <w:numId w:val="3"/>
        </w:numPr>
        <w:rPr>
          <w:rFonts w:eastAsiaTheme="minorEastAsia" w:cstheme="minorBidi"/>
          <w:sz w:val="22"/>
          <w:szCs w:val="22"/>
          <w:rtl/>
        </w:rPr>
      </w:pPr>
      <w:r>
        <w:rPr>
          <w:rtl/>
        </w:rPr>
        <w:t>דברי הגר"א ברמב"ם דהאורז נגרר אחר חיטים שנתנו בו טעם אף כשיש חיטים בפחות מכא"פ</w:t>
      </w:r>
    </w:p>
    <w:p w:rsidR="00906D8F" w:rsidRDefault="00906D8F" w:rsidP="00906D8F">
      <w:pPr>
        <w:pStyle w:val="aff4"/>
        <w:rPr>
          <w:rFonts w:eastAsiaTheme="minorEastAsia" w:cstheme="minorBidi"/>
          <w:i/>
          <w:iCs/>
          <w:noProof/>
          <w:sz w:val="22"/>
          <w:szCs w:val="22"/>
          <w:rtl/>
        </w:rPr>
      </w:pPr>
      <w:r>
        <w:rPr>
          <w:noProof/>
          <w:rtl/>
        </w:rPr>
        <w:t>ביאור הגר"א דמקור דברי הרמב"ם הם מהירושלמי בדין נזיר</w:t>
      </w:r>
    </w:p>
    <w:p w:rsidR="00906D8F" w:rsidRDefault="00906D8F" w:rsidP="00906D8F">
      <w:pPr>
        <w:pStyle w:val="aff2"/>
        <w:numPr>
          <w:ilvl w:val="0"/>
          <w:numId w:val="3"/>
        </w:numPr>
        <w:rPr>
          <w:rFonts w:eastAsiaTheme="minorEastAsia" w:cstheme="minorBidi"/>
          <w:sz w:val="22"/>
          <w:szCs w:val="22"/>
          <w:rtl/>
        </w:rPr>
      </w:pPr>
      <w:r>
        <w:rPr>
          <w:rtl/>
        </w:rPr>
        <w:t>דברי הגר"א דנחלקו הבבלי והירושלמי אי יליפינן ממשרת דטע"כ דאו' בכל האיסורים</w:t>
      </w:r>
    </w:p>
    <w:p w:rsidR="00906D8F" w:rsidRDefault="00906D8F" w:rsidP="00906D8F">
      <w:pPr>
        <w:pStyle w:val="aff2"/>
        <w:numPr>
          <w:ilvl w:val="0"/>
          <w:numId w:val="3"/>
        </w:numPr>
        <w:rPr>
          <w:rFonts w:eastAsiaTheme="minorEastAsia" w:cstheme="minorBidi"/>
          <w:sz w:val="22"/>
          <w:szCs w:val="22"/>
          <w:rtl/>
        </w:rPr>
      </w:pPr>
      <w:r>
        <w:rPr>
          <w:rtl/>
        </w:rPr>
        <w:t>דברי הגר"א דמבואר בירושלמי דנזיר חייב בטע"כ רק בכא"פ ואכל פרס שכלול בו כזית איסור</w:t>
      </w:r>
    </w:p>
    <w:p w:rsidR="00906D8F" w:rsidRDefault="00906D8F" w:rsidP="00906D8F">
      <w:pPr>
        <w:pStyle w:val="aff2"/>
        <w:numPr>
          <w:ilvl w:val="0"/>
          <w:numId w:val="3"/>
        </w:numPr>
        <w:rPr>
          <w:rFonts w:eastAsiaTheme="minorEastAsia" w:cstheme="minorBidi"/>
          <w:sz w:val="22"/>
          <w:szCs w:val="22"/>
          <w:rtl/>
        </w:rPr>
      </w:pPr>
      <w:r>
        <w:rPr>
          <w:rtl/>
        </w:rPr>
        <w:t>ביאור הגר"א ברמב"ם דלבבלי טע"כ בשאר האיסורים הוא כירושלמי בנזיר דטע"כ הוא רק בכא"פ</w:t>
      </w:r>
    </w:p>
    <w:p w:rsidR="00906D8F" w:rsidRDefault="00906D8F" w:rsidP="00906D8F">
      <w:pPr>
        <w:pStyle w:val="aff4"/>
        <w:rPr>
          <w:rFonts w:eastAsiaTheme="minorEastAsia" w:cstheme="minorBidi"/>
          <w:i/>
          <w:iCs/>
          <w:noProof/>
          <w:sz w:val="22"/>
          <w:szCs w:val="22"/>
          <w:rtl/>
        </w:rPr>
      </w:pPr>
      <w:r>
        <w:rPr>
          <w:noProof/>
          <w:rtl/>
        </w:rPr>
        <w:t>דברי הגר"א ברמב"ם בחילוק בין טע"כ בנזיר לתערובת חמץ</w:t>
      </w:r>
    </w:p>
    <w:p w:rsidR="00906D8F" w:rsidRDefault="00906D8F" w:rsidP="00906D8F">
      <w:pPr>
        <w:pStyle w:val="aff2"/>
        <w:numPr>
          <w:ilvl w:val="0"/>
          <w:numId w:val="3"/>
        </w:numPr>
        <w:rPr>
          <w:rFonts w:eastAsiaTheme="minorEastAsia" w:cstheme="minorBidi"/>
          <w:sz w:val="22"/>
          <w:szCs w:val="22"/>
          <w:rtl/>
        </w:rPr>
      </w:pPr>
      <w:r>
        <w:rPr>
          <w:rtl/>
        </w:rPr>
        <w:t>דברי הגר"א דמ"ש הרמב"ם דאין היתר מצטרף לאיסור כוונתו לומר דאין חיוב על כזית מהתערובת</w:t>
      </w:r>
    </w:p>
    <w:p w:rsidR="00906D8F" w:rsidRDefault="00906D8F" w:rsidP="00906D8F">
      <w:pPr>
        <w:pStyle w:val="aff2"/>
        <w:numPr>
          <w:ilvl w:val="0"/>
          <w:numId w:val="3"/>
        </w:numPr>
        <w:rPr>
          <w:rFonts w:eastAsiaTheme="minorEastAsia" w:cstheme="minorBidi"/>
          <w:sz w:val="22"/>
          <w:szCs w:val="22"/>
          <w:rtl/>
        </w:rPr>
      </w:pPr>
      <w:r>
        <w:rPr>
          <w:rtl/>
        </w:rPr>
        <w:t>דברי הגר"א ברמב"ם דתערובת חמץ דינו ככל האיסורים שיש בהם מלקות ואין כרת</w:t>
      </w:r>
    </w:p>
    <w:p w:rsidR="00906D8F" w:rsidRDefault="00906D8F" w:rsidP="00906D8F">
      <w:pPr>
        <w:pStyle w:val="aff2"/>
        <w:numPr>
          <w:ilvl w:val="0"/>
          <w:numId w:val="3"/>
        </w:numPr>
        <w:rPr>
          <w:rFonts w:eastAsiaTheme="minorEastAsia" w:cstheme="minorBidi"/>
          <w:sz w:val="22"/>
          <w:szCs w:val="22"/>
          <w:rtl/>
        </w:rPr>
      </w:pPr>
      <w:r>
        <w:rPr>
          <w:rtl/>
        </w:rPr>
        <w:t>ביאור הגר"א ברמב"ם דמכל מחמצת ילפינן לגוף איסור שנימוח וממשרת ילפינן לטעמו ולא ממשו</w:t>
      </w:r>
    </w:p>
    <w:p w:rsidR="00906D8F" w:rsidRDefault="00906D8F" w:rsidP="00906D8F">
      <w:pPr>
        <w:pStyle w:val="aff2"/>
        <w:numPr>
          <w:ilvl w:val="0"/>
          <w:numId w:val="3"/>
        </w:numPr>
        <w:rPr>
          <w:rFonts w:eastAsiaTheme="minorEastAsia" w:cstheme="minorBidi"/>
          <w:sz w:val="22"/>
          <w:szCs w:val="22"/>
          <w:rtl/>
        </w:rPr>
      </w:pPr>
      <w:r>
        <w:rPr>
          <w:rtl/>
        </w:rPr>
        <w:t>ביאור הגר"א ברמב"ם בנזיר דכתב דאין היתר מצטרף לאיסור בגוף האיסור ומשרת כשיש רק טעמו</w:t>
      </w:r>
    </w:p>
    <w:p w:rsidR="00906D8F" w:rsidRDefault="00906D8F" w:rsidP="00906D8F">
      <w:pPr>
        <w:pStyle w:val="aff4"/>
        <w:rPr>
          <w:rFonts w:eastAsiaTheme="minorEastAsia" w:cstheme="minorBidi"/>
          <w:i/>
          <w:iCs/>
          <w:noProof/>
          <w:sz w:val="22"/>
          <w:szCs w:val="22"/>
          <w:rtl/>
        </w:rPr>
      </w:pPr>
      <w:r>
        <w:rPr>
          <w:noProof/>
          <w:rtl/>
        </w:rPr>
        <w:t>ביאור הנחל"ד דטע"כ דאו' רק בכא"פ אף כשמעורב גוף האיסור</w:t>
      </w:r>
    </w:p>
    <w:p w:rsidR="00906D8F" w:rsidRDefault="00906D8F" w:rsidP="00906D8F">
      <w:pPr>
        <w:pStyle w:val="aff2"/>
        <w:numPr>
          <w:ilvl w:val="0"/>
          <w:numId w:val="3"/>
        </w:numPr>
        <w:rPr>
          <w:rFonts w:eastAsiaTheme="minorEastAsia" w:cstheme="minorBidi"/>
          <w:sz w:val="22"/>
          <w:szCs w:val="22"/>
          <w:rtl/>
        </w:rPr>
      </w:pPr>
      <w:r>
        <w:rPr>
          <w:rtl/>
        </w:rPr>
        <w:t>ביאור הנחל"ד ברמב"ם דטע"כ דאו' ואיסור שנימוח נקרא טעמו ולא ממשו</w:t>
      </w:r>
    </w:p>
    <w:p w:rsidR="00906D8F" w:rsidRDefault="00906D8F" w:rsidP="00906D8F">
      <w:pPr>
        <w:pStyle w:val="aff2"/>
        <w:numPr>
          <w:ilvl w:val="0"/>
          <w:numId w:val="3"/>
        </w:numPr>
        <w:rPr>
          <w:rFonts w:eastAsiaTheme="minorEastAsia" w:cstheme="minorBidi"/>
          <w:sz w:val="22"/>
          <w:szCs w:val="22"/>
          <w:rtl/>
        </w:rPr>
      </w:pPr>
      <w:r>
        <w:rPr>
          <w:rtl/>
        </w:rPr>
        <w:t>ביאור הנחל"ד ברמב"ם דריו"ח איירי רק בטעם בלא ממשות וטעמו וממשו היינו בכזית בכא"פ</w:t>
      </w:r>
    </w:p>
    <w:p w:rsidR="00906D8F" w:rsidRDefault="00906D8F" w:rsidP="00906D8F">
      <w:pPr>
        <w:pStyle w:val="aff2"/>
        <w:numPr>
          <w:ilvl w:val="0"/>
          <w:numId w:val="3"/>
        </w:numPr>
        <w:rPr>
          <w:rFonts w:eastAsiaTheme="minorEastAsia" w:cstheme="minorBidi"/>
          <w:sz w:val="22"/>
          <w:szCs w:val="22"/>
          <w:rtl/>
        </w:rPr>
      </w:pPr>
      <w:r>
        <w:rPr>
          <w:rtl/>
        </w:rPr>
        <w:t>דברי הנחל"ד דלהרמב"ם לעולם לא אמרינן נהפך ולכן חייב רק כשאכל כזית מהטעם עצמו</w:t>
      </w:r>
    </w:p>
    <w:p w:rsidR="00906D8F" w:rsidRDefault="00906D8F" w:rsidP="00906D8F">
      <w:pPr>
        <w:pStyle w:val="aff2"/>
        <w:numPr>
          <w:ilvl w:val="0"/>
          <w:numId w:val="3"/>
        </w:numPr>
        <w:rPr>
          <w:rFonts w:eastAsiaTheme="minorEastAsia" w:cstheme="minorBidi"/>
          <w:sz w:val="22"/>
          <w:szCs w:val="22"/>
          <w:rtl/>
        </w:rPr>
      </w:pPr>
      <w:r>
        <w:rPr>
          <w:rtl/>
        </w:rPr>
        <w:t>דברי הנחל"ד דבפחות מכא"פ אין דין חצי שיעור בתערובת דלא חזי לאיצטרופי אף בטעמו וממשו</w:t>
      </w:r>
    </w:p>
    <w:p w:rsidR="00906D8F" w:rsidRDefault="00906D8F" w:rsidP="00906D8F">
      <w:pPr>
        <w:pStyle w:val="aff2"/>
        <w:numPr>
          <w:ilvl w:val="0"/>
          <w:numId w:val="3"/>
        </w:numPr>
        <w:rPr>
          <w:rFonts w:eastAsiaTheme="minorEastAsia" w:cstheme="minorBidi"/>
          <w:sz w:val="22"/>
          <w:szCs w:val="22"/>
          <w:rtl/>
        </w:rPr>
      </w:pPr>
      <w:r>
        <w:rPr>
          <w:rtl/>
        </w:rPr>
        <w:t>דברי הנחל"ד אין חילוק בין טעמו וממשו לטעמו ולא ממשו וכל החילוק הוא רק בכזית בכא"פ</w:t>
      </w:r>
    </w:p>
    <w:p w:rsidR="00906D8F" w:rsidRDefault="00906D8F" w:rsidP="00906D8F">
      <w:pPr>
        <w:pStyle w:val="aff4"/>
        <w:rPr>
          <w:rFonts w:eastAsiaTheme="minorEastAsia" w:cstheme="minorBidi"/>
          <w:i/>
          <w:iCs/>
          <w:noProof/>
          <w:sz w:val="22"/>
          <w:szCs w:val="22"/>
          <w:rtl/>
        </w:rPr>
      </w:pPr>
      <w:r>
        <w:rPr>
          <w:noProof/>
          <w:rtl/>
        </w:rPr>
        <w:t>דברי הבני שמואל בדעת הרשב"א דלהרמב"ם טע"כ דאו'</w:t>
      </w:r>
    </w:p>
    <w:p w:rsidR="00906D8F" w:rsidRDefault="00906D8F" w:rsidP="00906D8F">
      <w:pPr>
        <w:pStyle w:val="aff2"/>
        <w:numPr>
          <w:ilvl w:val="0"/>
          <w:numId w:val="3"/>
        </w:numPr>
        <w:rPr>
          <w:rFonts w:eastAsiaTheme="minorEastAsia" w:cstheme="minorBidi"/>
          <w:sz w:val="22"/>
          <w:szCs w:val="22"/>
          <w:rtl/>
        </w:rPr>
      </w:pPr>
      <w:r>
        <w:rPr>
          <w:rtl/>
        </w:rPr>
        <w:t>דברי הפר"ח בשם הבני שמואל דהרשב"א ביאר בדעת הרמב"ם דטעם כעיקר דאו'</w:t>
      </w:r>
    </w:p>
    <w:p w:rsidR="00906D8F" w:rsidRDefault="00906D8F" w:rsidP="00906D8F">
      <w:pPr>
        <w:pStyle w:val="aff2"/>
        <w:numPr>
          <w:ilvl w:val="0"/>
          <w:numId w:val="3"/>
        </w:numPr>
        <w:rPr>
          <w:rFonts w:eastAsiaTheme="minorEastAsia" w:cstheme="minorBidi"/>
          <w:sz w:val="22"/>
          <w:szCs w:val="22"/>
          <w:rtl/>
        </w:rPr>
      </w:pPr>
      <w:r>
        <w:rPr>
          <w:rtl/>
        </w:rPr>
        <w:t>דחיית הפר"ח דכל דברי הרשב"א הם בטעמו וממשו אבל בטע"כ מוכח ברמב"ם דהוא דרבנן</w:t>
      </w:r>
    </w:p>
    <w:p w:rsidR="00906D8F" w:rsidRDefault="00906D8F" w:rsidP="00906D8F">
      <w:pPr>
        <w:pStyle w:val="2"/>
        <w:rPr>
          <w:rFonts w:eastAsiaTheme="minorEastAsia" w:cstheme="minorBidi"/>
          <w:i/>
          <w:iCs/>
          <w:noProof/>
          <w:sz w:val="22"/>
          <w:szCs w:val="22"/>
          <w:rtl/>
        </w:rPr>
      </w:pPr>
      <w:r>
        <w:rPr>
          <w:noProof/>
          <w:rtl/>
        </w:rPr>
        <w:t>דעת הסוברים דלהרמב"ם טע"כ דרבנן</w:t>
      </w:r>
    </w:p>
    <w:p w:rsidR="00906D8F" w:rsidRDefault="00906D8F" w:rsidP="00906D8F">
      <w:pPr>
        <w:pStyle w:val="aff4"/>
        <w:rPr>
          <w:rFonts w:eastAsiaTheme="minorEastAsia" w:cstheme="minorBidi"/>
          <w:i/>
          <w:iCs/>
          <w:noProof/>
          <w:sz w:val="22"/>
          <w:szCs w:val="22"/>
          <w:rtl/>
        </w:rPr>
      </w:pPr>
      <w:r>
        <w:rPr>
          <w:noProof/>
          <w:rtl/>
        </w:rPr>
        <w:t>דברי הרמב"ן דהרמב"ם ס"ל כרש"י דטעם כעיקר דרבנן</w:t>
      </w:r>
    </w:p>
    <w:p w:rsidR="00906D8F" w:rsidRDefault="00906D8F" w:rsidP="00906D8F">
      <w:pPr>
        <w:pStyle w:val="aff2"/>
        <w:numPr>
          <w:ilvl w:val="0"/>
          <w:numId w:val="3"/>
        </w:numPr>
        <w:rPr>
          <w:rFonts w:eastAsiaTheme="minorEastAsia" w:cstheme="minorBidi"/>
          <w:sz w:val="22"/>
          <w:szCs w:val="22"/>
          <w:rtl/>
        </w:rPr>
      </w:pPr>
      <w:r>
        <w:rPr>
          <w:rtl/>
        </w:rPr>
        <w:t>ביאור הרמב"ן ברמב"ם דטעמו וממשו ל"מ ביטול ברוב אבל בטעמו ולא ממשו טע"כ דרבנן</w:t>
      </w:r>
    </w:p>
    <w:p w:rsidR="00906D8F" w:rsidRDefault="00906D8F" w:rsidP="00906D8F">
      <w:pPr>
        <w:pStyle w:val="aff4"/>
        <w:rPr>
          <w:rFonts w:eastAsiaTheme="minorEastAsia" w:cstheme="minorBidi"/>
          <w:i/>
          <w:iCs/>
          <w:noProof/>
          <w:sz w:val="22"/>
          <w:szCs w:val="22"/>
          <w:rtl/>
        </w:rPr>
      </w:pPr>
      <w:r>
        <w:rPr>
          <w:noProof/>
          <w:rtl/>
        </w:rPr>
        <w:t>פלוגתת הב"י והב"ח אי הרמב"ם כרש"י בטע"כ בנימוח האיסור</w:t>
      </w:r>
    </w:p>
    <w:p w:rsidR="00906D8F" w:rsidRDefault="00906D8F" w:rsidP="00906D8F">
      <w:pPr>
        <w:pStyle w:val="aff2"/>
        <w:numPr>
          <w:ilvl w:val="0"/>
          <w:numId w:val="3"/>
        </w:numPr>
        <w:rPr>
          <w:rFonts w:eastAsiaTheme="minorEastAsia" w:cstheme="minorBidi"/>
          <w:sz w:val="22"/>
          <w:szCs w:val="22"/>
          <w:rtl/>
        </w:rPr>
      </w:pPr>
      <w:r>
        <w:rPr>
          <w:rtl/>
        </w:rPr>
        <w:t>דברי הב"י דכיון דלהרמב"ם לא אמרינן נהפך מוכח דס"ל כרש"י דטע"כ דרבנן</w:t>
      </w:r>
    </w:p>
    <w:p w:rsidR="00906D8F" w:rsidRDefault="00906D8F" w:rsidP="00906D8F">
      <w:pPr>
        <w:pStyle w:val="aff2"/>
        <w:numPr>
          <w:ilvl w:val="0"/>
          <w:numId w:val="3"/>
        </w:numPr>
        <w:rPr>
          <w:rFonts w:eastAsiaTheme="minorEastAsia" w:cstheme="minorBidi"/>
          <w:sz w:val="22"/>
          <w:szCs w:val="22"/>
          <w:rtl/>
        </w:rPr>
      </w:pPr>
      <w:r>
        <w:rPr>
          <w:rtl/>
        </w:rPr>
        <w:t>דחיית הב"ח והלח"מ והפר"ח דלהרמב"ם איסור שנימוח בכא"פ הוא דאו' ולרש"י דרבנן</w:t>
      </w:r>
    </w:p>
    <w:p w:rsidR="00906D8F" w:rsidRDefault="00906D8F" w:rsidP="00906D8F">
      <w:pPr>
        <w:pStyle w:val="aff2"/>
        <w:numPr>
          <w:ilvl w:val="0"/>
          <w:numId w:val="3"/>
        </w:numPr>
        <w:rPr>
          <w:rFonts w:eastAsiaTheme="minorEastAsia" w:cstheme="minorBidi"/>
          <w:sz w:val="22"/>
          <w:szCs w:val="22"/>
          <w:rtl/>
        </w:rPr>
      </w:pPr>
      <w:r>
        <w:rPr>
          <w:rtl/>
        </w:rPr>
        <w:t>דברי הב"ח דהרמב"ם ס"ל כרש"י דטע"כ דרבנן וס"ל כר"ת דאיסור שנימוח בכא"פ הוא טעמו וממשו</w:t>
      </w:r>
    </w:p>
    <w:p w:rsidR="00906D8F" w:rsidRDefault="00906D8F" w:rsidP="00906D8F">
      <w:pPr>
        <w:pStyle w:val="aff4"/>
        <w:rPr>
          <w:rFonts w:eastAsiaTheme="minorEastAsia" w:cstheme="minorBidi"/>
          <w:i/>
          <w:iCs/>
          <w:noProof/>
          <w:sz w:val="22"/>
          <w:szCs w:val="22"/>
          <w:rtl/>
        </w:rPr>
      </w:pPr>
      <w:r>
        <w:rPr>
          <w:noProof/>
          <w:rtl/>
        </w:rPr>
        <w:t>ביאור הפר"ח דבפחות מכא"פ אף בנימוח גוף האיסור הוא דרבנן</w:t>
      </w:r>
    </w:p>
    <w:p w:rsidR="00906D8F" w:rsidRDefault="00906D8F" w:rsidP="00906D8F">
      <w:pPr>
        <w:pStyle w:val="aff2"/>
        <w:numPr>
          <w:ilvl w:val="0"/>
          <w:numId w:val="3"/>
        </w:numPr>
        <w:rPr>
          <w:rFonts w:eastAsiaTheme="minorEastAsia" w:cstheme="minorBidi"/>
          <w:sz w:val="22"/>
          <w:szCs w:val="22"/>
          <w:rtl/>
        </w:rPr>
      </w:pPr>
      <w:r>
        <w:rPr>
          <w:rtl/>
        </w:rPr>
        <w:t>דברי הפר"ח דהרמב"ם כרש"י דטע"כ דרבנן אך בדברי ריו"ח ביאר כרבינו חיים דכא"פ הוא ממשו</w:t>
      </w:r>
    </w:p>
    <w:p w:rsidR="00906D8F" w:rsidRDefault="00906D8F" w:rsidP="00906D8F">
      <w:pPr>
        <w:pStyle w:val="aff2"/>
        <w:numPr>
          <w:ilvl w:val="0"/>
          <w:numId w:val="3"/>
        </w:numPr>
        <w:rPr>
          <w:rFonts w:eastAsiaTheme="minorEastAsia" w:cstheme="minorBidi"/>
          <w:sz w:val="22"/>
          <w:szCs w:val="22"/>
          <w:rtl/>
        </w:rPr>
      </w:pPr>
      <w:r>
        <w:rPr>
          <w:rtl/>
        </w:rPr>
        <w:t>דברי הפר"ח דלרבינו חיים בכא"פ אמרינן נהפך ולהרמב"ם אין דין נהפך ולוקה רק בכזית מהאיסור</w:t>
      </w:r>
    </w:p>
    <w:p w:rsidR="00906D8F" w:rsidRDefault="00906D8F" w:rsidP="00906D8F">
      <w:pPr>
        <w:pStyle w:val="aff2"/>
        <w:numPr>
          <w:ilvl w:val="0"/>
          <w:numId w:val="3"/>
        </w:numPr>
        <w:rPr>
          <w:rFonts w:eastAsiaTheme="minorEastAsia" w:cstheme="minorBidi"/>
          <w:sz w:val="22"/>
          <w:szCs w:val="22"/>
          <w:rtl/>
        </w:rPr>
      </w:pPr>
      <w:r>
        <w:rPr>
          <w:rtl/>
        </w:rPr>
        <w:t>דברי הפר"ח דבפחות מכא"פ אף שהאיסור בעין ונותן טעם אינו אסור מדאו' כיון שאינו ניכר</w:t>
      </w:r>
    </w:p>
    <w:p w:rsidR="00906D8F" w:rsidRDefault="00906D8F" w:rsidP="00906D8F">
      <w:pPr>
        <w:pStyle w:val="aff2"/>
        <w:numPr>
          <w:ilvl w:val="0"/>
          <w:numId w:val="3"/>
        </w:numPr>
        <w:rPr>
          <w:rFonts w:eastAsiaTheme="minorEastAsia" w:cstheme="minorBidi"/>
          <w:sz w:val="22"/>
          <w:szCs w:val="22"/>
          <w:rtl/>
        </w:rPr>
      </w:pPr>
      <w:r>
        <w:rPr>
          <w:rtl/>
        </w:rPr>
        <w:t>דברי הפר"ח דבפחות מכזית בכא"פ בתערובת אין דין חצי שיעור דאו'</w:t>
      </w:r>
    </w:p>
    <w:p w:rsidR="00906D8F" w:rsidRDefault="00906D8F" w:rsidP="00906D8F">
      <w:pPr>
        <w:pStyle w:val="aff4"/>
        <w:rPr>
          <w:noProof/>
          <w:rtl/>
        </w:rPr>
      </w:pPr>
      <w:r>
        <w:rPr>
          <w:noProof/>
          <w:rtl/>
        </w:rPr>
        <w:t>דברי המנחת כהן</w:t>
      </w:r>
      <w:r>
        <w:rPr>
          <w:rFonts w:hint="cs"/>
          <w:noProof/>
          <w:rtl/>
        </w:rPr>
        <w:t xml:space="preserve"> דבאכל פחות מכא"פ אין דין חצי שיעור</w:t>
      </w:r>
    </w:p>
    <w:p w:rsidR="00906D8F" w:rsidRDefault="00906D8F" w:rsidP="00906D8F">
      <w:pPr>
        <w:pStyle w:val="aff2"/>
        <w:numPr>
          <w:ilvl w:val="0"/>
          <w:numId w:val="3"/>
        </w:numPr>
        <w:rPr>
          <w:rFonts w:eastAsiaTheme="minorEastAsia" w:cstheme="minorBidi"/>
          <w:sz w:val="22"/>
          <w:szCs w:val="22"/>
          <w:rtl/>
        </w:rPr>
      </w:pPr>
      <w:r>
        <w:rPr>
          <w:rtl/>
        </w:rPr>
        <w:t>דברי המנחת כהן ברמב"ם דבכזית בכא"פ ואכל פרס אף בנימוח טע"כ דאו' אף לדעת רבא</w:t>
      </w:r>
    </w:p>
    <w:p w:rsidR="00906D8F" w:rsidRDefault="00906D8F" w:rsidP="00906D8F">
      <w:pPr>
        <w:pStyle w:val="aff2"/>
        <w:numPr>
          <w:ilvl w:val="0"/>
          <w:numId w:val="3"/>
        </w:numPr>
        <w:rPr>
          <w:rFonts w:eastAsiaTheme="minorEastAsia" w:cstheme="minorBidi"/>
          <w:sz w:val="22"/>
          <w:szCs w:val="22"/>
          <w:rtl/>
        </w:rPr>
      </w:pPr>
      <w:r>
        <w:rPr>
          <w:rtl/>
        </w:rPr>
        <w:t>דברי המנחת כהן דבאכל פחות מכא"פ או כשיש רק טעם פסק הרמב"ם כרבא דטע"כ דרבנן</w:t>
      </w:r>
    </w:p>
    <w:p w:rsidR="00906D8F" w:rsidRDefault="00906D8F" w:rsidP="00906D8F">
      <w:pPr>
        <w:pStyle w:val="aff2"/>
        <w:numPr>
          <w:ilvl w:val="0"/>
          <w:numId w:val="3"/>
        </w:numPr>
        <w:rPr>
          <w:rFonts w:eastAsiaTheme="minorEastAsia" w:cstheme="minorBidi"/>
          <w:sz w:val="22"/>
          <w:szCs w:val="22"/>
          <w:rtl/>
        </w:rPr>
      </w:pPr>
      <w:r>
        <w:rPr>
          <w:rtl/>
        </w:rPr>
        <w:t>קושית המנחת כהן דבעיסת אורז היאך יוצא יד"ח בפחות מכזית בכא"פ הא טע"כ דרבנן</w:t>
      </w:r>
    </w:p>
    <w:p w:rsidR="00906D8F" w:rsidRDefault="00906D8F" w:rsidP="00906D8F">
      <w:pPr>
        <w:pStyle w:val="aff2"/>
        <w:numPr>
          <w:ilvl w:val="0"/>
          <w:numId w:val="3"/>
        </w:numPr>
        <w:rPr>
          <w:rFonts w:eastAsiaTheme="minorEastAsia" w:cstheme="minorBidi"/>
          <w:sz w:val="22"/>
          <w:szCs w:val="22"/>
          <w:rtl/>
        </w:rPr>
      </w:pPr>
      <w:r>
        <w:rPr>
          <w:rtl/>
        </w:rPr>
        <w:t>דבי המנחת כהן דצ"ל דס"ל להרמב"ם כביאור המ"מ דעיסת אורז היא מדין גרירה</w:t>
      </w:r>
    </w:p>
    <w:p w:rsidR="00906D8F" w:rsidRDefault="00906D8F" w:rsidP="00906D8F">
      <w:pPr>
        <w:pStyle w:val="aff2"/>
        <w:numPr>
          <w:ilvl w:val="0"/>
          <w:numId w:val="3"/>
        </w:numPr>
        <w:rPr>
          <w:rFonts w:eastAsiaTheme="minorEastAsia" w:cstheme="minorBidi"/>
          <w:sz w:val="22"/>
          <w:szCs w:val="22"/>
          <w:rtl/>
        </w:rPr>
      </w:pPr>
      <w:r>
        <w:rPr>
          <w:rtl/>
        </w:rPr>
        <w:t>דברי המנחת כהן דכשיש כזית בכא"פ ואכל פחות הוא דרבנן דבתערובת אין דין חצי שיעור דאו'</w:t>
      </w:r>
    </w:p>
    <w:p w:rsidR="00906D8F" w:rsidRDefault="00906D8F" w:rsidP="00906D8F">
      <w:pPr>
        <w:pStyle w:val="aff2"/>
        <w:numPr>
          <w:ilvl w:val="0"/>
          <w:numId w:val="3"/>
        </w:numPr>
        <w:rPr>
          <w:rFonts w:eastAsiaTheme="minorEastAsia" w:cstheme="minorBidi"/>
          <w:sz w:val="22"/>
          <w:szCs w:val="22"/>
          <w:rtl/>
        </w:rPr>
      </w:pPr>
      <w:r>
        <w:rPr>
          <w:rtl/>
        </w:rPr>
        <w:t>דברי המנחת כהן דכשיש בתערובת כזית בכא"פ ולא אכל שיעור לא נעקר ממנה שם איסור</w:t>
      </w:r>
    </w:p>
    <w:p w:rsidR="00906D8F" w:rsidRDefault="00906D8F" w:rsidP="00906D8F">
      <w:pPr>
        <w:pStyle w:val="aff2"/>
        <w:numPr>
          <w:ilvl w:val="0"/>
          <w:numId w:val="3"/>
        </w:numPr>
        <w:rPr>
          <w:rFonts w:eastAsiaTheme="minorEastAsia" w:cstheme="minorBidi"/>
          <w:sz w:val="22"/>
          <w:szCs w:val="22"/>
          <w:rtl/>
        </w:rPr>
      </w:pPr>
      <w:r>
        <w:rPr>
          <w:rtl/>
        </w:rPr>
        <w:t>דברי הפרמ"ג דמדהשוה הרמב"ם את דין כא"פ ואכל פחות לדין פחות מכא"פ מוכח דשניהם דרבנן</w:t>
      </w:r>
    </w:p>
    <w:p w:rsidR="00906D8F" w:rsidRDefault="00906D8F" w:rsidP="00906D8F">
      <w:pPr>
        <w:pStyle w:val="aff4"/>
        <w:rPr>
          <w:rFonts w:eastAsiaTheme="minorEastAsia" w:cstheme="minorBidi"/>
          <w:i/>
          <w:iCs/>
          <w:noProof/>
          <w:sz w:val="22"/>
          <w:szCs w:val="22"/>
          <w:rtl/>
        </w:rPr>
      </w:pPr>
      <w:r>
        <w:rPr>
          <w:noProof/>
          <w:rtl/>
        </w:rPr>
        <w:t>דברי הרלב"ח והגרעק"א דכשיש כא"פ ואכל פחות אסור מדאו'</w:t>
      </w:r>
    </w:p>
    <w:p w:rsidR="00906D8F" w:rsidRDefault="00906D8F" w:rsidP="00906D8F">
      <w:pPr>
        <w:pStyle w:val="aff2"/>
        <w:numPr>
          <w:ilvl w:val="0"/>
          <w:numId w:val="3"/>
        </w:numPr>
        <w:rPr>
          <w:rFonts w:eastAsiaTheme="minorEastAsia" w:cstheme="minorBidi"/>
          <w:sz w:val="22"/>
          <w:szCs w:val="22"/>
          <w:rtl/>
        </w:rPr>
      </w:pPr>
      <w:r>
        <w:rPr>
          <w:rtl/>
        </w:rPr>
        <w:t>דברי הרלב"ח דבאיסור בעין נאמר חצי שיעור אבל בטעם לבדו הוא דרבנן ולא דאו'</w:t>
      </w:r>
    </w:p>
    <w:p w:rsidR="00906D8F" w:rsidRDefault="00906D8F" w:rsidP="00906D8F">
      <w:pPr>
        <w:pStyle w:val="aff2"/>
        <w:numPr>
          <w:ilvl w:val="0"/>
          <w:numId w:val="3"/>
        </w:numPr>
        <w:rPr>
          <w:rFonts w:eastAsiaTheme="minorEastAsia" w:cstheme="minorBidi"/>
          <w:sz w:val="22"/>
          <w:szCs w:val="22"/>
          <w:rtl/>
        </w:rPr>
      </w:pPr>
      <w:r>
        <w:rPr>
          <w:rtl/>
        </w:rPr>
        <w:t>דברי הגרעק"א דטעמו וממשו בכא"פ דאין האיסור מתבטל ובאכל פחות אסור מדין חצי שיעור</w:t>
      </w:r>
    </w:p>
    <w:p w:rsidR="00906D8F" w:rsidRDefault="00906D8F" w:rsidP="00906D8F">
      <w:pPr>
        <w:pStyle w:val="aff2"/>
        <w:numPr>
          <w:ilvl w:val="0"/>
          <w:numId w:val="3"/>
        </w:numPr>
        <w:rPr>
          <w:rFonts w:eastAsiaTheme="minorEastAsia" w:cstheme="minorBidi"/>
          <w:sz w:val="22"/>
          <w:szCs w:val="22"/>
          <w:rtl/>
        </w:rPr>
      </w:pPr>
      <w:r>
        <w:rPr>
          <w:rtl/>
        </w:rPr>
        <w:t>דברי הגרעק"א דבפחות מכא"פ בתערובת הוא טעמו ולא ממשו דאסור מדרבנן</w:t>
      </w:r>
    </w:p>
    <w:p w:rsidR="00906D8F" w:rsidRDefault="00906D8F" w:rsidP="00906D8F">
      <w:pPr>
        <w:pStyle w:val="aff2"/>
        <w:numPr>
          <w:ilvl w:val="0"/>
          <w:numId w:val="3"/>
        </w:numPr>
        <w:rPr>
          <w:rFonts w:eastAsiaTheme="minorEastAsia" w:cstheme="minorBidi"/>
          <w:sz w:val="22"/>
          <w:szCs w:val="22"/>
          <w:rtl/>
        </w:rPr>
      </w:pPr>
      <w:r>
        <w:rPr>
          <w:rtl/>
        </w:rPr>
        <w:t>דברי הרלב"ח והגרעק"א דביש כזית בכא"פ ואכל פחות אסור מדאו' ובאין כא"פ אסור מדרבנן</w:t>
      </w:r>
    </w:p>
    <w:p w:rsidR="00906D8F" w:rsidRDefault="00906D8F" w:rsidP="00906D8F">
      <w:pPr>
        <w:pStyle w:val="aff2"/>
        <w:numPr>
          <w:ilvl w:val="0"/>
          <w:numId w:val="3"/>
        </w:numPr>
        <w:rPr>
          <w:rFonts w:eastAsiaTheme="minorEastAsia" w:cstheme="minorBidi"/>
          <w:sz w:val="22"/>
          <w:szCs w:val="22"/>
          <w:rtl/>
        </w:rPr>
      </w:pPr>
      <w:r>
        <w:rPr>
          <w:rtl/>
        </w:rPr>
        <w:t>קושית הרלב"ח דבדין כותח משמע ברמב"ם דאף בפחות מכא"פ אסור מדאו'</w:t>
      </w:r>
    </w:p>
    <w:p w:rsidR="00906D8F" w:rsidRDefault="00906D8F" w:rsidP="00906D8F">
      <w:pPr>
        <w:pStyle w:val="aff2"/>
        <w:numPr>
          <w:ilvl w:val="0"/>
          <w:numId w:val="3"/>
        </w:numPr>
        <w:rPr>
          <w:rFonts w:eastAsiaTheme="minorEastAsia" w:cstheme="minorBidi"/>
          <w:sz w:val="22"/>
          <w:szCs w:val="22"/>
          <w:rtl/>
        </w:rPr>
      </w:pPr>
      <w:r>
        <w:rPr>
          <w:rtl/>
        </w:rPr>
        <w:t>ביאור הרלב"ח דבתערובת חמץ יש ריבוי דאסור מדאו' אף בפחות מכא"פ ולא בשאר איסורים</w:t>
      </w:r>
    </w:p>
    <w:p w:rsidR="00906D8F" w:rsidRDefault="00906D8F" w:rsidP="00906D8F">
      <w:pPr>
        <w:pStyle w:val="aff4"/>
        <w:rPr>
          <w:rFonts w:eastAsiaTheme="minorEastAsia" w:cstheme="minorBidi"/>
          <w:i/>
          <w:iCs/>
          <w:noProof/>
          <w:sz w:val="22"/>
          <w:szCs w:val="22"/>
          <w:rtl/>
        </w:rPr>
      </w:pPr>
      <w:r>
        <w:rPr>
          <w:noProof/>
          <w:rtl/>
        </w:rPr>
        <w:t>ביאור הפרמ"ג ברמב"ם בדין פחות מכא"פ מדאו' ומדרבנן</w:t>
      </w:r>
    </w:p>
    <w:p w:rsidR="00906D8F" w:rsidRDefault="00906D8F" w:rsidP="00906D8F">
      <w:pPr>
        <w:pStyle w:val="aff2"/>
        <w:numPr>
          <w:ilvl w:val="0"/>
          <w:numId w:val="3"/>
        </w:numPr>
        <w:rPr>
          <w:rFonts w:eastAsiaTheme="minorEastAsia" w:cstheme="minorBidi"/>
          <w:sz w:val="22"/>
          <w:szCs w:val="22"/>
          <w:rtl/>
        </w:rPr>
      </w:pPr>
      <w:r>
        <w:rPr>
          <w:rtl/>
        </w:rPr>
        <w:t>דברי הפרמ"ג דנחלקו המנחת כהן והרלב"ח אי ביש בתערובת כא"פ ואכל פחות הוא דאו' או דרבנן</w:t>
      </w:r>
    </w:p>
    <w:p w:rsidR="00906D8F" w:rsidRDefault="00906D8F" w:rsidP="00906D8F">
      <w:pPr>
        <w:pStyle w:val="aff2"/>
        <w:numPr>
          <w:ilvl w:val="0"/>
          <w:numId w:val="3"/>
        </w:numPr>
        <w:rPr>
          <w:rFonts w:eastAsiaTheme="minorEastAsia" w:cstheme="minorBidi"/>
          <w:sz w:val="22"/>
          <w:szCs w:val="22"/>
          <w:rtl/>
        </w:rPr>
      </w:pPr>
      <w:r>
        <w:rPr>
          <w:rtl/>
        </w:rPr>
        <w:t>דחיית הפרמ"ג לראיה שהביא המנחת כהן מדברי הרמב"ם בכותח ובנזיר</w:t>
      </w:r>
    </w:p>
    <w:p w:rsidR="00906D8F" w:rsidRDefault="00906D8F" w:rsidP="00906D8F">
      <w:pPr>
        <w:pStyle w:val="aff2"/>
        <w:numPr>
          <w:ilvl w:val="0"/>
          <w:numId w:val="3"/>
        </w:numPr>
        <w:rPr>
          <w:rFonts w:eastAsiaTheme="minorEastAsia" w:cstheme="minorBidi"/>
          <w:sz w:val="22"/>
          <w:szCs w:val="22"/>
          <w:rtl/>
        </w:rPr>
      </w:pPr>
      <w:r>
        <w:rPr>
          <w:rtl/>
        </w:rPr>
        <w:t>דברי הפרמ"ג דמדכתב הרמב"ם דנמצא דטעמו וממשו אסור מדאו' משמע דאף חצי שיעור מדאו'</w:t>
      </w:r>
    </w:p>
    <w:p w:rsidR="00906D8F" w:rsidRDefault="00906D8F" w:rsidP="00906D8F">
      <w:pPr>
        <w:pStyle w:val="aff4"/>
        <w:rPr>
          <w:rFonts w:eastAsiaTheme="minorEastAsia" w:cstheme="minorBidi"/>
          <w:i/>
          <w:iCs/>
          <w:noProof/>
          <w:sz w:val="22"/>
          <w:szCs w:val="22"/>
          <w:rtl/>
        </w:rPr>
      </w:pPr>
      <w:r>
        <w:rPr>
          <w:noProof/>
          <w:rtl/>
        </w:rPr>
        <w:t>ביאור הפרמ"ג בהא דמוכח ברמב"ם דטע"כ דרבנן</w:t>
      </w:r>
    </w:p>
    <w:p w:rsidR="00906D8F" w:rsidRDefault="00906D8F" w:rsidP="00906D8F">
      <w:pPr>
        <w:pStyle w:val="aff2"/>
        <w:numPr>
          <w:ilvl w:val="0"/>
          <w:numId w:val="3"/>
        </w:numPr>
        <w:rPr>
          <w:rFonts w:eastAsiaTheme="minorEastAsia" w:cstheme="minorBidi"/>
          <w:sz w:val="22"/>
          <w:szCs w:val="22"/>
          <w:rtl/>
        </w:rPr>
      </w:pPr>
      <w:r>
        <w:rPr>
          <w:rtl/>
        </w:rPr>
        <w:lastRenderedPageBreak/>
        <w:t>דברי הפרמ"ג דבטעמו ולא ממשו פסק הרמב"ם כרבא דטע"כ כרבנן ודלא כאביי</w:t>
      </w:r>
    </w:p>
    <w:p w:rsidR="00906D8F" w:rsidRDefault="00906D8F" w:rsidP="00906D8F">
      <w:pPr>
        <w:pStyle w:val="aff2"/>
        <w:numPr>
          <w:ilvl w:val="0"/>
          <w:numId w:val="3"/>
        </w:numPr>
        <w:rPr>
          <w:rFonts w:eastAsiaTheme="minorEastAsia" w:cstheme="minorBidi"/>
          <w:sz w:val="22"/>
          <w:szCs w:val="22"/>
          <w:rtl/>
        </w:rPr>
      </w:pPr>
      <w:r>
        <w:rPr>
          <w:rtl/>
        </w:rPr>
        <w:t>קושית הפרמ"ג דאפש"ל דלהרמב"ם טע"כ דאו' ואין לוקין עליו דהוא ילפותא ולכן כתב דהוא ד"ס</w:t>
      </w:r>
    </w:p>
    <w:p w:rsidR="00906D8F" w:rsidRDefault="00906D8F" w:rsidP="00906D8F">
      <w:pPr>
        <w:pStyle w:val="aff2"/>
        <w:numPr>
          <w:ilvl w:val="0"/>
          <w:numId w:val="3"/>
        </w:numPr>
        <w:rPr>
          <w:rFonts w:eastAsiaTheme="minorEastAsia" w:cstheme="minorBidi"/>
          <w:sz w:val="22"/>
          <w:szCs w:val="22"/>
          <w:rtl/>
        </w:rPr>
      </w:pPr>
      <w:r>
        <w:rPr>
          <w:rtl/>
        </w:rPr>
        <w:t>דברי הפרמ"ג דמ"מ משמעות דברי הרמב"ם דבטעמו וממשו דאו' ובטעמו ולא ממשו דרבנן</w:t>
      </w:r>
    </w:p>
    <w:p w:rsidR="00906D8F" w:rsidRDefault="00906D8F" w:rsidP="00906D8F">
      <w:pPr>
        <w:pStyle w:val="aff4"/>
        <w:rPr>
          <w:rFonts w:eastAsiaTheme="minorEastAsia" w:cstheme="minorBidi"/>
          <w:i/>
          <w:iCs/>
          <w:noProof/>
          <w:sz w:val="22"/>
          <w:szCs w:val="22"/>
          <w:rtl/>
        </w:rPr>
      </w:pPr>
      <w:r>
        <w:rPr>
          <w:noProof/>
          <w:rtl/>
        </w:rPr>
        <w:t>דברי החזו"א ברמב"ם דטע"כ דרבנן ואיסור מחוי חשיב ממשו</w:t>
      </w:r>
    </w:p>
    <w:p w:rsidR="00906D8F" w:rsidRDefault="00906D8F" w:rsidP="00906D8F">
      <w:pPr>
        <w:pStyle w:val="aff2"/>
        <w:numPr>
          <w:ilvl w:val="0"/>
          <w:numId w:val="3"/>
        </w:numPr>
        <w:rPr>
          <w:rFonts w:eastAsiaTheme="minorEastAsia" w:cstheme="minorBidi"/>
          <w:sz w:val="22"/>
          <w:szCs w:val="22"/>
          <w:rtl/>
        </w:rPr>
      </w:pPr>
      <w:r>
        <w:rPr>
          <w:rtl/>
        </w:rPr>
        <w:t>דברי החזו"א דלרמב"ם טע"כ דרבנן ואיסור מחוי שאינו ניכר ואפש"ל דנקרא ממשו</w:t>
      </w:r>
    </w:p>
    <w:p w:rsidR="00906D8F" w:rsidRDefault="00906D8F" w:rsidP="00906D8F">
      <w:pPr>
        <w:pStyle w:val="2"/>
        <w:rPr>
          <w:rFonts w:eastAsiaTheme="minorEastAsia" w:cstheme="minorBidi"/>
          <w:i/>
          <w:iCs/>
          <w:noProof/>
          <w:sz w:val="22"/>
          <w:szCs w:val="22"/>
          <w:rtl/>
        </w:rPr>
      </w:pPr>
      <w:r>
        <w:rPr>
          <w:noProof/>
          <w:rtl/>
        </w:rPr>
        <w:t>בילפותא ממשרת להרמב"ם דטע"כ דרבנן</w:t>
      </w:r>
    </w:p>
    <w:p w:rsidR="00906D8F" w:rsidRDefault="00906D8F" w:rsidP="00906D8F">
      <w:pPr>
        <w:pStyle w:val="aff4"/>
        <w:rPr>
          <w:rFonts w:eastAsiaTheme="minorEastAsia" w:cstheme="minorBidi"/>
          <w:i/>
          <w:iCs/>
          <w:noProof/>
          <w:sz w:val="22"/>
          <w:szCs w:val="22"/>
          <w:rtl/>
        </w:rPr>
      </w:pPr>
      <w:r>
        <w:rPr>
          <w:noProof/>
          <w:rtl/>
        </w:rPr>
        <w:t>ביאור הפר"ח דלהרמב"ם בשרה ענבים במים אף בכא"פ דרבנן</w:t>
      </w:r>
    </w:p>
    <w:p w:rsidR="00906D8F" w:rsidRDefault="00906D8F" w:rsidP="00906D8F">
      <w:pPr>
        <w:pStyle w:val="aff2"/>
        <w:numPr>
          <w:ilvl w:val="0"/>
          <w:numId w:val="3"/>
        </w:numPr>
        <w:rPr>
          <w:rFonts w:eastAsiaTheme="minorEastAsia" w:cstheme="minorBidi"/>
          <w:sz w:val="22"/>
          <w:szCs w:val="22"/>
          <w:rtl/>
        </w:rPr>
      </w:pPr>
      <w:r>
        <w:rPr>
          <w:rtl/>
        </w:rPr>
        <w:t>דברי הפר"ח דהרמב"ם פסק כריו"ח דרק בגוף האיסור טע"כ דאו' אבל שרה ענבים במים הוא דרבנן</w:t>
      </w:r>
    </w:p>
    <w:p w:rsidR="00906D8F" w:rsidRDefault="00906D8F" w:rsidP="00906D8F">
      <w:pPr>
        <w:pStyle w:val="aff4"/>
        <w:rPr>
          <w:rFonts w:eastAsiaTheme="minorEastAsia" w:cstheme="minorBidi"/>
          <w:i/>
          <w:iCs/>
          <w:noProof/>
          <w:sz w:val="22"/>
          <w:szCs w:val="22"/>
          <w:rtl/>
        </w:rPr>
      </w:pPr>
      <w:r>
        <w:rPr>
          <w:noProof/>
          <w:rtl/>
        </w:rPr>
        <w:t>דברי הרדב"ז והלח"מ בביאור הילפותא ממשרת להרמב"ם</w:t>
      </w:r>
    </w:p>
    <w:p w:rsidR="00906D8F" w:rsidRDefault="00906D8F" w:rsidP="00906D8F">
      <w:pPr>
        <w:pStyle w:val="aff2"/>
        <w:numPr>
          <w:ilvl w:val="0"/>
          <w:numId w:val="3"/>
        </w:numPr>
        <w:rPr>
          <w:rFonts w:eastAsiaTheme="minorEastAsia" w:cstheme="minorBidi"/>
          <w:sz w:val="22"/>
          <w:szCs w:val="22"/>
          <w:rtl/>
        </w:rPr>
      </w:pPr>
      <w:r>
        <w:rPr>
          <w:rtl/>
        </w:rPr>
        <w:t>דברי הרדב"ז דלהרמב"ם ממשו הוא אף כשהאיסור לא בעין וטע"כ דרבנן ומשרת הוא אסמכתא</w:t>
      </w:r>
    </w:p>
    <w:p w:rsidR="00906D8F" w:rsidRDefault="00906D8F" w:rsidP="00906D8F">
      <w:pPr>
        <w:pStyle w:val="aff2"/>
        <w:numPr>
          <w:ilvl w:val="0"/>
          <w:numId w:val="3"/>
        </w:numPr>
        <w:rPr>
          <w:rFonts w:eastAsiaTheme="minorEastAsia" w:cstheme="minorBidi"/>
          <w:sz w:val="22"/>
          <w:szCs w:val="22"/>
          <w:rtl/>
        </w:rPr>
      </w:pPr>
      <w:r>
        <w:rPr>
          <w:rtl/>
        </w:rPr>
        <w:t>קושית הלח"מ דאי ס"ל להרמב"ם דטע"כ דרבנן היאך פסק בנזיר את הילפותא ממשרת</w:t>
      </w:r>
    </w:p>
    <w:p w:rsidR="00906D8F" w:rsidRDefault="00906D8F" w:rsidP="00906D8F">
      <w:pPr>
        <w:pStyle w:val="aff2"/>
        <w:numPr>
          <w:ilvl w:val="0"/>
          <w:numId w:val="3"/>
        </w:numPr>
        <w:rPr>
          <w:rFonts w:eastAsiaTheme="minorEastAsia" w:cstheme="minorBidi"/>
          <w:sz w:val="22"/>
          <w:szCs w:val="22"/>
          <w:rtl/>
        </w:rPr>
      </w:pPr>
      <w:r>
        <w:rPr>
          <w:rtl/>
        </w:rPr>
        <w:t>ביאור הלח"מ דלהרמב"ם הילפותא ממשרת היא לטעמו וממשו ודלא כר"ע ודלא כרבנן בפסחים</w:t>
      </w:r>
    </w:p>
    <w:p w:rsidR="00906D8F" w:rsidRDefault="00906D8F" w:rsidP="00906D8F">
      <w:pPr>
        <w:pStyle w:val="aff4"/>
        <w:rPr>
          <w:rFonts w:eastAsiaTheme="minorEastAsia" w:cstheme="minorBidi"/>
          <w:i/>
          <w:iCs/>
          <w:noProof/>
          <w:sz w:val="22"/>
          <w:szCs w:val="22"/>
          <w:rtl/>
        </w:rPr>
      </w:pPr>
      <w:r>
        <w:rPr>
          <w:noProof/>
          <w:rtl/>
        </w:rPr>
        <w:t>ביאור הגרעק"א דטעמו וממשו הוא רק כשגוף האיסור מעורב</w:t>
      </w:r>
    </w:p>
    <w:p w:rsidR="00906D8F" w:rsidRDefault="00906D8F" w:rsidP="00906D8F">
      <w:pPr>
        <w:pStyle w:val="aff2"/>
        <w:numPr>
          <w:ilvl w:val="0"/>
          <w:numId w:val="3"/>
        </w:numPr>
        <w:rPr>
          <w:rFonts w:eastAsiaTheme="minorEastAsia" w:cstheme="minorBidi"/>
          <w:sz w:val="22"/>
          <w:szCs w:val="22"/>
          <w:rtl/>
        </w:rPr>
      </w:pPr>
      <w:r>
        <w:rPr>
          <w:rtl/>
        </w:rPr>
        <w:t>דברי הגרעק"א דמבואר ברמב"ם דבסילק את היאוסור אינו בכלל ממשו והוא טע"כ דרבנן</w:t>
      </w:r>
    </w:p>
    <w:p w:rsidR="00906D8F" w:rsidRDefault="00906D8F" w:rsidP="00906D8F">
      <w:pPr>
        <w:pStyle w:val="aff2"/>
        <w:numPr>
          <w:ilvl w:val="0"/>
          <w:numId w:val="3"/>
        </w:numPr>
        <w:rPr>
          <w:rFonts w:eastAsiaTheme="minorEastAsia" w:cstheme="minorBidi"/>
          <w:sz w:val="22"/>
          <w:szCs w:val="22"/>
          <w:rtl/>
        </w:rPr>
      </w:pPr>
      <w:r>
        <w:rPr>
          <w:rtl/>
        </w:rPr>
        <w:t>דברי הגרעק"א דללח"מ ברמב"ם רק כשגוף האיסור נשאר בתעורבת הוא דאו' אבל בטעמו דרבנן</w:t>
      </w:r>
    </w:p>
    <w:p w:rsidR="00906D8F" w:rsidRDefault="00906D8F" w:rsidP="00906D8F">
      <w:pPr>
        <w:pStyle w:val="aff4"/>
        <w:rPr>
          <w:rFonts w:eastAsiaTheme="minorEastAsia" w:cstheme="minorBidi"/>
          <w:i/>
          <w:iCs/>
          <w:noProof/>
          <w:sz w:val="22"/>
          <w:szCs w:val="22"/>
          <w:rtl/>
        </w:rPr>
      </w:pPr>
      <w:r>
        <w:rPr>
          <w:noProof/>
          <w:rtl/>
        </w:rPr>
        <w:t>ביאור הגרעק"א דבטעם לבדו כשרה ענבים במים הוא דרבנן</w:t>
      </w:r>
    </w:p>
    <w:p w:rsidR="00906D8F" w:rsidRDefault="00906D8F" w:rsidP="00906D8F">
      <w:pPr>
        <w:pStyle w:val="aff2"/>
        <w:numPr>
          <w:ilvl w:val="0"/>
          <w:numId w:val="3"/>
        </w:numPr>
        <w:rPr>
          <w:rFonts w:eastAsiaTheme="minorEastAsia" w:cstheme="minorBidi"/>
          <w:sz w:val="22"/>
          <w:szCs w:val="22"/>
          <w:rtl/>
        </w:rPr>
      </w:pPr>
      <w:r>
        <w:rPr>
          <w:rtl/>
        </w:rPr>
        <w:t>קושית הגרעק"א אמאי כתב הרמב"ם דמשרת לשרה פת ביין ולא לשרה ענבים במים כדאי' בגמ'</w:t>
      </w:r>
    </w:p>
    <w:p w:rsidR="00906D8F" w:rsidRDefault="00906D8F" w:rsidP="00906D8F">
      <w:pPr>
        <w:pStyle w:val="aff2"/>
        <w:numPr>
          <w:ilvl w:val="0"/>
          <w:numId w:val="3"/>
        </w:numPr>
        <w:rPr>
          <w:rFonts w:eastAsiaTheme="minorEastAsia" w:cstheme="minorBidi"/>
          <w:sz w:val="22"/>
          <w:szCs w:val="22"/>
          <w:rtl/>
        </w:rPr>
      </w:pPr>
      <w:r>
        <w:rPr>
          <w:rtl/>
        </w:rPr>
        <w:t>ביאור הגרעק"א ברמב"ם דבשרה ענבים במים שיש רק טעם אף ברביעית בכא"פ הוא דרבנן</w:t>
      </w:r>
    </w:p>
    <w:p w:rsidR="00906D8F" w:rsidRDefault="00906D8F" w:rsidP="00906D8F">
      <w:pPr>
        <w:pStyle w:val="2"/>
        <w:rPr>
          <w:rFonts w:eastAsiaTheme="minorEastAsia" w:cstheme="minorBidi"/>
          <w:i/>
          <w:iCs/>
          <w:noProof/>
          <w:sz w:val="22"/>
          <w:szCs w:val="22"/>
          <w:rtl/>
        </w:rPr>
      </w:pPr>
      <w:r>
        <w:rPr>
          <w:noProof/>
          <w:rtl/>
        </w:rPr>
        <w:t>ביאורי ראשי הישיבות</w:t>
      </w:r>
    </w:p>
    <w:p w:rsidR="00906D8F" w:rsidRDefault="00906D8F" w:rsidP="00906D8F">
      <w:pPr>
        <w:pStyle w:val="2"/>
        <w:rPr>
          <w:rFonts w:eastAsiaTheme="minorEastAsia" w:cstheme="minorBidi"/>
          <w:i/>
          <w:iCs/>
          <w:noProof/>
          <w:sz w:val="22"/>
          <w:szCs w:val="22"/>
          <w:rtl/>
        </w:rPr>
      </w:pPr>
      <w:r>
        <w:rPr>
          <w:noProof/>
          <w:rtl/>
        </w:rPr>
        <w:t>ביאור הגר"ח בדעת הרמב"ם</w:t>
      </w:r>
    </w:p>
    <w:p w:rsidR="00906D8F" w:rsidRDefault="00906D8F" w:rsidP="00906D8F">
      <w:pPr>
        <w:pStyle w:val="aff4"/>
        <w:rPr>
          <w:rFonts w:eastAsiaTheme="minorEastAsia" w:cstheme="minorBidi"/>
          <w:i/>
          <w:iCs/>
          <w:noProof/>
          <w:sz w:val="22"/>
          <w:szCs w:val="22"/>
          <w:rtl/>
        </w:rPr>
      </w:pPr>
      <w:r>
        <w:rPr>
          <w:noProof/>
          <w:rtl/>
        </w:rPr>
        <w:t>ביאור הגר"ח דהרמב"ם והראב"ד פליגי אי פחות מכא"פ מדאו'</w:t>
      </w:r>
    </w:p>
    <w:p w:rsidR="00906D8F" w:rsidRDefault="00906D8F" w:rsidP="00906D8F">
      <w:pPr>
        <w:pStyle w:val="aff2"/>
        <w:numPr>
          <w:ilvl w:val="0"/>
          <w:numId w:val="3"/>
        </w:numPr>
        <w:rPr>
          <w:rFonts w:eastAsiaTheme="minorEastAsia" w:cstheme="minorBidi"/>
          <w:sz w:val="22"/>
          <w:szCs w:val="22"/>
          <w:rtl/>
        </w:rPr>
      </w:pPr>
      <w:r>
        <w:rPr>
          <w:rtl/>
        </w:rPr>
        <w:t>ביאור הגר"ח ברמב"ם דס"ל כרבינו אליהו דטע"כ דאו' בכזית בכא"פ ובפחות מכא"פ הוא דרבנן</w:t>
      </w:r>
    </w:p>
    <w:p w:rsidR="00906D8F" w:rsidRDefault="00906D8F" w:rsidP="00906D8F">
      <w:pPr>
        <w:pStyle w:val="aff2"/>
        <w:numPr>
          <w:ilvl w:val="0"/>
          <w:numId w:val="3"/>
        </w:numPr>
        <w:rPr>
          <w:rFonts w:eastAsiaTheme="minorEastAsia" w:cstheme="minorBidi"/>
          <w:sz w:val="22"/>
          <w:szCs w:val="22"/>
          <w:rtl/>
        </w:rPr>
      </w:pPr>
      <w:r>
        <w:rPr>
          <w:rtl/>
        </w:rPr>
        <w:t>ביאור הגר"ח בראב"ד דג"כ ס"ל כרבינו אליהו אך בפחות מכא"פ אסור מדאו' מדין חצי שיעור</w:t>
      </w:r>
    </w:p>
    <w:p w:rsidR="00906D8F" w:rsidRDefault="00906D8F" w:rsidP="00906D8F">
      <w:pPr>
        <w:pStyle w:val="aff4"/>
        <w:rPr>
          <w:rFonts w:eastAsiaTheme="minorEastAsia" w:cstheme="minorBidi"/>
          <w:i/>
          <w:iCs/>
          <w:noProof/>
          <w:sz w:val="22"/>
          <w:szCs w:val="22"/>
          <w:rtl/>
        </w:rPr>
      </w:pPr>
      <w:r>
        <w:rPr>
          <w:noProof/>
          <w:rtl/>
        </w:rPr>
        <w:t>ביאור הגר"ח בראב"ד דכא"פ הוא דין בשיעורים ולא בטע"כ</w:t>
      </w:r>
    </w:p>
    <w:p w:rsidR="00906D8F" w:rsidRDefault="00906D8F" w:rsidP="00906D8F">
      <w:pPr>
        <w:pStyle w:val="aff2"/>
        <w:numPr>
          <w:ilvl w:val="0"/>
          <w:numId w:val="3"/>
        </w:numPr>
        <w:rPr>
          <w:rFonts w:eastAsiaTheme="minorEastAsia" w:cstheme="minorBidi"/>
          <w:sz w:val="22"/>
          <w:szCs w:val="22"/>
          <w:rtl/>
        </w:rPr>
      </w:pPr>
      <w:r>
        <w:rPr>
          <w:rtl/>
        </w:rPr>
        <w:t>ביאור הגר"ח בראב"ד דדין כא"פ הוא שייך רק לענין שיעור חיוב ולא לטע"כ דלעולם הוא דאו'</w:t>
      </w:r>
    </w:p>
    <w:p w:rsidR="00906D8F" w:rsidRDefault="00906D8F" w:rsidP="00906D8F">
      <w:pPr>
        <w:pStyle w:val="aff4"/>
        <w:rPr>
          <w:rFonts w:eastAsiaTheme="minorEastAsia" w:cstheme="minorBidi"/>
          <w:i/>
          <w:iCs/>
          <w:noProof/>
          <w:sz w:val="22"/>
          <w:szCs w:val="22"/>
          <w:rtl/>
        </w:rPr>
      </w:pPr>
      <w:r>
        <w:rPr>
          <w:noProof/>
          <w:rtl/>
        </w:rPr>
        <w:t>ביאור הגר"ח ברמב"ם דבפחות מכא"פ אינו אכילה ואין טע"כ</w:t>
      </w:r>
    </w:p>
    <w:p w:rsidR="00906D8F" w:rsidRDefault="00906D8F" w:rsidP="00906D8F">
      <w:pPr>
        <w:pStyle w:val="aff2"/>
        <w:numPr>
          <w:ilvl w:val="0"/>
          <w:numId w:val="3"/>
        </w:numPr>
        <w:rPr>
          <w:rFonts w:eastAsiaTheme="minorEastAsia" w:cstheme="minorBidi"/>
          <w:sz w:val="22"/>
          <w:szCs w:val="22"/>
          <w:rtl/>
        </w:rPr>
      </w:pPr>
      <w:r>
        <w:rPr>
          <w:rtl/>
        </w:rPr>
        <w:t>ביאור הגר"ח ברמב"ם דילפינן ממשרת דיש חלות איסור בטע"כ וממילא אינו מתבטל ברוב</w:t>
      </w:r>
    </w:p>
    <w:p w:rsidR="00906D8F" w:rsidRDefault="00906D8F" w:rsidP="00EB4488">
      <w:pPr>
        <w:pStyle w:val="aff2"/>
        <w:numPr>
          <w:ilvl w:val="0"/>
          <w:numId w:val="3"/>
        </w:numPr>
        <w:rPr>
          <w:rFonts w:eastAsiaTheme="minorEastAsia" w:cstheme="minorBidi"/>
          <w:sz w:val="22"/>
          <w:szCs w:val="22"/>
          <w:rtl/>
        </w:rPr>
      </w:pPr>
      <w:r>
        <w:rPr>
          <w:rtl/>
        </w:rPr>
        <w:t xml:space="preserve">דברי הגר"ח דס"ל להרמב"ם דכל דין טע"כ נאמר רק לענין </w:t>
      </w:r>
      <w:r w:rsidR="00EB4488">
        <w:rPr>
          <w:rFonts w:hint="cs"/>
          <w:rtl/>
        </w:rPr>
        <w:t>דין</w:t>
      </w:r>
      <w:r>
        <w:rPr>
          <w:rtl/>
        </w:rPr>
        <w:t xml:space="preserve"> אכילה והוא תלוי בדין האוכל</w:t>
      </w:r>
    </w:p>
    <w:p w:rsidR="00906D8F" w:rsidRDefault="00906D8F" w:rsidP="00906D8F">
      <w:pPr>
        <w:pStyle w:val="aff2"/>
        <w:numPr>
          <w:ilvl w:val="0"/>
          <w:numId w:val="3"/>
        </w:numPr>
        <w:rPr>
          <w:rFonts w:eastAsiaTheme="minorEastAsia" w:cstheme="minorBidi"/>
          <w:sz w:val="22"/>
          <w:szCs w:val="22"/>
          <w:rtl/>
        </w:rPr>
      </w:pPr>
      <w:r>
        <w:rPr>
          <w:rtl/>
        </w:rPr>
        <w:t>ביאור הגר"ח ברמב"ם דבפחות מכא"פ חסר בשיעור אכילה וממילא לא נאמר בו דין טע"כ</w:t>
      </w:r>
    </w:p>
    <w:p w:rsidR="00906D8F" w:rsidRDefault="00906D8F" w:rsidP="00906D8F">
      <w:pPr>
        <w:pStyle w:val="aff2"/>
        <w:numPr>
          <w:ilvl w:val="0"/>
          <w:numId w:val="3"/>
        </w:numPr>
        <w:rPr>
          <w:rFonts w:eastAsiaTheme="minorEastAsia" w:cstheme="minorBidi"/>
          <w:sz w:val="22"/>
          <w:szCs w:val="22"/>
          <w:rtl/>
        </w:rPr>
      </w:pPr>
      <w:r>
        <w:rPr>
          <w:rtl/>
        </w:rPr>
        <w:t>ביאור הגר"ח בראב"ד דפחות מכא"פ הוא אוכל גמור ויש בו כא"פ רק חסר בשיעור חיובו</w:t>
      </w:r>
    </w:p>
    <w:p w:rsidR="00906D8F" w:rsidRDefault="00906D8F" w:rsidP="00906D8F">
      <w:pPr>
        <w:pStyle w:val="aff4"/>
        <w:rPr>
          <w:rFonts w:eastAsiaTheme="minorEastAsia" w:cstheme="minorBidi"/>
          <w:i/>
          <w:iCs/>
          <w:noProof/>
          <w:sz w:val="22"/>
          <w:szCs w:val="22"/>
          <w:rtl/>
        </w:rPr>
      </w:pPr>
      <w:r>
        <w:rPr>
          <w:noProof/>
          <w:rtl/>
        </w:rPr>
        <w:t>ביאור הגר"ח ברמב"ם דטע"כ תלוי רק בשיעור ולא במממשות</w:t>
      </w:r>
    </w:p>
    <w:p w:rsidR="00906D8F" w:rsidRDefault="00906D8F" w:rsidP="00906D8F">
      <w:pPr>
        <w:pStyle w:val="aff2"/>
        <w:numPr>
          <w:ilvl w:val="0"/>
          <w:numId w:val="3"/>
        </w:numPr>
        <w:rPr>
          <w:rFonts w:eastAsiaTheme="minorEastAsia" w:cstheme="minorBidi"/>
          <w:sz w:val="22"/>
          <w:szCs w:val="22"/>
          <w:rtl/>
        </w:rPr>
      </w:pPr>
      <w:r>
        <w:rPr>
          <w:rtl/>
        </w:rPr>
        <w:t>דברי הגר"ח דמ"ש הרמב"ם באופן הג' דבטעמו לבד הוא דרבנן זהו פשיטא</w:t>
      </w:r>
    </w:p>
    <w:p w:rsidR="00906D8F" w:rsidRDefault="00906D8F" w:rsidP="00906D8F">
      <w:pPr>
        <w:pStyle w:val="aff2"/>
        <w:numPr>
          <w:ilvl w:val="0"/>
          <w:numId w:val="3"/>
        </w:numPr>
        <w:rPr>
          <w:rFonts w:eastAsiaTheme="minorEastAsia" w:cstheme="minorBidi"/>
          <w:sz w:val="22"/>
          <w:szCs w:val="22"/>
          <w:rtl/>
        </w:rPr>
      </w:pPr>
      <w:r>
        <w:rPr>
          <w:rtl/>
        </w:rPr>
        <w:t>קושית הגר"ח דבכא"פ ואכל פחות מכא"פ אמאי כתב הרמב"ם דאינו ממשו הא הוא חצי שיעור</w:t>
      </w:r>
    </w:p>
    <w:p w:rsidR="00906D8F" w:rsidRDefault="00906D8F" w:rsidP="00906D8F">
      <w:pPr>
        <w:pStyle w:val="aff2"/>
        <w:numPr>
          <w:ilvl w:val="0"/>
          <w:numId w:val="3"/>
        </w:numPr>
        <w:rPr>
          <w:rFonts w:eastAsiaTheme="minorEastAsia" w:cstheme="minorBidi"/>
          <w:sz w:val="22"/>
          <w:szCs w:val="22"/>
          <w:rtl/>
        </w:rPr>
      </w:pPr>
      <w:r>
        <w:rPr>
          <w:rtl/>
        </w:rPr>
        <w:t>דברי הגר"ח דטעמו ולא ממשו תלוי רק בשיעור אכילה וכל שאכל פחות מהחיוב הוא דרבנן</w:t>
      </w:r>
    </w:p>
    <w:p w:rsidR="00906D8F" w:rsidRDefault="00906D8F" w:rsidP="00906D8F">
      <w:pPr>
        <w:pStyle w:val="aff2"/>
        <w:numPr>
          <w:ilvl w:val="0"/>
          <w:numId w:val="3"/>
        </w:numPr>
        <w:rPr>
          <w:rFonts w:eastAsiaTheme="minorEastAsia" w:cstheme="minorBidi"/>
          <w:sz w:val="22"/>
          <w:szCs w:val="22"/>
          <w:rtl/>
        </w:rPr>
      </w:pPr>
      <w:r>
        <w:rPr>
          <w:rtl/>
        </w:rPr>
        <w:t>דברי הגר"ח דלהרמב"ם אין חילוק בעצם נתינת הטעם בין ממשו לטעמו ותלוי רק בכא"פ</w:t>
      </w:r>
    </w:p>
    <w:p w:rsidR="00906D8F" w:rsidRDefault="00906D8F" w:rsidP="00906D8F">
      <w:pPr>
        <w:pStyle w:val="aff2"/>
        <w:numPr>
          <w:ilvl w:val="0"/>
          <w:numId w:val="3"/>
        </w:numPr>
        <w:rPr>
          <w:rFonts w:eastAsiaTheme="minorEastAsia" w:cstheme="minorBidi"/>
          <w:sz w:val="22"/>
          <w:szCs w:val="22"/>
          <w:rtl/>
        </w:rPr>
      </w:pPr>
      <w:r>
        <w:rPr>
          <w:rtl/>
        </w:rPr>
        <w:t>ביאור הגר"ח ברמב"ם דלמ"ד דהיתר מצטרף לאיסור יש שיעור אכילה בצירוף ההיתר ולוקין עליו</w:t>
      </w:r>
    </w:p>
    <w:p w:rsidR="00906D8F" w:rsidRDefault="00906D8F" w:rsidP="00906D8F">
      <w:pPr>
        <w:pStyle w:val="aff4"/>
        <w:rPr>
          <w:rFonts w:eastAsiaTheme="minorEastAsia" w:cstheme="minorBidi"/>
          <w:i/>
          <w:iCs/>
          <w:noProof/>
          <w:sz w:val="22"/>
          <w:szCs w:val="22"/>
          <w:rtl/>
        </w:rPr>
      </w:pPr>
      <w:r>
        <w:rPr>
          <w:noProof/>
          <w:rtl/>
        </w:rPr>
        <w:t>ביאור הגר"ח בעיסת אורז דיש שיעור אכילה לטע"כ ע"י גרירה</w:t>
      </w:r>
    </w:p>
    <w:p w:rsidR="00906D8F" w:rsidRDefault="00906D8F" w:rsidP="00906D8F">
      <w:pPr>
        <w:pStyle w:val="aff2"/>
        <w:numPr>
          <w:ilvl w:val="0"/>
          <w:numId w:val="3"/>
        </w:numPr>
        <w:rPr>
          <w:rFonts w:eastAsiaTheme="minorEastAsia" w:cstheme="minorBidi"/>
          <w:sz w:val="22"/>
          <w:szCs w:val="22"/>
          <w:rtl/>
        </w:rPr>
      </w:pPr>
      <w:r>
        <w:rPr>
          <w:rtl/>
        </w:rPr>
        <w:t>קושית הגר"ח דבעיסת אורז להרמב"ם יצא יד"ח מדין טע"כ אף בפחות מכא"פ והרי אין בו טע"כ</w:t>
      </w:r>
    </w:p>
    <w:p w:rsidR="00906D8F" w:rsidRDefault="00906D8F" w:rsidP="00906D8F">
      <w:pPr>
        <w:pStyle w:val="aff2"/>
        <w:numPr>
          <w:ilvl w:val="0"/>
          <w:numId w:val="3"/>
        </w:numPr>
        <w:rPr>
          <w:rFonts w:eastAsiaTheme="minorEastAsia" w:cstheme="minorBidi"/>
          <w:sz w:val="22"/>
          <w:szCs w:val="22"/>
          <w:rtl/>
        </w:rPr>
      </w:pPr>
      <w:r>
        <w:rPr>
          <w:rtl/>
        </w:rPr>
        <w:t>ביאור הגר"ח דמדין גרירה יש בעיסת האורז שיעור אכילה ולכן שייך בו טע"כ דאו'</w:t>
      </w:r>
    </w:p>
    <w:p w:rsidR="00906D8F" w:rsidRDefault="00906D8F" w:rsidP="00906D8F">
      <w:pPr>
        <w:pStyle w:val="aff2"/>
        <w:numPr>
          <w:ilvl w:val="0"/>
          <w:numId w:val="3"/>
        </w:numPr>
        <w:rPr>
          <w:rFonts w:eastAsiaTheme="minorEastAsia" w:cstheme="minorBidi"/>
          <w:sz w:val="22"/>
          <w:szCs w:val="22"/>
          <w:rtl/>
        </w:rPr>
      </w:pPr>
      <w:r>
        <w:rPr>
          <w:rtl/>
        </w:rPr>
        <w:t>דברי הגר"ח דבאכל פחות מכא"פ מדקיי"ל דאין היתר מצטרף לאיסור מוכח דהוא טעמו ולא ממשו</w:t>
      </w:r>
    </w:p>
    <w:p w:rsidR="00906D8F" w:rsidRDefault="00906D8F" w:rsidP="00906D8F">
      <w:pPr>
        <w:pStyle w:val="aff2"/>
        <w:numPr>
          <w:ilvl w:val="0"/>
          <w:numId w:val="3"/>
        </w:numPr>
        <w:rPr>
          <w:rFonts w:eastAsiaTheme="minorEastAsia" w:cstheme="minorBidi"/>
          <w:sz w:val="22"/>
          <w:szCs w:val="22"/>
          <w:rtl/>
        </w:rPr>
      </w:pPr>
      <w:r>
        <w:rPr>
          <w:rtl/>
        </w:rPr>
        <w:t>דברי הגר"ח דאף אכל פחות מכא"פ אינו חייב מדאו' כיון שאין בו טע"כ דחסר בשיעורו</w:t>
      </w:r>
    </w:p>
    <w:p w:rsidR="00906D8F" w:rsidRDefault="00906D8F" w:rsidP="00906D8F">
      <w:pPr>
        <w:pStyle w:val="aff2"/>
        <w:numPr>
          <w:ilvl w:val="0"/>
          <w:numId w:val="3"/>
        </w:numPr>
        <w:rPr>
          <w:rFonts w:eastAsiaTheme="minorEastAsia" w:cstheme="minorBidi"/>
          <w:sz w:val="22"/>
          <w:szCs w:val="22"/>
          <w:rtl/>
        </w:rPr>
      </w:pPr>
      <w:r>
        <w:rPr>
          <w:rtl/>
        </w:rPr>
        <w:t>דברי הגר"ח דבנזיר האופן שיש בתערובת פחות מכא"פ כלול בדין דאין היתר מצטרף לאיסור</w:t>
      </w:r>
    </w:p>
    <w:p w:rsidR="00906D8F" w:rsidRDefault="00906D8F" w:rsidP="00906D8F">
      <w:pPr>
        <w:pStyle w:val="aff4"/>
        <w:rPr>
          <w:rFonts w:eastAsiaTheme="minorEastAsia" w:cstheme="minorBidi"/>
          <w:i/>
          <w:iCs/>
          <w:noProof/>
          <w:sz w:val="22"/>
          <w:szCs w:val="22"/>
          <w:rtl/>
        </w:rPr>
      </w:pPr>
      <w:r>
        <w:rPr>
          <w:noProof/>
          <w:rtl/>
        </w:rPr>
        <w:t>דברי הגר"ח בפלוגתת הרמב"ם והראב"ד בכזית בפחות מכא"פ</w:t>
      </w:r>
    </w:p>
    <w:p w:rsidR="00906D8F" w:rsidRDefault="00906D8F" w:rsidP="00906D8F">
      <w:pPr>
        <w:pStyle w:val="aff2"/>
        <w:numPr>
          <w:ilvl w:val="0"/>
          <w:numId w:val="3"/>
        </w:numPr>
        <w:rPr>
          <w:rFonts w:eastAsiaTheme="minorEastAsia" w:cstheme="minorBidi"/>
          <w:sz w:val="22"/>
          <w:szCs w:val="22"/>
          <w:rtl/>
        </w:rPr>
      </w:pPr>
      <w:r>
        <w:rPr>
          <w:rtl/>
        </w:rPr>
        <w:t>דברי הגר"ח דפלוגתת הרמב"ם והראב"ד בנזיר בפחות מכא"פ תלוי בגדר חיוב טע"כ</w:t>
      </w:r>
    </w:p>
    <w:p w:rsidR="00906D8F" w:rsidRDefault="00906D8F" w:rsidP="00906D8F">
      <w:pPr>
        <w:pStyle w:val="2"/>
        <w:rPr>
          <w:rFonts w:eastAsiaTheme="minorEastAsia" w:cstheme="minorBidi"/>
          <w:i/>
          <w:iCs/>
          <w:noProof/>
          <w:sz w:val="22"/>
          <w:szCs w:val="22"/>
          <w:rtl/>
        </w:rPr>
      </w:pPr>
      <w:r>
        <w:rPr>
          <w:noProof/>
          <w:rtl/>
        </w:rPr>
        <w:t>דברי הגר"ח ברוב בטע"כ לרמב"ם ולראב"ד</w:t>
      </w:r>
    </w:p>
    <w:p w:rsidR="00906D8F" w:rsidRDefault="00906D8F" w:rsidP="00906D8F">
      <w:pPr>
        <w:pStyle w:val="aff4"/>
        <w:rPr>
          <w:rFonts w:eastAsiaTheme="minorEastAsia" w:cstheme="minorBidi"/>
          <w:i/>
          <w:iCs/>
          <w:noProof/>
          <w:sz w:val="22"/>
          <w:szCs w:val="22"/>
          <w:rtl/>
        </w:rPr>
      </w:pPr>
      <w:r>
        <w:rPr>
          <w:noProof/>
          <w:rtl/>
        </w:rPr>
        <w:t>ביאור הגר"ח בפלוגתת הרמב"ם והראב"ד בביטול ברוב בטע"כ</w:t>
      </w:r>
    </w:p>
    <w:p w:rsidR="00906D8F" w:rsidRDefault="00906D8F" w:rsidP="00906D8F">
      <w:pPr>
        <w:pStyle w:val="aff2"/>
        <w:numPr>
          <w:ilvl w:val="0"/>
          <w:numId w:val="3"/>
        </w:numPr>
        <w:rPr>
          <w:rFonts w:eastAsiaTheme="minorEastAsia" w:cstheme="minorBidi"/>
          <w:sz w:val="22"/>
          <w:szCs w:val="22"/>
          <w:rtl/>
        </w:rPr>
      </w:pPr>
      <w:r>
        <w:rPr>
          <w:rtl/>
        </w:rPr>
        <w:t>דברי הגר"ח דלהראב"ד פלוגתת ר"א ורבנן בחיוב כרת היא רק בפחות מכזית בכא"פ</w:t>
      </w:r>
    </w:p>
    <w:p w:rsidR="00906D8F" w:rsidRDefault="00906D8F" w:rsidP="00906D8F">
      <w:pPr>
        <w:pStyle w:val="aff2"/>
        <w:numPr>
          <w:ilvl w:val="0"/>
          <w:numId w:val="3"/>
        </w:numPr>
        <w:rPr>
          <w:rFonts w:eastAsiaTheme="minorEastAsia" w:cstheme="minorBidi"/>
          <w:sz w:val="22"/>
          <w:szCs w:val="22"/>
          <w:rtl/>
        </w:rPr>
      </w:pPr>
      <w:r>
        <w:rPr>
          <w:rtl/>
        </w:rPr>
        <w:t>דברי הגר"ח דהראב"ד לשיטתו דבכל האיסורים אין מלקות רק בפחות מכא"פ ורק בזה פליגי בחמץ</w:t>
      </w:r>
    </w:p>
    <w:p w:rsidR="00906D8F" w:rsidRDefault="00906D8F" w:rsidP="00906D8F">
      <w:pPr>
        <w:pStyle w:val="aff2"/>
        <w:numPr>
          <w:ilvl w:val="0"/>
          <w:numId w:val="3"/>
        </w:numPr>
        <w:rPr>
          <w:rFonts w:eastAsiaTheme="minorEastAsia" w:cstheme="minorBidi"/>
          <w:sz w:val="22"/>
          <w:szCs w:val="22"/>
          <w:rtl/>
        </w:rPr>
      </w:pPr>
      <w:r>
        <w:rPr>
          <w:rtl/>
        </w:rPr>
        <w:t>ביאור הגר"ח ברמב"ם דמדינא הטעם בטל ברוב ורק ע"י כל מחמצת אינו בטל ולכן אינו חמץ גמור</w:t>
      </w:r>
    </w:p>
    <w:p w:rsidR="00906D8F" w:rsidRDefault="00906D8F" w:rsidP="00906D8F">
      <w:pPr>
        <w:pStyle w:val="aff2"/>
        <w:numPr>
          <w:ilvl w:val="0"/>
          <w:numId w:val="3"/>
        </w:numPr>
        <w:rPr>
          <w:rFonts w:eastAsiaTheme="minorEastAsia" w:cstheme="minorBidi"/>
          <w:sz w:val="22"/>
          <w:szCs w:val="22"/>
          <w:rtl/>
        </w:rPr>
      </w:pPr>
      <w:r>
        <w:rPr>
          <w:rtl/>
        </w:rPr>
        <w:t>ביאור הגר"ח בראב"ד דבטעם לא מהני ביטול דהוא ניכר ואינו מדין ביטול ברוב</w:t>
      </w:r>
    </w:p>
    <w:p w:rsidR="00906D8F" w:rsidRDefault="00906D8F" w:rsidP="00906D8F">
      <w:pPr>
        <w:pStyle w:val="aff2"/>
        <w:numPr>
          <w:ilvl w:val="0"/>
          <w:numId w:val="3"/>
        </w:numPr>
        <w:rPr>
          <w:rFonts w:eastAsiaTheme="minorEastAsia" w:cstheme="minorBidi"/>
          <w:sz w:val="22"/>
          <w:szCs w:val="22"/>
          <w:rtl/>
        </w:rPr>
      </w:pPr>
      <w:r>
        <w:rPr>
          <w:rtl/>
        </w:rPr>
        <w:t>ביאור הגר"ח בראב"ד דטעם אינו מתבטל מדינא ובפחות מכא"פ ילפינן ממשרת דהטעם אסור</w:t>
      </w:r>
    </w:p>
    <w:p w:rsidR="00906D8F" w:rsidRDefault="00906D8F" w:rsidP="00906D8F">
      <w:pPr>
        <w:pStyle w:val="aff2"/>
        <w:numPr>
          <w:ilvl w:val="0"/>
          <w:numId w:val="3"/>
        </w:numPr>
        <w:rPr>
          <w:rFonts w:eastAsiaTheme="minorEastAsia" w:cstheme="minorBidi"/>
          <w:sz w:val="22"/>
          <w:szCs w:val="22"/>
          <w:rtl/>
        </w:rPr>
      </w:pPr>
      <w:r>
        <w:rPr>
          <w:rtl/>
        </w:rPr>
        <w:t>ביאור הגר"ח בראב"ד דביותר מכא"פ הטעם אינו אסור מדין טע"כ אלא דהאיסור לא התבטל</w:t>
      </w:r>
    </w:p>
    <w:p w:rsidR="00906D8F" w:rsidRDefault="00906D8F" w:rsidP="00906D8F">
      <w:pPr>
        <w:pStyle w:val="aff4"/>
        <w:rPr>
          <w:rFonts w:eastAsiaTheme="minorEastAsia" w:cstheme="minorBidi"/>
          <w:i/>
          <w:iCs/>
          <w:noProof/>
          <w:sz w:val="22"/>
          <w:szCs w:val="22"/>
          <w:rtl/>
        </w:rPr>
      </w:pPr>
      <w:r>
        <w:rPr>
          <w:noProof/>
          <w:rtl/>
        </w:rPr>
        <w:t>ביאור הגר"ח בפלוגתת הרמב"ם והראב"ד בביטול ברוב בכותח</w:t>
      </w:r>
    </w:p>
    <w:p w:rsidR="00906D8F" w:rsidRDefault="00906D8F" w:rsidP="00906D8F">
      <w:pPr>
        <w:pStyle w:val="aff2"/>
        <w:numPr>
          <w:ilvl w:val="0"/>
          <w:numId w:val="3"/>
        </w:numPr>
        <w:rPr>
          <w:rFonts w:eastAsiaTheme="minorEastAsia" w:cstheme="minorBidi"/>
          <w:sz w:val="22"/>
          <w:szCs w:val="22"/>
          <w:rtl/>
        </w:rPr>
      </w:pPr>
      <w:r>
        <w:rPr>
          <w:rtl/>
        </w:rPr>
        <w:t>דברי הגר"ח דלהראב"ד תערובת חמץ שיש בה כא"פ הוא חמץ גמור ואינו מדין טע"כ</w:t>
      </w:r>
    </w:p>
    <w:p w:rsidR="00906D8F" w:rsidRDefault="00906D8F" w:rsidP="00906D8F">
      <w:pPr>
        <w:pStyle w:val="aff2"/>
        <w:numPr>
          <w:ilvl w:val="0"/>
          <w:numId w:val="3"/>
        </w:numPr>
        <w:rPr>
          <w:rFonts w:eastAsiaTheme="minorEastAsia" w:cstheme="minorBidi"/>
          <w:sz w:val="22"/>
          <w:szCs w:val="22"/>
          <w:rtl/>
        </w:rPr>
      </w:pPr>
      <w:r>
        <w:rPr>
          <w:rtl/>
        </w:rPr>
        <w:t>ביאור הגר"ח ברמב"ם דמדינא בתערובת חמץ יש ביטול ברוב ורק מדין טע"כ אסור ואין בו כרת</w:t>
      </w:r>
    </w:p>
    <w:p w:rsidR="00906D8F" w:rsidRDefault="00906D8F" w:rsidP="00906D8F">
      <w:pPr>
        <w:pStyle w:val="aff4"/>
        <w:rPr>
          <w:rFonts w:eastAsiaTheme="minorEastAsia" w:cstheme="minorBidi"/>
          <w:i/>
          <w:iCs/>
          <w:noProof/>
          <w:sz w:val="22"/>
          <w:szCs w:val="22"/>
          <w:rtl/>
        </w:rPr>
      </w:pPr>
      <w:r>
        <w:rPr>
          <w:noProof/>
          <w:rtl/>
        </w:rPr>
        <w:t>ביאור הגר"ח בפלוגתת הרמב"ם והראב"ד בביטול ברוב בנזיר</w:t>
      </w:r>
    </w:p>
    <w:p w:rsidR="00906D8F" w:rsidRDefault="00906D8F" w:rsidP="00906D8F">
      <w:pPr>
        <w:pStyle w:val="aff2"/>
        <w:numPr>
          <w:ilvl w:val="0"/>
          <w:numId w:val="3"/>
        </w:numPr>
        <w:rPr>
          <w:rFonts w:eastAsiaTheme="minorEastAsia" w:cstheme="minorBidi"/>
          <w:sz w:val="22"/>
          <w:szCs w:val="22"/>
          <w:rtl/>
        </w:rPr>
      </w:pPr>
      <w:r>
        <w:rPr>
          <w:rtl/>
        </w:rPr>
        <w:t>ביאור הגר"ח בראב"ד בנזיר ביין פחות מכא"פ דאסור מדאו' מדין חצי שיעור</w:t>
      </w:r>
    </w:p>
    <w:p w:rsidR="00906D8F" w:rsidRDefault="00906D8F" w:rsidP="00906D8F">
      <w:pPr>
        <w:pStyle w:val="aff2"/>
        <w:numPr>
          <w:ilvl w:val="0"/>
          <w:numId w:val="3"/>
        </w:numPr>
        <w:rPr>
          <w:rFonts w:eastAsiaTheme="minorEastAsia" w:cstheme="minorBidi"/>
          <w:sz w:val="22"/>
          <w:szCs w:val="22"/>
          <w:rtl/>
        </w:rPr>
      </w:pPr>
      <w:r>
        <w:rPr>
          <w:rtl/>
        </w:rPr>
        <w:t>ביאור הגר"ח ברמב"ם דכיון שהאיסור דטע"כ הוא חידוש דאינו בטל אפש"ל דאין בו דין חצי שיעור</w:t>
      </w:r>
    </w:p>
    <w:p w:rsidR="00906D8F" w:rsidRDefault="00906D8F" w:rsidP="00906D8F">
      <w:pPr>
        <w:pStyle w:val="2"/>
        <w:rPr>
          <w:rFonts w:eastAsiaTheme="minorEastAsia" w:cstheme="minorBidi"/>
          <w:i/>
          <w:iCs/>
          <w:noProof/>
          <w:sz w:val="22"/>
          <w:szCs w:val="22"/>
          <w:rtl/>
        </w:rPr>
      </w:pPr>
      <w:r>
        <w:rPr>
          <w:noProof/>
          <w:rtl/>
        </w:rPr>
        <w:t>בגדר האיסור בטע"כ ובדין עיסת אורז</w:t>
      </w:r>
    </w:p>
    <w:p w:rsidR="00906D8F" w:rsidRDefault="00906D8F" w:rsidP="00906D8F">
      <w:pPr>
        <w:pStyle w:val="aff4"/>
        <w:rPr>
          <w:rFonts w:eastAsiaTheme="minorEastAsia" w:cstheme="minorBidi"/>
          <w:i/>
          <w:iCs/>
          <w:noProof/>
          <w:sz w:val="22"/>
          <w:szCs w:val="22"/>
          <w:rtl/>
        </w:rPr>
      </w:pPr>
      <w:r>
        <w:rPr>
          <w:noProof/>
          <w:rtl/>
        </w:rPr>
        <w:t>חקירת הגר"ח אי ע"י הטעם ל"מ ביטול או דטע"כ הוא דין איסור</w:t>
      </w:r>
    </w:p>
    <w:p w:rsidR="00906D8F" w:rsidRDefault="00906D8F" w:rsidP="00906D8F">
      <w:pPr>
        <w:pStyle w:val="aff2"/>
        <w:numPr>
          <w:ilvl w:val="0"/>
          <w:numId w:val="3"/>
        </w:numPr>
        <w:rPr>
          <w:rFonts w:eastAsiaTheme="minorEastAsia" w:cstheme="minorBidi"/>
          <w:sz w:val="22"/>
          <w:szCs w:val="22"/>
          <w:rtl/>
        </w:rPr>
      </w:pPr>
      <w:r>
        <w:rPr>
          <w:rtl/>
        </w:rPr>
        <w:t>חקירת הגר"ח אי מדין טע"כ לא מהני ביטול ברוב דהאיסור ניכר או דמהני ביטול והוא איסור חדש</w:t>
      </w:r>
    </w:p>
    <w:p w:rsidR="00906D8F" w:rsidRDefault="00906D8F" w:rsidP="00906D8F">
      <w:pPr>
        <w:pStyle w:val="aff4"/>
        <w:rPr>
          <w:rFonts w:eastAsiaTheme="minorEastAsia" w:cstheme="minorBidi"/>
          <w:i/>
          <w:iCs/>
          <w:noProof/>
          <w:sz w:val="22"/>
          <w:szCs w:val="22"/>
          <w:rtl/>
        </w:rPr>
      </w:pPr>
      <w:r>
        <w:rPr>
          <w:noProof/>
          <w:rtl/>
        </w:rPr>
        <w:t>ביאור הגר"ח בעיסת אורז דפקע ביטול ברוב ויש ממשות חיטים</w:t>
      </w:r>
    </w:p>
    <w:p w:rsidR="00906D8F" w:rsidRDefault="00906D8F" w:rsidP="00906D8F">
      <w:pPr>
        <w:pStyle w:val="aff2"/>
        <w:numPr>
          <w:ilvl w:val="0"/>
          <w:numId w:val="3"/>
        </w:numPr>
        <w:rPr>
          <w:rFonts w:eastAsiaTheme="minorEastAsia" w:cstheme="minorBidi"/>
          <w:sz w:val="22"/>
          <w:szCs w:val="22"/>
          <w:rtl/>
        </w:rPr>
      </w:pPr>
      <w:r>
        <w:rPr>
          <w:rtl/>
        </w:rPr>
        <w:t>דברי הגר"ח דמדין עיסת אורז מוכח דטעם כעיקר אינו דין באיסורים דא"א לצאת יד"ח מצה בטעם</w:t>
      </w:r>
    </w:p>
    <w:p w:rsidR="00906D8F" w:rsidRDefault="00906D8F" w:rsidP="00906D8F">
      <w:pPr>
        <w:pStyle w:val="aff2"/>
        <w:numPr>
          <w:ilvl w:val="0"/>
          <w:numId w:val="3"/>
        </w:numPr>
        <w:rPr>
          <w:rFonts w:eastAsiaTheme="minorEastAsia" w:cstheme="minorBidi"/>
          <w:sz w:val="22"/>
          <w:szCs w:val="22"/>
          <w:rtl/>
        </w:rPr>
      </w:pPr>
      <w:r>
        <w:rPr>
          <w:rtl/>
        </w:rPr>
        <w:t>דברי הגר"ח דמוכח מעיסת אורז דבטעם כעיקר פקע דין ביטול ויש בעיסה את עיקר החיטים</w:t>
      </w:r>
    </w:p>
    <w:p w:rsidR="00906D8F" w:rsidRDefault="00906D8F" w:rsidP="00906D8F">
      <w:pPr>
        <w:pStyle w:val="aff2"/>
        <w:numPr>
          <w:ilvl w:val="0"/>
          <w:numId w:val="3"/>
        </w:numPr>
        <w:rPr>
          <w:rFonts w:eastAsiaTheme="minorEastAsia" w:cstheme="minorBidi"/>
          <w:sz w:val="22"/>
          <w:szCs w:val="22"/>
          <w:rtl/>
        </w:rPr>
      </w:pPr>
      <w:r>
        <w:rPr>
          <w:rtl/>
        </w:rPr>
        <w:t>קושית הגר"ח דמבואר בגמ' שצריך ילפותא גמורה לטע"כ ואי ל"מ ביטול ברוב סגי בגילוי מילתא</w:t>
      </w:r>
    </w:p>
    <w:p w:rsidR="00906D8F" w:rsidRDefault="00906D8F" w:rsidP="00906D8F">
      <w:pPr>
        <w:pStyle w:val="aff4"/>
        <w:rPr>
          <w:rFonts w:eastAsiaTheme="minorEastAsia" w:cstheme="minorBidi"/>
          <w:i/>
          <w:iCs/>
          <w:noProof/>
          <w:sz w:val="22"/>
          <w:szCs w:val="22"/>
          <w:rtl/>
        </w:rPr>
      </w:pPr>
      <w:r>
        <w:rPr>
          <w:noProof/>
          <w:rtl/>
        </w:rPr>
        <w:t>ביאור הגר"ח דטעם כעיקר הוא חלות איסור ועי"ז ל"מ בו ביטול</w:t>
      </w:r>
    </w:p>
    <w:p w:rsidR="00906D8F" w:rsidRDefault="00906D8F" w:rsidP="00906D8F">
      <w:pPr>
        <w:pStyle w:val="aff2"/>
        <w:numPr>
          <w:ilvl w:val="0"/>
          <w:numId w:val="3"/>
        </w:numPr>
        <w:rPr>
          <w:rFonts w:eastAsiaTheme="minorEastAsia" w:cstheme="minorBidi"/>
          <w:sz w:val="22"/>
          <w:szCs w:val="22"/>
          <w:rtl/>
        </w:rPr>
      </w:pPr>
      <w:r>
        <w:rPr>
          <w:rtl/>
        </w:rPr>
        <w:t>ביאור הגר"ח דיסוד טע"כ דיש בו חלות איסור כדילפינן ממשרת אך גדרו הוא דאינו מתבטל ברוב</w:t>
      </w:r>
    </w:p>
    <w:p w:rsidR="00906D8F" w:rsidRDefault="00906D8F" w:rsidP="00906D8F">
      <w:pPr>
        <w:pStyle w:val="aff2"/>
        <w:numPr>
          <w:ilvl w:val="0"/>
          <w:numId w:val="3"/>
        </w:numPr>
        <w:rPr>
          <w:rFonts w:eastAsiaTheme="minorEastAsia" w:cstheme="minorBidi"/>
          <w:sz w:val="22"/>
          <w:szCs w:val="22"/>
          <w:rtl/>
        </w:rPr>
      </w:pPr>
      <w:r>
        <w:rPr>
          <w:rtl/>
        </w:rPr>
        <w:t>דברי הגר"ח דאחר שיש דין טע"כ דהטעם הוא כהעיקר ממש ממילא פקע הביטול ויצא יד"ח מצה</w:t>
      </w:r>
    </w:p>
    <w:p w:rsidR="00906D8F" w:rsidRDefault="00906D8F" w:rsidP="00906D8F">
      <w:pPr>
        <w:pStyle w:val="aff2"/>
        <w:numPr>
          <w:ilvl w:val="0"/>
          <w:numId w:val="3"/>
        </w:numPr>
        <w:rPr>
          <w:rFonts w:eastAsiaTheme="minorEastAsia" w:cstheme="minorBidi"/>
          <w:sz w:val="22"/>
          <w:szCs w:val="22"/>
          <w:rtl/>
        </w:rPr>
      </w:pPr>
      <w:r>
        <w:rPr>
          <w:rtl/>
        </w:rPr>
        <w:t>דברי הגר"ח דא"כ טע"כ אינו גילוי מילתא אלא רק ע"י שיש חלות דין טע"כ ממילא פקע הביטול</w:t>
      </w:r>
    </w:p>
    <w:p w:rsidR="00906D8F" w:rsidRDefault="00906D8F" w:rsidP="00906D8F">
      <w:pPr>
        <w:pStyle w:val="aff4"/>
        <w:rPr>
          <w:rFonts w:eastAsiaTheme="minorEastAsia" w:cstheme="minorBidi"/>
          <w:i/>
          <w:iCs/>
          <w:noProof/>
          <w:sz w:val="22"/>
          <w:szCs w:val="22"/>
          <w:rtl/>
        </w:rPr>
      </w:pPr>
      <w:r>
        <w:rPr>
          <w:noProof/>
          <w:rtl/>
        </w:rPr>
        <w:t>דברי הגר"ח בגדר האיסור בטעם כעיקר אף שהתבטל ברוב</w:t>
      </w:r>
    </w:p>
    <w:p w:rsidR="00906D8F" w:rsidRDefault="00906D8F" w:rsidP="00906D8F">
      <w:pPr>
        <w:pStyle w:val="aff2"/>
        <w:numPr>
          <w:ilvl w:val="0"/>
          <w:numId w:val="3"/>
        </w:numPr>
        <w:rPr>
          <w:rFonts w:eastAsiaTheme="minorEastAsia" w:cstheme="minorBidi"/>
          <w:sz w:val="22"/>
          <w:szCs w:val="22"/>
          <w:rtl/>
        </w:rPr>
      </w:pPr>
      <w:r>
        <w:rPr>
          <w:rtl/>
        </w:rPr>
        <w:t>דברי הגר"ח דבמין במינו אין ביטול כלל ובטע"כ יש חלות איסור אף שנתבטל הטעם בהיתר</w:t>
      </w:r>
    </w:p>
    <w:p w:rsidR="00906D8F" w:rsidRDefault="00906D8F" w:rsidP="00906D8F">
      <w:pPr>
        <w:pStyle w:val="aff2"/>
        <w:numPr>
          <w:ilvl w:val="0"/>
          <w:numId w:val="3"/>
        </w:numPr>
        <w:rPr>
          <w:rFonts w:eastAsiaTheme="minorEastAsia" w:cstheme="minorBidi"/>
          <w:sz w:val="22"/>
          <w:szCs w:val="22"/>
          <w:rtl/>
        </w:rPr>
      </w:pPr>
      <w:r>
        <w:rPr>
          <w:rtl/>
        </w:rPr>
        <w:t>דברי הגר"ח דאף דהטעם אסור מהטמאים צריך ילפותא ממשרת לדין איסור של טעם כעיקר</w:t>
      </w:r>
    </w:p>
    <w:p w:rsidR="00906D8F" w:rsidRDefault="00906D8F" w:rsidP="00906D8F">
      <w:pPr>
        <w:pStyle w:val="aff4"/>
        <w:rPr>
          <w:rFonts w:eastAsiaTheme="minorEastAsia" w:cstheme="minorBidi"/>
          <w:i/>
          <w:iCs/>
          <w:noProof/>
          <w:sz w:val="22"/>
          <w:szCs w:val="22"/>
          <w:rtl/>
        </w:rPr>
      </w:pPr>
      <w:r>
        <w:rPr>
          <w:noProof/>
          <w:rtl/>
        </w:rPr>
        <w:t>דברי הזכר יצחק ברמב"ם דטע"כ אינו בטל דההיתר ג"כ נאסר</w:t>
      </w:r>
    </w:p>
    <w:p w:rsidR="00906D8F" w:rsidRDefault="00906D8F" w:rsidP="00906D8F">
      <w:pPr>
        <w:pStyle w:val="aff2"/>
        <w:numPr>
          <w:ilvl w:val="0"/>
          <w:numId w:val="3"/>
        </w:numPr>
        <w:rPr>
          <w:rFonts w:eastAsiaTheme="minorEastAsia" w:cstheme="minorBidi"/>
          <w:sz w:val="22"/>
          <w:szCs w:val="22"/>
          <w:rtl/>
        </w:rPr>
      </w:pPr>
      <w:r>
        <w:rPr>
          <w:rtl/>
        </w:rPr>
        <w:t>דברי הזכר יצחק דלהרמב"ם טעם אינו מתבטל ברוב דאף ההיתר נאסר ולא מחמת דהוא ניכר</w:t>
      </w:r>
    </w:p>
    <w:p w:rsidR="00906D8F" w:rsidRDefault="00906D8F" w:rsidP="00906D8F">
      <w:pPr>
        <w:pStyle w:val="aff2"/>
        <w:numPr>
          <w:ilvl w:val="0"/>
          <w:numId w:val="3"/>
        </w:numPr>
        <w:rPr>
          <w:rFonts w:eastAsiaTheme="minorEastAsia" w:cstheme="minorBidi"/>
          <w:sz w:val="22"/>
          <w:szCs w:val="22"/>
          <w:rtl/>
        </w:rPr>
      </w:pPr>
      <w:r>
        <w:rPr>
          <w:rtl/>
        </w:rPr>
        <w:t>ביאור הזכר יצחק דבכל האיסורים בכזית בכא"פ הכל אסור ואין איסורים מבטלים זה את זה</w:t>
      </w:r>
    </w:p>
    <w:p w:rsidR="00906D8F" w:rsidRDefault="00906D8F" w:rsidP="00906D8F">
      <w:pPr>
        <w:pStyle w:val="aff2"/>
        <w:numPr>
          <w:ilvl w:val="0"/>
          <w:numId w:val="3"/>
        </w:numPr>
        <w:rPr>
          <w:rFonts w:eastAsiaTheme="minorEastAsia" w:cstheme="minorBidi"/>
          <w:sz w:val="22"/>
          <w:szCs w:val="22"/>
          <w:rtl/>
        </w:rPr>
      </w:pPr>
      <w:r>
        <w:rPr>
          <w:rtl/>
        </w:rPr>
        <w:t>דברי הזכר יצחק דבחמץ א"א לומר דההיתר נעשה כחמץ גמור ולכן איסורו הוא רק בלאו</w:t>
      </w:r>
    </w:p>
    <w:p w:rsidR="00906D8F" w:rsidRDefault="00906D8F" w:rsidP="00906D8F">
      <w:pPr>
        <w:pStyle w:val="aff4"/>
        <w:rPr>
          <w:rFonts w:eastAsiaTheme="minorEastAsia" w:cstheme="minorBidi"/>
          <w:i/>
          <w:iCs/>
          <w:noProof/>
          <w:sz w:val="22"/>
          <w:szCs w:val="22"/>
          <w:rtl/>
        </w:rPr>
      </w:pPr>
      <w:r>
        <w:rPr>
          <w:noProof/>
          <w:rtl/>
        </w:rPr>
        <w:t>ביאור האבהא"ז ברמב"ם דטע"כ דאו' ובלא טע"כ הטעם מותר</w:t>
      </w:r>
    </w:p>
    <w:p w:rsidR="00906D8F" w:rsidRDefault="00906D8F" w:rsidP="00906D8F">
      <w:pPr>
        <w:pStyle w:val="aff2"/>
        <w:numPr>
          <w:ilvl w:val="0"/>
          <w:numId w:val="3"/>
        </w:numPr>
        <w:rPr>
          <w:rFonts w:eastAsiaTheme="minorEastAsia" w:cstheme="minorBidi"/>
          <w:sz w:val="22"/>
          <w:szCs w:val="22"/>
          <w:rtl/>
        </w:rPr>
      </w:pPr>
      <w:r>
        <w:rPr>
          <w:rtl/>
        </w:rPr>
        <w:t>דברי האבאה"ז דא"א לומר דלהרמב"ם טע"כ דרבנן דהא ס"ל דילפינן מגיעולי עכו"ם ואינו חידוש</w:t>
      </w:r>
    </w:p>
    <w:p w:rsidR="00A24340" w:rsidRPr="00A24340" w:rsidRDefault="00906D8F" w:rsidP="00A24340">
      <w:pPr>
        <w:pStyle w:val="aff2"/>
        <w:numPr>
          <w:ilvl w:val="0"/>
          <w:numId w:val="3"/>
        </w:numPr>
        <w:rPr>
          <w:rFonts w:eastAsiaTheme="minorEastAsia" w:cstheme="minorBidi"/>
          <w:sz w:val="22"/>
          <w:szCs w:val="22"/>
        </w:rPr>
      </w:pPr>
      <w:r>
        <w:rPr>
          <w:rtl/>
        </w:rPr>
        <w:t>דברי האבהא"ז דלהרמב"ם טע"כ דאו' וס"ל כר"י מאורליינש דהוא איסור עשה ואין בו מלקות</w:t>
      </w:r>
    </w:p>
    <w:p w:rsidR="00906D8F" w:rsidRDefault="00A24340" w:rsidP="00A24340">
      <w:pPr>
        <w:pStyle w:val="aff2"/>
        <w:numPr>
          <w:ilvl w:val="0"/>
          <w:numId w:val="3"/>
        </w:numPr>
        <w:rPr>
          <w:rFonts w:eastAsiaTheme="minorEastAsia" w:cstheme="minorBidi"/>
          <w:sz w:val="22"/>
          <w:szCs w:val="22"/>
          <w:rtl/>
        </w:rPr>
      </w:pPr>
      <w:r>
        <w:rPr>
          <w:rtl/>
        </w:rPr>
        <w:t>דברי האבהא"ז ברמב"ם דממשרת ילפינן דהטעם עצמו אסור ולולי טע"כ אין איסור טעם</w:t>
      </w:r>
      <w:r w:rsidRPr="00A24340">
        <w:rPr>
          <w:rFonts w:hint="cs"/>
          <w:rtl/>
        </w:rPr>
        <w:t xml:space="preserve"> בתערובת</w:t>
      </w:r>
    </w:p>
    <w:p w:rsidR="00FF684E" w:rsidRPr="0064314C" w:rsidRDefault="00FF684E" w:rsidP="00906D8F">
      <w:pPr>
        <w:pStyle w:val="2"/>
        <w:rPr>
          <w:rFonts w:asciiTheme="minorHAnsi" w:eastAsiaTheme="minorEastAsia" w:hAnsiTheme="minorHAnsi"/>
          <w:noProof/>
          <w:rtl/>
        </w:rPr>
        <w:sectPr w:rsidR="00FF684E" w:rsidRPr="0064314C">
          <w:type w:val="continuous"/>
          <w:pgSz w:w="11906" w:h="16838"/>
          <w:pgMar w:top="720" w:right="720" w:bottom="720" w:left="720" w:header="283" w:footer="283" w:gutter="0"/>
          <w:cols w:num="2" w:space="113"/>
          <w:bidi/>
          <w:rtlGutter/>
        </w:sectPr>
      </w:pPr>
    </w:p>
    <w:p w:rsidR="00FF684E" w:rsidRDefault="00FF684E" w:rsidP="00FF684E">
      <w:pPr>
        <w:pStyle w:val="aff2"/>
        <w:rPr>
          <w:rFonts w:eastAsiaTheme="minorEastAsia" w:cstheme="minorBidi"/>
          <w:sz w:val="22"/>
          <w:szCs w:val="22"/>
          <w:rtl/>
        </w:rPr>
      </w:pPr>
    </w:p>
    <w:p w:rsidR="00FF684E" w:rsidRDefault="00FF684E" w:rsidP="00FF684E">
      <w:pPr>
        <w:pStyle w:val="2"/>
        <w:rPr>
          <w:rtl/>
        </w:rPr>
      </w:pPr>
      <w:r>
        <w:rPr>
          <w:rFonts w:hint="cs"/>
          <w:rtl/>
        </w:rPr>
        <w:fldChar w:fldCharType="end"/>
      </w:r>
    </w:p>
    <w:p w:rsidR="00FF684E" w:rsidRDefault="00FF684E" w:rsidP="00FF684E">
      <w:pPr>
        <w:bidi w:val="0"/>
        <w:ind w:left="0"/>
        <w:jc w:val="left"/>
        <w:rPr>
          <w:rFonts w:ascii="Guttman Adii-Light" w:eastAsia="Guttman Adii-Light" w:hAnsi="Guttman Adii-Light" w:cs="Guttman Adii-Light"/>
          <w:sz w:val="24"/>
          <w:szCs w:val="24"/>
          <w:rtl/>
        </w:rPr>
        <w:sectPr w:rsidR="00FF684E">
          <w:type w:val="continuous"/>
          <w:pgSz w:w="11906" w:h="16838"/>
          <w:pgMar w:top="720" w:right="720" w:bottom="720" w:left="720" w:header="283" w:footer="283" w:gutter="0"/>
          <w:cols w:num="2" w:space="113"/>
          <w:bidi/>
          <w:rtlGutter/>
        </w:sectPr>
      </w:pPr>
    </w:p>
    <w:p w:rsidR="00FF684E" w:rsidRDefault="00FF684E" w:rsidP="00E669F8">
      <w:pPr>
        <w:pStyle w:val="afd"/>
        <w:rPr>
          <w:rtl/>
        </w:rPr>
      </w:pPr>
      <w:bookmarkStart w:id="7373" w:name="_Toc15227756"/>
      <w:bookmarkStart w:id="7374" w:name="_Toc15227589"/>
      <w:bookmarkStart w:id="7375" w:name="_Toc15163170"/>
      <w:bookmarkStart w:id="7376" w:name="_Toc15057723"/>
      <w:bookmarkStart w:id="7377" w:name="_Toc15034990"/>
      <w:bookmarkStart w:id="7378" w:name="_Toc14993489"/>
      <w:bookmarkStart w:id="7379" w:name="_Toc14973637"/>
      <w:bookmarkStart w:id="7380" w:name="_Toc14735050"/>
      <w:bookmarkStart w:id="7381" w:name="_Toc14726114"/>
      <w:bookmarkStart w:id="7382" w:name="_Toc14551990"/>
      <w:bookmarkStart w:id="7383" w:name="_Toc14290637"/>
      <w:r>
        <w:rPr>
          <w:rFonts w:hint="cs"/>
          <w:rtl/>
        </w:rPr>
        <w:lastRenderedPageBreak/>
        <w:t>מראי מקומות וביאורים</w:t>
      </w:r>
      <w:bookmarkEnd w:id="7373"/>
      <w:bookmarkEnd w:id="7374"/>
      <w:bookmarkEnd w:id="7375"/>
      <w:bookmarkEnd w:id="7376"/>
      <w:bookmarkEnd w:id="7377"/>
      <w:bookmarkEnd w:id="7378"/>
      <w:bookmarkEnd w:id="7379"/>
      <w:bookmarkEnd w:id="7380"/>
      <w:bookmarkEnd w:id="7381"/>
      <w:bookmarkEnd w:id="7382"/>
      <w:bookmarkEnd w:id="7383"/>
    </w:p>
    <w:p w:rsidR="00FF684E" w:rsidRDefault="00FF684E" w:rsidP="00FF684E">
      <w:pPr>
        <w:bidi w:val="0"/>
        <w:ind w:left="0"/>
        <w:jc w:val="left"/>
        <w:rPr>
          <w:rFonts w:eastAsia="Guttman Adii-Light" w:cs="Guttman Adii-Light"/>
          <w:bCs/>
          <w:sz w:val="18"/>
          <w:szCs w:val="28"/>
          <w:rtl/>
        </w:rPr>
        <w:sectPr w:rsidR="00FF684E" w:rsidSect="00491B52">
          <w:pgSz w:w="11906" w:h="16838"/>
          <w:pgMar w:top="720" w:right="720" w:bottom="720" w:left="720" w:header="283" w:footer="283" w:gutter="0"/>
          <w:cols w:space="720"/>
          <w:bidi/>
          <w:rtlGutter/>
        </w:sectPr>
      </w:pPr>
    </w:p>
    <w:p w:rsidR="00FF684E" w:rsidRDefault="00FF684E" w:rsidP="00E669F8">
      <w:pPr>
        <w:pStyle w:val="afd"/>
        <w:rPr>
          <w:rtl/>
        </w:rPr>
      </w:pPr>
      <w:r>
        <w:rPr>
          <w:rFonts w:hint="cs"/>
          <w:rtl/>
        </w:rPr>
        <w:t xml:space="preserve"> </w:t>
      </w:r>
      <w:bookmarkStart w:id="7384" w:name="_Toc14993490"/>
      <w:bookmarkStart w:id="7385" w:name="_Toc14973638"/>
      <w:bookmarkStart w:id="7386" w:name="_Toc14735051"/>
      <w:bookmarkStart w:id="7387" w:name="_Toc14726115"/>
      <w:bookmarkStart w:id="7388" w:name="_Toc14551991"/>
      <w:bookmarkStart w:id="7389" w:name="_Toc14290638"/>
      <w:bookmarkStart w:id="7390" w:name="_Toc13516541"/>
      <w:bookmarkStart w:id="7391" w:name="_Toc13418705"/>
      <w:bookmarkStart w:id="7392" w:name="_Toc13396686"/>
      <w:bookmarkStart w:id="7393" w:name="_Toc13244710"/>
      <w:bookmarkStart w:id="7394" w:name="_Toc13134849"/>
      <w:bookmarkStart w:id="7395" w:name="_Toc12872083"/>
      <w:bookmarkStart w:id="7396" w:name="_Toc12826299"/>
      <w:bookmarkStart w:id="7397" w:name="_Toc15163171"/>
      <w:bookmarkStart w:id="7398" w:name="_Toc15057724"/>
      <w:bookmarkStart w:id="7399" w:name="_Toc15034991"/>
      <w:bookmarkStart w:id="7400" w:name="_Toc15227757"/>
      <w:bookmarkStart w:id="7401" w:name="_Toc15227590"/>
      <w:r>
        <w:rPr>
          <w:rFonts w:hint="cs"/>
          <w:rtl/>
        </w:rPr>
        <w:t>דברי הרמב"ם</w:t>
      </w:r>
      <w:bookmarkEnd w:id="7384"/>
      <w:bookmarkEnd w:id="7385"/>
      <w:bookmarkEnd w:id="7386"/>
      <w:bookmarkEnd w:id="7387"/>
      <w:bookmarkEnd w:id="7388"/>
      <w:bookmarkEnd w:id="7389"/>
      <w:bookmarkEnd w:id="7390"/>
      <w:bookmarkEnd w:id="7391"/>
      <w:bookmarkEnd w:id="7392"/>
      <w:bookmarkEnd w:id="7393"/>
      <w:bookmarkEnd w:id="7394"/>
      <w:bookmarkEnd w:id="7395"/>
      <w:bookmarkEnd w:id="7396"/>
      <w:r>
        <w:rPr>
          <w:rFonts w:hint="cs"/>
          <w:rtl/>
        </w:rPr>
        <w:t xml:space="preserve"> בטע"כ</w:t>
      </w:r>
      <w:bookmarkEnd w:id="7397"/>
      <w:bookmarkEnd w:id="7398"/>
      <w:bookmarkEnd w:id="7399"/>
      <w:r>
        <w:rPr>
          <w:rFonts w:hint="cs"/>
          <w:rtl/>
        </w:rPr>
        <w:t xml:space="preserve"> ובנזיר וחמץ</w:t>
      </w:r>
      <w:bookmarkEnd w:id="7400"/>
      <w:bookmarkEnd w:id="7401"/>
    </w:p>
    <w:p w:rsidR="00FF684E" w:rsidRDefault="00FF684E" w:rsidP="007E08E0">
      <w:pPr>
        <w:pStyle w:val="1"/>
        <w:rPr>
          <w:rtl/>
        </w:rPr>
      </w:pPr>
      <w:bookmarkStart w:id="7402" w:name="_Toc14551992"/>
      <w:bookmarkStart w:id="7403" w:name="_Toc14290639"/>
      <w:bookmarkStart w:id="7404" w:name="_Toc13516542"/>
      <w:bookmarkStart w:id="7405" w:name="_Toc13418706"/>
      <w:bookmarkStart w:id="7406" w:name="_Toc13396687"/>
      <w:bookmarkStart w:id="7407" w:name="_Toc13244711"/>
      <w:bookmarkStart w:id="7408" w:name="_Toc13134850"/>
      <w:bookmarkStart w:id="7409" w:name="_Toc12872084"/>
      <w:bookmarkStart w:id="7410" w:name="_Toc12826300"/>
      <w:bookmarkStart w:id="7411" w:name="_Toc14993491"/>
      <w:bookmarkStart w:id="7412" w:name="_Toc14973639"/>
      <w:bookmarkStart w:id="7413" w:name="_Toc14735052"/>
      <w:bookmarkStart w:id="7414" w:name="_Toc14726116"/>
      <w:bookmarkStart w:id="7415" w:name="_Toc15227758"/>
      <w:bookmarkStart w:id="7416" w:name="_Toc15227591"/>
      <w:bookmarkStart w:id="7417" w:name="_Toc15163172"/>
      <w:bookmarkStart w:id="7418" w:name="_Toc15057725"/>
      <w:bookmarkStart w:id="7419" w:name="_Toc15034992"/>
      <w:r>
        <w:rPr>
          <w:rFonts w:hint="cs"/>
          <w:rtl/>
        </w:rPr>
        <w:t>דברי הרמב"ם</w:t>
      </w:r>
      <w:bookmarkEnd w:id="7402"/>
      <w:bookmarkEnd w:id="7403"/>
      <w:bookmarkEnd w:id="7404"/>
      <w:bookmarkEnd w:id="7405"/>
      <w:bookmarkEnd w:id="7406"/>
      <w:bookmarkEnd w:id="7407"/>
      <w:bookmarkEnd w:id="7408"/>
      <w:bookmarkEnd w:id="7409"/>
      <w:bookmarkEnd w:id="7410"/>
      <w:r>
        <w:rPr>
          <w:rFonts w:hint="cs"/>
          <w:rtl/>
        </w:rPr>
        <w:t xml:space="preserve"> דמאו' טעמו וממשו בכא"פ ובלא ממשו</w:t>
      </w:r>
      <w:bookmarkEnd w:id="7411"/>
      <w:bookmarkEnd w:id="7412"/>
      <w:bookmarkEnd w:id="7413"/>
      <w:bookmarkEnd w:id="7414"/>
      <w:r>
        <w:rPr>
          <w:rFonts w:hint="cs"/>
          <w:rtl/>
        </w:rPr>
        <w:t xml:space="preserve"> מדרבנן</w:t>
      </w:r>
      <w:bookmarkEnd w:id="7415"/>
      <w:bookmarkEnd w:id="7416"/>
      <w:bookmarkEnd w:id="7417"/>
      <w:bookmarkEnd w:id="7418"/>
      <w:bookmarkEnd w:id="7419"/>
    </w:p>
    <w:p w:rsidR="00FF684E" w:rsidRDefault="00FF684E" w:rsidP="00FF684E">
      <w:pPr>
        <w:pStyle w:val="a2"/>
        <w:rPr>
          <w:rtl/>
        </w:rPr>
      </w:pPr>
      <w:bookmarkStart w:id="7420" w:name="_Toc15227759"/>
      <w:bookmarkStart w:id="7421" w:name="_Toc15227592"/>
      <w:bookmarkStart w:id="7422" w:name="_Toc15163173"/>
      <w:bookmarkStart w:id="7423" w:name="_Toc15057726"/>
      <w:bookmarkStart w:id="7424" w:name="_Toc15034993"/>
      <w:r>
        <w:rPr>
          <w:rFonts w:hint="cs"/>
          <w:rtl/>
        </w:rPr>
        <w:t>דברי הרמב"ם דבמין בשאינו מינו בטעמו וממשו אסור מדאו' ובטעמו ולא ממשו אסור מד"ס</w:t>
      </w:r>
      <w:bookmarkEnd w:id="7420"/>
      <w:bookmarkEnd w:id="7421"/>
      <w:bookmarkEnd w:id="7422"/>
      <w:bookmarkEnd w:id="7423"/>
      <w:bookmarkEnd w:id="7424"/>
    </w:p>
    <w:p w:rsidR="00FF684E" w:rsidRDefault="00FF684E" w:rsidP="009F44AF">
      <w:pPr>
        <w:pStyle w:val="a"/>
        <w:numPr>
          <w:ilvl w:val="0"/>
          <w:numId w:val="24"/>
        </w:numPr>
        <w:rPr>
          <w:rtl/>
        </w:rPr>
      </w:pPr>
      <w:bookmarkStart w:id="7425" w:name="_Ref14726062"/>
      <w:bookmarkStart w:id="7426" w:name="_Ref13083346"/>
      <w:r>
        <w:rPr>
          <w:rFonts w:hint="cs"/>
          <w:rtl/>
        </w:rPr>
        <w:t xml:space="preserve">כתב </w:t>
      </w:r>
      <w:r>
        <w:rPr>
          <w:rStyle w:val="af8"/>
          <w:rtl/>
        </w:rPr>
        <w:t xml:space="preserve">הרמב"ם </w:t>
      </w:r>
      <w:r w:rsidRPr="009F44AF">
        <w:rPr>
          <w:rStyle w:val="af6"/>
          <w:rFonts w:eastAsia="Guttman Hodes" w:hint="cs"/>
          <w:rtl/>
        </w:rPr>
        <w:t>(מאכ"א פט"ו ה"א)</w:t>
      </w:r>
      <w:r>
        <w:rPr>
          <w:rFonts w:hint="cs"/>
          <w:rtl/>
        </w:rPr>
        <w:t xml:space="preserve"> דתערובת איסור והיתר במין בשאינו מינו הוא בנותן טעם, ובמין במינו שא"א לעמוד על הטעם בטל ברוב</w:t>
      </w:r>
      <w:bookmarkStart w:id="7427" w:name="_Ref14726189"/>
      <w:r>
        <w:rPr>
          <w:rFonts w:hint="cs"/>
          <w:rtl/>
        </w:rPr>
        <w:t xml:space="preserve">, וביאר </w:t>
      </w:r>
      <w:r>
        <w:rPr>
          <w:rStyle w:val="af8"/>
          <w:rtl/>
        </w:rPr>
        <w:t>הרמב"ם</w:t>
      </w:r>
      <w:r>
        <w:rPr>
          <w:rFonts w:hint="cs"/>
          <w:rtl/>
        </w:rPr>
        <w:t xml:space="preserve"> </w:t>
      </w:r>
      <w:r w:rsidRPr="009F44AF">
        <w:rPr>
          <w:rStyle w:val="af6"/>
          <w:rFonts w:eastAsia="Guttman Hodes" w:hint="cs"/>
          <w:rtl/>
        </w:rPr>
        <w:t>(מאכ"א פט"ו ה"ב)</w:t>
      </w:r>
      <w:r>
        <w:rPr>
          <w:rFonts w:hint="cs"/>
          <w:rtl/>
        </w:rPr>
        <w:t xml:space="preserve"> דמין בשאינו מינו כגון חֵלֶב שנפל לתוך הגריסין ונימוח כולו, דאם אין טעם חֵלֶב בגריסין מותר, וכשיש בהם טעם, אם יש גם את ממשות האיסור אסורין מדאו', ואם אין את ממשות האיסור אסורים מדברי סופרים.</w:t>
      </w:r>
      <w:bookmarkEnd w:id="7425"/>
      <w:bookmarkEnd w:id="7427"/>
    </w:p>
    <w:p w:rsidR="00FF684E" w:rsidRDefault="00FF684E" w:rsidP="00FF684E">
      <w:pPr>
        <w:pStyle w:val="a2"/>
      </w:pPr>
      <w:bookmarkStart w:id="7428" w:name="_Toc15227760"/>
      <w:bookmarkStart w:id="7429" w:name="_Toc15227593"/>
      <w:bookmarkStart w:id="7430" w:name="_Toc15163174"/>
      <w:bookmarkStart w:id="7431" w:name="_Toc15057727"/>
      <w:bookmarkStart w:id="7432" w:name="_Toc15034994"/>
      <w:bookmarkEnd w:id="7426"/>
      <w:r>
        <w:rPr>
          <w:rFonts w:hint="cs"/>
          <w:rtl/>
        </w:rPr>
        <w:t>דברי הרמב"ם דממשו הוא בכזית בכא"פ ואכל שיעור פרס דלוקה כיון שיש גם טעמו וגם ממשו</w:t>
      </w:r>
      <w:bookmarkEnd w:id="7428"/>
      <w:bookmarkEnd w:id="7429"/>
      <w:bookmarkEnd w:id="7430"/>
      <w:bookmarkEnd w:id="7431"/>
      <w:bookmarkEnd w:id="7432"/>
    </w:p>
    <w:p w:rsidR="00FF684E" w:rsidRDefault="00FF684E" w:rsidP="009F44AF">
      <w:pPr>
        <w:pStyle w:val="a"/>
        <w:rPr>
          <w:rtl/>
        </w:rPr>
      </w:pPr>
      <w:bookmarkStart w:id="7433" w:name="_Ref15030462"/>
      <w:bookmarkStart w:id="7434" w:name="_Ref14712990"/>
      <w:r>
        <w:rPr>
          <w:rFonts w:hint="cs"/>
          <w:rtl/>
        </w:rPr>
        <w:t xml:space="preserve">וביאר </w:t>
      </w:r>
      <w:r>
        <w:rPr>
          <w:rStyle w:val="af8"/>
          <w:rtl/>
        </w:rPr>
        <w:t>הרמב"ם</w:t>
      </w:r>
      <w:r>
        <w:rPr>
          <w:rStyle w:val="af6"/>
          <w:rFonts w:eastAsia="Guttman Hodes" w:hint="cs"/>
          <w:rtl/>
        </w:rPr>
        <w:t xml:space="preserve"> (מאכ"א פט"ו ה"ג) </w:t>
      </w:r>
      <w:r>
        <w:rPr>
          <w:rFonts w:hint="cs"/>
          <w:rtl/>
        </w:rPr>
        <w:t>דממשות האיסור היינו שהיה שיעור חֵלֶב בתערובת כדי אכילת פרס, ואם אכל שיעור שיש בו חֵלֶב כדי אכילת פרס לוקה,  כיון שיש גם טעם של האיסור וגם ממשו קיים.</w:t>
      </w:r>
      <w:bookmarkEnd w:id="7433"/>
    </w:p>
    <w:p w:rsidR="00FF684E" w:rsidRDefault="00FF684E" w:rsidP="00FF684E">
      <w:pPr>
        <w:pStyle w:val="a2"/>
        <w:rPr>
          <w:rtl/>
        </w:rPr>
      </w:pPr>
      <w:bookmarkStart w:id="7435" w:name="_Toc15227761"/>
      <w:bookmarkStart w:id="7436" w:name="_Toc15227594"/>
      <w:bookmarkStart w:id="7437" w:name="_Toc15163175"/>
      <w:bookmarkStart w:id="7438" w:name="_Toc15057728"/>
      <w:bookmarkStart w:id="7439" w:name="_Toc15034995"/>
      <w:r>
        <w:rPr>
          <w:rFonts w:hint="cs"/>
          <w:rtl/>
        </w:rPr>
        <w:t>דברי הרמב"ם דאם אכל פחות מכא"פ או שאין בתערובת כזית בכא"פ מכין אותו מכת מרדות</w:t>
      </w:r>
      <w:bookmarkEnd w:id="7435"/>
      <w:bookmarkEnd w:id="7436"/>
      <w:bookmarkEnd w:id="7437"/>
      <w:bookmarkEnd w:id="7438"/>
      <w:bookmarkEnd w:id="7439"/>
    </w:p>
    <w:p w:rsidR="00FF684E" w:rsidRDefault="00FF684E" w:rsidP="009F44AF">
      <w:pPr>
        <w:pStyle w:val="a"/>
      </w:pPr>
      <w:bookmarkStart w:id="7440" w:name="_Ref15034127"/>
      <w:r>
        <w:rPr>
          <w:rFonts w:hint="cs"/>
          <w:rtl/>
        </w:rPr>
        <w:t xml:space="preserve">אך כתב </w:t>
      </w:r>
      <w:r>
        <w:rPr>
          <w:rStyle w:val="af8"/>
          <w:rtl/>
        </w:rPr>
        <w:t>הרמב"ם</w:t>
      </w:r>
      <w:r>
        <w:rPr>
          <w:rFonts w:hint="cs"/>
          <w:rtl/>
        </w:rPr>
        <w:t xml:space="preserve"> דאם יש בתערובת שיעור כזית בכדי אכילת פרס מהאיסור, אך לא אכל שיעור כדי אכילת פרס, מכין אותו מכת מרדות מדרבנן, וכן אם אין בתערובת חֵלֶב בשיעור כדי אכילת פרס, ואכל את כולה, דמכין אותו מכת מרדות.</w:t>
      </w:r>
      <w:bookmarkEnd w:id="7434"/>
      <w:bookmarkEnd w:id="7440"/>
    </w:p>
    <w:p w:rsidR="00FF684E" w:rsidRDefault="00FF684E" w:rsidP="00FF684E">
      <w:pPr>
        <w:pStyle w:val="a2"/>
        <w:rPr>
          <w:rtl/>
        </w:rPr>
      </w:pPr>
      <w:bookmarkStart w:id="7441" w:name="_Toc15227762"/>
      <w:bookmarkStart w:id="7442" w:name="_Toc15227595"/>
      <w:bookmarkStart w:id="7443" w:name="_Toc15163176"/>
      <w:bookmarkStart w:id="7444" w:name="_Toc15057729"/>
      <w:bookmarkStart w:id="7445" w:name="_Toc15034996"/>
      <w:bookmarkStart w:id="7446" w:name="_Toc14993492"/>
      <w:bookmarkStart w:id="7447" w:name="_Toc14973640"/>
      <w:bookmarkStart w:id="7448" w:name="_Toc14735053"/>
      <w:bookmarkStart w:id="7449" w:name="_Toc14726117"/>
      <w:r>
        <w:rPr>
          <w:rFonts w:hint="cs"/>
          <w:rtl/>
        </w:rPr>
        <w:t>דברי הרמב"ם דמין במינו אסור מדרבנן עד שיאבד מעוצם מיעוטו ולא יחשב בפנ"ע דהוא שישים</w:t>
      </w:r>
      <w:bookmarkEnd w:id="7441"/>
      <w:bookmarkEnd w:id="7442"/>
      <w:bookmarkEnd w:id="7443"/>
      <w:bookmarkEnd w:id="7444"/>
      <w:bookmarkEnd w:id="7445"/>
      <w:bookmarkEnd w:id="7446"/>
      <w:bookmarkEnd w:id="7447"/>
    </w:p>
    <w:p w:rsidR="00FF684E" w:rsidRDefault="00FF684E" w:rsidP="009F44AF">
      <w:pPr>
        <w:pStyle w:val="a"/>
        <w:rPr>
          <w:rStyle w:val="afa"/>
          <w:rtl/>
        </w:rPr>
      </w:pPr>
      <w:r>
        <w:rPr>
          <w:rFonts w:hint="cs"/>
          <w:rtl/>
        </w:rPr>
        <w:t xml:space="preserve">והוסיף </w:t>
      </w:r>
      <w:r>
        <w:rPr>
          <w:rStyle w:val="af8"/>
          <w:rtl/>
        </w:rPr>
        <w:t>הרמב"ם</w:t>
      </w:r>
      <w:r>
        <w:rPr>
          <w:rFonts w:hint="cs"/>
          <w:rtl/>
        </w:rPr>
        <w:t xml:space="preserve"> </w:t>
      </w:r>
      <w:r>
        <w:rPr>
          <w:rStyle w:val="af6"/>
          <w:rFonts w:eastAsia="Guttman Hodes" w:hint="cs"/>
          <w:rtl/>
        </w:rPr>
        <w:t>(מאכ"א פט"ו ה"ד)</w:t>
      </w:r>
      <w:r>
        <w:rPr>
          <w:rFonts w:hint="cs"/>
          <w:rtl/>
        </w:rPr>
        <w:t xml:space="preserve"> דבמין במינו כגון חֵלֶב אסור שנפל לתוך חֵלֶב מותר, מותר מדאו' דחד בתרי בטיל, ואפילו חתיכת נבילה שהתערבה בב' חתיכות של שחוטה, מותר מדאו', אבל מדרבנן אסור עד שיאבד הדבר האסור מעוצם מיעוטו ולא יהיה האיסור דבר חשוב שעומד בפנ"ע, וביאר </w:t>
      </w:r>
      <w:r>
        <w:rPr>
          <w:rStyle w:val="af8"/>
          <w:rtl/>
        </w:rPr>
        <w:t>הרמב"ם</w:t>
      </w:r>
      <w:r>
        <w:rPr>
          <w:rFonts w:hint="cs"/>
          <w:rtl/>
        </w:rPr>
        <w:t xml:space="preserve"> </w:t>
      </w:r>
      <w:r>
        <w:rPr>
          <w:rStyle w:val="af6"/>
          <w:rFonts w:eastAsia="Guttman Hodes" w:hint="cs"/>
          <w:rtl/>
        </w:rPr>
        <w:t>(מאכ"א פט"ו ה"ה)</w:t>
      </w:r>
      <w:r>
        <w:rPr>
          <w:rFonts w:hint="cs"/>
          <w:rtl/>
        </w:rPr>
        <w:t xml:space="preserve"> דהשיעור שיאבד בעוצם מיעוטו בכל האיסורים שבתורה, נתנו בו רבנן שיעור שישים, והוסיף </w:t>
      </w:r>
      <w:r>
        <w:rPr>
          <w:rFonts w:hint="cs"/>
          <w:b/>
          <w:bCs/>
          <w:rtl/>
        </w:rPr>
        <w:t>הרמב"ם</w:t>
      </w:r>
      <w:r>
        <w:rPr>
          <w:rStyle w:val="af6"/>
          <w:rFonts w:eastAsia="Guttman Hodes" w:hint="cs"/>
          <w:rtl/>
        </w:rPr>
        <w:t xml:space="preserve"> </w:t>
      </w:r>
      <w:r>
        <w:rPr>
          <w:rFonts w:hint="cs"/>
          <w:rtl/>
        </w:rPr>
        <w:t>דבמין בשאינו מינו שיעורו הוא בנותן טעם, ובמין במינו כיון שא"א לעמוד על טעמו, לכן שיעורו הוא בשישים.</w:t>
      </w:r>
      <w:r>
        <w:rPr>
          <w:rStyle w:val="afa"/>
          <w:rtl/>
        </w:rPr>
        <w:t xml:space="preserve"> [מלבד תרומה דבמין במינו במאה, ובערלה במאתיים, ויין נסך וטבל בכל שהוא, ובמין בשאינו מינו בכולם השיעור הוא בנותן טעם].</w:t>
      </w:r>
    </w:p>
    <w:p w:rsidR="00FF684E" w:rsidRDefault="00FF684E" w:rsidP="007E08E0">
      <w:pPr>
        <w:pStyle w:val="1"/>
        <w:rPr>
          <w:rtl/>
        </w:rPr>
      </w:pPr>
      <w:bookmarkStart w:id="7450" w:name="_Toc15227763"/>
      <w:bookmarkStart w:id="7451" w:name="_Toc15227596"/>
      <w:bookmarkStart w:id="7452" w:name="_Toc15163177"/>
      <w:bookmarkStart w:id="7453" w:name="_Toc15057730"/>
      <w:bookmarkStart w:id="7454" w:name="_Toc15034997"/>
      <w:bookmarkStart w:id="7455" w:name="_Toc14993493"/>
      <w:bookmarkStart w:id="7456" w:name="_Toc14973641"/>
      <w:r>
        <w:rPr>
          <w:rFonts w:hint="cs"/>
          <w:rtl/>
        </w:rPr>
        <w:t>פלוגתת הרמב"ם והראב"ד בחיוב נזיר בטע"כ בפחות מכא"פ</w:t>
      </w:r>
      <w:bookmarkEnd w:id="7450"/>
      <w:bookmarkEnd w:id="7451"/>
      <w:bookmarkEnd w:id="7452"/>
      <w:bookmarkEnd w:id="7453"/>
      <w:bookmarkEnd w:id="7454"/>
    </w:p>
    <w:p w:rsidR="00FF684E" w:rsidRDefault="00FF684E" w:rsidP="00FF684E">
      <w:pPr>
        <w:pStyle w:val="a2"/>
        <w:rPr>
          <w:rtl/>
        </w:rPr>
      </w:pPr>
      <w:bookmarkStart w:id="7457" w:name="_Toc15227764"/>
      <w:bookmarkStart w:id="7458" w:name="_Toc15227597"/>
      <w:bookmarkStart w:id="7459" w:name="_Toc15163178"/>
      <w:bookmarkStart w:id="7460" w:name="_Toc15057731"/>
      <w:bookmarkStart w:id="7461" w:name="_Toc15034998"/>
      <w:r>
        <w:rPr>
          <w:rFonts w:hint="cs"/>
          <w:rtl/>
        </w:rPr>
        <w:t>דברי הרמב"ם דאין היתר מצטרף לאיסור ו הנזיר לוקה רק בכזית בכא"פ כמו בכל האיסורים</w:t>
      </w:r>
      <w:bookmarkEnd w:id="7457"/>
      <w:bookmarkEnd w:id="7458"/>
      <w:bookmarkEnd w:id="7459"/>
      <w:bookmarkEnd w:id="7460"/>
      <w:bookmarkEnd w:id="7461"/>
    </w:p>
    <w:p w:rsidR="00FF684E" w:rsidRDefault="00FF684E" w:rsidP="009F44AF">
      <w:pPr>
        <w:pStyle w:val="a"/>
        <w:rPr>
          <w:rtl/>
        </w:rPr>
      </w:pPr>
      <w:bookmarkStart w:id="7462" w:name="_Ref15034258"/>
      <w:r>
        <w:rPr>
          <w:rFonts w:hint="cs"/>
          <w:rtl/>
        </w:rPr>
        <w:t xml:space="preserve">כתב </w:t>
      </w:r>
      <w:r>
        <w:rPr>
          <w:rStyle w:val="af8"/>
          <w:rtl/>
        </w:rPr>
        <w:t>הרמב"ם</w:t>
      </w:r>
      <w:r>
        <w:rPr>
          <w:rFonts w:hint="cs"/>
          <w:rtl/>
        </w:rPr>
        <w:t xml:space="preserve"> </w:t>
      </w:r>
      <w:r>
        <w:rPr>
          <w:rStyle w:val="af6"/>
          <w:rFonts w:eastAsia="Guttman Hodes" w:hint="cs"/>
          <w:rtl/>
        </w:rPr>
        <w:t xml:space="preserve">(נזירות פ"ה ה"ד) </w:t>
      </w:r>
      <w:r>
        <w:rPr>
          <w:rFonts w:hint="cs"/>
          <w:rtl/>
        </w:rPr>
        <w:t xml:space="preserve">דאין היתר מצטרף לאיסור, ולכן יין שהתערב בדבש, ויש בכולו טעם יין, וכן צימוקים שדרסן עם הגרגוגרות, והטעם של כל התערובת הוא טעם הצימוקים, אין הנזיר לוקה עליהם, ורק באופן שהאיסור מעורב בתערובת בשיעור של כזית בכדי אכילת פרס, ואכל כזית בכדי אכילת פרס מהאיסור, דהנזיר לוקה עליהם, וביאר </w:t>
      </w:r>
      <w:r>
        <w:rPr>
          <w:rStyle w:val="af8"/>
          <w:rtl/>
        </w:rPr>
        <w:t>הרמב"ם</w:t>
      </w:r>
      <w:r>
        <w:rPr>
          <w:rFonts w:hint="cs"/>
          <w:rtl/>
        </w:rPr>
        <w:t xml:space="preserve"> דדין הנזיר הוא כדין כל שאר האיסורים, וציין </w:t>
      </w:r>
      <w:r>
        <w:rPr>
          <w:rStyle w:val="af8"/>
          <w:rtl/>
        </w:rPr>
        <w:t>הרמב"ם</w:t>
      </w:r>
      <w:r>
        <w:rPr>
          <w:rFonts w:hint="cs"/>
          <w:rtl/>
        </w:rPr>
        <w:t xml:space="preserve"> לדבריו בדין טעם כעיקר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Ref14712990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w:t>
      </w:r>
      <w:bookmarkEnd w:id="7462"/>
    </w:p>
    <w:p w:rsidR="00FF684E" w:rsidRDefault="00FF684E" w:rsidP="00FF684E">
      <w:pPr>
        <w:pStyle w:val="a2"/>
        <w:rPr>
          <w:rtl/>
        </w:rPr>
      </w:pPr>
      <w:bookmarkStart w:id="7463" w:name="_Toc15227765"/>
      <w:bookmarkStart w:id="7464" w:name="_Toc15227598"/>
      <w:bookmarkStart w:id="7465" w:name="_Toc15163179"/>
      <w:bookmarkStart w:id="7466" w:name="_Toc15057732"/>
      <w:bookmarkStart w:id="7467" w:name="_Toc15034999"/>
      <w:r>
        <w:rPr>
          <w:rFonts w:hint="cs"/>
          <w:rtl/>
        </w:rPr>
        <w:t>דברי הרמב"ם דבשרה פת ביין ויש ממשות יין הנזיר לוקה ברבעית בכא"פ וכדילפינן ממשרת</w:t>
      </w:r>
      <w:bookmarkEnd w:id="7463"/>
      <w:bookmarkEnd w:id="7464"/>
      <w:bookmarkEnd w:id="7465"/>
      <w:bookmarkEnd w:id="7466"/>
      <w:bookmarkEnd w:id="7467"/>
      <w:r>
        <w:rPr>
          <w:rFonts w:hint="cs"/>
          <w:rtl/>
        </w:rPr>
        <w:t xml:space="preserve"> </w:t>
      </w:r>
    </w:p>
    <w:p w:rsidR="00FF684E" w:rsidRDefault="00FF684E" w:rsidP="009F44AF">
      <w:pPr>
        <w:pStyle w:val="a"/>
        <w:rPr>
          <w:rtl/>
        </w:rPr>
      </w:pPr>
      <w:bookmarkStart w:id="7468" w:name="_Ref14857341"/>
      <w:r>
        <w:rPr>
          <w:rFonts w:hint="cs"/>
          <w:rtl/>
        </w:rPr>
        <w:t xml:space="preserve">והוסיף </w:t>
      </w:r>
      <w:r>
        <w:rPr>
          <w:rStyle w:val="af8"/>
          <w:rtl/>
        </w:rPr>
        <w:t>הרמב"ם</w:t>
      </w:r>
      <w:r>
        <w:rPr>
          <w:rFonts w:hint="cs"/>
          <w:rtl/>
        </w:rPr>
        <w:t xml:space="preserve"> </w:t>
      </w:r>
      <w:r>
        <w:rPr>
          <w:rStyle w:val="af6"/>
          <w:rFonts w:eastAsia="Guttman Hodes" w:hint="cs"/>
          <w:rtl/>
        </w:rPr>
        <w:t xml:space="preserve">(נזירות פ"ה ה"ה) </w:t>
      </w:r>
      <w:r>
        <w:rPr>
          <w:rFonts w:hint="cs"/>
          <w:rtl/>
        </w:rPr>
        <w:t xml:space="preserve">דכן אם הנזיר שרה פת ביין, ויש רביעית יין בכדי אכילת פרס מהפת, ואכל הנזיר שיעור פרס, וא"כ אכל רביעית יין בשיעור אכילת פרס, לוקה עליו, דעל זה נאמר בתורה "משרת", דילפינן לאסור דבר שמעורב בו היין ויש לו טעם יין, אך כתב </w:t>
      </w:r>
      <w:r>
        <w:rPr>
          <w:rStyle w:val="af8"/>
          <w:rtl/>
        </w:rPr>
        <w:t>הרמב"ם</w:t>
      </w:r>
      <w:r>
        <w:rPr>
          <w:rFonts w:hint="cs"/>
          <w:rtl/>
        </w:rPr>
        <w:t xml:space="preserve"> דזהו דוקא כשיש בו גם טעמו וגם ממשו של היין כדין שאר איסורי אוכלין, כדכתב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Ref14712990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Style w:val="af0"/>
          <w:rtl/>
        </w:rPr>
        <w:footnoteReference w:id="22"/>
      </w:r>
      <w:r>
        <w:rPr>
          <w:rFonts w:hint="cs"/>
          <w:rtl/>
        </w:rPr>
        <w:t>.</w:t>
      </w:r>
      <w:bookmarkEnd w:id="7468"/>
    </w:p>
    <w:p w:rsidR="00FF684E" w:rsidRDefault="00FF684E" w:rsidP="00FF684E">
      <w:pPr>
        <w:pStyle w:val="a2"/>
        <w:rPr>
          <w:rtl/>
        </w:rPr>
      </w:pPr>
      <w:bookmarkStart w:id="7469" w:name="_Toc15227766"/>
      <w:bookmarkStart w:id="7470" w:name="_Toc15227599"/>
      <w:bookmarkStart w:id="7471" w:name="_Toc15163180"/>
      <w:bookmarkStart w:id="7472" w:name="_Toc15057733"/>
      <w:bookmarkStart w:id="7473" w:name="_Toc15035000"/>
      <w:r>
        <w:rPr>
          <w:rFonts w:hint="cs"/>
          <w:rtl/>
        </w:rPr>
        <w:t>דברי הרמב"ם דיין שנתערב בדבר אחר ויש טעם יין ואין שיעור רביעית בכא"פ אסור מדרבנן</w:t>
      </w:r>
      <w:bookmarkEnd w:id="7469"/>
      <w:bookmarkEnd w:id="7470"/>
      <w:bookmarkEnd w:id="7471"/>
      <w:bookmarkEnd w:id="7472"/>
      <w:bookmarkEnd w:id="7473"/>
    </w:p>
    <w:p w:rsidR="00FF684E" w:rsidRDefault="00FF684E" w:rsidP="009F44AF">
      <w:pPr>
        <w:pStyle w:val="a"/>
        <w:rPr>
          <w:rtl/>
        </w:rPr>
      </w:pPr>
      <w:bookmarkStart w:id="7474" w:name="_Ref14898712"/>
      <w:r>
        <w:rPr>
          <w:rFonts w:hint="cs"/>
          <w:rtl/>
        </w:rPr>
        <w:t xml:space="preserve">ועו"כ </w:t>
      </w:r>
      <w:r>
        <w:rPr>
          <w:rStyle w:val="af8"/>
          <w:rtl/>
        </w:rPr>
        <w:t>הרמב"ם</w:t>
      </w:r>
      <w:r>
        <w:rPr>
          <w:rFonts w:hint="cs"/>
          <w:rtl/>
        </w:rPr>
        <w:t xml:space="preserve"> </w:t>
      </w:r>
      <w:r>
        <w:rPr>
          <w:rStyle w:val="af6"/>
          <w:rFonts w:eastAsia="Guttman Hodes" w:hint="cs"/>
          <w:rtl/>
        </w:rPr>
        <w:t xml:space="preserve">(נזירות פ"ה ה"ו ז') </w:t>
      </w:r>
      <w:r>
        <w:rPr>
          <w:rFonts w:hint="cs"/>
          <w:rtl/>
        </w:rPr>
        <w:t xml:space="preserve">דאם נתערב יין בדבר אחר </w:t>
      </w:r>
      <w:r>
        <w:rPr>
          <w:rStyle w:val="afa"/>
          <w:rtl/>
        </w:rPr>
        <w:t>[כדבש וכיו"ב]</w:t>
      </w:r>
      <w:r>
        <w:rPr>
          <w:rFonts w:hint="cs"/>
          <w:rtl/>
        </w:rPr>
        <w:t xml:space="preserve">, ואין בו טעם יין הוא מותר לנזיר, דאין היין חמור מחֵלֶב ודם, אבל אם היה טעם יין, ואין יין בשיעור רביעית בכדי אכילת פרס, אסור מדרבנן, ומכין אותו מכת מרדות, וציין </w:t>
      </w:r>
      <w:r>
        <w:rPr>
          <w:rStyle w:val="af8"/>
          <w:rtl/>
        </w:rPr>
        <w:t>הרמב"ם</w:t>
      </w:r>
      <w:r>
        <w:rPr>
          <w:rFonts w:hint="cs"/>
          <w:rtl/>
        </w:rPr>
        <w:t xml:space="preserve"> דכתב כן בדין טעם כעיקר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Ref14712990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w:t>
      </w:r>
      <w:bookmarkEnd w:id="7474"/>
    </w:p>
    <w:p w:rsidR="00FF684E" w:rsidRDefault="00FF684E" w:rsidP="00FF684E">
      <w:pPr>
        <w:pStyle w:val="a2"/>
        <w:rPr>
          <w:rtl/>
        </w:rPr>
      </w:pPr>
      <w:bookmarkStart w:id="7475" w:name="_Toc15227767"/>
      <w:bookmarkStart w:id="7476" w:name="_Toc15227600"/>
      <w:bookmarkStart w:id="7477" w:name="_Toc15163181"/>
      <w:bookmarkStart w:id="7478" w:name="_Toc15057734"/>
      <w:bookmarkStart w:id="7479" w:name="_Toc15035001"/>
      <w:r>
        <w:rPr>
          <w:rFonts w:hint="cs"/>
          <w:rtl/>
        </w:rPr>
        <w:t>דברי הראב"ד דיין דכשיש טעם יין ואין שיעור רביעית בכא"פ אסור מדאו' ואין מלקות</w:t>
      </w:r>
      <w:bookmarkEnd w:id="7475"/>
      <w:bookmarkEnd w:id="7476"/>
      <w:bookmarkEnd w:id="7477"/>
      <w:bookmarkEnd w:id="7478"/>
      <w:bookmarkEnd w:id="7479"/>
    </w:p>
    <w:p w:rsidR="00FF684E" w:rsidRDefault="00FF684E" w:rsidP="009F44AF">
      <w:pPr>
        <w:pStyle w:val="a"/>
        <w:rPr>
          <w:rtl/>
        </w:rPr>
      </w:pPr>
      <w:bookmarkStart w:id="7480" w:name="_Ref14857323"/>
      <w:r>
        <w:rPr>
          <w:rFonts w:hint="cs"/>
          <w:rtl/>
        </w:rPr>
        <w:t xml:space="preserve">והשיג עליו </w:t>
      </w:r>
      <w:r>
        <w:rPr>
          <w:rStyle w:val="af8"/>
          <w:rtl/>
        </w:rPr>
        <w:t>הראב"ד</w:t>
      </w:r>
      <w:r>
        <w:rPr>
          <w:rFonts w:hint="cs"/>
          <w:rtl/>
        </w:rPr>
        <w:t xml:space="preserve"> </w:t>
      </w:r>
      <w:r>
        <w:rPr>
          <w:rStyle w:val="af6"/>
          <w:rFonts w:eastAsia="Guttman Hodes" w:hint="cs"/>
          <w:rtl/>
        </w:rPr>
        <w:t>(נזירות פ"ה ה"ו)</w:t>
      </w:r>
      <w:r>
        <w:rPr>
          <w:rFonts w:hint="cs"/>
          <w:rtl/>
        </w:rPr>
        <w:t xml:space="preserve"> דיין שנתערב בדבר אחר </w:t>
      </w:r>
      <w:r>
        <w:rPr>
          <w:rStyle w:val="afa"/>
          <w:rtl/>
        </w:rPr>
        <w:t>[כדבש וכיו"ב]</w:t>
      </w:r>
      <w:r>
        <w:rPr>
          <w:rFonts w:hint="cs"/>
          <w:rtl/>
        </w:rPr>
        <w:t xml:space="preserve">, ויש בתערובת טעם יין, אך הוא פחות מרביעית בכדי אכילת פרס, אסור מדאו' ואין לוקין עליו, ועמ"ש באריכות בביאור דעת </w:t>
      </w:r>
      <w:r>
        <w:rPr>
          <w:rStyle w:val="af8"/>
          <w:rtl/>
        </w:rPr>
        <w:t>הראב"ד</w:t>
      </w:r>
      <w:r>
        <w:rPr>
          <w:rFonts w:hint="cs"/>
          <w:rtl/>
        </w:rPr>
        <w:t xml:space="preserve"> </w:t>
      </w:r>
      <w:r>
        <w:rPr>
          <w:rStyle w:val="af6"/>
          <w:rFonts w:eastAsia="Guttman Hodes" w:hint="cs"/>
          <w:rtl/>
        </w:rPr>
        <w:t>(הובא לעיל סימן י' אות סז)</w:t>
      </w:r>
      <w:r>
        <w:rPr>
          <w:rFonts w:hint="cs"/>
          <w:rtl/>
        </w:rPr>
        <w:t xml:space="preserve"> בטעם כעיקר.</w:t>
      </w:r>
      <w:bookmarkEnd w:id="7480"/>
    </w:p>
    <w:p w:rsidR="00FF684E" w:rsidRDefault="00FF684E" w:rsidP="007E08E0">
      <w:pPr>
        <w:pStyle w:val="1"/>
        <w:rPr>
          <w:rtl/>
        </w:rPr>
      </w:pPr>
      <w:bookmarkStart w:id="7481" w:name="_Toc15227768"/>
      <w:bookmarkStart w:id="7482" w:name="_Toc15227601"/>
      <w:bookmarkStart w:id="7483" w:name="_Toc15163182"/>
      <w:bookmarkStart w:id="7484" w:name="_Toc15057735"/>
      <w:bookmarkStart w:id="7485" w:name="_Toc15035002"/>
      <w:r>
        <w:rPr>
          <w:rFonts w:hint="cs"/>
          <w:rtl/>
        </w:rPr>
        <w:t>פלוגתת הרמב"ם והראב"ד בדין עיסת אורז</w:t>
      </w:r>
      <w:bookmarkEnd w:id="7448"/>
      <w:bookmarkEnd w:id="7449"/>
      <w:bookmarkEnd w:id="7455"/>
      <w:bookmarkEnd w:id="7456"/>
      <w:r>
        <w:rPr>
          <w:rFonts w:hint="cs"/>
          <w:rtl/>
        </w:rPr>
        <w:t xml:space="preserve"> בפחות מכא"פ</w:t>
      </w:r>
      <w:bookmarkEnd w:id="7481"/>
      <w:bookmarkEnd w:id="7482"/>
      <w:bookmarkEnd w:id="7483"/>
      <w:bookmarkEnd w:id="7484"/>
      <w:bookmarkEnd w:id="7485"/>
    </w:p>
    <w:p w:rsidR="00FF684E" w:rsidRDefault="00FF684E" w:rsidP="00FF684E">
      <w:pPr>
        <w:pStyle w:val="a2"/>
        <w:rPr>
          <w:rtl/>
        </w:rPr>
      </w:pPr>
      <w:bookmarkStart w:id="7486" w:name="_Toc15227769"/>
      <w:bookmarkStart w:id="7487" w:name="_Toc15227602"/>
      <w:bookmarkStart w:id="7488" w:name="_Toc15163183"/>
      <w:bookmarkStart w:id="7489" w:name="_Toc15057736"/>
      <w:bookmarkStart w:id="7490" w:name="_Toc15035003"/>
      <w:r>
        <w:rPr>
          <w:rFonts w:hint="cs"/>
          <w:rtl/>
        </w:rPr>
        <w:t>דברי הרמב"ם דבעיסה מחיטים ומאורז אם יש בה טעם דגן יוצא בה יד"ח מצה בפסח</w:t>
      </w:r>
      <w:bookmarkEnd w:id="7486"/>
      <w:bookmarkEnd w:id="7487"/>
      <w:bookmarkEnd w:id="7488"/>
      <w:bookmarkEnd w:id="7489"/>
      <w:bookmarkEnd w:id="7490"/>
    </w:p>
    <w:p w:rsidR="00FF684E" w:rsidRDefault="00FF684E" w:rsidP="009F44AF">
      <w:pPr>
        <w:pStyle w:val="a"/>
        <w:rPr>
          <w:rtl/>
        </w:rPr>
      </w:pPr>
      <w:bookmarkStart w:id="7491" w:name="_Ref15034049"/>
      <w:r>
        <w:rPr>
          <w:rFonts w:hint="cs"/>
          <w:rtl/>
        </w:rPr>
        <w:t xml:space="preserve">כתב </w:t>
      </w:r>
      <w:r>
        <w:rPr>
          <w:rStyle w:val="af8"/>
          <w:rtl/>
        </w:rPr>
        <w:t>הרמב"ם</w:t>
      </w:r>
      <w:r>
        <w:rPr>
          <w:rFonts w:hint="cs"/>
          <w:rtl/>
        </w:rPr>
        <w:t xml:space="preserve"> </w:t>
      </w:r>
      <w:r>
        <w:rPr>
          <w:rStyle w:val="af6"/>
          <w:rFonts w:eastAsia="Guttman Hodes" w:hint="cs"/>
          <w:rtl/>
        </w:rPr>
        <w:t xml:space="preserve">(חמץ ומצה פ"ו ה"ה) </w:t>
      </w:r>
      <w:r>
        <w:rPr>
          <w:rFonts w:hint="cs"/>
          <w:rtl/>
        </w:rPr>
        <w:t>דהעושה עיסה מחיטים ומאורז, כל שיש בה טעם דגן, יוצא בה יד"ח מצה בפסח.</w:t>
      </w:r>
      <w:bookmarkEnd w:id="7491"/>
    </w:p>
    <w:p w:rsidR="00FF684E" w:rsidRDefault="00FF684E" w:rsidP="00FF684E">
      <w:pPr>
        <w:pStyle w:val="a2"/>
        <w:rPr>
          <w:rtl/>
        </w:rPr>
      </w:pPr>
      <w:bookmarkStart w:id="7492" w:name="_Toc15227770"/>
      <w:bookmarkStart w:id="7493" w:name="_Toc15227603"/>
      <w:bookmarkStart w:id="7494" w:name="_Toc15163184"/>
      <w:bookmarkStart w:id="7495" w:name="_Toc15057737"/>
      <w:bookmarkStart w:id="7496" w:name="_Toc15035004"/>
      <w:r>
        <w:rPr>
          <w:rFonts w:hint="cs"/>
          <w:rtl/>
        </w:rPr>
        <w:t>דברי הראב"ד דרק כשיש כזית דגן ואוכלו בכא"פ יוצא בה יד"ח מצה</w:t>
      </w:r>
      <w:bookmarkEnd w:id="7492"/>
      <w:bookmarkEnd w:id="7493"/>
      <w:bookmarkEnd w:id="7494"/>
      <w:bookmarkEnd w:id="7495"/>
      <w:bookmarkEnd w:id="7496"/>
    </w:p>
    <w:p w:rsidR="00FF684E" w:rsidRDefault="00FF684E" w:rsidP="009F44AF">
      <w:pPr>
        <w:pStyle w:val="a"/>
        <w:rPr>
          <w:rtl/>
        </w:rPr>
      </w:pPr>
      <w:bookmarkStart w:id="7497" w:name="_Ref15210302"/>
      <w:r>
        <w:rPr>
          <w:rFonts w:hint="cs"/>
          <w:rtl/>
        </w:rPr>
        <w:t xml:space="preserve">והשיג עליו </w:t>
      </w:r>
      <w:r>
        <w:rPr>
          <w:rStyle w:val="af8"/>
          <w:rtl/>
        </w:rPr>
        <w:t>הראב"ד</w:t>
      </w:r>
      <w:r>
        <w:rPr>
          <w:rFonts w:hint="cs"/>
          <w:rtl/>
        </w:rPr>
        <w:t xml:space="preserve"> </w:t>
      </w:r>
      <w:r>
        <w:rPr>
          <w:rStyle w:val="af6"/>
          <w:rFonts w:eastAsia="Guttman Hodes" w:hint="cs"/>
          <w:rtl/>
        </w:rPr>
        <w:t xml:space="preserve">(חמץ ומצה פ"ו ה"ה) </w:t>
      </w:r>
      <w:r>
        <w:rPr>
          <w:rFonts w:hint="cs"/>
          <w:rtl/>
        </w:rPr>
        <w:t xml:space="preserve">דהיינו דוקא באופן שיש בעיסה כזית דגן, שאוכלו בכדי אכילת פרס, ועמ"ש באריכות בביאור דעת </w:t>
      </w:r>
      <w:r>
        <w:rPr>
          <w:rStyle w:val="af8"/>
          <w:rtl/>
        </w:rPr>
        <w:t>הראב"ד</w:t>
      </w:r>
      <w:r>
        <w:rPr>
          <w:rFonts w:hint="cs"/>
          <w:rtl/>
        </w:rPr>
        <w:t xml:space="preserve"> </w:t>
      </w:r>
      <w:r>
        <w:rPr>
          <w:rStyle w:val="af6"/>
          <w:rFonts w:eastAsia="Guttman Hodes" w:hint="cs"/>
          <w:rtl/>
        </w:rPr>
        <w:t>(הובא לעיל סימן י' אות סז)</w:t>
      </w:r>
      <w:r>
        <w:rPr>
          <w:rFonts w:hint="cs"/>
          <w:rtl/>
        </w:rPr>
        <w:t xml:space="preserve"> בטעם כעיקר.</w:t>
      </w:r>
      <w:bookmarkEnd w:id="7497"/>
    </w:p>
    <w:p w:rsidR="00FF684E" w:rsidRDefault="00FF684E" w:rsidP="00FF684E">
      <w:pPr>
        <w:pStyle w:val="a2"/>
        <w:rPr>
          <w:rtl/>
        </w:rPr>
      </w:pPr>
      <w:bookmarkStart w:id="7498" w:name="_Toc15227771"/>
      <w:bookmarkStart w:id="7499" w:name="_Toc15227604"/>
      <w:bookmarkStart w:id="7500" w:name="_Toc15163185"/>
      <w:bookmarkStart w:id="7501" w:name="_Toc15057738"/>
      <w:bookmarkStart w:id="7502" w:name="_Toc15035005"/>
      <w:r>
        <w:rPr>
          <w:rFonts w:hint="cs"/>
          <w:rtl/>
        </w:rPr>
        <w:t>דברי המ"מ דהרמב"ם ס"ל כרמב"ן דאף בפחות מכזית בכא"פ יוצא יד"ח מצה מדין גרירה</w:t>
      </w:r>
      <w:bookmarkEnd w:id="7498"/>
      <w:bookmarkEnd w:id="7499"/>
      <w:bookmarkEnd w:id="7500"/>
      <w:bookmarkEnd w:id="7501"/>
      <w:bookmarkEnd w:id="7502"/>
    </w:p>
    <w:p w:rsidR="00FF684E" w:rsidRDefault="00FF684E" w:rsidP="009F44AF">
      <w:pPr>
        <w:pStyle w:val="a"/>
        <w:rPr>
          <w:rtl/>
        </w:rPr>
      </w:pPr>
      <w:bookmarkStart w:id="7503" w:name="_Ref15210431"/>
      <w:r>
        <w:rPr>
          <w:rFonts w:hint="cs"/>
          <w:rtl/>
        </w:rPr>
        <w:t xml:space="preserve">ותירץ </w:t>
      </w:r>
      <w:r>
        <w:rPr>
          <w:rStyle w:val="af8"/>
          <w:rtl/>
        </w:rPr>
        <w:t xml:space="preserve">המ"מ </w:t>
      </w:r>
      <w:r>
        <w:rPr>
          <w:rStyle w:val="af6"/>
          <w:rFonts w:eastAsia="Guttman Hodes" w:hint="cs"/>
          <w:rtl/>
        </w:rPr>
        <w:t>(חמץ ומצה פ"ו ה"ה)</w:t>
      </w:r>
      <w:r>
        <w:rPr>
          <w:rFonts w:hint="cs"/>
          <w:rtl/>
        </w:rPr>
        <w:t xml:space="preserve"> דס"ל </w:t>
      </w:r>
      <w:r>
        <w:rPr>
          <w:rStyle w:val="af8"/>
          <w:rtl/>
        </w:rPr>
        <w:t xml:space="preserve">להרמב"ם </w:t>
      </w:r>
      <w:r>
        <w:rPr>
          <w:rFonts w:hint="cs"/>
          <w:rtl/>
        </w:rPr>
        <w:t xml:space="preserve">כמבואר מדברי </w:t>
      </w:r>
      <w:r>
        <w:rPr>
          <w:rStyle w:val="af8"/>
          <w:rtl/>
        </w:rPr>
        <w:t>הרמב"ן בהלכות חלה</w:t>
      </w:r>
      <w:r>
        <w:rPr>
          <w:rFonts w:hint="cs"/>
          <w:rtl/>
        </w:rPr>
        <w:t xml:space="preserve"> </w:t>
      </w:r>
      <w:r>
        <w:rPr>
          <w:rStyle w:val="af6"/>
          <w:rFonts w:eastAsia="Guttman Hodes" w:hint="cs"/>
          <w:rtl/>
        </w:rPr>
        <w:t>(פ"ג מ"ז נד' בסוף בכורות לא. מדה"ס, ["וילנא" עמ' ק"ה "עוז והדר" עמ' קכ"א], הובא לעיל סימן י' אות נג)</w:t>
      </w:r>
      <w:r>
        <w:rPr>
          <w:rFonts w:hint="cs"/>
          <w:rtl/>
        </w:rPr>
        <w:t xml:space="preserve"> דאף כשיש חיטים בפחות מכזית בכדי אכילת פרס, יוצא בה יד"ח מצה, וכתב </w:t>
      </w:r>
      <w:r>
        <w:rPr>
          <w:rStyle w:val="af8"/>
          <w:rtl/>
        </w:rPr>
        <w:t>הרמב"ן</w:t>
      </w:r>
      <w:r>
        <w:rPr>
          <w:rFonts w:hint="cs"/>
          <w:rtl/>
        </w:rPr>
        <w:t xml:space="preserve"> דמבואר בירושלמי בחלה </w:t>
      </w:r>
      <w:r>
        <w:rPr>
          <w:rStyle w:val="af6"/>
          <w:rFonts w:eastAsia="Guttman Hodes" w:hint="cs"/>
          <w:rtl/>
        </w:rPr>
        <w:t>(פ"א ה"א א:)</w:t>
      </w:r>
      <w:r>
        <w:rPr>
          <w:rFonts w:hint="cs"/>
          <w:rtl/>
        </w:rPr>
        <w:t xml:space="preserve"> דהא דיש לה דין עיסת חיטים הוא מדין גרירה, דהחיטים גוררים את האורז, </w:t>
      </w:r>
      <w:r>
        <w:rPr>
          <w:rStyle w:val="afa"/>
          <w:rtl/>
        </w:rPr>
        <w:t>[דלדין מצה בעינן דגן הבא לידי חימוץ, וכשנגרר אחר החיטים אף האורז בא לידי חימוץ],</w:t>
      </w:r>
      <w:r>
        <w:rPr>
          <w:rFonts w:hint="cs"/>
          <w:rtl/>
        </w:rPr>
        <w:t xml:space="preserve"> והאורז הוא כחיטים ולכן יש לה דין עיסת חיטים, והוא דוקא באורז ולא בשאר מינים, ועי' במה שהאריך </w:t>
      </w:r>
      <w:r>
        <w:rPr>
          <w:rStyle w:val="af8"/>
          <w:rtl/>
        </w:rPr>
        <w:t>הקה"י בפסחים</w:t>
      </w:r>
      <w:r>
        <w:rPr>
          <w:rFonts w:hint="cs"/>
          <w:rtl/>
        </w:rPr>
        <w:t xml:space="preserve"> </w:t>
      </w:r>
      <w:r>
        <w:rPr>
          <w:rStyle w:val="af6"/>
          <w:rFonts w:eastAsia="Guttman Hodes" w:hint="cs"/>
          <w:rtl/>
        </w:rPr>
        <w:t>(סי' ל"ג ד"ה כתב הרמב"ם)</w:t>
      </w:r>
      <w:r>
        <w:rPr>
          <w:rFonts w:hint="cs"/>
          <w:rtl/>
        </w:rPr>
        <w:t xml:space="preserve"> בביאור דברי </w:t>
      </w:r>
      <w:r>
        <w:rPr>
          <w:rStyle w:val="af8"/>
          <w:rtl/>
        </w:rPr>
        <w:t>המ"מ</w:t>
      </w:r>
      <w:r>
        <w:rPr>
          <w:rFonts w:hint="cs"/>
          <w:rtl/>
        </w:rPr>
        <w:t>.</w:t>
      </w:r>
      <w:bookmarkEnd w:id="7503"/>
      <w:r>
        <w:rPr>
          <w:rFonts w:hint="cs"/>
          <w:rtl/>
        </w:rPr>
        <w:t xml:space="preserve"> </w:t>
      </w:r>
    </w:p>
    <w:p w:rsidR="00FF684E" w:rsidRDefault="00FF684E" w:rsidP="00FF684E">
      <w:pPr>
        <w:pStyle w:val="a2"/>
        <w:rPr>
          <w:rtl/>
        </w:rPr>
      </w:pPr>
      <w:bookmarkStart w:id="7504" w:name="_Toc15227772"/>
      <w:bookmarkStart w:id="7505" w:name="_Toc15227605"/>
      <w:bookmarkStart w:id="7506" w:name="_Toc15163186"/>
      <w:bookmarkStart w:id="7507" w:name="_Toc15057739"/>
      <w:bookmarkStart w:id="7508" w:name="_Toc15035006"/>
      <w:r>
        <w:rPr>
          <w:rFonts w:hint="cs"/>
          <w:rtl/>
        </w:rPr>
        <w:t>דברי הרמב"ם דעיסה מחיטים ואורז שיש בה טעם דגן חייבת בחלה</w:t>
      </w:r>
      <w:bookmarkEnd w:id="7504"/>
      <w:bookmarkEnd w:id="7505"/>
      <w:bookmarkEnd w:id="7506"/>
      <w:bookmarkEnd w:id="7507"/>
      <w:bookmarkEnd w:id="7508"/>
    </w:p>
    <w:p w:rsidR="00FF684E" w:rsidRDefault="00FF684E" w:rsidP="009F44AF">
      <w:pPr>
        <w:pStyle w:val="a"/>
        <w:rPr>
          <w:rtl/>
        </w:rPr>
      </w:pPr>
      <w:bookmarkStart w:id="7509" w:name="_Ref15210285"/>
      <w:r>
        <w:rPr>
          <w:rFonts w:hint="cs"/>
          <w:rtl/>
        </w:rPr>
        <w:t xml:space="preserve">ועוד כתב </w:t>
      </w:r>
      <w:r>
        <w:rPr>
          <w:rStyle w:val="af8"/>
          <w:rtl/>
        </w:rPr>
        <w:t>הרמב"ם</w:t>
      </w:r>
      <w:r>
        <w:rPr>
          <w:rFonts w:hint="cs"/>
          <w:rtl/>
        </w:rPr>
        <w:t xml:space="preserve"> </w:t>
      </w:r>
      <w:r>
        <w:rPr>
          <w:rStyle w:val="af6"/>
          <w:rFonts w:eastAsia="Guttman Hodes" w:hint="cs"/>
          <w:rtl/>
        </w:rPr>
        <w:t>(ביכורים פ"ו הי"א)</w:t>
      </w:r>
      <w:r>
        <w:rPr>
          <w:rFonts w:hint="cs"/>
          <w:rtl/>
        </w:rPr>
        <w:t xml:space="preserve"> דהמערב קמח של חיטים על קמח של אורז לעיסה אחת, אם יש בה טעם דגן היא חייבת בחלה, ואם אין בה טעם דגן היא פטורה מן החלה.</w:t>
      </w:r>
      <w:bookmarkEnd w:id="7509"/>
    </w:p>
    <w:p w:rsidR="00FF684E" w:rsidRDefault="00FF684E" w:rsidP="00FF684E">
      <w:pPr>
        <w:pStyle w:val="a2"/>
        <w:rPr>
          <w:rtl/>
        </w:rPr>
      </w:pPr>
      <w:bookmarkStart w:id="7510" w:name="_Toc15227773"/>
      <w:bookmarkStart w:id="7511" w:name="_Toc15227606"/>
      <w:bookmarkStart w:id="7512" w:name="_Toc15163187"/>
      <w:bookmarkStart w:id="7513" w:name="_Toc15057740"/>
      <w:bookmarkStart w:id="7514" w:name="_Toc15035007"/>
      <w:r>
        <w:rPr>
          <w:rFonts w:hint="cs"/>
          <w:rtl/>
        </w:rPr>
        <w:t>דברי הראב"ד דקיי"ל כרשב"ג דרק כשיש בה שיעור דגן המחייב בחלה היא חייבת אף שרובה אורז</w:t>
      </w:r>
      <w:bookmarkEnd w:id="7510"/>
      <w:bookmarkEnd w:id="7511"/>
      <w:bookmarkEnd w:id="7512"/>
      <w:bookmarkEnd w:id="7513"/>
      <w:bookmarkEnd w:id="7514"/>
    </w:p>
    <w:p w:rsidR="00FF684E" w:rsidRDefault="00FF684E" w:rsidP="009F44AF">
      <w:pPr>
        <w:pStyle w:val="a"/>
        <w:rPr>
          <w:rtl/>
        </w:rPr>
      </w:pPr>
      <w:r>
        <w:rPr>
          <w:rFonts w:hint="cs"/>
          <w:rtl/>
        </w:rPr>
        <w:t xml:space="preserve">והשיג עליו </w:t>
      </w:r>
      <w:r>
        <w:rPr>
          <w:rStyle w:val="af8"/>
          <w:rtl/>
        </w:rPr>
        <w:t>הראב"ד</w:t>
      </w:r>
      <w:r>
        <w:rPr>
          <w:rFonts w:hint="cs"/>
          <w:rtl/>
        </w:rPr>
        <w:t xml:space="preserve"> </w:t>
      </w:r>
      <w:r>
        <w:rPr>
          <w:rStyle w:val="af6"/>
          <w:rFonts w:eastAsia="Guttman Hodes" w:hint="cs"/>
          <w:rtl/>
        </w:rPr>
        <w:t>(ביכורים פ"ו הי"א)</w:t>
      </w:r>
      <w:r>
        <w:rPr>
          <w:rFonts w:hint="cs"/>
          <w:rtl/>
        </w:rPr>
        <w:t xml:space="preserve"> דמבואר בירושלמי בחלה </w:t>
      </w:r>
      <w:r>
        <w:rPr>
          <w:rStyle w:val="af6"/>
          <w:rFonts w:eastAsia="Guttman Hodes" w:hint="cs"/>
          <w:rtl/>
        </w:rPr>
        <w:t>(פ"ג ה"ה יח:)</w:t>
      </w:r>
      <w:r>
        <w:rPr>
          <w:rFonts w:hint="cs"/>
          <w:rtl/>
        </w:rPr>
        <w:t xml:space="preserve"> דקיי"ל כרשב"ג, דאין עיסת האורז חייבת בחלה עד שיהיה בה חיטים כשיעור חיוב חלה, והוסיף </w:t>
      </w:r>
      <w:r>
        <w:rPr>
          <w:rStyle w:val="af8"/>
          <w:rtl/>
        </w:rPr>
        <w:t>הראב"ד</w:t>
      </w:r>
      <w:r>
        <w:rPr>
          <w:rFonts w:hint="cs"/>
          <w:rtl/>
        </w:rPr>
        <w:t xml:space="preserve"> דכשיש בה חיטים בשיעור חלה ויש בה טעם דגן, היא חייבת בחלה, אף שרובה אורז </w:t>
      </w:r>
      <w:r>
        <w:rPr>
          <w:rFonts w:hint="cs"/>
          <w:rtl/>
        </w:rPr>
        <w:lastRenderedPageBreak/>
        <w:t xml:space="preserve">ואין בה רוב דגן, וכ"כ </w:t>
      </w:r>
      <w:r>
        <w:rPr>
          <w:rStyle w:val="af8"/>
          <w:rtl/>
        </w:rPr>
        <w:t>הראב"ד בתמים דעים</w:t>
      </w:r>
      <w:r>
        <w:rPr>
          <w:rFonts w:hint="cs"/>
          <w:rtl/>
        </w:rPr>
        <w:t xml:space="preserve"> </w:t>
      </w:r>
      <w:r>
        <w:rPr>
          <w:rStyle w:val="af6"/>
          <w:rFonts w:eastAsia="Guttman Hodes" w:hint="cs"/>
          <w:rtl/>
        </w:rPr>
        <w:t>(סי' ז', הועתק בקובץ שיטות קמאי חולין ח"ג עמ' ב' אלף רפג, הובא לעיל סימן י' אות עד)</w:t>
      </w:r>
      <w:r>
        <w:rPr>
          <w:rFonts w:hint="cs"/>
          <w:rtl/>
        </w:rPr>
        <w:t xml:space="preserve"> </w:t>
      </w:r>
      <w:r>
        <w:rPr>
          <w:rStyle w:val="af8"/>
          <w:rtl/>
        </w:rPr>
        <w:t>ובתשו'</w:t>
      </w:r>
      <w:r>
        <w:rPr>
          <w:rStyle w:val="af6"/>
          <w:rFonts w:eastAsia="Guttman Hodes" w:hint="cs"/>
          <w:rtl/>
        </w:rPr>
        <w:t xml:space="preserve"> (סי' צ"ב ד"ה ואני תמה)</w:t>
      </w:r>
      <w:r>
        <w:rPr>
          <w:rFonts w:hint="cs"/>
          <w:rtl/>
        </w:rPr>
        <w:t>.</w:t>
      </w:r>
    </w:p>
    <w:p w:rsidR="00FF684E" w:rsidRDefault="00FF684E" w:rsidP="007E08E0">
      <w:pPr>
        <w:pStyle w:val="1"/>
        <w:rPr>
          <w:rtl/>
        </w:rPr>
      </w:pPr>
      <w:bookmarkStart w:id="7515" w:name="_Toc15227774"/>
      <w:bookmarkStart w:id="7516" w:name="_Toc15227607"/>
      <w:bookmarkStart w:id="7517" w:name="_Toc15163188"/>
      <w:bookmarkStart w:id="7518" w:name="_Toc15057741"/>
      <w:bookmarkStart w:id="7519" w:name="_Toc15035008"/>
      <w:r>
        <w:rPr>
          <w:rFonts w:hint="cs"/>
          <w:rtl/>
        </w:rPr>
        <w:t>פלוגתת הרמב"ם והראב"ד בתערובת חמץ בפחות מכא"פ</w:t>
      </w:r>
      <w:bookmarkEnd w:id="7515"/>
      <w:bookmarkEnd w:id="7516"/>
      <w:bookmarkEnd w:id="7517"/>
      <w:bookmarkEnd w:id="7518"/>
      <w:bookmarkEnd w:id="7519"/>
    </w:p>
    <w:p w:rsidR="00FF684E" w:rsidRDefault="00FF684E" w:rsidP="00FF684E">
      <w:pPr>
        <w:pStyle w:val="a2"/>
        <w:rPr>
          <w:rtl/>
        </w:rPr>
      </w:pPr>
      <w:bookmarkStart w:id="7520" w:name="_Toc15227775"/>
      <w:bookmarkStart w:id="7521" w:name="_Toc15227608"/>
      <w:bookmarkStart w:id="7522" w:name="_Toc15163189"/>
      <w:bookmarkStart w:id="7523" w:name="_Toc15057742"/>
      <w:bookmarkStart w:id="7524" w:name="_Toc15035009"/>
      <w:r>
        <w:rPr>
          <w:rFonts w:hint="cs"/>
          <w:rtl/>
        </w:rPr>
        <w:t>דברי הרמב"ם דבתערובת חמץ אין כרת וכשאכל כזית בכא"פ לוקין ובפחות מכין מכת מרדות</w:t>
      </w:r>
      <w:bookmarkEnd w:id="7520"/>
      <w:bookmarkEnd w:id="7521"/>
      <w:bookmarkEnd w:id="7522"/>
      <w:bookmarkEnd w:id="7523"/>
      <w:bookmarkEnd w:id="7524"/>
    </w:p>
    <w:p w:rsidR="00FF684E" w:rsidRDefault="00FF684E" w:rsidP="009F44AF">
      <w:pPr>
        <w:pStyle w:val="a"/>
        <w:rPr>
          <w:rtl/>
        </w:rPr>
      </w:pPr>
      <w:bookmarkStart w:id="7525" w:name="_Ref15034275"/>
      <w:bookmarkStart w:id="7526" w:name="_Toc14993494"/>
      <w:bookmarkStart w:id="7527" w:name="_Toc14973642"/>
      <w:bookmarkStart w:id="7528" w:name="_Toc14735054"/>
      <w:bookmarkStart w:id="7529" w:name="_Toc14726118"/>
      <w:bookmarkStart w:id="7530" w:name="_Toc14551993"/>
      <w:r>
        <w:rPr>
          <w:rFonts w:hint="cs"/>
          <w:rtl/>
        </w:rPr>
        <w:t xml:space="preserve">עוד כתב </w:t>
      </w:r>
      <w:r>
        <w:rPr>
          <w:rStyle w:val="af8"/>
          <w:rtl/>
        </w:rPr>
        <w:t>הרמב"ם</w:t>
      </w:r>
      <w:r>
        <w:rPr>
          <w:rFonts w:hint="cs"/>
          <w:rtl/>
        </w:rPr>
        <w:t xml:space="preserve"> </w:t>
      </w:r>
      <w:r>
        <w:rPr>
          <w:rStyle w:val="af6"/>
          <w:rFonts w:eastAsia="Guttman Hodes" w:hint="cs"/>
          <w:rtl/>
        </w:rPr>
        <w:t xml:space="preserve">(חמץ ומצה פ"א ה"ו) </w:t>
      </w:r>
      <w:r>
        <w:rPr>
          <w:rFonts w:hint="cs"/>
          <w:rtl/>
        </w:rPr>
        <w:t>דחיוב כרת באכילת חמץ הוא רק כשאכל את החמץ עצמו, אבל אם אכל דבר שמעורב בו חמץ ככותח הבבלי ושכר המדי, לוקה על אכילתם אך אין בו כרת, והוסיף הרמב"ם דהא דלוקה הוא רק כשאכל כזית חמץ בכדי אכילת פרס, אבל אם אין בתערובת כזית חמץ בכדי אכילת פרס, אעפ"י שאסור לאוכלה, אין לוקין עליה, ומכין אותו מכת מרדות מדרבנן.</w:t>
      </w:r>
      <w:bookmarkEnd w:id="7525"/>
    </w:p>
    <w:p w:rsidR="00FF684E" w:rsidRDefault="00FF684E" w:rsidP="00FF684E">
      <w:pPr>
        <w:pStyle w:val="a2"/>
        <w:rPr>
          <w:rtl/>
        </w:rPr>
      </w:pPr>
      <w:bookmarkStart w:id="7531" w:name="_Toc15227776"/>
      <w:bookmarkStart w:id="7532" w:name="_Toc15227609"/>
      <w:bookmarkStart w:id="7533" w:name="_Toc15163190"/>
      <w:bookmarkStart w:id="7534" w:name="_Toc15057743"/>
      <w:bookmarkStart w:id="7535" w:name="_Toc15035010"/>
      <w:r>
        <w:rPr>
          <w:rFonts w:hint="cs"/>
          <w:rtl/>
        </w:rPr>
        <w:t>דברי הראב"ד דהריף פסק בתערובת חמץ כרבנן כיון שאין בכותח כזית בכא"פ</w:t>
      </w:r>
      <w:bookmarkEnd w:id="7531"/>
      <w:bookmarkEnd w:id="7532"/>
      <w:bookmarkEnd w:id="7533"/>
      <w:bookmarkEnd w:id="7534"/>
      <w:bookmarkEnd w:id="7535"/>
    </w:p>
    <w:p w:rsidR="00FF684E" w:rsidRDefault="00FF684E" w:rsidP="009F44AF">
      <w:pPr>
        <w:pStyle w:val="a"/>
        <w:rPr>
          <w:rtl/>
        </w:rPr>
      </w:pPr>
      <w:bookmarkStart w:id="7536" w:name="_Ref15223924"/>
      <w:r>
        <w:rPr>
          <w:rFonts w:hint="cs"/>
          <w:rtl/>
        </w:rPr>
        <w:t xml:space="preserve">והשיג </w:t>
      </w:r>
      <w:r>
        <w:rPr>
          <w:rStyle w:val="af8"/>
          <w:rtl/>
        </w:rPr>
        <w:t>הראב"ד</w:t>
      </w:r>
      <w:r>
        <w:rPr>
          <w:rFonts w:hint="cs"/>
          <w:rtl/>
        </w:rPr>
        <w:t xml:space="preserve"> </w:t>
      </w:r>
      <w:r>
        <w:rPr>
          <w:rStyle w:val="af6"/>
          <w:rFonts w:eastAsia="Guttman Hodes" w:hint="cs"/>
          <w:rtl/>
        </w:rPr>
        <w:t>(מאכ"א פ"ו ה"א)</w:t>
      </w:r>
      <w:r>
        <w:rPr>
          <w:rFonts w:hint="cs"/>
          <w:rtl/>
        </w:rPr>
        <w:t xml:space="preserve"> </w:t>
      </w:r>
      <w:r>
        <w:rPr>
          <w:rStyle w:val="af8"/>
          <w:rtl/>
        </w:rPr>
        <w:t xml:space="preserve">דהרי"ף </w:t>
      </w:r>
      <w:r>
        <w:rPr>
          <w:rStyle w:val="af6"/>
          <w:rFonts w:eastAsia="Guttman Hodes" w:hint="cs"/>
          <w:rtl/>
        </w:rPr>
        <w:t>(פסחים יג: מדפי הרי"ף)</w:t>
      </w:r>
      <w:r>
        <w:rPr>
          <w:rFonts w:hint="cs"/>
          <w:rtl/>
        </w:rPr>
        <w:t xml:space="preserve"> פסק בכותח הבבלי ושכר כרבנן בגמ' בפסחים </w:t>
      </w:r>
      <w:r>
        <w:rPr>
          <w:rStyle w:val="af6"/>
          <w:rFonts w:eastAsia="Guttman Hodes" w:hint="cs"/>
          <w:rtl/>
        </w:rPr>
        <w:t>(מד.)</w:t>
      </w:r>
      <w:r>
        <w:rPr>
          <w:rFonts w:hint="cs"/>
          <w:rtl/>
        </w:rPr>
        <w:t xml:space="preserve"> כיון שאין בכותח כזית בכדי אכילת פרס.</w:t>
      </w:r>
      <w:bookmarkEnd w:id="7536"/>
    </w:p>
    <w:p w:rsidR="00FF684E" w:rsidRDefault="00FF684E" w:rsidP="00FF684E">
      <w:pPr>
        <w:pStyle w:val="a2"/>
        <w:rPr>
          <w:rtl/>
        </w:rPr>
      </w:pPr>
      <w:bookmarkStart w:id="7537" w:name="_Toc15227777"/>
      <w:bookmarkStart w:id="7538" w:name="_Toc15227610"/>
      <w:bookmarkStart w:id="7539" w:name="_Toc15163191"/>
      <w:bookmarkStart w:id="7540" w:name="_Toc15057744"/>
      <w:bookmarkStart w:id="7541" w:name="_Toc15035011"/>
      <w:r>
        <w:rPr>
          <w:rFonts w:hint="cs"/>
          <w:rtl/>
        </w:rPr>
        <w:t>ביאור המ"מ בהשג' הראב"ד דמשמע בדברי הרמב"ם דבכותח יש כזית בכא"פ ודלא כהרי"ף</w:t>
      </w:r>
      <w:bookmarkEnd w:id="7537"/>
      <w:bookmarkEnd w:id="7538"/>
      <w:bookmarkEnd w:id="7539"/>
      <w:bookmarkEnd w:id="7540"/>
      <w:bookmarkEnd w:id="7541"/>
    </w:p>
    <w:p w:rsidR="00FF684E" w:rsidRDefault="00FF684E" w:rsidP="009F44AF">
      <w:pPr>
        <w:pStyle w:val="a"/>
        <w:rPr>
          <w:rtl/>
        </w:rPr>
      </w:pPr>
      <w:bookmarkStart w:id="7542" w:name="_Ref15034103"/>
      <w:r>
        <w:rPr>
          <w:rFonts w:hint="cs"/>
          <w:rtl/>
        </w:rPr>
        <w:t xml:space="preserve">וביאר </w:t>
      </w:r>
      <w:r>
        <w:rPr>
          <w:rStyle w:val="af8"/>
          <w:rtl/>
        </w:rPr>
        <w:t>המ"מ</w:t>
      </w:r>
      <w:r>
        <w:rPr>
          <w:rFonts w:hint="cs"/>
          <w:rtl/>
        </w:rPr>
        <w:t xml:space="preserve"> </w:t>
      </w:r>
      <w:r>
        <w:rPr>
          <w:rStyle w:val="af6"/>
          <w:rFonts w:eastAsia="Guttman Hodes" w:hint="cs"/>
          <w:rtl/>
        </w:rPr>
        <w:t>(חמץ ומצה פ"א ה"ו)</w:t>
      </w:r>
      <w:r>
        <w:rPr>
          <w:rFonts w:hint="cs"/>
          <w:rtl/>
        </w:rPr>
        <w:t xml:space="preserve"> דכוונת </w:t>
      </w:r>
      <w:r>
        <w:rPr>
          <w:rStyle w:val="af8"/>
          <w:rtl/>
        </w:rPr>
        <w:t xml:space="preserve">הראב"ד </w:t>
      </w:r>
      <w:r>
        <w:rPr>
          <w:rFonts w:hint="cs"/>
          <w:rtl/>
        </w:rPr>
        <w:t xml:space="preserve">לומר דמדברי </w:t>
      </w:r>
      <w:r>
        <w:rPr>
          <w:rStyle w:val="af8"/>
          <w:rtl/>
        </w:rPr>
        <w:t>הרמב"ם</w:t>
      </w:r>
      <w:r>
        <w:rPr>
          <w:rFonts w:hint="cs"/>
          <w:rtl/>
        </w:rPr>
        <w:t xml:space="preserve"> משמע דבכותח הבבלי ושכר המדי יש כזית בכדי אכילת פרס, ואילו בדברי </w:t>
      </w:r>
      <w:r>
        <w:rPr>
          <w:rStyle w:val="af8"/>
          <w:rtl/>
        </w:rPr>
        <w:t>הרי"ף</w:t>
      </w:r>
      <w:r>
        <w:rPr>
          <w:rFonts w:hint="cs"/>
          <w:rtl/>
        </w:rPr>
        <w:t xml:space="preserve"> משמע דבכותח הבבלי אין כזית בכדי אכילת פרס, וכתב </w:t>
      </w:r>
      <w:r>
        <w:rPr>
          <w:rStyle w:val="af8"/>
          <w:rtl/>
        </w:rPr>
        <w:t>המ"מ</w:t>
      </w:r>
      <w:r>
        <w:rPr>
          <w:rFonts w:hint="cs"/>
          <w:rtl/>
        </w:rPr>
        <w:t xml:space="preserve"> דכוונת </w:t>
      </w:r>
      <w:r>
        <w:rPr>
          <w:rStyle w:val="af8"/>
          <w:rtl/>
        </w:rPr>
        <w:t>הרמב"ם</w:t>
      </w:r>
      <w:r>
        <w:rPr>
          <w:rFonts w:hint="cs"/>
          <w:rtl/>
        </w:rPr>
        <w:t xml:space="preserve"> לומר דהא דלוקה הוא דוקא באופן שאכל מהם כזית בכדי אכילת פרס, אעפ"י שאין בהם שיעור כזית בכדי אכילת פרס בדרך אכילתן.</w:t>
      </w:r>
      <w:bookmarkEnd w:id="7542"/>
    </w:p>
    <w:p w:rsidR="00FF684E" w:rsidRDefault="00FF684E" w:rsidP="00FF684E">
      <w:pPr>
        <w:pStyle w:val="a2"/>
        <w:rPr>
          <w:rtl/>
        </w:rPr>
      </w:pPr>
      <w:bookmarkStart w:id="7543" w:name="_Toc15227778"/>
      <w:bookmarkStart w:id="7544" w:name="_Toc15227611"/>
      <w:bookmarkStart w:id="7545" w:name="_Toc15163192"/>
      <w:bookmarkStart w:id="7546" w:name="_Toc15057745"/>
      <w:bookmarkStart w:id="7547" w:name="_Toc15035012"/>
      <w:r>
        <w:rPr>
          <w:rFonts w:hint="cs"/>
          <w:rtl/>
        </w:rPr>
        <w:t>קושית הכס"מ דאמאי צריך ילפותא לתערובת חמץ הא בכל האיסורים לוקין בכזית בכא"פ</w:t>
      </w:r>
      <w:bookmarkEnd w:id="7543"/>
      <w:bookmarkEnd w:id="7544"/>
      <w:bookmarkEnd w:id="7545"/>
      <w:bookmarkEnd w:id="7546"/>
      <w:bookmarkEnd w:id="7547"/>
    </w:p>
    <w:p w:rsidR="00FF684E" w:rsidRDefault="00FF684E" w:rsidP="009F44AF">
      <w:pPr>
        <w:pStyle w:val="a"/>
        <w:rPr>
          <w:rtl/>
        </w:rPr>
      </w:pPr>
      <w:r>
        <w:rPr>
          <w:rFonts w:hint="cs"/>
          <w:rtl/>
        </w:rPr>
        <w:t xml:space="preserve">והוסיף </w:t>
      </w:r>
      <w:r>
        <w:rPr>
          <w:rStyle w:val="af8"/>
          <w:rtl/>
        </w:rPr>
        <w:t>הכס"מ</w:t>
      </w:r>
      <w:r>
        <w:rPr>
          <w:rFonts w:hint="cs"/>
          <w:rtl/>
        </w:rPr>
        <w:t xml:space="preserve"> </w:t>
      </w:r>
      <w:r>
        <w:rPr>
          <w:rStyle w:val="af6"/>
          <w:rFonts w:eastAsia="Guttman Hodes" w:hint="cs"/>
          <w:rtl/>
        </w:rPr>
        <w:t>(חמץ ומצה פ"א ה"ו)</w:t>
      </w:r>
      <w:r>
        <w:rPr>
          <w:rFonts w:hint="cs"/>
          <w:rtl/>
        </w:rPr>
        <w:t xml:space="preserve"> להקשות דלמה הוצרך </w:t>
      </w:r>
      <w:r>
        <w:rPr>
          <w:rStyle w:val="af8"/>
          <w:rtl/>
        </w:rPr>
        <w:t>הרמב"ם</w:t>
      </w:r>
      <w:r>
        <w:rPr>
          <w:rFonts w:hint="cs"/>
          <w:rtl/>
        </w:rPr>
        <w:t xml:space="preserve"> לכתוב דלוקה מדין כל מחמצת, הרי בכל האיסורים אין ילפותא מיוחדת, ואפ"ה פסק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Ref15030462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 xml:space="preserve"> דבכל האיסורים לוקה בכזית בכדי אכילת פרס, עיי"ש במה שהאריך </w:t>
      </w:r>
      <w:r>
        <w:rPr>
          <w:rStyle w:val="af8"/>
          <w:rtl/>
        </w:rPr>
        <w:t>הכס"מ</w:t>
      </w:r>
      <w:r>
        <w:rPr>
          <w:rFonts w:hint="cs"/>
          <w:rtl/>
        </w:rPr>
        <w:t xml:space="preserve"> בביאור דברי </w:t>
      </w:r>
      <w:r>
        <w:rPr>
          <w:rStyle w:val="af8"/>
          <w:rtl/>
        </w:rPr>
        <w:t>הרמב"ם</w:t>
      </w:r>
      <w:r>
        <w:rPr>
          <w:rFonts w:hint="cs"/>
          <w:rtl/>
        </w:rPr>
        <w:t xml:space="preserve">, ובמ"ש </w:t>
      </w:r>
      <w:r>
        <w:rPr>
          <w:rStyle w:val="af8"/>
          <w:rtl/>
        </w:rPr>
        <w:t>הלח"מ</w:t>
      </w:r>
      <w:r>
        <w:rPr>
          <w:rFonts w:hint="cs"/>
          <w:rtl/>
        </w:rPr>
        <w:t xml:space="preserve"> </w:t>
      </w:r>
      <w:r>
        <w:rPr>
          <w:rStyle w:val="af6"/>
          <w:rFonts w:eastAsia="Guttman Hodes" w:hint="cs"/>
          <w:rtl/>
        </w:rPr>
        <w:t>(חמץ ומצה פ"א ה"ו)</w:t>
      </w:r>
      <w:r>
        <w:rPr>
          <w:rFonts w:hint="cs"/>
          <w:rtl/>
        </w:rPr>
        <w:t>.</w:t>
      </w:r>
    </w:p>
    <w:p w:rsidR="00FF684E" w:rsidRDefault="00FF684E" w:rsidP="00E669F8">
      <w:pPr>
        <w:pStyle w:val="afd"/>
        <w:rPr>
          <w:rtl/>
        </w:rPr>
      </w:pPr>
      <w:bookmarkStart w:id="7548" w:name="_Toc15227779"/>
      <w:bookmarkStart w:id="7549" w:name="_Toc15227612"/>
      <w:bookmarkStart w:id="7550" w:name="_Toc15163193"/>
      <w:bookmarkStart w:id="7551" w:name="_Toc15057746"/>
      <w:bookmarkStart w:id="7552" w:name="_Toc15035013"/>
      <w:bookmarkStart w:id="7553" w:name="_Toc14993495"/>
      <w:bookmarkStart w:id="7554" w:name="_Toc14973643"/>
      <w:bookmarkEnd w:id="7526"/>
      <w:bookmarkEnd w:id="7527"/>
      <w:r>
        <w:rPr>
          <w:rFonts w:hint="cs"/>
          <w:rtl/>
        </w:rPr>
        <w:t xml:space="preserve">דעת הסוברים דלהרמב"ם </w:t>
      </w:r>
      <w:bookmarkEnd w:id="7528"/>
      <w:bookmarkEnd w:id="7529"/>
      <w:bookmarkEnd w:id="7530"/>
      <w:r>
        <w:rPr>
          <w:rFonts w:hint="cs"/>
          <w:rtl/>
        </w:rPr>
        <w:t>טע"כ דאו'</w:t>
      </w:r>
      <w:bookmarkEnd w:id="7548"/>
      <w:bookmarkEnd w:id="7549"/>
      <w:bookmarkEnd w:id="7550"/>
      <w:bookmarkEnd w:id="7551"/>
      <w:bookmarkEnd w:id="7552"/>
      <w:bookmarkEnd w:id="7553"/>
      <w:bookmarkEnd w:id="7554"/>
    </w:p>
    <w:p w:rsidR="00FF684E" w:rsidRDefault="00FF684E" w:rsidP="007E08E0">
      <w:pPr>
        <w:pStyle w:val="1"/>
        <w:rPr>
          <w:rtl/>
        </w:rPr>
      </w:pPr>
      <w:bookmarkStart w:id="7555" w:name="_Toc15227780"/>
      <w:bookmarkStart w:id="7556" w:name="_Toc15227613"/>
      <w:bookmarkStart w:id="7557" w:name="_Toc15163194"/>
      <w:bookmarkStart w:id="7558" w:name="_Toc15057747"/>
      <w:bookmarkStart w:id="7559" w:name="_Toc15035014"/>
      <w:bookmarkStart w:id="7560" w:name="_Toc14993496"/>
      <w:bookmarkStart w:id="7561" w:name="_Toc14973644"/>
      <w:r>
        <w:rPr>
          <w:rFonts w:hint="cs"/>
          <w:rtl/>
        </w:rPr>
        <w:t>דעת הסוברים דלהרמב"ם טעם כעיקר דאו' וס"ל כרבינו חיים</w:t>
      </w:r>
      <w:bookmarkEnd w:id="7555"/>
      <w:bookmarkEnd w:id="7556"/>
      <w:bookmarkEnd w:id="7557"/>
      <w:bookmarkEnd w:id="7558"/>
      <w:bookmarkEnd w:id="7559"/>
      <w:bookmarkEnd w:id="7560"/>
      <w:bookmarkEnd w:id="7561"/>
    </w:p>
    <w:p w:rsidR="00FF684E" w:rsidRDefault="00FF684E" w:rsidP="00FF684E">
      <w:pPr>
        <w:pStyle w:val="a2"/>
        <w:rPr>
          <w:rtl/>
        </w:rPr>
      </w:pPr>
      <w:bookmarkStart w:id="7562" w:name="_Toc15227781"/>
      <w:bookmarkStart w:id="7563" w:name="_Toc15227614"/>
      <w:bookmarkStart w:id="7564" w:name="_Toc15163195"/>
      <w:bookmarkStart w:id="7565" w:name="_Toc15057748"/>
      <w:bookmarkStart w:id="7566" w:name="_Toc15035015"/>
      <w:r>
        <w:rPr>
          <w:rFonts w:hint="cs"/>
          <w:rtl/>
        </w:rPr>
        <w:t>ביאור  ההג"מ ברמב"ם דבכזית בכא"פ הוא טעמו וממשו ובפחות מכא"פ הוא טע"כ דאו' וכדעת ר"י</w:t>
      </w:r>
      <w:bookmarkEnd w:id="7562"/>
      <w:bookmarkEnd w:id="7563"/>
      <w:bookmarkEnd w:id="7564"/>
      <w:bookmarkEnd w:id="7565"/>
      <w:bookmarkEnd w:id="7566"/>
    </w:p>
    <w:p w:rsidR="00FF684E" w:rsidRDefault="00FF684E" w:rsidP="009F44AF">
      <w:pPr>
        <w:pStyle w:val="a"/>
        <w:rPr>
          <w:rtl/>
        </w:rPr>
      </w:pPr>
      <w:r>
        <w:rPr>
          <w:rFonts w:hint="cs"/>
          <w:rtl/>
        </w:rPr>
        <w:t>כתב</w:t>
      </w:r>
      <w:r>
        <w:rPr>
          <w:rStyle w:val="af8"/>
          <w:rtl/>
        </w:rPr>
        <w:t xml:space="preserve"> ההג"מ</w:t>
      </w:r>
      <w:r>
        <w:rPr>
          <w:rFonts w:hint="cs"/>
          <w:rtl/>
        </w:rPr>
        <w:t xml:space="preserve"> </w:t>
      </w:r>
      <w:r>
        <w:rPr>
          <w:rStyle w:val="af6"/>
          <w:rFonts w:eastAsia="Guttman Hodes" w:hint="cs"/>
          <w:rtl/>
        </w:rPr>
        <w:t>(מאכ"א פט"ו ה"ג)</w:t>
      </w:r>
      <w:r>
        <w:rPr>
          <w:rFonts w:hint="cs"/>
          <w:rtl/>
        </w:rPr>
        <w:t xml:space="preserve"> </w:t>
      </w:r>
      <w:r>
        <w:rPr>
          <w:rStyle w:val="af8"/>
          <w:rtl/>
        </w:rPr>
        <w:t>דהרמב"ם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Ref14712990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Style w:val="af6"/>
          <w:rFonts w:eastAsia="Guttman Hodes" w:hint="cs"/>
          <w:rtl/>
        </w:rPr>
        <w:fldChar w:fldCharType="end"/>
      </w:r>
      <w:r>
        <w:rPr>
          <w:rFonts w:hint="cs"/>
          <w:rtl/>
        </w:rPr>
        <w:t xml:space="preserve"> פירש כדעת </w:t>
      </w:r>
      <w:r>
        <w:rPr>
          <w:rStyle w:val="af8"/>
          <w:rtl/>
        </w:rPr>
        <w:t>ר"י</w:t>
      </w:r>
      <w:r>
        <w:rPr>
          <w:rFonts w:hint="cs"/>
          <w:rtl/>
        </w:rPr>
        <w:t xml:space="preserve">  </w:t>
      </w:r>
      <w:r>
        <w:rPr>
          <w:rStyle w:val="afa"/>
          <w:rtl/>
        </w:rPr>
        <w:t xml:space="preserve">[וכדכתב </w:t>
      </w:r>
      <w:r>
        <w:rPr>
          <w:rStyle w:val="affa"/>
          <w:rtl/>
        </w:rPr>
        <w:t>הרשב"א בחי'</w:t>
      </w:r>
      <w:r>
        <w:rPr>
          <w:rStyle w:val="afa"/>
          <w:rtl/>
        </w:rPr>
        <w:t xml:space="preserve"> </w:t>
      </w:r>
      <w:r>
        <w:rPr>
          <w:rStyle w:val="aff6"/>
          <w:rtl/>
        </w:rPr>
        <w:t xml:space="preserve">(ד"ה ור"י) </w:t>
      </w:r>
      <w:r>
        <w:rPr>
          <w:rStyle w:val="affa"/>
          <w:rtl/>
        </w:rPr>
        <w:t>ובתוה"ב</w:t>
      </w:r>
      <w:r>
        <w:rPr>
          <w:rStyle w:val="afa"/>
          <w:rtl/>
        </w:rPr>
        <w:t xml:space="preserve"> </w:t>
      </w:r>
      <w:r>
        <w:rPr>
          <w:rStyle w:val="aff6"/>
          <w:rtl/>
        </w:rPr>
        <w:t xml:space="preserve">(ב"ד ש"א יא. מדה"ס) </w:t>
      </w:r>
      <w:r>
        <w:rPr>
          <w:rStyle w:val="afa"/>
          <w:rtl/>
        </w:rPr>
        <w:t xml:space="preserve">בשם </w:t>
      </w:r>
      <w:r>
        <w:rPr>
          <w:rStyle w:val="affa"/>
          <w:rtl/>
        </w:rPr>
        <w:t>ר"י</w:t>
      </w:r>
      <w:r>
        <w:rPr>
          <w:rStyle w:val="afa"/>
          <w:rtl/>
        </w:rPr>
        <w:t xml:space="preserve">, וכ"כ </w:t>
      </w:r>
      <w:r>
        <w:rPr>
          <w:rStyle w:val="affa"/>
          <w:rtl/>
        </w:rPr>
        <w:t>התוס' בסוגיין בתירוצם הב'</w:t>
      </w:r>
      <w:r>
        <w:rPr>
          <w:rStyle w:val="afa"/>
          <w:rtl/>
        </w:rPr>
        <w:t xml:space="preserve"> </w:t>
      </w:r>
      <w:r>
        <w:rPr>
          <w:rStyle w:val="aff6"/>
          <w:rtl/>
        </w:rPr>
        <w:t xml:space="preserve">(ד"ה רבא) </w:t>
      </w:r>
      <w:r>
        <w:rPr>
          <w:rStyle w:val="afa"/>
          <w:rtl/>
        </w:rPr>
        <w:t xml:space="preserve">וכ"כ </w:t>
      </w:r>
      <w:r>
        <w:rPr>
          <w:rStyle w:val="affa"/>
          <w:rtl/>
        </w:rPr>
        <w:t xml:space="preserve"> התוס' בע"ז</w:t>
      </w:r>
      <w:r>
        <w:rPr>
          <w:rStyle w:val="afa"/>
          <w:rtl/>
        </w:rPr>
        <w:t xml:space="preserve"> </w:t>
      </w:r>
      <w:r>
        <w:rPr>
          <w:rStyle w:val="aff6"/>
          <w:rtl/>
        </w:rPr>
        <w:t xml:space="preserve">(סז. ד"ה א"ר יוחנן) </w:t>
      </w:r>
      <w:r>
        <w:rPr>
          <w:rStyle w:val="afa"/>
          <w:rtl/>
        </w:rPr>
        <w:t xml:space="preserve">בשם </w:t>
      </w:r>
      <w:r>
        <w:rPr>
          <w:rStyle w:val="affa"/>
          <w:rtl/>
        </w:rPr>
        <w:t xml:space="preserve">רבינו אליהו </w:t>
      </w:r>
      <w:r>
        <w:rPr>
          <w:rStyle w:val="afa"/>
          <w:rtl/>
        </w:rPr>
        <w:t xml:space="preserve">וכ"כ </w:t>
      </w:r>
      <w:r>
        <w:rPr>
          <w:rStyle w:val="affa"/>
          <w:rtl/>
        </w:rPr>
        <w:t xml:space="preserve"> הרא"ש</w:t>
      </w:r>
      <w:r>
        <w:rPr>
          <w:rStyle w:val="aff6"/>
          <w:rtl/>
        </w:rPr>
        <w:t xml:space="preserve"> (סי' ל"א)</w:t>
      </w:r>
      <w:r>
        <w:rPr>
          <w:rStyle w:val="afa"/>
          <w:rtl/>
        </w:rPr>
        <w:t xml:space="preserve"> בשם </w:t>
      </w:r>
      <w:r>
        <w:rPr>
          <w:rStyle w:val="affa"/>
          <w:rtl/>
        </w:rPr>
        <w:t>רבינו חיים</w:t>
      </w:r>
      <w:r>
        <w:rPr>
          <w:rStyle w:val="aff6"/>
          <w:rtl/>
        </w:rPr>
        <w:t xml:space="preserve"> (הובא לעיל סימן ט' אות ע)</w:t>
      </w:r>
      <w:r>
        <w:rPr>
          <w:rStyle w:val="afa"/>
          <w:rtl/>
        </w:rPr>
        <w:t>]</w:t>
      </w:r>
      <w:r>
        <w:rPr>
          <w:rFonts w:hint="cs"/>
          <w:rtl/>
        </w:rPr>
        <w:t xml:space="preserve"> דטעמו ולא ממשו דאמר ריו"ח בע"ז </w:t>
      </w:r>
      <w:r>
        <w:rPr>
          <w:rStyle w:val="af6"/>
          <w:rFonts w:eastAsia="Guttman Hodes" w:hint="cs"/>
          <w:rtl/>
        </w:rPr>
        <w:t>(סז.)</w:t>
      </w:r>
      <w:r>
        <w:rPr>
          <w:rFonts w:hint="cs"/>
          <w:rtl/>
        </w:rPr>
        <w:t xml:space="preserve"> דאין לוקין עליו, היינו שאין בו כזית בכדי אכילת פרס, אבל ביש בו כזית בכדי אכילת פרס הוא טעמו וממשו דלוקין עליו, דטעם כעיקר דאו' כדכתב </w:t>
      </w:r>
      <w:r>
        <w:rPr>
          <w:rStyle w:val="af8"/>
          <w:rtl/>
        </w:rPr>
        <w:t>ר"ת בתוס'</w:t>
      </w:r>
      <w:r>
        <w:rPr>
          <w:rFonts w:hint="cs"/>
          <w:rtl/>
        </w:rPr>
        <w:t xml:space="preserve"> </w:t>
      </w:r>
      <w:r>
        <w:rPr>
          <w:rStyle w:val="af6"/>
          <w:rFonts w:eastAsia="Guttman Hodes" w:hint="cs"/>
          <w:rtl/>
        </w:rPr>
        <w:t>(ד"ה רבא)</w:t>
      </w:r>
      <w:r>
        <w:rPr>
          <w:rFonts w:hint="cs"/>
          <w:rtl/>
        </w:rPr>
        <w:t>.</w:t>
      </w:r>
    </w:p>
    <w:p w:rsidR="00FF684E" w:rsidRDefault="00FF684E" w:rsidP="00FF684E">
      <w:pPr>
        <w:pStyle w:val="a2"/>
        <w:rPr>
          <w:rtl/>
        </w:rPr>
      </w:pPr>
      <w:bookmarkStart w:id="7567" w:name="_Toc15227782"/>
      <w:bookmarkStart w:id="7568" w:name="_Toc15227615"/>
      <w:bookmarkStart w:id="7569" w:name="_Toc15163196"/>
      <w:bookmarkStart w:id="7570" w:name="_Toc15057749"/>
      <w:bookmarkStart w:id="7571" w:name="_Toc15035016"/>
      <w:r>
        <w:rPr>
          <w:rFonts w:hint="cs"/>
          <w:rtl/>
        </w:rPr>
        <w:t>ביאור הלח"מ ברמב"ם דס"ל כרבינו אליהו דטעמו וממשו הוא בכזית בכא"פ אף באיסור שנימוח</w:t>
      </w:r>
      <w:bookmarkEnd w:id="7567"/>
      <w:bookmarkEnd w:id="7568"/>
      <w:bookmarkEnd w:id="7569"/>
      <w:bookmarkEnd w:id="7570"/>
      <w:bookmarkEnd w:id="7571"/>
    </w:p>
    <w:p w:rsidR="00FF684E" w:rsidRDefault="00FF684E" w:rsidP="009F44AF">
      <w:pPr>
        <w:pStyle w:val="a"/>
        <w:rPr>
          <w:rtl/>
        </w:rPr>
      </w:pPr>
      <w:bookmarkStart w:id="7572" w:name="_Toc14551994"/>
      <w:r>
        <w:rPr>
          <w:rFonts w:hint="cs"/>
          <w:rtl/>
        </w:rPr>
        <w:t xml:space="preserve">וכ"כ </w:t>
      </w:r>
      <w:r>
        <w:rPr>
          <w:rStyle w:val="af8"/>
          <w:rtl/>
        </w:rPr>
        <w:t>הלח"מ</w:t>
      </w:r>
      <w:r>
        <w:rPr>
          <w:rFonts w:hint="cs"/>
          <w:rtl/>
        </w:rPr>
        <w:t xml:space="preserve"> </w:t>
      </w:r>
      <w:r>
        <w:rPr>
          <w:rStyle w:val="af6"/>
          <w:rFonts w:eastAsia="Guttman Hodes" w:hint="cs"/>
          <w:rtl/>
        </w:rPr>
        <w:t>(מאכ"א ט"ו א')</w:t>
      </w:r>
      <w:r>
        <w:rPr>
          <w:rFonts w:hint="cs"/>
          <w:rtl/>
        </w:rPr>
        <w:t xml:space="preserve"> דמדברי </w:t>
      </w:r>
      <w:r>
        <w:rPr>
          <w:rStyle w:val="af8"/>
          <w:rtl/>
        </w:rPr>
        <w:t>הרמב"ם</w:t>
      </w:r>
      <w:r>
        <w:rPr>
          <w:rFonts w:hint="cs"/>
          <w:rtl/>
        </w:rPr>
        <w:t xml:space="preserve"> משמע דס"ל כדעת </w:t>
      </w:r>
      <w:r>
        <w:rPr>
          <w:rStyle w:val="af8"/>
          <w:rtl/>
        </w:rPr>
        <w:t>התוס' בע"ז</w:t>
      </w:r>
      <w:r>
        <w:rPr>
          <w:rFonts w:hint="cs"/>
          <w:rtl/>
        </w:rPr>
        <w:t xml:space="preserve"> בשם </w:t>
      </w:r>
      <w:r>
        <w:rPr>
          <w:rStyle w:val="af8"/>
          <w:rtl/>
        </w:rPr>
        <w:t xml:space="preserve">רבינו אליהו והרא"ש </w:t>
      </w:r>
      <w:r>
        <w:rPr>
          <w:rFonts w:hint="cs"/>
          <w:rtl/>
        </w:rPr>
        <w:t xml:space="preserve">בשם </w:t>
      </w:r>
      <w:r>
        <w:rPr>
          <w:rStyle w:val="af8"/>
          <w:rtl/>
        </w:rPr>
        <w:t>רבינו חיים</w:t>
      </w:r>
      <w:r>
        <w:rPr>
          <w:rFonts w:hint="cs"/>
          <w:rtl/>
        </w:rPr>
        <w:t xml:space="preserve"> דטעמו ולא ממשו הוא כשאין כזית איסור בכדי אכילת פרס, דאין לוקין עליו, וטעמו וממשו הוא כשיש כזית בכדי אכילת פרס, ומשמע מדברי </w:t>
      </w:r>
      <w:r>
        <w:rPr>
          <w:rStyle w:val="af8"/>
          <w:rtl/>
        </w:rPr>
        <w:t>רבינו אליהו</w:t>
      </w:r>
      <w:r>
        <w:rPr>
          <w:rFonts w:hint="cs"/>
          <w:rtl/>
        </w:rPr>
        <w:t xml:space="preserve"> דאף כשנימוח האיסור בתוך ההיתר לוקין בכזית בכדי אכילת פרס.</w:t>
      </w:r>
    </w:p>
    <w:p w:rsidR="00FF684E" w:rsidRDefault="00FF684E" w:rsidP="00FF684E">
      <w:pPr>
        <w:pStyle w:val="a2"/>
        <w:rPr>
          <w:rtl/>
        </w:rPr>
      </w:pPr>
      <w:bookmarkStart w:id="7573" w:name="_Toc15227783"/>
      <w:bookmarkStart w:id="7574" w:name="_Toc15227616"/>
      <w:bookmarkStart w:id="7575" w:name="_Toc15163197"/>
      <w:bookmarkStart w:id="7576" w:name="_Toc15057750"/>
      <w:bookmarkStart w:id="7577" w:name="_Toc15035017"/>
      <w:bookmarkStart w:id="7578" w:name="_Toc14993497"/>
      <w:bookmarkStart w:id="7579" w:name="_Toc14973645"/>
      <w:bookmarkStart w:id="7580" w:name="_Toc14735055"/>
      <w:bookmarkStart w:id="7581" w:name="_Toc14726119"/>
      <w:r>
        <w:rPr>
          <w:rFonts w:hint="cs"/>
          <w:rtl/>
        </w:rPr>
        <w:t>דברי הלח"מ דלהרמב"ם אף בכזית בכא"פ לא אמרינן נהפך ופליג בזה על רבינו חיים</w:t>
      </w:r>
      <w:bookmarkEnd w:id="7573"/>
      <w:bookmarkEnd w:id="7574"/>
      <w:bookmarkEnd w:id="7575"/>
      <w:bookmarkEnd w:id="7576"/>
      <w:bookmarkEnd w:id="7577"/>
      <w:bookmarkEnd w:id="7578"/>
      <w:bookmarkEnd w:id="7579"/>
      <w:bookmarkEnd w:id="7580"/>
      <w:bookmarkEnd w:id="7581"/>
    </w:p>
    <w:p w:rsidR="00FF684E" w:rsidRDefault="00FF684E" w:rsidP="009F44AF">
      <w:pPr>
        <w:pStyle w:val="a"/>
      </w:pPr>
      <w:r>
        <w:rPr>
          <w:rFonts w:hint="cs"/>
          <w:rtl/>
        </w:rPr>
        <w:t xml:space="preserve">אך כתב </w:t>
      </w:r>
      <w:r>
        <w:rPr>
          <w:rStyle w:val="af8"/>
          <w:rtl/>
        </w:rPr>
        <w:t>הלח"מ</w:t>
      </w:r>
      <w:r>
        <w:rPr>
          <w:rFonts w:hint="cs"/>
          <w:rtl/>
        </w:rPr>
        <w:t xml:space="preserve"> דלא ס"ל </w:t>
      </w:r>
      <w:r>
        <w:rPr>
          <w:rStyle w:val="af8"/>
          <w:rtl/>
        </w:rPr>
        <w:t>להרמב"ם</w:t>
      </w:r>
      <w:r>
        <w:rPr>
          <w:rFonts w:hint="cs"/>
          <w:rtl/>
        </w:rPr>
        <w:t xml:space="preserve"> כמ"ש </w:t>
      </w:r>
      <w:r>
        <w:rPr>
          <w:rStyle w:val="af8"/>
          <w:rtl/>
        </w:rPr>
        <w:t xml:space="preserve">הרא"ש </w:t>
      </w:r>
      <w:r>
        <w:rPr>
          <w:rFonts w:hint="cs"/>
          <w:rtl/>
        </w:rPr>
        <w:t xml:space="preserve">בשם </w:t>
      </w:r>
      <w:r>
        <w:rPr>
          <w:rStyle w:val="af8"/>
          <w:rtl/>
        </w:rPr>
        <w:t>רבינו חיים</w:t>
      </w:r>
      <w:r>
        <w:rPr>
          <w:rFonts w:hint="cs"/>
          <w:rtl/>
        </w:rPr>
        <w:t xml:space="preserve"> דחייב על כל כזית מהתערובת </w:t>
      </w:r>
      <w:r>
        <w:rPr>
          <w:rStyle w:val="afa"/>
          <w:rtl/>
        </w:rPr>
        <w:t>[מדין נהפך]</w:t>
      </w:r>
      <w:r>
        <w:rPr>
          <w:rFonts w:hint="cs"/>
          <w:rtl/>
        </w:rPr>
        <w:t xml:space="preserve">, דהא לדעת הרמב"ם </w:t>
      </w:r>
      <w:r>
        <w:rPr>
          <w:rFonts w:hint="cs"/>
          <w:rtl/>
        </w:rPr>
        <w:t xml:space="preserve">רק כשאכל כזית בכדי אכילת פרס לוקה. </w:t>
      </w:r>
      <w:r>
        <w:rPr>
          <w:rStyle w:val="afa"/>
          <w:rtl/>
        </w:rPr>
        <w:t xml:space="preserve">[דהיינו דלא ס"ל </w:t>
      </w:r>
      <w:r>
        <w:rPr>
          <w:rStyle w:val="affa"/>
          <w:rtl/>
        </w:rPr>
        <w:t>להרמב"ם</w:t>
      </w:r>
      <w:r>
        <w:rPr>
          <w:rStyle w:val="afa"/>
          <w:rtl/>
        </w:rPr>
        <w:t xml:space="preserve"> דאמרינן נהפך].</w:t>
      </w:r>
    </w:p>
    <w:p w:rsidR="00FF684E" w:rsidRDefault="00FF684E" w:rsidP="00FF684E">
      <w:pPr>
        <w:pStyle w:val="a2"/>
        <w:rPr>
          <w:rtl/>
        </w:rPr>
      </w:pPr>
      <w:bookmarkStart w:id="7582" w:name="_Toc15227784"/>
      <w:bookmarkStart w:id="7583" w:name="_Toc15227617"/>
      <w:bookmarkStart w:id="7584" w:name="_Toc15163198"/>
      <w:bookmarkStart w:id="7585" w:name="_Toc15057751"/>
      <w:bookmarkStart w:id="7586" w:name="_Toc15035018"/>
      <w:bookmarkStart w:id="7587" w:name="_Toc14993498"/>
      <w:bookmarkStart w:id="7588" w:name="_Toc14973646"/>
      <w:bookmarkStart w:id="7589" w:name="_Toc14735056"/>
      <w:bookmarkStart w:id="7590" w:name="_Toc14726120"/>
      <w:r>
        <w:rPr>
          <w:rFonts w:hint="cs"/>
          <w:rtl/>
        </w:rPr>
        <w:t>דברי הלח"מ דלהרמב"ם בפחות מכא"פ מותר ודלא כרבינו חיים דאסור מדאו' ואין לוקין עליו</w:t>
      </w:r>
      <w:bookmarkEnd w:id="7582"/>
      <w:bookmarkEnd w:id="7583"/>
      <w:bookmarkEnd w:id="7584"/>
      <w:bookmarkEnd w:id="7585"/>
      <w:bookmarkEnd w:id="7586"/>
      <w:bookmarkEnd w:id="7587"/>
      <w:bookmarkEnd w:id="7588"/>
      <w:bookmarkEnd w:id="7589"/>
      <w:bookmarkEnd w:id="7590"/>
    </w:p>
    <w:p w:rsidR="00FF684E" w:rsidRDefault="00FF684E" w:rsidP="009F44AF">
      <w:pPr>
        <w:pStyle w:val="a"/>
      </w:pPr>
      <w:r>
        <w:rPr>
          <w:rFonts w:hint="cs"/>
          <w:rtl/>
        </w:rPr>
        <w:t xml:space="preserve">וכן במקום שאין כזית בכדי אכילת פרס כתב </w:t>
      </w:r>
      <w:r>
        <w:rPr>
          <w:rStyle w:val="af8"/>
          <w:rtl/>
        </w:rPr>
        <w:t>הלח"מ</w:t>
      </w:r>
      <w:r>
        <w:rPr>
          <w:rFonts w:hint="cs"/>
          <w:rtl/>
        </w:rPr>
        <w:t xml:space="preserve"> דלדעת </w:t>
      </w:r>
      <w:r>
        <w:rPr>
          <w:rStyle w:val="af8"/>
          <w:rtl/>
        </w:rPr>
        <w:t>הרמב"ם</w:t>
      </w:r>
      <w:r>
        <w:rPr>
          <w:rFonts w:hint="cs"/>
          <w:rtl/>
        </w:rPr>
        <w:t xml:space="preserve"> אין איסור דאו' ואסור רק מדרבנן, ואילו לפירוש </w:t>
      </w:r>
      <w:r>
        <w:rPr>
          <w:rStyle w:val="af8"/>
          <w:rtl/>
        </w:rPr>
        <w:t>הרא"ש והטור</w:t>
      </w:r>
      <w:r>
        <w:rPr>
          <w:rFonts w:hint="cs"/>
          <w:rtl/>
        </w:rPr>
        <w:t xml:space="preserve"> בשם </w:t>
      </w:r>
      <w:r>
        <w:rPr>
          <w:rStyle w:val="af8"/>
          <w:rtl/>
        </w:rPr>
        <w:t>רבינו חיים ורבינו אליהו</w:t>
      </w:r>
      <w:r>
        <w:rPr>
          <w:rFonts w:hint="cs"/>
          <w:rtl/>
        </w:rPr>
        <w:t xml:space="preserve"> אסור מדאו' אך אין לוקין עליו. </w:t>
      </w:r>
      <w:r>
        <w:rPr>
          <w:rStyle w:val="afa"/>
          <w:rtl/>
        </w:rPr>
        <w:t xml:space="preserve">[כדכתב </w:t>
      </w:r>
      <w:r>
        <w:rPr>
          <w:rStyle w:val="affa"/>
          <w:rtl/>
        </w:rPr>
        <w:t>הרשב"א</w:t>
      </w:r>
      <w:r>
        <w:rPr>
          <w:rStyle w:val="afa"/>
          <w:rtl/>
        </w:rPr>
        <w:t xml:space="preserve"> </w:t>
      </w:r>
      <w:r>
        <w:rPr>
          <w:rStyle w:val="aff6"/>
          <w:rtl/>
        </w:rPr>
        <w:t>(הובא לעיל סימן ט' אות עג)</w:t>
      </w:r>
      <w:r>
        <w:rPr>
          <w:rStyle w:val="afa"/>
          <w:rtl/>
        </w:rPr>
        <w:t xml:space="preserve"> דאסור מדין חצי שיעור].</w:t>
      </w:r>
    </w:p>
    <w:p w:rsidR="00FF684E" w:rsidRDefault="00FF684E" w:rsidP="007E08E0">
      <w:pPr>
        <w:pStyle w:val="1"/>
        <w:rPr>
          <w:rtl/>
        </w:rPr>
      </w:pPr>
      <w:bookmarkStart w:id="7591" w:name="_Toc15227785"/>
      <w:bookmarkStart w:id="7592" w:name="_Toc15227618"/>
      <w:bookmarkStart w:id="7593" w:name="_Toc15163199"/>
      <w:bookmarkStart w:id="7594" w:name="_Toc15057752"/>
      <w:r>
        <w:rPr>
          <w:rFonts w:hint="cs"/>
          <w:rtl/>
        </w:rPr>
        <w:t>דברי הגר"א דעיסת אורז הוא אף בפחות מכא"פ ואין נהפך</w:t>
      </w:r>
      <w:bookmarkEnd w:id="7591"/>
      <w:bookmarkEnd w:id="7592"/>
      <w:bookmarkEnd w:id="7593"/>
      <w:bookmarkEnd w:id="7594"/>
    </w:p>
    <w:p w:rsidR="00FF684E" w:rsidRDefault="00FF684E" w:rsidP="00FF684E">
      <w:pPr>
        <w:pStyle w:val="a2"/>
        <w:rPr>
          <w:rtl/>
        </w:rPr>
      </w:pPr>
      <w:bookmarkStart w:id="7595" w:name="_Toc15227786"/>
      <w:bookmarkStart w:id="7596" w:name="_Toc15227619"/>
      <w:bookmarkStart w:id="7597" w:name="_Toc15163200"/>
      <w:bookmarkStart w:id="7598" w:name="_Toc15057753"/>
      <w:r>
        <w:rPr>
          <w:rFonts w:hint="cs"/>
          <w:rtl/>
        </w:rPr>
        <w:t>ביאור הגר"א ברמב"ם דבעיסת אורז יוצא יד"ח מצה אף בפחות מכא"פ חיטים ולא אמרינן נהפך</w:t>
      </w:r>
      <w:bookmarkEnd w:id="7595"/>
      <w:bookmarkEnd w:id="7596"/>
      <w:bookmarkEnd w:id="7597"/>
      <w:bookmarkEnd w:id="7598"/>
    </w:p>
    <w:p w:rsidR="00FF684E" w:rsidRDefault="00FF684E" w:rsidP="009F44AF">
      <w:pPr>
        <w:pStyle w:val="a"/>
        <w:rPr>
          <w:rtl/>
        </w:rPr>
      </w:pPr>
      <w:r>
        <w:rPr>
          <w:rFonts w:hint="cs"/>
          <w:rtl/>
        </w:rPr>
        <w:t xml:space="preserve">כתב </w:t>
      </w:r>
      <w:r>
        <w:rPr>
          <w:rStyle w:val="af8"/>
          <w:rtl/>
        </w:rPr>
        <w:t>הגר"א</w:t>
      </w:r>
      <w:r>
        <w:rPr>
          <w:rFonts w:hint="cs"/>
          <w:rtl/>
        </w:rPr>
        <w:t xml:space="preserve"> </w:t>
      </w:r>
      <w:r>
        <w:rPr>
          <w:rStyle w:val="af6"/>
          <w:rFonts w:eastAsia="Guttman Hodes" w:hint="cs"/>
          <w:rtl/>
        </w:rPr>
        <w:t>(או"ח סי' תנ"ג סק"ט)</w:t>
      </w:r>
      <w:r>
        <w:rPr>
          <w:rFonts w:hint="cs"/>
          <w:rtl/>
        </w:rPr>
        <w:t xml:space="preserve"> דבדין עיסת אורז סתם </w:t>
      </w:r>
      <w:r>
        <w:rPr>
          <w:rStyle w:val="af8"/>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Ref15034049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דכל שיש טעם דגן יוצא יד"ח מצה, ומשמע דאף כשיש חיטים בפחות מכזית בכדי אכילת פרס, ודלא </w:t>
      </w:r>
      <w:r>
        <w:rPr>
          <w:rStyle w:val="af8"/>
          <w:rtl/>
        </w:rPr>
        <w:t>כהראב"ד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Ref14857323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ח</w:t>
      </w:r>
      <w:r w:rsidR="004D1C5B">
        <w:rPr>
          <w:rStyle w:val="af6"/>
          <w:rFonts w:eastAsia="Guttman Hodes"/>
          <w:rtl/>
        </w:rPr>
        <w:t>)</w:t>
      </w:r>
      <w:r>
        <w:rPr>
          <w:rFonts w:hint="cs"/>
          <w:rtl/>
        </w:rPr>
        <w:fldChar w:fldCharType="end"/>
      </w:r>
      <w:r>
        <w:rPr>
          <w:rFonts w:hint="cs"/>
          <w:rtl/>
        </w:rPr>
        <w:t xml:space="preserve">, וכן סתם </w:t>
      </w:r>
      <w:r>
        <w:rPr>
          <w:rStyle w:val="af8"/>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Fonts w:hint="cs"/>
          <w:rtl/>
        </w:rPr>
        <w:t xml:space="preserve"> דחייבת חלה, ומשמע אף שאין בו שיעור חלה, ודלא כדביאר </w:t>
      </w:r>
      <w:r>
        <w:rPr>
          <w:rStyle w:val="af8"/>
          <w:rtl/>
        </w:rPr>
        <w:t>הגר"א</w:t>
      </w:r>
      <w:r>
        <w:rPr>
          <w:rFonts w:hint="cs"/>
          <w:rtl/>
        </w:rPr>
        <w:t xml:space="preserve"> </w:t>
      </w:r>
      <w:r>
        <w:rPr>
          <w:rStyle w:val="af6"/>
          <w:rFonts w:eastAsia="Guttman Hodes" w:hint="cs"/>
          <w:rtl/>
        </w:rPr>
        <w:t xml:space="preserve">(הובא לעיל סימן י אות פז) </w:t>
      </w:r>
      <w:r>
        <w:rPr>
          <w:rFonts w:hint="cs"/>
          <w:rtl/>
        </w:rPr>
        <w:t xml:space="preserve">בדעת </w:t>
      </w:r>
      <w:r>
        <w:rPr>
          <w:rStyle w:val="af8"/>
          <w:rtl/>
        </w:rPr>
        <w:t>הראב"ד והטור</w:t>
      </w:r>
      <w:r>
        <w:rPr>
          <w:rFonts w:hint="cs"/>
          <w:rtl/>
        </w:rPr>
        <w:t xml:space="preserve"> דס"ל דאמרינן נהפך, אלא דיוצא יד"ח אף בכזית מהתערובת, </w:t>
      </w:r>
      <w:r>
        <w:rPr>
          <w:rStyle w:val="afa"/>
          <w:rtl/>
        </w:rPr>
        <w:t xml:space="preserve">[אף שאין בו כזית חיטים], </w:t>
      </w:r>
      <w:r>
        <w:rPr>
          <w:rStyle w:val="af8"/>
          <w:rtl/>
        </w:rPr>
        <w:t>דלהרמב"ם</w:t>
      </w:r>
      <w:r>
        <w:rPr>
          <w:rFonts w:hint="cs"/>
          <w:rtl/>
        </w:rPr>
        <w:t xml:space="preserve"> טעם כעיקר דאו', אך לא אמרינן נהפך.</w:t>
      </w:r>
    </w:p>
    <w:p w:rsidR="00FF684E" w:rsidRDefault="00FF684E" w:rsidP="007E08E0">
      <w:pPr>
        <w:pStyle w:val="1"/>
        <w:rPr>
          <w:rtl/>
        </w:rPr>
      </w:pPr>
      <w:bookmarkStart w:id="7599" w:name="_Toc15227787"/>
      <w:bookmarkStart w:id="7600" w:name="_Toc15227620"/>
      <w:bookmarkStart w:id="7601" w:name="_Toc15163201"/>
      <w:bookmarkStart w:id="7602" w:name="_Toc15057754"/>
      <w:bookmarkStart w:id="7603" w:name="_Toc15035020"/>
      <w:bookmarkStart w:id="7604" w:name="_Toc14993500"/>
      <w:bookmarkStart w:id="7605" w:name="_Toc14973648"/>
      <w:r>
        <w:rPr>
          <w:rFonts w:hint="cs"/>
          <w:rtl/>
        </w:rPr>
        <w:t>קושית הגר"א מסתירת דברי הרמב"ם מטע"כ לעיסת אורז</w:t>
      </w:r>
      <w:bookmarkEnd w:id="7599"/>
      <w:bookmarkEnd w:id="7600"/>
      <w:bookmarkEnd w:id="7601"/>
      <w:bookmarkEnd w:id="7602"/>
    </w:p>
    <w:p w:rsidR="00FF684E" w:rsidRDefault="00FF684E" w:rsidP="00FF684E">
      <w:pPr>
        <w:pStyle w:val="a2"/>
        <w:rPr>
          <w:rtl/>
        </w:rPr>
      </w:pPr>
      <w:bookmarkStart w:id="7606" w:name="_Toc15227788"/>
      <w:bookmarkStart w:id="7607" w:name="_Toc15227621"/>
      <w:bookmarkStart w:id="7608" w:name="_Toc15163202"/>
      <w:bookmarkStart w:id="7609" w:name="_Toc15057755"/>
      <w:r>
        <w:rPr>
          <w:rFonts w:hint="cs"/>
          <w:rtl/>
        </w:rPr>
        <w:t xml:space="preserve">קושית הגר"א דבנזיר וטע"כ כתב הרמב"ם </w:t>
      </w:r>
      <w:bookmarkEnd w:id="7603"/>
      <w:bookmarkEnd w:id="7604"/>
      <w:bookmarkEnd w:id="7605"/>
      <w:r>
        <w:rPr>
          <w:rFonts w:hint="cs"/>
          <w:rtl/>
        </w:rPr>
        <w:t>דבפחות מכא"פ אסור מדרבנן והיאך מהני בעיסת אורז</w:t>
      </w:r>
      <w:bookmarkEnd w:id="7606"/>
      <w:bookmarkEnd w:id="7607"/>
      <w:bookmarkEnd w:id="7608"/>
      <w:bookmarkEnd w:id="7609"/>
    </w:p>
    <w:p w:rsidR="00FF684E" w:rsidRDefault="00FF684E" w:rsidP="009F44AF">
      <w:pPr>
        <w:pStyle w:val="a"/>
        <w:rPr>
          <w:rtl/>
        </w:rPr>
      </w:pPr>
      <w:bookmarkStart w:id="7610" w:name="_Ref15034402"/>
      <w:r>
        <w:rPr>
          <w:rFonts w:hint="cs"/>
          <w:rtl/>
        </w:rPr>
        <w:t xml:space="preserve">והקשה </w:t>
      </w:r>
      <w:r>
        <w:rPr>
          <w:rStyle w:val="af8"/>
          <w:rtl/>
        </w:rPr>
        <w:t>הגר"א</w:t>
      </w:r>
      <w:r>
        <w:rPr>
          <w:rFonts w:hint="cs"/>
          <w:rtl/>
        </w:rPr>
        <w:t xml:space="preserve"> דהיאך כתב </w:t>
      </w:r>
      <w:r>
        <w:rPr>
          <w:rStyle w:val="af8"/>
          <w:rtl/>
        </w:rPr>
        <w:t>הרמב"ם</w:t>
      </w:r>
      <w:r>
        <w:rPr>
          <w:rFonts w:hint="cs"/>
          <w:rtl/>
        </w:rPr>
        <w:t xml:space="preserve"> דכל שאכל מהעיסה כזית יצא יד"ח מצה, והרי לענין נזיר 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Fonts w:hint="cs"/>
          <w:rtl/>
        </w:rPr>
        <w:t xml:space="preserve"> דהילפותא ממשרת היא כשיש רביעית יין בכדי אכילת פרס, אבל פחות מרביעית בכדי אכילת פרס, 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Ref14898712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ז</w:t>
      </w:r>
      <w:r w:rsidR="004D1C5B">
        <w:rPr>
          <w:rStyle w:val="af6"/>
          <w:rFonts w:eastAsia="Guttman Hodes"/>
          <w:rtl/>
        </w:rPr>
        <w:t>)</w:t>
      </w:r>
      <w:r>
        <w:rPr>
          <w:rFonts w:hint="cs"/>
          <w:rtl/>
        </w:rPr>
        <w:fldChar w:fldCharType="end"/>
      </w:r>
      <w:r>
        <w:rPr>
          <w:rFonts w:hint="cs"/>
          <w:rtl/>
        </w:rPr>
        <w:t xml:space="preserve"> דאסור לנזיר רק מדרבנן, וכן בדין טעם כעיקר 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Ref15030462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 xml:space="preserve"> דלוקה על טעמו וממשו רק כשאכל את כל הפרס, דכלול בו כזית מגוף האיסור, אבל בפחות מכזית בכדי אכילת פרס, 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דהוא טעמו ולא ממשו, ואסור רק מדרבנן.</w:t>
      </w:r>
      <w:bookmarkEnd w:id="7610"/>
    </w:p>
    <w:p w:rsidR="00FF684E" w:rsidRDefault="00FF684E" w:rsidP="007E08E0">
      <w:pPr>
        <w:pStyle w:val="1"/>
        <w:rPr>
          <w:rtl/>
        </w:rPr>
      </w:pPr>
      <w:bookmarkStart w:id="7611" w:name="_Toc15035019"/>
      <w:bookmarkStart w:id="7612" w:name="_Toc14993499"/>
      <w:bookmarkStart w:id="7613" w:name="_Toc14973647"/>
      <w:bookmarkStart w:id="7614" w:name="_Toc15227789"/>
      <w:bookmarkStart w:id="7615" w:name="_Toc15227622"/>
      <w:bookmarkStart w:id="7616" w:name="_Toc15163203"/>
      <w:bookmarkStart w:id="7617" w:name="_Toc15057756"/>
      <w:r>
        <w:rPr>
          <w:rFonts w:hint="cs"/>
          <w:rtl/>
        </w:rPr>
        <w:t>דברי הגר"א</w:t>
      </w:r>
      <w:bookmarkEnd w:id="7611"/>
      <w:bookmarkEnd w:id="7612"/>
      <w:bookmarkEnd w:id="7613"/>
      <w:r>
        <w:rPr>
          <w:rFonts w:hint="cs"/>
          <w:rtl/>
        </w:rPr>
        <w:t xml:space="preserve"> ברמב"ם דפחות מכא"פ דרבנן ואורז ע"י גרירה</w:t>
      </w:r>
      <w:bookmarkEnd w:id="7614"/>
      <w:bookmarkEnd w:id="7615"/>
      <w:bookmarkEnd w:id="7616"/>
      <w:bookmarkEnd w:id="7617"/>
    </w:p>
    <w:p w:rsidR="00FF684E" w:rsidRDefault="00FF684E" w:rsidP="00FF684E">
      <w:pPr>
        <w:pStyle w:val="a2"/>
        <w:rPr>
          <w:rtl/>
        </w:rPr>
      </w:pPr>
      <w:bookmarkStart w:id="7618" w:name="_Toc15227790"/>
      <w:bookmarkStart w:id="7619" w:name="_Toc15227623"/>
      <w:bookmarkStart w:id="7620" w:name="_Toc15163204"/>
      <w:bookmarkStart w:id="7621" w:name="_Toc15057757"/>
      <w:r>
        <w:rPr>
          <w:rFonts w:hint="cs"/>
          <w:rtl/>
        </w:rPr>
        <w:t>דברי הגר"א ברמב"ם דהאורז נגרר אחר חיטים שנתנו בו טעם אף כשיש חיטים בפחות מכא"פ</w:t>
      </w:r>
      <w:bookmarkEnd w:id="7618"/>
      <w:bookmarkEnd w:id="7619"/>
      <w:bookmarkEnd w:id="7620"/>
      <w:bookmarkEnd w:id="7621"/>
    </w:p>
    <w:p w:rsidR="00FF684E" w:rsidRDefault="00FF684E" w:rsidP="009F44AF">
      <w:pPr>
        <w:pStyle w:val="a"/>
        <w:rPr>
          <w:rtl/>
        </w:rPr>
      </w:pPr>
      <w:r>
        <w:rPr>
          <w:rFonts w:hint="cs"/>
          <w:rtl/>
        </w:rPr>
        <w:t xml:space="preserve">אלא כתב </w:t>
      </w:r>
      <w:r>
        <w:rPr>
          <w:rStyle w:val="af8"/>
          <w:rtl/>
        </w:rPr>
        <w:t>הגר"א</w:t>
      </w:r>
      <w:r>
        <w:rPr>
          <w:rFonts w:hint="cs"/>
          <w:rtl/>
        </w:rPr>
        <w:t xml:space="preserve"> </w:t>
      </w:r>
      <w:r w:rsidR="0010587A">
        <w:rPr>
          <w:rStyle w:val="af6"/>
          <w:rFonts w:eastAsia="Guttman Hodes" w:hint="cs"/>
          <w:rtl/>
        </w:rPr>
        <w:t>(או"ח סי' תנ"ג סק"ט)</w:t>
      </w:r>
      <w:r w:rsidR="0010587A">
        <w:rPr>
          <w:rFonts w:hint="cs"/>
          <w:rtl/>
        </w:rPr>
        <w:t xml:space="preserve"> </w:t>
      </w:r>
      <w:r>
        <w:rPr>
          <w:rFonts w:hint="cs"/>
          <w:rtl/>
        </w:rPr>
        <w:t xml:space="preserve">דמוכח דס"ל </w:t>
      </w:r>
      <w:r>
        <w:rPr>
          <w:rStyle w:val="af8"/>
          <w:rtl/>
        </w:rPr>
        <w:t>להרמב"ם</w:t>
      </w:r>
      <w:r>
        <w:rPr>
          <w:rFonts w:hint="cs"/>
          <w:rtl/>
        </w:rPr>
        <w:t xml:space="preserve"> כדביאר </w:t>
      </w:r>
      <w:r>
        <w:rPr>
          <w:rStyle w:val="af8"/>
          <w:rtl/>
        </w:rPr>
        <w:t>המ"מ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Ref15034103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טז</w:t>
      </w:r>
      <w:r w:rsidR="004D1C5B">
        <w:rPr>
          <w:rStyle w:val="af6"/>
          <w:rFonts w:eastAsia="Guttman Hodes"/>
          <w:rtl/>
        </w:rPr>
        <w:t>)</w:t>
      </w:r>
      <w:r>
        <w:rPr>
          <w:rFonts w:hint="cs"/>
          <w:rtl/>
        </w:rPr>
        <w:fldChar w:fldCharType="end"/>
      </w:r>
      <w:r>
        <w:rPr>
          <w:rFonts w:hint="cs"/>
          <w:rtl/>
        </w:rPr>
        <w:t xml:space="preserve"> בדעת </w:t>
      </w:r>
      <w:r>
        <w:rPr>
          <w:rStyle w:val="af8"/>
          <w:rtl/>
        </w:rPr>
        <w:t>הרמב"ם</w:t>
      </w:r>
      <w:r>
        <w:rPr>
          <w:rFonts w:hint="cs"/>
          <w:rtl/>
        </w:rPr>
        <w:t xml:space="preserve"> דס"ל כדברי </w:t>
      </w:r>
      <w:r>
        <w:rPr>
          <w:rStyle w:val="af8"/>
          <w:rtl/>
        </w:rPr>
        <w:t>הרמב"ן בהלכות חלה</w:t>
      </w:r>
      <w:r>
        <w:rPr>
          <w:rFonts w:hint="cs"/>
          <w:rtl/>
        </w:rPr>
        <w:t xml:space="preserve">, דדין עיסת אורז הוא מדין גרירה וכדאיתא בירושלמי בחלה </w:t>
      </w:r>
      <w:r>
        <w:rPr>
          <w:rStyle w:val="af6"/>
          <w:rFonts w:eastAsia="Guttman Hodes" w:hint="cs"/>
          <w:rtl/>
        </w:rPr>
        <w:t>(פ"א ה"א א:)</w:t>
      </w:r>
      <w:r>
        <w:rPr>
          <w:rFonts w:hint="cs"/>
          <w:rtl/>
        </w:rPr>
        <w:t xml:space="preserve">, </w:t>
      </w:r>
      <w:r>
        <w:rPr>
          <w:rStyle w:val="afa"/>
          <w:rtl/>
        </w:rPr>
        <w:t>[דלדין מצה בעינן דגן הבא לידי חימוץ, וכשנגרר אחר החיטים אף האורז בא לידי חימוץ],</w:t>
      </w:r>
      <w:r>
        <w:rPr>
          <w:rFonts w:hint="cs"/>
          <w:rtl/>
        </w:rPr>
        <w:t xml:space="preserve"> דהאורז נגרר אחר החיטים כשנתנו החיטים בו טעם, והאורז בא לידי חימוץ אף שהחיטים הם פחות מכזית בכדי אכילת פרס, ולכן ס"ל </w:t>
      </w:r>
      <w:r>
        <w:rPr>
          <w:rStyle w:val="af8"/>
          <w:rtl/>
        </w:rPr>
        <w:t>להרמב"ם</w:t>
      </w:r>
      <w:r>
        <w:rPr>
          <w:rFonts w:hint="cs"/>
          <w:rtl/>
        </w:rPr>
        <w:t xml:space="preserve"> דכל שיש טעם דגן יוצא יד"ח מצה, והעיסה חייבת בחלה, אף בפחות מכזית בכדי אכילת פרס.</w:t>
      </w:r>
    </w:p>
    <w:p w:rsidR="00FF684E" w:rsidRDefault="00FF684E" w:rsidP="007E08E0">
      <w:pPr>
        <w:pStyle w:val="1"/>
        <w:rPr>
          <w:rtl/>
        </w:rPr>
      </w:pPr>
      <w:bookmarkStart w:id="7622" w:name="_Toc15227791"/>
      <w:bookmarkStart w:id="7623" w:name="_Toc15227624"/>
      <w:bookmarkStart w:id="7624" w:name="_Toc15163205"/>
      <w:bookmarkStart w:id="7625" w:name="_Toc15057758"/>
      <w:r>
        <w:rPr>
          <w:rFonts w:hint="cs"/>
          <w:rtl/>
        </w:rPr>
        <w:t>ביאור הגר"א דמקור דברי הרמב"ם הם מהירושלמי בדין נזיר</w:t>
      </w:r>
      <w:bookmarkEnd w:id="7622"/>
      <w:bookmarkEnd w:id="7623"/>
      <w:bookmarkEnd w:id="7624"/>
      <w:bookmarkEnd w:id="7625"/>
    </w:p>
    <w:p w:rsidR="00FF684E" w:rsidRDefault="00FF684E" w:rsidP="00FF684E">
      <w:pPr>
        <w:pStyle w:val="a2"/>
        <w:rPr>
          <w:rtl/>
        </w:rPr>
      </w:pPr>
      <w:bookmarkStart w:id="7626" w:name="_Toc15227792"/>
      <w:bookmarkStart w:id="7627" w:name="_Toc15227625"/>
      <w:bookmarkStart w:id="7628" w:name="_Toc15163206"/>
      <w:bookmarkStart w:id="7629" w:name="_Toc15057759"/>
      <w:r>
        <w:rPr>
          <w:rFonts w:hint="cs"/>
          <w:rtl/>
        </w:rPr>
        <w:t>דברי הגר"א דנחלקו הבבלי והירושלמי אי יליפינן ממשרת דטע"כ דאו' בכל האיסורים</w:t>
      </w:r>
      <w:bookmarkEnd w:id="7626"/>
      <w:bookmarkEnd w:id="7627"/>
      <w:bookmarkEnd w:id="7628"/>
      <w:bookmarkEnd w:id="7629"/>
    </w:p>
    <w:p w:rsidR="00FF684E" w:rsidRDefault="00FF684E" w:rsidP="009F44AF">
      <w:pPr>
        <w:pStyle w:val="a"/>
        <w:rPr>
          <w:rtl/>
        </w:rPr>
      </w:pPr>
      <w:bookmarkStart w:id="7630" w:name="_Ref15845975"/>
      <w:r>
        <w:rPr>
          <w:rFonts w:hint="cs"/>
          <w:rtl/>
        </w:rPr>
        <w:t xml:space="preserve">וכתב </w:t>
      </w:r>
      <w:r>
        <w:rPr>
          <w:rStyle w:val="af8"/>
          <w:rtl/>
        </w:rPr>
        <w:t>הגר"א</w:t>
      </w:r>
      <w:r>
        <w:rPr>
          <w:rFonts w:hint="cs"/>
          <w:rtl/>
        </w:rPr>
        <w:t xml:space="preserve"> </w:t>
      </w:r>
      <w:r w:rsidR="0010587A">
        <w:rPr>
          <w:rStyle w:val="af6"/>
          <w:rFonts w:eastAsia="Guttman Hodes" w:hint="cs"/>
          <w:rtl/>
        </w:rPr>
        <w:t>(או"ח סי' תנ"ג סק"ט)</w:t>
      </w:r>
      <w:r w:rsidR="0010587A">
        <w:rPr>
          <w:rFonts w:hint="cs"/>
          <w:rtl/>
        </w:rPr>
        <w:t xml:space="preserve"> </w:t>
      </w:r>
      <w:r>
        <w:rPr>
          <w:rFonts w:hint="cs"/>
          <w:rtl/>
        </w:rPr>
        <w:t xml:space="preserve">דבירושלמי בערלה </w:t>
      </w:r>
      <w:r>
        <w:rPr>
          <w:rStyle w:val="af6"/>
          <w:rFonts w:eastAsia="Guttman Hodes" w:hint="cs"/>
          <w:rtl/>
        </w:rPr>
        <w:t>(פ"ב ה"ה, יד:)</w:t>
      </w:r>
      <w:r>
        <w:rPr>
          <w:rFonts w:hint="cs"/>
          <w:rtl/>
        </w:rPr>
        <w:t xml:space="preserve"> ובנזיר</w:t>
      </w:r>
      <w:r>
        <w:rPr>
          <w:rStyle w:val="af6"/>
          <w:rFonts w:eastAsia="Guttman Hodes" w:hint="cs"/>
          <w:rtl/>
        </w:rPr>
        <w:t xml:space="preserve"> (פ"ו ה"א, כז.)</w:t>
      </w:r>
      <w:r>
        <w:rPr>
          <w:rFonts w:hint="cs"/>
          <w:rtl/>
        </w:rPr>
        <w:t xml:space="preserve"> אמר רב אבא ב"ר ממל דממשרת ילפינן להיתר מצטרף לאיסור, ולרב זירא ממשרת ילפינן לטעם כעיקר, וכתב </w:t>
      </w:r>
      <w:r>
        <w:rPr>
          <w:rStyle w:val="af8"/>
          <w:rtl/>
        </w:rPr>
        <w:t>הגר"א</w:t>
      </w:r>
      <w:r>
        <w:rPr>
          <w:rFonts w:hint="cs"/>
          <w:rtl/>
        </w:rPr>
        <w:t xml:space="preserve"> דרב אבא ב"ר ממל ס"ל כר"ע בגמ' בפסחים </w:t>
      </w:r>
      <w:r>
        <w:rPr>
          <w:rStyle w:val="af6"/>
          <w:rFonts w:eastAsia="Guttman Hodes" w:hint="cs"/>
          <w:rtl/>
        </w:rPr>
        <w:t>(מד:)</w:t>
      </w:r>
      <w:r>
        <w:rPr>
          <w:rFonts w:hint="cs"/>
          <w:rtl/>
        </w:rPr>
        <w:t xml:space="preserve"> ובנזיר </w:t>
      </w:r>
      <w:r>
        <w:rPr>
          <w:rStyle w:val="af6"/>
          <w:rFonts w:eastAsia="Guttman Hodes" w:hint="cs"/>
          <w:rtl/>
        </w:rPr>
        <w:t>(לז.)</w:t>
      </w:r>
      <w:r>
        <w:rPr>
          <w:rFonts w:hint="cs"/>
          <w:rtl/>
        </w:rPr>
        <w:t xml:space="preserve">, ורב זירא ס"ל כרבנן, אך כתב </w:t>
      </w:r>
      <w:r>
        <w:rPr>
          <w:rStyle w:val="af8"/>
          <w:rtl/>
        </w:rPr>
        <w:t>הגר"א</w:t>
      </w:r>
      <w:r>
        <w:rPr>
          <w:rFonts w:hint="cs"/>
          <w:rtl/>
        </w:rPr>
        <w:t xml:space="preserve"> דלדעת הירושלמי לא ילפינן ממשרת לכל האיסורים שבתורה, אף לדעת רבנן, ורק בנזיר טעם כעיקר הוא מדאו', ולכן אף במקום שיש כזית בכדי אכילת פרס, ס"ל להירושלמי דרק בנזיר חייבים עליו, אבל בשאר האיסורים, אף בכזית בכדי אכילת פרס, אין חיוב מדאו' מדין טעם כעיקר, וכתב </w:t>
      </w:r>
      <w:r>
        <w:rPr>
          <w:rStyle w:val="af8"/>
          <w:rtl/>
        </w:rPr>
        <w:t>הגר"א</w:t>
      </w:r>
      <w:r>
        <w:rPr>
          <w:rFonts w:hint="cs"/>
          <w:rtl/>
        </w:rPr>
        <w:t xml:space="preserve"> דהבבלי </w:t>
      </w:r>
      <w:r>
        <w:rPr>
          <w:rFonts w:hint="cs"/>
          <w:rtl/>
        </w:rPr>
        <w:lastRenderedPageBreak/>
        <w:t xml:space="preserve">ס"ל דלדעת רבנן ילפינן ממשרת, דבכל האיסורים שבתורה טעם כעיקר דאו', וע"ע במה שביאר </w:t>
      </w:r>
      <w:r>
        <w:rPr>
          <w:rStyle w:val="af8"/>
          <w:rtl/>
        </w:rPr>
        <w:t>הרמב"ן</w:t>
      </w:r>
      <w:r>
        <w:rPr>
          <w:rFonts w:hint="cs"/>
          <w:rtl/>
        </w:rPr>
        <w:t xml:space="preserve"> </w:t>
      </w:r>
      <w:r>
        <w:rPr>
          <w:rStyle w:val="af6"/>
          <w:rFonts w:eastAsia="Guttman Hodes" w:hint="cs"/>
          <w:rtl/>
        </w:rPr>
        <w:t>(ד"ה ובירושלמי)</w:t>
      </w:r>
      <w:r>
        <w:rPr>
          <w:rFonts w:hint="cs"/>
          <w:rtl/>
        </w:rPr>
        <w:t xml:space="preserve"> בירושלמי.</w:t>
      </w:r>
      <w:bookmarkEnd w:id="7630"/>
    </w:p>
    <w:p w:rsidR="00FF684E" w:rsidRDefault="00FF684E" w:rsidP="00FF684E">
      <w:pPr>
        <w:pStyle w:val="a2"/>
        <w:rPr>
          <w:rtl/>
        </w:rPr>
      </w:pPr>
      <w:bookmarkStart w:id="7631" w:name="_Toc15227793"/>
      <w:bookmarkStart w:id="7632" w:name="_Toc15227626"/>
      <w:bookmarkStart w:id="7633" w:name="_Toc15163207"/>
      <w:bookmarkStart w:id="7634" w:name="_Toc15057760"/>
      <w:r>
        <w:rPr>
          <w:rFonts w:hint="cs"/>
          <w:rtl/>
        </w:rPr>
        <w:t>דברי הגר"א דמבואר בירושלמי דנזיר חייב בטע"כ רק בכא"פ ואכל פרס שכלול בו כזית איסור</w:t>
      </w:r>
      <w:bookmarkEnd w:id="7631"/>
      <w:bookmarkEnd w:id="7632"/>
      <w:bookmarkEnd w:id="7633"/>
      <w:bookmarkEnd w:id="7634"/>
    </w:p>
    <w:p w:rsidR="00FF684E" w:rsidRDefault="00FF684E" w:rsidP="009F44AF">
      <w:pPr>
        <w:pStyle w:val="a"/>
        <w:rPr>
          <w:rStyle w:val="afa"/>
          <w:rtl/>
        </w:rPr>
      </w:pPr>
      <w:r>
        <w:rPr>
          <w:rFonts w:hint="cs"/>
          <w:rtl/>
        </w:rPr>
        <w:t xml:space="preserve">אך ביאר </w:t>
      </w:r>
      <w:r>
        <w:rPr>
          <w:rStyle w:val="af8"/>
          <w:rtl/>
        </w:rPr>
        <w:t>הגר"א</w:t>
      </w:r>
      <w:r>
        <w:rPr>
          <w:rFonts w:hint="cs"/>
          <w:rtl/>
        </w:rPr>
        <w:t xml:space="preserve"> דמבואר בירושלמי דאף דבנזיר טעם כעיקר דאו', מ"מ אף במקום שנימוח גוף האיסור בתוך התערובת, לוקין עליו רק כשיש כזית בכדי אכילת פרס, ואכל את כל הפרס, דכלול בו כזית מהאיסור, ובשאר האיסורים ס"ל להירושלמי דרק כשגוף האיסור לא נימוח האיסור לוקין עליו. </w:t>
      </w:r>
      <w:r>
        <w:rPr>
          <w:rStyle w:val="afa"/>
          <w:rtl/>
        </w:rPr>
        <w:t xml:space="preserve">[וכתב </w:t>
      </w:r>
      <w:r>
        <w:rPr>
          <w:rStyle w:val="affa"/>
          <w:rtl/>
        </w:rPr>
        <w:t>הגר"א</w:t>
      </w:r>
      <w:r>
        <w:rPr>
          <w:rStyle w:val="afa"/>
          <w:rtl/>
        </w:rPr>
        <w:t xml:space="preserve"> דהוא כדביאר </w:t>
      </w:r>
      <w:r>
        <w:rPr>
          <w:rStyle w:val="affa"/>
          <w:rtl/>
        </w:rPr>
        <w:t>רש"י בע"ז</w:t>
      </w:r>
      <w:r>
        <w:rPr>
          <w:rStyle w:val="afa"/>
          <w:rtl/>
        </w:rPr>
        <w:t xml:space="preserve"> </w:t>
      </w:r>
      <w:r>
        <w:rPr>
          <w:rStyle w:val="aff6"/>
          <w:rtl/>
        </w:rPr>
        <w:t xml:space="preserve">(הובא לעיל סימן ט' אות א) </w:t>
      </w:r>
      <w:r>
        <w:rPr>
          <w:rStyle w:val="afa"/>
          <w:rtl/>
        </w:rPr>
        <w:t>בדין טעמו וממשו].</w:t>
      </w:r>
    </w:p>
    <w:p w:rsidR="00FF684E" w:rsidRDefault="00FF684E" w:rsidP="00FF684E">
      <w:pPr>
        <w:pStyle w:val="a2"/>
        <w:rPr>
          <w:rtl/>
        </w:rPr>
      </w:pPr>
      <w:bookmarkStart w:id="7635" w:name="_Toc15227794"/>
      <w:bookmarkStart w:id="7636" w:name="_Toc15227627"/>
      <w:bookmarkStart w:id="7637" w:name="_Toc15163208"/>
      <w:bookmarkStart w:id="7638" w:name="_Toc15057761"/>
      <w:r>
        <w:rPr>
          <w:rFonts w:hint="cs"/>
          <w:rtl/>
        </w:rPr>
        <w:t>ביאור הגר"א ברמב"ם דלבבלי טע"כ בשאר האיסורים הוא כירושלמי בנזיר דטע"כ הוא רק בכא"פ</w:t>
      </w:r>
      <w:bookmarkEnd w:id="7635"/>
      <w:bookmarkEnd w:id="7636"/>
      <w:bookmarkEnd w:id="7637"/>
      <w:bookmarkEnd w:id="7638"/>
    </w:p>
    <w:p w:rsidR="00FF684E" w:rsidRDefault="00FF684E" w:rsidP="009F44AF">
      <w:pPr>
        <w:pStyle w:val="a"/>
        <w:rPr>
          <w:rtl/>
        </w:rPr>
      </w:pPr>
      <w:r>
        <w:rPr>
          <w:rFonts w:hint="cs"/>
          <w:rtl/>
        </w:rPr>
        <w:t xml:space="preserve">וכתב </w:t>
      </w:r>
      <w:r>
        <w:rPr>
          <w:rStyle w:val="af8"/>
          <w:rtl/>
        </w:rPr>
        <w:t>הגר"א</w:t>
      </w:r>
      <w:r>
        <w:rPr>
          <w:rFonts w:hint="cs"/>
          <w:rtl/>
        </w:rPr>
        <w:t xml:space="preserve"> דס"ל </w:t>
      </w:r>
      <w:r>
        <w:rPr>
          <w:rStyle w:val="af8"/>
          <w:rtl/>
        </w:rPr>
        <w:t>להרמב"ם</w:t>
      </w:r>
      <w:r>
        <w:rPr>
          <w:rFonts w:hint="cs"/>
          <w:rtl/>
        </w:rPr>
        <w:t xml:space="preserve"> דכיון דלדעת הירושלמי החיוב בנזיר הוא רק כשיש כזית בכדי אכילת פרס, ואכל את כל הפרס, דכלול בו כזית מהאיסור, א"כ ה"ה לדעת הבבלי בכל האיסורים, דילפינן ממשרת דטעם כעיקר דאו', וכתב </w:t>
      </w:r>
      <w:r>
        <w:rPr>
          <w:rStyle w:val="af8"/>
          <w:rtl/>
        </w:rPr>
        <w:t>הגר"א</w:t>
      </w:r>
      <w:r>
        <w:rPr>
          <w:rFonts w:hint="cs"/>
          <w:rtl/>
        </w:rPr>
        <w:t xml:space="preserve"> דלכן פסק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דהחיוב בטעם כעיקר הוא דוקא כשיש כזית בכדי אכילת פרס, ואכל את כל הפרס, דכלול בו כזית מהאיסור.</w:t>
      </w:r>
    </w:p>
    <w:p w:rsidR="00FF684E" w:rsidRDefault="00FF684E" w:rsidP="007E08E0">
      <w:pPr>
        <w:pStyle w:val="1"/>
        <w:rPr>
          <w:rtl/>
        </w:rPr>
      </w:pPr>
      <w:bookmarkStart w:id="7639" w:name="_Toc15227795"/>
      <w:bookmarkStart w:id="7640" w:name="_Toc15227628"/>
      <w:bookmarkStart w:id="7641" w:name="_Toc15163209"/>
      <w:bookmarkStart w:id="7642" w:name="_Toc15057762"/>
      <w:r>
        <w:rPr>
          <w:rFonts w:hint="cs"/>
          <w:rtl/>
        </w:rPr>
        <w:t>דברי הגר"א ברמב"ם בחילוק בין טע"כ בנזיר לתערובת חמץ</w:t>
      </w:r>
      <w:bookmarkEnd w:id="7639"/>
      <w:bookmarkEnd w:id="7640"/>
      <w:bookmarkEnd w:id="7641"/>
      <w:bookmarkEnd w:id="7642"/>
    </w:p>
    <w:p w:rsidR="00FF684E" w:rsidRDefault="00FF684E" w:rsidP="00FF684E">
      <w:pPr>
        <w:pStyle w:val="a2"/>
        <w:rPr>
          <w:rtl/>
        </w:rPr>
      </w:pPr>
      <w:bookmarkStart w:id="7643" w:name="_Toc15227796"/>
      <w:bookmarkStart w:id="7644" w:name="_Toc15227629"/>
      <w:bookmarkStart w:id="7645" w:name="_Toc15163210"/>
      <w:bookmarkStart w:id="7646" w:name="_Toc15057763"/>
      <w:r>
        <w:rPr>
          <w:rFonts w:hint="cs"/>
          <w:rtl/>
        </w:rPr>
        <w:t>דברי הגר"א דמ"ש הרמב"ם דאין היתר מצטרף לאיסור כוונתו לומר דאין חיוב על כזית מהתערובת</w:t>
      </w:r>
      <w:bookmarkEnd w:id="7643"/>
      <w:bookmarkEnd w:id="7644"/>
      <w:bookmarkEnd w:id="7645"/>
      <w:bookmarkEnd w:id="7646"/>
    </w:p>
    <w:p w:rsidR="00FF684E" w:rsidRDefault="00FF684E" w:rsidP="009F44AF">
      <w:pPr>
        <w:pStyle w:val="a"/>
        <w:rPr>
          <w:rtl/>
        </w:rPr>
      </w:pPr>
      <w:r>
        <w:rPr>
          <w:rFonts w:hint="cs"/>
          <w:rtl/>
        </w:rPr>
        <w:t xml:space="preserve">והוסיף </w:t>
      </w:r>
      <w:r>
        <w:rPr>
          <w:rStyle w:val="af8"/>
          <w:rtl/>
        </w:rPr>
        <w:t>הגר"א</w:t>
      </w:r>
      <w:r>
        <w:rPr>
          <w:rFonts w:hint="cs"/>
          <w:rtl/>
        </w:rPr>
        <w:t xml:space="preserve"> דהא דכתב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Ref15034258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ה</w:t>
      </w:r>
      <w:r w:rsidR="004D1C5B">
        <w:rPr>
          <w:rStyle w:val="af6"/>
          <w:rFonts w:eastAsia="Guttman Hodes"/>
          <w:rtl/>
        </w:rPr>
        <w:t>)</w:t>
      </w:r>
      <w:r>
        <w:rPr>
          <w:rFonts w:hint="cs"/>
          <w:rtl/>
        </w:rPr>
        <w:fldChar w:fldCharType="end"/>
      </w:r>
      <w:r>
        <w:rPr>
          <w:rFonts w:hint="cs"/>
          <w:rtl/>
        </w:rPr>
        <w:t xml:space="preserve"> דבנזיר אין היתר מצטרף לאיסור, ורק באופן שהאיסור מעורב בתערובת בשיעור של כזית בכדי אכילת פרס, ואכל כזית בכדי אכילת פרס מהאיסור, חייב עליו, </w:t>
      </w:r>
      <w:r>
        <w:rPr>
          <w:rStyle w:val="afa"/>
          <w:rtl/>
        </w:rPr>
        <w:t xml:space="preserve">[וביאר </w:t>
      </w:r>
      <w:r>
        <w:rPr>
          <w:rStyle w:val="affa"/>
          <w:rtl/>
        </w:rPr>
        <w:t>הרמב"ם</w:t>
      </w:r>
      <w:r>
        <w:rPr>
          <w:rStyle w:val="afa"/>
          <w:rtl/>
        </w:rPr>
        <w:t xml:space="preserve"> דדין הנזיר הוא כדין כל שאר האיסורים], </w:t>
      </w:r>
      <w:r>
        <w:rPr>
          <w:rFonts w:hint="cs"/>
          <w:rtl/>
        </w:rPr>
        <w:t xml:space="preserve">דכוונת </w:t>
      </w:r>
      <w:r>
        <w:rPr>
          <w:rStyle w:val="af8"/>
          <w:rtl/>
        </w:rPr>
        <w:t>הרמב"ם</w:t>
      </w:r>
      <w:r>
        <w:rPr>
          <w:rFonts w:hint="cs"/>
          <w:rtl/>
        </w:rPr>
        <w:t xml:space="preserve"> לפסוק דלא כר"א ב"ר ממל בירושלמי ודלא כר"ע, דאין היתר מצטרף לאיסור, ולכן אין חיוב על כזית מהתערובת.</w:t>
      </w:r>
    </w:p>
    <w:p w:rsidR="00FF684E" w:rsidRDefault="00FF684E" w:rsidP="00FF684E">
      <w:pPr>
        <w:pStyle w:val="a2"/>
        <w:rPr>
          <w:rtl/>
        </w:rPr>
      </w:pPr>
      <w:bookmarkStart w:id="7647" w:name="_Toc15227797"/>
      <w:bookmarkStart w:id="7648" w:name="_Toc15227630"/>
      <w:bookmarkStart w:id="7649" w:name="_Toc15163211"/>
      <w:r>
        <w:rPr>
          <w:rFonts w:hint="cs"/>
          <w:rtl/>
        </w:rPr>
        <w:t>דברי הגר"א ברמב"ם דתערובת חמץ דינו ככל האיסורים שיש בהם מלקות ואין כרת</w:t>
      </w:r>
      <w:bookmarkEnd w:id="7647"/>
      <w:bookmarkEnd w:id="7648"/>
      <w:bookmarkEnd w:id="7649"/>
    </w:p>
    <w:p w:rsidR="00FF684E" w:rsidRDefault="00FF684E" w:rsidP="009F44AF">
      <w:pPr>
        <w:pStyle w:val="a"/>
        <w:rPr>
          <w:rStyle w:val="afa"/>
        </w:rPr>
      </w:pPr>
      <w:r>
        <w:rPr>
          <w:rFonts w:hint="cs"/>
          <w:rtl/>
        </w:rPr>
        <w:t xml:space="preserve">וכתב </w:t>
      </w:r>
      <w:r>
        <w:rPr>
          <w:rStyle w:val="af8"/>
          <w:rtl/>
        </w:rPr>
        <w:t>הגר"א</w:t>
      </w:r>
      <w:r>
        <w:rPr>
          <w:rFonts w:hint="cs"/>
          <w:rtl/>
        </w:rPr>
        <w:t xml:space="preserve"> דזהו הביאור בדברי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Fonts w:hint="cs"/>
          <w:rtl/>
        </w:rPr>
        <w:fldChar w:fldCharType="end"/>
      </w:r>
      <w:r>
        <w:rPr>
          <w:rFonts w:hint="cs"/>
          <w:rtl/>
        </w:rPr>
        <w:t xml:space="preserve"> בדין כותח, דכתב דבתערובת חמץ באכל כזית בכדי אכילת פרס, יש מלקות ואין כרת, כדילפינן מכל מחמצת לא תאכלו, ובפחות מכזית בכדי אכילת פרס, אעפ"י שאסור לאוכלו, אין בו מלקות ומכין אותו מכת מרדות מדרבנן, </w:t>
      </w:r>
      <w:r>
        <w:rPr>
          <w:rStyle w:val="afa"/>
          <w:rtl/>
        </w:rPr>
        <w:t xml:space="preserve">[וציין </w:t>
      </w:r>
      <w:r>
        <w:rPr>
          <w:rStyle w:val="affa"/>
          <w:rtl/>
        </w:rPr>
        <w:t>הגר"א</w:t>
      </w:r>
      <w:r>
        <w:rPr>
          <w:rStyle w:val="afa"/>
          <w:rtl/>
        </w:rPr>
        <w:t xml:space="preserve"> לדברי </w:t>
      </w:r>
      <w:r>
        <w:rPr>
          <w:rStyle w:val="affa"/>
          <w:rtl/>
        </w:rPr>
        <w:t>הרמב"ן בהשג' על סה"מ להרמב"ם</w:t>
      </w:r>
      <w:r>
        <w:rPr>
          <w:rStyle w:val="afa"/>
          <w:rtl/>
        </w:rPr>
        <w:t xml:space="preserve"> </w:t>
      </w:r>
      <w:r>
        <w:rPr>
          <w:rStyle w:val="aff6"/>
          <w:rtl/>
        </w:rPr>
        <w:t>(ל"ת קצ"ח)</w:t>
      </w:r>
      <w:r>
        <w:rPr>
          <w:rStyle w:val="afa"/>
          <w:rtl/>
        </w:rPr>
        <w:t xml:space="preserve"> דהשיג על </w:t>
      </w:r>
      <w:r>
        <w:rPr>
          <w:rStyle w:val="affa"/>
          <w:rtl/>
        </w:rPr>
        <w:t>הרמב"ם</w:t>
      </w:r>
      <w:r>
        <w:rPr>
          <w:rStyle w:val="afa"/>
          <w:rtl/>
        </w:rPr>
        <w:t xml:space="preserve"> בזה], </w:t>
      </w:r>
      <w:r>
        <w:rPr>
          <w:rFonts w:hint="cs"/>
          <w:rtl/>
        </w:rPr>
        <w:t xml:space="preserve">וביאר </w:t>
      </w:r>
      <w:r>
        <w:rPr>
          <w:rStyle w:val="af8"/>
          <w:rtl/>
        </w:rPr>
        <w:t>הגר"א</w:t>
      </w:r>
      <w:r>
        <w:rPr>
          <w:rFonts w:hint="cs"/>
          <w:rtl/>
        </w:rPr>
        <w:t xml:space="preserve"> דדינו כדין כל האיסורים דס"ל </w:t>
      </w:r>
      <w:r>
        <w:rPr>
          <w:rStyle w:val="af8"/>
          <w:rtl/>
        </w:rPr>
        <w:t>להרמב"ם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Ref15030462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 xml:space="preserve"> דבכזית בכדי אכילת פרס, יש רק מלקות ואין כרת. </w:t>
      </w:r>
      <w:r>
        <w:rPr>
          <w:rStyle w:val="afa"/>
          <w:rtl/>
        </w:rPr>
        <w:t xml:space="preserve">[ועיי"ש במה שביאר </w:t>
      </w:r>
      <w:r>
        <w:rPr>
          <w:rStyle w:val="affa"/>
          <w:rtl/>
        </w:rPr>
        <w:t>הגר"א</w:t>
      </w:r>
      <w:r>
        <w:rPr>
          <w:rStyle w:val="afa"/>
          <w:rtl/>
        </w:rPr>
        <w:t xml:space="preserve"> את פלוגתת רבנן ור"א בדין כותח לדעת </w:t>
      </w:r>
      <w:r>
        <w:rPr>
          <w:rStyle w:val="affa"/>
          <w:rtl/>
        </w:rPr>
        <w:t>הרמב"ם</w:t>
      </w:r>
      <w:r>
        <w:rPr>
          <w:rStyle w:val="afa"/>
          <w:rtl/>
        </w:rPr>
        <w:t>].</w:t>
      </w:r>
    </w:p>
    <w:p w:rsidR="00FF684E" w:rsidRDefault="00FF684E" w:rsidP="00FF684E">
      <w:pPr>
        <w:pStyle w:val="a2"/>
        <w:rPr>
          <w:rtl/>
        </w:rPr>
      </w:pPr>
      <w:bookmarkStart w:id="7650" w:name="_Toc15227798"/>
      <w:bookmarkStart w:id="7651" w:name="_Toc15227631"/>
      <w:bookmarkStart w:id="7652" w:name="_Toc15163212"/>
      <w:r>
        <w:rPr>
          <w:rFonts w:hint="cs"/>
          <w:rtl/>
        </w:rPr>
        <w:t>ביאור הגר"א ברמב"ם דמכל מחמצת ילפינן לגוף איסור שנימוח וממשרת ילפינן לטעמו ולא ממשו</w:t>
      </w:r>
      <w:bookmarkEnd w:id="7650"/>
      <w:bookmarkEnd w:id="7651"/>
      <w:bookmarkEnd w:id="7652"/>
    </w:p>
    <w:p w:rsidR="00FF684E" w:rsidRDefault="00FF684E" w:rsidP="009F44AF">
      <w:pPr>
        <w:pStyle w:val="a"/>
      </w:pPr>
      <w:r>
        <w:rPr>
          <w:rFonts w:hint="cs"/>
          <w:rtl/>
        </w:rPr>
        <w:t xml:space="preserve">וביאר </w:t>
      </w:r>
      <w:r>
        <w:rPr>
          <w:rStyle w:val="af8"/>
          <w:rtl/>
        </w:rPr>
        <w:t>הגר"א</w:t>
      </w:r>
      <w:r>
        <w:rPr>
          <w:rFonts w:hint="cs"/>
          <w:rtl/>
        </w:rPr>
        <w:t xml:space="preserve"> דס"ל </w:t>
      </w:r>
      <w:r>
        <w:rPr>
          <w:rStyle w:val="af8"/>
          <w:rtl/>
        </w:rPr>
        <w:t>להרמב"ם</w:t>
      </w:r>
      <w:r>
        <w:rPr>
          <w:rFonts w:hint="cs"/>
          <w:rtl/>
        </w:rPr>
        <w:t xml:space="preserve"> דכל מחמצת ילפינן דכשגוף האיסור מעורב בתערובת ונימוח, דהיינו טעמו וממשו, ויש בו כזית בכדי אכילת פרס, ואכל את כל הפרס דכלול בו כזית מהאיסור, דלוקין עליו, וממשרת ילפינן לטעמו ולא ממשו, דאין בתערובת את גוף האיסור כלל.</w:t>
      </w:r>
    </w:p>
    <w:p w:rsidR="00FF684E" w:rsidRDefault="00FF684E" w:rsidP="00FF684E">
      <w:pPr>
        <w:pStyle w:val="a2"/>
        <w:rPr>
          <w:rtl/>
        </w:rPr>
      </w:pPr>
      <w:bookmarkStart w:id="7653" w:name="_Toc15227799"/>
      <w:bookmarkStart w:id="7654" w:name="_Toc15227632"/>
      <w:bookmarkStart w:id="7655" w:name="_Toc15163213"/>
      <w:r>
        <w:rPr>
          <w:rFonts w:hint="cs"/>
          <w:rtl/>
        </w:rPr>
        <w:t>ביאור הגר"א ברמב"ם בנזיר דכתב דאין היתר מצטרף לאיסור בגוף האיסור ומשרת כשיש רק טעמו</w:t>
      </w:r>
      <w:bookmarkEnd w:id="7653"/>
      <w:bookmarkEnd w:id="7654"/>
      <w:bookmarkEnd w:id="7655"/>
    </w:p>
    <w:p w:rsidR="00FF684E" w:rsidRDefault="00FF684E" w:rsidP="009F44AF">
      <w:pPr>
        <w:pStyle w:val="a"/>
        <w:rPr>
          <w:rtl/>
        </w:rPr>
      </w:pPr>
      <w:r>
        <w:rPr>
          <w:rFonts w:hint="cs"/>
          <w:rtl/>
        </w:rPr>
        <w:t xml:space="preserve">וביאר </w:t>
      </w:r>
      <w:r>
        <w:rPr>
          <w:rStyle w:val="af8"/>
          <w:rtl/>
        </w:rPr>
        <w:t>הגר"א</w:t>
      </w:r>
      <w:r>
        <w:rPr>
          <w:rFonts w:hint="cs"/>
          <w:rtl/>
        </w:rPr>
        <w:t xml:space="preserve"> דלכן בדין נזיר 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Ref15034258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ה</w:t>
      </w:r>
      <w:r w:rsidR="004D1C5B">
        <w:rPr>
          <w:rStyle w:val="af6"/>
          <w:rFonts w:eastAsia="Guttman Hodes"/>
          <w:rtl/>
        </w:rPr>
        <w:t>)</w:t>
      </w:r>
      <w:r>
        <w:rPr>
          <w:rFonts w:hint="cs"/>
          <w:rtl/>
        </w:rPr>
        <w:fldChar w:fldCharType="end"/>
      </w:r>
      <w:r>
        <w:rPr>
          <w:rFonts w:hint="cs"/>
          <w:rtl/>
        </w:rPr>
        <w:t xml:space="preserve"> בתחילה דאין היתר מצטרף לאיסור, ואח"כ הוסיף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Fonts w:hint="cs"/>
          <w:rtl/>
        </w:rPr>
        <w:t xml:space="preserve"> דממשרת ילפינן דטעם כעיקר דאו', ומהא דחילקם </w:t>
      </w:r>
      <w:r>
        <w:rPr>
          <w:rStyle w:val="af8"/>
          <w:rtl/>
        </w:rPr>
        <w:t>הרמב"ם</w:t>
      </w:r>
      <w:r>
        <w:rPr>
          <w:rFonts w:hint="cs"/>
          <w:rtl/>
        </w:rPr>
        <w:t xml:space="preserve"> לב' דינים, מבואר דמ"ש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Ref15034258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ה</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דאין היתר מצטרף לאיסור, היינו במקום שגוף האיסור מעורב בתערובת, ולכן אם אכל כזית בכדי אכילת פרס לוקה, ומ"ש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דממשרת ילפינן לטעם כעיקר, היינו במקום שרק הטעם מעורב בתערובת, ולא גוף האיסור.</w:t>
      </w:r>
    </w:p>
    <w:p w:rsidR="00FF684E" w:rsidRDefault="00FF684E" w:rsidP="007E08E0">
      <w:pPr>
        <w:pStyle w:val="1"/>
        <w:rPr>
          <w:rtl/>
        </w:rPr>
      </w:pPr>
      <w:bookmarkStart w:id="7656" w:name="_Toc15163214"/>
      <w:bookmarkStart w:id="7657" w:name="_Toc15057764"/>
      <w:bookmarkStart w:id="7658" w:name="_Toc15035021"/>
      <w:bookmarkStart w:id="7659" w:name="_Toc14993501"/>
      <w:bookmarkStart w:id="7660" w:name="_Toc14973649"/>
      <w:bookmarkStart w:id="7661" w:name="_Toc15227800"/>
      <w:bookmarkStart w:id="7662" w:name="_Toc15227633"/>
      <w:r>
        <w:rPr>
          <w:rFonts w:hint="cs"/>
          <w:rtl/>
        </w:rPr>
        <w:t>ביאור הנחל"ד</w:t>
      </w:r>
      <w:bookmarkEnd w:id="7656"/>
      <w:bookmarkEnd w:id="7657"/>
      <w:bookmarkEnd w:id="7658"/>
      <w:bookmarkEnd w:id="7659"/>
      <w:bookmarkEnd w:id="7660"/>
      <w:r>
        <w:rPr>
          <w:rFonts w:hint="cs"/>
          <w:rtl/>
        </w:rPr>
        <w:t xml:space="preserve"> דטע"כ דאו' רק בכא"פ אף כשמעורב גוף האיסור</w:t>
      </w:r>
      <w:bookmarkEnd w:id="7661"/>
      <w:bookmarkEnd w:id="7662"/>
      <w:r>
        <w:rPr>
          <w:rFonts w:hint="cs"/>
          <w:rtl/>
        </w:rPr>
        <w:t xml:space="preserve"> </w:t>
      </w:r>
    </w:p>
    <w:p w:rsidR="00FF684E" w:rsidRDefault="00FF684E" w:rsidP="00FF684E">
      <w:pPr>
        <w:pStyle w:val="a2"/>
        <w:rPr>
          <w:rtl/>
        </w:rPr>
      </w:pPr>
      <w:bookmarkStart w:id="7663" w:name="_Toc15227801"/>
      <w:bookmarkStart w:id="7664" w:name="_Toc15227634"/>
      <w:r>
        <w:rPr>
          <w:rFonts w:hint="cs"/>
          <w:rtl/>
        </w:rPr>
        <w:t>ביאור הנחל"ד ברמב"ם דטע"כ דאו' ואיסור שנימוח נקרא טעמו ולא ממשו</w:t>
      </w:r>
      <w:bookmarkEnd w:id="7663"/>
      <w:bookmarkEnd w:id="7664"/>
    </w:p>
    <w:p w:rsidR="00FF684E" w:rsidRDefault="00FF684E" w:rsidP="009F44AF">
      <w:pPr>
        <w:pStyle w:val="a"/>
        <w:rPr>
          <w:rStyle w:val="afa"/>
          <w:rtl/>
        </w:rPr>
      </w:pPr>
      <w:bookmarkStart w:id="7665" w:name="_Ref15848164"/>
      <w:r>
        <w:rPr>
          <w:rFonts w:hint="cs"/>
          <w:rtl/>
        </w:rPr>
        <w:t xml:space="preserve">כתב </w:t>
      </w:r>
      <w:r>
        <w:rPr>
          <w:rStyle w:val="af8"/>
          <w:rtl/>
        </w:rPr>
        <w:t>הנחל"ד</w:t>
      </w:r>
      <w:r>
        <w:rPr>
          <w:rFonts w:hint="cs"/>
          <w:rtl/>
        </w:rPr>
        <w:t xml:space="preserve"> </w:t>
      </w:r>
      <w:r>
        <w:rPr>
          <w:rStyle w:val="af6"/>
          <w:rFonts w:eastAsia="Guttman Hodes" w:hint="cs"/>
          <w:rtl/>
        </w:rPr>
        <w:t xml:space="preserve">(פסחים מג:, קונ' דברי דוד [מהדו' חד' עמ' קמ"ז] ד"ה וזהו לדעתי) </w:t>
      </w:r>
      <w:r>
        <w:rPr>
          <w:rFonts w:hint="cs"/>
          <w:rtl/>
        </w:rPr>
        <w:t xml:space="preserve">דדעת </w:t>
      </w:r>
      <w:r>
        <w:rPr>
          <w:rStyle w:val="af8"/>
          <w:rtl/>
        </w:rPr>
        <w:t>הרמב"ם</w:t>
      </w:r>
      <w:r>
        <w:rPr>
          <w:rFonts w:hint="cs"/>
          <w:rtl/>
        </w:rPr>
        <w:t xml:space="preserve"> דלכו"ע טעם כעיקר אסור, וכדעת </w:t>
      </w:r>
      <w:r>
        <w:rPr>
          <w:rStyle w:val="af8"/>
          <w:rtl/>
        </w:rPr>
        <w:t>ר"ת</w:t>
      </w:r>
      <w:r>
        <w:rPr>
          <w:rFonts w:hint="cs"/>
          <w:rtl/>
        </w:rPr>
        <w:t xml:space="preserve">, והוסיף </w:t>
      </w:r>
      <w:r>
        <w:rPr>
          <w:rStyle w:val="af8"/>
          <w:rtl/>
        </w:rPr>
        <w:t>הנחל"ד</w:t>
      </w:r>
      <w:r>
        <w:rPr>
          <w:rFonts w:hint="cs"/>
          <w:rtl/>
        </w:rPr>
        <w:t xml:space="preserve"> </w:t>
      </w:r>
      <w:r>
        <w:rPr>
          <w:rFonts w:hint="cs"/>
          <w:rtl/>
        </w:rPr>
        <w:t xml:space="preserve">דלדעת </w:t>
      </w:r>
      <w:r>
        <w:rPr>
          <w:rStyle w:val="af8"/>
          <w:rtl/>
        </w:rPr>
        <w:t>הרמב"ם</w:t>
      </w:r>
      <w:r>
        <w:rPr>
          <w:rFonts w:hint="cs"/>
          <w:rtl/>
        </w:rPr>
        <w:t xml:space="preserve"> יין בפת וחֵלֶב שנימוח נקרא טעמו ולא ממשו, דאין כל סברא לחלב בין חֵלֶב שנימוח לבין יין בפת. </w:t>
      </w:r>
      <w:r>
        <w:rPr>
          <w:rStyle w:val="afa"/>
          <w:rtl/>
        </w:rPr>
        <w:t xml:space="preserve">[וכדביאר </w:t>
      </w:r>
      <w:r>
        <w:rPr>
          <w:rStyle w:val="affa"/>
          <w:rtl/>
        </w:rPr>
        <w:t>הנחל"ד</w:t>
      </w:r>
      <w:r>
        <w:rPr>
          <w:rStyle w:val="afa"/>
          <w:rtl/>
        </w:rPr>
        <w:t xml:space="preserve"> </w:t>
      </w:r>
      <w:r>
        <w:rPr>
          <w:rStyle w:val="aff6"/>
          <w:rtl/>
        </w:rPr>
        <w:t>(פסחים מג:, קונ' דברי דוד [מהדו' חד' עמ' קכ"ז] ד"ה אמנם אילולי דמסתפינא)</w:t>
      </w:r>
      <w:r>
        <w:rPr>
          <w:rStyle w:val="afa"/>
          <w:rtl/>
        </w:rPr>
        <w:t>].</w:t>
      </w:r>
      <w:bookmarkEnd w:id="7665"/>
    </w:p>
    <w:p w:rsidR="00FF684E" w:rsidRDefault="00FF684E" w:rsidP="00FF684E">
      <w:pPr>
        <w:pStyle w:val="a2"/>
        <w:rPr>
          <w:rtl/>
        </w:rPr>
      </w:pPr>
      <w:bookmarkStart w:id="7666" w:name="_Toc15227802"/>
      <w:bookmarkStart w:id="7667" w:name="_Toc15227635"/>
      <w:r>
        <w:rPr>
          <w:rFonts w:hint="cs"/>
          <w:rtl/>
        </w:rPr>
        <w:t>ביאור הנחל"ד ברמב"ם דריו"ח איירי רק בטעם בלא ממשות וטעמו וממשו היינו בכזית בכא"פ</w:t>
      </w:r>
      <w:bookmarkEnd w:id="7666"/>
      <w:bookmarkEnd w:id="7667"/>
    </w:p>
    <w:p w:rsidR="00FF684E" w:rsidRDefault="00FF684E" w:rsidP="009F44AF">
      <w:pPr>
        <w:pStyle w:val="a"/>
      </w:pPr>
      <w:r>
        <w:rPr>
          <w:rFonts w:hint="cs"/>
          <w:rtl/>
        </w:rPr>
        <w:t xml:space="preserve">וביאר </w:t>
      </w:r>
      <w:r>
        <w:rPr>
          <w:rStyle w:val="af8"/>
          <w:rtl/>
        </w:rPr>
        <w:t>הנחל"ד</w:t>
      </w:r>
      <w:r>
        <w:rPr>
          <w:rFonts w:hint="cs"/>
          <w:rtl/>
        </w:rPr>
        <w:t xml:space="preserve"> דהרמב"ם ס"ל כדעת </w:t>
      </w:r>
      <w:r>
        <w:rPr>
          <w:rStyle w:val="af8"/>
          <w:rtl/>
        </w:rPr>
        <w:t>רבינו חיים</w:t>
      </w:r>
      <w:r>
        <w:rPr>
          <w:rFonts w:hint="cs"/>
          <w:rtl/>
        </w:rPr>
        <w:t xml:space="preserve"> </w:t>
      </w:r>
      <w:r>
        <w:rPr>
          <w:rStyle w:val="af6"/>
          <w:rFonts w:eastAsia="Guttman Hodes" w:hint="cs"/>
          <w:rtl/>
        </w:rPr>
        <w:t xml:space="preserve">(הובא לעיל סימן ט' אות ע) </w:t>
      </w:r>
      <w:r>
        <w:rPr>
          <w:rFonts w:hint="cs"/>
          <w:rtl/>
        </w:rPr>
        <w:t>דכל דברי ריו"ח בע"ז הם בטעם לבדו בלא ממשות כלל, ומה שאמר ריו"ח טעמו וממשו כוונתו למקום שיש טעם בכזית בכדי אכילת פרס דלוקין עליו, וקרי לה ריו"ח טעמו וממשו, דס"ל לריו"ח דטעם כעיקר דאו', ובפחות מכדי אכילת פרס הוא טעמו ולא ממשו דאין לוקין עליו.</w:t>
      </w:r>
    </w:p>
    <w:p w:rsidR="00FF684E" w:rsidRDefault="00FF684E" w:rsidP="00FF684E">
      <w:pPr>
        <w:pStyle w:val="a2"/>
        <w:rPr>
          <w:rtl/>
        </w:rPr>
      </w:pPr>
      <w:bookmarkStart w:id="7668" w:name="_Toc15227803"/>
      <w:bookmarkStart w:id="7669" w:name="_Toc15227636"/>
      <w:r>
        <w:rPr>
          <w:rFonts w:hint="cs"/>
          <w:rtl/>
        </w:rPr>
        <w:t>דברי הנחל"ד דלהרמב"ם לעולם לא אמרינן נהפך ולכן חייב רק כשאכל כזית מהטעם עצמו</w:t>
      </w:r>
      <w:bookmarkEnd w:id="7668"/>
      <w:bookmarkEnd w:id="7669"/>
    </w:p>
    <w:p w:rsidR="00FF684E" w:rsidRDefault="00FF684E" w:rsidP="009F44AF">
      <w:pPr>
        <w:pStyle w:val="a"/>
        <w:rPr>
          <w:rtl/>
        </w:rPr>
      </w:pPr>
      <w:r>
        <w:rPr>
          <w:rFonts w:hint="cs"/>
          <w:rtl/>
        </w:rPr>
        <w:t xml:space="preserve">אך ביאר </w:t>
      </w:r>
      <w:r>
        <w:rPr>
          <w:rStyle w:val="af8"/>
          <w:rtl/>
        </w:rPr>
        <w:t>הנחל"ד</w:t>
      </w:r>
      <w:r>
        <w:rPr>
          <w:rFonts w:hint="cs"/>
          <w:rtl/>
        </w:rPr>
        <w:t xml:space="preserve"> דס"ל </w:t>
      </w:r>
      <w:r>
        <w:rPr>
          <w:rStyle w:val="af8"/>
          <w:rtl/>
        </w:rPr>
        <w:t>להרמב"ם</w:t>
      </w:r>
      <w:r>
        <w:rPr>
          <w:rFonts w:hint="cs"/>
          <w:rtl/>
        </w:rPr>
        <w:t xml:space="preserve"> דלעולם לא אמרינן דההיתר נהפך לאיסור, ולכן בפחות מכזית בכדי אכילת פרס לא שייך מלקות, ואף בכזית בכדי אכילת פרס, רק כשאכל את כל הפרס מהתערובת, דאכל בו כזית מהטעם עצמו לוקה.</w:t>
      </w:r>
    </w:p>
    <w:p w:rsidR="00FF684E" w:rsidRDefault="00FF684E" w:rsidP="00FF684E">
      <w:pPr>
        <w:pStyle w:val="a2"/>
        <w:rPr>
          <w:rtl/>
        </w:rPr>
      </w:pPr>
      <w:bookmarkStart w:id="7670" w:name="_Toc15227804"/>
      <w:bookmarkStart w:id="7671" w:name="_Toc15227637"/>
      <w:r>
        <w:rPr>
          <w:rFonts w:hint="cs"/>
          <w:rtl/>
        </w:rPr>
        <w:t>דברי הנחל"ד דבפחות מכא"פ אין דין חצי שיעור בתערובת דלא חזי לאיצטרופי אף בטעמו וממשו</w:t>
      </w:r>
      <w:bookmarkEnd w:id="7670"/>
      <w:bookmarkEnd w:id="7671"/>
    </w:p>
    <w:p w:rsidR="00FF684E" w:rsidRDefault="00FF684E" w:rsidP="009F44AF">
      <w:pPr>
        <w:pStyle w:val="a"/>
        <w:rPr>
          <w:rtl/>
        </w:rPr>
      </w:pPr>
      <w:r>
        <w:rPr>
          <w:rFonts w:hint="cs"/>
          <w:rtl/>
        </w:rPr>
        <w:t xml:space="preserve">וביאר </w:t>
      </w:r>
      <w:r>
        <w:rPr>
          <w:rStyle w:val="af8"/>
          <w:rtl/>
        </w:rPr>
        <w:t>הנחל"ד</w:t>
      </w:r>
      <w:r>
        <w:rPr>
          <w:rFonts w:hint="cs"/>
          <w:rtl/>
        </w:rPr>
        <w:t xml:space="preserve"> דהא דכתב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דבפחות מכזית בכדי אכילת פרס, אסור רק מדרבנן, ולא ס"ל דהוא חצי שיעור דאסור מדאו', הוא כיון דס"ל </w:t>
      </w:r>
      <w:r>
        <w:rPr>
          <w:rStyle w:val="af8"/>
          <w:rtl/>
        </w:rPr>
        <w:t>להרמב"ם</w:t>
      </w:r>
      <w:r>
        <w:rPr>
          <w:rFonts w:hint="cs"/>
          <w:rtl/>
        </w:rPr>
        <w:t xml:space="preserve"> דאיסור חצי שיעור הוא רק בעין ולא בתערובת כיון דלא חזי לאיצטרופי, </w:t>
      </w:r>
      <w:r>
        <w:rPr>
          <w:rStyle w:val="afa"/>
          <w:rtl/>
        </w:rPr>
        <w:t xml:space="preserve">[עיי"ש במ"ש </w:t>
      </w:r>
      <w:r>
        <w:rPr>
          <w:rStyle w:val="affa"/>
          <w:rtl/>
        </w:rPr>
        <w:t>הנחל"ד</w:t>
      </w:r>
      <w:r>
        <w:rPr>
          <w:rStyle w:val="afa"/>
          <w:rtl/>
        </w:rPr>
        <w:t xml:space="preserve"> להוכיח כן, וע"ע במה שהאריך </w:t>
      </w:r>
      <w:r>
        <w:rPr>
          <w:rStyle w:val="affa"/>
          <w:rtl/>
        </w:rPr>
        <w:t>הנחל"ד</w:t>
      </w:r>
      <w:r>
        <w:rPr>
          <w:rStyle w:val="afa"/>
          <w:rtl/>
        </w:rPr>
        <w:t xml:space="preserve"> </w:t>
      </w:r>
      <w:r>
        <w:rPr>
          <w:rStyle w:val="aff6"/>
          <w:rtl/>
        </w:rPr>
        <w:t>(פסחים מג:, קונ' דברי דוד [מהדו' חד' עמ' קכ"ח] ד"ה אמנם ומה שהקשה)</w:t>
      </w:r>
      <w:r>
        <w:rPr>
          <w:rStyle w:val="afa"/>
          <w:rtl/>
        </w:rPr>
        <w:t xml:space="preserve"> בביאור סברא זו],</w:t>
      </w:r>
      <w:r>
        <w:rPr>
          <w:rFonts w:hint="cs"/>
          <w:rtl/>
        </w:rPr>
        <w:t xml:space="preserve"> ודלא </w:t>
      </w:r>
      <w:r>
        <w:rPr>
          <w:rStyle w:val="af8"/>
          <w:rtl/>
        </w:rPr>
        <w:t>כהרלב"ח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Ref15202000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Fonts w:hint="cs"/>
          <w:rtl/>
        </w:rPr>
        <w:fldChar w:fldCharType="end"/>
      </w:r>
      <w:r>
        <w:rPr>
          <w:rFonts w:hint="cs"/>
          <w:rtl/>
        </w:rPr>
        <w:t xml:space="preserve">, והוסיף </w:t>
      </w:r>
      <w:r>
        <w:rPr>
          <w:rStyle w:val="af8"/>
          <w:rtl/>
        </w:rPr>
        <w:t>הנחל"ד</w:t>
      </w:r>
      <w:r>
        <w:rPr>
          <w:rFonts w:hint="cs"/>
          <w:rtl/>
        </w:rPr>
        <w:t xml:space="preserve"> דאף בטעמו וממשו ס"ל </w:t>
      </w:r>
      <w:r>
        <w:rPr>
          <w:rStyle w:val="af8"/>
          <w:rtl/>
        </w:rPr>
        <w:t>להרמב"ם</w:t>
      </w:r>
      <w:r>
        <w:rPr>
          <w:rFonts w:hint="cs"/>
          <w:rtl/>
        </w:rPr>
        <w:t xml:space="preserve"> דחצי שיעור בתערובת אינו אסור מדאו' דלא חזי לאיצטרופי, וכ"ש בטעם לבדו.</w:t>
      </w:r>
    </w:p>
    <w:p w:rsidR="00FF684E" w:rsidRDefault="00FF684E" w:rsidP="00FF684E">
      <w:pPr>
        <w:pStyle w:val="a2"/>
        <w:rPr>
          <w:rtl/>
        </w:rPr>
      </w:pPr>
      <w:bookmarkStart w:id="7672" w:name="_Toc15227805"/>
      <w:bookmarkStart w:id="7673" w:name="_Toc15227638"/>
      <w:r>
        <w:rPr>
          <w:rFonts w:hint="cs"/>
          <w:rtl/>
        </w:rPr>
        <w:t>דברי הנחל"ד אין חילוק בין טעמו וממשו לטעמו ולא ממשו וכל החילוק הוא רק בכזית בכא"פ</w:t>
      </w:r>
      <w:bookmarkEnd w:id="7672"/>
      <w:bookmarkEnd w:id="7673"/>
    </w:p>
    <w:p w:rsidR="00FF684E" w:rsidRDefault="00FF684E" w:rsidP="009F44AF">
      <w:pPr>
        <w:pStyle w:val="a"/>
        <w:rPr>
          <w:rtl/>
        </w:rPr>
      </w:pPr>
      <w:r>
        <w:rPr>
          <w:rFonts w:hint="cs"/>
          <w:rtl/>
        </w:rPr>
        <w:t xml:space="preserve">וכתב </w:t>
      </w:r>
      <w:r>
        <w:rPr>
          <w:rStyle w:val="af8"/>
          <w:rtl/>
        </w:rPr>
        <w:t>הנחל"ד</w:t>
      </w:r>
      <w:r>
        <w:rPr>
          <w:rFonts w:hint="cs"/>
          <w:rtl/>
        </w:rPr>
        <w:t xml:space="preserve"> דא"כ לדעת </w:t>
      </w:r>
      <w:r>
        <w:rPr>
          <w:rStyle w:val="af8"/>
          <w:rtl/>
        </w:rPr>
        <w:t>הרמב"ם</w:t>
      </w:r>
      <w:r>
        <w:rPr>
          <w:rFonts w:hint="cs"/>
          <w:rtl/>
        </w:rPr>
        <w:t xml:space="preserve"> אין כל חילוק בין טעמו וממשו, לטעמו בלא ממשו, דכל שיש כזית בכדי אכילת פרס, לוקה בשתיהן, וכשאין כזית בכדי אכילת פרס, אין איסור דאו', אפילו מדין חצי שיעור, וכתב </w:t>
      </w:r>
      <w:r>
        <w:rPr>
          <w:rStyle w:val="af8"/>
          <w:rtl/>
        </w:rPr>
        <w:t>הנחל"ד</w:t>
      </w:r>
      <w:r>
        <w:rPr>
          <w:rFonts w:hint="cs"/>
          <w:rtl/>
        </w:rPr>
        <w:t xml:space="preserve"> דכן דעת </w:t>
      </w:r>
      <w:r>
        <w:rPr>
          <w:rStyle w:val="af8"/>
          <w:rtl/>
        </w:rPr>
        <w:t>רבינו אליהו בתוס' בע"ז</w:t>
      </w:r>
      <w:r>
        <w:rPr>
          <w:rFonts w:hint="cs"/>
          <w:rtl/>
        </w:rPr>
        <w:t xml:space="preserve"> </w:t>
      </w:r>
      <w:r>
        <w:rPr>
          <w:rStyle w:val="af6"/>
          <w:rFonts w:eastAsia="Guttman Hodes" w:hint="cs"/>
          <w:rtl/>
        </w:rPr>
        <w:t>(הובא לעיל סימן י' אות נב)</w:t>
      </w:r>
      <w:bookmarkStart w:id="7674" w:name="_Toc14735057"/>
      <w:bookmarkStart w:id="7675" w:name="_Toc14726121"/>
      <w:r>
        <w:rPr>
          <w:rFonts w:hint="cs"/>
          <w:rtl/>
        </w:rPr>
        <w:t xml:space="preserve">, ודלא כביאור </w:t>
      </w:r>
      <w:r>
        <w:rPr>
          <w:rStyle w:val="af8"/>
          <w:rtl/>
        </w:rPr>
        <w:t>הרא"ש</w:t>
      </w:r>
      <w:r>
        <w:rPr>
          <w:rFonts w:hint="cs"/>
          <w:rtl/>
        </w:rPr>
        <w:t xml:space="preserve"> </w:t>
      </w:r>
      <w:r>
        <w:rPr>
          <w:rStyle w:val="af6"/>
          <w:rFonts w:eastAsia="Guttman Hodes" w:hint="cs"/>
          <w:rtl/>
        </w:rPr>
        <w:t xml:space="preserve">(הובא לעיל סימן י' אות לו) </w:t>
      </w:r>
      <w:r>
        <w:rPr>
          <w:rFonts w:hint="cs"/>
          <w:rtl/>
        </w:rPr>
        <w:t xml:space="preserve">בשם </w:t>
      </w:r>
      <w:r>
        <w:rPr>
          <w:rStyle w:val="af8"/>
          <w:rtl/>
        </w:rPr>
        <w:t>רבינו חיים</w:t>
      </w:r>
      <w:r>
        <w:rPr>
          <w:rFonts w:hint="cs"/>
          <w:rtl/>
        </w:rPr>
        <w:t xml:space="preserve"> דכשיש כזית בכדי אכילת פרס, אמרינן נהפך.</w:t>
      </w:r>
    </w:p>
    <w:p w:rsidR="00FF684E" w:rsidRDefault="00FF684E" w:rsidP="007E08E0">
      <w:pPr>
        <w:pStyle w:val="1"/>
        <w:rPr>
          <w:rtl/>
        </w:rPr>
      </w:pPr>
      <w:bookmarkStart w:id="7676" w:name="_Toc15227806"/>
      <w:bookmarkStart w:id="7677" w:name="_Toc15227639"/>
      <w:bookmarkStart w:id="7678" w:name="_Toc15163215"/>
      <w:r>
        <w:rPr>
          <w:rFonts w:hint="cs"/>
          <w:rtl/>
        </w:rPr>
        <w:t>דברי הבני שמואל בדעת הרשב"א דלהרמב"ם טע"כ דאו'</w:t>
      </w:r>
      <w:bookmarkEnd w:id="7676"/>
      <w:bookmarkEnd w:id="7677"/>
      <w:bookmarkEnd w:id="7678"/>
    </w:p>
    <w:p w:rsidR="00FF684E" w:rsidRDefault="00FF684E" w:rsidP="00FF684E">
      <w:pPr>
        <w:pStyle w:val="a2"/>
      </w:pPr>
      <w:bookmarkStart w:id="7679" w:name="_Toc15227807"/>
      <w:bookmarkStart w:id="7680" w:name="_Toc15227640"/>
      <w:bookmarkStart w:id="7681" w:name="_Toc15057765"/>
      <w:bookmarkStart w:id="7682" w:name="_Toc15035022"/>
      <w:bookmarkStart w:id="7683" w:name="_Toc14993502"/>
      <w:bookmarkStart w:id="7684" w:name="_Toc14973650"/>
      <w:r>
        <w:rPr>
          <w:rFonts w:hint="cs"/>
          <w:rtl/>
        </w:rPr>
        <w:t>דברי הפר"ח בשם הבני שמואל דהרשב"א ביאר בדעת הרמב"ם דטעם כעיקר דאו'</w:t>
      </w:r>
      <w:bookmarkEnd w:id="7679"/>
      <w:bookmarkEnd w:id="7680"/>
    </w:p>
    <w:p w:rsidR="00FF684E" w:rsidRDefault="00FF684E" w:rsidP="009F44AF">
      <w:pPr>
        <w:pStyle w:val="a"/>
        <w:rPr>
          <w:rtl/>
        </w:rPr>
      </w:pPr>
      <w:r>
        <w:rPr>
          <w:rFonts w:hint="cs"/>
          <w:rtl/>
        </w:rPr>
        <w:t xml:space="preserve">כתב </w:t>
      </w:r>
      <w:r>
        <w:rPr>
          <w:rStyle w:val="af8"/>
          <w:rtl/>
        </w:rPr>
        <w:t>הרשב"א</w:t>
      </w:r>
      <w:r>
        <w:rPr>
          <w:rFonts w:hint="cs"/>
          <w:rtl/>
        </w:rPr>
        <w:t xml:space="preserve"> </w:t>
      </w:r>
      <w:r>
        <w:rPr>
          <w:rStyle w:val="af6"/>
          <w:rFonts w:eastAsia="Guttman Hodes" w:hint="cs"/>
          <w:rtl/>
        </w:rPr>
        <w:t>(ד"ה אי הכי בתו"ד)</w:t>
      </w:r>
      <w:r>
        <w:rPr>
          <w:rFonts w:hint="cs"/>
          <w:rtl/>
        </w:rPr>
        <w:t xml:space="preserve"> דבמין בשאינו מינו לא מהני ביטול ברוב מדאו', והביא </w:t>
      </w:r>
      <w:r>
        <w:rPr>
          <w:rStyle w:val="af8"/>
          <w:rtl/>
        </w:rPr>
        <w:t>הרשב"א</w:t>
      </w:r>
      <w:r>
        <w:rPr>
          <w:rFonts w:hint="cs"/>
          <w:rtl/>
        </w:rPr>
        <w:t xml:space="preserve"> דכ"כ </w:t>
      </w:r>
      <w:r>
        <w:rPr>
          <w:rStyle w:val="af8"/>
          <w:rtl/>
        </w:rPr>
        <w:t>הראב"ד באיסור משהו</w:t>
      </w:r>
      <w:r>
        <w:rPr>
          <w:rFonts w:hint="cs"/>
          <w:rtl/>
        </w:rPr>
        <w:t xml:space="preserve"> </w:t>
      </w:r>
      <w:r>
        <w:rPr>
          <w:rStyle w:val="af6"/>
          <w:rFonts w:eastAsia="Guttman Hodes" w:hint="cs"/>
          <w:rtl/>
        </w:rPr>
        <w:t>(עמ' קכ'</w:t>
      </w:r>
      <w:r w:rsidR="000C4EFA">
        <w:rPr>
          <w:rStyle w:val="af6"/>
          <w:rFonts w:eastAsia="Guttman Hodes" w:hint="cs"/>
          <w:rtl/>
        </w:rPr>
        <w:t>, נד' גם בסוף תוה"ב</w:t>
      </w:r>
      <w:r>
        <w:rPr>
          <w:rStyle w:val="af6"/>
          <w:rFonts w:eastAsia="Guttman Hodes" w:hint="cs"/>
          <w:rtl/>
        </w:rPr>
        <w:t>)</w:t>
      </w:r>
      <w:r>
        <w:rPr>
          <w:rFonts w:hint="cs"/>
          <w:rtl/>
        </w:rPr>
        <w:t xml:space="preserve">, </w:t>
      </w:r>
      <w:r>
        <w:rPr>
          <w:rStyle w:val="af8"/>
          <w:rtl/>
        </w:rPr>
        <w:t>והרמב"ם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Ref14726062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דמין בשאינו מינו מדאו' לא מהני ביה ביטול ברוב, והביא </w:t>
      </w:r>
      <w:r>
        <w:rPr>
          <w:rStyle w:val="af8"/>
          <w:rtl/>
        </w:rPr>
        <w:t>הפר"ח</w:t>
      </w:r>
      <w:r>
        <w:rPr>
          <w:rFonts w:hint="cs"/>
          <w:rtl/>
        </w:rPr>
        <w:t xml:space="preserve"> </w:t>
      </w:r>
      <w:r>
        <w:rPr>
          <w:rStyle w:val="af6"/>
          <w:rFonts w:eastAsia="Guttman Hodes" w:hint="cs"/>
          <w:rtl/>
        </w:rPr>
        <w:t>(או"ח סי' תמ"ב סק"א ד"ה והרמב"ם כתב)</w:t>
      </w:r>
      <w:r>
        <w:rPr>
          <w:rFonts w:hint="cs"/>
          <w:rtl/>
        </w:rPr>
        <w:t xml:space="preserve"> בשם </w:t>
      </w:r>
      <w:r>
        <w:rPr>
          <w:rStyle w:val="af8"/>
          <w:rtl/>
        </w:rPr>
        <w:t>בני שמואל</w:t>
      </w:r>
      <w:r>
        <w:rPr>
          <w:rFonts w:hint="cs"/>
          <w:rtl/>
        </w:rPr>
        <w:t xml:space="preserve"> דמבואר מדברי </w:t>
      </w:r>
      <w:r>
        <w:rPr>
          <w:rStyle w:val="af8"/>
          <w:rtl/>
        </w:rPr>
        <w:t>הרשב"א</w:t>
      </w:r>
      <w:r>
        <w:rPr>
          <w:rFonts w:hint="cs"/>
          <w:rtl/>
        </w:rPr>
        <w:t xml:space="preserve"> דס"ל בדעת </w:t>
      </w:r>
      <w:r>
        <w:rPr>
          <w:rStyle w:val="af8"/>
          <w:rtl/>
        </w:rPr>
        <w:t>הרמב"ם</w:t>
      </w:r>
      <w:r>
        <w:rPr>
          <w:rFonts w:hint="cs"/>
          <w:rtl/>
        </w:rPr>
        <w:t xml:space="preserve"> דטעם כעיקר דאו', ולכן מין בשאינו מינו אינו בטל ברוב מדאו'.</w:t>
      </w:r>
    </w:p>
    <w:p w:rsidR="00FF684E" w:rsidRDefault="00FF684E" w:rsidP="00FF684E">
      <w:pPr>
        <w:pStyle w:val="a2"/>
        <w:rPr>
          <w:rtl/>
        </w:rPr>
      </w:pPr>
      <w:bookmarkStart w:id="7685" w:name="_Toc15227808"/>
      <w:bookmarkStart w:id="7686" w:name="_Toc15227641"/>
      <w:r>
        <w:rPr>
          <w:rFonts w:hint="cs"/>
          <w:rtl/>
        </w:rPr>
        <w:t>דחיית הפר"ח דכל דברי הרשב"א הם בטעמו וממשו אבל בטע"כ מוכח ברמב"ם דהוא דרבנן</w:t>
      </w:r>
      <w:bookmarkEnd w:id="7685"/>
      <w:bookmarkEnd w:id="7686"/>
    </w:p>
    <w:p w:rsidR="002D7168" w:rsidRDefault="00FF684E" w:rsidP="009F44AF">
      <w:pPr>
        <w:pStyle w:val="a"/>
        <w:rPr>
          <w:rtl/>
        </w:rPr>
      </w:pPr>
      <w:r>
        <w:rPr>
          <w:rFonts w:hint="cs"/>
          <w:rtl/>
        </w:rPr>
        <w:t xml:space="preserve">ודחה </w:t>
      </w:r>
      <w:r>
        <w:rPr>
          <w:rStyle w:val="af8"/>
          <w:rtl/>
        </w:rPr>
        <w:t>הפר"ח</w:t>
      </w:r>
      <w:r>
        <w:rPr>
          <w:rFonts w:hint="cs"/>
          <w:rtl/>
        </w:rPr>
        <w:t xml:space="preserve"> דכל דברי </w:t>
      </w:r>
      <w:r>
        <w:rPr>
          <w:rStyle w:val="af8"/>
          <w:rtl/>
        </w:rPr>
        <w:t>הרשב"א</w:t>
      </w:r>
      <w:r>
        <w:rPr>
          <w:rFonts w:hint="cs"/>
          <w:rtl/>
        </w:rPr>
        <w:t xml:space="preserve"> בדעת </w:t>
      </w:r>
      <w:r>
        <w:rPr>
          <w:rStyle w:val="af8"/>
          <w:rtl/>
        </w:rPr>
        <w:t>הרמב"ם</w:t>
      </w:r>
      <w:r>
        <w:rPr>
          <w:rFonts w:hint="cs"/>
          <w:rtl/>
        </w:rPr>
        <w:t xml:space="preserve"> הם בטעמו וממשו, אבל בטעם כעיקר, דהיינו במקום שאין כזית בכדי אכילת פרס, או כשיש רק טעם ואין ממשות כלל, כשרה ענבים במים, דאף כשיש טעם גדול, ס"ל </w:t>
      </w:r>
      <w:r>
        <w:rPr>
          <w:rStyle w:val="af8"/>
          <w:rtl/>
        </w:rPr>
        <w:t>להרמב"ם</w:t>
      </w:r>
      <w:r>
        <w:rPr>
          <w:rFonts w:hint="cs"/>
          <w:rtl/>
        </w:rPr>
        <w:t xml:space="preserve"> דאסור רק מדרבנן, וכתב </w:t>
      </w:r>
      <w:r>
        <w:rPr>
          <w:rStyle w:val="af8"/>
          <w:rtl/>
        </w:rPr>
        <w:t>הפר"ח</w:t>
      </w:r>
      <w:r>
        <w:rPr>
          <w:rFonts w:hint="cs"/>
          <w:rtl/>
        </w:rPr>
        <w:t xml:space="preserve"> דכן מוכח 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בדין טעם כעיקר, ובדברי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Ref14898712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ז</w:t>
      </w:r>
      <w:r w:rsidR="004D1C5B">
        <w:rPr>
          <w:rStyle w:val="af6"/>
          <w:rFonts w:eastAsia="Guttman Hodes"/>
          <w:rtl/>
        </w:rPr>
        <w:t>)</w:t>
      </w:r>
      <w:r>
        <w:rPr>
          <w:rFonts w:hint="cs"/>
          <w:rtl/>
        </w:rPr>
        <w:fldChar w:fldCharType="end"/>
      </w:r>
      <w:r>
        <w:rPr>
          <w:rFonts w:hint="cs"/>
          <w:rtl/>
        </w:rPr>
        <w:t xml:space="preserve"> בדין נזיר, ומדברי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Fonts w:hint="cs"/>
          <w:rtl/>
        </w:rPr>
        <w:fldChar w:fldCharType="end"/>
      </w:r>
      <w:r>
        <w:rPr>
          <w:rFonts w:hint="cs"/>
          <w:rtl/>
        </w:rPr>
        <w:t xml:space="preserve"> בדין כותח, וע"ע במה שביאר </w:t>
      </w:r>
      <w:r>
        <w:rPr>
          <w:rStyle w:val="af8"/>
          <w:rtl/>
        </w:rPr>
        <w:t>הפר"ח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Ref15204583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מב</w:t>
      </w:r>
      <w:r w:rsidR="004D1C5B">
        <w:rPr>
          <w:rStyle w:val="af6"/>
          <w:rFonts w:eastAsia="Guttman Hodes"/>
          <w:rtl/>
        </w:rPr>
        <w:t>)</w:t>
      </w:r>
      <w:r>
        <w:rPr>
          <w:rFonts w:hint="cs"/>
          <w:rtl/>
        </w:rPr>
        <w:fldChar w:fldCharType="end"/>
      </w:r>
      <w:r>
        <w:rPr>
          <w:rFonts w:hint="cs"/>
          <w:rtl/>
        </w:rPr>
        <w:t>.</w:t>
      </w:r>
    </w:p>
    <w:p w:rsidR="00FF684E" w:rsidRDefault="00FF684E" w:rsidP="00E669F8">
      <w:pPr>
        <w:pStyle w:val="afd"/>
        <w:rPr>
          <w:rtl/>
        </w:rPr>
      </w:pPr>
      <w:bookmarkStart w:id="7687" w:name="_Toc15227809"/>
      <w:bookmarkStart w:id="7688" w:name="_Toc15227642"/>
      <w:bookmarkStart w:id="7689" w:name="_Toc15163216"/>
      <w:r>
        <w:rPr>
          <w:rFonts w:hint="cs"/>
          <w:rtl/>
        </w:rPr>
        <w:t>דעת הסוברים דלהרמב"ם טע"כ דרבנן</w:t>
      </w:r>
      <w:bookmarkEnd w:id="7572"/>
      <w:bookmarkEnd w:id="7674"/>
      <w:bookmarkEnd w:id="7675"/>
      <w:bookmarkEnd w:id="7681"/>
      <w:bookmarkEnd w:id="7682"/>
      <w:bookmarkEnd w:id="7683"/>
      <w:bookmarkEnd w:id="7684"/>
      <w:bookmarkEnd w:id="7687"/>
      <w:bookmarkEnd w:id="7688"/>
      <w:bookmarkEnd w:id="7689"/>
    </w:p>
    <w:p w:rsidR="00FF684E" w:rsidRDefault="00FF684E" w:rsidP="007E08E0">
      <w:pPr>
        <w:pStyle w:val="1"/>
        <w:rPr>
          <w:rtl/>
        </w:rPr>
      </w:pPr>
      <w:bookmarkStart w:id="7690" w:name="_Toc15227810"/>
      <w:bookmarkStart w:id="7691" w:name="_Toc15227643"/>
      <w:r>
        <w:rPr>
          <w:rFonts w:hint="cs"/>
          <w:rtl/>
        </w:rPr>
        <w:lastRenderedPageBreak/>
        <w:t>דברי הרמב"ן דהרמב"ם ס"ל כרש"י דטעם כעיקר דרבנן</w:t>
      </w:r>
      <w:bookmarkEnd w:id="7690"/>
      <w:bookmarkEnd w:id="7691"/>
    </w:p>
    <w:p w:rsidR="00FF684E" w:rsidRDefault="00FF684E" w:rsidP="00FF684E">
      <w:pPr>
        <w:pStyle w:val="a2"/>
        <w:rPr>
          <w:rtl/>
        </w:rPr>
      </w:pPr>
      <w:bookmarkStart w:id="7692" w:name="_Toc15163220"/>
      <w:bookmarkStart w:id="7693" w:name="_Toc15057769"/>
      <w:bookmarkStart w:id="7694" w:name="_Toc15035026"/>
      <w:bookmarkStart w:id="7695" w:name="_Toc14993506"/>
      <w:bookmarkStart w:id="7696" w:name="_Toc14973654"/>
      <w:bookmarkStart w:id="7697" w:name="_Toc14735058"/>
      <w:bookmarkStart w:id="7698" w:name="_Toc14726122"/>
      <w:bookmarkStart w:id="7699" w:name="_Toc14551995"/>
      <w:bookmarkStart w:id="7700" w:name="_Toc15227811"/>
      <w:bookmarkStart w:id="7701" w:name="_Toc15227644"/>
      <w:r>
        <w:rPr>
          <w:rFonts w:hint="cs"/>
          <w:rtl/>
        </w:rPr>
        <w:t xml:space="preserve">ביאור הרמב"ן ברמב"ם דטעמו וממשו ל"מ ביטול ברוב אבל בטעמו ולא ממשו </w:t>
      </w:r>
      <w:bookmarkEnd w:id="7692"/>
      <w:bookmarkEnd w:id="7693"/>
      <w:bookmarkEnd w:id="7694"/>
      <w:bookmarkEnd w:id="7695"/>
      <w:bookmarkEnd w:id="7696"/>
      <w:bookmarkEnd w:id="7697"/>
      <w:bookmarkEnd w:id="7698"/>
      <w:bookmarkEnd w:id="7699"/>
      <w:r>
        <w:rPr>
          <w:rFonts w:hint="cs"/>
          <w:rtl/>
        </w:rPr>
        <w:t>טע"כ דרבנן</w:t>
      </w:r>
      <w:bookmarkEnd w:id="7700"/>
      <w:bookmarkEnd w:id="7701"/>
    </w:p>
    <w:p w:rsidR="00FF684E" w:rsidRDefault="00FF684E" w:rsidP="009F44AF">
      <w:pPr>
        <w:pStyle w:val="a"/>
        <w:rPr>
          <w:rtl/>
        </w:rPr>
      </w:pPr>
      <w:bookmarkStart w:id="7702" w:name="_Ref15219165"/>
      <w:r>
        <w:rPr>
          <w:rStyle w:val="af8"/>
          <w:rtl/>
        </w:rPr>
        <w:t>הרמב"ן</w:t>
      </w:r>
      <w:r>
        <w:rPr>
          <w:rFonts w:hint="cs"/>
          <w:rtl/>
        </w:rPr>
        <w:t xml:space="preserve"> </w:t>
      </w:r>
      <w:r>
        <w:rPr>
          <w:rStyle w:val="af6"/>
          <w:rFonts w:eastAsia="Guttman Hodes" w:hint="cs"/>
          <w:rtl/>
        </w:rPr>
        <w:t>(סוד"ה ושמעינן)</w:t>
      </w:r>
      <w:r>
        <w:rPr>
          <w:rFonts w:hint="cs"/>
          <w:rtl/>
        </w:rPr>
        <w:t xml:space="preserve"> דמבואר בגמ' בזבחים </w:t>
      </w:r>
      <w:r>
        <w:rPr>
          <w:rStyle w:val="af6"/>
          <w:rFonts w:eastAsia="Guttman Hodes" w:hint="cs"/>
          <w:rtl/>
        </w:rPr>
        <w:t>(עט.)</w:t>
      </w:r>
      <w:r>
        <w:rPr>
          <w:rFonts w:hint="cs"/>
          <w:rtl/>
        </w:rPr>
        <w:t xml:space="preserve"> דהא דלא מהני מדאו' ביטול ברוב הוא דוקא כשגם טעמו וגם ממשו של האיסור מעורב בהיתר, אבל בטעמו ולא ממשו, מדאו' מהני ביטול ברוב, והוא אסור </w:t>
      </w:r>
      <w:r>
        <w:rPr>
          <w:rStyle w:val="afa"/>
          <w:rtl/>
        </w:rPr>
        <w:t xml:space="preserve">[מדרבנן] </w:t>
      </w:r>
      <w:r>
        <w:rPr>
          <w:rFonts w:hint="cs"/>
          <w:rtl/>
        </w:rPr>
        <w:t xml:space="preserve">ואין בו מלקות, וכתב </w:t>
      </w:r>
      <w:r>
        <w:rPr>
          <w:rStyle w:val="af8"/>
          <w:rtl/>
        </w:rPr>
        <w:t>הרמב"ן</w:t>
      </w:r>
      <w:r>
        <w:rPr>
          <w:rFonts w:hint="cs"/>
          <w:rtl/>
        </w:rPr>
        <w:t xml:space="preserve"> דכן צריך לבאר לפי הדרך של </w:t>
      </w:r>
      <w:r>
        <w:rPr>
          <w:rStyle w:val="af8"/>
          <w:rtl/>
        </w:rPr>
        <w:t>רש"י</w:t>
      </w:r>
      <w:r>
        <w:rPr>
          <w:rFonts w:hint="cs"/>
          <w:rtl/>
        </w:rPr>
        <w:t xml:space="preserve">, וזהו הביאור הנכון, וכן סברת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w:t>
      </w:r>
      <w:bookmarkEnd w:id="7702"/>
    </w:p>
    <w:p w:rsidR="00FF684E" w:rsidRDefault="00FF684E" w:rsidP="007E08E0">
      <w:pPr>
        <w:pStyle w:val="1"/>
        <w:rPr>
          <w:rtl/>
        </w:rPr>
      </w:pPr>
      <w:bookmarkStart w:id="7703" w:name="_Toc15227812"/>
      <w:bookmarkStart w:id="7704" w:name="_Toc15227645"/>
      <w:r>
        <w:rPr>
          <w:rFonts w:hint="cs"/>
          <w:rtl/>
        </w:rPr>
        <w:t>פלוגתת הב"י והב"ח אי הרמב"ם כרש"י בטע"כ בנימוח האיסור</w:t>
      </w:r>
      <w:bookmarkEnd w:id="7703"/>
      <w:bookmarkEnd w:id="7704"/>
    </w:p>
    <w:p w:rsidR="00FF684E" w:rsidRDefault="00FF684E" w:rsidP="00FF684E">
      <w:pPr>
        <w:pStyle w:val="a2"/>
        <w:rPr>
          <w:rtl/>
        </w:rPr>
      </w:pPr>
      <w:bookmarkStart w:id="7705" w:name="_Toc15227813"/>
      <w:bookmarkStart w:id="7706" w:name="_Toc15227646"/>
      <w:r>
        <w:rPr>
          <w:rFonts w:hint="cs"/>
          <w:rtl/>
        </w:rPr>
        <w:t>דברי הב"י דכיון דלהרמב"ם לא אמרינן נהפך מוכח דס"ל כרש"י דטע"כ דרבנן</w:t>
      </w:r>
      <w:bookmarkEnd w:id="7705"/>
      <w:bookmarkEnd w:id="7706"/>
    </w:p>
    <w:p w:rsidR="00FF684E" w:rsidRDefault="00FF684E" w:rsidP="009F44AF">
      <w:pPr>
        <w:pStyle w:val="a"/>
        <w:rPr>
          <w:rStyle w:val="af8"/>
          <w:b w:val="0"/>
          <w:bCs w:val="0"/>
          <w:rtl/>
        </w:rPr>
      </w:pPr>
      <w:bookmarkStart w:id="7707" w:name="_Ref15205835"/>
      <w:r>
        <w:rPr>
          <w:rFonts w:hint="cs"/>
          <w:rtl/>
        </w:rPr>
        <w:t xml:space="preserve">כתב </w:t>
      </w:r>
      <w:r>
        <w:rPr>
          <w:rStyle w:val="af8"/>
          <w:rtl/>
        </w:rPr>
        <w:t xml:space="preserve">הב"י </w:t>
      </w:r>
      <w:r>
        <w:rPr>
          <w:rStyle w:val="af6"/>
          <w:rFonts w:eastAsia="Guttman Hodes" w:hint="cs"/>
          <w:rtl/>
        </w:rPr>
        <w:t>(סי' צ"ח ב' ד"ה והרמב"ם)</w:t>
      </w:r>
      <w:r>
        <w:rPr>
          <w:rFonts w:hint="cs"/>
          <w:rtl/>
        </w:rPr>
        <w:t xml:space="preserve"> דא"א לומר </w:t>
      </w:r>
      <w:r>
        <w:rPr>
          <w:rStyle w:val="af8"/>
          <w:rtl/>
        </w:rPr>
        <w:t xml:space="preserve">דהרמב"ם </w:t>
      </w:r>
      <w:r>
        <w:rPr>
          <w:rFonts w:hint="cs"/>
          <w:rtl/>
        </w:rPr>
        <w:t xml:space="preserve">ס"ל </w:t>
      </w:r>
      <w:r>
        <w:rPr>
          <w:rStyle w:val="af8"/>
          <w:rtl/>
        </w:rPr>
        <w:t xml:space="preserve">כר"ת בתוס' </w:t>
      </w:r>
      <w:r>
        <w:rPr>
          <w:rStyle w:val="af6"/>
          <w:rFonts w:eastAsia="Guttman Hodes" w:hint="cs"/>
          <w:rtl/>
        </w:rPr>
        <w:t xml:space="preserve">(ד"ה רבא, הובא לעיל סימן ח' אות ה) </w:t>
      </w:r>
      <w:r>
        <w:rPr>
          <w:rFonts w:hint="cs"/>
          <w:rtl/>
        </w:rPr>
        <w:t xml:space="preserve">דס"ל דטעם כעיקר דאו', דהא </w:t>
      </w:r>
      <w:r>
        <w:rPr>
          <w:rStyle w:val="af8"/>
          <w:rtl/>
        </w:rPr>
        <w:t>לר"ת</w:t>
      </w:r>
      <w:r>
        <w:rPr>
          <w:rFonts w:hint="cs"/>
          <w:rtl/>
        </w:rPr>
        <w:t xml:space="preserve"> אף בפחות מכזית בכדי אכילת פרס לוקין עליו, כשאכל כזית מהתערובת, </w:t>
      </w:r>
      <w:r>
        <w:rPr>
          <w:rStyle w:val="afa"/>
          <w:rtl/>
        </w:rPr>
        <w:t>[מדין נהפך],</w:t>
      </w:r>
      <w:r>
        <w:rPr>
          <w:rFonts w:hint="cs"/>
          <w:rtl/>
        </w:rPr>
        <w:t xml:space="preserve"> אלא כתב </w:t>
      </w:r>
      <w:r>
        <w:rPr>
          <w:rStyle w:val="af8"/>
          <w:rtl/>
        </w:rPr>
        <w:t xml:space="preserve">בב"י ובכס"מ </w:t>
      </w:r>
      <w:r>
        <w:rPr>
          <w:rStyle w:val="af6"/>
          <w:rFonts w:eastAsia="Guttman Hodes" w:hint="cs"/>
          <w:rtl/>
        </w:rPr>
        <w:t>(מאכ"א ט"ו ב')</w:t>
      </w:r>
      <w:r>
        <w:rPr>
          <w:rFonts w:hint="cs"/>
          <w:rtl/>
        </w:rPr>
        <w:t xml:space="preserve"> דס"ל </w:t>
      </w:r>
      <w:r>
        <w:rPr>
          <w:rStyle w:val="af8"/>
          <w:rtl/>
        </w:rPr>
        <w:t xml:space="preserve">להרמב"ם כרש"י </w:t>
      </w:r>
      <w:r>
        <w:rPr>
          <w:rStyle w:val="af6"/>
          <w:rFonts w:eastAsia="Guttman Hodes" w:hint="cs"/>
          <w:rtl/>
        </w:rPr>
        <w:t>(ד"ה לטעם כעיקר, הובא לעיל סימן ח' אות ד)</w:t>
      </w:r>
      <w:r>
        <w:rPr>
          <w:rFonts w:hint="cs"/>
          <w:rtl/>
        </w:rPr>
        <w:t xml:space="preserve"> דטעם כעיקר דרבנן</w:t>
      </w:r>
      <w:r>
        <w:rPr>
          <w:rStyle w:val="af8"/>
          <w:rtl/>
        </w:rPr>
        <w:t>, דהא כתב רש"י בע"ז</w:t>
      </w:r>
      <w:r>
        <w:rPr>
          <w:rFonts w:hint="cs"/>
          <w:rtl/>
        </w:rPr>
        <w:t xml:space="preserve"> </w:t>
      </w:r>
      <w:r>
        <w:rPr>
          <w:rStyle w:val="af6"/>
          <w:rFonts w:eastAsia="Guttman Hodes" w:hint="cs"/>
          <w:rtl/>
        </w:rPr>
        <w:t xml:space="preserve">(סז. ד"ה כל, הובא לעיל סימן ט' אות ג) </w:t>
      </w:r>
      <w:r>
        <w:rPr>
          <w:rStyle w:val="af8"/>
          <w:rtl/>
        </w:rPr>
        <w:t xml:space="preserve">דבטעמו וממשו לוקין, </w:t>
      </w:r>
      <w:r>
        <w:rPr>
          <w:rFonts w:hint="cs"/>
          <w:rtl/>
        </w:rPr>
        <w:t>כשיש כזית מהאיסור בשיעור של פרס מתוך התבשיל, ו</w:t>
      </w:r>
      <w:r>
        <w:rPr>
          <w:rStyle w:val="af8"/>
          <w:rtl/>
        </w:rPr>
        <w:t xml:space="preserve">כדאמר ריו"ח בע"ז </w:t>
      </w:r>
      <w:r>
        <w:rPr>
          <w:rStyle w:val="af6"/>
          <w:rFonts w:eastAsia="Guttman Hodes" w:hint="cs"/>
          <w:rtl/>
        </w:rPr>
        <w:t>(סז.)</w:t>
      </w:r>
      <w:r>
        <w:rPr>
          <w:rStyle w:val="af8"/>
          <w:rtl/>
        </w:rPr>
        <w:t>, ומבואר מדברי רש"י בע"ז דהא דאמר ריו"ח בע"ז דבטעמו ולא ממשו אין לוקין, היינו כשאין כזית בכדי אכילת פרס, וכדכתב הרמב"ם, דבזה ס"ל לרבא דטעם כעיקר דרבנן, אף במקום שגוף האיסור מעורב בתערובת.</w:t>
      </w:r>
      <w:bookmarkEnd w:id="7707"/>
    </w:p>
    <w:p w:rsidR="00FF684E" w:rsidRDefault="00FF684E" w:rsidP="00FF684E">
      <w:pPr>
        <w:pStyle w:val="a2"/>
        <w:rPr>
          <w:rtl/>
        </w:rPr>
      </w:pPr>
      <w:bookmarkStart w:id="7708" w:name="_Toc15227814"/>
      <w:bookmarkStart w:id="7709" w:name="_Toc15227647"/>
      <w:r>
        <w:rPr>
          <w:rFonts w:hint="cs"/>
          <w:rtl/>
        </w:rPr>
        <w:t>דחיית הב"ח והלח"מ והפר"ח דלהרמב"ם איסור שנימוח בכא"פ הוא דאו' ולרש"י דרבנן</w:t>
      </w:r>
      <w:bookmarkEnd w:id="7708"/>
      <w:bookmarkEnd w:id="7709"/>
    </w:p>
    <w:p w:rsidR="00FF684E" w:rsidRDefault="00FF684E" w:rsidP="009F44AF">
      <w:pPr>
        <w:pStyle w:val="a"/>
        <w:rPr>
          <w:rtl/>
        </w:rPr>
      </w:pPr>
      <w:bookmarkStart w:id="7710" w:name="_Ref15225525"/>
      <w:bookmarkStart w:id="7711" w:name="_Ref14778202"/>
      <w:r>
        <w:rPr>
          <w:rFonts w:hint="cs"/>
          <w:rtl/>
        </w:rPr>
        <w:t>ודחו</w:t>
      </w:r>
      <w:r>
        <w:rPr>
          <w:rStyle w:val="af8"/>
          <w:rtl/>
        </w:rPr>
        <w:t xml:space="preserve"> הב"ח</w:t>
      </w:r>
      <w:r>
        <w:rPr>
          <w:rFonts w:hint="cs"/>
          <w:rtl/>
        </w:rPr>
        <w:t xml:space="preserve"> </w:t>
      </w:r>
      <w:r>
        <w:rPr>
          <w:rStyle w:val="af6"/>
          <w:rFonts w:eastAsia="Guttman Hodes" w:hint="cs"/>
          <w:rtl/>
        </w:rPr>
        <w:t>(סי צ"ח ה' ד"ה עו"כ ב"י)</w:t>
      </w:r>
      <w:r>
        <w:rPr>
          <w:rFonts w:hint="cs"/>
          <w:rtl/>
        </w:rPr>
        <w:t xml:space="preserve"> </w:t>
      </w:r>
      <w:r>
        <w:rPr>
          <w:rStyle w:val="af8"/>
          <w:rtl/>
        </w:rPr>
        <w:t>והלח"מ</w:t>
      </w:r>
      <w:r>
        <w:rPr>
          <w:rFonts w:hint="cs"/>
          <w:rtl/>
        </w:rPr>
        <w:t xml:space="preserve"> </w:t>
      </w:r>
      <w:r>
        <w:rPr>
          <w:rStyle w:val="af6"/>
          <w:rFonts w:eastAsia="Guttman Hodes" w:hint="cs"/>
          <w:rtl/>
        </w:rPr>
        <w:t>(מאכ"א פט"ו ה"א)</w:t>
      </w:r>
      <w:r>
        <w:rPr>
          <w:rFonts w:hint="cs"/>
          <w:rtl/>
        </w:rPr>
        <w:t xml:space="preserve"> </w:t>
      </w:r>
      <w:r>
        <w:rPr>
          <w:rStyle w:val="af8"/>
          <w:rtl/>
        </w:rPr>
        <w:t xml:space="preserve">והפר"ח </w:t>
      </w:r>
      <w:r>
        <w:rPr>
          <w:rStyle w:val="af6"/>
          <w:rFonts w:eastAsia="Guttman Hodes" w:hint="cs"/>
          <w:rtl/>
        </w:rPr>
        <w:t>(או"ח סי' תמ"ב סק"א ד"ה ובב"י ביו"ד)</w:t>
      </w:r>
      <w:r>
        <w:rPr>
          <w:rFonts w:hint="cs"/>
          <w:rtl/>
        </w:rPr>
        <w:t xml:space="preserve"> את דברי </w:t>
      </w:r>
      <w:r>
        <w:rPr>
          <w:rStyle w:val="af8"/>
          <w:rtl/>
        </w:rPr>
        <w:t>הב"י דהרמב"ם</w:t>
      </w:r>
      <w:r>
        <w:rPr>
          <w:rFonts w:hint="cs"/>
          <w:rtl/>
        </w:rPr>
        <w:t xml:space="preserve"> ס"ל </w:t>
      </w:r>
      <w:r>
        <w:rPr>
          <w:rStyle w:val="af8"/>
          <w:rtl/>
        </w:rPr>
        <w:t>כרש"י</w:t>
      </w:r>
      <w:r>
        <w:rPr>
          <w:rFonts w:hint="cs"/>
          <w:rtl/>
        </w:rPr>
        <w:t xml:space="preserve">, דהא בדברי </w:t>
      </w:r>
      <w:r>
        <w:rPr>
          <w:rStyle w:val="af8"/>
          <w:rtl/>
        </w:rPr>
        <w:t>רש"י בע"ז</w:t>
      </w:r>
      <w:r>
        <w:rPr>
          <w:rFonts w:hint="cs"/>
          <w:rtl/>
        </w:rPr>
        <w:t xml:space="preserve"> </w:t>
      </w:r>
      <w:r>
        <w:rPr>
          <w:rStyle w:val="af6"/>
          <w:rFonts w:eastAsia="Guttman Hodes" w:hint="cs"/>
          <w:rtl/>
        </w:rPr>
        <w:t>(הובא לעיל סימן ט' אות ד)</w:t>
      </w:r>
      <w:r>
        <w:rPr>
          <w:rFonts w:hint="cs"/>
          <w:rtl/>
        </w:rPr>
        <w:t xml:space="preserve"> מבואר דבאיסור שנימוח אין לוקין עליו אף בכזית בכדי אכילת פרס, דהוא טעמו ולא ממשו ואסור רק מדרבנן, </w:t>
      </w:r>
      <w:r>
        <w:rPr>
          <w:rStyle w:val="afa"/>
          <w:rtl/>
        </w:rPr>
        <w:t xml:space="preserve">[עיי"ש במה שביאר </w:t>
      </w:r>
      <w:r>
        <w:rPr>
          <w:rStyle w:val="affa"/>
          <w:rtl/>
        </w:rPr>
        <w:t>הב"ח</w:t>
      </w:r>
      <w:r>
        <w:rPr>
          <w:rStyle w:val="afa"/>
          <w:rtl/>
        </w:rPr>
        <w:t xml:space="preserve"> בדברי </w:t>
      </w:r>
      <w:r>
        <w:rPr>
          <w:rStyle w:val="affa"/>
          <w:rtl/>
        </w:rPr>
        <w:t>רש"י</w:t>
      </w:r>
      <w:r>
        <w:rPr>
          <w:rStyle w:val="afa"/>
          <w:rtl/>
        </w:rPr>
        <w:t>],</w:t>
      </w:r>
      <w:r>
        <w:rPr>
          <w:rFonts w:hint="cs"/>
          <w:rtl/>
        </w:rPr>
        <w:t xml:space="preserve"> והוסיף </w:t>
      </w:r>
      <w:r>
        <w:rPr>
          <w:rStyle w:val="af8"/>
          <w:rtl/>
        </w:rPr>
        <w:t>הפר"ח</w:t>
      </w:r>
      <w:r>
        <w:rPr>
          <w:rFonts w:hint="cs"/>
          <w:rtl/>
        </w:rPr>
        <w:t xml:space="preserve"> דכן מבואר בדברי </w:t>
      </w:r>
      <w:r>
        <w:rPr>
          <w:rStyle w:val="af8"/>
          <w:rtl/>
        </w:rPr>
        <w:t>רש"י בסוגיין</w:t>
      </w:r>
      <w:r>
        <w:rPr>
          <w:rFonts w:hint="cs"/>
          <w:rtl/>
        </w:rPr>
        <w:t xml:space="preserve"> </w:t>
      </w:r>
      <w:r>
        <w:rPr>
          <w:rStyle w:val="af6"/>
          <w:rFonts w:eastAsia="Guttman Hodes" w:hint="cs"/>
          <w:rtl/>
        </w:rPr>
        <w:t>(ד"ה לטעם, הובא לעיל סימן ח' אות פג)</w:t>
      </w:r>
      <w:r>
        <w:rPr>
          <w:rFonts w:hint="cs"/>
          <w:rtl/>
        </w:rPr>
        <w:t xml:space="preserve"> דלרבא טעם כעיקר דרבנן, דמדאו' מהני ביטול ברוב, ואילו לדעת </w:t>
      </w:r>
      <w:r>
        <w:rPr>
          <w:rStyle w:val="af8"/>
          <w:rtl/>
        </w:rPr>
        <w:t>הרמב"ם</w:t>
      </w:r>
      <w:r>
        <w:rPr>
          <w:rFonts w:hint="cs"/>
          <w:rtl/>
        </w:rPr>
        <w:t xml:space="preserve"> כל שיש כזית בכדי אכילת פרס, הוא טעמו וממשו דלוקין עליו מדאו', אף כשגוף האיסור נימוח</w:t>
      </w:r>
      <w:bookmarkStart w:id="7712" w:name="_Ref13133940"/>
      <w:r>
        <w:rPr>
          <w:rFonts w:hint="cs"/>
          <w:rtl/>
        </w:rPr>
        <w:t xml:space="preserve">, ועי' במה שביאר לפי"ז </w:t>
      </w:r>
      <w:r>
        <w:rPr>
          <w:rStyle w:val="af8"/>
          <w:rtl/>
        </w:rPr>
        <w:t>הגרעק"א</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Ref15209011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עג</w:t>
      </w:r>
      <w:r w:rsidR="004D1C5B">
        <w:rPr>
          <w:rStyle w:val="af6"/>
          <w:rFonts w:eastAsia="Guttman Hodes"/>
          <w:rtl/>
        </w:rPr>
        <w:t>)</w:t>
      </w:r>
      <w:r>
        <w:rPr>
          <w:rFonts w:hint="cs"/>
          <w:rtl/>
        </w:rPr>
        <w:fldChar w:fldCharType="end"/>
      </w:r>
      <w:r>
        <w:rPr>
          <w:rFonts w:hint="cs"/>
          <w:rtl/>
        </w:rPr>
        <w:t xml:space="preserve"> בדברי </w:t>
      </w:r>
      <w:r>
        <w:rPr>
          <w:rStyle w:val="af8"/>
          <w:rtl/>
        </w:rPr>
        <w:t>הרמב"ם</w:t>
      </w:r>
      <w:r>
        <w:rPr>
          <w:rFonts w:hint="cs"/>
          <w:rtl/>
        </w:rPr>
        <w:t>.</w:t>
      </w:r>
      <w:bookmarkEnd w:id="7710"/>
      <w:bookmarkEnd w:id="7712"/>
    </w:p>
    <w:p w:rsidR="00FF684E" w:rsidRDefault="00FF684E" w:rsidP="00FF684E">
      <w:pPr>
        <w:pStyle w:val="a2"/>
        <w:rPr>
          <w:rtl/>
        </w:rPr>
      </w:pPr>
      <w:bookmarkStart w:id="7713" w:name="_Toc15227815"/>
      <w:bookmarkStart w:id="7714" w:name="_Toc15227648"/>
      <w:r>
        <w:rPr>
          <w:rFonts w:hint="cs"/>
          <w:rtl/>
        </w:rPr>
        <w:t>דברי הב"ח דהרמב"ם ס"ל כרש"י דטע"כ דרבנן וס"ל כר"ת דאיסור שנימוח בכא"פ הוא טעמו וממשו</w:t>
      </w:r>
      <w:bookmarkEnd w:id="7713"/>
      <w:bookmarkEnd w:id="7714"/>
    </w:p>
    <w:p w:rsidR="00FF684E" w:rsidRDefault="00FF684E" w:rsidP="009F44AF">
      <w:pPr>
        <w:pStyle w:val="a"/>
      </w:pPr>
      <w:r>
        <w:rPr>
          <w:rFonts w:hint="cs"/>
          <w:rtl/>
        </w:rPr>
        <w:t xml:space="preserve"> </w:t>
      </w:r>
      <w:bookmarkStart w:id="7715" w:name="_Ref15204583"/>
      <w:r>
        <w:rPr>
          <w:rFonts w:hint="cs"/>
          <w:rtl/>
        </w:rPr>
        <w:t xml:space="preserve">אלא כתב </w:t>
      </w:r>
      <w:r>
        <w:rPr>
          <w:rStyle w:val="af8"/>
          <w:rtl/>
        </w:rPr>
        <w:t>הב"ח דהרמב"ם</w:t>
      </w:r>
      <w:r>
        <w:rPr>
          <w:rFonts w:hint="cs"/>
          <w:rtl/>
        </w:rPr>
        <w:t xml:space="preserve"> ס"ל </w:t>
      </w:r>
      <w:r>
        <w:rPr>
          <w:rStyle w:val="af8"/>
          <w:rtl/>
        </w:rPr>
        <w:t>כרש"י</w:t>
      </w:r>
      <w:r>
        <w:rPr>
          <w:rFonts w:hint="cs"/>
          <w:rtl/>
        </w:rPr>
        <w:t xml:space="preserve"> בהא דטעם כעיקר דרבנן, אך ס"ל </w:t>
      </w:r>
      <w:r>
        <w:rPr>
          <w:rStyle w:val="af8"/>
          <w:rtl/>
        </w:rPr>
        <w:t>כר"ת</w:t>
      </w:r>
      <w:r>
        <w:rPr>
          <w:rFonts w:hint="cs"/>
          <w:rtl/>
        </w:rPr>
        <w:t xml:space="preserve"> דהא דטעמו ולא ממשו אין לוקין עליו, היינו בפחות מכזית בכדי אכילת פרס, ודלא </w:t>
      </w:r>
      <w:r>
        <w:rPr>
          <w:rStyle w:val="af8"/>
          <w:rtl/>
        </w:rPr>
        <w:t>כרש"י</w:t>
      </w:r>
      <w:r>
        <w:rPr>
          <w:rFonts w:hint="cs"/>
          <w:rtl/>
        </w:rPr>
        <w:t xml:space="preserve"> דביאר דבנימוח גוף האיסור כשיש כזית בכדי אכילת פרס חשיב טעמו ולא ממשו, אלא דבמקום שאין בו כזית בכדי אכילת פרס, ס"ל </w:t>
      </w:r>
      <w:r>
        <w:rPr>
          <w:rStyle w:val="af8"/>
          <w:rtl/>
        </w:rPr>
        <w:t>להרמב"ם</w:t>
      </w:r>
      <w:r>
        <w:rPr>
          <w:rFonts w:hint="cs"/>
          <w:rtl/>
        </w:rPr>
        <w:t xml:space="preserve"> דחשיב טעמו ולא ממשו, ולדעת ריו"ח הוא אסור מדרבנן, דטעם כעיקר דרבנן</w:t>
      </w:r>
      <w:bookmarkEnd w:id="7711"/>
      <w:r>
        <w:rPr>
          <w:rFonts w:hint="cs"/>
          <w:rtl/>
        </w:rPr>
        <w:t xml:space="preserve">, וכתב </w:t>
      </w:r>
      <w:r>
        <w:rPr>
          <w:rStyle w:val="af8"/>
          <w:rtl/>
        </w:rPr>
        <w:t>הלח"מ</w:t>
      </w:r>
      <w:r>
        <w:rPr>
          <w:rFonts w:hint="cs"/>
          <w:rtl/>
        </w:rPr>
        <w:t xml:space="preserve"> דדעת </w:t>
      </w:r>
      <w:r>
        <w:rPr>
          <w:rStyle w:val="af8"/>
          <w:rtl/>
        </w:rPr>
        <w:t>הרמב"ם</w:t>
      </w:r>
      <w:r>
        <w:rPr>
          <w:rFonts w:hint="cs"/>
          <w:rtl/>
        </w:rPr>
        <w:t xml:space="preserve"> </w:t>
      </w:r>
      <w:r>
        <w:rPr>
          <w:rStyle w:val="af8"/>
          <w:rtl/>
        </w:rPr>
        <w:t>כרבינו אליהו</w:t>
      </w:r>
      <w:r>
        <w:rPr>
          <w:rFonts w:hint="cs"/>
          <w:rtl/>
        </w:rPr>
        <w:t xml:space="preserve"> דס"ל דאף כשנימוח גוף האיסור, לוקין עליו כשיש בו כזית בכדי אכילת פרס.</w:t>
      </w:r>
      <w:bookmarkEnd w:id="7715"/>
    </w:p>
    <w:p w:rsidR="00FF684E" w:rsidRDefault="00FF684E" w:rsidP="007E08E0">
      <w:pPr>
        <w:pStyle w:val="1"/>
        <w:rPr>
          <w:rtl/>
        </w:rPr>
      </w:pPr>
      <w:bookmarkStart w:id="7716" w:name="_Toc15227816"/>
      <w:bookmarkStart w:id="7717" w:name="_Toc15227649"/>
      <w:r>
        <w:rPr>
          <w:rFonts w:hint="cs"/>
          <w:rtl/>
        </w:rPr>
        <w:t>ביאור הפר"ח דבפחות מכא"פ אף בנימוח גוף האיסור הוא דרבנן</w:t>
      </w:r>
      <w:bookmarkEnd w:id="7716"/>
      <w:bookmarkEnd w:id="7717"/>
    </w:p>
    <w:p w:rsidR="00FF684E" w:rsidRDefault="00FF684E" w:rsidP="00FF684E">
      <w:pPr>
        <w:pStyle w:val="a2"/>
        <w:rPr>
          <w:rtl/>
        </w:rPr>
      </w:pPr>
      <w:bookmarkStart w:id="7718" w:name="_Toc15227817"/>
      <w:bookmarkStart w:id="7719" w:name="_Toc15227650"/>
      <w:r>
        <w:rPr>
          <w:rFonts w:hint="cs"/>
          <w:rtl/>
        </w:rPr>
        <w:t>דברי הפר"ח דהרמב"ם כרש"י דטע"כ דרבנן אך בדברי ריו"ח ביאר כרבינו חיים דכא"פ הוא ממשו</w:t>
      </w:r>
      <w:bookmarkEnd w:id="7718"/>
      <w:bookmarkEnd w:id="7719"/>
    </w:p>
    <w:p w:rsidR="00FF684E" w:rsidRDefault="00FF684E" w:rsidP="009F44AF">
      <w:pPr>
        <w:pStyle w:val="a"/>
        <w:rPr>
          <w:rtl/>
        </w:rPr>
      </w:pPr>
      <w:bookmarkStart w:id="7720" w:name="_Ref15205598"/>
      <w:r>
        <w:rPr>
          <w:rFonts w:hint="cs"/>
          <w:rtl/>
        </w:rPr>
        <w:t xml:space="preserve">וכ"כ </w:t>
      </w:r>
      <w:r>
        <w:rPr>
          <w:rStyle w:val="af8"/>
          <w:rtl/>
        </w:rPr>
        <w:t>הפר"ח</w:t>
      </w:r>
      <w:r>
        <w:rPr>
          <w:rFonts w:hint="cs"/>
          <w:rtl/>
        </w:rPr>
        <w:t xml:space="preserve"> </w:t>
      </w:r>
      <w:r>
        <w:rPr>
          <w:rStyle w:val="af6"/>
          <w:rFonts w:eastAsia="Guttman Hodes" w:hint="cs"/>
          <w:rtl/>
        </w:rPr>
        <w:t>(או"ח סי' תמ"ב סק"א ד"ה ובב"י ביו"ד)</w:t>
      </w:r>
      <w:r>
        <w:rPr>
          <w:rFonts w:hint="cs"/>
          <w:rtl/>
        </w:rPr>
        <w:t xml:space="preserve"> דבין לדעת </w:t>
      </w:r>
      <w:r>
        <w:rPr>
          <w:rStyle w:val="af8"/>
          <w:rtl/>
        </w:rPr>
        <w:t>רש"י</w:t>
      </w:r>
      <w:r>
        <w:rPr>
          <w:rFonts w:hint="cs"/>
          <w:rtl/>
        </w:rPr>
        <w:t xml:space="preserve"> ובין לדעת </w:t>
      </w:r>
      <w:r>
        <w:rPr>
          <w:rStyle w:val="af8"/>
          <w:rtl/>
        </w:rPr>
        <w:t>הרמב"ם</w:t>
      </w:r>
      <w:r>
        <w:rPr>
          <w:rFonts w:hint="cs"/>
          <w:rtl/>
        </w:rPr>
        <w:t xml:space="preserve"> טעם כעיקר דרבנן, אלא </w:t>
      </w:r>
      <w:r>
        <w:rPr>
          <w:rStyle w:val="af8"/>
          <w:rtl/>
        </w:rPr>
        <w:t>דלרש"י</w:t>
      </w:r>
      <w:r>
        <w:rPr>
          <w:rFonts w:hint="cs"/>
          <w:rtl/>
        </w:rPr>
        <w:t xml:space="preserve"> הביאור בטעמו ולא ממשו הוא כשהאיסור נימוח ונתערב בהיתר, אף כשיש בו כזית בכדי אכילת פרס, </w:t>
      </w:r>
      <w:r>
        <w:rPr>
          <w:rStyle w:val="af8"/>
          <w:rtl/>
        </w:rPr>
        <w:t>ולהרמב"ם</w:t>
      </w:r>
      <w:r>
        <w:rPr>
          <w:rFonts w:hint="cs"/>
          <w:rtl/>
        </w:rPr>
        <w:t xml:space="preserve"> כשיש כזית בכדי אכילת פרס, אסור מדאו' ולוקין עליו, אף אם גוף האיסור מחוי בתערובת, וביאר </w:t>
      </w:r>
      <w:r>
        <w:rPr>
          <w:rStyle w:val="af8"/>
          <w:rtl/>
        </w:rPr>
        <w:t>הפר"ח</w:t>
      </w:r>
      <w:r>
        <w:rPr>
          <w:rFonts w:hint="cs"/>
          <w:rtl/>
        </w:rPr>
        <w:t xml:space="preserve"> </w:t>
      </w:r>
      <w:r>
        <w:rPr>
          <w:rStyle w:val="af6"/>
          <w:rFonts w:eastAsia="Guttman Hodes" w:hint="cs"/>
          <w:rtl/>
        </w:rPr>
        <w:t>(או"ח סי' תמ"ב סק"א ד"ה ורבינו חיים)</w:t>
      </w:r>
      <w:r>
        <w:rPr>
          <w:rFonts w:hint="cs"/>
          <w:rtl/>
        </w:rPr>
        <w:t xml:space="preserve"> דבביאור דברי ריו"ח בע"ז בטעמו וממשו, ביאר </w:t>
      </w:r>
      <w:r>
        <w:rPr>
          <w:rStyle w:val="af8"/>
          <w:rtl/>
        </w:rPr>
        <w:t>הרמב"ם כרבינו חיים</w:t>
      </w:r>
      <w:r>
        <w:rPr>
          <w:rFonts w:hint="cs"/>
          <w:rtl/>
        </w:rPr>
        <w:t xml:space="preserve"> </w:t>
      </w:r>
      <w:r>
        <w:rPr>
          <w:rStyle w:val="af6"/>
          <w:rFonts w:eastAsia="Guttman Hodes" w:hint="cs"/>
          <w:rtl/>
        </w:rPr>
        <w:t xml:space="preserve">(הובא לעיל סימן ט' אות ע) </w:t>
      </w:r>
      <w:r>
        <w:rPr>
          <w:rFonts w:hint="cs"/>
          <w:rtl/>
        </w:rPr>
        <w:t xml:space="preserve">דטעמו וממשו דלוקין עליו, היינו בכזית בכדי אכילת פרס, וטעמו ולא ממשו דאין לוקין עליו, </w:t>
      </w:r>
      <w:r>
        <w:rPr>
          <w:rFonts w:hint="cs"/>
          <w:rtl/>
        </w:rPr>
        <w:t xml:space="preserve">היינו בפחות מכזית בכדי אכילת פרס, אלא </w:t>
      </w:r>
      <w:r>
        <w:rPr>
          <w:rStyle w:val="af8"/>
          <w:rtl/>
        </w:rPr>
        <w:t>דלרבינו חיים</w:t>
      </w:r>
      <w:r>
        <w:rPr>
          <w:rFonts w:hint="cs"/>
          <w:rtl/>
        </w:rPr>
        <w:t xml:space="preserve"> טעמו ולא ממשו אסור מדאו', אבל </w:t>
      </w:r>
      <w:r>
        <w:rPr>
          <w:rStyle w:val="af8"/>
          <w:rtl/>
        </w:rPr>
        <w:t>להרמב"ם</w:t>
      </w:r>
      <w:r>
        <w:rPr>
          <w:rFonts w:hint="cs"/>
          <w:rtl/>
        </w:rPr>
        <w:t xml:space="preserve"> טעם כעיקר דרבנן.</w:t>
      </w:r>
      <w:bookmarkEnd w:id="7720"/>
    </w:p>
    <w:p w:rsidR="00FF684E" w:rsidRDefault="00FF684E" w:rsidP="00FF684E">
      <w:pPr>
        <w:pStyle w:val="a2"/>
        <w:rPr>
          <w:rtl/>
        </w:rPr>
      </w:pPr>
      <w:bookmarkStart w:id="7721" w:name="_Toc15227818"/>
      <w:bookmarkStart w:id="7722" w:name="_Toc15227651"/>
      <w:r>
        <w:rPr>
          <w:rFonts w:hint="cs"/>
          <w:rtl/>
        </w:rPr>
        <w:t>דברי הפר"ח דלרבינו חיים בכא"פ אמרינן נהפך ולהרמב"ם אין דין נהפך ולוקה רק בכזית מהאיסור</w:t>
      </w:r>
      <w:bookmarkEnd w:id="7721"/>
      <w:bookmarkEnd w:id="7722"/>
    </w:p>
    <w:p w:rsidR="00FF684E" w:rsidRDefault="00FF684E" w:rsidP="009F44AF">
      <w:pPr>
        <w:pStyle w:val="a"/>
        <w:rPr>
          <w:rtl/>
        </w:rPr>
      </w:pPr>
      <w:bookmarkStart w:id="7723" w:name="_Ref15218418"/>
      <w:r>
        <w:rPr>
          <w:rFonts w:hint="cs"/>
          <w:rtl/>
        </w:rPr>
        <w:t xml:space="preserve">והוסיף </w:t>
      </w:r>
      <w:r>
        <w:rPr>
          <w:rStyle w:val="af8"/>
          <w:rtl/>
        </w:rPr>
        <w:t>הפר"ח</w:t>
      </w:r>
      <w:r>
        <w:rPr>
          <w:rFonts w:hint="cs"/>
          <w:rtl/>
        </w:rPr>
        <w:t xml:space="preserve"> </w:t>
      </w:r>
      <w:r>
        <w:rPr>
          <w:rStyle w:val="af6"/>
          <w:rFonts w:eastAsia="Guttman Hodes" w:hint="cs"/>
          <w:rtl/>
        </w:rPr>
        <w:t>(או"ח סי' תמ"ב סק"א ד"ה והרמב"ם ז"ל)</w:t>
      </w:r>
      <w:r>
        <w:rPr>
          <w:rFonts w:hint="cs"/>
          <w:rtl/>
        </w:rPr>
        <w:t xml:space="preserve"> </w:t>
      </w:r>
      <w:r>
        <w:rPr>
          <w:rStyle w:val="af8"/>
          <w:rtl/>
        </w:rPr>
        <w:t xml:space="preserve">דהרמב"ם </w:t>
      </w:r>
      <w:r>
        <w:rPr>
          <w:rFonts w:hint="cs"/>
          <w:rtl/>
        </w:rPr>
        <w:t xml:space="preserve">ס"ל </w:t>
      </w:r>
      <w:r>
        <w:rPr>
          <w:rStyle w:val="af8"/>
          <w:rtl/>
        </w:rPr>
        <w:t>כרבינו חיים</w:t>
      </w:r>
      <w:r>
        <w:rPr>
          <w:rFonts w:hint="cs"/>
          <w:rtl/>
        </w:rPr>
        <w:t xml:space="preserve"> דאף כשגוף האיסור נימוח ואינו בעין, חשיב טעמו ולא ממשו, אלא </w:t>
      </w:r>
      <w:r>
        <w:rPr>
          <w:rStyle w:val="af8"/>
          <w:rtl/>
        </w:rPr>
        <w:t>דלרבינו חיים</w:t>
      </w:r>
      <w:r>
        <w:rPr>
          <w:rFonts w:hint="cs"/>
          <w:rtl/>
        </w:rPr>
        <w:t xml:space="preserve"> כיון דטעם כעיקר דאו', א"כ כל שמעורב בתערובת כזית בכדי אכילת פרס מהממשות, לוקה על כל כזית מהתערובת מדין נהפך, ואילו לדעת </w:t>
      </w:r>
      <w:r>
        <w:rPr>
          <w:rStyle w:val="af8"/>
          <w:rtl/>
        </w:rPr>
        <w:t>הרמב"ם</w:t>
      </w:r>
      <w:r>
        <w:rPr>
          <w:rFonts w:hint="cs"/>
          <w:rtl/>
        </w:rPr>
        <w:t xml:space="preserve"> לעולם אין דין נהפך, ורק כשאכל  מהממשות של האיסור עצמו, כזית בכדי אכילת פרס, לוקה עליו.</w:t>
      </w:r>
      <w:bookmarkEnd w:id="7723"/>
    </w:p>
    <w:p w:rsidR="00FF684E" w:rsidRDefault="00FF684E" w:rsidP="00FF684E">
      <w:pPr>
        <w:pStyle w:val="a2"/>
        <w:rPr>
          <w:rtl/>
        </w:rPr>
      </w:pPr>
      <w:bookmarkStart w:id="7724" w:name="_Toc15227819"/>
      <w:bookmarkStart w:id="7725" w:name="_Toc15227652"/>
      <w:r>
        <w:rPr>
          <w:rFonts w:hint="cs"/>
          <w:rtl/>
        </w:rPr>
        <w:t>דברי הפר"ח דבפחות מכא"פ אף שהאיסור בעין ונותן טעם אינו אסור מדאו' כיון שאינו ניכר</w:t>
      </w:r>
      <w:bookmarkEnd w:id="7724"/>
      <w:bookmarkEnd w:id="7725"/>
    </w:p>
    <w:p w:rsidR="00FF684E" w:rsidRDefault="00FF684E" w:rsidP="009F44AF">
      <w:pPr>
        <w:pStyle w:val="a"/>
        <w:rPr>
          <w:rtl/>
        </w:rPr>
      </w:pPr>
      <w:bookmarkStart w:id="7726" w:name="_Ref15218333"/>
      <w:r>
        <w:rPr>
          <w:rFonts w:hint="cs"/>
          <w:rtl/>
        </w:rPr>
        <w:t xml:space="preserve">וכתב </w:t>
      </w:r>
      <w:r>
        <w:rPr>
          <w:rStyle w:val="af8"/>
          <w:rtl/>
        </w:rPr>
        <w:t>הפר"ח</w:t>
      </w:r>
      <w:r>
        <w:rPr>
          <w:rFonts w:hint="cs"/>
          <w:rtl/>
        </w:rPr>
        <w:t xml:space="preserve"> דס"ל </w:t>
      </w:r>
      <w:r>
        <w:rPr>
          <w:rStyle w:val="af8"/>
          <w:rtl/>
        </w:rPr>
        <w:t>להרמב"ם</w:t>
      </w:r>
      <w:r>
        <w:rPr>
          <w:rFonts w:hint="cs"/>
          <w:rtl/>
        </w:rPr>
        <w:t xml:space="preserve"> דבפחות מכזית בכדי אכילת פרס, כל שהאיסור אינו ניכר אינו אסור מדאו' כלל, ואף כשהאיסור בעין ונתן טעם, מ"מ כל שאינו ניכר אינו אסור מדאו', כיון שאין בו כזית בכדי אכילת פרס.</w:t>
      </w:r>
      <w:bookmarkEnd w:id="7726"/>
    </w:p>
    <w:p w:rsidR="00FF684E" w:rsidRDefault="00FF684E" w:rsidP="00FF684E">
      <w:pPr>
        <w:pStyle w:val="a2"/>
        <w:rPr>
          <w:rtl/>
        </w:rPr>
      </w:pPr>
      <w:bookmarkStart w:id="7727" w:name="_Toc15227820"/>
      <w:bookmarkStart w:id="7728" w:name="_Toc15227653"/>
      <w:r>
        <w:rPr>
          <w:rFonts w:hint="cs"/>
          <w:rtl/>
        </w:rPr>
        <w:t>דברי הפר"ח דבפחות מכזית בכא"פ בתערובת אין דין חצי שיעור דאו'</w:t>
      </w:r>
      <w:bookmarkEnd w:id="7727"/>
      <w:bookmarkEnd w:id="7728"/>
      <w:r>
        <w:rPr>
          <w:rFonts w:hint="cs"/>
          <w:rtl/>
        </w:rPr>
        <w:t xml:space="preserve"> </w:t>
      </w:r>
    </w:p>
    <w:p w:rsidR="00FF684E" w:rsidRDefault="00FF684E" w:rsidP="009F44AF">
      <w:pPr>
        <w:pStyle w:val="a"/>
        <w:rPr>
          <w:rtl/>
        </w:rPr>
      </w:pPr>
      <w:r>
        <w:rPr>
          <w:rFonts w:hint="cs"/>
          <w:rtl/>
        </w:rPr>
        <w:t xml:space="preserve">ועו"כ </w:t>
      </w:r>
      <w:r>
        <w:rPr>
          <w:rStyle w:val="af8"/>
          <w:rtl/>
        </w:rPr>
        <w:t>הפר"ח</w:t>
      </w:r>
      <w:r>
        <w:rPr>
          <w:rFonts w:hint="cs"/>
          <w:rtl/>
        </w:rPr>
        <w:t xml:space="preserve"> </w:t>
      </w:r>
      <w:r>
        <w:rPr>
          <w:rStyle w:val="af6"/>
          <w:rFonts w:eastAsia="Guttman Hodes" w:hint="cs"/>
          <w:rtl/>
        </w:rPr>
        <w:t>(או"ח סי' תמ"ב סק"א ד"ה והרמב"ם כתב)</w:t>
      </w:r>
      <w:r>
        <w:rPr>
          <w:rFonts w:hint="cs"/>
          <w:rtl/>
        </w:rPr>
        <w:t xml:space="preserve"> </w:t>
      </w:r>
      <w:r>
        <w:rPr>
          <w:rStyle w:val="af8"/>
          <w:rtl/>
        </w:rPr>
        <w:t>דלהרמב"ם</w:t>
      </w:r>
      <w:r>
        <w:rPr>
          <w:rFonts w:hint="cs"/>
          <w:rtl/>
        </w:rPr>
        <w:t xml:space="preserve"> פחות מכזית בכדי אכילת פרס הוא מדרבנן, הוא כיון דהא דחצי שיעור מדאו', הוא דוקא במקום שהאיסור בעין, אבל באיסור המעורב בתערובת, כל שאין בו כזית בכדי אכילת פרס, אין בו חיוב דאו', ודלא </w:t>
      </w:r>
      <w:r>
        <w:rPr>
          <w:rStyle w:val="af8"/>
          <w:rtl/>
        </w:rPr>
        <w:t>כהרלב"ח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Ref15202000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Style w:val="af6"/>
          <w:rFonts w:eastAsia="Guttman Hodes" w:hint="cs"/>
          <w:rtl/>
        </w:rPr>
        <w:fldChar w:fldCharType="end"/>
      </w:r>
      <w:r>
        <w:rPr>
          <w:rFonts w:hint="cs"/>
          <w:rtl/>
        </w:rPr>
        <w:t>.</w:t>
      </w:r>
    </w:p>
    <w:p w:rsidR="00FF684E" w:rsidRDefault="00FF684E" w:rsidP="00FF684E">
      <w:pPr>
        <w:pStyle w:val="a2"/>
        <w:rPr>
          <w:rtl/>
        </w:rPr>
      </w:pPr>
      <w:bookmarkStart w:id="7729" w:name="_Toc15227822"/>
      <w:bookmarkStart w:id="7730" w:name="_Toc15227655"/>
      <w:r>
        <w:rPr>
          <w:rFonts w:hint="cs"/>
          <w:b/>
          <w:bCs/>
          <w:sz w:val="18"/>
          <w:szCs w:val="18"/>
          <w:rtl/>
        </w:rPr>
        <w:t xml:space="preserve">דברי המנחת כהן דבאכל פחות מכא"פ אין דין חצי שיעור </w:t>
      </w:r>
    </w:p>
    <w:p w:rsidR="00FF684E" w:rsidRDefault="00FF684E" w:rsidP="00FF684E">
      <w:pPr>
        <w:pStyle w:val="a2"/>
        <w:rPr>
          <w:rtl/>
        </w:rPr>
      </w:pPr>
      <w:r>
        <w:rPr>
          <w:rFonts w:hint="cs"/>
          <w:rtl/>
        </w:rPr>
        <w:t>דברי המנחת כהן ברמב"ם דבכזית בכא"פ ואכל פרס אף בנימוח טע"כ דאו' אף לדעת רבא</w:t>
      </w:r>
      <w:bookmarkEnd w:id="7729"/>
      <w:bookmarkEnd w:id="7730"/>
    </w:p>
    <w:p w:rsidR="00FF684E" w:rsidRDefault="00FF684E" w:rsidP="009F44AF">
      <w:pPr>
        <w:pStyle w:val="a"/>
      </w:pPr>
      <w:r>
        <w:rPr>
          <w:rFonts w:hint="cs"/>
          <w:rtl/>
        </w:rPr>
        <w:t xml:space="preserve">כתב </w:t>
      </w:r>
      <w:r>
        <w:rPr>
          <w:rStyle w:val="af8"/>
          <w:rtl/>
        </w:rPr>
        <w:t>המנחת כהן</w:t>
      </w:r>
      <w:r>
        <w:rPr>
          <w:rFonts w:hint="cs"/>
          <w:rtl/>
        </w:rPr>
        <w:t xml:space="preserve"> </w:t>
      </w:r>
      <w:r>
        <w:rPr>
          <w:rStyle w:val="af6"/>
          <w:rFonts w:eastAsia="Guttman Hodes" w:hint="cs"/>
          <w:rtl/>
        </w:rPr>
        <w:t xml:space="preserve">(ס' התערובות ח"א פ"ד ד"ה והנה הפירוש) </w:t>
      </w:r>
      <w:r>
        <w:rPr>
          <w:rStyle w:val="af8"/>
          <w:rtl/>
        </w:rPr>
        <w:t>דהרמב"ם</w:t>
      </w:r>
      <w:r>
        <w:rPr>
          <w:rFonts w:hint="cs"/>
          <w:rtl/>
        </w:rPr>
        <w:t xml:space="preserve"> ביאר בדעת ריו"ח דאף כשגוף האיסור מעורב בתערובת כל שיש כזית בכדי אכילת פרס אסור מדאו' ולוקין עליו לכו"ע </w:t>
      </w:r>
      <w:r>
        <w:rPr>
          <w:rStyle w:val="afa"/>
          <w:rtl/>
        </w:rPr>
        <w:t>[אף לדעת רבא]</w:t>
      </w:r>
      <w:r>
        <w:rPr>
          <w:rFonts w:hint="cs"/>
          <w:rtl/>
        </w:rPr>
        <w:t xml:space="preserve">, כיון שאכל כזית מהאיסור עצמו בכדי אכילת פרס, ואף דיש רוב מההיתר והאיסור אינו בעין מ"מ לוקין עליו, וכתב </w:t>
      </w:r>
      <w:r>
        <w:rPr>
          <w:rStyle w:val="af8"/>
          <w:rtl/>
        </w:rPr>
        <w:t>המנחת כהן</w:t>
      </w:r>
      <w:r>
        <w:rPr>
          <w:rFonts w:hint="cs"/>
          <w:rtl/>
        </w:rPr>
        <w:t xml:space="preserve"> דבזה ס"ל </w:t>
      </w:r>
      <w:r>
        <w:rPr>
          <w:rStyle w:val="af8"/>
          <w:rtl/>
        </w:rPr>
        <w:t>להרמב"ם</w:t>
      </w:r>
      <w:r>
        <w:rPr>
          <w:rFonts w:hint="cs"/>
          <w:rtl/>
        </w:rPr>
        <w:t xml:space="preserve"> כדעת </w:t>
      </w:r>
      <w:r>
        <w:rPr>
          <w:rStyle w:val="af8"/>
          <w:rtl/>
        </w:rPr>
        <w:t>רש"י בע"ז</w:t>
      </w:r>
      <w:r>
        <w:rPr>
          <w:rFonts w:hint="cs"/>
          <w:rtl/>
        </w:rPr>
        <w:t xml:space="preserve"> </w:t>
      </w:r>
      <w:r>
        <w:rPr>
          <w:rStyle w:val="af6"/>
          <w:rFonts w:eastAsia="Guttman Hodes" w:hint="cs"/>
          <w:rtl/>
        </w:rPr>
        <w:t>(סז. ד"ה כל, הובא לעיל סימן ט' אות ב)</w:t>
      </w:r>
      <w:r>
        <w:rPr>
          <w:rFonts w:hint="cs"/>
          <w:rtl/>
        </w:rPr>
        <w:t xml:space="preserve"> דכל שיש כזית בכדי אכילת פרס חשיב טעמו וממשו, אך פליג </w:t>
      </w:r>
      <w:r>
        <w:rPr>
          <w:rStyle w:val="af8"/>
          <w:rtl/>
        </w:rPr>
        <w:t>הרמב"ם</w:t>
      </w:r>
      <w:r>
        <w:rPr>
          <w:rFonts w:hint="cs"/>
          <w:rtl/>
        </w:rPr>
        <w:t xml:space="preserve"> על מ"ש </w:t>
      </w:r>
      <w:r>
        <w:rPr>
          <w:rStyle w:val="af8"/>
          <w:rtl/>
        </w:rPr>
        <w:t>רש"י בע"ז</w:t>
      </w:r>
      <w:r>
        <w:rPr>
          <w:rFonts w:hint="cs"/>
          <w:rtl/>
        </w:rPr>
        <w:t xml:space="preserve"> </w:t>
      </w:r>
      <w:r>
        <w:rPr>
          <w:rStyle w:val="af6"/>
          <w:rFonts w:eastAsia="Guttman Hodes" w:hint="cs"/>
          <w:rtl/>
        </w:rPr>
        <w:t>(סז: ד"ה טעמו, הובא לעיל סימן ט' אות ד)</w:t>
      </w:r>
      <w:r>
        <w:rPr>
          <w:rFonts w:hint="cs"/>
          <w:rtl/>
        </w:rPr>
        <w:t xml:space="preserve"> דכל איסור שנימוח ואינו בעין חשיב טעמו ולא ממשו.</w:t>
      </w:r>
    </w:p>
    <w:p w:rsidR="00FF684E" w:rsidRDefault="00FF684E" w:rsidP="00FF684E">
      <w:pPr>
        <w:pStyle w:val="a2"/>
        <w:rPr>
          <w:rtl/>
        </w:rPr>
      </w:pPr>
      <w:bookmarkStart w:id="7731" w:name="_Toc15227823"/>
      <w:bookmarkStart w:id="7732" w:name="_Toc15227656"/>
      <w:r>
        <w:rPr>
          <w:rFonts w:hint="cs"/>
          <w:rtl/>
        </w:rPr>
        <w:t>דברי המנחת כהן דבאכל פחות מכא"פ או כשיש רק טעם פסק הרמב"ם כרבא דטע"כ דרבנן</w:t>
      </w:r>
      <w:bookmarkEnd w:id="7731"/>
      <w:bookmarkEnd w:id="7732"/>
    </w:p>
    <w:p w:rsidR="00FF684E" w:rsidRDefault="00FF684E" w:rsidP="009F44AF">
      <w:pPr>
        <w:pStyle w:val="a"/>
        <w:rPr>
          <w:rtl/>
        </w:rPr>
      </w:pPr>
      <w:r>
        <w:rPr>
          <w:rFonts w:hint="cs"/>
          <w:rtl/>
        </w:rPr>
        <w:t xml:space="preserve">ובטעמו ולא ממשו כתב </w:t>
      </w:r>
      <w:r>
        <w:rPr>
          <w:rStyle w:val="af8"/>
          <w:rtl/>
        </w:rPr>
        <w:t>המנחת כהן</w:t>
      </w:r>
      <w:r>
        <w:rPr>
          <w:rFonts w:hint="cs"/>
          <w:rtl/>
        </w:rPr>
        <w:t xml:space="preserve"> דס"ל </w:t>
      </w:r>
      <w:r>
        <w:rPr>
          <w:rStyle w:val="af8"/>
          <w:rtl/>
        </w:rPr>
        <w:t>להרמב"ם</w:t>
      </w:r>
      <w:r>
        <w:rPr>
          <w:rFonts w:hint="cs"/>
          <w:rtl/>
        </w:rPr>
        <w:t xml:space="preserve"> דהוא בפחות מכזית בכדי אכילת פרס, או כשיש רק טעם ואין ממשות כלל, דנחלקו בזה אביי ורבא אי טעם כעיקר דאו' או דרבנן, ופסק </w:t>
      </w:r>
      <w:r>
        <w:rPr>
          <w:rStyle w:val="af8"/>
          <w:rtl/>
        </w:rPr>
        <w:t>הרמב"ם</w:t>
      </w:r>
      <w:r>
        <w:rPr>
          <w:rFonts w:hint="cs"/>
          <w:rtl/>
        </w:rPr>
        <w:t xml:space="preserve"> כרבא דטעם כעיקר דרבנן, וכתב </w:t>
      </w:r>
      <w:r>
        <w:rPr>
          <w:rStyle w:val="af8"/>
          <w:rtl/>
        </w:rPr>
        <w:t>המנחת כהן</w:t>
      </w:r>
      <w:r>
        <w:rPr>
          <w:rFonts w:hint="cs"/>
          <w:rtl/>
        </w:rPr>
        <w:t xml:space="preserve"> דבזה </w:t>
      </w:r>
      <w:r>
        <w:rPr>
          <w:rStyle w:val="af8"/>
          <w:rtl/>
        </w:rPr>
        <w:t>הרמב"ם</w:t>
      </w:r>
      <w:r>
        <w:rPr>
          <w:rFonts w:hint="cs"/>
          <w:rtl/>
        </w:rPr>
        <w:t xml:space="preserve"> פליג על </w:t>
      </w:r>
      <w:r>
        <w:rPr>
          <w:rStyle w:val="af8"/>
          <w:rtl/>
        </w:rPr>
        <w:t>הר"ן על הרי"ף</w:t>
      </w:r>
      <w:r>
        <w:rPr>
          <w:rFonts w:hint="cs"/>
          <w:rtl/>
        </w:rPr>
        <w:t xml:space="preserve"> </w:t>
      </w:r>
      <w:r>
        <w:rPr>
          <w:rStyle w:val="af6"/>
          <w:rFonts w:eastAsia="Guttman Hodes" w:hint="cs"/>
          <w:rtl/>
        </w:rPr>
        <w:t xml:space="preserve">(לה: מדפי הרי"ף ד"ה ולענין מין, הובא לעיל סימן ט' אות קג) </w:t>
      </w:r>
      <w:r>
        <w:rPr>
          <w:rFonts w:hint="cs"/>
          <w:rtl/>
        </w:rPr>
        <w:t xml:space="preserve">דכתב דבשגופו מעורב בתערובת והוא נותן טעם, מדאו' אינו בטל אפילו באלף, והוסיף </w:t>
      </w:r>
      <w:r>
        <w:rPr>
          <w:rStyle w:val="af8"/>
          <w:rtl/>
        </w:rPr>
        <w:t>המנחת כהן</w:t>
      </w:r>
      <w:r>
        <w:rPr>
          <w:rFonts w:hint="cs"/>
          <w:rtl/>
        </w:rPr>
        <w:t xml:space="preserve"> </w:t>
      </w:r>
      <w:r>
        <w:rPr>
          <w:rStyle w:val="af6"/>
          <w:rFonts w:eastAsia="Guttman Hodes" w:hint="cs"/>
          <w:rtl/>
        </w:rPr>
        <w:t xml:space="preserve">(ס' התערובות ח"א פ"ד ד"ה </w:t>
      </w:r>
      <w:r>
        <w:rPr>
          <w:rStyle w:val="af6"/>
          <w:rFonts w:eastAsiaTheme="minorEastAsia" w:hint="cs"/>
          <w:rtl/>
        </w:rPr>
        <w:t xml:space="preserve">והנה זה) </w:t>
      </w:r>
      <w:r>
        <w:rPr>
          <w:rFonts w:hint="cs"/>
          <w:rtl/>
        </w:rPr>
        <w:t xml:space="preserve">דלדעת </w:t>
      </w:r>
      <w:r>
        <w:rPr>
          <w:rStyle w:val="af8"/>
          <w:rtl/>
        </w:rPr>
        <w:t>הרמב"ם</w:t>
      </w:r>
      <w:r>
        <w:rPr>
          <w:rFonts w:hint="cs"/>
          <w:rtl/>
        </w:rPr>
        <w:t xml:space="preserve"> ריו"ח בע"ז </w:t>
      </w:r>
      <w:r>
        <w:rPr>
          <w:rStyle w:val="af6"/>
          <w:rFonts w:eastAsia="Guttman Hodes" w:hint="cs"/>
          <w:rtl/>
        </w:rPr>
        <w:t>(סז.)</w:t>
      </w:r>
      <w:r>
        <w:rPr>
          <w:rFonts w:hint="cs"/>
          <w:rtl/>
        </w:rPr>
        <w:t xml:space="preserve"> ס"ל כרבא דטעם כעיקר דרבנן, וכדכתב </w:t>
      </w:r>
      <w:r>
        <w:rPr>
          <w:rStyle w:val="af8"/>
          <w:rtl/>
        </w:rPr>
        <w:t xml:space="preserve">רש"י בסוגיין </w:t>
      </w:r>
      <w:r>
        <w:rPr>
          <w:rStyle w:val="af6"/>
          <w:rFonts w:eastAsia="Guttman Hodes" w:hint="cs"/>
          <w:rtl/>
        </w:rPr>
        <w:t>(ד"ה לטעם כעיקר, הובא לעיל סימן ח' אות א)</w:t>
      </w:r>
      <w:r>
        <w:rPr>
          <w:rFonts w:hint="cs"/>
          <w:rtl/>
        </w:rPr>
        <w:t xml:space="preserve">.  </w:t>
      </w:r>
    </w:p>
    <w:p w:rsidR="00FF684E" w:rsidRDefault="00FF684E" w:rsidP="00FF684E">
      <w:pPr>
        <w:pStyle w:val="a2"/>
      </w:pPr>
      <w:bookmarkStart w:id="7733" w:name="_Toc15227824"/>
      <w:bookmarkStart w:id="7734" w:name="_Toc15227657"/>
      <w:r>
        <w:rPr>
          <w:rFonts w:hint="cs"/>
          <w:rtl/>
        </w:rPr>
        <w:t>קושית המנחת כהן דבעיסת אורז היאך יוצא יד"ח בפחות מכזית בכא"פ הא טע"כ דרבנן</w:t>
      </w:r>
      <w:bookmarkEnd w:id="7733"/>
      <w:bookmarkEnd w:id="7734"/>
      <w:r>
        <w:rPr>
          <w:rFonts w:hint="cs"/>
          <w:rtl/>
        </w:rPr>
        <w:t xml:space="preserve"> </w:t>
      </w:r>
    </w:p>
    <w:p w:rsidR="00FF684E" w:rsidRDefault="00FF684E" w:rsidP="009F44AF">
      <w:pPr>
        <w:pStyle w:val="a"/>
      </w:pPr>
      <w:bookmarkStart w:id="7735" w:name="_Ref15210325"/>
      <w:r>
        <w:rPr>
          <w:rFonts w:hint="cs"/>
          <w:rtl/>
        </w:rPr>
        <w:t xml:space="preserve">והוסיף </w:t>
      </w:r>
      <w:r>
        <w:rPr>
          <w:rStyle w:val="af8"/>
          <w:rtl/>
        </w:rPr>
        <w:t>המנחת כהן</w:t>
      </w:r>
      <w:r>
        <w:rPr>
          <w:rFonts w:hint="cs"/>
          <w:rtl/>
        </w:rPr>
        <w:t xml:space="preserve"> </w:t>
      </w:r>
      <w:r>
        <w:rPr>
          <w:rStyle w:val="af6"/>
          <w:rFonts w:eastAsia="Guttman Hodes" w:hint="cs"/>
          <w:rtl/>
        </w:rPr>
        <w:t>(ס' התערובות ח"א פ"ד ד"ה ואמנם)</w:t>
      </w:r>
      <w:r>
        <w:rPr>
          <w:rFonts w:hint="cs"/>
          <w:rtl/>
        </w:rPr>
        <w:t xml:space="preserve"> דא"כ היה צ"ל לדעת </w:t>
      </w:r>
      <w:r>
        <w:rPr>
          <w:rStyle w:val="af8"/>
          <w:rtl/>
        </w:rPr>
        <w:t>הרמב"ם</w:t>
      </w:r>
      <w:r>
        <w:rPr>
          <w:rFonts w:hint="cs"/>
          <w:rtl/>
        </w:rPr>
        <w:t xml:space="preserve"> דבעיסת אורז צ"ל איירי שיש כזית חיטים בכדי אכילת פרס, ולכן כל שיש בה טעם דגן יוצא בה יד"ח מצה וחייבת בחלה כדתנן בחלה </w:t>
      </w:r>
      <w:r>
        <w:rPr>
          <w:rStyle w:val="af6"/>
          <w:rFonts w:eastAsia="Guttman Hodes" w:hint="cs"/>
          <w:rtl/>
        </w:rPr>
        <w:t>(פ"ג מ"ז)</w:t>
      </w:r>
      <w:r>
        <w:rPr>
          <w:rFonts w:hint="cs"/>
          <w:rtl/>
        </w:rPr>
        <w:t xml:space="preserve">, והקשה </w:t>
      </w:r>
      <w:r>
        <w:rPr>
          <w:rStyle w:val="af8"/>
          <w:rtl/>
        </w:rPr>
        <w:t>המנחת כהן</w:t>
      </w:r>
      <w:r>
        <w:rPr>
          <w:rFonts w:hint="cs"/>
          <w:rtl/>
        </w:rPr>
        <w:t xml:space="preserve"> </w:t>
      </w:r>
      <w:r>
        <w:rPr>
          <w:rStyle w:val="af6"/>
          <w:rFonts w:eastAsia="Guttman Hodes" w:hint="cs"/>
          <w:rtl/>
        </w:rPr>
        <w:t>(ס' התערובות ח"א פ"ד ד"ה אלא שקשה)</w:t>
      </w:r>
      <w:r>
        <w:rPr>
          <w:rFonts w:hint="cs"/>
          <w:rtl/>
        </w:rPr>
        <w:t xml:space="preserve"> דא"כ היאך פסק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Ref15210285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יב</w:t>
      </w:r>
      <w:r w:rsidR="004D1C5B">
        <w:rPr>
          <w:rStyle w:val="af6"/>
          <w:rFonts w:eastAsia="Guttman Hodes"/>
          <w:rtl/>
        </w:rPr>
        <w:t>)</w:t>
      </w:r>
      <w:r>
        <w:rPr>
          <w:rFonts w:hint="cs"/>
          <w:rtl/>
        </w:rPr>
        <w:fldChar w:fldCharType="end"/>
      </w:r>
      <w:r>
        <w:rPr>
          <w:rFonts w:hint="cs"/>
          <w:rtl/>
        </w:rPr>
        <w:t xml:space="preserve"> דהעיסה חייבת בחלה חלה ופסק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Ref15034049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Pr>
          <w:rFonts w:hint="cs"/>
          <w:rtl/>
        </w:rPr>
        <w:t xml:space="preserve"> דיוצא בה יד"ח מצה, ולא כתב דהוא דוקא במקום שיש כזית דגן בכדי אכילת פרס, ואילו </w:t>
      </w:r>
      <w:r>
        <w:rPr>
          <w:rStyle w:val="af8"/>
          <w:rtl/>
        </w:rPr>
        <w:t>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Ref15210302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w:t>
      </w:r>
      <w:r w:rsidR="004D1C5B">
        <w:rPr>
          <w:rStyle w:val="af6"/>
          <w:rFonts w:eastAsia="Guttman Hodes"/>
          <w:rtl/>
        </w:rPr>
        <w:t>)</w:t>
      </w:r>
      <w:r>
        <w:rPr>
          <w:rFonts w:hint="cs"/>
          <w:rtl/>
        </w:rPr>
        <w:fldChar w:fldCharType="end"/>
      </w:r>
      <w:r>
        <w:rPr>
          <w:rFonts w:hint="cs"/>
          <w:rtl/>
        </w:rPr>
        <w:t xml:space="preserve"> השיג כן על </w:t>
      </w:r>
      <w:r>
        <w:rPr>
          <w:rStyle w:val="af8"/>
          <w:rtl/>
        </w:rPr>
        <w:t>הרמב"ם</w:t>
      </w:r>
      <w:r>
        <w:rPr>
          <w:rFonts w:hint="cs"/>
          <w:rtl/>
        </w:rPr>
        <w:t xml:space="preserve">, ומשמע דלדעת </w:t>
      </w:r>
      <w:r>
        <w:rPr>
          <w:rStyle w:val="af8"/>
          <w:rtl/>
        </w:rPr>
        <w:t>הרמב"ם</w:t>
      </w:r>
      <w:r>
        <w:rPr>
          <w:rFonts w:hint="cs"/>
          <w:rtl/>
        </w:rPr>
        <w:t xml:space="preserve"> בעיסת אורז יוצא יד"ח מצה אף כשיש דגן פחות מכזית בכדי אכילת פרס, ומ"ש מכל טעם כעיקר דלדעת הרמב"ם אינו דאו'.</w:t>
      </w:r>
      <w:bookmarkEnd w:id="7735"/>
    </w:p>
    <w:p w:rsidR="00FF684E" w:rsidRDefault="00FF684E" w:rsidP="00FF684E">
      <w:pPr>
        <w:pStyle w:val="a2"/>
        <w:rPr>
          <w:rtl/>
        </w:rPr>
      </w:pPr>
      <w:bookmarkStart w:id="7736" w:name="_Toc15227825"/>
      <w:bookmarkStart w:id="7737" w:name="_Toc15227658"/>
      <w:r>
        <w:rPr>
          <w:rFonts w:hint="cs"/>
          <w:rtl/>
        </w:rPr>
        <w:t>דבי המנחת כהן דצ"ל דס"ל להרמב"ם כביאור המ"מ דעיסת אורז היא מדין גרירה</w:t>
      </w:r>
      <w:bookmarkEnd w:id="7736"/>
      <w:bookmarkEnd w:id="7737"/>
    </w:p>
    <w:p w:rsidR="00FF684E" w:rsidRDefault="00FF684E" w:rsidP="009F44AF">
      <w:pPr>
        <w:pStyle w:val="a"/>
        <w:rPr>
          <w:rtl/>
        </w:rPr>
      </w:pPr>
      <w:r>
        <w:rPr>
          <w:rFonts w:hint="cs"/>
          <w:rtl/>
        </w:rPr>
        <w:lastRenderedPageBreak/>
        <w:t xml:space="preserve">וכתב </w:t>
      </w:r>
      <w:r>
        <w:rPr>
          <w:rStyle w:val="af8"/>
          <w:rtl/>
        </w:rPr>
        <w:t>המנחת כהן</w:t>
      </w:r>
      <w:r>
        <w:rPr>
          <w:rFonts w:hint="cs"/>
          <w:rtl/>
        </w:rPr>
        <w:t xml:space="preserve"> </w:t>
      </w:r>
      <w:r>
        <w:rPr>
          <w:rStyle w:val="af6"/>
          <w:rFonts w:eastAsia="Guttman Hodes" w:hint="cs"/>
          <w:rtl/>
        </w:rPr>
        <w:t>(ס' התערובות ח"א פ"ד ד"ה אלא שקשה)</w:t>
      </w:r>
      <w:r>
        <w:rPr>
          <w:rFonts w:hint="cs"/>
          <w:rtl/>
        </w:rPr>
        <w:t xml:space="preserve"> דאפש"ל כדברי </w:t>
      </w:r>
      <w:r>
        <w:rPr>
          <w:rStyle w:val="af8"/>
          <w:rtl/>
        </w:rPr>
        <w:t>המ"מ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Ref15210431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יא</w:t>
      </w:r>
      <w:r w:rsidR="004D1C5B">
        <w:rPr>
          <w:rStyle w:val="af6"/>
          <w:rFonts w:eastAsia="Guttman Hodes"/>
          <w:rtl/>
        </w:rPr>
        <w:t>)</w:t>
      </w:r>
      <w:r>
        <w:rPr>
          <w:rStyle w:val="af6"/>
          <w:rFonts w:eastAsia="Guttman Hodes" w:hint="cs"/>
          <w:rtl/>
        </w:rPr>
        <w:fldChar w:fldCharType="end"/>
      </w:r>
      <w:r>
        <w:rPr>
          <w:rFonts w:hint="cs"/>
          <w:rtl/>
        </w:rPr>
        <w:t xml:space="preserve"> דס"ל </w:t>
      </w:r>
      <w:r>
        <w:rPr>
          <w:rStyle w:val="af8"/>
          <w:rtl/>
        </w:rPr>
        <w:t xml:space="preserve">להרמב"ם כרמב"ן </w:t>
      </w:r>
      <w:r>
        <w:rPr>
          <w:rFonts w:hint="cs"/>
          <w:rtl/>
        </w:rPr>
        <w:t xml:space="preserve">דין עיסת אורז הוא מדין גרירה, וכתב </w:t>
      </w:r>
      <w:r>
        <w:rPr>
          <w:rStyle w:val="af8"/>
          <w:rtl/>
        </w:rPr>
        <w:t>המנחת כהן</w:t>
      </w:r>
      <w:r>
        <w:rPr>
          <w:rFonts w:hint="cs"/>
          <w:rtl/>
        </w:rPr>
        <w:t xml:space="preserve"> דלפי"ז אם עשה עיסה מחיטים ומדוחן, אף שיש בה טעם דגן, אינו  יוצא יד"ח מצה בפחות מכזית בכדי אכילת פרס.</w:t>
      </w:r>
    </w:p>
    <w:p w:rsidR="00FF684E" w:rsidRDefault="00FF684E" w:rsidP="00FF684E">
      <w:pPr>
        <w:pStyle w:val="a2"/>
        <w:rPr>
          <w:rtl/>
        </w:rPr>
      </w:pPr>
      <w:bookmarkStart w:id="7738" w:name="_Toc15227826"/>
      <w:bookmarkStart w:id="7739" w:name="_Toc15227659"/>
      <w:r>
        <w:rPr>
          <w:rFonts w:hint="cs"/>
          <w:rtl/>
        </w:rPr>
        <w:t>דברי המנחת כהן דכשיש כזית בכא"פ ואכל פחות הוא דרבנן דבתערובת אין דין חצי שיעור דאו'</w:t>
      </w:r>
      <w:bookmarkEnd w:id="7738"/>
      <w:bookmarkEnd w:id="7739"/>
      <w:r>
        <w:rPr>
          <w:rFonts w:hint="cs"/>
          <w:rtl/>
        </w:rPr>
        <w:t xml:space="preserve"> </w:t>
      </w:r>
    </w:p>
    <w:p w:rsidR="00FF684E" w:rsidRDefault="00FF684E" w:rsidP="009F44AF">
      <w:pPr>
        <w:pStyle w:val="a"/>
        <w:rPr>
          <w:rtl/>
        </w:rPr>
      </w:pPr>
      <w:bookmarkStart w:id="7740" w:name="_Ref15218317"/>
      <w:r>
        <w:rPr>
          <w:rFonts w:hint="cs"/>
          <w:rtl/>
        </w:rPr>
        <w:t xml:space="preserve">והוסיף </w:t>
      </w:r>
      <w:r>
        <w:rPr>
          <w:rStyle w:val="af8"/>
          <w:rtl/>
        </w:rPr>
        <w:t>המנחת כהן</w:t>
      </w:r>
      <w:r>
        <w:rPr>
          <w:rFonts w:hint="cs"/>
          <w:rtl/>
        </w:rPr>
        <w:t xml:space="preserve"> </w:t>
      </w:r>
      <w:r>
        <w:rPr>
          <w:rStyle w:val="af6"/>
          <w:rFonts w:eastAsia="Guttman Hodes" w:hint="cs"/>
          <w:rtl/>
        </w:rPr>
        <w:t>(ס' התערובות ח"א פ"ד ד"ה והנה מדברי הרמב"ם, ד"ה הסברא השלישית)</w:t>
      </w:r>
      <w:r>
        <w:rPr>
          <w:rFonts w:hint="cs"/>
          <w:rtl/>
        </w:rPr>
        <w:t xml:space="preserve"> דמשמע </w:t>
      </w:r>
      <w:r>
        <w:rPr>
          <w:rStyle w:val="af8"/>
          <w:rtl/>
        </w:rPr>
        <w:t>ברמב"ם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דאף כשיש בתערובת כזית בכדי אכילת פרס, אך אכל פחות מפרס, דאסור רק מדרבנן, וכן מבואר 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Fonts w:hint="cs"/>
          <w:rtl/>
        </w:rPr>
        <w:fldChar w:fldCharType="end"/>
      </w:r>
      <w:r>
        <w:rPr>
          <w:rFonts w:hint="cs"/>
          <w:rtl/>
        </w:rPr>
        <w:t xml:space="preserve"> בדין כותח, וכן מבואר 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Fonts w:hint="cs"/>
          <w:rtl/>
        </w:rPr>
        <w:t xml:space="preserve"> בדין נזיר, וביאר </w:t>
      </w:r>
      <w:r>
        <w:rPr>
          <w:rStyle w:val="af8"/>
          <w:rtl/>
        </w:rPr>
        <w:t>המנחת כהן</w:t>
      </w:r>
      <w:r>
        <w:rPr>
          <w:rFonts w:hint="cs"/>
          <w:rtl/>
        </w:rPr>
        <w:t xml:space="preserve"> דאפש"ל דאינו אסור מדין חצי שיעור, דס"ל </w:t>
      </w:r>
      <w:r>
        <w:rPr>
          <w:rStyle w:val="af8"/>
          <w:rtl/>
        </w:rPr>
        <w:t>להרמב"ם</w:t>
      </w:r>
      <w:r>
        <w:rPr>
          <w:rFonts w:hint="cs"/>
          <w:rtl/>
        </w:rPr>
        <w:t xml:space="preserve"> דדין חצי שיעור לא נאמר בתערובת, וכמו שמצינו בדברי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Fonts w:hint="cs"/>
          <w:rtl/>
        </w:rPr>
        <w:fldChar w:fldCharType="end"/>
      </w:r>
      <w:r>
        <w:rPr>
          <w:rFonts w:hint="cs"/>
          <w:rtl/>
        </w:rPr>
        <w:t xml:space="preserve"> בדין כותח, דאיסור בעין חמור מאיסור בתערובת, דכתב דבחמץ בעין יש כרת, ובתערובת אין כרת, א"כ אפש"ל דאף חצי שיעור הוא רק באיסור בעין, אבל בתערובת אין דין חצי שיעור, ודלא </w:t>
      </w:r>
      <w:r>
        <w:rPr>
          <w:rStyle w:val="af8"/>
          <w:rtl/>
        </w:rPr>
        <w:t>כהרלב"ח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Ref15202000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Fonts w:hint="cs"/>
          <w:rtl/>
        </w:rPr>
        <w:fldChar w:fldCharType="end"/>
      </w:r>
      <w:r>
        <w:rPr>
          <w:rFonts w:hint="cs"/>
          <w:rtl/>
        </w:rPr>
        <w:t>.</w:t>
      </w:r>
      <w:bookmarkEnd w:id="7740"/>
    </w:p>
    <w:p w:rsidR="00FF684E" w:rsidRDefault="00FF684E" w:rsidP="00FF684E">
      <w:pPr>
        <w:pStyle w:val="a2"/>
        <w:rPr>
          <w:rtl/>
        </w:rPr>
      </w:pPr>
      <w:bookmarkStart w:id="7741" w:name="_Toc15227827"/>
      <w:bookmarkStart w:id="7742" w:name="_Toc15227660"/>
      <w:r>
        <w:rPr>
          <w:rFonts w:hint="cs"/>
          <w:rtl/>
        </w:rPr>
        <w:t>דברי המנחת כהן דכשיש בתערובת כזית בכא"פ ולא אכל שיעור לא נעקר ממנה שם איסור</w:t>
      </w:r>
      <w:bookmarkEnd w:id="7741"/>
      <w:bookmarkEnd w:id="7742"/>
    </w:p>
    <w:p w:rsidR="00FF684E" w:rsidRDefault="00FF684E" w:rsidP="009F44AF">
      <w:pPr>
        <w:pStyle w:val="a"/>
        <w:rPr>
          <w:rStyle w:val="afa"/>
        </w:rPr>
      </w:pPr>
      <w:r>
        <w:rPr>
          <w:rFonts w:hint="cs"/>
          <w:rtl/>
        </w:rPr>
        <w:t xml:space="preserve">אך כתב </w:t>
      </w:r>
      <w:r>
        <w:rPr>
          <w:rStyle w:val="af8"/>
          <w:rtl/>
        </w:rPr>
        <w:t>המנחת כהן</w:t>
      </w:r>
      <w:r>
        <w:rPr>
          <w:rFonts w:hint="cs"/>
          <w:rtl/>
        </w:rPr>
        <w:t xml:space="preserve"> דכל שמעורב בתערובת כזית בכדי אכילת פרס, לא נעקר ממנו שם איסור, ולכן אם אכל שיעור כזית בכדי אכילת פרס לוקה עליו, אבל אם אין בתערובת כזית בכדי אכילת פרס, נעקר ממנו שם איסור לגמרי. </w:t>
      </w:r>
      <w:r>
        <w:rPr>
          <w:rStyle w:val="afa"/>
          <w:rtl/>
        </w:rPr>
        <w:t xml:space="preserve">[וכתב </w:t>
      </w:r>
      <w:r>
        <w:rPr>
          <w:rStyle w:val="affa"/>
          <w:rtl/>
        </w:rPr>
        <w:t>המנחת כהן</w:t>
      </w:r>
      <w:r>
        <w:rPr>
          <w:rStyle w:val="afa"/>
          <w:rtl/>
        </w:rPr>
        <w:t xml:space="preserve"> דנ"מ לביעור חמץ בפסח, עיי"ש בדבריו].</w:t>
      </w:r>
    </w:p>
    <w:p w:rsidR="00FF684E" w:rsidRDefault="00FF684E" w:rsidP="00FF684E">
      <w:pPr>
        <w:pStyle w:val="a2"/>
        <w:rPr>
          <w:rtl/>
        </w:rPr>
      </w:pPr>
      <w:bookmarkStart w:id="7743" w:name="_Toc15227828"/>
      <w:bookmarkStart w:id="7744" w:name="_Toc15227661"/>
      <w:r>
        <w:rPr>
          <w:rFonts w:hint="cs"/>
          <w:rtl/>
        </w:rPr>
        <w:t>דברי הפרמ"ג דמדהשוה הרמב"ם את דין כא"פ ואכל פחות לדין פחות מכא"פ מוכח דשניהם דרבנן</w:t>
      </w:r>
      <w:bookmarkEnd w:id="7743"/>
      <w:bookmarkEnd w:id="7744"/>
    </w:p>
    <w:p w:rsidR="00FF684E" w:rsidRDefault="00FF684E" w:rsidP="009F44AF">
      <w:pPr>
        <w:pStyle w:val="a"/>
        <w:rPr>
          <w:sz w:val="10"/>
          <w:szCs w:val="14"/>
          <w:rtl/>
        </w:rPr>
      </w:pPr>
      <w:r>
        <w:rPr>
          <w:rFonts w:hint="cs"/>
          <w:rtl/>
        </w:rPr>
        <w:t xml:space="preserve">וביאר </w:t>
      </w:r>
      <w:r>
        <w:rPr>
          <w:rStyle w:val="af8"/>
          <w:rtl/>
        </w:rPr>
        <w:t>הפרמ"ג</w:t>
      </w:r>
      <w:r>
        <w:rPr>
          <w:rFonts w:hint="cs"/>
          <w:rtl/>
        </w:rPr>
        <w:t xml:space="preserve"> </w:t>
      </w:r>
      <w:r>
        <w:rPr>
          <w:rStyle w:val="af6"/>
          <w:rFonts w:eastAsia="Guttman Hodes" w:hint="cs"/>
          <w:rtl/>
        </w:rPr>
        <w:t>(פתיחה שער התערובות ח"ב פ"ב)</w:t>
      </w:r>
      <w:r>
        <w:rPr>
          <w:rFonts w:hint="cs"/>
          <w:rtl/>
        </w:rPr>
        <w:t xml:space="preserve"> את דברי </w:t>
      </w:r>
      <w:r>
        <w:rPr>
          <w:rStyle w:val="af8"/>
          <w:rtl/>
        </w:rPr>
        <w:t>המנחת כהן</w:t>
      </w:r>
      <w:r>
        <w:rPr>
          <w:rFonts w:hint="cs"/>
          <w:rtl/>
        </w:rPr>
        <w:t xml:space="preserve"> דבמקום שיש בתערובת כזית בכדי אכילת פרס, ואכל פחות מפרס, אין בו איסור דאו' מדין חצי שיעור, דממ"ש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Style w:val="af6"/>
          <w:rFonts w:eastAsia="Guttman Hodes" w:hint="cs"/>
          <w:rtl/>
        </w:rPr>
        <w:fldChar w:fldCharType="end"/>
      </w:r>
      <w:r>
        <w:rPr>
          <w:rFonts w:hint="cs"/>
          <w:rtl/>
        </w:rPr>
        <w:t xml:space="preserve"> דלוקין מכת מרדות, אין ראיה שאין איסור דאו', אלא דמשמע כן מדכתב </w:t>
      </w:r>
      <w:r>
        <w:rPr>
          <w:rStyle w:val="af8"/>
          <w:rtl/>
        </w:rPr>
        <w:t>הרמב"ם</w:t>
      </w:r>
      <w:r>
        <w:rPr>
          <w:rFonts w:hint="cs"/>
          <w:rtl/>
        </w:rPr>
        <w:t xml:space="preserve"> דאם אין בתערובת כזית בכדי אכילת פרס, אין בו מלקות דהוא פשיטא, דהרי כיון דכתב </w:t>
      </w:r>
      <w:r>
        <w:rPr>
          <w:rStyle w:val="af8"/>
          <w:rtl/>
        </w:rPr>
        <w:t>הרמב"ם</w:t>
      </w:r>
      <w:r>
        <w:rPr>
          <w:rFonts w:hint="cs"/>
          <w:rtl/>
        </w:rPr>
        <w:t xml:space="preserve"> דאם יש בתערובת כזית בכדי אכילת פרס, ולא אכל את כל הפרס, אינו לוקה, א"כ כ"ש במקום שאין בתערובת כזית בכדי אכילת פרס, דאינו לוקה, אלא כתב </w:t>
      </w:r>
      <w:r>
        <w:rPr>
          <w:rStyle w:val="af8"/>
          <w:rtl/>
        </w:rPr>
        <w:t>הפרמ"ג</w:t>
      </w:r>
      <w:r>
        <w:rPr>
          <w:rFonts w:hint="cs"/>
          <w:rtl/>
        </w:rPr>
        <w:t xml:space="preserve"> דכוונת </w:t>
      </w:r>
      <w:r>
        <w:rPr>
          <w:rStyle w:val="af8"/>
          <w:rtl/>
        </w:rPr>
        <w:t>הרמב"ם</w:t>
      </w:r>
      <w:r>
        <w:rPr>
          <w:rFonts w:hint="cs"/>
          <w:rtl/>
        </w:rPr>
        <w:t xml:space="preserve"> להשוות את התערובת שיש בה כזית בכדי אכילת פרס, ואכל פחות מפרס, לתערובת שאין בה כזית בכדי אכילת פרס, דבשניהם האיסור הוא רק מדרבנן, אבל מדאו' אין בהם כל איסור, אף מדין חצי שיעור. </w:t>
      </w:r>
      <w:r>
        <w:rPr>
          <w:rStyle w:val="afa"/>
          <w:rtl/>
        </w:rPr>
        <w:t xml:space="preserve">[וכתב </w:t>
      </w:r>
      <w:r>
        <w:rPr>
          <w:rStyle w:val="affa"/>
          <w:rtl/>
        </w:rPr>
        <w:t>הפרמ"ג</w:t>
      </w:r>
      <w:r>
        <w:rPr>
          <w:rStyle w:val="afa"/>
          <w:rtl/>
        </w:rPr>
        <w:t xml:space="preserve"> דא"א לומר </w:t>
      </w:r>
      <w:r>
        <w:rPr>
          <w:rStyle w:val="affa"/>
          <w:rtl/>
        </w:rPr>
        <w:t>דהרמב"ם</w:t>
      </w:r>
      <w:r>
        <w:rPr>
          <w:rStyle w:val="afa"/>
          <w:rtl/>
        </w:rPr>
        <w:t xml:space="preserve"> ביאר דאף באופן שאכל את כל התערובת, אינו לוקה, וכוונת </w:t>
      </w:r>
      <w:r>
        <w:rPr>
          <w:rStyle w:val="affa"/>
          <w:rtl/>
        </w:rPr>
        <w:t>הרמב"ם</w:t>
      </w:r>
      <w:r>
        <w:rPr>
          <w:rStyle w:val="afa"/>
          <w:rtl/>
        </w:rPr>
        <w:t xml:space="preserve"> לומר דאין דין נהפך בטעם כעיקר, דהא כיון דכתב </w:t>
      </w:r>
      <w:r>
        <w:rPr>
          <w:rStyle w:val="affa"/>
          <w:rtl/>
        </w:rPr>
        <w:t>הרמב"ם</w:t>
      </w:r>
      <w:r>
        <w:rPr>
          <w:rStyle w:val="afa"/>
          <w:rtl/>
        </w:rPr>
        <w:t xml:space="preserve"> דכשיש בתערובת כזית בכדי אכילת פרס, אינו לוקה אא"כ אכל את כל הפרס שכלול בו כזית מהאיסור, א"כ כבר מבואר מדברי </w:t>
      </w:r>
      <w:r>
        <w:rPr>
          <w:rStyle w:val="affa"/>
          <w:rtl/>
        </w:rPr>
        <w:t>הרמב"ם</w:t>
      </w:r>
      <w:r>
        <w:rPr>
          <w:rStyle w:val="afa"/>
          <w:rtl/>
        </w:rPr>
        <w:t xml:space="preserve"> דלא אמרינן נהפך].</w:t>
      </w:r>
    </w:p>
    <w:p w:rsidR="00FF684E" w:rsidRDefault="00FF684E" w:rsidP="007E08E0">
      <w:pPr>
        <w:pStyle w:val="1"/>
        <w:rPr>
          <w:rtl/>
        </w:rPr>
      </w:pPr>
      <w:bookmarkStart w:id="7745" w:name="_Toc15163219"/>
      <w:bookmarkStart w:id="7746" w:name="_Toc15057768"/>
      <w:bookmarkStart w:id="7747" w:name="_Toc15035025"/>
      <w:bookmarkStart w:id="7748" w:name="_Toc14993505"/>
      <w:bookmarkStart w:id="7749" w:name="_Toc14973653"/>
      <w:bookmarkStart w:id="7750" w:name="_Toc15227829"/>
      <w:bookmarkStart w:id="7751" w:name="_Toc15227662"/>
      <w:r>
        <w:rPr>
          <w:rFonts w:hint="cs"/>
          <w:rtl/>
        </w:rPr>
        <w:t xml:space="preserve">דברי הרלב"ח </w:t>
      </w:r>
      <w:bookmarkEnd w:id="7745"/>
      <w:bookmarkEnd w:id="7746"/>
      <w:bookmarkEnd w:id="7747"/>
      <w:bookmarkEnd w:id="7748"/>
      <w:bookmarkEnd w:id="7749"/>
      <w:r>
        <w:rPr>
          <w:rFonts w:hint="cs"/>
          <w:rtl/>
        </w:rPr>
        <w:t>והגרעק"א דכשיש כא"פ ואכל פחות אסור מדאו'</w:t>
      </w:r>
      <w:bookmarkEnd w:id="7750"/>
      <w:bookmarkEnd w:id="7751"/>
    </w:p>
    <w:p w:rsidR="00FF684E" w:rsidRDefault="00FF684E" w:rsidP="00FF684E">
      <w:pPr>
        <w:pStyle w:val="a2"/>
        <w:rPr>
          <w:rtl/>
        </w:rPr>
      </w:pPr>
      <w:bookmarkStart w:id="7752" w:name="_Toc15227830"/>
      <w:bookmarkStart w:id="7753" w:name="_Toc15227663"/>
      <w:r>
        <w:rPr>
          <w:rFonts w:hint="cs"/>
          <w:rtl/>
        </w:rPr>
        <w:t>דברי הרלב"ח דבאיסור בעין נאמר חצי שיעור אבל בטעם לבדו הוא דרבנן ולא דאו'</w:t>
      </w:r>
      <w:bookmarkEnd w:id="7752"/>
      <w:bookmarkEnd w:id="7753"/>
    </w:p>
    <w:p w:rsidR="00FF684E" w:rsidRDefault="00FF684E" w:rsidP="009F44AF">
      <w:pPr>
        <w:pStyle w:val="a"/>
        <w:rPr>
          <w:rtl/>
        </w:rPr>
      </w:pPr>
      <w:bookmarkStart w:id="7754" w:name="_Ref15202000"/>
      <w:r>
        <w:rPr>
          <w:rFonts w:hint="cs"/>
          <w:rtl/>
        </w:rPr>
        <w:t xml:space="preserve">כתב </w:t>
      </w:r>
      <w:r>
        <w:rPr>
          <w:rStyle w:val="af8"/>
          <w:rtl/>
        </w:rPr>
        <w:t>בשו"ת הרלב"ח</w:t>
      </w:r>
      <w:r>
        <w:rPr>
          <w:rFonts w:hint="cs"/>
          <w:rtl/>
        </w:rPr>
        <w:t xml:space="preserve"> </w:t>
      </w:r>
      <w:r>
        <w:rPr>
          <w:rStyle w:val="af6"/>
          <w:rFonts w:eastAsia="Guttman Hodes" w:hint="cs"/>
          <w:rtl/>
        </w:rPr>
        <w:t xml:space="preserve">(סי' פ"ח ד"ה שני, נד' בסוף הרמב"ם מהדו' פרנקל בספר הליקוטים מאכ"א פט"ו ה"א) </w:t>
      </w:r>
      <w:r>
        <w:rPr>
          <w:rFonts w:hint="cs"/>
          <w:rtl/>
        </w:rPr>
        <w:t xml:space="preserve">דס"ל </w:t>
      </w:r>
      <w:r>
        <w:rPr>
          <w:rStyle w:val="af8"/>
          <w:rtl/>
        </w:rPr>
        <w:t>להרמב"ם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דכשיש בתערובת טעמו ולא ממשו, אסור מדרבנן ולא מדאו', ואעפ"י דחצי שיעור אסור מדאו', זהו דוקא במקום שהאיסור בעין, או כשהוא בתערובת שיש בה כזית בכדי אכילת פרס, אבל כשאין בתערובת כזית איסור בכדי אכילת פרס אין בו דין חצי שיעור, ואסור רק מדרבנן.</w:t>
      </w:r>
      <w:bookmarkEnd w:id="7754"/>
    </w:p>
    <w:p w:rsidR="00FF684E" w:rsidRDefault="00FF684E" w:rsidP="00FF684E">
      <w:pPr>
        <w:pStyle w:val="a2"/>
        <w:rPr>
          <w:rtl/>
        </w:rPr>
      </w:pPr>
      <w:bookmarkStart w:id="7755" w:name="_Toc15227831"/>
      <w:bookmarkStart w:id="7756" w:name="_Toc15227664"/>
      <w:r>
        <w:rPr>
          <w:rFonts w:hint="cs"/>
          <w:rtl/>
        </w:rPr>
        <w:t>דברי הגרעק"א דטעמו וממשו בכא"פ דאין האיסור מתבטל ובאכל פחות אסור מדין חצי שיעור</w:t>
      </w:r>
      <w:bookmarkEnd w:id="7755"/>
      <w:bookmarkEnd w:id="7756"/>
    </w:p>
    <w:p w:rsidR="00FF684E" w:rsidRDefault="00FF684E" w:rsidP="009F44AF">
      <w:pPr>
        <w:pStyle w:val="a"/>
        <w:rPr>
          <w:rStyle w:val="afa"/>
          <w:rtl/>
        </w:rPr>
      </w:pPr>
      <w:r>
        <w:rPr>
          <w:rFonts w:hint="cs"/>
          <w:rtl/>
        </w:rPr>
        <w:t xml:space="preserve">וכ"כ </w:t>
      </w:r>
      <w:r>
        <w:rPr>
          <w:rStyle w:val="af8"/>
          <w:rtl/>
        </w:rPr>
        <w:t>הגרעק"א</w:t>
      </w:r>
      <w:r>
        <w:rPr>
          <w:rFonts w:hint="cs"/>
          <w:rtl/>
        </w:rPr>
        <w:t xml:space="preserve"> </w:t>
      </w:r>
      <w:r>
        <w:rPr>
          <w:rStyle w:val="af6"/>
          <w:rFonts w:eastAsia="Guttman Hodes" w:hint="cs"/>
          <w:rtl/>
        </w:rPr>
        <w:t>(פסחים מד: ד"ה הרמב"ם, נד' במהדו' פרנקל בסוף רמב"ם קדושה עמ' שצ"ז)</w:t>
      </w:r>
      <w:r>
        <w:rPr>
          <w:rFonts w:hint="cs"/>
          <w:rtl/>
        </w:rPr>
        <w:t xml:space="preserve"> דס"ל </w:t>
      </w:r>
      <w:r>
        <w:rPr>
          <w:rStyle w:val="af8"/>
          <w:rtl/>
        </w:rPr>
        <w:t>להרמב"ם</w:t>
      </w:r>
      <w:r>
        <w:rPr>
          <w:rFonts w:hint="cs"/>
          <w:rtl/>
        </w:rPr>
        <w:t xml:space="preserve"> דטעמו וממשו היינו כשיש כזית בכדי אכילת פרס, ובכה"ג החֵלֶב אינו מתבטל בגריסין, ולכן אם אכל פרס מהתערובת ממילא אכל מהאיסור כזית בכדי אכילת פרס ולוקה עליו, אבל אם אכל פחות מפרס מהתערובת, חשיב כאוכל חצי שיעור של האיסור, ואסור מדאו' אך אין לוקין עליו אלא מכת מרדות. </w:t>
      </w:r>
      <w:r>
        <w:rPr>
          <w:rStyle w:val="afa"/>
          <w:rtl/>
        </w:rPr>
        <w:t>[דכיון שיש בתערובת כזית בכדי אכילת פרס, והאיסור לא התבטל, אסור מדאו', ואין לוקין דלא אכל שיעור].</w:t>
      </w:r>
    </w:p>
    <w:p w:rsidR="00FF684E" w:rsidRDefault="00FF684E" w:rsidP="00FF684E">
      <w:pPr>
        <w:pStyle w:val="a2"/>
        <w:rPr>
          <w:rtl/>
        </w:rPr>
      </w:pPr>
      <w:bookmarkStart w:id="7757" w:name="_Toc15227832"/>
      <w:bookmarkStart w:id="7758" w:name="_Toc15227665"/>
      <w:r>
        <w:rPr>
          <w:rFonts w:hint="cs"/>
          <w:rtl/>
        </w:rPr>
        <w:t>דברי הגרעק"א דבפחות מכא"פ בתערובת הוא טעמו ולא ממשו דאסור מדרבנן</w:t>
      </w:r>
      <w:bookmarkEnd w:id="7757"/>
      <w:bookmarkEnd w:id="7758"/>
    </w:p>
    <w:p w:rsidR="00FF684E" w:rsidRDefault="00FF684E" w:rsidP="009F44AF">
      <w:pPr>
        <w:pStyle w:val="a"/>
        <w:rPr>
          <w:rtl/>
        </w:rPr>
      </w:pPr>
      <w:r>
        <w:rPr>
          <w:rFonts w:hint="cs"/>
          <w:rtl/>
        </w:rPr>
        <w:t xml:space="preserve">אבל במקום שלא מעורב בתערובת איסור בכזית בכדי אכילת פרס, כתב </w:t>
      </w:r>
      <w:r>
        <w:rPr>
          <w:rStyle w:val="af8"/>
          <w:rtl/>
        </w:rPr>
        <w:t>הגרעק"א</w:t>
      </w:r>
      <w:r>
        <w:rPr>
          <w:rFonts w:hint="cs"/>
          <w:rtl/>
        </w:rPr>
        <w:t xml:space="preserve"> דס"ל </w:t>
      </w:r>
      <w:r>
        <w:rPr>
          <w:rStyle w:val="af8"/>
          <w:rtl/>
        </w:rPr>
        <w:t>להרמב"ם</w:t>
      </w:r>
      <w:r>
        <w:rPr>
          <w:rFonts w:hint="cs"/>
          <w:rtl/>
        </w:rPr>
        <w:t xml:space="preserve"> דנקרא טעמו ולא ממשו, ואין בו איסור דאו', ואסור מדרבנן, וכדכתב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Ref15030462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דבטעמו ולא ממשו אסור מדרבנן.</w:t>
      </w:r>
    </w:p>
    <w:p w:rsidR="00FF684E" w:rsidRDefault="00FF684E" w:rsidP="00FF684E">
      <w:pPr>
        <w:pStyle w:val="a2"/>
        <w:rPr>
          <w:rtl/>
        </w:rPr>
      </w:pPr>
      <w:bookmarkStart w:id="7759" w:name="_Toc15227833"/>
      <w:bookmarkStart w:id="7760" w:name="_Toc15227666"/>
      <w:r>
        <w:rPr>
          <w:rFonts w:hint="cs"/>
          <w:rtl/>
        </w:rPr>
        <w:t>דברי הרלב"ח והגרעק"א דביש כזית בכא"פ ואכל פחות אסור מדאו' ובאין כא"פ אסור מדרבנן</w:t>
      </w:r>
      <w:bookmarkEnd w:id="7759"/>
      <w:bookmarkEnd w:id="7760"/>
    </w:p>
    <w:p w:rsidR="00FF684E" w:rsidRDefault="00FF684E" w:rsidP="009F44AF">
      <w:pPr>
        <w:pStyle w:val="a"/>
        <w:rPr>
          <w:rtl/>
        </w:rPr>
      </w:pPr>
      <w:r>
        <w:rPr>
          <w:rFonts w:hint="cs"/>
          <w:rtl/>
        </w:rPr>
        <w:t xml:space="preserve">וכתבו </w:t>
      </w:r>
      <w:r>
        <w:rPr>
          <w:rStyle w:val="af8"/>
          <w:rtl/>
        </w:rPr>
        <w:t>הרלב"ח</w:t>
      </w:r>
      <w:r>
        <w:rPr>
          <w:rFonts w:hint="cs"/>
          <w:rtl/>
        </w:rPr>
        <w:t xml:space="preserve"> </w:t>
      </w:r>
      <w:r>
        <w:rPr>
          <w:rStyle w:val="af8"/>
          <w:rtl/>
        </w:rPr>
        <w:t>והגרעק"א</w:t>
      </w:r>
      <w:r>
        <w:rPr>
          <w:rFonts w:hint="cs"/>
          <w:rtl/>
        </w:rPr>
        <w:t xml:space="preserve"> דלפי"ז מ"ש </w:t>
      </w:r>
      <w:r>
        <w:rPr>
          <w:rStyle w:val="af8"/>
          <w:rtl/>
        </w:rPr>
        <w:t>הרמב"ם</w:t>
      </w:r>
      <w:r>
        <w:rPr>
          <w:rFonts w:hint="cs"/>
          <w:rtl/>
        </w:rPr>
        <w:t xml:space="preserve"> דבמקום שיש בתערובת כזית בכדי אכילת פרס, ואכל פחות מפרס, דמכין אותו מכת מרדות, לא דמי למקום שלא מעורב ממשו של האיסור בתערובת, דכתב </w:t>
      </w:r>
      <w:r>
        <w:rPr>
          <w:rStyle w:val="af8"/>
          <w:rtl/>
        </w:rPr>
        <w:t>הרמב"ם</w:t>
      </w:r>
      <w:r>
        <w:rPr>
          <w:rFonts w:hint="cs"/>
          <w:rtl/>
        </w:rPr>
        <w:t xml:space="preserve"> דמכין אותו מכת מרדות, דכל שמעורב כזית בכדי אכילת פרס, הוא אסור מדאו', וכשאכל פחות מפרס, אסור מדאו' מדין חצי שיעור,  ומדרבנן מכין אותו מכת מרדות, אבל במקום שלא מעורב בתערובת כזית בכדי אכילת פרס, אין בו איסור דאו' כלל, ובין האיסור ובין המלקות הם מדרבנן, וכתב </w:t>
      </w:r>
      <w:r>
        <w:rPr>
          <w:rStyle w:val="af8"/>
          <w:rtl/>
        </w:rPr>
        <w:t>הרלב"ח</w:t>
      </w:r>
      <w:r>
        <w:rPr>
          <w:rFonts w:hint="cs"/>
          <w:rtl/>
        </w:rPr>
        <w:t xml:space="preserve"> דכן מוכח בלשון </w:t>
      </w:r>
      <w:r>
        <w:rPr>
          <w:rStyle w:val="af8"/>
          <w:rtl/>
        </w:rPr>
        <w:t>הרמב"ם</w:t>
      </w:r>
      <w:r>
        <w:rPr>
          <w:rFonts w:hint="cs"/>
          <w:rtl/>
        </w:rPr>
        <w:t xml:space="preserve">. </w:t>
      </w:r>
    </w:p>
    <w:p w:rsidR="00FF684E" w:rsidRDefault="00FF684E" w:rsidP="00FF684E">
      <w:pPr>
        <w:pStyle w:val="a2"/>
      </w:pPr>
      <w:bookmarkStart w:id="7761" w:name="_Toc15227834"/>
      <w:bookmarkStart w:id="7762" w:name="_Toc15227667"/>
      <w:r>
        <w:rPr>
          <w:rFonts w:hint="cs"/>
          <w:rtl/>
        </w:rPr>
        <w:t>קושית הרלב"ח דבדין כותח משמע ברמב"ם דאף בפחות מכא"פ אסור מדאו'</w:t>
      </w:r>
      <w:bookmarkEnd w:id="7761"/>
      <w:bookmarkEnd w:id="7762"/>
    </w:p>
    <w:p w:rsidR="00FF684E" w:rsidRDefault="00FF684E" w:rsidP="009F44AF">
      <w:pPr>
        <w:pStyle w:val="a"/>
        <w:rPr>
          <w:rtl/>
        </w:rPr>
      </w:pPr>
      <w:r>
        <w:rPr>
          <w:rFonts w:hint="cs"/>
          <w:rtl/>
        </w:rPr>
        <w:t xml:space="preserve">אך הקשה </w:t>
      </w:r>
      <w:r>
        <w:rPr>
          <w:rStyle w:val="af8"/>
          <w:rtl/>
        </w:rPr>
        <w:t>הרלב"ח</w:t>
      </w:r>
      <w:r>
        <w:rPr>
          <w:rFonts w:hint="cs"/>
          <w:rtl/>
        </w:rPr>
        <w:t xml:space="preserve"> דבדברי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Style w:val="af6"/>
          <w:rFonts w:eastAsia="Guttman Hodes" w:hint="cs"/>
          <w:rtl/>
        </w:rPr>
        <w:fldChar w:fldCharType="end"/>
      </w:r>
      <w:r>
        <w:rPr>
          <w:rFonts w:hint="cs"/>
          <w:rtl/>
        </w:rPr>
        <w:t xml:space="preserve"> בדין כותח דכתב דכל שאין בתערובת חמץ בשיעור כזית בכדי אכילת פרס, אעפ"י דאסור לאכול אין לוקין עליו, אלא מכין אותו מכת מרדות, וכתב </w:t>
      </w:r>
      <w:r>
        <w:rPr>
          <w:rStyle w:val="af8"/>
          <w:rtl/>
        </w:rPr>
        <w:t>הרלב"ח</w:t>
      </w:r>
      <w:r>
        <w:rPr>
          <w:rFonts w:hint="cs"/>
          <w:rtl/>
        </w:rPr>
        <w:t xml:space="preserve"> דמבואר מדברי </w:t>
      </w:r>
      <w:r>
        <w:rPr>
          <w:rStyle w:val="af8"/>
          <w:rtl/>
        </w:rPr>
        <w:t>הרמב"ם</w:t>
      </w:r>
      <w:r>
        <w:rPr>
          <w:rFonts w:hint="cs"/>
          <w:rtl/>
        </w:rPr>
        <w:t xml:space="preserve"> דאף שאין בתערובת כזית בכדי אכילת פרס אסור, ומשמעות לשון </w:t>
      </w:r>
      <w:r>
        <w:rPr>
          <w:rStyle w:val="af8"/>
          <w:rtl/>
        </w:rPr>
        <w:t>הרמב"ם</w:t>
      </w:r>
      <w:r>
        <w:rPr>
          <w:rFonts w:hint="cs"/>
          <w:rtl/>
        </w:rPr>
        <w:t xml:space="preserve"> דהוא אסור מדאו'.</w:t>
      </w:r>
    </w:p>
    <w:p w:rsidR="00FF684E" w:rsidRDefault="00FF684E" w:rsidP="00FF684E">
      <w:pPr>
        <w:pStyle w:val="a2"/>
        <w:rPr>
          <w:rtl/>
        </w:rPr>
      </w:pPr>
      <w:bookmarkStart w:id="7763" w:name="_Toc15227835"/>
      <w:bookmarkStart w:id="7764" w:name="_Toc15227668"/>
      <w:r>
        <w:rPr>
          <w:rFonts w:hint="cs"/>
          <w:rtl/>
        </w:rPr>
        <w:t>ביאור הרלב"ח דבתערובת חמץ יש ריבוי דאסור מדאו' אף בפחות מכא"פ ולא בשאר איסורים</w:t>
      </w:r>
      <w:bookmarkEnd w:id="7763"/>
      <w:bookmarkEnd w:id="7764"/>
    </w:p>
    <w:p w:rsidR="00FF684E" w:rsidRDefault="00FF684E" w:rsidP="009F44AF">
      <w:pPr>
        <w:pStyle w:val="a"/>
        <w:rPr>
          <w:rtl/>
        </w:rPr>
      </w:pPr>
      <w:r>
        <w:rPr>
          <w:rFonts w:hint="cs"/>
          <w:rtl/>
        </w:rPr>
        <w:t xml:space="preserve">ותירץ </w:t>
      </w:r>
      <w:r>
        <w:rPr>
          <w:rStyle w:val="af8"/>
          <w:rtl/>
        </w:rPr>
        <w:t>הרלב"ח</w:t>
      </w:r>
      <w:r>
        <w:rPr>
          <w:rFonts w:hint="cs"/>
          <w:rtl/>
        </w:rPr>
        <w:t xml:space="preserve"> דדעת </w:t>
      </w:r>
      <w:r>
        <w:rPr>
          <w:rStyle w:val="af8"/>
          <w:rtl/>
        </w:rPr>
        <w:t>הרמב"ם</w:t>
      </w:r>
      <w:r>
        <w:rPr>
          <w:rFonts w:hint="cs"/>
          <w:rtl/>
        </w:rPr>
        <w:t xml:space="preserve"> דבתערובת חמץ יש איסור מדאו', אף בפחות מכזית בכדי אכילת פרס, כדילפינן מהריבוי "כל מחמצת לא תאכלו", ואפ"ה אין לוקין עליו, ואסור מדין חצי שיעור, אבל בשאר איסורין, כתב </w:t>
      </w:r>
      <w:r>
        <w:rPr>
          <w:rStyle w:val="af8"/>
          <w:rtl/>
        </w:rPr>
        <w:t>הרלב"ח</w:t>
      </w:r>
      <w:r>
        <w:rPr>
          <w:rFonts w:hint="cs"/>
          <w:rtl/>
        </w:rPr>
        <w:t xml:space="preserve"> דס"ל </w:t>
      </w:r>
      <w:r>
        <w:rPr>
          <w:rStyle w:val="af8"/>
          <w:rtl/>
        </w:rPr>
        <w:t>להרמב"ם</w:t>
      </w:r>
      <w:r>
        <w:rPr>
          <w:rFonts w:hint="cs"/>
          <w:rtl/>
        </w:rPr>
        <w:t xml:space="preserve"> דכיון שאין ריבוי לא אסרה תורה, תערובת איסור בפחות מכזית בכדי אכילת פרס כלל, אך הניח </w:t>
      </w:r>
      <w:r>
        <w:rPr>
          <w:rStyle w:val="af8"/>
          <w:rtl/>
        </w:rPr>
        <w:t>הרלב"ח</w:t>
      </w:r>
      <w:r>
        <w:rPr>
          <w:rFonts w:hint="cs"/>
          <w:rtl/>
        </w:rPr>
        <w:t xml:space="preserve"> בצ"ע.</w:t>
      </w:r>
    </w:p>
    <w:p w:rsidR="00FF684E" w:rsidRDefault="00FF684E" w:rsidP="007E08E0">
      <w:pPr>
        <w:pStyle w:val="1"/>
        <w:rPr>
          <w:rtl/>
        </w:rPr>
      </w:pPr>
      <w:bookmarkStart w:id="7765" w:name="_Toc15227836"/>
      <w:bookmarkStart w:id="7766" w:name="_Toc15227669"/>
      <w:r>
        <w:rPr>
          <w:rFonts w:hint="cs"/>
          <w:rtl/>
        </w:rPr>
        <w:t>ביאור הפרמ"ג ברמב"ם בדין פחות מכא"פ מדאו' ומדרבנן</w:t>
      </w:r>
      <w:bookmarkEnd w:id="7765"/>
      <w:bookmarkEnd w:id="7766"/>
    </w:p>
    <w:p w:rsidR="00FF684E" w:rsidRDefault="00FF684E" w:rsidP="00FF684E">
      <w:pPr>
        <w:pStyle w:val="a2"/>
        <w:rPr>
          <w:rtl/>
        </w:rPr>
      </w:pPr>
      <w:bookmarkStart w:id="7767" w:name="_Toc15227837"/>
      <w:bookmarkStart w:id="7768" w:name="_Toc15227670"/>
      <w:r>
        <w:rPr>
          <w:rFonts w:hint="cs"/>
          <w:rtl/>
        </w:rPr>
        <w:t>דברי הפרמ"ג דנחלקו המנחת כהן והרלב"ח אי ביש בתערובת כא"פ ואכל פחות הוא דאו' או דרבנן</w:t>
      </w:r>
      <w:bookmarkEnd w:id="7767"/>
      <w:bookmarkEnd w:id="7768"/>
    </w:p>
    <w:p w:rsidR="00FF684E" w:rsidRDefault="00FF684E" w:rsidP="009F44AF">
      <w:pPr>
        <w:pStyle w:val="a"/>
        <w:rPr>
          <w:rtl/>
        </w:rPr>
      </w:pPr>
      <w:r>
        <w:rPr>
          <w:rFonts w:hint="cs"/>
          <w:rtl/>
        </w:rPr>
        <w:t xml:space="preserve">כתב </w:t>
      </w:r>
      <w:r>
        <w:rPr>
          <w:rStyle w:val="af8"/>
          <w:rtl/>
        </w:rPr>
        <w:t>הפרמ"ג</w:t>
      </w:r>
      <w:r>
        <w:rPr>
          <w:rFonts w:hint="cs"/>
          <w:rtl/>
        </w:rPr>
        <w:t xml:space="preserve"> </w:t>
      </w:r>
      <w:r>
        <w:rPr>
          <w:rStyle w:val="af6"/>
          <w:rFonts w:eastAsia="Guttman Hodes" w:hint="cs"/>
          <w:rtl/>
        </w:rPr>
        <w:t>(פתיחה להלכות פסח ח"ב פ"א אות ב' ד"ה השיטה השניה, אות ט"ו ד"ה פירש הר"מ)</w:t>
      </w:r>
      <w:r>
        <w:rPr>
          <w:rFonts w:hint="cs"/>
          <w:rtl/>
        </w:rPr>
        <w:t xml:space="preserve"> דמדברי </w:t>
      </w:r>
      <w:r>
        <w:rPr>
          <w:rStyle w:val="af8"/>
          <w:rtl/>
        </w:rPr>
        <w:t>המנחת כהן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Ref15218317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נא</w:t>
      </w:r>
      <w:r w:rsidR="004D1C5B">
        <w:rPr>
          <w:rStyle w:val="af6"/>
          <w:rFonts w:eastAsia="Guttman Hodes"/>
          <w:rtl/>
        </w:rPr>
        <w:t>)</w:t>
      </w:r>
      <w:r>
        <w:rPr>
          <w:rStyle w:val="af6"/>
          <w:rFonts w:eastAsia="Guttman Hodes" w:hint="cs"/>
          <w:rtl/>
        </w:rPr>
        <w:fldChar w:fldCharType="end"/>
      </w:r>
      <w:r>
        <w:rPr>
          <w:rFonts w:hint="cs"/>
          <w:rtl/>
        </w:rPr>
        <w:t xml:space="preserve"> </w:t>
      </w:r>
      <w:r>
        <w:rPr>
          <w:rStyle w:val="af8"/>
          <w:rtl/>
        </w:rPr>
        <w:t>והפר"ח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Ref15218418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מד</w:t>
      </w:r>
      <w:r w:rsidR="004D1C5B">
        <w:rPr>
          <w:rStyle w:val="af6"/>
          <w:rFonts w:eastAsia="Guttman Hodes"/>
          <w:rtl/>
        </w:rPr>
        <w:t>)</w:t>
      </w:r>
      <w:r>
        <w:rPr>
          <w:rStyle w:val="af6"/>
          <w:rFonts w:eastAsia="Guttman Hodes" w:hint="cs"/>
          <w:rtl/>
        </w:rPr>
        <w:fldChar w:fldCharType="end"/>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Ref15218333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מה</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מבואר דדעת </w:t>
      </w:r>
      <w:r>
        <w:rPr>
          <w:rStyle w:val="af8"/>
          <w:rtl/>
        </w:rPr>
        <w:t>הרמב"ם</w:t>
      </w:r>
      <w:r>
        <w:rPr>
          <w:rFonts w:hint="cs"/>
          <w:rtl/>
        </w:rPr>
        <w:t xml:space="preserve"> דכשיש כזית בכדי אכילת פרס בתערובת, ואכל את כל התערובת לוקה עליו, אף באיסור שנימוח, אבל אם אכל חצי כזית מהאיסור, </w:t>
      </w:r>
      <w:r>
        <w:rPr>
          <w:rStyle w:val="afa"/>
          <w:rtl/>
        </w:rPr>
        <w:t>[דהיינו פחות מפרס מהתערובת],</w:t>
      </w:r>
      <w:r>
        <w:rPr>
          <w:rFonts w:hint="cs"/>
          <w:rtl/>
        </w:rPr>
        <w:t xml:space="preserve"> או כשאין בתערובת כזית בכדי אכילת פרס, ואכל את כל התערובת, דאסור רק מדרבנן ולא מדאו', אך הביא </w:t>
      </w:r>
      <w:r>
        <w:rPr>
          <w:rStyle w:val="af8"/>
          <w:rtl/>
        </w:rPr>
        <w:t>הפרמ"ג</w:t>
      </w:r>
      <w:r>
        <w:rPr>
          <w:rFonts w:hint="cs"/>
          <w:rtl/>
        </w:rPr>
        <w:t xml:space="preserve"> את דברי </w:t>
      </w:r>
      <w:r>
        <w:rPr>
          <w:rStyle w:val="af8"/>
          <w:rtl/>
        </w:rPr>
        <w:t>כהרלב"ח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Ref15202000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Style w:val="af6"/>
          <w:rFonts w:eastAsia="Guttman Hodes" w:hint="cs"/>
          <w:rtl/>
        </w:rPr>
        <w:fldChar w:fldCharType="end"/>
      </w:r>
      <w:r>
        <w:rPr>
          <w:rFonts w:hint="cs"/>
          <w:rtl/>
        </w:rPr>
        <w:t xml:space="preserve"> דפליג עליהם וס"ל לדעת </w:t>
      </w:r>
      <w:r>
        <w:rPr>
          <w:rStyle w:val="af8"/>
          <w:rtl/>
        </w:rPr>
        <w:t>הרמב"ם</w:t>
      </w:r>
      <w:r>
        <w:rPr>
          <w:rFonts w:hint="cs"/>
          <w:rtl/>
        </w:rPr>
        <w:t xml:space="preserve"> כל שיש בתערובת כזית בכדי אכילת פרס, ואכל פחות מכזית מהאיסור, אסור מדאו' מדין חצי שיעור, וכשאין בתערובת כזית בכדי אכילת פרס מותר מדאו'.</w:t>
      </w:r>
    </w:p>
    <w:p w:rsidR="00FF684E" w:rsidRDefault="00FF684E" w:rsidP="00FF684E">
      <w:pPr>
        <w:pStyle w:val="a2"/>
        <w:rPr>
          <w:rtl/>
        </w:rPr>
      </w:pPr>
      <w:bookmarkStart w:id="7769" w:name="_Toc15227838"/>
      <w:bookmarkStart w:id="7770" w:name="_Toc15227671"/>
      <w:r>
        <w:rPr>
          <w:rFonts w:hint="cs"/>
          <w:rtl/>
        </w:rPr>
        <w:t>דחיית הפרמ"ג לראיה שהביא המנחת כהן מדברי הרמב"ם בכותח ובנזיר</w:t>
      </w:r>
      <w:bookmarkEnd w:id="7769"/>
      <w:bookmarkEnd w:id="7770"/>
    </w:p>
    <w:p w:rsidR="00FF684E" w:rsidRDefault="00FF684E" w:rsidP="009F44AF">
      <w:pPr>
        <w:pStyle w:val="a"/>
        <w:rPr>
          <w:rtl/>
        </w:rPr>
      </w:pPr>
      <w:r>
        <w:rPr>
          <w:rFonts w:hint="cs"/>
          <w:rtl/>
        </w:rPr>
        <w:t xml:space="preserve">והביא </w:t>
      </w:r>
      <w:r>
        <w:rPr>
          <w:rStyle w:val="af8"/>
          <w:rtl/>
        </w:rPr>
        <w:t>הפרמ"ג</w:t>
      </w:r>
      <w:r>
        <w:rPr>
          <w:rFonts w:hint="cs"/>
          <w:rtl/>
        </w:rPr>
        <w:t xml:space="preserve"> את דברי </w:t>
      </w:r>
      <w:r>
        <w:rPr>
          <w:rStyle w:val="af8"/>
          <w:rtl/>
        </w:rPr>
        <w:t>המנחת כהן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Ref15218317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נא</w:t>
      </w:r>
      <w:r w:rsidR="004D1C5B">
        <w:rPr>
          <w:rStyle w:val="af6"/>
          <w:rFonts w:eastAsia="Guttman Hodes"/>
          <w:rtl/>
        </w:rPr>
        <w:t>)</w:t>
      </w:r>
      <w:r>
        <w:rPr>
          <w:rStyle w:val="af6"/>
          <w:rFonts w:eastAsia="Guttman Hodes" w:hint="cs"/>
          <w:rtl/>
        </w:rPr>
        <w:fldChar w:fldCharType="end"/>
      </w:r>
      <w:r>
        <w:rPr>
          <w:rFonts w:hint="cs"/>
          <w:rtl/>
        </w:rPr>
        <w:t xml:space="preserve"> דהביא ראיה מדברי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Style w:val="af6"/>
          <w:rFonts w:eastAsia="Guttman Hodes" w:hint="cs"/>
          <w:rtl/>
        </w:rPr>
        <w:fldChar w:fldCharType="end"/>
      </w:r>
      <w:r>
        <w:rPr>
          <w:rFonts w:hint="cs"/>
          <w:rtl/>
        </w:rPr>
        <w:t xml:space="preserve"> בדין כותח, ומדברי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Style w:val="af6"/>
          <w:rFonts w:eastAsia="Guttman Hodes" w:hint="cs"/>
          <w:rtl/>
        </w:rPr>
        <w:fldChar w:fldCharType="end"/>
      </w:r>
      <w:r>
        <w:rPr>
          <w:rFonts w:hint="cs"/>
          <w:rtl/>
        </w:rPr>
        <w:t xml:space="preserve"> בדין נזיר, דבאכל פחות משיעור כזית בכדי אכילת פרס, אסור מדברי סופרים ולוקין מכת מרדות, והקשה </w:t>
      </w:r>
      <w:r>
        <w:rPr>
          <w:rStyle w:val="af8"/>
          <w:rtl/>
        </w:rPr>
        <w:t>הפרמ"ג</w:t>
      </w:r>
      <w:r>
        <w:rPr>
          <w:rFonts w:hint="cs"/>
          <w:rtl/>
        </w:rPr>
        <w:t xml:space="preserve"> דבדין כותח לא כתב </w:t>
      </w:r>
      <w:r>
        <w:rPr>
          <w:rStyle w:val="af8"/>
          <w:rtl/>
        </w:rPr>
        <w:t>הרמב"ם</w:t>
      </w:r>
      <w:r>
        <w:rPr>
          <w:rFonts w:hint="cs"/>
          <w:rtl/>
        </w:rPr>
        <w:t xml:space="preserve"> כן, אלא כתב רק דלוקין על חמץ בתערובת, רק כשיש כזית בכדי אכילת פרס, אבל אם אין בתערובת כזית חמץ בכדי אכילת פרס, אעפ"י שאסור לאכול אין בו מלקות, ולא כתב </w:t>
      </w:r>
      <w:r>
        <w:rPr>
          <w:rStyle w:val="af8"/>
          <w:rtl/>
        </w:rPr>
        <w:t>הרמב"ם</w:t>
      </w:r>
      <w:r>
        <w:rPr>
          <w:rFonts w:hint="cs"/>
          <w:rtl/>
        </w:rPr>
        <w:t xml:space="preserve"> דהוא אסור מדרבנן, והוסיף </w:t>
      </w:r>
      <w:r>
        <w:rPr>
          <w:rStyle w:val="af8"/>
          <w:rtl/>
        </w:rPr>
        <w:t>הפרמ"ג</w:t>
      </w:r>
      <w:r>
        <w:rPr>
          <w:rFonts w:hint="cs"/>
          <w:rtl/>
        </w:rPr>
        <w:t xml:space="preserve"> דבדין נזיר כתב </w:t>
      </w:r>
      <w:r>
        <w:rPr>
          <w:rStyle w:val="af8"/>
          <w:rtl/>
        </w:rPr>
        <w:t>הרמב"ם</w:t>
      </w:r>
      <w:r>
        <w:rPr>
          <w:rFonts w:hint="cs"/>
          <w:rtl/>
        </w:rPr>
        <w:t xml:space="preserve"> דכל שיש בו טעם יין ואין רביעית בכדי אכילת פרס, אסור מדברי סופרים, ולא כתב </w:t>
      </w:r>
      <w:r>
        <w:rPr>
          <w:rStyle w:val="af8"/>
          <w:rtl/>
        </w:rPr>
        <w:t>הרמב"ם</w:t>
      </w:r>
      <w:r>
        <w:rPr>
          <w:rFonts w:hint="cs"/>
          <w:rtl/>
        </w:rPr>
        <w:t xml:space="preserve"> דאף במקום שיש כזית בכדי אכילת פרס, ואכל פחות מפרס דהוא חצי שיעור, דאסור מדברי סופרים, וכתב </w:t>
      </w:r>
      <w:r>
        <w:rPr>
          <w:rStyle w:val="af8"/>
          <w:rtl/>
        </w:rPr>
        <w:t>הפרמ"ג</w:t>
      </w:r>
      <w:r>
        <w:rPr>
          <w:rFonts w:hint="cs"/>
          <w:rtl/>
        </w:rPr>
        <w:t xml:space="preserve"> דמשמע דכל שיש בתערובת כזית בכדי אכילת פרס, ואכל פחות מפרס, אסור מדאו' מדין חצי שיעור.</w:t>
      </w:r>
    </w:p>
    <w:p w:rsidR="00FF684E" w:rsidRDefault="00FF684E" w:rsidP="00FF684E">
      <w:pPr>
        <w:pStyle w:val="a2"/>
        <w:rPr>
          <w:rtl/>
        </w:rPr>
      </w:pPr>
      <w:bookmarkStart w:id="7771" w:name="_Toc15227839"/>
      <w:bookmarkStart w:id="7772" w:name="_Toc15227672"/>
      <w:r>
        <w:rPr>
          <w:rFonts w:hint="cs"/>
          <w:rtl/>
        </w:rPr>
        <w:t>דברי הפרמ"ג דמדכתב הרמב"ם דנמצא דטעמו וממשו אסור מדאו' משמע דאף חצי שיעור מדאו'</w:t>
      </w:r>
      <w:bookmarkEnd w:id="7771"/>
      <w:bookmarkEnd w:id="7772"/>
    </w:p>
    <w:p w:rsidR="00FF684E" w:rsidRDefault="00FF684E" w:rsidP="009F44AF">
      <w:pPr>
        <w:pStyle w:val="a"/>
        <w:rPr>
          <w:rtl/>
        </w:rPr>
      </w:pPr>
      <w:r>
        <w:rPr>
          <w:rFonts w:hint="cs"/>
          <w:rtl/>
        </w:rPr>
        <w:lastRenderedPageBreak/>
        <w:t xml:space="preserve">והביא </w:t>
      </w:r>
      <w:r>
        <w:rPr>
          <w:rStyle w:val="af8"/>
          <w:rtl/>
        </w:rPr>
        <w:t>הפרמ"ג</w:t>
      </w:r>
      <w:r>
        <w:rPr>
          <w:rFonts w:hint="cs"/>
          <w:rtl/>
        </w:rPr>
        <w:t xml:space="preserve"> את דברי </w:t>
      </w:r>
      <w:r>
        <w:rPr>
          <w:rStyle w:val="af8"/>
          <w:rtl/>
        </w:rPr>
        <w:t>הרלב"ח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Ref15202000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Style w:val="af6"/>
          <w:rFonts w:eastAsia="Guttman Hodes" w:hint="cs"/>
          <w:rtl/>
        </w:rPr>
        <w:fldChar w:fldCharType="end"/>
      </w:r>
      <w:r>
        <w:rPr>
          <w:rFonts w:hint="cs"/>
          <w:rtl/>
        </w:rPr>
        <w:t xml:space="preserve"> דכתב דאסור מדאו' מדין חצי שיעור, וכתב </w:t>
      </w:r>
      <w:r>
        <w:rPr>
          <w:rStyle w:val="af8"/>
          <w:rtl/>
        </w:rPr>
        <w:t>הפרמ"ג</w:t>
      </w:r>
      <w:r>
        <w:rPr>
          <w:rFonts w:hint="cs"/>
          <w:rtl/>
        </w:rPr>
        <w:t xml:space="preserve"> דכן מוכח בדברי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Ref14726062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Fonts w:hint="cs"/>
          <w:rtl/>
        </w:rPr>
        <w:t xml:space="preserve"> דכתב דבנמצא בהם טעמו וממשו אסור מן התורה, ומשמע דכל שנמצא טעמו וממשו אסור ואף בחצי שיעור, עיי"ש במ"ש בזה.</w:t>
      </w:r>
    </w:p>
    <w:p w:rsidR="00FF684E" w:rsidRDefault="00FF684E" w:rsidP="007E08E0">
      <w:pPr>
        <w:pStyle w:val="1"/>
        <w:rPr>
          <w:rtl/>
        </w:rPr>
      </w:pPr>
      <w:bookmarkStart w:id="7773" w:name="_Toc15163217"/>
      <w:bookmarkStart w:id="7774" w:name="_Toc15057766"/>
      <w:bookmarkStart w:id="7775" w:name="_Toc15035023"/>
      <w:bookmarkStart w:id="7776" w:name="_Toc14993503"/>
      <w:bookmarkStart w:id="7777" w:name="_Toc14973651"/>
      <w:bookmarkStart w:id="7778" w:name="_Toc15227840"/>
      <w:bookmarkStart w:id="7779" w:name="_Toc15227673"/>
      <w:r>
        <w:rPr>
          <w:rFonts w:hint="cs"/>
          <w:rtl/>
        </w:rPr>
        <w:t>ביאור הפרמ"ג</w:t>
      </w:r>
      <w:bookmarkEnd w:id="7773"/>
      <w:bookmarkEnd w:id="7774"/>
      <w:bookmarkEnd w:id="7775"/>
      <w:bookmarkEnd w:id="7776"/>
      <w:bookmarkEnd w:id="7777"/>
      <w:r>
        <w:rPr>
          <w:rFonts w:hint="cs"/>
          <w:rtl/>
        </w:rPr>
        <w:t xml:space="preserve"> בהא דמוכח ברמב"ם דטע"כ דרבנן</w:t>
      </w:r>
      <w:bookmarkEnd w:id="7778"/>
      <w:bookmarkEnd w:id="7779"/>
    </w:p>
    <w:p w:rsidR="00FF684E" w:rsidRDefault="00FF684E" w:rsidP="00FF684E">
      <w:pPr>
        <w:pStyle w:val="a2"/>
        <w:rPr>
          <w:rtl/>
        </w:rPr>
      </w:pPr>
      <w:bookmarkStart w:id="7780" w:name="_Toc15227841"/>
      <w:bookmarkStart w:id="7781" w:name="_Toc15227674"/>
      <w:r>
        <w:rPr>
          <w:rFonts w:hint="cs"/>
          <w:rtl/>
        </w:rPr>
        <w:t>דברי הפרמ"ג דבטעמו ולא ממשו פסק הרמב"ם כרבא דטע"כ כרבנן ודלא כאביי</w:t>
      </w:r>
      <w:bookmarkEnd w:id="7780"/>
      <w:bookmarkEnd w:id="7781"/>
    </w:p>
    <w:p w:rsidR="00FF684E" w:rsidRDefault="00FF684E" w:rsidP="009F44AF">
      <w:pPr>
        <w:pStyle w:val="a"/>
        <w:rPr>
          <w:rtl/>
        </w:rPr>
      </w:pPr>
      <w:r>
        <w:rPr>
          <w:rFonts w:hint="cs"/>
          <w:rtl/>
        </w:rPr>
        <w:t xml:space="preserve">וכתב </w:t>
      </w:r>
      <w:r>
        <w:rPr>
          <w:rStyle w:val="af8"/>
          <w:rtl/>
        </w:rPr>
        <w:t>הפרמ"ג</w:t>
      </w:r>
      <w:r>
        <w:rPr>
          <w:rFonts w:hint="cs"/>
          <w:rtl/>
        </w:rPr>
        <w:t xml:space="preserve"> </w:t>
      </w:r>
      <w:r>
        <w:rPr>
          <w:rStyle w:val="af6"/>
          <w:rFonts w:eastAsia="Guttman Hodes" w:hint="cs"/>
          <w:rtl/>
        </w:rPr>
        <w:t xml:space="preserve">(פתיחה להלכות פסח ח"ב פ"א אות ט"ו ד"ה פירש הר"מ) </w:t>
      </w:r>
      <w:r>
        <w:rPr>
          <w:rFonts w:hint="cs"/>
          <w:rtl/>
        </w:rPr>
        <w:t xml:space="preserve">דבין לדעת </w:t>
      </w:r>
      <w:r>
        <w:rPr>
          <w:rStyle w:val="af8"/>
          <w:rtl/>
        </w:rPr>
        <w:t>הרלב"ח</w:t>
      </w:r>
      <w:r>
        <w:rPr>
          <w:rFonts w:hint="cs"/>
          <w:rtl/>
        </w:rPr>
        <w:t xml:space="preserve"> דכשאכל מהתערובת פחות מכזית בכדי אכילת פרס, ס"ל </w:t>
      </w:r>
      <w:r>
        <w:rPr>
          <w:rStyle w:val="af8"/>
          <w:rtl/>
        </w:rPr>
        <w:t>להרמב"ם</w:t>
      </w:r>
      <w:r>
        <w:rPr>
          <w:rFonts w:hint="cs"/>
          <w:rtl/>
        </w:rPr>
        <w:t xml:space="preserve"> דאסור מדאו' מדין חצי שיעור, ובין לדעת </w:t>
      </w:r>
      <w:r>
        <w:rPr>
          <w:rStyle w:val="af8"/>
          <w:rtl/>
        </w:rPr>
        <w:t>המנחת כהן והפר"ח</w:t>
      </w:r>
      <w:r>
        <w:rPr>
          <w:rFonts w:hint="cs"/>
          <w:rtl/>
        </w:rPr>
        <w:t xml:space="preserve"> דאסור רק מדרבנן, מ"מ כשמעורב בתערובת פחות מכזית בכדי אכילת פרס הוא טעמו ולא ממשו ואסור רק מדרבנן, דקיי"ל כרבא </w:t>
      </w:r>
      <w:r>
        <w:rPr>
          <w:rStyle w:val="afa"/>
          <w:rtl/>
        </w:rPr>
        <w:t xml:space="preserve">[בסוגיין ובגמ' לקמן </w:t>
      </w:r>
      <w:r>
        <w:rPr>
          <w:rStyle w:val="aff6"/>
          <w:rtl/>
        </w:rPr>
        <w:t>(קח.)</w:t>
      </w:r>
      <w:r>
        <w:rPr>
          <w:rStyle w:val="afa"/>
          <w:rtl/>
        </w:rPr>
        <w:t>]</w:t>
      </w:r>
      <w:r>
        <w:rPr>
          <w:rFonts w:hint="cs"/>
          <w:rtl/>
        </w:rPr>
        <w:t xml:space="preserve"> דטעם כעיקר דרבנן ודלא כאביי </w:t>
      </w:r>
      <w:r>
        <w:rPr>
          <w:rStyle w:val="afa"/>
          <w:rtl/>
        </w:rPr>
        <w:t xml:space="preserve">[בגמ' לקמן </w:t>
      </w:r>
      <w:r>
        <w:rPr>
          <w:rStyle w:val="aff6"/>
          <w:rtl/>
        </w:rPr>
        <w:t>(קח.)</w:t>
      </w:r>
      <w:r>
        <w:rPr>
          <w:rStyle w:val="afa"/>
          <w:rtl/>
        </w:rPr>
        <w:t>]</w:t>
      </w:r>
      <w:r>
        <w:rPr>
          <w:rFonts w:hint="cs"/>
          <w:rtl/>
        </w:rPr>
        <w:t>.</w:t>
      </w:r>
    </w:p>
    <w:p w:rsidR="00FF684E" w:rsidRDefault="00FF684E" w:rsidP="00FF684E">
      <w:pPr>
        <w:pStyle w:val="a2"/>
        <w:rPr>
          <w:rtl/>
        </w:rPr>
      </w:pPr>
      <w:bookmarkStart w:id="7782" w:name="_Toc15227842"/>
      <w:bookmarkStart w:id="7783" w:name="_Toc15227675"/>
      <w:r>
        <w:rPr>
          <w:rFonts w:hint="cs"/>
          <w:rtl/>
        </w:rPr>
        <w:t>קושית הפרמ"ג דאפש"ל דלהרמב"ם טע"כ דאו' ואין לוקין עליו דהוא ילפותא ולכן כתב דהוא ד"ס</w:t>
      </w:r>
      <w:bookmarkEnd w:id="7782"/>
      <w:bookmarkEnd w:id="7783"/>
    </w:p>
    <w:p w:rsidR="00FF684E" w:rsidRDefault="00FF684E" w:rsidP="009F44AF">
      <w:pPr>
        <w:pStyle w:val="a"/>
        <w:rPr>
          <w:rtl/>
        </w:rPr>
      </w:pPr>
      <w:r>
        <w:rPr>
          <w:rFonts w:hint="cs"/>
          <w:rtl/>
        </w:rPr>
        <w:t xml:space="preserve">וע"ע בדברי </w:t>
      </w:r>
      <w:r>
        <w:rPr>
          <w:rStyle w:val="af8"/>
          <w:rtl/>
        </w:rPr>
        <w:t>הפרמ"ג</w:t>
      </w:r>
      <w:r>
        <w:rPr>
          <w:rFonts w:hint="cs"/>
          <w:rtl/>
        </w:rPr>
        <w:t xml:space="preserve"> </w:t>
      </w:r>
      <w:r>
        <w:rPr>
          <w:rStyle w:val="af6"/>
          <w:rFonts w:eastAsia="Guttman Hodes" w:hint="cs"/>
          <w:rtl/>
        </w:rPr>
        <w:t>(פתיחה להלכות טריפות ד"ה ודע דהב"י)</w:t>
      </w:r>
      <w:r>
        <w:rPr>
          <w:rFonts w:hint="cs"/>
          <w:rtl/>
        </w:rPr>
        <w:t xml:space="preserve"> דהביא את דברי </w:t>
      </w:r>
      <w:r>
        <w:rPr>
          <w:rStyle w:val="af8"/>
          <w:rtl/>
        </w:rPr>
        <w:t>הב"י</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Ref15205835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w:t>
      </w:r>
      <w:r w:rsidR="004D1C5B">
        <w:rPr>
          <w:rStyle w:val="af6"/>
          <w:rFonts w:eastAsia="Guttman Hodes"/>
          <w:rtl/>
        </w:rPr>
        <w:t>)</w:t>
      </w:r>
      <w:r>
        <w:rPr>
          <w:rStyle w:val="af6"/>
          <w:rFonts w:eastAsia="Guttman Hodes" w:hint="cs"/>
          <w:rtl/>
        </w:rPr>
        <w:fldChar w:fldCharType="end"/>
      </w:r>
      <w:r>
        <w:rPr>
          <w:rFonts w:hint="cs"/>
          <w:rtl/>
        </w:rPr>
        <w:t xml:space="preserve"> דכתב דלדעת </w:t>
      </w:r>
      <w:r>
        <w:rPr>
          <w:rStyle w:val="af8"/>
          <w:rtl/>
        </w:rPr>
        <w:t>הרמב"ם</w:t>
      </w:r>
      <w:r>
        <w:rPr>
          <w:rFonts w:hint="cs"/>
          <w:rtl/>
        </w:rPr>
        <w:t xml:space="preserve"> טעם כעיקר דרבנן, וכתב הפרמ"ג דכ"כ </w:t>
      </w:r>
      <w:r>
        <w:rPr>
          <w:rStyle w:val="af8"/>
          <w:rtl/>
        </w:rPr>
        <w:t>הרשב"א בתוה"ב</w:t>
      </w:r>
      <w:r>
        <w:rPr>
          <w:rFonts w:hint="cs"/>
          <w:rtl/>
        </w:rPr>
        <w:t xml:space="preserve">  בשם </w:t>
      </w:r>
      <w:r>
        <w:rPr>
          <w:rStyle w:val="af8"/>
          <w:rtl/>
        </w:rPr>
        <w:t>הרמב"ם</w:t>
      </w:r>
      <w:r>
        <w:rPr>
          <w:rFonts w:hint="cs"/>
          <w:rtl/>
        </w:rPr>
        <w:t xml:space="preserve">, ותמה </w:t>
      </w:r>
      <w:r>
        <w:rPr>
          <w:rStyle w:val="af8"/>
          <w:rtl/>
        </w:rPr>
        <w:t>הפרמ"ג</w:t>
      </w:r>
      <w:r>
        <w:rPr>
          <w:rFonts w:hint="cs"/>
          <w:rtl/>
        </w:rPr>
        <w:t xml:space="preserve"> מהיכן מוכח כן בדברי </w:t>
      </w:r>
      <w:r>
        <w:rPr>
          <w:rStyle w:val="af8"/>
          <w:rtl/>
        </w:rPr>
        <w:t>הרמב"ם</w:t>
      </w:r>
      <w:r>
        <w:rPr>
          <w:rFonts w:hint="cs"/>
          <w:rtl/>
        </w:rPr>
        <w:t xml:space="preserve">, דהא ממ"ש </w:t>
      </w:r>
      <w:r>
        <w:rPr>
          <w:rStyle w:val="af8"/>
          <w:rtl/>
        </w:rPr>
        <w:t>הרמב"ם</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Style w:val="af6"/>
          <w:rFonts w:eastAsia="Guttman Hodes" w:hint="cs"/>
          <w:rtl/>
        </w:rPr>
        <w:fldChar w:fldCharType="end"/>
      </w:r>
      <w:r>
        <w:rPr>
          <w:rFonts w:hint="cs"/>
          <w:rtl/>
        </w:rPr>
        <w:t xml:space="preserve"> דטעמו ולא ממשו הוא מדברי סופרים, אין כל ראיה, דהא אף </w:t>
      </w:r>
      <w:r>
        <w:rPr>
          <w:rStyle w:val="af8"/>
          <w:rtl/>
        </w:rPr>
        <w:t xml:space="preserve">הרשב"א בחי' </w:t>
      </w:r>
      <w:r>
        <w:rPr>
          <w:rStyle w:val="af6"/>
          <w:rFonts w:eastAsia="Guttman Hodes" w:hint="cs"/>
          <w:rtl/>
        </w:rPr>
        <w:t>(ד"ה והראב"ד, הובא לעיל סימן י' אות סט)</w:t>
      </w:r>
      <w:r>
        <w:rPr>
          <w:rFonts w:hint="cs"/>
          <w:rtl/>
        </w:rPr>
        <w:t xml:space="preserve"> כתב בשם </w:t>
      </w:r>
      <w:r>
        <w:rPr>
          <w:rStyle w:val="af8"/>
          <w:rtl/>
        </w:rPr>
        <w:t>הראב"ד</w:t>
      </w:r>
      <w:r>
        <w:rPr>
          <w:rFonts w:hint="cs"/>
          <w:rtl/>
        </w:rPr>
        <w:t xml:space="preserve"> דאין מלקות על טעם כעיקר, כיון דהוא ילפותא ממשרת או מגיעולי עכו"ם בהיקש או בק"ו, ואין לוקין על ההקשות, וא"כ אפש"ל דמ"ש </w:t>
      </w:r>
      <w:r>
        <w:rPr>
          <w:rStyle w:val="af8"/>
          <w:rtl/>
        </w:rPr>
        <w:t>הרמב"ם</w:t>
      </w:r>
      <w:r>
        <w:rPr>
          <w:rFonts w:hint="cs"/>
          <w:rtl/>
        </w:rPr>
        <w:t xml:space="preserve"> דהוא מדברי סופרים כוונתו לומר דהוא דרשה דאין לוקין עליו, כדעת </w:t>
      </w:r>
      <w:r>
        <w:rPr>
          <w:rStyle w:val="af8"/>
          <w:rtl/>
        </w:rPr>
        <w:t>הרמב"ם בספר המצות</w:t>
      </w:r>
      <w:r>
        <w:rPr>
          <w:rFonts w:hint="cs"/>
          <w:rtl/>
        </w:rPr>
        <w:t xml:space="preserve"> </w:t>
      </w:r>
      <w:r>
        <w:rPr>
          <w:rStyle w:val="af6"/>
          <w:rFonts w:eastAsia="Guttman Hodes" w:hint="cs"/>
          <w:rtl/>
        </w:rPr>
        <w:t>(שורש הב')</w:t>
      </w:r>
      <w:r>
        <w:rPr>
          <w:rFonts w:hint="cs"/>
          <w:rtl/>
        </w:rPr>
        <w:t xml:space="preserve"> דכ"מ שאינו מפורש בתורה קרינן ליה מדברי סופרים, אף דאסור מדאו'.</w:t>
      </w:r>
    </w:p>
    <w:p w:rsidR="00FF684E" w:rsidRDefault="00FF684E" w:rsidP="00FF684E">
      <w:pPr>
        <w:pStyle w:val="a2"/>
        <w:rPr>
          <w:rtl/>
        </w:rPr>
      </w:pPr>
      <w:bookmarkStart w:id="7784" w:name="_Toc15227843"/>
      <w:bookmarkStart w:id="7785" w:name="_Toc15227676"/>
      <w:r>
        <w:rPr>
          <w:rFonts w:hint="cs"/>
          <w:rtl/>
        </w:rPr>
        <w:t>דברי הפרמ"ג דמ"מ משמעות דברי הרמב"ם דבטעמו וממשו דאו' ובטעמו ולא ממשו דרבנן</w:t>
      </w:r>
      <w:bookmarkEnd w:id="7784"/>
      <w:bookmarkEnd w:id="7785"/>
    </w:p>
    <w:p w:rsidR="00FF684E" w:rsidRDefault="00FF684E" w:rsidP="009F44AF">
      <w:pPr>
        <w:pStyle w:val="a"/>
        <w:rPr>
          <w:rtl/>
        </w:rPr>
      </w:pPr>
      <w:r>
        <w:rPr>
          <w:rFonts w:hint="cs"/>
          <w:rtl/>
        </w:rPr>
        <w:t xml:space="preserve">אך כתב </w:t>
      </w:r>
      <w:r>
        <w:rPr>
          <w:rStyle w:val="af8"/>
          <w:rtl/>
        </w:rPr>
        <w:t>הפרמ"ג</w:t>
      </w:r>
      <w:r>
        <w:rPr>
          <w:rFonts w:hint="cs"/>
          <w:rtl/>
        </w:rPr>
        <w:t xml:space="preserve"> </w:t>
      </w:r>
      <w:r>
        <w:rPr>
          <w:rStyle w:val="af6"/>
          <w:rFonts w:eastAsia="Guttman Hodes" w:hint="cs"/>
          <w:rtl/>
        </w:rPr>
        <w:t>(פתיחה שער התערובות ח"ב פ"ב)</w:t>
      </w:r>
      <w:r>
        <w:rPr>
          <w:rFonts w:hint="cs"/>
          <w:rtl/>
        </w:rPr>
        <w:t xml:space="preserve"> דמ"מ מוכח דס"ל </w:t>
      </w:r>
      <w:r>
        <w:rPr>
          <w:rStyle w:val="af8"/>
          <w:rtl/>
        </w:rPr>
        <w:t>להרמב"ם</w:t>
      </w:r>
      <w:r>
        <w:rPr>
          <w:rFonts w:hint="cs"/>
          <w:rtl/>
        </w:rPr>
        <w:t xml:space="preserve"> דטעמו ולא ממשו אינו אסור מדאו', כיון דחילק </w:t>
      </w:r>
      <w:r>
        <w:rPr>
          <w:rStyle w:val="af8"/>
          <w:rtl/>
        </w:rPr>
        <w:t>הרמב"ם</w:t>
      </w:r>
      <w:r>
        <w:rPr>
          <w:rFonts w:hint="cs"/>
          <w:rtl/>
        </w:rPr>
        <w:t xml:space="preserve"> וכתב דטעמו וממשו אסור מן התורה, וטעמו ולא ממשו אסור מדברי סופרים, מבואר דס"ל דהוא מדרבנן, ואף שאפשר לדחות דכ"כ לענין חיוב מלקות, אך האיסור הוא מדאו', מ"מ כתב </w:t>
      </w:r>
      <w:r>
        <w:rPr>
          <w:rStyle w:val="af8"/>
          <w:rtl/>
        </w:rPr>
        <w:t>הפרמ"ג</w:t>
      </w:r>
      <w:r>
        <w:rPr>
          <w:rFonts w:hint="cs"/>
          <w:rtl/>
        </w:rPr>
        <w:t xml:space="preserve"> דמשמע מדברי </w:t>
      </w:r>
      <w:r>
        <w:rPr>
          <w:rStyle w:val="af8"/>
          <w:rtl/>
        </w:rPr>
        <w:t>הרמב"ם</w:t>
      </w:r>
      <w:r>
        <w:rPr>
          <w:rFonts w:hint="cs"/>
          <w:rtl/>
        </w:rPr>
        <w:t xml:space="preserve"> דכוונתו מדרבנן, והוסיף </w:t>
      </w:r>
      <w:r>
        <w:rPr>
          <w:rStyle w:val="af8"/>
          <w:rtl/>
        </w:rPr>
        <w:t>הפרמ"ג</w:t>
      </w:r>
      <w:r>
        <w:rPr>
          <w:rFonts w:hint="cs"/>
          <w:rtl/>
        </w:rPr>
        <w:t xml:space="preserve"> דכן משמע מדברי </w:t>
      </w:r>
      <w:r>
        <w:rPr>
          <w:rStyle w:val="af8"/>
          <w:rtl/>
        </w:rPr>
        <w:t>הרמב"ם</w:t>
      </w:r>
      <w:r>
        <w:rPr>
          <w:rFonts w:hint="cs"/>
          <w:rtl/>
        </w:rPr>
        <w:t xml:space="preserve"> במקומות אחרים.</w:t>
      </w:r>
    </w:p>
    <w:p w:rsidR="00FF684E" w:rsidRDefault="00FF684E" w:rsidP="007E08E0">
      <w:pPr>
        <w:pStyle w:val="1"/>
        <w:rPr>
          <w:rtl/>
        </w:rPr>
      </w:pPr>
      <w:bookmarkStart w:id="7786" w:name="_Toc15163218"/>
      <w:bookmarkStart w:id="7787" w:name="_Toc15057767"/>
      <w:bookmarkStart w:id="7788" w:name="_Toc15035024"/>
      <w:bookmarkStart w:id="7789" w:name="_Toc14993504"/>
      <w:bookmarkStart w:id="7790" w:name="_Toc14973652"/>
      <w:bookmarkStart w:id="7791" w:name="_Toc15227844"/>
      <w:bookmarkStart w:id="7792" w:name="_Toc15227677"/>
      <w:r>
        <w:rPr>
          <w:rFonts w:hint="cs"/>
          <w:rtl/>
        </w:rPr>
        <w:t>דברי החזו"א</w:t>
      </w:r>
      <w:bookmarkEnd w:id="7786"/>
      <w:bookmarkEnd w:id="7787"/>
      <w:bookmarkEnd w:id="7788"/>
      <w:bookmarkEnd w:id="7789"/>
      <w:bookmarkEnd w:id="7790"/>
      <w:r>
        <w:rPr>
          <w:rFonts w:hint="cs"/>
          <w:rtl/>
        </w:rPr>
        <w:t xml:space="preserve"> ברמב"ם דטע"כ דרבנן ואיסור מחוי חשיב ממשו</w:t>
      </w:r>
      <w:bookmarkEnd w:id="7791"/>
      <w:bookmarkEnd w:id="7792"/>
    </w:p>
    <w:p w:rsidR="00FF684E" w:rsidRDefault="00FF684E" w:rsidP="00FF684E">
      <w:pPr>
        <w:pStyle w:val="a2"/>
        <w:rPr>
          <w:rtl/>
        </w:rPr>
      </w:pPr>
      <w:bookmarkStart w:id="7793" w:name="_Toc15227845"/>
      <w:bookmarkStart w:id="7794" w:name="_Toc15227678"/>
      <w:r>
        <w:rPr>
          <w:rFonts w:hint="cs"/>
          <w:rtl/>
        </w:rPr>
        <w:t>דברי החזו"א דלרמב"ם טע"כ דרבנן ואיסור מחוי שאינו ניכר ואפש"ל דנקרא ממשו</w:t>
      </w:r>
      <w:bookmarkEnd w:id="7793"/>
      <w:bookmarkEnd w:id="7794"/>
    </w:p>
    <w:p w:rsidR="00FF684E" w:rsidRDefault="00FF684E" w:rsidP="009F44AF">
      <w:pPr>
        <w:pStyle w:val="a"/>
        <w:rPr>
          <w:rtl/>
        </w:rPr>
      </w:pPr>
      <w:r>
        <w:rPr>
          <w:rFonts w:hint="cs"/>
          <w:rtl/>
        </w:rPr>
        <w:t xml:space="preserve">כתב </w:t>
      </w:r>
      <w:r>
        <w:rPr>
          <w:rStyle w:val="af8"/>
          <w:rtl/>
        </w:rPr>
        <w:t>החזו"א</w:t>
      </w:r>
      <w:r>
        <w:rPr>
          <w:rFonts w:hint="cs"/>
          <w:rtl/>
        </w:rPr>
        <w:t xml:space="preserve"> </w:t>
      </w:r>
      <w:r>
        <w:rPr>
          <w:rStyle w:val="af6"/>
          <w:rFonts w:eastAsia="Guttman Hodes" w:hint="cs"/>
          <w:rtl/>
        </w:rPr>
        <w:t>(סי' כ"ד ו')</w:t>
      </w:r>
      <w:r>
        <w:rPr>
          <w:rFonts w:hint="cs"/>
          <w:rtl/>
        </w:rPr>
        <w:t xml:space="preserve"> דמדברי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Style w:val="af6"/>
          <w:rFonts w:eastAsia="Guttman Hodes" w:hint="cs"/>
          <w:rtl/>
        </w:rPr>
        <w:fldChar w:fldCharType="end"/>
      </w:r>
      <w:r>
        <w:rPr>
          <w:rFonts w:hint="cs"/>
          <w:rtl/>
        </w:rPr>
        <w:t xml:space="preserve"> משמע דס"ל דטעם כעיקר דרבנן וכדביאר </w:t>
      </w:r>
      <w:r>
        <w:rPr>
          <w:rStyle w:val="af8"/>
          <w:rtl/>
        </w:rPr>
        <w:t>הרמב"ן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Ref15219165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לט</w:t>
      </w:r>
      <w:r w:rsidR="004D1C5B">
        <w:rPr>
          <w:rStyle w:val="af6"/>
          <w:rFonts w:eastAsia="Guttman Hodes"/>
          <w:rtl/>
        </w:rPr>
        <w:t>)</w:t>
      </w:r>
      <w:r>
        <w:rPr>
          <w:rStyle w:val="af6"/>
          <w:rFonts w:eastAsia="Guttman Hodes" w:hint="cs"/>
          <w:rtl/>
        </w:rPr>
        <w:fldChar w:fldCharType="end"/>
      </w:r>
      <w:r>
        <w:rPr>
          <w:rFonts w:hint="cs"/>
          <w:rtl/>
        </w:rPr>
        <w:t xml:space="preserve"> בדעת </w:t>
      </w:r>
      <w:r>
        <w:rPr>
          <w:rStyle w:val="af8"/>
          <w:rtl/>
        </w:rPr>
        <w:t>הרמב"ם</w:t>
      </w:r>
      <w:r>
        <w:rPr>
          <w:rFonts w:hint="cs"/>
          <w:rtl/>
        </w:rPr>
        <w:t xml:space="preserve">, וביאר </w:t>
      </w:r>
      <w:r>
        <w:rPr>
          <w:rStyle w:val="af8"/>
          <w:rtl/>
        </w:rPr>
        <w:t>החזו"א</w:t>
      </w:r>
      <w:r>
        <w:rPr>
          <w:rFonts w:hint="cs"/>
          <w:rtl/>
        </w:rPr>
        <w:t xml:space="preserve"> </w:t>
      </w:r>
      <w:r>
        <w:rPr>
          <w:rStyle w:val="af8"/>
          <w:rtl/>
        </w:rPr>
        <w:t>דהרמב"ם</w:t>
      </w:r>
      <w:r>
        <w:rPr>
          <w:rFonts w:hint="cs"/>
          <w:rtl/>
        </w:rPr>
        <w:t xml:space="preserve"> ס"ל דטעמו וממשו הוא דדוקא בממשו כזית בכדי אכילת פרס הוא דאו', אבל בטעמו בלבד אינו דאו', וכמסקנת הגמ' בפסחים </w:t>
      </w:r>
      <w:r>
        <w:rPr>
          <w:rStyle w:val="af6"/>
          <w:rFonts w:eastAsia="Guttman Hodes" w:hint="cs"/>
          <w:rtl/>
        </w:rPr>
        <w:t>(מד.)</w:t>
      </w:r>
      <w:r>
        <w:rPr>
          <w:rFonts w:hint="cs"/>
          <w:rtl/>
        </w:rPr>
        <w:t xml:space="preserve">, וכתב </w:t>
      </w:r>
      <w:r>
        <w:rPr>
          <w:rStyle w:val="af8"/>
          <w:rtl/>
        </w:rPr>
        <w:t>החזו"א</w:t>
      </w:r>
      <w:r>
        <w:rPr>
          <w:rFonts w:hint="cs"/>
          <w:rtl/>
        </w:rPr>
        <w:t xml:space="preserve"> דהא דכתב </w:t>
      </w:r>
      <w:r>
        <w:rPr>
          <w:rStyle w:val="af8"/>
          <w:rtl/>
        </w:rPr>
        <w:t>הרמב"ם</w:t>
      </w:r>
      <w:r>
        <w:rPr>
          <w:rFonts w:hint="cs"/>
          <w:rtl/>
        </w:rPr>
        <w:t xml:space="preserve"> דחֵלֶב שנימוח הוא ממשו, אפש"ל דאף </w:t>
      </w:r>
      <w:r>
        <w:rPr>
          <w:rStyle w:val="af8"/>
          <w:rtl/>
        </w:rPr>
        <w:t>הרמב"ן</w:t>
      </w:r>
      <w:r>
        <w:rPr>
          <w:rFonts w:hint="cs"/>
          <w:rtl/>
        </w:rPr>
        <w:t xml:space="preserve"> מודה לזה, ואף </w:t>
      </w:r>
      <w:r>
        <w:rPr>
          <w:rStyle w:val="af8"/>
          <w:rtl/>
        </w:rPr>
        <w:t>דהרמב"ן במלחמות</w:t>
      </w:r>
      <w:r>
        <w:rPr>
          <w:rFonts w:hint="cs"/>
          <w:rtl/>
        </w:rPr>
        <w:t xml:space="preserve"> </w:t>
      </w:r>
      <w:r>
        <w:rPr>
          <w:rStyle w:val="af8"/>
          <w:rtl/>
        </w:rPr>
        <w:t>בפסחים</w:t>
      </w:r>
      <w:r>
        <w:rPr>
          <w:rStyle w:val="af6"/>
          <w:rFonts w:eastAsia="Guttman Hodes" w:hint="cs"/>
          <w:rtl/>
        </w:rPr>
        <w:t xml:space="preserve"> (יג: מדפי הרי"ף) </w:t>
      </w:r>
      <w:r>
        <w:rPr>
          <w:rFonts w:hint="cs"/>
          <w:rtl/>
        </w:rPr>
        <w:t xml:space="preserve">כתב דכשהאיסור נימוח נקרא טעמו ולא ממשו, מ"מ משמע מדברי </w:t>
      </w:r>
      <w:r>
        <w:rPr>
          <w:rStyle w:val="af8"/>
          <w:rtl/>
        </w:rPr>
        <w:t>הרמב"ן</w:t>
      </w:r>
      <w:r>
        <w:rPr>
          <w:rFonts w:hint="cs"/>
          <w:rtl/>
        </w:rPr>
        <w:t xml:space="preserve"> דיין שמראהו ניכר ולא התבטל, נקרא ממשו, וא"כ אפש"ל דאף חֵלֶב שניכרת השמנונית שלו חשיב שהוא ניכר ולכן קרינן לו ממשו, והוסיף </w:t>
      </w:r>
      <w:r>
        <w:rPr>
          <w:rStyle w:val="af8"/>
          <w:rtl/>
        </w:rPr>
        <w:t>החזו"א</w:t>
      </w:r>
      <w:r>
        <w:rPr>
          <w:rFonts w:hint="cs"/>
          <w:rtl/>
        </w:rPr>
        <w:t xml:space="preserve"> דאפש"ל דס"ל </w:t>
      </w:r>
      <w:r>
        <w:rPr>
          <w:rStyle w:val="af8"/>
          <w:rtl/>
        </w:rPr>
        <w:t>להרמב"ם</w:t>
      </w:r>
      <w:r>
        <w:rPr>
          <w:rFonts w:hint="cs"/>
          <w:rtl/>
        </w:rPr>
        <w:t xml:space="preserve"> דכל שהאיסור מחוי נקרא ממשו, וע"ע במ"ש </w:t>
      </w:r>
      <w:r>
        <w:rPr>
          <w:rStyle w:val="af8"/>
          <w:rtl/>
        </w:rPr>
        <w:t>הקה"י בפסחים</w:t>
      </w:r>
      <w:r>
        <w:rPr>
          <w:rStyle w:val="af6"/>
          <w:rFonts w:eastAsia="Guttman Hodes" w:hint="cs"/>
          <w:rtl/>
        </w:rPr>
        <w:t xml:space="preserve"> (סי' ל"ח ד"ה כתב הרמב"ם) </w:t>
      </w:r>
      <w:r>
        <w:rPr>
          <w:rFonts w:hint="cs"/>
          <w:rtl/>
        </w:rPr>
        <w:t xml:space="preserve">בביאור דברי </w:t>
      </w:r>
      <w:r>
        <w:rPr>
          <w:rStyle w:val="af8"/>
          <w:rtl/>
        </w:rPr>
        <w:t>הרמב"ם</w:t>
      </w:r>
      <w:r>
        <w:rPr>
          <w:rFonts w:hint="cs"/>
          <w:rtl/>
        </w:rPr>
        <w:t xml:space="preserve">, ובמ"ש </w:t>
      </w:r>
      <w:r>
        <w:rPr>
          <w:rStyle w:val="af8"/>
          <w:rtl/>
        </w:rPr>
        <w:t>הקה"י בפסחים</w:t>
      </w:r>
      <w:r>
        <w:rPr>
          <w:rFonts w:hint="cs"/>
          <w:rtl/>
        </w:rPr>
        <w:t xml:space="preserve"> </w:t>
      </w:r>
      <w:r>
        <w:rPr>
          <w:rStyle w:val="af6"/>
          <w:rFonts w:eastAsia="Guttman Hodes" w:hint="cs"/>
          <w:rtl/>
        </w:rPr>
        <w:t xml:space="preserve">(סי' ל"ח ד"ה ובחזו"א) </w:t>
      </w:r>
      <w:r>
        <w:rPr>
          <w:rFonts w:hint="cs"/>
          <w:rtl/>
        </w:rPr>
        <w:t xml:space="preserve">בביאור דברי </w:t>
      </w:r>
      <w:r>
        <w:rPr>
          <w:rStyle w:val="af8"/>
          <w:rtl/>
        </w:rPr>
        <w:t>החזו"א</w:t>
      </w:r>
      <w:r>
        <w:rPr>
          <w:rFonts w:hint="cs"/>
          <w:rtl/>
        </w:rPr>
        <w:t>.</w:t>
      </w:r>
    </w:p>
    <w:p w:rsidR="00FF684E" w:rsidRDefault="00FF684E" w:rsidP="00E669F8">
      <w:pPr>
        <w:pStyle w:val="afd"/>
        <w:rPr>
          <w:rtl/>
        </w:rPr>
      </w:pPr>
      <w:bookmarkStart w:id="7795" w:name="_Toc15227846"/>
      <w:bookmarkStart w:id="7796" w:name="_Toc15227679"/>
      <w:r>
        <w:rPr>
          <w:rFonts w:hint="cs"/>
          <w:rtl/>
        </w:rPr>
        <w:t>בילפותא ממשרת להרמב"ם דטע"כ דרבנן</w:t>
      </w:r>
      <w:bookmarkEnd w:id="7795"/>
      <w:bookmarkEnd w:id="7796"/>
    </w:p>
    <w:p w:rsidR="00FF684E" w:rsidRDefault="00FF684E" w:rsidP="007E08E0">
      <w:pPr>
        <w:pStyle w:val="1"/>
        <w:rPr>
          <w:rtl/>
        </w:rPr>
      </w:pPr>
      <w:bookmarkStart w:id="7797" w:name="_Toc15227847"/>
      <w:bookmarkStart w:id="7798" w:name="_Toc15227680"/>
      <w:r>
        <w:rPr>
          <w:rFonts w:hint="cs"/>
          <w:rtl/>
        </w:rPr>
        <w:t>ביאור הפר"ח דלהרמב"ם בשרה ענבים במים אף בכא"פ דרבנן</w:t>
      </w:r>
      <w:bookmarkEnd w:id="7797"/>
      <w:bookmarkEnd w:id="7798"/>
    </w:p>
    <w:p w:rsidR="00FF684E" w:rsidRDefault="00FF684E" w:rsidP="00FF684E">
      <w:pPr>
        <w:pStyle w:val="a2"/>
        <w:rPr>
          <w:rtl/>
        </w:rPr>
      </w:pPr>
      <w:bookmarkStart w:id="7799" w:name="_Toc15227848"/>
      <w:bookmarkStart w:id="7800" w:name="_Toc15227681"/>
      <w:r>
        <w:rPr>
          <w:rFonts w:hint="cs"/>
          <w:rtl/>
        </w:rPr>
        <w:t>דברי הפר"ח דהרמב"ם פסק כריו"ח דרק בגוף האיסור טע"כ דאו' אבל שרה ענבים במים הוא דרבנן</w:t>
      </w:r>
      <w:bookmarkEnd w:id="7799"/>
      <w:bookmarkEnd w:id="7800"/>
    </w:p>
    <w:p w:rsidR="00FF684E" w:rsidRDefault="00FF684E" w:rsidP="009F44AF">
      <w:pPr>
        <w:pStyle w:val="a"/>
        <w:rPr>
          <w:rtl/>
        </w:rPr>
      </w:pPr>
      <w:bookmarkStart w:id="7801" w:name="_Ref15204525"/>
      <w:r>
        <w:rPr>
          <w:rFonts w:hint="cs"/>
          <w:rtl/>
        </w:rPr>
        <w:t xml:space="preserve">כתב </w:t>
      </w:r>
      <w:r>
        <w:rPr>
          <w:rStyle w:val="af8"/>
          <w:rtl/>
        </w:rPr>
        <w:t xml:space="preserve">הפר"ח </w:t>
      </w:r>
      <w:r>
        <w:rPr>
          <w:rStyle w:val="af6"/>
          <w:rFonts w:eastAsia="Guttman Hodes" w:hint="cs"/>
          <w:rtl/>
        </w:rPr>
        <w:t>(או"ח סי' תמ"ב סק"א ד"ה ובב"י ביו"ד)</w:t>
      </w:r>
      <w:r>
        <w:rPr>
          <w:rFonts w:hint="cs"/>
          <w:rtl/>
        </w:rPr>
        <w:t xml:space="preserve"> דכיון </w:t>
      </w:r>
      <w:r>
        <w:rPr>
          <w:rStyle w:val="af8"/>
          <w:rtl/>
        </w:rPr>
        <w:t xml:space="preserve">דהרמב"ם </w:t>
      </w:r>
      <w:r>
        <w:rPr>
          <w:rFonts w:hint="cs"/>
          <w:rtl/>
        </w:rPr>
        <w:t xml:space="preserve">ביאר בדברי ריו"ח בע"ז, </w:t>
      </w:r>
      <w:r>
        <w:rPr>
          <w:rStyle w:val="afa"/>
          <w:rtl/>
        </w:rPr>
        <w:t xml:space="preserve">[כדביאר </w:t>
      </w:r>
      <w:r>
        <w:rPr>
          <w:rStyle w:val="affa"/>
          <w:rtl/>
        </w:rPr>
        <w:t>הפר"ח</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Ref15205598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מג)</w:t>
      </w:r>
      <w:r>
        <w:rPr>
          <w:rFonts w:hint="cs"/>
          <w:rtl/>
        </w:rPr>
        <w:fldChar w:fldCharType="end"/>
      </w:r>
      <w:r>
        <w:rPr>
          <w:rStyle w:val="afa"/>
          <w:rtl/>
        </w:rPr>
        <w:t xml:space="preserve">], </w:t>
      </w:r>
      <w:r>
        <w:rPr>
          <w:rFonts w:hint="cs"/>
          <w:rtl/>
        </w:rPr>
        <w:t xml:space="preserve">דהחיוב בכזית בכדי אכילת פרס הוא דוקא במקום שיש את עיקר האיסור, ופסק </w:t>
      </w:r>
      <w:r>
        <w:rPr>
          <w:rStyle w:val="af8"/>
          <w:rtl/>
        </w:rPr>
        <w:t>הרמב"ם</w:t>
      </w:r>
      <w:r>
        <w:rPr>
          <w:rFonts w:hint="cs"/>
          <w:rtl/>
        </w:rPr>
        <w:t xml:space="preserve"> כריו"ח, ולכן מכח זה דחה </w:t>
      </w:r>
      <w:r>
        <w:rPr>
          <w:rStyle w:val="af8"/>
          <w:rtl/>
        </w:rPr>
        <w:t>הרמב"ם</w:t>
      </w:r>
      <w:r>
        <w:rPr>
          <w:rFonts w:hint="cs"/>
          <w:rtl/>
        </w:rPr>
        <w:t xml:space="preserve"> את הגמ' בפסחים </w:t>
      </w:r>
      <w:r>
        <w:rPr>
          <w:rStyle w:val="af6"/>
          <w:rFonts w:eastAsia="Guttman Hodes" w:hint="cs"/>
          <w:rtl/>
        </w:rPr>
        <w:t>(מד.)</w:t>
      </w:r>
      <w:r>
        <w:rPr>
          <w:rFonts w:hint="cs"/>
          <w:rtl/>
        </w:rPr>
        <w:t xml:space="preserve"> דבשרה ענבים במים דאף אם יש בהם הרבה טעם של מים, עד כדי שיש רביעית בכדי אכילת פרס, ילפינן ממשרת דטעם כעיקר דאו', דס"ל </w:t>
      </w:r>
      <w:r>
        <w:rPr>
          <w:rStyle w:val="af8"/>
          <w:rtl/>
        </w:rPr>
        <w:t>להרמב"ם</w:t>
      </w:r>
      <w:r>
        <w:rPr>
          <w:rFonts w:hint="cs"/>
          <w:rtl/>
        </w:rPr>
        <w:t xml:space="preserve"> כריו"ח דרק כשגוף האיסור מעורב בתערובת ויש כזית בכדי אכילת פרס אסור מדאו' אבל טעם לבדו אינו אסור מדאו', ולכן פסק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דמשרת הוא בשרה פתו ביין, ויש רביעית יין בכדי אכילת פרס, ועי' בדברי </w:t>
      </w:r>
      <w:r>
        <w:rPr>
          <w:rStyle w:val="af8"/>
          <w:rtl/>
        </w:rPr>
        <w:t>הלח"מ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Ref15205990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w:t>
      </w:r>
      <w:r w:rsidR="004D1C5B">
        <w:rPr>
          <w:rStyle w:val="af6"/>
          <w:rFonts w:eastAsia="Guttman Hodes"/>
          <w:rtl/>
        </w:rPr>
        <w:t>)</w:t>
      </w:r>
      <w:r>
        <w:rPr>
          <w:rFonts w:hint="cs"/>
          <w:rtl/>
        </w:rPr>
        <w:fldChar w:fldCharType="end"/>
      </w:r>
      <w:r>
        <w:rPr>
          <w:rFonts w:hint="cs"/>
          <w:rtl/>
        </w:rPr>
        <w:t xml:space="preserve">, וע"ע במה שהקשה </w:t>
      </w:r>
      <w:r>
        <w:rPr>
          <w:rStyle w:val="af8"/>
          <w:rtl/>
        </w:rPr>
        <w:t>הגרעק"א</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Ref15209011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עג</w:t>
      </w:r>
      <w:r w:rsidR="004D1C5B">
        <w:rPr>
          <w:rStyle w:val="af6"/>
          <w:rFonts w:eastAsia="Guttman Hodes"/>
          <w:rtl/>
        </w:rPr>
        <w:t>)</w:t>
      </w:r>
      <w:r>
        <w:rPr>
          <w:rFonts w:hint="cs"/>
          <w:rtl/>
        </w:rPr>
        <w:fldChar w:fldCharType="end"/>
      </w:r>
      <w:r>
        <w:rPr>
          <w:rFonts w:hint="cs"/>
          <w:rtl/>
        </w:rPr>
        <w:t>.</w:t>
      </w:r>
      <w:bookmarkEnd w:id="7801"/>
    </w:p>
    <w:p w:rsidR="00FF684E" w:rsidRDefault="00FF684E" w:rsidP="007E08E0">
      <w:pPr>
        <w:pStyle w:val="1"/>
        <w:rPr>
          <w:rtl/>
        </w:rPr>
      </w:pPr>
      <w:bookmarkStart w:id="7802" w:name="_Toc15227849"/>
      <w:bookmarkStart w:id="7803" w:name="_Toc15227682"/>
      <w:r>
        <w:rPr>
          <w:rFonts w:hint="cs"/>
          <w:rtl/>
        </w:rPr>
        <w:t>דברי הרדב"ז והלח"מ בביאור הילפותא ממשרת להרמב"ם</w:t>
      </w:r>
      <w:bookmarkEnd w:id="7802"/>
      <w:bookmarkEnd w:id="7803"/>
    </w:p>
    <w:p w:rsidR="00FF684E" w:rsidRDefault="00FF684E" w:rsidP="00FF684E">
      <w:pPr>
        <w:pStyle w:val="a2"/>
        <w:rPr>
          <w:rtl/>
        </w:rPr>
      </w:pPr>
      <w:bookmarkStart w:id="7804" w:name="_Toc15227850"/>
      <w:bookmarkStart w:id="7805" w:name="_Toc15227683"/>
      <w:r>
        <w:rPr>
          <w:rFonts w:hint="cs"/>
          <w:rtl/>
        </w:rPr>
        <w:t>דברי הרדב"ז דלהרמב"ם ממשו הוא אף כשהאיסור לא בעין וטע"כ דרבנן ומשרת הוא אסמכתא</w:t>
      </w:r>
      <w:bookmarkEnd w:id="7804"/>
      <w:bookmarkEnd w:id="7805"/>
    </w:p>
    <w:p w:rsidR="00FF684E" w:rsidRDefault="00FF684E" w:rsidP="009F44AF">
      <w:pPr>
        <w:pStyle w:val="a"/>
        <w:rPr>
          <w:rtl/>
        </w:rPr>
      </w:pPr>
      <w:r>
        <w:rPr>
          <w:rFonts w:hint="cs"/>
          <w:rtl/>
        </w:rPr>
        <w:t xml:space="preserve">כתב </w:t>
      </w:r>
      <w:r>
        <w:rPr>
          <w:rStyle w:val="af8"/>
          <w:rtl/>
        </w:rPr>
        <w:t>הרדב"ז</w:t>
      </w:r>
      <w:r>
        <w:rPr>
          <w:rFonts w:hint="cs"/>
          <w:rtl/>
        </w:rPr>
        <w:t xml:space="preserve"> </w:t>
      </w:r>
      <w:r>
        <w:rPr>
          <w:rStyle w:val="af6"/>
          <w:rFonts w:eastAsia="Guttman Hodes" w:hint="cs"/>
          <w:rtl/>
        </w:rPr>
        <w:t xml:space="preserve">(מאכ"א פט"ו ה"ב, ג') </w:t>
      </w:r>
      <w:r>
        <w:rPr>
          <w:rFonts w:hint="cs"/>
          <w:rtl/>
        </w:rPr>
        <w:t xml:space="preserve">דדעת </w:t>
      </w:r>
      <w:r>
        <w:rPr>
          <w:rStyle w:val="af8"/>
          <w:rtl/>
        </w:rPr>
        <w:t>הרמב"ם</w:t>
      </w:r>
      <w:r>
        <w:rPr>
          <w:rFonts w:hint="cs"/>
          <w:rtl/>
        </w:rPr>
        <w:t xml:space="preserve"> דטעמו וממשו הוא דאו', אף כשאיסור אינו בעין, וכפשטות דברי ריו"ח בע"ז </w:t>
      </w:r>
      <w:r>
        <w:rPr>
          <w:rStyle w:val="af6"/>
          <w:rFonts w:eastAsia="Guttman Hodes" w:hint="cs"/>
          <w:rtl/>
        </w:rPr>
        <w:t>(סז.)</w:t>
      </w:r>
      <w:r>
        <w:rPr>
          <w:rFonts w:hint="cs"/>
          <w:rtl/>
        </w:rPr>
        <w:t xml:space="preserve">, אך ס"ל </w:t>
      </w:r>
      <w:r>
        <w:rPr>
          <w:rStyle w:val="af8"/>
          <w:rtl/>
        </w:rPr>
        <w:t>להרמב"ם</w:t>
      </w:r>
      <w:r>
        <w:rPr>
          <w:rFonts w:hint="cs"/>
          <w:rtl/>
        </w:rPr>
        <w:t xml:space="preserve"> דטעם כעיקר דרבנן, דפסק כרבא בסוגיין דרק בקדשים טעם כעיקר דאו', וס"ל </w:t>
      </w:r>
      <w:r>
        <w:rPr>
          <w:rStyle w:val="af8"/>
          <w:rtl/>
        </w:rPr>
        <w:t>כרש"י</w:t>
      </w:r>
      <w:r>
        <w:rPr>
          <w:rFonts w:hint="cs"/>
          <w:rtl/>
        </w:rPr>
        <w:t xml:space="preserve"> </w:t>
      </w:r>
      <w:r>
        <w:rPr>
          <w:rStyle w:val="af8"/>
          <w:rtl/>
        </w:rPr>
        <w:t xml:space="preserve">בסוגיין </w:t>
      </w:r>
      <w:r>
        <w:rPr>
          <w:rStyle w:val="af6"/>
          <w:rFonts w:eastAsia="Guttman Hodes" w:hint="cs"/>
          <w:rtl/>
        </w:rPr>
        <w:t>(ד"ה לטעם כעיקר, הובא לעיל סימן ח' אות ב)</w:t>
      </w:r>
      <w:r>
        <w:rPr>
          <w:rFonts w:hint="cs"/>
          <w:rtl/>
        </w:rPr>
        <w:t xml:space="preserve"> דהילפותא ממשרת היא אסמכתא.</w:t>
      </w:r>
    </w:p>
    <w:p w:rsidR="00FF684E" w:rsidRDefault="00FF684E" w:rsidP="00FF684E">
      <w:pPr>
        <w:pStyle w:val="a2"/>
        <w:rPr>
          <w:rtl/>
        </w:rPr>
      </w:pPr>
      <w:bookmarkStart w:id="7806" w:name="_Toc15227851"/>
      <w:bookmarkStart w:id="7807" w:name="_Toc15227684"/>
      <w:r>
        <w:rPr>
          <w:rFonts w:hint="cs"/>
          <w:rtl/>
        </w:rPr>
        <w:t>קושית הלח"מ דאי ס"ל להרמב"ם דטע"כ דרבנן היאך פסק בנזיר את הילפותא ממשרת</w:t>
      </w:r>
      <w:bookmarkEnd w:id="7806"/>
      <w:bookmarkEnd w:id="7807"/>
    </w:p>
    <w:p w:rsidR="00FF684E" w:rsidRDefault="00FF684E" w:rsidP="009F44AF">
      <w:pPr>
        <w:pStyle w:val="a"/>
        <w:rPr>
          <w:rtl/>
        </w:rPr>
      </w:pPr>
      <w:r>
        <w:rPr>
          <w:rFonts w:hint="cs"/>
          <w:rtl/>
        </w:rPr>
        <w:t xml:space="preserve">כתב </w:t>
      </w:r>
      <w:r>
        <w:rPr>
          <w:rStyle w:val="af8"/>
          <w:rtl/>
        </w:rPr>
        <w:t>הלח"מ</w:t>
      </w:r>
      <w:r>
        <w:rPr>
          <w:rFonts w:hint="cs"/>
          <w:rtl/>
        </w:rPr>
        <w:t xml:space="preserve"> </w:t>
      </w:r>
      <w:r>
        <w:rPr>
          <w:rStyle w:val="af6"/>
          <w:rFonts w:eastAsia="Guttman Hodes" w:hint="cs"/>
          <w:rtl/>
        </w:rPr>
        <w:t>(נזירות פ"ה ה"ה)</w:t>
      </w:r>
      <w:r>
        <w:rPr>
          <w:rFonts w:hint="cs"/>
          <w:rtl/>
        </w:rPr>
        <w:t xml:space="preserve"> דהא דפסק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Style w:val="af6"/>
          <w:rFonts w:eastAsia="Guttman Hodes" w:hint="cs"/>
          <w:rtl/>
        </w:rPr>
        <w:fldChar w:fldCharType="end"/>
      </w:r>
      <w:r>
        <w:rPr>
          <w:rFonts w:hint="cs"/>
          <w:rtl/>
        </w:rPr>
        <w:t xml:space="preserve"> בדין נזיר דהילפותא ממשרת היא רק כשיש כזית בכדי אכילת פרס, הוא כיון דכתב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Style w:val="af6"/>
          <w:rFonts w:eastAsia="Guttman Hodes" w:hint="cs"/>
          <w:rtl/>
        </w:rPr>
        <w:fldChar w:fldCharType="end"/>
      </w:r>
      <w:r>
        <w:rPr>
          <w:rFonts w:hint="cs"/>
          <w:rtl/>
        </w:rPr>
        <w:t xml:space="preserve"> בדין טעם כעיקר דבפחות מכדי אכילת פרס הוא דרבנן, והביא </w:t>
      </w:r>
      <w:r>
        <w:rPr>
          <w:rStyle w:val="af8"/>
          <w:rtl/>
        </w:rPr>
        <w:t>הלח"מ</w:t>
      </w:r>
      <w:r>
        <w:rPr>
          <w:rFonts w:hint="cs"/>
          <w:rtl/>
        </w:rPr>
        <w:t xml:space="preserve"> את דברי </w:t>
      </w:r>
      <w:r>
        <w:rPr>
          <w:rStyle w:val="af8"/>
          <w:rtl/>
        </w:rPr>
        <w:t>הב"י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Ref15205835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w:t>
      </w:r>
      <w:r w:rsidR="004D1C5B">
        <w:rPr>
          <w:rStyle w:val="af6"/>
          <w:rFonts w:eastAsia="Guttman Hodes"/>
          <w:rtl/>
        </w:rPr>
        <w:t>)</w:t>
      </w:r>
      <w:r>
        <w:rPr>
          <w:rStyle w:val="af6"/>
          <w:rFonts w:eastAsia="Guttman Hodes" w:hint="cs"/>
          <w:rtl/>
        </w:rPr>
        <w:fldChar w:fldCharType="end"/>
      </w:r>
      <w:r>
        <w:rPr>
          <w:rFonts w:hint="cs"/>
          <w:rtl/>
        </w:rPr>
        <w:t xml:space="preserve"> דס"ל </w:t>
      </w:r>
      <w:r>
        <w:rPr>
          <w:rStyle w:val="af8"/>
          <w:rtl/>
        </w:rPr>
        <w:t>להרמב"ם כרש"י</w:t>
      </w:r>
      <w:r>
        <w:rPr>
          <w:rFonts w:hint="cs"/>
          <w:rtl/>
        </w:rPr>
        <w:t xml:space="preserve"> דטעם כעיקר דרבנן, ודלא </w:t>
      </w:r>
      <w:r>
        <w:rPr>
          <w:rStyle w:val="af8"/>
          <w:rtl/>
        </w:rPr>
        <w:t>כר"ת</w:t>
      </w:r>
      <w:r>
        <w:rPr>
          <w:rFonts w:hint="cs"/>
          <w:rtl/>
        </w:rPr>
        <w:t xml:space="preserve"> דטעם כעיקר דאו', אך הקשה </w:t>
      </w:r>
      <w:r>
        <w:rPr>
          <w:rStyle w:val="af8"/>
          <w:rtl/>
        </w:rPr>
        <w:t>הלח"מ</w:t>
      </w:r>
      <w:r>
        <w:rPr>
          <w:rFonts w:hint="cs"/>
          <w:rtl/>
        </w:rPr>
        <w:t xml:space="preserve"> דא"כ היה </w:t>
      </w:r>
      <w:r>
        <w:rPr>
          <w:rStyle w:val="af8"/>
          <w:rtl/>
        </w:rPr>
        <w:t>להרמב"ם</w:t>
      </w:r>
      <w:r>
        <w:rPr>
          <w:rFonts w:hint="cs"/>
          <w:rtl/>
        </w:rPr>
        <w:t xml:space="preserve"> לומר דהילפותא דמשרת היא אסמכתא, או דיש ב' כתובים הבאים כאחד, כדכתב </w:t>
      </w:r>
      <w:r>
        <w:rPr>
          <w:rStyle w:val="af8"/>
          <w:rtl/>
        </w:rPr>
        <w:t xml:space="preserve">בסוגיין </w:t>
      </w:r>
      <w:r>
        <w:rPr>
          <w:rStyle w:val="af6"/>
          <w:rFonts w:eastAsia="Guttman Hodes" w:hint="cs"/>
          <w:rtl/>
        </w:rPr>
        <w:t>(ד"ה לטעם כעיקר, הובא לעיל סימן ח' אות ב)</w:t>
      </w:r>
      <w:r>
        <w:rPr>
          <w:rFonts w:hint="cs"/>
          <w:rtl/>
        </w:rPr>
        <w:t xml:space="preserve"> והיאך כתב </w:t>
      </w:r>
      <w:r>
        <w:rPr>
          <w:rStyle w:val="af8"/>
          <w:rtl/>
        </w:rPr>
        <w:t>הרמב"ם</w:t>
      </w:r>
      <w:r>
        <w:rPr>
          <w:rFonts w:hint="cs"/>
          <w:rtl/>
        </w:rPr>
        <w:t xml:space="preserve"> בדין נזיר דילפינן ממשרת.</w:t>
      </w:r>
    </w:p>
    <w:p w:rsidR="00FF684E" w:rsidRDefault="00FF684E" w:rsidP="00FF684E">
      <w:pPr>
        <w:pStyle w:val="a2"/>
        <w:rPr>
          <w:rtl/>
        </w:rPr>
      </w:pPr>
      <w:bookmarkStart w:id="7808" w:name="_Toc15227852"/>
      <w:bookmarkStart w:id="7809" w:name="_Toc15227685"/>
      <w:r>
        <w:rPr>
          <w:rFonts w:hint="cs"/>
          <w:rtl/>
        </w:rPr>
        <w:t>ביאור הלח"מ דלהרמב"ם הילפותא ממשרת היא לטעמו וממשו ודלא כר"ע ודלא כרבנן בפסחים</w:t>
      </w:r>
      <w:bookmarkEnd w:id="7808"/>
      <w:bookmarkEnd w:id="7809"/>
    </w:p>
    <w:p w:rsidR="00FF684E" w:rsidRDefault="00FF684E" w:rsidP="009F44AF">
      <w:pPr>
        <w:pStyle w:val="a"/>
        <w:rPr>
          <w:rtl/>
        </w:rPr>
      </w:pPr>
      <w:bookmarkStart w:id="7810" w:name="_Ref15205990"/>
      <w:r>
        <w:rPr>
          <w:rFonts w:hint="cs"/>
          <w:rtl/>
        </w:rPr>
        <w:t xml:space="preserve">ותירץ </w:t>
      </w:r>
      <w:r>
        <w:rPr>
          <w:rStyle w:val="af8"/>
          <w:rtl/>
        </w:rPr>
        <w:t>הלח"מ דהרמב"ם</w:t>
      </w:r>
      <w:r>
        <w:rPr>
          <w:rFonts w:hint="cs"/>
          <w:rtl/>
        </w:rPr>
        <w:t xml:space="preserve"> תירץ דאעפ"י דטעם כעיקר דרבנן, מ"מ ילפינן ממשרת לטעמו וממשו, דהיינו בכזית בכדי אכילת פרס, והוא דלא כרבנן דס"ל דממשרת ילפינן דטעם כעיקר דאו', ודלא כר"ע דס"ל דממשרת ילפינן דהיתר מצטרף לאיסור, דפסק </w:t>
      </w:r>
      <w:r>
        <w:rPr>
          <w:rStyle w:val="af8"/>
          <w:rtl/>
        </w:rPr>
        <w:t>הרמב"ם</w:t>
      </w:r>
      <w:r>
        <w:rPr>
          <w:rFonts w:hint="cs"/>
          <w:rtl/>
        </w:rPr>
        <w:t xml:space="preserve"> כדעת האמוראים </w:t>
      </w:r>
      <w:r>
        <w:rPr>
          <w:rStyle w:val="afa"/>
          <w:rtl/>
        </w:rPr>
        <w:t>[רבא בסוגיין וריו"ח בע"ז]</w:t>
      </w:r>
      <w:r>
        <w:rPr>
          <w:rFonts w:hint="cs"/>
          <w:rtl/>
        </w:rPr>
        <w:t xml:space="preserve"> דס"ל דטעם כעיקר דרבנן, ולדבריהם הילפותא ממשרת היא לטעמו וממשו, ודלא כר"ע ודלא כרבנן, והניח </w:t>
      </w:r>
      <w:r>
        <w:rPr>
          <w:rStyle w:val="af8"/>
          <w:rtl/>
        </w:rPr>
        <w:t>הלח"מ</w:t>
      </w:r>
      <w:r>
        <w:rPr>
          <w:rFonts w:hint="cs"/>
          <w:rtl/>
        </w:rPr>
        <w:t xml:space="preserve"> בצ"ע, ועי' במה שביאר </w:t>
      </w:r>
      <w:r>
        <w:rPr>
          <w:rStyle w:val="af8"/>
          <w:rtl/>
        </w:rPr>
        <w:t>הפר"ח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Ref15204525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Pr>
          <w:rFonts w:hint="cs"/>
          <w:rtl/>
        </w:rPr>
        <w:fldChar w:fldCharType="end"/>
      </w:r>
      <w:r>
        <w:rPr>
          <w:rFonts w:hint="cs"/>
          <w:rtl/>
        </w:rPr>
        <w:t xml:space="preserve">, וע"ע במה שהקשה </w:t>
      </w:r>
      <w:r>
        <w:rPr>
          <w:rStyle w:val="af8"/>
          <w:rtl/>
        </w:rPr>
        <w:t>הגרעק"א</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Ref15209011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עג</w:t>
      </w:r>
      <w:r w:rsidR="004D1C5B">
        <w:rPr>
          <w:rStyle w:val="af6"/>
          <w:rFonts w:eastAsia="Guttman Hodes"/>
          <w:rtl/>
        </w:rPr>
        <w:t>)</w:t>
      </w:r>
      <w:r>
        <w:rPr>
          <w:rFonts w:hint="cs"/>
          <w:rtl/>
        </w:rPr>
        <w:fldChar w:fldCharType="end"/>
      </w:r>
      <w:r>
        <w:rPr>
          <w:rFonts w:hint="cs"/>
          <w:rtl/>
        </w:rPr>
        <w:t>.</w:t>
      </w:r>
      <w:bookmarkEnd w:id="7810"/>
    </w:p>
    <w:p w:rsidR="00FF684E" w:rsidRDefault="00FF684E" w:rsidP="007E08E0">
      <w:pPr>
        <w:pStyle w:val="1"/>
        <w:rPr>
          <w:rtl/>
        </w:rPr>
      </w:pPr>
      <w:bookmarkStart w:id="7811" w:name="_Toc15227853"/>
      <w:bookmarkStart w:id="7812" w:name="_Toc15227686"/>
      <w:r>
        <w:rPr>
          <w:rFonts w:hint="cs"/>
          <w:rtl/>
        </w:rPr>
        <w:t>ביאור הגרעק"א דטעמו וממשו הוא רק כשגוף האיסור מעורב</w:t>
      </w:r>
      <w:bookmarkEnd w:id="7811"/>
      <w:bookmarkEnd w:id="7812"/>
    </w:p>
    <w:p w:rsidR="00FF684E" w:rsidRDefault="00FF684E" w:rsidP="00FF684E">
      <w:pPr>
        <w:pStyle w:val="a2"/>
        <w:rPr>
          <w:rtl/>
        </w:rPr>
      </w:pPr>
      <w:bookmarkStart w:id="7813" w:name="_Toc15227854"/>
      <w:bookmarkStart w:id="7814" w:name="_Toc15227687"/>
      <w:r>
        <w:rPr>
          <w:rFonts w:hint="cs"/>
          <w:rtl/>
        </w:rPr>
        <w:t>דברי הגרעק"א דמבואר ברמב"ם דבסילק את היאוסור אינו בכלל ממשו והוא טע"כ דרבנן</w:t>
      </w:r>
      <w:bookmarkEnd w:id="7813"/>
      <w:bookmarkEnd w:id="7814"/>
    </w:p>
    <w:p w:rsidR="00FF684E" w:rsidRDefault="00FF684E" w:rsidP="009F44AF">
      <w:pPr>
        <w:pStyle w:val="a"/>
        <w:rPr>
          <w:rtl/>
        </w:rPr>
      </w:pPr>
      <w:r>
        <w:rPr>
          <w:rFonts w:hint="cs"/>
          <w:rtl/>
        </w:rPr>
        <w:t xml:space="preserve">כתב </w:t>
      </w:r>
      <w:r>
        <w:rPr>
          <w:rStyle w:val="af8"/>
          <w:rtl/>
        </w:rPr>
        <w:t>הגרעק"א</w:t>
      </w:r>
      <w:r>
        <w:rPr>
          <w:rFonts w:hint="cs"/>
          <w:rtl/>
        </w:rPr>
        <w:t xml:space="preserve"> </w:t>
      </w:r>
      <w:r>
        <w:rPr>
          <w:rStyle w:val="af6"/>
          <w:rFonts w:eastAsia="Guttman Hodes" w:hint="cs"/>
          <w:rtl/>
        </w:rPr>
        <w:t>(פסחים מד: ד"ה והנה דקדוק, נד' במהדו' פרנקל בסוף רמב"ם קדושה עמ' שצ"ז)</w:t>
      </w:r>
      <w:r>
        <w:rPr>
          <w:rFonts w:hint="cs"/>
          <w:rtl/>
        </w:rPr>
        <w:t xml:space="preserve"> דמלשון </w:t>
      </w:r>
      <w:r>
        <w:rPr>
          <w:rStyle w:val="af8"/>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Ref15030462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Style w:val="af6"/>
          <w:rFonts w:eastAsia="Guttman Hodes" w:hint="cs"/>
          <w:rtl/>
        </w:rPr>
        <w:fldChar w:fldCharType="end"/>
      </w:r>
      <w:r>
        <w:rPr>
          <w:rFonts w:hint="cs"/>
          <w:rtl/>
        </w:rPr>
        <w:t xml:space="preserve"> משמע דהא דבנימוח החֵלֶב ויש בתערובת כזית בכדי אכילת פרס, הוא אסור מדאו', היינו דוקא באופן שהאיסור עדיין נשאר בתוך התערובת, אבל אם סילק את האיסור, ונשאר בתערובת רק מה שהאיסור פלט, אינו בכלל טעמו וממשו, אלא הוא טעמו ולא ממשו ואסור רק מדרבנן, וכדכתב </w:t>
      </w:r>
      <w:r>
        <w:rPr>
          <w:rStyle w:val="af8"/>
          <w:rtl/>
        </w:rPr>
        <w:t>בכס"מ ובב"י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Ref15205835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w:t>
      </w:r>
      <w:r w:rsidR="004D1C5B">
        <w:rPr>
          <w:rStyle w:val="af6"/>
          <w:rFonts w:eastAsia="Guttman Hodes"/>
          <w:rtl/>
        </w:rPr>
        <w:t>)</w:t>
      </w:r>
      <w:r>
        <w:rPr>
          <w:rStyle w:val="af6"/>
          <w:rFonts w:eastAsia="Guttman Hodes" w:hint="cs"/>
          <w:rtl/>
        </w:rPr>
        <w:fldChar w:fldCharType="end"/>
      </w:r>
      <w:r>
        <w:rPr>
          <w:rFonts w:hint="cs"/>
          <w:rtl/>
        </w:rPr>
        <w:t xml:space="preserve"> דלדעת </w:t>
      </w:r>
      <w:r>
        <w:rPr>
          <w:rStyle w:val="af8"/>
          <w:rtl/>
        </w:rPr>
        <w:t>הרמב"ם</w:t>
      </w:r>
      <w:r>
        <w:rPr>
          <w:rFonts w:hint="cs"/>
          <w:rtl/>
        </w:rPr>
        <w:t xml:space="preserve"> טעם כעיקר דרבנן </w:t>
      </w:r>
      <w:r>
        <w:rPr>
          <w:rStyle w:val="af8"/>
          <w:rtl/>
        </w:rPr>
        <w:t>כרש"י</w:t>
      </w:r>
      <w:r>
        <w:rPr>
          <w:rFonts w:hint="cs"/>
          <w:rtl/>
        </w:rPr>
        <w:t>.</w:t>
      </w:r>
    </w:p>
    <w:p w:rsidR="00FF684E" w:rsidRDefault="00FF684E" w:rsidP="00FF684E">
      <w:pPr>
        <w:pStyle w:val="a2"/>
        <w:rPr>
          <w:rtl/>
        </w:rPr>
      </w:pPr>
      <w:bookmarkStart w:id="7815" w:name="_Toc15227855"/>
      <w:bookmarkStart w:id="7816" w:name="_Toc15227688"/>
      <w:r>
        <w:rPr>
          <w:rFonts w:hint="cs"/>
          <w:rtl/>
        </w:rPr>
        <w:t>דברי הגרעק"א דללח"מ ברמב"ם רק כשגוף האיסור נשאר בתעורבת הוא דאו' אבל בטעמו דרבנן</w:t>
      </w:r>
      <w:bookmarkEnd w:id="7815"/>
      <w:bookmarkEnd w:id="7816"/>
    </w:p>
    <w:p w:rsidR="00FF684E" w:rsidRDefault="00FF684E" w:rsidP="009F44AF">
      <w:pPr>
        <w:pStyle w:val="a"/>
        <w:rPr>
          <w:rtl/>
        </w:rPr>
      </w:pPr>
      <w:r>
        <w:rPr>
          <w:rFonts w:hint="cs"/>
          <w:rtl/>
        </w:rPr>
        <w:t xml:space="preserve">והביא </w:t>
      </w:r>
      <w:r>
        <w:rPr>
          <w:rStyle w:val="af8"/>
          <w:rtl/>
        </w:rPr>
        <w:t>הגרעק"א</w:t>
      </w:r>
      <w:r>
        <w:rPr>
          <w:rFonts w:hint="cs"/>
          <w:rtl/>
        </w:rPr>
        <w:t xml:space="preserve"> </w:t>
      </w:r>
      <w:r>
        <w:rPr>
          <w:rStyle w:val="af6"/>
          <w:rFonts w:eastAsia="Guttman Hodes" w:hint="cs"/>
          <w:rtl/>
        </w:rPr>
        <w:t>(פסחים מד: ד"ה הרמב"ם, נד' במהדו' פרנקל בסוף רמב"ם קדושה עמ' שצ"ז)</w:t>
      </w:r>
      <w:r>
        <w:rPr>
          <w:rFonts w:hint="cs"/>
          <w:rtl/>
        </w:rPr>
        <w:t xml:space="preserve"> את קושית </w:t>
      </w:r>
      <w:r>
        <w:rPr>
          <w:rStyle w:val="af8"/>
          <w:rtl/>
        </w:rPr>
        <w:t>הלח"מ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Ref13133940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מא</w:t>
      </w:r>
      <w:r w:rsidR="004D1C5B">
        <w:rPr>
          <w:rStyle w:val="af6"/>
          <w:rFonts w:eastAsia="Guttman Hodes"/>
          <w:rtl/>
        </w:rPr>
        <w:t>)</w:t>
      </w:r>
      <w:r>
        <w:rPr>
          <w:rStyle w:val="af6"/>
          <w:rFonts w:eastAsia="Guttman Hodes" w:hint="cs"/>
          <w:rtl/>
        </w:rPr>
        <w:fldChar w:fldCharType="end"/>
      </w:r>
      <w:r>
        <w:rPr>
          <w:rFonts w:hint="cs"/>
          <w:rtl/>
        </w:rPr>
        <w:t xml:space="preserve"> על </w:t>
      </w:r>
      <w:r>
        <w:rPr>
          <w:rStyle w:val="af8"/>
          <w:rtl/>
        </w:rPr>
        <w:t>הב"י</w:t>
      </w:r>
      <w:r>
        <w:rPr>
          <w:rFonts w:hint="cs"/>
          <w:rtl/>
        </w:rPr>
        <w:t xml:space="preserve"> דהרי </w:t>
      </w:r>
      <w:r>
        <w:rPr>
          <w:rStyle w:val="af8"/>
          <w:rtl/>
        </w:rPr>
        <w:t>רש"י בע"ז</w:t>
      </w:r>
      <w:r>
        <w:rPr>
          <w:rFonts w:hint="cs"/>
          <w:rtl/>
        </w:rPr>
        <w:t xml:space="preserve"> </w:t>
      </w:r>
      <w:r>
        <w:rPr>
          <w:rStyle w:val="af6"/>
          <w:rFonts w:eastAsia="Guttman Hodes" w:hint="cs"/>
          <w:rtl/>
        </w:rPr>
        <w:t xml:space="preserve">(הובא לעיל סימן ט' </w:t>
      </w:r>
      <w:r>
        <w:rPr>
          <w:rStyle w:val="af6"/>
          <w:rFonts w:eastAsia="Guttman Hodes" w:hint="cs"/>
          <w:rtl/>
        </w:rPr>
        <w:lastRenderedPageBreak/>
        <w:t xml:space="preserve">אות ג) </w:t>
      </w:r>
      <w:r>
        <w:rPr>
          <w:rFonts w:hint="cs"/>
          <w:rtl/>
        </w:rPr>
        <w:t xml:space="preserve">ס"ל דאיסור שנימוח נקרא טעמו ולא ממשו, וכיון שממשו אינו בעין בתערובת, אסור מדרבנן, אבל מדברי </w:t>
      </w:r>
      <w:r>
        <w:rPr>
          <w:rStyle w:val="af8"/>
          <w:rtl/>
        </w:rPr>
        <w:t>הרמב"ם</w:t>
      </w:r>
      <w:r>
        <w:rPr>
          <w:rFonts w:hint="cs"/>
          <w:rtl/>
        </w:rPr>
        <w:t xml:space="preserve"> מבואר דאף חֵלֶב שנימוח, כל שיש בו כזית בכדי אכילת פרס לוקין עליו, וכתב </w:t>
      </w:r>
      <w:r>
        <w:rPr>
          <w:rStyle w:val="af8"/>
          <w:rtl/>
        </w:rPr>
        <w:t>הגרעק"א</w:t>
      </w:r>
      <w:r>
        <w:rPr>
          <w:rFonts w:hint="cs"/>
          <w:rtl/>
        </w:rPr>
        <w:t xml:space="preserve"> דלפי דברי </w:t>
      </w:r>
      <w:r>
        <w:rPr>
          <w:rStyle w:val="af8"/>
          <w:rtl/>
        </w:rPr>
        <w:t>הלח"מ</w:t>
      </w:r>
      <w:r>
        <w:rPr>
          <w:rFonts w:hint="cs"/>
          <w:rtl/>
        </w:rPr>
        <w:t xml:space="preserve"> </w:t>
      </w:r>
      <w:r>
        <w:rPr>
          <w:rStyle w:val="af8"/>
          <w:rtl/>
        </w:rPr>
        <w:t>דלהרמב"ם</w:t>
      </w:r>
      <w:r>
        <w:rPr>
          <w:rFonts w:hint="cs"/>
          <w:rtl/>
        </w:rPr>
        <w:t xml:space="preserve"> האיסור מדאו' הוא רק כשהחֵלֶב נשאר בתוך התערובת, אבל כשהוציאו מהתערובת ונשאר בה רק פליטתו אסור מדרבנן, א"כ מבואר דאף </w:t>
      </w:r>
      <w:r>
        <w:rPr>
          <w:rStyle w:val="af8"/>
          <w:rtl/>
        </w:rPr>
        <w:t>להרמב"ם</w:t>
      </w:r>
      <w:r>
        <w:rPr>
          <w:rFonts w:hint="cs"/>
          <w:rtl/>
        </w:rPr>
        <w:t xml:space="preserve"> הפליטה של האיסור שנימוח, היא בכלל טעמו ולא ממשו.</w:t>
      </w:r>
    </w:p>
    <w:p w:rsidR="00FF684E" w:rsidRDefault="00FF684E" w:rsidP="007E08E0">
      <w:pPr>
        <w:pStyle w:val="1"/>
        <w:rPr>
          <w:rtl/>
        </w:rPr>
      </w:pPr>
      <w:bookmarkStart w:id="7817" w:name="_Toc15227856"/>
      <w:bookmarkStart w:id="7818" w:name="_Toc15227689"/>
      <w:r>
        <w:rPr>
          <w:rFonts w:hint="cs"/>
          <w:rtl/>
        </w:rPr>
        <w:t>ביאור הגרעק"א דבטעם לבדו כשרה ענבים במים הוא דרבנן</w:t>
      </w:r>
      <w:bookmarkEnd w:id="7817"/>
      <w:bookmarkEnd w:id="7818"/>
    </w:p>
    <w:p w:rsidR="00FF684E" w:rsidRDefault="00FF684E" w:rsidP="00FF684E">
      <w:pPr>
        <w:pStyle w:val="a2"/>
        <w:rPr>
          <w:rtl/>
        </w:rPr>
      </w:pPr>
      <w:bookmarkStart w:id="7819" w:name="_Toc15227857"/>
      <w:bookmarkStart w:id="7820" w:name="_Toc15227690"/>
      <w:r>
        <w:rPr>
          <w:rFonts w:hint="cs"/>
          <w:rtl/>
        </w:rPr>
        <w:t>קושית הגרעק"א אמאי כתב הרמב"ם דמשרת לשרה פת ביין ולא לשרה ענבים במים כדאי' בגמ'</w:t>
      </w:r>
      <w:bookmarkEnd w:id="7819"/>
      <w:bookmarkEnd w:id="7820"/>
    </w:p>
    <w:p w:rsidR="00FF684E" w:rsidRDefault="00FF684E" w:rsidP="009F44AF">
      <w:pPr>
        <w:pStyle w:val="a"/>
        <w:rPr>
          <w:rtl/>
        </w:rPr>
      </w:pPr>
      <w:bookmarkStart w:id="7821" w:name="_Ref15209011"/>
      <w:r>
        <w:rPr>
          <w:rFonts w:hint="cs"/>
          <w:rtl/>
        </w:rPr>
        <w:t xml:space="preserve">והביא </w:t>
      </w:r>
      <w:r>
        <w:rPr>
          <w:rStyle w:val="af8"/>
          <w:rtl/>
        </w:rPr>
        <w:t>הגרעק"א</w:t>
      </w:r>
      <w:r>
        <w:rPr>
          <w:rFonts w:hint="cs"/>
          <w:rtl/>
        </w:rPr>
        <w:t xml:space="preserve"> את 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בדין נזיר, דכתב דהילפותא ממשרת היא לדין שרה פתו ביין, ויש רביעית יין בכדי אכילת פרס מהפת, ואכל הנזיר שיעור פרס, וא"כ אכל רביעית יין בשיעור אכילת פרס, ולוקה עליו, והקשה </w:t>
      </w:r>
      <w:r>
        <w:rPr>
          <w:rStyle w:val="af8"/>
          <w:rtl/>
        </w:rPr>
        <w:t>הגרעק"א</w:t>
      </w:r>
      <w:r>
        <w:rPr>
          <w:rFonts w:hint="cs"/>
          <w:rtl/>
        </w:rPr>
        <w:t xml:space="preserve"> אמאי השמיט </w:t>
      </w:r>
      <w:r>
        <w:rPr>
          <w:rStyle w:val="af8"/>
          <w:rtl/>
        </w:rPr>
        <w:t>הרמב"ם</w:t>
      </w:r>
      <w:r>
        <w:rPr>
          <w:rFonts w:hint="cs"/>
          <w:rtl/>
        </w:rPr>
        <w:t xml:space="preserve"> את לשון הברייתא בפסחים</w:t>
      </w:r>
      <w:r>
        <w:rPr>
          <w:rStyle w:val="af6"/>
          <w:rFonts w:eastAsia="Guttman Hodes" w:hint="cs"/>
          <w:rtl/>
        </w:rPr>
        <w:t xml:space="preserve"> (מד:) </w:t>
      </w:r>
      <w:r>
        <w:rPr>
          <w:rFonts w:hint="cs"/>
          <w:rtl/>
        </w:rPr>
        <w:t>ובנזיר</w:t>
      </w:r>
      <w:r>
        <w:rPr>
          <w:rStyle w:val="af6"/>
          <w:rFonts w:eastAsia="Guttman Hodes" w:hint="cs"/>
          <w:rtl/>
        </w:rPr>
        <w:t xml:space="preserve"> (לז.)</w:t>
      </w:r>
      <w:r>
        <w:rPr>
          <w:rFonts w:hint="cs"/>
          <w:rtl/>
        </w:rPr>
        <w:t xml:space="preserve">, דהילפותא </w:t>
      </w:r>
      <w:r>
        <w:rPr>
          <w:rFonts w:hint="cs"/>
          <w:rtl/>
        </w:rPr>
        <w:t xml:space="preserve">ממשרת היא לשרה ענבים במים ויש בהם טעם יין, ועי' במה שביאר בזה </w:t>
      </w:r>
      <w:r>
        <w:rPr>
          <w:rStyle w:val="af8"/>
          <w:rtl/>
        </w:rPr>
        <w:t>הפר"ח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Ref15204525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Pr>
          <w:rFonts w:hint="cs"/>
          <w:rtl/>
        </w:rPr>
        <w:fldChar w:fldCharType="end"/>
      </w:r>
      <w:r>
        <w:rPr>
          <w:rFonts w:hint="cs"/>
          <w:rtl/>
        </w:rPr>
        <w:t xml:space="preserve">, ובמ"ש </w:t>
      </w:r>
      <w:r>
        <w:rPr>
          <w:rStyle w:val="af8"/>
          <w:rtl/>
        </w:rPr>
        <w:t>הגר"ח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Ref15223511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צא</w:t>
      </w:r>
      <w:r w:rsidR="004D1C5B">
        <w:rPr>
          <w:rStyle w:val="af6"/>
          <w:rFonts w:eastAsia="Guttman Hodes"/>
          <w:rtl/>
        </w:rPr>
        <w:t>)</w:t>
      </w:r>
      <w:r>
        <w:rPr>
          <w:rFonts w:hint="cs"/>
          <w:rtl/>
        </w:rPr>
        <w:fldChar w:fldCharType="end"/>
      </w:r>
      <w:r>
        <w:rPr>
          <w:rFonts w:hint="cs"/>
          <w:rtl/>
        </w:rPr>
        <w:t>.</w:t>
      </w:r>
      <w:bookmarkEnd w:id="7821"/>
    </w:p>
    <w:p w:rsidR="00FF684E" w:rsidRDefault="00FF684E" w:rsidP="00FF684E">
      <w:pPr>
        <w:pStyle w:val="a2"/>
        <w:rPr>
          <w:rtl/>
        </w:rPr>
      </w:pPr>
      <w:bookmarkStart w:id="7822" w:name="_Toc15227858"/>
      <w:bookmarkStart w:id="7823" w:name="_Toc15227691"/>
      <w:r>
        <w:rPr>
          <w:rFonts w:hint="cs"/>
          <w:rtl/>
        </w:rPr>
        <w:t>ביאור הגרעק"א ברמב"ם דבשרה ענבים במים שיש רק טעם אף ברביעית בכא"פ הוא דרבנן</w:t>
      </w:r>
      <w:bookmarkEnd w:id="7822"/>
      <w:bookmarkEnd w:id="7823"/>
      <w:r>
        <w:rPr>
          <w:rFonts w:hint="cs"/>
          <w:rtl/>
        </w:rPr>
        <w:t xml:space="preserve"> </w:t>
      </w:r>
    </w:p>
    <w:p w:rsidR="00FF684E" w:rsidRDefault="00FF684E" w:rsidP="009F44AF">
      <w:pPr>
        <w:pStyle w:val="a"/>
        <w:rPr>
          <w:rtl/>
        </w:rPr>
      </w:pPr>
      <w:r>
        <w:rPr>
          <w:rFonts w:hint="cs"/>
          <w:rtl/>
        </w:rPr>
        <w:t xml:space="preserve">אלא כתב </w:t>
      </w:r>
      <w:r>
        <w:rPr>
          <w:rStyle w:val="af8"/>
          <w:rtl/>
        </w:rPr>
        <w:t>הגרעק"א</w:t>
      </w:r>
      <w:r>
        <w:rPr>
          <w:rFonts w:hint="cs"/>
          <w:rtl/>
        </w:rPr>
        <w:t xml:space="preserve"> דמוכח מדברי </w:t>
      </w:r>
      <w:r>
        <w:rPr>
          <w:rStyle w:val="af8"/>
          <w:rtl/>
        </w:rPr>
        <w:t>הרמב"ם</w:t>
      </w:r>
      <w:r>
        <w:rPr>
          <w:rFonts w:hint="cs"/>
          <w:rtl/>
        </w:rPr>
        <w:t xml:space="preserve"> דהא דלוקין על טעם בכזית בכדי אכילת פרס, הוא דוקא במקום שיש בתערובת ממשות של היין, אבל בשרה ענבים מים, שנפלט מהענבים רק הטעם שלהם ואין במים את ממשות הענבים, אף אם יש טעם במים כמו טעם של רביעית יין שמעורבת בכדי פרס מהמים, מ"מ אסור רק מדרבנן, וציין </w:t>
      </w:r>
      <w:r>
        <w:rPr>
          <w:rStyle w:val="af8"/>
          <w:rtl/>
        </w:rPr>
        <w:t>הגרעק"א</w:t>
      </w:r>
      <w:r>
        <w:rPr>
          <w:rFonts w:hint="cs"/>
          <w:rtl/>
        </w:rPr>
        <w:t xml:space="preserve"> דכ"כ </w:t>
      </w:r>
      <w:r>
        <w:rPr>
          <w:rStyle w:val="af8"/>
          <w:rtl/>
        </w:rPr>
        <w:t>הלח"מ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Ref15205990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ע</w:t>
      </w:r>
      <w:r w:rsidR="004D1C5B">
        <w:rPr>
          <w:rStyle w:val="af6"/>
          <w:rFonts w:eastAsia="Guttman Hodes"/>
          <w:rtl/>
        </w:rPr>
        <w:t>)</w:t>
      </w:r>
      <w:r>
        <w:rPr>
          <w:rStyle w:val="af6"/>
          <w:rFonts w:eastAsia="Guttman Hodes" w:hint="cs"/>
          <w:rtl/>
        </w:rPr>
        <w:fldChar w:fldCharType="end"/>
      </w:r>
      <w:r>
        <w:rPr>
          <w:rFonts w:hint="cs"/>
          <w:rtl/>
        </w:rPr>
        <w:t xml:space="preserve"> בדעת </w:t>
      </w:r>
      <w:r>
        <w:rPr>
          <w:rStyle w:val="af8"/>
          <w:rtl/>
        </w:rPr>
        <w:t>הרמב"ם</w:t>
      </w:r>
      <w:r>
        <w:rPr>
          <w:rFonts w:hint="cs"/>
          <w:rtl/>
        </w:rPr>
        <w:t xml:space="preserve"> דממשרת ילפינן לטעמו וממשו בכזית בכדי אכילת פרס, ולא לשרה ענבים במים, והוסיף </w:t>
      </w:r>
      <w:r>
        <w:rPr>
          <w:rStyle w:val="af8"/>
          <w:rtl/>
        </w:rPr>
        <w:t>הגרעק"א</w:t>
      </w:r>
      <w:r>
        <w:rPr>
          <w:rFonts w:hint="cs"/>
          <w:rtl/>
        </w:rPr>
        <w:t xml:space="preserve"> דא"כ צ"ל דס"ל </w:t>
      </w:r>
      <w:r>
        <w:rPr>
          <w:rStyle w:val="af8"/>
          <w:rtl/>
        </w:rPr>
        <w:t>להרמב"ם</w:t>
      </w:r>
      <w:r>
        <w:rPr>
          <w:rFonts w:hint="cs"/>
          <w:rtl/>
        </w:rPr>
        <w:t xml:space="preserve"> דלא ילפינן מגיעולי עכו"ם דהוא חידוש, כיון שבגיעולי עכו"ם יש רק את פליטת האיסור ולא את ממשו, </w:t>
      </w:r>
      <w:r>
        <w:rPr>
          <w:rStyle w:val="afa"/>
          <w:rtl/>
        </w:rPr>
        <w:t xml:space="preserve">[ועיי"ש במה שביאר </w:t>
      </w:r>
      <w:r>
        <w:rPr>
          <w:rStyle w:val="affa"/>
          <w:rtl/>
        </w:rPr>
        <w:t>הגרעק"א</w:t>
      </w:r>
      <w:r>
        <w:rPr>
          <w:rStyle w:val="afa"/>
          <w:rtl/>
        </w:rPr>
        <w:t xml:space="preserve"> בדברי </w:t>
      </w:r>
      <w:r>
        <w:rPr>
          <w:rStyle w:val="affa"/>
          <w:rtl/>
        </w:rPr>
        <w:t>הרמב"ם</w:t>
      </w:r>
      <w:r>
        <w:rPr>
          <w:rStyle w:val="afa"/>
          <w:rtl/>
        </w:rPr>
        <w:t xml:space="preserve"> </w:t>
      </w:r>
      <w:r>
        <w:rPr>
          <w:rStyle w:val="aff6"/>
          <w:rtl/>
        </w:rPr>
        <w:t>(מאכ"א פי"ז ה"א)</w:t>
      </w:r>
      <w:r>
        <w:rPr>
          <w:rStyle w:val="afa"/>
          <w:rtl/>
        </w:rPr>
        <w:t xml:space="preserve"> בדין גיעולי עכו"ם],</w:t>
      </w:r>
      <w:r>
        <w:rPr>
          <w:rFonts w:hint="cs"/>
          <w:rtl/>
        </w:rPr>
        <w:t xml:space="preserve"> ועי' במה שהקשה </w:t>
      </w:r>
      <w:r>
        <w:rPr>
          <w:rStyle w:val="af8"/>
          <w:rtl/>
        </w:rPr>
        <w:t>האבאה"ז</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Ref15227466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קטו</w:t>
      </w:r>
      <w:r w:rsidR="004D1C5B">
        <w:rPr>
          <w:rStyle w:val="af6"/>
          <w:rFonts w:eastAsia="Guttman Hodes"/>
          <w:rtl/>
        </w:rPr>
        <w:t>)</w:t>
      </w:r>
      <w:r>
        <w:rPr>
          <w:rStyle w:val="af6"/>
          <w:rFonts w:eastAsia="Guttman Hodes" w:hint="cs"/>
          <w:rtl/>
        </w:rPr>
        <w:fldChar w:fldCharType="end"/>
      </w:r>
      <w:r>
        <w:rPr>
          <w:rFonts w:hint="cs"/>
          <w:rtl/>
        </w:rPr>
        <w:t xml:space="preserve"> מגיעולי עכו"ם.</w:t>
      </w:r>
    </w:p>
    <w:p w:rsidR="00FF684E" w:rsidRDefault="00FF684E" w:rsidP="00FF684E">
      <w:pPr>
        <w:bidi w:val="0"/>
        <w:spacing w:line="240" w:lineRule="auto"/>
        <w:ind w:left="0"/>
        <w:jc w:val="left"/>
        <w:rPr>
          <w:rFonts w:ascii="Guttman Hodes" w:eastAsia="Guttman Hodes" w:hAnsi="Guttman Hodes" w:cs="Guttman Hodes"/>
          <w:noProof/>
          <w:sz w:val="18"/>
          <w:szCs w:val="18"/>
          <w:rtl/>
        </w:rPr>
        <w:sectPr w:rsidR="00FF684E">
          <w:type w:val="continuous"/>
          <w:pgSz w:w="11906" w:h="16838"/>
          <w:pgMar w:top="720" w:right="720" w:bottom="720" w:left="720" w:header="283" w:footer="283" w:gutter="0"/>
          <w:cols w:num="2" w:space="567"/>
          <w:bidi/>
          <w:rtlGutter/>
        </w:sectPr>
      </w:pPr>
    </w:p>
    <w:p w:rsidR="00491B52" w:rsidRDefault="00491B52" w:rsidP="00FF684E">
      <w:pPr>
        <w:tabs>
          <w:tab w:val="left" w:pos="1163"/>
        </w:tabs>
        <w:spacing w:line="240" w:lineRule="auto"/>
        <w:ind w:left="0"/>
        <w:jc w:val="center"/>
        <w:rPr>
          <w:rFonts w:ascii="Guttman Hodes" w:eastAsia="Guttman Hodes" w:hAnsi="Guttman Hodes" w:cs="Guttman Hodes"/>
          <w:noProof/>
          <w:sz w:val="18"/>
          <w:szCs w:val="18"/>
        </w:rPr>
        <w:sectPr w:rsidR="00491B52">
          <w:type w:val="continuous"/>
          <w:pgSz w:w="11906" w:h="16838"/>
          <w:pgMar w:top="720" w:right="720" w:bottom="720" w:left="720" w:header="283" w:footer="283" w:gutter="0"/>
          <w:cols w:space="720"/>
          <w:bidi/>
          <w:rtlGutter/>
        </w:sectPr>
      </w:pPr>
    </w:p>
    <w:p w:rsidR="00A61745" w:rsidRPr="00A61745" w:rsidRDefault="00A61745" w:rsidP="00A61745">
      <w:pPr>
        <w:pStyle w:val="1"/>
        <w:rPr>
          <w:rtl/>
        </w:rPr>
        <w:sectPr w:rsidR="00A61745" w:rsidRPr="00A61745" w:rsidSect="00A61745">
          <w:type w:val="continuous"/>
          <w:pgSz w:w="11906" w:h="16838"/>
          <w:pgMar w:top="720" w:right="720" w:bottom="720" w:left="720" w:header="283" w:footer="283" w:gutter="0"/>
          <w:cols w:space="720"/>
          <w:bidi/>
          <w:rtlGutter/>
        </w:sectPr>
      </w:pPr>
      <w:bookmarkStart w:id="7824" w:name="_Toc15227860"/>
      <w:bookmarkStart w:id="7825" w:name="_Toc15227693"/>
      <w:bookmarkStart w:id="7826" w:name="_Toc15163230"/>
      <w:bookmarkStart w:id="7827" w:name="_Toc15057779"/>
      <w:bookmarkStart w:id="7828" w:name="_Toc15035036"/>
      <w:bookmarkStart w:id="7829" w:name="_Toc14993509"/>
      <w:bookmarkStart w:id="7830" w:name="_Toc14973657"/>
    </w:p>
    <w:p w:rsidR="000C163D" w:rsidRDefault="00651E3B" w:rsidP="000C163D">
      <w:pPr>
        <w:tabs>
          <w:tab w:val="left" w:pos="1163"/>
        </w:tabs>
        <w:spacing w:line="240" w:lineRule="auto"/>
        <w:ind w:left="0"/>
        <w:jc w:val="center"/>
        <w:rPr>
          <w:rtl/>
        </w:rPr>
      </w:pPr>
      <w:r>
        <w:rPr>
          <w:rFonts w:ascii="Guttman Hodes" w:eastAsia="Guttman Hodes" w:hAnsi="Guttman Hodes" w:cs="Guttman Hodes"/>
          <w:noProof/>
          <w:sz w:val="18"/>
          <w:szCs w:val="18"/>
        </w:rPr>
        <w:lastRenderedPageBreak/>
        <w:pict>
          <v:shape id="_x0000_i1029" type="#_x0000_t75" style="width:404.55pt;height:6.8pt" o:hrpct="0" o:hralign="center" o:hr="t">
            <v:imagedata r:id="rId48" o:title="BD14845_"/>
          </v:shape>
        </w:pict>
      </w:r>
    </w:p>
    <w:p w:rsidR="000C163D" w:rsidRDefault="000C163D" w:rsidP="00E669F8">
      <w:pPr>
        <w:pStyle w:val="afd"/>
        <w:rPr>
          <w:rtl/>
        </w:rPr>
      </w:pPr>
      <w:bookmarkStart w:id="7831" w:name="_Toc15227859"/>
      <w:bookmarkStart w:id="7832" w:name="_Toc15227692"/>
      <w:bookmarkStart w:id="7833" w:name="_Toc15163229"/>
      <w:bookmarkStart w:id="7834" w:name="_Toc15057778"/>
      <w:bookmarkStart w:id="7835" w:name="_Toc15035035"/>
      <w:bookmarkStart w:id="7836" w:name="_Toc14993508"/>
      <w:bookmarkStart w:id="7837" w:name="_Toc14973656"/>
      <w:r>
        <w:rPr>
          <w:rFonts w:hint="cs"/>
          <w:rtl/>
        </w:rPr>
        <w:t>ביאורי ראשי הישיבות</w:t>
      </w:r>
      <w:bookmarkEnd w:id="7831"/>
      <w:bookmarkEnd w:id="7832"/>
      <w:bookmarkEnd w:id="7833"/>
      <w:bookmarkEnd w:id="7834"/>
      <w:bookmarkEnd w:id="7835"/>
      <w:bookmarkEnd w:id="7836"/>
      <w:bookmarkEnd w:id="7837"/>
    </w:p>
    <w:p w:rsidR="000C163D" w:rsidRDefault="000C163D" w:rsidP="00E669F8">
      <w:pPr>
        <w:pStyle w:val="afd"/>
        <w:rPr>
          <w:rtl/>
        </w:rPr>
        <w:sectPr w:rsidR="000C163D" w:rsidSect="000C163D">
          <w:pgSz w:w="11906" w:h="16838"/>
          <w:pgMar w:top="720" w:right="720" w:bottom="720" w:left="720" w:header="283" w:footer="283" w:gutter="0"/>
          <w:cols w:space="567"/>
          <w:bidi/>
          <w:rtlGutter/>
          <w:docGrid w:linePitch="299"/>
        </w:sectPr>
      </w:pPr>
    </w:p>
    <w:p w:rsidR="007E08E0" w:rsidRDefault="007E08E0" w:rsidP="00E669F8">
      <w:pPr>
        <w:pStyle w:val="afd"/>
        <w:rPr>
          <w:rtl/>
        </w:rPr>
      </w:pPr>
      <w:r>
        <w:rPr>
          <w:rFonts w:hint="cs"/>
          <w:rtl/>
        </w:rPr>
        <w:t>ביאור הגר"ח בדעת הרמב"ם</w:t>
      </w:r>
      <w:bookmarkEnd w:id="7824"/>
      <w:bookmarkEnd w:id="7825"/>
      <w:bookmarkEnd w:id="7826"/>
      <w:bookmarkEnd w:id="7827"/>
      <w:bookmarkEnd w:id="7828"/>
      <w:bookmarkEnd w:id="7829"/>
      <w:bookmarkEnd w:id="7830"/>
    </w:p>
    <w:p w:rsidR="007E08E0" w:rsidRDefault="007E08E0" w:rsidP="007E08E0">
      <w:pPr>
        <w:pStyle w:val="1"/>
        <w:rPr>
          <w:rtl/>
        </w:rPr>
      </w:pPr>
      <w:bookmarkStart w:id="7838" w:name="_Toc15163231"/>
      <w:bookmarkStart w:id="7839" w:name="_Toc15057780"/>
      <w:bookmarkStart w:id="7840" w:name="_Toc15035037"/>
      <w:bookmarkStart w:id="7841" w:name="_Toc14993510"/>
      <w:bookmarkStart w:id="7842" w:name="_Toc14973658"/>
      <w:bookmarkStart w:id="7843" w:name="_Toc15227861"/>
      <w:bookmarkStart w:id="7844" w:name="_Toc15227694"/>
      <w:r>
        <w:rPr>
          <w:rFonts w:hint="cs"/>
          <w:rtl/>
        </w:rPr>
        <w:t>ביאור הגר"ח דהרמב"ם והראב"ד</w:t>
      </w:r>
      <w:bookmarkEnd w:id="7838"/>
      <w:bookmarkEnd w:id="7839"/>
      <w:bookmarkEnd w:id="7840"/>
      <w:bookmarkEnd w:id="7841"/>
      <w:bookmarkEnd w:id="7842"/>
      <w:r>
        <w:rPr>
          <w:rFonts w:hint="cs"/>
          <w:rtl/>
        </w:rPr>
        <w:t xml:space="preserve"> פליגי אי פחות מכא"פ מדאו'</w:t>
      </w:r>
      <w:bookmarkEnd w:id="7843"/>
      <w:bookmarkEnd w:id="7844"/>
    </w:p>
    <w:p w:rsidR="007E08E0" w:rsidRDefault="007E08E0" w:rsidP="007E08E0">
      <w:pPr>
        <w:pStyle w:val="a2"/>
        <w:rPr>
          <w:rtl/>
        </w:rPr>
      </w:pPr>
      <w:bookmarkStart w:id="7845" w:name="_Toc15227862"/>
      <w:bookmarkStart w:id="7846" w:name="_Toc15227695"/>
      <w:r>
        <w:rPr>
          <w:rFonts w:hint="cs"/>
          <w:rtl/>
        </w:rPr>
        <w:t>ביאור הגר"ח ברמב"ם דס"ל כרבינו אליהו דטע"כ דאו' בכזית בכא"פ ובפחות מכא"פ הוא דרבנן</w:t>
      </w:r>
      <w:bookmarkEnd w:id="7845"/>
      <w:bookmarkEnd w:id="7846"/>
    </w:p>
    <w:p w:rsidR="007E08E0" w:rsidRDefault="007E08E0" w:rsidP="009F44AF">
      <w:pPr>
        <w:pStyle w:val="a"/>
        <w:rPr>
          <w:rtl/>
        </w:rPr>
      </w:pPr>
      <w:bookmarkStart w:id="7847" w:name="_Ref15845578"/>
      <w:r>
        <w:rPr>
          <w:rFonts w:hint="cs"/>
          <w:rtl/>
        </w:rPr>
        <w:t xml:space="preserve">כתב </w:t>
      </w:r>
      <w:r>
        <w:rPr>
          <w:rStyle w:val="af8"/>
          <w:rtl/>
        </w:rPr>
        <w:t>הגר"ח</w:t>
      </w:r>
      <w:r>
        <w:rPr>
          <w:rFonts w:hint="cs"/>
          <w:rtl/>
        </w:rPr>
        <w:t xml:space="preserve"> </w:t>
      </w:r>
      <w:r>
        <w:rPr>
          <w:rStyle w:val="af6"/>
          <w:rFonts w:eastAsia="Guttman Hodes" w:hint="cs"/>
          <w:rtl/>
        </w:rPr>
        <w:t xml:space="preserve">(מאכ"א פט"ו ה"א) </w:t>
      </w:r>
      <w:r>
        <w:rPr>
          <w:rFonts w:hint="cs"/>
          <w:rtl/>
        </w:rPr>
        <w:t xml:space="preserve">דמדברי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Ref14726189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Fonts w:hint="cs"/>
          <w:rtl/>
        </w:rPr>
        <w:fldChar w:fldCharType="end"/>
      </w:r>
      <w:r>
        <w:rPr>
          <w:rFonts w:hint="cs"/>
          <w:rtl/>
        </w:rPr>
        <w:t xml:space="preserve"> בדין טעם כעיקר, ומדברי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Ref14898712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ז</w:t>
      </w:r>
      <w:r w:rsidR="004D1C5B">
        <w:rPr>
          <w:rStyle w:val="af6"/>
          <w:rFonts w:eastAsia="Guttman Hodes"/>
          <w:rtl/>
        </w:rPr>
        <w:t>)</w:t>
      </w:r>
      <w:r>
        <w:rPr>
          <w:rFonts w:hint="cs"/>
          <w:rtl/>
        </w:rPr>
        <w:fldChar w:fldCharType="end"/>
      </w:r>
      <w:r>
        <w:rPr>
          <w:rFonts w:hint="cs"/>
          <w:rtl/>
        </w:rPr>
        <w:t xml:space="preserve"> בדין נזיר, מבואר דס"ל </w:t>
      </w:r>
      <w:r>
        <w:rPr>
          <w:rStyle w:val="af8"/>
          <w:rtl/>
        </w:rPr>
        <w:t>להרמב"ם</w:t>
      </w:r>
      <w:r>
        <w:rPr>
          <w:rFonts w:hint="cs"/>
          <w:rtl/>
        </w:rPr>
        <w:t xml:space="preserve"> כדעת </w:t>
      </w:r>
      <w:r>
        <w:rPr>
          <w:rStyle w:val="af8"/>
          <w:rtl/>
        </w:rPr>
        <w:t>רבינו אליהו בתוס' בע"ז</w:t>
      </w:r>
      <w:r>
        <w:rPr>
          <w:rFonts w:hint="cs"/>
          <w:rtl/>
        </w:rPr>
        <w:t xml:space="preserve"> </w:t>
      </w:r>
      <w:r>
        <w:rPr>
          <w:rStyle w:val="af6"/>
          <w:rFonts w:eastAsia="Guttman Hodes" w:hint="cs"/>
          <w:rtl/>
        </w:rPr>
        <w:t xml:space="preserve">(סז. ד"ה אריו"ח, הובא לעיל סימן י' אות לה) </w:t>
      </w:r>
      <w:r>
        <w:rPr>
          <w:rFonts w:hint="cs"/>
          <w:rtl/>
        </w:rPr>
        <w:t xml:space="preserve">דטעם כעיקר דאו', וכל שיש בתערובת מהאיסור כזית בכדי אכילת פרס, הוא כלול בטעמו וממשו דאמר ריו"ח בע"ז </w:t>
      </w:r>
      <w:r>
        <w:rPr>
          <w:rStyle w:val="af6"/>
          <w:rFonts w:eastAsia="Guttman Hodes" w:hint="cs"/>
          <w:rtl/>
        </w:rPr>
        <w:t xml:space="preserve">(סז.) </w:t>
      </w:r>
      <w:r>
        <w:rPr>
          <w:rFonts w:hint="cs"/>
          <w:rtl/>
        </w:rPr>
        <w:t xml:space="preserve">דלוקין עליו, וכל שאין בו כזית בכדי אכילת פרס, הוא כלול בטעמו ולא ממשו דאין לוקין עליו, וכתב </w:t>
      </w:r>
      <w:r>
        <w:rPr>
          <w:rStyle w:val="af8"/>
          <w:rtl/>
        </w:rPr>
        <w:t>הגר"ח</w:t>
      </w:r>
      <w:r>
        <w:rPr>
          <w:rFonts w:hint="cs"/>
          <w:rtl/>
        </w:rPr>
        <w:t xml:space="preserve"> דס"ל </w:t>
      </w:r>
      <w:r>
        <w:rPr>
          <w:rStyle w:val="af8"/>
          <w:rtl/>
        </w:rPr>
        <w:t>להרמב"ם</w:t>
      </w:r>
      <w:r>
        <w:rPr>
          <w:rFonts w:hint="cs"/>
          <w:rtl/>
        </w:rPr>
        <w:t xml:space="preserve"> דבטעמו ולא ממשו אסור מדרבנן.</w:t>
      </w:r>
      <w:bookmarkEnd w:id="7847"/>
    </w:p>
    <w:p w:rsidR="007E08E0" w:rsidRDefault="007E08E0" w:rsidP="007E08E0">
      <w:pPr>
        <w:pStyle w:val="a2"/>
        <w:rPr>
          <w:rtl/>
        </w:rPr>
      </w:pPr>
      <w:bookmarkStart w:id="7848" w:name="_Toc15227863"/>
      <w:bookmarkStart w:id="7849" w:name="_Toc15227696"/>
      <w:r>
        <w:rPr>
          <w:rFonts w:hint="cs"/>
          <w:rtl/>
        </w:rPr>
        <w:t>ביאור הגר"ח בראב"ד דג"כ ס"ל כרבינו אליהו אך בפחות מכא"פ אסור מדאו' מדין חצי שיעור</w:t>
      </w:r>
      <w:bookmarkEnd w:id="7848"/>
      <w:bookmarkEnd w:id="7849"/>
    </w:p>
    <w:p w:rsidR="007E08E0" w:rsidRDefault="007E08E0" w:rsidP="009F44AF">
      <w:pPr>
        <w:pStyle w:val="a"/>
        <w:rPr>
          <w:rtl/>
        </w:rPr>
      </w:pPr>
      <w:r>
        <w:rPr>
          <w:rFonts w:hint="cs"/>
          <w:rtl/>
        </w:rPr>
        <w:t xml:space="preserve">ובדעת </w:t>
      </w:r>
      <w:r>
        <w:rPr>
          <w:rStyle w:val="af8"/>
          <w:rtl/>
        </w:rPr>
        <w:t>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Ref14857323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ח</w:t>
      </w:r>
      <w:r w:rsidR="004D1C5B">
        <w:rPr>
          <w:rStyle w:val="af6"/>
          <w:rFonts w:eastAsia="Guttman Hodes"/>
          <w:rtl/>
        </w:rPr>
        <w:t>)</w:t>
      </w:r>
      <w:r>
        <w:rPr>
          <w:rFonts w:hint="cs"/>
          <w:rtl/>
        </w:rPr>
        <w:fldChar w:fldCharType="end"/>
      </w:r>
      <w:r>
        <w:rPr>
          <w:rFonts w:hint="cs"/>
          <w:rtl/>
        </w:rPr>
        <w:t xml:space="preserve"> כתב </w:t>
      </w:r>
      <w:r>
        <w:rPr>
          <w:rStyle w:val="af8"/>
          <w:rtl/>
        </w:rPr>
        <w:t>הגר"ח</w:t>
      </w:r>
      <w:r>
        <w:rPr>
          <w:rFonts w:hint="cs"/>
          <w:rtl/>
        </w:rPr>
        <w:t xml:space="preserve"> דג"כ ס"ל </w:t>
      </w:r>
      <w:r>
        <w:rPr>
          <w:rStyle w:val="af8"/>
          <w:rtl/>
        </w:rPr>
        <w:t>כהרמב"ם ורבינו אליהו</w:t>
      </w:r>
      <w:r>
        <w:rPr>
          <w:rFonts w:hint="cs"/>
          <w:rtl/>
        </w:rPr>
        <w:t xml:space="preserve"> דבפחות מכזית בכדי אכילת פרס, הוא טעמו ולא ממשו, אלא דלדעת </w:t>
      </w:r>
      <w:r>
        <w:rPr>
          <w:rStyle w:val="af8"/>
          <w:rtl/>
        </w:rPr>
        <w:t>הראב"ד</w:t>
      </w:r>
      <w:r>
        <w:rPr>
          <w:rFonts w:hint="cs"/>
          <w:rtl/>
        </w:rPr>
        <w:t xml:space="preserve"> הוא אסור מדאו' מדין חצי שיעור.</w:t>
      </w:r>
    </w:p>
    <w:p w:rsidR="007E08E0" w:rsidRDefault="007E08E0" w:rsidP="007E08E0">
      <w:pPr>
        <w:pStyle w:val="1"/>
        <w:rPr>
          <w:rtl/>
        </w:rPr>
      </w:pPr>
      <w:bookmarkStart w:id="7850" w:name="_Toc15227864"/>
      <w:bookmarkStart w:id="7851" w:name="_Toc15227697"/>
      <w:r>
        <w:rPr>
          <w:rFonts w:hint="cs"/>
          <w:rtl/>
        </w:rPr>
        <w:t>ביאור הגר"ח בראב"ד דכא"פ הוא דין בשיעורים ולא בטע"כ</w:t>
      </w:r>
      <w:bookmarkEnd w:id="7850"/>
      <w:bookmarkEnd w:id="7851"/>
    </w:p>
    <w:p w:rsidR="007E08E0" w:rsidRDefault="007E08E0" w:rsidP="007E08E0">
      <w:pPr>
        <w:pStyle w:val="a2"/>
        <w:rPr>
          <w:rtl/>
        </w:rPr>
      </w:pPr>
      <w:bookmarkStart w:id="7852" w:name="_Toc15227865"/>
      <w:bookmarkStart w:id="7853" w:name="_Toc15227698"/>
      <w:r>
        <w:rPr>
          <w:rFonts w:hint="cs"/>
          <w:rtl/>
        </w:rPr>
        <w:t>ביאור הגר"ח בראב"ד דדין כא"פ הוא שייך רק לענין שיעור חיוב ולא לטע"כ דלעולם הוא דאו'</w:t>
      </w:r>
      <w:bookmarkEnd w:id="7852"/>
      <w:bookmarkEnd w:id="7853"/>
    </w:p>
    <w:p w:rsidR="007E08E0" w:rsidRDefault="007E08E0" w:rsidP="009F44AF">
      <w:pPr>
        <w:pStyle w:val="a"/>
      </w:pPr>
      <w:bookmarkStart w:id="7854" w:name="_Ref15222347"/>
      <w:r>
        <w:rPr>
          <w:rFonts w:hint="cs"/>
          <w:rtl/>
        </w:rPr>
        <w:t xml:space="preserve">וביאר </w:t>
      </w:r>
      <w:r>
        <w:rPr>
          <w:rStyle w:val="af8"/>
          <w:rtl/>
        </w:rPr>
        <w:t>הגר"ח</w:t>
      </w:r>
      <w:r>
        <w:rPr>
          <w:rFonts w:hint="cs"/>
          <w:rtl/>
        </w:rPr>
        <w:t xml:space="preserve"> דסברת </w:t>
      </w:r>
      <w:r>
        <w:rPr>
          <w:rStyle w:val="af8"/>
          <w:rtl/>
        </w:rPr>
        <w:t>הראב"ד</w:t>
      </w:r>
      <w:r>
        <w:rPr>
          <w:rFonts w:hint="cs"/>
          <w:rtl/>
        </w:rPr>
        <w:t xml:space="preserve"> היא דכל דין כזית בכדי אכילת פרס, הוא רק לענין שיעור החיוב, אבל בדין טעם כעיקר ס"ל </w:t>
      </w:r>
      <w:r w:rsidRPr="00715633">
        <w:rPr>
          <w:rStyle w:val="af8"/>
          <w:rFonts w:hint="cs"/>
          <w:rtl/>
        </w:rPr>
        <w:t>להראב"ד</w:t>
      </w:r>
      <w:r>
        <w:rPr>
          <w:rFonts w:hint="cs"/>
          <w:rtl/>
        </w:rPr>
        <w:t xml:space="preserve"> דאין כל חילוק בין אם יש בו כזית בכדי אכילת פרס לפחות מכזית בכדי אכילת פרס, וא"כ ממילא מבואר דאף טעמו ולא ממשו הוא בכלל איסור דאו' דטעם כעיקר, אלא דאין בו שיעור חיוב, ואסור רק מדין חצי שיעור, וכתב </w:t>
      </w:r>
      <w:r>
        <w:rPr>
          <w:rStyle w:val="af8"/>
          <w:rtl/>
        </w:rPr>
        <w:t>הגר"ח</w:t>
      </w:r>
      <w:r>
        <w:rPr>
          <w:rFonts w:hint="cs"/>
          <w:rtl/>
        </w:rPr>
        <w:t xml:space="preserve"> דזו כוונת </w:t>
      </w:r>
      <w:r>
        <w:rPr>
          <w:rStyle w:val="af8"/>
          <w:rtl/>
        </w:rPr>
        <w:t>הראב"ד</w:t>
      </w:r>
      <w:r>
        <w:rPr>
          <w:rFonts w:hint="cs"/>
          <w:rtl/>
        </w:rPr>
        <w:t xml:space="preserve"> דכתב דהכי מסתברא, ועי' במה שהוסיף </w:t>
      </w:r>
      <w:r>
        <w:rPr>
          <w:rStyle w:val="af8"/>
          <w:rtl/>
        </w:rPr>
        <w:t>הגר"ח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Ref15222513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פא</w:t>
      </w:r>
      <w:r w:rsidR="004D1C5B">
        <w:rPr>
          <w:rStyle w:val="af6"/>
          <w:rFonts w:eastAsia="Guttman Hodes"/>
          <w:rtl/>
        </w:rPr>
        <w:t>)</w:t>
      </w:r>
      <w:r>
        <w:rPr>
          <w:rFonts w:hint="cs"/>
          <w:rtl/>
        </w:rPr>
        <w:fldChar w:fldCharType="end"/>
      </w:r>
      <w:r>
        <w:rPr>
          <w:rFonts w:hint="cs"/>
          <w:rtl/>
        </w:rPr>
        <w:t xml:space="preserve"> לבאר </w:t>
      </w:r>
      <w:r>
        <w:rPr>
          <w:rStyle w:val="af8"/>
          <w:rtl/>
        </w:rPr>
        <w:t>בראב"ד</w:t>
      </w:r>
      <w:r>
        <w:rPr>
          <w:rFonts w:hint="cs"/>
          <w:rtl/>
        </w:rPr>
        <w:t xml:space="preserve">, וע"ע </w:t>
      </w:r>
      <w:r>
        <w:rPr>
          <w:rStyle w:val="af8"/>
          <w:rtl/>
        </w:rPr>
        <w:t>בגנזי הגר"ח</w:t>
      </w:r>
      <w:r>
        <w:rPr>
          <w:rFonts w:hint="cs"/>
          <w:rtl/>
        </w:rPr>
        <w:t xml:space="preserve"> </w:t>
      </w:r>
      <w:r>
        <w:rPr>
          <w:rStyle w:val="af6"/>
          <w:rFonts w:eastAsia="Guttman Hodes" w:hint="cs"/>
          <w:rtl/>
        </w:rPr>
        <w:t>(סי' ס"ט ד"ה ולכאו' היה נראה)</w:t>
      </w:r>
      <w:r>
        <w:rPr>
          <w:rFonts w:hint="cs"/>
          <w:rtl/>
        </w:rPr>
        <w:t>.</w:t>
      </w:r>
      <w:bookmarkEnd w:id="7854"/>
    </w:p>
    <w:p w:rsidR="007E08E0" w:rsidRDefault="007E08E0" w:rsidP="007E08E0">
      <w:pPr>
        <w:pStyle w:val="1"/>
        <w:rPr>
          <w:rtl/>
        </w:rPr>
      </w:pPr>
      <w:bookmarkStart w:id="7855" w:name="_Toc15227866"/>
      <w:bookmarkStart w:id="7856" w:name="_Toc15227699"/>
      <w:r>
        <w:rPr>
          <w:rFonts w:hint="cs"/>
          <w:rtl/>
        </w:rPr>
        <w:t>ביאור הגר"ח ברמב"ם דבפחות מכא"פ אינו אכילה ואין טע"כ</w:t>
      </w:r>
      <w:bookmarkEnd w:id="7855"/>
      <w:bookmarkEnd w:id="7856"/>
    </w:p>
    <w:p w:rsidR="007E08E0" w:rsidRDefault="007E08E0" w:rsidP="007E08E0">
      <w:pPr>
        <w:pStyle w:val="a2"/>
        <w:rPr>
          <w:rtl/>
        </w:rPr>
      </w:pPr>
      <w:bookmarkStart w:id="7857" w:name="_Toc15227867"/>
      <w:bookmarkStart w:id="7858" w:name="_Toc15227700"/>
      <w:r>
        <w:rPr>
          <w:rFonts w:hint="cs"/>
          <w:rtl/>
        </w:rPr>
        <w:t>ביאור הגר"ח ברמב"ם דילפינן ממשרת דיש חלות איסור בטע"כ וממילא אינו מתבטל ברוב</w:t>
      </w:r>
      <w:bookmarkEnd w:id="7857"/>
      <w:bookmarkEnd w:id="7858"/>
    </w:p>
    <w:p w:rsidR="007E08E0" w:rsidRDefault="007E08E0" w:rsidP="009F44AF">
      <w:pPr>
        <w:pStyle w:val="a"/>
        <w:rPr>
          <w:rtl/>
        </w:rPr>
      </w:pPr>
      <w:bookmarkStart w:id="7859" w:name="_Ref15224249"/>
      <w:r>
        <w:rPr>
          <w:rFonts w:hint="cs"/>
          <w:rtl/>
        </w:rPr>
        <w:t xml:space="preserve">ובדעת </w:t>
      </w:r>
      <w:r>
        <w:rPr>
          <w:rStyle w:val="af8"/>
          <w:rtl/>
        </w:rPr>
        <w:t>הרמב"ם</w:t>
      </w:r>
      <w:r>
        <w:rPr>
          <w:rFonts w:hint="cs"/>
          <w:rtl/>
        </w:rPr>
        <w:t xml:space="preserve"> ביאר </w:t>
      </w:r>
      <w:r>
        <w:rPr>
          <w:rStyle w:val="af8"/>
          <w:rtl/>
        </w:rPr>
        <w:t>הגר"ח</w:t>
      </w:r>
      <w:r>
        <w:rPr>
          <w:rFonts w:hint="cs"/>
          <w:rtl/>
        </w:rPr>
        <w:t xml:space="preserve"> </w:t>
      </w:r>
      <w:r>
        <w:rPr>
          <w:rStyle w:val="af6"/>
          <w:rFonts w:eastAsia="Guttman Hodes" w:hint="cs"/>
          <w:rtl/>
        </w:rPr>
        <w:t>(מאכ"א פט"ו ה"א ד"ה והנה בפי"ד בתו"ד)</w:t>
      </w:r>
      <w:r>
        <w:rPr>
          <w:rFonts w:hint="cs"/>
          <w:rtl/>
        </w:rPr>
        <w:t xml:space="preserve"> דס"ל דאף דבדין טעם כעיקר כלול שהטעם אינו מתבטל ברוב, מ"מ עיקר דין טעם כעיקר לא בא לומר שלא מהני בטעם ביטול ברוב, דכשיש טעם פקע דין ביטול, אלא דילפינן ממשרת דין חדש, וטעם כעיקר הוא חלות איסור בפנ"ע, ואחר שיש בו חלות איסור, ממילא אינו מתבטל ברוב, וע"ע במה שחקר בזה </w:t>
      </w:r>
      <w:r>
        <w:rPr>
          <w:rStyle w:val="af8"/>
          <w:rtl/>
        </w:rPr>
        <w:t>הגר"ח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Ref12896046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קט</w:t>
      </w:r>
      <w:r w:rsidR="004D1C5B">
        <w:rPr>
          <w:rStyle w:val="af6"/>
          <w:rFonts w:eastAsia="Guttman Hodes"/>
          <w:rtl/>
        </w:rPr>
        <w:t>)</w:t>
      </w:r>
      <w:r>
        <w:rPr>
          <w:rFonts w:hint="cs"/>
          <w:rtl/>
        </w:rPr>
        <w:fldChar w:fldCharType="end"/>
      </w:r>
      <w:r>
        <w:rPr>
          <w:rFonts w:hint="cs"/>
          <w:rtl/>
        </w:rPr>
        <w:t xml:space="preserve">, וע"ע במה שביאר בזה </w:t>
      </w:r>
      <w:r>
        <w:rPr>
          <w:rStyle w:val="af8"/>
          <w:rtl/>
        </w:rPr>
        <w:t>הגר"ח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Ref15224297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צה</w:t>
      </w:r>
      <w:r w:rsidR="004D1C5B">
        <w:rPr>
          <w:rStyle w:val="af6"/>
          <w:rFonts w:eastAsia="Guttman Hodes"/>
          <w:rtl/>
        </w:rPr>
        <w:t>)</w:t>
      </w:r>
      <w:r>
        <w:rPr>
          <w:rFonts w:hint="cs"/>
          <w:rtl/>
        </w:rPr>
        <w:fldChar w:fldCharType="end"/>
      </w:r>
      <w:r>
        <w:rPr>
          <w:rFonts w:hint="cs"/>
          <w:rtl/>
        </w:rPr>
        <w:t xml:space="preserve"> בדברי </w:t>
      </w:r>
      <w:r>
        <w:rPr>
          <w:rStyle w:val="af8"/>
          <w:rtl/>
        </w:rPr>
        <w:t>הרמב"ם</w:t>
      </w:r>
      <w:r>
        <w:rPr>
          <w:rFonts w:hint="cs"/>
          <w:rtl/>
        </w:rPr>
        <w:t>.</w:t>
      </w:r>
      <w:bookmarkEnd w:id="7859"/>
    </w:p>
    <w:p w:rsidR="007E08E0" w:rsidRDefault="007E08E0" w:rsidP="007E08E0">
      <w:pPr>
        <w:pStyle w:val="a2"/>
        <w:rPr>
          <w:rtl/>
        </w:rPr>
      </w:pPr>
      <w:bookmarkStart w:id="7860" w:name="_Toc15227868"/>
      <w:bookmarkStart w:id="7861" w:name="_Toc15227701"/>
      <w:r>
        <w:rPr>
          <w:rFonts w:hint="cs"/>
          <w:rtl/>
        </w:rPr>
        <w:t>דברי הגר"ח דס"ל להרמב"ם דכל דין טע"כ נאמר רק לענין איסור אכילה והוא תלוי בדין האוכל</w:t>
      </w:r>
      <w:bookmarkEnd w:id="7860"/>
      <w:bookmarkEnd w:id="7861"/>
    </w:p>
    <w:p w:rsidR="007E08E0" w:rsidRDefault="007E08E0" w:rsidP="009F44AF">
      <w:pPr>
        <w:pStyle w:val="a"/>
      </w:pPr>
      <w:r>
        <w:rPr>
          <w:rFonts w:hint="cs"/>
          <w:rtl/>
        </w:rPr>
        <w:t xml:space="preserve">וכתב </w:t>
      </w:r>
      <w:r>
        <w:rPr>
          <w:rStyle w:val="af8"/>
          <w:rtl/>
        </w:rPr>
        <w:t>הגר"ח</w:t>
      </w:r>
      <w:r>
        <w:rPr>
          <w:rFonts w:hint="cs"/>
          <w:rtl/>
        </w:rPr>
        <w:t xml:space="preserve"> </w:t>
      </w:r>
      <w:r w:rsidR="00EB4488">
        <w:rPr>
          <w:rFonts w:hint="cs"/>
          <w:rtl/>
        </w:rPr>
        <w:t xml:space="preserve">דא"כ מבואר דכל דין טעם כעיקר שייך רק במקום שיש דין אכילה, ולא מקום שאין בו דין אוכל, </w:t>
      </w:r>
      <w:r>
        <w:rPr>
          <w:rFonts w:hint="cs"/>
          <w:rtl/>
        </w:rPr>
        <w:t xml:space="preserve">ובמקום שאין איסור אכילה לא שייך טעם כעיקר, ועיי"ש דהוכיח </w:t>
      </w:r>
      <w:r>
        <w:rPr>
          <w:rStyle w:val="af8"/>
          <w:rtl/>
        </w:rPr>
        <w:t>הגר"ח</w:t>
      </w:r>
      <w:r>
        <w:rPr>
          <w:rFonts w:hint="cs"/>
          <w:rtl/>
        </w:rPr>
        <w:t xml:space="preserve"> כן מדברי </w:t>
      </w:r>
      <w:r>
        <w:rPr>
          <w:rStyle w:val="af8"/>
          <w:rtl/>
        </w:rPr>
        <w:t>הרמב"ם</w:t>
      </w:r>
      <w:r>
        <w:rPr>
          <w:rFonts w:hint="cs"/>
          <w:rtl/>
        </w:rPr>
        <w:t xml:space="preserve"> בדין נותן טעם לפגם, עיי"ש במה שהאריך בזה, והוסיף </w:t>
      </w:r>
      <w:r>
        <w:rPr>
          <w:rStyle w:val="af8"/>
          <w:rtl/>
        </w:rPr>
        <w:t>הגר"ח</w:t>
      </w:r>
      <w:r>
        <w:rPr>
          <w:rFonts w:hint="cs"/>
          <w:rtl/>
        </w:rPr>
        <w:t xml:space="preserve"> </w:t>
      </w:r>
      <w:r>
        <w:rPr>
          <w:rStyle w:val="af6"/>
          <w:rFonts w:eastAsia="Guttman Hodes" w:hint="cs"/>
          <w:rtl/>
        </w:rPr>
        <w:t>(מאכ"א פט"ו ה"א ד"ה ונראה עוד)</w:t>
      </w:r>
      <w:r>
        <w:rPr>
          <w:rFonts w:hint="cs"/>
          <w:rtl/>
        </w:rPr>
        <w:t xml:space="preserve"> דכל חלות הדין של טעם כעיקר, הוא תלוי בדין האוכל, וכל שאין איסור באוכל אינו טעם כעיקר כלל.</w:t>
      </w:r>
    </w:p>
    <w:p w:rsidR="007E08E0" w:rsidRDefault="007E08E0" w:rsidP="007E08E0">
      <w:pPr>
        <w:pStyle w:val="a2"/>
        <w:rPr>
          <w:rtl/>
        </w:rPr>
      </w:pPr>
      <w:bookmarkStart w:id="7862" w:name="_Toc15227869"/>
      <w:bookmarkStart w:id="7863" w:name="_Toc15227702"/>
      <w:r>
        <w:rPr>
          <w:rFonts w:hint="cs"/>
          <w:rtl/>
        </w:rPr>
        <w:t>ביאור הגר"ח ברמב"ם דבפחות מכא"פ חסר בשיעור אכילה וממילא לא נאמר בו דין טע"כ</w:t>
      </w:r>
      <w:bookmarkEnd w:id="7862"/>
      <w:bookmarkEnd w:id="7863"/>
    </w:p>
    <w:p w:rsidR="007E08E0" w:rsidRDefault="007E08E0" w:rsidP="009F44AF">
      <w:pPr>
        <w:pStyle w:val="a"/>
        <w:rPr>
          <w:rtl/>
        </w:rPr>
      </w:pPr>
      <w:r>
        <w:rPr>
          <w:rFonts w:hint="cs"/>
          <w:rtl/>
        </w:rPr>
        <w:t xml:space="preserve">וכתב </w:t>
      </w:r>
      <w:r>
        <w:rPr>
          <w:rStyle w:val="af8"/>
          <w:rtl/>
        </w:rPr>
        <w:t>הגר"ח</w:t>
      </w:r>
      <w:r>
        <w:rPr>
          <w:rFonts w:hint="cs"/>
          <w:rtl/>
        </w:rPr>
        <w:t xml:space="preserve"> </w:t>
      </w:r>
      <w:r>
        <w:rPr>
          <w:rStyle w:val="af6"/>
          <w:rFonts w:eastAsia="Guttman Hodes" w:hint="cs"/>
          <w:rtl/>
        </w:rPr>
        <w:t>(מאכ"א פט"ו ה"א ד"ה ולפ"ז נראה)</w:t>
      </w:r>
      <w:r>
        <w:rPr>
          <w:rFonts w:hint="cs"/>
          <w:rtl/>
        </w:rPr>
        <w:t xml:space="preserve"> דזהו הביאור בדברי </w:t>
      </w:r>
      <w:r>
        <w:rPr>
          <w:rStyle w:val="af8"/>
          <w:rtl/>
        </w:rPr>
        <w:t>הרמב"ם</w:t>
      </w:r>
      <w:r>
        <w:rPr>
          <w:rFonts w:hint="cs"/>
          <w:rtl/>
        </w:rPr>
        <w:t xml:space="preserve"> דבמקום שאין בתערובת כזית בכדי אכילת פרס, אסור רק מדרבנן, דאעפ"י דדין כזית בכדי אכילת פרס הוא דין בשיעור החיוב ולא בעצם דין טעם כעיקר, </w:t>
      </w:r>
      <w:r>
        <w:rPr>
          <w:rStyle w:val="afa"/>
          <w:rtl/>
        </w:rPr>
        <w:t xml:space="preserve">[כדביאר </w:t>
      </w:r>
      <w:r>
        <w:rPr>
          <w:rStyle w:val="affa"/>
          <w:rtl/>
        </w:rPr>
        <w:t>הגר"ח</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Ref15222347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עז)</w:t>
      </w:r>
      <w:r>
        <w:rPr>
          <w:rFonts w:hint="cs"/>
          <w:rtl/>
        </w:rPr>
        <w:fldChar w:fldCharType="end"/>
      </w:r>
      <w:r>
        <w:rPr>
          <w:rStyle w:val="afa"/>
          <w:rtl/>
        </w:rPr>
        <w:t xml:space="preserve"> </w:t>
      </w:r>
      <w:r>
        <w:rPr>
          <w:rStyle w:val="affa"/>
          <w:rtl/>
        </w:rPr>
        <w:t>בראב"ד</w:t>
      </w:r>
      <w:r>
        <w:rPr>
          <w:rStyle w:val="afa"/>
          <w:rtl/>
        </w:rPr>
        <w:t>],</w:t>
      </w:r>
      <w:r>
        <w:rPr>
          <w:rFonts w:hint="cs"/>
          <w:rtl/>
        </w:rPr>
        <w:t xml:space="preserve"> מ"מ ס"ל </w:t>
      </w:r>
      <w:r>
        <w:rPr>
          <w:rStyle w:val="af8"/>
          <w:rtl/>
        </w:rPr>
        <w:t>להר</w:t>
      </w:r>
      <w:r w:rsidR="00334BE0">
        <w:rPr>
          <w:rStyle w:val="af8"/>
          <w:rtl/>
        </w:rPr>
        <w:t>מ</w:t>
      </w:r>
      <w:r>
        <w:rPr>
          <w:rStyle w:val="af8"/>
          <w:rtl/>
        </w:rPr>
        <w:t>ב"ם</w:t>
      </w:r>
      <w:r>
        <w:rPr>
          <w:rFonts w:hint="cs"/>
          <w:rtl/>
        </w:rPr>
        <w:t xml:space="preserve"> דכיון שכל האיסור והחלות של טעם כעיקר הוא בדין אכילה, ולכן כיון דלענין האיסור אכילה, צריך שיעור של כזית בכדי אכילת פרס, א"כ כל שחסר בשיעור של איסור האכילה ממילא לא חל עליו מדאו' דין טעם כעיקר, ולכן בפחות מכזית בכדי אכילת פרס, אסור רק מדרבנן.</w:t>
      </w:r>
    </w:p>
    <w:p w:rsidR="007E08E0" w:rsidRDefault="007E08E0" w:rsidP="007E08E0">
      <w:pPr>
        <w:pStyle w:val="a2"/>
        <w:rPr>
          <w:rtl/>
        </w:rPr>
      </w:pPr>
      <w:bookmarkStart w:id="7864" w:name="_Toc15227870"/>
      <w:bookmarkStart w:id="7865" w:name="_Toc15227703"/>
      <w:r>
        <w:rPr>
          <w:rFonts w:hint="cs"/>
          <w:rtl/>
        </w:rPr>
        <w:t>ביאור הגר"ח בראב"ד דפחות מכא"פ הוא אוכל גמור ויש בו כא"פ רק חסר בשיעור חיובו</w:t>
      </w:r>
      <w:bookmarkEnd w:id="7864"/>
      <w:bookmarkEnd w:id="7865"/>
    </w:p>
    <w:p w:rsidR="007E08E0" w:rsidRDefault="007E08E0" w:rsidP="009F44AF">
      <w:pPr>
        <w:pStyle w:val="a"/>
        <w:rPr>
          <w:rtl/>
        </w:rPr>
      </w:pPr>
      <w:bookmarkStart w:id="7866" w:name="_Ref15222513"/>
      <w:r>
        <w:rPr>
          <w:rFonts w:hint="cs"/>
          <w:rtl/>
        </w:rPr>
        <w:t xml:space="preserve">ובדעת </w:t>
      </w:r>
      <w:r>
        <w:rPr>
          <w:rStyle w:val="af8"/>
          <w:rtl/>
        </w:rPr>
        <w:t>הראב"ד</w:t>
      </w:r>
      <w:r>
        <w:rPr>
          <w:rFonts w:hint="cs"/>
          <w:rtl/>
        </w:rPr>
        <w:t xml:space="preserve"> ביאר </w:t>
      </w:r>
      <w:r>
        <w:rPr>
          <w:rStyle w:val="af8"/>
          <w:rtl/>
        </w:rPr>
        <w:t>הגר"ח</w:t>
      </w:r>
      <w:r>
        <w:rPr>
          <w:rFonts w:hint="cs"/>
          <w:rtl/>
        </w:rPr>
        <w:t xml:space="preserve"> דס"ל דהא דטעם כעיקר תלוי באיסור האכילה, היינו רק באופן שאינו נחשב אוכל דבכה"ג לא שייך דין טעם כעיקר, אבל בפחות מכזית בכדי אכילת פרס, דהוא אוכל גמור, ויש בו את האיסור, אלא שחסר בשיעור החיוב שלו, חסרון השיעור אינו שייך כלל לדין טעם כעיקר, ולכן אף בפחות מכזית בכדי אכילת פרס אסור מדאו', מדין חצי שיעור.</w:t>
      </w:r>
      <w:bookmarkEnd w:id="7866"/>
    </w:p>
    <w:p w:rsidR="007E08E0" w:rsidRDefault="007E08E0" w:rsidP="007E08E0">
      <w:pPr>
        <w:pStyle w:val="1"/>
        <w:rPr>
          <w:rtl/>
        </w:rPr>
      </w:pPr>
      <w:bookmarkStart w:id="7867" w:name="_Toc15227871"/>
      <w:bookmarkStart w:id="7868" w:name="_Toc15227704"/>
      <w:r>
        <w:rPr>
          <w:rFonts w:hint="cs"/>
          <w:rtl/>
        </w:rPr>
        <w:t>ביאור הגר"ח ברמב"ם דטע"כ תלוי רק בשיעור ולא במממשות</w:t>
      </w:r>
      <w:bookmarkEnd w:id="7867"/>
      <w:bookmarkEnd w:id="7868"/>
    </w:p>
    <w:p w:rsidR="007E08E0" w:rsidRDefault="007E08E0" w:rsidP="007E08E0">
      <w:pPr>
        <w:pStyle w:val="a2"/>
        <w:rPr>
          <w:rtl/>
        </w:rPr>
      </w:pPr>
      <w:bookmarkStart w:id="7869" w:name="_Toc15227872"/>
      <w:bookmarkStart w:id="7870" w:name="_Toc15227705"/>
      <w:r>
        <w:rPr>
          <w:rFonts w:hint="cs"/>
          <w:rtl/>
        </w:rPr>
        <w:t>דברי הגר"ח דמ"ש הרמב"ם באופן הג' דבטעמו לבד הוא דרבנן זהו פשיטא</w:t>
      </w:r>
      <w:bookmarkEnd w:id="7869"/>
      <w:bookmarkEnd w:id="7870"/>
    </w:p>
    <w:p w:rsidR="007E08E0" w:rsidRDefault="007E08E0" w:rsidP="009F44AF">
      <w:pPr>
        <w:pStyle w:val="a"/>
        <w:rPr>
          <w:rtl/>
        </w:rPr>
      </w:pPr>
      <w:r>
        <w:rPr>
          <w:rFonts w:hint="cs"/>
          <w:rtl/>
        </w:rPr>
        <w:t xml:space="preserve">אך הביא </w:t>
      </w:r>
      <w:r>
        <w:rPr>
          <w:rStyle w:val="af8"/>
          <w:rtl/>
        </w:rPr>
        <w:t>הגר"ח</w:t>
      </w:r>
      <w:r>
        <w:rPr>
          <w:rFonts w:hint="cs"/>
          <w:rtl/>
        </w:rPr>
        <w:t xml:space="preserve"> </w:t>
      </w:r>
      <w:r>
        <w:rPr>
          <w:rStyle w:val="af6"/>
          <w:rFonts w:eastAsia="Guttman Hodes" w:hint="cs"/>
          <w:rtl/>
        </w:rPr>
        <w:t xml:space="preserve">(מאכ"א פט"ו ה"א ד"ה והנה כבר) </w:t>
      </w:r>
      <w:r>
        <w:rPr>
          <w:rFonts w:hint="cs"/>
          <w:rtl/>
        </w:rPr>
        <w:t xml:space="preserve">את דברי </w:t>
      </w:r>
      <w:r>
        <w:rPr>
          <w:rStyle w:val="af8"/>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Ref15030462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דכתב בתחילה את דין טעמו וממשו דלוקין עליו, כשיש בתערובת כזית בכדי אכילת פרס, ואכל פרס מהתערובת, שכלול בו כזית מהאיסור, ואח"כ 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ב' אופנים בדין טעמו ולא ממשו דאין לוקין עליהם, הא' במקום שיש בתערובת כזית בכדי אכילת פרס, אך לא אכל את כל הפרס, וממילא לא אכל כזית מהאיסור, והב' במקום שאין בתערובת כזית בכדי אכילת פרס, וכתב </w:t>
      </w:r>
      <w:r>
        <w:rPr>
          <w:rStyle w:val="af8"/>
          <w:rtl/>
        </w:rPr>
        <w:t>הגר"ח</w:t>
      </w:r>
      <w:r>
        <w:rPr>
          <w:rFonts w:hint="cs"/>
          <w:rtl/>
        </w:rPr>
        <w:t xml:space="preserve"> דהאופן הב' שאין בתערובת כזית בכדי אכילת פרס, הוא פשיטא דהוא טעמו ולא ממשו ואסור רק מדרבנן.</w:t>
      </w:r>
    </w:p>
    <w:p w:rsidR="007E08E0" w:rsidRDefault="007E08E0" w:rsidP="007E08E0">
      <w:pPr>
        <w:pStyle w:val="a2"/>
        <w:rPr>
          <w:rtl/>
        </w:rPr>
      </w:pPr>
      <w:bookmarkStart w:id="7871" w:name="_Toc15227873"/>
      <w:bookmarkStart w:id="7872" w:name="_Toc15227706"/>
      <w:r>
        <w:rPr>
          <w:rFonts w:hint="cs"/>
          <w:rtl/>
        </w:rPr>
        <w:t>קושית הגר"ח דבכא"פ ואכל פחות מכא"פ אמאי כתב הרמב"ם דאינו ממשו הא הוא חצי שיעור</w:t>
      </w:r>
      <w:bookmarkEnd w:id="7871"/>
      <w:bookmarkEnd w:id="7872"/>
    </w:p>
    <w:p w:rsidR="007E08E0" w:rsidRDefault="007E08E0" w:rsidP="009F44AF">
      <w:pPr>
        <w:pStyle w:val="a"/>
      </w:pPr>
      <w:r>
        <w:rPr>
          <w:rFonts w:hint="cs"/>
          <w:rtl/>
        </w:rPr>
        <w:t xml:space="preserve">אך הקשה </w:t>
      </w:r>
      <w:r>
        <w:rPr>
          <w:rStyle w:val="af8"/>
          <w:rtl/>
        </w:rPr>
        <w:t>הגר"ח</w:t>
      </w:r>
      <w:r>
        <w:rPr>
          <w:rFonts w:hint="cs"/>
          <w:rtl/>
        </w:rPr>
        <w:t xml:space="preserve"> דהאופן הב' שמעורב בתערובת כזית מהאיסור בכדי אכילת פרס, אך לא אכל את כל הפרס, דאין לוקין עליו, דאמאי כללו </w:t>
      </w:r>
      <w:r>
        <w:rPr>
          <w:rStyle w:val="af8"/>
          <w:rtl/>
        </w:rPr>
        <w:t>הרמב"ם</w:t>
      </w:r>
      <w:r>
        <w:rPr>
          <w:rFonts w:hint="cs"/>
          <w:rtl/>
        </w:rPr>
        <w:t xml:space="preserve"> בדין טעמו ולא ממשו, הרי הוא טעמו וממשו, דהוא חפצא דאיסורא, כדמוכח מהא דהאיסור שמעורב בתערובת חזי לאיצטרופי לשיעור כזית בכדי אכילת פרס, דהא אם אכל את כל הפרס לוקה עליו, וא"כ מוכח דכ"מ דאין לוקין עליו הוא רק כיון שהוא חצי שיעור, והרי את דין חצי שיעור כבר כתב</w:t>
      </w:r>
      <w:r>
        <w:rPr>
          <w:rStyle w:val="af8"/>
          <w:rtl/>
        </w:rPr>
        <w:t xml:space="preserve"> הרמב"ם</w:t>
      </w:r>
      <w:r>
        <w:rPr>
          <w:rFonts w:hint="cs"/>
          <w:rtl/>
        </w:rPr>
        <w:t xml:space="preserve"> </w:t>
      </w:r>
      <w:r>
        <w:rPr>
          <w:rStyle w:val="af6"/>
          <w:rFonts w:eastAsia="Guttman Hodes" w:hint="cs"/>
          <w:rtl/>
        </w:rPr>
        <w:t>(מאכ"א פי"ד ה"ב)</w:t>
      </w:r>
      <w:r>
        <w:rPr>
          <w:rFonts w:hint="cs"/>
          <w:rtl/>
        </w:rPr>
        <w:t xml:space="preserve"> ואמאי חזר וכפלו הכא, ועוד דאינו שייך לדין טעם כעיקר.</w:t>
      </w:r>
    </w:p>
    <w:p w:rsidR="007E08E0" w:rsidRDefault="007E08E0" w:rsidP="007E08E0">
      <w:pPr>
        <w:pStyle w:val="a2"/>
        <w:rPr>
          <w:rtl/>
        </w:rPr>
      </w:pPr>
      <w:bookmarkStart w:id="7873" w:name="_Toc15227874"/>
      <w:bookmarkStart w:id="7874" w:name="_Toc15227707"/>
      <w:r>
        <w:rPr>
          <w:rFonts w:hint="cs"/>
          <w:rtl/>
        </w:rPr>
        <w:t>דברי הגר"ח דטעמו ולא ממשו תלוי רק בשיעור אכילה וכל שאכל פחות מהחיוב הוא דרבנן</w:t>
      </w:r>
      <w:bookmarkEnd w:id="7873"/>
      <w:bookmarkEnd w:id="7874"/>
    </w:p>
    <w:p w:rsidR="007E08E0" w:rsidRDefault="007E08E0" w:rsidP="009F44AF">
      <w:pPr>
        <w:pStyle w:val="a"/>
        <w:rPr>
          <w:rtl/>
        </w:rPr>
      </w:pPr>
      <w:r>
        <w:rPr>
          <w:rFonts w:hint="cs"/>
          <w:rtl/>
        </w:rPr>
        <w:t xml:space="preserve">אלא כתב </w:t>
      </w:r>
      <w:r>
        <w:rPr>
          <w:rStyle w:val="af8"/>
          <w:rtl/>
        </w:rPr>
        <w:t>הגר"ח</w:t>
      </w:r>
      <w:r>
        <w:rPr>
          <w:rFonts w:hint="cs"/>
          <w:rtl/>
        </w:rPr>
        <w:t xml:space="preserve"> דס"ל </w:t>
      </w:r>
      <w:r>
        <w:rPr>
          <w:rStyle w:val="af8"/>
          <w:rtl/>
        </w:rPr>
        <w:t>להרמב"ם</w:t>
      </w:r>
      <w:r>
        <w:rPr>
          <w:rFonts w:hint="cs"/>
          <w:rtl/>
        </w:rPr>
        <w:t xml:space="preserve"> דכל החילוק בין טעמו וממשו לטעם ולא ממשו, הוא רק מחמת דבטעמו ולא ממשו יש חסרון בשיעור החיוב לאכילה, כדביאר </w:t>
      </w:r>
      <w:r>
        <w:rPr>
          <w:rStyle w:val="af8"/>
          <w:rtl/>
        </w:rPr>
        <w:t>הגר"ח</w:t>
      </w:r>
      <w:r>
        <w:rPr>
          <w:rFonts w:hint="cs"/>
          <w:rtl/>
        </w:rPr>
        <w:t xml:space="preserve"> דדין טעם כעיקר תלוי באיסור אכילה, ולכן בכל תערובת שיש בה חסרון בשיעור החיוב לאכילה, ממילא לא חל עליה דין טעם כעיקר כלל.</w:t>
      </w:r>
    </w:p>
    <w:p w:rsidR="007E08E0" w:rsidRDefault="007E08E0" w:rsidP="007E08E0">
      <w:pPr>
        <w:pStyle w:val="a2"/>
        <w:rPr>
          <w:rtl/>
        </w:rPr>
      </w:pPr>
      <w:bookmarkStart w:id="7875" w:name="_Toc15227875"/>
      <w:bookmarkStart w:id="7876" w:name="_Toc15227708"/>
      <w:r>
        <w:rPr>
          <w:rFonts w:hint="cs"/>
          <w:rtl/>
        </w:rPr>
        <w:t>דברי הגר"ח דלהרמב"ם אין חילוק בעצם נתינת הטעם בין ממשו לטעמו ותלוי רק בכא"פ</w:t>
      </w:r>
      <w:bookmarkEnd w:id="7875"/>
      <w:bookmarkEnd w:id="7876"/>
    </w:p>
    <w:p w:rsidR="007E08E0" w:rsidRDefault="007E08E0" w:rsidP="009F44AF">
      <w:pPr>
        <w:pStyle w:val="a"/>
        <w:rPr>
          <w:rtl/>
        </w:rPr>
      </w:pPr>
      <w:r>
        <w:rPr>
          <w:rFonts w:hint="cs"/>
          <w:rtl/>
        </w:rPr>
        <w:t xml:space="preserve">וביאר </w:t>
      </w:r>
      <w:r>
        <w:rPr>
          <w:rStyle w:val="af8"/>
          <w:rtl/>
        </w:rPr>
        <w:t>הגר"ח</w:t>
      </w:r>
      <w:r>
        <w:rPr>
          <w:rFonts w:hint="cs"/>
          <w:rtl/>
        </w:rPr>
        <w:t xml:space="preserve"> דלדעת </w:t>
      </w:r>
      <w:r>
        <w:rPr>
          <w:rStyle w:val="af8"/>
          <w:rtl/>
        </w:rPr>
        <w:t>הרמב"ם</w:t>
      </w:r>
      <w:r>
        <w:rPr>
          <w:rFonts w:hint="cs"/>
          <w:rtl/>
        </w:rPr>
        <w:t xml:space="preserve"> אין כל חילוק בעצם נתינת הטעם ואיסורו, בין טעמו וממשו לטעמו ולא ממשו, </w:t>
      </w:r>
      <w:r>
        <w:rPr>
          <w:rStyle w:val="afa"/>
          <w:rtl/>
        </w:rPr>
        <w:t xml:space="preserve">[בין כשיש בתערובת כזית בכדי אכילת פרס, ואכל פחות מפרס, ובין כשאין בתערובת כזית בכדי אכילת פרס], </w:t>
      </w:r>
      <w:r>
        <w:rPr>
          <w:rFonts w:hint="cs"/>
          <w:rtl/>
        </w:rPr>
        <w:t>דכל ההיתר מדאו' בטעמו ולא ממשו, הוא רק מחמת שחסר בשיעור חיוב האכילה שלו, דלא חל עליו דין טעם כעיקר.</w:t>
      </w:r>
    </w:p>
    <w:p w:rsidR="007E08E0" w:rsidRDefault="007E08E0" w:rsidP="007E08E0">
      <w:pPr>
        <w:pStyle w:val="a2"/>
        <w:rPr>
          <w:rtl/>
        </w:rPr>
      </w:pPr>
      <w:bookmarkStart w:id="7877" w:name="_Toc15227876"/>
      <w:bookmarkStart w:id="7878" w:name="_Toc15227709"/>
      <w:r>
        <w:rPr>
          <w:rFonts w:hint="cs"/>
          <w:rtl/>
        </w:rPr>
        <w:lastRenderedPageBreak/>
        <w:t>ביאור הגר"ח ברמב"ם דלמ"ד דהיתר מצטרף לאיסור יש שיעור אכילה בצירוף ההיתר ולוקין עליו</w:t>
      </w:r>
      <w:bookmarkEnd w:id="7877"/>
      <w:bookmarkEnd w:id="7878"/>
    </w:p>
    <w:p w:rsidR="007E08E0" w:rsidRDefault="007E08E0" w:rsidP="009F44AF">
      <w:pPr>
        <w:pStyle w:val="a"/>
        <w:rPr>
          <w:rtl/>
        </w:rPr>
      </w:pPr>
      <w:r>
        <w:rPr>
          <w:rFonts w:hint="cs"/>
          <w:rtl/>
        </w:rPr>
        <w:t xml:space="preserve">וכתב </w:t>
      </w:r>
      <w:r>
        <w:rPr>
          <w:rStyle w:val="af8"/>
          <w:rtl/>
        </w:rPr>
        <w:t>הגר"ח</w:t>
      </w:r>
      <w:r>
        <w:rPr>
          <w:rFonts w:hint="cs"/>
          <w:rtl/>
        </w:rPr>
        <w:t xml:space="preserve"> דלכן למ"ד דאמרינן דהיתר מצטרף לאיסור, לוקין על טעמו ולא ממשו, דאף שאין באיסור לבדו כזית בכדי אכילת פרס, מ"מ בצירוף עם ההיתר יש בו חלות ושיעור של איסור אכילה, וממילא חל עליו דין טעם כעיקר מדאו', ולוקין עליו כטעמו וממשו.</w:t>
      </w:r>
    </w:p>
    <w:p w:rsidR="007E08E0" w:rsidRDefault="007E08E0" w:rsidP="007E08E0">
      <w:pPr>
        <w:pStyle w:val="1"/>
        <w:rPr>
          <w:rtl/>
        </w:rPr>
      </w:pPr>
      <w:bookmarkStart w:id="7879" w:name="_Toc15227877"/>
      <w:bookmarkStart w:id="7880" w:name="_Toc15227710"/>
      <w:r>
        <w:rPr>
          <w:rFonts w:hint="cs"/>
          <w:rtl/>
        </w:rPr>
        <w:t>ביאור הגר"ח בעיסת אורז דיש שיעור אכילה לטע"כ ע"י גרירה</w:t>
      </w:r>
      <w:bookmarkEnd w:id="7879"/>
      <w:bookmarkEnd w:id="7880"/>
    </w:p>
    <w:p w:rsidR="007E08E0" w:rsidRDefault="007E08E0" w:rsidP="007E08E0">
      <w:pPr>
        <w:pStyle w:val="a2"/>
        <w:rPr>
          <w:rtl/>
        </w:rPr>
      </w:pPr>
      <w:bookmarkStart w:id="7881" w:name="_Toc15227878"/>
      <w:bookmarkStart w:id="7882" w:name="_Toc15227711"/>
      <w:r>
        <w:rPr>
          <w:rFonts w:hint="cs"/>
          <w:rtl/>
        </w:rPr>
        <w:t>קושית הגר"ח דבעיסת אורז להרמב"ם יצא יד"ח מדין טע"כ אף בפחות מכא"פ והרי אין בו טע"כ</w:t>
      </w:r>
      <w:bookmarkEnd w:id="7881"/>
      <w:bookmarkEnd w:id="7882"/>
    </w:p>
    <w:p w:rsidR="007E08E0" w:rsidRDefault="007E08E0" w:rsidP="009F44AF">
      <w:pPr>
        <w:pStyle w:val="a"/>
        <w:rPr>
          <w:rtl/>
        </w:rPr>
      </w:pPr>
      <w:bookmarkStart w:id="7883" w:name="_Ref15848189"/>
      <w:r>
        <w:rPr>
          <w:rFonts w:hint="cs"/>
          <w:rtl/>
        </w:rPr>
        <w:t xml:space="preserve">וכתב </w:t>
      </w:r>
      <w:r>
        <w:rPr>
          <w:rStyle w:val="af8"/>
          <w:rtl/>
        </w:rPr>
        <w:t>הגר"ח</w:t>
      </w:r>
      <w:r>
        <w:rPr>
          <w:rFonts w:hint="cs"/>
          <w:rtl/>
        </w:rPr>
        <w:t xml:space="preserve"> דכן מבואר מדברי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Ref15034049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Pr>
          <w:rFonts w:hint="cs"/>
          <w:rtl/>
        </w:rPr>
        <w:t xml:space="preserve"> בדין עיסת אורז, דכתב דכל שיש בה טעם דגן יוצא בה יד"ח מצה, וביאר </w:t>
      </w:r>
      <w:r>
        <w:rPr>
          <w:rStyle w:val="af8"/>
          <w:rtl/>
        </w:rPr>
        <w:t>המ"מ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Ref15210431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יא</w:t>
      </w:r>
      <w:r w:rsidR="004D1C5B">
        <w:rPr>
          <w:rStyle w:val="af6"/>
          <w:rFonts w:eastAsia="Guttman Hodes"/>
          <w:rtl/>
        </w:rPr>
        <w:t>)</w:t>
      </w:r>
      <w:r>
        <w:rPr>
          <w:rFonts w:hint="cs"/>
          <w:rtl/>
        </w:rPr>
        <w:fldChar w:fldCharType="end"/>
      </w:r>
      <w:r>
        <w:rPr>
          <w:rFonts w:hint="cs"/>
          <w:rtl/>
        </w:rPr>
        <w:t xml:space="preserve"> דהיינו אף באופן שאין בעיסה כזית חיטים בכדי אכילת פרס, וכדכתב </w:t>
      </w:r>
      <w:r>
        <w:rPr>
          <w:rStyle w:val="af8"/>
          <w:rtl/>
        </w:rPr>
        <w:t>הרמב"ן בהלכות חלה</w:t>
      </w:r>
      <w:r>
        <w:rPr>
          <w:rFonts w:hint="cs"/>
          <w:rtl/>
        </w:rPr>
        <w:t xml:space="preserve">, והקשה </w:t>
      </w:r>
      <w:r>
        <w:rPr>
          <w:rStyle w:val="af8"/>
          <w:rtl/>
        </w:rPr>
        <w:t>הגר"ח</w:t>
      </w:r>
      <w:r>
        <w:rPr>
          <w:rFonts w:hint="cs"/>
          <w:rtl/>
        </w:rPr>
        <w:t xml:space="preserve"> דהרי בגמ' בזבחים </w:t>
      </w:r>
      <w:r>
        <w:rPr>
          <w:rStyle w:val="af6"/>
          <w:rFonts w:eastAsia="Guttman Hodes" w:hint="cs"/>
          <w:rtl/>
        </w:rPr>
        <w:t>(עט.)</w:t>
      </w:r>
      <w:r>
        <w:rPr>
          <w:rFonts w:hint="cs"/>
          <w:rtl/>
        </w:rPr>
        <w:t xml:space="preserve"> מבואר דהא דיוצא בה יד"ח מצה הוא מדין טעם כעיקר דאו', והרי כיון שאין בעיסה כזית בכדי אכילת פרס, א"כ לדעת </w:t>
      </w:r>
      <w:r>
        <w:rPr>
          <w:rStyle w:val="af8"/>
          <w:rtl/>
        </w:rPr>
        <w:t>הרמב"ם</w:t>
      </w:r>
      <w:r>
        <w:rPr>
          <w:rFonts w:hint="cs"/>
          <w:rtl/>
        </w:rPr>
        <w:t xml:space="preserve"> היא טעמו ולא ממשו דאינו אסור מדאו', וכן לדעת </w:t>
      </w:r>
      <w:r>
        <w:rPr>
          <w:rStyle w:val="af8"/>
          <w:rtl/>
        </w:rPr>
        <w:t>הרמב"ן</w:t>
      </w:r>
      <w:r>
        <w:rPr>
          <w:rFonts w:hint="cs"/>
          <w:rtl/>
        </w:rPr>
        <w:t xml:space="preserve"> כפי שהביא </w:t>
      </w:r>
      <w:r>
        <w:rPr>
          <w:rStyle w:val="af8"/>
          <w:rtl/>
        </w:rPr>
        <w:t>הרשב"א בתוה"ב</w:t>
      </w:r>
      <w:r>
        <w:rPr>
          <w:rFonts w:hint="cs"/>
          <w:rtl/>
        </w:rPr>
        <w:t>, והיאך שייך לצאת בה יד"ח מצה.</w:t>
      </w:r>
      <w:bookmarkEnd w:id="7883"/>
    </w:p>
    <w:p w:rsidR="007E08E0" w:rsidRDefault="007E08E0" w:rsidP="007E08E0">
      <w:pPr>
        <w:pStyle w:val="a2"/>
        <w:rPr>
          <w:rtl/>
        </w:rPr>
      </w:pPr>
      <w:bookmarkStart w:id="7884" w:name="_Toc15227879"/>
      <w:bookmarkStart w:id="7885" w:name="_Toc15227712"/>
      <w:r>
        <w:rPr>
          <w:rFonts w:hint="cs"/>
          <w:rtl/>
        </w:rPr>
        <w:t>ביאור הגר"ח דמדין גרירה יש בעיסת האורז שיעור אכילה ולכן שייך בו טע"כ דאו'</w:t>
      </w:r>
      <w:bookmarkEnd w:id="7884"/>
      <w:bookmarkEnd w:id="7885"/>
    </w:p>
    <w:p w:rsidR="007E08E0" w:rsidRDefault="007E08E0" w:rsidP="009F44AF">
      <w:pPr>
        <w:pStyle w:val="a"/>
        <w:rPr>
          <w:rtl/>
        </w:rPr>
      </w:pPr>
      <w:r>
        <w:rPr>
          <w:rFonts w:hint="cs"/>
          <w:rtl/>
        </w:rPr>
        <w:t xml:space="preserve">אלא כתב </w:t>
      </w:r>
      <w:r>
        <w:rPr>
          <w:rStyle w:val="af8"/>
          <w:rtl/>
        </w:rPr>
        <w:t>הגר"ח</w:t>
      </w:r>
      <w:r>
        <w:rPr>
          <w:rFonts w:hint="cs"/>
          <w:rtl/>
        </w:rPr>
        <w:t xml:space="preserve"> דמוכח כדבריו דהא דטעמו וממשו אינו אסור מדאו', הוא רק מחמת שיש חסרון בשיעור האכילה שבו, כיון דהאורז מצטרף לכזית מדין גרירה, </w:t>
      </w:r>
      <w:r>
        <w:rPr>
          <w:rStyle w:val="afa"/>
          <w:rtl/>
        </w:rPr>
        <w:t>[דלדין מצה בעינן דגן הבא לידי חימוץ, וכשנגרר אחר החיטים אף האורז בא לידי חימוץ],</w:t>
      </w:r>
      <w:r>
        <w:rPr>
          <w:rFonts w:hint="cs"/>
          <w:rtl/>
        </w:rPr>
        <w:t xml:space="preserve"> ממילא אין בעיסה כל חסרון בשיעור האכילה, ולכן הוא בכלל טעם כעיקר דאו', ויוצא בו יד"ח מצה בפסח, אף שאין בו כזית חיטים בכדי אכילת פרס.</w:t>
      </w:r>
    </w:p>
    <w:p w:rsidR="007E08E0" w:rsidRDefault="007E08E0" w:rsidP="007E08E0">
      <w:pPr>
        <w:pStyle w:val="a2"/>
        <w:rPr>
          <w:rtl/>
        </w:rPr>
      </w:pPr>
      <w:bookmarkStart w:id="7886" w:name="_Toc15227880"/>
      <w:bookmarkStart w:id="7887" w:name="_Toc15227713"/>
      <w:r>
        <w:rPr>
          <w:rFonts w:hint="cs"/>
          <w:rtl/>
        </w:rPr>
        <w:t>דברי הגר"ח דבאכל פחות מכא"פ מדקיי"ל דאין היתר מצטרף לאיסור מוכח דהוא טעמו ולא ממשו</w:t>
      </w:r>
      <w:bookmarkEnd w:id="7886"/>
      <w:bookmarkEnd w:id="7887"/>
    </w:p>
    <w:p w:rsidR="007E08E0" w:rsidRDefault="007E08E0" w:rsidP="009F44AF">
      <w:pPr>
        <w:pStyle w:val="a"/>
        <w:rPr>
          <w:rtl/>
        </w:rPr>
      </w:pPr>
      <w:r>
        <w:rPr>
          <w:rFonts w:hint="cs"/>
          <w:rtl/>
        </w:rPr>
        <w:t xml:space="preserve">וכתב </w:t>
      </w:r>
      <w:r>
        <w:rPr>
          <w:rStyle w:val="af8"/>
          <w:rtl/>
        </w:rPr>
        <w:t>הגר"ח</w:t>
      </w:r>
      <w:r>
        <w:rPr>
          <w:rFonts w:hint="cs"/>
          <w:rtl/>
        </w:rPr>
        <w:t xml:space="preserve"> דלפי"ז מבואר דמקור הדין של האופן הב' שכתב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Ref15034127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בטעמו ולא ממשו כשיש בתערובת כזית איסור בכדי אכילת פרס, אך אכל פחות מפרס דאין לוקין עליו, הוא מהגמ' בפסחים </w:t>
      </w:r>
      <w:r>
        <w:rPr>
          <w:rStyle w:val="af6"/>
          <w:rFonts w:eastAsia="Guttman Hodes" w:hint="cs"/>
          <w:rtl/>
        </w:rPr>
        <w:t>(מג.)</w:t>
      </w:r>
      <w:r>
        <w:rPr>
          <w:rFonts w:hint="cs"/>
          <w:rtl/>
        </w:rPr>
        <w:t xml:space="preserve"> דקיי"ל דאין היתר מצטרף לאיסור, ולכן הוא בכלל דין חצי שיעור דאין לוקין עליו, והאופן הב' בטעמו וממשו דאין בתערובת כזית איסור בכדי אכילת פרס, מקורו הוא מדברי ריו"ח בע"ז </w:t>
      </w:r>
      <w:r>
        <w:rPr>
          <w:rStyle w:val="af6"/>
          <w:rFonts w:eastAsia="Guttman Hodes" w:hint="cs"/>
          <w:rtl/>
        </w:rPr>
        <w:t>(סז.)</w:t>
      </w:r>
      <w:r>
        <w:rPr>
          <w:rFonts w:hint="cs"/>
          <w:rtl/>
        </w:rPr>
        <w:t xml:space="preserve"> דטעמו וממשו אין לוקין עליו.</w:t>
      </w:r>
    </w:p>
    <w:p w:rsidR="007E08E0" w:rsidRDefault="007E08E0" w:rsidP="007E08E0">
      <w:pPr>
        <w:pStyle w:val="a2"/>
        <w:rPr>
          <w:rtl/>
        </w:rPr>
      </w:pPr>
      <w:bookmarkStart w:id="7888" w:name="_Toc15227881"/>
      <w:bookmarkStart w:id="7889" w:name="_Toc15227714"/>
      <w:r>
        <w:rPr>
          <w:rFonts w:hint="cs"/>
          <w:rtl/>
        </w:rPr>
        <w:t>דברי הגר"ח דאף אכל פחות מכא"פ אינו חייב מדאו' כיון שאין בו טע"כ דחסר בשיעורו</w:t>
      </w:r>
      <w:bookmarkEnd w:id="7888"/>
      <w:bookmarkEnd w:id="7889"/>
    </w:p>
    <w:p w:rsidR="007E08E0" w:rsidRDefault="007E08E0" w:rsidP="009F44AF">
      <w:pPr>
        <w:pStyle w:val="a"/>
        <w:rPr>
          <w:rtl/>
        </w:rPr>
      </w:pPr>
      <w:r>
        <w:rPr>
          <w:rFonts w:hint="cs"/>
          <w:rtl/>
        </w:rPr>
        <w:t xml:space="preserve">וכתב </w:t>
      </w:r>
      <w:r>
        <w:rPr>
          <w:rStyle w:val="af8"/>
          <w:rtl/>
        </w:rPr>
        <w:t>הגר"ח</w:t>
      </w:r>
      <w:r>
        <w:rPr>
          <w:rFonts w:hint="cs"/>
          <w:rtl/>
        </w:rPr>
        <w:t xml:space="preserve"> דא"כ מיושב אמאי פסק </w:t>
      </w:r>
      <w:r>
        <w:rPr>
          <w:rStyle w:val="af8"/>
          <w:rtl/>
        </w:rPr>
        <w:t>הרמב"ם</w:t>
      </w:r>
      <w:r>
        <w:rPr>
          <w:rFonts w:hint="cs"/>
          <w:rtl/>
        </w:rPr>
        <w:t xml:space="preserve"> את ב' האופנים יחד בדינא דטעם כעיקר, דהא בהא תליא, דהא דטעמו ולא ממשו אסור רק מדרבנן, הוא רק כיון דפסק </w:t>
      </w:r>
      <w:r>
        <w:rPr>
          <w:rStyle w:val="af8"/>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Ref15034258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ה</w:t>
      </w:r>
      <w:r w:rsidR="004D1C5B">
        <w:rPr>
          <w:rStyle w:val="af6"/>
          <w:rFonts w:eastAsia="Guttman Hodes"/>
          <w:rtl/>
        </w:rPr>
        <w:t>)</w:t>
      </w:r>
      <w:r>
        <w:rPr>
          <w:rFonts w:hint="cs"/>
          <w:rtl/>
        </w:rPr>
        <w:fldChar w:fldCharType="end"/>
      </w:r>
      <w:r>
        <w:rPr>
          <w:rFonts w:hint="cs"/>
          <w:rtl/>
        </w:rPr>
        <w:t xml:space="preserve"> דאין היתר מצטרף לאיסור, ולכן אין בתערובת שיעור איסור לאכילה, דההיתר שבתערובת אינו מצטרף לפחות מהכזית בכדי אכילת פרס של האיסור, וכיון שאין בהם שיעור וחלות שם של איסור אכילה, ממילא אין בהם דין טעם כעיקר.</w:t>
      </w:r>
    </w:p>
    <w:p w:rsidR="007E08E0" w:rsidRDefault="007E08E0" w:rsidP="007E08E0">
      <w:pPr>
        <w:pStyle w:val="a2"/>
        <w:rPr>
          <w:rtl/>
        </w:rPr>
      </w:pPr>
      <w:bookmarkStart w:id="7890" w:name="_Toc15227882"/>
      <w:bookmarkStart w:id="7891" w:name="_Toc15227715"/>
      <w:r>
        <w:rPr>
          <w:rFonts w:hint="cs"/>
          <w:rtl/>
        </w:rPr>
        <w:t>דברי הגר"ח דבנזיר האופן שיש בתערובת פחות מכא"פ כלול בדין דאין היתר מצטרף לאיסור</w:t>
      </w:r>
      <w:bookmarkEnd w:id="7890"/>
      <w:bookmarkEnd w:id="7891"/>
    </w:p>
    <w:p w:rsidR="007E08E0" w:rsidRDefault="007E08E0" w:rsidP="009F44AF">
      <w:pPr>
        <w:pStyle w:val="a"/>
        <w:rPr>
          <w:rStyle w:val="afa"/>
          <w:rtl/>
        </w:rPr>
      </w:pPr>
      <w:bookmarkStart w:id="7892" w:name="_Ref15223511"/>
      <w:r>
        <w:rPr>
          <w:rFonts w:hint="cs"/>
          <w:rtl/>
        </w:rPr>
        <w:t xml:space="preserve">וכתב </w:t>
      </w:r>
      <w:r>
        <w:rPr>
          <w:rStyle w:val="af8"/>
          <w:rtl/>
        </w:rPr>
        <w:t>הגר"ח</w:t>
      </w:r>
      <w:r>
        <w:rPr>
          <w:rFonts w:hint="cs"/>
          <w:rtl/>
        </w:rPr>
        <w:t xml:space="preserve"> דלכן לא הזכיר </w:t>
      </w:r>
      <w:r>
        <w:rPr>
          <w:rStyle w:val="af8"/>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Ref14857341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בדין נזיר את האופן הב' כשאין בתערובת שיעור כזית בכדי אכילת פרס מהאיסור, כיון דבדין נזיר כבר כתב כן </w:t>
      </w:r>
      <w:r>
        <w:rPr>
          <w:rStyle w:val="af8"/>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Ref15034258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ה</w:t>
      </w:r>
      <w:r w:rsidR="004D1C5B">
        <w:rPr>
          <w:rStyle w:val="af6"/>
          <w:rFonts w:eastAsia="Guttman Hodes"/>
          <w:rtl/>
        </w:rPr>
        <w:t>)</w:t>
      </w:r>
      <w:r>
        <w:rPr>
          <w:rFonts w:hint="cs"/>
          <w:rtl/>
        </w:rPr>
        <w:fldChar w:fldCharType="end"/>
      </w:r>
      <w:r>
        <w:rPr>
          <w:rFonts w:hint="cs"/>
          <w:rtl/>
        </w:rPr>
        <w:t xml:space="preserve"> דאין היתר מצטרף לאיסור, ולכן לא הוצרך </w:t>
      </w:r>
      <w:r>
        <w:rPr>
          <w:rStyle w:val="af8"/>
          <w:rtl/>
        </w:rPr>
        <w:t>הרמב"ם</w:t>
      </w:r>
      <w:r>
        <w:rPr>
          <w:rFonts w:hint="cs"/>
          <w:rtl/>
        </w:rPr>
        <w:t xml:space="preserve"> לחזור ולכותבה, כפי שכתבה בדין טעם כעיקר. </w:t>
      </w:r>
      <w:r>
        <w:rPr>
          <w:rStyle w:val="afa"/>
          <w:rtl/>
        </w:rPr>
        <w:t xml:space="preserve">[ומיושבת בזה קושית </w:t>
      </w:r>
      <w:r>
        <w:rPr>
          <w:rStyle w:val="affa"/>
          <w:rtl/>
        </w:rPr>
        <w:t xml:space="preserve">הגרעק"א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Ref15209011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עג)</w:t>
      </w:r>
      <w:r>
        <w:rPr>
          <w:rFonts w:hint="cs"/>
          <w:rtl/>
        </w:rPr>
        <w:fldChar w:fldCharType="end"/>
      </w:r>
      <w:r>
        <w:rPr>
          <w:rStyle w:val="afa"/>
          <w:rtl/>
        </w:rPr>
        <w:t xml:space="preserve"> אמאי השמיט </w:t>
      </w:r>
      <w:r>
        <w:rPr>
          <w:rStyle w:val="affa"/>
          <w:rtl/>
        </w:rPr>
        <w:t xml:space="preserve">הרמב"ם </w:t>
      </w:r>
      <w:r>
        <w:rPr>
          <w:rStyle w:val="afa"/>
          <w:rtl/>
        </w:rPr>
        <w:t>את דין שרה ענבים במים].</w:t>
      </w:r>
      <w:bookmarkEnd w:id="7892"/>
    </w:p>
    <w:p w:rsidR="007E08E0" w:rsidRDefault="007E08E0" w:rsidP="007E08E0">
      <w:pPr>
        <w:pStyle w:val="1"/>
        <w:rPr>
          <w:rtl/>
        </w:rPr>
      </w:pPr>
      <w:bookmarkStart w:id="7893" w:name="_Toc15227883"/>
      <w:bookmarkStart w:id="7894" w:name="_Toc15227716"/>
      <w:bookmarkStart w:id="7895" w:name="_Toc15163232"/>
      <w:bookmarkStart w:id="7896" w:name="_Toc15057781"/>
      <w:bookmarkStart w:id="7897" w:name="_Toc15035038"/>
      <w:bookmarkStart w:id="7898" w:name="_Toc14993511"/>
      <w:bookmarkStart w:id="7899" w:name="_Toc14973659"/>
      <w:r>
        <w:rPr>
          <w:rFonts w:hint="cs"/>
          <w:rtl/>
        </w:rPr>
        <w:t>דברי הגר"ח בפלוגתת הרמב"ם והראב"ד בכזית בפחות מכא"פ</w:t>
      </w:r>
      <w:bookmarkEnd w:id="7893"/>
      <w:bookmarkEnd w:id="7894"/>
      <w:bookmarkEnd w:id="7895"/>
      <w:bookmarkEnd w:id="7896"/>
      <w:bookmarkEnd w:id="7897"/>
      <w:bookmarkEnd w:id="7898"/>
      <w:bookmarkEnd w:id="7899"/>
    </w:p>
    <w:p w:rsidR="007E08E0" w:rsidRDefault="007E08E0" w:rsidP="007E08E0">
      <w:pPr>
        <w:pStyle w:val="a2"/>
        <w:rPr>
          <w:rtl/>
        </w:rPr>
      </w:pPr>
      <w:bookmarkStart w:id="7900" w:name="_Toc15227884"/>
      <w:bookmarkStart w:id="7901" w:name="_Toc15227717"/>
      <w:r>
        <w:rPr>
          <w:rFonts w:hint="cs"/>
          <w:rtl/>
        </w:rPr>
        <w:t>דברי הגר"ח דפלוגתת הרמב"ם והראב"ד בנזיר בפחות מכא"פ תלוי בגדר חיוב טע"כ</w:t>
      </w:r>
      <w:bookmarkEnd w:id="7900"/>
      <w:bookmarkEnd w:id="7901"/>
    </w:p>
    <w:p w:rsidR="007E08E0" w:rsidRDefault="007E08E0" w:rsidP="009F44AF">
      <w:pPr>
        <w:pStyle w:val="a"/>
        <w:rPr>
          <w:rStyle w:val="afa"/>
          <w:rtl/>
        </w:rPr>
      </w:pPr>
      <w:r>
        <w:rPr>
          <w:rFonts w:hint="cs"/>
          <w:rtl/>
        </w:rPr>
        <w:t xml:space="preserve">הביא </w:t>
      </w:r>
      <w:r>
        <w:rPr>
          <w:rStyle w:val="af8"/>
          <w:rtl/>
        </w:rPr>
        <w:t>בחי' הגר"ח על הש"ס</w:t>
      </w:r>
      <w:r>
        <w:rPr>
          <w:rFonts w:hint="cs"/>
          <w:rtl/>
        </w:rPr>
        <w:t xml:space="preserve"> </w:t>
      </w:r>
      <w:r>
        <w:rPr>
          <w:rStyle w:val="af6"/>
          <w:rFonts w:eastAsia="Guttman Hodes" w:hint="cs"/>
          <w:rtl/>
        </w:rPr>
        <w:t>(מהדו' מישור ערלה פ"ב מ"א בענין טעם כעיקר ד"ה והנה בפ"ה)</w:t>
      </w:r>
      <w:r>
        <w:rPr>
          <w:rFonts w:hint="cs"/>
          <w:rtl/>
        </w:rPr>
        <w:t xml:space="preserve"> את פלוגתת </w:t>
      </w:r>
      <w:r>
        <w:rPr>
          <w:rStyle w:val="af8"/>
          <w:rtl/>
        </w:rPr>
        <w:t>הרמב"ם</w:t>
      </w:r>
      <w:r>
        <w:rPr>
          <w:rFonts w:hint="cs"/>
          <w:rtl/>
        </w:rPr>
        <w:t xml:space="preserve"> </w:t>
      </w:r>
      <w:r>
        <w:rPr>
          <w:rStyle w:val="af8"/>
          <w:rtl/>
        </w:rPr>
        <w:t>והראב"ד</w:t>
      </w:r>
      <w:r>
        <w:rPr>
          <w:rFonts w:hint="cs"/>
          <w:rtl/>
        </w:rPr>
        <w:t xml:space="preserve"> ביין שהתערב בדבש בפחות מכזית בכדי אכילת פרס, ויש בו טעם יין, </w:t>
      </w:r>
      <w:r>
        <w:rPr>
          <w:rStyle w:val="af8"/>
          <w:rtl/>
        </w:rPr>
        <w:t>דלהרמב"ם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Ref14898712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ז</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אסור מדרבנן </w:t>
      </w:r>
      <w:r>
        <w:rPr>
          <w:rStyle w:val="af8"/>
          <w:rtl/>
        </w:rPr>
        <w:t>ולהראב"ד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Ref14857323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ח</w:t>
      </w:r>
      <w:r w:rsidR="004D1C5B">
        <w:rPr>
          <w:rStyle w:val="af6"/>
          <w:rFonts w:eastAsia="Guttman Hodes"/>
          <w:rtl/>
        </w:rPr>
        <w:t>)</w:t>
      </w:r>
      <w:r>
        <w:rPr>
          <w:rFonts w:hint="cs"/>
          <w:rtl/>
        </w:rPr>
        <w:fldChar w:fldCharType="end"/>
      </w:r>
      <w:r>
        <w:rPr>
          <w:rFonts w:hint="cs"/>
          <w:rtl/>
        </w:rPr>
        <w:t xml:space="preserve"> אסור מדאו', וכתב </w:t>
      </w:r>
      <w:r>
        <w:rPr>
          <w:rStyle w:val="af8"/>
          <w:rtl/>
        </w:rPr>
        <w:t>בחי' הגר"ח על הש"ס</w:t>
      </w:r>
      <w:r>
        <w:rPr>
          <w:rFonts w:hint="cs"/>
          <w:rtl/>
        </w:rPr>
        <w:t xml:space="preserve"> </w:t>
      </w:r>
      <w:r>
        <w:rPr>
          <w:rStyle w:val="afa"/>
          <w:rtl/>
        </w:rPr>
        <w:t xml:space="preserve">[כדחקר </w:t>
      </w:r>
      <w:r>
        <w:rPr>
          <w:rStyle w:val="affa"/>
          <w:rtl/>
        </w:rPr>
        <w:t xml:space="preserve">בחי' הגר"ח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Ref12896046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קט)</w:t>
      </w:r>
      <w:r>
        <w:rPr>
          <w:rFonts w:hint="cs"/>
          <w:rtl/>
        </w:rPr>
        <w:fldChar w:fldCharType="end"/>
      </w:r>
      <w:r>
        <w:rPr>
          <w:rStyle w:val="afa"/>
          <w:rtl/>
        </w:rPr>
        <w:t>]</w:t>
      </w:r>
      <w:r>
        <w:rPr>
          <w:rFonts w:hint="cs"/>
          <w:rtl/>
        </w:rPr>
        <w:t xml:space="preserve"> דיש לחקור בכל השיעור דמין בשאינו מינו </w:t>
      </w:r>
      <w:r>
        <w:rPr>
          <w:rFonts w:hint="cs"/>
          <w:rtl/>
        </w:rPr>
        <w:t xml:space="preserve">בנותן טעם, אי טעם אינו מתבטל ברוב בתערובת, דחשיב שהאיסור ניכר, ולכן שיעורו הוא בנותן טעם, או דאף הטעם מתבטל ברוב, אלא שיש בו איסור בפנ"ע מדין טעם כעיקר. </w:t>
      </w:r>
      <w:r>
        <w:rPr>
          <w:rStyle w:val="afa"/>
          <w:rtl/>
        </w:rPr>
        <w:t xml:space="preserve">[וכתב </w:t>
      </w:r>
      <w:r>
        <w:rPr>
          <w:rStyle w:val="affa"/>
          <w:rtl/>
        </w:rPr>
        <w:t xml:space="preserve">בחי' הגר"ח על הש"ס </w:t>
      </w:r>
      <w:r>
        <w:rPr>
          <w:rStyle w:val="afa"/>
          <w:rtl/>
        </w:rPr>
        <w:t xml:space="preserve">דמדין דם במים ועיסת אורז מוכח דהוא אינו דין באיסורים, כדכתב </w:t>
      </w:r>
      <w:r>
        <w:rPr>
          <w:rStyle w:val="affa"/>
          <w:rtl/>
        </w:rPr>
        <w:t>בחי' הגר"ח</w:t>
      </w:r>
      <w:r>
        <w:rPr>
          <w:rStyle w:val="aff6"/>
          <w:rtl/>
        </w:rPr>
        <w:t xml:space="preserve"> (עי'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Ref14797477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קה)</w:t>
      </w:r>
      <w:r>
        <w:rPr>
          <w:rFonts w:hint="cs"/>
          <w:rtl/>
        </w:rPr>
        <w:fldChar w:fldCharType="end"/>
      </w:r>
      <w:r>
        <w:rPr>
          <w:rStyle w:val="afa"/>
          <w:rtl/>
        </w:rPr>
        <w:t xml:space="preserve">, עיי"ש, אך דחה </w:t>
      </w:r>
      <w:r>
        <w:rPr>
          <w:rStyle w:val="affa"/>
          <w:rtl/>
        </w:rPr>
        <w:t xml:space="preserve">בחי' הגר"ח על הש"ס </w:t>
      </w:r>
      <w:r>
        <w:rPr>
          <w:rStyle w:val="afa"/>
          <w:rtl/>
        </w:rPr>
        <w:t xml:space="preserve">דמצריך ילפותא ממשרת מוכח דהוא דין בפנ"ע, כדכתב </w:t>
      </w:r>
      <w:r>
        <w:rPr>
          <w:rStyle w:val="affa"/>
          <w:rtl/>
        </w:rPr>
        <w:t xml:space="preserve">בחי' הגר"ח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Ref12895972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קיב)</w:t>
      </w:r>
      <w:r>
        <w:rPr>
          <w:rFonts w:hint="cs"/>
          <w:rtl/>
        </w:rPr>
        <w:fldChar w:fldCharType="end"/>
      </w:r>
      <w:r>
        <w:rPr>
          <w:rStyle w:val="afa"/>
          <w:rtl/>
        </w:rPr>
        <w:t xml:space="preserve"> עיי"ש, וע"ע במה שהאריך בזה </w:t>
      </w:r>
      <w:r>
        <w:rPr>
          <w:rStyle w:val="affa"/>
          <w:rtl/>
        </w:rPr>
        <w:t>בחי' הגר"ח על הש"ס</w:t>
      </w:r>
      <w:r>
        <w:rPr>
          <w:rStyle w:val="afa"/>
          <w:rtl/>
        </w:rPr>
        <w:t xml:space="preserve">, ובמה שביאר לפי"ז את הגמ' בזבחים </w:t>
      </w:r>
      <w:r>
        <w:rPr>
          <w:rStyle w:val="aff6"/>
          <w:rtl/>
        </w:rPr>
        <w:t>(עט.)</w:t>
      </w:r>
      <w:r>
        <w:rPr>
          <w:rStyle w:val="afa"/>
          <w:rtl/>
        </w:rPr>
        <w:t xml:space="preserve"> בדין רואין]. </w:t>
      </w:r>
    </w:p>
    <w:p w:rsidR="007E08E0" w:rsidRDefault="007E08E0" w:rsidP="00E669F8">
      <w:pPr>
        <w:pStyle w:val="afd"/>
        <w:rPr>
          <w:noProof w:val="0"/>
          <w:sz w:val="18"/>
          <w:rtl/>
        </w:rPr>
      </w:pPr>
      <w:bookmarkStart w:id="7902" w:name="_Toc15227885"/>
      <w:bookmarkStart w:id="7903" w:name="_Toc15227718"/>
      <w:r>
        <w:rPr>
          <w:rFonts w:hint="cs"/>
          <w:rtl/>
        </w:rPr>
        <w:t>דברי הגר"ח ברוב בטע"כ לרמב"ם ולראב"ד</w:t>
      </w:r>
      <w:bookmarkEnd w:id="7902"/>
      <w:bookmarkEnd w:id="7903"/>
      <w:r>
        <w:rPr>
          <w:rFonts w:hint="cs"/>
          <w:rtl/>
        </w:rPr>
        <w:t xml:space="preserve"> </w:t>
      </w:r>
    </w:p>
    <w:p w:rsidR="007E08E0" w:rsidRDefault="007E08E0" w:rsidP="007E08E0">
      <w:pPr>
        <w:pStyle w:val="1"/>
        <w:rPr>
          <w:rtl/>
        </w:rPr>
      </w:pPr>
      <w:bookmarkStart w:id="7904" w:name="_Toc15227886"/>
      <w:bookmarkStart w:id="7905" w:name="_Toc15227719"/>
      <w:r>
        <w:rPr>
          <w:rFonts w:hint="cs"/>
          <w:rtl/>
        </w:rPr>
        <w:t>ביאור הגר"ח בפלוגתת הרמב"ם והראב"ד בביטול ברוב בטע"כ</w:t>
      </w:r>
      <w:bookmarkEnd w:id="7904"/>
      <w:bookmarkEnd w:id="7905"/>
    </w:p>
    <w:p w:rsidR="007E08E0" w:rsidRDefault="007E08E0" w:rsidP="007E08E0">
      <w:pPr>
        <w:pStyle w:val="a2"/>
        <w:rPr>
          <w:rtl/>
        </w:rPr>
      </w:pPr>
      <w:bookmarkStart w:id="7906" w:name="_Toc15227887"/>
      <w:bookmarkStart w:id="7907" w:name="_Toc15227720"/>
      <w:r>
        <w:rPr>
          <w:rFonts w:hint="cs"/>
          <w:rtl/>
        </w:rPr>
        <w:t>דברי הגר"ח דלהראב"ד פלוגתת ר"א ורבנן בחיוב כרת היא רק בפחות מכזית בכא"פ</w:t>
      </w:r>
      <w:bookmarkEnd w:id="7906"/>
      <w:bookmarkEnd w:id="7907"/>
    </w:p>
    <w:p w:rsidR="007E08E0" w:rsidRDefault="007E08E0" w:rsidP="009F44AF">
      <w:pPr>
        <w:pStyle w:val="a"/>
        <w:rPr>
          <w:rtl/>
        </w:rPr>
      </w:pPr>
      <w:r>
        <w:rPr>
          <w:rFonts w:hint="cs"/>
          <w:rtl/>
        </w:rPr>
        <w:t xml:space="preserve">והביא </w:t>
      </w:r>
      <w:r>
        <w:rPr>
          <w:rStyle w:val="af8"/>
          <w:rtl/>
        </w:rPr>
        <w:t>בחי' הגר"ח על הש"ס</w:t>
      </w:r>
      <w:r>
        <w:rPr>
          <w:rFonts w:hint="cs"/>
          <w:rtl/>
        </w:rPr>
        <w:t xml:space="preserve"> </w:t>
      </w:r>
      <w:r>
        <w:rPr>
          <w:rStyle w:val="af6"/>
          <w:rFonts w:eastAsia="Guttman Hodes" w:hint="cs"/>
          <w:rtl/>
        </w:rPr>
        <w:t>(מהדו' מישור ערלה פ"ב מ"א בענין טעם כעיקר ד"ה ומעתה מבואר)</w:t>
      </w:r>
      <w:r>
        <w:rPr>
          <w:rFonts w:hint="cs"/>
          <w:rtl/>
        </w:rPr>
        <w:t xml:space="preserve"> את פלוגתת </w:t>
      </w:r>
      <w:r>
        <w:rPr>
          <w:rStyle w:val="af8"/>
          <w:rtl/>
        </w:rPr>
        <w:t>הרמב"ם והראב"ד</w:t>
      </w:r>
      <w:r>
        <w:rPr>
          <w:rFonts w:hint="cs"/>
          <w:rtl/>
        </w:rPr>
        <w:t xml:space="preserve"> בדין תערובת חמץ בכותח, דלהרמב"ם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Fonts w:hint="cs"/>
          <w:rtl/>
        </w:rPr>
        <w:fldChar w:fldCharType="end"/>
      </w:r>
      <w:r>
        <w:rPr>
          <w:rFonts w:hint="cs"/>
          <w:rtl/>
        </w:rPr>
        <w:t xml:space="preserve"> כשיש כזית בכדי אכילת פרס, אף שהוא נותן טעם ואסור מדאו', מ"מ אין בו כרת ואסור רק מלאו "כל מחמת לא תאכלו", ובפחות מכזית בכדי אכילת פרס, אף שהוא אסור אין בו מלקות, והשיג עליו </w:t>
      </w:r>
      <w:r>
        <w:rPr>
          <w:rStyle w:val="af8"/>
          <w:rtl/>
        </w:rPr>
        <w:t>הראב"ד</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Ref15223924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טו</w:t>
      </w:r>
      <w:r w:rsidR="004D1C5B">
        <w:rPr>
          <w:rStyle w:val="af6"/>
          <w:rFonts w:eastAsia="Guttman Hodes"/>
          <w:rtl/>
        </w:rPr>
        <w:t>)</w:t>
      </w:r>
      <w:r>
        <w:rPr>
          <w:rFonts w:hint="cs"/>
          <w:rtl/>
        </w:rPr>
        <w:fldChar w:fldCharType="end"/>
      </w:r>
      <w:r>
        <w:rPr>
          <w:rFonts w:hint="cs"/>
          <w:rtl/>
        </w:rPr>
        <w:t xml:space="preserve"> דבפחות מכזית בכדי אכילת פרס, פסק </w:t>
      </w:r>
      <w:r>
        <w:rPr>
          <w:rStyle w:val="af8"/>
          <w:rtl/>
        </w:rPr>
        <w:t>הרי"ף</w:t>
      </w:r>
      <w:r>
        <w:rPr>
          <w:rFonts w:hint="cs"/>
          <w:rtl/>
        </w:rPr>
        <w:t xml:space="preserve"> כדעת רבנן בפסחים </w:t>
      </w:r>
      <w:r>
        <w:rPr>
          <w:rStyle w:val="af6"/>
          <w:rFonts w:eastAsia="Guttman Hodes" w:hint="cs"/>
          <w:rtl/>
        </w:rPr>
        <w:t>(מד.)</w:t>
      </w:r>
      <w:r>
        <w:rPr>
          <w:rFonts w:hint="cs"/>
          <w:rtl/>
        </w:rPr>
        <w:t xml:space="preserve"> דאין לוקין עליו, וביאר </w:t>
      </w:r>
      <w:r>
        <w:rPr>
          <w:rStyle w:val="af8"/>
          <w:rtl/>
        </w:rPr>
        <w:t>הגר"ח</w:t>
      </w:r>
      <w:r>
        <w:rPr>
          <w:rFonts w:hint="cs"/>
          <w:rtl/>
        </w:rPr>
        <w:t xml:space="preserve"> דבדין חמץ יש ב' איסורים, הא' חמץ גמור שחייב עליו כרת, והב' תערובת חמץ שאסור בלאו לדעת ר"א, ולרבנן באין בו אף לאו, וס"ל </w:t>
      </w:r>
      <w:r>
        <w:rPr>
          <w:rStyle w:val="af8"/>
          <w:rtl/>
        </w:rPr>
        <w:t>להראב"ד</w:t>
      </w:r>
      <w:r>
        <w:rPr>
          <w:rFonts w:hint="cs"/>
          <w:rtl/>
        </w:rPr>
        <w:t xml:space="preserve"> דכל פלוגתת ר"א ורבנן היא בפחות מכזית בכדי אכילת פרס.</w:t>
      </w:r>
    </w:p>
    <w:p w:rsidR="007E08E0" w:rsidRDefault="007E08E0" w:rsidP="007E08E0">
      <w:pPr>
        <w:pStyle w:val="a2"/>
        <w:rPr>
          <w:rtl/>
        </w:rPr>
      </w:pPr>
      <w:bookmarkStart w:id="7908" w:name="_Toc15227888"/>
      <w:bookmarkStart w:id="7909" w:name="_Toc15227721"/>
      <w:r>
        <w:rPr>
          <w:rFonts w:hint="cs"/>
          <w:rtl/>
        </w:rPr>
        <w:t>דברי הגר"ח דהראב"ד לשיטתו דבכל האיסורים אין מלקות רק בפחות מכא"פ ורק בזה פליגי בחמץ</w:t>
      </w:r>
      <w:bookmarkEnd w:id="7908"/>
      <w:bookmarkEnd w:id="7909"/>
    </w:p>
    <w:p w:rsidR="007E08E0" w:rsidRDefault="007E08E0" w:rsidP="009F44AF">
      <w:pPr>
        <w:pStyle w:val="a"/>
      </w:pPr>
      <w:r>
        <w:rPr>
          <w:rFonts w:hint="cs"/>
          <w:rtl/>
        </w:rPr>
        <w:t xml:space="preserve">וכתב </w:t>
      </w:r>
      <w:r>
        <w:rPr>
          <w:rStyle w:val="af8"/>
          <w:rtl/>
        </w:rPr>
        <w:t>הגר"ח</w:t>
      </w:r>
      <w:r>
        <w:rPr>
          <w:rFonts w:hint="cs"/>
          <w:rtl/>
        </w:rPr>
        <w:t xml:space="preserve"> </w:t>
      </w:r>
      <w:r>
        <w:rPr>
          <w:rStyle w:val="af8"/>
          <w:rtl/>
        </w:rPr>
        <w:t>דהראב"ד</w:t>
      </w:r>
      <w:r>
        <w:rPr>
          <w:rFonts w:hint="cs"/>
          <w:rtl/>
        </w:rPr>
        <w:t xml:space="preserve"> לשיטתו כדכתב</w:t>
      </w:r>
      <w:r>
        <w:rPr>
          <w:rStyle w:val="af8"/>
          <w:rtl/>
        </w:rPr>
        <w:t xml:space="preserve"> הרשב"א בחי' </w:t>
      </w:r>
      <w:r>
        <w:rPr>
          <w:rStyle w:val="af6"/>
          <w:rFonts w:eastAsia="Guttman Hodes" w:hint="cs"/>
          <w:rtl/>
        </w:rPr>
        <w:t>(ד"ה והראב"ד, הובא לעיל סימן י' אות סט)</w:t>
      </w:r>
      <w:r>
        <w:rPr>
          <w:rFonts w:hint="cs"/>
          <w:rtl/>
        </w:rPr>
        <w:t xml:space="preserve"> בשם </w:t>
      </w:r>
      <w:r>
        <w:rPr>
          <w:rStyle w:val="af8"/>
          <w:rtl/>
        </w:rPr>
        <w:t>הראב"ד</w:t>
      </w:r>
      <w:r>
        <w:rPr>
          <w:rFonts w:hint="cs"/>
          <w:rtl/>
        </w:rPr>
        <w:t xml:space="preserve"> דבכל האיסורים שבתורה אין לוקין על טעם כעיקר, בפחות מכזית בכדי אכילת פרס, ולכן  אף בתערובת חמץ אין מלקות לרבנן, ולר"א יש ילפותא מכל מחמצת לחייב מלקות, אבל כשיש בו כזית בכדי אכילת פרס, דבכל האיסורים שבתורה לוקין עליו, א"כ אף בחמץ יש בו מלקות לכו"ע, ואינו בכלל הילפותא מכל מחמצת. </w:t>
      </w:r>
    </w:p>
    <w:p w:rsidR="007E08E0" w:rsidRDefault="007E08E0" w:rsidP="007E08E0">
      <w:pPr>
        <w:pStyle w:val="a2"/>
        <w:rPr>
          <w:rtl/>
        </w:rPr>
      </w:pPr>
      <w:bookmarkStart w:id="7910" w:name="_Toc15227889"/>
      <w:bookmarkStart w:id="7911" w:name="_Toc15227722"/>
      <w:r>
        <w:rPr>
          <w:rFonts w:hint="cs"/>
          <w:rtl/>
        </w:rPr>
        <w:t>ביאור הגר"ח ברמב"ם דמדינא הטעם בטל ברוב ורק ע"י כל מחמצת אינו בטל ולכן אינו חמץ גמור</w:t>
      </w:r>
      <w:bookmarkEnd w:id="7910"/>
      <w:bookmarkEnd w:id="7911"/>
    </w:p>
    <w:p w:rsidR="007E08E0" w:rsidRDefault="007E08E0" w:rsidP="009F44AF">
      <w:pPr>
        <w:pStyle w:val="a"/>
        <w:rPr>
          <w:rtl/>
        </w:rPr>
      </w:pPr>
      <w:bookmarkStart w:id="7912" w:name="_Ref15224297"/>
      <w:r>
        <w:rPr>
          <w:rFonts w:hint="cs"/>
          <w:rtl/>
        </w:rPr>
        <w:t xml:space="preserve">ובדעת </w:t>
      </w:r>
      <w:r>
        <w:rPr>
          <w:rStyle w:val="af8"/>
          <w:rtl/>
        </w:rPr>
        <w:t>הרמב"ם</w:t>
      </w:r>
      <w:r>
        <w:rPr>
          <w:rFonts w:hint="cs"/>
          <w:rtl/>
        </w:rPr>
        <w:t xml:space="preserve"> ביאר בחי' </w:t>
      </w:r>
      <w:r>
        <w:rPr>
          <w:rStyle w:val="af8"/>
          <w:rtl/>
        </w:rPr>
        <w:t>הגר"ח על הש"ס</w:t>
      </w:r>
      <w:r>
        <w:rPr>
          <w:rFonts w:hint="cs"/>
          <w:rtl/>
        </w:rPr>
        <w:t xml:space="preserve"> דס"ל דהא דהטעם אינו מתבטל ברוב, הוא אחר שנאמר בו דין טעם כעיקר, דכיון דילפינן ממשרת דיש בו איסור בפנ"ע מדין טעם כעיקר דאו', לכן אין הטעם מתבטל ברוב, </w:t>
      </w:r>
      <w:r>
        <w:rPr>
          <w:rStyle w:val="afa"/>
          <w:rtl/>
        </w:rPr>
        <w:t xml:space="preserve">[כדביאר </w:t>
      </w:r>
      <w:r>
        <w:rPr>
          <w:rStyle w:val="affa"/>
          <w:rtl/>
        </w:rPr>
        <w:t>הגר"ח</w:t>
      </w:r>
      <w:r>
        <w:rPr>
          <w:rStyle w:val="afa"/>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Ref15224249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עח</w:t>
      </w:r>
      <w:r w:rsidR="004D1C5B">
        <w:rPr>
          <w:rStyle w:val="af6"/>
          <w:rFonts w:eastAsia="Guttman Hodes"/>
          <w:rtl/>
        </w:rPr>
        <w:t>)</w:t>
      </w:r>
      <w:r>
        <w:rPr>
          <w:rFonts w:hint="cs"/>
          <w:rtl/>
        </w:rPr>
        <w:fldChar w:fldCharType="end"/>
      </w:r>
      <w:r>
        <w:rPr>
          <w:rStyle w:val="afa"/>
          <w:rtl/>
        </w:rPr>
        <w:t xml:space="preserve">], </w:t>
      </w:r>
      <w:r>
        <w:rPr>
          <w:rFonts w:hint="cs"/>
          <w:rtl/>
        </w:rPr>
        <w:t xml:space="preserve">ולכן ס"ל </w:t>
      </w:r>
      <w:r>
        <w:rPr>
          <w:rStyle w:val="af8"/>
          <w:rtl/>
        </w:rPr>
        <w:t>להרמב"ם</w:t>
      </w:r>
      <w:r>
        <w:rPr>
          <w:rFonts w:hint="cs"/>
          <w:rtl/>
        </w:rPr>
        <w:t xml:space="preserve"> דכיון דמעיקר דין רוב היה צריך הטעם להתבטל, וכל מה שאינו מתבטל הוא מדין טעם כעיקר, א"כ האיסור בתערובת חמץ הוא רק בלאו מדין "כל מחמצת לא תאכלו", אך אינו אסור בכרת, דהא מעיקר דין איסור חמץ, היה הטעם מתבטל ברוב, ואיסורו הוא רק מדין טעם כעיקר.</w:t>
      </w:r>
      <w:bookmarkEnd w:id="7912"/>
    </w:p>
    <w:p w:rsidR="007E08E0" w:rsidRDefault="007E08E0" w:rsidP="007E08E0">
      <w:pPr>
        <w:pStyle w:val="a2"/>
        <w:rPr>
          <w:rtl/>
        </w:rPr>
      </w:pPr>
      <w:bookmarkStart w:id="7913" w:name="_Toc15227890"/>
      <w:bookmarkStart w:id="7914" w:name="_Toc15227723"/>
      <w:r>
        <w:rPr>
          <w:rFonts w:hint="cs"/>
          <w:rtl/>
        </w:rPr>
        <w:t>ביאור הגר"ח בראב"ד דבטעם לא מהני ביטול דהוא ניכר ואינו מדין ביטול ברוב</w:t>
      </w:r>
      <w:bookmarkEnd w:id="7913"/>
      <w:bookmarkEnd w:id="7914"/>
    </w:p>
    <w:p w:rsidR="007E08E0" w:rsidRDefault="007E08E0" w:rsidP="009F44AF">
      <w:pPr>
        <w:pStyle w:val="a"/>
        <w:rPr>
          <w:rtl/>
        </w:rPr>
      </w:pPr>
      <w:r>
        <w:rPr>
          <w:rFonts w:hint="cs"/>
          <w:rtl/>
        </w:rPr>
        <w:t xml:space="preserve">אבל בדעת </w:t>
      </w:r>
      <w:r>
        <w:rPr>
          <w:rStyle w:val="af8"/>
          <w:rtl/>
        </w:rPr>
        <w:t>הראב"ד</w:t>
      </w:r>
      <w:r>
        <w:rPr>
          <w:rFonts w:hint="cs"/>
          <w:rtl/>
        </w:rPr>
        <w:t xml:space="preserve"> כתב </w:t>
      </w:r>
      <w:r>
        <w:rPr>
          <w:rStyle w:val="af8"/>
          <w:rtl/>
        </w:rPr>
        <w:t>בחי' הגר"ח על הש"ס</w:t>
      </w:r>
      <w:r>
        <w:rPr>
          <w:rFonts w:hint="cs"/>
          <w:rtl/>
        </w:rPr>
        <w:t xml:space="preserve"> דס"ל דהא דהטעם אינו מתבטל אינו דין נוסף, דאחר שנאמר דין טעם כעיקר, ממילא אינו מתבטל ברוב, אלא דבטעם לא מהני ביטול ברוב כיון שהוא ניכר.</w:t>
      </w:r>
    </w:p>
    <w:p w:rsidR="007E08E0" w:rsidRDefault="007E08E0" w:rsidP="007E08E0">
      <w:pPr>
        <w:pStyle w:val="a2"/>
        <w:rPr>
          <w:rtl/>
        </w:rPr>
      </w:pPr>
      <w:bookmarkStart w:id="7915" w:name="_Toc15227891"/>
      <w:bookmarkStart w:id="7916" w:name="_Toc15227724"/>
      <w:r>
        <w:rPr>
          <w:rFonts w:hint="cs"/>
          <w:rtl/>
        </w:rPr>
        <w:t>ביאור הגר"ח בראב"ד דטעם אינו מתבטל מדינא ובפחות מכא"פ ילפינן ממשרת דהטעם אסור</w:t>
      </w:r>
      <w:bookmarkEnd w:id="7915"/>
      <w:bookmarkEnd w:id="7916"/>
    </w:p>
    <w:p w:rsidR="007E08E0" w:rsidRDefault="007E08E0" w:rsidP="009F44AF">
      <w:pPr>
        <w:pStyle w:val="a"/>
        <w:rPr>
          <w:rtl/>
        </w:rPr>
      </w:pPr>
      <w:bookmarkStart w:id="7917" w:name="_Ref15226428"/>
      <w:r>
        <w:rPr>
          <w:rFonts w:hint="cs"/>
          <w:rtl/>
        </w:rPr>
        <w:t xml:space="preserve">והביא </w:t>
      </w:r>
      <w:r>
        <w:rPr>
          <w:rStyle w:val="af8"/>
          <w:rtl/>
        </w:rPr>
        <w:t>בחי' הגר"ח על הש"ס</w:t>
      </w:r>
      <w:r>
        <w:rPr>
          <w:rFonts w:hint="cs"/>
          <w:rtl/>
        </w:rPr>
        <w:t xml:space="preserve"> את דברי </w:t>
      </w:r>
      <w:r w:rsidR="00556238" w:rsidRPr="00556238">
        <w:rPr>
          <w:rStyle w:val="af8"/>
          <w:rFonts w:hint="cs"/>
          <w:rtl/>
        </w:rPr>
        <w:t xml:space="preserve">הרשב"א </w:t>
      </w:r>
      <w:r w:rsidRPr="00556238">
        <w:rPr>
          <w:rStyle w:val="af8"/>
          <w:rtl/>
        </w:rPr>
        <w:t>ב</w:t>
      </w:r>
      <w:r>
        <w:rPr>
          <w:rStyle w:val="af8"/>
          <w:rtl/>
        </w:rPr>
        <w:t xml:space="preserve">חי' </w:t>
      </w:r>
      <w:r>
        <w:rPr>
          <w:rStyle w:val="af6"/>
          <w:rFonts w:eastAsia="Guttman Hodes" w:hint="cs"/>
          <w:rtl/>
        </w:rPr>
        <w:t>(ד"ה והראב"ד, הובא לעיל סימן ט' אות סד)</w:t>
      </w:r>
      <w:r>
        <w:rPr>
          <w:rFonts w:hint="cs"/>
          <w:rtl/>
        </w:rPr>
        <w:t xml:space="preserve"> בשם </w:t>
      </w:r>
      <w:r>
        <w:rPr>
          <w:rStyle w:val="af8"/>
          <w:rtl/>
        </w:rPr>
        <w:t>הראב"ד</w:t>
      </w:r>
      <w:r>
        <w:rPr>
          <w:rFonts w:hint="cs"/>
          <w:rtl/>
        </w:rPr>
        <w:t xml:space="preserve"> דכתב דטעם כעיקר דאו', וכשיש כזית בכדי אכילת פרס דלוקין עליו, ובפחות מכזית בכדי אכילת פרס, אסור מדאו' אך אין לוקין עליו, </w:t>
      </w:r>
      <w:r>
        <w:rPr>
          <w:rStyle w:val="afa"/>
          <w:rtl/>
        </w:rPr>
        <w:t>[דילפינן בהיקש ממשרת ואין לוקין על ההקישות],</w:t>
      </w:r>
      <w:r>
        <w:rPr>
          <w:rFonts w:hint="cs"/>
          <w:rtl/>
        </w:rPr>
        <w:t xml:space="preserve"> והוסיף </w:t>
      </w:r>
      <w:r>
        <w:rPr>
          <w:rStyle w:val="af8"/>
          <w:rtl/>
        </w:rPr>
        <w:t>הרשב"א</w:t>
      </w:r>
      <w:r>
        <w:rPr>
          <w:rFonts w:hint="cs"/>
          <w:rtl/>
        </w:rPr>
        <w:t xml:space="preserve"> </w:t>
      </w:r>
      <w:r>
        <w:rPr>
          <w:rStyle w:val="af8"/>
          <w:rtl/>
        </w:rPr>
        <w:t xml:space="preserve">בחי' </w:t>
      </w:r>
      <w:r>
        <w:rPr>
          <w:rStyle w:val="af6"/>
          <w:rFonts w:eastAsia="Guttman Hodes" w:hint="cs"/>
          <w:rtl/>
        </w:rPr>
        <w:t>(ד"ה וקשיא, הובא לעיל סימן ח' אות סט)</w:t>
      </w:r>
      <w:r>
        <w:rPr>
          <w:rStyle w:val="af8"/>
          <w:rtl/>
        </w:rPr>
        <w:t xml:space="preserve"> </w:t>
      </w:r>
      <w:r>
        <w:rPr>
          <w:rFonts w:hint="cs"/>
          <w:rtl/>
        </w:rPr>
        <w:t xml:space="preserve">בשם </w:t>
      </w:r>
      <w:r>
        <w:rPr>
          <w:rStyle w:val="af8"/>
          <w:rtl/>
        </w:rPr>
        <w:t>הראב"ד</w:t>
      </w:r>
      <w:r>
        <w:rPr>
          <w:rFonts w:hint="cs"/>
          <w:rtl/>
        </w:rPr>
        <w:t xml:space="preserve"> דהא דאין הטעם מתבטל ברוב, הוא כיון דטעם ניכר האיסור בתוך ההיתר, טעימתו זוהי הכרתו, כדכתי' "וחיך אוכל יטעם </w:t>
      </w:r>
      <w:r>
        <w:rPr>
          <w:rFonts w:hint="cs"/>
          <w:rtl/>
        </w:rPr>
        <w:lastRenderedPageBreak/>
        <w:t xml:space="preserve">לו", וכל החשיבות של האוכל היא בטעם, וביאר </w:t>
      </w:r>
      <w:r>
        <w:rPr>
          <w:rStyle w:val="af8"/>
          <w:rtl/>
        </w:rPr>
        <w:t>הגר"ח</w:t>
      </w:r>
      <w:r>
        <w:rPr>
          <w:rFonts w:hint="cs"/>
          <w:rtl/>
        </w:rPr>
        <w:t xml:space="preserve"> דס"ל </w:t>
      </w:r>
      <w:r>
        <w:rPr>
          <w:rStyle w:val="af8"/>
          <w:rtl/>
        </w:rPr>
        <w:t>להראב"ד</w:t>
      </w:r>
      <w:r>
        <w:rPr>
          <w:rFonts w:hint="cs"/>
          <w:rtl/>
        </w:rPr>
        <w:t xml:space="preserve"> דהא דילפינן ממשרת דטעם כעיקר דאו', ונאמר בו דין מחודש שיש איסור על הטעם, היינו דוקא באופן שאין בו כזית בכדי אכילת פרס, ועל האיסור המחודש של טעם כעיקר אין מלקות.</w:t>
      </w:r>
      <w:bookmarkEnd w:id="7917"/>
    </w:p>
    <w:p w:rsidR="007E08E0" w:rsidRDefault="007E08E0" w:rsidP="007E08E0">
      <w:pPr>
        <w:pStyle w:val="a2"/>
        <w:rPr>
          <w:rtl/>
        </w:rPr>
      </w:pPr>
      <w:bookmarkStart w:id="7918" w:name="_Toc15227892"/>
      <w:bookmarkStart w:id="7919" w:name="_Toc15227725"/>
      <w:r>
        <w:rPr>
          <w:rFonts w:hint="cs"/>
          <w:rtl/>
        </w:rPr>
        <w:t>ביאור הגר"ח בראב"ד דביותר מכא"פ הטעם אינו אסור מדין טע"כ אלא דהאיסור לא התבטל</w:t>
      </w:r>
      <w:bookmarkEnd w:id="7918"/>
      <w:bookmarkEnd w:id="7919"/>
    </w:p>
    <w:p w:rsidR="007E08E0" w:rsidRDefault="007E08E0" w:rsidP="009F44AF">
      <w:pPr>
        <w:pStyle w:val="a"/>
      </w:pPr>
      <w:r>
        <w:rPr>
          <w:rFonts w:hint="cs"/>
          <w:rtl/>
        </w:rPr>
        <w:t xml:space="preserve">אבל במקום שיש בתערובת כזית בכדי אכילת פרס, ביאר </w:t>
      </w:r>
      <w:r>
        <w:rPr>
          <w:rStyle w:val="af8"/>
          <w:rtl/>
        </w:rPr>
        <w:t>בחי' הגר"ח על הש"ס</w:t>
      </w:r>
      <w:r>
        <w:rPr>
          <w:rFonts w:hint="cs"/>
          <w:rtl/>
        </w:rPr>
        <w:t xml:space="preserve"> דס"ל </w:t>
      </w:r>
      <w:r>
        <w:rPr>
          <w:rStyle w:val="af8"/>
          <w:rtl/>
        </w:rPr>
        <w:t>להראב"ד</w:t>
      </w:r>
      <w:r>
        <w:rPr>
          <w:rFonts w:hint="cs"/>
          <w:rtl/>
        </w:rPr>
        <w:t xml:space="preserve"> דבמין בשאינו מינו אינו הטעם מתבטל כלל דהוא ניכר, וא"כ א"צ ילפותא דהוא אסור, דהוא נשאר באיסור שהיה עליו, ולכן לוקין עליו, וביאר </w:t>
      </w:r>
      <w:r>
        <w:rPr>
          <w:rStyle w:val="af8"/>
          <w:rtl/>
        </w:rPr>
        <w:t>הגרי"ז</w:t>
      </w:r>
      <w:r>
        <w:rPr>
          <w:rFonts w:hint="cs"/>
          <w:rtl/>
        </w:rPr>
        <w:t xml:space="preserve"> </w:t>
      </w:r>
      <w:r>
        <w:rPr>
          <w:rStyle w:val="af6"/>
          <w:rFonts w:eastAsia="Guttman Hodes" w:hint="cs"/>
          <w:rtl/>
        </w:rPr>
        <w:t>(נזיר לו: ד"ה ואמר הגר"ח)</w:t>
      </w:r>
      <w:r>
        <w:rPr>
          <w:rFonts w:hint="cs"/>
          <w:rtl/>
        </w:rPr>
        <w:t xml:space="preserve"> דבכזית בכדי אכילת פרס איסורו לא נלמד מדין טעם כעיקר, אלא דחשיב שהאיסור הוא בעין, וע"ע </w:t>
      </w:r>
      <w:r>
        <w:rPr>
          <w:rStyle w:val="af8"/>
          <w:rtl/>
        </w:rPr>
        <w:t>בגנזי הגר"ח</w:t>
      </w:r>
      <w:r>
        <w:rPr>
          <w:rFonts w:hint="cs"/>
          <w:rtl/>
        </w:rPr>
        <w:t xml:space="preserve"> </w:t>
      </w:r>
      <w:r>
        <w:rPr>
          <w:rStyle w:val="af6"/>
          <w:rFonts w:eastAsia="Guttman Hodes" w:hint="cs"/>
          <w:rtl/>
        </w:rPr>
        <w:t>(סי' ס"ט ד"ה ולכאו' היה נראה)</w:t>
      </w:r>
      <w:r>
        <w:rPr>
          <w:rFonts w:hint="cs"/>
          <w:rtl/>
        </w:rPr>
        <w:t>.</w:t>
      </w:r>
    </w:p>
    <w:p w:rsidR="007E08E0" w:rsidRDefault="007E08E0" w:rsidP="007E08E0">
      <w:pPr>
        <w:pStyle w:val="1"/>
        <w:rPr>
          <w:rtl/>
        </w:rPr>
      </w:pPr>
      <w:bookmarkStart w:id="7920" w:name="_Toc15227893"/>
      <w:bookmarkStart w:id="7921" w:name="_Toc15227726"/>
      <w:r>
        <w:rPr>
          <w:rFonts w:hint="cs"/>
          <w:rtl/>
        </w:rPr>
        <w:t>ביאור הגר"ח בפלוגתת הרמב"ם והראב"ד בביטול ברוב בכותח</w:t>
      </w:r>
      <w:bookmarkEnd w:id="7920"/>
      <w:bookmarkEnd w:id="7921"/>
      <w:r>
        <w:rPr>
          <w:rFonts w:hint="cs"/>
          <w:rtl/>
        </w:rPr>
        <w:t xml:space="preserve"> </w:t>
      </w:r>
    </w:p>
    <w:p w:rsidR="007E08E0" w:rsidRDefault="007E08E0" w:rsidP="007E08E0">
      <w:pPr>
        <w:pStyle w:val="a2"/>
        <w:rPr>
          <w:rtl/>
        </w:rPr>
      </w:pPr>
      <w:bookmarkStart w:id="7922" w:name="_Toc15227894"/>
      <w:bookmarkStart w:id="7923" w:name="_Toc15227727"/>
      <w:r>
        <w:rPr>
          <w:rFonts w:hint="cs"/>
          <w:rtl/>
        </w:rPr>
        <w:t>דברי הגר"ח דלהראב"ד תערובת חמץ שיש בה כא"פ הוא חמץ גמור ואינו מדין טע"כ</w:t>
      </w:r>
      <w:bookmarkEnd w:id="7922"/>
      <w:bookmarkEnd w:id="7923"/>
    </w:p>
    <w:p w:rsidR="007E08E0" w:rsidRDefault="007E08E0" w:rsidP="009F44AF">
      <w:pPr>
        <w:pStyle w:val="a"/>
        <w:rPr>
          <w:rtl/>
        </w:rPr>
      </w:pPr>
      <w:r>
        <w:rPr>
          <w:rFonts w:hint="cs"/>
          <w:rtl/>
        </w:rPr>
        <w:t xml:space="preserve">וכתב </w:t>
      </w:r>
      <w:r>
        <w:rPr>
          <w:rStyle w:val="af8"/>
          <w:rtl/>
        </w:rPr>
        <w:t>בחי' הגר"ח על הש"ס</w:t>
      </w:r>
      <w:r>
        <w:rPr>
          <w:rFonts w:hint="cs"/>
          <w:rtl/>
        </w:rPr>
        <w:t xml:space="preserve"> דא"כ מבוארים דברי </w:t>
      </w:r>
      <w:r>
        <w:rPr>
          <w:rStyle w:val="af8"/>
          <w:rtl/>
        </w:rPr>
        <w:t>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Ref15223924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טו</w:t>
      </w:r>
      <w:r w:rsidR="004D1C5B">
        <w:rPr>
          <w:rStyle w:val="af6"/>
          <w:rFonts w:eastAsia="Guttman Hodes"/>
          <w:rtl/>
        </w:rPr>
        <w:t>)</w:t>
      </w:r>
      <w:r>
        <w:rPr>
          <w:rFonts w:hint="cs"/>
          <w:rtl/>
        </w:rPr>
        <w:fldChar w:fldCharType="end"/>
      </w:r>
      <w:r>
        <w:rPr>
          <w:rFonts w:hint="cs"/>
          <w:rtl/>
        </w:rPr>
        <w:t xml:space="preserve"> דבתערובת חמץ יש חיוב כרת, כשיש כזית בכדי אכילת פרס, דלדעת </w:t>
      </w:r>
      <w:r>
        <w:rPr>
          <w:rStyle w:val="af8"/>
          <w:rtl/>
        </w:rPr>
        <w:t>הראב"ד</w:t>
      </w:r>
      <w:r>
        <w:rPr>
          <w:rFonts w:hint="cs"/>
          <w:rtl/>
        </w:rPr>
        <w:t xml:space="preserve"> אינו אסור מהילפותא דטעם כעיקר דאו', אלא הוא בכלל איסור חמץ שנאמר בו כרת, דכיון שאינו מתבטל ברוב, ממילא הוא חמץ גמור.</w:t>
      </w:r>
    </w:p>
    <w:p w:rsidR="007E08E0" w:rsidRDefault="007E08E0" w:rsidP="007E08E0">
      <w:pPr>
        <w:pStyle w:val="a2"/>
        <w:rPr>
          <w:rtl/>
        </w:rPr>
      </w:pPr>
      <w:bookmarkStart w:id="7924" w:name="_Toc15227895"/>
      <w:bookmarkStart w:id="7925" w:name="_Toc15227728"/>
      <w:r>
        <w:rPr>
          <w:rFonts w:hint="cs"/>
          <w:rtl/>
        </w:rPr>
        <w:t>ביאור הגר"ח ברמב"ם דמדינא בתערובת חמץ יש ביטול ברוב ורק מדין טע"כ אסור ואין בו כרת</w:t>
      </w:r>
      <w:bookmarkEnd w:id="7924"/>
      <w:bookmarkEnd w:id="7925"/>
    </w:p>
    <w:p w:rsidR="007E08E0" w:rsidRDefault="007E08E0" w:rsidP="009F44AF">
      <w:pPr>
        <w:pStyle w:val="a"/>
      </w:pPr>
      <w:r>
        <w:rPr>
          <w:rFonts w:hint="cs"/>
          <w:rtl/>
        </w:rPr>
        <w:t xml:space="preserve">אבל בדעת </w:t>
      </w:r>
      <w:r>
        <w:rPr>
          <w:rStyle w:val="af8"/>
          <w:rtl/>
        </w:rPr>
        <w:t>הרמב"ם</w:t>
      </w:r>
      <w:r>
        <w:rPr>
          <w:rFonts w:hint="cs"/>
          <w:rtl/>
        </w:rPr>
        <w:t xml:space="preserve"> כתב </w:t>
      </w:r>
      <w:r>
        <w:rPr>
          <w:rStyle w:val="af8"/>
          <w:rtl/>
        </w:rPr>
        <w:t>בחי' הגר"ח על הש"ס</w:t>
      </w:r>
      <w:r>
        <w:rPr>
          <w:rFonts w:hint="cs"/>
          <w:rtl/>
        </w:rPr>
        <w:t xml:space="preserve"> דמעיקר דין רוב היה צריך הטעם להתבטל, וכל מה שאינו מתבטל הוא מדין טעם כעיקר, א"כ האיסור בתערובת חמץ הוא רק בלאו מדין "כל מחמצת לא תאכלו", אך אינו אסור בכרת, דהא מעיקר דין איסור חמץ, היה הטעם מתבטל ברוב, ואיסורו הוא רק מדין טעם כעיקר.</w:t>
      </w:r>
    </w:p>
    <w:p w:rsidR="007E08E0" w:rsidRDefault="007E08E0" w:rsidP="007E08E0">
      <w:pPr>
        <w:pStyle w:val="1"/>
        <w:rPr>
          <w:rtl/>
        </w:rPr>
      </w:pPr>
      <w:bookmarkStart w:id="7926" w:name="_Toc15227896"/>
      <w:bookmarkStart w:id="7927" w:name="_Toc15227729"/>
      <w:r>
        <w:rPr>
          <w:rFonts w:hint="cs"/>
          <w:rtl/>
        </w:rPr>
        <w:t>ביאור הגר"ח בפלוגתת הרמב"ם והראב"ד בביטול ברוב בנזיר</w:t>
      </w:r>
      <w:bookmarkEnd w:id="7926"/>
      <w:bookmarkEnd w:id="7927"/>
    </w:p>
    <w:p w:rsidR="007E08E0" w:rsidRDefault="007E08E0" w:rsidP="007E08E0">
      <w:pPr>
        <w:pStyle w:val="a2"/>
        <w:rPr>
          <w:rtl/>
        </w:rPr>
      </w:pPr>
      <w:bookmarkStart w:id="7928" w:name="_Toc15227897"/>
      <w:bookmarkStart w:id="7929" w:name="_Toc15227730"/>
      <w:r>
        <w:rPr>
          <w:rFonts w:hint="cs"/>
          <w:rtl/>
        </w:rPr>
        <w:t>ביאור הגר"ח בראב"ד בנזיר ביין פחות מכא"פ דאסור מדאו' מדין חצי שיעור</w:t>
      </w:r>
      <w:bookmarkEnd w:id="7928"/>
      <w:bookmarkEnd w:id="7929"/>
    </w:p>
    <w:p w:rsidR="007E08E0" w:rsidRDefault="007E08E0" w:rsidP="009F44AF">
      <w:pPr>
        <w:pStyle w:val="a"/>
        <w:rPr>
          <w:rtl/>
        </w:rPr>
      </w:pPr>
      <w:r>
        <w:rPr>
          <w:rFonts w:hint="cs"/>
          <w:rtl/>
        </w:rPr>
        <w:t xml:space="preserve">ולפי"ז ביאר </w:t>
      </w:r>
      <w:r>
        <w:rPr>
          <w:rStyle w:val="af8"/>
          <w:rtl/>
        </w:rPr>
        <w:t>בחי' הגר"ח על הש"ס</w:t>
      </w:r>
      <w:r>
        <w:rPr>
          <w:rFonts w:hint="cs"/>
          <w:rtl/>
        </w:rPr>
        <w:t xml:space="preserve"> את פלוגתת </w:t>
      </w:r>
      <w:r>
        <w:rPr>
          <w:rStyle w:val="af8"/>
          <w:rtl/>
        </w:rPr>
        <w:t>הרמב"ם והראב"ד</w:t>
      </w:r>
      <w:r>
        <w:rPr>
          <w:rFonts w:hint="cs"/>
          <w:rtl/>
        </w:rPr>
        <w:t xml:space="preserve"> בדין נזיר, ביין שהתערב בדבש בפחות מרביעית בכדי אכילת פרס, ויש בו טעם יין, </w:t>
      </w:r>
      <w:r>
        <w:rPr>
          <w:rStyle w:val="af8"/>
          <w:rtl/>
        </w:rPr>
        <w:t>דלהרמב"ם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Ref14898712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ז</w:t>
      </w:r>
      <w:r w:rsidR="004D1C5B">
        <w:rPr>
          <w:rStyle w:val="af6"/>
          <w:rFonts w:eastAsia="Guttman Hodes"/>
          <w:rtl/>
        </w:rPr>
        <w:t>)</w:t>
      </w:r>
      <w:r>
        <w:rPr>
          <w:rFonts w:hint="cs"/>
          <w:rtl/>
        </w:rPr>
        <w:fldChar w:fldCharType="end"/>
      </w:r>
      <w:r>
        <w:rPr>
          <w:rFonts w:hint="cs"/>
          <w:rtl/>
        </w:rPr>
        <w:t xml:space="preserve"> אסור מדרבנן, </w:t>
      </w:r>
      <w:r>
        <w:rPr>
          <w:rStyle w:val="af8"/>
          <w:rtl/>
        </w:rPr>
        <w:t>ולהראב"</w:t>
      </w:r>
      <w:r>
        <w:rPr>
          <w:rFonts w:hint="cs"/>
          <w:rtl/>
        </w:rPr>
        <w:t xml:space="preserve">ד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Ref14857323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ח</w:t>
      </w:r>
      <w:r w:rsidR="004D1C5B">
        <w:rPr>
          <w:rStyle w:val="af6"/>
          <w:rFonts w:eastAsia="Guttman Hodes"/>
          <w:rtl/>
        </w:rPr>
        <w:t>)</w:t>
      </w:r>
      <w:r>
        <w:rPr>
          <w:rFonts w:hint="cs"/>
          <w:rtl/>
        </w:rPr>
        <w:fldChar w:fldCharType="end"/>
      </w:r>
      <w:r>
        <w:rPr>
          <w:rFonts w:hint="cs"/>
          <w:rtl/>
        </w:rPr>
        <w:t xml:space="preserve"> אסור מדאו', </w:t>
      </w:r>
      <w:r>
        <w:rPr>
          <w:rStyle w:val="af8"/>
          <w:rtl/>
        </w:rPr>
        <w:t>דהראב"ד</w:t>
      </w:r>
      <w:r>
        <w:rPr>
          <w:rFonts w:hint="cs"/>
          <w:rtl/>
        </w:rPr>
        <w:t xml:space="preserve"> הרי ס"ל דכיון שהטעם ניכר א"כ לא שייך בו דין ביטול כלל, ולכן אף בפחות מרביעית בכדי אכילת פרס, שאין בו שיעור למלקות, מ"מ הוא אסור מדאו' מדין חצי שיעור, וע"ע במה שביאר </w:t>
      </w:r>
      <w:r>
        <w:rPr>
          <w:rStyle w:val="af8"/>
          <w:rtl/>
        </w:rPr>
        <w:t>הגרי"ז</w:t>
      </w:r>
      <w:r>
        <w:rPr>
          <w:rFonts w:hint="cs"/>
          <w:rtl/>
        </w:rPr>
        <w:t xml:space="preserve"> </w:t>
      </w:r>
      <w:r>
        <w:rPr>
          <w:rStyle w:val="af6"/>
          <w:rFonts w:eastAsia="Guttman Hodes" w:hint="cs"/>
          <w:rtl/>
        </w:rPr>
        <w:t>(נזיר לו. ד"ה הואיל וזר)</w:t>
      </w:r>
      <w:r>
        <w:rPr>
          <w:rFonts w:hint="cs"/>
          <w:rtl/>
        </w:rPr>
        <w:t>.</w:t>
      </w:r>
    </w:p>
    <w:p w:rsidR="007E08E0" w:rsidRDefault="007E08E0" w:rsidP="007E08E0">
      <w:pPr>
        <w:pStyle w:val="a2"/>
        <w:rPr>
          <w:rtl/>
        </w:rPr>
      </w:pPr>
      <w:bookmarkStart w:id="7930" w:name="_Toc15227898"/>
      <w:bookmarkStart w:id="7931" w:name="_Toc15227731"/>
      <w:r>
        <w:rPr>
          <w:rFonts w:hint="cs"/>
          <w:rtl/>
        </w:rPr>
        <w:t>ביאור הגר"ח ברמב"ם דכיון שהאיסור דטע"כ הוא חידוש דאינו בטל אפש"ל דאין בו דין חצי שיעור</w:t>
      </w:r>
      <w:bookmarkEnd w:id="7930"/>
      <w:bookmarkEnd w:id="7931"/>
    </w:p>
    <w:p w:rsidR="007E08E0" w:rsidRDefault="007E08E0" w:rsidP="009F44AF">
      <w:pPr>
        <w:pStyle w:val="a"/>
        <w:rPr>
          <w:rtl/>
        </w:rPr>
      </w:pPr>
      <w:bookmarkStart w:id="7932" w:name="_Ref14971838"/>
      <w:r>
        <w:rPr>
          <w:rFonts w:hint="cs"/>
          <w:rtl/>
        </w:rPr>
        <w:t xml:space="preserve">אבל בדעת </w:t>
      </w:r>
      <w:r>
        <w:rPr>
          <w:rStyle w:val="af8"/>
          <w:rtl/>
        </w:rPr>
        <w:t>הרמב"ם</w:t>
      </w:r>
      <w:r>
        <w:rPr>
          <w:rFonts w:hint="cs"/>
          <w:rtl/>
        </w:rPr>
        <w:t xml:space="preserve"> ביאר </w:t>
      </w:r>
      <w:r>
        <w:rPr>
          <w:rStyle w:val="af8"/>
          <w:rtl/>
        </w:rPr>
        <w:t>בחי' הגר"ח על הש"ס</w:t>
      </w:r>
      <w:r>
        <w:rPr>
          <w:rFonts w:hint="cs"/>
          <w:rtl/>
        </w:rPr>
        <w:t xml:space="preserve"> דכיון דס"ל דהא דהטעם אינו מתבטל ברוב, הוא רק מחמת שנאמר בו האיסור המחודש דטעם כעיקר, א"כ אפש"ל דכיון שטעם כעיקר הוא איסור מחודש בפנ"ע לא נאמר בו דין חצי שיעור מדאו' כלל, ולכן כתב </w:t>
      </w:r>
      <w:r>
        <w:rPr>
          <w:rStyle w:val="af8"/>
          <w:rtl/>
        </w:rPr>
        <w:t>הרמב"ם</w:t>
      </w:r>
      <w:r>
        <w:rPr>
          <w:rFonts w:hint="cs"/>
          <w:rtl/>
        </w:rPr>
        <w:t xml:space="preserve"> דפחות מרביעית בכדי אכילת פרס, אסור רק מדרבנן ולא מדאו', ועיי"ש במה שביאר בזה </w:t>
      </w:r>
      <w:r>
        <w:rPr>
          <w:rStyle w:val="af8"/>
          <w:rtl/>
        </w:rPr>
        <w:t>בחי' הגר"ח על הש"ס</w:t>
      </w:r>
      <w:r>
        <w:rPr>
          <w:rFonts w:hint="cs"/>
          <w:rtl/>
        </w:rPr>
        <w:t xml:space="preserve"> את דברי </w:t>
      </w:r>
      <w:r>
        <w:rPr>
          <w:rStyle w:val="af8"/>
          <w:rtl/>
        </w:rPr>
        <w:t>הרמב"ם</w:t>
      </w:r>
      <w:r>
        <w:rPr>
          <w:rFonts w:hint="cs"/>
          <w:rtl/>
        </w:rPr>
        <w:t xml:space="preserve"> בדין "רואין".</w:t>
      </w:r>
      <w:bookmarkEnd w:id="7932"/>
    </w:p>
    <w:p w:rsidR="007E08E0" w:rsidRDefault="007E08E0" w:rsidP="00E669F8">
      <w:pPr>
        <w:pStyle w:val="afd"/>
        <w:rPr>
          <w:rtl/>
        </w:rPr>
      </w:pPr>
      <w:bookmarkStart w:id="7933" w:name="_Toc15227899"/>
      <w:bookmarkStart w:id="7934" w:name="_Toc15227732"/>
      <w:bookmarkStart w:id="7935" w:name="_Toc15163233"/>
      <w:bookmarkStart w:id="7936" w:name="_Toc15057782"/>
      <w:bookmarkStart w:id="7937" w:name="_Toc15035039"/>
      <w:bookmarkStart w:id="7938" w:name="_Toc14993512"/>
      <w:bookmarkStart w:id="7939" w:name="_Toc14973660"/>
      <w:r>
        <w:rPr>
          <w:rFonts w:hint="cs"/>
          <w:rtl/>
        </w:rPr>
        <w:t>בגדר האיסור בטע"כ ובדין עיסת אורז</w:t>
      </w:r>
      <w:bookmarkEnd w:id="7933"/>
      <w:bookmarkEnd w:id="7934"/>
      <w:bookmarkEnd w:id="7935"/>
      <w:bookmarkEnd w:id="7936"/>
      <w:bookmarkEnd w:id="7937"/>
      <w:bookmarkEnd w:id="7938"/>
      <w:bookmarkEnd w:id="7939"/>
    </w:p>
    <w:p w:rsidR="007E08E0" w:rsidRDefault="007E08E0" w:rsidP="007E08E0">
      <w:pPr>
        <w:pStyle w:val="1"/>
        <w:rPr>
          <w:rtl/>
        </w:rPr>
      </w:pPr>
      <w:bookmarkStart w:id="7940" w:name="_Toc15227900"/>
      <w:bookmarkStart w:id="7941" w:name="_Toc15227733"/>
      <w:bookmarkStart w:id="7942" w:name="_Toc15163234"/>
      <w:bookmarkStart w:id="7943" w:name="_Toc15057783"/>
      <w:bookmarkStart w:id="7944" w:name="_Toc15035040"/>
      <w:bookmarkStart w:id="7945" w:name="_Toc14993513"/>
      <w:bookmarkStart w:id="7946" w:name="_Toc14973661"/>
      <w:r>
        <w:rPr>
          <w:rFonts w:hint="cs"/>
          <w:rtl/>
        </w:rPr>
        <w:t>חקירת הגר"ח אי ע"י הטעם ל"מ ביטול או דטע"כ הוא דין איסור</w:t>
      </w:r>
      <w:bookmarkEnd w:id="7940"/>
      <w:bookmarkEnd w:id="7941"/>
      <w:bookmarkEnd w:id="7942"/>
      <w:bookmarkEnd w:id="7943"/>
      <w:bookmarkEnd w:id="7944"/>
      <w:bookmarkEnd w:id="7945"/>
      <w:bookmarkEnd w:id="7946"/>
      <w:r>
        <w:rPr>
          <w:rFonts w:hint="cs"/>
          <w:rtl/>
        </w:rPr>
        <w:t xml:space="preserve"> </w:t>
      </w:r>
    </w:p>
    <w:p w:rsidR="007E08E0" w:rsidRDefault="007E08E0" w:rsidP="007E08E0">
      <w:pPr>
        <w:pStyle w:val="a2"/>
        <w:rPr>
          <w:rtl/>
        </w:rPr>
      </w:pPr>
      <w:bookmarkStart w:id="7947" w:name="_Toc15227901"/>
      <w:bookmarkStart w:id="7948" w:name="_Toc15227734"/>
      <w:bookmarkStart w:id="7949" w:name="_Toc15163235"/>
      <w:bookmarkStart w:id="7950" w:name="_Toc15057784"/>
      <w:bookmarkStart w:id="7951" w:name="_Toc15035041"/>
      <w:bookmarkStart w:id="7952" w:name="_Toc14993514"/>
      <w:bookmarkStart w:id="7953" w:name="_Toc14973662"/>
      <w:r>
        <w:rPr>
          <w:rFonts w:hint="cs"/>
          <w:rtl/>
        </w:rPr>
        <w:t>חקירת הגר"ח אי מדין טע"כ לא מהני ביטול ברוב דהאיסור ניכר או דמהני ביטול והוא איסור חדש</w:t>
      </w:r>
      <w:bookmarkEnd w:id="7947"/>
      <w:bookmarkEnd w:id="7948"/>
      <w:bookmarkEnd w:id="7949"/>
      <w:bookmarkEnd w:id="7950"/>
      <w:bookmarkEnd w:id="7951"/>
      <w:bookmarkEnd w:id="7952"/>
      <w:bookmarkEnd w:id="7953"/>
    </w:p>
    <w:p w:rsidR="007E08E0" w:rsidRDefault="007E08E0" w:rsidP="009F44AF">
      <w:pPr>
        <w:pStyle w:val="a"/>
        <w:rPr>
          <w:rtl/>
        </w:rPr>
      </w:pPr>
      <w:r>
        <w:rPr>
          <w:rFonts w:hint="cs"/>
          <w:rtl/>
        </w:rPr>
        <w:t xml:space="preserve">חקר </w:t>
      </w:r>
      <w:r>
        <w:rPr>
          <w:rStyle w:val="af8"/>
          <w:rtl/>
        </w:rPr>
        <w:t>הגר"ח</w:t>
      </w:r>
      <w:r>
        <w:rPr>
          <w:rFonts w:hint="cs"/>
          <w:rtl/>
        </w:rPr>
        <w:t xml:space="preserve"> </w:t>
      </w:r>
      <w:r>
        <w:rPr>
          <w:rStyle w:val="af6"/>
          <w:rFonts w:eastAsia="Guttman Hodes" w:hint="cs"/>
          <w:rtl/>
        </w:rPr>
        <w:t>(מעשה הקרבנות פ"י הי"ב ד"ה והנה ביסוד)</w:t>
      </w:r>
      <w:r>
        <w:rPr>
          <w:rFonts w:hint="cs"/>
          <w:rtl/>
        </w:rPr>
        <w:t xml:space="preserve"> בגדר דין טעם כעיקר, האם ע"י הטעם חשיב שהאיסור ניכר ולא מהני בו ביטול כלל, </w:t>
      </w:r>
      <w:r>
        <w:rPr>
          <w:rStyle w:val="afa"/>
          <w:rtl/>
        </w:rPr>
        <w:t xml:space="preserve">[וכדכתב </w:t>
      </w:r>
      <w:r>
        <w:rPr>
          <w:rStyle w:val="affa"/>
          <w:rtl/>
        </w:rPr>
        <w:t>הראב"ד</w:t>
      </w:r>
      <w:r>
        <w:rPr>
          <w:rStyle w:val="afa"/>
          <w:rtl/>
        </w:rPr>
        <w:t xml:space="preserve"> </w:t>
      </w:r>
      <w:r>
        <w:rPr>
          <w:rStyle w:val="aff6"/>
          <w:rtl/>
        </w:rPr>
        <w:t>(עי' אות</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Ref15226428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צז)</w:t>
      </w:r>
      <w:r>
        <w:rPr>
          <w:rFonts w:hint="cs"/>
          <w:rtl/>
        </w:rPr>
        <w:fldChar w:fldCharType="end"/>
      </w:r>
      <w:r>
        <w:rPr>
          <w:rStyle w:val="afa"/>
          <w:rtl/>
        </w:rPr>
        <w:t xml:space="preserve">], </w:t>
      </w:r>
      <w:r>
        <w:rPr>
          <w:rFonts w:hint="cs"/>
          <w:rtl/>
        </w:rPr>
        <w:t xml:space="preserve">או דבאמת מהני בטעם דין ביטול, אלא שיש גם על טעם האיסור דין איסור, ודילפינן ממשרת ומגיעולי עכו"ם, וכתב </w:t>
      </w:r>
      <w:r>
        <w:rPr>
          <w:rStyle w:val="af8"/>
          <w:rtl/>
        </w:rPr>
        <w:t>הגר"ח</w:t>
      </w:r>
      <w:r>
        <w:rPr>
          <w:rFonts w:hint="cs"/>
          <w:rtl/>
        </w:rPr>
        <w:t xml:space="preserve"> דזהו לשון הגמ' בכל מקום דטעם כעיקר.</w:t>
      </w:r>
    </w:p>
    <w:p w:rsidR="007E08E0" w:rsidRDefault="007E08E0" w:rsidP="007E08E0">
      <w:pPr>
        <w:pStyle w:val="1"/>
        <w:rPr>
          <w:rtl/>
        </w:rPr>
      </w:pPr>
      <w:bookmarkStart w:id="7954" w:name="_Toc15227902"/>
      <w:bookmarkStart w:id="7955" w:name="_Toc15227735"/>
      <w:bookmarkStart w:id="7956" w:name="_Toc15163236"/>
      <w:bookmarkStart w:id="7957" w:name="_Toc15057785"/>
      <w:bookmarkStart w:id="7958" w:name="_Toc15035042"/>
      <w:bookmarkStart w:id="7959" w:name="_Toc14993515"/>
      <w:bookmarkStart w:id="7960" w:name="_Toc14973663"/>
      <w:r>
        <w:rPr>
          <w:rFonts w:hint="cs"/>
          <w:rtl/>
        </w:rPr>
        <w:t>ביאור הגר"ח בעיסת אורז דפקע ביטול ברוב ויש ממשות חיטים</w:t>
      </w:r>
      <w:bookmarkEnd w:id="7954"/>
      <w:bookmarkEnd w:id="7955"/>
      <w:bookmarkEnd w:id="7956"/>
      <w:bookmarkEnd w:id="7957"/>
      <w:bookmarkEnd w:id="7958"/>
      <w:bookmarkEnd w:id="7959"/>
      <w:bookmarkEnd w:id="7960"/>
    </w:p>
    <w:p w:rsidR="007E08E0" w:rsidRDefault="007E08E0" w:rsidP="007E08E0">
      <w:pPr>
        <w:pStyle w:val="a2"/>
        <w:rPr>
          <w:rtl/>
        </w:rPr>
      </w:pPr>
      <w:bookmarkStart w:id="7961" w:name="_Toc15227903"/>
      <w:bookmarkStart w:id="7962" w:name="_Toc15227736"/>
      <w:bookmarkStart w:id="7963" w:name="_Toc15163237"/>
      <w:bookmarkStart w:id="7964" w:name="_Toc15057786"/>
      <w:bookmarkStart w:id="7965" w:name="_Toc15035043"/>
      <w:bookmarkStart w:id="7966" w:name="_Toc14993516"/>
      <w:bookmarkStart w:id="7967" w:name="_Toc14973664"/>
      <w:r>
        <w:rPr>
          <w:rFonts w:hint="cs"/>
          <w:rtl/>
        </w:rPr>
        <w:t>דברי הגר"ח דמדין עיסת אורז מוכח דטעם כעיקר אינו דין באיסורים דא"א לצאת יד"ח מצה בטעם</w:t>
      </w:r>
      <w:bookmarkEnd w:id="7961"/>
      <w:bookmarkEnd w:id="7962"/>
      <w:bookmarkEnd w:id="7963"/>
      <w:bookmarkEnd w:id="7964"/>
      <w:bookmarkEnd w:id="7965"/>
      <w:bookmarkEnd w:id="7966"/>
      <w:bookmarkEnd w:id="7967"/>
    </w:p>
    <w:p w:rsidR="007E08E0" w:rsidRDefault="007E08E0" w:rsidP="009F44AF">
      <w:pPr>
        <w:pStyle w:val="a"/>
        <w:rPr>
          <w:rtl/>
        </w:rPr>
      </w:pPr>
      <w:r>
        <w:rPr>
          <w:rFonts w:hint="cs"/>
          <w:rtl/>
        </w:rPr>
        <w:t xml:space="preserve">והביא </w:t>
      </w:r>
      <w:r>
        <w:rPr>
          <w:rStyle w:val="af8"/>
          <w:rtl/>
        </w:rPr>
        <w:t>הגר"ח</w:t>
      </w:r>
      <w:r>
        <w:rPr>
          <w:rFonts w:hint="cs"/>
          <w:rtl/>
        </w:rPr>
        <w:t xml:space="preserve"> את המשנה בחלה </w:t>
      </w:r>
      <w:r>
        <w:rPr>
          <w:rStyle w:val="af6"/>
          <w:rFonts w:eastAsia="Guttman Hodes" w:hint="cs"/>
          <w:rtl/>
        </w:rPr>
        <w:t>(פ"ג מ"ז)</w:t>
      </w:r>
      <w:r>
        <w:rPr>
          <w:rFonts w:hint="cs"/>
          <w:rtl/>
        </w:rPr>
        <w:t xml:space="preserve"> דהעושה עיסה מחיטין ומאורז, אם יש בה טעם דגן חייבת בחלה, ויוצא בה ידי חובת מצה בפסח, והביא </w:t>
      </w:r>
      <w:r>
        <w:rPr>
          <w:rStyle w:val="af8"/>
          <w:rtl/>
        </w:rPr>
        <w:t>הגר"ח</w:t>
      </w:r>
      <w:r>
        <w:rPr>
          <w:rFonts w:hint="cs"/>
          <w:rtl/>
        </w:rPr>
        <w:t xml:space="preserve"> דבגמ' בזבחים </w:t>
      </w:r>
      <w:r>
        <w:rPr>
          <w:rStyle w:val="af6"/>
          <w:rFonts w:eastAsia="Guttman Hodes" w:hint="cs"/>
          <w:rtl/>
        </w:rPr>
        <w:t>(עח:)</w:t>
      </w:r>
      <w:r>
        <w:rPr>
          <w:rFonts w:hint="cs"/>
          <w:rtl/>
        </w:rPr>
        <w:t xml:space="preserve"> מבואר דהוא כיון דדין מין בשאינו מינו הוא בטעמא, וכתב </w:t>
      </w:r>
      <w:r>
        <w:rPr>
          <w:rStyle w:val="af8"/>
          <w:rtl/>
        </w:rPr>
        <w:t>הגר"ח</w:t>
      </w:r>
      <w:r>
        <w:rPr>
          <w:rFonts w:hint="cs"/>
          <w:rtl/>
        </w:rPr>
        <w:t xml:space="preserve"> דאי בטעם כעיקר מהני בו ביטול, והטעם נתבטל ברוב ההיתר, אלא דהוא אסור מדין טעם כעיקר, א"כ דין זה שייך רק באיסורין, וכדילפינן ממשרת וגיעולי עכו"ם, דאף שהדבר עצמו התבטל, מ"מ הוא אסור מדין טעם כעיקר, אבל לא מהני דין טעם כעיקר להחשיבו כמצה דיצא בו ידי חובתו בפסח, דכיון שנבטלו החיטין באורז, פשיטא דא"א לצאת בו ידי חובת מצה, וביאר </w:t>
      </w:r>
      <w:r>
        <w:rPr>
          <w:rStyle w:val="af8"/>
          <w:rtl/>
        </w:rPr>
        <w:t>הגר"ח</w:t>
      </w:r>
      <w:r>
        <w:rPr>
          <w:rFonts w:hint="cs"/>
          <w:rtl/>
        </w:rPr>
        <w:t xml:space="preserve"> דלא מצינו דדין טעם כעיקר מהני שיוצא בו יד"ח מצותו.</w:t>
      </w:r>
    </w:p>
    <w:p w:rsidR="007E08E0" w:rsidRDefault="007E08E0" w:rsidP="007E08E0">
      <w:pPr>
        <w:pStyle w:val="a2"/>
        <w:rPr>
          <w:rtl/>
        </w:rPr>
      </w:pPr>
      <w:bookmarkStart w:id="7968" w:name="_Toc15227904"/>
      <w:bookmarkStart w:id="7969" w:name="_Toc15227737"/>
      <w:bookmarkStart w:id="7970" w:name="_Toc15163238"/>
      <w:bookmarkStart w:id="7971" w:name="_Toc15057787"/>
      <w:bookmarkStart w:id="7972" w:name="_Toc15035044"/>
      <w:bookmarkStart w:id="7973" w:name="_Toc14993517"/>
      <w:bookmarkStart w:id="7974" w:name="_Toc14973665"/>
      <w:r>
        <w:rPr>
          <w:rFonts w:hint="cs"/>
          <w:rtl/>
        </w:rPr>
        <w:t>דברי הגר"ח דמוכח מעיסת אורז דבטעם כעיקר פקע דין ביטול ויש בעיסה את עיקר החיטים</w:t>
      </w:r>
      <w:bookmarkEnd w:id="7968"/>
      <w:bookmarkEnd w:id="7969"/>
      <w:bookmarkEnd w:id="7970"/>
      <w:bookmarkEnd w:id="7971"/>
      <w:bookmarkEnd w:id="7972"/>
      <w:bookmarkEnd w:id="7973"/>
      <w:bookmarkEnd w:id="7974"/>
    </w:p>
    <w:p w:rsidR="007E08E0" w:rsidRDefault="007E08E0" w:rsidP="009F44AF">
      <w:pPr>
        <w:pStyle w:val="a"/>
        <w:rPr>
          <w:rStyle w:val="afa"/>
          <w:rtl/>
        </w:rPr>
      </w:pPr>
      <w:bookmarkStart w:id="7975" w:name="_Ref14797477"/>
      <w:r>
        <w:rPr>
          <w:rFonts w:hint="cs"/>
          <w:rtl/>
        </w:rPr>
        <w:t xml:space="preserve">אלא כתב </w:t>
      </w:r>
      <w:r>
        <w:rPr>
          <w:rStyle w:val="af8"/>
          <w:rtl/>
        </w:rPr>
        <w:t>הגר"ח</w:t>
      </w:r>
      <w:r>
        <w:rPr>
          <w:rFonts w:hint="cs"/>
          <w:rtl/>
        </w:rPr>
        <w:t xml:space="preserve"> דמוכח ממתני' דחלה, דהגדר בטעם כעיקר הוא, דכיון שהטעם ניכר פקע ממנו דין ביטול גם על העיקר, ולכן יוצא בו ידי חובת מצה, דיש בעיסה את עיקרם של החיטין לכל הדברים. </w:t>
      </w:r>
      <w:r>
        <w:rPr>
          <w:rStyle w:val="afa"/>
          <w:rtl/>
        </w:rPr>
        <w:t>[דכיון שניכר טעם החיטין, ממילא הם לא התבטלו באורז, והוא אוכל מצה מהחיטין עצמם].</w:t>
      </w:r>
      <w:bookmarkEnd w:id="7975"/>
    </w:p>
    <w:p w:rsidR="007E08E0" w:rsidRDefault="007E08E0" w:rsidP="007E08E0">
      <w:pPr>
        <w:pStyle w:val="a2"/>
        <w:rPr>
          <w:rtl/>
        </w:rPr>
      </w:pPr>
      <w:bookmarkStart w:id="7976" w:name="_Toc15227905"/>
      <w:bookmarkStart w:id="7977" w:name="_Toc15227738"/>
      <w:bookmarkStart w:id="7978" w:name="_Toc15163239"/>
      <w:bookmarkStart w:id="7979" w:name="_Toc15057788"/>
      <w:bookmarkStart w:id="7980" w:name="_Toc15035045"/>
      <w:bookmarkStart w:id="7981" w:name="_Toc14993518"/>
      <w:bookmarkStart w:id="7982" w:name="_Toc14973666"/>
      <w:r>
        <w:rPr>
          <w:rFonts w:hint="cs"/>
          <w:rtl/>
        </w:rPr>
        <w:t>קושית הגר"ח דמבואר בגמ' שצריך ילפותא גמורה לטע"כ ואי ל"מ ביטול ברוב סגי בגילוי מילתא</w:t>
      </w:r>
      <w:bookmarkEnd w:id="7976"/>
      <w:bookmarkEnd w:id="7977"/>
      <w:bookmarkEnd w:id="7978"/>
      <w:bookmarkEnd w:id="7979"/>
      <w:bookmarkEnd w:id="7980"/>
      <w:bookmarkEnd w:id="7981"/>
      <w:bookmarkEnd w:id="7982"/>
    </w:p>
    <w:p w:rsidR="007E08E0" w:rsidRDefault="007E08E0" w:rsidP="009F44AF">
      <w:pPr>
        <w:pStyle w:val="a"/>
        <w:rPr>
          <w:rtl/>
        </w:rPr>
      </w:pPr>
      <w:r>
        <w:rPr>
          <w:rFonts w:hint="cs"/>
          <w:rtl/>
        </w:rPr>
        <w:t xml:space="preserve">אך הקשה </w:t>
      </w:r>
      <w:r>
        <w:rPr>
          <w:rStyle w:val="af8"/>
          <w:rtl/>
        </w:rPr>
        <w:t>הגר"ח</w:t>
      </w:r>
      <w:r>
        <w:rPr>
          <w:rFonts w:hint="cs"/>
          <w:rtl/>
        </w:rPr>
        <w:t xml:space="preserve"> דמבואר בגמ' דדינא דטעם כעיקר הוא ילפותא גמורה, ואינו רק גילוי מילתא, וכדאיתא בגמ' בפסחים </w:t>
      </w:r>
      <w:r>
        <w:rPr>
          <w:rStyle w:val="af6"/>
          <w:rFonts w:eastAsia="Guttman Hodes" w:hint="cs"/>
          <w:rtl/>
        </w:rPr>
        <w:t>(מד:)</w:t>
      </w:r>
      <w:r>
        <w:rPr>
          <w:rFonts w:hint="cs"/>
          <w:rtl/>
        </w:rPr>
        <w:t xml:space="preserve"> דילפינן ממשרת בנזיר לכל התורה בק"ו, ובגמ' בפסחים </w:t>
      </w:r>
      <w:r>
        <w:rPr>
          <w:rStyle w:val="af6"/>
          <w:rFonts w:eastAsia="Guttman Hodes" w:hint="cs"/>
          <w:rtl/>
        </w:rPr>
        <w:t>(מה.)</w:t>
      </w:r>
      <w:r>
        <w:rPr>
          <w:rFonts w:hint="cs"/>
          <w:rtl/>
        </w:rPr>
        <w:t xml:space="preserve"> דמחטאת לא ילפינן דחולין מקדשים לא ילפינן, ובגמ' בנזיר </w:t>
      </w:r>
      <w:r>
        <w:rPr>
          <w:rStyle w:val="af6"/>
          <w:rFonts w:eastAsia="Guttman Hodes" w:hint="cs"/>
          <w:rtl/>
        </w:rPr>
        <w:t>(לז:)</w:t>
      </w:r>
      <w:r>
        <w:rPr>
          <w:rFonts w:hint="cs"/>
          <w:rtl/>
        </w:rPr>
        <w:t xml:space="preserve"> דמנזיר לא ילפינן דחמיר איסוריה דאסור לו אף חרצן, ואי דין טעם כעיקר הוא רק גילוי מילתא דע"י הטעם חשיב שהאיסור ניכר</w:t>
      </w:r>
      <w:r>
        <w:rPr>
          <w:rStyle w:val="afa"/>
          <w:rtl/>
        </w:rPr>
        <w:t>, [דכיון שהטעם ניכר, ממילא לא התבטל אף ממשו],</w:t>
      </w:r>
      <w:r>
        <w:rPr>
          <w:rFonts w:hint="cs"/>
          <w:rtl/>
        </w:rPr>
        <w:t xml:space="preserve"> א"כ א"צ ילפותא גמורה לזה, אלא כתב הגר"ח דמוכח דדין טעם כעיקר הוא גזיה"כ בפנ"ע, שיש חלות איסור על הטעם כמו העיקר, והקשה </w:t>
      </w:r>
      <w:r>
        <w:rPr>
          <w:rStyle w:val="af8"/>
          <w:rtl/>
        </w:rPr>
        <w:t>הגר"ח</w:t>
      </w:r>
      <w:r>
        <w:rPr>
          <w:rFonts w:hint="cs"/>
          <w:rtl/>
        </w:rPr>
        <w:t xml:space="preserve"> דא"כ יש סתירה בין הגמ' בפסחים ובנזיר, לגמ' בזבחים.</w:t>
      </w:r>
    </w:p>
    <w:p w:rsidR="007E08E0" w:rsidRDefault="007E08E0" w:rsidP="007E08E0">
      <w:pPr>
        <w:pStyle w:val="1"/>
      </w:pPr>
      <w:bookmarkStart w:id="7983" w:name="_Toc15227906"/>
      <w:bookmarkStart w:id="7984" w:name="_Toc15227739"/>
      <w:bookmarkStart w:id="7985" w:name="_Toc15163240"/>
      <w:bookmarkStart w:id="7986" w:name="_Toc15057789"/>
      <w:bookmarkStart w:id="7987" w:name="_Toc15035046"/>
      <w:bookmarkStart w:id="7988" w:name="_Toc14993519"/>
      <w:bookmarkStart w:id="7989" w:name="_Toc14973667"/>
      <w:r>
        <w:rPr>
          <w:rFonts w:hint="cs"/>
          <w:rtl/>
        </w:rPr>
        <w:t>ביאור הגר"ח דטעם כעיקר הוא חלות איסור ועי"ז ל"מ בו ביטול</w:t>
      </w:r>
      <w:bookmarkEnd w:id="7983"/>
      <w:bookmarkEnd w:id="7984"/>
      <w:bookmarkEnd w:id="7985"/>
      <w:bookmarkEnd w:id="7986"/>
      <w:bookmarkEnd w:id="7987"/>
      <w:bookmarkEnd w:id="7988"/>
      <w:bookmarkEnd w:id="7989"/>
    </w:p>
    <w:p w:rsidR="007E08E0" w:rsidRDefault="007E08E0" w:rsidP="007E08E0">
      <w:pPr>
        <w:pStyle w:val="a2"/>
        <w:rPr>
          <w:rtl/>
        </w:rPr>
      </w:pPr>
      <w:bookmarkStart w:id="7990" w:name="_Toc15227907"/>
      <w:bookmarkStart w:id="7991" w:name="_Toc15227740"/>
      <w:bookmarkStart w:id="7992" w:name="_Toc15163241"/>
      <w:bookmarkStart w:id="7993" w:name="_Toc15057790"/>
      <w:bookmarkStart w:id="7994" w:name="_Toc15035047"/>
      <w:bookmarkStart w:id="7995" w:name="_Toc14993520"/>
      <w:bookmarkStart w:id="7996" w:name="_Toc14973668"/>
      <w:r>
        <w:rPr>
          <w:rFonts w:hint="cs"/>
          <w:rtl/>
        </w:rPr>
        <w:t>ביאור הגר"ח דיסוד טע"כ דיש בו חלות איסור כדילפינן ממשרת אך גדרו הוא דאינו מתבטל ברוב</w:t>
      </w:r>
      <w:bookmarkEnd w:id="7990"/>
      <w:bookmarkEnd w:id="7991"/>
      <w:bookmarkEnd w:id="7992"/>
      <w:bookmarkEnd w:id="7993"/>
      <w:bookmarkEnd w:id="7994"/>
      <w:bookmarkEnd w:id="7995"/>
      <w:bookmarkEnd w:id="7996"/>
    </w:p>
    <w:p w:rsidR="007E08E0" w:rsidRDefault="007E08E0" w:rsidP="009F44AF">
      <w:pPr>
        <w:pStyle w:val="a"/>
        <w:rPr>
          <w:rtl/>
        </w:rPr>
      </w:pPr>
      <w:r>
        <w:rPr>
          <w:rFonts w:hint="cs"/>
          <w:rtl/>
        </w:rPr>
        <w:t xml:space="preserve">אלא כתב </w:t>
      </w:r>
      <w:r>
        <w:rPr>
          <w:rStyle w:val="af8"/>
          <w:rtl/>
        </w:rPr>
        <w:t>הגר"ח</w:t>
      </w:r>
      <w:r>
        <w:rPr>
          <w:rFonts w:hint="cs"/>
          <w:rtl/>
        </w:rPr>
        <w:t xml:space="preserve"> דודאי דהיסוד בדין טעם כעיקר, הוא שהוא דין בפנ"ע דיש בו חלות איסור של טעם כעיקר, וכדילפינן ממשרת דיש בו לאו ואיסור, </w:t>
      </w:r>
      <w:r w:rsidR="00EB4488">
        <w:rPr>
          <w:rFonts w:hint="cs"/>
          <w:rtl/>
        </w:rPr>
        <w:t>אלא דזהו גופא הדין באיסור דטעם כעיקר, דאינו מתבטל ברוב,</w:t>
      </w:r>
      <w:r>
        <w:rPr>
          <w:rFonts w:hint="cs"/>
          <w:rtl/>
        </w:rPr>
        <w:t xml:space="preserve"> ועיי"ש במ"ש ה</w:t>
      </w:r>
      <w:r>
        <w:rPr>
          <w:rStyle w:val="af8"/>
          <w:rtl/>
        </w:rPr>
        <w:t>גר"ח</w:t>
      </w:r>
      <w:r>
        <w:rPr>
          <w:rFonts w:hint="cs"/>
          <w:rtl/>
        </w:rPr>
        <w:t xml:space="preserve"> להוכיח כן מדין נותן טעם לפגם.</w:t>
      </w:r>
    </w:p>
    <w:p w:rsidR="007E08E0" w:rsidRDefault="007E08E0" w:rsidP="007E08E0">
      <w:pPr>
        <w:pStyle w:val="a2"/>
        <w:rPr>
          <w:rtl/>
        </w:rPr>
      </w:pPr>
      <w:bookmarkStart w:id="7997" w:name="_Toc15227908"/>
      <w:bookmarkStart w:id="7998" w:name="_Toc15227741"/>
      <w:bookmarkStart w:id="7999" w:name="_Toc15163242"/>
      <w:bookmarkStart w:id="8000" w:name="_Toc15057791"/>
      <w:bookmarkStart w:id="8001" w:name="_Toc15035048"/>
      <w:bookmarkStart w:id="8002" w:name="_Toc14993521"/>
      <w:bookmarkStart w:id="8003" w:name="_Toc14973669"/>
      <w:r>
        <w:rPr>
          <w:rFonts w:hint="cs"/>
          <w:rtl/>
        </w:rPr>
        <w:t>דברי הגר"ח דאחר שיש דין טע"כ דהטעם הוא כהעיקר ממש ממילא פקע הביטול ויצא יד"ח מצה</w:t>
      </w:r>
      <w:bookmarkEnd w:id="7997"/>
      <w:bookmarkEnd w:id="7998"/>
      <w:bookmarkEnd w:id="7999"/>
      <w:bookmarkEnd w:id="8000"/>
      <w:bookmarkEnd w:id="8001"/>
      <w:bookmarkEnd w:id="8002"/>
      <w:bookmarkEnd w:id="8003"/>
    </w:p>
    <w:p w:rsidR="007E08E0" w:rsidRDefault="007E08E0" w:rsidP="009F44AF">
      <w:pPr>
        <w:pStyle w:val="a"/>
        <w:rPr>
          <w:rtl/>
        </w:rPr>
      </w:pPr>
      <w:r>
        <w:rPr>
          <w:rFonts w:hint="cs"/>
          <w:rtl/>
        </w:rPr>
        <w:t xml:space="preserve">וכתב </w:t>
      </w:r>
      <w:r>
        <w:rPr>
          <w:rStyle w:val="af8"/>
          <w:rtl/>
        </w:rPr>
        <w:t>הגר"ח</w:t>
      </w:r>
      <w:r>
        <w:rPr>
          <w:rFonts w:hint="cs"/>
          <w:rtl/>
        </w:rPr>
        <w:t xml:space="preserve"> דבזה מבואר היאך ע"י דין טעם כעיקר, מהני לצאת ידי חובת מצה בעיסה דחיטין ואורז, דאחר שע"י טעם כעיקר דינו הוא שהטעם הוא כמו העיקר ממש, ומחמת דין זה פקע ממנו דין ביטול, ממילא חשיב מצה של חיטין.</w:t>
      </w:r>
    </w:p>
    <w:p w:rsidR="007E08E0" w:rsidRDefault="007E08E0" w:rsidP="007E08E0">
      <w:pPr>
        <w:pStyle w:val="a2"/>
        <w:rPr>
          <w:rtl/>
        </w:rPr>
      </w:pPr>
      <w:bookmarkStart w:id="8004" w:name="_Toc15227909"/>
      <w:bookmarkStart w:id="8005" w:name="_Toc15227742"/>
      <w:bookmarkStart w:id="8006" w:name="_Toc15163243"/>
      <w:bookmarkStart w:id="8007" w:name="_Toc15057792"/>
      <w:bookmarkStart w:id="8008" w:name="_Toc15035049"/>
      <w:bookmarkStart w:id="8009" w:name="_Toc14993522"/>
      <w:bookmarkStart w:id="8010" w:name="_Toc14973670"/>
      <w:r>
        <w:rPr>
          <w:rFonts w:hint="cs"/>
          <w:rtl/>
        </w:rPr>
        <w:t>דברי הגר"ח דא"כ טע"כ אינו גילוי מילתא אלא רק ע"י שיש חלות דין טע"כ ממילא פקע הביטול</w:t>
      </w:r>
      <w:bookmarkEnd w:id="8004"/>
      <w:bookmarkEnd w:id="8005"/>
      <w:bookmarkEnd w:id="8006"/>
      <w:bookmarkEnd w:id="8007"/>
      <w:bookmarkEnd w:id="8008"/>
      <w:bookmarkEnd w:id="8009"/>
      <w:bookmarkEnd w:id="8010"/>
    </w:p>
    <w:p w:rsidR="007E08E0" w:rsidRDefault="007E08E0" w:rsidP="009F44AF">
      <w:pPr>
        <w:pStyle w:val="a"/>
        <w:rPr>
          <w:rtl/>
        </w:rPr>
      </w:pPr>
      <w:r>
        <w:rPr>
          <w:rFonts w:hint="cs"/>
          <w:rtl/>
        </w:rPr>
        <w:t xml:space="preserve">וכתב </w:t>
      </w:r>
      <w:r>
        <w:rPr>
          <w:rStyle w:val="af8"/>
          <w:rtl/>
        </w:rPr>
        <w:t>הגר"ח</w:t>
      </w:r>
      <w:r>
        <w:rPr>
          <w:rFonts w:hint="cs"/>
          <w:rtl/>
        </w:rPr>
        <w:t xml:space="preserve"> דכן מיושב לפי"ז אמאי אין דין טעם כעיקר גילוי מילתא בעלמא, דהא דאין בטעם כעיקר דין ביטול, אינו רק מחמת שהוא ניכר ע"י הטעם ואינו מתבטל, אלא דע"י דילפינן שיש חלות איסור בטעם כעיקר, ממילא פקע ממנו דין ביטול, וע"ע במ"ש </w:t>
      </w:r>
      <w:r>
        <w:rPr>
          <w:rStyle w:val="af8"/>
          <w:rtl/>
        </w:rPr>
        <w:t>הגר"ח</w:t>
      </w:r>
      <w:r>
        <w:rPr>
          <w:rFonts w:hint="cs"/>
          <w:rtl/>
        </w:rPr>
        <w:t xml:space="preserve"> </w:t>
      </w:r>
      <w:r>
        <w:rPr>
          <w:rStyle w:val="af6"/>
          <w:rFonts w:eastAsia="Guttman Hodes" w:hint="cs"/>
          <w:rtl/>
        </w:rPr>
        <w:t>(מאכ"א פט"ו ה"א ד"ה והנה בפי"ד)</w:t>
      </w:r>
      <w:r>
        <w:rPr>
          <w:rFonts w:hint="cs"/>
          <w:rtl/>
        </w:rPr>
        <w:t xml:space="preserve"> בגדר טעם כעיקר.</w:t>
      </w:r>
    </w:p>
    <w:p w:rsidR="007E08E0" w:rsidRDefault="007E08E0" w:rsidP="007E08E0">
      <w:pPr>
        <w:pStyle w:val="1"/>
        <w:rPr>
          <w:rtl/>
        </w:rPr>
      </w:pPr>
      <w:bookmarkStart w:id="8011" w:name="_Toc15227910"/>
      <w:bookmarkStart w:id="8012" w:name="_Toc15227743"/>
      <w:bookmarkStart w:id="8013" w:name="_Toc15163244"/>
      <w:bookmarkStart w:id="8014" w:name="_Toc15057793"/>
      <w:bookmarkStart w:id="8015" w:name="_Toc15035050"/>
      <w:bookmarkStart w:id="8016" w:name="_Toc14993523"/>
      <w:bookmarkStart w:id="8017" w:name="_Toc14973671"/>
      <w:r>
        <w:rPr>
          <w:rFonts w:hint="cs"/>
          <w:rtl/>
        </w:rPr>
        <w:lastRenderedPageBreak/>
        <w:t>דברי הגר"ח בגדר האיסור בטעם כעיקר אף שהתבטל ברוב</w:t>
      </w:r>
      <w:bookmarkEnd w:id="8011"/>
      <w:bookmarkEnd w:id="8012"/>
      <w:bookmarkEnd w:id="8013"/>
      <w:bookmarkEnd w:id="8014"/>
      <w:bookmarkEnd w:id="8015"/>
      <w:bookmarkEnd w:id="8016"/>
      <w:bookmarkEnd w:id="8017"/>
    </w:p>
    <w:p w:rsidR="007E08E0" w:rsidRDefault="007E08E0" w:rsidP="007E08E0">
      <w:pPr>
        <w:pStyle w:val="a2"/>
        <w:rPr>
          <w:rtl/>
        </w:rPr>
      </w:pPr>
      <w:bookmarkStart w:id="8018" w:name="_Toc15227911"/>
      <w:bookmarkStart w:id="8019" w:name="_Toc15227744"/>
      <w:bookmarkStart w:id="8020" w:name="_Toc15163245"/>
      <w:bookmarkStart w:id="8021" w:name="_Toc15057794"/>
      <w:bookmarkStart w:id="8022" w:name="_Toc15035051"/>
      <w:bookmarkStart w:id="8023" w:name="_Toc14993524"/>
      <w:bookmarkStart w:id="8024" w:name="_Toc14973672"/>
      <w:r>
        <w:rPr>
          <w:rFonts w:hint="cs"/>
          <w:rtl/>
        </w:rPr>
        <w:t>דברי הגר"ח דבמין במינו אין ביטול כלל ובטע"כ יש חלות איסור אף שנתבטל הטעם בהיתר</w:t>
      </w:r>
      <w:bookmarkEnd w:id="8018"/>
      <w:bookmarkEnd w:id="8019"/>
      <w:bookmarkEnd w:id="8020"/>
      <w:bookmarkEnd w:id="8021"/>
      <w:bookmarkEnd w:id="8022"/>
      <w:bookmarkEnd w:id="8023"/>
      <w:bookmarkEnd w:id="8024"/>
    </w:p>
    <w:p w:rsidR="007E08E0" w:rsidRDefault="007E08E0" w:rsidP="009F44AF">
      <w:pPr>
        <w:pStyle w:val="a"/>
        <w:rPr>
          <w:rtl/>
        </w:rPr>
      </w:pPr>
      <w:r>
        <w:rPr>
          <w:rFonts w:hint="cs"/>
          <w:rtl/>
        </w:rPr>
        <w:t xml:space="preserve">עו"כ </w:t>
      </w:r>
      <w:r>
        <w:rPr>
          <w:rStyle w:val="af8"/>
          <w:rtl/>
        </w:rPr>
        <w:t>הגר"ח</w:t>
      </w:r>
      <w:r>
        <w:rPr>
          <w:rFonts w:hint="cs"/>
          <w:rtl/>
        </w:rPr>
        <w:t xml:space="preserve"> </w:t>
      </w:r>
      <w:r>
        <w:rPr>
          <w:rStyle w:val="af6"/>
          <w:rFonts w:eastAsia="Guttman Hodes" w:hint="cs"/>
          <w:rtl/>
        </w:rPr>
        <w:t>(מאכ"א פ"ט ה"ט ד"ה ונראה לומר)</w:t>
      </w:r>
      <w:r>
        <w:rPr>
          <w:rFonts w:hint="cs"/>
          <w:rtl/>
        </w:rPr>
        <w:t xml:space="preserve"> </w:t>
      </w:r>
      <w:r>
        <w:rPr>
          <w:rStyle w:val="afa"/>
          <w:rtl/>
        </w:rPr>
        <w:t xml:space="preserve">[בדעת </w:t>
      </w:r>
      <w:r>
        <w:rPr>
          <w:rStyle w:val="affa"/>
          <w:rtl/>
        </w:rPr>
        <w:t>הראב"ד</w:t>
      </w:r>
      <w:r>
        <w:rPr>
          <w:rStyle w:val="afa"/>
          <w:rtl/>
        </w:rPr>
        <w:t xml:space="preserve">] </w:t>
      </w:r>
      <w:r>
        <w:rPr>
          <w:rFonts w:hint="cs"/>
          <w:rtl/>
        </w:rPr>
        <w:t xml:space="preserve">דיש חילוק בין דין טעם כעיקר, לדין מין במינו דלא בטל, דהא דלא מהני ביטול במין במינו, גדרו הוא שאין דין ביטול במין במינו כלל, וחשיב כנמצא בעין, אבל בטעם כעיקר </w:t>
      </w:r>
      <w:r>
        <w:rPr>
          <w:rStyle w:val="afa"/>
          <w:rtl/>
        </w:rPr>
        <w:t>[למ"ד דטעם כעיקר דאו']</w:t>
      </w:r>
      <w:r>
        <w:rPr>
          <w:rStyle w:val="af6"/>
          <w:rFonts w:eastAsia="Guttman Hodes" w:hint="cs"/>
          <w:rtl/>
        </w:rPr>
        <w:t xml:space="preserve"> </w:t>
      </w:r>
      <w:r>
        <w:rPr>
          <w:rFonts w:hint="cs"/>
          <w:rtl/>
        </w:rPr>
        <w:t xml:space="preserve">דיש גזיה"כ דטעם כעיקר אסור, אי"ז מחמת שאין בו דין ביטול, אלא חידשה בו תורה חלות דין איסור, דאף שהטעם מעורב בהיתר, ומצד דין ביטול נתבטל הטעם בהיתר, מ"מ אסרה תורה טעם כעיקר, וכתב </w:t>
      </w:r>
      <w:r>
        <w:rPr>
          <w:rStyle w:val="af8"/>
          <w:rtl/>
        </w:rPr>
        <w:t>הגר"ח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Ref12895972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קיב</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דכן מוכח בגמ' בפסחים שצריך ילפותא מפורשת לדין טעם כעיקר, ואינו גילוי מילתא דאין בו ביטול, כיון שהוא חלות איסור חדשה של טעם כעיקר.</w:t>
      </w:r>
    </w:p>
    <w:p w:rsidR="007E08E0" w:rsidRDefault="007E08E0" w:rsidP="007E08E0">
      <w:pPr>
        <w:pStyle w:val="a2"/>
        <w:rPr>
          <w:rtl/>
        </w:rPr>
      </w:pPr>
      <w:bookmarkStart w:id="8025" w:name="_Toc15227912"/>
      <w:bookmarkStart w:id="8026" w:name="_Toc15227745"/>
      <w:bookmarkStart w:id="8027" w:name="_Toc15163246"/>
      <w:bookmarkStart w:id="8028" w:name="_Toc15057795"/>
      <w:bookmarkStart w:id="8029" w:name="_Toc15035052"/>
      <w:bookmarkStart w:id="8030" w:name="_Toc14993525"/>
      <w:bookmarkStart w:id="8031" w:name="_Toc14973673"/>
      <w:r>
        <w:rPr>
          <w:rFonts w:hint="cs"/>
          <w:rtl/>
        </w:rPr>
        <w:t>דברי הגר"ח דאף דהטעם אסור מהטמאים צריך ילפותא ממשרת לדין איסור של טעם כעיקר</w:t>
      </w:r>
      <w:bookmarkEnd w:id="8025"/>
      <w:bookmarkEnd w:id="8026"/>
      <w:bookmarkEnd w:id="8027"/>
      <w:bookmarkEnd w:id="8028"/>
      <w:bookmarkEnd w:id="8029"/>
      <w:bookmarkEnd w:id="8030"/>
      <w:bookmarkEnd w:id="8031"/>
    </w:p>
    <w:p w:rsidR="007E08E0" w:rsidRDefault="007E08E0" w:rsidP="009F44AF">
      <w:pPr>
        <w:pStyle w:val="a"/>
        <w:rPr>
          <w:rtl/>
        </w:rPr>
      </w:pPr>
      <w:r>
        <w:rPr>
          <w:rFonts w:hint="cs"/>
          <w:rtl/>
        </w:rPr>
        <w:t xml:space="preserve">וכתב </w:t>
      </w:r>
      <w:r>
        <w:rPr>
          <w:rStyle w:val="af8"/>
          <w:rtl/>
        </w:rPr>
        <w:t>הגר"ח</w:t>
      </w:r>
      <w:r>
        <w:rPr>
          <w:rFonts w:hint="cs"/>
          <w:rtl/>
        </w:rPr>
        <w:t xml:space="preserve"> דכן מבואר מהא שצריך ילפותא לטעם כעיקר ממשרת, אעפ"י שיש כבר ילפותא מהטמאים לאסור צירן ורוטבן, דמבואר בזה דהטעם אסור כמו העיקר, אלא כתב </w:t>
      </w:r>
      <w:r>
        <w:rPr>
          <w:rStyle w:val="af8"/>
          <w:rtl/>
        </w:rPr>
        <w:t>הגר"ח</w:t>
      </w:r>
      <w:r>
        <w:rPr>
          <w:rFonts w:hint="cs"/>
          <w:rtl/>
        </w:rPr>
        <w:t xml:space="preserve"> דבילפותא דהטמאים איירי כשהטעם נמצא בפנ"ע וילפינן דהטעם שיצא מהאיסור הוא אסור, והילפותא ממשרת היא לאסור טעם כעיקר כשהוא בתערובת ונתבטל בתוך ההיתר, ועי' במה שביאר בזה </w:t>
      </w:r>
      <w:r>
        <w:rPr>
          <w:rStyle w:val="af8"/>
          <w:rtl/>
        </w:rPr>
        <w:t>הגרי"ז</w:t>
      </w:r>
      <w:r>
        <w:rPr>
          <w:rFonts w:hint="cs"/>
          <w:rtl/>
        </w:rPr>
        <w:t xml:space="preserve"> </w:t>
      </w:r>
      <w:r>
        <w:rPr>
          <w:rStyle w:val="af6"/>
          <w:rFonts w:eastAsia="Guttman Hodes" w:hint="cs"/>
          <w:rtl/>
        </w:rPr>
        <w:t>(נזיר לו. ד"ה ואמר הגר"ח)</w:t>
      </w:r>
      <w:r>
        <w:rPr>
          <w:rFonts w:hint="cs"/>
          <w:rtl/>
        </w:rPr>
        <w:t>.</w:t>
      </w:r>
    </w:p>
    <w:p w:rsidR="007E08E0" w:rsidRDefault="007E08E0" w:rsidP="007E08E0">
      <w:pPr>
        <w:pStyle w:val="1"/>
        <w:rPr>
          <w:rtl/>
        </w:rPr>
      </w:pPr>
      <w:bookmarkStart w:id="8032" w:name="_Toc15163250"/>
      <w:bookmarkStart w:id="8033" w:name="_Toc15057799"/>
      <w:bookmarkStart w:id="8034" w:name="_Toc15035056"/>
      <w:bookmarkStart w:id="8035" w:name="_Toc14993529"/>
      <w:bookmarkStart w:id="8036" w:name="_Toc15227913"/>
      <w:bookmarkStart w:id="8037" w:name="_Toc15227746"/>
      <w:bookmarkStart w:id="8038" w:name="_Toc15163247"/>
      <w:bookmarkStart w:id="8039" w:name="_Toc15057796"/>
      <w:bookmarkStart w:id="8040" w:name="_Toc15035053"/>
      <w:bookmarkStart w:id="8041" w:name="_Toc14993526"/>
      <w:bookmarkStart w:id="8042" w:name="_Toc14973674"/>
      <w:r>
        <w:rPr>
          <w:rFonts w:hint="cs"/>
          <w:rtl/>
        </w:rPr>
        <w:t>דברי הזכר יצחק</w:t>
      </w:r>
      <w:bookmarkEnd w:id="8032"/>
      <w:bookmarkEnd w:id="8033"/>
      <w:bookmarkEnd w:id="8034"/>
      <w:bookmarkEnd w:id="8035"/>
      <w:r>
        <w:rPr>
          <w:rFonts w:hint="cs"/>
          <w:rtl/>
        </w:rPr>
        <w:t xml:space="preserve"> ברמב"ם דטע"כ אינו בטל דההיתר ג"כ נאסר</w:t>
      </w:r>
      <w:bookmarkEnd w:id="8036"/>
      <w:bookmarkEnd w:id="8037"/>
    </w:p>
    <w:p w:rsidR="007E08E0" w:rsidRDefault="007E08E0" w:rsidP="007E08E0">
      <w:pPr>
        <w:pStyle w:val="a2"/>
        <w:rPr>
          <w:rtl/>
        </w:rPr>
      </w:pPr>
      <w:bookmarkStart w:id="8043" w:name="_Toc15227914"/>
      <w:bookmarkStart w:id="8044" w:name="_Toc15227747"/>
      <w:r>
        <w:rPr>
          <w:rFonts w:hint="cs"/>
          <w:rtl/>
        </w:rPr>
        <w:t>דברי הזכר יצחק דלהרמב"ם טעם אינו מתבטל ברוב דאף ההיתר נאסר ולא מחמת דהוא ניכר</w:t>
      </w:r>
      <w:bookmarkEnd w:id="8043"/>
      <w:bookmarkEnd w:id="8044"/>
    </w:p>
    <w:p w:rsidR="007E08E0" w:rsidRDefault="007E08E0" w:rsidP="009F44AF">
      <w:pPr>
        <w:pStyle w:val="a"/>
        <w:rPr>
          <w:rtl/>
        </w:rPr>
      </w:pPr>
      <w:r>
        <w:rPr>
          <w:rFonts w:hint="cs"/>
          <w:rtl/>
        </w:rPr>
        <w:t xml:space="preserve">כתב </w:t>
      </w:r>
      <w:r>
        <w:rPr>
          <w:rStyle w:val="af8"/>
          <w:rtl/>
        </w:rPr>
        <w:t>הזכר יצחק</w:t>
      </w:r>
      <w:r>
        <w:rPr>
          <w:rFonts w:hint="cs"/>
          <w:rtl/>
        </w:rPr>
        <w:t xml:space="preserve"> </w:t>
      </w:r>
      <w:r>
        <w:rPr>
          <w:rStyle w:val="af6"/>
          <w:rFonts w:eastAsia="Guttman Hodes" w:hint="cs"/>
          <w:rtl/>
        </w:rPr>
        <w:t xml:space="preserve">(סי' ז' ד"ה ובזה יובן) </w:t>
      </w:r>
      <w:r>
        <w:rPr>
          <w:rFonts w:hint="cs"/>
          <w:rtl/>
        </w:rPr>
        <w:t xml:space="preserve">דהא דכתב </w:t>
      </w:r>
      <w:r>
        <w:rPr>
          <w:rStyle w:val="af8"/>
          <w:rtl/>
        </w:rPr>
        <w:t>הרמב"ם</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Ref15034275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יד</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דבתערובת חמץ שיש בה טעם חמץ, ויש בה כזית בכדי אכילת פרס, חייב מלקות אך אין בה כרת, היינו כיון דס"ל דהא דטעם כעיקר דאו' בכזית בכדי אכילת פרס, אינו מחמת שהטעם אינו מתבטל, דהוא ניכר בטעמו, </w:t>
      </w:r>
      <w:r>
        <w:rPr>
          <w:rStyle w:val="afa"/>
          <w:rtl/>
        </w:rPr>
        <w:t xml:space="preserve">[כסברת </w:t>
      </w:r>
      <w:r>
        <w:rPr>
          <w:rStyle w:val="affa"/>
          <w:rtl/>
        </w:rPr>
        <w:t>הראב"ד</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Ref15226428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צז)</w:t>
      </w:r>
      <w:r>
        <w:rPr>
          <w:rFonts w:hint="cs"/>
          <w:rtl/>
        </w:rPr>
        <w:fldChar w:fldCharType="end"/>
      </w:r>
      <w:r>
        <w:rPr>
          <w:rStyle w:val="afa"/>
          <w:rtl/>
        </w:rPr>
        <w:t>],</w:t>
      </w:r>
      <w:r>
        <w:rPr>
          <w:rFonts w:hint="cs"/>
          <w:rtl/>
        </w:rPr>
        <w:t xml:space="preserve"> ודמי לדם במים שאינו מתבטל כיון שהוא ניכר בחזותא, אלא דס"ל </w:t>
      </w:r>
      <w:r>
        <w:rPr>
          <w:rStyle w:val="af8"/>
          <w:rtl/>
        </w:rPr>
        <w:t>להרמב"ם</w:t>
      </w:r>
      <w:r>
        <w:rPr>
          <w:rFonts w:hint="cs"/>
          <w:rtl/>
        </w:rPr>
        <w:t xml:space="preserve"> דכל היתר שהושבח ע"י האיסור, אף ההיתר נאסר.</w:t>
      </w:r>
    </w:p>
    <w:p w:rsidR="007E08E0" w:rsidRDefault="007E08E0" w:rsidP="007E08E0">
      <w:pPr>
        <w:pStyle w:val="a2"/>
        <w:rPr>
          <w:rtl/>
        </w:rPr>
      </w:pPr>
      <w:bookmarkStart w:id="8045" w:name="_Toc15227915"/>
      <w:bookmarkStart w:id="8046" w:name="_Toc15227748"/>
      <w:r>
        <w:rPr>
          <w:rFonts w:hint="cs"/>
          <w:rtl/>
        </w:rPr>
        <w:t>ביאור הזכר יצחק דבכל האיסורים בכזית בכא"פ הכל אסור ואין איסורים מבטלים זה את זה</w:t>
      </w:r>
      <w:bookmarkEnd w:id="8045"/>
      <w:bookmarkEnd w:id="8046"/>
    </w:p>
    <w:p w:rsidR="002D7168" w:rsidRDefault="007E08E0" w:rsidP="009F44AF">
      <w:pPr>
        <w:pStyle w:val="a"/>
      </w:pPr>
      <w:r>
        <w:rPr>
          <w:rFonts w:hint="cs"/>
          <w:rtl/>
        </w:rPr>
        <w:t xml:space="preserve">וביאר </w:t>
      </w:r>
      <w:r>
        <w:rPr>
          <w:rStyle w:val="af8"/>
          <w:rtl/>
        </w:rPr>
        <w:t>הזכר יצחק</w:t>
      </w:r>
      <w:r>
        <w:rPr>
          <w:rFonts w:hint="cs"/>
          <w:rtl/>
        </w:rPr>
        <w:t xml:space="preserve"> דלכן ס"ל </w:t>
      </w:r>
      <w:r>
        <w:rPr>
          <w:rStyle w:val="af8"/>
          <w:rtl/>
        </w:rPr>
        <w:t>להרמב"ם</w:t>
      </w:r>
      <w:r>
        <w:rPr>
          <w:rFonts w:hint="cs"/>
          <w:rtl/>
        </w:rPr>
        <w:t xml:space="preserve"> דבכל האיסורים כשיש בתערובת כזית איסור בכדי אכילת פרס, אין האיסור מתבטל בהיתר, כיון שגם ההיתר נאסר, ואיסורין אינם מבטלים זה את זה.</w:t>
      </w:r>
    </w:p>
    <w:p w:rsidR="007E08E0" w:rsidRDefault="007E08E0" w:rsidP="007E08E0">
      <w:pPr>
        <w:pStyle w:val="a2"/>
        <w:rPr>
          <w:rtl/>
        </w:rPr>
      </w:pPr>
      <w:bookmarkStart w:id="8047" w:name="_Toc15227916"/>
      <w:bookmarkStart w:id="8048" w:name="_Toc15227749"/>
      <w:r>
        <w:rPr>
          <w:rFonts w:hint="cs"/>
          <w:rtl/>
        </w:rPr>
        <w:t>דברי הזכר יצחק דבחמץ א"א לומר דההיתר נעשה כחמץ גמור ולכן איסורו הוא רק בלאו</w:t>
      </w:r>
      <w:bookmarkEnd w:id="8047"/>
      <w:bookmarkEnd w:id="8048"/>
    </w:p>
    <w:p w:rsidR="007E08E0" w:rsidRDefault="007E08E0" w:rsidP="009F44AF">
      <w:pPr>
        <w:pStyle w:val="a"/>
      </w:pPr>
      <w:r>
        <w:rPr>
          <w:rFonts w:hint="cs"/>
          <w:rtl/>
        </w:rPr>
        <w:t xml:space="preserve">וכתב </w:t>
      </w:r>
      <w:r>
        <w:rPr>
          <w:rStyle w:val="af8"/>
          <w:rtl/>
        </w:rPr>
        <w:t>הזכר יצחק</w:t>
      </w:r>
      <w:r>
        <w:rPr>
          <w:rFonts w:hint="cs"/>
          <w:rtl/>
        </w:rPr>
        <w:t xml:space="preserve"> דזהו דוקא בשאר איסורים, אבל בדין חמץ ס"ל </w:t>
      </w:r>
      <w:r>
        <w:rPr>
          <w:rStyle w:val="af8"/>
          <w:rtl/>
        </w:rPr>
        <w:t>להרמב"ם</w:t>
      </w:r>
      <w:r>
        <w:rPr>
          <w:rFonts w:hint="cs"/>
          <w:rtl/>
        </w:rPr>
        <w:t xml:space="preserve"> דלא שייך לומר דההיתר שהושבח ע"י החמץ נאסר מדין חמץ, </w:t>
      </w:r>
      <w:r>
        <w:rPr>
          <w:rStyle w:val="afa"/>
          <w:rtl/>
        </w:rPr>
        <w:t xml:space="preserve">[וביאר </w:t>
      </w:r>
      <w:r>
        <w:rPr>
          <w:rStyle w:val="affa"/>
          <w:rtl/>
        </w:rPr>
        <w:t>הזכר יצחק</w:t>
      </w:r>
      <w:r>
        <w:rPr>
          <w:rStyle w:val="afa"/>
          <w:rtl/>
        </w:rPr>
        <w:t xml:space="preserve"> דאיסור חמץ הוא על הגברא ולא איסור בעצם בחפצא של החמץ],</w:t>
      </w:r>
      <w:r>
        <w:rPr>
          <w:rFonts w:hint="cs"/>
          <w:rtl/>
        </w:rPr>
        <w:t xml:space="preserve"> ולכן ס"ל </w:t>
      </w:r>
      <w:r>
        <w:rPr>
          <w:rStyle w:val="af8"/>
          <w:rtl/>
        </w:rPr>
        <w:t>להרמב"ם</w:t>
      </w:r>
      <w:r>
        <w:rPr>
          <w:rFonts w:hint="cs"/>
          <w:rtl/>
        </w:rPr>
        <w:t xml:space="preserve"> דהוא נאסר רק בלאו מדין "כל מחמצת לא תאכלו", ומשו"ה לוקין עליו אך אין בו כרת, דלענין כרת לא נאסר ההיתר.</w:t>
      </w:r>
    </w:p>
    <w:p w:rsidR="007E08E0" w:rsidRDefault="007E08E0" w:rsidP="007E08E0">
      <w:pPr>
        <w:pStyle w:val="1"/>
        <w:rPr>
          <w:rtl/>
        </w:rPr>
      </w:pPr>
      <w:bookmarkStart w:id="8049" w:name="_Toc15227917"/>
      <w:bookmarkStart w:id="8050" w:name="_Toc15227750"/>
      <w:r>
        <w:rPr>
          <w:rFonts w:hint="cs"/>
          <w:rtl/>
        </w:rPr>
        <w:t>ביאור האבהא"ז</w:t>
      </w:r>
      <w:bookmarkEnd w:id="8038"/>
      <w:bookmarkEnd w:id="8039"/>
      <w:bookmarkEnd w:id="8040"/>
      <w:bookmarkEnd w:id="8041"/>
      <w:bookmarkEnd w:id="8042"/>
      <w:r>
        <w:rPr>
          <w:rFonts w:hint="cs"/>
          <w:rtl/>
        </w:rPr>
        <w:t xml:space="preserve"> ברמב"ם דטע"כ דאו' ובלא טע"כ הטעם מותר</w:t>
      </w:r>
      <w:bookmarkEnd w:id="8049"/>
      <w:bookmarkEnd w:id="8050"/>
    </w:p>
    <w:p w:rsidR="007E08E0" w:rsidRDefault="007E08E0" w:rsidP="007E08E0">
      <w:pPr>
        <w:pStyle w:val="a2"/>
        <w:rPr>
          <w:rtl/>
        </w:rPr>
      </w:pPr>
      <w:bookmarkStart w:id="8051" w:name="_Toc15227918"/>
      <w:bookmarkStart w:id="8052" w:name="_Toc15227751"/>
      <w:r>
        <w:rPr>
          <w:rFonts w:hint="cs"/>
          <w:rtl/>
        </w:rPr>
        <w:t>דברי האבאה"ז דא"א לומר דלהרמב"ם טע"כ דרבנן דהא ס"ל דילפינן מגיעולי עכו"ם ואינו חידוש</w:t>
      </w:r>
      <w:bookmarkEnd w:id="8051"/>
      <w:bookmarkEnd w:id="8052"/>
    </w:p>
    <w:p w:rsidR="007E08E0" w:rsidRDefault="007E08E0" w:rsidP="009F44AF">
      <w:pPr>
        <w:pStyle w:val="a"/>
        <w:rPr>
          <w:rtl/>
        </w:rPr>
      </w:pPr>
      <w:bookmarkStart w:id="8053" w:name="_Ref15227466"/>
      <w:r>
        <w:rPr>
          <w:rFonts w:hint="cs"/>
          <w:rtl/>
        </w:rPr>
        <w:t xml:space="preserve">הביא </w:t>
      </w:r>
      <w:r>
        <w:rPr>
          <w:rStyle w:val="af8"/>
          <w:rtl/>
        </w:rPr>
        <w:t>האבהא"ז</w:t>
      </w:r>
      <w:r>
        <w:rPr>
          <w:rFonts w:hint="cs"/>
          <w:rtl/>
        </w:rPr>
        <w:t xml:space="preserve"> </w:t>
      </w:r>
      <w:r>
        <w:rPr>
          <w:rStyle w:val="af6"/>
          <w:rFonts w:eastAsia="Guttman Hodes" w:hint="cs"/>
          <w:rtl/>
        </w:rPr>
        <w:t xml:space="preserve">(מאכ"א פט"ו ה"ב) </w:t>
      </w:r>
      <w:r>
        <w:rPr>
          <w:rFonts w:hint="cs"/>
          <w:rtl/>
        </w:rPr>
        <w:t xml:space="preserve">את ביאור </w:t>
      </w:r>
      <w:r>
        <w:rPr>
          <w:rStyle w:val="af8"/>
          <w:rtl/>
        </w:rPr>
        <w:t>הכס"מ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Ref15205835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w:t>
      </w:r>
      <w:r w:rsidR="004D1C5B">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בדעת </w:t>
      </w:r>
      <w:r>
        <w:rPr>
          <w:rStyle w:val="af8"/>
          <w:rtl/>
        </w:rPr>
        <w:t>הרמב"ם</w:t>
      </w:r>
      <w:r>
        <w:rPr>
          <w:rFonts w:hint="cs"/>
          <w:rtl/>
        </w:rPr>
        <w:t xml:space="preserve"> דס"ל </w:t>
      </w:r>
      <w:r>
        <w:rPr>
          <w:rStyle w:val="af8"/>
          <w:rtl/>
        </w:rPr>
        <w:t>כרש"י</w:t>
      </w:r>
      <w:r>
        <w:rPr>
          <w:rFonts w:hint="cs"/>
          <w:rtl/>
        </w:rPr>
        <w:t xml:space="preserve"> דטעם כעיקר דרבנן, ואת דברי </w:t>
      </w:r>
      <w:r>
        <w:rPr>
          <w:rStyle w:val="af8"/>
          <w:rtl/>
        </w:rPr>
        <w:t>הב"ח</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Ref15225525 \r \h</w:instrText>
      </w:r>
      <w:r>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מא</w:t>
      </w:r>
      <w:r w:rsidR="004D1C5B">
        <w:rPr>
          <w:rStyle w:val="af6"/>
          <w:rFonts w:eastAsia="Guttman Hodes"/>
          <w:rtl/>
        </w:rPr>
        <w:t>)</w:t>
      </w:r>
      <w:r>
        <w:rPr>
          <w:rFonts w:hint="cs"/>
          <w:rtl/>
        </w:rPr>
        <w:fldChar w:fldCharType="end"/>
      </w:r>
      <w:r>
        <w:rPr>
          <w:rStyle w:val="af6"/>
          <w:rFonts w:eastAsia="Guttman Hodes" w:hint="cs"/>
          <w:rtl/>
        </w:rPr>
        <w:t xml:space="preserve"> </w:t>
      </w:r>
      <w:r>
        <w:rPr>
          <w:rStyle w:val="af8"/>
          <w:rtl/>
        </w:rPr>
        <w:t>דלהרמב"ם</w:t>
      </w:r>
      <w:r>
        <w:rPr>
          <w:rFonts w:hint="cs"/>
          <w:rtl/>
        </w:rPr>
        <w:t xml:space="preserve"> בכזית בכדי אכילת פרס אסור מדאו' ודלא </w:t>
      </w:r>
      <w:r>
        <w:rPr>
          <w:rStyle w:val="af8"/>
          <w:rtl/>
        </w:rPr>
        <w:t>כרש"י</w:t>
      </w:r>
      <w:r>
        <w:rPr>
          <w:rFonts w:hint="cs"/>
          <w:rtl/>
        </w:rPr>
        <w:t xml:space="preserve">, וכתב </w:t>
      </w:r>
      <w:r>
        <w:rPr>
          <w:rStyle w:val="af8"/>
          <w:rtl/>
        </w:rPr>
        <w:t>האבהא"ז</w:t>
      </w:r>
      <w:r>
        <w:rPr>
          <w:rFonts w:hint="cs"/>
          <w:rtl/>
        </w:rPr>
        <w:t xml:space="preserve"> דלפי דבריהם צ"ל דלא ילפינן ממשרת וגיעולי עכו"ם, כדביאר </w:t>
      </w:r>
      <w:r>
        <w:rPr>
          <w:rStyle w:val="af8"/>
          <w:rtl/>
        </w:rPr>
        <w:t>רש"י</w:t>
      </w:r>
      <w:r>
        <w:rPr>
          <w:rFonts w:hint="cs"/>
          <w:rtl/>
        </w:rPr>
        <w:t xml:space="preserve"> </w:t>
      </w:r>
      <w:r>
        <w:rPr>
          <w:rStyle w:val="af6"/>
          <w:rFonts w:eastAsia="Guttman Hodes" w:hint="cs"/>
          <w:rtl/>
        </w:rPr>
        <w:t xml:space="preserve">(ד"ה לטעם, הובא לעיל סימן ח' אות ב) </w:t>
      </w:r>
      <w:r>
        <w:rPr>
          <w:rFonts w:hint="cs"/>
          <w:rtl/>
        </w:rPr>
        <w:t xml:space="preserve">דהוא אסמכתא וגיעולי עכו"ם הוא חידוש, או דהוא ב' כתובים הבאים כאחד, אך הקשה </w:t>
      </w:r>
      <w:r>
        <w:rPr>
          <w:rStyle w:val="af8"/>
          <w:rtl/>
        </w:rPr>
        <w:t>האבאה"ז</w:t>
      </w:r>
      <w:r>
        <w:rPr>
          <w:rFonts w:hint="cs"/>
          <w:rtl/>
        </w:rPr>
        <w:t xml:space="preserve"> דהרי בדברי </w:t>
      </w:r>
      <w:r>
        <w:rPr>
          <w:rStyle w:val="af8"/>
          <w:rtl/>
        </w:rPr>
        <w:t>הרמב"ם</w:t>
      </w:r>
      <w:r>
        <w:rPr>
          <w:rFonts w:hint="cs"/>
          <w:rtl/>
        </w:rPr>
        <w:t xml:space="preserve"> </w:t>
      </w:r>
      <w:r>
        <w:rPr>
          <w:rStyle w:val="af6"/>
          <w:rFonts w:eastAsia="Guttman Hodes" w:hint="cs"/>
          <w:rtl/>
        </w:rPr>
        <w:t xml:space="preserve">(מאכ"א פי"ז ה"א) </w:t>
      </w:r>
      <w:r>
        <w:rPr>
          <w:rFonts w:hint="cs"/>
          <w:rtl/>
        </w:rPr>
        <w:t xml:space="preserve">בדין גיעולי עכו"ם מוכח דס"ל דהוא איסור ששייך בכל הכלים, ואינו חידוש שנאמר רק בכלי מדין, וא"כ דין זה שייך אף בתבשיל שיש בו טעם כעיקר, דלא שייך לומר דהכלי יהיה חמור מהתבשיל עצמו, ועי' במה שביאר בזה </w:t>
      </w:r>
      <w:r>
        <w:rPr>
          <w:rStyle w:val="af8"/>
          <w:rtl/>
        </w:rPr>
        <w:t>הגרעק"א</w:t>
      </w:r>
      <w:r>
        <w:rPr>
          <w:rFonts w:hint="cs"/>
          <w:rtl/>
        </w:rPr>
        <w:t xml:space="preserve"> </w:t>
      </w:r>
      <w:r>
        <w:rPr>
          <w:rStyle w:val="af6"/>
          <w:rFonts w:eastAsia="Guttman Hodes" w:hint="cs"/>
          <w:rtl/>
        </w:rPr>
        <w:t>(פסחים מד: ד"ה הרמב"ם, נד' במהדו' פרנקל בסוף רמב"ם קדושה עמ' שצ"ז)</w:t>
      </w:r>
      <w:r>
        <w:rPr>
          <w:rFonts w:hint="cs"/>
          <w:rtl/>
        </w:rPr>
        <w:t>.</w:t>
      </w:r>
      <w:bookmarkEnd w:id="8053"/>
    </w:p>
    <w:p w:rsidR="007E08E0" w:rsidRDefault="007E08E0" w:rsidP="007E08E0">
      <w:pPr>
        <w:pStyle w:val="a2"/>
        <w:rPr>
          <w:rtl/>
        </w:rPr>
      </w:pPr>
      <w:bookmarkStart w:id="8054" w:name="_Toc15227919"/>
      <w:bookmarkStart w:id="8055" w:name="_Toc15227752"/>
      <w:r>
        <w:rPr>
          <w:rFonts w:hint="cs"/>
          <w:rtl/>
        </w:rPr>
        <w:t>דברי האבהא"ז דלהרמב"ם טע"כ דאו' וס"ל כר"י מאורליינש דהוא איסור עשה ואין בו מלקות</w:t>
      </w:r>
      <w:bookmarkEnd w:id="8054"/>
      <w:bookmarkEnd w:id="8055"/>
    </w:p>
    <w:p w:rsidR="007E08E0" w:rsidRDefault="007E08E0" w:rsidP="009F44AF">
      <w:pPr>
        <w:pStyle w:val="a"/>
        <w:rPr>
          <w:rtl/>
        </w:rPr>
      </w:pPr>
      <w:r>
        <w:rPr>
          <w:rFonts w:hint="cs"/>
          <w:rtl/>
        </w:rPr>
        <w:t xml:space="preserve">אלא כתב </w:t>
      </w:r>
      <w:r>
        <w:rPr>
          <w:rStyle w:val="af8"/>
          <w:rtl/>
        </w:rPr>
        <w:t>האבהא"ז</w:t>
      </w:r>
      <w:r>
        <w:rPr>
          <w:rFonts w:hint="cs"/>
          <w:rtl/>
        </w:rPr>
        <w:t xml:space="preserve"> דפשיטא דס"ל </w:t>
      </w:r>
      <w:r>
        <w:rPr>
          <w:rStyle w:val="af8"/>
          <w:rtl/>
        </w:rPr>
        <w:t>להרמב"ם</w:t>
      </w:r>
      <w:r>
        <w:rPr>
          <w:rFonts w:hint="cs"/>
          <w:rtl/>
        </w:rPr>
        <w:t xml:space="preserve"> דטעם כעיקר דאו', אך ס"ל דאין מלקות על טעם כעיקר כיון שאכל רק את הטעם ולא את האיסור, וכדעת </w:t>
      </w:r>
      <w:r>
        <w:rPr>
          <w:rStyle w:val="af8"/>
          <w:rtl/>
        </w:rPr>
        <w:t>הר"י מאורליינש בתוס'</w:t>
      </w:r>
      <w:r>
        <w:rPr>
          <w:rFonts w:hint="cs"/>
          <w:rtl/>
        </w:rPr>
        <w:t xml:space="preserve"> </w:t>
      </w:r>
      <w:r>
        <w:rPr>
          <w:rStyle w:val="af6"/>
          <w:rFonts w:eastAsia="Guttman Hodes" w:hint="cs"/>
          <w:rtl/>
        </w:rPr>
        <w:t xml:space="preserve">(ד"ה רבא הובא לעיל סימן ח' אות נו) </w:t>
      </w:r>
      <w:r>
        <w:rPr>
          <w:rFonts w:hint="cs"/>
          <w:rtl/>
        </w:rPr>
        <w:t>דגיעולי עכו"ם הוא איסור עשה ואין בו לאו, והא דכשיש כזית בכדי אכילת פרס לוקין עליו, הוא כיון דחשיב טעמו וממשו.</w:t>
      </w:r>
    </w:p>
    <w:p w:rsidR="007E08E0" w:rsidRDefault="007E08E0" w:rsidP="007E08E0">
      <w:pPr>
        <w:pStyle w:val="a2"/>
        <w:rPr>
          <w:rtl/>
        </w:rPr>
      </w:pPr>
      <w:bookmarkStart w:id="8056" w:name="_Toc15227920"/>
      <w:bookmarkStart w:id="8057" w:name="_Toc15227753"/>
      <w:r>
        <w:rPr>
          <w:rFonts w:hint="cs"/>
          <w:rtl/>
        </w:rPr>
        <w:t>דברי האבהא"ז ברמב"ם דממשרת ילפינן דהטעם עצמו אסור ולולי טע"כ אין איסור טעם בתערובת</w:t>
      </w:r>
      <w:bookmarkEnd w:id="8056"/>
      <w:bookmarkEnd w:id="8057"/>
    </w:p>
    <w:p w:rsidR="007F638F" w:rsidRDefault="007E08E0" w:rsidP="009F44AF">
      <w:pPr>
        <w:pStyle w:val="a"/>
        <w:rPr>
          <w:rtl/>
        </w:rPr>
        <w:sectPr w:rsidR="007F638F" w:rsidSect="000C163D">
          <w:type w:val="continuous"/>
          <w:pgSz w:w="11906" w:h="16838"/>
          <w:pgMar w:top="720" w:right="720" w:bottom="720" w:left="720" w:header="283" w:footer="283" w:gutter="0"/>
          <w:cols w:num="2" w:space="567"/>
          <w:bidi/>
          <w:rtlGutter/>
          <w:docGrid w:linePitch="299"/>
        </w:sectPr>
      </w:pPr>
      <w:bookmarkStart w:id="8058" w:name="_Ref15848657"/>
      <w:r>
        <w:rPr>
          <w:rtl/>
        </w:rPr>
        <w:t xml:space="preserve">וכתב </w:t>
      </w:r>
      <w:r>
        <w:rPr>
          <w:rStyle w:val="af8"/>
          <w:rtl/>
        </w:rPr>
        <w:t>האבהא"ז</w:t>
      </w:r>
      <w:r>
        <w:rPr>
          <w:rtl/>
        </w:rPr>
        <w:t xml:space="preserve"> </w:t>
      </w:r>
      <w:r w:rsidRPr="00142AC6">
        <w:rPr>
          <w:rStyle w:val="af6"/>
          <w:rFonts w:eastAsia="Guttman Hodes" w:hint="cs"/>
          <w:rtl/>
        </w:rPr>
        <w:t>(מאכ"א פט"ו ה"ב ד"ה ובדעת הרמב"ם)</w:t>
      </w:r>
      <w:r>
        <w:rPr>
          <w:rtl/>
        </w:rPr>
        <w:t xml:space="preserve"> דכן מוכח מדברי </w:t>
      </w:r>
      <w:r>
        <w:rPr>
          <w:rStyle w:val="af8"/>
          <w:rtl/>
        </w:rPr>
        <w:t>הרמב"ם</w:t>
      </w:r>
      <w:r w:rsidRPr="00142AC6">
        <w:rPr>
          <w:rStyle w:val="af6"/>
          <w:rFonts w:eastAsia="Guttman Hodes" w:hint="cs"/>
          <w:rtl/>
        </w:rPr>
        <w:t xml:space="preserve"> (עי' אות </w:t>
      </w:r>
      <w:r w:rsidRPr="00142AC6">
        <w:rPr>
          <w:rStyle w:val="af6"/>
          <w:rFonts w:eastAsia="Guttman Hodes" w:hint="cs"/>
          <w:rtl/>
        </w:rPr>
        <w:fldChar w:fldCharType="begin"/>
      </w:r>
      <w:r w:rsidRPr="00142AC6">
        <w:rPr>
          <w:rStyle w:val="af6"/>
          <w:rFonts w:eastAsia="Guttman Hodes" w:hint="cs"/>
          <w:rtl/>
        </w:rPr>
        <w:instrText xml:space="preserve"> </w:instrText>
      </w:r>
      <w:r w:rsidRPr="00142AC6">
        <w:rPr>
          <w:rStyle w:val="af6"/>
          <w:rFonts w:eastAsia="Guttman Hodes"/>
        </w:rPr>
        <w:instrText>REF</w:instrText>
      </w:r>
      <w:r w:rsidRPr="00142AC6">
        <w:rPr>
          <w:rStyle w:val="af6"/>
          <w:rFonts w:eastAsia="Guttman Hodes" w:hint="cs"/>
          <w:rtl/>
        </w:rPr>
        <w:instrText xml:space="preserve"> _</w:instrText>
      </w:r>
      <w:r w:rsidRPr="00142AC6">
        <w:rPr>
          <w:rStyle w:val="af6"/>
          <w:rFonts w:eastAsia="Guttman Hodes"/>
        </w:rPr>
        <w:instrText>Ref14857341 \r \h</w:instrText>
      </w:r>
      <w:r w:rsidRPr="00142AC6">
        <w:rPr>
          <w:rStyle w:val="af6"/>
          <w:rFonts w:eastAsia="Guttman Hodes" w:hint="cs"/>
          <w:rtl/>
        </w:rPr>
        <w:instrText xml:space="preserve"> </w:instrText>
      </w:r>
      <w:r w:rsidRPr="00142AC6">
        <w:rPr>
          <w:rStyle w:val="af6"/>
          <w:rFonts w:eastAsia="Guttman Hodes" w:hint="cs"/>
          <w:rtl/>
        </w:rPr>
      </w:r>
      <w:r w:rsidRPr="00142AC6">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ו</w:t>
      </w:r>
      <w:r w:rsidR="004D1C5B">
        <w:rPr>
          <w:rStyle w:val="af6"/>
          <w:rFonts w:eastAsia="Guttman Hodes"/>
          <w:rtl/>
        </w:rPr>
        <w:t>)</w:t>
      </w:r>
      <w:r w:rsidRPr="00142AC6">
        <w:rPr>
          <w:rStyle w:val="af6"/>
          <w:rFonts w:eastAsia="Guttman Hodes" w:hint="cs"/>
          <w:rtl/>
        </w:rPr>
        <w:fldChar w:fldCharType="end"/>
      </w:r>
      <w:r w:rsidRPr="00142AC6">
        <w:rPr>
          <w:rStyle w:val="af6"/>
          <w:rFonts w:eastAsia="Guttman Hodes" w:hint="cs"/>
          <w:rtl/>
        </w:rPr>
        <w:t xml:space="preserve"> </w:t>
      </w:r>
      <w:r>
        <w:rPr>
          <w:rtl/>
        </w:rPr>
        <w:t xml:space="preserve">בדין נזיר דכתב דרק בכזית בכדי אכילת פרס ילפינן ממשרת, והיינו כיון דס"ל דהילפותא ממשרת לא מהני למלקות, אלא דממשרת ילפינן את עצם הדין דהטעם עצמו אסור, ולולי דין טעם כעיקר, לא היה הטעם אסור בתערובת כלל, והא דאינו אסור מדאו' מדין חצי שיעור, כתב </w:t>
      </w:r>
      <w:r>
        <w:rPr>
          <w:rStyle w:val="af8"/>
          <w:rtl/>
        </w:rPr>
        <w:t>האבאה"ז</w:t>
      </w:r>
      <w:r>
        <w:rPr>
          <w:rtl/>
        </w:rPr>
        <w:t xml:space="preserve"> דצ"ל דס"ל </w:t>
      </w:r>
      <w:r>
        <w:rPr>
          <w:rStyle w:val="af8"/>
          <w:rtl/>
        </w:rPr>
        <w:t>להרמב"ם</w:t>
      </w:r>
      <w:r>
        <w:rPr>
          <w:rtl/>
        </w:rPr>
        <w:t xml:space="preserve"> דבתערובת אין איסור חצי שיעור מדאו', ועיי"ש במה שביאר </w:t>
      </w:r>
      <w:r>
        <w:rPr>
          <w:rStyle w:val="af8"/>
          <w:rtl/>
        </w:rPr>
        <w:t>האבהא"ז</w:t>
      </w:r>
      <w:r>
        <w:rPr>
          <w:rtl/>
        </w:rPr>
        <w:t xml:space="preserve"> בדעת </w:t>
      </w:r>
      <w:r>
        <w:rPr>
          <w:rStyle w:val="af8"/>
          <w:rtl/>
        </w:rPr>
        <w:t>הרמב"ם</w:t>
      </w:r>
      <w:r>
        <w:rPr>
          <w:rtl/>
        </w:rPr>
        <w:t xml:space="preserve"> בגיעולי עכו"ם בפחות מכזית בכדי אכילת פרס</w:t>
      </w:r>
      <w:r w:rsidR="000C163D">
        <w:rPr>
          <w:rFonts w:hint="cs"/>
          <w:rtl/>
        </w:rPr>
        <w:t>.</w:t>
      </w:r>
      <w:bookmarkEnd w:id="8058"/>
    </w:p>
    <w:p w:rsidR="007809D6" w:rsidRDefault="007809D6" w:rsidP="009F44AF">
      <w:pPr>
        <w:pStyle w:val="a"/>
        <w:rPr>
          <w:rtl/>
        </w:rPr>
        <w:sectPr w:rsidR="007809D6" w:rsidSect="000C163D">
          <w:type w:val="continuous"/>
          <w:pgSz w:w="11906" w:h="16838"/>
          <w:pgMar w:top="720" w:right="720" w:bottom="720" w:left="720" w:header="283" w:footer="283" w:gutter="0"/>
          <w:cols w:num="2" w:space="567"/>
          <w:bidi/>
          <w:rtlGutter/>
          <w:docGrid w:linePitch="299"/>
        </w:sectPr>
      </w:pPr>
    </w:p>
    <w:p w:rsidR="005C335A" w:rsidRDefault="005C335A" w:rsidP="005B1A17">
      <w:pPr>
        <w:pStyle w:val="afc"/>
        <w:rPr>
          <w:rtl/>
        </w:rPr>
        <w:sectPr w:rsidR="005C335A" w:rsidSect="007F638F">
          <w:footerReference w:type="default" r:id="rId66"/>
          <w:type w:val="continuous"/>
          <w:pgSz w:w="11906" w:h="16838"/>
          <w:pgMar w:top="720" w:right="720" w:bottom="720" w:left="720" w:header="283" w:footer="283" w:gutter="0"/>
          <w:cols w:space="113"/>
          <w:bidi/>
          <w:rtlGutter/>
          <w:docGrid w:linePitch="299"/>
        </w:sectPr>
      </w:pPr>
    </w:p>
    <w:p w:rsidR="00C2781B" w:rsidRDefault="00C2781B" w:rsidP="005B1A17">
      <w:pPr>
        <w:pStyle w:val="afc"/>
        <w:rPr>
          <w:rtl/>
        </w:rPr>
        <w:sectPr w:rsidR="00C2781B" w:rsidSect="005C335A">
          <w:headerReference w:type="default" r:id="rId67"/>
          <w:pgSz w:w="11906" w:h="16838"/>
          <w:pgMar w:top="720" w:right="720" w:bottom="720" w:left="720" w:header="283" w:footer="283" w:gutter="0"/>
          <w:cols w:space="113"/>
          <w:bidi/>
          <w:rtlGutter/>
          <w:docGrid w:linePitch="299"/>
        </w:sectPr>
      </w:pPr>
    </w:p>
    <w:p w:rsidR="0061156C" w:rsidRPr="0061156C" w:rsidRDefault="0061156C" w:rsidP="0061156C">
      <w:pPr>
        <w:ind w:left="0"/>
        <w:jc w:val="center"/>
        <w:rPr>
          <w:rFonts w:cs="Guttman Hodes"/>
          <w:sz w:val="32"/>
          <w:szCs w:val="32"/>
        </w:rPr>
      </w:pPr>
    </w:p>
    <w:p w:rsidR="0061156C" w:rsidRPr="0061156C" w:rsidRDefault="0061156C" w:rsidP="0061156C">
      <w:pPr>
        <w:ind w:left="0"/>
        <w:jc w:val="center"/>
        <w:rPr>
          <w:rFonts w:cs="Guttman Hodes"/>
          <w:sz w:val="32"/>
          <w:szCs w:val="32"/>
          <w:rtl/>
        </w:rPr>
      </w:pPr>
    </w:p>
    <w:p w:rsidR="0061156C" w:rsidRPr="0061156C" w:rsidRDefault="003E70C4" w:rsidP="0061156C">
      <w:pPr>
        <w:ind w:left="0"/>
        <w:jc w:val="center"/>
        <w:rPr>
          <w:rFonts w:cs="Guttman Hodes"/>
          <w:sz w:val="32"/>
          <w:szCs w:val="32"/>
          <w:rtl/>
        </w:rPr>
      </w:pPr>
      <w:r>
        <w:rPr>
          <w:noProof/>
        </w:rPr>
        <mc:AlternateContent>
          <mc:Choice Requires="wps">
            <w:drawing>
              <wp:anchor distT="0" distB="0" distL="114300" distR="114300" simplePos="0" relativeHeight="251673600" behindDoc="1" locked="0" layoutInCell="1" allowOverlap="1" wp14:anchorId="038B3361" wp14:editId="0E3EB555">
                <wp:simplePos x="0" y="0"/>
                <wp:positionH relativeFrom="column">
                  <wp:posOffset>80421</wp:posOffset>
                </wp:positionH>
                <wp:positionV relativeFrom="paragraph">
                  <wp:posOffset>60586</wp:posOffset>
                </wp:positionV>
                <wp:extent cx="6686550" cy="2950234"/>
                <wp:effectExtent l="19050" t="19050" r="19050" b="21590"/>
                <wp:wrapNone/>
                <wp:docPr id="52" name="מלבן מעוגל 52"/>
                <wp:cNvGraphicFramePr/>
                <a:graphic xmlns:a="http://schemas.openxmlformats.org/drawingml/2006/main">
                  <a:graphicData uri="http://schemas.microsoft.com/office/word/2010/wordprocessingShape">
                    <wps:wsp>
                      <wps:cNvSpPr/>
                      <wps:spPr>
                        <a:xfrm>
                          <a:off x="0" y="0"/>
                          <a:ext cx="6686550" cy="2950234"/>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651E3B" w:rsidRDefault="00651E3B" w:rsidP="0061156C">
                            <w:pPr>
                              <w:ind w:left="0"/>
                              <w:jc w:val="center"/>
                              <w:rPr>
                                <w:rFonts w:cs="Guttman Hodes"/>
                                <w:sz w:val="32"/>
                                <w:szCs w:val="32"/>
                              </w:rPr>
                            </w:pPr>
                          </w:p>
                          <w:p w:rsidR="00651E3B" w:rsidRDefault="00651E3B" w:rsidP="0061156C">
                            <w:pPr>
                              <w:ind w:left="0"/>
                              <w:jc w:val="center"/>
                              <w:rPr>
                                <w:rFonts w:cs="Guttman Hodes"/>
                                <w:sz w:val="32"/>
                                <w:szCs w:val="32"/>
                                <w:rtl/>
                              </w:rPr>
                            </w:pPr>
                          </w:p>
                          <w:p w:rsidR="00651E3B" w:rsidRDefault="00651E3B" w:rsidP="0061156C">
                            <w:pPr>
                              <w:ind w:left="0"/>
                              <w:jc w:val="center"/>
                              <w:rPr>
                                <w:rFonts w:cs="Guttman Hodes"/>
                                <w:sz w:val="32"/>
                                <w:szCs w:val="32"/>
                                <w:rtl/>
                              </w:rPr>
                            </w:pPr>
                          </w:p>
                          <w:p w:rsidR="00651E3B" w:rsidRDefault="00651E3B" w:rsidP="0061156C">
                            <w:pPr>
                              <w:pStyle w:val="a8"/>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rsidR="00651E3B" w:rsidRDefault="00651E3B" w:rsidP="0061156C">
                            <w:pPr>
                              <w:ind w:left="0"/>
                              <w:jc w:val="center"/>
                              <w:rPr>
                                <w:rFonts w:cs="Guttman Hodes"/>
                                <w:b/>
                                <w:bCs/>
                                <w:sz w:val="44"/>
                                <w:szCs w:val="44"/>
                                <w:rtl/>
                              </w:rPr>
                            </w:pPr>
                          </w:p>
                          <w:p w:rsidR="00651E3B" w:rsidRDefault="00651E3B" w:rsidP="0061156C">
                            <w:pPr>
                              <w:ind w:left="0"/>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38B3361" id="מלבן מעוגל 52" o:spid="_x0000_s1033" style="position:absolute;left:0;text-align:left;margin-left:6.35pt;margin-top:4.75pt;width:526.5pt;height:232.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" filled="f" strokecolor="black [3213]" strokeweight="2.5pt">
                <v:stroke linestyle="thickBetweenThin" endcap="round"/>
                <v:textbox>
                  <w:txbxContent>
                    <w:p w:rsidR="00651E3B" w:rsidRDefault="00651E3B" w:rsidP="0061156C">
                      <w:pPr>
                        <w:ind w:left="0"/>
                        <w:jc w:val="center"/>
                        <w:rPr>
                          <w:rFonts w:cs="Guttman Hodes"/>
                          <w:sz w:val="32"/>
                          <w:szCs w:val="32"/>
                        </w:rPr>
                      </w:pPr>
                    </w:p>
                    <w:p w:rsidR="00651E3B" w:rsidRDefault="00651E3B" w:rsidP="0061156C">
                      <w:pPr>
                        <w:ind w:left="0"/>
                        <w:jc w:val="center"/>
                        <w:rPr>
                          <w:rFonts w:cs="Guttman Hodes"/>
                          <w:sz w:val="32"/>
                          <w:szCs w:val="32"/>
                          <w:rtl/>
                        </w:rPr>
                      </w:pPr>
                    </w:p>
                    <w:p w:rsidR="00651E3B" w:rsidRDefault="00651E3B" w:rsidP="0061156C">
                      <w:pPr>
                        <w:ind w:left="0"/>
                        <w:jc w:val="center"/>
                        <w:rPr>
                          <w:rFonts w:cs="Guttman Hodes"/>
                          <w:sz w:val="32"/>
                          <w:szCs w:val="32"/>
                          <w:rtl/>
                        </w:rPr>
                      </w:pPr>
                    </w:p>
                    <w:p w:rsidR="00651E3B" w:rsidRDefault="00651E3B" w:rsidP="0061156C">
                      <w:pPr>
                        <w:pStyle w:val="a8"/>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rsidR="00651E3B" w:rsidRDefault="00651E3B" w:rsidP="0061156C">
                      <w:pPr>
                        <w:ind w:left="0"/>
                        <w:jc w:val="center"/>
                        <w:rPr>
                          <w:rFonts w:cs="Guttman Hodes"/>
                          <w:b/>
                          <w:bCs/>
                          <w:sz w:val="44"/>
                          <w:szCs w:val="44"/>
                          <w:rtl/>
                        </w:rPr>
                      </w:pPr>
                    </w:p>
                    <w:p w:rsidR="00651E3B" w:rsidRDefault="00651E3B" w:rsidP="0061156C">
                      <w:pPr>
                        <w:ind w:left="0"/>
                      </w:pPr>
                    </w:p>
                  </w:txbxContent>
                </v:textbox>
              </v:roundrect>
            </w:pict>
          </mc:Fallback>
        </mc:AlternateContent>
      </w:r>
    </w:p>
    <w:p w:rsidR="003E70C4" w:rsidRDefault="003E70C4" w:rsidP="0061156C">
      <w:pPr>
        <w:tabs>
          <w:tab w:val="center" w:pos="4153"/>
          <w:tab w:val="right" w:pos="8306"/>
        </w:tabs>
        <w:spacing w:line="240" w:lineRule="auto"/>
        <w:ind w:left="0"/>
        <w:jc w:val="center"/>
        <w:rPr>
          <w:rFonts w:cs="Guttman Hodes"/>
          <w:b/>
          <w:bCs/>
          <w:sz w:val="96"/>
          <w:szCs w:val="96"/>
          <w:rtl/>
        </w:rPr>
      </w:pPr>
      <w:r>
        <w:rPr>
          <w:rFonts w:cs="Guttman Hodes" w:hint="cs"/>
          <w:b/>
          <w:bCs/>
          <w:sz w:val="96"/>
          <w:szCs w:val="96"/>
          <w:rtl/>
        </w:rPr>
        <w:t>סוגית</w:t>
      </w:r>
    </w:p>
    <w:p w:rsidR="003E70C4" w:rsidRDefault="003E70C4" w:rsidP="0061156C">
      <w:pPr>
        <w:tabs>
          <w:tab w:val="center" w:pos="4153"/>
          <w:tab w:val="right" w:pos="8306"/>
        </w:tabs>
        <w:spacing w:line="240" w:lineRule="auto"/>
        <w:ind w:left="0"/>
        <w:jc w:val="center"/>
        <w:rPr>
          <w:rFonts w:cs="Guttman Hodes"/>
          <w:b/>
          <w:bCs/>
          <w:sz w:val="96"/>
          <w:szCs w:val="96"/>
          <w:rtl/>
        </w:rPr>
      </w:pPr>
      <w:r>
        <w:rPr>
          <w:rFonts w:cs="Guttman Hodes" w:hint="cs"/>
          <w:b/>
          <w:bCs/>
          <w:sz w:val="96"/>
          <w:szCs w:val="96"/>
          <w:rtl/>
        </w:rPr>
        <w:t>נותן טעם לפגם</w:t>
      </w:r>
    </w:p>
    <w:p w:rsidR="0061156C" w:rsidRPr="0061156C" w:rsidRDefault="003E70C4" w:rsidP="0061156C">
      <w:pPr>
        <w:tabs>
          <w:tab w:val="center" w:pos="4153"/>
          <w:tab w:val="right" w:pos="8306"/>
        </w:tabs>
        <w:spacing w:line="240" w:lineRule="auto"/>
        <w:ind w:left="0"/>
        <w:jc w:val="center"/>
        <w:rPr>
          <w:rFonts w:cs="Guttman Hodes"/>
          <w:b/>
          <w:bCs/>
          <w:sz w:val="44"/>
          <w:szCs w:val="44"/>
        </w:rPr>
      </w:pPr>
      <w:r>
        <w:rPr>
          <w:rFonts w:cs="Guttman Hodes" w:hint="cs"/>
          <w:b/>
          <w:bCs/>
          <w:sz w:val="96"/>
          <w:szCs w:val="96"/>
          <w:rtl/>
        </w:rPr>
        <w:t>במסכת ע"ז</w:t>
      </w:r>
      <w:r w:rsidR="0061156C" w:rsidRPr="0061156C">
        <w:rPr>
          <w:rFonts w:cs="Guttman Hodes" w:hint="cs"/>
          <w:b/>
          <w:bCs/>
          <w:sz w:val="96"/>
          <w:szCs w:val="96"/>
          <w:rtl/>
        </w:rPr>
        <w:t xml:space="preserve"> </w:t>
      </w:r>
    </w:p>
    <w:p w:rsidR="0061156C" w:rsidRPr="0061156C" w:rsidRDefault="0061156C" w:rsidP="0061156C">
      <w:pPr>
        <w:ind w:left="0"/>
        <w:jc w:val="center"/>
        <w:rPr>
          <w:rFonts w:cs="Guttman Hodes"/>
          <w:b/>
          <w:bCs/>
          <w:sz w:val="44"/>
          <w:szCs w:val="44"/>
          <w:rtl/>
        </w:rPr>
      </w:pPr>
    </w:p>
    <w:p w:rsidR="007F638F" w:rsidRDefault="007F638F" w:rsidP="005B1A17">
      <w:pPr>
        <w:pStyle w:val="afc"/>
        <w:rPr>
          <w:rtl/>
        </w:rPr>
        <w:sectPr w:rsidR="007F638F" w:rsidSect="005C335A">
          <w:headerReference w:type="default" r:id="rId68"/>
          <w:pgSz w:w="11906" w:h="16838"/>
          <w:pgMar w:top="720" w:right="720" w:bottom="720" w:left="720" w:header="283" w:footer="283" w:gutter="0"/>
          <w:cols w:space="113"/>
          <w:bidi/>
          <w:rtlGutter/>
          <w:docGrid w:linePitch="299"/>
        </w:sectPr>
      </w:pPr>
    </w:p>
    <w:p w:rsidR="00C2781B" w:rsidRDefault="00C2781B" w:rsidP="005B1A17">
      <w:pPr>
        <w:pStyle w:val="afc"/>
        <w:rPr>
          <w:rtl/>
        </w:rPr>
        <w:sectPr w:rsidR="00C2781B" w:rsidSect="007F638F">
          <w:headerReference w:type="default" r:id="rId69"/>
          <w:pgSz w:w="11906" w:h="16838"/>
          <w:pgMar w:top="720" w:right="720" w:bottom="720" w:left="720" w:header="283" w:footer="283" w:gutter="0"/>
          <w:cols w:space="113"/>
          <w:bidi/>
          <w:rtlGutter/>
          <w:docGrid w:linePitch="299"/>
        </w:sectPr>
      </w:pPr>
    </w:p>
    <w:p w:rsidR="007F638F" w:rsidRDefault="007F638F" w:rsidP="005B1A17">
      <w:pPr>
        <w:pStyle w:val="afc"/>
      </w:pPr>
      <w:bookmarkStart w:id="8059" w:name="_Toc20468164"/>
      <w:r>
        <w:rPr>
          <w:rFonts w:hint="cs"/>
          <w:rtl/>
        </w:rPr>
        <w:lastRenderedPageBreak/>
        <w:t>סימן יב'</w:t>
      </w:r>
      <w:bookmarkEnd w:id="8059"/>
    </w:p>
    <w:p w:rsidR="007F638F" w:rsidRDefault="00715158" w:rsidP="005B1A17">
      <w:pPr>
        <w:pStyle w:val="afc"/>
        <w:rPr>
          <w:rtl/>
        </w:rPr>
      </w:pPr>
      <w:bookmarkStart w:id="8060" w:name="_Toc20429218"/>
      <w:bookmarkStart w:id="8061" w:name="_Toc20468165"/>
      <w:r>
        <w:rPr>
          <w:rFonts w:hint="cs"/>
          <w:rtl/>
        </w:rPr>
        <w:t xml:space="preserve">סוגית נותן </w:t>
      </w:r>
      <w:r w:rsidR="007F638F">
        <w:rPr>
          <w:rFonts w:hint="cs"/>
          <w:rtl/>
        </w:rPr>
        <w:t>טעם לפגם (א')</w:t>
      </w:r>
      <w:bookmarkEnd w:id="8060"/>
      <w:bookmarkEnd w:id="8061"/>
    </w:p>
    <w:p w:rsidR="007F638F" w:rsidRPr="00FB6B44" w:rsidRDefault="007F638F" w:rsidP="005B1A17">
      <w:pPr>
        <w:pStyle w:val="afc"/>
        <w:rPr>
          <w:rtl/>
        </w:rPr>
      </w:pPr>
      <w:bookmarkStart w:id="8062" w:name="_Toc20429219"/>
      <w:bookmarkStart w:id="8063" w:name="_Toc20468166"/>
      <w:r w:rsidRPr="00FB6B44">
        <w:rPr>
          <w:rFonts w:hint="cs"/>
          <w:rtl/>
        </w:rPr>
        <w:t xml:space="preserve">בפלוגתת הראשונים </w:t>
      </w:r>
      <w:r w:rsidRPr="00FB6B44">
        <w:rPr>
          <w:rtl/>
        </w:rPr>
        <w:t xml:space="preserve">בדין פגום </w:t>
      </w:r>
      <w:r w:rsidRPr="00FB6B44">
        <w:rPr>
          <w:rFonts w:hint="cs"/>
          <w:rtl/>
        </w:rPr>
        <w:t>במקצת ובנבילה שאינה ראויה לגר</w:t>
      </w:r>
      <w:bookmarkEnd w:id="8062"/>
      <w:bookmarkEnd w:id="8063"/>
    </w:p>
    <w:p w:rsidR="007F638F" w:rsidRPr="007F009C" w:rsidRDefault="002916D7" w:rsidP="007F638F">
      <w:pPr>
        <w:pStyle w:val="2"/>
        <w:rPr>
          <w:rtl/>
        </w:rPr>
      </w:pPr>
      <w:r>
        <w:rPr>
          <w:rtl/>
        </w:rPr>
        <w:t>מפתח הסוגיא</w:t>
      </w:r>
    </w:p>
    <w:p w:rsidR="007F638F" w:rsidRDefault="007F638F" w:rsidP="007809D6">
      <w:pPr>
        <w:pStyle w:val="2"/>
        <w:rPr>
          <w:noProof/>
          <w:rtl/>
        </w:rPr>
        <w:sectPr w:rsidR="007F638F" w:rsidSect="007F638F">
          <w:headerReference w:type="default" r:id="rId70"/>
          <w:pgSz w:w="11906" w:h="16838"/>
          <w:pgMar w:top="720" w:right="720" w:bottom="720" w:left="720" w:header="283" w:footer="283" w:gutter="0"/>
          <w:cols w:space="113"/>
          <w:bidi/>
          <w:rtlGutter/>
          <w:docGrid w:linePitch="299"/>
        </w:sectPr>
      </w:pPr>
    </w:p>
    <w:p w:rsidR="007809D6" w:rsidRDefault="007809D6" w:rsidP="007809D6">
      <w:pPr>
        <w:pStyle w:val="2"/>
        <w:rPr>
          <w:rFonts w:eastAsiaTheme="minorEastAsia" w:cstheme="minorBidi"/>
          <w:i/>
          <w:iCs/>
          <w:sz w:val="22"/>
          <w:szCs w:val="22"/>
          <w:rtl/>
        </w:rPr>
      </w:pPr>
      <w:r w:rsidRPr="00D47CE7">
        <w:rPr>
          <w:noProof/>
          <w:rtl/>
        </w:rPr>
        <w:fldChar w:fldCharType="begin"/>
      </w:r>
      <w:r w:rsidRPr="00D47CE7">
        <w:rPr>
          <w:rtl/>
        </w:rPr>
        <w:instrText xml:space="preserve"> </w:instrText>
      </w:r>
      <w:r w:rsidRPr="00D47CE7">
        <w:instrText>TOC</w:instrText>
      </w:r>
      <w:r w:rsidRPr="00D47CE7">
        <w:rPr>
          <w:rtl/>
        </w:rPr>
        <w:instrText xml:space="preserve"> \</w:instrText>
      </w:r>
      <w:r w:rsidRPr="00D47CE7">
        <w:instrText>o "1-9" \n \p " " \z \t</w:instrText>
      </w:r>
      <w:r w:rsidRPr="00D47CE7">
        <w:rPr>
          <w:rtl/>
        </w:rPr>
        <w:instrText xml:space="preserve"> "כותרת 1,2,כות קט,3,כות מקטע,1" </w:instrText>
      </w:r>
      <w:r w:rsidRPr="00D47CE7">
        <w:rPr>
          <w:noProof/>
          <w:rtl/>
        </w:rPr>
        <w:fldChar w:fldCharType="separate"/>
      </w:r>
      <w:r>
        <w:rPr>
          <w:rtl/>
        </w:rPr>
        <w:t>מראי מקומות וביאורים</w:t>
      </w:r>
    </w:p>
    <w:p w:rsidR="007809D6" w:rsidRDefault="007809D6" w:rsidP="007809D6">
      <w:pPr>
        <w:pStyle w:val="2"/>
        <w:rPr>
          <w:rFonts w:eastAsiaTheme="minorEastAsia" w:cstheme="minorBidi"/>
          <w:i/>
          <w:iCs/>
          <w:sz w:val="22"/>
          <w:szCs w:val="22"/>
          <w:rtl/>
        </w:rPr>
      </w:pPr>
      <w:r>
        <w:rPr>
          <w:rtl/>
        </w:rPr>
        <w:t>פלוגתת הראשונים בנטל"פ הראוי לגר</w:t>
      </w:r>
    </w:p>
    <w:p w:rsidR="007809D6" w:rsidRDefault="007809D6" w:rsidP="007809D6">
      <w:pPr>
        <w:pStyle w:val="aff4"/>
        <w:rPr>
          <w:rFonts w:eastAsiaTheme="minorEastAsia" w:cstheme="minorBidi"/>
          <w:i/>
          <w:iCs/>
          <w:noProof/>
          <w:sz w:val="22"/>
          <w:szCs w:val="22"/>
          <w:rtl/>
        </w:rPr>
      </w:pPr>
      <w:r>
        <w:rPr>
          <w:noProof/>
          <w:rtl/>
        </w:rPr>
        <w:t>דברי רש"י ותוס' דנטל"פ בפגום קצת חשיב אינה נאכלת ומותר</w:t>
      </w:r>
    </w:p>
    <w:p w:rsidR="007809D6" w:rsidRPr="004D1C5B" w:rsidRDefault="007809D6" w:rsidP="004D1C5B">
      <w:pPr>
        <w:pStyle w:val="TOC9"/>
        <w:numPr>
          <w:ilvl w:val="0"/>
          <w:numId w:val="25"/>
        </w:numPr>
        <w:rPr>
          <w:rFonts w:eastAsiaTheme="minorEastAsia" w:cstheme="minorBidi"/>
          <w:sz w:val="22"/>
          <w:szCs w:val="22"/>
          <w:rtl/>
        </w:rPr>
      </w:pPr>
      <w:r w:rsidRPr="00FA3C92">
        <w:rPr>
          <w:rtl/>
        </w:rPr>
        <w:t>דברי רש"י ותוס' דלל"ק דר"ל היתר נטל"פ כשהפגם הוא רק מחמת האיסור ולא חסר תיקון אחר</w:t>
      </w:r>
    </w:p>
    <w:p w:rsidR="007809D6" w:rsidRDefault="007809D6" w:rsidP="007809D6">
      <w:pPr>
        <w:pStyle w:val="aff2"/>
        <w:numPr>
          <w:ilvl w:val="0"/>
          <w:numId w:val="3"/>
        </w:numPr>
        <w:rPr>
          <w:rFonts w:eastAsiaTheme="minorEastAsia" w:cstheme="minorBidi"/>
          <w:sz w:val="22"/>
          <w:szCs w:val="22"/>
          <w:rtl/>
        </w:rPr>
      </w:pPr>
      <w:r>
        <w:rPr>
          <w:rtl/>
        </w:rPr>
        <w:t>דברי רש"י ותוס' והרמב"ן והרשב"א והר"ן דהיתר נטל"פ הוא אף בפגום קצת וחשיב לא נאכלת</w:t>
      </w:r>
    </w:p>
    <w:p w:rsidR="007809D6" w:rsidRDefault="007809D6" w:rsidP="007809D6">
      <w:pPr>
        <w:pStyle w:val="aff2"/>
        <w:numPr>
          <w:ilvl w:val="0"/>
          <w:numId w:val="3"/>
        </w:numPr>
        <w:rPr>
          <w:rFonts w:eastAsiaTheme="minorEastAsia" w:cstheme="minorBidi"/>
          <w:sz w:val="22"/>
          <w:szCs w:val="22"/>
          <w:rtl/>
        </w:rPr>
      </w:pPr>
      <w:r>
        <w:rPr>
          <w:rtl/>
        </w:rPr>
        <w:t>דברי רש""י ותוס' דלל"ב היתר נטל"פ הוא אף אם חסר גם תיקון אחר כיון שעכשיו האיסור פוגם</w:t>
      </w:r>
    </w:p>
    <w:p w:rsidR="007809D6" w:rsidRDefault="007809D6" w:rsidP="007809D6">
      <w:pPr>
        <w:pStyle w:val="aff4"/>
        <w:rPr>
          <w:rFonts w:eastAsiaTheme="minorEastAsia" w:cstheme="minorBidi"/>
          <w:i/>
          <w:iCs/>
          <w:noProof/>
          <w:sz w:val="22"/>
          <w:szCs w:val="22"/>
          <w:rtl/>
        </w:rPr>
      </w:pPr>
      <w:r>
        <w:rPr>
          <w:noProof/>
          <w:rtl/>
        </w:rPr>
        <w:t>דעת הראב"ד דהיתר נטל"פ הוא רק בפגום לגמרי דלא ראוי לגר</w:t>
      </w:r>
    </w:p>
    <w:p w:rsidR="007809D6" w:rsidRDefault="007809D6" w:rsidP="007809D6">
      <w:pPr>
        <w:pStyle w:val="aff2"/>
        <w:numPr>
          <w:ilvl w:val="0"/>
          <w:numId w:val="3"/>
        </w:numPr>
        <w:rPr>
          <w:rFonts w:eastAsiaTheme="minorEastAsia" w:cstheme="minorBidi"/>
          <w:sz w:val="22"/>
          <w:szCs w:val="22"/>
          <w:rtl/>
        </w:rPr>
      </w:pPr>
      <w:r>
        <w:rPr>
          <w:rtl/>
        </w:rPr>
        <w:t>דברי הראב"ד דהיתר נטל"פ הוא רק כשאינה נאכלת לגמרי כנבילה שלא ראויה לגר</w:t>
      </w:r>
    </w:p>
    <w:p w:rsidR="007809D6" w:rsidRDefault="007809D6" w:rsidP="007809D6">
      <w:pPr>
        <w:pStyle w:val="aff4"/>
        <w:rPr>
          <w:rFonts w:eastAsiaTheme="minorEastAsia" w:cstheme="minorBidi"/>
          <w:i/>
          <w:iCs/>
          <w:noProof/>
          <w:sz w:val="22"/>
          <w:szCs w:val="22"/>
          <w:rtl/>
        </w:rPr>
      </w:pPr>
      <w:r>
        <w:rPr>
          <w:noProof/>
          <w:rtl/>
        </w:rPr>
        <w:t>דעת הרא"ה דבנטל"פ האיסור פגום לגמרי אף דנאכל עם ההיתר</w:t>
      </w:r>
    </w:p>
    <w:p w:rsidR="007809D6" w:rsidRDefault="007809D6" w:rsidP="007809D6">
      <w:pPr>
        <w:pStyle w:val="aff2"/>
        <w:numPr>
          <w:ilvl w:val="0"/>
          <w:numId w:val="3"/>
        </w:numPr>
        <w:rPr>
          <w:rFonts w:eastAsiaTheme="minorEastAsia" w:cstheme="minorBidi"/>
          <w:sz w:val="22"/>
          <w:szCs w:val="22"/>
          <w:rtl/>
        </w:rPr>
      </w:pPr>
      <w:r>
        <w:rPr>
          <w:rtl/>
        </w:rPr>
        <w:t>דברי הרא"ה דהיתר נטל"פ הוא רק כשהאיסור עצמו נפגם לגמרי אף דנאכל ע"י ההיתר</w:t>
      </w:r>
    </w:p>
    <w:p w:rsidR="007809D6" w:rsidRDefault="007809D6" w:rsidP="007809D6">
      <w:pPr>
        <w:pStyle w:val="aff2"/>
        <w:numPr>
          <w:ilvl w:val="0"/>
          <w:numId w:val="3"/>
        </w:numPr>
        <w:rPr>
          <w:rFonts w:eastAsiaTheme="minorEastAsia" w:cstheme="minorBidi"/>
          <w:sz w:val="22"/>
          <w:szCs w:val="22"/>
          <w:rtl/>
        </w:rPr>
      </w:pPr>
      <w:r>
        <w:rPr>
          <w:rtl/>
        </w:rPr>
        <w:t>דברי הרא"ה דהא דקיי"ל לקולא כל"ב דר"ל דאף בחסר תיקון מותר הוא כיון דטע"כ דרבנן</w:t>
      </w:r>
    </w:p>
    <w:p w:rsidR="007809D6" w:rsidRDefault="007809D6" w:rsidP="007809D6">
      <w:pPr>
        <w:pStyle w:val="aff4"/>
        <w:rPr>
          <w:rFonts w:eastAsiaTheme="minorEastAsia" w:cstheme="minorBidi"/>
          <w:i/>
          <w:iCs/>
          <w:noProof/>
          <w:sz w:val="22"/>
          <w:szCs w:val="22"/>
          <w:rtl/>
        </w:rPr>
      </w:pPr>
      <w:r>
        <w:rPr>
          <w:noProof/>
          <w:rtl/>
        </w:rPr>
        <w:t>דברי הריטב"א דאיסור שידוע שפוגם מותר אף שלא מורגש</w:t>
      </w:r>
    </w:p>
    <w:p w:rsidR="007809D6" w:rsidRDefault="007809D6" w:rsidP="007809D6">
      <w:pPr>
        <w:pStyle w:val="aff2"/>
        <w:numPr>
          <w:ilvl w:val="0"/>
          <w:numId w:val="3"/>
        </w:numPr>
        <w:rPr>
          <w:rFonts w:eastAsiaTheme="minorEastAsia" w:cstheme="minorBidi"/>
          <w:sz w:val="22"/>
          <w:szCs w:val="22"/>
          <w:rtl/>
        </w:rPr>
      </w:pPr>
      <w:r>
        <w:rPr>
          <w:rtl/>
        </w:rPr>
        <w:t>דברי הריטב"א דמשמע ברש"י דהיתר נטל"פ הוא רק כשמורגש קצת פגם בחיך</w:t>
      </w:r>
    </w:p>
    <w:p w:rsidR="007809D6" w:rsidRDefault="007809D6" w:rsidP="007809D6">
      <w:pPr>
        <w:pStyle w:val="aff2"/>
        <w:numPr>
          <w:ilvl w:val="0"/>
          <w:numId w:val="3"/>
        </w:numPr>
        <w:rPr>
          <w:rFonts w:eastAsiaTheme="minorEastAsia" w:cstheme="minorBidi"/>
          <w:sz w:val="22"/>
          <w:szCs w:val="22"/>
          <w:rtl/>
        </w:rPr>
      </w:pPr>
      <w:r>
        <w:rPr>
          <w:rtl/>
        </w:rPr>
        <w:t>דחיית הריטב"א דבקדירה שאינה בת יומא ושמן עכו"ם לא מורגש כל פגם ואפ"ה חשיב נטל"פ</w:t>
      </w:r>
    </w:p>
    <w:p w:rsidR="007809D6" w:rsidRDefault="007809D6" w:rsidP="007809D6">
      <w:pPr>
        <w:pStyle w:val="aff2"/>
        <w:numPr>
          <w:ilvl w:val="0"/>
          <w:numId w:val="3"/>
        </w:numPr>
        <w:rPr>
          <w:rFonts w:eastAsiaTheme="minorEastAsia" w:cstheme="minorBidi"/>
          <w:sz w:val="22"/>
          <w:szCs w:val="22"/>
          <w:rtl/>
        </w:rPr>
      </w:pPr>
      <w:r>
        <w:rPr>
          <w:rtl/>
        </w:rPr>
        <w:t>דברי הריטב"א דאיסור שידוע שאינו משביח את ההיתר ואם היה מרובה היה פוגם מותר</w:t>
      </w:r>
    </w:p>
    <w:p w:rsidR="007809D6" w:rsidRDefault="007809D6" w:rsidP="007809D6">
      <w:pPr>
        <w:pStyle w:val="aff4"/>
        <w:rPr>
          <w:rFonts w:eastAsiaTheme="minorEastAsia" w:cstheme="minorBidi"/>
          <w:i/>
          <w:iCs/>
          <w:noProof/>
          <w:sz w:val="22"/>
          <w:szCs w:val="22"/>
          <w:rtl/>
        </w:rPr>
      </w:pPr>
      <w:r>
        <w:rPr>
          <w:noProof/>
          <w:rtl/>
        </w:rPr>
        <w:t>דברי החוו"ד דבנבילה פקע האיסור ובפגום במקצת לא פקע</w:t>
      </w:r>
    </w:p>
    <w:p w:rsidR="007809D6" w:rsidRDefault="007809D6" w:rsidP="007809D6">
      <w:pPr>
        <w:pStyle w:val="aff2"/>
        <w:numPr>
          <w:ilvl w:val="0"/>
          <w:numId w:val="3"/>
        </w:numPr>
        <w:rPr>
          <w:rFonts w:eastAsiaTheme="minorEastAsia" w:cstheme="minorBidi"/>
          <w:sz w:val="22"/>
          <w:szCs w:val="22"/>
          <w:rtl/>
        </w:rPr>
      </w:pPr>
      <w:r>
        <w:rPr>
          <w:rtl/>
        </w:rPr>
        <w:t>דברי החוו"ד דנבילה שאינה ראויה לגר היא כעפר ופרח איסורה ממנה</w:t>
      </w:r>
    </w:p>
    <w:p w:rsidR="007809D6" w:rsidRDefault="007809D6" w:rsidP="007809D6">
      <w:pPr>
        <w:pStyle w:val="aff2"/>
        <w:numPr>
          <w:ilvl w:val="0"/>
          <w:numId w:val="3"/>
        </w:numPr>
        <w:rPr>
          <w:rFonts w:eastAsiaTheme="minorEastAsia" w:cstheme="minorBidi"/>
          <w:sz w:val="22"/>
          <w:szCs w:val="22"/>
          <w:rtl/>
        </w:rPr>
      </w:pPr>
      <w:r>
        <w:rPr>
          <w:rtl/>
        </w:rPr>
        <w:t>דברי החוו"ד דבנבילה ושאר איסורים שאינם ראויים לגר פקע האיסור אף אם חזר ותיקנם</w:t>
      </w:r>
    </w:p>
    <w:p w:rsidR="007809D6" w:rsidRDefault="007809D6" w:rsidP="007809D6">
      <w:pPr>
        <w:pStyle w:val="aff2"/>
        <w:numPr>
          <w:ilvl w:val="0"/>
          <w:numId w:val="3"/>
        </w:numPr>
        <w:rPr>
          <w:rFonts w:eastAsiaTheme="minorEastAsia" w:cstheme="minorBidi"/>
          <w:sz w:val="22"/>
          <w:szCs w:val="22"/>
          <w:rtl/>
        </w:rPr>
      </w:pPr>
      <w:r>
        <w:rPr>
          <w:rtl/>
        </w:rPr>
        <w:t>דברי החוו"ד דבפגום במקצת לא פקע האיסור ואינו אוסר את התערובת דלא ניחא לו בפגימה</w:t>
      </w:r>
    </w:p>
    <w:p w:rsidR="007809D6" w:rsidRDefault="007809D6" w:rsidP="007809D6">
      <w:pPr>
        <w:pStyle w:val="2"/>
        <w:rPr>
          <w:rFonts w:eastAsiaTheme="minorEastAsia" w:cstheme="minorBidi"/>
          <w:i/>
          <w:iCs/>
          <w:sz w:val="22"/>
          <w:szCs w:val="22"/>
          <w:rtl/>
        </w:rPr>
      </w:pPr>
      <w:r w:rsidRPr="00A2205B">
        <w:rPr>
          <w:rtl/>
        </w:rPr>
        <w:t>דעת הרשב"א דבטעם פגום אין דין טע"כ</w:t>
      </w:r>
    </w:p>
    <w:p w:rsidR="007809D6" w:rsidRDefault="007809D6" w:rsidP="007809D6">
      <w:pPr>
        <w:pStyle w:val="aff4"/>
        <w:rPr>
          <w:rFonts w:eastAsiaTheme="minorEastAsia" w:cstheme="minorBidi"/>
          <w:i/>
          <w:iCs/>
          <w:noProof/>
          <w:sz w:val="22"/>
          <w:szCs w:val="22"/>
          <w:rtl/>
        </w:rPr>
      </w:pPr>
      <w:r>
        <w:rPr>
          <w:noProof/>
          <w:rtl/>
        </w:rPr>
        <w:t>הוכחת הראשונים כרש"י דפגום במקצת מותר ודלא כהראב"ד</w:t>
      </w:r>
    </w:p>
    <w:p w:rsidR="007809D6" w:rsidRDefault="007809D6" w:rsidP="007809D6">
      <w:pPr>
        <w:pStyle w:val="aff2"/>
        <w:numPr>
          <w:ilvl w:val="0"/>
          <w:numId w:val="3"/>
        </w:numPr>
        <w:rPr>
          <w:rFonts w:eastAsiaTheme="minorEastAsia" w:cstheme="minorBidi"/>
          <w:sz w:val="22"/>
          <w:szCs w:val="22"/>
          <w:rtl/>
        </w:rPr>
      </w:pPr>
      <w:r>
        <w:rPr>
          <w:rtl/>
        </w:rPr>
        <w:t>דברי הרמב"ן והרשב"א והר"ן דבקדירה שאינה  בת יומא מוכח כרש"י דבפגום במקצת מותר</w:t>
      </w:r>
    </w:p>
    <w:p w:rsidR="007809D6" w:rsidRDefault="007809D6" w:rsidP="007809D6">
      <w:pPr>
        <w:pStyle w:val="aff4"/>
        <w:rPr>
          <w:rFonts w:eastAsiaTheme="minorEastAsia" w:cstheme="minorBidi"/>
          <w:i/>
          <w:iCs/>
          <w:noProof/>
          <w:sz w:val="22"/>
          <w:szCs w:val="22"/>
          <w:rtl/>
        </w:rPr>
      </w:pPr>
      <w:r>
        <w:rPr>
          <w:noProof/>
          <w:rtl/>
        </w:rPr>
        <w:t>ביאור הרמב"ן והרשב"א בילפותא מנבילה לפגום במקצת</w:t>
      </w:r>
    </w:p>
    <w:p w:rsidR="007809D6" w:rsidRDefault="007809D6" w:rsidP="007809D6">
      <w:pPr>
        <w:pStyle w:val="aff2"/>
        <w:numPr>
          <w:ilvl w:val="0"/>
          <w:numId w:val="3"/>
        </w:numPr>
        <w:rPr>
          <w:rFonts w:eastAsiaTheme="minorEastAsia" w:cstheme="minorBidi"/>
          <w:sz w:val="22"/>
          <w:szCs w:val="22"/>
          <w:rtl/>
        </w:rPr>
      </w:pPr>
      <w:r>
        <w:rPr>
          <w:rtl/>
        </w:rPr>
        <w:t>קושית הרמב"ן והרשב"א והר"ן דהיאך ילפינן פגום במקצת מנבילה שאינה ראויה לגר</w:t>
      </w:r>
    </w:p>
    <w:p w:rsidR="007809D6" w:rsidRDefault="007809D6" w:rsidP="007809D6">
      <w:pPr>
        <w:pStyle w:val="aff2"/>
        <w:numPr>
          <w:ilvl w:val="0"/>
          <w:numId w:val="3"/>
        </w:numPr>
        <w:rPr>
          <w:rFonts w:eastAsiaTheme="minorEastAsia" w:cstheme="minorBidi"/>
          <w:sz w:val="22"/>
          <w:szCs w:val="22"/>
          <w:rtl/>
        </w:rPr>
      </w:pPr>
      <w:r>
        <w:rPr>
          <w:rtl/>
        </w:rPr>
        <w:t>ביאור הרמב"ן והרשב"א דבנבילה שאוכלה בפנ"ע ההיתר בפגום לגמרי ובתערובת במקצת</w:t>
      </w:r>
    </w:p>
    <w:p w:rsidR="007809D6" w:rsidRDefault="007809D6" w:rsidP="007809D6">
      <w:pPr>
        <w:pStyle w:val="aff2"/>
        <w:numPr>
          <w:ilvl w:val="0"/>
          <w:numId w:val="3"/>
        </w:numPr>
        <w:rPr>
          <w:rFonts w:eastAsiaTheme="minorEastAsia" w:cstheme="minorBidi"/>
          <w:sz w:val="22"/>
          <w:szCs w:val="22"/>
          <w:rtl/>
        </w:rPr>
      </w:pPr>
      <w:r>
        <w:rPr>
          <w:rtl/>
        </w:rPr>
        <w:t>ביאור הרשב"א דכמו דנבילה שהיתה משובחת הותר</w:t>
      </w:r>
      <w:r>
        <w:rPr>
          <w:rFonts w:hint="cs"/>
          <w:rtl/>
        </w:rPr>
        <w:t>ה</w:t>
      </w:r>
      <w:r>
        <w:rPr>
          <w:rtl/>
        </w:rPr>
        <w:t xml:space="preserve"> </w:t>
      </w:r>
      <w:r>
        <w:rPr>
          <w:rFonts w:hint="cs"/>
          <w:rtl/>
        </w:rPr>
        <w:t>כש</w:t>
      </w:r>
      <w:r>
        <w:rPr>
          <w:rtl/>
        </w:rPr>
        <w:t>נפגמה ה"ה בשאר איסורין בתערובת</w:t>
      </w:r>
    </w:p>
    <w:p w:rsidR="007809D6" w:rsidRDefault="007809D6" w:rsidP="007809D6">
      <w:pPr>
        <w:pStyle w:val="aff4"/>
        <w:rPr>
          <w:rFonts w:eastAsiaTheme="minorEastAsia" w:cstheme="minorBidi"/>
          <w:i/>
          <w:iCs/>
          <w:noProof/>
          <w:sz w:val="22"/>
          <w:szCs w:val="22"/>
          <w:rtl/>
        </w:rPr>
      </w:pPr>
      <w:r>
        <w:rPr>
          <w:noProof/>
          <w:rtl/>
        </w:rPr>
        <w:t>דברי הרשב"א בנותן טעם לפגם ברוב ובפחות מרוב</w:t>
      </w:r>
    </w:p>
    <w:p w:rsidR="007809D6" w:rsidRDefault="007809D6" w:rsidP="007809D6">
      <w:pPr>
        <w:pStyle w:val="aff2"/>
        <w:numPr>
          <w:ilvl w:val="0"/>
          <w:numId w:val="3"/>
        </w:numPr>
        <w:rPr>
          <w:rFonts w:eastAsiaTheme="minorEastAsia" w:cstheme="minorBidi"/>
          <w:sz w:val="22"/>
          <w:szCs w:val="22"/>
          <w:rtl/>
        </w:rPr>
      </w:pPr>
      <w:r>
        <w:rPr>
          <w:rtl/>
        </w:rPr>
        <w:t>דברי הרשב"א דההיתר בנטל"פ הוא רק כשטעם האיסור בטל ברוב דבטעם פגום אין דין טע"כ</w:t>
      </w:r>
    </w:p>
    <w:p w:rsidR="007809D6" w:rsidRDefault="007809D6" w:rsidP="007809D6">
      <w:pPr>
        <w:pStyle w:val="aff2"/>
        <w:numPr>
          <w:ilvl w:val="0"/>
          <w:numId w:val="3"/>
        </w:numPr>
        <w:rPr>
          <w:rFonts w:eastAsiaTheme="minorEastAsia" w:cstheme="minorBidi"/>
          <w:sz w:val="22"/>
          <w:szCs w:val="22"/>
          <w:rtl/>
        </w:rPr>
      </w:pPr>
      <w:r>
        <w:rPr>
          <w:rtl/>
        </w:rPr>
        <w:t>דברי הרשב"א דברוב או מחצה איסור אין היתר בנטל"פ בפגום במקצת דחשיב שהאיסור בעין</w:t>
      </w:r>
    </w:p>
    <w:p w:rsidR="007809D6" w:rsidRDefault="007809D6" w:rsidP="007809D6">
      <w:pPr>
        <w:pStyle w:val="aff2"/>
        <w:numPr>
          <w:ilvl w:val="0"/>
          <w:numId w:val="3"/>
        </w:numPr>
        <w:rPr>
          <w:rFonts w:eastAsiaTheme="minorEastAsia" w:cstheme="minorBidi"/>
          <w:sz w:val="22"/>
          <w:szCs w:val="22"/>
          <w:rtl/>
        </w:rPr>
      </w:pPr>
      <w:r>
        <w:rPr>
          <w:rtl/>
        </w:rPr>
        <w:t>דברי המאירי דבפחות מרוב היתר הוא גוף איסור ולא תערובת וה"ה כשיש איסור בכזית בכא"פ</w:t>
      </w:r>
    </w:p>
    <w:p w:rsidR="007809D6" w:rsidRDefault="007809D6" w:rsidP="007809D6">
      <w:pPr>
        <w:pStyle w:val="aff2"/>
        <w:numPr>
          <w:ilvl w:val="0"/>
          <w:numId w:val="3"/>
        </w:numPr>
        <w:rPr>
          <w:rFonts w:eastAsiaTheme="minorEastAsia" w:cstheme="minorBidi"/>
          <w:sz w:val="22"/>
          <w:szCs w:val="22"/>
          <w:rtl/>
        </w:rPr>
      </w:pPr>
      <w:r>
        <w:rPr>
          <w:rtl/>
        </w:rPr>
        <w:t>קושית הרשב"א דהיאך מותר בקדירה דלאו בת יומא כשאין רוב בתבשיל כנגד כל האיסור</w:t>
      </w:r>
    </w:p>
    <w:p w:rsidR="007809D6" w:rsidRDefault="007809D6" w:rsidP="007809D6">
      <w:pPr>
        <w:pStyle w:val="aff2"/>
        <w:numPr>
          <w:ilvl w:val="0"/>
          <w:numId w:val="3"/>
        </w:numPr>
        <w:rPr>
          <w:rFonts w:eastAsiaTheme="minorEastAsia" w:cstheme="minorBidi"/>
          <w:sz w:val="22"/>
          <w:szCs w:val="22"/>
          <w:rtl/>
        </w:rPr>
      </w:pPr>
      <w:r>
        <w:rPr>
          <w:rtl/>
        </w:rPr>
        <w:t>תירוץ הרשב"א דבקדירה יש רק טעם איסור ואין ממשות ובטעם פגום בלא ממשות א"צ רוב</w:t>
      </w:r>
    </w:p>
    <w:p w:rsidR="007809D6" w:rsidRDefault="007809D6" w:rsidP="007809D6">
      <w:pPr>
        <w:pStyle w:val="aff4"/>
        <w:rPr>
          <w:rFonts w:eastAsiaTheme="minorEastAsia" w:cstheme="minorBidi"/>
          <w:i/>
          <w:iCs/>
          <w:noProof/>
          <w:sz w:val="22"/>
          <w:szCs w:val="22"/>
          <w:rtl/>
        </w:rPr>
      </w:pPr>
      <w:r>
        <w:rPr>
          <w:noProof/>
          <w:rtl/>
        </w:rPr>
        <w:t>ביאור הרשב"א דאיסור בתערובת אסור בטע"כ וטעם פגום מותר</w:t>
      </w:r>
    </w:p>
    <w:p w:rsidR="007809D6" w:rsidRDefault="007809D6" w:rsidP="007809D6">
      <w:pPr>
        <w:pStyle w:val="aff2"/>
        <w:numPr>
          <w:ilvl w:val="0"/>
          <w:numId w:val="3"/>
        </w:numPr>
        <w:rPr>
          <w:rFonts w:eastAsiaTheme="minorEastAsia" w:cstheme="minorBidi"/>
          <w:sz w:val="22"/>
          <w:szCs w:val="22"/>
          <w:rtl/>
        </w:rPr>
      </w:pPr>
      <w:r>
        <w:rPr>
          <w:rtl/>
        </w:rPr>
        <w:t>קושית הרשב"א היאך איסור שמאוס מעיקרו מותר כשפגם את התערובת</w:t>
      </w:r>
    </w:p>
    <w:p w:rsidR="007809D6" w:rsidRDefault="007809D6" w:rsidP="007809D6">
      <w:pPr>
        <w:pStyle w:val="aff2"/>
        <w:numPr>
          <w:ilvl w:val="0"/>
          <w:numId w:val="3"/>
        </w:numPr>
        <w:rPr>
          <w:rFonts w:eastAsiaTheme="minorEastAsia" w:cstheme="minorBidi"/>
          <w:sz w:val="22"/>
          <w:szCs w:val="22"/>
          <w:rtl/>
        </w:rPr>
      </w:pPr>
      <w:r>
        <w:rPr>
          <w:rtl/>
        </w:rPr>
        <w:t>ביאור הרשב"א דאיסור מאוס רק בפנ"ע אסור כשהוא פגום אבל בתערובת איסורו תלוי בטעמו</w:t>
      </w:r>
    </w:p>
    <w:p w:rsidR="007809D6" w:rsidRDefault="007809D6" w:rsidP="007809D6">
      <w:pPr>
        <w:pStyle w:val="aff2"/>
        <w:numPr>
          <w:ilvl w:val="0"/>
          <w:numId w:val="3"/>
        </w:numPr>
        <w:rPr>
          <w:rFonts w:eastAsiaTheme="minorEastAsia" w:cstheme="minorBidi"/>
          <w:sz w:val="22"/>
          <w:szCs w:val="22"/>
          <w:rtl/>
        </w:rPr>
      </w:pPr>
      <w:r w:rsidRPr="00AB7C27">
        <w:rPr>
          <w:rtl/>
        </w:rPr>
        <w:t>דברי הרשב"א דאיסור מאוס שהתערב בהיתר מותר בנטל"פ רק כשיש רוב היתר כנגדו</w:t>
      </w:r>
    </w:p>
    <w:p w:rsidR="007809D6" w:rsidRDefault="007809D6" w:rsidP="007809D6">
      <w:pPr>
        <w:pStyle w:val="2"/>
        <w:rPr>
          <w:rFonts w:eastAsiaTheme="minorEastAsia" w:cstheme="minorBidi"/>
          <w:i/>
          <w:iCs/>
          <w:sz w:val="22"/>
          <w:szCs w:val="22"/>
          <w:rtl/>
        </w:rPr>
      </w:pPr>
      <w:r w:rsidRPr="00A2205B">
        <w:rPr>
          <w:rtl/>
        </w:rPr>
        <w:t>ביאורי האחרונים בהיתר נטל"פ לרשב"א</w:t>
      </w:r>
    </w:p>
    <w:p w:rsidR="007809D6" w:rsidRDefault="007809D6" w:rsidP="007809D6">
      <w:pPr>
        <w:pStyle w:val="aff4"/>
        <w:rPr>
          <w:rFonts w:eastAsiaTheme="minorEastAsia" w:cstheme="minorBidi"/>
          <w:i/>
          <w:iCs/>
          <w:noProof/>
          <w:sz w:val="22"/>
          <w:szCs w:val="22"/>
          <w:rtl/>
        </w:rPr>
      </w:pPr>
      <w:r>
        <w:rPr>
          <w:noProof/>
          <w:rtl/>
        </w:rPr>
        <w:t>ביאור החוו"ד ברשב"א דמסברא טעם פגום אינו בכלל טע"כ</w:t>
      </w:r>
    </w:p>
    <w:p w:rsidR="007809D6" w:rsidRDefault="007809D6" w:rsidP="007809D6">
      <w:pPr>
        <w:pStyle w:val="aff2"/>
        <w:numPr>
          <w:ilvl w:val="0"/>
          <w:numId w:val="3"/>
        </w:numPr>
        <w:rPr>
          <w:rFonts w:eastAsiaTheme="minorEastAsia" w:cstheme="minorBidi"/>
          <w:sz w:val="22"/>
          <w:szCs w:val="22"/>
          <w:rtl/>
        </w:rPr>
      </w:pPr>
      <w:r>
        <w:rPr>
          <w:rtl/>
        </w:rPr>
        <w:t>ביאור החוו"ד ברשב"א דממשרת ילפינן טע"כ רק במשובח וטעם פגום מותר מסברא</w:t>
      </w:r>
    </w:p>
    <w:p w:rsidR="007809D6" w:rsidRDefault="007809D6" w:rsidP="007809D6">
      <w:pPr>
        <w:pStyle w:val="aff2"/>
        <w:numPr>
          <w:ilvl w:val="0"/>
          <w:numId w:val="3"/>
        </w:numPr>
        <w:rPr>
          <w:rFonts w:eastAsiaTheme="minorEastAsia" w:cstheme="minorBidi"/>
          <w:sz w:val="22"/>
          <w:szCs w:val="22"/>
          <w:rtl/>
        </w:rPr>
      </w:pPr>
      <w:r>
        <w:rPr>
          <w:rtl/>
        </w:rPr>
        <w:t>קושית היד יהודה על החוו"ד דנטל"פ נלמד מנבילה ועוד למ"ד טע"כ דרבנן אמאי נטל"פ מותר</w:t>
      </w:r>
    </w:p>
    <w:p w:rsidR="007809D6" w:rsidRDefault="007809D6" w:rsidP="007809D6">
      <w:pPr>
        <w:pStyle w:val="aff4"/>
        <w:rPr>
          <w:rFonts w:eastAsiaTheme="minorEastAsia" w:cstheme="minorBidi"/>
          <w:i/>
          <w:iCs/>
          <w:noProof/>
          <w:sz w:val="22"/>
          <w:szCs w:val="22"/>
          <w:rtl/>
        </w:rPr>
      </w:pPr>
      <w:r>
        <w:rPr>
          <w:noProof/>
          <w:rtl/>
        </w:rPr>
        <w:t>ביאור הפרמ"ג ברשב"א דמסברא נטל"פ מותר דאין בו טע"כ</w:t>
      </w:r>
    </w:p>
    <w:p w:rsidR="007809D6" w:rsidRDefault="007809D6" w:rsidP="007809D6">
      <w:pPr>
        <w:pStyle w:val="aff2"/>
        <w:numPr>
          <w:ilvl w:val="0"/>
          <w:numId w:val="3"/>
        </w:numPr>
        <w:rPr>
          <w:rFonts w:eastAsiaTheme="minorEastAsia" w:cstheme="minorBidi"/>
          <w:sz w:val="22"/>
          <w:szCs w:val="22"/>
          <w:rtl/>
        </w:rPr>
      </w:pPr>
      <w:r>
        <w:rPr>
          <w:rtl/>
        </w:rPr>
        <w:t>ביאור הפרמ"ג דכיון דבנבילה פקע איסורה כשנפגמה אמרינן מסברא דטע"כ לא נאמר בפגום</w:t>
      </w:r>
    </w:p>
    <w:p w:rsidR="007809D6" w:rsidRDefault="007809D6" w:rsidP="007809D6">
      <w:pPr>
        <w:pStyle w:val="aff2"/>
        <w:numPr>
          <w:ilvl w:val="0"/>
          <w:numId w:val="3"/>
        </w:numPr>
        <w:rPr>
          <w:rFonts w:eastAsiaTheme="minorEastAsia" w:cstheme="minorBidi"/>
          <w:sz w:val="22"/>
          <w:szCs w:val="22"/>
          <w:rtl/>
        </w:rPr>
      </w:pPr>
      <w:r>
        <w:rPr>
          <w:rtl/>
        </w:rPr>
        <w:t>הביאור הב' בפרמ"ג דבילפותא דנבילה כלול גם דטע"כ הוא רק בטעם משובח ולא בטעם פגום</w:t>
      </w:r>
    </w:p>
    <w:p w:rsidR="007809D6" w:rsidRDefault="007809D6" w:rsidP="007809D6">
      <w:pPr>
        <w:pStyle w:val="aff4"/>
        <w:rPr>
          <w:rFonts w:eastAsiaTheme="minorEastAsia" w:cstheme="minorBidi"/>
          <w:i/>
          <w:iCs/>
          <w:noProof/>
          <w:sz w:val="22"/>
          <w:szCs w:val="22"/>
          <w:rtl/>
        </w:rPr>
      </w:pPr>
      <w:r>
        <w:rPr>
          <w:noProof/>
          <w:rtl/>
        </w:rPr>
        <w:t>ביאור הפרמ"ג ברשב"א דנטל"פ בטל ברוב אף שהטעם ניכר</w:t>
      </w:r>
    </w:p>
    <w:p w:rsidR="007809D6" w:rsidRDefault="007809D6" w:rsidP="007809D6">
      <w:pPr>
        <w:pStyle w:val="aff2"/>
        <w:numPr>
          <w:ilvl w:val="0"/>
          <w:numId w:val="3"/>
        </w:numPr>
        <w:rPr>
          <w:rFonts w:eastAsiaTheme="minorEastAsia" w:cstheme="minorBidi"/>
          <w:sz w:val="22"/>
          <w:szCs w:val="22"/>
          <w:rtl/>
        </w:rPr>
      </w:pPr>
      <w:r>
        <w:rPr>
          <w:rtl/>
        </w:rPr>
        <w:t>קושית הפרמ"ג דאף טעם פגום ניכר ולהרשב"א בטעם הניכר לא מהני ביטול ברוב לאיסור עצמו</w:t>
      </w:r>
    </w:p>
    <w:p w:rsidR="007809D6" w:rsidRDefault="007809D6" w:rsidP="007809D6">
      <w:pPr>
        <w:pStyle w:val="aff2"/>
        <w:numPr>
          <w:ilvl w:val="0"/>
          <w:numId w:val="3"/>
        </w:numPr>
        <w:rPr>
          <w:rFonts w:eastAsiaTheme="minorEastAsia" w:cstheme="minorBidi"/>
          <w:sz w:val="22"/>
          <w:szCs w:val="22"/>
          <w:rtl/>
        </w:rPr>
      </w:pPr>
      <w:r>
        <w:rPr>
          <w:rtl/>
        </w:rPr>
        <w:t>קושית הפרמ"ג דבאיסור שמאוס מעיקרו הטעם הפגום אסור והוא ניכר ולא בטל ברוב</w:t>
      </w:r>
    </w:p>
    <w:p w:rsidR="007809D6" w:rsidRDefault="007809D6" w:rsidP="007809D6">
      <w:pPr>
        <w:pStyle w:val="aff2"/>
        <w:numPr>
          <w:ilvl w:val="0"/>
          <w:numId w:val="3"/>
        </w:numPr>
        <w:rPr>
          <w:rFonts w:eastAsiaTheme="minorEastAsia" w:cstheme="minorBidi"/>
          <w:sz w:val="22"/>
          <w:szCs w:val="22"/>
          <w:rtl/>
        </w:rPr>
      </w:pPr>
      <w:r>
        <w:rPr>
          <w:rtl/>
        </w:rPr>
        <w:t>דברי הפרמ"ג דטעם פגום טעימתו לא חשיבא כהכרתו ומהני ביטול ברוב</w:t>
      </w:r>
    </w:p>
    <w:p w:rsidR="007809D6" w:rsidRDefault="007809D6" w:rsidP="007809D6">
      <w:pPr>
        <w:pStyle w:val="aff2"/>
        <w:numPr>
          <w:ilvl w:val="0"/>
          <w:numId w:val="3"/>
        </w:numPr>
        <w:rPr>
          <w:rFonts w:eastAsiaTheme="minorEastAsia" w:cstheme="minorBidi"/>
          <w:sz w:val="22"/>
          <w:szCs w:val="22"/>
          <w:rtl/>
        </w:rPr>
      </w:pPr>
      <w:r>
        <w:rPr>
          <w:rtl/>
        </w:rPr>
        <w:t>דברי הפרמ"ג דלדעת הרשב"א נטל"פ מותר אף באיסור שהגדיל את מידת ההיתר דבטל ברוב</w:t>
      </w:r>
    </w:p>
    <w:p w:rsidR="007809D6" w:rsidRDefault="007809D6" w:rsidP="007809D6">
      <w:pPr>
        <w:pStyle w:val="aff4"/>
        <w:rPr>
          <w:rFonts w:eastAsiaTheme="minorEastAsia" w:cstheme="minorBidi"/>
          <w:i/>
          <w:iCs/>
          <w:noProof/>
          <w:sz w:val="22"/>
          <w:szCs w:val="22"/>
          <w:rtl/>
        </w:rPr>
      </w:pPr>
      <w:r>
        <w:rPr>
          <w:noProof/>
          <w:rtl/>
        </w:rPr>
        <w:t>ביאור היד יהודה ברשב"א דטעם שמותר בטל ברוב אף שניכר</w:t>
      </w:r>
    </w:p>
    <w:p w:rsidR="007809D6" w:rsidRDefault="007809D6" w:rsidP="007809D6">
      <w:pPr>
        <w:pStyle w:val="aff2"/>
        <w:numPr>
          <w:ilvl w:val="0"/>
          <w:numId w:val="3"/>
        </w:numPr>
        <w:rPr>
          <w:rFonts w:eastAsiaTheme="minorEastAsia" w:cstheme="minorBidi"/>
          <w:sz w:val="22"/>
          <w:szCs w:val="22"/>
          <w:rtl/>
        </w:rPr>
      </w:pPr>
      <w:r>
        <w:rPr>
          <w:rtl/>
        </w:rPr>
        <w:t>ביאור היד יהודה דילפינן מנבילה דבקץ באכילתו מותר ובנטל"פ אף בפגום במקצת הוא קץ בו</w:t>
      </w:r>
    </w:p>
    <w:p w:rsidR="007809D6" w:rsidRDefault="007809D6" w:rsidP="007809D6">
      <w:pPr>
        <w:pStyle w:val="aff2"/>
        <w:numPr>
          <w:ilvl w:val="0"/>
          <w:numId w:val="3"/>
        </w:numPr>
        <w:rPr>
          <w:rFonts w:eastAsiaTheme="minorEastAsia" w:cstheme="minorBidi"/>
          <w:sz w:val="22"/>
          <w:szCs w:val="22"/>
          <w:rtl/>
        </w:rPr>
      </w:pPr>
      <w:r>
        <w:rPr>
          <w:rtl/>
        </w:rPr>
        <w:t>ביאור היד יהודה דטעם אסור גורם לממשות שלא תתבטל ע"י שהוא ניכר ואוסר את התערובת</w:t>
      </w:r>
    </w:p>
    <w:p w:rsidR="007809D6" w:rsidRDefault="007809D6" w:rsidP="007809D6">
      <w:pPr>
        <w:pStyle w:val="aff2"/>
        <w:numPr>
          <w:ilvl w:val="0"/>
          <w:numId w:val="3"/>
        </w:numPr>
        <w:rPr>
          <w:rFonts w:eastAsiaTheme="minorEastAsia" w:cstheme="minorBidi"/>
          <w:sz w:val="22"/>
          <w:szCs w:val="22"/>
          <w:rtl/>
        </w:rPr>
      </w:pPr>
      <w:r>
        <w:rPr>
          <w:rtl/>
        </w:rPr>
        <w:t>ביאור היד יהודה דטעם פגום שמותר מצד עצמו אין בכחו למנוע מהממשות שלא תתבטל</w:t>
      </w:r>
    </w:p>
    <w:p w:rsidR="007809D6" w:rsidRDefault="007809D6" w:rsidP="007809D6">
      <w:pPr>
        <w:pStyle w:val="aff2"/>
        <w:numPr>
          <w:ilvl w:val="0"/>
          <w:numId w:val="3"/>
        </w:numPr>
        <w:rPr>
          <w:rFonts w:eastAsiaTheme="minorEastAsia" w:cstheme="minorBidi"/>
          <w:sz w:val="22"/>
          <w:szCs w:val="22"/>
          <w:rtl/>
        </w:rPr>
      </w:pPr>
      <w:r>
        <w:rPr>
          <w:rtl/>
        </w:rPr>
        <w:t>דברי היד יהודה דלרשב"א בנטל"פ האיסור בטל ברוב ואף בהגדיל את מידת ההיתר מותר</w:t>
      </w:r>
    </w:p>
    <w:p w:rsidR="007809D6" w:rsidRDefault="007809D6" w:rsidP="007809D6">
      <w:pPr>
        <w:pStyle w:val="aff4"/>
        <w:rPr>
          <w:rFonts w:eastAsiaTheme="minorEastAsia" w:cstheme="minorBidi"/>
          <w:i/>
          <w:iCs/>
          <w:noProof/>
          <w:sz w:val="22"/>
          <w:szCs w:val="22"/>
          <w:rtl/>
        </w:rPr>
      </w:pPr>
      <w:r>
        <w:rPr>
          <w:noProof/>
          <w:rtl/>
        </w:rPr>
        <w:t>ביאור החת"ס ברשב"א דטעם שלא ניחא לו בו אינו טעם</w:t>
      </w:r>
    </w:p>
    <w:p w:rsidR="007809D6" w:rsidRDefault="007809D6" w:rsidP="007809D6">
      <w:pPr>
        <w:pStyle w:val="aff2"/>
        <w:numPr>
          <w:ilvl w:val="0"/>
          <w:numId w:val="3"/>
        </w:numPr>
        <w:rPr>
          <w:rFonts w:eastAsiaTheme="minorEastAsia" w:cstheme="minorBidi"/>
          <w:sz w:val="22"/>
          <w:szCs w:val="22"/>
          <w:rtl/>
        </w:rPr>
      </w:pPr>
      <w:r>
        <w:rPr>
          <w:rtl/>
        </w:rPr>
        <w:t>דברי החת"ס דטעם פגום שלא ניחא ליה בו חשיב כאמר קפילא שאין  בו טעם ובטל ברוב</w:t>
      </w:r>
    </w:p>
    <w:p w:rsidR="007809D6" w:rsidRDefault="007809D6" w:rsidP="007809D6">
      <w:pPr>
        <w:pStyle w:val="2"/>
        <w:rPr>
          <w:rFonts w:eastAsiaTheme="minorEastAsia" w:cstheme="minorBidi"/>
          <w:i/>
          <w:iCs/>
          <w:sz w:val="22"/>
          <w:szCs w:val="22"/>
          <w:rtl/>
        </w:rPr>
      </w:pPr>
      <w:r>
        <w:rPr>
          <w:rtl/>
        </w:rPr>
        <w:t>בביאור דברי הרשב"א דצריך רוב היתר</w:t>
      </w:r>
    </w:p>
    <w:p w:rsidR="007809D6" w:rsidRDefault="007809D6" w:rsidP="007809D6">
      <w:pPr>
        <w:pStyle w:val="aff4"/>
        <w:rPr>
          <w:rFonts w:eastAsiaTheme="minorEastAsia" w:cstheme="minorBidi"/>
          <w:i/>
          <w:iCs/>
          <w:noProof/>
          <w:sz w:val="22"/>
          <w:szCs w:val="22"/>
          <w:rtl/>
        </w:rPr>
      </w:pPr>
      <w:r>
        <w:rPr>
          <w:noProof/>
          <w:rtl/>
        </w:rPr>
        <w:t>דברי הגרעק"א בהא דנטל"פ מותר רק ברוב היתר להרשב"א</w:t>
      </w:r>
    </w:p>
    <w:p w:rsidR="007809D6" w:rsidRDefault="007809D6" w:rsidP="007809D6">
      <w:pPr>
        <w:pStyle w:val="aff2"/>
        <w:numPr>
          <w:ilvl w:val="0"/>
          <w:numId w:val="3"/>
        </w:numPr>
        <w:rPr>
          <w:rFonts w:eastAsiaTheme="minorEastAsia" w:cstheme="minorBidi"/>
          <w:sz w:val="22"/>
          <w:szCs w:val="22"/>
          <w:rtl/>
        </w:rPr>
      </w:pPr>
      <w:r>
        <w:rPr>
          <w:rtl/>
        </w:rPr>
        <w:t>דברי הגרעק"א דמודה הרשב"א דבסילק את האיסור מותר בנטל"פ אף כשאין רוב כנגד האיסור</w:t>
      </w:r>
    </w:p>
    <w:p w:rsidR="007809D6" w:rsidRDefault="007809D6" w:rsidP="007809D6">
      <w:pPr>
        <w:pStyle w:val="aff2"/>
        <w:numPr>
          <w:ilvl w:val="0"/>
          <w:numId w:val="3"/>
        </w:numPr>
        <w:rPr>
          <w:rFonts w:eastAsiaTheme="minorEastAsia" w:cstheme="minorBidi"/>
          <w:sz w:val="22"/>
          <w:szCs w:val="22"/>
          <w:rtl/>
        </w:rPr>
      </w:pPr>
      <w:r>
        <w:rPr>
          <w:rtl/>
        </w:rPr>
        <w:t>דברי הגרעק"א דבאיסור בלוע אמרינן דמסתמא היה רוב היתר כנגדו הטעם הפגום ולכן מותר</w:t>
      </w:r>
    </w:p>
    <w:p w:rsidR="007809D6" w:rsidRPr="00DB083A" w:rsidRDefault="007809D6" w:rsidP="007809D6">
      <w:pPr>
        <w:pStyle w:val="aff2"/>
        <w:numPr>
          <w:ilvl w:val="0"/>
          <w:numId w:val="3"/>
        </w:numPr>
        <w:rPr>
          <w:rFonts w:eastAsiaTheme="minorEastAsia" w:cstheme="minorBidi"/>
          <w:sz w:val="22"/>
          <w:szCs w:val="22"/>
        </w:rPr>
      </w:pPr>
      <w:r w:rsidRPr="00DB083A">
        <w:rPr>
          <w:rtl/>
        </w:rPr>
        <w:t xml:space="preserve">ביאור הפרי תואר ברשב"א דרק בטעם הבלוע א"צ רוב היתר כיון שלא נימוח גוף האיסור </w:t>
      </w:r>
    </w:p>
    <w:p w:rsidR="007809D6" w:rsidRDefault="007809D6" w:rsidP="007809D6">
      <w:pPr>
        <w:pStyle w:val="aff2"/>
        <w:numPr>
          <w:ilvl w:val="0"/>
          <w:numId w:val="3"/>
        </w:numPr>
        <w:rPr>
          <w:rFonts w:eastAsiaTheme="minorEastAsia" w:cstheme="minorBidi"/>
          <w:sz w:val="22"/>
          <w:szCs w:val="22"/>
          <w:rtl/>
        </w:rPr>
      </w:pPr>
      <w:r>
        <w:rPr>
          <w:rtl/>
        </w:rPr>
        <w:t>דברי היד יהודה דהו"א דפגום במקצת בתערובת חשיב האיסור כלא ראוי לגר ומותר בלא רוב</w:t>
      </w:r>
    </w:p>
    <w:p w:rsidR="007809D6" w:rsidRDefault="007809D6" w:rsidP="007809D6">
      <w:pPr>
        <w:pStyle w:val="aff2"/>
        <w:numPr>
          <w:ilvl w:val="0"/>
          <w:numId w:val="3"/>
        </w:numPr>
        <w:rPr>
          <w:rFonts w:eastAsiaTheme="minorEastAsia" w:cstheme="minorBidi"/>
          <w:sz w:val="22"/>
          <w:szCs w:val="22"/>
          <w:rtl/>
        </w:rPr>
      </w:pPr>
      <w:r>
        <w:rPr>
          <w:rtl/>
        </w:rPr>
        <w:t>קושית החמד"ש דלהרשב"א אי טע"כ דרבנן אין איסור בטעם וא"כ נטל"פ מותר בלא רוב</w:t>
      </w:r>
    </w:p>
    <w:p w:rsidR="007809D6" w:rsidRDefault="007809D6" w:rsidP="007809D6">
      <w:pPr>
        <w:pStyle w:val="aff2"/>
        <w:numPr>
          <w:ilvl w:val="0"/>
          <w:numId w:val="3"/>
        </w:numPr>
        <w:rPr>
          <w:rFonts w:eastAsiaTheme="minorEastAsia" w:cstheme="minorBidi"/>
          <w:sz w:val="22"/>
          <w:szCs w:val="22"/>
          <w:rtl/>
        </w:rPr>
      </w:pPr>
      <w:r>
        <w:rPr>
          <w:rtl/>
        </w:rPr>
        <w:t>ביאור החמד"ש דכיון דטע"כ דאו' אף נטל"פ חשיב טעם אלא דמהני בו ביטול ברוב</w:t>
      </w:r>
    </w:p>
    <w:p w:rsidR="007809D6" w:rsidRDefault="007809D6" w:rsidP="007809D6">
      <w:pPr>
        <w:pStyle w:val="aff4"/>
        <w:rPr>
          <w:rFonts w:eastAsiaTheme="minorEastAsia" w:cstheme="minorBidi"/>
          <w:i/>
          <w:iCs/>
          <w:noProof/>
          <w:sz w:val="22"/>
          <w:szCs w:val="22"/>
          <w:rtl/>
        </w:rPr>
      </w:pPr>
      <w:r>
        <w:rPr>
          <w:noProof/>
          <w:rtl/>
        </w:rPr>
        <w:t>דברי הט"ז דבאינו נהנה מהטעם הפגום מותר אף בפחות מרוב</w:t>
      </w:r>
    </w:p>
    <w:p w:rsidR="007809D6" w:rsidRDefault="007809D6" w:rsidP="007809D6">
      <w:pPr>
        <w:pStyle w:val="aff2"/>
        <w:numPr>
          <w:ilvl w:val="0"/>
          <w:numId w:val="3"/>
        </w:numPr>
        <w:rPr>
          <w:rFonts w:eastAsiaTheme="minorEastAsia" w:cstheme="minorBidi"/>
          <w:sz w:val="22"/>
          <w:szCs w:val="22"/>
          <w:rtl/>
        </w:rPr>
      </w:pPr>
      <w:r>
        <w:rPr>
          <w:rtl/>
        </w:rPr>
        <w:t>דברי הט"ז דברוב איסור חשיב שהאיסור בפנ"ע ודינו כנבילה ומותר רק באינו ראוי לגר</w:t>
      </w:r>
    </w:p>
    <w:p w:rsidR="007809D6" w:rsidRDefault="007809D6" w:rsidP="007809D6">
      <w:pPr>
        <w:pStyle w:val="aff2"/>
        <w:numPr>
          <w:ilvl w:val="0"/>
          <w:numId w:val="3"/>
        </w:numPr>
        <w:rPr>
          <w:rFonts w:eastAsiaTheme="minorEastAsia" w:cstheme="minorBidi"/>
          <w:sz w:val="22"/>
          <w:szCs w:val="22"/>
          <w:rtl/>
        </w:rPr>
      </w:pPr>
      <w:r>
        <w:rPr>
          <w:rtl/>
        </w:rPr>
        <w:t>דברי הט"ז דבממשו מותר בפגום במקצת רק ברוב היתר ובטעמו מותר אף כשאין רוב דאינו נהנה</w:t>
      </w:r>
    </w:p>
    <w:p w:rsidR="007809D6" w:rsidRDefault="007809D6" w:rsidP="007809D6">
      <w:pPr>
        <w:pStyle w:val="2"/>
        <w:rPr>
          <w:rFonts w:eastAsiaTheme="minorEastAsia" w:cstheme="minorBidi"/>
          <w:i/>
          <w:iCs/>
          <w:sz w:val="22"/>
          <w:szCs w:val="22"/>
          <w:rtl/>
        </w:rPr>
      </w:pPr>
      <w:r w:rsidRPr="00A2205B">
        <w:rPr>
          <w:rtl/>
        </w:rPr>
        <w:t>דעת הר"ן דהיתר נטל"פ באינו נהנה</w:t>
      </w:r>
    </w:p>
    <w:p w:rsidR="007809D6" w:rsidRDefault="007809D6" w:rsidP="007809D6">
      <w:pPr>
        <w:pStyle w:val="aff4"/>
        <w:rPr>
          <w:rFonts w:eastAsiaTheme="minorEastAsia" w:cstheme="minorBidi"/>
          <w:i/>
          <w:iCs/>
          <w:noProof/>
          <w:sz w:val="22"/>
          <w:szCs w:val="22"/>
          <w:rtl/>
        </w:rPr>
      </w:pPr>
      <w:r>
        <w:rPr>
          <w:noProof/>
          <w:rtl/>
        </w:rPr>
        <w:t>דברי הר"ן דפגום במקצת נלמד מנבילה דאינו נהנה מהאיסור</w:t>
      </w:r>
    </w:p>
    <w:p w:rsidR="007809D6" w:rsidRDefault="007809D6" w:rsidP="007809D6">
      <w:pPr>
        <w:pStyle w:val="aff2"/>
        <w:numPr>
          <w:ilvl w:val="0"/>
          <w:numId w:val="3"/>
        </w:numPr>
        <w:rPr>
          <w:rFonts w:eastAsiaTheme="minorEastAsia" w:cstheme="minorBidi"/>
          <w:sz w:val="22"/>
          <w:szCs w:val="22"/>
          <w:rtl/>
        </w:rPr>
      </w:pPr>
      <w:r>
        <w:rPr>
          <w:rtl/>
        </w:rPr>
        <w:t>קושית הר"ן היאך ילפינן מנבילה שמותרת רק באינה ראויה לגר לנטל"פ בפגום במקצת</w:t>
      </w:r>
    </w:p>
    <w:p w:rsidR="007809D6" w:rsidRDefault="007809D6" w:rsidP="007809D6">
      <w:pPr>
        <w:pStyle w:val="aff2"/>
        <w:numPr>
          <w:ilvl w:val="0"/>
          <w:numId w:val="3"/>
        </w:numPr>
      </w:pPr>
      <w:r>
        <w:rPr>
          <w:rtl/>
        </w:rPr>
        <w:t>ביאור הר"ן דילפינן מנבילה דבאינו נהנה פטור על אכילתה וה"ה בנטל"פ בתערובת דאינו נהנה</w:t>
      </w:r>
      <w:r w:rsidRPr="00D512D1">
        <w:rPr>
          <w:rtl/>
        </w:rPr>
        <w:t xml:space="preserve"> </w:t>
      </w:r>
    </w:p>
    <w:p w:rsidR="007809D6" w:rsidRDefault="007809D6" w:rsidP="007809D6">
      <w:pPr>
        <w:pStyle w:val="aff4"/>
        <w:rPr>
          <w:rFonts w:eastAsiaTheme="minorEastAsia" w:cstheme="minorBidi"/>
          <w:i/>
          <w:iCs/>
          <w:noProof/>
          <w:sz w:val="22"/>
          <w:szCs w:val="22"/>
          <w:rtl/>
        </w:rPr>
      </w:pPr>
      <w:r>
        <w:rPr>
          <w:noProof/>
          <w:rtl/>
        </w:rPr>
        <w:t>דעת הר"ן דאיסור שהגדיל את מידת ההיתר אף שפגמו אוסר</w:t>
      </w:r>
    </w:p>
    <w:p w:rsidR="007809D6" w:rsidRDefault="007809D6" w:rsidP="007809D6">
      <w:pPr>
        <w:pStyle w:val="aff2"/>
        <w:numPr>
          <w:ilvl w:val="0"/>
          <w:numId w:val="3"/>
        </w:numPr>
        <w:rPr>
          <w:rFonts w:eastAsiaTheme="minorEastAsia" w:cstheme="minorBidi"/>
          <w:sz w:val="22"/>
          <w:szCs w:val="22"/>
          <w:rtl/>
        </w:rPr>
      </w:pPr>
      <w:r>
        <w:rPr>
          <w:rtl/>
        </w:rPr>
        <w:t>דברי הר"ן דאיסור שהשביח את ההיתר שהגדיל מידתו אוסר אף שפגם את טעמו</w:t>
      </w:r>
    </w:p>
    <w:p w:rsidR="007809D6" w:rsidRDefault="007809D6" w:rsidP="007809D6">
      <w:pPr>
        <w:pStyle w:val="aff2"/>
        <w:numPr>
          <w:ilvl w:val="0"/>
          <w:numId w:val="3"/>
        </w:numPr>
        <w:rPr>
          <w:rFonts w:eastAsiaTheme="minorEastAsia" w:cstheme="minorBidi"/>
          <w:sz w:val="22"/>
          <w:szCs w:val="22"/>
          <w:rtl/>
        </w:rPr>
      </w:pPr>
      <w:r>
        <w:rPr>
          <w:rtl/>
        </w:rPr>
        <w:t>דברי הר"ן דכשיש בתערובת איסור בכזית בכא"פ אסור בפגום במקצת</w:t>
      </w:r>
    </w:p>
    <w:p w:rsidR="007809D6" w:rsidRDefault="007809D6" w:rsidP="007809D6">
      <w:pPr>
        <w:pStyle w:val="aff2"/>
        <w:numPr>
          <w:ilvl w:val="0"/>
          <w:numId w:val="3"/>
        </w:numPr>
        <w:rPr>
          <w:rFonts w:eastAsiaTheme="minorEastAsia" w:cstheme="minorBidi"/>
          <w:sz w:val="22"/>
          <w:szCs w:val="22"/>
          <w:rtl/>
        </w:rPr>
      </w:pPr>
      <w:r>
        <w:rPr>
          <w:rtl/>
        </w:rPr>
        <w:t>דחיית הר"ן לדברי הרשב"א דנטל"פ בטל ברוב דבכזית בכא"פ לא מהני ביטול ברוב</w:t>
      </w:r>
    </w:p>
    <w:p w:rsidR="007809D6" w:rsidRDefault="007809D6" w:rsidP="007809D6">
      <w:pPr>
        <w:pStyle w:val="aff2"/>
        <w:numPr>
          <w:ilvl w:val="0"/>
          <w:numId w:val="3"/>
        </w:numPr>
        <w:rPr>
          <w:rFonts w:eastAsiaTheme="minorEastAsia" w:cstheme="minorBidi"/>
          <w:sz w:val="22"/>
          <w:szCs w:val="22"/>
          <w:rtl/>
        </w:rPr>
      </w:pPr>
      <w:r>
        <w:rPr>
          <w:rtl/>
        </w:rPr>
        <w:t>דברי הר"ן דטעם שבלוע בקדירה אינו אוסר כיון שפוגם את התערובת אך הוא עצמו לא פגום</w:t>
      </w:r>
    </w:p>
    <w:p w:rsidR="007809D6" w:rsidRPr="00D512D1" w:rsidRDefault="007809D6" w:rsidP="007809D6">
      <w:pPr>
        <w:pStyle w:val="aff2"/>
        <w:numPr>
          <w:ilvl w:val="0"/>
          <w:numId w:val="3"/>
        </w:numPr>
        <w:rPr>
          <w:rtl/>
        </w:rPr>
      </w:pPr>
      <w:r w:rsidRPr="00D512D1">
        <w:rPr>
          <w:rtl/>
        </w:rPr>
        <w:t>דברי הר"ן דהיתר פגום במקצת הוא רק בטעמו ולא ממשו כיון שאינו נהנה מאיסור הטעם</w:t>
      </w:r>
    </w:p>
    <w:p w:rsidR="007809D6" w:rsidRDefault="007809D6" w:rsidP="007809D6">
      <w:pPr>
        <w:pStyle w:val="2"/>
        <w:rPr>
          <w:rFonts w:eastAsiaTheme="minorEastAsia" w:cstheme="minorBidi"/>
          <w:i/>
          <w:iCs/>
          <w:sz w:val="22"/>
          <w:szCs w:val="22"/>
          <w:rtl/>
        </w:rPr>
      </w:pPr>
      <w:r w:rsidRPr="00A2205B">
        <w:rPr>
          <w:rtl/>
        </w:rPr>
        <w:t>ביאורי האחרונים בהיתר נטל"פ להר"ן</w:t>
      </w:r>
    </w:p>
    <w:p w:rsidR="007809D6" w:rsidRDefault="007809D6" w:rsidP="007809D6">
      <w:pPr>
        <w:pStyle w:val="aff4"/>
        <w:rPr>
          <w:rtl/>
        </w:rPr>
      </w:pPr>
      <w:r>
        <w:rPr>
          <w:rFonts w:hint="cs"/>
          <w:rtl/>
        </w:rPr>
        <w:t>ביאור הלבוש דבפגום במקצת בתערובת מצטער כאינו ראוי לגר</w:t>
      </w:r>
    </w:p>
    <w:p w:rsidR="007809D6" w:rsidRDefault="007809D6" w:rsidP="007809D6">
      <w:pPr>
        <w:pStyle w:val="aff2"/>
        <w:numPr>
          <w:ilvl w:val="0"/>
          <w:numId w:val="3"/>
        </w:numPr>
        <w:rPr>
          <w:rtl/>
        </w:rPr>
      </w:pPr>
      <w:r>
        <w:rPr>
          <w:rFonts w:hint="cs"/>
          <w:rtl/>
        </w:rPr>
        <w:t>ביאור הלבוש דבנבילה הראויה לגר הוא נהנה ובפגום במקצת הוא מצטער כנבילה שאינה ראויה</w:t>
      </w:r>
    </w:p>
    <w:p w:rsidR="007809D6" w:rsidRDefault="007809D6" w:rsidP="007809D6">
      <w:pPr>
        <w:pStyle w:val="aff4"/>
        <w:rPr>
          <w:rFonts w:eastAsiaTheme="minorEastAsia" w:cstheme="minorBidi"/>
          <w:i/>
          <w:iCs/>
          <w:noProof/>
          <w:sz w:val="22"/>
          <w:szCs w:val="22"/>
          <w:rtl/>
        </w:rPr>
      </w:pPr>
      <w:r>
        <w:rPr>
          <w:noProof/>
          <w:rtl/>
        </w:rPr>
        <w:t>ביאור הפרמ"ג בר"ן דבאינו נהנה ילפינן מנבילה דמותר</w:t>
      </w:r>
    </w:p>
    <w:p w:rsidR="007809D6" w:rsidRDefault="007809D6" w:rsidP="007809D6">
      <w:pPr>
        <w:pStyle w:val="aff2"/>
        <w:numPr>
          <w:ilvl w:val="0"/>
          <w:numId w:val="3"/>
        </w:numPr>
        <w:rPr>
          <w:rFonts w:eastAsiaTheme="minorEastAsia" w:cstheme="minorBidi"/>
          <w:sz w:val="22"/>
          <w:szCs w:val="22"/>
          <w:rtl/>
        </w:rPr>
      </w:pPr>
      <w:r>
        <w:rPr>
          <w:rtl/>
        </w:rPr>
        <w:t>ביאור הפרמ"ג בר"ן דמנבילה ילפינן דכשאינו נהנה מהאיסור מותר וה"ה בטעם הפגום במקצת</w:t>
      </w:r>
    </w:p>
    <w:p w:rsidR="007809D6" w:rsidRDefault="007809D6" w:rsidP="007809D6">
      <w:pPr>
        <w:pStyle w:val="aff2"/>
        <w:numPr>
          <w:ilvl w:val="0"/>
          <w:numId w:val="3"/>
        </w:numPr>
        <w:rPr>
          <w:rFonts w:eastAsiaTheme="minorEastAsia" w:cstheme="minorBidi"/>
          <w:sz w:val="22"/>
          <w:szCs w:val="22"/>
          <w:rtl/>
        </w:rPr>
      </w:pPr>
      <w:r>
        <w:rPr>
          <w:rtl/>
        </w:rPr>
        <w:lastRenderedPageBreak/>
        <w:t>ביאור הפרמ"ג בהר"ן דבנהנה מהאיסור לא ילפינן מנבילה ואינו בטל ברוב דטעימתו זו הכרתו</w:t>
      </w:r>
    </w:p>
    <w:p w:rsidR="007809D6" w:rsidRDefault="007809D6" w:rsidP="007809D6">
      <w:pPr>
        <w:pStyle w:val="aff2"/>
        <w:numPr>
          <w:ilvl w:val="0"/>
          <w:numId w:val="3"/>
        </w:numPr>
        <w:rPr>
          <w:rFonts w:eastAsiaTheme="minorEastAsia" w:cstheme="minorBidi"/>
          <w:sz w:val="22"/>
          <w:szCs w:val="22"/>
          <w:rtl/>
        </w:rPr>
      </w:pPr>
      <w:r>
        <w:rPr>
          <w:rtl/>
        </w:rPr>
        <w:t>קושית הפרמ"ג דבאיסור מאוס לא שייך לומר דאינו נהנה מהאיסור דזה גופא אסרה תורה</w:t>
      </w:r>
    </w:p>
    <w:p w:rsidR="007809D6" w:rsidRDefault="007809D6" w:rsidP="007809D6">
      <w:pPr>
        <w:pStyle w:val="aff4"/>
        <w:rPr>
          <w:rFonts w:eastAsiaTheme="minorEastAsia" w:cstheme="minorBidi"/>
          <w:i/>
          <w:iCs/>
          <w:noProof/>
          <w:sz w:val="22"/>
          <w:szCs w:val="22"/>
          <w:rtl/>
        </w:rPr>
      </w:pPr>
      <w:r>
        <w:rPr>
          <w:noProof/>
          <w:rtl/>
        </w:rPr>
        <w:t>ביאור הגרעק"א בר"ן דבאינו נהנה מותר אף כשאין רוב היתר</w:t>
      </w:r>
    </w:p>
    <w:p w:rsidR="007809D6" w:rsidRDefault="007809D6" w:rsidP="007809D6">
      <w:pPr>
        <w:pStyle w:val="aff2"/>
        <w:numPr>
          <w:ilvl w:val="0"/>
          <w:numId w:val="3"/>
        </w:numPr>
        <w:rPr>
          <w:rFonts w:eastAsiaTheme="minorEastAsia" w:cstheme="minorBidi"/>
          <w:sz w:val="22"/>
          <w:szCs w:val="22"/>
          <w:rtl/>
        </w:rPr>
      </w:pPr>
      <w:r>
        <w:rPr>
          <w:rtl/>
        </w:rPr>
        <w:t>ביאור הגרעק"א בר"ן דההיתר בנטל"פ אינו מדין ביטול אלא ילפינן מנבילה דבאינו נהנה מותר</w:t>
      </w:r>
    </w:p>
    <w:p w:rsidR="007809D6" w:rsidRDefault="007809D6" w:rsidP="007809D6">
      <w:pPr>
        <w:pStyle w:val="aff2"/>
        <w:numPr>
          <w:ilvl w:val="0"/>
          <w:numId w:val="3"/>
        </w:numPr>
        <w:rPr>
          <w:rFonts w:eastAsiaTheme="minorEastAsia" w:cstheme="minorBidi"/>
          <w:sz w:val="22"/>
          <w:szCs w:val="22"/>
          <w:rtl/>
        </w:rPr>
      </w:pPr>
      <w:r>
        <w:rPr>
          <w:rtl/>
        </w:rPr>
        <w:t>דברי הגרעק"א דנבילה שפגומה במקצת אסורה דאכלה מרצונו ואחשביה ונהנה מהאיסור</w:t>
      </w:r>
    </w:p>
    <w:p w:rsidR="007809D6" w:rsidRDefault="007809D6" w:rsidP="007809D6">
      <w:pPr>
        <w:pStyle w:val="aff2"/>
        <w:numPr>
          <w:ilvl w:val="0"/>
          <w:numId w:val="3"/>
        </w:numPr>
        <w:rPr>
          <w:rFonts w:eastAsiaTheme="minorEastAsia" w:cstheme="minorBidi"/>
          <w:sz w:val="22"/>
          <w:szCs w:val="22"/>
          <w:rtl/>
        </w:rPr>
      </w:pPr>
      <w:r>
        <w:rPr>
          <w:rtl/>
        </w:rPr>
        <w:t>ביאור הגרעק"א דבפגום במקצת שאינו נהנה ילפינן מנבילה דמותר דהוא מצטער ולא אחשביה</w:t>
      </w:r>
    </w:p>
    <w:p w:rsidR="007809D6" w:rsidRDefault="007809D6" w:rsidP="007809D6">
      <w:pPr>
        <w:pStyle w:val="aff2"/>
        <w:numPr>
          <w:ilvl w:val="0"/>
          <w:numId w:val="3"/>
        </w:numPr>
        <w:rPr>
          <w:rFonts w:eastAsiaTheme="minorEastAsia" w:cstheme="minorBidi"/>
          <w:sz w:val="22"/>
          <w:szCs w:val="22"/>
          <w:rtl/>
        </w:rPr>
      </w:pPr>
      <w:r>
        <w:rPr>
          <w:rtl/>
        </w:rPr>
        <w:t>דברי הגרעק"א דכשיש רוב נטל"פ מותר מסברא וכשאין רוב ילפינן מנבילה דאינו נהנה ומותר</w:t>
      </w:r>
    </w:p>
    <w:p w:rsidR="007809D6" w:rsidRDefault="007809D6" w:rsidP="007809D6">
      <w:pPr>
        <w:pStyle w:val="aff2"/>
        <w:numPr>
          <w:ilvl w:val="0"/>
          <w:numId w:val="3"/>
        </w:numPr>
        <w:rPr>
          <w:rFonts w:eastAsiaTheme="minorEastAsia" w:cstheme="minorBidi"/>
          <w:sz w:val="22"/>
          <w:szCs w:val="22"/>
          <w:rtl/>
        </w:rPr>
      </w:pPr>
      <w:r>
        <w:rPr>
          <w:rtl/>
        </w:rPr>
        <w:t>דברי הגרעק"א דלהר"ן נטל"פ מותר אף כשאין רוב היתר וכן במקום שלא מהני ביטול ברוב</w:t>
      </w:r>
    </w:p>
    <w:p w:rsidR="007809D6" w:rsidRDefault="007809D6" w:rsidP="007809D6">
      <w:pPr>
        <w:pStyle w:val="aff4"/>
        <w:rPr>
          <w:rFonts w:eastAsiaTheme="minorEastAsia" w:cstheme="minorBidi"/>
          <w:i/>
          <w:iCs/>
          <w:noProof/>
          <w:sz w:val="22"/>
          <w:szCs w:val="22"/>
          <w:rtl/>
        </w:rPr>
      </w:pPr>
      <w:r>
        <w:rPr>
          <w:noProof/>
          <w:rtl/>
        </w:rPr>
        <w:t>ביאור הגר"א והיד יהודה בר"ן דהיתר נטל"פ רק ברוב היתר</w:t>
      </w:r>
    </w:p>
    <w:p w:rsidR="007809D6" w:rsidRDefault="007809D6" w:rsidP="007809D6">
      <w:pPr>
        <w:pStyle w:val="aff2"/>
        <w:numPr>
          <w:ilvl w:val="0"/>
          <w:numId w:val="3"/>
        </w:numPr>
        <w:rPr>
          <w:rFonts w:eastAsiaTheme="minorEastAsia" w:cstheme="minorBidi"/>
          <w:sz w:val="22"/>
          <w:szCs w:val="22"/>
          <w:rtl/>
        </w:rPr>
      </w:pPr>
      <w:r>
        <w:rPr>
          <w:rtl/>
        </w:rPr>
        <w:t>דברי הגר"א בר"ן דבנטל"פ בתערובת אם אין רוב היתר האיסור אינו מתבטל ודינו כאיסור בעין</w:t>
      </w:r>
    </w:p>
    <w:p w:rsidR="007809D6" w:rsidRDefault="007809D6" w:rsidP="007809D6">
      <w:pPr>
        <w:pStyle w:val="aff2"/>
        <w:numPr>
          <w:ilvl w:val="0"/>
          <w:numId w:val="3"/>
        </w:numPr>
        <w:rPr>
          <w:rFonts w:eastAsiaTheme="minorEastAsia" w:cstheme="minorBidi"/>
          <w:sz w:val="22"/>
          <w:szCs w:val="22"/>
          <w:rtl/>
        </w:rPr>
      </w:pPr>
      <w:r>
        <w:rPr>
          <w:rtl/>
        </w:rPr>
        <w:t>דברי היד יהודה דאף להר"ן דפגום במקצת נלמד מנבילה אם אין רוב היתר האיסור עצמו אוסר</w:t>
      </w:r>
    </w:p>
    <w:p w:rsidR="007809D6" w:rsidRDefault="007809D6" w:rsidP="007809D6">
      <w:pPr>
        <w:pStyle w:val="aff4"/>
        <w:rPr>
          <w:rFonts w:eastAsiaTheme="minorEastAsia" w:cstheme="minorBidi"/>
          <w:i/>
          <w:iCs/>
          <w:noProof/>
          <w:sz w:val="22"/>
          <w:szCs w:val="22"/>
          <w:rtl/>
        </w:rPr>
      </w:pPr>
      <w:r>
        <w:rPr>
          <w:noProof/>
          <w:rtl/>
        </w:rPr>
        <w:t>דברי החזו"א בר"ן דמודה לרשב"א דנטל"פ מותר רק ברוב היתר</w:t>
      </w:r>
    </w:p>
    <w:p w:rsidR="007809D6" w:rsidRDefault="007809D6" w:rsidP="007809D6">
      <w:pPr>
        <w:pStyle w:val="aff2"/>
        <w:numPr>
          <w:ilvl w:val="0"/>
          <w:numId w:val="3"/>
        </w:numPr>
        <w:rPr>
          <w:rFonts w:eastAsiaTheme="minorEastAsia" w:cstheme="minorBidi"/>
          <w:sz w:val="22"/>
          <w:szCs w:val="22"/>
          <w:rtl/>
        </w:rPr>
      </w:pPr>
      <w:r>
        <w:rPr>
          <w:rtl/>
        </w:rPr>
        <w:t>דברי החזו"א בר"ן דרק כשהאיסור התבטל ברוב ההיתר ילפינן מנבילה דבאינו נהנה אין טע"כ</w:t>
      </w:r>
    </w:p>
    <w:p w:rsidR="007809D6" w:rsidRDefault="007809D6" w:rsidP="007809D6">
      <w:pPr>
        <w:pStyle w:val="aff2"/>
        <w:numPr>
          <w:ilvl w:val="0"/>
          <w:numId w:val="3"/>
        </w:numPr>
        <w:rPr>
          <w:rFonts w:eastAsiaTheme="minorEastAsia" w:cstheme="minorBidi"/>
          <w:sz w:val="22"/>
          <w:szCs w:val="22"/>
          <w:rtl/>
        </w:rPr>
      </w:pPr>
      <w:r>
        <w:rPr>
          <w:rtl/>
        </w:rPr>
        <w:t>ביאור החזו"א בר"ן דבאיסור מרובה חשיב כאוכל את האיסור ומנבילה ילפינן רק להתיר טע"כ</w:t>
      </w:r>
    </w:p>
    <w:p w:rsidR="007809D6" w:rsidRDefault="007809D6" w:rsidP="007809D6">
      <w:pPr>
        <w:pStyle w:val="aff2"/>
        <w:numPr>
          <w:ilvl w:val="0"/>
          <w:numId w:val="3"/>
        </w:numPr>
        <w:rPr>
          <w:rFonts w:eastAsiaTheme="minorEastAsia" w:cstheme="minorBidi"/>
          <w:sz w:val="22"/>
          <w:szCs w:val="22"/>
          <w:rtl/>
        </w:rPr>
      </w:pPr>
      <w:r>
        <w:rPr>
          <w:rtl/>
        </w:rPr>
        <w:t>דברי החזו"א דכן מוכח מהא דלא חלק הר"ן בפירוש על דברי הרשב"א שצריך רוב היתר</w:t>
      </w:r>
    </w:p>
    <w:p w:rsidR="007809D6" w:rsidRDefault="007809D6" w:rsidP="007809D6">
      <w:pPr>
        <w:pStyle w:val="aff2"/>
        <w:numPr>
          <w:ilvl w:val="0"/>
          <w:numId w:val="3"/>
        </w:numPr>
        <w:rPr>
          <w:rFonts w:eastAsiaTheme="minorEastAsia" w:cstheme="minorBidi"/>
          <w:sz w:val="22"/>
          <w:szCs w:val="22"/>
          <w:rtl/>
        </w:rPr>
      </w:pPr>
      <w:r>
        <w:rPr>
          <w:rtl/>
        </w:rPr>
        <w:t>דברי החזו"א דמדברי הר"ן באיסור מאוס מוכח דנטל"פ מותר רק ברוב היתר אף דאינו נהנה</w:t>
      </w:r>
    </w:p>
    <w:p w:rsidR="007809D6" w:rsidRDefault="007809D6" w:rsidP="007809D6">
      <w:pPr>
        <w:pStyle w:val="aff4"/>
        <w:rPr>
          <w:rFonts w:eastAsiaTheme="minorEastAsia" w:cstheme="minorBidi"/>
          <w:i/>
          <w:iCs/>
          <w:noProof/>
          <w:sz w:val="22"/>
          <w:szCs w:val="22"/>
          <w:rtl/>
        </w:rPr>
      </w:pPr>
      <w:r>
        <w:rPr>
          <w:noProof/>
          <w:rtl/>
        </w:rPr>
        <w:t>ביאור היד יהודה בר"ן דטעם מותר גורם שהאיסור לא יתבטל</w:t>
      </w:r>
    </w:p>
    <w:p w:rsidR="007809D6" w:rsidRDefault="007809D6" w:rsidP="007809D6">
      <w:pPr>
        <w:pStyle w:val="aff2"/>
        <w:numPr>
          <w:ilvl w:val="0"/>
          <w:numId w:val="3"/>
        </w:numPr>
        <w:rPr>
          <w:rFonts w:eastAsiaTheme="minorEastAsia" w:cstheme="minorBidi"/>
          <w:sz w:val="22"/>
          <w:szCs w:val="22"/>
          <w:rtl/>
        </w:rPr>
      </w:pPr>
      <w:r>
        <w:rPr>
          <w:rtl/>
        </w:rPr>
        <w:t>ביאור היד יהודה בר"ן דאף בטעם מותר ל"מ ביטול ברוב וכטעמו וממשו למ"ד דטע"כ דרבנן</w:t>
      </w:r>
    </w:p>
    <w:p w:rsidR="007809D6" w:rsidRDefault="007809D6" w:rsidP="007809D6">
      <w:pPr>
        <w:pStyle w:val="aff4"/>
        <w:rPr>
          <w:rFonts w:eastAsiaTheme="minorEastAsia" w:cstheme="minorBidi"/>
          <w:i/>
          <w:iCs/>
          <w:noProof/>
          <w:sz w:val="22"/>
          <w:szCs w:val="22"/>
          <w:rtl/>
        </w:rPr>
      </w:pPr>
      <w:r>
        <w:rPr>
          <w:noProof/>
          <w:rtl/>
        </w:rPr>
        <w:t>ביאור היד יהודה בר"ן דכל שאינו נהנה כלל מהאיסור מותר</w:t>
      </w:r>
    </w:p>
    <w:p w:rsidR="007809D6" w:rsidRDefault="007809D6" w:rsidP="007809D6">
      <w:pPr>
        <w:pStyle w:val="aff2"/>
        <w:numPr>
          <w:ilvl w:val="0"/>
          <w:numId w:val="3"/>
        </w:numPr>
        <w:rPr>
          <w:rFonts w:eastAsiaTheme="minorEastAsia" w:cstheme="minorBidi"/>
          <w:sz w:val="22"/>
          <w:szCs w:val="22"/>
          <w:rtl/>
        </w:rPr>
      </w:pPr>
      <w:r>
        <w:rPr>
          <w:rtl/>
        </w:rPr>
        <w:t>ביאור היד יהודה בר"ן דילפינן מנבילה דהאיסור עצמו מותר דאינו נהנה ואינו שבע יותר מחמתו</w:t>
      </w:r>
    </w:p>
    <w:p w:rsidR="007809D6" w:rsidRDefault="007809D6" w:rsidP="007809D6">
      <w:pPr>
        <w:pStyle w:val="aff2"/>
        <w:numPr>
          <w:ilvl w:val="0"/>
          <w:numId w:val="3"/>
        </w:numPr>
        <w:rPr>
          <w:rFonts w:eastAsiaTheme="minorEastAsia" w:cstheme="minorBidi"/>
          <w:sz w:val="22"/>
          <w:szCs w:val="22"/>
          <w:rtl/>
        </w:rPr>
      </w:pPr>
      <w:r>
        <w:rPr>
          <w:rtl/>
        </w:rPr>
        <w:t>ביאור היד יהודה בר"ן דבהגדיל מידתו אסור רק כשניחא לו בשבח המידה יותר מבפגימת הטעם</w:t>
      </w:r>
    </w:p>
    <w:p w:rsidR="007809D6" w:rsidRDefault="007809D6" w:rsidP="007809D6">
      <w:pPr>
        <w:pStyle w:val="aff2"/>
        <w:numPr>
          <w:ilvl w:val="0"/>
          <w:numId w:val="3"/>
        </w:numPr>
        <w:rPr>
          <w:rFonts w:eastAsiaTheme="minorEastAsia" w:cstheme="minorBidi"/>
          <w:sz w:val="22"/>
          <w:szCs w:val="22"/>
          <w:rtl/>
        </w:rPr>
      </w:pPr>
      <w:r>
        <w:rPr>
          <w:rtl/>
        </w:rPr>
        <w:t>דברי היד יהודה דלהרשב"א גוף האיסור עדיין אסור ובטל ברוב ולהר"ן גוף האיסור מותר</w:t>
      </w:r>
    </w:p>
    <w:p w:rsidR="007809D6" w:rsidRDefault="007809D6" w:rsidP="007809D6">
      <w:pPr>
        <w:pStyle w:val="2"/>
        <w:rPr>
          <w:rFonts w:eastAsiaTheme="minorEastAsia" w:cstheme="minorBidi"/>
          <w:i/>
          <w:iCs/>
          <w:sz w:val="22"/>
          <w:szCs w:val="22"/>
          <w:rtl/>
        </w:rPr>
      </w:pPr>
      <w:r>
        <w:rPr>
          <w:rtl/>
        </w:rPr>
        <w:t>דעת הראב"ד דנטל"פ הוא בלא ראוי לגר</w:t>
      </w:r>
    </w:p>
    <w:p w:rsidR="007809D6" w:rsidRDefault="007809D6" w:rsidP="007809D6">
      <w:pPr>
        <w:pStyle w:val="aff4"/>
        <w:rPr>
          <w:rFonts w:eastAsiaTheme="minorEastAsia" w:cstheme="minorBidi"/>
          <w:i/>
          <w:iCs/>
          <w:noProof/>
          <w:sz w:val="22"/>
          <w:szCs w:val="22"/>
          <w:rtl/>
        </w:rPr>
      </w:pPr>
      <w:r>
        <w:rPr>
          <w:noProof/>
          <w:rtl/>
        </w:rPr>
        <w:t>ביאור הראב"ד דמנבילה ילפינן להתיר נטל"פ רק בפגום לגמרי</w:t>
      </w:r>
    </w:p>
    <w:p w:rsidR="007809D6" w:rsidRDefault="007809D6" w:rsidP="007809D6">
      <w:pPr>
        <w:pStyle w:val="aff2"/>
        <w:numPr>
          <w:ilvl w:val="0"/>
          <w:numId w:val="3"/>
        </w:numPr>
        <w:rPr>
          <w:rFonts w:eastAsiaTheme="minorEastAsia" w:cstheme="minorBidi"/>
          <w:sz w:val="22"/>
          <w:szCs w:val="22"/>
          <w:rtl/>
        </w:rPr>
      </w:pPr>
      <w:r>
        <w:rPr>
          <w:rtl/>
        </w:rPr>
        <w:t>ביאור הראב"ד בל"</w:t>
      </w:r>
      <w:r>
        <w:rPr>
          <w:rFonts w:hint="cs"/>
          <w:rtl/>
        </w:rPr>
        <w:t>ב</w:t>
      </w:r>
      <w:r>
        <w:rPr>
          <w:rtl/>
        </w:rPr>
        <w:t xml:space="preserve"> דר"ל דכל שהאיסור ריבה את הפגם מותר אף שאין כל הפגם מהאיסור</w:t>
      </w:r>
    </w:p>
    <w:p w:rsidR="007809D6" w:rsidRDefault="007809D6" w:rsidP="007809D6">
      <w:pPr>
        <w:pStyle w:val="aff2"/>
        <w:numPr>
          <w:ilvl w:val="0"/>
          <w:numId w:val="3"/>
        </w:numPr>
        <w:rPr>
          <w:rFonts w:eastAsiaTheme="minorEastAsia" w:cstheme="minorBidi"/>
          <w:sz w:val="22"/>
          <w:szCs w:val="22"/>
          <w:rtl/>
        </w:rPr>
      </w:pPr>
      <w:r>
        <w:rPr>
          <w:rtl/>
        </w:rPr>
        <w:t>דברי הראב"ד דמוכח מל"ב דר"ל דנטל"פ נלמד מנבילה ומותר רק באינו ראוי לגר</w:t>
      </w:r>
    </w:p>
    <w:p w:rsidR="007809D6" w:rsidRDefault="007809D6" w:rsidP="007809D6">
      <w:pPr>
        <w:pStyle w:val="aff2"/>
        <w:numPr>
          <w:ilvl w:val="0"/>
          <w:numId w:val="3"/>
        </w:numPr>
        <w:rPr>
          <w:rFonts w:eastAsiaTheme="minorEastAsia" w:cstheme="minorBidi"/>
          <w:sz w:val="22"/>
          <w:szCs w:val="22"/>
          <w:rtl/>
        </w:rPr>
      </w:pPr>
      <w:r>
        <w:rPr>
          <w:rtl/>
        </w:rPr>
        <w:t>ביאור הר"ן והריטב"א בראב"ד דכוונת ר"ל לומר דאינה נאכלת לגמרי</w:t>
      </w:r>
    </w:p>
    <w:p w:rsidR="007809D6" w:rsidRDefault="007809D6" w:rsidP="007809D6">
      <w:pPr>
        <w:pStyle w:val="aff2"/>
        <w:numPr>
          <w:ilvl w:val="0"/>
          <w:numId w:val="3"/>
        </w:numPr>
        <w:rPr>
          <w:rFonts w:eastAsiaTheme="minorEastAsia" w:cstheme="minorBidi"/>
          <w:sz w:val="22"/>
          <w:szCs w:val="22"/>
          <w:rtl/>
        </w:rPr>
      </w:pPr>
      <w:r>
        <w:rPr>
          <w:rtl/>
        </w:rPr>
        <w:t>קושית הראב"ד דבקדירה דלאו בת יומא מוכח דאף בפגם מועט מותר והיאך ילפינן מנבילה</w:t>
      </w:r>
    </w:p>
    <w:p w:rsidR="007809D6" w:rsidRDefault="007809D6" w:rsidP="007809D6">
      <w:pPr>
        <w:pStyle w:val="aff2"/>
        <w:numPr>
          <w:ilvl w:val="0"/>
          <w:numId w:val="3"/>
        </w:numPr>
        <w:rPr>
          <w:rFonts w:eastAsiaTheme="minorEastAsia" w:cstheme="minorBidi"/>
          <w:sz w:val="22"/>
          <w:szCs w:val="22"/>
          <w:rtl/>
        </w:rPr>
      </w:pPr>
      <w:r>
        <w:rPr>
          <w:rtl/>
        </w:rPr>
        <w:t>דברי הראב"ד דדעת רבנן לקמן דפגום במקצת מותר אך לדידן ילפינן מנבילה דאסור</w:t>
      </w:r>
    </w:p>
    <w:p w:rsidR="007809D6" w:rsidRDefault="007809D6" w:rsidP="007809D6">
      <w:pPr>
        <w:pStyle w:val="aff2"/>
        <w:numPr>
          <w:ilvl w:val="0"/>
          <w:numId w:val="3"/>
        </w:numPr>
        <w:rPr>
          <w:rFonts w:eastAsiaTheme="minorEastAsia" w:cstheme="minorBidi"/>
          <w:sz w:val="22"/>
          <w:szCs w:val="22"/>
          <w:rtl/>
        </w:rPr>
      </w:pPr>
      <w:r>
        <w:rPr>
          <w:rtl/>
        </w:rPr>
        <w:t>קושית הראב"ד דאי לרבנן פגום במקצת מותר א"כ אין חילוק בין בת יומא ללא בת יומא</w:t>
      </w:r>
    </w:p>
    <w:p w:rsidR="007809D6" w:rsidRDefault="007809D6" w:rsidP="007809D6">
      <w:pPr>
        <w:pStyle w:val="aff2"/>
        <w:numPr>
          <w:ilvl w:val="0"/>
          <w:numId w:val="3"/>
        </w:numPr>
        <w:rPr>
          <w:rFonts w:eastAsiaTheme="minorEastAsia" w:cstheme="minorBidi"/>
          <w:sz w:val="22"/>
          <w:szCs w:val="22"/>
          <w:rtl/>
        </w:rPr>
      </w:pPr>
      <w:r>
        <w:rPr>
          <w:rtl/>
        </w:rPr>
        <w:t>דברי הראב"ד דהא דמבואר בקדירה בת יומא דפגום במקצת מותר הם דברי תלמיד</w:t>
      </w:r>
    </w:p>
    <w:p w:rsidR="007809D6" w:rsidRDefault="007809D6" w:rsidP="007809D6">
      <w:pPr>
        <w:pStyle w:val="aff2"/>
        <w:numPr>
          <w:ilvl w:val="0"/>
          <w:numId w:val="3"/>
        </w:numPr>
        <w:rPr>
          <w:rFonts w:eastAsiaTheme="minorEastAsia" w:cstheme="minorBidi"/>
          <w:sz w:val="22"/>
          <w:szCs w:val="22"/>
          <w:rtl/>
        </w:rPr>
      </w:pPr>
      <w:r>
        <w:rPr>
          <w:rtl/>
        </w:rPr>
        <w:t>התירוץ הב' בראב"ד דהגמ' לקמן היא לדעת ר"מ אבל לר"ש אסור בפגום במקצת</w:t>
      </w:r>
    </w:p>
    <w:p w:rsidR="007809D6" w:rsidRDefault="007809D6" w:rsidP="007809D6">
      <w:pPr>
        <w:pStyle w:val="aff2"/>
        <w:numPr>
          <w:ilvl w:val="0"/>
          <w:numId w:val="3"/>
        </w:numPr>
        <w:rPr>
          <w:rFonts w:eastAsiaTheme="minorEastAsia" w:cstheme="minorBidi"/>
          <w:sz w:val="22"/>
          <w:szCs w:val="22"/>
          <w:rtl/>
        </w:rPr>
      </w:pPr>
      <w:r>
        <w:rPr>
          <w:rtl/>
        </w:rPr>
        <w:t>קושית הראב"ד דמשמן ודבש של עכו"ם ומיין בגרוגרות מוכח דפגו במקצת מותר</w:t>
      </w:r>
    </w:p>
    <w:p w:rsidR="007809D6" w:rsidRDefault="007809D6" w:rsidP="007809D6">
      <w:pPr>
        <w:pStyle w:val="2"/>
        <w:rPr>
          <w:rFonts w:eastAsiaTheme="minorEastAsia" w:cstheme="minorBidi"/>
          <w:i/>
          <w:iCs/>
          <w:sz w:val="22"/>
          <w:szCs w:val="22"/>
          <w:rtl/>
        </w:rPr>
      </w:pPr>
      <w:r>
        <w:rPr>
          <w:rtl/>
        </w:rPr>
        <w:t>דעת הרא"ה דהאיסור עצמו פגום לגמרי</w:t>
      </w:r>
    </w:p>
    <w:p w:rsidR="007809D6" w:rsidRDefault="007809D6" w:rsidP="007809D6">
      <w:pPr>
        <w:pStyle w:val="aff4"/>
        <w:rPr>
          <w:rFonts w:eastAsiaTheme="minorEastAsia" w:cstheme="minorBidi"/>
          <w:i/>
          <w:iCs/>
          <w:noProof/>
          <w:sz w:val="22"/>
          <w:szCs w:val="22"/>
          <w:rtl/>
        </w:rPr>
      </w:pPr>
      <w:r>
        <w:rPr>
          <w:noProof/>
          <w:rtl/>
        </w:rPr>
        <w:t>קושית הרא"ה על הרשב"א דהיאך ילפינן פגום במקצת מנבילה</w:t>
      </w:r>
    </w:p>
    <w:p w:rsidR="007809D6" w:rsidRDefault="007809D6" w:rsidP="007809D6">
      <w:pPr>
        <w:pStyle w:val="aff2"/>
        <w:numPr>
          <w:ilvl w:val="0"/>
          <w:numId w:val="3"/>
        </w:numPr>
        <w:rPr>
          <w:rFonts w:eastAsiaTheme="minorEastAsia" w:cstheme="minorBidi"/>
          <w:sz w:val="22"/>
          <w:szCs w:val="22"/>
          <w:rtl/>
        </w:rPr>
      </w:pPr>
      <w:r>
        <w:rPr>
          <w:rtl/>
        </w:rPr>
        <w:t>קושית הרא"ה דאי טעם פגום אינו נחשב טעם היאך ילפינן לה מנבילה למ"ד דטע"כ דאו'</w:t>
      </w:r>
    </w:p>
    <w:p w:rsidR="007809D6" w:rsidRDefault="007809D6" w:rsidP="007809D6">
      <w:pPr>
        <w:pStyle w:val="aff4"/>
        <w:rPr>
          <w:rFonts w:eastAsiaTheme="minorEastAsia" w:cstheme="minorBidi"/>
          <w:i/>
          <w:iCs/>
          <w:noProof/>
          <w:sz w:val="22"/>
          <w:szCs w:val="22"/>
          <w:rtl/>
        </w:rPr>
      </w:pPr>
      <w:r>
        <w:rPr>
          <w:noProof/>
          <w:rtl/>
        </w:rPr>
        <w:t>דברי הרא"ה דרק באינו ראוי לגר מותר אף דנאכל עם ההיתר</w:t>
      </w:r>
    </w:p>
    <w:p w:rsidR="007809D6" w:rsidRDefault="007809D6" w:rsidP="007809D6">
      <w:pPr>
        <w:pStyle w:val="aff2"/>
        <w:numPr>
          <w:ilvl w:val="0"/>
          <w:numId w:val="3"/>
        </w:numPr>
        <w:rPr>
          <w:rFonts w:eastAsiaTheme="minorEastAsia" w:cstheme="minorBidi"/>
          <w:sz w:val="22"/>
          <w:szCs w:val="22"/>
          <w:rtl/>
        </w:rPr>
      </w:pPr>
      <w:r>
        <w:rPr>
          <w:rtl/>
        </w:rPr>
        <w:t>דברי הרא"ה דהיתר נטל"פ הוא רק כשהאיסור אינו ראוי לגר אף דבתערובת לא ניכר דאינו ראוי</w:t>
      </w:r>
    </w:p>
    <w:p w:rsidR="007809D6" w:rsidRDefault="007809D6" w:rsidP="007809D6">
      <w:pPr>
        <w:pStyle w:val="aff4"/>
        <w:rPr>
          <w:rFonts w:eastAsiaTheme="minorEastAsia" w:cstheme="minorBidi"/>
          <w:i/>
          <w:iCs/>
          <w:noProof/>
          <w:sz w:val="22"/>
          <w:szCs w:val="22"/>
          <w:rtl/>
        </w:rPr>
      </w:pPr>
      <w:r>
        <w:rPr>
          <w:noProof/>
          <w:rtl/>
        </w:rPr>
        <w:t>דברי הרא"ה דבטעמו ולא ממשו פגום קצת מותר דטע"כ דרבנן</w:t>
      </w:r>
    </w:p>
    <w:p w:rsidR="007809D6" w:rsidRDefault="007809D6" w:rsidP="007809D6">
      <w:pPr>
        <w:pStyle w:val="aff2"/>
        <w:numPr>
          <w:ilvl w:val="0"/>
          <w:numId w:val="3"/>
        </w:numPr>
        <w:rPr>
          <w:rFonts w:eastAsiaTheme="minorEastAsia" w:cstheme="minorBidi"/>
          <w:sz w:val="22"/>
          <w:szCs w:val="22"/>
          <w:rtl/>
        </w:rPr>
      </w:pPr>
      <w:r>
        <w:rPr>
          <w:rtl/>
        </w:rPr>
        <w:t>דברי הרא"ה דבטעמו ולא ממשו מותר אף בפגום במקצת ואף בחסירה תיקון כיון דטע"כ דרבנן</w:t>
      </w:r>
    </w:p>
    <w:p w:rsidR="007809D6" w:rsidRDefault="007809D6" w:rsidP="007809D6">
      <w:pPr>
        <w:pStyle w:val="aff4"/>
        <w:rPr>
          <w:rFonts w:eastAsiaTheme="minorEastAsia" w:cstheme="minorBidi"/>
          <w:i/>
          <w:iCs/>
          <w:noProof/>
          <w:sz w:val="22"/>
          <w:szCs w:val="22"/>
          <w:rtl/>
        </w:rPr>
      </w:pPr>
      <w:r>
        <w:rPr>
          <w:noProof/>
          <w:rtl/>
        </w:rPr>
        <w:t>דברי הרא"ה דנטל"פ אינו חוזר ונאסר אף כשנעשה ראוי לגר</w:t>
      </w:r>
    </w:p>
    <w:p w:rsidR="007809D6" w:rsidRDefault="007809D6" w:rsidP="007809D6">
      <w:pPr>
        <w:pStyle w:val="aff2"/>
        <w:numPr>
          <w:ilvl w:val="0"/>
          <w:numId w:val="3"/>
        </w:numPr>
        <w:rPr>
          <w:rFonts w:eastAsiaTheme="minorEastAsia" w:cstheme="minorBidi"/>
          <w:sz w:val="22"/>
          <w:szCs w:val="22"/>
          <w:rtl/>
        </w:rPr>
      </w:pPr>
      <w:r>
        <w:rPr>
          <w:rtl/>
        </w:rPr>
        <w:t>דברי הרא"ה דאף שנאכל ע"י ההיתר מ"מ האיסור עצמו הוא עצמו עדיין פגום ואינו חוזר ונאסר</w:t>
      </w:r>
    </w:p>
    <w:p w:rsidR="007809D6" w:rsidRDefault="007809D6" w:rsidP="007809D6">
      <w:pPr>
        <w:pStyle w:val="aff2"/>
        <w:numPr>
          <w:ilvl w:val="0"/>
          <w:numId w:val="3"/>
        </w:numPr>
        <w:rPr>
          <w:rFonts w:eastAsiaTheme="minorEastAsia" w:cstheme="minorBidi"/>
          <w:sz w:val="22"/>
          <w:szCs w:val="22"/>
          <w:rtl/>
        </w:rPr>
      </w:pPr>
      <w:r>
        <w:rPr>
          <w:rtl/>
        </w:rPr>
        <w:t>דברי הרא"ה דבקדירה שאינה בת יומא ודאי שהטעם הבלוע עצמו אינו ראוי לגר</w:t>
      </w:r>
    </w:p>
    <w:p w:rsidR="007809D6" w:rsidRDefault="007809D6" w:rsidP="007809D6">
      <w:pPr>
        <w:pStyle w:val="aff2"/>
        <w:numPr>
          <w:ilvl w:val="0"/>
          <w:numId w:val="3"/>
        </w:numPr>
        <w:rPr>
          <w:rFonts w:eastAsiaTheme="minorEastAsia" w:cstheme="minorBidi"/>
          <w:sz w:val="22"/>
          <w:szCs w:val="22"/>
          <w:rtl/>
        </w:rPr>
      </w:pPr>
      <w:r>
        <w:rPr>
          <w:rtl/>
        </w:rPr>
        <w:t>דברי הרא"ה דיותר מסתבר להתיר בפגום במקצת איסור בעין מאיסור שבלוע דאין פגמו ניכר</w:t>
      </w:r>
    </w:p>
    <w:p w:rsidR="007809D6" w:rsidRDefault="007809D6" w:rsidP="007809D6">
      <w:pPr>
        <w:pStyle w:val="aff4"/>
        <w:rPr>
          <w:rFonts w:eastAsiaTheme="minorEastAsia" w:cstheme="minorBidi"/>
          <w:i/>
          <w:iCs/>
          <w:noProof/>
          <w:sz w:val="22"/>
          <w:szCs w:val="22"/>
          <w:rtl/>
        </w:rPr>
      </w:pPr>
      <w:r>
        <w:rPr>
          <w:noProof/>
          <w:rtl/>
        </w:rPr>
        <w:t>קושיות הרשב"א במשה"ב על הרא"ה</w:t>
      </w:r>
    </w:p>
    <w:p w:rsidR="007809D6" w:rsidRDefault="007809D6" w:rsidP="007809D6">
      <w:pPr>
        <w:pStyle w:val="aff2"/>
        <w:numPr>
          <w:ilvl w:val="0"/>
          <w:numId w:val="3"/>
        </w:numPr>
        <w:rPr>
          <w:rFonts w:eastAsiaTheme="minorEastAsia" w:cstheme="minorBidi"/>
          <w:sz w:val="22"/>
          <w:szCs w:val="22"/>
          <w:rtl/>
        </w:rPr>
      </w:pPr>
      <w:r>
        <w:rPr>
          <w:rtl/>
        </w:rPr>
        <w:t>קושיות הרשב"א דמוכח במתני' דאף שהאיסור אינו פגום לגמרי מותר בנטל"פ</w:t>
      </w:r>
    </w:p>
    <w:p w:rsidR="007809D6" w:rsidRDefault="007809D6" w:rsidP="007809D6">
      <w:pPr>
        <w:pStyle w:val="aff2"/>
        <w:numPr>
          <w:ilvl w:val="0"/>
          <w:numId w:val="3"/>
        </w:numPr>
        <w:rPr>
          <w:rFonts w:eastAsiaTheme="minorEastAsia" w:cstheme="minorBidi"/>
          <w:sz w:val="22"/>
          <w:szCs w:val="22"/>
          <w:rtl/>
        </w:rPr>
      </w:pPr>
      <w:r>
        <w:rPr>
          <w:rtl/>
        </w:rPr>
        <w:t>קושיות הרשב"א דמוכח בגמ' דהאיסור אינו פוגם לגמרי וכן מותר כשהאיסור מצד עצמו משובח</w:t>
      </w:r>
    </w:p>
    <w:p w:rsidR="007809D6" w:rsidRDefault="007809D6" w:rsidP="007809D6">
      <w:pPr>
        <w:pStyle w:val="aff2"/>
        <w:numPr>
          <w:ilvl w:val="0"/>
          <w:numId w:val="3"/>
        </w:numPr>
        <w:rPr>
          <w:rFonts w:eastAsiaTheme="minorEastAsia" w:cstheme="minorBidi"/>
          <w:sz w:val="22"/>
          <w:szCs w:val="22"/>
          <w:rtl/>
        </w:rPr>
      </w:pPr>
      <w:r>
        <w:rPr>
          <w:rtl/>
        </w:rPr>
        <w:t>קושית הרשב"א דקדירה בת יומא פוגמת רק קצת ואפ"ה חשיבא נטל"פ אף דאינו פגם גמור</w:t>
      </w:r>
    </w:p>
    <w:p w:rsidR="007809D6" w:rsidRDefault="007809D6" w:rsidP="007809D6">
      <w:pPr>
        <w:pStyle w:val="aff4"/>
        <w:rPr>
          <w:rFonts w:eastAsiaTheme="minorEastAsia" w:cstheme="minorBidi"/>
          <w:i/>
          <w:iCs/>
          <w:noProof/>
          <w:sz w:val="22"/>
          <w:szCs w:val="22"/>
          <w:rtl/>
        </w:rPr>
      </w:pPr>
      <w:r>
        <w:rPr>
          <w:noProof/>
          <w:rtl/>
        </w:rPr>
        <w:t>דעת התוס' הרי"ד דהיתר נטל"פ לא נלמד מנבילה</w:t>
      </w:r>
    </w:p>
    <w:p w:rsidR="007809D6" w:rsidRDefault="007809D6" w:rsidP="007809D6">
      <w:pPr>
        <w:pStyle w:val="aff2"/>
        <w:numPr>
          <w:ilvl w:val="0"/>
          <w:numId w:val="3"/>
        </w:numPr>
        <w:rPr>
          <w:rFonts w:eastAsiaTheme="minorEastAsia" w:cstheme="minorBidi"/>
          <w:sz w:val="22"/>
          <w:szCs w:val="22"/>
          <w:rtl/>
        </w:rPr>
      </w:pPr>
      <w:r>
        <w:rPr>
          <w:rtl/>
        </w:rPr>
        <w:t>דברי התוס' הרי"ד דהוכיחה הגמ' מנבילה דאיסור בתערובת שממשו לא קיים מותר אף מדרבנן</w:t>
      </w:r>
    </w:p>
    <w:p w:rsidR="007809D6" w:rsidRDefault="007809D6" w:rsidP="007809D6">
      <w:pPr>
        <w:pStyle w:val="2"/>
        <w:rPr>
          <w:rFonts w:eastAsiaTheme="minorEastAsia" w:cstheme="minorBidi"/>
          <w:i/>
          <w:iCs/>
          <w:sz w:val="22"/>
          <w:szCs w:val="22"/>
          <w:rtl/>
        </w:rPr>
      </w:pPr>
      <w:r>
        <w:rPr>
          <w:rtl/>
        </w:rPr>
        <w:t>בדין נותן טעם לפגם בטעמו וממשו</w:t>
      </w:r>
    </w:p>
    <w:p w:rsidR="007809D6" w:rsidRPr="00DB2DFD" w:rsidRDefault="007809D6" w:rsidP="007809D6">
      <w:pPr>
        <w:pStyle w:val="aff4"/>
        <w:rPr>
          <w:rtl/>
        </w:rPr>
      </w:pPr>
      <w:r>
        <w:rPr>
          <w:rFonts w:hint="cs"/>
          <w:rtl/>
        </w:rPr>
        <w:t>דברי הרשב"א והרא"ה בדין נטל"פ בטעמו וממשו</w:t>
      </w:r>
    </w:p>
    <w:p w:rsidR="007809D6" w:rsidRDefault="007809D6" w:rsidP="007809D6">
      <w:pPr>
        <w:pStyle w:val="aff2"/>
        <w:numPr>
          <w:ilvl w:val="0"/>
          <w:numId w:val="3"/>
        </w:numPr>
        <w:rPr>
          <w:rFonts w:eastAsiaTheme="minorEastAsia" w:cstheme="minorBidi"/>
          <w:sz w:val="22"/>
          <w:szCs w:val="22"/>
          <w:rtl/>
        </w:rPr>
      </w:pPr>
      <w:r>
        <w:rPr>
          <w:rtl/>
        </w:rPr>
        <w:t>דברי הרשב"א דהיתר נטל"פ הוא אף כשגוף האיסור נימוח בהיתר</w:t>
      </w:r>
    </w:p>
    <w:p w:rsidR="007809D6" w:rsidRDefault="007809D6" w:rsidP="007809D6">
      <w:pPr>
        <w:pStyle w:val="aff2"/>
        <w:numPr>
          <w:ilvl w:val="0"/>
          <w:numId w:val="3"/>
        </w:numPr>
        <w:rPr>
          <w:rFonts w:eastAsiaTheme="minorEastAsia" w:cstheme="minorBidi"/>
          <w:sz w:val="22"/>
          <w:szCs w:val="22"/>
          <w:rtl/>
        </w:rPr>
      </w:pPr>
      <w:r>
        <w:rPr>
          <w:rtl/>
        </w:rPr>
        <w:t>דברי הרא"ה דהיתר נטל"פ בטעמו וממשו הוא באינו ראוי לגר אבל בטעמו הקילו דטע"כ דרבנן</w:t>
      </w:r>
    </w:p>
    <w:p w:rsidR="007809D6" w:rsidRDefault="007809D6" w:rsidP="007809D6">
      <w:pPr>
        <w:pStyle w:val="aff4"/>
        <w:rPr>
          <w:rFonts w:eastAsiaTheme="minorEastAsia" w:cstheme="minorBidi"/>
          <w:i/>
          <w:iCs/>
          <w:noProof/>
          <w:sz w:val="22"/>
          <w:szCs w:val="22"/>
          <w:rtl/>
        </w:rPr>
      </w:pPr>
      <w:r>
        <w:rPr>
          <w:noProof/>
          <w:rtl/>
        </w:rPr>
        <w:t>דברי האיסור והיתר דבממשו קיים צריך שישים דלא בטל ברוב</w:t>
      </w:r>
    </w:p>
    <w:p w:rsidR="007809D6" w:rsidRDefault="007809D6" w:rsidP="007809D6">
      <w:pPr>
        <w:pStyle w:val="aff2"/>
        <w:numPr>
          <w:ilvl w:val="0"/>
          <w:numId w:val="3"/>
        </w:numPr>
        <w:rPr>
          <w:rFonts w:eastAsiaTheme="minorEastAsia" w:cstheme="minorBidi"/>
          <w:sz w:val="22"/>
          <w:szCs w:val="22"/>
          <w:rtl/>
        </w:rPr>
      </w:pPr>
      <w:r>
        <w:rPr>
          <w:rtl/>
        </w:rPr>
        <w:t>דברי האו"ה ברשב"א דאיסור נימוח בטל ברוב אף במין בשאינו מינו דאין דין טע"כ בטעם פגום</w:t>
      </w:r>
    </w:p>
    <w:p w:rsidR="007809D6" w:rsidRDefault="007809D6" w:rsidP="007809D6">
      <w:pPr>
        <w:pStyle w:val="aff2"/>
        <w:numPr>
          <w:ilvl w:val="0"/>
          <w:numId w:val="3"/>
        </w:numPr>
        <w:rPr>
          <w:rFonts w:eastAsiaTheme="minorEastAsia" w:cstheme="minorBidi"/>
          <w:sz w:val="22"/>
          <w:szCs w:val="22"/>
          <w:rtl/>
        </w:rPr>
      </w:pPr>
      <w:r>
        <w:rPr>
          <w:rtl/>
        </w:rPr>
        <w:t>דברי האו"ה ברשב"א דבגוף האיסור קיים ולא נימוח צריך שישים דלא בטל ברוב אף שאינו ניכר</w:t>
      </w:r>
    </w:p>
    <w:p w:rsidR="007809D6" w:rsidRDefault="007809D6" w:rsidP="007809D6">
      <w:pPr>
        <w:pStyle w:val="aff2"/>
        <w:numPr>
          <w:ilvl w:val="0"/>
          <w:numId w:val="3"/>
        </w:numPr>
        <w:rPr>
          <w:rFonts w:eastAsiaTheme="minorEastAsia" w:cstheme="minorBidi"/>
          <w:sz w:val="22"/>
          <w:szCs w:val="22"/>
          <w:rtl/>
        </w:rPr>
      </w:pPr>
      <w:r>
        <w:rPr>
          <w:rtl/>
        </w:rPr>
        <w:t>קושית הדרכ"מ דבאינו מינו ל"מ ביטול כיון דטע"כ דאו' ובנטל"פ מהני ביטול אף בממשו קיים</w:t>
      </w:r>
    </w:p>
    <w:p w:rsidR="007809D6" w:rsidRDefault="007809D6" w:rsidP="007809D6">
      <w:pPr>
        <w:pStyle w:val="aff2"/>
        <w:numPr>
          <w:ilvl w:val="0"/>
          <w:numId w:val="3"/>
        </w:numPr>
        <w:rPr>
          <w:rFonts w:eastAsiaTheme="minorEastAsia" w:cstheme="minorBidi"/>
          <w:sz w:val="22"/>
          <w:szCs w:val="22"/>
        </w:rPr>
      </w:pPr>
      <w:r>
        <w:rPr>
          <w:rtl/>
        </w:rPr>
        <w:t>דברי הרמ"א בתו"ח דאף באיסור קיים טעם פגום אינו חשוב ובטל ואף גוף האיסור בטל ברוב</w:t>
      </w:r>
    </w:p>
    <w:p w:rsidR="007809D6" w:rsidRDefault="007809D6" w:rsidP="007809D6">
      <w:pPr>
        <w:pStyle w:val="2"/>
        <w:rPr>
          <w:rFonts w:eastAsiaTheme="minorEastAsia" w:cstheme="minorBidi"/>
          <w:i/>
          <w:iCs/>
          <w:sz w:val="22"/>
          <w:szCs w:val="22"/>
          <w:rtl/>
        </w:rPr>
      </w:pPr>
      <w:r>
        <w:rPr>
          <w:rtl/>
        </w:rPr>
        <w:t>ביאורי ראשי הישיבות</w:t>
      </w:r>
    </w:p>
    <w:p w:rsidR="007809D6" w:rsidRDefault="007809D6" w:rsidP="007809D6">
      <w:pPr>
        <w:pStyle w:val="2"/>
        <w:rPr>
          <w:rFonts w:eastAsiaTheme="minorEastAsia" w:cstheme="minorBidi"/>
          <w:i/>
          <w:iCs/>
          <w:sz w:val="22"/>
          <w:szCs w:val="22"/>
          <w:rtl/>
        </w:rPr>
      </w:pPr>
      <w:r>
        <w:rPr>
          <w:rtl/>
        </w:rPr>
        <w:t>ביאור הגר"ח בגדר היתר פגום במקצת</w:t>
      </w:r>
    </w:p>
    <w:p w:rsidR="007809D6" w:rsidRDefault="007809D6" w:rsidP="007809D6">
      <w:pPr>
        <w:pStyle w:val="aff4"/>
        <w:rPr>
          <w:rFonts w:eastAsiaTheme="minorEastAsia" w:cstheme="minorBidi"/>
          <w:i/>
          <w:iCs/>
          <w:noProof/>
          <w:sz w:val="22"/>
          <w:szCs w:val="22"/>
          <w:rtl/>
        </w:rPr>
      </w:pPr>
      <w:r>
        <w:rPr>
          <w:noProof/>
          <w:rtl/>
        </w:rPr>
        <w:t>חקירת הגר"ח אי ע"י הטעם ל"מ ביטול או דטע"כ הוא דין איסור</w:t>
      </w:r>
    </w:p>
    <w:p w:rsidR="007809D6" w:rsidRDefault="007809D6" w:rsidP="007809D6">
      <w:pPr>
        <w:pStyle w:val="aff2"/>
        <w:numPr>
          <w:ilvl w:val="0"/>
          <w:numId w:val="3"/>
        </w:numPr>
        <w:rPr>
          <w:rFonts w:eastAsiaTheme="minorEastAsia" w:cstheme="minorBidi"/>
          <w:sz w:val="22"/>
          <w:szCs w:val="22"/>
          <w:rtl/>
        </w:rPr>
      </w:pPr>
      <w:r>
        <w:rPr>
          <w:rtl/>
        </w:rPr>
        <w:t>חקירת הגר"ח אי בטע"כ לא מהני ביטול ברוב דהאיסור ניכר או דמהני ביטול והוא איסור חדש</w:t>
      </w:r>
    </w:p>
    <w:p w:rsidR="007809D6" w:rsidRDefault="007809D6" w:rsidP="007809D6">
      <w:pPr>
        <w:pStyle w:val="aff2"/>
        <w:numPr>
          <w:ilvl w:val="0"/>
          <w:numId w:val="3"/>
        </w:numPr>
        <w:rPr>
          <w:rFonts w:eastAsiaTheme="minorEastAsia" w:cstheme="minorBidi"/>
          <w:sz w:val="22"/>
          <w:szCs w:val="22"/>
          <w:rtl/>
        </w:rPr>
      </w:pPr>
      <w:r>
        <w:rPr>
          <w:rtl/>
        </w:rPr>
        <w:t>דברי הגר"ח דטע"כ הוא איסור חדש ומחמת איסור טע"כ הטעם והממשות אינם בטלים ברוב</w:t>
      </w:r>
    </w:p>
    <w:p w:rsidR="007809D6" w:rsidRDefault="007809D6" w:rsidP="007809D6">
      <w:pPr>
        <w:pStyle w:val="aff4"/>
        <w:rPr>
          <w:rFonts w:eastAsiaTheme="minorEastAsia" w:cstheme="minorBidi"/>
          <w:i/>
          <w:iCs/>
          <w:noProof/>
          <w:sz w:val="22"/>
          <w:szCs w:val="22"/>
          <w:rtl/>
        </w:rPr>
      </w:pPr>
      <w:r>
        <w:rPr>
          <w:noProof/>
          <w:rtl/>
        </w:rPr>
        <w:t>ביאור הגר"ח דבטעם פגום אף דהוא ניכר מהני ביטול ברוב</w:t>
      </w:r>
    </w:p>
    <w:p w:rsidR="007809D6" w:rsidRDefault="007809D6" w:rsidP="007809D6">
      <w:pPr>
        <w:pStyle w:val="aff2"/>
        <w:numPr>
          <w:ilvl w:val="0"/>
          <w:numId w:val="3"/>
        </w:numPr>
        <w:rPr>
          <w:rFonts w:eastAsiaTheme="minorEastAsia" w:cstheme="minorBidi"/>
          <w:sz w:val="22"/>
          <w:szCs w:val="22"/>
          <w:rtl/>
        </w:rPr>
      </w:pPr>
      <w:r>
        <w:rPr>
          <w:rtl/>
        </w:rPr>
        <w:t>דברי הגר"ח דמוכח ברשב"א ובר"ן דממשות האיסור מותרת כיון שאין טע"כ בטעם פגום</w:t>
      </w:r>
    </w:p>
    <w:p w:rsidR="007809D6" w:rsidRDefault="007809D6" w:rsidP="007809D6">
      <w:pPr>
        <w:pStyle w:val="aff2"/>
        <w:numPr>
          <w:ilvl w:val="0"/>
          <w:numId w:val="3"/>
        </w:numPr>
        <w:rPr>
          <w:rFonts w:eastAsiaTheme="minorEastAsia" w:cstheme="minorBidi"/>
          <w:sz w:val="22"/>
          <w:szCs w:val="22"/>
          <w:rtl/>
        </w:rPr>
      </w:pPr>
      <w:r>
        <w:rPr>
          <w:rtl/>
        </w:rPr>
        <w:t>דברי הגר"ח דאי איסור טע"כ כיון דאינו בטל פגום במקצת אסור דהטעם ניכר ואינו בטל</w:t>
      </w:r>
    </w:p>
    <w:p w:rsidR="007809D6" w:rsidRDefault="007809D6" w:rsidP="007809D6">
      <w:pPr>
        <w:pStyle w:val="aff2"/>
        <w:numPr>
          <w:ilvl w:val="0"/>
          <w:numId w:val="3"/>
        </w:numPr>
        <w:rPr>
          <w:rFonts w:eastAsiaTheme="minorEastAsia" w:cstheme="minorBidi"/>
          <w:sz w:val="22"/>
          <w:szCs w:val="22"/>
          <w:rtl/>
        </w:rPr>
      </w:pPr>
      <w:r>
        <w:rPr>
          <w:rtl/>
        </w:rPr>
        <w:t>דברי הגר"ח דמוכח ברשב"א ובר"ן דרק מחמת דין טע"כ ל"מ ביטול ובטעם פגום מהני ביטול</w:t>
      </w:r>
    </w:p>
    <w:p w:rsidR="007809D6" w:rsidRDefault="007809D6" w:rsidP="007809D6">
      <w:pPr>
        <w:pStyle w:val="2"/>
        <w:rPr>
          <w:rFonts w:eastAsiaTheme="minorEastAsia" w:cstheme="minorBidi"/>
          <w:i/>
          <w:iCs/>
          <w:sz w:val="22"/>
          <w:szCs w:val="22"/>
          <w:rtl/>
        </w:rPr>
      </w:pPr>
      <w:r>
        <w:rPr>
          <w:rtl/>
        </w:rPr>
        <w:t>ביאור הגר"ח בהיתר אינו ראוי לגר</w:t>
      </w:r>
    </w:p>
    <w:p w:rsidR="007809D6" w:rsidRDefault="007809D6" w:rsidP="007809D6">
      <w:pPr>
        <w:pStyle w:val="aff4"/>
        <w:rPr>
          <w:rFonts w:eastAsiaTheme="minorEastAsia" w:cstheme="minorBidi"/>
          <w:i/>
          <w:iCs/>
          <w:noProof/>
          <w:sz w:val="22"/>
          <w:szCs w:val="22"/>
          <w:rtl/>
        </w:rPr>
      </w:pPr>
      <w:r>
        <w:rPr>
          <w:noProof/>
          <w:rtl/>
        </w:rPr>
        <w:t>חקירת הגר"ח בגדר ההיתר דנבילה שאינה ראויה לגר</w:t>
      </w:r>
    </w:p>
    <w:p w:rsidR="007809D6" w:rsidRDefault="007809D6" w:rsidP="007809D6">
      <w:pPr>
        <w:pStyle w:val="aff2"/>
        <w:numPr>
          <w:ilvl w:val="0"/>
          <w:numId w:val="3"/>
        </w:numPr>
        <w:rPr>
          <w:rFonts w:eastAsiaTheme="minorEastAsia" w:cstheme="minorBidi"/>
          <w:sz w:val="22"/>
          <w:szCs w:val="22"/>
          <w:rtl/>
        </w:rPr>
      </w:pPr>
      <w:r>
        <w:rPr>
          <w:rtl/>
        </w:rPr>
        <w:t>הצד הא' בגר"ח דבאינה ראויה לגר פקע מהחפצא של הנבילה שם נבילה ולכן מותרת</w:t>
      </w:r>
    </w:p>
    <w:p w:rsidR="007809D6" w:rsidRDefault="007809D6" w:rsidP="007809D6">
      <w:pPr>
        <w:pStyle w:val="aff2"/>
        <w:numPr>
          <w:ilvl w:val="0"/>
          <w:numId w:val="3"/>
        </w:numPr>
        <w:rPr>
          <w:rFonts w:eastAsiaTheme="minorEastAsia" w:cstheme="minorBidi"/>
          <w:sz w:val="22"/>
          <w:szCs w:val="22"/>
          <w:rtl/>
        </w:rPr>
      </w:pPr>
      <w:r>
        <w:rPr>
          <w:rtl/>
        </w:rPr>
        <w:t>הצד הב' בגר"ח דבאינה ראויה לגר מותר כיון דדבר שאינו ראוי לאכילה אין בו איסור אכילה</w:t>
      </w:r>
    </w:p>
    <w:p w:rsidR="007809D6" w:rsidRDefault="007809D6" w:rsidP="007809D6">
      <w:pPr>
        <w:pStyle w:val="aff4"/>
        <w:rPr>
          <w:rFonts w:eastAsiaTheme="minorEastAsia" w:cstheme="minorBidi"/>
          <w:i/>
          <w:iCs/>
          <w:noProof/>
          <w:sz w:val="22"/>
          <w:szCs w:val="22"/>
          <w:rtl/>
        </w:rPr>
      </w:pPr>
      <w:r>
        <w:rPr>
          <w:noProof/>
          <w:rtl/>
        </w:rPr>
        <w:t>דברי הגר"ח דהיתר נבילה ודין טע"כ נאמרו רק בדין אכילה</w:t>
      </w:r>
    </w:p>
    <w:p w:rsidR="007809D6" w:rsidRDefault="007809D6" w:rsidP="007809D6">
      <w:pPr>
        <w:pStyle w:val="aff2"/>
        <w:numPr>
          <w:ilvl w:val="0"/>
          <w:numId w:val="3"/>
        </w:numPr>
        <w:rPr>
          <w:rFonts w:eastAsiaTheme="minorEastAsia" w:cstheme="minorBidi"/>
          <w:sz w:val="22"/>
          <w:szCs w:val="22"/>
          <w:rtl/>
        </w:rPr>
      </w:pPr>
      <w:r>
        <w:rPr>
          <w:rtl/>
        </w:rPr>
        <w:t>דברי הגר"ח דטע"כ הוא דין חדש שיש בו חלות איסור וממילא ל"מ בו ביטול ברוב</w:t>
      </w:r>
    </w:p>
    <w:p w:rsidR="007809D6" w:rsidRDefault="007809D6" w:rsidP="007809D6">
      <w:pPr>
        <w:pStyle w:val="aff2"/>
        <w:numPr>
          <w:ilvl w:val="0"/>
          <w:numId w:val="3"/>
        </w:numPr>
        <w:rPr>
          <w:rFonts w:eastAsiaTheme="minorEastAsia" w:cstheme="minorBidi"/>
          <w:sz w:val="22"/>
          <w:szCs w:val="22"/>
          <w:rtl/>
        </w:rPr>
      </w:pPr>
      <w:r>
        <w:rPr>
          <w:rtl/>
        </w:rPr>
        <w:t>דברי הגר"ח דהיתר נבילה שאינה ראויה לגר נאמר רק לענין אכילה ומותר רק באיסורי אכילה</w:t>
      </w:r>
    </w:p>
    <w:p w:rsidR="007809D6" w:rsidRDefault="007809D6" w:rsidP="007809D6">
      <w:pPr>
        <w:pStyle w:val="aff2"/>
        <w:numPr>
          <w:ilvl w:val="0"/>
          <w:numId w:val="3"/>
        </w:numPr>
        <w:rPr>
          <w:rFonts w:eastAsiaTheme="minorEastAsia" w:cstheme="minorBidi"/>
          <w:sz w:val="22"/>
          <w:szCs w:val="22"/>
          <w:rtl/>
        </w:rPr>
      </w:pPr>
      <w:r>
        <w:rPr>
          <w:rtl/>
        </w:rPr>
        <w:t>דברי הגר"ח דדין טע"כ נאמר רק לענין אכילה ובמקום שאינו אוכל אין דין טע"כ</w:t>
      </w:r>
    </w:p>
    <w:p w:rsidR="007809D6" w:rsidRDefault="007809D6" w:rsidP="007809D6">
      <w:pPr>
        <w:pStyle w:val="aff2"/>
        <w:numPr>
          <w:ilvl w:val="0"/>
          <w:numId w:val="3"/>
        </w:numPr>
        <w:rPr>
          <w:rFonts w:eastAsiaTheme="minorEastAsia" w:cstheme="minorBidi"/>
          <w:sz w:val="22"/>
          <w:szCs w:val="22"/>
          <w:rtl/>
        </w:rPr>
      </w:pPr>
      <w:r>
        <w:rPr>
          <w:rtl/>
        </w:rPr>
        <w:t>דברי הגר"ח דאי היתר אינו ראוי לגר הוא היתר בחפצא של האיסור פגום במקצת אסור</w:t>
      </w:r>
    </w:p>
    <w:p w:rsidR="007809D6" w:rsidRDefault="007809D6" w:rsidP="007809D6">
      <w:pPr>
        <w:pStyle w:val="aff2"/>
        <w:numPr>
          <w:ilvl w:val="0"/>
          <w:numId w:val="3"/>
        </w:numPr>
        <w:rPr>
          <w:rFonts w:eastAsiaTheme="minorEastAsia" w:cstheme="minorBidi"/>
          <w:sz w:val="22"/>
          <w:szCs w:val="22"/>
          <w:rtl/>
        </w:rPr>
      </w:pPr>
      <w:r>
        <w:rPr>
          <w:rtl/>
        </w:rPr>
        <w:t>דברי הגר"ח דאי בנבילה פקע ממנה שם נבילה א"א להתיר בפגום במקצת דלא פקע האיסור</w:t>
      </w:r>
    </w:p>
    <w:p w:rsidR="007809D6" w:rsidRDefault="007809D6" w:rsidP="007809D6">
      <w:pPr>
        <w:pStyle w:val="aff2"/>
        <w:numPr>
          <w:ilvl w:val="0"/>
          <w:numId w:val="3"/>
        </w:numPr>
        <w:rPr>
          <w:rFonts w:eastAsiaTheme="minorEastAsia" w:cstheme="minorBidi"/>
          <w:sz w:val="22"/>
          <w:szCs w:val="22"/>
          <w:rtl/>
        </w:rPr>
      </w:pPr>
      <w:r>
        <w:rPr>
          <w:rtl/>
        </w:rPr>
        <w:t>דברי הגר"ח דמוכח ברשב"א ובר"ן דאינו ראוי לגר נאמר בדין טע"כ ולכן פגום במקצת מותר</w:t>
      </w:r>
    </w:p>
    <w:p w:rsidR="007809D6" w:rsidRDefault="007809D6" w:rsidP="007809D6">
      <w:pPr>
        <w:pStyle w:val="aff2"/>
        <w:numPr>
          <w:ilvl w:val="0"/>
          <w:numId w:val="3"/>
        </w:numPr>
        <w:rPr>
          <w:rFonts w:eastAsiaTheme="minorEastAsia" w:cstheme="minorBidi"/>
          <w:sz w:val="22"/>
          <w:szCs w:val="22"/>
          <w:rtl/>
        </w:rPr>
      </w:pPr>
      <w:r>
        <w:rPr>
          <w:rtl/>
        </w:rPr>
        <w:t>הוכחת הגר"ח מהרשב"א והר"ן דהיתר נבילה הוא באיסור אכילה ולכן אף פגום במקצת מותר</w:t>
      </w:r>
    </w:p>
    <w:p w:rsidR="007809D6" w:rsidRDefault="007809D6" w:rsidP="007809D6">
      <w:pPr>
        <w:pStyle w:val="2"/>
        <w:rPr>
          <w:rFonts w:eastAsiaTheme="minorEastAsia" w:cstheme="minorBidi"/>
          <w:i/>
          <w:iCs/>
          <w:sz w:val="22"/>
          <w:szCs w:val="22"/>
          <w:rtl/>
        </w:rPr>
      </w:pPr>
      <w:r>
        <w:rPr>
          <w:rtl/>
        </w:rPr>
        <w:t xml:space="preserve">ביאור </w:t>
      </w:r>
      <w:r>
        <w:rPr>
          <w:rFonts w:hint="cs"/>
          <w:rtl/>
        </w:rPr>
        <w:t>הקה"י ב</w:t>
      </w:r>
      <w:r>
        <w:rPr>
          <w:rtl/>
        </w:rPr>
        <w:t>פלוגתת הרשב"א והר"ן</w:t>
      </w:r>
    </w:p>
    <w:p w:rsidR="007809D6" w:rsidRDefault="007809D6" w:rsidP="007809D6">
      <w:pPr>
        <w:pStyle w:val="aff4"/>
        <w:rPr>
          <w:rFonts w:eastAsiaTheme="minorEastAsia" w:cstheme="minorBidi"/>
          <w:i/>
          <w:iCs/>
          <w:noProof/>
          <w:sz w:val="22"/>
          <w:szCs w:val="22"/>
          <w:rtl/>
        </w:rPr>
      </w:pPr>
      <w:r>
        <w:rPr>
          <w:noProof/>
          <w:rtl/>
        </w:rPr>
        <w:t>ביאור הקה"י ברשב"א דמנבילה ילפינן דטעם שאינו נהנה מותר</w:t>
      </w:r>
    </w:p>
    <w:p w:rsidR="007809D6" w:rsidRDefault="007809D6" w:rsidP="007809D6">
      <w:pPr>
        <w:pStyle w:val="aff2"/>
        <w:numPr>
          <w:ilvl w:val="0"/>
          <w:numId w:val="3"/>
        </w:numPr>
        <w:rPr>
          <w:rFonts w:eastAsiaTheme="minorEastAsia" w:cstheme="minorBidi"/>
          <w:sz w:val="22"/>
          <w:szCs w:val="22"/>
          <w:rtl/>
        </w:rPr>
      </w:pPr>
      <w:r>
        <w:rPr>
          <w:rtl/>
        </w:rPr>
        <w:t>דברי הקה"י דלהרשב"א דנטל"פ מותר אף בנהנה מאכילתו כיון שאין בו דין טעם כעיקר</w:t>
      </w:r>
    </w:p>
    <w:p w:rsidR="007809D6" w:rsidRDefault="007809D6" w:rsidP="007809D6">
      <w:pPr>
        <w:pStyle w:val="aff2"/>
        <w:numPr>
          <w:ilvl w:val="0"/>
          <w:numId w:val="3"/>
        </w:numPr>
        <w:rPr>
          <w:rFonts w:eastAsiaTheme="minorEastAsia" w:cstheme="minorBidi"/>
          <w:sz w:val="22"/>
          <w:szCs w:val="22"/>
          <w:rtl/>
        </w:rPr>
      </w:pPr>
      <w:r>
        <w:rPr>
          <w:rtl/>
        </w:rPr>
        <w:t>דברי הקה"י דדוחק לומר כחוו"ד דלהרשב"א היתר פגום במקצת הוא מסברא ולא מילפותא</w:t>
      </w:r>
    </w:p>
    <w:p w:rsidR="007809D6" w:rsidRDefault="007809D6" w:rsidP="007809D6">
      <w:pPr>
        <w:pStyle w:val="aff2"/>
        <w:numPr>
          <w:ilvl w:val="0"/>
          <w:numId w:val="3"/>
        </w:numPr>
        <w:rPr>
          <w:rFonts w:eastAsiaTheme="minorEastAsia" w:cstheme="minorBidi"/>
          <w:sz w:val="22"/>
          <w:szCs w:val="22"/>
          <w:rtl/>
        </w:rPr>
      </w:pPr>
      <w:r>
        <w:rPr>
          <w:rtl/>
        </w:rPr>
        <w:t>ביאור הקה"י ברשב"א דילפינן מנבילה דהטעם עצמו דמי לנבילה כיון שאינו נהנה ממנו</w:t>
      </w:r>
    </w:p>
    <w:p w:rsidR="007809D6" w:rsidRDefault="007809D6" w:rsidP="007809D6">
      <w:pPr>
        <w:pStyle w:val="aff2"/>
        <w:numPr>
          <w:ilvl w:val="0"/>
          <w:numId w:val="3"/>
        </w:numPr>
        <w:rPr>
          <w:rFonts w:eastAsiaTheme="minorEastAsia" w:cstheme="minorBidi"/>
          <w:sz w:val="22"/>
          <w:szCs w:val="22"/>
          <w:rtl/>
        </w:rPr>
      </w:pPr>
      <w:r>
        <w:rPr>
          <w:rtl/>
        </w:rPr>
        <w:t>ביאור הקה"י ברשב"א דהטעם הפגום עצמו חשיב כנבילה ולכן אף אם נהנה ממנו מותר</w:t>
      </w:r>
    </w:p>
    <w:p w:rsidR="007809D6" w:rsidRDefault="007809D6" w:rsidP="007809D6">
      <w:pPr>
        <w:pStyle w:val="aff2"/>
        <w:numPr>
          <w:ilvl w:val="0"/>
          <w:numId w:val="3"/>
        </w:numPr>
        <w:rPr>
          <w:rFonts w:eastAsiaTheme="minorEastAsia" w:cstheme="minorBidi"/>
          <w:sz w:val="22"/>
          <w:szCs w:val="22"/>
          <w:rtl/>
        </w:rPr>
      </w:pPr>
      <w:r>
        <w:rPr>
          <w:rtl/>
        </w:rPr>
        <w:t>קושית הקה"י על הרשב"א דטעם הממשות של האיסור לא נפגמה יותר ואמאי היא מותרת</w:t>
      </w:r>
    </w:p>
    <w:p w:rsidR="007809D6" w:rsidRDefault="007809D6" w:rsidP="007809D6">
      <w:pPr>
        <w:pStyle w:val="aff2"/>
        <w:numPr>
          <w:ilvl w:val="0"/>
          <w:numId w:val="3"/>
        </w:numPr>
        <w:rPr>
          <w:rFonts w:eastAsiaTheme="minorEastAsia" w:cstheme="minorBidi"/>
          <w:sz w:val="22"/>
          <w:szCs w:val="22"/>
          <w:rtl/>
        </w:rPr>
      </w:pPr>
      <w:r>
        <w:rPr>
          <w:rtl/>
        </w:rPr>
        <w:t>ביאור הקה"י דטעם רוב ההיתר מבטל את טעם מיעוט האיסור כיון שאין בו טע"כ והוי מין במינו</w:t>
      </w:r>
    </w:p>
    <w:p w:rsidR="007809D6" w:rsidRDefault="007809D6" w:rsidP="007809D6">
      <w:pPr>
        <w:pStyle w:val="aff2"/>
        <w:numPr>
          <w:ilvl w:val="0"/>
          <w:numId w:val="3"/>
        </w:numPr>
        <w:rPr>
          <w:rFonts w:eastAsiaTheme="minorEastAsia" w:cstheme="minorBidi"/>
          <w:sz w:val="22"/>
          <w:szCs w:val="22"/>
          <w:rtl/>
        </w:rPr>
      </w:pPr>
      <w:r>
        <w:rPr>
          <w:rtl/>
        </w:rPr>
        <w:t>ביאור הקה"י דילפינן מנבילה דחיוב אכילה הוא רק בטעם ובפגום לא נאמר דין טע"כ</w:t>
      </w:r>
    </w:p>
    <w:p w:rsidR="007809D6" w:rsidRDefault="007809D6" w:rsidP="007809D6">
      <w:pPr>
        <w:pStyle w:val="aff2"/>
        <w:numPr>
          <w:ilvl w:val="0"/>
          <w:numId w:val="3"/>
        </w:numPr>
        <w:rPr>
          <w:rFonts w:eastAsiaTheme="minorEastAsia" w:cstheme="minorBidi"/>
          <w:sz w:val="22"/>
          <w:szCs w:val="22"/>
          <w:rtl/>
        </w:rPr>
      </w:pPr>
      <w:r>
        <w:rPr>
          <w:rtl/>
        </w:rPr>
        <w:t>דברי הקה"י דמוכח ברשב"א באיסור מאוס דבכל טעם פגום אין טע"כ בלא הילפותא מנבילה</w:t>
      </w:r>
    </w:p>
    <w:p w:rsidR="007809D6" w:rsidRDefault="007809D6" w:rsidP="007809D6">
      <w:pPr>
        <w:pStyle w:val="aff4"/>
        <w:rPr>
          <w:rFonts w:eastAsiaTheme="minorEastAsia" w:cstheme="minorBidi"/>
          <w:i/>
          <w:iCs/>
          <w:noProof/>
          <w:sz w:val="22"/>
          <w:szCs w:val="22"/>
          <w:rtl/>
        </w:rPr>
      </w:pPr>
      <w:r>
        <w:rPr>
          <w:noProof/>
          <w:rtl/>
        </w:rPr>
        <w:t>ביאור הקה"י בר"ן דמנבילה ילפינן דאכילה בלא הנאה מותר</w:t>
      </w:r>
    </w:p>
    <w:p w:rsidR="007809D6" w:rsidRDefault="007809D6" w:rsidP="007809D6">
      <w:pPr>
        <w:pStyle w:val="aff2"/>
        <w:numPr>
          <w:ilvl w:val="0"/>
          <w:numId w:val="3"/>
        </w:numPr>
        <w:rPr>
          <w:rFonts w:eastAsiaTheme="minorEastAsia" w:cstheme="minorBidi"/>
          <w:sz w:val="22"/>
          <w:szCs w:val="22"/>
          <w:rtl/>
        </w:rPr>
      </w:pPr>
      <w:r>
        <w:rPr>
          <w:rtl/>
        </w:rPr>
        <w:t>ביאור הקה"י בר"ן דהילפותא מנבילה דכל שאין הנאת אכילה מותר וה"ה בפגום במקצת</w:t>
      </w:r>
    </w:p>
    <w:p w:rsidR="007809D6" w:rsidRDefault="007809D6" w:rsidP="007809D6">
      <w:pPr>
        <w:pStyle w:val="aff2"/>
        <w:numPr>
          <w:ilvl w:val="0"/>
          <w:numId w:val="3"/>
        </w:numPr>
        <w:rPr>
          <w:rFonts w:eastAsiaTheme="minorEastAsia" w:cstheme="minorBidi"/>
          <w:sz w:val="22"/>
          <w:szCs w:val="22"/>
          <w:rtl/>
        </w:rPr>
      </w:pPr>
      <w:r>
        <w:rPr>
          <w:rtl/>
        </w:rPr>
        <w:t>ביאור הקה"י בר"ן דבנבילה נהנה ממנה אף בפגום במקצת ובתערובת אינו נהנה ולכן מותר</w:t>
      </w:r>
    </w:p>
    <w:p w:rsidR="007809D6" w:rsidRDefault="007809D6" w:rsidP="007809D6">
      <w:pPr>
        <w:pStyle w:val="aff4"/>
        <w:rPr>
          <w:rFonts w:eastAsiaTheme="minorEastAsia" w:cstheme="minorBidi"/>
          <w:i/>
          <w:iCs/>
          <w:noProof/>
          <w:sz w:val="22"/>
          <w:szCs w:val="22"/>
          <w:rtl/>
        </w:rPr>
      </w:pPr>
      <w:r>
        <w:rPr>
          <w:noProof/>
          <w:rtl/>
        </w:rPr>
        <w:t>ביאור הקה"י ביסוד פלוגתת הרשב"א והר"ן</w:t>
      </w:r>
    </w:p>
    <w:p w:rsidR="007809D6" w:rsidRDefault="007809D6" w:rsidP="007809D6">
      <w:pPr>
        <w:pStyle w:val="aff2"/>
        <w:numPr>
          <w:ilvl w:val="0"/>
          <w:numId w:val="3"/>
        </w:numPr>
        <w:rPr>
          <w:rFonts w:eastAsiaTheme="minorEastAsia" w:cstheme="minorBidi"/>
          <w:sz w:val="22"/>
          <w:szCs w:val="22"/>
          <w:rtl/>
        </w:rPr>
      </w:pPr>
      <w:r>
        <w:rPr>
          <w:rtl/>
        </w:rPr>
        <w:t>ביאור הקה"י ברשב"א דכיון דאין בנטל"פ טע"כ חשיב שאין בתערובת חתיכת איסור כלל</w:t>
      </w:r>
    </w:p>
    <w:p w:rsidR="007809D6" w:rsidRDefault="007809D6" w:rsidP="007809D6">
      <w:pPr>
        <w:pStyle w:val="aff2"/>
        <w:numPr>
          <w:ilvl w:val="0"/>
          <w:numId w:val="3"/>
        </w:numPr>
        <w:rPr>
          <w:rFonts w:eastAsiaTheme="minorEastAsia" w:cstheme="minorBidi"/>
          <w:sz w:val="22"/>
          <w:szCs w:val="22"/>
          <w:rtl/>
        </w:rPr>
      </w:pPr>
      <w:r>
        <w:rPr>
          <w:rtl/>
        </w:rPr>
        <w:t>ביאור הקה"י בר"ן דלא פקע האיסור מהטעם הפגום אלא דכיון דאינו נהנה אין בו איסור אכילה</w:t>
      </w:r>
    </w:p>
    <w:p w:rsidR="007809D6" w:rsidRDefault="007809D6" w:rsidP="007809D6">
      <w:pPr>
        <w:pStyle w:val="aff2"/>
        <w:numPr>
          <w:ilvl w:val="0"/>
          <w:numId w:val="3"/>
        </w:numPr>
        <w:rPr>
          <w:rFonts w:eastAsiaTheme="minorEastAsia" w:cstheme="minorBidi"/>
          <w:sz w:val="22"/>
          <w:szCs w:val="22"/>
          <w:rtl/>
        </w:rPr>
      </w:pPr>
      <w:r>
        <w:rPr>
          <w:rtl/>
        </w:rPr>
        <w:t>קושית הקה"י על הר"ן דהאיסור יאסור את ההיתר מדין חנ"נ ויתחייב על הנאת אכילת ההיתר</w:t>
      </w:r>
    </w:p>
    <w:p w:rsidR="007809D6" w:rsidRDefault="007809D6" w:rsidP="007809D6">
      <w:pPr>
        <w:pStyle w:val="aff2"/>
        <w:numPr>
          <w:ilvl w:val="0"/>
          <w:numId w:val="3"/>
        </w:numPr>
        <w:rPr>
          <w:rFonts w:eastAsiaTheme="minorEastAsia" w:cstheme="minorBidi"/>
          <w:sz w:val="22"/>
          <w:szCs w:val="22"/>
          <w:rtl/>
        </w:rPr>
      </w:pPr>
      <w:r>
        <w:rPr>
          <w:rtl/>
        </w:rPr>
        <w:t>דברי הקה"י דמוכח בר"ן דלא פקע האיסור מהטעם הבלוע כיון דכתב הר"ן שאינו פגום</w:t>
      </w:r>
    </w:p>
    <w:p w:rsidR="007809D6" w:rsidRDefault="007809D6" w:rsidP="007809D6">
      <w:pPr>
        <w:pStyle w:val="aff2"/>
        <w:numPr>
          <w:ilvl w:val="0"/>
          <w:numId w:val="3"/>
        </w:numPr>
        <w:rPr>
          <w:rFonts w:eastAsiaTheme="minorEastAsia" w:cstheme="minorBidi"/>
          <w:sz w:val="22"/>
          <w:szCs w:val="22"/>
          <w:rtl/>
        </w:rPr>
      </w:pPr>
      <w:r>
        <w:rPr>
          <w:rtl/>
        </w:rPr>
        <w:t>דברי הקה"י דא"א לומר כחוו"ד דהאיסור פקע בפגום במקצת אלא הוא חסרון בהנאת האיסור</w:t>
      </w:r>
    </w:p>
    <w:p w:rsidR="007809D6" w:rsidRDefault="007809D6" w:rsidP="007809D6">
      <w:pPr>
        <w:pStyle w:val="aff2"/>
        <w:numPr>
          <w:ilvl w:val="0"/>
          <w:numId w:val="3"/>
        </w:numPr>
        <w:rPr>
          <w:rFonts w:eastAsiaTheme="minorEastAsia" w:cstheme="minorBidi"/>
          <w:sz w:val="22"/>
          <w:szCs w:val="22"/>
          <w:rtl/>
        </w:rPr>
      </w:pPr>
      <w:r>
        <w:rPr>
          <w:rtl/>
        </w:rPr>
        <w:t>ביאור הקה"י בר"ן דבאכילה שאינו נהנה ממנה פטור ולכן פקע האיסור מנבילה ונטל"פ מותר</w:t>
      </w:r>
    </w:p>
    <w:p w:rsidR="007809D6" w:rsidRDefault="007809D6" w:rsidP="007809D6">
      <w:pPr>
        <w:pStyle w:val="aff4"/>
        <w:rPr>
          <w:rFonts w:eastAsiaTheme="minorEastAsia" w:cstheme="minorBidi"/>
          <w:i/>
          <w:iCs/>
          <w:noProof/>
          <w:sz w:val="22"/>
          <w:szCs w:val="22"/>
          <w:rtl/>
        </w:rPr>
      </w:pPr>
      <w:r>
        <w:rPr>
          <w:noProof/>
          <w:rtl/>
        </w:rPr>
        <w:t>דברי הקה"י דלרשב"א טעם פגום אינו טעם אף לביטול ברוב</w:t>
      </w:r>
    </w:p>
    <w:p w:rsidR="007809D6" w:rsidRDefault="007809D6" w:rsidP="007809D6">
      <w:pPr>
        <w:pStyle w:val="aff2"/>
        <w:numPr>
          <w:ilvl w:val="0"/>
          <w:numId w:val="3"/>
        </w:numPr>
        <w:rPr>
          <w:rFonts w:eastAsiaTheme="minorEastAsia" w:cstheme="minorBidi"/>
          <w:sz w:val="22"/>
          <w:szCs w:val="22"/>
          <w:rtl/>
        </w:rPr>
      </w:pPr>
      <w:r>
        <w:rPr>
          <w:rtl/>
        </w:rPr>
        <w:t>ביאור הקה"י ברשב"א דטעם פגום אין בו טע"כ ואינו טעם לענין ביטול והממשות בטלה ברוב</w:t>
      </w:r>
    </w:p>
    <w:p w:rsidR="007809D6" w:rsidRDefault="007809D6" w:rsidP="007809D6">
      <w:pPr>
        <w:pStyle w:val="aff2"/>
        <w:numPr>
          <w:ilvl w:val="0"/>
          <w:numId w:val="3"/>
        </w:numPr>
        <w:rPr>
          <w:rFonts w:eastAsiaTheme="minorEastAsia" w:cstheme="minorBidi"/>
          <w:sz w:val="22"/>
          <w:szCs w:val="22"/>
          <w:rtl/>
        </w:rPr>
      </w:pPr>
      <w:r>
        <w:rPr>
          <w:rtl/>
        </w:rPr>
        <w:t>דברי הקה"י דברשב"א בשם הרי"ף מבואר דאף בטעם פגום לא מהני ביטול ברוב</w:t>
      </w:r>
    </w:p>
    <w:p w:rsidR="007809D6" w:rsidRDefault="007809D6" w:rsidP="007809D6">
      <w:pPr>
        <w:pStyle w:val="2"/>
        <w:rPr>
          <w:rtl/>
        </w:rPr>
      </w:pPr>
      <w:r>
        <w:rPr>
          <w:rFonts w:hint="cs"/>
          <w:rtl/>
        </w:rPr>
        <w:t>ביאור המקדש דוד דבנטל"פ ל"א נהפך</w:t>
      </w:r>
    </w:p>
    <w:p w:rsidR="007809D6" w:rsidRDefault="007809D6" w:rsidP="007809D6">
      <w:pPr>
        <w:pStyle w:val="aff4"/>
        <w:rPr>
          <w:rFonts w:eastAsiaTheme="minorEastAsia" w:cstheme="minorBidi"/>
          <w:i/>
          <w:iCs/>
          <w:noProof/>
          <w:sz w:val="22"/>
          <w:szCs w:val="22"/>
          <w:rtl/>
        </w:rPr>
      </w:pPr>
      <w:r>
        <w:rPr>
          <w:noProof/>
          <w:rtl/>
        </w:rPr>
        <w:t>ביאור המקדש דוד ברשב"א ובר"ן דבנטל"פ לא אמרינן נהפך</w:t>
      </w:r>
    </w:p>
    <w:p w:rsidR="007809D6" w:rsidRDefault="007809D6" w:rsidP="007809D6">
      <w:pPr>
        <w:pStyle w:val="aff2"/>
        <w:numPr>
          <w:ilvl w:val="0"/>
          <w:numId w:val="3"/>
        </w:numPr>
        <w:rPr>
          <w:rFonts w:eastAsiaTheme="minorEastAsia" w:cstheme="minorBidi"/>
          <w:sz w:val="22"/>
          <w:szCs w:val="22"/>
          <w:rtl/>
        </w:rPr>
      </w:pPr>
      <w:r>
        <w:rPr>
          <w:rtl/>
        </w:rPr>
        <w:t>קושית המקדש דוד על הר"ן דביטול ברוב אינו תלוי אם יש לו רווח ע"י הביטול או לא</w:t>
      </w:r>
    </w:p>
    <w:p w:rsidR="007809D6" w:rsidRDefault="007809D6" w:rsidP="007809D6">
      <w:pPr>
        <w:pStyle w:val="aff2"/>
        <w:numPr>
          <w:ilvl w:val="0"/>
          <w:numId w:val="3"/>
        </w:numPr>
        <w:rPr>
          <w:rFonts w:eastAsiaTheme="minorEastAsia" w:cstheme="minorBidi"/>
          <w:sz w:val="22"/>
          <w:szCs w:val="22"/>
          <w:rtl/>
        </w:rPr>
      </w:pPr>
      <w:r>
        <w:rPr>
          <w:rtl/>
        </w:rPr>
        <w:lastRenderedPageBreak/>
        <w:t>ביאור המקדש דוד בר"ן [עפי"ד הש"ך] דבנטל"פ לא אמרינן נהפך ואין בו דין טע"כ כלל</w:t>
      </w:r>
    </w:p>
    <w:p w:rsidR="007809D6" w:rsidRDefault="007809D6" w:rsidP="007809D6">
      <w:pPr>
        <w:pStyle w:val="aff2"/>
        <w:numPr>
          <w:ilvl w:val="0"/>
          <w:numId w:val="3"/>
        </w:numPr>
        <w:rPr>
          <w:rFonts w:eastAsiaTheme="minorEastAsia" w:cstheme="minorBidi"/>
          <w:sz w:val="22"/>
          <w:szCs w:val="22"/>
          <w:rtl/>
        </w:rPr>
      </w:pPr>
      <w:r>
        <w:rPr>
          <w:rtl/>
        </w:rPr>
        <w:t>דברי המקדש דוד דא"א לומר דבנבילה פקע האיסור ומוכח כהר"ן דההיתר כיון דאינו נהנה</w:t>
      </w:r>
    </w:p>
    <w:p w:rsidR="007809D6" w:rsidRDefault="007809D6" w:rsidP="007809D6">
      <w:pPr>
        <w:pStyle w:val="aff2"/>
        <w:numPr>
          <w:ilvl w:val="0"/>
          <w:numId w:val="3"/>
        </w:numPr>
        <w:rPr>
          <w:rFonts w:eastAsiaTheme="minorEastAsia" w:cstheme="minorBidi"/>
          <w:sz w:val="22"/>
          <w:szCs w:val="22"/>
          <w:rtl/>
        </w:rPr>
      </w:pPr>
      <w:r>
        <w:rPr>
          <w:rtl/>
        </w:rPr>
        <w:t>קושית המקדש דוד על הרשב"א דהאיך נטל"פ בטל ברוב הא אף טעם פגום ניכר</w:t>
      </w:r>
    </w:p>
    <w:p w:rsidR="007809D6" w:rsidRDefault="007809D6" w:rsidP="007809D6">
      <w:pPr>
        <w:pStyle w:val="aff2"/>
        <w:numPr>
          <w:ilvl w:val="0"/>
          <w:numId w:val="3"/>
        </w:numPr>
        <w:rPr>
          <w:rFonts w:eastAsiaTheme="minorEastAsia" w:cstheme="minorBidi"/>
          <w:sz w:val="22"/>
          <w:szCs w:val="22"/>
          <w:rtl/>
        </w:rPr>
      </w:pPr>
      <w:r>
        <w:rPr>
          <w:rtl/>
        </w:rPr>
        <w:t>ביאור המקדש דוד ברשב"א דבנטל"פ לא אמרינן נהפך ולכן מהני בו ביטול ברוב אף דניכר</w:t>
      </w:r>
    </w:p>
    <w:p w:rsidR="007809D6" w:rsidRDefault="007809D6" w:rsidP="007809D6">
      <w:pPr>
        <w:pStyle w:val="aff2"/>
        <w:numPr>
          <w:ilvl w:val="0"/>
          <w:numId w:val="3"/>
        </w:numPr>
        <w:rPr>
          <w:rFonts w:eastAsiaTheme="minorEastAsia" w:cstheme="minorBidi"/>
          <w:sz w:val="22"/>
          <w:szCs w:val="22"/>
          <w:rtl/>
        </w:rPr>
      </w:pPr>
      <w:r>
        <w:rPr>
          <w:rtl/>
        </w:rPr>
        <w:t>קושית המקדש דוד על הפוסקים דטע"כ הוא כיון דאינו ניכר דא"כ אף נטל"פ אינו בטל</w:t>
      </w:r>
    </w:p>
    <w:p w:rsidR="007809D6" w:rsidRPr="00D47CE7" w:rsidRDefault="007809D6" w:rsidP="007809D6">
      <w:pPr>
        <w:pStyle w:val="aff4"/>
        <w:rPr>
          <w:rtl/>
        </w:rPr>
        <w:sectPr w:rsidR="007809D6" w:rsidRPr="00D47CE7" w:rsidSect="007C10F3">
          <w:type w:val="continuous"/>
          <w:pgSz w:w="11906" w:h="16838"/>
          <w:pgMar w:top="720" w:right="720" w:bottom="720" w:left="720" w:header="283" w:footer="283" w:gutter="0"/>
          <w:pgNumType w:start="143"/>
          <w:cols w:num="2" w:space="113"/>
          <w:bidi/>
          <w:rtlGutter/>
          <w:docGrid w:linePitch="299"/>
        </w:sectPr>
      </w:pPr>
      <w:r w:rsidRPr="00D47CE7">
        <w:rPr>
          <w:rtl/>
        </w:rPr>
        <w:fldChar w:fldCharType="end"/>
      </w:r>
    </w:p>
    <w:p w:rsidR="007809D6" w:rsidRPr="00D47CE7" w:rsidRDefault="007809D6" w:rsidP="00E669F8">
      <w:pPr>
        <w:pStyle w:val="afd"/>
        <w:rPr>
          <w:rtl/>
        </w:rPr>
      </w:pPr>
      <w:bookmarkStart w:id="8064" w:name="_Toc15936048"/>
      <w:bookmarkStart w:id="8065" w:name="_Toc16116614"/>
      <w:bookmarkStart w:id="8066" w:name="_Toc16243771"/>
      <w:bookmarkStart w:id="8067" w:name="_Toc16679268"/>
      <w:bookmarkStart w:id="8068" w:name="_Toc16850469"/>
      <w:bookmarkStart w:id="8069" w:name="_Toc17624840"/>
      <w:bookmarkStart w:id="8070" w:name="_Toc17889788"/>
      <w:bookmarkStart w:id="8071" w:name="_Toc17975400"/>
      <w:bookmarkStart w:id="8072" w:name="_Toc17984074"/>
      <w:bookmarkStart w:id="8073" w:name="_Toc18228193"/>
      <w:bookmarkStart w:id="8074" w:name="_Toc18250724"/>
      <w:bookmarkStart w:id="8075" w:name="_Toc18266170"/>
      <w:bookmarkStart w:id="8076" w:name="_Toc18269074"/>
      <w:bookmarkStart w:id="8077" w:name="_Toc18323771"/>
      <w:bookmarkStart w:id="8078" w:name="_Toc18397343"/>
      <w:bookmarkStart w:id="8079" w:name="_Toc18404063"/>
      <w:bookmarkStart w:id="8080" w:name="_Toc18481479"/>
      <w:r w:rsidRPr="00D47CE7">
        <w:rPr>
          <w:rFonts w:hint="cs"/>
          <w:rtl/>
        </w:rPr>
        <w:lastRenderedPageBreak/>
        <w:t>מראי מקומות וביאורים</w:t>
      </w:r>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p>
    <w:p w:rsidR="007809D6" w:rsidRPr="00452820" w:rsidRDefault="007809D6" w:rsidP="007809D6">
      <w:pPr>
        <w:pStyle w:val="2"/>
        <w:bidi w:val="0"/>
        <w:rPr>
          <w:rFonts w:asciiTheme="minorHAnsi" w:hAnsiTheme="minorHAnsi"/>
          <w:rtl/>
        </w:rPr>
        <w:sectPr w:rsidR="007809D6" w:rsidRPr="00452820" w:rsidSect="007C10F3">
          <w:pgSz w:w="11906" w:h="16838"/>
          <w:pgMar w:top="720" w:right="720" w:bottom="720" w:left="720" w:header="283" w:footer="283" w:gutter="0"/>
          <w:cols w:space="720"/>
          <w:bidi/>
          <w:rtlGutter/>
          <w:docGrid w:linePitch="299"/>
        </w:sectPr>
      </w:pPr>
    </w:p>
    <w:p w:rsidR="007809D6" w:rsidRPr="00D47CE7" w:rsidRDefault="007809D6" w:rsidP="00E669F8">
      <w:pPr>
        <w:pStyle w:val="afd"/>
        <w:rPr>
          <w:rtl/>
        </w:rPr>
      </w:pPr>
      <w:bookmarkStart w:id="8081" w:name="_Toc16679269"/>
      <w:bookmarkStart w:id="8082" w:name="_Toc16850470"/>
      <w:bookmarkStart w:id="8083" w:name="_Toc17624841"/>
      <w:bookmarkStart w:id="8084" w:name="_Toc17889789"/>
      <w:bookmarkStart w:id="8085" w:name="_Toc17975401"/>
      <w:bookmarkStart w:id="8086" w:name="_Toc17984075"/>
      <w:bookmarkStart w:id="8087" w:name="_Toc18228194"/>
      <w:bookmarkStart w:id="8088" w:name="_Toc18250725"/>
      <w:bookmarkStart w:id="8089" w:name="_Toc18266171"/>
      <w:bookmarkStart w:id="8090" w:name="_Toc18269075"/>
      <w:bookmarkStart w:id="8091" w:name="_Toc18323772"/>
      <w:bookmarkStart w:id="8092" w:name="_Toc18397344"/>
      <w:bookmarkStart w:id="8093" w:name="_Toc18404064"/>
      <w:bookmarkStart w:id="8094" w:name="_Toc18481480"/>
      <w:r w:rsidRPr="00D47CE7">
        <w:rPr>
          <w:rFonts w:hint="cs"/>
          <w:rtl/>
        </w:rPr>
        <w:t xml:space="preserve">פלוגתת הראשונים בנטל"פ </w:t>
      </w:r>
      <w:bookmarkEnd w:id="8081"/>
      <w:bookmarkEnd w:id="8082"/>
      <w:bookmarkEnd w:id="8083"/>
      <w:bookmarkEnd w:id="8084"/>
      <w:bookmarkEnd w:id="8085"/>
      <w:bookmarkEnd w:id="8086"/>
      <w:bookmarkEnd w:id="8087"/>
      <w:bookmarkEnd w:id="8088"/>
      <w:bookmarkEnd w:id="8089"/>
      <w:bookmarkEnd w:id="8090"/>
      <w:r w:rsidRPr="00D47CE7">
        <w:rPr>
          <w:rFonts w:hint="cs"/>
          <w:rtl/>
        </w:rPr>
        <w:t>הראוי לגר</w:t>
      </w:r>
      <w:bookmarkEnd w:id="8091"/>
      <w:bookmarkEnd w:id="8092"/>
      <w:bookmarkEnd w:id="8093"/>
      <w:bookmarkEnd w:id="8094"/>
    </w:p>
    <w:p w:rsidR="007809D6" w:rsidRPr="00D47CE7" w:rsidRDefault="007809D6" w:rsidP="007809D6">
      <w:pPr>
        <w:pStyle w:val="1"/>
        <w:rPr>
          <w:rtl/>
        </w:rPr>
      </w:pPr>
      <w:bookmarkStart w:id="8095" w:name="_Toc15936050"/>
      <w:bookmarkStart w:id="8096" w:name="_Toc16116616"/>
      <w:bookmarkStart w:id="8097" w:name="_Toc16243773"/>
      <w:bookmarkStart w:id="8098" w:name="_Toc16679270"/>
      <w:bookmarkStart w:id="8099" w:name="_Toc16850471"/>
      <w:bookmarkStart w:id="8100" w:name="_Toc17624842"/>
      <w:bookmarkStart w:id="8101" w:name="_Toc17889790"/>
      <w:bookmarkStart w:id="8102" w:name="_Toc17975402"/>
      <w:bookmarkStart w:id="8103" w:name="_Toc17984076"/>
      <w:bookmarkStart w:id="8104" w:name="_Toc18228195"/>
      <w:bookmarkStart w:id="8105" w:name="_Toc18250726"/>
      <w:bookmarkStart w:id="8106" w:name="_Toc18266172"/>
      <w:bookmarkStart w:id="8107" w:name="_Toc18269076"/>
      <w:bookmarkStart w:id="8108" w:name="_Toc18323773"/>
      <w:bookmarkStart w:id="8109" w:name="_Toc18397345"/>
      <w:bookmarkStart w:id="8110" w:name="_Toc18404065"/>
      <w:bookmarkStart w:id="8111" w:name="_Toc18481481"/>
      <w:r w:rsidRPr="00D47CE7">
        <w:rPr>
          <w:rFonts w:hint="cs"/>
          <w:rtl/>
        </w:rPr>
        <w:t>דברי רש"י</w:t>
      </w:r>
      <w:bookmarkEnd w:id="8095"/>
      <w:bookmarkEnd w:id="8096"/>
      <w:bookmarkEnd w:id="8097"/>
      <w:r w:rsidRPr="00D47CE7">
        <w:rPr>
          <w:rFonts w:hint="cs"/>
          <w:rtl/>
        </w:rPr>
        <w:t xml:space="preserve"> ותוס'</w:t>
      </w:r>
      <w:bookmarkEnd w:id="8098"/>
      <w:bookmarkEnd w:id="8099"/>
      <w:bookmarkEnd w:id="8100"/>
      <w:bookmarkEnd w:id="8101"/>
      <w:r w:rsidRPr="00D47CE7">
        <w:rPr>
          <w:rFonts w:hint="cs"/>
          <w:rtl/>
        </w:rPr>
        <w:t xml:space="preserve"> דנטל"פ בפגום קצת חשיב אינה נאכלת ומותר</w:t>
      </w:r>
      <w:bookmarkEnd w:id="8102"/>
      <w:bookmarkEnd w:id="8103"/>
      <w:bookmarkEnd w:id="8104"/>
      <w:bookmarkEnd w:id="8105"/>
      <w:bookmarkEnd w:id="8106"/>
      <w:bookmarkEnd w:id="8107"/>
      <w:bookmarkEnd w:id="8108"/>
      <w:bookmarkEnd w:id="8109"/>
      <w:bookmarkEnd w:id="8110"/>
      <w:bookmarkEnd w:id="8111"/>
    </w:p>
    <w:p w:rsidR="007809D6" w:rsidRPr="00D47CE7" w:rsidRDefault="007809D6" w:rsidP="007809D6">
      <w:pPr>
        <w:pStyle w:val="a2"/>
        <w:rPr>
          <w:rtl/>
        </w:rPr>
      </w:pPr>
      <w:bookmarkStart w:id="8112" w:name="_Toc17975403"/>
      <w:bookmarkStart w:id="8113" w:name="_Toc17984077"/>
      <w:bookmarkStart w:id="8114" w:name="_Toc18228196"/>
      <w:bookmarkStart w:id="8115" w:name="_Toc18250727"/>
      <w:bookmarkStart w:id="8116" w:name="_Toc18266173"/>
      <w:bookmarkStart w:id="8117" w:name="_Toc18269077"/>
      <w:bookmarkStart w:id="8118" w:name="_Toc18323774"/>
      <w:bookmarkStart w:id="8119" w:name="_Toc18397346"/>
      <w:bookmarkStart w:id="8120" w:name="_Toc18404066"/>
      <w:bookmarkStart w:id="8121" w:name="_Toc18481482"/>
      <w:r w:rsidRPr="00D47CE7">
        <w:rPr>
          <w:rFonts w:hint="cs"/>
          <w:rtl/>
        </w:rPr>
        <w:t>דברי רש"י ותוס' דלל"ק דר"ל היתר נטל"פ כשהפגם הוא רק מחמת האיסור ולא חסר תיקון אחר</w:t>
      </w:r>
      <w:bookmarkEnd w:id="8112"/>
      <w:bookmarkEnd w:id="8113"/>
      <w:bookmarkEnd w:id="8114"/>
      <w:bookmarkEnd w:id="8115"/>
      <w:bookmarkEnd w:id="8116"/>
      <w:bookmarkEnd w:id="8117"/>
      <w:bookmarkEnd w:id="8118"/>
      <w:bookmarkEnd w:id="8119"/>
      <w:bookmarkEnd w:id="8120"/>
      <w:bookmarkEnd w:id="8121"/>
    </w:p>
    <w:p w:rsidR="007809D6" w:rsidRPr="00D47CE7" w:rsidRDefault="007809D6" w:rsidP="009F44AF">
      <w:pPr>
        <w:pStyle w:val="a"/>
        <w:numPr>
          <w:ilvl w:val="0"/>
          <w:numId w:val="17"/>
        </w:numPr>
      </w:pPr>
      <w:r w:rsidRPr="00D47CE7">
        <w:rPr>
          <w:rFonts w:hint="cs"/>
          <w:rtl/>
        </w:rPr>
        <w:t xml:space="preserve">בביאור הל"ק דר"ל דההיתר בנותן טעם לפגם, אינו במקום שאפש"ל דהפגם הוא מחמת דהקדירה חסרה מלח, או תבלין, אלא שאינה חסרה כלום, ואינה נאכלת רק מחמת הפגם, ביארו </w:t>
      </w:r>
      <w:r w:rsidRPr="00D47CE7">
        <w:rPr>
          <w:rStyle w:val="af8"/>
          <w:rtl/>
        </w:rPr>
        <w:t>רש"י</w:t>
      </w:r>
      <w:r>
        <w:rPr>
          <w:rStyle w:val="af8"/>
          <w:rtl/>
        </w:rPr>
        <w:t xml:space="preserve"> </w:t>
      </w:r>
      <w:r w:rsidRPr="009F44AF">
        <w:rPr>
          <w:rStyle w:val="af6"/>
          <w:rFonts w:eastAsia="Guttman Hodes" w:hint="cs"/>
          <w:rtl/>
        </w:rPr>
        <w:t>(סז. ד"ה כל)</w:t>
      </w:r>
      <w:r w:rsidRPr="00D47CE7">
        <w:rPr>
          <w:rFonts w:hint="cs"/>
          <w:rtl/>
        </w:rPr>
        <w:t xml:space="preserve"> </w:t>
      </w:r>
      <w:r w:rsidRPr="00D47CE7">
        <w:rPr>
          <w:rStyle w:val="af8"/>
          <w:rtl/>
        </w:rPr>
        <w:t>ותוס'</w:t>
      </w:r>
      <w:r>
        <w:rPr>
          <w:rStyle w:val="af8"/>
          <w:rtl/>
        </w:rPr>
        <w:t xml:space="preserve"> </w:t>
      </w:r>
      <w:r w:rsidRPr="009F44AF">
        <w:rPr>
          <w:rStyle w:val="af6"/>
          <w:rFonts w:eastAsia="Guttman Hodes" w:hint="cs"/>
          <w:rtl/>
        </w:rPr>
        <w:t>(סז. ד"ה אמר ר"ל)</w:t>
      </w:r>
      <w:r w:rsidRPr="00D47CE7">
        <w:rPr>
          <w:rFonts w:hint="cs"/>
          <w:rtl/>
        </w:rPr>
        <w:t xml:space="preserve"> דלל"ק דברי ר"ל הם לחומרא, דדהיתר בנותן טעם לפגם, הוא רק במקום שא"א לתלות את הפגם בדבר אחר, כגון שחסר מלח או תבלין, אלא אין כל תיקון שצריך לתקן בקדירה, ורק האיסור הוא שפגם אותה, אבל במקום שיתכן שאם לא היה חסר מלח או תבלין היה האיסור משביח, לא התירו אף שעכשיו הוא פוגם.</w:t>
      </w:r>
    </w:p>
    <w:p w:rsidR="007809D6" w:rsidRPr="00D47CE7" w:rsidRDefault="007809D6" w:rsidP="007809D6">
      <w:pPr>
        <w:pStyle w:val="a2"/>
        <w:rPr>
          <w:rtl/>
        </w:rPr>
      </w:pPr>
      <w:bookmarkStart w:id="8122" w:name="_Toc17975404"/>
      <w:bookmarkStart w:id="8123" w:name="_Toc17984078"/>
      <w:bookmarkStart w:id="8124" w:name="_Toc18228197"/>
      <w:bookmarkStart w:id="8125" w:name="_Toc18250728"/>
      <w:bookmarkStart w:id="8126" w:name="_Toc18266174"/>
      <w:bookmarkStart w:id="8127" w:name="_Toc18269078"/>
      <w:bookmarkStart w:id="8128" w:name="_Toc18323775"/>
      <w:bookmarkStart w:id="8129" w:name="_Toc18397347"/>
      <w:bookmarkStart w:id="8130" w:name="_Toc18404067"/>
      <w:bookmarkStart w:id="8131" w:name="_Toc18481483"/>
      <w:r w:rsidRPr="00D47CE7">
        <w:rPr>
          <w:rFonts w:hint="cs"/>
          <w:rtl/>
        </w:rPr>
        <w:t>דברי רש"י ותוס' והרמב"ן והרשב"א והר"ן דהיתר נטל"פ הוא אף בפגום קצת</w:t>
      </w:r>
      <w:bookmarkEnd w:id="8122"/>
      <w:r w:rsidRPr="00D47CE7">
        <w:rPr>
          <w:rFonts w:hint="cs"/>
          <w:rtl/>
        </w:rPr>
        <w:t xml:space="preserve"> וחשיב לא נאכלת</w:t>
      </w:r>
      <w:bookmarkEnd w:id="8123"/>
      <w:bookmarkEnd w:id="8124"/>
      <w:bookmarkEnd w:id="8125"/>
      <w:bookmarkEnd w:id="8126"/>
      <w:bookmarkEnd w:id="8127"/>
      <w:bookmarkEnd w:id="8128"/>
      <w:bookmarkEnd w:id="8129"/>
      <w:bookmarkEnd w:id="8130"/>
      <w:bookmarkEnd w:id="8131"/>
    </w:p>
    <w:p w:rsidR="007809D6" w:rsidRPr="00D47CE7" w:rsidRDefault="007809D6" w:rsidP="009F44AF">
      <w:pPr>
        <w:pStyle w:val="a"/>
        <w:numPr>
          <w:ilvl w:val="0"/>
          <w:numId w:val="17"/>
        </w:numPr>
      </w:pPr>
      <w:bookmarkStart w:id="8132" w:name="_Ref16676320"/>
      <w:r w:rsidRPr="00D47CE7">
        <w:rPr>
          <w:rFonts w:hint="cs"/>
          <w:rtl/>
        </w:rPr>
        <w:t xml:space="preserve">והוסיפו </w:t>
      </w:r>
      <w:r w:rsidRPr="00D47CE7">
        <w:rPr>
          <w:rStyle w:val="af8"/>
          <w:rtl/>
        </w:rPr>
        <w:t>רש"י</w:t>
      </w:r>
      <w:r w:rsidRPr="00D47CE7">
        <w:rPr>
          <w:rFonts w:hint="cs"/>
          <w:rtl/>
        </w:rPr>
        <w:t xml:space="preserve"> </w:t>
      </w:r>
      <w:r w:rsidRPr="00D47CE7">
        <w:rPr>
          <w:rStyle w:val="af8"/>
          <w:rtl/>
        </w:rPr>
        <w:t>ותוס'</w:t>
      </w:r>
      <w:r>
        <w:rPr>
          <w:rStyle w:val="af8"/>
          <w:rtl/>
        </w:rPr>
        <w:t xml:space="preserve"> </w:t>
      </w:r>
      <w:r w:rsidRPr="00D47CE7">
        <w:rPr>
          <w:rFonts w:hint="cs"/>
          <w:rtl/>
        </w:rPr>
        <w:t xml:space="preserve">דמ"ש אמר ר"ל "ואינה נאכלת", דאין כוונתו לומר שאינה נאכלת כלל מחמת הפגם של האיסור, אלא כוונתו דהקדירה נפגמת, וכל שהאיסור פגם אותה מעט, אמרינן דאינה נאכלת מחמת הפגם, וכ"כ </w:t>
      </w:r>
      <w:r w:rsidRPr="00D47CE7">
        <w:rPr>
          <w:rStyle w:val="af8"/>
          <w:rFonts w:hint="cs"/>
          <w:rtl/>
        </w:rPr>
        <w:t>הרמב"ן והרשב"א והר"ן</w:t>
      </w:r>
      <w:r w:rsidRPr="00D47CE7">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Ref16503226 \r \h</w:instrText>
      </w:r>
      <w:r w:rsidRPr="009F44AF">
        <w:rPr>
          <w:rStyle w:val="af6"/>
          <w:rFonts w:eastAsia="Guttman Hodes"/>
          <w:rtl/>
        </w:rPr>
        <w:instrText xml:space="preserve">  \* </w:instrText>
      </w:r>
      <w:r w:rsidRPr="009F44AF">
        <w:rPr>
          <w:rStyle w:val="af6"/>
          <w:rFonts w:eastAsia="Guttman Hodes"/>
        </w:rPr>
        <w:instrText>MERGEFORMAT</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9F44AF">
        <w:rPr>
          <w:rStyle w:val="af6"/>
          <w:rFonts w:eastAsia="Guttman Hodes"/>
          <w:rtl/>
        </w:rPr>
        <w:fldChar w:fldCharType="end"/>
      </w:r>
      <w:r w:rsidRPr="00D47CE7">
        <w:rPr>
          <w:rFonts w:hint="cs"/>
          <w:rtl/>
        </w:rPr>
        <w:t>.</w:t>
      </w:r>
      <w:bookmarkEnd w:id="8132"/>
    </w:p>
    <w:p w:rsidR="007809D6" w:rsidRPr="00D47CE7" w:rsidRDefault="007809D6" w:rsidP="007809D6">
      <w:pPr>
        <w:pStyle w:val="a2"/>
        <w:rPr>
          <w:rtl/>
        </w:rPr>
      </w:pPr>
      <w:bookmarkStart w:id="8133" w:name="_Toc17975405"/>
      <w:bookmarkStart w:id="8134" w:name="_Toc17984079"/>
      <w:bookmarkStart w:id="8135" w:name="_Toc18228198"/>
      <w:bookmarkStart w:id="8136" w:name="_Toc18250729"/>
      <w:bookmarkStart w:id="8137" w:name="_Toc18266175"/>
      <w:bookmarkStart w:id="8138" w:name="_Toc18269079"/>
      <w:bookmarkStart w:id="8139" w:name="_Toc18323776"/>
      <w:bookmarkStart w:id="8140" w:name="_Toc18397348"/>
      <w:bookmarkStart w:id="8141" w:name="_Toc18404068"/>
      <w:bookmarkStart w:id="8142" w:name="_Toc18481484"/>
      <w:r w:rsidRPr="00D47CE7">
        <w:rPr>
          <w:rFonts w:hint="cs"/>
          <w:rtl/>
        </w:rPr>
        <w:t>דברי רש""י ותוס' דלל"ב היתר נטל"פ הוא אף אם חסר גם תיקון אחר כיון שעכשיו האיסור פוגם</w:t>
      </w:r>
      <w:bookmarkEnd w:id="8133"/>
      <w:bookmarkEnd w:id="8134"/>
      <w:bookmarkEnd w:id="8135"/>
      <w:bookmarkEnd w:id="8136"/>
      <w:bookmarkEnd w:id="8137"/>
      <w:bookmarkEnd w:id="8138"/>
      <w:bookmarkEnd w:id="8139"/>
      <w:bookmarkEnd w:id="8140"/>
      <w:bookmarkEnd w:id="8141"/>
      <w:bookmarkEnd w:id="8142"/>
      <w:r w:rsidRPr="00D47CE7">
        <w:rPr>
          <w:rFonts w:hint="cs"/>
          <w:rtl/>
        </w:rPr>
        <w:t xml:space="preserve"> </w:t>
      </w:r>
    </w:p>
    <w:p w:rsidR="007809D6" w:rsidRPr="00D47CE7" w:rsidRDefault="007809D6" w:rsidP="009F44AF">
      <w:pPr>
        <w:pStyle w:val="a"/>
        <w:rPr>
          <w:rtl/>
        </w:rPr>
      </w:pPr>
      <w:bookmarkStart w:id="8143" w:name="_Ref16764695"/>
      <w:r w:rsidRPr="00D47CE7">
        <w:rPr>
          <w:rFonts w:hint="cs"/>
          <w:rtl/>
        </w:rPr>
        <w:t xml:space="preserve">ובביאור הל"ב דר"ל ביארו </w:t>
      </w:r>
      <w:r w:rsidRPr="00D47CE7">
        <w:rPr>
          <w:rStyle w:val="af8"/>
          <w:rFonts w:hint="cs"/>
          <w:rtl/>
        </w:rPr>
        <w:t>רש"י</w:t>
      </w:r>
      <w:r>
        <w:rPr>
          <w:rStyle w:val="af8"/>
          <w:rFonts w:hint="cs"/>
          <w:rtl/>
        </w:rPr>
        <w:t xml:space="preserve"> </w:t>
      </w:r>
      <w:r w:rsidRPr="00D47CE7">
        <w:rPr>
          <w:rStyle w:val="af6"/>
          <w:rFonts w:eastAsia="Guttman Hodes" w:hint="cs"/>
          <w:rtl/>
        </w:rPr>
        <w:t>(סז. ד"ה נותן טעם)</w:t>
      </w:r>
      <w:r w:rsidRPr="00D47CE7">
        <w:rPr>
          <w:rFonts w:hint="cs"/>
          <w:rtl/>
        </w:rPr>
        <w:t xml:space="preserve"> </w:t>
      </w:r>
      <w:r w:rsidRPr="00D47CE7">
        <w:rPr>
          <w:rStyle w:val="af8"/>
          <w:rFonts w:hint="cs"/>
          <w:rtl/>
        </w:rPr>
        <w:t>והתוס'</w:t>
      </w:r>
      <w:r>
        <w:rPr>
          <w:rStyle w:val="af8"/>
          <w:rFonts w:hint="cs"/>
          <w:rtl/>
        </w:rPr>
        <w:t xml:space="preserve"> </w:t>
      </w:r>
      <w:r w:rsidRPr="00D47CE7">
        <w:rPr>
          <w:rStyle w:val="af6"/>
          <w:rFonts w:eastAsia="Guttman Hodes" w:hint="cs"/>
          <w:rtl/>
        </w:rPr>
        <w:t>(סז. ד"ה אמר ר"ל)</w:t>
      </w:r>
      <w:r w:rsidRPr="00D47CE7">
        <w:rPr>
          <w:rFonts w:hint="cs"/>
          <w:rtl/>
        </w:rPr>
        <w:t xml:space="preserve"> דהוא לקולא, וההיתר בנותן טעם לפגם הוא אף במקום שאפש"ל דהקדירה חסירה מלח או תבלין, ואף שיתכן שאם הייתה הקדירה מתוקנת האיסור לא היה פוגם אותה, כיון שהמלח היה מבטל את הפגם את האיסור ומתן אותו, מ"מ מותר כיון שעכשיו כמו שהקדירה לפנינו, האיסור פוגם את הקדירה, ולכן ההיתר הוא אף בקדירה שחסירה מלח או תבלין.</w:t>
      </w:r>
      <w:bookmarkEnd w:id="8143"/>
    </w:p>
    <w:p w:rsidR="007809D6" w:rsidRPr="00D47CE7" w:rsidRDefault="007809D6" w:rsidP="007809D6">
      <w:pPr>
        <w:pStyle w:val="1"/>
        <w:rPr>
          <w:rtl/>
        </w:rPr>
      </w:pPr>
      <w:bookmarkStart w:id="8144" w:name="_Toc16850472"/>
      <w:bookmarkStart w:id="8145" w:name="_Toc16679271"/>
      <w:bookmarkStart w:id="8146" w:name="_Toc17624843"/>
      <w:bookmarkStart w:id="8147" w:name="_Toc17889791"/>
      <w:bookmarkStart w:id="8148" w:name="_Toc17975406"/>
      <w:bookmarkStart w:id="8149" w:name="_Toc17984080"/>
      <w:bookmarkStart w:id="8150" w:name="_Toc18228199"/>
      <w:bookmarkStart w:id="8151" w:name="_Toc18250730"/>
      <w:bookmarkStart w:id="8152" w:name="_Toc18266176"/>
      <w:bookmarkStart w:id="8153" w:name="_Toc18269080"/>
      <w:bookmarkStart w:id="8154" w:name="_Toc18323777"/>
      <w:bookmarkStart w:id="8155" w:name="_Toc18397349"/>
      <w:bookmarkStart w:id="8156" w:name="_Toc18404069"/>
      <w:bookmarkStart w:id="8157" w:name="_Toc18481485"/>
      <w:r w:rsidRPr="00D47CE7">
        <w:rPr>
          <w:rFonts w:hint="cs"/>
          <w:rtl/>
        </w:rPr>
        <w:t xml:space="preserve">דעת הראב"ד </w:t>
      </w:r>
      <w:bookmarkEnd w:id="8144"/>
      <w:bookmarkEnd w:id="8145"/>
      <w:r w:rsidRPr="00D47CE7">
        <w:rPr>
          <w:rFonts w:hint="cs"/>
          <w:rtl/>
        </w:rPr>
        <w:t>דהיתר נטל"פ הוא רק בפגום לגמרי דלא ראוי לגר</w:t>
      </w:r>
      <w:bookmarkEnd w:id="8146"/>
      <w:bookmarkEnd w:id="8147"/>
      <w:bookmarkEnd w:id="8148"/>
      <w:bookmarkEnd w:id="8149"/>
      <w:bookmarkEnd w:id="8150"/>
      <w:bookmarkEnd w:id="8151"/>
      <w:bookmarkEnd w:id="8152"/>
      <w:bookmarkEnd w:id="8153"/>
      <w:bookmarkEnd w:id="8154"/>
      <w:bookmarkEnd w:id="8155"/>
      <w:bookmarkEnd w:id="8156"/>
      <w:bookmarkEnd w:id="8157"/>
    </w:p>
    <w:p w:rsidR="007809D6" w:rsidRPr="00D47CE7" w:rsidRDefault="007809D6" w:rsidP="007809D6">
      <w:pPr>
        <w:pStyle w:val="a2"/>
        <w:rPr>
          <w:rtl/>
        </w:rPr>
      </w:pPr>
      <w:bookmarkStart w:id="8158" w:name="_Toc17975407"/>
      <w:bookmarkStart w:id="8159" w:name="_Toc17984081"/>
      <w:bookmarkStart w:id="8160" w:name="_Toc18228200"/>
      <w:bookmarkStart w:id="8161" w:name="_Toc18250731"/>
      <w:bookmarkStart w:id="8162" w:name="_Toc18266177"/>
      <w:bookmarkStart w:id="8163" w:name="_Toc18269081"/>
      <w:bookmarkStart w:id="8164" w:name="_Toc18323778"/>
      <w:bookmarkStart w:id="8165" w:name="_Toc18397350"/>
      <w:bookmarkStart w:id="8166" w:name="_Toc18404070"/>
      <w:bookmarkStart w:id="8167" w:name="_Toc18481486"/>
      <w:r w:rsidRPr="00D47CE7">
        <w:rPr>
          <w:rFonts w:hint="cs"/>
          <w:rtl/>
        </w:rPr>
        <w:t>דברי הראב"ד דהיתר נטל"פ הוא רק כשאינה נאכלת לגמרי כנבילה שלא ראויה לגר</w:t>
      </w:r>
      <w:bookmarkEnd w:id="8158"/>
      <w:bookmarkEnd w:id="8159"/>
      <w:bookmarkEnd w:id="8160"/>
      <w:bookmarkEnd w:id="8161"/>
      <w:bookmarkEnd w:id="8162"/>
      <w:bookmarkEnd w:id="8163"/>
      <w:bookmarkEnd w:id="8164"/>
      <w:bookmarkEnd w:id="8165"/>
      <w:bookmarkEnd w:id="8166"/>
      <w:bookmarkEnd w:id="8167"/>
    </w:p>
    <w:p w:rsidR="007809D6" w:rsidRPr="00D47CE7" w:rsidRDefault="007809D6" w:rsidP="009F44AF">
      <w:pPr>
        <w:pStyle w:val="a"/>
        <w:rPr>
          <w:rtl/>
        </w:rPr>
      </w:pPr>
      <w:r w:rsidRPr="00D47CE7">
        <w:rPr>
          <w:rFonts w:hint="cs"/>
          <w:rtl/>
        </w:rPr>
        <w:t xml:space="preserve">אמנם </w:t>
      </w:r>
      <w:r w:rsidRPr="00D47CE7">
        <w:rPr>
          <w:rStyle w:val="af8"/>
          <w:rFonts w:hint="cs"/>
          <w:rtl/>
        </w:rPr>
        <w:t>הראב"ד</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Ref16242939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 xml:space="preserve">כתב דמוכח מל"ב דר"ל דהיתר נותן טעם לפגם הוא רק במקום שפגם לגמרי כנבילה שאינה ראויה לגר, וכתב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Ref16676455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D47CE7">
        <w:rPr>
          <w:rStyle w:val="af6"/>
          <w:rFonts w:eastAsia="Guttman Hodes"/>
          <w:rtl/>
        </w:rPr>
        <w:fldChar w:fldCharType="end"/>
      </w:r>
      <w:r w:rsidRPr="00D47CE7">
        <w:rPr>
          <w:rFonts w:hint="cs"/>
          <w:rtl/>
        </w:rPr>
        <w:t xml:space="preserve"> </w:t>
      </w:r>
      <w:r w:rsidRPr="00D47CE7">
        <w:rPr>
          <w:rStyle w:val="af8"/>
          <w:rFonts w:hint="cs"/>
          <w:rtl/>
        </w:rPr>
        <w:t>דהראב"ד</w:t>
      </w:r>
      <w:r w:rsidRPr="00D47CE7">
        <w:rPr>
          <w:rFonts w:hint="cs"/>
          <w:rtl/>
        </w:rPr>
        <w:t xml:space="preserve"> ביאר דכוונת ר"ל לומר דאינה נאכלת לגמרי</w:t>
      </w:r>
      <w:r>
        <w:rPr>
          <w:rFonts w:hint="cs"/>
          <w:rtl/>
        </w:rPr>
        <w:t xml:space="preserve">, </w:t>
      </w:r>
      <w:r w:rsidRPr="00D47CE7">
        <w:rPr>
          <w:rFonts w:hint="cs"/>
          <w:rtl/>
        </w:rPr>
        <w:t xml:space="preserve">וכתבו </w:t>
      </w:r>
      <w:r w:rsidRPr="00D47CE7">
        <w:rPr>
          <w:rStyle w:val="af8"/>
          <w:rFonts w:hint="cs"/>
          <w:rtl/>
        </w:rPr>
        <w:t>הרמב"ן</w:t>
      </w:r>
      <w:r>
        <w:rPr>
          <w:rStyle w:val="af8"/>
          <w:rFonts w:hint="cs"/>
          <w:rtl/>
        </w:rPr>
        <w:t xml:space="preserve"> </w:t>
      </w:r>
      <w:r w:rsidRPr="00D47CE7">
        <w:rPr>
          <w:rStyle w:val="af6"/>
          <w:rFonts w:eastAsia="Guttman Hodes" w:hint="cs"/>
          <w:rtl/>
        </w:rPr>
        <w:t>(סז.ד"ה כל)</w:t>
      </w:r>
      <w:r w:rsidRPr="00D47CE7">
        <w:rPr>
          <w:rFonts w:hint="cs"/>
          <w:rtl/>
        </w:rPr>
        <w:t xml:space="preserve"> </w:t>
      </w:r>
      <w:r w:rsidRPr="00D47CE7">
        <w:rPr>
          <w:rStyle w:val="af8"/>
          <w:rFonts w:hint="cs"/>
          <w:rtl/>
        </w:rPr>
        <w:t>והרשב"א</w:t>
      </w:r>
      <w:r w:rsidRPr="00D47CE7">
        <w:rPr>
          <w:rFonts w:hint="cs"/>
          <w:rtl/>
        </w:rPr>
        <w:t xml:space="preserve"> </w:t>
      </w:r>
      <w:r w:rsidRPr="00D47CE7">
        <w:rPr>
          <w:rStyle w:val="af8"/>
          <w:rFonts w:hint="cs"/>
          <w:rtl/>
        </w:rPr>
        <w:t>בחי'</w:t>
      </w:r>
      <w:r>
        <w:rPr>
          <w:rStyle w:val="af8"/>
          <w:rFonts w:hint="cs"/>
          <w:rtl/>
        </w:rPr>
        <w:t xml:space="preserve"> </w:t>
      </w:r>
      <w:r w:rsidRPr="00D47CE7">
        <w:rPr>
          <w:rStyle w:val="af6"/>
          <w:rFonts w:eastAsia="Guttman Hodes" w:hint="cs"/>
          <w:rtl/>
        </w:rPr>
        <w:t>(סז.ד"ה כל)</w:t>
      </w:r>
      <w:r w:rsidRPr="00D47CE7">
        <w:rPr>
          <w:rFonts w:hint="cs"/>
          <w:rtl/>
        </w:rPr>
        <w:t xml:space="preserve"> </w:t>
      </w:r>
      <w:r w:rsidRPr="00D47CE7">
        <w:rPr>
          <w:rStyle w:val="af8"/>
          <w:rFonts w:hint="cs"/>
          <w:rtl/>
        </w:rPr>
        <w:t>ובתוה"ב</w:t>
      </w:r>
      <w:r w:rsidRPr="00D47CE7">
        <w:rPr>
          <w:rFonts w:hint="cs"/>
          <w:rtl/>
        </w:rPr>
        <w:t xml:space="preserve"> </w:t>
      </w:r>
      <w:r w:rsidRPr="00D47CE7">
        <w:rPr>
          <w:rStyle w:val="af6"/>
          <w:rFonts w:eastAsia="Guttman Hodes" w:hint="cs"/>
          <w:rtl/>
        </w:rPr>
        <w:t>(ב"ד ש"א יט. מדה"ס ד"ה פגם)</w:t>
      </w:r>
      <w:r w:rsidRPr="00D47CE7">
        <w:rPr>
          <w:rStyle w:val="af8"/>
          <w:rFonts w:hint="cs"/>
          <w:rtl/>
        </w:rPr>
        <w:t xml:space="preserve"> והר"ן בחי'</w:t>
      </w:r>
      <w:r>
        <w:rPr>
          <w:rStyle w:val="af8"/>
          <w:rFonts w:hint="cs"/>
          <w:rtl/>
        </w:rPr>
        <w:t xml:space="preserve"> </w:t>
      </w:r>
      <w:r w:rsidRPr="00D47CE7">
        <w:rPr>
          <w:rStyle w:val="af6"/>
          <w:rFonts w:eastAsia="Guttman Hodes" w:hint="cs"/>
          <w:rtl/>
        </w:rPr>
        <w:t>(סו: ד"ה כל)</w:t>
      </w:r>
      <w:r w:rsidRPr="00D47CE7">
        <w:rPr>
          <w:rStyle w:val="af8"/>
          <w:rFonts w:hint="cs"/>
          <w:rtl/>
        </w:rPr>
        <w:t xml:space="preserve"> </w:t>
      </w:r>
      <w:r w:rsidRPr="00D47CE7">
        <w:rPr>
          <w:rFonts w:hint="cs"/>
          <w:rtl/>
        </w:rPr>
        <w:t xml:space="preserve">דמה שפירש </w:t>
      </w:r>
      <w:r w:rsidRPr="00D47CE7">
        <w:rPr>
          <w:rStyle w:val="af8"/>
          <w:rFonts w:hint="cs"/>
          <w:rtl/>
        </w:rPr>
        <w:t>הראב"ד</w:t>
      </w:r>
      <w:r w:rsidRPr="00D47CE7">
        <w:rPr>
          <w:rFonts w:hint="cs"/>
          <w:rtl/>
        </w:rPr>
        <w:t xml:space="preserve"> </w:t>
      </w:r>
      <w:r w:rsidRPr="0081370B">
        <w:rPr>
          <w:rFonts w:hint="cs"/>
          <w:rtl/>
        </w:rPr>
        <w:t>אינו נכון</w:t>
      </w:r>
      <w:r w:rsidRPr="00D47CE7">
        <w:rPr>
          <w:rFonts w:hint="cs"/>
          <w:rtl/>
        </w:rPr>
        <w:t>.</w:t>
      </w:r>
    </w:p>
    <w:p w:rsidR="007809D6" w:rsidRPr="00D47CE7" w:rsidRDefault="007809D6" w:rsidP="007809D6">
      <w:pPr>
        <w:pStyle w:val="1"/>
        <w:rPr>
          <w:rtl/>
        </w:rPr>
      </w:pPr>
      <w:bookmarkStart w:id="8168" w:name="_Toc17624844"/>
      <w:bookmarkStart w:id="8169" w:name="_Toc17889792"/>
      <w:bookmarkStart w:id="8170" w:name="_Toc17975408"/>
      <w:bookmarkStart w:id="8171" w:name="_Toc17984082"/>
      <w:bookmarkStart w:id="8172" w:name="_Toc18228201"/>
      <w:bookmarkStart w:id="8173" w:name="_Toc18250732"/>
      <w:bookmarkStart w:id="8174" w:name="_Toc18266178"/>
      <w:bookmarkStart w:id="8175" w:name="_Toc18269082"/>
      <w:bookmarkStart w:id="8176" w:name="_Toc18323779"/>
      <w:bookmarkStart w:id="8177" w:name="_Toc18397351"/>
      <w:bookmarkStart w:id="8178" w:name="_Toc18404071"/>
      <w:bookmarkStart w:id="8179" w:name="_Toc18481487"/>
      <w:r w:rsidRPr="00D47CE7">
        <w:rPr>
          <w:rFonts w:hint="cs"/>
          <w:rtl/>
        </w:rPr>
        <w:t>דעת הרא"ה דבנטל"פ האיסור פגום לגמרי אף דנאכל עם ההיתר</w:t>
      </w:r>
      <w:bookmarkEnd w:id="8168"/>
      <w:bookmarkEnd w:id="8169"/>
      <w:bookmarkEnd w:id="8170"/>
      <w:bookmarkEnd w:id="8171"/>
      <w:bookmarkEnd w:id="8172"/>
      <w:bookmarkEnd w:id="8173"/>
      <w:bookmarkEnd w:id="8174"/>
      <w:bookmarkEnd w:id="8175"/>
      <w:bookmarkEnd w:id="8176"/>
      <w:bookmarkEnd w:id="8177"/>
      <w:bookmarkEnd w:id="8178"/>
      <w:bookmarkEnd w:id="8179"/>
    </w:p>
    <w:p w:rsidR="007809D6" w:rsidRPr="00D47CE7" w:rsidRDefault="007809D6" w:rsidP="007809D6">
      <w:pPr>
        <w:pStyle w:val="a2"/>
      </w:pPr>
      <w:bookmarkStart w:id="8180" w:name="_Toc17975409"/>
      <w:bookmarkStart w:id="8181" w:name="_Toc17984083"/>
      <w:bookmarkStart w:id="8182" w:name="_Toc18228202"/>
      <w:bookmarkStart w:id="8183" w:name="_Toc18250733"/>
      <w:bookmarkStart w:id="8184" w:name="_Toc18266179"/>
      <w:bookmarkStart w:id="8185" w:name="_Toc18269083"/>
      <w:bookmarkStart w:id="8186" w:name="_Toc18323780"/>
      <w:bookmarkStart w:id="8187" w:name="_Toc18397352"/>
      <w:bookmarkStart w:id="8188" w:name="_Toc18404072"/>
      <w:bookmarkStart w:id="8189" w:name="_Toc18481488"/>
      <w:r w:rsidRPr="00D47CE7">
        <w:rPr>
          <w:rFonts w:hint="cs"/>
          <w:rtl/>
        </w:rPr>
        <w:t>דברי הרא"ה דהיתר נטל"פ הוא רק כשהאיסור עצמו נפגם לגמרי אף דנאכל ע"י ההיתר</w:t>
      </w:r>
      <w:bookmarkEnd w:id="8180"/>
      <w:bookmarkEnd w:id="8181"/>
      <w:bookmarkEnd w:id="8182"/>
      <w:bookmarkEnd w:id="8183"/>
      <w:bookmarkEnd w:id="8184"/>
      <w:bookmarkEnd w:id="8185"/>
      <w:bookmarkEnd w:id="8186"/>
      <w:bookmarkEnd w:id="8187"/>
      <w:bookmarkEnd w:id="8188"/>
      <w:bookmarkEnd w:id="8189"/>
    </w:p>
    <w:p w:rsidR="007809D6" w:rsidRPr="00D47CE7" w:rsidRDefault="007809D6" w:rsidP="009F44AF">
      <w:pPr>
        <w:pStyle w:val="a"/>
        <w:rPr>
          <w:rtl/>
        </w:rPr>
      </w:pPr>
      <w:r w:rsidRPr="00D47CE7">
        <w:rPr>
          <w:rStyle w:val="af8"/>
          <w:rFonts w:hint="cs"/>
          <w:rtl/>
        </w:rPr>
        <w:t>והרא"ה בבד"ה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Ref16676035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D47CE7">
        <w:rPr>
          <w:rStyle w:val="af6"/>
          <w:rFonts w:eastAsia="Guttman Hodes"/>
          <w:rtl/>
        </w:rPr>
        <w:fldChar w:fldCharType="end"/>
      </w:r>
      <w:r w:rsidRPr="00D47CE7">
        <w:rPr>
          <w:rFonts w:hint="cs"/>
          <w:rtl/>
        </w:rPr>
        <w:t xml:space="preserve"> כתב דההיתר בנותן טעם לפגם הוא דוקא במקום שהאיסור עצמו פגום לגמרי דאינו ראוי לגר, ואף אם אפשר לאוכלו ע"י התערובת, מ"מ צריך שהאיסור מצד עצמו יהיה פגום.</w:t>
      </w:r>
    </w:p>
    <w:p w:rsidR="007809D6" w:rsidRPr="00D47CE7" w:rsidRDefault="007809D6" w:rsidP="007809D6">
      <w:pPr>
        <w:pStyle w:val="a2"/>
      </w:pPr>
      <w:bookmarkStart w:id="8190" w:name="_Toc17975410"/>
      <w:bookmarkStart w:id="8191" w:name="_Toc17984084"/>
      <w:bookmarkStart w:id="8192" w:name="_Toc18228203"/>
      <w:bookmarkStart w:id="8193" w:name="_Toc18250734"/>
      <w:bookmarkStart w:id="8194" w:name="_Toc18266180"/>
      <w:bookmarkStart w:id="8195" w:name="_Toc18269084"/>
      <w:bookmarkStart w:id="8196" w:name="_Toc18323781"/>
      <w:bookmarkStart w:id="8197" w:name="_Toc18397353"/>
      <w:bookmarkStart w:id="8198" w:name="_Toc18404073"/>
      <w:bookmarkStart w:id="8199" w:name="_Toc18481489"/>
      <w:r w:rsidRPr="00D47CE7">
        <w:rPr>
          <w:rFonts w:hint="cs"/>
          <w:rtl/>
        </w:rPr>
        <w:t>דברי הרא"ה דהא דקיי"ל לקולא כל"ב דר"ל דאף בחסר תיקון מותר הוא כיון דטע"כ דרבנן</w:t>
      </w:r>
      <w:bookmarkEnd w:id="8190"/>
      <w:bookmarkEnd w:id="8191"/>
      <w:bookmarkEnd w:id="8192"/>
      <w:bookmarkEnd w:id="8193"/>
      <w:bookmarkEnd w:id="8194"/>
      <w:bookmarkEnd w:id="8195"/>
      <w:bookmarkEnd w:id="8196"/>
      <w:bookmarkEnd w:id="8197"/>
      <w:bookmarkEnd w:id="8198"/>
      <w:bookmarkEnd w:id="8199"/>
    </w:p>
    <w:p w:rsidR="007809D6" w:rsidRPr="00D47CE7" w:rsidRDefault="007809D6" w:rsidP="009F44AF">
      <w:pPr>
        <w:pStyle w:val="a"/>
        <w:rPr>
          <w:rtl/>
        </w:rPr>
      </w:pPr>
      <w:r w:rsidRPr="00D47CE7">
        <w:rPr>
          <w:rFonts w:hint="cs"/>
          <w:rtl/>
        </w:rPr>
        <w:t xml:space="preserve">וכתב </w:t>
      </w:r>
      <w:r w:rsidRPr="00D47CE7">
        <w:rPr>
          <w:rStyle w:val="af8"/>
          <w:rFonts w:hint="cs"/>
          <w:rtl/>
        </w:rPr>
        <w:t>הרא"ה בבד"ה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Ref16674859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פג)</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דהא דקיי"ל כל"ב דר"ל דלא אמרינן דהקדירה חסירה מלח או תבלין, ומותר כיון שעכשיו הקדירה פגומה לפנינו, הוא כיון דקיי"ל דטעם כעיקר דרבנן.</w:t>
      </w:r>
    </w:p>
    <w:p w:rsidR="007809D6" w:rsidRPr="00D47CE7" w:rsidRDefault="007809D6" w:rsidP="007809D6">
      <w:pPr>
        <w:pStyle w:val="1"/>
        <w:rPr>
          <w:rtl/>
        </w:rPr>
      </w:pPr>
      <w:bookmarkStart w:id="8200" w:name="_Toc16850473"/>
      <w:bookmarkStart w:id="8201" w:name="_Toc17624847"/>
      <w:bookmarkStart w:id="8202" w:name="_Toc17889795"/>
      <w:bookmarkStart w:id="8203" w:name="_Toc17975417"/>
      <w:bookmarkStart w:id="8204" w:name="_Toc17984085"/>
      <w:bookmarkStart w:id="8205" w:name="_Toc18228204"/>
      <w:bookmarkStart w:id="8206" w:name="_Toc18250735"/>
      <w:bookmarkStart w:id="8207" w:name="_Toc18266181"/>
      <w:bookmarkStart w:id="8208" w:name="_Toc18269085"/>
      <w:bookmarkStart w:id="8209" w:name="_Toc18323782"/>
      <w:bookmarkStart w:id="8210" w:name="_Toc18397354"/>
      <w:bookmarkStart w:id="8211" w:name="_Toc18404074"/>
      <w:bookmarkStart w:id="8212" w:name="_Toc18481490"/>
      <w:bookmarkStart w:id="8213" w:name="_Toc16679272"/>
      <w:bookmarkStart w:id="8214" w:name="_Toc16850475"/>
      <w:bookmarkStart w:id="8215" w:name="_Toc17624845"/>
      <w:bookmarkStart w:id="8216" w:name="_Toc17889793"/>
      <w:bookmarkStart w:id="8217" w:name="_Toc17975411"/>
      <w:r w:rsidRPr="00D47CE7">
        <w:rPr>
          <w:rFonts w:hint="cs"/>
          <w:rtl/>
        </w:rPr>
        <w:t>דברי הריטב"א</w:t>
      </w:r>
      <w:bookmarkEnd w:id="8200"/>
      <w:bookmarkEnd w:id="8201"/>
      <w:bookmarkEnd w:id="8202"/>
      <w:bookmarkEnd w:id="8203"/>
      <w:r w:rsidRPr="00D47CE7">
        <w:rPr>
          <w:rFonts w:hint="cs"/>
          <w:rtl/>
        </w:rPr>
        <w:t xml:space="preserve"> דאיסור שידוע שפוגם מותר אף שלא מורגש</w:t>
      </w:r>
      <w:bookmarkEnd w:id="8204"/>
      <w:bookmarkEnd w:id="8205"/>
      <w:bookmarkEnd w:id="8206"/>
      <w:bookmarkEnd w:id="8207"/>
      <w:bookmarkEnd w:id="8208"/>
      <w:bookmarkEnd w:id="8209"/>
      <w:bookmarkEnd w:id="8210"/>
      <w:bookmarkEnd w:id="8211"/>
      <w:bookmarkEnd w:id="8212"/>
    </w:p>
    <w:p w:rsidR="007809D6" w:rsidRPr="00D47CE7" w:rsidRDefault="007809D6" w:rsidP="007809D6">
      <w:pPr>
        <w:pStyle w:val="a2"/>
        <w:rPr>
          <w:rtl/>
        </w:rPr>
      </w:pPr>
      <w:bookmarkStart w:id="8218" w:name="_Toc17984086"/>
      <w:bookmarkStart w:id="8219" w:name="_Toc18228205"/>
      <w:bookmarkStart w:id="8220" w:name="_Toc18250736"/>
      <w:bookmarkStart w:id="8221" w:name="_Toc18266182"/>
      <w:bookmarkStart w:id="8222" w:name="_Toc18269086"/>
      <w:bookmarkStart w:id="8223" w:name="_Toc18323783"/>
      <w:bookmarkStart w:id="8224" w:name="_Toc18397355"/>
      <w:bookmarkStart w:id="8225" w:name="_Toc18404075"/>
      <w:bookmarkStart w:id="8226" w:name="_Toc18481491"/>
      <w:r w:rsidRPr="00D47CE7">
        <w:rPr>
          <w:rFonts w:hint="cs"/>
          <w:rtl/>
        </w:rPr>
        <w:t>דברי הריטב"א דמשמע ברש"י דהיתר נטל"פ הוא רק כשמורגש קצת פגם בחיך</w:t>
      </w:r>
      <w:bookmarkEnd w:id="8218"/>
      <w:bookmarkEnd w:id="8219"/>
      <w:bookmarkEnd w:id="8220"/>
      <w:bookmarkEnd w:id="8221"/>
      <w:bookmarkEnd w:id="8222"/>
      <w:bookmarkEnd w:id="8223"/>
      <w:bookmarkEnd w:id="8224"/>
      <w:bookmarkEnd w:id="8225"/>
      <w:bookmarkEnd w:id="8226"/>
    </w:p>
    <w:p w:rsidR="007809D6" w:rsidRPr="00D47CE7" w:rsidRDefault="007809D6" w:rsidP="009F44AF">
      <w:pPr>
        <w:pStyle w:val="a"/>
        <w:rPr>
          <w:rStyle w:val="afa"/>
        </w:rPr>
      </w:pPr>
      <w:r w:rsidRPr="00D47CE7">
        <w:rPr>
          <w:rFonts w:hint="cs"/>
          <w:rtl/>
        </w:rPr>
        <w:t xml:space="preserve">כתב </w:t>
      </w:r>
      <w:r w:rsidRPr="00D47CE7">
        <w:rPr>
          <w:rStyle w:val="af8"/>
          <w:rFonts w:hint="cs"/>
          <w:rtl/>
        </w:rPr>
        <w:t>הריטב"א</w:t>
      </w:r>
      <w:r>
        <w:rPr>
          <w:rStyle w:val="af8"/>
          <w:rFonts w:hint="cs"/>
          <w:rtl/>
        </w:rPr>
        <w:t xml:space="preserve"> </w:t>
      </w:r>
      <w:r w:rsidRPr="00D47CE7">
        <w:rPr>
          <w:rStyle w:val="af6"/>
          <w:rFonts w:eastAsia="Guttman Hodes" w:hint="cs"/>
          <w:rtl/>
        </w:rPr>
        <w:t xml:space="preserve">(סז. ד"ה ואינה) </w:t>
      </w:r>
      <w:r w:rsidRPr="00D47CE7">
        <w:rPr>
          <w:rFonts w:hint="cs"/>
          <w:rtl/>
        </w:rPr>
        <w:t xml:space="preserve">דכיון דכתב </w:t>
      </w:r>
      <w:r w:rsidRPr="00D47CE7">
        <w:rPr>
          <w:rStyle w:val="af8"/>
          <w:rFonts w:hint="cs"/>
          <w:rtl/>
        </w:rPr>
        <w:t xml:space="preserve">רש"י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Ref16676320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D47CE7">
        <w:rPr>
          <w:rStyle w:val="af6"/>
          <w:rFonts w:eastAsia="Guttman Hodes"/>
          <w:rtl/>
        </w:rPr>
        <w:fldChar w:fldCharType="end"/>
      </w:r>
      <w:r w:rsidRPr="00D47CE7">
        <w:rPr>
          <w:rFonts w:hint="cs"/>
          <w:rtl/>
        </w:rPr>
        <w:t xml:space="preserve"> בל"ק דר"ל דקדירה שפגומה קצת קרי לה ר"ל "אינה נאכלת" ובל"ב כתב </w:t>
      </w:r>
      <w:r w:rsidRPr="00D47CE7">
        <w:rPr>
          <w:rStyle w:val="af8"/>
          <w:rFonts w:hint="cs"/>
          <w:rtl/>
        </w:rPr>
        <w:t>רש"י</w:t>
      </w:r>
      <w:r w:rsidRPr="00D47CE7">
        <w:rPr>
          <w:rStyle w:val="af6"/>
          <w:rFonts w:eastAsia="Guttman Hodes" w:hint="cs"/>
          <w:rtl/>
        </w:rPr>
        <w:t xml:space="preserve"> (עי'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Ref16764695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ג)</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 xml:space="preserve">דאף שהפגם הוא גם מחמת דחסירה מלח או תבלין מ"מ מותר כיון שעכשיו האיסור פוגם, את הקדירה כמות שהיא, וכתב </w:t>
      </w:r>
      <w:r w:rsidRPr="00D47CE7">
        <w:rPr>
          <w:rStyle w:val="af8"/>
          <w:rFonts w:hint="cs"/>
          <w:rtl/>
        </w:rPr>
        <w:t>הריטב"א</w:t>
      </w:r>
      <w:r w:rsidRPr="00D47CE7">
        <w:rPr>
          <w:rFonts w:hint="cs"/>
          <w:rtl/>
        </w:rPr>
        <w:t xml:space="preserve"> דא"כ משמע מדברי </w:t>
      </w:r>
      <w:r w:rsidRPr="00D47CE7">
        <w:rPr>
          <w:rStyle w:val="af8"/>
          <w:rFonts w:hint="cs"/>
          <w:rtl/>
        </w:rPr>
        <w:t>רש"י</w:t>
      </w:r>
      <w:r w:rsidRPr="00D47CE7">
        <w:rPr>
          <w:rFonts w:hint="cs"/>
          <w:rtl/>
        </w:rPr>
        <w:t xml:space="preserve"> דס"ל דטעם לפגם הוא דוקא במקום שהפגם מורגש קצת בטעימתו בחיך. </w:t>
      </w:r>
      <w:r w:rsidRPr="00D47CE7">
        <w:rPr>
          <w:rStyle w:val="afa"/>
          <w:rFonts w:hint="cs"/>
          <w:rtl/>
        </w:rPr>
        <w:t xml:space="preserve">[ולכן כתב </w:t>
      </w:r>
      <w:r w:rsidRPr="00D47CE7">
        <w:rPr>
          <w:rStyle w:val="affa"/>
          <w:rFonts w:hint="cs"/>
          <w:rtl/>
        </w:rPr>
        <w:t>רש"י</w:t>
      </w:r>
      <w:r w:rsidRPr="00D47CE7">
        <w:rPr>
          <w:rStyle w:val="afa"/>
          <w:rFonts w:hint="cs"/>
          <w:rtl/>
        </w:rPr>
        <w:t xml:space="preserve"> דעכשיו האיסור פוגם].</w:t>
      </w:r>
    </w:p>
    <w:p w:rsidR="007809D6" w:rsidRPr="00D47CE7" w:rsidRDefault="007809D6" w:rsidP="007809D6">
      <w:pPr>
        <w:pStyle w:val="a2"/>
        <w:rPr>
          <w:rtl/>
        </w:rPr>
      </w:pPr>
      <w:bookmarkStart w:id="8227" w:name="_Toc17984087"/>
      <w:bookmarkStart w:id="8228" w:name="_Toc18228206"/>
      <w:bookmarkStart w:id="8229" w:name="_Toc18250737"/>
      <w:bookmarkStart w:id="8230" w:name="_Toc18266183"/>
      <w:bookmarkStart w:id="8231" w:name="_Toc18269087"/>
      <w:bookmarkStart w:id="8232" w:name="_Toc18323784"/>
      <w:bookmarkStart w:id="8233" w:name="_Toc18397356"/>
      <w:bookmarkStart w:id="8234" w:name="_Toc18404076"/>
      <w:bookmarkStart w:id="8235" w:name="_Toc18481492"/>
      <w:r w:rsidRPr="00D47CE7">
        <w:rPr>
          <w:rFonts w:hint="cs"/>
          <w:rtl/>
        </w:rPr>
        <w:t>דחיית הריטב"א דבקדירה שאינה בת יומא ושמן עכו"ם לא מורגש כל פגם ואפ"ה חשיב נטל"פ</w:t>
      </w:r>
      <w:bookmarkEnd w:id="8227"/>
      <w:bookmarkEnd w:id="8228"/>
      <w:bookmarkEnd w:id="8229"/>
      <w:bookmarkEnd w:id="8230"/>
      <w:bookmarkEnd w:id="8231"/>
      <w:bookmarkEnd w:id="8232"/>
      <w:bookmarkEnd w:id="8233"/>
      <w:bookmarkEnd w:id="8234"/>
      <w:bookmarkEnd w:id="8235"/>
    </w:p>
    <w:p w:rsidR="007809D6" w:rsidRPr="00D47CE7" w:rsidRDefault="007809D6" w:rsidP="009F44AF">
      <w:pPr>
        <w:pStyle w:val="a"/>
        <w:rPr>
          <w:rStyle w:val="afa"/>
          <w:rtl/>
        </w:rPr>
      </w:pPr>
      <w:r w:rsidRPr="00D47CE7">
        <w:rPr>
          <w:rFonts w:hint="cs"/>
          <w:rtl/>
        </w:rPr>
        <w:t xml:space="preserve">ודחה </w:t>
      </w:r>
      <w:r w:rsidRPr="00D47CE7">
        <w:rPr>
          <w:rStyle w:val="af8"/>
          <w:rFonts w:hint="cs"/>
          <w:rtl/>
        </w:rPr>
        <w:t>הריטב"א</w:t>
      </w:r>
      <w:r>
        <w:rPr>
          <w:rStyle w:val="af8"/>
          <w:rFonts w:hint="cs"/>
          <w:rtl/>
        </w:rPr>
        <w:t xml:space="preserve"> </w:t>
      </w:r>
      <w:r w:rsidRPr="00D47CE7">
        <w:rPr>
          <w:rFonts w:hint="cs"/>
          <w:rtl/>
        </w:rPr>
        <w:t>דהרי קדירה דאינה בת יומא מותרת מדין נותן טעם לפגם, אעפ"י שלא מורגשת בה כל פגימה, וכן מוכח בגמ'</w:t>
      </w:r>
      <w:r>
        <w:rPr>
          <w:rFonts w:hint="cs"/>
          <w:rtl/>
        </w:rPr>
        <w:t xml:space="preserve"> </w:t>
      </w:r>
      <w:r w:rsidRPr="00D47CE7">
        <w:rPr>
          <w:rFonts w:hint="cs"/>
          <w:rtl/>
        </w:rPr>
        <w:t xml:space="preserve">לעיל </w:t>
      </w:r>
      <w:r w:rsidRPr="00D47CE7">
        <w:rPr>
          <w:rStyle w:val="af6"/>
          <w:rFonts w:eastAsia="Guttman Hodes" w:hint="cs"/>
          <w:rtl/>
        </w:rPr>
        <w:t>(לח:, לט.)</w:t>
      </w:r>
      <w:r w:rsidRPr="00D47CE7">
        <w:rPr>
          <w:rFonts w:hint="cs"/>
          <w:rtl/>
        </w:rPr>
        <w:t xml:space="preserve"> מקורט של חילתית ושמן ודבש של עכו"ם, דאינם אסורים מדין גיעולי עכו"ם שמא התערב בהם איסור, דהוא נותן טעם לפגם. </w:t>
      </w:r>
      <w:r w:rsidRPr="00D47CE7">
        <w:rPr>
          <w:rStyle w:val="afa"/>
          <w:rFonts w:hint="cs"/>
          <w:rtl/>
        </w:rPr>
        <w:t>[אעפ"י שפגימתם אינה ניכרת בטעימת החיך].</w:t>
      </w:r>
    </w:p>
    <w:p w:rsidR="007809D6" w:rsidRPr="00D47CE7" w:rsidRDefault="007809D6" w:rsidP="007809D6">
      <w:pPr>
        <w:pStyle w:val="a2"/>
        <w:rPr>
          <w:rtl/>
        </w:rPr>
      </w:pPr>
      <w:bookmarkStart w:id="8236" w:name="_Toc17984088"/>
      <w:bookmarkStart w:id="8237" w:name="_Toc18228207"/>
      <w:bookmarkStart w:id="8238" w:name="_Toc18250738"/>
      <w:bookmarkStart w:id="8239" w:name="_Toc18266184"/>
      <w:bookmarkStart w:id="8240" w:name="_Toc18269088"/>
      <w:bookmarkStart w:id="8241" w:name="_Toc18323785"/>
      <w:bookmarkStart w:id="8242" w:name="_Toc18397357"/>
      <w:bookmarkStart w:id="8243" w:name="_Toc18404077"/>
      <w:bookmarkStart w:id="8244" w:name="_Toc18481493"/>
      <w:r w:rsidRPr="00D47CE7">
        <w:rPr>
          <w:rFonts w:hint="cs"/>
          <w:rtl/>
        </w:rPr>
        <w:t>דברי הריטב"א דאיסור שידוע שאינו משביח את ההיתר ואם היה מרובה היה פוגם מותר</w:t>
      </w:r>
      <w:bookmarkEnd w:id="8236"/>
      <w:bookmarkEnd w:id="8237"/>
      <w:bookmarkEnd w:id="8238"/>
      <w:bookmarkEnd w:id="8239"/>
      <w:bookmarkEnd w:id="8240"/>
      <w:bookmarkEnd w:id="8241"/>
      <w:bookmarkEnd w:id="8242"/>
      <w:bookmarkEnd w:id="8243"/>
      <w:bookmarkEnd w:id="8244"/>
    </w:p>
    <w:p w:rsidR="007809D6" w:rsidRDefault="007809D6" w:rsidP="009F44AF">
      <w:pPr>
        <w:pStyle w:val="a"/>
        <w:rPr>
          <w:rtl/>
        </w:rPr>
      </w:pPr>
      <w:bookmarkStart w:id="8245" w:name="_Ref16762484"/>
      <w:r w:rsidRPr="00D47CE7">
        <w:rPr>
          <w:rFonts w:hint="cs"/>
          <w:rtl/>
        </w:rPr>
        <w:t xml:space="preserve">וכתב </w:t>
      </w:r>
      <w:r w:rsidRPr="00D47CE7">
        <w:rPr>
          <w:rStyle w:val="af8"/>
          <w:rFonts w:hint="cs"/>
          <w:rtl/>
        </w:rPr>
        <w:t>הריטב"א</w:t>
      </w:r>
      <w:r>
        <w:rPr>
          <w:rStyle w:val="af8"/>
          <w:rFonts w:hint="cs"/>
          <w:rtl/>
        </w:rPr>
        <w:t xml:space="preserve"> </w:t>
      </w:r>
      <w:r w:rsidRPr="00D47CE7">
        <w:rPr>
          <w:rFonts w:hint="cs"/>
          <w:rtl/>
        </w:rPr>
        <w:t xml:space="preserve">דמוכח דכל איסור שידוע שאינו משביח את ההיתר, ואם היה האיסור מרובה בתוך ההיתר היה ההיתר נפגם, אינו אוסרו אף כשהאיסור מועט ואינו ניכר בהיתר, ואין טעמו מורגש כלל, אך כתב </w:t>
      </w:r>
      <w:r w:rsidRPr="00D47CE7">
        <w:rPr>
          <w:rStyle w:val="af8"/>
          <w:rFonts w:hint="cs"/>
          <w:rtl/>
        </w:rPr>
        <w:t>הריטב"א</w:t>
      </w:r>
      <w:r w:rsidRPr="00D47CE7">
        <w:rPr>
          <w:rFonts w:hint="cs"/>
          <w:rtl/>
        </w:rPr>
        <w:t xml:space="preserve"> דאפש"ל דזו כוונת </w:t>
      </w:r>
      <w:r w:rsidRPr="00D47CE7">
        <w:rPr>
          <w:rStyle w:val="af8"/>
          <w:rFonts w:hint="cs"/>
          <w:rtl/>
        </w:rPr>
        <w:t>רש"י</w:t>
      </w:r>
      <w:r w:rsidRPr="00D47CE7">
        <w:rPr>
          <w:rFonts w:hint="cs"/>
          <w:rtl/>
        </w:rPr>
        <w:t xml:space="preserve">, </w:t>
      </w:r>
      <w:r w:rsidRPr="00D47CE7">
        <w:rPr>
          <w:rStyle w:val="afa"/>
          <w:rFonts w:hint="cs"/>
          <w:rtl/>
        </w:rPr>
        <w:t xml:space="preserve">[דמ"ש </w:t>
      </w:r>
      <w:r w:rsidRPr="00D47CE7">
        <w:rPr>
          <w:rStyle w:val="affa"/>
          <w:rFonts w:hint="cs"/>
          <w:rtl/>
        </w:rPr>
        <w:t>רש"י</w:t>
      </w:r>
      <w:r w:rsidRPr="00D47CE7">
        <w:rPr>
          <w:rStyle w:val="afa"/>
          <w:rFonts w:hint="cs"/>
          <w:rtl/>
        </w:rPr>
        <w:t xml:space="preserve"> דעכשיו האיסור פוגם, היינו דידוע שהוא פוגם אף שאינו מורגש],</w:t>
      </w:r>
      <w:r w:rsidRPr="00D47CE7">
        <w:rPr>
          <w:rFonts w:hint="cs"/>
          <w:rtl/>
        </w:rPr>
        <w:t xml:space="preserve"> ודלא </w:t>
      </w:r>
      <w:r w:rsidRPr="00D47CE7">
        <w:rPr>
          <w:rStyle w:val="af8"/>
          <w:rFonts w:hint="cs"/>
          <w:rtl/>
        </w:rPr>
        <w:t>כהראב"ד</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Ref16242508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D47CE7">
        <w:rPr>
          <w:rStyle w:val="af6"/>
          <w:rFonts w:eastAsia="Guttman Hodes"/>
          <w:rtl/>
        </w:rPr>
        <w:fldChar w:fldCharType="end"/>
      </w:r>
      <w:r w:rsidRPr="00D47CE7">
        <w:rPr>
          <w:rFonts w:hint="cs"/>
          <w:rtl/>
        </w:rPr>
        <w:t xml:space="preserve"> דביאר דכוונת ר"ל לומר דאינה נאכלת בדוקא, דא"א לבאר כדבריו.</w:t>
      </w:r>
      <w:bookmarkEnd w:id="8245"/>
    </w:p>
    <w:p w:rsidR="007809D6" w:rsidRDefault="007809D6" w:rsidP="00E669F8">
      <w:pPr>
        <w:pStyle w:val="afd"/>
        <w:rPr>
          <w:rtl/>
        </w:rPr>
      </w:pPr>
      <w:bookmarkStart w:id="8246" w:name="_Toc18404099"/>
      <w:bookmarkStart w:id="8247" w:name="_Toc18481494"/>
      <w:bookmarkStart w:id="8248" w:name="_Toc17984089"/>
      <w:bookmarkStart w:id="8249" w:name="_Toc18228208"/>
      <w:bookmarkStart w:id="8250" w:name="_Toc18250739"/>
      <w:bookmarkStart w:id="8251" w:name="_Toc18266185"/>
      <w:bookmarkStart w:id="8252" w:name="_Toc18269089"/>
      <w:bookmarkStart w:id="8253" w:name="_Toc18323786"/>
      <w:bookmarkStart w:id="8254" w:name="_Toc18397358"/>
      <w:bookmarkStart w:id="8255" w:name="_Toc18404078"/>
      <w:r>
        <w:rPr>
          <w:rFonts w:hint="cs"/>
          <w:rtl/>
        </w:rPr>
        <w:t>בגדר היתר נבילה שאינה ראויה לגר</w:t>
      </w:r>
    </w:p>
    <w:p w:rsidR="007809D6" w:rsidRDefault="007809D6" w:rsidP="007809D6">
      <w:pPr>
        <w:pStyle w:val="1"/>
        <w:rPr>
          <w:rtl/>
        </w:rPr>
      </w:pPr>
      <w:r>
        <w:rPr>
          <w:rFonts w:hint="cs"/>
          <w:rtl/>
        </w:rPr>
        <w:t>דברי החוו"ד דבנבילה פקע האיסור ובפגום במקצת לא פקע</w:t>
      </w:r>
      <w:bookmarkEnd w:id="8246"/>
      <w:bookmarkEnd w:id="8247"/>
    </w:p>
    <w:p w:rsidR="007809D6" w:rsidRPr="001A38FA" w:rsidRDefault="007809D6" w:rsidP="007809D6">
      <w:pPr>
        <w:pStyle w:val="a2"/>
        <w:rPr>
          <w:rtl/>
        </w:rPr>
      </w:pPr>
      <w:bookmarkStart w:id="8256" w:name="_Toc18481495"/>
      <w:r>
        <w:rPr>
          <w:rFonts w:hint="cs"/>
          <w:rtl/>
        </w:rPr>
        <w:t>דברי החוו"ד דנבילה שאינה ראויה לגר היא כעפר ופרח איסורה ממנה</w:t>
      </w:r>
      <w:bookmarkEnd w:id="8256"/>
    </w:p>
    <w:p w:rsidR="007809D6" w:rsidRPr="001D28A9" w:rsidRDefault="007809D6" w:rsidP="009F44AF">
      <w:pPr>
        <w:pStyle w:val="a"/>
        <w:rPr>
          <w:rtl/>
        </w:rPr>
      </w:pPr>
      <w:bookmarkStart w:id="8257" w:name="_Ref18476982"/>
      <w:bookmarkStart w:id="8258" w:name="_Ref18400013"/>
      <w:r>
        <w:rPr>
          <w:rFonts w:hint="cs"/>
          <w:rtl/>
        </w:rPr>
        <w:t>כתב</w:t>
      </w:r>
      <w:r w:rsidRPr="00093F2D">
        <w:rPr>
          <w:rFonts w:hint="cs"/>
          <w:rtl/>
        </w:rPr>
        <w:t xml:space="preserve"> </w:t>
      </w:r>
      <w:r w:rsidRPr="00D47CE7">
        <w:rPr>
          <w:rStyle w:val="af8"/>
          <w:rtl/>
        </w:rPr>
        <w:t>החוו"ד</w:t>
      </w:r>
      <w:r w:rsidRPr="00D47CE7">
        <w:rPr>
          <w:rFonts w:hint="cs"/>
          <w:rtl/>
        </w:rPr>
        <w:t xml:space="preserve"> </w:t>
      </w:r>
      <w:r w:rsidRPr="00AB29B7">
        <w:rPr>
          <w:rStyle w:val="af6"/>
          <w:rFonts w:eastAsia="Guttman Hodes" w:hint="cs"/>
          <w:rtl/>
        </w:rPr>
        <w:t>(סי' ק"ג סק"א</w:t>
      </w:r>
      <w:r w:rsidR="006F4A61">
        <w:rPr>
          <w:rStyle w:val="af6"/>
          <w:rFonts w:eastAsia="Guttman Hodes" w:hint="cs"/>
          <w:rtl/>
        </w:rPr>
        <w:t xml:space="preserve">, הובא לקמן סימן </w:t>
      </w:r>
      <w:r w:rsidR="00D701A5">
        <w:rPr>
          <w:rStyle w:val="af6"/>
          <w:rFonts w:eastAsia="Guttman Hodes" w:hint="cs"/>
          <w:rtl/>
        </w:rPr>
        <w:t>יג</w:t>
      </w:r>
      <w:r w:rsidR="006F4A61">
        <w:rPr>
          <w:rStyle w:val="af6"/>
          <w:rFonts w:eastAsia="Guttman Hodes" w:hint="cs"/>
          <w:rtl/>
        </w:rPr>
        <w:t xml:space="preserve"> </w:t>
      </w:r>
      <w:r w:rsidR="006F4A61" w:rsidRPr="00D701A5">
        <w:rPr>
          <w:rStyle w:val="af6"/>
          <w:rFonts w:eastAsia="Guttman Hodes" w:hint="cs"/>
          <w:rtl/>
        </w:rPr>
        <w:t xml:space="preserve">אות </w:t>
      </w:r>
      <w:r w:rsidR="00D701A5" w:rsidRPr="00D701A5">
        <w:rPr>
          <w:rStyle w:val="af6"/>
          <w:rFonts w:eastAsia="Guttman Hodes"/>
          <w:rtl/>
        </w:rPr>
        <w:fldChar w:fldCharType="begin"/>
      </w:r>
      <w:r w:rsidR="00D701A5" w:rsidRPr="00D701A5">
        <w:rPr>
          <w:rStyle w:val="af6"/>
          <w:rFonts w:eastAsia="Guttman Hodes"/>
          <w:rtl/>
        </w:rPr>
        <w:instrText xml:space="preserve"> </w:instrText>
      </w:r>
      <w:r w:rsidR="00D701A5" w:rsidRPr="00D701A5">
        <w:rPr>
          <w:rStyle w:val="af6"/>
          <w:rFonts w:eastAsia="Guttman Hodes" w:hint="cs"/>
        </w:rPr>
        <w:instrText>REF</w:instrText>
      </w:r>
      <w:r w:rsidR="00D701A5" w:rsidRPr="00D701A5">
        <w:rPr>
          <w:rStyle w:val="af6"/>
          <w:rFonts w:eastAsia="Guttman Hodes" w:hint="cs"/>
          <w:rtl/>
        </w:rPr>
        <w:instrText xml:space="preserve"> _</w:instrText>
      </w:r>
      <w:r w:rsidR="00D701A5" w:rsidRPr="00D701A5">
        <w:rPr>
          <w:rStyle w:val="af6"/>
          <w:rFonts w:eastAsia="Guttman Hodes" w:hint="cs"/>
        </w:rPr>
        <w:instrText>Ref19046006 \r \h</w:instrText>
      </w:r>
      <w:r w:rsidR="00D701A5" w:rsidRPr="00D701A5">
        <w:rPr>
          <w:rStyle w:val="af6"/>
          <w:rFonts w:eastAsia="Guttman Hodes"/>
          <w:rtl/>
        </w:rPr>
        <w:instrText xml:space="preserve"> </w:instrText>
      </w:r>
      <w:r w:rsidR="00D701A5" w:rsidRPr="00D701A5">
        <w:rPr>
          <w:rStyle w:val="af6"/>
          <w:rFonts w:eastAsia="Guttman Hodes"/>
          <w:rtl/>
        </w:rPr>
      </w:r>
      <w:r w:rsidR="00D701A5" w:rsidRPr="00D701A5">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00D701A5" w:rsidRPr="00D701A5">
        <w:rPr>
          <w:rStyle w:val="af6"/>
          <w:rFonts w:eastAsia="Guttman Hodes"/>
          <w:rtl/>
        </w:rPr>
        <w:fldChar w:fldCharType="end"/>
      </w:r>
      <w:r w:rsidRPr="00D47CE7">
        <w:rPr>
          <w:rFonts w:hint="cs"/>
          <w:rtl/>
        </w:rPr>
        <w:t xml:space="preserve"> </w:t>
      </w:r>
      <w:r>
        <w:rPr>
          <w:rFonts w:hint="cs"/>
          <w:rtl/>
        </w:rPr>
        <w:t>דגדר ההיתר בנבילה שאינה ראויה לגר, הוא דהאיסור פרח ממנה ונעשית כעפר, ואינה חוזרת לאיסורה אף אם יחזור ויתקנה, דהרי אי אוכלה כשהיא סרוחה א"צ קרא דמותר, דהא אף בלא דין נבילה שאינה ראויה לגר הוא מותר כיון שאינו בדרך אכילה וכדכתב</w:t>
      </w:r>
      <w:r w:rsidRPr="00B85FE6">
        <w:rPr>
          <w:rStyle w:val="af8"/>
          <w:rFonts w:hint="cs"/>
          <w:rtl/>
        </w:rPr>
        <w:t xml:space="preserve"> </w:t>
      </w:r>
      <w:r w:rsidRPr="005A7DB4">
        <w:rPr>
          <w:rStyle w:val="af8"/>
          <w:rFonts w:hint="cs"/>
          <w:rtl/>
        </w:rPr>
        <w:t>הרמב"ם</w:t>
      </w:r>
      <w:r>
        <w:rPr>
          <w:rFonts w:hint="cs"/>
          <w:rtl/>
        </w:rPr>
        <w:t xml:space="preserve"> </w:t>
      </w:r>
      <w:r w:rsidRPr="00395E6F">
        <w:rPr>
          <w:rStyle w:val="af6"/>
          <w:rFonts w:eastAsia="Guttman Hodes" w:hint="cs"/>
          <w:rtl/>
        </w:rPr>
        <w:t>(מאכ"א פי"ד ה"י</w:t>
      </w:r>
      <w:r w:rsidR="00D701A5">
        <w:rPr>
          <w:rStyle w:val="af6"/>
          <w:rFonts w:eastAsia="Guttman Hodes" w:hint="cs"/>
          <w:rtl/>
        </w:rPr>
        <w:t xml:space="preserve">, הובא לקמן סימן י"ג </w:t>
      </w:r>
      <w:r w:rsidR="00D701A5" w:rsidRPr="00D701A5">
        <w:rPr>
          <w:rStyle w:val="af6"/>
          <w:rFonts w:eastAsia="Guttman Hodes" w:hint="cs"/>
          <w:rtl/>
        </w:rPr>
        <w:t xml:space="preserve">אות </w:t>
      </w:r>
      <w:r w:rsidR="00D701A5" w:rsidRPr="00D701A5">
        <w:rPr>
          <w:rStyle w:val="af6"/>
          <w:rFonts w:eastAsia="Guttman Hodes"/>
          <w:rtl/>
        </w:rPr>
        <w:fldChar w:fldCharType="begin"/>
      </w:r>
      <w:r w:rsidR="00D701A5" w:rsidRPr="00D701A5">
        <w:rPr>
          <w:rStyle w:val="af6"/>
          <w:rFonts w:eastAsia="Guttman Hodes"/>
          <w:rtl/>
        </w:rPr>
        <w:instrText xml:space="preserve"> </w:instrText>
      </w:r>
      <w:r w:rsidR="00D701A5" w:rsidRPr="00D701A5">
        <w:rPr>
          <w:rStyle w:val="af6"/>
          <w:rFonts w:eastAsia="Guttman Hodes" w:hint="cs"/>
        </w:rPr>
        <w:instrText>REF</w:instrText>
      </w:r>
      <w:r w:rsidR="00D701A5" w:rsidRPr="00D701A5">
        <w:rPr>
          <w:rStyle w:val="af6"/>
          <w:rFonts w:eastAsia="Guttman Hodes" w:hint="cs"/>
          <w:rtl/>
        </w:rPr>
        <w:instrText xml:space="preserve"> _</w:instrText>
      </w:r>
      <w:r w:rsidR="00D701A5" w:rsidRPr="00D701A5">
        <w:rPr>
          <w:rStyle w:val="af6"/>
          <w:rFonts w:eastAsia="Guttman Hodes" w:hint="cs"/>
        </w:rPr>
        <w:instrText>Ref20426714 \r \h</w:instrText>
      </w:r>
      <w:r w:rsidR="00D701A5" w:rsidRPr="00D701A5">
        <w:rPr>
          <w:rStyle w:val="af6"/>
          <w:rFonts w:eastAsia="Guttman Hodes"/>
          <w:rtl/>
        </w:rPr>
        <w:instrText xml:space="preserve"> </w:instrText>
      </w:r>
      <w:r w:rsidR="00D701A5" w:rsidRPr="00D701A5">
        <w:rPr>
          <w:rStyle w:val="af6"/>
          <w:rFonts w:eastAsia="Guttman Hodes"/>
          <w:rtl/>
        </w:rPr>
      </w:r>
      <w:r w:rsidR="00D701A5" w:rsidRPr="00D701A5">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00D701A5" w:rsidRPr="00D701A5">
        <w:rPr>
          <w:rStyle w:val="af6"/>
          <w:rFonts w:eastAsia="Guttman Hodes"/>
          <w:rtl/>
        </w:rPr>
        <w:fldChar w:fldCharType="end"/>
      </w:r>
      <w:r w:rsidR="00D701A5">
        <w:rPr>
          <w:rFonts w:hint="cs"/>
          <w:rtl/>
        </w:rPr>
        <w:t>,</w:t>
      </w:r>
      <w:r w:rsidRPr="00057492">
        <w:rPr>
          <w:rStyle w:val="afa"/>
          <w:rFonts w:hint="cs"/>
          <w:rtl/>
        </w:rPr>
        <w:t xml:space="preserve"> </w:t>
      </w:r>
      <w:r w:rsidRPr="00057492">
        <w:rPr>
          <w:rFonts w:hint="cs"/>
          <w:rtl/>
        </w:rPr>
        <w:t xml:space="preserve">וכ"כ </w:t>
      </w:r>
      <w:r w:rsidRPr="001A38FA">
        <w:rPr>
          <w:rStyle w:val="af8"/>
          <w:rFonts w:hint="cs"/>
          <w:rtl/>
        </w:rPr>
        <w:t>הרא"ה והריטב"א</w:t>
      </w:r>
      <w:r w:rsidRPr="00057492">
        <w:rPr>
          <w:rFonts w:hint="cs"/>
          <w:rtl/>
        </w:rPr>
        <w:t xml:space="preserve"> </w:t>
      </w:r>
      <w:r w:rsidRPr="001A38FA">
        <w:rPr>
          <w:rStyle w:val="af6"/>
          <w:rFonts w:eastAsia="Guttman Rashi" w:hint="cs"/>
          <w:rtl/>
        </w:rPr>
        <w:t xml:space="preserve">(עי' אות </w:t>
      </w:r>
      <w:r w:rsidRPr="001A38FA">
        <w:rPr>
          <w:rStyle w:val="af6"/>
          <w:rFonts w:eastAsia="Guttman Rashi"/>
          <w:rtl/>
        </w:rPr>
        <w:fldChar w:fldCharType="begin"/>
      </w:r>
      <w:r w:rsidRPr="001A38FA">
        <w:rPr>
          <w:rStyle w:val="af6"/>
          <w:rFonts w:eastAsia="Guttman Rashi"/>
          <w:rtl/>
        </w:rPr>
        <w:instrText xml:space="preserve"> </w:instrText>
      </w:r>
      <w:r w:rsidRPr="001A38FA">
        <w:rPr>
          <w:rStyle w:val="af6"/>
          <w:rFonts w:eastAsia="Guttman Rashi" w:hint="cs"/>
        </w:rPr>
        <w:instrText>REF</w:instrText>
      </w:r>
      <w:r w:rsidRPr="001A38FA">
        <w:rPr>
          <w:rStyle w:val="af6"/>
          <w:rFonts w:eastAsia="Guttman Rashi" w:hint="cs"/>
          <w:rtl/>
        </w:rPr>
        <w:instrText xml:space="preserve"> _</w:instrText>
      </w:r>
      <w:r w:rsidRPr="001A38FA">
        <w:rPr>
          <w:rStyle w:val="af6"/>
          <w:rFonts w:eastAsia="Guttman Rashi" w:hint="cs"/>
        </w:rPr>
        <w:instrText>Ref18249679 \r \h</w:instrText>
      </w:r>
      <w:r w:rsidRPr="001A38FA">
        <w:rPr>
          <w:rStyle w:val="af6"/>
          <w:rFonts w:eastAsia="Guttman Rashi"/>
          <w:rtl/>
        </w:rPr>
        <w:instrText xml:space="preserve"> </w:instrText>
      </w:r>
      <w:r w:rsidRPr="001A38FA">
        <w:rPr>
          <w:rStyle w:val="af6"/>
          <w:rFonts w:eastAsia="Guttman Rashi"/>
          <w:rtl/>
        </w:rPr>
      </w:r>
      <w:r w:rsidRPr="001A38FA">
        <w:rPr>
          <w:rStyle w:val="af6"/>
          <w:rFonts w:eastAsia="Guttman Rashi"/>
          <w:rtl/>
        </w:rPr>
        <w:fldChar w:fldCharType="separate"/>
      </w:r>
      <w:r w:rsidR="004D1C5B">
        <w:rPr>
          <w:rStyle w:val="af6"/>
          <w:rFonts w:eastAsia="Guttman Rashi"/>
          <w:cs/>
        </w:rPr>
        <w:t>‎</w:t>
      </w:r>
      <w:r w:rsidR="004D1C5B">
        <w:rPr>
          <w:rStyle w:val="af6"/>
          <w:rFonts w:eastAsia="Guttman Rashi"/>
          <w:rtl/>
        </w:rPr>
        <w:t>פד)</w:t>
      </w:r>
      <w:r w:rsidRPr="001A38FA">
        <w:rPr>
          <w:rStyle w:val="af6"/>
          <w:rFonts w:eastAsia="Guttman Rashi"/>
          <w:rtl/>
        </w:rPr>
        <w:fldChar w:fldCharType="end"/>
      </w:r>
      <w:r>
        <w:rPr>
          <w:rFonts w:hint="cs"/>
          <w:rtl/>
        </w:rPr>
        <w:t xml:space="preserve"> דאין הנבילה חוזרת לאיסורה, ועי' במ"ש </w:t>
      </w:r>
      <w:r w:rsidRPr="0051668A">
        <w:rPr>
          <w:rStyle w:val="af8"/>
          <w:rFonts w:hint="cs"/>
          <w:rtl/>
        </w:rPr>
        <w:t>הקה"י</w:t>
      </w:r>
      <w:r>
        <w:rPr>
          <w:rFonts w:hint="cs"/>
          <w:rtl/>
        </w:rPr>
        <w:t xml:space="preserve"> </w:t>
      </w:r>
      <w:r w:rsidRPr="0051668A">
        <w:rPr>
          <w:rStyle w:val="af6"/>
          <w:rFonts w:eastAsia="Guttman Hodes" w:hint="cs"/>
          <w:rtl/>
        </w:rPr>
        <w:t>(עי' בהערה</w:t>
      </w:r>
      <w:r>
        <w:rPr>
          <w:rFonts w:hint="cs"/>
          <w:rtl/>
        </w:rPr>
        <w:t xml:space="preserve"> </w:t>
      </w:r>
      <w:r w:rsidRPr="0051668A">
        <w:rPr>
          <w:vertAlign w:val="superscript"/>
          <w:rtl/>
        </w:rPr>
        <w:fldChar w:fldCharType="begin"/>
      </w:r>
      <w:r w:rsidRPr="0051668A">
        <w:rPr>
          <w:vertAlign w:val="superscript"/>
          <w:rtl/>
        </w:rPr>
        <w:instrText xml:space="preserve"> </w:instrText>
      </w:r>
      <w:r w:rsidRPr="0051668A">
        <w:rPr>
          <w:rFonts w:hint="cs"/>
          <w:vertAlign w:val="superscript"/>
        </w:rPr>
        <w:instrText>NOTEREF</w:instrText>
      </w:r>
      <w:r w:rsidRPr="0051668A">
        <w:rPr>
          <w:rFonts w:hint="cs"/>
          <w:vertAlign w:val="superscript"/>
          <w:rtl/>
        </w:rPr>
        <w:instrText xml:space="preserve"> _</w:instrText>
      </w:r>
      <w:r w:rsidRPr="0051668A">
        <w:rPr>
          <w:rFonts w:hint="cs"/>
          <w:vertAlign w:val="superscript"/>
        </w:rPr>
        <w:instrText>Ref18440587 \h</w:instrText>
      </w:r>
      <w:r w:rsidRPr="0051668A">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51668A">
        <w:rPr>
          <w:vertAlign w:val="superscript"/>
          <w:rtl/>
        </w:rPr>
      </w:r>
      <w:r w:rsidRPr="0051668A">
        <w:rPr>
          <w:vertAlign w:val="superscript"/>
          <w:rtl/>
        </w:rPr>
        <w:fldChar w:fldCharType="separate"/>
      </w:r>
      <w:r w:rsidR="004D1C5B">
        <w:rPr>
          <w:vertAlign w:val="superscript"/>
          <w:rtl/>
        </w:rPr>
        <w:t>35</w:t>
      </w:r>
      <w:r w:rsidRPr="0051668A">
        <w:rPr>
          <w:vertAlign w:val="superscript"/>
          <w:rtl/>
        </w:rPr>
        <w:fldChar w:fldCharType="end"/>
      </w:r>
      <w:r w:rsidRPr="0051668A">
        <w:rPr>
          <w:rStyle w:val="af6"/>
          <w:rFonts w:eastAsia="Guttman Hodes" w:hint="cs"/>
          <w:rtl/>
        </w:rPr>
        <w:t>)</w:t>
      </w:r>
      <w:r>
        <w:rPr>
          <w:rFonts w:hint="cs"/>
          <w:rtl/>
        </w:rPr>
        <w:t xml:space="preserve">, ובמה שהקשה </w:t>
      </w:r>
      <w:r w:rsidRPr="00D47CE7">
        <w:rPr>
          <w:rStyle w:val="af8"/>
          <w:rFonts w:hint="cs"/>
          <w:rtl/>
        </w:rPr>
        <w:t>המקדש דוד</w:t>
      </w:r>
      <w:r w:rsidRPr="00D47CE7">
        <w:rPr>
          <w:rFonts w:hint="cs"/>
          <w:rtl/>
        </w:rPr>
        <w:t xml:space="preserve"> </w:t>
      </w:r>
      <w:r w:rsidRPr="008C3057">
        <w:rPr>
          <w:rStyle w:val="af6"/>
          <w:rFonts w:eastAsia="Guttman Hodes" w:hint="cs"/>
          <w:rtl/>
        </w:rPr>
        <w:t xml:space="preserve">(עי' אות </w:t>
      </w:r>
      <w:r w:rsidRPr="008C3057">
        <w:rPr>
          <w:rStyle w:val="af6"/>
          <w:rFonts w:eastAsia="Guttman Hodes"/>
          <w:rtl/>
        </w:rPr>
        <w:fldChar w:fldCharType="begin"/>
      </w:r>
      <w:r w:rsidRPr="008C3057">
        <w:rPr>
          <w:rStyle w:val="af6"/>
          <w:rFonts w:eastAsia="Guttman Hodes"/>
          <w:rtl/>
        </w:rPr>
        <w:instrText xml:space="preserve"> </w:instrText>
      </w:r>
      <w:r w:rsidRPr="008C3057">
        <w:rPr>
          <w:rStyle w:val="af6"/>
          <w:rFonts w:eastAsia="Guttman Hodes" w:hint="cs"/>
        </w:rPr>
        <w:instrText>REF</w:instrText>
      </w:r>
      <w:r w:rsidRPr="008C3057">
        <w:rPr>
          <w:rStyle w:val="af6"/>
          <w:rFonts w:eastAsia="Guttman Hodes" w:hint="cs"/>
          <w:rtl/>
        </w:rPr>
        <w:instrText xml:space="preserve"> _</w:instrText>
      </w:r>
      <w:r w:rsidRPr="008C3057">
        <w:rPr>
          <w:rStyle w:val="af6"/>
          <w:rFonts w:eastAsia="Guttman Hodes" w:hint="cs"/>
        </w:rPr>
        <w:instrText>Ref18478833 \r \h</w:instrText>
      </w:r>
      <w:r w:rsidRPr="008C3057">
        <w:rPr>
          <w:rStyle w:val="af6"/>
          <w:rFonts w:eastAsia="Guttman Hodes"/>
          <w:rtl/>
        </w:rPr>
        <w:instrText xml:space="preserve"> </w:instrText>
      </w:r>
      <w:r w:rsidRPr="008C3057">
        <w:rPr>
          <w:rStyle w:val="af6"/>
          <w:rFonts w:eastAsia="Guttman Hodes"/>
          <w:rtl/>
        </w:rPr>
      </w:r>
      <w:r w:rsidRPr="008C3057">
        <w:rPr>
          <w:rStyle w:val="af6"/>
          <w:rFonts w:eastAsia="Guttman Hodes"/>
          <w:rtl/>
        </w:rPr>
        <w:fldChar w:fldCharType="separate"/>
      </w:r>
      <w:r w:rsidR="004D1C5B">
        <w:rPr>
          <w:rStyle w:val="af6"/>
          <w:rFonts w:eastAsia="Guttman Hodes"/>
          <w:cs/>
        </w:rPr>
        <w:t>‎</w:t>
      </w:r>
      <w:r w:rsidR="004D1C5B">
        <w:rPr>
          <w:rStyle w:val="af6"/>
          <w:rFonts w:eastAsia="Guttman Hodes"/>
          <w:rtl/>
        </w:rPr>
        <w:t>קלא)</w:t>
      </w:r>
      <w:r w:rsidRPr="008C3057">
        <w:rPr>
          <w:rStyle w:val="af6"/>
          <w:rFonts w:eastAsia="Guttman Hodes"/>
          <w:rtl/>
        </w:rPr>
        <w:fldChar w:fldCharType="end"/>
      </w:r>
      <w:r>
        <w:rPr>
          <w:rFonts w:hint="cs"/>
          <w:rtl/>
        </w:rPr>
        <w:t xml:space="preserve">, </w:t>
      </w:r>
      <w:r w:rsidRPr="00B3123D">
        <w:rPr>
          <w:rStyle w:val="afa"/>
          <w:rFonts w:hint="cs"/>
          <w:rtl/>
        </w:rPr>
        <w:t xml:space="preserve">[אמנם </w:t>
      </w:r>
      <w:r w:rsidRPr="00B3123D">
        <w:rPr>
          <w:rStyle w:val="affa"/>
          <w:rFonts w:hint="cs"/>
          <w:rtl/>
        </w:rPr>
        <w:t>בפרמ"ג</w:t>
      </w:r>
      <w:r w:rsidRPr="00B3123D">
        <w:rPr>
          <w:rStyle w:val="afa"/>
          <w:rFonts w:hint="cs"/>
          <w:rtl/>
        </w:rPr>
        <w:t xml:space="preserve"> </w:t>
      </w:r>
      <w:r w:rsidRPr="00B3123D">
        <w:rPr>
          <w:rStyle w:val="aff6"/>
          <w:rFonts w:hint="cs"/>
          <w:rtl/>
        </w:rPr>
        <w:t>(סי' ק"ג שפ"ד סק"</w:t>
      </w:r>
      <w:r>
        <w:rPr>
          <w:rStyle w:val="aff6"/>
          <w:rFonts w:hint="cs"/>
          <w:rtl/>
        </w:rPr>
        <w:t xml:space="preserve">ב, הובא לקמן סימן י"ג אות </w:t>
      </w:r>
      <w:r w:rsidR="00CB331F">
        <w:rPr>
          <w:rStyle w:val="aff6"/>
          <w:rtl/>
        </w:rPr>
        <w:fldChar w:fldCharType="begin"/>
      </w:r>
      <w:r w:rsidR="00CB331F">
        <w:rPr>
          <w:rStyle w:val="aff6"/>
          <w:rtl/>
        </w:rPr>
        <w:instrText xml:space="preserve"> </w:instrText>
      </w:r>
      <w:r w:rsidR="00CB331F">
        <w:rPr>
          <w:rStyle w:val="aff6"/>
          <w:rFonts w:hint="cs"/>
        </w:rPr>
        <w:instrText>REF</w:instrText>
      </w:r>
      <w:r w:rsidR="00CB331F">
        <w:rPr>
          <w:rStyle w:val="aff6"/>
          <w:rFonts w:hint="cs"/>
          <w:rtl/>
        </w:rPr>
        <w:instrText xml:space="preserve"> _</w:instrText>
      </w:r>
      <w:r w:rsidR="00CB331F">
        <w:rPr>
          <w:rStyle w:val="aff6"/>
          <w:rFonts w:hint="cs"/>
        </w:rPr>
        <w:instrText>Ref19120577 \r \h</w:instrText>
      </w:r>
      <w:r w:rsidR="00CB331F">
        <w:rPr>
          <w:rStyle w:val="aff6"/>
          <w:rtl/>
        </w:rPr>
        <w:instrText xml:space="preserve"> </w:instrText>
      </w:r>
      <w:r w:rsidR="00CB331F">
        <w:rPr>
          <w:rStyle w:val="aff6"/>
          <w:rtl/>
        </w:rPr>
      </w:r>
      <w:r w:rsidR="00CB331F">
        <w:rPr>
          <w:rStyle w:val="aff6"/>
          <w:rtl/>
        </w:rPr>
        <w:fldChar w:fldCharType="separate"/>
      </w:r>
      <w:r w:rsidR="004D1C5B">
        <w:rPr>
          <w:rStyle w:val="aff6"/>
          <w:cs/>
        </w:rPr>
        <w:t>‎</w:t>
      </w:r>
      <w:r w:rsidR="004D1C5B">
        <w:rPr>
          <w:rStyle w:val="aff6"/>
          <w:rtl/>
        </w:rPr>
        <w:t>עט)</w:t>
      </w:r>
      <w:r w:rsidR="00CB331F">
        <w:rPr>
          <w:rStyle w:val="aff6"/>
          <w:rtl/>
        </w:rPr>
        <w:fldChar w:fldCharType="end"/>
      </w:r>
      <w:r w:rsidRPr="00B3123D">
        <w:rPr>
          <w:rStyle w:val="aff6"/>
          <w:rFonts w:hint="cs"/>
          <w:rtl/>
        </w:rPr>
        <w:t xml:space="preserve"> </w:t>
      </w:r>
      <w:r w:rsidRPr="00B3123D">
        <w:rPr>
          <w:rStyle w:val="afa"/>
          <w:rFonts w:hint="cs"/>
          <w:rtl/>
        </w:rPr>
        <w:t xml:space="preserve">כתב דבשר נבילה שיבש כעץ והותר מדין אינו ראוי לגר, וחזר ונימוח בתבשיל אסור, ועי' במ"ש בזה </w:t>
      </w:r>
      <w:r w:rsidRPr="00B3123D">
        <w:rPr>
          <w:rStyle w:val="affa"/>
          <w:rFonts w:hint="cs"/>
          <w:rtl/>
        </w:rPr>
        <w:t>במשנת ר"א</w:t>
      </w:r>
      <w:r w:rsidRPr="00B3123D">
        <w:rPr>
          <w:rStyle w:val="afa"/>
          <w:rFonts w:hint="cs"/>
          <w:rtl/>
        </w:rPr>
        <w:t xml:space="preserve"> </w:t>
      </w:r>
      <w:r w:rsidRPr="00B3123D">
        <w:rPr>
          <w:rStyle w:val="aff6"/>
          <w:rFonts w:hint="cs"/>
          <w:rtl/>
        </w:rPr>
        <w:t>(שו"ת יו"ד סי' י"ז ב' כ'</w:t>
      </w:r>
      <w:r>
        <w:rPr>
          <w:rStyle w:val="aff6"/>
          <w:rFonts w:hint="cs"/>
          <w:rtl/>
        </w:rPr>
        <w:t>, הובא לקמן סימן י"ג הערה</w:t>
      </w:r>
      <w:r w:rsidR="00CB331F" w:rsidRPr="00CB331F">
        <w:rPr>
          <w:vertAlign w:val="superscript"/>
          <w:rtl/>
        </w:rPr>
        <w:fldChar w:fldCharType="begin"/>
      </w:r>
      <w:r w:rsidR="00CB331F" w:rsidRPr="00CB331F">
        <w:rPr>
          <w:vertAlign w:val="superscript"/>
          <w:rtl/>
        </w:rPr>
        <w:instrText xml:space="preserve"> </w:instrText>
      </w:r>
      <w:r w:rsidR="00CB331F" w:rsidRPr="00CB331F">
        <w:rPr>
          <w:rFonts w:hint="cs"/>
          <w:vertAlign w:val="superscript"/>
        </w:rPr>
        <w:instrText>NOTEREF</w:instrText>
      </w:r>
      <w:r w:rsidR="00CB331F" w:rsidRPr="00CB331F">
        <w:rPr>
          <w:rFonts w:hint="cs"/>
          <w:vertAlign w:val="superscript"/>
          <w:rtl/>
        </w:rPr>
        <w:instrText xml:space="preserve"> _</w:instrText>
      </w:r>
      <w:r w:rsidR="00CB331F" w:rsidRPr="00CB331F">
        <w:rPr>
          <w:rFonts w:hint="cs"/>
          <w:vertAlign w:val="superscript"/>
        </w:rPr>
        <w:instrText>Ref19043283 \h</w:instrText>
      </w:r>
      <w:r w:rsidR="00CB331F" w:rsidRPr="00CB331F">
        <w:rPr>
          <w:vertAlign w:val="superscript"/>
          <w:rtl/>
        </w:rPr>
        <w:instrText xml:space="preserve"> </w:instrText>
      </w:r>
      <w:r w:rsidR="00CB331F">
        <w:rPr>
          <w:vertAlign w:val="superscript"/>
          <w:rtl/>
        </w:rPr>
        <w:instrText xml:space="preserve"> \* </w:instrText>
      </w:r>
      <w:r w:rsidR="00CB331F">
        <w:rPr>
          <w:vertAlign w:val="superscript"/>
        </w:rPr>
        <w:instrText>MERGEFORMAT</w:instrText>
      </w:r>
      <w:r w:rsidR="00CB331F">
        <w:rPr>
          <w:vertAlign w:val="superscript"/>
          <w:rtl/>
        </w:rPr>
        <w:instrText xml:space="preserve"> </w:instrText>
      </w:r>
      <w:r w:rsidR="00CB331F" w:rsidRPr="00CB331F">
        <w:rPr>
          <w:vertAlign w:val="superscript"/>
          <w:rtl/>
        </w:rPr>
      </w:r>
      <w:r w:rsidR="00CB331F" w:rsidRPr="00CB331F">
        <w:rPr>
          <w:vertAlign w:val="superscript"/>
          <w:rtl/>
        </w:rPr>
        <w:fldChar w:fldCharType="separate"/>
      </w:r>
      <w:r w:rsidR="004D1C5B">
        <w:rPr>
          <w:vertAlign w:val="superscript"/>
          <w:rtl/>
        </w:rPr>
        <w:t>46</w:t>
      </w:r>
      <w:r w:rsidR="00CB331F" w:rsidRPr="00CB331F">
        <w:rPr>
          <w:vertAlign w:val="superscript"/>
          <w:rtl/>
        </w:rPr>
        <w:fldChar w:fldCharType="end"/>
      </w:r>
      <w:r w:rsidRPr="00B3123D">
        <w:rPr>
          <w:rStyle w:val="aff6"/>
          <w:rFonts w:hint="cs"/>
          <w:rtl/>
        </w:rPr>
        <w:t>)</w:t>
      </w:r>
      <w:r w:rsidRPr="00B3123D">
        <w:rPr>
          <w:rStyle w:val="afa"/>
          <w:rFonts w:hint="cs"/>
          <w:rtl/>
        </w:rPr>
        <w:t>]</w:t>
      </w:r>
      <w:bookmarkEnd w:id="8257"/>
      <w:r>
        <w:rPr>
          <w:rStyle w:val="afa"/>
          <w:rFonts w:hint="cs"/>
          <w:rtl/>
        </w:rPr>
        <w:t xml:space="preserve">, </w:t>
      </w:r>
      <w:r w:rsidRPr="001D28A9">
        <w:rPr>
          <w:rFonts w:hint="cs"/>
          <w:rtl/>
        </w:rPr>
        <w:t xml:space="preserve">ועי' במ"ש </w:t>
      </w:r>
      <w:r w:rsidRPr="00EB4F31">
        <w:rPr>
          <w:rStyle w:val="af8"/>
          <w:rFonts w:hint="cs"/>
          <w:rtl/>
        </w:rPr>
        <w:t>החוו"ד</w:t>
      </w:r>
      <w:r w:rsidRPr="001D28A9">
        <w:rPr>
          <w:rFonts w:hint="cs"/>
          <w:rtl/>
        </w:rPr>
        <w:t xml:space="preserve"> </w:t>
      </w:r>
      <w:r w:rsidRPr="00EB4F31">
        <w:rPr>
          <w:rStyle w:val="af6"/>
          <w:rFonts w:eastAsia="Guttman Hodes" w:hint="cs"/>
          <w:rtl/>
        </w:rPr>
        <w:t xml:space="preserve">(הובא לקמן סימן י"ג </w:t>
      </w:r>
      <w:r w:rsidR="00D701A5" w:rsidRPr="00D701A5">
        <w:rPr>
          <w:rStyle w:val="af6"/>
          <w:rFonts w:eastAsia="Guttman Hodes" w:hint="cs"/>
          <w:rtl/>
        </w:rPr>
        <w:t xml:space="preserve">אות </w:t>
      </w:r>
      <w:r w:rsidR="00D701A5" w:rsidRPr="00D701A5">
        <w:rPr>
          <w:rStyle w:val="af6"/>
          <w:rFonts w:eastAsia="Guttman Hodes"/>
          <w:rtl/>
        </w:rPr>
        <w:fldChar w:fldCharType="begin"/>
      </w:r>
      <w:r w:rsidR="00D701A5" w:rsidRPr="00D701A5">
        <w:rPr>
          <w:rStyle w:val="af6"/>
          <w:rFonts w:eastAsia="Guttman Hodes"/>
          <w:rtl/>
        </w:rPr>
        <w:instrText xml:space="preserve"> </w:instrText>
      </w:r>
      <w:r w:rsidR="00D701A5" w:rsidRPr="00D701A5">
        <w:rPr>
          <w:rStyle w:val="af6"/>
          <w:rFonts w:eastAsia="Guttman Hodes" w:hint="cs"/>
        </w:rPr>
        <w:instrText>REF</w:instrText>
      </w:r>
      <w:r w:rsidR="00D701A5" w:rsidRPr="00D701A5">
        <w:rPr>
          <w:rStyle w:val="af6"/>
          <w:rFonts w:eastAsia="Guttman Hodes" w:hint="cs"/>
          <w:rtl/>
        </w:rPr>
        <w:instrText xml:space="preserve"> _</w:instrText>
      </w:r>
      <w:r w:rsidR="00D701A5" w:rsidRPr="00D701A5">
        <w:rPr>
          <w:rStyle w:val="af6"/>
          <w:rFonts w:eastAsia="Guttman Hodes" w:hint="cs"/>
        </w:rPr>
        <w:instrText>Ref19046006 \r \h</w:instrText>
      </w:r>
      <w:r w:rsidR="00D701A5" w:rsidRPr="00D701A5">
        <w:rPr>
          <w:rStyle w:val="af6"/>
          <w:rFonts w:eastAsia="Guttman Hodes"/>
          <w:rtl/>
        </w:rPr>
        <w:instrText xml:space="preserve"> </w:instrText>
      </w:r>
      <w:r w:rsidR="00D701A5" w:rsidRPr="00D701A5">
        <w:rPr>
          <w:rStyle w:val="af6"/>
          <w:rFonts w:eastAsia="Guttman Hodes"/>
          <w:rtl/>
        </w:rPr>
      </w:r>
      <w:r w:rsidR="00D701A5" w:rsidRPr="00D701A5">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00D701A5" w:rsidRPr="00D701A5">
        <w:rPr>
          <w:rStyle w:val="af6"/>
          <w:rFonts w:eastAsia="Guttman Hodes"/>
          <w:rtl/>
        </w:rPr>
        <w:fldChar w:fldCharType="end"/>
      </w:r>
      <w:r>
        <w:rPr>
          <w:rFonts w:hint="cs"/>
          <w:rtl/>
        </w:rPr>
        <w:t xml:space="preserve"> בזה בביאור דין נותן טעם לפגם בבשר בחלב ובכלאי הכרם.</w:t>
      </w:r>
    </w:p>
    <w:p w:rsidR="007809D6" w:rsidRDefault="007809D6" w:rsidP="007809D6">
      <w:pPr>
        <w:pStyle w:val="a2"/>
        <w:rPr>
          <w:rtl/>
        </w:rPr>
      </w:pPr>
      <w:bookmarkStart w:id="8259" w:name="_Toc18404100"/>
      <w:bookmarkStart w:id="8260" w:name="_Toc18481496"/>
      <w:r>
        <w:rPr>
          <w:rFonts w:hint="cs"/>
          <w:rtl/>
        </w:rPr>
        <w:t>דברי החוו"ד דבנבילה ושאר איסורים שאינם ראויים לגר פקע האיסור אף אם חזר ותיקנם</w:t>
      </w:r>
      <w:bookmarkEnd w:id="8259"/>
      <w:bookmarkEnd w:id="8260"/>
    </w:p>
    <w:p w:rsidR="007809D6" w:rsidRDefault="007809D6" w:rsidP="009F44AF">
      <w:pPr>
        <w:pStyle w:val="a"/>
        <w:rPr>
          <w:rtl/>
        </w:rPr>
      </w:pPr>
      <w:r>
        <w:rPr>
          <w:rFonts w:hint="cs"/>
          <w:rtl/>
        </w:rPr>
        <w:t>אלא כתב</w:t>
      </w:r>
      <w:r w:rsidRPr="00093F2D">
        <w:rPr>
          <w:rFonts w:hint="cs"/>
          <w:rtl/>
        </w:rPr>
        <w:t xml:space="preserve"> </w:t>
      </w:r>
      <w:r w:rsidRPr="00D47CE7">
        <w:rPr>
          <w:rStyle w:val="af8"/>
          <w:rtl/>
        </w:rPr>
        <w:t>החוו"ד</w:t>
      </w:r>
      <w:r w:rsidRPr="00D47CE7">
        <w:rPr>
          <w:rFonts w:hint="cs"/>
          <w:rtl/>
        </w:rPr>
        <w:t xml:space="preserve"> </w:t>
      </w:r>
      <w:r>
        <w:rPr>
          <w:rFonts w:hint="cs"/>
          <w:rtl/>
        </w:rPr>
        <w:t xml:space="preserve">דמוכח דדין נבילה שאינה ראויה לגר, איירי באופן שחזר ותיקנה ונעשית ראויה לאכילה, דמ"מ היא מותרת כיון שפקע האיסור ממנה, וכתב </w:t>
      </w:r>
      <w:r w:rsidRPr="00AB29B7">
        <w:rPr>
          <w:rStyle w:val="af8"/>
          <w:rFonts w:hint="cs"/>
          <w:rtl/>
        </w:rPr>
        <w:t>החוו"ד</w:t>
      </w:r>
      <w:r>
        <w:rPr>
          <w:rFonts w:hint="cs"/>
          <w:rtl/>
        </w:rPr>
        <w:t xml:space="preserve"> דמנבילה ילפינן דה"ה בכל נותן טעם לפגם כשנפגם לגמרי ואינו ראוי לגר, דפקע האיסור לגמרי, ואינו חוזר לאיסורו אף כשחזר ותיקנו.</w:t>
      </w:r>
      <w:bookmarkEnd w:id="8258"/>
      <w:r w:rsidRPr="003635F1">
        <w:rPr>
          <w:rFonts w:hint="cs"/>
          <w:rtl/>
        </w:rPr>
        <w:t xml:space="preserve"> </w:t>
      </w:r>
      <w:r>
        <w:rPr>
          <w:rFonts w:hint="cs"/>
          <w:rtl/>
        </w:rPr>
        <w:t xml:space="preserve">[ועי' במה שחקר </w:t>
      </w:r>
      <w:r w:rsidRPr="00B64E1A">
        <w:rPr>
          <w:rStyle w:val="af8"/>
          <w:rFonts w:hint="cs"/>
          <w:rtl/>
        </w:rPr>
        <w:t>הגר"ח</w:t>
      </w:r>
      <w:r>
        <w:rPr>
          <w:rFonts w:hint="cs"/>
          <w:rtl/>
        </w:rPr>
        <w:t xml:space="preserve"> </w:t>
      </w:r>
      <w:r w:rsidRPr="00AD7158">
        <w:rPr>
          <w:rStyle w:val="af6"/>
          <w:rFonts w:eastAsia="Guttman Hodes" w:hint="cs"/>
          <w:rtl/>
        </w:rPr>
        <w:t xml:space="preserve">(עי' אות </w:t>
      </w:r>
      <w:r w:rsidRPr="00AD7158">
        <w:rPr>
          <w:rStyle w:val="af6"/>
          <w:rFonts w:eastAsia="Guttman Hodes"/>
          <w:rtl/>
        </w:rPr>
        <w:fldChar w:fldCharType="begin"/>
      </w:r>
      <w:r w:rsidRPr="00AD7158">
        <w:rPr>
          <w:rStyle w:val="af6"/>
          <w:rFonts w:eastAsia="Guttman Hodes"/>
          <w:rtl/>
        </w:rPr>
        <w:instrText xml:space="preserve"> </w:instrText>
      </w:r>
      <w:r w:rsidRPr="00AD7158">
        <w:rPr>
          <w:rStyle w:val="af6"/>
          <w:rFonts w:eastAsia="Guttman Hodes" w:hint="cs"/>
        </w:rPr>
        <w:instrText>REF</w:instrText>
      </w:r>
      <w:r w:rsidRPr="00AD7158">
        <w:rPr>
          <w:rStyle w:val="af6"/>
          <w:rFonts w:eastAsia="Guttman Hodes" w:hint="cs"/>
          <w:rtl/>
        </w:rPr>
        <w:instrText xml:space="preserve"> _</w:instrText>
      </w:r>
      <w:r w:rsidRPr="00AD7158">
        <w:rPr>
          <w:rStyle w:val="af6"/>
          <w:rFonts w:eastAsia="Guttman Hodes" w:hint="cs"/>
        </w:rPr>
        <w:instrText>Ref18397727 \r \h</w:instrText>
      </w:r>
      <w:r w:rsidRPr="00AD7158">
        <w:rPr>
          <w:rStyle w:val="af6"/>
          <w:rFonts w:eastAsia="Guttman Hodes"/>
          <w:rtl/>
        </w:rPr>
        <w:instrText xml:space="preserve"> </w:instrText>
      </w:r>
      <w:r w:rsidRPr="00AD7158">
        <w:rPr>
          <w:rStyle w:val="af6"/>
          <w:rFonts w:eastAsia="Guttman Hodes"/>
          <w:rtl/>
        </w:rPr>
      </w:r>
      <w:r w:rsidRPr="00AD7158">
        <w:rPr>
          <w:rStyle w:val="af6"/>
          <w:rFonts w:eastAsia="Guttman Hodes"/>
          <w:rtl/>
        </w:rPr>
        <w:fldChar w:fldCharType="separate"/>
      </w:r>
      <w:r w:rsidR="004D1C5B">
        <w:rPr>
          <w:rStyle w:val="af6"/>
          <w:rFonts w:eastAsia="Guttman Hodes"/>
          <w:cs/>
        </w:rPr>
        <w:t>‎</w:t>
      </w:r>
      <w:r w:rsidR="004D1C5B">
        <w:rPr>
          <w:rStyle w:val="af6"/>
          <w:rFonts w:eastAsia="Guttman Hodes"/>
          <w:rtl/>
        </w:rPr>
        <w:t>קב)</w:t>
      </w:r>
      <w:r w:rsidRPr="00AD7158">
        <w:rPr>
          <w:rStyle w:val="af6"/>
          <w:rFonts w:eastAsia="Guttman Hodes"/>
          <w:rtl/>
        </w:rPr>
        <w:fldChar w:fldCharType="end"/>
      </w:r>
      <w:r>
        <w:rPr>
          <w:rFonts w:hint="cs"/>
          <w:rtl/>
        </w:rPr>
        <w:t xml:space="preserve"> בזה].</w:t>
      </w:r>
    </w:p>
    <w:p w:rsidR="007809D6" w:rsidRPr="00283653" w:rsidRDefault="007809D6" w:rsidP="007809D6">
      <w:pPr>
        <w:pStyle w:val="a2"/>
        <w:rPr>
          <w:rtl/>
        </w:rPr>
      </w:pPr>
      <w:bookmarkStart w:id="8261" w:name="_Toc18404101"/>
      <w:bookmarkStart w:id="8262" w:name="_Toc18481497"/>
      <w:r>
        <w:rPr>
          <w:rFonts w:hint="cs"/>
          <w:rtl/>
        </w:rPr>
        <w:t>דברי החוו"ד דבפגום במקצת לא פקע האיסור ואינו אוסר את התערובת דלא ניחא לו בפגימה</w:t>
      </w:r>
      <w:bookmarkEnd w:id="8261"/>
      <w:bookmarkEnd w:id="8262"/>
    </w:p>
    <w:p w:rsidR="007809D6" w:rsidRPr="004141B5" w:rsidRDefault="007809D6" w:rsidP="009F44AF">
      <w:pPr>
        <w:pStyle w:val="a"/>
        <w:rPr>
          <w:rtl/>
        </w:rPr>
      </w:pPr>
      <w:bookmarkStart w:id="8263" w:name="_Ref18400589"/>
      <w:r>
        <w:rPr>
          <w:rFonts w:hint="cs"/>
          <w:rtl/>
        </w:rPr>
        <w:lastRenderedPageBreak/>
        <w:t xml:space="preserve">אבל בנותן טעם לפגם בפגום במקצת, כתב </w:t>
      </w:r>
      <w:r w:rsidRPr="00B64E1A">
        <w:rPr>
          <w:rStyle w:val="af8"/>
          <w:rFonts w:hint="cs"/>
          <w:rtl/>
        </w:rPr>
        <w:t>החוו"ד</w:t>
      </w:r>
      <w:r>
        <w:rPr>
          <w:rFonts w:hint="cs"/>
          <w:rtl/>
        </w:rPr>
        <w:t xml:space="preserve"> דלא חשיב שהאיסור פקע, אלא דכיון שלא נפגם לגמרי הוא עדיין אסור, ומ"מ אינו אוסר את התערובת כיון שלא ניחא לו בטעם הפגום כדביארו </w:t>
      </w:r>
      <w:r w:rsidRPr="00EB450E">
        <w:rPr>
          <w:rStyle w:val="af8"/>
          <w:rFonts w:hint="cs"/>
          <w:rtl/>
        </w:rPr>
        <w:t>הרשב"א</w:t>
      </w:r>
      <w:r>
        <w:rPr>
          <w:rFonts w:hint="cs"/>
          <w:rtl/>
        </w:rPr>
        <w:t xml:space="preserve"> </w:t>
      </w:r>
      <w:r w:rsidRPr="00AD7158">
        <w:rPr>
          <w:rStyle w:val="af6"/>
          <w:rFonts w:eastAsia="Guttman Hodes" w:hint="cs"/>
          <w:rtl/>
        </w:rPr>
        <w:t xml:space="preserve">(עי' אות </w:t>
      </w:r>
      <w:r w:rsidRPr="00AD7158">
        <w:rPr>
          <w:rStyle w:val="af6"/>
          <w:rFonts w:eastAsia="Guttman Hodes"/>
          <w:rtl/>
        </w:rPr>
        <w:fldChar w:fldCharType="begin"/>
      </w:r>
      <w:r w:rsidRPr="00AD7158">
        <w:rPr>
          <w:rStyle w:val="af6"/>
          <w:rFonts w:eastAsia="Guttman Hodes"/>
          <w:rtl/>
        </w:rPr>
        <w:instrText xml:space="preserve"> </w:instrText>
      </w:r>
      <w:r w:rsidRPr="00AD7158">
        <w:rPr>
          <w:rStyle w:val="af6"/>
          <w:rFonts w:eastAsia="Guttman Hodes" w:hint="cs"/>
        </w:rPr>
        <w:instrText>REF</w:instrText>
      </w:r>
      <w:r w:rsidRPr="00AD7158">
        <w:rPr>
          <w:rStyle w:val="af6"/>
          <w:rFonts w:eastAsia="Guttman Hodes" w:hint="cs"/>
          <w:rtl/>
        </w:rPr>
        <w:instrText xml:space="preserve"> _</w:instrText>
      </w:r>
      <w:r w:rsidRPr="00AD7158">
        <w:rPr>
          <w:rStyle w:val="af6"/>
          <w:rFonts w:eastAsia="Guttman Hodes" w:hint="cs"/>
        </w:rPr>
        <w:instrText>Ref16157154 \r \h</w:instrText>
      </w:r>
      <w:r w:rsidRPr="00AD7158">
        <w:rPr>
          <w:rStyle w:val="af6"/>
          <w:rFonts w:eastAsia="Guttman Hodes"/>
          <w:rtl/>
        </w:rPr>
        <w:instrText xml:space="preserve"> </w:instrText>
      </w:r>
      <w:r w:rsidRPr="00AD7158">
        <w:rPr>
          <w:rStyle w:val="af6"/>
          <w:rFonts w:eastAsia="Guttman Hodes"/>
          <w:rtl/>
        </w:rPr>
      </w:r>
      <w:r w:rsidRPr="00AD7158">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AD7158">
        <w:rPr>
          <w:rStyle w:val="af6"/>
          <w:rFonts w:eastAsia="Guttman Hodes"/>
          <w:rtl/>
        </w:rPr>
        <w:fldChar w:fldCharType="end"/>
      </w:r>
      <w:r>
        <w:rPr>
          <w:rFonts w:hint="cs"/>
          <w:rtl/>
        </w:rPr>
        <w:t xml:space="preserve"> </w:t>
      </w:r>
      <w:r w:rsidRPr="00EB450E">
        <w:rPr>
          <w:rStyle w:val="af8"/>
          <w:rFonts w:hint="cs"/>
          <w:rtl/>
        </w:rPr>
        <w:t>והר"ן</w:t>
      </w:r>
      <w:r>
        <w:rPr>
          <w:rFonts w:hint="cs"/>
          <w:rtl/>
        </w:rPr>
        <w:t xml:space="preserve"> </w:t>
      </w:r>
      <w:r w:rsidRPr="00AD7158">
        <w:rPr>
          <w:rStyle w:val="af6"/>
          <w:rFonts w:eastAsia="Guttman Hodes" w:hint="cs"/>
          <w:rtl/>
        </w:rPr>
        <w:t xml:space="preserve">(עי' אות </w:t>
      </w:r>
      <w:r w:rsidRPr="00AD7158">
        <w:rPr>
          <w:rStyle w:val="af6"/>
          <w:rFonts w:eastAsia="Guttman Hodes"/>
          <w:rtl/>
        </w:rPr>
        <w:fldChar w:fldCharType="begin"/>
      </w:r>
      <w:r w:rsidRPr="00AD7158">
        <w:rPr>
          <w:rStyle w:val="af6"/>
          <w:rFonts w:eastAsia="Guttman Hodes"/>
          <w:rtl/>
        </w:rPr>
        <w:instrText xml:space="preserve"> </w:instrText>
      </w:r>
      <w:r w:rsidRPr="00AD7158">
        <w:rPr>
          <w:rStyle w:val="af6"/>
          <w:rFonts w:eastAsia="Guttman Hodes" w:hint="cs"/>
        </w:rPr>
        <w:instrText>REF</w:instrText>
      </w:r>
      <w:r w:rsidRPr="00AD7158">
        <w:rPr>
          <w:rStyle w:val="af6"/>
          <w:rFonts w:eastAsia="Guttman Hodes" w:hint="cs"/>
          <w:rtl/>
        </w:rPr>
        <w:instrText xml:space="preserve"> _</w:instrText>
      </w:r>
      <w:r w:rsidRPr="00AD7158">
        <w:rPr>
          <w:rStyle w:val="af6"/>
          <w:rFonts w:eastAsia="Guttman Hodes" w:hint="cs"/>
        </w:rPr>
        <w:instrText>Ref16849713 \r \h</w:instrText>
      </w:r>
      <w:r w:rsidRPr="00AD7158">
        <w:rPr>
          <w:rStyle w:val="af6"/>
          <w:rFonts w:eastAsia="Guttman Hodes"/>
          <w:rtl/>
        </w:rPr>
        <w:instrText xml:space="preserve"> </w:instrText>
      </w:r>
      <w:r w:rsidRPr="00AD7158">
        <w:rPr>
          <w:rStyle w:val="af6"/>
          <w:rFonts w:eastAsia="Guttman Hodes"/>
          <w:rtl/>
        </w:rPr>
      </w:r>
      <w:r w:rsidRPr="00AD7158">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AD7158">
        <w:rPr>
          <w:rStyle w:val="af6"/>
          <w:rFonts w:eastAsia="Guttman Hodes"/>
          <w:rtl/>
        </w:rPr>
        <w:fldChar w:fldCharType="end"/>
      </w:r>
      <w:r>
        <w:rPr>
          <w:rStyle w:val="af0"/>
          <w:rtl/>
        </w:rPr>
        <w:footnoteReference w:id="23"/>
      </w:r>
      <w:r>
        <w:rPr>
          <w:rFonts w:hint="cs"/>
          <w:rtl/>
        </w:rPr>
        <w:t xml:space="preserve">, וכתב </w:t>
      </w:r>
      <w:r w:rsidRPr="00EB450E">
        <w:rPr>
          <w:rStyle w:val="af8"/>
          <w:rFonts w:hint="cs"/>
          <w:rtl/>
        </w:rPr>
        <w:t>החוו"ד</w:t>
      </w:r>
      <w:r>
        <w:rPr>
          <w:rFonts w:hint="cs"/>
          <w:rtl/>
        </w:rPr>
        <w:t xml:space="preserve"> דמשו"ה אסור בפוגם ולבסוף השביח, דכיון שלא פקע האיסור ממנו, א"כ כשחזר הטעם הפגום והשביח את התערובת, וניחא לו בטעם האסור נאסרת התערובת. [ועי' </w:t>
      </w:r>
      <w:r w:rsidRPr="00B64E1A">
        <w:rPr>
          <w:rStyle w:val="af8"/>
          <w:rFonts w:hint="cs"/>
          <w:rtl/>
        </w:rPr>
        <w:t>ביד יהודה</w:t>
      </w:r>
      <w:r>
        <w:rPr>
          <w:rFonts w:hint="cs"/>
          <w:rtl/>
        </w:rPr>
        <w:t xml:space="preserve"> </w:t>
      </w:r>
      <w:r w:rsidRPr="00AD7158">
        <w:rPr>
          <w:rStyle w:val="af6"/>
          <w:rFonts w:eastAsia="Guttman Hodes" w:hint="cs"/>
          <w:rtl/>
        </w:rPr>
        <w:t xml:space="preserve">(עי' אות </w:t>
      </w:r>
      <w:r w:rsidRPr="00AD7158">
        <w:rPr>
          <w:rStyle w:val="af6"/>
          <w:rFonts w:eastAsia="Guttman Hodes"/>
          <w:rtl/>
        </w:rPr>
        <w:fldChar w:fldCharType="begin"/>
      </w:r>
      <w:r w:rsidRPr="00AD7158">
        <w:rPr>
          <w:rStyle w:val="af6"/>
          <w:rFonts w:eastAsia="Guttman Hodes"/>
          <w:rtl/>
        </w:rPr>
        <w:instrText xml:space="preserve"> </w:instrText>
      </w:r>
      <w:r w:rsidRPr="00AD7158">
        <w:rPr>
          <w:rStyle w:val="af6"/>
          <w:rFonts w:eastAsia="Guttman Hodes" w:hint="cs"/>
        </w:rPr>
        <w:instrText>REF</w:instrText>
      </w:r>
      <w:r w:rsidRPr="00AD7158">
        <w:rPr>
          <w:rStyle w:val="af6"/>
          <w:rFonts w:eastAsia="Guttman Hodes" w:hint="cs"/>
          <w:rtl/>
        </w:rPr>
        <w:instrText xml:space="preserve"> _</w:instrText>
      </w:r>
      <w:r w:rsidRPr="00AD7158">
        <w:rPr>
          <w:rStyle w:val="af6"/>
          <w:rFonts w:eastAsia="Guttman Hodes" w:hint="cs"/>
        </w:rPr>
        <w:instrText>Ref18400551 \r \h</w:instrText>
      </w:r>
      <w:r w:rsidRPr="00AD7158">
        <w:rPr>
          <w:rStyle w:val="af6"/>
          <w:rFonts w:eastAsia="Guttman Hodes"/>
          <w:rtl/>
        </w:rPr>
        <w:instrText xml:space="preserve"> </w:instrText>
      </w:r>
      <w:r w:rsidRPr="00AD7158">
        <w:rPr>
          <w:rStyle w:val="af6"/>
          <w:rFonts w:eastAsia="Guttman Hodes"/>
          <w:rtl/>
        </w:rPr>
      </w:r>
      <w:r w:rsidRPr="00AD7158">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AD7158">
        <w:rPr>
          <w:rStyle w:val="af6"/>
          <w:rFonts w:eastAsia="Guttman Hodes"/>
          <w:rtl/>
        </w:rPr>
        <w:fldChar w:fldCharType="end"/>
      </w:r>
      <w:r>
        <w:rPr>
          <w:rFonts w:hint="cs"/>
          <w:rtl/>
        </w:rPr>
        <w:t xml:space="preserve"> דכתב דנחלקו בזה </w:t>
      </w:r>
      <w:r w:rsidRPr="00B64E1A">
        <w:rPr>
          <w:rStyle w:val="af8"/>
          <w:rFonts w:hint="cs"/>
          <w:rtl/>
        </w:rPr>
        <w:t>הרשב"א והר"ן</w:t>
      </w:r>
      <w:r>
        <w:rPr>
          <w:rFonts w:hint="cs"/>
          <w:rtl/>
        </w:rPr>
        <w:t xml:space="preserve">, ועי' במ"ש </w:t>
      </w:r>
      <w:r w:rsidRPr="003635F1">
        <w:rPr>
          <w:rStyle w:val="af8"/>
          <w:rFonts w:hint="cs"/>
          <w:rtl/>
        </w:rPr>
        <w:t xml:space="preserve">הגר"ח </w:t>
      </w:r>
      <w:r w:rsidRPr="003635F1">
        <w:rPr>
          <w:rStyle w:val="af6"/>
          <w:rFonts w:eastAsia="Guttman Hodes" w:hint="cs"/>
          <w:rtl/>
        </w:rPr>
        <w:t xml:space="preserve">(עי' אות </w:t>
      </w:r>
      <w:r w:rsidRPr="003635F1">
        <w:rPr>
          <w:rStyle w:val="af6"/>
          <w:rFonts w:eastAsia="Guttman Hodes"/>
          <w:rtl/>
        </w:rPr>
        <w:fldChar w:fldCharType="begin"/>
      </w:r>
      <w:r w:rsidRPr="003635F1">
        <w:rPr>
          <w:rStyle w:val="af6"/>
          <w:rFonts w:eastAsia="Guttman Hodes"/>
          <w:rtl/>
        </w:rPr>
        <w:instrText xml:space="preserve"> </w:instrText>
      </w:r>
      <w:r w:rsidRPr="003635F1">
        <w:rPr>
          <w:rStyle w:val="af6"/>
          <w:rFonts w:eastAsia="Guttman Hodes" w:hint="cs"/>
        </w:rPr>
        <w:instrText>REF</w:instrText>
      </w:r>
      <w:r w:rsidRPr="003635F1">
        <w:rPr>
          <w:rStyle w:val="af6"/>
          <w:rFonts w:eastAsia="Guttman Hodes" w:hint="cs"/>
          <w:rtl/>
        </w:rPr>
        <w:instrText xml:space="preserve"> _</w:instrText>
      </w:r>
      <w:r w:rsidRPr="003635F1">
        <w:rPr>
          <w:rStyle w:val="af6"/>
          <w:rFonts w:eastAsia="Guttman Hodes" w:hint="cs"/>
        </w:rPr>
        <w:instrText>Ref18404008 \r \h</w:instrText>
      </w:r>
      <w:r w:rsidRPr="003635F1">
        <w:rPr>
          <w:rStyle w:val="af6"/>
          <w:rFonts w:eastAsia="Guttman Hodes"/>
          <w:rtl/>
        </w:rPr>
        <w:instrText xml:space="preserve"> </w:instrText>
      </w:r>
      <w:r w:rsidRPr="003635F1">
        <w:rPr>
          <w:rStyle w:val="af6"/>
          <w:rFonts w:eastAsia="Guttman Hodes"/>
          <w:rtl/>
        </w:rPr>
      </w:r>
      <w:r w:rsidRPr="003635F1">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3635F1">
        <w:rPr>
          <w:rStyle w:val="af6"/>
          <w:rFonts w:eastAsia="Guttman Hodes"/>
          <w:rtl/>
        </w:rPr>
        <w:fldChar w:fldCharType="end"/>
      </w:r>
      <w:r w:rsidRPr="003635F1">
        <w:rPr>
          <w:rStyle w:val="af6"/>
          <w:rFonts w:eastAsia="Guttman Hodes" w:hint="cs"/>
          <w:rtl/>
        </w:rPr>
        <w:t xml:space="preserve"> </w:t>
      </w:r>
      <w:r>
        <w:rPr>
          <w:rFonts w:hint="cs"/>
          <w:rtl/>
        </w:rPr>
        <w:t xml:space="preserve">ובמ"ש </w:t>
      </w:r>
      <w:r w:rsidRPr="004141B5">
        <w:rPr>
          <w:rStyle w:val="af8"/>
          <w:rFonts w:hint="cs"/>
          <w:rtl/>
        </w:rPr>
        <w:t>הקה"י</w:t>
      </w:r>
      <w:r w:rsidRPr="004141B5">
        <w:rPr>
          <w:rFonts w:hint="cs"/>
          <w:rtl/>
        </w:rPr>
        <w:t xml:space="preserve"> </w:t>
      </w:r>
      <w:r w:rsidRPr="004141B5">
        <w:rPr>
          <w:rStyle w:val="af6"/>
          <w:rFonts w:eastAsia="Guttman Hodes" w:hint="cs"/>
          <w:rtl/>
        </w:rPr>
        <w:t xml:space="preserve">(עי' אות </w:t>
      </w:r>
      <w:r w:rsidRPr="004141B5">
        <w:rPr>
          <w:rStyle w:val="af6"/>
          <w:rFonts w:eastAsia="Guttman Hodes"/>
          <w:rtl/>
        </w:rPr>
        <w:fldChar w:fldCharType="begin"/>
      </w:r>
      <w:r w:rsidRPr="004141B5">
        <w:rPr>
          <w:rStyle w:val="af6"/>
          <w:rFonts w:eastAsia="Guttman Hodes"/>
          <w:rtl/>
        </w:rPr>
        <w:instrText xml:space="preserve"> </w:instrText>
      </w:r>
      <w:r w:rsidRPr="004141B5">
        <w:rPr>
          <w:rStyle w:val="af6"/>
          <w:rFonts w:eastAsia="Guttman Hodes" w:hint="cs"/>
        </w:rPr>
        <w:instrText>REF</w:instrText>
      </w:r>
      <w:r w:rsidRPr="004141B5">
        <w:rPr>
          <w:rStyle w:val="af6"/>
          <w:rFonts w:eastAsia="Guttman Hodes" w:hint="cs"/>
          <w:rtl/>
        </w:rPr>
        <w:instrText xml:space="preserve"> _</w:instrText>
      </w:r>
      <w:r w:rsidRPr="004141B5">
        <w:rPr>
          <w:rStyle w:val="af6"/>
          <w:rFonts w:eastAsia="Guttman Hodes" w:hint="cs"/>
        </w:rPr>
        <w:instrText>Ref18424946 \r \h</w:instrText>
      </w:r>
      <w:r w:rsidRPr="004141B5">
        <w:rPr>
          <w:rStyle w:val="af6"/>
          <w:rFonts w:eastAsia="Guttman Hodes"/>
          <w:rtl/>
        </w:rPr>
        <w:instrText xml:space="preserve"> </w:instrText>
      </w:r>
      <w:r w:rsidRPr="004141B5">
        <w:rPr>
          <w:rStyle w:val="af6"/>
          <w:rFonts w:eastAsia="Guttman Hodes"/>
          <w:rtl/>
        </w:rPr>
      </w:r>
      <w:r w:rsidRPr="004141B5">
        <w:rPr>
          <w:rStyle w:val="af6"/>
          <w:rFonts w:eastAsia="Guttman Hodes"/>
          <w:rtl/>
        </w:rPr>
        <w:fldChar w:fldCharType="separate"/>
      </w:r>
      <w:r w:rsidR="004D1C5B">
        <w:rPr>
          <w:rStyle w:val="af6"/>
          <w:rFonts w:eastAsia="Guttman Hodes"/>
          <w:cs/>
        </w:rPr>
        <w:t>‎</w:t>
      </w:r>
      <w:r w:rsidR="004D1C5B">
        <w:rPr>
          <w:rStyle w:val="af6"/>
          <w:rFonts w:eastAsia="Guttman Hodes"/>
          <w:rtl/>
        </w:rPr>
        <w:t>קכא)</w:t>
      </w:r>
      <w:r w:rsidRPr="004141B5">
        <w:rPr>
          <w:rStyle w:val="af6"/>
          <w:rFonts w:eastAsia="Guttman Hodes"/>
          <w:rtl/>
        </w:rPr>
        <w:fldChar w:fldCharType="end"/>
      </w:r>
      <w:r w:rsidRPr="004141B5">
        <w:rPr>
          <w:rFonts w:hint="cs"/>
          <w:rtl/>
        </w:rPr>
        <w:t>].</w:t>
      </w:r>
      <w:bookmarkEnd w:id="8263"/>
    </w:p>
    <w:p w:rsidR="007809D6" w:rsidRPr="00D47CE7" w:rsidRDefault="007809D6" w:rsidP="007809D6">
      <w:pPr>
        <w:pStyle w:val="1"/>
        <w:rPr>
          <w:rFonts w:ascii="Guttman Adii-Light" w:eastAsia="Guttman Adii-Light" w:hAnsi="Guttman Adii-Light"/>
          <w:b w:val="0"/>
          <w:sz w:val="22"/>
          <w:szCs w:val="28"/>
          <w:rtl/>
        </w:rPr>
      </w:pPr>
      <w:bookmarkStart w:id="8264" w:name="_Toc18481498"/>
      <w:r w:rsidRPr="00AD5801">
        <w:rPr>
          <w:rFonts w:ascii="Guttman Adii-Light" w:eastAsia="Guttman Adii-Light" w:hAnsi="Guttman Adii-Light" w:cs="Guttman Adii-Light" w:hint="cs"/>
          <w:bCs w:val="0"/>
          <w:noProof/>
          <w:sz w:val="22"/>
          <w:szCs w:val="28"/>
          <w:rtl/>
        </w:rPr>
        <w:t xml:space="preserve">דעת הרשב"א דבטעם פגום </w:t>
      </w:r>
      <w:bookmarkEnd w:id="8248"/>
      <w:r w:rsidRPr="00AD5801">
        <w:rPr>
          <w:rFonts w:ascii="Guttman Adii-Light" w:eastAsia="Guttman Adii-Light" w:hAnsi="Guttman Adii-Light" w:cs="Guttman Adii-Light" w:hint="cs"/>
          <w:bCs w:val="0"/>
          <w:noProof/>
          <w:sz w:val="22"/>
          <w:szCs w:val="28"/>
          <w:rtl/>
        </w:rPr>
        <w:t>אין דין טע"כ</w:t>
      </w:r>
      <w:bookmarkEnd w:id="8249"/>
      <w:bookmarkEnd w:id="8250"/>
      <w:bookmarkEnd w:id="8251"/>
      <w:bookmarkEnd w:id="8252"/>
      <w:bookmarkEnd w:id="8253"/>
      <w:bookmarkEnd w:id="8254"/>
      <w:bookmarkEnd w:id="8255"/>
      <w:bookmarkEnd w:id="8264"/>
      <w:r w:rsidRPr="00D47CE7">
        <w:rPr>
          <w:rFonts w:ascii="Guttman Adii-Light" w:eastAsia="Guttman Adii-Light" w:hAnsi="Guttman Adii-Light" w:hint="cs"/>
          <w:b w:val="0"/>
          <w:sz w:val="22"/>
          <w:szCs w:val="28"/>
          <w:rtl/>
        </w:rPr>
        <w:t xml:space="preserve"> </w:t>
      </w:r>
    </w:p>
    <w:p w:rsidR="007809D6" w:rsidRPr="00D47CE7" w:rsidRDefault="007809D6" w:rsidP="007809D6">
      <w:pPr>
        <w:pStyle w:val="1"/>
        <w:rPr>
          <w:rtl/>
        </w:rPr>
      </w:pPr>
      <w:bookmarkStart w:id="8265" w:name="_Toc17984090"/>
      <w:bookmarkStart w:id="8266" w:name="_Toc18228209"/>
      <w:bookmarkStart w:id="8267" w:name="_Toc18250740"/>
      <w:bookmarkStart w:id="8268" w:name="_Toc18266186"/>
      <w:bookmarkStart w:id="8269" w:name="_Toc18269090"/>
      <w:bookmarkStart w:id="8270" w:name="_Toc18323787"/>
      <w:bookmarkStart w:id="8271" w:name="_Toc18397359"/>
      <w:bookmarkStart w:id="8272" w:name="_Toc18404079"/>
      <w:bookmarkStart w:id="8273" w:name="_Toc18481499"/>
      <w:r w:rsidRPr="00D47CE7">
        <w:rPr>
          <w:rFonts w:hint="cs"/>
          <w:rtl/>
        </w:rPr>
        <w:t>הוכחת הראשונים כרש"י דפגום במקצת מותר ודלא כהראב"ד</w:t>
      </w:r>
      <w:bookmarkEnd w:id="8213"/>
      <w:bookmarkEnd w:id="8214"/>
      <w:bookmarkEnd w:id="8215"/>
      <w:bookmarkEnd w:id="8216"/>
      <w:bookmarkEnd w:id="8217"/>
      <w:bookmarkEnd w:id="8265"/>
      <w:bookmarkEnd w:id="8266"/>
      <w:bookmarkEnd w:id="8267"/>
      <w:bookmarkEnd w:id="8268"/>
      <w:bookmarkEnd w:id="8269"/>
      <w:bookmarkEnd w:id="8270"/>
      <w:bookmarkEnd w:id="8271"/>
      <w:bookmarkEnd w:id="8272"/>
      <w:bookmarkEnd w:id="8273"/>
    </w:p>
    <w:p w:rsidR="007809D6" w:rsidRPr="00D47CE7" w:rsidRDefault="007809D6" w:rsidP="007809D6">
      <w:pPr>
        <w:pStyle w:val="a2"/>
        <w:rPr>
          <w:rtl/>
        </w:rPr>
      </w:pPr>
      <w:bookmarkStart w:id="8274" w:name="_Toc17975412"/>
      <w:bookmarkStart w:id="8275" w:name="_Toc17984091"/>
      <w:bookmarkStart w:id="8276" w:name="_Toc18228210"/>
      <w:bookmarkStart w:id="8277" w:name="_Toc18250741"/>
      <w:bookmarkStart w:id="8278" w:name="_Toc18266187"/>
      <w:bookmarkStart w:id="8279" w:name="_Toc18269091"/>
      <w:bookmarkStart w:id="8280" w:name="_Toc18323788"/>
      <w:bookmarkStart w:id="8281" w:name="_Toc18397360"/>
      <w:bookmarkStart w:id="8282" w:name="_Toc18404080"/>
      <w:bookmarkStart w:id="8283" w:name="_Toc18481500"/>
      <w:r w:rsidRPr="00D47CE7">
        <w:rPr>
          <w:rFonts w:hint="cs"/>
          <w:rtl/>
        </w:rPr>
        <w:t>דברי הרמב"ן והרשב"א והר"ן דבקדירה שאינה  בת יומא מוכח כרש"י דבפגום במקצת מותר</w:t>
      </w:r>
      <w:bookmarkEnd w:id="8274"/>
      <w:bookmarkEnd w:id="8275"/>
      <w:bookmarkEnd w:id="8276"/>
      <w:bookmarkEnd w:id="8277"/>
      <w:bookmarkEnd w:id="8278"/>
      <w:bookmarkEnd w:id="8279"/>
      <w:bookmarkEnd w:id="8280"/>
      <w:bookmarkEnd w:id="8281"/>
      <w:bookmarkEnd w:id="8282"/>
      <w:bookmarkEnd w:id="8283"/>
      <w:r w:rsidRPr="00D47CE7">
        <w:rPr>
          <w:rFonts w:hint="cs"/>
          <w:rtl/>
        </w:rPr>
        <w:t xml:space="preserve"> </w:t>
      </w:r>
    </w:p>
    <w:p w:rsidR="007809D6" w:rsidRPr="00D47CE7" w:rsidRDefault="007809D6" w:rsidP="009F44AF">
      <w:pPr>
        <w:pStyle w:val="a"/>
        <w:rPr>
          <w:rtl/>
        </w:rPr>
      </w:pPr>
      <w:bookmarkStart w:id="8284" w:name="_Ref16503226"/>
      <w:r w:rsidRPr="00D47CE7">
        <w:rPr>
          <w:rFonts w:hint="cs"/>
          <w:rtl/>
        </w:rPr>
        <w:t xml:space="preserve">והביאו </w:t>
      </w:r>
      <w:r w:rsidRPr="00D47CE7">
        <w:rPr>
          <w:rStyle w:val="af8"/>
          <w:rFonts w:hint="cs"/>
          <w:rtl/>
        </w:rPr>
        <w:t>הרמב"ן</w:t>
      </w:r>
      <w:r>
        <w:rPr>
          <w:rStyle w:val="af8"/>
          <w:rFonts w:hint="cs"/>
          <w:rtl/>
        </w:rPr>
        <w:t xml:space="preserve"> </w:t>
      </w:r>
      <w:r w:rsidRPr="00D47CE7">
        <w:rPr>
          <w:rStyle w:val="af6"/>
          <w:rFonts w:eastAsia="Guttman Hodes" w:hint="cs"/>
          <w:rtl/>
        </w:rPr>
        <w:t>(סז.ד"ה כל)</w:t>
      </w:r>
      <w:r w:rsidRPr="00D47CE7">
        <w:rPr>
          <w:rFonts w:hint="cs"/>
          <w:rtl/>
        </w:rPr>
        <w:t xml:space="preserve"> </w:t>
      </w:r>
      <w:r w:rsidRPr="00D47CE7">
        <w:rPr>
          <w:rStyle w:val="af8"/>
          <w:rFonts w:hint="cs"/>
          <w:rtl/>
        </w:rPr>
        <w:t>והרשב"א</w:t>
      </w:r>
      <w:r w:rsidRPr="00D47CE7">
        <w:rPr>
          <w:rFonts w:hint="cs"/>
          <w:rtl/>
        </w:rPr>
        <w:t xml:space="preserve"> </w:t>
      </w:r>
      <w:r w:rsidRPr="00D47CE7">
        <w:rPr>
          <w:rStyle w:val="af8"/>
          <w:rFonts w:hint="cs"/>
          <w:rtl/>
        </w:rPr>
        <w:t>בחי'</w:t>
      </w:r>
      <w:r>
        <w:rPr>
          <w:rStyle w:val="af8"/>
          <w:rFonts w:hint="cs"/>
          <w:rtl/>
        </w:rPr>
        <w:t xml:space="preserve"> </w:t>
      </w:r>
      <w:r w:rsidRPr="00D47CE7">
        <w:rPr>
          <w:rStyle w:val="af6"/>
          <w:rFonts w:eastAsia="Guttman Hodes" w:hint="cs"/>
          <w:rtl/>
        </w:rPr>
        <w:t>(סז.ד"ה כל)</w:t>
      </w:r>
      <w:r w:rsidRPr="00D47CE7">
        <w:rPr>
          <w:rFonts w:hint="cs"/>
          <w:rtl/>
        </w:rPr>
        <w:t xml:space="preserve"> </w:t>
      </w:r>
      <w:r w:rsidRPr="00D47CE7">
        <w:rPr>
          <w:rStyle w:val="af8"/>
          <w:rFonts w:hint="cs"/>
          <w:rtl/>
        </w:rPr>
        <w:t>ובתוה"ב</w:t>
      </w:r>
      <w:r w:rsidRPr="00D47CE7">
        <w:rPr>
          <w:rFonts w:hint="cs"/>
          <w:rtl/>
        </w:rPr>
        <w:t xml:space="preserve"> </w:t>
      </w:r>
      <w:r w:rsidRPr="00D47CE7">
        <w:rPr>
          <w:rStyle w:val="af6"/>
          <w:rFonts w:eastAsia="Guttman Hodes" w:hint="cs"/>
          <w:rtl/>
        </w:rPr>
        <w:t>(ב"ד ש"א יט. מדה"ס ד"ה פגם)</w:t>
      </w:r>
      <w:r w:rsidRPr="00D47CE7">
        <w:rPr>
          <w:rStyle w:val="af8"/>
          <w:rFonts w:hint="cs"/>
          <w:rtl/>
        </w:rPr>
        <w:t xml:space="preserve"> והר"ן בחי'</w:t>
      </w:r>
      <w:r>
        <w:rPr>
          <w:rStyle w:val="af8"/>
          <w:rFonts w:hint="cs"/>
          <w:rtl/>
        </w:rPr>
        <w:t xml:space="preserve"> </w:t>
      </w:r>
      <w:r w:rsidRPr="00D47CE7">
        <w:rPr>
          <w:rStyle w:val="af6"/>
          <w:rFonts w:eastAsia="Guttman Hodes" w:hint="cs"/>
          <w:rtl/>
        </w:rPr>
        <w:t>(סו: ד"ה כל)</w:t>
      </w:r>
      <w:r w:rsidRPr="00D47CE7">
        <w:rPr>
          <w:rStyle w:val="af8"/>
          <w:rFonts w:hint="cs"/>
          <w:rtl/>
        </w:rPr>
        <w:t xml:space="preserve"> ועל הרי"ף</w:t>
      </w:r>
      <w:r>
        <w:rPr>
          <w:rStyle w:val="af8"/>
          <w:rFonts w:hint="cs"/>
          <w:rtl/>
        </w:rPr>
        <w:t xml:space="preserve"> </w:t>
      </w:r>
      <w:r w:rsidRPr="00D47CE7">
        <w:rPr>
          <w:rStyle w:val="af6"/>
          <w:rFonts w:eastAsia="Guttman Hodes" w:hint="cs"/>
          <w:rtl/>
        </w:rPr>
        <w:t xml:space="preserve">(סוף לב. מדפי הרי"ף ד"ה ודאמרינן) </w:t>
      </w:r>
      <w:r w:rsidRPr="00D47CE7">
        <w:rPr>
          <w:rFonts w:hint="cs"/>
          <w:rtl/>
        </w:rPr>
        <w:t xml:space="preserve">ראיה לדברי </w:t>
      </w:r>
      <w:r w:rsidRPr="00D47CE7">
        <w:rPr>
          <w:rStyle w:val="af8"/>
          <w:rFonts w:hint="cs"/>
          <w:rtl/>
        </w:rPr>
        <w:t>רש"י</w:t>
      </w:r>
      <w:r w:rsidRPr="00D47CE7">
        <w:rPr>
          <w:rFonts w:hint="cs"/>
          <w:rtl/>
        </w:rPr>
        <w:t xml:space="preserve">, דהרי קדירה שאינה בת יומא ודאי שאינה פוגמת את התבשיל שיפסל מאכילת אדם, ואפ"ה חשיבא נותנת טעם לפגם, ואף בקדירה בת יומא אמרינן בגמ' לקמן </w:t>
      </w:r>
      <w:r w:rsidRPr="00D47CE7">
        <w:rPr>
          <w:rStyle w:val="af6"/>
          <w:rFonts w:eastAsia="Guttman Hodes" w:hint="cs"/>
          <w:rtl/>
        </w:rPr>
        <w:t>(סז:)</w:t>
      </w:r>
      <w:r w:rsidRPr="00D47CE7">
        <w:rPr>
          <w:rFonts w:hint="cs"/>
          <w:rtl/>
        </w:rPr>
        <w:t xml:space="preserve"> דא"א שאינה פוגמת קצת, ומוכח דאף בפגם מועט מותר, והוסיפו </w:t>
      </w:r>
      <w:r w:rsidRPr="00D47CE7">
        <w:rPr>
          <w:rStyle w:val="af8"/>
          <w:rFonts w:hint="cs"/>
          <w:rtl/>
        </w:rPr>
        <w:t>הרמב"ן והרשב"א</w:t>
      </w:r>
      <w:r w:rsidRPr="00D47CE7">
        <w:rPr>
          <w:rFonts w:hint="cs"/>
          <w:rtl/>
        </w:rPr>
        <w:t xml:space="preserve"> </w:t>
      </w:r>
      <w:r w:rsidRPr="00D47CE7">
        <w:rPr>
          <w:rStyle w:val="af8"/>
          <w:rFonts w:hint="cs"/>
          <w:rtl/>
        </w:rPr>
        <w:t xml:space="preserve">והר"ן </w:t>
      </w:r>
      <w:r w:rsidRPr="00D47CE7">
        <w:rPr>
          <w:rFonts w:hint="cs"/>
          <w:rtl/>
        </w:rPr>
        <w:t>דאיתא בגמ'</w:t>
      </w:r>
      <w:r>
        <w:rPr>
          <w:rFonts w:hint="cs"/>
          <w:rtl/>
        </w:rPr>
        <w:t xml:space="preserve"> </w:t>
      </w:r>
      <w:r w:rsidRPr="00D47CE7">
        <w:rPr>
          <w:rStyle w:val="af6"/>
          <w:rFonts w:eastAsia="Guttman Hodes" w:hint="cs"/>
          <w:rtl/>
        </w:rPr>
        <w:t>(לו., לח:, לט:)</w:t>
      </w:r>
      <w:r w:rsidRPr="00D47CE7">
        <w:rPr>
          <w:rFonts w:hint="cs"/>
          <w:rtl/>
        </w:rPr>
        <w:t xml:space="preserve"> דשמן ודבש וקורט של חלתית, של עכו"ם לא חיישינן שהתערב בהם איסור, ולא נאסרו מדין גיעולי עכו"ם דהוא נותן טעם לפגם ומותר, ומוכח דכל שפגם קצת מותר אף שהוא ראוי לאכילה.</w:t>
      </w:r>
      <w:bookmarkEnd w:id="8284"/>
      <w:r w:rsidRPr="00D47CE7">
        <w:rPr>
          <w:rFonts w:hint="cs"/>
          <w:rtl/>
        </w:rPr>
        <w:t xml:space="preserve"> [ועי' במ"ש </w:t>
      </w:r>
      <w:r w:rsidRPr="00D47CE7">
        <w:rPr>
          <w:rStyle w:val="af8"/>
          <w:rFonts w:hint="cs"/>
          <w:rtl/>
        </w:rPr>
        <w:t>הראב"ד</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Ref18339099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D47CE7">
        <w:rPr>
          <w:rStyle w:val="af6"/>
          <w:rFonts w:eastAsia="Guttman Hodes"/>
          <w:rtl/>
        </w:rPr>
        <w:fldChar w:fldCharType="end"/>
      </w:r>
      <w:r w:rsidRPr="00D47CE7">
        <w:rPr>
          <w:rFonts w:hint="cs"/>
          <w:rtl/>
        </w:rPr>
        <w:t>].</w:t>
      </w:r>
    </w:p>
    <w:p w:rsidR="007809D6" w:rsidRPr="00D47CE7" w:rsidRDefault="007809D6" w:rsidP="007809D6">
      <w:pPr>
        <w:pStyle w:val="1"/>
        <w:rPr>
          <w:rtl/>
        </w:rPr>
      </w:pPr>
      <w:bookmarkStart w:id="8285" w:name="_Toc17975413"/>
      <w:bookmarkStart w:id="8286" w:name="_Toc17984092"/>
      <w:bookmarkStart w:id="8287" w:name="_Toc18228211"/>
      <w:bookmarkStart w:id="8288" w:name="_Toc18250742"/>
      <w:bookmarkStart w:id="8289" w:name="_Toc18266188"/>
      <w:bookmarkStart w:id="8290" w:name="_Toc18269092"/>
      <w:bookmarkStart w:id="8291" w:name="_Toc18323789"/>
      <w:bookmarkStart w:id="8292" w:name="_Toc18397361"/>
      <w:bookmarkStart w:id="8293" w:name="_Toc18404081"/>
      <w:bookmarkStart w:id="8294" w:name="_Toc18481501"/>
      <w:r w:rsidRPr="00D47CE7">
        <w:rPr>
          <w:rFonts w:hint="cs"/>
          <w:rtl/>
        </w:rPr>
        <w:t>ביאור הרמב"ן והרשב"א בילפותא מנבילה לפגום במקצת</w:t>
      </w:r>
      <w:bookmarkEnd w:id="8285"/>
      <w:bookmarkEnd w:id="8286"/>
      <w:bookmarkEnd w:id="8287"/>
      <w:bookmarkEnd w:id="8288"/>
      <w:bookmarkEnd w:id="8289"/>
      <w:bookmarkEnd w:id="8290"/>
      <w:bookmarkEnd w:id="8291"/>
      <w:bookmarkEnd w:id="8292"/>
      <w:bookmarkEnd w:id="8293"/>
      <w:bookmarkEnd w:id="8294"/>
    </w:p>
    <w:p w:rsidR="007809D6" w:rsidRPr="00D47CE7" w:rsidRDefault="007809D6" w:rsidP="007809D6">
      <w:pPr>
        <w:pStyle w:val="a2"/>
        <w:rPr>
          <w:rtl/>
        </w:rPr>
      </w:pPr>
      <w:bookmarkStart w:id="8295" w:name="_Toc17975414"/>
      <w:bookmarkStart w:id="8296" w:name="_Toc17984093"/>
      <w:bookmarkStart w:id="8297" w:name="_Toc18228212"/>
      <w:bookmarkStart w:id="8298" w:name="_Toc18250743"/>
      <w:bookmarkStart w:id="8299" w:name="_Toc18266189"/>
      <w:bookmarkStart w:id="8300" w:name="_Toc18269093"/>
      <w:bookmarkStart w:id="8301" w:name="_Toc18323790"/>
      <w:bookmarkStart w:id="8302" w:name="_Toc18397362"/>
      <w:bookmarkStart w:id="8303" w:name="_Toc18404082"/>
      <w:bookmarkStart w:id="8304" w:name="_Toc18481502"/>
      <w:r w:rsidRPr="00D47CE7">
        <w:rPr>
          <w:rFonts w:hint="cs"/>
          <w:rtl/>
        </w:rPr>
        <w:t>קושית הרמב"ן והרשב"א והר"ן דהיאך ילפינן פגום במקצת מנבילה שאינה ראויה לגר</w:t>
      </w:r>
      <w:bookmarkEnd w:id="8295"/>
      <w:bookmarkEnd w:id="8296"/>
      <w:bookmarkEnd w:id="8297"/>
      <w:bookmarkEnd w:id="8298"/>
      <w:bookmarkEnd w:id="8299"/>
      <w:bookmarkEnd w:id="8300"/>
      <w:bookmarkEnd w:id="8301"/>
      <w:bookmarkEnd w:id="8302"/>
      <w:bookmarkEnd w:id="8303"/>
      <w:bookmarkEnd w:id="8304"/>
    </w:p>
    <w:p w:rsidR="007809D6" w:rsidRPr="00D47CE7" w:rsidRDefault="007809D6" w:rsidP="009F44AF">
      <w:pPr>
        <w:pStyle w:val="a"/>
        <w:rPr>
          <w:rtl/>
        </w:rPr>
      </w:pPr>
      <w:bookmarkStart w:id="8305" w:name="_Ref16157151"/>
      <w:r w:rsidRPr="00D47CE7">
        <w:rPr>
          <w:rFonts w:hint="cs"/>
          <w:rtl/>
        </w:rPr>
        <w:t xml:space="preserve">אך הקשו </w:t>
      </w:r>
      <w:r w:rsidRPr="00D47CE7">
        <w:rPr>
          <w:rStyle w:val="af8"/>
          <w:rFonts w:hint="cs"/>
          <w:rtl/>
        </w:rPr>
        <w:t xml:space="preserve">הרמב"ן והרשב"א והר"ן </w:t>
      </w:r>
      <w:r w:rsidRPr="00D47CE7">
        <w:rPr>
          <w:rFonts w:hint="cs"/>
          <w:rtl/>
        </w:rPr>
        <w:t xml:space="preserve">דהרי המקור בגמ' לקמן </w:t>
      </w:r>
      <w:r w:rsidRPr="00D47CE7">
        <w:rPr>
          <w:rStyle w:val="af6"/>
          <w:rFonts w:eastAsia="Guttman Hodes" w:hint="cs"/>
          <w:rtl/>
        </w:rPr>
        <w:t xml:space="preserve">(סז:) </w:t>
      </w:r>
      <w:r w:rsidRPr="00D47CE7">
        <w:rPr>
          <w:rFonts w:hint="cs"/>
          <w:rtl/>
        </w:rPr>
        <w:t>להיתר נותן טעם לפגם, הוא מנבילה שאינה ראויה לגר, ובנבילה ההיתר הוא רק כשאינה ראויה לאכילה לגמרי, אבל כשהעדיין היא ראויה לאכילה אסור אף שנפגמה, וא"כ היאך אפשר ללמוד להתיר נותן טעם לפגם, כשהוא ראוי לאכילה.</w:t>
      </w:r>
      <w:bookmarkEnd w:id="8305"/>
    </w:p>
    <w:p w:rsidR="007809D6" w:rsidRPr="00D47CE7" w:rsidRDefault="007809D6" w:rsidP="007809D6">
      <w:pPr>
        <w:pStyle w:val="a2"/>
        <w:rPr>
          <w:rtl/>
        </w:rPr>
      </w:pPr>
      <w:bookmarkStart w:id="8306" w:name="_Toc17975415"/>
      <w:bookmarkStart w:id="8307" w:name="_Toc17984094"/>
      <w:bookmarkStart w:id="8308" w:name="_Toc18228213"/>
      <w:bookmarkStart w:id="8309" w:name="_Toc18250744"/>
      <w:bookmarkStart w:id="8310" w:name="_Toc18266190"/>
      <w:bookmarkStart w:id="8311" w:name="_Toc18269094"/>
      <w:bookmarkStart w:id="8312" w:name="_Toc18323791"/>
      <w:bookmarkStart w:id="8313" w:name="_Toc18397363"/>
      <w:bookmarkStart w:id="8314" w:name="_Toc18404083"/>
      <w:bookmarkStart w:id="8315" w:name="_Toc18481503"/>
      <w:r w:rsidRPr="00D47CE7">
        <w:rPr>
          <w:rFonts w:hint="cs"/>
          <w:rtl/>
        </w:rPr>
        <w:t xml:space="preserve">ביאור הרמב"ן והרשב"א </w:t>
      </w:r>
      <w:bookmarkEnd w:id="8306"/>
      <w:r w:rsidRPr="00D47CE7">
        <w:rPr>
          <w:rFonts w:hint="cs"/>
          <w:rtl/>
        </w:rPr>
        <w:t>דבנבילה שאוכלה בפנ"ע ההיתר בפגום לגמרי ובתערובת במקצת</w:t>
      </w:r>
      <w:bookmarkEnd w:id="8307"/>
      <w:bookmarkEnd w:id="8308"/>
      <w:bookmarkEnd w:id="8309"/>
      <w:bookmarkEnd w:id="8310"/>
      <w:bookmarkEnd w:id="8311"/>
      <w:bookmarkEnd w:id="8312"/>
      <w:bookmarkEnd w:id="8313"/>
      <w:bookmarkEnd w:id="8314"/>
      <w:bookmarkEnd w:id="8315"/>
    </w:p>
    <w:p w:rsidR="007809D6" w:rsidRPr="00D47CE7" w:rsidRDefault="007809D6" w:rsidP="009F44AF">
      <w:pPr>
        <w:pStyle w:val="a"/>
        <w:rPr>
          <w:rtl/>
        </w:rPr>
      </w:pPr>
      <w:bookmarkStart w:id="8316" w:name="_Ref16157154"/>
      <w:r w:rsidRPr="00D47CE7">
        <w:rPr>
          <w:rFonts w:hint="cs"/>
          <w:rtl/>
        </w:rPr>
        <w:t xml:space="preserve">ותירצו </w:t>
      </w:r>
      <w:r w:rsidRPr="00D47CE7">
        <w:rPr>
          <w:rStyle w:val="af8"/>
          <w:rFonts w:hint="cs"/>
          <w:rtl/>
        </w:rPr>
        <w:t>הרמב"ן והרשב"א בחי'</w:t>
      </w:r>
      <w:r w:rsidRPr="00D47CE7">
        <w:rPr>
          <w:rFonts w:hint="cs"/>
          <w:rtl/>
        </w:rPr>
        <w:t xml:space="preserve"> </w:t>
      </w:r>
      <w:r w:rsidRPr="00D47CE7">
        <w:rPr>
          <w:rStyle w:val="af8"/>
          <w:rFonts w:hint="cs"/>
          <w:rtl/>
        </w:rPr>
        <w:t>ובתוה"ב</w:t>
      </w:r>
      <w:r w:rsidRPr="00D47CE7">
        <w:rPr>
          <w:rFonts w:hint="cs"/>
          <w:rtl/>
        </w:rPr>
        <w:t xml:space="preserve"> </w:t>
      </w:r>
      <w:r w:rsidRPr="00D47CE7">
        <w:rPr>
          <w:rStyle w:val="af8"/>
          <w:rFonts w:hint="cs"/>
          <w:rtl/>
        </w:rPr>
        <w:t xml:space="preserve">והר"ן </w:t>
      </w:r>
      <w:r w:rsidRPr="00D47CE7">
        <w:rPr>
          <w:rFonts w:hint="cs"/>
          <w:rtl/>
        </w:rPr>
        <w:t>דבנבילה איירי כשאוכלה בפנ"ע, ולכן כל שהיא עדיין ראויה לאכילה אסורה אף שנפגמה, אבל בתערובת שהאיסור נותן טעם בהיתר, כל שהוא פוגם לא חשיב כנותן טעם, דאדרבה הוא פוגם, ואין בו כל איסור, ולכן ילפינן מנבילה להתיר בתערובת אף בפגום במקצת</w:t>
      </w:r>
      <w:r>
        <w:rPr>
          <w:rFonts w:hint="cs"/>
          <w:rtl/>
        </w:rPr>
        <w:t>. [</w:t>
      </w:r>
      <w:r w:rsidRPr="0081370B">
        <w:rPr>
          <w:rFonts w:hint="cs"/>
          <w:rtl/>
        </w:rPr>
        <w:t>ועי' במה שהקש</w:t>
      </w:r>
      <w:r w:rsidRPr="00D47CE7">
        <w:rPr>
          <w:rFonts w:hint="cs"/>
          <w:rtl/>
        </w:rPr>
        <w:t xml:space="preserve">ו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Ref15987023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D47CE7">
        <w:rPr>
          <w:rStyle w:val="af6"/>
          <w:rFonts w:eastAsia="Guttman Hodes"/>
          <w:rtl/>
        </w:rPr>
        <w:fldChar w:fldCharType="end"/>
      </w:r>
      <w:r w:rsidRPr="00D47CE7">
        <w:rPr>
          <w:rFonts w:hint="cs"/>
          <w:rtl/>
        </w:rPr>
        <w:t xml:space="preserve"> </w:t>
      </w:r>
      <w:r w:rsidRPr="00D47CE7">
        <w:rPr>
          <w:rStyle w:val="af8"/>
          <w:rFonts w:hint="cs"/>
          <w:rtl/>
        </w:rPr>
        <w:t>ו</w:t>
      </w:r>
      <w:r w:rsidRPr="00D47CE7">
        <w:rPr>
          <w:rStyle w:val="af8"/>
          <w:rtl/>
        </w:rPr>
        <w:t xml:space="preserve">הרא"ה בבד"ה </w:t>
      </w:r>
      <w:r w:rsidRPr="00D47CE7">
        <w:rPr>
          <w:rStyle w:val="af6"/>
          <w:rFonts w:eastAsia="Guttman Rashi" w:hint="cs"/>
          <w:rtl/>
        </w:rPr>
        <w:t xml:space="preserve">(עי' אות </w:t>
      </w:r>
      <w:r w:rsidRPr="00D47CE7">
        <w:rPr>
          <w:rStyle w:val="af6"/>
          <w:rFonts w:eastAsia="Guttman Rashi"/>
          <w:rtl/>
        </w:rPr>
        <w:fldChar w:fldCharType="begin"/>
      </w:r>
      <w:r w:rsidRPr="00D47CE7">
        <w:rPr>
          <w:rStyle w:val="af6"/>
          <w:rFonts w:eastAsia="Guttman Rashi"/>
          <w:rtl/>
        </w:rPr>
        <w:instrText xml:space="preserve"> </w:instrText>
      </w:r>
      <w:r w:rsidRPr="00D47CE7">
        <w:rPr>
          <w:rStyle w:val="af6"/>
          <w:rFonts w:eastAsia="Guttman Rashi"/>
        </w:rPr>
        <w:instrText>REF</w:instrText>
      </w:r>
      <w:r w:rsidRPr="00D47CE7">
        <w:rPr>
          <w:rStyle w:val="af6"/>
          <w:rFonts w:eastAsia="Guttman Rashi"/>
          <w:rtl/>
        </w:rPr>
        <w:instrText xml:space="preserve"> _</w:instrText>
      </w:r>
      <w:r w:rsidRPr="00D47CE7">
        <w:rPr>
          <w:rStyle w:val="af6"/>
          <w:rFonts w:eastAsia="Guttman Rashi"/>
        </w:rPr>
        <w:instrText>Ref17363039 \r \h</w:instrText>
      </w:r>
      <w:r w:rsidRPr="00D47CE7">
        <w:rPr>
          <w:rStyle w:val="af6"/>
          <w:rFonts w:eastAsia="Guttman Rashi"/>
          <w:rtl/>
        </w:rPr>
        <w:instrText xml:space="preserve">  \* </w:instrText>
      </w:r>
      <w:r w:rsidRPr="00D47CE7">
        <w:rPr>
          <w:rStyle w:val="af6"/>
          <w:rFonts w:eastAsia="Guttman Rashi"/>
        </w:rPr>
        <w:instrText>MERGEFORMAT</w:instrText>
      </w:r>
      <w:r w:rsidRPr="00D47CE7">
        <w:rPr>
          <w:rStyle w:val="af6"/>
          <w:rFonts w:eastAsia="Guttman Rashi"/>
          <w:rtl/>
        </w:rPr>
        <w:instrText xml:space="preserve"> </w:instrText>
      </w:r>
      <w:r w:rsidRPr="00D47CE7">
        <w:rPr>
          <w:rStyle w:val="af6"/>
          <w:rFonts w:eastAsia="Guttman Rashi"/>
          <w:rtl/>
        </w:rPr>
      </w:r>
      <w:r w:rsidRPr="00D47CE7">
        <w:rPr>
          <w:rStyle w:val="af6"/>
          <w:rFonts w:eastAsia="Guttman Rashi"/>
          <w:rtl/>
        </w:rPr>
        <w:fldChar w:fldCharType="separate"/>
      </w:r>
      <w:r w:rsidR="004D1C5B">
        <w:rPr>
          <w:rStyle w:val="af6"/>
          <w:rFonts w:eastAsia="Guttman Rashi"/>
          <w:cs/>
        </w:rPr>
        <w:t>‎</w:t>
      </w:r>
      <w:r w:rsidR="004D1C5B">
        <w:rPr>
          <w:rStyle w:val="af6"/>
          <w:rFonts w:eastAsia="Guttman Rashi"/>
          <w:rtl/>
        </w:rPr>
        <w:t>פא)</w:t>
      </w:r>
      <w:r w:rsidRPr="00D47CE7">
        <w:rPr>
          <w:rStyle w:val="af6"/>
          <w:rFonts w:eastAsia="Guttman Rashi"/>
          <w:rtl/>
        </w:rPr>
        <w:fldChar w:fldCharType="end"/>
      </w:r>
      <w:r w:rsidRPr="00D47CE7">
        <w:rPr>
          <w:rStyle w:val="af6"/>
          <w:rFonts w:eastAsia="Guttman Rashi" w:hint="cs"/>
          <w:rtl/>
        </w:rPr>
        <w:t xml:space="preserve"> </w:t>
      </w:r>
      <w:r w:rsidRPr="00D47CE7">
        <w:rPr>
          <w:rFonts w:hint="cs"/>
          <w:rtl/>
        </w:rPr>
        <w:t>דמ"מ לא דמי לנבילה</w:t>
      </w:r>
      <w:r>
        <w:rPr>
          <w:rFonts w:hint="cs"/>
          <w:rtl/>
        </w:rPr>
        <w:t>]</w:t>
      </w:r>
      <w:r w:rsidRPr="00D47CE7">
        <w:rPr>
          <w:rFonts w:hint="cs"/>
          <w:rtl/>
        </w:rPr>
        <w:t>.</w:t>
      </w:r>
      <w:bookmarkEnd w:id="8316"/>
      <w:r w:rsidRPr="00CA0304">
        <w:rPr>
          <w:rStyle w:val="afa"/>
          <w:rFonts w:hint="cs"/>
          <w:rtl/>
        </w:rPr>
        <w:t xml:space="preserve"> </w:t>
      </w:r>
      <w:r>
        <w:rPr>
          <w:rStyle w:val="afa"/>
          <w:rFonts w:hint="cs"/>
          <w:rtl/>
        </w:rPr>
        <w:t xml:space="preserve">[ועי' בדברי </w:t>
      </w:r>
      <w:r w:rsidRPr="00E12ED7">
        <w:rPr>
          <w:rStyle w:val="affa"/>
          <w:rFonts w:hint="cs"/>
          <w:rtl/>
        </w:rPr>
        <w:t>הגר"ח</w:t>
      </w:r>
      <w:r w:rsidRPr="00465AF0">
        <w:rPr>
          <w:rStyle w:val="afa"/>
          <w:rFonts w:hint="cs"/>
          <w:rtl/>
        </w:rPr>
        <w:t xml:space="preserve"> </w:t>
      </w:r>
      <w:r w:rsidRPr="00DE47FB">
        <w:rPr>
          <w:rStyle w:val="aff6"/>
          <w:rFonts w:hint="cs"/>
          <w:rtl/>
        </w:rPr>
        <w:t xml:space="preserve">(עי' אות </w:t>
      </w:r>
      <w:r w:rsidRPr="00DE47FB">
        <w:rPr>
          <w:rStyle w:val="aff6"/>
          <w:rtl/>
        </w:rPr>
        <w:fldChar w:fldCharType="begin"/>
      </w:r>
      <w:r w:rsidRPr="00DE47FB">
        <w:rPr>
          <w:rStyle w:val="aff6"/>
          <w:rtl/>
        </w:rPr>
        <w:instrText xml:space="preserve"> </w:instrText>
      </w:r>
      <w:r w:rsidRPr="00DE47FB">
        <w:rPr>
          <w:rStyle w:val="aff6"/>
          <w:rFonts w:hint="cs"/>
        </w:rPr>
        <w:instrText>REF</w:instrText>
      </w:r>
      <w:r w:rsidRPr="00DE47FB">
        <w:rPr>
          <w:rStyle w:val="aff6"/>
          <w:rFonts w:hint="cs"/>
          <w:rtl/>
        </w:rPr>
        <w:instrText xml:space="preserve"> _</w:instrText>
      </w:r>
      <w:r w:rsidRPr="00DE47FB">
        <w:rPr>
          <w:rStyle w:val="aff6"/>
          <w:rFonts w:hint="cs"/>
        </w:rPr>
        <w:instrText>Ref18402717 \r \h</w:instrText>
      </w:r>
      <w:r w:rsidRPr="00DE47FB">
        <w:rPr>
          <w:rStyle w:val="aff6"/>
          <w:rtl/>
        </w:rPr>
        <w:instrText xml:space="preserve"> </w:instrText>
      </w:r>
      <w:r w:rsidRPr="00DE47FB">
        <w:rPr>
          <w:rStyle w:val="aff6"/>
          <w:rtl/>
        </w:rPr>
      </w:r>
      <w:r w:rsidRPr="00DE47FB">
        <w:rPr>
          <w:rStyle w:val="aff6"/>
          <w:rtl/>
        </w:rPr>
        <w:fldChar w:fldCharType="separate"/>
      </w:r>
      <w:r w:rsidR="004D1C5B">
        <w:rPr>
          <w:rStyle w:val="aff6"/>
          <w:cs/>
        </w:rPr>
        <w:t>‎</w:t>
      </w:r>
      <w:r w:rsidR="004D1C5B">
        <w:rPr>
          <w:rStyle w:val="aff6"/>
          <w:rtl/>
        </w:rPr>
        <w:t>צט)</w:t>
      </w:r>
      <w:r w:rsidRPr="00DE47FB">
        <w:rPr>
          <w:rStyle w:val="aff6"/>
          <w:rtl/>
        </w:rPr>
        <w:fldChar w:fldCharType="end"/>
      </w:r>
      <w:r>
        <w:rPr>
          <w:rStyle w:val="afa"/>
          <w:rFonts w:hint="cs"/>
          <w:rtl/>
        </w:rPr>
        <w:t xml:space="preserve"> ד</w:t>
      </w:r>
      <w:r w:rsidRPr="00465AF0">
        <w:rPr>
          <w:rStyle w:val="afa"/>
          <w:rFonts w:hint="cs"/>
          <w:rtl/>
        </w:rPr>
        <w:t xml:space="preserve">משמע בתו"ד דביאר דכוונת </w:t>
      </w:r>
      <w:r w:rsidRPr="00E12ED7">
        <w:rPr>
          <w:rStyle w:val="affa"/>
          <w:rFonts w:hint="cs"/>
          <w:rtl/>
        </w:rPr>
        <w:t>הרשב"א והר"ן</w:t>
      </w:r>
      <w:r w:rsidRPr="00465AF0">
        <w:rPr>
          <w:rStyle w:val="afa"/>
          <w:rFonts w:hint="cs"/>
          <w:rtl/>
        </w:rPr>
        <w:t xml:space="preserve"> לומר דכל שהטעם פוגם, נעשה הטעם כאינו ראוי לגר ממש, עיי"ש בדבריו, וכ"מ </w:t>
      </w:r>
      <w:r w:rsidRPr="00E12ED7">
        <w:rPr>
          <w:rStyle w:val="affa"/>
          <w:rFonts w:hint="cs"/>
          <w:rtl/>
        </w:rPr>
        <w:t>בחי' הגר"ח על הש"ס</w:t>
      </w:r>
      <w:r w:rsidRPr="00465AF0">
        <w:rPr>
          <w:rStyle w:val="afa"/>
          <w:rFonts w:hint="cs"/>
          <w:rtl/>
        </w:rPr>
        <w:t xml:space="preserve"> </w:t>
      </w:r>
      <w:r w:rsidRPr="00E12ED7">
        <w:rPr>
          <w:rStyle w:val="aff6"/>
          <w:rFonts w:hint="cs"/>
          <w:rtl/>
        </w:rPr>
        <w:t xml:space="preserve">(עי' אות </w:t>
      </w:r>
      <w:r w:rsidRPr="00E12ED7">
        <w:rPr>
          <w:rStyle w:val="aff6"/>
          <w:rtl/>
        </w:rPr>
        <w:fldChar w:fldCharType="begin"/>
      </w:r>
      <w:r w:rsidRPr="00E12ED7">
        <w:rPr>
          <w:rStyle w:val="aff6"/>
          <w:rtl/>
        </w:rPr>
        <w:instrText xml:space="preserve"> </w:instrText>
      </w:r>
      <w:r w:rsidRPr="00E12ED7">
        <w:rPr>
          <w:rStyle w:val="aff6"/>
          <w:rFonts w:hint="cs"/>
        </w:rPr>
        <w:instrText>REF</w:instrText>
      </w:r>
      <w:r w:rsidRPr="00E12ED7">
        <w:rPr>
          <w:rStyle w:val="aff6"/>
          <w:rFonts w:hint="cs"/>
          <w:rtl/>
        </w:rPr>
        <w:instrText xml:space="preserve"> _</w:instrText>
      </w:r>
      <w:r w:rsidRPr="00E12ED7">
        <w:rPr>
          <w:rStyle w:val="aff6"/>
          <w:rFonts w:hint="cs"/>
        </w:rPr>
        <w:instrText>Ref18402010 \r \h</w:instrText>
      </w:r>
      <w:r w:rsidRPr="00E12ED7">
        <w:rPr>
          <w:rStyle w:val="aff6"/>
          <w:rtl/>
        </w:rPr>
        <w:instrText xml:space="preserve"> </w:instrText>
      </w:r>
      <w:r w:rsidRPr="00E12ED7">
        <w:rPr>
          <w:rStyle w:val="aff6"/>
          <w:rtl/>
        </w:rPr>
      </w:r>
      <w:r w:rsidRPr="00E12ED7">
        <w:rPr>
          <w:rStyle w:val="aff6"/>
          <w:rtl/>
        </w:rPr>
        <w:fldChar w:fldCharType="separate"/>
      </w:r>
      <w:r w:rsidR="004D1C5B">
        <w:rPr>
          <w:rStyle w:val="aff6"/>
          <w:cs/>
        </w:rPr>
        <w:t>‎</w:t>
      </w:r>
      <w:r w:rsidR="004D1C5B">
        <w:rPr>
          <w:rStyle w:val="aff6"/>
          <w:rtl/>
        </w:rPr>
        <w:t>קי)</w:t>
      </w:r>
      <w:r w:rsidRPr="00E12ED7">
        <w:rPr>
          <w:rStyle w:val="aff6"/>
          <w:rtl/>
        </w:rPr>
        <w:fldChar w:fldCharType="end"/>
      </w:r>
      <w:r w:rsidRPr="00465AF0">
        <w:rPr>
          <w:rStyle w:val="afa"/>
          <w:rFonts w:hint="cs"/>
          <w:rtl/>
        </w:rPr>
        <w:t xml:space="preserve">, וע"ע במ"ש </w:t>
      </w:r>
      <w:r w:rsidRPr="00E12ED7">
        <w:rPr>
          <w:rStyle w:val="affa"/>
          <w:rFonts w:hint="cs"/>
          <w:rtl/>
        </w:rPr>
        <w:t>הגר"ח</w:t>
      </w:r>
      <w:r w:rsidRPr="00465AF0">
        <w:rPr>
          <w:rStyle w:val="afa"/>
          <w:rFonts w:hint="cs"/>
          <w:rtl/>
        </w:rPr>
        <w:t xml:space="preserve"> </w:t>
      </w:r>
      <w:r w:rsidRPr="00E12ED7">
        <w:rPr>
          <w:rStyle w:val="aff6"/>
          <w:rFonts w:hint="cs"/>
          <w:rtl/>
        </w:rPr>
        <w:t xml:space="preserve">(עי' אות </w:t>
      </w:r>
      <w:r w:rsidRPr="00E12ED7">
        <w:rPr>
          <w:rStyle w:val="aff6"/>
          <w:rtl/>
        </w:rPr>
        <w:fldChar w:fldCharType="begin"/>
      </w:r>
      <w:r w:rsidRPr="00E12ED7">
        <w:rPr>
          <w:rStyle w:val="aff6"/>
          <w:rtl/>
        </w:rPr>
        <w:instrText xml:space="preserve"> </w:instrText>
      </w:r>
      <w:r w:rsidRPr="00E12ED7">
        <w:rPr>
          <w:rStyle w:val="aff6"/>
          <w:rFonts w:hint="cs"/>
        </w:rPr>
        <w:instrText>REF</w:instrText>
      </w:r>
      <w:r w:rsidRPr="00E12ED7">
        <w:rPr>
          <w:rStyle w:val="aff6"/>
          <w:rFonts w:hint="cs"/>
          <w:rtl/>
        </w:rPr>
        <w:instrText xml:space="preserve"> _</w:instrText>
      </w:r>
      <w:r w:rsidRPr="00E12ED7">
        <w:rPr>
          <w:rStyle w:val="aff6"/>
          <w:rFonts w:hint="cs"/>
        </w:rPr>
        <w:instrText>Ref18402024 \r \h</w:instrText>
      </w:r>
      <w:r w:rsidRPr="00E12ED7">
        <w:rPr>
          <w:rStyle w:val="aff6"/>
          <w:rtl/>
        </w:rPr>
        <w:instrText xml:space="preserve"> </w:instrText>
      </w:r>
      <w:r w:rsidRPr="00E12ED7">
        <w:rPr>
          <w:rStyle w:val="aff6"/>
          <w:rtl/>
        </w:rPr>
      </w:r>
      <w:r w:rsidRPr="00E12ED7">
        <w:rPr>
          <w:rStyle w:val="aff6"/>
          <w:rtl/>
        </w:rPr>
        <w:fldChar w:fldCharType="separate"/>
      </w:r>
      <w:r w:rsidR="004D1C5B">
        <w:rPr>
          <w:rStyle w:val="aff6"/>
          <w:cs/>
        </w:rPr>
        <w:t>‎</w:t>
      </w:r>
      <w:r w:rsidR="004D1C5B">
        <w:rPr>
          <w:rStyle w:val="aff6"/>
          <w:rtl/>
        </w:rPr>
        <w:t>קט)</w:t>
      </w:r>
      <w:r w:rsidRPr="00E12ED7">
        <w:rPr>
          <w:rStyle w:val="aff6"/>
          <w:rtl/>
        </w:rPr>
        <w:fldChar w:fldCharType="end"/>
      </w:r>
      <w:r w:rsidRPr="00465AF0">
        <w:rPr>
          <w:rStyle w:val="afa"/>
          <w:rFonts w:hint="cs"/>
          <w:rtl/>
        </w:rPr>
        <w:t xml:space="preserve"> בביאור דברי </w:t>
      </w:r>
      <w:r w:rsidRPr="00E12ED7">
        <w:rPr>
          <w:rStyle w:val="affa"/>
          <w:rFonts w:hint="cs"/>
          <w:rtl/>
        </w:rPr>
        <w:t>הרשב"א והר"ן</w:t>
      </w:r>
      <w:r w:rsidRPr="00465AF0">
        <w:rPr>
          <w:rStyle w:val="afa"/>
          <w:rFonts w:hint="cs"/>
          <w:rtl/>
        </w:rPr>
        <w:t xml:space="preserve"> דכל שהטעם פוגם ואינו משביח, הוא בכלל אינה ראויה לגר</w:t>
      </w:r>
      <w:r>
        <w:rPr>
          <w:rStyle w:val="afa"/>
          <w:rFonts w:hint="cs"/>
          <w:rtl/>
        </w:rPr>
        <w:t>].</w:t>
      </w:r>
    </w:p>
    <w:p w:rsidR="007809D6" w:rsidRPr="00D47CE7" w:rsidRDefault="007809D6" w:rsidP="007809D6">
      <w:pPr>
        <w:pStyle w:val="a2"/>
        <w:rPr>
          <w:rtl/>
        </w:rPr>
      </w:pPr>
      <w:bookmarkStart w:id="8317" w:name="_Toc17984095"/>
      <w:bookmarkStart w:id="8318" w:name="_Toc18228214"/>
      <w:bookmarkStart w:id="8319" w:name="_Toc18250745"/>
      <w:bookmarkStart w:id="8320" w:name="_Toc18266191"/>
      <w:bookmarkStart w:id="8321" w:name="_Toc18269095"/>
      <w:bookmarkStart w:id="8322" w:name="_Toc18323792"/>
      <w:bookmarkStart w:id="8323" w:name="_Toc18397364"/>
      <w:bookmarkStart w:id="8324" w:name="_Toc18404084"/>
      <w:bookmarkStart w:id="8325" w:name="_Toc18481504"/>
      <w:bookmarkStart w:id="8326" w:name="_Toc16116617"/>
      <w:r w:rsidRPr="00D47CE7">
        <w:rPr>
          <w:rFonts w:hint="cs"/>
          <w:rtl/>
        </w:rPr>
        <w:t xml:space="preserve">ביאור הרשב"א דכמו דנבילה שהיתה משובחת </w:t>
      </w:r>
      <w:r>
        <w:rPr>
          <w:rtl/>
        </w:rPr>
        <w:t>הותר</w:t>
      </w:r>
      <w:r>
        <w:rPr>
          <w:rFonts w:hint="cs"/>
          <w:rtl/>
        </w:rPr>
        <w:t>ה</w:t>
      </w:r>
      <w:r>
        <w:rPr>
          <w:rtl/>
        </w:rPr>
        <w:t xml:space="preserve"> </w:t>
      </w:r>
      <w:r>
        <w:rPr>
          <w:rFonts w:hint="cs"/>
          <w:rtl/>
        </w:rPr>
        <w:t>כש</w:t>
      </w:r>
      <w:r>
        <w:rPr>
          <w:rtl/>
        </w:rPr>
        <w:t xml:space="preserve">נפגמה </w:t>
      </w:r>
      <w:r w:rsidRPr="00D47CE7">
        <w:rPr>
          <w:rFonts w:hint="cs"/>
          <w:rtl/>
        </w:rPr>
        <w:t>ה"ה בשאר איסורין בתערובת</w:t>
      </w:r>
      <w:bookmarkEnd w:id="8317"/>
      <w:bookmarkEnd w:id="8318"/>
      <w:bookmarkEnd w:id="8319"/>
      <w:bookmarkEnd w:id="8320"/>
      <w:bookmarkEnd w:id="8321"/>
      <w:bookmarkEnd w:id="8322"/>
      <w:bookmarkEnd w:id="8323"/>
      <w:bookmarkEnd w:id="8324"/>
      <w:bookmarkEnd w:id="8325"/>
    </w:p>
    <w:p w:rsidR="007809D6" w:rsidRPr="00D47CE7" w:rsidRDefault="007809D6" w:rsidP="009F44AF">
      <w:pPr>
        <w:pStyle w:val="a"/>
        <w:rPr>
          <w:rtl/>
        </w:rPr>
      </w:pPr>
      <w:bookmarkStart w:id="8327" w:name="_Ref18250218"/>
      <w:r w:rsidRPr="00D47CE7">
        <w:rPr>
          <w:rFonts w:hint="cs"/>
          <w:rtl/>
        </w:rPr>
        <w:t xml:space="preserve">והוסיף </w:t>
      </w:r>
      <w:r w:rsidRPr="00D47CE7">
        <w:rPr>
          <w:rStyle w:val="af8"/>
          <w:rFonts w:hint="cs"/>
          <w:rtl/>
        </w:rPr>
        <w:t>הרשב"א בתוה"ב</w:t>
      </w:r>
      <w:r w:rsidRPr="00D47CE7">
        <w:rPr>
          <w:rFonts w:hint="cs"/>
          <w:rtl/>
        </w:rPr>
        <w:t xml:space="preserve"> </w:t>
      </w:r>
      <w:r w:rsidRPr="00D47CE7">
        <w:rPr>
          <w:rStyle w:val="af6"/>
          <w:rFonts w:eastAsia="Guttman Hodes" w:hint="cs"/>
          <w:rtl/>
        </w:rPr>
        <w:t xml:space="preserve">(ב"ד ש"א סוף יט. מדה"ס ד"ה וקסבר רב ששת) </w:t>
      </w:r>
      <w:r w:rsidRPr="00D47CE7">
        <w:rPr>
          <w:rFonts w:hint="cs"/>
          <w:rtl/>
        </w:rPr>
        <w:t xml:space="preserve">דההיתר בנותן טעם לפגם בכל האיסורים בתערובת נלמד מנבילה, דכמו דנבילה שבתחילתה הייתה משובחת וכשנפגמה הותרה, ה"ה בשאר </w:t>
      </w:r>
      <w:r w:rsidRPr="00D47CE7">
        <w:rPr>
          <w:rFonts w:hint="cs"/>
          <w:rtl/>
        </w:rPr>
        <w:t xml:space="preserve">איסורים שהיו משובחים בתחילה, וכשהתערבו בתוך היתר ופגמו את התערובת דכמו שהם עצמם מותרים כשנפגמו, ה"ה כשנתערבו בתערובת ופגמו אותה דהתערובת מותרת, והוסיף </w:t>
      </w:r>
      <w:r w:rsidRPr="00D47CE7">
        <w:rPr>
          <w:rStyle w:val="af8"/>
          <w:rFonts w:hint="cs"/>
          <w:rtl/>
        </w:rPr>
        <w:t xml:space="preserve">הרשב"א בתוה"ב </w:t>
      </w:r>
      <w:r w:rsidRPr="00D47CE7">
        <w:rPr>
          <w:rStyle w:val="af6"/>
          <w:rFonts w:eastAsia="Guttman Hodes" w:hint="cs"/>
          <w:rtl/>
        </w:rPr>
        <w:t>(ב"ד ש"א כ: מדה"ס)</w:t>
      </w:r>
      <w:r w:rsidRPr="00D47CE7">
        <w:rPr>
          <w:rFonts w:hint="cs"/>
          <w:rtl/>
        </w:rPr>
        <w:t xml:space="preserve"> דאיסור שהתערב בתערובת, ויש רוב בהיתר כנגדו, הוא אסור רק מדין טעם כעיקר, ולא אסרה תורה טעם כעיקר כשנתן טעם פגום</w:t>
      </w:r>
      <w:r>
        <w:rPr>
          <w:rFonts w:hint="cs"/>
          <w:rtl/>
        </w:rPr>
        <w:t>. [ו</w:t>
      </w:r>
      <w:r w:rsidRPr="00D47CE7">
        <w:rPr>
          <w:rFonts w:hint="cs"/>
          <w:rtl/>
        </w:rPr>
        <w:t>עי' במה שביאר</w:t>
      </w:r>
      <w:r>
        <w:rPr>
          <w:rFonts w:hint="cs"/>
          <w:rtl/>
        </w:rPr>
        <w:t xml:space="preserve">ו </w:t>
      </w:r>
      <w:r w:rsidRPr="00D77968">
        <w:rPr>
          <w:rStyle w:val="af8"/>
          <w:rFonts w:hint="cs"/>
          <w:rtl/>
        </w:rPr>
        <w:t>החוו"ד</w:t>
      </w:r>
      <w:r>
        <w:rPr>
          <w:rFonts w:hint="cs"/>
          <w:rtl/>
        </w:rPr>
        <w:t xml:space="preserve"> </w:t>
      </w:r>
      <w:r w:rsidRPr="00A8153F">
        <w:rPr>
          <w:rStyle w:val="af6"/>
          <w:rFonts w:eastAsia="Guttman Hodes" w:hint="cs"/>
          <w:rtl/>
        </w:rPr>
        <w:t xml:space="preserve">(עי' אות </w:t>
      </w:r>
      <w:r w:rsidRPr="00A8153F">
        <w:rPr>
          <w:rStyle w:val="af6"/>
          <w:rFonts w:eastAsia="Guttman Hodes"/>
          <w:rtl/>
        </w:rPr>
        <w:fldChar w:fldCharType="begin"/>
      </w:r>
      <w:r w:rsidRPr="00A8153F">
        <w:rPr>
          <w:rStyle w:val="af6"/>
          <w:rFonts w:eastAsia="Guttman Hodes"/>
          <w:rtl/>
        </w:rPr>
        <w:instrText xml:space="preserve"> </w:instrText>
      </w:r>
      <w:r w:rsidRPr="00A8153F">
        <w:rPr>
          <w:rStyle w:val="af6"/>
          <w:rFonts w:eastAsia="Guttman Hodes" w:hint="cs"/>
        </w:rPr>
        <w:instrText>REF</w:instrText>
      </w:r>
      <w:r w:rsidRPr="00A8153F">
        <w:rPr>
          <w:rStyle w:val="af6"/>
          <w:rFonts w:eastAsia="Guttman Hodes" w:hint="cs"/>
          <w:rtl/>
        </w:rPr>
        <w:instrText xml:space="preserve"> _</w:instrText>
      </w:r>
      <w:r w:rsidRPr="00A8153F">
        <w:rPr>
          <w:rStyle w:val="af6"/>
          <w:rFonts w:eastAsia="Guttman Hodes" w:hint="cs"/>
        </w:rPr>
        <w:instrText>Ref18439022 \r \h</w:instrText>
      </w:r>
      <w:r w:rsidRPr="00A8153F">
        <w:rPr>
          <w:rStyle w:val="af6"/>
          <w:rFonts w:eastAsia="Guttman Hodes"/>
          <w:rtl/>
        </w:rPr>
        <w:instrText xml:space="preserve"> </w:instrText>
      </w:r>
      <w:r w:rsidRPr="00A8153F">
        <w:rPr>
          <w:rStyle w:val="af6"/>
          <w:rFonts w:eastAsia="Guttman Hodes"/>
          <w:rtl/>
        </w:rPr>
      </w:r>
      <w:r w:rsidRPr="00A8153F">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A8153F">
        <w:rPr>
          <w:rStyle w:val="af6"/>
          <w:rFonts w:eastAsia="Guttman Hodes"/>
          <w:rtl/>
        </w:rPr>
        <w:fldChar w:fldCharType="end"/>
      </w:r>
      <w:r>
        <w:rPr>
          <w:rFonts w:hint="cs"/>
          <w:rtl/>
        </w:rPr>
        <w:t xml:space="preserve"> </w:t>
      </w:r>
      <w:r w:rsidRPr="00D77968">
        <w:rPr>
          <w:rStyle w:val="af8"/>
          <w:rFonts w:hint="cs"/>
          <w:rtl/>
        </w:rPr>
        <w:t>וה</w:t>
      </w:r>
      <w:r w:rsidRPr="00D47CE7">
        <w:rPr>
          <w:rStyle w:val="af8"/>
          <w:rFonts w:hint="cs"/>
          <w:rtl/>
        </w:rPr>
        <w:t>פרמ"ג</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Ref15936361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D47CE7">
        <w:rPr>
          <w:rStyle w:val="af6"/>
          <w:rFonts w:eastAsia="Guttman Hodes"/>
          <w:rtl/>
        </w:rPr>
        <w:fldChar w:fldCharType="end"/>
      </w:r>
      <w:r w:rsidRPr="00A8153F">
        <w:rPr>
          <w:rFonts w:hint="cs"/>
          <w:rtl/>
        </w:rPr>
        <w:t xml:space="preserve"> </w:t>
      </w:r>
      <w:r>
        <w:rPr>
          <w:rFonts w:hint="cs"/>
          <w:rtl/>
        </w:rPr>
        <w:t xml:space="preserve">דלדעת </w:t>
      </w:r>
      <w:r w:rsidRPr="00D47CE7">
        <w:rPr>
          <w:rStyle w:val="af8"/>
          <w:rFonts w:hint="cs"/>
          <w:rtl/>
        </w:rPr>
        <w:t>הרשב"א</w:t>
      </w:r>
      <w:r w:rsidRPr="00D47CE7">
        <w:rPr>
          <w:rStyle w:val="af6"/>
          <w:rFonts w:eastAsia="Guttman Hodes" w:hint="cs"/>
          <w:rtl/>
        </w:rPr>
        <w:t xml:space="preserve"> </w:t>
      </w:r>
      <w:r>
        <w:rPr>
          <w:rFonts w:hint="cs"/>
          <w:rtl/>
        </w:rPr>
        <w:t xml:space="preserve">היתר פגום במקצת הוא מסברא, ובמה שביארו בדברי </w:t>
      </w:r>
      <w:r w:rsidRPr="00D77968">
        <w:rPr>
          <w:rStyle w:val="af8"/>
          <w:rFonts w:hint="cs"/>
          <w:rtl/>
        </w:rPr>
        <w:t>והיד יהודה</w:t>
      </w:r>
      <w:r>
        <w:rPr>
          <w:rFonts w:hint="cs"/>
          <w:rtl/>
        </w:rPr>
        <w:t xml:space="preserve"> </w:t>
      </w:r>
      <w:r w:rsidRPr="002148A6">
        <w:rPr>
          <w:rStyle w:val="af6"/>
          <w:rFonts w:eastAsia="Guttman Hodes" w:hint="cs"/>
          <w:rtl/>
        </w:rPr>
        <w:t xml:space="preserve">(עי' אות </w:t>
      </w:r>
      <w:r w:rsidRPr="002148A6">
        <w:rPr>
          <w:rStyle w:val="af6"/>
          <w:rFonts w:eastAsia="Guttman Hodes"/>
          <w:rtl/>
        </w:rPr>
        <w:fldChar w:fldCharType="begin"/>
      </w:r>
      <w:r w:rsidRPr="002148A6">
        <w:rPr>
          <w:rStyle w:val="af6"/>
          <w:rFonts w:eastAsia="Guttman Hodes"/>
          <w:rtl/>
        </w:rPr>
        <w:instrText xml:space="preserve"> </w:instrText>
      </w:r>
      <w:r w:rsidRPr="002148A6">
        <w:rPr>
          <w:rStyle w:val="af6"/>
          <w:rFonts w:eastAsia="Guttman Hodes" w:hint="cs"/>
        </w:rPr>
        <w:instrText>REF</w:instrText>
      </w:r>
      <w:r w:rsidRPr="002148A6">
        <w:rPr>
          <w:rStyle w:val="af6"/>
          <w:rFonts w:eastAsia="Guttman Hodes" w:hint="cs"/>
          <w:rtl/>
        </w:rPr>
        <w:instrText xml:space="preserve"> _</w:instrText>
      </w:r>
      <w:r w:rsidRPr="002148A6">
        <w:rPr>
          <w:rStyle w:val="af6"/>
          <w:rFonts w:eastAsia="Guttman Hodes" w:hint="cs"/>
        </w:rPr>
        <w:instrText>Ref16849697 \r \h</w:instrText>
      </w:r>
      <w:r w:rsidRPr="002148A6">
        <w:rPr>
          <w:rStyle w:val="af6"/>
          <w:rFonts w:eastAsia="Guttman Hodes"/>
          <w:rtl/>
        </w:rPr>
        <w:instrText xml:space="preserve"> </w:instrText>
      </w:r>
      <w:r w:rsidRPr="002148A6">
        <w:rPr>
          <w:rStyle w:val="af6"/>
          <w:rFonts w:eastAsia="Guttman Hodes"/>
          <w:rtl/>
        </w:rPr>
      </w:r>
      <w:r w:rsidRPr="002148A6">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2148A6">
        <w:rPr>
          <w:rStyle w:val="af6"/>
          <w:rFonts w:eastAsia="Guttman Hodes"/>
          <w:rtl/>
        </w:rPr>
        <w:fldChar w:fldCharType="end"/>
      </w:r>
      <w:r>
        <w:rPr>
          <w:rFonts w:hint="cs"/>
          <w:rtl/>
        </w:rPr>
        <w:t xml:space="preserve"> </w:t>
      </w:r>
      <w:r w:rsidRPr="002225CE">
        <w:rPr>
          <w:rStyle w:val="af8"/>
          <w:rFonts w:hint="cs"/>
          <w:rtl/>
        </w:rPr>
        <w:t>והקה"י</w:t>
      </w:r>
      <w:r>
        <w:rPr>
          <w:rFonts w:hint="cs"/>
          <w:rtl/>
        </w:rPr>
        <w:t xml:space="preserve"> </w:t>
      </w:r>
      <w:r w:rsidRPr="002225CE">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Ref18437964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קיג)</w:t>
      </w:r>
      <w:r>
        <w:rPr>
          <w:rStyle w:val="af6"/>
          <w:rFonts w:eastAsia="Guttman Hodes"/>
          <w:rtl/>
        </w:rPr>
        <w:fldChar w:fldCharType="end"/>
      </w:r>
      <w:r>
        <w:rPr>
          <w:rStyle w:val="af6"/>
          <w:rFonts w:eastAsia="Guttman Hodes" w:hint="cs"/>
          <w:rtl/>
        </w:rPr>
        <w:t xml:space="preserve"> </w:t>
      </w:r>
      <w:r>
        <w:rPr>
          <w:rFonts w:hint="cs"/>
          <w:rtl/>
        </w:rPr>
        <w:t>דאף</w:t>
      </w:r>
      <w:r>
        <w:rPr>
          <w:rStyle w:val="af8"/>
          <w:rFonts w:hint="cs"/>
          <w:rtl/>
        </w:rPr>
        <w:t xml:space="preserve"> ל</w:t>
      </w:r>
      <w:r w:rsidRPr="00D47CE7">
        <w:rPr>
          <w:rStyle w:val="af8"/>
          <w:rFonts w:hint="cs"/>
          <w:rtl/>
        </w:rPr>
        <w:t>הרשב"א</w:t>
      </w:r>
      <w:r>
        <w:rPr>
          <w:rFonts w:hint="cs"/>
          <w:rtl/>
        </w:rPr>
        <w:t xml:space="preserve"> ילפינן מנבילה]</w:t>
      </w:r>
      <w:r w:rsidRPr="00D47CE7">
        <w:rPr>
          <w:rFonts w:hint="cs"/>
          <w:rtl/>
        </w:rPr>
        <w:t>.</w:t>
      </w:r>
      <w:bookmarkEnd w:id="8327"/>
    </w:p>
    <w:p w:rsidR="007809D6" w:rsidRPr="00D47CE7" w:rsidRDefault="007809D6" w:rsidP="007809D6">
      <w:pPr>
        <w:pStyle w:val="1"/>
        <w:rPr>
          <w:rtl/>
        </w:rPr>
      </w:pPr>
      <w:bookmarkStart w:id="8328" w:name="_Toc16679276"/>
      <w:bookmarkStart w:id="8329" w:name="_Toc16850479"/>
      <w:bookmarkStart w:id="8330" w:name="_Toc17624852"/>
      <w:bookmarkStart w:id="8331" w:name="_Toc17889800"/>
      <w:bookmarkStart w:id="8332" w:name="_Toc17975422"/>
      <w:bookmarkStart w:id="8333" w:name="_Toc17984100"/>
      <w:bookmarkStart w:id="8334" w:name="_Toc18228215"/>
      <w:bookmarkStart w:id="8335" w:name="_Toc18250746"/>
      <w:bookmarkStart w:id="8336" w:name="_Toc18266192"/>
      <w:bookmarkStart w:id="8337" w:name="_Toc18269096"/>
      <w:bookmarkStart w:id="8338" w:name="_Toc18323793"/>
      <w:bookmarkStart w:id="8339" w:name="_Toc18397365"/>
      <w:bookmarkStart w:id="8340" w:name="_Toc18404085"/>
      <w:bookmarkStart w:id="8341" w:name="_Toc18481505"/>
      <w:bookmarkStart w:id="8342" w:name="_Toc15936054"/>
      <w:bookmarkStart w:id="8343" w:name="_Toc16116624"/>
      <w:bookmarkStart w:id="8344" w:name="_Toc16243784"/>
      <w:bookmarkStart w:id="8345" w:name="_Toc16679284"/>
      <w:bookmarkStart w:id="8346" w:name="_Toc16850488"/>
      <w:bookmarkStart w:id="8347" w:name="_Toc17624863"/>
      <w:bookmarkStart w:id="8348" w:name="_Toc17889812"/>
      <w:bookmarkStart w:id="8349" w:name="_Toc17975434"/>
      <w:bookmarkStart w:id="8350" w:name="_Toc16243774"/>
      <w:bookmarkStart w:id="8351" w:name="_Toc16679273"/>
      <w:bookmarkStart w:id="8352" w:name="_Toc16850476"/>
      <w:bookmarkStart w:id="8353" w:name="_Toc17624849"/>
      <w:bookmarkStart w:id="8354" w:name="_Toc17889797"/>
      <w:bookmarkStart w:id="8355" w:name="_Toc17975419"/>
      <w:r w:rsidRPr="00D47CE7">
        <w:rPr>
          <w:rFonts w:hint="cs"/>
          <w:rtl/>
        </w:rPr>
        <w:t>דברי הרשב"א בנותן טעם לפגם ברוב ובפחות מרוב</w:t>
      </w:r>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p>
    <w:p w:rsidR="007809D6" w:rsidRPr="00D47CE7" w:rsidRDefault="007809D6" w:rsidP="007809D6">
      <w:pPr>
        <w:pStyle w:val="a2"/>
        <w:rPr>
          <w:rtl/>
        </w:rPr>
      </w:pPr>
      <w:bookmarkStart w:id="8356" w:name="_Toc18228216"/>
      <w:bookmarkStart w:id="8357" w:name="_Toc18250747"/>
      <w:bookmarkStart w:id="8358" w:name="_Toc18266193"/>
      <w:bookmarkStart w:id="8359" w:name="_Toc18269097"/>
      <w:bookmarkStart w:id="8360" w:name="_Toc18323794"/>
      <w:bookmarkStart w:id="8361" w:name="_Toc18397366"/>
      <w:bookmarkStart w:id="8362" w:name="_Toc18404086"/>
      <w:bookmarkStart w:id="8363" w:name="_Toc18481506"/>
      <w:r w:rsidRPr="00D47CE7">
        <w:rPr>
          <w:rFonts w:hint="cs"/>
          <w:rtl/>
        </w:rPr>
        <w:t xml:space="preserve">דברי הרשב"א דההיתר בנטל"פ הוא רק כשטעם האיסור בטל ברוב </w:t>
      </w:r>
      <w:bookmarkEnd w:id="8356"/>
      <w:r w:rsidRPr="00D47CE7">
        <w:rPr>
          <w:rFonts w:hint="cs"/>
          <w:rtl/>
        </w:rPr>
        <w:t>דבטעם פגום אין דין טע"כ</w:t>
      </w:r>
      <w:bookmarkEnd w:id="8357"/>
      <w:bookmarkEnd w:id="8358"/>
      <w:bookmarkEnd w:id="8359"/>
      <w:bookmarkEnd w:id="8360"/>
      <w:bookmarkEnd w:id="8361"/>
      <w:bookmarkEnd w:id="8362"/>
      <w:bookmarkEnd w:id="8363"/>
    </w:p>
    <w:p w:rsidR="007809D6" w:rsidRPr="00D47CE7" w:rsidRDefault="007809D6" w:rsidP="009F44AF">
      <w:pPr>
        <w:pStyle w:val="a"/>
        <w:rPr>
          <w:rtl/>
        </w:rPr>
      </w:pPr>
      <w:bookmarkStart w:id="8364" w:name="_Ref18228077"/>
      <w:r w:rsidRPr="00D47CE7">
        <w:rPr>
          <w:rFonts w:hint="cs"/>
          <w:rtl/>
        </w:rPr>
        <w:t xml:space="preserve">והוסיף </w:t>
      </w:r>
      <w:r w:rsidRPr="00D47CE7">
        <w:rPr>
          <w:rStyle w:val="af8"/>
          <w:rFonts w:hint="cs"/>
          <w:rtl/>
        </w:rPr>
        <w:t>הרשב"א בתוה"ב</w:t>
      </w:r>
      <w:r w:rsidRPr="00D47CE7">
        <w:rPr>
          <w:rFonts w:hint="cs"/>
          <w:rtl/>
        </w:rPr>
        <w:t xml:space="preserve"> </w:t>
      </w:r>
      <w:r w:rsidRPr="00D47CE7">
        <w:rPr>
          <w:rStyle w:val="af6"/>
          <w:rFonts w:eastAsia="Guttman Hodes" w:hint="cs"/>
          <w:rtl/>
        </w:rPr>
        <w:t>(ב"ד ש"א יט. מדה"ס ד"ה פגם)</w:t>
      </w:r>
      <w:r w:rsidRPr="00D47CE7">
        <w:rPr>
          <w:rFonts w:hint="cs"/>
          <w:rtl/>
        </w:rPr>
        <w:t xml:space="preserve"> דכל ההיתר בנותן טעם לפגם, כשהוא ראוי לאכילה, היינו דוקא באופן שהתערב מעט איסור בתוך רוב של היתר, וביאר </w:t>
      </w:r>
      <w:r w:rsidRPr="00D47CE7">
        <w:rPr>
          <w:rStyle w:val="af8"/>
          <w:rFonts w:hint="cs"/>
          <w:rtl/>
        </w:rPr>
        <w:t xml:space="preserve">הרשב"א בתוה"ב </w:t>
      </w:r>
      <w:r w:rsidRPr="00D47CE7">
        <w:rPr>
          <w:rStyle w:val="af6"/>
          <w:rFonts w:eastAsia="Guttman Hodes" w:hint="cs"/>
          <w:rtl/>
        </w:rPr>
        <w:t>(ב"ד ש"א כ: מדה"ס)</w:t>
      </w:r>
      <w:r w:rsidRPr="00D47CE7">
        <w:rPr>
          <w:rFonts w:hint="cs"/>
          <w:rtl/>
        </w:rPr>
        <w:t xml:space="preserve"> דאיסור שהתערב בתערובת, </w:t>
      </w:r>
      <w:r w:rsidRPr="00D47CE7">
        <w:rPr>
          <w:rStyle w:val="afa"/>
          <w:rFonts w:hint="cs"/>
          <w:rtl/>
        </w:rPr>
        <w:t>[ויש רוב בהיתר כנגדו],</w:t>
      </w:r>
      <w:r w:rsidRPr="00D47CE7">
        <w:rPr>
          <w:rFonts w:hint="cs"/>
          <w:rtl/>
        </w:rPr>
        <w:t xml:space="preserve"> הוא אסור רק מדין נותן טעם, ובטעם פגום לא חשיב שנתן טעם דאדרבה הוא פוגם, וביאר </w:t>
      </w:r>
      <w:r w:rsidRPr="00D47CE7">
        <w:rPr>
          <w:rStyle w:val="af8"/>
          <w:rFonts w:hint="cs"/>
          <w:rtl/>
        </w:rPr>
        <w:t>הר"ן על הרי"ף</w:t>
      </w:r>
      <w:r>
        <w:rPr>
          <w:rStyle w:val="af8"/>
          <w:rFonts w:hint="cs"/>
          <w:rtl/>
        </w:rPr>
        <w:t xml:space="preserve"> </w:t>
      </w:r>
      <w:r w:rsidRPr="00D47CE7">
        <w:rPr>
          <w:rStyle w:val="af6"/>
          <w:rFonts w:eastAsia="Guttman Hodes" w:hint="cs"/>
          <w:rtl/>
        </w:rPr>
        <w:t xml:space="preserve">(לב: מדפי הרי"ף סוד"ה ודאמרינן) </w:t>
      </w:r>
      <w:r w:rsidRPr="00D47CE7">
        <w:rPr>
          <w:rFonts w:hint="cs"/>
          <w:rtl/>
        </w:rPr>
        <w:t xml:space="preserve">את דברי </w:t>
      </w:r>
      <w:r w:rsidRPr="00D47CE7">
        <w:rPr>
          <w:rStyle w:val="af8"/>
          <w:rFonts w:hint="cs"/>
          <w:rtl/>
        </w:rPr>
        <w:t xml:space="preserve">הרשב"א בתוה"ב </w:t>
      </w:r>
      <w:r w:rsidRPr="00D47CE7">
        <w:rPr>
          <w:rFonts w:hint="cs"/>
          <w:rtl/>
        </w:rPr>
        <w:t>דכל שההיתר מרובה על האיסור מותר, דהאיסור עצמו בטל דמדאו' חד בתרי בטיל, והטעם אינו אוסר מדין טעם כעיקר, כיון שהוא פוגם. [ועי' במה שדחו</w:t>
      </w:r>
      <w:r w:rsidRPr="00D47CE7">
        <w:rPr>
          <w:rStyle w:val="af8"/>
          <w:rFonts w:hint="cs"/>
          <w:rtl/>
        </w:rPr>
        <w:t xml:space="preserve"> הרא"ה בבד"ה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Ref17363039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פא)</w:t>
      </w:r>
      <w:r w:rsidRPr="00D47CE7">
        <w:rPr>
          <w:rStyle w:val="af6"/>
          <w:rFonts w:eastAsia="Guttman Hodes"/>
          <w:rtl/>
        </w:rPr>
        <w:fldChar w:fldCharType="end"/>
      </w:r>
      <w:r w:rsidRPr="00D47CE7">
        <w:rPr>
          <w:rFonts w:hint="cs"/>
          <w:rtl/>
        </w:rPr>
        <w:t xml:space="preserve"> </w:t>
      </w:r>
      <w:r w:rsidRPr="00D47CE7">
        <w:rPr>
          <w:rStyle w:val="af8"/>
          <w:rFonts w:hint="cs"/>
          <w:rtl/>
        </w:rPr>
        <w:t>והר"ן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Ref17984155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D47CE7">
        <w:rPr>
          <w:rStyle w:val="af6"/>
          <w:rFonts w:eastAsia="Guttman Hodes"/>
          <w:rtl/>
        </w:rPr>
        <w:fldChar w:fldCharType="end"/>
      </w:r>
      <w:r w:rsidRPr="00D47CE7">
        <w:rPr>
          <w:rFonts w:hint="cs"/>
          <w:rtl/>
        </w:rPr>
        <w:t xml:space="preserve"> את דברי </w:t>
      </w:r>
      <w:r w:rsidRPr="00D47CE7">
        <w:rPr>
          <w:rStyle w:val="af8"/>
          <w:rFonts w:hint="cs"/>
          <w:rtl/>
        </w:rPr>
        <w:t>הרשב"א</w:t>
      </w:r>
      <w:r>
        <w:rPr>
          <w:rFonts w:hint="cs"/>
          <w:rtl/>
        </w:rPr>
        <w:t xml:space="preserve">, ובמ"ש </w:t>
      </w:r>
      <w:r w:rsidRPr="00FE122A">
        <w:rPr>
          <w:rStyle w:val="af8"/>
          <w:rFonts w:hint="cs"/>
          <w:rtl/>
        </w:rPr>
        <w:t>הפרמ"ג</w:t>
      </w:r>
      <w:r w:rsidRPr="00FE122A">
        <w:rPr>
          <w:rStyle w:val="af6"/>
          <w:rFonts w:eastAsia="Guttman Hodes" w:hint="cs"/>
          <w:rtl/>
        </w:rPr>
        <w:t xml:space="preserve"> (עי'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Ref17620521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FE122A">
        <w:rPr>
          <w:rStyle w:val="af6"/>
          <w:rFonts w:eastAsia="Guttman Hodes"/>
          <w:rtl/>
        </w:rPr>
        <w:fldChar w:fldCharType="end"/>
      </w:r>
      <w:r>
        <w:rPr>
          <w:rFonts w:hint="cs"/>
          <w:rtl/>
        </w:rPr>
        <w:t xml:space="preserve"> </w:t>
      </w:r>
      <w:r w:rsidRPr="00FE122A">
        <w:rPr>
          <w:rStyle w:val="af8"/>
          <w:rFonts w:hint="cs"/>
          <w:rtl/>
        </w:rPr>
        <w:t>והיד יהודה</w:t>
      </w:r>
      <w:r>
        <w:rPr>
          <w:rFonts w:hint="cs"/>
          <w:rtl/>
        </w:rPr>
        <w:t xml:space="preserve"> </w:t>
      </w:r>
      <w:r w:rsidRPr="00FE122A">
        <w:rPr>
          <w:rStyle w:val="af6"/>
          <w:rFonts w:eastAsia="Guttman Hodes" w:hint="cs"/>
          <w:rtl/>
        </w:rPr>
        <w:t xml:space="preserve">(עי'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Ref16849697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FE122A">
        <w:rPr>
          <w:rStyle w:val="af6"/>
          <w:rFonts w:eastAsia="Guttman Hodes"/>
          <w:rtl/>
        </w:rPr>
        <w:fldChar w:fldCharType="end"/>
      </w:r>
      <w:r>
        <w:rPr>
          <w:rFonts w:hint="cs"/>
          <w:rtl/>
        </w:rPr>
        <w:t xml:space="preserve"> </w:t>
      </w:r>
      <w:r w:rsidRPr="00373178">
        <w:rPr>
          <w:rStyle w:val="af8"/>
          <w:rFonts w:hint="cs"/>
          <w:rtl/>
        </w:rPr>
        <w:t>והגר"ח</w:t>
      </w:r>
      <w:r>
        <w:rPr>
          <w:rFonts w:hint="cs"/>
          <w:rtl/>
        </w:rPr>
        <w:t xml:space="preserve"> </w:t>
      </w:r>
      <w:r w:rsidRPr="00373178">
        <w:rPr>
          <w:rStyle w:val="af6"/>
          <w:rFonts w:eastAsia="Guttman Hodes" w:hint="cs"/>
          <w:rtl/>
        </w:rPr>
        <w:t xml:space="preserve">(עי' אות </w:t>
      </w:r>
      <w:r w:rsidRPr="00373178">
        <w:rPr>
          <w:rStyle w:val="af6"/>
          <w:rFonts w:eastAsia="Guttman Hodes"/>
          <w:rtl/>
        </w:rPr>
        <w:fldChar w:fldCharType="begin"/>
      </w:r>
      <w:r w:rsidRPr="00373178">
        <w:rPr>
          <w:rStyle w:val="af6"/>
          <w:rFonts w:eastAsia="Guttman Hodes"/>
          <w:rtl/>
        </w:rPr>
        <w:instrText xml:space="preserve"> </w:instrText>
      </w:r>
      <w:r w:rsidRPr="00373178">
        <w:rPr>
          <w:rStyle w:val="af6"/>
          <w:rFonts w:eastAsia="Guttman Hodes" w:hint="cs"/>
        </w:rPr>
        <w:instrText>REF</w:instrText>
      </w:r>
      <w:r w:rsidRPr="00373178">
        <w:rPr>
          <w:rStyle w:val="af6"/>
          <w:rFonts w:eastAsia="Guttman Hodes" w:hint="cs"/>
          <w:rtl/>
        </w:rPr>
        <w:instrText xml:space="preserve"> _</w:instrText>
      </w:r>
      <w:r w:rsidRPr="00373178">
        <w:rPr>
          <w:rStyle w:val="af6"/>
          <w:rFonts w:eastAsia="Guttman Hodes" w:hint="cs"/>
        </w:rPr>
        <w:instrText>Ref18403740 \r \h</w:instrText>
      </w:r>
      <w:r w:rsidRPr="00373178">
        <w:rPr>
          <w:rStyle w:val="af6"/>
          <w:rFonts w:eastAsia="Guttman Hodes"/>
          <w:rtl/>
        </w:rPr>
        <w:instrText xml:space="preserve"> </w:instrText>
      </w:r>
      <w:r w:rsidRPr="00373178">
        <w:rPr>
          <w:rStyle w:val="af6"/>
          <w:rFonts w:eastAsia="Guttman Hodes"/>
          <w:rtl/>
        </w:rPr>
      </w:r>
      <w:r w:rsidRPr="00373178">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373178">
        <w:rPr>
          <w:rStyle w:val="af6"/>
          <w:rFonts w:eastAsia="Guttman Hodes"/>
          <w:rtl/>
        </w:rPr>
        <w:fldChar w:fldCharType="end"/>
      </w:r>
      <w:r>
        <w:rPr>
          <w:rFonts w:hint="cs"/>
          <w:rtl/>
        </w:rPr>
        <w:t xml:space="preserve"> </w:t>
      </w:r>
      <w:r w:rsidRPr="00D47CE7">
        <w:rPr>
          <w:rFonts w:hint="cs"/>
          <w:rtl/>
        </w:rPr>
        <w:t xml:space="preserve">ועי' </w:t>
      </w:r>
      <w:r w:rsidRPr="00FE122A">
        <w:rPr>
          <w:rStyle w:val="af8"/>
          <w:rFonts w:hint="cs"/>
          <w:rtl/>
        </w:rPr>
        <w:t>והקה"י</w:t>
      </w:r>
      <w:r>
        <w:rPr>
          <w:rFonts w:hint="cs"/>
          <w:rtl/>
        </w:rPr>
        <w:t xml:space="preserve"> </w:t>
      </w:r>
      <w:r w:rsidRPr="00FE122A">
        <w:rPr>
          <w:rStyle w:val="af6"/>
          <w:rFonts w:eastAsia="Guttman Hodes" w:hint="cs"/>
          <w:rtl/>
        </w:rPr>
        <w:t xml:space="preserve">(עי'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Ref18441490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קכז)</w:t>
      </w:r>
      <w:r w:rsidRPr="00FE122A">
        <w:rPr>
          <w:rStyle w:val="af6"/>
          <w:rFonts w:eastAsia="Guttman Hodes"/>
          <w:rtl/>
        </w:rPr>
        <w:fldChar w:fldCharType="end"/>
      </w:r>
      <w:r>
        <w:rPr>
          <w:rFonts w:hint="cs"/>
          <w:rtl/>
        </w:rPr>
        <w:t xml:space="preserve"> </w:t>
      </w:r>
      <w:r>
        <w:rPr>
          <w:rStyle w:val="af8"/>
          <w:rFonts w:hint="cs"/>
          <w:rtl/>
        </w:rPr>
        <w:t>ו</w:t>
      </w:r>
      <w:r w:rsidRPr="00D47CE7">
        <w:rPr>
          <w:rStyle w:val="af8"/>
          <w:rFonts w:hint="cs"/>
          <w:rtl/>
        </w:rPr>
        <w:t>המקדש דוד</w:t>
      </w:r>
      <w:r w:rsidRPr="00D47CE7">
        <w:rPr>
          <w:rFonts w:hint="cs"/>
          <w:rtl/>
        </w:rPr>
        <w:t xml:space="preserve"> </w:t>
      </w:r>
      <w:r w:rsidRPr="008C3057">
        <w:rPr>
          <w:rStyle w:val="af6"/>
          <w:rFonts w:eastAsia="Guttman Hodes" w:hint="cs"/>
          <w:rtl/>
        </w:rPr>
        <w:t xml:space="preserve">(עי' אות </w:t>
      </w:r>
      <w:r w:rsidRPr="008C3057">
        <w:rPr>
          <w:rStyle w:val="af6"/>
          <w:rFonts w:eastAsia="Guttman Hodes"/>
          <w:rtl/>
        </w:rPr>
        <w:fldChar w:fldCharType="begin"/>
      </w:r>
      <w:r w:rsidRPr="008C3057">
        <w:rPr>
          <w:rStyle w:val="af6"/>
          <w:rFonts w:eastAsia="Guttman Hodes"/>
          <w:rtl/>
        </w:rPr>
        <w:instrText xml:space="preserve"> </w:instrText>
      </w:r>
      <w:r w:rsidRPr="008C3057">
        <w:rPr>
          <w:rStyle w:val="af6"/>
          <w:rFonts w:eastAsia="Guttman Hodes" w:hint="cs"/>
        </w:rPr>
        <w:instrText>REF</w:instrText>
      </w:r>
      <w:r w:rsidRPr="008C3057">
        <w:rPr>
          <w:rStyle w:val="af6"/>
          <w:rFonts w:eastAsia="Guttman Hodes" w:hint="cs"/>
          <w:rtl/>
        </w:rPr>
        <w:instrText xml:space="preserve"> _</w:instrText>
      </w:r>
      <w:r w:rsidRPr="008C3057">
        <w:rPr>
          <w:rStyle w:val="af6"/>
          <w:rFonts w:eastAsia="Guttman Hodes" w:hint="cs"/>
        </w:rPr>
        <w:instrText>Ref18478887 \r \h</w:instrText>
      </w:r>
      <w:r w:rsidRPr="008C3057">
        <w:rPr>
          <w:rStyle w:val="af6"/>
          <w:rFonts w:eastAsia="Guttman Hodes"/>
          <w:rtl/>
        </w:rPr>
        <w:instrText xml:space="preserve"> </w:instrText>
      </w:r>
      <w:r w:rsidRPr="008C3057">
        <w:rPr>
          <w:rStyle w:val="af6"/>
          <w:rFonts w:eastAsia="Guttman Hodes"/>
          <w:rtl/>
        </w:rPr>
      </w:r>
      <w:r w:rsidRPr="008C3057">
        <w:rPr>
          <w:rStyle w:val="af6"/>
          <w:rFonts w:eastAsia="Guttman Hodes"/>
          <w:rtl/>
        </w:rPr>
        <w:fldChar w:fldCharType="separate"/>
      </w:r>
      <w:r w:rsidR="004D1C5B">
        <w:rPr>
          <w:rStyle w:val="af6"/>
          <w:rFonts w:eastAsia="Guttman Hodes"/>
          <w:cs/>
        </w:rPr>
        <w:t>‎</w:t>
      </w:r>
      <w:r w:rsidR="004D1C5B">
        <w:rPr>
          <w:rStyle w:val="af6"/>
          <w:rFonts w:eastAsia="Guttman Hodes"/>
          <w:rtl/>
        </w:rPr>
        <w:t>קלב)</w:t>
      </w:r>
      <w:r w:rsidRPr="008C3057">
        <w:rPr>
          <w:rStyle w:val="af6"/>
          <w:rFonts w:eastAsia="Guttman Hodes"/>
          <w:rtl/>
        </w:rPr>
        <w:fldChar w:fldCharType="end"/>
      </w:r>
      <w:r>
        <w:rPr>
          <w:rFonts w:hint="cs"/>
          <w:rtl/>
        </w:rPr>
        <w:t xml:space="preserve"> בדברי </w:t>
      </w:r>
      <w:r w:rsidRPr="00FE122A">
        <w:rPr>
          <w:rStyle w:val="af8"/>
          <w:rFonts w:hint="cs"/>
          <w:rtl/>
        </w:rPr>
        <w:t>הרשב"א</w:t>
      </w:r>
      <w:r w:rsidRPr="00D47CE7">
        <w:rPr>
          <w:rFonts w:hint="cs"/>
          <w:rtl/>
        </w:rPr>
        <w:t>].</w:t>
      </w:r>
      <w:bookmarkEnd w:id="8364"/>
    </w:p>
    <w:p w:rsidR="007809D6" w:rsidRPr="00D47CE7" w:rsidRDefault="007809D6" w:rsidP="007809D6">
      <w:pPr>
        <w:pStyle w:val="a2"/>
      </w:pPr>
      <w:bookmarkStart w:id="8365" w:name="_Toc18228217"/>
      <w:bookmarkStart w:id="8366" w:name="_Toc18250748"/>
      <w:bookmarkStart w:id="8367" w:name="_Toc18266194"/>
      <w:bookmarkStart w:id="8368" w:name="_Toc18269098"/>
      <w:bookmarkStart w:id="8369" w:name="_Toc18323795"/>
      <w:bookmarkStart w:id="8370" w:name="_Toc18397367"/>
      <w:bookmarkStart w:id="8371" w:name="_Toc18404087"/>
      <w:bookmarkStart w:id="8372" w:name="_Toc18481507"/>
      <w:r w:rsidRPr="00D47CE7">
        <w:rPr>
          <w:rFonts w:hint="cs"/>
          <w:rtl/>
        </w:rPr>
        <w:t>דברי הרשב"א דברוב או מחצה איסור אין היתר בנטל"פ בפגום במקצת דחשיב שהאיסור בעין</w:t>
      </w:r>
      <w:bookmarkEnd w:id="8365"/>
      <w:bookmarkEnd w:id="8366"/>
      <w:bookmarkEnd w:id="8367"/>
      <w:bookmarkEnd w:id="8368"/>
      <w:bookmarkEnd w:id="8369"/>
      <w:bookmarkEnd w:id="8370"/>
      <w:bookmarkEnd w:id="8371"/>
      <w:bookmarkEnd w:id="8372"/>
    </w:p>
    <w:p w:rsidR="007809D6" w:rsidRDefault="007809D6" w:rsidP="009F44AF">
      <w:pPr>
        <w:pStyle w:val="a"/>
      </w:pPr>
      <w:bookmarkStart w:id="8373" w:name="_Ref15936397"/>
      <w:bookmarkStart w:id="8374" w:name="_Ref18320646"/>
      <w:r w:rsidRPr="00D47CE7">
        <w:rPr>
          <w:rFonts w:hint="cs"/>
          <w:rtl/>
        </w:rPr>
        <w:t xml:space="preserve">וכתב </w:t>
      </w:r>
      <w:r w:rsidRPr="00D47CE7">
        <w:rPr>
          <w:rStyle w:val="af8"/>
          <w:rFonts w:hint="cs"/>
          <w:rtl/>
        </w:rPr>
        <w:t>הרשב"א בתוה"ב</w:t>
      </w:r>
      <w:r w:rsidRPr="00D47CE7">
        <w:rPr>
          <w:rFonts w:hint="cs"/>
          <w:rtl/>
        </w:rPr>
        <w:t xml:space="preserve"> </w:t>
      </w:r>
      <w:r w:rsidRPr="00FE122A">
        <w:rPr>
          <w:rStyle w:val="af6"/>
          <w:rFonts w:eastAsia="Guttman Hodes" w:hint="cs"/>
          <w:rtl/>
        </w:rPr>
        <w:t>(ב"ד ש"א יט. מדה"ס ד"ה פגם)</w:t>
      </w:r>
      <w:r w:rsidRPr="00D47CE7">
        <w:rPr>
          <w:rFonts w:hint="cs"/>
          <w:rtl/>
        </w:rPr>
        <w:t xml:space="preserve"> דאם האיסור הוא הרוב וההיתר הוא המיעוט, או שיש מחצה איסור ומחצה היתר, מסתבר לומר דאין בו היתר נותן טעם לפגם, ורק כשאינו ראוי לאכילה לגמרי כנבילה שאינה ראויה לגר מותר,</w:t>
      </w:r>
      <w:r w:rsidRPr="00D47CE7">
        <w:rPr>
          <w:rtl/>
        </w:rPr>
        <w:t xml:space="preserve"> והוסיף </w:t>
      </w:r>
      <w:r w:rsidRPr="00D47CE7">
        <w:rPr>
          <w:rStyle w:val="af8"/>
          <w:rtl/>
        </w:rPr>
        <w:t>הרשב"א בתוה"ב הקצר</w:t>
      </w:r>
      <w:r w:rsidRPr="00FE122A">
        <w:rPr>
          <w:rStyle w:val="af6"/>
          <w:rFonts w:eastAsia="Guttman Hodes"/>
          <w:rtl/>
        </w:rPr>
        <w:t xml:space="preserve"> (ב"ד ש"א טו. מדה"ס) </w:t>
      </w:r>
      <w:r w:rsidRPr="00D47CE7">
        <w:rPr>
          <w:rFonts w:hint="cs"/>
          <w:rtl/>
        </w:rPr>
        <w:t xml:space="preserve">דבמקום שאין רוב בהיתר, חשיב </w:t>
      </w:r>
      <w:r w:rsidRPr="00D47CE7">
        <w:rPr>
          <w:rtl/>
        </w:rPr>
        <w:t xml:space="preserve">כאילו </w:t>
      </w:r>
      <w:r w:rsidRPr="00D47CE7">
        <w:rPr>
          <w:rFonts w:hint="cs"/>
          <w:rtl/>
        </w:rPr>
        <w:t>האיסור הוא בעין, ובאיסור בעין התירה תורה רק כשאינו ראוי לגר.</w:t>
      </w:r>
      <w:bookmarkEnd w:id="8373"/>
      <w:r w:rsidRPr="00D47CE7">
        <w:rPr>
          <w:rStyle w:val="afa"/>
          <w:rFonts w:hint="cs"/>
          <w:rtl/>
        </w:rPr>
        <w:t xml:space="preserve"> [אך כתב </w:t>
      </w:r>
      <w:r w:rsidRPr="00D47CE7">
        <w:rPr>
          <w:rStyle w:val="affa"/>
          <w:rFonts w:hint="cs"/>
          <w:rtl/>
        </w:rPr>
        <w:t>הרשב"א בתוה"ב הקצר</w:t>
      </w:r>
      <w:r w:rsidRPr="00D47CE7">
        <w:rPr>
          <w:rStyle w:val="afa"/>
          <w:rFonts w:hint="cs"/>
          <w:rtl/>
        </w:rPr>
        <w:t xml:space="preserve"> </w:t>
      </w:r>
      <w:r w:rsidRPr="00D47CE7">
        <w:rPr>
          <w:rStyle w:val="aff6"/>
          <w:rFonts w:hint="cs"/>
          <w:rtl/>
        </w:rPr>
        <w:t>(ב"ד ש"א טו: מדה"ס)</w:t>
      </w:r>
      <w:r w:rsidRPr="00D47CE7">
        <w:rPr>
          <w:rStyle w:val="afa"/>
          <w:rFonts w:hint="cs"/>
          <w:rtl/>
        </w:rPr>
        <w:t xml:space="preserve"> דאם התערב צירו של האיסור, וכ"ש במקום שגוף האיסור מעורב בהיתר, דדוקא כשיש רוב בהיתר כנגדו, מותר מדין נותן טעם לפגם, וכשאין רוב הוא אסור עד שלא יהיה ראוי לגר].</w:t>
      </w:r>
      <w:bookmarkEnd w:id="8374"/>
      <w:r>
        <w:rPr>
          <w:rFonts w:hint="cs"/>
          <w:rtl/>
        </w:rPr>
        <w:t xml:space="preserve"> </w:t>
      </w:r>
      <w:bookmarkStart w:id="8375" w:name="_Toc18228218"/>
      <w:bookmarkStart w:id="8376" w:name="_Toc18250749"/>
      <w:bookmarkStart w:id="8377" w:name="_Toc18266195"/>
      <w:bookmarkStart w:id="8378" w:name="_Toc18269099"/>
      <w:bookmarkStart w:id="8379" w:name="_Toc18323796"/>
      <w:bookmarkStart w:id="8380" w:name="_Toc18397368"/>
      <w:bookmarkStart w:id="8381" w:name="_Toc18404088"/>
      <w:r>
        <w:rPr>
          <w:rFonts w:hint="cs"/>
          <w:rtl/>
        </w:rPr>
        <w:t>[</w:t>
      </w:r>
      <w:r w:rsidRPr="00D47CE7">
        <w:rPr>
          <w:rFonts w:hint="cs"/>
          <w:rtl/>
        </w:rPr>
        <w:t>ועי'</w:t>
      </w:r>
      <w:r>
        <w:rPr>
          <w:rFonts w:hint="cs"/>
          <w:rtl/>
        </w:rPr>
        <w:t xml:space="preserve"> במ"ש</w:t>
      </w:r>
      <w:r w:rsidRPr="00D47CE7">
        <w:rPr>
          <w:rFonts w:hint="cs"/>
          <w:rtl/>
        </w:rPr>
        <w:t xml:space="preserve"> </w:t>
      </w:r>
      <w:r w:rsidRPr="00FE122A">
        <w:rPr>
          <w:rStyle w:val="af8"/>
          <w:rFonts w:hint="cs"/>
          <w:rtl/>
        </w:rPr>
        <w:t>הקה"י</w:t>
      </w:r>
      <w:r>
        <w:rPr>
          <w:rFonts w:hint="cs"/>
          <w:rtl/>
        </w:rPr>
        <w:t xml:space="preserve"> </w:t>
      </w:r>
      <w:r w:rsidRPr="00FE122A">
        <w:rPr>
          <w:rStyle w:val="af6"/>
          <w:rFonts w:eastAsia="Guttman Hodes" w:hint="cs"/>
          <w:rtl/>
        </w:rPr>
        <w:t xml:space="preserve">(עי'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Ref18441490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קכז)</w:t>
      </w:r>
      <w:r w:rsidRPr="00FE122A">
        <w:rPr>
          <w:rStyle w:val="af6"/>
          <w:rFonts w:eastAsia="Guttman Hodes"/>
          <w:rtl/>
        </w:rPr>
        <w:fldChar w:fldCharType="end"/>
      </w:r>
      <w:r>
        <w:rPr>
          <w:rFonts w:hint="cs"/>
          <w:rtl/>
        </w:rPr>
        <w:t xml:space="preserve"> בדברי </w:t>
      </w:r>
      <w:r w:rsidRPr="00FE122A">
        <w:rPr>
          <w:rStyle w:val="af8"/>
          <w:rFonts w:hint="cs"/>
          <w:rtl/>
        </w:rPr>
        <w:t>הרשב"א</w:t>
      </w:r>
      <w:r w:rsidRPr="00D47CE7">
        <w:rPr>
          <w:rFonts w:hint="cs"/>
          <w:rtl/>
        </w:rPr>
        <w:t>].</w:t>
      </w:r>
    </w:p>
    <w:p w:rsidR="007809D6" w:rsidRPr="00D47CE7" w:rsidRDefault="007809D6" w:rsidP="007809D6">
      <w:pPr>
        <w:pStyle w:val="a2"/>
        <w:rPr>
          <w:rtl/>
        </w:rPr>
      </w:pPr>
      <w:bookmarkStart w:id="8382" w:name="_Toc18481508"/>
      <w:r w:rsidRPr="00D47CE7">
        <w:rPr>
          <w:rFonts w:hint="cs"/>
          <w:rtl/>
        </w:rPr>
        <w:t>דברי המאירי דבפחות מרוב היתר הוא גוף איסור ולא תערובת וה"ה כשיש איסור בכזית בכא"פ</w:t>
      </w:r>
      <w:bookmarkEnd w:id="8375"/>
      <w:bookmarkEnd w:id="8376"/>
      <w:bookmarkEnd w:id="8377"/>
      <w:bookmarkEnd w:id="8378"/>
      <w:bookmarkEnd w:id="8379"/>
      <w:bookmarkEnd w:id="8380"/>
      <w:bookmarkEnd w:id="8381"/>
      <w:bookmarkEnd w:id="8382"/>
    </w:p>
    <w:p w:rsidR="007809D6" w:rsidRPr="00D47CE7" w:rsidRDefault="007809D6" w:rsidP="009F44AF">
      <w:pPr>
        <w:pStyle w:val="a"/>
        <w:rPr>
          <w:rtl/>
        </w:rPr>
      </w:pPr>
      <w:r w:rsidRPr="00D47CE7">
        <w:rPr>
          <w:rFonts w:hint="cs"/>
          <w:rtl/>
        </w:rPr>
        <w:t xml:space="preserve">וכ"כ </w:t>
      </w:r>
      <w:r w:rsidRPr="00D47CE7">
        <w:rPr>
          <w:rStyle w:val="af8"/>
          <w:rFonts w:hint="cs"/>
          <w:rtl/>
        </w:rPr>
        <w:t>המאירי</w:t>
      </w:r>
      <w:r w:rsidRPr="00D47CE7">
        <w:rPr>
          <w:rStyle w:val="af6"/>
          <w:rFonts w:eastAsia="Guttman Hodes" w:hint="cs"/>
          <w:rtl/>
        </w:rPr>
        <w:t xml:space="preserve"> (ד"ה פי' חכמי האחרונים) </w:t>
      </w:r>
      <w:r w:rsidRPr="00D47CE7">
        <w:rPr>
          <w:rFonts w:hint="cs"/>
          <w:rtl/>
        </w:rPr>
        <w:t xml:space="preserve">דמסתבר לומר כדברי </w:t>
      </w:r>
      <w:r w:rsidRPr="00D47CE7">
        <w:rPr>
          <w:rStyle w:val="af8"/>
          <w:rFonts w:hint="cs"/>
          <w:rtl/>
        </w:rPr>
        <w:t>הרשב"א</w:t>
      </w:r>
      <w:r w:rsidRPr="00D47CE7">
        <w:rPr>
          <w:rFonts w:hint="cs"/>
          <w:rtl/>
        </w:rPr>
        <w:t xml:space="preserve"> </w:t>
      </w:r>
      <w:r w:rsidRPr="00D47CE7">
        <w:rPr>
          <w:rStyle w:val="afa"/>
          <w:rFonts w:hint="cs"/>
          <w:rtl/>
        </w:rPr>
        <w:t>[</w:t>
      </w:r>
      <w:r w:rsidRPr="00D47CE7">
        <w:rPr>
          <w:rStyle w:val="affa"/>
          <w:rtl/>
        </w:rPr>
        <w:t>חכמי האחרונים</w:t>
      </w:r>
      <w:r w:rsidRPr="00D47CE7">
        <w:rPr>
          <w:rStyle w:val="afa"/>
          <w:rFonts w:hint="cs"/>
          <w:rtl/>
        </w:rPr>
        <w:t>]</w:t>
      </w:r>
      <w:r w:rsidRPr="00D47CE7">
        <w:rPr>
          <w:rFonts w:hint="cs"/>
          <w:rtl/>
        </w:rPr>
        <w:t xml:space="preserve">, דהרי כל שאין רוב היתר כנגד האיסור, חשיב כגופו של איסור ולא כתערובת, </w:t>
      </w:r>
      <w:r w:rsidRPr="00D47CE7">
        <w:rPr>
          <w:rStyle w:val="afa"/>
          <w:rFonts w:hint="cs"/>
          <w:rtl/>
        </w:rPr>
        <w:t>[ובגוף האיסור התירה תורה בנבילה רק כשאינו ראוי לאכילה לגמרי],</w:t>
      </w:r>
      <w:r w:rsidRPr="00D47CE7">
        <w:rPr>
          <w:rFonts w:hint="cs"/>
          <w:rtl/>
        </w:rPr>
        <w:t xml:space="preserve"> והוסיף </w:t>
      </w:r>
      <w:r w:rsidRPr="00D47CE7">
        <w:rPr>
          <w:rStyle w:val="af8"/>
          <w:rFonts w:hint="cs"/>
          <w:rtl/>
        </w:rPr>
        <w:t>המאירי</w:t>
      </w:r>
      <w:r w:rsidRPr="00D47CE7">
        <w:rPr>
          <w:rFonts w:hint="cs"/>
          <w:rtl/>
        </w:rPr>
        <w:t xml:space="preserve"> דיתכן לומר דאף בתערובת שיש איסור בכזית בכדי אכילת פרס, אפש"ל דכל שהוא ראוי לאכילה אסור.</w:t>
      </w:r>
    </w:p>
    <w:p w:rsidR="007809D6" w:rsidRPr="00D47CE7" w:rsidRDefault="007809D6" w:rsidP="007809D6">
      <w:pPr>
        <w:pStyle w:val="a2"/>
        <w:rPr>
          <w:rtl/>
        </w:rPr>
      </w:pPr>
      <w:bookmarkStart w:id="8383" w:name="_Toc18228219"/>
      <w:bookmarkStart w:id="8384" w:name="_Toc18250750"/>
      <w:bookmarkStart w:id="8385" w:name="_Toc18266196"/>
      <w:bookmarkStart w:id="8386" w:name="_Toc18269100"/>
      <w:bookmarkStart w:id="8387" w:name="_Toc18323797"/>
      <w:bookmarkStart w:id="8388" w:name="_Toc18397369"/>
      <w:bookmarkStart w:id="8389" w:name="_Toc18404089"/>
      <w:bookmarkStart w:id="8390" w:name="_Toc18481509"/>
      <w:r w:rsidRPr="00D47CE7">
        <w:rPr>
          <w:rFonts w:hint="cs"/>
          <w:rtl/>
        </w:rPr>
        <w:t>קושית הרשב"א דהיאך מותר בקדירה דלאו בת יומא כשאין רוב בתבשיל כנגד כל האיסור</w:t>
      </w:r>
      <w:bookmarkEnd w:id="8383"/>
      <w:bookmarkEnd w:id="8384"/>
      <w:bookmarkEnd w:id="8385"/>
      <w:bookmarkEnd w:id="8386"/>
      <w:bookmarkEnd w:id="8387"/>
      <w:bookmarkEnd w:id="8388"/>
      <w:bookmarkEnd w:id="8389"/>
      <w:bookmarkEnd w:id="8390"/>
    </w:p>
    <w:p w:rsidR="007809D6" w:rsidRPr="00D47CE7" w:rsidRDefault="007809D6" w:rsidP="009F44AF">
      <w:pPr>
        <w:pStyle w:val="a"/>
        <w:rPr>
          <w:rtl/>
        </w:rPr>
      </w:pPr>
      <w:r w:rsidRPr="00D47CE7">
        <w:rPr>
          <w:rFonts w:hint="cs"/>
          <w:rtl/>
        </w:rPr>
        <w:t xml:space="preserve">והקשה </w:t>
      </w:r>
      <w:r w:rsidRPr="00D47CE7">
        <w:rPr>
          <w:rStyle w:val="af8"/>
          <w:rFonts w:hint="cs"/>
          <w:rtl/>
        </w:rPr>
        <w:t>הרשב"א בתוה"ב</w:t>
      </w:r>
      <w:r w:rsidRPr="00D47CE7">
        <w:rPr>
          <w:rFonts w:hint="cs"/>
          <w:rtl/>
        </w:rPr>
        <w:t xml:space="preserve"> דא"כ היאך אמרינן דקדירה שאינה בת יומא, אינה אוסרת את התבשיל כיון שנותנת טעם לפגם, והרי קיי"ל דקדירה שבלעה איסור, דמשערים כנגד כל הקדירה, ולא רק כנגד האיסור הבלוע, כיון שלא ידוע כמה נפלט מהאיסור, </w:t>
      </w:r>
      <w:r w:rsidRPr="00D47CE7">
        <w:rPr>
          <w:rStyle w:val="afa"/>
          <w:rFonts w:hint="cs"/>
          <w:rtl/>
        </w:rPr>
        <w:t xml:space="preserve">[כדכתב </w:t>
      </w:r>
      <w:r w:rsidRPr="00D47CE7">
        <w:rPr>
          <w:rStyle w:val="affa"/>
          <w:rFonts w:hint="cs"/>
          <w:rtl/>
        </w:rPr>
        <w:t xml:space="preserve">הרשב"א בתוה"ב </w:t>
      </w:r>
      <w:r w:rsidRPr="00D47CE7">
        <w:rPr>
          <w:rStyle w:val="aff6"/>
          <w:rFonts w:hint="cs"/>
          <w:rtl/>
        </w:rPr>
        <w:t xml:space="preserve">(ב"ד ש"א א: מדה"ס, הובא לעיל סימן ה' </w:t>
      </w:r>
      <w:r w:rsidRPr="007F3932">
        <w:rPr>
          <w:rStyle w:val="aff6"/>
          <w:rFonts w:hint="cs"/>
          <w:rtl/>
        </w:rPr>
        <w:t xml:space="preserve">אות </w:t>
      </w:r>
      <w:r w:rsidR="007F3932" w:rsidRPr="007F3932">
        <w:rPr>
          <w:rStyle w:val="aff6"/>
          <w:rtl/>
        </w:rPr>
        <w:fldChar w:fldCharType="begin"/>
      </w:r>
      <w:r w:rsidR="007F3932" w:rsidRPr="007F3932">
        <w:rPr>
          <w:rStyle w:val="aff6"/>
          <w:rtl/>
        </w:rPr>
        <w:instrText xml:space="preserve"> </w:instrText>
      </w:r>
      <w:r w:rsidR="007F3932" w:rsidRPr="007F3932">
        <w:rPr>
          <w:rStyle w:val="aff6"/>
          <w:rFonts w:hint="cs"/>
        </w:rPr>
        <w:instrText>REF</w:instrText>
      </w:r>
      <w:r w:rsidR="007F3932" w:rsidRPr="007F3932">
        <w:rPr>
          <w:rStyle w:val="aff6"/>
          <w:rFonts w:hint="cs"/>
          <w:rtl/>
        </w:rPr>
        <w:instrText xml:space="preserve"> _</w:instrText>
      </w:r>
      <w:r w:rsidR="007F3932" w:rsidRPr="007F3932">
        <w:rPr>
          <w:rStyle w:val="aff6"/>
          <w:rFonts w:hint="cs"/>
        </w:rPr>
        <w:instrText>Ref10490639 \r \h</w:instrText>
      </w:r>
      <w:r w:rsidR="007F3932" w:rsidRPr="007F3932">
        <w:rPr>
          <w:rStyle w:val="aff6"/>
          <w:rtl/>
        </w:rPr>
        <w:instrText xml:space="preserve"> </w:instrText>
      </w:r>
      <w:r w:rsidR="007F3932" w:rsidRPr="007F3932">
        <w:rPr>
          <w:rStyle w:val="aff6"/>
          <w:rtl/>
        </w:rPr>
      </w:r>
      <w:r w:rsidR="007F3932" w:rsidRPr="007F3932">
        <w:rPr>
          <w:rStyle w:val="aff6"/>
          <w:rtl/>
        </w:rPr>
        <w:fldChar w:fldCharType="separate"/>
      </w:r>
      <w:r w:rsidR="004D1C5B">
        <w:rPr>
          <w:rStyle w:val="aff6"/>
          <w:cs/>
        </w:rPr>
        <w:t>‎</w:t>
      </w:r>
      <w:r w:rsidR="004D1C5B">
        <w:rPr>
          <w:rStyle w:val="aff6"/>
          <w:rtl/>
        </w:rPr>
        <w:t>יג)</w:t>
      </w:r>
      <w:r w:rsidR="007F3932" w:rsidRPr="007F3932">
        <w:rPr>
          <w:rStyle w:val="aff6"/>
          <w:rtl/>
        </w:rPr>
        <w:fldChar w:fldCharType="end"/>
      </w:r>
      <w:r w:rsidRPr="00D47CE7">
        <w:rPr>
          <w:rStyle w:val="afa"/>
          <w:rFonts w:hint="cs"/>
          <w:rtl/>
        </w:rPr>
        <w:t xml:space="preserve">], </w:t>
      </w:r>
      <w:r w:rsidRPr="00D47CE7">
        <w:rPr>
          <w:rFonts w:hint="cs"/>
          <w:rtl/>
        </w:rPr>
        <w:t>וא"כ במקום שאין רוב בתבשיל, כנגד כל האיסור שהתבשל בקדירה א"א להתיר מדין נותן טעם לפגם, בקדירה שאינה בת יומא</w:t>
      </w:r>
      <w:r w:rsidRPr="00D47CE7">
        <w:rPr>
          <w:rStyle w:val="af0"/>
          <w:rtl/>
        </w:rPr>
        <w:footnoteReference w:id="24"/>
      </w:r>
      <w:r w:rsidRPr="00D47CE7">
        <w:rPr>
          <w:rFonts w:hint="cs"/>
          <w:rtl/>
        </w:rPr>
        <w:t>.</w:t>
      </w:r>
    </w:p>
    <w:p w:rsidR="007809D6" w:rsidRPr="00D47CE7" w:rsidRDefault="007809D6" w:rsidP="007809D6">
      <w:pPr>
        <w:pStyle w:val="a2"/>
        <w:rPr>
          <w:rtl/>
        </w:rPr>
      </w:pPr>
      <w:bookmarkStart w:id="8391" w:name="_Toc18228220"/>
      <w:bookmarkStart w:id="8392" w:name="_Toc18250751"/>
      <w:bookmarkStart w:id="8393" w:name="_Toc18266197"/>
      <w:bookmarkStart w:id="8394" w:name="_Toc18269101"/>
      <w:bookmarkStart w:id="8395" w:name="_Toc18323798"/>
      <w:bookmarkStart w:id="8396" w:name="_Toc18397370"/>
      <w:bookmarkStart w:id="8397" w:name="_Toc18404090"/>
      <w:bookmarkStart w:id="8398" w:name="_Toc18481510"/>
      <w:r w:rsidRPr="00D47CE7">
        <w:rPr>
          <w:rFonts w:hint="cs"/>
          <w:rtl/>
        </w:rPr>
        <w:lastRenderedPageBreak/>
        <w:t>תירוץ הרשב"א דבקדירה יש רק טעם איסור ואין ממשות ובטעם פגום בלא ממשות א"צ רוב</w:t>
      </w:r>
      <w:bookmarkEnd w:id="8391"/>
      <w:bookmarkEnd w:id="8392"/>
      <w:bookmarkEnd w:id="8393"/>
      <w:bookmarkEnd w:id="8394"/>
      <w:bookmarkEnd w:id="8395"/>
      <w:bookmarkEnd w:id="8396"/>
      <w:bookmarkEnd w:id="8397"/>
      <w:bookmarkEnd w:id="8398"/>
    </w:p>
    <w:p w:rsidR="007809D6" w:rsidRPr="00D47CE7" w:rsidRDefault="007809D6" w:rsidP="009F44AF">
      <w:pPr>
        <w:pStyle w:val="a"/>
        <w:rPr>
          <w:rtl/>
        </w:rPr>
      </w:pPr>
      <w:bookmarkStart w:id="8399" w:name="_Ref18228971"/>
      <w:bookmarkStart w:id="8400" w:name="_Ref19611146"/>
      <w:r w:rsidRPr="00D47CE7">
        <w:rPr>
          <w:rFonts w:hint="cs"/>
          <w:rtl/>
        </w:rPr>
        <w:t xml:space="preserve">ותירץ </w:t>
      </w:r>
      <w:r w:rsidRPr="00D47CE7">
        <w:rPr>
          <w:rStyle w:val="af8"/>
          <w:rFonts w:hint="cs"/>
          <w:rtl/>
        </w:rPr>
        <w:t>הרשב"א בתוה"ב</w:t>
      </w:r>
      <w:r w:rsidRPr="00D47CE7">
        <w:rPr>
          <w:rFonts w:hint="cs"/>
          <w:rtl/>
        </w:rPr>
        <w:t xml:space="preserve"> דכיון שאין בקדירה את ממשות האיסור, ויש בה רק את טעמו, מותר אף במקום שאין רוב כנגד האיסור, דכל האיסור בטעם כעיקר בתערובת, הוא דוקא במקום שיש הנאה בנתינת הטעם, אבל בטעם שפוגם ואין בו ממשות, אין איסור אף בפחות מרוב</w:t>
      </w:r>
      <w:r w:rsidRPr="00D47CE7">
        <w:rPr>
          <w:rStyle w:val="af0"/>
          <w:rtl/>
        </w:rPr>
        <w:footnoteReference w:id="25"/>
      </w:r>
      <w:r w:rsidRPr="00D47CE7">
        <w:rPr>
          <w:rFonts w:hint="cs"/>
          <w:rtl/>
        </w:rPr>
        <w:t xml:space="preserve">. </w:t>
      </w:r>
      <w:r w:rsidRPr="00D47CE7">
        <w:rPr>
          <w:rStyle w:val="afa"/>
          <w:rFonts w:hint="cs"/>
          <w:rtl/>
        </w:rPr>
        <w:t xml:space="preserve">[והוסיף </w:t>
      </w:r>
      <w:r w:rsidRPr="00D47CE7">
        <w:rPr>
          <w:rStyle w:val="affa"/>
          <w:rFonts w:hint="cs"/>
          <w:rtl/>
        </w:rPr>
        <w:t>הרשב"א בתוה"ב הקצר</w:t>
      </w:r>
      <w:r w:rsidRPr="00D47CE7">
        <w:rPr>
          <w:rStyle w:val="afa"/>
          <w:rFonts w:hint="cs"/>
          <w:rtl/>
        </w:rPr>
        <w:t xml:space="preserve"> </w:t>
      </w:r>
      <w:r w:rsidRPr="00D47CE7">
        <w:rPr>
          <w:rStyle w:val="aff6"/>
          <w:rFonts w:hint="cs"/>
          <w:rtl/>
        </w:rPr>
        <w:t>(ב"ד ש"א טו: מדה"ס)</w:t>
      </w:r>
      <w:r w:rsidRPr="00D47CE7">
        <w:rPr>
          <w:rStyle w:val="afa"/>
          <w:rFonts w:hint="cs"/>
          <w:rtl/>
        </w:rPr>
        <w:t xml:space="preserve"> דהא דמשערים בכל הקדירה, ולא רק כנגד הבלוע, הוא חומרא שהחמירו רבנן, דהרי ודאי שהקדירה לא פולטת כמידת כל הקדירה, דהרי הפליטה שלה אינה ממלאה את כולה].</w:t>
      </w:r>
      <w:bookmarkEnd w:id="8399"/>
      <w:r w:rsidRPr="00D47CE7">
        <w:rPr>
          <w:rStyle w:val="afa"/>
          <w:rFonts w:hint="cs"/>
          <w:rtl/>
        </w:rPr>
        <w:t xml:space="preserve"> </w:t>
      </w:r>
      <w:r w:rsidRPr="00D47CE7">
        <w:rPr>
          <w:rFonts w:hint="cs"/>
          <w:rtl/>
        </w:rPr>
        <w:t xml:space="preserve">[ועי' במה שדחה </w:t>
      </w:r>
      <w:r w:rsidRPr="00D47CE7">
        <w:rPr>
          <w:rStyle w:val="af8"/>
          <w:rFonts w:hint="cs"/>
          <w:rtl/>
        </w:rPr>
        <w:t xml:space="preserve">הרא"ה בבד"ה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Ref18230657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פא)</w:t>
      </w:r>
      <w:r w:rsidRPr="00D47CE7">
        <w:rPr>
          <w:rStyle w:val="af6"/>
          <w:rFonts w:eastAsia="Guttman Hodes"/>
          <w:rtl/>
        </w:rPr>
        <w:fldChar w:fldCharType="end"/>
      </w:r>
      <w:r w:rsidRPr="00D47CE7">
        <w:rPr>
          <w:rStyle w:val="af8"/>
          <w:rFonts w:hint="cs"/>
          <w:rtl/>
        </w:rPr>
        <w:t xml:space="preserve"> </w:t>
      </w:r>
      <w:r w:rsidRPr="00D47CE7">
        <w:rPr>
          <w:rFonts w:hint="cs"/>
          <w:rtl/>
        </w:rPr>
        <w:t>את דברי</w:t>
      </w:r>
      <w:r w:rsidRPr="00D47CE7">
        <w:rPr>
          <w:rStyle w:val="af8"/>
          <w:rFonts w:hint="cs"/>
          <w:rtl/>
        </w:rPr>
        <w:t xml:space="preserve"> הרשב"א</w:t>
      </w:r>
      <w:r>
        <w:rPr>
          <w:rFonts w:hint="cs"/>
          <w:rtl/>
        </w:rPr>
        <w:t xml:space="preserve">, ובמה שביאר </w:t>
      </w:r>
      <w:r w:rsidRPr="00DB083A">
        <w:rPr>
          <w:rStyle w:val="af8"/>
          <w:rFonts w:hint="cs"/>
          <w:rtl/>
        </w:rPr>
        <w:t>הפרי תואר</w:t>
      </w:r>
      <w:r>
        <w:rPr>
          <w:rFonts w:hint="cs"/>
          <w:rtl/>
        </w:rPr>
        <w:t xml:space="preserve"> </w:t>
      </w:r>
      <w:r w:rsidRPr="00DB083A">
        <w:rPr>
          <w:rStyle w:val="af6"/>
          <w:rFonts w:eastAsia="Guttman Hodes" w:hint="cs"/>
          <w:rtl/>
        </w:rPr>
        <w:t xml:space="preserve">(עי' אות </w:t>
      </w:r>
      <w:r w:rsidRPr="00DB083A">
        <w:rPr>
          <w:rStyle w:val="af6"/>
          <w:rFonts w:eastAsia="Guttman Hodes"/>
          <w:rtl/>
        </w:rPr>
        <w:fldChar w:fldCharType="begin"/>
      </w:r>
      <w:r w:rsidRPr="00DB083A">
        <w:rPr>
          <w:rStyle w:val="af6"/>
          <w:rFonts w:eastAsia="Guttman Hodes"/>
          <w:rtl/>
        </w:rPr>
        <w:instrText xml:space="preserve"> </w:instrText>
      </w:r>
      <w:r w:rsidRPr="00DB083A">
        <w:rPr>
          <w:rStyle w:val="af6"/>
          <w:rFonts w:eastAsia="Guttman Hodes" w:hint="cs"/>
        </w:rPr>
        <w:instrText>REF</w:instrText>
      </w:r>
      <w:r w:rsidRPr="00DB083A">
        <w:rPr>
          <w:rStyle w:val="af6"/>
          <w:rFonts w:eastAsia="Guttman Hodes" w:hint="cs"/>
          <w:rtl/>
        </w:rPr>
        <w:instrText xml:space="preserve"> _</w:instrText>
      </w:r>
      <w:r w:rsidRPr="00DB083A">
        <w:rPr>
          <w:rStyle w:val="af6"/>
          <w:rFonts w:eastAsia="Guttman Hodes" w:hint="cs"/>
        </w:rPr>
        <w:instrText>Ref19611347 \r \h</w:instrText>
      </w:r>
      <w:r w:rsidRPr="00DB083A">
        <w:rPr>
          <w:rStyle w:val="af6"/>
          <w:rFonts w:eastAsia="Guttman Hodes"/>
          <w:rtl/>
        </w:rPr>
        <w:instrText xml:space="preserve"> </w:instrText>
      </w:r>
      <w:r w:rsidRPr="00DB083A">
        <w:rPr>
          <w:rStyle w:val="af6"/>
          <w:rFonts w:eastAsia="Guttman Hodes"/>
          <w:rtl/>
        </w:rPr>
      </w:r>
      <w:r w:rsidRPr="00DB083A">
        <w:rPr>
          <w:rStyle w:val="af6"/>
          <w:rFonts w:eastAsia="Guttman Hodes"/>
          <w:rtl/>
        </w:rPr>
        <w:fldChar w:fldCharType="separate"/>
      </w:r>
      <w:r w:rsidR="004D1C5B">
        <w:rPr>
          <w:rStyle w:val="af6"/>
          <w:rFonts w:eastAsia="Guttman Hodes"/>
          <w:cs/>
        </w:rPr>
        <w:t>‎</w:t>
      </w:r>
      <w:r w:rsidR="004D1C5B">
        <w:rPr>
          <w:rStyle w:val="af6"/>
          <w:rFonts w:eastAsia="Guttman Hodes"/>
          <w:rtl/>
        </w:rPr>
        <w:t>מ)</w:t>
      </w:r>
      <w:r w:rsidRPr="00DB083A">
        <w:rPr>
          <w:rStyle w:val="af6"/>
          <w:rFonts w:eastAsia="Guttman Hodes"/>
          <w:rtl/>
        </w:rPr>
        <w:fldChar w:fldCharType="end"/>
      </w:r>
      <w:r>
        <w:rPr>
          <w:rFonts w:hint="cs"/>
          <w:rtl/>
        </w:rPr>
        <w:t xml:space="preserve"> בדברי </w:t>
      </w:r>
      <w:r w:rsidRPr="00DB083A">
        <w:rPr>
          <w:rStyle w:val="af8"/>
          <w:rFonts w:hint="cs"/>
          <w:rtl/>
        </w:rPr>
        <w:t>הרשב"א</w:t>
      </w:r>
      <w:r w:rsidRPr="00D47CE7">
        <w:rPr>
          <w:rFonts w:hint="cs"/>
          <w:rtl/>
        </w:rPr>
        <w:t>].</w:t>
      </w:r>
      <w:bookmarkEnd w:id="8400"/>
    </w:p>
    <w:p w:rsidR="007809D6" w:rsidRPr="00D47CE7" w:rsidRDefault="007809D6" w:rsidP="007809D6">
      <w:pPr>
        <w:pStyle w:val="1"/>
        <w:rPr>
          <w:rtl/>
        </w:rPr>
      </w:pPr>
      <w:bookmarkStart w:id="8401" w:name="_Toc17624846"/>
      <w:bookmarkStart w:id="8402" w:name="_Toc17889794"/>
      <w:bookmarkStart w:id="8403" w:name="_Toc17975416"/>
      <w:bookmarkStart w:id="8404" w:name="_Toc17984096"/>
      <w:bookmarkStart w:id="8405" w:name="_Toc18228221"/>
      <w:bookmarkStart w:id="8406" w:name="_Toc18250752"/>
      <w:bookmarkStart w:id="8407" w:name="_Toc18266198"/>
      <w:bookmarkStart w:id="8408" w:name="_Toc18269102"/>
      <w:bookmarkStart w:id="8409" w:name="_Toc18323799"/>
      <w:bookmarkStart w:id="8410" w:name="_Toc18397371"/>
      <w:bookmarkStart w:id="8411" w:name="_Toc18404091"/>
      <w:bookmarkStart w:id="8412" w:name="_Toc18481511"/>
      <w:bookmarkStart w:id="8413" w:name="_Toc17984101"/>
      <w:r w:rsidRPr="00D47CE7">
        <w:rPr>
          <w:rFonts w:hint="cs"/>
          <w:rtl/>
        </w:rPr>
        <w:t xml:space="preserve">ביאור הרשב"א </w:t>
      </w:r>
      <w:bookmarkEnd w:id="8401"/>
      <w:bookmarkEnd w:id="8402"/>
      <w:bookmarkEnd w:id="8403"/>
      <w:r w:rsidRPr="00D47CE7">
        <w:rPr>
          <w:rFonts w:hint="cs"/>
          <w:rtl/>
        </w:rPr>
        <w:t>דאיסור בתערובת אסור בטע"כ וטעם פגום מותר</w:t>
      </w:r>
      <w:bookmarkEnd w:id="8404"/>
      <w:bookmarkEnd w:id="8405"/>
      <w:bookmarkEnd w:id="8406"/>
      <w:bookmarkEnd w:id="8407"/>
      <w:bookmarkEnd w:id="8408"/>
      <w:bookmarkEnd w:id="8409"/>
      <w:bookmarkEnd w:id="8410"/>
      <w:bookmarkEnd w:id="8411"/>
      <w:bookmarkEnd w:id="8412"/>
    </w:p>
    <w:p w:rsidR="007809D6" w:rsidRPr="00D47CE7" w:rsidRDefault="007809D6" w:rsidP="007809D6">
      <w:pPr>
        <w:pStyle w:val="a2"/>
        <w:rPr>
          <w:rtl/>
        </w:rPr>
      </w:pPr>
      <w:bookmarkStart w:id="8414" w:name="_Toc17984097"/>
      <w:bookmarkStart w:id="8415" w:name="_Toc18228222"/>
      <w:bookmarkStart w:id="8416" w:name="_Toc18250753"/>
      <w:bookmarkStart w:id="8417" w:name="_Toc18266199"/>
      <w:bookmarkStart w:id="8418" w:name="_Toc18269103"/>
      <w:bookmarkStart w:id="8419" w:name="_Toc18323800"/>
      <w:bookmarkStart w:id="8420" w:name="_Toc18397372"/>
      <w:bookmarkStart w:id="8421" w:name="_Toc18404092"/>
      <w:bookmarkStart w:id="8422" w:name="_Toc18481512"/>
      <w:r w:rsidRPr="00D47CE7">
        <w:rPr>
          <w:rFonts w:hint="cs"/>
          <w:rtl/>
        </w:rPr>
        <w:t>קושית הרשב"א היאך איסור שמאוס מעיקרו מותר כשפגם את התערובת</w:t>
      </w:r>
      <w:bookmarkEnd w:id="8414"/>
      <w:bookmarkEnd w:id="8415"/>
      <w:bookmarkEnd w:id="8416"/>
      <w:bookmarkEnd w:id="8417"/>
      <w:bookmarkEnd w:id="8418"/>
      <w:bookmarkEnd w:id="8419"/>
      <w:bookmarkEnd w:id="8420"/>
      <w:bookmarkEnd w:id="8421"/>
      <w:bookmarkEnd w:id="8422"/>
    </w:p>
    <w:p w:rsidR="007809D6" w:rsidRPr="00D47CE7" w:rsidRDefault="007809D6" w:rsidP="009F44AF">
      <w:pPr>
        <w:pStyle w:val="a"/>
        <w:rPr>
          <w:rStyle w:val="afa"/>
          <w:rtl/>
        </w:rPr>
      </w:pPr>
      <w:bookmarkStart w:id="8423" w:name="_Ref16848044"/>
      <w:r w:rsidRPr="00D47CE7">
        <w:rPr>
          <w:rFonts w:hint="cs"/>
          <w:rtl/>
        </w:rPr>
        <w:t xml:space="preserve">וע"ע במה שהקשה </w:t>
      </w:r>
      <w:r w:rsidRPr="00D47CE7">
        <w:rPr>
          <w:rStyle w:val="af8"/>
          <w:rFonts w:hint="cs"/>
          <w:rtl/>
        </w:rPr>
        <w:t xml:space="preserve">הרשב"א בתוה"ב </w:t>
      </w:r>
      <w:r w:rsidRPr="00D47CE7">
        <w:rPr>
          <w:rStyle w:val="af6"/>
          <w:rFonts w:eastAsia="Guttman Hodes" w:hint="cs"/>
          <w:rtl/>
        </w:rPr>
        <w:t>(ב"ד ש"א כ: מדה"ס)</w:t>
      </w:r>
      <w:r w:rsidRPr="00D47CE7">
        <w:rPr>
          <w:rFonts w:hint="cs"/>
          <w:rtl/>
        </w:rPr>
        <w:t xml:space="preserve"> בדין עכברא בשיכרא, דהאיך אפשר להתיר איסור מאוס מעיקרו, </w:t>
      </w:r>
      <w:r w:rsidRPr="00D47CE7">
        <w:rPr>
          <w:rStyle w:val="afa"/>
          <w:rFonts w:hint="cs"/>
          <w:rtl/>
        </w:rPr>
        <w:t>[כעכברים וזבובין ויתושין],</w:t>
      </w:r>
      <w:r w:rsidRPr="00D47CE7">
        <w:rPr>
          <w:rFonts w:hint="cs"/>
          <w:rtl/>
        </w:rPr>
        <w:t xml:space="preserve"> שהתערב בתערובת ופגם אותה, מדין נותן טעם לפגם, והא אם יש בתערובת כזית בכדי אכילת פרס מהאיסור, א"כ הוא טועם את האיסור בעצמו, והאיסור באיסור זה הוא אף במאוס, ואמאי מותר לאוכלו בתוך התערובת כיון שפגם אותה, ורק באיסור שהיה משובח מתחילתו, וכשהתערב בתערובת השתנה משבח לפגם, אפשר להתירו מדין נותן טעם לפגם, דהא איסורו הוא כשהוא משובח ולא כשהוא פגום. </w:t>
      </w:r>
      <w:r w:rsidRPr="00D47CE7">
        <w:rPr>
          <w:rStyle w:val="afa"/>
          <w:rFonts w:hint="cs"/>
          <w:rtl/>
        </w:rPr>
        <w:t xml:space="preserve">[ועי' במה שביאר </w:t>
      </w:r>
      <w:r w:rsidRPr="00D47CE7">
        <w:rPr>
          <w:rStyle w:val="affa"/>
          <w:rFonts w:hint="cs"/>
          <w:rtl/>
        </w:rPr>
        <w:t>היד יהודה</w:t>
      </w:r>
      <w:r w:rsidRPr="00D47CE7">
        <w:rPr>
          <w:rStyle w:val="afa"/>
          <w:rFonts w:hint="cs"/>
          <w:rtl/>
        </w:rPr>
        <w:t xml:space="preserve"> </w:t>
      </w:r>
      <w:r w:rsidRPr="00D47CE7">
        <w:rPr>
          <w:rStyle w:val="aff6"/>
          <w:rFonts w:hint="cs"/>
          <w:rtl/>
        </w:rPr>
        <w:t xml:space="preserve">(עי' הערה </w:t>
      </w:r>
      <w:r w:rsidRPr="00D47CE7">
        <w:rPr>
          <w:rStyle w:val="aff6"/>
          <w:rtl/>
        </w:rPr>
        <w:fldChar w:fldCharType="begin"/>
      </w:r>
      <w:r w:rsidRPr="00D47CE7">
        <w:rPr>
          <w:rStyle w:val="aff6"/>
          <w:rtl/>
        </w:rPr>
        <w:instrText xml:space="preserve"> </w:instrText>
      </w:r>
      <w:r w:rsidRPr="00D47CE7">
        <w:rPr>
          <w:rStyle w:val="aff6"/>
          <w:rFonts w:hint="cs"/>
        </w:rPr>
        <w:instrText>NOTEREF</w:instrText>
      </w:r>
      <w:r w:rsidRPr="00D47CE7">
        <w:rPr>
          <w:rStyle w:val="aff6"/>
          <w:rFonts w:hint="cs"/>
          <w:rtl/>
        </w:rPr>
        <w:instrText xml:space="preserve"> _</w:instrText>
      </w:r>
      <w:r w:rsidRPr="00D47CE7">
        <w:rPr>
          <w:rStyle w:val="aff6"/>
          <w:rFonts w:hint="cs"/>
        </w:rPr>
        <w:instrText>Ref18269239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rtl/>
        </w:rPr>
        <w:t>26</w:t>
      </w:r>
      <w:r w:rsidRPr="00D47CE7">
        <w:rPr>
          <w:rStyle w:val="aff6"/>
          <w:rtl/>
        </w:rPr>
        <w:fldChar w:fldCharType="end"/>
      </w:r>
      <w:r w:rsidRPr="00D47CE7">
        <w:rPr>
          <w:rStyle w:val="aff6"/>
          <w:rFonts w:hint="cs"/>
          <w:rtl/>
        </w:rPr>
        <w:t>)</w:t>
      </w:r>
      <w:r w:rsidRPr="00D47CE7">
        <w:rPr>
          <w:rStyle w:val="afa"/>
          <w:rFonts w:hint="cs"/>
          <w:rtl/>
        </w:rPr>
        <w:t xml:space="preserve"> בקושית </w:t>
      </w:r>
      <w:r w:rsidRPr="00D47CE7">
        <w:rPr>
          <w:rStyle w:val="affa"/>
          <w:rFonts w:hint="cs"/>
          <w:rtl/>
        </w:rPr>
        <w:t>הרשב"א</w:t>
      </w:r>
      <w:r w:rsidRPr="00D47CE7">
        <w:rPr>
          <w:rStyle w:val="afa"/>
          <w:rFonts w:hint="cs"/>
          <w:rtl/>
        </w:rPr>
        <w:t>].</w:t>
      </w:r>
      <w:bookmarkEnd w:id="8423"/>
    </w:p>
    <w:p w:rsidR="007809D6" w:rsidRPr="00D47CE7" w:rsidRDefault="007809D6" w:rsidP="007809D6">
      <w:pPr>
        <w:pStyle w:val="a2"/>
        <w:rPr>
          <w:rtl/>
        </w:rPr>
      </w:pPr>
      <w:bookmarkStart w:id="8424" w:name="_Toc17984098"/>
      <w:bookmarkStart w:id="8425" w:name="_Toc18228223"/>
      <w:bookmarkStart w:id="8426" w:name="_Toc18250754"/>
      <w:bookmarkStart w:id="8427" w:name="_Toc18266200"/>
      <w:bookmarkStart w:id="8428" w:name="_Toc18269104"/>
      <w:bookmarkStart w:id="8429" w:name="_Toc18323801"/>
      <w:bookmarkStart w:id="8430" w:name="_Toc18397373"/>
      <w:bookmarkStart w:id="8431" w:name="_Toc18404093"/>
      <w:bookmarkStart w:id="8432" w:name="_Toc18481513"/>
      <w:r w:rsidRPr="00D47CE7">
        <w:rPr>
          <w:rFonts w:hint="cs"/>
          <w:rtl/>
        </w:rPr>
        <w:t>ביאור הרשב"א דאיסור מאוס רק בפנ"ע אסור כשהוא פגום אבל בתערובת איסורו תלוי בטעמו</w:t>
      </w:r>
      <w:bookmarkEnd w:id="8424"/>
      <w:bookmarkEnd w:id="8425"/>
      <w:bookmarkEnd w:id="8426"/>
      <w:bookmarkEnd w:id="8427"/>
      <w:bookmarkEnd w:id="8428"/>
      <w:bookmarkEnd w:id="8429"/>
      <w:bookmarkEnd w:id="8430"/>
      <w:bookmarkEnd w:id="8431"/>
      <w:bookmarkEnd w:id="8432"/>
    </w:p>
    <w:p w:rsidR="007809D6" w:rsidRPr="00D47CE7" w:rsidRDefault="007809D6" w:rsidP="009F44AF">
      <w:pPr>
        <w:pStyle w:val="a"/>
        <w:rPr>
          <w:sz w:val="10"/>
          <w:szCs w:val="14"/>
          <w:rtl/>
        </w:rPr>
      </w:pPr>
      <w:bookmarkStart w:id="8433" w:name="_Ref18227824"/>
      <w:bookmarkStart w:id="8434" w:name="_Ref16848035"/>
      <w:r w:rsidRPr="00D47CE7">
        <w:rPr>
          <w:rFonts w:hint="cs"/>
          <w:rtl/>
        </w:rPr>
        <w:t xml:space="preserve">ותירץ </w:t>
      </w:r>
      <w:r w:rsidRPr="00D47CE7">
        <w:rPr>
          <w:rStyle w:val="af8"/>
          <w:rFonts w:hint="cs"/>
          <w:rtl/>
        </w:rPr>
        <w:t xml:space="preserve">הרשב"א בתוה"ב </w:t>
      </w:r>
      <w:r w:rsidRPr="00D47CE7">
        <w:rPr>
          <w:rFonts w:hint="cs"/>
          <w:rtl/>
        </w:rPr>
        <w:t>דהא דאסרתו תורה כשהוא מאוס, היינו דוקא בפנ"ע, אבל כשהתערב בהיתר אזלינן בתר נתינת טעם, ואיסורו אינו מחמת עצמו, אלא ע"י הטעם שנותן בתערובת, ולכן כל שנתן בתערובת טעם פגום, לא חשיב נותן טעם, אלא הוא פוגמה ומותר</w:t>
      </w:r>
      <w:bookmarkEnd w:id="8433"/>
      <w:r>
        <w:rPr>
          <w:rFonts w:hint="cs"/>
          <w:rtl/>
        </w:rPr>
        <w:t>,</w:t>
      </w:r>
      <w:r w:rsidRPr="006972FE">
        <w:rPr>
          <w:rFonts w:hint="cs"/>
          <w:rtl/>
        </w:rPr>
        <w:t xml:space="preserve"> </w:t>
      </w:r>
      <w:r w:rsidRPr="00D47CE7">
        <w:rPr>
          <w:rFonts w:hint="cs"/>
          <w:rtl/>
        </w:rPr>
        <w:t xml:space="preserve">וציין </w:t>
      </w:r>
      <w:r w:rsidRPr="00D47CE7">
        <w:rPr>
          <w:rStyle w:val="af8"/>
          <w:rFonts w:hint="cs"/>
          <w:rtl/>
        </w:rPr>
        <w:t>הרשב"א בתוה"ב</w:t>
      </w:r>
      <w:r w:rsidRPr="00D47CE7">
        <w:rPr>
          <w:rFonts w:hint="cs"/>
          <w:rtl/>
        </w:rPr>
        <w:t xml:space="preserve"> למה שביאר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Ref16157154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D47CE7">
        <w:rPr>
          <w:rStyle w:val="af6"/>
          <w:rFonts w:eastAsia="Guttman Hodes"/>
          <w:rtl/>
        </w:rPr>
        <w:fldChar w:fldCharType="end"/>
      </w:r>
      <w:r w:rsidRPr="00D47CE7">
        <w:rPr>
          <w:rFonts w:hint="cs"/>
          <w:rtl/>
        </w:rPr>
        <w:t xml:space="preserve"> </w:t>
      </w:r>
      <w:r>
        <w:rPr>
          <w:rFonts w:hint="cs"/>
          <w:rtl/>
        </w:rPr>
        <w:t>ד</w:t>
      </w:r>
      <w:r w:rsidRPr="00D47CE7">
        <w:rPr>
          <w:rFonts w:hint="cs"/>
          <w:rtl/>
        </w:rPr>
        <w:t>שאר איסורין מותרים בנותן טעם לפגם</w:t>
      </w:r>
      <w:r>
        <w:rPr>
          <w:rFonts w:hint="cs"/>
          <w:rtl/>
        </w:rPr>
        <w:t xml:space="preserve"> בתערובת</w:t>
      </w:r>
      <w:r w:rsidRPr="00D47CE7">
        <w:rPr>
          <w:rFonts w:hint="cs"/>
          <w:rtl/>
        </w:rPr>
        <w:t xml:space="preserve">, אף כשנפגמו קצת והם ראויים לגר, </w:t>
      </w:r>
      <w:r>
        <w:rPr>
          <w:rFonts w:hint="cs"/>
          <w:rtl/>
        </w:rPr>
        <w:t>ו</w:t>
      </w:r>
      <w:r w:rsidRPr="00D47CE7">
        <w:rPr>
          <w:rFonts w:hint="cs"/>
          <w:rtl/>
        </w:rPr>
        <w:t>אעפ"י ש</w:t>
      </w:r>
      <w:r>
        <w:rPr>
          <w:rFonts w:hint="cs"/>
          <w:rtl/>
        </w:rPr>
        <w:t>כשהם</w:t>
      </w:r>
      <w:r w:rsidRPr="00D47CE7">
        <w:rPr>
          <w:rFonts w:hint="cs"/>
          <w:rtl/>
        </w:rPr>
        <w:t xml:space="preserve"> בפנ"ע אסור</w:t>
      </w:r>
      <w:r>
        <w:rPr>
          <w:rFonts w:hint="cs"/>
          <w:rtl/>
        </w:rPr>
        <w:t>ים כל שראויים לגר</w:t>
      </w:r>
      <w:r w:rsidRPr="00D47CE7">
        <w:rPr>
          <w:rFonts w:hint="cs"/>
          <w:rtl/>
        </w:rPr>
        <w:t xml:space="preserve">, ועי' במה שדחה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Ref17984155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D47CE7">
        <w:rPr>
          <w:rStyle w:val="af6"/>
          <w:rFonts w:eastAsia="Guttman Hodes"/>
          <w:rtl/>
        </w:rPr>
        <w:fldChar w:fldCharType="end"/>
      </w:r>
      <w:r w:rsidRPr="00D47CE7">
        <w:rPr>
          <w:rFonts w:hint="cs"/>
          <w:rtl/>
        </w:rPr>
        <w:t xml:space="preserve"> את דברי </w:t>
      </w:r>
      <w:r w:rsidRPr="00D47CE7">
        <w:rPr>
          <w:rStyle w:val="af8"/>
          <w:rFonts w:hint="cs"/>
          <w:rtl/>
        </w:rPr>
        <w:t xml:space="preserve">הרשב"א. </w:t>
      </w:r>
      <w:r w:rsidRPr="00D47CE7">
        <w:rPr>
          <w:rStyle w:val="afa"/>
          <w:rFonts w:hint="cs"/>
          <w:rtl/>
        </w:rPr>
        <w:t xml:space="preserve">[ועי' במה שביאר </w:t>
      </w:r>
      <w:r w:rsidRPr="00D47CE7">
        <w:rPr>
          <w:rStyle w:val="affa"/>
          <w:rFonts w:hint="cs"/>
          <w:rtl/>
        </w:rPr>
        <w:t>היד יהודה</w:t>
      </w:r>
      <w:r w:rsidRPr="00D47CE7">
        <w:rPr>
          <w:rStyle w:val="afa"/>
          <w:rFonts w:hint="cs"/>
          <w:rtl/>
        </w:rPr>
        <w:t xml:space="preserve"> </w:t>
      </w:r>
      <w:r w:rsidRPr="00D47CE7">
        <w:rPr>
          <w:rStyle w:val="aff6"/>
          <w:rFonts w:hint="cs"/>
          <w:rtl/>
        </w:rPr>
        <w:t xml:space="preserve">(עי' הערה </w:t>
      </w:r>
      <w:r w:rsidRPr="00D47CE7">
        <w:rPr>
          <w:rStyle w:val="aff6"/>
          <w:rtl/>
        </w:rPr>
        <w:fldChar w:fldCharType="begin"/>
      </w:r>
      <w:r w:rsidRPr="00D47CE7">
        <w:rPr>
          <w:rStyle w:val="aff6"/>
          <w:rtl/>
        </w:rPr>
        <w:instrText xml:space="preserve"> </w:instrText>
      </w:r>
      <w:r w:rsidRPr="00D47CE7">
        <w:rPr>
          <w:rStyle w:val="aff6"/>
          <w:rFonts w:hint="cs"/>
        </w:rPr>
        <w:instrText>NOTEREF</w:instrText>
      </w:r>
      <w:r w:rsidRPr="00D47CE7">
        <w:rPr>
          <w:rStyle w:val="aff6"/>
          <w:rFonts w:hint="cs"/>
          <w:rtl/>
        </w:rPr>
        <w:instrText xml:space="preserve"> _</w:instrText>
      </w:r>
      <w:r w:rsidRPr="00D47CE7">
        <w:rPr>
          <w:rStyle w:val="aff6"/>
          <w:rFonts w:hint="cs"/>
        </w:rPr>
        <w:instrText>Ref18269239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rtl/>
        </w:rPr>
        <w:t>26</w:t>
      </w:r>
      <w:r w:rsidRPr="00D47CE7">
        <w:rPr>
          <w:rStyle w:val="aff6"/>
          <w:rtl/>
        </w:rPr>
        <w:fldChar w:fldCharType="end"/>
      </w:r>
      <w:r w:rsidRPr="00D47CE7">
        <w:rPr>
          <w:rStyle w:val="aff6"/>
          <w:rFonts w:hint="cs"/>
          <w:rtl/>
        </w:rPr>
        <w:t>)</w:t>
      </w:r>
      <w:r w:rsidRPr="00D47CE7">
        <w:rPr>
          <w:rStyle w:val="afa"/>
          <w:rFonts w:hint="cs"/>
          <w:rtl/>
        </w:rPr>
        <w:t xml:space="preserve"> בתירוץ </w:t>
      </w:r>
      <w:r w:rsidRPr="00D47CE7">
        <w:rPr>
          <w:rStyle w:val="affa"/>
          <w:rFonts w:hint="cs"/>
          <w:rtl/>
        </w:rPr>
        <w:t>הרשב"א</w:t>
      </w:r>
      <w:r w:rsidRPr="00D47CE7">
        <w:rPr>
          <w:rStyle w:val="afa"/>
          <w:rFonts w:hint="cs"/>
          <w:rtl/>
        </w:rPr>
        <w:t>].</w:t>
      </w:r>
    </w:p>
    <w:p w:rsidR="007809D6" w:rsidRPr="00D47CE7" w:rsidRDefault="007809D6" w:rsidP="007809D6">
      <w:pPr>
        <w:pStyle w:val="a2"/>
      </w:pPr>
      <w:bookmarkStart w:id="8435" w:name="_Toc17984099"/>
      <w:bookmarkStart w:id="8436" w:name="_Toc18228224"/>
      <w:bookmarkStart w:id="8437" w:name="_Toc18250755"/>
      <w:bookmarkStart w:id="8438" w:name="_Toc18266201"/>
      <w:bookmarkStart w:id="8439" w:name="_Toc18269105"/>
      <w:bookmarkStart w:id="8440" w:name="_Toc18323802"/>
      <w:bookmarkStart w:id="8441" w:name="_Toc18397374"/>
      <w:bookmarkStart w:id="8442" w:name="_Toc18404094"/>
      <w:bookmarkStart w:id="8443" w:name="_Toc18481514"/>
      <w:r w:rsidRPr="00D47CE7">
        <w:rPr>
          <w:rFonts w:hint="cs"/>
          <w:rtl/>
        </w:rPr>
        <w:t xml:space="preserve">דברי הרשב"א דאיסור </w:t>
      </w:r>
      <w:r>
        <w:rPr>
          <w:rFonts w:hint="cs"/>
          <w:rtl/>
        </w:rPr>
        <w:t xml:space="preserve">מאוס </w:t>
      </w:r>
      <w:r w:rsidRPr="00D47CE7">
        <w:rPr>
          <w:rFonts w:hint="cs"/>
          <w:rtl/>
        </w:rPr>
        <w:t xml:space="preserve">שהתערב בהיתר </w:t>
      </w:r>
      <w:bookmarkEnd w:id="8435"/>
      <w:bookmarkEnd w:id="8436"/>
      <w:bookmarkEnd w:id="8437"/>
      <w:bookmarkEnd w:id="8438"/>
      <w:bookmarkEnd w:id="8439"/>
      <w:bookmarkEnd w:id="8440"/>
      <w:bookmarkEnd w:id="8441"/>
      <w:bookmarkEnd w:id="8442"/>
      <w:bookmarkEnd w:id="8443"/>
      <w:r>
        <w:rPr>
          <w:rFonts w:hint="cs"/>
          <w:rtl/>
        </w:rPr>
        <w:t>מותר בנטל"פ רק כשיש רוב היתר כנגדו</w:t>
      </w:r>
    </w:p>
    <w:p w:rsidR="007809D6" w:rsidRPr="0081737A" w:rsidRDefault="007809D6" w:rsidP="009F44AF">
      <w:pPr>
        <w:pStyle w:val="a"/>
        <w:rPr>
          <w:sz w:val="10"/>
          <w:szCs w:val="14"/>
          <w:rtl/>
        </w:rPr>
      </w:pPr>
      <w:bookmarkStart w:id="8444" w:name="_Ref20068173"/>
      <w:bookmarkStart w:id="8445" w:name="_Ref20068656"/>
      <w:bookmarkEnd w:id="8434"/>
      <w:r>
        <w:rPr>
          <w:rFonts w:hint="cs"/>
          <w:rtl/>
        </w:rPr>
        <w:t xml:space="preserve">ועוד הקשה </w:t>
      </w:r>
      <w:r w:rsidRPr="00AB7C27">
        <w:rPr>
          <w:rStyle w:val="af8"/>
          <w:rFonts w:hint="cs"/>
          <w:rtl/>
        </w:rPr>
        <w:t>הרשב"א בתוה"ב</w:t>
      </w:r>
      <w:r>
        <w:rPr>
          <w:rFonts w:hint="cs"/>
          <w:rtl/>
        </w:rPr>
        <w:t xml:space="preserve"> </w:t>
      </w:r>
      <w:r w:rsidRPr="009641DD">
        <w:rPr>
          <w:rtl/>
        </w:rPr>
        <w:t xml:space="preserve">דהיאך אפשר להתיר נותן טעם לפגם באיסור מאוס, כשאין שישים כנגדו, ואף כשיש מהאיסור עצמו כזית בכדי אכילת פרס, והא אף שאינו אוסר את התערובת, מ"מ חשיב כאילו האיסור נמצא בעין, </w:t>
      </w:r>
      <w:r>
        <w:rPr>
          <w:rFonts w:hint="cs"/>
          <w:rtl/>
        </w:rPr>
        <w:t xml:space="preserve">וחשיב שנפל איסור מרובה לתוך מעט היתר, או שנפל היתר מועט שהוא משובח לתוך איסור פגום, דודאי דא"א לומר דהאיסור שמאוס מעיקרו, יהיה מותר כיון שהתערב בו היתר מועט שנפגם ע"י רוב האיסור, </w:t>
      </w:r>
      <w:r w:rsidRPr="00D47CE7">
        <w:rPr>
          <w:rStyle w:val="afa"/>
          <w:rFonts w:hint="cs"/>
          <w:rtl/>
        </w:rPr>
        <w:t xml:space="preserve">[ועי' במה שביאר </w:t>
      </w:r>
      <w:r w:rsidRPr="00D47CE7">
        <w:rPr>
          <w:rStyle w:val="affa"/>
          <w:rFonts w:hint="cs"/>
          <w:rtl/>
        </w:rPr>
        <w:t>היד יהודה</w:t>
      </w:r>
      <w:r w:rsidRPr="00D47CE7">
        <w:rPr>
          <w:rStyle w:val="afa"/>
          <w:rFonts w:hint="cs"/>
          <w:rtl/>
        </w:rPr>
        <w:t xml:space="preserve"> </w:t>
      </w:r>
      <w:r w:rsidRPr="00D47CE7">
        <w:rPr>
          <w:rStyle w:val="aff6"/>
          <w:rFonts w:hint="cs"/>
          <w:rtl/>
        </w:rPr>
        <w:t xml:space="preserve">(עי' הערה </w:t>
      </w:r>
      <w:r w:rsidRPr="00D47CE7">
        <w:rPr>
          <w:rStyle w:val="aff6"/>
          <w:rtl/>
        </w:rPr>
        <w:fldChar w:fldCharType="begin"/>
      </w:r>
      <w:r w:rsidRPr="00D47CE7">
        <w:rPr>
          <w:rStyle w:val="aff6"/>
          <w:rtl/>
        </w:rPr>
        <w:instrText xml:space="preserve"> </w:instrText>
      </w:r>
      <w:r w:rsidRPr="00D47CE7">
        <w:rPr>
          <w:rStyle w:val="aff6"/>
          <w:rFonts w:hint="cs"/>
        </w:rPr>
        <w:instrText>NOTEREF</w:instrText>
      </w:r>
      <w:r w:rsidRPr="00D47CE7">
        <w:rPr>
          <w:rStyle w:val="aff6"/>
          <w:rFonts w:hint="cs"/>
          <w:rtl/>
        </w:rPr>
        <w:instrText xml:space="preserve"> _</w:instrText>
      </w:r>
      <w:r w:rsidRPr="00D47CE7">
        <w:rPr>
          <w:rStyle w:val="aff6"/>
          <w:rFonts w:hint="cs"/>
        </w:rPr>
        <w:instrText>Ref18269239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rtl/>
        </w:rPr>
        <w:t>26</w:t>
      </w:r>
      <w:r w:rsidRPr="00D47CE7">
        <w:rPr>
          <w:rStyle w:val="aff6"/>
          <w:rtl/>
        </w:rPr>
        <w:fldChar w:fldCharType="end"/>
      </w:r>
      <w:r w:rsidRPr="00D47CE7">
        <w:rPr>
          <w:rStyle w:val="aff6"/>
          <w:rFonts w:hint="cs"/>
          <w:rtl/>
        </w:rPr>
        <w:t>)</w:t>
      </w:r>
      <w:r w:rsidRPr="00D47CE7">
        <w:rPr>
          <w:rStyle w:val="afa"/>
          <w:rFonts w:hint="cs"/>
          <w:rtl/>
        </w:rPr>
        <w:t xml:space="preserve"> בקושית </w:t>
      </w:r>
      <w:r w:rsidRPr="00D47CE7">
        <w:rPr>
          <w:rStyle w:val="affa"/>
          <w:rFonts w:hint="cs"/>
          <w:rtl/>
        </w:rPr>
        <w:t>הרשב"א</w:t>
      </w:r>
      <w:r w:rsidRPr="00D47CE7">
        <w:rPr>
          <w:rStyle w:val="afa"/>
          <w:rFonts w:hint="cs"/>
          <w:rtl/>
        </w:rPr>
        <w:t>]</w:t>
      </w:r>
      <w:r>
        <w:rPr>
          <w:rStyle w:val="afa"/>
          <w:rFonts w:hint="cs"/>
          <w:rtl/>
        </w:rPr>
        <w:t xml:space="preserve">, </w:t>
      </w:r>
      <w:r>
        <w:rPr>
          <w:rFonts w:hint="cs"/>
          <w:rtl/>
        </w:rPr>
        <w:t xml:space="preserve">ותירץ </w:t>
      </w:r>
      <w:r w:rsidRPr="00AB7C27">
        <w:rPr>
          <w:rStyle w:val="af8"/>
          <w:rFonts w:hint="cs"/>
          <w:rtl/>
        </w:rPr>
        <w:t>הרשב"א בתוה"ב</w:t>
      </w:r>
      <w:r>
        <w:rPr>
          <w:rFonts w:hint="cs"/>
          <w:rtl/>
        </w:rPr>
        <w:t xml:space="preserve"> דכל ההיתר בנותן טעם לפגם באיסור שמאוס מעיקרו, הוא דוקא כשיש רוב היתר, דבכה"ג האיסור מתבטל בתוך ההיתר, כדין רוב בכל התורה, ואף שהוא טועם את הטעם של האיסור והוא מורגש בהיתר, ועי"ז חשיב כאילו האיסור הוא בעין, וא"כ טעם האיסור המועט צריך לאסור את רוב ההיתר, אלא דכיון שהוא פוגם את ההיתר אינו אוסרו, וציין </w:t>
      </w:r>
      <w:r w:rsidRPr="00AB7C27">
        <w:rPr>
          <w:rStyle w:val="af8"/>
          <w:rFonts w:hint="cs"/>
          <w:rtl/>
        </w:rPr>
        <w:t>הרשב"א בתוה"ב</w:t>
      </w:r>
      <w:r>
        <w:rPr>
          <w:rFonts w:hint="cs"/>
          <w:rtl/>
        </w:rPr>
        <w:t xml:space="preserve"> למה שביאר</w:t>
      </w:r>
      <w:r w:rsidRPr="00AB7C27">
        <w:rPr>
          <w:rStyle w:val="af6"/>
          <w:rFonts w:eastAsia="Guttman Hodes" w:hint="cs"/>
          <w:rtl/>
        </w:rPr>
        <w:t xml:space="preserve"> (עי' אות </w:t>
      </w:r>
      <w:r w:rsidRPr="00AB7C27">
        <w:rPr>
          <w:rStyle w:val="af6"/>
          <w:rFonts w:eastAsia="Guttman Hodes"/>
          <w:rtl/>
        </w:rPr>
        <w:fldChar w:fldCharType="begin"/>
      </w:r>
      <w:r w:rsidRPr="00AB7C27">
        <w:rPr>
          <w:rStyle w:val="af6"/>
          <w:rFonts w:eastAsia="Guttman Hodes"/>
          <w:rtl/>
        </w:rPr>
        <w:instrText xml:space="preserve"> </w:instrText>
      </w:r>
      <w:r w:rsidRPr="00AB7C27">
        <w:rPr>
          <w:rStyle w:val="af6"/>
          <w:rFonts w:eastAsia="Guttman Hodes" w:hint="cs"/>
        </w:rPr>
        <w:instrText>REF</w:instrText>
      </w:r>
      <w:r w:rsidRPr="00AB7C27">
        <w:rPr>
          <w:rStyle w:val="af6"/>
          <w:rFonts w:eastAsia="Guttman Hodes" w:hint="cs"/>
          <w:rtl/>
        </w:rPr>
        <w:instrText xml:space="preserve"> _</w:instrText>
      </w:r>
      <w:r w:rsidRPr="00AB7C27">
        <w:rPr>
          <w:rStyle w:val="af6"/>
          <w:rFonts w:eastAsia="Guttman Hodes" w:hint="cs"/>
        </w:rPr>
        <w:instrText>Ref18228077 \r \h</w:instrText>
      </w:r>
      <w:r w:rsidRPr="00AB7C27">
        <w:rPr>
          <w:rStyle w:val="af6"/>
          <w:rFonts w:eastAsia="Guttman Hodes"/>
          <w:rtl/>
        </w:rPr>
        <w:instrText xml:space="preserve"> </w:instrText>
      </w:r>
      <w:r w:rsidRPr="00AB7C27">
        <w:rPr>
          <w:rStyle w:val="af6"/>
          <w:rFonts w:eastAsia="Guttman Hodes"/>
          <w:rtl/>
        </w:rPr>
      </w:r>
      <w:r w:rsidRPr="00AB7C27">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AB7C27">
        <w:rPr>
          <w:rStyle w:val="af6"/>
          <w:rFonts w:eastAsia="Guttman Hodes"/>
          <w:rtl/>
        </w:rPr>
        <w:fldChar w:fldCharType="end"/>
      </w:r>
      <w:r w:rsidRPr="00AB7C27">
        <w:rPr>
          <w:rStyle w:val="af6"/>
          <w:rFonts w:eastAsia="Guttman Hodes" w:hint="cs"/>
          <w:rtl/>
        </w:rPr>
        <w:t xml:space="preserve"> </w:t>
      </w:r>
      <w:r>
        <w:rPr>
          <w:rFonts w:hint="cs"/>
          <w:rtl/>
        </w:rPr>
        <w:t xml:space="preserve">כן בשאר האיסורים שנתנו טעם פגום בהיתר, דדוקא כשיש רוב היתר נותן </w:t>
      </w:r>
      <w:r>
        <w:rPr>
          <w:rFonts w:hint="cs"/>
          <w:rtl/>
        </w:rPr>
        <w:t>טעם לפגם מותר</w:t>
      </w:r>
      <w:r w:rsidRPr="00D47CE7">
        <w:rPr>
          <w:rFonts w:hint="cs"/>
          <w:rtl/>
        </w:rPr>
        <w:t xml:space="preserve">, ועי' במה שדחה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Ref17984155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D47CE7">
        <w:rPr>
          <w:rStyle w:val="af6"/>
          <w:rFonts w:eastAsia="Guttman Hodes"/>
          <w:rtl/>
        </w:rPr>
        <w:fldChar w:fldCharType="end"/>
      </w:r>
      <w:r w:rsidRPr="00D47CE7">
        <w:rPr>
          <w:rFonts w:hint="cs"/>
          <w:rtl/>
        </w:rPr>
        <w:t xml:space="preserve"> את דברי </w:t>
      </w:r>
      <w:r w:rsidRPr="00D47CE7">
        <w:rPr>
          <w:rStyle w:val="af8"/>
          <w:rFonts w:hint="cs"/>
          <w:rtl/>
        </w:rPr>
        <w:t>הרשב"א</w:t>
      </w:r>
      <w:r>
        <w:rPr>
          <w:rFonts w:hint="cs"/>
          <w:rtl/>
        </w:rPr>
        <w:t>.</w:t>
      </w:r>
      <w:bookmarkEnd w:id="8444"/>
      <w:r w:rsidRPr="0081737A">
        <w:rPr>
          <w:rStyle w:val="afa"/>
          <w:rFonts w:hint="cs"/>
          <w:rtl/>
        </w:rPr>
        <w:t xml:space="preserve"> </w:t>
      </w:r>
      <w:r>
        <w:rPr>
          <w:rStyle w:val="afa"/>
          <w:rFonts w:hint="cs"/>
          <w:rtl/>
        </w:rPr>
        <w:t>[</w:t>
      </w:r>
      <w:r w:rsidRPr="00D47CE7">
        <w:rPr>
          <w:rStyle w:val="afa"/>
          <w:rFonts w:hint="cs"/>
          <w:rtl/>
        </w:rPr>
        <w:t xml:space="preserve">ועי' במה שביאר </w:t>
      </w:r>
      <w:r w:rsidRPr="00D47CE7">
        <w:rPr>
          <w:rStyle w:val="affa"/>
          <w:rFonts w:hint="cs"/>
          <w:rtl/>
        </w:rPr>
        <w:t>היד יהודה</w:t>
      </w:r>
      <w:r w:rsidRPr="00D47CE7">
        <w:rPr>
          <w:rStyle w:val="afa"/>
          <w:rFonts w:hint="cs"/>
          <w:rtl/>
        </w:rPr>
        <w:t xml:space="preserve"> </w:t>
      </w:r>
      <w:r w:rsidRPr="00D47CE7">
        <w:rPr>
          <w:rStyle w:val="aff6"/>
          <w:rFonts w:hint="cs"/>
          <w:rtl/>
        </w:rPr>
        <w:t xml:space="preserve">(עי' הערה </w:t>
      </w:r>
      <w:r w:rsidRPr="00D47CE7">
        <w:rPr>
          <w:rStyle w:val="aff6"/>
          <w:rtl/>
        </w:rPr>
        <w:fldChar w:fldCharType="begin"/>
      </w:r>
      <w:r w:rsidRPr="00D47CE7">
        <w:rPr>
          <w:rStyle w:val="aff6"/>
          <w:rtl/>
        </w:rPr>
        <w:instrText xml:space="preserve"> </w:instrText>
      </w:r>
      <w:r w:rsidRPr="00D47CE7">
        <w:rPr>
          <w:rStyle w:val="aff6"/>
          <w:rFonts w:hint="cs"/>
        </w:rPr>
        <w:instrText>NOTEREF</w:instrText>
      </w:r>
      <w:r w:rsidRPr="00D47CE7">
        <w:rPr>
          <w:rStyle w:val="aff6"/>
          <w:rFonts w:hint="cs"/>
          <w:rtl/>
        </w:rPr>
        <w:instrText xml:space="preserve"> _</w:instrText>
      </w:r>
      <w:r w:rsidRPr="00D47CE7">
        <w:rPr>
          <w:rStyle w:val="aff6"/>
          <w:rFonts w:hint="cs"/>
        </w:rPr>
        <w:instrText>Ref18269239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rtl/>
        </w:rPr>
        <w:t>26</w:t>
      </w:r>
      <w:r w:rsidRPr="00D47CE7">
        <w:rPr>
          <w:rStyle w:val="aff6"/>
          <w:rtl/>
        </w:rPr>
        <w:fldChar w:fldCharType="end"/>
      </w:r>
      <w:r w:rsidRPr="00D47CE7">
        <w:rPr>
          <w:rStyle w:val="aff6"/>
          <w:rFonts w:hint="cs"/>
          <w:rtl/>
        </w:rPr>
        <w:t>)</w:t>
      </w:r>
      <w:r w:rsidRPr="00D47CE7">
        <w:rPr>
          <w:rStyle w:val="afa"/>
          <w:rFonts w:hint="cs"/>
          <w:rtl/>
        </w:rPr>
        <w:t xml:space="preserve"> בתירוץ </w:t>
      </w:r>
      <w:r w:rsidRPr="00D47CE7">
        <w:rPr>
          <w:rStyle w:val="affa"/>
          <w:rFonts w:hint="cs"/>
          <w:rtl/>
        </w:rPr>
        <w:t>הרשב"א</w:t>
      </w:r>
      <w:r w:rsidRPr="00D47CE7">
        <w:rPr>
          <w:rStyle w:val="afa"/>
          <w:rFonts w:hint="cs"/>
          <w:rtl/>
        </w:rPr>
        <w:t>].</w:t>
      </w:r>
      <w:bookmarkEnd w:id="8445"/>
    </w:p>
    <w:p w:rsidR="007809D6" w:rsidRPr="00D47CE7" w:rsidRDefault="007809D6" w:rsidP="007809D6">
      <w:pPr>
        <w:pStyle w:val="1"/>
        <w:rPr>
          <w:rFonts w:ascii="Guttman Adii-Light" w:eastAsia="Guttman Adii-Light" w:hAnsi="Guttman Adii-Light"/>
          <w:b w:val="0"/>
          <w:sz w:val="22"/>
          <w:szCs w:val="28"/>
          <w:rtl/>
        </w:rPr>
      </w:pPr>
      <w:bookmarkStart w:id="8446" w:name="_Toc17984111"/>
      <w:bookmarkStart w:id="8447" w:name="_Toc18228236"/>
      <w:bookmarkStart w:id="8448" w:name="_Toc18250764"/>
      <w:bookmarkStart w:id="8449" w:name="_Toc18266210"/>
      <w:bookmarkStart w:id="8450" w:name="_Toc18269106"/>
      <w:bookmarkStart w:id="8451" w:name="_Toc18323803"/>
      <w:bookmarkStart w:id="8452" w:name="_Toc18397375"/>
      <w:bookmarkStart w:id="8453" w:name="_Toc18404095"/>
      <w:bookmarkStart w:id="8454" w:name="_Toc18481515"/>
      <w:bookmarkStart w:id="8455" w:name="_Toc15936052"/>
      <w:bookmarkStart w:id="8456" w:name="_Toc16116621"/>
      <w:bookmarkStart w:id="8457" w:name="_Toc16243779"/>
      <w:bookmarkStart w:id="8458" w:name="_Toc16679278"/>
      <w:bookmarkStart w:id="8459" w:name="_Toc16850480"/>
      <w:bookmarkStart w:id="8460" w:name="_Toc17624853"/>
      <w:bookmarkStart w:id="8461" w:name="_Toc17889802"/>
      <w:bookmarkStart w:id="8462" w:name="_Toc17975424"/>
      <w:bookmarkStart w:id="8463" w:name="_Toc18228225"/>
      <w:bookmarkStart w:id="8464" w:name="_Toc18250756"/>
      <w:bookmarkStart w:id="8465" w:name="_Toc18266202"/>
      <w:r w:rsidRPr="00D47CE7">
        <w:rPr>
          <w:rFonts w:ascii="Guttman Adii-Light" w:eastAsia="Guttman Adii-Light" w:hAnsi="Guttman Adii-Light" w:hint="cs"/>
          <w:b w:val="0"/>
          <w:sz w:val="22"/>
          <w:szCs w:val="28"/>
          <w:rtl/>
        </w:rPr>
        <w:t xml:space="preserve">ביאורי האחרונים </w:t>
      </w:r>
      <w:bookmarkEnd w:id="8446"/>
      <w:bookmarkEnd w:id="8447"/>
      <w:bookmarkEnd w:id="8448"/>
      <w:bookmarkEnd w:id="8449"/>
      <w:r w:rsidRPr="00D47CE7">
        <w:rPr>
          <w:rFonts w:ascii="Guttman Adii-Light" w:eastAsia="Guttman Adii-Light" w:hAnsi="Guttman Adii-Light" w:hint="cs"/>
          <w:b w:val="0"/>
          <w:sz w:val="22"/>
          <w:szCs w:val="28"/>
          <w:rtl/>
        </w:rPr>
        <w:t>בהיתר נטל"פ לרשב"א</w:t>
      </w:r>
      <w:bookmarkEnd w:id="8450"/>
      <w:bookmarkEnd w:id="8451"/>
      <w:bookmarkEnd w:id="8452"/>
      <w:bookmarkEnd w:id="8453"/>
      <w:bookmarkEnd w:id="8454"/>
    </w:p>
    <w:p w:rsidR="007809D6" w:rsidRPr="00D47CE7" w:rsidRDefault="007809D6" w:rsidP="007809D6">
      <w:pPr>
        <w:pStyle w:val="1"/>
        <w:rPr>
          <w:rtl/>
        </w:rPr>
      </w:pPr>
      <w:bookmarkStart w:id="8466" w:name="_Toc15936051"/>
      <w:bookmarkStart w:id="8467" w:name="_Toc16116620"/>
      <w:bookmarkStart w:id="8468" w:name="_Toc16243778"/>
      <w:bookmarkStart w:id="8469" w:name="_Toc16679277"/>
      <w:bookmarkStart w:id="8470" w:name="_Toc16850481"/>
      <w:bookmarkStart w:id="8471" w:name="_Toc17624854"/>
      <w:bookmarkStart w:id="8472" w:name="_Toc17889803"/>
      <w:bookmarkStart w:id="8473" w:name="_Toc17975425"/>
      <w:bookmarkStart w:id="8474" w:name="_Toc17984113"/>
      <w:bookmarkStart w:id="8475" w:name="_Toc18228238"/>
      <w:bookmarkStart w:id="8476" w:name="_Toc18250768"/>
      <w:bookmarkStart w:id="8477" w:name="_Toc18266211"/>
      <w:bookmarkStart w:id="8478" w:name="_Toc18269107"/>
      <w:bookmarkStart w:id="8479" w:name="_Toc18323804"/>
      <w:bookmarkStart w:id="8480" w:name="_Toc18397376"/>
      <w:bookmarkStart w:id="8481" w:name="_Toc18404096"/>
      <w:bookmarkStart w:id="8482" w:name="_Toc18481516"/>
      <w:bookmarkStart w:id="8483" w:name="_Toc17984112"/>
      <w:bookmarkStart w:id="8484" w:name="_Toc18228237"/>
      <w:bookmarkStart w:id="8485" w:name="_Toc18250765"/>
      <w:r w:rsidRPr="00D47CE7">
        <w:rPr>
          <w:rFonts w:hint="cs"/>
          <w:rtl/>
        </w:rPr>
        <w:t>ביאור החוו"ד ברשב"א</w:t>
      </w:r>
      <w:bookmarkEnd w:id="8466"/>
      <w:bookmarkEnd w:id="8467"/>
      <w:bookmarkEnd w:id="8468"/>
      <w:bookmarkEnd w:id="8469"/>
      <w:bookmarkEnd w:id="8470"/>
      <w:bookmarkEnd w:id="8471"/>
      <w:bookmarkEnd w:id="8472"/>
      <w:bookmarkEnd w:id="8473"/>
      <w:bookmarkEnd w:id="8474"/>
      <w:bookmarkEnd w:id="8475"/>
      <w:bookmarkEnd w:id="8476"/>
      <w:bookmarkEnd w:id="8477"/>
      <w:r w:rsidRPr="00D47CE7">
        <w:rPr>
          <w:rFonts w:hint="cs"/>
          <w:rtl/>
        </w:rPr>
        <w:t xml:space="preserve"> דמסברא טעם פגום אינו בכלל טע"כ</w:t>
      </w:r>
      <w:bookmarkEnd w:id="8478"/>
      <w:bookmarkEnd w:id="8479"/>
      <w:bookmarkEnd w:id="8480"/>
      <w:bookmarkEnd w:id="8481"/>
      <w:bookmarkEnd w:id="8482"/>
    </w:p>
    <w:p w:rsidR="007809D6" w:rsidRPr="00D47CE7" w:rsidRDefault="007809D6" w:rsidP="007809D6">
      <w:pPr>
        <w:pStyle w:val="a2"/>
        <w:rPr>
          <w:rtl/>
        </w:rPr>
      </w:pPr>
      <w:bookmarkStart w:id="8486" w:name="_Toc18266212"/>
      <w:bookmarkStart w:id="8487" w:name="_Toc18269108"/>
      <w:bookmarkStart w:id="8488" w:name="_Toc18323805"/>
      <w:bookmarkStart w:id="8489" w:name="_Toc18397377"/>
      <w:bookmarkStart w:id="8490" w:name="_Toc18404097"/>
      <w:bookmarkStart w:id="8491" w:name="_Toc18481517"/>
      <w:r w:rsidRPr="00D47CE7">
        <w:rPr>
          <w:rFonts w:hint="cs"/>
          <w:rtl/>
        </w:rPr>
        <w:t>ביאור החוו"ד ברשב"א דממשרת ילפינן טע"כ רק במשובח וטעם פגום מותר מסברא</w:t>
      </w:r>
      <w:bookmarkEnd w:id="8486"/>
      <w:bookmarkEnd w:id="8487"/>
      <w:bookmarkEnd w:id="8488"/>
      <w:bookmarkEnd w:id="8489"/>
      <w:bookmarkEnd w:id="8490"/>
      <w:bookmarkEnd w:id="8491"/>
    </w:p>
    <w:p w:rsidR="007809D6" w:rsidRPr="00D47CE7" w:rsidRDefault="007809D6" w:rsidP="009F44AF">
      <w:pPr>
        <w:pStyle w:val="a"/>
      </w:pPr>
      <w:bookmarkStart w:id="8492" w:name="_Ref18439022"/>
      <w:r w:rsidRPr="00D47CE7">
        <w:rPr>
          <w:rFonts w:hint="cs"/>
          <w:rtl/>
        </w:rPr>
        <w:t xml:space="preserve">במ"ש </w:t>
      </w:r>
      <w:r w:rsidRPr="00D47CE7">
        <w:rPr>
          <w:rStyle w:val="af8"/>
          <w:rtl/>
        </w:rPr>
        <w:t>הרשב"א</w:t>
      </w:r>
      <w:r w:rsidRPr="00D47CE7">
        <w:rPr>
          <w:rFonts w:hint="cs"/>
          <w:rtl/>
        </w:rPr>
        <w:t xml:space="preserve"> </w:t>
      </w:r>
      <w:r w:rsidRPr="00D47CE7">
        <w:rPr>
          <w:rStyle w:val="af8"/>
          <w:rtl/>
        </w:rPr>
        <w:t>בתוה"ב</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Ref18250218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D47CE7">
        <w:rPr>
          <w:rStyle w:val="af6"/>
          <w:rFonts w:eastAsia="Guttman Hodes"/>
          <w:rtl/>
        </w:rPr>
        <w:fldChar w:fldCharType="end"/>
      </w:r>
      <w:r w:rsidRPr="00D47CE7">
        <w:rPr>
          <w:rFonts w:hint="cs"/>
          <w:rtl/>
        </w:rPr>
        <w:t xml:space="preserve"> דנותן טעם לפגם מותר אף בפגום במקצת, דלא אסרה תורה טעם כעיקר כשנתן טעם פגום, ביאר</w:t>
      </w:r>
      <w:r w:rsidRPr="00D47CE7">
        <w:rPr>
          <w:rStyle w:val="af8"/>
          <w:rFonts w:hint="cs"/>
          <w:rtl/>
        </w:rPr>
        <w:t xml:space="preserve"> </w:t>
      </w:r>
      <w:r w:rsidRPr="00D47CE7">
        <w:rPr>
          <w:rStyle w:val="af8"/>
          <w:rtl/>
        </w:rPr>
        <w:t>החוו"ד</w:t>
      </w:r>
      <w:r w:rsidRPr="00D47CE7">
        <w:rPr>
          <w:rFonts w:hint="cs"/>
          <w:rtl/>
        </w:rPr>
        <w:t xml:space="preserve"> </w:t>
      </w:r>
      <w:r w:rsidRPr="00D47CE7">
        <w:rPr>
          <w:rStyle w:val="af6"/>
          <w:rFonts w:eastAsia="Guttman Hodes" w:hint="cs"/>
          <w:rtl/>
        </w:rPr>
        <w:t xml:space="preserve">(סי' ק"ג סק"א) </w:t>
      </w:r>
      <w:r w:rsidRPr="00D47CE7">
        <w:rPr>
          <w:rFonts w:hint="cs"/>
          <w:rtl/>
        </w:rPr>
        <w:t xml:space="preserve">דכוונת </w:t>
      </w:r>
      <w:r w:rsidRPr="00D47CE7">
        <w:rPr>
          <w:rStyle w:val="af8"/>
          <w:rFonts w:hint="cs"/>
          <w:rtl/>
        </w:rPr>
        <w:t>הרשב"א</w:t>
      </w:r>
      <w:r w:rsidRPr="00D47CE7">
        <w:rPr>
          <w:rFonts w:hint="cs"/>
          <w:rtl/>
        </w:rPr>
        <w:t xml:space="preserve"> לומר דההיתר בפגימה במקצת הוא מסברא, דהא טעם כעיקר נלמד בגמ' בפסחים </w:t>
      </w:r>
      <w:r w:rsidRPr="00D47CE7">
        <w:rPr>
          <w:rStyle w:val="af6"/>
          <w:rFonts w:eastAsia="Guttman Hodes" w:hint="cs"/>
          <w:rtl/>
        </w:rPr>
        <w:t xml:space="preserve">(מד.) </w:t>
      </w:r>
      <w:r w:rsidRPr="00D47CE7">
        <w:rPr>
          <w:rFonts w:hint="cs"/>
          <w:rtl/>
        </w:rPr>
        <w:t xml:space="preserve">ממשרת, וא"א ללמוד ממשרת דטעם פגום אוסר, וממילא מסברא הוא מותר, והוסיף </w:t>
      </w:r>
      <w:r w:rsidRPr="00D47CE7">
        <w:rPr>
          <w:rStyle w:val="af8"/>
          <w:rFonts w:hint="cs"/>
          <w:rtl/>
        </w:rPr>
        <w:t xml:space="preserve">החוו"ד </w:t>
      </w:r>
      <w:r w:rsidRPr="00D47CE7">
        <w:rPr>
          <w:rFonts w:hint="cs"/>
          <w:rtl/>
        </w:rPr>
        <w:t xml:space="preserve">דהילפותא מנבילה שאינה ראויה לגר, אינה נצרכת להתיר בנותן טעם לפגם דמותר מסברא, אלא דהילפותא בנבילה באה לאסור את גוף האיסור, אף שהוא פגום במקצת, דכל שהוא ראוי לגר עדיין הוא אסור, והוסיף </w:t>
      </w:r>
      <w:r w:rsidRPr="00D47CE7">
        <w:rPr>
          <w:rStyle w:val="af8"/>
          <w:rFonts w:hint="cs"/>
          <w:rtl/>
        </w:rPr>
        <w:t>במקור חיים</w:t>
      </w:r>
      <w:r w:rsidRPr="00D47CE7">
        <w:rPr>
          <w:rFonts w:hint="cs"/>
          <w:rtl/>
        </w:rPr>
        <w:t xml:space="preserve"> </w:t>
      </w:r>
      <w:r w:rsidRPr="00D47CE7">
        <w:rPr>
          <w:rStyle w:val="af6"/>
          <w:rFonts w:eastAsia="Guttman Hodes" w:hint="cs"/>
          <w:rtl/>
        </w:rPr>
        <w:t>(סי' תמ"ב סק"ב ד"ה ומה שהקשה הר"ן)</w:t>
      </w:r>
      <w:r w:rsidRPr="00D47CE7">
        <w:rPr>
          <w:rFonts w:hint="cs"/>
          <w:rtl/>
        </w:rPr>
        <w:t xml:space="preserve"> דלולי הילפותא ממשרת אף טעם לשבח היה מותר, וכ"מ דילפינן מנזיר לשאר איסורים דטעם כעיקר הוא בק"ו, וכיון דבנזיר גופיה נותן טעם לפגם מותר, א"כ אמרינן דיו לבא מן הדין להיות כנדון, דאף בשאר איסורים נותן טעם לפגם מותר.</w:t>
      </w:r>
      <w:bookmarkEnd w:id="8492"/>
      <w:r w:rsidRPr="00D47CE7">
        <w:rPr>
          <w:rFonts w:hint="cs"/>
          <w:rtl/>
        </w:rPr>
        <w:t xml:space="preserve"> </w:t>
      </w:r>
      <w:r>
        <w:rPr>
          <w:rFonts w:hint="cs"/>
          <w:rtl/>
        </w:rPr>
        <w:t xml:space="preserve">[ועי' במ"ש </w:t>
      </w:r>
      <w:r w:rsidRPr="00BD71A1">
        <w:rPr>
          <w:rStyle w:val="af8"/>
          <w:rFonts w:hint="cs"/>
          <w:rtl/>
        </w:rPr>
        <w:t>המקור חיים</w:t>
      </w:r>
      <w:r>
        <w:rPr>
          <w:rFonts w:hint="cs"/>
          <w:rtl/>
        </w:rPr>
        <w:t xml:space="preserve"> </w:t>
      </w:r>
      <w:r w:rsidRPr="00BD71A1">
        <w:rPr>
          <w:rStyle w:val="af6"/>
          <w:rFonts w:eastAsia="Guttman Hodes" w:hint="cs"/>
          <w:rtl/>
        </w:rPr>
        <w:t>(הובא לקמן סימן י"</w:t>
      </w:r>
      <w:r w:rsidRPr="007F3932">
        <w:rPr>
          <w:rStyle w:val="af6"/>
          <w:rFonts w:eastAsia="Guttman Hodes" w:hint="cs"/>
          <w:rtl/>
        </w:rPr>
        <w:t xml:space="preserve">ג אות </w:t>
      </w:r>
      <w:r w:rsidR="007F3932" w:rsidRPr="007F3932">
        <w:rPr>
          <w:rStyle w:val="af6"/>
          <w:rFonts w:eastAsia="Guttman Hodes"/>
          <w:rtl/>
        </w:rPr>
        <w:fldChar w:fldCharType="begin"/>
      </w:r>
      <w:r w:rsidR="007F3932" w:rsidRPr="007F3932">
        <w:rPr>
          <w:rStyle w:val="af6"/>
          <w:rFonts w:eastAsia="Guttman Hodes"/>
          <w:rtl/>
        </w:rPr>
        <w:instrText xml:space="preserve"> </w:instrText>
      </w:r>
      <w:r w:rsidR="007F3932" w:rsidRPr="007F3932">
        <w:rPr>
          <w:rStyle w:val="af6"/>
          <w:rFonts w:eastAsia="Guttman Hodes" w:hint="cs"/>
        </w:rPr>
        <w:instrText>REF</w:instrText>
      </w:r>
      <w:r w:rsidR="007F3932" w:rsidRPr="007F3932">
        <w:rPr>
          <w:rStyle w:val="af6"/>
          <w:rFonts w:eastAsia="Guttman Hodes" w:hint="cs"/>
          <w:rtl/>
        </w:rPr>
        <w:instrText xml:space="preserve"> _</w:instrText>
      </w:r>
      <w:r w:rsidR="007F3932" w:rsidRPr="007F3932">
        <w:rPr>
          <w:rStyle w:val="af6"/>
          <w:rFonts w:eastAsia="Guttman Hodes" w:hint="cs"/>
        </w:rPr>
        <w:instrText>Ref19132275 \r \h</w:instrText>
      </w:r>
      <w:r w:rsidR="007F3932" w:rsidRPr="007F3932">
        <w:rPr>
          <w:rStyle w:val="af6"/>
          <w:rFonts w:eastAsia="Guttman Hodes"/>
          <w:rtl/>
        </w:rPr>
        <w:instrText xml:space="preserve"> </w:instrText>
      </w:r>
      <w:r w:rsidR="007F3932" w:rsidRPr="007F3932">
        <w:rPr>
          <w:rStyle w:val="af6"/>
          <w:rFonts w:eastAsia="Guttman Hodes"/>
          <w:rtl/>
        </w:rPr>
      </w:r>
      <w:r w:rsidR="007F3932" w:rsidRPr="007F3932">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007F3932" w:rsidRPr="007F3932">
        <w:rPr>
          <w:rStyle w:val="af6"/>
          <w:rFonts w:eastAsia="Guttman Hodes"/>
          <w:rtl/>
        </w:rPr>
        <w:fldChar w:fldCharType="end"/>
      </w:r>
      <w:r>
        <w:rPr>
          <w:rFonts w:hint="cs"/>
          <w:rtl/>
        </w:rPr>
        <w:t xml:space="preserve"> בדין נותן טעם לפגם בחמץ שאסור במשהו].</w:t>
      </w:r>
    </w:p>
    <w:p w:rsidR="007809D6" w:rsidRPr="00D47CE7" w:rsidRDefault="007809D6" w:rsidP="007809D6">
      <w:pPr>
        <w:pStyle w:val="a2"/>
        <w:rPr>
          <w:rtl/>
        </w:rPr>
      </w:pPr>
      <w:bookmarkStart w:id="8493" w:name="_Toc18266213"/>
      <w:bookmarkStart w:id="8494" w:name="_Toc18269109"/>
      <w:bookmarkStart w:id="8495" w:name="_Toc18323806"/>
      <w:bookmarkStart w:id="8496" w:name="_Toc18397378"/>
      <w:bookmarkStart w:id="8497" w:name="_Toc18404098"/>
      <w:bookmarkStart w:id="8498" w:name="_Toc18481518"/>
      <w:r w:rsidRPr="00D47CE7">
        <w:rPr>
          <w:rFonts w:hint="cs"/>
          <w:rtl/>
        </w:rPr>
        <w:t>קושית היד יהודה על החוו"ד דנטל"פ נלמד מנבילה ועוד למ"ד טע"כ דרבנן אמאי נטל"פ מותר</w:t>
      </w:r>
      <w:bookmarkEnd w:id="8493"/>
      <w:bookmarkEnd w:id="8494"/>
      <w:bookmarkEnd w:id="8495"/>
      <w:bookmarkEnd w:id="8496"/>
      <w:bookmarkEnd w:id="8497"/>
      <w:bookmarkEnd w:id="8498"/>
    </w:p>
    <w:p w:rsidR="007809D6" w:rsidRDefault="007809D6" w:rsidP="009F44AF">
      <w:pPr>
        <w:pStyle w:val="a"/>
        <w:rPr>
          <w:rtl/>
        </w:rPr>
      </w:pPr>
      <w:bookmarkStart w:id="8499" w:name="_Ref18439233"/>
      <w:r w:rsidRPr="00D47CE7">
        <w:rPr>
          <w:rFonts w:hint="cs"/>
          <w:rtl/>
        </w:rPr>
        <w:t xml:space="preserve">והקשה </w:t>
      </w:r>
      <w:r w:rsidRPr="00D47CE7">
        <w:rPr>
          <w:rStyle w:val="af8"/>
          <w:rFonts w:hint="cs"/>
          <w:rtl/>
        </w:rPr>
        <w:t>היד יהודה</w:t>
      </w:r>
      <w:r w:rsidRPr="00D47CE7">
        <w:rPr>
          <w:rFonts w:hint="cs"/>
          <w:rtl/>
        </w:rPr>
        <w:t xml:space="preserve"> </w:t>
      </w:r>
      <w:r w:rsidRPr="00D47CE7">
        <w:rPr>
          <w:rStyle w:val="af6"/>
          <w:rFonts w:eastAsia="Guttman Hodes" w:hint="cs"/>
          <w:rtl/>
        </w:rPr>
        <w:t>(סי' ק"ג סק"א ד"ה הנה בעכו"ם)</w:t>
      </w:r>
      <w:r w:rsidRPr="00D47CE7">
        <w:rPr>
          <w:rFonts w:hint="cs"/>
          <w:rtl/>
        </w:rPr>
        <w:t xml:space="preserve"> על </w:t>
      </w:r>
      <w:r w:rsidRPr="00D47CE7">
        <w:rPr>
          <w:rStyle w:val="af8"/>
          <w:rFonts w:hint="cs"/>
          <w:rtl/>
        </w:rPr>
        <w:t>החוו"ד</w:t>
      </w:r>
      <w:r w:rsidRPr="00D47CE7">
        <w:rPr>
          <w:rFonts w:hint="cs"/>
          <w:rtl/>
        </w:rPr>
        <w:t xml:space="preserve"> דהרי מוכח בגמ'</w:t>
      </w:r>
      <w:r>
        <w:rPr>
          <w:rFonts w:hint="cs"/>
          <w:rtl/>
        </w:rPr>
        <w:t xml:space="preserve"> </w:t>
      </w:r>
      <w:r w:rsidRPr="00D47CE7">
        <w:rPr>
          <w:rStyle w:val="af6"/>
          <w:rFonts w:eastAsia="Guttman Hodes" w:hint="cs"/>
          <w:rtl/>
        </w:rPr>
        <w:t>(סז:)</w:t>
      </w:r>
      <w:r w:rsidRPr="00D47CE7">
        <w:rPr>
          <w:rFonts w:hint="cs"/>
          <w:rtl/>
        </w:rPr>
        <w:t xml:space="preserve"> דהילפותא להיתר נותן טעם לפגם היא מנבילה, ועוד הקשה היד יהודה היאך יפרש </w:t>
      </w:r>
      <w:r w:rsidRPr="00D47CE7">
        <w:rPr>
          <w:rStyle w:val="af8"/>
          <w:rFonts w:hint="cs"/>
          <w:rtl/>
        </w:rPr>
        <w:t>החוו"ד</w:t>
      </w:r>
      <w:r w:rsidRPr="00D47CE7">
        <w:rPr>
          <w:rFonts w:hint="cs"/>
          <w:rtl/>
        </w:rPr>
        <w:t xml:space="preserve"> את היתר נותן טעם לפגם לדעת </w:t>
      </w:r>
      <w:r w:rsidRPr="00D47CE7">
        <w:rPr>
          <w:rStyle w:val="af8"/>
          <w:rFonts w:hint="cs"/>
          <w:rtl/>
        </w:rPr>
        <w:t>הראשונים</w:t>
      </w:r>
      <w:r w:rsidRPr="00D47CE7">
        <w:rPr>
          <w:rFonts w:hint="cs"/>
          <w:rtl/>
        </w:rPr>
        <w:t xml:space="preserve"> דס"ל דטעם כעיקר דרבנן, ואף </w:t>
      </w:r>
      <w:r w:rsidRPr="00D47CE7">
        <w:rPr>
          <w:rStyle w:val="af8"/>
          <w:rFonts w:hint="cs"/>
          <w:rtl/>
        </w:rPr>
        <w:t>ברשב"א</w:t>
      </w:r>
      <w:r w:rsidRPr="00D47CE7">
        <w:rPr>
          <w:rFonts w:hint="cs"/>
          <w:rtl/>
        </w:rPr>
        <w:t xml:space="preserve"> נראה דס"ל כן</w:t>
      </w:r>
      <w:r>
        <w:rPr>
          <w:rFonts w:hint="cs"/>
          <w:rtl/>
        </w:rPr>
        <w:t xml:space="preserve">. [ועי' בדברי </w:t>
      </w:r>
      <w:r w:rsidRPr="007B7B56">
        <w:rPr>
          <w:rStyle w:val="af8"/>
          <w:rFonts w:hint="cs"/>
          <w:rtl/>
        </w:rPr>
        <w:t xml:space="preserve">הקה"י </w:t>
      </w:r>
      <w:r w:rsidRPr="007B7B56">
        <w:rPr>
          <w:rStyle w:val="af6"/>
          <w:rFonts w:eastAsia="Guttman Hodes" w:hint="cs"/>
          <w:rtl/>
        </w:rPr>
        <w:t xml:space="preserve">(עי' אות </w:t>
      </w:r>
      <w:r w:rsidRPr="007B7B56">
        <w:rPr>
          <w:rStyle w:val="af6"/>
          <w:rFonts w:eastAsia="Guttman Hodes"/>
          <w:rtl/>
        </w:rPr>
        <w:fldChar w:fldCharType="begin"/>
      </w:r>
      <w:r w:rsidRPr="007B7B56">
        <w:rPr>
          <w:rStyle w:val="af6"/>
          <w:rFonts w:eastAsia="Guttman Hodes"/>
          <w:rtl/>
        </w:rPr>
        <w:instrText xml:space="preserve"> </w:instrText>
      </w:r>
      <w:r w:rsidRPr="007B7B56">
        <w:rPr>
          <w:rStyle w:val="af6"/>
          <w:rFonts w:eastAsia="Guttman Hodes" w:hint="cs"/>
        </w:rPr>
        <w:instrText>REF</w:instrText>
      </w:r>
      <w:r w:rsidRPr="007B7B56">
        <w:rPr>
          <w:rStyle w:val="af6"/>
          <w:rFonts w:eastAsia="Guttman Hodes" w:hint="cs"/>
          <w:rtl/>
        </w:rPr>
        <w:instrText xml:space="preserve"> _</w:instrText>
      </w:r>
      <w:r w:rsidRPr="007B7B56">
        <w:rPr>
          <w:rStyle w:val="af6"/>
          <w:rFonts w:eastAsia="Guttman Hodes" w:hint="cs"/>
        </w:rPr>
        <w:instrText>Ref18439139 \r \h</w:instrText>
      </w:r>
      <w:r w:rsidRPr="007B7B56">
        <w:rPr>
          <w:rStyle w:val="af6"/>
          <w:rFonts w:eastAsia="Guttman Hodes"/>
          <w:rtl/>
        </w:rPr>
        <w:instrText xml:space="preserve"> </w:instrText>
      </w:r>
      <w:r w:rsidRPr="007B7B56">
        <w:rPr>
          <w:rStyle w:val="af6"/>
          <w:rFonts w:eastAsia="Guttman Hodes"/>
          <w:rtl/>
        </w:rPr>
      </w:r>
      <w:r w:rsidRPr="007B7B56">
        <w:rPr>
          <w:rStyle w:val="af6"/>
          <w:rFonts w:eastAsia="Guttman Hodes"/>
          <w:rtl/>
        </w:rPr>
        <w:fldChar w:fldCharType="separate"/>
      </w:r>
      <w:r w:rsidR="004D1C5B">
        <w:rPr>
          <w:rStyle w:val="af6"/>
          <w:rFonts w:eastAsia="Guttman Hodes"/>
          <w:cs/>
        </w:rPr>
        <w:t>‎</w:t>
      </w:r>
      <w:r w:rsidR="004D1C5B">
        <w:rPr>
          <w:rStyle w:val="af6"/>
          <w:rFonts w:eastAsia="Guttman Hodes"/>
          <w:rtl/>
        </w:rPr>
        <w:t>קיב)</w:t>
      </w:r>
      <w:r w:rsidRPr="007B7B56">
        <w:rPr>
          <w:rStyle w:val="af6"/>
          <w:rFonts w:eastAsia="Guttman Hodes"/>
          <w:rtl/>
        </w:rPr>
        <w:fldChar w:fldCharType="end"/>
      </w:r>
      <w:r>
        <w:rPr>
          <w:rFonts w:hint="cs"/>
          <w:rtl/>
        </w:rPr>
        <w:t>]</w:t>
      </w:r>
      <w:r w:rsidRPr="00D47CE7">
        <w:rPr>
          <w:rFonts w:hint="cs"/>
          <w:rtl/>
        </w:rPr>
        <w:t>.</w:t>
      </w:r>
      <w:bookmarkEnd w:id="8499"/>
    </w:p>
    <w:p w:rsidR="007809D6" w:rsidRPr="00D47CE7" w:rsidRDefault="007809D6" w:rsidP="007809D6">
      <w:pPr>
        <w:pStyle w:val="1"/>
        <w:rPr>
          <w:rtl/>
        </w:rPr>
      </w:pPr>
      <w:bookmarkStart w:id="8500" w:name="_Toc18266214"/>
      <w:bookmarkStart w:id="8501" w:name="_Toc18269110"/>
      <w:bookmarkStart w:id="8502" w:name="_Toc18323807"/>
      <w:bookmarkStart w:id="8503" w:name="_Toc18397379"/>
      <w:bookmarkStart w:id="8504" w:name="_Toc18404102"/>
      <w:bookmarkStart w:id="8505" w:name="_Toc18481519"/>
      <w:r w:rsidRPr="00D47CE7">
        <w:rPr>
          <w:rFonts w:hint="cs"/>
          <w:rtl/>
        </w:rPr>
        <w:t>ביאור הפרמ"ג ברשב"א</w:t>
      </w:r>
      <w:bookmarkEnd w:id="8455"/>
      <w:bookmarkEnd w:id="8456"/>
      <w:bookmarkEnd w:id="8457"/>
      <w:bookmarkEnd w:id="8458"/>
      <w:bookmarkEnd w:id="8459"/>
      <w:bookmarkEnd w:id="8460"/>
      <w:bookmarkEnd w:id="8461"/>
      <w:bookmarkEnd w:id="8462"/>
      <w:bookmarkEnd w:id="8483"/>
      <w:bookmarkEnd w:id="8484"/>
      <w:bookmarkEnd w:id="8485"/>
      <w:r w:rsidRPr="00D47CE7">
        <w:rPr>
          <w:rFonts w:hint="cs"/>
          <w:rtl/>
        </w:rPr>
        <w:t xml:space="preserve"> דמסברא נטל"פ מותר דאין בו טע"כ</w:t>
      </w:r>
      <w:bookmarkEnd w:id="8500"/>
      <w:bookmarkEnd w:id="8501"/>
      <w:bookmarkEnd w:id="8502"/>
      <w:bookmarkEnd w:id="8503"/>
      <w:bookmarkEnd w:id="8504"/>
      <w:bookmarkEnd w:id="8505"/>
    </w:p>
    <w:p w:rsidR="007809D6" w:rsidRPr="00D47CE7" w:rsidRDefault="007809D6" w:rsidP="007809D6">
      <w:pPr>
        <w:pStyle w:val="a2"/>
        <w:rPr>
          <w:rtl/>
        </w:rPr>
      </w:pPr>
      <w:bookmarkStart w:id="8506" w:name="_Toc18250766"/>
      <w:bookmarkStart w:id="8507" w:name="_Toc18266215"/>
      <w:bookmarkStart w:id="8508" w:name="_Toc18269111"/>
      <w:bookmarkStart w:id="8509" w:name="_Toc18323808"/>
      <w:bookmarkStart w:id="8510" w:name="_Toc18397380"/>
      <w:bookmarkStart w:id="8511" w:name="_Toc18404103"/>
      <w:bookmarkStart w:id="8512" w:name="_Toc18481520"/>
      <w:r w:rsidRPr="00D47CE7">
        <w:rPr>
          <w:rFonts w:hint="cs"/>
          <w:rtl/>
        </w:rPr>
        <w:t>ביאור הפרמ"ג דכיון דבנבילה פקע איסורה כשנפגמה אמרינן מסברא דטע"כ לא נאמר בפגום</w:t>
      </w:r>
      <w:bookmarkEnd w:id="8506"/>
      <w:bookmarkEnd w:id="8507"/>
      <w:bookmarkEnd w:id="8508"/>
      <w:bookmarkEnd w:id="8509"/>
      <w:bookmarkEnd w:id="8510"/>
      <w:bookmarkEnd w:id="8511"/>
      <w:bookmarkEnd w:id="8512"/>
    </w:p>
    <w:p w:rsidR="007809D6" w:rsidRPr="00D47CE7" w:rsidRDefault="007809D6" w:rsidP="009F44AF">
      <w:pPr>
        <w:pStyle w:val="a"/>
        <w:rPr>
          <w:rtl/>
        </w:rPr>
      </w:pPr>
      <w:bookmarkStart w:id="8513" w:name="_Ref15936361"/>
      <w:r w:rsidRPr="00D47CE7">
        <w:rPr>
          <w:rFonts w:hint="cs"/>
          <w:rtl/>
        </w:rPr>
        <w:t xml:space="preserve">הביא </w:t>
      </w:r>
      <w:r w:rsidRPr="00D47CE7">
        <w:rPr>
          <w:rStyle w:val="af8"/>
          <w:rFonts w:hint="cs"/>
          <w:rtl/>
        </w:rPr>
        <w:t>הפרמ"ג</w:t>
      </w:r>
      <w:r w:rsidRPr="00D47CE7">
        <w:rPr>
          <w:rFonts w:hint="cs"/>
          <w:rtl/>
        </w:rPr>
        <w:t xml:space="preserve"> </w:t>
      </w:r>
      <w:r w:rsidRPr="00D47CE7">
        <w:rPr>
          <w:rStyle w:val="af6"/>
          <w:rFonts w:eastAsia="Guttman Hodes" w:hint="cs"/>
          <w:rtl/>
        </w:rPr>
        <w:t>(סי' ק"ג משב"ז סק"א ד"ה אמנם כן)</w:t>
      </w:r>
      <w:r w:rsidRPr="00D47CE7">
        <w:rPr>
          <w:rFonts w:hint="cs"/>
          <w:rtl/>
        </w:rPr>
        <w:t xml:space="preserve"> את דברי </w:t>
      </w:r>
      <w:r w:rsidRPr="00D47CE7">
        <w:rPr>
          <w:rStyle w:val="af8"/>
          <w:rFonts w:hint="cs"/>
          <w:rtl/>
        </w:rPr>
        <w:t>הרשב"א בתוה"ב</w:t>
      </w:r>
      <w:r w:rsidRPr="00D47CE7">
        <w:rPr>
          <w:rStyle w:val="af6"/>
          <w:rFonts w:eastAsia="Guttman Hodes" w:hint="cs"/>
          <w:rtl/>
        </w:rPr>
        <w:t xml:space="preserve"> (עי'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Ref18250218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D47CE7">
        <w:rPr>
          <w:rStyle w:val="af6"/>
          <w:rFonts w:eastAsia="Guttman Hodes"/>
          <w:rtl/>
        </w:rPr>
        <w:fldChar w:fldCharType="end"/>
      </w:r>
      <w:r w:rsidRPr="00D47CE7">
        <w:rPr>
          <w:rFonts w:hint="cs"/>
          <w:rtl/>
        </w:rPr>
        <w:t xml:space="preserve"> דביאר את הילפותא מנבילה לנותן טעם לפגם, דכמו שנבילה שהייתה משובחת וכשנפגמה הותרה, ה"ה בשאר איסורים שהתערבו בהיתר ופגמו אותו, דכמו שהם עצמם מותרים כשנפגמו, ה"ה כשפגמו את התערובת, דלא אסרה תורה טעם כעיקר כשנתן טעם פגום, וביאר </w:t>
      </w:r>
      <w:r w:rsidRPr="00D47CE7">
        <w:rPr>
          <w:rStyle w:val="af8"/>
          <w:rFonts w:hint="cs"/>
          <w:rtl/>
        </w:rPr>
        <w:t>הפרמ"ג</w:t>
      </w:r>
      <w:r w:rsidRPr="00D47CE7">
        <w:rPr>
          <w:rFonts w:hint="cs"/>
          <w:rtl/>
        </w:rPr>
        <w:t xml:space="preserve"> </w:t>
      </w:r>
      <w:r w:rsidRPr="00D47CE7">
        <w:rPr>
          <w:rStyle w:val="af6"/>
          <w:rFonts w:eastAsia="Guttman Hodes" w:hint="cs"/>
          <w:rtl/>
        </w:rPr>
        <w:t>(סי' ק"ג משב"ז סק"א ד"ה אמנם כן)</w:t>
      </w:r>
      <w:r w:rsidRPr="00D47CE7">
        <w:rPr>
          <w:rFonts w:hint="cs"/>
          <w:rtl/>
        </w:rPr>
        <w:t xml:space="preserve"> דכוונת </w:t>
      </w:r>
      <w:r w:rsidRPr="00D47CE7">
        <w:rPr>
          <w:rStyle w:val="af8"/>
          <w:rFonts w:hint="cs"/>
          <w:rtl/>
        </w:rPr>
        <w:t>הרשב"א</w:t>
      </w:r>
      <w:r w:rsidRPr="00D47CE7">
        <w:rPr>
          <w:rFonts w:hint="cs"/>
          <w:rtl/>
        </w:rPr>
        <w:t xml:space="preserve"> לומר דכיון דבנבילה התירה תורה את האיסור בעין אף שמתחילה הייתה הנבילה מושבחת לגמרי, מ"מ כיון שנפסלה מאכילת אדם, פקע האיסור ממנה, לכן מסברא אמרינן דבתערובת נותן טעם לפגם מותר, וא"כ צ"ל דהא דילפינן בגמ' בפסחים </w:t>
      </w:r>
      <w:r w:rsidRPr="00D47CE7">
        <w:rPr>
          <w:rStyle w:val="af6"/>
          <w:rFonts w:eastAsia="Guttman Hodes" w:hint="cs"/>
          <w:rtl/>
        </w:rPr>
        <w:t>(מד.)</w:t>
      </w:r>
      <w:r w:rsidRPr="00D47CE7">
        <w:rPr>
          <w:rFonts w:hint="cs"/>
          <w:rtl/>
        </w:rPr>
        <w:t xml:space="preserve"> ממשרת או מגיעולי עכו"ם דטעם כעיקר אינו מתבטל ברוב, ואינו בכלל הילפותא מאחרי רבים להטות, זהו רק בטעם משובח, אבל טעם שנפגם קצת לא אסרתו תורה, והוא מותר מדין ביטול ברוב.</w:t>
      </w:r>
      <w:bookmarkEnd w:id="8513"/>
    </w:p>
    <w:p w:rsidR="007809D6" w:rsidRPr="00D47CE7" w:rsidRDefault="007809D6" w:rsidP="007809D6">
      <w:pPr>
        <w:pStyle w:val="a2"/>
        <w:rPr>
          <w:rtl/>
        </w:rPr>
      </w:pPr>
      <w:bookmarkStart w:id="8514" w:name="_Toc18250767"/>
      <w:bookmarkStart w:id="8515" w:name="_Toc18266216"/>
      <w:bookmarkStart w:id="8516" w:name="_Toc18269112"/>
      <w:bookmarkStart w:id="8517" w:name="_Toc18323809"/>
      <w:bookmarkStart w:id="8518" w:name="_Toc18397381"/>
      <w:bookmarkStart w:id="8519" w:name="_Toc18404104"/>
      <w:bookmarkStart w:id="8520" w:name="_Toc18481521"/>
      <w:r w:rsidRPr="00D47CE7">
        <w:rPr>
          <w:rFonts w:hint="cs"/>
          <w:rtl/>
        </w:rPr>
        <w:lastRenderedPageBreak/>
        <w:t>הביאור הב' בפרמ"ג דבילפותא דנבילה כלול גם דטע"כ הוא רק בטעם משובח ולא בטעם פגום</w:t>
      </w:r>
      <w:bookmarkEnd w:id="8514"/>
      <w:bookmarkEnd w:id="8515"/>
      <w:bookmarkEnd w:id="8516"/>
      <w:bookmarkEnd w:id="8517"/>
      <w:bookmarkEnd w:id="8518"/>
      <w:bookmarkEnd w:id="8519"/>
      <w:bookmarkEnd w:id="8520"/>
    </w:p>
    <w:p w:rsidR="007809D6" w:rsidRPr="00D47CE7" w:rsidRDefault="007809D6" w:rsidP="009F44AF">
      <w:pPr>
        <w:pStyle w:val="a"/>
        <w:rPr>
          <w:rtl/>
        </w:rPr>
      </w:pPr>
      <w:r w:rsidRPr="00D47CE7">
        <w:rPr>
          <w:rFonts w:hint="cs"/>
          <w:rtl/>
        </w:rPr>
        <w:t xml:space="preserve">ועוד כתב </w:t>
      </w:r>
      <w:r w:rsidRPr="00D47CE7">
        <w:rPr>
          <w:rStyle w:val="af8"/>
          <w:rFonts w:hint="cs"/>
          <w:rtl/>
        </w:rPr>
        <w:t>הפרמ"ג</w:t>
      </w:r>
      <w:r w:rsidRPr="00D47CE7">
        <w:rPr>
          <w:rFonts w:hint="cs"/>
          <w:rtl/>
        </w:rPr>
        <w:t xml:space="preserve"> דאפש"ל דהא דאמרינן בגמ' </w:t>
      </w:r>
      <w:r w:rsidRPr="00D47CE7">
        <w:rPr>
          <w:rStyle w:val="af6"/>
          <w:rFonts w:eastAsia="Guttman Hodes" w:hint="cs"/>
          <w:rtl/>
        </w:rPr>
        <w:t>(סז:)</w:t>
      </w:r>
      <w:r w:rsidRPr="00D47CE7">
        <w:rPr>
          <w:rFonts w:hint="cs"/>
          <w:rtl/>
        </w:rPr>
        <w:t xml:space="preserve"> דמנבילה ילפינן דנותן טעם לפגם מותר, היינו דהכל כלול בילפותא דנבילה, דכיון שמצינו דחילקה תורה בנבילה בין טעם משובח לטעם פגום, א"כ אמרינן דהא דאסרה תורה טעם כעיקר היינו דוקא בטעם משובח לגמרי.</w:t>
      </w:r>
      <w:r w:rsidRPr="004B6B43">
        <w:rPr>
          <w:rFonts w:hint="cs"/>
          <w:rtl/>
        </w:rPr>
        <w:t xml:space="preserve"> </w:t>
      </w:r>
      <w:r>
        <w:rPr>
          <w:rFonts w:hint="cs"/>
          <w:rtl/>
        </w:rPr>
        <w:t xml:space="preserve">[ועי' במה שביאר </w:t>
      </w:r>
      <w:r>
        <w:rPr>
          <w:rStyle w:val="af8"/>
          <w:rFonts w:hint="cs"/>
          <w:rtl/>
        </w:rPr>
        <w:t>הפרמ"ג</w:t>
      </w:r>
      <w:r>
        <w:rPr>
          <w:rFonts w:hint="cs"/>
          <w:rtl/>
        </w:rPr>
        <w:t xml:space="preserve"> </w:t>
      </w:r>
      <w:r w:rsidRPr="00BD71A1">
        <w:rPr>
          <w:rStyle w:val="af6"/>
          <w:rFonts w:eastAsia="Guttman Hodes" w:hint="cs"/>
          <w:rtl/>
        </w:rPr>
        <w:t xml:space="preserve">(הובא לקמן סימן י"ג אות </w:t>
      </w:r>
      <w:r>
        <w:rPr>
          <w:rStyle w:val="af6"/>
          <w:rFonts w:eastAsia="Guttman Hodes" w:hint="cs"/>
          <w:rtl/>
        </w:rPr>
        <w:t>ו'</w:t>
      </w:r>
      <w:r w:rsidRPr="00BD71A1">
        <w:rPr>
          <w:rStyle w:val="af6"/>
          <w:rFonts w:eastAsia="Guttman Hodes" w:hint="cs"/>
          <w:rtl/>
        </w:rPr>
        <w:t>)</w:t>
      </w:r>
      <w:r>
        <w:rPr>
          <w:rFonts w:hint="cs"/>
          <w:rtl/>
        </w:rPr>
        <w:t xml:space="preserve"> לפי"ז בדעת </w:t>
      </w:r>
      <w:r w:rsidRPr="00B95D7C">
        <w:rPr>
          <w:rStyle w:val="af8"/>
          <w:rFonts w:hint="cs"/>
          <w:rtl/>
        </w:rPr>
        <w:t>הרשב"א</w:t>
      </w:r>
      <w:r>
        <w:rPr>
          <w:rFonts w:hint="cs"/>
          <w:rtl/>
        </w:rPr>
        <w:t xml:space="preserve"> בנותן טעם לפגם בחמץ שאסור במשהו].</w:t>
      </w:r>
    </w:p>
    <w:p w:rsidR="007809D6" w:rsidRPr="00D47CE7" w:rsidRDefault="007809D6" w:rsidP="007809D6">
      <w:pPr>
        <w:pStyle w:val="1"/>
        <w:rPr>
          <w:rtl/>
        </w:rPr>
      </w:pPr>
      <w:bookmarkStart w:id="8521" w:name="_Toc18266217"/>
      <w:bookmarkStart w:id="8522" w:name="_Toc18269113"/>
      <w:bookmarkStart w:id="8523" w:name="_Toc18323810"/>
      <w:bookmarkStart w:id="8524" w:name="_Toc18397382"/>
      <w:bookmarkStart w:id="8525" w:name="_Toc18404105"/>
      <w:bookmarkStart w:id="8526" w:name="_Toc18481522"/>
      <w:r w:rsidRPr="00D47CE7">
        <w:rPr>
          <w:rFonts w:hint="cs"/>
          <w:rtl/>
        </w:rPr>
        <w:t>ביאור הפרמ"ג ברשב"א דנטל"פ בטל ברוב אף שהטעם ניכר</w:t>
      </w:r>
      <w:bookmarkEnd w:id="8521"/>
      <w:bookmarkEnd w:id="8522"/>
      <w:bookmarkEnd w:id="8523"/>
      <w:bookmarkEnd w:id="8524"/>
      <w:bookmarkEnd w:id="8525"/>
      <w:bookmarkEnd w:id="8526"/>
    </w:p>
    <w:p w:rsidR="007809D6" w:rsidRPr="00D47CE7" w:rsidRDefault="007809D6" w:rsidP="007809D6">
      <w:pPr>
        <w:pStyle w:val="a2"/>
        <w:rPr>
          <w:rtl/>
        </w:rPr>
      </w:pPr>
      <w:bookmarkStart w:id="8527" w:name="_Toc18266218"/>
      <w:bookmarkStart w:id="8528" w:name="_Toc18269114"/>
      <w:bookmarkStart w:id="8529" w:name="_Toc18323811"/>
      <w:bookmarkStart w:id="8530" w:name="_Toc18397383"/>
      <w:bookmarkStart w:id="8531" w:name="_Toc18404106"/>
      <w:bookmarkStart w:id="8532" w:name="_Toc18481523"/>
      <w:r w:rsidRPr="00D47CE7">
        <w:rPr>
          <w:rFonts w:hint="cs"/>
          <w:rtl/>
        </w:rPr>
        <w:t>קושית הפרמ"ג דאף טעם פגום ניכר ולהרשב"א בטעם הניכר לא מהני ביטול ברוב לאיסור עצמו</w:t>
      </w:r>
      <w:bookmarkEnd w:id="8527"/>
      <w:bookmarkEnd w:id="8528"/>
      <w:bookmarkEnd w:id="8529"/>
      <w:bookmarkEnd w:id="8530"/>
      <w:bookmarkEnd w:id="8531"/>
      <w:bookmarkEnd w:id="8532"/>
    </w:p>
    <w:p w:rsidR="007809D6" w:rsidRDefault="007809D6" w:rsidP="009F44AF">
      <w:pPr>
        <w:pStyle w:val="a"/>
      </w:pPr>
      <w:bookmarkStart w:id="8533" w:name="_Ref17620521"/>
      <w:r w:rsidRPr="00D47CE7">
        <w:rPr>
          <w:rFonts w:hint="cs"/>
          <w:rtl/>
        </w:rPr>
        <w:t xml:space="preserve">אך הקשה </w:t>
      </w:r>
      <w:r w:rsidRPr="00D47CE7">
        <w:rPr>
          <w:rStyle w:val="af8"/>
          <w:rFonts w:hint="cs"/>
          <w:rtl/>
        </w:rPr>
        <w:t>הפרמ"ג</w:t>
      </w:r>
      <w:r w:rsidRPr="00D47CE7">
        <w:rPr>
          <w:rFonts w:hint="cs"/>
          <w:rtl/>
        </w:rPr>
        <w:t xml:space="preserve"> דהרי </w:t>
      </w:r>
      <w:r w:rsidRPr="00D47CE7">
        <w:rPr>
          <w:rStyle w:val="af8"/>
          <w:rFonts w:hint="cs"/>
          <w:rtl/>
        </w:rPr>
        <w:t>הרשב"א בחולין</w:t>
      </w:r>
      <w:r w:rsidRPr="00D47CE7">
        <w:rPr>
          <w:rFonts w:hint="cs"/>
          <w:rtl/>
        </w:rPr>
        <w:t xml:space="preserve"> </w:t>
      </w:r>
      <w:r w:rsidRPr="00D47CE7">
        <w:rPr>
          <w:rStyle w:val="af6"/>
          <w:rFonts w:eastAsia="Guttman Hodes" w:hint="cs"/>
          <w:rtl/>
        </w:rPr>
        <w:t>(צח: ד"ה וקשיא, הובא לעיל סימן ח' אות סט)</w:t>
      </w:r>
      <w:r w:rsidRPr="00D47CE7">
        <w:rPr>
          <w:rFonts w:hint="cs"/>
          <w:rtl/>
        </w:rPr>
        <w:t xml:space="preserve"> כתב בשם </w:t>
      </w:r>
      <w:r w:rsidRPr="00D47CE7">
        <w:rPr>
          <w:rStyle w:val="af8"/>
          <w:rFonts w:hint="cs"/>
          <w:rtl/>
        </w:rPr>
        <w:t>הראב"ד</w:t>
      </w:r>
      <w:r w:rsidRPr="00D47CE7">
        <w:rPr>
          <w:rFonts w:hint="cs"/>
          <w:rtl/>
        </w:rPr>
        <w:t xml:space="preserve"> דהא דטעם כעיקר אינו מתבטל ברוב, הוא כיון דההיתר מקבל טעם מהאיסור, וניכר טעם האיסור בתוך ההיתר, טעימתו זוהי הכרתו, כדכתי' "וחיך אוכל יטעם לו", וכל החשיבות של האוכל היא בטעם, וא"כ אף בנותן טעם לפגם, ניכר הטעם ואינו מתבטל ברוב, וא"כ אף אם טעם כעיקר לא נאמר בטעם פגום, הוא אסור מדאו' מחמת האיסור עצמו שלא התבטל, וא"צ לאוסרו מדין טעם כעיקר.</w:t>
      </w:r>
      <w:bookmarkEnd w:id="8533"/>
    </w:p>
    <w:p w:rsidR="007809D6" w:rsidRPr="00D47CE7" w:rsidRDefault="007809D6" w:rsidP="007809D6">
      <w:pPr>
        <w:pStyle w:val="a2"/>
        <w:rPr>
          <w:rtl/>
        </w:rPr>
      </w:pPr>
      <w:bookmarkStart w:id="8534" w:name="_Toc18266219"/>
      <w:bookmarkStart w:id="8535" w:name="_Toc18269115"/>
      <w:bookmarkStart w:id="8536" w:name="_Toc18323812"/>
      <w:bookmarkStart w:id="8537" w:name="_Toc18397384"/>
      <w:bookmarkStart w:id="8538" w:name="_Toc18404107"/>
      <w:bookmarkStart w:id="8539" w:name="_Toc18481524"/>
      <w:r w:rsidRPr="00D47CE7">
        <w:rPr>
          <w:rFonts w:hint="cs"/>
          <w:rtl/>
        </w:rPr>
        <w:t>קושית הפרמ"ג דבאיסור שמאוס מעיקרו הטעם הפגום אסור והוא ניכר ולא בטל ברוב</w:t>
      </w:r>
      <w:bookmarkEnd w:id="8534"/>
      <w:bookmarkEnd w:id="8535"/>
      <w:bookmarkEnd w:id="8536"/>
      <w:bookmarkEnd w:id="8537"/>
      <w:bookmarkEnd w:id="8538"/>
      <w:bookmarkEnd w:id="8539"/>
    </w:p>
    <w:p w:rsidR="007809D6" w:rsidRPr="00D47CE7" w:rsidRDefault="007809D6" w:rsidP="009F44AF">
      <w:pPr>
        <w:pStyle w:val="a"/>
        <w:rPr>
          <w:rtl/>
        </w:rPr>
      </w:pPr>
      <w:bookmarkStart w:id="8540" w:name="_Ref15936325"/>
      <w:r w:rsidRPr="00D47CE7">
        <w:rPr>
          <w:rFonts w:hint="cs"/>
          <w:rtl/>
        </w:rPr>
        <w:t xml:space="preserve">והוסיף </w:t>
      </w:r>
      <w:r w:rsidRPr="00D47CE7">
        <w:rPr>
          <w:rStyle w:val="af8"/>
          <w:rFonts w:hint="cs"/>
          <w:rtl/>
        </w:rPr>
        <w:t>הפרמ"ג</w:t>
      </w:r>
      <w:r w:rsidRPr="00D47CE7">
        <w:rPr>
          <w:rFonts w:hint="cs"/>
          <w:rtl/>
        </w:rPr>
        <w:t xml:space="preserve"> דיותר קשה מדברים שמאוסים מעיקרם </w:t>
      </w:r>
      <w:r w:rsidRPr="00D47CE7">
        <w:rPr>
          <w:rStyle w:val="afa"/>
          <w:rFonts w:hint="cs"/>
          <w:rtl/>
        </w:rPr>
        <w:t>[כזבובים ויתושים]</w:t>
      </w:r>
      <w:r w:rsidRPr="00D47CE7">
        <w:rPr>
          <w:rFonts w:hint="cs"/>
          <w:rtl/>
        </w:rPr>
        <w:t>, דהאיסור שאסרתם תורה, הם כשהם פגומים, וא"כ האיך אפש"ל דהם בטלים ברוב, הא טעימתם זוהי הכרתם.</w:t>
      </w:r>
      <w:bookmarkEnd w:id="8540"/>
    </w:p>
    <w:p w:rsidR="007809D6" w:rsidRPr="00D47CE7" w:rsidRDefault="007809D6" w:rsidP="007809D6">
      <w:pPr>
        <w:pStyle w:val="a2"/>
        <w:rPr>
          <w:rtl/>
        </w:rPr>
      </w:pPr>
      <w:bookmarkStart w:id="8541" w:name="_Toc18266220"/>
      <w:bookmarkStart w:id="8542" w:name="_Toc18269116"/>
      <w:bookmarkStart w:id="8543" w:name="_Toc18323813"/>
      <w:bookmarkStart w:id="8544" w:name="_Toc18397385"/>
      <w:bookmarkStart w:id="8545" w:name="_Toc18404108"/>
      <w:bookmarkStart w:id="8546" w:name="_Toc18481525"/>
      <w:r w:rsidRPr="00D47CE7">
        <w:rPr>
          <w:rFonts w:hint="cs"/>
          <w:rtl/>
        </w:rPr>
        <w:t>דברי הפרמ"ג דטעם פגום טעימתו לא חשיבא כהכרתו</w:t>
      </w:r>
      <w:bookmarkEnd w:id="8541"/>
      <w:bookmarkEnd w:id="8542"/>
      <w:r w:rsidRPr="00D47CE7">
        <w:rPr>
          <w:rFonts w:hint="cs"/>
          <w:rtl/>
        </w:rPr>
        <w:t xml:space="preserve"> ומהני ביטול ברוב</w:t>
      </w:r>
      <w:bookmarkEnd w:id="8543"/>
      <w:bookmarkEnd w:id="8544"/>
      <w:bookmarkEnd w:id="8545"/>
      <w:bookmarkEnd w:id="8546"/>
    </w:p>
    <w:p w:rsidR="007809D6" w:rsidRPr="00D47CE7" w:rsidRDefault="007809D6" w:rsidP="009F44AF">
      <w:pPr>
        <w:pStyle w:val="a"/>
        <w:rPr>
          <w:rtl/>
        </w:rPr>
      </w:pPr>
      <w:bookmarkStart w:id="8547" w:name="_Ref18314049"/>
      <w:r w:rsidRPr="00D47CE7">
        <w:rPr>
          <w:rFonts w:hint="cs"/>
          <w:rtl/>
        </w:rPr>
        <w:t xml:space="preserve">ותירץ </w:t>
      </w:r>
      <w:r w:rsidRPr="00D47CE7">
        <w:rPr>
          <w:rStyle w:val="af8"/>
          <w:rFonts w:hint="cs"/>
          <w:rtl/>
        </w:rPr>
        <w:t>הפרמ"ג</w:t>
      </w:r>
      <w:r w:rsidRPr="00D47CE7">
        <w:rPr>
          <w:rFonts w:hint="cs"/>
          <w:rtl/>
        </w:rPr>
        <w:t xml:space="preserve"> דכל טעם שאינו טעם משובח, טעימתו לא חשיבא כהכרתו, וכיון שאינו ניכר הוא בטל ברוב בעלמא, והוסיף </w:t>
      </w:r>
      <w:r w:rsidRPr="00D47CE7">
        <w:rPr>
          <w:rStyle w:val="af8"/>
          <w:rFonts w:hint="cs"/>
          <w:rtl/>
        </w:rPr>
        <w:t>הפרמ"ג</w:t>
      </w:r>
      <w:r w:rsidRPr="00D47CE7">
        <w:rPr>
          <w:rFonts w:hint="cs"/>
          <w:rtl/>
        </w:rPr>
        <w:t xml:space="preserve"> </w:t>
      </w:r>
      <w:r w:rsidRPr="00D47CE7">
        <w:rPr>
          <w:rStyle w:val="af6"/>
          <w:rFonts w:eastAsia="Guttman Hodes" w:hint="cs"/>
          <w:rtl/>
        </w:rPr>
        <w:t xml:space="preserve">(פתיחה שער התערובות ח"ג פ"ג ד"ה עוד אבאר לך) </w:t>
      </w:r>
      <w:r w:rsidRPr="00D47CE7">
        <w:rPr>
          <w:rFonts w:hint="cs"/>
          <w:rtl/>
        </w:rPr>
        <w:t xml:space="preserve">דילפינן מנבילה דכל שאינו נהנה מהאיסור כשאינה ראויה לגר מותר, ה"ה בפגום במקצת דאינו נהנה מהטעם דאדרבא הטעם הפגום מצערו ודמי ממש לנבילה שאינה ראויה, ואף שאוכל את האיסור עצמו הוא בטל ברוב, אך כתב </w:t>
      </w:r>
      <w:r w:rsidRPr="00D47CE7">
        <w:rPr>
          <w:rStyle w:val="af8"/>
          <w:rFonts w:hint="cs"/>
          <w:rtl/>
        </w:rPr>
        <w:t>היד יהודה</w:t>
      </w:r>
      <w:r w:rsidRPr="00D47CE7">
        <w:rPr>
          <w:rFonts w:hint="cs"/>
          <w:rtl/>
        </w:rPr>
        <w:t xml:space="preserve"> </w:t>
      </w:r>
      <w:r w:rsidRPr="00D47CE7">
        <w:rPr>
          <w:rStyle w:val="af6"/>
          <w:rFonts w:eastAsia="Guttman Hodes" w:hint="cs"/>
          <w:rtl/>
        </w:rPr>
        <w:t>(סי' ק"ג סק"א ד"ה הנה בעכו"ם)</w:t>
      </w:r>
      <w:r w:rsidRPr="00D47CE7">
        <w:rPr>
          <w:rFonts w:hint="cs"/>
          <w:rtl/>
        </w:rPr>
        <w:t xml:space="preserve"> דביאור </w:t>
      </w:r>
      <w:r w:rsidRPr="00D47CE7">
        <w:rPr>
          <w:rStyle w:val="af8"/>
          <w:rFonts w:hint="cs"/>
          <w:rtl/>
        </w:rPr>
        <w:t>הפרמ"ג</w:t>
      </w:r>
      <w:r w:rsidRPr="00D47CE7">
        <w:rPr>
          <w:rFonts w:hint="cs"/>
          <w:rtl/>
        </w:rPr>
        <w:t xml:space="preserve"> הוא דוחק, דמ"מ הטעם ניכר ואינו מתבטל</w:t>
      </w:r>
      <w:bookmarkEnd w:id="8547"/>
      <w:r>
        <w:rPr>
          <w:rFonts w:hint="cs"/>
          <w:rtl/>
        </w:rPr>
        <w:t>. [ועי' במה שביאר</w:t>
      </w:r>
      <w:r w:rsidRPr="003B2840">
        <w:rPr>
          <w:rStyle w:val="af8"/>
          <w:rFonts w:hint="cs"/>
          <w:rtl/>
        </w:rPr>
        <w:t xml:space="preserve"> היד יהודה</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Ref16849850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3B2840">
        <w:rPr>
          <w:rStyle w:val="af6"/>
          <w:rFonts w:eastAsia="Guttman Hodes"/>
          <w:rtl/>
        </w:rPr>
        <w:fldChar w:fldCharType="end"/>
      </w:r>
      <w:r>
        <w:rPr>
          <w:rFonts w:hint="cs"/>
          <w:rtl/>
        </w:rPr>
        <w:t xml:space="preserve"> ובמ"ש </w:t>
      </w:r>
      <w:r w:rsidRPr="003B2840">
        <w:rPr>
          <w:rStyle w:val="af8"/>
          <w:rFonts w:hint="cs"/>
          <w:rtl/>
        </w:rPr>
        <w:t>הגר"ח</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Ref18403740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3B2840">
        <w:rPr>
          <w:rStyle w:val="af6"/>
          <w:rFonts w:eastAsia="Guttman Hodes"/>
          <w:rtl/>
        </w:rPr>
        <w:fldChar w:fldCharType="end"/>
      </w:r>
      <w:r w:rsidRPr="00373178">
        <w:rPr>
          <w:rStyle w:val="af8"/>
          <w:rFonts w:hint="cs"/>
          <w:rtl/>
        </w:rPr>
        <w:t xml:space="preserve"> </w:t>
      </w:r>
      <w:r>
        <w:rPr>
          <w:rStyle w:val="af8"/>
          <w:rFonts w:hint="cs"/>
          <w:rtl/>
        </w:rPr>
        <w:t>ו</w:t>
      </w:r>
      <w:r w:rsidRPr="00FE122A">
        <w:rPr>
          <w:rStyle w:val="af8"/>
          <w:rFonts w:hint="cs"/>
          <w:rtl/>
        </w:rPr>
        <w:t>הקה"י</w:t>
      </w:r>
      <w:r>
        <w:rPr>
          <w:rFonts w:hint="cs"/>
          <w:rtl/>
        </w:rPr>
        <w:t xml:space="preserve"> </w:t>
      </w:r>
      <w:r w:rsidRPr="00FE122A">
        <w:rPr>
          <w:rStyle w:val="af6"/>
          <w:rFonts w:eastAsia="Guttman Hodes" w:hint="cs"/>
          <w:rtl/>
        </w:rPr>
        <w:t xml:space="preserve">(עי'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Ref18441490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קכז)</w:t>
      </w:r>
      <w:r w:rsidRPr="00FE122A">
        <w:rPr>
          <w:rStyle w:val="af6"/>
          <w:rFonts w:eastAsia="Guttman Hodes"/>
          <w:rtl/>
        </w:rPr>
        <w:fldChar w:fldCharType="end"/>
      </w:r>
      <w:r>
        <w:rPr>
          <w:rFonts w:hint="cs"/>
          <w:rtl/>
        </w:rPr>
        <w:t>].</w:t>
      </w:r>
    </w:p>
    <w:p w:rsidR="007809D6" w:rsidRPr="00D47CE7" w:rsidRDefault="007809D6" w:rsidP="007809D6">
      <w:pPr>
        <w:pStyle w:val="a2"/>
        <w:rPr>
          <w:rtl/>
        </w:rPr>
      </w:pPr>
      <w:bookmarkStart w:id="8548" w:name="_Toc18266221"/>
      <w:bookmarkStart w:id="8549" w:name="_Toc18269117"/>
      <w:bookmarkStart w:id="8550" w:name="_Toc18323814"/>
      <w:bookmarkStart w:id="8551" w:name="_Toc18397386"/>
      <w:bookmarkStart w:id="8552" w:name="_Toc18404109"/>
      <w:bookmarkStart w:id="8553" w:name="_Toc18481526"/>
      <w:bookmarkStart w:id="8554" w:name="_Toc16116622"/>
      <w:bookmarkStart w:id="8555" w:name="_Toc16243780"/>
      <w:bookmarkStart w:id="8556" w:name="_Toc16679279"/>
      <w:r w:rsidRPr="00D47CE7">
        <w:rPr>
          <w:rFonts w:hint="cs"/>
          <w:rtl/>
        </w:rPr>
        <w:t>דברי הפרמ"ג דלדעת הרשב"א נטל"פ מותר אף באיסור שהגדיל את מידת ההיתר דבטל ברוב</w:t>
      </w:r>
      <w:bookmarkEnd w:id="8548"/>
      <w:bookmarkEnd w:id="8549"/>
      <w:bookmarkEnd w:id="8550"/>
      <w:bookmarkEnd w:id="8551"/>
      <w:bookmarkEnd w:id="8552"/>
      <w:bookmarkEnd w:id="8553"/>
    </w:p>
    <w:p w:rsidR="007809D6" w:rsidRPr="00D47CE7" w:rsidRDefault="007809D6" w:rsidP="009F44AF">
      <w:pPr>
        <w:pStyle w:val="a"/>
        <w:rPr>
          <w:rtl/>
        </w:rPr>
      </w:pPr>
      <w:bookmarkStart w:id="8557" w:name="_Ref18337238"/>
      <w:r w:rsidRPr="00D47CE7">
        <w:rPr>
          <w:rFonts w:hint="cs"/>
          <w:rtl/>
        </w:rPr>
        <w:t xml:space="preserve">והוסיף </w:t>
      </w:r>
      <w:r w:rsidRPr="00D47CE7">
        <w:rPr>
          <w:rStyle w:val="af8"/>
          <w:rFonts w:hint="cs"/>
          <w:rtl/>
        </w:rPr>
        <w:t>הפרמ"ג</w:t>
      </w:r>
      <w:r w:rsidRPr="00D47CE7">
        <w:rPr>
          <w:rFonts w:hint="cs"/>
          <w:rtl/>
        </w:rPr>
        <w:t xml:space="preserve"> </w:t>
      </w:r>
      <w:r w:rsidRPr="00D47CE7">
        <w:rPr>
          <w:rStyle w:val="af6"/>
          <w:rFonts w:eastAsia="Guttman Hodes" w:hint="cs"/>
          <w:rtl/>
        </w:rPr>
        <w:t>(סי' ק"ג משב"ז סק"א ד"ה אמנם כן)</w:t>
      </w:r>
      <w:r w:rsidRPr="00D47CE7">
        <w:rPr>
          <w:rFonts w:hint="cs"/>
          <w:rtl/>
        </w:rPr>
        <w:t xml:space="preserve"> דכיון דלדעת </w:t>
      </w:r>
      <w:r w:rsidRPr="00D47CE7">
        <w:rPr>
          <w:rStyle w:val="af8"/>
          <w:rFonts w:hint="cs"/>
          <w:rtl/>
        </w:rPr>
        <w:t>הרשב"א</w:t>
      </w:r>
      <w:r w:rsidRPr="00D47CE7">
        <w:rPr>
          <w:rFonts w:hint="cs"/>
          <w:rtl/>
        </w:rPr>
        <w:t xml:space="preserve"> טעם פגום לא חשיב שהוא ניכר, ומהני בו ביטול ברוב, לכן ס"ל </w:t>
      </w:r>
      <w:r w:rsidRPr="00D47CE7">
        <w:rPr>
          <w:rStyle w:val="af8"/>
          <w:rFonts w:hint="cs"/>
          <w:rtl/>
        </w:rPr>
        <w:t>להרשב"א</w:t>
      </w:r>
      <w:r w:rsidRPr="00D47CE7">
        <w:rPr>
          <w:rFonts w:hint="cs"/>
          <w:rtl/>
        </w:rPr>
        <w:t xml:space="preserve"> דאף במקום שהאיסור הפגום הגדיל את מידת ההיתר והשביחו בזה, מ"מ כיון שהוא מתבטל ברוב מותר, ודלא </w:t>
      </w:r>
      <w:r w:rsidRPr="00D47CE7">
        <w:rPr>
          <w:rStyle w:val="af8"/>
          <w:rFonts w:hint="cs"/>
          <w:rtl/>
        </w:rPr>
        <w:t>כהר"ן</w:t>
      </w:r>
      <w:r w:rsidRPr="00D47CE7">
        <w:rPr>
          <w:rStyle w:val="af6"/>
          <w:rFonts w:eastAsia="Guttman Hodes" w:hint="cs"/>
          <w:rtl/>
        </w:rPr>
        <w:t xml:space="preserve"> (עי'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Ref16850208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D47CE7">
        <w:rPr>
          <w:rStyle w:val="af6"/>
          <w:rFonts w:eastAsia="Guttman Hodes"/>
          <w:rtl/>
        </w:rPr>
        <w:fldChar w:fldCharType="end"/>
      </w:r>
      <w:r>
        <w:rPr>
          <w:rFonts w:hint="cs"/>
          <w:rtl/>
        </w:rPr>
        <w:t>. [</w:t>
      </w:r>
      <w:r w:rsidRPr="00D47CE7">
        <w:rPr>
          <w:rFonts w:hint="cs"/>
          <w:rtl/>
        </w:rPr>
        <w:t xml:space="preserve">וכ"כ </w:t>
      </w:r>
      <w:r w:rsidRPr="00D47CE7">
        <w:rPr>
          <w:rStyle w:val="af8"/>
          <w:rFonts w:hint="cs"/>
          <w:rtl/>
        </w:rPr>
        <w:t>היד יהודה</w:t>
      </w:r>
      <w:r w:rsidRPr="00D47CE7">
        <w:rPr>
          <w:rFonts w:hint="cs"/>
          <w:rtl/>
        </w:rPr>
        <w:t xml:space="preserve"> </w:t>
      </w:r>
      <w:r w:rsidRPr="00D47CE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Ref18338379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Pr>
          <w:rStyle w:val="af6"/>
          <w:rFonts w:eastAsia="Guttman Hodes"/>
          <w:rtl/>
        </w:rPr>
        <w:fldChar w:fldCharType="end"/>
      </w:r>
      <w:r>
        <w:rPr>
          <w:rStyle w:val="af6"/>
          <w:rFonts w:eastAsia="Guttman Hodes" w:hint="cs"/>
          <w:rtl/>
        </w:rPr>
        <w:t xml:space="preserve"> </w:t>
      </w:r>
      <w:r w:rsidRPr="00D47CE7">
        <w:rPr>
          <w:rStyle w:val="af8"/>
          <w:rFonts w:hint="cs"/>
          <w:rtl/>
        </w:rPr>
        <w:t>והחת"ס</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Ref18337312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D47CE7">
        <w:rPr>
          <w:rStyle w:val="af6"/>
          <w:rFonts w:eastAsia="Guttman Hodes"/>
          <w:rtl/>
        </w:rPr>
        <w:fldChar w:fldCharType="end"/>
      </w:r>
      <w:r>
        <w:rPr>
          <w:rFonts w:hint="cs"/>
          <w:rtl/>
        </w:rPr>
        <w:t xml:space="preserve"> ועי' במה שביאר בזה </w:t>
      </w:r>
      <w:r w:rsidRPr="002225CE">
        <w:rPr>
          <w:rStyle w:val="af8"/>
          <w:rFonts w:hint="cs"/>
          <w:rtl/>
        </w:rPr>
        <w:t>הקה"י</w:t>
      </w:r>
      <w:r>
        <w:rPr>
          <w:rFonts w:hint="cs"/>
          <w:rtl/>
        </w:rPr>
        <w:t xml:space="preserve"> </w:t>
      </w:r>
      <w:r w:rsidRPr="002225CE">
        <w:rPr>
          <w:rStyle w:val="af6"/>
          <w:rFonts w:eastAsia="Guttman Hodes" w:hint="cs"/>
          <w:rtl/>
        </w:rPr>
        <w:t xml:space="preserve">(עי' אות </w:t>
      </w:r>
      <w:r w:rsidRPr="002225CE">
        <w:rPr>
          <w:rStyle w:val="af6"/>
          <w:rFonts w:eastAsia="Guttman Hodes"/>
          <w:rtl/>
        </w:rPr>
        <w:fldChar w:fldCharType="begin"/>
      </w:r>
      <w:r w:rsidRPr="002225CE">
        <w:rPr>
          <w:rStyle w:val="af6"/>
          <w:rFonts w:eastAsia="Guttman Hodes"/>
          <w:rtl/>
        </w:rPr>
        <w:instrText xml:space="preserve"> </w:instrText>
      </w:r>
      <w:r w:rsidRPr="002225CE">
        <w:rPr>
          <w:rStyle w:val="af6"/>
          <w:rFonts w:eastAsia="Guttman Hodes" w:hint="cs"/>
        </w:rPr>
        <w:instrText>REF</w:instrText>
      </w:r>
      <w:r w:rsidRPr="002225CE">
        <w:rPr>
          <w:rStyle w:val="af6"/>
          <w:rFonts w:eastAsia="Guttman Hodes" w:hint="cs"/>
          <w:rtl/>
        </w:rPr>
        <w:instrText xml:space="preserve"> _</w:instrText>
      </w:r>
      <w:r w:rsidRPr="002225CE">
        <w:rPr>
          <w:rStyle w:val="af6"/>
          <w:rFonts w:eastAsia="Guttman Hodes" w:hint="cs"/>
        </w:rPr>
        <w:instrText>Ref18424400 \r \h</w:instrText>
      </w:r>
      <w:r w:rsidRPr="002225CE">
        <w:rPr>
          <w:rStyle w:val="af6"/>
          <w:rFonts w:eastAsia="Guttman Hodes"/>
          <w:rtl/>
        </w:rPr>
        <w:instrText xml:space="preserve"> </w:instrText>
      </w:r>
      <w:r w:rsidRPr="002225CE">
        <w:rPr>
          <w:rStyle w:val="af6"/>
          <w:rFonts w:eastAsia="Guttman Hodes"/>
          <w:rtl/>
        </w:rPr>
      </w:r>
      <w:r w:rsidRPr="002225CE">
        <w:rPr>
          <w:rStyle w:val="af6"/>
          <w:rFonts w:eastAsia="Guttman Hodes"/>
          <w:rtl/>
        </w:rPr>
        <w:fldChar w:fldCharType="separate"/>
      </w:r>
      <w:r w:rsidR="004D1C5B">
        <w:rPr>
          <w:rStyle w:val="af6"/>
          <w:rFonts w:eastAsia="Guttman Hodes"/>
          <w:cs/>
        </w:rPr>
        <w:t>‎</w:t>
      </w:r>
      <w:r w:rsidR="004D1C5B">
        <w:rPr>
          <w:rStyle w:val="af6"/>
          <w:rFonts w:eastAsia="Guttman Hodes"/>
          <w:rtl/>
        </w:rPr>
        <w:t>קיד)</w:t>
      </w:r>
      <w:r w:rsidRPr="002225CE">
        <w:rPr>
          <w:rStyle w:val="af6"/>
          <w:rFonts w:eastAsia="Guttman Hodes"/>
          <w:rtl/>
        </w:rPr>
        <w:fldChar w:fldCharType="end"/>
      </w:r>
      <w:r>
        <w:rPr>
          <w:rFonts w:hint="cs"/>
          <w:rtl/>
        </w:rPr>
        <w:t>]</w:t>
      </w:r>
      <w:r w:rsidRPr="00D47CE7">
        <w:rPr>
          <w:rFonts w:hint="cs"/>
          <w:rtl/>
        </w:rPr>
        <w:t>.</w:t>
      </w:r>
      <w:bookmarkEnd w:id="8557"/>
    </w:p>
    <w:p w:rsidR="007809D6" w:rsidRPr="00D47CE7" w:rsidRDefault="007809D6" w:rsidP="007809D6">
      <w:pPr>
        <w:pStyle w:val="1"/>
        <w:rPr>
          <w:rtl/>
        </w:rPr>
      </w:pPr>
      <w:bookmarkStart w:id="8558" w:name="_Toc16850482"/>
      <w:bookmarkStart w:id="8559" w:name="_Toc17624855"/>
      <w:bookmarkStart w:id="8560" w:name="_Toc17889804"/>
      <w:bookmarkStart w:id="8561" w:name="_Toc17975426"/>
      <w:bookmarkStart w:id="8562" w:name="_Toc17984114"/>
      <w:bookmarkStart w:id="8563" w:name="_Toc18228239"/>
      <w:bookmarkStart w:id="8564" w:name="_Toc18250769"/>
      <w:bookmarkStart w:id="8565" w:name="_Toc18266222"/>
      <w:bookmarkStart w:id="8566" w:name="_Toc18269118"/>
      <w:bookmarkStart w:id="8567" w:name="_Toc18323815"/>
      <w:bookmarkStart w:id="8568" w:name="_Toc18397387"/>
      <w:bookmarkStart w:id="8569" w:name="_Toc18404110"/>
      <w:bookmarkStart w:id="8570" w:name="_Toc18481527"/>
      <w:r w:rsidRPr="00D47CE7">
        <w:rPr>
          <w:rFonts w:hint="cs"/>
          <w:rtl/>
        </w:rPr>
        <w:t>ביאור היד יהודה ברשב"א</w:t>
      </w:r>
      <w:bookmarkEnd w:id="8558"/>
      <w:bookmarkEnd w:id="8559"/>
      <w:bookmarkEnd w:id="8560"/>
      <w:bookmarkEnd w:id="8561"/>
      <w:bookmarkEnd w:id="8562"/>
      <w:bookmarkEnd w:id="8563"/>
      <w:bookmarkEnd w:id="8564"/>
      <w:bookmarkEnd w:id="8565"/>
      <w:r w:rsidRPr="00D47CE7">
        <w:rPr>
          <w:rFonts w:hint="cs"/>
          <w:rtl/>
        </w:rPr>
        <w:t xml:space="preserve"> דטעם שמותר בטל ברוב אף שניכר</w:t>
      </w:r>
      <w:bookmarkEnd w:id="8566"/>
      <w:bookmarkEnd w:id="8567"/>
      <w:bookmarkEnd w:id="8568"/>
      <w:bookmarkEnd w:id="8569"/>
      <w:bookmarkEnd w:id="8570"/>
      <w:r w:rsidRPr="00D47CE7">
        <w:rPr>
          <w:rFonts w:hint="cs"/>
          <w:rtl/>
        </w:rPr>
        <w:t xml:space="preserve"> </w:t>
      </w:r>
    </w:p>
    <w:p w:rsidR="007809D6" w:rsidRPr="00D47CE7" w:rsidRDefault="007809D6" w:rsidP="007809D6">
      <w:pPr>
        <w:pStyle w:val="a2"/>
      </w:pPr>
      <w:bookmarkStart w:id="8571" w:name="_Toc18266223"/>
      <w:bookmarkStart w:id="8572" w:name="_Toc18269119"/>
      <w:bookmarkStart w:id="8573" w:name="_Toc18323816"/>
      <w:bookmarkStart w:id="8574" w:name="_Toc18397388"/>
      <w:bookmarkStart w:id="8575" w:name="_Toc18404111"/>
      <w:bookmarkStart w:id="8576" w:name="_Toc18481528"/>
      <w:r w:rsidRPr="00D47CE7">
        <w:rPr>
          <w:rFonts w:hint="cs"/>
          <w:rtl/>
        </w:rPr>
        <w:t>ביאור היד יהודה דילפינן מנבילה דבקץ באכילתו מותר ובנטל"פ אף בפגום במקצת הוא קץ בו</w:t>
      </w:r>
      <w:bookmarkEnd w:id="8571"/>
      <w:bookmarkEnd w:id="8572"/>
      <w:bookmarkEnd w:id="8573"/>
      <w:bookmarkEnd w:id="8574"/>
      <w:bookmarkEnd w:id="8575"/>
      <w:bookmarkEnd w:id="8576"/>
    </w:p>
    <w:p w:rsidR="007809D6" w:rsidRPr="00D47CE7" w:rsidRDefault="007809D6" w:rsidP="009F44AF">
      <w:pPr>
        <w:pStyle w:val="a"/>
        <w:rPr>
          <w:rtl/>
        </w:rPr>
      </w:pPr>
      <w:bookmarkStart w:id="8577" w:name="_Ref16849697"/>
      <w:r w:rsidRPr="00D47CE7">
        <w:rPr>
          <w:rFonts w:hint="cs"/>
          <w:rtl/>
        </w:rPr>
        <w:t xml:space="preserve">הביא </w:t>
      </w:r>
      <w:r w:rsidRPr="00D47CE7">
        <w:rPr>
          <w:rStyle w:val="af8"/>
          <w:rFonts w:hint="cs"/>
          <w:rtl/>
        </w:rPr>
        <w:t>היד יהודה</w:t>
      </w:r>
      <w:r w:rsidRPr="00D47CE7">
        <w:rPr>
          <w:rFonts w:hint="cs"/>
          <w:rtl/>
        </w:rPr>
        <w:t xml:space="preserve"> </w:t>
      </w:r>
      <w:r w:rsidRPr="00D47CE7">
        <w:rPr>
          <w:rStyle w:val="af6"/>
          <w:rFonts w:eastAsia="Guttman Hodes" w:hint="cs"/>
          <w:rtl/>
        </w:rPr>
        <w:t>(סי' ק"ג סק"א ד"ה הנה בעכו"ם)</w:t>
      </w:r>
      <w:r w:rsidRPr="00D47CE7">
        <w:rPr>
          <w:rFonts w:hint="cs"/>
          <w:rtl/>
        </w:rPr>
        <w:t xml:space="preserve"> את דברי </w:t>
      </w:r>
      <w:r w:rsidRPr="00D47CE7">
        <w:rPr>
          <w:rStyle w:val="af8"/>
          <w:rFonts w:hint="cs"/>
          <w:rtl/>
        </w:rPr>
        <w:t>הרשב"א בחולין</w:t>
      </w:r>
      <w:r w:rsidRPr="00D47CE7">
        <w:rPr>
          <w:rFonts w:hint="cs"/>
          <w:rtl/>
        </w:rPr>
        <w:t xml:space="preserve"> </w:t>
      </w:r>
      <w:r w:rsidRPr="00D47CE7">
        <w:rPr>
          <w:rStyle w:val="af6"/>
          <w:rFonts w:eastAsia="Guttman Hodes" w:hint="cs"/>
          <w:rtl/>
        </w:rPr>
        <w:t>(צח: ד"ה וקשיא, הובא לעיל סימן ח' אות סט)</w:t>
      </w:r>
      <w:r w:rsidRPr="00D47CE7">
        <w:rPr>
          <w:rFonts w:hint="cs"/>
          <w:rtl/>
        </w:rPr>
        <w:t xml:space="preserve"> דכתב בשם </w:t>
      </w:r>
      <w:r w:rsidRPr="00D47CE7">
        <w:rPr>
          <w:rStyle w:val="af8"/>
          <w:rFonts w:hint="cs"/>
          <w:rtl/>
        </w:rPr>
        <w:t>הראב"ד</w:t>
      </w:r>
      <w:r w:rsidRPr="00D47CE7">
        <w:rPr>
          <w:rFonts w:hint="cs"/>
          <w:rtl/>
        </w:rPr>
        <w:t xml:space="preserve"> דהא דטעם כעיקר אינו מתבטל ברוב, הוא כיון דההיתר מקבל טעם מהאיסור, וניכר טעם האיסור בתוך ההיתר, טעימתו זוהי הכרתו, כדכתי' "וחיך אוכל יטעם לו", וכל החשיבות של האוכל היא בטעם, וכתב </w:t>
      </w:r>
      <w:r w:rsidRPr="00D47CE7">
        <w:rPr>
          <w:rStyle w:val="af8"/>
          <w:rFonts w:hint="cs"/>
          <w:rtl/>
        </w:rPr>
        <w:t>היד יהודה</w:t>
      </w:r>
      <w:r w:rsidRPr="00D47CE7">
        <w:rPr>
          <w:rFonts w:hint="cs"/>
          <w:rtl/>
        </w:rPr>
        <w:t xml:space="preserve"> דא"א לומר דטעם פגום בטל ברוב, דהא כיון שהטעם ניכר א"כ לא מהני בו ביטול, אלא ביאר </w:t>
      </w:r>
      <w:r w:rsidRPr="00D47CE7">
        <w:rPr>
          <w:rStyle w:val="af8"/>
          <w:rFonts w:hint="cs"/>
          <w:rtl/>
        </w:rPr>
        <w:t>היד יהודה</w:t>
      </w:r>
      <w:r w:rsidRPr="00D47CE7">
        <w:rPr>
          <w:rFonts w:hint="cs"/>
          <w:rtl/>
        </w:rPr>
        <w:t xml:space="preserve"> דכוונת </w:t>
      </w:r>
      <w:r w:rsidRPr="00D47CE7">
        <w:rPr>
          <w:rStyle w:val="af8"/>
          <w:rFonts w:hint="cs"/>
          <w:rtl/>
        </w:rPr>
        <w:t>הרשב"א בתוה"ב</w:t>
      </w:r>
      <w:r w:rsidRPr="00D47CE7">
        <w:rPr>
          <w:rStyle w:val="af6"/>
          <w:rFonts w:eastAsia="Guttman Hodes" w:hint="cs"/>
          <w:rtl/>
        </w:rPr>
        <w:t xml:space="preserve"> (עי'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Ref18250218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D47CE7">
        <w:rPr>
          <w:rStyle w:val="af6"/>
          <w:rFonts w:eastAsia="Guttman Hodes"/>
          <w:rtl/>
        </w:rPr>
        <w:fldChar w:fldCharType="end"/>
      </w:r>
      <w:r w:rsidRPr="00D47CE7">
        <w:rPr>
          <w:rFonts w:hint="cs"/>
          <w:rtl/>
        </w:rPr>
        <w:t xml:space="preserve"> לומר דהיתר נותן טעם לפגם נלמד מנבילה, אלא דבנבילה כיון שאוכל את ממשות האיסור, הוא נהנה ממנה אף כשהאיסור פגום במקצת, דהוא נעשה שבע באכילתה, לכן הנבילה אסורה כל שהיא ראויה לגר, ורק כשאינה ראויה לגמרי דהוא קץ באכילתו מותר, אבל בנותן טעם לפגם בתערובת דהוא טעמו ולא ממשו, אף בפגום במקצת הוא קץ בטעמו ואינו רוצה בו כלל, דאינו ערב לו.</w:t>
      </w:r>
      <w:bookmarkEnd w:id="8577"/>
    </w:p>
    <w:p w:rsidR="007809D6" w:rsidRPr="00D47CE7" w:rsidRDefault="007809D6" w:rsidP="007809D6">
      <w:pPr>
        <w:pStyle w:val="a2"/>
        <w:rPr>
          <w:rtl/>
        </w:rPr>
      </w:pPr>
      <w:bookmarkStart w:id="8578" w:name="_Toc18266224"/>
      <w:bookmarkStart w:id="8579" w:name="_Toc18269120"/>
      <w:bookmarkStart w:id="8580" w:name="_Toc18323817"/>
      <w:bookmarkStart w:id="8581" w:name="_Toc18397389"/>
      <w:bookmarkStart w:id="8582" w:name="_Toc18404112"/>
      <w:bookmarkStart w:id="8583" w:name="_Toc18481529"/>
      <w:r w:rsidRPr="00D47CE7">
        <w:rPr>
          <w:rFonts w:hint="cs"/>
          <w:rtl/>
        </w:rPr>
        <w:t>ביאור היד יהודה דטעם אסור גורם לממשות שלא תתבטל ע"י שהוא ניכר ואוסר את התערובת</w:t>
      </w:r>
      <w:bookmarkEnd w:id="8578"/>
      <w:bookmarkEnd w:id="8579"/>
      <w:bookmarkEnd w:id="8580"/>
      <w:bookmarkEnd w:id="8581"/>
      <w:bookmarkEnd w:id="8582"/>
      <w:bookmarkEnd w:id="8583"/>
    </w:p>
    <w:p w:rsidR="007809D6" w:rsidRPr="00D47CE7" w:rsidRDefault="007809D6" w:rsidP="009F44AF">
      <w:pPr>
        <w:pStyle w:val="a"/>
        <w:rPr>
          <w:rtl/>
        </w:rPr>
      </w:pPr>
      <w:bookmarkStart w:id="8584" w:name="_Ref16847046"/>
      <w:r w:rsidRPr="00D47CE7">
        <w:rPr>
          <w:rFonts w:hint="cs"/>
          <w:rtl/>
        </w:rPr>
        <w:t xml:space="preserve">ובמ"ש </w:t>
      </w:r>
      <w:r w:rsidRPr="00D47CE7">
        <w:rPr>
          <w:rStyle w:val="af8"/>
          <w:rFonts w:hint="cs"/>
          <w:rtl/>
        </w:rPr>
        <w:t>הרשב"א בחולין</w:t>
      </w:r>
      <w:r w:rsidRPr="00D47CE7">
        <w:rPr>
          <w:rFonts w:hint="cs"/>
          <w:rtl/>
        </w:rPr>
        <w:t xml:space="preserve"> דבטעם כעיקר לא מהני ביטול ברוב, ביאר </w:t>
      </w:r>
      <w:r w:rsidRPr="00D47CE7">
        <w:rPr>
          <w:rStyle w:val="af8"/>
          <w:rFonts w:hint="cs"/>
          <w:rtl/>
        </w:rPr>
        <w:t>היד יהודה</w:t>
      </w:r>
      <w:r w:rsidRPr="00D47CE7">
        <w:rPr>
          <w:rFonts w:hint="cs"/>
          <w:rtl/>
        </w:rPr>
        <w:t xml:space="preserve"> דכוונת </w:t>
      </w:r>
      <w:r w:rsidRPr="00D47CE7">
        <w:rPr>
          <w:rStyle w:val="af8"/>
          <w:rFonts w:hint="cs"/>
          <w:rtl/>
        </w:rPr>
        <w:t>הרשב"א</w:t>
      </w:r>
      <w:r w:rsidRPr="00D47CE7">
        <w:rPr>
          <w:rFonts w:hint="cs"/>
          <w:rtl/>
        </w:rPr>
        <w:t xml:space="preserve"> לומר דכיון שהטעם מורגש בכל ההיתר, ממילא הממשות שלו אינה מתבטלת, אך זהו דוקא במקום שהטעם עצמו אסור, דכיון שהטעם אינו מתבטל, הוא גורם לממשות שלא יתבטל, דכל הסברא לומר דהטעם שניכר אינו מתבטל ואוסר את כל התערובת, זהו דוקא בטעם שאסור, דכיון שהטעם אסור נאסרת כל התערובת.</w:t>
      </w:r>
      <w:bookmarkEnd w:id="8584"/>
    </w:p>
    <w:p w:rsidR="007809D6" w:rsidRPr="00D47CE7" w:rsidRDefault="007809D6" w:rsidP="007809D6">
      <w:pPr>
        <w:pStyle w:val="a2"/>
        <w:rPr>
          <w:rtl/>
        </w:rPr>
      </w:pPr>
      <w:bookmarkStart w:id="8585" w:name="_Toc18266225"/>
      <w:bookmarkStart w:id="8586" w:name="_Toc18269121"/>
      <w:bookmarkStart w:id="8587" w:name="_Toc18323818"/>
      <w:bookmarkStart w:id="8588" w:name="_Toc18397390"/>
      <w:bookmarkStart w:id="8589" w:name="_Toc18404113"/>
      <w:bookmarkStart w:id="8590" w:name="_Toc18481530"/>
      <w:r w:rsidRPr="00D47CE7">
        <w:rPr>
          <w:rFonts w:hint="cs"/>
          <w:rtl/>
        </w:rPr>
        <w:t>ביאור היד יהודה דטעם פגום שמותר מצד עצמו אין בכחו למנוע מהממשות שלא תתבטל</w:t>
      </w:r>
      <w:bookmarkEnd w:id="8585"/>
      <w:bookmarkEnd w:id="8586"/>
      <w:bookmarkEnd w:id="8587"/>
      <w:bookmarkEnd w:id="8588"/>
      <w:bookmarkEnd w:id="8589"/>
      <w:bookmarkEnd w:id="8590"/>
    </w:p>
    <w:p w:rsidR="007809D6" w:rsidRPr="00D47CE7" w:rsidRDefault="007809D6" w:rsidP="009F44AF">
      <w:pPr>
        <w:pStyle w:val="a"/>
      </w:pPr>
      <w:r w:rsidRPr="00D47CE7">
        <w:rPr>
          <w:rFonts w:hint="cs"/>
          <w:rtl/>
        </w:rPr>
        <w:t xml:space="preserve">אבל במקום שהטעם עצמו פגום, ומצד עצמו אינו אוסר, ביאר </w:t>
      </w:r>
      <w:r w:rsidRPr="00D47CE7">
        <w:rPr>
          <w:rStyle w:val="af8"/>
          <w:rFonts w:hint="cs"/>
          <w:rtl/>
        </w:rPr>
        <w:t>היד יהודה</w:t>
      </w:r>
      <w:r w:rsidRPr="00D47CE7">
        <w:rPr>
          <w:rFonts w:hint="cs"/>
          <w:rtl/>
        </w:rPr>
        <w:t xml:space="preserve"> דאין בכח הטעם לגרום לממשות האיסור שלא תתבטל ולאסור עי"ז את כל ההיתר שבתערובת, דהא הטעם גופיה מותר ולכן אף שהטעם הפגום ניכר, מ"מ חשיב דההיתר עומד בפנ"ע וממשות האיסור עומדת בפנ"ע, דאף שטעם האיסור מורגש בהיתר, מ"מ הטעם המורגש מותר, ולכן מהני ביטול ברוב לבטל את ממשות האיסור</w:t>
      </w:r>
      <w:bookmarkStart w:id="8591" w:name="_Ref18269239"/>
      <w:r w:rsidRPr="00D47CE7">
        <w:rPr>
          <w:rStyle w:val="af0"/>
          <w:rtl/>
        </w:rPr>
        <w:footnoteReference w:id="26"/>
      </w:r>
      <w:bookmarkEnd w:id="8591"/>
      <w:r w:rsidRPr="00D47CE7">
        <w:rPr>
          <w:rFonts w:hint="cs"/>
          <w:rtl/>
        </w:rPr>
        <w:t xml:space="preserve">, וכעי"ז ביאר </w:t>
      </w:r>
      <w:r w:rsidRPr="00D47CE7">
        <w:rPr>
          <w:rStyle w:val="af8"/>
          <w:rtl/>
        </w:rPr>
        <w:t>החלקת יואב</w:t>
      </w:r>
      <w:r w:rsidRPr="00D47CE7">
        <w:rPr>
          <w:szCs w:val="14"/>
          <w:rtl/>
        </w:rPr>
        <w:t xml:space="preserve"> </w:t>
      </w:r>
      <w:r w:rsidRPr="00D47CE7">
        <w:rPr>
          <w:rStyle w:val="af6"/>
          <w:rFonts w:eastAsia="Guttman Hodes"/>
          <w:rtl/>
        </w:rPr>
        <w:t>(ח"א יו"ד סי' י"א סק"ד ד"ה ואף)</w:t>
      </w:r>
      <w:r w:rsidRPr="00D47CE7">
        <w:rPr>
          <w:rFonts w:hint="cs"/>
          <w:rtl/>
        </w:rPr>
        <w:t xml:space="preserve">. [ועי' במה שביאר </w:t>
      </w:r>
      <w:r w:rsidRPr="00D47CE7">
        <w:rPr>
          <w:rStyle w:val="af8"/>
          <w:rFonts w:hint="cs"/>
          <w:rtl/>
        </w:rPr>
        <w:t>היד יהודה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Ref16849794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סח)</w:t>
      </w:r>
      <w:r w:rsidRPr="00D47CE7">
        <w:rPr>
          <w:rStyle w:val="af6"/>
          <w:rFonts w:eastAsia="Guttman Hodes"/>
          <w:rtl/>
        </w:rPr>
        <w:fldChar w:fldCharType="end"/>
      </w:r>
      <w:r w:rsidRPr="00D47CE7">
        <w:rPr>
          <w:rFonts w:hint="cs"/>
          <w:rtl/>
        </w:rPr>
        <w:t xml:space="preserve"> בדעת </w:t>
      </w:r>
      <w:r w:rsidRPr="00D47CE7">
        <w:rPr>
          <w:rStyle w:val="af8"/>
          <w:rFonts w:hint="cs"/>
          <w:rtl/>
        </w:rPr>
        <w:t>הר"ן</w:t>
      </w:r>
      <w:r w:rsidRPr="00D47CE7">
        <w:rPr>
          <w:rFonts w:hint="cs"/>
          <w:rtl/>
        </w:rPr>
        <w:t xml:space="preserve"> דדחה את דברי </w:t>
      </w:r>
      <w:r w:rsidRPr="00D47CE7">
        <w:rPr>
          <w:rStyle w:val="af8"/>
          <w:rFonts w:hint="cs"/>
          <w:rtl/>
        </w:rPr>
        <w:t>הרשב"א</w:t>
      </w:r>
      <w:r w:rsidRPr="00D47CE7">
        <w:rPr>
          <w:rFonts w:hint="cs"/>
          <w:rtl/>
        </w:rPr>
        <w:t xml:space="preserve"> בזה</w:t>
      </w:r>
      <w:r>
        <w:rPr>
          <w:rFonts w:hint="cs"/>
          <w:rtl/>
        </w:rPr>
        <w:t xml:space="preserve">, ובמ"ש </w:t>
      </w:r>
      <w:r w:rsidRPr="003B2840">
        <w:rPr>
          <w:rStyle w:val="af8"/>
          <w:rFonts w:hint="cs"/>
          <w:rtl/>
        </w:rPr>
        <w:t>הגר"ח</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Ref18403740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3B2840">
        <w:rPr>
          <w:rStyle w:val="af6"/>
          <w:rFonts w:eastAsia="Guttman Hodes"/>
          <w:rtl/>
        </w:rPr>
        <w:fldChar w:fldCharType="end"/>
      </w:r>
      <w:r>
        <w:rPr>
          <w:rFonts w:hint="cs"/>
          <w:rtl/>
        </w:rPr>
        <w:t xml:space="preserve"> </w:t>
      </w:r>
      <w:r w:rsidRPr="00373178">
        <w:rPr>
          <w:rStyle w:val="af8"/>
          <w:rFonts w:hint="cs"/>
          <w:rtl/>
        </w:rPr>
        <w:t>והק</w:t>
      </w:r>
      <w:r w:rsidRPr="00FE122A">
        <w:rPr>
          <w:rStyle w:val="af8"/>
          <w:rFonts w:hint="cs"/>
          <w:rtl/>
        </w:rPr>
        <w:t>ה"י</w:t>
      </w:r>
      <w:r>
        <w:rPr>
          <w:rFonts w:hint="cs"/>
          <w:rtl/>
        </w:rPr>
        <w:t xml:space="preserve"> </w:t>
      </w:r>
      <w:r w:rsidRPr="00FE122A">
        <w:rPr>
          <w:rStyle w:val="af6"/>
          <w:rFonts w:eastAsia="Guttman Hodes" w:hint="cs"/>
          <w:rtl/>
        </w:rPr>
        <w:t xml:space="preserve">(עי'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Ref18441490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קכז)</w:t>
      </w:r>
      <w:r w:rsidRPr="00FE122A">
        <w:rPr>
          <w:rStyle w:val="af6"/>
          <w:rFonts w:eastAsia="Guttman Hodes"/>
          <w:rtl/>
        </w:rPr>
        <w:fldChar w:fldCharType="end"/>
      </w:r>
      <w:r>
        <w:rPr>
          <w:rFonts w:hint="cs"/>
          <w:rtl/>
        </w:rPr>
        <w:t>].</w:t>
      </w:r>
    </w:p>
    <w:p w:rsidR="007809D6" w:rsidRPr="00D47CE7" w:rsidRDefault="007809D6" w:rsidP="007809D6">
      <w:pPr>
        <w:pStyle w:val="a2"/>
        <w:rPr>
          <w:rtl/>
        </w:rPr>
      </w:pPr>
      <w:bookmarkStart w:id="8592" w:name="_Toc18269122"/>
      <w:bookmarkStart w:id="8593" w:name="_Toc18323819"/>
      <w:bookmarkStart w:id="8594" w:name="_Toc18397391"/>
      <w:bookmarkStart w:id="8595" w:name="_Toc18404114"/>
      <w:bookmarkStart w:id="8596" w:name="_Toc18481531"/>
      <w:r w:rsidRPr="00D47CE7">
        <w:rPr>
          <w:rFonts w:hint="cs"/>
          <w:rtl/>
        </w:rPr>
        <w:t>דברי היד יהודה דלרשב"א בנטל"פ האיסור בטל ברוב ואף בהגדיל את מידת ההיתר מותר</w:t>
      </w:r>
      <w:bookmarkEnd w:id="8592"/>
      <w:bookmarkEnd w:id="8593"/>
      <w:bookmarkEnd w:id="8594"/>
      <w:bookmarkEnd w:id="8595"/>
      <w:bookmarkEnd w:id="8596"/>
    </w:p>
    <w:p w:rsidR="007809D6" w:rsidRPr="00D47CE7" w:rsidRDefault="007809D6" w:rsidP="009F44AF">
      <w:pPr>
        <w:pStyle w:val="a"/>
      </w:pPr>
      <w:bookmarkStart w:id="8597" w:name="_Ref16850367"/>
      <w:bookmarkStart w:id="8598" w:name="_Ref18338379"/>
      <w:r w:rsidRPr="00D47CE7">
        <w:rPr>
          <w:rFonts w:hint="cs"/>
          <w:rtl/>
        </w:rPr>
        <w:t xml:space="preserve">וכתב </w:t>
      </w:r>
      <w:r w:rsidRPr="00D47CE7">
        <w:rPr>
          <w:rStyle w:val="af8"/>
          <w:rFonts w:hint="cs"/>
          <w:rtl/>
        </w:rPr>
        <w:t>היד יהודה</w:t>
      </w:r>
      <w:r w:rsidRPr="00D47CE7">
        <w:rPr>
          <w:rFonts w:hint="cs"/>
          <w:rtl/>
        </w:rPr>
        <w:t xml:space="preserve"> </w:t>
      </w:r>
      <w:r w:rsidRPr="00D47CE7">
        <w:rPr>
          <w:rStyle w:val="af6"/>
          <w:rFonts w:eastAsia="Guttman Hodes" w:hint="cs"/>
          <w:rtl/>
        </w:rPr>
        <w:t xml:space="preserve">(סי' ק"ג סק"א ד"ה אבל הר"ן בתו"ד) </w:t>
      </w:r>
      <w:r w:rsidRPr="00D47CE7">
        <w:rPr>
          <w:rFonts w:hint="cs"/>
          <w:rtl/>
        </w:rPr>
        <w:t xml:space="preserve">דא"כ מבואר </w:t>
      </w:r>
      <w:r w:rsidRPr="00D47CE7">
        <w:rPr>
          <w:rStyle w:val="af8"/>
          <w:rFonts w:hint="cs"/>
          <w:rtl/>
        </w:rPr>
        <w:t>דהרשב"א</w:t>
      </w:r>
      <w:r w:rsidRPr="00D47CE7">
        <w:rPr>
          <w:rFonts w:hint="cs"/>
          <w:rtl/>
        </w:rPr>
        <w:t xml:space="preserve"> פליג על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Ref16850208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 xml:space="preserve">דאסר בנותן טעם לפגם במקום שהאיסור הפגום משביח את התערובת במה שמגדיל את מידתה, דס"ל </w:t>
      </w:r>
      <w:r w:rsidRPr="00D47CE7">
        <w:rPr>
          <w:rStyle w:val="af8"/>
          <w:rFonts w:hint="cs"/>
          <w:rtl/>
        </w:rPr>
        <w:t>להרשב"א</w:t>
      </w:r>
      <w:r w:rsidRPr="00D47CE7">
        <w:rPr>
          <w:rFonts w:hint="cs"/>
          <w:rtl/>
        </w:rPr>
        <w:t xml:space="preserve"> דהאיסור עצמו בטל ברוב, וכל האיסור הוא רק מחמת הטעם, וכיון שאינו רוצה בטעם הפגום, ולא נהנה ממנו, אינו אסור</w:t>
      </w:r>
      <w:bookmarkEnd w:id="8597"/>
      <w:r>
        <w:rPr>
          <w:rFonts w:hint="cs"/>
          <w:rtl/>
        </w:rPr>
        <w:t>.</w:t>
      </w:r>
      <w:r w:rsidRPr="00D47CE7">
        <w:rPr>
          <w:rFonts w:hint="cs"/>
          <w:rtl/>
        </w:rPr>
        <w:t xml:space="preserve"> </w:t>
      </w:r>
      <w:r>
        <w:rPr>
          <w:rFonts w:hint="cs"/>
          <w:rtl/>
        </w:rPr>
        <w:t>[</w:t>
      </w:r>
      <w:r w:rsidRPr="00D47CE7">
        <w:rPr>
          <w:rFonts w:hint="cs"/>
          <w:rtl/>
        </w:rPr>
        <w:t xml:space="preserve">וכ"כ </w:t>
      </w:r>
      <w:r w:rsidRPr="00D47CE7">
        <w:rPr>
          <w:rStyle w:val="af8"/>
          <w:rFonts w:hint="cs"/>
          <w:rtl/>
        </w:rPr>
        <w:t>הפרמ"ג</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Ref18337238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D47CE7">
        <w:rPr>
          <w:rStyle w:val="af6"/>
          <w:rFonts w:eastAsia="Guttman Hodes"/>
          <w:rtl/>
        </w:rPr>
        <w:fldChar w:fldCharType="end"/>
      </w:r>
      <w:r w:rsidRPr="00D47CE7">
        <w:rPr>
          <w:rFonts w:hint="cs"/>
          <w:rtl/>
        </w:rPr>
        <w:t xml:space="preserve"> </w:t>
      </w:r>
      <w:r w:rsidRPr="00D47CE7">
        <w:rPr>
          <w:rStyle w:val="af8"/>
          <w:rFonts w:hint="cs"/>
          <w:rtl/>
        </w:rPr>
        <w:t>והחת"ס</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Ref18337312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D47CE7">
        <w:rPr>
          <w:rStyle w:val="af6"/>
          <w:rFonts w:eastAsia="Guttman Hodes"/>
          <w:rtl/>
        </w:rPr>
        <w:fldChar w:fldCharType="end"/>
      </w:r>
      <w:r w:rsidRPr="00BF5299">
        <w:rPr>
          <w:rFonts w:hint="cs"/>
          <w:rtl/>
        </w:rPr>
        <w:t xml:space="preserve"> </w:t>
      </w:r>
      <w:r>
        <w:rPr>
          <w:rFonts w:hint="cs"/>
          <w:rtl/>
        </w:rPr>
        <w:t xml:space="preserve">ועי' במה שביאר בזה </w:t>
      </w:r>
      <w:r w:rsidRPr="002225CE">
        <w:rPr>
          <w:rStyle w:val="af8"/>
          <w:rFonts w:hint="cs"/>
          <w:rtl/>
        </w:rPr>
        <w:t>הקה"י</w:t>
      </w:r>
      <w:r>
        <w:rPr>
          <w:rFonts w:hint="cs"/>
          <w:rtl/>
        </w:rPr>
        <w:t xml:space="preserve"> </w:t>
      </w:r>
      <w:r w:rsidRPr="002225CE">
        <w:rPr>
          <w:rStyle w:val="af6"/>
          <w:rFonts w:eastAsia="Guttman Hodes" w:hint="cs"/>
          <w:rtl/>
        </w:rPr>
        <w:t xml:space="preserve">(עי' אות </w:t>
      </w:r>
      <w:r w:rsidRPr="002225CE">
        <w:rPr>
          <w:rStyle w:val="af6"/>
          <w:rFonts w:eastAsia="Guttman Hodes"/>
          <w:rtl/>
        </w:rPr>
        <w:fldChar w:fldCharType="begin"/>
      </w:r>
      <w:r w:rsidRPr="002225CE">
        <w:rPr>
          <w:rStyle w:val="af6"/>
          <w:rFonts w:eastAsia="Guttman Hodes"/>
          <w:rtl/>
        </w:rPr>
        <w:instrText xml:space="preserve"> </w:instrText>
      </w:r>
      <w:r w:rsidRPr="002225CE">
        <w:rPr>
          <w:rStyle w:val="af6"/>
          <w:rFonts w:eastAsia="Guttman Hodes" w:hint="cs"/>
        </w:rPr>
        <w:instrText>REF</w:instrText>
      </w:r>
      <w:r w:rsidRPr="002225CE">
        <w:rPr>
          <w:rStyle w:val="af6"/>
          <w:rFonts w:eastAsia="Guttman Hodes" w:hint="cs"/>
          <w:rtl/>
        </w:rPr>
        <w:instrText xml:space="preserve"> _</w:instrText>
      </w:r>
      <w:r w:rsidRPr="002225CE">
        <w:rPr>
          <w:rStyle w:val="af6"/>
          <w:rFonts w:eastAsia="Guttman Hodes" w:hint="cs"/>
        </w:rPr>
        <w:instrText>Ref18424400 \r \h</w:instrText>
      </w:r>
      <w:r w:rsidRPr="002225CE">
        <w:rPr>
          <w:rStyle w:val="af6"/>
          <w:rFonts w:eastAsia="Guttman Hodes"/>
          <w:rtl/>
        </w:rPr>
        <w:instrText xml:space="preserve"> </w:instrText>
      </w:r>
      <w:r w:rsidRPr="002225CE">
        <w:rPr>
          <w:rStyle w:val="af6"/>
          <w:rFonts w:eastAsia="Guttman Hodes"/>
          <w:rtl/>
        </w:rPr>
      </w:r>
      <w:r w:rsidRPr="002225CE">
        <w:rPr>
          <w:rStyle w:val="af6"/>
          <w:rFonts w:eastAsia="Guttman Hodes"/>
          <w:rtl/>
        </w:rPr>
        <w:fldChar w:fldCharType="separate"/>
      </w:r>
      <w:r w:rsidR="004D1C5B">
        <w:rPr>
          <w:rStyle w:val="af6"/>
          <w:rFonts w:eastAsia="Guttman Hodes"/>
          <w:cs/>
        </w:rPr>
        <w:t>‎</w:t>
      </w:r>
      <w:r w:rsidR="004D1C5B">
        <w:rPr>
          <w:rStyle w:val="af6"/>
          <w:rFonts w:eastAsia="Guttman Hodes"/>
          <w:rtl/>
        </w:rPr>
        <w:t>קיד)</w:t>
      </w:r>
      <w:r w:rsidRPr="002225CE">
        <w:rPr>
          <w:rStyle w:val="af6"/>
          <w:rFonts w:eastAsia="Guttman Hodes"/>
          <w:rtl/>
        </w:rPr>
        <w:fldChar w:fldCharType="end"/>
      </w:r>
      <w:r>
        <w:rPr>
          <w:rFonts w:hint="cs"/>
          <w:rtl/>
        </w:rPr>
        <w:t>]</w:t>
      </w:r>
      <w:r w:rsidRPr="00D47CE7">
        <w:rPr>
          <w:rFonts w:hint="cs"/>
          <w:rtl/>
        </w:rPr>
        <w:t>.</w:t>
      </w:r>
      <w:bookmarkEnd w:id="8598"/>
    </w:p>
    <w:p w:rsidR="007809D6" w:rsidRPr="00D47CE7" w:rsidRDefault="007809D6" w:rsidP="007809D6">
      <w:pPr>
        <w:pStyle w:val="1"/>
        <w:rPr>
          <w:rtl/>
        </w:rPr>
      </w:pPr>
      <w:bookmarkStart w:id="8599" w:name="_Toc17624859"/>
      <w:bookmarkStart w:id="8600" w:name="_Toc17889808"/>
      <w:bookmarkStart w:id="8601" w:name="_Toc17975430"/>
      <w:bookmarkStart w:id="8602" w:name="_Toc17984118"/>
      <w:bookmarkStart w:id="8603" w:name="_Toc18228243"/>
      <w:bookmarkStart w:id="8604" w:name="_Toc18250773"/>
      <w:bookmarkStart w:id="8605" w:name="_Toc18266229"/>
      <w:bookmarkStart w:id="8606" w:name="_Toc18269123"/>
      <w:bookmarkStart w:id="8607" w:name="_Toc18323820"/>
      <w:bookmarkStart w:id="8608" w:name="_Toc18397392"/>
      <w:bookmarkStart w:id="8609" w:name="_Toc18404115"/>
      <w:bookmarkStart w:id="8610" w:name="_Toc18481532"/>
      <w:bookmarkStart w:id="8611" w:name="_Toc16850483"/>
      <w:bookmarkStart w:id="8612" w:name="_Toc17624857"/>
      <w:bookmarkStart w:id="8613" w:name="_Toc17889806"/>
      <w:bookmarkStart w:id="8614" w:name="_Toc17975428"/>
      <w:bookmarkStart w:id="8615" w:name="_Toc17984116"/>
      <w:bookmarkStart w:id="8616" w:name="_Toc18228241"/>
      <w:bookmarkStart w:id="8617" w:name="_Toc18250771"/>
      <w:bookmarkStart w:id="8618" w:name="_Toc18266227"/>
      <w:r w:rsidRPr="00D47CE7">
        <w:rPr>
          <w:rFonts w:hint="cs"/>
          <w:rtl/>
        </w:rPr>
        <w:t>ביאור החת"ס ברשב"א</w:t>
      </w:r>
      <w:bookmarkEnd w:id="8599"/>
      <w:bookmarkEnd w:id="8600"/>
      <w:bookmarkEnd w:id="8601"/>
      <w:bookmarkEnd w:id="8602"/>
      <w:bookmarkEnd w:id="8603"/>
      <w:bookmarkEnd w:id="8604"/>
      <w:bookmarkEnd w:id="8605"/>
      <w:r w:rsidRPr="00D47CE7">
        <w:rPr>
          <w:rFonts w:hint="cs"/>
          <w:rtl/>
        </w:rPr>
        <w:t xml:space="preserve"> דטעם שלא ניחא לו בו אינו טעם</w:t>
      </w:r>
      <w:bookmarkEnd w:id="8606"/>
      <w:bookmarkEnd w:id="8607"/>
      <w:bookmarkEnd w:id="8608"/>
      <w:bookmarkEnd w:id="8609"/>
      <w:bookmarkEnd w:id="8610"/>
    </w:p>
    <w:p w:rsidR="007809D6" w:rsidRPr="00D47CE7" w:rsidRDefault="007809D6" w:rsidP="007809D6">
      <w:pPr>
        <w:pStyle w:val="a2"/>
        <w:rPr>
          <w:rtl/>
        </w:rPr>
      </w:pPr>
      <w:bookmarkStart w:id="8619" w:name="_Toc18269124"/>
      <w:bookmarkStart w:id="8620" w:name="_Toc18323821"/>
      <w:bookmarkStart w:id="8621" w:name="_Toc18397393"/>
      <w:bookmarkStart w:id="8622" w:name="_Toc18404116"/>
      <w:bookmarkStart w:id="8623" w:name="_Toc18481533"/>
      <w:r w:rsidRPr="00D47CE7">
        <w:rPr>
          <w:rFonts w:hint="cs"/>
          <w:rtl/>
        </w:rPr>
        <w:t>דברי החת"ס דטעם פגום שלא ניחא ליה בו חשיב כאמר קפילא שאין  בו טעם ובטל ברוב</w:t>
      </w:r>
      <w:bookmarkEnd w:id="8619"/>
      <w:bookmarkEnd w:id="8620"/>
      <w:bookmarkEnd w:id="8621"/>
      <w:bookmarkEnd w:id="8622"/>
      <w:bookmarkEnd w:id="8623"/>
    </w:p>
    <w:p w:rsidR="00AD5801" w:rsidRDefault="007809D6" w:rsidP="009F44AF">
      <w:pPr>
        <w:pStyle w:val="a"/>
        <w:rPr>
          <w:rtl/>
        </w:rPr>
      </w:pPr>
      <w:bookmarkStart w:id="8624" w:name="_Ref18337312"/>
      <w:r w:rsidRPr="00D47CE7">
        <w:rPr>
          <w:rStyle w:val="af8"/>
          <w:rFonts w:hint="cs"/>
          <w:rtl/>
        </w:rPr>
        <w:t>והחת"ס</w:t>
      </w:r>
      <w:r>
        <w:rPr>
          <w:rStyle w:val="af8"/>
          <w:rFonts w:hint="cs"/>
          <w:rtl/>
        </w:rPr>
        <w:t xml:space="preserve"> </w:t>
      </w:r>
      <w:r w:rsidRPr="00D47CE7">
        <w:rPr>
          <w:rStyle w:val="af6"/>
          <w:rFonts w:eastAsia="Guttman Hodes" w:hint="cs"/>
          <w:rtl/>
        </w:rPr>
        <w:t>(סז. ד"ה ואינה נאכלת)</w:t>
      </w:r>
      <w:r w:rsidRPr="00D47CE7">
        <w:rPr>
          <w:rFonts w:hint="cs"/>
          <w:rtl/>
        </w:rPr>
        <w:t xml:space="preserve"> ביאר את דברי </w:t>
      </w:r>
      <w:r w:rsidRPr="00D47CE7">
        <w:rPr>
          <w:rStyle w:val="af8"/>
          <w:rFonts w:hint="cs"/>
          <w:rtl/>
        </w:rPr>
        <w:t xml:space="preserve">הרשב"א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Ref18250218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D47CE7">
        <w:rPr>
          <w:rStyle w:val="af6"/>
          <w:rFonts w:eastAsia="Guttman Hodes"/>
          <w:rtl/>
        </w:rPr>
        <w:fldChar w:fldCharType="end"/>
      </w:r>
      <w:r w:rsidRPr="00D47CE7">
        <w:rPr>
          <w:rFonts w:hint="cs"/>
          <w:rtl/>
        </w:rPr>
        <w:t xml:space="preserve"> דכיון דמדאו' גוף האיסור בטל ברוב, וכל איסורו הוא מחמת הטעם שלו, ואם היה קפילא שאומר שאין בו טעם היה מותר, א"כ אף טעם פגום </w:t>
      </w:r>
      <w:r w:rsidRPr="00D47CE7">
        <w:rPr>
          <w:rFonts w:hint="cs"/>
          <w:rtl/>
        </w:rPr>
        <w:lastRenderedPageBreak/>
        <w:t xml:space="preserve">במקצת דלא ניחא ליה בטעם זה, אינו חשיב כטעם והוא מתבטל ברוב, וכתב </w:t>
      </w:r>
      <w:r w:rsidRPr="00D47CE7">
        <w:rPr>
          <w:rStyle w:val="af8"/>
          <w:rFonts w:hint="cs"/>
          <w:rtl/>
        </w:rPr>
        <w:t>החת"ס</w:t>
      </w:r>
      <w:r w:rsidRPr="00D47CE7">
        <w:rPr>
          <w:rFonts w:hint="cs"/>
          <w:rtl/>
        </w:rPr>
        <w:t xml:space="preserve"> דמשמע </w:t>
      </w:r>
      <w:r w:rsidRPr="00D47CE7">
        <w:rPr>
          <w:rStyle w:val="af8"/>
          <w:rFonts w:hint="cs"/>
          <w:rtl/>
        </w:rPr>
        <w:t>מהרשב"א</w:t>
      </w:r>
      <w:r w:rsidRPr="00D47CE7">
        <w:rPr>
          <w:rFonts w:hint="cs"/>
          <w:rtl/>
        </w:rPr>
        <w:t xml:space="preserve"> דאף במקום שהאיסור הגדיל את מידת ההיתר הוא מותר כיון שאין כאן טעם שאוסר, ודלא </w:t>
      </w:r>
      <w:r w:rsidRPr="00D47CE7">
        <w:rPr>
          <w:rStyle w:val="af8"/>
          <w:rFonts w:hint="cs"/>
          <w:rtl/>
        </w:rPr>
        <w:t>כהר"ן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Ref16850208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D47CE7">
        <w:rPr>
          <w:rStyle w:val="af6"/>
          <w:rFonts w:eastAsia="Guttman Hodes"/>
          <w:rtl/>
        </w:rPr>
        <w:fldChar w:fldCharType="end"/>
      </w:r>
      <w:r>
        <w:rPr>
          <w:rFonts w:hint="cs"/>
          <w:rtl/>
        </w:rPr>
        <w:t>. [</w:t>
      </w:r>
      <w:r w:rsidRPr="00D47CE7">
        <w:rPr>
          <w:rFonts w:hint="cs"/>
          <w:rtl/>
        </w:rPr>
        <w:t xml:space="preserve">וכ"כ </w:t>
      </w:r>
      <w:r w:rsidRPr="00D47CE7">
        <w:rPr>
          <w:rStyle w:val="af8"/>
          <w:rFonts w:hint="cs"/>
          <w:rtl/>
        </w:rPr>
        <w:t>הפרמ"ג</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Ref18337238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D47CE7">
        <w:rPr>
          <w:rStyle w:val="af6"/>
          <w:rFonts w:eastAsia="Guttman Hodes"/>
          <w:rtl/>
        </w:rPr>
        <w:fldChar w:fldCharType="end"/>
      </w:r>
      <w:r w:rsidRPr="00D47CE7">
        <w:rPr>
          <w:rFonts w:hint="cs"/>
          <w:rtl/>
        </w:rPr>
        <w:t xml:space="preserve"> </w:t>
      </w:r>
      <w:r w:rsidRPr="00D47CE7">
        <w:rPr>
          <w:rStyle w:val="af8"/>
          <w:rFonts w:hint="cs"/>
          <w:rtl/>
        </w:rPr>
        <w:t>והיד יהודה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Ref18338379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D47CE7">
        <w:rPr>
          <w:rStyle w:val="af6"/>
          <w:rFonts w:eastAsia="Guttman Hodes"/>
          <w:rtl/>
        </w:rPr>
        <w:fldChar w:fldCharType="end"/>
      </w:r>
      <w:r w:rsidRPr="00BF5299">
        <w:rPr>
          <w:rFonts w:hint="cs"/>
          <w:rtl/>
        </w:rPr>
        <w:t xml:space="preserve"> </w:t>
      </w:r>
      <w:r>
        <w:rPr>
          <w:rFonts w:hint="cs"/>
          <w:rtl/>
        </w:rPr>
        <w:t xml:space="preserve">ועי' במה שביאר בזה </w:t>
      </w:r>
      <w:r w:rsidRPr="002225CE">
        <w:rPr>
          <w:rStyle w:val="af8"/>
          <w:rFonts w:hint="cs"/>
          <w:rtl/>
        </w:rPr>
        <w:t>הקה"י</w:t>
      </w:r>
      <w:r>
        <w:rPr>
          <w:rFonts w:hint="cs"/>
          <w:rtl/>
        </w:rPr>
        <w:t xml:space="preserve"> </w:t>
      </w:r>
      <w:r w:rsidRPr="002225CE">
        <w:rPr>
          <w:rStyle w:val="af6"/>
          <w:rFonts w:eastAsia="Guttman Hodes" w:hint="cs"/>
          <w:rtl/>
        </w:rPr>
        <w:t xml:space="preserve">(עי' אות </w:t>
      </w:r>
      <w:r w:rsidRPr="002225CE">
        <w:rPr>
          <w:rStyle w:val="af6"/>
          <w:rFonts w:eastAsia="Guttman Hodes"/>
          <w:rtl/>
        </w:rPr>
        <w:fldChar w:fldCharType="begin"/>
      </w:r>
      <w:r w:rsidRPr="002225CE">
        <w:rPr>
          <w:rStyle w:val="af6"/>
          <w:rFonts w:eastAsia="Guttman Hodes"/>
          <w:rtl/>
        </w:rPr>
        <w:instrText xml:space="preserve"> </w:instrText>
      </w:r>
      <w:r w:rsidRPr="002225CE">
        <w:rPr>
          <w:rStyle w:val="af6"/>
          <w:rFonts w:eastAsia="Guttman Hodes" w:hint="cs"/>
        </w:rPr>
        <w:instrText>REF</w:instrText>
      </w:r>
      <w:r w:rsidRPr="002225CE">
        <w:rPr>
          <w:rStyle w:val="af6"/>
          <w:rFonts w:eastAsia="Guttman Hodes" w:hint="cs"/>
          <w:rtl/>
        </w:rPr>
        <w:instrText xml:space="preserve"> _</w:instrText>
      </w:r>
      <w:r w:rsidRPr="002225CE">
        <w:rPr>
          <w:rStyle w:val="af6"/>
          <w:rFonts w:eastAsia="Guttman Hodes" w:hint="cs"/>
        </w:rPr>
        <w:instrText>Ref18424400 \r \h</w:instrText>
      </w:r>
      <w:r w:rsidRPr="002225CE">
        <w:rPr>
          <w:rStyle w:val="af6"/>
          <w:rFonts w:eastAsia="Guttman Hodes"/>
          <w:rtl/>
        </w:rPr>
        <w:instrText xml:space="preserve"> </w:instrText>
      </w:r>
      <w:r w:rsidRPr="002225CE">
        <w:rPr>
          <w:rStyle w:val="af6"/>
          <w:rFonts w:eastAsia="Guttman Hodes"/>
          <w:rtl/>
        </w:rPr>
      </w:r>
      <w:r w:rsidRPr="002225CE">
        <w:rPr>
          <w:rStyle w:val="af6"/>
          <w:rFonts w:eastAsia="Guttman Hodes"/>
          <w:rtl/>
        </w:rPr>
        <w:fldChar w:fldCharType="separate"/>
      </w:r>
      <w:r w:rsidR="004D1C5B">
        <w:rPr>
          <w:rStyle w:val="af6"/>
          <w:rFonts w:eastAsia="Guttman Hodes"/>
          <w:cs/>
        </w:rPr>
        <w:t>‎</w:t>
      </w:r>
      <w:r w:rsidR="004D1C5B">
        <w:rPr>
          <w:rStyle w:val="af6"/>
          <w:rFonts w:eastAsia="Guttman Hodes"/>
          <w:rtl/>
        </w:rPr>
        <w:t>קיד)</w:t>
      </w:r>
      <w:r w:rsidRPr="002225CE">
        <w:rPr>
          <w:rStyle w:val="af6"/>
          <w:rFonts w:eastAsia="Guttman Hodes"/>
          <w:rtl/>
        </w:rPr>
        <w:fldChar w:fldCharType="end"/>
      </w:r>
      <w:r>
        <w:rPr>
          <w:rFonts w:hint="cs"/>
          <w:rtl/>
        </w:rPr>
        <w:t>]</w:t>
      </w:r>
      <w:r w:rsidRPr="00D47CE7">
        <w:rPr>
          <w:rFonts w:hint="cs"/>
          <w:rtl/>
        </w:rPr>
        <w:t>.</w:t>
      </w:r>
      <w:bookmarkEnd w:id="8624"/>
    </w:p>
    <w:p w:rsidR="007809D6" w:rsidRPr="00D47CE7" w:rsidRDefault="007809D6" w:rsidP="00E669F8">
      <w:pPr>
        <w:pStyle w:val="afd"/>
        <w:rPr>
          <w:rtl/>
        </w:rPr>
      </w:pPr>
      <w:bookmarkStart w:id="8625" w:name="_Toc18269125"/>
      <w:bookmarkStart w:id="8626" w:name="_Toc18323822"/>
      <w:bookmarkStart w:id="8627" w:name="_Toc18397394"/>
      <w:bookmarkStart w:id="8628" w:name="_Toc18404117"/>
      <w:bookmarkStart w:id="8629" w:name="_Toc18481534"/>
      <w:r w:rsidRPr="00D47CE7">
        <w:rPr>
          <w:rFonts w:hint="cs"/>
          <w:rtl/>
        </w:rPr>
        <w:t>בביאור דברי הרשב"א דצריך רוב היתר</w:t>
      </w:r>
      <w:bookmarkEnd w:id="8625"/>
      <w:bookmarkEnd w:id="8626"/>
      <w:bookmarkEnd w:id="8627"/>
      <w:bookmarkEnd w:id="8628"/>
      <w:bookmarkEnd w:id="8629"/>
    </w:p>
    <w:p w:rsidR="007809D6" w:rsidRPr="00D47CE7" w:rsidRDefault="007809D6" w:rsidP="007809D6">
      <w:pPr>
        <w:pStyle w:val="1"/>
        <w:rPr>
          <w:rtl/>
        </w:rPr>
      </w:pPr>
      <w:bookmarkStart w:id="8630" w:name="_Toc18269126"/>
      <w:bookmarkStart w:id="8631" w:name="_Toc18323823"/>
      <w:bookmarkStart w:id="8632" w:name="_Toc18397395"/>
      <w:bookmarkStart w:id="8633" w:name="_Toc18404118"/>
      <w:bookmarkStart w:id="8634" w:name="_Toc18481535"/>
      <w:r w:rsidRPr="00D47CE7">
        <w:rPr>
          <w:rFonts w:hint="cs"/>
          <w:rtl/>
        </w:rPr>
        <w:t>דברי הגרעק"א בהא דנטל"פ מותר רק ברוב היתר להרשב"א</w:t>
      </w:r>
      <w:bookmarkEnd w:id="8554"/>
      <w:bookmarkEnd w:id="8555"/>
      <w:bookmarkEnd w:id="8556"/>
      <w:bookmarkEnd w:id="8611"/>
      <w:bookmarkEnd w:id="8612"/>
      <w:bookmarkEnd w:id="8613"/>
      <w:bookmarkEnd w:id="8614"/>
      <w:bookmarkEnd w:id="8615"/>
      <w:bookmarkEnd w:id="8616"/>
      <w:bookmarkEnd w:id="8617"/>
      <w:bookmarkEnd w:id="8618"/>
      <w:bookmarkEnd w:id="8630"/>
      <w:bookmarkEnd w:id="8631"/>
      <w:bookmarkEnd w:id="8632"/>
      <w:bookmarkEnd w:id="8633"/>
      <w:bookmarkEnd w:id="8634"/>
      <w:r w:rsidRPr="00D47CE7">
        <w:rPr>
          <w:rFonts w:hint="cs"/>
          <w:rtl/>
        </w:rPr>
        <w:t xml:space="preserve"> </w:t>
      </w:r>
    </w:p>
    <w:p w:rsidR="007809D6" w:rsidRPr="00D47CE7" w:rsidRDefault="007809D6" w:rsidP="007809D6">
      <w:pPr>
        <w:pStyle w:val="a2"/>
        <w:rPr>
          <w:rtl/>
        </w:rPr>
      </w:pPr>
      <w:bookmarkStart w:id="8635" w:name="_Toc18269127"/>
      <w:bookmarkStart w:id="8636" w:name="_Toc18323824"/>
      <w:bookmarkStart w:id="8637" w:name="_Toc18397396"/>
      <w:bookmarkStart w:id="8638" w:name="_Toc18404119"/>
      <w:bookmarkStart w:id="8639" w:name="_Toc18481536"/>
      <w:r w:rsidRPr="00D47CE7">
        <w:rPr>
          <w:rFonts w:hint="cs"/>
          <w:rtl/>
        </w:rPr>
        <w:t>דברי הגרעק"א דמודה הרשב"א דבסילק את האיסור מותר בנטל"פ אף כשאין רוב כנגד האיסור</w:t>
      </w:r>
      <w:bookmarkEnd w:id="8635"/>
      <w:bookmarkEnd w:id="8636"/>
      <w:bookmarkEnd w:id="8637"/>
      <w:bookmarkEnd w:id="8638"/>
      <w:bookmarkEnd w:id="8639"/>
    </w:p>
    <w:p w:rsidR="007809D6" w:rsidRPr="00644244" w:rsidRDefault="007809D6" w:rsidP="009F44AF">
      <w:pPr>
        <w:pStyle w:val="a"/>
        <w:rPr>
          <w:rStyle w:val="afa"/>
          <w:rtl/>
        </w:rPr>
      </w:pPr>
      <w:bookmarkStart w:id="8640" w:name="_Ref18871063"/>
      <w:r w:rsidRPr="00D47CE7">
        <w:rPr>
          <w:rFonts w:hint="cs"/>
          <w:rtl/>
        </w:rPr>
        <w:t xml:space="preserve">כתב </w:t>
      </w:r>
      <w:r w:rsidRPr="00D47CE7">
        <w:rPr>
          <w:rStyle w:val="af8"/>
          <w:rFonts w:hint="cs"/>
          <w:rtl/>
        </w:rPr>
        <w:t>הגרעק"א בחולין</w:t>
      </w:r>
      <w:r w:rsidRPr="00D47CE7">
        <w:rPr>
          <w:rStyle w:val="af6"/>
          <w:rFonts w:eastAsia="Guttman Hodes" w:hint="cs"/>
          <w:rtl/>
        </w:rPr>
        <w:t xml:space="preserve"> (צז: אות ז' ד"ה והנה בדין) </w:t>
      </w:r>
      <w:r w:rsidRPr="00D47CE7">
        <w:rPr>
          <w:rFonts w:hint="cs"/>
          <w:rtl/>
        </w:rPr>
        <w:t xml:space="preserve">דאעפ"י דס"ל </w:t>
      </w:r>
      <w:r w:rsidRPr="00D47CE7">
        <w:rPr>
          <w:rStyle w:val="af8"/>
          <w:rFonts w:hint="cs"/>
          <w:rtl/>
        </w:rPr>
        <w:t>להרשב"א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Ref18228077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D47CE7">
        <w:rPr>
          <w:rStyle w:val="af6"/>
          <w:rFonts w:eastAsia="Guttman Hodes"/>
          <w:rtl/>
        </w:rPr>
        <w:fldChar w:fldCharType="end"/>
      </w:r>
      <w:r w:rsidRPr="00D47CE7">
        <w:rPr>
          <w:rFonts w:hint="cs"/>
          <w:rtl/>
        </w:rPr>
        <w:t xml:space="preserve"> דההיתר בנותן טעם לפגם, הוא דוקא במקום שההיתר מרובה והאיסור מועט, מ"מ מודה </w:t>
      </w:r>
      <w:r w:rsidRPr="00D47CE7">
        <w:rPr>
          <w:rStyle w:val="af8"/>
          <w:rFonts w:hint="cs"/>
          <w:rtl/>
        </w:rPr>
        <w:t>הרשב"א</w:t>
      </w:r>
      <w:r w:rsidRPr="00D47CE7">
        <w:rPr>
          <w:rFonts w:hint="cs"/>
          <w:rtl/>
        </w:rPr>
        <w:t xml:space="preserve"> דאם נפל איסור מרובה לתוך היתר מועט, וסילק את האיסור, ונשאר בתוך ההיתר רק הרוטב של האיסור, דהרוטב מותר מדין נותן טעם לפגם, וביאר </w:t>
      </w:r>
      <w:r w:rsidRPr="00D47CE7">
        <w:rPr>
          <w:rStyle w:val="af8"/>
          <w:rFonts w:hint="cs"/>
          <w:rtl/>
        </w:rPr>
        <w:t>הגרעק"א</w:t>
      </w:r>
      <w:r w:rsidRPr="00D47CE7">
        <w:rPr>
          <w:rFonts w:hint="cs"/>
          <w:rtl/>
        </w:rPr>
        <w:t xml:space="preserve"> דאעפ"י דצריך לשער בשישים כנגד כל האיסור, כיון שלא ידוע כמה רוטב יצא מהאיסור,</w:t>
      </w:r>
      <w:r w:rsidRPr="00D47CE7">
        <w:rPr>
          <w:rStyle w:val="afa"/>
          <w:rFonts w:hint="cs"/>
          <w:rtl/>
        </w:rPr>
        <w:t xml:space="preserve"> [כדכתב </w:t>
      </w:r>
      <w:r w:rsidRPr="00D47CE7">
        <w:rPr>
          <w:rStyle w:val="affa"/>
          <w:rFonts w:hint="cs"/>
          <w:rtl/>
        </w:rPr>
        <w:t>הרשב"א בחולין</w:t>
      </w:r>
      <w:r w:rsidRPr="00D47CE7">
        <w:rPr>
          <w:rStyle w:val="afa"/>
          <w:rFonts w:hint="cs"/>
          <w:rtl/>
        </w:rPr>
        <w:t xml:space="preserve"> </w:t>
      </w:r>
      <w:r w:rsidRPr="00D47CE7">
        <w:rPr>
          <w:rStyle w:val="aff6"/>
          <w:rFonts w:hint="cs"/>
          <w:rtl/>
        </w:rPr>
        <w:t>(צז: ד"ה הא, הובא לעיל סימן ה' אות ז)</w:t>
      </w:r>
      <w:r w:rsidRPr="00D47CE7">
        <w:rPr>
          <w:rStyle w:val="afa"/>
          <w:rFonts w:hint="cs"/>
          <w:rtl/>
        </w:rPr>
        <w:t xml:space="preserve">], </w:t>
      </w:r>
      <w:r w:rsidRPr="00D47CE7">
        <w:rPr>
          <w:rFonts w:hint="cs"/>
          <w:rtl/>
        </w:rPr>
        <w:t>מ"מ כיון דהוא פוגם ואינו נהנה בטעמו, א"כ התערובת שלו אינו אוסרת כלל.</w:t>
      </w:r>
      <w:r w:rsidRPr="00644244">
        <w:rPr>
          <w:rFonts w:hint="cs"/>
          <w:rtl/>
        </w:rPr>
        <w:t xml:space="preserve"> </w:t>
      </w:r>
      <w:r w:rsidRPr="00644244">
        <w:rPr>
          <w:rStyle w:val="afa"/>
          <w:rFonts w:hint="cs"/>
          <w:rtl/>
        </w:rPr>
        <w:t xml:space="preserve">[וע"ע בדברי </w:t>
      </w:r>
      <w:r w:rsidRPr="0077097A">
        <w:rPr>
          <w:rStyle w:val="affa"/>
          <w:rtl/>
        </w:rPr>
        <w:t>הגרעק"א בתשו'</w:t>
      </w:r>
      <w:r w:rsidRPr="00644244">
        <w:rPr>
          <w:rStyle w:val="afa"/>
          <w:rtl/>
        </w:rPr>
        <w:t xml:space="preserve"> </w:t>
      </w:r>
      <w:r w:rsidRPr="0077097A">
        <w:rPr>
          <w:rStyle w:val="aff6"/>
          <w:rtl/>
        </w:rPr>
        <w:t>(מהדו"ק סי' מ"ג ד"ה ולכאורה יפלא)</w:t>
      </w:r>
      <w:r w:rsidRPr="0077097A">
        <w:rPr>
          <w:rStyle w:val="aff6"/>
          <w:rFonts w:hint="cs"/>
          <w:rtl/>
        </w:rPr>
        <w:t xml:space="preserve"> </w:t>
      </w:r>
      <w:r>
        <w:rPr>
          <w:rStyle w:val="afa"/>
          <w:rFonts w:hint="cs"/>
          <w:rtl/>
        </w:rPr>
        <w:t xml:space="preserve">דביאר בדעת </w:t>
      </w:r>
      <w:r w:rsidRPr="0077097A">
        <w:rPr>
          <w:rStyle w:val="affa"/>
          <w:rFonts w:hint="cs"/>
          <w:rtl/>
        </w:rPr>
        <w:t>הרשב"א</w:t>
      </w:r>
      <w:r>
        <w:rPr>
          <w:rStyle w:val="afa"/>
          <w:rFonts w:hint="cs"/>
          <w:rtl/>
        </w:rPr>
        <w:t xml:space="preserve"> </w:t>
      </w:r>
      <w:r w:rsidRPr="00644244">
        <w:rPr>
          <w:rStyle w:val="afa"/>
          <w:rFonts w:hint="cs"/>
          <w:rtl/>
        </w:rPr>
        <w:t>דכיון שצריך רוב היתר בנותן טעם לפגם, וא"כ מבואר דבנותן טעם מהני ביטול ברוב, דטעם פגום אינו נחשב לטעם, וא"כ הוא כמו יבש ביבש, דמהני בו ביטול ברוב</w:t>
      </w:r>
      <w:r>
        <w:rPr>
          <w:rStyle w:val="afa"/>
          <w:rFonts w:hint="cs"/>
          <w:rtl/>
        </w:rPr>
        <w:t xml:space="preserve">, וכ"כ </w:t>
      </w:r>
      <w:r w:rsidRPr="00874DF9">
        <w:rPr>
          <w:rStyle w:val="affa"/>
          <w:rFonts w:hint="cs"/>
          <w:rtl/>
        </w:rPr>
        <w:t>המקדש דוד</w:t>
      </w:r>
      <w:r>
        <w:rPr>
          <w:rStyle w:val="afa"/>
          <w:rFonts w:hint="cs"/>
          <w:rtl/>
        </w:rPr>
        <w:t xml:space="preserve"> </w:t>
      </w:r>
      <w:r w:rsidRPr="00874DF9">
        <w:rPr>
          <w:rStyle w:val="aff6"/>
          <w:rFonts w:hint="cs"/>
          <w:rtl/>
        </w:rPr>
        <w:t xml:space="preserve">(עי' אות </w:t>
      </w:r>
      <w:r w:rsidRPr="00874DF9">
        <w:rPr>
          <w:rStyle w:val="aff6"/>
          <w:rtl/>
        </w:rPr>
        <w:fldChar w:fldCharType="begin"/>
      </w:r>
      <w:r w:rsidRPr="00874DF9">
        <w:rPr>
          <w:rStyle w:val="aff6"/>
          <w:rtl/>
        </w:rPr>
        <w:instrText xml:space="preserve"> </w:instrText>
      </w:r>
      <w:r w:rsidRPr="00874DF9">
        <w:rPr>
          <w:rStyle w:val="aff6"/>
          <w:rFonts w:hint="cs"/>
        </w:rPr>
        <w:instrText>REF</w:instrText>
      </w:r>
      <w:r w:rsidRPr="00874DF9">
        <w:rPr>
          <w:rStyle w:val="aff6"/>
          <w:rFonts w:hint="cs"/>
          <w:rtl/>
        </w:rPr>
        <w:instrText xml:space="preserve"> _</w:instrText>
      </w:r>
      <w:r w:rsidRPr="00874DF9">
        <w:rPr>
          <w:rStyle w:val="aff6"/>
          <w:rFonts w:hint="cs"/>
        </w:rPr>
        <w:instrText>Ref18478887 \r \h</w:instrText>
      </w:r>
      <w:r w:rsidRPr="00874DF9">
        <w:rPr>
          <w:rStyle w:val="aff6"/>
          <w:rtl/>
        </w:rPr>
        <w:instrText xml:space="preserve"> </w:instrText>
      </w:r>
      <w:r w:rsidRPr="00874DF9">
        <w:rPr>
          <w:rStyle w:val="aff6"/>
          <w:rtl/>
        </w:rPr>
      </w:r>
      <w:r w:rsidRPr="00874DF9">
        <w:rPr>
          <w:rStyle w:val="aff6"/>
          <w:rtl/>
        </w:rPr>
        <w:fldChar w:fldCharType="separate"/>
      </w:r>
      <w:r w:rsidR="004D1C5B">
        <w:rPr>
          <w:rStyle w:val="aff6"/>
          <w:cs/>
        </w:rPr>
        <w:t>‎</w:t>
      </w:r>
      <w:r w:rsidR="004D1C5B">
        <w:rPr>
          <w:rStyle w:val="aff6"/>
          <w:rtl/>
        </w:rPr>
        <w:t>קלב)</w:t>
      </w:r>
      <w:r w:rsidRPr="00874DF9">
        <w:rPr>
          <w:rStyle w:val="aff6"/>
          <w:rtl/>
        </w:rPr>
        <w:fldChar w:fldCharType="end"/>
      </w:r>
      <w:r>
        <w:rPr>
          <w:rStyle w:val="affa"/>
          <w:rFonts w:hint="cs"/>
          <w:rtl/>
        </w:rPr>
        <w:t xml:space="preserve"> ו</w:t>
      </w:r>
      <w:r w:rsidRPr="00D3437C">
        <w:rPr>
          <w:rStyle w:val="affa"/>
          <w:rtl/>
        </w:rPr>
        <w:t xml:space="preserve">הקה"י </w:t>
      </w:r>
      <w:r>
        <w:rPr>
          <w:rStyle w:val="aff6"/>
          <w:rFonts w:hint="cs"/>
          <w:rtl/>
        </w:rPr>
        <w:t xml:space="preserve">(עי' </w:t>
      </w:r>
      <w:r w:rsidRPr="00D3437C">
        <w:rPr>
          <w:rStyle w:val="aff6"/>
          <w:rFonts w:hint="cs"/>
          <w:rtl/>
        </w:rPr>
        <w:t xml:space="preserve">אות </w:t>
      </w:r>
      <w:r w:rsidRPr="00D3437C">
        <w:rPr>
          <w:rStyle w:val="aff6"/>
          <w:rtl/>
        </w:rPr>
        <w:fldChar w:fldCharType="begin"/>
      </w:r>
      <w:r w:rsidRPr="00D3437C">
        <w:rPr>
          <w:rStyle w:val="aff6"/>
          <w:rtl/>
        </w:rPr>
        <w:instrText xml:space="preserve"> </w:instrText>
      </w:r>
      <w:r w:rsidRPr="00D3437C">
        <w:rPr>
          <w:rStyle w:val="aff6"/>
          <w:rFonts w:hint="cs"/>
        </w:rPr>
        <w:instrText>REF</w:instrText>
      </w:r>
      <w:r w:rsidRPr="00D3437C">
        <w:rPr>
          <w:rStyle w:val="aff6"/>
          <w:rFonts w:hint="cs"/>
          <w:rtl/>
        </w:rPr>
        <w:instrText xml:space="preserve"> _</w:instrText>
      </w:r>
      <w:r w:rsidRPr="00D3437C">
        <w:rPr>
          <w:rStyle w:val="aff6"/>
          <w:rFonts w:hint="cs"/>
        </w:rPr>
        <w:instrText>Ref18441490 \r \h</w:instrText>
      </w:r>
      <w:r w:rsidRPr="00D3437C">
        <w:rPr>
          <w:rStyle w:val="aff6"/>
          <w:rtl/>
        </w:rPr>
        <w:instrText xml:space="preserve"> </w:instrText>
      </w:r>
      <w:r w:rsidRPr="00D3437C">
        <w:rPr>
          <w:rStyle w:val="aff6"/>
          <w:rtl/>
        </w:rPr>
      </w:r>
      <w:r w:rsidRPr="00D3437C">
        <w:rPr>
          <w:rStyle w:val="aff6"/>
          <w:rtl/>
        </w:rPr>
        <w:fldChar w:fldCharType="separate"/>
      </w:r>
      <w:r w:rsidR="004D1C5B">
        <w:rPr>
          <w:rStyle w:val="aff6"/>
          <w:cs/>
        </w:rPr>
        <w:t>‎</w:t>
      </w:r>
      <w:r w:rsidR="004D1C5B">
        <w:rPr>
          <w:rStyle w:val="aff6"/>
          <w:rtl/>
        </w:rPr>
        <w:t>קכז)</w:t>
      </w:r>
      <w:r w:rsidRPr="00D3437C">
        <w:rPr>
          <w:rStyle w:val="aff6"/>
          <w:rtl/>
        </w:rPr>
        <w:fldChar w:fldCharType="end"/>
      </w:r>
      <w:r>
        <w:rPr>
          <w:rStyle w:val="afa"/>
          <w:rFonts w:hint="cs"/>
          <w:rtl/>
        </w:rPr>
        <w:t>].</w:t>
      </w:r>
      <w:bookmarkEnd w:id="8640"/>
      <w:r w:rsidRPr="00644244">
        <w:rPr>
          <w:rStyle w:val="afa"/>
          <w:rFonts w:hint="cs"/>
          <w:rtl/>
        </w:rPr>
        <w:t xml:space="preserve">  </w:t>
      </w:r>
    </w:p>
    <w:p w:rsidR="007809D6" w:rsidRPr="00D47CE7" w:rsidRDefault="007809D6" w:rsidP="007809D6">
      <w:pPr>
        <w:pStyle w:val="a2"/>
        <w:rPr>
          <w:rtl/>
        </w:rPr>
      </w:pPr>
      <w:bookmarkStart w:id="8641" w:name="_Toc18269128"/>
      <w:bookmarkStart w:id="8642" w:name="_Toc18323825"/>
      <w:bookmarkStart w:id="8643" w:name="_Toc18397397"/>
      <w:bookmarkStart w:id="8644" w:name="_Toc18404120"/>
      <w:bookmarkStart w:id="8645" w:name="_Toc18481537"/>
      <w:r w:rsidRPr="00D47CE7">
        <w:rPr>
          <w:rFonts w:hint="cs"/>
          <w:rtl/>
        </w:rPr>
        <w:t>דברי הגרעק"א דבאיסור בלוע אמרינן דמסתמא היה רוב היתר כנגדו הטעם הפגום ולכן מותר</w:t>
      </w:r>
      <w:bookmarkEnd w:id="8641"/>
      <w:bookmarkEnd w:id="8642"/>
      <w:bookmarkEnd w:id="8643"/>
      <w:bookmarkEnd w:id="8644"/>
      <w:bookmarkEnd w:id="8645"/>
    </w:p>
    <w:p w:rsidR="007809D6" w:rsidRDefault="007809D6" w:rsidP="009F44AF">
      <w:pPr>
        <w:pStyle w:val="a"/>
        <w:rPr>
          <w:rtl/>
        </w:rPr>
      </w:pPr>
      <w:r w:rsidRPr="00D47CE7">
        <w:rPr>
          <w:rFonts w:hint="cs"/>
          <w:rtl/>
        </w:rPr>
        <w:t xml:space="preserve">והוסיף </w:t>
      </w:r>
      <w:r w:rsidRPr="00D47CE7">
        <w:rPr>
          <w:rStyle w:val="af8"/>
          <w:rFonts w:hint="cs"/>
          <w:rtl/>
        </w:rPr>
        <w:t>הגרעק"א בחולין</w:t>
      </w:r>
      <w:r w:rsidRPr="00D47CE7">
        <w:rPr>
          <w:rFonts w:hint="cs"/>
          <w:rtl/>
        </w:rPr>
        <w:t xml:space="preserve"> </w:t>
      </w:r>
      <w:r w:rsidRPr="00D47CE7">
        <w:rPr>
          <w:rStyle w:val="af6"/>
          <w:rFonts w:eastAsia="Guttman Hodes" w:hint="cs"/>
          <w:rtl/>
        </w:rPr>
        <w:t>(צז: אות ז' ד"ה ונראה)</w:t>
      </w:r>
      <w:r w:rsidRPr="00D47CE7">
        <w:rPr>
          <w:rFonts w:hint="cs"/>
          <w:rtl/>
        </w:rPr>
        <w:t xml:space="preserve"> דס"ל </w:t>
      </w:r>
      <w:r w:rsidRPr="00D47CE7">
        <w:rPr>
          <w:rStyle w:val="af8"/>
          <w:rFonts w:hint="cs"/>
          <w:rtl/>
        </w:rPr>
        <w:t>להרשב"א</w:t>
      </w:r>
      <w:r w:rsidRPr="00D47CE7">
        <w:rPr>
          <w:rFonts w:hint="cs"/>
          <w:rtl/>
        </w:rPr>
        <w:t xml:space="preserve"> דאף איסור שפלט מעט לתוך היתר, וכן איסור הבלוע בכלי ונפלט לתוך ההיתר, דצריך רוב בהיתר כנגדו בכדי להתירו מדין נותן טעם לפגם, אלא דאמרינן דמסתמא היה רוב בהיתר שבעין כנגד מה שנפלט מהאיסור, אף אם היה איסור גדול וההיתר מועט, ועיי"ש במ"ש </w:t>
      </w:r>
      <w:r w:rsidRPr="00D47CE7">
        <w:rPr>
          <w:rStyle w:val="af8"/>
          <w:rFonts w:hint="cs"/>
          <w:rtl/>
        </w:rPr>
        <w:t>הגרעק"א בחולין</w:t>
      </w:r>
      <w:r w:rsidRPr="00D47CE7">
        <w:rPr>
          <w:rFonts w:hint="cs"/>
          <w:rtl/>
        </w:rPr>
        <w:t xml:space="preserve"> </w:t>
      </w:r>
      <w:r w:rsidRPr="00D47CE7">
        <w:rPr>
          <w:rStyle w:val="af6"/>
          <w:rFonts w:eastAsia="Guttman Hodes" w:hint="cs"/>
          <w:rtl/>
        </w:rPr>
        <w:t>(צז: אות ז' ד"ה וכן נראה)</w:t>
      </w:r>
      <w:r w:rsidRPr="00D47CE7">
        <w:rPr>
          <w:rFonts w:hint="cs"/>
          <w:rtl/>
        </w:rPr>
        <w:t xml:space="preserve"> להוכיח כן מדברי </w:t>
      </w:r>
      <w:r w:rsidRPr="00D47CE7">
        <w:rPr>
          <w:rStyle w:val="af8"/>
          <w:rFonts w:hint="cs"/>
          <w:rtl/>
        </w:rPr>
        <w:t xml:space="preserve">הרשב"א </w:t>
      </w:r>
      <w:r w:rsidRPr="00D47CE7">
        <w:rPr>
          <w:rFonts w:hint="cs"/>
          <w:rtl/>
        </w:rPr>
        <w:t>בדין נותן טעם לפגם בחמץ</w:t>
      </w:r>
      <w:r>
        <w:rPr>
          <w:rFonts w:hint="cs"/>
          <w:rtl/>
        </w:rPr>
        <w:t xml:space="preserve">, ובמה שביאר </w:t>
      </w:r>
      <w:r>
        <w:rPr>
          <w:rStyle w:val="af8"/>
          <w:rFonts w:hint="cs"/>
          <w:rtl/>
        </w:rPr>
        <w:t>הגרעק"א</w:t>
      </w:r>
      <w:r>
        <w:rPr>
          <w:rFonts w:hint="cs"/>
          <w:rtl/>
        </w:rPr>
        <w:t xml:space="preserve"> </w:t>
      </w:r>
      <w:r w:rsidRPr="00BD71A1">
        <w:rPr>
          <w:rStyle w:val="af6"/>
          <w:rFonts w:eastAsia="Guttman Hodes" w:hint="cs"/>
          <w:rtl/>
        </w:rPr>
        <w:t xml:space="preserve">(הובא לקמן סימן י"ג אות </w:t>
      </w:r>
      <w:r>
        <w:rPr>
          <w:rStyle w:val="af6"/>
          <w:rFonts w:eastAsia="Guttman Hodes" w:hint="cs"/>
          <w:rtl/>
        </w:rPr>
        <w:t>ו'</w:t>
      </w:r>
      <w:r w:rsidRPr="00BD71A1">
        <w:rPr>
          <w:rStyle w:val="af6"/>
          <w:rFonts w:eastAsia="Guttman Hodes" w:hint="cs"/>
          <w:rtl/>
        </w:rPr>
        <w:t>)</w:t>
      </w:r>
      <w:r>
        <w:rPr>
          <w:rFonts w:hint="cs"/>
          <w:rtl/>
        </w:rPr>
        <w:t xml:space="preserve"> בדעת </w:t>
      </w:r>
      <w:r w:rsidRPr="00B95D7C">
        <w:rPr>
          <w:rStyle w:val="af8"/>
          <w:rFonts w:hint="cs"/>
          <w:rtl/>
        </w:rPr>
        <w:t>הרשב"א</w:t>
      </w:r>
      <w:r>
        <w:rPr>
          <w:rFonts w:hint="cs"/>
          <w:rtl/>
        </w:rPr>
        <w:t xml:space="preserve"> בנותן טעם לפגם בחמץ שאסור במשהו.</w:t>
      </w:r>
    </w:p>
    <w:p w:rsidR="007809D6" w:rsidRDefault="007809D6" w:rsidP="007809D6">
      <w:pPr>
        <w:pStyle w:val="a2"/>
        <w:rPr>
          <w:rtl/>
        </w:rPr>
      </w:pPr>
      <w:r>
        <w:rPr>
          <w:rFonts w:hint="cs"/>
          <w:rtl/>
        </w:rPr>
        <w:t>ביאור הפרי תואר ברשב"א דרק בטעם הבלוע א"צ רוב היתר כיון שלא נימוח גוף האיסור</w:t>
      </w:r>
    </w:p>
    <w:p w:rsidR="007809D6" w:rsidRPr="00DB083A" w:rsidRDefault="007809D6" w:rsidP="009F44AF">
      <w:pPr>
        <w:pStyle w:val="a"/>
        <w:rPr>
          <w:rtl/>
        </w:rPr>
      </w:pPr>
      <w:bookmarkStart w:id="8646" w:name="_Ref19611347"/>
      <w:r>
        <w:rPr>
          <w:rFonts w:hint="cs"/>
          <w:rtl/>
        </w:rPr>
        <w:t xml:space="preserve">במ"ש </w:t>
      </w:r>
      <w:r w:rsidRPr="00DB083A">
        <w:rPr>
          <w:rStyle w:val="af8"/>
          <w:rFonts w:hint="cs"/>
          <w:rtl/>
        </w:rPr>
        <w:t>הרשב"א</w:t>
      </w:r>
      <w:r>
        <w:rPr>
          <w:rFonts w:hint="cs"/>
          <w:rtl/>
        </w:rPr>
        <w:t xml:space="preserve"> </w:t>
      </w:r>
      <w:r w:rsidRPr="00DB083A">
        <w:rPr>
          <w:rStyle w:val="af6"/>
          <w:rFonts w:eastAsia="Guttman Hodes" w:hint="cs"/>
          <w:rtl/>
        </w:rPr>
        <w:t xml:space="preserve">(עי' אות </w:t>
      </w:r>
      <w:r w:rsidRPr="00DB083A">
        <w:rPr>
          <w:rStyle w:val="af6"/>
          <w:rFonts w:eastAsia="Guttman Hodes"/>
          <w:rtl/>
        </w:rPr>
        <w:fldChar w:fldCharType="begin"/>
      </w:r>
      <w:r w:rsidRPr="00DB083A">
        <w:rPr>
          <w:rStyle w:val="af6"/>
          <w:rFonts w:eastAsia="Guttman Hodes"/>
          <w:rtl/>
        </w:rPr>
        <w:instrText xml:space="preserve"> </w:instrText>
      </w:r>
      <w:r w:rsidRPr="00DB083A">
        <w:rPr>
          <w:rStyle w:val="af6"/>
          <w:rFonts w:eastAsia="Guttman Hodes" w:hint="cs"/>
        </w:rPr>
        <w:instrText>REF</w:instrText>
      </w:r>
      <w:r w:rsidRPr="00DB083A">
        <w:rPr>
          <w:rStyle w:val="af6"/>
          <w:rFonts w:eastAsia="Guttman Hodes" w:hint="cs"/>
          <w:rtl/>
        </w:rPr>
        <w:instrText xml:space="preserve"> _</w:instrText>
      </w:r>
      <w:r w:rsidRPr="00DB083A">
        <w:rPr>
          <w:rStyle w:val="af6"/>
          <w:rFonts w:eastAsia="Guttman Hodes" w:hint="cs"/>
        </w:rPr>
        <w:instrText>Ref19611146 \r \h</w:instrText>
      </w:r>
      <w:r w:rsidRPr="00DB083A">
        <w:rPr>
          <w:rStyle w:val="af6"/>
          <w:rFonts w:eastAsia="Guttman Hodes"/>
          <w:rtl/>
        </w:rPr>
        <w:instrText xml:space="preserve"> </w:instrText>
      </w:r>
      <w:r w:rsidRPr="00DB083A">
        <w:rPr>
          <w:rStyle w:val="af6"/>
          <w:rFonts w:eastAsia="Guttman Hodes"/>
          <w:rtl/>
        </w:rPr>
      </w:r>
      <w:r w:rsidRPr="00DB083A">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DB083A">
        <w:rPr>
          <w:rStyle w:val="af6"/>
          <w:rFonts w:eastAsia="Guttman Hodes"/>
          <w:rtl/>
        </w:rPr>
        <w:fldChar w:fldCharType="end"/>
      </w:r>
      <w:r>
        <w:rPr>
          <w:rFonts w:hint="cs"/>
          <w:rtl/>
        </w:rPr>
        <w:t xml:space="preserve"> דבקדירה בת יומא נותן טעם לפגם מותר אף כשיש רוב איסור, כתב </w:t>
      </w:r>
      <w:r w:rsidRPr="00DB083A">
        <w:rPr>
          <w:rStyle w:val="af8"/>
          <w:rFonts w:hint="cs"/>
          <w:rtl/>
        </w:rPr>
        <w:t>הפרי תואר</w:t>
      </w:r>
      <w:r>
        <w:rPr>
          <w:rFonts w:hint="cs"/>
          <w:rtl/>
        </w:rPr>
        <w:t xml:space="preserve"> </w:t>
      </w:r>
      <w:r w:rsidRPr="00DB083A">
        <w:rPr>
          <w:rStyle w:val="af6"/>
          <w:rFonts w:eastAsia="Guttman Hodes" w:hint="cs"/>
          <w:rtl/>
        </w:rPr>
        <w:t xml:space="preserve">(סי' ק"ג סק"ג ד"ה והרשב"א) </w:t>
      </w:r>
      <w:r>
        <w:rPr>
          <w:rFonts w:hint="cs"/>
          <w:rtl/>
        </w:rPr>
        <w:t xml:space="preserve">דזהו דוקא בתערובת של טעם כמו טעם שבלוע בקדירה, דכיון שגוף התערובת הוא היתר והאיסור לא נימוח בתערובת, אמרינן דמסתמא יש רוב היתר דחתיכת ההיתר אינה בולעת יותר מגופה, ואף דהדין הוא בכל חתיכת היתר שצריך לשער כנגד כולה </w:t>
      </w:r>
      <w:r w:rsidRPr="00D47CE7">
        <w:rPr>
          <w:rStyle w:val="afa"/>
          <w:rFonts w:hint="cs"/>
          <w:rtl/>
        </w:rPr>
        <w:t xml:space="preserve">[כדכתב </w:t>
      </w:r>
      <w:r w:rsidRPr="00D47CE7">
        <w:rPr>
          <w:rStyle w:val="affa"/>
          <w:rFonts w:hint="cs"/>
          <w:rtl/>
        </w:rPr>
        <w:t xml:space="preserve">הרשב"א בתוה"ב </w:t>
      </w:r>
      <w:r w:rsidRPr="00D47CE7">
        <w:rPr>
          <w:rStyle w:val="aff6"/>
          <w:rFonts w:hint="cs"/>
          <w:rtl/>
        </w:rPr>
        <w:t>(ב"ד ש"א א: מדה"ס, הובא לעיל סימן ה' אות יג)</w:t>
      </w:r>
      <w:r w:rsidRPr="00D47CE7">
        <w:rPr>
          <w:rStyle w:val="afa"/>
          <w:rFonts w:hint="cs"/>
          <w:rtl/>
        </w:rPr>
        <w:t xml:space="preserve">], </w:t>
      </w:r>
      <w:r>
        <w:rPr>
          <w:rFonts w:hint="cs"/>
          <w:rtl/>
        </w:rPr>
        <w:t xml:space="preserve">זהו חומרא דחכמים השוו מידותיהם, אך בעיקר דברי </w:t>
      </w:r>
      <w:r w:rsidRPr="00DB083A">
        <w:rPr>
          <w:rStyle w:val="af8"/>
          <w:rFonts w:hint="cs"/>
          <w:rtl/>
        </w:rPr>
        <w:t>הרשב"א</w:t>
      </w:r>
      <w:r>
        <w:rPr>
          <w:rFonts w:hint="cs"/>
          <w:rtl/>
        </w:rPr>
        <w:t xml:space="preserve"> דהוכיח מדין קדירה בת יומא, דאף בטעם שבלוע א"צ רוב היתר, כתב </w:t>
      </w:r>
      <w:r w:rsidRPr="00DB083A">
        <w:rPr>
          <w:rStyle w:val="af8"/>
          <w:rFonts w:hint="cs"/>
          <w:rtl/>
        </w:rPr>
        <w:t>הפרי תואר</w:t>
      </w:r>
      <w:r>
        <w:rPr>
          <w:rFonts w:hint="cs"/>
          <w:rtl/>
        </w:rPr>
        <w:t xml:space="preserve"> דאפשר לדחות דבקדירה בת יומא הוא חומרא בעלמא, כיון שלא ידוע כמה יצא ממנה איסור בלוע, עיי"ש בדבריו.</w:t>
      </w:r>
      <w:bookmarkEnd w:id="8646"/>
    </w:p>
    <w:p w:rsidR="007809D6" w:rsidRPr="00D47CE7" w:rsidRDefault="007809D6" w:rsidP="007809D6">
      <w:pPr>
        <w:pStyle w:val="a2"/>
        <w:rPr>
          <w:rtl/>
        </w:rPr>
      </w:pPr>
      <w:bookmarkStart w:id="8647" w:name="_Toc18397398"/>
      <w:bookmarkStart w:id="8648" w:name="_Toc18404121"/>
      <w:bookmarkStart w:id="8649" w:name="_Toc18481538"/>
      <w:r w:rsidRPr="00D47CE7">
        <w:rPr>
          <w:rFonts w:hint="cs"/>
          <w:rtl/>
        </w:rPr>
        <w:t>דברי היד יהודה דהו"א דפגום במקצת בתערובת חשיב האיסור כלא ראוי לגר ומותר בלא רוב</w:t>
      </w:r>
      <w:bookmarkEnd w:id="8647"/>
      <w:bookmarkEnd w:id="8648"/>
      <w:bookmarkEnd w:id="8649"/>
    </w:p>
    <w:p w:rsidR="007809D6" w:rsidRDefault="007809D6" w:rsidP="009F44AF">
      <w:pPr>
        <w:pStyle w:val="a"/>
        <w:rPr>
          <w:rtl/>
        </w:rPr>
      </w:pPr>
      <w:r w:rsidRPr="00D47CE7">
        <w:rPr>
          <w:rFonts w:hint="cs"/>
          <w:rtl/>
        </w:rPr>
        <w:t xml:space="preserve">כתב </w:t>
      </w:r>
      <w:r w:rsidRPr="00D47CE7">
        <w:rPr>
          <w:rStyle w:val="af8"/>
          <w:rFonts w:hint="cs"/>
          <w:rtl/>
        </w:rPr>
        <w:t>היד יהודה</w:t>
      </w:r>
      <w:r w:rsidRPr="00D47CE7">
        <w:rPr>
          <w:rFonts w:hint="cs"/>
          <w:rtl/>
        </w:rPr>
        <w:t xml:space="preserve"> </w:t>
      </w:r>
      <w:r w:rsidRPr="00D47CE7">
        <w:rPr>
          <w:rStyle w:val="af6"/>
          <w:rFonts w:eastAsia="Guttman Hodes" w:hint="cs"/>
          <w:rtl/>
        </w:rPr>
        <w:t>(סי' ק"ג סק"ז)</w:t>
      </w:r>
      <w:r w:rsidRPr="00D47CE7">
        <w:rPr>
          <w:rFonts w:hint="cs"/>
          <w:rtl/>
        </w:rPr>
        <w:t xml:space="preserve"> דהא דהוצרך </w:t>
      </w:r>
      <w:r w:rsidRPr="00D47CE7">
        <w:rPr>
          <w:rStyle w:val="af8"/>
          <w:rFonts w:hint="cs"/>
          <w:rtl/>
        </w:rPr>
        <w:t>הרשב"א בתוה"ב</w:t>
      </w:r>
      <w:r w:rsidRPr="00D47CE7">
        <w:rPr>
          <w:rFonts w:hint="cs"/>
          <w:rtl/>
        </w:rPr>
        <w:t xml:space="preserve"> </w:t>
      </w:r>
      <w:r w:rsidRPr="00D47CE7">
        <w:rPr>
          <w:rStyle w:val="af6"/>
          <w:rFonts w:eastAsia="Guttman Hodes"/>
          <w:rtl/>
        </w:rPr>
        <w:t xml:space="preserve">(עי' אות </w:t>
      </w:r>
      <w:r w:rsidRPr="00D47CE7">
        <w:rPr>
          <w:rStyle w:val="af6"/>
          <w:rFonts w:eastAsia="Guttman Hodes"/>
          <w:cs/>
        </w:rPr>
        <w:t>‎</w:t>
      </w:r>
      <w:r w:rsidRPr="00D47CE7">
        <w:rPr>
          <w:rStyle w:val="af6"/>
          <w:rFonts w:eastAsia="Guttman Hodes"/>
        </w:rPr>
        <w:fldChar w:fldCharType="begin"/>
      </w:r>
      <w:r w:rsidRPr="00D47CE7">
        <w:rPr>
          <w:rStyle w:val="af6"/>
          <w:rFonts w:eastAsia="Guttman Hodes"/>
          <w:rtl/>
        </w:rPr>
        <w:instrText xml:space="preserve"> </w:instrText>
      </w:r>
      <w:r w:rsidRPr="00D47CE7">
        <w:rPr>
          <w:rStyle w:val="af6"/>
          <w:rFonts w:eastAsia="Guttman Hodes"/>
        </w:rPr>
        <w:instrText>REF</w:instrText>
      </w:r>
      <w:r w:rsidRPr="00D47CE7">
        <w:rPr>
          <w:rStyle w:val="af6"/>
          <w:rFonts w:eastAsia="Guttman Hodes"/>
          <w:rtl/>
        </w:rPr>
        <w:instrText xml:space="preserve"> _</w:instrText>
      </w:r>
      <w:r w:rsidRPr="00D47CE7">
        <w:rPr>
          <w:rStyle w:val="af6"/>
          <w:rFonts w:eastAsia="Guttman Hodes"/>
        </w:rPr>
        <w:instrText>Ref18228077 \r \h</w:instrText>
      </w:r>
      <w:r w:rsidRPr="00D47CE7">
        <w:rPr>
          <w:rStyle w:val="af6"/>
          <w:rFonts w:eastAsia="Guttman Hodes"/>
          <w:rtl/>
        </w:rPr>
        <w:instrText xml:space="preserve"> </w:instrText>
      </w:r>
      <w:r w:rsidRPr="00D47CE7">
        <w:rPr>
          <w:rStyle w:val="af6"/>
          <w:rFonts w:eastAsia="Guttman Hodes"/>
        </w:rPr>
        <w:instrText xml:space="preserve"> \* MERGEFORMAT </w:instrText>
      </w:r>
      <w:r w:rsidRPr="00D47CE7">
        <w:rPr>
          <w:rStyle w:val="af6"/>
          <w:rFonts w:eastAsia="Guttman Hodes"/>
        </w:rPr>
      </w:r>
      <w:r w:rsidRPr="00D47CE7">
        <w:rPr>
          <w:rStyle w:val="af6"/>
          <w:rFonts w:eastAsia="Guttman Hodes"/>
        </w:rPr>
        <w:fldChar w:fldCharType="separate"/>
      </w:r>
      <w:r w:rsidR="004D1C5B">
        <w:rPr>
          <w:rStyle w:val="af6"/>
          <w:rFonts w:eastAsia="Guttman Hodes"/>
          <w:cs/>
        </w:rPr>
        <w:t>‎</w:t>
      </w:r>
      <w:r w:rsidR="004D1C5B">
        <w:rPr>
          <w:rStyle w:val="af6"/>
          <w:rFonts w:eastAsia="Guttman Hodes"/>
          <w:rtl/>
        </w:rPr>
        <w:t>יז)</w:t>
      </w:r>
      <w:r w:rsidRPr="00D47CE7">
        <w:rPr>
          <w:rStyle w:val="af6"/>
          <w:rFonts w:eastAsia="Guttman Hodes"/>
        </w:rPr>
        <w:fldChar w:fldCharType="end"/>
      </w:r>
      <w:r w:rsidRPr="00D47CE7">
        <w:rPr>
          <w:rStyle w:val="af6"/>
          <w:rFonts w:eastAsia="Guttman Hodes"/>
        </w:rPr>
        <w:t xml:space="preserve"> </w:t>
      </w:r>
      <w:r w:rsidRPr="00D47CE7">
        <w:rPr>
          <w:rFonts w:hint="cs"/>
          <w:rtl/>
        </w:rPr>
        <w:t xml:space="preserve">לומר דבפגום במקצת מותר רק כשיש רוב, אעפ"י דמסברא פשיטא דאסור כשאין רוב, כיון שהוא ראוי לאכילה, דמ"מ היה סברא לומר דדוקא כשהאיסור בפנ"ע אסור לאוכלו אף בפגום קצת, דכל שאין אדם זורקו קרוי אוכל, אבל כשהתערב האיסור הפגום בהיתר משובח, דהאדם רוצה בהיתר המשובח ואינו רוצה באיסור הפגום, דבכה"ג חשיב האיסור הפגום במקצת כאינו ראוי לגר, ולכן הוצרך </w:t>
      </w:r>
      <w:r w:rsidRPr="00D47CE7">
        <w:rPr>
          <w:rStyle w:val="af8"/>
          <w:rFonts w:hint="cs"/>
          <w:rtl/>
        </w:rPr>
        <w:t>הרשב"א</w:t>
      </w:r>
      <w:r w:rsidRPr="00D47CE7">
        <w:rPr>
          <w:rFonts w:hint="cs"/>
          <w:rtl/>
        </w:rPr>
        <w:t xml:space="preserve"> לומר דכל שכנגד ממשות האיסור אין רוב היתר אסור.</w:t>
      </w:r>
    </w:p>
    <w:p w:rsidR="007809D6" w:rsidRDefault="007809D6" w:rsidP="007809D6">
      <w:pPr>
        <w:pStyle w:val="a2"/>
        <w:rPr>
          <w:rtl/>
        </w:rPr>
      </w:pPr>
      <w:bookmarkStart w:id="8650" w:name="_Toc18481539"/>
      <w:r>
        <w:rPr>
          <w:rFonts w:hint="cs"/>
          <w:rtl/>
        </w:rPr>
        <w:t>קושית החמד"ש דלהרשב"א אי טע"כ דרבנן אין איסור בטעם וא"כ נטל"פ מותר בלא רוב</w:t>
      </w:r>
      <w:bookmarkEnd w:id="8650"/>
    </w:p>
    <w:p w:rsidR="007809D6" w:rsidRDefault="007809D6" w:rsidP="009F44AF">
      <w:pPr>
        <w:pStyle w:val="a"/>
        <w:rPr>
          <w:rtl/>
        </w:rPr>
      </w:pPr>
      <w:bookmarkStart w:id="8651" w:name="_Ref20427029"/>
      <w:bookmarkStart w:id="8652" w:name="_Toc16679280"/>
      <w:bookmarkStart w:id="8653" w:name="_Toc16850484"/>
      <w:bookmarkStart w:id="8654" w:name="_Toc17624858"/>
      <w:bookmarkStart w:id="8655" w:name="_Toc17889807"/>
      <w:bookmarkStart w:id="8656" w:name="_Toc17975429"/>
      <w:bookmarkStart w:id="8657" w:name="_Toc17984117"/>
      <w:bookmarkStart w:id="8658" w:name="_Toc18228242"/>
      <w:bookmarkStart w:id="8659" w:name="_Toc18250772"/>
      <w:bookmarkStart w:id="8660" w:name="_Toc18266228"/>
      <w:bookmarkStart w:id="8661" w:name="_Toc18269129"/>
      <w:bookmarkStart w:id="8662" w:name="_Toc18323826"/>
      <w:bookmarkStart w:id="8663" w:name="_Toc18397399"/>
      <w:bookmarkStart w:id="8664" w:name="_Toc18404122"/>
      <w:r>
        <w:rPr>
          <w:rFonts w:hint="cs"/>
          <w:rtl/>
        </w:rPr>
        <w:t xml:space="preserve">במ"ש </w:t>
      </w:r>
      <w:r w:rsidRPr="00D47CE7">
        <w:rPr>
          <w:rStyle w:val="af8"/>
          <w:rFonts w:hint="cs"/>
          <w:rtl/>
        </w:rPr>
        <w:t>הרשב"א בתוה"ב</w:t>
      </w:r>
      <w:r w:rsidRPr="00D47CE7">
        <w:rPr>
          <w:rFonts w:hint="cs"/>
          <w:rtl/>
        </w:rPr>
        <w:t xml:space="preserve"> </w:t>
      </w:r>
      <w:r w:rsidRPr="00D47CE7">
        <w:rPr>
          <w:rStyle w:val="af6"/>
          <w:rFonts w:eastAsia="Guttman Hodes"/>
          <w:rtl/>
        </w:rPr>
        <w:t xml:space="preserve">(עי' אות </w:t>
      </w:r>
      <w:r w:rsidRPr="00D47CE7">
        <w:rPr>
          <w:rStyle w:val="af6"/>
          <w:rFonts w:eastAsia="Guttman Hodes"/>
          <w:cs/>
        </w:rPr>
        <w:t>‎</w:t>
      </w:r>
      <w:r w:rsidRPr="00D47CE7">
        <w:rPr>
          <w:rStyle w:val="af6"/>
          <w:rFonts w:eastAsia="Guttman Hodes"/>
        </w:rPr>
        <w:fldChar w:fldCharType="begin"/>
      </w:r>
      <w:r w:rsidRPr="00D47CE7">
        <w:rPr>
          <w:rStyle w:val="af6"/>
          <w:rFonts w:eastAsia="Guttman Hodes"/>
          <w:rtl/>
        </w:rPr>
        <w:instrText xml:space="preserve"> </w:instrText>
      </w:r>
      <w:r w:rsidRPr="00D47CE7">
        <w:rPr>
          <w:rStyle w:val="af6"/>
          <w:rFonts w:eastAsia="Guttman Hodes"/>
        </w:rPr>
        <w:instrText>REF</w:instrText>
      </w:r>
      <w:r w:rsidRPr="00D47CE7">
        <w:rPr>
          <w:rStyle w:val="af6"/>
          <w:rFonts w:eastAsia="Guttman Hodes"/>
          <w:rtl/>
        </w:rPr>
        <w:instrText xml:space="preserve"> _</w:instrText>
      </w:r>
      <w:r w:rsidRPr="00D47CE7">
        <w:rPr>
          <w:rStyle w:val="af6"/>
          <w:rFonts w:eastAsia="Guttman Hodes"/>
        </w:rPr>
        <w:instrText>Ref18228077 \r \h</w:instrText>
      </w:r>
      <w:r w:rsidRPr="00D47CE7">
        <w:rPr>
          <w:rStyle w:val="af6"/>
          <w:rFonts w:eastAsia="Guttman Hodes"/>
          <w:rtl/>
        </w:rPr>
        <w:instrText xml:space="preserve"> </w:instrText>
      </w:r>
      <w:r w:rsidRPr="00D47CE7">
        <w:rPr>
          <w:rStyle w:val="af6"/>
          <w:rFonts w:eastAsia="Guttman Hodes"/>
        </w:rPr>
        <w:instrText xml:space="preserve"> \* MERGEFORMAT </w:instrText>
      </w:r>
      <w:r w:rsidRPr="00D47CE7">
        <w:rPr>
          <w:rStyle w:val="af6"/>
          <w:rFonts w:eastAsia="Guttman Hodes"/>
        </w:rPr>
      </w:r>
      <w:r w:rsidRPr="00D47CE7">
        <w:rPr>
          <w:rStyle w:val="af6"/>
          <w:rFonts w:eastAsia="Guttman Hodes"/>
        </w:rPr>
        <w:fldChar w:fldCharType="separate"/>
      </w:r>
      <w:r w:rsidR="004D1C5B">
        <w:rPr>
          <w:rStyle w:val="af6"/>
          <w:rFonts w:eastAsia="Guttman Hodes"/>
          <w:cs/>
        </w:rPr>
        <w:t>‎</w:t>
      </w:r>
      <w:r w:rsidR="004D1C5B">
        <w:rPr>
          <w:rStyle w:val="af6"/>
          <w:rFonts w:eastAsia="Guttman Hodes"/>
          <w:rtl/>
        </w:rPr>
        <w:t>יז)</w:t>
      </w:r>
      <w:r w:rsidRPr="00D47CE7">
        <w:rPr>
          <w:rStyle w:val="af6"/>
          <w:rFonts w:eastAsia="Guttman Hodes"/>
        </w:rPr>
        <w:fldChar w:fldCharType="end"/>
      </w:r>
      <w:r w:rsidR="00A005A4">
        <w:rPr>
          <w:rFonts w:hint="cs"/>
          <w:rtl/>
        </w:rPr>
        <w:t xml:space="preserve"> </w:t>
      </w:r>
      <w:r>
        <w:rPr>
          <w:rFonts w:hint="cs"/>
          <w:rtl/>
        </w:rPr>
        <w:t>דההיתר בנותן טעם לפגם הוא רק במקום שיש רוב היתר, הקשה</w:t>
      </w:r>
      <w:r w:rsidRPr="002E5A91">
        <w:rPr>
          <w:rFonts w:hint="cs"/>
          <w:rtl/>
        </w:rPr>
        <w:t xml:space="preserve"> </w:t>
      </w:r>
      <w:r w:rsidRPr="007C7087">
        <w:rPr>
          <w:rStyle w:val="af8"/>
          <w:rFonts w:hint="cs"/>
          <w:rtl/>
        </w:rPr>
        <w:t>החמד"ש</w:t>
      </w:r>
      <w:r w:rsidRPr="002E5A91">
        <w:rPr>
          <w:rFonts w:hint="cs"/>
          <w:rtl/>
        </w:rPr>
        <w:t xml:space="preserve"> </w:t>
      </w:r>
      <w:r w:rsidRPr="007C7087">
        <w:rPr>
          <w:rStyle w:val="af6"/>
          <w:rFonts w:eastAsia="Guttman Hodes" w:hint="cs"/>
          <w:rtl/>
        </w:rPr>
        <w:t xml:space="preserve">(שו"ת יו"ד סי' י"ד אות י' ד"ה וראיתי סי' ק"ג) </w:t>
      </w:r>
      <w:r>
        <w:rPr>
          <w:rFonts w:hint="cs"/>
          <w:rtl/>
        </w:rPr>
        <w:t xml:space="preserve">דהרי דעת </w:t>
      </w:r>
      <w:r w:rsidRPr="007C7087">
        <w:rPr>
          <w:rStyle w:val="af8"/>
          <w:rFonts w:hint="cs"/>
          <w:rtl/>
        </w:rPr>
        <w:t>הרשב"א</w:t>
      </w:r>
      <w:r>
        <w:rPr>
          <w:rFonts w:hint="cs"/>
          <w:rtl/>
        </w:rPr>
        <w:t xml:space="preserve"> היא דלמ"ד טעם כעיקר לאו דאו', א"צ רוב בכדי שהטעם יתבטל, דמדאו' אין איסור בטעם כלל, וכדהוכיח </w:t>
      </w:r>
      <w:r w:rsidRPr="0050146A">
        <w:rPr>
          <w:rStyle w:val="af8"/>
          <w:rFonts w:hint="cs"/>
          <w:rtl/>
        </w:rPr>
        <w:t>החמד"ש</w:t>
      </w:r>
      <w:r w:rsidRPr="00992AAE">
        <w:rPr>
          <w:rStyle w:val="af6"/>
          <w:rFonts w:eastAsia="Guttman Hodes" w:hint="cs"/>
          <w:rtl/>
        </w:rPr>
        <w:t xml:space="preserve"> (שו"ת יו"ד סי' י"ג ד"ה שוב, הובא לעיל סימן ח' אות </w:t>
      </w:r>
      <w:r w:rsidR="00A005A4">
        <w:rPr>
          <w:rStyle w:val="af6"/>
          <w:rFonts w:eastAsia="Guttman Hodes"/>
          <w:rtl/>
        </w:rPr>
        <w:fldChar w:fldCharType="begin"/>
      </w:r>
      <w:r w:rsidR="00A005A4">
        <w:rPr>
          <w:rStyle w:val="af6"/>
          <w:rFonts w:eastAsia="Guttman Hodes"/>
          <w:rtl/>
        </w:rPr>
        <w:instrText xml:space="preserve"> </w:instrText>
      </w:r>
      <w:r w:rsidR="00A005A4">
        <w:rPr>
          <w:rStyle w:val="af6"/>
          <w:rFonts w:eastAsia="Guttman Hodes" w:hint="cs"/>
        </w:rPr>
        <w:instrText>REF</w:instrText>
      </w:r>
      <w:r w:rsidR="00A005A4">
        <w:rPr>
          <w:rStyle w:val="af6"/>
          <w:rFonts w:eastAsia="Guttman Hodes" w:hint="cs"/>
          <w:rtl/>
        </w:rPr>
        <w:instrText xml:space="preserve"> _</w:instrText>
      </w:r>
      <w:r w:rsidR="00A005A4">
        <w:rPr>
          <w:rStyle w:val="af6"/>
          <w:rFonts w:eastAsia="Guttman Hodes" w:hint="cs"/>
        </w:rPr>
        <w:instrText>Ref20426800 \r \h</w:instrText>
      </w:r>
      <w:r w:rsidR="00A005A4">
        <w:rPr>
          <w:rStyle w:val="af6"/>
          <w:rFonts w:eastAsia="Guttman Hodes"/>
          <w:rtl/>
        </w:rPr>
        <w:instrText xml:space="preserve"> </w:instrText>
      </w:r>
      <w:r w:rsidR="00A005A4">
        <w:rPr>
          <w:rStyle w:val="af6"/>
          <w:rFonts w:eastAsia="Guttman Hodes"/>
          <w:rtl/>
        </w:rPr>
      </w:r>
      <w:r w:rsidR="00A005A4">
        <w:rPr>
          <w:rStyle w:val="af6"/>
          <w:rFonts w:eastAsia="Guttman Hodes"/>
          <w:rtl/>
        </w:rPr>
        <w:fldChar w:fldCharType="separate"/>
      </w:r>
      <w:r w:rsidR="004D1C5B">
        <w:rPr>
          <w:rStyle w:val="af6"/>
          <w:rFonts w:eastAsia="Guttman Hodes"/>
          <w:cs/>
        </w:rPr>
        <w:t>‎</w:t>
      </w:r>
      <w:r w:rsidR="004D1C5B">
        <w:rPr>
          <w:rStyle w:val="af6"/>
          <w:rFonts w:eastAsia="Guttman Hodes"/>
          <w:rtl/>
        </w:rPr>
        <w:t>קד)</w:t>
      </w:r>
      <w:r w:rsidR="00A005A4">
        <w:rPr>
          <w:rStyle w:val="af6"/>
          <w:rFonts w:eastAsia="Guttman Hodes"/>
          <w:rtl/>
        </w:rPr>
        <w:fldChar w:fldCharType="end"/>
      </w:r>
      <w:r w:rsidRPr="00992AAE">
        <w:rPr>
          <w:rStyle w:val="af6"/>
          <w:rFonts w:eastAsia="Guttman Hodes" w:hint="cs"/>
          <w:rtl/>
        </w:rPr>
        <w:t xml:space="preserve"> </w:t>
      </w:r>
      <w:r>
        <w:rPr>
          <w:rFonts w:hint="cs"/>
          <w:rtl/>
        </w:rPr>
        <w:t xml:space="preserve">מדברי </w:t>
      </w:r>
      <w:r w:rsidRPr="007C7087">
        <w:rPr>
          <w:rStyle w:val="af8"/>
          <w:rFonts w:hint="cs"/>
          <w:rtl/>
        </w:rPr>
        <w:t>הרשב"א</w:t>
      </w:r>
      <w:r>
        <w:rPr>
          <w:rFonts w:hint="cs"/>
          <w:rtl/>
        </w:rPr>
        <w:t xml:space="preserve">, וא"כ בנותן טעם לפגם דס"ל </w:t>
      </w:r>
      <w:r w:rsidRPr="007C7087">
        <w:rPr>
          <w:rStyle w:val="af8"/>
          <w:rFonts w:hint="cs"/>
          <w:rtl/>
        </w:rPr>
        <w:t>להרשב"א</w:t>
      </w:r>
      <w:r>
        <w:rPr>
          <w:rFonts w:hint="cs"/>
          <w:rtl/>
        </w:rPr>
        <w:t xml:space="preserve"> דאין בו דין טעם כעיקר, א"כ אין איסור בטעם כלל, וא"צ לבטלו ברוב, והוא כטעם כעיקר למ"ד דטע"כ דרבנן.</w:t>
      </w:r>
      <w:bookmarkEnd w:id="8651"/>
    </w:p>
    <w:p w:rsidR="007809D6" w:rsidRDefault="007809D6" w:rsidP="007809D6">
      <w:pPr>
        <w:pStyle w:val="a2"/>
        <w:rPr>
          <w:rtl/>
        </w:rPr>
      </w:pPr>
      <w:bookmarkStart w:id="8665" w:name="_Toc18481540"/>
      <w:r>
        <w:rPr>
          <w:rFonts w:hint="cs"/>
          <w:rtl/>
        </w:rPr>
        <w:t>ביאור החמד"ש דכיון דטע"כ דאו' אף נטל"פ חשיב טעם אלא דמהני בו ביטול ברוב</w:t>
      </w:r>
      <w:bookmarkEnd w:id="8665"/>
    </w:p>
    <w:p w:rsidR="007809D6" w:rsidRPr="00992AAE" w:rsidRDefault="007809D6" w:rsidP="009F44AF">
      <w:pPr>
        <w:pStyle w:val="a"/>
        <w:rPr>
          <w:rtl/>
        </w:rPr>
      </w:pPr>
      <w:r>
        <w:rPr>
          <w:rFonts w:hint="cs"/>
          <w:rtl/>
        </w:rPr>
        <w:t xml:space="preserve">ותירץ </w:t>
      </w:r>
      <w:r w:rsidRPr="007C7087">
        <w:rPr>
          <w:rStyle w:val="af8"/>
          <w:rFonts w:hint="cs"/>
          <w:rtl/>
        </w:rPr>
        <w:t>החמד"ש</w:t>
      </w:r>
      <w:r>
        <w:rPr>
          <w:rFonts w:hint="cs"/>
          <w:rtl/>
        </w:rPr>
        <w:t xml:space="preserve"> דכיון דטעם כעיקר אסור מדאו' בטעם משובח, א"כ אף טעם פגום חשיב טעם, ויש בו איסור,ואף דטעם פגום אינו אוסר את התערובת, מ"מ לא פקע האיסור מהטעם ככיון שלא נפסל מאכילת כלב, אלא דכיון שהוא פגום אינו טעם חשוב  ואף שהוא ניכר הוא מתבטל ברוב, ולכן כתב </w:t>
      </w:r>
      <w:r w:rsidRPr="007C7087">
        <w:rPr>
          <w:rStyle w:val="af8"/>
          <w:rFonts w:hint="cs"/>
          <w:rtl/>
        </w:rPr>
        <w:t>הרשב"א</w:t>
      </w:r>
      <w:r>
        <w:rPr>
          <w:rFonts w:hint="cs"/>
          <w:rtl/>
        </w:rPr>
        <w:t xml:space="preserve"> דההיתר בנותן טעם לפגם הוא רק כשיש רוב היתר.</w:t>
      </w:r>
    </w:p>
    <w:p w:rsidR="007809D6" w:rsidRPr="00D47CE7" w:rsidRDefault="007809D6" w:rsidP="007809D6">
      <w:pPr>
        <w:pStyle w:val="1"/>
        <w:rPr>
          <w:rtl/>
        </w:rPr>
      </w:pPr>
      <w:bookmarkStart w:id="8666" w:name="_Toc18481541"/>
      <w:r w:rsidRPr="00D47CE7">
        <w:rPr>
          <w:rFonts w:hint="cs"/>
          <w:rtl/>
        </w:rPr>
        <w:t>דברי הט"ז</w:t>
      </w:r>
      <w:bookmarkEnd w:id="8652"/>
      <w:bookmarkEnd w:id="8653"/>
      <w:bookmarkEnd w:id="8654"/>
      <w:bookmarkEnd w:id="8655"/>
      <w:bookmarkEnd w:id="8656"/>
      <w:bookmarkEnd w:id="8657"/>
      <w:bookmarkEnd w:id="8658"/>
      <w:bookmarkEnd w:id="8659"/>
      <w:bookmarkEnd w:id="8660"/>
      <w:r w:rsidRPr="00D47CE7">
        <w:rPr>
          <w:rFonts w:hint="cs"/>
          <w:rtl/>
        </w:rPr>
        <w:t xml:space="preserve"> דבאינו נהנה מהטעם הפגום מותר אף בפחות מרוב</w:t>
      </w:r>
      <w:bookmarkEnd w:id="8661"/>
      <w:bookmarkEnd w:id="8662"/>
      <w:bookmarkEnd w:id="8663"/>
      <w:bookmarkEnd w:id="8664"/>
      <w:bookmarkEnd w:id="8666"/>
    </w:p>
    <w:p w:rsidR="007809D6" w:rsidRPr="00D47CE7" w:rsidRDefault="007809D6" w:rsidP="007809D6">
      <w:pPr>
        <w:pStyle w:val="a2"/>
        <w:rPr>
          <w:rtl/>
        </w:rPr>
      </w:pPr>
      <w:bookmarkStart w:id="8667" w:name="_Toc18269130"/>
      <w:bookmarkStart w:id="8668" w:name="_Toc18323827"/>
      <w:bookmarkStart w:id="8669" w:name="_Toc18397400"/>
      <w:bookmarkStart w:id="8670" w:name="_Toc18404123"/>
      <w:bookmarkStart w:id="8671" w:name="_Toc18481542"/>
      <w:r w:rsidRPr="00D47CE7">
        <w:rPr>
          <w:rFonts w:hint="cs"/>
          <w:rtl/>
        </w:rPr>
        <w:t>דברי הט"ז דברוב איסור חשיב שהאיסור בפנ"ע ודינו כנבילה ומותר רק באינו ראוי לגר</w:t>
      </w:r>
      <w:bookmarkEnd w:id="8667"/>
      <w:bookmarkEnd w:id="8668"/>
      <w:bookmarkEnd w:id="8669"/>
      <w:bookmarkEnd w:id="8670"/>
      <w:bookmarkEnd w:id="8671"/>
    </w:p>
    <w:p w:rsidR="007809D6" w:rsidRDefault="007809D6" w:rsidP="009F44AF">
      <w:pPr>
        <w:pStyle w:val="a"/>
        <w:rPr>
          <w:rtl/>
        </w:rPr>
      </w:pPr>
      <w:r w:rsidRPr="00D47CE7">
        <w:rPr>
          <w:rFonts w:hint="cs"/>
          <w:rtl/>
        </w:rPr>
        <w:t xml:space="preserve">כתב </w:t>
      </w:r>
      <w:r w:rsidRPr="00D47CE7">
        <w:rPr>
          <w:rStyle w:val="af8"/>
          <w:rFonts w:hint="cs"/>
          <w:rtl/>
        </w:rPr>
        <w:t>הט"ז</w:t>
      </w:r>
      <w:r w:rsidRPr="00D47CE7">
        <w:rPr>
          <w:rStyle w:val="af6"/>
          <w:rFonts w:eastAsia="Guttman Hodes" w:hint="cs"/>
          <w:rtl/>
        </w:rPr>
        <w:t xml:space="preserve"> (סי' ק"ג סק"א) </w:t>
      </w:r>
      <w:r w:rsidRPr="00D47CE7">
        <w:rPr>
          <w:rFonts w:hint="cs"/>
          <w:rtl/>
        </w:rPr>
        <w:t>דכיון דההיתר בנותן טעם לפגם נלמד מנבילה שאינה ראויה לגר, לכן כשיש באיסור הפוגם רוב כנגד ההיתר, חשיב שהאיסור עומד בפנ"ע והוא אסור עד שיפגם לגמרי כנבילה שאינה ראויה לגר.</w:t>
      </w:r>
    </w:p>
    <w:p w:rsidR="007809D6" w:rsidRPr="00D47CE7" w:rsidRDefault="007809D6" w:rsidP="007809D6">
      <w:pPr>
        <w:pStyle w:val="a2"/>
      </w:pPr>
      <w:bookmarkStart w:id="8672" w:name="_Toc18269131"/>
      <w:bookmarkStart w:id="8673" w:name="_Toc18323828"/>
      <w:bookmarkStart w:id="8674" w:name="_Toc18397401"/>
      <w:bookmarkStart w:id="8675" w:name="_Toc18404124"/>
      <w:bookmarkStart w:id="8676" w:name="_Toc18481543"/>
      <w:r w:rsidRPr="00D47CE7">
        <w:rPr>
          <w:rFonts w:hint="cs"/>
          <w:rtl/>
        </w:rPr>
        <w:t>דברי הט"ז דבממשו מותר בפגום במקצת רק ברוב היתר ובטעמו מותר אף כשאין רוב דאינו נהנה</w:t>
      </w:r>
      <w:bookmarkEnd w:id="8672"/>
      <w:bookmarkEnd w:id="8673"/>
      <w:bookmarkEnd w:id="8674"/>
      <w:bookmarkEnd w:id="8675"/>
      <w:bookmarkEnd w:id="8676"/>
    </w:p>
    <w:p w:rsidR="007809D6" w:rsidRDefault="007809D6" w:rsidP="009F44AF">
      <w:pPr>
        <w:pStyle w:val="a"/>
        <w:rPr>
          <w:rtl/>
        </w:rPr>
      </w:pPr>
      <w:r w:rsidRPr="00D47CE7">
        <w:rPr>
          <w:rFonts w:hint="cs"/>
          <w:rtl/>
        </w:rPr>
        <w:t xml:space="preserve">אבל בפגום במקצת דהוא ראוי לגר, כתב </w:t>
      </w:r>
      <w:r w:rsidRPr="00D47CE7">
        <w:rPr>
          <w:rStyle w:val="af8"/>
          <w:rFonts w:hint="cs"/>
          <w:rtl/>
        </w:rPr>
        <w:t>הט"ז</w:t>
      </w:r>
      <w:r w:rsidRPr="00D47CE7">
        <w:rPr>
          <w:rStyle w:val="af6"/>
          <w:rFonts w:eastAsia="Guttman Hodes" w:hint="cs"/>
          <w:rtl/>
        </w:rPr>
        <w:t xml:space="preserve"> </w:t>
      </w:r>
      <w:r w:rsidRPr="00D47CE7">
        <w:rPr>
          <w:rFonts w:hint="cs"/>
          <w:rtl/>
        </w:rPr>
        <w:t>דבין באיסור שיש בו ממש ויש בהיתר רוב כנגד האיסור הפוגם, ובין אם התערב רק טעם האיסור ואין רוב בהיתר כנגד טעם האיסור מותר, כיון שאינו נהנה מהאיסור, דאינו נותן טעם בתערובת.</w:t>
      </w:r>
    </w:p>
    <w:p w:rsidR="007809D6" w:rsidRPr="003E70C4" w:rsidRDefault="007809D6" w:rsidP="00E669F8">
      <w:pPr>
        <w:pStyle w:val="afd"/>
        <w:rPr>
          <w:rtl/>
        </w:rPr>
      </w:pPr>
      <w:bookmarkStart w:id="8677" w:name="_Toc18269132"/>
      <w:bookmarkStart w:id="8678" w:name="_Toc18323829"/>
      <w:bookmarkStart w:id="8679" w:name="_Toc18397402"/>
      <w:bookmarkStart w:id="8680" w:name="_Toc18404125"/>
      <w:bookmarkStart w:id="8681" w:name="_Toc18481544"/>
      <w:r w:rsidRPr="003E70C4">
        <w:rPr>
          <w:rFonts w:hint="cs"/>
          <w:rtl/>
        </w:rPr>
        <w:t>דעת הר"ן</w:t>
      </w:r>
      <w:bookmarkEnd w:id="8342"/>
      <w:bookmarkEnd w:id="8343"/>
      <w:bookmarkEnd w:id="8344"/>
      <w:bookmarkEnd w:id="8345"/>
      <w:bookmarkEnd w:id="8346"/>
      <w:bookmarkEnd w:id="8347"/>
      <w:bookmarkEnd w:id="8348"/>
      <w:bookmarkEnd w:id="8349"/>
      <w:bookmarkEnd w:id="8413"/>
      <w:bookmarkEnd w:id="8463"/>
      <w:r w:rsidRPr="003E70C4">
        <w:rPr>
          <w:rFonts w:hint="cs"/>
          <w:rtl/>
        </w:rPr>
        <w:t xml:space="preserve"> דהיתר נטל"פ באינו נהנה</w:t>
      </w:r>
      <w:bookmarkEnd w:id="8464"/>
      <w:bookmarkEnd w:id="8465"/>
      <w:bookmarkEnd w:id="8677"/>
      <w:bookmarkEnd w:id="8678"/>
      <w:bookmarkEnd w:id="8679"/>
      <w:bookmarkEnd w:id="8680"/>
      <w:bookmarkEnd w:id="8681"/>
    </w:p>
    <w:p w:rsidR="007809D6" w:rsidRPr="00D47CE7" w:rsidRDefault="007809D6" w:rsidP="007809D6">
      <w:pPr>
        <w:pStyle w:val="1"/>
        <w:rPr>
          <w:rtl/>
        </w:rPr>
      </w:pPr>
      <w:bookmarkStart w:id="8682" w:name="_Toc17984102"/>
      <w:bookmarkStart w:id="8683" w:name="_Toc18228226"/>
      <w:bookmarkStart w:id="8684" w:name="_Toc18250757"/>
      <w:bookmarkStart w:id="8685" w:name="_Toc18266203"/>
      <w:bookmarkStart w:id="8686" w:name="_Toc18269133"/>
      <w:bookmarkStart w:id="8687" w:name="_Toc18323830"/>
      <w:bookmarkStart w:id="8688" w:name="_Toc18397403"/>
      <w:bookmarkStart w:id="8689" w:name="_Toc18404126"/>
      <w:bookmarkStart w:id="8690" w:name="_Toc18481545"/>
      <w:r w:rsidRPr="00D47CE7">
        <w:rPr>
          <w:rFonts w:hint="cs"/>
          <w:rtl/>
        </w:rPr>
        <w:t>דברי הר"ן</w:t>
      </w:r>
      <w:bookmarkEnd w:id="8682"/>
      <w:bookmarkEnd w:id="8683"/>
      <w:r w:rsidRPr="00D47CE7">
        <w:rPr>
          <w:rFonts w:hint="cs"/>
          <w:rtl/>
        </w:rPr>
        <w:t xml:space="preserve"> דפגום במקצת נלמד מנבילה דאינו נהנה מהאיסור</w:t>
      </w:r>
      <w:bookmarkEnd w:id="8684"/>
      <w:bookmarkEnd w:id="8685"/>
      <w:bookmarkEnd w:id="8686"/>
      <w:bookmarkEnd w:id="8687"/>
      <w:bookmarkEnd w:id="8688"/>
      <w:bookmarkEnd w:id="8689"/>
      <w:bookmarkEnd w:id="8690"/>
    </w:p>
    <w:p w:rsidR="007809D6" w:rsidRPr="00D47CE7" w:rsidRDefault="007809D6" w:rsidP="007809D6">
      <w:pPr>
        <w:pStyle w:val="a2"/>
        <w:rPr>
          <w:rtl/>
        </w:rPr>
      </w:pPr>
      <w:bookmarkStart w:id="8691" w:name="_Toc17984103"/>
      <w:bookmarkStart w:id="8692" w:name="_Toc18228227"/>
      <w:bookmarkStart w:id="8693" w:name="_Toc18250758"/>
      <w:bookmarkStart w:id="8694" w:name="_Toc18266204"/>
      <w:bookmarkStart w:id="8695" w:name="_Toc18269134"/>
      <w:bookmarkStart w:id="8696" w:name="_Toc18323831"/>
      <w:bookmarkStart w:id="8697" w:name="_Toc18397404"/>
      <w:bookmarkStart w:id="8698" w:name="_Toc18404127"/>
      <w:bookmarkStart w:id="8699" w:name="_Toc18481546"/>
      <w:r w:rsidRPr="00D47CE7">
        <w:rPr>
          <w:rFonts w:hint="cs"/>
          <w:rtl/>
        </w:rPr>
        <w:t>קושית הר"ן היאך ילפינן מנבילה שמותרת רק באינה ראויה לגר לנטל"פ בפגום במקצת</w:t>
      </w:r>
      <w:bookmarkEnd w:id="8691"/>
      <w:bookmarkEnd w:id="8692"/>
      <w:bookmarkEnd w:id="8693"/>
      <w:bookmarkEnd w:id="8694"/>
      <w:bookmarkEnd w:id="8695"/>
      <w:bookmarkEnd w:id="8696"/>
      <w:bookmarkEnd w:id="8697"/>
      <w:bookmarkEnd w:id="8698"/>
      <w:bookmarkEnd w:id="8699"/>
    </w:p>
    <w:p w:rsidR="007809D6" w:rsidRPr="00D47CE7" w:rsidRDefault="007809D6" w:rsidP="009F44AF">
      <w:pPr>
        <w:pStyle w:val="a"/>
        <w:rPr>
          <w:rtl/>
        </w:rPr>
      </w:pPr>
      <w:bookmarkStart w:id="8700" w:name="_Ref15987023"/>
      <w:bookmarkStart w:id="8701" w:name="_Ref18438991"/>
      <w:r w:rsidRPr="00D47CE7">
        <w:rPr>
          <w:rFonts w:hint="cs"/>
          <w:rtl/>
        </w:rPr>
        <w:t xml:space="preserve">כתבו </w:t>
      </w:r>
      <w:r w:rsidRPr="00D47CE7">
        <w:rPr>
          <w:rStyle w:val="af8"/>
          <w:rFonts w:hint="cs"/>
          <w:rtl/>
        </w:rPr>
        <w:t xml:space="preserve">הרמב"ן והרשב"א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Ref16157154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D47CE7">
        <w:rPr>
          <w:rStyle w:val="af6"/>
          <w:rFonts w:eastAsia="Guttman Hodes"/>
          <w:rtl/>
        </w:rPr>
        <w:fldChar w:fldCharType="end"/>
      </w:r>
      <w:r w:rsidRPr="00D47CE7">
        <w:rPr>
          <w:rStyle w:val="af8"/>
          <w:rFonts w:hint="cs"/>
          <w:rtl/>
        </w:rPr>
        <w:t xml:space="preserve"> והר"ן בחי'</w:t>
      </w:r>
      <w:r>
        <w:rPr>
          <w:rStyle w:val="af8"/>
          <w:rFonts w:hint="cs"/>
          <w:rtl/>
        </w:rPr>
        <w:t xml:space="preserve"> </w:t>
      </w:r>
      <w:r w:rsidRPr="00D47CE7">
        <w:rPr>
          <w:rStyle w:val="af6"/>
          <w:rFonts w:eastAsia="Guttman Hodes" w:hint="cs"/>
          <w:rtl/>
        </w:rPr>
        <w:t>(סו: ד"ה כל)</w:t>
      </w:r>
      <w:r w:rsidRPr="00D47CE7">
        <w:rPr>
          <w:rStyle w:val="af8"/>
          <w:rFonts w:hint="cs"/>
          <w:rtl/>
        </w:rPr>
        <w:t xml:space="preserve"> ועל הרי"ף</w:t>
      </w:r>
      <w:r>
        <w:rPr>
          <w:rStyle w:val="af8"/>
          <w:rFonts w:hint="cs"/>
          <w:rtl/>
        </w:rPr>
        <w:t xml:space="preserve"> </w:t>
      </w:r>
      <w:r w:rsidRPr="00D47CE7">
        <w:rPr>
          <w:rStyle w:val="af6"/>
          <w:rFonts w:eastAsia="Guttman Hodes" w:hint="cs"/>
          <w:rtl/>
        </w:rPr>
        <w:t xml:space="preserve">(סוף לב. מדפי הרי"ף ד"ה ודאמרינן) </w:t>
      </w:r>
      <w:r w:rsidRPr="00D47CE7">
        <w:rPr>
          <w:rFonts w:hint="cs"/>
          <w:rtl/>
        </w:rPr>
        <w:t xml:space="preserve">דילפינן מבנבילה דמותרת רק כשאינה ראויה לגר כשאוכלה בפנ"ע, ולכן כל שהיא עדיין ראויה לאכילה אסורה אף שנפגמה, אבל בתערובת שהאיסור נותן טעם בהיתר, כל שהוא פוגם לא חשיב כנותן טעם, דאדרבה הוא פוגם, ואין בו כל איסור, ולכן ילפינן מנבילה להתיר בתערובת אף בפגום במקצת, אך הקשה </w:t>
      </w:r>
      <w:r w:rsidRPr="00D47CE7">
        <w:rPr>
          <w:rStyle w:val="af8"/>
          <w:rFonts w:hint="cs"/>
          <w:rtl/>
        </w:rPr>
        <w:t>הר"ן</w:t>
      </w:r>
      <w:r w:rsidRPr="00D47CE7">
        <w:rPr>
          <w:rFonts w:hint="cs"/>
          <w:rtl/>
        </w:rPr>
        <w:t xml:space="preserve"> דמ"מ היאך ילפינן את דין נותן טעם לפגם כשהוא ראוי לאכילה, מנבילה שאינה ראויה לאכילה.</w:t>
      </w:r>
      <w:bookmarkEnd w:id="8700"/>
      <w:r w:rsidRPr="00D47CE7">
        <w:rPr>
          <w:rFonts w:hint="cs"/>
          <w:rtl/>
        </w:rPr>
        <w:t xml:space="preserve"> [וכעי"ז הקשה </w:t>
      </w:r>
      <w:r w:rsidRPr="00D47CE7">
        <w:rPr>
          <w:rStyle w:val="af8"/>
          <w:rtl/>
        </w:rPr>
        <w:t>הרא"ה בבד"ה</w:t>
      </w:r>
      <w:r w:rsidRPr="00D47CE7">
        <w:rPr>
          <w:rtl/>
        </w:rPr>
        <w:t xml:space="preserve"> </w:t>
      </w:r>
      <w:r w:rsidRPr="00D47CE7">
        <w:rPr>
          <w:rStyle w:val="af6"/>
          <w:rFonts w:eastAsia="Guttman Rashi" w:hint="cs"/>
          <w:rtl/>
        </w:rPr>
        <w:t xml:space="preserve">(עי' אות </w:t>
      </w:r>
      <w:r w:rsidRPr="00D47CE7">
        <w:rPr>
          <w:rStyle w:val="af6"/>
          <w:rFonts w:eastAsia="Guttman Rashi"/>
          <w:rtl/>
        </w:rPr>
        <w:fldChar w:fldCharType="begin"/>
      </w:r>
      <w:r w:rsidRPr="00D47CE7">
        <w:rPr>
          <w:rStyle w:val="af6"/>
          <w:rFonts w:eastAsia="Guttman Rashi"/>
          <w:rtl/>
        </w:rPr>
        <w:instrText xml:space="preserve"> </w:instrText>
      </w:r>
      <w:r w:rsidRPr="00D47CE7">
        <w:rPr>
          <w:rStyle w:val="af6"/>
          <w:rFonts w:eastAsia="Guttman Rashi"/>
        </w:rPr>
        <w:instrText>REF</w:instrText>
      </w:r>
      <w:r w:rsidRPr="00D47CE7">
        <w:rPr>
          <w:rStyle w:val="af6"/>
          <w:rFonts w:eastAsia="Guttman Rashi"/>
          <w:rtl/>
        </w:rPr>
        <w:instrText xml:space="preserve"> _</w:instrText>
      </w:r>
      <w:r w:rsidRPr="00D47CE7">
        <w:rPr>
          <w:rStyle w:val="af6"/>
          <w:rFonts w:eastAsia="Guttman Rashi"/>
        </w:rPr>
        <w:instrText>Ref17363039 \r \h</w:instrText>
      </w:r>
      <w:r w:rsidRPr="00D47CE7">
        <w:rPr>
          <w:rStyle w:val="af6"/>
          <w:rFonts w:eastAsia="Guttman Rashi"/>
          <w:rtl/>
        </w:rPr>
        <w:instrText xml:space="preserve">  \* </w:instrText>
      </w:r>
      <w:r w:rsidRPr="00D47CE7">
        <w:rPr>
          <w:rStyle w:val="af6"/>
          <w:rFonts w:eastAsia="Guttman Rashi"/>
        </w:rPr>
        <w:instrText>MERGEFORMAT</w:instrText>
      </w:r>
      <w:r w:rsidRPr="00D47CE7">
        <w:rPr>
          <w:rStyle w:val="af6"/>
          <w:rFonts w:eastAsia="Guttman Rashi"/>
          <w:rtl/>
        </w:rPr>
        <w:instrText xml:space="preserve"> </w:instrText>
      </w:r>
      <w:r w:rsidRPr="00D47CE7">
        <w:rPr>
          <w:rStyle w:val="af6"/>
          <w:rFonts w:eastAsia="Guttman Rashi"/>
          <w:rtl/>
        </w:rPr>
      </w:r>
      <w:r w:rsidRPr="00D47CE7">
        <w:rPr>
          <w:rStyle w:val="af6"/>
          <w:rFonts w:eastAsia="Guttman Rashi"/>
          <w:rtl/>
        </w:rPr>
        <w:fldChar w:fldCharType="separate"/>
      </w:r>
      <w:r w:rsidR="004D1C5B">
        <w:rPr>
          <w:rStyle w:val="af6"/>
          <w:rFonts w:eastAsia="Guttman Rashi"/>
          <w:cs/>
        </w:rPr>
        <w:t>‎</w:t>
      </w:r>
      <w:r w:rsidR="004D1C5B">
        <w:rPr>
          <w:rStyle w:val="af6"/>
          <w:rFonts w:eastAsia="Guttman Rashi"/>
          <w:rtl/>
        </w:rPr>
        <w:t>פא)</w:t>
      </w:r>
      <w:r w:rsidRPr="00D47CE7">
        <w:rPr>
          <w:rStyle w:val="af6"/>
          <w:rFonts w:eastAsia="Guttman Rashi"/>
          <w:rtl/>
        </w:rPr>
        <w:fldChar w:fldCharType="end"/>
      </w:r>
      <w:r w:rsidRPr="00D47CE7">
        <w:rPr>
          <w:rFonts w:hint="cs"/>
          <w:rtl/>
        </w:rPr>
        <w:t>].</w:t>
      </w:r>
      <w:bookmarkEnd w:id="8701"/>
    </w:p>
    <w:p w:rsidR="007809D6" w:rsidRPr="00D47CE7" w:rsidRDefault="007809D6" w:rsidP="007809D6">
      <w:pPr>
        <w:pStyle w:val="a2"/>
        <w:rPr>
          <w:rtl/>
        </w:rPr>
      </w:pPr>
      <w:bookmarkStart w:id="8702" w:name="_Toc17984104"/>
      <w:bookmarkStart w:id="8703" w:name="_Toc18228228"/>
      <w:bookmarkStart w:id="8704" w:name="_Toc18250759"/>
      <w:bookmarkStart w:id="8705" w:name="_Toc18266205"/>
      <w:bookmarkStart w:id="8706" w:name="_Toc18269135"/>
      <w:bookmarkStart w:id="8707" w:name="_Toc18323832"/>
      <w:bookmarkStart w:id="8708" w:name="_Toc18397405"/>
      <w:bookmarkStart w:id="8709" w:name="_Toc18404128"/>
      <w:bookmarkStart w:id="8710" w:name="_Toc18481547"/>
      <w:r w:rsidRPr="00D47CE7">
        <w:rPr>
          <w:rFonts w:hint="cs"/>
          <w:rtl/>
        </w:rPr>
        <w:t>ביאור הר"ן דילפינן מנבילה דבאינו נהנה פטור על אכילתה וה"ה בנטל"פ בתערובת דאינו נהנה</w:t>
      </w:r>
      <w:bookmarkEnd w:id="8702"/>
      <w:bookmarkEnd w:id="8703"/>
      <w:bookmarkEnd w:id="8704"/>
      <w:bookmarkEnd w:id="8705"/>
      <w:bookmarkEnd w:id="8706"/>
      <w:bookmarkEnd w:id="8707"/>
      <w:bookmarkEnd w:id="8708"/>
      <w:bookmarkEnd w:id="8709"/>
      <w:bookmarkEnd w:id="8710"/>
    </w:p>
    <w:p w:rsidR="007809D6" w:rsidRDefault="007809D6" w:rsidP="009F44AF">
      <w:pPr>
        <w:pStyle w:val="a"/>
        <w:rPr>
          <w:rtl/>
        </w:rPr>
      </w:pPr>
      <w:bookmarkStart w:id="8711" w:name="_Ref16849713"/>
      <w:r w:rsidRPr="00D47CE7">
        <w:rPr>
          <w:rFonts w:hint="cs"/>
          <w:rtl/>
        </w:rPr>
        <w:t xml:space="preserve">ותירץ </w:t>
      </w:r>
      <w:r w:rsidRPr="00D47CE7">
        <w:rPr>
          <w:rStyle w:val="af8"/>
          <w:rFonts w:hint="cs"/>
          <w:rtl/>
        </w:rPr>
        <w:t xml:space="preserve">הר"ן </w:t>
      </w:r>
      <w:r w:rsidRPr="00D47CE7">
        <w:rPr>
          <w:rFonts w:hint="cs"/>
          <w:rtl/>
        </w:rPr>
        <w:t>דילפינן בבמה מצינו, דהא דבנבילה אסרתה תורה רק כשהיא ראויה לגר, היינו כיון שבאכילתה נהנה מהאיסור, ולכן אסורה אף כשנפגמה במקצת, אבל כשאינה ראויה לגר, דבאכילתה אינו נהנה מהאיסור, התירתה תורה, אעפ"י שכבר חל עליה האיסור, בשעה שהייתה ראויה, א"כ ה"ה באיסור שנתן טעם בהיתר, דכל שהאיסור פגם את ההיתר קצת, ממילא באכילת ההיתר אינו נהנה מהאיסור, אלא הוא מצטער במה שהאיסור מעורב בהיתר, אעפ"י שהאיסור שמעורב בהיתר היה אסור לפני שהתערב בתערובת</w:t>
      </w:r>
      <w:r>
        <w:rPr>
          <w:rFonts w:hint="cs"/>
          <w:rtl/>
        </w:rPr>
        <w:t xml:space="preserve">. [ועי' במה שביארו </w:t>
      </w:r>
      <w:r w:rsidRPr="007E736A">
        <w:rPr>
          <w:rStyle w:val="af8"/>
          <w:rFonts w:hint="cs"/>
          <w:rtl/>
        </w:rPr>
        <w:t xml:space="preserve">הגר"א </w:t>
      </w:r>
      <w:r w:rsidRPr="007E736A">
        <w:rPr>
          <w:rStyle w:val="af6"/>
          <w:rFonts w:eastAsia="Guttman Hodes" w:hint="cs"/>
          <w:rtl/>
        </w:rPr>
        <w:t xml:space="preserve">(עי' אות </w:t>
      </w:r>
      <w:r w:rsidRPr="007E736A">
        <w:rPr>
          <w:rStyle w:val="af6"/>
          <w:rFonts w:eastAsia="Guttman Hodes"/>
          <w:rtl/>
        </w:rPr>
        <w:fldChar w:fldCharType="begin"/>
      </w:r>
      <w:r w:rsidRPr="007E736A">
        <w:rPr>
          <w:rStyle w:val="af6"/>
          <w:rFonts w:eastAsia="Guttman Hodes"/>
          <w:rtl/>
        </w:rPr>
        <w:instrText xml:space="preserve"> </w:instrText>
      </w:r>
      <w:r w:rsidRPr="007E736A">
        <w:rPr>
          <w:rStyle w:val="af6"/>
          <w:rFonts w:eastAsia="Guttman Hodes" w:hint="cs"/>
        </w:rPr>
        <w:instrText>REF</w:instrText>
      </w:r>
      <w:r w:rsidRPr="007E736A">
        <w:rPr>
          <w:rStyle w:val="af6"/>
          <w:rFonts w:eastAsia="Guttman Hodes" w:hint="cs"/>
          <w:rtl/>
        </w:rPr>
        <w:instrText xml:space="preserve"> _</w:instrText>
      </w:r>
      <w:r w:rsidRPr="007E736A">
        <w:rPr>
          <w:rStyle w:val="af6"/>
          <w:rFonts w:eastAsia="Guttman Hodes" w:hint="cs"/>
        </w:rPr>
        <w:instrText>Ref18479124 \r \h</w:instrText>
      </w:r>
      <w:r w:rsidRPr="007E736A">
        <w:rPr>
          <w:rStyle w:val="af6"/>
          <w:rFonts w:eastAsia="Guttman Hodes"/>
          <w:rtl/>
        </w:rPr>
        <w:instrText xml:space="preserve"> </w:instrText>
      </w:r>
      <w:r w:rsidRPr="007E736A">
        <w:rPr>
          <w:rStyle w:val="af6"/>
          <w:rFonts w:eastAsia="Guttman Hodes"/>
          <w:rtl/>
        </w:rPr>
      </w:r>
      <w:r w:rsidRPr="007E736A">
        <w:rPr>
          <w:rStyle w:val="af6"/>
          <w:rFonts w:eastAsia="Guttman Hodes"/>
          <w:rtl/>
        </w:rPr>
        <w:fldChar w:fldCharType="separate"/>
      </w:r>
      <w:r w:rsidR="004D1C5B">
        <w:rPr>
          <w:rStyle w:val="af6"/>
          <w:rFonts w:eastAsia="Guttman Hodes"/>
          <w:cs/>
        </w:rPr>
        <w:t>‎</w:t>
      </w:r>
      <w:r w:rsidR="004D1C5B">
        <w:rPr>
          <w:rStyle w:val="af6"/>
          <w:rFonts w:eastAsia="Guttman Hodes"/>
          <w:rtl/>
        </w:rPr>
        <w:t>סב)</w:t>
      </w:r>
      <w:r w:rsidRPr="007E736A">
        <w:rPr>
          <w:rStyle w:val="af6"/>
          <w:rFonts w:eastAsia="Guttman Hodes"/>
          <w:rtl/>
        </w:rPr>
        <w:fldChar w:fldCharType="end"/>
      </w:r>
      <w:r>
        <w:rPr>
          <w:rFonts w:hint="cs"/>
          <w:rtl/>
        </w:rPr>
        <w:t xml:space="preserve">  </w:t>
      </w:r>
      <w:r w:rsidRPr="007E736A">
        <w:rPr>
          <w:rStyle w:val="af8"/>
          <w:rFonts w:hint="cs"/>
          <w:rtl/>
        </w:rPr>
        <w:t xml:space="preserve">והפרמ"ג </w:t>
      </w:r>
      <w:r w:rsidRPr="007E736A">
        <w:rPr>
          <w:rStyle w:val="af6"/>
          <w:rFonts w:eastAsia="Guttman Hodes" w:hint="cs"/>
          <w:rtl/>
        </w:rPr>
        <w:t xml:space="preserve">(עי' אות </w:t>
      </w:r>
      <w:r w:rsidRPr="007E736A">
        <w:rPr>
          <w:rStyle w:val="af6"/>
          <w:rFonts w:eastAsia="Guttman Hodes"/>
          <w:rtl/>
        </w:rPr>
        <w:fldChar w:fldCharType="begin"/>
      </w:r>
      <w:r w:rsidRPr="007E736A">
        <w:rPr>
          <w:rStyle w:val="af6"/>
          <w:rFonts w:eastAsia="Guttman Hodes"/>
          <w:rtl/>
        </w:rPr>
        <w:instrText xml:space="preserve"> </w:instrText>
      </w:r>
      <w:r w:rsidRPr="007E736A">
        <w:rPr>
          <w:rStyle w:val="af6"/>
          <w:rFonts w:eastAsia="Guttman Hodes" w:hint="cs"/>
        </w:rPr>
        <w:instrText>REF</w:instrText>
      </w:r>
      <w:r w:rsidRPr="007E736A">
        <w:rPr>
          <w:rStyle w:val="af6"/>
          <w:rFonts w:eastAsia="Guttman Hodes" w:hint="cs"/>
          <w:rtl/>
        </w:rPr>
        <w:instrText xml:space="preserve"> _</w:instrText>
      </w:r>
      <w:r w:rsidRPr="007E736A">
        <w:rPr>
          <w:rStyle w:val="af6"/>
          <w:rFonts w:eastAsia="Guttman Hodes" w:hint="cs"/>
        </w:rPr>
        <w:instrText>Ref18479107 \r \h</w:instrText>
      </w:r>
      <w:r w:rsidRPr="007E736A">
        <w:rPr>
          <w:rStyle w:val="af6"/>
          <w:rFonts w:eastAsia="Guttman Hodes"/>
          <w:rtl/>
        </w:rPr>
        <w:instrText xml:space="preserve"> </w:instrText>
      </w:r>
      <w:r w:rsidRPr="007E736A">
        <w:rPr>
          <w:rStyle w:val="af6"/>
          <w:rFonts w:eastAsia="Guttman Hodes"/>
          <w:rtl/>
        </w:rPr>
      </w:r>
      <w:r w:rsidRPr="007E736A">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7E736A">
        <w:rPr>
          <w:rStyle w:val="af6"/>
          <w:rFonts w:eastAsia="Guttman Hodes"/>
          <w:rtl/>
        </w:rPr>
        <w:fldChar w:fldCharType="end"/>
      </w:r>
      <w:r>
        <w:rPr>
          <w:rFonts w:hint="cs"/>
          <w:rtl/>
        </w:rPr>
        <w:t xml:space="preserve"> </w:t>
      </w:r>
      <w:r w:rsidRPr="007E736A">
        <w:rPr>
          <w:rStyle w:val="af8"/>
          <w:rFonts w:hint="cs"/>
          <w:rtl/>
        </w:rPr>
        <w:t xml:space="preserve">והגרעק"א </w:t>
      </w:r>
      <w:r w:rsidRPr="007E736A">
        <w:rPr>
          <w:rStyle w:val="af6"/>
          <w:rFonts w:eastAsia="Guttman Hodes" w:hint="cs"/>
          <w:rtl/>
        </w:rPr>
        <w:t xml:space="preserve">(עי' אות </w:t>
      </w:r>
      <w:r w:rsidRPr="007E736A">
        <w:rPr>
          <w:rStyle w:val="af6"/>
          <w:rFonts w:eastAsia="Guttman Hodes"/>
          <w:rtl/>
        </w:rPr>
        <w:fldChar w:fldCharType="begin"/>
      </w:r>
      <w:r w:rsidRPr="007E736A">
        <w:rPr>
          <w:rStyle w:val="af6"/>
          <w:rFonts w:eastAsia="Guttman Hodes"/>
          <w:rtl/>
        </w:rPr>
        <w:instrText xml:space="preserve"> </w:instrText>
      </w:r>
      <w:r w:rsidRPr="007E736A">
        <w:rPr>
          <w:rStyle w:val="af6"/>
          <w:rFonts w:eastAsia="Guttman Hodes" w:hint="cs"/>
        </w:rPr>
        <w:instrText>REF</w:instrText>
      </w:r>
      <w:r w:rsidRPr="007E736A">
        <w:rPr>
          <w:rStyle w:val="af6"/>
          <w:rFonts w:eastAsia="Guttman Hodes" w:hint="cs"/>
          <w:rtl/>
        </w:rPr>
        <w:instrText xml:space="preserve"> _</w:instrText>
      </w:r>
      <w:r w:rsidRPr="007E736A">
        <w:rPr>
          <w:rStyle w:val="af6"/>
          <w:rFonts w:eastAsia="Guttman Hodes" w:hint="cs"/>
        </w:rPr>
        <w:instrText>Ref18479115 \r \h</w:instrText>
      </w:r>
      <w:r w:rsidRPr="007E736A">
        <w:rPr>
          <w:rStyle w:val="af6"/>
          <w:rFonts w:eastAsia="Guttman Hodes"/>
          <w:rtl/>
        </w:rPr>
        <w:instrText xml:space="preserve"> </w:instrText>
      </w:r>
      <w:r w:rsidRPr="007E736A">
        <w:rPr>
          <w:rStyle w:val="af6"/>
          <w:rFonts w:eastAsia="Guttman Hodes"/>
          <w:rtl/>
        </w:rPr>
      </w:r>
      <w:r w:rsidRPr="007E736A">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7E736A">
        <w:rPr>
          <w:rStyle w:val="af6"/>
          <w:rFonts w:eastAsia="Guttman Hodes"/>
          <w:rtl/>
        </w:rPr>
        <w:fldChar w:fldCharType="end"/>
      </w:r>
      <w:r>
        <w:rPr>
          <w:rFonts w:hint="cs"/>
          <w:rtl/>
        </w:rPr>
        <w:t xml:space="preserve"> </w:t>
      </w:r>
      <w:r w:rsidRPr="007E736A">
        <w:rPr>
          <w:rStyle w:val="af8"/>
          <w:rFonts w:hint="cs"/>
          <w:rtl/>
        </w:rPr>
        <w:lastRenderedPageBreak/>
        <w:t xml:space="preserve">והיד יהודה </w:t>
      </w:r>
      <w:r w:rsidRPr="007E736A">
        <w:rPr>
          <w:rStyle w:val="af6"/>
          <w:rFonts w:eastAsia="Guttman Hodes" w:hint="cs"/>
          <w:rtl/>
        </w:rPr>
        <w:t xml:space="preserve">(עי' אות </w:t>
      </w:r>
      <w:r w:rsidRPr="007E736A">
        <w:rPr>
          <w:rStyle w:val="af6"/>
          <w:rFonts w:eastAsia="Guttman Hodes"/>
          <w:rtl/>
        </w:rPr>
        <w:fldChar w:fldCharType="begin"/>
      </w:r>
      <w:r w:rsidRPr="007E736A">
        <w:rPr>
          <w:rStyle w:val="af6"/>
          <w:rFonts w:eastAsia="Guttman Hodes"/>
          <w:rtl/>
        </w:rPr>
        <w:instrText xml:space="preserve"> </w:instrText>
      </w:r>
      <w:r w:rsidRPr="007E736A">
        <w:rPr>
          <w:rStyle w:val="af6"/>
          <w:rFonts w:eastAsia="Guttman Hodes" w:hint="cs"/>
        </w:rPr>
        <w:instrText>REF</w:instrText>
      </w:r>
      <w:r w:rsidRPr="007E736A">
        <w:rPr>
          <w:rStyle w:val="af6"/>
          <w:rFonts w:eastAsia="Guttman Hodes" w:hint="cs"/>
          <w:rtl/>
        </w:rPr>
        <w:instrText xml:space="preserve"> _</w:instrText>
      </w:r>
      <w:r w:rsidRPr="007E736A">
        <w:rPr>
          <w:rStyle w:val="af6"/>
          <w:rFonts w:eastAsia="Guttman Hodes" w:hint="cs"/>
        </w:rPr>
        <w:instrText>Ref18479166 \r \h</w:instrText>
      </w:r>
      <w:r w:rsidRPr="007E736A">
        <w:rPr>
          <w:rStyle w:val="af6"/>
          <w:rFonts w:eastAsia="Guttman Hodes"/>
          <w:rtl/>
        </w:rPr>
        <w:instrText xml:space="preserve"> </w:instrText>
      </w:r>
      <w:r w:rsidRPr="007E736A">
        <w:rPr>
          <w:rStyle w:val="af6"/>
          <w:rFonts w:eastAsia="Guttman Hodes"/>
          <w:rtl/>
        </w:rPr>
      </w:r>
      <w:r w:rsidRPr="007E736A">
        <w:rPr>
          <w:rStyle w:val="af6"/>
          <w:rFonts w:eastAsia="Guttman Hodes"/>
          <w:rtl/>
        </w:rPr>
        <w:fldChar w:fldCharType="separate"/>
      </w:r>
      <w:r w:rsidR="004D1C5B">
        <w:rPr>
          <w:rStyle w:val="af6"/>
          <w:rFonts w:eastAsia="Guttman Hodes"/>
          <w:cs/>
        </w:rPr>
        <w:t>‎</w:t>
      </w:r>
      <w:r w:rsidR="004D1C5B">
        <w:rPr>
          <w:rStyle w:val="af6"/>
          <w:rFonts w:eastAsia="Guttman Hodes"/>
          <w:rtl/>
        </w:rPr>
        <w:t>סח)</w:t>
      </w:r>
      <w:r w:rsidRPr="007E736A">
        <w:rPr>
          <w:rStyle w:val="af6"/>
          <w:rFonts w:eastAsia="Guttman Hodes"/>
          <w:rtl/>
        </w:rPr>
        <w:fldChar w:fldCharType="end"/>
      </w:r>
      <w:r>
        <w:rPr>
          <w:rFonts w:hint="cs"/>
          <w:rtl/>
        </w:rPr>
        <w:t xml:space="preserve"> </w:t>
      </w:r>
      <w:r>
        <w:rPr>
          <w:rStyle w:val="af8"/>
          <w:rFonts w:hint="cs"/>
          <w:rtl/>
        </w:rPr>
        <w:t xml:space="preserve">והחזו"א </w:t>
      </w:r>
      <w:r w:rsidRPr="007E736A">
        <w:rPr>
          <w:rStyle w:val="af6"/>
          <w:rFonts w:eastAsia="Guttman Hodes" w:hint="cs"/>
          <w:rtl/>
        </w:rPr>
        <w:t xml:space="preserve">(עי' אות </w:t>
      </w:r>
      <w:r w:rsidRPr="007E736A">
        <w:rPr>
          <w:rStyle w:val="af6"/>
          <w:rFonts w:eastAsia="Guttman Hodes"/>
          <w:rtl/>
        </w:rPr>
        <w:fldChar w:fldCharType="begin"/>
      </w:r>
      <w:r w:rsidRPr="007E736A">
        <w:rPr>
          <w:rStyle w:val="af6"/>
          <w:rFonts w:eastAsia="Guttman Hodes"/>
          <w:rtl/>
        </w:rPr>
        <w:instrText xml:space="preserve"> </w:instrText>
      </w:r>
      <w:r w:rsidRPr="007E736A">
        <w:rPr>
          <w:rStyle w:val="af6"/>
          <w:rFonts w:eastAsia="Guttman Hodes" w:hint="cs"/>
        </w:rPr>
        <w:instrText>REF</w:instrText>
      </w:r>
      <w:r w:rsidRPr="007E736A">
        <w:rPr>
          <w:rStyle w:val="af6"/>
          <w:rFonts w:eastAsia="Guttman Hodes" w:hint="cs"/>
          <w:rtl/>
        </w:rPr>
        <w:instrText xml:space="preserve"> _</w:instrText>
      </w:r>
      <w:r w:rsidRPr="007E736A">
        <w:rPr>
          <w:rStyle w:val="af6"/>
          <w:rFonts w:eastAsia="Guttman Hodes" w:hint="cs"/>
        </w:rPr>
        <w:instrText>Ref18321442 \r \h</w:instrText>
      </w:r>
      <w:r w:rsidRPr="007E736A">
        <w:rPr>
          <w:rStyle w:val="af6"/>
          <w:rFonts w:eastAsia="Guttman Hodes"/>
          <w:rtl/>
        </w:rPr>
        <w:instrText xml:space="preserve"> </w:instrText>
      </w:r>
      <w:r w:rsidRPr="007E736A">
        <w:rPr>
          <w:rStyle w:val="af6"/>
          <w:rFonts w:eastAsia="Guttman Hodes"/>
          <w:rtl/>
        </w:rPr>
      </w:r>
      <w:r w:rsidRPr="007E736A">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7E736A">
        <w:rPr>
          <w:rStyle w:val="af6"/>
          <w:rFonts w:eastAsia="Guttman Hodes"/>
          <w:rtl/>
        </w:rPr>
        <w:fldChar w:fldCharType="end"/>
      </w:r>
      <w:r>
        <w:rPr>
          <w:rStyle w:val="af8"/>
          <w:rFonts w:hint="cs"/>
          <w:rtl/>
        </w:rPr>
        <w:t xml:space="preserve"> ו</w:t>
      </w:r>
      <w:r w:rsidRPr="00152215">
        <w:rPr>
          <w:rStyle w:val="af8"/>
          <w:rFonts w:hint="cs"/>
          <w:rtl/>
        </w:rPr>
        <w:t>הקה"י</w:t>
      </w:r>
      <w:r>
        <w:rPr>
          <w:rFonts w:hint="cs"/>
          <w:rtl/>
        </w:rPr>
        <w:t xml:space="preserve"> </w:t>
      </w:r>
      <w:r w:rsidRPr="00152215">
        <w:rPr>
          <w:rStyle w:val="af6"/>
          <w:rFonts w:eastAsia="Guttman Hodes" w:hint="cs"/>
          <w:rtl/>
        </w:rPr>
        <w:t xml:space="preserve">(עי' אות </w:t>
      </w:r>
      <w:r w:rsidRPr="00152215">
        <w:rPr>
          <w:rStyle w:val="af6"/>
          <w:rFonts w:eastAsia="Guttman Hodes"/>
          <w:rtl/>
        </w:rPr>
        <w:fldChar w:fldCharType="begin"/>
      </w:r>
      <w:r w:rsidRPr="00152215">
        <w:rPr>
          <w:rStyle w:val="af6"/>
          <w:rFonts w:eastAsia="Guttman Hodes"/>
          <w:rtl/>
        </w:rPr>
        <w:instrText xml:space="preserve"> </w:instrText>
      </w:r>
      <w:r w:rsidRPr="00152215">
        <w:rPr>
          <w:rStyle w:val="af6"/>
          <w:rFonts w:eastAsia="Guttman Hodes" w:hint="cs"/>
        </w:rPr>
        <w:instrText>REF</w:instrText>
      </w:r>
      <w:r w:rsidRPr="00152215">
        <w:rPr>
          <w:rStyle w:val="af6"/>
          <w:rFonts w:eastAsia="Guttman Hodes" w:hint="cs"/>
          <w:rtl/>
        </w:rPr>
        <w:instrText xml:space="preserve"> _</w:instrText>
      </w:r>
      <w:r w:rsidRPr="00152215">
        <w:rPr>
          <w:rStyle w:val="af6"/>
          <w:rFonts w:eastAsia="Guttman Hodes" w:hint="cs"/>
        </w:rPr>
        <w:instrText>Ref18423960 \r \h</w:instrText>
      </w:r>
      <w:r w:rsidRPr="00152215">
        <w:rPr>
          <w:rStyle w:val="af6"/>
          <w:rFonts w:eastAsia="Guttman Hodes"/>
          <w:rtl/>
        </w:rPr>
        <w:instrText xml:space="preserve"> </w:instrText>
      </w:r>
      <w:r w:rsidRPr="00152215">
        <w:rPr>
          <w:rStyle w:val="af6"/>
          <w:rFonts w:eastAsia="Guttman Hodes"/>
          <w:rtl/>
        </w:rPr>
      </w:r>
      <w:r w:rsidRPr="00152215">
        <w:rPr>
          <w:rStyle w:val="af6"/>
          <w:rFonts w:eastAsia="Guttman Hodes"/>
          <w:rtl/>
        </w:rPr>
        <w:fldChar w:fldCharType="separate"/>
      </w:r>
      <w:r w:rsidR="004D1C5B">
        <w:rPr>
          <w:rStyle w:val="af6"/>
          <w:rFonts w:eastAsia="Guttman Hodes"/>
          <w:cs/>
        </w:rPr>
        <w:t>‎</w:t>
      </w:r>
      <w:r w:rsidR="004D1C5B">
        <w:rPr>
          <w:rStyle w:val="af6"/>
          <w:rFonts w:eastAsia="Guttman Hodes"/>
          <w:rtl/>
        </w:rPr>
        <w:t>קכ)</w:t>
      </w:r>
      <w:r w:rsidRPr="00152215">
        <w:rPr>
          <w:rStyle w:val="af6"/>
          <w:rFonts w:eastAsia="Guttman Hodes"/>
          <w:rtl/>
        </w:rPr>
        <w:fldChar w:fldCharType="end"/>
      </w:r>
      <w:r>
        <w:rPr>
          <w:rFonts w:hint="cs"/>
          <w:rtl/>
        </w:rPr>
        <w:t xml:space="preserve"> </w:t>
      </w:r>
      <w:r>
        <w:rPr>
          <w:rStyle w:val="af8"/>
          <w:rFonts w:hint="cs"/>
          <w:rtl/>
        </w:rPr>
        <w:t>ו</w:t>
      </w:r>
      <w:r w:rsidRPr="00D47CE7">
        <w:rPr>
          <w:rStyle w:val="af8"/>
          <w:rFonts w:hint="cs"/>
          <w:rtl/>
        </w:rPr>
        <w:t>המקדש דוד</w:t>
      </w:r>
      <w:r>
        <w:rPr>
          <w:rFonts w:hint="cs"/>
          <w:rtl/>
        </w:rPr>
        <w:t xml:space="preserve"> </w:t>
      </w:r>
      <w:r w:rsidRPr="008C3057">
        <w:rPr>
          <w:rStyle w:val="af6"/>
          <w:rFonts w:eastAsia="Guttman Hodes" w:hint="cs"/>
          <w:rtl/>
        </w:rPr>
        <w:t xml:space="preserve">(עי' אות </w:t>
      </w:r>
      <w:r w:rsidRPr="008C3057">
        <w:rPr>
          <w:rStyle w:val="af6"/>
          <w:rFonts w:eastAsia="Guttman Hodes"/>
          <w:rtl/>
        </w:rPr>
        <w:fldChar w:fldCharType="begin"/>
      </w:r>
      <w:r w:rsidRPr="008C3057">
        <w:rPr>
          <w:rStyle w:val="af6"/>
          <w:rFonts w:eastAsia="Guttman Hodes"/>
          <w:rtl/>
        </w:rPr>
        <w:instrText xml:space="preserve"> </w:instrText>
      </w:r>
      <w:r w:rsidRPr="008C3057">
        <w:rPr>
          <w:rStyle w:val="af6"/>
          <w:rFonts w:eastAsia="Guttman Hodes" w:hint="cs"/>
        </w:rPr>
        <w:instrText>REF</w:instrText>
      </w:r>
      <w:r w:rsidRPr="008C3057">
        <w:rPr>
          <w:rStyle w:val="af6"/>
          <w:rFonts w:eastAsia="Guttman Hodes" w:hint="cs"/>
          <w:rtl/>
        </w:rPr>
        <w:instrText xml:space="preserve"> _</w:instrText>
      </w:r>
      <w:r w:rsidRPr="008C3057">
        <w:rPr>
          <w:rStyle w:val="af6"/>
          <w:rFonts w:eastAsia="Guttman Hodes" w:hint="cs"/>
        </w:rPr>
        <w:instrText>Ref18478930 \r \h</w:instrText>
      </w:r>
      <w:r w:rsidRPr="008C3057">
        <w:rPr>
          <w:rStyle w:val="af6"/>
          <w:rFonts w:eastAsia="Guttman Hodes"/>
          <w:rtl/>
        </w:rPr>
        <w:instrText xml:space="preserve"> </w:instrText>
      </w:r>
      <w:r w:rsidRPr="008C3057">
        <w:rPr>
          <w:rStyle w:val="af6"/>
          <w:rFonts w:eastAsia="Guttman Hodes"/>
          <w:rtl/>
        </w:rPr>
      </w:r>
      <w:r w:rsidRPr="008C3057">
        <w:rPr>
          <w:rStyle w:val="af6"/>
          <w:rFonts w:eastAsia="Guttman Hodes"/>
          <w:rtl/>
        </w:rPr>
        <w:fldChar w:fldCharType="separate"/>
      </w:r>
      <w:r w:rsidR="004D1C5B">
        <w:rPr>
          <w:rStyle w:val="af6"/>
          <w:rFonts w:eastAsia="Guttman Hodes"/>
          <w:cs/>
        </w:rPr>
        <w:t>‎</w:t>
      </w:r>
      <w:r w:rsidR="004D1C5B">
        <w:rPr>
          <w:rStyle w:val="af6"/>
          <w:rFonts w:eastAsia="Guttman Hodes"/>
          <w:rtl/>
        </w:rPr>
        <w:t>קכט)</w:t>
      </w:r>
      <w:r w:rsidRPr="008C3057">
        <w:rPr>
          <w:rStyle w:val="af6"/>
          <w:rFonts w:eastAsia="Guttman Hodes"/>
          <w:rtl/>
        </w:rPr>
        <w:fldChar w:fldCharType="end"/>
      </w:r>
      <w:r>
        <w:rPr>
          <w:rFonts w:hint="cs"/>
          <w:rtl/>
        </w:rPr>
        <w:t xml:space="preserve"> בדברי </w:t>
      </w:r>
      <w:r w:rsidRPr="007E736A">
        <w:rPr>
          <w:rStyle w:val="af8"/>
          <w:rFonts w:hint="cs"/>
          <w:rtl/>
        </w:rPr>
        <w:t>הר"ן</w:t>
      </w:r>
      <w:r>
        <w:rPr>
          <w:rFonts w:hint="cs"/>
          <w:rtl/>
        </w:rPr>
        <w:t>]</w:t>
      </w:r>
      <w:r w:rsidRPr="00D47CE7">
        <w:rPr>
          <w:rFonts w:hint="cs"/>
          <w:rtl/>
        </w:rPr>
        <w:t>.</w:t>
      </w:r>
      <w:bookmarkEnd w:id="8711"/>
    </w:p>
    <w:p w:rsidR="007809D6" w:rsidRPr="00D47CE7" w:rsidRDefault="007809D6" w:rsidP="007809D6">
      <w:pPr>
        <w:pStyle w:val="1"/>
        <w:rPr>
          <w:rtl/>
        </w:rPr>
      </w:pPr>
      <w:bookmarkStart w:id="8712" w:name="_Toc17984105"/>
      <w:bookmarkStart w:id="8713" w:name="_Toc18228229"/>
      <w:bookmarkStart w:id="8714" w:name="_Toc18250760"/>
      <w:bookmarkStart w:id="8715" w:name="_Toc18266206"/>
      <w:bookmarkStart w:id="8716" w:name="_Toc18269136"/>
      <w:bookmarkStart w:id="8717" w:name="_Toc18323833"/>
      <w:bookmarkStart w:id="8718" w:name="_Toc18397406"/>
      <w:bookmarkStart w:id="8719" w:name="_Toc18404129"/>
      <w:bookmarkStart w:id="8720" w:name="_Toc18481548"/>
      <w:r w:rsidRPr="00D47CE7">
        <w:rPr>
          <w:rFonts w:hint="cs"/>
          <w:rtl/>
        </w:rPr>
        <w:t>דעת הר"ן דאיסור שהגדיל את מידת ההיתר אף שפגמו אוסר</w:t>
      </w:r>
      <w:bookmarkEnd w:id="8712"/>
      <w:bookmarkEnd w:id="8713"/>
      <w:bookmarkEnd w:id="8714"/>
      <w:bookmarkEnd w:id="8715"/>
      <w:bookmarkEnd w:id="8716"/>
      <w:bookmarkEnd w:id="8717"/>
      <w:bookmarkEnd w:id="8718"/>
      <w:bookmarkEnd w:id="8719"/>
      <w:bookmarkEnd w:id="8720"/>
      <w:r w:rsidRPr="00D47CE7">
        <w:rPr>
          <w:rFonts w:hint="cs"/>
          <w:rtl/>
        </w:rPr>
        <w:t xml:space="preserve"> </w:t>
      </w:r>
    </w:p>
    <w:p w:rsidR="007809D6" w:rsidRPr="00D47CE7" w:rsidRDefault="007809D6" w:rsidP="007809D6">
      <w:pPr>
        <w:pStyle w:val="a2"/>
        <w:rPr>
          <w:rtl/>
        </w:rPr>
      </w:pPr>
      <w:bookmarkStart w:id="8721" w:name="_Toc17984106"/>
      <w:bookmarkStart w:id="8722" w:name="_Toc18228230"/>
      <w:bookmarkStart w:id="8723" w:name="_Toc18250761"/>
      <w:bookmarkStart w:id="8724" w:name="_Toc18266207"/>
      <w:bookmarkStart w:id="8725" w:name="_Toc18269137"/>
      <w:bookmarkStart w:id="8726" w:name="_Toc18323834"/>
      <w:bookmarkStart w:id="8727" w:name="_Toc18397407"/>
      <w:bookmarkStart w:id="8728" w:name="_Toc18404130"/>
      <w:bookmarkStart w:id="8729" w:name="_Toc18481549"/>
      <w:r w:rsidRPr="00D47CE7">
        <w:rPr>
          <w:rFonts w:hint="cs"/>
          <w:rtl/>
        </w:rPr>
        <w:t>דברי הר"ן דאיסור שהשביח את ההיתר שהגדיל מידתו אוסר אף שפגם את טעמו</w:t>
      </w:r>
      <w:bookmarkEnd w:id="8721"/>
      <w:bookmarkEnd w:id="8722"/>
      <w:bookmarkEnd w:id="8723"/>
      <w:bookmarkEnd w:id="8724"/>
      <w:bookmarkEnd w:id="8725"/>
      <w:bookmarkEnd w:id="8726"/>
      <w:bookmarkEnd w:id="8727"/>
      <w:bookmarkEnd w:id="8728"/>
      <w:bookmarkEnd w:id="8729"/>
    </w:p>
    <w:p w:rsidR="007809D6" w:rsidRPr="00D47CE7" w:rsidRDefault="007809D6" w:rsidP="009F44AF">
      <w:pPr>
        <w:pStyle w:val="a"/>
        <w:rPr>
          <w:rtl/>
        </w:rPr>
      </w:pPr>
      <w:bookmarkStart w:id="8730" w:name="_Ref16850208"/>
      <w:r w:rsidRPr="00D47CE7">
        <w:rPr>
          <w:rFonts w:hint="cs"/>
          <w:rtl/>
        </w:rPr>
        <w:t xml:space="preserve">והוסיף </w:t>
      </w:r>
      <w:r w:rsidRPr="00D47CE7">
        <w:rPr>
          <w:rStyle w:val="af8"/>
          <w:rFonts w:hint="cs"/>
          <w:rtl/>
        </w:rPr>
        <w:t>הר"ן בחי'</w:t>
      </w:r>
      <w:r>
        <w:rPr>
          <w:rStyle w:val="af8"/>
          <w:rFonts w:hint="cs"/>
          <w:rtl/>
        </w:rPr>
        <w:t xml:space="preserve"> </w:t>
      </w:r>
      <w:r w:rsidRPr="00D47CE7">
        <w:rPr>
          <w:rStyle w:val="af6"/>
          <w:rFonts w:eastAsia="Guttman Hodes" w:hint="cs"/>
          <w:rtl/>
        </w:rPr>
        <w:t>(סו: ד"ה כל)</w:t>
      </w:r>
      <w:r w:rsidRPr="00D47CE7">
        <w:rPr>
          <w:rStyle w:val="af8"/>
          <w:rFonts w:hint="cs"/>
          <w:rtl/>
        </w:rPr>
        <w:t xml:space="preserve"> ועל הרי"ף</w:t>
      </w:r>
      <w:r>
        <w:rPr>
          <w:rStyle w:val="af8"/>
          <w:rFonts w:hint="cs"/>
          <w:rtl/>
        </w:rPr>
        <w:t xml:space="preserve"> </w:t>
      </w:r>
      <w:r w:rsidRPr="00D47CE7">
        <w:rPr>
          <w:rStyle w:val="af6"/>
          <w:rFonts w:eastAsia="Guttman Hodes" w:hint="cs"/>
          <w:rtl/>
        </w:rPr>
        <w:t xml:space="preserve">(סוף לב. מדפי הרי"ף ד"ה ודאמרינן) </w:t>
      </w:r>
      <w:r w:rsidRPr="00D47CE7">
        <w:rPr>
          <w:rFonts w:hint="cs"/>
          <w:rtl/>
        </w:rPr>
        <w:t xml:space="preserve">דקרוב לומר דאם האיסור הפוגם הגדיל את מידת ההיתר, עד כדי שבמה שאוכלו במידה גדולה, יש יותר שבח גדול יותר, ממה שהאיסור פגם את ההיתר בטעמו, דהוא אסור עד שיפסל מאכילת אדם, כמו נבילה, וכתב </w:t>
      </w:r>
      <w:r w:rsidRPr="00D47CE7">
        <w:rPr>
          <w:rStyle w:val="af8"/>
          <w:rFonts w:hint="cs"/>
          <w:rtl/>
        </w:rPr>
        <w:t>הר"ן</w:t>
      </w:r>
      <w:r w:rsidRPr="00D47CE7">
        <w:rPr>
          <w:rFonts w:hint="cs"/>
          <w:rtl/>
        </w:rPr>
        <w:t xml:space="preserve"> דכל ההיתר בנותן טעם לפגם בכל שהוא, זהו דוקא כשהפגם בטעם מקלקל את התבשיל, יותר ממה שהוא משביחו, במה שהגדיל את מידת התבשיל.</w:t>
      </w:r>
      <w:bookmarkEnd w:id="8730"/>
    </w:p>
    <w:p w:rsidR="007809D6" w:rsidRPr="00D47CE7" w:rsidRDefault="007809D6" w:rsidP="007809D6">
      <w:pPr>
        <w:pStyle w:val="a2"/>
        <w:rPr>
          <w:rtl/>
        </w:rPr>
      </w:pPr>
      <w:bookmarkStart w:id="8731" w:name="_Toc17984107"/>
      <w:bookmarkStart w:id="8732" w:name="_Toc18228231"/>
      <w:bookmarkStart w:id="8733" w:name="_Toc18250762"/>
      <w:bookmarkStart w:id="8734" w:name="_Toc18266208"/>
      <w:bookmarkStart w:id="8735" w:name="_Toc18269138"/>
      <w:bookmarkStart w:id="8736" w:name="_Toc18323835"/>
      <w:bookmarkStart w:id="8737" w:name="_Toc18397408"/>
      <w:bookmarkStart w:id="8738" w:name="_Toc18404131"/>
      <w:bookmarkStart w:id="8739" w:name="_Toc18481550"/>
      <w:r w:rsidRPr="00D47CE7">
        <w:rPr>
          <w:rFonts w:hint="cs"/>
          <w:rtl/>
        </w:rPr>
        <w:t>דברי הר"ן דכשיש בתערובת איסור בכזית בכא"פ אסור בפגום במקצת</w:t>
      </w:r>
      <w:bookmarkEnd w:id="8731"/>
      <w:bookmarkEnd w:id="8732"/>
      <w:bookmarkEnd w:id="8733"/>
      <w:bookmarkEnd w:id="8734"/>
      <w:bookmarkEnd w:id="8735"/>
      <w:bookmarkEnd w:id="8736"/>
      <w:bookmarkEnd w:id="8737"/>
      <w:bookmarkEnd w:id="8738"/>
      <w:bookmarkEnd w:id="8739"/>
    </w:p>
    <w:p w:rsidR="007809D6" w:rsidRPr="00D47CE7" w:rsidRDefault="007809D6" w:rsidP="009F44AF">
      <w:pPr>
        <w:pStyle w:val="a"/>
        <w:rPr>
          <w:rtl/>
        </w:rPr>
      </w:pPr>
      <w:bookmarkStart w:id="8740" w:name="_Ref19522283"/>
      <w:r w:rsidRPr="00D47CE7">
        <w:rPr>
          <w:rFonts w:hint="cs"/>
          <w:rtl/>
        </w:rPr>
        <w:t xml:space="preserve">אך כתב </w:t>
      </w:r>
      <w:r w:rsidRPr="00D47CE7">
        <w:rPr>
          <w:rStyle w:val="af8"/>
          <w:rFonts w:hint="cs"/>
          <w:rtl/>
        </w:rPr>
        <w:t>הר"ן בחי'</w:t>
      </w:r>
      <w:r w:rsidRPr="00D47CE7">
        <w:rPr>
          <w:rFonts w:hint="cs"/>
          <w:rtl/>
        </w:rPr>
        <w:t xml:space="preserve"> דמ"מ במקום שיש בתערובת כזית איסור בכדי אכילת פרס, ההיתר בנותן טעם לפגם הוא רק כשאינה ראויה לגר, דהוא כמו נבילה, אבל כשנפגם קצת אסור.</w:t>
      </w:r>
      <w:bookmarkEnd w:id="8740"/>
    </w:p>
    <w:p w:rsidR="007809D6" w:rsidRPr="00D47CE7" w:rsidRDefault="007809D6" w:rsidP="007809D6">
      <w:pPr>
        <w:pStyle w:val="a2"/>
      </w:pPr>
      <w:bookmarkStart w:id="8741" w:name="_Toc18228232"/>
      <w:bookmarkStart w:id="8742" w:name="_Toc18250763"/>
      <w:bookmarkStart w:id="8743" w:name="_Toc18266209"/>
      <w:bookmarkStart w:id="8744" w:name="_Toc18269139"/>
      <w:bookmarkStart w:id="8745" w:name="_Toc18323836"/>
      <w:bookmarkStart w:id="8746" w:name="_Toc18397409"/>
      <w:bookmarkStart w:id="8747" w:name="_Toc18404132"/>
      <w:bookmarkStart w:id="8748" w:name="_Toc18481551"/>
      <w:r w:rsidRPr="00D47CE7">
        <w:rPr>
          <w:rFonts w:hint="cs"/>
          <w:rtl/>
        </w:rPr>
        <w:t>דחיית הר"ן לדברי הרשב"א דנטל"פ בטל ברוב דבכזית בכא"פ לא מהני ביטול ברוב</w:t>
      </w:r>
      <w:bookmarkEnd w:id="8741"/>
      <w:bookmarkEnd w:id="8742"/>
      <w:bookmarkEnd w:id="8743"/>
      <w:bookmarkEnd w:id="8744"/>
      <w:bookmarkEnd w:id="8745"/>
      <w:bookmarkEnd w:id="8746"/>
      <w:bookmarkEnd w:id="8747"/>
      <w:bookmarkEnd w:id="8748"/>
    </w:p>
    <w:p w:rsidR="007809D6" w:rsidRDefault="007809D6" w:rsidP="009F44AF">
      <w:pPr>
        <w:pStyle w:val="a"/>
        <w:rPr>
          <w:rtl/>
        </w:rPr>
      </w:pPr>
      <w:bookmarkStart w:id="8749" w:name="_Ref17984155"/>
      <w:r w:rsidRPr="00D47CE7">
        <w:rPr>
          <w:rFonts w:hint="cs"/>
          <w:rtl/>
        </w:rPr>
        <w:t xml:space="preserve">והביא </w:t>
      </w:r>
      <w:r w:rsidRPr="00D47CE7">
        <w:rPr>
          <w:rStyle w:val="af8"/>
          <w:rtl/>
        </w:rPr>
        <w:t>הר"ן בחי'</w:t>
      </w:r>
      <w:r>
        <w:rPr>
          <w:rStyle w:val="af8"/>
          <w:rtl/>
        </w:rPr>
        <w:t xml:space="preserve"> </w:t>
      </w:r>
      <w:r w:rsidRPr="00D47CE7">
        <w:rPr>
          <w:rStyle w:val="af6"/>
          <w:rFonts w:eastAsia="Guttman Hodes" w:hint="cs"/>
          <w:rtl/>
        </w:rPr>
        <w:t>(סו: סוד"ה כל)</w:t>
      </w:r>
      <w:r w:rsidRPr="00D47CE7">
        <w:rPr>
          <w:rStyle w:val="af8"/>
          <w:rtl/>
        </w:rPr>
        <w:t xml:space="preserve"> </w:t>
      </w:r>
      <w:r w:rsidRPr="00D47CE7">
        <w:rPr>
          <w:rFonts w:hint="cs"/>
          <w:rtl/>
        </w:rPr>
        <w:t xml:space="preserve">את דברי </w:t>
      </w:r>
      <w:r w:rsidRPr="00D47CE7">
        <w:rPr>
          <w:rStyle w:val="af8"/>
          <w:rFonts w:hint="cs"/>
          <w:rtl/>
        </w:rPr>
        <w:t>הרשב"א בתוה"ב</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Ref18228077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 xml:space="preserve">דכתב דכל שההיתר מרובה על האיסור מותר, דהא מדאו' חד בתרי בטיל, ומדין טעם כעיקר אינו אסור כיון שהוא פוגם, וכן את דברי </w:t>
      </w:r>
      <w:r w:rsidRPr="00D47CE7">
        <w:rPr>
          <w:rStyle w:val="af8"/>
          <w:rFonts w:hint="cs"/>
          <w:rtl/>
        </w:rPr>
        <w:t>הרשב"א בתוה"ב</w:t>
      </w:r>
      <w:r w:rsidRPr="00D47CE7">
        <w:rPr>
          <w:rFonts w:hint="cs"/>
          <w:rtl/>
        </w:rPr>
        <w:t xml:space="preserve"> </w:t>
      </w:r>
      <w:r w:rsidRPr="00D47CE7">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Ref20068656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Pr>
          <w:rStyle w:val="af6"/>
          <w:rFonts w:eastAsia="Guttman Hodes"/>
          <w:rtl/>
        </w:rPr>
        <w:fldChar w:fldCharType="end"/>
      </w:r>
      <w:r>
        <w:rPr>
          <w:rStyle w:val="af6"/>
          <w:rFonts w:eastAsia="Guttman Hodes" w:hint="cs"/>
          <w:rtl/>
        </w:rPr>
        <w:t xml:space="preserve"> </w:t>
      </w:r>
      <w:r w:rsidRPr="00D47CE7">
        <w:rPr>
          <w:rFonts w:hint="cs"/>
          <w:rtl/>
        </w:rPr>
        <w:t xml:space="preserve">דכתב דאיסור שמאוס מתחילתו שהתערב בהיתר ופגם אותו, ויש רוב בהיתר כנגד האיסור, דמותר כיון דהממשות של האיסור בטלה מדאו' ברוב, ומדין טעם כעיקר אין איסור כיון שהוא פוגם אין בו איסור מדין טעם כעיקר, ודחה </w:t>
      </w:r>
      <w:r w:rsidRPr="00D47CE7">
        <w:rPr>
          <w:rStyle w:val="af8"/>
          <w:rFonts w:hint="cs"/>
          <w:rtl/>
        </w:rPr>
        <w:t>הר"ן</w:t>
      </w:r>
      <w:r w:rsidRPr="00D47CE7">
        <w:rPr>
          <w:rFonts w:hint="cs"/>
          <w:rtl/>
        </w:rPr>
        <w:t xml:space="preserve"> את דברי </w:t>
      </w:r>
      <w:r w:rsidRPr="00D47CE7">
        <w:rPr>
          <w:rStyle w:val="af8"/>
          <w:rFonts w:hint="cs"/>
          <w:rtl/>
        </w:rPr>
        <w:t>הרשב"א</w:t>
      </w:r>
      <w:r w:rsidRPr="00D47CE7">
        <w:rPr>
          <w:rFonts w:hint="cs"/>
          <w:rtl/>
        </w:rPr>
        <w:t xml:space="preserve"> דכל שיש בו כזית בכדי אכילת פרס אסור ואינו בטל ולוקין עליו, ולא ילפינן ליה  מנבילה, דאף שהוא פוגם את התערובת, מ"מ הוא מגדיל את מידתה, וכ"ש במקום שיש בו כזית בכדי אכילת פרס, דהוא נהנה מהאיסור, ורק במקום שנפסל מאכילת אדם כנבילה מותר</w:t>
      </w:r>
      <w:r w:rsidRPr="00D47CE7">
        <w:rPr>
          <w:rStyle w:val="af0"/>
          <w:rtl/>
        </w:rPr>
        <w:footnoteReference w:id="27"/>
      </w:r>
      <w:r w:rsidRPr="00D47CE7">
        <w:rPr>
          <w:rFonts w:hint="cs"/>
          <w:rtl/>
        </w:rPr>
        <w:t>.</w:t>
      </w:r>
      <w:bookmarkEnd w:id="8749"/>
    </w:p>
    <w:p w:rsidR="007809D6" w:rsidRDefault="007809D6" w:rsidP="007809D6">
      <w:pPr>
        <w:pStyle w:val="a2"/>
        <w:rPr>
          <w:rtl/>
        </w:rPr>
      </w:pPr>
      <w:bookmarkStart w:id="8750" w:name="_Toc18481552"/>
      <w:r>
        <w:rPr>
          <w:rFonts w:hint="cs"/>
          <w:rtl/>
        </w:rPr>
        <w:t>דברי הר"ן דטעם שבלוע בקדירה אינו אוסר כיון שפוגם את התערובת אך הוא עצמו לא פגום</w:t>
      </w:r>
      <w:bookmarkEnd w:id="8750"/>
    </w:p>
    <w:p w:rsidR="007809D6" w:rsidRPr="006B0677" w:rsidRDefault="007809D6" w:rsidP="009F44AF">
      <w:pPr>
        <w:pStyle w:val="a"/>
        <w:rPr>
          <w:rtl/>
        </w:rPr>
      </w:pPr>
      <w:bookmarkStart w:id="8751" w:name="_Ref18438605"/>
      <w:r>
        <w:rPr>
          <w:rFonts w:hint="cs"/>
          <w:rtl/>
        </w:rPr>
        <w:t xml:space="preserve">ועוד כתב </w:t>
      </w:r>
      <w:r w:rsidRPr="006B0677">
        <w:rPr>
          <w:rStyle w:val="af8"/>
          <w:rFonts w:hint="cs"/>
          <w:rtl/>
        </w:rPr>
        <w:t>הר"ן על הרי"ף</w:t>
      </w:r>
      <w:r>
        <w:rPr>
          <w:rFonts w:hint="cs"/>
          <w:rtl/>
        </w:rPr>
        <w:t xml:space="preserve"> </w:t>
      </w:r>
      <w:r w:rsidRPr="006B0677">
        <w:rPr>
          <w:rStyle w:val="af6"/>
          <w:rFonts w:eastAsia="Guttman Hodes" w:hint="cs"/>
          <w:rtl/>
        </w:rPr>
        <w:t>(מ. מדפי הרי"ף ד"ה לא)</w:t>
      </w:r>
      <w:r>
        <w:rPr>
          <w:rFonts w:hint="cs"/>
          <w:rtl/>
        </w:rPr>
        <w:t xml:space="preserve"> דהטעם שבלוע בקדירה שאינה בת יומא, הוא עצמו ראוי לגר, </w:t>
      </w:r>
      <w:r w:rsidRPr="006B0677">
        <w:rPr>
          <w:rStyle w:val="afa"/>
          <w:rFonts w:hint="cs"/>
          <w:rtl/>
        </w:rPr>
        <w:t xml:space="preserve">[ודלא </w:t>
      </w:r>
      <w:r w:rsidRPr="006B0677">
        <w:rPr>
          <w:rStyle w:val="affa"/>
          <w:rFonts w:hint="cs"/>
          <w:rtl/>
        </w:rPr>
        <w:t>כהרא"ה</w:t>
      </w:r>
      <w:r w:rsidRPr="006B0677">
        <w:rPr>
          <w:rStyle w:val="afa"/>
          <w:rFonts w:hint="cs"/>
          <w:rtl/>
        </w:rPr>
        <w:t xml:space="preserve"> </w:t>
      </w:r>
      <w:r w:rsidRPr="00316202">
        <w:rPr>
          <w:rStyle w:val="aff6"/>
          <w:rFonts w:hint="cs"/>
          <w:rtl/>
        </w:rPr>
        <w:t xml:space="preserve">(עי' אות </w:t>
      </w:r>
      <w:r w:rsidRPr="00316202">
        <w:rPr>
          <w:rStyle w:val="aff6"/>
          <w:rtl/>
        </w:rPr>
        <w:fldChar w:fldCharType="begin"/>
      </w:r>
      <w:r w:rsidRPr="00316202">
        <w:rPr>
          <w:rStyle w:val="aff6"/>
          <w:rtl/>
        </w:rPr>
        <w:instrText xml:space="preserve"> </w:instrText>
      </w:r>
      <w:r w:rsidRPr="00316202">
        <w:rPr>
          <w:rStyle w:val="aff6"/>
          <w:rFonts w:hint="cs"/>
        </w:rPr>
        <w:instrText>REF</w:instrText>
      </w:r>
      <w:r w:rsidRPr="00316202">
        <w:rPr>
          <w:rStyle w:val="aff6"/>
          <w:rFonts w:hint="cs"/>
          <w:rtl/>
        </w:rPr>
        <w:instrText xml:space="preserve"> _</w:instrText>
      </w:r>
      <w:r w:rsidRPr="00316202">
        <w:rPr>
          <w:rStyle w:val="aff6"/>
          <w:rFonts w:hint="cs"/>
        </w:rPr>
        <w:instrText>Ref18438494 \r \h</w:instrText>
      </w:r>
      <w:r w:rsidRPr="00316202">
        <w:rPr>
          <w:rStyle w:val="aff6"/>
          <w:rtl/>
        </w:rPr>
        <w:instrText xml:space="preserve"> </w:instrText>
      </w:r>
      <w:r w:rsidRPr="00316202">
        <w:rPr>
          <w:rStyle w:val="aff6"/>
          <w:rtl/>
        </w:rPr>
      </w:r>
      <w:r w:rsidRPr="00316202">
        <w:rPr>
          <w:rStyle w:val="aff6"/>
          <w:rtl/>
        </w:rPr>
        <w:fldChar w:fldCharType="separate"/>
      </w:r>
      <w:r w:rsidR="004D1C5B">
        <w:rPr>
          <w:rStyle w:val="aff6"/>
          <w:cs/>
        </w:rPr>
        <w:t>‎</w:t>
      </w:r>
      <w:r w:rsidR="004D1C5B">
        <w:rPr>
          <w:rStyle w:val="aff6"/>
          <w:rtl/>
        </w:rPr>
        <w:t>פה)</w:t>
      </w:r>
      <w:r w:rsidRPr="00316202">
        <w:rPr>
          <w:rStyle w:val="aff6"/>
          <w:rtl/>
        </w:rPr>
        <w:fldChar w:fldCharType="end"/>
      </w:r>
      <w:r w:rsidRPr="006B0677">
        <w:rPr>
          <w:rStyle w:val="afa"/>
          <w:rFonts w:hint="cs"/>
          <w:rtl/>
        </w:rPr>
        <w:t xml:space="preserve">], </w:t>
      </w:r>
      <w:r>
        <w:rPr>
          <w:rFonts w:hint="cs"/>
          <w:rtl/>
        </w:rPr>
        <w:t xml:space="preserve">אלא דכיון שהוא פוגם את התערובת, ואינו משביח אותה, לכן אין התערובת נאסרת, אך לענין נותר כתב </w:t>
      </w:r>
      <w:r w:rsidRPr="006B0677">
        <w:rPr>
          <w:rStyle w:val="af8"/>
          <w:rFonts w:hint="cs"/>
          <w:rtl/>
        </w:rPr>
        <w:t>הר"ן</w:t>
      </w:r>
      <w:r>
        <w:rPr>
          <w:rFonts w:hint="cs"/>
          <w:rtl/>
        </w:rPr>
        <w:t xml:space="preserve"> דיש לו דין ביעור, והכלי חייב במירוק ושטיפה, כיון שהטעם הבלוע עצמו אינו פגום כלל. </w:t>
      </w:r>
      <w:r w:rsidRPr="006B0677">
        <w:rPr>
          <w:rStyle w:val="afa"/>
          <w:rFonts w:hint="cs"/>
          <w:rtl/>
        </w:rPr>
        <w:t xml:space="preserve">[ועיי"ש </w:t>
      </w:r>
      <w:r w:rsidRPr="006B0677">
        <w:rPr>
          <w:rStyle w:val="affa"/>
          <w:rFonts w:hint="cs"/>
          <w:rtl/>
        </w:rPr>
        <w:t xml:space="preserve">בר"ן </w:t>
      </w:r>
      <w:r w:rsidRPr="006B0677">
        <w:rPr>
          <w:rStyle w:val="afa"/>
          <w:rFonts w:hint="cs"/>
          <w:rtl/>
        </w:rPr>
        <w:t xml:space="preserve">דתירץ בזה את קושית </w:t>
      </w:r>
      <w:r w:rsidRPr="006B0677">
        <w:rPr>
          <w:rStyle w:val="affa"/>
          <w:rFonts w:hint="cs"/>
          <w:rtl/>
        </w:rPr>
        <w:t xml:space="preserve">התוס' </w:t>
      </w:r>
      <w:r w:rsidRPr="006B0677">
        <w:rPr>
          <w:rStyle w:val="afa"/>
          <w:rFonts w:hint="cs"/>
          <w:rtl/>
        </w:rPr>
        <w:t>דהקשו דאמאי הכלי חייב מירוק, הא הטעם הבלוע בקדירה שאינה בת יומא הוא טעם פגום]</w:t>
      </w:r>
      <w:r>
        <w:rPr>
          <w:rStyle w:val="afa"/>
          <w:rFonts w:hint="cs"/>
          <w:rtl/>
        </w:rPr>
        <w:t>.</w:t>
      </w:r>
      <w:r>
        <w:rPr>
          <w:rFonts w:hint="cs"/>
          <w:rtl/>
        </w:rPr>
        <w:t xml:space="preserve"> [ועי' במה שביאר </w:t>
      </w:r>
      <w:r w:rsidRPr="00316202">
        <w:rPr>
          <w:rStyle w:val="af8"/>
          <w:rFonts w:hint="cs"/>
          <w:rtl/>
        </w:rPr>
        <w:t>הקה"י</w:t>
      </w:r>
      <w:r>
        <w:rPr>
          <w:rFonts w:hint="cs"/>
          <w:rtl/>
        </w:rPr>
        <w:t xml:space="preserve"> </w:t>
      </w:r>
      <w:r w:rsidRPr="00316202">
        <w:rPr>
          <w:rStyle w:val="af6"/>
          <w:rFonts w:eastAsia="Guttman Hodes" w:hint="cs"/>
          <w:rtl/>
        </w:rPr>
        <w:t xml:space="preserve">(עי' אות </w:t>
      </w:r>
      <w:r w:rsidRPr="00316202">
        <w:rPr>
          <w:rStyle w:val="af6"/>
          <w:rFonts w:eastAsia="Guttman Hodes"/>
          <w:rtl/>
        </w:rPr>
        <w:fldChar w:fldCharType="begin"/>
      </w:r>
      <w:r w:rsidRPr="00316202">
        <w:rPr>
          <w:rStyle w:val="af6"/>
          <w:rFonts w:eastAsia="Guttman Hodes"/>
          <w:rtl/>
        </w:rPr>
        <w:instrText xml:space="preserve"> </w:instrText>
      </w:r>
      <w:r w:rsidRPr="00316202">
        <w:rPr>
          <w:rStyle w:val="af6"/>
          <w:rFonts w:eastAsia="Guttman Hodes" w:hint="cs"/>
        </w:rPr>
        <w:instrText>REF</w:instrText>
      </w:r>
      <w:r w:rsidRPr="00316202">
        <w:rPr>
          <w:rStyle w:val="af6"/>
          <w:rFonts w:eastAsia="Guttman Hodes" w:hint="cs"/>
          <w:rtl/>
        </w:rPr>
        <w:instrText xml:space="preserve"> _</w:instrText>
      </w:r>
      <w:r w:rsidRPr="00316202">
        <w:rPr>
          <w:rStyle w:val="af6"/>
          <w:rFonts w:eastAsia="Guttman Hodes" w:hint="cs"/>
        </w:rPr>
        <w:instrText>Ref18438531 \r \h</w:instrText>
      </w:r>
      <w:r w:rsidRPr="00316202">
        <w:rPr>
          <w:rStyle w:val="af6"/>
          <w:rFonts w:eastAsia="Guttman Hodes"/>
          <w:rtl/>
        </w:rPr>
        <w:instrText xml:space="preserve"> </w:instrText>
      </w:r>
      <w:r w:rsidRPr="00316202">
        <w:rPr>
          <w:rStyle w:val="af6"/>
          <w:rFonts w:eastAsia="Guttman Hodes"/>
          <w:rtl/>
        </w:rPr>
      </w:r>
      <w:r w:rsidRPr="00316202">
        <w:rPr>
          <w:rStyle w:val="af6"/>
          <w:rFonts w:eastAsia="Guttman Hodes"/>
          <w:rtl/>
        </w:rPr>
        <w:fldChar w:fldCharType="separate"/>
      </w:r>
      <w:r w:rsidR="004D1C5B">
        <w:rPr>
          <w:rStyle w:val="af6"/>
          <w:rFonts w:eastAsia="Guttman Hodes"/>
          <w:cs/>
        </w:rPr>
        <w:t>‎</w:t>
      </w:r>
      <w:r w:rsidR="004D1C5B">
        <w:rPr>
          <w:rStyle w:val="af6"/>
          <w:rFonts w:eastAsia="Guttman Hodes"/>
          <w:rtl/>
        </w:rPr>
        <w:t>קכד)</w:t>
      </w:r>
      <w:r w:rsidRPr="00316202">
        <w:rPr>
          <w:rStyle w:val="af6"/>
          <w:rFonts w:eastAsia="Guttman Hodes"/>
          <w:rtl/>
        </w:rPr>
        <w:fldChar w:fldCharType="end"/>
      </w:r>
      <w:r>
        <w:rPr>
          <w:rFonts w:hint="cs"/>
          <w:rtl/>
        </w:rPr>
        <w:t xml:space="preserve"> בדברי </w:t>
      </w:r>
      <w:r w:rsidRPr="00316202">
        <w:rPr>
          <w:rStyle w:val="af8"/>
          <w:rFonts w:hint="cs"/>
          <w:rtl/>
        </w:rPr>
        <w:t>הר"ן</w:t>
      </w:r>
      <w:r>
        <w:rPr>
          <w:rFonts w:hint="cs"/>
          <w:rtl/>
        </w:rPr>
        <w:t>].</w:t>
      </w:r>
      <w:bookmarkEnd w:id="8751"/>
    </w:p>
    <w:p w:rsidR="007809D6" w:rsidRDefault="007809D6" w:rsidP="007809D6">
      <w:pPr>
        <w:pStyle w:val="a2"/>
        <w:rPr>
          <w:rtl/>
        </w:rPr>
      </w:pPr>
      <w:bookmarkStart w:id="8752" w:name="_Toc18250774"/>
      <w:bookmarkStart w:id="8753" w:name="_Toc18266230"/>
      <w:bookmarkStart w:id="8754" w:name="_Toc18269140"/>
      <w:bookmarkStart w:id="8755" w:name="_Toc18323837"/>
      <w:bookmarkStart w:id="8756" w:name="_Toc18397410"/>
      <w:bookmarkStart w:id="8757" w:name="_Toc18404133"/>
      <w:bookmarkStart w:id="8758" w:name="_Toc18481553"/>
      <w:bookmarkStart w:id="8759" w:name="_Toc15936055"/>
      <w:bookmarkStart w:id="8760" w:name="_Toc16116625"/>
      <w:bookmarkStart w:id="8761" w:name="_Toc16243785"/>
      <w:bookmarkStart w:id="8762" w:name="_Toc16679285"/>
      <w:bookmarkStart w:id="8763" w:name="_Toc16850489"/>
      <w:bookmarkStart w:id="8764" w:name="_Toc17624864"/>
      <w:bookmarkStart w:id="8765" w:name="_Toc17889813"/>
      <w:bookmarkStart w:id="8766" w:name="_Toc17975435"/>
      <w:bookmarkStart w:id="8767" w:name="_Toc17984119"/>
      <w:bookmarkStart w:id="8768" w:name="_Toc18228244"/>
      <w:bookmarkStart w:id="8769" w:name="_Toc16243781"/>
      <w:bookmarkStart w:id="8770" w:name="_Toc16679281"/>
      <w:bookmarkStart w:id="8771" w:name="_Toc16850485"/>
      <w:bookmarkStart w:id="8772" w:name="_Toc17624860"/>
      <w:bookmarkStart w:id="8773" w:name="_Toc17889809"/>
      <w:bookmarkStart w:id="8774" w:name="_Toc17975431"/>
      <w:bookmarkStart w:id="8775" w:name="_Toc15936053"/>
      <w:bookmarkStart w:id="8776" w:name="_Toc16116623"/>
      <w:bookmarkEnd w:id="8326"/>
      <w:bookmarkEnd w:id="8350"/>
      <w:bookmarkEnd w:id="8351"/>
      <w:bookmarkEnd w:id="8352"/>
      <w:bookmarkEnd w:id="8353"/>
      <w:bookmarkEnd w:id="8354"/>
      <w:bookmarkEnd w:id="8355"/>
      <w:r>
        <w:rPr>
          <w:rFonts w:hint="cs"/>
          <w:rtl/>
        </w:rPr>
        <w:t>דברי הר"ן דהיתר פגום במקצת הוא רק בטעמו ולא ממשו כיון שאינו נהנה מאיסור הטעם</w:t>
      </w:r>
    </w:p>
    <w:p w:rsidR="007809D6" w:rsidRPr="00D216A9" w:rsidRDefault="007809D6" w:rsidP="009F44AF">
      <w:pPr>
        <w:pStyle w:val="a"/>
        <w:rPr>
          <w:rStyle w:val="afa"/>
          <w:rtl/>
        </w:rPr>
      </w:pPr>
      <w:bookmarkStart w:id="8777" w:name="_Ref19439970"/>
      <w:r w:rsidRPr="00C510E7">
        <w:rPr>
          <w:rFonts w:hint="cs"/>
          <w:rtl/>
        </w:rPr>
        <w:t xml:space="preserve">וע"ע בדברי </w:t>
      </w:r>
      <w:r w:rsidRPr="00D512D1">
        <w:rPr>
          <w:rStyle w:val="af8"/>
          <w:rFonts w:hint="cs"/>
          <w:rtl/>
        </w:rPr>
        <w:t>הר"ן בחי' לקמן</w:t>
      </w:r>
      <w:r w:rsidRPr="00C510E7">
        <w:rPr>
          <w:rFonts w:hint="cs"/>
          <w:rtl/>
        </w:rPr>
        <w:t xml:space="preserve"> </w:t>
      </w:r>
      <w:r w:rsidRPr="00D512D1">
        <w:rPr>
          <w:rStyle w:val="af6"/>
          <w:rFonts w:eastAsia="Guttman Hodes" w:hint="cs"/>
          <w:rtl/>
        </w:rPr>
        <w:t xml:space="preserve">(סח. ד"ה אמר עולא בתו"ד) </w:t>
      </w:r>
      <w:r w:rsidRPr="00C510E7">
        <w:rPr>
          <w:rFonts w:hint="cs"/>
          <w:rtl/>
        </w:rPr>
        <w:t xml:space="preserve">דכתב בדעת עולא </w:t>
      </w:r>
      <w:r>
        <w:rPr>
          <w:rFonts w:hint="cs"/>
          <w:rtl/>
        </w:rPr>
        <w:t xml:space="preserve">דאמר </w:t>
      </w:r>
      <w:r w:rsidRPr="00C510E7">
        <w:rPr>
          <w:rFonts w:hint="cs"/>
          <w:rtl/>
        </w:rPr>
        <w:t xml:space="preserve">דר"ש מתיר בהשביח ולבסוף פגם, </w:t>
      </w:r>
      <w:r>
        <w:rPr>
          <w:rFonts w:hint="cs"/>
          <w:rtl/>
        </w:rPr>
        <w:t>ד</w:t>
      </w:r>
      <w:r w:rsidRPr="00C510E7">
        <w:rPr>
          <w:rFonts w:hint="cs"/>
          <w:rtl/>
        </w:rPr>
        <w:t>ס"ל</w:t>
      </w:r>
      <w:r>
        <w:rPr>
          <w:rFonts w:hint="cs"/>
          <w:rtl/>
        </w:rPr>
        <w:t xml:space="preserve"> לר"ש</w:t>
      </w:r>
      <w:r w:rsidRPr="00C510E7">
        <w:rPr>
          <w:rFonts w:hint="cs"/>
          <w:rtl/>
        </w:rPr>
        <w:t xml:space="preserve"> דאעפ"י דבנבילה ההיתר הוא כשאינה ראויה לגר, ובנותן טעם לפגם ההיתר הוא בפגום במקצת, וציין </w:t>
      </w:r>
      <w:r w:rsidRPr="00D512D1">
        <w:rPr>
          <w:rStyle w:val="af8"/>
          <w:rFonts w:hint="cs"/>
          <w:rtl/>
        </w:rPr>
        <w:t>הר"ן בחי' לקמן</w:t>
      </w:r>
      <w:r w:rsidRPr="00C510E7">
        <w:rPr>
          <w:rFonts w:hint="cs"/>
          <w:rtl/>
        </w:rPr>
        <w:t xml:space="preserve"> לדברי </w:t>
      </w:r>
      <w:r w:rsidRPr="00D512D1">
        <w:rPr>
          <w:rStyle w:val="af8"/>
          <w:rFonts w:hint="cs"/>
          <w:rtl/>
        </w:rPr>
        <w:t>הר"ן</w:t>
      </w:r>
      <w:r w:rsidRPr="00C510E7">
        <w:rPr>
          <w:rFonts w:hint="cs"/>
          <w:rtl/>
        </w:rPr>
        <w:t xml:space="preserve"> </w:t>
      </w:r>
      <w:r w:rsidRPr="00D512D1">
        <w:rPr>
          <w:rStyle w:val="af6"/>
          <w:rFonts w:eastAsia="Guttman Hodes" w:hint="cs"/>
          <w:rtl/>
        </w:rPr>
        <w:t xml:space="preserve">(עי' אות </w:t>
      </w:r>
      <w:r w:rsidRPr="00D512D1">
        <w:rPr>
          <w:rStyle w:val="af6"/>
          <w:rFonts w:eastAsia="Guttman Hodes"/>
          <w:rtl/>
        </w:rPr>
        <w:fldChar w:fldCharType="begin"/>
      </w:r>
      <w:r w:rsidRPr="00D512D1">
        <w:rPr>
          <w:rStyle w:val="af6"/>
          <w:rFonts w:eastAsia="Guttman Hodes"/>
          <w:rtl/>
        </w:rPr>
        <w:instrText xml:space="preserve"> </w:instrText>
      </w:r>
      <w:r w:rsidRPr="00D512D1">
        <w:rPr>
          <w:rStyle w:val="af6"/>
          <w:rFonts w:eastAsia="Guttman Hodes" w:hint="cs"/>
        </w:rPr>
        <w:instrText>REF</w:instrText>
      </w:r>
      <w:r w:rsidRPr="00D512D1">
        <w:rPr>
          <w:rStyle w:val="af6"/>
          <w:rFonts w:eastAsia="Guttman Hodes" w:hint="cs"/>
          <w:rtl/>
        </w:rPr>
        <w:instrText xml:space="preserve"> _</w:instrText>
      </w:r>
      <w:r w:rsidRPr="00D512D1">
        <w:rPr>
          <w:rStyle w:val="af6"/>
          <w:rFonts w:eastAsia="Guttman Hodes" w:hint="cs"/>
        </w:rPr>
        <w:instrText>Ref16849713 \r \h</w:instrText>
      </w:r>
      <w:r w:rsidRPr="00D512D1">
        <w:rPr>
          <w:rStyle w:val="af6"/>
          <w:rFonts w:eastAsia="Guttman Hodes"/>
          <w:rtl/>
        </w:rPr>
        <w:instrText xml:space="preserve">  \* </w:instrText>
      </w:r>
      <w:r w:rsidRPr="00D512D1">
        <w:rPr>
          <w:rStyle w:val="af6"/>
          <w:rFonts w:eastAsia="Guttman Hodes"/>
        </w:rPr>
        <w:instrText>MERGEFORMAT</w:instrText>
      </w:r>
      <w:r w:rsidRPr="00D512D1">
        <w:rPr>
          <w:rStyle w:val="af6"/>
          <w:rFonts w:eastAsia="Guttman Hodes"/>
          <w:rtl/>
        </w:rPr>
        <w:instrText xml:space="preserve"> </w:instrText>
      </w:r>
      <w:r w:rsidRPr="00D512D1">
        <w:rPr>
          <w:rStyle w:val="af6"/>
          <w:rFonts w:eastAsia="Guttman Hodes"/>
          <w:rtl/>
        </w:rPr>
      </w:r>
      <w:r w:rsidRPr="00D512D1">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512D1">
        <w:rPr>
          <w:rStyle w:val="af6"/>
          <w:rFonts w:eastAsia="Guttman Hodes"/>
          <w:rtl/>
        </w:rPr>
        <w:fldChar w:fldCharType="end"/>
      </w:r>
      <w:r>
        <w:rPr>
          <w:rFonts w:hint="cs"/>
          <w:rtl/>
        </w:rPr>
        <w:t xml:space="preserve"> </w:t>
      </w:r>
      <w:r w:rsidRPr="00C510E7">
        <w:rPr>
          <w:rFonts w:hint="cs"/>
          <w:rtl/>
        </w:rPr>
        <w:t>הכא</w:t>
      </w:r>
      <w:r>
        <w:rPr>
          <w:rFonts w:hint="cs"/>
          <w:rtl/>
        </w:rPr>
        <w:t>,</w:t>
      </w:r>
      <w:r w:rsidRPr="00C510E7">
        <w:rPr>
          <w:rFonts w:hint="cs"/>
          <w:rtl/>
        </w:rPr>
        <w:t xml:space="preserve"> וביאר דכיון שאין בתערובת את ממשו של האיסור, ויש בו רק את טעמו, כל שהטעם פוגם את ההיתר במקצת, ראוי להתירו כמו נבילה שאינה ראויה לגר כלל, כיון שאינו נהנה מהאיסור, ועיי"ש במה שביאר </w:t>
      </w:r>
      <w:r w:rsidRPr="00491F12">
        <w:rPr>
          <w:rStyle w:val="af8"/>
          <w:rFonts w:hint="cs"/>
          <w:rtl/>
        </w:rPr>
        <w:t>הר"</w:t>
      </w:r>
      <w:r w:rsidRPr="00321411">
        <w:rPr>
          <w:rStyle w:val="af8"/>
          <w:rFonts w:hint="cs"/>
          <w:rtl/>
        </w:rPr>
        <w:t>ן בחי' לקמן</w:t>
      </w:r>
      <w:r w:rsidRPr="00C510E7">
        <w:rPr>
          <w:rFonts w:hint="cs"/>
          <w:rtl/>
        </w:rPr>
        <w:t xml:space="preserve"> במה שנחלק ר"מ על סברת ר"ש בזה.</w:t>
      </w:r>
      <w:bookmarkEnd w:id="8777"/>
      <w:r>
        <w:rPr>
          <w:rFonts w:hint="cs"/>
          <w:rtl/>
        </w:rPr>
        <w:t xml:space="preserve"> </w:t>
      </w:r>
      <w:r w:rsidRPr="00D216A9">
        <w:rPr>
          <w:rStyle w:val="afa"/>
          <w:rFonts w:hint="cs"/>
          <w:rtl/>
        </w:rPr>
        <w:t>[ויל"ע אי כוונת</w:t>
      </w:r>
      <w:r>
        <w:rPr>
          <w:rStyle w:val="afa"/>
          <w:rFonts w:hint="cs"/>
          <w:rtl/>
        </w:rPr>
        <w:t xml:space="preserve"> </w:t>
      </w:r>
      <w:r w:rsidRPr="00926133">
        <w:rPr>
          <w:rStyle w:val="affa"/>
          <w:rFonts w:hint="cs"/>
          <w:rtl/>
        </w:rPr>
        <w:t>הר"</w:t>
      </w:r>
      <w:r w:rsidRPr="00CD201A">
        <w:rPr>
          <w:rStyle w:val="affa"/>
          <w:rFonts w:hint="cs"/>
          <w:rtl/>
        </w:rPr>
        <w:t xml:space="preserve">ן </w:t>
      </w:r>
      <w:r w:rsidRPr="00CD201A">
        <w:rPr>
          <w:rStyle w:val="affa"/>
          <w:rtl/>
        </w:rPr>
        <w:t>בחי' לקמן</w:t>
      </w:r>
      <w:r w:rsidRPr="00CD201A">
        <w:rPr>
          <w:rStyle w:val="afa"/>
          <w:rtl/>
        </w:rPr>
        <w:t xml:space="preserve"> </w:t>
      </w:r>
      <w:r>
        <w:rPr>
          <w:rStyle w:val="afa"/>
          <w:rFonts w:hint="cs"/>
          <w:rtl/>
        </w:rPr>
        <w:t xml:space="preserve">דבממשו צריך ביטול ברוב כדכתב </w:t>
      </w:r>
      <w:r w:rsidRPr="00926133">
        <w:rPr>
          <w:rStyle w:val="affa"/>
          <w:rFonts w:hint="cs"/>
          <w:rtl/>
        </w:rPr>
        <w:t>הגר"א</w:t>
      </w:r>
      <w:r>
        <w:rPr>
          <w:rStyle w:val="afa"/>
          <w:rFonts w:hint="cs"/>
          <w:rtl/>
        </w:rPr>
        <w:t xml:space="preserve"> </w:t>
      </w:r>
      <w:r w:rsidRPr="00926133">
        <w:rPr>
          <w:rStyle w:val="aff6"/>
          <w:rFonts w:hint="cs"/>
          <w:rtl/>
        </w:rPr>
        <w:t xml:space="preserve">(עי' אות </w:t>
      </w:r>
      <w:r w:rsidRPr="00926133">
        <w:rPr>
          <w:rStyle w:val="aff6"/>
          <w:rtl/>
        </w:rPr>
        <w:fldChar w:fldCharType="begin"/>
      </w:r>
      <w:r w:rsidRPr="00926133">
        <w:rPr>
          <w:rStyle w:val="aff6"/>
          <w:rtl/>
        </w:rPr>
        <w:instrText xml:space="preserve"> </w:instrText>
      </w:r>
      <w:r w:rsidRPr="00926133">
        <w:rPr>
          <w:rStyle w:val="aff6"/>
          <w:rFonts w:hint="cs"/>
        </w:rPr>
        <w:instrText>REF</w:instrText>
      </w:r>
      <w:r w:rsidRPr="00926133">
        <w:rPr>
          <w:rStyle w:val="aff6"/>
          <w:rFonts w:hint="cs"/>
          <w:rtl/>
        </w:rPr>
        <w:instrText xml:space="preserve"> _</w:instrText>
      </w:r>
      <w:r w:rsidRPr="00926133">
        <w:rPr>
          <w:rStyle w:val="aff6"/>
          <w:rFonts w:hint="cs"/>
        </w:rPr>
        <w:instrText>Ref18479124 \r \h</w:instrText>
      </w:r>
      <w:r w:rsidRPr="00926133">
        <w:rPr>
          <w:rStyle w:val="aff6"/>
          <w:rtl/>
        </w:rPr>
        <w:instrText xml:space="preserve"> </w:instrText>
      </w:r>
      <w:r w:rsidRPr="00926133">
        <w:rPr>
          <w:rStyle w:val="aff6"/>
          <w:rtl/>
        </w:rPr>
      </w:r>
      <w:r w:rsidRPr="00926133">
        <w:rPr>
          <w:rStyle w:val="aff6"/>
          <w:rtl/>
        </w:rPr>
        <w:fldChar w:fldCharType="separate"/>
      </w:r>
      <w:r w:rsidR="004D1C5B">
        <w:rPr>
          <w:rStyle w:val="aff6"/>
          <w:cs/>
        </w:rPr>
        <w:t>‎</w:t>
      </w:r>
      <w:r w:rsidR="004D1C5B">
        <w:rPr>
          <w:rStyle w:val="aff6"/>
          <w:rtl/>
        </w:rPr>
        <w:t>סב)</w:t>
      </w:r>
      <w:r w:rsidRPr="00926133">
        <w:rPr>
          <w:rStyle w:val="aff6"/>
          <w:rtl/>
        </w:rPr>
        <w:fldChar w:fldCharType="end"/>
      </w:r>
      <w:r>
        <w:rPr>
          <w:rStyle w:val="afa"/>
          <w:rFonts w:hint="cs"/>
          <w:rtl/>
        </w:rPr>
        <w:t xml:space="preserve"> בדעת </w:t>
      </w:r>
      <w:r w:rsidRPr="00926133">
        <w:rPr>
          <w:rStyle w:val="affa"/>
          <w:rFonts w:hint="cs"/>
          <w:rtl/>
        </w:rPr>
        <w:t>הר"ן</w:t>
      </w:r>
      <w:r>
        <w:rPr>
          <w:rStyle w:val="afa"/>
          <w:rFonts w:hint="cs"/>
          <w:rtl/>
        </w:rPr>
        <w:t xml:space="preserve">, או דכוונתו לדברי </w:t>
      </w:r>
      <w:r w:rsidRPr="00926133">
        <w:rPr>
          <w:rStyle w:val="affa"/>
          <w:rFonts w:hint="cs"/>
          <w:rtl/>
        </w:rPr>
        <w:t>הר"ן</w:t>
      </w:r>
      <w:r>
        <w:rPr>
          <w:rStyle w:val="afa"/>
          <w:rFonts w:hint="cs"/>
          <w:rtl/>
        </w:rPr>
        <w:t xml:space="preserve"> </w:t>
      </w:r>
      <w:r w:rsidRPr="00926133">
        <w:rPr>
          <w:rStyle w:val="aff6"/>
          <w:rFonts w:hint="cs"/>
          <w:rtl/>
        </w:rPr>
        <w:t xml:space="preserve">(עי' אות </w:t>
      </w:r>
      <w:r w:rsidRPr="00926133">
        <w:rPr>
          <w:rStyle w:val="aff6"/>
          <w:rtl/>
        </w:rPr>
        <w:fldChar w:fldCharType="begin"/>
      </w:r>
      <w:r w:rsidRPr="00926133">
        <w:rPr>
          <w:rStyle w:val="aff6"/>
          <w:rtl/>
        </w:rPr>
        <w:instrText xml:space="preserve"> </w:instrText>
      </w:r>
      <w:r w:rsidRPr="00926133">
        <w:rPr>
          <w:rStyle w:val="aff6"/>
          <w:rFonts w:hint="cs"/>
        </w:rPr>
        <w:instrText>REF</w:instrText>
      </w:r>
      <w:r w:rsidRPr="00926133">
        <w:rPr>
          <w:rStyle w:val="aff6"/>
          <w:rFonts w:hint="cs"/>
          <w:rtl/>
        </w:rPr>
        <w:instrText xml:space="preserve"> _</w:instrText>
      </w:r>
      <w:r w:rsidRPr="00926133">
        <w:rPr>
          <w:rStyle w:val="aff6"/>
          <w:rFonts w:hint="cs"/>
        </w:rPr>
        <w:instrText>Ref16850208 \r \h</w:instrText>
      </w:r>
      <w:r w:rsidRPr="00926133">
        <w:rPr>
          <w:rStyle w:val="aff6"/>
          <w:rtl/>
        </w:rPr>
        <w:instrText xml:space="preserve"> </w:instrText>
      </w:r>
      <w:r w:rsidRPr="00926133">
        <w:rPr>
          <w:rStyle w:val="aff6"/>
          <w:rtl/>
        </w:rPr>
      </w:r>
      <w:r w:rsidRPr="00926133">
        <w:rPr>
          <w:rStyle w:val="aff6"/>
          <w:rtl/>
        </w:rPr>
        <w:fldChar w:fldCharType="separate"/>
      </w:r>
      <w:r w:rsidR="004D1C5B">
        <w:rPr>
          <w:rStyle w:val="aff6"/>
          <w:cs/>
        </w:rPr>
        <w:t>‎</w:t>
      </w:r>
      <w:r w:rsidR="004D1C5B">
        <w:rPr>
          <w:rStyle w:val="aff6"/>
          <w:rtl/>
        </w:rPr>
        <w:t>מח)</w:t>
      </w:r>
      <w:r w:rsidRPr="00926133">
        <w:rPr>
          <w:rStyle w:val="aff6"/>
          <w:rtl/>
        </w:rPr>
        <w:fldChar w:fldCharType="end"/>
      </w:r>
      <w:r>
        <w:rPr>
          <w:rStyle w:val="afa"/>
          <w:rFonts w:hint="cs"/>
          <w:rtl/>
        </w:rPr>
        <w:t xml:space="preserve"> דבהגדיל מידתו אסור</w:t>
      </w:r>
      <w:r w:rsidRPr="00926133">
        <w:rPr>
          <w:rStyle w:val="afa"/>
          <w:rFonts w:hint="cs"/>
          <w:rtl/>
        </w:rPr>
        <w:t xml:space="preserve"> </w:t>
      </w:r>
      <w:r>
        <w:rPr>
          <w:rStyle w:val="afa"/>
          <w:rFonts w:hint="cs"/>
          <w:rtl/>
        </w:rPr>
        <w:t>בראוי לגר,</w:t>
      </w:r>
      <w:r w:rsidRPr="009C6A2A">
        <w:rPr>
          <w:rStyle w:val="afa"/>
          <w:rFonts w:hint="cs"/>
          <w:rtl/>
        </w:rPr>
        <w:t xml:space="preserve"> </w:t>
      </w:r>
      <w:r>
        <w:rPr>
          <w:rStyle w:val="afa"/>
          <w:rFonts w:hint="cs"/>
          <w:rtl/>
        </w:rPr>
        <w:t xml:space="preserve">דהוא כממשו, או לדברי </w:t>
      </w:r>
      <w:r w:rsidRPr="00926133">
        <w:rPr>
          <w:rStyle w:val="affa"/>
          <w:rFonts w:hint="cs"/>
          <w:rtl/>
        </w:rPr>
        <w:t>הר"ן</w:t>
      </w:r>
      <w:r>
        <w:rPr>
          <w:rStyle w:val="afa"/>
          <w:rFonts w:hint="cs"/>
          <w:rtl/>
        </w:rPr>
        <w:t xml:space="preserve"> </w:t>
      </w:r>
      <w:r w:rsidRPr="00926133">
        <w:rPr>
          <w:rStyle w:val="aff6"/>
          <w:rFonts w:hint="cs"/>
          <w:rtl/>
        </w:rPr>
        <w:t xml:space="preserve">(עי' אות </w:t>
      </w:r>
      <w:r w:rsidRPr="00926133">
        <w:rPr>
          <w:rStyle w:val="aff6"/>
          <w:rtl/>
        </w:rPr>
        <w:fldChar w:fldCharType="begin"/>
      </w:r>
      <w:r w:rsidRPr="00926133">
        <w:rPr>
          <w:rStyle w:val="aff6"/>
          <w:rtl/>
        </w:rPr>
        <w:instrText xml:space="preserve"> </w:instrText>
      </w:r>
      <w:r w:rsidRPr="00926133">
        <w:rPr>
          <w:rStyle w:val="aff6"/>
          <w:rFonts w:hint="cs"/>
        </w:rPr>
        <w:instrText>REF</w:instrText>
      </w:r>
      <w:r w:rsidRPr="00926133">
        <w:rPr>
          <w:rStyle w:val="aff6"/>
          <w:rFonts w:hint="cs"/>
          <w:rtl/>
        </w:rPr>
        <w:instrText xml:space="preserve"> _</w:instrText>
      </w:r>
      <w:r w:rsidRPr="00926133">
        <w:rPr>
          <w:rStyle w:val="aff6"/>
          <w:rFonts w:hint="cs"/>
        </w:rPr>
        <w:instrText>Ref19522283 \r \h</w:instrText>
      </w:r>
      <w:r w:rsidRPr="00926133">
        <w:rPr>
          <w:rStyle w:val="aff6"/>
          <w:rtl/>
        </w:rPr>
        <w:instrText xml:space="preserve"> </w:instrText>
      </w:r>
      <w:r w:rsidRPr="00926133">
        <w:rPr>
          <w:rStyle w:val="aff6"/>
          <w:rtl/>
        </w:rPr>
      </w:r>
      <w:r w:rsidRPr="00926133">
        <w:rPr>
          <w:rStyle w:val="aff6"/>
          <w:rtl/>
        </w:rPr>
        <w:fldChar w:fldCharType="separate"/>
      </w:r>
      <w:r w:rsidR="004D1C5B">
        <w:rPr>
          <w:rStyle w:val="aff6"/>
          <w:cs/>
        </w:rPr>
        <w:t>‎</w:t>
      </w:r>
      <w:r w:rsidR="004D1C5B">
        <w:rPr>
          <w:rStyle w:val="aff6"/>
          <w:rtl/>
        </w:rPr>
        <w:t>מט)</w:t>
      </w:r>
      <w:r w:rsidRPr="00926133">
        <w:rPr>
          <w:rStyle w:val="aff6"/>
          <w:rtl/>
        </w:rPr>
        <w:fldChar w:fldCharType="end"/>
      </w:r>
      <w:r>
        <w:rPr>
          <w:rStyle w:val="afa"/>
          <w:rFonts w:hint="cs"/>
          <w:rtl/>
        </w:rPr>
        <w:t xml:space="preserve"> דבכזית בכדי אכילת פרס אסור בראוי לגר,</w:t>
      </w:r>
      <w:r w:rsidRPr="009C6A2A">
        <w:rPr>
          <w:rStyle w:val="afa"/>
          <w:rFonts w:hint="cs"/>
          <w:rtl/>
        </w:rPr>
        <w:t xml:space="preserve"> </w:t>
      </w:r>
      <w:r>
        <w:rPr>
          <w:rStyle w:val="afa"/>
          <w:rFonts w:hint="cs"/>
          <w:rtl/>
        </w:rPr>
        <w:t>דהוא כממשו</w:t>
      </w:r>
      <w:r w:rsidRPr="00D216A9">
        <w:rPr>
          <w:rStyle w:val="afa"/>
          <w:rFonts w:hint="cs"/>
          <w:rtl/>
        </w:rPr>
        <w:t>].</w:t>
      </w:r>
    </w:p>
    <w:p w:rsidR="007809D6" w:rsidRDefault="007809D6" w:rsidP="007809D6">
      <w:pPr>
        <w:pStyle w:val="1"/>
        <w:rPr>
          <w:rFonts w:ascii="Guttman Adii-Light" w:eastAsia="Guttman Adii-Light" w:hAnsi="Guttman Adii-Light"/>
          <w:b w:val="0"/>
          <w:sz w:val="22"/>
          <w:szCs w:val="28"/>
          <w:rtl/>
        </w:rPr>
      </w:pPr>
      <w:r w:rsidRPr="00D47CE7">
        <w:rPr>
          <w:rFonts w:ascii="Guttman Adii-Light" w:eastAsia="Guttman Adii-Light" w:hAnsi="Guttman Adii-Light" w:hint="cs"/>
          <w:b w:val="0"/>
          <w:sz w:val="22"/>
          <w:szCs w:val="28"/>
          <w:rtl/>
        </w:rPr>
        <w:t xml:space="preserve">ביאורי האחרונים </w:t>
      </w:r>
      <w:bookmarkEnd w:id="8752"/>
      <w:bookmarkEnd w:id="8753"/>
      <w:bookmarkEnd w:id="8754"/>
      <w:r w:rsidRPr="00D47CE7">
        <w:rPr>
          <w:rFonts w:ascii="Guttman Adii-Light" w:eastAsia="Guttman Adii-Light" w:hAnsi="Guttman Adii-Light" w:hint="cs"/>
          <w:b w:val="0"/>
          <w:sz w:val="22"/>
          <w:szCs w:val="28"/>
          <w:rtl/>
        </w:rPr>
        <w:t>בהיתר נטל"פ להר"ן</w:t>
      </w:r>
      <w:bookmarkEnd w:id="8755"/>
      <w:bookmarkEnd w:id="8756"/>
      <w:bookmarkEnd w:id="8757"/>
      <w:bookmarkEnd w:id="8758"/>
    </w:p>
    <w:p w:rsidR="007809D6" w:rsidRDefault="007809D6" w:rsidP="007809D6">
      <w:pPr>
        <w:pStyle w:val="1"/>
        <w:rPr>
          <w:rtl/>
        </w:rPr>
      </w:pPr>
      <w:r>
        <w:rPr>
          <w:rFonts w:hint="cs"/>
          <w:rtl/>
        </w:rPr>
        <w:t>ביאור הלבוש דבפגום במקצת בתערובת מצטער כאינו ראוי לגר</w:t>
      </w:r>
    </w:p>
    <w:p w:rsidR="007809D6" w:rsidRDefault="007809D6" w:rsidP="007809D6">
      <w:pPr>
        <w:pStyle w:val="a2"/>
        <w:rPr>
          <w:rtl/>
        </w:rPr>
      </w:pPr>
      <w:r>
        <w:rPr>
          <w:rFonts w:hint="cs"/>
          <w:rtl/>
        </w:rPr>
        <w:t>ביאור הלבוש דבנבילה הראויה לגר הוא נהנה ובפגום במקצת הוא מצטער כנבילה שאינה ראויה</w:t>
      </w:r>
    </w:p>
    <w:p w:rsidR="007809D6" w:rsidRPr="00A27280" w:rsidRDefault="007809D6" w:rsidP="009F44AF">
      <w:pPr>
        <w:pStyle w:val="a"/>
        <w:rPr>
          <w:rtl/>
        </w:rPr>
      </w:pPr>
      <w:r>
        <w:rPr>
          <w:rFonts w:hint="cs"/>
          <w:rtl/>
        </w:rPr>
        <w:t xml:space="preserve">וביאר </w:t>
      </w:r>
      <w:r w:rsidRPr="00A27280">
        <w:rPr>
          <w:rStyle w:val="af8"/>
          <w:rFonts w:hint="cs"/>
          <w:rtl/>
        </w:rPr>
        <w:t xml:space="preserve">הלבוש </w:t>
      </w:r>
      <w:r w:rsidRPr="00A27280">
        <w:rPr>
          <w:rStyle w:val="af6"/>
          <w:rFonts w:eastAsia="Guttman Hodes" w:hint="cs"/>
          <w:rtl/>
        </w:rPr>
        <w:t>(סי' ק"ג ב')</w:t>
      </w:r>
      <w:r>
        <w:rPr>
          <w:rFonts w:hint="cs"/>
          <w:rtl/>
        </w:rPr>
        <w:t xml:space="preserve"> דבנבילה כל שהיא ראויה לגר היא אסורה, דכיון שאוכלה בפנ"ע ולא בתערובת, נהנה הגר באכילתה אעפ"י שהיא פגומה, אבל בנותן טעם לפגם בתערובת, האיסור הוא תלוי בטעם, וכל שהטעם פוגם את התבשיל במקצת, אינו נקרא טעם כלל, דאדרבה הוא מצטער בטעם האיסור שהתערב בהיתר, כמו שמצטער הגר באכילת נבילה שנפגמה לגמרי ואינה ראויה לגר, שהתירתה תורה.</w:t>
      </w:r>
    </w:p>
    <w:p w:rsidR="007809D6" w:rsidRPr="00D47CE7" w:rsidRDefault="007809D6" w:rsidP="007809D6">
      <w:pPr>
        <w:pStyle w:val="1"/>
        <w:rPr>
          <w:rtl/>
        </w:rPr>
      </w:pPr>
      <w:bookmarkStart w:id="8778" w:name="_Toc18250775"/>
      <w:bookmarkStart w:id="8779" w:name="_Toc18266231"/>
      <w:bookmarkStart w:id="8780" w:name="_Toc18269141"/>
      <w:bookmarkStart w:id="8781" w:name="_Toc18323838"/>
      <w:bookmarkStart w:id="8782" w:name="_Toc18397411"/>
      <w:bookmarkStart w:id="8783" w:name="_Toc18404134"/>
      <w:bookmarkStart w:id="8784" w:name="_Toc18481554"/>
      <w:r w:rsidRPr="00D47CE7">
        <w:rPr>
          <w:rFonts w:hint="cs"/>
          <w:rtl/>
        </w:rPr>
        <w:t>ביאור הפרמ"ג בר"ן</w:t>
      </w:r>
      <w:bookmarkEnd w:id="8759"/>
      <w:bookmarkEnd w:id="8760"/>
      <w:bookmarkEnd w:id="8761"/>
      <w:bookmarkEnd w:id="8762"/>
      <w:bookmarkEnd w:id="8763"/>
      <w:bookmarkEnd w:id="8764"/>
      <w:bookmarkEnd w:id="8765"/>
      <w:bookmarkEnd w:id="8766"/>
      <w:bookmarkEnd w:id="8767"/>
      <w:bookmarkEnd w:id="8768"/>
      <w:bookmarkEnd w:id="8778"/>
      <w:bookmarkEnd w:id="8779"/>
      <w:bookmarkEnd w:id="8780"/>
      <w:r w:rsidRPr="00D47CE7">
        <w:rPr>
          <w:rFonts w:hint="cs"/>
          <w:rtl/>
        </w:rPr>
        <w:t xml:space="preserve"> דבאינו נהנה ילפינן מנבילה דמותר</w:t>
      </w:r>
      <w:bookmarkEnd w:id="8781"/>
      <w:bookmarkEnd w:id="8782"/>
      <w:bookmarkEnd w:id="8783"/>
      <w:bookmarkEnd w:id="8784"/>
    </w:p>
    <w:p w:rsidR="007809D6" w:rsidRPr="00D47CE7" w:rsidRDefault="007809D6" w:rsidP="007809D6">
      <w:pPr>
        <w:pStyle w:val="a2"/>
        <w:rPr>
          <w:rtl/>
        </w:rPr>
      </w:pPr>
      <w:bookmarkStart w:id="8785" w:name="_Toc18323839"/>
      <w:bookmarkStart w:id="8786" w:name="_Toc18397412"/>
      <w:bookmarkStart w:id="8787" w:name="_Toc18404135"/>
      <w:bookmarkStart w:id="8788" w:name="_Toc18481555"/>
      <w:r w:rsidRPr="00D47CE7">
        <w:rPr>
          <w:rFonts w:hint="cs"/>
          <w:rtl/>
        </w:rPr>
        <w:t>ביאור הפרמ"ג בר"ן דמנבילה ילפינן דכשאינו נהנה מהאיסור מותר וה"ה בטעם הפגום במקצת</w:t>
      </w:r>
      <w:bookmarkEnd w:id="8785"/>
      <w:bookmarkEnd w:id="8786"/>
      <w:bookmarkEnd w:id="8787"/>
      <w:bookmarkEnd w:id="8788"/>
    </w:p>
    <w:p w:rsidR="007809D6" w:rsidRPr="00D47CE7" w:rsidRDefault="007809D6" w:rsidP="009F44AF">
      <w:pPr>
        <w:pStyle w:val="a"/>
        <w:rPr>
          <w:rtl/>
        </w:rPr>
      </w:pPr>
      <w:bookmarkStart w:id="8789" w:name="_Ref18479107"/>
      <w:r w:rsidRPr="00D47CE7">
        <w:rPr>
          <w:rFonts w:hint="cs"/>
          <w:rtl/>
        </w:rPr>
        <w:t xml:space="preserve">במ"ש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47CE7">
        <w:rPr>
          <w:rStyle w:val="af6"/>
          <w:rFonts w:eastAsia="Guttman Hodes"/>
          <w:rtl/>
        </w:rPr>
        <w:fldChar w:fldCharType="end"/>
      </w:r>
      <w:r w:rsidRPr="00D47CE7">
        <w:rPr>
          <w:rFonts w:hint="cs"/>
          <w:rtl/>
        </w:rPr>
        <w:t xml:space="preserve"> דההיתר בנותן טעם לפגם בפגום במקצת נלמד מנבילה דכשאינו נהנה מהאיסור התירתה תורה, וה"ה בפגום במקצת דאינו נהנה מהאיסור, כתב </w:t>
      </w:r>
      <w:r w:rsidRPr="00D47CE7">
        <w:rPr>
          <w:rStyle w:val="af8"/>
          <w:rFonts w:hint="cs"/>
          <w:rtl/>
        </w:rPr>
        <w:t xml:space="preserve">הפרמ"ג </w:t>
      </w:r>
      <w:r w:rsidRPr="00D47CE7">
        <w:rPr>
          <w:rStyle w:val="af6"/>
          <w:rFonts w:eastAsia="Guttman Hodes" w:hint="cs"/>
          <w:rtl/>
        </w:rPr>
        <w:t>(סי' ק"ג משב"ז סוס"ק א')</w:t>
      </w:r>
      <w:r w:rsidRPr="00D47CE7">
        <w:rPr>
          <w:rFonts w:hint="cs"/>
          <w:rtl/>
        </w:rPr>
        <w:t xml:space="preserve"> דלא ניחא </w:t>
      </w:r>
      <w:r w:rsidRPr="00D47CE7">
        <w:rPr>
          <w:rStyle w:val="af8"/>
          <w:rFonts w:hint="cs"/>
          <w:rtl/>
        </w:rPr>
        <w:t>להר"ן</w:t>
      </w:r>
      <w:r w:rsidRPr="00D47CE7">
        <w:rPr>
          <w:rFonts w:hint="cs"/>
          <w:rtl/>
        </w:rPr>
        <w:t xml:space="preserve"> לבאר </w:t>
      </w:r>
      <w:r w:rsidRPr="00D47CE7">
        <w:rPr>
          <w:rStyle w:val="af8"/>
          <w:rFonts w:hint="cs"/>
          <w:rtl/>
        </w:rPr>
        <w:t>כהרשב"א</w:t>
      </w:r>
      <w:r w:rsidRPr="00D47CE7">
        <w:rPr>
          <w:rFonts w:hint="cs"/>
          <w:rtl/>
        </w:rPr>
        <w:t xml:space="preserve"> </w:t>
      </w:r>
      <w:r w:rsidRPr="00D47CE7">
        <w:rPr>
          <w:rStyle w:val="af6"/>
          <w:rFonts w:eastAsia="Guttman Rashi" w:hint="cs"/>
          <w:rtl/>
        </w:rPr>
        <w:t xml:space="preserve">(עי' אות </w:t>
      </w:r>
      <w:r w:rsidRPr="00D47CE7">
        <w:rPr>
          <w:rStyle w:val="af6"/>
          <w:rFonts w:eastAsia="Guttman Rashi"/>
          <w:rtl/>
        </w:rPr>
        <w:fldChar w:fldCharType="begin"/>
      </w:r>
      <w:r w:rsidRPr="00D47CE7">
        <w:rPr>
          <w:rStyle w:val="af6"/>
          <w:rFonts w:eastAsia="Guttman Rashi"/>
          <w:rtl/>
        </w:rPr>
        <w:instrText xml:space="preserve"> </w:instrText>
      </w:r>
      <w:r w:rsidRPr="00D47CE7">
        <w:rPr>
          <w:rStyle w:val="af6"/>
          <w:rFonts w:eastAsia="Guttman Rashi" w:hint="cs"/>
        </w:rPr>
        <w:instrText>REF</w:instrText>
      </w:r>
      <w:r w:rsidRPr="00D47CE7">
        <w:rPr>
          <w:rStyle w:val="af6"/>
          <w:rFonts w:eastAsia="Guttman Rashi" w:hint="cs"/>
          <w:rtl/>
        </w:rPr>
        <w:instrText xml:space="preserve"> _</w:instrText>
      </w:r>
      <w:r w:rsidRPr="00D47CE7">
        <w:rPr>
          <w:rStyle w:val="af6"/>
          <w:rFonts w:eastAsia="Guttman Rashi" w:hint="cs"/>
        </w:rPr>
        <w:instrText>Ref15936361 \r \h</w:instrText>
      </w:r>
      <w:r w:rsidRPr="00D47CE7">
        <w:rPr>
          <w:rStyle w:val="af6"/>
          <w:rFonts w:eastAsia="Guttman Rashi"/>
          <w:rtl/>
        </w:rPr>
        <w:instrText xml:space="preserve">  \* </w:instrText>
      </w:r>
      <w:r w:rsidRPr="00D47CE7">
        <w:rPr>
          <w:rStyle w:val="af6"/>
          <w:rFonts w:eastAsia="Guttman Rashi"/>
        </w:rPr>
        <w:instrText>MERGEFORMAT</w:instrText>
      </w:r>
      <w:r w:rsidRPr="00D47CE7">
        <w:rPr>
          <w:rStyle w:val="af6"/>
          <w:rFonts w:eastAsia="Guttman Rashi"/>
          <w:rtl/>
        </w:rPr>
        <w:instrText xml:space="preserve"> </w:instrText>
      </w:r>
      <w:r w:rsidRPr="00D47CE7">
        <w:rPr>
          <w:rStyle w:val="af6"/>
          <w:rFonts w:eastAsia="Guttman Rashi"/>
          <w:rtl/>
        </w:rPr>
      </w:r>
      <w:r w:rsidRPr="00D47CE7">
        <w:rPr>
          <w:rStyle w:val="af6"/>
          <w:rFonts w:eastAsia="Guttman Rashi"/>
          <w:rtl/>
        </w:rPr>
        <w:fldChar w:fldCharType="separate"/>
      </w:r>
      <w:r w:rsidR="004D1C5B">
        <w:rPr>
          <w:rStyle w:val="af6"/>
          <w:rFonts w:eastAsia="Guttman Rashi"/>
          <w:cs/>
        </w:rPr>
        <w:t>‎</w:t>
      </w:r>
      <w:r w:rsidR="004D1C5B">
        <w:rPr>
          <w:rStyle w:val="af6"/>
          <w:rFonts w:eastAsia="Guttman Rashi"/>
          <w:rtl/>
        </w:rPr>
        <w:t>כז)</w:t>
      </w:r>
      <w:r w:rsidRPr="00D47CE7">
        <w:rPr>
          <w:rStyle w:val="af6"/>
          <w:rFonts w:eastAsia="Guttman Rashi"/>
          <w:rtl/>
        </w:rPr>
        <w:fldChar w:fldCharType="end"/>
      </w:r>
      <w:r w:rsidRPr="00D47CE7">
        <w:rPr>
          <w:rFonts w:hint="cs"/>
          <w:rtl/>
        </w:rPr>
        <w:t xml:space="preserve"> דההיתר בפגום במקצת הוא מסברא, וביאר </w:t>
      </w:r>
      <w:r w:rsidRPr="00D47CE7">
        <w:rPr>
          <w:rStyle w:val="af8"/>
          <w:rFonts w:hint="cs"/>
          <w:rtl/>
        </w:rPr>
        <w:t>הפרמ"ג</w:t>
      </w:r>
      <w:r w:rsidRPr="00D47CE7">
        <w:rPr>
          <w:rFonts w:hint="cs"/>
          <w:rtl/>
        </w:rPr>
        <w:t xml:space="preserve"> דס"ל </w:t>
      </w:r>
      <w:r w:rsidRPr="00D47CE7">
        <w:rPr>
          <w:rStyle w:val="af8"/>
          <w:rFonts w:hint="cs"/>
          <w:rtl/>
        </w:rPr>
        <w:t>להר"ן</w:t>
      </w:r>
      <w:r w:rsidRPr="00D47CE7">
        <w:rPr>
          <w:rFonts w:hint="cs"/>
          <w:rtl/>
        </w:rPr>
        <w:t xml:space="preserve"> דכל דין נותן טעם לפגם אף בפגום במקצת נלמד מנבילה, דמהא דנבילה מותרת כשאינה ראויה לאכילה, מבואר דכל שאינו נהנה מן האיסור מותר, וילפינן מנבילה דה"ה באיסור בתערובת בפגם במקצת מותר, כיון שאינו נהנה מן האיסור, ואדרבה הוא מצטער במה שהאיסור התערב בהיתר, ולכן פגום במקצת דמי ממש לנבילה שאינה ראויה לגר, ואינו נהנה ממנה.</w:t>
      </w:r>
      <w:bookmarkEnd w:id="8789"/>
      <w:r w:rsidRPr="00DD359D">
        <w:rPr>
          <w:rFonts w:hint="cs"/>
          <w:rtl/>
        </w:rPr>
        <w:t xml:space="preserve"> </w:t>
      </w:r>
      <w:r>
        <w:rPr>
          <w:rFonts w:hint="cs"/>
          <w:rtl/>
        </w:rPr>
        <w:t xml:space="preserve">[ועי' במה שביאר </w:t>
      </w:r>
      <w:r>
        <w:rPr>
          <w:rStyle w:val="af8"/>
          <w:rFonts w:hint="cs"/>
          <w:rtl/>
        </w:rPr>
        <w:t>הפרמ"ג</w:t>
      </w:r>
      <w:r>
        <w:rPr>
          <w:rFonts w:hint="cs"/>
          <w:rtl/>
        </w:rPr>
        <w:t xml:space="preserve"> </w:t>
      </w:r>
      <w:r w:rsidRPr="00BD71A1">
        <w:rPr>
          <w:rStyle w:val="af6"/>
          <w:rFonts w:eastAsia="Guttman Hodes" w:hint="cs"/>
          <w:rtl/>
        </w:rPr>
        <w:t xml:space="preserve">(הובא לקמן סימן י"ג אות </w:t>
      </w:r>
      <w:r>
        <w:rPr>
          <w:rStyle w:val="af6"/>
          <w:rFonts w:eastAsia="Guttman Hodes" w:hint="cs"/>
          <w:rtl/>
        </w:rPr>
        <w:t>כ"א</w:t>
      </w:r>
      <w:r w:rsidRPr="00BD71A1">
        <w:rPr>
          <w:rStyle w:val="af6"/>
          <w:rFonts w:eastAsia="Guttman Hodes" w:hint="cs"/>
          <w:rtl/>
        </w:rPr>
        <w:t>)</w:t>
      </w:r>
      <w:r>
        <w:rPr>
          <w:rFonts w:hint="cs"/>
          <w:rtl/>
        </w:rPr>
        <w:t xml:space="preserve"> לפי"ז בדעת </w:t>
      </w:r>
      <w:r w:rsidRPr="00B95D7C">
        <w:rPr>
          <w:rStyle w:val="af8"/>
          <w:rFonts w:hint="cs"/>
          <w:rtl/>
        </w:rPr>
        <w:t>הר"</w:t>
      </w:r>
      <w:r>
        <w:rPr>
          <w:rFonts w:hint="cs"/>
          <w:rtl/>
        </w:rPr>
        <w:t>ן בנותן טעם לפגם בחמץ שאסור במשהו].</w:t>
      </w:r>
    </w:p>
    <w:p w:rsidR="007809D6" w:rsidRPr="00D47CE7" w:rsidRDefault="007809D6" w:rsidP="007809D6">
      <w:pPr>
        <w:pStyle w:val="a2"/>
      </w:pPr>
      <w:bookmarkStart w:id="8790" w:name="_Toc18323840"/>
      <w:bookmarkStart w:id="8791" w:name="_Toc18397413"/>
      <w:bookmarkStart w:id="8792" w:name="_Toc18404136"/>
      <w:bookmarkStart w:id="8793" w:name="_Toc18481556"/>
      <w:r w:rsidRPr="00D47CE7">
        <w:rPr>
          <w:rFonts w:hint="cs"/>
          <w:rtl/>
        </w:rPr>
        <w:t>ביאור הפרמ"ג בהר"ן דבנהנה מהאיסור לא ילפינן מנבילה ואינו בטל ברוב דטעימתו זו הכרתו</w:t>
      </w:r>
      <w:bookmarkEnd w:id="8790"/>
      <w:bookmarkEnd w:id="8791"/>
      <w:bookmarkEnd w:id="8792"/>
      <w:bookmarkEnd w:id="8793"/>
    </w:p>
    <w:p w:rsidR="007809D6" w:rsidRDefault="007809D6" w:rsidP="009F44AF">
      <w:pPr>
        <w:pStyle w:val="a"/>
        <w:rPr>
          <w:rStyle w:val="afa"/>
          <w:sz w:val="18"/>
          <w:szCs w:val="18"/>
          <w:rtl/>
        </w:rPr>
      </w:pPr>
      <w:r w:rsidRPr="00D47CE7">
        <w:rPr>
          <w:rFonts w:hint="cs"/>
          <w:rtl/>
        </w:rPr>
        <w:t xml:space="preserve">אבל במקום שהאיסור הגדיל את מידת ההיתר אסור, ביאר </w:t>
      </w:r>
      <w:r w:rsidRPr="00D47CE7">
        <w:rPr>
          <w:rStyle w:val="af8"/>
          <w:rFonts w:hint="cs"/>
          <w:rtl/>
        </w:rPr>
        <w:t>הפרמ"ג</w:t>
      </w:r>
      <w:r w:rsidRPr="00D47CE7">
        <w:rPr>
          <w:rFonts w:hint="cs"/>
          <w:rtl/>
        </w:rPr>
        <w:t xml:space="preserve"> דס"ל ל</w:t>
      </w:r>
      <w:r w:rsidRPr="00D47CE7">
        <w:rPr>
          <w:rStyle w:val="af8"/>
          <w:rFonts w:hint="cs"/>
          <w:rtl/>
        </w:rPr>
        <w:t>הר"ן</w:t>
      </w:r>
      <w:r w:rsidRPr="00D47CE7">
        <w:rPr>
          <w:rFonts w:hint="cs"/>
          <w:rtl/>
        </w:rPr>
        <w:t xml:space="preserve"> דכיון שהוא הגדיל את מידתו א"כ טעימתו זוהי הכרתו, ולא שייך בזה ביטול ברוב, דהוא נהנה מהאיסור</w:t>
      </w:r>
      <w:r>
        <w:rPr>
          <w:rFonts w:hint="cs"/>
          <w:rtl/>
        </w:rPr>
        <w:t>.</w:t>
      </w:r>
      <w:r w:rsidRPr="00D47CE7">
        <w:rPr>
          <w:rFonts w:hint="cs"/>
          <w:rtl/>
        </w:rPr>
        <w:t xml:space="preserve"> </w:t>
      </w:r>
      <w:r w:rsidRPr="00D47CE7">
        <w:rPr>
          <w:rStyle w:val="afa"/>
          <w:rFonts w:hint="cs"/>
          <w:rtl/>
        </w:rPr>
        <w:t xml:space="preserve">[דהיינו דכיון שנהנה מההיתר אינו בכלל הילפותא מנבילה, וממילא אינו מתבטל ברוב, דאף שהטעם פגום מ"מ ס"ל </w:t>
      </w:r>
      <w:r w:rsidRPr="00D47CE7">
        <w:rPr>
          <w:rStyle w:val="affa"/>
          <w:rFonts w:hint="cs"/>
          <w:rtl/>
        </w:rPr>
        <w:t>להר"ן</w:t>
      </w:r>
      <w:r w:rsidRPr="00D47CE7">
        <w:rPr>
          <w:rStyle w:val="afa"/>
          <w:rFonts w:hint="cs"/>
          <w:rtl/>
        </w:rPr>
        <w:t xml:space="preserve"> דטעימתו זוהי הכרתו, אבל במקום שאינו נהנה מהאיסור, אף דהטעם ניכר ולא מהני ביטול ברוב, מ"מ ילפינן מנבילה דמותר].</w:t>
      </w:r>
    </w:p>
    <w:p w:rsidR="007809D6" w:rsidRPr="00D47CE7" w:rsidRDefault="007809D6" w:rsidP="007809D6">
      <w:pPr>
        <w:pStyle w:val="a2"/>
        <w:rPr>
          <w:rtl/>
        </w:rPr>
      </w:pPr>
      <w:bookmarkStart w:id="8794" w:name="_Toc18323841"/>
      <w:bookmarkStart w:id="8795" w:name="_Toc18397414"/>
      <w:bookmarkStart w:id="8796" w:name="_Toc18404137"/>
      <w:bookmarkStart w:id="8797" w:name="_Toc18481557"/>
      <w:r w:rsidRPr="00D47CE7">
        <w:rPr>
          <w:rFonts w:hint="cs"/>
          <w:rtl/>
        </w:rPr>
        <w:t>קושית הפרמ"ג דבאיסור מאוס לא שייך לומר דאינו נהנה מהאיסור דזה גופא אסרה תורה</w:t>
      </w:r>
      <w:bookmarkEnd w:id="8794"/>
      <w:bookmarkEnd w:id="8795"/>
      <w:bookmarkEnd w:id="8796"/>
      <w:bookmarkEnd w:id="8797"/>
    </w:p>
    <w:p w:rsidR="007809D6" w:rsidRPr="00DF61B5" w:rsidRDefault="007809D6" w:rsidP="009F44AF">
      <w:pPr>
        <w:pStyle w:val="a"/>
        <w:rPr>
          <w:rStyle w:val="afa"/>
          <w:rtl/>
        </w:rPr>
      </w:pPr>
      <w:r w:rsidRPr="00D47CE7">
        <w:rPr>
          <w:rFonts w:hint="cs"/>
          <w:rtl/>
        </w:rPr>
        <w:t xml:space="preserve">אך כתב </w:t>
      </w:r>
      <w:r w:rsidRPr="00D47CE7">
        <w:rPr>
          <w:rStyle w:val="af8"/>
          <w:rFonts w:hint="cs"/>
          <w:rtl/>
        </w:rPr>
        <w:t>הפרמ"ג</w:t>
      </w:r>
      <w:r w:rsidRPr="00D47CE7">
        <w:rPr>
          <w:rFonts w:hint="cs"/>
          <w:rtl/>
        </w:rPr>
        <w:t xml:space="preserve"> דבזבובים ויתושים שלא שייך לומר שהוא נהנה ממידת האיסור, </w:t>
      </w:r>
      <w:r w:rsidRPr="00D47CE7">
        <w:rPr>
          <w:rStyle w:val="afa"/>
          <w:rFonts w:hint="cs"/>
          <w:rtl/>
        </w:rPr>
        <w:t xml:space="preserve">[והוא בכלל הילפותא מנבילה], </w:t>
      </w:r>
      <w:r w:rsidRPr="00D47CE7">
        <w:rPr>
          <w:rFonts w:hint="cs"/>
          <w:rtl/>
        </w:rPr>
        <w:t xml:space="preserve">ואף בהגדיל מידתו מותר לדעת </w:t>
      </w:r>
      <w:r w:rsidRPr="00D47CE7">
        <w:rPr>
          <w:rStyle w:val="af8"/>
          <w:rFonts w:hint="cs"/>
          <w:rtl/>
        </w:rPr>
        <w:t>הר"ן,</w:t>
      </w:r>
      <w:r w:rsidRPr="00D47CE7">
        <w:rPr>
          <w:rFonts w:hint="cs"/>
          <w:rtl/>
        </w:rPr>
        <w:t xml:space="preserve"> אך כתב </w:t>
      </w:r>
      <w:r w:rsidRPr="00D47CE7">
        <w:rPr>
          <w:rStyle w:val="af8"/>
          <w:rFonts w:hint="cs"/>
          <w:rtl/>
        </w:rPr>
        <w:t>הפרמ"ג</w:t>
      </w:r>
      <w:r w:rsidRPr="00D47CE7">
        <w:rPr>
          <w:rFonts w:hint="cs"/>
          <w:rtl/>
        </w:rPr>
        <w:t xml:space="preserve"> דעדיין קשה על </w:t>
      </w:r>
      <w:r w:rsidRPr="00D47CE7">
        <w:rPr>
          <w:rStyle w:val="af8"/>
          <w:rFonts w:hint="cs"/>
          <w:rtl/>
        </w:rPr>
        <w:t>הר"ן</w:t>
      </w:r>
      <w:r w:rsidRPr="00D47CE7">
        <w:rPr>
          <w:rFonts w:hint="cs"/>
          <w:rtl/>
        </w:rPr>
        <w:t xml:space="preserve"> מדברים שמאוסים מעיקרם </w:t>
      </w:r>
      <w:r w:rsidRPr="00D47CE7">
        <w:rPr>
          <w:rStyle w:val="afa"/>
          <w:rFonts w:hint="cs"/>
          <w:rtl/>
        </w:rPr>
        <w:t>[כזבובים ויתושים]</w:t>
      </w:r>
      <w:r w:rsidRPr="00D47CE7">
        <w:rPr>
          <w:rFonts w:hint="cs"/>
          <w:rtl/>
        </w:rPr>
        <w:t>,</w:t>
      </w:r>
      <w:r w:rsidRPr="00D47CE7">
        <w:rPr>
          <w:rStyle w:val="afa"/>
          <w:rFonts w:hint="cs"/>
          <w:rtl/>
        </w:rPr>
        <w:t xml:space="preserve"> </w:t>
      </w:r>
      <w:r w:rsidRPr="00D47CE7">
        <w:rPr>
          <w:rFonts w:hint="cs"/>
          <w:rtl/>
        </w:rPr>
        <w:t xml:space="preserve">דהאיסור שאסרתם תורה, הם כשהם פגומים, וא"כ האיך אפש"ל דכיון שאינו נהנה מותר, </w:t>
      </w:r>
      <w:r w:rsidRPr="00D47CE7">
        <w:rPr>
          <w:rStyle w:val="afa"/>
          <w:rFonts w:hint="cs"/>
          <w:rtl/>
        </w:rPr>
        <w:t xml:space="preserve">[וכעי"ז הקשה </w:t>
      </w:r>
      <w:r w:rsidRPr="00D47CE7">
        <w:rPr>
          <w:rStyle w:val="affa"/>
          <w:rFonts w:hint="cs"/>
          <w:rtl/>
        </w:rPr>
        <w:t>הפרמ"ג</w:t>
      </w:r>
      <w:r w:rsidRPr="00D47CE7">
        <w:rPr>
          <w:rStyle w:val="afa"/>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Ref15936325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ל)</w:t>
      </w:r>
      <w:r w:rsidRPr="00D47CE7">
        <w:rPr>
          <w:rStyle w:val="aff6"/>
          <w:rtl/>
        </w:rPr>
        <w:fldChar w:fldCharType="end"/>
      </w:r>
      <w:r w:rsidRPr="00D47CE7">
        <w:rPr>
          <w:rStyle w:val="afa"/>
          <w:rFonts w:hint="cs"/>
          <w:rtl/>
        </w:rPr>
        <w:t xml:space="preserve"> על </w:t>
      </w:r>
      <w:r w:rsidRPr="00D47CE7">
        <w:rPr>
          <w:rStyle w:val="affa"/>
          <w:rFonts w:hint="cs"/>
          <w:rtl/>
        </w:rPr>
        <w:t>הרשב"א</w:t>
      </w:r>
      <w:r w:rsidRPr="00D47CE7">
        <w:rPr>
          <w:rStyle w:val="afa"/>
          <w:rFonts w:hint="cs"/>
          <w:rtl/>
        </w:rPr>
        <w:t xml:space="preserve">], </w:t>
      </w:r>
      <w:r w:rsidRPr="00D47CE7">
        <w:rPr>
          <w:rFonts w:hint="cs"/>
          <w:rtl/>
        </w:rPr>
        <w:t xml:space="preserve">וכתב </w:t>
      </w:r>
      <w:r w:rsidRPr="00D47CE7">
        <w:rPr>
          <w:rStyle w:val="af8"/>
          <w:rFonts w:hint="cs"/>
          <w:rtl/>
        </w:rPr>
        <w:t>הפרמ"ג</w:t>
      </w:r>
      <w:r w:rsidRPr="00D47CE7">
        <w:rPr>
          <w:rFonts w:hint="cs"/>
          <w:rtl/>
        </w:rPr>
        <w:t xml:space="preserve"> דיש ליישב</w:t>
      </w:r>
      <w:r w:rsidR="00DF61B5">
        <w:rPr>
          <w:rFonts w:hint="cs"/>
          <w:rtl/>
        </w:rPr>
        <w:t xml:space="preserve">. </w:t>
      </w:r>
      <w:r w:rsidR="00DF61B5" w:rsidRPr="00DF61B5">
        <w:rPr>
          <w:rStyle w:val="afa"/>
          <w:rFonts w:hint="cs"/>
          <w:rtl/>
        </w:rPr>
        <w:t xml:space="preserve">[אמנם יעוי' בדברי </w:t>
      </w:r>
      <w:r w:rsidR="00DF61B5" w:rsidRPr="00DF61B5">
        <w:rPr>
          <w:rStyle w:val="affa"/>
          <w:rFonts w:hint="cs"/>
          <w:rtl/>
        </w:rPr>
        <w:t>הר"ן בחי'</w:t>
      </w:r>
      <w:r w:rsidR="00DF61B5" w:rsidRPr="00DF61B5">
        <w:rPr>
          <w:rStyle w:val="afa"/>
          <w:rFonts w:hint="cs"/>
          <w:rtl/>
        </w:rPr>
        <w:t xml:space="preserve"> </w:t>
      </w:r>
      <w:r w:rsidR="00DF61B5" w:rsidRPr="00DF61B5">
        <w:rPr>
          <w:rStyle w:val="aff6"/>
          <w:rFonts w:hint="cs"/>
          <w:rtl/>
        </w:rPr>
        <w:t xml:space="preserve">(עי' אות </w:t>
      </w:r>
      <w:r w:rsidR="00DF61B5" w:rsidRPr="00DF61B5">
        <w:rPr>
          <w:rStyle w:val="aff6"/>
          <w:rtl/>
        </w:rPr>
        <w:fldChar w:fldCharType="begin"/>
      </w:r>
      <w:r w:rsidR="00DF61B5" w:rsidRPr="00DF61B5">
        <w:rPr>
          <w:rStyle w:val="aff6"/>
          <w:rtl/>
        </w:rPr>
        <w:instrText xml:space="preserve"> </w:instrText>
      </w:r>
      <w:r w:rsidR="00DF61B5" w:rsidRPr="00DF61B5">
        <w:rPr>
          <w:rStyle w:val="aff6"/>
          <w:rFonts w:hint="cs"/>
        </w:rPr>
        <w:instrText>REF</w:instrText>
      </w:r>
      <w:r w:rsidR="00DF61B5" w:rsidRPr="00DF61B5">
        <w:rPr>
          <w:rStyle w:val="aff6"/>
          <w:rFonts w:hint="cs"/>
          <w:rtl/>
        </w:rPr>
        <w:instrText xml:space="preserve"> _</w:instrText>
      </w:r>
      <w:r w:rsidR="00DF61B5" w:rsidRPr="00DF61B5">
        <w:rPr>
          <w:rStyle w:val="aff6"/>
          <w:rFonts w:hint="cs"/>
        </w:rPr>
        <w:instrText>Ref17984155 \r \h</w:instrText>
      </w:r>
      <w:r w:rsidR="00DF61B5" w:rsidRPr="00DF61B5">
        <w:rPr>
          <w:rStyle w:val="aff6"/>
          <w:rtl/>
        </w:rPr>
        <w:instrText xml:space="preserve"> </w:instrText>
      </w:r>
      <w:r w:rsidR="00DF61B5" w:rsidRPr="00DF61B5">
        <w:rPr>
          <w:rStyle w:val="aff6"/>
          <w:rtl/>
        </w:rPr>
      </w:r>
      <w:r w:rsidR="00DF61B5" w:rsidRPr="00DF61B5">
        <w:rPr>
          <w:rStyle w:val="aff6"/>
          <w:rtl/>
        </w:rPr>
        <w:fldChar w:fldCharType="separate"/>
      </w:r>
      <w:r w:rsidR="004D1C5B">
        <w:rPr>
          <w:rStyle w:val="aff6"/>
          <w:cs/>
        </w:rPr>
        <w:t>‎</w:t>
      </w:r>
      <w:r w:rsidR="004D1C5B">
        <w:rPr>
          <w:rStyle w:val="aff6"/>
          <w:rtl/>
        </w:rPr>
        <w:t>נ)</w:t>
      </w:r>
      <w:r w:rsidR="00DF61B5" w:rsidRPr="00DF61B5">
        <w:rPr>
          <w:rStyle w:val="aff6"/>
          <w:rtl/>
        </w:rPr>
        <w:fldChar w:fldCharType="end"/>
      </w:r>
      <w:r w:rsidR="00DF61B5" w:rsidRPr="00DF61B5">
        <w:rPr>
          <w:rStyle w:val="afa"/>
          <w:rFonts w:hint="cs"/>
          <w:rtl/>
        </w:rPr>
        <w:t xml:space="preserve"> דכתב להדיא דאף באיסור מאוס אסור בהגדיל מדתו]</w:t>
      </w:r>
      <w:r w:rsidRPr="00DF61B5">
        <w:rPr>
          <w:rStyle w:val="afa"/>
          <w:rFonts w:hint="cs"/>
          <w:rtl/>
        </w:rPr>
        <w:t>.</w:t>
      </w:r>
    </w:p>
    <w:p w:rsidR="007809D6" w:rsidRPr="00D47CE7" w:rsidRDefault="007809D6" w:rsidP="007809D6">
      <w:pPr>
        <w:pStyle w:val="1"/>
        <w:rPr>
          <w:rtl/>
        </w:rPr>
      </w:pPr>
      <w:bookmarkStart w:id="8798" w:name="_Toc15936056"/>
      <w:bookmarkStart w:id="8799" w:name="_Toc16116626"/>
      <w:bookmarkStart w:id="8800" w:name="_Toc16243786"/>
      <w:bookmarkStart w:id="8801" w:name="_Toc16679286"/>
      <w:bookmarkStart w:id="8802" w:name="_Toc16850490"/>
      <w:bookmarkStart w:id="8803" w:name="_Toc17624865"/>
      <w:bookmarkStart w:id="8804" w:name="_Toc17889814"/>
      <w:bookmarkStart w:id="8805" w:name="_Toc17975436"/>
      <w:bookmarkStart w:id="8806" w:name="_Toc17984120"/>
      <w:bookmarkStart w:id="8807" w:name="_Toc18228245"/>
      <w:bookmarkStart w:id="8808" w:name="_Toc18250776"/>
      <w:bookmarkStart w:id="8809" w:name="_Toc18266232"/>
      <w:bookmarkStart w:id="8810" w:name="_Toc18269142"/>
      <w:bookmarkStart w:id="8811" w:name="_Toc18323842"/>
      <w:bookmarkStart w:id="8812" w:name="_Toc18397415"/>
      <w:bookmarkStart w:id="8813" w:name="_Toc18404138"/>
      <w:bookmarkStart w:id="8814" w:name="_Toc18481558"/>
      <w:r w:rsidRPr="00D47CE7">
        <w:rPr>
          <w:rFonts w:hint="cs"/>
          <w:rtl/>
        </w:rPr>
        <w:t>ביאור הגרעק"א בר"ן</w:t>
      </w:r>
      <w:bookmarkEnd w:id="8798"/>
      <w:bookmarkEnd w:id="8799"/>
      <w:bookmarkEnd w:id="8800"/>
      <w:bookmarkEnd w:id="8801"/>
      <w:bookmarkEnd w:id="8802"/>
      <w:bookmarkEnd w:id="8803"/>
      <w:bookmarkEnd w:id="8804"/>
      <w:bookmarkEnd w:id="8805"/>
      <w:bookmarkEnd w:id="8806"/>
      <w:bookmarkEnd w:id="8807"/>
      <w:bookmarkEnd w:id="8808"/>
      <w:bookmarkEnd w:id="8809"/>
      <w:bookmarkEnd w:id="8810"/>
      <w:r w:rsidRPr="00D47CE7">
        <w:rPr>
          <w:rFonts w:hint="cs"/>
          <w:rtl/>
        </w:rPr>
        <w:t xml:space="preserve"> דבאינו נהנה מותר אף כשאין רוב היתר</w:t>
      </w:r>
      <w:bookmarkEnd w:id="8811"/>
      <w:bookmarkEnd w:id="8812"/>
      <w:bookmarkEnd w:id="8813"/>
      <w:bookmarkEnd w:id="8814"/>
    </w:p>
    <w:p w:rsidR="007809D6" w:rsidRPr="00D47CE7" w:rsidRDefault="007809D6" w:rsidP="007809D6">
      <w:pPr>
        <w:pStyle w:val="a2"/>
        <w:rPr>
          <w:rtl/>
        </w:rPr>
      </w:pPr>
      <w:bookmarkStart w:id="8815" w:name="_Toc18323843"/>
      <w:bookmarkStart w:id="8816" w:name="_Toc18397416"/>
      <w:bookmarkStart w:id="8817" w:name="_Toc18404139"/>
      <w:bookmarkStart w:id="8818" w:name="_Toc18481559"/>
      <w:r w:rsidRPr="00D47CE7">
        <w:rPr>
          <w:rFonts w:hint="cs"/>
          <w:rtl/>
        </w:rPr>
        <w:t>ביאור הגרעק"א בר"ן דההיתר בנטל"פ אינו מדין ביטול אלא ילפינן מנבילה דבאינו נהנה מותר</w:t>
      </w:r>
      <w:bookmarkEnd w:id="8815"/>
      <w:bookmarkEnd w:id="8816"/>
      <w:bookmarkEnd w:id="8817"/>
      <w:bookmarkEnd w:id="8818"/>
    </w:p>
    <w:p w:rsidR="007809D6" w:rsidRPr="00D47CE7" w:rsidRDefault="007809D6" w:rsidP="009F44AF">
      <w:pPr>
        <w:pStyle w:val="a"/>
        <w:rPr>
          <w:rtl/>
        </w:rPr>
      </w:pPr>
      <w:bookmarkStart w:id="8819" w:name="_Ref18479115"/>
      <w:r w:rsidRPr="00D47CE7">
        <w:rPr>
          <w:rFonts w:hint="cs"/>
          <w:rtl/>
        </w:rPr>
        <w:t xml:space="preserve">וכעי"ז כתב </w:t>
      </w:r>
      <w:r w:rsidRPr="00D47CE7">
        <w:rPr>
          <w:rStyle w:val="af8"/>
          <w:rFonts w:hint="cs"/>
          <w:rtl/>
        </w:rPr>
        <w:t xml:space="preserve">הגרעק"א </w:t>
      </w:r>
      <w:r>
        <w:rPr>
          <w:rStyle w:val="af8"/>
          <w:rFonts w:hint="cs"/>
          <w:rtl/>
        </w:rPr>
        <w:t>בחי'</w:t>
      </w:r>
      <w:r w:rsidRPr="00D47CE7">
        <w:rPr>
          <w:rStyle w:val="af6"/>
          <w:rFonts w:eastAsia="Guttman Hodes" w:hint="cs"/>
          <w:rtl/>
        </w:rPr>
        <w:t xml:space="preserve"> (</w:t>
      </w:r>
      <w:r>
        <w:rPr>
          <w:rStyle w:val="af6"/>
          <w:rFonts w:eastAsia="Guttman Hodes" w:hint="cs"/>
          <w:rtl/>
        </w:rPr>
        <w:t xml:space="preserve">סז: ד"ה ועפ"י, </w:t>
      </w:r>
      <w:r w:rsidRPr="00C34E15">
        <w:rPr>
          <w:rStyle w:val="af6"/>
          <w:rFonts w:eastAsia="Guttman Hodes"/>
          <w:rtl/>
        </w:rPr>
        <w:t>חולין</w:t>
      </w:r>
      <w:r w:rsidRPr="00C34E15">
        <w:rPr>
          <w:rStyle w:val="af6"/>
          <w:rFonts w:eastAsia="Guttman Hodes" w:hint="cs"/>
          <w:rtl/>
        </w:rPr>
        <w:t xml:space="preserve"> </w:t>
      </w:r>
      <w:r w:rsidRPr="00D47CE7">
        <w:rPr>
          <w:rStyle w:val="af6"/>
          <w:rFonts w:eastAsia="Guttman Hodes" w:hint="cs"/>
          <w:rtl/>
        </w:rPr>
        <w:t>צז: אות ז' ד"ה והר"ן)</w:t>
      </w:r>
      <w:r w:rsidRPr="00D47CE7">
        <w:rPr>
          <w:rStyle w:val="af8"/>
          <w:rFonts w:hint="cs"/>
          <w:rtl/>
        </w:rPr>
        <w:t xml:space="preserve"> ובתשו' </w:t>
      </w:r>
      <w:r w:rsidRPr="00D47CE7">
        <w:rPr>
          <w:rStyle w:val="af6"/>
          <w:rFonts w:eastAsia="Guttman Hodes" w:hint="cs"/>
          <w:rtl/>
        </w:rPr>
        <w:t xml:space="preserve">(מהדו"ק סי' קס"ו ד"ה ועפ"י) </w:t>
      </w:r>
      <w:r w:rsidRPr="00D47CE7">
        <w:rPr>
          <w:rFonts w:hint="cs"/>
          <w:rtl/>
        </w:rPr>
        <w:t xml:space="preserve">דלדעת </w:t>
      </w:r>
      <w:r w:rsidRPr="00D47CE7">
        <w:rPr>
          <w:rStyle w:val="af8"/>
          <w:rFonts w:hint="cs"/>
          <w:rtl/>
        </w:rPr>
        <w:t>הר"ן</w:t>
      </w:r>
      <w:r w:rsidRPr="00D47CE7">
        <w:rPr>
          <w:rFonts w:hint="cs"/>
          <w:rtl/>
        </w:rPr>
        <w:t xml:space="preserve"> ההיתר בנותן טעם לפגם אינו מדין ביטול כלל, אלא הוא ילפותא מנבילה דאינה ראויה לגר, וביאר </w:t>
      </w:r>
      <w:r w:rsidRPr="00D47CE7">
        <w:rPr>
          <w:rStyle w:val="af8"/>
          <w:rFonts w:hint="cs"/>
          <w:rtl/>
        </w:rPr>
        <w:lastRenderedPageBreak/>
        <w:t>הגרעק"א</w:t>
      </w:r>
      <w:r w:rsidRPr="00D47CE7">
        <w:rPr>
          <w:rFonts w:hint="cs"/>
          <w:rtl/>
        </w:rPr>
        <w:t xml:space="preserve"> דכוונת </w:t>
      </w:r>
      <w:r w:rsidRPr="00D47CE7">
        <w:rPr>
          <w:rStyle w:val="af8"/>
          <w:rFonts w:hint="cs"/>
          <w:rtl/>
        </w:rPr>
        <w:t>הר"ן</w:t>
      </w:r>
      <w:r w:rsidRPr="00D47CE7">
        <w:rPr>
          <w:rFonts w:hint="cs"/>
          <w:rtl/>
        </w:rPr>
        <w:t xml:space="preserve"> </w:t>
      </w:r>
      <w:r>
        <w:rPr>
          <w:rFonts w:hint="cs"/>
          <w:rtl/>
        </w:rPr>
        <w:t>לומר ד</w:t>
      </w:r>
      <w:r w:rsidRPr="00D47CE7">
        <w:rPr>
          <w:rFonts w:hint="cs"/>
          <w:rtl/>
        </w:rPr>
        <w:t>באיסור בעין, כל שאינו נהנה באכילתו לא אסרה תורה, כדמוכח מהא דבנבילה שאינה ראויה לגר מותר.</w:t>
      </w:r>
      <w:bookmarkEnd w:id="8819"/>
      <w:r w:rsidRPr="00DD359D">
        <w:rPr>
          <w:rFonts w:hint="cs"/>
          <w:rtl/>
        </w:rPr>
        <w:t xml:space="preserve"> </w:t>
      </w:r>
      <w:r>
        <w:rPr>
          <w:rFonts w:hint="cs"/>
          <w:rtl/>
        </w:rPr>
        <w:t xml:space="preserve">ועי' במה שביאר </w:t>
      </w:r>
      <w:r>
        <w:rPr>
          <w:rStyle w:val="af8"/>
          <w:rFonts w:hint="cs"/>
          <w:rtl/>
        </w:rPr>
        <w:t>הגרעק"א</w:t>
      </w:r>
      <w:r>
        <w:rPr>
          <w:rFonts w:hint="cs"/>
          <w:rtl/>
        </w:rPr>
        <w:t xml:space="preserve"> </w:t>
      </w:r>
      <w:r w:rsidRPr="00BD71A1">
        <w:rPr>
          <w:rStyle w:val="af6"/>
          <w:rFonts w:eastAsia="Guttman Hodes" w:hint="cs"/>
          <w:rtl/>
        </w:rPr>
        <w:t xml:space="preserve">(הובא לקמן סימן י"ג אות </w:t>
      </w:r>
      <w:r>
        <w:rPr>
          <w:rStyle w:val="af6"/>
          <w:rFonts w:eastAsia="Guttman Hodes" w:hint="cs"/>
          <w:rtl/>
        </w:rPr>
        <w:t>כ"א</w:t>
      </w:r>
      <w:r w:rsidRPr="00BD71A1">
        <w:rPr>
          <w:rStyle w:val="af6"/>
          <w:rFonts w:eastAsia="Guttman Hodes" w:hint="cs"/>
          <w:rtl/>
        </w:rPr>
        <w:t>)</w:t>
      </w:r>
      <w:r>
        <w:rPr>
          <w:rFonts w:hint="cs"/>
          <w:rtl/>
        </w:rPr>
        <w:t xml:space="preserve"> לפי"ז בדעת </w:t>
      </w:r>
      <w:r w:rsidRPr="00B95D7C">
        <w:rPr>
          <w:rStyle w:val="af8"/>
          <w:rFonts w:hint="cs"/>
          <w:rtl/>
        </w:rPr>
        <w:t>הר"</w:t>
      </w:r>
      <w:r>
        <w:rPr>
          <w:rFonts w:hint="cs"/>
          <w:rtl/>
        </w:rPr>
        <w:t>ן בנותן טעם לפגם בחמץ שאסור במשהו].</w:t>
      </w:r>
    </w:p>
    <w:p w:rsidR="007809D6" w:rsidRPr="00D47CE7" w:rsidRDefault="007809D6" w:rsidP="007809D6">
      <w:pPr>
        <w:pStyle w:val="a2"/>
      </w:pPr>
      <w:bookmarkStart w:id="8820" w:name="_Toc18323844"/>
      <w:bookmarkStart w:id="8821" w:name="_Toc18397417"/>
      <w:bookmarkStart w:id="8822" w:name="_Toc18404140"/>
      <w:bookmarkStart w:id="8823" w:name="_Toc18481560"/>
      <w:r w:rsidRPr="00D47CE7">
        <w:rPr>
          <w:rFonts w:hint="cs"/>
          <w:rtl/>
        </w:rPr>
        <w:t>דברי הגרעק"א דנבילה שפגומה במקצת אסורה דאכלה מרצונו ואחשביה ונהנה מהאיסור</w:t>
      </w:r>
      <w:bookmarkEnd w:id="8820"/>
      <w:bookmarkEnd w:id="8821"/>
      <w:bookmarkEnd w:id="8822"/>
      <w:bookmarkEnd w:id="8823"/>
    </w:p>
    <w:p w:rsidR="007809D6" w:rsidRPr="00D47CE7" w:rsidRDefault="007809D6" w:rsidP="009F44AF">
      <w:pPr>
        <w:pStyle w:val="a"/>
        <w:rPr>
          <w:rtl/>
        </w:rPr>
      </w:pPr>
      <w:r w:rsidRPr="00D47CE7">
        <w:rPr>
          <w:rFonts w:hint="cs"/>
          <w:rtl/>
        </w:rPr>
        <w:t>ו</w:t>
      </w:r>
      <w:r>
        <w:rPr>
          <w:rFonts w:hint="cs"/>
          <w:rtl/>
        </w:rPr>
        <w:t>הוסיף</w:t>
      </w:r>
      <w:r w:rsidRPr="00D47CE7">
        <w:rPr>
          <w:rFonts w:hint="cs"/>
          <w:rtl/>
        </w:rPr>
        <w:t xml:space="preserve"> </w:t>
      </w:r>
      <w:r w:rsidRPr="00D47CE7">
        <w:rPr>
          <w:rStyle w:val="af8"/>
          <w:rFonts w:hint="cs"/>
          <w:rtl/>
        </w:rPr>
        <w:t>הגרעק"א</w:t>
      </w:r>
      <w:r w:rsidRPr="00D47CE7">
        <w:rPr>
          <w:rFonts w:hint="cs"/>
          <w:rtl/>
        </w:rPr>
        <w:t xml:space="preserve"> דהא דאסרה תורה בנבילה שראויה לגר, </w:t>
      </w:r>
      <w:r w:rsidRPr="00D47CE7">
        <w:rPr>
          <w:rStyle w:val="afa"/>
          <w:rFonts w:hint="cs"/>
          <w:rtl/>
        </w:rPr>
        <w:t>[דהיינו שנפגמה במקצת אך עדיין ראויה לאכילה],</w:t>
      </w:r>
      <w:r w:rsidRPr="00D47CE7">
        <w:rPr>
          <w:rFonts w:hint="cs"/>
          <w:rtl/>
        </w:rPr>
        <w:t xml:space="preserve"> הוא רק כיון דאחשביה באכילתו,</w:t>
      </w:r>
      <w:r>
        <w:rPr>
          <w:rFonts w:hint="cs"/>
          <w:rtl/>
        </w:rPr>
        <w:t xml:space="preserve"> </w:t>
      </w:r>
      <w:r w:rsidRPr="00DE6EC6">
        <w:rPr>
          <w:rStyle w:val="afa"/>
          <w:rFonts w:hint="cs"/>
          <w:rtl/>
        </w:rPr>
        <w:t>[</w:t>
      </w:r>
      <w:r>
        <w:rPr>
          <w:rStyle w:val="afa"/>
          <w:rFonts w:hint="cs"/>
          <w:rtl/>
        </w:rPr>
        <w:t>אבל אי לא אחשביה הייתה הנבילה מותרת כיון שנפגמה ואינו נהנה</w:t>
      </w:r>
      <w:r w:rsidRPr="00DE6EC6">
        <w:rPr>
          <w:rStyle w:val="afa"/>
          <w:rFonts w:hint="cs"/>
          <w:rtl/>
        </w:rPr>
        <w:t xml:space="preserve">], </w:t>
      </w:r>
      <w:r w:rsidRPr="00D47CE7">
        <w:rPr>
          <w:rFonts w:hint="cs"/>
          <w:rtl/>
        </w:rPr>
        <w:t xml:space="preserve">והוסיף </w:t>
      </w:r>
      <w:r w:rsidRPr="00D47CE7">
        <w:rPr>
          <w:rStyle w:val="af8"/>
          <w:rFonts w:hint="cs"/>
          <w:rtl/>
        </w:rPr>
        <w:t xml:space="preserve">הגרעק"א בתשו' </w:t>
      </w:r>
      <w:r w:rsidRPr="00D47CE7">
        <w:rPr>
          <w:rStyle w:val="af6"/>
          <w:rFonts w:eastAsia="Guttman Hodes" w:hint="cs"/>
          <w:rtl/>
        </w:rPr>
        <w:t xml:space="preserve">(מהדו"ק סי' קפ"ג ד"ה ואולם) </w:t>
      </w:r>
      <w:r w:rsidRPr="00D47CE7">
        <w:rPr>
          <w:rFonts w:hint="cs"/>
          <w:rtl/>
        </w:rPr>
        <w:t>דכשהיא ראויה לגר, והוא אוכלה מרצונו, א"כ הוא נהנה מהאיסור</w:t>
      </w:r>
      <w:r>
        <w:rPr>
          <w:rFonts w:hint="cs"/>
          <w:rtl/>
        </w:rPr>
        <w:t xml:space="preserve"> דהיא פגומה רק במקצת</w:t>
      </w:r>
      <w:r w:rsidRPr="00D47CE7">
        <w:rPr>
          <w:rFonts w:hint="cs"/>
          <w:rtl/>
        </w:rPr>
        <w:t>, ולכן אסור.</w:t>
      </w:r>
    </w:p>
    <w:p w:rsidR="007809D6" w:rsidRPr="00D47CE7" w:rsidRDefault="007809D6" w:rsidP="007809D6">
      <w:pPr>
        <w:pStyle w:val="a2"/>
      </w:pPr>
      <w:bookmarkStart w:id="8824" w:name="_Toc18323845"/>
      <w:bookmarkStart w:id="8825" w:name="_Toc18397418"/>
      <w:bookmarkStart w:id="8826" w:name="_Toc18404141"/>
      <w:bookmarkStart w:id="8827" w:name="_Toc18481561"/>
      <w:r w:rsidRPr="00D47CE7">
        <w:rPr>
          <w:rFonts w:hint="cs"/>
          <w:rtl/>
        </w:rPr>
        <w:t>ביאור הגרעק"א דבפגום במקצת שאינו נהנה ילפינן מנבילה דמותר דהוא מצטער ולא אחשביה</w:t>
      </w:r>
      <w:bookmarkEnd w:id="8824"/>
      <w:bookmarkEnd w:id="8825"/>
      <w:bookmarkEnd w:id="8826"/>
      <w:bookmarkEnd w:id="8827"/>
    </w:p>
    <w:p w:rsidR="007809D6" w:rsidRPr="00D47CE7" w:rsidRDefault="007809D6" w:rsidP="009F44AF">
      <w:pPr>
        <w:pStyle w:val="a"/>
        <w:rPr>
          <w:rtl/>
        </w:rPr>
      </w:pPr>
      <w:r w:rsidRPr="00D47CE7">
        <w:rPr>
          <w:rFonts w:hint="cs"/>
          <w:rtl/>
        </w:rPr>
        <w:t xml:space="preserve">וכתב </w:t>
      </w:r>
      <w:r w:rsidRPr="00D47CE7">
        <w:rPr>
          <w:rStyle w:val="af8"/>
          <w:rFonts w:hint="cs"/>
          <w:rtl/>
        </w:rPr>
        <w:t xml:space="preserve">הגרעק"א </w:t>
      </w:r>
      <w:r>
        <w:rPr>
          <w:rStyle w:val="af8"/>
          <w:rFonts w:hint="cs"/>
          <w:rtl/>
        </w:rPr>
        <w:t>בחי'</w:t>
      </w:r>
      <w:r w:rsidRPr="00D47CE7">
        <w:rPr>
          <w:rStyle w:val="af6"/>
          <w:rFonts w:eastAsia="Guttman Hodes" w:hint="cs"/>
          <w:rtl/>
        </w:rPr>
        <w:t xml:space="preserve"> (</w:t>
      </w:r>
      <w:r>
        <w:rPr>
          <w:rStyle w:val="af6"/>
          <w:rFonts w:eastAsia="Guttman Hodes" w:hint="cs"/>
          <w:rtl/>
        </w:rPr>
        <w:t xml:space="preserve">סז: ד"ה ועפ"י, </w:t>
      </w:r>
      <w:r w:rsidRPr="00C34E15">
        <w:rPr>
          <w:rStyle w:val="af6"/>
          <w:rFonts w:eastAsia="Guttman Hodes"/>
          <w:rtl/>
        </w:rPr>
        <w:t>חולין</w:t>
      </w:r>
      <w:r w:rsidRPr="00C34E15">
        <w:rPr>
          <w:rStyle w:val="af6"/>
          <w:rFonts w:eastAsia="Guttman Hodes" w:hint="cs"/>
          <w:rtl/>
        </w:rPr>
        <w:t xml:space="preserve"> </w:t>
      </w:r>
      <w:r w:rsidRPr="00D47CE7">
        <w:rPr>
          <w:rStyle w:val="af6"/>
          <w:rFonts w:eastAsia="Guttman Hodes" w:hint="cs"/>
          <w:rtl/>
        </w:rPr>
        <w:t>צז: אות ז' ד"ה והר"ן)</w:t>
      </w:r>
      <w:r w:rsidRPr="00D47CE7">
        <w:rPr>
          <w:rStyle w:val="af8"/>
          <w:rFonts w:hint="cs"/>
          <w:rtl/>
        </w:rPr>
        <w:t xml:space="preserve"> ובתשו' </w:t>
      </w:r>
      <w:r w:rsidRPr="00D47CE7">
        <w:rPr>
          <w:rStyle w:val="af6"/>
          <w:rFonts w:eastAsia="Guttman Hodes" w:hint="cs"/>
          <w:rtl/>
        </w:rPr>
        <w:t xml:space="preserve">(מהדו"ק סי' קס"ו ד"ה ועפ"י) </w:t>
      </w:r>
      <w:r w:rsidRPr="00D47CE7">
        <w:rPr>
          <w:rFonts w:hint="cs"/>
          <w:rtl/>
        </w:rPr>
        <w:t>ד</w:t>
      </w:r>
      <w:r>
        <w:rPr>
          <w:rFonts w:hint="cs"/>
          <w:rtl/>
        </w:rPr>
        <w:t xml:space="preserve">כמו דבאיסור בעין </w:t>
      </w:r>
      <w:r w:rsidRPr="00D47CE7">
        <w:rPr>
          <w:rFonts w:hint="cs"/>
          <w:rtl/>
        </w:rPr>
        <w:t>כל שאינו נהנה באכילתו</w:t>
      </w:r>
      <w:r>
        <w:rPr>
          <w:rFonts w:hint="cs"/>
          <w:rtl/>
        </w:rPr>
        <w:t xml:space="preserve"> מותר, </w:t>
      </w:r>
      <w:r w:rsidRPr="00D47CE7">
        <w:rPr>
          <w:rFonts w:hint="cs"/>
          <w:rtl/>
        </w:rPr>
        <w:t xml:space="preserve">א"כ ה"ה בתערובת דהתירה תורה בנותן טעם לפגם, אף שהיא ראויה לגר, כיון דמ"מ אינו נהנה מהאיסור, והוא מצטער במה שהאיסור התערב בהיתר, דהוא פגם את התבשיל, והוסיף </w:t>
      </w:r>
      <w:r w:rsidRPr="00D47CE7">
        <w:rPr>
          <w:rStyle w:val="af8"/>
          <w:rFonts w:hint="cs"/>
          <w:rtl/>
        </w:rPr>
        <w:t>הגרעק"א בתשו'</w:t>
      </w:r>
      <w:r w:rsidRPr="00D47CE7">
        <w:rPr>
          <w:rFonts w:hint="cs"/>
          <w:rtl/>
        </w:rPr>
        <w:t xml:space="preserve"> דלכן אף שאוכל את האיסור שמעורב בתערובת, לא שייך לומר דאחשביה, דאדרבה הוא מצטער במה שהאיסור מעורב בהיתר.</w:t>
      </w:r>
      <w:r w:rsidRPr="00D47CE7">
        <w:rPr>
          <w:rtl/>
        </w:rPr>
        <w:t xml:space="preserve"> </w:t>
      </w:r>
    </w:p>
    <w:p w:rsidR="007809D6" w:rsidRPr="00D47CE7" w:rsidRDefault="007809D6" w:rsidP="007809D6">
      <w:pPr>
        <w:pStyle w:val="a2"/>
        <w:rPr>
          <w:rtl/>
        </w:rPr>
      </w:pPr>
      <w:bookmarkStart w:id="8828" w:name="_Toc18323846"/>
      <w:bookmarkStart w:id="8829" w:name="_Toc18397419"/>
      <w:bookmarkStart w:id="8830" w:name="_Toc18404142"/>
      <w:bookmarkStart w:id="8831" w:name="_Toc18481562"/>
      <w:r w:rsidRPr="00D47CE7">
        <w:rPr>
          <w:rFonts w:hint="cs"/>
          <w:rtl/>
        </w:rPr>
        <w:t>דברי הגרעק"א דכשיש רוב נטל"פ מותר מסברא וכשאין רוב ילפינן מנבילה דאינו נהנה ומותר</w:t>
      </w:r>
      <w:bookmarkEnd w:id="8828"/>
      <w:bookmarkEnd w:id="8829"/>
      <w:bookmarkEnd w:id="8830"/>
      <w:bookmarkEnd w:id="8831"/>
    </w:p>
    <w:p w:rsidR="007809D6" w:rsidRPr="00D47CE7" w:rsidRDefault="007809D6" w:rsidP="009F44AF">
      <w:pPr>
        <w:pStyle w:val="a"/>
        <w:rPr>
          <w:rtl/>
        </w:rPr>
      </w:pPr>
      <w:r w:rsidRPr="00D47CE7">
        <w:rPr>
          <w:rFonts w:hint="cs"/>
          <w:rtl/>
        </w:rPr>
        <w:t xml:space="preserve">והוסיף </w:t>
      </w:r>
      <w:r w:rsidRPr="00D47CE7">
        <w:rPr>
          <w:rStyle w:val="af8"/>
          <w:rFonts w:hint="cs"/>
          <w:rtl/>
        </w:rPr>
        <w:t>הגרעק"א</w:t>
      </w:r>
      <w:r>
        <w:rPr>
          <w:rStyle w:val="af8"/>
          <w:rFonts w:hint="cs"/>
          <w:rtl/>
        </w:rPr>
        <w:t xml:space="preserve"> בחי'</w:t>
      </w:r>
      <w:r w:rsidRPr="00D47CE7">
        <w:rPr>
          <w:rStyle w:val="af8"/>
          <w:rFonts w:hint="cs"/>
          <w:rtl/>
        </w:rPr>
        <w:t xml:space="preserve"> </w:t>
      </w:r>
      <w:r w:rsidRPr="00D47CE7">
        <w:rPr>
          <w:rStyle w:val="af6"/>
          <w:rFonts w:eastAsia="Guttman Hodes" w:hint="cs"/>
          <w:rtl/>
        </w:rPr>
        <w:t>(</w:t>
      </w:r>
      <w:r>
        <w:rPr>
          <w:rStyle w:val="af6"/>
          <w:rFonts w:eastAsia="Guttman Hodes" w:hint="cs"/>
          <w:rtl/>
        </w:rPr>
        <w:t>סז: ד"ה ועפ"י</w:t>
      </w:r>
      <w:r w:rsidRPr="00D47CE7">
        <w:rPr>
          <w:rStyle w:val="af6"/>
          <w:rFonts w:eastAsia="Guttman Hodes" w:hint="cs"/>
          <w:rtl/>
        </w:rPr>
        <w:t>)</w:t>
      </w:r>
      <w:r w:rsidRPr="00D47CE7">
        <w:rPr>
          <w:rStyle w:val="af8"/>
          <w:rFonts w:hint="cs"/>
          <w:rtl/>
        </w:rPr>
        <w:t xml:space="preserve"> ובתשו' </w:t>
      </w:r>
      <w:r w:rsidRPr="00D47CE7">
        <w:rPr>
          <w:rStyle w:val="af6"/>
          <w:rFonts w:eastAsia="Guttman Hodes" w:hint="cs"/>
          <w:rtl/>
        </w:rPr>
        <w:t xml:space="preserve">(מהדו"ק סי' קס"ו ד"ה ועפ"י) </w:t>
      </w:r>
      <w:r w:rsidRPr="00D47CE7">
        <w:rPr>
          <w:rFonts w:hint="cs"/>
          <w:rtl/>
        </w:rPr>
        <w:t xml:space="preserve">דלדעת </w:t>
      </w:r>
      <w:r w:rsidRPr="00D47CE7">
        <w:rPr>
          <w:rStyle w:val="af8"/>
          <w:rFonts w:hint="cs"/>
          <w:rtl/>
        </w:rPr>
        <w:t>הר"ן</w:t>
      </w:r>
      <w:r w:rsidRPr="00D47CE7">
        <w:rPr>
          <w:rFonts w:hint="cs"/>
          <w:rtl/>
        </w:rPr>
        <w:t xml:space="preserve"> במקום שיש רוב היתר אפש"ל דנותן טעם לפגם מותר מסברא, כיון דגוף האיסור בטל ברוב, ואיסור טעם כעיקר לא נאמר בטעם פגום, אבל במקום שאין רוב היתר, מסברא נותן טעם לפגם אסור, אלא ד</w:t>
      </w:r>
      <w:r>
        <w:rPr>
          <w:rFonts w:hint="cs"/>
          <w:rtl/>
        </w:rPr>
        <w:t xml:space="preserve">ילפינן מנבילה דמותר, </w:t>
      </w:r>
      <w:r w:rsidRPr="00707EEE">
        <w:rPr>
          <w:rStyle w:val="afa"/>
          <w:rFonts w:hint="cs"/>
          <w:rtl/>
        </w:rPr>
        <w:t>[ונ"מ במקום שלא מהני ביטול כחמץ דאסור במשהו, דנותן טעם לפגם מותר],</w:t>
      </w:r>
      <w:r>
        <w:rPr>
          <w:rFonts w:hint="cs"/>
          <w:rtl/>
        </w:rPr>
        <w:t xml:space="preserve"> </w:t>
      </w:r>
      <w:r w:rsidRPr="00D47CE7">
        <w:rPr>
          <w:rFonts w:hint="cs"/>
          <w:rtl/>
        </w:rPr>
        <w:t xml:space="preserve">וכדביאר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47CE7">
        <w:rPr>
          <w:rStyle w:val="af6"/>
          <w:rFonts w:eastAsia="Guttman Hodes"/>
          <w:rtl/>
        </w:rPr>
        <w:fldChar w:fldCharType="end"/>
      </w:r>
      <w:r w:rsidRPr="00D47CE7">
        <w:rPr>
          <w:rFonts w:hint="cs"/>
          <w:rtl/>
        </w:rPr>
        <w:t xml:space="preserve"> דמוכח בנבילה דכל שאינו נהנה מהטעם אין בו איסור.</w:t>
      </w:r>
    </w:p>
    <w:p w:rsidR="007809D6" w:rsidRPr="00D47CE7" w:rsidRDefault="007809D6" w:rsidP="007809D6">
      <w:pPr>
        <w:pStyle w:val="a2"/>
        <w:rPr>
          <w:rtl/>
        </w:rPr>
      </w:pPr>
      <w:bookmarkStart w:id="8832" w:name="_Toc18323847"/>
      <w:bookmarkStart w:id="8833" w:name="_Toc18397420"/>
      <w:bookmarkStart w:id="8834" w:name="_Toc18404143"/>
      <w:bookmarkStart w:id="8835" w:name="_Toc18481563"/>
      <w:r w:rsidRPr="00D47CE7">
        <w:rPr>
          <w:rFonts w:hint="cs"/>
          <w:rtl/>
        </w:rPr>
        <w:t>דברי הגרעק"א דלהר"ן נטל"פ מותר אף כשאין רוב היתר וכן במקום שלא מהני ביטול ברוב</w:t>
      </w:r>
      <w:bookmarkEnd w:id="8832"/>
      <w:bookmarkEnd w:id="8833"/>
      <w:bookmarkEnd w:id="8834"/>
      <w:bookmarkEnd w:id="8835"/>
    </w:p>
    <w:p w:rsidR="007809D6" w:rsidRPr="00085C7F" w:rsidRDefault="007809D6" w:rsidP="009F44AF">
      <w:pPr>
        <w:pStyle w:val="a"/>
        <w:rPr>
          <w:rtl/>
        </w:rPr>
      </w:pPr>
      <w:bookmarkStart w:id="8836" w:name="_Ref18320992"/>
      <w:r w:rsidRPr="00D47CE7">
        <w:rPr>
          <w:rFonts w:hint="cs"/>
          <w:rtl/>
        </w:rPr>
        <w:t xml:space="preserve">וכתב </w:t>
      </w:r>
      <w:r w:rsidRPr="00D47CE7">
        <w:rPr>
          <w:rStyle w:val="af8"/>
          <w:rFonts w:hint="cs"/>
          <w:rtl/>
        </w:rPr>
        <w:t xml:space="preserve">הגרעק"א </w:t>
      </w:r>
      <w:r w:rsidRPr="00D47CE7">
        <w:rPr>
          <w:rFonts w:hint="cs"/>
          <w:rtl/>
        </w:rPr>
        <w:t xml:space="preserve"> דא"כ מבואר דלדעת </w:t>
      </w:r>
      <w:r w:rsidRPr="00D47CE7">
        <w:rPr>
          <w:rStyle w:val="af8"/>
          <w:rFonts w:hint="cs"/>
          <w:rtl/>
        </w:rPr>
        <w:t>הר"ן</w:t>
      </w:r>
      <w:r w:rsidRPr="00D47CE7">
        <w:rPr>
          <w:rFonts w:hint="cs"/>
          <w:rtl/>
        </w:rPr>
        <w:t xml:space="preserve"> ההיתר בנותן טעם לפגם הוא אף במקום שאין רוב היתר</w:t>
      </w:r>
      <w:r>
        <w:rPr>
          <w:rFonts w:hint="cs"/>
          <w:rtl/>
        </w:rPr>
        <w:t xml:space="preserve">, </w:t>
      </w:r>
      <w:r w:rsidRPr="00707EEE">
        <w:rPr>
          <w:rStyle w:val="afa"/>
          <w:rFonts w:hint="cs"/>
          <w:rtl/>
        </w:rPr>
        <w:t>[ונ"מ במקום שלא מהני ביטול כחמץ דאסור במשהו, דנותן טעם לפגם מותר],</w:t>
      </w:r>
      <w:r>
        <w:rPr>
          <w:rFonts w:hint="cs"/>
          <w:rtl/>
        </w:rPr>
        <w:t xml:space="preserve"> </w:t>
      </w:r>
      <w:r w:rsidRPr="00D47CE7">
        <w:rPr>
          <w:rFonts w:hint="cs"/>
          <w:rtl/>
        </w:rPr>
        <w:t xml:space="preserve">דהיתר נותן טעם לפגם הוא ילפותא מנבילה ואינו מדין ביטול ברוב, והוסיף </w:t>
      </w:r>
      <w:r w:rsidRPr="00D47CE7">
        <w:rPr>
          <w:rStyle w:val="af8"/>
          <w:rFonts w:hint="cs"/>
          <w:rtl/>
        </w:rPr>
        <w:t>הגרעק"א בחולין</w:t>
      </w:r>
      <w:r w:rsidRPr="00D47CE7">
        <w:rPr>
          <w:rFonts w:hint="cs"/>
          <w:rtl/>
        </w:rPr>
        <w:t xml:space="preserve"> דכיון דההיתר בנותן טעם לפגם אינו מדין ביטול, אלא מילפותא דנבילה שאינה ראויה לגר, א"כ מבואר דלדעת </w:t>
      </w:r>
      <w:r w:rsidRPr="00D47CE7">
        <w:rPr>
          <w:rStyle w:val="af8"/>
          <w:rFonts w:hint="cs"/>
          <w:rtl/>
        </w:rPr>
        <w:t>הר"ן</w:t>
      </w:r>
      <w:r w:rsidRPr="00D47CE7">
        <w:rPr>
          <w:rFonts w:hint="cs"/>
          <w:rtl/>
        </w:rPr>
        <w:t xml:space="preserve"> נותן טעם לפגם מותר אף במקום שלא מהני ביטול ברוב, כחמץ שאוסר במשהו, וכתב </w:t>
      </w:r>
      <w:r w:rsidRPr="00D47CE7">
        <w:rPr>
          <w:rStyle w:val="af8"/>
          <w:rFonts w:hint="cs"/>
          <w:rtl/>
        </w:rPr>
        <w:t xml:space="preserve">הגרעק"א </w:t>
      </w:r>
      <w:r>
        <w:rPr>
          <w:rStyle w:val="af8"/>
          <w:rFonts w:hint="cs"/>
          <w:rtl/>
        </w:rPr>
        <w:t>בחי' ו</w:t>
      </w:r>
      <w:r w:rsidRPr="00D47CE7">
        <w:rPr>
          <w:rStyle w:val="af8"/>
          <w:rFonts w:hint="cs"/>
          <w:rtl/>
        </w:rPr>
        <w:t>בתשו' דהר"ן</w:t>
      </w:r>
      <w:r w:rsidRPr="00D47CE7">
        <w:rPr>
          <w:rFonts w:hint="cs"/>
          <w:rtl/>
        </w:rPr>
        <w:t xml:space="preserve"> פליג על  </w:t>
      </w:r>
      <w:r w:rsidRPr="00D47CE7">
        <w:rPr>
          <w:rStyle w:val="af8"/>
          <w:rtl/>
        </w:rPr>
        <w:t>הרשב"א</w:t>
      </w:r>
      <w:r w:rsidRPr="00D47CE7">
        <w:rPr>
          <w:rtl/>
        </w:rPr>
        <w:t xml:space="preserve"> </w:t>
      </w:r>
      <w:r w:rsidRPr="00D47CE7">
        <w:rPr>
          <w:rStyle w:val="af6"/>
          <w:rFonts w:eastAsia="Guttman Hodes"/>
          <w:rtl/>
        </w:rPr>
        <w:t xml:space="preserve">(עי' אות </w:t>
      </w:r>
      <w:r w:rsidRPr="00D47CE7">
        <w:rPr>
          <w:rStyle w:val="af6"/>
          <w:rFonts w:eastAsia="Guttman Hodes"/>
          <w:cs/>
        </w:rPr>
        <w:t>‎</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Ref18228077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D47CE7">
        <w:rPr>
          <w:rStyle w:val="af6"/>
          <w:rFonts w:eastAsia="Guttman Hodes"/>
          <w:rtl/>
        </w:rPr>
        <w:fldChar w:fldCharType="end"/>
      </w:r>
      <w:r w:rsidRPr="00D47CE7">
        <w:rPr>
          <w:rFonts w:hint="cs"/>
          <w:rtl/>
        </w:rPr>
        <w:t xml:space="preserve"> דס"ל </w:t>
      </w:r>
      <w:r w:rsidRPr="00D47CE7">
        <w:rPr>
          <w:rtl/>
        </w:rPr>
        <w:t>דההיתר בנותן טעם לפגם,</w:t>
      </w:r>
      <w:r w:rsidRPr="00D47CE7">
        <w:rPr>
          <w:rFonts w:hint="cs"/>
          <w:rtl/>
        </w:rPr>
        <w:t xml:space="preserve"> הוא רק כשיש רוב היתר, </w:t>
      </w:r>
      <w:bookmarkEnd w:id="8836"/>
      <w:r>
        <w:rPr>
          <w:rFonts w:hint="cs"/>
          <w:rtl/>
        </w:rPr>
        <w:t xml:space="preserve">וע"ע במה שהקשה </w:t>
      </w:r>
      <w:r w:rsidRPr="003F4E2F">
        <w:rPr>
          <w:rStyle w:val="af8"/>
          <w:rFonts w:hint="cs"/>
          <w:rtl/>
        </w:rPr>
        <w:t>הגרעק"א</w:t>
      </w:r>
      <w:r>
        <w:rPr>
          <w:rFonts w:hint="cs"/>
          <w:rtl/>
        </w:rPr>
        <w:t xml:space="preserve"> </w:t>
      </w:r>
      <w:r w:rsidRPr="00085C7F">
        <w:rPr>
          <w:rStyle w:val="af6"/>
          <w:rFonts w:eastAsia="Guttman Hodes" w:hint="cs"/>
          <w:rtl/>
        </w:rPr>
        <w:t>(עי' הערה</w:t>
      </w:r>
      <w:r w:rsidRPr="00D47CE7">
        <w:rPr>
          <w:rStyle w:val="af0"/>
          <w:rtl/>
        </w:rPr>
        <w:footnoteReference w:id="28"/>
      </w:r>
      <w:r w:rsidRPr="00085C7F">
        <w:rPr>
          <w:rStyle w:val="af6"/>
          <w:rFonts w:eastAsia="Guttman Hodes" w:hint="cs"/>
          <w:rtl/>
        </w:rPr>
        <w:t>)</w:t>
      </w:r>
      <w:r w:rsidRPr="00D47CE7">
        <w:rPr>
          <w:rFonts w:hint="cs"/>
          <w:rtl/>
        </w:rPr>
        <w:t xml:space="preserve">, </w:t>
      </w:r>
      <w:r>
        <w:rPr>
          <w:rFonts w:hint="cs"/>
          <w:rtl/>
        </w:rPr>
        <w:t xml:space="preserve">בסתירת דברי </w:t>
      </w:r>
      <w:r w:rsidRPr="003F4E2F">
        <w:rPr>
          <w:rStyle w:val="af8"/>
          <w:rFonts w:hint="cs"/>
          <w:rtl/>
        </w:rPr>
        <w:t>השו"ע</w:t>
      </w:r>
      <w:r>
        <w:rPr>
          <w:rFonts w:hint="cs"/>
          <w:rtl/>
        </w:rPr>
        <w:t xml:space="preserve"> בזה, ו</w:t>
      </w:r>
      <w:r w:rsidRPr="00085C7F">
        <w:rPr>
          <w:rFonts w:hint="cs"/>
          <w:rtl/>
        </w:rPr>
        <w:t xml:space="preserve">במה </w:t>
      </w:r>
      <w:r w:rsidRPr="00085C7F">
        <w:rPr>
          <w:rFonts w:hint="cs"/>
          <w:rtl/>
        </w:rPr>
        <w:t xml:space="preserve">שביאר </w:t>
      </w:r>
      <w:r w:rsidRPr="007D6B69">
        <w:rPr>
          <w:rStyle w:val="af8"/>
          <w:rFonts w:hint="cs"/>
          <w:rtl/>
        </w:rPr>
        <w:t>הגרעק"א</w:t>
      </w:r>
      <w:r w:rsidRPr="00085C7F">
        <w:rPr>
          <w:rFonts w:hint="cs"/>
          <w:rtl/>
        </w:rPr>
        <w:t xml:space="preserve"> </w:t>
      </w:r>
      <w:r w:rsidRPr="00085C7F">
        <w:rPr>
          <w:rStyle w:val="af6"/>
          <w:rFonts w:eastAsia="Guttman Hodes" w:hint="cs"/>
          <w:rtl/>
        </w:rPr>
        <w:t>(עי' הערה</w:t>
      </w:r>
      <w:r>
        <w:rPr>
          <w:rStyle w:val="af0"/>
          <w:rtl/>
        </w:rPr>
        <w:footnoteReference w:id="29"/>
      </w:r>
      <w:r w:rsidRPr="003F4E2F">
        <w:rPr>
          <w:rStyle w:val="af6"/>
          <w:rFonts w:eastAsia="Guttman Hodes" w:hint="cs"/>
          <w:rtl/>
        </w:rPr>
        <w:t>)</w:t>
      </w:r>
      <w:r>
        <w:rPr>
          <w:rFonts w:hint="cs"/>
          <w:rtl/>
        </w:rPr>
        <w:t xml:space="preserve"> </w:t>
      </w:r>
      <w:r w:rsidRPr="00085C7F">
        <w:rPr>
          <w:rFonts w:hint="cs"/>
          <w:rtl/>
        </w:rPr>
        <w:t>בפלוגתת ר"מ ור"ש, בילפותות בנותן טעם לפגם</w:t>
      </w:r>
      <w:r>
        <w:rPr>
          <w:rFonts w:hint="cs"/>
          <w:rtl/>
        </w:rPr>
        <w:t xml:space="preserve">, לדעת </w:t>
      </w:r>
      <w:r w:rsidRPr="003F4E2F">
        <w:rPr>
          <w:rStyle w:val="af8"/>
          <w:rFonts w:hint="cs"/>
          <w:rtl/>
        </w:rPr>
        <w:t>הרשב"א</w:t>
      </w:r>
      <w:r>
        <w:rPr>
          <w:rFonts w:hint="cs"/>
          <w:rtl/>
        </w:rPr>
        <w:t xml:space="preserve"> ולדעת </w:t>
      </w:r>
      <w:r w:rsidRPr="003F4E2F">
        <w:rPr>
          <w:rStyle w:val="af8"/>
          <w:rFonts w:hint="cs"/>
          <w:rtl/>
        </w:rPr>
        <w:t>הר"ן</w:t>
      </w:r>
      <w:r>
        <w:rPr>
          <w:rFonts w:hint="cs"/>
          <w:rtl/>
        </w:rPr>
        <w:t>.</w:t>
      </w:r>
      <w:r w:rsidRPr="003F4E2F">
        <w:rPr>
          <w:rFonts w:hint="cs"/>
          <w:rtl/>
        </w:rPr>
        <w:t xml:space="preserve"> </w:t>
      </w:r>
      <w:r w:rsidRPr="00D47CE7">
        <w:rPr>
          <w:rFonts w:hint="cs"/>
          <w:rtl/>
        </w:rPr>
        <w:t xml:space="preserve">[אך יעוי' בדברי </w:t>
      </w:r>
      <w:r w:rsidRPr="00D47CE7">
        <w:rPr>
          <w:rStyle w:val="af8"/>
          <w:rFonts w:hint="cs"/>
          <w:rtl/>
        </w:rPr>
        <w:t>הגר"א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Ref18321435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סב)</w:t>
      </w:r>
      <w:r w:rsidRPr="00D47CE7">
        <w:rPr>
          <w:rStyle w:val="af6"/>
          <w:rFonts w:eastAsia="Guttman Hodes"/>
          <w:rtl/>
        </w:rPr>
        <w:fldChar w:fldCharType="end"/>
      </w:r>
      <w:r w:rsidRPr="00D47CE7">
        <w:rPr>
          <w:rFonts w:hint="cs"/>
          <w:rtl/>
        </w:rPr>
        <w:t xml:space="preserve"> </w:t>
      </w:r>
      <w:r w:rsidRPr="00D47CE7">
        <w:rPr>
          <w:rStyle w:val="af8"/>
          <w:rFonts w:hint="cs"/>
          <w:rtl/>
        </w:rPr>
        <w:t>והיד יהודה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Ref18335405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D47CE7">
        <w:rPr>
          <w:rStyle w:val="af6"/>
          <w:rFonts w:eastAsia="Guttman Hodes"/>
          <w:rtl/>
        </w:rPr>
        <w:fldChar w:fldCharType="end"/>
      </w:r>
      <w:r w:rsidRPr="00D47CE7">
        <w:rPr>
          <w:rFonts w:hint="cs"/>
          <w:rtl/>
        </w:rPr>
        <w:t xml:space="preserve"> </w:t>
      </w:r>
      <w:r w:rsidRPr="00D47CE7">
        <w:rPr>
          <w:rStyle w:val="af8"/>
          <w:rFonts w:hint="cs"/>
          <w:rtl/>
        </w:rPr>
        <w:t>והחזו"א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Ref18321442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D47CE7">
        <w:rPr>
          <w:rStyle w:val="af6"/>
          <w:rFonts w:eastAsia="Guttman Hodes"/>
          <w:rtl/>
        </w:rPr>
        <w:fldChar w:fldCharType="end"/>
      </w:r>
      <w:r w:rsidRPr="00D47CE7">
        <w:rPr>
          <w:rFonts w:hint="cs"/>
          <w:rtl/>
        </w:rPr>
        <w:t xml:space="preserve"> דכתבו דאף </w:t>
      </w:r>
      <w:r w:rsidRPr="00D47CE7">
        <w:rPr>
          <w:rStyle w:val="af8"/>
          <w:rFonts w:hint="cs"/>
          <w:rtl/>
        </w:rPr>
        <w:t>להר"ן</w:t>
      </w:r>
      <w:r w:rsidRPr="00D47CE7">
        <w:rPr>
          <w:rFonts w:hint="cs"/>
          <w:rtl/>
        </w:rPr>
        <w:t xml:space="preserve"> צריך רוב היתר]</w:t>
      </w:r>
      <w:r>
        <w:rPr>
          <w:rFonts w:hint="cs"/>
          <w:rtl/>
        </w:rPr>
        <w:t>.</w:t>
      </w:r>
    </w:p>
    <w:p w:rsidR="007809D6" w:rsidRPr="00D47CE7" w:rsidRDefault="007809D6" w:rsidP="007809D6">
      <w:pPr>
        <w:pStyle w:val="1"/>
        <w:rPr>
          <w:rtl/>
        </w:rPr>
      </w:pPr>
      <w:bookmarkStart w:id="8837" w:name="_Toc18269146"/>
      <w:bookmarkStart w:id="8838" w:name="_Toc18323848"/>
      <w:bookmarkStart w:id="8839" w:name="_Toc18397421"/>
      <w:bookmarkStart w:id="8840" w:name="_Toc18404144"/>
      <w:bookmarkStart w:id="8841" w:name="_Toc18481564"/>
      <w:bookmarkStart w:id="8842" w:name="_Toc16850492"/>
      <w:bookmarkStart w:id="8843" w:name="_Toc17624867"/>
      <w:bookmarkStart w:id="8844" w:name="_Toc17889816"/>
      <w:bookmarkStart w:id="8845" w:name="_Toc17975438"/>
      <w:bookmarkStart w:id="8846" w:name="_Toc17984122"/>
      <w:bookmarkStart w:id="8847" w:name="_Toc18228247"/>
      <w:bookmarkStart w:id="8848" w:name="_Toc18250778"/>
      <w:bookmarkStart w:id="8849" w:name="_Toc18266234"/>
      <w:bookmarkStart w:id="8850" w:name="_Toc18269144"/>
      <w:r w:rsidRPr="00D47CE7">
        <w:rPr>
          <w:rFonts w:hint="cs"/>
          <w:rtl/>
        </w:rPr>
        <w:t>ביאור הגר"א והיד יהודה בר"ן דהיתר נטל"פ</w:t>
      </w:r>
      <w:bookmarkEnd w:id="8837"/>
      <w:r w:rsidRPr="00D47CE7">
        <w:rPr>
          <w:rFonts w:hint="cs"/>
          <w:rtl/>
        </w:rPr>
        <w:t xml:space="preserve"> רק ברוב היתר</w:t>
      </w:r>
      <w:bookmarkEnd w:id="8838"/>
      <w:bookmarkEnd w:id="8839"/>
      <w:bookmarkEnd w:id="8840"/>
      <w:bookmarkEnd w:id="8841"/>
    </w:p>
    <w:p w:rsidR="007809D6" w:rsidRPr="00D47CE7" w:rsidRDefault="007809D6" w:rsidP="007809D6">
      <w:pPr>
        <w:pStyle w:val="a2"/>
        <w:rPr>
          <w:rtl/>
        </w:rPr>
      </w:pPr>
      <w:bookmarkStart w:id="8851" w:name="_Toc18323849"/>
      <w:bookmarkStart w:id="8852" w:name="_Toc18397422"/>
      <w:bookmarkStart w:id="8853" w:name="_Toc18404145"/>
      <w:bookmarkStart w:id="8854" w:name="_Toc18481565"/>
      <w:r w:rsidRPr="00D47CE7">
        <w:rPr>
          <w:rFonts w:hint="cs"/>
          <w:rtl/>
        </w:rPr>
        <w:t>דברי הגר"א בר"ן דבנטל"פ בתערובת אם אין רוב היתר האיסור אינו מתבטל ודינו כאיסור בעין</w:t>
      </w:r>
      <w:bookmarkEnd w:id="8851"/>
      <w:bookmarkEnd w:id="8852"/>
      <w:bookmarkEnd w:id="8853"/>
      <w:bookmarkEnd w:id="8854"/>
    </w:p>
    <w:p w:rsidR="007809D6" w:rsidRPr="00D47CE7" w:rsidRDefault="007809D6" w:rsidP="009F44AF">
      <w:pPr>
        <w:pStyle w:val="a"/>
        <w:rPr>
          <w:rStyle w:val="afa"/>
          <w:rtl/>
        </w:rPr>
      </w:pPr>
      <w:bookmarkStart w:id="8855" w:name="_Ref18321435"/>
      <w:bookmarkStart w:id="8856" w:name="_Ref18479124"/>
      <w:r w:rsidRPr="00D47CE7">
        <w:rPr>
          <w:rFonts w:hint="cs"/>
          <w:rtl/>
        </w:rPr>
        <w:t>אבל</w:t>
      </w:r>
      <w:r>
        <w:rPr>
          <w:rFonts w:hint="cs"/>
          <w:rtl/>
        </w:rPr>
        <w:t xml:space="preserve"> מדברי</w:t>
      </w:r>
      <w:r w:rsidRPr="00D47CE7">
        <w:rPr>
          <w:rFonts w:hint="cs"/>
          <w:rtl/>
        </w:rPr>
        <w:t xml:space="preserve"> </w:t>
      </w:r>
      <w:r w:rsidRPr="00D47CE7">
        <w:rPr>
          <w:rStyle w:val="af8"/>
          <w:rFonts w:hint="cs"/>
          <w:rtl/>
        </w:rPr>
        <w:t>הגר"א</w:t>
      </w:r>
      <w:r w:rsidRPr="00D47CE7">
        <w:rPr>
          <w:rFonts w:hint="cs"/>
          <w:rtl/>
        </w:rPr>
        <w:t xml:space="preserve"> </w:t>
      </w:r>
      <w:r w:rsidRPr="00D47CE7">
        <w:rPr>
          <w:rStyle w:val="af6"/>
          <w:rFonts w:eastAsia="Guttman Hodes" w:hint="cs"/>
          <w:rtl/>
        </w:rPr>
        <w:t xml:space="preserve">(סי' ק"ג סק"ד) </w:t>
      </w:r>
      <w:r>
        <w:rPr>
          <w:rFonts w:hint="cs"/>
          <w:rtl/>
        </w:rPr>
        <w:t>משמע</w:t>
      </w:r>
      <w:r w:rsidRPr="00BC42C7">
        <w:rPr>
          <w:rStyle w:val="af6"/>
          <w:rFonts w:eastAsia="Guttman Hodes" w:hint="cs"/>
          <w:rtl/>
        </w:rPr>
        <w:t xml:space="preserve"> (עי' בהערה</w:t>
      </w:r>
      <w:r>
        <w:rPr>
          <w:rStyle w:val="af0"/>
          <w:rtl/>
        </w:rPr>
        <w:footnoteReference w:id="30"/>
      </w:r>
      <w:r w:rsidRPr="00BC42C7">
        <w:rPr>
          <w:rStyle w:val="af6"/>
          <w:rFonts w:eastAsia="Guttman Hodes" w:hint="cs"/>
          <w:rtl/>
        </w:rPr>
        <w:t xml:space="preserve">) </w:t>
      </w:r>
      <w:r w:rsidRPr="00D47CE7">
        <w:rPr>
          <w:rFonts w:hint="cs"/>
          <w:rtl/>
        </w:rPr>
        <w:t xml:space="preserve">דאף לדעת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47CE7">
        <w:rPr>
          <w:rStyle w:val="af6"/>
          <w:rFonts w:eastAsia="Guttman Hodes"/>
          <w:rtl/>
        </w:rPr>
        <w:fldChar w:fldCharType="end"/>
      </w:r>
      <w:r w:rsidRPr="00D47CE7">
        <w:rPr>
          <w:rFonts w:hint="cs"/>
          <w:rtl/>
        </w:rPr>
        <w:t xml:space="preserve"> ההיתר בנותן טעם לפגם, הוא רק כשיש רוב בהיתר כנגד האיסור, </w:t>
      </w:r>
      <w:r w:rsidRPr="00D47CE7">
        <w:rPr>
          <w:rStyle w:val="afa"/>
          <w:rFonts w:hint="cs"/>
          <w:rtl/>
        </w:rPr>
        <w:t>[וכדכתב</w:t>
      </w:r>
      <w:r w:rsidRPr="00D47CE7">
        <w:rPr>
          <w:rStyle w:val="affa"/>
          <w:rFonts w:hint="cs"/>
          <w:rtl/>
        </w:rPr>
        <w:t xml:space="preserve"> </w:t>
      </w:r>
      <w:r w:rsidRPr="00D47CE7">
        <w:rPr>
          <w:rStyle w:val="affa"/>
          <w:rtl/>
        </w:rPr>
        <w:t xml:space="preserve">הרשב"א </w:t>
      </w:r>
      <w:r w:rsidRPr="00D47CE7">
        <w:rPr>
          <w:rStyle w:val="aff6"/>
          <w:rtl/>
        </w:rPr>
        <w:t xml:space="preserve">(עי' אות </w:t>
      </w:r>
      <w:r w:rsidRPr="00D47CE7">
        <w:rPr>
          <w:rStyle w:val="aff6"/>
          <w:cs/>
        </w:rPr>
        <w:t>‎</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Ref18228077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יז)</w:t>
      </w:r>
      <w:r w:rsidRPr="00D47CE7">
        <w:rPr>
          <w:rStyle w:val="aff6"/>
          <w:rtl/>
        </w:rPr>
        <w:fldChar w:fldCharType="end"/>
      </w:r>
      <w:r w:rsidRPr="00D47CE7">
        <w:rPr>
          <w:rStyle w:val="afa"/>
          <w:rFonts w:hint="cs"/>
          <w:rtl/>
        </w:rPr>
        <w:t>],</w:t>
      </w:r>
      <w:r w:rsidRPr="00D47CE7">
        <w:rPr>
          <w:rFonts w:hint="cs"/>
          <w:rtl/>
        </w:rPr>
        <w:t xml:space="preserve"> וביאר </w:t>
      </w:r>
      <w:r w:rsidRPr="00D47CE7">
        <w:rPr>
          <w:rStyle w:val="af8"/>
          <w:rFonts w:hint="cs"/>
          <w:rtl/>
        </w:rPr>
        <w:t>הגר"א</w:t>
      </w:r>
      <w:r w:rsidRPr="00D47CE7">
        <w:rPr>
          <w:rFonts w:hint="cs"/>
          <w:rtl/>
        </w:rPr>
        <w:t xml:space="preserve"> את דברי </w:t>
      </w:r>
      <w:r w:rsidRPr="00D47CE7">
        <w:rPr>
          <w:rStyle w:val="af8"/>
          <w:rFonts w:hint="cs"/>
          <w:rtl/>
        </w:rPr>
        <w:t>הר"ן</w:t>
      </w:r>
      <w:r w:rsidRPr="00D47CE7">
        <w:rPr>
          <w:rFonts w:hint="cs"/>
          <w:rtl/>
        </w:rPr>
        <w:t xml:space="preserve"> דהא דנבילה אסורה אף שנפגמה במקצת הוא כיון שאוכל את גוף האיסור, אבל בנותן טעם לפגם בתערובת, דעל גוף האיסור מהני ביטול ברוב אף מדרבנן, וכל איסורו הוא מדין טעם כעיקר דאו', </w:t>
      </w:r>
      <w:r w:rsidRPr="00D47CE7">
        <w:rPr>
          <w:rStyle w:val="afa"/>
          <w:rFonts w:hint="cs"/>
          <w:rtl/>
        </w:rPr>
        <w:t>[ובמין במינו גזרו דרבנן דגזרו אטו מין בשאינו מינו],</w:t>
      </w:r>
      <w:r w:rsidRPr="00D47CE7">
        <w:rPr>
          <w:rFonts w:hint="cs"/>
          <w:rtl/>
        </w:rPr>
        <w:t xml:space="preserve"> ולכן כל שהטעם פגום במקצת מותר, דאינו נותן טעם אלא אדרבה הוא פוגם, אבל במקום שאין רוב בהיתר כנגד האיסור, כתב </w:t>
      </w:r>
      <w:r w:rsidRPr="00D47CE7">
        <w:rPr>
          <w:rStyle w:val="af8"/>
          <w:rFonts w:hint="cs"/>
          <w:rtl/>
        </w:rPr>
        <w:t>הגר"א</w:t>
      </w:r>
      <w:r w:rsidRPr="00D47CE7">
        <w:rPr>
          <w:rFonts w:hint="cs"/>
          <w:rtl/>
        </w:rPr>
        <w:t xml:space="preserve"> דאף לדעת </w:t>
      </w:r>
      <w:r w:rsidRPr="00D47CE7">
        <w:rPr>
          <w:rStyle w:val="af8"/>
          <w:rFonts w:hint="cs"/>
          <w:rtl/>
        </w:rPr>
        <w:t>הר"ן</w:t>
      </w:r>
      <w:r w:rsidRPr="00D47CE7">
        <w:rPr>
          <w:rFonts w:hint="cs"/>
          <w:rtl/>
        </w:rPr>
        <w:t xml:space="preserve"> אסור, דהא גוף האיסור אינו מתבטל, וחשיב כאילו האיסור בעין, </w:t>
      </w:r>
      <w:r w:rsidRPr="00D47CE7">
        <w:rPr>
          <w:rStyle w:val="afa"/>
          <w:rFonts w:hint="cs"/>
          <w:rtl/>
        </w:rPr>
        <w:t>[והוא כנבילה דאסורה בעין כל שהיא ראויה לגר]</w:t>
      </w:r>
      <w:bookmarkEnd w:id="8855"/>
      <w:r w:rsidRPr="00D47CE7">
        <w:rPr>
          <w:rStyle w:val="afa"/>
          <w:rFonts w:hint="cs"/>
          <w:rtl/>
        </w:rPr>
        <w:t xml:space="preserve">, </w:t>
      </w:r>
      <w:r w:rsidRPr="00D47CE7">
        <w:rPr>
          <w:rFonts w:hint="cs"/>
          <w:rtl/>
        </w:rPr>
        <w:t xml:space="preserve">ודלא כדברי </w:t>
      </w:r>
      <w:r w:rsidRPr="00D47CE7">
        <w:rPr>
          <w:rStyle w:val="af8"/>
          <w:rFonts w:hint="cs"/>
          <w:rtl/>
        </w:rPr>
        <w:t>הגרעק"א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Ref18320992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D47CE7">
        <w:rPr>
          <w:rStyle w:val="af6"/>
          <w:rFonts w:eastAsia="Guttman Hodes"/>
          <w:rtl/>
        </w:rPr>
        <w:fldChar w:fldCharType="end"/>
      </w:r>
      <w:r w:rsidRPr="00D47CE7">
        <w:rPr>
          <w:rFonts w:hint="cs"/>
          <w:rtl/>
        </w:rPr>
        <w:t xml:space="preserve"> דכתב </w:t>
      </w:r>
      <w:r w:rsidRPr="00D47CE7">
        <w:rPr>
          <w:rStyle w:val="af8"/>
          <w:rFonts w:hint="cs"/>
          <w:rtl/>
        </w:rPr>
        <w:t>דלהר"ן</w:t>
      </w:r>
      <w:r w:rsidRPr="00D47CE7">
        <w:rPr>
          <w:rFonts w:hint="cs"/>
          <w:rtl/>
        </w:rPr>
        <w:t xml:space="preserve"> נותן טעם לפגם מותר אף כשאין רוב היתר</w:t>
      </w:r>
      <w:r>
        <w:rPr>
          <w:rFonts w:hint="cs"/>
          <w:rtl/>
        </w:rPr>
        <w:t xml:space="preserve">, וע"ע בדברי </w:t>
      </w:r>
      <w:r w:rsidRPr="00B15B3F">
        <w:rPr>
          <w:rStyle w:val="af8"/>
          <w:rFonts w:hint="cs"/>
          <w:rtl/>
        </w:rPr>
        <w:t>הר"ן בחי' לקמן</w:t>
      </w:r>
      <w:r>
        <w:rPr>
          <w:rFonts w:hint="cs"/>
          <w:rtl/>
        </w:rPr>
        <w:t xml:space="preserve"> </w:t>
      </w:r>
      <w:r w:rsidRPr="00B15B3F">
        <w:rPr>
          <w:rStyle w:val="af6"/>
          <w:rFonts w:eastAsia="Guttman Hodes" w:hint="cs"/>
          <w:rtl/>
        </w:rPr>
        <w:t xml:space="preserve">(עי' אות </w:t>
      </w:r>
      <w:r w:rsidRPr="00B15B3F">
        <w:rPr>
          <w:rStyle w:val="af6"/>
          <w:rFonts w:eastAsia="Guttman Hodes"/>
          <w:rtl/>
        </w:rPr>
        <w:fldChar w:fldCharType="begin"/>
      </w:r>
      <w:r w:rsidRPr="00B15B3F">
        <w:rPr>
          <w:rStyle w:val="af6"/>
          <w:rFonts w:eastAsia="Guttman Hodes"/>
          <w:rtl/>
        </w:rPr>
        <w:instrText xml:space="preserve"> </w:instrText>
      </w:r>
      <w:r w:rsidRPr="00B15B3F">
        <w:rPr>
          <w:rStyle w:val="af6"/>
          <w:rFonts w:eastAsia="Guttman Hodes" w:hint="cs"/>
        </w:rPr>
        <w:instrText>REF</w:instrText>
      </w:r>
      <w:r w:rsidRPr="00B15B3F">
        <w:rPr>
          <w:rStyle w:val="af6"/>
          <w:rFonts w:eastAsia="Guttman Hodes" w:hint="cs"/>
          <w:rtl/>
        </w:rPr>
        <w:instrText xml:space="preserve"> _</w:instrText>
      </w:r>
      <w:r w:rsidRPr="00B15B3F">
        <w:rPr>
          <w:rStyle w:val="af6"/>
          <w:rFonts w:eastAsia="Guttman Hodes" w:hint="cs"/>
        </w:rPr>
        <w:instrText>Ref19439970 \r \h</w:instrText>
      </w:r>
      <w:r w:rsidRPr="00B15B3F">
        <w:rPr>
          <w:rStyle w:val="af6"/>
          <w:rFonts w:eastAsia="Guttman Hodes"/>
          <w:rtl/>
        </w:rPr>
        <w:instrText xml:space="preserve"> </w:instrText>
      </w:r>
      <w:r w:rsidRPr="00B15B3F">
        <w:rPr>
          <w:rStyle w:val="af6"/>
          <w:rFonts w:eastAsia="Guttman Hodes"/>
          <w:rtl/>
        </w:rPr>
      </w:r>
      <w:r w:rsidRPr="00B15B3F">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B15B3F">
        <w:rPr>
          <w:rStyle w:val="af6"/>
          <w:rFonts w:eastAsia="Guttman Hodes"/>
          <w:rtl/>
        </w:rPr>
        <w:fldChar w:fldCharType="end"/>
      </w:r>
      <w:r w:rsidRPr="00D47CE7">
        <w:rPr>
          <w:rFonts w:hint="cs"/>
          <w:rtl/>
        </w:rPr>
        <w:t>.</w:t>
      </w:r>
      <w:bookmarkEnd w:id="8856"/>
    </w:p>
    <w:p w:rsidR="007809D6" w:rsidRPr="00D47CE7" w:rsidRDefault="007809D6" w:rsidP="007809D6">
      <w:pPr>
        <w:pStyle w:val="a2"/>
        <w:rPr>
          <w:rtl/>
        </w:rPr>
      </w:pPr>
      <w:bookmarkStart w:id="8857" w:name="_Toc18397423"/>
      <w:bookmarkStart w:id="8858" w:name="_Toc18404146"/>
      <w:bookmarkStart w:id="8859" w:name="_Toc18481566"/>
      <w:r w:rsidRPr="00D47CE7">
        <w:rPr>
          <w:rFonts w:hint="cs"/>
          <w:rtl/>
        </w:rPr>
        <w:t>דברי היד יהודה דאף להר"ן דפגום במקצת נלמד מנבילה אם אין רוב היתר האיסור עצמו אוסר</w:t>
      </w:r>
      <w:bookmarkEnd w:id="8857"/>
      <w:bookmarkEnd w:id="8858"/>
      <w:bookmarkEnd w:id="8859"/>
    </w:p>
    <w:p w:rsidR="007809D6" w:rsidRDefault="007809D6" w:rsidP="009F44AF">
      <w:pPr>
        <w:pStyle w:val="a"/>
        <w:rPr>
          <w:rtl/>
        </w:rPr>
      </w:pPr>
      <w:bookmarkStart w:id="8860" w:name="_Ref18335405"/>
      <w:r w:rsidRPr="00D47CE7">
        <w:rPr>
          <w:rFonts w:hint="cs"/>
          <w:rtl/>
        </w:rPr>
        <w:t xml:space="preserve">וכ"כ </w:t>
      </w:r>
      <w:r w:rsidRPr="00D47CE7">
        <w:rPr>
          <w:rStyle w:val="af8"/>
          <w:rFonts w:hint="cs"/>
          <w:rtl/>
        </w:rPr>
        <w:t>היד יהודה</w:t>
      </w:r>
      <w:r w:rsidRPr="00D47CE7">
        <w:rPr>
          <w:rFonts w:hint="cs"/>
          <w:rtl/>
        </w:rPr>
        <w:t xml:space="preserve"> </w:t>
      </w:r>
      <w:r w:rsidRPr="00D47CE7">
        <w:rPr>
          <w:rStyle w:val="af6"/>
          <w:rFonts w:eastAsia="Guttman Hodes" w:hint="cs"/>
          <w:rtl/>
        </w:rPr>
        <w:t>(סי' ק"ג סק"ז)</w:t>
      </w:r>
      <w:r w:rsidRPr="00D47CE7">
        <w:rPr>
          <w:rFonts w:hint="cs"/>
          <w:rtl/>
        </w:rPr>
        <w:t xml:space="preserve"> דאף לדעת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47CE7">
        <w:rPr>
          <w:rStyle w:val="af6"/>
          <w:rFonts w:eastAsia="Guttman Hodes"/>
          <w:rtl/>
        </w:rPr>
        <w:fldChar w:fldCharType="end"/>
      </w:r>
      <w:r w:rsidRPr="00D47CE7">
        <w:rPr>
          <w:rFonts w:hint="cs"/>
          <w:rtl/>
        </w:rPr>
        <w:t xml:space="preserve"> דס"ל דההיתר בנותן טעם לפגם הוא מחמת שהטעם עצמו נלמד מנבילה שאינה ראויה לגר, ולא מדין ביטול ברוב, מ"מ מודה </w:t>
      </w:r>
      <w:r w:rsidRPr="00D47CE7">
        <w:rPr>
          <w:rStyle w:val="af8"/>
          <w:rFonts w:hint="cs"/>
          <w:rtl/>
        </w:rPr>
        <w:t>הר"ן לרשב"א</w:t>
      </w:r>
      <w:r w:rsidRPr="00D47CE7">
        <w:rPr>
          <w:rFonts w:hint="cs"/>
          <w:rtl/>
        </w:rPr>
        <w:t xml:space="preserve"> </w:t>
      </w:r>
      <w:r w:rsidRPr="00D47CE7">
        <w:rPr>
          <w:rStyle w:val="af6"/>
          <w:rFonts w:eastAsia="Guttman Rashi"/>
          <w:rtl/>
        </w:rPr>
        <w:t xml:space="preserve">(עי' אות </w:t>
      </w:r>
      <w:r w:rsidRPr="00D47CE7">
        <w:rPr>
          <w:rStyle w:val="af6"/>
          <w:rFonts w:eastAsia="Guttman Rashi"/>
          <w:cs/>
        </w:rPr>
        <w:t>‎</w:t>
      </w:r>
      <w:r w:rsidRPr="00D47CE7">
        <w:rPr>
          <w:rStyle w:val="af6"/>
          <w:rFonts w:eastAsia="Guttman Rashi"/>
          <w:rtl/>
        </w:rPr>
        <w:fldChar w:fldCharType="begin"/>
      </w:r>
      <w:r w:rsidRPr="00D47CE7">
        <w:rPr>
          <w:rStyle w:val="af6"/>
          <w:rFonts w:eastAsia="Guttman Rashi"/>
          <w:rtl/>
        </w:rPr>
        <w:instrText xml:space="preserve"> </w:instrText>
      </w:r>
      <w:r w:rsidRPr="00D47CE7">
        <w:rPr>
          <w:rStyle w:val="af6"/>
          <w:rFonts w:eastAsia="Guttman Rashi" w:hint="cs"/>
        </w:rPr>
        <w:instrText>REF</w:instrText>
      </w:r>
      <w:r w:rsidRPr="00D47CE7">
        <w:rPr>
          <w:rStyle w:val="af6"/>
          <w:rFonts w:eastAsia="Guttman Rashi" w:hint="cs"/>
          <w:rtl/>
        </w:rPr>
        <w:instrText xml:space="preserve"> _</w:instrText>
      </w:r>
      <w:r w:rsidRPr="00D47CE7">
        <w:rPr>
          <w:rStyle w:val="af6"/>
          <w:rFonts w:eastAsia="Guttman Rashi" w:hint="cs"/>
        </w:rPr>
        <w:instrText>Ref18228077 \r \h</w:instrText>
      </w:r>
      <w:r w:rsidRPr="00D47CE7">
        <w:rPr>
          <w:rStyle w:val="af6"/>
          <w:rFonts w:eastAsia="Guttman Rashi"/>
          <w:rtl/>
        </w:rPr>
        <w:instrText xml:space="preserve">  \* </w:instrText>
      </w:r>
      <w:r w:rsidRPr="00D47CE7">
        <w:rPr>
          <w:rStyle w:val="af6"/>
          <w:rFonts w:eastAsia="Guttman Rashi"/>
        </w:rPr>
        <w:instrText>MERGEFORMAT</w:instrText>
      </w:r>
      <w:r w:rsidRPr="00D47CE7">
        <w:rPr>
          <w:rStyle w:val="af6"/>
          <w:rFonts w:eastAsia="Guttman Rashi"/>
          <w:rtl/>
        </w:rPr>
        <w:instrText xml:space="preserve"> </w:instrText>
      </w:r>
      <w:r w:rsidRPr="00D47CE7">
        <w:rPr>
          <w:rStyle w:val="af6"/>
          <w:rFonts w:eastAsia="Guttman Rashi"/>
          <w:rtl/>
        </w:rPr>
      </w:r>
      <w:r w:rsidRPr="00D47CE7">
        <w:rPr>
          <w:rStyle w:val="af6"/>
          <w:rFonts w:eastAsia="Guttman Rashi"/>
          <w:rtl/>
        </w:rPr>
        <w:fldChar w:fldCharType="separate"/>
      </w:r>
      <w:r w:rsidR="004D1C5B">
        <w:rPr>
          <w:rStyle w:val="af6"/>
          <w:rFonts w:eastAsia="Guttman Rashi"/>
          <w:cs/>
        </w:rPr>
        <w:t>‎</w:t>
      </w:r>
      <w:r w:rsidR="004D1C5B">
        <w:rPr>
          <w:rStyle w:val="af6"/>
          <w:rFonts w:eastAsia="Guttman Rashi"/>
          <w:rtl/>
        </w:rPr>
        <w:t>יז)</w:t>
      </w:r>
      <w:r w:rsidRPr="00D47CE7">
        <w:rPr>
          <w:rStyle w:val="af6"/>
          <w:rFonts w:eastAsia="Guttman Rashi"/>
          <w:rtl/>
        </w:rPr>
        <w:fldChar w:fldCharType="end"/>
      </w:r>
      <w:r w:rsidRPr="00D47CE7">
        <w:rPr>
          <w:rStyle w:val="af6"/>
          <w:rFonts w:eastAsia="Guttman Rashi" w:hint="cs"/>
          <w:rtl/>
        </w:rPr>
        <w:t xml:space="preserve"> </w:t>
      </w:r>
      <w:r w:rsidRPr="00D47CE7">
        <w:rPr>
          <w:rFonts w:hint="cs"/>
          <w:rtl/>
        </w:rPr>
        <w:t>דההיתר הוא רק כשיש רוב היתר והאיסור אינו ניכר, דאי אין רוב בהיתר או שהוא ניכר, אף שאינו אוסר את התערובת, מ"מ הוא מצד עצמו אסור</w:t>
      </w:r>
      <w:r>
        <w:rPr>
          <w:rFonts w:hint="cs"/>
          <w:rtl/>
        </w:rPr>
        <w:t xml:space="preserve">, וע"ע בדברי </w:t>
      </w:r>
      <w:r w:rsidRPr="00B15B3F">
        <w:rPr>
          <w:rStyle w:val="af8"/>
          <w:rFonts w:hint="cs"/>
          <w:rtl/>
        </w:rPr>
        <w:t>הר"ן בחי' לקמן</w:t>
      </w:r>
      <w:r>
        <w:rPr>
          <w:rFonts w:hint="cs"/>
          <w:rtl/>
        </w:rPr>
        <w:t xml:space="preserve"> </w:t>
      </w:r>
      <w:r w:rsidRPr="00B15B3F">
        <w:rPr>
          <w:rStyle w:val="af6"/>
          <w:rFonts w:eastAsia="Guttman Hodes" w:hint="cs"/>
          <w:rtl/>
        </w:rPr>
        <w:t xml:space="preserve">(עי' אות </w:t>
      </w:r>
      <w:r w:rsidRPr="00B15B3F">
        <w:rPr>
          <w:rStyle w:val="af6"/>
          <w:rFonts w:eastAsia="Guttman Hodes"/>
          <w:rtl/>
        </w:rPr>
        <w:fldChar w:fldCharType="begin"/>
      </w:r>
      <w:r w:rsidRPr="00B15B3F">
        <w:rPr>
          <w:rStyle w:val="af6"/>
          <w:rFonts w:eastAsia="Guttman Hodes"/>
          <w:rtl/>
        </w:rPr>
        <w:instrText xml:space="preserve"> </w:instrText>
      </w:r>
      <w:r w:rsidRPr="00B15B3F">
        <w:rPr>
          <w:rStyle w:val="af6"/>
          <w:rFonts w:eastAsia="Guttman Hodes" w:hint="cs"/>
        </w:rPr>
        <w:instrText>REF</w:instrText>
      </w:r>
      <w:r w:rsidRPr="00B15B3F">
        <w:rPr>
          <w:rStyle w:val="af6"/>
          <w:rFonts w:eastAsia="Guttman Hodes" w:hint="cs"/>
          <w:rtl/>
        </w:rPr>
        <w:instrText xml:space="preserve"> _</w:instrText>
      </w:r>
      <w:r w:rsidRPr="00B15B3F">
        <w:rPr>
          <w:rStyle w:val="af6"/>
          <w:rFonts w:eastAsia="Guttman Hodes" w:hint="cs"/>
        </w:rPr>
        <w:instrText>Ref19439970 \r \h</w:instrText>
      </w:r>
      <w:r w:rsidRPr="00B15B3F">
        <w:rPr>
          <w:rStyle w:val="af6"/>
          <w:rFonts w:eastAsia="Guttman Hodes"/>
          <w:rtl/>
        </w:rPr>
        <w:instrText xml:space="preserve"> </w:instrText>
      </w:r>
      <w:r w:rsidRPr="00B15B3F">
        <w:rPr>
          <w:rStyle w:val="af6"/>
          <w:rFonts w:eastAsia="Guttman Hodes"/>
          <w:rtl/>
        </w:rPr>
      </w:r>
      <w:r w:rsidRPr="00B15B3F">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B15B3F">
        <w:rPr>
          <w:rStyle w:val="af6"/>
          <w:rFonts w:eastAsia="Guttman Hodes"/>
          <w:rtl/>
        </w:rPr>
        <w:fldChar w:fldCharType="end"/>
      </w:r>
      <w:r w:rsidRPr="00D47CE7">
        <w:rPr>
          <w:rFonts w:hint="cs"/>
          <w:rtl/>
        </w:rPr>
        <w:t>.</w:t>
      </w:r>
      <w:bookmarkEnd w:id="8860"/>
    </w:p>
    <w:p w:rsidR="007809D6" w:rsidRPr="00D47CE7" w:rsidRDefault="007809D6" w:rsidP="007809D6">
      <w:pPr>
        <w:pStyle w:val="1"/>
        <w:rPr>
          <w:rtl/>
        </w:rPr>
      </w:pPr>
      <w:bookmarkStart w:id="8861" w:name="_Toc18266236"/>
      <w:bookmarkStart w:id="8862" w:name="_Toc18269147"/>
      <w:bookmarkStart w:id="8863" w:name="_Toc18323850"/>
      <w:bookmarkStart w:id="8864" w:name="_Toc18397424"/>
      <w:bookmarkStart w:id="8865" w:name="_Toc18404147"/>
      <w:bookmarkStart w:id="8866" w:name="_Toc18481567"/>
      <w:r w:rsidRPr="00D47CE7">
        <w:rPr>
          <w:rFonts w:hint="cs"/>
          <w:rtl/>
        </w:rPr>
        <w:t>דברי החזו"א בר"ן דמודה לרשב"א דנטל"פ מותר רק ברוב היתר</w:t>
      </w:r>
      <w:bookmarkEnd w:id="8861"/>
      <w:bookmarkEnd w:id="8862"/>
      <w:bookmarkEnd w:id="8863"/>
      <w:bookmarkEnd w:id="8864"/>
      <w:bookmarkEnd w:id="8865"/>
      <w:bookmarkEnd w:id="8866"/>
    </w:p>
    <w:p w:rsidR="007809D6" w:rsidRPr="00D47CE7" w:rsidRDefault="007809D6" w:rsidP="007809D6">
      <w:pPr>
        <w:pStyle w:val="a2"/>
      </w:pPr>
      <w:bookmarkStart w:id="8867" w:name="_Toc18323851"/>
      <w:bookmarkStart w:id="8868" w:name="_Toc18397425"/>
      <w:bookmarkStart w:id="8869" w:name="_Toc18404148"/>
      <w:bookmarkStart w:id="8870" w:name="_Toc18481568"/>
      <w:r w:rsidRPr="00D47CE7">
        <w:rPr>
          <w:rFonts w:hint="cs"/>
          <w:rtl/>
        </w:rPr>
        <w:t>דברי החזו"א בר"ן דרק כשהאיסור התבטל ברוב ההיתר ילפינן מנבילה דבאינו נהנה אין טע"כ</w:t>
      </w:r>
      <w:bookmarkEnd w:id="8867"/>
      <w:bookmarkEnd w:id="8868"/>
      <w:bookmarkEnd w:id="8869"/>
      <w:bookmarkEnd w:id="8870"/>
    </w:p>
    <w:p w:rsidR="007809D6" w:rsidRPr="00D47CE7" w:rsidRDefault="007809D6" w:rsidP="009F44AF">
      <w:pPr>
        <w:pStyle w:val="a"/>
        <w:rPr>
          <w:rtl/>
        </w:rPr>
      </w:pPr>
      <w:bookmarkStart w:id="8871" w:name="_Ref18321442"/>
      <w:r w:rsidRPr="00D47CE7">
        <w:rPr>
          <w:rFonts w:hint="cs"/>
          <w:rtl/>
        </w:rPr>
        <w:t xml:space="preserve">וכ"כ </w:t>
      </w:r>
      <w:r w:rsidRPr="00D47CE7">
        <w:rPr>
          <w:rStyle w:val="af8"/>
          <w:rFonts w:hint="cs"/>
          <w:rtl/>
        </w:rPr>
        <w:t>החזו"א</w:t>
      </w:r>
      <w:r w:rsidRPr="00D47CE7">
        <w:rPr>
          <w:rFonts w:hint="cs"/>
          <w:rtl/>
        </w:rPr>
        <w:t xml:space="preserve"> </w:t>
      </w:r>
      <w:r w:rsidRPr="00D47CE7">
        <w:rPr>
          <w:rStyle w:val="af6"/>
          <w:rFonts w:eastAsia="Guttman Hodes" w:hint="cs"/>
          <w:rtl/>
        </w:rPr>
        <w:t>(סי' ל' סק"ב)</w:t>
      </w:r>
      <w:r w:rsidRPr="00D47CE7">
        <w:rPr>
          <w:rFonts w:hint="cs"/>
          <w:rtl/>
        </w:rPr>
        <w:t xml:space="preserve"> דאעפ"י דכתב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47CE7">
        <w:rPr>
          <w:rStyle w:val="af6"/>
          <w:rFonts w:eastAsia="Guttman Hodes"/>
          <w:rtl/>
        </w:rPr>
        <w:fldChar w:fldCharType="end"/>
      </w:r>
      <w:r w:rsidRPr="00D47CE7">
        <w:rPr>
          <w:rFonts w:hint="cs"/>
          <w:rtl/>
        </w:rPr>
        <w:t xml:space="preserve"> דההיתר בנותן טעם לפגם הוא כיון שאינו נהנה מהאיסור אלא מצטער במה שהתערב, מ"מ מודה </w:t>
      </w:r>
      <w:r w:rsidRPr="00D47CE7">
        <w:rPr>
          <w:rStyle w:val="af8"/>
          <w:rFonts w:hint="cs"/>
          <w:rtl/>
        </w:rPr>
        <w:t>הר"ן</w:t>
      </w:r>
      <w:r w:rsidRPr="00D47CE7">
        <w:rPr>
          <w:rFonts w:hint="cs"/>
          <w:rtl/>
        </w:rPr>
        <w:t xml:space="preserve"> דבמקום שיש רוב באיסור כנגד ההיתר דאסור, דאף שניחא לו יותר בהיתר המועט מאשר באיסור המרובה שפוגם את ההיתר, מ"מ הוא אסור, וכתב </w:t>
      </w:r>
      <w:r w:rsidRPr="00D47CE7">
        <w:rPr>
          <w:rStyle w:val="af8"/>
          <w:rFonts w:hint="cs"/>
          <w:rtl/>
        </w:rPr>
        <w:t>החזו"א</w:t>
      </w:r>
      <w:r w:rsidRPr="00D47CE7">
        <w:rPr>
          <w:rFonts w:hint="cs"/>
          <w:rtl/>
        </w:rPr>
        <w:t xml:space="preserve"> דהילפותא מנבילה </w:t>
      </w:r>
      <w:r w:rsidRPr="00D47CE7">
        <w:rPr>
          <w:rFonts w:hint="cs"/>
          <w:rtl/>
        </w:rPr>
        <w:lastRenderedPageBreak/>
        <w:t>היא רק במקום שהאיסור התבטל ברוב ההיתר, וכ"מ שאפשר לאוסרו הוא מדין טעם כעיקר, ובכה"ג ילפינן מנבילה דבטעם פגום אין את המעלה של טעם כעיקר</w:t>
      </w:r>
      <w:r>
        <w:rPr>
          <w:rFonts w:hint="cs"/>
          <w:rtl/>
        </w:rPr>
        <w:t xml:space="preserve">, וע"ע בדברי </w:t>
      </w:r>
      <w:r w:rsidRPr="00B15B3F">
        <w:rPr>
          <w:rStyle w:val="af8"/>
          <w:rFonts w:hint="cs"/>
          <w:rtl/>
        </w:rPr>
        <w:t>הר"ן בחי' לקמן</w:t>
      </w:r>
      <w:r>
        <w:rPr>
          <w:rFonts w:hint="cs"/>
          <w:rtl/>
        </w:rPr>
        <w:t xml:space="preserve"> </w:t>
      </w:r>
      <w:r w:rsidRPr="00B15B3F">
        <w:rPr>
          <w:rStyle w:val="af6"/>
          <w:rFonts w:eastAsia="Guttman Hodes" w:hint="cs"/>
          <w:rtl/>
        </w:rPr>
        <w:t xml:space="preserve">(עי' אות </w:t>
      </w:r>
      <w:r w:rsidRPr="00B15B3F">
        <w:rPr>
          <w:rStyle w:val="af6"/>
          <w:rFonts w:eastAsia="Guttman Hodes"/>
          <w:rtl/>
        </w:rPr>
        <w:fldChar w:fldCharType="begin"/>
      </w:r>
      <w:r w:rsidRPr="00B15B3F">
        <w:rPr>
          <w:rStyle w:val="af6"/>
          <w:rFonts w:eastAsia="Guttman Hodes"/>
          <w:rtl/>
        </w:rPr>
        <w:instrText xml:space="preserve"> </w:instrText>
      </w:r>
      <w:r w:rsidRPr="00B15B3F">
        <w:rPr>
          <w:rStyle w:val="af6"/>
          <w:rFonts w:eastAsia="Guttman Hodes" w:hint="cs"/>
        </w:rPr>
        <w:instrText>REF</w:instrText>
      </w:r>
      <w:r w:rsidRPr="00B15B3F">
        <w:rPr>
          <w:rStyle w:val="af6"/>
          <w:rFonts w:eastAsia="Guttman Hodes" w:hint="cs"/>
          <w:rtl/>
        </w:rPr>
        <w:instrText xml:space="preserve"> _</w:instrText>
      </w:r>
      <w:r w:rsidRPr="00B15B3F">
        <w:rPr>
          <w:rStyle w:val="af6"/>
          <w:rFonts w:eastAsia="Guttman Hodes" w:hint="cs"/>
        </w:rPr>
        <w:instrText>Ref19439970 \r \h</w:instrText>
      </w:r>
      <w:r w:rsidRPr="00B15B3F">
        <w:rPr>
          <w:rStyle w:val="af6"/>
          <w:rFonts w:eastAsia="Guttman Hodes"/>
          <w:rtl/>
        </w:rPr>
        <w:instrText xml:space="preserve"> </w:instrText>
      </w:r>
      <w:r w:rsidRPr="00B15B3F">
        <w:rPr>
          <w:rStyle w:val="af6"/>
          <w:rFonts w:eastAsia="Guttman Hodes"/>
          <w:rtl/>
        </w:rPr>
      </w:r>
      <w:r w:rsidRPr="00B15B3F">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B15B3F">
        <w:rPr>
          <w:rStyle w:val="af6"/>
          <w:rFonts w:eastAsia="Guttman Hodes"/>
          <w:rtl/>
        </w:rPr>
        <w:fldChar w:fldCharType="end"/>
      </w:r>
      <w:r w:rsidRPr="00D47CE7">
        <w:rPr>
          <w:rFonts w:hint="cs"/>
          <w:rtl/>
        </w:rPr>
        <w:t>.</w:t>
      </w:r>
      <w:bookmarkEnd w:id="8871"/>
    </w:p>
    <w:p w:rsidR="007809D6" w:rsidRPr="00D47CE7" w:rsidRDefault="007809D6" w:rsidP="007809D6">
      <w:pPr>
        <w:pStyle w:val="a2"/>
        <w:rPr>
          <w:rtl/>
        </w:rPr>
      </w:pPr>
      <w:bookmarkStart w:id="8872" w:name="_Toc18323852"/>
      <w:bookmarkStart w:id="8873" w:name="_Toc18397426"/>
      <w:bookmarkStart w:id="8874" w:name="_Toc18404149"/>
      <w:bookmarkStart w:id="8875" w:name="_Toc18481569"/>
      <w:r w:rsidRPr="00D47CE7">
        <w:rPr>
          <w:rFonts w:hint="cs"/>
          <w:rtl/>
        </w:rPr>
        <w:t>ביאור החזו"א בר"ן דבאיסור מרובה חשיב כאוכל את האיסור ומנבילה ילפינן רק להתיר טע"כ</w:t>
      </w:r>
      <w:bookmarkEnd w:id="8872"/>
      <w:bookmarkEnd w:id="8873"/>
      <w:bookmarkEnd w:id="8874"/>
      <w:bookmarkEnd w:id="8875"/>
    </w:p>
    <w:p w:rsidR="00AD5801" w:rsidRDefault="007809D6" w:rsidP="009F44AF">
      <w:pPr>
        <w:pStyle w:val="a"/>
        <w:rPr>
          <w:rStyle w:val="afa"/>
          <w:rtl/>
        </w:rPr>
      </w:pPr>
      <w:r w:rsidRPr="00D47CE7">
        <w:rPr>
          <w:rFonts w:hint="cs"/>
          <w:rtl/>
        </w:rPr>
        <w:t xml:space="preserve">וביאר </w:t>
      </w:r>
      <w:r w:rsidRPr="00D47CE7">
        <w:rPr>
          <w:rStyle w:val="af8"/>
          <w:rFonts w:hint="cs"/>
          <w:rtl/>
        </w:rPr>
        <w:t>החזו"א</w:t>
      </w:r>
      <w:r w:rsidRPr="00D47CE7">
        <w:rPr>
          <w:rFonts w:hint="cs"/>
          <w:rtl/>
        </w:rPr>
        <w:t xml:space="preserve"> דכל כוונת </w:t>
      </w:r>
      <w:r w:rsidRPr="00D47CE7">
        <w:rPr>
          <w:rStyle w:val="af8"/>
          <w:rFonts w:hint="cs"/>
          <w:rtl/>
        </w:rPr>
        <w:t>הר"ן</w:t>
      </w:r>
      <w:r w:rsidRPr="00D47CE7">
        <w:rPr>
          <w:rFonts w:hint="cs"/>
          <w:rtl/>
        </w:rPr>
        <w:t xml:space="preserve"> היא לבאר את הילפותא להיתר נותן טעם לפגם בתערובת בפגום במקצת, מנבילה שאינה ראויה לגר דמותרת כשהיא בעין, דבטעם פגום א"א לאסור מחמתו את ההיתר כיון שהוא פוגם אותו, אבל במקום שהאיסור הוא מרובה, א"כ כל אכילת התערובת חשיבא כאכילת האיסור עצמו. </w:t>
      </w:r>
      <w:r w:rsidRPr="00D47CE7">
        <w:rPr>
          <w:rStyle w:val="afa"/>
          <w:rFonts w:hint="cs"/>
          <w:rtl/>
        </w:rPr>
        <w:t xml:space="preserve">[והוסיף </w:t>
      </w:r>
      <w:r w:rsidRPr="00D47CE7">
        <w:rPr>
          <w:rStyle w:val="affa"/>
          <w:rFonts w:hint="cs"/>
          <w:rtl/>
        </w:rPr>
        <w:t>החזו"א</w:t>
      </w:r>
      <w:r w:rsidRPr="00D47CE7">
        <w:rPr>
          <w:rStyle w:val="afa"/>
          <w:rFonts w:hint="cs"/>
          <w:rtl/>
        </w:rPr>
        <w:t xml:space="preserve"> דא"א לומר דחשיב כאכילה גסה, דא"כ א"א ללמוד היתר נותן טעם לפגם מנבילה דהא היא אכילה גסה].</w:t>
      </w:r>
    </w:p>
    <w:p w:rsidR="007809D6" w:rsidRPr="00D47CE7" w:rsidRDefault="007809D6" w:rsidP="007809D6">
      <w:pPr>
        <w:pStyle w:val="a2"/>
        <w:rPr>
          <w:rtl/>
        </w:rPr>
      </w:pPr>
      <w:bookmarkStart w:id="8876" w:name="_Toc18323853"/>
      <w:bookmarkStart w:id="8877" w:name="_Toc18397427"/>
      <w:bookmarkStart w:id="8878" w:name="_Toc18404150"/>
      <w:bookmarkStart w:id="8879" w:name="_Toc18481570"/>
      <w:r w:rsidRPr="00D47CE7">
        <w:rPr>
          <w:rFonts w:hint="cs"/>
          <w:rtl/>
        </w:rPr>
        <w:t>דברי החזו"א דכן מוכח מהא דלא חלק הר"ן בפירוש על דברי הרשב"א שצריך רוב היתר</w:t>
      </w:r>
      <w:bookmarkEnd w:id="8876"/>
      <w:bookmarkEnd w:id="8877"/>
      <w:bookmarkEnd w:id="8878"/>
      <w:bookmarkEnd w:id="8879"/>
    </w:p>
    <w:p w:rsidR="007809D6" w:rsidRPr="00D47CE7" w:rsidRDefault="007809D6" w:rsidP="009F44AF">
      <w:pPr>
        <w:pStyle w:val="a"/>
        <w:rPr>
          <w:rtl/>
        </w:rPr>
      </w:pPr>
      <w:r w:rsidRPr="00D47CE7">
        <w:rPr>
          <w:rFonts w:hint="cs"/>
          <w:rtl/>
        </w:rPr>
        <w:t xml:space="preserve">וכתב </w:t>
      </w:r>
      <w:r w:rsidRPr="00D47CE7">
        <w:rPr>
          <w:rStyle w:val="af8"/>
          <w:rFonts w:hint="cs"/>
          <w:rtl/>
        </w:rPr>
        <w:t>החזו"א</w:t>
      </w:r>
      <w:r w:rsidRPr="00D47CE7">
        <w:rPr>
          <w:rFonts w:hint="cs"/>
          <w:rtl/>
        </w:rPr>
        <w:t xml:space="preserve"> דכן מוכח בדברי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Ref17984155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D47CE7">
        <w:rPr>
          <w:rStyle w:val="af6"/>
          <w:rFonts w:eastAsia="Guttman Hodes"/>
          <w:rtl/>
        </w:rPr>
        <w:fldChar w:fldCharType="end"/>
      </w:r>
      <w:r w:rsidRPr="00D47CE7">
        <w:rPr>
          <w:rFonts w:hint="cs"/>
          <w:rtl/>
        </w:rPr>
        <w:t xml:space="preserve"> דהביא בסוף דבריו את דברי </w:t>
      </w:r>
      <w:r w:rsidRPr="00D47CE7">
        <w:rPr>
          <w:rStyle w:val="af8"/>
          <w:rFonts w:hint="cs"/>
          <w:rtl/>
        </w:rPr>
        <w:t>הרשב"א</w:t>
      </w:r>
      <w:r w:rsidRPr="00D47CE7">
        <w:rPr>
          <w:rFonts w:hint="cs"/>
          <w:rtl/>
        </w:rPr>
        <w:t xml:space="preserve"> דהתיר בנותן טעם לפגם בהיתר מרובה, ונחלק </w:t>
      </w:r>
      <w:r w:rsidRPr="00D47CE7">
        <w:rPr>
          <w:rStyle w:val="af8"/>
          <w:rFonts w:hint="cs"/>
          <w:rtl/>
        </w:rPr>
        <w:t>הר"ן</w:t>
      </w:r>
      <w:r w:rsidRPr="00D47CE7">
        <w:rPr>
          <w:rFonts w:hint="cs"/>
          <w:rtl/>
        </w:rPr>
        <w:t xml:space="preserve"> על </w:t>
      </w:r>
      <w:r w:rsidRPr="00D47CE7">
        <w:rPr>
          <w:rStyle w:val="af8"/>
          <w:rFonts w:hint="cs"/>
          <w:rtl/>
        </w:rPr>
        <w:t>הרשב"א</w:t>
      </w:r>
      <w:r w:rsidRPr="00D47CE7">
        <w:rPr>
          <w:rFonts w:hint="cs"/>
          <w:rtl/>
        </w:rPr>
        <w:t xml:space="preserve"> ואסר במקום שהאיסור הגדיל את מידת ההיתר אף שההיתר מרובה, וכתב </w:t>
      </w:r>
      <w:r w:rsidRPr="00D47CE7">
        <w:rPr>
          <w:rStyle w:val="af8"/>
          <w:rFonts w:hint="cs"/>
          <w:rtl/>
        </w:rPr>
        <w:t>החזו"א</w:t>
      </w:r>
      <w:r w:rsidRPr="00D47CE7">
        <w:rPr>
          <w:rFonts w:hint="cs"/>
          <w:rtl/>
        </w:rPr>
        <w:t xml:space="preserve"> דמדלא הביא </w:t>
      </w:r>
      <w:r w:rsidRPr="00D47CE7">
        <w:rPr>
          <w:rStyle w:val="af8"/>
          <w:rFonts w:hint="cs"/>
          <w:rtl/>
        </w:rPr>
        <w:t>הר"ן</w:t>
      </w:r>
      <w:r w:rsidRPr="00D47CE7">
        <w:rPr>
          <w:rFonts w:hint="cs"/>
          <w:rtl/>
        </w:rPr>
        <w:t xml:space="preserve"> את דברי </w:t>
      </w:r>
      <w:r w:rsidRPr="00D47CE7">
        <w:rPr>
          <w:rStyle w:val="af8"/>
          <w:rFonts w:hint="cs"/>
          <w:rtl/>
        </w:rPr>
        <w:t>הרשב"א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Ref18320646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D47CE7">
        <w:rPr>
          <w:rStyle w:val="af6"/>
          <w:rFonts w:eastAsia="Guttman Hodes"/>
          <w:rtl/>
        </w:rPr>
        <w:fldChar w:fldCharType="end"/>
      </w:r>
      <w:r w:rsidRPr="00D47CE7">
        <w:rPr>
          <w:rFonts w:hint="cs"/>
          <w:rtl/>
        </w:rPr>
        <w:t xml:space="preserve"> דכתב שם דכל שהאיסור מרובה אסור אף בנותן טעם לפגם, א"כ מבואר דנחלק </w:t>
      </w:r>
      <w:r w:rsidRPr="00D47CE7">
        <w:rPr>
          <w:rStyle w:val="af8"/>
          <w:rFonts w:hint="cs"/>
          <w:rtl/>
        </w:rPr>
        <w:t>הר"ן</w:t>
      </w:r>
      <w:r w:rsidRPr="00D47CE7">
        <w:rPr>
          <w:rFonts w:hint="cs"/>
          <w:rtl/>
        </w:rPr>
        <w:t xml:space="preserve"> על </w:t>
      </w:r>
      <w:r w:rsidRPr="00D47CE7">
        <w:rPr>
          <w:rStyle w:val="af8"/>
          <w:rFonts w:hint="cs"/>
          <w:rtl/>
        </w:rPr>
        <w:t>הרשב"א</w:t>
      </w:r>
      <w:r w:rsidRPr="00D47CE7">
        <w:rPr>
          <w:rFonts w:hint="cs"/>
          <w:rtl/>
        </w:rPr>
        <w:t xml:space="preserve"> רק רק בהיתר מרובה, אבל במקום שיש רוב איסור מודה </w:t>
      </w:r>
      <w:r w:rsidRPr="00D47CE7">
        <w:rPr>
          <w:rStyle w:val="af8"/>
          <w:rFonts w:hint="cs"/>
          <w:rtl/>
        </w:rPr>
        <w:t>הר"ן להרשב"א</w:t>
      </w:r>
      <w:r w:rsidRPr="00D47CE7">
        <w:rPr>
          <w:rFonts w:hint="cs"/>
          <w:rtl/>
        </w:rPr>
        <w:t xml:space="preserve"> דאסור. </w:t>
      </w:r>
    </w:p>
    <w:p w:rsidR="007809D6" w:rsidRPr="00D47CE7" w:rsidRDefault="007809D6" w:rsidP="007809D6">
      <w:pPr>
        <w:pStyle w:val="a2"/>
        <w:rPr>
          <w:rtl/>
        </w:rPr>
      </w:pPr>
      <w:bookmarkStart w:id="8880" w:name="_Toc18323854"/>
      <w:bookmarkStart w:id="8881" w:name="_Toc18397428"/>
      <w:bookmarkStart w:id="8882" w:name="_Toc18404151"/>
      <w:bookmarkStart w:id="8883" w:name="_Toc18481571"/>
      <w:r w:rsidRPr="00D47CE7">
        <w:rPr>
          <w:rFonts w:hint="cs"/>
          <w:rtl/>
        </w:rPr>
        <w:t>דברי החזו"א דמדברי הר"ן באיסור מאוס מוכח דנטל"פ מותר רק ברוב היתר אף דאינו נהנה</w:t>
      </w:r>
      <w:bookmarkEnd w:id="8880"/>
      <w:bookmarkEnd w:id="8881"/>
      <w:bookmarkEnd w:id="8882"/>
      <w:bookmarkEnd w:id="8883"/>
    </w:p>
    <w:p w:rsidR="007809D6" w:rsidRPr="00D47CE7" w:rsidRDefault="007809D6" w:rsidP="009F44AF">
      <w:pPr>
        <w:pStyle w:val="a"/>
        <w:rPr>
          <w:sz w:val="10"/>
          <w:szCs w:val="14"/>
        </w:rPr>
      </w:pPr>
      <w:r w:rsidRPr="00D47CE7">
        <w:rPr>
          <w:rFonts w:hint="cs"/>
          <w:rtl/>
        </w:rPr>
        <w:t xml:space="preserve">וכתב </w:t>
      </w:r>
      <w:r w:rsidRPr="00D47CE7">
        <w:rPr>
          <w:rStyle w:val="af8"/>
          <w:rFonts w:hint="cs"/>
          <w:rtl/>
        </w:rPr>
        <w:t>החזו"א</w:t>
      </w:r>
      <w:r w:rsidRPr="00D47CE7">
        <w:rPr>
          <w:rFonts w:hint="cs"/>
          <w:rtl/>
        </w:rPr>
        <w:t xml:space="preserve"> </w:t>
      </w:r>
      <w:r w:rsidRPr="00D47CE7">
        <w:rPr>
          <w:rStyle w:val="af6"/>
          <w:rFonts w:eastAsia="Guttman Hodes" w:hint="cs"/>
          <w:rtl/>
        </w:rPr>
        <w:t>(סי' ל' סק"ב ד"ה ובאיסור)</w:t>
      </w:r>
      <w:r w:rsidRPr="00D47CE7">
        <w:rPr>
          <w:rFonts w:hint="cs"/>
          <w:rtl/>
        </w:rPr>
        <w:t xml:space="preserve"> דכן מוכח מדברי </w:t>
      </w:r>
      <w:r w:rsidRPr="00D47CE7">
        <w:rPr>
          <w:rStyle w:val="af8"/>
          <w:rFonts w:hint="cs"/>
          <w:rtl/>
        </w:rPr>
        <w:t>הר"ן על הרי"ף</w:t>
      </w:r>
      <w:r>
        <w:rPr>
          <w:rFonts w:hint="cs"/>
          <w:rtl/>
        </w:rPr>
        <w:t xml:space="preserve"> </w:t>
      </w:r>
      <w:r w:rsidRPr="00D47CE7">
        <w:rPr>
          <w:rStyle w:val="af6"/>
          <w:rFonts w:eastAsia="Guttman Hodes" w:hint="cs"/>
          <w:rtl/>
        </w:rPr>
        <w:t>(לב: ד"ה אי)</w:t>
      </w:r>
      <w:r w:rsidRPr="00D47CE7">
        <w:rPr>
          <w:rFonts w:hint="cs"/>
          <w:rtl/>
        </w:rPr>
        <w:t xml:space="preserve"> דכתב להדיא דבאיסור שמאוס מעיקרו כעכברא בשיכרא, ההיתר בנותן טעם לפגם, הוא רק במקום שיש רוב היתר והאיסור התבטל ברוב, </w:t>
      </w:r>
      <w:r w:rsidRPr="00D47CE7">
        <w:rPr>
          <w:rStyle w:val="afa"/>
          <w:rFonts w:hint="cs"/>
          <w:rtl/>
        </w:rPr>
        <w:t>[בנימוח גוף האיסור],</w:t>
      </w:r>
      <w:r w:rsidRPr="00D47CE7">
        <w:rPr>
          <w:rFonts w:hint="cs"/>
          <w:rtl/>
        </w:rPr>
        <w:t xml:space="preserve"> והקשה </w:t>
      </w:r>
      <w:r w:rsidRPr="00D47CE7">
        <w:rPr>
          <w:rStyle w:val="af8"/>
          <w:rFonts w:hint="cs"/>
          <w:rtl/>
        </w:rPr>
        <w:t>החזו"א</w:t>
      </w:r>
      <w:r w:rsidRPr="00D47CE7">
        <w:rPr>
          <w:rFonts w:hint="cs"/>
          <w:rtl/>
        </w:rPr>
        <w:t xml:space="preserve"> דהרי אף בטעם שמאוס מעיקרו נותן טעם לפגם מותר, וכיון דס"ל </w:t>
      </w:r>
      <w:r w:rsidRPr="00D47CE7">
        <w:rPr>
          <w:rStyle w:val="af8"/>
          <w:rFonts w:hint="cs"/>
          <w:rtl/>
        </w:rPr>
        <w:t>להר"ן</w:t>
      </w:r>
      <w:r w:rsidRPr="00D47CE7">
        <w:rPr>
          <w:rFonts w:hint="cs"/>
          <w:rtl/>
        </w:rPr>
        <w:t xml:space="preserve"> דבדין טעם כעיקר לא חידשה תורה דטעם פגום נחשב כטעם, א"כ אף במקום שיש רוב איסור היה צריך להיות מותר באיסור מאוס, כיון דלא ניחא ליה באיסור ודעתו היא רק על ההיתר, אלא כתב </w:t>
      </w:r>
      <w:r w:rsidRPr="00D47CE7">
        <w:rPr>
          <w:rStyle w:val="af8"/>
          <w:rFonts w:hint="cs"/>
          <w:rtl/>
        </w:rPr>
        <w:t xml:space="preserve">החזו"א </w:t>
      </w:r>
      <w:r w:rsidRPr="00D47CE7">
        <w:rPr>
          <w:rFonts w:hint="cs"/>
          <w:rtl/>
        </w:rPr>
        <w:t xml:space="preserve">דמוכח דכוונת </w:t>
      </w:r>
      <w:r w:rsidRPr="00D47CE7">
        <w:rPr>
          <w:rStyle w:val="af8"/>
          <w:rFonts w:hint="cs"/>
          <w:rtl/>
        </w:rPr>
        <w:t xml:space="preserve">הר"ן </w:t>
      </w:r>
      <w:r w:rsidRPr="00D47CE7">
        <w:rPr>
          <w:rFonts w:hint="cs"/>
          <w:rtl/>
        </w:rPr>
        <w:t xml:space="preserve">רק לבאר דנותן טעם לפגם אינו בכלל דין טעם כעיקר, אבל במקום שיש רוב איסור, מודה </w:t>
      </w:r>
      <w:r w:rsidRPr="00D47CE7">
        <w:rPr>
          <w:rStyle w:val="af8"/>
          <w:rFonts w:hint="cs"/>
          <w:rtl/>
        </w:rPr>
        <w:t xml:space="preserve">הר"ן להרשב"א </w:t>
      </w:r>
      <w:r w:rsidRPr="00D47CE7">
        <w:rPr>
          <w:rFonts w:hint="cs"/>
          <w:rtl/>
        </w:rPr>
        <w:t xml:space="preserve">דאין היתר בנותן טעם לפגם, וכוונת </w:t>
      </w:r>
      <w:r w:rsidRPr="00D47CE7">
        <w:rPr>
          <w:rStyle w:val="af8"/>
          <w:rFonts w:hint="cs"/>
          <w:rtl/>
        </w:rPr>
        <w:t xml:space="preserve">הר"ן </w:t>
      </w:r>
      <w:r w:rsidRPr="00D47CE7">
        <w:rPr>
          <w:rFonts w:hint="cs"/>
          <w:rtl/>
        </w:rPr>
        <w:t xml:space="preserve">לבאר כהרשב"א, ודלא כדברי </w:t>
      </w:r>
      <w:r w:rsidRPr="00D47CE7">
        <w:rPr>
          <w:rStyle w:val="af8"/>
          <w:rFonts w:hint="cs"/>
          <w:rtl/>
        </w:rPr>
        <w:t>הגרעק"א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Ref18320992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D47CE7">
        <w:rPr>
          <w:rStyle w:val="af6"/>
          <w:rFonts w:eastAsia="Guttman Hodes"/>
          <w:rtl/>
        </w:rPr>
        <w:fldChar w:fldCharType="end"/>
      </w:r>
      <w:r w:rsidRPr="00D47CE7">
        <w:rPr>
          <w:rFonts w:hint="cs"/>
          <w:rtl/>
        </w:rPr>
        <w:t xml:space="preserve"> דכתב </w:t>
      </w:r>
      <w:r w:rsidRPr="00D47CE7">
        <w:rPr>
          <w:rStyle w:val="af8"/>
          <w:rFonts w:hint="cs"/>
          <w:rtl/>
        </w:rPr>
        <w:t>דלהר"ן</w:t>
      </w:r>
      <w:r w:rsidRPr="00D47CE7">
        <w:rPr>
          <w:rFonts w:hint="cs"/>
          <w:rtl/>
        </w:rPr>
        <w:t xml:space="preserve"> נותן טעם לפגם מותר אף כשאין רוב היתר.</w:t>
      </w:r>
    </w:p>
    <w:p w:rsidR="007809D6" w:rsidRPr="00D47CE7" w:rsidRDefault="007809D6" w:rsidP="007809D6">
      <w:pPr>
        <w:pStyle w:val="1"/>
        <w:rPr>
          <w:rtl/>
        </w:rPr>
      </w:pPr>
      <w:bookmarkStart w:id="8884" w:name="_Toc18323855"/>
      <w:bookmarkStart w:id="8885" w:name="_Toc18397429"/>
      <w:bookmarkStart w:id="8886" w:name="_Toc18404152"/>
      <w:bookmarkStart w:id="8887" w:name="_Toc18481572"/>
      <w:r w:rsidRPr="00D47CE7">
        <w:rPr>
          <w:rFonts w:hint="cs"/>
          <w:rtl/>
        </w:rPr>
        <w:t>ביאור היד יהודה בר"ן</w:t>
      </w:r>
      <w:bookmarkEnd w:id="8842"/>
      <w:bookmarkEnd w:id="8843"/>
      <w:bookmarkEnd w:id="8844"/>
      <w:bookmarkEnd w:id="8845"/>
      <w:bookmarkEnd w:id="8846"/>
      <w:bookmarkEnd w:id="8847"/>
      <w:bookmarkEnd w:id="8848"/>
      <w:bookmarkEnd w:id="8849"/>
      <w:bookmarkEnd w:id="8850"/>
      <w:bookmarkEnd w:id="8884"/>
      <w:r w:rsidRPr="00D47CE7">
        <w:rPr>
          <w:rFonts w:hint="cs"/>
          <w:rtl/>
        </w:rPr>
        <w:t xml:space="preserve"> דטעם מותר גורם שהאיסור לא יתבטל</w:t>
      </w:r>
      <w:bookmarkEnd w:id="8885"/>
      <w:bookmarkEnd w:id="8886"/>
      <w:bookmarkEnd w:id="8887"/>
    </w:p>
    <w:p w:rsidR="007809D6" w:rsidRPr="00D47CE7" w:rsidRDefault="007809D6" w:rsidP="007809D6">
      <w:pPr>
        <w:pStyle w:val="a2"/>
      </w:pPr>
      <w:bookmarkStart w:id="8888" w:name="_Toc18397430"/>
      <w:bookmarkStart w:id="8889" w:name="_Toc18404153"/>
      <w:bookmarkStart w:id="8890" w:name="_Toc18481573"/>
      <w:r w:rsidRPr="00D47CE7">
        <w:rPr>
          <w:rFonts w:hint="cs"/>
          <w:rtl/>
        </w:rPr>
        <w:t>ביאור היד יהודה בר"ן דאף בטעם מותר ל"מ ביטול ברוב וכטעמו וממשו למ"ד דטע"כ דרבנן</w:t>
      </w:r>
      <w:bookmarkEnd w:id="8888"/>
      <w:bookmarkEnd w:id="8889"/>
      <w:bookmarkEnd w:id="8890"/>
    </w:p>
    <w:p w:rsidR="007809D6" w:rsidRPr="00D47CE7" w:rsidRDefault="007809D6" w:rsidP="009F44AF">
      <w:pPr>
        <w:pStyle w:val="a"/>
        <w:rPr>
          <w:rtl/>
        </w:rPr>
      </w:pPr>
      <w:bookmarkStart w:id="8891" w:name="_Ref16849794"/>
      <w:bookmarkStart w:id="8892" w:name="_Ref18479166"/>
      <w:r w:rsidRPr="00D47CE7">
        <w:rPr>
          <w:rFonts w:hint="cs"/>
          <w:rtl/>
        </w:rPr>
        <w:t xml:space="preserve">במה שהקשה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Ref15987023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D47CE7">
        <w:rPr>
          <w:rStyle w:val="af6"/>
          <w:rFonts w:eastAsia="Guttman Hodes"/>
          <w:rtl/>
        </w:rPr>
        <w:fldChar w:fldCharType="end"/>
      </w:r>
      <w:r w:rsidRPr="00D47CE7">
        <w:rPr>
          <w:rFonts w:hint="cs"/>
          <w:rtl/>
        </w:rPr>
        <w:t xml:space="preserve"> דהיאך ילפינן את דין נותן טעם לפגם כשהוא ראוי לאכילה, מנבילה שאינה ראויה לאכילה, ביאר </w:t>
      </w:r>
      <w:r w:rsidRPr="00D47CE7">
        <w:rPr>
          <w:rStyle w:val="af8"/>
          <w:rFonts w:hint="cs"/>
          <w:rtl/>
        </w:rPr>
        <w:t>היד יהודה</w:t>
      </w:r>
      <w:r w:rsidRPr="00D47CE7">
        <w:rPr>
          <w:rFonts w:hint="cs"/>
          <w:rtl/>
        </w:rPr>
        <w:t xml:space="preserve"> </w:t>
      </w:r>
      <w:r w:rsidRPr="00D47CE7">
        <w:rPr>
          <w:rStyle w:val="af6"/>
          <w:rFonts w:eastAsia="Guttman Hodes" w:hint="cs"/>
          <w:rtl/>
        </w:rPr>
        <w:t xml:space="preserve">(סי' ק"ג סק"א ד"ה אבל הר"ן) </w:t>
      </w:r>
      <w:r w:rsidRPr="00D47CE7">
        <w:rPr>
          <w:rStyle w:val="af8"/>
          <w:rFonts w:hint="cs"/>
          <w:rtl/>
        </w:rPr>
        <w:t>דהר"ן</w:t>
      </w:r>
      <w:r w:rsidRPr="00D47CE7">
        <w:rPr>
          <w:rFonts w:hint="cs"/>
          <w:rtl/>
        </w:rPr>
        <w:t xml:space="preserve"> מיאן בסברת </w:t>
      </w:r>
      <w:r w:rsidRPr="00D47CE7">
        <w:rPr>
          <w:rStyle w:val="af8"/>
          <w:rFonts w:hint="cs"/>
          <w:rtl/>
        </w:rPr>
        <w:t>הרשב"א</w:t>
      </w:r>
      <w:r w:rsidRPr="00D47CE7">
        <w:rPr>
          <w:rFonts w:hint="cs"/>
          <w:rtl/>
        </w:rPr>
        <w:t xml:space="preserve"> </w:t>
      </w:r>
      <w:r w:rsidRPr="00D47CE7">
        <w:rPr>
          <w:rStyle w:val="afa"/>
          <w:rFonts w:hint="cs"/>
          <w:rtl/>
        </w:rPr>
        <w:t xml:space="preserve">[כדביארו </w:t>
      </w:r>
      <w:r w:rsidRPr="00D47CE7">
        <w:rPr>
          <w:rStyle w:val="affa"/>
          <w:rFonts w:hint="cs"/>
          <w:rtl/>
        </w:rPr>
        <w:t xml:space="preserve">היד יהודה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Ref16849850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עא)</w:t>
      </w:r>
      <w:r w:rsidRPr="00D47CE7">
        <w:rPr>
          <w:rStyle w:val="aff6"/>
          <w:rtl/>
        </w:rPr>
        <w:fldChar w:fldCharType="end"/>
      </w:r>
      <w:r w:rsidRPr="00D47CE7">
        <w:rPr>
          <w:rStyle w:val="afa"/>
          <w:rFonts w:hint="cs"/>
          <w:rtl/>
        </w:rPr>
        <w:t>]</w:t>
      </w:r>
      <w:r w:rsidRPr="00D47CE7">
        <w:rPr>
          <w:rFonts w:hint="cs"/>
          <w:rtl/>
        </w:rPr>
        <w:t xml:space="preserve"> דס"ל דכיון שהטעם הפגום מותר, לכן אף שהוא מורגש, אינו גורם לממשות שלא יתבטל, דעדיין הוקשה </w:t>
      </w:r>
      <w:r w:rsidRPr="00D47CE7">
        <w:rPr>
          <w:rStyle w:val="af8"/>
          <w:rFonts w:hint="cs"/>
          <w:rtl/>
        </w:rPr>
        <w:t>לר"ן</w:t>
      </w:r>
      <w:r w:rsidRPr="00D47CE7">
        <w:rPr>
          <w:rFonts w:hint="cs"/>
          <w:rtl/>
        </w:rPr>
        <w:t xml:space="preserve"> דמ"מ כיון שגוף האיסור מצד עצמו הוא עדיין אסור, והטעם גורם לגוף האיסור שיהיה ניכר, וא"כ אף שהטעם אינו אסור, מ"מ האיסור עצמו ניכר, </w:t>
      </w:r>
      <w:bookmarkEnd w:id="8891"/>
      <w:r w:rsidRPr="00D47CE7">
        <w:rPr>
          <w:rFonts w:hint="cs"/>
          <w:rtl/>
        </w:rPr>
        <w:t xml:space="preserve">והוסיף </w:t>
      </w:r>
      <w:r w:rsidRPr="00D47CE7">
        <w:rPr>
          <w:rStyle w:val="af8"/>
          <w:rFonts w:hint="cs"/>
          <w:rtl/>
        </w:rPr>
        <w:t>היד יהודה</w:t>
      </w:r>
      <w:r w:rsidRPr="00D47CE7">
        <w:rPr>
          <w:rFonts w:hint="cs"/>
          <w:rtl/>
        </w:rPr>
        <w:t xml:space="preserve"> דכיון דס"ל </w:t>
      </w:r>
      <w:r w:rsidRPr="00D47CE7">
        <w:rPr>
          <w:rStyle w:val="af8"/>
          <w:rFonts w:hint="cs"/>
          <w:rtl/>
        </w:rPr>
        <w:t>להר"ן</w:t>
      </w:r>
      <w:r w:rsidRPr="00D47CE7">
        <w:rPr>
          <w:rFonts w:hint="cs"/>
          <w:rtl/>
        </w:rPr>
        <w:t xml:space="preserve"> דטעם כעיקר לאו דאו', א"כ מוכח דאף שהטעם מותר</w:t>
      </w:r>
      <w:r>
        <w:rPr>
          <w:rFonts w:hint="cs"/>
          <w:rtl/>
        </w:rPr>
        <w:t>, מ"מ</w:t>
      </w:r>
      <w:r w:rsidRPr="00D47CE7">
        <w:rPr>
          <w:rFonts w:hint="cs"/>
          <w:rtl/>
        </w:rPr>
        <w:t xml:space="preserve"> הוא גורם לממשות שלא תתבטל, </w:t>
      </w:r>
      <w:r w:rsidRPr="00D47CE7">
        <w:rPr>
          <w:rFonts w:hint="cs"/>
          <w:rtl/>
        </w:rPr>
        <w:t>דהא טעמו וממשו אסור מדאו', ומוכח דהטעם שאינו אסור מדאו' גורם לממשות שתאסר מדאו' ולא תתבטל ברוב, וא"כ ה"ה הכא דהטעם הפגום שמותר, גורם לממשות האיסור שלא תתבטל.</w:t>
      </w:r>
      <w:bookmarkEnd w:id="8892"/>
    </w:p>
    <w:p w:rsidR="007809D6" w:rsidRPr="00D47CE7" w:rsidRDefault="007809D6" w:rsidP="007809D6">
      <w:pPr>
        <w:pStyle w:val="1"/>
      </w:pPr>
      <w:bookmarkStart w:id="8893" w:name="_Toc18397431"/>
      <w:bookmarkStart w:id="8894" w:name="_Toc18404154"/>
      <w:bookmarkStart w:id="8895" w:name="_Toc18481574"/>
      <w:r w:rsidRPr="00D47CE7">
        <w:rPr>
          <w:rFonts w:hint="cs"/>
          <w:rtl/>
        </w:rPr>
        <w:t>ביאור היד יהודה בר"ן דכל שאינו נהנה כלל מהאיסור מותר</w:t>
      </w:r>
      <w:bookmarkEnd w:id="8893"/>
      <w:bookmarkEnd w:id="8894"/>
      <w:bookmarkEnd w:id="8895"/>
    </w:p>
    <w:p w:rsidR="007809D6" w:rsidRPr="00D47CE7" w:rsidRDefault="007809D6" w:rsidP="007809D6">
      <w:pPr>
        <w:pStyle w:val="a2"/>
      </w:pPr>
      <w:bookmarkStart w:id="8896" w:name="_Toc18397432"/>
      <w:bookmarkStart w:id="8897" w:name="_Toc18404155"/>
      <w:bookmarkStart w:id="8898" w:name="_Toc18481575"/>
      <w:r w:rsidRPr="00D47CE7">
        <w:rPr>
          <w:rFonts w:hint="cs"/>
          <w:rtl/>
        </w:rPr>
        <w:t>ביאור היד יהודה בר"ן דילפינן מנבילה דהאיסור עצמו מותר דאינו נהנה ואינו שבע יותר מחמתו</w:t>
      </w:r>
      <w:bookmarkEnd w:id="8896"/>
      <w:bookmarkEnd w:id="8897"/>
      <w:bookmarkEnd w:id="8898"/>
    </w:p>
    <w:p w:rsidR="007809D6" w:rsidRPr="00D47CE7" w:rsidRDefault="007809D6" w:rsidP="009F44AF">
      <w:pPr>
        <w:pStyle w:val="a"/>
        <w:rPr>
          <w:rtl/>
        </w:rPr>
      </w:pPr>
      <w:r w:rsidRPr="00D47CE7">
        <w:rPr>
          <w:rFonts w:hint="cs"/>
          <w:rtl/>
        </w:rPr>
        <w:t>וכתב</w:t>
      </w:r>
      <w:r w:rsidRPr="00D47CE7">
        <w:rPr>
          <w:rStyle w:val="af8"/>
          <w:rFonts w:hint="cs"/>
          <w:rtl/>
        </w:rPr>
        <w:t xml:space="preserve"> היד יהודה</w:t>
      </w:r>
      <w:r w:rsidRPr="00D47CE7">
        <w:rPr>
          <w:rFonts w:hint="cs"/>
          <w:rtl/>
        </w:rPr>
        <w:t xml:space="preserve"> דלכן ביאר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Ref16849713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D47CE7">
        <w:rPr>
          <w:rStyle w:val="af6"/>
          <w:rFonts w:eastAsia="Guttman Hodes"/>
          <w:rtl/>
        </w:rPr>
        <w:fldChar w:fldCharType="end"/>
      </w:r>
      <w:r w:rsidRPr="00D47CE7">
        <w:rPr>
          <w:rFonts w:hint="cs"/>
          <w:rtl/>
        </w:rPr>
        <w:t xml:space="preserve"> דההיתר בנותן טעם לפגם מתיר אף את גוף האיסור עצמו, ואינו רק גורם לו שיתבטל ברוב, דילפינן מנבילה דכל שאינו נהנה מהאכילה לא אסרה תורה, אלא דבנבילה שאוכלה בפנ"ע, הוא נהנה באכילתה אף שפגומה במקצת דנעשה שבע עי"ז, ולכן כל שהיא ראויה לגר עדיין היא אסורה, אבל בנותן טעם לפגם בתערובת, דאינו נהנה מהטעם הפגום כלל מותר.</w:t>
      </w:r>
    </w:p>
    <w:p w:rsidR="007809D6" w:rsidRPr="00D47CE7" w:rsidRDefault="007809D6" w:rsidP="007809D6">
      <w:pPr>
        <w:pStyle w:val="a2"/>
      </w:pPr>
      <w:bookmarkStart w:id="8899" w:name="_Toc18397433"/>
      <w:bookmarkStart w:id="8900" w:name="_Toc18404156"/>
      <w:bookmarkStart w:id="8901" w:name="_Toc18481576"/>
      <w:r w:rsidRPr="00D47CE7">
        <w:rPr>
          <w:rFonts w:hint="cs"/>
          <w:rtl/>
        </w:rPr>
        <w:t>ביאור היד יהודה בר"ן דבהגדיל מידתו אסור רק כשניחא לו בשבח המידה יותר מבפגימת הטעם</w:t>
      </w:r>
      <w:bookmarkEnd w:id="8899"/>
      <w:bookmarkEnd w:id="8900"/>
      <w:bookmarkEnd w:id="8901"/>
    </w:p>
    <w:p w:rsidR="007809D6" w:rsidRPr="00D47CE7" w:rsidRDefault="007809D6" w:rsidP="009F44AF">
      <w:pPr>
        <w:pStyle w:val="a"/>
        <w:rPr>
          <w:rtl/>
        </w:rPr>
      </w:pPr>
      <w:r w:rsidRPr="00D47CE7">
        <w:rPr>
          <w:rFonts w:hint="cs"/>
          <w:rtl/>
        </w:rPr>
        <w:t xml:space="preserve">והוסיף </w:t>
      </w:r>
      <w:r w:rsidRPr="00D47CE7">
        <w:rPr>
          <w:rStyle w:val="af8"/>
          <w:rFonts w:hint="cs"/>
          <w:rtl/>
        </w:rPr>
        <w:t>היד יהודה</w:t>
      </w:r>
      <w:r w:rsidRPr="00D47CE7">
        <w:rPr>
          <w:rFonts w:hint="cs"/>
          <w:rtl/>
        </w:rPr>
        <w:t xml:space="preserve"> דאף במקום שהטעם מגדיל את מידת ההיתר, מ"מ אם הפגימה של הטעם בתערובת, גדולה יותר מהשבח שמשביחה בהגדלת המידה מותר, כיון שהאוכל היה רוצה שתהיה התערובת מועטת יותר ומשובחת ולא גדולה ופגומה, וכתב </w:t>
      </w:r>
      <w:r w:rsidRPr="00D47CE7">
        <w:rPr>
          <w:rStyle w:val="af8"/>
          <w:rFonts w:hint="cs"/>
          <w:rtl/>
        </w:rPr>
        <w:t>היד יהודה</w:t>
      </w:r>
      <w:r w:rsidRPr="00D47CE7">
        <w:rPr>
          <w:rFonts w:hint="cs"/>
          <w:rtl/>
        </w:rPr>
        <w:t xml:space="preserve"> דלכן כתב </w:t>
      </w:r>
      <w:r w:rsidRPr="00D47CE7">
        <w:rPr>
          <w:rStyle w:val="af8"/>
          <w:rFonts w:hint="cs"/>
          <w:rtl/>
        </w:rPr>
        <w:t>הר"ן</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Ref16850208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D47CE7">
        <w:rPr>
          <w:rStyle w:val="af6"/>
          <w:rFonts w:eastAsia="Guttman Hodes"/>
          <w:rtl/>
        </w:rPr>
        <w:fldChar w:fldCharType="end"/>
      </w:r>
      <w:r w:rsidRPr="00D47CE7">
        <w:rPr>
          <w:rFonts w:hint="cs"/>
          <w:rtl/>
        </w:rPr>
        <w:t xml:space="preserve"> דבמקום שהשבח שהאיסור מגדיל את מידת התערובת, גדול יותר ממה שפוגם אותה בטעם אסור, דבכה"ג הוא נהנה מהאיסור, ואינו בכלל ההיתר דילפינן מנבילה</w:t>
      </w:r>
      <w:bookmarkStart w:id="8902" w:name="_Ref20068446"/>
      <w:r w:rsidRPr="00D47CE7">
        <w:rPr>
          <w:rStyle w:val="af0"/>
          <w:rtl/>
        </w:rPr>
        <w:footnoteReference w:id="31"/>
      </w:r>
      <w:bookmarkEnd w:id="8902"/>
      <w:r w:rsidRPr="00D47CE7">
        <w:rPr>
          <w:rFonts w:hint="cs"/>
          <w:rtl/>
        </w:rPr>
        <w:t xml:space="preserve">. [ועי' במה שביאר </w:t>
      </w:r>
      <w:r w:rsidRPr="00D47CE7">
        <w:rPr>
          <w:rStyle w:val="af8"/>
          <w:rFonts w:hint="cs"/>
          <w:rtl/>
        </w:rPr>
        <w:t>היד יהודה</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Ref16850367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D47CE7">
        <w:rPr>
          <w:rStyle w:val="af6"/>
          <w:rFonts w:eastAsia="Guttman Hodes"/>
          <w:rtl/>
        </w:rPr>
        <w:fldChar w:fldCharType="end"/>
      </w:r>
      <w:r w:rsidRPr="00D47CE7">
        <w:rPr>
          <w:rStyle w:val="af8"/>
          <w:rFonts w:hint="cs"/>
          <w:rtl/>
        </w:rPr>
        <w:t xml:space="preserve"> ברשב"א</w:t>
      </w:r>
      <w:r w:rsidRPr="00D47CE7">
        <w:rPr>
          <w:rFonts w:hint="cs"/>
          <w:rtl/>
        </w:rPr>
        <w:t xml:space="preserve"> דפליג על </w:t>
      </w:r>
      <w:r w:rsidRPr="00D47CE7">
        <w:rPr>
          <w:rStyle w:val="af8"/>
          <w:rFonts w:hint="cs"/>
          <w:rtl/>
        </w:rPr>
        <w:t>הר"ן</w:t>
      </w:r>
      <w:r w:rsidRPr="00D47CE7">
        <w:rPr>
          <w:rFonts w:hint="cs"/>
          <w:rtl/>
        </w:rPr>
        <w:t xml:space="preserve"> בזה].</w:t>
      </w:r>
    </w:p>
    <w:p w:rsidR="007809D6" w:rsidRPr="00D47CE7" w:rsidRDefault="007809D6" w:rsidP="007809D6">
      <w:pPr>
        <w:pStyle w:val="a2"/>
        <w:rPr>
          <w:rtl/>
        </w:rPr>
      </w:pPr>
      <w:bookmarkStart w:id="8903" w:name="_Toc18397434"/>
      <w:bookmarkStart w:id="8904" w:name="_Toc18404157"/>
      <w:bookmarkStart w:id="8905" w:name="_Toc18481577"/>
      <w:bookmarkStart w:id="8906" w:name="_Toc17889817"/>
      <w:bookmarkStart w:id="8907" w:name="_Toc17975439"/>
      <w:bookmarkStart w:id="8908" w:name="_Toc17984123"/>
      <w:bookmarkStart w:id="8909" w:name="_Toc18228248"/>
      <w:bookmarkStart w:id="8910" w:name="_Toc18250779"/>
      <w:bookmarkStart w:id="8911" w:name="_Toc18266235"/>
      <w:r w:rsidRPr="00D47CE7">
        <w:rPr>
          <w:rFonts w:hint="cs"/>
          <w:rtl/>
        </w:rPr>
        <w:t>דברי היד יהודה דלהרשב"א גוף האיסור עדיין אסור ובטל ברוב ולהר"ן גוף האיסור מותר</w:t>
      </w:r>
      <w:bookmarkEnd w:id="8903"/>
      <w:bookmarkEnd w:id="8904"/>
      <w:bookmarkEnd w:id="8905"/>
    </w:p>
    <w:p w:rsidR="007809D6" w:rsidRPr="00A00F42" w:rsidRDefault="007809D6" w:rsidP="009F44AF">
      <w:pPr>
        <w:pStyle w:val="a"/>
        <w:rPr>
          <w:rtl/>
        </w:rPr>
      </w:pPr>
      <w:bookmarkStart w:id="8912" w:name="_Ref18400551"/>
      <w:bookmarkStart w:id="8913" w:name="_Ref18421948"/>
      <w:r w:rsidRPr="00D47CE7">
        <w:rPr>
          <w:rFonts w:hint="cs"/>
          <w:rtl/>
        </w:rPr>
        <w:t xml:space="preserve">וכתב </w:t>
      </w:r>
      <w:r w:rsidRPr="00D47CE7">
        <w:rPr>
          <w:rStyle w:val="af8"/>
          <w:rFonts w:hint="cs"/>
          <w:rtl/>
        </w:rPr>
        <w:t>היד יהודה</w:t>
      </w:r>
      <w:r w:rsidRPr="00D47CE7">
        <w:rPr>
          <w:rFonts w:hint="cs"/>
          <w:rtl/>
        </w:rPr>
        <w:t xml:space="preserve"> </w:t>
      </w:r>
      <w:r w:rsidRPr="00D47CE7">
        <w:rPr>
          <w:rStyle w:val="af6"/>
          <w:rFonts w:eastAsia="Guttman Hodes" w:hint="cs"/>
          <w:rtl/>
        </w:rPr>
        <w:t>(סי' ק"ג סק"א ד"ה מעתה נבאר)</w:t>
      </w:r>
      <w:r w:rsidRPr="00D47CE7">
        <w:rPr>
          <w:rFonts w:hint="cs"/>
          <w:rtl/>
        </w:rPr>
        <w:t xml:space="preserve"> דהנ"מ בין </w:t>
      </w:r>
      <w:r w:rsidRPr="00D47CE7">
        <w:rPr>
          <w:rStyle w:val="af8"/>
          <w:rFonts w:hint="cs"/>
          <w:rtl/>
        </w:rPr>
        <w:t>הרשב"א להר"ן</w:t>
      </w:r>
      <w:r w:rsidRPr="00D47CE7">
        <w:rPr>
          <w:rFonts w:hint="cs"/>
          <w:rtl/>
        </w:rPr>
        <w:t xml:space="preserve"> היא לחומרא ולקולא, דבמקום שהטעם הפגום הגדיל את מידת ההיתר</w:t>
      </w:r>
      <w:r>
        <w:rPr>
          <w:rFonts w:hint="cs"/>
          <w:rtl/>
        </w:rPr>
        <w:t xml:space="preserve">, </w:t>
      </w:r>
      <w:r w:rsidRPr="00502663">
        <w:rPr>
          <w:rStyle w:val="afa"/>
          <w:rFonts w:hint="cs"/>
          <w:rtl/>
        </w:rPr>
        <w:t>[והשביחו בזה יותר ממה שפגם הטעם],</w:t>
      </w:r>
      <w:r w:rsidRPr="00D47CE7">
        <w:rPr>
          <w:rFonts w:hint="cs"/>
          <w:rtl/>
        </w:rPr>
        <w:t xml:space="preserve"> </w:t>
      </w:r>
      <w:r>
        <w:rPr>
          <w:rFonts w:hint="cs"/>
          <w:rtl/>
        </w:rPr>
        <w:t>ד</w:t>
      </w:r>
      <w:r w:rsidRPr="00D47CE7">
        <w:rPr>
          <w:rFonts w:hint="cs"/>
          <w:rtl/>
        </w:rPr>
        <w:t xml:space="preserve">לדעת </w:t>
      </w:r>
      <w:r w:rsidRPr="00D47CE7">
        <w:rPr>
          <w:rStyle w:val="af8"/>
          <w:rFonts w:hint="cs"/>
          <w:rtl/>
        </w:rPr>
        <w:t>הר"ן</w:t>
      </w:r>
      <w:r w:rsidRPr="00D47CE7">
        <w:rPr>
          <w:rFonts w:hint="cs"/>
          <w:rtl/>
        </w:rPr>
        <w:t xml:space="preserve"> אסור ולדעת </w:t>
      </w:r>
      <w:r w:rsidRPr="00D47CE7">
        <w:rPr>
          <w:rStyle w:val="af8"/>
          <w:rFonts w:hint="cs"/>
          <w:rtl/>
        </w:rPr>
        <w:t>הרשב"א</w:t>
      </w:r>
      <w:r w:rsidRPr="00D47CE7">
        <w:rPr>
          <w:rFonts w:hint="cs"/>
          <w:rtl/>
        </w:rPr>
        <w:t xml:space="preserve"> מותר, </w:t>
      </w:r>
      <w:r w:rsidRPr="00D47CE7">
        <w:rPr>
          <w:rStyle w:val="afa"/>
          <w:rFonts w:hint="cs"/>
          <w:rtl/>
        </w:rPr>
        <w:t xml:space="preserve">[כדכתבו </w:t>
      </w:r>
      <w:r w:rsidRPr="00D47CE7">
        <w:rPr>
          <w:rStyle w:val="affa"/>
          <w:rFonts w:hint="cs"/>
          <w:rtl/>
        </w:rPr>
        <w:t>הפרמ"ג</w:t>
      </w:r>
      <w:r w:rsidRPr="00D47CE7">
        <w:rPr>
          <w:rStyle w:val="afa"/>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Ref18337238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לב)</w:t>
      </w:r>
      <w:r w:rsidRPr="00D47CE7">
        <w:rPr>
          <w:rStyle w:val="aff6"/>
          <w:rtl/>
        </w:rPr>
        <w:fldChar w:fldCharType="end"/>
      </w:r>
      <w:r w:rsidRPr="00D47CE7">
        <w:rPr>
          <w:rStyle w:val="afa"/>
          <w:rFonts w:hint="cs"/>
          <w:rtl/>
        </w:rPr>
        <w:t xml:space="preserve"> </w:t>
      </w:r>
      <w:r w:rsidRPr="00D47CE7">
        <w:rPr>
          <w:rStyle w:val="affa"/>
          <w:rFonts w:hint="cs"/>
          <w:rtl/>
        </w:rPr>
        <w:t>והחת"ס</w:t>
      </w:r>
      <w:r w:rsidRPr="00D47CE7">
        <w:rPr>
          <w:rStyle w:val="afa"/>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Ref18337312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לז)</w:t>
      </w:r>
      <w:r w:rsidRPr="00D47CE7">
        <w:rPr>
          <w:rStyle w:val="aff6"/>
          <w:rtl/>
        </w:rPr>
        <w:fldChar w:fldCharType="end"/>
      </w:r>
      <w:r w:rsidRPr="00D47CE7">
        <w:rPr>
          <w:rStyle w:val="afa"/>
          <w:rFonts w:hint="cs"/>
          <w:rtl/>
        </w:rPr>
        <w:t>],</w:t>
      </w:r>
      <w:r w:rsidRPr="00D47CE7">
        <w:rPr>
          <w:rFonts w:hint="cs"/>
          <w:rtl/>
        </w:rPr>
        <w:t xml:space="preserve"> ובמקום שלא הגדיל את מידת ההיתר, לדעת </w:t>
      </w:r>
      <w:r w:rsidRPr="00D47CE7">
        <w:rPr>
          <w:rStyle w:val="af8"/>
          <w:rFonts w:hint="cs"/>
          <w:rtl/>
        </w:rPr>
        <w:t>הר"ן</w:t>
      </w:r>
      <w:r w:rsidRPr="00D47CE7">
        <w:rPr>
          <w:rFonts w:hint="cs"/>
          <w:rtl/>
        </w:rPr>
        <w:t xml:space="preserve"> האיסור עצמו מותר, דהוא כנבילה שאינה ראויה לגר, ולדעת </w:t>
      </w:r>
      <w:r w:rsidRPr="00D47CE7">
        <w:rPr>
          <w:rStyle w:val="af8"/>
          <w:rFonts w:hint="cs"/>
          <w:rtl/>
        </w:rPr>
        <w:t>הרשב"א</w:t>
      </w:r>
      <w:r w:rsidRPr="00D47CE7">
        <w:rPr>
          <w:rFonts w:hint="cs"/>
          <w:rtl/>
        </w:rPr>
        <w:t xml:space="preserve"> גוף האיסור עדיין אסור, כיון שהוא ראוי לאכילה, אלא דטעמו מותר, ולכן הוא מתבטל ברוב, ולכן במקום שאין ביטול ברוב אסור</w:t>
      </w:r>
      <w:r w:rsidRPr="00D47CE7">
        <w:rPr>
          <w:rStyle w:val="af0"/>
          <w:rtl/>
        </w:rPr>
        <w:footnoteReference w:id="32"/>
      </w:r>
      <w:r w:rsidRPr="00D47CE7">
        <w:rPr>
          <w:rFonts w:hint="cs"/>
          <w:rtl/>
        </w:rPr>
        <w:t>.</w:t>
      </w:r>
      <w:bookmarkEnd w:id="8912"/>
      <w:r>
        <w:rPr>
          <w:rFonts w:hint="cs"/>
          <w:rtl/>
        </w:rPr>
        <w:t xml:space="preserve"> [ועי' בדברי </w:t>
      </w:r>
      <w:r w:rsidRPr="00AD7158">
        <w:rPr>
          <w:rStyle w:val="af8"/>
          <w:rFonts w:hint="cs"/>
          <w:rtl/>
        </w:rPr>
        <w:t>החוו"ד</w:t>
      </w:r>
      <w:r>
        <w:rPr>
          <w:rFonts w:hint="cs"/>
          <w:rtl/>
        </w:rPr>
        <w:t xml:space="preserve"> </w:t>
      </w:r>
      <w:r w:rsidRPr="00AD7158">
        <w:rPr>
          <w:rStyle w:val="af6"/>
          <w:rFonts w:eastAsia="Guttman Hodes" w:hint="cs"/>
          <w:rtl/>
        </w:rPr>
        <w:t xml:space="preserve">(עי' אות </w:t>
      </w:r>
      <w:r w:rsidRPr="00AD7158">
        <w:rPr>
          <w:rStyle w:val="af6"/>
          <w:rFonts w:eastAsia="Guttman Hodes"/>
          <w:rtl/>
        </w:rPr>
        <w:fldChar w:fldCharType="begin"/>
      </w:r>
      <w:r w:rsidRPr="00AD7158">
        <w:rPr>
          <w:rStyle w:val="af6"/>
          <w:rFonts w:eastAsia="Guttman Hodes"/>
          <w:rtl/>
        </w:rPr>
        <w:instrText xml:space="preserve"> </w:instrText>
      </w:r>
      <w:r w:rsidRPr="00AD7158">
        <w:rPr>
          <w:rStyle w:val="af6"/>
          <w:rFonts w:eastAsia="Guttman Hodes" w:hint="cs"/>
        </w:rPr>
        <w:instrText>REF</w:instrText>
      </w:r>
      <w:r w:rsidRPr="00AD7158">
        <w:rPr>
          <w:rStyle w:val="af6"/>
          <w:rFonts w:eastAsia="Guttman Hodes" w:hint="cs"/>
          <w:rtl/>
        </w:rPr>
        <w:instrText xml:space="preserve"> _</w:instrText>
      </w:r>
      <w:r w:rsidRPr="00AD7158">
        <w:rPr>
          <w:rStyle w:val="af6"/>
          <w:rFonts w:eastAsia="Guttman Hodes" w:hint="cs"/>
        </w:rPr>
        <w:instrText>Ref18400589 \r \h</w:instrText>
      </w:r>
      <w:r w:rsidRPr="00AD7158">
        <w:rPr>
          <w:rStyle w:val="af6"/>
          <w:rFonts w:eastAsia="Guttman Hodes"/>
          <w:rtl/>
        </w:rPr>
        <w:instrText xml:space="preserve"> </w:instrText>
      </w:r>
      <w:r w:rsidRPr="00AD7158">
        <w:rPr>
          <w:rStyle w:val="af6"/>
          <w:rFonts w:eastAsia="Guttman Hodes"/>
          <w:rtl/>
        </w:rPr>
      </w:r>
      <w:r w:rsidRPr="00AD7158">
        <w:rPr>
          <w:rStyle w:val="af6"/>
          <w:rFonts w:eastAsia="Guttman Hodes"/>
          <w:rtl/>
        </w:rPr>
        <w:fldChar w:fldCharType="separate"/>
      </w:r>
      <w:r w:rsidR="004D1C5B">
        <w:rPr>
          <w:rStyle w:val="af6"/>
          <w:rFonts w:eastAsia="Guttman Hodes"/>
          <w:cs/>
        </w:rPr>
        <w:t>‎</w:t>
      </w:r>
      <w:r w:rsidR="004D1C5B">
        <w:rPr>
          <w:rStyle w:val="af6"/>
          <w:rFonts w:eastAsia="Guttman Hodes"/>
          <w:rtl/>
        </w:rPr>
        <w:t>יב)</w:t>
      </w:r>
      <w:r w:rsidRPr="00AD7158">
        <w:rPr>
          <w:rStyle w:val="af6"/>
          <w:rFonts w:eastAsia="Guttman Hodes"/>
          <w:rtl/>
        </w:rPr>
        <w:fldChar w:fldCharType="end"/>
      </w:r>
      <w:r>
        <w:rPr>
          <w:rFonts w:hint="cs"/>
          <w:rtl/>
        </w:rPr>
        <w:t xml:space="preserve">, ובמה שחקר בזה </w:t>
      </w:r>
      <w:r w:rsidRPr="00B64E1A">
        <w:rPr>
          <w:rStyle w:val="af8"/>
          <w:rFonts w:hint="cs"/>
          <w:rtl/>
        </w:rPr>
        <w:t>הגר"ח</w:t>
      </w:r>
      <w:r>
        <w:rPr>
          <w:rFonts w:hint="cs"/>
          <w:rtl/>
        </w:rPr>
        <w:t xml:space="preserve"> </w:t>
      </w:r>
      <w:r w:rsidRPr="00AD7158">
        <w:rPr>
          <w:rStyle w:val="af6"/>
          <w:rFonts w:eastAsia="Guttman Hodes" w:hint="cs"/>
          <w:rtl/>
        </w:rPr>
        <w:t xml:space="preserve">(עי' אות </w:t>
      </w:r>
      <w:r w:rsidRPr="00AD7158">
        <w:rPr>
          <w:rStyle w:val="af6"/>
          <w:rFonts w:eastAsia="Guttman Hodes"/>
          <w:rtl/>
        </w:rPr>
        <w:fldChar w:fldCharType="begin"/>
      </w:r>
      <w:r w:rsidRPr="00AD7158">
        <w:rPr>
          <w:rStyle w:val="af6"/>
          <w:rFonts w:eastAsia="Guttman Hodes"/>
          <w:rtl/>
        </w:rPr>
        <w:instrText xml:space="preserve"> </w:instrText>
      </w:r>
      <w:r w:rsidRPr="00AD7158">
        <w:rPr>
          <w:rStyle w:val="af6"/>
          <w:rFonts w:eastAsia="Guttman Hodes" w:hint="cs"/>
        </w:rPr>
        <w:instrText>REF</w:instrText>
      </w:r>
      <w:r w:rsidRPr="00AD7158">
        <w:rPr>
          <w:rStyle w:val="af6"/>
          <w:rFonts w:eastAsia="Guttman Hodes" w:hint="cs"/>
          <w:rtl/>
        </w:rPr>
        <w:instrText xml:space="preserve"> _</w:instrText>
      </w:r>
      <w:r w:rsidRPr="00AD7158">
        <w:rPr>
          <w:rStyle w:val="af6"/>
          <w:rFonts w:eastAsia="Guttman Hodes" w:hint="cs"/>
        </w:rPr>
        <w:instrText>Ref18397727 \r \h</w:instrText>
      </w:r>
      <w:r w:rsidRPr="00AD7158">
        <w:rPr>
          <w:rStyle w:val="af6"/>
          <w:rFonts w:eastAsia="Guttman Hodes"/>
          <w:rtl/>
        </w:rPr>
        <w:instrText xml:space="preserve"> </w:instrText>
      </w:r>
      <w:r w:rsidRPr="00AD7158">
        <w:rPr>
          <w:rStyle w:val="af6"/>
          <w:rFonts w:eastAsia="Guttman Hodes"/>
          <w:rtl/>
        </w:rPr>
      </w:r>
      <w:r w:rsidRPr="00AD7158">
        <w:rPr>
          <w:rStyle w:val="af6"/>
          <w:rFonts w:eastAsia="Guttman Hodes"/>
          <w:rtl/>
        </w:rPr>
        <w:fldChar w:fldCharType="separate"/>
      </w:r>
      <w:r w:rsidR="004D1C5B">
        <w:rPr>
          <w:rStyle w:val="af6"/>
          <w:rFonts w:eastAsia="Guttman Hodes"/>
          <w:cs/>
        </w:rPr>
        <w:t>‎</w:t>
      </w:r>
      <w:r w:rsidR="004D1C5B">
        <w:rPr>
          <w:rStyle w:val="af6"/>
          <w:rFonts w:eastAsia="Guttman Hodes"/>
          <w:rtl/>
        </w:rPr>
        <w:t>קב)</w:t>
      </w:r>
      <w:r w:rsidRPr="00AD7158">
        <w:rPr>
          <w:rStyle w:val="af6"/>
          <w:rFonts w:eastAsia="Guttman Hodes"/>
          <w:rtl/>
        </w:rPr>
        <w:fldChar w:fldCharType="end"/>
      </w:r>
      <w:r>
        <w:rPr>
          <w:rFonts w:hint="cs"/>
          <w:rtl/>
        </w:rPr>
        <w:t xml:space="preserve"> ובמ"ש </w:t>
      </w:r>
      <w:r w:rsidRPr="00B64E1A">
        <w:rPr>
          <w:rStyle w:val="af8"/>
          <w:rFonts w:hint="cs"/>
          <w:rtl/>
        </w:rPr>
        <w:t>הקה"י</w:t>
      </w:r>
      <w:r>
        <w:rPr>
          <w:rFonts w:hint="cs"/>
          <w:rtl/>
        </w:rPr>
        <w:t xml:space="preserve"> </w:t>
      </w:r>
      <w:r w:rsidRPr="00A00F42">
        <w:rPr>
          <w:rStyle w:val="af6"/>
          <w:rFonts w:eastAsia="Guttman Hodes" w:hint="cs"/>
          <w:rtl/>
        </w:rPr>
        <w:t xml:space="preserve">(עי' אות </w:t>
      </w:r>
      <w:r w:rsidRPr="00A00F42">
        <w:rPr>
          <w:rStyle w:val="af6"/>
          <w:rFonts w:eastAsia="Guttman Hodes"/>
          <w:rtl/>
        </w:rPr>
        <w:fldChar w:fldCharType="begin"/>
      </w:r>
      <w:r w:rsidRPr="00A00F42">
        <w:rPr>
          <w:rStyle w:val="af6"/>
          <w:rFonts w:eastAsia="Guttman Hodes"/>
          <w:rtl/>
        </w:rPr>
        <w:instrText xml:space="preserve"> </w:instrText>
      </w:r>
      <w:r w:rsidRPr="00A00F42">
        <w:rPr>
          <w:rStyle w:val="af6"/>
          <w:rFonts w:eastAsia="Guttman Hodes" w:hint="cs"/>
        </w:rPr>
        <w:instrText>REF</w:instrText>
      </w:r>
      <w:r w:rsidRPr="00A00F42">
        <w:rPr>
          <w:rStyle w:val="af6"/>
          <w:rFonts w:eastAsia="Guttman Hodes" w:hint="cs"/>
          <w:rtl/>
        </w:rPr>
        <w:instrText xml:space="preserve"> _</w:instrText>
      </w:r>
      <w:r w:rsidRPr="00A00F42">
        <w:rPr>
          <w:rStyle w:val="af6"/>
          <w:rFonts w:eastAsia="Guttman Hodes" w:hint="cs"/>
        </w:rPr>
        <w:instrText>Ref18424946 \r \h</w:instrText>
      </w:r>
      <w:r w:rsidRPr="00A00F42">
        <w:rPr>
          <w:rStyle w:val="af6"/>
          <w:rFonts w:eastAsia="Guttman Hodes"/>
          <w:rtl/>
        </w:rPr>
        <w:instrText xml:space="preserve"> </w:instrText>
      </w:r>
      <w:r w:rsidRPr="00A00F42">
        <w:rPr>
          <w:rStyle w:val="af6"/>
          <w:rFonts w:eastAsia="Guttman Hodes"/>
          <w:rtl/>
        </w:rPr>
      </w:r>
      <w:r w:rsidRPr="00A00F42">
        <w:rPr>
          <w:rStyle w:val="af6"/>
          <w:rFonts w:eastAsia="Guttman Hodes"/>
          <w:rtl/>
        </w:rPr>
        <w:fldChar w:fldCharType="separate"/>
      </w:r>
      <w:r w:rsidR="004D1C5B">
        <w:rPr>
          <w:rStyle w:val="af6"/>
          <w:rFonts w:eastAsia="Guttman Hodes"/>
          <w:cs/>
        </w:rPr>
        <w:t>‎</w:t>
      </w:r>
      <w:r w:rsidR="004D1C5B">
        <w:rPr>
          <w:rStyle w:val="af6"/>
          <w:rFonts w:eastAsia="Guttman Hodes"/>
          <w:rtl/>
        </w:rPr>
        <w:t>קכא)</w:t>
      </w:r>
      <w:r w:rsidRPr="00A00F42">
        <w:rPr>
          <w:rStyle w:val="af6"/>
          <w:rFonts w:eastAsia="Guttman Hodes"/>
          <w:rtl/>
        </w:rPr>
        <w:fldChar w:fldCharType="end"/>
      </w:r>
      <w:r w:rsidRPr="00A00F42">
        <w:rPr>
          <w:rFonts w:hint="cs"/>
          <w:rtl/>
        </w:rPr>
        <w:t>].</w:t>
      </w:r>
      <w:bookmarkEnd w:id="8913"/>
    </w:p>
    <w:p w:rsidR="007809D6" w:rsidRPr="00D47CE7" w:rsidRDefault="007809D6" w:rsidP="00E669F8">
      <w:pPr>
        <w:pStyle w:val="afd"/>
        <w:rPr>
          <w:rtl/>
        </w:rPr>
      </w:pPr>
      <w:bookmarkStart w:id="8914" w:name="_Toc17984124"/>
      <w:bookmarkStart w:id="8915" w:name="_Toc18228249"/>
      <w:bookmarkStart w:id="8916" w:name="_Toc18250780"/>
      <w:bookmarkStart w:id="8917" w:name="_Toc18266237"/>
      <w:bookmarkStart w:id="8918" w:name="_Toc18269148"/>
      <w:bookmarkStart w:id="8919" w:name="_Toc18323857"/>
      <w:bookmarkStart w:id="8920" w:name="_Toc18397435"/>
      <w:bookmarkStart w:id="8921" w:name="_Toc18404158"/>
      <w:bookmarkStart w:id="8922" w:name="_Toc18481578"/>
      <w:bookmarkEnd w:id="8906"/>
      <w:bookmarkEnd w:id="8907"/>
      <w:bookmarkEnd w:id="8908"/>
      <w:bookmarkEnd w:id="8909"/>
      <w:bookmarkEnd w:id="8910"/>
      <w:bookmarkEnd w:id="8911"/>
      <w:r w:rsidRPr="00D47CE7">
        <w:rPr>
          <w:rFonts w:hint="cs"/>
          <w:rtl/>
        </w:rPr>
        <w:t xml:space="preserve">דעת הראב"ד </w:t>
      </w:r>
      <w:bookmarkEnd w:id="8769"/>
      <w:bookmarkEnd w:id="8770"/>
      <w:bookmarkEnd w:id="8771"/>
      <w:bookmarkEnd w:id="8772"/>
      <w:bookmarkEnd w:id="8773"/>
      <w:bookmarkEnd w:id="8774"/>
      <w:bookmarkEnd w:id="8914"/>
      <w:bookmarkEnd w:id="8915"/>
      <w:bookmarkEnd w:id="8916"/>
      <w:bookmarkEnd w:id="8917"/>
      <w:bookmarkEnd w:id="8918"/>
      <w:bookmarkEnd w:id="8919"/>
      <w:bookmarkEnd w:id="8920"/>
      <w:r>
        <w:rPr>
          <w:rFonts w:hint="cs"/>
          <w:rtl/>
        </w:rPr>
        <w:t>דנטל"פ הוא בלא ראוי לגר</w:t>
      </w:r>
      <w:bookmarkEnd w:id="8921"/>
      <w:bookmarkEnd w:id="8922"/>
      <w:r w:rsidRPr="00D47CE7">
        <w:rPr>
          <w:rFonts w:hint="cs"/>
          <w:rtl/>
        </w:rPr>
        <w:t xml:space="preserve"> </w:t>
      </w:r>
    </w:p>
    <w:p w:rsidR="007809D6" w:rsidRDefault="007809D6" w:rsidP="007809D6">
      <w:pPr>
        <w:pStyle w:val="1"/>
        <w:rPr>
          <w:rtl/>
        </w:rPr>
      </w:pPr>
      <w:bookmarkStart w:id="8923" w:name="_Toc18481579"/>
      <w:bookmarkStart w:id="8924" w:name="_Toc18397436"/>
      <w:bookmarkStart w:id="8925" w:name="_Toc18404159"/>
      <w:r>
        <w:rPr>
          <w:rFonts w:hint="cs"/>
          <w:rtl/>
        </w:rPr>
        <w:t>ביאור הראב"ד דמנבילה ילפינן להתיר נטל"פ רק בפגום לגמרי</w:t>
      </w:r>
      <w:bookmarkEnd w:id="8923"/>
    </w:p>
    <w:p w:rsidR="007809D6" w:rsidRPr="00D47CE7" w:rsidRDefault="007809D6" w:rsidP="007809D6">
      <w:pPr>
        <w:pStyle w:val="a2"/>
      </w:pPr>
      <w:bookmarkStart w:id="8926" w:name="_Toc18481580"/>
      <w:r w:rsidRPr="00D47CE7">
        <w:rPr>
          <w:rFonts w:hint="cs"/>
          <w:rtl/>
        </w:rPr>
        <w:t>ביאור הראב"ד בל"</w:t>
      </w:r>
      <w:r>
        <w:rPr>
          <w:rFonts w:hint="cs"/>
          <w:rtl/>
        </w:rPr>
        <w:t>ב</w:t>
      </w:r>
      <w:r w:rsidRPr="00D47CE7">
        <w:rPr>
          <w:rFonts w:hint="cs"/>
          <w:rtl/>
        </w:rPr>
        <w:t xml:space="preserve"> דר"ל דכל שהאיסור ריבה את הפגם מותר אף שאין כל הפגם מהאיסור</w:t>
      </w:r>
      <w:bookmarkEnd w:id="8924"/>
      <w:bookmarkEnd w:id="8925"/>
      <w:bookmarkEnd w:id="8926"/>
      <w:r w:rsidRPr="00D47CE7">
        <w:rPr>
          <w:rFonts w:hint="cs"/>
          <w:rtl/>
        </w:rPr>
        <w:t xml:space="preserve"> </w:t>
      </w:r>
    </w:p>
    <w:p w:rsidR="007809D6" w:rsidRPr="00D47CE7" w:rsidRDefault="007809D6" w:rsidP="009F44AF">
      <w:pPr>
        <w:pStyle w:val="a"/>
        <w:rPr>
          <w:rtl/>
        </w:rPr>
      </w:pPr>
      <w:bookmarkStart w:id="8927" w:name="_Ref16242487"/>
      <w:r w:rsidRPr="00D47CE7">
        <w:rPr>
          <w:rFonts w:hint="cs"/>
          <w:rtl/>
        </w:rPr>
        <w:t xml:space="preserve">בביאור הל"ב דר"ל דההיתר בנותן טעם לפגם, הוא אף במקום שאפש"ל דהפגם הוא מחמת דהקדירה חסרה מלח, או תבלין, כתב </w:t>
      </w:r>
      <w:r w:rsidRPr="00D47CE7">
        <w:rPr>
          <w:rStyle w:val="af8"/>
          <w:rFonts w:hint="cs"/>
          <w:rtl/>
        </w:rPr>
        <w:t>בפי' הראב"ד</w:t>
      </w:r>
      <w:r>
        <w:rPr>
          <w:rStyle w:val="af8"/>
          <w:rFonts w:hint="cs"/>
          <w:rtl/>
        </w:rPr>
        <w:t xml:space="preserve"> </w:t>
      </w:r>
      <w:r w:rsidRPr="00D47CE7">
        <w:rPr>
          <w:rFonts w:hint="cs"/>
          <w:rtl/>
        </w:rPr>
        <w:t xml:space="preserve"> </w:t>
      </w:r>
      <w:r w:rsidRPr="00D47CE7">
        <w:rPr>
          <w:rStyle w:val="af6"/>
          <w:rFonts w:eastAsia="Guttman Hodes" w:hint="cs"/>
          <w:rtl/>
        </w:rPr>
        <w:t>(סז: ד"ה אע"ג, הועתק בקובץ שיטות קמאי ע"ז ח"ב עמ' אלף תר"ל)</w:t>
      </w:r>
      <w:r w:rsidRPr="00D47CE7">
        <w:rPr>
          <w:rFonts w:hint="cs"/>
          <w:rtl/>
        </w:rPr>
        <w:t xml:space="preserve"> דאף דאיירי בקדירה שהיה בה הרבה מלח, או שחסר בה מלח, והאיסור רק הוסיף </w:t>
      </w:r>
      <w:r w:rsidRPr="00D47CE7">
        <w:rPr>
          <w:rFonts w:hint="cs"/>
          <w:rtl/>
        </w:rPr>
        <w:lastRenderedPageBreak/>
        <w:t>בה פגם, מ"מ היא מותרת, דא"צ שכל הפגם יהיה ע"י האיסור, ואף שיש דברים שמצטרפים עמו לפגום מותר, דהוא ריבה טעם לפגם.</w:t>
      </w:r>
      <w:bookmarkEnd w:id="8927"/>
    </w:p>
    <w:p w:rsidR="007809D6" w:rsidRPr="00D47CE7" w:rsidRDefault="007809D6" w:rsidP="007809D6">
      <w:pPr>
        <w:pStyle w:val="a2"/>
        <w:rPr>
          <w:rtl/>
        </w:rPr>
      </w:pPr>
      <w:bookmarkStart w:id="8928" w:name="_Toc18397437"/>
      <w:bookmarkStart w:id="8929" w:name="_Toc18404160"/>
      <w:bookmarkStart w:id="8930" w:name="_Toc18481581"/>
      <w:r w:rsidRPr="00D47CE7">
        <w:rPr>
          <w:rFonts w:hint="cs"/>
          <w:rtl/>
        </w:rPr>
        <w:t>דברי הראב"ד דמוכח מל"ב דר"ל דנטל"פ נלמד מנבילה ומותר רק באינו ראוי לגר</w:t>
      </w:r>
      <w:bookmarkEnd w:id="8928"/>
      <w:bookmarkEnd w:id="8929"/>
      <w:bookmarkEnd w:id="8930"/>
    </w:p>
    <w:p w:rsidR="00AD5801" w:rsidRDefault="007809D6" w:rsidP="009F44AF">
      <w:pPr>
        <w:pStyle w:val="a"/>
        <w:rPr>
          <w:rStyle w:val="afa"/>
          <w:rtl/>
        </w:rPr>
      </w:pPr>
      <w:bookmarkStart w:id="8931" w:name="_Ref16242939"/>
      <w:bookmarkStart w:id="8932" w:name="_Ref16242508"/>
      <w:r w:rsidRPr="00D47CE7">
        <w:rPr>
          <w:rFonts w:hint="cs"/>
          <w:rtl/>
        </w:rPr>
        <w:t xml:space="preserve">וכתב </w:t>
      </w:r>
      <w:r w:rsidRPr="00D47CE7">
        <w:rPr>
          <w:rStyle w:val="af8"/>
          <w:rFonts w:hint="cs"/>
          <w:rtl/>
        </w:rPr>
        <w:t>בפי' הראב"ד</w:t>
      </w:r>
      <w:r>
        <w:rPr>
          <w:rStyle w:val="af8"/>
          <w:rFonts w:hint="cs"/>
          <w:rtl/>
        </w:rPr>
        <w:t xml:space="preserve"> </w:t>
      </w:r>
      <w:r w:rsidRPr="00D47CE7">
        <w:rPr>
          <w:rFonts w:hint="cs"/>
          <w:rtl/>
        </w:rPr>
        <w:t>דמוכח מל"ב דר"ל דהיתר נותן טעם לפגם נלמד מהילפותא דנבילה, דהאיסור בנבילה הוא רק כשהיא ראויה לגר, אבל כשאינה ראויה לגר היא מותרת, ומנבילה ילפינן לשאר איסורים דכל שאינם ראויים לאכילה, מותרים מדין נותן טעם לפגם</w:t>
      </w:r>
      <w:bookmarkEnd w:id="8931"/>
      <w:r w:rsidRPr="00D47CE7">
        <w:rPr>
          <w:rStyle w:val="af0"/>
          <w:rtl/>
        </w:rPr>
        <w:footnoteReference w:id="33"/>
      </w:r>
      <w:r w:rsidRPr="00D47CE7">
        <w:rPr>
          <w:rFonts w:hint="cs"/>
          <w:rtl/>
        </w:rPr>
        <w:t>.</w:t>
      </w:r>
      <w:bookmarkEnd w:id="8932"/>
    </w:p>
    <w:p w:rsidR="007809D6" w:rsidRPr="00D47CE7" w:rsidRDefault="007809D6" w:rsidP="007809D6">
      <w:pPr>
        <w:pStyle w:val="a2"/>
        <w:rPr>
          <w:rtl/>
        </w:rPr>
      </w:pPr>
      <w:bookmarkStart w:id="8933" w:name="_Toc18397438"/>
      <w:bookmarkStart w:id="8934" w:name="_Toc18404161"/>
      <w:bookmarkStart w:id="8935" w:name="_Toc18481582"/>
      <w:r w:rsidRPr="00D47CE7">
        <w:rPr>
          <w:rFonts w:hint="cs"/>
          <w:rtl/>
        </w:rPr>
        <w:t>ביאור הר"ן והריטב"א בראב"ד דכוונת ר"ל לומר דאינה נאכלת לגמרי</w:t>
      </w:r>
      <w:bookmarkEnd w:id="8933"/>
      <w:bookmarkEnd w:id="8934"/>
      <w:bookmarkEnd w:id="8935"/>
      <w:r w:rsidRPr="00D47CE7">
        <w:rPr>
          <w:rFonts w:hint="cs"/>
          <w:rtl/>
        </w:rPr>
        <w:t xml:space="preserve"> </w:t>
      </w:r>
    </w:p>
    <w:p w:rsidR="007809D6" w:rsidRPr="00D47CE7" w:rsidRDefault="007809D6" w:rsidP="009F44AF">
      <w:pPr>
        <w:pStyle w:val="a"/>
        <w:rPr>
          <w:rStyle w:val="afa"/>
        </w:rPr>
      </w:pPr>
      <w:bookmarkStart w:id="8936" w:name="_Ref16242661"/>
      <w:bookmarkStart w:id="8937" w:name="_Ref16676455"/>
      <w:r w:rsidRPr="00D47CE7">
        <w:rPr>
          <w:rFonts w:hint="cs"/>
          <w:rtl/>
        </w:rPr>
        <w:t xml:space="preserve">וביארו </w:t>
      </w:r>
      <w:r w:rsidRPr="00D47CE7">
        <w:rPr>
          <w:rStyle w:val="af8"/>
          <w:rtl/>
        </w:rPr>
        <w:t>הר"ן בחי'</w:t>
      </w:r>
      <w:r>
        <w:rPr>
          <w:rStyle w:val="af8"/>
          <w:rtl/>
        </w:rPr>
        <w:t xml:space="preserve"> </w:t>
      </w:r>
      <w:r w:rsidRPr="00D47CE7">
        <w:rPr>
          <w:rStyle w:val="af6"/>
          <w:rFonts w:eastAsia="Guttman Hodes" w:hint="cs"/>
          <w:rtl/>
        </w:rPr>
        <w:t>(סו: סוד"ה כל)</w:t>
      </w:r>
      <w:r w:rsidRPr="00D47CE7">
        <w:rPr>
          <w:rStyle w:val="af6"/>
          <w:rFonts w:eastAsia="Guttman Hodes"/>
          <w:rtl/>
        </w:rPr>
        <w:t xml:space="preserve"> </w:t>
      </w:r>
      <w:r w:rsidRPr="00D47CE7">
        <w:rPr>
          <w:rStyle w:val="af8"/>
          <w:rFonts w:hint="cs"/>
          <w:rtl/>
        </w:rPr>
        <w:t>והריטב"א</w:t>
      </w:r>
      <w:r>
        <w:rPr>
          <w:rStyle w:val="af8"/>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Ref16762484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w:t>
      </w:r>
      <w:r w:rsidRPr="00D47CE7">
        <w:rPr>
          <w:rStyle w:val="af6"/>
          <w:rFonts w:eastAsia="Guttman Hodes"/>
          <w:rtl/>
        </w:rPr>
        <w:fldChar w:fldCharType="end"/>
      </w:r>
      <w:r w:rsidRPr="00D47CE7">
        <w:rPr>
          <w:rStyle w:val="af8"/>
          <w:rFonts w:hint="cs"/>
          <w:rtl/>
        </w:rPr>
        <w:t xml:space="preserve"> דהראב"ד</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Ref16242939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D47CE7">
        <w:rPr>
          <w:rStyle w:val="af6"/>
          <w:rFonts w:eastAsia="Guttman Hodes"/>
          <w:rtl/>
        </w:rPr>
        <w:fldChar w:fldCharType="end"/>
      </w:r>
      <w:r w:rsidRPr="00D47CE7">
        <w:rPr>
          <w:rFonts w:hint="cs"/>
          <w:rtl/>
        </w:rPr>
        <w:t xml:space="preserve"> טרח לפרש דהא דאמר ר"ל דאינה נאכלת, היינו בדוקא שאינה ראויה לאכילה,</w:t>
      </w:r>
      <w:r w:rsidRPr="00D47CE7">
        <w:rPr>
          <w:rStyle w:val="a7"/>
          <w:rFonts w:hint="cs"/>
          <w:rtl/>
        </w:rPr>
        <w:t xml:space="preserve"> </w:t>
      </w:r>
      <w:r w:rsidRPr="00D47CE7">
        <w:rPr>
          <w:rStyle w:val="afa"/>
          <w:rFonts w:hint="cs"/>
          <w:rtl/>
        </w:rPr>
        <w:t xml:space="preserve">[ודלא </w:t>
      </w:r>
      <w:r w:rsidRPr="00D47CE7">
        <w:rPr>
          <w:rStyle w:val="affa"/>
          <w:rFonts w:hint="cs"/>
          <w:rtl/>
        </w:rPr>
        <w:t>כרש"י ותוס'</w:t>
      </w:r>
      <w:r w:rsidRPr="00D47CE7">
        <w:rPr>
          <w:rStyle w:val="afa"/>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Ref16676320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ב)</w:t>
      </w:r>
      <w:r w:rsidRPr="00D47CE7">
        <w:rPr>
          <w:rStyle w:val="aff6"/>
          <w:rtl/>
        </w:rPr>
        <w:fldChar w:fldCharType="end"/>
      </w:r>
      <w:r w:rsidRPr="00D47CE7">
        <w:rPr>
          <w:rStyle w:val="affa"/>
          <w:rFonts w:hint="cs"/>
          <w:rtl/>
        </w:rPr>
        <w:t xml:space="preserve"> והראשונים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Ref16503226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יג)</w:t>
      </w:r>
      <w:r w:rsidRPr="00D47CE7">
        <w:rPr>
          <w:rStyle w:val="aff6"/>
          <w:rtl/>
        </w:rPr>
        <w:fldChar w:fldCharType="end"/>
      </w:r>
      <w:r w:rsidRPr="00D47CE7">
        <w:rPr>
          <w:rStyle w:val="afa"/>
          <w:rFonts w:hint="cs"/>
          <w:rtl/>
        </w:rPr>
        <w:t>],</w:t>
      </w:r>
      <w:r w:rsidRPr="00D47CE7">
        <w:rPr>
          <w:rStyle w:val="a7"/>
          <w:rFonts w:hint="cs"/>
          <w:rtl/>
        </w:rPr>
        <w:t xml:space="preserve"> אך כתב </w:t>
      </w:r>
      <w:r w:rsidRPr="00D47CE7">
        <w:rPr>
          <w:rStyle w:val="af8"/>
          <w:rFonts w:hint="cs"/>
          <w:rtl/>
        </w:rPr>
        <w:t>הר"ן</w:t>
      </w:r>
      <w:r w:rsidRPr="00D47CE7">
        <w:rPr>
          <w:rStyle w:val="a7"/>
          <w:rFonts w:hint="cs"/>
          <w:rtl/>
        </w:rPr>
        <w:t xml:space="preserve"> דלא עלתה ביד </w:t>
      </w:r>
      <w:r w:rsidRPr="00D47CE7">
        <w:rPr>
          <w:rStyle w:val="af8"/>
          <w:rFonts w:hint="cs"/>
          <w:rtl/>
        </w:rPr>
        <w:t>הראב"ד</w:t>
      </w:r>
      <w:r w:rsidRPr="00D47CE7">
        <w:rPr>
          <w:rStyle w:val="a7"/>
          <w:rFonts w:hint="cs"/>
          <w:rtl/>
        </w:rPr>
        <w:t xml:space="preserve"> לפרש דאינה נאכלת הוא בדוקא, שאינה ראויה לאכילה כנבילה.</w:t>
      </w:r>
      <w:r w:rsidRPr="00D47CE7">
        <w:rPr>
          <w:rFonts w:hint="cs"/>
          <w:rtl/>
        </w:rPr>
        <w:t xml:space="preserve"> </w:t>
      </w:r>
      <w:r w:rsidRPr="00D47CE7">
        <w:rPr>
          <w:rStyle w:val="afa"/>
          <w:rFonts w:hint="cs"/>
          <w:rtl/>
        </w:rPr>
        <w:t xml:space="preserve">[והיינו דס"ל </w:t>
      </w:r>
      <w:r w:rsidRPr="00D47CE7">
        <w:rPr>
          <w:rStyle w:val="affa"/>
          <w:rFonts w:hint="cs"/>
          <w:rtl/>
        </w:rPr>
        <w:t>להראב"ד</w:t>
      </w:r>
      <w:r w:rsidRPr="00D47CE7">
        <w:rPr>
          <w:rStyle w:val="afa"/>
          <w:rFonts w:hint="cs"/>
          <w:rtl/>
        </w:rPr>
        <w:t xml:space="preserve"> דהביאור בדברי ר"ל דאמר [בל"ק] דאיירי בקדירה שאינה נאכלת, הכוונה שאינה נאכלת לגמרי כנבילה, וא"כ בל"ב ביאר </w:t>
      </w:r>
      <w:r w:rsidRPr="00D47CE7">
        <w:rPr>
          <w:rStyle w:val="affa"/>
          <w:rFonts w:hint="cs"/>
          <w:rtl/>
        </w:rPr>
        <w:t>הראב"ד</w:t>
      </w:r>
      <w:r w:rsidRPr="00D47CE7">
        <w:rPr>
          <w:rStyle w:val="afa"/>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Ref16242487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עב)</w:t>
      </w:r>
      <w:r w:rsidRPr="00D47CE7">
        <w:rPr>
          <w:rStyle w:val="aff6"/>
          <w:rtl/>
        </w:rPr>
        <w:fldChar w:fldCharType="end"/>
      </w:r>
      <w:r w:rsidRPr="00D47CE7">
        <w:rPr>
          <w:rStyle w:val="afa"/>
          <w:rFonts w:hint="cs"/>
          <w:rtl/>
        </w:rPr>
        <w:t xml:space="preserve"> דא"צ שכל הפגם שאינה נאכלת יהיה מחמת האיסור, אלא מותר אף כשיש דברים שמצטרפים עם האיסור לפגום, כיון שהאיסור ריבה את הפגם</w:t>
      </w:r>
      <w:bookmarkEnd w:id="8936"/>
      <w:r w:rsidRPr="00D47CE7">
        <w:rPr>
          <w:rStyle w:val="afa"/>
          <w:rFonts w:hint="cs"/>
          <w:rtl/>
        </w:rPr>
        <w:t xml:space="preserve">, ומ"ש </w:t>
      </w:r>
      <w:r w:rsidRPr="00D47CE7">
        <w:rPr>
          <w:rStyle w:val="affa"/>
          <w:rFonts w:hint="cs"/>
          <w:rtl/>
        </w:rPr>
        <w:t>הר"ן</w:t>
      </w:r>
      <w:r w:rsidRPr="00D47CE7">
        <w:rPr>
          <w:rStyle w:val="afa"/>
          <w:rFonts w:hint="cs"/>
          <w:rtl/>
        </w:rPr>
        <w:t xml:space="preserve"> דלא עלתה ביד </w:t>
      </w:r>
      <w:r w:rsidRPr="00D47CE7">
        <w:rPr>
          <w:rStyle w:val="affa"/>
          <w:rFonts w:hint="cs"/>
          <w:rtl/>
        </w:rPr>
        <w:t>הראב"ד</w:t>
      </w:r>
      <w:r w:rsidRPr="00D47CE7">
        <w:rPr>
          <w:rStyle w:val="afa"/>
          <w:rFonts w:hint="cs"/>
          <w:rtl/>
        </w:rPr>
        <w:t xml:space="preserve"> לפרשה, היינו כיון דהוקשה</w:t>
      </w:r>
      <w:r w:rsidRPr="00D47CE7">
        <w:rPr>
          <w:rFonts w:hint="cs"/>
          <w:rtl/>
        </w:rPr>
        <w:t xml:space="preserve"> </w:t>
      </w:r>
      <w:r w:rsidRPr="00D47CE7">
        <w:rPr>
          <w:rStyle w:val="affa"/>
          <w:rFonts w:hint="cs"/>
          <w:rtl/>
        </w:rPr>
        <w:t>לראב"ד</w:t>
      </w:r>
      <w:r w:rsidRPr="00D47CE7">
        <w:rPr>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Ref16242517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עה)</w:t>
      </w:r>
      <w:r w:rsidRPr="00D47CE7">
        <w:rPr>
          <w:rStyle w:val="aff6"/>
          <w:rtl/>
        </w:rPr>
        <w:fldChar w:fldCharType="end"/>
      </w:r>
      <w:r w:rsidRPr="00D47CE7">
        <w:rPr>
          <w:rFonts w:hint="cs"/>
          <w:rtl/>
        </w:rPr>
        <w:t xml:space="preserve"> </w:t>
      </w:r>
      <w:r w:rsidRPr="00D47CE7">
        <w:rPr>
          <w:rStyle w:val="afa"/>
          <w:rFonts w:hint="cs"/>
          <w:rtl/>
        </w:rPr>
        <w:t>מהגמ' בפסחים ובע"ז לקמן, דבגיעולי עכו"ם מוכח דההיתר בנותן טעם לפגם, הוא אף בפגם מועט וכשהיא ראויה לגר].</w:t>
      </w:r>
      <w:bookmarkEnd w:id="8937"/>
    </w:p>
    <w:p w:rsidR="007809D6" w:rsidRPr="00D47CE7" w:rsidRDefault="007809D6" w:rsidP="007809D6">
      <w:pPr>
        <w:pStyle w:val="a2"/>
        <w:rPr>
          <w:rtl/>
        </w:rPr>
      </w:pPr>
      <w:bookmarkStart w:id="8938" w:name="_Toc18397439"/>
      <w:bookmarkStart w:id="8939" w:name="_Toc18404162"/>
      <w:bookmarkStart w:id="8940" w:name="_Toc18481583"/>
      <w:r w:rsidRPr="00D47CE7">
        <w:rPr>
          <w:rFonts w:hint="cs"/>
          <w:rtl/>
        </w:rPr>
        <w:t>קושית הראב"ד דבקדירה דלאו בת יומא מוכח דאף בפגם מועט מותר והיאך ילפינן מנבילה</w:t>
      </w:r>
      <w:bookmarkEnd w:id="8938"/>
      <w:bookmarkEnd w:id="8939"/>
      <w:bookmarkEnd w:id="8940"/>
    </w:p>
    <w:p w:rsidR="007809D6" w:rsidRPr="00D47CE7" w:rsidRDefault="007809D6" w:rsidP="009F44AF">
      <w:pPr>
        <w:pStyle w:val="a"/>
        <w:rPr>
          <w:rtl/>
        </w:rPr>
      </w:pPr>
      <w:bookmarkStart w:id="8941" w:name="_Ref16242517"/>
      <w:bookmarkStart w:id="8942" w:name="_Ref18339099"/>
      <w:r w:rsidRPr="00D47CE7">
        <w:rPr>
          <w:rFonts w:hint="cs"/>
          <w:rtl/>
        </w:rPr>
        <w:t xml:space="preserve">אך הקשה </w:t>
      </w:r>
      <w:r w:rsidRPr="00D47CE7">
        <w:rPr>
          <w:rStyle w:val="af8"/>
          <w:rFonts w:hint="cs"/>
          <w:rtl/>
        </w:rPr>
        <w:t>בפי' הראב"ד</w:t>
      </w:r>
      <w:r>
        <w:rPr>
          <w:rStyle w:val="af8"/>
          <w:rFonts w:hint="cs"/>
          <w:rtl/>
        </w:rPr>
        <w:t xml:space="preserve"> </w:t>
      </w:r>
      <w:r w:rsidRPr="00D47CE7">
        <w:rPr>
          <w:rFonts w:hint="cs"/>
          <w:rtl/>
        </w:rPr>
        <w:t xml:space="preserve">דאיתא בגמ' בפסחים </w:t>
      </w:r>
      <w:r w:rsidRPr="00D47CE7">
        <w:rPr>
          <w:rStyle w:val="af6"/>
          <w:rFonts w:eastAsia="Guttman Hodes" w:hint="cs"/>
          <w:rtl/>
        </w:rPr>
        <w:t>(מד:)</w:t>
      </w:r>
      <w:r w:rsidRPr="00D47CE7">
        <w:rPr>
          <w:rFonts w:hint="cs"/>
          <w:rtl/>
        </w:rPr>
        <w:t xml:space="preserve"> דר"ע יליף דטעם כעיקר דאו', מגיעולי עכו"ם וס"ל לר"ע דגיעולי עכו"ם אינו נותן טעם לפגם, דהאיסור הוא רק בקדירה בת יומא, ולכן גיעולי עכו"ם אינו חידוש, וילפינן מיניה, אבל לרבנן לא ילפינן מגיעולי עכו"ם, כיון דאף בקדירה בת יומא יש פגם מועט, וגיעולי עכו"ם הוא חידוש ולא ילפינן מיניה, וכתב </w:t>
      </w:r>
      <w:r w:rsidRPr="00D47CE7">
        <w:rPr>
          <w:rStyle w:val="af8"/>
          <w:rFonts w:hint="cs"/>
          <w:rtl/>
        </w:rPr>
        <w:t>הראב"ד</w:t>
      </w:r>
      <w:r w:rsidRPr="00D47CE7">
        <w:rPr>
          <w:rFonts w:hint="cs"/>
          <w:rtl/>
        </w:rPr>
        <w:t xml:space="preserve"> דמשמע בגמ' בפסחים דדוקא בקדירה בת יומא חידשה תורה דהיא אסורה בפגם מועט, אבל בשאר נותן טעם לפגם אין כל איסור בפגם מועט, והיאך ילפינן לה מנבילה, שמותר רק כשאינה ראויה לגר, ולא בפגם מועט, וכתב </w:t>
      </w:r>
      <w:r w:rsidRPr="00D47CE7">
        <w:rPr>
          <w:rStyle w:val="af8"/>
          <w:rFonts w:hint="cs"/>
          <w:rtl/>
        </w:rPr>
        <w:t>הראב"ד</w:t>
      </w:r>
      <w:r w:rsidRPr="00D47CE7">
        <w:rPr>
          <w:rFonts w:hint="cs"/>
          <w:rtl/>
        </w:rPr>
        <w:t xml:space="preserve"> דכן משמע בגמ'</w:t>
      </w:r>
      <w:r>
        <w:rPr>
          <w:rFonts w:hint="cs"/>
          <w:rtl/>
        </w:rPr>
        <w:t xml:space="preserve"> </w:t>
      </w:r>
      <w:r w:rsidRPr="00D47CE7">
        <w:rPr>
          <w:rFonts w:hint="cs"/>
          <w:rtl/>
        </w:rPr>
        <w:t xml:space="preserve">לקמן </w:t>
      </w:r>
      <w:r w:rsidRPr="00D47CE7">
        <w:rPr>
          <w:rStyle w:val="af6"/>
          <w:rFonts w:eastAsia="Guttman Hodes" w:hint="cs"/>
          <w:rtl/>
        </w:rPr>
        <w:t>(עה:)</w:t>
      </w:r>
      <w:r w:rsidRPr="00D47CE7">
        <w:rPr>
          <w:rFonts w:hint="cs"/>
          <w:rtl/>
        </w:rPr>
        <w:t xml:space="preserve"> דלמ"ד דנותן טעם לפגם מותר, ס"ל דהאיסור בגיעולי עכו"ם הוא חידוש, שנאמר רק בקדירה בת יומא ולא ילפינן מיניה, </w:t>
      </w:r>
      <w:bookmarkEnd w:id="8941"/>
      <w:r w:rsidRPr="00D47CE7">
        <w:rPr>
          <w:rFonts w:hint="cs"/>
          <w:rtl/>
        </w:rPr>
        <w:t xml:space="preserve">ומבואר דההיתר בנותן טעם לפגם הוא בפגם מועט. [ובאמת </w:t>
      </w:r>
      <w:r w:rsidRPr="00D47CE7">
        <w:rPr>
          <w:rStyle w:val="af8"/>
          <w:rFonts w:hint="cs"/>
          <w:rtl/>
        </w:rPr>
        <w:t xml:space="preserve">הרמב"ן והרשב"א והר"ן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Ref16503226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D47CE7">
        <w:rPr>
          <w:rStyle w:val="af6"/>
          <w:rFonts w:eastAsia="Guttman Hodes"/>
          <w:rtl/>
        </w:rPr>
        <w:fldChar w:fldCharType="end"/>
      </w:r>
      <w:r w:rsidRPr="00D47CE7">
        <w:rPr>
          <w:rFonts w:hint="cs"/>
          <w:rtl/>
        </w:rPr>
        <w:t xml:space="preserve"> כתבו דמוכח מקדירה בת יומא דאף בפגם מועט מותר, ודלא </w:t>
      </w:r>
      <w:r w:rsidRPr="00D47CE7">
        <w:rPr>
          <w:rStyle w:val="af8"/>
          <w:rFonts w:hint="cs"/>
          <w:rtl/>
        </w:rPr>
        <w:t>כהראב"ד</w:t>
      </w:r>
      <w:r w:rsidRPr="00D47CE7">
        <w:rPr>
          <w:rFonts w:hint="cs"/>
          <w:rtl/>
        </w:rPr>
        <w:t>].</w:t>
      </w:r>
      <w:bookmarkEnd w:id="8942"/>
    </w:p>
    <w:p w:rsidR="007809D6" w:rsidRPr="00D47CE7" w:rsidRDefault="007809D6" w:rsidP="007809D6">
      <w:pPr>
        <w:pStyle w:val="a2"/>
        <w:rPr>
          <w:rtl/>
        </w:rPr>
      </w:pPr>
      <w:bookmarkStart w:id="8943" w:name="_Toc18397440"/>
      <w:bookmarkStart w:id="8944" w:name="_Toc18404163"/>
      <w:bookmarkStart w:id="8945" w:name="_Toc18481584"/>
      <w:r w:rsidRPr="00D47CE7">
        <w:rPr>
          <w:rFonts w:hint="cs"/>
          <w:rtl/>
        </w:rPr>
        <w:t>דברי הראב"ד דדעת רבנן</w:t>
      </w:r>
      <w:r>
        <w:rPr>
          <w:rFonts w:hint="cs"/>
          <w:rtl/>
        </w:rPr>
        <w:t xml:space="preserve"> </w:t>
      </w:r>
      <w:r w:rsidRPr="00D47CE7">
        <w:rPr>
          <w:rFonts w:hint="cs"/>
          <w:rtl/>
        </w:rPr>
        <w:t>לקמן דפגום במקצת מותר אך לדידן ילפינן מנבילה דאסור</w:t>
      </w:r>
      <w:bookmarkEnd w:id="8943"/>
      <w:bookmarkEnd w:id="8944"/>
      <w:bookmarkEnd w:id="8945"/>
    </w:p>
    <w:p w:rsidR="007809D6" w:rsidRPr="00D47CE7" w:rsidRDefault="007809D6" w:rsidP="009F44AF">
      <w:pPr>
        <w:pStyle w:val="a"/>
        <w:rPr>
          <w:rStyle w:val="afa"/>
          <w:rtl/>
        </w:rPr>
      </w:pPr>
      <w:bookmarkStart w:id="8946" w:name="_Ref16503318"/>
      <w:r w:rsidRPr="00D47CE7">
        <w:rPr>
          <w:rFonts w:hint="cs"/>
          <w:rtl/>
        </w:rPr>
        <w:t xml:space="preserve">ותירץ </w:t>
      </w:r>
      <w:r w:rsidRPr="00D47CE7">
        <w:rPr>
          <w:rStyle w:val="af8"/>
          <w:rFonts w:hint="cs"/>
          <w:rtl/>
        </w:rPr>
        <w:t>בפי' הראב"ד</w:t>
      </w:r>
      <w:r>
        <w:rPr>
          <w:rStyle w:val="af8"/>
          <w:rFonts w:hint="cs"/>
          <w:rtl/>
        </w:rPr>
        <w:t xml:space="preserve"> </w:t>
      </w:r>
      <w:r w:rsidRPr="00D47CE7">
        <w:rPr>
          <w:rStyle w:val="af6"/>
          <w:rFonts w:eastAsia="Guttman Hodes" w:hint="cs"/>
          <w:rtl/>
        </w:rPr>
        <w:t>(סז: ד"ה ואידך בתו"ד, הועתק בקובץ שיטות קמאי ע"ז ח"ב עמ' אלף תרמ"ו)</w:t>
      </w:r>
      <w:r w:rsidRPr="00D47CE7">
        <w:rPr>
          <w:rFonts w:hint="cs"/>
          <w:rtl/>
        </w:rPr>
        <w:t xml:space="preserve"> דאפש"ל דרבנן בגמ'</w:t>
      </w:r>
      <w:r>
        <w:rPr>
          <w:rFonts w:hint="cs"/>
          <w:rtl/>
        </w:rPr>
        <w:t xml:space="preserve"> </w:t>
      </w:r>
      <w:r w:rsidRPr="00D47CE7">
        <w:rPr>
          <w:rFonts w:hint="cs"/>
          <w:rtl/>
        </w:rPr>
        <w:t xml:space="preserve">לקמן </w:t>
      </w:r>
      <w:r w:rsidRPr="00D47CE7">
        <w:rPr>
          <w:rStyle w:val="afa"/>
          <w:rFonts w:hint="cs"/>
          <w:rtl/>
        </w:rPr>
        <w:t>[ובגמ' בפסחים]</w:t>
      </w:r>
      <w:r w:rsidRPr="00D47CE7">
        <w:rPr>
          <w:rFonts w:hint="cs"/>
          <w:rtl/>
        </w:rPr>
        <w:t xml:space="preserve"> ס"ל דההיתר בנותן טעם לפגם הוא אף בפגם מועט, אבל לדידן ודאי דההיתר הוא רק כשפגם לגמרי כנבילה שאינה ראויה לגר, כדמוכח מה</w:t>
      </w:r>
      <w:r w:rsidR="00715158">
        <w:rPr>
          <w:rFonts w:hint="cs"/>
          <w:rtl/>
        </w:rPr>
        <w:t>סוגית</w:t>
      </w:r>
      <w:r w:rsidRPr="00D47CE7">
        <w:rPr>
          <w:rFonts w:hint="cs"/>
          <w:rtl/>
        </w:rPr>
        <w:t xml:space="preserve"> דידן</w:t>
      </w:r>
      <w:r>
        <w:rPr>
          <w:rFonts w:hint="cs"/>
          <w:rtl/>
        </w:rPr>
        <w:t xml:space="preserve"> </w:t>
      </w:r>
      <w:r w:rsidRPr="00D47CE7">
        <w:rPr>
          <w:rStyle w:val="afa"/>
          <w:rFonts w:hint="cs"/>
          <w:rtl/>
        </w:rPr>
        <w:t xml:space="preserve">[דהיינו מדברי ר"ל כדביאר </w:t>
      </w:r>
      <w:r w:rsidRPr="00D47CE7">
        <w:rPr>
          <w:rStyle w:val="affa"/>
          <w:rFonts w:hint="cs"/>
          <w:rtl/>
        </w:rPr>
        <w:t>הראב"ד</w:t>
      </w:r>
      <w:r w:rsidRPr="00D47CE7">
        <w:rPr>
          <w:rStyle w:val="afa"/>
          <w:rFonts w:hint="cs"/>
          <w:rtl/>
        </w:rPr>
        <w:t xml:space="preserve">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Ref16242939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עג)</w:t>
      </w:r>
      <w:r w:rsidRPr="00D47CE7">
        <w:rPr>
          <w:rStyle w:val="aff6"/>
          <w:rtl/>
        </w:rPr>
        <w:fldChar w:fldCharType="end"/>
      </w:r>
      <w:r w:rsidRPr="00D47CE7">
        <w:rPr>
          <w:rStyle w:val="afa"/>
          <w:rFonts w:hint="cs"/>
          <w:rtl/>
        </w:rPr>
        <w:t>].</w:t>
      </w:r>
      <w:bookmarkEnd w:id="8946"/>
    </w:p>
    <w:p w:rsidR="007809D6" w:rsidRPr="00D47CE7" w:rsidRDefault="007809D6" w:rsidP="007809D6">
      <w:pPr>
        <w:pStyle w:val="a2"/>
        <w:rPr>
          <w:rtl/>
        </w:rPr>
      </w:pPr>
      <w:bookmarkStart w:id="8947" w:name="_Toc18397441"/>
      <w:bookmarkStart w:id="8948" w:name="_Toc18404164"/>
      <w:bookmarkStart w:id="8949" w:name="_Toc18481585"/>
      <w:r w:rsidRPr="00D47CE7">
        <w:rPr>
          <w:rFonts w:hint="cs"/>
          <w:rtl/>
        </w:rPr>
        <w:t>קושית הראב"ד דאי לרבנן פגום במקצת מותר א"כ אין חילוק בין בת יומא ללא בת יומא</w:t>
      </w:r>
      <w:bookmarkEnd w:id="8947"/>
      <w:bookmarkEnd w:id="8948"/>
      <w:bookmarkEnd w:id="8949"/>
    </w:p>
    <w:p w:rsidR="007809D6" w:rsidRPr="00D47CE7" w:rsidRDefault="007809D6" w:rsidP="009F44AF">
      <w:pPr>
        <w:pStyle w:val="a"/>
        <w:rPr>
          <w:rtl/>
        </w:rPr>
      </w:pPr>
      <w:r w:rsidRPr="00D47CE7">
        <w:rPr>
          <w:rFonts w:hint="cs"/>
          <w:rtl/>
        </w:rPr>
        <w:t xml:space="preserve">אך הקשה </w:t>
      </w:r>
      <w:r w:rsidRPr="00D47CE7">
        <w:rPr>
          <w:rStyle w:val="af8"/>
          <w:rFonts w:hint="cs"/>
          <w:rtl/>
        </w:rPr>
        <w:t>בפי' הראב"ד</w:t>
      </w:r>
      <w:r>
        <w:rPr>
          <w:rStyle w:val="af8"/>
          <w:rFonts w:hint="cs"/>
          <w:rtl/>
        </w:rPr>
        <w:t xml:space="preserve"> </w:t>
      </w:r>
      <w:r w:rsidRPr="00D47CE7">
        <w:rPr>
          <w:rFonts w:hint="cs"/>
          <w:rtl/>
        </w:rPr>
        <w:t>על דעת רבנן</w:t>
      </w:r>
      <w:r>
        <w:rPr>
          <w:rFonts w:hint="cs"/>
          <w:rtl/>
        </w:rPr>
        <w:t xml:space="preserve"> </w:t>
      </w:r>
      <w:r w:rsidRPr="00D47CE7">
        <w:rPr>
          <w:rFonts w:hint="cs"/>
          <w:rtl/>
        </w:rPr>
        <w:t>לקמן, דאי ס"ל דאסרה תורה רק בקדירה בת יומא, וס"ל דאף קדירה בת יומא פוגמת קצת, וס"ל דההיתר בנותן טעם לפגם הוא אף בפגם מועט, ובגיעולי עכו"ם הוא חידוש דאסרה תורה, א"כ אמאי אמרינן דהחידוש הוא רק בקדירה בת יומא, והרי בשאר האיסורים אין כל חילוק בין פגום במקצת לפגום לגמרי, דבשניהם נאמר ההיתר דנותן טעם לפגם</w:t>
      </w:r>
      <w:bookmarkStart w:id="8950" w:name="_Toc16243782"/>
      <w:r w:rsidRPr="00D47CE7">
        <w:rPr>
          <w:rFonts w:hint="cs"/>
          <w:rtl/>
        </w:rPr>
        <w:t xml:space="preserve">, ועוד הקשה </w:t>
      </w:r>
      <w:r w:rsidRPr="00D47CE7">
        <w:rPr>
          <w:rStyle w:val="af8"/>
          <w:rFonts w:hint="cs"/>
          <w:rtl/>
        </w:rPr>
        <w:t>בפי' הראב"ד</w:t>
      </w:r>
      <w:r>
        <w:rPr>
          <w:rStyle w:val="af8"/>
          <w:rFonts w:hint="cs"/>
          <w:rtl/>
        </w:rPr>
        <w:t xml:space="preserve"> </w:t>
      </w:r>
      <w:r w:rsidRPr="00D47CE7">
        <w:rPr>
          <w:rFonts w:hint="cs"/>
          <w:rtl/>
        </w:rPr>
        <w:t>למה הוצרכו רבנן בגמ'</w:t>
      </w:r>
      <w:r>
        <w:rPr>
          <w:rFonts w:hint="cs"/>
          <w:rtl/>
        </w:rPr>
        <w:t xml:space="preserve"> </w:t>
      </w:r>
      <w:r w:rsidRPr="00D47CE7">
        <w:rPr>
          <w:rFonts w:hint="cs"/>
          <w:rtl/>
        </w:rPr>
        <w:t>לקמן לומר, דאסרה תורה רק בקדירה בת יומא, והרי כיון דס"ל דגיעולי הוא חידוש, א"כ אפש"ל דאסרה תורה אף בקדירה שאינה בת יומא.</w:t>
      </w:r>
    </w:p>
    <w:p w:rsidR="007809D6" w:rsidRPr="00D47CE7" w:rsidRDefault="007809D6" w:rsidP="007809D6">
      <w:pPr>
        <w:pStyle w:val="a2"/>
        <w:rPr>
          <w:rtl/>
        </w:rPr>
      </w:pPr>
      <w:bookmarkStart w:id="8951" w:name="_Toc18397442"/>
      <w:bookmarkStart w:id="8952" w:name="_Toc18404165"/>
      <w:bookmarkStart w:id="8953" w:name="_Toc18481586"/>
      <w:r w:rsidRPr="00D47CE7">
        <w:rPr>
          <w:rFonts w:hint="cs"/>
          <w:rtl/>
        </w:rPr>
        <w:t>דברי הראב"ד דהא דמבואר בקדירה בת יומא דפגום במקצת מותר הם דברי תלמיד</w:t>
      </w:r>
      <w:bookmarkEnd w:id="8951"/>
      <w:bookmarkEnd w:id="8952"/>
      <w:bookmarkEnd w:id="8953"/>
    </w:p>
    <w:p w:rsidR="00AD5801" w:rsidRDefault="007809D6" w:rsidP="009F44AF">
      <w:pPr>
        <w:pStyle w:val="a"/>
        <w:rPr>
          <w:rtl/>
        </w:rPr>
      </w:pPr>
      <w:r w:rsidRPr="00D47CE7">
        <w:rPr>
          <w:rFonts w:hint="cs"/>
          <w:rtl/>
        </w:rPr>
        <w:t xml:space="preserve">אלא כתב </w:t>
      </w:r>
      <w:r w:rsidRPr="00D47CE7">
        <w:rPr>
          <w:rStyle w:val="af8"/>
          <w:rFonts w:hint="cs"/>
          <w:rtl/>
        </w:rPr>
        <w:t>בפי' הראב"ד</w:t>
      </w:r>
      <w:r>
        <w:rPr>
          <w:rStyle w:val="af8"/>
          <w:rFonts w:hint="cs"/>
          <w:rtl/>
        </w:rPr>
        <w:t xml:space="preserve"> </w:t>
      </w:r>
      <w:r w:rsidRPr="00D47CE7">
        <w:rPr>
          <w:rFonts w:hint="cs"/>
          <w:rtl/>
        </w:rPr>
        <w:t>דמוכח דהא דאמרינן בגמ'</w:t>
      </w:r>
      <w:r>
        <w:rPr>
          <w:rFonts w:hint="cs"/>
          <w:rtl/>
        </w:rPr>
        <w:t xml:space="preserve"> </w:t>
      </w:r>
      <w:r w:rsidRPr="00D47CE7">
        <w:rPr>
          <w:rFonts w:hint="cs"/>
          <w:rtl/>
        </w:rPr>
        <w:t xml:space="preserve">לקמן </w:t>
      </w:r>
      <w:r w:rsidRPr="00D47CE7">
        <w:rPr>
          <w:rStyle w:val="afa"/>
          <w:rFonts w:hint="cs"/>
          <w:rtl/>
        </w:rPr>
        <w:t xml:space="preserve">[ובגמ' בפסחים </w:t>
      </w:r>
      <w:r w:rsidRPr="00D47CE7">
        <w:rPr>
          <w:rStyle w:val="aff6"/>
          <w:rFonts w:hint="cs"/>
          <w:rtl/>
        </w:rPr>
        <w:t>(מד:)</w:t>
      </w:r>
      <w:r w:rsidRPr="00D47CE7">
        <w:rPr>
          <w:rStyle w:val="afa"/>
          <w:rFonts w:hint="cs"/>
          <w:rtl/>
        </w:rPr>
        <w:t>]</w:t>
      </w:r>
      <w:r w:rsidRPr="00D47CE7">
        <w:rPr>
          <w:rFonts w:hint="cs"/>
          <w:rtl/>
        </w:rPr>
        <w:t>, בדעת רבנן דלא ילפינן מגיעולי עכו"ם דהוא חידוש, דאסרה תורה רק בקדירה בת יומא, אינם דברי רבנן, אלא תלמיד אמרם, אבל לדעת רבנן דהתירו בנותן טעם לפגם, ודאי דהאיסור בגיעולי עכו"ם אף בקדירה שאינה בת יומא, דאף בנפגמה לגמרי אסרה תורה בגיעולי עכו"ם דהוא חידוש, אבל בכל נותן טעם לפגם, ס"ל דפגם גמור מותר, דילפינן מנבילה דכל שאינה ראויה לגר מותר, וה"ה לשאר איסורין, ולא ילפינן מגיעולי עכו"ם דהוא חידוש.</w:t>
      </w:r>
    </w:p>
    <w:p w:rsidR="007809D6" w:rsidRPr="00D47CE7" w:rsidRDefault="007809D6" w:rsidP="007809D6">
      <w:pPr>
        <w:pStyle w:val="a2"/>
      </w:pPr>
      <w:bookmarkStart w:id="8954" w:name="_Toc18397443"/>
      <w:bookmarkStart w:id="8955" w:name="_Toc18404166"/>
      <w:bookmarkStart w:id="8956" w:name="_Toc18481587"/>
      <w:r w:rsidRPr="00D47CE7">
        <w:rPr>
          <w:rFonts w:hint="cs"/>
          <w:rtl/>
        </w:rPr>
        <w:t>התירוץ הב' בראב"ד דהגמ'</w:t>
      </w:r>
      <w:r>
        <w:rPr>
          <w:rFonts w:hint="cs"/>
          <w:rtl/>
        </w:rPr>
        <w:t xml:space="preserve"> </w:t>
      </w:r>
      <w:r w:rsidRPr="00D47CE7">
        <w:rPr>
          <w:rFonts w:hint="cs"/>
          <w:rtl/>
        </w:rPr>
        <w:t>לקמן היא לדעת ר"מ אבל לר"ש אסור בפגום במקצת</w:t>
      </w:r>
      <w:bookmarkEnd w:id="8954"/>
      <w:bookmarkEnd w:id="8955"/>
      <w:bookmarkEnd w:id="8956"/>
    </w:p>
    <w:p w:rsidR="007809D6" w:rsidRPr="00D47CE7" w:rsidRDefault="007809D6" w:rsidP="009F44AF">
      <w:pPr>
        <w:pStyle w:val="a"/>
      </w:pPr>
      <w:r w:rsidRPr="00D47CE7">
        <w:rPr>
          <w:rFonts w:hint="cs"/>
          <w:rtl/>
        </w:rPr>
        <w:t xml:space="preserve">ועוד תירץ </w:t>
      </w:r>
      <w:r w:rsidRPr="00D47CE7">
        <w:rPr>
          <w:rStyle w:val="af8"/>
          <w:rFonts w:hint="cs"/>
          <w:rtl/>
        </w:rPr>
        <w:t>בפי' הראב"ד</w:t>
      </w:r>
      <w:r>
        <w:rPr>
          <w:rStyle w:val="af8"/>
          <w:rFonts w:hint="cs"/>
          <w:rtl/>
        </w:rPr>
        <w:t xml:space="preserve"> </w:t>
      </w:r>
      <w:r w:rsidRPr="00D47CE7">
        <w:rPr>
          <w:rStyle w:val="af6"/>
          <w:rFonts w:eastAsia="Guttman Hodes" w:hint="cs"/>
          <w:rtl/>
        </w:rPr>
        <w:t>(סז: סוד"ה ואידך בתו"ד, הועתק בקובץ שיטות קמאי ע"ז ח"ב עמ' אלף תרמ"ו)</w:t>
      </w:r>
      <w:r w:rsidRPr="00D47CE7">
        <w:rPr>
          <w:rFonts w:hint="cs"/>
          <w:rtl/>
        </w:rPr>
        <w:t xml:space="preserve">  דהגמ'</w:t>
      </w:r>
      <w:r>
        <w:rPr>
          <w:rFonts w:hint="cs"/>
          <w:rtl/>
        </w:rPr>
        <w:t xml:space="preserve"> </w:t>
      </w:r>
      <w:r w:rsidRPr="00D47CE7">
        <w:rPr>
          <w:rFonts w:hint="cs"/>
          <w:rtl/>
        </w:rPr>
        <w:t xml:space="preserve">לקמן היא לדעת ר"מ ולא לדעת ר"ש, עיי"ש במה שביאר </w:t>
      </w:r>
      <w:r w:rsidRPr="00D47CE7">
        <w:rPr>
          <w:rStyle w:val="af8"/>
          <w:rFonts w:hint="cs"/>
          <w:rtl/>
        </w:rPr>
        <w:t>הראב"ד</w:t>
      </w:r>
      <w:r w:rsidRPr="00D47CE7">
        <w:rPr>
          <w:rStyle w:val="af6"/>
          <w:rFonts w:eastAsia="Guttman Hodes" w:hint="cs"/>
          <w:rtl/>
        </w:rPr>
        <w:t xml:space="preserve"> </w:t>
      </w:r>
      <w:r w:rsidRPr="00D47CE7">
        <w:rPr>
          <w:rFonts w:hint="cs"/>
          <w:rtl/>
        </w:rPr>
        <w:t>בזה.</w:t>
      </w:r>
    </w:p>
    <w:p w:rsidR="007809D6" w:rsidRPr="00D47CE7" w:rsidRDefault="007809D6" w:rsidP="007809D6">
      <w:pPr>
        <w:pStyle w:val="a2"/>
        <w:rPr>
          <w:rtl/>
        </w:rPr>
      </w:pPr>
      <w:bookmarkStart w:id="8957" w:name="_Toc18397444"/>
      <w:bookmarkStart w:id="8958" w:name="_Toc18404167"/>
      <w:bookmarkStart w:id="8959" w:name="_Toc18481588"/>
      <w:bookmarkEnd w:id="8950"/>
      <w:r w:rsidRPr="00D47CE7">
        <w:rPr>
          <w:rFonts w:hint="cs"/>
          <w:rtl/>
        </w:rPr>
        <w:t>קושית הראב"ד דמשמן ודבש של עכו"ם ומיין בגרוגרות מוכח דפגו במקצת מותר</w:t>
      </w:r>
      <w:bookmarkEnd w:id="8957"/>
      <w:bookmarkEnd w:id="8958"/>
      <w:bookmarkEnd w:id="8959"/>
    </w:p>
    <w:p w:rsidR="007809D6" w:rsidRDefault="007809D6" w:rsidP="009F44AF">
      <w:pPr>
        <w:pStyle w:val="a"/>
        <w:rPr>
          <w:rtl/>
        </w:rPr>
      </w:pPr>
      <w:bookmarkStart w:id="8960" w:name="_Ref16503205"/>
      <w:r w:rsidRPr="00D47CE7">
        <w:rPr>
          <w:rFonts w:hint="cs"/>
          <w:rtl/>
        </w:rPr>
        <w:t xml:space="preserve">ועוד הקשה </w:t>
      </w:r>
      <w:r w:rsidRPr="00D47CE7">
        <w:rPr>
          <w:rStyle w:val="af8"/>
          <w:rFonts w:hint="cs"/>
          <w:rtl/>
        </w:rPr>
        <w:t>בפי' הראב"ד</w:t>
      </w:r>
      <w:r>
        <w:rPr>
          <w:rStyle w:val="af8"/>
          <w:rFonts w:hint="cs"/>
          <w:rtl/>
        </w:rPr>
        <w:t xml:space="preserve"> </w:t>
      </w:r>
      <w:r w:rsidRPr="00D47CE7">
        <w:rPr>
          <w:rFonts w:hint="cs"/>
          <w:rtl/>
        </w:rPr>
        <w:t xml:space="preserve">מהא דאמרינן בגמ' </w:t>
      </w:r>
      <w:r w:rsidRPr="00D47CE7">
        <w:rPr>
          <w:rStyle w:val="af6"/>
          <w:rFonts w:eastAsia="Guttman Hodes" w:hint="cs"/>
          <w:rtl/>
        </w:rPr>
        <w:t>(לו., לח:, לט:)</w:t>
      </w:r>
      <w:r w:rsidRPr="00D47CE7">
        <w:rPr>
          <w:rFonts w:hint="cs"/>
          <w:rtl/>
        </w:rPr>
        <w:t xml:space="preserve"> דבשמן ודבש של עכו"ם לא חיישינן שהתערב בהם איסור, ולא נאסרו מדין גיעולי עכו"ם דהוא נותן טעם לפגם ומותר, והקשה </w:t>
      </w:r>
      <w:r w:rsidRPr="00D47CE7">
        <w:rPr>
          <w:rStyle w:val="af8"/>
          <w:rFonts w:hint="cs"/>
          <w:rtl/>
        </w:rPr>
        <w:t>הראב"ד</w:t>
      </w:r>
      <w:r w:rsidRPr="00D47CE7">
        <w:rPr>
          <w:rFonts w:hint="cs"/>
          <w:rtl/>
        </w:rPr>
        <w:t xml:space="preserve"> דאי אמרינן דאף בקדירה בת יומא יש פגם מועט, מ"מ ודאי דאי"ז פגם שפוסל מאכילה לגמרי, והרי אף למ"ד דקדירה בת יומא פוגמת, אף בתבשיל עצמו שהתבשל בה, הפגם שלה הוא רק במקצת, וא"כ ודאי דבתערובת לא יתכן לומר דהיא פוגמת לגמרי ופוסלת מאכילה, וא"כ מוכח דאף במקום שעדיין ראוי לגר, מותר מדין נותן טעם לפגם, ועוד הקשה </w:t>
      </w:r>
      <w:r w:rsidRPr="00D47CE7">
        <w:rPr>
          <w:rStyle w:val="af8"/>
          <w:rFonts w:hint="cs"/>
          <w:rtl/>
        </w:rPr>
        <w:t>הראב"ד</w:t>
      </w:r>
      <w:r w:rsidRPr="00D47CE7">
        <w:rPr>
          <w:rFonts w:hint="cs"/>
          <w:rtl/>
        </w:rPr>
        <w:t xml:space="preserve"> ממתני'</w:t>
      </w:r>
      <w:r>
        <w:rPr>
          <w:rFonts w:hint="cs"/>
          <w:rtl/>
        </w:rPr>
        <w:t xml:space="preserve"> </w:t>
      </w:r>
      <w:r w:rsidRPr="00D47CE7">
        <w:rPr>
          <w:rStyle w:val="af6"/>
          <w:rFonts w:eastAsia="Guttman Hodes" w:hint="cs"/>
          <w:rtl/>
        </w:rPr>
        <w:t xml:space="preserve">(סה:) </w:t>
      </w:r>
      <w:r w:rsidRPr="00D47CE7">
        <w:rPr>
          <w:rFonts w:hint="cs"/>
          <w:rtl/>
        </w:rPr>
        <w:t xml:space="preserve">דיין נסך שנפל ע"ג גרוגרות מותר מדין נותן טעם לפגם, והרי ודאי דאינו פוסל אותם מאכילה לגמרי, והניח </w:t>
      </w:r>
      <w:r w:rsidRPr="00D47CE7">
        <w:rPr>
          <w:rStyle w:val="af8"/>
          <w:rFonts w:hint="cs"/>
          <w:rtl/>
        </w:rPr>
        <w:t>הראב"ד</w:t>
      </w:r>
      <w:r w:rsidRPr="00D47CE7">
        <w:rPr>
          <w:rFonts w:hint="cs"/>
          <w:rtl/>
        </w:rPr>
        <w:t xml:space="preserve"> בצ"ע.</w:t>
      </w:r>
      <w:bookmarkEnd w:id="8960"/>
      <w:r w:rsidRPr="00D47CE7">
        <w:rPr>
          <w:rFonts w:hint="cs"/>
          <w:rtl/>
        </w:rPr>
        <w:t xml:space="preserve"> [ובאמת </w:t>
      </w:r>
      <w:r w:rsidRPr="00D47CE7">
        <w:rPr>
          <w:rStyle w:val="af8"/>
          <w:rFonts w:hint="cs"/>
          <w:rtl/>
        </w:rPr>
        <w:t xml:space="preserve">הרמב"ן והרשב"א והר"ן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Ref16503226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D47CE7">
        <w:rPr>
          <w:rStyle w:val="af6"/>
          <w:rFonts w:eastAsia="Guttman Hodes"/>
          <w:rtl/>
        </w:rPr>
        <w:fldChar w:fldCharType="end"/>
      </w:r>
      <w:r w:rsidRPr="00D47CE7">
        <w:rPr>
          <w:rFonts w:hint="cs"/>
          <w:rtl/>
        </w:rPr>
        <w:t xml:space="preserve"> כתבו דמוכח משמן ודבש של עכו"ם, דאף בפגם מועט מותר, ודלא </w:t>
      </w:r>
      <w:r w:rsidRPr="00D47CE7">
        <w:rPr>
          <w:rStyle w:val="af8"/>
          <w:rFonts w:hint="cs"/>
          <w:rtl/>
        </w:rPr>
        <w:t>כהראב"ד</w:t>
      </w:r>
      <w:r w:rsidRPr="00D47CE7">
        <w:rPr>
          <w:rFonts w:hint="cs"/>
          <w:rtl/>
        </w:rPr>
        <w:t>].</w:t>
      </w:r>
    </w:p>
    <w:p w:rsidR="007809D6" w:rsidRPr="00D47CE7" w:rsidRDefault="007809D6" w:rsidP="00E669F8">
      <w:pPr>
        <w:pStyle w:val="afd"/>
        <w:rPr>
          <w:rtl/>
        </w:rPr>
      </w:pPr>
      <w:bookmarkStart w:id="8961" w:name="_Toc18250784"/>
      <w:bookmarkStart w:id="8962" w:name="_Toc18266241"/>
      <w:bookmarkStart w:id="8963" w:name="_Toc18269152"/>
      <w:bookmarkStart w:id="8964" w:name="_Toc18323860"/>
      <w:bookmarkStart w:id="8965" w:name="_Toc18397445"/>
      <w:bookmarkStart w:id="8966" w:name="_Toc18404168"/>
      <w:bookmarkStart w:id="8967" w:name="_Toc18481589"/>
      <w:bookmarkStart w:id="8968" w:name="_Toc17984108"/>
      <w:bookmarkStart w:id="8969" w:name="_Toc18228233"/>
      <w:bookmarkStart w:id="8970" w:name="_Toc16679283"/>
      <w:bookmarkStart w:id="8971" w:name="_Toc16850494"/>
      <w:bookmarkStart w:id="8972" w:name="_Toc17624869"/>
      <w:bookmarkStart w:id="8973" w:name="_Toc17889819"/>
      <w:bookmarkStart w:id="8974" w:name="_Toc17975441"/>
      <w:bookmarkStart w:id="8975" w:name="_Toc17984128"/>
      <w:bookmarkStart w:id="8976" w:name="_Toc18228253"/>
      <w:bookmarkEnd w:id="8775"/>
      <w:bookmarkEnd w:id="8776"/>
      <w:r w:rsidRPr="00D47CE7">
        <w:rPr>
          <w:rFonts w:hint="cs"/>
          <w:rtl/>
        </w:rPr>
        <w:t>דעת הרא"ה דהאיסור עצמו פגום לגמרי</w:t>
      </w:r>
      <w:bookmarkEnd w:id="8961"/>
      <w:bookmarkEnd w:id="8962"/>
      <w:bookmarkEnd w:id="8963"/>
      <w:bookmarkEnd w:id="8964"/>
      <w:bookmarkEnd w:id="8965"/>
      <w:bookmarkEnd w:id="8966"/>
      <w:bookmarkEnd w:id="8967"/>
    </w:p>
    <w:p w:rsidR="007809D6" w:rsidRPr="00D47CE7" w:rsidRDefault="007809D6" w:rsidP="007809D6">
      <w:pPr>
        <w:pStyle w:val="1"/>
        <w:rPr>
          <w:rtl/>
        </w:rPr>
      </w:pPr>
      <w:bookmarkStart w:id="8977" w:name="_Toc18397446"/>
      <w:bookmarkStart w:id="8978" w:name="_Toc18404169"/>
      <w:bookmarkStart w:id="8979" w:name="_Toc18481590"/>
      <w:bookmarkStart w:id="8980" w:name="_Toc18250786"/>
      <w:bookmarkStart w:id="8981" w:name="_Toc18266243"/>
      <w:bookmarkStart w:id="8982" w:name="_Toc18269154"/>
      <w:bookmarkStart w:id="8983" w:name="_Toc18323862"/>
      <w:bookmarkEnd w:id="8968"/>
      <w:bookmarkEnd w:id="8969"/>
      <w:r w:rsidRPr="00D47CE7">
        <w:rPr>
          <w:rFonts w:hint="cs"/>
          <w:rtl/>
        </w:rPr>
        <w:t>קושית הרא"ה על הרשב"א דהיאך ילפינן פגום במקצת מנבילה</w:t>
      </w:r>
      <w:bookmarkEnd w:id="8977"/>
      <w:bookmarkEnd w:id="8978"/>
      <w:bookmarkEnd w:id="8979"/>
    </w:p>
    <w:p w:rsidR="007809D6" w:rsidRPr="00D47CE7" w:rsidRDefault="007809D6" w:rsidP="007809D6">
      <w:pPr>
        <w:pStyle w:val="a2"/>
        <w:rPr>
          <w:rtl/>
        </w:rPr>
      </w:pPr>
      <w:bookmarkStart w:id="8984" w:name="_Toc18397447"/>
      <w:bookmarkStart w:id="8985" w:name="_Toc18404170"/>
      <w:bookmarkStart w:id="8986" w:name="_Toc18481591"/>
      <w:r w:rsidRPr="00D47CE7">
        <w:rPr>
          <w:rFonts w:hint="cs"/>
          <w:rtl/>
        </w:rPr>
        <w:t>קושית הרא"ה דאי טעם פגום אינו נחשב טעם היאך ילפינן לה מנבילה למ"ד דטע"כ דאו'</w:t>
      </w:r>
      <w:bookmarkEnd w:id="8980"/>
      <w:bookmarkEnd w:id="8981"/>
      <w:bookmarkEnd w:id="8982"/>
      <w:bookmarkEnd w:id="8983"/>
      <w:bookmarkEnd w:id="8984"/>
      <w:bookmarkEnd w:id="8985"/>
      <w:bookmarkEnd w:id="8986"/>
    </w:p>
    <w:p w:rsidR="007809D6" w:rsidRDefault="007809D6" w:rsidP="009F44AF">
      <w:pPr>
        <w:pStyle w:val="a"/>
        <w:rPr>
          <w:rtl/>
        </w:rPr>
      </w:pPr>
      <w:bookmarkStart w:id="8987" w:name="_Ref17363039"/>
      <w:bookmarkStart w:id="8988" w:name="_Ref18230657"/>
      <w:r w:rsidRPr="00D47CE7">
        <w:rPr>
          <w:rFonts w:hint="cs"/>
          <w:rtl/>
        </w:rPr>
        <w:t xml:space="preserve">במ"ש </w:t>
      </w:r>
      <w:r w:rsidRPr="00D47CE7">
        <w:rPr>
          <w:rStyle w:val="af8"/>
          <w:rFonts w:hint="cs"/>
          <w:rtl/>
        </w:rPr>
        <w:t>הרשב"א בתוה"ב</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Ref18228077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 xml:space="preserve">דההיתר בנותן טעם לפגם הוא כיון דהאיסור בתערובת הוא רק כיון שנתן טעם וטעם פגום אינו טעם, והוסיף </w:t>
      </w:r>
      <w:r w:rsidRPr="00D47CE7">
        <w:rPr>
          <w:rStyle w:val="af8"/>
          <w:rFonts w:hint="cs"/>
          <w:rtl/>
        </w:rPr>
        <w:t>הרשב"א</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Ref18228971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D47CE7">
        <w:rPr>
          <w:rStyle w:val="af6"/>
          <w:rFonts w:eastAsia="Guttman Hodes"/>
          <w:rtl/>
        </w:rPr>
        <w:fldChar w:fldCharType="end"/>
      </w:r>
      <w:r w:rsidRPr="00D47CE7">
        <w:rPr>
          <w:rStyle w:val="af6"/>
          <w:rFonts w:eastAsia="Guttman Hodes" w:hint="cs"/>
          <w:rtl/>
        </w:rPr>
        <w:t xml:space="preserve"> </w:t>
      </w:r>
      <w:r w:rsidRPr="00D47CE7">
        <w:rPr>
          <w:rFonts w:hint="cs"/>
          <w:rtl/>
        </w:rPr>
        <w:t xml:space="preserve">דזהו ההיתר </w:t>
      </w:r>
      <w:r w:rsidRPr="00D47CE7">
        <w:rPr>
          <w:rtl/>
        </w:rPr>
        <w:t>בקדירה שאינה בת יומא</w:t>
      </w:r>
      <w:r w:rsidRPr="00D47CE7">
        <w:rPr>
          <w:rFonts w:hint="cs"/>
          <w:rtl/>
        </w:rPr>
        <w:t xml:space="preserve"> דכיון שאין בה את ממשות האיסור, ויש בה רק את טעמו ובטעם שפוגם ואין בו ממשות אין איסור דין טעם כעיקר, הקשה </w:t>
      </w:r>
      <w:r w:rsidRPr="00D47CE7">
        <w:rPr>
          <w:rStyle w:val="af8"/>
          <w:rFonts w:hint="cs"/>
          <w:rtl/>
        </w:rPr>
        <w:t>הרא"ה בבד"ה</w:t>
      </w:r>
      <w:r w:rsidRPr="00D47CE7">
        <w:rPr>
          <w:rFonts w:hint="cs"/>
          <w:rtl/>
        </w:rPr>
        <w:t xml:space="preserve"> </w:t>
      </w:r>
      <w:r w:rsidRPr="00D47CE7">
        <w:rPr>
          <w:rStyle w:val="af6"/>
          <w:rFonts w:eastAsia="Guttman Hodes" w:hint="cs"/>
          <w:rtl/>
        </w:rPr>
        <w:t>(ב"ד ש"א יט. מדה"ס)</w:t>
      </w:r>
      <w:r w:rsidRPr="00D47CE7">
        <w:rPr>
          <w:rFonts w:hint="cs"/>
          <w:rtl/>
        </w:rPr>
        <w:t xml:space="preserve"> דלדעת </w:t>
      </w:r>
      <w:r w:rsidRPr="00D47CE7">
        <w:rPr>
          <w:rStyle w:val="af8"/>
          <w:rFonts w:hint="cs"/>
          <w:rtl/>
        </w:rPr>
        <w:t>הרשב"א</w:t>
      </w:r>
      <w:r w:rsidRPr="00D47CE7">
        <w:rPr>
          <w:rFonts w:hint="cs"/>
          <w:rtl/>
        </w:rPr>
        <w:t xml:space="preserve"> דטעם כעיקר דאו', א"כ היאך ילפינן נותן טעם לפגם בפגום במקצת מהיתר נבילה דמותרת רק כשאינה ראויה לגר, וכשהיא ראויה לגר אסורה אף שנפגמה במקצת, </w:t>
      </w:r>
      <w:bookmarkEnd w:id="8987"/>
      <w:r w:rsidRPr="00D47CE7">
        <w:rPr>
          <w:rStyle w:val="afa"/>
          <w:rFonts w:hint="cs"/>
          <w:rtl/>
        </w:rPr>
        <w:t>[הא כיון דאסרה תורה בנבילה בפגומה בקצת, וטעם כעיקר דאו', א"כ אין מקור להתיר טעם כעיקר בפגום במקצת],</w:t>
      </w:r>
      <w:r w:rsidRPr="00D47CE7">
        <w:rPr>
          <w:rFonts w:hint="cs"/>
          <w:rtl/>
        </w:rPr>
        <w:t xml:space="preserve"> [וכעי"ז הקשה </w:t>
      </w:r>
      <w:r w:rsidRPr="00D47CE7">
        <w:rPr>
          <w:rStyle w:val="af8"/>
          <w:rFonts w:hint="cs"/>
          <w:rtl/>
        </w:rPr>
        <w:t>הר"ן</w:t>
      </w:r>
      <w:r w:rsidRPr="00D47CE7">
        <w:rPr>
          <w:rFonts w:hint="cs"/>
          <w:rtl/>
        </w:rPr>
        <w:t xml:space="preserve"> </w:t>
      </w:r>
      <w:r w:rsidRPr="00D47CE7">
        <w:rPr>
          <w:rStyle w:val="af6"/>
          <w:rFonts w:eastAsia="Guttman Rashi" w:hint="cs"/>
          <w:rtl/>
        </w:rPr>
        <w:t xml:space="preserve">(עי' אות </w:t>
      </w:r>
      <w:r w:rsidRPr="00D47CE7">
        <w:rPr>
          <w:rStyle w:val="af6"/>
          <w:rFonts w:eastAsia="Guttman Rashi"/>
          <w:rtl/>
        </w:rPr>
        <w:fldChar w:fldCharType="begin"/>
      </w:r>
      <w:r w:rsidRPr="00D47CE7">
        <w:rPr>
          <w:rStyle w:val="af6"/>
          <w:rFonts w:eastAsia="Guttman Rashi"/>
          <w:rtl/>
        </w:rPr>
        <w:instrText xml:space="preserve"> </w:instrText>
      </w:r>
      <w:r w:rsidRPr="00D47CE7">
        <w:rPr>
          <w:rStyle w:val="af6"/>
          <w:rFonts w:eastAsia="Guttman Rashi" w:hint="cs"/>
        </w:rPr>
        <w:instrText>REF</w:instrText>
      </w:r>
      <w:r w:rsidRPr="00D47CE7">
        <w:rPr>
          <w:rStyle w:val="af6"/>
          <w:rFonts w:eastAsia="Guttman Rashi" w:hint="cs"/>
          <w:rtl/>
        </w:rPr>
        <w:instrText xml:space="preserve"> _</w:instrText>
      </w:r>
      <w:r w:rsidRPr="00D47CE7">
        <w:rPr>
          <w:rStyle w:val="af6"/>
          <w:rFonts w:eastAsia="Guttman Rashi" w:hint="cs"/>
        </w:rPr>
        <w:instrText>Ref15987023 \r \h</w:instrText>
      </w:r>
      <w:r w:rsidRPr="00D47CE7">
        <w:rPr>
          <w:rStyle w:val="af6"/>
          <w:rFonts w:eastAsia="Guttman Rashi"/>
          <w:rtl/>
        </w:rPr>
        <w:instrText xml:space="preserve">  \* </w:instrText>
      </w:r>
      <w:r w:rsidRPr="00D47CE7">
        <w:rPr>
          <w:rStyle w:val="af6"/>
          <w:rFonts w:eastAsia="Guttman Rashi"/>
        </w:rPr>
        <w:instrText>MERGEFORMAT</w:instrText>
      </w:r>
      <w:r w:rsidRPr="00D47CE7">
        <w:rPr>
          <w:rStyle w:val="af6"/>
          <w:rFonts w:eastAsia="Guttman Rashi"/>
          <w:rtl/>
        </w:rPr>
        <w:instrText xml:space="preserve"> </w:instrText>
      </w:r>
      <w:r w:rsidRPr="00D47CE7">
        <w:rPr>
          <w:rStyle w:val="af6"/>
          <w:rFonts w:eastAsia="Guttman Rashi"/>
          <w:rtl/>
        </w:rPr>
      </w:r>
      <w:r w:rsidRPr="00D47CE7">
        <w:rPr>
          <w:rStyle w:val="af6"/>
          <w:rFonts w:eastAsia="Guttman Rashi"/>
          <w:rtl/>
        </w:rPr>
        <w:fldChar w:fldCharType="separate"/>
      </w:r>
      <w:r w:rsidR="004D1C5B">
        <w:rPr>
          <w:rStyle w:val="af6"/>
          <w:rFonts w:eastAsia="Guttman Rashi"/>
          <w:cs/>
        </w:rPr>
        <w:t>‎</w:t>
      </w:r>
      <w:r w:rsidR="004D1C5B">
        <w:rPr>
          <w:rStyle w:val="af6"/>
          <w:rFonts w:eastAsia="Guttman Rashi"/>
          <w:rtl/>
        </w:rPr>
        <w:t>מו)</w:t>
      </w:r>
      <w:r w:rsidRPr="00D47CE7">
        <w:rPr>
          <w:rStyle w:val="af6"/>
          <w:rFonts w:eastAsia="Guttman Rashi"/>
          <w:rtl/>
        </w:rPr>
        <w:fldChar w:fldCharType="end"/>
      </w:r>
      <w:r w:rsidRPr="00D47CE7">
        <w:rPr>
          <w:rFonts w:hint="cs"/>
          <w:rtl/>
        </w:rPr>
        <w:t>].</w:t>
      </w:r>
      <w:bookmarkEnd w:id="8988"/>
    </w:p>
    <w:p w:rsidR="007809D6" w:rsidRPr="00D47CE7" w:rsidRDefault="007809D6" w:rsidP="007809D6">
      <w:pPr>
        <w:pStyle w:val="1"/>
        <w:rPr>
          <w:rtl/>
        </w:rPr>
      </w:pPr>
      <w:bookmarkStart w:id="8989" w:name="_Toc18250785"/>
      <w:bookmarkStart w:id="8990" w:name="_Toc18266242"/>
      <w:bookmarkStart w:id="8991" w:name="_Toc18269153"/>
      <w:bookmarkStart w:id="8992" w:name="_Toc18323861"/>
      <w:bookmarkStart w:id="8993" w:name="_Toc18397448"/>
      <w:bookmarkStart w:id="8994" w:name="_Toc18404171"/>
      <w:bookmarkStart w:id="8995" w:name="_Toc18481592"/>
      <w:bookmarkStart w:id="8996" w:name="_Toc18250787"/>
      <w:bookmarkStart w:id="8997" w:name="_Toc18266244"/>
      <w:bookmarkStart w:id="8998" w:name="_Toc18269155"/>
      <w:bookmarkStart w:id="8999" w:name="_Toc18323863"/>
      <w:r w:rsidRPr="00D47CE7">
        <w:rPr>
          <w:rFonts w:hint="cs"/>
          <w:rtl/>
        </w:rPr>
        <w:t>דברי הרא"ה דרק באינו ראוי לגר מותר אף דנאכל עם ההיתר</w:t>
      </w:r>
      <w:bookmarkEnd w:id="8989"/>
      <w:bookmarkEnd w:id="8990"/>
      <w:bookmarkEnd w:id="8991"/>
      <w:bookmarkEnd w:id="8992"/>
      <w:bookmarkEnd w:id="8993"/>
      <w:bookmarkEnd w:id="8994"/>
      <w:bookmarkEnd w:id="8995"/>
      <w:r w:rsidRPr="00D47CE7">
        <w:rPr>
          <w:rFonts w:hint="cs"/>
          <w:rtl/>
        </w:rPr>
        <w:t xml:space="preserve"> </w:t>
      </w:r>
    </w:p>
    <w:p w:rsidR="007809D6" w:rsidRPr="00D47CE7" w:rsidRDefault="007809D6" w:rsidP="007809D6">
      <w:pPr>
        <w:pStyle w:val="a2"/>
        <w:rPr>
          <w:rtl/>
        </w:rPr>
      </w:pPr>
      <w:bookmarkStart w:id="9000" w:name="_Toc18397449"/>
      <w:bookmarkStart w:id="9001" w:name="_Toc18404172"/>
      <w:bookmarkStart w:id="9002" w:name="_Toc18481593"/>
      <w:r w:rsidRPr="00D47CE7">
        <w:rPr>
          <w:rFonts w:hint="cs"/>
          <w:rtl/>
        </w:rPr>
        <w:t>דברי הרא"ה דהיתר נטל"פ הוא רק כשהאיסור אינו ראוי לגר אף דבתערובת לא ניכר דאינו ראוי</w:t>
      </w:r>
      <w:bookmarkEnd w:id="8996"/>
      <w:bookmarkEnd w:id="8997"/>
      <w:bookmarkEnd w:id="8998"/>
      <w:bookmarkEnd w:id="8999"/>
      <w:bookmarkEnd w:id="9000"/>
      <w:bookmarkEnd w:id="9001"/>
      <w:bookmarkEnd w:id="9002"/>
    </w:p>
    <w:p w:rsidR="007809D6" w:rsidRPr="00D47CE7" w:rsidRDefault="007809D6" w:rsidP="009F44AF">
      <w:pPr>
        <w:pStyle w:val="a"/>
        <w:rPr>
          <w:rtl/>
        </w:rPr>
      </w:pPr>
      <w:bookmarkStart w:id="9003" w:name="_Ref16676035"/>
      <w:r w:rsidRPr="00D47CE7">
        <w:rPr>
          <w:rFonts w:hint="cs"/>
          <w:rtl/>
        </w:rPr>
        <w:t xml:space="preserve">אלא כתב </w:t>
      </w:r>
      <w:r w:rsidRPr="00D47CE7">
        <w:rPr>
          <w:rStyle w:val="af8"/>
          <w:rFonts w:hint="cs"/>
          <w:rtl/>
        </w:rPr>
        <w:t>הרא"ה בבד"ה</w:t>
      </w:r>
      <w:r w:rsidRPr="00D47CE7">
        <w:rPr>
          <w:rFonts w:hint="cs"/>
          <w:rtl/>
        </w:rPr>
        <w:t xml:space="preserve"> </w:t>
      </w:r>
      <w:r w:rsidRPr="00D47CE7">
        <w:rPr>
          <w:rStyle w:val="af6"/>
          <w:rFonts w:eastAsia="Guttman Hodes" w:hint="cs"/>
          <w:rtl/>
        </w:rPr>
        <w:t>(ב"ד ש"א יט: מדה"ס)</w:t>
      </w:r>
      <w:r w:rsidRPr="00D47CE7">
        <w:rPr>
          <w:rFonts w:hint="cs"/>
          <w:rtl/>
        </w:rPr>
        <w:t xml:space="preserve"> דההיתר בנותן טעם פגם הוא רק בב' אופנים, האופן הא' כשהאיסור פגום בגופו דאינו ראוי </w:t>
      </w:r>
      <w:r w:rsidRPr="00D47CE7">
        <w:rPr>
          <w:rFonts w:hint="cs"/>
          <w:rtl/>
        </w:rPr>
        <w:lastRenderedPageBreak/>
        <w:t>לאכילת גר, או כשהוא פגום בתערובת בשיעור שאינו ראוי מצד עצמו לאכילת גר, אעפ"י דע"י התערובת הוא לא ניכר שאינו ראוי</w:t>
      </w:r>
      <w:r w:rsidRPr="00D47CE7">
        <w:rPr>
          <w:rStyle w:val="af0"/>
          <w:rtl/>
        </w:rPr>
        <w:footnoteReference w:id="34"/>
      </w:r>
      <w:r w:rsidRPr="00D47CE7">
        <w:rPr>
          <w:rFonts w:hint="cs"/>
          <w:rtl/>
        </w:rPr>
        <w:t>.</w:t>
      </w:r>
      <w:bookmarkEnd w:id="9003"/>
    </w:p>
    <w:p w:rsidR="007809D6" w:rsidRPr="00D47CE7" w:rsidRDefault="007809D6" w:rsidP="007809D6">
      <w:pPr>
        <w:pStyle w:val="1"/>
        <w:rPr>
          <w:rtl/>
        </w:rPr>
      </w:pPr>
      <w:bookmarkStart w:id="9004" w:name="_Toc18397450"/>
      <w:bookmarkStart w:id="9005" w:name="_Toc18404173"/>
      <w:bookmarkStart w:id="9006" w:name="_Toc18481594"/>
      <w:bookmarkStart w:id="9007" w:name="_Toc18250788"/>
      <w:bookmarkStart w:id="9008" w:name="_Toc18266245"/>
      <w:bookmarkStart w:id="9009" w:name="_Toc18269156"/>
      <w:bookmarkStart w:id="9010" w:name="_Toc18323864"/>
      <w:r w:rsidRPr="00D47CE7">
        <w:rPr>
          <w:rFonts w:hint="cs"/>
          <w:rtl/>
        </w:rPr>
        <w:t>דברי הרא"ה דבטעמו ולא ממשו פגום קצת מותר דטע"כ דרבנן</w:t>
      </w:r>
      <w:bookmarkEnd w:id="9004"/>
      <w:bookmarkEnd w:id="9005"/>
      <w:bookmarkEnd w:id="9006"/>
    </w:p>
    <w:p w:rsidR="007809D6" w:rsidRPr="00D47CE7" w:rsidRDefault="007809D6" w:rsidP="007809D6">
      <w:pPr>
        <w:pStyle w:val="a2"/>
        <w:rPr>
          <w:rtl/>
        </w:rPr>
      </w:pPr>
      <w:bookmarkStart w:id="9011" w:name="_Toc18397451"/>
      <w:bookmarkStart w:id="9012" w:name="_Toc18404174"/>
      <w:bookmarkStart w:id="9013" w:name="_Toc18481595"/>
      <w:r w:rsidRPr="00D47CE7">
        <w:rPr>
          <w:rFonts w:hint="cs"/>
          <w:rtl/>
        </w:rPr>
        <w:t>דברי הרא"ה דבטעמו ולא ממשו מותר אף בפגום במקצת ואף בחסירה תיקון כיון דטע"כ דרבנן</w:t>
      </w:r>
      <w:bookmarkEnd w:id="9007"/>
      <w:bookmarkEnd w:id="9008"/>
      <w:bookmarkEnd w:id="9009"/>
      <w:bookmarkEnd w:id="9010"/>
      <w:bookmarkEnd w:id="9011"/>
      <w:bookmarkEnd w:id="9012"/>
      <w:bookmarkEnd w:id="9013"/>
    </w:p>
    <w:p w:rsidR="007809D6" w:rsidRPr="00D47CE7" w:rsidRDefault="007809D6" w:rsidP="009F44AF">
      <w:pPr>
        <w:pStyle w:val="a"/>
        <w:rPr>
          <w:rtl/>
        </w:rPr>
      </w:pPr>
      <w:bookmarkStart w:id="9014" w:name="_Ref16674859"/>
      <w:r w:rsidRPr="00D47CE7">
        <w:rPr>
          <w:rFonts w:hint="cs"/>
          <w:rtl/>
        </w:rPr>
        <w:t xml:space="preserve">והאופן הב' כתב </w:t>
      </w:r>
      <w:r w:rsidRPr="00D47CE7">
        <w:rPr>
          <w:rStyle w:val="af8"/>
          <w:rFonts w:hint="cs"/>
          <w:rtl/>
        </w:rPr>
        <w:t>הרא"ה בבד"ה</w:t>
      </w:r>
      <w:r w:rsidRPr="00D47CE7">
        <w:rPr>
          <w:rFonts w:hint="cs"/>
          <w:rtl/>
        </w:rPr>
        <w:t xml:space="preserve"> דהוא כשיש בתערובת רק טעמו ולא את ממשו, דאף בפגימה כל שהוא מותר, כיון דטעם כעיקר דרבנן, וכתב </w:t>
      </w:r>
      <w:r w:rsidRPr="00D47CE7">
        <w:rPr>
          <w:rStyle w:val="af8"/>
          <w:rFonts w:hint="cs"/>
          <w:rtl/>
        </w:rPr>
        <w:t>הרא"ה בבד"ה</w:t>
      </w:r>
      <w:r w:rsidRPr="00D47CE7">
        <w:rPr>
          <w:rFonts w:hint="cs"/>
          <w:rtl/>
        </w:rPr>
        <w:t xml:space="preserve"> דלכן קיי"ל לקולא כל"ב דר"ל, דקדירה שעכשיו היא פגומה לפנינו מותרת מדין נותן טעם לפגם, ולא אמרינן דהקדירה חסירה מלח או תבלין, כיון דקיי"ל דטעם כעיקר דרבנן.</w:t>
      </w:r>
      <w:bookmarkEnd w:id="9014"/>
    </w:p>
    <w:p w:rsidR="007809D6" w:rsidRPr="00D47CE7" w:rsidRDefault="007809D6" w:rsidP="007809D6">
      <w:pPr>
        <w:pStyle w:val="1"/>
        <w:rPr>
          <w:rtl/>
        </w:rPr>
      </w:pPr>
      <w:bookmarkStart w:id="9015" w:name="_Toc18397452"/>
      <w:bookmarkStart w:id="9016" w:name="_Toc18404175"/>
      <w:bookmarkStart w:id="9017" w:name="_Toc18481596"/>
      <w:bookmarkStart w:id="9018" w:name="_Toc18250789"/>
      <w:bookmarkStart w:id="9019" w:name="_Toc18266246"/>
      <w:bookmarkStart w:id="9020" w:name="_Toc18269157"/>
      <w:bookmarkStart w:id="9021" w:name="_Toc18323865"/>
      <w:r w:rsidRPr="00D47CE7">
        <w:rPr>
          <w:rFonts w:hint="cs"/>
          <w:rtl/>
        </w:rPr>
        <w:t>דברי הרא"ה דנטל"פ אינו חוזר ונאסר</w:t>
      </w:r>
      <w:r>
        <w:rPr>
          <w:rFonts w:hint="cs"/>
          <w:rtl/>
        </w:rPr>
        <w:t xml:space="preserve"> אף כשנעשה ראוי לגר</w:t>
      </w:r>
      <w:bookmarkEnd w:id="9015"/>
      <w:bookmarkEnd w:id="9016"/>
      <w:bookmarkEnd w:id="9017"/>
    </w:p>
    <w:p w:rsidR="007809D6" w:rsidRPr="00D47CE7" w:rsidRDefault="007809D6" w:rsidP="007809D6">
      <w:pPr>
        <w:pStyle w:val="a2"/>
        <w:rPr>
          <w:rtl/>
        </w:rPr>
      </w:pPr>
      <w:bookmarkStart w:id="9022" w:name="_Toc18397453"/>
      <w:bookmarkStart w:id="9023" w:name="_Toc18404176"/>
      <w:bookmarkStart w:id="9024" w:name="_Toc18481597"/>
      <w:r w:rsidRPr="00D47CE7">
        <w:rPr>
          <w:rFonts w:hint="cs"/>
          <w:rtl/>
        </w:rPr>
        <w:t>דברי הרא"ה דאף שנאכל ע"י ההיתר מ"מ האיסור עצמו הוא עצמו עדיין פגום ואינו חוזר ונאסר</w:t>
      </w:r>
      <w:bookmarkEnd w:id="9018"/>
      <w:bookmarkEnd w:id="9019"/>
      <w:bookmarkEnd w:id="9020"/>
      <w:bookmarkEnd w:id="9021"/>
      <w:bookmarkEnd w:id="9022"/>
      <w:bookmarkEnd w:id="9023"/>
      <w:bookmarkEnd w:id="9024"/>
    </w:p>
    <w:p w:rsidR="007809D6" w:rsidRPr="00D47CE7" w:rsidRDefault="007809D6" w:rsidP="009F44AF">
      <w:pPr>
        <w:pStyle w:val="a"/>
        <w:rPr>
          <w:rtl/>
        </w:rPr>
      </w:pPr>
      <w:bookmarkStart w:id="9025" w:name="_Ref18249679"/>
      <w:bookmarkStart w:id="9026" w:name="_Ref16673213"/>
      <w:r w:rsidRPr="00D47CE7">
        <w:rPr>
          <w:rFonts w:hint="cs"/>
          <w:rtl/>
        </w:rPr>
        <w:t xml:space="preserve">וביאר </w:t>
      </w:r>
      <w:r w:rsidRPr="00D47CE7">
        <w:rPr>
          <w:rStyle w:val="af8"/>
          <w:rFonts w:hint="cs"/>
          <w:rtl/>
        </w:rPr>
        <w:t>הרא"ה בבד"ה</w:t>
      </w:r>
      <w:r w:rsidRPr="00D47CE7">
        <w:rPr>
          <w:rFonts w:hint="cs"/>
          <w:rtl/>
        </w:rPr>
        <w:t xml:space="preserve"> </w:t>
      </w:r>
      <w:r w:rsidRPr="00D47CE7">
        <w:rPr>
          <w:rStyle w:val="af6"/>
          <w:rFonts w:eastAsia="Guttman Hodes" w:hint="cs"/>
          <w:rtl/>
        </w:rPr>
        <w:t>(ב"ד ש"א יט. מדה"ס)</w:t>
      </w:r>
      <w:r w:rsidRPr="00D47CE7">
        <w:rPr>
          <w:rFonts w:hint="cs"/>
          <w:rtl/>
        </w:rPr>
        <w:t xml:space="preserve"> </w:t>
      </w:r>
      <w:bookmarkStart w:id="9027" w:name="_Ref16506583"/>
      <w:r w:rsidRPr="003E1729">
        <w:rPr>
          <w:rStyle w:val="af8"/>
          <w:rFonts w:hint="cs"/>
          <w:rtl/>
        </w:rPr>
        <w:t>ובפסקי הרא"ה לחולין</w:t>
      </w:r>
      <w:r>
        <w:rPr>
          <w:rFonts w:hint="cs"/>
          <w:rtl/>
        </w:rPr>
        <w:t xml:space="preserve"> </w:t>
      </w:r>
      <w:r w:rsidRPr="00CE277F">
        <w:rPr>
          <w:rStyle w:val="af6"/>
          <w:rFonts w:eastAsia="Guttman Hodes" w:hint="cs"/>
          <w:rtl/>
        </w:rPr>
        <w:t>(אות נ"ט</w:t>
      </w:r>
      <w:r w:rsidRPr="00CE277F">
        <w:rPr>
          <w:rStyle w:val="af6"/>
          <w:rFonts w:eastAsia="Guttman Hodes"/>
          <w:rtl/>
        </w:rPr>
        <w:t xml:space="preserve">, </w:t>
      </w:r>
      <w:r w:rsidRPr="00CE277F">
        <w:rPr>
          <w:rStyle w:val="af6"/>
          <w:rFonts w:eastAsia="Guttman Hodes" w:hint="cs"/>
          <w:rtl/>
        </w:rPr>
        <w:t>נד' בסוף חי' הרא"ה)</w:t>
      </w:r>
      <w:r>
        <w:rPr>
          <w:rFonts w:hint="cs"/>
          <w:rtl/>
        </w:rPr>
        <w:t xml:space="preserve"> </w:t>
      </w:r>
      <w:r w:rsidRPr="00D47CE7">
        <w:rPr>
          <w:rFonts w:hint="cs"/>
          <w:rtl/>
        </w:rPr>
        <w:t xml:space="preserve">דאחר שהאיסור עצמו הותר מדאו' דאינו ראוי לגר, אף כשהתערב בהיתר שראוי לאכילה, והאיסור עצמו ג"כ נאכל ע"י ההיתר, מ"מ אינו חוזר ונאסר לעולם, דאף שדבר אחר גורם שהפגימה שלו אינה ניכרת, מ"מ הוא מצד עצמו נשאר פגום לעולם, </w:t>
      </w:r>
      <w:r w:rsidRPr="00D47CE7">
        <w:rPr>
          <w:rStyle w:val="afa"/>
          <w:rFonts w:hint="cs"/>
          <w:rtl/>
        </w:rPr>
        <w:t xml:space="preserve">[ולכן ילפינן מנבילה שמותרת כשאינה ראויה לגר, דכל שהאיסור נותן טעם לפגם, דהוא עצמו אינו ראוי לגר, אינו אוסר את התערובת, אף שנאכל ע"י ההיתר], </w:t>
      </w:r>
      <w:r w:rsidRPr="00D47CE7">
        <w:rPr>
          <w:rFonts w:hint="cs"/>
          <w:rtl/>
        </w:rPr>
        <w:t xml:space="preserve">והוסיפו </w:t>
      </w:r>
      <w:r w:rsidRPr="00D47CE7">
        <w:rPr>
          <w:rStyle w:val="af8"/>
          <w:rFonts w:hint="cs"/>
          <w:rtl/>
        </w:rPr>
        <w:t>הרא"ה בחי'</w:t>
      </w:r>
      <w:r>
        <w:rPr>
          <w:rStyle w:val="af8"/>
          <w:rFonts w:hint="cs"/>
          <w:rtl/>
        </w:rPr>
        <w:t xml:space="preserve"> </w:t>
      </w:r>
      <w:r w:rsidRPr="00D47CE7">
        <w:rPr>
          <w:rStyle w:val="af8"/>
          <w:rFonts w:hint="cs"/>
          <w:rtl/>
        </w:rPr>
        <w:t>לעיל</w:t>
      </w:r>
      <w:r w:rsidRPr="00D47CE7">
        <w:rPr>
          <w:rStyle w:val="af6"/>
          <w:rFonts w:eastAsia="Guttman Hodes" w:hint="cs"/>
          <w:rtl/>
        </w:rPr>
        <w:t xml:space="preserve"> (לט. ד"ה והחילק, הועתק בקובץ שיטות קמאי ע"ז ח"א עמ' תתק"ה) </w:t>
      </w:r>
      <w:r w:rsidRPr="00D47CE7">
        <w:rPr>
          <w:rStyle w:val="af8"/>
          <w:rFonts w:hint="cs"/>
          <w:rtl/>
        </w:rPr>
        <w:t>והריטב"א</w:t>
      </w:r>
      <w:r>
        <w:rPr>
          <w:rStyle w:val="af8"/>
          <w:rFonts w:hint="cs"/>
          <w:rtl/>
        </w:rPr>
        <w:t xml:space="preserve"> </w:t>
      </w:r>
      <w:r w:rsidRPr="00D47CE7">
        <w:rPr>
          <w:rStyle w:val="af8"/>
          <w:rFonts w:hint="cs"/>
          <w:rtl/>
        </w:rPr>
        <w:t>לעיל</w:t>
      </w:r>
      <w:r w:rsidRPr="00D47CE7">
        <w:rPr>
          <w:rStyle w:val="af6"/>
          <w:rFonts w:eastAsia="Guttman Hodes" w:hint="cs"/>
          <w:rtl/>
        </w:rPr>
        <w:t xml:space="preserve"> (לט. ד"ה ואע"ג) </w:t>
      </w:r>
      <w:r w:rsidRPr="00D47CE7">
        <w:rPr>
          <w:rFonts w:hint="cs"/>
          <w:rtl/>
        </w:rPr>
        <w:t>דכל דבר שהותר מדין נותן טעם לפגם, אינו חוזר וניעור לאיסור לעולם, דאף אם מבשמים אותו, חשיב כמבשם את העפר</w:t>
      </w:r>
      <w:r>
        <w:rPr>
          <w:rFonts w:hint="cs"/>
          <w:rtl/>
        </w:rPr>
        <w:t xml:space="preserve">. </w:t>
      </w:r>
      <w:r w:rsidRPr="00D47CE7">
        <w:rPr>
          <w:rFonts w:hint="cs"/>
          <w:rtl/>
        </w:rPr>
        <w:t>ו</w:t>
      </w:r>
      <w:r>
        <w:rPr>
          <w:rFonts w:hint="cs"/>
          <w:rtl/>
        </w:rPr>
        <w:t>כתב</w:t>
      </w:r>
      <w:r w:rsidRPr="000D3A08">
        <w:rPr>
          <w:rFonts w:hint="cs"/>
          <w:rtl/>
        </w:rPr>
        <w:t xml:space="preserve"> </w:t>
      </w:r>
      <w:r w:rsidRPr="000D3A08">
        <w:rPr>
          <w:rStyle w:val="af8"/>
          <w:rFonts w:hint="cs"/>
          <w:rtl/>
        </w:rPr>
        <w:t>הקה"י בפסחים</w:t>
      </w:r>
      <w:r w:rsidRPr="00D47CE7">
        <w:rPr>
          <w:rFonts w:hint="cs"/>
          <w:rtl/>
        </w:rPr>
        <w:t xml:space="preserve"> </w:t>
      </w:r>
      <w:r w:rsidRPr="000D3A08">
        <w:rPr>
          <w:rStyle w:val="af6"/>
          <w:rFonts w:eastAsia="Guttman Hodes" w:hint="cs"/>
          <w:rtl/>
        </w:rPr>
        <w:t>(ריש סי' ט"ז)</w:t>
      </w:r>
      <w:r w:rsidRPr="00D47CE7">
        <w:rPr>
          <w:rFonts w:hint="cs"/>
          <w:rtl/>
        </w:rPr>
        <w:t xml:space="preserve"> </w:t>
      </w:r>
      <w:r w:rsidRPr="000D3A08">
        <w:rPr>
          <w:rStyle w:val="af8"/>
          <w:rFonts w:hint="cs"/>
          <w:rtl/>
        </w:rPr>
        <w:t>דברשב"א במשה"</w:t>
      </w:r>
      <w:r w:rsidRPr="00D47CE7">
        <w:rPr>
          <w:rFonts w:hint="cs"/>
          <w:rtl/>
        </w:rPr>
        <w:t xml:space="preserve">ב משמע </w:t>
      </w:r>
      <w:r>
        <w:rPr>
          <w:rFonts w:hint="cs"/>
          <w:rtl/>
        </w:rPr>
        <w:t xml:space="preserve">דמודה </w:t>
      </w:r>
      <w:r w:rsidRPr="000D3A08">
        <w:rPr>
          <w:rStyle w:val="af8"/>
          <w:rFonts w:hint="cs"/>
          <w:rtl/>
        </w:rPr>
        <w:t>לרא"ה</w:t>
      </w:r>
      <w:r>
        <w:rPr>
          <w:rFonts w:hint="cs"/>
          <w:rtl/>
        </w:rPr>
        <w:t xml:space="preserve"> בזה</w:t>
      </w:r>
      <w:r w:rsidRPr="00D47CE7">
        <w:rPr>
          <w:rFonts w:hint="cs"/>
          <w:rtl/>
        </w:rPr>
        <w:t xml:space="preserve">, </w:t>
      </w:r>
      <w:r>
        <w:rPr>
          <w:rFonts w:hint="cs"/>
          <w:rtl/>
        </w:rPr>
        <w:t xml:space="preserve">[ועי' בדברי </w:t>
      </w:r>
      <w:r w:rsidRPr="004262C6">
        <w:rPr>
          <w:rStyle w:val="af8"/>
          <w:rFonts w:hint="cs"/>
          <w:rtl/>
        </w:rPr>
        <w:t>החוו"ד</w:t>
      </w:r>
      <w:r>
        <w:rPr>
          <w:rFonts w:hint="cs"/>
          <w:rtl/>
        </w:rPr>
        <w:t xml:space="preserve"> </w:t>
      </w:r>
      <w:r w:rsidRPr="00CA383B">
        <w:rPr>
          <w:rStyle w:val="af6"/>
          <w:rFonts w:eastAsia="Guttman Hodes" w:hint="cs"/>
          <w:rtl/>
        </w:rPr>
        <w:t xml:space="preserve">(עי' אות </w:t>
      </w:r>
      <w:r w:rsidRPr="00CA383B">
        <w:rPr>
          <w:rStyle w:val="af6"/>
          <w:rFonts w:eastAsia="Guttman Hodes"/>
          <w:rtl/>
        </w:rPr>
        <w:fldChar w:fldCharType="begin"/>
      </w:r>
      <w:r w:rsidRPr="00CA383B">
        <w:rPr>
          <w:rStyle w:val="af6"/>
          <w:rFonts w:eastAsia="Guttman Hodes"/>
          <w:rtl/>
        </w:rPr>
        <w:instrText xml:space="preserve"> </w:instrText>
      </w:r>
      <w:r w:rsidRPr="00CA383B">
        <w:rPr>
          <w:rStyle w:val="af6"/>
          <w:rFonts w:eastAsia="Guttman Hodes" w:hint="cs"/>
        </w:rPr>
        <w:instrText>REF</w:instrText>
      </w:r>
      <w:r w:rsidRPr="00CA383B">
        <w:rPr>
          <w:rStyle w:val="af6"/>
          <w:rFonts w:eastAsia="Guttman Hodes" w:hint="cs"/>
          <w:rtl/>
        </w:rPr>
        <w:instrText xml:space="preserve"> _</w:instrText>
      </w:r>
      <w:r w:rsidRPr="00CA383B">
        <w:rPr>
          <w:rStyle w:val="af6"/>
          <w:rFonts w:eastAsia="Guttman Hodes" w:hint="cs"/>
        </w:rPr>
        <w:instrText>Ref18400013 \r \h</w:instrText>
      </w:r>
      <w:r w:rsidRPr="00CA383B">
        <w:rPr>
          <w:rStyle w:val="af6"/>
          <w:rFonts w:eastAsia="Guttman Hodes"/>
          <w:rtl/>
        </w:rPr>
        <w:instrText xml:space="preserve"> </w:instrText>
      </w:r>
      <w:r w:rsidRPr="00CA383B">
        <w:rPr>
          <w:rStyle w:val="af6"/>
          <w:rFonts w:eastAsia="Guttman Hodes"/>
          <w:rtl/>
        </w:rPr>
      </w:r>
      <w:r w:rsidRPr="00CA383B">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CA383B">
        <w:rPr>
          <w:rStyle w:val="af6"/>
          <w:rFonts w:eastAsia="Guttman Hodes"/>
          <w:rtl/>
        </w:rPr>
        <w:fldChar w:fldCharType="end"/>
      </w:r>
      <w:r>
        <w:rPr>
          <w:rFonts w:hint="cs"/>
          <w:rtl/>
        </w:rPr>
        <w:t xml:space="preserve"> ובמ"ש </w:t>
      </w:r>
      <w:r w:rsidRPr="0051668A">
        <w:rPr>
          <w:rStyle w:val="af8"/>
          <w:rFonts w:hint="cs"/>
          <w:rtl/>
        </w:rPr>
        <w:t>הקה"י</w:t>
      </w:r>
      <w:r>
        <w:rPr>
          <w:rFonts w:hint="cs"/>
          <w:rtl/>
        </w:rPr>
        <w:t xml:space="preserve"> </w:t>
      </w:r>
      <w:r w:rsidRPr="0051668A">
        <w:rPr>
          <w:rStyle w:val="af6"/>
          <w:rFonts w:eastAsia="Guttman Hodes" w:hint="cs"/>
          <w:rtl/>
        </w:rPr>
        <w:t>(עי' בהערה</w:t>
      </w:r>
      <w:bookmarkStart w:id="9028" w:name="_Ref18440587"/>
      <w:r>
        <w:rPr>
          <w:rStyle w:val="af0"/>
          <w:rtl/>
        </w:rPr>
        <w:footnoteReference w:id="35"/>
      </w:r>
      <w:bookmarkEnd w:id="9028"/>
      <w:r w:rsidRPr="0051668A">
        <w:rPr>
          <w:rStyle w:val="af6"/>
          <w:rFonts w:eastAsia="Guttman Hodes" w:hint="cs"/>
          <w:rtl/>
        </w:rPr>
        <w:t>)</w:t>
      </w:r>
      <w:r>
        <w:rPr>
          <w:rFonts w:hint="cs"/>
          <w:rtl/>
        </w:rPr>
        <w:t>]</w:t>
      </w:r>
      <w:r w:rsidRPr="00D47CE7">
        <w:rPr>
          <w:rFonts w:hint="cs"/>
          <w:rtl/>
        </w:rPr>
        <w:t>.</w:t>
      </w:r>
      <w:bookmarkEnd w:id="9025"/>
      <w:bookmarkEnd w:id="9027"/>
    </w:p>
    <w:p w:rsidR="007809D6" w:rsidRPr="00D47CE7" w:rsidRDefault="007809D6" w:rsidP="007809D6">
      <w:pPr>
        <w:pStyle w:val="a2"/>
        <w:rPr>
          <w:rtl/>
        </w:rPr>
      </w:pPr>
      <w:bookmarkStart w:id="9029" w:name="_Toc18250790"/>
      <w:bookmarkStart w:id="9030" w:name="_Toc18266247"/>
      <w:bookmarkStart w:id="9031" w:name="_Toc18269158"/>
      <w:bookmarkStart w:id="9032" w:name="_Toc18323866"/>
      <w:bookmarkStart w:id="9033" w:name="_Toc18397454"/>
      <w:bookmarkStart w:id="9034" w:name="_Toc18404177"/>
      <w:bookmarkStart w:id="9035" w:name="_Toc18481598"/>
      <w:r w:rsidRPr="00D47CE7">
        <w:rPr>
          <w:rFonts w:hint="cs"/>
          <w:rtl/>
        </w:rPr>
        <w:t>דברי הרא"ה דבקדירה שאינה בת יומא ודאי שהטעם הבלוע עצמו אינו ראוי לגר</w:t>
      </w:r>
      <w:bookmarkEnd w:id="9029"/>
      <w:bookmarkEnd w:id="9030"/>
      <w:bookmarkEnd w:id="9031"/>
      <w:bookmarkEnd w:id="9032"/>
      <w:bookmarkEnd w:id="9033"/>
      <w:bookmarkEnd w:id="9034"/>
      <w:bookmarkEnd w:id="9035"/>
    </w:p>
    <w:p w:rsidR="007809D6" w:rsidRPr="00D47CE7" w:rsidRDefault="007809D6" w:rsidP="009F44AF">
      <w:pPr>
        <w:pStyle w:val="a"/>
      </w:pPr>
      <w:bookmarkStart w:id="9036" w:name="_Ref18438494"/>
      <w:r w:rsidRPr="00D47CE7">
        <w:rPr>
          <w:rFonts w:hint="cs"/>
          <w:rtl/>
        </w:rPr>
        <w:t xml:space="preserve">וכתב </w:t>
      </w:r>
      <w:r w:rsidRPr="00D47CE7">
        <w:rPr>
          <w:rStyle w:val="af8"/>
          <w:rFonts w:hint="cs"/>
          <w:rtl/>
        </w:rPr>
        <w:t>הרא"ה בבד"ה</w:t>
      </w:r>
      <w:r w:rsidRPr="00D47CE7">
        <w:rPr>
          <w:rFonts w:hint="cs"/>
          <w:rtl/>
        </w:rPr>
        <w:t xml:space="preserve"> דטעם ההיתר בקדירה שאינה בת יומא, הוא דכיון שהאיסור הבלוע שהה בה מעת לעת, ודאי שהוא פגום ואינו ראוי לגר, ואעפ"י שכשנפלט הבלוע לתוך ההיתר, לא ניכר שאין הבלוע ראוי לגר, זהו כיון שהוא התערב בהיתר ולכן לא ניכר שאינו ראוי לגר, או מחמת הטעם של ההיתר, או מחמת שההיתר מרובה מהבלוע, אבל האיסור הבלוע בעצמו, פגום אף מאכילת גר או יותר</w:t>
      </w:r>
      <w:bookmarkEnd w:id="9026"/>
      <w:r w:rsidRPr="00D47CE7">
        <w:rPr>
          <w:rFonts w:hint="cs"/>
          <w:rtl/>
        </w:rPr>
        <w:t xml:space="preserve">, והוסיף </w:t>
      </w:r>
      <w:r w:rsidRPr="00D47CE7">
        <w:rPr>
          <w:rStyle w:val="af8"/>
          <w:rFonts w:hint="cs"/>
          <w:rtl/>
        </w:rPr>
        <w:t>הרא"ה בחי'</w:t>
      </w:r>
      <w:r>
        <w:rPr>
          <w:rStyle w:val="af8"/>
          <w:rFonts w:hint="cs"/>
          <w:rtl/>
        </w:rPr>
        <w:t xml:space="preserve"> </w:t>
      </w:r>
      <w:r w:rsidRPr="00D47CE7">
        <w:rPr>
          <w:rStyle w:val="af6"/>
          <w:rFonts w:eastAsia="Guttman Hodes" w:hint="cs"/>
          <w:rtl/>
        </w:rPr>
        <w:t xml:space="preserve">(לט. ד"ה והחילק, הועתק בקובץ שיטות קמאי ע"ז ח"א עמ' </w:t>
      </w:r>
      <w:r w:rsidRPr="00D47CE7">
        <w:rPr>
          <w:rStyle w:val="af6"/>
          <w:rFonts w:eastAsia="Guttman Hodes"/>
          <w:rtl/>
        </w:rPr>
        <w:t>ת</w:t>
      </w:r>
      <w:r w:rsidRPr="00D47CE7">
        <w:rPr>
          <w:rStyle w:val="af6"/>
          <w:rFonts w:eastAsia="Guttman Hodes" w:hint="cs"/>
          <w:rtl/>
        </w:rPr>
        <w:t>ת</w:t>
      </w:r>
      <w:r w:rsidRPr="00D47CE7">
        <w:rPr>
          <w:rStyle w:val="af6"/>
          <w:rFonts w:eastAsia="Guttman Hodes"/>
          <w:rtl/>
        </w:rPr>
        <w:t>ק</w:t>
      </w:r>
      <w:r w:rsidRPr="00D47CE7">
        <w:rPr>
          <w:rStyle w:val="af6"/>
          <w:rFonts w:eastAsia="Guttman Hodes" w:hint="cs"/>
          <w:rtl/>
        </w:rPr>
        <w:t>"</w:t>
      </w:r>
      <w:r w:rsidRPr="00D47CE7">
        <w:rPr>
          <w:rStyle w:val="af6"/>
          <w:rFonts w:eastAsia="Guttman Hodes"/>
          <w:rtl/>
        </w:rPr>
        <w:t>ה</w:t>
      </w:r>
      <w:r w:rsidRPr="00D47CE7">
        <w:rPr>
          <w:rStyle w:val="af6"/>
          <w:rFonts w:eastAsia="Guttman Hodes" w:hint="cs"/>
          <w:rtl/>
        </w:rPr>
        <w:t>)</w:t>
      </w:r>
      <w:r w:rsidRPr="00D47CE7">
        <w:rPr>
          <w:rFonts w:hint="cs"/>
          <w:rtl/>
        </w:rPr>
        <w:t xml:space="preserve"> דכל דבר שאינו בן יומו וחשיב בלוע, הוא נותן טעם לפגם, אבל באיסור בעין לא שייך היתר דאינו בן יומו, דמסתמא אינו פגום, אא"כ </w:t>
      </w:r>
      <w:r w:rsidRPr="00D47CE7">
        <w:rPr>
          <w:rFonts w:hint="cs"/>
          <w:rtl/>
        </w:rPr>
        <w:t>רואים שהוא פגום.</w:t>
      </w:r>
      <w:bookmarkEnd w:id="9036"/>
      <w:r>
        <w:rPr>
          <w:rFonts w:hint="cs"/>
          <w:rtl/>
        </w:rPr>
        <w:t xml:space="preserve"> [ועי' </w:t>
      </w:r>
      <w:r w:rsidRPr="00316202">
        <w:rPr>
          <w:rStyle w:val="af8"/>
          <w:rFonts w:hint="cs"/>
          <w:rtl/>
        </w:rPr>
        <w:t>בר"ן</w:t>
      </w:r>
      <w:r>
        <w:rPr>
          <w:rFonts w:hint="cs"/>
          <w:rtl/>
        </w:rPr>
        <w:t xml:space="preserve"> </w:t>
      </w:r>
      <w:r w:rsidRPr="00316202">
        <w:rPr>
          <w:rStyle w:val="af6"/>
          <w:rFonts w:eastAsia="Guttman Hodes" w:hint="cs"/>
          <w:rtl/>
        </w:rPr>
        <w:t xml:space="preserve">(עי' אות </w:t>
      </w:r>
      <w:r w:rsidRPr="00316202">
        <w:rPr>
          <w:rStyle w:val="af6"/>
          <w:rFonts w:eastAsia="Guttman Hodes"/>
          <w:rtl/>
        </w:rPr>
        <w:fldChar w:fldCharType="begin"/>
      </w:r>
      <w:r w:rsidRPr="00316202">
        <w:rPr>
          <w:rStyle w:val="af6"/>
          <w:rFonts w:eastAsia="Guttman Hodes"/>
          <w:rtl/>
        </w:rPr>
        <w:instrText xml:space="preserve"> </w:instrText>
      </w:r>
      <w:r w:rsidRPr="00316202">
        <w:rPr>
          <w:rStyle w:val="af6"/>
          <w:rFonts w:eastAsia="Guttman Hodes" w:hint="cs"/>
        </w:rPr>
        <w:instrText>REF</w:instrText>
      </w:r>
      <w:r w:rsidRPr="00316202">
        <w:rPr>
          <w:rStyle w:val="af6"/>
          <w:rFonts w:eastAsia="Guttman Hodes" w:hint="cs"/>
          <w:rtl/>
        </w:rPr>
        <w:instrText xml:space="preserve"> _</w:instrText>
      </w:r>
      <w:r w:rsidRPr="00316202">
        <w:rPr>
          <w:rStyle w:val="af6"/>
          <w:rFonts w:eastAsia="Guttman Hodes" w:hint="cs"/>
        </w:rPr>
        <w:instrText>Ref18438605 \r \h</w:instrText>
      </w:r>
      <w:r w:rsidRPr="00316202">
        <w:rPr>
          <w:rStyle w:val="af6"/>
          <w:rFonts w:eastAsia="Guttman Hodes"/>
          <w:rtl/>
        </w:rPr>
        <w:instrText xml:space="preserve"> </w:instrText>
      </w:r>
      <w:r w:rsidRPr="00316202">
        <w:rPr>
          <w:rStyle w:val="af6"/>
          <w:rFonts w:eastAsia="Guttman Hodes"/>
          <w:rtl/>
        </w:rPr>
      </w:r>
      <w:r w:rsidRPr="00316202">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316202">
        <w:rPr>
          <w:rStyle w:val="af6"/>
          <w:rFonts w:eastAsia="Guttman Hodes"/>
          <w:rtl/>
        </w:rPr>
        <w:fldChar w:fldCharType="end"/>
      </w:r>
      <w:r>
        <w:rPr>
          <w:rFonts w:hint="cs"/>
          <w:rtl/>
        </w:rPr>
        <w:t xml:space="preserve"> דפליג וכתב דהטעם הבלוע אינו פגום].</w:t>
      </w:r>
    </w:p>
    <w:p w:rsidR="007809D6" w:rsidRPr="00D47CE7" w:rsidRDefault="007809D6" w:rsidP="007809D6">
      <w:pPr>
        <w:pStyle w:val="a2"/>
        <w:rPr>
          <w:rtl/>
        </w:rPr>
      </w:pPr>
      <w:bookmarkStart w:id="9037" w:name="_Toc18250791"/>
      <w:bookmarkStart w:id="9038" w:name="_Toc18266248"/>
      <w:bookmarkStart w:id="9039" w:name="_Toc18269159"/>
      <w:bookmarkStart w:id="9040" w:name="_Toc18323867"/>
      <w:bookmarkStart w:id="9041" w:name="_Toc18397455"/>
      <w:bookmarkStart w:id="9042" w:name="_Toc18404178"/>
      <w:bookmarkStart w:id="9043" w:name="_Toc18481599"/>
      <w:r w:rsidRPr="00D47CE7">
        <w:rPr>
          <w:rFonts w:hint="cs"/>
          <w:rtl/>
        </w:rPr>
        <w:t>דברי הרא"ה דיותר מסתבר להתיר בפגום במקצת איסור בעין מאיסור שבלוע דאין פגמו ניכר</w:t>
      </w:r>
      <w:bookmarkEnd w:id="9037"/>
      <w:bookmarkEnd w:id="9038"/>
      <w:bookmarkEnd w:id="9039"/>
      <w:bookmarkEnd w:id="9040"/>
      <w:bookmarkEnd w:id="9041"/>
      <w:bookmarkEnd w:id="9042"/>
      <w:bookmarkEnd w:id="9043"/>
    </w:p>
    <w:p w:rsidR="007809D6" w:rsidRPr="00D47CE7" w:rsidRDefault="007809D6" w:rsidP="009F44AF">
      <w:pPr>
        <w:pStyle w:val="a"/>
      </w:pPr>
      <w:r w:rsidRPr="00D47CE7">
        <w:rPr>
          <w:rFonts w:hint="cs"/>
          <w:rtl/>
        </w:rPr>
        <w:t xml:space="preserve">והוסיף </w:t>
      </w:r>
      <w:r w:rsidRPr="00D47CE7">
        <w:rPr>
          <w:rStyle w:val="af8"/>
          <w:rFonts w:hint="cs"/>
          <w:rtl/>
        </w:rPr>
        <w:t>הרא"ה בבד"ה</w:t>
      </w:r>
      <w:r w:rsidRPr="00D47CE7">
        <w:rPr>
          <w:rFonts w:hint="cs"/>
          <w:rtl/>
        </w:rPr>
        <w:t xml:space="preserve"> דעיקר הסברא היא להיפך מדברי </w:t>
      </w:r>
      <w:r w:rsidRPr="00D47CE7">
        <w:rPr>
          <w:rStyle w:val="af8"/>
          <w:rFonts w:hint="cs"/>
          <w:rtl/>
        </w:rPr>
        <w:t>הרשב"א בתוה"ב</w:t>
      </w:r>
      <w:r w:rsidRPr="00D47CE7">
        <w:rPr>
          <w:rFonts w:hint="cs"/>
          <w:rtl/>
        </w:rPr>
        <w:t xml:space="preserve">, דאיסור פגום שהוא בעין הוא יותר קל להתירו, מאיסור בלוע בכלי, דהרי נבילה שאינה ראויה לגר מותרת לאכילה אף כשהיא בעין אבל איסור שבלוע בכלי אסור לכתחילה, ומותר רק ע"י שמכשירים את הכלי, וביאר </w:t>
      </w:r>
      <w:r w:rsidRPr="00D47CE7">
        <w:rPr>
          <w:rStyle w:val="af8"/>
          <w:rFonts w:hint="cs"/>
          <w:rtl/>
        </w:rPr>
        <w:t>הרא"ה בבד"ה</w:t>
      </w:r>
      <w:r w:rsidRPr="00D47CE7">
        <w:rPr>
          <w:rFonts w:hint="cs"/>
          <w:rtl/>
        </w:rPr>
        <w:t xml:space="preserve"> דהאיסור הבלוע אף שהוא פגום ואינו ראוי לגר, מ"מ הוא חמור יותר כיון שבשעה שנבלע היה משובח, ואף עכשיו שהוא פגום, מ"מ אין הפגם שלו ניכר</w:t>
      </w:r>
      <w:bookmarkStart w:id="9044" w:name="_Ref18249574"/>
      <w:bookmarkStart w:id="9045" w:name="_Toc16243776"/>
      <w:r w:rsidRPr="00D47CE7">
        <w:rPr>
          <w:rStyle w:val="af0"/>
          <w:rtl/>
        </w:rPr>
        <w:footnoteReference w:id="36"/>
      </w:r>
      <w:bookmarkEnd w:id="9044"/>
      <w:r w:rsidRPr="00D47CE7">
        <w:rPr>
          <w:rFonts w:hint="cs"/>
          <w:rtl/>
        </w:rPr>
        <w:t>.</w:t>
      </w:r>
      <w:r w:rsidRPr="00D47CE7">
        <w:rPr>
          <w:rStyle w:val="afa"/>
          <w:rFonts w:hint="cs"/>
          <w:rtl/>
        </w:rPr>
        <w:t xml:space="preserve">[וע"ע </w:t>
      </w:r>
      <w:r w:rsidRPr="00D47CE7">
        <w:rPr>
          <w:rStyle w:val="affa"/>
          <w:rFonts w:hint="cs"/>
          <w:rtl/>
        </w:rPr>
        <w:t>בפסקי הרא"ה לחולין</w:t>
      </w:r>
      <w:r w:rsidRPr="00D47CE7">
        <w:rPr>
          <w:rStyle w:val="afa"/>
          <w:rFonts w:hint="cs"/>
          <w:rtl/>
        </w:rPr>
        <w:t xml:space="preserve"> </w:t>
      </w:r>
      <w:r w:rsidRPr="00D47CE7">
        <w:rPr>
          <w:rStyle w:val="aff6"/>
          <w:rFonts w:hint="cs"/>
          <w:rtl/>
        </w:rPr>
        <w:t>(אות נ"ח ד"ה וכן</w:t>
      </w:r>
      <w:r w:rsidRPr="00D47CE7">
        <w:rPr>
          <w:rStyle w:val="aff6"/>
          <w:rtl/>
        </w:rPr>
        <w:t xml:space="preserve">, </w:t>
      </w:r>
      <w:r w:rsidRPr="00D47CE7">
        <w:rPr>
          <w:rStyle w:val="aff6"/>
          <w:rFonts w:hint="cs"/>
          <w:rtl/>
        </w:rPr>
        <w:t xml:space="preserve">נד' בסוף חי' הרא"ה) </w:t>
      </w:r>
      <w:r w:rsidRPr="00D47CE7">
        <w:rPr>
          <w:rStyle w:val="afa"/>
          <w:rFonts w:hint="cs"/>
          <w:rtl/>
        </w:rPr>
        <w:t>דכתב לענין ביעור חמץ, דאיסור בלוע חמור יותר מאיסור פגום שהוא בעין, כיון שבבלוע הפגם שלו אינו ניכר].</w:t>
      </w:r>
    </w:p>
    <w:p w:rsidR="007809D6" w:rsidRPr="00D47CE7" w:rsidRDefault="007809D6" w:rsidP="007809D6">
      <w:pPr>
        <w:pStyle w:val="1"/>
        <w:rPr>
          <w:rtl/>
        </w:rPr>
      </w:pPr>
      <w:bookmarkStart w:id="9046" w:name="_Toc16679275"/>
      <w:bookmarkStart w:id="9047" w:name="_Toc16850478"/>
      <w:bookmarkStart w:id="9048" w:name="_Toc17624851"/>
      <w:bookmarkStart w:id="9049" w:name="_Toc17889799"/>
      <w:bookmarkStart w:id="9050" w:name="_Toc17975421"/>
      <w:bookmarkStart w:id="9051" w:name="_Toc17984110"/>
      <w:bookmarkStart w:id="9052" w:name="_Toc18228235"/>
      <w:bookmarkStart w:id="9053" w:name="_Toc18250792"/>
      <w:bookmarkStart w:id="9054" w:name="_Toc18266249"/>
      <w:bookmarkStart w:id="9055" w:name="_Toc18269160"/>
      <w:bookmarkStart w:id="9056" w:name="_Toc18323868"/>
      <w:bookmarkStart w:id="9057" w:name="_Toc18397456"/>
      <w:bookmarkStart w:id="9058" w:name="_Toc18404179"/>
      <w:bookmarkStart w:id="9059" w:name="_Toc18481600"/>
      <w:r w:rsidRPr="00D47CE7">
        <w:rPr>
          <w:rFonts w:hint="cs"/>
          <w:rtl/>
        </w:rPr>
        <w:t>קושיות הרשב"א במשה"ב על הרא"ה</w:t>
      </w:r>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p>
    <w:p w:rsidR="007809D6" w:rsidRPr="00D47CE7" w:rsidRDefault="007809D6" w:rsidP="007809D6">
      <w:pPr>
        <w:pStyle w:val="a2"/>
        <w:rPr>
          <w:rtl/>
        </w:rPr>
      </w:pPr>
      <w:bookmarkStart w:id="9060" w:name="_Toc18250793"/>
      <w:bookmarkStart w:id="9061" w:name="_Toc18266250"/>
      <w:bookmarkStart w:id="9062" w:name="_Toc18269161"/>
      <w:bookmarkStart w:id="9063" w:name="_Toc18323869"/>
      <w:bookmarkStart w:id="9064" w:name="_Toc18397457"/>
      <w:bookmarkStart w:id="9065" w:name="_Toc18404180"/>
      <w:bookmarkStart w:id="9066" w:name="_Toc18481601"/>
      <w:r w:rsidRPr="00D47CE7">
        <w:rPr>
          <w:rFonts w:hint="cs"/>
          <w:rtl/>
        </w:rPr>
        <w:t>קושיות הרשב"א דמוכח במתני' דאף שהאיסור אינו פגום לגמרי מותר בנטל"פ</w:t>
      </w:r>
      <w:bookmarkEnd w:id="9060"/>
      <w:bookmarkEnd w:id="9061"/>
      <w:bookmarkEnd w:id="9062"/>
      <w:bookmarkEnd w:id="9063"/>
      <w:bookmarkEnd w:id="9064"/>
      <w:bookmarkEnd w:id="9065"/>
      <w:bookmarkEnd w:id="9066"/>
    </w:p>
    <w:p w:rsidR="007809D6" w:rsidRPr="00D47CE7" w:rsidRDefault="007809D6" w:rsidP="009F44AF">
      <w:pPr>
        <w:pStyle w:val="a"/>
        <w:rPr>
          <w:rStyle w:val="afa"/>
          <w:rtl/>
        </w:rPr>
      </w:pPr>
      <w:r w:rsidRPr="00D47CE7">
        <w:rPr>
          <w:rFonts w:hint="cs"/>
          <w:rtl/>
        </w:rPr>
        <w:t xml:space="preserve">במ"ש </w:t>
      </w:r>
      <w:r w:rsidRPr="00D47CE7">
        <w:rPr>
          <w:rStyle w:val="af8"/>
          <w:rFonts w:hint="cs"/>
          <w:rtl/>
        </w:rPr>
        <w:t xml:space="preserve">הרא"ה בבד"ה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Ref16673213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sidRPr="00D47CE7">
        <w:rPr>
          <w:rStyle w:val="af6"/>
          <w:rFonts w:eastAsia="Guttman Hodes"/>
          <w:rtl/>
        </w:rPr>
        <w:fldChar w:fldCharType="end"/>
      </w:r>
      <w:r w:rsidRPr="00D47CE7">
        <w:rPr>
          <w:rFonts w:hint="cs"/>
          <w:rtl/>
        </w:rPr>
        <w:t xml:space="preserve"> דההיתר בנותן טעם לפגם בתערובת, הוא רק כשהאיסור עצמו אינו ראוי לגר, דחה </w:t>
      </w:r>
      <w:r w:rsidRPr="00D47CE7">
        <w:rPr>
          <w:rStyle w:val="af8"/>
          <w:rFonts w:hint="cs"/>
          <w:rtl/>
        </w:rPr>
        <w:t xml:space="preserve">הרשב"א במשה"ב </w:t>
      </w:r>
      <w:r w:rsidRPr="00D47CE7">
        <w:rPr>
          <w:rStyle w:val="af6"/>
          <w:rFonts w:eastAsia="Guttman Hodes" w:hint="cs"/>
          <w:rtl/>
        </w:rPr>
        <w:t>(ב"ד ש"א יט. מדה"ס)</w:t>
      </w:r>
      <w:r w:rsidRPr="00D47CE7">
        <w:rPr>
          <w:rFonts w:hint="cs"/>
          <w:rtl/>
        </w:rPr>
        <w:t xml:space="preserve"> דהא איתא במתני'</w:t>
      </w:r>
      <w:r>
        <w:rPr>
          <w:rFonts w:hint="cs"/>
          <w:rtl/>
        </w:rPr>
        <w:t xml:space="preserve"> </w:t>
      </w:r>
      <w:r w:rsidRPr="00D47CE7">
        <w:rPr>
          <w:rStyle w:val="af6"/>
          <w:rFonts w:eastAsia="Guttman Hodes" w:hint="cs"/>
          <w:rtl/>
        </w:rPr>
        <w:t>(סה:)</w:t>
      </w:r>
      <w:r w:rsidRPr="00D47CE7">
        <w:rPr>
          <w:rFonts w:hint="cs"/>
          <w:rtl/>
        </w:rPr>
        <w:t xml:space="preserve"> דיין נסך שנפל לתוך הגרוגרות מותר מדין נותן טעם לפגם, אעפ"י שהיין עצמו אינו פגום, ומוכח דכיון שהוא פוגם בגרוגרות חשיב נותן טעם לפגם, ועוד הקשה </w:t>
      </w:r>
      <w:r w:rsidRPr="00D47CE7">
        <w:rPr>
          <w:rStyle w:val="af8"/>
          <w:rFonts w:hint="cs"/>
          <w:rtl/>
        </w:rPr>
        <w:t xml:space="preserve">הרשב"א במשה"ב </w:t>
      </w:r>
      <w:r w:rsidRPr="00D47CE7">
        <w:rPr>
          <w:rFonts w:hint="cs"/>
          <w:rtl/>
        </w:rPr>
        <w:t>דאמרינן במתני' שם דכל שבהנאתו בנותן טעם אסור, וכל שאין בהנאתו בנותן טעם מותר, ומוכח דאף שהוא ראוי לגר, ואינו פגום כנבילה, אינו אוסר בתערובת כל שאין הנאה בנתינת הטעם שלו.</w:t>
      </w:r>
    </w:p>
    <w:p w:rsidR="007809D6" w:rsidRPr="00D47CE7" w:rsidRDefault="007809D6" w:rsidP="007809D6">
      <w:pPr>
        <w:pStyle w:val="a2"/>
        <w:rPr>
          <w:rtl/>
        </w:rPr>
      </w:pPr>
      <w:bookmarkStart w:id="9067" w:name="_Toc18250794"/>
      <w:bookmarkStart w:id="9068" w:name="_Toc18266251"/>
      <w:bookmarkStart w:id="9069" w:name="_Toc18269162"/>
      <w:bookmarkStart w:id="9070" w:name="_Toc18323870"/>
      <w:bookmarkStart w:id="9071" w:name="_Toc18397458"/>
      <w:bookmarkStart w:id="9072" w:name="_Toc18404181"/>
      <w:bookmarkStart w:id="9073" w:name="_Toc18481602"/>
      <w:r w:rsidRPr="00D47CE7">
        <w:rPr>
          <w:rFonts w:hint="cs"/>
          <w:rtl/>
        </w:rPr>
        <w:t>קושיות הרשב"א דמוכח בגמ' דהאיסור אינו פוגם לגמרי וכן מותר כשהאיסור מצד עצמו משובח</w:t>
      </w:r>
      <w:bookmarkEnd w:id="9067"/>
      <w:bookmarkEnd w:id="9068"/>
      <w:bookmarkEnd w:id="9069"/>
      <w:bookmarkEnd w:id="9070"/>
      <w:bookmarkEnd w:id="9071"/>
      <w:bookmarkEnd w:id="9072"/>
      <w:bookmarkEnd w:id="9073"/>
      <w:r w:rsidRPr="00D47CE7">
        <w:rPr>
          <w:rFonts w:hint="cs"/>
          <w:rtl/>
        </w:rPr>
        <w:t xml:space="preserve"> </w:t>
      </w:r>
    </w:p>
    <w:p w:rsidR="007809D6" w:rsidRPr="00D47CE7" w:rsidRDefault="007809D6" w:rsidP="009F44AF">
      <w:pPr>
        <w:pStyle w:val="a"/>
        <w:rPr>
          <w:rtl/>
        </w:rPr>
      </w:pPr>
      <w:bookmarkStart w:id="9074" w:name="_Toc16116619"/>
      <w:r w:rsidRPr="00D47CE7">
        <w:rPr>
          <w:rFonts w:hint="cs"/>
          <w:rtl/>
        </w:rPr>
        <w:t xml:space="preserve">ועוד הקשה </w:t>
      </w:r>
      <w:r w:rsidRPr="00D47CE7">
        <w:rPr>
          <w:rStyle w:val="af8"/>
          <w:rFonts w:hint="cs"/>
          <w:rtl/>
        </w:rPr>
        <w:t xml:space="preserve">הרשב"א במשה"ב </w:t>
      </w:r>
      <w:r w:rsidRPr="00D47CE7">
        <w:rPr>
          <w:rFonts w:hint="cs"/>
          <w:rtl/>
        </w:rPr>
        <w:t xml:space="preserve">דהרי אף במקום שהאיסור לבדו אינו פוגם, ורק בצירוף דברים אחרים הוא נותן טעם לפגם מותר כדמוכח מדברי ריו"ח, </w:t>
      </w:r>
      <w:r w:rsidRPr="00D47CE7">
        <w:rPr>
          <w:rtl/>
        </w:rPr>
        <w:t xml:space="preserve">ועוד הקשה </w:t>
      </w:r>
      <w:r w:rsidRPr="00D47CE7">
        <w:rPr>
          <w:rStyle w:val="af8"/>
          <w:rtl/>
        </w:rPr>
        <w:t>הרשב</w:t>
      </w:r>
      <w:r w:rsidRPr="00D47CE7">
        <w:rPr>
          <w:rStyle w:val="af8"/>
          <w:rFonts w:hint="cs"/>
          <w:rtl/>
        </w:rPr>
        <w:t>"</w:t>
      </w:r>
      <w:r w:rsidRPr="00D47CE7">
        <w:rPr>
          <w:rStyle w:val="af8"/>
          <w:rtl/>
        </w:rPr>
        <w:t>א במשה</w:t>
      </w:r>
      <w:r w:rsidRPr="00D47CE7">
        <w:rPr>
          <w:rStyle w:val="af8"/>
          <w:rFonts w:hint="cs"/>
          <w:rtl/>
        </w:rPr>
        <w:t>"</w:t>
      </w:r>
      <w:r w:rsidRPr="00D47CE7">
        <w:rPr>
          <w:rStyle w:val="af8"/>
          <w:rtl/>
        </w:rPr>
        <w:t>ב</w:t>
      </w:r>
      <w:r w:rsidRPr="00D47CE7">
        <w:rPr>
          <w:rFonts w:hint="cs"/>
          <w:rtl/>
        </w:rPr>
        <w:t xml:space="preserve"> דהרי חומץ שנפל לגריסין דהוא טעמו וממשו, </w:t>
      </w:r>
      <w:r w:rsidRPr="00D47CE7">
        <w:rPr>
          <w:rStyle w:val="afa"/>
          <w:rFonts w:hint="cs"/>
          <w:rtl/>
        </w:rPr>
        <w:t>[ואסור מדאו' דהוא מדין ממשו, ולא רק מדין טעם כעיקר דרבנן],</w:t>
      </w:r>
      <w:r w:rsidRPr="00D47CE7">
        <w:rPr>
          <w:rFonts w:hint="cs"/>
          <w:rtl/>
        </w:rPr>
        <w:t xml:space="preserve"> והחומץ מצד עצמו הוא משובח ואינו פגום, ומ"מ מותר מדין נותן טעם לפגם, ואף הגריסין עצמם ראוים לאכילה ואינם פגומים לגר, וכן ביין שנפל לעדשים לדעת ר"ש דמתיר </w:t>
      </w:r>
      <w:r w:rsidRPr="00D47CE7">
        <w:rPr>
          <w:rStyle w:val="af6"/>
          <w:rFonts w:eastAsia="Guttman Hodes" w:hint="cs"/>
          <w:rtl/>
        </w:rPr>
        <w:t>(סח.)</w:t>
      </w:r>
      <w:r w:rsidRPr="00D47CE7">
        <w:rPr>
          <w:rFonts w:hint="cs"/>
          <w:rtl/>
        </w:rPr>
        <w:t>.</w:t>
      </w:r>
    </w:p>
    <w:p w:rsidR="007809D6" w:rsidRPr="00D47CE7" w:rsidRDefault="007809D6" w:rsidP="007809D6">
      <w:pPr>
        <w:pStyle w:val="a2"/>
        <w:rPr>
          <w:rtl/>
        </w:rPr>
      </w:pPr>
      <w:bookmarkStart w:id="9075" w:name="_Toc18250795"/>
      <w:bookmarkStart w:id="9076" w:name="_Toc18266252"/>
      <w:bookmarkStart w:id="9077" w:name="_Toc18269163"/>
      <w:bookmarkStart w:id="9078" w:name="_Toc18323871"/>
      <w:bookmarkStart w:id="9079" w:name="_Toc18397459"/>
      <w:bookmarkStart w:id="9080" w:name="_Toc18404182"/>
      <w:bookmarkStart w:id="9081" w:name="_Toc18481603"/>
      <w:r w:rsidRPr="00D47CE7">
        <w:rPr>
          <w:rFonts w:hint="cs"/>
          <w:rtl/>
        </w:rPr>
        <w:t>קושית הרשב"א דקדירה בת יומא פוגמת רק קצת ואפ"ה חשיבא נטל"פ אף דאינו פגם גמור</w:t>
      </w:r>
      <w:bookmarkEnd w:id="9075"/>
      <w:bookmarkEnd w:id="9076"/>
      <w:bookmarkEnd w:id="9077"/>
      <w:bookmarkEnd w:id="9078"/>
      <w:bookmarkEnd w:id="9079"/>
      <w:bookmarkEnd w:id="9080"/>
      <w:bookmarkEnd w:id="9081"/>
    </w:p>
    <w:p w:rsidR="007809D6" w:rsidRPr="00D47CE7" w:rsidRDefault="007809D6" w:rsidP="009F44AF">
      <w:pPr>
        <w:pStyle w:val="a"/>
        <w:rPr>
          <w:rtl/>
        </w:rPr>
      </w:pPr>
      <w:r w:rsidRPr="00D47CE7">
        <w:rPr>
          <w:rtl/>
        </w:rPr>
        <w:t xml:space="preserve">ועוד הקשה </w:t>
      </w:r>
      <w:r w:rsidRPr="00D47CE7">
        <w:rPr>
          <w:rStyle w:val="af8"/>
          <w:rtl/>
        </w:rPr>
        <w:t>הרשב</w:t>
      </w:r>
      <w:r w:rsidRPr="00D47CE7">
        <w:rPr>
          <w:rStyle w:val="af8"/>
          <w:rFonts w:hint="cs"/>
          <w:rtl/>
        </w:rPr>
        <w:t>"</w:t>
      </w:r>
      <w:r w:rsidRPr="00D47CE7">
        <w:rPr>
          <w:rStyle w:val="af8"/>
          <w:rtl/>
        </w:rPr>
        <w:t>א במשה</w:t>
      </w:r>
      <w:r w:rsidRPr="00D47CE7">
        <w:rPr>
          <w:rStyle w:val="af8"/>
          <w:rFonts w:hint="cs"/>
          <w:rtl/>
        </w:rPr>
        <w:t>"</w:t>
      </w:r>
      <w:r w:rsidRPr="00D47CE7">
        <w:rPr>
          <w:rStyle w:val="af8"/>
          <w:rtl/>
        </w:rPr>
        <w:t>ב</w:t>
      </w:r>
      <w:r w:rsidRPr="00D47CE7">
        <w:rPr>
          <w:rFonts w:hint="cs"/>
          <w:rtl/>
        </w:rPr>
        <w:t xml:space="preserve"> מהא דאמרינן בגמ' </w:t>
      </w:r>
      <w:r w:rsidRPr="00D47CE7">
        <w:rPr>
          <w:rStyle w:val="af6"/>
          <w:rFonts w:eastAsia="Guttman Hodes" w:hint="cs"/>
          <w:rtl/>
        </w:rPr>
        <w:t xml:space="preserve">(סז:) </w:t>
      </w:r>
      <w:r w:rsidRPr="00D47CE7">
        <w:rPr>
          <w:rFonts w:hint="cs"/>
          <w:rtl/>
        </w:rPr>
        <w:t xml:space="preserve">דקדירה בת יומא חשיבא נותנת טעם לפגם, דלא יתכן שאינה פוגמת קצת, והרי לדברי </w:t>
      </w:r>
      <w:r w:rsidRPr="00D47CE7">
        <w:rPr>
          <w:rStyle w:val="af8"/>
          <w:rFonts w:hint="cs"/>
          <w:rtl/>
        </w:rPr>
        <w:t>הרא"ה</w:t>
      </w:r>
      <w:r w:rsidRPr="00D47CE7">
        <w:rPr>
          <w:rFonts w:hint="cs"/>
          <w:rtl/>
        </w:rPr>
        <w:t xml:space="preserve"> אין מ"ד שמתיר בפגם קצת, ואף פגם גדול אסור, כל שהוא עדיין ראוי לאכילה, דהא ההיתר הוא רק באינו ראוי לגר</w:t>
      </w:r>
      <w:r w:rsidRPr="00D47CE7">
        <w:rPr>
          <w:rStyle w:val="af0"/>
          <w:rtl/>
        </w:rPr>
        <w:footnoteReference w:id="37"/>
      </w:r>
      <w:r w:rsidRPr="00D47CE7">
        <w:rPr>
          <w:rFonts w:hint="cs"/>
          <w:rtl/>
        </w:rPr>
        <w:t>.</w:t>
      </w:r>
    </w:p>
    <w:p w:rsidR="007809D6" w:rsidRPr="00D47CE7" w:rsidRDefault="007809D6" w:rsidP="007809D6">
      <w:pPr>
        <w:pStyle w:val="1"/>
        <w:rPr>
          <w:rtl/>
        </w:rPr>
      </w:pPr>
      <w:bookmarkStart w:id="9082" w:name="_Toc16850487"/>
      <w:bookmarkStart w:id="9083" w:name="_Toc17624862"/>
      <w:bookmarkStart w:id="9084" w:name="_Toc17889811"/>
      <w:bookmarkStart w:id="9085" w:name="_Toc17975433"/>
      <w:bookmarkStart w:id="9086" w:name="_Toc17984126"/>
      <w:bookmarkStart w:id="9087" w:name="_Toc18228251"/>
      <w:bookmarkStart w:id="9088" w:name="_Toc18250782"/>
      <w:bookmarkStart w:id="9089" w:name="_Toc18266239"/>
      <w:bookmarkStart w:id="9090" w:name="_Toc18269150"/>
      <w:bookmarkStart w:id="9091" w:name="_Toc18323859"/>
      <w:bookmarkStart w:id="9092" w:name="_Toc18397460"/>
      <w:bookmarkStart w:id="9093" w:name="_Toc18404183"/>
      <w:bookmarkStart w:id="9094" w:name="_Toc18481604"/>
      <w:bookmarkStart w:id="9095" w:name="_Toc18250796"/>
      <w:bookmarkStart w:id="9096" w:name="_Toc18266253"/>
      <w:bookmarkStart w:id="9097" w:name="_Toc18269164"/>
      <w:bookmarkStart w:id="9098" w:name="_Toc18323872"/>
      <w:bookmarkEnd w:id="9074"/>
      <w:r w:rsidRPr="00D47CE7">
        <w:rPr>
          <w:rFonts w:hint="cs"/>
          <w:rtl/>
        </w:rPr>
        <w:lastRenderedPageBreak/>
        <w:t>דעת התו</w:t>
      </w:r>
      <w:r>
        <w:rPr>
          <w:rFonts w:hint="cs"/>
          <w:rtl/>
        </w:rPr>
        <w:t>ס' ה</w:t>
      </w:r>
      <w:r w:rsidRPr="00D47CE7">
        <w:rPr>
          <w:rFonts w:hint="cs"/>
          <w:rtl/>
        </w:rPr>
        <w:t xml:space="preserve">רי"ד </w:t>
      </w:r>
      <w:bookmarkEnd w:id="9082"/>
      <w:bookmarkEnd w:id="9083"/>
      <w:bookmarkEnd w:id="9084"/>
      <w:bookmarkEnd w:id="9085"/>
      <w:bookmarkEnd w:id="9086"/>
      <w:bookmarkEnd w:id="9087"/>
      <w:bookmarkEnd w:id="9088"/>
      <w:bookmarkEnd w:id="9089"/>
      <w:bookmarkEnd w:id="9090"/>
      <w:bookmarkEnd w:id="9091"/>
      <w:r>
        <w:rPr>
          <w:rFonts w:hint="cs"/>
          <w:rtl/>
        </w:rPr>
        <w:t>דהיתר נטל"פ</w:t>
      </w:r>
      <w:r w:rsidRPr="00291DA3">
        <w:rPr>
          <w:rFonts w:hint="cs"/>
          <w:rtl/>
        </w:rPr>
        <w:t xml:space="preserve"> </w:t>
      </w:r>
      <w:r>
        <w:rPr>
          <w:rFonts w:hint="cs"/>
          <w:rtl/>
        </w:rPr>
        <w:t>לא נלמד מנבילה</w:t>
      </w:r>
      <w:bookmarkEnd w:id="9092"/>
      <w:bookmarkEnd w:id="9093"/>
      <w:bookmarkEnd w:id="9094"/>
    </w:p>
    <w:p w:rsidR="007809D6" w:rsidRPr="00D47CE7" w:rsidRDefault="007809D6" w:rsidP="007809D6">
      <w:pPr>
        <w:pStyle w:val="a2"/>
        <w:rPr>
          <w:rtl/>
        </w:rPr>
      </w:pPr>
      <w:bookmarkStart w:id="9099" w:name="_Toc18397461"/>
      <w:bookmarkStart w:id="9100" w:name="_Toc18404184"/>
      <w:bookmarkStart w:id="9101" w:name="_Toc18481605"/>
      <w:r>
        <w:rPr>
          <w:rFonts w:hint="cs"/>
          <w:rtl/>
        </w:rPr>
        <w:t>דברי התוס' הרי"ד דהוכיחה הגמ' מנבילה דאיסור בתערובת שממשו לא קיים מותר אף מדרבנן</w:t>
      </w:r>
      <w:bookmarkEnd w:id="9099"/>
      <w:bookmarkEnd w:id="9100"/>
      <w:bookmarkEnd w:id="9101"/>
      <w:r>
        <w:rPr>
          <w:rFonts w:hint="cs"/>
          <w:rtl/>
        </w:rPr>
        <w:t xml:space="preserve"> </w:t>
      </w:r>
    </w:p>
    <w:p w:rsidR="00AD5801" w:rsidRDefault="007809D6" w:rsidP="009F44AF">
      <w:pPr>
        <w:pStyle w:val="a"/>
        <w:rPr>
          <w:rtl/>
        </w:rPr>
      </w:pPr>
      <w:r w:rsidRPr="00D47CE7">
        <w:rPr>
          <w:rFonts w:hint="cs"/>
          <w:rtl/>
        </w:rPr>
        <w:t xml:space="preserve">כתב </w:t>
      </w:r>
      <w:r w:rsidRPr="00D47CE7">
        <w:rPr>
          <w:rStyle w:val="af8"/>
          <w:rFonts w:hint="cs"/>
          <w:rtl/>
        </w:rPr>
        <w:t>התוס' רי"ד</w:t>
      </w:r>
      <w:r>
        <w:rPr>
          <w:rStyle w:val="af8"/>
          <w:rFonts w:hint="cs"/>
          <w:rtl/>
        </w:rPr>
        <w:t xml:space="preserve"> </w:t>
      </w:r>
      <w:r w:rsidRPr="00D47CE7">
        <w:rPr>
          <w:rStyle w:val="af8"/>
          <w:rFonts w:hint="cs"/>
          <w:rtl/>
        </w:rPr>
        <w:t>לקמן</w:t>
      </w:r>
      <w:r w:rsidRPr="00D47CE7">
        <w:rPr>
          <w:rFonts w:hint="cs"/>
          <w:rtl/>
        </w:rPr>
        <w:t xml:space="preserve"> </w:t>
      </w:r>
      <w:r w:rsidRPr="00D47CE7">
        <w:rPr>
          <w:rStyle w:val="af6"/>
          <w:rFonts w:eastAsia="Guttman Hodes" w:hint="cs"/>
          <w:rtl/>
        </w:rPr>
        <w:t>(סט. ד"ה האי)</w:t>
      </w:r>
      <w:r w:rsidRPr="00D47CE7">
        <w:rPr>
          <w:rFonts w:hint="cs"/>
          <w:rtl/>
        </w:rPr>
        <w:t xml:space="preserve"> דנבילה סרוחה מותרת מדאו' ואסורה מדרבנן, ונותן טעם לפגם מותר אף מדרבנן, והא דהביאה הגמ' ראיה להיתר נותן טעם לפגם מנבילה סרוחה, כוונת הגמ' לומר דכיון דמדאו' נבילה סרוחה מותרת, אף שממשו של האיסור קיים לפנינו, א"כ נותן טעם לפגם בתערובת מותר אף מדרבנן, דהא אין ממשו של האיסור קיים לפנינו.</w:t>
      </w:r>
    </w:p>
    <w:p w:rsidR="007809D6" w:rsidRDefault="007809D6" w:rsidP="00E669F8">
      <w:pPr>
        <w:pStyle w:val="afd"/>
        <w:rPr>
          <w:rtl/>
        </w:rPr>
      </w:pPr>
      <w:bookmarkStart w:id="9102" w:name="_Toc18397462"/>
      <w:bookmarkStart w:id="9103" w:name="_Toc18404185"/>
      <w:bookmarkStart w:id="9104" w:name="_Toc18481606"/>
      <w:r w:rsidRPr="0074797C">
        <w:rPr>
          <w:rFonts w:hint="cs"/>
          <w:rtl/>
        </w:rPr>
        <w:t>ב</w:t>
      </w:r>
      <w:r>
        <w:rPr>
          <w:rFonts w:hint="cs"/>
          <w:rtl/>
        </w:rPr>
        <w:t xml:space="preserve">דין </w:t>
      </w:r>
      <w:r w:rsidRPr="0074797C">
        <w:rPr>
          <w:rFonts w:hint="cs"/>
          <w:rtl/>
        </w:rPr>
        <w:t xml:space="preserve">נותן טעם לפגם </w:t>
      </w:r>
      <w:bookmarkEnd w:id="8970"/>
      <w:bookmarkEnd w:id="8971"/>
      <w:bookmarkEnd w:id="8972"/>
      <w:bookmarkEnd w:id="8973"/>
      <w:bookmarkEnd w:id="8974"/>
      <w:bookmarkEnd w:id="8975"/>
      <w:bookmarkEnd w:id="8976"/>
      <w:bookmarkEnd w:id="9095"/>
      <w:bookmarkEnd w:id="9096"/>
      <w:bookmarkEnd w:id="9097"/>
      <w:bookmarkEnd w:id="9098"/>
      <w:r>
        <w:rPr>
          <w:rFonts w:hint="cs"/>
          <w:rtl/>
        </w:rPr>
        <w:t>בטעמו וממשו</w:t>
      </w:r>
      <w:bookmarkEnd w:id="9102"/>
      <w:bookmarkEnd w:id="9103"/>
      <w:bookmarkEnd w:id="9104"/>
    </w:p>
    <w:p w:rsidR="007809D6" w:rsidRPr="00DB2DFD" w:rsidRDefault="007809D6" w:rsidP="007809D6">
      <w:pPr>
        <w:pStyle w:val="1"/>
        <w:rPr>
          <w:rtl/>
        </w:rPr>
      </w:pPr>
      <w:r>
        <w:rPr>
          <w:rFonts w:hint="cs"/>
          <w:rtl/>
        </w:rPr>
        <w:t>דברי הרשב"א והרא"ה בדין נטל"פ בטעמו וממשו</w:t>
      </w:r>
    </w:p>
    <w:p w:rsidR="007809D6" w:rsidRPr="00D47CE7" w:rsidRDefault="007809D6" w:rsidP="007809D6">
      <w:pPr>
        <w:pStyle w:val="a2"/>
        <w:rPr>
          <w:rtl/>
        </w:rPr>
      </w:pPr>
      <w:bookmarkStart w:id="9105" w:name="_Toc18397463"/>
      <w:bookmarkStart w:id="9106" w:name="_Toc18404186"/>
      <w:bookmarkStart w:id="9107" w:name="_Toc18481607"/>
      <w:r>
        <w:rPr>
          <w:rFonts w:hint="cs"/>
          <w:rtl/>
        </w:rPr>
        <w:t>דברי הרשב"א דהיתר נטל"פ הוא אף כשגוף האיסור נימוח בהיתר</w:t>
      </w:r>
      <w:bookmarkEnd w:id="9105"/>
      <w:bookmarkEnd w:id="9106"/>
      <w:bookmarkEnd w:id="9107"/>
    </w:p>
    <w:p w:rsidR="007809D6" w:rsidRPr="00D47CE7" w:rsidRDefault="007809D6" w:rsidP="009F44AF">
      <w:pPr>
        <w:pStyle w:val="a"/>
        <w:rPr>
          <w:rtl/>
        </w:rPr>
      </w:pPr>
      <w:r w:rsidRPr="00D47CE7">
        <w:rPr>
          <w:rFonts w:hint="cs"/>
          <w:rtl/>
        </w:rPr>
        <w:t xml:space="preserve">כתב </w:t>
      </w:r>
      <w:r w:rsidRPr="00D47CE7">
        <w:rPr>
          <w:rStyle w:val="af8"/>
          <w:rFonts w:hint="cs"/>
          <w:rtl/>
        </w:rPr>
        <w:t>הרשב"א בתוה"ב</w:t>
      </w:r>
      <w:r w:rsidRPr="00D47CE7">
        <w:rPr>
          <w:rFonts w:hint="cs"/>
          <w:rtl/>
        </w:rPr>
        <w:t xml:space="preserve"> </w:t>
      </w:r>
      <w:r w:rsidRPr="00D47CE7">
        <w:rPr>
          <w:rStyle w:val="af6"/>
          <w:rFonts w:eastAsia="Guttman Hodes" w:hint="cs"/>
          <w:rtl/>
        </w:rPr>
        <w:t>(ב"ד ש"א יט. מדה"ס)</w:t>
      </w:r>
      <w:r w:rsidRPr="00D47CE7">
        <w:rPr>
          <w:rFonts w:hint="cs"/>
          <w:rtl/>
        </w:rPr>
        <w:t xml:space="preserve"> דדבר שפוגם את התערובת אינו אוסר, </w:t>
      </w:r>
      <w:r w:rsidRPr="00DF7D6B">
        <w:rPr>
          <w:rStyle w:val="afa"/>
          <w:rFonts w:hint="cs"/>
          <w:rtl/>
        </w:rPr>
        <w:t>[אף בפגום במקצת],</w:t>
      </w:r>
      <w:r>
        <w:rPr>
          <w:rFonts w:hint="cs"/>
          <w:rtl/>
        </w:rPr>
        <w:t xml:space="preserve"> </w:t>
      </w:r>
      <w:r w:rsidRPr="00D47CE7">
        <w:rPr>
          <w:rFonts w:hint="cs"/>
          <w:rtl/>
        </w:rPr>
        <w:t>א</w:t>
      </w:r>
      <w:r>
        <w:rPr>
          <w:rFonts w:hint="cs"/>
          <w:rtl/>
        </w:rPr>
        <w:t>עפ"י</w:t>
      </w:r>
      <w:r w:rsidRPr="00D47CE7">
        <w:rPr>
          <w:rFonts w:hint="cs"/>
          <w:rtl/>
        </w:rPr>
        <w:t xml:space="preserve"> שגוף האיסור נימוח בתוך ההיתר.</w:t>
      </w:r>
    </w:p>
    <w:p w:rsidR="007809D6" w:rsidRPr="00D47CE7" w:rsidRDefault="007809D6" w:rsidP="007809D6">
      <w:pPr>
        <w:pStyle w:val="a2"/>
        <w:rPr>
          <w:rtl/>
        </w:rPr>
      </w:pPr>
      <w:bookmarkStart w:id="9108" w:name="_Toc18250797"/>
      <w:bookmarkStart w:id="9109" w:name="_Toc18266254"/>
      <w:bookmarkStart w:id="9110" w:name="_Toc18269165"/>
      <w:bookmarkStart w:id="9111" w:name="_Toc18323873"/>
      <w:bookmarkStart w:id="9112" w:name="_Toc18397464"/>
      <w:bookmarkStart w:id="9113" w:name="_Toc18404187"/>
      <w:bookmarkStart w:id="9114" w:name="_Toc18481608"/>
      <w:r w:rsidRPr="00D47CE7">
        <w:rPr>
          <w:rFonts w:hint="cs"/>
          <w:rtl/>
        </w:rPr>
        <w:t>דברי הרא"ה דהיתר נטל"פ</w:t>
      </w:r>
      <w:r>
        <w:rPr>
          <w:rFonts w:hint="cs"/>
          <w:rtl/>
        </w:rPr>
        <w:t xml:space="preserve"> בטעמו וממשו </w:t>
      </w:r>
      <w:r w:rsidRPr="00D47CE7">
        <w:rPr>
          <w:rFonts w:hint="cs"/>
          <w:rtl/>
        </w:rPr>
        <w:t xml:space="preserve">הוא </w:t>
      </w:r>
      <w:r>
        <w:rPr>
          <w:rFonts w:hint="cs"/>
          <w:rtl/>
        </w:rPr>
        <w:t>ב</w:t>
      </w:r>
      <w:r w:rsidRPr="00D47CE7">
        <w:rPr>
          <w:rFonts w:hint="cs"/>
          <w:rtl/>
        </w:rPr>
        <w:t xml:space="preserve">אינו ראוי לגר </w:t>
      </w:r>
      <w:bookmarkEnd w:id="9108"/>
      <w:bookmarkEnd w:id="9109"/>
      <w:bookmarkEnd w:id="9110"/>
      <w:bookmarkEnd w:id="9111"/>
      <w:r>
        <w:rPr>
          <w:rFonts w:hint="cs"/>
          <w:rtl/>
        </w:rPr>
        <w:t>אבל בטעמו הקילו דטע"כ דרבנן</w:t>
      </w:r>
      <w:bookmarkEnd w:id="9112"/>
      <w:bookmarkEnd w:id="9113"/>
      <w:bookmarkEnd w:id="9114"/>
    </w:p>
    <w:p w:rsidR="00AD5801" w:rsidRDefault="007809D6" w:rsidP="009F44AF">
      <w:pPr>
        <w:pStyle w:val="a"/>
        <w:rPr>
          <w:rtl/>
        </w:rPr>
      </w:pPr>
      <w:r>
        <w:rPr>
          <w:rStyle w:val="af8"/>
          <w:rFonts w:hint="cs"/>
          <w:rtl/>
        </w:rPr>
        <w:t>ו</w:t>
      </w:r>
      <w:r w:rsidRPr="00D47CE7">
        <w:rPr>
          <w:rStyle w:val="af8"/>
          <w:rFonts w:hint="cs"/>
          <w:rtl/>
        </w:rPr>
        <w:t>הרא"ה בבד"ה</w:t>
      </w:r>
      <w:r w:rsidRPr="00D47CE7">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Ref16676035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Pr>
          <w:rStyle w:val="af6"/>
          <w:rFonts w:eastAsia="Guttman Hodes"/>
          <w:rtl/>
        </w:rPr>
        <w:fldChar w:fldCharType="end"/>
      </w:r>
      <w:r>
        <w:rPr>
          <w:rStyle w:val="af6"/>
          <w:rFonts w:eastAsia="Guttman Hodes" w:hint="cs"/>
          <w:rtl/>
        </w:rPr>
        <w:t xml:space="preserve"> </w:t>
      </w:r>
      <w:r w:rsidRPr="00D47CE7">
        <w:rPr>
          <w:rFonts w:hint="cs"/>
          <w:rtl/>
        </w:rPr>
        <w:t xml:space="preserve"> כתב</w:t>
      </w:r>
      <w:r>
        <w:rPr>
          <w:rFonts w:hint="cs"/>
          <w:rtl/>
        </w:rPr>
        <w:t xml:space="preserve"> דבטעמו וממשו </w:t>
      </w:r>
      <w:r w:rsidRPr="00D47CE7">
        <w:rPr>
          <w:rFonts w:hint="cs"/>
          <w:rtl/>
        </w:rPr>
        <w:t xml:space="preserve">ההיתר בנותן טעם פגם הוא רק כשהאיסור אינו ראוי לאכילת גר, </w:t>
      </w:r>
      <w:r>
        <w:rPr>
          <w:rFonts w:hint="cs"/>
          <w:rtl/>
        </w:rPr>
        <w:t xml:space="preserve">ובטעמו ולא ממשו, כתב </w:t>
      </w:r>
      <w:r w:rsidRPr="00C82044">
        <w:rPr>
          <w:rStyle w:val="af8"/>
          <w:rFonts w:hint="cs"/>
          <w:rtl/>
        </w:rPr>
        <w:t>הרא"ה בבד"ה</w:t>
      </w:r>
      <w:r w:rsidRPr="00C82044">
        <w:rPr>
          <w:rStyle w:val="af6"/>
          <w:rFonts w:eastAsia="Guttman Hodes" w:hint="cs"/>
          <w:rtl/>
        </w:rPr>
        <w:t xml:space="preserve"> (עי' אות </w:t>
      </w:r>
      <w:r w:rsidRPr="00C82044">
        <w:rPr>
          <w:rStyle w:val="af6"/>
          <w:rFonts w:eastAsia="Guttman Hodes"/>
          <w:rtl/>
        </w:rPr>
        <w:fldChar w:fldCharType="begin"/>
      </w:r>
      <w:r w:rsidRPr="00C82044">
        <w:rPr>
          <w:rStyle w:val="af6"/>
          <w:rFonts w:eastAsia="Guttman Hodes"/>
          <w:rtl/>
        </w:rPr>
        <w:instrText xml:space="preserve"> </w:instrText>
      </w:r>
      <w:r w:rsidRPr="00C82044">
        <w:rPr>
          <w:rStyle w:val="af6"/>
          <w:rFonts w:eastAsia="Guttman Hodes" w:hint="cs"/>
        </w:rPr>
        <w:instrText>REF</w:instrText>
      </w:r>
      <w:r w:rsidRPr="00C82044">
        <w:rPr>
          <w:rStyle w:val="af6"/>
          <w:rFonts w:eastAsia="Guttman Hodes" w:hint="cs"/>
          <w:rtl/>
        </w:rPr>
        <w:instrText xml:space="preserve"> _</w:instrText>
      </w:r>
      <w:r w:rsidRPr="00C82044">
        <w:rPr>
          <w:rStyle w:val="af6"/>
          <w:rFonts w:eastAsia="Guttman Hodes" w:hint="cs"/>
        </w:rPr>
        <w:instrText>Ref16674859 \r \h</w:instrText>
      </w:r>
      <w:r w:rsidRPr="00C82044">
        <w:rPr>
          <w:rStyle w:val="af6"/>
          <w:rFonts w:eastAsia="Guttman Hodes"/>
          <w:rtl/>
        </w:rPr>
        <w:instrText xml:space="preserve"> </w:instrText>
      </w:r>
      <w:r w:rsidRPr="00C82044">
        <w:rPr>
          <w:rStyle w:val="af6"/>
          <w:rFonts w:eastAsia="Guttman Hodes"/>
          <w:rtl/>
        </w:rPr>
      </w:r>
      <w:r w:rsidRPr="00C82044">
        <w:rPr>
          <w:rStyle w:val="af6"/>
          <w:rFonts w:eastAsia="Guttman Hodes"/>
          <w:rtl/>
        </w:rPr>
        <w:fldChar w:fldCharType="separate"/>
      </w:r>
      <w:r w:rsidR="004D1C5B">
        <w:rPr>
          <w:rStyle w:val="af6"/>
          <w:rFonts w:eastAsia="Guttman Hodes"/>
          <w:cs/>
        </w:rPr>
        <w:t>‎</w:t>
      </w:r>
      <w:r w:rsidR="004D1C5B">
        <w:rPr>
          <w:rStyle w:val="af6"/>
          <w:rFonts w:eastAsia="Guttman Hodes"/>
          <w:rtl/>
        </w:rPr>
        <w:t>פג)</w:t>
      </w:r>
      <w:r w:rsidRPr="00C82044">
        <w:rPr>
          <w:rStyle w:val="af6"/>
          <w:rFonts w:eastAsia="Guttman Hodes"/>
          <w:rtl/>
        </w:rPr>
        <w:fldChar w:fldCharType="end"/>
      </w:r>
      <w:r>
        <w:rPr>
          <w:rFonts w:hint="cs"/>
          <w:rtl/>
        </w:rPr>
        <w:t xml:space="preserve"> דהקילו אף בפגום במקצת דטעם כעיקר דרבנן, ועי' במה שביאר </w:t>
      </w:r>
      <w:r w:rsidRPr="00D47CE7">
        <w:rPr>
          <w:rStyle w:val="af8"/>
          <w:rFonts w:hint="cs"/>
          <w:rtl/>
        </w:rPr>
        <w:t>הרא"ה בבד"ה</w:t>
      </w:r>
      <w:r w:rsidRPr="00D47CE7">
        <w:rPr>
          <w:rFonts w:hint="cs"/>
          <w:rtl/>
        </w:rPr>
        <w:t xml:space="preserve"> </w:t>
      </w:r>
      <w:r w:rsidRPr="000E1490">
        <w:rPr>
          <w:rStyle w:val="af6"/>
          <w:rFonts w:eastAsia="Guttman Hodes" w:hint="cs"/>
          <w:rtl/>
        </w:rPr>
        <w:t xml:space="preserve">(עי' הערה </w:t>
      </w:r>
      <w:r w:rsidRPr="000E1490">
        <w:rPr>
          <w:rStyle w:val="af6"/>
          <w:rFonts w:eastAsia="Guttman Hodes"/>
          <w:rtl/>
        </w:rPr>
        <w:fldChar w:fldCharType="begin"/>
      </w:r>
      <w:r w:rsidRPr="000E1490">
        <w:rPr>
          <w:rStyle w:val="af6"/>
          <w:rFonts w:eastAsia="Guttman Hodes"/>
          <w:rtl/>
        </w:rPr>
        <w:instrText xml:space="preserve"> </w:instrText>
      </w:r>
      <w:r w:rsidRPr="000E1490">
        <w:rPr>
          <w:rStyle w:val="af6"/>
          <w:rFonts w:eastAsia="Guttman Hodes" w:hint="cs"/>
        </w:rPr>
        <w:instrText>NOTEREF</w:instrText>
      </w:r>
      <w:r w:rsidRPr="000E1490">
        <w:rPr>
          <w:rStyle w:val="af6"/>
          <w:rFonts w:eastAsia="Guttman Hodes" w:hint="cs"/>
          <w:rtl/>
        </w:rPr>
        <w:instrText xml:space="preserve"> _</w:instrText>
      </w:r>
      <w:r w:rsidRPr="000E1490">
        <w:rPr>
          <w:rStyle w:val="af6"/>
          <w:rFonts w:eastAsia="Guttman Hodes" w:hint="cs"/>
        </w:rPr>
        <w:instrText>Ref18249574 \h</w:instrText>
      </w:r>
      <w:r w:rsidRPr="000E1490">
        <w:rPr>
          <w:rStyle w:val="af6"/>
          <w:rFonts w:eastAsia="Guttman Hodes"/>
          <w:rtl/>
        </w:rPr>
        <w:instrText xml:space="preserve"> </w:instrText>
      </w:r>
      <w:r w:rsidRPr="000E1490">
        <w:rPr>
          <w:rStyle w:val="af6"/>
          <w:rFonts w:eastAsia="Guttman Hodes"/>
          <w:rtl/>
        </w:rPr>
      </w:r>
      <w:r w:rsidRPr="000E1490">
        <w:rPr>
          <w:rStyle w:val="af6"/>
          <w:rFonts w:eastAsia="Guttman Hodes"/>
          <w:rtl/>
        </w:rPr>
        <w:fldChar w:fldCharType="separate"/>
      </w:r>
      <w:r w:rsidR="004D1C5B">
        <w:rPr>
          <w:rStyle w:val="af6"/>
          <w:rFonts w:eastAsia="Guttman Hodes"/>
          <w:rtl/>
        </w:rPr>
        <w:t>36</w:t>
      </w:r>
      <w:r w:rsidRPr="000E1490">
        <w:rPr>
          <w:rStyle w:val="af6"/>
          <w:rFonts w:eastAsia="Guttman Hodes"/>
          <w:rtl/>
        </w:rPr>
        <w:fldChar w:fldCharType="end"/>
      </w:r>
      <w:r w:rsidRPr="000E1490">
        <w:rPr>
          <w:rStyle w:val="af6"/>
          <w:rFonts w:eastAsia="Guttman Hodes" w:hint="cs"/>
          <w:rtl/>
        </w:rPr>
        <w:t xml:space="preserve">) </w:t>
      </w:r>
      <w:r>
        <w:rPr>
          <w:rFonts w:hint="cs"/>
          <w:rtl/>
        </w:rPr>
        <w:t xml:space="preserve">דחומץ שנפל לגריסין, הוא טעמו ולא ממשו, ובמה שדחה </w:t>
      </w:r>
      <w:r w:rsidRPr="000E1490">
        <w:rPr>
          <w:rStyle w:val="af8"/>
          <w:rFonts w:hint="cs"/>
          <w:rtl/>
        </w:rPr>
        <w:t>הרשב"א במשה"ב</w:t>
      </w:r>
      <w:r>
        <w:rPr>
          <w:rStyle w:val="af6"/>
          <w:rFonts w:eastAsia="Guttman Hodes" w:hint="cs"/>
          <w:rtl/>
        </w:rPr>
        <w:t xml:space="preserve"> </w:t>
      </w:r>
      <w:r w:rsidRPr="000E1490">
        <w:rPr>
          <w:rStyle w:val="af6"/>
          <w:rFonts w:eastAsia="Guttman Hodes" w:hint="cs"/>
          <w:rtl/>
        </w:rPr>
        <w:t xml:space="preserve">(עי' הערה </w:t>
      </w:r>
      <w:r w:rsidRPr="000E1490">
        <w:rPr>
          <w:rStyle w:val="af6"/>
          <w:rFonts w:eastAsia="Guttman Hodes"/>
          <w:rtl/>
        </w:rPr>
        <w:fldChar w:fldCharType="begin"/>
      </w:r>
      <w:r w:rsidRPr="000E1490">
        <w:rPr>
          <w:rStyle w:val="af6"/>
          <w:rFonts w:eastAsia="Guttman Hodes"/>
          <w:rtl/>
        </w:rPr>
        <w:instrText xml:space="preserve"> </w:instrText>
      </w:r>
      <w:r w:rsidRPr="000E1490">
        <w:rPr>
          <w:rStyle w:val="af6"/>
          <w:rFonts w:eastAsia="Guttman Hodes" w:hint="cs"/>
        </w:rPr>
        <w:instrText>NOTEREF</w:instrText>
      </w:r>
      <w:r w:rsidRPr="000E1490">
        <w:rPr>
          <w:rStyle w:val="af6"/>
          <w:rFonts w:eastAsia="Guttman Hodes" w:hint="cs"/>
          <w:rtl/>
        </w:rPr>
        <w:instrText xml:space="preserve"> _</w:instrText>
      </w:r>
      <w:r w:rsidRPr="000E1490">
        <w:rPr>
          <w:rStyle w:val="af6"/>
          <w:rFonts w:eastAsia="Guttman Hodes" w:hint="cs"/>
        </w:rPr>
        <w:instrText>Ref18249574 \h</w:instrText>
      </w:r>
      <w:r w:rsidRPr="000E1490">
        <w:rPr>
          <w:rStyle w:val="af6"/>
          <w:rFonts w:eastAsia="Guttman Hodes"/>
          <w:rtl/>
        </w:rPr>
        <w:instrText xml:space="preserve"> </w:instrText>
      </w:r>
      <w:r w:rsidRPr="000E1490">
        <w:rPr>
          <w:rStyle w:val="af6"/>
          <w:rFonts w:eastAsia="Guttman Hodes"/>
          <w:rtl/>
        </w:rPr>
      </w:r>
      <w:r w:rsidRPr="000E1490">
        <w:rPr>
          <w:rStyle w:val="af6"/>
          <w:rFonts w:eastAsia="Guttman Hodes"/>
          <w:rtl/>
        </w:rPr>
        <w:fldChar w:fldCharType="separate"/>
      </w:r>
      <w:r w:rsidR="004D1C5B">
        <w:rPr>
          <w:rStyle w:val="af6"/>
          <w:rFonts w:eastAsia="Guttman Hodes"/>
          <w:rtl/>
        </w:rPr>
        <w:t>36</w:t>
      </w:r>
      <w:r w:rsidRPr="000E1490">
        <w:rPr>
          <w:rStyle w:val="af6"/>
          <w:rFonts w:eastAsia="Guttman Hodes"/>
          <w:rtl/>
        </w:rPr>
        <w:fldChar w:fldCharType="end"/>
      </w:r>
      <w:r w:rsidRPr="000E1490">
        <w:rPr>
          <w:rStyle w:val="af6"/>
          <w:rFonts w:eastAsia="Guttman Hodes" w:hint="cs"/>
          <w:rtl/>
        </w:rPr>
        <w:t xml:space="preserve">) </w:t>
      </w:r>
      <w:r>
        <w:rPr>
          <w:rFonts w:hint="cs"/>
          <w:rtl/>
        </w:rPr>
        <w:t xml:space="preserve">דהוי טעמו וממשו, וע"ע בדברי </w:t>
      </w:r>
      <w:r w:rsidRPr="00B15B3F">
        <w:rPr>
          <w:rStyle w:val="af8"/>
          <w:rFonts w:hint="cs"/>
          <w:rtl/>
        </w:rPr>
        <w:t>הר"ן בחי' לקמן</w:t>
      </w:r>
      <w:r>
        <w:rPr>
          <w:rFonts w:hint="cs"/>
          <w:rtl/>
        </w:rPr>
        <w:t xml:space="preserve"> </w:t>
      </w:r>
      <w:r w:rsidRPr="00B15B3F">
        <w:rPr>
          <w:rStyle w:val="af6"/>
          <w:rFonts w:eastAsia="Guttman Hodes" w:hint="cs"/>
          <w:rtl/>
        </w:rPr>
        <w:t xml:space="preserve">(עי' אות </w:t>
      </w:r>
      <w:r w:rsidRPr="00B15B3F">
        <w:rPr>
          <w:rStyle w:val="af6"/>
          <w:rFonts w:eastAsia="Guttman Hodes"/>
          <w:rtl/>
        </w:rPr>
        <w:fldChar w:fldCharType="begin"/>
      </w:r>
      <w:r w:rsidRPr="00B15B3F">
        <w:rPr>
          <w:rStyle w:val="af6"/>
          <w:rFonts w:eastAsia="Guttman Hodes"/>
          <w:rtl/>
        </w:rPr>
        <w:instrText xml:space="preserve"> </w:instrText>
      </w:r>
      <w:r w:rsidRPr="00B15B3F">
        <w:rPr>
          <w:rStyle w:val="af6"/>
          <w:rFonts w:eastAsia="Guttman Hodes" w:hint="cs"/>
        </w:rPr>
        <w:instrText>REF</w:instrText>
      </w:r>
      <w:r w:rsidRPr="00B15B3F">
        <w:rPr>
          <w:rStyle w:val="af6"/>
          <w:rFonts w:eastAsia="Guttman Hodes" w:hint="cs"/>
          <w:rtl/>
        </w:rPr>
        <w:instrText xml:space="preserve"> _</w:instrText>
      </w:r>
      <w:r w:rsidRPr="00B15B3F">
        <w:rPr>
          <w:rStyle w:val="af6"/>
          <w:rFonts w:eastAsia="Guttman Hodes" w:hint="cs"/>
        </w:rPr>
        <w:instrText>Ref19439970 \r \h</w:instrText>
      </w:r>
      <w:r w:rsidRPr="00B15B3F">
        <w:rPr>
          <w:rStyle w:val="af6"/>
          <w:rFonts w:eastAsia="Guttman Hodes"/>
          <w:rtl/>
        </w:rPr>
        <w:instrText xml:space="preserve"> </w:instrText>
      </w:r>
      <w:r w:rsidRPr="00B15B3F">
        <w:rPr>
          <w:rStyle w:val="af6"/>
          <w:rFonts w:eastAsia="Guttman Hodes"/>
          <w:rtl/>
        </w:rPr>
      </w:r>
      <w:r w:rsidRPr="00B15B3F">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B15B3F">
        <w:rPr>
          <w:rStyle w:val="af6"/>
          <w:rFonts w:eastAsia="Guttman Hodes"/>
          <w:rtl/>
        </w:rPr>
        <w:fldChar w:fldCharType="end"/>
      </w:r>
      <w:r w:rsidRPr="00D47CE7">
        <w:rPr>
          <w:rFonts w:hint="cs"/>
          <w:rtl/>
        </w:rPr>
        <w:t>.</w:t>
      </w:r>
    </w:p>
    <w:p w:rsidR="007809D6" w:rsidRPr="004E734C" w:rsidRDefault="007809D6" w:rsidP="007809D6">
      <w:pPr>
        <w:pStyle w:val="1"/>
        <w:rPr>
          <w:rtl/>
        </w:rPr>
      </w:pPr>
      <w:bookmarkStart w:id="9115" w:name="_Toc17889801"/>
      <w:bookmarkStart w:id="9116" w:name="_Toc17975423"/>
      <w:bookmarkStart w:id="9117" w:name="_Toc17984129"/>
      <w:bookmarkStart w:id="9118" w:name="_Toc18228254"/>
      <w:bookmarkStart w:id="9119" w:name="_Toc18250798"/>
      <w:bookmarkStart w:id="9120" w:name="_Toc18266255"/>
      <w:bookmarkStart w:id="9121" w:name="_Toc18269166"/>
      <w:bookmarkStart w:id="9122" w:name="_Toc18323874"/>
      <w:bookmarkStart w:id="9123" w:name="_Toc18397465"/>
      <w:bookmarkStart w:id="9124" w:name="_Toc18404188"/>
      <w:bookmarkStart w:id="9125" w:name="_Toc18481609"/>
      <w:bookmarkStart w:id="9126" w:name="_Toc17624870"/>
      <w:bookmarkStart w:id="9127" w:name="_Toc17889820"/>
      <w:bookmarkStart w:id="9128" w:name="_Toc17975442"/>
      <w:r w:rsidRPr="004E734C">
        <w:rPr>
          <w:rFonts w:hint="cs"/>
          <w:rtl/>
        </w:rPr>
        <w:t>דברי האיסור והיתר</w:t>
      </w:r>
      <w:bookmarkEnd w:id="9115"/>
      <w:bookmarkEnd w:id="9116"/>
      <w:bookmarkEnd w:id="9117"/>
      <w:bookmarkEnd w:id="9118"/>
      <w:bookmarkEnd w:id="9119"/>
      <w:bookmarkEnd w:id="9120"/>
      <w:bookmarkEnd w:id="9121"/>
      <w:bookmarkEnd w:id="9122"/>
      <w:r>
        <w:rPr>
          <w:rFonts w:hint="cs"/>
          <w:rtl/>
        </w:rPr>
        <w:t xml:space="preserve"> דבממשו קיים צריך שישים דלא בטל ברוב</w:t>
      </w:r>
      <w:bookmarkEnd w:id="9123"/>
      <w:bookmarkEnd w:id="9124"/>
      <w:bookmarkEnd w:id="9125"/>
    </w:p>
    <w:p w:rsidR="007809D6" w:rsidRPr="004E734C" w:rsidRDefault="007809D6" w:rsidP="007809D6">
      <w:pPr>
        <w:pStyle w:val="a2"/>
        <w:rPr>
          <w:rtl/>
        </w:rPr>
      </w:pPr>
      <w:bookmarkStart w:id="9129" w:name="_Toc18397466"/>
      <w:bookmarkStart w:id="9130" w:name="_Toc18404189"/>
      <w:bookmarkStart w:id="9131" w:name="_Toc18481610"/>
      <w:r>
        <w:rPr>
          <w:rFonts w:hint="cs"/>
          <w:rtl/>
        </w:rPr>
        <w:t>דברי האו"ה ברשב"א דאיסור נימוח בטל ברוב אף במין בשאינו מינו דאין דין טע"כ בטעם פגום</w:t>
      </w:r>
      <w:bookmarkEnd w:id="9129"/>
      <w:bookmarkEnd w:id="9130"/>
      <w:bookmarkEnd w:id="9131"/>
    </w:p>
    <w:p w:rsidR="007809D6" w:rsidRPr="004E734C" w:rsidRDefault="007809D6" w:rsidP="009F44AF">
      <w:pPr>
        <w:pStyle w:val="a"/>
        <w:rPr>
          <w:rtl/>
        </w:rPr>
      </w:pPr>
      <w:r>
        <w:rPr>
          <w:rFonts w:hint="cs"/>
          <w:rtl/>
        </w:rPr>
        <w:t>ו</w:t>
      </w:r>
      <w:r w:rsidRPr="004E734C">
        <w:rPr>
          <w:rFonts w:hint="cs"/>
          <w:rtl/>
        </w:rPr>
        <w:t xml:space="preserve">כתב </w:t>
      </w:r>
      <w:r w:rsidRPr="00443E9C">
        <w:rPr>
          <w:rStyle w:val="af8"/>
          <w:rFonts w:hint="cs"/>
          <w:rtl/>
        </w:rPr>
        <w:t>האיסור והיתר הארוך</w:t>
      </w:r>
      <w:r w:rsidRPr="004E734C">
        <w:rPr>
          <w:rFonts w:hint="cs"/>
          <w:rtl/>
        </w:rPr>
        <w:t xml:space="preserve"> </w:t>
      </w:r>
      <w:r w:rsidRPr="00443E9C">
        <w:rPr>
          <w:rStyle w:val="af6"/>
          <w:rFonts w:eastAsia="Guttman Hodes" w:hint="cs"/>
          <w:rtl/>
        </w:rPr>
        <w:t>(שער ל"ב סי' ו')</w:t>
      </w:r>
      <w:r w:rsidRPr="004E734C">
        <w:rPr>
          <w:rFonts w:hint="cs"/>
          <w:rtl/>
        </w:rPr>
        <w:t xml:space="preserve"> דמבואר מדברי </w:t>
      </w:r>
      <w:r w:rsidRPr="00443E9C">
        <w:rPr>
          <w:rStyle w:val="af8"/>
          <w:rFonts w:hint="cs"/>
          <w:rtl/>
        </w:rPr>
        <w:t>הרשב"א בתוה"ב</w:t>
      </w:r>
      <w:r w:rsidRPr="004E734C">
        <w:rPr>
          <w:rFonts w:hint="cs"/>
          <w:rtl/>
        </w:rPr>
        <w:t xml:space="preserve"> דבפגום במקצת, אף שגוף האיסור מעורב בהיתר, אם האיסור נימוח הוא מתבטל ברוב, בין במין במינו ובין במין בשאינו מינו, כגון יין בגריסין כדאיתא במתני'</w:t>
      </w:r>
      <w:r>
        <w:rPr>
          <w:rFonts w:hint="cs"/>
          <w:rtl/>
        </w:rPr>
        <w:t xml:space="preserve"> </w:t>
      </w:r>
      <w:r w:rsidRPr="004E734C">
        <w:rPr>
          <w:rFonts w:hint="cs"/>
          <w:rtl/>
        </w:rPr>
        <w:t xml:space="preserve">לעיל </w:t>
      </w:r>
      <w:r w:rsidRPr="0074797C">
        <w:rPr>
          <w:rStyle w:val="af6"/>
          <w:rFonts w:eastAsia="Guttman Hodes" w:hint="cs"/>
          <w:rtl/>
        </w:rPr>
        <w:t>(סה:)</w:t>
      </w:r>
      <w:r w:rsidRPr="004E734C">
        <w:rPr>
          <w:rFonts w:hint="cs"/>
          <w:rtl/>
        </w:rPr>
        <w:t xml:space="preserve">, וביאר </w:t>
      </w:r>
      <w:r w:rsidRPr="00443E9C">
        <w:rPr>
          <w:rStyle w:val="af8"/>
          <w:rFonts w:hint="cs"/>
          <w:rtl/>
        </w:rPr>
        <w:t>באיסור והיתר הארוך</w:t>
      </w:r>
      <w:r w:rsidRPr="004E734C">
        <w:rPr>
          <w:rFonts w:hint="cs"/>
          <w:rtl/>
        </w:rPr>
        <w:t xml:space="preserve"> דאעפ"י דקיי"ל </w:t>
      </w:r>
      <w:r w:rsidRPr="0074797C">
        <w:rPr>
          <w:rStyle w:val="af8"/>
          <w:rFonts w:hint="cs"/>
          <w:rtl/>
        </w:rPr>
        <w:t xml:space="preserve">כר"ת </w:t>
      </w:r>
      <w:r w:rsidRPr="0074797C">
        <w:rPr>
          <w:rStyle w:val="af6"/>
          <w:rFonts w:eastAsia="Guttman Hodes" w:hint="cs"/>
          <w:rtl/>
        </w:rPr>
        <w:t>(תוס' חולין צח: ד"ה רבא, ע"ז סז. ד"ה אריו"ח)</w:t>
      </w:r>
      <w:r w:rsidRPr="004E734C">
        <w:rPr>
          <w:rFonts w:hint="cs"/>
          <w:rtl/>
        </w:rPr>
        <w:t xml:space="preserve"> דטעם כעיקר דאו', היינו דוקא בטעם משובח, טעם פגום אין בטעם כל איסור וחשיב רק כטעם הניכר.</w:t>
      </w:r>
    </w:p>
    <w:p w:rsidR="007809D6" w:rsidRPr="004E734C" w:rsidRDefault="007809D6" w:rsidP="007809D6">
      <w:pPr>
        <w:pStyle w:val="a2"/>
        <w:rPr>
          <w:rtl/>
        </w:rPr>
      </w:pPr>
      <w:bookmarkStart w:id="9132" w:name="_Toc18397467"/>
      <w:bookmarkStart w:id="9133" w:name="_Toc18404190"/>
      <w:bookmarkStart w:id="9134" w:name="_Toc18481611"/>
      <w:r>
        <w:rPr>
          <w:rFonts w:hint="cs"/>
          <w:rtl/>
        </w:rPr>
        <w:t>דברי האו"ה ברשב"א דבגוף האיסור קיים ולא נימוח צריך שישים דלא בטל ברוב אף שאינו ניכר</w:t>
      </w:r>
      <w:bookmarkEnd w:id="9132"/>
      <w:bookmarkEnd w:id="9133"/>
      <w:bookmarkEnd w:id="9134"/>
      <w:r>
        <w:rPr>
          <w:rFonts w:hint="cs"/>
          <w:rtl/>
        </w:rPr>
        <w:t xml:space="preserve"> </w:t>
      </w:r>
    </w:p>
    <w:p w:rsidR="007809D6" w:rsidRPr="004E734C" w:rsidRDefault="007809D6" w:rsidP="009F44AF">
      <w:pPr>
        <w:pStyle w:val="a"/>
        <w:rPr>
          <w:rtl/>
        </w:rPr>
      </w:pPr>
      <w:r w:rsidRPr="004E734C">
        <w:rPr>
          <w:rFonts w:hint="cs"/>
          <w:rtl/>
        </w:rPr>
        <w:t xml:space="preserve">אך כתב </w:t>
      </w:r>
      <w:r w:rsidRPr="0074797C">
        <w:rPr>
          <w:rStyle w:val="af8"/>
          <w:rFonts w:hint="cs"/>
          <w:rtl/>
        </w:rPr>
        <w:t>באיסור והיתר הארוך</w:t>
      </w:r>
      <w:r w:rsidRPr="004E734C">
        <w:rPr>
          <w:rFonts w:hint="cs"/>
          <w:rtl/>
        </w:rPr>
        <w:t xml:space="preserve"> </w:t>
      </w:r>
      <w:r w:rsidRPr="004E734C">
        <w:rPr>
          <w:rtl/>
        </w:rPr>
        <w:t>דבפגום במקצת אם</w:t>
      </w:r>
      <w:r w:rsidRPr="004E734C">
        <w:rPr>
          <w:rFonts w:hint="cs"/>
          <w:rtl/>
        </w:rPr>
        <w:t xml:space="preserve"> גוף האיסור קיים ולא נימוח, אף אם האיסור אינו ניכר, לא מהני ביטול ברוב במין בשאינו מינו, וצריך שישים כנגדו, דהרי כל דין ביטול ברוב מדאו' נאמר רק במין במינו.</w:t>
      </w:r>
    </w:p>
    <w:p w:rsidR="007809D6" w:rsidRPr="004E734C" w:rsidRDefault="007809D6" w:rsidP="007809D6">
      <w:pPr>
        <w:pStyle w:val="a2"/>
        <w:rPr>
          <w:rtl/>
        </w:rPr>
      </w:pPr>
      <w:bookmarkStart w:id="9135" w:name="_Toc18397468"/>
      <w:bookmarkStart w:id="9136" w:name="_Toc18404191"/>
      <w:bookmarkStart w:id="9137" w:name="_Toc18481612"/>
      <w:r>
        <w:rPr>
          <w:rFonts w:hint="cs"/>
          <w:rtl/>
        </w:rPr>
        <w:t>קושית הדרכ"מ</w:t>
      </w:r>
      <w:r w:rsidRPr="00412871">
        <w:rPr>
          <w:rFonts w:hint="cs"/>
          <w:rtl/>
        </w:rPr>
        <w:t xml:space="preserve"> </w:t>
      </w:r>
      <w:r>
        <w:rPr>
          <w:rFonts w:hint="cs"/>
          <w:rtl/>
        </w:rPr>
        <w:t>דבאינו מינו ל"מ ביטול כיון דטע"כ דאו' ובנטל"פ מהני ביטול אף בממשו קיים</w:t>
      </w:r>
      <w:bookmarkEnd w:id="9135"/>
      <w:bookmarkEnd w:id="9136"/>
      <w:bookmarkEnd w:id="9137"/>
    </w:p>
    <w:p w:rsidR="007809D6" w:rsidRDefault="007809D6" w:rsidP="009F44AF">
      <w:pPr>
        <w:pStyle w:val="a"/>
        <w:rPr>
          <w:rtl/>
        </w:rPr>
      </w:pPr>
      <w:r w:rsidRPr="004E734C">
        <w:rPr>
          <w:rFonts w:hint="cs"/>
          <w:rtl/>
        </w:rPr>
        <w:t xml:space="preserve">והקשה </w:t>
      </w:r>
      <w:r w:rsidRPr="0074797C">
        <w:rPr>
          <w:rStyle w:val="af8"/>
          <w:rFonts w:hint="cs"/>
          <w:rtl/>
        </w:rPr>
        <w:t>הדרכ"מ</w:t>
      </w:r>
      <w:r w:rsidRPr="004E734C">
        <w:rPr>
          <w:rFonts w:hint="cs"/>
          <w:rtl/>
        </w:rPr>
        <w:t xml:space="preserve"> </w:t>
      </w:r>
      <w:r w:rsidRPr="0074797C">
        <w:rPr>
          <w:rStyle w:val="af6"/>
          <w:rFonts w:eastAsia="Guttman Hodes" w:hint="cs"/>
          <w:rtl/>
        </w:rPr>
        <w:t xml:space="preserve">(סי' ק"ג ג') </w:t>
      </w:r>
      <w:r w:rsidRPr="004E734C">
        <w:rPr>
          <w:rFonts w:hint="cs"/>
          <w:rtl/>
        </w:rPr>
        <w:t xml:space="preserve">על </w:t>
      </w:r>
      <w:r w:rsidRPr="0074797C">
        <w:rPr>
          <w:rStyle w:val="af8"/>
          <w:rFonts w:hint="cs"/>
          <w:rtl/>
        </w:rPr>
        <w:t>האיסור והיתר הארוך</w:t>
      </w:r>
      <w:r w:rsidRPr="004E734C">
        <w:rPr>
          <w:rFonts w:hint="cs"/>
          <w:rtl/>
        </w:rPr>
        <w:t xml:space="preserve"> דאין כל חילוק אם גוף האיסור התערב בהיתר, או שהתערב בו רק טעמו, דהרי כיון דקיי"ל </w:t>
      </w:r>
      <w:r w:rsidRPr="0074797C">
        <w:rPr>
          <w:rStyle w:val="af8"/>
          <w:rFonts w:hint="cs"/>
          <w:rtl/>
        </w:rPr>
        <w:t>כר"ת</w:t>
      </w:r>
      <w:r w:rsidRPr="004E734C">
        <w:rPr>
          <w:rFonts w:hint="cs"/>
          <w:rtl/>
        </w:rPr>
        <w:t xml:space="preserve"> דטעם כעיקר דאו', א"כ כ"מ דלא מהני ביטול ברוב במין בשאינו מינו, הוא מדין טעם כעיקר, וא"כ אי מהני ביטול ברוב בנותן טעם לפגם כשמעורב רק טעמו של האיסור, א"כ ה"ה כשהתערב גופו של האיסור, דבנותן טעם לפגם מהני ביטול ברוב, דבין גופו של איסור ובין טעמו אסורים מדאו' דטעם כעיקר דאו'.</w:t>
      </w:r>
    </w:p>
    <w:p w:rsidR="007809D6" w:rsidRPr="004E734C" w:rsidRDefault="007809D6" w:rsidP="007809D6">
      <w:pPr>
        <w:pStyle w:val="a2"/>
      </w:pPr>
      <w:bookmarkStart w:id="9138" w:name="_Toc18397469"/>
      <w:bookmarkStart w:id="9139" w:name="_Toc18404192"/>
      <w:bookmarkStart w:id="9140" w:name="_Toc18481613"/>
      <w:r>
        <w:rPr>
          <w:rFonts w:hint="cs"/>
          <w:rtl/>
        </w:rPr>
        <w:t>דברי הרמ"א בתו"ח דאף באיסור קיים טעם פגום אינו חשוב ובטל ואף גוף האיסור בטל ברוב</w:t>
      </w:r>
      <w:bookmarkEnd w:id="9138"/>
      <w:bookmarkEnd w:id="9139"/>
      <w:bookmarkEnd w:id="9140"/>
    </w:p>
    <w:p w:rsidR="007809D6" w:rsidRDefault="007809D6" w:rsidP="009F44AF">
      <w:pPr>
        <w:pStyle w:val="a"/>
        <w:rPr>
          <w:rtl/>
        </w:rPr>
        <w:sectPr w:rsidR="007809D6" w:rsidSect="005049E2">
          <w:footerReference w:type="default" r:id="rId71"/>
          <w:type w:val="continuous"/>
          <w:pgSz w:w="11906" w:h="16838"/>
          <w:pgMar w:top="720" w:right="720" w:bottom="720" w:left="720" w:header="283" w:footer="283" w:gutter="0"/>
          <w:cols w:num="2" w:space="567"/>
          <w:titlePg/>
          <w:bidi/>
          <w:rtlGutter/>
          <w:docGrid w:linePitch="299"/>
        </w:sectPr>
      </w:pPr>
      <w:r w:rsidRPr="004E734C">
        <w:rPr>
          <w:rFonts w:hint="cs"/>
          <w:rtl/>
        </w:rPr>
        <w:t xml:space="preserve">אלא כתב </w:t>
      </w:r>
      <w:r w:rsidRPr="0074797C">
        <w:rPr>
          <w:rStyle w:val="af8"/>
          <w:rFonts w:hint="cs"/>
          <w:rtl/>
        </w:rPr>
        <w:t>הרמ"א בתורת חטאת</w:t>
      </w:r>
      <w:r w:rsidRPr="004E734C">
        <w:rPr>
          <w:rFonts w:hint="cs"/>
          <w:rtl/>
        </w:rPr>
        <w:t xml:space="preserve"> </w:t>
      </w:r>
      <w:r w:rsidRPr="0074797C">
        <w:rPr>
          <w:rStyle w:val="af6"/>
          <w:rFonts w:eastAsia="Guttman Hodes" w:hint="cs"/>
          <w:rtl/>
        </w:rPr>
        <w:t xml:space="preserve">(כלל פ"ה כ"ד) </w:t>
      </w:r>
      <w:r w:rsidRPr="004E734C">
        <w:rPr>
          <w:rFonts w:hint="cs"/>
          <w:rtl/>
        </w:rPr>
        <w:t>דבין אם נימוח גוף האיסור, ובין אם מעורב רק טעמו, נותן טעם לפגם מותר, דכיון שהטעם אינו חשוב ומתבטל ברוב, א"כ אף גוף האיסור מתבטל ברוב, דכ"מ דמין בשאינו מינו אינו מתבטל ברוב, הוא כיון דטעם כעיקר דאו', וכיון דטעם פגום לא חשיב טעם, א"כ אין הטעם אוסר כלל, וכ</w:t>
      </w:r>
      <w:r>
        <w:rPr>
          <w:rFonts w:hint="cs"/>
          <w:rtl/>
        </w:rPr>
        <w:t xml:space="preserve">ן </w:t>
      </w:r>
      <w:r w:rsidRPr="004E734C">
        <w:rPr>
          <w:rFonts w:hint="cs"/>
          <w:rtl/>
        </w:rPr>
        <w:t xml:space="preserve">פסק </w:t>
      </w:r>
      <w:r w:rsidRPr="0074797C">
        <w:rPr>
          <w:rStyle w:val="af8"/>
          <w:rFonts w:hint="cs"/>
          <w:rtl/>
        </w:rPr>
        <w:t>הש"ך</w:t>
      </w:r>
      <w:r w:rsidRPr="004E734C">
        <w:rPr>
          <w:rFonts w:hint="cs"/>
          <w:rtl/>
        </w:rPr>
        <w:t xml:space="preserve"> </w:t>
      </w:r>
      <w:r w:rsidRPr="0074797C">
        <w:rPr>
          <w:rStyle w:val="af6"/>
          <w:rFonts w:eastAsia="Guttman Hodes" w:hint="cs"/>
          <w:rtl/>
        </w:rPr>
        <w:t>(סי' ק"ג סק"ג)</w:t>
      </w:r>
      <w:r>
        <w:rPr>
          <w:rFonts w:hint="cs"/>
          <w:rtl/>
        </w:rPr>
        <w:t>.</w:t>
      </w:r>
    </w:p>
    <w:bookmarkEnd w:id="9126"/>
    <w:bookmarkEnd w:id="9127"/>
    <w:bookmarkEnd w:id="9128"/>
    <w:p w:rsidR="007809D6" w:rsidRDefault="007809D6" w:rsidP="007809D6">
      <w:pPr>
        <w:tabs>
          <w:tab w:val="left" w:pos="1163"/>
        </w:tabs>
        <w:spacing w:after="120" w:line="240" w:lineRule="auto"/>
        <w:ind w:left="0"/>
        <w:rPr>
          <w:rFonts w:ascii="Guttman Hodes" w:eastAsia="Guttman Hodes" w:hAnsi="Guttman Hodes" w:cs="Guttman Hodes"/>
          <w:noProof/>
          <w:sz w:val="18"/>
          <w:szCs w:val="18"/>
        </w:rPr>
        <w:sectPr w:rsidR="007809D6" w:rsidSect="007809D6">
          <w:type w:val="continuous"/>
          <w:pgSz w:w="11906" w:h="16838"/>
          <w:pgMar w:top="720" w:right="720" w:bottom="720" w:left="720" w:header="283" w:footer="283" w:gutter="0"/>
          <w:cols w:space="567"/>
          <w:bidi/>
          <w:rtlGutter/>
          <w:docGrid w:linePitch="299"/>
        </w:sectPr>
      </w:pPr>
    </w:p>
    <w:p w:rsidR="007809D6" w:rsidRPr="00D47CE7" w:rsidRDefault="00651E3B" w:rsidP="007809D6">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0" type="#_x0000_t75" style="width:404.55pt;height:6.8pt" o:hrpct="0" o:hralign="center" o:hr="t">
            <v:imagedata r:id="rId48" o:title="BD14845_"/>
          </v:shape>
        </w:pict>
      </w:r>
      <w:r w:rsidR="007809D6" w:rsidRPr="00D47CE7">
        <w:rPr>
          <w:rFonts w:ascii="Guttman Hodes" w:eastAsia="Guttman Hodes" w:hAnsi="Guttman Hodes" w:cs="Guttman Hodes" w:hint="cs"/>
          <w:noProof/>
          <w:sz w:val="18"/>
          <w:szCs w:val="18"/>
          <w:rtl/>
        </w:rPr>
        <w:t xml:space="preserve"> </w:t>
      </w:r>
    </w:p>
    <w:p w:rsidR="007809D6" w:rsidRPr="00D47CE7" w:rsidRDefault="007809D6" w:rsidP="00E669F8">
      <w:pPr>
        <w:pStyle w:val="afd"/>
        <w:rPr>
          <w:rtl/>
        </w:rPr>
        <w:sectPr w:rsidR="007809D6" w:rsidRPr="00D47CE7" w:rsidSect="007809D6">
          <w:pgSz w:w="11906" w:h="16838"/>
          <w:pgMar w:top="720" w:right="720" w:bottom="720" w:left="720" w:header="283" w:footer="283" w:gutter="0"/>
          <w:cols w:space="567"/>
          <w:bidi/>
          <w:rtlGutter/>
          <w:docGrid w:linePitch="299"/>
        </w:sectPr>
      </w:pPr>
      <w:bookmarkStart w:id="9141" w:name="_Toc16679289"/>
      <w:bookmarkStart w:id="9142" w:name="_Toc16850495"/>
      <w:bookmarkStart w:id="9143" w:name="_Toc17624877"/>
      <w:bookmarkStart w:id="9144" w:name="_Toc17889828"/>
      <w:bookmarkStart w:id="9145" w:name="_Toc17975450"/>
      <w:bookmarkStart w:id="9146" w:name="_Toc17984138"/>
      <w:bookmarkStart w:id="9147" w:name="_Toc18228263"/>
      <w:bookmarkStart w:id="9148" w:name="_Toc18250807"/>
      <w:bookmarkStart w:id="9149" w:name="_Toc18266264"/>
      <w:bookmarkStart w:id="9150" w:name="_Toc18269175"/>
      <w:bookmarkStart w:id="9151" w:name="_Toc18323875"/>
      <w:bookmarkStart w:id="9152" w:name="_Toc18397470"/>
      <w:bookmarkStart w:id="9153" w:name="_Toc18404193"/>
      <w:bookmarkStart w:id="9154" w:name="_Toc18481614"/>
      <w:r w:rsidRPr="00D47CE7">
        <w:rPr>
          <w:rFonts w:hint="cs"/>
          <w:rtl/>
        </w:rPr>
        <w:t>ביאורי ראשי הישיבות</w:t>
      </w:r>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r w:rsidRPr="00D47CE7">
        <w:rPr>
          <w:rFonts w:hint="cs"/>
          <w:rtl/>
        </w:rPr>
        <w:t xml:space="preserve"> </w:t>
      </w:r>
    </w:p>
    <w:p w:rsidR="007809D6" w:rsidRPr="006B2B80" w:rsidRDefault="007809D6" w:rsidP="00E669F8">
      <w:pPr>
        <w:pStyle w:val="afd"/>
        <w:rPr>
          <w:rtl/>
        </w:rPr>
      </w:pPr>
      <w:bookmarkStart w:id="9155" w:name="_Toc18397471"/>
      <w:bookmarkStart w:id="9156" w:name="_Toc17889836"/>
      <w:bookmarkStart w:id="9157" w:name="_Toc17975458"/>
      <w:bookmarkStart w:id="9158" w:name="_Toc17984146"/>
      <w:bookmarkStart w:id="9159" w:name="_Toc18228271"/>
      <w:bookmarkStart w:id="9160" w:name="_Toc18250815"/>
      <w:bookmarkStart w:id="9161" w:name="_Toc18266272"/>
      <w:bookmarkStart w:id="9162" w:name="_Toc18269183"/>
      <w:bookmarkStart w:id="9163" w:name="_Toc18323883"/>
      <w:bookmarkStart w:id="9164" w:name="_Toc18404194"/>
      <w:bookmarkStart w:id="9165" w:name="_Toc18481615"/>
      <w:bookmarkStart w:id="9166" w:name="_Toc17889829"/>
      <w:bookmarkStart w:id="9167" w:name="_Toc17975451"/>
      <w:bookmarkStart w:id="9168" w:name="_Toc17984139"/>
      <w:bookmarkStart w:id="9169" w:name="_Toc18228264"/>
      <w:bookmarkStart w:id="9170" w:name="_Toc18250808"/>
      <w:bookmarkStart w:id="9171" w:name="_Toc18266265"/>
      <w:bookmarkStart w:id="9172" w:name="_Toc18269176"/>
      <w:bookmarkStart w:id="9173" w:name="_Toc18323876"/>
      <w:bookmarkStart w:id="9174" w:name="_Toc16679290"/>
      <w:bookmarkStart w:id="9175" w:name="_Toc16850496"/>
      <w:bookmarkStart w:id="9176" w:name="_Toc17624878"/>
      <w:r w:rsidRPr="006B2B80">
        <w:rPr>
          <w:rFonts w:hint="cs"/>
          <w:rtl/>
        </w:rPr>
        <w:t>ביאור הגר"ח</w:t>
      </w:r>
      <w:bookmarkEnd w:id="9155"/>
      <w:r w:rsidRPr="006B2B80">
        <w:rPr>
          <w:rFonts w:hint="cs"/>
          <w:rtl/>
        </w:rPr>
        <w:t xml:space="preserve"> </w:t>
      </w:r>
      <w:bookmarkEnd w:id="9156"/>
      <w:bookmarkEnd w:id="9157"/>
      <w:bookmarkEnd w:id="9158"/>
      <w:bookmarkEnd w:id="9159"/>
      <w:bookmarkEnd w:id="9160"/>
      <w:bookmarkEnd w:id="9161"/>
      <w:bookmarkEnd w:id="9162"/>
      <w:bookmarkEnd w:id="9163"/>
      <w:r>
        <w:rPr>
          <w:rFonts w:hint="cs"/>
          <w:rtl/>
        </w:rPr>
        <w:t>בגדר היתר פגום במקצת</w:t>
      </w:r>
      <w:bookmarkEnd w:id="9164"/>
      <w:bookmarkEnd w:id="9165"/>
    </w:p>
    <w:p w:rsidR="007809D6" w:rsidRPr="00D47CE7" w:rsidRDefault="007809D6" w:rsidP="007809D6">
      <w:pPr>
        <w:pStyle w:val="1"/>
        <w:rPr>
          <w:rtl/>
        </w:rPr>
      </w:pPr>
      <w:bookmarkStart w:id="9177" w:name="_Toc17624887"/>
      <w:bookmarkStart w:id="9178" w:name="_Toc17889841"/>
      <w:bookmarkStart w:id="9179" w:name="_Toc17975463"/>
      <w:bookmarkStart w:id="9180" w:name="_Toc17984151"/>
      <w:bookmarkStart w:id="9181" w:name="_Toc18228276"/>
      <w:bookmarkStart w:id="9182" w:name="_Toc18250820"/>
      <w:bookmarkStart w:id="9183" w:name="_Toc18266277"/>
      <w:bookmarkStart w:id="9184" w:name="_Toc18269188"/>
      <w:bookmarkStart w:id="9185" w:name="_Toc18323888"/>
      <w:bookmarkStart w:id="9186" w:name="_Toc18397478"/>
      <w:bookmarkStart w:id="9187" w:name="_Toc18404195"/>
      <w:bookmarkStart w:id="9188" w:name="_Toc18481616"/>
      <w:bookmarkStart w:id="9189" w:name="_Toc17624886"/>
      <w:bookmarkStart w:id="9190" w:name="_Toc17889840"/>
      <w:bookmarkStart w:id="9191" w:name="_Toc17975462"/>
      <w:bookmarkStart w:id="9192" w:name="_Toc17984150"/>
      <w:bookmarkStart w:id="9193" w:name="_Toc18228275"/>
      <w:bookmarkStart w:id="9194" w:name="_Toc18250819"/>
      <w:bookmarkStart w:id="9195" w:name="_Toc18266276"/>
      <w:bookmarkStart w:id="9196" w:name="_Toc18269187"/>
      <w:bookmarkStart w:id="9197" w:name="_Toc18323887"/>
      <w:bookmarkStart w:id="9198" w:name="_Toc18397474"/>
      <w:r w:rsidRPr="00D47CE7">
        <w:rPr>
          <w:rFonts w:hint="cs"/>
          <w:rtl/>
        </w:rPr>
        <w:t>חקירת הגר"ח אי ע"י הטעם ל"מ ביטול או דטע"כ הוא דין איסור</w:t>
      </w:r>
      <w:bookmarkEnd w:id="9177"/>
      <w:bookmarkEnd w:id="9178"/>
      <w:bookmarkEnd w:id="9179"/>
      <w:bookmarkEnd w:id="9180"/>
      <w:bookmarkEnd w:id="9181"/>
      <w:bookmarkEnd w:id="9182"/>
      <w:bookmarkEnd w:id="9183"/>
      <w:bookmarkEnd w:id="9184"/>
      <w:bookmarkEnd w:id="9185"/>
      <w:bookmarkEnd w:id="9186"/>
      <w:bookmarkEnd w:id="9187"/>
      <w:bookmarkEnd w:id="9188"/>
      <w:r w:rsidRPr="00D47CE7">
        <w:rPr>
          <w:rFonts w:hint="cs"/>
          <w:rtl/>
        </w:rPr>
        <w:t xml:space="preserve"> </w:t>
      </w:r>
    </w:p>
    <w:p w:rsidR="007809D6" w:rsidRPr="00D47CE7" w:rsidRDefault="007809D6" w:rsidP="007809D6">
      <w:pPr>
        <w:pStyle w:val="a2"/>
        <w:rPr>
          <w:rtl/>
        </w:rPr>
      </w:pPr>
      <w:bookmarkStart w:id="9199" w:name="_Toc17624888"/>
      <w:bookmarkStart w:id="9200" w:name="_Toc17889842"/>
      <w:bookmarkStart w:id="9201" w:name="_Toc17975464"/>
      <w:bookmarkStart w:id="9202" w:name="_Toc17984152"/>
      <w:bookmarkStart w:id="9203" w:name="_Toc18228277"/>
      <w:bookmarkStart w:id="9204" w:name="_Toc18250821"/>
      <w:bookmarkStart w:id="9205" w:name="_Toc18266278"/>
      <w:bookmarkStart w:id="9206" w:name="_Toc18269189"/>
      <w:bookmarkStart w:id="9207" w:name="_Toc18323889"/>
      <w:bookmarkStart w:id="9208" w:name="_Toc18397479"/>
      <w:bookmarkStart w:id="9209" w:name="_Toc18404196"/>
      <w:bookmarkStart w:id="9210" w:name="_Toc18481617"/>
      <w:r w:rsidRPr="00D47CE7">
        <w:rPr>
          <w:rFonts w:hint="cs"/>
          <w:rtl/>
        </w:rPr>
        <w:t xml:space="preserve">חקירת הגר"ח אי </w:t>
      </w:r>
      <w:r>
        <w:rPr>
          <w:rFonts w:hint="cs"/>
          <w:rtl/>
        </w:rPr>
        <w:t>ב</w:t>
      </w:r>
      <w:r w:rsidRPr="00D47CE7">
        <w:rPr>
          <w:rFonts w:hint="cs"/>
          <w:rtl/>
        </w:rPr>
        <w:t>טע"כ לא מהני ביטול ברוב דהאיסור ניכר או דמהני ביטול והוא איסור חדש</w:t>
      </w:r>
      <w:bookmarkEnd w:id="9199"/>
      <w:bookmarkEnd w:id="9200"/>
      <w:bookmarkEnd w:id="9201"/>
      <w:bookmarkEnd w:id="9202"/>
      <w:bookmarkEnd w:id="9203"/>
      <w:bookmarkEnd w:id="9204"/>
      <w:bookmarkEnd w:id="9205"/>
      <w:bookmarkEnd w:id="9206"/>
      <w:bookmarkEnd w:id="9207"/>
      <w:bookmarkEnd w:id="9208"/>
      <w:bookmarkEnd w:id="9209"/>
      <w:bookmarkEnd w:id="9210"/>
    </w:p>
    <w:p w:rsidR="007809D6" w:rsidRPr="00D47CE7" w:rsidRDefault="007809D6" w:rsidP="009F44AF">
      <w:pPr>
        <w:pStyle w:val="a"/>
        <w:rPr>
          <w:rtl/>
        </w:rPr>
      </w:pPr>
      <w:r>
        <w:rPr>
          <w:rFonts w:hint="cs"/>
          <w:rtl/>
        </w:rPr>
        <w:t>כתב</w:t>
      </w:r>
      <w:r w:rsidRPr="00D47CE7">
        <w:rPr>
          <w:rFonts w:hint="cs"/>
          <w:rtl/>
        </w:rPr>
        <w:t xml:space="preserve"> </w:t>
      </w:r>
      <w:r w:rsidRPr="00D47CE7">
        <w:rPr>
          <w:rStyle w:val="af8"/>
          <w:rFonts w:hint="cs"/>
          <w:rtl/>
        </w:rPr>
        <w:t>הגר"ח</w:t>
      </w:r>
      <w:r w:rsidRPr="00D47CE7">
        <w:rPr>
          <w:rFonts w:hint="cs"/>
          <w:rtl/>
        </w:rPr>
        <w:t xml:space="preserve"> </w:t>
      </w:r>
      <w:r w:rsidRPr="00D47CE7">
        <w:rPr>
          <w:rStyle w:val="af6"/>
          <w:rFonts w:eastAsia="Guttman Hodes" w:hint="cs"/>
          <w:rtl/>
        </w:rPr>
        <w:t>(מעשה הקרבנות פ"י הי"ב ד"ה והנה ביסוד, הובא לעיל סימן י"א אות קג)</w:t>
      </w:r>
      <w:r w:rsidRPr="00D47CE7">
        <w:rPr>
          <w:rFonts w:hint="cs"/>
          <w:rtl/>
        </w:rPr>
        <w:t xml:space="preserve"> </w:t>
      </w:r>
      <w:r>
        <w:rPr>
          <w:rFonts w:hint="cs"/>
          <w:rtl/>
        </w:rPr>
        <w:t xml:space="preserve">דיש לחקור </w:t>
      </w:r>
      <w:r w:rsidRPr="00D47CE7">
        <w:rPr>
          <w:rFonts w:hint="cs"/>
          <w:rtl/>
        </w:rPr>
        <w:t xml:space="preserve">בגדר דין טעם כעיקר, האם ע"י הטעם חשיב שהאיסור ניכר ולא מהני בו ביטול כלל, </w:t>
      </w:r>
      <w:r w:rsidRPr="00D47CE7">
        <w:rPr>
          <w:rStyle w:val="afa"/>
          <w:rFonts w:hint="cs"/>
          <w:rtl/>
        </w:rPr>
        <w:t xml:space="preserve">[וכדכתב </w:t>
      </w:r>
      <w:r w:rsidRPr="00D47CE7">
        <w:rPr>
          <w:rStyle w:val="affa"/>
          <w:rtl/>
        </w:rPr>
        <w:t xml:space="preserve">הרשב"א </w:t>
      </w:r>
      <w:r w:rsidRPr="00D47CE7">
        <w:rPr>
          <w:rStyle w:val="affa"/>
          <w:rFonts w:hint="cs"/>
          <w:rtl/>
        </w:rPr>
        <w:t>בחולין</w:t>
      </w:r>
      <w:r w:rsidRPr="00D47CE7">
        <w:rPr>
          <w:rStyle w:val="affa"/>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Ref17620521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כט)</w:t>
      </w:r>
      <w:r>
        <w:rPr>
          <w:rStyle w:val="aff6"/>
          <w:rtl/>
        </w:rPr>
        <w:fldChar w:fldCharType="end"/>
      </w:r>
      <w:r w:rsidRPr="00D47CE7">
        <w:rPr>
          <w:rStyle w:val="affa"/>
          <w:rtl/>
        </w:rPr>
        <w:t xml:space="preserve"> </w:t>
      </w:r>
      <w:r w:rsidRPr="00D47CE7">
        <w:rPr>
          <w:rStyle w:val="afa"/>
          <w:rtl/>
        </w:rPr>
        <w:t xml:space="preserve">בשם </w:t>
      </w:r>
      <w:r w:rsidRPr="00D47CE7">
        <w:rPr>
          <w:rStyle w:val="affa"/>
          <w:rtl/>
        </w:rPr>
        <w:t>הראב"ד</w:t>
      </w:r>
      <w:r w:rsidRPr="00D47CE7">
        <w:rPr>
          <w:rStyle w:val="affa"/>
          <w:rFonts w:hint="cs"/>
          <w:rtl/>
        </w:rPr>
        <w:t>]</w:t>
      </w:r>
      <w:r w:rsidRPr="00D47CE7">
        <w:rPr>
          <w:rStyle w:val="afa"/>
          <w:rFonts w:hint="cs"/>
          <w:rtl/>
        </w:rPr>
        <w:t xml:space="preserve">, </w:t>
      </w:r>
      <w:r w:rsidRPr="00D47CE7">
        <w:rPr>
          <w:rFonts w:hint="cs"/>
          <w:rtl/>
        </w:rPr>
        <w:t xml:space="preserve">או דבאמת מהני בטעם דין ביטול, אלא שיש גם על טעם האיסור דין איסור, וכדילפינן בגמ' בפסחים </w:t>
      </w:r>
      <w:r w:rsidRPr="00D47CE7">
        <w:rPr>
          <w:rStyle w:val="af6"/>
          <w:rFonts w:eastAsia="Guttman Hodes" w:hint="cs"/>
          <w:rtl/>
        </w:rPr>
        <w:t>(מד.)</w:t>
      </w:r>
      <w:r w:rsidRPr="00D47CE7">
        <w:rPr>
          <w:rFonts w:hint="cs"/>
          <w:rtl/>
        </w:rPr>
        <w:t xml:space="preserve"> ממשרת ומגיעולי עכו"ם</w:t>
      </w:r>
      <w:r>
        <w:rPr>
          <w:rFonts w:hint="cs"/>
          <w:rtl/>
        </w:rPr>
        <w:t>, ועי' במ"ש</w:t>
      </w:r>
      <w:r w:rsidRPr="0063198B">
        <w:rPr>
          <w:rStyle w:val="af8"/>
          <w:rFonts w:hint="cs"/>
          <w:rtl/>
        </w:rPr>
        <w:t xml:space="preserve"> הגר"ח</w:t>
      </w:r>
      <w:r w:rsidRPr="0063198B">
        <w:rPr>
          <w:rStyle w:val="af6"/>
          <w:rFonts w:eastAsia="Guttman Hodes" w:hint="cs"/>
          <w:rtl/>
        </w:rPr>
        <w:t xml:space="preserve"> (עי' אות </w:t>
      </w:r>
      <w:r w:rsidRPr="0063198B">
        <w:rPr>
          <w:rStyle w:val="af6"/>
          <w:rFonts w:eastAsia="Guttman Hodes"/>
          <w:rtl/>
        </w:rPr>
        <w:fldChar w:fldCharType="begin"/>
      </w:r>
      <w:r w:rsidRPr="0063198B">
        <w:rPr>
          <w:rStyle w:val="af6"/>
          <w:rFonts w:eastAsia="Guttman Hodes"/>
          <w:rtl/>
        </w:rPr>
        <w:instrText xml:space="preserve"> </w:instrText>
      </w:r>
      <w:r w:rsidRPr="0063198B">
        <w:rPr>
          <w:rStyle w:val="af6"/>
          <w:rFonts w:eastAsia="Guttman Hodes" w:hint="cs"/>
        </w:rPr>
        <w:instrText>REF</w:instrText>
      </w:r>
      <w:r w:rsidRPr="0063198B">
        <w:rPr>
          <w:rStyle w:val="af6"/>
          <w:rFonts w:eastAsia="Guttman Hodes" w:hint="cs"/>
          <w:rtl/>
        </w:rPr>
        <w:instrText xml:space="preserve"> _</w:instrText>
      </w:r>
      <w:r w:rsidRPr="0063198B">
        <w:rPr>
          <w:rStyle w:val="af6"/>
          <w:rFonts w:eastAsia="Guttman Hodes" w:hint="cs"/>
        </w:rPr>
        <w:instrText>Ref18407484 \r \h</w:instrText>
      </w:r>
      <w:r w:rsidRPr="0063198B">
        <w:rPr>
          <w:rStyle w:val="af6"/>
          <w:rFonts w:eastAsia="Guttman Hodes"/>
          <w:rtl/>
        </w:rPr>
        <w:instrText xml:space="preserve"> </w:instrText>
      </w:r>
      <w:r w:rsidRPr="0063198B">
        <w:rPr>
          <w:rStyle w:val="af6"/>
          <w:rFonts w:eastAsia="Guttman Hodes"/>
          <w:rtl/>
        </w:rPr>
      </w:r>
      <w:r w:rsidRPr="0063198B">
        <w:rPr>
          <w:rStyle w:val="af6"/>
          <w:rFonts w:eastAsia="Guttman Hodes"/>
          <w:rtl/>
        </w:rPr>
        <w:fldChar w:fldCharType="separate"/>
      </w:r>
      <w:r w:rsidR="004D1C5B">
        <w:rPr>
          <w:rStyle w:val="af6"/>
          <w:rFonts w:eastAsia="Guttman Hodes"/>
          <w:cs/>
        </w:rPr>
        <w:t>‎</w:t>
      </w:r>
      <w:r w:rsidR="004D1C5B">
        <w:rPr>
          <w:rStyle w:val="af6"/>
          <w:rFonts w:eastAsia="Guttman Hodes"/>
          <w:rtl/>
        </w:rPr>
        <w:t>קד)</w:t>
      </w:r>
      <w:r w:rsidRPr="0063198B">
        <w:rPr>
          <w:rStyle w:val="af6"/>
          <w:rFonts w:eastAsia="Guttman Hodes"/>
          <w:rtl/>
        </w:rPr>
        <w:fldChar w:fldCharType="end"/>
      </w:r>
      <w:r>
        <w:rPr>
          <w:rFonts w:hint="cs"/>
          <w:rtl/>
        </w:rPr>
        <w:t xml:space="preserve"> </w:t>
      </w:r>
      <w:r w:rsidRPr="0063198B">
        <w:rPr>
          <w:rStyle w:val="af8"/>
          <w:rFonts w:hint="cs"/>
          <w:rtl/>
        </w:rPr>
        <w:t>דברמב"ם</w:t>
      </w:r>
      <w:r>
        <w:rPr>
          <w:rFonts w:hint="cs"/>
          <w:rtl/>
        </w:rPr>
        <w:t xml:space="preserve"> מוכח כהצד הב'</w:t>
      </w:r>
      <w:r w:rsidRPr="00D47CE7">
        <w:rPr>
          <w:rFonts w:hint="cs"/>
          <w:rtl/>
        </w:rPr>
        <w:t>.</w:t>
      </w:r>
      <w:r w:rsidRPr="00D47CE7">
        <w:rPr>
          <w:rStyle w:val="afa"/>
          <w:rFonts w:hint="cs"/>
          <w:rtl/>
        </w:rPr>
        <w:t xml:space="preserve"> </w:t>
      </w:r>
    </w:p>
    <w:p w:rsidR="007809D6" w:rsidRPr="00D47CE7" w:rsidRDefault="007809D6" w:rsidP="007809D6">
      <w:pPr>
        <w:pStyle w:val="a2"/>
        <w:rPr>
          <w:rtl/>
        </w:rPr>
      </w:pPr>
      <w:bookmarkStart w:id="9211" w:name="_Toc17624889"/>
      <w:bookmarkStart w:id="9212" w:name="_Toc17889843"/>
      <w:bookmarkStart w:id="9213" w:name="_Toc17975465"/>
      <w:bookmarkStart w:id="9214" w:name="_Toc17984153"/>
      <w:bookmarkStart w:id="9215" w:name="_Toc18228278"/>
      <w:bookmarkStart w:id="9216" w:name="_Toc18250822"/>
      <w:bookmarkStart w:id="9217" w:name="_Toc18266279"/>
      <w:bookmarkStart w:id="9218" w:name="_Toc18269190"/>
      <w:bookmarkStart w:id="9219" w:name="_Toc18323890"/>
      <w:bookmarkStart w:id="9220" w:name="_Toc18397480"/>
      <w:bookmarkStart w:id="9221" w:name="_Toc18404197"/>
      <w:bookmarkStart w:id="9222" w:name="_Toc18481618"/>
      <w:r w:rsidRPr="00D47CE7">
        <w:rPr>
          <w:rFonts w:hint="cs"/>
          <w:rtl/>
        </w:rPr>
        <w:t>דברי הגר"ח</w:t>
      </w:r>
      <w:bookmarkEnd w:id="9211"/>
      <w:bookmarkEnd w:id="9212"/>
      <w:bookmarkEnd w:id="9213"/>
      <w:bookmarkEnd w:id="9214"/>
      <w:bookmarkEnd w:id="9215"/>
      <w:bookmarkEnd w:id="9216"/>
      <w:bookmarkEnd w:id="9217"/>
      <w:bookmarkEnd w:id="9218"/>
      <w:bookmarkEnd w:id="9219"/>
      <w:bookmarkEnd w:id="9220"/>
      <w:r w:rsidRPr="00D47CE7">
        <w:rPr>
          <w:rFonts w:hint="cs"/>
          <w:rtl/>
        </w:rPr>
        <w:t xml:space="preserve"> </w:t>
      </w:r>
      <w:r>
        <w:rPr>
          <w:rFonts w:hint="cs"/>
          <w:rtl/>
        </w:rPr>
        <w:t>דטע"כ הוא איסור חדש ומחמת איסור טע"כ הטעם והממשות אינם בטלים ברוב</w:t>
      </w:r>
      <w:bookmarkEnd w:id="9221"/>
      <w:bookmarkEnd w:id="9222"/>
      <w:r>
        <w:rPr>
          <w:rFonts w:hint="cs"/>
          <w:rtl/>
        </w:rPr>
        <w:t xml:space="preserve"> </w:t>
      </w:r>
    </w:p>
    <w:p w:rsidR="007809D6" w:rsidRDefault="007809D6" w:rsidP="009F44AF">
      <w:pPr>
        <w:pStyle w:val="a"/>
        <w:rPr>
          <w:rtl/>
        </w:rPr>
      </w:pPr>
      <w:r w:rsidRPr="00D47CE7">
        <w:rPr>
          <w:rtl/>
        </w:rPr>
        <w:t xml:space="preserve">ועיי"ש במה שהאריך </w:t>
      </w:r>
      <w:r w:rsidRPr="00D47CE7">
        <w:rPr>
          <w:rStyle w:val="af8"/>
          <w:rtl/>
        </w:rPr>
        <w:t>הגר"ח</w:t>
      </w:r>
      <w:r>
        <w:rPr>
          <w:rStyle w:val="af6"/>
          <w:rFonts w:eastAsia="Guttman Hodes" w:hint="cs"/>
          <w:rtl/>
        </w:rPr>
        <w:t xml:space="preserve"> </w:t>
      </w:r>
      <w:r w:rsidRPr="00D47CE7">
        <w:rPr>
          <w:rStyle w:val="af6"/>
          <w:rFonts w:eastAsia="Guttman Hodes" w:hint="cs"/>
          <w:rtl/>
        </w:rPr>
        <w:t xml:space="preserve">(מעשה הקרבנות פ"י הי"ב ד"ה והנה ביסוד, הובא לעיל סימן י"א אות קד) </w:t>
      </w:r>
      <w:r w:rsidRPr="00D47CE7">
        <w:rPr>
          <w:rFonts w:hint="cs"/>
          <w:rtl/>
        </w:rPr>
        <w:t>להוכיח דטעם כעיקר</w:t>
      </w:r>
      <w:r w:rsidRPr="00D47CE7">
        <w:rPr>
          <w:rtl/>
        </w:rPr>
        <w:t xml:space="preserve"> הוא דין בפנ"ע</w:t>
      </w:r>
      <w:r w:rsidRPr="00D47CE7">
        <w:rPr>
          <w:rFonts w:hint="cs"/>
          <w:rtl/>
        </w:rPr>
        <w:t>, ש</w:t>
      </w:r>
      <w:r w:rsidRPr="00D47CE7">
        <w:rPr>
          <w:rtl/>
        </w:rPr>
        <w:t>יש בו חלות איסור של טעם כעיקר, אלא דהגדר באיסור דטעם כעיקר, דאי</w:t>
      </w:r>
      <w:r w:rsidRPr="00D47CE7">
        <w:rPr>
          <w:rFonts w:hint="cs"/>
          <w:rtl/>
        </w:rPr>
        <w:t>ן הטעם</w:t>
      </w:r>
      <w:r w:rsidRPr="00D47CE7">
        <w:rPr>
          <w:rtl/>
        </w:rPr>
        <w:t xml:space="preserve"> מתבטל ברוב,</w:t>
      </w:r>
      <w:r w:rsidRPr="00D47CE7">
        <w:rPr>
          <w:rFonts w:hint="cs"/>
          <w:rtl/>
        </w:rPr>
        <w:t xml:space="preserve"> דכיון שהטעם ניכר פקע ממנו דין ביטול גם על העיקר</w:t>
      </w:r>
      <w:r>
        <w:rPr>
          <w:rFonts w:hint="cs"/>
          <w:rtl/>
        </w:rPr>
        <w:t>.</w:t>
      </w:r>
    </w:p>
    <w:p w:rsidR="007809D6" w:rsidRPr="00CA0304" w:rsidRDefault="007809D6" w:rsidP="007809D6">
      <w:pPr>
        <w:pStyle w:val="1"/>
        <w:rPr>
          <w:rtl/>
        </w:rPr>
      </w:pPr>
      <w:bookmarkStart w:id="9223" w:name="_Toc18404198"/>
      <w:bookmarkStart w:id="9224" w:name="_Toc18481619"/>
      <w:r>
        <w:rPr>
          <w:rFonts w:hint="cs"/>
          <w:rtl/>
        </w:rPr>
        <w:t>ביאור הגר"ח דבטעם פגום אף דהוא ניכר מהני ביטול ברוב</w:t>
      </w:r>
      <w:bookmarkEnd w:id="9223"/>
      <w:bookmarkEnd w:id="9224"/>
      <w:r>
        <w:rPr>
          <w:rFonts w:hint="cs"/>
          <w:rtl/>
        </w:rPr>
        <w:t xml:space="preserve"> </w:t>
      </w:r>
    </w:p>
    <w:p w:rsidR="007809D6" w:rsidRPr="009239ED" w:rsidRDefault="007809D6" w:rsidP="007809D6">
      <w:pPr>
        <w:pStyle w:val="a2"/>
      </w:pPr>
      <w:bookmarkStart w:id="9225" w:name="_Toc18404199"/>
      <w:bookmarkStart w:id="9226" w:name="_Toc18481620"/>
      <w:r>
        <w:rPr>
          <w:rFonts w:hint="cs"/>
          <w:rtl/>
        </w:rPr>
        <w:t>דברי הגר"ח דמוכח ברשב"א ובר"ן דממשות האיסור מותרת כיון שאין טע"כ בטעם פגום</w:t>
      </w:r>
      <w:bookmarkEnd w:id="9225"/>
      <w:bookmarkEnd w:id="9226"/>
    </w:p>
    <w:p w:rsidR="007809D6" w:rsidRPr="00465AF0" w:rsidRDefault="007809D6" w:rsidP="009F44AF">
      <w:pPr>
        <w:pStyle w:val="a"/>
        <w:rPr>
          <w:rStyle w:val="afa"/>
          <w:rtl/>
        </w:rPr>
      </w:pPr>
      <w:bookmarkStart w:id="9227" w:name="_Ref18402717"/>
      <w:r w:rsidRPr="00D47CE7">
        <w:rPr>
          <w:rFonts w:hint="cs"/>
          <w:rtl/>
        </w:rPr>
        <w:t xml:space="preserve">וכתב </w:t>
      </w:r>
      <w:r w:rsidRPr="00D47CE7">
        <w:rPr>
          <w:rStyle w:val="af8"/>
          <w:rFonts w:hint="cs"/>
          <w:rtl/>
        </w:rPr>
        <w:t xml:space="preserve">הגר"ח </w:t>
      </w:r>
      <w:r w:rsidRPr="00D47CE7">
        <w:rPr>
          <w:rFonts w:hint="cs"/>
          <w:rtl/>
        </w:rPr>
        <w:t xml:space="preserve">דכן מוכח מדברי </w:t>
      </w:r>
      <w:r w:rsidRPr="00D47CE7">
        <w:rPr>
          <w:rStyle w:val="af8"/>
          <w:rFonts w:hint="cs"/>
          <w:rtl/>
        </w:rPr>
        <w:t xml:space="preserve">הרשב"א והר"ן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Ref16157154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D47CE7">
        <w:rPr>
          <w:rStyle w:val="af6"/>
          <w:rFonts w:eastAsia="Guttman Hodes"/>
          <w:rtl/>
        </w:rPr>
        <w:fldChar w:fldCharType="end"/>
      </w:r>
      <w:r w:rsidRPr="00D47CE7">
        <w:rPr>
          <w:rFonts w:hint="cs"/>
          <w:rtl/>
        </w:rPr>
        <w:t xml:space="preserve"> דכתבו </w:t>
      </w:r>
      <w:r>
        <w:rPr>
          <w:rFonts w:hint="cs"/>
          <w:rtl/>
        </w:rPr>
        <w:t>דההיתר ב</w:t>
      </w:r>
      <w:r w:rsidRPr="00D47CE7">
        <w:rPr>
          <w:rFonts w:hint="cs"/>
          <w:rtl/>
        </w:rPr>
        <w:t xml:space="preserve">פגום במקצת </w:t>
      </w:r>
      <w:r>
        <w:rPr>
          <w:rFonts w:hint="cs"/>
          <w:rtl/>
        </w:rPr>
        <w:t>נלמד מנבילה שאינה ראויה לגר, ד</w:t>
      </w:r>
      <w:r w:rsidRPr="00D47CE7">
        <w:rPr>
          <w:rFonts w:hint="cs"/>
          <w:rtl/>
        </w:rPr>
        <w:t xml:space="preserve">כיון </w:t>
      </w:r>
      <w:r>
        <w:rPr>
          <w:rFonts w:hint="cs"/>
          <w:rtl/>
        </w:rPr>
        <w:t xml:space="preserve">דהאיסור בטעם בתערובת </w:t>
      </w:r>
      <w:r w:rsidRPr="00D47CE7">
        <w:rPr>
          <w:rFonts w:hint="cs"/>
          <w:rtl/>
        </w:rPr>
        <w:t xml:space="preserve">הוא מדין טעם כעיקר, </w:t>
      </w:r>
      <w:r>
        <w:rPr>
          <w:rFonts w:hint="cs"/>
          <w:rtl/>
        </w:rPr>
        <w:t xml:space="preserve">א"כ כל שהוא פוגם את הטעם </w:t>
      </w:r>
      <w:r w:rsidRPr="00D47CE7">
        <w:rPr>
          <w:rFonts w:hint="cs"/>
          <w:rtl/>
        </w:rPr>
        <w:t xml:space="preserve">חשיב אינו ראוי לגר, </w:t>
      </w:r>
      <w:r>
        <w:rPr>
          <w:rFonts w:hint="cs"/>
          <w:rtl/>
        </w:rPr>
        <w:t xml:space="preserve">ואין בו איסור, וכתב </w:t>
      </w:r>
      <w:r w:rsidRPr="00E12ED7">
        <w:rPr>
          <w:rStyle w:val="af8"/>
          <w:rFonts w:hint="cs"/>
          <w:rtl/>
        </w:rPr>
        <w:t>הגר"ח</w:t>
      </w:r>
      <w:r>
        <w:rPr>
          <w:rFonts w:hint="cs"/>
          <w:rtl/>
        </w:rPr>
        <w:t xml:space="preserve"> ד</w:t>
      </w:r>
      <w:r w:rsidRPr="00D47CE7">
        <w:rPr>
          <w:rFonts w:hint="cs"/>
          <w:rtl/>
        </w:rPr>
        <w:t>מוכח דטעם כעיקר הוא דין בפנ"ע שהטעם הוא כמו העיקר, ולכן האיסור עצמו תלוי בדין הטעם</w:t>
      </w:r>
      <w:r>
        <w:rPr>
          <w:rFonts w:hint="cs"/>
          <w:rtl/>
        </w:rPr>
        <w:t>, וכל שאין בו איסור מדין טעם כעיקר, אינו אוסר את התערובת</w:t>
      </w:r>
      <w:r w:rsidRPr="00D47CE7">
        <w:rPr>
          <w:rFonts w:hint="cs"/>
          <w:rtl/>
        </w:rPr>
        <w:t>.</w:t>
      </w:r>
      <w:r>
        <w:rPr>
          <w:rFonts w:hint="cs"/>
          <w:rtl/>
        </w:rPr>
        <w:t xml:space="preserve"> </w:t>
      </w:r>
      <w:r w:rsidRPr="00465AF0">
        <w:rPr>
          <w:rStyle w:val="afa"/>
          <w:rFonts w:hint="cs"/>
          <w:rtl/>
        </w:rPr>
        <w:t xml:space="preserve">[בתו"ד </w:t>
      </w:r>
      <w:r w:rsidRPr="00E12ED7">
        <w:rPr>
          <w:rStyle w:val="affa"/>
          <w:rFonts w:hint="cs"/>
          <w:rtl/>
        </w:rPr>
        <w:t>הגר"ח</w:t>
      </w:r>
      <w:r w:rsidRPr="00465AF0">
        <w:rPr>
          <w:rStyle w:val="afa"/>
          <w:rFonts w:hint="cs"/>
          <w:rtl/>
        </w:rPr>
        <w:t xml:space="preserve"> משמע דביאר דכוונת </w:t>
      </w:r>
      <w:r w:rsidRPr="00E12ED7">
        <w:rPr>
          <w:rStyle w:val="affa"/>
          <w:rFonts w:hint="cs"/>
          <w:rtl/>
        </w:rPr>
        <w:t>הרשב"א והר"ן</w:t>
      </w:r>
      <w:r w:rsidRPr="00465AF0">
        <w:rPr>
          <w:rStyle w:val="afa"/>
          <w:rFonts w:hint="cs"/>
          <w:rtl/>
        </w:rPr>
        <w:t xml:space="preserve"> לומר דכל שהטעם פוגם, נעשה הטעם כאינו ראוי לגר ממש, עיי"ש בדבריו, וכ"מ </w:t>
      </w:r>
      <w:r w:rsidRPr="00E12ED7">
        <w:rPr>
          <w:rStyle w:val="affa"/>
          <w:rFonts w:hint="cs"/>
          <w:rtl/>
        </w:rPr>
        <w:t>בחי' הגר"ח על הש"ס</w:t>
      </w:r>
      <w:r w:rsidRPr="00465AF0">
        <w:rPr>
          <w:rStyle w:val="afa"/>
          <w:rFonts w:hint="cs"/>
          <w:rtl/>
        </w:rPr>
        <w:t xml:space="preserve"> </w:t>
      </w:r>
      <w:r w:rsidRPr="00E12ED7">
        <w:rPr>
          <w:rStyle w:val="aff6"/>
          <w:rFonts w:hint="cs"/>
          <w:rtl/>
        </w:rPr>
        <w:t xml:space="preserve">(עי' אות </w:t>
      </w:r>
      <w:r w:rsidRPr="00E12ED7">
        <w:rPr>
          <w:rStyle w:val="aff6"/>
          <w:rtl/>
        </w:rPr>
        <w:fldChar w:fldCharType="begin"/>
      </w:r>
      <w:r w:rsidRPr="00E12ED7">
        <w:rPr>
          <w:rStyle w:val="aff6"/>
          <w:rtl/>
        </w:rPr>
        <w:instrText xml:space="preserve"> </w:instrText>
      </w:r>
      <w:r w:rsidRPr="00E12ED7">
        <w:rPr>
          <w:rStyle w:val="aff6"/>
          <w:rFonts w:hint="cs"/>
        </w:rPr>
        <w:instrText>REF</w:instrText>
      </w:r>
      <w:r w:rsidRPr="00E12ED7">
        <w:rPr>
          <w:rStyle w:val="aff6"/>
          <w:rFonts w:hint="cs"/>
          <w:rtl/>
        </w:rPr>
        <w:instrText xml:space="preserve"> _</w:instrText>
      </w:r>
      <w:r w:rsidRPr="00E12ED7">
        <w:rPr>
          <w:rStyle w:val="aff6"/>
          <w:rFonts w:hint="cs"/>
        </w:rPr>
        <w:instrText>Ref18402010 \r \h</w:instrText>
      </w:r>
      <w:r w:rsidRPr="00E12ED7">
        <w:rPr>
          <w:rStyle w:val="aff6"/>
          <w:rtl/>
        </w:rPr>
        <w:instrText xml:space="preserve"> </w:instrText>
      </w:r>
      <w:r w:rsidRPr="00E12ED7">
        <w:rPr>
          <w:rStyle w:val="aff6"/>
          <w:rtl/>
        </w:rPr>
      </w:r>
      <w:r w:rsidRPr="00E12ED7">
        <w:rPr>
          <w:rStyle w:val="aff6"/>
          <w:rtl/>
        </w:rPr>
        <w:fldChar w:fldCharType="separate"/>
      </w:r>
      <w:r w:rsidR="004D1C5B">
        <w:rPr>
          <w:rStyle w:val="aff6"/>
          <w:cs/>
        </w:rPr>
        <w:t>‎</w:t>
      </w:r>
      <w:r w:rsidR="004D1C5B">
        <w:rPr>
          <w:rStyle w:val="aff6"/>
          <w:rtl/>
        </w:rPr>
        <w:t>קי)</w:t>
      </w:r>
      <w:r w:rsidRPr="00E12ED7">
        <w:rPr>
          <w:rStyle w:val="aff6"/>
          <w:rtl/>
        </w:rPr>
        <w:fldChar w:fldCharType="end"/>
      </w:r>
      <w:r w:rsidRPr="00465AF0">
        <w:rPr>
          <w:rStyle w:val="afa"/>
          <w:rFonts w:hint="cs"/>
          <w:rtl/>
        </w:rPr>
        <w:t xml:space="preserve">, וע"ע במ"ש </w:t>
      </w:r>
      <w:r w:rsidRPr="00E12ED7">
        <w:rPr>
          <w:rStyle w:val="affa"/>
          <w:rFonts w:hint="cs"/>
          <w:rtl/>
        </w:rPr>
        <w:t>הגר"ח</w:t>
      </w:r>
      <w:r w:rsidRPr="00465AF0">
        <w:rPr>
          <w:rStyle w:val="afa"/>
          <w:rFonts w:hint="cs"/>
          <w:rtl/>
        </w:rPr>
        <w:t xml:space="preserve"> </w:t>
      </w:r>
      <w:r w:rsidRPr="00E12ED7">
        <w:rPr>
          <w:rStyle w:val="aff6"/>
          <w:rFonts w:hint="cs"/>
          <w:rtl/>
        </w:rPr>
        <w:t xml:space="preserve">(עי' אות </w:t>
      </w:r>
      <w:r w:rsidRPr="00E12ED7">
        <w:rPr>
          <w:rStyle w:val="aff6"/>
          <w:rtl/>
        </w:rPr>
        <w:fldChar w:fldCharType="begin"/>
      </w:r>
      <w:r w:rsidRPr="00E12ED7">
        <w:rPr>
          <w:rStyle w:val="aff6"/>
          <w:rtl/>
        </w:rPr>
        <w:instrText xml:space="preserve"> </w:instrText>
      </w:r>
      <w:r w:rsidRPr="00E12ED7">
        <w:rPr>
          <w:rStyle w:val="aff6"/>
          <w:rFonts w:hint="cs"/>
        </w:rPr>
        <w:instrText>REF</w:instrText>
      </w:r>
      <w:r w:rsidRPr="00E12ED7">
        <w:rPr>
          <w:rStyle w:val="aff6"/>
          <w:rFonts w:hint="cs"/>
          <w:rtl/>
        </w:rPr>
        <w:instrText xml:space="preserve"> _</w:instrText>
      </w:r>
      <w:r w:rsidRPr="00E12ED7">
        <w:rPr>
          <w:rStyle w:val="aff6"/>
          <w:rFonts w:hint="cs"/>
        </w:rPr>
        <w:instrText>Ref18402024 \r \h</w:instrText>
      </w:r>
      <w:r w:rsidRPr="00E12ED7">
        <w:rPr>
          <w:rStyle w:val="aff6"/>
          <w:rtl/>
        </w:rPr>
        <w:instrText xml:space="preserve"> </w:instrText>
      </w:r>
      <w:r w:rsidRPr="00E12ED7">
        <w:rPr>
          <w:rStyle w:val="aff6"/>
          <w:rtl/>
        </w:rPr>
      </w:r>
      <w:r w:rsidRPr="00E12ED7">
        <w:rPr>
          <w:rStyle w:val="aff6"/>
          <w:rtl/>
        </w:rPr>
        <w:fldChar w:fldCharType="separate"/>
      </w:r>
      <w:r w:rsidR="004D1C5B">
        <w:rPr>
          <w:rStyle w:val="aff6"/>
          <w:cs/>
        </w:rPr>
        <w:t>‎</w:t>
      </w:r>
      <w:r w:rsidR="004D1C5B">
        <w:rPr>
          <w:rStyle w:val="aff6"/>
          <w:rtl/>
        </w:rPr>
        <w:t>קט)</w:t>
      </w:r>
      <w:r w:rsidRPr="00E12ED7">
        <w:rPr>
          <w:rStyle w:val="aff6"/>
          <w:rtl/>
        </w:rPr>
        <w:fldChar w:fldCharType="end"/>
      </w:r>
      <w:r w:rsidRPr="00465AF0">
        <w:rPr>
          <w:rStyle w:val="afa"/>
          <w:rFonts w:hint="cs"/>
          <w:rtl/>
        </w:rPr>
        <w:t xml:space="preserve"> בביאור דברי </w:t>
      </w:r>
      <w:r w:rsidRPr="00E12ED7">
        <w:rPr>
          <w:rStyle w:val="affa"/>
          <w:rFonts w:hint="cs"/>
          <w:rtl/>
        </w:rPr>
        <w:t>הרשב"א והר"ן</w:t>
      </w:r>
      <w:r w:rsidRPr="00465AF0">
        <w:rPr>
          <w:rStyle w:val="afa"/>
          <w:rFonts w:hint="cs"/>
          <w:rtl/>
        </w:rPr>
        <w:t xml:space="preserve"> דכל שהטעם פוגם ואינו משביח, הוא בכלל אינה ראויה לגר].</w:t>
      </w:r>
      <w:bookmarkEnd w:id="9227"/>
    </w:p>
    <w:p w:rsidR="007809D6" w:rsidRPr="00D47CE7" w:rsidRDefault="007809D6" w:rsidP="007809D6">
      <w:pPr>
        <w:pStyle w:val="a2"/>
        <w:rPr>
          <w:rtl/>
        </w:rPr>
      </w:pPr>
      <w:bookmarkStart w:id="9228" w:name="_Toc18404200"/>
      <w:bookmarkStart w:id="9229" w:name="_Toc18481621"/>
      <w:r>
        <w:rPr>
          <w:rFonts w:hint="cs"/>
          <w:rtl/>
        </w:rPr>
        <w:t>דברי הגר"ח דאי איסור טע"כ כיון דאינו בטל פגום במקצת אסור דהטעם ניכר ואינו בטל</w:t>
      </w:r>
      <w:bookmarkEnd w:id="9228"/>
      <w:bookmarkEnd w:id="9229"/>
    </w:p>
    <w:p w:rsidR="007809D6" w:rsidRDefault="007809D6" w:rsidP="009F44AF">
      <w:pPr>
        <w:pStyle w:val="a"/>
        <w:rPr>
          <w:rtl/>
        </w:rPr>
      </w:pPr>
      <w:bookmarkStart w:id="9230" w:name="_Ref18403740"/>
      <w:r>
        <w:rPr>
          <w:rFonts w:hint="cs"/>
          <w:rtl/>
        </w:rPr>
        <w:t xml:space="preserve">אך </w:t>
      </w:r>
      <w:r w:rsidRPr="00D47CE7">
        <w:rPr>
          <w:rFonts w:hint="cs"/>
          <w:rtl/>
        </w:rPr>
        <w:t xml:space="preserve">כתב </w:t>
      </w:r>
      <w:r w:rsidRPr="00D47CE7">
        <w:rPr>
          <w:rStyle w:val="af8"/>
          <w:rFonts w:hint="cs"/>
          <w:rtl/>
        </w:rPr>
        <w:t xml:space="preserve">הגר"ח </w:t>
      </w:r>
      <w:r w:rsidRPr="00D47CE7">
        <w:rPr>
          <w:rFonts w:hint="cs"/>
          <w:rtl/>
        </w:rPr>
        <w:t>דאי הגדר באיסור טעם כעיקר הוא כיון שהוא ניכר ואינו מתבטל ברוב, א"כ בפגום במקצת בתערובת, יש כאן את ממשו של האיסור</w:t>
      </w:r>
      <w:r>
        <w:rPr>
          <w:rFonts w:hint="cs"/>
          <w:rtl/>
        </w:rPr>
        <w:t>,</w:t>
      </w:r>
      <w:r w:rsidRPr="00D47CE7">
        <w:rPr>
          <w:rFonts w:hint="cs"/>
          <w:rtl/>
        </w:rPr>
        <w:t xml:space="preserve"> </w:t>
      </w:r>
      <w:r>
        <w:rPr>
          <w:rFonts w:hint="cs"/>
          <w:rtl/>
        </w:rPr>
        <w:t>דע"י ה</w:t>
      </w:r>
      <w:r w:rsidRPr="00D47CE7">
        <w:rPr>
          <w:rFonts w:hint="cs"/>
          <w:rtl/>
        </w:rPr>
        <w:t xml:space="preserve">טעם </w:t>
      </w:r>
      <w:r>
        <w:rPr>
          <w:rFonts w:hint="cs"/>
          <w:rtl/>
        </w:rPr>
        <w:t>הפגום</w:t>
      </w:r>
      <w:r w:rsidRPr="00D47CE7">
        <w:rPr>
          <w:rFonts w:hint="cs"/>
          <w:rtl/>
        </w:rPr>
        <w:t xml:space="preserve"> </w:t>
      </w:r>
      <w:r>
        <w:rPr>
          <w:rFonts w:hint="cs"/>
          <w:rtl/>
        </w:rPr>
        <w:t xml:space="preserve">הוא </w:t>
      </w:r>
      <w:r w:rsidRPr="00D47CE7">
        <w:rPr>
          <w:rFonts w:hint="cs"/>
          <w:rtl/>
        </w:rPr>
        <w:t xml:space="preserve">ניכר </w:t>
      </w:r>
      <w:r>
        <w:rPr>
          <w:rFonts w:hint="cs"/>
          <w:rtl/>
        </w:rPr>
        <w:t>והטעם גורם לממשות האיסור שלא תתבטל ברוב</w:t>
      </w:r>
      <w:r w:rsidRPr="00D47CE7">
        <w:rPr>
          <w:rFonts w:hint="cs"/>
          <w:rtl/>
        </w:rPr>
        <w:t>, ו</w:t>
      </w:r>
      <w:r>
        <w:rPr>
          <w:rFonts w:hint="cs"/>
          <w:rtl/>
        </w:rPr>
        <w:t>א"כ א"א להתיר נותן טעם לפגם בפגום במקצת, ד</w:t>
      </w:r>
      <w:r w:rsidRPr="00D47CE7">
        <w:rPr>
          <w:rFonts w:hint="cs"/>
          <w:rtl/>
        </w:rPr>
        <w:t>כל שהוא ראוי לאכילת אדם</w:t>
      </w:r>
      <w:r>
        <w:rPr>
          <w:rFonts w:hint="cs"/>
          <w:rtl/>
        </w:rPr>
        <w:t xml:space="preserve">, </w:t>
      </w:r>
      <w:r w:rsidRPr="00D47CE7">
        <w:rPr>
          <w:rFonts w:hint="cs"/>
          <w:rtl/>
        </w:rPr>
        <w:t>הוא כנבילה עצמה דאסורה כל שהיא ראויה לגר</w:t>
      </w:r>
      <w:r>
        <w:rPr>
          <w:rFonts w:hint="cs"/>
          <w:rtl/>
        </w:rPr>
        <w:t xml:space="preserve">, </w:t>
      </w:r>
      <w:r w:rsidRPr="00D47CE7">
        <w:rPr>
          <w:rStyle w:val="afa"/>
          <w:rFonts w:hint="cs"/>
          <w:rtl/>
        </w:rPr>
        <w:t>[</w:t>
      </w:r>
      <w:r>
        <w:rPr>
          <w:rStyle w:val="afa"/>
          <w:rFonts w:hint="cs"/>
          <w:rtl/>
        </w:rPr>
        <w:t xml:space="preserve">וצ"ב דהא </w:t>
      </w:r>
      <w:r w:rsidRPr="00D47CE7">
        <w:rPr>
          <w:rStyle w:val="affa"/>
          <w:rtl/>
        </w:rPr>
        <w:t xml:space="preserve">הרשב"א </w:t>
      </w:r>
      <w:r w:rsidRPr="00D47CE7">
        <w:rPr>
          <w:rStyle w:val="affa"/>
          <w:rFonts w:hint="cs"/>
          <w:rtl/>
        </w:rPr>
        <w:t>בחולין</w:t>
      </w:r>
      <w:r w:rsidRPr="00D47CE7">
        <w:rPr>
          <w:rStyle w:val="affa"/>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Ref17620521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כט)</w:t>
      </w:r>
      <w:r>
        <w:rPr>
          <w:rStyle w:val="aff6"/>
          <w:rtl/>
        </w:rPr>
        <w:fldChar w:fldCharType="end"/>
      </w:r>
      <w:r w:rsidRPr="00D47CE7">
        <w:rPr>
          <w:rStyle w:val="affa"/>
          <w:rtl/>
        </w:rPr>
        <w:t xml:space="preserve"> </w:t>
      </w:r>
      <w:r w:rsidRPr="00D47CE7">
        <w:rPr>
          <w:rStyle w:val="afa"/>
          <w:rtl/>
        </w:rPr>
        <w:t xml:space="preserve">בשם </w:t>
      </w:r>
      <w:r w:rsidRPr="00D47CE7">
        <w:rPr>
          <w:rStyle w:val="affa"/>
          <w:rtl/>
        </w:rPr>
        <w:t>הראב"ד</w:t>
      </w:r>
      <w:r w:rsidRPr="00C1286F">
        <w:rPr>
          <w:rStyle w:val="afa"/>
          <w:rFonts w:hint="cs"/>
          <w:rtl/>
        </w:rPr>
        <w:t xml:space="preserve"> </w:t>
      </w:r>
      <w:r w:rsidRPr="00D47CE7">
        <w:rPr>
          <w:rStyle w:val="afa"/>
          <w:rFonts w:hint="cs"/>
          <w:rtl/>
        </w:rPr>
        <w:t>כתב</w:t>
      </w:r>
      <w:r>
        <w:rPr>
          <w:rStyle w:val="afa"/>
          <w:rFonts w:hint="cs"/>
          <w:rtl/>
        </w:rPr>
        <w:t xml:space="preserve"> להדיא דאיסור טע"כ כיון דהוא ניכר ולא בטל</w:t>
      </w:r>
      <w:r w:rsidRPr="00D47CE7">
        <w:rPr>
          <w:rStyle w:val="affa"/>
          <w:rFonts w:hint="cs"/>
          <w:rtl/>
        </w:rPr>
        <w:t>]</w:t>
      </w:r>
      <w:r>
        <w:rPr>
          <w:rStyle w:val="afa"/>
          <w:rFonts w:hint="cs"/>
          <w:rtl/>
        </w:rPr>
        <w:t xml:space="preserve">. </w:t>
      </w:r>
      <w:r>
        <w:rPr>
          <w:rFonts w:hint="cs"/>
          <w:rtl/>
        </w:rPr>
        <w:t xml:space="preserve">[ועי' במה שביארו בזה </w:t>
      </w:r>
      <w:r w:rsidRPr="003B2840">
        <w:rPr>
          <w:rStyle w:val="af8"/>
          <w:rFonts w:hint="cs"/>
          <w:rtl/>
        </w:rPr>
        <w:t>הפרמ"ג</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Ref18314049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3B2840">
        <w:rPr>
          <w:rStyle w:val="af6"/>
          <w:rFonts w:eastAsia="Guttman Hodes"/>
          <w:rtl/>
        </w:rPr>
        <w:fldChar w:fldCharType="end"/>
      </w:r>
      <w:r>
        <w:rPr>
          <w:rStyle w:val="af8"/>
          <w:rFonts w:hint="cs"/>
          <w:rtl/>
        </w:rPr>
        <w:t xml:space="preserve"> </w:t>
      </w:r>
      <w:r w:rsidRPr="003B2840">
        <w:rPr>
          <w:rStyle w:val="af8"/>
          <w:rFonts w:hint="cs"/>
          <w:rtl/>
        </w:rPr>
        <w:t>והיד יהודה</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Ref16849850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3B2840">
        <w:rPr>
          <w:rStyle w:val="af6"/>
          <w:rFonts w:eastAsia="Guttman Hodes"/>
          <w:rtl/>
        </w:rPr>
        <w:fldChar w:fldCharType="end"/>
      </w:r>
      <w:r>
        <w:rPr>
          <w:rFonts w:hint="cs"/>
          <w:rtl/>
        </w:rPr>
        <w:t>].</w:t>
      </w:r>
      <w:bookmarkEnd w:id="9230"/>
      <w:r w:rsidRPr="00C1286F">
        <w:rPr>
          <w:rStyle w:val="afa"/>
          <w:rFonts w:hint="cs"/>
          <w:rtl/>
        </w:rPr>
        <w:t xml:space="preserve"> </w:t>
      </w:r>
    </w:p>
    <w:p w:rsidR="007809D6" w:rsidRPr="00D47CE7" w:rsidRDefault="007809D6" w:rsidP="007809D6">
      <w:pPr>
        <w:pStyle w:val="a2"/>
        <w:rPr>
          <w:rtl/>
        </w:rPr>
      </w:pPr>
      <w:bookmarkStart w:id="9231" w:name="_Toc18404201"/>
      <w:bookmarkStart w:id="9232" w:name="_Toc18481622"/>
      <w:r>
        <w:rPr>
          <w:rFonts w:hint="cs"/>
          <w:rtl/>
        </w:rPr>
        <w:t>דברי הגר"ח דמוכח ברשב"א ובר"ן דרק מחמת דין טע"כ ל"מ ביטול ובטעם פגום מהני ביטול</w:t>
      </w:r>
      <w:bookmarkEnd w:id="9231"/>
      <w:bookmarkEnd w:id="9232"/>
    </w:p>
    <w:p w:rsidR="00AD5801" w:rsidRDefault="007809D6" w:rsidP="009F44AF">
      <w:pPr>
        <w:pStyle w:val="a"/>
        <w:rPr>
          <w:rtl/>
        </w:rPr>
      </w:pPr>
      <w:r w:rsidRPr="00D47CE7">
        <w:rPr>
          <w:rFonts w:hint="cs"/>
          <w:rtl/>
        </w:rPr>
        <w:t xml:space="preserve">אלא כתב </w:t>
      </w:r>
      <w:r w:rsidRPr="00D47CE7">
        <w:rPr>
          <w:rStyle w:val="af8"/>
          <w:rFonts w:hint="cs"/>
          <w:rtl/>
        </w:rPr>
        <w:t xml:space="preserve">הגר"ח </w:t>
      </w:r>
      <w:r w:rsidRPr="00D47CE7">
        <w:rPr>
          <w:rFonts w:hint="cs"/>
          <w:rtl/>
        </w:rPr>
        <w:t xml:space="preserve">דמוכח מדברי </w:t>
      </w:r>
      <w:r w:rsidRPr="00D47CE7">
        <w:rPr>
          <w:rStyle w:val="af8"/>
          <w:rFonts w:hint="cs"/>
          <w:rtl/>
        </w:rPr>
        <w:t xml:space="preserve">הרשב"א והר"ן </w:t>
      </w:r>
      <w:r w:rsidRPr="00D47CE7">
        <w:rPr>
          <w:rFonts w:hint="cs"/>
          <w:rtl/>
        </w:rPr>
        <w:t xml:space="preserve">דהגדר בטעם כעיקר הוא שהוא דין בפנ"ע, ועיקר האיסור הוא מחמת הטעם, ואף שהאיסור צריך להתבטל ברוב, </w:t>
      </w:r>
      <w:r>
        <w:rPr>
          <w:rFonts w:hint="cs"/>
          <w:rtl/>
        </w:rPr>
        <w:t>כיון שיש בו את</w:t>
      </w:r>
      <w:r w:rsidRPr="00D47CE7">
        <w:rPr>
          <w:rFonts w:hint="cs"/>
          <w:rtl/>
        </w:rPr>
        <w:t xml:space="preserve"> דין טעם כעיקר אינו מתבטל</w:t>
      </w:r>
      <w:r>
        <w:rPr>
          <w:rFonts w:hint="cs"/>
          <w:rtl/>
        </w:rPr>
        <w:t>,</w:t>
      </w:r>
      <w:r w:rsidRPr="00D47CE7">
        <w:rPr>
          <w:rFonts w:hint="cs"/>
          <w:rtl/>
        </w:rPr>
        <w:t xml:space="preserve"> ולכן בנותן טעם לפגם שאין בו איסור טעם כעיקר, ממילא האיסור מתבטל ברוב ומותר, אף בפגום במקצת.</w:t>
      </w:r>
    </w:p>
    <w:p w:rsidR="007809D6" w:rsidRDefault="007809D6" w:rsidP="00E669F8">
      <w:pPr>
        <w:pStyle w:val="afd"/>
        <w:rPr>
          <w:rtl/>
        </w:rPr>
      </w:pPr>
      <w:bookmarkStart w:id="9233" w:name="_Toc18404202"/>
      <w:bookmarkStart w:id="9234" w:name="_Toc18481623"/>
      <w:r>
        <w:rPr>
          <w:rFonts w:hint="cs"/>
          <w:rtl/>
        </w:rPr>
        <w:t>ביאור הגר"ח בהיתר אינו ראוי לגר</w:t>
      </w:r>
      <w:bookmarkEnd w:id="9233"/>
      <w:bookmarkEnd w:id="9234"/>
    </w:p>
    <w:p w:rsidR="007809D6" w:rsidRPr="006B2B80" w:rsidRDefault="007809D6" w:rsidP="007809D6">
      <w:pPr>
        <w:pStyle w:val="1"/>
        <w:rPr>
          <w:rtl/>
        </w:rPr>
      </w:pPr>
      <w:bookmarkStart w:id="9235" w:name="_Toc18404203"/>
      <w:bookmarkStart w:id="9236" w:name="_Toc18481624"/>
      <w:r w:rsidRPr="006B2B80">
        <w:rPr>
          <w:rFonts w:hint="cs"/>
          <w:rtl/>
        </w:rPr>
        <w:t>חקירת הגר"ח בגדר ההיתר דנבילה שאינה ראויה לגר</w:t>
      </w:r>
      <w:bookmarkEnd w:id="9189"/>
      <w:bookmarkEnd w:id="9190"/>
      <w:bookmarkEnd w:id="9191"/>
      <w:bookmarkEnd w:id="9192"/>
      <w:bookmarkEnd w:id="9193"/>
      <w:bookmarkEnd w:id="9194"/>
      <w:bookmarkEnd w:id="9195"/>
      <w:bookmarkEnd w:id="9196"/>
      <w:bookmarkEnd w:id="9197"/>
      <w:bookmarkEnd w:id="9198"/>
      <w:bookmarkEnd w:id="9235"/>
      <w:bookmarkEnd w:id="9236"/>
      <w:r w:rsidRPr="006B2B80">
        <w:rPr>
          <w:rFonts w:hint="cs"/>
          <w:rtl/>
        </w:rPr>
        <w:t xml:space="preserve"> </w:t>
      </w:r>
    </w:p>
    <w:p w:rsidR="007809D6" w:rsidRPr="006B2B80" w:rsidRDefault="007809D6" w:rsidP="007809D6">
      <w:pPr>
        <w:pStyle w:val="a2"/>
        <w:rPr>
          <w:rtl/>
        </w:rPr>
      </w:pPr>
      <w:bookmarkStart w:id="9237" w:name="_Toc18397475"/>
      <w:bookmarkStart w:id="9238" w:name="_Toc18404204"/>
      <w:bookmarkStart w:id="9239" w:name="_Toc18481625"/>
      <w:r w:rsidRPr="006B2B80">
        <w:rPr>
          <w:rFonts w:hint="cs"/>
          <w:rtl/>
        </w:rPr>
        <w:t>הצד הא' בגר"ח דבאינה ראויה לגר פקע מהחפצא של הנבילה שם נבילה ולכן מותרת</w:t>
      </w:r>
      <w:bookmarkEnd w:id="9237"/>
      <w:bookmarkEnd w:id="9238"/>
      <w:bookmarkEnd w:id="9239"/>
    </w:p>
    <w:p w:rsidR="007809D6" w:rsidRPr="006B2B80" w:rsidRDefault="007809D6" w:rsidP="009F44AF">
      <w:pPr>
        <w:pStyle w:val="a"/>
        <w:rPr>
          <w:rtl/>
        </w:rPr>
      </w:pPr>
      <w:bookmarkStart w:id="9240" w:name="_Ref18397727"/>
      <w:r w:rsidRPr="006B2B80">
        <w:rPr>
          <w:rFonts w:hint="cs"/>
          <w:rtl/>
        </w:rPr>
        <w:t>כתב</w:t>
      </w:r>
      <w:r w:rsidRPr="006B2B80">
        <w:rPr>
          <w:rStyle w:val="af8"/>
          <w:rFonts w:hint="cs"/>
          <w:rtl/>
        </w:rPr>
        <w:t xml:space="preserve"> בחי' הגר"ח על הש"ס</w:t>
      </w:r>
      <w:r w:rsidRPr="006B2B80">
        <w:rPr>
          <w:rFonts w:hint="cs"/>
          <w:rtl/>
        </w:rPr>
        <w:t xml:space="preserve"> </w:t>
      </w:r>
      <w:r w:rsidRPr="006B2B80">
        <w:rPr>
          <w:rStyle w:val="af6"/>
          <w:rFonts w:eastAsia="Guttman Hodes" w:hint="cs"/>
          <w:rtl/>
        </w:rPr>
        <w:t xml:space="preserve">(נזיר נ. בענין נצל ד"ה והנה בע"ז) </w:t>
      </w:r>
      <w:r w:rsidRPr="006B2B80">
        <w:rPr>
          <w:rFonts w:hint="cs"/>
          <w:rtl/>
        </w:rPr>
        <w:t>דיש לחקור בגדר ההיתר בנבילה שאינה ראויה לגר, והצד הא</w:t>
      </w:r>
      <w:r>
        <w:rPr>
          <w:rFonts w:hint="cs"/>
          <w:rtl/>
        </w:rPr>
        <w:t>'</w:t>
      </w:r>
      <w:r w:rsidRPr="006B2B80">
        <w:rPr>
          <w:rFonts w:hint="cs"/>
          <w:rtl/>
        </w:rPr>
        <w:t xml:space="preserve"> הוא דכיון שאינה ראויה לאכילה, פקע מעצם החפצא של הנבילה שם נבילה. </w:t>
      </w:r>
      <w:r>
        <w:rPr>
          <w:rFonts w:hint="cs"/>
          <w:rtl/>
        </w:rPr>
        <w:t>[</w:t>
      </w:r>
      <w:r w:rsidRPr="006B2B80">
        <w:rPr>
          <w:rFonts w:hint="cs"/>
          <w:rtl/>
        </w:rPr>
        <w:t xml:space="preserve">ועי' בדברי </w:t>
      </w:r>
      <w:r w:rsidRPr="00050F3C">
        <w:rPr>
          <w:rStyle w:val="af8"/>
          <w:rFonts w:hint="cs"/>
          <w:rtl/>
        </w:rPr>
        <w:t>החוו"ד</w:t>
      </w:r>
      <w:r w:rsidRPr="006B2B80">
        <w:rPr>
          <w:rFonts w:hint="cs"/>
          <w:rtl/>
        </w:rPr>
        <w:t xml:space="preserve"> </w:t>
      </w:r>
      <w:r w:rsidRPr="00050F3C">
        <w:rPr>
          <w:rStyle w:val="af6"/>
          <w:rFonts w:eastAsia="Guttman Hodes" w:hint="cs"/>
          <w:rtl/>
        </w:rPr>
        <w:t xml:space="preserve">(עי' אות </w:t>
      </w:r>
      <w:bookmarkEnd w:id="9240"/>
      <w:r w:rsidRPr="00050F3C">
        <w:rPr>
          <w:rStyle w:val="af6"/>
          <w:rFonts w:eastAsia="Guttman Hodes"/>
          <w:rtl/>
        </w:rPr>
        <w:fldChar w:fldCharType="begin"/>
      </w:r>
      <w:r w:rsidRPr="00050F3C">
        <w:rPr>
          <w:rStyle w:val="af6"/>
          <w:rFonts w:eastAsia="Guttman Hodes"/>
          <w:rtl/>
        </w:rPr>
        <w:instrText xml:space="preserve"> </w:instrText>
      </w:r>
      <w:r w:rsidRPr="00050F3C">
        <w:rPr>
          <w:rStyle w:val="af6"/>
          <w:rFonts w:eastAsia="Guttman Hodes" w:hint="cs"/>
        </w:rPr>
        <w:instrText>REF</w:instrText>
      </w:r>
      <w:r w:rsidRPr="00050F3C">
        <w:rPr>
          <w:rStyle w:val="af6"/>
          <w:rFonts w:eastAsia="Guttman Hodes" w:hint="cs"/>
          <w:rtl/>
        </w:rPr>
        <w:instrText xml:space="preserve"> _</w:instrText>
      </w:r>
      <w:r w:rsidRPr="00050F3C">
        <w:rPr>
          <w:rStyle w:val="af6"/>
          <w:rFonts w:eastAsia="Guttman Hodes" w:hint="cs"/>
        </w:rPr>
        <w:instrText>Ref18400013 \r \h</w:instrText>
      </w:r>
      <w:r w:rsidRPr="00050F3C">
        <w:rPr>
          <w:rStyle w:val="af6"/>
          <w:rFonts w:eastAsia="Guttman Hodes"/>
          <w:rtl/>
        </w:rPr>
        <w:instrText xml:space="preserve"> </w:instrText>
      </w:r>
      <w:r w:rsidRPr="00050F3C">
        <w:rPr>
          <w:rStyle w:val="af6"/>
          <w:rFonts w:eastAsia="Guttman Hodes"/>
          <w:rtl/>
        </w:rPr>
      </w:r>
      <w:r w:rsidRPr="00050F3C">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050F3C">
        <w:rPr>
          <w:rStyle w:val="af6"/>
          <w:rFonts w:eastAsia="Guttman Hodes"/>
          <w:rtl/>
        </w:rPr>
        <w:fldChar w:fldCharType="end"/>
      </w:r>
      <w:r>
        <w:rPr>
          <w:rFonts w:hint="cs"/>
          <w:rtl/>
        </w:rPr>
        <w:t>].</w:t>
      </w:r>
      <w:r w:rsidRPr="006B2B80">
        <w:rPr>
          <w:rFonts w:hint="cs"/>
          <w:rtl/>
        </w:rPr>
        <w:t xml:space="preserve"> </w:t>
      </w:r>
    </w:p>
    <w:p w:rsidR="007809D6" w:rsidRPr="006B2B80" w:rsidRDefault="007809D6" w:rsidP="007809D6">
      <w:pPr>
        <w:pStyle w:val="a2"/>
      </w:pPr>
      <w:bookmarkStart w:id="9241" w:name="_Toc18397476"/>
      <w:bookmarkStart w:id="9242" w:name="_Toc18404205"/>
      <w:bookmarkStart w:id="9243" w:name="_Toc18481626"/>
      <w:r w:rsidRPr="006B2B80">
        <w:rPr>
          <w:rFonts w:hint="cs"/>
          <w:rtl/>
        </w:rPr>
        <w:t>הצד הב' בגר"ח דבאינה ראויה לגר מותר כיון דדבר שאינו ראוי לאכילה אין בו איסור אכילה</w:t>
      </w:r>
      <w:bookmarkEnd w:id="9241"/>
      <w:bookmarkEnd w:id="9242"/>
      <w:bookmarkEnd w:id="9243"/>
    </w:p>
    <w:p w:rsidR="007809D6" w:rsidRPr="006B2B80" w:rsidRDefault="007809D6" w:rsidP="009F44AF">
      <w:pPr>
        <w:pStyle w:val="a"/>
        <w:rPr>
          <w:rtl/>
        </w:rPr>
      </w:pPr>
      <w:bookmarkStart w:id="9244" w:name="_Ref18397795"/>
      <w:r w:rsidRPr="006B2B80">
        <w:rPr>
          <w:rFonts w:hint="cs"/>
          <w:rtl/>
        </w:rPr>
        <w:t>והצד הב' כתב</w:t>
      </w:r>
      <w:r w:rsidRPr="006B2B80">
        <w:rPr>
          <w:rStyle w:val="af8"/>
          <w:rFonts w:hint="cs"/>
          <w:rtl/>
        </w:rPr>
        <w:t xml:space="preserve"> בחי' הגר"ח על הש"ס</w:t>
      </w:r>
      <w:r w:rsidRPr="006B2B80">
        <w:rPr>
          <w:rFonts w:hint="cs"/>
          <w:rtl/>
        </w:rPr>
        <w:t xml:space="preserve"> דהיתר נבילה שאינה ראויה לגר, הוא דין באיסור אכילה, דאיסור שאינו ראוי לאכילה, אין בו איסור אכילה</w:t>
      </w:r>
      <w:r>
        <w:rPr>
          <w:rFonts w:hint="cs"/>
          <w:rtl/>
        </w:rPr>
        <w:t xml:space="preserve">, [ועי' במ"ש </w:t>
      </w:r>
      <w:r w:rsidRPr="0005322C">
        <w:rPr>
          <w:rStyle w:val="af8"/>
          <w:rFonts w:hint="cs"/>
          <w:rtl/>
        </w:rPr>
        <w:t>הגר"ח</w:t>
      </w:r>
      <w:r>
        <w:rPr>
          <w:rFonts w:hint="cs"/>
          <w:rtl/>
        </w:rPr>
        <w:t xml:space="preserve"> </w:t>
      </w:r>
      <w:r w:rsidRPr="0005322C">
        <w:rPr>
          <w:rStyle w:val="af6"/>
          <w:rFonts w:eastAsia="Guttman Hodes" w:hint="cs"/>
          <w:rtl/>
        </w:rPr>
        <w:t xml:space="preserve">(עי' אות </w:t>
      </w:r>
      <w:r w:rsidRPr="0005322C">
        <w:rPr>
          <w:rStyle w:val="af6"/>
          <w:rFonts w:eastAsia="Guttman Hodes"/>
          <w:rtl/>
        </w:rPr>
        <w:fldChar w:fldCharType="begin"/>
      </w:r>
      <w:r w:rsidRPr="0005322C">
        <w:rPr>
          <w:rStyle w:val="af6"/>
          <w:rFonts w:eastAsia="Guttman Hodes"/>
          <w:rtl/>
        </w:rPr>
        <w:instrText xml:space="preserve"> </w:instrText>
      </w:r>
      <w:r w:rsidRPr="0005322C">
        <w:rPr>
          <w:rStyle w:val="af6"/>
          <w:rFonts w:eastAsia="Guttman Hodes" w:hint="cs"/>
        </w:rPr>
        <w:instrText>REF</w:instrText>
      </w:r>
      <w:r w:rsidRPr="0005322C">
        <w:rPr>
          <w:rStyle w:val="af6"/>
          <w:rFonts w:eastAsia="Guttman Hodes" w:hint="cs"/>
          <w:rtl/>
        </w:rPr>
        <w:instrText xml:space="preserve"> _</w:instrText>
      </w:r>
      <w:r w:rsidRPr="0005322C">
        <w:rPr>
          <w:rStyle w:val="af6"/>
          <w:rFonts w:eastAsia="Guttman Hodes" w:hint="cs"/>
        </w:rPr>
        <w:instrText>Ref18404008 \r \h</w:instrText>
      </w:r>
      <w:r w:rsidRPr="0005322C">
        <w:rPr>
          <w:rStyle w:val="af6"/>
          <w:rFonts w:eastAsia="Guttman Hodes"/>
          <w:rtl/>
        </w:rPr>
        <w:instrText xml:space="preserve"> </w:instrText>
      </w:r>
      <w:r w:rsidRPr="0005322C">
        <w:rPr>
          <w:rStyle w:val="af6"/>
          <w:rFonts w:eastAsia="Guttman Hodes"/>
          <w:rtl/>
        </w:rPr>
      </w:r>
      <w:r w:rsidRPr="0005322C">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05322C">
        <w:rPr>
          <w:rStyle w:val="af6"/>
          <w:rFonts w:eastAsia="Guttman Hodes"/>
          <w:rtl/>
        </w:rPr>
        <w:fldChar w:fldCharType="end"/>
      </w:r>
      <w:r>
        <w:rPr>
          <w:rFonts w:hint="cs"/>
          <w:rtl/>
        </w:rPr>
        <w:t xml:space="preserve"> דכן מוכח מדברי </w:t>
      </w:r>
      <w:r w:rsidRPr="0005322C">
        <w:rPr>
          <w:rStyle w:val="af8"/>
          <w:rFonts w:hint="cs"/>
          <w:rtl/>
        </w:rPr>
        <w:t>הרשב"א והר"ן</w:t>
      </w:r>
      <w:r>
        <w:rPr>
          <w:rFonts w:hint="cs"/>
          <w:rtl/>
        </w:rPr>
        <w:t>]</w:t>
      </w:r>
      <w:r w:rsidRPr="006B2B80">
        <w:rPr>
          <w:rFonts w:hint="cs"/>
          <w:rtl/>
        </w:rPr>
        <w:t>.</w:t>
      </w:r>
      <w:bookmarkEnd w:id="9244"/>
    </w:p>
    <w:p w:rsidR="007809D6" w:rsidRPr="006B2B80" w:rsidRDefault="007809D6" w:rsidP="007809D6">
      <w:pPr>
        <w:pStyle w:val="1"/>
        <w:rPr>
          <w:rtl/>
        </w:rPr>
      </w:pPr>
      <w:bookmarkStart w:id="9245" w:name="_Toc18397477"/>
      <w:bookmarkStart w:id="9246" w:name="_Toc18404206"/>
      <w:bookmarkStart w:id="9247" w:name="_Toc18481627"/>
      <w:r w:rsidRPr="006B2B80">
        <w:rPr>
          <w:rFonts w:hint="cs"/>
          <w:rtl/>
        </w:rPr>
        <w:t>דברי הגר"ח</w:t>
      </w:r>
      <w:bookmarkEnd w:id="9245"/>
      <w:bookmarkEnd w:id="9246"/>
      <w:r>
        <w:rPr>
          <w:rFonts w:hint="cs"/>
          <w:rtl/>
        </w:rPr>
        <w:t xml:space="preserve"> דהיתר נבילה ודין טע"כ נאמרו רק בדין אכילה</w:t>
      </w:r>
      <w:bookmarkEnd w:id="9247"/>
    </w:p>
    <w:p w:rsidR="007809D6" w:rsidRPr="006B2B80" w:rsidRDefault="007809D6" w:rsidP="007809D6">
      <w:pPr>
        <w:pStyle w:val="a2"/>
        <w:rPr>
          <w:rtl/>
        </w:rPr>
      </w:pPr>
      <w:bookmarkStart w:id="9248" w:name="_Toc18481628"/>
      <w:r>
        <w:rPr>
          <w:rFonts w:hint="cs"/>
          <w:rtl/>
        </w:rPr>
        <w:t>דברי הגר"ח דטע"כ הוא דין חדש שיש בו חלות איסור וממילא ל"מ בו ביטול ברוב</w:t>
      </w:r>
      <w:bookmarkEnd w:id="9248"/>
    </w:p>
    <w:p w:rsidR="007809D6" w:rsidRPr="006B2B80" w:rsidRDefault="007809D6" w:rsidP="009F44AF">
      <w:pPr>
        <w:pStyle w:val="a"/>
        <w:rPr>
          <w:rStyle w:val="afa"/>
          <w:rtl/>
        </w:rPr>
      </w:pPr>
      <w:bookmarkStart w:id="9249" w:name="_Ref18407484"/>
      <w:r w:rsidRPr="006B2B80">
        <w:rPr>
          <w:rFonts w:hint="cs"/>
          <w:rtl/>
        </w:rPr>
        <w:t xml:space="preserve">וע"ע בדברי </w:t>
      </w:r>
      <w:r w:rsidRPr="006B2B80">
        <w:rPr>
          <w:rStyle w:val="af8"/>
          <w:rFonts w:hint="cs"/>
          <w:rtl/>
        </w:rPr>
        <w:t>הגר"ח</w:t>
      </w:r>
      <w:r w:rsidRPr="006B2B80">
        <w:rPr>
          <w:rFonts w:hint="cs"/>
          <w:rtl/>
        </w:rPr>
        <w:t xml:space="preserve"> </w:t>
      </w:r>
      <w:r w:rsidRPr="006B2B80">
        <w:rPr>
          <w:rStyle w:val="af6"/>
          <w:rFonts w:eastAsia="Guttman Hodes" w:hint="cs"/>
          <w:rtl/>
        </w:rPr>
        <w:t>(מאכ"א פט"ו ה"א ד"ה והנה בפי"ד)</w:t>
      </w:r>
      <w:r w:rsidRPr="006B2B80">
        <w:rPr>
          <w:rFonts w:hint="cs"/>
          <w:rtl/>
        </w:rPr>
        <w:t xml:space="preserve"> ד</w:t>
      </w:r>
      <w:r>
        <w:rPr>
          <w:rFonts w:hint="cs"/>
          <w:rtl/>
        </w:rPr>
        <w:t xml:space="preserve">כתב בדעת </w:t>
      </w:r>
      <w:r w:rsidRPr="006B2B80">
        <w:rPr>
          <w:rStyle w:val="af8"/>
          <w:rFonts w:hint="cs"/>
          <w:rtl/>
        </w:rPr>
        <w:t xml:space="preserve">הרמב"ם </w:t>
      </w:r>
      <w:r w:rsidRPr="006B2B80">
        <w:rPr>
          <w:rStyle w:val="af6"/>
          <w:rFonts w:eastAsia="Guttman Hodes" w:hint="cs"/>
          <w:rtl/>
        </w:rPr>
        <w:t>(מאכ"א פט"ו ה"א</w:t>
      </w:r>
      <w:r>
        <w:rPr>
          <w:rStyle w:val="af6"/>
          <w:rFonts w:eastAsia="Guttman Hodes" w:hint="cs"/>
          <w:rtl/>
        </w:rPr>
        <w:t>]</w:t>
      </w:r>
      <w:r w:rsidRPr="006B2B80">
        <w:rPr>
          <w:rStyle w:val="af6"/>
          <w:rFonts w:eastAsia="Guttman Hodes" w:hint="cs"/>
          <w:rtl/>
        </w:rPr>
        <w:t xml:space="preserve"> </w:t>
      </w:r>
      <w:r w:rsidRPr="006B2B80">
        <w:rPr>
          <w:rFonts w:hint="cs"/>
          <w:rtl/>
        </w:rPr>
        <w:t>דאף דבדין טעם כעיקר כלול שהטעם אינו מתבטל ברוב, מ"מ עיקר דין טעם כעיקר לא בא לומר שלא מהני בטעם ביטול ברוב, דכשיש טעם פקע דין ביטול ברוב</w:t>
      </w:r>
      <w:r>
        <w:rPr>
          <w:rFonts w:hint="cs"/>
          <w:rtl/>
        </w:rPr>
        <w:t xml:space="preserve">, </w:t>
      </w:r>
      <w:r w:rsidRPr="006B2B80">
        <w:rPr>
          <w:rFonts w:hint="cs"/>
          <w:rtl/>
        </w:rPr>
        <w:t xml:space="preserve">אלא דהילפותא בגמ' בפסחים </w:t>
      </w:r>
      <w:r w:rsidRPr="006B2B80">
        <w:rPr>
          <w:rStyle w:val="af6"/>
          <w:rFonts w:eastAsia="Guttman Hodes" w:hint="cs"/>
          <w:rtl/>
        </w:rPr>
        <w:t>(מד.)</w:t>
      </w:r>
      <w:r w:rsidRPr="006B2B80">
        <w:rPr>
          <w:rFonts w:hint="cs"/>
          <w:rtl/>
        </w:rPr>
        <w:t xml:space="preserve"> ממשרת דטעם כעיקר אסור, היינו דטעם כעיקר הוא דין חדש שיש בו חלות איסור בפנ"ע, ואחר שיש בו חלות איסור, ממילא אינו מתבטל ברוב</w:t>
      </w:r>
      <w:r>
        <w:rPr>
          <w:rFonts w:hint="cs"/>
          <w:rtl/>
        </w:rPr>
        <w:t xml:space="preserve">, ועי' במה שחקר </w:t>
      </w:r>
      <w:r w:rsidRPr="0063198B">
        <w:rPr>
          <w:rStyle w:val="af8"/>
          <w:rFonts w:hint="cs"/>
          <w:rtl/>
        </w:rPr>
        <w:t>הגר"ח</w:t>
      </w:r>
      <w:r>
        <w:rPr>
          <w:rFonts w:hint="cs"/>
          <w:rtl/>
        </w:rPr>
        <w:t xml:space="preserve"> </w:t>
      </w:r>
      <w:r w:rsidRPr="0063198B">
        <w:rPr>
          <w:rStyle w:val="af6"/>
          <w:rFonts w:eastAsia="Guttman Hodes" w:hint="cs"/>
          <w:rtl/>
        </w:rPr>
        <w:t xml:space="preserve">(עי' אות </w:t>
      </w:r>
      <w:r w:rsidRPr="0063198B">
        <w:rPr>
          <w:rStyle w:val="af6"/>
          <w:rFonts w:eastAsia="Guttman Hodes"/>
          <w:rtl/>
        </w:rPr>
        <w:fldChar w:fldCharType="begin"/>
      </w:r>
      <w:r w:rsidRPr="0063198B">
        <w:rPr>
          <w:rStyle w:val="af6"/>
          <w:rFonts w:eastAsia="Guttman Hodes"/>
          <w:rtl/>
        </w:rPr>
        <w:instrText xml:space="preserve"> </w:instrText>
      </w:r>
      <w:r w:rsidRPr="0063198B">
        <w:rPr>
          <w:rStyle w:val="af6"/>
          <w:rFonts w:eastAsia="Guttman Hodes" w:hint="cs"/>
        </w:rPr>
        <w:instrText>REF</w:instrText>
      </w:r>
      <w:r w:rsidRPr="0063198B">
        <w:rPr>
          <w:rStyle w:val="af6"/>
          <w:rFonts w:eastAsia="Guttman Hodes" w:hint="cs"/>
          <w:rtl/>
        </w:rPr>
        <w:instrText xml:space="preserve"> _</w:instrText>
      </w:r>
      <w:r w:rsidRPr="0063198B">
        <w:rPr>
          <w:rStyle w:val="af6"/>
          <w:rFonts w:eastAsia="Guttman Hodes" w:hint="cs"/>
        </w:rPr>
        <w:instrText>Ref12896046 \r \h</w:instrText>
      </w:r>
      <w:r w:rsidRPr="0063198B">
        <w:rPr>
          <w:rStyle w:val="af6"/>
          <w:rFonts w:eastAsia="Guttman Hodes"/>
          <w:rtl/>
        </w:rPr>
        <w:instrText xml:space="preserve"> </w:instrText>
      </w:r>
      <w:r w:rsidRPr="0063198B">
        <w:rPr>
          <w:rStyle w:val="af6"/>
          <w:rFonts w:eastAsia="Guttman Hodes"/>
          <w:rtl/>
        </w:rPr>
      </w:r>
      <w:r w:rsidRPr="0063198B">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63198B">
        <w:rPr>
          <w:rStyle w:val="af6"/>
          <w:rFonts w:eastAsia="Guttman Hodes"/>
          <w:rtl/>
        </w:rPr>
        <w:fldChar w:fldCharType="end"/>
      </w:r>
      <w:r>
        <w:rPr>
          <w:rFonts w:hint="cs"/>
          <w:rtl/>
        </w:rPr>
        <w:t xml:space="preserve"> בזה</w:t>
      </w:r>
      <w:r w:rsidRPr="006B2B80">
        <w:rPr>
          <w:rFonts w:hint="cs"/>
          <w:rtl/>
        </w:rPr>
        <w:t>.</w:t>
      </w:r>
      <w:bookmarkEnd w:id="9249"/>
    </w:p>
    <w:p w:rsidR="007809D6" w:rsidRPr="006B2B80" w:rsidRDefault="007809D6" w:rsidP="007809D6">
      <w:pPr>
        <w:pStyle w:val="a2"/>
        <w:rPr>
          <w:rtl/>
        </w:rPr>
      </w:pPr>
      <w:bookmarkStart w:id="9250" w:name="_Toc18481629"/>
      <w:r>
        <w:rPr>
          <w:rFonts w:hint="cs"/>
          <w:rtl/>
        </w:rPr>
        <w:t>דברי הגר"ח דהיתר נבילה שאינה ראויה לגר נאמר רק לענין אכילה ומותר רק באיסורי אכילה</w:t>
      </w:r>
      <w:bookmarkEnd w:id="9250"/>
    </w:p>
    <w:p w:rsidR="007809D6" w:rsidRPr="000E6A7F" w:rsidRDefault="007809D6" w:rsidP="009F44AF">
      <w:pPr>
        <w:pStyle w:val="a"/>
      </w:pPr>
      <w:r w:rsidRPr="006B2B80">
        <w:rPr>
          <w:rFonts w:hint="cs"/>
          <w:rtl/>
        </w:rPr>
        <w:t>וע</w:t>
      </w:r>
      <w:r>
        <w:rPr>
          <w:rFonts w:hint="cs"/>
          <w:rtl/>
        </w:rPr>
        <w:t>יי"ש</w:t>
      </w:r>
      <w:r w:rsidRPr="006B2B80">
        <w:rPr>
          <w:rFonts w:hint="cs"/>
          <w:rtl/>
        </w:rPr>
        <w:t xml:space="preserve"> בדברי </w:t>
      </w:r>
      <w:r w:rsidRPr="006B2B80">
        <w:rPr>
          <w:rStyle w:val="af8"/>
          <w:rFonts w:hint="cs"/>
          <w:rtl/>
        </w:rPr>
        <w:t>הגר"ח</w:t>
      </w:r>
      <w:r w:rsidRPr="006B2B80">
        <w:rPr>
          <w:rFonts w:hint="cs"/>
          <w:rtl/>
        </w:rPr>
        <w:t xml:space="preserve"> דהאריך להוכיח בדעת </w:t>
      </w:r>
      <w:r w:rsidRPr="006B2B80">
        <w:rPr>
          <w:rStyle w:val="af8"/>
          <w:rFonts w:hint="cs"/>
          <w:rtl/>
        </w:rPr>
        <w:t>הרמב"ם</w:t>
      </w:r>
      <w:r w:rsidRPr="006B2B80">
        <w:rPr>
          <w:rFonts w:hint="cs"/>
          <w:rtl/>
        </w:rPr>
        <w:t xml:space="preserve"> </w:t>
      </w:r>
      <w:r w:rsidRPr="006B2B80">
        <w:rPr>
          <w:rStyle w:val="af6"/>
          <w:rFonts w:eastAsia="Guttman Hodes" w:hint="cs"/>
          <w:rtl/>
        </w:rPr>
        <w:t>(מאכ"א פי"ד הי</w:t>
      </w:r>
      <w:r w:rsidRPr="00395E6F">
        <w:rPr>
          <w:rStyle w:val="af6"/>
          <w:rFonts w:eastAsia="Guttman Hodes" w:hint="cs"/>
          <w:rtl/>
        </w:rPr>
        <w:t>"א</w:t>
      </w:r>
      <w:r>
        <w:rPr>
          <w:rStyle w:val="af6"/>
          <w:rFonts w:eastAsia="Guttman Hodes" w:hint="cs"/>
          <w:rtl/>
        </w:rPr>
        <w:t>, הובא לקמן סימן י"ג אות נ"ג)</w:t>
      </w:r>
      <w:r w:rsidRPr="00467C87">
        <w:rPr>
          <w:rtl/>
        </w:rPr>
        <w:t xml:space="preserve"> </w:t>
      </w:r>
      <w:r>
        <w:rPr>
          <w:rFonts w:hint="cs"/>
          <w:rtl/>
        </w:rPr>
        <w:t>דהא דנבילה שאינה ראויה לגר אינה קרויה נבילה, נאמר רק לענין חלות דין אכילה, דאף דההיתר באינה ראויה לגר הוא בעצם החפצא של האיסור, מ"מ יסוד ההיתר הוא מחמת שאינו ראוי לאכילה, דבמקום שיש איסור אכילה, נאמר דנבילה שאינה ראויה לאכילה,</w:t>
      </w:r>
      <w:r w:rsidRPr="001D4641">
        <w:rPr>
          <w:rFonts w:hint="cs"/>
          <w:rtl/>
        </w:rPr>
        <w:t xml:space="preserve"> </w:t>
      </w:r>
      <w:r>
        <w:rPr>
          <w:rFonts w:hint="cs"/>
          <w:rtl/>
        </w:rPr>
        <w:t xml:space="preserve">אינה קרויה נבילה דאינה אסורה באכילה, אבל לענין איסורים שאינם מדין אכילה, </w:t>
      </w:r>
      <w:r w:rsidRPr="0097782B">
        <w:rPr>
          <w:rStyle w:val="afa"/>
          <w:rFonts w:hint="cs"/>
          <w:rtl/>
        </w:rPr>
        <w:t>[כבשר בחלב וכלאים],</w:t>
      </w:r>
      <w:r>
        <w:rPr>
          <w:rFonts w:hint="cs"/>
          <w:rtl/>
        </w:rPr>
        <w:t xml:space="preserve"> לא נאמר ההיתר בנבילה שאינה ראויה לגר. </w:t>
      </w:r>
      <w:r w:rsidRPr="000E6A7F">
        <w:rPr>
          <w:rFonts w:hint="cs"/>
          <w:rtl/>
        </w:rPr>
        <w:t>[</w:t>
      </w:r>
      <w:r>
        <w:rPr>
          <w:rFonts w:hint="cs"/>
          <w:rtl/>
        </w:rPr>
        <w:t xml:space="preserve">ועי' במה שביאר </w:t>
      </w:r>
      <w:r w:rsidRPr="00D54BBF">
        <w:rPr>
          <w:rStyle w:val="af8"/>
          <w:rFonts w:hint="cs"/>
          <w:rtl/>
        </w:rPr>
        <w:t>הגר"ח</w:t>
      </w:r>
      <w:r>
        <w:rPr>
          <w:rFonts w:hint="cs"/>
          <w:rtl/>
        </w:rPr>
        <w:t xml:space="preserve"> </w:t>
      </w:r>
      <w:r w:rsidRPr="00D54BBF">
        <w:rPr>
          <w:rStyle w:val="af6"/>
          <w:rFonts w:eastAsia="Guttman Hodes" w:hint="cs"/>
          <w:rtl/>
        </w:rPr>
        <w:t xml:space="preserve">(הובא לקמן סימן י"ג אות צ) </w:t>
      </w:r>
      <w:r>
        <w:rPr>
          <w:rFonts w:hint="cs"/>
          <w:rtl/>
        </w:rPr>
        <w:t>ב</w:t>
      </w:r>
      <w:r w:rsidRPr="000E6A7F">
        <w:rPr>
          <w:rFonts w:hint="cs"/>
          <w:rtl/>
        </w:rPr>
        <w:t xml:space="preserve">דברי </w:t>
      </w:r>
      <w:r w:rsidRPr="00D54BBF">
        <w:rPr>
          <w:rStyle w:val="af8"/>
          <w:rFonts w:hint="cs"/>
          <w:rtl/>
        </w:rPr>
        <w:t>הרמב"ם</w:t>
      </w:r>
      <w:r w:rsidRPr="000E6A7F">
        <w:rPr>
          <w:rFonts w:hint="cs"/>
          <w:rtl/>
        </w:rPr>
        <w:t xml:space="preserve"> באריכות].</w:t>
      </w:r>
    </w:p>
    <w:p w:rsidR="007809D6" w:rsidRPr="0077211E" w:rsidRDefault="007809D6" w:rsidP="007809D6">
      <w:pPr>
        <w:pStyle w:val="a2"/>
        <w:rPr>
          <w:rtl/>
        </w:rPr>
      </w:pPr>
      <w:bookmarkStart w:id="9251" w:name="_Toc18481630"/>
      <w:r>
        <w:rPr>
          <w:rFonts w:hint="cs"/>
          <w:rtl/>
        </w:rPr>
        <w:t>דברי הגר"ח דדין טע"כ נאמר רק לענין אכילה ובמקום שאינו אוכל אין דין טע"כ</w:t>
      </w:r>
      <w:bookmarkEnd w:id="9251"/>
    </w:p>
    <w:p w:rsidR="007809D6" w:rsidRDefault="007809D6" w:rsidP="009F44AF">
      <w:pPr>
        <w:pStyle w:val="a"/>
        <w:rPr>
          <w:rtl/>
        </w:rPr>
      </w:pPr>
      <w:r>
        <w:rPr>
          <w:rFonts w:hint="cs"/>
          <w:rtl/>
        </w:rPr>
        <w:t>ועוד כתב</w:t>
      </w:r>
      <w:r w:rsidRPr="00D47CE7">
        <w:rPr>
          <w:rFonts w:hint="cs"/>
          <w:rtl/>
        </w:rPr>
        <w:t xml:space="preserve"> </w:t>
      </w:r>
      <w:r w:rsidRPr="00D47CE7">
        <w:rPr>
          <w:rStyle w:val="af8"/>
          <w:rFonts w:hint="cs"/>
          <w:rtl/>
        </w:rPr>
        <w:t>הגר"ח</w:t>
      </w:r>
      <w:r w:rsidRPr="00D47CE7">
        <w:rPr>
          <w:rFonts w:hint="cs"/>
          <w:rtl/>
        </w:rPr>
        <w:t xml:space="preserve"> דכל דין טעם כעיקר שייך רק לענין איסור אכילה, ולא לשאר דינים, ובמקום שפקע מהחפצא של האיסור הדין שאוסרו באכילה,</w:t>
      </w:r>
      <w:r>
        <w:rPr>
          <w:rFonts w:hint="cs"/>
          <w:rtl/>
        </w:rPr>
        <w:t xml:space="preserve"> </w:t>
      </w:r>
      <w:r w:rsidRPr="00D47CE7">
        <w:rPr>
          <w:rFonts w:hint="cs"/>
          <w:rtl/>
        </w:rPr>
        <w:t>ממילא לא שייך בו דין טעם כעיקר</w:t>
      </w:r>
      <w:r>
        <w:rPr>
          <w:rFonts w:hint="cs"/>
          <w:rtl/>
        </w:rPr>
        <w:t xml:space="preserve">, </w:t>
      </w:r>
      <w:r w:rsidRPr="00D47CE7">
        <w:rPr>
          <w:rFonts w:hint="cs"/>
          <w:rtl/>
        </w:rPr>
        <w:t>והוסיף</w:t>
      </w:r>
      <w:r w:rsidRPr="00D47CE7">
        <w:rPr>
          <w:rStyle w:val="af8"/>
          <w:rFonts w:hint="cs"/>
          <w:rtl/>
        </w:rPr>
        <w:t xml:space="preserve"> הגר"ח</w:t>
      </w:r>
      <w:r w:rsidRPr="00D47CE7">
        <w:rPr>
          <w:rFonts w:hint="cs"/>
          <w:rtl/>
        </w:rPr>
        <w:t xml:space="preserve"> </w:t>
      </w:r>
      <w:r w:rsidRPr="00D47CE7">
        <w:rPr>
          <w:rStyle w:val="af6"/>
          <w:rFonts w:eastAsia="Guttman Hodes" w:hint="cs"/>
          <w:rtl/>
        </w:rPr>
        <w:t>(מאכ"א פט"ו ה"א ד"ה ונראה עוד)</w:t>
      </w:r>
      <w:r w:rsidRPr="00D47CE7">
        <w:rPr>
          <w:rFonts w:hint="cs"/>
          <w:rtl/>
        </w:rPr>
        <w:t xml:space="preserve"> לבאר דלא רק דכל דין טעם כעיקר הוא איסור בדין אוכל, וכל שאין לו שם אוכל לא נאמרה בו האזהרה של טעם כעיקר, אלא כל חלות הדין של טעם כעיקר, הוא תלוי בדין האוכל, וכל שאינו ראוי לאכילה, לא שייך בו חלות הדין של טעם כעיקר כלל.</w:t>
      </w:r>
    </w:p>
    <w:p w:rsidR="007809D6" w:rsidRPr="00D47CE7" w:rsidRDefault="007809D6" w:rsidP="007809D6">
      <w:pPr>
        <w:pStyle w:val="a2"/>
        <w:rPr>
          <w:rtl/>
        </w:rPr>
      </w:pPr>
      <w:bookmarkStart w:id="9252" w:name="_Toc18481631"/>
      <w:r>
        <w:rPr>
          <w:rFonts w:hint="cs"/>
          <w:rtl/>
        </w:rPr>
        <w:t>דברי הגר"ח דאי היתר אינו ראוי לגר הוא היתר בחפצא של האיסור פגום במקצת אסור</w:t>
      </w:r>
      <w:bookmarkEnd w:id="9252"/>
      <w:r>
        <w:rPr>
          <w:rFonts w:hint="cs"/>
          <w:rtl/>
        </w:rPr>
        <w:t xml:space="preserve"> </w:t>
      </w:r>
    </w:p>
    <w:p w:rsidR="007809D6" w:rsidRDefault="007809D6" w:rsidP="009F44AF">
      <w:pPr>
        <w:pStyle w:val="a"/>
        <w:rPr>
          <w:rtl/>
        </w:rPr>
      </w:pPr>
      <w:bookmarkStart w:id="9253" w:name="_Ref17460753"/>
      <w:r w:rsidRPr="00D47CE7">
        <w:rPr>
          <w:rFonts w:hint="cs"/>
          <w:rtl/>
        </w:rPr>
        <w:t>ו</w:t>
      </w:r>
      <w:r>
        <w:rPr>
          <w:rFonts w:hint="cs"/>
          <w:rtl/>
        </w:rPr>
        <w:t>הביא</w:t>
      </w:r>
      <w:r w:rsidRPr="00D47CE7">
        <w:rPr>
          <w:rFonts w:hint="cs"/>
          <w:rtl/>
        </w:rPr>
        <w:t xml:space="preserve"> </w:t>
      </w:r>
      <w:r w:rsidRPr="00D47CE7">
        <w:rPr>
          <w:rStyle w:val="af8"/>
          <w:rFonts w:hint="cs"/>
          <w:rtl/>
        </w:rPr>
        <w:t>הגר"ח</w:t>
      </w:r>
      <w:r w:rsidRPr="00D47CE7">
        <w:rPr>
          <w:rFonts w:hint="cs"/>
          <w:rtl/>
        </w:rPr>
        <w:t xml:space="preserve"> </w:t>
      </w:r>
      <w:r w:rsidRPr="00D47CE7">
        <w:rPr>
          <w:rStyle w:val="af6"/>
          <w:rFonts w:eastAsia="Guttman Hodes" w:hint="cs"/>
          <w:rtl/>
        </w:rPr>
        <w:t>(מאכ"א פט"ו ה"א ד"ה ונראה דכן)</w:t>
      </w:r>
      <w:r>
        <w:rPr>
          <w:rFonts w:hint="cs"/>
          <w:rtl/>
        </w:rPr>
        <w:t xml:space="preserve"> ראיה דדין טעם כעיקר שייך רק לענין איסור אכילה, </w:t>
      </w:r>
      <w:r w:rsidRPr="00D47CE7">
        <w:rPr>
          <w:rFonts w:hint="cs"/>
          <w:rtl/>
        </w:rPr>
        <w:t xml:space="preserve"> מדברי </w:t>
      </w:r>
      <w:r w:rsidRPr="00D47CE7">
        <w:rPr>
          <w:rStyle w:val="af8"/>
          <w:rFonts w:hint="cs"/>
          <w:rtl/>
        </w:rPr>
        <w:t xml:space="preserve">הרשב"א והר"ן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Ref16157154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D47CE7">
        <w:rPr>
          <w:rStyle w:val="af6"/>
          <w:rFonts w:eastAsia="Guttman Hodes"/>
          <w:rtl/>
        </w:rPr>
        <w:fldChar w:fldCharType="end"/>
      </w:r>
      <w:r w:rsidRPr="00D47CE7">
        <w:rPr>
          <w:rFonts w:hint="cs"/>
          <w:rtl/>
        </w:rPr>
        <w:t xml:space="preserve"> דביארו דהא </w:t>
      </w:r>
      <w:r w:rsidRPr="00D47CE7">
        <w:rPr>
          <w:rFonts w:hint="cs"/>
          <w:rtl/>
        </w:rPr>
        <w:lastRenderedPageBreak/>
        <w:t xml:space="preserve">דילפינן להתיר נותן טעם לפגם אף בפגום במקצת, מנבילה שאינה ראויה לגר, </w:t>
      </w:r>
      <w:r>
        <w:rPr>
          <w:rFonts w:hint="cs"/>
          <w:rtl/>
        </w:rPr>
        <w:t>דבאיסור</w:t>
      </w:r>
      <w:r w:rsidRPr="00D47CE7">
        <w:rPr>
          <w:rFonts w:hint="cs"/>
          <w:rtl/>
        </w:rPr>
        <w:t xml:space="preserve"> בתערובת כל שהאיסור פוגם לא חשיב כנותן טעם, ו</w:t>
      </w:r>
      <w:r>
        <w:rPr>
          <w:rFonts w:hint="cs"/>
          <w:rtl/>
        </w:rPr>
        <w:t xml:space="preserve">לכן </w:t>
      </w:r>
      <w:r w:rsidRPr="00D47CE7">
        <w:rPr>
          <w:rFonts w:hint="cs"/>
          <w:rtl/>
        </w:rPr>
        <w:t xml:space="preserve">מותר אף בפגום במקצת, וכתב </w:t>
      </w:r>
      <w:r w:rsidRPr="00D47CE7">
        <w:rPr>
          <w:rStyle w:val="af8"/>
          <w:rFonts w:hint="cs"/>
          <w:rtl/>
        </w:rPr>
        <w:t>הגר"ח</w:t>
      </w:r>
      <w:r w:rsidRPr="00D47CE7">
        <w:rPr>
          <w:rFonts w:hint="cs"/>
          <w:rtl/>
        </w:rPr>
        <w:t xml:space="preserve"> </w:t>
      </w:r>
      <w:r>
        <w:rPr>
          <w:rFonts w:hint="cs"/>
          <w:rtl/>
        </w:rPr>
        <w:t>ד</w:t>
      </w:r>
      <w:r w:rsidRPr="00D47CE7">
        <w:rPr>
          <w:rFonts w:hint="cs"/>
          <w:rtl/>
        </w:rPr>
        <w:t>אי נימא דההיתר דאינה ראויה לגר, נאמר על עצם החפצא של האיסור שהתערב בתערובת,</w:t>
      </w:r>
      <w:r>
        <w:rPr>
          <w:rFonts w:hint="cs"/>
          <w:rtl/>
        </w:rPr>
        <w:t xml:space="preserve"> </w:t>
      </w:r>
      <w:r w:rsidRPr="00D47CE7">
        <w:rPr>
          <w:rFonts w:hint="cs"/>
          <w:rtl/>
        </w:rPr>
        <w:t xml:space="preserve">א"א לומר כתירוץ </w:t>
      </w:r>
      <w:r w:rsidRPr="00D47CE7">
        <w:rPr>
          <w:rStyle w:val="af8"/>
          <w:rFonts w:hint="cs"/>
          <w:rtl/>
        </w:rPr>
        <w:t>הרשב"א והר"ן</w:t>
      </w:r>
      <w:r w:rsidRPr="00D47CE7">
        <w:rPr>
          <w:rFonts w:hint="cs"/>
          <w:rtl/>
        </w:rPr>
        <w:t xml:space="preserve"> דהא בפגום במקצת שהוא ראוי לאכילה, לא פקע שם האיסור ממנו, ולא שייך לומר דהוא בכלל ההיתר דאינה ראויה לגר, וכיון שיש עליו שם איסור ממילא אעפ"י שהוא פגום במקצת, הוא אוסר את כל התערובת מדין טעם כעיקר</w:t>
      </w:r>
      <w:r>
        <w:rPr>
          <w:rFonts w:hint="cs"/>
          <w:rtl/>
        </w:rPr>
        <w:t>.</w:t>
      </w:r>
      <w:r w:rsidRPr="00D47CE7">
        <w:rPr>
          <w:rFonts w:hint="cs"/>
          <w:rtl/>
        </w:rPr>
        <w:t xml:space="preserve"> </w:t>
      </w:r>
    </w:p>
    <w:p w:rsidR="007809D6" w:rsidRPr="006B2B80" w:rsidRDefault="007809D6" w:rsidP="007809D6">
      <w:pPr>
        <w:pStyle w:val="a2"/>
        <w:rPr>
          <w:rtl/>
        </w:rPr>
      </w:pPr>
      <w:bookmarkStart w:id="9254" w:name="_Toc18397472"/>
      <w:bookmarkStart w:id="9255" w:name="_Toc18404207"/>
      <w:bookmarkStart w:id="9256" w:name="_Toc18481632"/>
      <w:r w:rsidRPr="006B2B80">
        <w:rPr>
          <w:rFonts w:hint="cs"/>
          <w:rtl/>
        </w:rPr>
        <w:t>דברי הגר"ח דאי בנבילה פקע ממנה שם נבילה א"א להתיר בפגום במקצת דלא פקע האיסור</w:t>
      </w:r>
      <w:bookmarkEnd w:id="9254"/>
      <w:bookmarkEnd w:id="9255"/>
      <w:bookmarkEnd w:id="9256"/>
    </w:p>
    <w:p w:rsidR="007809D6" w:rsidRPr="006B2B80" w:rsidRDefault="007809D6" w:rsidP="009F44AF">
      <w:pPr>
        <w:pStyle w:val="a"/>
        <w:rPr>
          <w:rtl/>
        </w:rPr>
      </w:pPr>
      <w:r w:rsidRPr="006B2B80">
        <w:rPr>
          <w:rFonts w:hint="cs"/>
          <w:rtl/>
        </w:rPr>
        <w:t>ו</w:t>
      </w:r>
      <w:r>
        <w:rPr>
          <w:rFonts w:hint="cs"/>
          <w:rtl/>
        </w:rPr>
        <w:t xml:space="preserve">כעי"ז </w:t>
      </w:r>
      <w:r w:rsidRPr="006B2B80">
        <w:rPr>
          <w:rFonts w:hint="cs"/>
          <w:rtl/>
        </w:rPr>
        <w:t xml:space="preserve">כתב </w:t>
      </w:r>
      <w:r w:rsidRPr="006B2B80">
        <w:rPr>
          <w:rStyle w:val="af8"/>
          <w:rFonts w:hint="cs"/>
          <w:rtl/>
        </w:rPr>
        <w:t>בחי' הגר"ח על הש"ס</w:t>
      </w:r>
      <w:r w:rsidRPr="006B2B80">
        <w:rPr>
          <w:rFonts w:hint="cs"/>
          <w:rtl/>
        </w:rPr>
        <w:t xml:space="preserve">  </w:t>
      </w:r>
      <w:r w:rsidRPr="006B2B80">
        <w:rPr>
          <w:rStyle w:val="af6"/>
          <w:rFonts w:eastAsia="Guttman Hodes" w:hint="cs"/>
          <w:rtl/>
        </w:rPr>
        <w:t xml:space="preserve">(נזיר נ. בענין נצל ד"ה והנה בע"ז) </w:t>
      </w:r>
      <w:r w:rsidRPr="006B2B80">
        <w:rPr>
          <w:rFonts w:hint="cs"/>
          <w:rtl/>
        </w:rPr>
        <w:t xml:space="preserve">דמדברי </w:t>
      </w:r>
      <w:r w:rsidRPr="006B2B80">
        <w:rPr>
          <w:rStyle w:val="af8"/>
          <w:rFonts w:hint="cs"/>
          <w:rtl/>
        </w:rPr>
        <w:t xml:space="preserve">הרשב"א והר"ן </w:t>
      </w:r>
      <w:r w:rsidRPr="006B2B80">
        <w:rPr>
          <w:rStyle w:val="af6"/>
          <w:rFonts w:eastAsia="Guttman Hodes" w:hint="cs"/>
          <w:rtl/>
        </w:rPr>
        <w:t xml:space="preserve">(עי' אות </w:t>
      </w:r>
      <w:r w:rsidRPr="006B2B80">
        <w:rPr>
          <w:rStyle w:val="af6"/>
          <w:rFonts w:eastAsia="Guttman Hodes"/>
          <w:rtl/>
        </w:rPr>
        <w:fldChar w:fldCharType="begin"/>
      </w:r>
      <w:r w:rsidRPr="006B2B80">
        <w:rPr>
          <w:rStyle w:val="af6"/>
          <w:rFonts w:eastAsia="Guttman Hodes"/>
          <w:rtl/>
        </w:rPr>
        <w:instrText xml:space="preserve"> </w:instrText>
      </w:r>
      <w:r w:rsidRPr="006B2B80">
        <w:rPr>
          <w:rStyle w:val="af6"/>
          <w:rFonts w:eastAsia="Guttman Hodes" w:hint="cs"/>
        </w:rPr>
        <w:instrText>REF</w:instrText>
      </w:r>
      <w:r w:rsidRPr="006B2B80">
        <w:rPr>
          <w:rStyle w:val="af6"/>
          <w:rFonts w:eastAsia="Guttman Hodes" w:hint="cs"/>
          <w:rtl/>
        </w:rPr>
        <w:instrText xml:space="preserve"> _</w:instrText>
      </w:r>
      <w:r w:rsidRPr="006B2B80">
        <w:rPr>
          <w:rStyle w:val="af6"/>
          <w:rFonts w:eastAsia="Guttman Hodes" w:hint="cs"/>
        </w:rPr>
        <w:instrText>Ref16157154 \r \h</w:instrText>
      </w:r>
      <w:r w:rsidRPr="006B2B80">
        <w:rPr>
          <w:rStyle w:val="af6"/>
          <w:rFonts w:eastAsia="Guttman Hodes"/>
          <w:rtl/>
        </w:rPr>
        <w:instrText xml:space="preserve">  \* </w:instrText>
      </w:r>
      <w:r w:rsidRPr="006B2B80">
        <w:rPr>
          <w:rStyle w:val="af6"/>
          <w:rFonts w:eastAsia="Guttman Hodes"/>
        </w:rPr>
        <w:instrText>MERGEFORMAT</w:instrText>
      </w:r>
      <w:r w:rsidRPr="006B2B80">
        <w:rPr>
          <w:rStyle w:val="af6"/>
          <w:rFonts w:eastAsia="Guttman Hodes"/>
          <w:rtl/>
        </w:rPr>
        <w:instrText xml:space="preserve"> </w:instrText>
      </w:r>
      <w:r w:rsidRPr="006B2B80">
        <w:rPr>
          <w:rStyle w:val="af6"/>
          <w:rFonts w:eastAsia="Guttman Hodes"/>
          <w:rtl/>
        </w:rPr>
      </w:r>
      <w:r w:rsidRPr="006B2B80">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6B2B80">
        <w:rPr>
          <w:rStyle w:val="af6"/>
          <w:rFonts w:eastAsia="Guttman Hodes"/>
          <w:rtl/>
        </w:rPr>
        <w:fldChar w:fldCharType="end"/>
      </w:r>
      <w:r w:rsidRPr="006B2B80">
        <w:rPr>
          <w:rFonts w:hint="cs"/>
          <w:rtl/>
        </w:rPr>
        <w:t xml:space="preserve"> מבואר דא"א לומר כהצד הא' </w:t>
      </w:r>
      <w:r>
        <w:rPr>
          <w:rFonts w:hint="cs"/>
          <w:rtl/>
        </w:rPr>
        <w:t xml:space="preserve">בחקירת </w:t>
      </w:r>
      <w:r w:rsidRPr="003B2840">
        <w:rPr>
          <w:rStyle w:val="af8"/>
          <w:rFonts w:hint="cs"/>
          <w:rtl/>
        </w:rPr>
        <w:t>הגר"ח</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Ref18397727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קב)</w:t>
      </w:r>
      <w:r w:rsidRPr="003B2840">
        <w:rPr>
          <w:rStyle w:val="af6"/>
          <w:rFonts w:eastAsia="Guttman Hodes"/>
          <w:rtl/>
        </w:rPr>
        <w:fldChar w:fldCharType="end"/>
      </w:r>
      <w:r>
        <w:rPr>
          <w:rFonts w:hint="cs"/>
          <w:rtl/>
        </w:rPr>
        <w:t xml:space="preserve"> </w:t>
      </w:r>
      <w:r w:rsidRPr="006B2B80">
        <w:rPr>
          <w:rFonts w:hint="cs"/>
          <w:rtl/>
        </w:rPr>
        <w:t>דפקע מהנבילה שם נבילה, דא"כ א"א ללמוד היתר נותן טעם לפגם בפגום במקצת מנבילה, דהא בפגום במקצת גוף הטעם הוא ראוי לאכילה, ויש בחפצא שם נבילה, והיאך אפשר להתירו ע"י שהוא פוגם את התערובת.</w:t>
      </w:r>
    </w:p>
    <w:p w:rsidR="007809D6" w:rsidRPr="00E56C14" w:rsidRDefault="007809D6" w:rsidP="007809D6">
      <w:pPr>
        <w:pStyle w:val="a2"/>
      </w:pPr>
      <w:bookmarkStart w:id="9257" w:name="_Toc18481633"/>
      <w:r>
        <w:rPr>
          <w:rFonts w:hint="cs"/>
          <w:rtl/>
        </w:rPr>
        <w:t>דברי הגר"ח דמוכח ברשב"א ובר"ן דאינו ראוי לגר נאמר בדין טע"כ ולכן פגום במקצת מותר</w:t>
      </w:r>
      <w:bookmarkEnd w:id="9257"/>
    </w:p>
    <w:p w:rsidR="007809D6" w:rsidRPr="00D47CE7" w:rsidRDefault="007809D6" w:rsidP="009F44AF">
      <w:pPr>
        <w:pStyle w:val="a"/>
      </w:pPr>
      <w:bookmarkStart w:id="9258" w:name="_Ref18402024"/>
      <w:bookmarkStart w:id="9259" w:name="_Ref18404008"/>
      <w:bookmarkEnd w:id="9253"/>
      <w:r>
        <w:rPr>
          <w:rFonts w:hint="cs"/>
          <w:rtl/>
        </w:rPr>
        <w:t xml:space="preserve">אלא </w:t>
      </w:r>
      <w:r w:rsidRPr="00D47CE7">
        <w:rPr>
          <w:rFonts w:hint="cs"/>
          <w:rtl/>
        </w:rPr>
        <w:t xml:space="preserve">כתב </w:t>
      </w:r>
      <w:r w:rsidRPr="00D47CE7">
        <w:rPr>
          <w:rStyle w:val="af8"/>
          <w:rFonts w:hint="cs"/>
          <w:rtl/>
        </w:rPr>
        <w:t>הגר"ח</w:t>
      </w:r>
      <w:r>
        <w:rPr>
          <w:rFonts w:hint="cs"/>
          <w:rtl/>
        </w:rPr>
        <w:t xml:space="preserve"> </w:t>
      </w:r>
      <w:r w:rsidRPr="00D47CE7">
        <w:rPr>
          <w:rStyle w:val="af6"/>
          <w:rFonts w:eastAsia="Guttman Hodes" w:hint="cs"/>
          <w:rtl/>
        </w:rPr>
        <w:t>(מאכ"א פט"ו ה"א ד"ה ונראה דכן)</w:t>
      </w:r>
      <w:r>
        <w:rPr>
          <w:rFonts w:hint="cs"/>
          <w:rtl/>
        </w:rPr>
        <w:t xml:space="preserve"> </w:t>
      </w:r>
      <w:r w:rsidRPr="00D47CE7">
        <w:rPr>
          <w:rFonts w:hint="cs"/>
          <w:rtl/>
        </w:rPr>
        <w:t xml:space="preserve">דמוכח מדברי </w:t>
      </w:r>
      <w:r w:rsidRPr="00D47CE7">
        <w:rPr>
          <w:rStyle w:val="af8"/>
          <w:rFonts w:hint="cs"/>
          <w:rtl/>
        </w:rPr>
        <w:t>הרשב"א והר"ן</w:t>
      </w:r>
      <w:r w:rsidRPr="00D47CE7">
        <w:rPr>
          <w:rFonts w:hint="cs"/>
          <w:rtl/>
        </w:rPr>
        <w:t xml:space="preserve"> דגדר ההיתר דאינה ראויה לגר, נאמר בעיקר חלות הדין של טעם כעיקר, ולכן ילפינן מנבילה דכל שהטעם פוגם ואינו משביח, הוא </w:t>
      </w:r>
      <w:r>
        <w:rPr>
          <w:rFonts w:hint="cs"/>
          <w:rtl/>
        </w:rPr>
        <w:t>בכלל אינה</w:t>
      </w:r>
      <w:r w:rsidRPr="00D47CE7">
        <w:rPr>
          <w:rFonts w:hint="cs"/>
          <w:rtl/>
        </w:rPr>
        <w:t xml:space="preserve"> ראויה לגר</w:t>
      </w:r>
      <w:r>
        <w:rPr>
          <w:rFonts w:hint="cs"/>
          <w:rtl/>
        </w:rPr>
        <w:t>, ואין בו דין טעם כעיקר כלל.</w:t>
      </w:r>
      <w:bookmarkEnd w:id="9258"/>
      <w:r w:rsidRPr="00D47CE7">
        <w:rPr>
          <w:rFonts w:hint="cs"/>
          <w:rtl/>
        </w:rPr>
        <w:t xml:space="preserve"> </w:t>
      </w:r>
      <w:r>
        <w:rPr>
          <w:rFonts w:hint="cs"/>
          <w:rtl/>
        </w:rPr>
        <w:t>[</w:t>
      </w:r>
      <w:r w:rsidRPr="006B2B80">
        <w:rPr>
          <w:rFonts w:hint="cs"/>
          <w:rtl/>
        </w:rPr>
        <w:t xml:space="preserve">ועי' </w:t>
      </w:r>
      <w:r>
        <w:rPr>
          <w:rFonts w:hint="cs"/>
          <w:rtl/>
        </w:rPr>
        <w:t>במ"ש</w:t>
      </w:r>
      <w:r w:rsidRPr="006B2B80">
        <w:rPr>
          <w:rFonts w:hint="cs"/>
          <w:rtl/>
        </w:rPr>
        <w:t xml:space="preserve"> </w:t>
      </w:r>
      <w:r w:rsidRPr="00050F3C">
        <w:rPr>
          <w:rStyle w:val="af8"/>
          <w:rFonts w:hint="cs"/>
          <w:rtl/>
        </w:rPr>
        <w:t>החוו"ד</w:t>
      </w:r>
      <w:r w:rsidRPr="006B2B80">
        <w:rPr>
          <w:rFonts w:hint="cs"/>
          <w:rtl/>
        </w:rPr>
        <w:t xml:space="preserve"> </w:t>
      </w:r>
      <w:r w:rsidRPr="00050F3C">
        <w:rPr>
          <w:rStyle w:val="af6"/>
          <w:rFonts w:eastAsia="Guttman Hodes" w:hint="cs"/>
          <w:rtl/>
        </w:rPr>
        <w:t xml:space="preserve">(עי' אות </w:t>
      </w:r>
      <w:r w:rsidRPr="00050F3C">
        <w:rPr>
          <w:rStyle w:val="af6"/>
          <w:rFonts w:eastAsia="Guttman Hodes"/>
          <w:rtl/>
        </w:rPr>
        <w:fldChar w:fldCharType="begin"/>
      </w:r>
      <w:r w:rsidRPr="00050F3C">
        <w:rPr>
          <w:rStyle w:val="af6"/>
          <w:rFonts w:eastAsia="Guttman Hodes"/>
          <w:rtl/>
        </w:rPr>
        <w:instrText xml:space="preserve"> </w:instrText>
      </w:r>
      <w:r w:rsidRPr="00050F3C">
        <w:rPr>
          <w:rStyle w:val="af6"/>
          <w:rFonts w:eastAsia="Guttman Hodes" w:hint="cs"/>
        </w:rPr>
        <w:instrText>REF</w:instrText>
      </w:r>
      <w:r w:rsidRPr="00050F3C">
        <w:rPr>
          <w:rStyle w:val="af6"/>
          <w:rFonts w:eastAsia="Guttman Hodes" w:hint="cs"/>
          <w:rtl/>
        </w:rPr>
        <w:instrText xml:space="preserve"> _</w:instrText>
      </w:r>
      <w:r w:rsidRPr="00050F3C">
        <w:rPr>
          <w:rStyle w:val="af6"/>
          <w:rFonts w:eastAsia="Guttman Hodes" w:hint="cs"/>
        </w:rPr>
        <w:instrText>Ref18400013 \r \h</w:instrText>
      </w:r>
      <w:r w:rsidRPr="00050F3C">
        <w:rPr>
          <w:rStyle w:val="af6"/>
          <w:rFonts w:eastAsia="Guttman Hodes"/>
          <w:rtl/>
        </w:rPr>
        <w:instrText xml:space="preserve"> </w:instrText>
      </w:r>
      <w:r w:rsidRPr="00050F3C">
        <w:rPr>
          <w:rStyle w:val="af6"/>
          <w:rFonts w:eastAsia="Guttman Hodes"/>
          <w:rtl/>
        </w:rPr>
      </w:r>
      <w:r w:rsidRPr="00050F3C">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050F3C">
        <w:rPr>
          <w:rStyle w:val="af6"/>
          <w:rFonts w:eastAsia="Guttman Hodes"/>
          <w:rtl/>
        </w:rPr>
        <w:fldChar w:fldCharType="end"/>
      </w:r>
      <w:r>
        <w:rPr>
          <w:rFonts w:hint="cs"/>
          <w:rtl/>
        </w:rPr>
        <w:t xml:space="preserve"> בזה, ובמ"ש </w:t>
      </w:r>
      <w:r w:rsidRPr="002C26E5">
        <w:rPr>
          <w:rStyle w:val="af8"/>
          <w:rFonts w:hint="cs"/>
          <w:rtl/>
        </w:rPr>
        <w:t>היד יהודה</w:t>
      </w:r>
      <w:r>
        <w:rPr>
          <w:rFonts w:hint="cs"/>
          <w:rtl/>
        </w:rPr>
        <w:t xml:space="preserve"> </w:t>
      </w:r>
      <w:r w:rsidRPr="002C26E5">
        <w:rPr>
          <w:rStyle w:val="af6"/>
          <w:rFonts w:eastAsia="Guttman Hodes" w:hint="cs"/>
          <w:rtl/>
        </w:rPr>
        <w:t xml:space="preserve">(עי' אות </w:t>
      </w:r>
      <w:r w:rsidRPr="002C26E5">
        <w:rPr>
          <w:rStyle w:val="af6"/>
          <w:rFonts w:eastAsia="Guttman Hodes"/>
          <w:rtl/>
        </w:rPr>
        <w:fldChar w:fldCharType="begin"/>
      </w:r>
      <w:r w:rsidRPr="002C26E5">
        <w:rPr>
          <w:rStyle w:val="af6"/>
          <w:rFonts w:eastAsia="Guttman Hodes"/>
          <w:rtl/>
        </w:rPr>
        <w:instrText xml:space="preserve"> </w:instrText>
      </w:r>
      <w:r w:rsidRPr="002C26E5">
        <w:rPr>
          <w:rStyle w:val="af6"/>
          <w:rFonts w:eastAsia="Guttman Hodes" w:hint="cs"/>
        </w:rPr>
        <w:instrText>REF</w:instrText>
      </w:r>
      <w:r w:rsidRPr="002C26E5">
        <w:rPr>
          <w:rStyle w:val="af6"/>
          <w:rFonts w:eastAsia="Guttman Hodes" w:hint="cs"/>
          <w:rtl/>
        </w:rPr>
        <w:instrText xml:space="preserve"> _</w:instrText>
      </w:r>
      <w:r w:rsidRPr="002C26E5">
        <w:rPr>
          <w:rStyle w:val="af6"/>
          <w:rFonts w:eastAsia="Guttman Hodes" w:hint="cs"/>
        </w:rPr>
        <w:instrText>Ref18421948 \r \h</w:instrText>
      </w:r>
      <w:r w:rsidRPr="002C26E5">
        <w:rPr>
          <w:rStyle w:val="af6"/>
          <w:rFonts w:eastAsia="Guttman Hodes"/>
          <w:rtl/>
        </w:rPr>
        <w:instrText xml:space="preserve"> </w:instrText>
      </w:r>
      <w:r w:rsidRPr="002C26E5">
        <w:rPr>
          <w:rStyle w:val="af6"/>
          <w:rFonts w:eastAsia="Guttman Hodes"/>
          <w:rtl/>
        </w:rPr>
      </w:r>
      <w:r w:rsidRPr="002C26E5">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2C26E5">
        <w:rPr>
          <w:rStyle w:val="af6"/>
          <w:rFonts w:eastAsia="Guttman Hodes"/>
          <w:rtl/>
        </w:rPr>
        <w:fldChar w:fldCharType="end"/>
      </w:r>
      <w:r w:rsidRPr="002C26E5">
        <w:rPr>
          <w:rStyle w:val="af6"/>
          <w:rFonts w:eastAsia="Guttman Hodes" w:hint="cs"/>
          <w:rtl/>
        </w:rPr>
        <w:t xml:space="preserve"> </w:t>
      </w:r>
      <w:r>
        <w:rPr>
          <w:rFonts w:hint="cs"/>
          <w:rtl/>
        </w:rPr>
        <w:t xml:space="preserve">דכתב דנחלקו בזה </w:t>
      </w:r>
      <w:r w:rsidRPr="002C26E5">
        <w:rPr>
          <w:rStyle w:val="af8"/>
          <w:rFonts w:hint="cs"/>
          <w:rtl/>
        </w:rPr>
        <w:t>הרשב"א והר"ן</w:t>
      </w:r>
      <w:r>
        <w:rPr>
          <w:rFonts w:hint="cs"/>
          <w:rtl/>
        </w:rPr>
        <w:t xml:space="preserve">, ועי' בדברי </w:t>
      </w:r>
      <w:r w:rsidRPr="007B7B56">
        <w:rPr>
          <w:rStyle w:val="af8"/>
          <w:rFonts w:hint="cs"/>
          <w:rtl/>
        </w:rPr>
        <w:t xml:space="preserve">הקה"י </w:t>
      </w:r>
      <w:r w:rsidRPr="007B7B56">
        <w:rPr>
          <w:rStyle w:val="af6"/>
          <w:rFonts w:eastAsia="Guttman Hodes" w:hint="cs"/>
          <w:rtl/>
        </w:rPr>
        <w:t xml:space="preserve">(עי' אות </w:t>
      </w:r>
      <w:r w:rsidRPr="007B7B56">
        <w:rPr>
          <w:rStyle w:val="af6"/>
          <w:rFonts w:eastAsia="Guttman Hodes"/>
          <w:rtl/>
        </w:rPr>
        <w:fldChar w:fldCharType="begin"/>
      </w:r>
      <w:r w:rsidRPr="007B7B56">
        <w:rPr>
          <w:rStyle w:val="af6"/>
          <w:rFonts w:eastAsia="Guttman Hodes"/>
          <w:rtl/>
        </w:rPr>
        <w:instrText xml:space="preserve"> </w:instrText>
      </w:r>
      <w:r w:rsidRPr="007B7B56">
        <w:rPr>
          <w:rStyle w:val="af6"/>
          <w:rFonts w:eastAsia="Guttman Hodes" w:hint="cs"/>
        </w:rPr>
        <w:instrText>REF</w:instrText>
      </w:r>
      <w:r w:rsidRPr="007B7B56">
        <w:rPr>
          <w:rStyle w:val="af6"/>
          <w:rFonts w:eastAsia="Guttman Hodes" w:hint="cs"/>
          <w:rtl/>
        </w:rPr>
        <w:instrText xml:space="preserve"> _</w:instrText>
      </w:r>
      <w:r w:rsidRPr="007B7B56">
        <w:rPr>
          <w:rStyle w:val="af6"/>
          <w:rFonts w:eastAsia="Guttman Hodes" w:hint="cs"/>
        </w:rPr>
        <w:instrText>Ref18439139 \r \h</w:instrText>
      </w:r>
      <w:r w:rsidRPr="007B7B56">
        <w:rPr>
          <w:rStyle w:val="af6"/>
          <w:rFonts w:eastAsia="Guttman Hodes"/>
          <w:rtl/>
        </w:rPr>
        <w:instrText xml:space="preserve"> </w:instrText>
      </w:r>
      <w:r w:rsidRPr="007B7B56">
        <w:rPr>
          <w:rStyle w:val="af6"/>
          <w:rFonts w:eastAsia="Guttman Hodes"/>
          <w:rtl/>
        </w:rPr>
      </w:r>
      <w:r w:rsidRPr="007B7B56">
        <w:rPr>
          <w:rStyle w:val="af6"/>
          <w:rFonts w:eastAsia="Guttman Hodes"/>
          <w:rtl/>
        </w:rPr>
        <w:fldChar w:fldCharType="separate"/>
      </w:r>
      <w:r w:rsidR="004D1C5B">
        <w:rPr>
          <w:rStyle w:val="af6"/>
          <w:rFonts w:eastAsia="Guttman Hodes"/>
          <w:cs/>
        </w:rPr>
        <w:t>‎</w:t>
      </w:r>
      <w:r w:rsidR="004D1C5B">
        <w:rPr>
          <w:rStyle w:val="af6"/>
          <w:rFonts w:eastAsia="Guttman Hodes"/>
          <w:rtl/>
        </w:rPr>
        <w:t>קיב)</w:t>
      </w:r>
      <w:r w:rsidRPr="007B7B56">
        <w:rPr>
          <w:rStyle w:val="af6"/>
          <w:rFonts w:eastAsia="Guttman Hodes"/>
          <w:rtl/>
        </w:rPr>
        <w:fldChar w:fldCharType="end"/>
      </w:r>
      <w:r>
        <w:rPr>
          <w:rFonts w:hint="cs"/>
          <w:rtl/>
        </w:rPr>
        <w:t>]</w:t>
      </w:r>
      <w:r w:rsidRPr="00D47CE7">
        <w:rPr>
          <w:rFonts w:hint="cs"/>
          <w:rtl/>
        </w:rPr>
        <w:t>.</w:t>
      </w:r>
      <w:bookmarkEnd w:id="9259"/>
    </w:p>
    <w:p w:rsidR="007809D6" w:rsidRPr="006B2B80" w:rsidRDefault="007809D6" w:rsidP="007809D6">
      <w:pPr>
        <w:pStyle w:val="a2"/>
      </w:pPr>
      <w:bookmarkStart w:id="9260" w:name="_Toc18397473"/>
      <w:bookmarkStart w:id="9261" w:name="_Toc18404208"/>
      <w:bookmarkStart w:id="9262" w:name="_Toc18481634"/>
      <w:r w:rsidRPr="006B2B80">
        <w:rPr>
          <w:rFonts w:hint="cs"/>
          <w:rtl/>
        </w:rPr>
        <w:t>הוכחת הגר"ח מהרשב"א והר"ן דהיתר נבילה הוא באיסור אכילה ולכן אף פגום במקצת מותר</w:t>
      </w:r>
      <w:bookmarkEnd w:id="9260"/>
      <w:bookmarkEnd w:id="9261"/>
      <w:bookmarkEnd w:id="9262"/>
    </w:p>
    <w:p w:rsidR="007809D6" w:rsidRDefault="007809D6" w:rsidP="009F44AF">
      <w:pPr>
        <w:pStyle w:val="a"/>
        <w:rPr>
          <w:rtl/>
        </w:rPr>
      </w:pPr>
      <w:bookmarkStart w:id="9263" w:name="_Ref18402010"/>
      <w:r>
        <w:rPr>
          <w:rFonts w:hint="cs"/>
          <w:rtl/>
        </w:rPr>
        <w:t>וכעי"ז</w:t>
      </w:r>
      <w:r w:rsidRPr="006B2B80">
        <w:rPr>
          <w:rFonts w:hint="cs"/>
          <w:rtl/>
        </w:rPr>
        <w:t xml:space="preserve"> כתב </w:t>
      </w:r>
      <w:r w:rsidRPr="006B2B80">
        <w:rPr>
          <w:rStyle w:val="af8"/>
          <w:rFonts w:hint="cs"/>
          <w:rtl/>
        </w:rPr>
        <w:t>בחי' הגר"ח על הש"ס</w:t>
      </w:r>
      <w:r w:rsidRPr="006B2B80">
        <w:rPr>
          <w:rFonts w:hint="cs"/>
          <w:rtl/>
        </w:rPr>
        <w:t xml:space="preserve">  </w:t>
      </w:r>
      <w:r w:rsidRPr="006B2B80">
        <w:rPr>
          <w:rStyle w:val="af6"/>
          <w:rFonts w:eastAsia="Guttman Hodes" w:hint="cs"/>
          <w:rtl/>
        </w:rPr>
        <w:t xml:space="preserve">(נזיר נ. בענין נצל ד"ה והנה בע"ז) </w:t>
      </w:r>
      <w:r w:rsidRPr="006B2B80">
        <w:rPr>
          <w:rFonts w:hint="cs"/>
          <w:rtl/>
        </w:rPr>
        <w:t xml:space="preserve">דמבואר מדברי </w:t>
      </w:r>
      <w:r w:rsidRPr="006B2B80">
        <w:rPr>
          <w:rStyle w:val="af8"/>
          <w:rFonts w:hint="cs"/>
          <w:rtl/>
        </w:rPr>
        <w:t>הרשב"א והר"ן</w:t>
      </w:r>
      <w:r w:rsidRPr="006B2B80">
        <w:rPr>
          <w:rFonts w:hint="cs"/>
          <w:rtl/>
        </w:rPr>
        <w:t xml:space="preserve"> כהצד הב' </w:t>
      </w:r>
      <w:r>
        <w:rPr>
          <w:rFonts w:hint="cs"/>
          <w:rtl/>
        </w:rPr>
        <w:t xml:space="preserve">בחקירת </w:t>
      </w:r>
      <w:r w:rsidRPr="003B2840">
        <w:rPr>
          <w:rStyle w:val="af8"/>
          <w:rFonts w:hint="cs"/>
          <w:rtl/>
        </w:rPr>
        <w:t>הגר"ח</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Ref18397795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3B2840">
        <w:rPr>
          <w:rStyle w:val="af6"/>
          <w:rFonts w:eastAsia="Guttman Hodes"/>
          <w:rtl/>
        </w:rPr>
        <w:fldChar w:fldCharType="end"/>
      </w:r>
      <w:r>
        <w:rPr>
          <w:rFonts w:hint="cs"/>
          <w:rtl/>
        </w:rPr>
        <w:t xml:space="preserve"> </w:t>
      </w:r>
      <w:r w:rsidRPr="006B2B80">
        <w:rPr>
          <w:rFonts w:hint="cs"/>
          <w:rtl/>
        </w:rPr>
        <w:t>דהיתר הנבילה הוא דין באיסור אכילה, דאף שלא פקע מהחפצא של הנבילה שם נבילה, מ"מ כיון שאינה ראויה לאכילה אין בה איסור אכילה, ולכן ילפינן דבנותן טעם לפגם מותר אף כשהוא ראוי לאכילה, דכיון שהטעם פוגם את התערובת, והטעם אינו ראוי לגר, אין בו איסור אכילה.</w:t>
      </w:r>
      <w:bookmarkEnd w:id="9263"/>
    </w:p>
    <w:p w:rsidR="007809D6" w:rsidRDefault="007809D6" w:rsidP="00E669F8">
      <w:pPr>
        <w:pStyle w:val="afd"/>
        <w:rPr>
          <w:rtl/>
        </w:rPr>
      </w:pPr>
      <w:bookmarkStart w:id="9264" w:name="_Toc16679291"/>
      <w:bookmarkStart w:id="9265" w:name="_Toc16850497"/>
      <w:bookmarkStart w:id="9266" w:name="_Toc17624879"/>
      <w:bookmarkStart w:id="9267" w:name="_Toc17889832"/>
      <w:bookmarkStart w:id="9268" w:name="_Toc17975454"/>
      <w:bookmarkStart w:id="9269" w:name="_Toc17984142"/>
      <w:bookmarkStart w:id="9270" w:name="_Toc18228267"/>
      <w:bookmarkStart w:id="9271" w:name="_Toc18250811"/>
      <w:bookmarkStart w:id="9272" w:name="_Toc18266268"/>
      <w:bookmarkStart w:id="9273" w:name="_Toc18269179"/>
      <w:bookmarkStart w:id="9274" w:name="_Toc18323879"/>
      <w:bookmarkStart w:id="9275" w:name="_Toc18397484"/>
      <w:bookmarkStart w:id="9276" w:name="_Toc18404210"/>
      <w:bookmarkStart w:id="9277" w:name="_Toc18481636"/>
      <w:bookmarkEnd w:id="9166"/>
      <w:bookmarkEnd w:id="9167"/>
      <w:bookmarkEnd w:id="9168"/>
      <w:bookmarkEnd w:id="9169"/>
      <w:bookmarkEnd w:id="9170"/>
      <w:bookmarkEnd w:id="9171"/>
      <w:bookmarkEnd w:id="9172"/>
      <w:bookmarkEnd w:id="9173"/>
      <w:bookmarkEnd w:id="9174"/>
      <w:bookmarkEnd w:id="9175"/>
      <w:bookmarkEnd w:id="9176"/>
      <w:r w:rsidRPr="003E70C4">
        <w:rPr>
          <w:rtl/>
        </w:rPr>
        <w:t>ביאור הקה"י בפלוגתת הרשב"א והר"ן</w:t>
      </w:r>
    </w:p>
    <w:p w:rsidR="007809D6" w:rsidRDefault="007809D6" w:rsidP="007809D6">
      <w:pPr>
        <w:pStyle w:val="1"/>
        <w:rPr>
          <w:rtl/>
        </w:rPr>
      </w:pPr>
      <w:r>
        <w:rPr>
          <w:rFonts w:hint="cs"/>
          <w:rtl/>
        </w:rPr>
        <w:t>ביאור</w:t>
      </w:r>
      <w:r w:rsidRPr="00D47CE7">
        <w:rPr>
          <w:rFonts w:hint="cs"/>
          <w:rtl/>
        </w:rPr>
        <w:t xml:space="preserve"> הקה"י</w:t>
      </w:r>
      <w:bookmarkEnd w:id="9264"/>
      <w:bookmarkEnd w:id="9265"/>
      <w:bookmarkEnd w:id="9266"/>
      <w:bookmarkEnd w:id="9267"/>
      <w:bookmarkEnd w:id="9268"/>
      <w:bookmarkEnd w:id="9269"/>
      <w:bookmarkEnd w:id="9270"/>
      <w:bookmarkEnd w:id="9271"/>
      <w:bookmarkEnd w:id="9272"/>
      <w:bookmarkEnd w:id="9273"/>
      <w:bookmarkEnd w:id="9274"/>
      <w:bookmarkEnd w:id="9275"/>
      <w:bookmarkEnd w:id="9276"/>
      <w:r>
        <w:rPr>
          <w:rFonts w:hint="cs"/>
          <w:rtl/>
        </w:rPr>
        <w:t xml:space="preserve"> ברשב"א דמנבילה ילפינן דטעם שאינו נהנה מותר</w:t>
      </w:r>
      <w:bookmarkEnd w:id="9277"/>
    </w:p>
    <w:p w:rsidR="007809D6" w:rsidRDefault="007809D6" w:rsidP="007809D6">
      <w:pPr>
        <w:pStyle w:val="a2"/>
      </w:pPr>
      <w:bookmarkStart w:id="9278" w:name="_Toc18481637"/>
      <w:r>
        <w:rPr>
          <w:rFonts w:hint="cs"/>
          <w:rtl/>
        </w:rPr>
        <w:t>דברי הקה"י דלהרשב"א דנטל"פ מותר אף בנהנה מאכילתו כיון שאין בו דין טעם כעיקר</w:t>
      </w:r>
      <w:bookmarkEnd w:id="9278"/>
    </w:p>
    <w:p w:rsidR="007809D6" w:rsidRDefault="007809D6" w:rsidP="009F44AF">
      <w:pPr>
        <w:pStyle w:val="a"/>
        <w:rPr>
          <w:rtl/>
        </w:rPr>
      </w:pPr>
      <w:r w:rsidRPr="00D47CE7">
        <w:rPr>
          <w:rFonts w:hint="cs"/>
          <w:rtl/>
        </w:rPr>
        <w:t xml:space="preserve">במ"ש </w:t>
      </w:r>
      <w:r w:rsidRPr="00D47CE7">
        <w:rPr>
          <w:rStyle w:val="af8"/>
          <w:rtl/>
        </w:rPr>
        <w:t>הרשב"א</w:t>
      </w:r>
      <w:r w:rsidRPr="00D47CE7">
        <w:rPr>
          <w:rFonts w:hint="cs"/>
          <w:rtl/>
        </w:rPr>
        <w:t xml:space="preserve"> </w:t>
      </w:r>
      <w:r w:rsidRPr="00D47CE7">
        <w:rPr>
          <w:rStyle w:val="af8"/>
          <w:rtl/>
        </w:rPr>
        <w:t>בתוה"ב</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Ref18250218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D47CE7">
        <w:rPr>
          <w:rStyle w:val="af6"/>
          <w:rFonts w:eastAsia="Guttman Hodes"/>
          <w:rtl/>
        </w:rPr>
        <w:fldChar w:fldCharType="end"/>
      </w:r>
      <w:r w:rsidRPr="00D47CE7">
        <w:rPr>
          <w:rFonts w:hint="cs"/>
          <w:rtl/>
        </w:rPr>
        <w:t xml:space="preserve"> דנותן טעם לפגם מותר אף בפגום במקצת, דלא אסרה תורה טעם כעיקר כשנתן טעם פגום, ביאר </w:t>
      </w:r>
      <w:r w:rsidRPr="00D47CE7">
        <w:rPr>
          <w:rStyle w:val="af8"/>
          <w:rFonts w:hint="cs"/>
          <w:rtl/>
        </w:rPr>
        <w:t>הקה"י</w:t>
      </w:r>
      <w:r>
        <w:rPr>
          <w:rStyle w:val="af8"/>
          <w:rFonts w:hint="cs"/>
          <w:rtl/>
        </w:rPr>
        <w:t xml:space="preserve"> </w:t>
      </w:r>
      <w:r w:rsidRPr="00D47CE7">
        <w:rPr>
          <w:rStyle w:val="af6"/>
          <w:rFonts w:eastAsia="Guttman Hodes" w:hint="cs"/>
          <w:rtl/>
        </w:rPr>
        <w:t xml:space="preserve">(סי' כ"ה </w:t>
      </w:r>
      <w:r>
        <w:rPr>
          <w:rStyle w:val="af6"/>
          <w:rFonts w:eastAsia="Guttman Hodes" w:hint="cs"/>
          <w:rtl/>
        </w:rPr>
        <w:t xml:space="preserve">א' </w:t>
      </w:r>
      <w:r w:rsidRPr="00D47CE7">
        <w:rPr>
          <w:rStyle w:val="af6"/>
          <w:rFonts w:eastAsia="Guttman Hodes" w:hint="cs"/>
          <w:rtl/>
        </w:rPr>
        <w:t xml:space="preserve">ד"ה </w:t>
      </w:r>
      <w:r>
        <w:rPr>
          <w:rStyle w:val="af6"/>
          <w:rFonts w:eastAsia="Guttman Hodes" w:hint="cs"/>
          <w:rtl/>
        </w:rPr>
        <w:t>ופשוט</w:t>
      </w:r>
      <w:r w:rsidRPr="00D47CE7">
        <w:rPr>
          <w:rStyle w:val="af6"/>
          <w:rFonts w:eastAsia="Guttman Hodes" w:hint="cs"/>
          <w:rtl/>
        </w:rPr>
        <w:t xml:space="preserve">) </w:t>
      </w:r>
      <w:r w:rsidRPr="00D47CE7">
        <w:rPr>
          <w:rFonts w:hint="cs"/>
          <w:rtl/>
        </w:rPr>
        <w:t xml:space="preserve">דס"ל </w:t>
      </w:r>
      <w:r w:rsidRPr="00DA6F3B">
        <w:rPr>
          <w:rStyle w:val="af8"/>
          <w:rFonts w:hint="cs"/>
          <w:rtl/>
        </w:rPr>
        <w:t>להרשב"א</w:t>
      </w:r>
      <w:r>
        <w:rPr>
          <w:rFonts w:hint="cs"/>
          <w:rtl/>
        </w:rPr>
        <w:t xml:space="preserve"> דההיתר בנותן טעם לפגם אינו מחמת דאינו נהנה מהטעם, אלא דאף במקום שנהנה מהטעם הפגום כהגדיל מידתו ס"ל </w:t>
      </w:r>
      <w:r w:rsidRPr="00684C18">
        <w:rPr>
          <w:rStyle w:val="af8"/>
          <w:rFonts w:hint="cs"/>
          <w:rtl/>
        </w:rPr>
        <w:t>להרשב"א</w:t>
      </w:r>
      <w:r>
        <w:rPr>
          <w:rFonts w:hint="cs"/>
          <w:rtl/>
        </w:rPr>
        <w:t xml:space="preserve"> דנותן טעם לפגם מותר, דכיון שהאיסור עצמו התבטל ברוב, וכל האיסור הוא מדין טעם כעיקר, א"כ כיון דדין טעם כעיקר לא נאמר בטעם פגום, חשיב שאין בו איסור כלל.</w:t>
      </w:r>
    </w:p>
    <w:p w:rsidR="007809D6" w:rsidRDefault="007809D6" w:rsidP="007809D6">
      <w:pPr>
        <w:pStyle w:val="a2"/>
        <w:rPr>
          <w:rtl/>
        </w:rPr>
      </w:pPr>
      <w:bookmarkStart w:id="9279" w:name="_Toc18481638"/>
      <w:r>
        <w:rPr>
          <w:rFonts w:hint="cs"/>
          <w:rtl/>
        </w:rPr>
        <w:t>דברי הקה"י דדוחק לומר כחוו"ד דלהרשב"א היתר פגום במקצת הוא מסברא ולא מילפותא</w:t>
      </w:r>
      <w:bookmarkEnd w:id="9279"/>
    </w:p>
    <w:p w:rsidR="007809D6" w:rsidRDefault="007809D6" w:rsidP="009F44AF">
      <w:pPr>
        <w:pStyle w:val="a"/>
        <w:rPr>
          <w:rtl/>
        </w:rPr>
      </w:pPr>
      <w:bookmarkStart w:id="9280" w:name="_Ref18439139"/>
      <w:r>
        <w:rPr>
          <w:rFonts w:hint="cs"/>
          <w:rtl/>
        </w:rPr>
        <w:t xml:space="preserve">ובמה שהקשה </w:t>
      </w:r>
      <w:r w:rsidRPr="007729D3">
        <w:rPr>
          <w:rStyle w:val="af8"/>
          <w:rFonts w:hint="cs"/>
          <w:rtl/>
        </w:rPr>
        <w:t xml:space="preserve">הר"ן </w:t>
      </w:r>
      <w:r w:rsidRPr="007B7B56">
        <w:rPr>
          <w:rStyle w:val="af6"/>
          <w:rFonts w:eastAsia="Guttman Hodes" w:hint="cs"/>
          <w:rtl/>
        </w:rPr>
        <w:t xml:space="preserve">(עי' אות </w:t>
      </w:r>
      <w:r w:rsidRPr="007B7B56">
        <w:rPr>
          <w:rStyle w:val="af6"/>
          <w:rFonts w:eastAsia="Guttman Hodes"/>
          <w:rtl/>
        </w:rPr>
        <w:fldChar w:fldCharType="begin"/>
      </w:r>
      <w:r w:rsidRPr="007B7B56">
        <w:rPr>
          <w:rStyle w:val="af6"/>
          <w:rFonts w:eastAsia="Guttman Hodes"/>
          <w:rtl/>
        </w:rPr>
        <w:instrText xml:space="preserve"> </w:instrText>
      </w:r>
      <w:r w:rsidRPr="007B7B56">
        <w:rPr>
          <w:rStyle w:val="af6"/>
          <w:rFonts w:eastAsia="Guttman Hodes" w:hint="cs"/>
        </w:rPr>
        <w:instrText>REF</w:instrText>
      </w:r>
      <w:r w:rsidRPr="007B7B56">
        <w:rPr>
          <w:rStyle w:val="af6"/>
          <w:rFonts w:eastAsia="Guttman Hodes" w:hint="cs"/>
          <w:rtl/>
        </w:rPr>
        <w:instrText xml:space="preserve"> _</w:instrText>
      </w:r>
      <w:r w:rsidRPr="007B7B56">
        <w:rPr>
          <w:rStyle w:val="af6"/>
          <w:rFonts w:eastAsia="Guttman Hodes" w:hint="cs"/>
        </w:rPr>
        <w:instrText>Ref18438991 \r \h</w:instrText>
      </w:r>
      <w:r w:rsidRPr="007B7B56">
        <w:rPr>
          <w:rStyle w:val="af6"/>
          <w:rFonts w:eastAsia="Guttman Hodes"/>
          <w:rtl/>
        </w:rPr>
        <w:instrText xml:space="preserve"> </w:instrText>
      </w:r>
      <w:r w:rsidRPr="007B7B56">
        <w:rPr>
          <w:rStyle w:val="af6"/>
          <w:rFonts w:eastAsia="Guttman Hodes"/>
          <w:rtl/>
        </w:rPr>
      </w:r>
      <w:r w:rsidRPr="007B7B56">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7B7B56">
        <w:rPr>
          <w:rStyle w:val="af6"/>
          <w:rFonts w:eastAsia="Guttman Hodes"/>
          <w:rtl/>
        </w:rPr>
        <w:fldChar w:fldCharType="end"/>
      </w:r>
      <w:r>
        <w:rPr>
          <w:rFonts w:hint="cs"/>
          <w:rtl/>
        </w:rPr>
        <w:t xml:space="preserve"> דהיאך ילפינן נותן טעם לפגם בפגום במקצת מנבילה שאינה ראויה לגר כלל, הביא </w:t>
      </w:r>
      <w:r w:rsidRPr="00D47CE7">
        <w:rPr>
          <w:rStyle w:val="af8"/>
          <w:rFonts w:hint="cs"/>
          <w:rtl/>
        </w:rPr>
        <w:t>הקה"י</w:t>
      </w:r>
      <w:r>
        <w:rPr>
          <w:rStyle w:val="af8"/>
          <w:rFonts w:hint="cs"/>
          <w:rtl/>
        </w:rPr>
        <w:t xml:space="preserve"> </w:t>
      </w:r>
      <w:r w:rsidRPr="007B7B56">
        <w:rPr>
          <w:rStyle w:val="af6"/>
          <w:rFonts w:eastAsia="Guttman Hodes" w:hint="cs"/>
          <w:rtl/>
        </w:rPr>
        <w:t>(סי' כ"ה ב' ד"ה אבל)</w:t>
      </w:r>
      <w:r>
        <w:rPr>
          <w:rFonts w:hint="cs"/>
          <w:rtl/>
        </w:rPr>
        <w:t xml:space="preserve"> את דברי </w:t>
      </w:r>
      <w:r w:rsidRPr="007729D3">
        <w:rPr>
          <w:rStyle w:val="af8"/>
          <w:rFonts w:hint="cs"/>
          <w:rtl/>
        </w:rPr>
        <w:t>החוו"ד</w:t>
      </w:r>
      <w:r>
        <w:rPr>
          <w:rFonts w:hint="cs"/>
          <w:rtl/>
        </w:rPr>
        <w:t xml:space="preserve"> </w:t>
      </w:r>
      <w:r w:rsidRPr="007B7B56">
        <w:rPr>
          <w:rStyle w:val="af6"/>
          <w:rFonts w:eastAsia="Guttman Hodes" w:hint="cs"/>
          <w:rtl/>
        </w:rPr>
        <w:t xml:space="preserve">(עי' אות </w:t>
      </w:r>
      <w:r w:rsidRPr="007B7B56">
        <w:rPr>
          <w:rStyle w:val="af6"/>
          <w:rFonts w:eastAsia="Guttman Hodes"/>
          <w:rtl/>
        </w:rPr>
        <w:fldChar w:fldCharType="begin"/>
      </w:r>
      <w:r w:rsidRPr="007B7B56">
        <w:rPr>
          <w:rStyle w:val="af6"/>
          <w:rFonts w:eastAsia="Guttman Hodes"/>
          <w:rtl/>
        </w:rPr>
        <w:instrText xml:space="preserve"> </w:instrText>
      </w:r>
      <w:r w:rsidRPr="007B7B56">
        <w:rPr>
          <w:rStyle w:val="af6"/>
          <w:rFonts w:eastAsia="Guttman Hodes" w:hint="cs"/>
        </w:rPr>
        <w:instrText>REF</w:instrText>
      </w:r>
      <w:r w:rsidRPr="007B7B56">
        <w:rPr>
          <w:rStyle w:val="af6"/>
          <w:rFonts w:eastAsia="Guttman Hodes" w:hint="cs"/>
          <w:rtl/>
        </w:rPr>
        <w:instrText xml:space="preserve"> _</w:instrText>
      </w:r>
      <w:r w:rsidRPr="007B7B56">
        <w:rPr>
          <w:rStyle w:val="af6"/>
          <w:rFonts w:eastAsia="Guttman Hodes" w:hint="cs"/>
        </w:rPr>
        <w:instrText>Ref18439022 \r \h</w:instrText>
      </w:r>
      <w:r w:rsidRPr="007B7B56">
        <w:rPr>
          <w:rStyle w:val="af6"/>
          <w:rFonts w:eastAsia="Guttman Hodes"/>
          <w:rtl/>
        </w:rPr>
        <w:instrText xml:space="preserve"> </w:instrText>
      </w:r>
      <w:r w:rsidRPr="007B7B56">
        <w:rPr>
          <w:rStyle w:val="af6"/>
          <w:rFonts w:eastAsia="Guttman Hodes"/>
          <w:rtl/>
        </w:rPr>
      </w:r>
      <w:r w:rsidRPr="007B7B56">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7B7B56">
        <w:rPr>
          <w:rStyle w:val="af6"/>
          <w:rFonts w:eastAsia="Guttman Hodes"/>
          <w:rtl/>
        </w:rPr>
        <w:fldChar w:fldCharType="end"/>
      </w:r>
      <w:r>
        <w:rPr>
          <w:rFonts w:hint="cs"/>
          <w:rtl/>
        </w:rPr>
        <w:t xml:space="preserve"> </w:t>
      </w:r>
      <w:r w:rsidRPr="007729D3">
        <w:rPr>
          <w:rStyle w:val="af8"/>
          <w:rFonts w:hint="cs"/>
          <w:rtl/>
        </w:rPr>
        <w:t>והגר"ח</w:t>
      </w:r>
      <w:r>
        <w:rPr>
          <w:rFonts w:hint="cs"/>
          <w:rtl/>
        </w:rPr>
        <w:t xml:space="preserve"> </w:t>
      </w:r>
      <w:r w:rsidRPr="007B7B56">
        <w:rPr>
          <w:rStyle w:val="af6"/>
          <w:rFonts w:eastAsia="Guttman Hodes" w:hint="cs"/>
          <w:rtl/>
        </w:rPr>
        <w:t xml:space="preserve">(עי' אות </w:t>
      </w:r>
      <w:r w:rsidRPr="007B7B56">
        <w:rPr>
          <w:rStyle w:val="af6"/>
          <w:rFonts w:eastAsia="Guttman Hodes"/>
          <w:rtl/>
        </w:rPr>
        <w:fldChar w:fldCharType="begin"/>
      </w:r>
      <w:r w:rsidRPr="007B7B56">
        <w:rPr>
          <w:rStyle w:val="af6"/>
          <w:rFonts w:eastAsia="Guttman Hodes"/>
          <w:rtl/>
        </w:rPr>
        <w:instrText xml:space="preserve"> </w:instrText>
      </w:r>
      <w:r w:rsidRPr="007B7B56">
        <w:rPr>
          <w:rStyle w:val="af6"/>
          <w:rFonts w:eastAsia="Guttman Hodes" w:hint="cs"/>
        </w:rPr>
        <w:instrText>REF</w:instrText>
      </w:r>
      <w:r w:rsidRPr="007B7B56">
        <w:rPr>
          <w:rStyle w:val="af6"/>
          <w:rFonts w:eastAsia="Guttman Hodes" w:hint="cs"/>
          <w:rtl/>
        </w:rPr>
        <w:instrText xml:space="preserve"> _</w:instrText>
      </w:r>
      <w:r w:rsidRPr="007B7B56">
        <w:rPr>
          <w:rStyle w:val="af6"/>
          <w:rFonts w:eastAsia="Guttman Hodes" w:hint="cs"/>
        </w:rPr>
        <w:instrText>Ref18404008 \r \h</w:instrText>
      </w:r>
      <w:r w:rsidRPr="007B7B56">
        <w:rPr>
          <w:rStyle w:val="af6"/>
          <w:rFonts w:eastAsia="Guttman Hodes"/>
          <w:rtl/>
        </w:rPr>
        <w:instrText xml:space="preserve"> </w:instrText>
      </w:r>
      <w:r w:rsidRPr="007B7B56">
        <w:rPr>
          <w:rStyle w:val="af6"/>
          <w:rFonts w:eastAsia="Guttman Hodes"/>
          <w:rtl/>
        </w:rPr>
      </w:r>
      <w:r w:rsidRPr="007B7B56">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7B7B56">
        <w:rPr>
          <w:rStyle w:val="af6"/>
          <w:rFonts w:eastAsia="Guttman Hodes"/>
          <w:rtl/>
        </w:rPr>
        <w:fldChar w:fldCharType="end"/>
      </w:r>
      <w:r>
        <w:rPr>
          <w:rFonts w:hint="cs"/>
          <w:rtl/>
        </w:rPr>
        <w:t xml:space="preserve"> דביארו בדעת </w:t>
      </w:r>
      <w:r w:rsidRPr="007729D3">
        <w:rPr>
          <w:rStyle w:val="af8"/>
          <w:rFonts w:hint="cs"/>
          <w:rtl/>
        </w:rPr>
        <w:t>הרשב"א</w:t>
      </w:r>
      <w:r>
        <w:rPr>
          <w:rFonts w:hint="cs"/>
          <w:rtl/>
        </w:rPr>
        <w:t xml:space="preserve"> דכיון דטעם כעיקר נלמד ממשרת </w:t>
      </w:r>
      <w:r w:rsidRPr="00D47CE7">
        <w:rPr>
          <w:rFonts w:hint="cs"/>
          <w:rtl/>
        </w:rPr>
        <w:t xml:space="preserve">וא"א ללמוד ממשרת </w:t>
      </w:r>
      <w:r w:rsidRPr="00D47CE7">
        <w:rPr>
          <w:rFonts w:hint="cs"/>
          <w:rtl/>
        </w:rPr>
        <w:t>דטעם פגום אוסר, וממילא מסברא הוא מותר,</w:t>
      </w:r>
      <w:r>
        <w:rPr>
          <w:rFonts w:hint="cs"/>
          <w:rtl/>
        </w:rPr>
        <w:t xml:space="preserve"> ודחה </w:t>
      </w:r>
      <w:r w:rsidRPr="007B7B56">
        <w:rPr>
          <w:rStyle w:val="af8"/>
          <w:rFonts w:hint="cs"/>
          <w:rtl/>
        </w:rPr>
        <w:t>הקה"י</w:t>
      </w:r>
      <w:r>
        <w:rPr>
          <w:rFonts w:hint="cs"/>
          <w:rtl/>
        </w:rPr>
        <w:t xml:space="preserve"> דבגמ' מוכח דילפינן לה מנבילה, וכן הקשה </w:t>
      </w:r>
      <w:r w:rsidRPr="002C26E5">
        <w:rPr>
          <w:rStyle w:val="af8"/>
          <w:rFonts w:hint="cs"/>
          <w:rtl/>
        </w:rPr>
        <w:t>היד יהוד</w:t>
      </w:r>
      <w:bookmarkEnd w:id="9280"/>
      <w:r>
        <w:rPr>
          <w:rStyle w:val="af8"/>
          <w:rFonts w:hint="cs"/>
          <w:rtl/>
        </w:rPr>
        <w:t>ה</w:t>
      </w:r>
      <w:r>
        <w:rPr>
          <w:rFonts w:hint="cs"/>
          <w:rtl/>
        </w:rPr>
        <w:t xml:space="preserve"> </w:t>
      </w:r>
      <w:r w:rsidRPr="007B7B56">
        <w:rPr>
          <w:rStyle w:val="af6"/>
          <w:rFonts w:eastAsia="Guttman Hodes" w:hint="cs"/>
          <w:rtl/>
        </w:rPr>
        <w:t xml:space="preserve">(עי' אות </w:t>
      </w:r>
      <w:r w:rsidRPr="007B7B56">
        <w:rPr>
          <w:rStyle w:val="af6"/>
          <w:rFonts w:eastAsia="Guttman Hodes"/>
          <w:rtl/>
        </w:rPr>
        <w:fldChar w:fldCharType="begin"/>
      </w:r>
      <w:r w:rsidRPr="007B7B56">
        <w:rPr>
          <w:rStyle w:val="af6"/>
          <w:rFonts w:eastAsia="Guttman Hodes"/>
          <w:rtl/>
        </w:rPr>
        <w:instrText xml:space="preserve"> </w:instrText>
      </w:r>
      <w:r w:rsidRPr="007B7B56">
        <w:rPr>
          <w:rStyle w:val="af6"/>
          <w:rFonts w:eastAsia="Guttman Hodes" w:hint="cs"/>
        </w:rPr>
        <w:instrText>REF</w:instrText>
      </w:r>
      <w:r w:rsidRPr="007B7B56">
        <w:rPr>
          <w:rStyle w:val="af6"/>
          <w:rFonts w:eastAsia="Guttman Hodes" w:hint="cs"/>
          <w:rtl/>
        </w:rPr>
        <w:instrText xml:space="preserve"> _</w:instrText>
      </w:r>
      <w:r w:rsidRPr="007B7B56">
        <w:rPr>
          <w:rStyle w:val="af6"/>
          <w:rFonts w:eastAsia="Guttman Hodes" w:hint="cs"/>
        </w:rPr>
        <w:instrText>Ref18439233 \r \h</w:instrText>
      </w:r>
      <w:r w:rsidRPr="007B7B56">
        <w:rPr>
          <w:rStyle w:val="af6"/>
          <w:rFonts w:eastAsia="Guttman Hodes"/>
          <w:rtl/>
        </w:rPr>
        <w:instrText xml:space="preserve"> </w:instrText>
      </w:r>
      <w:r w:rsidRPr="007B7B56">
        <w:rPr>
          <w:rStyle w:val="af6"/>
          <w:rFonts w:eastAsia="Guttman Hodes"/>
          <w:rtl/>
        </w:rPr>
      </w:r>
      <w:r w:rsidRPr="007B7B56">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7B7B56">
        <w:rPr>
          <w:rStyle w:val="af6"/>
          <w:rFonts w:eastAsia="Guttman Hodes"/>
          <w:rtl/>
        </w:rPr>
        <w:fldChar w:fldCharType="end"/>
      </w:r>
      <w:r>
        <w:rPr>
          <w:rFonts w:hint="cs"/>
          <w:rtl/>
        </w:rPr>
        <w:t xml:space="preserve">. </w:t>
      </w:r>
    </w:p>
    <w:p w:rsidR="007809D6" w:rsidRPr="00212D89" w:rsidRDefault="007809D6" w:rsidP="007809D6">
      <w:pPr>
        <w:pStyle w:val="a2"/>
        <w:rPr>
          <w:rtl/>
        </w:rPr>
      </w:pPr>
      <w:bookmarkStart w:id="9281" w:name="_Toc18481639"/>
      <w:r>
        <w:rPr>
          <w:rFonts w:hint="cs"/>
          <w:rtl/>
        </w:rPr>
        <w:t>ביאור הקה"י ברשב"א דילפינן מנבילה דהטעם עצמו דמי לנבילה כיון שאינו נהנה ממנו</w:t>
      </w:r>
      <w:bookmarkEnd w:id="9281"/>
    </w:p>
    <w:p w:rsidR="007809D6" w:rsidRDefault="007809D6" w:rsidP="009F44AF">
      <w:pPr>
        <w:pStyle w:val="a"/>
        <w:rPr>
          <w:rtl/>
        </w:rPr>
      </w:pPr>
      <w:bookmarkStart w:id="9282" w:name="_Ref18437964"/>
      <w:r>
        <w:rPr>
          <w:rFonts w:hint="cs"/>
          <w:rtl/>
        </w:rPr>
        <w:t xml:space="preserve">אלא ביאר </w:t>
      </w:r>
      <w:r w:rsidRPr="00D47CE7">
        <w:rPr>
          <w:rStyle w:val="af8"/>
          <w:rFonts w:hint="cs"/>
          <w:rtl/>
        </w:rPr>
        <w:t>הקה"י</w:t>
      </w:r>
      <w:r>
        <w:rPr>
          <w:rStyle w:val="af8"/>
          <w:rFonts w:hint="cs"/>
          <w:rtl/>
        </w:rPr>
        <w:t xml:space="preserve"> </w:t>
      </w:r>
      <w:r w:rsidRPr="00D47CE7">
        <w:rPr>
          <w:rStyle w:val="af6"/>
          <w:rFonts w:eastAsia="Guttman Hodes" w:hint="cs"/>
          <w:rtl/>
        </w:rPr>
        <w:t>(סי' כ"ה</w:t>
      </w:r>
      <w:r>
        <w:rPr>
          <w:rStyle w:val="af6"/>
          <w:rFonts w:eastAsia="Guttman Hodes" w:hint="cs"/>
          <w:rtl/>
        </w:rPr>
        <w:t xml:space="preserve"> </w:t>
      </w:r>
      <w:r w:rsidRPr="007C745E">
        <w:rPr>
          <w:rStyle w:val="af6"/>
          <w:rFonts w:eastAsia="Guttman Hodes" w:hint="cs"/>
          <w:rtl/>
        </w:rPr>
        <w:t>ב' ד"ה ונראה)</w:t>
      </w:r>
      <w:r>
        <w:rPr>
          <w:rFonts w:hint="cs"/>
          <w:rtl/>
        </w:rPr>
        <w:t xml:space="preserve"> דאף לדעת </w:t>
      </w:r>
      <w:r w:rsidRPr="007729D3">
        <w:rPr>
          <w:rStyle w:val="af8"/>
          <w:rFonts w:hint="cs"/>
          <w:rtl/>
        </w:rPr>
        <w:t>הרשב"א</w:t>
      </w:r>
      <w:r>
        <w:rPr>
          <w:rFonts w:hint="cs"/>
          <w:rtl/>
        </w:rPr>
        <w:t xml:space="preserve"> הילפותא מנבילה היא כעין ביאור </w:t>
      </w:r>
      <w:r w:rsidRPr="007729D3">
        <w:rPr>
          <w:rStyle w:val="af8"/>
          <w:rFonts w:hint="cs"/>
          <w:rtl/>
        </w:rPr>
        <w:t>הר"ן</w:t>
      </w:r>
      <w:r>
        <w:rPr>
          <w:rFonts w:hint="cs"/>
          <w:rtl/>
        </w:rPr>
        <w:t xml:space="preserve"> </w:t>
      </w:r>
      <w:r w:rsidRPr="00A8153F">
        <w:rPr>
          <w:rStyle w:val="af6"/>
          <w:rFonts w:eastAsia="Guttman Hodes" w:hint="cs"/>
          <w:rtl/>
        </w:rPr>
        <w:t xml:space="preserve">(עי' אות </w:t>
      </w:r>
      <w:r w:rsidRPr="00A8153F">
        <w:rPr>
          <w:rStyle w:val="af6"/>
          <w:rFonts w:eastAsia="Guttman Hodes"/>
          <w:rtl/>
        </w:rPr>
        <w:fldChar w:fldCharType="begin"/>
      </w:r>
      <w:r w:rsidRPr="00A8153F">
        <w:rPr>
          <w:rStyle w:val="af6"/>
          <w:rFonts w:eastAsia="Guttman Hodes"/>
          <w:rtl/>
        </w:rPr>
        <w:instrText xml:space="preserve"> </w:instrText>
      </w:r>
      <w:r w:rsidRPr="00A8153F">
        <w:rPr>
          <w:rStyle w:val="af6"/>
          <w:rFonts w:eastAsia="Guttman Hodes" w:hint="cs"/>
        </w:rPr>
        <w:instrText>REF</w:instrText>
      </w:r>
      <w:r w:rsidRPr="00A8153F">
        <w:rPr>
          <w:rStyle w:val="af6"/>
          <w:rFonts w:eastAsia="Guttman Hodes" w:hint="cs"/>
          <w:rtl/>
        </w:rPr>
        <w:instrText xml:space="preserve"> _</w:instrText>
      </w:r>
      <w:r w:rsidRPr="00A8153F">
        <w:rPr>
          <w:rStyle w:val="af6"/>
          <w:rFonts w:eastAsia="Guttman Hodes" w:hint="cs"/>
        </w:rPr>
        <w:instrText>Ref16849713 \r \h</w:instrText>
      </w:r>
      <w:r w:rsidRPr="00A8153F">
        <w:rPr>
          <w:rStyle w:val="af6"/>
          <w:rFonts w:eastAsia="Guttman Hodes"/>
          <w:rtl/>
        </w:rPr>
        <w:instrText xml:space="preserve"> </w:instrText>
      </w:r>
      <w:r w:rsidRPr="00A8153F">
        <w:rPr>
          <w:rStyle w:val="af6"/>
          <w:rFonts w:eastAsia="Guttman Hodes"/>
          <w:rtl/>
        </w:rPr>
      </w:r>
      <w:r w:rsidRPr="00A8153F">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A8153F">
        <w:rPr>
          <w:rStyle w:val="af6"/>
          <w:rFonts w:eastAsia="Guttman Hodes"/>
          <w:rtl/>
        </w:rPr>
        <w:fldChar w:fldCharType="end"/>
      </w:r>
      <w:r>
        <w:rPr>
          <w:rFonts w:hint="cs"/>
          <w:rtl/>
        </w:rPr>
        <w:t xml:space="preserve">, דבנותן טעם לפגם בתערובת, אף בפגום במקצת דמי לנבילה שאינה ראויה לגר, דבין בנבילה שאינה ראויה לאכילה כלל, ובין בטעם שפגום במקצת, אין הנאה מהאכילה, דאעפ"י שהטעם בפנ"ע ראוי לאכילה, מ"מ כיון שהטעם של התערובת היה יותר טוב, בלא שהתערב בה הטעם האסור, א"כ אין מהטעם האסור כל הנאה, ודמי לנבילה שאינה ראויה לגר. </w:t>
      </w:r>
      <w:r w:rsidRPr="007202B6">
        <w:rPr>
          <w:rStyle w:val="afa"/>
          <w:rFonts w:hint="cs"/>
          <w:rtl/>
        </w:rPr>
        <w:t xml:space="preserve">[אלא </w:t>
      </w:r>
      <w:r w:rsidRPr="007202B6">
        <w:rPr>
          <w:rStyle w:val="affa"/>
          <w:rFonts w:hint="cs"/>
          <w:rtl/>
        </w:rPr>
        <w:t>דלהר"ן</w:t>
      </w:r>
      <w:r w:rsidRPr="007202B6">
        <w:rPr>
          <w:rStyle w:val="afa"/>
          <w:rFonts w:hint="cs"/>
          <w:rtl/>
        </w:rPr>
        <w:t xml:space="preserve"> </w:t>
      </w:r>
      <w:r w:rsidRPr="007202B6">
        <w:rPr>
          <w:rStyle w:val="aff6"/>
          <w:rFonts w:hint="cs"/>
          <w:rtl/>
        </w:rPr>
        <w:t xml:space="preserve">(עי' אות </w:t>
      </w:r>
      <w:r w:rsidRPr="007202B6">
        <w:rPr>
          <w:rStyle w:val="aff6"/>
          <w:rtl/>
        </w:rPr>
        <w:fldChar w:fldCharType="begin"/>
      </w:r>
      <w:r w:rsidRPr="007202B6">
        <w:rPr>
          <w:rStyle w:val="aff6"/>
          <w:rtl/>
        </w:rPr>
        <w:instrText xml:space="preserve"> </w:instrText>
      </w:r>
      <w:r w:rsidRPr="007202B6">
        <w:rPr>
          <w:rStyle w:val="aff6"/>
          <w:rFonts w:hint="cs"/>
        </w:rPr>
        <w:instrText>REF</w:instrText>
      </w:r>
      <w:r w:rsidRPr="007202B6">
        <w:rPr>
          <w:rStyle w:val="aff6"/>
          <w:rFonts w:hint="cs"/>
          <w:rtl/>
        </w:rPr>
        <w:instrText xml:space="preserve"> _</w:instrText>
      </w:r>
      <w:r w:rsidRPr="007202B6">
        <w:rPr>
          <w:rStyle w:val="aff6"/>
          <w:rFonts w:hint="cs"/>
        </w:rPr>
        <w:instrText>Ref18437896 \r \h</w:instrText>
      </w:r>
      <w:r w:rsidRPr="007202B6">
        <w:rPr>
          <w:rStyle w:val="aff6"/>
          <w:rtl/>
        </w:rPr>
        <w:instrText xml:space="preserve"> </w:instrText>
      </w:r>
      <w:r w:rsidRPr="007202B6">
        <w:rPr>
          <w:rStyle w:val="aff6"/>
          <w:rtl/>
        </w:rPr>
      </w:r>
      <w:r w:rsidRPr="007202B6">
        <w:rPr>
          <w:rStyle w:val="aff6"/>
          <w:rtl/>
        </w:rPr>
        <w:fldChar w:fldCharType="separate"/>
      </w:r>
      <w:r w:rsidR="004D1C5B">
        <w:rPr>
          <w:rStyle w:val="aff6"/>
          <w:cs/>
        </w:rPr>
        <w:t>‎</w:t>
      </w:r>
      <w:r w:rsidR="004D1C5B">
        <w:rPr>
          <w:rStyle w:val="aff6"/>
          <w:rtl/>
        </w:rPr>
        <w:t>קיט)</w:t>
      </w:r>
      <w:r w:rsidRPr="007202B6">
        <w:rPr>
          <w:rStyle w:val="aff6"/>
          <w:rtl/>
        </w:rPr>
        <w:fldChar w:fldCharType="end"/>
      </w:r>
      <w:r w:rsidRPr="007202B6">
        <w:rPr>
          <w:rStyle w:val="afa"/>
          <w:rFonts w:hint="cs"/>
          <w:rtl/>
        </w:rPr>
        <w:t xml:space="preserve"> ההיתר הוא במה שאינו נהנה, </w:t>
      </w:r>
      <w:r w:rsidRPr="007202B6">
        <w:rPr>
          <w:rStyle w:val="affa"/>
          <w:rFonts w:hint="cs"/>
          <w:rtl/>
        </w:rPr>
        <w:t>ולהרשב"א</w:t>
      </w:r>
      <w:r w:rsidRPr="007202B6">
        <w:rPr>
          <w:rStyle w:val="afa"/>
          <w:rFonts w:hint="cs"/>
          <w:rtl/>
        </w:rPr>
        <w:t xml:space="preserve"> דהטעם עצמו אינו אסור].</w:t>
      </w:r>
      <w:bookmarkEnd w:id="9282"/>
    </w:p>
    <w:p w:rsidR="007809D6" w:rsidRPr="00D47CE7" w:rsidRDefault="007809D6" w:rsidP="007809D6">
      <w:pPr>
        <w:pStyle w:val="a2"/>
        <w:rPr>
          <w:rtl/>
        </w:rPr>
      </w:pPr>
      <w:bookmarkStart w:id="9283" w:name="_Toc18481640"/>
      <w:r>
        <w:rPr>
          <w:rFonts w:hint="cs"/>
          <w:rtl/>
        </w:rPr>
        <w:t>ביאור הקה"י ברשב"א דהטעם הפגום עצמו חשיב כנבילה ולכן אף אם נהנה ממנו מותר</w:t>
      </w:r>
      <w:bookmarkEnd w:id="9283"/>
    </w:p>
    <w:p w:rsidR="007809D6" w:rsidRPr="00D47CE7" w:rsidRDefault="007809D6" w:rsidP="009F44AF">
      <w:pPr>
        <w:pStyle w:val="a"/>
        <w:rPr>
          <w:rtl/>
        </w:rPr>
      </w:pPr>
      <w:bookmarkStart w:id="9284" w:name="_Ref18424400"/>
      <w:r>
        <w:rPr>
          <w:rFonts w:hint="cs"/>
          <w:rtl/>
        </w:rPr>
        <w:t>ו</w:t>
      </w:r>
      <w:r w:rsidRPr="00D47CE7">
        <w:rPr>
          <w:rFonts w:hint="cs"/>
          <w:rtl/>
        </w:rPr>
        <w:t xml:space="preserve">ביאר </w:t>
      </w:r>
      <w:r w:rsidRPr="00D47CE7">
        <w:rPr>
          <w:rStyle w:val="af8"/>
          <w:rFonts w:hint="cs"/>
          <w:rtl/>
        </w:rPr>
        <w:t>הקה"י</w:t>
      </w:r>
      <w:r>
        <w:rPr>
          <w:rStyle w:val="af8"/>
          <w:rFonts w:hint="cs"/>
          <w:rtl/>
        </w:rPr>
        <w:t xml:space="preserve"> </w:t>
      </w:r>
      <w:r w:rsidRPr="00D47CE7">
        <w:rPr>
          <w:rStyle w:val="af6"/>
          <w:rFonts w:eastAsia="Guttman Hodes" w:hint="cs"/>
          <w:rtl/>
        </w:rPr>
        <w:t xml:space="preserve">(סי' כ"ה ד"ה ולהרשב"א ז"ל) </w:t>
      </w:r>
      <w:r w:rsidRPr="00D47CE7">
        <w:rPr>
          <w:rFonts w:hint="cs"/>
          <w:rtl/>
        </w:rPr>
        <w:t xml:space="preserve">דס"ל </w:t>
      </w:r>
      <w:r w:rsidRPr="00DA6F3B">
        <w:rPr>
          <w:rStyle w:val="af8"/>
          <w:rFonts w:hint="cs"/>
          <w:rtl/>
        </w:rPr>
        <w:t>להרשב"א</w:t>
      </w:r>
      <w:r>
        <w:rPr>
          <w:rFonts w:hint="cs"/>
          <w:rtl/>
        </w:rPr>
        <w:t xml:space="preserve"> </w:t>
      </w:r>
      <w:r w:rsidRPr="00D47CE7">
        <w:rPr>
          <w:rFonts w:hint="cs"/>
          <w:rtl/>
        </w:rPr>
        <w:t xml:space="preserve">דטעם שאינו נהנה באכילתו חשיב "הטעם" עצמו כנבילה שאינה ראויה לגר, דאין לו דין טעם כעיקר, ולכן הוא מותר, אף שפגם את התבשיל רק במקצת, ולכן לדעת </w:t>
      </w:r>
      <w:r w:rsidRPr="00DA6F3B">
        <w:rPr>
          <w:rStyle w:val="af8"/>
          <w:rFonts w:hint="cs"/>
          <w:rtl/>
        </w:rPr>
        <w:t>הרשב"א</w:t>
      </w:r>
      <w:r w:rsidRPr="00D47CE7">
        <w:rPr>
          <w:rFonts w:hint="cs"/>
          <w:rtl/>
        </w:rPr>
        <w:t xml:space="preserve"> אף אם נהנה ממה שהאיסור הוסיף בכמות על ההיתר, מ"מ מותר כיון שמהטעם שבלוע בתוך ההיתר לא נהנה כלל, דהא בלא הטעם הייתה התערובת משובחת ועכשיו היא פגומה.</w:t>
      </w:r>
      <w:bookmarkEnd w:id="9284"/>
    </w:p>
    <w:p w:rsidR="007809D6" w:rsidRPr="00D47CE7" w:rsidRDefault="007809D6" w:rsidP="007809D6">
      <w:pPr>
        <w:pStyle w:val="a2"/>
      </w:pPr>
      <w:bookmarkStart w:id="9285" w:name="_Toc18481641"/>
      <w:r>
        <w:rPr>
          <w:rFonts w:hint="cs"/>
          <w:rtl/>
        </w:rPr>
        <w:t>קושית הקה"י על הרשב"א דטעם הממשות של האיסור לא נפגמה יותר ואמאי היא מותרת</w:t>
      </w:r>
      <w:bookmarkEnd w:id="9285"/>
    </w:p>
    <w:p w:rsidR="007809D6" w:rsidRPr="00D47CE7" w:rsidRDefault="007809D6" w:rsidP="009F44AF">
      <w:pPr>
        <w:pStyle w:val="a"/>
      </w:pPr>
      <w:r w:rsidRPr="00D47CE7">
        <w:rPr>
          <w:rFonts w:hint="cs"/>
          <w:rtl/>
        </w:rPr>
        <w:t xml:space="preserve">אך הקשה </w:t>
      </w:r>
      <w:r w:rsidRPr="00D47CE7">
        <w:rPr>
          <w:rStyle w:val="af8"/>
          <w:rFonts w:hint="cs"/>
          <w:rtl/>
        </w:rPr>
        <w:t>הקה"י</w:t>
      </w:r>
      <w:r>
        <w:rPr>
          <w:rStyle w:val="af8"/>
          <w:rFonts w:hint="cs"/>
          <w:rtl/>
        </w:rPr>
        <w:t xml:space="preserve"> </w:t>
      </w:r>
      <w:r w:rsidRPr="00D47CE7">
        <w:rPr>
          <w:rStyle w:val="af6"/>
          <w:rFonts w:eastAsia="Guttman Hodes" w:hint="cs"/>
          <w:rtl/>
        </w:rPr>
        <w:t>(סי' כ"ה ד"ה ואכתי)</w:t>
      </w:r>
      <w:r w:rsidRPr="00D47CE7">
        <w:rPr>
          <w:rFonts w:hint="cs"/>
          <w:rtl/>
        </w:rPr>
        <w:t xml:space="preserve"> על </w:t>
      </w:r>
      <w:r w:rsidRPr="00D47CE7">
        <w:rPr>
          <w:rStyle w:val="af8"/>
          <w:rFonts w:hint="cs"/>
          <w:rtl/>
        </w:rPr>
        <w:t>הרשב"א</w:t>
      </w:r>
      <w:r w:rsidRPr="00D47CE7">
        <w:rPr>
          <w:rFonts w:hint="cs"/>
          <w:rtl/>
        </w:rPr>
        <w:t xml:space="preserve"> היאך מותר נותן טעם לפגם, כשממשו של האיסור מעורב בהיתר, והא אף דאין בו איסור מדין טעם כעיקר כיון שהטעם פגום, מ"מ צריך לאסור מחמת הטעם של הממשות של האיסור, דכ"ז שהוא ראוי לגר פשוט שהוא אסור, וגוף האיסור המעורב בהיתר לא הותר כלל, דהרי הממשות לא נפגמה יותר בתוך התערובת יותר ממה שהייתה לפני התערובת, וא"כ כל התערובת אסורה מחמת שמעורב בה גוף האיסור.</w:t>
      </w:r>
    </w:p>
    <w:p w:rsidR="007809D6" w:rsidRPr="00D47CE7" w:rsidRDefault="007809D6" w:rsidP="007809D6">
      <w:pPr>
        <w:pStyle w:val="a2"/>
        <w:rPr>
          <w:rtl/>
        </w:rPr>
      </w:pPr>
      <w:bookmarkStart w:id="9286" w:name="_Toc18481642"/>
      <w:r>
        <w:rPr>
          <w:rFonts w:hint="cs"/>
          <w:rtl/>
        </w:rPr>
        <w:t>ביאור הקה"י דטעם רוב ההיתר מבטל את טעם מיעוט האיסור כיון שאין בו טע"כ והוי מין במינו</w:t>
      </w:r>
      <w:bookmarkEnd w:id="9286"/>
    </w:p>
    <w:p w:rsidR="007809D6" w:rsidRDefault="007809D6" w:rsidP="009F44AF">
      <w:pPr>
        <w:pStyle w:val="a"/>
        <w:rPr>
          <w:rStyle w:val="afa"/>
          <w:rtl/>
        </w:rPr>
      </w:pPr>
      <w:r w:rsidRPr="00D47CE7">
        <w:rPr>
          <w:rFonts w:hint="cs"/>
          <w:rtl/>
        </w:rPr>
        <w:t xml:space="preserve">וכתב </w:t>
      </w:r>
      <w:r w:rsidRPr="00D47CE7">
        <w:rPr>
          <w:rStyle w:val="af8"/>
          <w:rFonts w:hint="cs"/>
          <w:rtl/>
        </w:rPr>
        <w:t>הקה"י</w:t>
      </w:r>
      <w:r>
        <w:rPr>
          <w:rStyle w:val="af8"/>
          <w:rFonts w:hint="cs"/>
          <w:rtl/>
        </w:rPr>
        <w:t xml:space="preserve"> </w:t>
      </w:r>
      <w:r w:rsidRPr="00D47CE7">
        <w:rPr>
          <w:rFonts w:hint="cs"/>
          <w:rtl/>
        </w:rPr>
        <w:t xml:space="preserve">דאפש"ל דהטעם של רוב ההיתר, מבטל את הטעם של מיעוט האיסור, כיון שטעם פגום אינו אסור מדין טעם כעיקר, וא"כ טעם ההיתר יכול לבטל את טעם האיסור, דאחר שהתערבו יחד חשיבי כטעמים שווים, והוא מין במינו דמהני בו ביטול ברוב. </w:t>
      </w:r>
      <w:r w:rsidRPr="00D47CE7">
        <w:rPr>
          <w:rStyle w:val="afa"/>
          <w:rFonts w:hint="cs"/>
          <w:rtl/>
        </w:rPr>
        <w:t>[דכ"מ דלא מהני במין בשאינו מינו ביטול ברוב הוא מדין טעם כעיקר, והכא דאין דין טעם כעיקר, דינו כמין במינו].</w:t>
      </w:r>
    </w:p>
    <w:p w:rsidR="007809D6" w:rsidRPr="00D47CE7" w:rsidRDefault="007809D6" w:rsidP="007809D6">
      <w:pPr>
        <w:pStyle w:val="a2"/>
      </w:pPr>
      <w:bookmarkStart w:id="9287" w:name="_Toc18481643"/>
      <w:r>
        <w:rPr>
          <w:rFonts w:hint="cs"/>
          <w:rtl/>
        </w:rPr>
        <w:t>ביאור הקה"י דילפינן מנבילה דחיוב אכילה הוא רק בטעם ובפגום לא נאמר דין טע"כ</w:t>
      </w:r>
      <w:bookmarkEnd w:id="9287"/>
    </w:p>
    <w:p w:rsidR="007809D6" w:rsidRPr="00D47CE7" w:rsidRDefault="007809D6" w:rsidP="009F44AF">
      <w:pPr>
        <w:pStyle w:val="a"/>
        <w:rPr>
          <w:rtl/>
        </w:rPr>
      </w:pPr>
      <w:r w:rsidRPr="00D47CE7">
        <w:rPr>
          <w:rFonts w:hint="cs"/>
          <w:rtl/>
        </w:rPr>
        <w:t>ו</w:t>
      </w:r>
      <w:r>
        <w:rPr>
          <w:rFonts w:hint="cs"/>
          <w:rtl/>
        </w:rPr>
        <w:t xml:space="preserve">ע"ע בדברי </w:t>
      </w:r>
      <w:r w:rsidRPr="008D3612">
        <w:rPr>
          <w:rStyle w:val="af8"/>
          <w:rFonts w:hint="cs"/>
          <w:rtl/>
        </w:rPr>
        <w:t>הקה"י בפסחים</w:t>
      </w:r>
      <w:bookmarkStart w:id="9288" w:name="_Ref18477969"/>
      <w:r>
        <w:rPr>
          <w:rStyle w:val="af0"/>
          <w:rtl/>
        </w:rPr>
        <w:footnoteReference w:id="38"/>
      </w:r>
      <w:bookmarkEnd w:id="9288"/>
      <w:r w:rsidRPr="00D47CE7">
        <w:rPr>
          <w:rFonts w:hint="cs"/>
          <w:rtl/>
        </w:rPr>
        <w:t xml:space="preserve"> </w:t>
      </w:r>
      <w:r w:rsidRPr="003775EE">
        <w:rPr>
          <w:rStyle w:val="af6"/>
          <w:rFonts w:eastAsia="Guttman Hodes" w:hint="cs"/>
          <w:rtl/>
        </w:rPr>
        <w:t>(סי' ט"ז ד"ה ונראה בזה)</w:t>
      </w:r>
      <w:r w:rsidRPr="00D47CE7">
        <w:rPr>
          <w:rFonts w:hint="cs"/>
          <w:rtl/>
        </w:rPr>
        <w:t xml:space="preserve"> </w:t>
      </w:r>
      <w:r>
        <w:rPr>
          <w:rFonts w:hint="cs"/>
          <w:rtl/>
        </w:rPr>
        <w:t>ד</w:t>
      </w:r>
      <w:r w:rsidRPr="00D47CE7">
        <w:rPr>
          <w:rFonts w:hint="cs"/>
          <w:rtl/>
        </w:rPr>
        <w:t xml:space="preserve">הביא את דברי </w:t>
      </w:r>
      <w:r w:rsidRPr="008D3612">
        <w:rPr>
          <w:rStyle w:val="af8"/>
          <w:rFonts w:hint="cs"/>
          <w:rtl/>
        </w:rPr>
        <w:t xml:space="preserve">הג' </w:t>
      </w:r>
      <w:r w:rsidRPr="009920E4">
        <w:rPr>
          <w:rStyle w:val="af8"/>
          <w:rFonts w:hint="cs"/>
          <w:rtl/>
        </w:rPr>
        <w:t>אמרי ברוך</w:t>
      </w:r>
      <w:r>
        <w:rPr>
          <w:rStyle w:val="af8"/>
          <w:rFonts w:hint="cs"/>
          <w:rtl/>
        </w:rPr>
        <w:t xml:space="preserve"> </w:t>
      </w:r>
      <w:r w:rsidRPr="009920E4">
        <w:rPr>
          <w:rStyle w:val="af8"/>
          <w:rFonts w:hint="cs"/>
          <w:rtl/>
        </w:rPr>
        <w:t>על החוו"ד</w:t>
      </w:r>
      <w:r w:rsidRPr="00D47CE7">
        <w:rPr>
          <w:rFonts w:hint="cs"/>
          <w:rtl/>
        </w:rPr>
        <w:t xml:space="preserve"> </w:t>
      </w:r>
      <w:r w:rsidRPr="003775EE">
        <w:rPr>
          <w:rStyle w:val="af6"/>
          <w:rFonts w:eastAsia="Guttman Hodes" w:hint="cs"/>
          <w:rtl/>
        </w:rPr>
        <w:t>(סי' ק"ג ד')</w:t>
      </w:r>
      <w:r>
        <w:rPr>
          <w:rFonts w:hint="cs"/>
          <w:rtl/>
        </w:rPr>
        <w:t xml:space="preserve"> </w:t>
      </w:r>
      <w:r w:rsidRPr="008D3612">
        <w:rPr>
          <w:rFonts w:hint="cs"/>
          <w:rtl/>
        </w:rPr>
        <w:t>דביאר</w:t>
      </w:r>
      <w:r w:rsidRPr="00D47CE7">
        <w:rPr>
          <w:rFonts w:hint="cs"/>
          <w:rtl/>
        </w:rPr>
        <w:t xml:space="preserve"> דדין טעם כעיקר נאמר רק בטעם משובח, ולא בטעם פגום, וממילא בנותן טעם לפגם, הטעם מתבטל בתערובת, וביאר </w:t>
      </w:r>
      <w:r w:rsidRPr="008D3612">
        <w:rPr>
          <w:rStyle w:val="af8"/>
          <w:rFonts w:hint="cs"/>
          <w:rtl/>
        </w:rPr>
        <w:t>הקה"י</w:t>
      </w:r>
      <w:r w:rsidRPr="00D47CE7">
        <w:rPr>
          <w:rFonts w:hint="cs"/>
          <w:rtl/>
        </w:rPr>
        <w:t xml:space="preserve"> דילפינן לה מנבילה, דנאמר בה תנאי באיסור האכילה, דחייב רק על אכילה שיש בה טעם, ובאינה ראויה לגר, לא חשיבא אכילה שיש בה טעם, וא"כ ה"ה בדין טעם כעיקר דאיסורו הוא מדין טעם, דכל שאין בו טעם משובח אינו אסור, </w:t>
      </w:r>
      <w:r w:rsidRPr="00A641B3">
        <w:rPr>
          <w:rStyle w:val="afa"/>
          <w:rFonts w:hint="cs"/>
          <w:rtl/>
        </w:rPr>
        <w:t xml:space="preserve">[ועיי"ש במה שביאר בזה </w:t>
      </w:r>
      <w:r w:rsidRPr="00A641B3">
        <w:rPr>
          <w:rStyle w:val="affa"/>
          <w:rFonts w:hint="cs"/>
          <w:rtl/>
        </w:rPr>
        <w:t>הקה"י</w:t>
      </w:r>
      <w:r w:rsidRPr="00A641B3">
        <w:rPr>
          <w:rStyle w:val="afa"/>
          <w:rFonts w:hint="cs"/>
          <w:rtl/>
        </w:rPr>
        <w:t xml:space="preserve"> לענין בשר בחלב וכלאי הכרם],</w:t>
      </w:r>
      <w:r w:rsidRPr="00D47CE7">
        <w:rPr>
          <w:rFonts w:hint="cs"/>
          <w:rtl/>
        </w:rPr>
        <w:t xml:space="preserve"> והביא </w:t>
      </w:r>
      <w:r w:rsidRPr="008D3612">
        <w:rPr>
          <w:rStyle w:val="af8"/>
          <w:rFonts w:hint="cs"/>
          <w:rtl/>
        </w:rPr>
        <w:t>הקה"י</w:t>
      </w:r>
      <w:r w:rsidRPr="00D47CE7">
        <w:rPr>
          <w:rFonts w:hint="cs"/>
          <w:rtl/>
        </w:rPr>
        <w:t xml:space="preserve"> דכעי"ז ביאר </w:t>
      </w:r>
      <w:r w:rsidRPr="00373178">
        <w:rPr>
          <w:rStyle w:val="af8"/>
          <w:rFonts w:hint="cs"/>
          <w:rtl/>
        </w:rPr>
        <w:t>הגר"ח</w:t>
      </w:r>
      <w:r>
        <w:rPr>
          <w:rFonts w:hint="cs"/>
          <w:rtl/>
        </w:rPr>
        <w:t xml:space="preserve"> </w:t>
      </w:r>
      <w:r w:rsidRPr="00373178">
        <w:rPr>
          <w:rStyle w:val="af6"/>
          <w:rFonts w:eastAsia="Guttman Hodes" w:hint="cs"/>
          <w:rtl/>
        </w:rPr>
        <w:t xml:space="preserve">(עי' אות </w:t>
      </w:r>
      <w:r w:rsidRPr="00373178">
        <w:rPr>
          <w:rStyle w:val="af6"/>
          <w:rFonts w:eastAsia="Guttman Hodes"/>
          <w:rtl/>
        </w:rPr>
        <w:fldChar w:fldCharType="begin"/>
      </w:r>
      <w:r w:rsidRPr="00373178">
        <w:rPr>
          <w:rStyle w:val="af6"/>
          <w:rFonts w:eastAsia="Guttman Hodes"/>
          <w:rtl/>
        </w:rPr>
        <w:instrText xml:space="preserve"> </w:instrText>
      </w:r>
      <w:r w:rsidRPr="00373178">
        <w:rPr>
          <w:rStyle w:val="af6"/>
          <w:rFonts w:eastAsia="Guttman Hodes" w:hint="cs"/>
        </w:rPr>
        <w:instrText>REF</w:instrText>
      </w:r>
      <w:r w:rsidRPr="00373178">
        <w:rPr>
          <w:rStyle w:val="af6"/>
          <w:rFonts w:eastAsia="Guttman Hodes" w:hint="cs"/>
          <w:rtl/>
        </w:rPr>
        <w:instrText xml:space="preserve"> _</w:instrText>
      </w:r>
      <w:r w:rsidRPr="00373178">
        <w:rPr>
          <w:rStyle w:val="af6"/>
          <w:rFonts w:eastAsia="Guttman Hodes" w:hint="cs"/>
        </w:rPr>
        <w:instrText>Ref18403740 \r \h</w:instrText>
      </w:r>
      <w:r w:rsidRPr="00373178">
        <w:rPr>
          <w:rStyle w:val="af6"/>
          <w:rFonts w:eastAsia="Guttman Hodes"/>
          <w:rtl/>
        </w:rPr>
        <w:instrText xml:space="preserve"> </w:instrText>
      </w:r>
      <w:r w:rsidRPr="00373178">
        <w:rPr>
          <w:rStyle w:val="af6"/>
          <w:rFonts w:eastAsia="Guttman Hodes"/>
          <w:rtl/>
        </w:rPr>
      </w:r>
      <w:r w:rsidRPr="00373178">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373178">
        <w:rPr>
          <w:rStyle w:val="af6"/>
          <w:rFonts w:eastAsia="Guttman Hodes"/>
          <w:rtl/>
        </w:rPr>
        <w:fldChar w:fldCharType="end"/>
      </w:r>
      <w:r>
        <w:rPr>
          <w:rFonts w:hint="cs"/>
          <w:rtl/>
        </w:rPr>
        <w:t xml:space="preserve"> </w:t>
      </w:r>
      <w:r w:rsidRPr="00D47CE7">
        <w:rPr>
          <w:rFonts w:hint="cs"/>
          <w:rtl/>
        </w:rPr>
        <w:t>דטעם כעיקר נלמד ממשרת, שנאמר בו אכילה, ולכן דין טעם כעיקר נאמר רק בטעם שיש בו הנאה.</w:t>
      </w:r>
    </w:p>
    <w:p w:rsidR="007809D6" w:rsidRPr="00D47CE7" w:rsidRDefault="007809D6" w:rsidP="007809D6">
      <w:pPr>
        <w:pStyle w:val="a2"/>
      </w:pPr>
      <w:bookmarkStart w:id="9289" w:name="_Toc18481644"/>
      <w:r>
        <w:rPr>
          <w:rFonts w:hint="cs"/>
          <w:rtl/>
        </w:rPr>
        <w:t>דברי הקה"י דמוכח ברשב"א באיסור מאוס דבכל טעם פגום אין טע"כ בלא הילפותא מנבילה</w:t>
      </w:r>
      <w:bookmarkEnd w:id="9289"/>
    </w:p>
    <w:p w:rsidR="007809D6" w:rsidRPr="00D47CE7" w:rsidRDefault="007809D6" w:rsidP="009F44AF">
      <w:pPr>
        <w:pStyle w:val="a"/>
        <w:rPr>
          <w:rtl/>
        </w:rPr>
      </w:pPr>
      <w:r w:rsidRPr="00D47CE7">
        <w:rPr>
          <w:rFonts w:hint="cs"/>
          <w:rtl/>
        </w:rPr>
        <w:t xml:space="preserve">וכתב </w:t>
      </w:r>
      <w:r w:rsidRPr="003775EE">
        <w:rPr>
          <w:rStyle w:val="af8"/>
          <w:rFonts w:hint="cs"/>
          <w:rtl/>
        </w:rPr>
        <w:t>הקה"י בפסחים</w:t>
      </w:r>
      <w:r w:rsidRPr="00732195">
        <w:rPr>
          <w:vertAlign w:val="superscript"/>
          <w:rtl/>
        </w:rPr>
        <w:fldChar w:fldCharType="begin"/>
      </w:r>
      <w:r w:rsidRPr="00732195">
        <w:rPr>
          <w:vertAlign w:val="superscript"/>
          <w:rtl/>
        </w:rPr>
        <w:instrText xml:space="preserve"> </w:instrText>
      </w:r>
      <w:r w:rsidRPr="00732195">
        <w:rPr>
          <w:rFonts w:hint="cs"/>
          <w:vertAlign w:val="superscript"/>
        </w:rPr>
        <w:instrText>NOTEREF</w:instrText>
      </w:r>
      <w:r w:rsidRPr="00732195">
        <w:rPr>
          <w:rFonts w:hint="cs"/>
          <w:vertAlign w:val="superscript"/>
          <w:rtl/>
        </w:rPr>
        <w:instrText xml:space="preserve"> _</w:instrText>
      </w:r>
      <w:r w:rsidRPr="00732195">
        <w:rPr>
          <w:rFonts w:hint="cs"/>
          <w:vertAlign w:val="superscript"/>
        </w:rPr>
        <w:instrText>Ref18477969 \h</w:instrText>
      </w:r>
      <w:r w:rsidRPr="0073219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32195">
        <w:rPr>
          <w:vertAlign w:val="superscript"/>
          <w:rtl/>
        </w:rPr>
      </w:r>
      <w:r w:rsidRPr="00732195">
        <w:rPr>
          <w:vertAlign w:val="superscript"/>
          <w:rtl/>
        </w:rPr>
        <w:fldChar w:fldCharType="separate"/>
      </w:r>
      <w:r w:rsidR="004D1C5B">
        <w:rPr>
          <w:vertAlign w:val="superscript"/>
          <w:rtl/>
        </w:rPr>
        <w:t>38</w:t>
      </w:r>
      <w:r w:rsidRPr="00732195">
        <w:rPr>
          <w:vertAlign w:val="superscript"/>
          <w:rtl/>
        </w:rPr>
        <w:fldChar w:fldCharType="end"/>
      </w:r>
      <w:r w:rsidRPr="00D47CE7">
        <w:rPr>
          <w:rFonts w:hint="cs"/>
          <w:rtl/>
        </w:rPr>
        <w:t xml:space="preserve"> </w:t>
      </w:r>
      <w:r w:rsidRPr="003775EE">
        <w:rPr>
          <w:rStyle w:val="af6"/>
          <w:rFonts w:eastAsia="Guttman Hodes" w:hint="cs"/>
          <w:rtl/>
        </w:rPr>
        <w:t>(סי' ט"ז ד"ה וראיה)</w:t>
      </w:r>
      <w:r w:rsidRPr="00D47CE7">
        <w:rPr>
          <w:rFonts w:hint="cs"/>
          <w:rtl/>
        </w:rPr>
        <w:t xml:space="preserve"> דכן מוכח מדברי </w:t>
      </w:r>
      <w:r w:rsidRPr="003775EE">
        <w:rPr>
          <w:rStyle w:val="af8"/>
          <w:rFonts w:hint="cs"/>
          <w:rtl/>
        </w:rPr>
        <w:t>הרשב"א בתוה</w:t>
      </w:r>
      <w:r w:rsidRPr="00497A02">
        <w:rPr>
          <w:rStyle w:val="af8"/>
          <w:rFonts w:hint="cs"/>
          <w:rtl/>
        </w:rPr>
        <w:t>"ב</w:t>
      </w:r>
      <w:r w:rsidRPr="00D47CE7">
        <w:rPr>
          <w:rFonts w:hint="cs"/>
          <w:rtl/>
        </w:rPr>
        <w:t xml:space="preserve"> </w:t>
      </w:r>
      <w:r w:rsidRPr="003775EE">
        <w:rPr>
          <w:rStyle w:val="af6"/>
          <w:rFonts w:eastAsia="Guttman Hodes" w:hint="cs"/>
          <w:rtl/>
        </w:rPr>
        <w:t xml:space="preserve">(עי' אות </w:t>
      </w:r>
      <w:r w:rsidRPr="003775EE">
        <w:rPr>
          <w:rStyle w:val="af6"/>
          <w:rFonts w:eastAsia="Guttman Hodes"/>
          <w:rtl/>
        </w:rPr>
        <w:fldChar w:fldCharType="begin"/>
      </w:r>
      <w:r w:rsidRPr="003775EE">
        <w:rPr>
          <w:rStyle w:val="af6"/>
          <w:rFonts w:eastAsia="Guttman Hodes"/>
          <w:rtl/>
        </w:rPr>
        <w:instrText xml:space="preserve"> </w:instrText>
      </w:r>
      <w:r w:rsidRPr="003775EE">
        <w:rPr>
          <w:rStyle w:val="af6"/>
          <w:rFonts w:eastAsia="Guttman Hodes" w:hint="cs"/>
        </w:rPr>
        <w:instrText>REF</w:instrText>
      </w:r>
      <w:r w:rsidRPr="003775EE">
        <w:rPr>
          <w:rStyle w:val="af6"/>
          <w:rFonts w:eastAsia="Guttman Hodes" w:hint="cs"/>
          <w:rtl/>
        </w:rPr>
        <w:instrText xml:space="preserve"> _</w:instrText>
      </w:r>
      <w:r w:rsidRPr="003775EE">
        <w:rPr>
          <w:rStyle w:val="af6"/>
          <w:rFonts w:eastAsia="Guttman Hodes" w:hint="cs"/>
        </w:rPr>
        <w:instrText>Ref18227824 \r \h</w:instrText>
      </w:r>
      <w:r w:rsidRPr="003775EE">
        <w:rPr>
          <w:rStyle w:val="af6"/>
          <w:rFonts w:eastAsia="Guttman Hodes"/>
          <w:rtl/>
        </w:rPr>
        <w:instrText xml:space="preserve"> </w:instrText>
      </w:r>
      <w:r w:rsidRPr="003775EE">
        <w:rPr>
          <w:rStyle w:val="af6"/>
          <w:rFonts w:eastAsia="Guttman Hodes"/>
          <w:rtl/>
        </w:rPr>
      </w:r>
      <w:r w:rsidRPr="003775EE">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3775EE">
        <w:rPr>
          <w:rStyle w:val="af6"/>
          <w:rFonts w:eastAsia="Guttman Hodes"/>
          <w:rtl/>
        </w:rPr>
        <w:fldChar w:fldCharType="end"/>
      </w:r>
      <w:r w:rsidRPr="00D47CE7">
        <w:rPr>
          <w:rFonts w:hint="cs"/>
          <w:rtl/>
        </w:rPr>
        <w:t xml:space="preserve"> דכתב דאיסור שפגום מעיקרו כעכברא בשיכרא, אינו אוסר בתערובת, כשיש רוב בהיתר כנגדו, ואעפ"י דבאיסור שפגום מעיקרו לא נאמרה הילפותא מנבילה שאינה ראויה לגר, דהרי מתחילתו הוא פגום ואינו ראוי לגר, ואפ"ה אסרתו תורה, ומ"מ יש בו היתר בנותן טעם לפגם בתערובת, ומוכח דבכל טעם פגום לא נאמר דין טעם כעיקר כלל, וכ"מ דאסרתו תורה היינו כשאוכלו בעין </w:t>
      </w:r>
      <w:r w:rsidRPr="00D47CE7">
        <w:rPr>
          <w:rFonts w:hint="cs"/>
          <w:rtl/>
        </w:rPr>
        <w:lastRenderedPageBreak/>
        <w:t xml:space="preserve">בפנ"ע, ולא בטעמו, והוסיף </w:t>
      </w:r>
      <w:r w:rsidRPr="008D3612">
        <w:rPr>
          <w:rStyle w:val="af8"/>
          <w:rFonts w:hint="cs"/>
          <w:rtl/>
        </w:rPr>
        <w:t>הקה"י</w:t>
      </w:r>
      <w:r w:rsidRPr="00D47CE7">
        <w:rPr>
          <w:rFonts w:hint="cs"/>
          <w:rtl/>
        </w:rPr>
        <w:t xml:space="preserve"> דאפש"ל כדכתב </w:t>
      </w:r>
      <w:r w:rsidRPr="00373178">
        <w:rPr>
          <w:rStyle w:val="af8"/>
          <w:rFonts w:hint="cs"/>
          <w:rtl/>
        </w:rPr>
        <w:t>הגר"ח</w:t>
      </w:r>
      <w:r>
        <w:rPr>
          <w:rFonts w:hint="cs"/>
          <w:rtl/>
        </w:rPr>
        <w:t xml:space="preserve"> </w:t>
      </w:r>
      <w:r w:rsidRPr="00373178">
        <w:rPr>
          <w:rStyle w:val="af6"/>
          <w:rFonts w:eastAsia="Guttman Hodes" w:hint="cs"/>
          <w:rtl/>
        </w:rPr>
        <w:t xml:space="preserve">(עי' אות </w:t>
      </w:r>
      <w:r w:rsidRPr="00373178">
        <w:rPr>
          <w:rStyle w:val="af6"/>
          <w:rFonts w:eastAsia="Guttman Hodes"/>
          <w:rtl/>
        </w:rPr>
        <w:fldChar w:fldCharType="begin"/>
      </w:r>
      <w:r w:rsidRPr="00373178">
        <w:rPr>
          <w:rStyle w:val="af6"/>
          <w:rFonts w:eastAsia="Guttman Hodes"/>
          <w:rtl/>
        </w:rPr>
        <w:instrText xml:space="preserve"> </w:instrText>
      </w:r>
      <w:r w:rsidRPr="00373178">
        <w:rPr>
          <w:rStyle w:val="af6"/>
          <w:rFonts w:eastAsia="Guttman Hodes" w:hint="cs"/>
        </w:rPr>
        <w:instrText>REF</w:instrText>
      </w:r>
      <w:r w:rsidRPr="00373178">
        <w:rPr>
          <w:rStyle w:val="af6"/>
          <w:rFonts w:eastAsia="Guttman Hodes" w:hint="cs"/>
          <w:rtl/>
        </w:rPr>
        <w:instrText xml:space="preserve"> _</w:instrText>
      </w:r>
      <w:r w:rsidRPr="00373178">
        <w:rPr>
          <w:rStyle w:val="af6"/>
          <w:rFonts w:eastAsia="Guttman Hodes" w:hint="cs"/>
        </w:rPr>
        <w:instrText>Ref18403740 \r \h</w:instrText>
      </w:r>
      <w:r w:rsidRPr="00373178">
        <w:rPr>
          <w:rStyle w:val="af6"/>
          <w:rFonts w:eastAsia="Guttman Hodes"/>
          <w:rtl/>
        </w:rPr>
        <w:instrText xml:space="preserve"> </w:instrText>
      </w:r>
      <w:r w:rsidRPr="00373178">
        <w:rPr>
          <w:rStyle w:val="af6"/>
          <w:rFonts w:eastAsia="Guttman Hodes"/>
          <w:rtl/>
        </w:rPr>
      </w:r>
      <w:r w:rsidRPr="00373178">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373178">
        <w:rPr>
          <w:rStyle w:val="af6"/>
          <w:rFonts w:eastAsia="Guttman Hodes"/>
          <w:rtl/>
        </w:rPr>
        <w:fldChar w:fldCharType="end"/>
      </w:r>
      <w:r>
        <w:rPr>
          <w:rFonts w:hint="cs"/>
          <w:rtl/>
        </w:rPr>
        <w:t xml:space="preserve"> </w:t>
      </w:r>
      <w:r w:rsidRPr="00D47CE7">
        <w:rPr>
          <w:rFonts w:hint="cs"/>
          <w:rtl/>
        </w:rPr>
        <w:t>דכיון דטעם כעיקר נלמד ממשרת, שכתוב בו לשון אכילה, וכל טעם כעיקר שייך רק במקום שיש הנאת אכילה.</w:t>
      </w:r>
    </w:p>
    <w:p w:rsidR="007809D6" w:rsidRDefault="007809D6" w:rsidP="007809D6">
      <w:pPr>
        <w:pStyle w:val="1"/>
        <w:rPr>
          <w:rtl/>
        </w:rPr>
      </w:pPr>
      <w:bookmarkStart w:id="9290" w:name="_Toc18481645"/>
      <w:r>
        <w:rPr>
          <w:rFonts w:hint="cs"/>
          <w:rtl/>
        </w:rPr>
        <w:t>ביאור הקה"י בר"ן דמנבילה ילפינן דאכילה בלא הנאה מותר</w:t>
      </w:r>
      <w:bookmarkEnd w:id="9290"/>
    </w:p>
    <w:p w:rsidR="007809D6" w:rsidRPr="006741AB" w:rsidRDefault="007809D6" w:rsidP="007809D6">
      <w:pPr>
        <w:pStyle w:val="a2"/>
        <w:rPr>
          <w:rtl/>
        </w:rPr>
      </w:pPr>
      <w:bookmarkStart w:id="9291" w:name="_Toc18481646"/>
      <w:r>
        <w:rPr>
          <w:rFonts w:hint="cs"/>
          <w:rtl/>
        </w:rPr>
        <w:t xml:space="preserve">ביאור </w:t>
      </w:r>
      <w:r w:rsidRPr="006741AB">
        <w:rPr>
          <w:rFonts w:hint="cs"/>
          <w:rtl/>
        </w:rPr>
        <w:t>הקה"י בר"ן דהילפותא מנבילה דכל שאין הנאת אכילה מותר וה"ה בפגום במקצת</w:t>
      </w:r>
      <w:bookmarkEnd w:id="9291"/>
    </w:p>
    <w:p w:rsidR="007809D6" w:rsidRPr="00285C98" w:rsidRDefault="007809D6" w:rsidP="009F44AF">
      <w:pPr>
        <w:pStyle w:val="a"/>
      </w:pPr>
      <w:bookmarkStart w:id="9292" w:name="_Ref18437896"/>
      <w:r>
        <w:rPr>
          <w:rFonts w:hint="cs"/>
          <w:rtl/>
        </w:rPr>
        <w:t>ובדעת</w:t>
      </w:r>
      <w:r w:rsidRPr="006741AB">
        <w:rPr>
          <w:rFonts w:hint="cs"/>
          <w:rtl/>
        </w:rPr>
        <w:t xml:space="preserve"> </w:t>
      </w:r>
      <w:r w:rsidRPr="006741AB">
        <w:rPr>
          <w:rStyle w:val="af8"/>
          <w:rFonts w:hint="cs"/>
          <w:rtl/>
        </w:rPr>
        <w:t>הר"ן</w:t>
      </w:r>
      <w:r w:rsidRPr="006741AB">
        <w:rPr>
          <w:rFonts w:hint="cs"/>
          <w:rtl/>
        </w:rPr>
        <w:t xml:space="preserve"> </w:t>
      </w:r>
      <w:r w:rsidRPr="006741AB">
        <w:rPr>
          <w:rStyle w:val="af6"/>
          <w:rFonts w:eastAsia="Guttman Hodes" w:hint="cs"/>
          <w:rtl/>
        </w:rPr>
        <w:t xml:space="preserve">(עי' אות </w:t>
      </w:r>
      <w:r w:rsidRPr="006741AB">
        <w:rPr>
          <w:rStyle w:val="af6"/>
          <w:rFonts w:eastAsia="Guttman Hodes"/>
          <w:rtl/>
        </w:rPr>
        <w:fldChar w:fldCharType="begin"/>
      </w:r>
      <w:r w:rsidRPr="006741AB">
        <w:rPr>
          <w:rStyle w:val="af6"/>
          <w:rFonts w:eastAsia="Guttman Hodes"/>
          <w:rtl/>
        </w:rPr>
        <w:instrText xml:space="preserve"> </w:instrText>
      </w:r>
      <w:r w:rsidRPr="006741AB">
        <w:rPr>
          <w:rStyle w:val="af6"/>
          <w:rFonts w:eastAsia="Guttman Hodes" w:hint="cs"/>
        </w:rPr>
        <w:instrText>REF</w:instrText>
      </w:r>
      <w:r w:rsidRPr="006741AB">
        <w:rPr>
          <w:rStyle w:val="af6"/>
          <w:rFonts w:eastAsia="Guttman Hodes" w:hint="cs"/>
          <w:rtl/>
        </w:rPr>
        <w:instrText xml:space="preserve"> _</w:instrText>
      </w:r>
      <w:r w:rsidRPr="006741AB">
        <w:rPr>
          <w:rStyle w:val="af6"/>
          <w:rFonts w:eastAsia="Guttman Hodes" w:hint="cs"/>
        </w:rPr>
        <w:instrText>Ref16849713 \r \h</w:instrText>
      </w:r>
      <w:r w:rsidRPr="006741AB">
        <w:rPr>
          <w:rStyle w:val="af6"/>
          <w:rFonts w:eastAsia="Guttman Hodes"/>
          <w:rtl/>
        </w:rPr>
        <w:instrText xml:space="preserve">  \* </w:instrText>
      </w:r>
      <w:r w:rsidRPr="006741AB">
        <w:rPr>
          <w:rStyle w:val="af6"/>
          <w:rFonts w:eastAsia="Guttman Hodes"/>
        </w:rPr>
        <w:instrText>MERGEFORMAT</w:instrText>
      </w:r>
      <w:r w:rsidRPr="006741AB">
        <w:rPr>
          <w:rStyle w:val="af6"/>
          <w:rFonts w:eastAsia="Guttman Hodes"/>
          <w:rtl/>
        </w:rPr>
        <w:instrText xml:space="preserve"> </w:instrText>
      </w:r>
      <w:r w:rsidRPr="006741AB">
        <w:rPr>
          <w:rStyle w:val="af6"/>
          <w:rFonts w:eastAsia="Guttman Hodes"/>
          <w:rtl/>
        </w:rPr>
      </w:r>
      <w:r w:rsidRPr="006741AB">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6741AB">
        <w:rPr>
          <w:rStyle w:val="af6"/>
          <w:rFonts w:eastAsia="Guttman Hodes"/>
          <w:rtl/>
        </w:rPr>
        <w:fldChar w:fldCharType="end"/>
      </w:r>
      <w:r w:rsidRPr="006741AB">
        <w:rPr>
          <w:rFonts w:hint="cs"/>
          <w:rtl/>
        </w:rPr>
        <w:t xml:space="preserve"> </w:t>
      </w:r>
      <w:r>
        <w:rPr>
          <w:rFonts w:hint="cs"/>
          <w:rtl/>
        </w:rPr>
        <w:t xml:space="preserve">דכתב </w:t>
      </w:r>
      <w:r w:rsidRPr="006741AB">
        <w:rPr>
          <w:rFonts w:hint="cs"/>
          <w:rtl/>
        </w:rPr>
        <w:t xml:space="preserve">דההיתר בנותן טעם לפגם בפגום במקצת נלמד מנבילה שמותרת רק כשאינה ראויה לגר, דמבואר דכשאינו נהנה מהאיסור התירתה תורה, וה"ה בפגום במקצת דאינו נהנה מהאיסור, </w:t>
      </w:r>
      <w:r>
        <w:rPr>
          <w:rFonts w:hint="cs"/>
          <w:rtl/>
        </w:rPr>
        <w:t>ביאר</w:t>
      </w:r>
      <w:r w:rsidRPr="006741AB">
        <w:rPr>
          <w:rFonts w:hint="cs"/>
          <w:rtl/>
        </w:rPr>
        <w:t xml:space="preserve"> </w:t>
      </w:r>
      <w:r w:rsidRPr="00D47CE7">
        <w:rPr>
          <w:rStyle w:val="af8"/>
          <w:rFonts w:hint="cs"/>
          <w:rtl/>
        </w:rPr>
        <w:t>הקה"י</w:t>
      </w:r>
      <w:r>
        <w:rPr>
          <w:rStyle w:val="af8"/>
          <w:rFonts w:hint="cs"/>
          <w:rtl/>
        </w:rPr>
        <w:t xml:space="preserve"> </w:t>
      </w:r>
      <w:r w:rsidRPr="00D47CE7">
        <w:rPr>
          <w:rStyle w:val="af6"/>
          <w:rFonts w:eastAsia="Guttman Hodes" w:hint="cs"/>
          <w:rtl/>
        </w:rPr>
        <w:t>(סי' כ"ה ד"ה ואכתי)</w:t>
      </w:r>
      <w:r w:rsidRPr="00D47CE7">
        <w:rPr>
          <w:rFonts w:hint="cs"/>
          <w:rtl/>
        </w:rPr>
        <w:t xml:space="preserve"> </w:t>
      </w:r>
      <w:r w:rsidRPr="006741AB">
        <w:rPr>
          <w:rStyle w:val="af8"/>
          <w:rFonts w:hint="cs"/>
          <w:rtl/>
        </w:rPr>
        <w:t>דהר"ן</w:t>
      </w:r>
      <w:r w:rsidRPr="006741AB">
        <w:rPr>
          <w:rFonts w:hint="cs"/>
          <w:rtl/>
        </w:rPr>
        <w:t xml:space="preserve"> ס"ל דהילפותא היא דכיון שנבילה שאינה ראויה</w:t>
      </w:r>
      <w:r>
        <w:rPr>
          <w:rFonts w:hint="cs"/>
          <w:rtl/>
        </w:rPr>
        <w:t xml:space="preserve"> לגר מותרת, כיון שאין בה הנאת אכילה, אף האיסור שמעורב בהיתר ופגם אותו מותר, כיון שאין בו הנאת אכילה, ולכן ס"ל </w:t>
      </w:r>
      <w:r w:rsidRPr="00D47CE7">
        <w:rPr>
          <w:rStyle w:val="af8"/>
          <w:rFonts w:hint="cs"/>
          <w:rtl/>
        </w:rPr>
        <w:t>להר"ן</w:t>
      </w:r>
      <w:r w:rsidRPr="00D47CE7">
        <w:rPr>
          <w:rFonts w:hint="cs"/>
          <w:rtl/>
        </w:rPr>
        <w:t xml:space="preserve"> </w:t>
      </w:r>
      <w:r w:rsidRPr="00152215">
        <w:rPr>
          <w:rStyle w:val="af6"/>
          <w:rFonts w:eastAsia="Guttman Hodes" w:hint="cs"/>
          <w:rtl/>
        </w:rPr>
        <w:t xml:space="preserve">(עי' אות </w:t>
      </w:r>
      <w:r w:rsidRPr="00152215">
        <w:rPr>
          <w:rStyle w:val="af6"/>
          <w:rFonts w:eastAsia="Guttman Hodes"/>
          <w:rtl/>
        </w:rPr>
        <w:fldChar w:fldCharType="begin"/>
      </w:r>
      <w:r w:rsidRPr="00152215">
        <w:rPr>
          <w:rStyle w:val="af6"/>
          <w:rFonts w:eastAsia="Guttman Hodes"/>
          <w:rtl/>
        </w:rPr>
        <w:instrText xml:space="preserve"> </w:instrText>
      </w:r>
      <w:r w:rsidRPr="00152215">
        <w:rPr>
          <w:rStyle w:val="af6"/>
          <w:rFonts w:eastAsia="Guttman Hodes" w:hint="cs"/>
        </w:rPr>
        <w:instrText>REF</w:instrText>
      </w:r>
      <w:r w:rsidRPr="00152215">
        <w:rPr>
          <w:rStyle w:val="af6"/>
          <w:rFonts w:eastAsia="Guttman Hodes" w:hint="cs"/>
          <w:rtl/>
        </w:rPr>
        <w:instrText xml:space="preserve"> _</w:instrText>
      </w:r>
      <w:r w:rsidRPr="00152215">
        <w:rPr>
          <w:rStyle w:val="af6"/>
          <w:rFonts w:eastAsia="Guttman Hodes" w:hint="cs"/>
        </w:rPr>
        <w:instrText>Ref16850208 \r \h</w:instrText>
      </w:r>
      <w:r w:rsidRPr="00152215">
        <w:rPr>
          <w:rStyle w:val="af6"/>
          <w:rFonts w:eastAsia="Guttman Hodes"/>
          <w:rtl/>
        </w:rPr>
        <w:instrText xml:space="preserve"> </w:instrText>
      </w:r>
      <w:r w:rsidRPr="00152215">
        <w:rPr>
          <w:rStyle w:val="af6"/>
          <w:rFonts w:eastAsia="Guttman Hodes"/>
          <w:rtl/>
        </w:rPr>
      </w:r>
      <w:r w:rsidRPr="00152215">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152215">
        <w:rPr>
          <w:rStyle w:val="af6"/>
          <w:rFonts w:eastAsia="Guttman Hodes"/>
          <w:rtl/>
        </w:rPr>
        <w:fldChar w:fldCharType="end"/>
      </w:r>
      <w:r>
        <w:rPr>
          <w:rFonts w:hint="cs"/>
          <w:rtl/>
        </w:rPr>
        <w:t xml:space="preserve"> דזהו דוקא במקום שאין כל הנאה מהטעם הפגום, אבל במקום שהאיסור הגדיל את מידת ההיתר, ונהנה ממנו אסור.</w:t>
      </w:r>
      <w:bookmarkEnd w:id="9292"/>
      <w:r w:rsidRPr="007202B6">
        <w:rPr>
          <w:rStyle w:val="afa"/>
          <w:rFonts w:hint="cs"/>
          <w:rtl/>
        </w:rPr>
        <w:t xml:space="preserve"> [</w:t>
      </w:r>
      <w:r>
        <w:rPr>
          <w:rStyle w:val="afa"/>
          <w:rFonts w:hint="cs"/>
          <w:rtl/>
        </w:rPr>
        <w:t xml:space="preserve">ואף לדעת </w:t>
      </w:r>
      <w:r w:rsidRPr="007202B6">
        <w:rPr>
          <w:rStyle w:val="affa"/>
          <w:rFonts w:hint="cs"/>
          <w:rtl/>
        </w:rPr>
        <w:t>הרשב"א</w:t>
      </w:r>
      <w:r>
        <w:rPr>
          <w:rStyle w:val="afa"/>
          <w:rFonts w:hint="cs"/>
          <w:rtl/>
        </w:rPr>
        <w:t xml:space="preserve"> ילפינן מנבילה </w:t>
      </w:r>
      <w:r w:rsidRPr="007202B6">
        <w:rPr>
          <w:rStyle w:val="afa"/>
          <w:rFonts w:hint="cs"/>
          <w:rtl/>
        </w:rPr>
        <w:t xml:space="preserve">אלא </w:t>
      </w:r>
      <w:r w:rsidRPr="007202B6">
        <w:rPr>
          <w:rStyle w:val="affa"/>
          <w:rFonts w:hint="cs"/>
          <w:rtl/>
        </w:rPr>
        <w:t>דלהר"ן</w:t>
      </w:r>
      <w:r w:rsidRPr="007202B6">
        <w:rPr>
          <w:rStyle w:val="afa"/>
          <w:rFonts w:hint="cs"/>
          <w:rtl/>
        </w:rPr>
        <w:t xml:space="preserve"> ההיתר הוא במה שאינו נהנה, </w:t>
      </w:r>
      <w:r w:rsidRPr="007202B6">
        <w:rPr>
          <w:rStyle w:val="affa"/>
          <w:rFonts w:hint="cs"/>
          <w:rtl/>
        </w:rPr>
        <w:t>ולהרשב"א</w:t>
      </w:r>
      <w:r w:rsidRPr="007202B6">
        <w:rPr>
          <w:rStyle w:val="afa"/>
          <w:rFonts w:hint="cs"/>
          <w:rtl/>
        </w:rPr>
        <w:t xml:space="preserve"> </w:t>
      </w:r>
      <w:r w:rsidRPr="007202B6">
        <w:rPr>
          <w:rStyle w:val="aff6"/>
          <w:rFonts w:hint="cs"/>
          <w:rtl/>
        </w:rPr>
        <w:t xml:space="preserve">(עי' אות </w:t>
      </w:r>
      <w:r w:rsidRPr="007202B6">
        <w:rPr>
          <w:rStyle w:val="aff6"/>
          <w:rtl/>
        </w:rPr>
        <w:fldChar w:fldCharType="begin"/>
      </w:r>
      <w:r w:rsidRPr="007202B6">
        <w:rPr>
          <w:rStyle w:val="aff6"/>
          <w:rtl/>
        </w:rPr>
        <w:instrText xml:space="preserve"> </w:instrText>
      </w:r>
      <w:r w:rsidRPr="007202B6">
        <w:rPr>
          <w:rStyle w:val="aff6"/>
          <w:rFonts w:hint="cs"/>
        </w:rPr>
        <w:instrText>REF</w:instrText>
      </w:r>
      <w:r w:rsidRPr="007202B6">
        <w:rPr>
          <w:rStyle w:val="aff6"/>
          <w:rFonts w:hint="cs"/>
          <w:rtl/>
        </w:rPr>
        <w:instrText xml:space="preserve"> _</w:instrText>
      </w:r>
      <w:r w:rsidRPr="007202B6">
        <w:rPr>
          <w:rStyle w:val="aff6"/>
          <w:rFonts w:hint="cs"/>
        </w:rPr>
        <w:instrText>Ref18437964 \r \h</w:instrText>
      </w:r>
      <w:r w:rsidRPr="007202B6">
        <w:rPr>
          <w:rStyle w:val="aff6"/>
          <w:rtl/>
        </w:rPr>
        <w:instrText xml:space="preserve"> </w:instrText>
      </w:r>
      <w:r w:rsidRPr="007202B6">
        <w:rPr>
          <w:rStyle w:val="aff6"/>
          <w:rtl/>
        </w:rPr>
      </w:r>
      <w:r w:rsidRPr="007202B6">
        <w:rPr>
          <w:rStyle w:val="aff6"/>
          <w:rtl/>
        </w:rPr>
        <w:fldChar w:fldCharType="separate"/>
      </w:r>
      <w:r w:rsidR="004D1C5B">
        <w:rPr>
          <w:rStyle w:val="aff6"/>
          <w:cs/>
        </w:rPr>
        <w:t>‎</w:t>
      </w:r>
      <w:r w:rsidR="004D1C5B">
        <w:rPr>
          <w:rStyle w:val="aff6"/>
          <w:rtl/>
        </w:rPr>
        <w:t>קיג)</w:t>
      </w:r>
      <w:r w:rsidRPr="007202B6">
        <w:rPr>
          <w:rStyle w:val="aff6"/>
          <w:rtl/>
        </w:rPr>
        <w:fldChar w:fldCharType="end"/>
      </w:r>
      <w:r>
        <w:rPr>
          <w:rStyle w:val="afa"/>
          <w:rFonts w:hint="cs"/>
          <w:rtl/>
        </w:rPr>
        <w:t xml:space="preserve"> </w:t>
      </w:r>
      <w:r w:rsidRPr="007202B6">
        <w:rPr>
          <w:rStyle w:val="afa"/>
          <w:rFonts w:hint="cs"/>
          <w:rtl/>
        </w:rPr>
        <w:t>הטעם עצמו אינו אסור].</w:t>
      </w:r>
      <w:r>
        <w:rPr>
          <w:rFonts w:hint="cs"/>
          <w:rtl/>
        </w:rPr>
        <w:t xml:space="preserve"> </w:t>
      </w:r>
    </w:p>
    <w:p w:rsidR="007809D6" w:rsidRPr="00D47CE7" w:rsidRDefault="007809D6" w:rsidP="007809D6">
      <w:pPr>
        <w:pStyle w:val="a2"/>
      </w:pPr>
      <w:bookmarkStart w:id="9293" w:name="_Toc18481647"/>
      <w:r>
        <w:rPr>
          <w:rFonts w:hint="cs"/>
          <w:rtl/>
        </w:rPr>
        <w:t>ביאור הקה"י בר"ן דבנבילה נהנה ממנה אף בפגום במקצת ובתערובת אינו נהנה ולכן מותר</w:t>
      </w:r>
      <w:bookmarkEnd w:id="9293"/>
    </w:p>
    <w:p w:rsidR="007809D6" w:rsidRPr="00D47CE7" w:rsidRDefault="007809D6" w:rsidP="009F44AF">
      <w:pPr>
        <w:pStyle w:val="a"/>
      </w:pPr>
      <w:bookmarkStart w:id="9294" w:name="_Ref18423960"/>
      <w:r>
        <w:rPr>
          <w:rFonts w:hint="cs"/>
          <w:rtl/>
        </w:rPr>
        <w:t>ו</w:t>
      </w:r>
      <w:r w:rsidRPr="006741AB">
        <w:rPr>
          <w:rFonts w:hint="cs"/>
          <w:rtl/>
        </w:rPr>
        <w:t xml:space="preserve">ביאר </w:t>
      </w:r>
      <w:r w:rsidRPr="006741AB">
        <w:rPr>
          <w:rStyle w:val="af8"/>
          <w:rFonts w:hint="cs"/>
          <w:rtl/>
        </w:rPr>
        <w:t xml:space="preserve">הקה"י </w:t>
      </w:r>
      <w:r w:rsidRPr="006741AB">
        <w:rPr>
          <w:rStyle w:val="af6"/>
          <w:rFonts w:eastAsia="Guttman Hodes" w:hint="cs"/>
          <w:rtl/>
        </w:rPr>
        <w:t>(סי' כ"ה ד"ה ופשוט, ד"ה ולהרשב"א ז"ל)</w:t>
      </w:r>
      <w:r w:rsidRPr="006741AB">
        <w:rPr>
          <w:rFonts w:hint="cs"/>
          <w:rtl/>
        </w:rPr>
        <w:t xml:space="preserve"> דס"ל </w:t>
      </w:r>
      <w:r w:rsidRPr="006741AB">
        <w:rPr>
          <w:rStyle w:val="af8"/>
          <w:rFonts w:hint="cs"/>
          <w:rtl/>
        </w:rPr>
        <w:t xml:space="preserve">להר"ן </w:t>
      </w:r>
      <w:r w:rsidRPr="006741AB">
        <w:rPr>
          <w:rFonts w:hint="cs"/>
          <w:rtl/>
        </w:rPr>
        <w:t>דהא דהנבילה אסורה כ"ז שהיא ראויה לגר</w:t>
      </w:r>
      <w:r w:rsidRPr="00D47CE7">
        <w:rPr>
          <w:rFonts w:hint="cs"/>
          <w:rtl/>
        </w:rPr>
        <w:t xml:space="preserve"> אף שנפגמה, הוא כיון שנהנה מגוף האיסור אף שהוא פגום, כל שלא נפסל מאכילת אדם, והיא מותרת רק כשאינה ראויה לגר, דאינו נהנה מגוף האיסור, אבל בתערובת ההיתר בנותן טעם לפגם הוא אף בפוגם במקצת, דכיון שאינו נהנה מהתערובת של האיסור דאדרבה הוא מצטער במה שהאיסור התערב בהיתר.</w:t>
      </w:r>
      <w:bookmarkEnd w:id="9294"/>
    </w:p>
    <w:p w:rsidR="007809D6" w:rsidRPr="00D47CE7" w:rsidRDefault="007809D6" w:rsidP="007809D6">
      <w:pPr>
        <w:pStyle w:val="1"/>
        <w:rPr>
          <w:rtl/>
        </w:rPr>
      </w:pPr>
      <w:bookmarkStart w:id="9295" w:name="_Toc16850498"/>
      <w:bookmarkStart w:id="9296" w:name="_Toc17624880"/>
      <w:bookmarkStart w:id="9297" w:name="_Toc17889833"/>
      <w:bookmarkStart w:id="9298" w:name="_Toc17975455"/>
      <w:bookmarkStart w:id="9299" w:name="_Toc17984143"/>
      <w:bookmarkStart w:id="9300" w:name="_Toc18228268"/>
      <w:bookmarkStart w:id="9301" w:name="_Toc18250812"/>
      <w:bookmarkStart w:id="9302" w:name="_Toc18266269"/>
      <w:bookmarkStart w:id="9303" w:name="_Toc18269180"/>
      <w:bookmarkStart w:id="9304" w:name="_Toc18323880"/>
      <w:bookmarkStart w:id="9305" w:name="_Toc18397485"/>
      <w:bookmarkStart w:id="9306" w:name="_Toc18404211"/>
      <w:bookmarkStart w:id="9307" w:name="_Toc18481648"/>
      <w:r w:rsidRPr="00D47CE7">
        <w:rPr>
          <w:rFonts w:hint="cs"/>
          <w:rtl/>
        </w:rPr>
        <w:t>ביאור הקה"י ביסוד פלוגתת הרשב"א והר"ן</w:t>
      </w:r>
      <w:bookmarkEnd w:id="9295"/>
      <w:bookmarkEnd w:id="9296"/>
      <w:bookmarkEnd w:id="9297"/>
      <w:bookmarkEnd w:id="9298"/>
      <w:bookmarkEnd w:id="9299"/>
      <w:bookmarkEnd w:id="9300"/>
      <w:bookmarkEnd w:id="9301"/>
      <w:bookmarkEnd w:id="9302"/>
      <w:bookmarkEnd w:id="9303"/>
      <w:bookmarkEnd w:id="9304"/>
      <w:bookmarkEnd w:id="9305"/>
      <w:bookmarkEnd w:id="9306"/>
      <w:bookmarkEnd w:id="9307"/>
    </w:p>
    <w:p w:rsidR="007809D6" w:rsidRPr="00D47CE7" w:rsidRDefault="007809D6" w:rsidP="007809D6">
      <w:pPr>
        <w:pStyle w:val="a2"/>
      </w:pPr>
      <w:bookmarkStart w:id="9308" w:name="_Toc18481649"/>
      <w:r>
        <w:rPr>
          <w:rFonts w:hint="cs"/>
          <w:rtl/>
        </w:rPr>
        <w:t>ביאור הקה"י ברשב"א דכיון דאין בנטל"פ טע"כ חשיב שאין בתערובת חתיכת איסור כלל</w:t>
      </w:r>
      <w:bookmarkEnd w:id="9308"/>
    </w:p>
    <w:p w:rsidR="007809D6" w:rsidRDefault="007809D6" w:rsidP="009F44AF">
      <w:pPr>
        <w:pStyle w:val="a"/>
        <w:rPr>
          <w:rtl/>
        </w:rPr>
      </w:pPr>
      <w:bookmarkStart w:id="9309" w:name="_Ref18424946"/>
      <w:r w:rsidRPr="00D47CE7">
        <w:rPr>
          <w:rFonts w:hint="cs"/>
          <w:rtl/>
        </w:rPr>
        <w:t>ו</w:t>
      </w:r>
      <w:r>
        <w:rPr>
          <w:rFonts w:hint="cs"/>
          <w:rtl/>
        </w:rPr>
        <w:t>הוסיף</w:t>
      </w:r>
      <w:r w:rsidRPr="00D47CE7">
        <w:rPr>
          <w:rFonts w:hint="cs"/>
          <w:rtl/>
        </w:rPr>
        <w:t xml:space="preserve"> </w:t>
      </w:r>
      <w:r w:rsidRPr="00D47CE7">
        <w:rPr>
          <w:rStyle w:val="af8"/>
          <w:rFonts w:hint="cs"/>
          <w:rtl/>
        </w:rPr>
        <w:t>הקה"י</w:t>
      </w:r>
      <w:r>
        <w:rPr>
          <w:rStyle w:val="af8"/>
          <w:rFonts w:hint="cs"/>
          <w:rtl/>
        </w:rPr>
        <w:t xml:space="preserve"> </w:t>
      </w:r>
      <w:r w:rsidRPr="00D47CE7">
        <w:rPr>
          <w:rStyle w:val="af6"/>
          <w:rFonts w:eastAsia="Guttman Hodes" w:hint="cs"/>
          <w:rtl/>
        </w:rPr>
        <w:t xml:space="preserve">(סי' כ"ה ג') </w:t>
      </w:r>
      <w:r>
        <w:rPr>
          <w:rFonts w:hint="cs"/>
          <w:rtl/>
        </w:rPr>
        <w:t xml:space="preserve">לבאר </w:t>
      </w:r>
      <w:r w:rsidRPr="00D47CE7">
        <w:rPr>
          <w:rFonts w:hint="cs"/>
          <w:rtl/>
        </w:rPr>
        <w:t xml:space="preserve">דלדעת </w:t>
      </w:r>
      <w:r w:rsidRPr="00D47CE7">
        <w:rPr>
          <w:rStyle w:val="af8"/>
          <w:rFonts w:hint="cs"/>
          <w:rtl/>
        </w:rPr>
        <w:t>הרשב"א</w:t>
      </w:r>
      <w:r w:rsidRPr="00D47CE7">
        <w:rPr>
          <w:rFonts w:hint="cs"/>
          <w:rtl/>
        </w:rPr>
        <w:t xml:space="preserve"> כיון דבטעם פוגם אין דין טעם כעיקר, א"כ חשיב שאין בתערובת חתיכת איסור כלל, דהא לא אסרה תורה טעם פגום.</w:t>
      </w:r>
      <w:r>
        <w:rPr>
          <w:rFonts w:hint="cs"/>
          <w:rtl/>
        </w:rPr>
        <w:t xml:space="preserve"> [ועי' במ"ש </w:t>
      </w:r>
      <w:r w:rsidRPr="002C26E5">
        <w:rPr>
          <w:rStyle w:val="af8"/>
          <w:rFonts w:hint="cs"/>
          <w:rtl/>
        </w:rPr>
        <w:t>היד יהודה</w:t>
      </w:r>
      <w:r>
        <w:rPr>
          <w:rFonts w:hint="cs"/>
          <w:rtl/>
        </w:rPr>
        <w:t xml:space="preserve"> </w:t>
      </w:r>
      <w:r w:rsidRPr="002C26E5">
        <w:rPr>
          <w:rStyle w:val="af6"/>
          <w:rFonts w:eastAsia="Guttman Hodes" w:hint="cs"/>
          <w:rtl/>
        </w:rPr>
        <w:t xml:space="preserve">(עי' אות </w:t>
      </w:r>
      <w:r w:rsidRPr="002C26E5">
        <w:rPr>
          <w:rStyle w:val="af6"/>
          <w:rFonts w:eastAsia="Guttman Hodes"/>
          <w:rtl/>
        </w:rPr>
        <w:fldChar w:fldCharType="begin"/>
      </w:r>
      <w:r w:rsidRPr="002C26E5">
        <w:rPr>
          <w:rStyle w:val="af6"/>
          <w:rFonts w:eastAsia="Guttman Hodes"/>
          <w:rtl/>
        </w:rPr>
        <w:instrText xml:space="preserve"> </w:instrText>
      </w:r>
      <w:r w:rsidRPr="002C26E5">
        <w:rPr>
          <w:rStyle w:val="af6"/>
          <w:rFonts w:eastAsia="Guttman Hodes" w:hint="cs"/>
        </w:rPr>
        <w:instrText>REF</w:instrText>
      </w:r>
      <w:r w:rsidRPr="002C26E5">
        <w:rPr>
          <w:rStyle w:val="af6"/>
          <w:rFonts w:eastAsia="Guttman Hodes" w:hint="cs"/>
          <w:rtl/>
        </w:rPr>
        <w:instrText xml:space="preserve"> _</w:instrText>
      </w:r>
      <w:r w:rsidRPr="002C26E5">
        <w:rPr>
          <w:rStyle w:val="af6"/>
          <w:rFonts w:eastAsia="Guttman Hodes" w:hint="cs"/>
        </w:rPr>
        <w:instrText>Ref18421948 \r \h</w:instrText>
      </w:r>
      <w:r w:rsidRPr="002C26E5">
        <w:rPr>
          <w:rStyle w:val="af6"/>
          <w:rFonts w:eastAsia="Guttman Hodes"/>
          <w:rtl/>
        </w:rPr>
        <w:instrText xml:space="preserve"> </w:instrText>
      </w:r>
      <w:r w:rsidRPr="002C26E5">
        <w:rPr>
          <w:rStyle w:val="af6"/>
          <w:rFonts w:eastAsia="Guttman Hodes"/>
          <w:rtl/>
        </w:rPr>
      </w:r>
      <w:r w:rsidRPr="002C26E5">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2C26E5">
        <w:rPr>
          <w:rStyle w:val="af6"/>
          <w:rFonts w:eastAsia="Guttman Hodes"/>
          <w:rtl/>
        </w:rPr>
        <w:fldChar w:fldCharType="end"/>
      </w:r>
      <w:r>
        <w:rPr>
          <w:rFonts w:hint="cs"/>
          <w:rtl/>
        </w:rPr>
        <w:t>].</w:t>
      </w:r>
      <w:bookmarkEnd w:id="9309"/>
    </w:p>
    <w:p w:rsidR="007809D6" w:rsidRPr="00D47CE7" w:rsidRDefault="007809D6" w:rsidP="007809D6">
      <w:pPr>
        <w:pStyle w:val="a2"/>
        <w:rPr>
          <w:rtl/>
        </w:rPr>
      </w:pPr>
      <w:bookmarkStart w:id="9310" w:name="_Toc18481650"/>
      <w:r>
        <w:rPr>
          <w:rFonts w:hint="cs"/>
          <w:rtl/>
        </w:rPr>
        <w:t>ביאור הקה"י בר"ן דלא פקע האיסור מהטעם הפגום אלא דכיון דאינו נהנה אין בו איסור אכילה</w:t>
      </w:r>
      <w:bookmarkEnd w:id="9310"/>
      <w:r>
        <w:rPr>
          <w:rFonts w:hint="cs"/>
          <w:rtl/>
        </w:rPr>
        <w:t xml:space="preserve"> </w:t>
      </w:r>
    </w:p>
    <w:p w:rsidR="007809D6" w:rsidRPr="00D47CE7" w:rsidRDefault="007809D6" w:rsidP="009F44AF">
      <w:pPr>
        <w:pStyle w:val="a"/>
        <w:rPr>
          <w:rtl/>
        </w:rPr>
      </w:pPr>
      <w:r w:rsidRPr="00D47CE7">
        <w:rPr>
          <w:rFonts w:hint="cs"/>
          <w:rtl/>
        </w:rPr>
        <w:t>אבל בדעת</w:t>
      </w:r>
      <w:r w:rsidRPr="00D47CE7">
        <w:rPr>
          <w:rStyle w:val="af8"/>
          <w:rFonts w:hint="cs"/>
          <w:rtl/>
        </w:rPr>
        <w:t xml:space="preserve"> הר"ן</w:t>
      </w:r>
      <w:r w:rsidRPr="00D47CE7">
        <w:rPr>
          <w:rFonts w:hint="cs"/>
          <w:rtl/>
        </w:rPr>
        <w:t xml:space="preserve"> כתב </w:t>
      </w:r>
      <w:r w:rsidRPr="00D47CE7">
        <w:rPr>
          <w:rStyle w:val="af8"/>
          <w:rFonts w:hint="cs"/>
          <w:rtl/>
        </w:rPr>
        <w:t>הקה"י</w:t>
      </w:r>
      <w:r w:rsidRPr="00D47CE7">
        <w:rPr>
          <w:rFonts w:hint="cs"/>
          <w:rtl/>
        </w:rPr>
        <w:t xml:space="preserve"> דכיון דגדר ההיתר בנותן טעם לפגם, הוא כיון שאינו נהנה מהאיסור, א"כ לא חשיב דאין בתערובת חתיכת איסור, דאיסור הטעם עצמו לא פקע כלל, אלא דמותר כיון שאין כאן מעשה אכילה, דחיוב אכילת איסור הוא רק במקום שנהנה מהאיסור, ולכן פטור על אכילת איסור שנותן טעם לפגם בתערובת, אך עדיין גוף האיסור עצמו אסור דלא פקע איסורו ממנו.</w:t>
      </w:r>
      <w:r w:rsidRPr="00A95EF1">
        <w:rPr>
          <w:rFonts w:hint="cs"/>
          <w:rtl/>
        </w:rPr>
        <w:t xml:space="preserve"> </w:t>
      </w:r>
      <w:r>
        <w:rPr>
          <w:rFonts w:hint="cs"/>
          <w:rtl/>
        </w:rPr>
        <w:t xml:space="preserve">[ועי' במ"ש </w:t>
      </w:r>
      <w:r w:rsidRPr="002C26E5">
        <w:rPr>
          <w:rStyle w:val="af8"/>
          <w:rFonts w:hint="cs"/>
          <w:rtl/>
        </w:rPr>
        <w:t>היד יהודה</w:t>
      </w:r>
      <w:r>
        <w:rPr>
          <w:rFonts w:hint="cs"/>
          <w:rtl/>
        </w:rPr>
        <w:t xml:space="preserve"> </w:t>
      </w:r>
      <w:r w:rsidRPr="002C26E5">
        <w:rPr>
          <w:rStyle w:val="af6"/>
          <w:rFonts w:eastAsia="Guttman Hodes" w:hint="cs"/>
          <w:rtl/>
        </w:rPr>
        <w:t xml:space="preserve">(עי' אות </w:t>
      </w:r>
      <w:r w:rsidRPr="002C26E5">
        <w:rPr>
          <w:rStyle w:val="af6"/>
          <w:rFonts w:eastAsia="Guttman Hodes"/>
          <w:rtl/>
        </w:rPr>
        <w:fldChar w:fldCharType="begin"/>
      </w:r>
      <w:r w:rsidRPr="002C26E5">
        <w:rPr>
          <w:rStyle w:val="af6"/>
          <w:rFonts w:eastAsia="Guttman Hodes"/>
          <w:rtl/>
        </w:rPr>
        <w:instrText xml:space="preserve"> </w:instrText>
      </w:r>
      <w:r w:rsidRPr="002C26E5">
        <w:rPr>
          <w:rStyle w:val="af6"/>
          <w:rFonts w:eastAsia="Guttman Hodes" w:hint="cs"/>
        </w:rPr>
        <w:instrText>REF</w:instrText>
      </w:r>
      <w:r w:rsidRPr="002C26E5">
        <w:rPr>
          <w:rStyle w:val="af6"/>
          <w:rFonts w:eastAsia="Guttman Hodes" w:hint="cs"/>
          <w:rtl/>
        </w:rPr>
        <w:instrText xml:space="preserve"> _</w:instrText>
      </w:r>
      <w:r w:rsidRPr="002C26E5">
        <w:rPr>
          <w:rStyle w:val="af6"/>
          <w:rFonts w:eastAsia="Guttman Hodes" w:hint="cs"/>
        </w:rPr>
        <w:instrText>Ref18421948 \r \h</w:instrText>
      </w:r>
      <w:r w:rsidRPr="002C26E5">
        <w:rPr>
          <w:rStyle w:val="af6"/>
          <w:rFonts w:eastAsia="Guttman Hodes"/>
          <w:rtl/>
        </w:rPr>
        <w:instrText xml:space="preserve"> </w:instrText>
      </w:r>
      <w:r w:rsidRPr="002C26E5">
        <w:rPr>
          <w:rStyle w:val="af6"/>
          <w:rFonts w:eastAsia="Guttman Hodes"/>
          <w:rtl/>
        </w:rPr>
      </w:r>
      <w:r w:rsidRPr="002C26E5">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2C26E5">
        <w:rPr>
          <w:rStyle w:val="af6"/>
          <w:rFonts w:eastAsia="Guttman Hodes"/>
          <w:rtl/>
        </w:rPr>
        <w:fldChar w:fldCharType="end"/>
      </w:r>
      <w:r>
        <w:rPr>
          <w:rFonts w:hint="cs"/>
          <w:rtl/>
        </w:rPr>
        <w:t>].</w:t>
      </w:r>
    </w:p>
    <w:p w:rsidR="007809D6" w:rsidRPr="00D47CE7" w:rsidRDefault="007809D6" w:rsidP="007809D6">
      <w:pPr>
        <w:pStyle w:val="a2"/>
      </w:pPr>
      <w:bookmarkStart w:id="9311" w:name="_Toc18481651"/>
      <w:r>
        <w:rPr>
          <w:rFonts w:hint="cs"/>
          <w:rtl/>
        </w:rPr>
        <w:t>קושית הקה"י על הר"ן דהאיסור יאסור את ההיתר מדין חנ"נ ויתחייב על הנאת אכילת ההיתר</w:t>
      </w:r>
      <w:bookmarkEnd w:id="9311"/>
    </w:p>
    <w:p w:rsidR="007809D6" w:rsidRPr="00D47CE7" w:rsidRDefault="007809D6" w:rsidP="009F44AF">
      <w:pPr>
        <w:pStyle w:val="a"/>
        <w:rPr>
          <w:rtl/>
        </w:rPr>
      </w:pPr>
      <w:r w:rsidRPr="00D47CE7">
        <w:rPr>
          <w:rFonts w:hint="cs"/>
          <w:rtl/>
        </w:rPr>
        <w:t xml:space="preserve">אך הקשה </w:t>
      </w:r>
      <w:r w:rsidRPr="00D47CE7">
        <w:rPr>
          <w:rStyle w:val="af8"/>
          <w:rFonts w:hint="cs"/>
          <w:rtl/>
        </w:rPr>
        <w:t>הקה"י</w:t>
      </w:r>
      <w:r w:rsidRPr="00D47CE7">
        <w:rPr>
          <w:rFonts w:hint="cs"/>
          <w:rtl/>
        </w:rPr>
        <w:t xml:space="preserve"> על </w:t>
      </w:r>
      <w:r w:rsidRPr="00D47CE7">
        <w:rPr>
          <w:rStyle w:val="af8"/>
          <w:rFonts w:hint="cs"/>
          <w:rtl/>
        </w:rPr>
        <w:t>הר"ן</w:t>
      </w:r>
      <w:r w:rsidRPr="00D47CE7">
        <w:rPr>
          <w:rFonts w:hint="cs"/>
          <w:rtl/>
        </w:rPr>
        <w:t xml:space="preserve"> דא"כ אף שאינו נהנה מהאיסור, מ"מ הרי טעם האיסור הוא חפצא דאיסורא, וא"כ כל התערובת אסורה מדין חתיכה עצמה נעשית נבילה, ואף שאינו נהנה מטעם האיסור עצמו, מ"מ אחר שהאיסור אסר את ההיתר, יתחייב על אכילת ההיתר שנהנה באכילתו.</w:t>
      </w:r>
    </w:p>
    <w:p w:rsidR="007809D6" w:rsidRPr="00D47CE7" w:rsidRDefault="007809D6" w:rsidP="007809D6">
      <w:pPr>
        <w:pStyle w:val="a2"/>
      </w:pPr>
      <w:bookmarkStart w:id="9312" w:name="_Toc18481652"/>
      <w:r>
        <w:rPr>
          <w:rFonts w:hint="cs"/>
          <w:rtl/>
        </w:rPr>
        <w:t>דברי הקה"י דמוכח בר"ן דלא פקע האיסור מהטעם הבלוע כיון דכתב הר"ן שאינו פגום</w:t>
      </w:r>
      <w:bookmarkEnd w:id="9312"/>
    </w:p>
    <w:p w:rsidR="00AD5801" w:rsidRDefault="007809D6" w:rsidP="009F44AF">
      <w:pPr>
        <w:pStyle w:val="a"/>
        <w:rPr>
          <w:rtl/>
        </w:rPr>
      </w:pPr>
      <w:bookmarkStart w:id="9313" w:name="_Ref18438531"/>
      <w:r w:rsidRPr="00D47CE7">
        <w:rPr>
          <w:rFonts w:hint="cs"/>
          <w:rtl/>
        </w:rPr>
        <w:t xml:space="preserve">וכתב </w:t>
      </w:r>
      <w:r w:rsidRPr="00D47CE7">
        <w:rPr>
          <w:rStyle w:val="af8"/>
          <w:rFonts w:hint="cs"/>
          <w:rtl/>
        </w:rPr>
        <w:t>הקה"י</w:t>
      </w:r>
      <w:r>
        <w:rPr>
          <w:rStyle w:val="af8"/>
          <w:rFonts w:hint="cs"/>
          <w:rtl/>
        </w:rPr>
        <w:t xml:space="preserve"> </w:t>
      </w:r>
      <w:r w:rsidRPr="005F09C9">
        <w:rPr>
          <w:rStyle w:val="af6"/>
          <w:rFonts w:eastAsia="Guttman Hodes" w:hint="cs"/>
          <w:rtl/>
        </w:rPr>
        <w:t>(סי כ"ה ג' ד"ה וסבור)</w:t>
      </w:r>
      <w:r w:rsidRPr="00D47CE7">
        <w:rPr>
          <w:rFonts w:hint="cs"/>
          <w:rtl/>
        </w:rPr>
        <w:t xml:space="preserve"> דא"א לומר </w:t>
      </w:r>
      <w:r w:rsidRPr="00D47CE7">
        <w:rPr>
          <w:rStyle w:val="af8"/>
          <w:rFonts w:hint="cs"/>
          <w:rtl/>
        </w:rPr>
        <w:t>דהר"ן</w:t>
      </w:r>
      <w:r w:rsidRPr="00D47CE7">
        <w:rPr>
          <w:rFonts w:hint="cs"/>
          <w:rtl/>
        </w:rPr>
        <w:t xml:space="preserve"> מודה לסברת </w:t>
      </w:r>
      <w:r w:rsidRPr="00D47CE7">
        <w:rPr>
          <w:rStyle w:val="af8"/>
          <w:rFonts w:hint="cs"/>
          <w:rtl/>
        </w:rPr>
        <w:t>הרשב"א</w:t>
      </w:r>
      <w:r w:rsidRPr="00D47CE7">
        <w:rPr>
          <w:rFonts w:hint="cs"/>
          <w:rtl/>
        </w:rPr>
        <w:t xml:space="preserve">, דבטעם פגום אין דין טעם כעיקר, דכל שאין הטעם הפגום ראוי להנאת אכילה, דמי לנבילה שאינה ראויה לגר, דאינה ראויה להנאת אכילה, ומחמת זה פקע ממנה גוף האיסור, וה"ה לטעם פגום בתערובת, דפקע גוף האיסור ממנו, כיון שאינו ראוי להנאת אכילה, דהא </w:t>
      </w:r>
      <w:r w:rsidRPr="00D47CE7">
        <w:rPr>
          <w:rStyle w:val="af8"/>
          <w:rFonts w:hint="cs"/>
          <w:rtl/>
        </w:rPr>
        <w:t>ה</w:t>
      </w:r>
      <w:r>
        <w:rPr>
          <w:rStyle w:val="af8"/>
          <w:rtl/>
        </w:rPr>
        <w:t>ר"ן</w:t>
      </w:r>
      <w:r>
        <w:rPr>
          <w:rtl/>
        </w:rPr>
        <w:t xml:space="preserve"> </w:t>
      </w:r>
      <w:r w:rsidRPr="005F09C9">
        <w:rPr>
          <w:rStyle w:val="af6"/>
          <w:rFonts w:eastAsiaTheme="minorHAnsi" w:hint="cs"/>
          <w:rtl/>
        </w:rPr>
        <w:t xml:space="preserve">(עי' אות </w:t>
      </w:r>
      <w:r w:rsidRPr="005F09C9">
        <w:rPr>
          <w:rStyle w:val="af6"/>
          <w:rFonts w:eastAsiaTheme="minorHAnsi" w:hint="cs"/>
          <w:rtl/>
        </w:rPr>
        <w:fldChar w:fldCharType="begin"/>
      </w:r>
      <w:r w:rsidRPr="005F09C9">
        <w:rPr>
          <w:rStyle w:val="af6"/>
          <w:rFonts w:eastAsiaTheme="minorHAnsi" w:hint="cs"/>
          <w:rtl/>
        </w:rPr>
        <w:instrText xml:space="preserve"> </w:instrText>
      </w:r>
      <w:r w:rsidRPr="005F09C9">
        <w:rPr>
          <w:rStyle w:val="af6"/>
          <w:rFonts w:eastAsiaTheme="minorHAnsi"/>
        </w:rPr>
        <w:instrText>REF</w:instrText>
      </w:r>
      <w:r w:rsidRPr="005F09C9">
        <w:rPr>
          <w:rStyle w:val="af6"/>
          <w:rFonts w:eastAsiaTheme="minorHAnsi" w:hint="cs"/>
          <w:rtl/>
        </w:rPr>
        <w:instrText xml:space="preserve"> _</w:instrText>
      </w:r>
      <w:r w:rsidRPr="005F09C9">
        <w:rPr>
          <w:rStyle w:val="af6"/>
          <w:rFonts w:eastAsiaTheme="minorHAnsi"/>
        </w:rPr>
        <w:instrText>Ref18438605 \r \h</w:instrText>
      </w:r>
      <w:r w:rsidRPr="005F09C9">
        <w:rPr>
          <w:rStyle w:val="af6"/>
          <w:rFonts w:eastAsiaTheme="minorHAnsi" w:hint="cs"/>
          <w:rtl/>
        </w:rPr>
        <w:instrText xml:space="preserve"> </w:instrText>
      </w:r>
      <w:r w:rsidRPr="005F09C9">
        <w:rPr>
          <w:rStyle w:val="af6"/>
          <w:rFonts w:eastAsiaTheme="minorHAnsi" w:hint="cs"/>
          <w:rtl/>
        </w:rPr>
      </w:r>
      <w:r w:rsidRPr="005F09C9">
        <w:rPr>
          <w:rStyle w:val="af6"/>
          <w:rFonts w:eastAsiaTheme="minorHAnsi" w:hint="cs"/>
          <w:rtl/>
        </w:rPr>
        <w:fldChar w:fldCharType="separate"/>
      </w:r>
      <w:r w:rsidR="004D1C5B">
        <w:rPr>
          <w:rStyle w:val="af6"/>
          <w:rFonts w:eastAsiaTheme="minorHAnsi" w:hint="eastAsia"/>
          <w:cs/>
        </w:rPr>
        <w:t>‎</w:t>
      </w:r>
      <w:r w:rsidR="004D1C5B">
        <w:rPr>
          <w:rStyle w:val="af6"/>
          <w:rFonts w:eastAsiaTheme="minorHAnsi" w:hint="eastAsia"/>
          <w:rtl/>
        </w:rPr>
        <w:t>נא</w:t>
      </w:r>
      <w:r w:rsidR="004D1C5B">
        <w:rPr>
          <w:rStyle w:val="af6"/>
          <w:rFonts w:eastAsiaTheme="minorHAnsi"/>
          <w:rtl/>
        </w:rPr>
        <w:t>)</w:t>
      </w:r>
      <w:r w:rsidRPr="005F09C9">
        <w:rPr>
          <w:rStyle w:val="af6"/>
          <w:rFonts w:eastAsiaTheme="minorHAnsi" w:hint="cs"/>
          <w:rtl/>
        </w:rPr>
        <w:fldChar w:fldCharType="end"/>
      </w:r>
      <w:r>
        <w:rPr>
          <w:rtl/>
        </w:rPr>
        <w:t xml:space="preserve"> </w:t>
      </w:r>
      <w:r>
        <w:rPr>
          <w:rFonts w:hint="cs"/>
          <w:rtl/>
        </w:rPr>
        <w:t>כתב דהטעם הבלוע בקדירה שאינה בת יומא, הוא עצמו אינו פגום, אלא דכיון שפוגם את התערובת אינו אוסר אותה, וכתב הקה"י דמבואר מדברי הר"ן ד</w:t>
      </w:r>
      <w:r w:rsidRPr="00D47CE7">
        <w:rPr>
          <w:rFonts w:hint="cs"/>
          <w:rtl/>
        </w:rPr>
        <w:t xml:space="preserve">לא פקע גוף האיסור </w:t>
      </w:r>
      <w:r w:rsidRPr="00D47CE7">
        <w:rPr>
          <w:rFonts w:hint="cs"/>
          <w:rtl/>
        </w:rPr>
        <w:t>מהטעם הבלוע</w:t>
      </w:r>
      <w:r>
        <w:rPr>
          <w:rFonts w:hint="cs"/>
          <w:rtl/>
        </w:rPr>
        <w:t xml:space="preserve">, </w:t>
      </w:r>
      <w:bookmarkEnd w:id="9313"/>
      <w:r>
        <w:rPr>
          <w:rFonts w:hint="cs"/>
          <w:rtl/>
        </w:rPr>
        <w:t>ו</w:t>
      </w:r>
      <w:r w:rsidRPr="00D47CE7">
        <w:rPr>
          <w:rFonts w:hint="cs"/>
          <w:rtl/>
        </w:rPr>
        <w:t xml:space="preserve">כתב </w:t>
      </w:r>
      <w:r w:rsidRPr="00D47CE7">
        <w:rPr>
          <w:rStyle w:val="af8"/>
          <w:rFonts w:hint="cs"/>
          <w:rtl/>
        </w:rPr>
        <w:t>הקה"י</w:t>
      </w:r>
      <w:r w:rsidRPr="00D47CE7">
        <w:rPr>
          <w:rFonts w:hint="cs"/>
          <w:rtl/>
        </w:rPr>
        <w:t xml:space="preserve"> דאולי אפש"ל דס"ל </w:t>
      </w:r>
      <w:r w:rsidRPr="00D47CE7">
        <w:rPr>
          <w:rStyle w:val="af8"/>
          <w:rFonts w:hint="cs"/>
          <w:rtl/>
        </w:rPr>
        <w:t>להר"ן</w:t>
      </w:r>
      <w:r w:rsidRPr="00D47CE7">
        <w:rPr>
          <w:rFonts w:hint="cs"/>
          <w:rtl/>
        </w:rPr>
        <w:t xml:space="preserve"> דכיון שאין בטעם הנאת אכילה, אינו אוסר את שאר התערו</w:t>
      </w:r>
      <w:r>
        <w:rPr>
          <w:rFonts w:hint="cs"/>
          <w:rtl/>
        </w:rPr>
        <w:t>בת בדין חתיכה עצמה נעשית נבילה.</w:t>
      </w:r>
    </w:p>
    <w:p w:rsidR="007809D6" w:rsidRPr="00D47CE7" w:rsidRDefault="007809D6" w:rsidP="007809D6">
      <w:pPr>
        <w:pStyle w:val="a2"/>
      </w:pPr>
      <w:bookmarkStart w:id="9314" w:name="_Toc18481653"/>
      <w:bookmarkStart w:id="9315" w:name="_Toc17889835"/>
      <w:bookmarkStart w:id="9316" w:name="_Toc17975457"/>
      <w:bookmarkStart w:id="9317" w:name="_Toc17984145"/>
      <w:bookmarkStart w:id="9318" w:name="_Toc18228270"/>
      <w:bookmarkStart w:id="9319" w:name="_Toc18250814"/>
      <w:bookmarkStart w:id="9320" w:name="_Toc18266271"/>
      <w:bookmarkStart w:id="9321" w:name="_Toc18269182"/>
      <w:bookmarkStart w:id="9322" w:name="_Toc18323882"/>
      <w:bookmarkStart w:id="9323" w:name="_Toc18397487"/>
      <w:bookmarkStart w:id="9324" w:name="_Toc18404213"/>
      <w:bookmarkStart w:id="9325" w:name="_Toc17624882"/>
      <w:r>
        <w:rPr>
          <w:rFonts w:hint="cs"/>
          <w:rtl/>
        </w:rPr>
        <w:t>דברי הקה"י דא"א לומר כחוו"ד דהאיסור פקע בפגום במקצת אלא הוא חסרון בהנאת האיסור</w:t>
      </w:r>
      <w:bookmarkEnd w:id="9314"/>
    </w:p>
    <w:p w:rsidR="007809D6" w:rsidRPr="00D47CE7" w:rsidRDefault="007809D6" w:rsidP="009F44AF">
      <w:pPr>
        <w:pStyle w:val="a"/>
        <w:rPr>
          <w:rtl/>
        </w:rPr>
      </w:pPr>
      <w:r w:rsidRPr="00551654">
        <w:rPr>
          <w:rStyle w:val="af8"/>
          <w:rFonts w:hint="cs"/>
          <w:rtl/>
        </w:rPr>
        <w:t>והקה"י בפסחים</w:t>
      </w:r>
      <w:r w:rsidRPr="00732195">
        <w:rPr>
          <w:vertAlign w:val="superscript"/>
          <w:rtl/>
        </w:rPr>
        <w:fldChar w:fldCharType="begin"/>
      </w:r>
      <w:r w:rsidRPr="00732195">
        <w:rPr>
          <w:vertAlign w:val="superscript"/>
          <w:rtl/>
        </w:rPr>
        <w:instrText xml:space="preserve"> </w:instrText>
      </w:r>
      <w:r w:rsidRPr="00732195">
        <w:rPr>
          <w:rFonts w:hint="cs"/>
          <w:vertAlign w:val="superscript"/>
        </w:rPr>
        <w:instrText>NOTEREF</w:instrText>
      </w:r>
      <w:r w:rsidRPr="00732195">
        <w:rPr>
          <w:rFonts w:hint="cs"/>
          <w:vertAlign w:val="superscript"/>
          <w:rtl/>
        </w:rPr>
        <w:instrText xml:space="preserve"> _</w:instrText>
      </w:r>
      <w:r w:rsidRPr="00732195">
        <w:rPr>
          <w:rFonts w:hint="cs"/>
          <w:vertAlign w:val="superscript"/>
        </w:rPr>
        <w:instrText>Ref18477969 \h</w:instrText>
      </w:r>
      <w:r w:rsidRPr="0073219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32195">
        <w:rPr>
          <w:vertAlign w:val="superscript"/>
          <w:rtl/>
        </w:rPr>
      </w:r>
      <w:r w:rsidRPr="00732195">
        <w:rPr>
          <w:vertAlign w:val="superscript"/>
          <w:rtl/>
        </w:rPr>
        <w:fldChar w:fldCharType="separate"/>
      </w:r>
      <w:r w:rsidR="004D1C5B">
        <w:rPr>
          <w:vertAlign w:val="superscript"/>
          <w:rtl/>
        </w:rPr>
        <w:t>38</w:t>
      </w:r>
      <w:r w:rsidRPr="00732195">
        <w:rPr>
          <w:vertAlign w:val="superscript"/>
          <w:rtl/>
        </w:rPr>
        <w:fldChar w:fldCharType="end"/>
      </w:r>
      <w:r w:rsidRPr="00551654">
        <w:rPr>
          <w:rStyle w:val="af8"/>
          <w:rFonts w:hint="cs"/>
          <w:rtl/>
        </w:rPr>
        <w:t xml:space="preserve"> </w:t>
      </w:r>
      <w:r w:rsidRPr="00551654">
        <w:rPr>
          <w:rStyle w:val="af6"/>
          <w:rFonts w:eastAsia="Guttman Hodes" w:hint="cs"/>
          <w:rtl/>
        </w:rPr>
        <w:t>(סי' ט"ז ד"ה ואעפ"י)</w:t>
      </w:r>
      <w:r w:rsidRPr="00D47CE7">
        <w:rPr>
          <w:rFonts w:hint="cs"/>
          <w:rtl/>
        </w:rPr>
        <w:t xml:space="preserve"> </w:t>
      </w:r>
      <w:r>
        <w:rPr>
          <w:rFonts w:hint="cs"/>
          <w:rtl/>
        </w:rPr>
        <w:t xml:space="preserve">כתב </w:t>
      </w:r>
      <w:r w:rsidRPr="00D47CE7">
        <w:rPr>
          <w:rFonts w:hint="cs"/>
          <w:rtl/>
        </w:rPr>
        <w:t xml:space="preserve">דא"א לומר דההיתר בנותן טעם לפגם הוא מחמת שפקע האיסור ממנו, כדכתב </w:t>
      </w:r>
      <w:r w:rsidRPr="00551654">
        <w:rPr>
          <w:rStyle w:val="af8"/>
          <w:rFonts w:hint="cs"/>
          <w:rtl/>
        </w:rPr>
        <w:t xml:space="preserve">החוו"ד </w:t>
      </w:r>
      <w:r w:rsidRPr="00A10091">
        <w:rPr>
          <w:rStyle w:val="af6"/>
          <w:rFonts w:eastAsia="Guttman Hodes" w:hint="cs"/>
          <w:rtl/>
        </w:rPr>
        <w:t xml:space="preserve">(עי' אות </w:t>
      </w:r>
      <w:r w:rsidRPr="00A10091">
        <w:rPr>
          <w:rStyle w:val="af6"/>
          <w:rFonts w:eastAsia="Guttman Hodes"/>
          <w:rtl/>
        </w:rPr>
        <w:fldChar w:fldCharType="begin"/>
      </w:r>
      <w:r w:rsidRPr="00A10091">
        <w:rPr>
          <w:rStyle w:val="af6"/>
          <w:rFonts w:eastAsia="Guttman Hodes"/>
          <w:rtl/>
        </w:rPr>
        <w:instrText xml:space="preserve"> </w:instrText>
      </w:r>
      <w:r w:rsidRPr="00A10091">
        <w:rPr>
          <w:rStyle w:val="af6"/>
          <w:rFonts w:eastAsia="Guttman Hodes" w:hint="cs"/>
        </w:rPr>
        <w:instrText>REF</w:instrText>
      </w:r>
      <w:r w:rsidRPr="00A10091">
        <w:rPr>
          <w:rStyle w:val="af6"/>
          <w:rFonts w:eastAsia="Guttman Hodes" w:hint="cs"/>
          <w:rtl/>
        </w:rPr>
        <w:instrText xml:space="preserve"> _</w:instrText>
      </w:r>
      <w:r w:rsidRPr="00A10091">
        <w:rPr>
          <w:rStyle w:val="af6"/>
          <w:rFonts w:eastAsia="Guttman Hodes" w:hint="cs"/>
        </w:rPr>
        <w:instrText>Ref18476982 \r \h</w:instrText>
      </w:r>
      <w:r w:rsidRPr="00A10091">
        <w:rPr>
          <w:rStyle w:val="af6"/>
          <w:rFonts w:eastAsia="Guttman Hodes"/>
          <w:rtl/>
        </w:rPr>
        <w:instrText xml:space="preserve"> </w:instrText>
      </w:r>
      <w:r w:rsidRPr="00A10091">
        <w:rPr>
          <w:rStyle w:val="af6"/>
          <w:rFonts w:eastAsia="Guttman Hodes"/>
          <w:rtl/>
        </w:rPr>
      </w:r>
      <w:r w:rsidRPr="00A10091">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A10091">
        <w:rPr>
          <w:rStyle w:val="af6"/>
          <w:rFonts w:eastAsia="Guttman Hodes"/>
          <w:rtl/>
        </w:rPr>
        <w:fldChar w:fldCharType="end"/>
      </w:r>
      <w:r w:rsidRPr="00A10091">
        <w:rPr>
          <w:rStyle w:val="af6"/>
          <w:rFonts w:eastAsia="Guttman Hodes" w:hint="cs"/>
          <w:rtl/>
        </w:rPr>
        <w:t xml:space="preserve"> </w:t>
      </w:r>
      <w:r w:rsidRPr="00D47CE7">
        <w:rPr>
          <w:rFonts w:hint="cs"/>
          <w:rtl/>
        </w:rPr>
        <w:t xml:space="preserve">דבנבילה </w:t>
      </w:r>
      <w:r>
        <w:rPr>
          <w:rFonts w:hint="cs"/>
          <w:rtl/>
        </w:rPr>
        <w:t>פ</w:t>
      </w:r>
      <w:r w:rsidRPr="00D47CE7">
        <w:rPr>
          <w:rFonts w:hint="cs"/>
          <w:rtl/>
        </w:rPr>
        <w:t>קע גוף האיסור, דהא ודאי דבפגום קצת לא פקע גוף האיסור, ומוכח דההיתר הוא רק מחמת שיש חסרון בדרך ההנאה של האיסור.</w:t>
      </w:r>
    </w:p>
    <w:p w:rsidR="007809D6" w:rsidRPr="00D47CE7" w:rsidRDefault="007809D6" w:rsidP="007809D6">
      <w:pPr>
        <w:pStyle w:val="a2"/>
        <w:rPr>
          <w:rtl/>
        </w:rPr>
      </w:pPr>
      <w:bookmarkStart w:id="9326" w:name="_Toc18481654"/>
      <w:r>
        <w:rPr>
          <w:rFonts w:hint="cs"/>
          <w:rtl/>
        </w:rPr>
        <w:t>ביאור הקה"י בר"ן דבאכילה שאינו נהנה ממנה פטור ולכן פקע האיסור מנבילה ונטל"פ מותר</w:t>
      </w:r>
      <w:bookmarkEnd w:id="9326"/>
    </w:p>
    <w:p w:rsidR="007809D6" w:rsidRPr="00D47CE7" w:rsidRDefault="007809D6" w:rsidP="009F44AF">
      <w:pPr>
        <w:pStyle w:val="a"/>
      </w:pPr>
      <w:r w:rsidRPr="00D47CE7">
        <w:rPr>
          <w:rFonts w:hint="cs"/>
          <w:rtl/>
        </w:rPr>
        <w:t xml:space="preserve">אלא ביאר </w:t>
      </w:r>
      <w:r w:rsidRPr="00551654">
        <w:rPr>
          <w:rStyle w:val="af8"/>
          <w:rFonts w:hint="cs"/>
          <w:rtl/>
        </w:rPr>
        <w:t>הקה"י בפסחים</w:t>
      </w:r>
      <w:r w:rsidRPr="00732195">
        <w:rPr>
          <w:vertAlign w:val="superscript"/>
          <w:rtl/>
        </w:rPr>
        <w:fldChar w:fldCharType="begin"/>
      </w:r>
      <w:r w:rsidRPr="00732195">
        <w:rPr>
          <w:vertAlign w:val="superscript"/>
          <w:rtl/>
        </w:rPr>
        <w:instrText xml:space="preserve"> </w:instrText>
      </w:r>
      <w:r w:rsidRPr="00732195">
        <w:rPr>
          <w:rFonts w:hint="cs"/>
          <w:vertAlign w:val="superscript"/>
        </w:rPr>
        <w:instrText>NOTEREF</w:instrText>
      </w:r>
      <w:r w:rsidRPr="00732195">
        <w:rPr>
          <w:rFonts w:hint="cs"/>
          <w:vertAlign w:val="superscript"/>
          <w:rtl/>
        </w:rPr>
        <w:instrText xml:space="preserve"> _</w:instrText>
      </w:r>
      <w:r w:rsidRPr="00732195">
        <w:rPr>
          <w:rFonts w:hint="cs"/>
          <w:vertAlign w:val="superscript"/>
        </w:rPr>
        <w:instrText>Ref18477969 \h</w:instrText>
      </w:r>
      <w:r w:rsidRPr="0073219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32195">
        <w:rPr>
          <w:vertAlign w:val="superscript"/>
          <w:rtl/>
        </w:rPr>
      </w:r>
      <w:r w:rsidRPr="00732195">
        <w:rPr>
          <w:vertAlign w:val="superscript"/>
          <w:rtl/>
        </w:rPr>
        <w:fldChar w:fldCharType="separate"/>
      </w:r>
      <w:r w:rsidR="004D1C5B">
        <w:rPr>
          <w:vertAlign w:val="superscript"/>
          <w:rtl/>
        </w:rPr>
        <w:t>38</w:t>
      </w:r>
      <w:r w:rsidRPr="00732195">
        <w:rPr>
          <w:vertAlign w:val="superscript"/>
          <w:rtl/>
        </w:rPr>
        <w:fldChar w:fldCharType="end"/>
      </w:r>
      <w:r w:rsidRPr="00551654">
        <w:rPr>
          <w:rStyle w:val="af8"/>
          <w:rFonts w:hint="cs"/>
          <w:rtl/>
        </w:rPr>
        <w:t xml:space="preserve"> </w:t>
      </w:r>
      <w:r w:rsidRPr="00551654">
        <w:rPr>
          <w:rStyle w:val="af6"/>
          <w:rFonts w:eastAsia="Guttman Hodes" w:hint="cs"/>
          <w:rtl/>
        </w:rPr>
        <w:t>(סי' ט"ז ד"ה ואעפ"י, ומ"מ אכתי)</w:t>
      </w:r>
      <w:r w:rsidRPr="00D47CE7">
        <w:rPr>
          <w:rFonts w:hint="cs"/>
          <w:rtl/>
        </w:rPr>
        <w:t xml:space="preserve"> </w:t>
      </w:r>
      <w:r>
        <w:rPr>
          <w:rFonts w:hint="cs"/>
          <w:rtl/>
        </w:rPr>
        <w:t xml:space="preserve">בדעת </w:t>
      </w:r>
      <w:r w:rsidRPr="00551654">
        <w:rPr>
          <w:rStyle w:val="af8"/>
          <w:rFonts w:hint="cs"/>
          <w:rtl/>
        </w:rPr>
        <w:t xml:space="preserve">הר"ן </w:t>
      </w:r>
      <w:r w:rsidRPr="00D47CE7">
        <w:rPr>
          <w:rFonts w:hint="cs"/>
          <w:rtl/>
        </w:rPr>
        <w:t>דההיתר דנותן טעם לפגם נלמד מנבילה, דאף דבנבילה פקע האיסור ממנה כיון שאינה ראויה לגר, מ"מ הטעם דפקע האיסור הוא כיון דהיסוד של איסור אכילה, הוא שאסור לאוכלו בהנאה, וכל שאין בו הנאת אכילה אינו בכלל איסור נבילה, ולכן ילפינן מנבילה דאף בפגום קצת שלא פקע איסורו ממנו, כיון שעדיין הוא ראוי לגר, מ"מ כיון שאין לאדם הנאת אכילה בו פטור, דהפירוש באכילה היינו אכילה בהנאה, וכל שאינו נהנה אף מחמת דבר אחר, כגון שהוא רותח לא חשיב אכילה, וה"ה בנותן טע</w:t>
      </w:r>
      <w:r>
        <w:rPr>
          <w:rFonts w:hint="cs"/>
          <w:rtl/>
        </w:rPr>
        <w:t>ם לפגם שאינו נהנה מאכילתו פטור.</w:t>
      </w:r>
    </w:p>
    <w:p w:rsidR="007809D6" w:rsidRPr="00D47CE7" w:rsidRDefault="007809D6" w:rsidP="007809D6">
      <w:pPr>
        <w:pStyle w:val="1"/>
        <w:rPr>
          <w:rtl/>
        </w:rPr>
      </w:pPr>
      <w:bookmarkStart w:id="9327" w:name="_Toc18481655"/>
      <w:r w:rsidRPr="00D47CE7">
        <w:rPr>
          <w:rFonts w:hint="cs"/>
          <w:rtl/>
        </w:rPr>
        <w:t>דברי הקה"י</w:t>
      </w:r>
      <w:bookmarkEnd w:id="9315"/>
      <w:bookmarkEnd w:id="9316"/>
      <w:bookmarkEnd w:id="9317"/>
      <w:bookmarkEnd w:id="9318"/>
      <w:bookmarkEnd w:id="9319"/>
      <w:bookmarkEnd w:id="9320"/>
      <w:bookmarkEnd w:id="9321"/>
      <w:bookmarkEnd w:id="9322"/>
      <w:bookmarkEnd w:id="9323"/>
      <w:bookmarkEnd w:id="9324"/>
      <w:r>
        <w:rPr>
          <w:rFonts w:hint="cs"/>
          <w:rtl/>
        </w:rPr>
        <w:t xml:space="preserve"> דלרשב"א טעם פגום אינו טעם אף לביטול ברוב</w:t>
      </w:r>
      <w:bookmarkEnd w:id="9327"/>
    </w:p>
    <w:p w:rsidR="007809D6" w:rsidRPr="00D47CE7" w:rsidRDefault="007809D6" w:rsidP="007809D6">
      <w:pPr>
        <w:pStyle w:val="a2"/>
        <w:rPr>
          <w:rtl/>
        </w:rPr>
      </w:pPr>
      <w:bookmarkStart w:id="9328" w:name="_Toc18481656"/>
      <w:r>
        <w:rPr>
          <w:rFonts w:hint="cs"/>
          <w:rtl/>
        </w:rPr>
        <w:t>ביאור הקה"י ברשב"א דטעם פגום אין בו טע"כ ואינו טעם לענין ביטול והממשות בטלה ברוב</w:t>
      </w:r>
      <w:bookmarkEnd w:id="9328"/>
    </w:p>
    <w:p w:rsidR="007809D6" w:rsidRPr="00D47CE7" w:rsidRDefault="007809D6" w:rsidP="009F44AF">
      <w:pPr>
        <w:pStyle w:val="a"/>
        <w:rPr>
          <w:rtl/>
        </w:rPr>
      </w:pPr>
      <w:bookmarkStart w:id="9329" w:name="_Ref18441490"/>
      <w:r w:rsidRPr="00D47CE7">
        <w:rPr>
          <w:rFonts w:hint="cs"/>
          <w:rtl/>
        </w:rPr>
        <w:t xml:space="preserve">והביא </w:t>
      </w:r>
      <w:r w:rsidRPr="005E3564">
        <w:rPr>
          <w:rStyle w:val="af8"/>
          <w:rFonts w:hint="cs"/>
          <w:rtl/>
        </w:rPr>
        <w:t xml:space="preserve">הקה"י </w:t>
      </w:r>
      <w:r w:rsidRPr="005E3564">
        <w:rPr>
          <w:rStyle w:val="af6"/>
          <w:rFonts w:eastAsia="Guttman Hodes" w:hint="cs"/>
          <w:rtl/>
        </w:rPr>
        <w:t>(סי' כ"ה ט' ד"ה והנה)</w:t>
      </w:r>
      <w:r w:rsidRPr="00D47CE7">
        <w:rPr>
          <w:rFonts w:hint="cs"/>
          <w:rtl/>
        </w:rPr>
        <w:t xml:space="preserve"> את דברי  </w:t>
      </w:r>
      <w:r w:rsidRPr="005E3564">
        <w:rPr>
          <w:rStyle w:val="af8"/>
          <w:rFonts w:hint="cs"/>
          <w:rtl/>
        </w:rPr>
        <w:t xml:space="preserve">הרשב"א בתוה"ב </w:t>
      </w:r>
      <w:r w:rsidRPr="00373178">
        <w:rPr>
          <w:rStyle w:val="af6"/>
          <w:rFonts w:eastAsia="Guttman Hodes" w:hint="cs"/>
          <w:rtl/>
        </w:rPr>
        <w:t xml:space="preserve">(עי' אות </w:t>
      </w:r>
      <w:r w:rsidRPr="00373178">
        <w:rPr>
          <w:rStyle w:val="af6"/>
          <w:rFonts w:eastAsia="Guttman Hodes"/>
          <w:rtl/>
        </w:rPr>
        <w:fldChar w:fldCharType="begin"/>
      </w:r>
      <w:r w:rsidRPr="00373178">
        <w:rPr>
          <w:rStyle w:val="af6"/>
          <w:rFonts w:eastAsia="Guttman Hodes"/>
          <w:rtl/>
        </w:rPr>
        <w:instrText xml:space="preserve"> </w:instrText>
      </w:r>
      <w:r w:rsidRPr="00373178">
        <w:rPr>
          <w:rStyle w:val="af6"/>
          <w:rFonts w:eastAsia="Guttman Hodes" w:hint="cs"/>
        </w:rPr>
        <w:instrText>REF</w:instrText>
      </w:r>
      <w:r w:rsidRPr="00373178">
        <w:rPr>
          <w:rStyle w:val="af6"/>
          <w:rFonts w:eastAsia="Guttman Hodes" w:hint="cs"/>
          <w:rtl/>
        </w:rPr>
        <w:instrText xml:space="preserve"> _</w:instrText>
      </w:r>
      <w:r w:rsidRPr="00373178">
        <w:rPr>
          <w:rStyle w:val="af6"/>
          <w:rFonts w:eastAsia="Guttman Hodes" w:hint="cs"/>
        </w:rPr>
        <w:instrText>Ref18320646 \r \h</w:instrText>
      </w:r>
      <w:r w:rsidRPr="00373178">
        <w:rPr>
          <w:rStyle w:val="af6"/>
          <w:rFonts w:eastAsia="Guttman Hodes"/>
          <w:rtl/>
        </w:rPr>
        <w:instrText xml:space="preserve"> </w:instrText>
      </w:r>
      <w:r w:rsidRPr="00373178">
        <w:rPr>
          <w:rStyle w:val="af6"/>
          <w:rFonts w:eastAsia="Guttman Hodes"/>
          <w:rtl/>
        </w:rPr>
      </w:r>
      <w:r w:rsidRPr="00373178">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373178">
        <w:rPr>
          <w:rStyle w:val="af6"/>
          <w:rFonts w:eastAsia="Guttman Hodes"/>
          <w:rtl/>
        </w:rPr>
        <w:fldChar w:fldCharType="end"/>
      </w:r>
      <w:r w:rsidRPr="00D47CE7">
        <w:rPr>
          <w:rFonts w:hint="cs"/>
          <w:rtl/>
        </w:rPr>
        <w:t xml:space="preserve"> דכתב דאיסור מרובה שהתערב בתוך היתר מועט וכן במחצה על מחצה דנותן טעם לפגם אסור כל שהוא ראוי לאכילה, וכתב </w:t>
      </w:r>
      <w:r w:rsidRPr="005E3564">
        <w:rPr>
          <w:rStyle w:val="af8"/>
          <w:rFonts w:hint="cs"/>
          <w:rtl/>
        </w:rPr>
        <w:t xml:space="preserve">הקה"י </w:t>
      </w:r>
      <w:r w:rsidRPr="00D47CE7">
        <w:rPr>
          <w:rFonts w:hint="cs"/>
          <w:rtl/>
        </w:rPr>
        <w:t xml:space="preserve">דמבואר מדברי </w:t>
      </w:r>
      <w:r w:rsidRPr="005E3564">
        <w:rPr>
          <w:rStyle w:val="af8"/>
          <w:rFonts w:hint="cs"/>
          <w:rtl/>
        </w:rPr>
        <w:t xml:space="preserve">הרשב"א </w:t>
      </w:r>
      <w:r w:rsidRPr="00D47CE7">
        <w:rPr>
          <w:rFonts w:hint="cs"/>
          <w:rtl/>
        </w:rPr>
        <w:t xml:space="preserve">דבמקום שיש רוב היתר ומיעוט איסור, אף שממשו של האיסור מעורב בהיתר מותר, דהאיסור בטל ברוב כדין יבש ביבש שאינו נותן טעם, </w:t>
      </w:r>
      <w:r>
        <w:rPr>
          <w:rStyle w:val="afa"/>
          <w:rFonts w:hint="cs"/>
          <w:rtl/>
        </w:rPr>
        <w:t xml:space="preserve">[וכ"כ </w:t>
      </w:r>
      <w:r w:rsidRPr="0077097A">
        <w:rPr>
          <w:rStyle w:val="affa"/>
          <w:rtl/>
        </w:rPr>
        <w:t>הגרעק"א בתשו'</w:t>
      </w:r>
      <w:r w:rsidRPr="00644244">
        <w:rPr>
          <w:rStyle w:val="afa"/>
          <w:rtl/>
        </w:rPr>
        <w:t xml:space="preserve"> </w:t>
      </w:r>
      <w:r w:rsidRPr="0077097A">
        <w:rPr>
          <w:rStyle w:val="aff6"/>
          <w:rtl/>
        </w:rPr>
        <w:t>(</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Ref18871063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לח)</w:t>
      </w:r>
      <w:r>
        <w:rPr>
          <w:rStyle w:val="aff6"/>
          <w:rtl/>
        </w:rPr>
        <w:fldChar w:fldCharType="end"/>
      </w:r>
      <w:r>
        <w:rPr>
          <w:rStyle w:val="afa"/>
          <w:rFonts w:hint="cs"/>
          <w:rtl/>
        </w:rPr>
        <w:t xml:space="preserve">], </w:t>
      </w:r>
      <w:r w:rsidRPr="00D47CE7">
        <w:rPr>
          <w:rFonts w:hint="cs"/>
          <w:rtl/>
        </w:rPr>
        <w:t>ו</w:t>
      </w:r>
      <w:r>
        <w:rPr>
          <w:rFonts w:hint="cs"/>
          <w:rtl/>
        </w:rPr>
        <w:t xml:space="preserve">הוסיף </w:t>
      </w:r>
      <w:r w:rsidRPr="00D3437C">
        <w:rPr>
          <w:rStyle w:val="af8"/>
          <w:rFonts w:hint="cs"/>
          <w:rtl/>
        </w:rPr>
        <w:t>הקה"י</w:t>
      </w:r>
      <w:r>
        <w:rPr>
          <w:rFonts w:hint="cs"/>
          <w:rtl/>
        </w:rPr>
        <w:t xml:space="preserve"> ד</w:t>
      </w:r>
      <w:r w:rsidRPr="00D47CE7">
        <w:rPr>
          <w:rFonts w:hint="cs"/>
          <w:rtl/>
        </w:rPr>
        <w:t>אף שהטעם הפגום מורגש והוא ניכר, מ"מ כמו שאין לטעם פגום דין טעם לענין איסור טעם כעיקר, ה"ה דאינו נחשב טעם לענין ביטול ברוב, ולא חשיב טעם שניכר שמונע מהאיסור  להתבטל</w:t>
      </w:r>
      <w:r>
        <w:rPr>
          <w:rFonts w:hint="cs"/>
          <w:rtl/>
        </w:rPr>
        <w:t xml:space="preserve">, </w:t>
      </w:r>
      <w:r w:rsidRPr="00D47CE7">
        <w:rPr>
          <w:rFonts w:hint="cs"/>
          <w:rtl/>
        </w:rPr>
        <w:t xml:space="preserve">וכתב </w:t>
      </w:r>
      <w:r w:rsidRPr="005E3564">
        <w:rPr>
          <w:rStyle w:val="af8"/>
          <w:rFonts w:hint="cs"/>
          <w:rtl/>
        </w:rPr>
        <w:t xml:space="preserve">הקה"י </w:t>
      </w:r>
      <w:r w:rsidRPr="00D47CE7">
        <w:rPr>
          <w:rFonts w:hint="cs"/>
          <w:rtl/>
        </w:rPr>
        <w:t>דאעפ"י דבנותן טעם לשבח חשיב טעמו וממשו דלוקין עליו, ומבואר דהטעם גורם לממשות שלא תתבטל ברוב, מ"מ בנותן טעם לפגם הממשות בטלה אף שהטעם הפגום ניכר</w:t>
      </w:r>
      <w:r>
        <w:rPr>
          <w:rFonts w:hint="cs"/>
          <w:rtl/>
        </w:rPr>
        <w:t xml:space="preserve">, </w:t>
      </w:r>
      <w:r w:rsidRPr="00D47CE7">
        <w:rPr>
          <w:rFonts w:hint="cs"/>
          <w:rtl/>
        </w:rPr>
        <w:t>וכ</w:t>
      </w:r>
      <w:r>
        <w:rPr>
          <w:rFonts w:hint="cs"/>
          <w:rtl/>
        </w:rPr>
        <w:t>עי"ז כתב</w:t>
      </w:r>
      <w:r w:rsidRPr="00D47CE7">
        <w:rPr>
          <w:rFonts w:hint="cs"/>
          <w:rtl/>
        </w:rPr>
        <w:t xml:space="preserve"> </w:t>
      </w:r>
      <w:r w:rsidRPr="003775EE">
        <w:rPr>
          <w:rStyle w:val="af8"/>
          <w:rFonts w:hint="cs"/>
          <w:rtl/>
        </w:rPr>
        <w:t>הקה"י בפסחים</w:t>
      </w:r>
      <w:r w:rsidRPr="00732195">
        <w:rPr>
          <w:vertAlign w:val="superscript"/>
          <w:rtl/>
        </w:rPr>
        <w:fldChar w:fldCharType="begin"/>
      </w:r>
      <w:r w:rsidRPr="00732195">
        <w:rPr>
          <w:vertAlign w:val="superscript"/>
          <w:rtl/>
        </w:rPr>
        <w:instrText xml:space="preserve"> </w:instrText>
      </w:r>
      <w:r w:rsidRPr="00732195">
        <w:rPr>
          <w:rFonts w:hint="cs"/>
          <w:vertAlign w:val="superscript"/>
        </w:rPr>
        <w:instrText>NOTEREF</w:instrText>
      </w:r>
      <w:r w:rsidRPr="00732195">
        <w:rPr>
          <w:rFonts w:hint="cs"/>
          <w:vertAlign w:val="superscript"/>
          <w:rtl/>
        </w:rPr>
        <w:instrText xml:space="preserve"> _</w:instrText>
      </w:r>
      <w:r w:rsidRPr="00732195">
        <w:rPr>
          <w:rFonts w:hint="cs"/>
          <w:vertAlign w:val="superscript"/>
        </w:rPr>
        <w:instrText>Ref18477969 \h</w:instrText>
      </w:r>
      <w:r w:rsidRPr="0073219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32195">
        <w:rPr>
          <w:vertAlign w:val="superscript"/>
          <w:rtl/>
        </w:rPr>
      </w:r>
      <w:r w:rsidRPr="00732195">
        <w:rPr>
          <w:vertAlign w:val="superscript"/>
          <w:rtl/>
        </w:rPr>
        <w:fldChar w:fldCharType="separate"/>
      </w:r>
      <w:r w:rsidR="004D1C5B">
        <w:rPr>
          <w:vertAlign w:val="superscript"/>
          <w:rtl/>
        </w:rPr>
        <w:t>38</w:t>
      </w:r>
      <w:r w:rsidRPr="00732195">
        <w:rPr>
          <w:vertAlign w:val="superscript"/>
          <w:rtl/>
        </w:rPr>
        <w:fldChar w:fldCharType="end"/>
      </w:r>
      <w:r w:rsidRPr="00D47CE7">
        <w:rPr>
          <w:rFonts w:hint="cs"/>
          <w:rtl/>
        </w:rPr>
        <w:t xml:space="preserve"> </w:t>
      </w:r>
      <w:r w:rsidRPr="003775EE">
        <w:rPr>
          <w:rStyle w:val="af6"/>
          <w:rFonts w:eastAsia="Guttman Hodes" w:hint="cs"/>
          <w:rtl/>
        </w:rPr>
        <w:t>(סי' ט"ז ד"ה וראיה)</w:t>
      </w:r>
      <w:r>
        <w:rPr>
          <w:rFonts w:hint="cs"/>
          <w:rtl/>
        </w:rPr>
        <w:t xml:space="preserve">. [ועי' במ"ש בזה </w:t>
      </w:r>
      <w:r w:rsidRPr="00FE122A">
        <w:rPr>
          <w:rStyle w:val="af8"/>
          <w:rFonts w:hint="cs"/>
          <w:rtl/>
        </w:rPr>
        <w:t>הפרמ"ג</w:t>
      </w:r>
      <w:r w:rsidRPr="00FE122A">
        <w:rPr>
          <w:rStyle w:val="af6"/>
          <w:rFonts w:eastAsia="Guttman Hodes" w:hint="cs"/>
          <w:rtl/>
        </w:rPr>
        <w:t xml:space="preserve"> (עי'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Ref17620521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FE122A">
        <w:rPr>
          <w:rStyle w:val="af6"/>
          <w:rFonts w:eastAsia="Guttman Hodes"/>
          <w:rtl/>
        </w:rPr>
        <w:fldChar w:fldCharType="end"/>
      </w:r>
      <w:r>
        <w:rPr>
          <w:rFonts w:hint="cs"/>
          <w:rtl/>
        </w:rPr>
        <w:t xml:space="preserve"> </w:t>
      </w:r>
      <w:r w:rsidRPr="00FE122A">
        <w:rPr>
          <w:rStyle w:val="af8"/>
          <w:rFonts w:hint="cs"/>
          <w:rtl/>
        </w:rPr>
        <w:t>והיד יהודה</w:t>
      </w:r>
      <w:r>
        <w:rPr>
          <w:rFonts w:hint="cs"/>
          <w:rtl/>
        </w:rPr>
        <w:t xml:space="preserve"> </w:t>
      </w:r>
      <w:r w:rsidRPr="00FE122A">
        <w:rPr>
          <w:rStyle w:val="af6"/>
          <w:rFonts w:eastAsia="Guttman Hodes" w:hint="cs"/>
          <w:rtl/>
        </w:rPr>
        <w:t xml:space="preserve">(עי' אות </w:t>
      </w:r>
      <w:r w:rsidRPr="00FE122A">
        <w:rPr>
          <w:rStyle w:val="af6"/>
          <w:rFonts w:eastAsia="Guttman Hodes"/>
          <w:rtl/>
        </w:rPr>
        <w:fldChar w:fldCharType="begin"/>
      </w:r>
      <w:r w:rsidRPr="00FE122A">
        <w:rPr>
          <w:rStyle w:val="af6"/>
          <w:rFonts w:eastAsia="Guttman Hodes"/>
          <w:rtl/>
        </w:rPr>
        <w:instrText xml:space="preserve"> </w:instrText>
      </w:r>
      <w:r w:rsidRPr="00FE122A">
        <w:rPr>
          <w:rStyle w:val="af6"/>
          <w:rFonts w:eastAsia="Guttman Hodes" w:hint="cs"/>
        </w:rPr>
        <w:instrText>REF</w:instrText>
      </w:r>
      <w:r w:rsidRPr="00FE122A">
        <w:rPr>
          <w:rStyle w:val="af6"/>
          <w:rFonts w:eastAsia="Guttman Hodes" w:hint="cs"/>
          <w:rtl/>
        </w:rPr>
        <w:instrText xml:space="preserve"> _</w:instrText>
      </w:r>
      <w:r w:rsidRPr="00FE122A">
        <w:rPr>
          <w:rStyle w:val="af6"/>
          <w:rFonts w:eastAsia="Guttman Hodes" w:hint="cs"/>
        </w:rPr>
        <w:instrText>Ref16849697 \r \h</w:instrText>
      </w:r>
      <w:r w:rsidRPr="00FE122A">
        <w:rPr>
          <w:rStyle w:val="af6"/>
          <w:rFonts w:eastAsia="Guttman Hodes"/>
          <w:rtl/>
        </w:rPr>
        <w:instrText xml:space="preserve"> </w:instrText>
      </w:r>
      <w:r w:rsidRPr="00FE122A">
        <w:rPr>
          <w:rStyle w:val="af6"/>
          <w:rFonts w:eastAsia="Guttman Hodes"/>
          <w:rtl/>
        </w:rPr>
      </w:r>
      <w:r w:rsidRPr="00FE122A">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FE122A">
        <w:rPr>
          <w:rStyle w:val="af6"/>
          <w:rFonts w:eastAsia="Guttman Hodes"/>
          <w:rtl/>
        </w:rPr>
        <w:fldChar w:fldCharType="end"/>
      </w:r>
      <w:r>
        <w:rPr>
          <w:rFonts w:hint="cs"/>
          <w:rtl/>
        </w:rPr>
        <w:t xml:space="preserve"> </w:t>
      </w:r>
      <w:r w:rsidRPr="00373178">
        <w:rPr>
          <w:rStyle w:val="af8"/>
          <w:rFonts w:hint="cs"/>
          <w:rtl/>
        </w:rPr>
        <w:t>והגר"ח</w:t>
      </w:r>
      <w:r>
        <w:rPr>
          <w:rFonts w:hint="cs"/>
          <w:rtl/>
        </w:rPr>
        <w:t xml:space="preserve"> </w:t>
      </w:r>
      <w:r w:rsidRPr="00373178">
        <w:rPr>
          <w:rStyle w:val="af6"/>
          <w:rFonts w:eastAsia="Guttman Hodes" w:hint="cs"/>
          <w:rtl/>
        </w:rPr>
        <w:t xml:space="preserve">(עי' אות </w:t>
      </w:r>
      <w:r w:rsidRPr="00373178">
        <w:rPr>
          <w:rStyle w:val="af6"/>
          <w:rFonts w:eastAsia="Guttman Hodes"/>
          <w:rtl/>
        </w:rPr>
        <w:fldChar w:fldCharType="begin"/>
      </w:r>
      <w:r w:rsidRPr="00373178">
        <w:rPr>
          <w:rStyle w:val="af6"/>
          <w:rFonts w:eastAsia="Guttman Hodes"/>
          <w:rtl/>
        </w:rPr>
        <w:instrText xml:space="preserve"> </w:instrText>
      </w:r>
      <w:r w:rsidRPr="00373178">
        <w:rPr>
          <w:rStyle w:val="af6"/>
          <w:rFonts w:eastAsia="Guttman Hodes" w:hint="cs"/>
        </w:rPr>
        <w:instrText>REF</w:instrText>
      </w:r>
      <w:r w:rsidRPr="00373178">
        <w:rPr>
          <w:rStyle w:val="af6"/>
          <w:rFonts w:eastAsia="Guttman Hodes" w:hint="cs"/>
          <w:rtl/>
        </w:rPr>
        <w:instrText xml:space="preserve"> _</w:instrText>
      </w:r>
      <w:r w:rsidRPr="00373178">
        <w:rPr>
          <w:rStyle w:val="af6"/>
          <w:rFonts w:eastAsia="Guttman Hodes" w:hint="cs"/>
        </w:rPr>
        <w:instrText>Ref18403740 \r \h</w:instrText>
      </w:r>
      <w:r w:rsidRPr="00373178">
        <w:rPr>
          <w:rStyle w:val="af6"/>
          <w:rFonts w:eastAsia="Guttman Hodes"/>
          <w:rtl/>
        </w:rPr>
        <w:instrText xml:space="preserve"> </w:instrText>
      </w:r>
      <w:r w:rsidRPr="00373178">
        <w:rPr>
          <w:rStyle w:val="af6"/>
          <w:rFonts w:eastAsia="Guttman Hodes"/>
          <w:rtl/>
        </w:rPr>
      </w:r>
      <w:r w:rsidRPr="00373178">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373178">
        <w:rPr>
          <w:rStyle w:val="af6"/>
          <w:rFonts w:eastAsia="Guttman Hodes"/>
          <w:rtl/>
        </w:rPr>
        <w:fldChar w:fldCharType="end"/>
      </w:r>
      <w:r>
        <w:rPr>
          <w:rFonts w:hint="cs"/>
          <w:rtl/>
        </w:rPr>
        <w:t>].</w:t>
      </w:r>
      <w:bookmarkEnd w:id="9329"/>
    </w:p>
    <w:p w:rsidR="007809D6" w:rsidRPr="00D47CE7" w:rsidRDefault="007809D6" w:rsidP="007809D6">
      <w:pPr>
        <w:pStyle w:val="a2"/>
        <w:rPr>
          <w:rtl/>
        </w:rPr>
      </w:pPr>
      <w:bookmarkStart w:id="9330" w:name="_Toc18481657"/>
      <w:r>
        <w:rPr>
          <w:rFonts w:hint="cs"/>
          <w:rtl/>
        </w:rPr>
        <w:t>דברי הקה"י דברשב"א בשם הרי"ף מבואר דאף בטעם פגום לא מהני ביטול ברוב</w:t>
      </w:r>
      <w:bookmarkEnd w:id="9330"/>
    </w:p>
    <w:p w:rsidR="00AD5801" w:rsidRDefault="007809D6" w:rsidP="009F44AF">
      <w:pPr>
        <w:pStyle w:val="a"/>
        <w:rPr>
          <w:rtl/>
        </w:rPr>
      </w:pPr>
      <w:r w:rsidRPr="00D47CE7">
        <w:rPr>
          <w:rFonts w:hint="cs"/>
          <w:rtl/>
        </w:rPr>
        <w:t xml:space="preserve">אך הביא </w:t>
      </w:r>
      <w:r w:rsidRPr="005E3564">
        <w:rPr>
          <w:rStyle w:val="af8"/>
          <w:rFonts w:hint="cs"/>
          <w:rtl/>
        </w:rPr>
        <w:t xml:space="preserve">הקה"י </w:t>
      </w:r>
      <w:r w:rsidRPr="00D47CE7">
        <w:rPr>
          <w:rFonts w:hint="cs"/>
          <w:rtl/>
        </w:rPr>
        <w:t xml:space="preserve">את דברי </w:t>
      </w:r>
      <w:r w:rsidRPr="005E3564">
        <w:rPr>
          <w:rStyle w:val="af8"/>
          <w:rFonts w:hint="cs"/>
          <w:rtl/>
        </w:rPr>
        <w:t xml:space="preserve">הרשב"א בתוה"ב </w:t>
      </w:r>
      <w:r w:rsidRPr="005E3564">
        <w:rPr>
          <w:rStyle w:val="af6"/>
          <w:rFonts w:eastAsia="Guttman Hodes" w:hint="cs"/>
          <w:rtl/>
        </w:rPr>
        <w:t xml:space="preserve">(ב"ד ש"א יד: מדה"ס) </w:t>
      </w:r>
      <w:r w:rsidRPr="00D47CE7">
        <w:rPr>
          <w:rFonts w:hint="cs"/>
          <w:rtl/>
        </w:rPr>
        <w:t xml:space="preserve">דהביא בשם </w:t>
      </w:r>
      <w:r w:rsidRPr="005E3564">
        <w:rPr>
          <w:rStyle w:val="af8"/>
          <w:rFonts w:hint="cs"/>
          <w:rtl/>
        </w:rPr>
        <w:t xml:space="preserve">הרי"ף בתשו' וגאון בתשו' </w:t>
      </w:r>
      <w:r w:rsidRPr="00D47CE7">
        <w:rPr>
          <w:rFonts w:hint="cs"/>
          <w:rtl/>
        </w:rPr>
        <w:t xml:space="preserve">דכתבו דאם התערבה חתיכה משרץ בתוך הקדירה, שיעורו הוא בשישים, וכתב </w:t>
      </w:r>
      <w:r w:rsidRPr="005E3564">
        <w:rPr>
          <w:rStyle w:val="af8"/>
          <w:rFonts w:hint="cs"/>
          <w:rtl/>
        </w:rPr>
        <w:t>הקה"י</w:t>
      </w:r>
      <w:r w:rsidRPr="00D47CE7">
        <w:rPr>
          <w:rFonts w:hint="cs"/>
          <w:rtl/>
        </w:rPr>
        <w:t xml:space="preserve"> דמבואר מדברי </w:t>
      </w:r>
      <w:r w:rsidRPr="005E3564">
        <w:rPr>
          <w:rStyle w:val="af8"/>
          <w:rFonts w:hint="cs"/>
          <w:rtl/>
        </w:rPr>
        <w:t xml:space="preserve">הרי"ף וגאון </w:t>
      </w:r>
      <w:r w:rsidRPr="00D47CE7">
        <w:rPr>
          <w:rFonts w:hint="cs"/>
          <w:rtl/>
        </w:rPr>
        <w:t xml:space="preserve">דאעפ"י דהשרץ נותן טעם לפגם, מ"מ אינו מתבטל ברוב וצריך שישים לבטלו, וביאר </w:t>
      </w:r>
      <w:r w:rsidRPr="006A5613">
        <w:rPr>
          <w:rStyle w:val="af8"/>
          <w:rFonts w:hint="cs"/>
          <w:rtl/>
        </w:rPr>
        <w:t>הקה"י</w:t>
      </w:r>
      <w:r w:rsidRPr="00D47CE7">
        <w:rPr>
          <w:rFonts w:hint="cs"/>
          <w:rtl/>
        </w:rPr>
        <w:t xml:space="preserve"> דס"ל דכיון שהטעם הפגום ניכר בתערובת, לכן ממשו של האיסור אינו מתבטל ברוב, ודלא כמבואר מדברי </w:t>
      </w:r>
      <w:r w:rsidRPr="006A5613">
        <w:rPr>
          <w:rStyle w:val="af8"/>
          <w:rFonts w:hint="cs"/>
          <w:rtl/>
        </w:rPr>
        <w:t>הרשב"א בתוה"ב</w:t>
      </w:r>
      <w:r w:rsidRPr="00D47CE7">
        <w:rPr>
          <w:rFonts w:hint="cs"/>
          <w:rtl/>
        </w:rPr>
        <w:t xml:space="preserve">, והוסיף </w:t>
      </w:r>
      <w:r w:rsidRPr="006A5613">
        <w:rPr>
          <w:rStyle w:val="af8"/>
          <w:rFonts w:hint="cs"/>
          <w:rtl/>
        </w:rPr>
        <w:t>הקה"י</w:t>
      </w:r>
      <w:r w:rsidRPr="00D47CE7">
        <w:rPr>
          <w:rFonts w:hint="cs"/>
          <w:rtl/>
        </w:rPr>
        <w:t xml:space="preserve"> דאפש"ל </w:t>
      </w:r>
      <w:r w:rsidRPr="006A5613">
        <w:rPr>
          <w:rStyle w:val="af8"/>
          <w:rFonts w:hint="cs"/>
          <w:rtl/>
        </w:rPr>
        <w:t>דהרי"ף וגאון</w:t>
      </w:r>
      <w:r w:rsidRPr="00D47CE7">
        <w:rPr>
          <w:rFonts w:hint="cs"/>
          <w:rtl/>
        </w:rPr>
        <w:t xml:space="preserve"> פסקו כרב ששת אליבא דרב בגמ'</w:t>
      </w:r>
      <w:r>
        <w:rPr>
          <w:rFonts w:hint="cs"/>
          <w:rtl/>
        </w:rPr>
        <w:t xml:space="preserve"> </w:t>
      </w:r>
      <w:r w:rsidRPr="00D47CE7">
        <w:rPr>
          <w:rFonts w:hint="cs"/>
          <w:rtl/>
        </w:rPr>
        <w:t xml:space="preserve">לקמן </w:t>
      </w:r>
      <w:r w:rsidRPr="005E3564">
        <w:rPr>
          <w:rStyle w:val="af6"/>
          <w:rFonts w:eastAsia="Guttman Hodes" w:hint="cs"/>
          <w:rtl/>
        </w:rPr>
        <w:t xml:space="preserve">(סט.) </w:t>
      </w:r>
      <w:r w:rsidRPr="00D47CE7">
        <w:rPr>
          <w:rFonts w:hint="cs"/>
          <w:rtl/>
        </w:rPr>
        <w:t>דבאיסור שפגום מעיקרו אף נותן טעם לפגם אסור</w:t>
      </w:r>
      <w:r>
        <w:rPr>
          <w:rFonts w:hint="cs"/>
          <w:rtl/>
        </w:rPr>
        <w:t xml:space="preserve">, </w:t>
      </w:r>
      <w:r w:rsidRPr="00D47CE7">
        <w:rPr>
          <w:rFonts w:hint="cs"/>
          <w:rtl/>
        </w:rPr>
        <w:t>וכ</w:t>
      </w:r>
      <w:r>
        <w:rPr>
          <w:rFonts w:hint="cs"/>
          <w:rtl/>
        </w:rPr>
        <w:t>עי"ז כתב</w:t>
      </w:r>
      <w:r w:rsidRPr="00D47CE7">
        <w:rPr>
          <w:rFonts w:hint="cs"/>
          <w:rtl/>
        </w:rPr>
        <w:t xml:space="preserve"> </w:t>
      </w:r>
      <w:r w:rsidRPr="003775EE">
        <w:rPr>
          <w:rStyle w:val="af8"/>
          <w:rFonts w:hint="cs"/>
          <w:rtl/>
        </w:rPr>
        <w:t>הקה"י בפסחים</w:t>
      </w:r>
      <w:r w:rsidRPr="00732195">
        <w:rPr>
          <w:vertAlign w:val="superscript"/>
          <w:rtl/>
        </w:rPr>
        <w:fldChar w:fldCharType="begin"/>
      </w:r>
      <w:r w:rsidRPr="00732195">
        <w:rPr>
          <w:vertAlign w:val="superscript"/>
          <w:rtl/>
        </w:rPr>
        <w:instrText xml:space="preserve"> </w:instrText>
      </w:r>
      <w:r w:rsidRPr="00732195">
        <w:rPr>
          <w:rFonts w:hint="cs"/>
          <w:vertAlign w:val="superscript"/>
        </w:rPr>
        <w:instrText>NOTEREF</w:instrText>
      </w:r>
      <w:r w:rsidRPr="00732195">
        <w:rPr>
          <w:rFonts w:hint="cs"/>
          <w:vertAlign w:val="superscript"/>
          <w:rtl/>
        </w:rPr>
        <w:instrText xml:space="preserve"> _</w:instrText>
      </w:r>
      <w:r w:rsidRPr="00732195">
        <w:rPr>
          <w:rFonts w:hint="cs"/>
          <w:vertAlign w:val="superscript"/>
        </w:rPr>
        <w:instrText>Ref18477969 \h</w:instrText>
      </w:r>
      <w:r w:rsidRPr="0073219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32195">
        <w:rPr>
          <w:vertAlign w:val="superscript"/>
          <w:rtl/>
        </w:rPr>
      </w:r>
      <w:r w:rsidRPr="00732195">
        <w:rPr>
          <w:vertAlign w:val="superscript"/>
          <w:rtl/>
        </w:rPr>
        <w:fldChar w:fldCharType="separate"/>
      </w:r>
      <w:r w:rsidR="004D1C5B">
        <w:rPr>
          <w:vertAlign w:val="superscript"/>
          <w:rtl/>
        </w:rPr>
        <w:t>38</w:t>
      </w:r>
      <w:r w:rsidRPr="00732195">
        <w:rPr>
          <w:vertAlign w:val="superscript"/>
          <w:rtl/>
        </w:rPr>
        <w:fldChar w:fldCharType="end"/>
      </w:r>
      <w:r>
        <w:rPr>
          <w:rStyle w:val="af8"/>
          <w:rFonts w:hint="cs"/>
          <w:rtl/>
        </w:rPr>
        <w:t xml:space="preserve"> </w:t>
      </w:r>
      <w:r w:rsidRPr="003775EE">
        <w:rPr>
          <w:rStyle w:val="af6"/>
          <w:rFonts w:eastAsia="Guttman Hodes" w:hint="cs"/>
          <w:rtl/>
        </w:rPr>
        <w:t>(סי' ט"ז ד"ה וראיה)</w:t>
      </w:r>
      <w:r w:rsidRPr="00D47CE7">
        <w:rPr>
          <w:rFonts w:hint="cs"/>
          <w:rtl/>
        </w:rPr>
        <w:t>.</w:t>
      </w:r>
      <w:bookmarkEnd w:id="9325"/>
    </w:p>
    <w:p w:rsidR="007809D6" w:rsidRDefault="007809D6" w:rsidP="00E669F8">
      <w:pPr>
        <w:pStyle w:val="afd"/>
        <w:rPr>
          <w:rtl/>
        </w:rPr>
      </w:pPr>
      <w:bookmarkStart w:id="9331" w:name="_Toc18481658"/>
      <w:r>
        <w:rPr>
          <w:rFonts w:hint="cs"/>
          <w:rtl/>
        </w:rPr>
        <w:t>ביאור המקדש דוד דבנטל"פ ל"א נהפך</w:t>
      </w:r>
    </w:p>
    <w:p w:rsidR="007809D6" w:rsidRPr="00D47CE7" w:rsidRDefault="007809D6" w:rsidP="007809D6">
      <w:pPr>
        <w:pStyle w:val="1"/>
        <w:rPr>
          <w:rtl/>
        </w:rPr>
      </w:pPr>
      <w:r>
        <w:rPr>
          <w:rFonts w:hint="cs"/>
          <w:rtl/>
        </w:rPr>
        <w:lastRenderedPageBreak/>
        <w:t>ביאור המקדש דוד ברשב"א ובר"ן דבנטל"פ לא אמרינן נהפך</w:t>
      </w:r>
      <w:bookmarkEnd w:id="9331"/>
    </w:p>
    <w:p w:rsidR="007809D6" w:rsidRPr="00D47CE7" w:rsidRDefault="007809D6" w:rsidP="007809D6">
      <w:pPr>
        <w:pStyle w:val="a2"/>
        <w:rPr>
          <w:rtl/>
        </w:rPr>
      </w:pPr>
      <w:bookmarkStart w:id="9332" w:name="_Toc18481659"/>
      <w:r>
        <w:rPr>
          <w:rFonts w:hint="cs"/>
          <w:rtl/>
        </w:rPr>
        <w:t>קושית המקדש דוד על הר"ן דביטול ברוב אינו תלוי אם יש לו רווח ע"י הביטול או לא</w:t>
      </w:r>
      <w:bookmarkEnd w:id="9332"/>
    </w:p>
    <w:p w:rsidR="007809D6" w:rsidRPr="00D47CE7" w:rsidRDefault="007809D6" w:rsidP="009F44AF">
      <w:pPr>
        <w:pStyle w:val="a"/>
      </w:pPr>
      <w:bookmarkStart w:id="9333" w:name="_Ref18478930"/>
      <w:r w:rsidRPr="00D47CE7">
        <w:rPr>
          <w:rFonts w:hint="cs"/>
          <w:rtl/>
        </w:rPr>
        <w:t xml:space="preserve">הביא </w:t>
      </w:r>
      <w:r w:rsidRPr="00D47CE7">
        <w:rPr>
          <w:rStyle w:val="af8"/>
          <w:rFonts w:hint="cs"/>
          <w:rtl/>
        </w:rPr>
        <w:t>בשיעורי מקדש דוד</w:t>
      </w:r>
      <w:r w:rsidRPr="00D47CE7">
        <w:rPr>
          <w:rStyle w:val="af0"/>
          <w:rtl/>
        </w:rPr>
        <w:footnoteReference w:id="39"/>
      </w:r>
      <w:r w:rsidRPr="00D47CE7">
        <w:rPr>
          <w:rFonts w:hint="cs"/>
          <w:rtl/>
        </w:rPr>
        <w:t xml:space="preserve"> </w:t>
      </w:r>
      <w:r w:rsidRPr="007C7209">
        <w:rPr>
          <w:rStyle w:val="af6"/>
          <w:rFonts w:eastAsia="Guttman Hodes" w:hint="cs"/>
          <w:rtl/>
        </w:rPr>
        <w:t>(חולין סי' י"א אות ז', ובספר ב</w:t>
      </w:r>
      <w:r w:rsidRPr="007C7209">
        <w:rPr>
          <w:rStyle w:val="af6"/>
          <w:rFonts w:eastAsia="Guttman Hodes"/>
          <w:rtl/>
        </w:rPr>
        <w:t>קובץ ענינים</w:t>
      </w:r>
      <w:r w:rsidRPr="007C7209">
        <w:rPr>
          <w:rStyle w:val="af6"/>
          <w:rFonts w:eastAsia="Guttman Hodes" w:hint="cs"/>
          <w:rtl/>
        </w:rPr>
        <w:t xml:space="preserve"> </w:t>
      </w:r>
      <w:r w:rsidRPr="007C7209">
        <w:rPr>
          <w:rStyle w:val="af6"/>
          <w:rFonts w:eastAsia="Guttman Hodes"/>
          <w:rtl/>
        </w:rPr>
        <w:t>הגרד"ר סי' ח' אות ו')</w:t>
      </w:r>
      <w:r w:rsidRPr="007C7209">
        <w:rPr>
          <w:rStyle w:val="af6"/>
          <w:rFonts w:eastAsia="Guttman Hodes" w:hint="cs"/>
          <w:rtl/>
        </w:rPr>
        <w:t xml:space="preserve"> </w:t>
      </w:r>
      <w:r w:rsidRPr="00D47CE7">
        <w:rPr>
          <w:rFonts w:hint="cs"/>
          <w:rtl/>
        </w:rPr>
        <w:t xml:space="preserve">את דברי </w:t>
      </w:r>
      <w:r w:rsidRPr="00D47CE7">
        <w:rPr>
          <w:rStyle w:val="af8"/>
          <w:rFonts w:hint="cs"/>
          <w:rtl/>
        </w:rPr>
        <w:t>הר"ן</w:t>
      </w:r>
      <w:r w:rsidRPr="00D47CE7">
        <w:rPr>
          <w:rFonts w:hint="cs"/>
          <w:rtl/>
        </w:rPr>
        <w:t xml:space="preserve"> </w:t>
      </w:r>
      <w:r w:rsidRPr="007C7209">
        <w:rPr>
          <w:rStyle w:val="af6"/>
          <w:rFonts w:eastAsia="Guttman Hodes" w:hint="cs"/>
          <w:rtl/>
        </w:rPr>
        <w:t xml:space="preserve">(עי' אות </w:t>
      </w:r>
      <w:r w:rsidRPr="007C7209">
        <w:rPr>
          <w:rStyle w:val="af6"/>
          <w:rFonts w:eastAsia="Guttman Hodes"/>
          <w:rtl/>
        </w:rPr>
        <w:fldChar w:fldCharType="begin"/>
      </w:r>
      <w:r w:rsidRPr="007C7209">
        <w:rPr>
          <w:rStyle w:val="af6"/>
          <w:rFonts w:eastAsia="Guttman Hodes"/>
          <w:rtl/>
        </w:rPr>
        <w:instrText xml:space="preserve"> </w:instrText>
      </w:r>
      <w:r w:rsidRPr="007C7209">
        <w:rPr>
          <w:rStyle w:val="af6"/>
          <w:rFonts w:eastAsia="Guttman Hodes" w:hint="cs"/>
        </w:rPr>
        <w:instrText>REF</w:instrText>
      </w:r>
      <w:r w:rsidRPr="007C7209">
        <w:rPr>
          <w:rStyle w:val="af6"/>
          <w:rFonts w:eastAsia="Guttman Hodes" w:hint="cs"/>
          <w:rtl/>
        </w:rPr>
        <w:instrText xml:space="preserve"> _</w:instrText>
      </w:r>
      <w:r w:rsidRPr="007C7209">
        <w:rPr>
          <w:rStyle w:val="af6"/>
          <w:rFonts w:eastAsia="Guttman Hodes" w:hint="cs"/>
        </w:rPr>
        <w:instrText>Ref16849713 \r \h</w:instrText>
      </w:r>
      <w:r w:rsidRPr="007C7209">
        <w:rPr>
          <w:rStyle w:val="af6"/>
          <w:rFonts w:eastAsia="Guttman Hodes"/>
          <w:rtl/>
        </w:rPr>
        <w:instrText xml:space="preserve"> </w:instrText>
      </w:r>
      <w:r w:rsidRPr="007C7209">
        <w:rPr>
          <w:rStyle w:val="af6"/>
          <w:rFonts w:eastAsia="Guttman Hodes"/>
          <w:rtl/>
        </w:rPr>
      </w:r>
      <w:r w:rsidRPr="007C7209">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7C7209">
        <w:rPr>
          <w:rStyle w:val="af6"/>
          <w:rFonts w:eastAsia="Guttman Hodes"/>
          <w:rtl/>
        </w:rPr>
        <w:fldChar w:fldCharType="end"/>
      </w:r>
      <w:r w:rsidRPr="00D47CE7">
        <w:rPr>
          <w:rFonts w:hint="cs"/>
          <w:rtl/>
        </w:rPr>
        <w:t xml:space="preserve"> דכתב דההיתר בפגום קצת הוא כיון שאינו נהנה מהטעם האסור, ואף שמרוויח קצת במה שהאיסור הגדיל את מידת ההיתר, מ"מ הוא מפסיד יותר במה שהטעם פגם, ולכן כתב </w:t>
      </w:r>
      <w:r w:rsidRPr="00D47CE7">
        <w:rPr>
          <w:rStyle w:val="af8"/>
          <w:rFonts w:hint="cs"/>
          <w:rtl/>
        </w:rPr>
        <w:t>הר"ן</w:t>
      </w:r>
      <w:r w:rsidRPr="00D47CE7">
        <w:rPr>
          <w:rFonts w:hint="cs"/>
          <w:rtl/>
        </w:rPr>
        <w:t xml:space="preserve"> </w:t>
      </w:r>
      <w:r w:rsidRPr="007C7209">
        <w:rPr>
          <w:rStyle w:val="af6"/>
          <w:rFonts w:eastAsia="Guttman Hodes" w:hint="cs"/>
          <w:rtl/>
        </w:rPr>
        <w:t xml:space="preserve">(עי' אות </w:t>
      </w:r>
      <w:r w:rsidRPr="007C7209">
        <w:rPr>
          <w:rStyle w:val="af6"/>
          <w:rFonts w:eastAsia="Guttman Hodes"/>
          <w:rtl/>
        </w:rPr>
        <w:fldChar w:fldCharType="begin"/>
      </w:r>
      <w:r w:rsidRPr="007C7209">
        <w:rPr>
          <w:rStyle w:val="af6"/>
          <w:rFonts w:eastAsia="Guttman Hodes"/>
          <w:rtl/>
        </w:rPr>
        <w:instrText xml:space="preserve"> </w:instrText>
      </w:r>
      <w:r w:rsidRPr="007C7209">
        <w:rPr>
          <w:rStyle w:val="af6"/>
          <w:rFonts w:eastAsia="Guttman Hodes" w:hint="cs"/>
        </w:rPr>
        <w:instrText>REF</w:instrText>
      </w:r>
      <w:r w:rsidRPr="007C7209">
        <w:rPr>
          <w:rStyle w:val="af6"/>
          <w:rFonts w:eastAsia="Guttman Hodes" w:hint="cs"/>
          <w:rtl/>
        </w:rPr>
        <w:instrText xml:space="preserve"> _</w:instrText>
      </w:r>
      <w:r w:rsidRPr="007C7209">
        <w:rPr>
          <w:rStyle w:val="af6"/>
          <w:rFonts w:eastAsia="Guttman Hodes" w:hint="cs"/>
        </w:rPr>
        <w:instrText>Ref16850208 \r \h</w:instrText>
      </w:r>
      <w:r w:rsidRPr="007C7209">
        <w:rPr>
          <w:rStyle w:val="af6"/>
          <w:rFonts w:eastAsia="Guttman Hodes"/>
          <w:rtl/>
        </w:rPr>
        <w:instrText xml:space="preserve"> </w:instrText>
      </w:r>
      <w:r w:rsidRPr="007C7209">
        <w:rPr>
          <w:rStyle w:val="af6"/>
          <w:rFonts w:eastAsia="Guttman Hodes"/>
          <w:rtl/>
        </w:rPr>
      </w:r>
      <w:r w:rsidRPr="007C7209">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7C7209">
        <w:rPr>
          <w:rStyle w:val="af6"/>
          <w:rFonts w:eastAsia="Guttman Hodes"/>
          <w:rtl/>
        </w:rPr>
        <w:fldChar w:fldCharType="end"/>
      </w:r>
      <w:r w:rsidRPr="00D47CE7">
        <w:rPr>
          <w:rFonts w:hint="cs"/>
          <w:rtl/>
        </w:rPr>
        <w:t xml:space="preserve"> דבמקום שהאיסור גדול יותר, שיש לו יותר רווח במה שהאיסור הגדיל את מידת ההיתר, יותר ממה שפגם בטעם אסור, והקשה </w:t>
      </w:r>
      <w:r w:rsidRPr="00D47CE7">
        <w:rPr>
          <w:rStyle w:val="af8"/>
          <w:rFonts w:hint="cs"/>
          <w:rtl/>
        </w:rPr>
        <w:t>המקדש דוד</w:t>
      </w:r>
      <w:r w:rsidRPr="00D47CE7">
        <w:rPr>
          <w:rFonts w:hint="cs"/>
          <w:rtl/>
        </w:rPr>
        <w:t xml:space="preserve"> דלענין ביטול ברוב אין כל נ"מ אי ע"י שהאיסור התבטל בהיתר, יש לו רווח או לא, </w:t>
      </w:r>
      <w:r w:rsidRPr="00D47CE7">
        <w:rPr>
          <w:rStyle w:val="afa"/>
          <w:rFonts w:hint="cs"/>
          <w:rtl/>
        </w:rPr>
        <w:t>[דהיינו דבמקום שהאיסור גדול ואינו מתבטל, אף אם אין לו הנאה מחמת דהטעם פגם, צריך לאסור מחמת האיסור עצמו שלא התבטל]</w:t>
      </w:r>
      <w:r>
        <w:rPr>
          <w:rStyle w:val="afa"/>
          <w:rFonts w:hint="cs"/>
          <w:rtl/>
        </w:rPr>
        <w:t xml:space="preserve">, </w:t>
      </w:r>
      <w:r>
        <w:rPr>
          <w:rFonts w:hint="cs"/>
          <w:rtl/>
        </w:rPr>
        <w:t>ד</w:t>
      </w:r>
      <w:r w:rsidRPr="00D47CE7">
        <w:rPr>
          <w:rFonts w:hint="cs"/>
          <w:rtl/>
        </w:rPr>
        <w:t xml:space="preserve">הרי סוף סוף כל שלא נתבטל יש כאן איסור אכילה. </w:t>
      </w:r>
      <w:r w:rsidRPr="005E1897">
        <w:rPr>
          <w:rStyle w:val="afa"/>
          <w:rFonts w:hint="cs"/>
          <w:rtl/>
        </w:rPr>
        <w:t xml:space="preserve">[ועוד הקשה </w:t>
      </w:r>
      <w:r w:rsidRPr="005E1897">
        <w:rPr>
          <w:rStyle w:val="affa"/>
          <w:rFonts w:hint="cs"/>
          <w:rtl/>
        </w:rPr>
        <w:t>המקדש דוד</w:t>
      </w:r>
      <w:r w:rsidRPr="005E1897">
        <w:rPr>
          <w:rStyle w:val="afa"/>
          <w:rFonts w:hint="cs"/>
          <w:rtl/>
        </w:rPr>
        <w:t xml:space="preserve"> בדין השביח ולבסוף פגם דאמאי אסור, הא עכשיו אוכל טעם פגום, ומאי נ"מ במה שבתחילה השביח, ובעיקר היתר נותן טעם לפגם בפגום קצת, והרי את האיסור עצמו היה אסור לאכול אף שהוא פגום, והיאך הוא מותר כשהתערב בהיתר הא צריך לאוסרו מדין טעם כעיקר].</w:t>
      </w:r>
      <w:bookmarkEnd w:id="9333"/>
    </w:p>
    <w:p w:rsidR="007809D6" w:rsidRPr="00D47CE7" w:rsidRDefault="007809D6" w:rsidP="007809D6">
      <w:pPr>
        <w:pStyle w:val="a2"/>
      </w:pPr>
      <w:bookmarkStart w:id="9334" w:name="_Toc18481660"/>
      <w:r>
        <w:rPr>
          <w:rFonts w:hint="cs"/>
          <w:rtl/>
        </w:rPr>
        <w:t>ביאור המקדש דוד בר"ן [עפי"ד הש"ך] דבנטל"פ לא אמרינן נהפך ואין בו דין טע"כ כלל</w:t>
      </w:r>
      <w:bookmarkEnd w:id="9334"/>
    </w:p>
    <w:p w:rsidR="007809D6" w:rsidRPr="005E1897" w:rsidRDefault="007809D6" w:rsidP="009F44AF">
      <w:pPr>
        <w:pStyle w:val="a"/>
        <w:rPr>
          <w:rStyle w:val="afa"/>
        </w:rPr>
      </w:pPr>
      <w:bookmarkStart w:id="9335" w:name="_Ref17797588"/>
      <w:r w:rsidRPr="00D47CE7">
        <w:rPr>
          <w:rFonts w:hint="cs"/>
          <w:rtl/>
        </w:rPr>
        <w:t xml:space="preserve">והביא </w:t>
      </w:r>
      <w:r w:rsidRPr="00D47CE7">
        <w:rPr>
          <w:rStyle w:val="af8"/>
          <w:rFonts w:hint="cs"/>
          <w:rtl/>
        </w:rPr>
        <w:t>המקדש דוד</w:t>
      </w:r>
      <w:r w:rsidRPr="00D47CE7">
        <w:rPr>
          <w:rFonts w:hint="cs"/>
          <w:rtl/>
        </w:rPr>
        <w:t xml:space="preserve"> את דברי </w:t>
      </w:r>
      <w:r w:rsidRPr="00D47CE7">
        <w:rPr>
          <w:rStyle w:val="af8"/>
          <w:rFonts w:hint="cs"/>
          <w:rtl/>
        </w:rPr>
        <w:t>הש"ך</w:t>
      </w:r>
      <w:r w:rsidRPr="005E1897">
        <w:rPr>
          <w:rStyle w:val="af6"/>
          <w:rFonts w:eastAsia="Guttman Hodes" w:hint="cs"/>
          <w:rtl/>
        </w:rPr>
        <w:t xml:space="preserve"> (סי' צ"ח סק"ו, הובא לעיל סימן ח' אות עג)</w:t>
      </w:r>
      <w:r w:rsidRPr="00D47CE7">
        <w:rPr>
          <w:rFonts w:hint="cs"/>
          <w:rtl/>
        </w:rPr>
        <w:t xml:space="preserve"> דכתב דהא דטעם כעיקר אסור מדאו', ולא מהני בטעם ביטול ברוב, הוא כיון דבטעם כעיקר נהפך ההיתר לאיסור, ואחר שנאסר ההיתר ממילא אין מה שיבטל את האיסור, וכתב </w:t>
      </w:r>
      <w:r w:rsidRPr="00D47CE7">
        <w:rPr>
          <w:rStyle w:val="af8"/>
          <w:rFonts w:hint="cs"/>
          <w:rtl/>
        </w:rPr>
        <w:t>המקדש דוד</w:t>
      </w:r>
      <w:r w:rsidRPr="00D47CE7">
        <w:rPr>
          <w:rFonts w:hint="cs"/>
          <w:rtl/>
        </w:rPr>
        <w:t xml:space="preserve"> דלפי"ז לדעת </w:t>
      </w:r>
      <w:r w:rsidRPr="00D47CE7">
        <w:rPr>
          <w:rStyle w:val="af8"/>
          <w:rFonts w:hint="cs"/>
          <w:rtl/>
        </w:rPr>
        <w:t>הר"ן</w:t>
      </w:r>
      <w:r w:rsidRPr="00D47CE7">
        <w:rPr>
          <w:rFonts w:hint="cs"/>
          <w:rtl/>
        </w:rPr>
        <w:t xml:space="preserve"> הביאור בנותן טעם לפגם הוא דכיון שהאיסור פוגם ומקלקל את ההיתר, אין הטעם פגום חשוב להפוך את ההיתר איסור, </w:t>
      </w:r>
      <w:r w:rsidRPr="00D47CE7">
        <w:rPr>
          <w:rStyle w:val="afa"/>
          <w:rFonts w:hint="cs"/>
          <w:rtl/>
        </w:rPr>
        <w:t xml:space="preserve">[וביאר </w:t>
      </w:r>
      <w:r w:rsidRPr="00D47CE7">
        <w:rPr>
          <w:rStyle w:val="affa"/>
          <w:rFonts w:hint="cs"/>
          <w:rtl/>
        </w:rPr>
        <w:t>בשיעורי המקדש דוד</w:t>
      </w:r>
      <w:r w:rsidRPr="00D47CE7">
        <w:rPr>
          <w:rStyle w:val="afa"/>
          <w:rFonts w:hint="cs"/>
          <w:rtl/>
        </w:rPr>
        <w:t xml:space="preserve"> </w:t>
      </w:r>
      <w:r w:rsidRPr="00D47CE7">
        <w:rPr>
          <w:rStyle w:val="aff6"/>
          <w:rFonts w:hint="cs"/>
          <w:rtl/>
        </w:rPr>
        <w:t xml:space="preserve">(סי' י"א אות ט' ד"ה והנה בטעם בתו"ד) </w:t>
      </w:r>
      <w:r w:rsidRPr="00D47CE7">
        <w:rPr>
          <w:rStyle w:val="afa"/>
          <w:rFonts w:hint="cs"/>
          <w:rtl/>
        </w:rPr>
        <w:t>דא"א לומר דהטעם הפגום הוא העיקר],</w:t>
      </w:r>
      <w:r w:rsidRPr="00D47CE7">
        <w:rPr>
          <w:rFonts w:hint="cs"/>
          <w:rtl/>
        </w:rPr>
        <w:t xml:space="preserve"> אלא ההיתר מבטל את האיסור, וא"כ אמרינן להיפך דהאיסור נהפך להיות היתר, ואין כל דין טעם כעיקר כלל</w:t>
      </w:r>
      <w:bookmarkEnd w:id="9335"/>
      <w:r>
        <w:rPr>
          <w:rFonts w:hint="cs"/>
          <w:rtl/>
        </w:rPr>
        <w:t>, והוסיף</w:t>
      </w:r>
      <w:r w:rsidRPr="00F732F0">
        <w:rPr>
          <w:rFonts w:hint="cs"/>
          <w:rtl/>
        </w:rPr>
        <w:t xml:space="preserve"> </w:t>
      </w:r>
      <w:r w:rsidRPr="00D47CE7">
        <w:rPr>
          <w:rStyle w:val="af8"/>
          <w:rFonts w:hint="cs"/>
          <w:rtl/>
        </w:rPr>
        <w:t>המקדש דוד</w:t>
      </w:r>
      <w:r w:rsidRPr="00D47CE7">
        <w:rPr>
          <w:rFonts w:hint="cs"/>
          <w:rtl/>
        </w:rPr>
        <w:t xml:space="preserve"> </w:t>
      </w:r>
      <w:r w:rsidRPr="005E1897">
        <w:rPr>
          <w:rStyle w:val="af6"/>
          <w:rFonts w:eastAsia="Guttman Hodes" w:hint="cs"/>
          <w:rtl/>
        </w:rPr>
        <w:t xml:space="preserve">(סי' י"א אות ט', ובקובץ ענינים סי' ח' אות ח') </w:t>
      </w:r>
      <w:r>
        <w:rPr>
          <w:rFonts w:hint="cs"/>
          <w:rtl/>
        </w:rPr>
        <w:t>ד</w:t>
      </w:r>
      <w:r w:rsidRPr="00D47CE7">
        <w:rPr>
          <w:rFonts w:hint="cs"/>
          <w:rtl/>
        </w:rPr>
        <w:t xml:space="preserve">דעת </w:t>
      </w:r>
      <w:r w:rsidRPr="00D47CE7">
        <w:rPr>
          <w:rStyle w:val="af8"/>
          <w:rFonts w:hint="cs"/>
          <w:rtl/>
        </w:rPr>
        <w:t>הר"ן</w:t>
      </w:r>
      <w:r w:rsidRPr="00D47CE7">
        <w:rPr>
          <w:rFonts w:hint="cs"/>
          <w:rtl/>
        </w:rPr>
        <w:t xml:space="preserve"> דכיון שהטעם הפגום מפסיד את ההיתר, אין בו דין נהפך, ולא שייך בו טעם כעיקר</w:t>
      </w:r>
      <w:r>
        <w:rPr>
          <w:rFonts w:hint="cs"/>
          <w:rtl/>
        </w:rPr>
        <w:t xml:space="preserve">. </w:t>
      </w:r>
      <w:r w:rsidRPr="005E1897">
        <w:rPr>
          <w:rStyle w:val="afa"/>
          <w:rFonts w:hint="cs"/>
          <w:rtl/>
        </w:rPr>
        <w:t xml:space="preserve">[ובזה ביאר </w:t>
      </w:r>
      <w:r w:rsidRPr="005E1897">
        <w:rPr>
          <w:rStyle w:val="affa"/>
          <w:rFonts w:hint="cs"/>
          <w:rtl/>
        </w:rPr>
        <w:t>המקדש דוד</w:t>
      </w:r>
      <w:r w:rsidRPr="005E1897">
        <w:rPr>
          <w:rStyle w:val="afa"/>
          <w:rFonts w:hint="cs"/>
          <w:rtl/>
        </w:rPr>
        <w:t xml:space="preserve"> את האיסור בהשביח ולבסוף פגם, דבשעה שהשביח נהפך ההיתר לאיסור, מדין טעם כעיקר, ואחר שנפגם האיסור א"א להתיר את האיסור ע"י ההיתר, כיון שההיתר נעשה כמו האיסור עצמו, וא"א להחזירו להיות היתר ע"י שנפגם האיסור]. </w:t>
      </w:r>
    </w:p>
    <w:p w:rsidR="007809D6" w:rsidRPr="00D47CE7" w:rsidRDefault="007809D6" w:rsidP="007809D6">
      <w:pPr>
        <w:pStyle w:val="a2"/>
      </w:pPr>
      <w:bookmarkStart w:id="9336" w:name="_Toc18481661"/>
      <w:r>
        <w:rPr>
          <w:rFonts w:hint="cs"/>
          <w:rtl/>
        </w:rPr>
        <w:t>דברי המקדש דוד דא"א לומר דבנבילה פקע האיסור ומוכח כהר"ן דההיתר כיון דאינו נהנה</w:t>
      </w:r>
      <w:bookmarkEnd w:id="9336"/>
    </w:p>
    <w:p w:rsidR="007809D6" w:rsidRPr="00D47CE7" w:rsidRDefault="007809D6" w:rsidP="009F44AF">
      <w:pPr>
        <w:pStyle w:val="a"/>
        <w:rPr>
          <w:rtl/>
        </w:rPr>
      </w:pPr>
      <w:bookmarkStart w:id="9337" w:name="_Ref18478833"/>
      <w:r w:rsidRPr="00D47CE7">
        <w:rPr>
          <w:rFonts w:hint="cs"/>
          <w:rtl/>
        </w:rPr>
        <w:t xml:space="preserve">והקשה </w:t>
      </w:r>
      <w:r w:rsidRPr="00D47CE7">
        <w:rPr>
          <w:rStyle w:val="af8"/>
          <w:rFonts w:hint="cs"/>
          <w:rtl/>
        </w:rPr>
        <w:t>בשיעורי המקדש דוד</w:t>
      </w:r>
      <w:r w:rsidRPr="00D47CE7">
        <w:rPr>
          <w:rFonts w:hint="cs"/>
          <w:rtl/>
        </w:rPr>
        <w:t xml:space="preserve"> </w:t>
      </w:r>
      <w:r w:rsidRPr="00131BD8">
        <w:rPr>
          <w:rStyle w:val="af6"/>
          <w:rFonts w:eastAsia="Guttman Hodes" w:hint="cs"/>
          <w:rtl/>
        </w:rPr>
        <w:t xml:space="preserve">(סי' י"א אות ח' ד"ה והנה עצם) </w:t>
      </w:r>
      <w:r w:rsidRPr="00D47CE7">
        <w:rPr>
          <w:rFonts w:hint="cs"/>
          <w:rtl/>
        </w:rPr>
        <w:t xml:space="preserve">בהיתר נבילה באינה ראויה לגר, דאמאי פקע ממנה האיסור, דהא א"א לומר ששם איסור נבילה פקע ממנה, </w:t>
      </w:r>
      <w:r>
        <w:rPr>
          <w:rFonts w:hint="cs"/>
          <w:rtl/>
        </w:rPr>
        <w:t xml:space="preserve"> </w:t>
      </w:r>
      <w:r w:rsidRPr="008C3057">
        <w:rPr>
          <w:rStyle w:val="afa"/>
          <w:rFonts w:hint="cs"/>
          <w:rtl/>
        </w:rPr>
        <w:t xml:space="preserve">[כדכתב </w:t>
      </w:r>
      <w:r w:rsidRPr="008C3057">
        <w:rPr>
          <w:rStyle w:val="affa"/>
          <w:rFonts w:hint="cs"/>
          <w:rtl/>
        </w:rPr>
        <w:t>החוו"ד</w:t>
      </w:r>
      <w:r w:rsidRPr="008C3057">
        <w:rPr>
          <w:rStyle w:val="afa"/>
          <w:rFonts w:hint="cs"/>
          <w:rtl/>
        </w:rPr>
        <w:t xml:space="preserve"> </w:t>
      </w:r>
      <w:r w:rsidRPr="008C3057">
        <w:rPr>
          <w:rStyle w:val="aff6"/>
          <w:rFonts w:hint="cs"/>
          <w:rtl/>
        </w:rPr>
        <w:t xml:space="preserve">(עי' אות </w:t>
      </w:r>
      <w:r w:rsidRPr="008C3057">
        <w:rPr>
          <w:rStyle w:val="aff6"/>
          <w:rtl/>
        </w:rPr>
        <w:fldChar w:fldCharType="begin"/>
      </w:r>
      <w:r w:rsidRPr="008C3057">
        <w:rPr>
          <w:rStyle w:val="aff6"/>
          <w:rtl/>
        </w:rPr>
        <w:instrText xml:space="preserve"> </w:instrText>
      </w:r>
      <w:r w:rsidRPr="008C3057">
        <w:rPr>
          <w:rStyle w:val="aff6"/>
          <w:rFonts w:hint="cs"/>
        </w:rPr>
        <w:instrText>REF</w:instrText>
      </w:r>
      <w:r w:rsidRPr="008C3057">
        <w:rPr>
          <w:rStyle w:val="aff6"/>
          <w:rFonts w:hint="cs"/>
          <w:rtl/>
        </w:rPr>
        <w:instrText xml:space="preserve"> _</w:instrText>
      </w:r>
      <w:r w:rsidRPr="008C3057">
        <w:rPr>
          <w:rStyle w:val="aff6"/>
          <w:rFonts w:hint="cs"/>
        </w:rPr>
        <w:instrText>Ref18476982 \r \h</w:instrText>
      </w:r>
      <w:r w:rsidRPr="008C3057">
        <w:rPr>
          <w:rStyle w:val="aff6"/>
          <w:rtl/>
        </w:rPr>
        <w:instrText xml:space="preserve"> </w:instrText>
      </w:r>
      <w:r w:rsidRPr="008C3057">
        <w:rPr>
          <w:rStyle w:val="aff6"/>
          <w:rtl/>
        </w:rPr>
      </w:r>
      <w:r w:rsidRPr="008C3057">
        <w:rPr>
          <w:rStyle w:val="aff6"/>
          <w:rtl/>
        </w:rPr>
        <w:fldChar w:fldCharType="separate"/>
      </w:r>
      <w:r w:rsidR="004D1C5B">
        <w:rPr>
          <w:rStyle w:val="aff6"/>
          <w:cs/>
        </w:rPr>
        <w:t>‎</w:t>
      </w:r>
      <w:r w:rsidR="004D1C5B">
        <w:rPr>
          <w:rStyle w:val="aff6"/>
          <w:rtl/>
        </w:rPr>
        <w:t>י)</w:t>
      </w:r>
      <w:r w:rsidRPr="008C3057">
        <w:rPr>
          <w:rStyle w:val="aff6"/>
          <w:rtl/>
        </w:rPr>
        <w:fldChar w:fldCharType="end"/>
      </w:r>
      <w:r w:rsidRPr="008C3057">
        <w:rPr>
          <w:rStyle w:val="afa"/>
          <w:rFonts w:hint="cs"/>
          <w:rtl/>
        </w:rPr>
        <w:t>],</w:t>
      </w:r>
      <w:r>
        <w:rPr>
          <w:rFonts w:hint="cs"/>
          <w:rtl/>
        </w:rPr>
        <w:t xml:space="preserve"> </w:t>
      </w:r>
      <w:r w:rsidRPr="00D47CE7">
        <w:rPr>
          <w:rFonts w:hint="cs"/>
          <w:rtl/>
        </w:rPr>
        <w:t xml:space="preserve">דהא איתא בתמורה </w:t>
      </w:r>
      <w:r w:rsidRPr="00131BD8">
        <w:rPr>
          <w:rStyle w:val="af6"/>
          <w:rFonts w:eastAsia="Guttman Hodes" w:hint="cs"/>
          <w:rtl/>
        </w:rPr>
        <w:t xml:space="preserve">(לד.) </w:t>
      </w:r>
      <w:r w:rsidRPr="00D47CE7">
        <w:rPr>
          <w:rFonts w:hint="cs"/>
          <w:rtl/>
        </w:rPr>
        <w:t>דאיסורי הנאה הנקברים שנשרפו אפרן אסור, אעפ"י דודאי דלא חזי לגר</w:t>
      </w:r>
      <w:r>
        <w:rPr>
          <w:rFonts w:hint="cs"/>
          <w:rtl/>
        </w:rPr>
        <w:t xml:space="preserve">, </w:t>
      </w:r>
      <w:r w:rsidRPr="00D47CE7">
        <w:rPr>
          <w:rFonts w:hint="cs"/>
          <w:rtl/>
        </w:rPr>
        <w:t xml:space="preserve">אלא כתב </w:t>
      </w:r>
      <w:r w:rsidRPr="00D47CE7">
        <w:rPr>
          <w:rStyle w:val="af8"/>
          <w:rFonts w:hint="cs"/>
          <w:rtl/>
        </w:rPr>
        <w:t>בשיעורי המקדש דוד</w:t>
      </w:r>
      <w:r w:rsidRPr="00D47CE7">
        <w:rPr>
          <w:rFonts w:hint="cs"/>
          <w:rtl/>
        </w:rPr>
        <w:t xml:space="preserve"> דמוכח</w:t>
      </w:r>
      <w:r>
        <w:rPr>
          <w:rFonts w:hint="cs"/>
          <w:rtl/>
        </w:rPr>
        <w:t xml:space="preserve"> כדברי</w:t>
      </w:r>
      <w:r w:rsidRPr="00D47CE7">
        <w:rPr>
          <w:rFonts w:hint="cs"/>
          <w:rtl/>
        </w:rPr>
        <w:t xml:space="preserve"> </w:t>
      </w:r>
      <w:r w:rsidRPr="00D47CE7">
        <w:rPr>
          <w:rStyle w:val="af8"/>
          <w:rFonts w:hint="cs"/>
          <w:rtl/>
        </w:rPr>
        <w:t>הר"ן</w:t>
      </w:r>
      <w:r w:rsidRPr="00D47CE7">
        <w:rPr>
          <w:rFonts w:hint="cs"/>
          <w:rtl/>
        </w:rPr>
        <w:t xml:space="preserve"> </w:t>
      </w:r>
      <w:r w:rsidRPr="00131BD8">
        <w:rPr>
          <w:rStyle w:val="af6"/>
          <w:rFonts w:eastAsia="Guttman Hodes" w:hint="cs"/>
          <w:rtl/>
        </w:rPr>
        <w:t xml:space="preserve">(עי' אות </w:t>
      </w:r>
      <w:r w:rsidRPr="00131BD8">
        <w:rPr>
          <w:rStyle w:val="af6"/>
          <w:rFonts w:eastAsia="Guttman Hodes"/>
          <w:rtl/>
        </w:rPr>
        <w:fldChar w:fldCharType="begin"/>
      </w:r>
      <w:r w:rsidRPr="00131BD8">
        <w:rPr>
          <w:rStyle w:val="af6"/>
          <w:rFonts w:eastAsia="Guttman Hodes"/>
          <w:rtl/>
        </w:rPr>
        <w:instrText xml:space="preserve"> </w:instrText>
      </w:r>
      <w:r w:rsidRPr="00131BD8">
        <w:rPr>
          <w:rStyle w:val="af6"/>
          <w:rFonts w:eastAsia="Guttman Hodes" w:hint="cs"/>
        </w:rPr>
        <w:instrText>REF</w:instrText>
      </w:r>
      <w:r w:rsidRPr="00131BD8">
        <w:rPr>
          <w:rStyle w:val="af6"/>
          <w:rFonts w:eastAsia="Guttman Hodes" w:hint="cs"/>
          <w:rtl/>
        </w:rPr>
        <w:instrText xml:space="preserve"> _</w:instrText>
      </w:r>
      <w:r w:rsidRPr="00131BD8">
        <w:rPr>
          <w:rStyle w:val="af6"/>
          <w:rFonts w:eastAsia="Guttman Hodes" w:hint="cs"/>
        </w:rPr>
        <w:instrText>Ref16849713 \r \h</w:instrText>
      </w:r>
      <w:r w:rsidRPr="00131BD8">
        <w:rPr>
          <w:rStyle w:val="af6"/>
          <w:rFonts w:eastAsia="Guttman Hodes"/>
          <w:rtl/>
        </w:rPr>
        <w:instrText xml:space="preserve"> </w:instrText>
      </w:r>
      <w:r w:rsidRPr="00131BD8">
        <w:rPr>
          <w:rStyle w:val="af6"/>
          <w:rFonts w:eastAsia="Guttman Hodes"/>
          <w:rtl/>
        </w:rPr>
      </w:r>
      <w:r w:rsidRPr="00131BD8">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131BD8">
        <w:rPr>
          <w:rStyle w:val="af6"/>
          <w:rFonts w:eastAsia="Guttman Hodes"/>
          <w:rtl/>
        </w:rPr>
        <w:fldChar w:fldCharType="end"/>
      </w:r>
      <w:r>
        <w:rPr>
          <w:rFonts w:hint="cs"/>
          <w:rtl/>
        </w:rPr>
        <w:t xml:space="preserve"> </w:t>
      </w:r>
      <w:r w:rsidRPr="00D47CE7">
        <w:rPr>
          <w:rFonts w:hint="cs"/>
          <w:rtl/>
        </w:rPr>
        <w:t>דההיתר בנותן טעם לפגם הוא כיון שאינו נהנה מהאיסור.</w:t>
      </w:r>
      <w:bookmarkEnd w:id="9337"/>
    </w:p>
    <w:p w:rsidR="007809D6" w:rsidRPr="00D47CE7" w:rsidRDefault="007809D6" w:rsidP="007809D6">
      <w:pPr>
        <w:pStyle w:val="a2"/>
      </w:pPr>
      <w:bookmarkStart w:id="9338" w:name="_Toc18481662"/>
      <w:r>
        <w:rPr>
          <w:rFonts w:hint="cs"/>
          <w:rtl/>
        </w:rPr>
        <w:t>קושית המקדש דוד על הרשב"א דהאיך נטל"פ בטל ברוב הא אף טעם פגום ניכר</w:t>
      </w:r>
      <w:bookmarkEnd w:id="9338"/>
    </w:p>
    <w:p w:rsidR="007809D6" w:rsidRPr="00D47CE7" w:rsidRDefault="007809D6" w:rsidP="009F44AF">
      <w:pPr>
        <w:pStyle w:val="a"/>
        <w:rPr>
          <w:rtl/>
        </w:rPr>
      </w:pPr>
      <w:bookmarkStart w:id="9339" w:name="_Ref18478887"/>
      <w:r w:rsidRPr="00D47CE7">
        <w:rPr>
          <w:rFonts w:hint="cs"/>
          <w:rtl/>
        </w:rPr>
        <w:t xml:space="preserve">במ"ש </w:t>
      </w:r>
      <w:r w:rsidRPr="00D47CE7">
        <w:rPr>
          <w:rStyle w:val="af8"/>
          <w:rtl/>
        </w:rPr>
        <w:t>הרשב"א</w:t>
      </w:r>
      <w:r w:rsidRPr="00D47CE7">
        <w:rPr>
          <w:rFonts w:hint="cs"/>
          <w:rtl/>
        </w:rPr>
        <w:t xml:space="preserve"> </w:t>
      </w:r>
      <w:r w:rsidRPr="00D47CE7">
        <w:rPr>
          <w:rStyle w:val="af8"/>
          <w:rtl/>
        </w:rPr>
        <w:t>בתוה"ב</w:t>
      </w:r>
      <w:r w:rsidRPr="00D47CE7">
        <w:rPr>
          <w:rFonts w:hint="cs"/>
          <w:rtl/>
        </w:rPr>
        <w:t xml:space="preserve"> </w:t>
      </w:r>
      <w:r w:rsidRPr="00413B3F">
        <w:rPr>
          <w:rStyle w:val="af6"/>
          <w:rFonts w:eastAsia="Guttman Hodes" w:hint="cs"/>
          <w:rtl/>
        </w:rPr>
        <w:t xml:space="preserve">(עי' אות </w:t>
      </w:r>
      <w:r w:rsidRPr="00413B3F">
        <w:rPr>
          <w:rStyle w:val="af6"/>
          <w:rFonts w:eastAsia="Guttman Hodes"/>
          <w:rtl/>
        </w:rPr>
        <w:fldChar w:fldCharType="begin"/>
      </w:r>
      <w:r w:rsidRPr="00413B3F">
        <w:rPr>
          <w:rStyle w:val="af6"/>
          <w:rFonts w:eastAsia="Guttman Hodes"/>
          <w:rtl/>
        </w:rPr>
        <w:instrText xml:space="preserve"> </w:instrText>
      </w:r>
      <w:r w:rsidRPr="00413B3F">
        <w:rPr>
          <w:rStyle w:val="af6"/>
          <w:rFonts w:eastAsia="Guttman Hodes" w:hint="cs"/>
        </w:rPr>
        <w:instrText>REF</w:instrText>
      </w:r>
      <w:r w:rsidRPr="00413B3F">
        <w:rPr>
          <w:rStyle w:val="af6"/>
          <w:rFonts w:eastAsia="Guttman Hodes" w:hint="cs"/>
          <w:rtl/>
        </w:rPr>
        <w:instrText xml:space="preserve"> _</w:instrText>
      </w:r>
      <w:r w:rsidRPr="00413B3F">
        <w:rPr>
          <w:rStyle w:val="af6"/>
          <w:rFonts w:eastAsia="Guttman Hodes" w:hint="cs"/>
        </w:rPr>
        <w:instrText>Ref18250218 \r \h</w:instrText>
      </w:r>
      <w:r w:rsidRPr="00413B3F">
        <w:rPr>
          <w:rStyle w:val="af6"/>
          <w:rFonts w:eastAsia="Guttman Hodes"/>
          <w:rtl/>
        </w:rPr>
        <w:instrText xml:space="preserve">  \* </w:instrText>
      </w:r>
      <w:r w:rsidRPr="00413B3F">
        <w:rPr>
          <w:rStyle w:val="af6"/>
          <w:rFonts w:eastAsia="Guttman Hodes"/>
        </w:rPr>
        <w:instrText>MERGEFORMAT</w:instrText>
      </w:r>
      <w:r w:rsidRPr="00413B3F">
        <w:rPr>
          <w:rStyle w:val="af6"/>
          <w:rFonts w:eastAsia="Guttman Hodes"/>
          <w:rtl/>
        </w:rPr>
        <w:instrText xml:space="preserve"> </w:instrText>
      </w:r>
      <w:r w:rsidRPr="00413B3F">
        <w:rPr>
          <w:rStyle w:val="af6"/>
          <w:rFonts w:eastAsia="Guttman Hodes"/>
          <w:rtl/>
        </w:rPr>
      </w:r>
      <w:r w:rsidRPr="00413B3F">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413B3F">
        <w:rPr>
          <w:rStyle w:val="af6"/>
          <w:rFonts w:eastAsia="Guttman Hodes"/>
          <w:rtl/>
        </w:rPr>
        <w:fldChar w:fldCharType="end"/>
      </w:r>
      <w:r w:rsidRPr="00D47CE7">
        <w:rPr>
          <w:rFonts w:hint="cs"/>
          <w:rtl/>
        </w:rPr>
        <w:t xml:space="preserve"> דנותן טעם לפגם מותר אף בפגום במקצת, דלא אסרה תורה טעם כעיקר כשנתן טעם פגום, כתב </w:t>
      </w:r>
      <w:r w:rsidRPr="00D47CE7">
        <w:rPr>
          <w:rStyle w:val="af8"/>
          <w:rFonts w:hint="cs"/>
          <w:rtl/>
        </w:rPr>
        <w:t>המקדש דוד</w:t>
      </w:r>
      <w:r w:rsidRPr="00D47CE7">
        <w:rPr>
          <w:rFonts w:hint="cs"/>
          <w:rtl/>
        </w:rPr>
        <w:t xml:space="preserve"> </w:t>
      </w:r>
      <w:r w:rsidRPr="00413B3F">
        <w:rPr>
          <w:rStyle w:val="af6"/>
          <w:rFonts w:eastAsia="Guttman Hodes" w:hint="cs"/>
          <w:rtl/>
        </w:rPr>
        <w:t xml:space="preserve">(סי' י"א אות ט', ובקובץ ענינים סי' ח' אות ח') </w:t>
      </w:r>
      <w:r w:rsidRPr="00D47CE7">
        <w:rPr>
          <w:rFonts w:hint="cs"/>
          <w:rtl/>
        </w:rPr>
        <w:t xml:space="preserve">דעת </w:t>
      </w:r>
      <w:r w:rsidRPr="00D47CE7">
        <w:rPr>
          <w:rStyle w:val="af8"/>
          <w:rFonts w:hint="cs"/>
          <w:rtl/>
        </w:rPr>
        <w:t>הרשב"</w:t>
      </w:r>
      <w:r>
        <w:rPr>
          <w:rStyle w:val="af8"/>
          <w:rFonts w:hint="cs"/>
          <w:rtl/>
        </w:rPr>
        <w:t>א</w:t>
      </w:r>
      <w:r w:rsidRPr="00D47CE7">
        <w:rPr>
          <w:rFonts w:hint="cs"/>
          <w:rtl/>
        </w:rPr>
        <w:t xml:space="preserve"> דהטעם הפגום מתבטל ברוב של ההיתר, ולא נאמר בטעם פגום דין טעם כעיקר שאוסר את כל ההיתר, דהטעם עצמו מתבטל כדין יבש ביבש, </w:t>
      </w:r>
      <w:r>
        <w:rPr>
          <w:rStyle w:val="afa"/>
          <w:rFonts w:hint="cs"/>
          <w:rtl/>
        </w:rPr>
        <w:t xml:space="preserve">[וכ"כ </w:t>
      </w:r>
      <w:r w:rsidRPr="0077097A">
        <w:rPr>
          <w:rStyle w:val="affa"/>
          <w:rtl/>
        </w:rPr>
        <w:t>הגרעק"א בתשו'</w:t>
      </w:r>
      <w:r w:rsidRPr="00644244">
        <w:rPr>
          <w:rStyle w:val="afa"/>
          <w:rtl/>
        </w:rPr>
        <w:t xml:space="preserve"> </w:t>
      </w:r>
      <w:r w:rsidRPr="0077097A">
        <w:rPr>
          <w:rStyle w:val="aff6"/>
          <w:rtl/>
        </w:rPr>
        <w:t>(</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Ref18871063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לח)</w:t>
      </w:r>
      <w:r>
        <w:rPr>
          <w:rStyle w:val="aff6"/>
          <w:rtl/>
        </w:rPr>
        <w:fldChar w:fldCharType="end"/>
      </w:r>
      <w:r>
        <w:rPr>
          <w:rStyle w:val="afa"/>
          <w:rFonts w:hint="cs"/>
          <w:rtl/>
        </w:rPr>
        <w:t xml:space="preserve">], </w:t>
      </w:r>
      <w:r w:rsidRPr="00D47CE7">
        <w:rPr>
          <w:rFonts w:hint="cs"/>
          <w:rtl/>
        </w:rPr>
        <w:t xml:space="preserve">וכתב </w:t>
      </w:r>
      <w:r w:rsidRPr="00D47CE7">
        <w:rPr>
          <w:rStyle w:val="af8"/>
          <w:rFonts w:hint="cs"/>
          <w:rtl/>
        </w:rPr>
        <w:t>המקדש דוד</w:t>
      </w:r>
      <w:r w:rsidRPr="00D47CE7">
        <w:rPr>
          <w:rFonts w:hint="cs"/>
          <w:rtl/>
        </w:rPr>
        <w:t xml:space="preserve"> דלדברי </w:t>
      </w:r>
      <w:r w:rsidRPr="00D47CE7">
        <w:rPr>
          <w:rStyle w:val="af8"/>
          <w:rFonts w:hint="cs"/>
          <w:rtl/>
        </w:rPr>
        <w:t>הרשב"א</w:t>
      </w:r>
      <w:r w:rsidRPr="00D47CE7">
        <w:rPr>
          <w:rFonts w:hint="cs"/>
          <w:rtl/>
        </w:rPr>
        <w:t xml:space="preserve"> הטעם הפגום עצמו הוא איסור, ולא נעשה להיתר, אלא דמהני בו ביטול ברוב</w:t>
      </w:r>
      <w:r>
        <w:rPr>
          <w:rFonts w:hint="cs"/>
          <w:rtl/>
        </w:rPr>
        <w:t xml:space="preserve">, </w:t>
      </w:r>
      <w:r w:rsidRPr="00D47CE7">
        <w:rPr>
          <w:rFonts w:hint="cs"/>
          <w:rtl/>
        </w:rPr>
        <w:t xml:space="preserve">והקשה </w:t>
      </w:r>
      <w:r w:rsidRPr="00D47CE7">
        <w:rPr>
          <w:rStyle w:val="af8"/>
          <w:rFonts w:hint="cs"/>
          <w:rtl/>
        </w:rPr>
        <w:t>המקדש דוד</w:t>
      </w:r>
      <w:r w:rsidRPr="00D47CE7">
        <w:rPr>
          <w:rFonts w:hint="cs"/>
          <w:rtl/>
        </w:rPr>
        <w:t xml:space="preserve"> על </w:t>
      </w:r>
      <w:r w:rsidRPr="00D47CE7">
        <w:rPr>
          <w:rStyle w:val="af8"/>
          <w:rFonts w:hint="cs"/>
          <w:rtl/>
        </w:rPr>
        <w:t>הרשב"א</w:t>
      </w:r>
      <w:r w:rsidRPr="00D47CE7">
        <w:rPr>
          <w:rFonts w:hint="cs"/>
          <w:rtl/>
        </w:rPr>
        <w:t xml:space="preserve"> דהרי הביאור הפשוט בטעם כעיקר הוא </w:t>
      </w:r>
      <w:r w:rsidRPr="00D47CE7">
        <w:rPr>
          <w:rStyle w:val="afa"/>
          <w:rFonts w:hint="cs"/>
          <w:rtl/>
        </w:rPr>
        <w:t xml:space="preserve">[כדכתב </w:t>
      </w:r>
      <w:r w:rsidRPr="00D47CE7">
        <w:rPr>
          <w:rStyle w:val="affa"/>
          <w:rFonts w:hint="cs"/>
          <w:rtl/>
        </w:rPr>
        <w:t xml:space="preserve">הרשב"א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Ref17620521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כט)</w:t>
      </w:r>
      <w:r w:rsidRPr="00D47CE7">
        <w:rPr>
          <w:rStyle w:val="aff6"/>
          <w:rtl/>
        </w:rPr>
        <w:fldChar w:fldCharType="end"/>
      </w:r>
      <w:r w:rsidRPr="00D47CE7">
        <w:rPr>
          <w:rStyle w:val="afa"/>
          <w:rFonts w:hint="cs"/>
          <w:rtl/>
        </w:rPr>
        <w:t xml:space="preserve"> בשם </w:t>
      </w:r>
      <w:r w:rsidRPr="00D47CE7">
        <w:rPr>
          <w:rStyle w:val="affa"/>
          <w:rFonts w:hint="cs"/>
          <w:rtl/>
        </w:rPr>
        <w:t>הראב"ד</w:t>
      </w:r>
      <w:r w:rsidRPr="00D47CE7">
        <w:rPr>
          <w:rStyle w:val="afa"/>
          <w:rFonts w:hint="cs"/>
          <w:rtl/>
        </w:rPr>
        <w:t>]</w:t>
      </w:r>
      <w:r w:rsidRPr="00D47CE7">
        <w:rPr>
          <w:rFonts w:hint="cs"/>
          <w:rtl/>
        </w:rPr>
        <w:t xml:space="preserve"> דע"י הטעם ניכר האיסור ואינו מתבטל, וא"כ קשה מה ההיתר בנותן טעם לפגם הא אף שהטעם פגום, מ"מ ע"י הטעם ניכר האיסור ואינו מתבטל.</w:t>
      </w:r>
      <w:bookmarkEnd w:id="9339"/>
    </w:p>
    <w:p w:rsidR="007809D6" w:rsidRPr="00D47CE7" w:rsidRDefault="007809D6" w:rsidP="007809D6">
      <w:pPr>
        <w:pStyle w:val="a2"/>
        <w:rPr>
          <w:rtl/>
        </w:rPr>
      </w:pPr>
      <w:bookmarkStart w:id="9340" w:name="_Toc18481663"/>
      <w:r>
        <w:rPr>
          <w:rFonts w:hint="cs"/>
          <w:rtl/>
        </w:rPr>
        <w:t>ביאור המקדש דוד ברשב"א דבנטל"פ לא אמרינן נהפך ולכן מהני בו ביטול ברוב אף דניכר</w:t>
      </w:r>
      <w:bookmarkEnd w:id="9340"/>
    </w:p>
    <w:p w:rsidR="007809D6" w:rsidRPr="00D47CE7" w:rsidRDefault="007809D6" w:rsidP="009F44AF">
      <w:pPr>
        <w:pStyle w:val="a"/>
        <w:rPr>
          <w:rtl/>
        </w:rPr>
      </w:pPr>
      <w:r w:rsidRPr="00D47CE7">
        <w:rPr>
          <w:rFonts w:hint="cs"/>
          <w:rtl/>
        </w:rPr>
        <w:t xml:space="preserve">אלא תירץ </w:t>
      </w:r>
      <w:r w:rsidRPr="00D47CE7">
        <w:rPr>
          <w:rStyle w:val="af8"/>
          <w:rFonts w:hint="cs"/>
          <w:rtl/>
        </w:rPr>
        <w:t>המקדש דוד</w:t>
      </w:r>
      <w:r w:rsidRPr="00D47CE7">
        <w:rPr>
          <w:rFonts w:hint="cs"/>
          <w:rtl/>
        </w:rPr>
        <w:t xml:space="preserve"> דמוכח דאף </w:t>
      </w:r>
      <w:r w:rsidRPr="00D47CE7">
        <w:rPr>
          <w:rStyle w:val="af8"/>
          <w:rFonts w:hint="cs"/>
          <w:rtl/>
        </w:rPr>
        <w:t>הרשב"א</w:t>
      </w:r>
      <w:r w:rsidRPr="00D47CE7">
        <w:rPr>
          <w:rFonts w:hint="cs"/>
          <w:rtl/>
        </w:rPr>
        <w:t xml:space="preserve"> ס"ל</w:t>
      </w:r>
      <w:r w:rsidRPr="00D47CE7">
        <w:rPr>
          <w:rStyle w:val="af8"/>
          <w:rFonts w:hint="cs"/>
          <w:rtl/>
        </w:rPr>
        <w:t xml:space="preserve"> כהש"ך</w:t>
      </w:r>
      <w:r w:rsidRPr="00D47CE7">
        <w:rPr>
          <w:rFonts w:hint="cs"/>
          <w:rtl/>
        </w:rPr>
        <w:t xml:space="preserve"> </w:t>
      </w:r>
      <w:r w:rsidRPr="00D47CE7">
        <w:rPr>
          <w:rStyle w:val="af6"/>
          <w:rFonts w:eastAsia="Guttman Hodes" w:hint="cs"/>
          <w:rtl/>
        </w:rPr>
        <w:t xml:space="preserve">(עי' אות </w:t>
      </w:r>
      <w:r w:rsidRPr="00D47CE7">
        <w:rPr>
          <w:rStyle w:val="af6"/>
          <w:rFonts w:eastAsia="Guttman Hodes"/>
          <w:rtl/>
        </w:rPr>
        <w:fldChar w:fldCharType="begin"/>
      </w:r>
      <w:r w:rsidRPr="00D47CE7">
        <w:rPr>
          <w:rStyle w:val="af6"/>
          <w:rFonts w:eastAsia="Guttman Hodes"/>
          <w:rtl/>
        </w:rPr>
        <w:instrText xml:space="preserve"> </w:instrText>
      </w:r>
      <w:r w:rsidRPr="00D47CE7">
        <w:rPr>
          <w:rStyle w:val="af6"/>
          <w:rFonts w:eastAsia="Guttman Hodes" w:hint="cs"/>
        </w:rPr>
        <w:instrText>REF</w:instrText>
      </w:r>
      <w:r w:rsidRPr="00D47CE7">
        <w:rPr>
          <w:rStyle w:val="af6"/>
          <w:rFonts w:eastAsia="Guttman Hodes" w:hint="cs"/>
          <w:rtl/>
        </w:rPr>
        <w:instrText xml:space="preserve"> _</w:instrText>
      </w:r>
      <w:r w:rsidRPr="00D47CE7">
        <w:rPr>
          <w:rStyle w:val="af6"/>
          <w:rFonts w:eastAsia="Guttman Hodes" w:hint="cs"/>
        </w:rPr>
        <w:instrText>Ref17797588 \r \h</w:instrText>
      </w:r>
      <w:r w:rsidRPr="00D47CE7">
        <w:rPr>
          <w:rStyle w:val="af6"/>
          <w:rFonts w:eastAsia="Guttman Hodes"/>
          <w:rtl/>
        </w:rPr>
        <w:instrText xml:space="preserve">  \* </w:instrText>
      </w:r>
      <w:r w:rsidRPr="00D47CE7">
        <w:rPr>
          <w:rStyle w:val="af6"/>
          <w:rFonts w:eastAsia="Guttman Hodes"/>
        </w:rPr>
        <w:instrText>MERGEFORMAT</w:instrText>
      </w:r>
      <w:r w:rsidRPr="00D47CE7">
        <w:rPr>
          <w:rStyle w:val="af6"/>
          <w:rFonts w:eastAsia="Guttman Hodes"/>
          <w:rtl/>
        </w:rPr>
        <w:instrText xml:space="preserve"> </w:instrText>
      </w:r>
      <w:r w:rsidRPr="00D47CE7">
        <w:rPr>
          <w:rStyle w:val="af6"/>
          <w:rFonts w:eastAsia="Guttman Hodes"/>
          <w:rtl/>
        </w:rPr>
      </w:r>
      <w:r w:rsidRPr="00D47CE7">
        <w:rPr>
          <w:rStyle w:val="af6"/>
          <w:rFonts w:eastAsia="Guttman Hodes"/>
          <w:rtl/>
        </w:rPr>
        <w:fldChar w:fldCharType="separate"/>
      </w:r>
      <w:r w:rsidR="004D1C5B">
        <w:rPr>
          <w:rStyle w:val="af6"/>
          <w:rFonts w:eastAsia="Guttman Hodes"/>
          <w:cs/>
        </w:rPr>
        <w:t>‎</w:t>
      </w:r>
      <w:r w:rsidR="004D1C5B">
        <w:rPr>
          <w:rStyle w:val="af6"/>
          <w:rFonts w:eastAsia="Guttman Hodes"/>
          <w:rtl/>
        </w:rPr>
        <w:t>קל)</w:t>
      </w:r>
      <w:r w:rsidRPr="00D47CE7">
        <w:rPr>
          <w:rStyle w:val="af6"/>
          <w:rFonts w:eastAsia="Guttman Hodes"/>
          <w:rtl/>
        </w:rPr>
        <w:fldChar w:fldCharType="end"/>
      </w:r>
      <w:r w:rsidRPr="00D47CE7">
        <w:rPr>
          <w:rFonts w:hint="cs"/>
          <w:rtl/>
        </w:rPr>
        <w:t xml:space="preserve"> דהאיסור בטעם כעיקר הוא כיון דההיתר נהפך לאיסור, ואין מה שיבטל את הטעם האסור, וכתב </w:t>
      </w:r>
      <w:r w:rsidRPr="00D47CE7">
        <w:rPr>
          <w:rStyle w:val="af8"/>
          <w:rFonts w:hint="cs"/>
          <w:rtl/>
        </w:rPr>
        <w:t>המקדש דוד</w:t>
      </w:r>
      <w:r w:rsidRPr="00D47CE7">
        <w:rPr>
          <w:rFonts w:hint="cs"/>
          <w:rtl/>
        </w:rPr>
        <w:t xml:space="preserve"> דא"כ כ"ז שייך רק בטעם גמור, אבל בטעם פגום א"א לומר שהטעם הוא העיקר, ולא שייך לומר בו נהפך, ולכן מהני בו ביטול ברוב.</w:t>
      </w:r>
    </w:p>
    <w:p w:rsidR="007809D6" w:rsidRPr="00D47CE7" w:rsidRDefault="007809D6" w:rsidP="007809D6">
      <w:pPr>
        <w:pStyle w:val="a2"/>
        <w:rPr>
          <w:rtl/>
        </w:rPr>
      </w:pPr>
      <w:bookmarkStart w:id="9341" w:name="_Toc18481664"/>
      <w:r>
        <w:rPr>
          <w:rFonts w:hint="cs"/>
          <w:rtl/>
        </w:rPr>
        <w:t>קושית המקדש דוד על הפוסקים דטע"כ הוא כיון דאינו ניכר דא"כ אף נטל"פ אינו בטל</w:t>
      </w:r>
      <w:bookmarkEnd w:id="9341"/>
    </w:p>
    <w:p w:rsidR="007809D6" w:rsidRPr="00D47CE7" w:rsidRDefault="007809D6" w:rsidP="009F44AF">
      <w:pPr>
        <w:pStyle w:val="a"/>
      </w:pPr>
      <w:r w:rsidRPr="00D47CE7">
        <w:rPr>
          <w:rFonts w:hint="cs"/>
          <w:rtl/>
        </w:rPr>
        <w:t xml:space="preserve">אך כתב </w:t>
      </w:r>
      <w:r w:rsidRPr="00D47CE7">
        <w:rPr>
          <w:rStyle w:val="af8"/>
          <w:rFonts w:hint="cs"/>
          <w:rtl/>
        </w:rPr>
        <w:t>בשיעורי המקדש דוד</w:t>
      </w:r>
      <w:r w:rsidRPr="00D47CE7">
        <w:rPr>
          <w:rFonts w:hint="cs"/>
          <w:rtl/>
        </w:rPr>
        <w:t xml:space="preserve"> דעל דעת </w:t>
      </w:r>
      <w:r w:rsidRPr="00D47CE7">
        <w:rPr>
          <w:rStyle w:val="af8"/>
          <w:rFonts w:hint="cs"/>
          <w:rtl/>
        </w:rPr>
        <w:t>הפוסקים</w:t>
      </w:r>
      <w:r w:rsidRPr="00D47CE7">
        <w:rPr>
          <w:rFonts w:hint="cs"/>
          <w:rtl/>
        </w:rPr>
        <w:t xml:space="preserve"> </w:t>
      </w:r>
      <w:r w:rsidRPr="00D47CE7">
        <w:rPr>
          <w:rStyle w:val="afa"/>
          <w:rFonts w:hint="cs"/>
          <w:rtl/>
        </w:rPr>
        <w:t>[</w:t>
      </w:r>
      <w:r w:rsidRPr="00D47CE7">
        <w:rPr>
          <w:rStyle w:val="affa"/>
          <w:rFonts w:hint="cs"/>
          <w:rtl/>
        </w:rPr>
        <w:t>פרמ"ג</w:t>
      </w:r>
      <w:r w:rsidRPr="00D47CE7">
        <w:rPr>
          <w:rStyle w:val="afa"/>
          <w:rFonts w:hint="cs"/>
          <w:rtl/>
        </w:rPr>
        <w:t xml:space="preserve"> </w:t>
      </w:r>
      <w:r w:rsidRPr="006A5613">
        <w:rPr>
          <w:rStyle w:val="aff6"/>
          <w:rFonts w:hint="cs"/>
          <w:rtl/>
        </w:rPr>
        <w:t>(עי'</w:t>
      </w:r>
      <w:r w:rsidRPr="00D47CE7">
        <w:rPr>
          <w:rStyle w:val="aff6"/>
          <w:rFonts w:hint="cs"/>
          <w:rtl/>
        </w:rPr>
        <w:t xml:space="preserve">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Ref17620521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כט)</w:t>
      </w:r>
      <w:r w:rsidRPr="00D47CE7">
        <w:rPr>
          <w:rStyle w:val="aff6"/>
          <w:rtl/>
        </w:rPr>
        <w:fldChar w:fldCharType="end"/>
      </w:r>
      <w:r w:rsidRPr="00D47CE7">
        <w:rPr>
          <w:rStyle w:val="afa"/>
          <w:rFonts w:hint="cs"/>
          <w:rtl/>
        </w:rPr>
        <w:t xml:space="preserve"> </w:t>
      </w:r>
      <w:r w:rsidRPr="00D47CE7">
        <w:rPr>
          <w:rStyle w:val="affa"/>
          <w:rFonts w:hint="cs"/>
          <w:rtl/>
        </w:rPr>
        <w:t>גרעק"א</w:t>
      </w:r>
      <w:r w:rsidRPr="00D47CE7">
        <w:rPr>
          <w:rStyle w:val="afa"/>
          <w:rFonts w:hint="cs"/>
          <w:rtl/>
        </w:rPr>
        <w:t xml:space="preserve"> </w:t>
      </w:r>
      <w:r w:rsidRPr="00D47CE7">
        <w:rPr>
          <w:rStyle w:val="aff6"/>
          <w:rFonts w:hint="cs"/>
          <w:rtl/>
        </w:rPr>
        <w:t>(סי' צ"ח על הש"ך סק"ו, הובא לעיל סימן ח' אות עד)</w:t>
      </w:r>
      <w:r w:rsidRPr="00D47CE7">
        <w:rPr>
          <w:rStyle w:val="afa"/>
          <w:rFonts w:hint="cs"/>
          <w:rtl/>
        </w:rPr>
        <w:t>]</w:t>
      </w:r>
      <w:r w:rsidRPr="00D47CE7">
        <w:rPr>
          <w:rFonts w:hint="cs"/>
          <w:rtl/>
        </w:rPr>
        <w:t xml:space="preserve"> דביארו דאיסור טעם כעיקר הוא מחמת דע"י הטעם ניכר האיסור, קשה מה החילוק בין ניכר בטעם משובח, לניכר בטעם פגום, והניח </w:t>
      </w:r>
      <w:r w:rsidRPr="00D47CE7">
        <w:rPr>
          <w:rStyle w:val="af8"/>
          <w:rFonts w:hint="cs"/>
          <w:rtl/>
        </w:rPr>
        <w:t>בשיעורי המקדש דוד</w:t>
      </w:r>
      <w:r w:rsidRPr="00D47CE7">
        <w:rPr>
          <w:rFonts w:hint="cs"/>
          <w:rtl/>
        </w:rPr>
        <w:t xml:space="preserve"> בצ"ע. </w:t>
      </w:r>
      <w:r w:rsidRPr="00D47CE7">
        <w:rPr>
          <w:rStyle w:val="afa"/>
          <w:rFonts w:hint="cs"/>
          <w:rtl/>
        </w:rPr>
        <w:t xml:space="preserve">[וצ"ב הרי </w:t>
      </w:r>
      <w:r w:rsidRPr="00D47CE7">
        <w:rPr>
          <w:rStyle w:val="affa"/>
          <w:rFonts w:hint="cs"/>
          <w:rtl/>
        </w:rPr>
        <w:t xml:space="preserve">הרשב"א </w:t>
      </w:r>
      <w:r w:rsidRPr="00D47CE7">
        <w:rPr>
          <w:rStyle w:val="aff6"/>
          <w:rFonts w:hint="cs"/>
          <w:rtl/>
        </w:rPr>
        <w:t xml:space="preserve">(עי' אות </w:t>
      </w:r>
      <w:r w:rsidRPr="00D47CE7">
        <w:rPr>
          <w:rStyle w:val="aff6"/>
          <w:rtl/>
        </w:rPr>
        <w:fldChar w:fldCharType="begin"/>
      </w:r>
      <w:r w:rsidRPr="00D47CE7">
        <w:rPr>
          <w:rStyle w:val="aff6"/>
          <w:rtl/>
        </w:rPr>
        <w:instrText xml:space="preserve"> </w:instrText>
      </w:r>
      <w:r w:rsidRPr="00D47CE7">
        <w:rPr>
          <w:rStyle w:val="aff6"/>
          <w:rFonts w:hint="cs"/>
        </w:rPr>
        <w:instrText>REF</w:instrText>
      </w:r>
      <w:r w:rsidRPr="00D47CE7">
        <w:rPr>
          <w:rStyle w:val="aff6"/>
          <w:rFonts w:hint="cs"/>
          <w:rtl/>
        </w:rPr>
        <w:instrText xml:space="preserve"> _</w:instrText>
      </w:r>
      <w:r w:rsidRPr="00D47CE7">
        <w:rPr>
          <w:rStyle w:val="aff6"/>
          <w:rFonts w:hint="cs"/>
        </w:rPr>
        <w:instrText>Ref17620521 \r \h</w:instrText>
      </w:r>
      <w:r w:rsidRPr="00D47CE7">
        <w:rPr>
          <w:rStyle w:val="aff6"/>
          <w:rtl/>
        </w:rPr>
        <w:instrText xml:space="preserve">  \* </w:instrText>
      </w:r>
      <w:r w:rsidRPr="00D47CE7">
        <w:rPr>
          <w:rStyle w:val="aff6"/>
        </w:rPr>
        <w:instrText>MERGEFORMAT</w:instrText>
      </w:r>
      <w:r w:rsidRPr="00D47CE7">
        <w:rPr>
          <w:rStyle w:val="aff6"/>
          <w:rtl/>
        </w:rPr>
        <w:instrText xml:space="preserve"> </w:instrText>
      </w:r>
      <w:r w:rsidRPr="00D47CE7">
        <w:rPr>
          <w:rStyle w:val="aff6"/>
          <w:rtl/>
        </w:rPr>
      </w:r>
      <w:r w:rsidRPr="00D47CE7">
        <w:rPr>
          <w:rStyle w:val="aff6"/>
          <w:rtl/>
        </w:rPr>
        <w:fldChar w:fldCharType="separate"/>
      </w:r>
      <w:r w:rsidR="004D1C5B">
        <w:rPr>
          <w:rStyle w:val="aff6"/>
          <w:cs/>
        </w:rPr>
        <w:t>‎</w:t>
      </w:r>
      <w:r w:rsidR="004D1C5B">
        <w:rPr>
          <w:rStyle w:val="aff6"/>
          <w:rtl/>
        </w:rPr>
        <w:t>כט)</w:t>
      </w:r>
      <w:r w:rsidRPr="00D47CE7">
        <w:rPr>
          <w:rStyle w:val="aff6"/>
          <w:rtl/>
        </w:rPr>
        <w:fldChar w:fldCharType="end"/>
      </w:r>
      <w:r w:rsidRPr="00D47CE7">
        <w:rPr>
          <w:rStyle w:val="afa"/>
          <w:rFonts w:hint="cs"/>
          <w:rtl/>
        </w:rPr>
        <w:t xml:space="preserve"> עצמו כ"כ בשם </w:t>
      </w:r>
      <w:r w:rsidRPr="00D47CE7">
        <w:rPr>
          <w:rStyle w:val="affa"/>
          <w:rFonts w:hint="cs"/>
          <w:rtl/>
        </w:rPr>
        <w:t>הראב"ד</w:t>
      </w:r>
      <w:r w:rsidRPr="00D47CE7">
        <w:rPr>
          <w:rStyle w:val="afa"/>
          <w:rFonts w:hint="cs"/>
          <w:rtl/>
        </w:rPr>
        <w:t>]</w:t>
      </w:r>
      <w:r w:rsidRPr="00D47CE7">
        <w:rPr>
          <w:rFonts w:hint="cs"/>
          <w:rtl/>
        </w:rPr>
        <w:t>.</w:t>
      </w:r>
    </w:p>
    <w:p w:rsidR="007809D6" w:rsidRPr="00D47CE7" w:rsidRDefault="007809D6" w:rsidP="009F44AF">
      <w:pPr>
        <w:pStyle w:val="a"/>
        <w:rPr>
          <w:rtl/>
        </w:rPr>
        <w:sectPr w:rsidR="007809D6" w:rsidRPr="00D47CE7" w:rsidSect="005049E2">
          <w:type w:val="continuous"/>
          <w:pgSz w:w="11906" w:h="16838"/>
          <w:pgMar w:top="720" w:right="720" w:bottom="720" w:left="720" w:header="283" w:footer="283" w:gutter="0"/>
          <w:cols w:num="2" w:space="567"/>
          <w:titlePg/>
          <w:bidi/>
          <w:rtlGutter/>
          <w:docGrid w:linePitch="299"/>
        </w:sectPr>
      </w:pPr>
    </w:p>
    <w:p w:rsidR="007809D6" w:rsidRDefault="007809D6" w:rsidP="007809D6">
      <w:pPr>
        <w:tabs>
          <w:tab w:val="left" w:pos="1163"/>
        </w:tabs>
        <w:spacing w:after="120" w:line="240" w:lineRule="auto"/>
        <w:ind w:left="0"/>
        <w:rPr>
          <w:rFonts w:ascii="Guttman Hodes" w:eastAsia="Guttman Hodes" w:hAnsi="Guttman Hodes" w:cs="Guttman Hodes"/>
          <w:noProof/>
          <w:sz w:val="18"/>
          <w:szCs w:val="18"/>
        </w:rPr>
        <w:sectPr w:rsidR="007809D6" w:rsidSect="007809D6">
          <w:type w:val="continuous"/>
          <w:pgSz w:w="11906" w:h="16838"/>
          <w:pgMar w:top="720" w:right="720" w:bottom="720" w:left="720" w:header="283" w:footer="283" w:gutter="0"/>
          <w:cols w:space="567"/>
          <w:bidi/>
          <w:rtlGutter/>
          <w:docGrid w:linePitch="299"/>
        </w:sectPr>
      </w:pPr>
    </w:p>
    <w:p w:rsidR="007809D6" w:rsidRPr="00D47CE7" w:rsidRDefault="007809D6" w:rsidP="009F44AF">
      <w:pPr>
        <w:pStyle w:val="a"/>
        <w:numPr>
          <w:ilvl w:val="0"/>
          <w:numId w:val="0"/>
        </w:numPr>
        <w:rPr>
          <w:rtl/>
        </w:rPr>
        <w:sectPr w:rsidR="007809D6" w:rsidRPr="00D47CE7" w:rsidSect="005049E2">
          <w:footerReference w:type="default" r:id="rId72"/>
          <w:type w:val="continuous"/>
          <w:pgSz w:w="11906" w:h="16838"/>
          <w:pgMar w:top="720" w:right="720" w:bottom="720" w:left="720" w:header="283" w:footer="283" w:gutter="0"/>
          <w:cols w:num="2" w:space="567"/>
          <w:titlePg/>
          <w:bidi/>
          <w:rtlGutter/>
          <w:docGrid w:linePitch="299"/>
        </w:sectPr>
      </w:pPr>
    </w:p>
    <w:p w:rsidR="007809D6" w:rsidRPr="00D47CE7" w:rsidRDefault="007809D6" w:rsidP="009F44AF">
      <w:pPr>
        <w:pStyle w:val="a"/>
        <w:numPr>
          <w:ilvl w:val="0"/>
          <w:numId w:val="0"/>
        </w:numPr>
        <w:rPr>
          <w:rtl/>
        </w:rPr>
      </w:pPr>
    </w:p>
    <w:p w:rsidR="007809D6" w:rsidRPr="00D47CE7" w:rsidRDefault="007809D6" w:rsidP="009F44AF">
      <w:pPr>
        <w:pStyle w:val="a"/>
        <w:numPr>
          <w:ilvl w:val="0"/>
          <w:numId w:val="0"/>
        </w:numPr>
        <w:rPr>
          <w:rtl/>
        </w:rPr>
        <w:sectPr w:rsidR="007809D6" w:rsidRPr="00D47CE7" w:rsidSect="005049E2">
          <w:footerReference w:type="default" r:id="rId73"/>
          <w:type w:val="continuous"/>
          <w:pgSz w:w="11906" w:h="16838"/>
          <w:pgMar w:top="720" w:right="720" w:bottom="720" w:left="720" w:header="283" w:footer="283" w:gutter="0"/>
          <w:cols w:num="2" w:space="567"/>
          <w:titlePg/>
          <w:bidi/>
          <w:rtlGutter/>
          <w:docGrid w:linePitch="299"/>
        </w:sectPr>
      </w:pPr>
    </w:p>
    <w:p w:rsidR="0013006A" w:rsidRDefault="0013006A" w:rsidP="005B1A17">
      <w:pPr>
        <w:pStyle w:val="afc"/>
        <w:rPr>
          <w:rtl/>
        </w:rPr>
      </w:pPr>
      <w:bookmarkStart w:id="9342" w:name="_Toc20468167"/>
      <w:r>
        <w:rPr>
          <w:rFonts w:hint="cs"/>
          <w:rtl/>
        </w:rPr>
        <w:lastRenderedPageBreak/>
        <w:t>סימן יג'</w:t>
      </w:r>
      <w:bookmarkEnd w:id="9342"/>
    </w:p>
    <w:p w:rsidR="0013006A" w:rsidRDefault="00715158" w:rsidP="005B1A17">
      <w:pPr>
        <w:pStyle w:val="afc"/>
      </w:pPr>
      <w:bookmarkStart w:id="9343" w:name="_Toc20429221"/>
      <w:bookmarkStart w:id="9344" w:name="_Toc20468168"/>
      <w:r>
        <w:rPr>
          <w:rFonts w:hint="cs"/>
          <w:rtl/>
        </w:rPr>
        <w:t xml:space="preserve">סוגית נותן </w:t>
      </w:r>
      <w:r w:rsidR="0013006A">
        <w:rPr>
          <w:rFonts w:hint="cs"/>
          <w:rtl/>
        </w:rPr>
        <w:t>טעם לפגם (ב')</w:t>
      </w:r>
      <w:bookmarkEnd w:id="9343"/>
      <w:bookmarkEnd w:id="9344"/>
    </w:p>
    <w:p w:rsidR="0013006A" w:rsidRDefault="0013006A" w:rsidP="005B1A17">
      <w:pPr>
        <w:pStyle w:val="afc"/>
        <w:rPr>
          <w:rtl/>
        </w:rPr>
      </w:pPr>
      <w:bookmarkStart w:id="9345" w:name="_Toc20429222"/>
      <w:bookmarkStart w:id="9346" w:name="_Toc20468169"/>
      <w:r>
        <w:rPr>
          <w:rFonts w:hint="cs"/>
          <w:rtl/>
        </w:rPr>
        <w:t>בגדרי ודיני נבילה שאינה ראויה לגר ונותן טעם לפגם</w:t>
      </w:r>
      <w:bookmarkEnd w:id="9345"/>
      <w:bookmarkEnd w:id="9346"/>
    </w:p>
    <w:p w:rsidR="0013006A" w:rsidRDefault="002916D7" w:rsidP="0013006A">
      <w:pPr>
        <w:pStyle w:val="2"/>
        <w:rPr>
          <w:rtl/>
        </w:rPr>
      </w:pPr>
      <w:r>
        <w:rPr>
          <w:rFonts w:hint="cs"/>
          <w:rtl/>
        </w:rPr>
        <w:t>מפתח הסוגיא</w:t>
      </w:r>
    </w:p>
    <w:p w:rsidR="0013006A" w:rsidRDefault="0013006A" w:rsidP="0013006A">
      <w:pPr>
        <w:pStyle w:val="2"/>
        <w:rPr>
          <w:rFonts w:ascii="FrankRuehl" w:hAnsi="FrankRuehl"/>
          <w:noProof/>
          <w:rtl/>
        </w:rPr>
        <w:sectPr w:rsidR="0013006A" w:rsidSect="0013006A">
          <w:headerReference w:type="default" r:id="rId74"/>
          <w:headerReference w:type="first" r:id="rId75"/>
          <w:footerReference w:type="first" r:id="rId76"/>
          <w:pgSz w:w="11906" w:h="16838"/>
          <w:pgMar w:top="720" w:right="720" w:bottom="720" w:left="720" w:header="283" w:footer="283" w:gutter="0"/>
          <w:cols w:space="113"/>
          <w:bidi/>
          <w:rtlGutter/>
          <w:docGrid w:linePitch="299"/>
        </w:sectPr>
      </w:pPr>
    </w:p>
    <w:p w:rsidR="0013006A" w:rsidRDefault="0013006A" w:rsidP="0013006A">
      <w:pPr>
        <w:pStyle w:val="2"/>
        <w:rPr>
          <w:rFonts w:eastAsiaTheme="minorEastAsia" w:cstheme="minorBidi"/>
          <w:i/>
          <w:iCs/>
          <w:sz w:val="22"/>
          <w:szCs w:val="22"/>
          <w:rtl/>
        </w:rPr>
      </w:pPr>
      <w:r>
        <w:rPr>
          <w:rFonts w:ascii="FrankRuehl" w:hAnsi="FrankRuehl"/>
          <w:noProof/>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FrankRuehl" w:hAnsi="FrankRuehl"/>
          <w:noProof/>
          <w:rtl/>
        </w:rPr>
        <w:fldChar w:fldCharType="separate"/>
      </w:r>
      <w:r>
        <w:rPr>
          <w:rtl/>
        </w:rPr>
        <w:t>מראי מקומות וביאורים</w:t>
      </w:r>
    </w:p>
    <w:p w:rsidR="0013006A" w:rsidRDefault="0013006A" w:rsidP="0013006A">
      <w:pPr>
        <w:pStyle w:val="2"/>
        <w:rPr>
          <w:rFonts w:eastAsiaTheme="minorEastAsia" w:cstheme="minorBidi"/>
          <w:i/>
          <w:iCs/>
          <w:sz w:val="22"/>
          <w:szCs w:val="22"/>
          <w:rtl/>
        </w:rPr>
      </w:pPr>
      <w:r>
        <w:rPr>
          <w:rtl/>
        </w:rPr>
        <w:t xml:space="preserve">פלוגתת הרשב"א והר"ן </w:t>
      </w:r>
      <w:r>
        <w:rPr>
          <w:rFonts w:hint="cs"/>
          <w:rtl/>
        </w:rPr>
        <w:t>ב</w:t>
      </w:r>
      <w:r>
        <w:rPr>
          <w:rtl/>
        </w:rPr>
        <w:t>נטל"פ</w:t>
      </w:r>
      <w:r>
        <w:rPr>
          <w:rFonts w:hint="cs"/>
          <w:rtl/>
        </w:rPr>
        <w:t xml:space="preserve"> במשהו</w:t>
      </w:r>
    </w:p>
    <w:p w:rsidR="0013006A" w:rsidRDefault="0013006A" w:rsidP="0013006A">
      <w:pPr>
        <w:pStyle w:val="aff4"/>
        <w:rPr>
          <w:rFonts w:eastAsiaTheme="minorEastAsia" w:cstheme="minorBidi"/>
          <w:i/>
          <w:iCs/>
          <w:noProof/>
          <w:sz w:val="22"/>
          <w:szCs w:val="22"/>
          <w:rtl/>
        </w:rPr>
      </w:pPr>
      <w:r>
        <w:rPr>
          <w:noProof/>
          <w:rtl/>
        </w:rPr>
        <w:t>דברי הרשב"א דבנטל"פ אין טע"כ ודברי הר"ן דאינו נהנה</w:t>
      </w:r>
    </w:p>
    <w:p w:rsidR="0013006A" w:rsidRPr="004D1C5B" w:rsidRDefault="0013006A" w:rsidP="004D1C5B">
      <w:pPr>
        <w:pStyle w:val="TOC9"/>
        <w:numPr>
          <w:ilvl w:val="0"/>
          <w:numId w:val="26"/>
        </w:numPr>
        <w:rPr>
          <w:rFonts w:eastAsiaTheme="minorEastAsia" w:cstheme="minorBidi"/>
          <w:sz w:val="22"/>
          <w:szCs w:val="22"/>
          <w:rtl/>
        </w:rPr>
      </w:pPr>
      <w:r w:rsidRPr="007747E6">
        <w:rPr>
          <w:rtl/>
        </w:rPr>
        <w:t>ביאור הרשב"א דהיתר נטל"פ הוא דלא אסרה תורה טעם כעיקר בטעם פגום</w:t>
      </w:r>
    </w:p>
    <w:p w:rsidR="0013006A" w:rsidRDefault="0013006A" w:rsidP="0013006A">
      <w:pPr>
        <w:pStyle w:val="aff2"/>
        <w:numPr>
          <w:ilvl w:val="0"/>
          <w:numId w:val="3"/>
        </w:numPr>
        <w:rPr>
          <w:rFonts w:eastAsiaTheme="minorEastAsia" w:cstheme="minorBidi"/>
          <w:sz w:val="22"/>
          <w:szCs w:val="22"/>
          <w:rtl/>
        </w:rPr>
      </w:pPr>
      <w:r>
        <w:rPr>
          <w:rtl/>
        </w:rPr>
        <w:t>ביאור הר"ן דילפינן מנבילה דבאינו נהנה פטור על אכילתה וה"ה בנטל"פ בתערובת דאינו נהנה</w:t>
      </w:r>
    </w:p>
    <w:p w:rsidR="0013006A" w:rsidRDefault="0013006A" w:rsidP="0013006A">
      <w:pPr>
        <w:pStyle w:val="2"/>
        <w:rPr>
          <w:rFonts w:eastAsiaTheme="minorEastAsia" w:cstheme="minorBidi"/>
          <w:i/>
          <w:iCs/>
          <w:sz w:val="22"/>
          <w:szCs w:val="22"/>
          <w:rtl/>
        </w:rPr>
      </w:pPr>
      <w:r>
        <w:rPr>
          <w:rtl/>
        </w:rPr>
        <w:t>דעת האוסרים בנטל"פ באיסור משהו</w:t>
      </w:r>
    </w:p>
    <w:p w:rsidR="0013006A" w:rsidRDefault="0013006A" w:rsidP="0013006A">
      <w:pPr>
        <w:pStyle w:val="aff4"/>
        <w:rPr>
          <w:rFonts w:eastAsiaTheme="minorEastAsia" w:cstheme="minorBidi"/>
          <w:i/>
          <w:iCs/>
          <w:noProof/>
          <w:sz w:val="22"/>
          <w:szCs w:val="22"/>
          <w:rtl/>
        </w:rPr>
      </w:pPr>
      <w:r>
        <w:rPr>
          <w:noProof/>
          <w:rtl/>
        </w:rPr>
        <w:t>דברי הרשב"א דאיסור משהו אינו מדין טעם ואסור בנטל"פ</w:t>
      </w:r>
    </w:p>
    <w:p w:rsidR="0013006A" w:rsidRDefault="0013006A" w:rsidP="0013006A">
      <w:pPr>
        <w:pStyle w:val="aff2"/>
        <w:numPr>
          <w:ilvl w:val="0"/>
          <w:numId w:val="3"/>
        </w:numPr>
        <w:rPr>
          <w:rFonts w:eastAsiaTheme="minorEastAsia" w:cstheme="minorBidi"/>
          <w:sz w:val="22"/>
          <w:szCs w:val="22"/>
          <w:rtl/>
        </w:rPr>
      </w:pPr>
      <w:r>
        <w:rPr>
          <w:rtl/>
        </w:rPr>
        <w:t>דברי הרשב"א דאינו ראוי לגר הוא כעפר ומותר בפסח ונטל"פ אסור בפסח אפילו במשהו</w:t>
      </w:r>
    </w:p>
    <w:p w:rsidR="0013006A" w:rsidRDefault="0013006A" w:rsidP="0013006A">
      <w:pPr>
        <w:pStyle w:val="aff2"/>
        <w:numPr>
          <w:ilvl w:val="0"/>
          <w:numId w:val="3"/>
        </w:numPr>
        <w:rPr>
          <w:rFonts w:eastAsiaTheme="minorEastAsia" w:cstheme="minorBidi"/>
          <w:sz w:val="22"/>
          <w:szCs w:val="22"/>
          <w:rtl/>
        </w:rPr>
      </w:pPr>
      <w:r>
        <w:rPr>
          <w:rtl/>
        </w:rPr>
        <w:t>ביאור הרשב"א דאיסור משהו אינו מדין טעם ואף שהוא פגום האיסור עצמו קיים ואוסר</w:t>
      </w:r>
    </w:p>
    <w:p w:rsidR="0013006A" w:rsidRDefault="0013006A" w:rsidP="0013006A">
      <w:pPr>
        <w:pStyle w:val="aff4"/>
        <w:rPr>
          <w:rFonts w:eastAsiaTheme="minorEastAsia" w:cstheme="minorBidi"/>
          <w:i/>
          <w:iCs/>
          <w:noProof/>
          <w:sz w:val="22"/>
          <w:szCs w:val="22"/>
          <w:rtl/>
        </w:rPr>
      </w:pPr>
      <w:r>
        <w:rPr>
          <w:noProof/>
          <w:rtl/>
        </w:rPr>
        <w:t>ביאור האחרונים ברשב"א דהיתר נטל"פ מדין ביטול ול"מ בחמץ</w:t>
      </w:r>
    </w:p>
    <w:p w:rsidR="0013006A" w:rsidRDefault="0013006A" w:rsidP="0013006A">
      <w:pPr>
        <w:pStyle w:val="aff2"/>
        <w:numPr>
          <w:ilvl w:val="0"/>
          <w:numId w:val="3"/>
        </w:numPr>
        <w:rPr>
          <w:rFonts w:eastAsiaTheme="minorEastAsia" w:cstheme="minorBidi"/>
          <w:sz w:val="22"/>
          <w:szCs w:val="22"/>
          <w:rtl/>
        </w:rPr>
      </w:pPr>
      <w:r>
        <w:rPr>
          <w:rtl/>
        </w:rPr>
        <w:t>קושית הפרמ"ג דהיתר נטל"פ הוא כיון שאינו נהנה מהאיסור ובמשהו אינו נהנה מהאיסור</w:t>
      </w:r>
    </w:p>
    <w:p w:rsidR="0013006A" w:rsidRDefault="0013006A" w:rsidP="0013006A">
      <w:pPr>
        <w:pStyle w:val="aff2"/>
        <w:numPr>
          <w:ilvl w:val="0"/>
          <w:numId w:val="3"/>
        </w:numPr>
        <w:rPr>
          <w:rFonts w:eastAsiaTheme="minorEastAsia" w:cstheme="minorBidi"/>
          <w:sz w:val="22"/>
          <w:szCs w:val="22"/>
          <w:rtl/>
        </w:rPr>
      </w:pPr>
      <w:r>
        <w:rPr>
          <w:rtl/>
        </w:rPr>
        <w:t>ביאור הגרעק"א והפרמ"ג דלהרשב"א נטל"פ מותר מדין רוב ובחמץ לא מהני רוב להתיר</w:t>
      </w:r>
    </w:p>
    <w:p w:rsidR="0013006A" w:rsidRDefault="0013006A" w:rsidP="0013006A">
      <w:pPr>
        <w:pStyle w:val="aff2"/>
        <w:numPr>
          <w:ilvl w:val="0"/>
          <w:numId w:val="3"/>
        </w:numPr>
        <w:rPr>
          <w:rFonts w:eastAsiaTheme="minorEastAsia" w:cstheme="minorBidi"/>
          <w:sz w:val="22"/>
          <w:szCs w:val="22"/>
          <w:rtl/>
        </w:rPr>
      </w:pPr>
      <w:r>
        <w:rPr>
          <w:rtl/>
        </w:rPr>
        <w:t>ביאור היד יהודה ברשב"א דהיתר נטל"פ מדין ביטול וגוף האיסור עדיין אסור ובמשהו אין ביטול</w:t>
      </w:r>
    </w:p>
    <w:p w:rsidR="0013006A" w:rsidRDefault="0013006A" w:rsidP="0013006A">
      <w:pPr>
        <w:pStyle w:val="aff4"/>
        <w:rPr>
          <w:rFonts w:eastAsiaTheme="minorEastAsia" w:cstheme="minorBidi"/>
          <w:i/>
          <w:iCs/>
          <w:noProof/>
          <w:sz w:val="22"/>
          <w:szCs w:val="22"/>
          <w:rtl/>
        </w:rPr>
      </w:pPr>
      <w:r>
        <w:rPr>
          <w:noProof/>
          <w:rtl/>
        </w:rPr>
        <w:t>דעת המהר"ם חלאווה דבמשהו שהוא מועט אין כל פגם ואסור</w:t>
      </w:r>
    </w:p>
    <w:p w:rsidR="0013006A" w:rsidRDefault="0013006A" w:rsidP="0013006A">
      <w:pPr>
        <w:pStyle w:val="aff2"/>
        <w:numPr>
          <w:ilvl w:val="0"/>
          <w:numId w:val="3"/>
        </w:numPr>
        <w:rPr>
          <w:rFonts w:eastAsiaTheme="minorEastAsia" w:cstheme="minorBidi"/>
          <w:sz w:val="22"/>
          <w:szCs w:val="22"/>
          <w:rtl/>
        </w:rPr>
      </w:pPr>
      <w:r>
        <w:rPr>
          <w:rtl/>
        </w:rPr>
        <w:t>ביאור המהר"ם חלאווה דנטל"פ במשהו דהוא מועט מאוד ולא חשיב פגם ואסור במשהו</w:t>
      </w:r>
    </w:p>
    <w:p w:rsidR="0013006A" w:rsidRDefault="0013006A" w:rsidP="0013006A">
      <w:pPr>
        <w:pStyle w:val="aff4"/>
        <w:rPr>
          <w:rFonts w:eastAsiaTheme="minorEastAsia" w:cstheme="minorBidi"/>
          <w:i/>
          <w:iCs/>
          <w:noProof/>
          <w:sz w:val="22"/>
          <w:szCs w:val="22"/>
          <w:rtl/>
        </w:rPr>
      </w:pPr>
      <w:r>
        <w:rPr>
          <w:noProof/>
          <w:rtl/>
        </w:rPr>
        <w:t>דעת הי"מ בתוס' וברא"ש ובר"ן דבאיסור משהו נטל"פ אוסר</w:t>
      </w:r>
    </w:p>
    <w:p w:rsidR="0013006A" w:rsidRDefault="0013006A" w:rsidP="0013006A">
      <w:pPr>
        <w:pStyle w:val="aff2"/>
        <w:numPr>
          <w:ilvl w:val="0"/>
          <w:numId w:val="3"/>
        </w:numPr>
        <w:rPr>
          <w:rFonts w:eastAsiaTheme="minorEastAsia" w:cstheme="minorBidi"/>
          <w:sz w:val="22"/>
          <w:szCs w:val="22"/>
          <w:rtl/>
        </w:rPr>
      </w:pPr>
      <w:r>
        <w:rPr>
          <w:rtl/>
        </w:rPr>
        <w:t>דעת הי"מ בתוס' וברא"ש דכיון דבמשהו בטל הטעם לגמרי א"כ באיסור משהו נטל"פ אסור</w:t>
      </w:r>
    </w:p>
    <w:p w:rsidR="0013006A" w:rsidRDefault="0013006A" w:rsidP="0013006A">
      <w:pPr>
        <w:pStyle w:val="aff2"/>
        <w:numPr>
          <w:ilvl w:val="0"/>
          <w:numId w:val="3"/>
        </w:numPr>
        <w:rPr>
          <w:rFonts w:eastAsiaTheme="minorEastAsia" w:cstheme="minorBidi"/>
          <w:sz w:val="22"/>
          <w:szCs w:val="22"/>
          <w:rtl/>
        </w:rPr>
      </w:pPr>
      <w:r>
        <w:rPr>
          <w:rtl/>
        </w:rPr>
        <w:t>דעת הי"מ בר"ן דנטל"פ אסור באיסור משהו שאיסור משהו אינו תלוי בטעם</w:t>
      </w:r>
    </w:p>
    <w:p w:rsidR="0013006A" w:rsidRDefault="0013006A" w:rsidP="0013006A">
      <w:pPr>
        <w:pStyle w:val="2"/>
        <w:rPr>
          <w:rFonts w:eastAsiaTheme="minorEastAsia" w:cstheme="minorBidi"/>
          <w:i/>
          <w:iCs/>
          <w:sz w:val="22"/>
          <w:szCs w:val="22"/>
          <w:rtl/>
        </w:rPr>
      </w:pPr>
      <w:r>
        <w:rPr>
          <w:rtl/>
        </w:rPr>
        <w:t>דעת המתירים בנטל"פ באיסור משהו</w:t>
      </w:r>
    </w:p>
    <w:p w:rsidR="0013006A" w:rsidRDefault="0013006A" w:rsidP="0013006A">
      <w:pPr>
        <w:pStyle w:val="aff4"/>
        <w:rPr>
          <w:rFonts w:eastAsiaTheme="minorEastAsia" w:cstheme="minorBidi"/>
          <w:i/>
          <w:iCs/>
          <w:noProof/>
          <w:sz w:val="22"/>
          <w:szCs w:val="22"/>
          <w:rtl/>
        </w:rPr>
      </w:pPr>
      <w:r>
        <w:rPr>
          <w:noProof/>
          <w:rtl/>
        </w:rPr>
        <w:t>דברי התוס' והרא"ש דבנטל"פ אין טעם ואין איסור ובטל במשהו</w:t>
      </w:r>
    </w:p>
    <w:p w:rsidR="0013006A" w:rsidRDefault="0013006A" w:rsidP="0013006A">
      <w:pPr>
        <w:pStyle w:val="aff2"/>
        <w:numPr>
          <w:ilvl w:val="0"/>
          <w:numId w:val="3"/>
        </w:numPr>
        <w:rPr>
          <w:rFonts w:eastAsiaTheme="minorEastAsia" w:cstheme="minorBidi"/>
          <w:sz w:val="22"/>
          <w:szCs w:val="22"/>
          <w:rtl/>
        </w:rPr>
      </w:pPr>
      <w:r>
        <w:rPr>
          <w:rtl/>
        </w:rPr>
        <w:t>דברי התוס' והרא"ש דבמין במינו באותו טעם לא שייך ביטול אבל משהו איסור פגום בטל</w:t>
      </w:r>
    </w:p>
    <w:p w:rsidR="0013006A" w:rsidRDefault="0013006A" w:rsidP="0013006A">
      <w:pPr>
        <w:pStyle w:val="aff2"/>
        <w:numPr>
          <w:ilvl w:val="0"/>
          <w:numId w:val="3"/>
        </w:numPr>
        <w:rPr>
          <w:rFonts w:eastAsiaTheme="minorEastAsia" w:cstheme="minorBidi"/>
          <w:sz w:val="22"/>
          <w:szCs w:val="22"/>
          <w:rtl/>
        </w:rPr>
      </w:pPr>
      <w:r>
        <w:rPr>
          <w:rtl/>
        </w:rPr>
        <w:t>דברי הרא"ש דנטל"פ מותר מתחילתו כיון שאין בו כל טעם ולא שייך לומר דאינו בטל</w:t>
      </w:r>
    </w:p>
    <w:p w:rsidR="0013006A" w:rsidRDefault="0013006A" w:rsidP="0013006A">
      <w:pPr>
        <w:pStyle w:val="aff2"/>
        <w:numPr>
          <w:ilvl w:val="0"/>
          <w:numId w:val="3"/>
        </w:numPr>
        <w:rPr>
          <w:rFonts w:eastAsiaTheme="minorEastAsia" w:cstheme="minorBidi"/>
          <w:sz w:val="22"/>
          <w:szCs w:val="22"/>
          <w:rtl/>
        </w:rPr>
      </w:pPr>
      <w:r w:rsidRPr="000708EA">
        <w:rPr>
          <w:rtl/>
        </w:rPr>
        <w:t>דברי הרא"ש דבנטל"פ ילפינן מנבילה דהאיסור פקע ולא שייך להחמיר ולאוסרו במשהו</w:t>
      </w:r>
    </w:p>
    <w:p w:rsidR="0013006A" w:rsidRDefault="0013006A" w:rsidP="0013006A">
      <w:pPr>
        <w:pStyle w:val="aff2"/>
        <w:numPr>
          <w:ilvl w:val="0"/>
          <w:numId w:val="3"/>
        </w:numPr>
        <w:rPr>
          <w:rFonts w:eastAsiaTheme="minorEastAsia" w:cstheme="minorBidi"/>
          <w:sz w:val="22"/>
          <w:szCs w:val="22"/>
          <w:rtl/>
        </w:rPr>
      </w:pPr>
      <w:r>
        <w:rPr>
          <w:rtl/>
        </w:rPr>
        <w:t>ביאור היד יהודה בתוס' וברא"ש דבמין במינו לא שייך ביטול אבל בנטל"פ אין טעם איסור כלל</w:t>
      </w:r>
    </w:p>
    <w:p w:rsidR="0013006A" w:rsidRDefault="0013006A" w:rsidP="0013006A">
      <w:pPr>
        <w:pStyle w:val="aff4"/>
        <w:rPr>
          <w:rFonts w:eastAsiaTheme="minorEastAsia" w:cstheme="minorBidi"/>
          <w:i/>
          <w:iCs/>
          <w:noProof/>
          <w:sz w:val="22"/>
          <w:szCs w:val="22"/>
          <w:rtl/>
        </w:rPr>
      </w:pPr>
      <w:r>
        <w:rPr>
          <w:noProof/>
          <w:rtl/>
        </w:rPr>
        <w:t>תירוץ המנחת כהן על קושית הרא"ש דבנטל"פ יש שם איסור</w:t>
      </w:r>
    </w:p>
    <w:p w:rsidR="0013006A" w:rsidRDefault="0013006A" w:rsidP="0013006A">
      <w:pPr>
        <w:pStyle w:val="aff2"/>
        <w:numPr>
          <w:ilvl w:val="0"/>
          <w:numId w:val="3"/>
        </w:numPr>
        <w:rPr>
          <w:rFonts w:eastAsiaTheme="minorEastAsia" w:cstheme="minorBidi"/>
          <w:sz w:val="22"/>
          <w:szCs w:val="22"/>
          <w:rtl/>
        </w:rPr>
      </w:pPr>
      <w:r>
        <w:rPr>
          <w:rtl/>
        </w:rPr>
        <w:t>ביאור המנחת כהן ברשב"א דלנטל"פ יש שם איסור דראוי לאכילה וצריך ביטול ואסור במשהו</w:t>
      </w:r>
    </w:p>
    <w:p w:rsidR="0013006A" w:rsidRDefault="0013006A" w:rsidP="0013006A">
      <w:pPr>
        <w:pStyle w:val="aff2"/>
        <w:numPr>
          <w:ilvl w:val="0"/>
          <w:numId w:val="3"/>
        </w:numPr>
        <w:rPr>
          <w:rFonts w:eastAsiaTheme="minorEastAsia" w:cstheme="minorBidi"/>
          <w:sz w:val="22"/>
          <w:szCs w:val="22"/>
          <w:rtl/>
        </w:rPr>
      </w:pPr>
      <w:r>
        <w:rPr>
          <w:rtl/>
        </w:rPr>
        <w:t>דברי המנחת כהן דבמשהו איסור אינו מצטער בטעם הפגום ואינו בכלל הילפותא להתיר מנבילה</w:t>
      </w:r>
    </w:p>
    <w:p w:rsidR="0013006A" w:rsidRDefault="0013006A" w:rsidP="0013006A">
      <w:pPr>
        <w:pStyle w:val="aff4"/>
        <w:rPr>
          <w:rFonts w:eastAsiaTheme="minorEastAsia" w:cstheme="minorBidi"/>
          <w:i/>
          <w:iCs/>
          <w:noProof/>
          <w:sz w:val="22"/>
          <w:szCs w:val="22"/>
          <w:rtl/>
        </w:rPr>
      </w:pPr>
      <w:r>
        <w:rPr>
          <w:noProof/>
          <w:rtl/>
        </w:rPr>
        <w:t>דברי הר"ן בפסחים דדין נטל"פ כנבילה ומותר אף במשהו</w:t>
      </w:r>
    </w:p>
    <w:p w:rsidR="0013006A" w:rsidRDefault="0013006A" w:rsidP="0013006A">
      <w:pPr>
        <w:pStyle w:val="aff2"/>
        <w:numPr>
          <w:ilvl w:val="0"/>
          <w:numId w:val="3"/>
        </w:numPr>
        <w:rPr>
          <w:rFonts w:eastAsiaTheme="minorEastAsia" w:cstheme="minorBidi"/>
          <w:sz w:val="22"/>
          <w:szCs w:val="22"/>
          <w:rtl/>
        </w:rPr>
      </w:pPr>
      <w:r>
        <w:rPr>
          <w:rtl/>
        </w:rPr>
        <w:t>קושית הר"ן על הגמ' לקמן דמהא דאוסר רב קדירות אחר פסח מוכח דרב אוסר בנטל"פ</w:t>
      </w:r>
    </w:p>
    <w:p w:rsidR="0013006A" w:rsidRDefault="0013006A" w:rsidP="0013006A">
      <w:pPr>
        <w:pStyle w:val="aff2"/>
        <w:numPr>
          <w:ilvl w:val="0"/>
          <w:numId w:val="3"/>
        </w:numPr>
        <w:rPr>
          <w:rFonts w:eastAsiaTheme="minorEastAsia" w:cstheme="minorBidi"/>
          <w:sz w:val="22"/>
          <w:szCs w:val="22"/>
          <w:rtl/>
        </w:rPr>
      </w:pPr>
      <w:r>
        <w:rPr>
          <w:rtl/>
        </w:rPr>
        <w:t>תירוץ הי"מ בר"ן דרב אוסר נטל"פ במשהו ואפש"ל דרב מתיר בנטל"פ באיסור שתלוי בטעם</w:t>
      </w:r>
    </w:p>
    <w:p w:rsidR="0013006A" w:rsidRDefault="0013006A" w:rsidP="0013006A">
      <w:pPr>
        <w:pStyle w:val="aff2"/>
        <w:numPr>
          <w:ilvl w:val="0"/>
          <w:numId w:val="3"/>
        </w:numPr>
        <w:rPr>
          <w:rFonts w:eastAsiaTheme="minorEastAsia" w:cstheme="minorBidi"/>
          <w:sz w:val="22"/>
          <w:szCs w:val="22"/>
          <w:rtl/>
        </w:rPr>
      </w:pPr>
      <w:r>
        <w:rPr>
          <w:rtl/>
        </w:rPr>
        <w:t>דברי הר"ן דנטל"פ נלמד מנבילה שמותרת אפילו בעין וכ"ש דנטל"פ מותר במשהו</w:t>
      </w:r>
    </w:p>
    <w:p w:rsidR="0013006A" w:rsidRDefault="0013006A" w:rsidP="0013006A">
      <w:pPr>
        <w:pStyle w:val="aff2"/>
        <w:numPr>
          <w:ilvl w:val="0"/>
          <w:numId w:val="3"/>
        </w:numPr>
        <w:rPr>
          <w:rFonts w:eastAsiaTheme="minorEastAsia" w:cstheme="minorBidi"/>
          <w:sz w:val="22"/>
          <w:szCs w:val="22"/>
          <w:rtl/>
        </w:rPr>
      </w:pPr>
      <w:r>
        <w:rPr>
          <w:rtl/>
        </w:rPr>
        <w:t>תירוץ הר"ן דאף דרב אסר בנטל"פ לכתחילה אפש"ל דס"ל דבדיעבד מותר</w:t>
      </w:r>
    </w:p>
    <w:p w:rsidR="0013006A" w:rsidRDefault="0013006A" w:rsidP="0013006A">
      <w:pPr>
        <w:pStyle w:val="aff4"/>
        <w:rPr>
          <w:rFonts w:eastAsiaTheme="minorEastAsia" w:cstheme="minorBidi"/>
          <w:i/>
          <w:iCs/>
          <w:noProof/>
          <w:sz w:val="22"/>
          <w:szCs w:val="22"/>
          <w:rtl/>
        </w:rPr>
      </w:pPr>
      <w:r>
        <w:rPr>
          <w:noProof/>
          <w:rtl/>
        </w:rPr>
        <w:t>ביאור הגרעק"א בר"ן דנטל"פ הוא היתר ואינו מדין ביטול</w:t>
      </w:r>
    </w:p>
    <w:p w:rsidR="0013006A" w:rsidRDefault="0013006A" w:rsidP="0013006A">
      <w:pPr>
        <w:pStyle w:val="aff2"/>
        <w:numPr>
          <w:ilvl w:val="0"/>
          <w:numId w:val="3"/>
        </w:numPr>
        <w:rPr>
          <w:rFonts w:eastAsiaTheme="minorEastAsia" w:cstheme="minorBidi"/>
          <w:sz w:val="22"/>
          <w:szCs w:val="22"/>
          <w:rtl/>
        </w:rPr>
      </w:pPr>
      <w:r>
        <w:rPr>
          <w:rtl/>
        </w:rPr>
        <w:t>ביאור הגרעק"א והפרמ"ג בר"ן דנטל"פ הוא היתר ואינו מדין ביטול ומתיר אף באיסור משהו</w:t>
      </w:r>
    </w:p>
    <w:p w:rsidR="0013006A" w:rsidRDefault="0013006A" w:rsidP="0013006A">
      <w:pPr>
        <w:pStyle w:val="aff2"/>
        <w:numPr>
          <w:ilvl w:val="0"/>
          <w:numId w:val="3"/>
        </w:numPr>
        <w:rPr>
          <w:rFonts w:eastAsiaTheme="minorEastAsia" w:cstheme="minorBidi"/>
          <w:sz w:val="22"/>
          <w:szCs w:val="22"/>
          <w:rtl/>
        </w:rPr>
      </w:pPr>
      <w:r>
        <w:rPr>
          <w:rtl/>
        </w:rPr>
        <w:t>קושית הגרעק"א דהשו"ע פסק כרשב"א שהוא מדין ביטול וכר"ן שאוסר בנטל"פ בחמץ</w:t>
      </w:r>
    </w:p>
    <w:p w:rsidR="0013006A" w:rsidRDefault="0013006A" w:rsidP="0013006A">
      <w:pPr>
        <w:pStyle w:val="aff2"/>
        <w:numPr>
          <w:ilvl w:val="0"/>
          <w:numId w:val="3"/>
        </w:numPr>
        <w:rPr>
          <w:rFonts w:eastAsiaTheme="minorEastAsia" w:cstheme="minorBidi"/>
          <w:sz w:val="22"/>
          <w:szCs w:val="22"/>
          <w:rtl/>
        </w:rPr>
      </w:pPr>
      <w:r>
        <w:rPr>
          <w:rtl/>
        </w:rPr>
        <w:t>תירוצי הגרעק"א דהשו"ע פסק בחמץ לקולא ע"י צירוף שיטות במחלוקות אחרות</w:t>
      </w:r>
    </w:p>
    <w:p w:rsidR="0013006A" w:rsidRDefault="0013006A" w:rsidP="0013006A">
      <w:pPr>
        <w:pStyle w:val="aff4"/>
        <w:rPr>
          <w:rFonts w:eastAsiaTheme="minorEastAsia" w:cstheme="minorBidi"/>
          <w:i/>
          <w:iCs/>
          <w:noProof/>
          <w:sz w:val="22"/>
          <w:szCs w:val="22"/>
          <w:rtl/>
        </w:rPr>
      </w:pPr>
      <w:r>
        <w:rPr>
          <w:noProof/>
          <w:rtl/>
        </w:rPr>
        <w:t>ביאור המקור חיים דבטעם פגום אין טע"כ ואף במשהו מותר</w:t>
      </w:r>
    </w:p>
    <w:p w:rsidR="0013006A" w:rsidRDefault="0013006A" w:rsidP="0013006A">
      <w:pPr>
        <w:pStyle w:val="aff2"/>
        <w:numPr>
          <w:ilvl w:val="0"/>
          <w:numId w:val="3"/>
        </w:numPr>
        <w:rPr>
          <w:rFonts w:eastAsiaTheme="minorEastAsia" w:cstheme="minorBidi"/>
          <w:sz w:val="22"/>
          <w:szCs w:val="22"/>
          <w:rtl/>
        </w:rPr>
      </w:pPr>
      <w:r>
        <w:rPr>
          <w:rtl/>
        </w:rPr>
        <w:t>ביאור המקו"ח דנטל"פ מותר בחמץ דכל האיסור בטעם הוא מדין טע"כ ובפגום אין טע"כ</w:t>
      </w:r>
    </w:p>
    <w:p w:rsidR="0013006A" w:rsidRDefault="0013006A" w:rsidP="0013006A">
      <w:pPr>
        <w:pStyle w:val="aff4"/>
        <w:rPr>
          <w:rFonts w:eastAsiaTheme="minorEastAsia" w:cstheme="minorBidi"/>
          <w:i/>
          <w:iCs/>
          <w:noProof/>
          <w:sz w:val="22"/>
          <w:szCs w:val="22"/>
          <w:rtl/>
        </w:rPr>
      </w:pPr>
      <w:r>
        <w:rPr>
          <w:noProof/>
          <w:rtl/>
        </w:rPr>
        <w:t>קושית היד יהודה על הר"ן דהיתר נטל"פ הוא בפגימה שניכרת</w:t>
      </w:r>
    </w:p>
    <w:p w:rsidR="0013006A" w:rsidRDefault="0013006A" w:rsidP="0013006A">
      <w:pPr>
        <w:pStyle w:val="aff2"/>
        <w:numPr>
          <w:ilvl w:val="0"/>
          <w:numId w:val="3"/>
        </w:numPr>
        <w:rPr>
          <w:rFonts w:eastAsiaTheme="minorEastAsia" w:cstheme="minorBidi"/>
          <w:sz w:val="22"/>
          <w:szCs w:val="22"/>
          <w:rtl/>
        </w:rPr>
      </w:pPr>
      <w:r>
        <w:rPr>
          <w:rtl/>
        </w:rPr>
        <w:t>ביאור היד יהודה בר"ן דבנטל"פ גוף האיסור מותר אף במקום שלא מהני ביטול</w:t>
      </w:r>
    </w:p>
    <w:p w:rsidR="0013006A" w:rsidRDefault="0013006A" w:rsidP="0013006A">
      <w:pPr>
        <w:pStyle w:val="aff2"/>
        <w:numPr>
          <w:ilvl w:val="0"/>
          <w:numId w:val="3"/>
        </w:numPr>
        <w:rPr>
          <w:rFonts w:eastAsiaTheme="minorEastAsia" w:cstheme="minorBidi"/>
          <w:sz w:val="22"/>
          <w:szCs w:val="22"/>
          <w:rtl/>
        </w:rPr>
      </w:pPr>
      <w:r>
        <w:rPr>
          <w:rtl/>
        </w:rPr>
        <w:t>קושית היד יהודה דלהר"ן נטל"פ במשהו שאינו ניכר אסור ובהוסיף טעם פגום דניכר מותר</w:t>
      </w:r>
    </w:p>
    <w:p w:rsidR="0013006A" w:rsidRDefault="0013006A" w:rsidP="0013006A">
      <w:pPr>
        <w:pStyle w:val="aff4"/>
        <w:rPr>
          <w:rFonts w:eastAsiaTheme="minorEastAsia" w:cstheme="minorBidi"/>
          <w:i/>
          <w:iCs/>
          <w:noProof/>
          <w:sz w:val="22"/>
          <w:szCs w:val="22"/>
          <w:rtl/>
        </w:rPr>
      </w:pPr>
      <w:r w:rsidRPr="006E17AF">
        <w:rPr>
          <w:noProof/>
          <w:rtl/>
        </w:rPr>
        <w:t>דעת הריטב"א דבנטל"פ נסתלק האיסור ומותר אף באיסור משהו</w:t>
      </w:r>
    </w:p>
    <w:p w:rsidR="0013006A" w:rsidRDefault="0013006A" w:rsidP="0013006A">
      <w:pPr>
        <w:pStyle w:val="aff2"/>
        <w:numPr>
          <w:ilvl w:val="0"/>
          <w:numId w:val="3"/>
        </w:numPr>
        <w:rPr>
          <w:rFonts w:eastAsiaTheme="minorEastAsia" w:cstheme="minorBidi"/>
          <w:sz w:val="22"/>
          <w:szCs w:val="22"/>
          <w:rtl/>
        </w:rPr>
      </w:pPr>
      <w:r>
        <w:rPr>
          <w:rtl/>
        </w:rPr>
        <w:t>דברי הריטב"א דבגיעולי עכו"ם מוכח דהתירה תורה נטל"פ אף במשהו בקדירה שאינה בת יומא</w:t>
      </w:r>
    </w:p>
    <w:p w:rsidR="0013006A" w:rsidRDefault="0013006A" w:rsidP="0013006A">
      <w:pPr>
        <w:pStyle w:val="aff2"/>
        <w:numPr>
          <w:ilvl w:val="0"/>
          <w:numId w:val="3"/>
        </w:numPr>
        <w:rPr>
          <w:rFonts w:eastAsiaTheme="minorEastAsia" w:cstheme="minorBidi"/>
          <w:sz w:val="22"/>
          <w:szCs w:val="22"/>
          <w:rtl/>
        </w:rPr>
      </w:pPr>
      <w:r>
        <w:rPr>
          <w:rtl/>
        </w:rPr>
        <w:t>דברי הריטב"א דאיסור שפגם את ההיתר חשיב שאיסורו הסתלק ובטל ונעשה כעפר</w:t>
      </w:r>
    </w:p>
    <w:p w:rsidR="0013006A" w:rsidRDefault="0013006A" w:rsidP="0013006A">
      <w:pPr>
        <w:pStyle w:val="aff2"/>
        <w:numPr>
          <w:ilvl w:val="0"/>
          <w:numId w:val="3"/>
        </w:numPr>
        <w:rPr>
          <w:rFonts w:eastAsiaTheme="minorEastAsia" w:cstheme="minorBidi"/>
          <w:sz w:val="22"/>
          <w:szCs w:val="22"/>
          <w:rtl/>
        </w:rPr>
      </w:pPr>
      <w:r>
        <w:rPr>
          <w:rtl/>
        </w:rPr>
        <w:t>דברי הריטב"א דמין במינו אוסר במשהו אף דבמשהו אין נתינת טעם</w:t>
      </w:r>
    </w:p>
    <w:p w:rsidR="0013006A" w:rsidRDefault="0013006A" w:rsidP="0013006A">
      <w:pPr>
        <w:pStyle w:val="aff2"/>
        <w:numPr>
          <w:ilvl w:val="0"/>
          <w:numId w:val="3"/>
        </w:numPr>
        <w:rPr>
          <w:rFonts w:eastAsiaTheme="minorEastAsia" w:cstheme="minorBidi"/>
          <w:sz w:val="22"/>
          <w:szCs w:val="22"/>
          <w:rtl/>
        </w:rPr>
      </w:pPr>
      <w:r>
        <w:rPr>
          <w:rtl/>
        </w:rPr>
        <w:t>ביאור היד יהודה בריטב"א דהיתר נטל"פ הוא אף במקום שהתבשיל פגום ולא ניכר הנטל"פ</w:t>
      </w:r>
    </w:p>
    <w:p w:rsidR="0013006A" w:rsidRDefault="0013006A" w:rsidP="0013006A">
      <w:pPr>
        <w:pStyle w:val="aff2"/>
        <w:numPr>
          <w:ilvl w:val="0"/>
          <w:numId w:val="3"/>
        </w:numPr>
        <w:rPr>
          <w:rFonts w:eastAsiaTheme="minorEastAsia" w:cstheme="minorBidi"/>
          <w:sz w:val="22"/>
          <w:szCs w:val="22"/>
          <w:rtl/>
        </w:rPr>
      </w:pPr>
      <w:r>
        <w:rPr>
          <w:rtl/>
        </w:rPr>
        <w:t>הוכחת הריטב"א דאי במשהו אין נטל"פ א"כ משהו אוסר וכשהוסיף איסור ופגם יהיה מותר</w:t>
      </w:r>
    </w:p>
    <w:p w:rsidR="0013006A" w:rsidRDefault="0013006A" w:rsidP="0013006A">
      <w:pPr>
        <w:pStyle w:val="2"/>
        <w:rPr>
          <w:rFonts w:eastAsiaTheme="minorEastAsia" w:cstheme="minorBidi"/>
          <w:i/>
          <w:iCs/>
          <w:sz w:val="22"/>
          <w:szCs w:val="22"/>
          <w:rtl/>
        </w:rPr>
      </w:pPr>
      <w:r>
        <w:rPr>
          <w:rtl/>
        </w:rPr>
        <w:t>בהיתר נטל"פ לכתחילה ובדיעבד</w:t>
      </w:r>
    </w:p>
    <w:p w:rsidR="0013006A" w:rsidRDefault="0013006A" w:rsidP="0013006A">
      <w:pPr>
        <w:pStyle w:val="aff4"/>
        <w:rPr>
          <w:rFonts w:eastAsiaTheme="minorEastAsia" w:cstheme="minorBidi"/>
          <w:i/>
          <w:iCs/>
          <w:noProof/>
          <w:sz w:val="22"/>
          <w:szCs w:val="22"/>
          <w:rtl/>
        </w:rPr>
      </w:pPr>
      <w:r>
        <w:rPr>
          <w:noProof/>
          <w:rtl/>
        </w:rPr>
        <w:t>דברי הראשונים דהיתר נטל"פ הוא רק בדיעבד</w:t>
      </w:r>
    </w:p>
    <w:p w:rsidR="0013006A" w:rsidRDefault="0013006A" w:rsidP="0013006A">
      <w:pPr>
        <w:pStyle w:val="aff2"/>
        <w:numPr>
          <w:ilvl w:val="0"/>
          <w:numId w:val="3"/>
        </w:numPr>
        <w:rPr>
          <w:rFonts w:eastAsiaTheme="minorEastAsia" w:cstheme="minorBidi"/>
          <w:sz w:val="22"/>
          <w:szCs w:val="22"/>
          <w:rtl/>
        </w:rPr>
      </w:pPr>
      <w:r>
        <w:rPr>
          <w:rtl/>
        </w:rPr>
        <w:t>דברי הרשב"א והר"ן והמהר"ם חלאווה דהיתר נטל"פ הוא רק בדיעבד ולא לכתחילה</w:t>
      </w:r>
    </w:p>
    <w:p w:rsidR="0013006A" w:rsidRDefault="0013006A" w:rsidP="0013006A">
      <w:pPr>
        <w:pStyle w:val="aff2"/>
        <w:numPr>
          <w:ilvl w:val="0"/>
          <w:numId w:val="3"/>
        </w:numPr>
        <w:rPr>
          <w:rFonts w:eastAsiaTheme="minorEastAsia" w:cstheme="minorBidi"/>
          <w:sz w:val="22"/>
          <w:szCs w:val="22"/>
          <w:rtl/>
        </w:rPr>
      </w:pPr>
      <w:r>
        <w:rPr>
          <w:rtl/>
        </w:rPr>
        <w:t>דברי הרא"ה דאינו ראוי לגר מותר לכתחילה ואיסור בלוע שנפגם אסור לכתחילה</w:t>
      </w:r>
    </w:p>
    <w:p w:rsidR="0013006A" w:rsidRDefault="0013006A" w:rsidP="0013006A">
      <w:pPr>
        <w:pStyle w:val="aff2"/>
        <w:numPr>
          <w:ilvl w:val="0"/>
          <w:numId w:val="3"/>
        </w:numPr>
        <w:rPr>
          <w:rFonts w:eastAsiaTheme="minorEastAsia" w:cstheme="minorBidi"/>
          <w:sz w:val="22"/>
          <w:szCs w:val="22"/>
          <w:rtl/>
        </w:rPr>
      </w:pPr>
      <w:r>
        <w:rPr>
          <w:rtl/>
        </w:rPr>
        <w:t>דברי הריטב"א דנטל"פ אסור לכתחילה כדמוכח מדין קדירות בפסח</w:t>
      </w:r>
    </w:p>
    <w:p w:rsidR="0013006A" w:rsidRDefault="0013006A" w:rsidP="0013006A">
      <w:pPr>
        <w:pStyle w:val="aff2"/>
        <w:numPr>
          <w:ilvl w:val="0"/>
          <w:numId w:val="3"/>
        </w:numPr>
        <w:rPr>
          <w:rFonts w:eastAsiaTheme="minorEastAsia" w:cstheme="minorBidi"/>
          <w:sz w:val="22"/>
          <w:szCs w:val="22"/>
          <w:rtl/>
        </w:rPr>
      </w:pPr>
      <w:r>
        <w:rPr>
          <w:rtl/>
        </w:rPr>
        <w:t>דברי הריטב"א דנחלקו הרשב"א והרא"ה בקדירה שאינה בת יומא אי מותרת לכתחילה</w:t>
      </w:r>
    </w:p>
    <w:p w:rsidR="0013006A" w:rsidRDefault="0013006A" w:rsidP="0013006A">
      <w:pPr>
        <w:pStyle w:val="2"/>
        <w:rPr>
          <w:rFonts w:eastAsiaTheme="minorEastAsia" w:cstheme="minorBidi"/>
          <w:i/>
          <w:iCs/>
          <w:sz w:val="22"/>
          <w:szCs w:val="22"/>
          <w:rtl/>
        </w:rPr>
      </w:pPr>
      <w:r>
        <w:rPr>
          <w:rtl/>
        </w:rPr>
        <w:t>בדין דרבנן באינו ראוי לגר ונטל"פ</w:t>
      </w:r>
    </w:p>
    <w:p w:rsidR="0013006A" w:rsidRDefault="0013006A" w:rsidP="0013006A">
      <w:pPr>
        <w:pStyle w:val="aff4"/>
        <w:rPr>
          <w:rFonts w:eastAsiaTheme="minorEastAsia" w:cstheme="minorBidi"/>
          <w:i/>
          <w:iCs/>
          <w:noProof/>
          <w:sz w:val="22"/>
          <w:szCs w:val="22"/>
          <w:rtl/>
        </w:rPr>
      </w:pPr>
      <w:r>
        <w:rPr>
          <w:noProof/>
          <w:rtl/>
        </w:rPr>
        <w:t>דברי המנחת כהן דבאינו ראוי לגר בעין אסור מדרבנן</w:t>
      </w:r>
    </w:p>
    <w:p w:rsidR="0013006A" w:rsidRDefault="0013006A" w:rsidP="0013006A">
      <w:pPr>
        <w:pStyle w:val="aff2"/>
        <w:numPr>
          <w:ilvl w:val="0"/>
          <w:numId w:val="3"/>
        </w:numPr>
        <w:rPr>
          <w:rFonts w:eastAsiaTheme="minorEastAsia" w:cstheme="minorBidi"/>
          <w:sz w:val="22"/>
          <w:szCs w:val="22"/>
          <w:rtl/>
        </w:rPr>
      </w:pPr>
      <w:r>
        <w:rPr>
          <w:rtl/>
        </w:rPr>
        <w:t>דברי המנחת כהן דמשמע ברשב"א דבאינו ראוי לגר מותר אף מדרבנן אף ברוב איסור</w:t>
      </w:r>
    </w:p>
    <w:p w:rsidR="0013006A" w:rsidRDefault="0013006A" w:rsidP="0013006A">
      <w:pPr>
        <w:pStyle w:val="aff2"/>
        <w:numPr>
          <w:ilvl w:val="0"/>
          <w:numId w:val="3"/>
        </w:numPr>
        <w:rPr>
          <w:rFonts w:eastAsiaTheme="minorEastAsia" w:cstheme="minorBidi"/>
          <w:sz w:val="22"/>
          <w:szCs w:val="22"/>
          <w:rtl/>
        </w:rPr>
      </w:pPr>
      <w:r>
        <w:rPr>
          <w:rtl/>
        </w:rPr>
        <w:t>דברי המנחת כהן דברמב"ם משמע דבאינו ראוי לגר אסור מדרבנן</w:t>
      </w:r>
    </w:p>
    <w:p w:rsidR="0013006A" w:rsidRDefault="0013006A" w:rsidP="0013006A">
      <w:pPr>
        <w:pStyle w:val="aff2"/>
        <w:numPr>
          <w:ilvl w:val="0"/>
          <w:numId w:val="3"/>
        </w:numPr>
        <w:rPr>
          <w:rFonts w:eastAsiaTheme="minorEastAsia" w:cstheme="minorBidi"/>
          <w:sz w:val="22"/>
          <w:szCs w:val="22"/>
          <w:rtl/>
        </w:rPr>
      </w:pPr>
      <w:r>
        <w:rPr>
          <w:rtl/>
        </w:rPr>
        <w:t>ביאור המנחת כהן דבאינו ראוי לגר בפנ"ע אסור מדרבנן ובתערובת מותר אף מדרבנן</w:t>
      </w:r>
    </w:p>
    <w:p w:rsidR="0013006A" w:rsidRDefault="0013006A" w:rsidP="0013006A">
      <w:pPr>
        <w:pStyle w:val="aff2"/>
        <w:numPr>
          <w:ilvl w:val="0"/>
          <w:numId w:val="3"/>
        </w:numPr>
        <w:rPr>
          <w:rFonts w:eastAsiaTheme="minorEastAsia" w:cstheme="minorBidi"/>
          <w:sz w:val="22"/>
          <w:szCs w:val="22"/>
          <w:rtl/>
        </w:rPr>
      </w:pPr>
      <w:r>
        <w:rPr>
          <w:rtl/>
        </w:rPr>
        <w:t>דברי המנחת כהן דנטל"פ מותר אף מדרבנן כדין אינו ראוי לגר בתערובת</w:t>
      </w:r>
    </w:p>
    <w:p w:rsidR="0013006A" w:rsidRDefault="0013006A" w:rsidP="0013006A">
      <w:pPr>
        <w:pStyle w:val="aff2"/>
        <w:numPr>
          <w:ilvl w:val="0"/>
          <w:numId w:val="3"/>
        </w:numPr>
        <w:rPr>
          <w:rFonts w:eastAsiaTheme="minorEastAsia" w:cstheme="minorBidi"/>
          <w:sz w:val="22"/>
          <w:szCs w:val="22"/>
          <w:rtl/>
        </w:rPr>
      </w:pPr>
      <w:r>
        <w:rPr>
          <w:rtl/>
        </w:rPr>
        <w:t>דברי המנחת כהן דבאינו ראוי לגר בתערובת חשיב כדיעבד ולכן לא אסרוהו רבנן</w:t>
      </w:r>
    </w:p>
    <w:p w:rsidR="0013006A" w:rsidRDefault="0013006A" w:rsidP="0013006A">
      <w:pPr>
        <w:pStyle w:val="aff2"/>
        <w:numPr>
          <w:ilvl w:val="0"/>
          <w:numId w:val="3"/>
        </w:numPr>
        <w:rPr>
          <w:rFonts w:eastAsiaTheme="minorEastAsia" w:cstheme="minorBidi"/>
          <w:sz w:val="22"/>
          <w:szCs w:val="22"/>
          <w:rtl/>
        </w:rPr>
      </w:pPr>
      <w:r>
        <w:rPr>
          <w:rtl/>
        </w:rPr>
        <w:t>דברי המנחת כהן דאיסור שפגום במקצת ונפל לתערובת ועשאה אינה ראויה לגר מותר מדרבנן</w:t>
      </w:r>
    </w:p>
    <w:p w:rsidR="0013006A" w:rsidRDefault="0013006A" w:rsidP="0013006A">
      <w:pPr>
        <w:pStyle w:val="aff4"/>
        <w:rPr>
          <w:rFonts w:eastAsiaTheme="minorEastAsia" w:cstheme="minorBidi"/>
          <w:i/>
          <w:iCs/>
          <w:noProof/>
          <w:sz w:val="22"/>
          <w:szCs w:val="22"/>
          <w:rtl/>
        </w:rPr>
      </w:pPr>
      <w:r>
        <w:rPr>
          <w:noProof/>
          <w:rtl/>
        </w:rPr>
        <w:t>דברי הפר"ח דבאינו ראוי לגר מותר אף מדרבנן</w:t>
      </w:r>
    </w:p>
    <w:p w:rsidR="0013006A" w:rsidRDefault="0013006A" w:rsidP="0013006A">
      <w:pPr>
        <w:pStyle w:val="aff2"/>
        <w:numPr>
          <w:ilvl w:val="0"/>
          <w:numId w:val="3"/>
        </w:numPr>
        <w:rPr>
          <w:rFonts w:eastAsiaTheme="minorEastAsia" w:cstheme="minorBidi"/>
          <w:sz w:val="22"/>
          <w:szCs w:val="22"/>
          <w:rtl/>
        </w:rPr>
      </w:pPr>
      <w:r>
        <w:rPr>
          <w:rtl/>
        </w:rPr>
        <w:t>ביאור הפר"ח ברמב"ם דאינה ראויה לגר מותרת מדרבנן ואסורה מדין בל תשקצו</w:t>
      </w:r>
    </w:p>
    <w:p w:rsidR="0013006A" w:rsidRDefault="0013006A" w:rsidP="0013006A">
      <w:pPr>
        <w:pStyle w:val="aff2"/>
        <w:numPr>
          <w:ilvl w:val="0"/>
          <w:numId w:val="3"/>
        </w:numPr>
        <w:rPr>
          <w:rFonts w:eastAsiaTheme="minorEastAsia" w:cstheme="minorBidi"/>
          <w:sz w:val="22"/>
          <w:szCs w:val="22"/>
          <w:rtl/>
        </w:rPr>
      </w:pPr>
      <w:r>
        <w:rPr>
          <w:rtl/>
        </w:rPr>
        <w:t>דברי הפר"ח דאחר שבישל באינה בת יומא ונעשה פגום מותר לאוכלו לכתחילה</w:t>
      </w:r>
    </w:p>
    <w:p w:rsidR="0013006A" w:rsidRDefault="0013006A" w:rsidP="0013006A">
      <w:pPr>
        <w:pStyle w:val="2"/>
        <w:rPr>
          <w:rFonts w:eastAsiaTheme="minorEastAsia" w:cstheme="minorBidi"/>
          <w:i/>
          <w:iCs/>
          <w:sz w:val="22"/>
          <w:szCs w:val="22"/>
          <w:rtl/>
        </w:rPr>
      </w:pPr>
      <w:r>
        <w:rPr>
          <w:rtl/>
        </w:rPr>
        <w:t>בדין נותן טעם לא לשבח ולא לפגם</w:t>
      </w:r>
    </w:p>
    <w:p w:rsidR="0013006A" w:rsidRDefault="0013006A" w:rsidP="0013006A">
      <w:pPr>
        <w:pStyle w:val="aff4"/>
        <w:rPr>
          <w:rFonts w:eastAsiaTheme="minorEastAsia" w:cstheme="minorBidi"/>
          <w:i/>
          <w:iCs/>
          <w:noProof/>
          <w:sz w:val="22"/>
          <w:szCs w:val="22"/>
          <w:rtl/>
        </w:rPr>
      </w:pPr>
      <w:r>
        <w:rPr>
          <w:noProof/>
          <w:rtl/>
        </w:rPr>
        <w:t>דעת האו"ז וההג' אשר"י דטעם שאינו לשבח ולפגם אסור</w:t>
      </w:r>
    </w:p>
    <w:p w:rsidR="0013006A" w:rsidRDefault="0013006A" w:rsidP="0013006A">
      <w:pPr>
        <w:pStyle w:val="aff2"/>
        <w:numPr>
          <w:ilvl w:val="0"/>
          <w:numId w:val="3"/>
        </w:numPr>
        <w:rPr>
          <w:rFonts w:eastAsiaTheme="minorEastAsia" w:cstheme="minorBidi"/>
          <w:sz w:val="22"/>
          <w:szCs w:val="22"/>
          <w:rtl/>
        </w:rPr>
      </w:pPr>
      <w:r>
        <w:rPr>
          <w:rtl/>
        </w:rPr>
        <w:t>דברי האו"ז וההג' אשר"י דדבר שאינו נותן טעם לא לשבח ולא לפגם אסור</w:t>
      </w:r>
    </w:p>
    <w:p w:rsidR="0013006A" w:rsidRDefault="0013006A" w:rsidP="0013006A">
      <w:pPr>
        <w:pStyle w:val="aff2"/>
        <w:numPr>
          <w:ilvl w:val="0"/>
          <w:numId w:val="3"/>
        </w:numPr>
        <w:rPr>
          <w:rFonts w:eastAsiaTheme="minorEastAsia" w:cstheme="minorBidi"/>
          <w:sz w:val="22"/>
          <w:szCs w:val="22"/>
          <w:rtl/>
        </w:rPr>
      </w:pPr>
      <w:r>
        <w:rPr>
          <w:rtl/>
        </w:rPr>
        <w:t>דברי הש"ך דכן מוכח מאיסור גיד הנשה שהוא כעץ ואסור אף שאינו נותן טעם</w:t>
      </w:r>
    </w:p>
    <w:p w:rsidR="0013006A" w:rsidRDefault="0013006A" w:rsidP="0013006A">
      <w:pPr>
        <w:pStyle w:val="aff2"/>
        <w:numPr>
          <w:ilvl w:val="0"/>
          <w:numId w:val="3"/>
        </w:numPr>
        <w:rPr>
          <w:rFonts w:eastAsiaTheme="minorEastAsia" w:cstheme="minorBidi"/>
          <w:sz w:val="22"/>
          <w:szCs w:val="22"/>
          <w:rtl/>
        </w:rPr>
      </w:pPr>
      <w:r>
        <w:rPr>
          <w:rtl/>
        </w:rPr>
        <w:t>קושית המנחת כהן דאיסור שהוא כעץ פקע איסורו ואינו אוסר בטעם אף מדרבנן</w:t>
      </w:r>
    </w:p>
    <w:p w:rsidR="0013006A" w:rsidRDefault="0013006A" w:rsidP="0013006A">
      <w:pPr>
        <w:pStyle w:val="aff2"/>
        <w:numPr>
          <w:ilvl w:val="0"/>
          <w:numId w:val="3"/>
        </w:numPr>
        <w:rPr>
          <w:rFonts w:eastAsiaTheme="minorEastAsia" w:cstheme="minorBidi"/>
          <w:sz w:val="22"/>
          <w:szCs w:val="22"/>
          <w:rtl/>
        </w:rPr>
      </w:pPr>
      <w:r>
        <w:rPr>
          <w:rtl/>
        </w:rPr>
        <w:t>קושית המנחת כהן והפר"ח דרק בגיד הנשה חייבה תורה בלא טעם ולא בשאר איסורים</w:t>
      </w:r>
    </w:p>
    <w:p w:rsidR="0013006A" w:rsidRDefault="0013006A" w:rsidP="0013006A">
      <w:pPr>
        <w:pStyle w:val="aff2"/>
        <w:numPr>
          <w:ilvl w:val="0"/>
          <w:numId w:val="3"/>
        </w:numPr>
        <w:rPr>
          <w:rFonts w:eastAsiaTheme="minorEastAsia" w:cstheme="minorBidi"/>
          <w:sz w:val="22"/>
          <w:szCs w:val="22"/>
          <w:rtl/>
        </w:rPr>
      </w:pPr>
      <w:r>
        <w:rPr>
          <w:rtl/>
        </w:rPr>
        <w:t>דברי הפר"ח דהאיסור הוא כשיש טעם המורגש אך אינו משנה את טעם התבשיל</w:t>
      </w:r>
    </w:p>
    <w:p w:rsidR="0013006A" w:rsidRDefault="0013006A" w:rsidP="0013006A">
      <w:pPr>
        <w:pStyle w:val="aff2"/>
        <w:numPr>
          <w:ilvl w:val="0"/>
          <w:numId w:val="3"/>
        </w:numPr>
        <w:rPr>
          <w:rFonts w:eastAsiaTheme="minorEastAsia" w:cstheme="minorBidi"/>
          <w:sz w:val="22"/>
          <w:szCs w:val="22"/>
          <w:rtl/>
        </w:rPr>
      </w:pPr>
      <w:r>
        <w:rPr>
          <w:rtl/>
        </w:rPr>
        <w:t>תירוץ הפרמ"ג דכוונת הש"ך לומר דבשר נבילה שיבש כעץ וחזר ונימוח אסור מדאו'</w:t>
      </w:r>
    </w:p>
    <w:p w:rsidR="0013006A" w:rsidRDefault="0013006A" w:rsidP="0013006A">
      <w:pPr>
        <w:pStyle w:val="2"/>
        <w:rPr>
          <w:rFonts w:eastAsiaTheme="minorEastAsia" w:cstheme="minorBidi"/>
          <w:i/>
          <w:iCs/>
          <w:sz w:val="22"/>
          <w:szCs w:val="22"/>
          <w:rtl/>
        </w:rPr>
      </w:pPr>
      <w:r>
        <w:rPr>
          <w:rtl/>
        </w:rPr>
        <w:t>דברי הרמב"ם בנטל"פ ואינו ראוי לגר</w:t>
      </w:r>
    </w:p>
    <w:p w:rsidR="0013006A" w:rsidRDefault="0013006A" w:rsidP="0013006A">
      <w:pPr>
        <w:pStyle w:val="aff4"/>
        <w:rPr>
          <w:rFonts w:eastAsiaTheme="minorEastAsia" w:cstheme="minorBidi"/>
          <w:i/>
          <w:iCs/>
          <w:noProof/>
          <w:sz w:val="22"/>
          <w:szCs w:val="22"/>
          <w:rtl/>
        </w:rPr>
      </w:pPr>
      <w:r>
        <w:rPr>
          <w:noProof/>
          <w:rtl/>
        </w:rPr>
        <w:t>דברי הרמב"ם בדין נטל"פ</w:t>
      </w:r>
    </w:p>
    <w:p w:rsidR="0013006A" w:rsidRDefault="0013006A" w:rsidP="0013006A">
      <w:pPr>
        <w:pStyle w:val="aff2"/>
        <w:numPr>
          <w:ilvl w:val="0"/>
          <w:numId w:val="3"/>
        </w:numPr>
        <w:rPr>
          <w:rFonts w:eastAsiaTheme="minorEastAsia" w:cstheme="minorBidi"/>
          <w:sz w:val="22"/>
          <w:szCs w:val="22"/>
          <w:rtl/>
        </w:rPr>
      </w:pPr>
      <w:r>
        <w:rPr>
          <w:rtl/>
        </w:rPr>
        <w:t>דברי הרמב"ם דטעם כעיקר אינו אוסר בנותן טעם לפגם כשפגם מתחילה ועד סוף</w:t>
      </w:r>
    </w:p>
    <w:p w:rsidR="0013006A" w:rsidRDefault="0013006A" w:rsidP="0013006A">
      <w:pPr>
        <w:pStyle w:val="aff2"/>
        <w:numPr>
          <w:ilvl w:val="0"/>
          <w:numId w:val="3"/>
        </w:numPr>
        <w:rPr>
          <w:rFonts w:eastAsiaTheme="minorEastAsia" w:cstheme="minorBidi"/>
          <w:sz w:val="22"/>
          <w:szCs w:val="22"/>
          <w:rtl/>
        </w:rPr>
      </w:pPr>
      <w:r>
        <w:rPr>
          <w:rtl/>
        </w:rPr>
        <w:t>דברי הרמב"ם דבבשר וחלב ויין נסך וערלה וכלאי הכרם נותן טעם לפגם מותר</w:t>
      </w:r>
    </w:p>
    <w:p w:rsidR="0013006A" w:rsidRDefault="0013006A" w:rsidP="0013006A">
      <w:pPr>
        <w:pStyle w:val="aff4"/>
        <w:rPr>
          <w:rFonts w:eastAsiaTheme="minorEastAsia" w:cstheme="minorBidi"/>
          <w:i/>
          <w:iCs/>
          <w:noProof/>
          <w:sz w:val="22"/>
          <w:szCs w:val="22"/>
          <w:rtl/>
        </w:rPr>
      </w:pPr>
      <w:r>
        <w:rPr>
          <w:noProof/>
          <w:rtl/>
        </w:rPr>
        <w:t>דברי הרמב"ם דאינו ראוי לאכילה מותר מדין שלא כדרך הנאה</w:t>
      </w:r>
    </w:p>
    <w:p w:rsidR="0013006A" w:rsidRDefault="0013006A" w:rsidP="0013006A">
      <w:pPr>
        <w:pStyle w:val="aff2"/>
        <w:numPr>
          <w:ilvl w:val="0"/>
          <w:numId w:val="3"/>
        </w:numPr>
        <w:rPr>
          <w:rFonts w:eastAsiaTheme="minorEastAsia" w:cstheme="minorBidi"/>
          <w:sz w:val="22"/>
          <w:szCs w:val="22"/>
          <w:rtl/>
        </w:rPr>
      </w:pPr>
      <w:r>
        <w:rPr>
          <w:rtl/>
        </w:rPr>
        <w:t>דברי הרמב"ם דחיוב אכילת איסור הוא בדרך הנאה אבל בבב"ח וכלאים אף שלא כדרך הנאתן</w:t>
      </w:r>
    </w:p>
    <w:p w:rsidR="0013006A" w:rsidRDefault="0013006A" w:rsidP="0013006A">
      <w:pPr>
        <w:pStyle w:val="aff2"/>
        <w:numPr>
          <w:ilvl w:val="0"/>
          <w:numId w:val="3"/>
        </w:numPr>
        <w:rPr>
          <w:rFonts w:eastAsiaTheme="minorEastAsia" w:cstheme="minorBidi"/>
          <w:sz w:val="22"/>
          <w:szCs w:val="22"/>
          <w:rtl/>
        </w:rPr>
      </w:pPr>
      <w:r>
        <w:rPr>
          <w:rtl/>
        </w:rPr>
        <w:t>דברי הרמב"ם דשלא כדרך הנאה הוא באכלו רותח או חי או מר או שהסריח ואינו ראוי לאכילה</w:t>
      </w:r>
    </w:p>
    <w:p w:rsidR="0013006A" w:rsidRDefault="0013006A" w:rsidP="0013006A">
      <w:pPr>
        <w:pStyle w:val="aff2"/>
        <w:numPr>
          <w:ilvl w:val="0"/>
          <w:numId w:val="3"/>
        </w:numPr>
        <w:rPr>
          <w:rFonts w:eastAsiaTheme="minorEastAsia" w:cstheme="minorBidi"/>
          <w:sz w:val="22"/>
          <w:szCs w:val="22"/>
          <w:rtl/>
        </w:rPr>
      </w:pPr>
      <w:r>
        <w:rPr>
          <w:rtl/>
        </w:rPr>
        <w:t>דברי הרמב"ם דבבשר בחלב וכלאים חייב אף כשעירב בהם דבר מר ואכלם</w:t>
      </w:r>
    </w:p>
    <w:p w:rsidR="0013006A" w:rsidRDefault="0013006A" w:rsidP="0013006A">
      <w:pPr>
        <w:pStyle w:val="2"/>
        <w:rPr>
          <w:rFonts w:eastAsiaTheme="minorEastAsia" w:cstheme="minorBidi"/>
          <w:i/>
          <w:iCs/>
          <w:sz w:val="22"/>
          <w:szCs w:val="22"/>
          <w:rtl/>
        </w:rPr>
      </w:pPr>
      <w:r>
        <w:rPr>
          <w:rtl/>
        </w:rPr>
        <w:lastRenderedPageBreak/>
        <w:t>בדין נטל"פ בבב"ח ובכלאים להרמב"ם</w:t>
      </w:r>
    </w:p>
    <w:p w:rsidR="0013006A" w:rsidRDefault="0013006A" w:rsidP="0013006A">
      <w:pPr>
        <w:pStyle w:val="aff4"/>
        <w:rPr>
          <w:rFonts w:eastAsiaTheme="minorEastAsia" w:cstheme="minorBidi"/>
          <w:i/>
          <w:iCs/>
          <w:noProof/>
          <w:sz w:val="22"/>
          <w:szCs w:val="22"/>
          <w:rtl/>
        </w:rPr>
      </w:pPr>
      <w:r>
        <w:rPr>
          <w:noProof/>
          <w:rtl/>
        </w:rPr>
        <w:t>תירוצי ה</w:t>
      </w:r>
      <w:r w:rsidR="00250230">
        <w:rPr>
          <w:noProof/>
          <w:rtl/>
        </w:rPr>
        <w:t>פלתי</w:t>
      </w:r>
      <w:r>
        <w:rPr>
          <w:noProof/>
          <w:rtl/>
        </w:rPr>
        <w:t xml:space="preserve"> והגרעק"א והנוב"י ברמב"ם דלא ילפינן מנבילה</w:t>
      </w:r>
    </w:p>
    <w:p w:rsidR="0013006A" w:rsidRDefault="0013006A" w:rsidP="0013006A">
      <w:pPr>
        <w:pStyle w:val="aff2"/>
        <w:numPr>
          <w:ilvl w:val="0"/>
          <w:numId w:val="3"/>
        </w:numPr>
        <w:rPr>
          <w:rFonts w:eastAsiaTheme="minorEastAsia" w:cstheme="minorBidi"/>
          <w:sz w:val="22"/>
          <w:szCs w:val="22"/>
          <w:rtl/>
        </w:rPr>
      </w:pPr>
      <w:r>
        <w:rPr>
          <w:rtl/>
        </w:rPr>
        <w:t>קושית ה</w:t>
      </w:r>
      <w:r w:rsidR="00250230">
        <w:rPr>
          <w:rtl/>
        </w:rPr>
        <w:t>פלתי</w:t>
      </w:r>
      <w:r>
        <w:rPr>
          <w:rtl/>
        </w:rPr>
        <w:t xml:space="preserve"> על הרמב"ם דדבר שהסריח הוא מדין אינו ראוי לגר ולא מדין שלא כדרך הנאתן</w:t>
      </w:r>
    </w:p>
    <w:p w:rsidR="0013006A" w:rsidRDefault="0013006A" w:rsidP="0013006A">
      <w:pPr>
        <w:pStyle w:val="aff2"/>
        <w:numPr>
          <w:ilvl w:val="0"/>
          <w:numId w:val="3"/>
        </w:numPr>
        <w:rPr>
          <w:rFonts w:eastAsiaTheme="minorEastAsia" w:cstheme="minorBidi"/>
          <w:sz w:val="22"/>
          <w:szCs w:val="22"/>
          <w:rtl/>
        </w:rPr>
      </w:pPr>
      <w:r>
        <w:rPr>
          <w:rtl/>
        </w:rPr>
        <w:t>תירוץ ה</w:t>
      </w:r>
      <w:r w:rsidR="00250230">
        <w:rPr>
          <w:rtl/>
        </w:rPr>
        <w:t>פלתי</w:t>
      </w:r>
      <w:r>
        <w:rPr>
          <w:rtl/>
        </w:rPr>
        <w:t xml:space="preserve"> והגרעק"א דלדידן דקיי"ל דשלא כדרך הנאתן מותר א"צ את הילפותא מנבילה</w:t>
      </w:r>
    </w:p>
    <w:p w:rsidR="0013006A" w:rsidRDefault="0013006A" w:rsidP="0013006A">
      <w:pPr>
        <w:pStyle w:val="aff2"/>
        <w:numPr>
          <w:ilvl w:val="0"/>
          <w:numId w:val="3"/>
        </w:numPr>
        <w:rPr>
          <w:rFonts w:eastAsiaTheme="minorEastAsia" w:cstheme="minorBidi"/>
          <w:sz w:val="22"/>
          <w:szCs w:val="22"/>
          <w:rtl/>
        </w:rPr>
      </w:pPr>
      <w:r>
        <w:rPr>
          <w:rtl/>
        </w:rPr>
        <w:t>תירוץ הנוב"י דלהרמב"ם לא ילפינן מנבילה לנטל"פ וחייב בב"ח אף בהסריח ולא כדרך הנאתן</w:t>
      </w:r>
    </w:p>
    <w:p w:rsidR="0013006A" w:rsidRDefault="0013006A" w:rsidP="0013006A">
      <w:pPr>
        <w:pStyle w:val="aff2"/>
        <w:numPr>
          <w:ilvl w:val="0"/>
          <w:numId w:val="3"/>
        </w:numPr>
        <w:rPr>
          <w:rFonts w:eastAsiaTheme="minorEastAsia" w:cstheme="minorBidi"/>
          <w:sz w:val="22"/>
          <w:szCs w:val="22"/>
          <w:rtl/>
        </w:rPr>
      </w:pPr>
      <w:r>
        <w:rPr>
          <w:rtl/>
        </w:rPr>
        <w:t>ביאור הפר"ח ברמב"ם דבעירב דבר מר אינו ראוי לגר ומותר אף שיש רוב איסור ובב"ח אסור</w:t>
      </w:r>
    </w:p>
    <w:p w:rsidR="0013006A" w:rsidRDefault="0013006A" w:rsidP="0013006A">
      <w:pPr>
        <w:pStyle w:val="aff4"/>
        <w:rPr>
          <w:rFonts w:eastAsiaTheme="minorEastAsia" w:cstheme="minorBidi"/>
          <w:i/>
          <w:iCs/>
          <w:noProof/>
          <w:sz w:val="22"/>
          <w:szCs w:val="22"/>
          <w:rtl/>
        </w:rPr>
      </w:pPr>
      <w:r>
        <w:rPr>
          <w:noProof/>
          <w:rtl/>
        </w:rPr>
        <w:t>דברי ה</w:t>
      </w:r>
      <w:r w:rsidR="00250230">
        <w:rPr>
          <w:noProof/>
          <w:rtl/>
        </w:rPr>
        <w:t>פלתי</w:t>
      </w:r>
      <w:r>
        <w:rPr>
          <w:noProof/>
          <w:rtl/>
        </w:rPr>
        <w:t xml:space="preserve"> דלהרמב"ם דנותן טעם לפגם אסור בבב"ח</w:t>
      </w:r>
    </w:p>
    <w:p w:rsidR="0013006A" w:rsidRDefault="0013006A" w:rsidP="0013006A">
      <w:pPr>
        <w:pStyle w:val="aff2"/>
        <w:numPr>
          <w:ilvl w:val="0"/>
          <w:numId w:val="3"/>
        </w:numPr>
        <w:rPr>
          <w:rFonts w:eastAsiaTheme="minorEastAsia" w:cstheme="minorBidi"/>
          <w:sz w:val="22"/>
          <w:szCs w:val="22"/>
          <w:rtl/>
        </w:rPr>
      </w:pPr>
      <w:r>
        <w:rPr>
          <w:rtl/>
        </w:rPr>
        <w:t>דברי ה</w:t>
      </w:r>
      <w:r w:rsidR="00250230">
        <w:rPr>
          <w:rtl/>
        </w:rPr>
        <w:t>פלתי</w:t>
      </w:r>
      <w:r>
        <w:rPr>
          <w:rtl/>
        </w:rPr>
        <w:t xml:space="preserve"> דמבואר ברמב"ם דבבשר בחלב חייב אף בנטל"פ דהא חייב בשלא כדרך הנאתן</w:t>
      </w:r>
    </w:p>
    <w:p w:rsidR="0013006A" w:rsidRDefault="0013006A" w:rsidP="0013006A">
      <w:pPr>
        <w:pStyle w:val="aff4"/>
        <w:rPr>
          <w:rFonts w:eastAsiaTheme="minorEastAsia" w:cstheme="minorBidi"/>
          <w:i/>
          <w:iCs/>
          <w:noProof/>
          <w:sz w:val="22"/>
          <w:szCs w:val="22"/>
          <w:rtl/>
        </w:rPr>
      </w:pPr>
      <w:r>
        <w:rPr>
          <w:noProof/>
          <w:rtl/>
        </w:rPr>
        <w:t>דברי האחרונים ברמב"ם דבב"ח שנפל לתבשיל מותר בנטל"פ</w:t>
      </w:r>
    </w:p>
    <w:p w:rsidR="0013006A" w:rsidRDefault="0013006A" w:rsidP="0013006A">
      <w:pPr>
        <w:pStyle w:val="aff2"/>
        <w:numPr>
          <w:ilvl w:val="0"/>
          <w:numId w:val="3"/>
        </w:numPr>
        <w:rPr>
          <w:rFonts w:eastAsiaTheme="minorEastAsia" w:cstheme="minorBidi"/>
          <w:sz w:val="22"/>
          <w:szCs w:val="22"/>
          <w:rtl/>
        </w:rPr>
      </w:pPr>
      <w:r>
        <w:rPr>
          <w:rtl/>
        </w:rPr>
        <w:t>ביאור הפרמ"ג והרלב"ח ברמב"ם דבב"ח אסור רק בפנ"ע אבל בתערובת מותר מדין נטל"פ</w:t>
      </w:r>
    </w:p>
    <w:p w:rsidR="0013006A" w:rsidRDefault="0013006A" w:rsidP="0013006A">
      <w:pPr>
        <w:pStyle w:val="aff2"/>
        <w:numPr>
          <w:ilvl w:val="0"/>
          <w:numId w:val="3"/>
        </w:numPr>
        <w:rPr>
          <w:rFonts w:eastAsiaTheme="minorEastAsia" w:cstheme="minorBidi"/>
          <w:sz w:val="22"/>
          <w:szCs w:val="22"/>
          <w:rtl/>
        </w:rPr>
      </w:pPr>
      <w:r>
        <w:rPr>
          <w:rtl/>
        </w:rPr>
        <w:t>דברי האמרי ברוך דאף לסברת ה</w:t>
      </w:r>
      <w:r w:rsidR="00250230">
        <w:rPr>
          <w:rtl/>
        </w:rPr>
        <w:t>פלתי</w:t>
      </w:r>
      <w:r>
        <w:rPr>
          <w:rtl/>
        </w:rPr>
        <w:t xml:space="preserve"> בב"ח שנפל לתבשיל אינו אוסרו דאין טע"כ בטעם פגום</w:t>
      </w:r>
    </w:p>
    <w:p w:rsidR="0013006A" w:rsidRDefault="0013006A" w:rsidP="0013006A">
      <w:pPr>
        <w:pStyle w:val="aff2"/>
        <w:numPr>
          <w:ilvl w:val="0"/>
          <w:numId w:val="3"/>
        </w:numPr>
        <w:rPr>
          <w:rFonts w:eastAsiaTheme="minorEastAsia" w:cstheme="minorBidi"/>
          <w:sz w:val="22"/>
          <w:szCs w:val="22"/>
          <w:rtl/>
        </w:rPr>
      </w:pPr>
      <w:r>
        <w:rPr>
          <w:rtl/>
        </w:rPr>
        <w:t>ביאור הבית מאיד דבב"ח אסור באינו ראוי לגר ומותר בנטל"פ דהוא חידוש</w:t>
      </w:r>
    </w:p>
    <w:p w:rsidR="0013006A" w:rsidRDefault="0013006A" w:rsidP="0013006A">
      <w:pPr>
        <w:pStyle w:val="aff4"/>
        <w:rPr>
          <w:rFonts w:eastAsiaTheme="minorEastAsia" w:cstheme="minorBidi"/>
          <w:i/>
          <w:iCs/>
          <w:noProof/>
          <w:sz w:val="22"/>
          <w:szCs w:val="22"/>
          <w:rtl/>
        </w:rPr>
      </w:pPr>
      <w:r>
        <w:rPr>
          <w:noProof/>
          <w:rtl/>
        </w:rPr>
        <w:t>דברי החוו"ד דהיתר נטל"פ הוא אף בבשר בחלב וכלאים</w:t>
      </w:r>
    </w:p>
    <w:p w:rsidR="0013006A" w:rsidRDefault="0013006A" w:rsidP="0013006A">
      <w:pPr>
        <w:pStyle w:val="aff2"/>
        <w:numPr>
          <w:ilvl w:val="0"/>
          <w:numId w:val="3"/>
        </w:numPr>
        <w:rPr>
          <w:rFonts w:eastAsiaTheme="minorEastAsia" w:cstheme="minorBidi"/>
          <w:sz w:val="22"/>
          <w:szCs w:val="22"/>
          <w:rtl/>
        </w:rPr>
      </w:pPr>
      <w:r>
        <w:rPr>
          <w:rtl/>
        </w:rPr>
        <w:t>קושית החוו"ד דאיתא להדיא בגמ' דנטל"פ מותר בכלאי הכרם אף שאסור בשלא כדרך הנאתן</w:t>
      </w:r>
    </w:p>
    <w:p w:rsidR="0013006A" w:rsidRDefault="0013006A" w:rsidP="0013006A">
      <w:pPr>
        <w:pStyle w:val="aff2"/>
        <w:numPr>
          <w:ilvl w:val="0"/>
          <w:numId w:val="3"/>
        </w:numPr>
        <w:rPr>
          <w:rFonts w:eastAsiaTheme="minorEastAsia" w:cstheme="minorBidi"/>
          <w:sz w:val="22"/>
          <w:szCs w:val="22"/>
          <w:rtl/>
        </w:rPr>
      </w:pPr>
      <w:r>
        <w:rPr>
          <w:rtl/>
        </w:rPr>
        <w:t>קושית האמרי ברוך דמבואר ברמב"ם להדיא דהיתר נטל"פ הוא אף בבשר בחלב וכלאים</w:t>
      </w:r>
    </w:p>
    <w:p w:rsidR="0013006A" w:rsidRDefault="0013006A" w:rsidP="0013006A">
      <w:pPr>
        <w:pStyle w:val="aff2"/>
        <w:numPr>
          <w:ilvl w:val="0"/>
          <w:numId w:val="3"/>
        </w:numPr>
        <w:rPr>
          <w:rFonts w:eastAsiaTheme="minorEastAsia" w:cstheme="minorBidi"/>
          <w:sz w:val="22"/>
          <w:szCs w:val="22"/>
          <w:rtl/>
        </w:rPr>
      </w:pPr>
      <w:r>
        <w:rPr>
          <w:rtl/>
        </w:rPr>
        <w:t>דברי החוו"ד דמסתימת השו"ע והפוסקים מוכח דנטל"פ מותר אף בבשר בחלב וכלאים</w:t>
      </w:r>
    </w:p>
    <w:p w:rsidR="0013006A" w:rsidRDefault="0013006A" w:rsidP="0013006A">
      <w:pPr>
        <w:pStyle w:val="aff2"/>
        <w:numPr>
          <w:ilvl w:val="0"/>
          <w:numId w:val="3"/>
        </w:numPr>
        <w:rPr>
          <w:rFonts w:eastAsiaTheme="minorEastAsia" w:cstheme="minorBidi"/>
          <w:sz w:val="22"/>
          <w:szCs w:val="22"/>
          <w:rtl/>
        </w:rPr>
      </w:pPr>
      <w:r>
        <w:rPr>
          <w:rtl/>
        </w:rPr>
        <w:t>דברי המקו"ח דכיון דנטל"פ מותר בבב"ח מוכח דגדר נטל"פ הוא שאין טע"כ בטעם פגום</w:t>
      </w:r>
    </w:p>
    <w:p w:rsidR="0013006A" w:rsidRDefault="0013006A" w:rsidP="0013006A">
      <w:pPr>
        <w:pStyle w:val="2"/>
        <w:rPr>
          <w:rFonts w:eastAsiaTheme="minorEastAsia" w:cstheme="minorBidi"/>
          <w:i/>
          <w:iCs/>
          <w:sz w:val="22"/>
          <w:szCs w:val="22"/>
          <w:rtl/>
        </w:rPr>
      </w:pPr>
      <w:r>
        <w:rPr>
          <w:rtl/>
        </w:rPr>
        <w:t>ביאורי האחרונים בגדר נטל"פ ונבילה</w:t>
      </w:r>
    </w:p>
    <w:p w:rsidR="0013006A" w:rsidRDefault="0013006A" w:rsidP="0013006A">
      <w:pPr>
        <w:pStyle w:val="aff4"/>
        <w:rPr>
          <w:rFonts w:eastAsiaTheme="minorEastAsia" w:cstheme="minorBidi"/>
          <w:i/>
          <w:iCs/>
          <w:noProof/>
          <w:sz w:val="22"/>
          <w:szCs w:val="22"/>
          <w:rtl/>
        </w:rPr>
      </w:pPr>
      <w:r>
        <w:rPr>
          <w:noProof/>
          <w:rtl/>
        </w:rPr>
        <w:t>ביאור החוו"ד דבשלא כדרך הנאתן ונטל"פ לא פקע האיסור</w:t>
      </w:r>
    </w:p>
    <w:p w:rsidR="0013006A" w:rsidRDefault="0013006A" w:rsidP="0013006A">
      <w:pPr>
        <w:pStyle w:val="aff2"/>
        <w:numPr>
          <w:ilvl w:val="0"/>
          <w:numId w:val="3"/>
        </w:numPr>
        <w:rPr>
          <w:rFonts w:eastAsiaTheme="minorEastAsia" w:cstheme="minorBidi"/>
          <w:sz w:val="22"/>
          <w:szCs w:val="22"/>
          <w:rtl/>
        </w:rPr>
      </w:pPr>
      <w:r>
        <w:rPr>
          <w:rtl/>
        </w:rPr>
        <w:t>דברי החוו"ד דשלא כדרך הנאתן ודין אינה ראויה לגר הם ב' דינים שונים</w:t>
      </w:r>
    </w:p>
    <w:p w:rsidR="0013006A" w:rsidRDefault="0013006A" w:rsidP="0013006A">
      <w:pPr>
        <w:pStyle w:val="aff2"/>
        <w:numPr>
          <w:ilvl w:val="0"/>
          <w:numId w:val="3"/>
        </w:numPr>
        <w:rPr>
          <w:rFonts w:eastAsiaTheme="minorEastAsia" w:cstheme="minorBidi"/>
          <w:sz w:val="22"/>
          <w:szCs w:val="22"/>
          <w:rtl/>
        </w:rPr>
      </w:pPr>
      <w:r>
        <w:rPr>
          <w:rtl/>
        </w:rPr>
        <w:t>ביאור החוו"ד דבשלא כדרך האיסור עצמו עדיין אסור ואם חזר ותיקנו חוזר לאיסורו</w:t>
      </w:r>
    </w:p>
    <w:p w:rsidR="0013006A" w:rsidRDefault="0013006A" w:rsidP="0013006A">
      <w:pPr>
        <w:pStyle w:val="aff2"/>
        <w:numPr>
          <w:ilvl w:val="0"/>
          <w:numId w:val="3"/>
        </w:numPr>
        <w:rPr>
          <w:rFonts w:eastAsiaTheme="minorEastAsia" w:cstheme="minorBidi"/>
          <w:sz w:val="22"/>
          <w:szCs w:val="22"/>
          <w:rtl/>
        </w:rPr>
      </w:pPr>
      <w:r>
        <w:rPr>
          <w:rtl/>
        </w:rPr>
        <w:t>דברי החוו"ד דבפגום במקצת לא פקע האיסור ולכן פוגם ולבסוף השביח אסור</w:t>
      </w:r>
    </w:p>
    <w:p w:rsidR="0013006A" w:rsidRDefault="0013006A" w:rsidP="0013006A">
      <w:pPr>
        <w:pStyle w:val="aff4"/>
        <w:rPr>
          <w:rFonts w:eastAsiaTheme="minorEastAsia" w:cstheme="minorBidi"/>
          <w:i/>
          <w:iCs/>
          <w:noProof/>
          <w:sz w:val="22"/>
          <w:szCs w:val="22"/>
          <w:rtl/>
        </w:rPr>
      </w:pPr>
      <w:r>
        <w:rPr>
          <w:noProof/>
          <w:rtl/>
        </w:rPr>
        <w:t>דברי החוו"ד דבאינה ראויה לגר פקע האיסור אף בחזר ותיקנה</w:t>
      </w:r>
    </w:p>
    <w:p w:rsidR="0013006A" w:rsidRDefault="0013006A" w:rsidP="0013006A">
      <w:pPr>
        <w:pStyle w:val="aff2"/>
        <w:numPr>
          <w:ilvl w:val="0"/>
          <w:numId w:val="3"/>
        </w:numPr>
        <w:rPr>
          <w:rFonts w:eastAsiaTheme="minorEastAsia" w:cstheme="minorBidi"/>
          <w:sz w:val="22"/>
          <w:szCs w:val="22"/>
          <w:rtl/>
        </w:rPr>
      </w:pPr>
      <w:r>
        <w:rPr>
          <w:rtl/>
        </w:rPr>
        <w:t>דברי החוו"ד דבאינה ראויה לגר פרח האיסור ממנה ואף אם חזר ותיקנה לאכילה מותרת</w:t>
      </w:r>
    </w:p>
    <w:p w:rsidR="0013006A" w:rsidRDefault="0013006A" w:rsidP="0013006A">
      <w:pPr>
        <w:pStyle w:val="aff2"/>
        <w:numPr>
          <w:ilvl w:val="0"/>
          <w:numId w:val="3"/>
        </w:numPr>
        <w:rPr>
          <w:rFonts w:eastAsiaTheme="minorEastAsia" w:cstheme="minorBidi"/>
          <w:sz w:val="22"/>
          <w:szCs w:val="22"/>
          <w:rtl/>
        </w:rPr>
      </w:pPr>
      <w:r>
        <w:rPr>
          <w:rtl/>
        </w:rPr>
        <w:t>ביאור החוו"ד דהילפותא בנבילה שאינה ראויה לגר נצרכת רק להתירה אחר שחזר ותיקנה</w:t>
      </w:r>
    </w:p>
    <w:p w:rsidR="0013006A" w:rsidRDefault="0013006A" w:rsidP="0013006A">
      <w:pPr>
        <w:pStyle w:val="aff4"/>
        <w:rPr>
          <w:rFonts w:eastAsiaTheme="minorEastAsia" w:cstheme="minorBidi"/>
          <w:i/>
          <w:iCs/>
          <w:noProof/>
          <w:sz w:val="22"/>
          <w:szCs w:val="22"/>
          <w:rtl/>
        </w:rPr>
      </w:pPr>
      <w:r>
        <w:rPr>
          <w:noProof/>
          <w:rtl/>
        </w:rPr>
        <w:t>ביאור החוו"ד ברמב"ם דהיתר נבילה ונטל"פ נאמר אף בבב"ח</w:t>
      </w:r>
    </w:p>
    <w:p w:rsidR="0013006A" w:rsidRDefault="0013006A" w:rsidP="0013006A">
      <w:pPr>
        <w:pStyle w:val="aff2"/>
        <w:numPr>
          <w:ilvl w:val="0"/>
          <w:numId w:val="3"/>
        </w:numPr>
        <w:rPr>
          <w:rFonts w:eastAsiaTheme="minorEastAsia" w:cstheme="minorBidi"/>
          <w:sz w:val="22"/>
          <w:szCs w:val="22"/>
          <w:rtl/>
        </w:rPr>
      </w:pPr>
      <w:r>
        <w:rPr>
          <w:rtl/>
        </w:rPr>
        <w:t>הוכחת החוו"ד מהרמב"ם דבבשר וחלב שנפגמו לגמרי פקע האיסור כדילפינן מנבילה</w:t>
      </w:r>
    </w:p>
    <w:p w:rsidR="0013006A" w:rsidRDefault="0013006A" w:rsidP="0013006A">
      <w:pPr>
        <w:pStyle w:val="aff2"/>
        <w:numPr>
          <w:ilvl w:val="0"/>
          <w:numId w:val="3"/>
        </w:numPr>
        <w:rPr>
          <w:rFonts w:eastAsiaTheme="minorEastAsia" w:cstheme="minorBidi"/>
          <w:sz w:val="22"/>
          <w:szCs w:val="22"/>
          <w:rtl/>
        </w:rPr>
      </w:pPr>
      <w:r>
        <w:rPr>
          <w:rtl/>
        </w:rPr>
        <w:t>דברי החוו"ד דכיון דנטל"פ נלמד מנבילה א"כ ההיתר בבשר בחלב הוא אף בפגום במקצת</w:t>
      </w:r>
    </w:p>
    <w:p w:rsidR="0013006A" w:rsidRDefault="0013006A" w:rsidP="0013006A">
      <w:pPr>
        <w:pStyle w:val="aff2"/>
        <w:numPr>
          <w:ilvl w:val="0"/>
          <w:numId w:val="3"/>
        </w:numPr>
        <w:rPr>
          <w:rFonts w:eastAsiaTheme="minorEastAsia" w:cstheme="minorBidi"/>
          <w:sz w:val="22"/>
          <w:szCs w:val="22"/>
          <w:rtl/>
        </w:rPr>
      </w:pPr>
      <w:r>
        <w:rPr>
          <w:rtl/>
        </w:rPr>
        <w:t>דחיית האמרי ברוך דהא הרמב"ם לא כתב דבשר בחלב מותר גם כשאכלו חם</w:t>
      </w:r>
    </w:p>
    <w:p w:rsidR="0013006A" w:rsidRDefault="0013006A" w:rsidP="0013006A">
      <w:pPr>
        <w:pStyle w:val="aff4"/>
        <w:rPr>
          <w:rFonts w:eastAsiaTheme="minorEastAsia" w:cstheme="minorBidi"/>
          <w:i/>
          <w:iCs/>
          <w:noProof/>
          <w:sz w:val="22"/>
          <w:szCs w:val="22"/>
          <w:rtl/>
        </w:rPr>
      </w:pPr>
      <w:r>
        <w:rPr>
          <w:noProof/>
          <w:rtl/>
        </w:rPr>
        <w:t>דברי השאג"א דבנבילה לא חשיב אוכל ושלא כדרך חשיב אוכל</w:t>
      </w:r>
    </w:p>
    <w:p w:rsidR="0013006A" w:rsidRDefault="0013006A" w:rsidP="0013006A">
      <w:pPr>
        <w:pStyle w:val="aff2"/>
        <w:numPr>
          <w:ilvl w:val="0"/>
          <w:numId w:val="3"/>
        </w:numPr>
        <w:rPr>
          <w:rFonts w:eastAsiaTheme="minorEastAsia" w:cstheme="minorBidi"/>
          <w:sz w:val="22"/>
          <w:szCs w:val="22"/>
          <w:rtl/>
        </w:rPr>
      </w:pPr>
      <w:r>
        <w:rPr>
          <w:rtl/>
        </w:rPr>
        <w:t>דברי השאג"א דאוכל שאינו ראוי לאכילה הוא כעפר ושלא כדרך הנאתן חשיב איסור</w:t>
      </w:r>
    </w:p>
    <w:p w:rsidR="0013006A" w:rsidRDefault="0013006A" w:rsidP="0013006A">
      <w:pPr>
        <w:pStyle w:val="aff2"/>
        <w:numPr>
          <w:ilvl w:val="0"/>
          <w:numId w:val="3"/>
        </w:numPr>
        <w:rPr>
          <w:rFonts w:eastAsiaTheme="minorEastAsia" w:cstheme="minorBidi"/>
          <w:sz w:val="22"/>
          <w:szCs w:val="22"/>
          <w:rtl/>
        </w:rPr>
      </w:pPr>
      <w:r>
        <w:rPr>
          <w:rtl/>
        </w:rPr>
        <w:t>דברי השאג"א דכן מוכח מהא דבב"ח אסור בנטל"פ אעפ"י שהוא נלמד מנבילה</w:t>
      </w:r>
    </w:p>
    <w:p w:rsidR="0013006A" w:rsidRDefault="0013006A" w:rsidP="0013006A">
      <w:pPr>
        <w:pStyle w:val="aff4"/>
        <w:rPr>
          <w:rFonts w:eastAsiaTheme="minorEastAsia" w:cstheme="minorBidi"/>
          <w:i/>
          <w:iCs/>
          <w:noProof/>
          <w:sz w:val="22"/>
          <w:szCs w:val="22"/>
          <w:rtl/>
        </w:rPr>
      </w:pPr>
      <w:r>
        <w:rPr>
          <w:noProof/>
          <w:rtl/>
        </w:rPr>
        <w:t>דברי הפרמ"ג דבשר וחלב שנפגמו לגמרי חשיבי כעפר</w:t>
      </w:r>
    </w:p>
    <w:p w:rsidR="0013006A" w:rsidRDefault="0013006A" w:rsidP="0013006A">
      <w:pPr>
        <w:pStyle w:val="aff2"/>
        <w:numPr>
          <w:ilvl w:val="0"/>
          <w:numId w:val="3"/>
        </w:numPr>
        <w:rPr>
          <w:rFonts w:eastAsiaTheme="minorEastAsia" w:cstheme="minorBidi"/>
          <w:sz w:val="22"/>
          <w:szCs w:val="22"/>
          <w:rtl/>
        </w:rPr>
      </w:pPr>
      <w:r>
        <w:rPr>
          <w:rtl/>
        </w:rPr>
        <w:t>ספק הפרמ"ג בבשר בחלב שנפגם לגמרי כנבילה ונפל לתבשיל אי אוסרו או שהוא כעפר</w:t>
      </w:r>
    </w:p>
    <w:p w:rsidR="0013006A" w:rsidRDefault="0013006A" w:rsidP="0013006A">
      <w:pPr>
        <w:pStyle w:val="aff2"/>
        <w:numPr>
          <w:ilvl w:val="0"/>
          <w:numId w:val="3"/>
        </w:numPr>
        <w:rPr>
          <w:rFonts w:eastAsiaTheme="minorEastAsia" w:cstheme="minorBidi"/>
          <w:sz w:val="22"/>
          <w:szCs w:val="22"/>
          <w:rtl/>
        </w:rPr>
      </w:pPr>
      <w:r>
        <w:rPr>
          <w:rtl/>
        </w:rPr>
        <w:t>הוכחת הפרמ"ג מהרמב"ם דבשר בחלב שנפגמו לגמרי חשיבי כעפר</w:t>
      </w:r>
    </w:p>
    <w:p w:rsidR="0013006A" w:rsidRDefault="0013006A" w:rsidP="0013006A">
      <w:pPr>
        <w:pStyle w:val="aff4"/>
        <w:rPr>
          <w:rFonts w:eastAsiaTheme="minorEastAsia" w:cstheme="minorBidi"/>
          <w:i/>
          <w:iCs/>
          <w:noProof/>
          <w:sz w:val="22"/>
          <w:szCs w:val="22"/>
          <w:rtl/>
        </w:rPr>
      </w:pPr>
      <w:r>
        <w:rPr>
          <w:noProof/>
          <w:rtl/>
        </w:rPr>
        <w:t>דברי הפרמ"ג דנבילה שיבשה וחזרה ונימוחה בתבשיל אסורה</w:t>
      </w:r>
    </w:p>
    <w:p w:rsidR="0013006A" w:rsidRDefault="0013006A" w:rsidP="0013006A">
      <w:pPr>
        <w:pStyle w:val="aff2"/>
        <w:numPr>
          <w:ilvl w:val="0"/>
          <w:numId w:val="3"/>
        </w:numPr>
        <w:rPr>
          <w:rFonts w:eastAsiaTheme="minorEastAsia" w:cstheme="minorBidi"/>
          <w:sz w:val="22"/>
          <w:szCs w:val="22"/>
          <w:rtl/>
        </w:rPr>
      </w:pPr>
      <w:r>
        <w:rPr>
          <w:rtl/>
        </w:rPr>
        <w:t>דברי הפרמ"ג דבשר נבילה שיבש כעץ וחזר ונימוח בתבשיל אסור מדאו' כיון שנהנה</w:t>
      </w:r>
    </w:p>
    <w:p w:rsidR="0013006A" w:rsidRDefault="0013006A" w:rsidP="0013006A">
      <w:pPr>
        <w:pStyle w:val="aff4"/>
        <w:rPr>
          <w:rFonts w:eastAsiaTheme="minorEastAsia" w:cstheme="minorBidi"/>
          <w:i/>
          <w:iCs/>
          <w:noProof/>
          <w:sz w:val="22"/>
          <w:szCs w:val="22"/>
          <w:rtl/>
        </w:rPr>
      </w:pPr>
      <w:r>
        <w:rPr>
          <w:noProof/>
          <w:rtl/>
        </w:rPr>
        <w:t>דברי הגרעק"א דטע"כ בב"ח הוא ככל האיסורים ונטל"פ מותר</w:t>
      </w:r>
    </w:p>
    <w:p w:rsidR="0013006A" w:rsidRDefault="0013006A" w:rsidP="0013006A">
      <w:pPr>
        <w:pStyle w:val="aff2"/>
        <w:numPr>
          <w:ilvl w:val="0"/>
          <w:numId w:val="3"/>
        </w:numPr>
        <w:rPr>
          <w:rFonts w:eastAsiaTheme="minorEastAsia" w:cstheme="minorBidi"/>
          <w:sz w:val="22"/>
          <w:szCs w:val="22"/>
          <w:rtl/>
        </w:rPr>
      </w:pPr>
      <w:r>
        <w:rPr>
          <w:rtl/>
        </w:rPr>
        <w:t>דברי הגרעק"א דנטל"פ מותר בכלאים דאין דין טע"כ בטעם פגום בכל האיסורים וה"ה בכלאים</w:t>
      </w:r>
    </w:p>
    <w:p w:rsidR="0013006A" w:rsidRDefault="0013006A" w:rsidP="0013006A">
      <w:pPr>
        <w:pStyle w:val="aff2"/>
        <w:numPr>
          <w:ilvl w:val="0"/>
          <w:numId w:val="3"/>
        </w:numPr>
        <w:rPr>
          <w:rFonts w:eastAsiaTheme="minorEastAsia" w:cstheme="minorBidi"/>
          <w:sz w:val="22"/>
          <w:szCs w:val="22"/>
          <w:rtl/>
        </w:rPr>
      </w:pPr>
      <w:r>
        <w:rPr>
          <w:rtl/>
        </w:rPr>
        <w:t>קושית הגרעק"א דבבב"ח מפורש דטע"כ אסור והרי בב"ח אסור אף בשלא כדרך הנאתן</w:t>
      </w:r>
    </w:p>
    <w:p w:rsidR="0013006A" w:rsidRDefault="0013006A" w:rsidP="0013006A">
      <w:pPr>
        <w:pStyle w:val="aff2"/>
        <w:numPr>
          <w:ilvl w:val="0"/>
          <w:numId w:val="3"/>
        </w:numPr>
        <w:rPr>
          <w:rFonts w:eastAsiaTheme="minorEastAsia" w:cstheme="minorBidi"/>
          <w:sz w:val="22"/>
          <w:szCs w:val="22"/>
          <w:rtl/>
        </w:rPr>
      </w:pPr>
      <w:r>
        <w:rPr>
          <w:rtl/>
        </w:rPr>
        <w:t>דברי הגרעק"א דבב"ח שנתן טעם בהיתר אוסרו מדין טע"כ בכל האיסורים ולכן נטל"פ מותר</w:t>
      </w:r>
    </w:p>
    <w:p w:rsidR="0013006A" w:rsidRDefault="0013006A" w:rsidP="0013006A">
      <w:pPr>
        <w:pStyle w:val="aff4"/>
        <w:rPr>
          <w:rtl/>
        </w:rPr>
      </w:pPr>
      <w:r>
        <w:rPr>
          <w:rFonts w:hint="cs"/>
          <w:rtl/>
        </w:rPr>
        <w:t>דברי החזו"א דדבר מר שא"א להפרידו הוא כנבילה ומותר בב"ח</w:t>
      </w:r>
    </w:p>
    <w:p w:rsidR="0013006A" w:rsidRDefault="0013006A" w:rsidP="0013006A">
      <w:pPr>
        <w:pStyle w:val="aff2"/>
        <w:numPr>
          <w:ilvl w:val="0"/>
          <w:numId w:val="3"/>
        </w:numPr>
      </w:pPr>
      <w:r>
        <w:rPr>
          <w:rFonts w:hint="cs"/>
          <w:rtl/>
        </w:rPr>
        <w:t>ביאור החזו"א ברמב"ם דרק דבר מר אסור בבשר בחלב אבל הסריח מותר דהוא כעפר</w:t>
      </w:r>
    </w:p>
    <w:p w:rsidR="0013006A" w:rsidRPr="005A7506" w:rsidRDefault="0013006A" w:rsidP="0013006A">
      <w:pPr>
        <w:pStyle w:val="aff2"/>
        <w:numPr>
          <w:ilvl w:val="0"/>
          <w:numId w:val="3"/>
        </w:numPr>
      </w:pPr>
      <w:r>
        <w:rPr>
          <w:rFonts w:hint="cs"/>
          <w:rtl/>
        </w:rPr>
        <w:t>דברי החזו"א דדבר מר שא"א להפרידו מהאיסור חשיב כנבילה ומותר וכן נטל"פ מותר כנבילה</w:t>
      </w:r>
    </w:p>
    <w:p w:rsidR="0013006A" w:rsidRDefault="0013006A" w:rsidP="0013006A">
      <w:pPr>
        <w:pStyle w:val="aff4"/>
        <w:rPr>
          <w:rFonts w:eastAsiaTheme="minorEastAsia" w:cstheme="minorBidi"/>
          <w:i/>
          <w:iCs/>
          <w:noProof/>
          <w:sz w:val="22"/>
          <w:szCs w:val="22"/>
          <w:rtl/>
        </w:rPr>
      </w:pPr>
      <w:r>
        <w:rPr>
          <w:noProof/>
          <w:rtl/>
        </w:rPr>
        <w:t>ביאורי האחרונים בדין נטל"פ בבשר בחלב עצמם ולא בתערובת</w:t>
      </w:r>
    </w:p>
    <w:p w:rsidR="0013006A" w:rsidRDefault="0013006A" w:rsidP="0013006A">
      <w:pPr>
        <w:pStyle w:val="aff2"/>
        <w:numPr>
          <w:ilvl w:val="0"/>
          <w:numId w:val="3"/>
        </w:numPr>
        <w:rPr>
          <w:rFonts w:eastAsiaTheme="minorEastAsia" w:cstheme="minorBidi"/>
          <w:sz w:val="22"/>
          <w:szCs w:val="22"/>
          <w:rtl/>
        </w:rPr>
      </w:pPr>
      <w:r>
        <w:rPr>
          <w:rtl/>
        </w:rPr>
        <w:t>דברי ה</w:t>
      </w:r>
      <w:r w:rsidR="00250230">
        <w:rPr>
          <w:rtl/>
        </w:rPr>
        <w:t>פלתי</w:t>
      </w:r>
      <w:r>
        <w:rPr>
          <w:rtl/>
        </w:rPr>
        <w:t xml:space="preserve"> דרק לאחר שהבשר בחלב נאסר הוא אוסר בנותן טעם לפגם</w:t>
      </w:r>
    </w:p>
    <w:p w:rsidR="0013006A" w:rsidRDefault="0013006A" w:rsidP="0013006A">
      <w:pPr>
        <w:pStyle w:val="aff2"/>
        <w:numPr>
          <w:ilvl w:val="0"/>
          <w:numId w:val="3"/>
        </w:numPr>
        <w:rPr>
          <w:rFonts w:eastAsiaTheme="minorEastAsia" w:cstheme="minorBidi"/>
          <w:sz w:val="22"/>
          <w:szCs w:val="22"/>
          <w:rtl/>
        </w:rPr>
      </w:pPr>
      <w:r>
        <w:rPr>
          <w:rtl/>
        </w:rPr>
        <w:t>דברי הפרמ"ג דחיוב בב"ח בעירב דבר מר הוא רק אחר שנאסרו ולא בתחילת הבישול</w:t>
      </w:r>
    </w:p>
    <w:p w:rsidR="0013006A" w:rsidRDefault="0013006A" w:rsidP="0013006A">
      <w:pPr>
        <w:pStyle w:val="aff2"/>
        <w:numPr>
          <w:ilvl w:val="0"/>
          <w:numId w:val="3"/>
        </w:numPr>
        <w:rPr>
          <w:rFonts w:eastAsiaTheme="minorEastAsia" w:cstheme="minorBidi"/>
          <w:sz w:val="22"/>
          <w:szCs w:val="22"/>
          <w:rtl/>
        </w:rPr>
      </w:pPr>
      <w:r>
        <w:rPr>
          <w:rtl/>
        </w:rPr>
        <w:t>דברי הגרעק"א והחזו"א דבשר פגום שהתערב בחלב אינו נאסר מדין בשר בחלב</w:t>
      </w:r>
    </w:p>
    <w:p w:rsidR="0013006A" w:rsidRDefault="0013006A" w:rsidP="0013006A">
      <w:pPr>
        <w:pStyle w:val="2"/>
        <w:rPr>
          <w:rFonts w:eastAsiaTheme="minorEastAsia" w:cstheme="minorBidi"/>
          <w:i/>
          <w:iCs/>
          <w:sz w:val="22"/>
          <w:szCs w:val="22"/>
          <w:rtl/>
        </w:rPr>
      </w:pPr>
      <w:r>
        <w:rPr>
          <w:rtl/>
        </w:rPr>
        <w:t>ביאורי ראשי הישיבות</w:t>
      </w:r>
    </w:p>
    <w:p w:rsidR="0013006A" w:rsidRDefault="0013006A" w:rsidP="0013006A">
      <w:pPr>
        <w:pStyle w:val="2"/>
        <w:rPr>
          <w:rFonts w:eastAsiaTheme="minorEastAsia" w:cstheme="minorBidi"/>
          <w:i/>
          <w:iCs/>
          <w:sz w:val="22"/>
          <w:szCs w:val="22"/>
          <w:rtl/>
        </w:rPr>
      </w:pPr>
      <w:r>
        <w:rPr>
          <w:rtl/>
        </w:rPr>
        <w:t>חקירת הגר"ח בגדר אינו ראוי לגר</w:t>
      </w:r>
    </w:p>
    <w:p w:rsidR="0013006A" w:rsidRDefault="0013006A" w:rsidP="0013006A">
      <w:pPr>
        <w:pStyle w:val="aff4"/>
        <w:rPr>
          <w:rFonts w:eastAsiaTheme="minorEastAsia" w:cstheme="minorBidi"/>
          <w:i/>
          <w:iCs/>
          <w:noProof/>
          <w:sz w:val="22"/>
          <w:szCs w:val="22"/>
          <w:rtl/>
        </w:rPr>
      </w:pPr>
      <w:r>
        <w:rPr>
          <w:noProof/>
          <w:rtl/>
        </w:rPr>
        <w:t>חקירת הגר"ח בגדר ההיתר דנבילה שאינה ראויה לגר</w:t>
      </w:r>
    </w:p>
    <w:p w:rsidR="0013006A" w:rsidRDefault="0013006A" w:rsidP="0013006A">
      <w:pPr>
        <w:pStyle w:val="aff2"/>
        <w:numPr>
          <w:ilvl w:val="0"/>
          <w:numId w:val="3"/>
        </w:numPr>
        <w:rPr>
          <w:rFonts w:eastAsiaTheme="minorEastAsia" w:cstheme="minorBidi"/>
          <w:sz w:val="22"/>
          <w:szCs w:val="22"/>
          <w:rtl/>
        </w:rPr>
      </w:pPr>
      <w:r>
        <w:rPr>
          <w:rtl/>
        </w:rPr>
        <w:t>הצד הא' בגר"ח דבאינה ראויה לגר פקע מהחפצא של הנבילה שם נבילה ולכן מותרת</w:t>
      </w:r>
    </w:p>
    <w:p w:rsidR="0013006A" w:rsidRDefault="0013006A" w:rsidP="0013006A">
      <w:pPr>
        <w:pStyle w:val="aff2"/>
        <w:numPr>
          <w:ilvl w:val="0"/>
          <w:numId w:val="3"/>
        </w:numPr>
        <w:rPr>
          <w:rFonts w:eastAsiaTheme="minorEastAsia" w:cstheme="minorBidi"/>
          <w:sz w:val="22"/>
          <w:szCs w:val="22"/>
          <w:rtl/>
        </w:rPr>
      </w:pPr>
      <w:r>
        <w:rPr>
          <w:rtl/>
        </w:rPr>
        <w:t>הצד הב' בגר"ח דבאינה ראויה לגר מותר כיון דדבר שאינו ראוי לאכילה אין בו איסור אכילה</w:t>
      </w:r>
    </w:p>
    <w:p w:rsidR="0013006A" w:rsidRDefault="0013006A" w:rsidP="0013006A">
      <w:pPr>
        <w:pStyle w:val="2"/>
        <w:rPr>
          <w:rFonts w:eastAsiaTheme="minorEastAsia" w:cstheme="minorBidi"/>
          <w:i/>
          <w:iCs/>
          <w:sz w:val="22"/>
          <w:szCs w:val="22"/>
          <w:rtl/>
        </w:rPr>
      </w:pPr>
      <w:r>
        <w:rPr>
          <w:rtl/>
        </w:rPr>
        <w:t>ביאור הגר"ח בגדר היתר נבילה לרמב"ם</w:t>
      </w:r>
    </w:p>
    <w:p w:rsidR="0013006A" w:rsidRDefault="0013006A" w:rsidP="0013006A">
      <w:pPr>
        <w:pStyle w:val="aff4"/>
        <w:rPr>
          <w:rFonts w:eastAsiaTheme="minorEastAsia" w:cstheme="minorBidi"/>
          <w:i/>
          <w:iCs/>
          <w:noProof/>
          <w:sz w:val="22"/>
          <w:szCs w:val="22"/>
          <w:rtl/>
        </w:rPr>
      </w:pPr>
      <w:r>
        <w:rPr>
          <w:noProof/>
          <w:rtl/>
        </w:rPr>
        <w:t>ביאור הגר"ח דהיתר החפצא בנבילה הוא מדין אכילה</w:t>
      </w:r>
    </w:p>
    <w:p w:rsidR="0013006A" w:rsidRDefault="0013006A" w:rsidP="0013006A">
      <w:pPr>
        <w:pStyle w:val="aff2"/>
        <w:numPr>
          <w:ilvl w:val="0"/>
          <w:numId w:val="3"/>
        </w:numPr>
        <w:rPr>
          <w:rFonts w:eastAsiaTheme="minorEastAsia" w:cstheme="minorBidi"/>
          <w:sz w:val="22"/>
          <w:szCs w:val="22"/>
          <w:rtl/>
        </w:rPr>
      </w:pPr>
      <w:r>
        <w:rPr>
          <w:rtl/>
        </w:rPr>
        <w:t>דברי הגר"ח דמוכח ברמב"ם דבבב"ח דחייב בשלא כדרך הנאתן חייב אף כשאינו ראוי לגר</w:t>
      </w:r>
    </w:p>
    <w:p w:rsidR="0013006A" w:rsidRDefault="0013006A" w:rsidP="0013006A">
      <w:pPr>
        <w:pStyle w:val="aff2"/>
        <w:numPr>
          <w:ilvl w:val="0"/>
          <w:numId w:val="3"/>
        </w:numPr>
        <w:rPr>
          <w:rFonts w:eastAsiaTheme="minorEastAsia" w:cstheme="minorBidi"/>
          <w:sz w:val="22"/>
          <w:szCs w:val="22"/>
          <w:rtl/>
        </w:rPr>
      </w:pPr>
      <w:r>
        <w:rPr>
          <w:rtl/>
        </w:rPr>
        <w:t>קושית הגר"ח דבאינו ראוי לגר הוא היתר בחפצא של האיסור ולא דמי לשלא כדרך הנאתן</w:t>
      </w:r>
    </w:p>
    <w:p w:rsidR="0013006A" w:rsidRDefault="0013006A" w:rsidP="0013006A">
      <w:pPr>
        <w:pStyle w:val="aff2"/>
        <w:numPr>
          <w:ilvl w:val="0"/>
          <w:numId w:val="3"/>
        </w:numPr>
        <w:rPr>
          <w:rFonts w:eastAsiaTheme="minorEastAsia" w:cstheme="minorBidi"/>
          <w:sz w:val="22"/>
          <w:szCs w:val="22"/>
          <w:rtl/>
        </w:rPr>
      </w:pPr>
      <w:r>
        <w:rPr>
          <w:rtl/>
        </w:rPr>
        <w:t>ביאור הגר"ח ברמב"ם דההיתר בחפצא בלא ראוי לגר הוא רק לגבי איסור אכילה ולא בהנאה</w:t>
      </w:r>
    </w:p>
    <w:p w:rsidR="0013006A" w:rsidRDefault="0013006A" w:rsidP="0013006A">
      <w:pPr>
        <w:pStyle w:val="aff2"/>
        <w:numPr>
          <w:ilvl w:val="0"/>
          <w:numId w:val="3"/>
        </w:numPr>
        <w:rPr>
          <w:rFonts w:eastAsiaTheme="minorEastAsia" w:cstheme="minorBidi"/>
          <w:sz w:val="22"/>
          <w:szCs w:val="22"/>
          <w:rtl/>
        </w:rPr>
      </w:pPr>
      <w:r>
        <w:rPr>
          <w:rtl/>
        </w:rPr>
        <w:t>ביאור הגר"ח דיסוד ההיתר בנבילה הוא דלא ראוי לאכילה ובבב"ח חייב שלא בדרך אכילה</w:t>
      </w:r>
    </w:p>
    <w:p w:rsidR="0013006A" w:rsidRDefault="0013006A" w:rsidP="0013006A">
      <w:pPr>
        <w:pStyle w:val="aff4"/>
        <w:rPr>
          <w:rFonts w:eastAsiaTheme="minorEastAsia" w:cstheme="minorBidi"/>
          <w:i/>
          <w:iCs/>
          <w:noProof/>
          <w:sz w:val="22"/>
          <w:szCs w:val="22"/>
          <w:rtl/>
        </w:rPr>
      </w:pPr>
      <w:r>
        <w:rPr>
          <w:noProof/>
          <w:rtl/>
        </w:rPr>
        <w:t>קושית הגר"ח דנטל"פ מותר בב"ח אעפ"י דהוא  נלמד מנבילה</w:t>
      </w:r>
    </w:p>
    <w:p w:rsidR="0013006A" w:rsidRDefault="0013006A" w:rsidP="0013006A">
      <w:pPr>
        <w:pStyle w:val="aff2"/>
        <w:numPr>
          <w:ilvl w:val="0"/>
          <w:numId w:val="3"/>
        </w:numPr>
        <w:rPr>
          <w:rFonts w:eastAsiaTheme="minorEastAsia" w:cstheme="minorBidi"/>
          <w:sz w:val="22"/>
          <w:szCs w:val="22"/>
          <w:rtl/>
        </w:rPr>
      </w:pPr>
      <w:r>
        <w:rPr>
          <w:rtl/>
        </w:rPr>
        <w:t>קושיות הגר"ח דמפורש ברמב"ם דנטל"פ מותר בבב"ח והרי נטל"פ נלמד מנבילה שאינו בב"ח</w:t>
      </w:r>
    </w:p>
    <w:p w:rsidR="0013006A" w:rsidRDefault="0013006A" w:rsidP="0013006A">
      <w:pPr>
        <w:pStyle w:val="aff4"/>
        <w:rPr>
          <w:rFonts w:eastAsiaTheme="minorEastAsia" w:cstheme="minorBidi"/>
          <w:i/>
          <w:iCs/>
          <w:noProof/>
          <w:sz w:val="22"/>
          <w:szCs w:val="22"/>
          <w:rtl/>
        </w:rPr>
      </w:pPr>
      <w:r>
        <w:rPr>
          <w:noProof/>
          <w:rtl/>
        </w:rPr>
        <w:t>ביאור הגר"ח ברמב"ם דטע"כ בב"ח הוא תלוי באיסור אכילה</w:t>
      </w:r>
    </w:p>
    <w:p w:rsidR="0013006A" w:rsidRDefault="0013006A" w:rsidP="0013006A">
      <w:pPr>
        <w:pStyle w:val="aff2"/>
        <w:numPr>
          <w:ilvl w:val="0"/>
          <w:numId w:val="3"/>
        </w:numPr>
        <w:rPr>
          <w:rFonts w:eastAsiaTheme="minorEastAsia" w:cstheme="minorBidi"/>
          <w:sz w:val="22"/>
          <w:szCs w:val="22"/>
          <w:rtl/>
        </w:rPr>
      </w:pPr>
      <w:r>
        <w:rPr>
          <w:rtl/>
        </w:rPr>
        <w:t>ביאור הגר"ח דרק גוף בב"ח אסור באינו ראוי לגר אך נטל"פ מותר בב"ח מדין טע"כ</w:t>
      </w:r>
    </w:p>
    <w:p w:rsidR="0013006A" w:rsidRDefault="0013006A" w:rsidP="0013006A">
      <w:pPr>
        <w:pStyle w:val="aff2"/>
        <w:numPr>
          <w:ilvl w:val="0"/>
          <w:numId w:val="3"/>
        </w:numPr>
        <w:rPr>
          <w:rFonts w:eastAsiaTheme="minorEastAsia" w:cstheme="minorBidi"/>
          <w:sz w:val="22"/>
          <w:szCs w:val="22"/>
          <w:rtl/>
        </w:rPr>
      </w:pPr>
      <w:r>
        <w:rPr>
          <w:rtl/>
        </w:rPr>
        <w:t>ביאור הגר"ח דין טע"כ הוא רק באיסור אכילה וכשפקע האיסור מהחפצא לא שייך טע"כ</w:t>
      </w:r>
    </w:p>
    <w:p w:rsidR="0013006A" w:rsidRDefault="0013006A" w:rsidP="0013006A">
      <w:pPr>
        <w:pStyle w:val="aff2"/>
        <w:numPr>
          <w:ilvl w:val="0"/>
          <w:numId w:val="3"/>
        </w:numPr>
        <w:rPr>
          <w:rFonts w:eastAsiaTheme="minorEastAsia" w:cstheme="minorBidi"/>
          <w:sz w:val="22"/>
          <w:szCs w:val="22"/>
          <w:rtl/>
        </w:rPr>
      </w:pPr>
      <w:r>
        <w:rPr>
          <w:rtl/>
        </w:rPr>
        <w:t>ביאור הגר"ח דאף בבב"ח טע"כ אסור רק מדין אכילה ובאינו ראוי לגר פקע איסור אכילה</w:t>
      </w:r>
    </w:p>
    <w:p w:rsidR="0013006A" w:rsidRDefault="0013006A" w:rsidP="0013006A">
      <w:pPr>
        <w:pStyle w:val="aff2"/>
        <w:numPr>
          <w:ilvl w:val="0"/>
          <w:numId w:val="3"/>
        </w:numPr>
        <w:rPr>
          <w:rFonts w:eastAsiaTheme="minorEastAsia" w:cstheme="minorBidi"/>
          <w:sz w:val="22"/>
          <w:szCs w:val="22"/>
          <w:rtl/>
        </w:rPr>
      </w:pPr>
      <w:r>
        <w:rPr>
          <w:rtl/>
        </w:rPr>
        <w:t>דברי הגר"ח דבתערובת האיסור בב"ח הוא רק מדין טע"כ דהוא איסור אכילה ומותר בלא ראוי</w:t>
      </w:r>
    </w:p>
    <w:p w:rsidR="0013006A" w:rsidRDefault="0013006A" w:rsidP="0013006A">
      <w:pPr>
        <w:pStyle w:val="aff2"/>
        <w:numPr>
          <w:ilvl w:val="0"/>
          <w:numId w:val="3"/>
        </w:numPr>
        <w:rPr>
          <w:rFonts w:eastAsiaTheme="minorEastAsia" w:cstheme="minorBidi"/>
          <w:sz w:val="22"/>
          <w:szCs w:val="22"/>
          <w:rtl/>
        </w:rPr>
      </w:pPr>
      <w:r>
        <w:rPr>
          <w:rtl/>
        </w:rPr>
        <w:t>ביאור הגר"ח ברמב"ם דנטל"פ מותר בב"ח כיון דנטל"פ נלמד מנבילה שהוא דין באכילה</w:t>
      </w:r>
    </w:p>
    <w:p w:rsidR="0013006A" w:rsidRDefault="0013006A" w:rsidP="0013006A">
      <w:pPr>
        <w:pStyle w:val="aff2"/>
        <w:numPr>
          <w:ilvl w:val="0"/>
          <w:numId w:val="3"/>
        </w:numPr>
        <w:rPr>
          <w:rFonts w:eastAsiaTheme="minorEastAsia" w:cstheme="minorBidi"/>
          <w:sz w:val="22"/>
          <w:szCs w:val="22"/>
          <w:rtl/>
        </w:rPr>
      </w:pPr>
      <w:r>
        <w:rPr>
          <w:rtl/>
        </w:rPr>
        <w:t>ביאור הגר"ח דכל שאין לו שם אוכל לא נאמר בו טע"כ ובאינו ראוי לאכילה לא שייך  טע"כ</w:t>
      </w:r>
    </w:p>
    <w:p w:rsidR="0013006A" w:rsidRDefault="0013006A" w:rsidP="0013006A">
      <w:pPr>
        <w:pStyle w:val="aff4"/>
        <w:rPr>
          <w:rFonts w:eastAsiaTheme="minorEastAsia" w:cstheme="minorBidi"/>
          <w:i/>
          <w:iCs/>
          <w:noProof/>
          <w:sz w:val="22"/>
          <w:szCs w:val="22"/>
          <w:rtl/>
        </w:rPr>
      </w:pPr>
      <w:r>
        <w:rPr>
          <w:noProof/>
          <w:rtl/>
        </w:rPr>
        <w:t>הוכחת הגר"ח מהרשב"א והר"ן דאינו ראוי לגר הוא דין באכילה</w:t>
      </w:r>
    </w:p>
    <w:p w:rsidR="0013006A" w:rsidRDefault="0013006A" w:rsidP="0013006A">
      <w:pPr>
        <w:pStyle w:val="aff2"/>
        <w:numPr>
          <w:ilvl w:val="0"/>
          <w:numId w:val="3"/>
        </w:numPr>
        <w:rPr>
          <w:rFonts w:eastAsiaTheme="minorEastAsia" w:cstheme="minorBidi"/>
          <w:sz w:val="22"/>
          <w:szCs w:val="22"/>
          <w:rtl/>
        </w:rPr>
      </w:pPr>
      <w:r>
        <w:rPr>
          <w:rtl/>
        </w:rPr>
        <w:t>דברי הגר"ח דאי היתר אינו ראוי לגר הוא היתר בחפצא של האיסור פגום במקצת אסור</w:t>
      </w:r>
    </w:p>
    <w:p w:rsidR="0013006A" w:rsidRDefault="0013006A" w:rsidP="0013006A">
      <w:pPr>
        <w:pStyle w:val="aff2"/>
        <w:numPr>
          <w:ilvl w:val="0"/>
          <w:numId w:val="3"/>
        </w:numPr>
        <w:rPr>
          <w:rFonts w:eastAsiaTheme="minorEastAsia" w:cstheme="minorBidi"/>
          <w:sz w:val="22"/>
          <w:szCs w:val="22"/>
          <w:rtl/>
        </w:rPr>
      </w:pPr>
      <w:r>
        <w:rPr>
          <w:rtl/>
        </w:rPr>
        <w:t>דברי הגר"ח דאי בנבילה פקע ממנה שם נבילה א"א להתיר בפגום במקצת דלא פקע האיסור</w:t>
      </w:r>
    </w:p>
    <w:p w:rsidR="0013006A" w:rsidRDefault="0013006A" w:rsidP="0013006A">
      <w:pPr>
        <w:pStyle w:val="aff2"/>
        <w:numPr>
          <w:ilvl w:val="0"/>
          <w:numId w:val="3"/>
        </w:numPr>
        <w:rPr>
          <w:rFonts w:eastAsiaTheme="minorEastAsia" w:cstheme="minorBidi"/>
          <w:sz w:val="22"/>
          <w:szCs w:val="22"/>
          <w:rtl/>
        </w:rPr>
      </w:pPr>
      <w:r>
        <w:rPr>
          <w:rtl/>
        </w:rPr>
        <w:t>דברי הגר"ח דמוכח ברשב"א ובר"ן דאינו ראוי לגר נאמר בדין טע"כ ולכן פגום במקצת מותר</w:t>
      </w:r>
    </w:p>
    <w:p w:rsidR="0013006A" w:rsidRDefault="0013006A" w:rsidP="0013006A">
      <w:pPr>
        <w:pStyle w:val="aff2"/>
        <w:numPr>
          <w:ilvl w:val="0"/>
          <w:numId w:val="3"/>
        </w:numPr>
        <w:rPr>
          <w:rFonts w:eastAsiaTheme="minorEastAsia" w:cstheme="minorBidi"/>
          <w:sz w:val="22"/>
          <w:szCs w:val="22"/>
          <w:rtl/>
        </w:rPr>
      </w:pPr>
      <w:r>
        <w:rPr>
          <w:rtl/>
        </w:rPr>
        <w:t>הוכחת הגר"ח מהרשב"א והר"ן דהיתר נבילה הוא באיסור אכילה ולכן אף פגום במקצת מותר</w:t>
      </w:r>
    </w:p>
    <w:p w:rsidR="0013006A" w:rsidRDefault="0013006A" w:rsidP="0013006A">
      <w:pPr>
        <w:pStyle w:val="aff2"/>
        <w:numPr>
          <w:ilvl w:val="0"/>
          <w:numId w:val="3"/>
        </w:numPr>
        <w:rPr>
          <w:rFonts w:eastAsiaTheme="minorEastAsia" w:cstheme="minorBidi"/>
          <w:sz w:val="22"/>
          <w:szCs w:val="22"/>
          <w:rtl/>
        </w:rPr>
      </w:pPr>
      <w:r>
        <w:rPr>
          <w:rtl/>
        </w:rPr>
        <w:t>ביאור הגר"ח ברמב"ם דבטע"כ שאינו ראוי פקע האיסור ולכן נטל"פ מותר אף בב"ח</w:t>
      </w:r>
    </w:p>
    <w:p w:rsidR="0013006A" w:rsidRDefault="0013006A" w:rsidP="0013006A">
      <w:pPr>
        <w:pStyle w:val="aff2"/>
        <w:numPr>
          <w:ilvl w:val="0"/>
          <w:numId w:val="3"/>
        </w:numPr>
        <w:rPr>
          <w:rFonts w:eastAsiaTheme="minorEastAsia" w:cstheme="minorBidi"/>
          <w:sz w:val="22"/>
          <w:szCs w:val="22"/>
          <w:rtl/>
        </w:rPr>
      </w:pPr>
      <w:r>
        <w:rPr>
          <w:rtl/>
        </w:rPr>
        <w:t>ביאור הגר"ח דשלא כדרך הנאתן ואינו ראוי לגר נאמרו באיסור אכילה ולכן עירבם הרמב"ם</w:t>
      </w:r>
    </w:p>
    <w:p w:rsidR="0013006A" w:rsidRDefault="0013006A" w:rsidP="0013006A">
      <w:pPr>
        <w:pStyle w:val="2"/>
        <w:rPr>
          <w:rFonts w:eastAsiaTheme="minorEastAsia" w:cstheme="minorBidi"/>
          <w:i/>
          <w:iCs/>
          <w:sz w:val="22"/>
          <w:szCs w:val="22"/>
          <w:rtl/>
        </w:rPr>
      </w:pPr>
      <w:r>
        <w:rPr>
          <w:rtl/>
        </w:rPr>
        <w:t>דברי הקה"י בגדר אינו ראוי לגר ונטל"פ</w:t>
      </w:r>
    </w:p>
    <w:p w:rsidR="0013006A" w:rsidRDefault="0013006A" w:rsidP="0013006A">
      <w:pPr>
        <w:pStyle w:val="aff4"/>
        <w:rPr>
          <w:rFonts w:eastAsiaTheme="minorEastAsia" w:cstheme="minorBidi"/>
          <w:i/>
          <w:iCs/>
          <w:noProof/>
          <w:sz w:val="22"/>
          <w:szCs w:val="22"/>
          <w:rtl/>
        </w:rPr>
      </w:pPr>
      <w:r>
        <w:rPr>
          <w:noProof/>
          <w:rtl/>
        </w:rPr>
        <w:t>דברי הקה"י דחיוב בב"ח הוא רק בהנאת מעיו ולא בטעם פגום</w:t>
      </w:r>
    </w:p>
    <w:p w:rsidR="0013006A" w:rsidRDefault="0013006A" w:rsidP="0013006A">
      <w:pPr>
        <w:pStyle w:val="aff2"/>
        <w:numPr>
          <w:ilvl w:val="0"/>
          <w:numId w:val="3"/>
        </w:numPr>
        <w:rPr>
          <w:rFonts w:eastAsiaTheme="minorEastAsia" w:cstheme="minorBidi"/>
          <w:sz w:val="22"/>
          <w:szCs w:val="22"/>
          <w:rtl/>
        </w:rPr>
      </w:pPr>
      <w:r>
        <w:rPr>
          <w:rtl/>
        </w:rPr>
        <w:t>דברי הקה"י דאף דמוכח דנטל"פ מותר בב"ח מ"מ קשה דהרי דחיוב בב"ח הוא אף שלא נהנה</w:t>
      </w:r>
    </w:p>
    <w:p w:rsidR="0013006A" w:rsidRDefault="0013006A" w:rsidP="0013006A">
      <w:pPr>
        <w:pStyle w:val="aff2"/>
        <w:numPr>
          <w:ilvl w:val="0"/>
          <w:numId w:val="3"/>
        </w:numPr>
        <w:rPr>
          <w:rFonts w:eastAsiaTheme="minorEastAsia" w:cstheme="minorBidi"/>
          <w:sz w:val="22"/>
          <w:szCs w:val="22"/>
          <w:rtl/>
        </w:rPr>
      </w:pPr>
      <w:r>
        <w:rPr>
          <w:rtl/>
        </w:rPr>
        <w:t>ביאור הקה"י ברשב"א דבפגום אין דין טע"כ וא"כ אף שאינו כדרך הנאתן אין איסור טע"כ</w:t>
      </w:r>
    </w:p>
    <w:p w:rsidR="0013006A" w:rsidRDefault="0013006A" w:rsidP="0013006A">
      <w:pPr>
        <w:pStyle w:val="aff2"/>
        <w:numPr>
          <w:ilvl w:val="0"/>
          <w:numId w:val="3"/>
        </w:numPr>
        <w:rPr>
          <w:rFonts w:eastAsiaTheme="minorEastAsia" w:cstheme="minorBidi"/>
          <w:sz w:val="22"/>
          <w:szCs w:val="22"/>
          <w:rtl/>
        </w:rPr>
      </w:pPr>
      <w:r>
        <w:rPr>
          <w:rtl/>
        </w:rPr>
        <w:t>קושית הקה"י על הר"ן דהיתר נטל"פ דאינו נהנה והרי בב"ח חייב אף שלא כדרך הנאתן</w:t>
      </w:r>
    </w:p>
    <w:p w:rsidR="0013006A" w:rsidRDefault="0013006A" w:rsidP="0013006A">
      <w:pPr>
        <w:pStyle w:val="aff2"/>
        <w:numPr>
          <w:ilvl w:val="0"/>
          <w:numId w:val="3"/>
        </w:numPr>
        <w:rPr>
          <w:rFonts w:eastAsiaTheme="minorEastAsia" w:cstheme="minorBidi"/>
          <w:sz w:val="22"/>
          <w:szCs w:val="22"/>
          <w:rtl/>
        </w:rPr>
      </w:pPr>
      <w:r>
        <w:rPr>
          <w:rtl/>
        </w:rPr>
        <w:t>ביאור הקה"י בר"ן חיוב בב"ח הוא רק בממשו שנהנה במעיו ולא בטעמו שאין כל הנאה</w:t>
      </w:r>
    </w:p>
    <w:p w:rsidR="0013006A" w:rsidRDefault="0013006A" w:rsidP="0013006A">
      <w:pPr>
        <w:pStyle w:val="aff2"/>
        <w:numPr>
          <w:ilvl w:val="0"/>
          <w:numId w:val="3"/>
        </w:numPr>
        <w:rPr>
          <w:rFonts w:eastAsiaTheme="minorEastAsia" w:cstheme="minorBidi"/>
          <w:sz w:val="22"/>
          <w:szCs w:val="22"/>
          <w:rtl/>
        </w:rPr>
      </w:pPr>
      <w:r>
        <w:rPr>
          <w:rtl/>
        </w:rPr>
        <w:t>קושית הקה"י על החוו"ד דבנטל"פ לא פקע האיסור ומותר דאינו נהנה והרי בב"ח חייב בלא נהנה</w:t>
      </w:r>
    </w:p>
    <w:p w:rsidR="0013006A" w:rsidRDefault="0013006A" w:rsidP="0013006A">
      <w:pPr>
        <w:pStyle w:val="aff4"/>
        <w:rPr>
          <w:rFonts w:eastAsiaTheme="minorEastAsia" w:cstheme="minorBidi"/>
          <w:i/>
          <w:iCs/>
          <w:noProof/>
          <w:sz w:val="22"/>
          <w:szCs w:val="22"/>
          <w:rtl/>
        </w:rPr>
      </w:pPr>
      <w:r>
        <w:rPr>
          <w:noProof/>
          <w:rtl/>
        </w:rPr>
        <w:t>דברי הקה"י בפסחים דחיוב בב"ח הוא במעשה האכילה בעין</w:t>
      </w:r>
    </w:p>
    <w:p w:rsidR="0013006A" w:rsidRDefault="0013006A" w:rsidP="0013006A">
      <w:pPr>
        <w:pStyle w:val="aff2"/>
        <w:numPr>
          <w:ilvl w:val="0"/>
          <w:numId w:val="3"/>
        </w:numPr>
        <w:rPr>
          <w:rFonts w:eastAsiaTheme="minorEastAsia" w:cstheme="minorBidi"/>
          <w:sz w:val="22"/>
          <w:szCs w:val="22"/>
          <w:rtl/>
        </w:rPr>
      </w:pPr>
      <w:r>
        <w:rPr>
          <w:rtl/>
        </w:rPr>
        <w:t>דברי הקה"י דמנבילה ילפינן גם דפקע האיסור וגם דאיסור שאינו נהנה באכילתו פטור</w:t>
      </w:r>
    </w:p>
    <w:p w:rsidR="0013006A" w:rsidRDefault="0013006A" w:rsidP="0013006A">
      <w:pPr>
        <w:pStyle w:val="aff2"/>
        <w:numPr>
          <w:ilvl w:val="0"/>
          <w:numId w:val="3"/>
        </w:numPr>
        <w:rPr>
          <w:rFonts w:eastAsiaTheme="minorEastAsia" w:cstheme="minorBidi"/>
          <w:sz w:val="22"/>
          <w:szCs w:val="22"/>
          <w:rtl/>
        </w:rPr>
      </w:pPr>
      <w:r>
        <w:rPr>
          <w:rtl/>
        </w:rPr>
        <w:t>קושית הקה"י דכיון דנטל"פ נלמד מנבילה דהא אינו נהנה א"כ בב"ח צריך לחייב בנטל"פ</w:t>
      </w:r>
    </w:p>
    <w:p w:rsidR="0013006A" w:rsidRDefault="0013006A" w:rsidP="0013006A">
      <w:pPr>
        <w:pStyle w:val="aff2"/>
        <w:numPr>
          <w:ilvl w:val="0"/>
          <w:numId w:val="3"/>
        </w:numPr>
        <w:rPr>
          <w:rFonts w:eastAsiaTheme="minorEastAsia" w:cstheme="minorBidi"/>
          <w:sz w:val="22"/>
          <w:szCs w:val="22"/>
          <w:rtl/>
        </w:rPr>
      </w:pPr>
      <w:r>
        <w:rPr>
          <w:rtl/>
        </w:rPr>
        <w:t>קושית הקה"י על החוו"ד דעירב דבר מר הוא כנטל"פ ואפ"ה כתב הרמב"ם דחייב בב"ח</w:t>
      </w:r>
    </w:p>
    <w:p w:rsidR="0013006A" w:rsidRDefault="0013006A" w:rsidP="0013006A">
      <w:pPr>
        <w:pStyle w:val="aff2"/>
        <w:numPr>
          <w:ilvl w:val="0"/>
          <w:numId w:val="3"/>
        </w:numPr>
        <w:rPr>
          <w:rFonts w:eastAsiaTheme="minorEastAsia" w:cstheme="minorBidi"/>
          <w:sz w:val="22"/>
          <w:szCs w:val="22"/>
          <w:rtl/>
        </w:rPr>
      </w:pPr>
      <w:r>
        <w:rPr>
          <w:rtl/>
        </w:rPr>
        <w:t>ביאור הקה"י דחיוב בב"ח הוא במעשה האכילה אף שאינו נהנה בטעם</w:t>
      </w:r>
    </w:p>
    <w:p w:rsidR="0013006A" w:rsidRDefault="0013006A" w:rsidP="0013006A">
      <w:pPr>
        <w:pStyle w:val="aff2"/>
        <w:numPr>
          <w:ilvl w:val="0"/>
          <w:numId w:val="3"/>
        </w:numPr>
        <w:rPr>
          <w:rFonts w:eastAsiaTheme="minorEastAsia" w:cstheme="minorBidi"/>
          <w:sz w:val="22"/>
          <w:szCs w:val="22"/>
          <w:rtl/>
        </w:rPr>
      </w:pPr>
      <w:r>
        <w:rPr>
          <w:rtl/>
        </w:rPr>
        <w:t>ביאור הקה"י דבטעם בתערובת אף בב"ח חיובו מדין טע"כ וטעם פגום אינו טעם ונטל"פ מותר</w:t>
      </w:r>
    </w:p>
    <w:p w:rsidR="0013006A" w:rsidRDefault="0013006A" w:rsidP="0013006A">
      <w:pPr>
        <w:pStyle w:val="aff4"/>
        <w:rPr>
          <w:rFonts w:eastAsiaTheme="minorEastAsia" w:cstheme="minorBidi"/>
          <w:i/>
          <w:iCs/>
          <w:noProof/>
          <w:sz w:val="22"/>
          <w:szCs w:val="22"/>
          <w:rtl/>
        </w:rPr>
      </w:pPr>
      <w:r>
        <w:rPr>
          <w:noProof/>
          <w:rtl/>
        </w:rPr>
        <w:t>דברי האבי עזרי דנטל"פ ואינו ראוי לגר מותר בב"ח דאינו אוכל</w:t>
      </w:r>
    </w:p>
    <w:p w:rsidR="0013006A" w:rsidRDefault="0013006A" w:rsidP="0013006A">
      <w:pPr>
        <w:pStyle w:val="aff2"/>
        <w:numPr>
          <w:ilvl w:val="0"/>
          <w:numId w:val="3"/>
        </w:numPr>
        <w:rPr>
          <w:rFonts w:eastAsiaTheme="minorEastAsia" w:cstheme="minorBidi"/>
          <w:sz w:val="22"/>
          <w:szCs w:val="22"/>
          <w:rtl/>
        </w:rPr>
      </w:pPr>
      <w:r>
        <w:rPr>
          <w:rtl/>
        </w:rPr>
        <w:t>דברי האבי עזרי דכל ההיתר באינו ראוי לגר הוא מכח דין דאכילה בלא הנאה אינה אכילה</w:t>
      </w:r>
    </w:p>
    <w:p w:rsidR="0013006A" w:rsidRDefault="0013006A" w:rsidP="0013006A">
      <w:pPr>
        <w:pStyle w:val="aff2"/>
        <w:numPr>
          <w:ilvl w:val="0"/>
          <w:numId w:val="3"/>
        </w:numPr>
        <w:rPr>
          <w:rFonts w:eastAsiaTheme="minorEastAsia" w:cstheme="minorBidi"/>
          <w:sz w:val="22"/>
          <w:szCs w:val="22"/>
          <w:rtl/>
        </w:rPr>
        <w:sectPr w:rsidR="0013006A" w:rsidSect="0013006A">
          <w:type w:val="continuous"/>
          <w:pgSz w:w="11906" w:h="16838"/>
          <w:pgMar w:top="720" w:right="720" w:bottom="720" w:left="720" w:header="283" w:footer="283" w:gutter="0"/>
          <w:cols w:num="2" w:space="113"/>
          <w:bidi/>
          <w:rtlGutter/>
          <w:docGrid w:linePitch="299"/>
        </w:sectPr>
      </w:pPr>
      <w:r>
        <w:rPr>
          <w:rtl/>
        </w:rPr>
        <w:t>ביאור האבי עזרי דאף בב"ח מותר באינה ראויה לגר דאינה קרויה נבילה וה"ה בנטל"פ</w:t>
      </w:r>
    </w:p>
    <w:p w:rsidR="0013006A" w:rsidRDefault="0013006A" w:rsidP="0013006A">
      <w:pPr>
        <w:pStyle w:val="aff2"/>
        <w:rPr>
          <w:rFonts w:eastAsiaTheme="minorEastAsia" w:cstheme="minorBidi"/>
          <w:sz w:val="22"/>
          <w:szCs w:val="22"/>
          <w:rtl/>
        </w:rPr>
      </w:pPr>
    </w:p>
    <w:p w:rsidR="0013006A" w:rsidRDefault="0013006A" w:rsidP="0013006A">
      <w:pPr>
        <w:pStyle w:val="aff4"/>
        <w:rPr>
          <w:rtl/>
        </w:rPr>
        <w:sectPr w:rsidR="0013006A" w:rsidSect="0013006A">
          <w:type w:val="continuous"/>
          <w:pgSz w:w="11906" w:h="16838"/>
          <w:pgMar w:top="720" w:right="720" w:bottom="720" w:left="720" w:header="283" w:footer="283" w:gutter="0"/>
          <w:cols w:num="2" w:space="113"/>
          <w:titlePg/>
          <w:bidi/>
          <w:rtlGutter/>
          <w:docGrid w:linePitch="299"/>
        </w:sectPr>
      </w:pPr>
      <w:r>
        <w:rPr>
          <w:rtl/>
        </w:rPr>
        <w:fldChar w:fldCharType="end"/>
      </w:r>
    </w:p>
    <w:p w:rsidR="0013006A" w:rsidRPr="0081356D" w:rsidRDefault="0013006A" w:rsidP="00E669F8">
      <w:pPr>
        <w:pStyle w:val="afd"/>
        <w:rPr>
          <w:rtl/>
        </w:rPr>
      </w:pPr>
      <w:bookmarkStart w:id="9347" w:name="_Toc18513260"/>
      <w:bookmarkStart w:id="9348" w:name="_Toc18874355"/>
      <w:bookmarkStart w:id="9349" w:name="_Toc18946770"/>
      <w:bookmarkStart w:id="9350" w:name="_Toc19026232"/>
      <w:bookmarkStart w:id="9351" w:name="_Toc19029709"/>
      <w:bookmarkStart w:id="9352" w:name="_Toc19030093"/>
      <w:bookmarkStart w:id="9353" w:name="_Toc19082129"/>
      <w:bookmarkStart w:id="9354" w:name="_Toc19129419"/>
      <w:bookmarkStart w:id="9355" w:name="_Toc19129973"/>
      <w:bookmarkStart w:id="9356" w:name="_Toc19170906"/>
      <w:bookmarkStart w:id="9357" w:name="_Toc19180762"/>
      <w:r w:rsidRPr="0081356D">
        <w:rPr>
          <w:rFonts w:hint="cs"/>
          <w:rtl/>
        </w:rPr>
        <w:lastRenderedPageBreak/>
        <w:t>מראי מקומות וביאורים</w:t>
      </w:r>
      <w:bookmarkEnd w:id="9347"/>
      <w:bookmarkEnd w:id="9348"/>
      <w:bookmarkEnd w:id="9349"/>
      <w:bookmarkEnd w:id="9350"/>
      <w:bookmarkEnd w:id="9351"/>
      <w:bookmarkEnd w:id="9352"/>
      <w:bookmarkEnd w:id="9353"/>
      <w:bookmarkEnd w:id="9354"/>
      <w:bookmarkEnd w:id="9355"/>
      <w:bookmarkEnd w:id="9356"/>
      <w:bookmarkEnd w:id="9357"/>
    </w:p>
    <w:p w:rsidR="0013006A" w:rsidRPr="00B21444" w:rsidRDefault="0013006A" w:rsidP="0013006A">
      <w:pPr>
        <w:pStyle w:val="2"/>
        <w:bidi w:val="0"/>
        <w:rPr>
          <w:rtl/>
        </w:rPr>
        <w:sectPr w:rsidR="0013006A" w:rsidRPr="00B21444" w:rsidSect="004E1A18">
          <w:pgSz w:w="11906" w:h="16838"/>
          <w:pgMar w:top="720" w:right="720" w:bottom="720" w:left="720" w:header="283" w:footer="283" w:gutter="0"/>
          <w:cols w:space="720"/>
          <w:bidi/>
          <w:rtlGutter/>
          <w:docGrid w:linePitch="299"/>
        </w:sectPr>
      </w:pPr>
    </w:p>
    <w:p w:rsidR="0013006A" w:rsidRDefault="0013006A" w:rsidP="00E669F8">
      <w:pPr>
        <w:pStyle w:val="afd"/>
        <w:rPr>
          <w:rtl/>
        </w:rPr>
      </w:pPr>
      <w:bookmarkStart w:id="9358" w:name="_Toc19082164"/>
      <w:bookmarkStart w:id="9359" w:name="_Toc19129473"/>
      <w:bookmarkStart w:id="9360" w:name="_Toc19130027"/>
      <w:bookmarkStart w:id="9361" w:name="_Toc19170960"/>
      <w:bookmarkStart w:id="9362" w:name="_Toc19180816"/>
      <w:bookmarkStart w:id="9363" w:name="_Toc17984130"/>
      <w:bookmarkStart w:id="9364" w:name="_Toc18228255"/>
      <w:bookmarkStart w:id="9365" w:name="_Toc18250799"/>
      <w:bookmarkStart w:id="9366" w:name="_Toc18266256"/>
      <w:bookmarkStart w:id="9367" w:name="_Toc18269167"/>
      <w:bookmarkStart w:id="9368" w:name="_Toc18513266"/>
      <w:bookmarkStart w:id="9369" w:name="_Toc18874361"/>
      <w:bookmarkStart w:id="9370" w:name="_Toc18946775"/>
      <w:bookmarkStart w:id="9371" w:name="_Toc19026237"/>
      <w:bookmarkStart w:id="9372" w:name="_Toc19029714"/>
      <w:bookmarkStart w:id="9373" w:name="_Toc19030098"/>
      <w:bookmarkStart w:id="9374" w:name="_Toc19082130"/>
      <w:bookmarkStart w:id="9375" w:name="_Toc19129420"/>
      <w:bookmarkStart w:id="9376" w:name="_Toc19129974"/>
      <w:bookmarkStart w:id="9377" w:name="_Toc19170907"/>
      <w:bookmarkStart w:id="9378" w:name="_Toc19180763"/>
      <w:r>
        <w:rPr>
          <w:rFonts w:hint="cs"/>
          <w:rtl/>
        </w:rPr>
        <w:t xml:space="preserve">פלוגתת הרשב"א והר"ן </w:t>
      </w:r>
      <w:bookmarkEnd w:id="9358"/>
      <w:bookmarkEnd w:id="9359"/>
      <w:bookmarkEnd w:id="9360"/>
      <w:bookmarkEnd w:id="9361"/>
      <w:bookmarkEnd w:id="9362"/>
      <w:r w:rsidRPr="00A423FB">
        <w:rPr>
          <w:rtl/>
        </w:rPr>
        <w:t>בנטל"פ במשהו</w:t>
      </w:r>
    </w:p>
    <w:p w:rsidR="0013006A" w:rsidRPr="004C39A2" w:rsidRDefault="0013006A" w:rsidP="0013006A">
      <w:pPr>
        <w:pStyle w:val="1"/>
        <w:rPr>
          <w:rtl/>
        </w:rPr>
      </w:pPr>
      <w:bookmarkStart w:id="9379" w:name="_Toc19082165"/>
      <w:bookmarkStart w:id="9380" w:name="_Toc19129474"/>
      <w:bookmarkStart w:id="9381" w:name="_Toc19130028"/>
      <w:bookmarkStart w:id="9382" w:name="_Toc19170961"/>
      <w:bookmarkStart w:id="9383" w:name="_Toc19180817"/>
      <w:r>
        <w:rPr>
          <w:rFonts w:hint="cs"/>
          <w:rtl/>
        </w:rPr>
        <w:t>דברי הרשב"א דבנטל"פ אין טע"כ ודברי הר"ן דאינו נהנה</w:t>
      </w:r>
      <w:bookmarkEnd w:id="9379"/>
      <w:bookmarkEnd w:id="9380"/>
      <w:bookmarkEnd w:id="9381"/>
      <w:bookmarkEnd w:id="9382"/>
      <w:bookmarkEnd w:id="9383"/>
    </w:p>
    <w:p w:rsidR="0013006A" w:rsidRPr="00D47CE7" w:rsidRDefault="0013006A" w:rsidP="0013006A">
      <w:pPr>
        <w:pStyle w:val="a2"/>
        <w:rPr>
          <w:rtl/>
        </w:rPr>
      </w:pPr>
      <w:bookmarkStart w:id="9384" w:name="_Toc19082166"/>
      <w:bookmarkStart w:id="9385" w:name="_Toc19129475"/>
      <w:bookmarkStart w:id="9386" w:name="_Toc19130029"/>
      <w:bookmarkStart w:id="9387" w:name="_Toc19170962"/>
      <w:bookmarkStart w:id="9388" w:name="_Toc19180818"/>
      <w:r w:rsidRPr="00D47CE7">
        <w:rPr>
          <w:rFonts w:hint="cs"/>
          <w:rtl/>
        </w:rPr>
        <w:t xml:space="preserve">ביאור הרשב"א </w:t>
      </w:r>
      <w:r>
        <w:rPr>
          <w:rFonts w:hint="cs"/>
          <w:rtl/>
        </w:rPr>
        <w:t>דהיתר נטל"פ הוא דלא אסרה תורה טעם כעיקר בטעם פגום</w:t>
      </w:r>
      <w:bookmarkEnd w:id="9384"/>
      <w:bookmarkEnd w:id="9385"/>
      <w:bookmarkEnd w:id="9386"/>
      <w:bookmarkEnd w:id="9387"/>
      <w:bookmarkEnd w:id="9388"/>
    </w:p>
    <w:p w:rsidR="0013006A" w:rsidRDefault="0013006A" w:rsidP="009F44AF">
      <w:pPr>
        <w:pStyle w:val="a"/>
        <w:numPr>
          <w:ilvl w:val="0"/>
          <w:numId w:val="27"/>
        </w:numPr>
        <w:rPr>
          <w:rtl/>
        </w:rPr>
      </w:pPr>
      <w:bookmarkStart w:id="9389" w:name="_Ref19046356"/>
      <w:r>
        <w:rPr>
          <w:rFonts w:hint="cs"/>
          <w:rtl/>
        </w:rPr>
        <w:t>כתב</w:t>
      </w:r>
      <w:r w:rsidRPr="00D47CE7">
        <w:rPr>
          <w:rFonts w:hint="cs"/>
          <w:rtl/>
        </w:rPr>
        <w:t xml:space="preserve"> </w:t>
      </w:r>
      <w:r w:rsidRPr="00D47CE7">
        <w:rPr>
          <w:rStyle w:val="af8"/>
          <w:rFonts w:hint="cs"/>
          <w:rtl/>
        </w:rPr>
        <w:t>הרשב"א בתוה"ב</w:t>
      </w:r>
      <w:r w:rsidRPr="00D47CE7">
        <w:rPr>
          <w:rFonts w:hint="cs"/>
          <w:rtl/>
        </w:rPr>
        <w:t xml:space="preserve"> </w:t>
      </w:r>
      <w:r w:rsidRPr="009F44AF">
        <w:rPr>
          <w:rStyle w:val="af6"/>
          <w:rFonts w:eastAsia="Guttman Hodes" w:hint="cs"/>
          <w:rtl/>
        </w:rPr>
        <w:t xml:space="preserve">(ב"ד ש"א סוף יט. מדה"ס ד"ה וקסבר רב ששת) </w:t>
      </w:r>
      <w:r w:rsidRPr="00D47CE7">
        <w:rPr>
          <w:rFonts w:hint="cs"/>
          <w:rtl/>
        </w:rPr>
        <w:t>דנותן טעם לפגם נלמד מנבילה, דכמו דנבילה הותרה</w:t>
      </w:r>
      <w:r w:rsidRPr="00E40E74">
        <w:rPr>
          <w:rFonts w:hint="cs"/>
          <w:rtl/>
        </w:rPr>
        <w:t xml:space="preserve"> </w:t>
      </w:r>
      <w:r w:rsidRPr="00D47CE7">
        <w:rPr>
          <w:rFonts w:hint="cs"/>
          <w:rtl/>
        </w:rPr>
        <w:t xml:space="preserve">כשנפגמה, ה"ה בשאר איסורים שהיו משובחים בתחילה, וכשהתערבו בתוך היתר ופגמו את התערובת דהתערובת מותרת, והוסיף </w:t>
      </w:r>
      <w:r w:rsidRPr="00D47CE7">
        <w:rPr>
          <w:rStyle w:val="af8"/>
          <w:rFonts w:hint="cs"/>
          <w:rtl/>
        </w:rPr>
        <w:t>הרשב"א בתוה"ב</w:t>
      </w:r>
      <w:r>
        <w:rPr>
          <w:rFonts w:hint="cs"/>
          <w:rtl/>
        </w:rPr>
        <w:t xml:space="preserve"> </w:t>
      </w:r>
      <w:r w:rsidRPr="00D47CE7">
        <w:rPr>
          <w:rFonts w:hint="cs"/>
          <w:rtl/>
        </w:rPr>
        <w:t xml:space="preserve">דההיתר בנותן טעם לפגם, </w:t>
      </w:r>
      <w:r>
        <w:rPr>
          <w:rFonts w:hint="cs"/>
          <w:rtl/>
        </w:rPr>
        <w:t>הוא רק כשיש</w:t>
      </w:r>
      <w:r w:rsidRPr="00D47CE7">
        <w:rPr>
          <w:rFonts w:hint="cs"/>
          <w:rtl/>
        </w:rPr>
        <w:t xml:space="preserve"> רוב היתר, </w:t>
      </w:r>
      <w:r>
        <w:rPr>
          <w:rFonts w:hint="cs"/>
          <w:rtl/>
        </w:rPr>
        <w:t xml:space="preserve">אבל </w:t>
      </w:r>
      <w:r w:rsidRPr="00D47CE7">
        <w:rPr>
          <w:rFonts w:hint="cs"/>
          <w:rtl/>
        </w:rPr>
        <w:t>אם האיסור הוא הרוב, או שיש מחצה איסור ומחצה היתר</w:t>
      </w:r>
      <w:r>
        <w:rPr>
          <w:rFonts w:hint="cs"/>
          <w:rtl/>
        </w:rPr>
        <w:t xml:space="preserve"> אסור, </w:t>
      </w:r>
      <w:r w:rsidRPr="00D47CE7">
        <w:rPr>
          <w:rFonts w:hint="cs"/>
          <w:rtl/>
        </w:rPr>
        <w:t>ו</w:t>
      </w:r>
      <w:r>
        <w:rPr>
          <w:rFonts w:hint="cs"/>
          <w:rtl/>
        </w:rPr>
        <w:t>ביאר</w:t>
      </w:r>
      <w:r w:rsidRPr="00D47CE7">
        <w:rPr>
          <w:rFonts w:hint="cs"/>
          <w:rtl/>
        </w:rPr>
        <w:t xml:space="preserve"> </w:t>
      </w:r>
      <w:r w:rsidRPr="00D47CE7">
        <w:rPr>
          <w:rStyle w:val="af8"/>
          <w:rFonts w:hint="cs"/>
          <w:rtl/>
        </w:rPr>
        <w:t xml:space="preserve">הרשב"א בתוה"ב </w:t>
      </w:r>
      <w:r w:rsidRPr="009F44AF">
        <w:rPr>
          <w:rStyle w:val="af6"/>
          <w:rFonts w:eastAsia="Guttman Hodes" w:hint="cs"/>
          <w:rtl/>
        </w:rPr>
        <w:t>(ב"ד ש"א כ: מדה"ס)</w:t>
      </w:r>
      <w:r w:rsidRPr="00D47CE7">
        <w:rPr>
          <w:rFonts w:hint="cs"/>
          <w:rtl/>
        </w:rPr>
        <w:t xml:space="preserve"> דאיסור שהתערב בתערובת, ויש רוב בהיתר כנגדו, הוא אסור רק מדין טעם כעיקר, ולא אסרה תורה טעם כעיקר כשנתן טעם פגום</w:t>
      </w:r>
      <w:r>
        <w:rPr>
          <w:rFonts w:hint="cs"/>
          <w:rtl/>
        </w:rPr>
        <w:t xml:space="preserve">. [ועי' במה שביאר </w:t>
      </w:r>
      <w:r w:rsidRPr="00832FB0">
        <w:rPr>
          <w:rStyle w:val="af8"/>
          <w:rFonts w:hint="cs"/>
          <w:rtl/>
        </w:rPr>
        <w:t>הרשב"א</w:t>
      </w:r>
      <w:r>
        <w:rPr>
          <w:rFonts w:hint="cs"/>
          <w:rtl/>
        </w:rPr>
        <w:t xml:space="preserve"> בזה </w:t>
      </w:r>
      <w:r w:rsidRPr="009F44AF">
        <w:rPr>
          <w:rStyle w:val="af6"/>
          <w:rFonts w:eastAsia="Guttman Hodes" w:hint="cs"/>
          <w:rtl/>
        </w:rPr>
        <w:t>(הובא לעיל סימן י"ב אות ט"ז)</w:t>
      </w:r>
      <w:r>
        <w:rPr>
          <w:rFonts w:hint="cs"/>
          <w:rtl/>
        </w:rPr>
        <w:t xml:space="preserve">, ובמה שביארו </w:t>
      </w:r>
      <w:r w:rsidRPr="00832FB0">
        <w:rPr>
          <w:rStyle w:val="af8"/>
          <w:rFonts w:hint="cs"/>
          <w:rtl/>
        </w:rPr>
        <w:t>האחרונים</w:t>
      </w:r>
      <w:r>
        <w:rPr>
          <w:rFonts w:hint="cs"/>
          <w:rtl/>
        </w:rPr>
        <w:t xml:space="preserve"> בדברי </w:t>
      </w:r>
      <w:r w:rsidRPr="00832FB0">
        <w:rPr>
          <w:rStyle w:val="af8"/>
          <w:rFonts w:hint="cs"/>
          <w:rtl/>
        </w:rPr>
        <w:t>הרשב"א</w:t>
      </w:r>
      <w:r>
        <w:rPr>
          <w:rFonts w:hint="cs"/>
          <w:rtl/>
        </w:rPr>
        <w:t>].</w:t>
      </w:r>
      <w:bookmarkEnd w:id="9389"/>
    </w:p>
    <w:p w:rsidR="0013006A" w:rsidRPr="00D47CE7" w:rsidRDefault="0013006A" w:rsidP="0013006A">
      <w:pPr>
        <w:pStyle w:val="a2"/>
        <w:rPr>
          <w:rtl/>
        </w:rPr>
      </w:pPr>
      <w:bookmarkStart w:id="9390" w:name="_Toc19082167"/>
      <w:bookmarkStart w:id="9391" w:name="_Toc19129476"/>
      <w:bookmarkStart w:id="9392" w:name="_Toc19130030"/>
      <w:bookmarkStart w:id="9393" w:name="_Toc19170963"/>
      <w:bookmarkStart w:id="9394" w:name="_Toc19180819"/>
      <w:r w:rsidRPr="00D47CE7">
        <w:rPr>
          <w:rFonts w:hint="cs"/>
          <w:rtl/>
        </w:rPr>
        <w:t>ביאור הר"ן דילפינן מנבילה דבאינו נהנה פטור על אכילתה וה"ה בנטל"פ בתערובת דאינו נהנה</w:t>
      </w:r>
      <w:bookmarkEnd w:id="9390"/>
      <w:bookmarkEnd w:id="9391"/>
      <w:bookmarkEnd w:id="9392"/>
      <w:bookmarkEnd w:id="9393"/>
      <w:bookmarkEnd w:id="9394"/>
    </w:p>
    <w:p w:rsidR="0013006A" w:rsidRPr="0099700F" w:rsidRDefault="0013006A" w:rsidP="009F44AF">
      <w:pPr>
        <w:pStyle w:val="a"/>
      </w:pPr>
      <w:bookmarkStart w:id="9395" w:name="_Ref19129538"/>
      <w:r>
        <w:rPr>
          <w:rFonts w:hint="cs"/>
          <w:rtl/>
        </w:rPr>
        <w:t>אבל</w:t>
      </w:r>
      <w:r w:rsidRPr="00D47CE7">
        <w:rPr>
          <w:rStyle w:val="af8"/>
          <w:rFonts w:hint="cs"/>
          <w:rtl/>
        </w:rPr>
        <w:t xml:space="preserve"> הר"ן בחי'</w:t>
      </w:r>
      <w:r>
        <w:rPr>
          <w:rStyle w:val="af8"/>
          <w:rFonts w:hint="cs"/>
          <w:rtl/>
        </w:rPr>
        <w:t xml:space="preserve"> </w:t>
      </w:r>
      <w:r w:rsidRPr="004C39A2">
        <w:rPr>
          <w:rStyle w:val="af6"/>
          <w:rFonts w:eastAsia="Guttman Hodes" w:hint="cs"/>
          <w:rtl/>
        </w:rPr>
        <w:t>(סו: ד"ה כל)</w:t>
      </w:r>
      <w:r w:rsidRPr="00D47CE7">
        <w:rPr>
          <w:rStyle w:val="af8"/>
          <w:rFonts w:hint="cs"/>
          <w:rtl/>
        </w:rPr>
        <w:t xml:space="preserve"> ועל הרי"ף</w:t>
      </w:r>
      <w:r>
        <w:rPr>
          <w:rStyle w:val="af8"/>
          <w:rFonts w:hint="cs"/>
          <w:rtl/>
        </w:rPr>
        <w:t xml:space="preserve"> </w:t>
      </w:r>
      <w:r w:rsidRPr="004C39A2">
        <w:rPr>
          <w:rStyle w:val="af6"/>
          <w:rFonts w:eastAsia="Guttman Hodes" w:hint="cs"/>
          <w:rtl/>
        </w:rPr>
        <w:t xml:space="preserve">(סוף לב. מדפי הרי"ף ד"ה ודאמרינן) </w:t>
      </w:r>
      <w:r w:rsidRPr="00D47CE7">
        <w:rPr>
          <w:rFonts w:hint="cs"/>
          <w:rtl/>
        </w:rPr>
        <w:t>הקשה דמ"מ היאך ילפינן את דין נותן טעם לפגם כשהוא ראוי לאכילה, מנבילה שאינה ראויה לאכילה</w:t>
      </w:r>
      <w:r>
        <w:rPr>
          <w:rFonts w:hint="cs"/>
          <w:rtl/>
        </w:rPr>
        <w:t xml:space="preserve">, </w:t>
      </w:r>
      <w:r w:rsidRPr="00D47CE7">
        <w:rPr>
          <w:rFonts w:hint="cs"/>
          <w:rtl/>
        </w:rPr>
        <w:t>ותירץ</w:t>
      </w:r>
      <w:r w:rsidRPr="00D47CE7">
        <w:rPr>
          <w:rStyle w:val="af8"/>
          <w:rFonts w:hint="cs"/>
          <w:rtl/>
        </w:rPr>
        <w:t xml:space="preserve"> הר"ן</w:t>
      </w:r>
      <w:r w:rsidRPr="00D47CE7">
        <w:rPr>
          <w:rFonts w:hint="cs"/>
          <w:rtl/>
        </w:rPr>
        <w:t xml:space="preserve"> דילפינן בבמה מצינו, דהא דבנבילה אסרתה תורה רק כשהיא ראויה לגר, היינו כיון שבאכילתה נהנה מהאיסור, ולכן אסורה אף כשנפגמה במקצת, אבל כשאינה ראויה לגר, דבאכילתה אינו נהנה מהאיסור, התירתה תורה, אעפ"י שכבר חל עליה האיסור, בשעה שהייתה ראויה, א"כ ה"ה באיסור שנתן טעם בהיתר, דכל שהאיסור פגם את ההיתר קצת, ממילא באכילת ההיתר אינו נהנה מהאיסור, אלא הוא מצטער במה שהאיסור מעורב בהיתר, אעפ"י שהאיסור שמעורב בהיתר היה אסור לפני שהתערב בתערובת</w:t>
      </w:r>
      <w:r>
        <w:rPr>
          <w:rFonts w:hint="cs"/>
          <w:rtl/>
        </w:rPr>
        <w:t>.</w:t>
      </w:r>
      <w:r w:rsidRPr="00A7267E">
        <w:rPr>
          <w:rFonts w:hint="cs"/>
          <w:rtl/>
        </w:rPr>
        <w:t xml:space="preserve"> </w:t>
      </w:r>
      <w:r>
        <w:rPr>
          <w:rFonts w:hint="cs"/>
          <w:rtl/>
        </w:rPr>
        <w:t xml:space="preserve">[ועי' במה שביאר </w:t>
      </w:r>
      <w:r w:rsidRPr="00C70D5B">
        <w:rPr>
          <w:rStyle w:val="af8"/>
          <w:rFonts w:hint="cs"/>
          <w:rtl/>
        </w:rPr>
        <w:t>הר"ן</w:t>
      </w:r>
      <w:r>
        <w:rPr>
          <w:rFonts w:hint="cs"/>
          <w:rtl/>
        </w:rPr>
        <w:t xml:space="preserve"> בזה </w:t>
      </w:r>
      <w:r w:rsidRPr="00C70D5B">
        <w:rPr>
          <w:rStyle w:val="af6"/>
          <w:rFonts w:eastAsia="Guttman Hodes" w:hint="cs"/>
          <w:rtl/>
        </w:rPr>
        <w:t xml:space="preserve">(הובא לעיל סימן י"ב אות </w:t>
      </w:r>
      <w:r>
        <w:rPr>
          <w:rStyle w:val="af6"/>
          <w:rFonts w:eastAsia="Guttman Hodes" w:hint="cs"/>
          <w:rtl/>
        </w:rPr>
        <w:t>מ"ז</w:t>
      </w:r>
      <w:r w:rsidRPr="00C70D5B">
        <w:rPr>
          <w:rStyle w:val="af6"/>
          <w:rFonts w:eastAsia="Guttman Hodes" w:hint="cs"/>
          <w:rtl/>
        </w:rPr>
        <w:t>)</w:t>
      </w:r>
      <w:r>
        <w:rPr>
          <w:rFonts w:hint="cs"/>
          <w:rtl/>
        </w:rPr>
        <w:t xml:space="preserve">, ובמה שביארו </w:t>
      </w:r>
      <w:r w:rsidRPr="00C70D5B">
        <w:rPr>
          <w:rStyle w:val="af8"/>
          <w:rFonts w:hint="cs"/>
          <w:rtl/>
        </w:rPr>
        <w:t>האחרונים</w:t>
      </w:r>
      <w:r>
        <w:rPr>
          <w:rFonts w:hint="cs"/>
          <w:rtl/>
        </w:rPr>
        <w:t xml:space="preserve"> בדברי </w:t>
      </w:r>
      <w:r w:rsidRPr="00C70D5B">
        <w:rPr>
          <w:rStyle w:val="af8"/>
          <w:rFonts w:hint="cs"/>
          <w:rtl/>
        </w:rPr>
        <w:t>הר"ן</w:t>
      </w:r>
      <w:r>
        <w:rPr>
          <w:rFonts w:hint="cs"/>
          <w:rtl/>
        </w:rPr>
        <w:t>].</w:t>
      </w:r>
      <w:bookmarkEnd w:id="9395"/>
    </w:p>
    <w:p w:rsidR="0013006A" w:rsidRPr="0081356D" w:rsidRDefault="0013006A" w:rsidP="00E669F8">
      <w:pPr>
        <w:pStyle w:val="afd"/>
        <w:rPr>
          <w:rtl/>
        </w:rPr>
      </w:pPr>
      <w:bookmarkStart w:id="9396" w:name="_Toc19082168"/>
      <w:bookmarkStart w:id="9397" w:name="_Toc19129477"/>
      <w:bookmarkStart w:id="9398" w:name="_Toc19130031"/>
      <w:bookmarkStart w:id="9399" w:name="_Toc19170964"/>
      <w:bookmarkStart w:id="9400" w:name="_Toc19180820"/>
      <w:r w:rsidRPr="0081356D">
        <w:rPr>
          <w:rFonts w:hint="cs"/>
          <w:rtl/>
        </w:rPr>
        <w:t>דעת האוסרים בנטל"פ באיסור משהו</w:t>
      </w:r>
      <w:bookmarkEnd w:id="9396"/>
      <w:bookmarkEnd w:id="9397"/>
      <w:bookmarkEnd w:id="9398"/>
      <w:bookmarkEnd w:id="9399"/>
      <w:bookmarkEnd w:id="9400"/>
    </w:p>
    <w:p w:rsidR="0013006A" w:rsidRDefault="0013006A" w:rsidP="0013006A">
      <w:pPr>
        <w:pStyle w:val="1"/>
        <w:rPr>
          <w:rtl/>
        </w:rPr>
      </w:pPr>
      <w:bookmarkStart w:id="9401" w:name="_Toc18946784"/>
      <w:bookmarkStart w:id="9402" w:name="_Toc19026247"/>
      <w:bookmarkStart w:id="9403" w:name="_Toc19029724"/>
      <w:bookmarkStart w:id="9404" w:name="_Toc19030108"/>
      <w:bookmarkStart w:id="9405" w:name="_Toc19082169"/>
      <w:bookmarkStart w:id="9406" w:name="_Toc19129478"/>
      <w:bookmarkStart w:id="9407" w:name="_Toc19130032"/>
      <w:bookmarkStart w:id="9408" w:name="_Toc19170965"/>
      <w:bookmarkStart w:id="9409" w:name="_Toc19180821"/>
      <w:r>
        <w:rPr>
          <w:rFonts w:hint="cs"/>
          <w:rtl/>
        </w:rPr>
        <w:t>דברי הרשב"א</w:t>
      </w:r>
      <w:bookmarkEnd w:id="9401"/>
      <w:bookmarkEnd w:id="9402"/>
      <w:bookmarkEnd w:id="9403"/>
      <w:bookmarkEnd w:id="9404"/>
      <w:bookmarkEnd w:id="9405"/>
      <w:r>
        <w:rPr>
          <w:rFonts w:hint="cs"/>
          <w:rtl/>
        </w:rPr>
        <w:t xml:space="preserve"> דאיסור משהו אינו מדין טעם ואסור בנטל"פ</w:t>
      </w:r>
      <w:bookmarkEnd w:id="9406"/>
      <w:bookmarkEnd w:id="9407"/>
      <w:bookmarkEnd w:id="9408"/>
      <w:bookmarkEnd w:id="9409"/>
      <w:r>
        <w:rPr>
          <w:rFonts w:hint="cs"/>
          <w:rtl/>
        </w:rPr>
        <w:t xml:space="preserve"> </w:t>
      </w:r>
    </w:p>
    <w:p w:rsidR="0013006A" w:rsidRPr="00E62D33" w:rsidRDefault="0013006A" w:rsidP="0013006A">
      <w:pPr>
        <w:pStyle w:val="a2"/>
        <w:rPr>
          <w:rtl/>
        </w:rPr>
      </w:pPr>
      <w:bookmarkStart w:id="9410" w:name="_Toc19129479"/>
      <w:bookmarkStart w:id="9411" w:name="_Toc19130033"/>
      <w:bookmarkStart w:id="9412" w:name="_Toc19170966"/>
      <w:bookmarkStart w:id="9413" w:name="_Toc19180822"/>
      <w:r>
        <w:rPr>
          <w:rFonts w:hint="cs"/>
          <w:rtl/>
        </w:rPr>
        <w:t>דברי הרשב"א דאינו ראוי לגר הוא כעפר ומותר בפסח ונטל"פ אסור בפסח אפילו במשהו</w:t>
      </w:r>
      <w:bookmarkEnd w:id="9410"/>
      <w:bookmarkEnd w:id="9411"/>
      <w:bookmarkEnd w:id="9412"/>
      <w:bookmarkEnd w:id="9413"/>
    </w:p>
    <w:p w:rsidR="0013006A" w:rsidRDefault="0013006A" w:rsidP="009F44AF">
      <w:pPr>
        <w:pStyle w:val="a"/>
        <w:rPr>
          <w:rtl/>
        </w:rPr>
      </w:pPr>
      <w:bookmarkStart w:id="9414" w:name="_Ref19130976"/>
      <w:r>
        <w:rPr>
          <w:rFonts w:hint="cs"/>
          <w:rtl/>
        </w:rPr>
        <w:t xml:space="preserve">כתב </w:t>
      </w:r>
      <w:r w:rsidRPr="00D409FE">
        <w:rPr>
          <w:rStyle w:val="af8"/>
          <w:rFonts w:hint="cs"/>
          <w:rtl/>
        </w:rPr>
        <w:t>הרשב"א בתשו'</w:t>
      </w:r>
      <w:r>
        <w:rPr>
          <w:rFonts w:hint="cs"/>
          <w:rtl/>
        </w:rPr>
        <w:t xml:space="preserve"> </w:t>
      </w:r>
      <w:r w:rsidRPr="008441DA">
        <w:rPr>
          <w:rStyle w:val="af6"/>
          <w:rFonts w:eastAsia="Guttman Hodes" w:hint="cs"/>
          <w:rtl/>
        </w:rPr>
        <w:t xml:space="preserve">(ח"א סי' תצ"ט, ח"ז מיוחסות ריש סי' קנ"א) </w:t>
      </w:r>
      <w:r>
        <w:rPr>
          <w:rFonts w:hint="cs"/>
          <w:rtl/>
        </w:rPr>
        <w:t xml:space="preserve">דבחמץ שנפגם לגמרי ואין לו תורת אוכל כפת שעיפשה, הוא עפרא בעלמא ואינו אוסר בתערובת, דלא אסרה תורה עפר בעלמא, ואף אם מחצה מהתערובת או יותר ממחצה הוא מהפת שעיפשה, מ"מ אינה אוסרת את התערובת, אבל בנותן טעם לפגם בפגום במקצת, הוא אוסר בחמץ בפסח, אפילו במשהו, וכתב </w:t>
      </w:r>
      <w:r w:rsidRPr="00D409FE">
        <w:rPr>
          <w:rStyle w:val="af8"/>
          <w:rFonts w:hint="cs"/>
          <w:rtl/>
        </w:rPr>
        <w:t xml:space="preserve">הרשב"א </w:t>
      </w:r>
      <w:r>
        <w:rPr>
          <w:rFonts w:hint="cs"/>
          <w:rtl/>
        </w:rPr>
        <w:t xml:space="preserve"> דכן דעת </w:t>
      </w:r>
      <w:r w:rsidRPr="00D409FE">
        <w:rPr>
          <w:rStyle w:val="af8"/>
          <w:rFonts w:hint="cs"/>
          <w:rtl/>
        </w:rPr>
        <w:t>ר"י הזקן</w:t>
      </w:r>
      <w:r>
        <w:rPr>
          <w:rFonts w:hint="cs"/>
          <w:rtl/>
        </w:rPr>
        <w:t>.</w:t>
      </w:r>
      <w:bookmarkEnd w:id="9414"/>
    </w:p>
    <w:p w:rsidR="0013006A" w:rsidRPr="00E62D33" w:rsidRDefault="0013006A" w:rsidP="0013006A">
      <w:pPr>
        <w:pStyle w:val="a2"/>
      </w:pPr>
      <w:bookmarkStart w:id="9415" w:name="_Toc19129480"/>
      <w:bookmarkStart w:id="9416" w:name="_Toc19130034"/>
      <w:bookmarkStart w:id="9417" w:name="_Toc19170967"/>
      <w:bookmarkStart w:id="9418" w:name="_Toc19180823"/>
      <w:r>
        <w:rPr>
          <w:rFonts w:hint="cs"/>
          <w:rtl/>
        </w:rPr>
        <w:t>ביאור הרשב"א דאיסור משהו אינו מדין טעם ואף שהוא פגום האיסור עצמו קיים ואוסר</w:t>
      </w:r>
      <w:bookmarkEnd w:id="9415"/>
      <w:bookmarkEnd w:id="9416"/>
      <w:bookmarkEnd w:id="9417"/>
      <w:bookmarkEnd w:id="9418"/>
    </w:p>
    <w:p w:rsidR="0013006A" w:rsidRDefault="0013006A" w:rsidP="009F44AF">
      <w:pPr>
        <w:pStyle w:val="a"/>
        <w:rPr>
          <w:rtl/>
        </w:rPr>
      </w:pPr>
      <w:r>
        <w:rPr>
          <w:rFonts w:hint="cs"/>
          <w:rtl/>
        </w:rPr>
        <w:t xml:space="preserve">וביאר </w:t>
      </w:r>
      <w:r w:rsidRPr="00D409FE">
        <w:rPr>
          <w:rStyle w:val="af8"/>
          <w:rFonts w:hint="cs"/>
          <w:rtl/>
        </w:rPr>
        <w:t>הרשב"א</w:t>
      </w:r>
      <w:r>
        <w:rPr>
          <w:rFonts w:hint="cs"/>
          <w:rtl/>
        </w:rPr>
        <w:t xml:space="preserve"> </w:t>
      </w:r>
      <w:r w:rsidRPr="00D409FE">
        <w:rPr>
          <w:rStyle w:val="af8"/>
          <w:rFonts w:hint="cs"/>
          <w:rtl/>
        </w:rPr>
        <w:t>בתשו'</w:t>
      </w:r>
      <w:r>
        <w:rPr>
          <w:rFonts w:hint="cs"/>
          <w:rtl/>
        </w:rPr>
        <w:t xml:space="preserve"> דבכל דבר שאיסורו במשהו, האיסור אינו מחמת הטעם, ולכן אין בו חילוק בין נותן טעם שאינו לפגם, לנותן </w:t>
      </w:r>
      <w:r>
        <w:rPr>
          <w:rFonts w:hint="cs"/>
          <w:rtl/>
        </w:rPr>
        <w:t xml:space="preserve">טעם לפגם, דהרי האיסור אינו מחמת הטעם, והוסיף </w:t>
      </w:r>
      <w:r w:rsidRPr="00D409FE">
        <w:rPr>
          <w:rStyle w:val="af8"/>
          <w:rFonts w:hint="cs"/>
          <w:rtl/>
        </w:rPr>
        <w:t>הרשב"א בתשו'</w:t>
      </w:r>
      <w:r>
        <w:rPr>
          <w:rFonts w:hint="cs"/>
          <w:rtl/>
        </w:rPr>
        <w:t xml:space="preserve"> </w:t>
      </w:r>
      <w:r w:rsidRPr="008441DA">
        <w:rPr>
          <w:rStyle w:val="af6"/>
          <w:rFonts w:eastAsia="Guttman Hodes" w:hint="cs"/>
          <w:rtl/>
        </w:rPr>
        <w:t>(ח"א ריש סי' רס"ב)</w:t>
      </w:r>
      <w:r>
        <w:rPr>
          <w:rFonts w:hint="cs"/>
          <w:rtl/>
        </w:rPr>
        <w:t xml:space="preserve"> לבאר דבדבר שאיסורו במשהו איסורו הוא  מחמת שהוא איסור חמור, וא"כ אין כל חילוק בין נותן טעם לשבח לנותן טעם לפגם, דמ"מ האיסור עצמו קיים בתערובת, ואוסר במשהו, וכתב </w:t>
      </w:r>
      <w:r w:rsidRPr="00D409FE">
        <w:rPr>
          <w:rStyle w:val="af8"/>
          <w:rFonts w:hint="cs"/>
          <w:rtl/>
        </w:rPr>
        <w:t>הרשב"א בתשו'</w:t>
      </w:r>
      <w:r>
        <w:rPr>
          <w:rFonts w:hint="cs"/>
          <w:rtl/>
        </w:rPr>
        <w:t xml:space="preserve"> דכן מוכח בגמ' בפסחים </w:t>
      </w:r>
      <w:r w:rsidRPr="008441DA">
        <w:rPr>
          <w:rStyle w:val="af6"/>
          <w:rFonts w:eastAsia="Guttman Hodes" w:hint="cs"/>
          <w:rtl/>
        </w:rPr>
        <w:t>(ל.)</w:t>
      </w:r>
      <w:r>
        <w:rPr>
          <w:rFonts w:hint="cs"/>
          <w:rtl/>
        </w:rPr>
        <w:t>.</w:t>
      </w:r>
    </w:p>
    <w:p w:rsidR="0013006A" w:rsidRDefault="0013006A" w:rsidP="0013006A">
      <w:pPr>
        <w:pStyle w:val="1"/>
        <w:rPr>
          <w:rtl/>
        </w:rPr>
      </w:pPr>
      <w:bookmarkStart w:id="9419" w:name="_Toc18874370"/>
      <w:bookmarkStart w:id="9420" w:name="_Toc18946785"/>
      <w:bookmarkStart w:id="9421" w:name="_Toc19026248"/>
      <w:bookmarkStart w:id="9422" w:name="_Toc19029725"/>
      <w:bookmarkStart w:id="9423" w:name="_Toc19030109"/>
      <w:bookmarkStart w:id="9424" w:name="_Toc19082170"/>
      <w:bookmarkStart w:id="9425" w:name="_Toc19129481"/>
      <w:bookmarkStart w:id="9426" w:name="_Toc19130035"/>
      <w:bookmarkStart w:id="9427" w:name="_Toc19170968"/>
      <w:bookmarkStart w:id="9428" w:name="_Toc19180824"/>
      <w:r>
        <w:rPr>
          <w:rFonts w:hint="cs"/>
          <w:rtl/>
        </w:rPr>
        <w:t>ביאור האחרונים ברשב"א</w:t>
      </w:r>
      <w:bookmarkEnd w:id="9419"/>
      <w:bookmarkEnd w:id="9420"/>
      <w:bookmarkEnd w:id="9421"/>
      <w:bookmarkEnd w:id="9422"/>
      <w:bookmarkEnd w:id="9423"/>
      <w:bookmarkEnd w:id="9424"/>
      <w:bookmarkEnd w:id="9425"/>
      <w:r>
        <w:rPr>
          <w:rFonts w:hint="cs"/>
          <w:rtl/>
        </w:rPr>
        <w:t xml:space="preserve"> דהיתר נטל"פ מדין ביטול</w:t>
      </w:r>
      <w:bookmarkEnd w:id="9426"/>
      <w:r>
        <w:rPr>
          <w:rFonts w:hint="cs"/>
          <w:rtl/>
        </w:rPr>
        <w:t xml:space="preserve"> ול"מ בחמץ</w:t>
      </w:r>
      <w:bookmarkEnd w:id="9427"/>
      <w:bookmarkEnd w:id="9428"/>
    </w:p>
    <w:p w:rsidR="0013006A" w:rsidRPr="00A37615" w:rsidRDefault="0013006A" w:rsidP="0013006A">
      <w:pPr>
        <w:pStyle w:val="a2"/>
        <w:rPr>
          <w:rtl/>
        </w:rPr>
      </w:pPr>
      <w:bookmarkStart w:id="9429" w:name="_Toc19129482"/>
      <w:bookmarkStart w:id="9430" w:name="_Toc19130036"/>
      <w:bookmarkStart w:id="9431" w:name="_Toc19170969"/>
      <w:bookmarkStart w:id="9432" w:name="_Toc19180825"/>
      <w:r>
        <w:rPr>
          <w:rFonts w:hint="cs"/>
          <w:rtl/>
        </w:rPr>
        <w:t>קושית הפרמ"ג דהיתר נטל"פ הוא כיון שאינו נהנה מהאיסור ובמשהו אינו נהנה מהאיסור</w:t>
      </w:r>
      <w:bookmarkEnd w:id="9429"/>
      <w:bookmarkEnd w:id="9430"/>
      <w:bookmarkEnd w:id="9431"/>
      <w:bookmarkEnd w:id="9432"/>
    </w:p>
    <w:p w:rsidR="0013006A" w:rsidRDefault="0013006A" w:rsidP="009F44AF">
      <w:pPr>
        <w:pStyle w:val="a"/>
        <w:rPr>
          <w:rtl/>
        </w:rPr>
      </w:pPr>
      <w:r>
        <w:rPr>
          <w:rFonts w:hint="cs"/>
          <w:rtl/>
        </w:rPr>
        <w:t xml:space="preserve">והקשה </w:t>
      </w:r>
      <w:r>
        <w:rPr>
          <w:rStyle w:val="af8"/>
          <w:rtl/>
        </w:rPr>
        <w:t>הפרמ"ג</w:t>
      </w:r>
      <w:r>
        <w:rPr>
          <w:rFonts w:hint="cs"/>
          <w:rtl/>
        </w:rPr>
        <w:t xml:space="preserve"> </w:t>
      </w:r>
      <w:r>
        <w:rPr>
          <w:rStyle w:val="af6"/>
          <w:rFonts w:eastAsia="Guttman Hodes" w:hint="cs"/>
          <w:rtl/>
        </w:rPr>
        <w:t>(פתיחה שער התערובות ח"ג פ"ו ד"ה ודע דהא)</w:t>
      </w:r>
      <w:r>
        <w:rPr>
          <w:rFonts w:hint="cs"/>
          <w:rtl/>
        </w:rPr>
        <w:t xml:space="preserve"> על </w:t>
      </w:r>
      <w:r w:rsidRPr="005C1E43">
        <w:rPr>
          <w:rStyle w:val="af8"/>
          <w:rFonts w:hint="cs"/>
          <w:rtl/>
        </w:rPr>
        <w:t>הרשב"א</w:t>
      </w:r>
      <w:r>
        <w:rPr>
          <w:rFonts w:hint="cs"/>
          <w:rtl/>
        </w:rPr>
        <w:t xml:space="preserve"> דאמאי אין בחמץ היתר בנותן טעם לפגם, והא כיון דההיתר בנותן טעם לפגם הוא גם בפגום במקצת, ואעפ"י דאינו דומה לגמרי לנבילה שמותרת רק כשאינה ראויה לגר, מ"מ בפגום במקצת מותר בתערובת כיון אינו נהנה מהאיסור, א"כ אף בחמץ בפסח אינו נהנה מהאיסור, וצריך להיות מותר, וכדכתב </w:t>
      </w:r>
      <w:r w:rsidRPr="003A32CB">
        <w:rPr>
          <w:rStyle w:val="af8"/>
          <w:rFonts w:hint="cs"/>
          <w:rtl/>
        </w:rPr>
        <w:t>המנחת כהן</w:t>
      </w:r>
      <w:r>
        <w:rPr>
          <w:rFonts w:hint="cs"/>
          <w:rtl/>
        </w:rPr>
        <w:t xml:space="preserve"> </w:t>
      </w:r>
      <w:r w:rsidRPr="004D2184">
        <w:rPr>
          <w:rStyle w:val="af6"/>
          <w:rFonts w:eastAsia="Guttman Hodes" w:hint="cs"/>
          <w:rtl/>
        </w:rPr>
        <w:t xml:space="preserve">(עי' אות </w:t>
      </w:r>
      <w:r w:rsidRPr="004D2184">
        <w:rPr>
          <w:rStyle w:val="af6"/>
          <w:rFonts w:eastAsia="Guttman Hodes"/>
          <w:rtl/>
        </w:rPr>
        <w:fldChar w:fldCharType="begin"/>
      </w:r>
      <w:r w:rsidRPr="004D2184">
        <w:rPr>
          <w:rStyle w:val="af6"/>
          <w:rFonts w:eastAsia="Guttman Hodes"/>
          <w:rtl/>
        </w:rPr>
        <w:instrText xml:space="preserve"> </w:instrText>
      </w:r>
      <w:r w:rsidRPr="004D2184">
        <w:rPr>
          <w:rStyle w:val="af6"/>
          <w:rFonts w:eastAsia="Guttman Hodes" w:hint="cs"/>
        </w:rPr>
        <w:instrText>REF</w:instrText>
      </w:r>
      <w:r w:rsidRPr="004D2184">
        <w:rPr>
          <w:rStyle w:val="af6"/>
          <w:rFonts w:eastAsia="Guttman Hodes" w:hint="cs"/>
          <w:rtl/>
        </w:rPr>
        <w:instrText xml:space="preserve"> _</w:instrText>
      </w:r>
      <w:r w:rsidRPr="004D2184">
        <w:rPr>
          <w:rStyle w:val="af6"/>
          <w:rFonts w:eastAsia="Guttman Hodes" w:hint="cs"/>
        </w:rPr>
        <w:instrText>Ref19121410 \r \h</w:instrText>
      </w:r>
      <w:r w:rsidRPr="004D2184">
        <w:rPr>
          <w:rStyle w:val="af6"/>
          <w:rFonts w:eastAsia="Guttman Hodes"/>
          <w:rtl/>
        </w:rPr>
        <w:instrText xml:space="preserve"> </w:instrText>
      </w:r>
      <w:r w:rsidRPr="004D2184">
        <w:rPr>
          <w:rStyle w:val="af6"/>
          <w:rFonts w:eastAsia="Guttman Hodes"/>
          <w:rtl/>
        </w:rPr>
      </w:r>
      <w:r w:rsidRPr="004D2184">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4D2184">
        <w:rPr>
          <w:rStyle w:val="af6"/>
          <w:rFonts w:eastAsia="Guttman Hodes"/>
          <w:rtl/>
        </w:rPr>
        <w:fldChar w:fldCharType="end"/>
      </w:r>
      <w:r>
        <w:rPr>
          <w:rFonts w:hint="cs"/>
          <w:rtl/>
        </w:rPr>
        <w:t>.</w:t>
      </w:r>
    </w:p>
    <w:p w:rsidR="0013006A" w:rsidRPr="00A37615" w:rsidRDefault="0013006A" w:rsidP="0013006A">
      <w:pPr>
        <w:pStyle w:val="a2"/>
        <w:rPr>
          <w:rtl/>
        </w:rPr>
      </w:pPr>
      <w:bookmarkStart w:id="9433" w:name="_Toc19129483"/>
      <w:bookmarkStart w:id="9434" w:name="_Toc19130037"/>
      <w:bookmarkStart w:id="9435" w:name="_Toc19170970"/>
      <w:bookmarkStart w:id="9436" w:name="_Toc19180826"/>
      <w:r>
        <w:rPr>
          <w:rFonts w:hint="cs"/>
          <w:rtl/>
        </w:rPr>
        <w:t>ביאור הגרעק"א והפרמ"ג דלהרשב"א נטל"פ מותר מדין רוב ובחמץ לא מהני רוב להתיר</w:t>
      </w:r>
      <w:bookmarkEnd w:id="9433"/>
      <w:bookmarkEnd w:id="9434"/>
      <w:bookmarkEnd w:id="9435"/>
      <w:bookmarkEnd w:id="9436"/>
    </w:p>
    <w:p w:rsidR="0013006A" w:rsidRDefault="0013006A" w:rsidP="009F44AF">
      <w:pPr>
        <w:pStyle w:val="a"/>
        <w:rPr>
          <w:rtl/>
        </w:rPr>
      </w:pPr>
      <w:bookmarkStart w:id="9437" w:name="_Ref19131355"/>
      <w:r w:rsidRPr="00E8200D">
        <w:rPr>
          <w:rFonts w:hint="cs"/>
          <w:rtl/>
        </w:rPr>
        <w:t xml:space="preserve">וביאר </w:t>
      </w:r>
      <w:r w:rsidRPr="00E8200D">
        <w:rPr>
          <w:rStyle w:val="af8"/>
          <w:rFonts w:hint="cs"/>
          <w:rtl/>
        </w:rPr>
        <w:t>הגרעק"א בחולין</w:t>
      </w:r>
      <w:r w:rsidRPr="00E8200D">
        <w:rPr>
          <w:rFonts w:hint="cs"/>
          <w:rtl/>
        </w:rPr>
        <w:t xml:space="preserve"> </w:t>
      </w:r>
      <w:r w:rsidRPr="00E8200D">
        <w:rPr>
          <w:rStyle w:val="af6"/>
          <w:rFonts w:eastAsia="Guttman Hodes" w:hint="cs"/>
          <w:rtl/>
        </w:rPr>
        <w:t>(צז: אות ז' ד"ה וכן נראה)</w:t>
      </w:r>
      <w:r w:rsidRPr="00E8200D">
        <w:rPr>
          <w:rFonts w:hint="cs"/>
          <w:rtl/>
        </w:rPr>
        <w:t xml:space="preserve"> </w:t>
      </w:r>
      <w:r w:rsidRPr="00E8200D">
        <w:rPr>
          <w:rStyle w:val="af8"/>
          <w:rFonts w:hint="cs"/>
          <w:rtl/>
        </w:rPr>
        <w:t>ובתשו'</w:t>
      </w:r>
      <w:r w:rsidRPr="00E8200D">
        <w:rPr>
          <w:rFonts w:hint="cs"/>
          <w:rtl/>
        </w:rPr>
        <w:t xml:space="preserve"> </w:t>
      </w:r>
      <w:r w:rsidRPr="00E8200D">
        <w:rPr>
          <w:rStyle w:val="af6"/>
          <w:rFonts w:eastAsia="Guttman Hodes" w:hint="cs"/>
          <w:rtl/>
        </w:rPr>
        <w:t>(מהדו"ק קס"ו ד"ה ויש להסביר, סי' קפ"ג ד"ה והנה לכאורה)</w:t>
      </w:r>
      <w:r w:rsidRPr="00E8200D">
        <w:rPr>
          <w:rFonts w:hint="cs"/>
          <w:rtl/>
        </w:rPr>
        <w:t xml:space="preserve"> את דברי </w:t>
      </w:r>
      <w:r w:rsidRPr="00E8200D">
        <w:rPr>
          <w:rStyle w:val="af8"/>
          <w:rFonts w:hint="cs"/>
          <w:rtl/>
        </w:rPr>
        <w:t xml:space="preserve">הרשב"א </w:t>
      </w:r>
      <w:r w:rsidRPr="00E8200D">
        <w:rPr>
          <w:rFonts w:hint="cs"/>
          <w:rtl/>
        </w:rPr>
        <w:t>דבחמץ שאסור במשהו, אף נותן טעם</w:t>
      </w:r>
      <w:r>
        <w:rPr>
          <w:rFonts w:hint="cs"/>
          <w:rtl/>
        </w:rPr>
        <w:t xml:space="preserve"> לפגם אסור, דכיון דלדעת </w:t>
      </w:r>
      <w:r>
        <w:rPr>
          <w:rStyle w:val="af8"/>
          <w:rtl/>
        </w:rPr>
        <w:t>הרשב"א</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ההיתר בנותן טעם לפגם הוא מדין רוב, א"כ בחמץ שאסור במשהו ואינו מתבטל ברוב, לא שייך להתירו בנותן טעם לפגם, וכ"כ </w:t>
      </w:r>
      <w:r w:rsidRPr="00650D4E">
        <w:rPr>
          <w:rStyle w:val="af8"/>
          <w:rFonts w:hint="cs"/>
          <w:rtl/>
        </w:rPr>
        <w:t>הפרמ"ג</w:t>
      </w:r>
      <w:r>
        <w:rPr>
          <w:rFonts w:hint="cs"/>
          <w:rtl/>
        </w:rPr>
        <w:t xml:space="preserve"> </w:t>
      </w:r>
      <w:r w:rsidRPr="00650D4E">
        <w:rPr>
          <w:rStyle w:val="af6"/>
          <w:rFonts w:eastAsia="Guttman Hodes" w:hint="cs"/>
          <w:rtl/>
        </w:rPr>
        <w:t>(סי' ק"ג משב"ז סוס"ק א')</w:t>
      </w:r>
      <w:r>
        <w:rPr>
          <w:rFonts w:hint="cs"/>
          <w:rtl/>
        </w:rPr>
        <w:t>.</w:t>
      </w:r>
      <w:bookmarkEnd w:id="9437"/>
    </w:p>
    <w:p w:rsidR="0013006A" w:rsidRPr="00F6554E" w:rsidRDefault="0013006A" w:rsidP="0013006A">
      <w:pPr>
        <w:pStyle w:val="a2"/>
        <w:rPr>
          <w:rtl/>
        </w:rPr>
      </w:pPr>
      <w:bookmarkStart w:id="9438" w:name="_Toc19170971"/>
      <w:bookmarkStart w:id="9439" w:name="_Toc19180827"/>
      <w:bookmarkStart w:id="9440" w:name="_Toc18946786"/>
      <w:bookmarkStart w:id="9441" w:name="_Toc19026249"/>
      <w:bookmarkStart w:id="9442" w:name="_Toc19029726"/>
      <w:bookmarkStart w:id="9443" w:name="_Toc19030110"/>
      <w:bookmarkStart w:id="9444" w:name="_Toc19082171"/>
      <w:bookmarkStart w:id="9445" w:name="_Toc19129484"/>
      <w:bookmarkStart w:id="9446" w:name="_Toc19130038"/>
      <w:r w:rsidRPr="00F6554E">
        <w:rPr>
          <w:rFonts w:hint="cs"/>
          <w:rtl/>
        </w:rPr>
        <w:t>ביאו</w:t>
      </w:r>
      <w:r>
        <w:rPr>
          <w:rFonts w:hint="cs"/>
          <w:rtl/>
        </w:rPr>
        <w:t>ר היד יהודה ברשב"א דהיתר נטל"פ מדין ביטול וגוף האיסור עדיין אסור ובמשהו אין ביטול</w:t>
      </w:r>
      <w:bookmarkEnd w:id="9438"/>
      <w:bookmarkEnd w:id="9439"/>
    </w:p>
    <w:p w:rsidR="0013006A" w:rsidRDefault="0013006A" w:rsidP="009F44AF">
      <w:pPr>
        <w:pStyle w:val="a"/>
      </w:pPr>
      <w:bookmarkStart w:id="9447" w:name="_Ref20428036"/>
      <w:r>
        <w:rPr>
          <w:rStyle w:val="af8"/>
          <w:rFonts w:hint="cs"/>
          <w:rtl/>
        </w:rPr>
        <w:t>ו</w:t>
      </w:r>
      <w:r w:rsidRPr="00A702B0">
        <w:rPr>
          <w:rStyle w:val="af8"/>
          <w:rFonts w:hint="cs"/>
          <w:rtl/>
        </w:rPr>
        <w:t>היד יהודה</w:t>
      </w:r>
      <w:r w:rsidRPr="00A702B0">
        <w:rPr>
          <w:rFonts w:hint="cs"/>
          <w:rtl/>
        </w:rPr>
        <w:t xml:space="preserve"> </w:t>
      </w:r>
      <w:r w:rsidRPr="00F565A1">
        <w:rPr>
          <w:rStyle w:val="af6"/>
          <w:rFonts w:eastAsia="Guttman Hodes" w:hint="cs"/>
          <w:rtl/>
        </w:rPr>
        <w:t>(סי' ק"ג סק"א ד"ה מעתה נבאר)</w:t>
      </w:r>
      <w:r w:rsidRPr="00A702B0">
        <w:rPr>
          <w:rFonts w:hint="cs"/>
          <w:rtl/>
        </w:rPr>
        <w:t xml:space="preserve"> כתב</w:t>
      </w:r>
      <w:r>
        <w:rPr>
          <w:rFonts w:hint="cs"/>
          <w:rtl/>
        </w:rPr>
        <w:t xml:space="preserve"> ד</w:t>
      </w:r>
      <w:r w:rsidRPr="00A702B0">
        <w:rPr>
          <w:rFonts w:hint="cs"/>
          <w:rtl/>
        </w:rPr>
        <w:t xml:space="preserve">לדעת </w:t>
      </w:r>
      <w:r>
        <w:rPr>
          <w:rStyle w:val="af8"/>
          <w:rtl/>
        </w:rPr>
        <w:t>הרשב"א</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Fonts w:hint="cs"/>
          <w:rtl/>
        </w:rPr>
        <w:t xml:space="preserve"> דבנותן טעם לפגם </w:t>
      </w:r>
      <w:r w:rsidRPr="00A702B0">
        <w:rPr>
          <w:rFonts w:hint="cs"/>
          <w:rtl/>
        </w:rPr>
        <w:t>גוף האיסור עדיין אסור,</w:t>
      </w:r>
      <w:r>
        <w:rPr>
          <w:rFonts w:hint="cs"/>
          <w:rtl/>
        </w:rPr>
        <w:t xml:space="preserve"> </w:t>
      </w:r>
      <w:r w:rsidRPr="0096668B">
        <w:rPr>
          <w:rStyle w:val="afa"/>
          <w:rFonts w:hint="cs"/>
          <w:rtl/>
        </w:rPr>
        <w:t>[</w:t>
      </w:r>
      <w:r>
        <w:rPr>
          <w:rStyle w:val="afa"/>
          <w:rFonts w:hint="cs"/>
          <w:rtl/>
        </w:rPr>
        <w:t xml:space="preserve">כדביאר </w:t>
      </w:r>
      <w:r w:rsidRPr="0096668B">
        <w:rPr>
          <w:rStyle w:val="affa"/>
          <w:rFonts w:hint="cs"/>
          <w:rtl/>
        </w:rPr>
        <w:t>היד יהודה</w:t>
      </w:r>
      <w:r>
        <w:rPr>
          <w:rStyle w:val="afa"/>
          <w:rFonts w:hint="cs"/>
          <w:rtl/>
        </w:rPr>
        <w:t xml:space="preserve"> </w:t>
      </w:r>
      <w:r w:rsidRPr="00F6554E">
        <w:rPr>
          <w:rStyle w:val="aff6"/>
          <w:rFonts w:hint="cs"/>
          <w:rtl/>
        </w:rPr>
        <w:t xml:space="preserve">(הובא לעיל סימן י"ב אות </w:t>
      </w:r>
      <w:r>
        <w:rPr>
          <w:rStyle w:val="aff6"/>
          <w:rFonts w:hint="cs"/>
          <w:rtl/>
        </w:rPr>
        <w:t>ע"א</w:t>
      </w:r>
      <w:r w:rsidRPr="00F6554E">
        <w:rPr>
          <w:rStyle w:val="aff6"/>
          <w:rFonts w:hint="cs"/>
          <w:rtl/>
        </w:rPr>
        <w:t>)</w:t>
      </w:r>
      <w:r w:rsidRPr="0096668B">
        <w:rPr>
          <w:rStyle w:val="afa"/>
          <w:rFonts w:hint="cs"/>
          <w:rtl/>
        </w:rPr>
        <w:t xml:space="preserve"> בדעת </w:t>
      </w:r>
      <w:r w:rsidRPr="0096668B">
        <w:rPr>
          <w:rStyle w:val="affa"/>
          <w:rFonts w:hint="cs"/>
          <w:rtl/>
        </w:rPr>
        <w:t>הרשב"א</w:t>
      </w:r>
      <w:r w:rsidRPr="0096668B">
        <w:rPr>
          <w:rStyle w:val="afa"/>
          <w:rFonts w:hint="cs"/>
          <w:rtl/>
        </w:rPr>
        <w:t>],</w:t>
      </w:r>
      <w:r w:rsidRPr="00A702B0">
        <w:rPr>
          <w:rFonts w:hint="cs"/>
          <w:rtl/>
        </w:rPr>
        <w:t xml:space="preserve"> כיון שהוא ראוי לאכילה, אלא דטעמו מותר</w:t>
      </w:r>
      <w:r>
        <w:rPr>
          <w:rFonts w:hint="cs"/>
          <w:rtl/>
        </w:rPr>
        <w:t xml:space="preserve"> כיון שאין דין טעם כעיקר בטעם פגום</w:t>
      </w:r>
      <w:r w:rsidRPr="00A702B0">
        <w:rPr>
          <w:rFonts w:hint="cs"/>
          <w:rtl/>
        </w:rPr>
        <w:t xml:space="preserve">, ולכן הוא מתבטל ברוב, </w:t>
      </w:r>
      <w:r>
        <w:rPr>
          <w:rFonts w:hint="cs"/>
          <w:rtl/>
        </w:rPr>
        <w:t xml:space="preserve">וא"כ </w:t>
      </w:r>
      <w:r w:rsidRPr="00A702B0">
        <w:rPr>
          <w:rFonts w:hint="cs"/>
          <w:rtl/>
        </w:rPr>
        <w:t>במקום שאין ביטול ברוב</w:t>
      </w:r>
      <w:r>
        <w:rPr>
          <w:rFonts w:hint="cs"/>
          <w:rtl/>
        </w:rPr>
        <w:t xml:space="preserve">, אין היתר בנותן טעם לפגם, </w:t>
      </w:r>
      <w:r w:rsidRPr="00A702B0">
        <w:rPr>
          <w:rFonts w:hint="cs"/>
          <w:rtl/>
        </w:rPr>
        <w:t xml:space="preserve">ולכן </w:t>
      </w:r>
      <w:r>
        <w:rPr>
          <w:rFonts w:hint="cs"/>
          <w:rtl/>
        </w:rPr>
        <w:t xml:space="preserve">ס"ל </w:t>
      </w:r>
      <w:r>
        <w:rPr>
          <w:rStyle w:val="af8"/>
          <w:rFonts w:hint="cs"/>
          <w:rtl/>
        </w:rPr>
        <w:t>להשב"א</w:t>
      </w:r>
      <w:r>
        <w:rPr>
          <w:rFonts w:hint="cs"/>
          <w:rtl/>
        </w:rPr>
        <w:t xml:space="preserve"> ד</w:t>
      </w:r>
      <w:r w:rsidRPr="00A702B0">
        <w:rPr>
          <w:rFonts w:hint="cs"/>
          <w:rtl/>
        </w:rPr>
        <w:t>במקום</w:t>
      </w:r>
      <w:r w:rsidRPr="00316EB2">
        <w:rPr>
          <w:rFonts w:hint="cs"/>
          <w:rtl/>
        </w:rPr>
        <w:t xml:space="preserve"> שמשהו אוסר כחמץ,</w:t>
      </w:r>
      <w:r>
        <w:rPr>
          <w:rFonts w:hint="cs"/>
          <w:rtl/>
        </w:rPr>
        <w:t xml:space="preserve"> </w:t>
      </w:r>
      <w:r w:rsidRPr="00316EB2">
        <w:rPr>
          <w:rFonts w:hint="cs"/>
          <w:rtl/>
        </w:rPr>
        <w:t>נותן טעם</w:t>
      </w:r>
      <w:r w:rsidRPr="00290AF6">
        <w:rPr>
          <w:rFonts w:hint="cs"/>
          <w:rtl/>
        </w:rPr>
        <w:t xml:space="preserve"> לפגם </w:t>
      </w:r>
      <w:r w:rsidRPr="00A702B0">
        <w:rPr>
          <w:rFonts w:hint="cs"/>
          <w:rtl/>
        </w:rPr>
        <w:t>אסור</w:t>
      </w:r>
      <w:r>
        <w:rPr>
          <w:rFonts w:hint="cs"/>
          <w:rtl/>
        </w:rPr>
        <w:t>.</w:t>
      </w:r>
      <w:bookmarkEnd w:id="9447"/>
      <w:r>
        <w:rPr>
          <w:rFonts w:hint="cs"/>
          <w:rtl/>
        </w:rPr>
        <w:t xml:space="preserve"> </w:t>
      </w:r>
    </w:p>
    <w:p w:rsidR="0013006A" w:rsidRDefault="0013006A" w:rsidP="0013006A">
      <w:pPr>
        <w:pStyle w:val="1"/>
        <w:rPr>
          <w:rtl/>
        </w:rPr>
      </w:pPr>
      <w:bookmarkStart w:id="9448" w:name="_Toc19170972"/>
      <w:bookmarkStart w:id="9449" w:name="_Toc19180828"/>
      <w:r>
        <w:rPr>
          <w:rFonts w:hint="cs"/>
          <w:rtl/>
        </w:rPr>
        <w:t>דעת ה</w:t>
      </w:r>
      <w:r w:rsidRPr="0071266C">
        <w:rPr>
          <w:rtl/>
        </w:rPr>
        <w:t>מהר"ם חלאווה</w:t>
      </w:r>
      <w:r>
        <w:rPr>
          <w:rFonts w:hint="cs"/>
          <w:rtl/>
        </w:rPr>
        <w:t xml:space="preserve"> דבמשהו שהוא מועט אין כל פגם ואסור</w:t>
      </w:r>
      <w:bookmarkEnd w:id="9448"/>
      <w:bookmarkEnd w:id="9449"/>
      <w:r>
        <w:rPr>
          <w:rFonts w:hint="cs"/>
          <w:rtl/>
        </w:rPr>
        <w:t xml:space="preserve"> </w:t>
      </w:r>
    </w:p>
    <w:p w:rsidR="0013006A" w:rsidRPr="00A37615" w:rsidRDefault="0013006A" w:rsidP="0013006A">
      <w:pPr>
        <w:pStyle w:val="a2"/>
        <w:rPr>
          <w:rtl/>
        </w:rPr>
      </w:pPr>
      <w:bookmarkStart w:id="9450" w:name="_Toc19170973"/>
      <w:bookmarkStart w:id="9451" w:name="_Toc19180829"/>
      <w:r>
        <w:rPr>
          <w:rFonts w:hint="cs"/>
          <w:rtl/>
        </w:rPr>
        <w:t>ביאור המהר"ם חלאווה דנטל"פ במשהו דהוא מועט מאוד ולא חשיב פגם ואסור במשהו</w:t>
      </w:r>
      <w:bookmarkEnd w:id="9450"/>
      <w:bookmarkEnd w:id="9451"/>
    </w:p>
    <w:p w:rsidR="0013006A" w:rsidRPr="006663DD" w:rsidRDefault="0013006A" w:rsidP="009F44AF">
      <w:pPr>
        <w:pStyle w:val="a"/>
        <w:rPr>
          <w:rtl/>
        </w:rPr>
      </w:pPr>
      <w:bookmarkStart w:id="9452" w:name="_Ref19460916"/>
      <w:r w:rsidRPr="00C87E9F">
        <w:rPr>
          <w:rStyle w:val="af8"/>
          <w:rFonts w:hint="cs"/>
          <w:rtl/>
        </w:rPr>
        <w:t>ובמהר"ם חלאווה</w:t>
      </w:r>
      <w:r w:rsidRPr="004F4BF7">
        <w:rPr>
          <w:rStyle w:val="af6"/>
          <w:rFonts w:eastAsia="Guttman Hodes" w:hint="cs"/>
          <w:rtl/>
        </w:rPr>
        <w:t xml:space="preserve"> (פסחים ל. ד"ה אמר רב) </w:t>
      </w:r>
      <w:r>
        <w:rPr>
          <w:rFonts w:hint="cs"/>
          <w:rtl/>
        </w:rPr>
        <w:t xml:space="preserve">כתב בשם </w:t>
      </w:r>
      <w:r w:rsidRPr="00C87E9F">
        <w:rPr>
          <w:rStyle w:val="af8"/>
          <w:rFonts w:hint="cs"/>
          <w:rtl/>
        </w:rPr>
        <w:t xml:space="preserve">התוס' </w:t>
      </w:r>
      <w:r>
        <w:rPr>
          <w:rFonts w:hint="cs"/>
          <w:rtl/>
        </w:rPr>
        <w:t xml:space="preserve">דבנותן טעם לפגם במשהו, לא חשיב שהוא פוגם, דכיון שהוא כ"כ מועט אינו פוגם כלל, ולכן במין במינו דאיסורו במשהו, אף נותן טעם לפגם אוסר במשהו, אבל בשלא במינו דשיעורו הוא בנתינת טעם, נותן טעם לפגם אינו אוסר. [ועי' בדברי </w:t>
      </w:r>
      <w:r w:rsidRPr="004529BA">
        <w:rPr>
          <w:rStyle w:val="af8"/>
          <w:rFonts w:hint="cs"/>
          <w:rtl/>
        </w:rPr>
        <w:t>הריטב"א</w:t>
      </w:r>
      <w:r>
        <w:rPr>
          <w:rFonts w:hint="cs"/>
          <w:rtl/>
        </w:rPr>
        <w:t xml:space="preserve"> </w:t>
      </w:r>
      <w:r w:rsidRPr="004529BA">
        <w:rPr>
          <w:rStyle w:val="af6"/>
          <w:rFonts w:eastAsia="Guttman Hodes" w:hint="cs"/>
          <w:rtl/>
        </w:rPr>
        <w:t xml:space="preserve">(עי' אות </w:t>
      </w:r>
      <w:r w:rsidRPr="004529BA">
        <w:rPr>
          <w:rStyle w:val="af6"/>
          <w:rFonts w:eastAsia="Guttman Hodes"/>
          <w:rtl/>
        </w:rPr>
        <w:fldChar w:fldCharType="begin"/>
      </w:r>
      <w:r w:rsidRPr="004529BA">
        <w:rPr>
          <w:rStyle w:val="af6"/>
          <w:rFonts w:eastAsia="Guttman Hodes"/>
          <w:rtl/>
        </w:rPr>
        <w:instrText xml:space="preserve"> </w:instrText>
      </w:r>
      <w:r w:rsidRPr="004529BA">
        <w:rPr>
          <w:rStyle w:val="af6"/>
          <w:rFonts w:eastAsia="Guttman Hodes" w:hint="cs"/>
        </w:rPr>
        <w:instrText>REF</w:instrText>
      </w:r>
      <w:r w:rsidRPr="004529BA">
        <w:rPr>
          <w:rStyle w:val="af6"/>
          <w:rFonts w:eastAsia="Guttman Hodes" w:hint="cs"/>
          <w:rtl/>
        </w:rPr>
        <w:instrText xml:space="preserve"> _</w:instrText>
      </w:r>
      <w:r w:rsidRPr="004529BA">
        <w:rPr>
          <w:rStyle w:val="af6"/>
          <w:rFonts w:eastAsia="Guttman Hodes" w:hint="cs"/>
        </w:rPr>
        <w:instrText>Ref19460865 \r \h</w:instrText>
      </w:r>
      <w:r w:rsidRPr="004529BA">
        <w:rPr>
          <w:rStyle w:val="af6"/>
          <w:rFonts w:eastAsia="Guttman Hodes"/>
          <w:rtl/>
        </w:rPr>
        <w:instrText xml:space="preserve"> </w:instrText>
      </w:r>
      <w:r w:rsidRPr="004529BA">
        <w:rPr>
          <w:rStyle w:val="af6"/>
          <w:rFonts w:eastAsia="Guttman Hodes"/>
          <w:rtl/>
        </w:rPr>
      </w:r>
      <w:r w:rsidRPr="004529BA">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4529BA">
        <w:rPr>
          <w:rStyle w:val="af6"/>
          <w:rFonts w:eastAsia="Guttman Hodes"/>
          <w:rtl/>
        </w:rPr>
        <w:fldChar w:fldCharType="end"/>
      </w:r>
      <w:r>
        <w:rPr>
          <w:rFonts w:hint="cs"/>
          <w:rtl/>
        </w:rPr>
        <w:t>].</w:t>
      </w:r>
      <w:bookmarkEnd w:id="9452"/>
    </w:p>
    <w:p w:rsidR="0013006A" w:rsidRPr="001543A7" w:rsidRDefault="0013006A" w:rsidP="0013006A">
      <w:pPr>
        <w:pStyle w:val="1"/>
        <w:rPr>
          <w:rtl/>
        </w:rPr>
      </w:pPr>
      <w:bookmarkStart w:id="9453" w:name="_Toc19170974"/>
      <w:bookmarkStart w:id="9454" w:name="_Toc19180830"/>
      <w:r>
        <w:rPr>
          <w:rFonts w:hint="cs"/>
          <w:rtl/>
        </w:rPr>
        <w:t xml:space="preserve">דעת הי"מ בתוס' וברא"ש ובר"ן </w:t>
      </w:r>
      <w:bookmarkEnd w:id="9440"/>
      <w:bookmarkEnd w:id="9441"/>
      <w:bookmarkEnd w:id="9442"/>
      <w:bookmarkEnd w:id="9443"/>
      <w:bookmarkEnd w:id="9444"/>
      <w:bookmarkEnd w:id="9445"/>
      <w:bookmarkEnd w:id="9446"/>
      <w:r>
        <w:rPr>
          <w:rFonts w:hint="cs"/>
          <w:rtl/>
        </w:rPr>
        <w:t>דבאיסור משהו נטל"פ אוסר</w:t>
      </w:r>
      <w:bookmarkEnd w:id="9453"/>
      <w:bookmarkEnd w:id="9454"/>
      <w:r>
        <w:rPr>
          <w:rFonts w:hint="cs"/>
          <w:rtl/>
        </w:rPr>
        <w:t xml:space="preserve"> </w:t>
      </w:r>
    </w:p>
    <w:p w:rsidR="0013006A" w:rsidRPr="00A37615" w:rsidRDefault="0013006A" w:rsidP="0013006A">
      <w:pPr>
        <w:pStyle w:val="a2"/>
        <w:rPr>
          <w:rtl/>
        </w:rPr>
      </w:pPr>
      <w:bookmarkStart w:id="9455" w:name="_Toc19129485"/>
      <w:bookmarkStart w:id="9456" w:name="_Toc19130039"/>
      <w:bookmarkStart w:id="9457" w:name="_Toc19170975"/>
      <w:bookmarkStart w:id="9458" w:name="_Toc19180831"/>
      <w:r>
        <w:rPr>
          <w:rFonts w:hint="cs"/>
          <w:rtl/>
        </w:rPr>
        <w:t>דעת הי"מ בתוס' וברא"ש דכיון דבמשהו בטל הטעם לגמרי א"כ באיסור משהו נטל"פ אסור</w:t>
      </w:r>
      <w:bookmarkEnd w:id="9455"/>
      <w:bookmarkEnd w:id="9456"/>
      <w:bookmarkEnd w:id="9457"/>
      <w:bookmarkEnd w:id="9458"/>
      <w:r>
        <w:rPr>
          <w:rFonts w:hint="cs"/>
          <w:rtl/>
        </w:rPr>
        <w:t xml:space="preserve"> </w:t>
      </w:r>
    </w:p>
    <w:p w:rsidR="0013006A" w:rsidRDefault="0013006A" w:rsidP="009F44AF">
      <w:pPr>
        <w:pStyle w:val="a"/>
        <w:rPr>
          <w:sz w:val="10"/>
          <w:szCs w:val="14"/>
          <w:rtl/>
        </w:rPr>
      </w:pPr>
      <w:r>
        <w:rPr>
          <w:rFonts w:hint="cs"/>
          <w:rtl/>
        </w:rPr>
        <w:t xml:space="preserve">הביאו </w:t>
      </w:r>
      <w:r w:rsidRPr="00D409FE">
        <w:rPr>
          <w:rStyle w:val="af8"/>
          <w:rFonts w:hint="cs"/>
          <w:rtl/>
        </w:rPr>
        <w:t>התוס' לעיל</w:t>
      </w:r>
      <w:r>
        <w:rPr>
          <w:rFonts w:hint="cs"/>
          <w:rtl/>
        </w:rPr>
        <w:t xml:space="preserve"> </w:t>
      </w:r>
      <w:r w:rsidRPr="003E3C44">
        <w:rPr>
          <w:rStyle w:val="af6"/>
          <w:rFonts w:eastAsia="Guttman Hodes" w:hint="cs"/>
          <w:rtl/>
        </w:rPr>
        <w:t>(סו. ד"ה מכלל)</w:t>
      </w:r>
      <w:r>
        <w:rPr>
          <w:rFonts w:hint="cs"/>
          <w:rtl/>
        </w:rPr>
        <w:t xml:space="preserve"> </w:t>
      </w:r>
      <w:r w:rsidRPr="00D409FE">
        <w:rPr>
          <w:rStyle w:val="af8"/>
          <w:rFonts w:hint="cs"/>
          <w:rtl/>
        </w:rPr>
        <w:t>והרא"ש</w:t>
      </w:r>
      <w:r>
        <w:rPr>
          <w:rFonts w:hint="cs"/>
          <w:rtl/>
        </w:rPr>
        <w:t xml:space="preserve"> </w:t>
      </w:r>
      <w:r w:rsidRPr="003E3C44">
        <w:rPr>
          <w:rStyle w:val="af6"/>
          <w:rFonts w:eastAsia="Guttman Hodes" w:hint="cs"/>
          <w:rtl/>
        </w:rPr>
        <w:t>(סי' ו')</w:t>
      </w:r>
      <w:r>
        <w:rPr>
          <w:rFonts w:hint="cs"/>
          <w:rtl/>
        </w:rPr>
        <w:t xml:space="preserve"> בשם </w:t>
      </w:r>
      <w:r w:rsidRPr="00D409FE">
        <w:rPr>
          <w:rStyle w:val="af8"/>
          <w:rFonts w:hint="cs"/>
          <w:rtl/>
        </w:rPr>
        <w:t>י"מ</w:t>
      </w:r>
      <w:r>
        <w:rPr>
          <w:rFonts w:hint="cs"/>
          <w:rtl/>
        </w:rPr>
        <w:t xml:space="preserve"> דאין היתר נותן טעם לפגם באיסור משהו, כיון דבכל נתינת טעם אין לך ביטול יותר גדול ממשהו איסור באלף של היתר, ואף שהטעם בטל לגמרי, מ"מ הוא אסור,</w:t>
      </w:r>
      <w:r w:rsidRPr="00274FEF">
        <w:rPr>
          <w:rFonts w:hint="cs"/>
          <w:rtl/>
        </w:rPr>
        <w:t xml:space="preserve"> </w:t>
      </w:r>
      <w:r w:rsidRPr="003D12DD">
        <w:rPr>
          <w:rStyle w:val="afa"/>
          <w:rFonts w:hint="cs"/>
          <w:rtl/>
        </w:rPr>
        <w:t>[דהיינו דאף שהטעם הוא פוגם ואינו אוסר מדין נותן טעם, מ"מ אסור דהא משהו אוסר אף שאין בו נתינת טעם],</w:t>
      </w:r>
      <w:r>
        <w:rPr>
          <w:rFonts w:hint="cs"/>
          <w:rtl/>
        </w:rPr>
        <w:t xml:space="preserve">  וא"כ ה"ה בנותן טעם לפגם דאף שהטעם אינו אוסר מ"מ אסור במשהו</w:t>
      </w:r>
      <w:r>
        <w:rPr>
          <w:rStyle w:val="af0"/>
          <w:rtl/>
        </w:rPr>
        <w:footnoteReference w:id="40"/>
      </w:r>
      <w:r>
        <w:rPr>
          <w:rFonts w:hint="cs"/>
          <w:rtl/>
        </w:rPr>
        <w:t>.</w:t>
      </w:r>
    </w:p>
    <w:p w:rsidR="0013006A" w:rsidRPr="00EF4D6A" w:rsidRDefault="0013006A" w:rsidP="0013006A">
      <w:pPr>
        <w:pStyle w:val="a2"/>
      </w:pPr>
      <w:bookmarkStart w:id="9459" w:name="_Toc19130040"/>
      <w:bookmarkStart w:id="9460" w:name="_Toc19170976"/>
      <w:bookmarkStart w:id="9461" w:name="_Toc19180832"/>
      <w:r>
        <w:rPr>
          <w:rFonts w:hint="cs"/>
          <w:rtl/>
        </w:rPr>
        <w:lastRenderedPageBreak/>
        <w:t>דעת הי"מ בר"ן דנטל"פ אסור באיסור משהו שאיסור משהו אינו תלוי בטעם</w:t>
      </w:r>
      <w:bookmarkEnd w:id="9459"/>
      <w:bookmarkEnd w:id="9460"/>
      <w:bookmarkEnd w:id="9461"/>
    </w:p>
    <w:p w:rsidR="0013006A" w:rsidRPr="008D5A11" w:rsidRDefault="0013006A" w:rsidP="009F44AF">
      <w:pPr>
        <w:pStyle w:val="a"/>
        <w:rPr>
          <w:rStyle w:val="afa"/>
          <w:rtl/>
        </w:rPr>
      </w:pPr>
      <w:r w:rsidRPr="002E02AD">
        <w:rPr>
          <w:rStyle w:val="af8"/>
          <w:rFonts w:hint="cs"/>
          <w:rtl/>
        </w:rPr>
        <w:t>וה</w:t>
      </w:r>
      <w:r w:rsidRPr="008D5A11">
        <w:rPr>
          <w:rStyle w:val="af8"/>
          <w:rFonts w:hint="cs"/>
          <w:rtl/>
        </w:rPr>
        <w:t>ר"ן על הרי"ף בפסחים</w:t>
      </w:r>
      <w:r>
        <w:rPr>
          <w:rFonts w:hint="cs"/>
          <w:rtl/>
        </w:rPr>
        <w:t xml:space="preserve"> </w:t>
      </w:r>
      <w:r w:rsidRPr="005D3B8E">
        <w:rPr>
          <w:rStyle w:val="af6"/>
          <w:rFonts w:eastAsia="Guttman Hodes" w:hint="cs"/>
          <w:rtl/>
        </w:rPr>
        <w:t xml:space="preserve">(עי' אות </w:t>
      </w:r>
      <w:r w:rsidRPr="005D3B8E">
        <w:rPr>
          <w:rStyle w:val="af6"/>
          <w:rFonts w:eastAsia="Guttman Hodes"/>
          <w:rtl/>
        </w:rPr>
        <w:fldChar w:fldCharType="begin"/>
      </w:r>
      <w:r w:rsidRPr="005D3B8E">
        <w:rPr>
          <w:rStyle w:val="af6"/>
          <w:rFonts w:eastAsia="Guttman Hodes"/>
          <w:rtl/>
        </w:rPr>
        <w:instrText xml:space="preserve"> </w:instrText>
      </w:r>
      <w:r w:rsidRPr="005D3B8E">
        <w:rPr>
          <w:rStyle w:val="af6"/>
          <w:rFonts w:eastAsia="Guttman Hodes" w:hint="cs"/>
        </w:rPr>
        <w:instrText>REF</w:instrText>
      </w:r>
      <w:r w:rsidRPr="005D3B8E">
        <w:rPr>
          <w:rStyle w:val="af6"/>
          <w:rFonts w:eastAsia="Guttman Hodes" w:hint="cs"/>
          <w:rtl/>
        </w:rPr>
        <w:instrText xml:space="preserve"> _</w:instrText>
      </w:r>
      <w:r w:rsidRPr="005D3B8E">
        <w:rPr>
          <w:rStyle w:val="af6"/>
          <w:rFonts w:eastAsia="Guttman Hodes" w:hint="cs"/>
        </w:rPr>
        <w:instrText>Ref18945965 \r \h</w:instrText>
      </w:r>
      <w:r w:rsidRPr="005D3B8E">
        <w:rPr>
          <w:rStyle w:val="af6"/>
          <w:rFonts w:eastAsia="Guttman Hodes"/>
          <w:rtl/>
        </w:rPr>
        <w:instrText xml:space="preserve"> </w:instrText>
      </w:r>
      <w:r w:rsidRPr="005D3B8E">
        <w:rPr>
          <w:rStyle w:val="af6"/>
          <w:rFonts w:eastAsia="Guttman Hodes"/>
          <w:rtl/>
        </w:rPr>
      </w:r>
      <w:r w:rsidRPr="005D3B8E">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D3B8E">
        <w:rPr>
          <w:rStyle w:val="af6"/>
          <w:rFonts w:eastAsia="Guttman Hodes"/>
          <w:rtl/>
        </w:rPr>
        <w:fldChar w:fldCharType="end"/>
      </w:r>
      <w:r>
        <w:rPr>
          <w:rFonts w:hint="cs"/>
          <w:rtl/>
        </w:rPr>
        <w:t xml:space="preserve"> כתב בשם </w:t>
      </w:r>
      <w:r w:rsidRPr="008D5A11">
        <w:rPr>
          <w:rStyle w:val="af8"/>
          <w:rFonts w:hint="cs"/>
          <w:rtl/>
        </w:rPr>
        <w:t>י</w:t>
      </w:r>
      <w:r w:rsidRPr="00B31E07">
        <w:rPr>
          <w:rStyle w:val="af8"/>
          <w:rFonts w:hint="cs"/>
          <w:rtl/>
        </w:rPr>
        <w:t>"</w:t>
      </w:r>
      <w:r>
        <w:rPr>
          <w:rStyle w:val="af8"/>
          <w:rFonts w:hint="cs"/>
          <w:rtl/>
        </w:rPr>
        <w:t>מ</w:t>
      </w:r>
      <w:r>
        <w:rPr>
          <w:rFonts w:hint="cs"/>
          <w:rtl/>
        </w:rPr>
        <w:t xml:space="preserve"> דכל ההיתר בנותן טעם לפגם, הוא רק באיסורים שאוסרים בנותן טעם, אבל חמץ שאוסר במשהו, כיון שאיסורו אינו תלוי בנתינת טעם, לכן הוא אוסר אף בנותן טעם לפגם.</w:t>
      </w:r>
    </w:p>
    <w:p w:rsidR="0013006A" w:rsidRPr="0081356D" w:rsidRDefault="0013006A" w:rsidP="00E669F8">
      <w:pPr>
        <w:pStyle w:val="afd"/>
        <w:rPr>
          <w:rtl/>
        </w:rPr>
      </w:pPr>
      <w:bookmarkStart w:id="9462" w:name="_Toc18946787"/>
      <w:bookmarkStart w:id="9463" w:name="_Toc19026250"/>
      <w:bookmarkStart w:id="9464" w:name="_Toc19029727"/>
      <w:bookmarkStart w:id="9465" w:name="_Toc19030111"/>
      <w:bookmarkStart w:id="9466" w:name="_Toc19082172"/>
      <w:bookmarkStart w:id="9467" w:name="_Toc19129486"/>
      <w:bookmarkStart w:id="9468" w:name="_Toc19130041"/>
      <w:bookmarkStart w:id="9469" w:name="_Toc19170977"/>
      <w:bookmarkStart w:id="9470" w:name="_Toc19180833"/>
      <w:r w:rsidRPr="0081356D">
        <w:rPr>
          <w:rFonts w:hint="cs"/>
          <w:rtl/>
        </w:rPr>
        <w:t>דעת המתירים בנטל"פ באיסור משהו</w:t>
      </w:r>
      <w:bookmarkEnd w:id="9462"/>
      <w:bookmarkEnd w:id="9463"/>
      <w:bookmarkEnd w:id="9464"/>
      <w:bookmarkEnd w:id="9465"/>
      <w:bookmarkEnd w:id="9466"/>
      <w:bookmarkEnd w:id="9467"/>
      <w:bookmarkEnd w:id="9468"/>
      <w:bookmarkEnd w:id="9469"/>
      <w:bookmarkEnd w:id="9470"/>
    </w:p>
    <w:p w:rsidR="0013006A" w:rsidRDefault="0013006A" w:rsidP="0013006A">
      <w:pPr>
        <w:pStyle w:val="1"/>
        <w:rPr>
          <w:rtl/>
        </w:rPr>
      </w:pPr>
      <w:bookmarkStart w:id="9471" w:name="_Toc18946788"/>
      <w:bookmarkStart w:id="9472" w:name="_Toc19026251"/>
      <w:bookmarkStart w:id="9473" w:name="_Toc19029728"/>
      <w:bookmarkStart w:id="9474" w:name="_Toc19030112"/>
      <w:bookmarkStart w:id="9475" w:name="_Toc19082173"/>
      <w:bookmarkStart w:id="9476" w:name="_Toc19129487"/>
      <w:bookmarkStart w:id="9477" w:name="_Toc19130042"/>
      <w:bookmarkStart w:id="9478" w:name="_Toc19170978"/>
      <w:bookmarkStart w:id="9479" w:name="_Toc19180834"/>
      <w:r>
        <w:rPr>
          <w:rFonts w:hint="cs"/>
          <w:rtl/>
        </w:rPr>
        <w:t>דברי התוס' והרא"ש</w:t>
      </w:r>
      <w:bookmarkEnd w:id="9471"/>
      <w:bookmarkEnd w:id="9472"/>
      <w:bookmarkEnd w:id="9473"/>
      <w:bookmarkEnd w:id="9474"/>
      <w:bookmarkEnd w:id="9475"/>
      <w:bookmarkEnd w:id="9476"/>
      <w:r>
        <w:rPr>
          <w:rFonts w:hint="cs"/>
          <w:rtl/>
        </w:rPr>
        <w:t xml:space="preserve"> דבנטל"פ אין טעם ואין איסור ובטל במשהו</w:t>
      </w:r>
      <w:bookmarkEnd w:id="9477"/>
      <w:bookmarkEnd w:id="9478"/>
      <w:bookmarkEnd w:id="9479"/>
    </w:p>
    <w:p w:rsidR="0013006A" w:rsidRPr="00A37615" w:rsidRDefault="0013006A" w:rsidP="0013006A">
      <w:pPr>
        <w:pStyle w:val="a2"/>
        <w:rPr>
          <w:rtl/>
        </w:rPr>
      </w:pPr>
      <w:bookmarkStart w:id="9480" w:name="_Toc19129488"/>
      <w:bookmarkStart w:id="9481" w:name="_Toc19130043"/>
      <w:bookmarkStart w:id="9482" w:name="_Toc19170979"/>
      <w:bookmarkStart w:id="9483" w:name="_Toc19180835"/>
      <w:r>
        <w:rPr>
          <w:rFonts w:hint="cs"/>
          <w:rtl/>
        </w:rPr>
        <w:t>דברי התוס' והרא"ש דבמין במינו באותו טעם לא שייך ביטול אבל משהו איסור</w:t>
      </w:r>
      <w:r w:rsidRPr="005C3751">
        <w:rPr>
          <w:rFonts w:hint="cs"/>
          <w:rtl/>
        </w:rPr>
        <w:t xml:space="preserve"> </w:t>
      </w:r>
      <w:r>
        <w:rPr>
          <w:rFonts w:hint="cs"/>
          <w:rtl/>
        </w:rPr>
        <w:t>פגום בטל</w:t>
      </w:r>
      <w:bookmarkEnd w:id="9480"/>
      <w:bookmarkEnd w:id="9481"/>
      <w:bookmarkEnd w:id="9482"/>
      <w:bookmarkEnd w:id="9483"/>
    </w:p>
    <w:p w:rsidR="0013006A" w:rsidRDefault="0013006A" w:rsidP="009F44AF">
      <w:pPr>
        <w:pStyle w:val="a"/>
        <w:rPr>
          <w:sz w:val="10"/>
          <w:szCs w:val="14"/>
          <w:rtl/>
        </w:rPr>
      </w:pPr>
      <w:bookmarkStart w:id="9484" w:name="_Ref19128954"/>
      <w:r>
        <w:rPr>
          <w:rFonts w:hint="cs"/>
          <w:rtl/>
        </w:rPr>
        <w:t xml:space="preserve">ודחו </w:t>
      </w:r>
      <w:r w:rsidRPr="00D409FE">
        <w:rPr>
          <w:rStyle w:val="af8"/>
          <w:rFonts w:hint="cs"/>
          <w:rtl/>
        </w:rPr>
        <w:t>התוס' לעיל</w:t>
      </w:r>
      <w:r>
        <w:rPr>
          <w:rFonts w:hint="cs"/>
          <w:rtl/>
        </w:rPr>
        <w:t xml:space="preserve"> </w:t>
      </w:r>
      <w:r w:rsidRPr="003E3C44">
        <w:rPr>
          <w:rStyle w:val="af6"/>
          <w:rFonts w:eastAsia="Guttman Hodes" w:hint="cs"/>
          <w:rtl/>
        </w:rPr>
        <w:t>(סו. ד"ה מכלל)</w:t>
      </w:r>
      <w:r>
        <w:rPr>
          <w:rFonts w:hint="cs"/>
          <w:rtl/>
        </w:rPr>
        <w:t xml:space="preserve"> </w:t>
      </w:r>
      <w:r w:rsidRPr="00D409FE">
        <w:rPr>
          <w:rStyle w:val="af8"/>
          <w:rFonts w:hint="cs"/>
          <w:rtl/>
        </w:rPr>
        <w:t>והרא"ש</w:t>
      </w:r>
      <w:r>
        <w:rPr>
          <w:rFonts w:hint="cs"/>
          <w:rtl/>
        </w:rPr>
        <w:t xml:space="preserve"> </w:t>
      </w:r>
      <w:r w:rsidRPr="003E3C44">
        <w:rPr>
          <w:rStyle w:val="af6"/>
          <w:rFonts w:eastAsia="Guttman Hodes" w:hint="cs"/>
          <w:rtl/>
        </w:rPr>
        <w:t>(סי' ו')</w:t>
      </w:r>
      <w:r>
        <w:rPr>
          <w:rFonts w:hint="cs"/>
          <w:rtl/>
        </w:rPr>
        <w:t xml:space="preserve"> את דעת </w:t>
      </w:r>
      <w:r w:rsidRPr="00CF59A7">
        <w:rPr>
          <w:rStyle w:val="af8"/>
          <w:rFonts w:hint="cs"/>
          <w:rtl/>
        </w:rPr>
        <w:t>הי"א</w:t>
      </w:r>
      <w:r>
        <w:rPr>
          <w:rFonts w:hint="cs"/>
          <w:rtl/>
        </w:rPr>
        <w:t xml:space="preserve"> וכתבו דבמין במינו דאיסורו במשהו, </w:t>
      </w:r>
      <w:r w:rsidRPr="003439E4">
        <w:rPr>
          <w:rStyle w:val="afa"/>
          <w:rFonts w:hint="cs"/>
          <w:rtl/>
        </w:rPr>
        <w:t xml:space="preserve">[כדאיירי בגמ' לעיל </w:t>
      </w:r>
      <w:r w:rsidRPr="003439E4">
        <w:rPr>
          <w:rStyle w:val="aff6"/>
          <w:rFonts w:hint="cs"/>
          <w:rtl/>
        </w:rPr>
        <w:t>(סו.)</w:t>
      </w:r>
      <w:r w:rsidRPr="003439E4">
        <w:rPr>
          <w:rStyle w:val="afa"/>
          <w:rFonts w:hint="cs"/>
          <w:rtl/>
        </w:rPr>
        <w:t>]</w:t>
      </w:r>
      <w:r>
        <w:rPr>
          <w:rStyle w:val="afa"/>
          <w:rFonts w:hint="cs"/>
          <w:rtl/>
        </w:rPr>
        <w:t>,</w:t>
      </w:r>
      <w:r>
        <w:rPr>
          <w:rFonts w:hint="cs"/>
          <w:rtl/>
        </w:rPr>
        <w:t xml:space="preserve"> הטעם לא בטל כלל אפילו באלף, דהא טעם האיסור וטעם ההיתר הוא אותו טעם, וא"כ אין מה שיבטל את המשהו של טעם האיסור, אבל נותן טעם לפגם בטל במשהו איסור שהתערב בתוך אלף של היתר</w:t>
      </w:r>
      <w:r>
        <w:rPr>
          <w:rStyle w:val="af0"/>
          <w:rtl/>
        </w:rPr>
        <w:footnoteReference w:id="41"/>
      </w:r>
      <w:r>
        <w:rPr>
          <w:rFonts w:hint="cs"/>
          <w:rtl/>
        </w:rPr>
        <w:t>.</w:t>
      </w:r>
      <w:bookmarkEnd w:id="9484"/>
    </w:p>
    <w:p w:rsidR="0013006A" w:rsidRPr="003439E4" w:rsidRDefault="0013006A" w:rsidP="0013006A">
      <w:pPr>
        <w:pStyle w:val="a2"/>
      </w:pPr>
      <w:bookmarkStart w:id="9485" w:name="_Toc19129489"/>
      <w:bookmarkStart w:id="9486" w:name="_Toc19130044"/>
      <w:bookmarkStart w:id="9487" w:name="_Toc19170980"/>
      <w:bookmarkStart w:id="9488" w:name="_Toc19180836"/>
      <w:r>
        <w:rPr>
          <w:rFonts w:hint="cs"/>
          <w:rtl/>
        </w:rPr>
        <w:t>דברי הרא"ש דנטל"פ מותר מתחילתו כיון שאין בו כל טעם ולא שייך לומר דאינו בטל</w:t>
      </w:r>
      <w:bookmarkEnd w:id="9485"/>
      <w:bookmarkEnd w:id="9486"/>
      <w:bookmarkEnd w:id="9487"/>
      <w:bookmarkEnd w:id="9488"/>
    </w:p>
    <w:p w:rsidR="0013006A" w:rsidRPr="000E6F12" w:rsidRDefault="0013006A" w:rsidP="009F44AF">
      <w:pPr>
        <w:pStyle w:val="a"/>
        <w:rPr>
          <w:rStyle w:val="afa"/>
          <w:rtl/>
        </w:rPr>
      </w:pPr>
      <w:r>
        <w:rPr>
          <w:rFonts w:hint="cs"/>
          <w:rtl/>
        </w:rPr>
        <w:t xml:space="preserve">והוסיף </w:t>
      </w:r>
      <w:r w:rsidRPr="008D5A11">
        <w:rPr>
          <w:rStyle w:val="af8"/>
          <w:rFonts w:hint="cs"/>
          <w:rtl/>
        </w:rPr>
        <w:t>הרא"ש</w:t>
      </w:r>
      <w:r>
        <w:rPr>
          <w:rFonts w:hint="cs"/>
          <w:rtl/>
        </w:rPr>
        <w:t xml:space="preserve"> דבנותן טעם לפגם הוא מותר מתחילתו כיון שלא היה בו טעם כלל, ולא שייך לומר דאינו בטל באלף.</w:t>
      </w:r>
    </w:p>
    <w:p w:rsidR="0013006A" w:rsidRPr="007C1178" w:rsidRDefault="0013006A" w:rsidP="0013006A">
      <w:pPr>
        <w:pStyle w:val="a2"/>
        <w:rPr>
          <w:rFonts w:ascii="Cambria" w:hAnsi="Cambria"/>
          <w:rtl/>
        </w:rPr>
      </w:pPr>
      <w:bookmarkStart w:id="9489" w:name="_Toc19129490"/>
      <w:bookmarkStart w:id="9490" w:name="_Toc19130045"/>
      <w:bookmarkStart w:id="9491" w:name="_Toc19170981"/>
      <w:bookmarkStart w:id="9492" w:name="_Toc19180837"/>
      <w:r>
        <w:rPr>
          <w:rFonts w:ascii="Cambria" w:hAnsi="Cambria" w:hint="cs"/>
          <w:rtl/>
        </w:rPr>
        <w:t xml:space="preserve">דברי הרא"ש דבנטל"פ ילפינן מנבילה </w:t>
      </w:r>
      <w:r>
        <w:rPr>
          <w:rFonts w:ascii="Cambria" w:hAnsi="Cambria" w:hint="eastAsia"/>
          <w:rtl/>
        </w:rPr>
        <w:t>דהאיסור</w:t>
      </w:r>
      <w:r>
        <w:rPr>
          <w:rFonts w:ascii="Cambria" w:hAnsi="Cambria" w:hint="cs"/>
          <w:rtl/>
        </w:rPr>
        <w:t xml:space="preserve"> פקע ולא שייך להחמיר ולאוסרו במשהו</w:t>
      </w:r>
      <w:bookmarkEnd w:id="9489"/>
      <w:bookmarkEnd w:id="9490"/>
      <w:bookmarkEnd w:id="9491"/>
      <w:bookmarkEnd w:id="9492"/>
    </w:p>
    <w:p w:rsidR="0013006A" w:rsidRDefault="0013006A" w:rsidP="009F44AF">
      <w:pPr>
        <w:pStyle w:val="a"/>
        <w:rPr>
          <w:rtl/>
        </w:rPr>
      </w:pPr>
      <w:bookmarkStart w:id="9493" w:name="_Ref18858142"/>
      <w:bookmarkStart w:id="9494" w:name="_Ref19129109"/>
      <w:r>
        <w:rPr>
          <w:rFonts w:hint="cs"/>
          <w:rtl/>
        </w:rPr>
        <w:t xml:space="preserve">ועוד דחה </w:t>
      </w:r>
      <w:r w:rsidRPr="009C697B">
        <w:rPr>
          <w:rStyle w:val="af8"/>
          <w:rFonts w:hint="cs"/>
          <w:rtl/>
        </w:rPr>
        <w:t xml:space="preserve">הרא"ש </w:t>
      </w:r>
      <w:r>
        <w:rPr>
          <w:rFonts w:hint="cs"/>
          <w:rtl/>
        </w:rPr>
        <w:t>דהא דבדבר שאיסורו במשהו החמירה תורה לאסור דאף באלף אינו בטל,</w:t>
      </w:r>
      <w:r w:rsidRPr="00813701">
        <w:rPr>
          <w:rFonts w:hint="cs"/>
          <w:rtl/>
        </w:rPr>
        <w:t xml:space="preserve"> </w:t>
      </w:r>
      <w:r>
        <w:rPr>
          <w:rFonts w:hint="cs"/>
          <w:rtl/>
        </w:rPr>
        <w:t>הוא כיון שיש על האיסור עצמו שם של איסור, אבל בנותן טעם לפגם דילפינן מנבילה דפקע איסורו, א"כ לא שייך לאוסרו במשהו, דאף על האיסור עצמו אין שם איסור.</w:t>
      </w:r>
      <w:bookmarkEnd w:id="9493"/>
      <w:bookmarkEnd w:id="9494"/>
    </w:p>
    <w:p w:rsidR="0013006A" w:rsidRPr="00A37615" w:rsidRDefault="0013006A" w:rsidP="0013006A">
      <w:pPr>
        <w:pStyle w:val="a2"/>
        <w:rPr>
          <w:rtl/>
        </w:rPr>
      </w:pPr>
      <w:bookmarkStart w:id="9495" w:name="_Toc19129492"/>
      <w:bookmarkStart w:id="9496" w:name="_Toc19130046"/>
      <w:bookmarkStart w:id="9497" w:name="_Toc19170982"/>
      <w:bookmarkStart w:id="9498" w:name="_Toc19180838"/>
      <w:r>
        <w:rPr>
          <w:rFonts w:hint="cs"/>
          <w:rtl/>
        </w:rPr>
        <w:t>ביאור היד יהודה בתוס' וברא"ש דבמין במינו לא שייך ביטול אבל בנטל"פ אין טעם איסור כלל</w:t>
      </w:r>
      <w:bookmarkEnd w:id="9495"/>
      <w:bookmarkEnd w:id="9496"/>
      <w:bookmarkEnd w:id="9497"/>
      <w:bookmarkEnd w:id="9498"/>
    </w:p>
    <w:p w:rsidR="0013006A" w:rsidRDefault="0013006A" w:rsidP="009F44AF">
      <w:pPr>
        <w:pStyle w:val="a"/>
        <w:rPr>
          <w:rtl/>
        </w:rPr>
      </w:pPr>
      <w:r>
        <w:rPr>
          <w:rFonts w:hint="cs"/>
          <w:rtl/>
        </w:rPr>
        <w:t xml:space="preserve">וביאר </w:t>
      </w:r>
      <w:r w:rsidRPr="009C0050">
        <w:rPr>
          <w:rStyle w:val="af8"/>
          <w:rFonts w:hint="cs"/>
          <w:rtl/>
        </w:rPr>
        <w:t>היד יהודה</w:t>
      </w:r>
      <w:r>
        <w:rPr>
          <w:rFonts w:hint="cs"/>
          <w:rtl/>
        </w:rPr>
        <w:t xml:space="preserve"> </w:t>
      </w:r>
      <w:r w:rsidRPr="009C0050">
        <w:rPr>
          <w:rStyle w:val="af6"/>
          <w:rFonts w:eastAsia="Guttman Hodes" w:hint="cs"/>
          <w:rtl/>
        </w:rPr>
        <w:t>(סי' ק"ג ס</w:t>
      </w:r>
      <w:r>
        <w:rPr>
          <w:rStyle w:val="af6"/>
          <w:rFonts w:eastAsia="Guttman Hodes" w:hint="cs"/>
          <w:rtl/>
        </w:rPr>
        <w:t>וס"</w:t>
      </w:r>
      <w:r w:rsidRPr="009C0050">
        <w:rPr>
          <w:rStyle w:val="af6"/>
          <w:rFonts w:eastAsia="Guttman Hodes" w:hint="cs"/>
          <w:rtl/>
        </w:rPr>
        <w:t>ק</w:t>
      </w:r>
      <w:r>
        <w:rPr>
          <w:rStyle w:val="af6"/>
          <w:rFonts w:eastAsia="Guttman Hodes" w:hint="cs"/>
          <w:rtl/>
        </w:rPr>
        <w:t xml:space="preserve"> </w:t>
      </w:r>
      <w:r w:rsidRPr="009C0050">
        <w:rPr>
          <w:rStyle w:val="af6"/>
          <w:rFonts w:eastAsia="Guttman Hodes" w:hint="cs"/>
          <w:rtl/>
        </w:rPr>
        <w:t>א</w:t>
      </w:r>
      <w:r>
        <w:rPr>
          <w:rStyle w:val="af6"/>
          <w:rFonts w:eastAsia="Guttman Hodes" w:hint="cs"/>
          <w:rtl/>
        </w:rPr>
        <w:t>'</w:t>
      </w:r>
      <w:r w:rsidRPr="009C0050">
        <w:rPr>
          <w:rStyle w:val="af6"/>
          <w:rFonts w:eastAsia="Guttman Hodes" w:hint="cs"/>
          <w:rtl/>
        </w:rPr>
        <w:t xml:space="preserve"> ד"ה</w:t>
      </w:r>
      <w:r>
        <w:rPr>
          <w:rStyle w:val="af6"/>
          <w:rFonts w:eastAsia="Guttman Hodes" w:hint="cs"/>
          <w:rtl/>
        </w:rPr>
        <w:t xml:space="preserve"> והנה הרא"ש)</w:t>
      </w:r>
      <w:r>
        <w:rPr>
          <w:rFonts w:hint="cs"/>
          <w:rtl/>
        </w:rPr>
        <w:t xml:space="preserve"> דכוונת </w:t>
      </w:r>
      <w:r w:rsidRPr="005D3B8E">
        <w:rPr>
          <w:rStyle w:val="af8"/>
          <w:rFonts w:hint="cs"/>
          <w:rtl/>
        </w:rPr>
        <w:t>הרא"ש</w:t>
      </w:r>
      <w:r>
        <w:rPr>
          <w:rFonts w:hint="cs"/>
          <w:rtl/>
        </w:rPr>
        <w:t xml:space="preserve"> לדחות דמהא דבמין בשאינו מינו לא אסרה תורה במשהו, מבואר דהא דבמין במינו אסור במשהו, אינו מחמת דלא מהני ביטול, אלא כיון שאינו מתבטל כלל, כיון שהאיסור הוא אותו המין כמו ההיתר, ומסתמא אף אין האיסור פוגם את ההיתר כיון שהוא מינו, אבל בנותן טעם לפגם שטעם האיסור פוגם את טעם ההיתר, חשיב שאין לאיסור טעם כלל, וכתב </w:t>
      </w:r>
      <w:r w:rsidRPr="009C697B">
        <w:rPr>
          <w:rStyle w:val="af8"/>
          <w:rFonts w:hint="cs"/>
          <w:rtl/>
        </w:rPr>
        <w:t xml:space="preserve">היד יהודה </w:t>
      </w:r>
      <w:r>
        <w:rPr>
          <w:rFonts w:hint="cs"/>
          <w:rtl/>
        </w:rPr>
        <w:t xml:space="preserve">דזו גם כוונת </w:t>
      </w:r>
      <w:r w:rsidRPr="009C697B">
        <w:rPr>
          <w:rStyle w:val="af8"/>
          <w:rFonts w:hint="cs"/>
          <w:rtl/>
        </w:rPr>
        <w:t xml:space="preserve">התוס' לעיל </w:t>
      </w:r>
      <w:r w:rsidRPr="00075A98">
        <w:rPr>
          <w:rStyle w:val="af6"/>
          <w:rFonts w:eastAsia="Guttman Hodes" w:hint="cs"/>
          <w:rtl/>
        </w:rPr>
        <w:t xml:space="preserve">(עי' אות </w:t>
      </w:r>
      <w:r w:rsidRPr="00075A98">
        <w:rPr>
          <w:rStyle w:val="af6"/>
          <w:rFonts w:eastAsia="Guttman Hodes"/>
          <w:rtl/>
        </w:rPr>
        <w:fldChar w:fldCharType="begin"/>
      </w:r>
      <w:r w:rsidRPr="00075A98">
        <w:rPr>
          <w:rStyle w:val="af6"/>
          <w:rFonts w:eastAsia="Guttman Hodes"/>
          <w:rtl/>
        </w:rPr>
        <w:instrText xml:space="preserve"> </w:instrText>
      </w:r>
      <w:r w:rsidRPr="00075A98">
        <w:rPr>
          <w:rStyle w:val="af6"/>
          <w:rFonts w:eastAsia="Guttman Hodes" w:hint="cs"/>
        </w:rPr>
        <w:instrText>REF</w:instrText>
      </w:r>
      <w:r w:rsidRPr="00075A98">
        <w:rPr>
          <w:rStyle w:val="af6"/>
          <w:rFonts w:eastAsia="Guttman Hodes" w:hint="cs"/>
          <w:rtl/>
        </w:rPr>
        <w:instrText xml:space="preserve"> _</w:instrText>
      </w:r>
      <w:r w:rsidRPr="00075A98">
        <w:rPr>
          <w:rStyle w:val="af6"/>
          <w:rFonts w:eastAsia="Guttman Hodes" w:hint="cs"/>
        </w:rPr>
        <w:instrText>Ref19128954 \r \h</w:instrText>
      </w:r>
      <w:r w:rsidRPr="00075A98">
        <w:rPr>
          <w:rStyle w:val="af6"/>
          <w:rFonts w:eastAsia="Guttman Hodes"/>
          <w:rtl/>
        </w:rPr>
        <w:instrText xml:space="preserve"> </w:instrText>
      </w:r>
      <w:r w:rsidRPr="00075A98">
        <w:rPr>
          <w:rStyle w:val="af6"/>
          <w:rFonts w:eastAsia="Guttman Hodes"/>
          <w:rtl/>
        </w:rPr>
      </w:r>
      <w:r w:rsidRPr="00075A98">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075A98">
        <w:rPr>
          <w:rStyle w:val="af6"/>
          <w:rFonts w:eastAsia="Guttman Hodes"/>
          <w:rtl/>
        </w:rPr>
        <w:fldChar w:fldCharType="end"/>
      </w:r>
      <w:r>
        <w:rPr>
          <w:rFonts w:hint="cs"/>
          <w:rtl/>
        </w:rPr>
        <w:t xml:space="preserve">, ואין כוונת </w:t>
      </w:r>
      <w:r w:rsidRPr="009C697B">
        <w:rPr>
          <w:rStyle w:val="af8"/>
          <w:rFonts w:hint="cs"/>
          <w:rtl/>
        </w:rPr>
        <w:t>התוס'</w:t>
      </w:r>
      <w:r>
        <w:rPr>
          <w:rFonts w:hint="cs"/>
          <w:rtl/>
        </w:rPr>
        <w:t xml:space="preserve"> לומר דנותן טעם לפגם חשיב מין בשאינו מינו.</w:t>
      </w:r>
    </w:p>
    <w:p w:rsidR="0013006A" w:rsidRDefault="0013006A" w:rsidP="0013006A">
      <w:pPr>
        <w:pStyle w:val="1"/>
        <w:rPr>
          <w:rtl/>
        </w:rPr>
      </w:pPr>
      <w:bookmarkStart w:id="9499" w:name="_Toc19129493"/>
      <w:bookmarkStart w:id="9500" w:name="_Toc19130047"/>
      <w:bookmarkStart w:id="9501" w:name="_Toc19170983"/>
      <w:bookmarkStart w:id="9502" w:name="_Toc19180839"/>
      <w:r>
        <w:rPr>
          <w:rFonts w:hint="cs"/>
          <w:rtl/>
        </w:rPr>
        <w:t xml:space="preserve">תירוץ </w:t>
      </w:r>
      <w:r w:rsidRPr="00727790">
        <w:rPr>
          <w:rFonts w:hint="cs"/>
          <w:rtl/>
        </w:rPr>
        <w:t xml:space="preserve">המנחת כהן </w:t>
      </w:r>
      <w:r>
        <w:rPr>
          <w:rFonts w:hint="cs"/>
          <w:rtl/>
        </w:rPr>
        <w:t>על קושית הרא"ש דבנטל"פ יש שם איסור</w:t>
      </w:r>
      <w:bookmarkEnd w:id="9499"/>
      <w:bookmarkEnd w:id="9500"/>
      <w:bookmarkEnd w:id="9501"/>
      <w:bookmarkEnd w:id="9502"/>
      <w:r>
        <w:rPr>
          <w:rFonts w:hint="cs"/>
          <w:rtl/>
        </w:rPr>
        <w:t xml:space="preserve"> </w:t>
      </w:r>
    </w:p>
    <w:p w:rsidR="0013006A" w:rsidRPr="00C67880" w:rsidRDefault="0013006A" w:rsidP="0013006A">
      <w:pPr>
        <w:pStyle w:val="a2"/>
        <w:rPr>
          <w:rtl/>
        </w:rPr>
      </w:pPr>
      <w:bookmarkStart w:id="9503" w:name="_Toc19129494"/>
      <w:bookmarkStart w:id="9504" w:name="_Toc19130048"/>
      <w:bookmarkStart w:id="9505" w:name="_Toc19170984"/>
      <w:bookmarkStart w:id="9506" w:name="_Toc19180840"/>
      <w:r>
        <w:rPr>
          <w:rFonts w:hint="cs"/>
          <w:rtl/>
        </w:rPr>
        <w:t>ביאור המנחת כהן ברשב"א דלנטל"פ יש שם איסור דראוי לאכילה וצריך ביטול ואסור במשהו</w:t>
      </w:r>
      <w:bookmarkEnd w:id="9503"/>
      <w:bookmarkEnd w:id="9504"/>
      <w:bookmarkEnd w:id="9505"/>
      <w:bookmarkEnd w:id="9506"/>
    </w:p>
    <w:p w:rsidR="0013006A" w:rsidRPr="00D02AE7" w:rsidRDefault="0013006A" w:rsidP="009F44AF">
      <w:pPr>
        <w:pStyle w:val="a"/>
        <w:rPr>
          <w:rtl/>
        </w:rPr>
      </w:pPr>
      <w:r>
        <w:rPr>
          <w:rFonts w:hint="cs"/>
          <w:rtl/>
        </w:rPr>
        <w:t xml:space="preserve">וכתב </w:t>
      </w:r>
      <w:r w:rsidRPr="007B5C9C">
        <w:rPr>
          <w:rStyle w:val="af8"/>
          <w:rFonts w:hint="cs"/>
          <w:rtl/>
        </w:rPr>
        <w:t>המנחת כהן</w:t>
      </w:r>
      <w:r>
        <w:rPr>
          <w:rFonts w:hint="cs"/>
          <w:rtl/>
        </w:rPr>
        <w:t xml:space="preserve"> </w:t>
      </w:r>
      <w:r w:rsidRPr="008441DA">
        <w:rPr>
          <w:rStyle w:val="af6"/>
          <w:rFonts w:eastAsia="Guttman Hodes" w:hint="cs"/>
          <w:rtl/>
        </w:rPr>
        <w:t>(ס' התערובות ח"א פ"ט ד"ה ודע שבאיסורין)</w:t>
      </w:r>
      <w:r>
        <w:rPr>
          <w:rFonts w:hint="cs"/>
          <w:rtl/>
        </w:rPr>
        <w:t xml:space="preserve"> דאפשר לתרץ את קושית </w:t>
      </w:r>
      <w:r w:rsidRPr="007B5C9C">
        <w:rPr>
          <w:rStyle w:val="af8"/>
          <w:rFonts w:hint="cs"/>
          <w:rtl/>
        </w:rPr>
        <w:t>הרא"ש</w:t>
      </w:r>
      <w:r>
        <w:rPr>
          <w:rStyle w:val="af8"/>
          <w:rFonts w:hint="cs"/>
          <w:rtl/>
        </w:rPr>
        <w:t xml:space="preserve"> </w:t>
      </w:r>
      <w:r w:rsidRPr="00C67880">
        <w:rPr>
          <w:rStyle w:val="af6"/>
          <w:rFonts w:eastAsia="Guttman Hodes" w:hint="cs"/>
          <w:rtl/>
        </w:rPr>
        <w:t xml:space="preserve">(עי' אות </w:t>
      </w:r>
      <w:r w:rsidRPr="00C67880">
        <w:rPr>
          <w:rStyle w:val="af6"/>
          <w:rFonts w:eastAsia="Guttman Hodes"/>
          <w:rtl/>
        </w:rPr>
        <w:fldChar w:fldCharType="begin"/>
      </w:r>
      <w:r w:rsidRPr="00C67880">
        <w:rPr>
          <w:rStyle w:val="af6"/>
          <w:rFonts w:eastAsia="Guttman Hodes"/>
          <w:rtl/>
        </w:rPr>
        <w:instrText xml:space="preserve"> </w:instrText>
      </w:r>
      <w:r w:rsidRPr="00C67880">
        <w:rPr>
          <w:rStyle w:val="af6"/>
          <w:rFonts w:eastAsia="Guttman Hodes" w:hint="cs"/>
        </w:rPr>
        <w:instrText>REF</w:instrText>
      </w:r>
      <w:r w:rsidRPr="00C67880">
        <w:rPr>
          <w:rStyle w:val="af6"/>
          <w:rFonts w:eastAsia="Guttman Hodes" w:hint="cs"/>
          <w:rtl/>
        </w:rPr>
        <w:instrText xml:space="preserve"> _</w:instrText>
      </w:r>
      <w:r w:rsidRPr="00C67880">
        <w:rPr>
          <w:rStyle w:val="af6"/>
          <w:rFonts w:eastAsia="Guttman Hodes" w:hint="cs"/>
        </w:rPr>
        <w:instrText>Ref19129109 \r \h</w:instrText>
      </w:r>
      <w:r w:rsidRPr="00C67880">
        <w:rPr>
          <w:rStyle w:val="af6"/>
          <w:rFonts w:eastAsia="Guttman Hodes"/>
          <w:rtl/>
        </w:rPr>
        <w:instrText xml:space="preserve"> </w:instrText>
      </w:r>
      <w:r w:rsidRPr="00C67880">
        <w:rPr>
          <w:rStyle w:val="af6"/>
          <w:rFonts w:eastAsia="Guttman Hodes"/>
          <w:rtl/>
        </w:rPr>
      </w:r>
      <w:r w:rsidRPr="00C67880">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C67880">
        <w:rPr>
          <w:rStyle w:val="af6"/>
          <w:rFonts w:eastAsia="Guttman Hodes"/>
          <w:rtl/>
        </w:rPr>
        <w:fldChar w:fldCharType="end"/>
      </w:r>
      <w:r>
        <w:rPr>
          <w:rFonts w:hint="cs"/>
          <w:rtl/>
        </w:rPr>
        <w:t xml:space="preserve">, דס"ל </w:t>
      </w:r>
      <w:r w:rsidRPr="007B5C9C">
        <w:rPr>
          <w:rStyle w:val="af8"/>
          <w:rFonts w:hint="cs"/>
          <w:rtl/>
        </w:rPr>
        <w:t>ל</w:t>
      </w:r>
      <w:r>
        <w:rPr>
          <w:rStyle w:val="af8"/>
          <w:rtl/>
        </w:rPr>
        <w:t>הרשב"א</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דבפגום במקצת, יש עליו שם איסור, כיון שהוא ראוי לאכילה, ולכן ס"ל </w:t>
      </w:r>
      <w:r w:rsidRPr="009A2975">
        <w:rPr>
          <w:rStyle w:val="af8"/>
          <w:rFonts w:hint="cs"/>
          <w:rtl/>
        </w:rPr>
        <w:t>להרשב"א</w:t>
      </w:r>
      <w:r>
        <w:rPr>
          <w:rFonts w:hint="cs"/>
          <w:rtl/>
        </w:rPr>
        <w:t xml:space="preserve"> </w:t>
      </w:r>
      <w:r w:rsidRPr="00D409FE">
        <w:rPr>
          <w:rStyle w:val="af8"/>
          <w:rFonts w:hint="cs"/>
          <w:rtl/>
        </w:rPr>
        <w:t>בתשו'</w:t>
      </w:r>
      <w:r>
        <w:rPr>
          <w:rFonts w:hint="cs"/>
          <w:rtl/>
        </w:rPr>
        <w:t xml:space="preserve"> </w:t>
      </w:r>
      <w:r w:rsidRPr="000B541D">
        <w:rPr>
          <w:rStyle w:val="af6"/>
          <w:rFonts w:eastAsia="Guttman Hodes" w:hint="cs"/>
          <w:rtl/>
        </w:rPr>
        <w:t xml:space="preserve">(עי' אות </w:t>
      </w:r>
      <w:r w:rsidRPr="000B541D">
        <w:rPr>
          <w:rStyle w:val="af6"/>
          <w:rFonts w:eastAsia="Guttman Hodes"/>
          <w:rtl/>
        </w:rPr>
        <w:fldChar w:fldCharType="begin"/>
      </w:r>
      <w:r w:rsidRPr="000B541D">
        <w:rPr>
          <w:rStyle w:val="af6"/>
          <w:rFonts w:eastAsia="Guttman Hodes"/>
          <w:rtl/>
        </w:rPr>
        <w:instrText xml:space="preserve"> </w:instrText>
      </w:r>
      <w:r w:rsidRPr="000B541D">
        <w:rPr>
          <w:rStyle w:val="af6"/>
          <w:rFonts w:eastAsia="Guttman Hodes" w:hint="cs"/>
        </w:rPr>
        <w:instrText>REF</w:instrText>
      </w:r>
      <w:r w:rsidRPr="000B541D">
        <w:rPr>
          <w:rStyle w:val="af6"/>
          <w:rFonts w:eastAsia="Guttman Hodes" w:hint="cs"/>
          <w:rtl/>
        </w:rPr>
        <w:instrText xml:space="preserve"> _</w:instrText>
      </w:r>
      <w:r w:rsidRPr="000B541D">
        <w:rPr>
          <w:rStyle w:val="af6"/>
          <w:rFonts w:eastAsia="Guttman Hodes" w:hint="cs"/>
        </w:rPr>
        <w:instrText>Ref19130976 \r \h</w:instrText>
      </w:r>
      <w:r w:rsidRPr="000B541D">
        <w:rPr>
          <w:rStyle w:val="af6"/>
          <w:rFonts w:eastAsia="Guttman Hodes"/>
          <w:rtl/>
        </w:rPr>
        <w:instrText xml:space="preserve"> </w:instrText>
      </w:r>
      <w:r w:rsidRPr="000B541D">
        <w:rPr>
          <w:rStyle w:val="af6"/>
          <w:rFonts w:eastAsia="Guttman Hodes"/>
          <w:rtl/>
        </w:rPr>
      </w:r>
      <w:r w:rsidRPr="000B541D">
        <w:rPr>
          <w:rStyle w:val="af6"/>
          <w:rFonts w:eastAsia="Guttman Hodes"/>
          <w:rtl/>
        </w:rPr>
        <w:fldChar w:fldCharType="separate"/>
      </w:r>
      <w:r w:rsidR="004D1C5B">
        <w:rPr>
          <w:rStyle w:val="af6"/>
          <w:rFonts w:eastAsia="Guttman Hodes"/>
          <w:cs/>
        </w:rPr>
        <w:t>‎</w:t>
      </w:r>
      <w:r w:rsidR="004D1C5B">
        <w:rPr>
          <w:rStyle w:val="af6"/>
          <w:rFonts w:eastAsia="Guttman Hodes"/>
          <w:rtl/>
        </w:rPr>
        <w:t>ג)</w:t>
      </w:r>
      <w:r w:rsidRPr="000B541D">
        <w:rPr>
          <w:rStyle w:val="af6"/>
          <w:rFonts w:eastAsia="Guttman Hodes"/>
          <w:rtl/>
        </w:rPr>
        <w:fldChar w:fldCharType="end"/>
      </w:r>
      <w:r>
        <w:rPr>
          <w:rFonts w:hint="cs"/>
          <w:rtl/>
        </w:rPr>
        <w:t xml:space="preserve"> דבחמץ שאוסר במשהו אין היתר נותן טעם לפגם דהוא עדיין אסור, ובמקום שאינו ראוי לגר, הרי מודה </w:t>
      </w:r>
      <w:r w:rsidRPr="007B5C9C">
        <w:rPr>
          <w:rStyle w:val="af8"/>
          <w:rFonts w:hint="cs"/>
          <w:rtl/>
        </w:rPr>
        <w:t>הרשב"א</w:t>
      </w:r>
      <w:r>
        <w:rPr>
          <w:rFonts w:hint="cs"/>
          <w:rtl/>
        </w:rPr>
        <w:t xml:space="preserve"> דאף בחמץ הוא  מותר כיון שפקע האיסור ממנו, וכתב </w:t>
      </w:r>
      <w:r w:rsidRPr="004C6CED">
        <w:rPr>
          <w:rStyle w:val="af8"/>
          <w:rFonts w:hint="cs"/>
          <w:rtl/>
        </w:rPr>
        <w:t>המנחת כהן</w:t>
      </w:r>
      <w:r>
        <w:rPr>
          <w:rFonts w:hint="cs"/>
          <w:rtl/>
        </w:rPr>
        <w:t xml:space="preserve"> דכן מבואר מדברי </w:t>
      </w:r>
      <w:r w:rsidRPr="00D409FE">
        <w:rPr>
          <w:rStyle w:val="af8"/>
          <w:rFonts w:hint="cs"/>
          <w:rtl/>
        </w:rPr>
        <w:t>הרשב"א בתשו'</w:t>
      </w:r>
      <w:r>
        <w:rPr>
          <w:rFonts w:hint="cs"/>
          <w:rtl/>
        </w:rPr>
        <w:t xml:space="preserve"> דכתב דבאינו ראוי לגר נעשה כעפרא, ואילו פגום במקצת אין דינו כעפר, וע"ע במה שתירץ </w:t>
      </w:r>
      <w:r w:rsidRPr="00D409FE">
        <w:rPr>
          <w:rStyle w:val="af8"/>
          <w:rFonts w:hint="cs"/>
          <w:rtl/>
        </w:rPr>
        <w:t>הברוך טעם</w:t>
      </w:r>
      <w:r>
        <w:rPr>
          <w:rFonts w:hint="cs"/>
          <w:rtl/>
        </w:rPr>
        <w:t xml:space="preserve"> </w:t>
      </w:r>
      <w:r w:rsidRPr="008441DA">
        <w:rPr>
          <w:rStyle w:val="af6"/>
          <w:rFonts w:eastAsia="Guttman Hodes" w:hint="cs"/>
          <w:rtl/>
        </w:rPr>
        <w:t>(שער התערובות דין ב' פ"ב)</w:t>
      </w:r>
      <w:r>
        <w:rPr>
          <w:rFonts w:hint="cs"/>
          <w:rtl/>
        </w:rPr>
        <w:t xml:space="preserve"> באריכות.</w:t>
      </w:r>
    </w:p>
    <w:p w:rsidR="0013006A" w:rsidRPr="00A37615" w:rsidRDefault="0013006A" w:rsidP="0013006A">
      <w:pPr>
        <w:pStyle w:val="a2"/>
        <w:rPr>
          <w:rtl/>
        </w:rPr>
      </w:pPr>
      <w:bookmarkStart w:id="9507" w:name="_Toc19129495"/>
      <w:bookmarkStart w:id="9508" w:name="_Toc19130049"/>
      <w:bookmarkStart w:id="9509" w:name="_Toc19170985"/>
      <w:bookmarkStart w:id="9510" w:name="_Toc19180841"/>
      <w:r>
        <w:rPr>
          <w:rFonts w:hint="cs"/>
          <w:rtl/>
        </w:rPr>
        <w:t>דברי המנחת כהן דבמשהו איסור אינו מצטער בטעם הפגום ואינו בכלל הילפותא להתיר מנבילה</w:t>
      </w:r>
      <w:bookmarkEnd w:id="9507"/>
      <w:bookmarkEnd w:id="9508"/>
      <w:bookmarkEnd w:id="9509"/>
      <w:bookmarkEnd w:id="9510"/>
    </w:p>
    <w:p w:rsidR="0013006A" w:rsidRDefault="0013006A" w:rsidP="009F44AF">
      <w:pPr>
        <w:pStyle w:val="a"/>
      </w:pPr>
      <w:bookmarkStart w:id="9511" w:name="_Ref19121410"/>
      <w:r>
        <w:rPr>
          <w:rFonts w:hint="cs"/>
          <w:rtl/>
        </w:rPr>
        <w:t xml:space="preserve">והוסיף </w:t>
      </w:r>
      <w:r w:rsidRPr="009C697B">
        <w:rPr>
          <w:rStyle w:val="af8"/>
          <w:rFonts w:hint="cs"/>
          <w:rtl/>
        </w:rPr>
        <w:t>המנחת כהן</w:t>
      </w:r>
      <w:r>
        <w:rPr>
          <w:rStyle w:val="af6"/>
          <w:rFonts w:eastAsia="Guttman Hodes" w:hint="cs"/>
          <w:rtl/>
        </w:rPr>
        <w:t xml:space="preserve"> </w:t>
      </w:r>
      <w:r>
        <w:rPr>
          <w:rFonts w:hint="cs"/>
          <w:rtl/>
        </w:rPr>
        <w:t xml:space="preserve">דאפש"ל סברא נוספת להתיר בנותן טעם לפגם בחמץ, דכיון שיש רק משהו מהאיסור, א"כ אינו מצטער במה שהאיסור התערב בהיתר, ואינו קץ באכילת התערובת, וא"כ דינו כנבילה שאסורה כל שהיא ראויה לגר, דכל ההיתר דנותן טעם לפגם הוא כיון שקץ באכילתו וכדילפינן מנבילה, </w:t>
      </w:r>
      <w:r w:rsidRPr="009C697B">
        <w:rPr>
          <w:rStyle w:val="afa"/>
          <w:rFonts w:hint="cs"/>
          <w:rtl/>
        </w:rPr>
        <w:t xml:space="preserve">[וכדביאר </w:t>
      </w:r>
      <w:r w:rsidRPr="008441DA">
        <w:rPr>
          <w:rStyle w:val="affa"/>
          <w:rFonts w:hint="cs"/>
          <w:rtl/>
        </w:rPr>
        <w:t>הר"ן</w:t>
      </w:r>
      <w:r w:rsidRPr="009C697B">
        <w:rPr>
          <w:rStyle w:val="afa"/>
          <w:rFonts w:hint="cs"/>
          <w:rtl/>
        </w:rPr>
        <w:t xml:space="preserve"> </w:t>
      </w:r>
      <w:r w:rsidRPr="00CF5718">
        <w:rPr>
          <w:rStyle w:val="aff6"/>
          <w:rFonts w:hint="cs"/>
          <w:rtl/>
        </w:rPr>
        <w:t xml:space="preserve">(עי' אות </w:t>
      </w:r>
      <w:r w:rsidRPr="00CF5718">
        <w:rPr>
          <w:rStyle w:val="aff6"/>
          <w:rtl/>
        </w:rPr>
        <w:fldChar w:fldCharType="begin"/>
      </w:r>
      <w:r w:rsidRPr="00CF5718">
        <w:rPr>
          <w:rStyle w:val="aff6"/>
          <w:rtl/>
        </w:rPr>
        <w:instrText xml:space="preserve"> </w:instrText>
      </w:r>
      <w:r w:rsidRPr="00CF5718">
        <w:rPr>
          <w:rStyle w:val="aff6"/>
          <w:rFonts w:hint="cs"/>
        </w:rPr>
        <w:instrText>REF</w:instrText>
      </w:r>
      <w:r w:rsidRPr="00CF5718">
        <w:rPr>
          <w:rStyle w:val="aff6"/>
          <w:rFonts w:hint="cs"/>
          <w:rtl/>
        </w:rPr>
        <w:instrText xml:space="preserve"> _</w:instrText>
      </w:r>
      <w:r w:rsidRPr="00CF5718">
        <w:rPr>
          <w:rStyle w:val="aff6"/>
          <w:rFonts w:hint="cs"/>
        </w:rPr>
        <w:instrText>Ref19129538 \r \h</w:instrText>
      </w:r>
      <w:r w:rsidRPr="00CF5718">
        <w:rPr>
          <w:rStyle w:val="aff6"/>
          <w:rtl/>
        </w:rPr>
        <w:instrText xml:space="preserve"> </w:instrText>
      </w:r>
      <w:r w:rsidRPr="00CF5718">
        <w:rPr>
          <w:rStyle w:val="aff6"/>
          <w:rtl/>
        </w:rPr>
      </w:r>
      <w:r w:rsidRPr="00CF5718">
        <w:rPr>
          <w:rStyle w:val="aff6"/>
          <w:rtl/>
        </w:rPr>
        <w:fldChar w:fldCharType="separate"/>
      </w:r>
      <w:r w:rsidR="004D1C5B">
        <w:rPr>
          <w:rStyle w:val="aff6"/>
          <w:cs/>
        </w:rPr>
        <w:t>‎</w:t>
      </w:r>
      <w:r w:rsidR="004D1C5B">
        <w:rPr>
          <w:rStyle w:val="aff6"/>
          <w:rtl/>
        </w:rPr>
        <w:t>ב)</w:t>
      </w:r>
      <w:r w:rsidRPr="00CF5718">
        <w:rPr>
          <w:rStyle w:val="aff6"/>
          <w:rtl/>
        </w:rPr>
        <w:fldChar w:fldCharType="end"/>
      </w:r>
      <w:r w:rsidRPr="009C697B">
        <w:rPr>
          <w:rStyle w:val="afa"/>
          <w:rFonts w:hint="cs"/>
          <w:rtl/>
        </w:rPr>
        <w:t>]</w:t>
      </w:r>
      <w:r w:rsidRPr="009C697B">
        <w:rPr>
          <w:rStyle w:val="afa"/>
          <w:rtl/>
        </w:rPr>
        <w:t>,</w:t>
      </w:r>
      <w:r>
        <w:rPr>
          <w:rtl/>
        </w:rPr>
        <w:t xml:space="preserve"> וכ</w:t>
      </w:r>
      <w:r>
        <w:rPr>
          <w:rFonts w:hint="cs"/>
          <w:rtl/>
        </w:rPr>
        <w:t>"</w:t>
      </w:r>
      <w:r>
        <w:rPr>
          <w:rtl/>
        </w:rPr>
        <w:t xml:space="preserve">כ </w:t>
      </w:r>
      <w:r>
        <w:rPr>
          <w:rStyle w:val="af8"/>
          <w:rtl/>
        </w:rPr>
        <w:t>הפרמ"ג</w:t>
      </w:r>
      <w:r>
        <w:rPr>
          <w:rtl/>
        </w:rPr>
        <w:t xml:space="preserve"> </w:t>
      </w:r>
      <w:r>
        <w:rPr>
          <w:rStyle w:val="af6"/>
          <w:rFonts w:eastAsiaTheme="minorHAnsi" w:hint="cs"/>
          <w:rtl/>
        </w:rPr>
        <w:t>(סי' ק"ג שפ"ד ס"ק א')</w:t>
      </w:r>
      <w:r>
        <w:rPr>
          <w:rFonts w:hint="cs"/>
          <w:rtl/>
        </w:rPr>
        <w:t>.</w:t>
      </w:r>
      <w:bookmarkEnd w:id="9511"/>
    </w:p>
    <w:p w:rsidR="0013006A" w:rsidRPr="004E7F78" w:rsidRDefault="0013006A" w:rsidP="0013006A">
      <w:pPr>
        <w:pStyle w:val="1"/>
        <w:rPr>
          <w:rtl/>
        </w:rPr>
      </w:pPr>
      <w:bookmarkStart w:id="9512" w:name="_Toc18874371"/>
      <w:bookmarkStart w:id="9513" w:name="_Toc18946790"/>
      <w:bookmarkStart w:id="9514" w:name="_Toc19026253"/>
      <w:bookmarkStart w:id="9515" w:name="_Toc19029730"/>
      <w:bookmarkStart w:id="9516" w:name="_Toc19030114"/>
      <w:bookmarkStart w:id="9517" w:name="_Toc19082175"/>
      <w:bookmarkStart w:id="9518" w:name="_Toc19129496"/>
      <w:bookmarkStart w:id="9519" w:name="_Toc19130050"/>
      <w:bookmarkStart w:id="9520" w:name="_Toc19170986"/>
      <w:bookmarkStart w:id="9521" w:name="_Toc19180842"/>
      <w:r>
        <w:rPr>
          <w:rFonts w:hint="cs"/>
          <w:rtl/>
        </w:rPr>
        <w:t>דברי הר"ן בפסחים</w:t>
      </w:r>
      <w:bookmarkEnd w:id="9512"/>
      <w:bookmarkEnd w:id="9513"/>
      <w:bookmarkEnd w:id="9514"/>
      <w:bookmarkEnd w:id="9515"/>
      <w:bookmarkEnd w:id="9516"/>
      <w:bookmarkEnd w:id="9517"/>
      <w:bookmarkEnd w:id="9518"/>
      <w:bookmarkEnd w:id="9519"/>
      <w:r>
        <w:rPr>
          <w:rFonts w:hint="cs"/>
          <w:rtl/>
        </w:rPr>
        <w:t xml:space="preserve"> דדין נטל"פ כנבילה ומותר אף במשהו</w:t>
      </w:r>
      <w:bookmarkEnd w:id="9520"/>
      <w:bookmarkEnd w:id="9521"/>
    </w:p>
    <w:p w:rsidR="0013006A" w:rsidRPr="00A37615" w:rsidRDefault="0013006A" w:rsidP="0013006A">
      <w:pPr>
        <w:pStyle w:val="a2"/>
      </w:pPr>
      <w:bookmarkStart w:id="9522" w:name="_Toc19130051"/>
      <w:bookmarkStart w:id="9523" w:name="_Toc19170987"/>
      <w:bookmarkStart w:id="9524" w:name="_Toc19180843"/>
      <w:r>
        <w:rPr>
          <w:rFonts w:hint="cs"/>
          <w:rtl/>
        </w:rPr>
        <w:t>קושית הר"ן על הגמ' לקמן דמהא דאוסר רב קדירות אחר פסח מוכח דרב אוסר בנטל"פ</w:t>
      </w:r>
      <w:bookmarkEnd w:id="9522"/>
      <w:bookmarkEnd w:id="9523"/>
      <w:bookmarkEnd w:id="9524"/>
    </w:p>
    <w:p w:rsidR="0013006A" w:rsidRDefault="0013006A" w:rsidP="009F44AF">
      <w:pPr>
        <w:pStyle w:val="a"/>
        <w:rPr>
          <w:rtl/>
        </w:rPr>
      </w:pPr>
      <w:bookmarkStart w:id="9525" w:name="_Ref19045809"/>
      <w:r>
        <w:rPr>
          <w:rFonts w:hint="cs"/>
          <w:rtl/>
        </w:rPr>
        <w:t>בהא דהגמ' לקמן</w:t>
      </w:r>
      <w:r w:rsidRPr="003D78F7">
        <w:rPr>
          <w:rStyle w:val="af6"/>
          <w:rFonts w:eastAsia="Guttman Hodes" w:hint="cs"/>
          <w:rtl/>
        </w:rPr>
        <w:t xml:space="preserve"> (סח.) </w:t>
      </w:r>
      <w:r>
        <w:rPr>
          <w:rFonts w:hint="cs"/>
          <w:rtl/>
        </w:rPr>
        <w:t xml:space="preserve">מסתפקת בדעת רב אי ס"ל דנותן טעם לפגם מותר או אסור, הקשה </w:t>
      </w:r>
      <w:r w:rsidRPr="00D409FE">
        <w:rPr>
          <w:rStyle w:val="af8"/>
          <w:rFonts w:hint="cs"/>
          <w:rtl/>
        </w:rPr>
        <w:t>הר"ן בפסחים</w:t>
      </w:r>
      <w:r>
        <w:rPr>
          <w:rFonts w:hint="cs"/>
          <w:rtl/>
        </w:rPr>
        <w:t xml:space="preserve"> </w:t>
      </w:r>
      <w:r w:rsidRPr="00B70E53">
        <w:rPr>
          <w:rStyle w:val="af6"/>
          <w:rFonts w:eastAsia="Guttman Hodes" w:hint="cs"/>
          <w:rtl/>
        </w:rPr>
        <w:t>(ל. ד"ה אמר רב)</w:t>
      </w:r>
      <w:r>
        <w:rPr>
          <w:rStyle w:val="af8"/>
          <w:rFonts w:hint="cs"/>
          <w:rtl/>
        </w:rPr>
        <w:t xml:space="preserve"> ו</w:t>
      </w:r>
      <w:r w:rsidRPr="00D409FE">
        <w:rPr>
          <w:rStyle w:val="af8"/>
          <w:rFonts w:hint="cs"/>
          <w:rtl/>
        </w:rPr>
        <w:t xml:space="preserve">על הרי"ף </w:t>
      </w:r>
      <w:r w:rsidRPr="003E3C44">
        <w:rPr>
          <w:rStyle w:val="af6"/>
          <w:rFonts w:eastAsia="Guttman Hodes" w:hint="cs"/>
          <w:rtl/>
        </w:rPr>
        <w:t>(ז: מדפי הרי"ף ד"ה אמר רב)</w:t>
      </w:r>
      <w:r>
        <w:rPr>
          <w:rFonts w:hint="cs"/>
          <w:rtl/>
        </w:rPr>
        <w:t xml:space="preserve"> דאמאי לא פשטא מהא דמבואר בגמ' בפסחים </w:t>
      </w:r>
      <w:r w:rsidRPr="003E3C44">
        <w:rPr>
          <w:rStyle w:val="af6"/>
          <w:rFonts w:eastAsia="Guttman Hodes" w:hint="cs"/>
          <w:rtl/>
        </w:rPr>
        <w:t>(ל.)</w:t>
      </w:r>
      <w:r>
        <w:rPr>
          <w:rFonts w:hint="cs"/>
          <w:rtl/>
        </w:rPr>
        <w:t xml:space="preserve"> דלרב נותן טעם לפגם אסור, דאמר רב דקדירות בפסח שבלוע בהם חמץ ישברו, ואסור להשהותם לאחר הפסח, ולבשל בהם דבר שאינו מינו, גזירה שמא יבשל בהם מינו, וכתב </w:t>
      </w:r>
      <w:r w:rsidRPr="00D409FE">
        <w:rPr>
          <w:rStyle w:val="af8"/>
          <w:rFonts w:hint="cs"/>
          <w:rtl/>
        </w:rPr>
        <w:t>רש"י בפסחים</w:t>
      </w:r>
      <w:r w:rsidRPr="003E3C44">
        <w:rPr>
          <w:rStyle w:val="af6"/>
          <w:rFonts w:eastAsia="Guttman Hodes" w:hint="cs"/>
          <w:rtl/>
        </w:rPr>
        <w:t xml:space="preserve"> (ל. ד"ה אמר רב)</w:t>
      </w:r>
      <w:r>
        <w:rPr>
          <w:rFonts w:hint="cs"/>
          <w:rtl/>
        </w:rPr>
        <w:t xml:space="preserve"> דס"ל לרב דנותן טעם לפגם אסור, ולכן אף שהקדירה אינה בת יומא היא אוסרת בנתינת טעם.</w:t>
      </w:r>
      <w:bookmarkEnd w:id="9525"/>
    </w:p>
    <w:p w:rsidR="0013006A" w:rsidRPr="00A37615" w:rsidRDefault="0013006A" w:rsidP="0013006A">
      <w:pPr>
        <w:pStyle w:val="a2"/>
        <w:rPr>
          <w:rtl/>
        </w:rPr>
      </w:pPr>
      <w:bookmarkStart w:id="9526" w:name="_Toc19130052"/>
      <w:bookmarkStart w:id="9527" w:name="_Toc19170988"/>
      <w:bookmarkStart w:id="9528" w:name="_Toc19180844"/>
      <w:r>
        <w:rPr>
          <w:rFonts w:hint="cs"/>
          <w:rtl/>
        </w:rPr>
        <w:t>תירוץ הי"מ בר"ן דרב אוסר נטל"פ במשהו ואפש"ל דרב מתיר בנטל"פ באיסור שתלוי בטעם</w:t>
      </w:r>
      <w:bookmarkEnd w:id="9526"/>
      <w:bookmarkEnd w:id="9527"/>
      <w:bookmarkEnd w:id="9528"/>
    </w:p>
    <w:p w:rsidR="0013006A" w:rsidRDefault="0013006A" w:rsidP="009F44AF">
      <w:pPr>
        <w:pStyle w:val="a"/>
        <w:rPr>
          <w:rtl/>
        </w:rPr>
      </w:pPr>
      <w:bookmarkStart w:id="9529" w:name="_Ref18945965"/>
      <w:r>
        <w:rPr>
          <w:rFonts w:hint="cs"/>
          <w:rtl/>
        </w:rPr>
        <w:t xml:space="preserve">ותירץ </w:t>
      </w:r>
      <w:r w:rsidRPr="008D5A11">
        <w:rPr>
          <w:rStyle w:val="af8"/>
          <w:rFonts w:hint="cs"/>
          <w:rtl/>
        </w:rPr>
        <w:t>הר"ן בפסחים</w:t>
      </w:r>
      <w:r>
        <w:rPr>
          <w:rFonts w:hint="cs"/>
          <w:rtl/>
        </w:rPr>
        <w:t xml:space="preserve"> בשם </w:t>
      </w:r>
      <w:r w:rsidRPr="008D5A11">
        <w:rPr>
          <w:rStyle w:val="af8"/>
          <w:rFonts w:hint="cs"/>
          <w:rtl/>
        </w:rPr>
        <w:t>י"</w:t>
      </w:r>
      <w:r>
        <w:rPr>
          <w:rStyle w:val="af8"/>
          <w:rFonts w:hint="cs"/>
          <w:rtl/>
        </w:rPr>
        <w:t>מ</w:t>
      </w:r>
      <w:r>
        <w:rPr>
          <w:rFonts w:hint="cs"/>
          <w:rtl/>
        </w:rPr>
        <w:t xml:space="preserve"> דא"א להוכיח מהגמ' בפסחים דלדעת רב נותן טעם לפגם אסור, דהא אף למ"ד דנותן טעם לפגם מותר, זהו דוקא באיסורים שאוסרים בנותן טעם, אבל חמץ שאוסר במשהו, כיון שאיסורו אינו תלוי בנתינת טעם, לכן הוא אוסר אף בנותן טעם לפגם.</w:t>
      </w:r>
      <w:bookmarkEnd w:id="9529"/>
    </w:p>
    <w:p w:rsidR="0013006A" w:rsidRPr="00A37615" w:rsidRDefault="0013006A" w:rsidP="0013006A">
      <w:pPr>
        <w:pStyle w:val="a2"/>
        <w:rPr>
          <w:rtl/>
        </w:rPr>
      </w:pPr>
      <w:bookmarkStart w:id="9530" w:name="_Toc19170989"/>
      <w:bookmarkStart w:id="9531" w:name="_Toc19180845"/>
      <w:r>
        <w:rPr>
          <w:rFonts w:hint="cs"/>
          <w:rtl/>
        </w:rPr>
        <w:t>דברי הר"ן דנטל"פ נלמד מנבילה שמותרת אפילו בעין וכ"ש דנטל"פ מותר במשהו</w:t>
      </w:r>
      <w:bookmarkEnd w:id="9530"/>
      <w:bookmarkEnd w:id="9531"/>
    </w:p>
    <w:p w:rsidR="0013006A" w:rsidRDefault="0013006A" w:rsidP="009F44AF">
      <w:pPr>
        <w:pStyle w:val="a"/>
        <w:rPr>
          <w:rtl/>
        </w:rPr>
      </w:pPr>
      <w:bookmarkStart w:id="9532" w:name="_Ref18858113"/>
      <w:r>
        <w:rPr>
          <w:rFonts w:hint="cs"/>
          <w:rtl/>
        </w:rPr>
        <w:t xml:space="preserve">ודחה </w:t>
      </w:r>
      <w:r w:rsidRPr="008D5A11">
        <w:rPr>
          <w:rStyle w:val="af8"/>
          <w:rFonts w:hint="cs"/>
          <w:rtl/>
        </w:rPr>
        <w:t>הר"ן בפסחים</w:t>
      </w:r>
      <w:r w:rsidRPr="004D5C64">
        <w:rPr>
          <w:rFonts w:hint="cs"/>
          <w:rtl/>
        </w:rPr>
        <w:t xml:space="preserve"> </w:t>
      </w:r>
      <w:r>
        <w:rPr>
          <w:rFonts w:hint="cs"/>
          <w:rtl/>
        </w:rPr>
        <w:t xml:space="preserve">דההיתר בנותן טעם לפגם נלמד מנבילה שאינה ראויה לגר, וכיון שאף נבילה שהיא בעין אינה אסורה כשהיא פגומה, א"כ היאך אפש"ל דנותן טעם לפגם יאסור בתערובת כשאינו בעין, </w:t>
      </w:r>
      <w:r w:rsidRPr="003B27E5">
        <w:rPr>
          <w:rStyle w:val="afa"/>
          <w:rFonts w:hint="cs"/>
          <w:rtl/>
        </w:rPr>
        <w:t xml:space="preserve">[וכתב </w:t>
      </w:r>
      <w:r w:rsidRPr="003B27E5">
        <w:rPr>
          <w:rStyle w:val="affa"/>
          <w:rFonts w:hint="cs"/>
          <w:rtl/>
        </w:rPr>
        <w:t>הר"ן</w:t>
      </w:r>
      <w:r w:rsidRPr="003B27E5">
        <w:rPr>
          <w:rStyle w:val="afa"/>
          <w:rFonts w:hint="cs"/>
          <w:rtl/>
        </w:rPr>
        <w:t xml:space="preserve"> דא"א להביא ראיה מהגמ' בפסחים</w:t>
      </w:r>
      <w:r w:rsidRPr="002F3C6C">
        <w:rPr>
          <w:rStyle w:val="aff6"/>
          <w:rFonts w:hint="cs"/>
          <w:rtl/>
        </w:rPr>
        <w:t xml:space="preserve"> (מה:) </w:t>
      </w:r>
      <w:r w:rsidRPr="003B27E5">
        <w:rPr>
          <w:rStyle w:val="afa"/>
          <w:rFonts w:hint="cs"/>
          <w:rtl/>
        </w:rPr>
        <w:t>דפת שעפשה ונפסלה מאכילת אדם, אך היא ראויה לכלב מטמאת טומאת אוכלין, ומוכח דחמץ אף שאינו ראויו לגר אסור, כיון שפת שעיפשה היא ראויה לחמץ עיסות אחרות],</w:t>
      </w:r>
      <w:r w:rsidRPr="002F3C6C">
        <w:rPr>
          <w:rStyle w:val="afa"/>
          <w:rFonts w:hint="cs"/>
          <w:rtl/>
        </w:rPr>
        <w:t xml:space="preserve"> </w:t>
      </w:r>
      <w:r>
        <w:rPr>
          <w:rFonts w:hint="cs"/>
          <w:rtl/>
        </w:rPr>
        <w:t xml:space="preserve">אלא כתב </w:t>
      </w:r>
      <w:r w:rsidRPr="008D5A11">
        <w:rPr>
          <w:rStyle w:val="af8"/>
          <w:rFonts w:hint="cs"/>
          <w:rtl/>
        </w:rPr>
        <w:t>הר"ן</w:t>
      </w:r>
      <w:r>
        <w:rPr>
          <w:rFonts w:hint="cs"/>
          <w:rtl/>
        </w:rPr>
        <w:t xml:space="preserve"> דכמו דבשאר איסורין נותן טעם לפגם מותר, ה"ה דמותר בחמץ בפסח.</w:t>
      </w:r>
      <w:bookmarkEnd w:id="9532"/>
    </w:p>
    <w:p w:rsidR="0013006A" w:rsidRPr="00A37615" w:rsidRDefault="0013006A" w:rsidP="0013006A">
      <w:pPr>
        <w:pStyle w:val="a2"/>
        <w:rPr>
          <w:rtl/>
        </w:rPr>
      </w:pPr>
      <w:bookmarkStart w:id="9533" w:name="_Toc19170990"/>
      <w:bookmarkStart w:id="9534" w:name="_Toc19180846"/>
      <w:r>
        <w:rPr>
          <w:rFonts w:hint="cs"/>
          <w:rtl/>
        </w:rPr>
        <w:t>תירוץ הר"ן דאף דרב אסר בנטל"פ לכתחילה אפש"ל דס"ל דבדיעבד</w:t>
      </w:r>
      <w:r w:rsidRPr="00C715B1">
        <w:rPr>
          <w:rFonts w:hint="cs"/>
          <w:rtl/>
        </w:rPr>
        <w:t xml:space="preserve"> </w:t>
      </w:r>
      <w:r>
        <w:rPr>
          <w:rFonts w:hint="cs"/>
          <w:rtl/>
        </w:rPr>
        <w:t>מותר</w:t>
      </w:r>
      <w:bookmarkEnd w:id="9533"/>
      <w:bookmarkEnd w:id="9534"/>
    </w:p>
    <w:p w:rsidR="0013006A" w:rsidRDefault="0013006A" w:rsidP="009F44AF">
      <w:pPr>
        <w:pStyle w:val="a"/>
        <w:rPr>
          <w:rtl/>
        </w:rPr>
      </w:pPr>
      <w:bookmarkStart w:id="9535" w:name="_Ref19130853"/>
      <w:r>
        <w:rPr>
          <w:rFonts w:hint="cs"/>
          <w:rtl/>
        </w:rPr>
        <w:t xml:space="preserve">אלא תירץ </w:t>
      </w:r>
      <w:r w:rsidRPr="009C697B">
        <w:rPr>
          <w:rStyle w:val="af8"/>
          <w:rFonts w:hint="cs"/>
          <w:rtl/>
        </w:rPr>
        <w:t xml:space="preserve">הר"ן בפסחים </w:t>
      </w:r>
      <w:r>
        <w:rPr>
          <w:rFonts w:hint="cs"/>
          <w:rtl/>
        </w:rPr>
        <w:t>דאף למ"ד דנותן טעם לפגם מותר, מ"מ לכתחילה אסור, ולכן א"א להוכיח מדברי רב בפסחים דנותן טעם לפגם אסור, דאפש"ל דס"ל דהקדירות ישברו כיון שאסור לבשל בהם לכתחילה.</w:t>
      </w:r>
      <w:bookmarkEnd w:id="9535"/>
    </w:p>
    <w:p w:rsidR="0013006A" w:rsidRDefault="0013006A" w:rsidP="0013006A">
      <w:pPr>
        <w:pStyle w:val="1"/>
        <w:rPr>
          <w:rtl/>
        </w:rPr>
      </w:pPr>
      <w:bookmarkStart w:id="9536" w:name="_Toc18874372"/>
      <w:bookmarkStart w:id="9537" w:name="_Toc18946791"/>
      <w:bookmarkStart w:id="9538" w:name="_Toc19026254"/>
      <w:bookmarkStart w:id="9539" w:name="_Toc19029731"/>
      <w:bookmarkStart w:id="9540" w:name="_Toc19030115"/>
      <w:bookmarkStart w:id="9541" w:name="_Toc19082176"/>
      <w:bookmarkStart w:id="9542" w:name="_Toc19129497"/>
      <w:bookmarkStart w:id="9543" w:name="_Toc19130053"/>
      <w:bookmarkStart w:id="9544" w:name="_Toc19170991"/>
      <w:bookmarkStart w:id="9545" w:name="_Toc19180847"/>
      <w:r>
        <w:rPr>
          <w:rFonts w:hint="cs"/>
          <w:rtl/>
        </w:rPr>
        <w:t>ביאור הגרעק"א בר"ן</w:t>
      </w:r>
      <w:bookmarkEnd w:id="9536"/>
      <w:bookmarkEnd w:id="9537"/>
      <w:bookmarkEnd w:id="9538"/>
      <w:bookmarkEnd w:id="9539"/>
      <w:bookmarkEnd w:id="9540"/>
      <w:bookmarkEnd w:id="9541"/>
      <w:bookmarkEnd w:id="9542"/>
      <w:bookmarkEnd w:id="9543"/>
      <w:r>
        <w:rPr>
          <w:rFonts w:hint="cs"/>
          <w:rtl/>
        </w:rPr>
        <w:t xml:space="preserve"> דנטל"פ הוא היתר ואינו מדין ביטול</w:t>
      </w:r>
      <w:bookmarkEnd w:id="9544"/>
      <w:bookmarkEnd w:id="9545"/>
    </w:p>
    <w:p w:rsidR="0013006A" w:rsidRPr="00A37615" w:rsidRDefault="0013006A" w:rsidP="0013006A">
      <w:pPr>
        <w:pStyle w:val="a2"/>
        <w:rPr>
          <w:rtl/>
        </w:rPr>
      </w:pPr>
      <w:bookmarkStart w:id="9546" w:name="_Toc19170992"/>
      <w:bookmarkStart w:id="9547" w:name="_Toc19180848"/>
      <w:r>
        <w:rPr>
          <w:rFonts w:hint="cs"/>
          <w:rtl/>
        </w:rPr>
        <w:t>ביאור הגרעק"א והפרמ"ג בר"ן דנטל"פ הוא היתר ואינו מדין ביטול ומתיר אף באיסור משהו</w:t>
      </w:r>
      <w:bookmarkEnd w:id="9546"/>
      <w:bookmarkEnd w:id="9547"/>
    </w:p>
    <w:p w:rsidR="0013006A" w:rsidRDefault="0013006A" w:rsidP="009F44AF">
      <w:pPr>
        <w:pStyle w:val="a"/>
        <w:rPr>
          <w:rtl/>
        </w:rPr>
      </w:pPr>
      <w:bookmarkStart w:id="9548" w:name="_Ref19131369"/>
      <w:r>
        <w:rPr>
          <w:rFonts w:hint="cs"/>
          <w:rtl/>
        </w:rPr>
        <w:t xml:space="preserve">וכתב </w:t>
      </w:r>
      <w:r w:rsidRPr="009C697B">
        <w:rPr>
          <w:rStyle w:val="af8"/>
          <w:rFonts w:hint="cs"/>
          <w:rtl/>
        </w:rPr>
        <w:t xml:space="preserve">הגרעק"א </w:t>
      </w:r>
      <w:r w:rsidRPr="00E8200D">
        <w:rPr>
          <w:rStyle w:val="af8"/>
          <w:rFonts w:hint="cs"/>
          <w:rtl/>
        </w:rPr>
        <w:t>הגרעק"א בחולין</w:t>
      </w:r>
      <w:r w:rsidRPr="00E8200D">
        <w:rPr>
          <w:rFonts w:hint="cs"/>
          <w:rtl/>
        </w:rPr>
        <w:t xml:space="preserve"> </w:t>
      </w:r>
      <w:r w:rsidRPr="00E8200D">
        <w:rPr>
          <w:rStyle w:val="af6"/>
          <w:rFonts w:eastAsia="Guttman Hodes" w:hint="cs"/>
          <w:rtl/>
        </w:rPr>
        <w:t xml:space="preserve">(צז: אות ז' ד"ה </w:t>
      </w:r>
      <w:r w:rsidRPr="003E3C44">
        <w:rPr>
          <w:rStyle w:val="af6"/>
          <w:rFonts w:eastAsia="Guttman Hodes" w:hint="cs"/>
          <w:rtl/>
        </w:rPr>
        <w:t>והר"ן</w:t>
      </w:r>
      <w:r w:rsidRPr="00E8200D">
        <w:rPr>
          <w:rStyle w:val="af6"/>
          <w:rFonts w:eastAsia="Guttman Hodes" w:hint="cs"/>
          <w:rtl/>
        </w:rPr>
        <w:t>)</w:t>
      </w:r>
      <w:r w:rsidRPr="00E8200D">
        <w:rPr>
          <w:rFonts w:hint="cs"/>
          <w:rtl/>
        </w:rPr>
        <w:t xml:space="preserve"> </w:t>
      </w:r>
      <w:r w:rsidRPr="00E8200D">
        <w:rPr>
          <w:rStyle w:val="af8"/>
          <w:rFonts w:hint="cs"/>
          <w:rtl/>
        </w:rPr>
        <w:t>ובתשו'</w:t>
      </w:r>
      <w:r w:rsidRPr="00E8200D">
        <w:rPr>
          <w:rFonts w:hint="cs"/>
          <w:rtl/>
        </w:rPr>
        <w:t xml:space="preserve"> </w:t>
      </w:r>
      <w:r w:rsidRPr="00E8200D">
        <w:rPr>
          <w:rStyle w:val="af6"/>
          <w:rFonts w:eastAsia="Guttman Hodes" w:hint="cs"/>
          <w:rtl/>
        </w:rPr>
        <w:t>(מהדו"ק קס"ו ד"ה ויש להסביר, סי' קפ"ג ד"ה והנה לכאורה)</w:t>
      </w:r>
      <w:r w:rsidRPr="00E8200D">
        <w:rPr>
          <w:rFonts w:hint="cs"/>
          <w:rtl/>
        </w:rPr>
        <w:t xml:space="preserve"> </w:t>
      </w:r>
      <w:r w:rsidRPr="009C697B">
        <w:rPr>
          <w:rStyle w:val="af8"/>
          <w:rFonts w:hint="cs"/>
          <w:rtl/>
        </w:rPr>
        <w:t xml:space="preserve">דהר"ן </w:t>
      </w:r>
      <w:r>
        <w:rPr>
          <w:rFonts w:hint="cs"/>
          <w:rtl/>
        </w:rPr>
        <w:t xml:space="preserve">נדחק לתרץ דהא דגזרו בקדירות אחר הפסח דאף למ"ד דנותן טעם לפגם מותר, מ"מ לכתחילה אסור, ולכן אסרו לבשל בהם לכתחילה, וביאר </w:t>
      </w:r>
      <w:r w:rsidRPr="009C697B">
        <w:rPr>
          <w:rStyle w:val="af8"/>
          <w:rFonts w:hint="cs"/>
          <w:rtl/>
        </w:rPr>
        <w:t xml:space="preserve">הגרעק"א </w:t>
      </w:r>
      <w:r>
        <w:rPr>
          <w:rFonts w:hint="cs"/>
          <w:rtl/>
        </w:rPr>
        <w:t xml:space="preserve">דכיון </w:t>
      </w:r>
      <w:r w:rsidRPr="009C697B">
        <w:rPr>
          <w:rStyle w:val="af8"/>
          <w:rFonts w:hint="cs"/>
          <w:rtl/>
        </w:rPr>
        <w:t xml:space="preserve">דהר"ן </w:t>
      </w:r>
      <w:r w:rsidRPr="003C6100">
        <w:rPr>
          <w:rStyle w:val="af6"/>
          <w:rFonts w:eastAsia="Guttman Hodes" w:hint="cs"/>
          <w:rtl/>
        </w:rPr>
        <w:t xml:space="preserve">(עי' אות </w:t>
      </w:r>
      <w:r w:rsidRPr="003C6100">
        <w:rPr>
          <w:rStyle w:val="af6"/>
          <w:rFonts w:eastAsia="Guttman Hodes"/>
          <w:rtl/>
        </w:rPr>
        <w:fldChar w:fldCharType="begin"/>
      </w:r>
      <w:r w:rsidRPr="003C6100">
        <w:rPr>
          <w:rStyle w:val="af6"/>
          <w:rFonts w:eastAsia="Guttman Hodes"/>
          <w:rtl/>
        </w:rPr>
        <w:instrText xml:space="preserve"> </w:instrText>
      </w:r>
      <w:r w:rsidRPr="003C6100">
        <w:rPr>
          <w:rStyle w:val="af6"/>
          <w:rFonts w:eastAsia="Guttman Hodes" w:hint="cs"/>
        </w:rPr>
        <w:instrText>REF</w:instrText>
      </w:r>
      <w:r w:rsidRPr="003C6100">
        <w:rPr>
          <w:rStyle w:val="af6"/>
          <w:rFonts w:eastAsia="Guttman Hodes" w:hint="cs"/>
          <w:rtl/>
        </w:rPr>
        <w:instrText xml:space="preserve"> _</w:instrText>
      </w:r>
      <w:r w:rsidRPr="003C6100">
        <w:rPr>
          <w:rStyle w:val="af6"/>
          <w:rFonts w:eastAsia="Guttman Hodes" w:hint="cs"/>
        </w:rPr>
        <w:instrText>Ref19129538 \r \h</w:instrText>
      </w:r>
      <w:r w:rsidRPr="003C6100">
        <w:rPr>
          <w:rStyle w:val="af6"/>
          <w:rFonts w:eastAsia="Guttman Hodes"/>
          <w:rtl/>
        </w:rPr>
        <w:instrText xml:space="preserve"> </w:instrText>
      </w:r>
      <w:r w:rsidRPr="003C6100">
        <w:rPr>
          <w:rStyle w:val="af6"/>
          <w:rFonts w:eastAsia="Guttman Hodes"/>
          <w:rtl/>
        </w:rPr>
      </w:r>
      <w:r w:rsidRPr="003C6100">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3C6100">
        <w:rPr>
          <w:rStyle w:val="af6"/>
          <w:rFonts w:eastAsia="Guttman Hodes"/>
          <w:rtl/>
        </w:rPr>
        <w:fldChar w:fldCharType="end"/>
      </w:r>
      <w:r w:rsidRPr="003C6100">
        <w:rPr>
          <w:rStyle w:val="af6"/>
          <w:rFonts w:eastAsia="Guttman Hodes" w:hint="cs"/>
          <w:rtl/>
        </w:rPr>
        <w:t xml:space="preserve"> </w:t>
      </w:r>
      <w:r>
        <w:rPr>
          <w:rFonts w:hint="cs"/>
          <w:rtl/>
        </w:rPr>
        <w:t xml:space="preserve">ס"ל דההיתר בנותן טעם לפגם </w:t>
      </w:r>
      <w:r w:rsidRPr="00D47CE7">
        <w:rPr>
          <w:rFonts w:hint="cs"/>
          <w:rtl/>
        </w:rPr>
        <w:t>אינו מדין ביטול, אלא</w:t>
      </w:r>
      <w:r>
        <w:rPr>
          <w:rFonts w:hint="cs"/>
          <w:rtl/>
        </w:rPr>
        <w:t xml:space="preserve"> דילפינן מנבילה דכל שאינו נהנה באכילתו לא אסרה תורה, ו</w:t>
      </w:r>
      <w:r w:rsidRPr="006F1BDF">
        <w:rPr>
          <w:rFonts w:hint="cs"/>
          <w:rtl/>
        </w:rPr>
        <w:t>כיון שההיתר</w:t>
      </w:r>
      <w:r>
        <w:rPr>
          <w:rFonts w:hint="cs"/>
          <w:rtl/>
        </w:rPr>
        <w:t xml:space="preserve"> אינו מדין ביטול, א"כ היתר נותן טעם לפגם נאמר, אף במקום שהאיסור הוא במשהו, וכ"כ </w:t>
      </w:r>
      <w:r w:rsidRPr="00650D4E">
        <w:rPr>
          <w:rStyle w:val="af8"/>
          <w:rFonts w:hint="cs"/>
          <w:rtl/>
        </w:rPr>
        <w:t>הפרמ"ג</w:t>
      </w:r>
      <w:r>
        <w:rPr>
          <w:rFonts w:hint="cs"/>
          <w:rtl/>
        </w:rPr>
        <w:t xml:space="preserve"> </w:t>
      </w:r>
      <w:r w:rsidRPr="00650D4E">
        <w:rPr>
          <w:rStyle w:val="af6"/>
          <w:rFonts w:eastAsia="Guttman Hodes" w:hint="cs"/>
          <w:rtl/>
        </w:rPr>
        <w:t>(סי' ק"ג משב"ז סוס"ק א')</w:t>
      </w:r>
      <w:r>
        <w:rPr>
          <w:rFonts w:hint="cs"/>
          <w:rtl/>
        </w:rPr>
        <w:t>.</w:t>
      </w:r>
      <w:bookmarkEnd w:id="9548"/>
    </w:p>
    <w:p w:rsidR="0013006A" w:rsidRPr="00A37615" w:rsidRDefault="0013006A" w:rsidP="0013006A">
      <w:pPr>
        <w:pStyle w:val="a2"/>
        <w:rPr>
          <w:rtl/>
        </w:rPr>
      </w:pPr>
      <w:bookmarkStart w:id="9549" w:name="_Toc19170993"/>
      <w:bookmarkStart w:id="9550" w:name="_Toc19180849"/>
      <w:r>
        <w:rPr>
          <w:rFonts w:hint="cs"/>
          <w:rtl/>
        </w:rPr>
        <w:lastRenderedPageBreak/>
        <w:t>קושית הגרעק"א דהשו"ע פסק כרשב"א שהוא מדין ביטול וכר"ן שאוסר בנטל"פ בחמץ</w:t>
      </w:r>
      <w:bookmarkEnd w:id="9549"/>
      <w:bookmarkEnd w:id="9550"/>
    </w:p>
    <w:p w:rsidR="0013006A" w:rsidRDefault="0013006A" w:rsidP="009F44AF">
      <w:pPr>
        <w:pStyle w:val="a"/>
        <w:rPr>
          <w:rtl/>
        </w:rPr>
      </w:pPr>
      <w:r>
        <w:rPr>
          <w:rFonts w:hint="cs"/>
          <w:rtl/>
        </w:rPr>
        <w:t xml:space="preserve">והקשה </w:t>
      </w:r>
      <w:r w:rsidRPr="00AF57DF">
        <w:rPr>
          <w:rStyle w:val="af8"/>
          <w:rFonts w:hint="cs"/>
          <w:rtl/>
        </w:rPr>
        <w:t>הגרעק"א בחולין ובתשו'</w:t>
      </w:r>
      <w:r w:rsidRPr="00AF57DF">
        <w:rPr>
          <w:rFonts w:hint="cs"/>
          <w:rtl/>
        </w:rPr>
        <w:t xml:space="preserve"> דלפי"ז יש סתירה בדברי </w:t>
      </w:r>
      <w:r w:rsidRPr="00AF57DF">
        <w:rPr>
          <w:rStyle w:val="af8"/>
          <w:rFonts w:hint="cs"/>
          <w:rtl/>
        </w:rPr>
        <w:t>השו"ע</w:t>
      </w:r>
      <w:r w:rsidRPr="00AF57DF">
        <w:rPr>
          <w:rFonts w:hint="cs"/>
          <w:rtl/>
        </w:rPr>
        <w:t xml:space="preserve">, דבדין נותן טעם לפגם, פסק </w:t>
      </w:r>
      <w:r w:rsidRPr="00AF57DF">
        <w:rPr>
          <w:rStyle w:val="af8"/>
          <w:rFonts w:hint="cs"/>
          <w:rtl/>
        </w:rPr>
        <w:t>השו"ע</w:t>
      </w:r>
      <w:r w:rsidRPr="00AF57DF">
        <w:rPr>
          <w:rFonts w:hint="cs"/>
          <w:rtl/>
        </w:rPr>
        <w:t xml:space="preserve"> </w:t>
      </w:r>
      <w:r w:rsidRPr="00AF57DF">
        <w:rPr>
          <w:rStyle w:val="af6"/>
          <w:rFonts w:eastAsia="Guttman Hodes" w:hint="cs"/>
          <w:rtl/>
        </w:rPr>
        <w:t>(סי' ק"ג ס"ב)</w:t>
      </w:r>
      <w:r w:rsidRPr="00AF57DF">
        <w:rPr>
          <w:rFonts w:hint="cs"/>
          <w:rtl/>
        </w:rPr>
        <w:t xml:space="preserve"> </w:t>
      </w:r>
      <w:r w:rsidRPr="00AF57DF">
        <w:rPr>
          <w:rStyle w:val="af8"/>
          <w:rFonts w:hint="cs"/>
          <w:rtl/>
        </w:rPr>
        <w:t>כ</w:t>
      </w:r>
      <w:r w:rsidRPr="00AF57DF">
        <w:rPr>
          <w:rStyle w:val="af8"/>
          <w:rtl/>
        </w:rPr>
        <w:t>הרשב"א</w:t>
      </w:r>
      <w:r w:rsidRPr="00AF57DF">
        <w:rPr>
          <w:rtl/>
        </w:rPr>
        <w:t xml:space="preserve"> </w:t>
      </w:r>
      <w:r w:rsidRPr="00AF57DF">
        <w:rPr>
          <w:rStyle w:val="af6"/>
          <w:rFonts w:eastAsia="Guttman Hodes" w:hint="cs"/>
          <w:rtl/>
        </w:rPr>
        <w:t xml:space="preserve">(עי' אות </w:t>
      </w:r>
      <w:r w:rsidRPr="00AF57DF">
        <w:rPr>
          <w:rStyle w:val="af6"/>
          <w:rFonts w:eastAsia="Guttman Hodes" w:hint="cs"/>
          <w:rtl/>
        </w:rPr>
        <w:fldChar w:fldCharType="begin"/>
      </w:r>
      <w:r w:rsidRPr="00AF57DF">
        <w:rPr>
          <w:rStyle w:val="af6"/>
          <w:rFonts w:eastAsia="Guttman Hodes" w:hint="cs"/>
          <w:rtl/>
        </w:rPr>
        <w:instrText xml:space="preserve"> </w:instrText>
      </w:r>
      <w:r w:rsidRPr="00AF57DF">
        <w:rPr>
          <w:rStyle w:val="af6"/>
          <w:rFonts w:eastAsia="Guttman Hodes"/>
        </w:rPr>
        <w:instrText>REF</w:instrText>
      </w:r>
      <w:r w:rsidRPr="00AF57DF">
        <w:rPr>
          <w:rStyle w:val="af6"/>
          <w:rFonts w:eastAsia="Guttman Hodes" w:hint="cs"/>
          <w:rtl/>
        </w:rPr>
        <w:instrText xml:space="preserve"> _</w:instrText>
      </w:r>
      <w:r w:rsidRPr="00AF57DF">
        <w:rPr>
          <w:rStyle w:val="af6"/>
          <w:rFonts w:eastAsia="Guttman Hodes"/>
        </w:rPr>
        <w:instrText>Ref19046356 \r \h</w:instrText>
      </w:r>
      <w:r w:rsidRPr="00AF57DF">
        <w:rPr>
          <w:rStyle w:val="af6"/>
          <w:rFonts w:eastAsia="Guttman Hodes" w:hint="c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F57DF">
        <w:rPr>
          <w:rStyle w:val="af6"/>
          <w:rFonts w:eastAsia="Guttman Hodes" w:hint="cs"/>
          <w:rtl/>
        </w:rPr>
      </w:r>
      <w:r w:rsidRPr="00AF57D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sidRPr="00AF57DF">
        <w:rPr>
          <w:rStyle w:val="af6"/>
          <w:rFonts w:eastAsia="Guttman Hodes" w:hint="cs"/>
          <w:rtl/>
        </w:rPr>
        <w:fldChar w:fldCharType="end"/>
      </w:r>
      <w:r w:rsidRPr="00AF57DF">
        <w:rPr>
          <w:rStyle w:val="af6"/>
          <w:rFonts w:eastAsia="Guttman Hodes" w:hint="cs"/>
          <w:rtl/>
        </w:rPr>
        <w:t xml:space="preserve"> </w:t>
      </w:r>
      <w:r w:rsidRPr="00AF57DF">
        <w:rPr>
          <w:rFonts w:hint="cs"/>
          <w:rtl/>
        </w:rPr>
        <w:t>דההיתר בנותן</w:t>
      </w:r>
      <w:r>
        <w:rPr>
          <w:rFonts w:hint="cs"/>
          <w:rtl/>
        </w:rPr>
        <w:t xml:space="preserve"> טעם לפגם, הוא דוקא במקום שיש ביטול ברוב, ואילו בהלכות פסח, פסק </w:t>
      </w:r>
      <w:r w:rsidRPr="007B5C9C">
        <w:rPr>
          <w:rStyle w:val="af8"/>
          <w:rFonts w:hint="cs"/>
          <w:rtl/>
        </w:rPr>
        <w:t>השו"ע</w:t>
      </w:r>
      <w:r>
        <w:rPr>
          <w:rFonts w:hint="cs"/>
          <w:rtl/>
        </w:rPr>
        <w:t xml:space="preserve"> </w:t>
      </w:r>
      <w:r w:rsidRPr="004F4BF7">
        <w:rPr>
          <w:rStyle w:val="af6"/>
          <w:rFonts w:eastAsia="Guttman Hodes" w:hint="cs"/>
          <w:rtl/>
        </w:rPr>
        <w:t>(או"ח סי' תמ"ז ס"י)</w:t>
      </w:r>
      <w:r>
        <w:rPr>
          <w:rFonts w:hint="cs"/>
          <w:rtl/>
        </w:rPr>
        <w:t xml:space="preserve"> דנותן טעם לפגם מותר אף בחמץ, והוא כדעת </w:t>
      </w:r>
      <w:r w:rsidRPr="00A65166">
        <w:rPr>
          <w:rStyle w:val="af8"/>
          <w:rFonts w:hint="cs"/>
          <w:rtl/>
        </w:rPr>
        <w:t>הר"ן</w:t>
      </w:r>
      <w:r>
        <w:rPr>
          <w:rFonts w:hint="cs"/>
          <w:rtl/>
        </w:rPr>
        <w:t xml:space="preserve"> </w:t>
      </w:r>
      <w:r w:rsidRPr="00A65166">
        <w:rPr>
          <w:rStyle w:val="af6"/>
          <w:rFonts w:eastAsia="Guttman Hodes" w:hint="cs"/>
          <w:rtl/>
        </w:rPr>
        <w:t xml:space="preserve">(עי' אות </w:t>
      </w:r>
      <w:r w:rsidRPr="00A65166">
        <w:rPr>
          <w:rStyle w:val="af6"/>
          <w:rFonts w:eastAsia="Guttman Hodes"/>
          <w:rtl/>
        </w:rPr>
        <w:fldChar w:fldCharType="begin"/>
      </w:r>
      <w:r w:rsidRPr="00A65166">
        <w:rPr>
          <w:rStyle w:val="af6"/>
          <w:rFonts w:eastAsia="Guttman Hodes"/>
          <w:rtl/>
        </w:rPr>
        <w:instrText xml:space="preserve"> </w:instrText>
      </w:r>
      <w:r w:rsidRPr="00A65166">
        <w:rPr>
          <w:rStyle w:val="af6"/>
          <w:rFonts w:eastAsia="Guttman Hodes" w:hint="cs"/>
        </w:rPr>
        <w:instrText>REF</w:instrText>
      </w:r>
      <w:r w:rsidRPr="00A65166">
        <w:rPr>
          <w:rStyle w:val="af6"/>
          <w:rFonts w:eastAsia="Guttman Hodes" w:hint="cs"/>
          <w:rtl/>
        </w:rPr>
        <w:instrText xml:space="preserve"> _</w:instrText>
      </w:r>
      <w:r w:rsidRPr="00A65166">
        <w:rPr>
          <w:rStyle w:val="af6"/>
          <w:rFonts w:eastAsia="Guttman Hodes" w:hint="cs"/>
        </w:rPr>
        <w:instrText>Ref19131369 \r \h</w:instrText>
      </w:r>
      <w:r w:rsidRPr="00A65166">
        <w:rPr>
          <w:rStyle w:val="af6"/>
          <w:rFonts w:eastAsia="Guttman Hodes"/>
          <w:rtl/>
        </w:rPr>
        <w:instrText xml:space="preserve"> </w:instrText>
      </w:r>
      <w:r w:rsidRPr="00A65166">
        <w:rPr>
          <w:rStyle w:val="af6"/>
          <w:rFonts w:eastAsia="Guttman Hodes"/>
          <w:rtl/>
        </w:rPr>
      </w:r>
      <w:r w:rsidRPr="00A65166">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A65166">
        <w:rPr>
          <w:rStyle w:val="af6"/>
          <w:rFonts w:eastAsia="Guttman Hodes"/>
          <w:rtl/>
        </w:rPr>
        <w:fldChar w:fldCharType="end"/>
      </w:r>
      <w:r>
        <w:rPr>
          <w:rFonts w:hint="cs"/>
          <w:rtl/>
        </w:rPr>
        <w:t xml:space="preserve"> דהרי לדעת </w:t>
      </w:r>
      <w:r w:rsidRPr="007B5C9C">
        <w:rPr>
          <w:rStyle w:val="af8"/>
          <w:rFonts w:hint="cs"/>
          <w:rtl/>
        </w:rPr>
        <w:t>הרשב"א</w:t>
      </w:r>
      <w:r>
        <w:rPr>
          <w:rFonts w:hint="cs"/>
          <w:rtl/>
        </w:rPr>
        <w:t xml:space="preserve"> </w:t>
      </w:r>
      <w:r w:rsidRPr="00A65166">
        <w:rPr>
          <w:rStyle w:val="af6"/>
          <w:rFonts w:eastAsia="Guttman Hodes" w:hint="cs"/>
          <w:rtl/>
        </w:rPr>
        <w:t xml:space="preserve">(עי' אות </w:t>
      </w:r>
      <w:r w:rsidRPr="00A65166">
        <w:rPr>
          <w:rStyle w:val="af6"/>
          <w:rFonts w:eastAsia="Guttman Hodes"/>
          <w:rtl/>
        </w:rPr>
        <w:fldChar w:fldCharType="begin"/>
      </w:r>
      <w:r w:rsidRPr="00A65166">
        <w:rPr>
          <w:rStyle w:val="af6"/>
          <w:rFonts w:eastAsia="Guttman Hodes"/>
          <w:rtl/>
        </w:rPr>
        <w:instrText xml:space="preserve"> </w:instrText>
      </w:r>
      <w:r w:rsidRPr="00A65166">
        <w:rPr>
          <w:rStyle w:val="af6"/>
          <w:rFonts w:eastAsia="Guttman Hodes" w:hint="cs"/>
        </w:rPr>
        <w:instrText>REF</w:instrText>
      </w:r>
      <w:r w:rsidRPr="00A65166">
        <w:rPr>
          <w:rStyle w:val="af6"/>
          <w:rFonts w:eastAsia="Guttman Hodes" w:hint="cs"/>
          <w:rtl/>
        </w:rPr>
        <w:instrText xml:space="preserve"> _</w:instrText>
      </w:r>
      <w:r w:rsidRPr="00A65166">
        <w:rPr>
          <w:rStyle w:val="af6"/>
          <w:rFonts w:eastAsia="Guttman Hodes" w:hint="cs"/>
        </w:rPr>
        <w:instrText>Ref19131355 \r \h</w:instrText>
      </w:r>
      <w:r w:rsidRPr="00A65166">
        <w:rPr>
          <w:rStyle w:val="af6"/>
          <w:rFonts w:eastAsia="Guttman Hodes"/>
          <w:rtl/>
        </w:rPr>
        <w:instrText xml:space="preserve"> </w:instrText>
      </w:r>
      <w:r w:rsidRPr="00A65166">
        <w:rPr>
          <w:rStyle w:val="af6"/>
          <w:rFonts w:eastAsia="Guttman Hodes"/>
          <w:rtl/>
        </w:rPr>
      </w:r>
      <w:r w:rsidRPr="00A65166">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A65166">
        <w:rPr>
          <w:rStyle w:val="af6"/>
          <w:rFonts w:eastAsia="Guttman Hodes"/>
          <w:rtl/>
        </w:rPr>
        <w:fldChar w:fldCharType="end"/>
      </w:r>
      <w:r w:rsidRPr="00A65166">
        <w:rPr>
          <w:rStyle w:val="af6"/>
          <w:rFonts w:eastAsia="Guttman Hodes" w:hint="cs"/>
          <w:rtl/>
        </w:rPr>
        <w:t xml:space="preserve"> </w:t>
      </w:r>
      <w:r>
        <w:rPr>
          <w:rFonts w:hint="cs"/>
          <w:rtl/>
        </w:rPr>
        <w:t xml:space="preserve">נותן טעם לפגם אסור בחמץ שאוסר במשהו, דלא שייך בחמץ ביטול ברוב, וע"ע במה שהקשה </w:t>
      </w:r>
      <w:r w:rsidRPr="007B5C9C">
        <w:rPr>
          <w:rStyle w:val="af8"/>
          <w:rFonts w:hint="cs"/>
          <w:rtl/>
        </w:rPr>
        <w:t>המגן האלף</w:t>
      </w:r>
      <w:r>
        <w:rPr>
          <w:rFonts w:hint="cs"/>
          <w:rtl/>
        </w:rPr>
        <w:t xml:space="preserve"> </w:t>
      </w:r>
      <w:r w:rsidRPr="004F4BF7">
        <w:rPr>
          <w:rStyle w:val="af6"/>
          <w:rFonts w:eastAsia="Guttman Hodes" w:hint="cs"/>
          <w:rtl/>
        </w:rPr>
        <w:t>(סי' תמ"ז סקכ"ג ד"ה ובאמת לפי)</w:t>
      </w:r>
      <w:r>
        <w:rPr>
          <w:rFonts w:hint="cs"/>
          <w:rtl/>
        </w:rPr>
        <w:t>.</w:t>
      </w:r>
    </w:p>
    <w:p w:rsidR="0013006A" w:rsidRPr="00A37615" w:rsidRDefault="0013006A" w:rsidP="0013006A">
      <w:pPr>
        <w:pStyle w:val="a2"/>
        <w:rPr>
          <w:rtl/>
        </w:rPr>
      </w:pPr>
      <w:bookmarkStart w:id="9551" w:name="_Toc19170994"/>
      <w:bookmarkStart w:id="9552" w:name="_Toc19180850"/>
      <w:r>
        <w:rPr>
          <w:rFonts w:hint="cs"/>
          <w:rtl/>
        </w:rPr>
        <w:t>תירוצי הגרעק"א דהשו"ע פסק בחמץ לקולא ע"י צירוף שיטות במחלוקות אחרות</w:t>
      </w:r>
      <w:bookmarkEnd w:id="9551"/>
      <w:bookmarkEnd w:id="9552"/>
    </w:p>
    <w:p w:rsidR="0013006A" w:rsidRDefault="0013006A" w:rsidP="009F44AF">
      <w:pPr>
        <w:pStyle w:val="a"/>
        <w:rPr>
          <w:rtl/>
        </w:rPr>
      </w:pPr>
      <w:r>
        <w:rPr>
          <w:rFonts w:hint="cs"/>
          <w:rtl/>
        </w:rPr>
        <w:t xml:space="preserve">ותירץ </w:t>
      </w:r>
      <w:r w:rsidRPr="00AF57DF">
        <w:rPr>
          <w:rStyle w:val="af8"/>
          <w:rFonts w:hint="cs"/>
          <w:rtl/>
        </w:rPr>
        <w:t>הגרעק"א בחולין</w:t>
      </w:r>
      <w:r w:rsidRPr="00AF57DF">
        <w:rPr>
          <w:rFonts w:hint="cs"/>
          <w:rtl/>
        </w:rPr>
        <w:t xml:space="preserve"> </w:t>
      </w:r>
      <w:r w:rsidRPr="00AF57DF">
        <w:rPr>
          <w:rStyle w:val="af8"/>
          <w:rFonts w:hint="cs"/>
          <w:rtl/>
        </w:rPr>
        <w:t>דהשו"ע</w:t>
      </w:r>
      <w:r w:rsidRPr="00AF57DF">
        <w:rPr>
          <w:rFonts w:hint="cs"/>
          <w:rtl/>
        </w:rPr>
        <w:t xml:space="preserve"> סמך על צירוף</w:t>
      </w:r>
      <w:r>
        <w:rPr>
          <w:rFonts w:hint="cs"/>
          <w:rtl/>
        </w:rPr>
        <w:t xml:space="preserve"> דעות להקל, כיון דלדעת </w:t>
      </w:r>
      <w:r w:rsidRPr="007B5C9C">
        <w:rPr>
          <w:rStyle w:val="af8"/>
          <w:rFonts w:hint="cs"/>
          <w:rtl/>
        </w:rPr>
        <w:t>הר"ן</w:t>
      </w:r>
      <w:r>
        <w:rPr>
          <w:rFonts w:hint="cs"/>
          <w:rtl/>
        </w:rPr>
        <w:t xml:space="preserve"> ההיתר בנותן טעם לפגם הוא אף בחמץ, דס"ל דאינו מדין ביטול ברוב, ויש דעה נוספת של </w:t>
      </w:r>
      <w:r w:rsidRPr="007B5C9C">
        <w:rPr>
          <w:rStyle w:val="af8"/>
          <w:rFonts w:hint="cs"/>
          <w:rtl/>
        </w:rPr>
        <w:t>השאילתות</w:t>
      </w:r>
      <w:r>
        <w:rPr>
          <w:rFonts w:hint="cs"/>
          <w:rtl/>
        </w:rPr>
        <w:t xml:space="preserve"> דחמץ בטל בשישים, לכן פסק </w:t>
      </w:r>
      <w:r w:rsidRPr="007B5C9C">
        <w:rPr>
          <w:rStyle w:val="af8"/>
          <w:rFonts w:hint="cs"/>
          <w:rtl/>
        </w:rPr>
        <w:t>השו"ע</w:t>
      </w:r>
      <w:r>
        <w:rPr>
          <w:rFonts w:hint="cs"/>
          <w:rtl/>
        </w:rPr>
        <w:t xml:space="preserve"> לקולא, ועוד תירץ </w:t>
      </w:r>
      <w:r w:rsidRPr="007B5C9C">
        <w:rPr>
          <w:rStyle w:val="af8"/>
          <w:rFonts w:hint="cs"/>
          <w:rtl/>
        </w:rPr>
        <w:t>הגרעק"א בתשו'</w:t>
      </w:r>
      <w:r>
        <w:rPr>
          <w:rFonts w:hint="cs"/>
          <w:rtl/>
        </w:rPr>
        <w:t xml:space="preserve"> </w:t>
      </w:r>
      <w:r w:rsidRPr="00A65166">
        <w:rPr>
          <w:rStyle w:val="af6"/>
          <w:rFonts w:eastAsia="Guttman Hodes" w:hint="cs"/>
          <w:rtl/>
        </w:rPr>
        <w:t>(מהדו"ק סי' מ"ג ד"ה ולכאורה יפלא)</w:t>
      </w:r>
      <w:r>
        <w:rPr>
          <w:rFonts w:hint="cs"/>
          <w:rtl/>
        </w:rPr>
        <w:t xml:space="preserve"> דכיון דפסק </w:t>
      </w:r>
      <w:r w:rsidRPr="007B5C9C">
        <w:rPr>
          <w:rStyle w:val="af8"/>
          <w:rFonts w:hint="cs"/>
          <w:rtl/>
        </w:rPr>
        <w:t>השו"ע</w:t>
      </w:r>
      <w:r>
        <w:rPr>
          <w:rFonts w:hint="cs"/>
          <w:rtl/>
        </w:rPr>
        <w:t xml:space="preserve"> שצריך רוב היתר בנותן טעם לפגם , וא"כ מבואר דבנותן טעם מהני ביטול ברוב, דטעם פגום אינו נחשב לטעם, וא"כ הוא כמו יבש ביבש, דמהני בו ביטול ברוב, ובדין יבש ביבש הביא </w:t>
      </w:r>
      <w:r w:rsidRPr="007B5C9C">
        <w:rPr>
          <w:rStyle w:val="af8"/>
          <w:rFonts w:hint="cs"/>
          <w:rtl/>
        </w:rPr>
        <w:t>השו"ע</w:t>
      </w:r>
      <w:r>
        <w:rPr>
          <w:rFonts w:hint="cs"/>
          <w:rtl/>
        </w:rPr>
        <w:t xml:space="preserve"> מחלוקת אי מהני ביטול בחמץ, לכן בנותן טעם לפגם סמך </w:t>
      </w:r>
      <w:r w:rsidRPr="007B5C9C">
        <w:rPr>
          <w:rStyle w:val="af8"/>
          <w:rFonts w:hint="cs"/>
          <w:rtl/>
        </w:rPr>
        <w:t>השו"ע</w:t>
      </w:r>
      <w:r>
        <w:rPr>
          <w:rFonts w:hint="cs"/>
          <w:rtl/>
        </w:rPr>
        <w:t xml:space="preserve"> להקל וצירף את </w:t>
      </w:r>
      <w:r w:rsidRPr="007B5C9C">
        <w:rPr>
          <w:rStyle w:val="af8"/>
          <w:rFonts w:hint="cs"/>
          <w:rtl/>
        </w:rPr>
        <w:t>דעת הר"ן</w:t>
      </w:r>
      <w:r>
        <w:rPr>
          <w:rFonts w:hint="cs"/>
          <w:rtl/>
        </w:rPr>
        <w:t xml:space="preserve"> דנותן טעם לפגם מותר אף במקום שאין רוב היתר, ואת דעת הפוסקים דבחמץ מהני ביטול ביבש ביבש, וכעי"ז כתב </w:t>
      </w:r>
      <w:r w:rsidRPr="007B5C9C">
        <w:rPr>
          <w:rStyle w:val="af8"/>
          <w:rFonts w:hint="cs"/>
          <w:rtl/>
        </w:rPr>
        <w:t>ה</w:t>
      </w:r>
      <w:r w:rsidR="00250230">
        <w:rPr>
          <w:rStyle w:val="af8"/>
          <w:rFonts w:hint="cs"/>
          <w:rtl/>
        </w:rPr>
        <w:t>פלתי</w:t>
      </w:r>
      <w:r>
        <w:rPr>
          <w:rFonts w:hint="cs"/>
          <w:rtl/>
        </w:rPr>
        <w:t xml:space="preserve"> </w:t>
      </w:r>
      <w:r w:rsidRPr="00A65166">
        <w:rPr>
          <w:rStyle w:val="af6"/>
          <w:rFonts w:eastAsia="Guttman Hodes" w:hint="cs"/>
          <w:rtl/>
        </w:rPr>
        <w:t>(סי ק"ג סק"א)</w:t>
      </w:r>
      <w:r>
        <w:rPr>
          <w:rFonts w:hint="cs"/>
          <w:rtl/>
        </w:rPr>
        <w:t xml:space="preserve">, ועי' במ"ש </w:t>
      </w:r>
      <w:r w:rsidRPr="007B5C9C">
        <w:rPr>
          <w:rStyle w:val="af8"/>
          <w:rFonts w:hint="cs"/>
          <w:rtl/>
        </w:rPr>
        <w:t>החוו"ד</w:t>
      </w:r>
      <w:r>
        <w:rPr>
          <w:rFonts w:hint="cs"/>
          <w:rtl/>
        </w:rPr>
        <w:t xml:space="preserve"> </w:t>
      </w:r>
      <w:r w:rsidRPr="00A65166">
        <w:rPr>
          <w:rStyle w:val="af6"/>
          <w:rFonts w:eastAsia="Guttman Hodes" w:hint="cs"/>
          <w:rtl/>
        </w:rPr>
        <w:t>(סי' ק"ג סק"ב)</w:t>
      </w:r>
      <w:r>
        <w:rPr>
          <w:rFonts w:hint="cs"/>
          <w:rtl/>
        </w:rPr>
        <w:t>.</w:t>
      </w:r>
    </w:p>
    <w:p w:rsidR="0013006A" w:rsidRPr="00EE6530" w:rsidRDefault="0013006A" w:rsidP="0013006A">
      <w:pPr>
        <w:pStyle w:val="1"/>
        <w:rPr>
          <w:rtl/>
        </w:rPr>
      </w:pPr>
      <w:bookmarkStart w:id="9553" w:name="_Toc19082177"/>
      <w:bookmarkStart w:id="9554" w:name="_Toc19129498"/>
      <w:bookmarkStart w:id="9555" w:name="_Toc19130054"/>
      <w:bookmarkStart w:id="9556" w:name="_Toc19170995"/>
      <w:bookmarkStart w:id="9557" w:name="_Toc19180851"/>
      <w:bookmarkStart w:id="9558" w:name="_Toc16116627"/>
      <w:bookmarkStart w:id="9559" w:name="_Toc16243787"/>
      <w:bookmarkStart w:id="9560" w:name="_Toc16679287"/>
      <w:bookmarkStart w:id="9561" w:name="_Toc16850491"/>
      <w:bookmarkStart w:id="9562" w:name="_Toc17624866"/>
      <w:bookmarkStart w:id="9563" w:name="_Toc17889815"/>
      <w:bookmarkStart w:id="9564" w:name="_Toc17975437"/>
      <w:bookmarkStart w:id="9565" w:name="_Toc17984121"/>
      <w:bookmarkStart w:id="9566" w:name="_Toc18228246"/>
      <w:bookmarkStart w:id="9567" w:name="_Toc18250777"/>
      <w:bookmarkStart w:id="9568" w:name="_Toc18266233"/>
      <w:bookmarkStart w:id="9569" w:name="_Toc18269143"/>
      <w:bookmarkStart w:id="9570" w:name="_Toc18513264"/>
      <w:bookmarkStart w:id="9571" w:name="_Toc18874356"/>
      <w:r>
        <w:rPr>
          <w:rFonts w:hint="cs"/>
          <w:rtl/>
        </w:rPr>
        <w:t>ביאור</w:t>
      </w:r>
      <w:r w:rsidRPr="00EE6530">
        <w:rPr>
          <w:rFonts w:hint="cs"/>
          <w:rtl/>
        </w:rPr>
        <w:t xml:space="preserve"> המקור חיים</w:t>
      </w:r>
      <w:bookmarkEnd w:id="9553"/>
      <w:bookmarkEnd w:id="9554"/>
      <w:bookmarkEnd w:id="9555"/>
      <w:r>
        <w:rPr>
          <w:rFonts w:hint="cs"/>
          <w:rtl/>
        </w:rPr>
        <w:t xml:space="preserve"> דבטעם פגום אין טע"כ ואף במשהו מותר</w:t>
      </w:r>
      <w:bookmarkEnd w:id="9556"/>
      <w:bookmarkEnd w:id="9557"/>
    </w:p>
    <w:p w:rsidR="0013006A" w:rsidRPr="00EE6530" w:rsidRDefault="0013006A" w:rsidP="0013006A">
      <w:pPr>
        <w:pStyle w:val="a2"/>
        <w:rPr>
          <w:rtl/>
        </w:rPr>
      </w:pPr>
      <w:bookmarkStart w:id="9572" w:name="_Toc19082178"/>
      <w:bookmarkStart w:id="9573" w:name="_Toc19129499"/>
      <w:bookmarkStart w:id="9574" w:name="_Toc19130055"/>
      <w:bookmarkStart w:id="9575" w:name="_Toc19170996"/>
      <w:bookmarkStart w:id="9576" w:name="_Toc19180852"/>
      <w:r>
        <w:rPr>
          <w:rFonts w:hint="cs"/>
          <w:rtl/>
        </w:rPr>
        <w:t xml:space="preserve">ביאור </w:t>
      </w:r>
      <w:r w:rsidRPr="00EE6530">
        <w:rPr>
          <w:rFonts w:hint="cs"/>
          <w:rtl/>
        </w:rPr>
        <w:t xml:space="preserve">המקו"ח </w:t>
      </w:r>
      <w:r>
        <w:rPr>
          <w:rFonts w:hint="cs"/>
          <w:rtl/>
        </w:rPr>
        <w:t>דנטל"פ מותר בחמץ דכל האיסור בטעם הוא מדין טע"כ ובפגום א</w:t>
      </w:r>
      <w:r w:rsidRPr="00EE6530">
        <w:rPr>
          <w:rFonts w:hint="cs"/>
          <w:rtl/>
        </w:rPr>
        <w:t>ין טע"כ</w:t>
      </w:r>
      <w:bookmarkEnd w:id="9572"/>
      <w:bookmarkEnd w:id="9573"/>
      <w:bookmarkEnd w:id="9574"/>
      <w:bookmarkEnd w:id="9575"/>
      <w:bookmarkEnd w:id="9576"/>
    </w:p>
    <w:p w:rsidR="0013006A" w:rsidRDefault="0013006A" w:rsidP="009F44AF">
      <w:pPr>
        <w:pStyle w:val="a"/>
        <w:rPr>
          <w:rStyle w:val="afa"/>
          <w:rtl/>
        </w:rPr>
      </w:pPr>
      <w:bookmarkStart w:id="9577" w:name="_Ref19132275"/>
      <w:r w:rsidRPr="00EE6530">
        <w:rPr>
          <w:rFonts w:hint="cs"/>
          <w:rtl/>
        </w:rPr>
        <w:t xml:space="preserve">כתב </w:t>
      </w:r>
      <w:r w:rsidRPr="00EE6530">
        <w:rPr>
          <w:rStyle w:val="af8"/>
          <w:rFonts w:hint="cs"/>
          <w:rtl/>
        </w:rPr>
        <w:t>במקור חיים</w:t>
      </w:r>
      <w:r w:rsidRPr="00EE6530">
        <w:rPr>
          <w:rFonts w:hint="cs"/>
          <w:rtl/>
        </w:rPr>
        <w:t xml:space="preserve"> </w:t>
      </w:r>
      <w:r w:rsidRPr="00EE6530">
        <w:rPr>
          <w:rStyle w:val="af6"/>
          <w:rFonts w:eastAsia="Guttman Hodes" w:hint="cs"/>
          <w:rtl/>
        </w:rPr>
        <w:t>(סי' תמ"ב סק"ב ד"ה ומה שהקשה הר"ן)</w:t>
      </w:r>
      <w:r w:rsidRPr="00EE6530">
        <w:rPr>
          <w:rFonts w:hint="cs"/>
          <w:rtl/>
        </w:rPr>
        <w:t xml:space="preserve"> </w:t>
      </w:r>
      <w:r>
        <w:rPr>
          <w:rFonts w:hint="cs"/>
          <w:rtl/>
        </w:rPr>
        <w:t xml:space="preserve">דגדר </w:t>
      </w:r>
      <w:r w:rsidRPr="00EE6530">
        <w:rPr>
          <w:rFonts w:hint="cs"/>
          <w:rtl/>
        </w:rPr>
        <w:t xml:space="preserve">ההיתר בנותן טעם לפגם, הוא דלולי הילפותא בגמ' בפסחים </w:t>
      </w:r>
      <w:r w:rsidRPr="00EE6530">
        <w:rPr>
          <w:rStyle w:val="af6"/>
          <w:rFonts w:eastAsia="Guttman Hodes" w:hint="cs"/>
          <w:rtl/>
        </w:rPr>
        <w:t>(מד.)</w:t>
      </w:r>
      <w:r w:rsidRPr="00EE6530">
        <w:rPr>
          <w:rFonts w:hint="cs"/>
          <w:rtl/>
        </w:rPr>
        <w:t xml:space="preserve"> ממשרת אף טעם לשבח היה מותר, וכ"מ דילפינן מנזיר לשאר איסורים דטעם כעיקר הוא בק"ו, וכיון דבנזיר גופיה נותן טעם לפגם מותר, א"כ אמרינן דיו לבא מן הדין להיות כנדון, דאף בשאר איסורים נותן טעם לפגם מותר</w:t>
      </w:r>
      <w:r>
        <w:rPr>
          <w:rFonts w:hint="cs"/>
          <w:rtl/>
        </w:rPr>
        <w:t xml:space="preserve">, </w:t>
      </w:r>
      <w:r w:rsidRPr="000177C2">
        <w:rPr>
          <w:rStyle w:val="afa"/>
          <w:rFonts w:hint="cs"/>
          <w:rtl/>
        </w:rPr>
        <w:t xml:space="preserve">[ועי' במ"ש </w:t>
      </w:r>
      <w:r w:rsidRPr="000177C2">
        <w:rPr>
          <w:rStyle w:val="affa"/>
          <w:rFonts w:hint="cs"/>
          <w:rtl/>
        </w:rPr>
        <w:t>המקור חיים</w:t>
      </w:r>
      <w:r w:rsidRPr="000177C2">
        <w:rPr>
          <w:rStyle w:val="afa"/>
          <w:rFonts w:hint="cs"/>
          <w:rtl/>
        </w:rPr>
        <w:t xml:space="preserve"> </w:t>
      </w:r>
      <w:r w:rsidRPr="000177C2">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Ref19132216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סו)</w:t>
      </w:r>
      <w:r>
        <w:rPr>
          <w:rStyle w:val="aff6"/>
          <w:rtl/>
        </w:rPr>
        <w:fldChar w:fldCharType="end"/>
      </w:r>
      <w:r w:rsidRPr="000177C2">
        <w:rPr>
          <w:rStyle w:val="aff6"/>
          <w:rFonts w:hint="cs"/>
          <w:rtl/>
        </w:rPr>
        <w:t xml:space="preserve"> </w:t>
      </w:r>
      <w:r w:rsidRPr="000177C2">
        <w:rPr>
          <w:rStyle w:val="afa"/>
          <w:rFonts w:hint="cs"/>
          <w:rtl/>
        </w:rPr>
        <w:t>להוכיח כן],</w:t>
      </w:r>
      <w:r w:rsidRPr="00EE6530">
        <w:rPr>
          <w:rFonts w:hint="cs"/>
          <w:rtl/>
        </w:rPr>
        <w:t xml:space="preserve"> ו</w:t>
      </w:r>
      <w:r>
        <w:rPr>
          <w:rFonts w:hint="cs"/>
          <w:rtl/>
        </w:rPr>
        <w:t>ביאר</w:t>
      </w:r>
      <w:r w:rsidRPr="00EE6530">
        <w:rPr>
          <w:rFonts w:hint="cs"/>
          <w:rtl/>
        </w:rPr>
        <w:t xml:space="preserve"> </w:t>
      </w:r>
      <w:r w:rsidRPr="00EE6530">
        <w:rPr>
          <w:rStyle w:val="af8"/>
          <w:rFonts w:hint="cs"/>
          <w:rtl/>
        </w:rPr>
        <w:t>המקור חיים</w:t>
      </w:r>
      <w:r w:rsidRPr="00EE6530">
        <w:rPr>
          <w:rFonts w:hint="cs"/>
          <w:rtl/>
        </w:rPr>
        <w:t xml:space="preserve"> ד</w:t>
      </w:r>
      <w:r>
        <w:rPr>
          <w:rFonts w:hint="cs"/>
          <w:rtl/>
        </w:rPr>
        <w:t>זהו ההיתר ב</w:t>
      </w:r>
      <w:r w:rsidRPr="00EE6530">
        <w:rPr>
          <w:rFonts w:hint="cs"/>
          <w:rtl/>
        </w:rPr>
        <w:t xml:space="preserve">נותן טעם לפגם בחמץ בפסח, [לדעת </w:t>
      </w:r>
      <w:r w:rsidRPr="00EE6530">
        <w:rPr>
          <w:rStyle w:val="af8"/>
          <w:rFonts w:hint="cs"/>
          <w:rtl/>
        </w:rPr>
        <w:t>הר"ן</w:t>
      </w:r>
      <w:r w:rsidRPr="00EE6530">
        <w:rPr>
          <w:rFonts w:hint="cs"/>
          <w:rtl/>
        </w:rPr>
        <w:t xml:space="preserve"> </w:t>
      </w:r>
      <w:r w:rsidRPr="00912C8D">
        <w:rPr>
          <w:rStyle w:val="af6"/>
          <w:rFonts w:eastAsia="Guttman Hodes" w:hint="cs"/>
          <w:rtl/>
        </w:rPr>
        <w:t xml:space="preserve">(עי' אות </w:t>
      </w:r>
      <w:r w:rsidRPr="00912C8D">
        <w:rPr>
          <w:rStyle w:val="af6"/>
          <w:rFonts w:eastAsia="Guttman Hodes"/>
          <w:rtl/>
        </w:rPr>
        <w:fldChar w:fldCharType="begin"/>
      </w:r>
      <w:r w:rsidRPr="00912C8D">
        <w:rPr>
          <w:rStyle w:val="af6"/>
          <w:rFonts w:eastAsia="Guttman Hodes"/>
          <w:rtl/>
        </w:rPr>
        <w:instrText xml:space="preserve"> </w:instrText>
      </w:r>
      <w:r w:rsidRPr="00912C8D">
        <w:rPr>
          <w:rStyle w:val="af6"/>
          <w:rFonts w:eastAsia="Guttman Hodes" w:hint="cs"/>
        </w:rPr>
        <w:instrText>REF</w:instrText>
      </w:r>
      <w:r w:rsidRPr="00912C8D">
        <w:rPr>
          <w:rStyle w:val="af6"/>
          <w:rFonts w:eastAsia="Guttman Hodes" w:hint="cs"/>
          <w:rtl/>
        </w:rPr>
        <w:instrText xml:space="preserve"> _</w:instrText>
      </w:r>
      <w:r w:rsidRPr="00912C8D">
        <w:rPr>
          <w:rStyle w:val="af6"/>
          <w:rFonts w:eastAsia="Guttman Hodes" w:hint="cs"/>
        </w:rPr>
        <w:instrText>Ref18858113 \r \h</w:instrText>
      </w:r>
      <w:r w:rsidRPr="00912C8D">
        <w:rPr>
          <w:rStyle w:val="af6"/>
          <w:rFonts w:eastAsia="Guttman Hodes"/>
          <w:rtl/>
        </w:rPr>
        <w:instrText xml:space="preserve"> </w:instrText>
      </w:r>
      <w:r w:rsidRPr="00912C8D">
        <w:rPr>
          <w:rStyle w:val="af6"/>
          <w:rFonts w:eastAsia="Guttman Hodes"/>
          <w:rtl/>
        </w:rPr>
      </w:r>
      <w:r w:rsidRPr="00912C8D">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912C8D">
        <w:rPr>
          <w:rStyle w:val="af6"/>
          <w:rFonts w:eastAsia="Guttman Hodes"/>
          <w:rtl/>
        </w:rPr>
        <w:fldChar w:fldCharType="end"/>
      </w:r>
      <w:r w:rsidRPr="00EE6530">
        <w:rPr>
          <w:rFonts w:hint="cs"/>
          <w:rtl/>
        </w:rPr>
        <w:t xml:space="preserve">], </w:t>
      </w:r>
      <w:r>
        <w:rPr>
          <w:rFonts w:hint="cs"/>
          <w:rtl/>
        </w:rPr>
        <w:t>דכל מה שאפשר לאסור בטעם הוא מדין טעם כעיקר, ובטעם פגום</w:t>
      </w:r>
      <w:r w:rsidRPr="00EE6530">
        <w:rPr>
          <w:rFonts w:hint="cs"/>
          <w:rtl/>
        </w:rPr>
        <w:t xml:space="preserve"> </w:t>
      </w:r>
      <w:r>
        <w:rPr>
          <w:rFonts w:hint="cs"/>
          <w:rtl/>
        </w:rPr>
        <w:t xml:space="preserve">אין </w:t>
      </w:r>
      <w:r w:rsidRPr="00EE6530">
        <w:rPr>
          <w:rFonts w:hint="cs"/>
          <w:rtl/>
        </w:rPr>
        <w:t>איסור מדין טעם כעיקר, א</w:t>
      </w:r>
      <w:r>
        <w:rPr>
          <w:rFonts w:hint="cs"/>
          <w:rtl/>
        </w:rPr>
        <w:t xml:space="preserve">ך כתב </w:t>
      </w:r>
      <w:r w:rsidRPr="0055617B">
        <w:rPr>
          <w:rStyle w:val="af8"/>
          <w:rFonts w:hint="cs"/>
          <w:rtl/>
        </w:rPr>
        <w:t>המקור חיים</w:t>
      </w:r>
      <w:r>
        <w:rPr>
          <w:rFonts w:hint="cs"/>
          <w:rtl/>
        </w:rPr>
        <w:t xml:space="preserve"> ד</w:t>
      </w:r>
      <w:r w:rsidRPr="00EE6530">
        <w:rPr>
          <w:rFonts w:hint="cs"/>
          <w:rtl/>
        </w:rPr>
        <w:t>בדין שלא כדרך אכילתן אין כל היתר בחמץ בפסח</w:t>
      </w:r>
      <w:r>
        <w:rPr>
          <w:rFonts w:hint="cs"/>
          <w:rtl/>
        </w:rPr>
        <w:t>,</w:t>
      </w:r>
      <w:r w:rsidRPr="006247A7">
        <w:rPr>
          <w:rFonts w:hint="cs"/>
          <w:rtl/>
        </w:rPr>
        <w:t xml:space="preserve"> </w:t>
      </w:r>
      <w:r>
        <w:rPr>
          <w:rFonts w:hint="cs"/>
          <w:rtl/>
        </w:rPr>
        <w:t>,</w:t>
      </w:r>
      <w:r w:rsidRPr="00BE1655">
        <w:rPr>
          <w:rStyle w:val="afa"/>
          <w:rFonts w:hint="cs"/>
          <w:rtl/>
        </w:rPr>
        <w:t xml:space="preserve"> </w:t>
      </w:r>
      <w:r>
        <w:rPr>
          <w:rFonts w:hint="cs"/>
          <w:rtl/>
        </w:rPr>
        <w:t xml:space="preserve">ועי' במ"ש כעי"ז </w:t>
      </w:r>
      <w:r>
        <w:rPr>
          <w:rStyle w:val="af8"/>
          <w:rFonts w:hint="cs"/>
          <w:rtl/>
        </w:rPr>
        <w:t>הגרעק"א</w:t>
      </w:r>
      <w:r>
        <w:rPr>
          <w:rFonts w:hint="cs"/>
          <w:rtl/>
        </w:rPr>
        <w:t xml:space="preserve"> </w:t>
      </w:r>
      <w:r w:rsidRPr="0030759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Ref19693364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פ)</w:t>
      </w:r>
      <w:r>
        <w:rPr>
          <w:rStyle w:val="af6"/>
          <w:rFonts w:eastAsia="Guttman Hodes"/>
          <w:rtl/>
        </w:rPr>
        <w:fldChar w:fldCharType="end"/>
      </w:r>
      <w:r w:rsidRPr="006247A7">
        <w:rPr>
          <w:rFonts w:hint="cs"/>
          <w:rtl/>
        </w:rPr>
        <w:t>.</w:t>
      </w:r>
      <w:r>
        <w:rPr>
          <w:rFonts w:hint="cs"/>
          <w:rtl/>
        </w:rPr>
        <w:t xml:space="preserve"> </w:t>
      </w:r>
      <w:r w:rsidRPr="00EE6530">
        <w:rPr>
          <w:rStyle w:val="afa"/>
          <w:rFonts w:hint="cs"/>
          <w:rtl/>
        </w:rPr>
        <w:t xml:space="preserve">[ועיי"ש </w:t>
      </w:r>
      <w:r>
        <w:rPr>
          <w:rStyle w:val="affa"/>
          <w:rFonts w:hint="cs"/>
          <w:rtl/>
        </w:rPr>
        <w:t>ב</w:t>
      </w:r>
      <w:r w:rsidRPr="00EE6530">
        <w:rPr>
          <w:rStyle w:val="affa"/>
          <w:rFonts w:hint="cs"/>
          <w:rtl/>
        </w:rPr>
        <w:t>מקור חיים</w:t>
      </w:r>
      <w:r w:rsidRPr="00EE6530">
        <w:rPr>
          <w:rStyle w:val="afa"/>
          <w:rFonts w:hint="cs"/>
          <w:rtl/>
        </w:rPr>
        <w:t xml:space="preserve"> במה שתירץ בזה את קושית </w:t>
      </w:r>
      <w:r w:rsidRPr="00EE6530">
        <w:rPr>
          <w:rStyle w:val="affa"/>
          <w:rFonts w:hint="cs"/>
          <w:rtl/>
        </w:rPr>
        <w:t>הר"ן על הרי"ף בפסחים</w:t>
      </w:r>
      <w:r w:rsidRPr="00EE6530">
        <w:rPr>
          <w:rStyle w:val="afa"/>
          <w:rFonts w:hint="cs"/>
          <w:rtl/>
        </w:rPr>
        <w:t xml:space="preserve"> </w:t>
      </w:r>
      <w:r w:rsidRPr="00EE6530">
        <w:rPr>
          <w:rStyle w:val="aff6"/>
          <w:rFonts w:hint="cs"/>
          <w:rtl/>
        </w:rPr>
        <w:t>(יג: מדפי הרי"ף ד"ה ונשרפת)</w:t>
      </w:r>
      <w:r>
        <w:rPr>
          <w:rStyle w:val="afa"/>
          <w:rFonts w:hint="cs"/>
          <w:rtl/>
        </w:rPr>
        <w:t xml:space="preserve"> בדין ביעור חמץ שאינו ראוי לגר</w:t>
      </w:r>
      <w:r w:rsidRPr="00EE6530">
        <w:rPr>
          <w:rStyle w:val="afa"/>
          <w:rFonts w:hint="cs"/>
          <w:rtl/>
        </w:rPr>
        <w:t xml:space="preserve">, ובמה שדחה </w:t>
      </w:r>
      <w:r w:rsidRPr="00EE6530">
        <w:rPr>
          <w:rStyle w:val="affa"/>
          <w:rFonts w:hint="cs"/>
          <w:rtl/>
        </w:rPr>
        <w:t>היד יהודה</w:t>
      </w:r>
      <w:r w:rsidRPr="00EE6530">
        <w:rPr>
          <w:rStyle w:val="afa"/>
          <w:rFonts w:hint="cs"/>
          <w:rtl/>
        </w:rPr>
        <w:t xml:space="preserve"> </w:t>
      </w:r>
      <w:r w:rsidRPr="00EE6530">
        <w:rPr>
          <w:rStyle w:val="aff6"/>
          <w:rFonts w:hint="cs"/>
          <w:rtl/>
        </w:rPr>
        <w:t xml:space="preserve">(סי' ק"ג סק"א ד"ה אבל עוד) </w:t>
      </w:r>
      <w:r w:rsidRPr="00EE6530">
        <w:rPr>
          <w:rStyle w:val="afa"/>
          <w:rFonts w:hint="cs"/>
          <w:rtl/>
        </w:rPr>
        <w:t>את דבריו].</w:t>
      </w:r>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7"/>
    </w:p>
    <w:p w:rsidR="0013006A" w:rsidRPr="00BB121D" w:rsidRDefault="0013006A" w:rsidP="0013006A">
      <w:pPr>
        <w:pStyle w:val="1"/>
        <w:rPr>
          <w:rtl/>
        </w:rPr>
      </w:pPr>
      <w:bookmarkStart w:id="9578" w:name="_Toc19170997"/>
      <w:bookmarkStart w:id="9579" w:name="_Toc19180853"/>
      <w:r>
        <w:rPr>
          <w:rFonts w:hint="cs"/>
          <w:rtl/>
        </w:rPr>
        <w:t>קושית היד יהודה על הר"ן דהיתר נטל"פ הוא בפגימה שניכרת</w:t>
      </w:r>
      <w:bookmarkEnd w:id="9578"/>
      <w:bookmarkEnd w:id="9579"/>
    </w:p>
    <w:p w:rsidR="0013006A" w:rsidRPr="00A37615" w:rsidRDefault="0013006A" w:rsidP="0013006A">
      <w:pPr>
        <w:pStyle w:val="a2"/>
      </w:pPr>
      <w:bookmarkStart w:id="9580" w:name="_Toc19170998"/>
      <w:bookmarkStart w:id="9581" w:name="_Toc19180854"/>
      <w:r>
        <w:rPr>
          <w:rFonts w:hint="cs"/>
          <w:rtl/>
        </w:rPr>
        <w:t>ביאור היד יהודה בר"ן דבנטל"פ גוף האיסור מותר אף במקום שלא מהני ביטול</w:t>
      </w:r>
      <w:bookmarkEnd w:id="9580"/>
      <w:bookmarkEnd w:id="9581"/>
    </w:p>
    <w:p w:rsidR="0013006A" w:rsidRDefault="0013006A" w:rsidP="009F44AF">
      <w:pPr>
        <w:pStyle w:val="a"/>
        <w:rPr>
          <w:rtl/>
        </w:rPr>
      </w:pPr>
      <w:bookmarkStart w:id="9582" w:name="_Ref20428008"/>
      <w:r>
        <w:rPr>
          <w:rStyle w:val="af8"/>
          <w:rFonts w:hint="cs"/>
          <w:rtl/>
        </w:rPr>
        <w:t>ו</w:t>
      </w:r>
      <w:r w:rsidRPr="00316EB2">
        <w:rPr>
          <w:rStyle w:val="af8"/>
          <w:rFonts w:hint="cs"/>
          <w:rtl/>
        </w:rPr>
        <w:t>היד יהודה</w:t>
      </w:r>
      <w:r w:rsidRPr="00316EB2">
        <w:rPr>
          <w:rFonts w:hint="cs"/>
          <w:rtl/>
        </w:rPr>
        <w:t xml:space="preserve"> </w:t>
      </w:r>
      <w:r w:rsidRPr="00316EB2">
        <w:rPr>
          <w:rStyle w:val="af6"/>
          <w:rFonts w:eastAsia="Guttman Hodes" w:hint="cs"/>
          <w:rtl/>
        </w:rPr>
        <w:t>(סי' ק"ג סק"א ד"ה מעתה נבאר)</w:t>
      </w:r>
      <w:r w:rsidRPr="00316EB2">
        <w:rPr>
          <w:rFonts w:hint="cs"/>
          <w:rtl/>
        </w:rPr>
        <w:t xml:space="preserve"> </w:t>
      </w:r>
      <w:r>
        <w:rPr>
          <w:rFonts w:hint="cs"/>
          <w:rtl/>
        </w:rPr>
        <w:t xml:space="preserve">ביאר דכיון דס"ל </w:t>
      </w:r>
      <w:r w:rsidRPr="00EA0E52">
        <w:rPr>
          <w:rStyle w:val="af8"/>
          <w:rFonts w:hint="cs"/>
          <w:rtl/>
        </w:rPr>
        <w:t>לה</w:t>
      </w:r>
      <w:r w:rsidRPr="00A53FDE">
        <w:rPr>
          <w:rStyle w:val="af8"/>
          <w:rFonts w:hint="cs"/>
          <w:rtl/>
        </w:rPr>
        <w:t>ר"ן</w:t>
      </w:r>
      <w:r>
        <w:rPr>
          <w:rFonts w:hint="cs"/>
          <w:rtl/>
        </w:rPr>
        <w:t xml:space="preserve"> </w:t>
      </w:r>
      <w:r w:rsidRPr="00912C8D">
        <w:rPr>
          <w:rStyle w:val="af6"/>
          <w:rFonts w:eastAsia="Guttman Hodes" w:hint="cs"/>
          <w:rtl/>
        </w:rPr>
        <w:t xml:space="preserve">(עי' אות </w:t>
      </w:r>
      <w:r w:rsidRPr="00912C8D">
        <w:rPr>
          <w:rStyle w:val="af6"/>
          <w:rFonts w:eastAsia="Guttman Hodes"/>
          <w:rtl/>
        </w:rPr>
        <w:fldChar w:fldCharType="begin"/>
      </w:r>
      <w:r w:rsidRPr="00912C8D">
        <w:rPr>
          <w:rStyle w:val="af6"/>
          <w:rFonts w:eastAsia="Guttman Hodes"/>
          <w:rtl/>
        </w:rPr>
        <w:instrText xml:space="preserve"> </w:instrText>
      </w:r>
      <w:r w:rsidRPr="00912C8D">
        <w:rPr>
          <w:rStyle w:val="af6"/>
          <w:rFonts w:eastAsia="Guttman Hodes" w:hint="cs"/>
        </w:rPr>
        <w:instrText>REF</w:instrText>
      </w:r>
      <w:r w:rsidRPr="00912C8D">
        <w:rPr>
          <w:rStyle w:val="af6"/>
          <w:rFonts w:eastAsia="Guttman Hodes" w:hint="cs"/>
          <w:rtl/>
        </w:rPr>
        <w:instrText xml:space="preserve"> _</w:instrText>
      </w:r>
      <w:r w:rsidRPr="00912C8D">
        <w:rPr>
          <w:rStyle w:val="af6"/>
          <w:rFonts w:eastAsia="Guttman Hodes" w:hint="cs"/>
        </w:rPr>
        <w:instrText>Ref18858113 \r \h</w:instrText>
      </w:r>
      <w:r w:rsidRPr="00912C8D">
        <w:rPr>
          <w:rStyle w:val="af6"/>
          <w:rFonts w:eastAsia="Guttman Hodes"/>
          <w:rtl/>
        </w:rPr>
        <w:instrText xml:space="preserve"> </w:instrText>
      </w:r>
      <w:r w:rsidRPr="00912C8D">
        <w:rPr>
          <w:rStyle w:val="af6"/>
          <w:rFonts w:eastAsia="Guttman Hodes"/>
          <w:rtl/>
        </w:rPr>
      </w:r>
      <w:r w:rsidRPr="00912C8D">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912C8D">
        <w:rPr>
          <w:rStyle w:val="af6"/>
          <w:rFonts w:eastAsia="Guttman Hodes"/>
          <w:rtl/>
        </w:rPr>
        <w:fldChar w:fldCharType="end"/>
      </w:r>
      <w:r>
        <w:rPr>
          <w:rStyle w:val="af6"/>
          <w:rFonts w:eastAsia="Guttman Hodes" w:hint="cs"/>
          <w:rtl/>
        </w:rPr>
        <w:t xml:space="preserve"> </w:t>
      </w:r>
      <w:r>
        <w:rPr>
          <w:rFonts w:hint="cs"/>
          <w:rtl/>
        </w:rPr>
        <w:t xml:space="preserve">דבנותן טעם לפגם ילפינן מנבילה שאף גוף האיסור עצמו מותר, </w:t>
      </w:r>
      <w:r w:rsidRPr="0096668B">
        <w:rPr>
          <w:rStyle w:val="afa"/>
          <w:rFonts w:hint="cs"/>
          <w:rtl/>
        </w:rPr>
        <w:t>[</w:t>
      </w:r>
      <w:r>
        <w:rPr>
          <w:rStyle w:val="afa"/>
          <w:rFonts w:hint="cs"/>
          <w:rtl/>
        </w:rPr>
        <w:t xml:space="preserve">כדביאר </w:t>
      </w:r>
      <w:r w:rsidRPr="0096668B">
        <w:rPr>
          <w:rStyle w:val="affa"/>
          <w:rFonts w:hint="cs"/>
          <w:rtl/>
        </w:rPr>
        <w:t>היד יהודה</w:t>
      </w:r>
      <w:r>
        <w:rPr>
          <w:rStyle w:val="afa"/>
          <w:rFonts w:hint="cs"/>
          <w:rtl/>
        </w:rPr>
        <w:t xml:space="preserve"> </w:t>
      </w:r>
      <w:r w:rsidRPr="00F6554E">
        <w:rPr>
          <w:rStyle w:val="aff6"/>
          <w:rFonts w:hint="cs"/>
          <w:rtl/>
        </w:rPr>
        <w:t>(הובא לעיל סימן י"ב אות ס"</w:t>
      </w:r>
      <w:r>
        <w:rPr>
          <w:rStyle w:val="aff6"/>
          <w:rFonts w:hint="cs"/>
          <w:rtl/>
        </w:rPr>
        <w:t>ט</w:t>
      </w:r>
      <w:r w:rsidRPr="00F6554E">
        <w:rPr>
          <w:rStyle w:val="aff6"/>
          <w:rFonts w:hint="cs"/>
          <w:rtl/>
        </w:rPr>
        <w:t>)</w:t>
      </w:r>
      <w:r w:rsidRPr="0096668B">
        <w:rPr>
          <w:rStyle w:val="afa"/>
          <w:rFonts w:hint="cs"/>
          <w:rtl/>
        </w:rPr>
        <w:t xml:space="preserve"> בדעת </w:t>
      </w:r>
      <w:r>
        <w:rPr>
          <w:rStyle w:val="affa"/>
          <w:rFonts w:hint="cs"/>
          <w:rtl/>
        </w:rPr>
        <w:t>הר"ן</w:t>
      </w:r>
      <w:r w:rsidRPr="0096668B">
        <w:rPr>
          <w:rStyle w:val="afa"/>
          <w:rFonts w:hint="cs"/>
          <w:rtl/>
        </w:rPr>
        <w:t>],</w:t>
      </w:r>
      <w:r>
        <w:rPr>
          <w:rStyle w:val="afa"/>
          <w:rFonts w:hint="cs"/>
          <w:rtl/>
        </w:rPr>
        <w:t xml:space="preserve"> </w:t>
      </w:r>
      <w:r>
        <w:rPr>
          <w:rFonts w:hint="cs"/>
          <w:rtl/>
        </w:rPr>
        <w:t xml:space="preserve">א"כ ההיתר בנותן טעם לפגם אינו מדין ביטול, ולכן אף  במקום שלא מהני ביטול מותר, </w:t>
      </w:r>
      <w:r w:rsidRPr="00290AF6">
        <w:rPr>
          <w:rFonts w:hint="cs"/>
          <w:rtl/>
        </w:rPr>
        <w:t xml:space="preserve">ולכן כתב </w:t>
      </w:r>
      <w:r w:rsidRPr="004F4BF7">
        <w:rPr>
          <w:rStyle w:val="af8"/>
          <w:rFonts w:hint="cs"/>
          <w:rtl/>
        </w:rPr>
        <w:t xml:space="preserve">הר"ן </w:t>
      </w:r>
      <w:r w:rsidRPr="00290AF6">
        <w:rPr>
          <w:rFonts w:hint="cs"/>
          <w:rtl/>
        </w:rPr>
        <w:t xml:space="preserve">דנותן טעם לפגם מותר </w:t>
      </w:r>
      <w:r>
        <w:rPr>
          <w:rFonts w:hint="cs"/>
          <w:rtl/>
        </w:rPr>
        <w:t>אף בחמץ שאיסורו במשהו</w:t>
      </w:r>
      <w:r w:rsidRPr="00290AF6">
        <w:rPr>
          <w:rFonts w:hint="cs"/>
          <w:rtl/>
        </w:rPr>
        <w:t>.</w:t>
      </w:r>
      <w:bookmarkEnd w:id="9582"/>
    </w:p>
    <w:p w:rsidR="0013006A" w:rsidRPr="00A37615" w:rsidRDefault="0013006A" w:rsidP="0013006A">
      <w:pPr>
        <w:pStyle w:val="a2"/>
        <w:rPr>
          <w:rtl/>
        </w:rPr>
      </w:pPr>
      <w:bookmarkStart w:id="9583" w:name="_Toc19170999"/>
      <w:bookmarkStart w:id="9584" w:name="_Toc19180855"/>
      <w:r>
        <w:rPr>
          <w:rFonts w:hint="cs"/>
          <w:rtl/>
        </w:rPr>
        <w:t>קושית היד יהודה דלהר"ן נטל"פ במשהו שאינו ניכר אסור ובהוסיף טעם פגום דניכר מותר</w:t>
      </w:r>
      <w:bookmarkEnd w:id="9583"/>
      <w:bookmarkEnd w:id="9584"/>
    </w:p>
    <w:p w:rsidR="0013006A" w:rsidRPr="00021AD2" w:rsidRDefault="0013006A" w:rsidP="009F44AF">
      <w:pPr>
        <w:pStyle w:val="a"/>
      </w:pPr>
      <w:r>
        <w:rPr>
          <w:rFonts w:hint="cs"/>
          <w:rtl/>
        </w:rPr>
        <w:t xml:space="preserve">אך הקשה </w:t>
      </w:r>
      <w:r w:rsidRPr="00117D9A">
        <w:rPr>
          <w:rStyle w:val="af8"/>
          <w:rFonts w:hint="cs"/>
          <w:rtl/>
        </w:rPr>
        <w:t>היד יהודה</w:t>
      </w:r>
      <w:r>
        <w:rPr>
          <w:rFonts w:hint="cs"/>
          <w:rtl/>
        </w:rPr>
        <w:t xml:space="preserve"> דהרי אף לדעת </w:t>
      </w:r>
      <w:r w:rsidRPr="00117D9A">
        <w:rPr>
          <w:rStyle w:val="af8"/>
          <w:rFonts w:hint="cs"/>
          <w:rtl/>
        </w:rPr>
        <w:t>הר"ן</w:t>
      </w:r>
      <w:r>
        <w:rPr>
          <w:rFonts w:hint="cs"/>
          <w:rtl/>
        </w:rPr>
        <w:t xml:space="preserve"> כ"מ דנותן טעם לפגם מותר בחמץ, זהו דוקא במקום שהטעם הפגום ניכר, אבל אם הטעם נאבד, א"כ גוף האיסור עדיין אסור, וצריך לבטלו ברוב, וכיון דלא מהני בחמץ ביטול ברוב צריך לאוסרו, וזה לא יתכן דא"כ במקום שהתערב הרבה מהטעם הפגום, והפגם ניכר יהיה מותר, ואם התערב משהו והפגם אינו ניכר יהיה אסור, וציין </w:t>
      </w:r>
      <w:r w:rsidRPr="005063CB">
        <w:rPr>
          <w:rStyle w:val="af8"/>
          <w:rFonts w:hint="cs"/>
          <w:rtl/>
        </w:rPr>
        <w:t>היד יהודה דהריטב"א</w:t>
      </w:r>
      <w:r>
        <w:rPr>
          <w:rFonts w:hint="cs"/>
          <w:rtl/>
        </w:rPr>
        <w:t xml:space="preserve"> </w:t>
      </w:r>
      <w:r w:rsidRPr="00C626BE">
        <w:rPr>
          <w:rStyle w:val="af6"/>
          <w:rFonts w:eastAsia="Guttman Hodes" w:hint="cs"/>
          <w:rtl/>
        </w:rPr>
        <w:t xml:space="preserve">(עי' אות </w:t>
      </w:r>
      <w:r w:rsidRPr="00C626BE">
        <w:rPr>
          <w:rStyle w:val="af6"/>
          <w:rFonts w:eastAsia="Guttman Hodes"/>
          <w:rtl/>
        </w:rPr>
        <w:fldChar w:fldCharType="begin"/>
      </w:r>
      <w:r w:rsidRPr="00C626BE">
        <w:rPr>
          <w:rStyle w:val="af6"/>
          <w:rFonts w:eastAsia="Guttman Hodes"/>
          <w:rtl/>
        </w:rPr>
        <w:instrText xml:space="preserve"> </w:instrText>
      </w:r>
      <w:r w:rsidRPr="00C626BE">
        <w:rPr>
          <w:rStyle w:val="af6"/>
          <w:rFonts w:eastAsia="Guttman Hodes" w:hint="cs"/>
        </w:rPr>
        <w:instrText>REF</w:instrText>
      </w:r>
      <w:r w:rsidRPr="00C626BE">
        <w:rPr>
          <w:rStyle w:val="af6"/>
          <w:rFonts w:eastAsia="Guttman Hodes" w:hint="cs"/>
          <w:rtl/>
        </w:rPr>
        <w:instrText xml:space="preserve"> _</w:instrText>
      </w:r>
      <w:r w:rsidRPr="00C626BE">
        <w:rPr>
          <w:rStyle w:val="af6"/>
          <w:rFonts w:eastAsia="Guttman Hodes" w:hint="cs"/>
        </w:rPr>
        <w:instrText>Ref19167812 \r \h</w:instrText>
      </w:r>
      <w:r w:rsidRPr="00C626BE">
        <w:rPr>
          <w:rStyle w:val="af6"/>
          <w:rFonts w:eastAsia="Guttman Hodes"/>
          <w:rtl/>
        </w:rPr>
        <w:instrText xml:space="preserve"> </w:instrText>
      </w:r>
      <w:r w:rsidRPr="00C626BE">
        <w:rPr>
          <w:rStyle w:val="af6"/>
          <w:rFonts w:eastAsia="Guttman Hodes"/>
          <w:rtl/>
        </w:rPr>
      </w:r>
      <w:r w:rsidRPr="00C626BE">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C626BE">
        <w:rPr>
          <w:rStyle w:val="af6"/>
          <w:rFonts w:eastAsia="Guttman Hodes"/>
          <w:rtl/>
        </w:rPr>
        <w:fldChar w:fldCharType="end"/>
      </w:r>
      <w:r w:rsidRPr="00C626BE">
        <w:rPr>
          <w:rStyle w:val="af6"/>
          <w:rFonts w:eastAsia="Guttman Hodes" w:hint="cs"/>
          <w:rtl/>
        </w:rPr>
        <w:t xml:space="preserve"> </w:t>
      </w:r>
      <w:r>
        <w:rPr>
          <w:rFonts w:hint="cs"/>
          <w:rtl/>
        </w:rPr>
        <w:t>הוכיח מקושיה זו דנותן טעם לפגם מותר אף במשהו.</w:t>
      </w:r>
    </w:p>
    <w:p w:rsidR="0013006A" w:rsidRDefault="0013006A" w:rsidP="0013006A">
      <w:pPr>
        <w:pStyle w:val="1"/>
        <w:rPr>
          <w:rtl/>
        </w:rPr>
      </w:pPr>
      <w:bookmarkStart w:id="9585" w:name="_Toc18874373"/>
      <w:bookmarkStart w:id="9586" w:name="_Toc18946794"/>
      <w:bookmarkStart w:id="9587" w:name="_Toc19026257"/>
      <w:bookmarkStart w:id="9588" w:name="_Toc19029734"/>
      <w:bookmarkStart w:id="9589" w:name="_Toc19030118"/>
      <w:bookmarkStart w:id="9590" w:name="_Toc19082181"/>
      <w:bookmarkStart w:id="9591" w:name="_Toc19129502"/>
      <w:bookmarkStart w:id="9592" w:name="_Toc19130058"/>
      <w:bookmarkStart w:id="9593" w:name="_Toc19171000"/>
      <w:bookmarkStart w:id="9594" w:name="_Toc19180856"/>
      <w:r>
        <w:rPr>
          <w:rFonts w:hint="cs"/>
          <w:rtl/>
        </w:rPr>
        <w:t>דעת</w:t>
      </w:r>
      <w:bookmarkEnd w:id="9585"/>
      <w:r>
        <w:rPr>
          <w:rFonts w:hint="cs"/>
          <w:rtl/>
        </w:rPr>
        <w:t xml:space="preserve"> הריטב"א</w:t>
      </w:r>
      <w:bookmarkEnd w:id="9586"/>
      <w:bookmarkEnd w:id="9587"/>
      <w:bookmarkEnd w:id="9588"/>
      <w:bookmarkEnd w:id="9589"/>
      <w:bookmarkEnd w:id="9590"/>
      <w:bookmarkEnd w:id="9591"/>
      <w:bookmarkEnd w:id="9592"/>
      <w:bookmarkEnd w:id="9593"/>
      <w:bookmarkEnd w:id="9594"/>
      <w:r>
        <w:rPr>
          <w:rFonts w:hint="cs"/>
          <w:rtl/>
        </w:rPr>
        <w:t xml:space="preserve"> דבנטל"פ נסתלק האיסור ומותר אף באיסור משהו</w:t>
      </w:r>
    </w:p>
    <w:p w:rsidR="0013006A" w:rsidRPr="00A37615" w:rsidRDefault="0013006A" w:rsidP="0013006A">
      <w:pPr>
        <w:pStyle w:val="a2"/>
        <w:rPr>
          <w:rtl/>
        </w:rPr>
      </w:pPr>
      <w:bookmarkStart w:id="9595" w:name="_Toc19171001"/>
      <w:bookmarkStart w:id="9596" w:name="_Toc19180857"/>
      <w:r>
        <w:rPr>
          <w:rFonts w:hint="cs"/>
          <w:rtl/>
        </w:rPr>
        <w:t>דברי הריטב"א דבגיעולי עכו"ם מוכח דהתירה תורה נטל"פ אף במשהו בקדירה שאינה בת יומא</w:t>
      </w:r>
      <w:bookmarkEnd w:id="9595"/>
      <w:bookmarkEnd w:id="9596"/>
    </w:p>
    <w:p w:rsidR="0013006A" w:rsidRPr="00136AE3" w:rsidRDefault="0013006A" w:rsidP="009F44AF">
      <w:pPr>
        <w:pStyle w:val="a"/>
        <w:rPr>
          <w:rtl/>
        </w:rPr>
      </w:pPr>
      <w:r>
        <w:rPr>
          <w:rFonts w:hint="cs"/>
          <w:rtl/>
        </w:rPr>
        <w:t xml:space="preserve">כתב </w:t>
      </w:r>
      <w:r w:rsidRPr="00490FC5">
        <w:rPr>
          <w:rStyle w:val="af8"/>
          <w:rFonts w:hint="cs"/>
          <w:rtl/>
        </w:rPr>
        <w:t>הריטב"א</w:t>
      </w:r>
      <w:r>
        <w:rPr>
          <w:rStyle w:val="af8"/>
          <w:rFonts w:hint="cs"/>
          <w:rtl/>
        </w:rPr>
        <w:t xml:space="preserve"> </w:t>
      </w:r>
      <w:r w:rsidRPr="00C87E9F">
        <w:rPr>
          <w:rStyle w:val="af6"/>
          <w:rFonts w:eastAsia="Guttman Hodes" w:hint="cs"/>
          <w:rtl/>
        </w:rPr>
        <w:t>(סז. ד"ה והוי)</w:t>
      </w:r>
      <w:r>
        <w:rPr>
          <w:rFonts w:hint="cs"/>
          <w:rtl/>
        </w:rPr>
        <w:t xml:space="preserve"> דנותן טעם לפגם מותר בכל האיסורים ואף באיסור משהו, דהרי בגיעולי עכו"ם יש את כל האיסורים, ואפ"ה התירה תורה בנותן טעם </w:t>
      </w:r>
      <w:r w:rsidRPr="00136AE3">
        <w:rPr>
          <w:rFonts w:hint="cs"/>
          <w:rtl/>
        </w:rPr>
        <w:t xml:space="preserve">לפגם, וביאר </w:t>
      </w:r>
      <w:r w:rsidRPr="00136AE3">
        <w:rPr>
          <w:rStyle w:val="af8"/>
          <w:rFonts w:hint="cs"/>
          <w:rtl/>
        </w:rPr>
        <w:t>היד יהודה</w:t>
      </w:r>
      <w:r w:rsidRPr="00136AE3">
        <w:rPr>
          <w:rFonts w:hint="cs"/>
          <w:rtl/>
        </w:rPr>
        <w:t xml:space="preserve"> </w:t>
      </w:r>
      <w:r w:rsidRPr="00136AE3">
        <w:rPr>
          <w:rStyle w:val="af6"/>
          <w:rFonts w:eastAsia="Guttman Rashi" w:hint="cs"/>
          <w:rtl/>
        </w:rPr>
        <w:t>(סי' ק"ג סק"א סוד"ה מעתה נבאר)</w:t>
      </w:r>
      <w:r w:rsidRPr="00136AE3">
        <w:rPr>
          <w:rStyle w:val="af6"/>
          <w:rFonts w:eastAsia="Guttman Hodes" w:hint="cs"/>
          <w:rtl/>
        </w:rPr>
        <w:t xml:space="preserve"> </w:t>
      </w:r>
      <w:r w:rsidRPr="00136AE3">
        <w:rPr>
          <w:rFonts w:hint="cs"/>
          <w:rtl/>
        </w:rPr>
        <w:t xml:space="preserve">דכוונת </w:t>
      </w:r>
      <w:r w:rsidRPr="00136AE3">
        <w:rPr>
          <w:rStyle w:val="af8"/>
          <w:rFonts w:hint="cs"/>
          <w:rtl/>
        </w:rPr>
        <w:t>הריטב"א</w:t>
      </w:r>
      <w:r w:rsidRPr="00136AE3">
        <w:rPr>
          <w:rFonts w:hint="cs"/>
          <w:rtl/>
        </w:rPr>
        <w:t xml:space="preserve"> לומר שצריך לחוש בגיעולי עכו"ם שהתבשל בקדירה תערובת ע"ז שאוסר במשהו</w:t>
      </w:r>
      <w:r>
        <w:rPr>
          <w:rFonts w:hint="cs"/>
          <w:rtl/>
        </w:rPr>
        <w:t>, ואפ"ה התירה תורה קדירה שאינה בת יומא דנותנת טעם לפגם</w:t>
      </w:r>
      <w:r w:rsidRPr="00136AE3">
        <w:rPr>
          <w:rFonts w:hint="cs"/>
          <w:rtl/>
        </w:rPr>
        <w:t>.</w:t>
      </w:r>
    </w:p>
    <w:p w:rsidR="0013006A" w:rsidRPr="00BB2C71" w:rsidRDefault="0013006A" w:rsidP="0013006A">
      <w:pPr>
        <w:pStyle w:val="a2"/>
      </w:pPr>
      <w:bookmarkStart w:id="9597" w:name="_Toc19171002"/>
      <w:bookmarkStart w:id="9598" w:name="_Toc19180858"/>
      <w:r>
        <w:rPr>
          <w:rFonts w:hint="cs"/>
          <w:rtl/>
        </w:rPr>
        <w:t>דברי הריטב"א דאיסור שפגם את ההיתר חשיב שאיסורו הסתלק ובטל ונעשה כעפר</w:t>
      </w:r>
      <w:bookmarkEnd w:id="9597"/>
      <w:bookmarkEnd w:id="9598"/>
    </w:p>
    <w:p w:rsidR="0013006A" w:rsidRPr="009971CE" w:rsidRDefault="0013006A" w:rsidP="009F44AF">
      <w:pPr>
        <w:pStyle w:val="a"/>
        <w:rPr>
          <w:rtl/>
        </w:rPr>
      </w:pPr>
      <w:r>
        <w:rPr>
          <w:rFonts w:hint="cs"/>
          <w:rtl/>
        </w:rPr>
        <w:t xml:space="preserve">וכתב </w:t>
      </w:r>
      <w:r w:rsidRPr="00CB1F93">
        <w:rPr>
          <w:rStyle w:val="af8"/>
          <w:rFonts w:hint="cs"/>
          <w:rtl/>
        </w:rPr>
        <w:t>הריטב"א</w:t>
      </w:r>
      <w:r>
        <w:rPr>
          <w:rFonts w:hint="cs"/>
          <w:rtl/>
        </w:rPr>
        <w:t xml:space="preserve"> דכן מבואר מסברא דכיון שהאיסור פוגם את ההיתר, </w:t>
      </w:r>
      <w:r w:rsidRPr="009971CE">
        <w:rPr>
          <w:rFonts w:hint="cs"/>
          <w:rtl/>
        </w:rPr>
        <w:t>חשיב כאילו איסורו הסתלק והתבטל לגמרי, וחשיב כעפר בעלמא, וא"כ אין כל חילוק בין שאר איסורים לאיסור משהו.</w:t>
      </w:r>
    </w:p>
    <w:p w:rsidR="0013006A" w:rsidRPr="009971CE" w:rsidRDefault="0013006A" w:rsidP="0013006A">
      <w:pPr>
        <w:pStyle w:val="a2"/>
      </w:pPr>
      <w:bookmarkStart w:id="9599" w:name="_Toc19171003"/>
      <w:bookmarkStart w:id="9600" w:name="_Toc19180859"/>
      <w:r>
        <w:rPr>
          <w:rFonts w:hint="cs"/>
          <w:rtl/>
        </w:rPr>
        <w:t>דברי הריטב"א דמין במינו אוסר במשהו אף דבמשהו אין נתינת טעם</w:t>
      </w:r>
      <w:bookmarkEnd w:id="9599"/>
      <w:bookmarkEnd w:id="9600"/>
    </w:p>
    <w:p w:rsidR="0013006A" w:rsidRDefault="0013006A" w:rsidP="009F44AF">
      <w:pPr>
        <w:pStyle w:val="a"/>
        <w:rPr>
          <w:rtl/>
        </w:rPr>
      </w:pPr>
      <w:bookmarkStart w:id="9601" w:name="_Ref19460865"/>
      <w:r w:rsidRPr="009971CE">
        <w:rPr>
          <w:rFonts w:hint="cs"/>
          <w:rtl/>
        </w:rPr>
        <w:t xml:space="preserve">והוסיף </w:t>
      </w:r>
      <w:r w:rsidRPr="009971CE">
        <w:rPr>
          <w:rStyle w:val="af8"/>
          <w:rFonts w:hint="cs"/>
          <w:rtl/>
        </w:rPr>
        <w:t xml:space="preserve">הריטב"א </w:t>
      </w:r>
      <w:r w:rsidRPr="009971CE">
        <w:rPr>
          <w:rFonts w:hint="cs"/>
          <w:rtl/>
        </w:rPr>
        <w:t>דאף דבאיסור משהו אין כל נתינת טעם בהיתר, הרי במין במינו בכל האיסורים ג"כ אין נתינת טעם</w:t>
      </w:r>
      <w:r>
        <w:rPr>
          <w:rFonts w:hint="cs"/>
          <w:rtl/>
        </w:rPr>
        <w:t>.</w:t>
      </w:r>
      <w:bookmarkEnd w:id="9601"/>
      <w:r>
        <w:rPr>
          <w:rFonts w:hint="cs"/>
          <w:rtl/>
        </w:rPr>
        <w:t xml:space="preserve"> [ועי' בדברי </w:t>
      </w:r>
      <w:r>
        <w:rPr>
          <w:rStyle w:val="af8"/>
          <w:rFonts w:hint="cs"/>
          <w:rtl/>
        </w:rPr>
        <w:t>ה</w:t>
      </w:r>
      <w:r w:rsidRPr="00C87E9F">
        <w:rPr>
          <w:rStyle w:val="af8"/>
          <w:rFonts w:hint="cs"/>
          <w:rtl/>
        </w:rPr>
        <w:t>מהר"ם חלאווה</w:t>
      </w:r>
      <w:r>
        <w:rPr>
          <w:rFonts w:hint="cs"/>
          <w:rtl/>
        </w:rPr>
        <w:t xml:space="preserve"> </w:t>
      </w:r>
      <w:r w:rsidRPr="004529BA">
        <w:rPr>
          <w:rStyle w:val="af6"/>
          <w:rFonts w:eastAsia="Guttman Hodes" w:hint="cs"/>
          <w:rtl/>
        </w:rPr>
        <w:t xml:space="preserve">(עי' אות </w:t>
      </w:r>
      <w:r w:rsidRPr="004529BA">
        <w:rPr>
          <w:rStyle w:val="af6"/>
          <w:rFonts w:eastAsia="Guttman Hodes"/>
          <w:rtl/>
        </w:rPr>
        <w:fldChar w:fldCharType="begin"/>
      </w:r>
      <w:r w:rsidRPr="004529BA">
        <w:rPr>
          <w:rStyle w:val="af6"/>
          <w:rFonts w:eastAsia="Guttman Hodes"/>
          <w:rtl/>
        </w:rPr>
        <w:instrText xml:space="preserve"> </w:instrText>
      </w:r>
      <w:r w:rsidRPr="004529BA">
        <w:rPr>
          <w:rStyle w:val="af6"/>
          <w:rFonts w:eastAsia="Guttman Hodes" w:hint="cs"/>
        </w:rPr>
        <w:instrText>REF</w:instrText>
      </w:r>
      <w:r w:rsidRPr="004529BA">
        <w:rPr>
          <w:rStyle w:val="af6"/>
          <w:rFonts w:eastAsia="Guttman Hodes" w:hint="cs"/>
          <w:rtl/>
        </w:rPr>
        <w:instrText xml:space="preserve"> _</w:instrText>
      </w:r>
      <w:r w:rsidRPr="004529BA">
        <w:rPr>
          <w:rStyle w:val="af6"/>
          <w:rFonts w:eastAsia="Guttman Hodes" w:hint="cs"/>
        </w:rPr>
        <w:instrText>Ref19460916 \r \h</w:instrText>
      </w:r>
      <w:r w:rsidRPr="004529BA">
        <w:rPr>
          <w:rStyle w:val="af6"/>
          <w:rFonts w:eastAsia="Guttman Hodes"/>
          <w:rtl/>
        </w:rPr>
        <w:instrText xml:space="preserve"> </w:instrText>
      </w:r>
      <w:r w:rsidRPr="004529BA">
        <w:rPr>
          <w:rStyle w:val="af6"/>
          <w:rFonts w:eastAsia="Guttman Hodes"/>
          <w:rtl/>
        </w:rPr>
      </w:r>
      <w:r w:rsidRPr="004529BA">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4529BA">
        <w:rPr>
          <w:rStyle w:val="af6"/>
          <w:rFonts w:eastAsia="Guttman Hodes"/>
          <w:rtl/>
        </w:rPr>
        <w:fldChar w:fldCharType="end"/>
      </w:r>
      <w:r>
        <w:rPr>
          <w:rFonts w:hint="cs"/>
          <w:rtl/>
        </w:rPr>
        <w:t>].</w:t>
      </w:r>
    </w:p>
    <w:p w:rsidR="0013006A" w:rsidRPr="00C00D22" w:rsidRDefault="0013006A" w:rsidP="0013006A">
      <w:pPr>
        <w:pStyle w:val="a2"/>
      </w:pPr>
      <w:bookmarkStart w:id="9602" w:name="_Toc19171004"/>
      <w:bookmarkStart w:id="9603" w:name="_Toc19180860"/>
      <w:r>
        <w:rPr>
          <w:rFonts w:hint="cs"/>
          <w:rtl/>
        </w:rPr>
        <w:t>ביאור היד יהודה בריטב"א דהיתר נטל"פ הוא אף במקום שהתבשיל פגום ולא ניכר הנטל"פ</w:t>
      </w:r>
      <w:bookmarkEnd w:id="9602"/>
      <w:bookmarkEnd w:id="9603"/>
    </w:p>
    <w:p w:rsidR="0013006A" w:rsidRDefault="0013006A" w:rsidP="009F44AF">
      <w:pPr>
        <w:pStyle w:val="a"/>
        <w:rPr>
          <w:rtl/>
        </w:rPr>
      </w:pPr>
      <w:bookmarkStart w:id="9604" w:name="_Ref20427980"/>
      <w:r>
        <w:rPr>
          <w:rFonts w:hint="cs"/>
          <w:rtl/>
        </w:rPr>
        <w:t xml:space="preserve">והקשה </w:t>
      </w:r>
      <w:r w:rsidRPr="00284275">
        <w:rPr>
          <w:rStyle w:val="af8"/>
          <w:rFonts w:hint="cs"/>
          <w:rtl/>
        </w:rPr>
        <w:t>היד יהודה</w:t>
      </w:r>
      <w:r>
        <w:rPr>
          <w:rFonts w:hint="cs"/>
          <w:rtl/>
        </w:rPr>
        <w:t xml:space="preserve"> </w:t>
      </w:r>
      <w:r w:rsidRPr="009971CE">
        <w:rPr>
          <w:rStyle w:val="af6"/>
          <w:rFonts w:eastAsia="Guttman Hodes" w:hint="cs"/>
          <w:rtl/>
        </w:rPr>
        <w:t>(סי' ק"ג סק"א סוד"ה מעתה נבאר)</w:t>
      </w:r>
      <w:r w:rsidRPr="009971CE">
        <w:rPr>
          <w:rFonts w:hint="cs"/>
          <w:rtl/>
        </w:rPr>
        <w:t xml:space="preserve"> </w:t>
      </w:r>
      <w:r>
        <w:rPr>
          <w:rFonts w:hint="cs"/>
          <w:rtl/>
        </w:rPr>
        <w:t xml:space="preserve">על </w:t>
      </w:r>
      <w:r w:rsidRPr="00284275">
        <w:rPr>
          <w:rStyle w:val="af8"/>
          <w:rFonts w:hint="cs"/>
          <w:rtl/>
        </w:rPr>
        <w:t>הריטב"א</w:t>
      </w:r>
      <w:r>
        <w:rPr>
          <w:rFonts w:hint="cs"/>
          <w:rtl/>
        </w:rPr>
        <w:t xml:space="preserve"> דהרי אף במין במינו כבשר בבשר, אם בשר האיסור פגום, הוא פוגם את בשר ההיתר, </w:t>
      </w:r>
      <w:r w:rsidRPr="009971CE">
        <w:rPr>
          <w:rFonts w:hint="cs"/>
          <w:rtl/>
        </w:rPr>
        <w:t xml:space="preserve">וביאר </w:t>
      </w:r>
      <w:r w:rsidRPr="009971CE">
        <w:rPr>
          <w:rStyle w:val="af8"/>
          <w:rFonts w:hint="cs"/>
          <w:rtl/>
        </w:rPr>
        <w:t>היד יהודה</w:t>
      </w:r>
      <w:r w:rsidRPr="009971CE">
        <w:rPr>
          <w:rFonts w:hint="cs"/>
          <w:rtl/>
        </w:rPr>
        <w:t xml:space="preserve"> דכוונת </w:t>
      </w:r>
      <w:r w:rsidRPr="009971CE">
        <w:rPr>
          <w:rStyle w:val="af8"/>
          <w:rFonts w:hint="cs"/>
          <w:rtl/>
        </w:rPr>
        <w:t>הריטב"א</w:t>
      </w:r>
      <w:r w:rsidRPr="009971CE">
        <w:rPr>
          <w:rFonts w:hint="cs"/>
          <w:rtl/>
        </w:rPr>
        <w:t xml:space="preserve"> לומר דהיתר נותן טעם לפגם הוא בסתמא, ואף במקום שההיתר עצמו פגום והאיסור אינו מגרע אותו ולא מורגשת פגימת האיסור, כדמוכח מהא דהתירו בקדירה שאינה בת יומא בסתמא, וא"כ ההיתר הוא אף במקום שהתבשיל מצד עצמו פגום במקצת.</w:t>
      </w:r>
      <w:bookmarkEnd w:id="9604"/>
    </w:p>
    <w:p w:rsidR="0013006A" w:rsidRPr="00284275" w:rsidRDefault="0013006A" w:rsidP="0013006A">
      <w:pPr>
        <w:pStyle w:val="a2"/>
      </w:pPr>
      <w:bookmarkStart w:id="9605" w:name="_Toc19171005"/>
      <w:bookmarkStart w:id="9606" w:name="_Toc19180861"/>
      <w:r>
        <w:rPr>
          <w:rFonts w:hint="cs"/>
          <w:rtl/>
        </w:rPr>
        <w:t>הוכחת הריטב"א דאי במשהו אין נטל"פ א"כ משהו אוסר וכשהוסיף איסור ופגם יהיה מותר</w:t>
      </w:r>
      <w:bookmarkEnd w:id="9605"/>
      <w:bookmarkEnd w:id="9606"/>
    </w:p>
    <w:p w:rsidR="0013006A" w:rsidRDefault="0013006A" w:rsidP="009F44AF">
      <w:pPr>
        <w:pStyle w:val="a"/>
        <w:rPr>
          <w:rtl/>
        </w:rPr>
      </w:pPr>
      <w:bookmarkStart w:id="9607" w:name="_Ref19167812"/>
      <w:r>
        <w:rPr>
          <w:rFonts w:hint="cs"/>
          <w:rtl/>
        </w:rPr>
        <w:t>וכתב</w:t>
      </w:r>
      <w:r w:rsidRPr="009971CE">
        <w:rPr>
          <w:rFonts w:hint="cs"/>
          <w:rtl/>
        </w:rPr>
        <w:t xml:space="preserve"> </w:t>
      </w:r>
      <w:r w:rsidRPr="009971CE">
        <w:rPr>
          <w:rStyle w:val="af8"/>
          <w:rFonts w:hint="cs"/>
          <w:rtl/>
        </w:rPr>
        <w:t>הריטב"א</w:t>
      </w:r>
      <w:r w:rsidRPr="009971CE">
        <w:rPr>
          <w:rFonts w:hint="cs"/>
          <w:rtl/>
        </w:rPr>
        <w:t xml:space="preserve"> </w:t>
      </w:r>
      <w:r>
        <w:rPr>
          <w:rFonts w:hint="cs"/>
          <w:rtl/>
        </w:rPr>
        <w:t xml:space="preserve">דמוכח דנותן טעם לפגם מותר אף באיסור משהו, </w:t>
      </w:r>
      <w:r w:rsidRPr="009971CE">
        <w:rPr>
          <w:rFonts w:hint="cs"/>
          <w:rtl/>
        </w:rPr>
        <w:t>ד</w:t>
      </w:r>
      <w:r>
        <w:rPr>
          <w:rFonts w:hint="cs"/>
          <w:rtl/>
        </w:rPr>
        <w:t xml:space="preserve">הא </w:t>
      </w:r>
      <w:r w:rsidRPr="009971CE">
        <w:rPr>
          <w:rFonts w:hint="cs"/>
          <w:rtl/>
        </w:rPr>
        <w:t>אי באיסור משהו אין היתר בנותן טעם לפגם, א"כ כל שיש הרבה איסור שנותן טעם פגום, מותר מדין נותן טעם לפגם, ובמקום שיש משהו איסור שאינו נותן טעם יהיה אסור, וזה לא יתכן, אלא מוכח דאף באיסור משהו יש היתר בנותן טעם לפגם</w:t>
      </w:r>
      <w:r>
        <w:rPr>
          <w:rFonts w:hint="cs"/>
          <w:rtl/>
        </w:rPr>
        <w:t>.</w:t>
      </w:r>
      <w:bookmarkEnd w:id="9607"/>
    </w:p>
    <w:p w:rsidR="0013006A" w:rsidRPr="009971CE" w:rsidRDefault="0013006A" w:rsidP="00E669F8">
      <w:pPr>
        <w:pStyle w:val="afd"/>
        <w:rPr>
          <w:rtl/>
        </w:rPr>
      </w:pPr>
      <w:bookmarkStart w:id="9608" w:name="_Toc19129505"/>
      <w:bookmarkStart w:id="9609" w:name="_Toc19130061"/>
      <w:bookmarkStart w:id="9610" w:name="_Toc19171006"/>
      <w:bookmarkStart w:id="9611" w:name="_Toc19180862"/>
      <w:r w:rsidRPr="009971CE">
        <w:rPr>
          <w:rtl/>
        </w:rPr>
        <w:t>בהיתר נטל"פ לכתחילה ובדיעבד</w:t>
      </w:r>
      <w:bookmarkEnd w:id="9608"/>
      <w:bookmarkEnd w:id="9609"/>
      <w:bookmarkEnd w:id="9610"/>
      <w:bookmarkEnd w:id="9611"/>
    </w:p>
    <w:p w:rsidR="0013006A" w:rsidRDefault="0013006A" w:rsidP="0013006A">
      <w:pPr>
        <w:pStyle w:val="1"/>
        <w:rPr>
          <w:rtl/>
        </w:rPr>
      </w:pPr>
      <w:bookmarkStart w:id="9612" w:name="_Toc18874358"/>
      <w:bookmarkStart w:id="9613" w:name="_Toc18946772"/>
      <w:bookmarkStart w:id="9614" w:name="_Toc19026234"/>
      <w:bookmarkStart w:id="9615" w:name="_Toc19029711"/>
      <w:bookmarkStart w:id="9616" w:name="_Toc19030095"/>
      <w:bookmarkStart w:id="9617" w:name="_Toc19082161"/>
      <w:bookmarkStart w:id="9618" w:name="_Toc19129506"/>
      <w:bookmarkStart w:id="9619" w:name="_Toc19130062"/>
      <w:bookmarkStart w:id="9620" w:name="_Toc19171007"/>
      <w:bookmarkStart w:id="9621" w:name="_Toc19180863"/>
      <w:r w:rsidRPr="009971CE">
        <w:rPr>
          <w:rFonts w:hint="cs"/>
          <w:rtl/>
        </w:rPr>
        <w:t xml:space="preserve">דברי </w:t>
      </w:r>
      <w:bookmarkEnd w:id="9612"/>
      <w:bookmarkEnd w:id="9613"/>
      <w:bookmarkEnd w:id="9614"/>
      <w:bookmarkEnd w:id="9615"/>
      <w:bookmarkEnd w:id="9616"/>
      <w:bookmarkEnd w:id="9617"/>
      <w:r w:rsidRPr="009971CE">
        <w:rPr>
          <w:rFonts w:hint="cs"/>
          <w:rtl/>
        </w:rPr>
        <w:t>הראשונים דהיתר</w:t>
      </w:r>
      <w:r>
        <w:rPr>
          <w:rFonts w:hint="cs"/>
          <w:rtl/>
        </w:rPr>
        <w:t xml:space="preserve"> נטל"פ הוא רק בדיעבד</w:t>
      </w:r>
      <w:bookmarkEnd w:id="9618"/>
      <w:bookmarkEnd w:id="9619"/>
      <w:bookmarkEnd w:id="9620"/>
      <w:bookmarkEnd w:id="9621"/>
    </w:p>
    <w:p w:rsidR="0013006A" w:rsidRPr="00A37615" w:rsidRDefault="0013006A" w:rsidP="0013006A">
      <w:pPr>
        <w:pStyle w:val="a2"/>
        <w:rPr>
          <w:rtl/>
        </w:rPr>
      </w:pPr>
      <w:bookmarkStart w:id="9622" w:name="_Toc19129507"/>
      <w:bookmarkStart w:id="9623" w:name="_Toc19130063"/>
      <w:bookmarkStart w:id="9624" w:name="_Toc19171008"/>
      <w:bookmarkStart w:id="9625" w:name="_Toc19180864"/>
      <w:r>
        <w:rPr>
          <w:rFonts w:hint="cs"/>
          <w:rtl/>
        </w:rPr>
        <w:t>דברי הרשב"א והר"ן והמהר"ם חלאווה דהיתר נטל"פ הוא רק בדיעבד ולא לכתחילה</w:t>
      </w:r>
      <w:bookmarkEnd w:id="9622"/>
      <w:bookmarkEnd w:id="9623"/>
      <w:bookmarkEnd w:id="9624"/>
      <w:bookmarkEnd w:id="9625"/>
    </w:p>
    <w:p w:rsidR="0013006A" w:rsidRDefault="0013006A" w:rsidP="009F44AF">
      <w:pPr>
        <w:pStyle w:val="a"/>
        <w:rPr>
          <w:rtl/>
        </w:rPr>
      </w:pPr>
      <w:r>
        <w:rPr>
          <w:rFonts w:hint="cs"/>
          <w:rtl/>
        </w:rPr>
        <w:t xml:space="preserve">כתבו </w:t>
      </w:r>
      <w:r w:rsidRPr="00BE7EE1">
        <w:rPr>
          <w:rStyle w:val="af8"/>
          <w:rFonts w:hint="cs"/>
          <w:rtl/>
        </w:rPr>
        <w:t>הרשב"א בתשו'</w:t>
      </w:r>
      <w:r>
        <w:rPr>
          <w:rFonts w:hint="cs"/>
          <w:rtl/>
        </w:rPr>
        <w:t xml:space="preserve"> </w:t>
      </w:r>
      <w:r w:rsidRPr="00DD7456">
        <w:rPr>
          <w:rStyle w:val="af6"/>
          <w:rFonts w:eastAsia="Guttman Hodes" w:hint="cs"/>
          <w:rtl/>
        </w:rPr>
        <w:t>(ח"ג סי' רל"ה)</w:t>
      </w:r>
      <w:r>
        <w:rPr>
          <w:rFonts w:hint="cs"/>
          <w:rtl/>
        </w:rPr>
        <w:t xml:space="preserve"> </w:t>
      </w:r>
      <w:r w:rsidRPr="00BE7EE1">
        <w:rPr>
          <w:rStyle w:val="af8"/>
          <w:rFonts w:hint="cs"/>
          <w:rtl/>
        </w:rPr>
        <w:t>והר"ן על הרי"ף בפסחים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Ref19130853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כ)</w:t>
      </w:r>
      <w:r>
        <w:rPr>
          <w:rStyle w:val="af6"/>
          <w:rFonts w:eastAsia="Guttman Hodes"/>
          <w:rtl/>
        </w:rPr>
        <w:fldChar w:fldCharType="end"/>
      </w:r>
      <w:r>
        <w:rPr>
          <w:rStyle w:val="af6"/>
          <w:rFonts w:eastAsia="Guttman Hodes" w:hint="cs"/>
          <w:rtl/>
        </w:rPr>
        <w:t xml:space="preserve"> </w:t>
      </w:r>
      <w:r w:rsidRPr="00C87E9F">
        <w:rPr>
          <w:rStyle w:val="af8"/>
          <w:rFonts w:hint="cs"/>
          <w:rtl/>
        </w:rPr>
        <w:t>ו</w:t>
      </w:r>
      <w:r>
        <w:rPr>
          <w:rStyle w:val="af8"/>
          <w:rFonts w:hint="cs"/>
          <w:rtl/>
        </w:rPr>
        <w:t>ה</w:t>
      </w:r>
      <w:r w:rsidRPr="00C87E9F">
        <w:rPr>
          <w:rStyle w:val="af8"/>
          <w:rFonts w:hint="cs"/>
          <w:rtl/>
        </w:rPr>
        <w:t>מהר"ם חלאווה</w:t>
      </w:r>
      <w:r w:rsidRPr="004F4BF7">
        <w:rPr>
          <w:rStyle w:val="af6"/>
          <w:rFonts w:eastAsia="Guttman Hodes" w:hint="cs"/>
          <w:rtl/>
        </w:rPr>
        <w:t xml:space="preserve"> (פסחים ל. ד"ה אמר רב) </w:t>
      </w:r>
      <w:r>
        <w:rPr>
          <w:rFonts w:hint="cs"/>
          <w:rtl/>
        </w:rPr>
        <w:t>דההיתר בנותן טעם לפגם הוא רק בדיעבד, אבל לכתחילה אסור.</w:t>
      </w:r>
    </w:p>
    <w:p w:rsidR="0013006A" w:rsidRPr="00A37615" w:rsidRDefault="0013006A" w:rsidP="0013006A">
      <w:pPr>
        <w:pStyle w:val="a2"/>
        <w:rPr>
          <w:rtl/>
        </w:rPr>
      </w:pPr>
      <w:bookmarkStart w:id="9626" w:name="_Toc19129508"/>
      <w:bookmarkStart w:id="9627" w:name="_Toc19130064"/>
      <w:bookmarkStart w:id="9628" w:name="_Toc19171009"/>
      <w:bookmarkStart w:id="9629" w:name="_Toc19180865"/>
      <w:r>
        <w:rPr>
          <w:rFonts w:hint="cs"/>
          <w:rtl/>
        </w:rPr>
        <w:t>דברי הרא"ה דאינו ראוי לגר מותר לכתחילה ואיסור בלוע שנפגם אסור לכתחילה</w:t>
      </w:r>
      <w:bookmarkEnd w:id="9626"/>
      <w:bookmarkEnd w:id="9627"/>
      <w:bookmarkEnd w:id="9628"/>
      <w:bookmarkEnd w:id="9629"/>
    </w:p>
    <w:p w:rsidR="0013006A" w:rsidRDefault="0013006A" w:rsidP="009F44AF">
      <w:pPr>
        <w:pStyle w:val="a"/>
        <w:rPr>
          <w:rtl/>
        </w:rPr>
      </w:pPr>
      <w:r>
        <w:rPr>
          <w:rFonts w:hint="cs"/>
          <w:rtl/>
        </w:rPr>
        <w:t>כתב</w:t>
      </w:r>
      <w:r w:rsidRPr="00D47CE7">
        <w:rPr>
          <w:rStyle w:val="af8"/>
          <w:rFonts w:hint="cs"/>
          <w:rtl/>
        </w:rPr>
        <w:t xml:space="preserve"> הרא"ה בבד"ה</w:t>
      </w:r>
      <w:r w:rsidRPr="00D47CE7">
        <w:rPr>
          <w:rFonts w:hint="cs"/>
          <w:rtl/>
        </w:rPr>
        <w:t xml:space="preserve"> </w:t>
      </w:r>
      <w:r w:rsidRPr="00D47CE7">
        <w:rPr>
          <w:rStyle w:val="af6"/>
          <w:rFonts w:eastAsia="Guttman Hodes" w:hint="cs"/>
          <w:rtl/>
        </w:rPr>
        <w:t>(ב"ד ש"א יט. מדה"ס)</w:t>
      </w:r>
      <w:r w:rsidRPr="00D47CE7">
        <w:rPr>
          <w:rFonts w:hint="cs"/>
          <w:rtl/>
        </w:rPr>
        <w:t xml:space="preserve"> </w:t>
      </w:r>
      <w:r>
        <w:rPr>
          <w:rFonts w:hint="cs"/>
          <w:rtl/>
        </w:rPr>
        <w:t>ד</w:t>
      </w:r>
      <w:r w:rsidRPr="00924ACD">
        <w:rPr>
          <w:rFonts w:hint="cs"/>
          <w:rtl/>
        </w:rPr>
        <w:t>נבילה שאינה ראויה לגר מותר</w:t>
      </w:r>
      <w:r>
        <w:rPr>
          <w:rFonts w:hint="cs"/>
          <w:rtl/>
        </w:rPr>
        <w:t xml:space="preserve"> לאוכלה</w:t>
      </w:r>
      <w:r w:rsidRPr="00924ACD">
        <w:rPr>
          <w:rFonts w:hint="cs"/>
          <w:rtl/>
        </w:rPr>
        <w:t xml:space="preserve"> ל</w:t>
      </w:r>
      <w:r>
        <w:rPr>
          <w:rFonts w:hint="cs"/>
          <w:rtl/>
        </w:rPr>
        <w:t>כתחילה,</w:t>
      </w:r>
      <w:r w:rsidRPr="00924ACD">
        <w:rPr>
          <w:rFonts w:hint="cs"/>
          <w:rtl/>
        </w:rPr>
        <w:t xml:space="preserve"> אף כשהיא בעין</w:t>
      </w:r>
      <w:r>
        <w:rPr>
          <w:rFonts w:hint="cs"/>
          <w:rtl/>
        </w:rPr>
        <w:t xml:space="preserve">, ואילו </w:t>
      </w:r>
      <w:r w:rsidRPr="00924ACD">
        <w:rPr>
          <w:rFonts w:hint="cs"/>
          <w:rtl/>
        </w:rPr>
        <w:t xml:space="preserve">איסור שבלוע בכלי אסור לכתחילה, ומותר רק ע"י שמכשירים את הכלי, </w:t>
      </w:r>
      <w:r>
        <w:rPr>
          <w:rFonts w:hint="cs"/>
          <w:rtl/>
        </w:rPr>
        <w:t xml:space="preserve">וביאר </w:t>
      </w:r>
      <w:r>
        <w:rPr>
          <w:rStyle w:val="af8"/>
          <w:rtl/>
        </w:rPr>
        <w:t>הרא"ה בבד"ה</w:t>
      </w:r>
      <w:r>
        <w:rPr>
          <w:rFonts w:hint="cs"/>
          <w:rtl/>
        </w:rPr>
        <w:t xml:space="preserve"> דהאיסור הבלוע אף שהוא פגום, מ"מ הוא חמור יותר כיון שבשעה שנבלע היה משובח, ואף עכשיו שהוא פגום, מ"מ אין הפגם שלו ניכר.</w:t>
      </w:r>
    </w:p>
    <w:p w:rsidR="0013006A" w:rsidRPr="00A37615" w:rsidRDefault="0013006A" w:rsidP="0013006A">
      <w:pPr>
        <w:pStyle w:val="a2"/>
        <w:rPr>
          <w:rtl/>
        </w:rPr>
      </w:pPr>
      <w:bookmarkStart w:id="9630" w:name="_Toc19129509"/>
      <w:bookmarkStart w:id="9631" w:name="_Toc19130065"/>
      <w:bookmarkStart w:id="9632" w:name="_Toc19171010"/>
      <w:bookmarkStart w:id="9633" w:name="_Toc19180866"/>
      <w:r>
        <w:rPr>
          <w:rFonts w:hint="cs"/>
          <w:rtl/>
        </w:rPr>
        <w:t>דברי הריטב"א דנטל"פ אסור לכתחילה כדמוכח מדין קדירות בפסח</w:t>
      </w:r>
      <w:bookmarkEnd w:id="9630"/>
      <w:bookmarkEnd w:id="9631"/>
      <w:bookmarkEnd w:id="9632"/>
      <w:bookmarkEnd w:id="9633"/>
    </w:p>
    <w:p w:rsidR="0013006A" w:rsidRDefault="0013006A" w:rsidP="009F44AF">
      <w:pPr>
        <w:pStyle w:val="a"/>
        <w:rPr>
          <w:rtl/>
        </w:rPr>
      </w:pPr>
      <w:r>
        <w:rPr>
          <w:rStyle w:val="af8"/>
          <w:rFonts w:hint="cs"/>
          <w:rtl/>
        </w:rPr>
        <w:t>ו</w:t>
      </w:r>
      <w:r w:rsidRPr="00BE7EE1">
        <w:rPr>
          <w:rStyle w:val="af8"/>
          <w:rFonts w:hint="cs"/>
          <w:rtl/>
        </w:rPr>
        <w:t>הריטב"א</w:t>
      </w:r>
      <w:r>
        <w:rPr>
          <w:rFonts w:hint="cs"/>
          <w:rtl/>
        </w:rPr>
        <w:t xml:space="preserve"> </w:t>
      </w:r>
      <w:r w:rsidRPr="00DD7456">
        <w:rPr>
          <w:rStyle w:val="af6"/>
          <w:rFonts w:eastAsia="Guttman Hodes" w:hint="cs"/>
          <w:rtl/>
        </w:rPr>
        <w:t xml:space="preserve">(סז. ד"ה ומיהו) </w:t>
      </w:r>
      <w:r>
        <w:rPr>
          <w:rFonts w:hint="cs"/>
          <w:rtl/>
        </w:rPr>
        <w:t xml:space="preserve">כתב דההיתר בנותן טעם לפגם הוא רק בדיעבד, אבל לכתחילה אסור, דהא קדירה שאינה בת יומא אסורה לכתחילה אטו בת יומא, וכן קדירות בפסח שיש בהם חמץ שאוסר במשהו, אסורות לכתחילה, אבל לאחר פסח כתב </w:t>
      </w:r>
      <w:r w:rsidRPr="00B00BF8">
        <w:rPr>
          <w:rStyle w:val="af8"/>
          <w:rFonts w:hint="cs"/>
          <w:rtl/>
        </w:rPr>
        <w:t>הריטב"א</w:t>
      </w:r>
      <w:r>
        <w:rPr>
          <w:rFonts w:hint="cs"/>
          <w:rtl/>
        </w:rPr>
        <w:t xml:space="preserve"> דקיי"ל </w:t>
      </w:r>
      <w:r>
        <w:rPr>
          <w:rFonts w:hint="cs"/>
          <w:rtl/>
        </w:rPr>
        <w:lastRenderedPageBreak/>
        <w:t>כשמואל דמותרות אף לכתחילה, כיון שיש ג' סיבות להתיר, דהוא טעם פגום, ויש גם בליעות של היתר, ומסתמא בלוע רק משהו ואחר פסח משהו חמץ אינו אוסר.</w:t>
      </w:r>
    </w:p>
    <w:p w:rsidR="0013006A" w:rsidRPr="00A37615" w:rsidRDefault="0013006A" w:rsidP="0013006A">
      <w:pPr>
        <w:pStyle w:val="a2"/>
        <w:rPr>
          <w:rtl/>
        </w:rPr>
      </w:pPr>
      <w:bookmarkStart w:id="9634" w:name="_Toc19129510"/>
      <w:bookmarkStart w:id="9635" w:name="_Toc19130066"/>
      <w:bookmarkStart w:id="9636" w:name="_Toc19171011"/>
      <w:bookmarkStart w:id="9637" w:name="_Toc19180867"/>
      <w:r>
        <w:rPr>
          <w:rFonts w:hint="cs"/>
          <w:rtl/>
        </w:rPr>
        <w:t>דברי הריטב"א דנחלקו הרשב"א והרא"ה בקדירה שאינה בת יומא אי מותרת לכתחילה</w:t>
      </w:r>
      <w:bookmarkEnd w:id="9634"/>
      <w:bookmarkEnd w:id="9635"/>
      <w:bookmarkEnd w:id="9636"/>
      <w:bookmarkEnd w:id="9637"/>
    </w:p>
    <w:p w:rsidR="0013006A" w:rsidRPr="00CE527D" w:rsidRDefault="0013006A" w:rsidP="009F44AF">
      <w:pPr>
        <w:pStyle w:val="a"/>
      </w:pPr>
      <w:r>
        <w:rPr>
          <w:rFonts w:hint="cs"/>
          <w:rtl/>
        </w:rPr>
        <w:t xml:space="preserve">והביא </w:t>
      </w:r>
      <w:r w:rsidRPr="00BE7EE1">
        <w:rPr>
          <w:rStyle w:val="af8"/>
          <w:rFonts w:hint="cs"/>
          <w:rtl/>
        </w:rPr>
        <w:t>הריטב"א</w:t>
      </w:r>
      <w:r>
        <w:rPr>
          <w:rFonts w:hint="cs"/>
          <w:rtl/>
        </w:rPr>
        <w:t xml:space="preserve"> בשם </w:t>
      </w:r>
      <w:r w:rsidRPr="00BE7EE1">
        <w:rPr>
          <w:rStyle w:val="af8"/>
          <w:rFonts w:hint="cs"/>
          <w:rtl/>
        </w:rPr>
        <w:t>הרא"ה</w:t>
      </w:r>
      <w:r>
        <w:rPr>
          <w:rFonts w:hint="cs"/>
          <w:rtl/>
        </w:rPr>
        <w:t xml:space="preserve"> דהתיר בקדירה חולבת שאינה בת יומא לבשל בה לכתחילה כיון שיש בה את ג' הסברות להתיר, אך כתב </w:t>
      </w:r>
      <w:r w:rsidRPr="00BE7EE1">
        <w:rPr>
          <w:rStyle w:val="af8"/>
          <w:rFonts w:hint="cs"/>
          <w:rtl/>
        </w:rPr>
        <w:t>הריטב"א דהרשב"א</w:t>
      </w:r>
      <w:r>
        <w:rPr>
          <w:rFonts w:hint="cs"/>
          <w:rtl/>
        </w:rPr>
        <w:t xml:space="preserve"> </w:t>
      </w:r>
      <w:r w:rsidRPr="00BE7EE1">
        <w:rPr>
          <w:rStyle w:val="af8"/>
          <w:rFonts w:hint="cs"/>
          <w:rtl/>
        </w:rPr>
        <w:t>ושאר פוסקים</w:t>
      </w:r>
      <w:r>
        <w:rPr>
          <w:rFonts w:hint="cs"/>
          <w:rtl/>
        </w:rPr>
        <w:t xml:space="preserve"> אסרו, וביארו דההיתר הוא רק בקדירות לאחר פסח, שאסורות רק מדרבנן, ולא אסרו רבנן בחמץ שעבר עליו הפסח בתערובת, ומהני ביטול מדרבנן אפילו בלחל בל, אבל בקדירה חולבת שאסור מדאו' ולא מהני בה ביטול בשישים, אסור לכתחילה.</w:t>
      </w:r>
    </w:p>
    <w:p w:rsidR="0013006A" w:rsidRDefault="0013006A" w:rsidP="00E669F8">
      <w:pPr>
        <w:pStyle w:val="afd"/>
        <w:rPr>
          <w:rtl/>
        </w:rPr>
      </w:pPr>
      <w:bookmarkStart w:id="9638" w:name="_Toc19129511"/>
      <w:bookmarkStart w:id="9639" w:name="_Toc19130067"/>
      <w:bookmarkStart w:id="9640" w:name="_Toc19171012"/>
      <w:bookmarkStart w:id="9641" w:name="_Toc19180868"/>
      <w:bookmarkStart w:id="9642" w:name="_Toc18874359"/>
      <w:bookmarkStart w:id="9643" w:name="_Toc18946773"/>
      <w:bookmarkStart w:id="9644" w:name="_Toc19026235"/>
      <w:bookmarkStart w:id="9645" w:name="_Toc19029712"/>
      <w:bookmarkStart w:id="9646" w:name="_Toc19030096"/>
      <w:bookmarkStart w:id="9647" w:name="_Toc19082162"/>
      <w:r>
        <w:rPr>
          <w:rFonts w:hint="cs"/>
          <w:rtl/>
        </w:rPr>
        <w:t>בדין דרבנן באינו ראוי לגר ונטל"פ</w:t>
      </w:r>
      <w:bookmarkEnd w:id="9638"/>
      <w:bookmarkEnd w:id="9639"/>
      <w:bookmarkEnd w:id="9640"/>
      <w:bookmarkEnd w:id="9641"/>
      <w:r>
        <w:rPr>
          <w:rFonts w:hint="cs"/>
          <w:rtl/>
        </w:rPr>
        <w:t xml:space="preserve"> </w:t>
      </w:r>
    </w:p>
    <w:p w:rsidR="0013006A" w:rsidRDefault="0013006A" w:rsidP="0013006A">
      <w:pPr>
        <w:pStyle w:val="1"/>
        <w:rPr>
          <w:rtl/>
        </w:rPr>
      </w:pPr>
      <w:bookmarkStart w:id="9648" w:name="_Toc19129512"/>
      <w:bookmarkStart w:id="9649" w:name="_Toc19130068"/>
      <w:bookmarkStart w:id="9650" w:name="_Toc19171013"/>
      <w:bookmarkStart w:id="9651" w:name="_Toc19180869"/>
      <w:r>
        <w:rPr>
          <w:rFonts w:hint="cs"/>
          <w:rtl/>
        </w:rPr>
        <w:t>דברי המנחת כהן</w:t>
      </w:r>
      <w:bookmarkEnd w:id="9642"/>
      <w:bookmarkEnd w:id="9643"/>
      <w:bookmarkEnd w:id="9644"/>
      <w:bookmarkEnd w:id="9645"/>
      <w:bookmarkEnd w:id="9646"/>
      <w:bookmarkEnd w:id="9647"/>
      <w:r>
        <w:rPr>
          <w:rFonts w:hint="cs"/>
          <w:rtl/>
        </w:rPr>
        <w:t xml:space="preserve"> דבאינו ראוי לגר בעין אסור מדרבנן</w:t>
      </w:r>
      <w:bookmarkEnd w:id="9648"/>
      <w:bookmarkEnd w:id="9649"/>
      <w:bookmarkEnd w:id="9650"/>
      <w:bookmarkEnd w:id="9651"/>
    </w:p>
    <w:p w:rsidR="0013006A" w:rsidRPr="0068257F" w:rsidRDefault="0013006A" w:rsidP="0013006A">
      <w:pPr>
        <w:pStyle w:val="a2"/>
      </w:pPr>
      <w:bookmarkStart w:id="9652" w:name="_Toc19129513"/>
      <w:bookmarkStart w:id="9653" w:name="_Toc19130069"/>
      <w:bookmarkStart w:id="9654" w:name="_Toc19171014"/>
      <w:bookmarkStart w:id="9655" w:name="_Toc19180870"/>
      <w:r>
        <w:rPr>
          <w:rFonts w:hint="cs"/>
          <w:rtl/>
        </w:rPr>
        <w:t>דברי המנחת כהן דמשמע ברשב"א דבאינו ראוי לגר מותר אף מדרבנן אף ברוב איסור</w:t>
      </w:r>
      <w:bookmarkEnd w:id="9652"/>
      <w:bookmarkEnd w:id="9653"/>
      <w:bookmarkEnd w:id="9654"/>
      <w:bookmarkEnd w:id="9655"/>
    </w:p>
    <w:p w:rsidR="0013006A" w:rsidRDefault="0013006A" w:rsidP="009F44AF">
      <w:pPr>
        <w:pStyle w:val="a"/>
      </w:pPr>
      <w:r>
        <w:rPr>
          <w:rFonts w:hint="cs"/>
          <w:rtl/>
        </w:rPr>
        <w:t xml:space="preserve">כתב </w:t>
      </w:r>
      <w:r w:rsidRPr="00BE7EE1">
        <w:rPr>
          <w:rStyle w:val="af8"/>
          <w:rFonts w:hint="cs"/>
          <w:rtl/>
        </w:rPr>
        <w:t>המנחת כהן</w:t>
      </w:r>
      <w:r>
        <w:rPr>
          <w:rFonts w:hint="cs"/>
          <w:rtl/>
        </w:rPr>
        <w:t xml:space="preserve"> </w:t>
      </w:r>
      <w:r w:rsidRPr="00DD7456">
        <w:rPr>
          <w:rStyle w:val="af6"/>
          <w:rFonts w:eastAsia="Guttman Hodes" w:hint="cs"/>
          <w:rtl/>
        </w:rPr>
        <w:t xml:space="preserve">(ס' התערובות ח"א פ"ט ד"ה ואומר בתו"ד) </w:t>
      </w:r>
      <w:r>
        <w:rPr>
          <w:rFonts w:hint="cs"/>
          <w:rtl/>
        </w:rPr>
        <w:t xml:space="preserve">דיל"ע האם ההיתר בנבילה שאינה ראויה לגר, הוא גם מדרבנן, והביא </w:t>
      </w:r>
      <w:r w:rsidRPr="003968AD">
        <w:rPr>
          <w:rStyle w:val="af8"/>
          <w:rFonts w:hint="cs"/>
          <w:rtl/>
        </w:rPr>
        <w:t>המנחת כהן</w:t>
      </w:r>
      <w:r>
        <w:rPr>
          <w:rFonts w:hint="cs"/>
          <w:rtl/>
        </w:rPr>
        <w:t xml:space="preserve"> את דברי </w:t>
      </w:r>
      <w:r>
        <w:rPr>
          <w:rStyle w:val="af8"/>
          <w:rtl/>
        </w:rPr>
        <w:t>הרשב"א</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tl/>
        </w:rPr>
        <w:t xml:space="preserve">דההיתר בנותן טעם לפגם, כשהוא ראוי לאכילה, </w:t>
      </w:r>
      <w:r>
        <w:rPr>
          <w:rFonts w:hint="cs"/>
          <w:rtl/>
        </w:rPr>
        <w:t xml:space="preserve">הוא רק כשיש רוב היתר, אבל </w:t>
      </w:r>
      <w:r w:rsidRPr="00D47CE7">
        <w:rPr>
          <w:rFonts w:hint="cs"/>
          <w:rtl/>
        </w:rPr>
        <w:t>אם האיסור הוא הרוב וההיתר הוא המיעוט, אין בו היתר נותן טעם לפגם, ורק כשאינו ראוי לאכילה לגמרי כנבילה שאינה ראויה לגר</w:t>
      </w:r>
      <w:r>
        <w:rPr>
          <w:rFonts w:hint="cs"/>
          <w:rtl/>
        </w:rPr>
        <w:t xml:space="preserve"> כתב </w:t>
      </w:r>
      <w:r>
        <w:rPr>
          <w:rStyle w:val="af8"/>
          <w:rtl/>
        </w:rPr>
        <w:t>הרשב"א</w:t>
      </w:r>
      <w:r>
        <w:rPr>
          <w:rtl/>
        </w:rPr>
        <w:t xml:space="preserve"> </w:t>
      </w:r>
      <w:r>
        <w:rPr>
          <w:rFonts w:hint="cs"/>
          <w:rtl/>
        </w:rPr>
        <w:t>ד</w:t>
      </w:r>
      <w:r w:rsidRPr="00D47CE7">
        <w:rPr>
          <w:rFonts w:hint="cs"/>
          <w:rtl/>
        </w:rPr>
        <w:t>מותר,</w:t>
      </w:r>
      <w:r>
        <w:rPr>
          <w:rFonts w:hint="cs"/>
          <w:rtl/>
        </w:rPr>
        <w:t xml:space="preserve"> וכתב </w:t>
      </w:r>
      <w:r w:rsidRPr="00322369">
        <w:rPr>
          <w:rStyle w:val="af8"/>
          <w:rFonts w:hint="cs"/>
          <w:rtl/>
        </w:rPr>
        <w:t>המנחת כהן</w:t>
      </w:r>
      <w:r>
        <w:rPr>
          <w:rFonts w:hint="cs"/>
          <w:rtl/>
        </w:rPr>
        <w:t xml:space="preserve"> דמשמע </w:t>
      </w:r>
      <w:r w:rsidRPr="00322369">
        <w:rPr>
          <w:rStyle w:val="af8"/>
          <w:rFonts w:hint="cs"/>
          <w:rtl/>
        </w:rPr>
        <w:t>ברשב"א</w:t>
      </w:r>
      <w:r>
        <w:rPr>
          <w:rFonts w:hint="cs"/>
          <w:rtl/>
        </w:rPr>
        <w:t xml:space="preserve"> דמותר אף מדרבנן באינה ראויה לגר, אעפ"י שיש רוב איסור וחשיב שהאיסור בעין, וא"כ מבואר מדברי </w:t>
      </w:r>
      <w:r w:rsidRPr="00BE7EE1">
        <w:rPr>
          <w:rStyle w:val="af8"/>
          <w:rFonts w:hint="cs"/>
          <w:rtl/>
        </w:rPr>
        <w:t>הרשב"א</w:t>
      </w:r>
      <w:r>
        <w:rPr>
          <w:rFonts w:hint="cs"/>
          <w:rtl/>
        </w:rPr>
        <w:t xml:space="preserve"> דההיתר בנבילה שאינה ראויה לגר כשהיא בעין הוא אף מדרבנן.</w:t>
      </w:r>
    </w:p>
    <w:p w:rsidR="0013006A" w:rsidRPr="00A37615" w:rsidRDefault="0013006A" w:rsidP="0013006A">
      <w:pPr>
        <w:pStyle w:val="a2"/>
      </w:pPr>
      <w:bookmarkStart w:id="9656" w:name="_Toc19129514"/>
      <w:bookmarkStart w:id="9657" w:name="_Toc19130070"/>
      <w:bookmarkStart w:id="9658" w:name="_Toc19171015"/>
      <w:bookmarkStart w:id="9659" w:name="_Toc19180871"/>
      <w:r>
        <w:rPr>
          <w:rFonts w:hint="cs"/>
          <w:rtl/>
        </w:rPr>
        <w:t>דברי המנחת כהן דברמב"ם משמע דבאינו ראוי לגר אסור מדרבנן</w:t>
      </w:r>
      <w:bookmarkEnd w:id="9656"/>
      <w:bookmarkEnd w:id="9657"/>
      <w:bookmarkEnd w:id="9658"/>
      <w:bookmarkEnd w:id="9659"/>
    </w:p>
    <w:p w:rsidR="0013006A" w:rsidRDefault="0013006A" w:rsidP="009F44AF">
      <w:pPr>
        <w:pStyle w:val="a"/>
        <w:rPr>
          <w:rtl/>
        </w:rPr>
      </w:pPr>
      <w:bookmarkStart w:id="9660" w:name="_Ref19183876"/>
      <w:r>
        <w:rPr>
          <w:rFonts w:hint="cs"/>
          <w:rtl/>
        </w:rPr>
        <w:t xml:space="preserve">אך כתב </w:t>
      </w:r>
      <w:r w:rsidRPr="00BE7EE1">
        <w:rPr>
          <w:rStyle w:val="af8"/>
          <w:rFonts w:hint="cs"/>
          <w:rtl/>
        </w:rPr>
        <w:t>המנחת כהן</w:t>
      </w:r>
      <w:r>
        <w:rPr>
          <w:rFonts w:hint="cs"/>
          <w:rtl/>
        </w:rPr>
        <w:t xml:space="preserve"> דמדברי </w:t>
      </w:r>
      <w:r w:rsidRPr="00BE7EE1">
        <w:rPr>
          <w:rStyle w:val="af8"/>
          <w:rFonts w:hint="cs"/>
          <w:rtl/>
        </w:rPr>
        <w:t>הרמב"ם</w:t>
      </w:r>
      <w:r>
        <w:rPr>
          <w:rFonts w:hint="cs"/>
          <w:rtl/>
        </w:rPr>
        <w:t xml:space="preserve"> </w:t>
      </w:r>
      <w:r w:rsidRPr="00067A71">
        <w:rPr>
          <w:rStyle w:val="af6"/>
          <w:rFonts w:eastAsia="Guttman Hodes" w:hint="cs"/>
          <w:rtl/>
        </w:rPr>
        <w:t xml:space="preserve">(עי' אות </w:t>
      </w:r>
      <w:r w:rsidRPr="00067A71">
        <w:rPr>
          <w:rStyle w:val="af6"/>
          <w:rFonts w:eastAsia="Guttman Hodes"/>
          <w:rtl/>
        </w:rPr>
        <w:fldChar w:fldCharType="begin"/>
      </w:r>
      <w:r w:rsidRPr="00067A71">
        <w:rPr>
          <w:rStyle w:val="af6"/>
          <w:rFonts w:eastAsia="Guttman Hodes"/>
          <w:rtl/>
        </w:rPr>
        <w:instrText xml:space="preserve"> </w:instrText>
      </w:r>
      <w:r w:rsidRPr="00067A71">
        <w:rPr>
          <w:rStyle w:val="af6"/>
          <w:rFonts w:eastAsia="Guttman Hodes" w:hint="cs"/>
        </w:rPr>
        <w:instrText>REF</w:instrText>
      </w:r>
      <w:r w:rsidRPr="00067A71">
        <w:rPr>
          <w:rStyle w:val="af6"/>
          <w:rFonts w:eastAsia="Guttman Hodes" w:hint="cs"/>
          <w:rtl/>
        </w:rPr>
        <w:instrText xml:space="preserve"> _</w:instrText>
      </w:r>
      <w:r w:rsidRPr="00067A71">
        <w:rPr>
          <w:rStyle w:val="af6"/>
          <w:rFonts w:eastAsia="Guttman Hodes" w:hint="cs"/>
        </w:rPr>
        <w:instrText>Ref19034347 \r \h</w:instrText>
      </w:r>
      <w:r w:rsidRPr="00067A71">
        <w:rPr>
          <w:rStyle w:val="af6"/>
          <w:rFonts w:eastAsia="Guttman Hodes"/>
          <w:rtl/>
        </w:rPr>
        <w:instrText xml:space="preserve"> </w:instrText>
      </w:r>
      <w:r w:rsidRPr="00067A71">
        <w:rPr>
          <w:rStyle w:val="af6"/>
          <w:rFonts w:eastAsia="Guttman Hodes"/>
          <w:rtl/>
        </w:rPr>
      </w:r>
      <w:r w:rsidRPr="00067A71">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067A71">
        <w:rPr>
          <w:rStyle w:val="af6"/>
          <w:rFonts w:eastAsia="Guttman Hodes"/>
          <w:rtl/>
        </w:rPr>
        <w:fldChar w:fldCharType="end"/>
      </w:r>
      <w:r>
        <w:rPr>
          <w:rFonts w:hint="cs"/>
          <w:rtl/>
        </w:rPr>
        <w:t xml:space="preserve"> דכתב דהאוכל איסור אחר שהסריח פטור, משמע דפטור רק ממלקות אבל אסור מדרבנן.</w:t>
      </w:r>
      <w:bookmarkEnd w:id="9660"/>
    </w:p>
    <w:p w:rsidR="0013006A" w:rsidRPr="00A37615" w:rsidRDefault="0013006A" w:rsidP="0013006A">
      <w:pPr>
        <w:pStyle w:val="a2"/>
        <w:rPr>
          <w:rtl/>
        </w:rPr>
      </w:pPr>
      <w:bookmarkStart w:id="9661" w:name="_Toc19129515"/>
      <w:bookmarkStart w:id="9662" w:name="_Toc19130071"/>
      <w:bookmarkStart w:id="9663" w:name="_Toc19171016"/>
      <w:bookmarkStart w:id="9664" w:name="_Toc19180872"/>
      <w:r>
        <w:rPr>
          <w:rFonts w:hint="cs"/>
          <w:rtl/>
        </w:rPr>
        <w:t>ביאור המנחת כהן דבאינו ראוי לגר בפנ"ע אסור מדרבנן ובתערובת מותר אף מדרבנן</w:t>
      </w:r>
      <w:bookmarkEnd w:id="9661"/>
      <w:bookmarkEnd w:id="9662"/>
      <w:bookmarkEnd w:id="9663"/>
      <w:bookmarkEnd w:id="9664"/>
    </w:p>
    <w:p w:rsidR="0013006A" w:rsidRDefault="0013006A" w:rsidP="009F44AF">
      <w:pPr>
        <w:pStyle w:val="a"/>
        <w:rPr>
          <w:rtl/>
        </w:rPr>
      </w:pPr>
      <w:r>
        <w:rPr>
          <w:rFonts w:hint="cs"/>
          <w:rtl/>
        </w:rPr>
        <w:t xml:space="preserve">אלא כתב </w:t>
      </w:r>
      <w:r w:rsidRPr="00BE7EE1">
        <w:rPr>
          <w:rStyle w:val="af8"/>
          <w:rFonts w:hint="cs"/>
          <w:rtl/>
        </w:rPr>
        <w:t>המנחת כהן</w:t>
      </w:r>
      <w:r>
        <w:rPr>
          <w:rFonts w:hint="cs"/>
          <w:rtl/>
        </w:rPr>
        <w:t xml:space="preserve"> דבאינה ראויה לגר, כשהיא בעין אסור מדרבנן, אבל בתערובת אף כשיש רוב איסור מותר מדרבנן, כיון שהתערובת התקלקה לגמרי ואינה ראויה לגר,</w:t>
      </w:r>
      <w:r w:rsidRPr="00080882">
        <w:rPr>
          <w:rFonts w:hint="cs"/>
          <w:rtl/>
        </w:rPr>
        <w:t xml:space="preserve"> </w:t>
      </w:r>
      <w:r>
        <w:rPr>
          <w:rFonts w:hint="cs"/>
          <w:rtl/>
        </w:rPr>
        <w:t xml:space="preserve">וכ"כ </w:t>
      </w:r>
      <w:r w:rsidRPr="0050146A">
        <w:rPr>
          <w:rStyle w:val="af8"/>
          <w:rFonts w:hint="cs"/>
          <w:rtl/>
        </w:rPr>
        <w:t>הפרי תאר</w:t>
      </w:r>
      <w:r w:rsidRPr="0050146A">
        <w:rPr>
          <w:rFonts w:hint="cs"/>
          <w:rtl/>
        </w:rPr>
        <w:t xml:space="preserve"> [</w:t>
      </w:r>
      <w:r w:rsidRPr="0050146A">
        <w:rPr>
          <w:rStyle w:val="af8"/>
          <w:rFonts w:hint="cs"/>
          <w:rtl/>
        </w:rPr>
        <w:t>לבעל האוה"ח</w:t>
      </w:r>
      <w:r w:rsidRPr="0050146A">
        <w:rPr>
          <w:rFonts w:hint="cs"/>
          <w:rtl/>
        </w:rPr>
        <w:t xml:space="preserve">] </w:t>
      </w:r>
      <w:r w:rsidRPr="0050146A">
        <w:rPr>
          <w:rStyle w:val="af6"/>
          <w:rFonts w:eastAsia="Guttman Hodes" w:hint="cs"/>
          <w:rtl/>
        </w:rPr>
        <w:t>(סי'</w:t>
      </w:r>
      <w:r>
        <w:rPr>
          <w:rStyle w:val="af6"/>
          <w:rFonts w:eastAsia="Guttman Hodes" w:hint="cs"/>
          <w:rtl/>
        </w:rPr>
        <w:t xml:space="preserve"> ק"ג סק"ב)</w:t>
      </w:r>
      <w:r>
        <w:rPr>
          <w:rFonts w:hint="cs"/>
          <w:rtl/>
        </w:rPr>
        <w:t xml:space="preserve"> עיי"ש בדבריו,</w:t>
      </w:r>
      <w:r w:rsidRPr="00387EF8">
        <w:rPr>
          <w:rFonts w:hint="cs"/>
          <w:rtl/>
        </w:rPr>
        <w:t xml:space="preserve"> </w:t>
      </w:r>
      <w:r>
        <w:rPr>
          <w:rFonts w:hint="cs"/>
          <w:rtl/>
        </w:rPr>
        <w:t xml:space="preserve">וביאר </w:t>
      </w:r>
      <w:r w:rsidRPr="00387EF8">
        <w:rPr>
          <w:rStyle w:val="af8"/>
          <w:rFonts w:hint="cs"/>
          <w:rtl/>
        </w:rPr>
        <w:t>הפרמ"ג</w:t>
      </w:r>
      <w:r>
        <w:rPr>
          <w:rFonts w:hint="cs"/>
          <w:rtl/>
        </w:rPr>
        <w:t xml:space="preserve"> </w:t>
      </w:r>
      <w:r w:rsidRPr="00387EF8">
        <w:rPr>
          <w:rStyle w:val="af6"/>
          <w:rFonts w:eastAsia="Guttman Hodes" w:hint="cs"/>
          <w:rtl/>
        </w:rPr>
        <w:t>(סי' ק"ג משב"ז סק"א)</w:t>
      </w:r>
      <w:r>
        <w:rPr>
          <w:rFonts w:hint="cs"/>
          <w:rtl/>
        </w:rPr>
        <w:t xml:space="preserve"> את דברי </w:t>
      </w:r>
      <w:r w:rsidRPr="00BE7EE1">
        <w:rPr>
          <w:rStyle w:val="af8"/>
          <w:rFonts w:hint="cs"/>
          <w:rtl/>
        </w:rPr>
        <w:t>המנחת כהן</w:t>
      </w:r>
      <w:r w:rsidRPr="00E00322">
        <w:rPr>
          <w:rFonts w:hint="cs"/>
          <w:rtl/>
        </w:rPr>
        <w:t xml:space="preserve"> </w:t>
      </w:r>
      <w:r>
        <w:rPr>
          <w:rFonts w:hint="cs"/>
          <w:rtl/>
        </w:rPr>
        <w:t>דאף שהרוב של האיסור שנימוח הוא בעין, מ"מ לא גזרו רבנן להפסיד את המיעוט של ההיתר.</w:t>
      </w:r>
    </w:p>
    <w:p w:rsidR="0013006A" w:rsidRPr="00A37615" w:rsidRDefault="0013006A" w:rsidP="0013006A">
      <w:pPr>
        <w:pStyle w:val="a2"/>
        <w:rPr>
          <w:rtl/>
        </w:rPr>
      </w:pPr>
      <w:bookmarkStart w:id="9665" w:name="_Toc19129516"/>
      <w:bookmarkStart w:id="9666" w:name="_Toc19130072"/>
      <w:bookmarkStart w:id="9667" w:name="_Toc19171017"/>
      <w:bookmarkStart w:id="9668" w:name="_Toc19180873"/>
      <w:r>
        <w:rPr>
          <w:rFonts w:hint="cs"/>
          <w:rtl/>
        </w:rPr>
        <w:t>דברי המנחת כהן דנטל"פ מותר אף מדרבנן כדין אינו ראוי לגר בתערובת</w:t>
      </w:r>
      <w:bookmarkEnd w:id="9665"/>
      <w:bookmarkEnd w:id="9666"/>
      <w:bookmarkEnd w:id="9667"/>
      <w:bookmarkEnd w:id="9668"/>
    </w:p>
    <w:p w:rsidR="0013006A" w:rsidRDefault="0013006A" w:rsidP="009F44AF">
      <w:pPr>
        <w:pStyle w:val="a"/>
        <w:rPr>
          <w:rtl/>
        </w:rPr>
      </w:pPr>
      <w:r>
        <w:rPr>
          <w:rFonts w:hint="cs"/>
          <w:rtl/>
        </w:rPr>
        <w:t xml:space="preserve">וכתב </w:t>
      </w:r>
      <w:r w:rsidRPr="00BE7EE1">
        <w:rPr>
          <w:rStyle w:val="af8"/>
          <w:rFonts w:hint="cs"/>
          <w:rtl/>
        </w:rPr>
        <w:t>המנחת כהן</w:t>
      </w:r>
      <w:r w:rsidRPr="00E00322">
        <w:rPr>
          <w:rFonts w:hint="cs"/>
          <w:rtl/>
        </w:rPr>
        <w:t xml:space="preserve"> דלכן נותן טעם לפגם בפגום במקצת, מותר אף מדרבנן, דאעפ"י דההיתר נלמד מנבילה שאינה ראויה לגר שאסורה מדרבנן, מ"מ זהו דוקא כשהיא בעין, אבל כשהתערבה הנבילה אף במיעוט של היתר, היא מותרת מדרבנן כשנפגמה התערובת לגמרי, ולכן בנותן טעם לפגם בתערובת מותר אף מדרבנן</w:t>
      </w:r>
      <w:r>
        <w:rPr>
          <w:rFonts w:hint="cs"/>
          <w:rtl/>
        </w:rPr>
        <w:t>.</w:t>
      </w:r>
    </w:p>
    <w:p w:rsidR="0013006A" w:rsidRPr="00A37615" w:rsidRDefault="0013006A" w:rsidP="0013006A">
      <w:pPr>
        <w:pStyle w:val="a2"/>
      </w:pPr>
      <w:bookmarkStart w:id="9669" w:name="_Toc19129517"/>
      <w:bookmarkStart w:id="9670" w:name="_Toc19130073"/>
      <w:bookmarkStart w:id="9671" w:name="_Toc19171018"/>
      <w:bookmarkStart w:id="9672" w:name="_Toc19180874"/>
      <w:r>
        <w:rPr>
          <w:rFonts w:hint="cs"/>
          <w:rtl/>
        </w:rPr>
        <w:t>דברי המנחת כהן דבאינו ראוי לגר בתערובת חשיב כדיעבד ולכן לא אסרוהו רבנן</w:t>
      </w:r>
      <w:bookmarkEnd w:id="9669"/>
      <w:bookmarkEnd w:id="9670"/>
      <w:bookmarkEnd w:id="9671"/>
      <w:bookmarkEnd w:id="9672"/>
    </w:p>
    <w:p w:rsidR="0013006A" w:rsidRDefault="0013006A" w:rsidP="009F44AF">
      <w:pPr>
        <w:pStyle w:val="a"/>
        <w:rPr>
          <w:rtl/>
        </w:rPr>
      </w:pPr>
      <w:bookmarkStart w:id="9673" w:name="_Ref18923340"/>
      <w:r>
        <w:rPr>
          <w:rFonts w:hint="cs"/>
          <w:rtl/>
        </w:rPr>
        <w:t xml:space="preserve">וביאר </w:t>
      </w:r>
      <w:r w:rsidRPr="00BE7EE1">
        <w:rPr>
          <w:rStyle w:val="af8"/>
          <w:rFonts w:hint="cs"/>
          <w:rtl/>
        </w:rPr>
        <w:t>המנחת כהן</w:t>
      </w:r>
      <w:r>
        <w:rPr>
          <w:rFonts w:hint="cs"/>
          <w:rtl/>
        </w:rPr>
        <w:t xml:space="preserve"> דלא אסרו רבנן באינה ראויה לגר בתערובת היתר, כיון דבכל נותן טעם לפגם בפגום במקצת, התירו רבנן רק בדיעבד ולא לכתחילה, וכדאסור לבשל לכתחילה בקדירה שאינה בת יומא, ובדיעבד התבשיל מותר, ולכן באיסור שאינו ראוי  לגר כשהוא בעין, ג"כ אסרו רבנן לאוכלו לכתחילה, אבל כשהתערב בתוך ההיתר, חשיב דיעבד כיון שהתערב בהיתר, ולכן אינו אוסר אותו מדרבנן, אף כשההיתר הוא המיעוט.</w:t>
      </w:r>
      <w:bookmarkEnd w:id="9673"/>
    </w:p>
    <w:p w:rsidR="0013006A" w:rsidRPr="00A37615" w:rsidRDefault="0013006A" w:rsidP="0013006A">
      <w:pPr>
        <w:pStyle w:val="a2"/>
        <w:rPr>
          <w:rtl/>
        </w:rPr>
      </w:pPr>
      <w:bookmarkStart w:id="9674" w:name="_Toc19129518"/>
      <w:bookmarkStart w:id="9675" w:name="_Toc19130074"/>
      <w:bookmarkStart w:id="9676" w:name="_Toc19171019"/>
      <w:bookmarkStart w:id="9677" w:name="_Toc19180875"/>
      <w:r>
        <w:rPr>
          <w:rFonts w:hint="cs"/>
          <w:rtl/>
        </w:rPr>
        <w:t>דברי המנחת כהן דאיסור שפגום במקצת ונפל לתערובת ועשאה אינה ראויה לגר מותר מדרבנן</w:t>
      </w:r>
      <w:bookmarkEnd w:id="9674"/>
      <w:bookmarkEnd w:id="9675"/>
      <w:bookmarkEnd w:id="9676"/>
      <w:bookmarkEnd w:id="9677"/>
    </w:p>
    <w:p w:rsidR="0013006A" w:rsidRDefault="0013006A" w:rsidP="009F44AF">
      <w:pPr>
        <w:pStyle w:val="a"/>
        <w:rPr>
          <w:rtl/>
        </w:rPr>
      </w:pPr>
      <w:r>
        <w:rPr>
          <w:rFonts w:hint="cs"/>
          <w:rtl/>
        </w:rPr>
        <w:t xml:space="preserve">והוסיף </w:t>
      </w:r>
      <w:r w:rsidRPr="00BE7EE1">
        <w:rPr>
          <w:rStyle w:val="af8"/>
          <w:rFonts w:hint="cs"/>
          <w:rtl/>
        </w:rPr>
        <w:t>המנחת כהן</w:t>
      </w:r>
      <w:r>
        <w:rPr>
          <w:rFonts w:hint="cs"/>
          <w:rtl/>
        </w:rPr>
        <w:t xml:space="preserve"> </w:t>
      </w:r>
      <w:r w:rsidRPr="00DD7456">
        <w:rPr>
          <w:rStyle w:val="af6"/>
          <w:rFonts w:eastAsia="Guttman Hodes" w:hint="cs"/>
          <w:rtl/>
        </w:rPr>
        <w:t xml:space="preserve">(ס' התערובות ח"א פ"ט ד"ה והנה כששלשת) </w:t>
      </w:r>
      <w:r>
        <w:rPr>
          <w:rFonts w:hint="cs"/>
          <w:rtl/>
        </w:rPr>
        <w:t>דאף באיסור שפגום במקצת, אם ע"י נפילתו לתערובת נפגמה התערובת לגמרי, עד שאינה ראויה לגר, אין בה איסור דרבנן, אף כשאין רוב בהיתר כנגד האיסור, אבל אם עדיין היא ראויה לאכילה, ואין רוב היתר, אסורה מדאו'.</w:t>
      </w:r>
    </w:p>
    <w:p w:rsidR="0013006A" w:rsidRPr="000C73BB" w:rsidRDefault="0013006A" w:rsidP="0013006A">
      <w:pPr>
        <w:pStyle w:val="1"/>
      </w:pPr>
      <w:bookmarkStart w:id="9678" w:name="_Toc19129519"/>
      <w:bookmarkStart w:id="9679" w:name="_Toc19130075"/>
      <w:bookmarkStart w:id="9680" w:name="_Toc19171020"/>
      <w:bookmarkStart w:id="9681" w:name="_Toc19180876"/>
      <w:r>
        <w:rPr>
          <w:rFonts w:hint="cs"/>
          <w:rtl/>
        </w:rPr>
        <w:t>דברי הפר"ח דבאינו ראוי לגר מותר אף מדרבנן</w:t>
      </w:r>
      <w:bookmarkEnd w:id="9678"/>
      <w:bookmarkEnd w:id="9679"/>
      <w:bookmarkEnd w:id="9680"/>
      <w:bookmarkEnd w:id="9681"/>
    </w:p>
    <w:p w:rsidR="0013006A" w:rsidRPr="00A37615" w:rsidRDefault="0013006A" w:rsidP="0013006A">
      <w:pPr>
        <w:pStyle w:val="a2"/>
        <w:rPr>
          <w:rtl/>
        </w:rPr>
      </w:pPr>
      <w:bookmarkStart w:id="9682" w:name="_Toc19129520"/>
      <w:bookmarkStart w:id="9683" w:name="_Toc19130076"/>
      <w:bookmarkStart w:id="9684" w:name="_Toc19171021"/>
      <w:bookmarkStart w:id="9685" w:name="_Toc19180877"/>
      <w:r>
        <w:rPr>
          <w:rFonts w:hint="cs"/>
          <w:rtl/>
        </w:rPr>
        <w:t>ביאור הפר"ח ברמב"ם דאינה ראויה לגר מותרת מדרבנן ואסורה מדין בל תשקצו</w:t>
      </w:r>
      <w:bookmarkEnd w:id="9682"/>
      <w:bookmarkEnd w:id="9683"/>
      <w:bookmarkEnd w:id="9684"/>
      <w:bookmarkEnd w:id="9685"/>
    </w:p>
    <w:p w:rsidR="0013006A" w:rsidRDefault="0013006A" w:rsidP="009F44AF">
      <w:pPr>
        <w:pStyle w:val="a"/>
        <w:rPr>
          <w:rtl/>
        </w:rPr>
      </w:pPr>
      <w:r>
        <w:rPr>
          <w:rFonts w:hint="cs"/>
          <w:rtl/>
        </w:rPr>
        <w:t xml:space="preserve">אבל </w:t>
      </w:r>
      <w:r w:rsidRPr="007F0369">
        <w:rPr>
          <w:rStyle w:val="af8"/>
          <w:rFonts w:hint="cs"/>
          <w:rtl/>
        </w:rPr>
        <w:t>הפר"ח</w:t>
      </w:r>
      <w:r>
        <w:rPr>
          <w:rFonts w:hint="cs"/>
          <w:rtl/>
        </w:rPr>
        <w:t xml:space="preserve"> </w:t>
      </w:r>
      <w:r w:rsidRPr="00DD7456">
        <w:rPr>
          <w:rStyle w:val="af6"/>
          <w:rFonts w:eastAsia="Guttman Hodes" w:hint="cs"/>
          <w:rtl/>
        </w:rPr>
        <w:t xml:space="preserve">(סי' ק"ג סק"א) </w:t>
      </w:r>
      <w:r>
        <w:rPr>
          <w:rFonts w:hint="cs"/>
          <w:rtl/>
        </w:rPr>
        <w:t xml:space="preserve">כתב דנבילה שאינה ראויה לגר מותרת אף  מדרבנן, ובמ"ש </w:t>
      </w:r>
      <w:r w:rsidRPr="007F0369">
        <w:rPr>
          <w:rStyle w:val="af8"/>
          <w:rFonts w:hint="cs"/>
          <w:rtl/>
        </w:rPr>
        <w:t>המנחת כהן</w:t>
      </w:r>
      <w:r>
        <w:rPr>
          <w:rFonts w:hint="cs"/>
          <w:rtl/>
        </w:rPr>
        <w:t xml:space="preserve"> </w:t>
      </w:r>
      <w:r w:rsidRPr="00F01192">
        <w:rPr>
          <w:rStyle w:val="af6"/>
          <w:rFonts w:eastAsia="Guttman Hodes" w:hint="cs"/>
          <w:rtl/>
        </w:rPr>
        <w:t xml:space="preserve">(עי' אות </w:t>
      </w:r>
      <w:r w:rsidRPr="00F01192">
        <w:rPr>
          <w:rStyle w:val="af6"/>
          <w:rFonts w:eastAsia="Guttman Hodes"/>
          <w:rtl/>
        </w:rPr>
        <w:fldChar w:fldCharType="begin"/>
      </w:r>
      <w:r w:rsidRPr="00F01192">
        <w:rPr>
          <w:rStyle w:val="af6"/>
          <w:rFonts w:eastAsia="Guttman Hodes"/>
          <w:rtl/>
        </w:rPr>
        <w:instrText xml:space="preserve"> </w:instrText>
      </w:r>
      <w:r w:rsidRPr="00F01192">
        <w:rPr>
          <w:rStyle w:val="af6"/>
          <w:rFonts w:eastAsia="Guttman Hodes" w:hint="cs"/>
        </w:rPr>
        <w:instrText>REF</w:instrText>
      </w:r>
      <w:r w:rsidRPr="00F01192">
        <w:rPr>
          <w:rStyle w:val="af6"/>
          <w:rFonts w:eastAsia="Guttman Hodes" w:hint="cs"/>
          <w:rtl/>
        </w:rPr>
        <w:instrText xml:space="preserve"> _</w:instrText>
      </w:r>
      <w:r w:rsidRPr="00F01192">
        <w:rPr>
          <w:rStyle w:val="af6"/>
          <w:rFonts w:eastAsia="Guttman Hodes" w:hint="cs"/>
        </w:rPr>
        <w:instrText>Ref19183876 \r \h</w:instrText>
      </w:r>
      <w:r w:rsidRPr="00F01192">
        <w:rPr>
          <w:rStyle w:val="af6"/>
          <w:rFonts w:eastAsia="Guttman Hodes"/>
          <w:rtl/>
        </w:rPr>
        <w:instrText xml:space="preserve"> </w:instrText>
      </w:r>
      <w:r w:rsidRPr="00F01192">
        <w:rPr>
          <w:rStyle w:val="af6"/>
          <w:rFonts w:eastAsia="Guttman Hodes"/>
          <w:rtl/>
        </w:rPr>
      </w:r>
      <w:r w:rsidRPr="00F01192">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sidRPr="00F01192">
        <w:rPr>
          <w:rStyle w:val="af6"/>
          <w:rFonts w:eastAsia="Guttman Hodes"/>
          <w:rtl/>
        </w:rPr>
        <w:fldChar w:fldCharType="end"/>
      </w:r>
      <w:r>
        <w:rPr>
          <w:rFonts w:hint="cs"/>
          <w:rtl/>
        </w:rPr>
        <w:t xml:space="preserve"> דמשמע מדברי </w:t>
      </w:r>
      <w:r w:rsidRPr="007F0369">
        <w:rPr>
          <w:rStyle w:val="af8"/>
          <w:rFonts w:hint="cs"/>
          <w:rtl/>
        </w:rPr>
        <w:t>הרמב"ם</w:t>
      </w:r>
      <w:r>
        <w:rPr>
          <w:rFonts w:hint="cs"/>
          <w:rtl/>
        </w:rPr>
        <w:t xml:space="preserve"> דאסור מדרבנן, דחה </w:t>
      </w:r>
      <w:r w:rsidRPr="007F0369">
        <w:rPr>
          <w:rStyle w:val="af8"/>
          <w:rFonts w:hint="cs"/>
          <w:rtl/>
        </w:rPr>
        <w:t>הפר"ח</w:t>
      </w:r>
      <w:r>
        <w:rPr>
          <w:rFonts w:hint="cs"/>
          <w:rtl/>
        </w:rPr>
        <w:t xml:space="preserve"> דאין כוונת </w:t>
      </w:r>
      <w:r w:rsidRPr="007F0369">
        <w:rPr>
          <w:rStyle w:val="af8"/>
          <w:rFonts w:hint="cs"/>
          <w:rtl/>
        </w:rPr>
        <w:t>הרמב"ם</w:t>
      </w:r>
      <w:r>
        <w:rPr>
          <w:rFonts w:hint="cs"/>
          <w:rtl/>
        </w:rPr>
        <w:t xml:space="preserve"> לומר דמדרבנן יש איסור נבילה, אף שאינה ראויה לגר, אלא דאסור לאוכלה מדין בל תשקצו, כיון שהוא מאוס, וא"כ כל שהנבילה מעורבת בתערובת שלא מאוס לאוכלו, אין בזה בל תשקצו ומותר אף מדרבנן.</w:t>
      </w:r>
    </w:p>
    <w:p w:rsidR="0013006A" w:rsidRPr="00A37615" w:rsidRDefault="0013006A" w:rsidP="0013006A">
      <w:pPr>
        <w:pStyle w:val="a2"/>
        <w:rPr>
          <w:rtl/>
        </w:rPr>
      </w:pPr>
      <w:bookmarkStart w:id="9686" w:name="_Toc19129521"/>
      <w:bookmarkStart w:id="9687" w:name="_Toc19130077"/>
      <w:bookmarkStart w:id="9688" w:name="_Toc19171022"/>
      <w:bookmarkStart w:id="9689" w:name="_Toc19180878"/>
      <w:r>
        <w:rPr>
          <w:rFonts w:hint="cs"/>
          <w:rtl/>
        </w:rPr>
        <w:t>דברי הפר"ח דאחר שבישל באינה בת יומא ונעשה פגום מותר לאוכלו לכתחילה</w:t>
      </w:r>
      <w:bookmarkEnd w:id="9686"/>
      <w:bookmarkEnd w:id="9687"/>
      <w:bookmarkEnd w:id="9688"/>
      <w:bookmarkEnd w:id="9689"/>
    </w:p>
    <w:p w:rsidR="0013006A" w:rsidRDefault="0013006A" w:rsidP="009F44AF">
      <w:pPr>
        <w:pStyle w:val="a"/>
        <w:rPr>
          <w:rtl/>
        </w:rPr>
      </w:pPr>
      <w:r>
        <w:rPr>
          <w:rFonts w:hint="cs"/>
          <w:rtl/>
        </w:rPr>
        <w:t xml:space="preserve">ובמ"ש </w:t>
      </w:r>
      <w:r w:rsidRPr="007F0369">
        <w:rPr>
          <w:rStyle w:val="af8"/>
          <w:rFonts w:hint="cs"/>
          <w:rtl/>
        </w:rPr>
        <w:t>המנחת כהן</w:t>
      </w:r>
      <w:r>
        <w:rPr>
          <w:rFonts w:hint="cs"/>
          <w:rtl/>
        </w:rPr>
        <w:t xml:space="preserve"> </w:t>
      </w:r>
      <w:r w:rsidRPr="00AE5F87">
        <w:rPr>
          <w:rStyle w:val="af6"/>
          <w:rFonts w:eastAsia="Guttman Hodes" w:hint="cs"/>
          <w:rtl/>
        </w:rPr>
        <w:t xml:space="preserve">(עי' אות </w:t>
      </w:r>
      <w:r w:rsidRPr="00AE5F87">
        <w:rPr>
          <w:rStyle w:val="af6"/>
          <w:rFonts w:eastAsia="Guttman Hodes"/>
          <w:rtl/>
        </w:rPr>
        <w:fldChar w:fldCharType="begin"/>
      </w:r>
      <w:r w:rsidRPr="00AE5F87">
        <w:rPr>
          <w:rStyle w:val="af6"/>
          <w:rFonts w:eastAsia="Guttman Hodes"/>
          <w:rtl/>
        </w:rPr>
        <w:instrText xml:space="preserve"> </w:instrText>
      </w:r>
      <w:r w:rsidRPr="00AE5F87">
        <w:rPr>
          <w:rStyle w:val="af6"/>
          <w:rFonts w:eastAsia="Guttman Hodes" w:hint="cs"/>
        </w:rPr>
        <w:instrText>REF</w:instrText>
      </w:r>
      <w:r w:rsidRPr="00AE5F87">
        <w:rPr>
          <w:rStyle w:val="af6"/>
          <w:rFonts w:eastAsia="Guttman Hodes" w:hint="cs"/>
          <w:rtl/>
        </w:rPr>
        <w:instrText xml:space="preserve"> _</w:instrText>
      </w:r>
      <w:r w:rsidRPr="00AE5F87">
        <w:rPr>
          <w:rStyle w:val="af6"/>
          <w:rFonts w:eastAsia="Guttman Hodes" w:hint="cs"/>
        </w:rPr>
        <w:instrText>Ref18923340 \r \h</w:instrText>
      </w:r>
      <w:r w:rsidRPr="00AE5F87">
        <w:rPr>
          <w:rStyle w:val="af6"/>
          <w:rFonts w:eastAsia="Guttman Hodes"/>
          <w:rtl/>
        </w:rPr>
        <w:instrText xml:space="preserve"> </w:instrText>
      </w:r>
      <w:r w:rsidRPr="00AE5F87">
        <w:rPr>
          <w:rStyle w:val="af6"/>
          <w:rFonts w:eastAsia="Guttman Hodes"/>
          <w:rtl/>
        </w:rPr>
      </w:r>
      <w:r w:rsidRPr="00AE5F87">
        <w:rPr>
          <w:rStyle w:val="af6"/>
          <w:rFonts w:eastAsia="Guttman Hodes"/>
          <w:rtl/>
        </w:rPr>
        <w:fldChar w:fldCharType="separate"/>
      </w:r>
      <w:r w:rsidR="004D1C5B">
        <w:rPr>
          <w:rStyle w:val="af6"/>
          <w:rFonts w:eastAsia="Guttman Hodes"/>
          <w:cs/>
        </w:rPr>
        <w:t>‎</w:t>
      </w:r>
      <w:r w:rsidR="004D1C5B">
        <w:rPr>
          <w:rStyle w:val="af6"/>
          <w:rFonts w:eastAsia="Guttman Hodes"/>
          <w:rtl/>
        </w:rPr>
        <w:t>מ)</w:t>
      </w:r>
      <w:r w:rsidRPr="00AE5F87">
        <w:rPr>
          <w:rStyle w:val="af6"/>
          <w:rFonts w:eastAsia="Guttman Hodes"/>
          <w:rtl/>
        </w:rPr>
        <w:fldChar w:fldCharType="end"/>
      </w:r>
      <w:r>
        <w:rPr>
          <w:rFonts w:hint="cs"/>
          <w:rtl/>
        </w:rPr>
        <w:t xml:space="preserve"> דכן מוכח מהא דבנותן טעם לפגם אסור לכתחילה ומותר בדיעבד, דחה </w:t>
      </w:r>
      <w:r w:rsidRPr="007F0369">
        <w:rPr>
          <w:rStyle w:val="af8"/>
          <w:rFonts w:hint="cs"/>
          <w:rtl/>
        </w:rPr>
        <w:t>הפר"ח</w:t>
      </w:r>
      <w:r>
        <w:rPr>
          <w:rFonts w:hint="cs"/>
          <w:rtl/>
        </w:rPr>
        <w:t xml:space="preserve"> דבנותן טעם לפגם אסור רק לבשל בקדירה שאינה בת יומא לכתחילה, אבל אם עבר ובישל מותר לאכול אף לכתחילה, ועוד דחה </w:t>
      </w:r>
      <w:r w:rsidRPr="007F0369">
        <w:rPr>
          <w:rStyle w:val="af8"/>
          <w:rFonts w:hint="cs"/>
          <w:rtl/>
        </w:rPr>
        <w:t>הפר"ח</w:t>
      </w:r>
      <w:r>
        <w:rPr>
          <w:rFonts w:hint="cs"/>
          <w:rtl/>
        </w:rPr>
        <w:t xml:space="preserve"> דבנותן טעם לפגם בפגום קצת שייך לומר דהחמירו רבנן שלא לאוכלו כיון שהוא ראוי לאכילה, אבל בנבילה שאינה ראויה לגר דהוא כעפרא בעלמא, אפש"ל דמותר אף לכתחילה, ועי' במה שדחה </w:t>
      </w:r>
      <w:r w:rsidRPr="0050146A">
        <w:rPr>
          <w:rStyle w:val="af8"/>
          <w:rFonts w:hint="cs"/>
          <w:rtl/>
        </w:rPr>
        <w:t>הפרי תאר</w:t>
      </w:r>
      <w:r w:rsidRPr="0050146A">
        <w:rPr>
          <w:rFonts w:hint="cs"/>
          <w:rtl/>
        </w:rPr>
        <w:t xml:space="preserve"> [</w:t>
      </w:r>
      <w:r w:rsidRPr="0050146A">
        <w:rPr>
          <w:rStyle w:val="af8"/>
          <w:rFonts w:hint="cs"/>
          <w:rtl/>
        </w:rPr>
        <w:t>לבעל האוה"ח</w:t>
      </w:r>
      <w:r w:rsidRPr="0050146A">
        <w:rPr>
          <w:rFonts w:hint="cs"/>
          <w:rtl/>
        </w:rPr>
        <w:t xml:space="preserve">] </w:t>
      </w:r>
      <w:r w:rsidRPr="0050146A">
        <w:rPr>
          <w:rStyle w:val="af6"/>
          <w:rFonts w:eastAsia="Guttman Hodes" w:hint="cs"/>
          <w:rtl/>
        </w:rPr>
        <w:t>(סי'</w:t>
      </w:r>
      <w:r>
        <w:rPr>
          <w:rStyle w:val="af6"/>
          <w:rFonts w:eastAsia="Guttman Hodes" w:hint="cs"/>
          <w:rtl/>
        </w:rPr>
        <w:t xml:space="preserve"> ק"ג סק"ב)</w:t>
      </w:r>
      <w:r>
        <w:rPr>
          <w:rFonts w:hint="cs"/>
          <w:rtl/>
        </w:rPr>
        <w:t xml:space="preserve"> את דברי </w:t>
      </w:r>
      <w:r w:rsidRPr="00833359">
        <w:rPr>
          <w:rStyle w:val="af8"/>
          <w:rFonts w:hint="cs"/>
          <w:rtl/>
        </w:rPr>
        <w:t>הפר"ח</w:t>
      </w:r>
      <w:r>
        <w:rPr>
          <w:rFonts w:hint="cs"/>
          <w:rtl/>
        </w:rPr>
        <w:t>.</w:t>
      </w:r>
    </w:p>
    <w:p w:rsidR="0013006A" w:rsidRPr="0081356D" w:rsidRDefault="0013006A" w:rsidP="00E669F8">
      <w:pPr>
        <w:pStyle w:val="afd"/>
        <w:rPr>
          <w:rtl/>
        </w:rPr>
      </w:pPr>
      <w:bookmarkStart w:id="9690" w:name="_Toc18874381"/>
      <w:bookmarkStart w:id="9691" w:name="_Toc18946798"/>
      <w:bookmarkStart w:id="9692" w:name="_Toc19026261"/>
      <w:bookmarkStart w:id="9693" w:name="_Toc19029738"/>
      <w:bookmarkStart w:id="9694" w:name="_Toc19030122"/>
      <w:bookmarkStart w:id="9695" w:name="_Toc19082183"/>
      <w:bookmarkStart w:id="9696" w:name="_Toc19129504"/>
      <w:bookmarkStart w:id="9697" w:name="_Toc19130060"/>
      <w:bookmarkStart w:id="9698" w:name="_Toc19171023"/>
      <w:bookmarkStart w:id="9699" w:name="_Toc19180879"/>
      <w:r w:rsidRPr="0081356D">
        <w:rPr>
          <w:rFonts w:hint="cs"/>
          <w:rtl/>
        </w:rPr>
        <w:t>בדין נותן טעם לא לשבח ולא לפגם</w:t>
      </w:r>
      <w:bookmarkEnd w:id="9690"/>
      <w:bookmarkEnd w:id="9691"/>
      <w:bookmarkEnd w:id="9692"/>
      <w:bookmarkEnd w:id="9693"/>
      <w:bookmarkEnd w:id="9694"/>
      <w:bookmarkEnd w:id="9695"/>
      <w:bookmarkEnd w:id="9696"/>
      <w:bookmarkEnd w:id="9697"/>
      <w:bookmarkEnd w:id="9698"/>
      <w:bookmarkEnd w:id="9699"/>
    </w:p>
    <w:p w:rsidR="0013006A" w:rsidRDefault="0013006A" w:rsidP="0013006A">
      <w:pPr>
        <w:pStyle w:val="1"/>
        <w:rPr>
          <w:rtl/>
        </w:rPr>
      </w:pPr>
      <w:bookmarkStart w:id="9700" w:name="_Toc19171024"/>
      <w:bookmarkStart w:id="9701" w:name="_Toc19180880"/>
      <w:r>
        <w:rPr>
          <w:rFonts w:hint="cs"/>
          <w:rtl/>
        </w:rPr>
        <w:t>דעת האו"ז וההג' אשר"י דטעם שאינו לשבח ולפגם אסור</w:t>
      </w:r>
      <w:bookmarkEnd w:id="9700"/>
      <w:bookmarkEnd w:id="9701"/>
    </w:p>
    <w:p w:rsidR="0013006A" w:rsidRPr="008D5016" w:rsidRDefault="0013006A" w:rsidP="0013006A">
      <w:pPr>
        <w:pStyle w:val="a2"/>
        <w:rPr>
          <w:rtl/>
        </w:rPr>
      </w:pPr>
      <w:bookmarkStart w:id="9702" w:name="_Toc19171025"/>
      <w:bookmarkStart w:id="9703" w:name="_Toc19180881"/>
      <w:r>
        <w:rPr>
          <w:rFonts w:hint="cs"/>
          <w:rtl/>
        </w:rPr>
        <w:t>דברי האו"ז וההג' אשר"י דדבר שאינו נותן טעם לא לשבח ולא לפגם אסור</w:t>
      </w:r>
      <w:bookmarkEnd w:id="9702"/>
      <w:bookmarkEnd w:id="9703"/>
    </w:p>
    <w:p w:rsidR="0013006A" w:rsidRDefault="0013006A" w:rsidP="009F44AF">
      <w:pPr>
        <w:pStyle w:val="a"/>
        <w:rPr>
          <w:rtl/>
        </w:rPr>
      </w:pPr>
      <w:bookmarkStart w:id="9704" w:name="_Ref19136562"/>
      <w:r>
        <w:rPr>
          <w:rFonts w:hint="cs"/>
          <w:rtl/>
        </w:rPr>
        <w:t xml:space="preserve">הביא </w:t>
      </w:r>
      <w:r w:rsidRPr="004153DD">
        <w:rPr>
          <w:rStyle w:val="af8"/>
          <w:rFonts w:hint="cs"/>
          <w:rtl/>
        </w:rPr>
        <w:t>הב"י</w:t>
      </w:r>
      <w:r>
        <w:rPr>
          <w:rFonts w:hint="cs"/>
          <w:rtl/>
        </w:rPr>
        <w:t xml:space="preserve"> </w:t>
      </w:r>
      <w:r w:rsidRPr="004F4BF7">
        <w:rPr>
          <w:rStyle w:val="af6"/>
          <w:rFonts w:eastAsia="Guttman Hodes" w:hint="cs"/>
          <w:rtl/>
        </w:rPr>
        <w:t xml:space="preserve">(סי' ק"ג ד') </w:t>
      </w:r>
      <w:r>
        <w:rPr>
          <w:rFonts w:hint="cs"/>
          <w:rtl/>
        </w:rPr>
        <w:t xml:space="preserve">את דברי </w:t>
      </w:r>
      <w:r w:rsidRPr="004153DD">
        <w:rPr>
          <w:rStyle w:val="af8"/>
          <w:rFonts w:hint="cs"/>
          <w:rtl/>
        </w:rPr>
        <w:t>האו"ז</w:t>
      </w:r>
      <w:r>
        <w:rPr>
          <w:rFonts w:hint="cs"/>
          <w:rtl/>
        </w:rPr>
        <w:t xml:space="preserve"> </w:t>
      </w:r>
      <w:r w:rsidRPr="004F4BF7">
        <w:rPr>
          <w:rStyle w:val="af6"/>
          <w:rFonts w:eastAsia="Guttman Hodes" w:hint="cs"/>
          <w:rtl/>
        </w:rPr>
        <w:t xml:space="preserve">(סי' רנ"ח) </w:t>
      </w:r>
      <w:r w:rsidRPr="004153DD">
        <w:rPr>
          <w:rStyle w:val="af8"/>
          <w:rFonts w:hint="cs"/>
          <w:rtl/>
        </w:rPr>
        <w:t>וההג' אשר"י</w:t>
      </w:r>
      <w:r>
        <w:rPr>
          <w:rFonts w:hint="cs"/>
          <w:rtl/>
        </w:rPr>
        <w:t xml:space="preserve"> </w:t>
      </w:r>
      <w:r w:rsidRPr="004F4BF7">
        <w:rPr>
          <w:rStyle w:val="af6"/>
          <w:rFonts w:eastAsia="Guttman Hodes" w:hint="cs"/>
          <w:rtl/>
        </w:rPr>
        <w:t xml:space="preserve">(על הרא"ש סי' ט') </w:t>
      </w:r>
      <w:r>
        <w:rPr>
          <w:rFonts w:hint="cs"/>
          <w:rtl/>
        </w:rPr>
        <w:t xml:space="preserve">דכתבו דדבר שאינו נותן טעם לא לפגם ולא לשבח אסור, וכתב </w:t>
      </w:r>
      <w:r w:rsidRPr="004153DD">
        <w:rPr>
          <w:rStyle w:val="af8"/>
          <w:rFonts w:hint="cs"/>
          <w:rtl/>
        </w:rPr>
        <w:t>האו"ז</w:t>
      </w:r>
      <w:r>
        <w:rPr>
          <w:rFonts w:hint="cs"/>
          <w:rtl/>
        </w:rPr>
        <w:t xml:space="preserve"> דכן מפורש בירושלמי ב</w:t>
      </w:r>
      <w:r>
        <w:rPr>
          <w:rtl/>
        </w:rPr>
        <w:t xml:space="preserve">תרומות </w:t>
      </w:r>
      <w:r w:rsidRPr="007A31B9">
        <w:rPr>
          <w:rStyle w:val="af6"/>
          <w:rFonts w:eastAsia="Guttman Hodes" w:hint="cs"/>
          <w:rtl/>
        </w:rPr>
        <w:t>(</w:t>
      </w:r>
      <w:r w:rsidRPr="007A31B9">
        <w:rPr>
          <w:rStyle w:val="af6"/>
          <w:rFonts w:eastAsia="Guttman Hodes"/>
          <w:rtl/>
        </w:rPr>
        <w:t>פ</w:t>
      </w:r>
      <w:r w:rsidRPr="007A31B9">
        <w:rPr>
          <w:rStyle w:val="af6"/>
          <w:rFonts w:eastAsia="Guttman Hodes" w:hint="cs"/>
          <w:rtl/>
        </w:rPr>
        <w:t>"</w:t>
      </w:r>
      <w:r w:rsidRPr="007A31B9">
        <w:rPr>
          <w:rStyle w:val="af6"/>
          <w:rFonts w:eastAsia="Guttman Hodes"/>
          <w:rtl/>
        </w:rPr>
        <w:t>י ה</w:t>
      </w:r>
      <w:r w:rsidRPr="007A31B9">
        <w:rPr>
          <w:rStyle w:val="af6"/>
          <w:rFonts w:eastAsia="Guttman Hodes" w:hint="cs"/>
          <w:rtl/>
        </w:rPr>
        <w:t>"</w:t>
      </w:r>
      <w:r w:rsidRPr="007A31B9">
        <w:rPr>
          <w:rStyle w:val="af6"/>
          <w:rFonts w:eastAsia="Guttman Hodes"/>
          <w:rtl/>
        </w:rPr>
        <w:t>ד</w:t>
      </w:r>
      <w:r w:rsidRPr="007A31B9">
        <w:rPr>
          <w:rStyle w:val="af6"/>
          <w:rFonts w:eastAsia="Guttman Hodes" w:hint="cs"/>
          <w:rtl/>
        </w:rPr>
        <w:t xml:space="preserve">, </w:t>
      </w:r>
      <w:r w:rsidRPr="007A31B9">
        <w:rPr>
          <w:rStyle w:val="af6"/>
          <w:rFonts w:eastAsia="Guttman Hodes"/>
          <w:rtl/>
        </w:rPr>
        <w:t>נב</w:t>
      </w:r>
      <w:r w:rsidRPr="007A31B9">
        <w:rPr>
          <w:rStyle w:val="af6"/>
          <w:rFonts w:eastAsia="Guttman Hodes" w:hint="cs"/>
          <w:rtl/>
        </w:rPr>
        <w:t>:)</w:t>
      </w:r>
      <w:r>
        <w:rPr>
          <w:rFonts w:hint="cs"/>
          <w:rtl/>
        </w:rPr>
        <w:t xml:space="preserve"> דדבר שאינו נותן טעם לא לשבח ולא לפגם אסור.</w:t>
      </w:r>
      <w:bookmarkEnd w:id="9704"/>
    </w:p>
    <w:p w:rsidR="0013006A" w:rsidRPr="00A37615" w:rsidRDefault="0013006A" w:rsidP="0013006A">
      <w:pPr>
        <w:pStyle w:val="a2"/>
        <w:rPr>
          <w:rtl/>
        </w:rPr>
      </w:pPr>
      <w:bookmarkStart w:id="9705" w:name="_Toc19171026"/>
      <w:bookmarkStart w:id="9706" w:name="_Toc19180882"/>
      <w:r>
        <w:rPr>
          <w:rFonts w:hint="cs"/>
          <w:rtl/>
        </w:rPr>
        <w:t>דברי הש"ך דכן מוכח מאיסור גיד הנשה שהוא כעץ ואסור אף שאינו נותן טעם</w:t>
      </w:r>
      <w:bookmarkEnd w:id="9705"/>
      <w:bookmarkEnd w:id="9706"/>
    </w:p>
    <w:p w:rsidR="0013006A" w:rsidRDefault="0013006A" w:rsidP="009F44AF">
      <w:pPr>
        <w:pStyle w:val="a"/>
        <w:rPr>
          <w:rtl/>
        </w:rPr>
      </w:pPr>
      <w:r>
        <w:rPr>
          <w:rFonts w:hint="cs"/>
          <w:rtl/>
        </w:rPr>
        <w:t xml:space="preserve">וכתב </w:t>
      </w:r>
      <w:r w:rsidRPr="004153DD">
        <w:rPr>
          <w:rStyle w:val="af8"/>
          <w:rFonts w:hint="cs"/>
          <w:rtl/>
        </w:rPr>
        <w:t>הש"ך</w:t>
      </w:r>
      <w:r>
        <w:rPr>
          <w:rFonts w:hint="cs"/>
          <w:rtl/>
        </w:rPr>
        <w:t xml:space="preserve"> </w:t>
      </w:r>
      <w:r w:rsidRPr="007A31B9">
        <w:rPr>
          <w:rStyle w:val="af6"/>
          <w:rFonts w:eastAsia="Guttman Hodes" w:hint="cs"/>
          <w:rtl/>
        </w:rPr>
        <w:t>(סי' ק"ג סק"ב)</w:t>
      </w:r>
      <w:r>
        <w:rPr>
          <w:rFonts w:hint="cs"/>
          <w:rtl/>
        </w:rPr>
        <w:t xml:space="preserve"> וכתב </w:t>
      </w:r>
      <w:r w:rsidRPr="004153DD">
        <w:rPr>
          <w:rStyle w:val="af8"/>
          <w:rFonts w:hint="cs"/>
          <w:rtl/>
        </w:rPr>
        <w:t>הש"ך</w:t>
      </w:r>
      <w:r>
        <w:rPr>
          <w:rFonts w:hint="cs"/>
          <w:rtl/>
        </w:rPr>
        <w:t xml:space="preserve"> דכן מוכח מהא דאיתא בגמ' בחולין </w:t>
      </w:r>
      <w:r w:rsidRPr="007A31B9">
        <w:rPr>
          <w:rStyle w:val="af6"/>
          <w:rFonts w:eastAsia="Guttman Hodes" w:hint="cs"/>
          <w:rtl/>
        </w:rPr>
        <w:t>(צט:)</w:t>
      </w:r>
      <w:r>
        <w:rPr>
          <w:rFonts w:hint="cs"/>
          <w:rtl/>
        </w:rPr>
        <w:t xml:space="preserve"> דאף דאין בגידין בנותן טעם, מ"מ כשגוף גיד הנשה נימוח בתבשיל צריך שישים כנגדו, וביאר הש"ך דאף שהוא כעץ בעלמא, מ"מ כיון שאסרתו תורה ואינו פוגם אוסר, אף שאינו נותן טעם, וה"ה לכל איסור שאינו נותן טעם שצריך שישים כנגדו, וכתב </w:t>
      </w:r>
      <w:r w:rsidRPr="004153DD">
        <w:rPr>
          <w:rStyle w:val="af8"/>
          <w:rFonts w:hint="cs"/>
          <w:rtl/>
        </w:rPr>
        <w:t>הש"ך</w:t>
      </w:r>
      <w:r>
        <w:rPr>
          <w:rFonts w:hint="cs"/>
          <w:rtl/>
        </w:rPr>
        <w:t xml:space="preserve"> דכן מוכח</w:t>
      </w:r>
      <w:r w:rsidRPr="00855BE4">
        <w:rPr>
          <w:rFonts w:hint="cs"/>
          <w:rtl/>
        </w:rPr>
        <w:t xml:space="preserve"> </w:t>
      </w:r>
      <w:r>
        <w:rPr>
          <w:rFonts w:hint="cs"/>
          <w:rtl/>
        </w:rPr>
        <w:t>בירושלמי ב</w:t>
      </w:r>
      <w:r>
        <w:rPr>
          <w:rtl/>
        </w:rPr>
        <w:t xml:space="preserve">תרומות </w:t>
      </w:r>
      <w:r w:rsidRPr="007A31B9">
        <w:rPr>
          <w:rStyle w:val="af6"/>
          <w:rFonts w:eastAsia="Guttman Hodes" w:hint="cs"/>
          <w:rtl/>
        </w:rPr>
        <w:t>(</w:t>
      </w:r>
      <w:r w:rsidRPr="007A31B9">
        <w:rPr>
          <w:rStyle w:val="af6"/>
          <w:rFonts w:eastAsia="Guttman Hodes"/>
          <w:rtl/>
        </w:rPr>
        <w:t>פ</w:t>
      </w:r>
      <w:r w:rsidRPr="007A31B9">
        <w:rPr>
          <w:rStyle w:val="af6"/>
          <w:rFonts w:eastAsia="Guttman Hodes" w:hint="cs"/>
          <w:rtl/>
        </w:rPr>
        <w:t>"</w:t>
      </w:r>
      <w:r w:rsidRPr="007A31B9">
        <w:rPr>
          <w:rStyle w:val="af6"/>
          <w:rFonts w:eastAsia="Guttman Hodes"/>
          <w:rtl/>
        </w:rPr>
        <w:t>י ה</w:t>
      </w:r>
      <w:r w:rsidRPr="007A31B9">
        <w:rPr>
          <w:rStyle w:val="af6"/>
          <w:rFonts w:eastAsia="Guttman Hodes" w:hint="cs"/>
          <w:rtl/>
        </w:rPr>
        <w:t>"</w:t>
      </w:r>
      <w:r w:rsidRPr="007A31B9">
        <w:rPr>
          <w:rStyle w:val="af6"/>
          <w:rFonts w:eastAsia="Guttman Hodes"/>
          <w:rtl/>
        </w:rPr>
        <w:t>ד</w:t>
      </w:r>
      <w:r w:rsidRPr="007A31B9">
        <w:rPr>
          <w:rStyle w:val="af6"/>
          <w:rFonts w:eastAsia="Guttman Hodes" w:hint="cs"/>
          <w:rtl/>
        </w:rPr>
        <w:t xml:space="preserve">, </w:t>
      </w:r>
      <w:r w:rsidRPr="007A31B9">
        <w:rPr>
          <w:rStyle w:val="af6"/>
          <w:rFonts w:eastAsia="Guttman Hodes"/>
          <w:rtl/>
        </w:rPr>
        <w:t>נב</w:t>
      </w:r>
      <w:r w:rsidRPr="007A31B9">
        <w:rPr>
          <w:rStyle w:val="af6"/>
          <w:rFonts w:eastAsia="Guttman Hodes" w:hint="cs"/>
          <w:rtl/>
        </w:rPr>
        <w:t>:)</w:t>
      </w:r>
      <w:r w:rsidRPr="00855BE4">
        <w:rPr>
          <w:rFonts w:hint="cs"/>
          <w:rtl/>
        </w:rPr>
        <w:t xml:space="preserve"> </w:t>
      </w:r>
      <w:r>
        <w:rPr>
          <w:rFonts w:hint="cs"/>
          <w:rtl/>
        </w:rPr>
        <w:t xml:space="preserve">, ועי' </w:t>
      </w:r>
      <w:r w:rsidRPr="0066292E">
        <w:rPr>
          <w:rStyle w:val="af8"/>
          <w:rFonts w:hint="cs"/>
          <w:rtl/>
        </w:rPr>
        <w:t xml:space="preserve">במנחת כהן </w:t>
      </w:r>
      <w:r w:rsidRPr="0066292E">
        <w:rPr>
          <w:rStyle w:val="af6"/>
          <w:rFonts w:eastAsia="Guttman Hodes" w:hint="cs"/>
          <w:rtl/>
        </w:rPr>
        <w:t>(ס' התערובות ח"א פ"י ד"ה ואמנם הראיה השנית)</w:t>
      </w:r>
      <w:r>
        <w:rPr>
          <w:rFonts w:hint="cs"/>
          <w:rtl/>
        </w:rPr>
        <w:t xml:space="preserve"> </w:t>
      </w:r>
      <w:r w:rsidRPr="0066292E">
        <w:rPr>
          <w:rStyle w:val="af8"/>
          <w:rFonts w:hint="cs"/>
          <w:rtl/>
        </w:rPr>
        <w:t>וב</w:t>
      </w:r>
      <w:r w:rsidR="00250230">
        <w:rPr>
          <w:rStyle w:val="af8"/>
          <w:rFonts w:hint="cs"/>
          <w:rtl/>
        </w:rPr>
        <w:t>פלתי</w:t>
      </w:r>
      <w:r>
        <w:rPr>
          <w:rFonts w:hint="cs"/>
          <w:rtl/>
        </w:rPr>
        <w:t xml:space="preserve"> </w:t>
      </w:r>
      <w:r w:rsidRPr="0066292E">
        <w:rPr>
          <w:rStyle w:val="af6"/>
          <w:rFonts w:eastAsia="Guttman Hodes" w:hint="cs"/>
          <w:rtl/>
        </w:rPr>
        <w:t>(סי' ק"ג סק"ב)</w:t>
      </w:r>
      <w:r>
        <w:rPr>
          <w:rFonts w:hint="cs"/>
          <w:rtl/>
        </w:rPr>
        <w:t xml:space="preserve"> במה שדחו את הראיה מהירושלמי.</w:t>
      </w:r>
    </w:p>
    <w:p w:rsidR="0013006A" w:rsidRPr="00A37615" w:rsidRDefault="0013006A" w:rsidP="0013006A">
      <w:pPr>
        <w:pStyle w:val="a2"/>
        <w:rPr>
          <w:rtl/>
        </w:rPr>
      </w:pPr>
      <w:bookmarkStart w:id="9707" w:name="_Toc19171027"/>
      <w:bookmarkStart w:id="9708" w:name="_Toc19180883"/>
      <w:r>
        <w:rPr>
          <w:rFonts w:hint="cs"/>
          <w:rtl/>
        </w:rPr>
        <w:t>קושית המנחת כהן דאיסור שהוא כעץ פקע איסורו ואינו אוסר בטעם אף מדרבנן</w:t>
      </w:r>
      <w:bookmarkEnd w:id="9707"/>
      <w:bookmarkEnd w:id="9708"/>
    </w:p>
    <w:p w:rsidR="0013006A" w:rsidRPr="00A7453E" w:rsidRDefault="0013006A" w:rsidP="009F44AF">
      <w:pPr>
        <w:pStyle w:val="a"/>
        <w:rPr>
          <w:rStyle w:val="afa"/>
        </w:rPr>
      </w:pPr>
      <w:r>
        <w:rPr>
          <w:rFonts w:hint="cs"/>
          <w:rtl/>
        </w:rPr>
        <w:t xml:space="preserve">והקשה </w:t>
      </w:r>
      <w:r w:rsidRPr="004153DD">
        <w:rPr>
          <w:rStyle w:val="af8"/>
          <w:rFonts w:hint="cs"/>
          <w:rtl/>
        </w:rPr>
        <w:t>המנחת כהן</w:t>
      </w:r>
      <w:r>
        <w:rPr>
          <w:rFonts w:hint="cs"/>
          <w:rtl/>
        </w:rPr>
        <w:t xml:space="preserve"> </w:t>
      </w:r>
      <w:r w:rsidRPr="007A31B9">
        <w:rPr>
          <w:rStyle w:val="af6"/>
          <w:rFonts w:eastAsia="Guttman Hodes" w:hint="cs"/>
          <w:rtl/>
        </w:rPr>
        <w:t>(ס' התערובות ח"א פ"י ד"ה והנה קשה)</w:t>
      </w:r>
      <w:r>
        <w:rPr>
          <w:rFonts w:hint="cs"/>
          <w:rtl/>
        </w:rPr>
        <w:t xml:space="preserve"> על </w:t>
      </w:r>
      <w:r w:rsidRPr="004153DD">
        <w:rPr>
          <w:rStyle w:val="af8"/>
          <w:rFonts w:hint="cs"/>
          <w:rtl/>
        </w:rPr>
        <w:t>הש"ך</w:t>
      </w:r>
      <w:r>
        <w:rPr>
          <w:rFonts w:hint="cs"/>
          <w:rtl/>
        </w:rPr>
        <w:t xml:space="preserve"> דאי איירי באיסור יבש כעץ, א"כ פקע האיסור ממנו והיאך אוסר בשישים, ואף אי נימא דמ"מ אסור מדרבנן, מ"מ בתערובת אינו אוסר אף מדרבנן כיון שאינו נותן טעם. </w:t>
      </w:r>
      <w:r w:rsidRPr="00A7453E">
        <w:rPr>
          <w:rStyle w:val="afa"/>
          <w:rFonts w:hint="cs"/>
          <w:rtl/>
        </w:rPr>
        <w:t xml:space="preserve">[כדכתב </w:t>
      </w:r>
      <w:r w:rsidRPr="007A31B9">
        <w:rPr>
          <w:rStyle w:val="affa"/>
          <w:rFonts w:hint="cs"/>
          <w:rtl/>
        </w:rPr>
        <w:t>המנחת כהן</w:t>
      </w:r>
      <w:r w:rsidRPr="00A7453E">
        <w:rPr>
          <w:rStyle w:val="afa"/>
          <w:rFonts w:hint="cs"/>
          <w:rtl/>
        </w:rPr>
        <w:t xml:space="preserve"> </w:t>
      </w:r>
      <w:r w:rsidRPr="007A31B9">
        <w:rPr>
          <w:rStyle w:val="aff6"/>
          <w:rFonts w:hint="cs"/>
          <w:rtl/>
        </w:rPr>
        <w:t xml:space="preserve">(עי' אות </w:t>
      </w:r>
      <w:r w:rsidRPr="007A31B9">
        <w:rPr>
          <w:rStyle w:val="aff6"/>
          <w:rtl/>
        </w:rPr>
        <w:fldChar w:fldCharType="begin"/>
      </w:r>
      <w:r w:rsidRPr="007A31B9">
        <w:rPr>
          <w:rStyle w:val="aff6"/>
          <w:rtl/>
        </w:rPr>
        <w:instrText xml:space="preserve"> </w:instrText>
      </w:r>
      <w:r w:rsidRPr="007A31B9">
        <w:rPr>
          <w:rStyle w:val="aff6"/>
          <w:rFonts w:hint="cs"/>
        </w:rPr>
        <w:instrText>REF</w:instrText>
      </w:r>
      <w:r w:rsidRPr="007A31B9">
        <w:rPr>
          <w:rStyle w:val="aff6"/>
          <w:rFonts w:hint="cs"/>
          <w:rtl/>
        </w:rPr>
        <w:instrText xml:space="preserve"> _</w:instrText>
      </w:r>
      <w:r w:rsidRPr="007A31B9">
        <w:rPr>
          <w:rStyle w:val="aff6"/>
          <w:rFonts w:hint="cs"/>
        </w:rPr>
        <w:instrText>Ref18923340 \r \h</w:instrText>
      </w:r>
      <w:r w:rsidRPr="007A31B9">
        <w:rPr>
          <w:rStyle w:val="aff6"/>
          <w:rtl/>
        </w:rPr>
        <w:instrText xml:space="preserve"> </w:instrText>
      </w:r>
      <w:r w:rsidRPr="007A31B9">
        <w:rPr>
          <w:rStyle w:val="aff6"/>
          <w:rtl/>
        </w:rPr>
      </w:r>
      <w:r w:rsidRPr="007A31B9">
        <w:rPr>
          <w:rStyle w:val="aff6"/>
          <w:rtl/>
        </w:rPr>
        <w:fldChar w:fldCharType="separate"/>
      </w:r>
      <w:r w:rsidR="004D1C5B">
        <w:rPr>
          <w:rStyle w:val="aff6"/>
          <w:cs/>
        </w:rPr>
        <w:t>‎</w:t>
      </w:r>
      <w:r w:rsidR="004D1C5B">
        <w:rPr>
          <w:rStyle w:val="aff6"/>
          <w:rtl/>
        </w:rPr>
        <w:t>מ)</w:t>
      </w:r>
      <w:r w:rsidRPr="007A31B9">
        <w:rPr>
          <w:rStyle w:val="aff6"/>
          <w:rtl/>
        </w:rPr>
        <w:fldChar w:fldCharType="end"/>
      </w:r>
      <w:r w:rsidRPr="00A7453E">
        <w:rPr>
          <w:rStyle w:val="afa"/>
          <w:rFonts w:hint="cs"/>
          <w:rtl/>
        </w:rPr>
        <w:t>].</w:t>
      </w:r>
    </w:p>
    <w:p w:rsidR="0013006A" w:rsidRPr="00A37615" w:rsidRDefault="0013006A" w:rsidP="0013006A">
      <w:pPr>
        <w:pStyle w:val="a2"/>
        <w:rPr>
          <w:rtl/>
        </w:rPr>
      </w:pPr>
      <w:bookmarkStart w:id="9709" w:name="_Toc19171028"/>
      <w:bookmarkStart w:id="9710" w:name="_Toc19180884"/>
      <w:r>
        <w:rPr>
          <w:rFonts w:hint="cs"/>
          <w:rtl/>
        </w:rPr>
        <w:t>קושית המנחת כהן והפר"ח דרק בגיד הנשה חייבה תורה בלא טעם ולא בשאר איסורים</w:t>
      </w:r>
      <w:bookmarkEnd w:id="9709"/>
      <w:bookmarkEnd w:id="9710"/>
    </w:p>
    <w:p w:rsidR="0013006A" w:rsidRDefault="0013006A" w:rsidP="009F44AF">
      <w:pPr>
        <w:pStyle w:val="a"/>
        <w:rPr>
          <w:rtl/>
        </w:rPr>
      </w:pPr>
      <w:r>
        <w:rPr>
          <w:rFonts w:hint="cs"/>
          <w:rtl/>
        </w:rPr>
        <w:t xml:space="preserve">ובמה שהביא </w:t>
      </w:r>
      <w:r w:rsidRPr="004153DD">
        <w:rPr>
          <w:rStyle w:val="af8"/>
          <w:rFonts w:hint="cs"/>
          <w:rtl/>
        </w:rPr>
        <w:t xml:space="preserve">הש"ך </w:t>
      </w:r>
      <w:r>
        <w:rPr>
          <w:rFonts w:hint="cs"/>
          <w:rtl/>
        </w:rPr>
        <w:t>ראיה מגיד הנשה, דחו</w:t>
      </w:r>
      <w:r w:rsidRPr="00201479">
        <w:rPr>
          <w:rFonts w:hint="cs"/>
          <w:rtl/>
        </w:rPr>
        <w:t xml:space="preserve"> </w:t>
      </w:r>
      <w:r w:rsidRPr="004153DD">
        <w:rPr>
          <w:rStyle w:val="af8"/>
          <w:rFonts w:hint="cs"/>
          <w:rtl/>
        </w:rPr>
        <w:t>המנחת כהן</w:t>
      </w:r>
      <w:r w:rsidRPr="007A31B9">
        <w:rPr>
          <w:rStyle w:val="af6"/>
          <w:rFonts w:eastAsia="Guttman Hodes" w:hint="cs"/>
          <w:rtl/>
        </w:rPr>
        <w:t xml:space="preserve"> (ס' התערובות ח"א פ"י ד"ה ואמנם הראיה</w:t>
      </w:r>
      <w:r>
        <w:rPr>
          <w:rStyle w:val="af6"/>
          <w:rFonts w:eastAsia="Guttman Hodes" w:hint="cs"/>
          <w:rtl/>
        </w:rPr>
        <w:t xml:space="preserve"> שהביא</w:t>
      </w:r>
      <w:r w:rsidRPr="007A31B9">
        <w:rPr>
          <w:rStyle w:val="af6"/>
          <w:rFonts w:eastAsia="Guttman Hodes" w:hint="cs"/>
          <w:rtl/>
        </w:rPr>
        <w:t>)</w:t>
      </w:r>
      <w:r>
        <w:rPr>
          <w:rFonts w:hint="cs"/>
          <w:rtl/>
        </w:rPr>
        <w:t xml:space="preserve"> </w:t>
      </w:r>
      <w:r w:rsidRPr="004153DD">
        <w:rPr>
          <w:rStyle w:val="af8"/>
          <w:rFonts w:hint="cs"/>
          <w:rtl/>
        </w:rPr>
        <w:t xml:space="preserve">והפר"ח </w:t>
      </w:r>
      <w:r w:rsidRPr="007A31B9">
        <w:rPr>
          <w:rStyle w:val="af6"/>
          <w:rFonts w:eastAsia="Guttman Hodes" w:hint="cs"/>
          <w:rtl/>
        </w:rPr>
        <w:t>(סי' ק"ג סק"ב)</w:t>
      </w:r>
      <w:r>
        <w:rPr>
          <w:rFonts w:hint="cs"/>
          <w:rtl/>
        </w:rPr>
        <w:t xml:space="preserve"> </w:t>
      </w:r>
      <w:r w:rsidRPr="00201479">
        <w:rPr>
          <w:rFonts w:hint="cs"/>
          <w:rtl/>
        </w:rPr>
        <w:t xml:space="preserve">דאין כוונת ההג' </w:t>
      </w:r>
      <w:r w:rsidRPr="004153DD">
        <w:rPr>
          <w:rStyle w:val="af8"/>
          <w:rFonts w:hint="cs"/>
          <w:rtl/>
        </w:rPr>
        <w:t xml:space="preserve">אשר"י </w:t>
      </w:r>
      <w:r w:rsidRPr="00935EAA">
        <w:rPr>
          <w:rFonts w:hint="cs"/>
          <w:rtl/>
        </w:rPr>
        <w:t>לדבר שהוא כעץ שאינו מפליט לא טעם ולא ממשות, שכנגדו צריך שישים בכדי לבטל את גוף האיסור, דשאני גיד דאף שהוא כעץ חייבה עליו ה</w:t>
      </w:r>
      <w:r>
        <w:rPr>
          <w:rFonts w:hint="cs"/>
          <w:rtl/>
        </w:rPr>
        <w:t xml:space="preserve">תורה, אבל באיסור שנותן טעם, אם נעשה האיסור כעץ שאינו נותן </w:t>
      </w:r>
      <w:r>
        <w:rPr>
          <w:rFonts w:hint="cs"/>
          <w:rtl/>
        </w:rPr>
        <w:lastRenderedPageBreak/>
        <w:t xml:space="preserve">טעם מותר מדאו' לאוכלו, דהוא כעפר בעלמא, וע"ע במה שהאריכו </w:t>
      </w:r>
      <w:r w:rsidRPr="004153DD">
        <w:rPr>
          <w:rStyle w:val="af8"/>
          <w:rFonts w:hint="cs"/>
          <w:rtl/>
        </w:rPr>
        <w:t xml:space="preserve">המנחת כהן והפר"ח </w:t>
      </w:r>
      <w:r>
        <w:rPr>
          <w:rFonts w:hint="cs"/>
          <w:rtl/>
        </w:rPr>
        <w:t>בזה.</w:t>
      </w:r>
    </w:p>
    <w:p w:rsidR="0013006A" w:rsidRPr="00A37615" w:rsidRDefault="0013006A" w:rsidP="0013006A">
      <w:pPr>
        <w:pStyle w:val="a2"/>
        <w:rPr>
          <w:rtl/>
        </w:rPr>
      </w:pPr>
      <w:bookmarkStart w:id="9711" w:name="_Toc19171029"/>
      <w:bookmarkStart w:id="9712" w:name="_Toc19180885"/>
      <w:r>
        <w:rPr>
          <w:rFonts w:hint="cs"/>
          <w:rtl/>
        </w:rPr>
        <w:t>דברי הפר"ח דהאיסור הוא כשיש טעם המורגש אך אינו משנה את טעם התבשיל</w:t>
      </w:r>
      <w:bookmarkEnd w:id="9711"/>
      <w:bookmarkEnd w:id="9712"/>
    </w:p>
    <w:p w:rsidR="00E03085" w:rsidRDefault="0013006A" w:rsidP="009F44AF">
      <w:pPr>
        <w:pStyle w:val="a"/>
        <w:rPr>
          <w:rtl/>
        </w:rPr>
      </w:pPr>
      <w:r>
        <w:rPr>
          <w:rFonts w:hint="cs"/>
          <w:rtl/>
        </w:rPr>
        <w:t xml:space="preserve">אלא כתב </w:t>
      </w:r>
      <w:r w:rsidRPr="00C11011">
        <w:rPr>
          <w:rStyle w:val="af8"/>
          <w:rFonts w:hint="cs"/>
          <w:rtl/>
        </w:rPr>
        <w:t>הפר"ח</w:t>
      </w:r>
      <w:r>
        <w:rPr>
          <w:rFonts w:hint="cs"/>
          <w:rtl/>
        </w:rPr>
        <w:t xml:space="preserve"> </w:t>
      </w:r>
      <w:r w:rsidRPr="00C11011">
        <w:rPr>
          <w:rStyle w:val="af6"/>
          <w:rFonts w:eastAsia="Guttman Hodes" w:hint="cs"/>
          <w:rtl/>
        </w:rPr>
        <w:t>(סי' ק"ג סק"ב ד"ה ואני אומר)</w:t>
      </w:r>
      <w:r>
        <w:rPr>
          <w:rFonts w:hint="cs"/>
          <w:rtl/>
        </w:rPr>
        <w:t xml:space="preserve"> דאין כוונת </w:t>
      </w:r>
      <w:r w:rsidRPr="00C11011">
        <w:rPr>
          <w:rStyle w:val="af8"/>
          <w:rFonts w:hint="cs"/>
          <w:rtl/>
        </w:rPr>
        <w:t>האו"ז</w:t>
      </w:r>
      <w:r>
        <w:rPr>
          <w:rFonts w:hint="cs"/>
          <w:rtl/>
        </w:rPr>
        <w:t xml:space="preserve"> </w:t>
      </w:r>
      <w:r w:rsidRPr="00C11011">
        <w:rPr>
          <w:rStyle w:val="af8"/>
          <w:rFonts w:hint="cs"/>
          <w:rtl/>
        </w:rPr>
        <w:t>וההג' אשר"י</w:t>
      </w:r>
      <w:r>
        <w:rPr>
          <w:rFonts w:hint="cs"/>
          <w:rtl/>
        </w:rPr>
        <w:t xml:space="preserve"> </w:t>
      </w:r>
      <w:r w:rsidRPr="004C76E0">
        <w:rPr>
          <w:rStyle w:val="af6"/>
          <w:rFonts w:eastAsia="Guttman Hodes" w:hint="cs"/>
          <w:rtl/>
        </w:rPr>
        <w:t xml:space="preserve">(עי' אות </w:t>
      </w:r>
      <w:r w:rsidRPr="004C76E0">
        <w:rPr>
          <w:rStyle w:val="af6"/>
          <w:rFonts w:eastAsia="Guttman Hodes"/>
          <w:rtl/>
        </w:rPr>
        <w:fldChar w:fldCharType="begin"/>
      </w:r>
      <w:r w:rsidRPr="004C76E0">
        <w:rPr>
          <w:rStyle w:val="af6"/>
          <w:rFonts w:eastAsia="Guttman Hodes"/>
          <w:rtl/>
        </w:rPr>
        <w:instrText xml:space="preserve"> </w:instrText>
      </w:r>
      <w:r w:rsidRPr="004C76E0">
        <w:rPr>
          <w:rStyle w:val="af6"/>
          <w:rFonts w:eastAsia="Guttman Hodes" w:hint="cs"/>
        </w:rPr>
        <w:instrText>REF</w:instrText>
      </w:r>
      <w:r w:rsidRPr="004C76E0">
        <w:rPr>
          <w:rStyle w:val="af6"/>
          <w:rFonts w:eastAsia="Guttman Hodes" w:hint="cs"/>
          <w:rtl/>
        </w:rPr>
        <w:instrText xml:space="preserve"> _</w:instrText>
      </w:r>
      <w:r w:rsidRPr="004C76E0">
        <w:rPr>
          <w:rStyle w:val="af6"/>
          <w:rFonts w:eastAsia="Guttman Hodes" w:hint="cs"/>
        </w:rPr>
        <w:instrText>Ref19136562 \r \h</w:instrText>
      </w:r>
      <w:r w:rsidRPr="004C76E0">
        <w:rPr>
          <w:rStyle w:val="af6"/>
          <w:rFonts w:eastAsia="Guttman Hodes"/>
          <w:rtl/>
        </w:rPr>
        <w:instrText xml:space="preserve"> </w:instrText>
      </w:r>
      <w:r w:rsidRPr="004C76E0">
        <w:rPr>
          <w:rStyle w:val="af6"/>
          <w:rFonts w:eastAsia="Guttman Hodes"/>
          <w:rtl/>
        </w:rPr>
      </w:r>
      <w:r w:rsidRPr="004C76E0">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4C76E0">
        <w:rPr>
          <w:rStyle w:val="af6"/>
          <w:rFonts w:eastAsia="Guttman Hodes"/>
          <w:rtl/>
        </w:rPr>
        <w:fldChar w:fldCharType="end"/>
      </w:r>
      <w:r>
        <w:rPr>
          <w:rFonts w:hint="cs"/>
          <w:rtl/>
        </w:rPr>
        <w:t xml:space="preserve"> לומר דאיסור שאינו נותן טעם כלל, אוסר כיון שאינו פוגם, אלא דאיירי באופן שהטעם של האיסור מורגש בהיתר, ויש את טעמו וממשו של האיסור, אך מ"מ אינו משנה את הטעם של התבשיל לא לשבח ולא לפגם, וכתב </w:t>
      </w:r>
      <w:r w:rsidRPr="00C11011">
        <w:rPr>
          <w:rStyle w:val="af8"/>
          <w:rFonts w:hint="cs"/>
          <w:rtl/>
        </w:rPr>
        <w:t>הפר"ח</w:t>
      </w:r>
      <w:r>
        <w:rPr>
          <w:rFonts w:hint="cs"/>
          <w:rtl/>
        </w:rPr>
        <w:t xml:space="preserve"> דבזה כתבו </w:t>
      </w:r>
      <w:r w:rsidRPr="00C11011">
        <w:rPr>
          <w:rStyle w:val="af8"/>
          <w:rFonts w:hint="cs"/>
          <w:rtl/>
        </w:rPr>
        <w:t>האו"ז וההג' אשר"י</w:t>
      </w:r>
      <w:r>
        <w:rPr>
          <w:rFonts w:hint="cs"/>
          <w:rtl/>
        </w:rPr>
        <w:t xml:space="preserve"> דמ"מ הוא אסור כיון שאינו בכלל ההיתר דנותן טעם לפגם, עיי"ש בדבריו.</w:t>
      </w:r>
    </w:p>
    <w:p w:rsidR="0013006A" w:rsidRPr="00A37615" w:rsidRDefault="0013006A" w:rsidP="0013006A">
      <w:pPr>
        <w:pStyle w:val="a2"/>
        <w:rPr>
          <w:rtl/>
        </w:rPr>
      </w:pPr>
      <w:bookmarkStart w:id="9713" w:name="_Toc19171030"/>
      <w:bookmarkStart w:id="9714" w:name="_Toc19180886"/>
      <w:r>
        <w:rPr>
          <w:rFonts w:hint="cs"/>
          <w:rtl/>
        </w:rPr>
        <w:t>תירוץ הפרמ"ג דכוונת הש"ך לומר דבשר נבילה שיבש כעץ וחזר ונימוח אסור מדאו'</w:t>
      </w:r>
      <w:bookmarkEnd w:id="9713"/>
      <w:bookmarkEnd w:id="9714"/>
    </w:p>
    <w:p w:rsidR="0013006A" w:rsidRPr="008C749F" w:rsidRDefault="0013006A" w:rsidP="009F44AF">
      <w:pPr>
        <w:pStyle w:val="a"/>
        <w:rPr>
          <w:rtl/>
        </w:rPr>
      </w:pPr>
      <w:r w:rsidRPr="00C11011">
        <w:rPr>
          <w:rStyle w:val="af8"/>
          <w:rFonts w:hint="cs"/>
          <w:rtl/>
        </w:rPr>
        <w:t>ו</w:t>
      </w:r>
      <w:r w:rsidRPr="004153DD">
        <w:rPr>
          <w:rStyle w:val="af8"/>
          <w:rFonts w:hint="cs"/>
          <w:rtl/>
        </w:rPr>
        <w:t xml:space="preserve">הפרמ"ג </w:t>
      </w:r>
      <w:r w:rsidRPr="00020740">
        <w:rPr>
          <w:rStyle w:val="af6"/>
          <w:rFonts w:eastAsia="Guttman Hodes" w:hint="cs"/>
          <w:rtl/>
        </w:rPr>
        <w:t>(סי' ק"ג שפ"ד סק"ב)</w:t>
      </w:r>
      <w:r>
        <w:rPr>
          <w:rFonts w:hint="cs"/>
          <w:rtl/>
        </w:rPr>
        <w:t xml:space="preserve"> תירץ</w:t>
      </w:r>
      <w:r w:rsidRPr="00B40A3E">
        <w:rPr>
          <w:rFonts w:hint="cs"/>
          <w:rtl/>
        </w:rPr>
        <w:t xml:space="preserve"> </w:t>
      </w:r>
      <w:r>
        <w:rPr>
          <w:rFonts w:hint="cs"/>
          <w:rtl/>
        </w:rPr>
        <w:t xml:space="preserve">את דברי </w:t>
      </w:r>
      <w:r w:rsidRPr="004153DD">
        <w:rPr>
          <w:rStyle w:val="af8"/>
          <w:rFonts w:hint="cs"/>
          <w:rtl/>
        </w:rPr>
        <w:t xml:space="preserve">הש"ך </w:t>
      </w:r>
      <w:r>
        <w:rPr>
          <w:rFonts w:hint="cs"/>
          <w:rtl/>
        </w:rPr>
        <w:t xml:space="preserve">דאף דגיד הנשה הוא ממש כעץ, וחיוב התורה הוא אעפ"י שאינו נותן טעם, מ"מ בשר נבילה שיבש כעץ, אף דבאוכלו יבש אין בו איסור דאו', מ"מ אחר שבישלו בתבשיל וחזר ונימוח הוא נהנה ממנו ואסור מדאו', </w:t>
      </w:r>
      <w:r w:rsidRPr="00CA6315">
        <w:rPr>
          <w:rStyle w:val="afa"/>
          <w:rFonts w:hint="cs"/>
          <w:rtl/>
        </w:rPr>
        <w:t>[ומוכח דאף איסור שאינו נותן טעם אוסר],</w:t>
      </w:r>
      <w:r>
        <w:rPr>
          <w:rFonts w:hint="cs"/>
          <w:rtl/>
        </w:rPr>
        <w:t xml:space="preserve"> והוסיף</w:t>
      </w:r>
      <w:r w:rsidRPr="004153DD">
        <w:rPr>
          <w:rStyle w:val="af8"/>
          <w:rFonts w:hint="cs"/>
          <w:rtl/>
        </w:rPr>
        <w:t xml:space="preserve"> הפרמ"ג </w:t>
      </w:r>
      <w:r>
        <w:rPr>
          <w:rFonts w:hint="cs"/>
          <w:rtl/>
        </w:rPr>
        <w:t xml:space="preserve">דאף כשהוא יבש יתכן שאסור מדאו'. </w:t>
      </w:r>
      <w:r w:rsidRPr="007A31B9">
        <w:rPr>
          <w:rStyle w:val="afa"/>
          <w:rFonts w:hint="cs"/>
          <w:rtl/>
        </w:rPr>
        <w:t>[כיון שאם יבשלו בתבשיל יהיה נימוח].</w:t>
      </w:r>
    </w:p>
    <w:p w:rsidR="0013006A" w:rsidRPr="0081356D" w:rsidRDefault="0013006A" w:rsidP="00E669F8">
      <w:pPr>
        <w:pStyle w:val="afd"/>
        <w:rPr>
          <w:rtl/>
        </w:rPr>
      </w:pPr>
      <w:r w:rsidRPr="0081356D">
        <w:rPr>
          <w:rFonts w:hint="cs"/>
          <w:rtl/>
        </w:rPr>
        <w:t>דברי הרמב"ם בנטל"פ ואינו ראוי לגר</w:t>
      </w:r>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p>
    <w:p w:rsidR="0013006A" w:rsidRPr="007469C3" w:rsidRDefault="0013006A" w:rsidP="0013006A">
      <w:pPr>
        <w:pStyle w:val="1"/>
        <w:rPr>
          <w:rtl/>
        </w:rPr>
      </w:pPr>
      <w:bookmarkStart w:id="9715" w:name="_Toc17624871"/>
      <w:bookmarkStart w:id="9716" w:name="_Toc17889821"/>
      <w:bookmarkStart w:id="9717" w:name="_Toc17975443"/>
      <w:bookmarkStart w:id="9718" w:name="_Toc17984131"/>
      <w:bookmarkStart w:id="9719" w:name="_Toc18228256"/>
      <w:bookmarkStart w:id="9720" w:name="_Toc18250800"/>
      <w:bookmarkStart w:id="9721" w:name="_Toc18266257"/>
      <w:bookmarkStart w:id="9722" w:name="_Toc18269168"/>
      <w:bookmarkStart w:id="9723" w:name="_Toc18513267"/>
      <w:bookmarkStart w:id="9724" w:name="_Toc18874362"/>
      <w:bookmarkStart w:id="9725" w:name="_Toc18946776"/>
      <w:bookmarkStart w:id="9726" w:name="_Toc19026238"/>
      <w:bookmarkStart w:id="9727" w:name="_Toc19029715"/>
      <w:bookmarkStart w:id="9728" w:name="_Toc19030099"/>
      <w:bookmarkStart w:id="9729" w:name="_Toc19082131"/>
      <w:bookmarkStart w:id="9730" w:name="_Toc19129421"/>
      <w:bookmarkStart w:id="9731" w:name="_Toc19129975"/>
      <w:bookmarkStart w:id="9732" w:name="_Toc19170908"/>
      <w:bookmarkStart w:id="9733" w:name="_Toc19180764"/>
      <w:r>
        <w:rPr>
          <w:rFonts w:hint="cs"/>
          <w:rtl/>
        </w:rPr>
        <w:t>דברי הרמב"ם בהיתר נטל"פ</w:t>
      </w:r>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r>
        <w:rPr>
          <w:rFonts w:hint="cs"/>
          <w:rtl/>
        </w:rPr>
        <w:t xml:space="preserve"> בבשר בחלב וכלאים</w:t>
      </w:r>
    </w:p>
    <w:p w:rsidR="0013006A" w:rsidRPr="00A37615" w:rsidRDefault="0013006A" w:rsidP="0013006A">
      <w:pPr>
        <w:pStyle w:val="a2"/>
        <w:rPr>
          <w:rtl/>
        </w:rPr>
      </w:pPr>
      <w:bookmarkStart w:id="9734" w:name="_Toc19082132"/>
      <w:bookmarkStart w:id="9735" w:name="_Toc19129422"/>
      <w:bookmarkStart w:id="9736" w:name="_Toc19129976"/>
      <w:bookmarkStart w:id="9737" w:name="_Toc19170909"/>
      <w:bookmarkStart w:id="9738" w:name="_Toc19180765"/>
      <w:r w:rsidRPr="00A37615">
        <w:rPr>
          <w:rFonts w:hint="cs"/>
          <w:rtl/>
        </w:rPr>
        <w:t>דברי הרמב"ם דטעם כעיקר אינו אוסר בנותן טעם לפגם כשפגם מתחילה ועד סוף</w:t>
      </w:r>
      <w:bookmarkEnd w:id="9734"/>
      <w:bookmarkEnd w:id="9735"/>
      <w:bookmarkEnd w:id="9736"/>
      <w:bookmarkEnd w:id="9737"/>
      <w:bookmarkEnd w:id="9738"/>
    </w:p>
    <w:p w:rsidR="0013006A" w:rsidRDefault="0013006A" w:rsidP="009F44AF">
      <w:pPr>
        <w:pStyle w:val="a"/>
        <w:rPr>
          <w:rtl/>
        </w:rPr>
      </w:pPr>
      <w:r>
        <w:rPr>
          <w:rFonts w:hint="cs"/>
          <w:rtl/>
        </w:rPr>
        <w:t xml:space="preserve">כתב </w:t>
      </w:r>
      <w:r w:rsidRPr="007469C3">
        <w:rPr>
          <w:rStyle w:val="af8"/>
          <w:rFonts w:hint="cs"/>
          <w:rtl/>
        </w:rPr>
        <w:t>הרמב"ם</w:t>
      </w:r>
      <w:r>
        <w:rPr>
          <w:rFonts w:hint="cs"/>
          <w:rtl/>
        </w:rPr>
        <w:t xml:space="preserve"> </w:t>
      </w:r>
      <w:r w:rsidRPr="00897232">
        <w:rPr>
          <w:rStyle w:val="af6"/>
          <w:rFonts w:eastAsia="Guttman Hodes" w:hint="cs"/>
          <w:rtl/>
        </w:rPr>
        <w:t>(מאכ"א פט"ו הכ"ח)</w:t>
      </w:r>
      <w:r>
        <w:rPr>
          <w:rFonts w:hint="cs"/>
          <w:rtl/>
        </w:rPr>
        <w:t xml:space="preserve"> דהא דאיסור שנתן טעם בהיתר אוסר את כל ההיתר, הוא דוקא במקום שהאיסור השביח את ההיתר, אבל אם האיסור פגם את ההיתר והפסיד את טעמו מותר, אך כתב </w:t>
      </w:r>
      <w:r w:rsidRPr="007469C3">
        <w:rPr>
          <w:rStyle w:val="af8"/>
          <w:rFonts w:hint="cs"/>
          <w:rtl/>
        </w:rPr>
        <w:t>הרמב"ם</w:t>
      </w:r>
      <w:r>
        <w:rPr>
          <w:rFonts w:hint="cs"/>
          <w:rtl/>
        </w:rPr>
        <w:t xml:space="preserve"> דזהו דוקא כשהפגם היה מתחילה ועד סוף, אבל אם פגם בתחילה וסופו להשביח, או שהשביח בתחילה וסופו לפגום אסור.</w:t>
      </w:r>
    </w:p>
    <w:p w:rsidR="0013006A" w:rsidRPr="00A37615" w:rsidRDefault="0013006A" w:rsidP="0013006A">
      <w:pPr>
        <w:pStyle w:val="a2"/>
        <w:rPr>
          <w:rtl/>
        </w:rPr>
      </w:pPr>
      <w:bookmarkStart w:id="9739" w:name="_Toc19082133"/>
      <w:bookmarkStart w:id="9740" w:name="_Toc19129423"/>
      <w:bookmarkStart w:id="9741" w:name="_Toc19129977"/>
      <w:bookmarkStart w:id="9742" w:name="_Toc19170910"/>
      <w:bookmarkStart w:id="9743" w:name="_Toc19180766"/>
      <w:r w:rsidRPr="00A37615">
        <w:rPr>
          <w:rFonts w:hint="cs"/>
          <w:rtl/>
        </w:rPr>
        <w:t>דברי הרמב"ם דבבשר וחלב ויין נסך וערלה וכלאי הכרם נותן טעם לפגם מותר</w:t>
      </w:r>
      <w:bookmarkEnd w:id="9739"/>
      <w:bookmarkEnd w:id="9740"/>
      <w:bookmarkEnd w:id="9741"/>
      <w:bookmarkEnd w:id="9742"/>
      <w:bookmarkEnd w:id="9743"/>
    </w:p>
    <w:p w:rsidR="0013006A" w:rsidRDefault="0013006A" w:rsidP="009F44AF">
      <w:pPr>
        <w:pStyle w:val="a"/>
        <w:rPr>
          <w:rtl/>
        </w:rPr>
      </w:pPr>
      <w:bookmarkStart w:id="9744" w:name="_Ref17367367"/>
      <w:bookmarkStart w:id="9745" w:name="_Ref17625423"/>
      <w:r>
        <w:rPr>
          <w:rFonts w:hint="cs"/>
          <w:rtl/>
        </w:rPr>
        <w:t xml:space="preserve">והוסיף </w:t>
      </w:r>
      <w:r w:rsidRPr="00C76588">
        <w:rPr>
          <w:rStyle w:val="af8"/>
          <w:rFonts w:hint="cs"/>
          <w:rtl/>
        </w:rPr>
        <w:t>הרמב"ם</w:t>
      </w:r>
      <w:r>
        <w:rPr>
          <w:rFonts w:hint="cs"/>
          <w:rtl/>
        </w:rPr>
        <w:t xml:space="preserve"> </w:t>
      </w:r>
      <w:r w:rsidRPr="00C76588">
        <w:rPr>
          <w:rStyle w:val="af6"/>
          <w:rFonts w:eastAsia="Guttman Hodes" w:hint="cs"/>
          <w:rtl/>
        </w:rPr>
        <w:t>(מאכ"א פט"ו ה"ל)</w:t>
      </w:r>
      <w:r>
        <w:rPr>
          <w:rFonts w:hint="cs"/>
          <w:rtl/>
        </w:rPr>
        <w:t xml:space="preserve"> דבבשר בחלב ויין נסך וערלה וכלאי הכרם שנפלו לדבש, או בשר שקצים ורמשים שהתבשלו עם ירק וכדומה, וטעם הקפילא ואמר שהם נתנו טעם לפגם מותר, דכל שאין סופו להשביח הכל מותר.</w:t>
      </w:r>
      <w:bookmarkEnd w:id="9744"/>
      <w:r w:rsidRPr="00456A4F">
        <w:rPr>
          <w:rFonts w:hint="cs"/>
          <w:rtl/>
        </w:rPr>
        <w:t xml:space="preserve"> </w:t>
      </w:r>
      <w:r>
        <w:rPr>
          <w:rFonts w:hint="cs"/>
          <w:rtl/>
        </w:rPr>
        <w:t xml:space="preserve">[ועי' במה שהקשה </w:t>
      </w:r>
      <w:r w:rsidRPr="00D926B5">
        <w:rPr>
          <w:rStyle w:val="af8"/>
          <w:rFonts w:hint="cs"/>
          <w:rtl/>
        </w:rPr>
        <w:t>הגר"ח</w:t>
      </w:r>
      <w:r>
        <w:rPr>
          <w:rFonts w:hint="cs"/>
          <w:rtl/>
        </w:rPr>
        <w:t xml:space="preserve"> </w:t>
      </w:r>
      <w:r w:rsidRPr="00456A4F">
        <w:rPr>
          <w:rStyle w:val="af6"/>
          <w:rFonts w:eastAsia="Guttman Hodes" w:hint="cs"/>
          <w:rtl/>
        </w:rPr>
        <w:t xml:space="preserve">(עי' אות </w:t>
      </w:r>
      <w:r w:rsidRPr="00456A4F">
        <w:rPr>
          <w:rStyle w:val="af6"/>
          <w:rFonts w:eastAsia="Guttman Hodes"/>
          <w:rtl/>
        </w:rPr>
        <w:fldChar w:fldCharType="begin"/>
      </w:r>
      <w:r w:rsidRPr="00456A4F">
        <w:rPr>
          <w:rStyle w:val="af6"/>
          <w:rFonts w:eastAsia="Guttman Hodes"/>
          <w:rtl/>
        </w:rPr>
        <w:instrText xml:space="preserve"> </w:instrText>
      </w:r>
      <w:r w:rsidRPr="00456A4F">
        <w:rPr>
          <w:rStyle w:val="af6"/>
          <w:rFonts w:eastAsia="Guttman Hodes" w:hint="cs"/>
        </w:rPr>
        <w:instrText>REF</w:instrText>
      </w:r>
      <w:r w:rsidRPr="00456A4F">
        <w:rPr>
          <w:rStyle w:val="af6"/>
          <w:rFonts w:eastAsia="Guttman Hodes" w:hint="cs"/>
          <w:rtl/>
        </w:rPr>
        <w:instrText xml:space="preserve"> _</w:instrText>
      </w:r>
      <w:r w:rsidRPr="00456A4F">
        <w:rPr>
          <w:rStyle w:val="af6"/>
          <w:rFonts w:eastAsia="Guttman Hodes" w:hint="cs"/>
        </w:rPr>
        <w:instrText>Ref17367558 \r \h</w:instrText>
      </w:r>
      <w:r w:rsidRPr="00456A4F">
        <w:rPr>
          <w:rStyle w:val="af6"/>
          <w:rFonts w:eastAsia="Guttman Hodes"/>
          <w:rtl/>
        </w:rPr>
        <w:instrText xml:space="preserve"> </w:instrText>
      </w:r>
      <w:r w:rsidRPr="00456A4F">
        <w:rPr>
          <w:rStyle w:val="af6"/>
          <w:rFonts w:eastAsia="Guttman Hodes"/>
          <w:rtl/>
        </w:rPr>
      </w:r>
      <w:r w:rsidRPr="00456A4F">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456A4F">
        <w:rPr>
          <w:rStyle w:val="af6"/>
          <w:rFonts w:eastAsia="Guttman Hodes"/>
          <w:rtl/>
        </w:rPr>
        <w:fldChar w:fldCharType="end"/>
      </w:r>
      <w:r>
        <w:rPr>
          <w:rFonts w:hint="cs"/>
          <w:rtl/>
        </w:rPr>
        <w:t xml:space="preserve"> על דברי </w:t>
      </w:r>
      <w:r w:rsidRPr="00D926B5">
        <w:rPr>
          <w:rStyle w:val="af8"/>
          <w:rFonts w:hint="cs"/>
          <w:rtl/>
        </w:rPr>
        <w:t>הרמב"ם</w:t>
      </w:r>
      <w:r>
        <w:rPr>
          <w:rFonts w:hint="cs"/>
          <w:rtl/>
        </w:rPr>
        <w:t>].</w:t>
      </w:r>
      <w:bookmarkEnd w:id="9745"/>
    </w:p>
    <w:p w:rsidR="0013006A" w:rsidRPr="00850FD5" w:rsidRDefault="0013006A" w:rsidP="0013006A">
      <w:pPr>
        <w:pStyle w:val="1"/>
        <w:rPr>
          <w:rtl/>
        </w:rPr>
      </w:pPr>
      <w:bookmarkStart w:id="9746" w:name="_Toc17624872"/>
      <w:bookmarkStart w:id="9747" w:name="_Toc17889822"/>
      <w:bookmarkStart w:id="9748" w:name="_Toc17975444"/>
      <w:bookmarkStart w:id="9749" w:name="_Toc17984132"/>
      <w:bookmarkStart w:id="9750" w:name="_Toc18228257"/>
      <w:bookmarkStart w:id="9751" w:name="_Toc18250801"/>
      <w:bookmarkStart w:id="9752" w:name="_Toc18266258"/>
      <w:bookmarkStart w:id="9753" w:name="_Toc18269169"/>
      <w:bookmarkStart w:id="9754" w:name="_Toc18513268"/>
      <w:bookmarkStart w:id="9755" w:name="_Toc18874363"/>
      <w:bookmarkStart w:id="9756" w:name="_Toc18946777"/>
      <w:bookmarkStart w:id="9757" w:name="_Toc19026239"/>
      <w:bookmarkStart w:id="9758" w:name="_Toc19029716"/>
      <w:bookmarkStart w:id="9759" w:name="_Toc19030100"/>
      <w:bookmarkStart w:id="9760" w:name="_Toc19082134"/>
      <w:bookmarkStart w:id="9761" w:name="_Toc19129424"/>
      <w:bookmarkStart w:id="9762" w:name="_Toc19129978"/>
      <w:bookmarkStart w:id="9763" w:name="_Toc19170911"/>
      <w:bookmarkStart w:id="9764" w:name="_Toc19180767"/>
      <w:r w:rsidRPr="00A673A5">
        <w:rPr>
          <w:rFonts w:hint="cs"/>
          <w:rtl/>
        </w:rPr>
        <w:t xml:space="preserve">דברי הרמב"ם </w:t>
      </w:r>
      <w:r>
        <w:rPr>
          <w:rFonts w:hint="cs"/>
          <w:rtl/>
        </w:rPr>
        <w:t>דאינו ראוי לאכילה</w:t>
      </w:r>
      <w:r w:rsidRPr="00A673A5">
        <w:rPr>
          <w:rFonts w:hint="cs"/>
          <w:rtl/>
        </w:rPr>
        <w:t xml:space="preserve"> </w:t>
      </w:r>
      <w:r>
        <w:rPr>
          <w:rFonts w:hint="cs"/>
          <w:rtl/>
        </w:rPr>
        <w:t>מותר מדין שלא</w:t>
      </w:r>
      <w:r w:rsidRPr="00A673A5">
        <w:rPr>
          <w:rFonts w:hint="cs"/>
          <w:rtl/>
        </w:rPr>
        <w:t xml:space="preserve"> </w:t>
      </w:r>
      <w:r>
        <w:rPr>
          <w:rFonts w:hint="cs"/>
          <w:rtl/>
        </w:rPr>
        <w:t>כ</w:t>
      </w:r>
      <w:r w:rsidRPr="00A673A5">
        <w:rPr>
          <w:rFonts w:hint="cs"/>
          <w:rtl/>
        </w:rPr>
        <w:t>דרך הנאה</w:t>
      </w:r>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p>
    <w:p w:rsidR="0013006A" w:rsidRPr="00A37615" w:rsidRDefault="0013006A" w:rsidP="0013006A">
      <w:pPr>
        <w:pStyle w:val="a2"/>
        <w:rPr>
          <w:rtl/>
        </w:rPr>
      </w:pPr>
      <w:bookmarkStart w:id="9765" w:name="_Toc19082135"/>
      <w:bookmarkStart w:id="9766" w:name="_Toc19129425"/>
      <w:bookmarkStart w:id="9767" w:name="_Toc19129979"/>
      <w:bookmarkStart w:id="9768" w:name="_Toc19170912"/>
      <w:bookmarkStart w:id="9769" w:name="_Toc19180768"/>
      <w:r w:rsidRPr="00A37615">
        <w:rPr>
          <w:rFonts w:hint="cs"/>
          <w:rtl/>
        </w:rPr>
        <w:t>דברי הרמב"ם דחיוב אכילת איסור הוא בדרך הנאה אבל בבב"ח וכלאים אף שלא כדרך הנאתן</w:t>
      </w:r>
      <w:bookmarkEnd w:id="9765"/>
      <w:bookmarkEnd w:id="9766"/>
      <w:bookmarkEnd w:id="9767"/>
      <w:bookmarkEnd w:id="9768"/>
      <w:bookmarkEnd w:id="9769"/>
    </w:p>
    <w:p w:rsidR="0013006A" w:rsidRDefault="0013006A" w:rsidP="009F44AF">
      <w:pPr>
        <w:pStyle w:val="a"/>
        <w:rPr>
          <w:rtl/>
        </w:rPr>
      </w:pPr>
      <w:bookmarkStart w:id="9770" w:name="_Ref20426714"/>
      <w:r>
        <w:rPr>
          <w:rFonts w:hint="cs"/>
          <w:rtl/>
        </w:rPr>
        <w:t xml:space="preserve">ועוד כתב </w:t>
      </w:r>
      <w:r w:rsidRPr="005A7DB4">
        <w:rPr>
          <w:rStyle w:val="af8"/>
          <w:rFonts w:hint="cs"/>
          <w:rtl/>
        </w:rPr>
        <w:t>הרמב"ם</w:t>
      </w:r>
      <w:r>
        <w:rPr>
          <w:rFonts w:hint="cs"/>
          <w:rtl/>
        </w:rPr>
        <w:t xml:space="preserve"> </w:t>
      </w:r>
      <w:r w:rsidRPr="00395E6F">
        <w:rPr>
          <w:rStyle w:val="af6"/>
          <w:rFonts w:eastAsia="Guttman Hodes" w:hint="cs"/>
          <w:rtl/>
        </w:rPr>
        <w:t>(מאכ"א פי"ד ה"י)</w:t>
      </w:r>
      <w:r>
        <w:rPr>
          <w:rFonts w:hint="cs"/>
          <w:rtl/>
        </w:rPr>
        <w:t xml:space="preserve"> דהחיוב על אכילת איסור, הוא רק באוכל בדרך הנאה, חוץ מבשר בחלב וכלאי הכרם שלא נאמר בהם אכילה, ולכן אסורים אף שלא כדרך הנאתם.</w:t>
      </w:r>
      <w:bookmarkEnd w:id="9770"/>
    </w:p>
    <w:p w:rsidR="0013006A" w:rsidRPr="00A37615" w:rsidRDefault="0013006A" w:rsidP="0013006A">
      <w:pPr>
        <w:pStyle w:val="a2"/>
      </w:pPr>
      <w:bookmarkStart w:id="9771" w:name="_Toc19082136"/>
      <w:bookmarkStart w:id="9772" w:name="_Toc19129426"/>
      <w:bookmarkStart w:id="9773" w:name="_Toc19129980"/>
      <w:bookmarkStart w:id="9774" w:name="_Toc19170913"/>
      <w:bookmarkStart w:id="9775" w:name="_Toc19180769"/>
      <w:r w:rsidRPr="00A37615">
        <w:rPr>
          <w:rFonts w:hint="cs"/>
          <w:rtl/>
        </w:rPr>
        <w:t>דברי הרמב"ם דשלא כדרך הנאה הוא באכלו רותח או חי או מר או שהסריח ואינו ראוי לאכילה</w:t>
      </w:r>
      <w:bookmarkEnd w:id="9771"/>
      <w:bookmarkEnd w:id="9772"/>
      <w:bookmarkEnd w:id="9773"/>
      <w:bookmarkEnd w:id="9774"/>
      <w:bookmarkEnd w:id="9775"/>
    </w:p>
    <w:p w:rsidR="0013006A" w:rsidRDefault="0013006A" w:rsidP="009F44AF">
      <w:pPr>
        <w:pStyle w:val="a"/>
        <w:rPr>
          <w:rtl/>
        </w:rPr>
      </w:pPr>
      <w:bookmarkStart w:id="9776" w:name="_Ref19034347"/>
      <w:bookmarkStart w:id="9777" w:name="_Ref17367353"/>
      <w:bookmarkStart w:id="9778" w:name="_Ref17463530"/>
      <w:r>
        <w:rPr>
          <w:rFonts w:hint="cs"/>
          <w:rtl/>
        </w:rPr>
        <w:t xml:space="preserve">וביאר </w:t>
      </w:r>
      <w:r w:rsidRPr="005A7DB4">
        <w:rPr>
          <w:rStyle w:val="af8"/>
          <w:rFonts w:hint="cs"/>
          <w:rtl/>
        </w:rPr>
        <w:t>הרמב"ם</w:t>
      </w:r>
      <w:r>
        <w:rPr>
          <w:rFonts w:hint="cs"/>
          <w:rtl/>
        </w:rPr>
        <w:t xml:space="preserve"> </w:t>
      </w:r>
      <w:r w:rsidRPr="00395E6F">
        <w:rPr>
          <w:rStyle w:val="af6"/>
          <w:rFonts w:eastAsia="Guttman Hodes" w:hint="cs"/>
          <w:rtl/>
        </w:rPr>
        <w:t>(מאכ"א פי"ד הי"א)</w:t>
      </w:r>
      <w:r w:rsidRPr="00467C87">
        <w:rPr>
          <w:rtl/>
        </w:rPr>
        <w:t xml:space="preserve"> </w:t>
      </w:r>
      <w:r>
        <w:rPr>
          <w:rFonts w:hint="cs"/>
          <w:rtl/>
        </w:rPr>
        <w:t xml:space="preserve">דאכילה שאינה בדרך הנאה דפטור על אכילת האיסור, היינו כגון שהמחה </w:t>
      </w:r>
      <w:r>
        <w:rPr>
          <w:rtl/>
        </w:rPr>
        <w:t>חֵלֶב</w:t>
      </w:r>
      <w:r>
        <w:rPr>
          <w:rFonts w:hint="cs"/>
          <w:rtl/>
        </w:rPr>
        <w:t xml:space="preserve"> וגמעו כשהוא חם עד שנכווה גרונו, או שאכל </w:t>
      </w:r>
      <w:r>
        <w:rPr>
          <w:rtl/>
        </w:rPr>
        <w:t>חֵלֶב</w:t>
      </w:r>
      <w:r>
        <w:rPr>
          <w:rFonts w:hint="cs"/>
          <w:rtl/>
        </w:rPr>
        <w:t xml:space="preserve"> חי, או שעירב דברים מרים לתוך האיסור ואכלו כשהוא מר, או שאכל את האוכל שאסור לאחר שהסריח והבאיש ואינו ראוי לאכילת אדם.</w:t>
      </w:r>
      <w:bookmarkEnd w:id="9776"/>
    </w:p>
    <w:p w:rsidR="0013006A" w:rsidRPr="00A37615" w:rsidRDefault="0013006A" w:rsidP="0013006A">
      <w:pPr>
        <w:pStyle w:val="a2"/>
      </w:pPr>
      <w:bookmarkStart w:id="9779" w:name="_Toc19082137"/>
      <w:bookmarkStart w:id="9780" w:name="_Toc19129427"/>
      <w:bookmarkStart w:id="9781" w:name="_Toc19129981"/>
      <w:bookmarkStart w:id="9782" w:name="_Toc19170914"/>
      <w:bookmarkStart w:id="9783" w:name="_Toc19180770"/>
      <w:r w:rsidRPr="00A37615">
        <w:rPr>
          <w:rFonts w:hint="cs"/>
          <w:rtl/>
        </w:rPr>
        <w:t>דברי הרמב"ם דבבשר בחלב וכלאים חייב אף כשעירב בהם דבר מר ואכלם</w:t>
      </w:r>
      <w:bookmarkEnd w:id="9779"/>
      <w:bookmarkEnd w:id="9780"/>
      <w:bookmarkEnd w:id="9781"/>
      <w:bookmarkEnd w:id="9782"/>
      <w:bookmarkEnd w:id="9783"/>
    </w:p>
    <w:p w:rsidR="00E03085" w:rsidRDefault="0013006A" w:rsidP="009F44AF">
      <w:pPr>
        <w:pStyle w:val="a"/>
        <w:rPr>
          <w:rtl/>
        </w:rPr>
      </w:pPr>
      <w:bookmarkStart w:id="9784" w:name="_Ref19034938"/>
      <w:r>
        <w:rPr>
          <w:rFonts w:hint="cs"/>
          <w:rtl/>
        </w:rPr>
        <w:t xml:space="preserve">אבל בבשר בחלב או בכלאים, כתב </w:t>
      </w:r>
      <w:r w:rsidRPr="005A7DB4">
        <w:rPr>
          <w:rStyle w:val="af8"/>
          <w:rFonts w:hint="cs"/>
          <w:rtl/>
        </w:rPr>
        <w:t>הרמב"ם</w:t>
      </w:r>
      <w:r>
        <w:rPr>
          <w:rFonts w:hint="cs"/>
          <w:rtl/>
        </w:rPr>
        <w:t xml:space="preserve"> דאף אם עירב בהם דבר מר ואכלם, חייב.</w:t>
      </w:r>
      <w:bookmarkEnd w:id="9777"/>
      <w:bookmarkEnd w:id="9778"/>
      <w:bookmarkEnd w:id="9784"/>
    </w:p>
    <w:p w:rsidR="0013006A" w:rsidRPr="0081356D" w:rsidRDefault="0013006A" w:rsidP="00E669F8">
      <w:pPr>
        <w:pStyle w:val="afd"/>
        <w:rPr>
          <w:rtl/>
        </w:rPr>
      </w:pPr>
      <w:bookmarkStart w:id="9785" w:name="_Toc19082138"/>
      <w:bookmarkStart w:id="9786" w:name="_Toc19129428"/>
      <w:bookmarkStart w:id="9787" w:name="_Toc19129982"/>
      <w:bookmarkStart w:id="9788" w:name="_Toc19170915"/>
      <w:bookmarkStart w:id="9789" w:name="_Toc19180771"/>
      <w:r w:rsidRPr="0081356D">
        <w:rPr>
          <w:rFonts w:hint="cs"/>
          <w:rtl/>
        </w:rPr>
        <w:t>בדין נטל"פ בבב"ח ובכלאים</w:t>
      </w:r>
      <w:bookmarkEnd w:id="9785"/>
      <w:r>
        <w:rPr>
          <w:rFonts w:hint="cs"/>
          <w:rtl/>
        </w:rPr>
        <w:t xml:space="preserve"> להרמב"ם</w:t>
      </w:r>
      <w:bookmarkEnd w:id="9786"/>
      <w:bookmarkEnd w:id="9787"/>
      <w:bookmarkEnd w:id="9788"/>
      <w:bookmarkEnd w:id="9789"/>
    </w:p>
    <w:p w:rsidR="0013006A" w:rsidRDefault="0013006A" w:rsidP="0013006A">
      <w:pPr>
        <w:pStyle w:val="1"/>
        <w:rPr>
          <w:rtl/>
        </w:rPr>
      </w:pPr>
      <w:bookmarkStart w:id="9790" w:name="_Toc19082139"/>
      <w:bookmarkStart w:id="9791" w:name="_Toc19129429"/>
      <w:bookmarkStart w:id="9792" w:name="_Toc19129983"/>
      <w:bookmarkStart w:id="9793" w:name="_Toc19170916"/>
      <w:bookmarkStart w:id="9794" w:name="_Toc19180772"/>
      <w:r>
        <w:rPr>
          <w:rFonts w:hint="cs"/>
          <w:rtl/>
        </w:rPr>
        <w:t>תירוצי</w:t>
      </w:r>
      <w:r w:rsidRPr="001E4198">
        <w:rPr>
          <w:rFonts w:hint="cs"/>
          <w:rtl/>
        </w:rPr>
        <w:t xml:space="preserve"> ה</w:t>
      </w:r>
      <w:r w:rsidR="00250230">
        <w:rPr>
          <w:rFonts w:hint="cs"/>
          <w:rtl/>
        </w:rPr>
        <w:t>פלתי</w:t>
      </w:r>
      <w:r w:rsidRPr="001E4198">
        <w:rPr>
          <w:rFonts w:hint="cs"/>
          <w:rtl/>
        </w:rPr>
        <w:t xml:space="preserve"> </w:t>
      </w:r>
      <w:r>
        <w:rPr>
          <w:rFonts w:hint="cs"/>
          <w:rtl/>
        </w:rPr>
        <w:t>והגרעק"א והנוב"י ברמב"ם</w:t>
      </w:r>
      <w:bookmarkEnd w:id="9790"/>
      <w:r>
        <w:rPr>
          <w:rFonts w:hint="cs"/>
          <w:rtl/>
        </w:rPr>
        <w:t xml:space="preserve"> דלא ילפינן מנבילה</w:t>
      </w:r>
      <w:bookmarkEnd w:id="9791"/>
      <w:bookmarkEnd w:id="9792"/>
      <w:bookmarkEnd w:id="9793"/>
      <w:bookmarkEnd w:id="9794"/>
    </w:p>
    <w:p w:rsidR="0013006A" w:rsidRPr="00A37615" w:rsidRDefault="0013006A" w:rsidP="0013006A">
      <w:pPr>
        <w:pStyle w:val="a2"/>
        <w:rPr>
          <w:rtl/>
        </w:rPr>
      </w:pPr>
      <w:bookmarkStart w:id="9795" w:name="_Toc19082140"/>
      <w:bookmarkStart w:id="9796" w:name="_Toc19129430"/>
      <w:bookmarkStart w:id="9797" w:name="_Toc19129984"/>
      <w:bookmarkStart w:id="9798" w:name="_Toc19170917"/>
      <w:bookmarkStart w:id="9799" w:name="_Toc19180773"/>
      <w:r w:rsidRPr="00A37615">
        <w:rPr>
          <w:rFonts w:hint="cs"/>
          <w:rtl/>
        </w:rPr>
        <w:t>קושית ה</w:t>
      </w:r>
      <w:r w:rsidR="00250230">
        <w:rPr>
          <w:rFonts w:hint="cs"/>
          <w:rtl/>
        </w:rPr>
        <w:t>פלתי</w:t>
      </w:r>
      <w:r w:rsidRPr="00A37615">
        <w:rPr>
          <w:rFonts w:hint="cs"/>
          <w:rtl/>
        </w:rPr>
        <w:t xml:space="preserve"> על הרמב"ם דדבר שהסריח הוא מדין אינו ראוי לגר ולא מדין שלא כדרך הנאתן</w:t>
      </w:r>
      <w:bookmarkEnd w:id="9795"/>
      <w:bookmarkEnd w:id="9796"/>
      <w:bookmarkEnd w:id="9797"/>
      <w:bookmarkEnd w:id="9798"/>
      <w:bookmarkEnd w:id="9799"/>
    </w:p>
    <w:p w:rsidR="0013006A" w:rsidRPr="00BA4C90" w:rsidRDefault="0013006A" w:rsidP="009F44AF">
      <w:pPr>
        <w:pStyle w:val="a"/>
        <w:rPr>
          <w:rtl/>
        </w:rPr>
      </w:pPr>
      <w:r w:rsidRPr="005920EB">
        <w:rPr>
          <w:rFonts w:hint="cs"/>
          <w:rtl/>
        </w:rPr>
        <w:t xml:space="preserve">והקשה </w:t>
      </w:r>
      <w:r w:rsidRPr="005920EB">
        <w:rPr>
          <w:rStyle w:val="af8"/>
          <w:rFonts w:hint="cs"/>
          <w:rtl/>
        </w:rPr>
        <w:t>ה</w:t>
      </w:r>
      <w:r w:rsidR="00250230">
        <w:rPr>
          <w:rStyle w:val="af8"/>
          <w:rFonts w:hint="cs"/>
          <w:rtl/>
        </w:rPr>
        <w:t>פלתי</w:t>
      </w:r>
      <w:r w:rsidRPr="005920EB">
        <w:rPr>
          <w:rFonts w:hint="cs"/>
          <w:rtl/>
        </w:rPr>
        <w:t xml:space="preserve"> </w:t>
      </w:r>
      <w:r w:rsidRPr="005920EB">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פ</w:t>
      </w:r>
      <w:r>
        <w:rPr>
          <w:rStyle w:val="af6"/>
          <w:rFonts w:eastAsia="Guttman Hodes"/>
          <w:rtl/>
        </w:rPr>
        <w:t>"</w:t>
      </w:r>
      <w:r>
        <w:rPr>
          <w:rStyle w:val="af6"/>
          <w:rFonts w:eastAsia="Guttman Hodes" w:hint="cs"/>
          <w:rtl/>
        </w:rPr>
        <w:t>ז סקט</w:t>
      </w:r>
      <w:r>
        <w:rPr>
          <w:rStyle w:val="af6"/>
          <w:rFonts w:eastAsia="Guttman Hodes"/>
          <w:rtl/>
        </w:rPr>
        <w:t>"</w:t>
      </w:r>
      <w:r>
        <w:rPr>
          <w:rStyle w:val="af6"/>
          <w:rFonts w:eastAsia="Guttman Hodes" w:hint="cs"/>
          <w:rtl/>
        </w:rPr>
        <w:t>ו</w:t>
      </w:r>
      <w:r w:rsidRPr="005920EB">
        <w:rPr>
          <w:rStyle w:val="af6"/>
          <w:rFonts w:eastAsia="Guttman Hodes" w:hint="cs"/>
          <w:rtl/>
        </w:rPr>
        <w:t>)</w:t>
      </w:r>
      <w:r w:rsidRPr="005920EB">
        <w:rPr>
          <w:rFonts w:hint="cs"/>
          <w:rtl/>
        </w:rPr>
        <w:t xml:space="preserve"> דאמאי כתב </w:t>
      </w:r>
      <w:r w:rsidRPr="005920EB">
        <w:rPr>
          <w:rStyle w:val="af8"/>
          <w:rFonts w:hint="cs"/>
          <w:rtl/>
        </w:rPr>
        <w:t xml:space="preserve">הרמב"ם </w:t>
      </w:r>
      <w:r w:rsidRPr="00A707B1">
        <w:rPr>
          <w:rStyle w:val="af6"/>
          <w:rFonts w:eastAsia="Guttman Hodes" w:hint="cs"/>
          <w:rtl/>
        </w:rPr>
        <w:t xml:space="preserve">(עי' אות </w:t>
      </w:r>
      <w:r w:rsidRPr="00A707B1">
        <w:rPr>
          <w:rStyle w:val="af6"/>
          <w:rFonts w:eastAsia="Guttman Hodes"/>
          <w:rtl/>
        </w:rPr>
        <w:fldChar w:fldCharType="begin"/>
      </w:r>
      <w:r w:rsidRPr="00A707B1">
        <w:rPr>
          <w:rStyle w:val="af6"/>
          <w:rFonts w:eastAsia="Guttman Hodes"/>
          <w:rtl/>
        </w:rPr>
        <w:instrText xml:space="preserve"> </w:instrText>
      </w:r>
      <w:r w:rsidRPr="00A707B1">
        <w:rPr>
          <w:rStyle w:val="af6"/>
          <w:rFonts w:eastAsia="Guttman Hodes" w:hint="cs"/>
        </w:rPr>
        <w:instrText>REF</w:instrText>
      </w:r>
      <w:r w:rsidRPr="00A707B1">
        <w:rPr>
          <w:rStyle w:val="af6"/>
          <w:rFonts w:eastAsia="Guttman Hodes" w:hint="cs"/>
          <w:rtl/>
        </w:rPr>
        <w:instrText xml:space="preserve"> _</w:instrText>
      </w:r>
      <w:r w:rsidRPr="00A707B1">
        <w:rPr>
          <w:rStyle w:val="af6"/>
          <w:rFonts w:eastAsia="Guttman Hodes" w:hint="cs"/>
        </w:rPr>
        <w:instrText>Ref19034347 \r \h</w:instrText>
      </w:r>
      <w:r w:rsidRPr="00A707B1">
        <w:rPr>
          <w:rStyle w:val="af6"/>
          <w:rFonts w:eastAsia="Guttman Hodes"/>
          <w:rtl/>
        </w:rPr>
        <w:instrText xml:space="preserve"> </w:instrText>
      </w:r>
      <w:r w:rsidRPr="00A707B1">
        <w:rPr>
          <w:rStyle w:val="af6"/>
          <w:rFonts w:eastAsia="Guttman Hodes"/>
          <w:rtl/>
        </w:rPr>
      </w:r>
      <w:r w:rsidRPr="00A707B1">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A707B1">
        <w:rPr>
          <w:rStyle w:val="af6"/>
          <w:rFonts w:eastAsia="Guttman Hodes"/>
          <w:rtl/>
        </w:rPr>
        <w:fldChar w:fldCharType="end"/>
      </w:r>
      <w:r>
        <w:rPr>
          <w:rFonts w:hint="cs"/>
          <w:rtl/>
        </w:rPr>
        <w:t xml:space="preserve"> </w:t>
      </w:r>
      <w:r w:rsidRPr="005920EB">
        <w:rPr>
          <w:rFonts w:hint="cs"/>
          <w:rtl/>
        </w:rPr>
        <w:t xml:space="preserve">דאם עירב דבר מר באיסור, או שהסריח ואינו ראוי לאכילת אדם, פטור על אכילתו דהוא </w:t>
      </w:r>
      <w:r w:rsidRPr="00BA4C90">
        <w:rPr>
          <w:rFonts w:hint="cs"/>
          <w:rtl/>
        </w:rPr>
        <w:t xml:space="preserve">שלא כדרך הנאתו, והא בגמ' </w:t>
      </w:r>
      <w:r w:rsidRPr="00BA4C90">
        <w:rPr>
          <w:rStyle w:val="af6"/>
          <w:rFonts w:eastAsia="Guttman Hodes" w:hint="cs"/>
          <w:rtl/>
        </w:rPr>
        <w:t>(סז:)</w:t>
      </w:r>
      <w:r w:rsidRPr="00BA4C90">
        <w:rPr>
          <w:rFonts w:hint="cs"/>
          <w:rtl/>
        </w:rPr>
        <w:t xml:space="preserve"> אמרינן דהוא פטור מדין נבילה שאינה ראויה לגר. </w:t>
      </w:r>
      <w:r>
        <w:rPr>
          <w:rFonts w:hint="cs"/>
          <w:rtl/>
        </w:rPr>
        <w:t>[</w:t>
      </w:r>
      <w:r w:rsidRPr="00BA4C90">
        <w:rPr>
          <w:rFonts w:hint="cs"/>
          <w:rtl/>
        </w:rPr>
        <w:t xml:space="preserve">ועי' בדברי </w:t>
      </w:r>
      <w:r w:rsidRPr="00BA4C90">
        <w:rPr>
          <w:rStyle w:val="af8"/>
          <w:rFonts w:hint="cs"/>
          <w:rtl/>
        </w:rPr>
        <w:t>הגר"ח</w:t>
      </w:r>
      <w:r w:rsidRPr="00BA4C90">
        <w:rPr>
          <w:rFonts w:hint="cs"/>
          <w:rtl/>
        </w:rPr>
        <w:t xml:space="preserve"> </w:t>
      </w:r>
      <w:r w:rsidRPr="00BA4C90">
        <w:rPr>
          <w:rStyle w:val="af6"/>
          <w:rFonts w:eastAsia="Guttman Hodes" w:hint="cs"/>
          <w:rtl/>
        </w:rPr>
        <w:t xml:space="preserve">(עי' אות </w:t>
      </w:r>
      <w:r w:rsidRPr="00BA4C90">
        <w:rPr>
          <w:rStyle w:val="af6"/>
          <w:rFonts w:eastAsia="Guttman Hodes"/>
          <w:rtl/>
        </w:rPr>
        <w:fldChar w:fldCharType="begin"/>
      </w:r>
      <w:r w:rsidRPr="00BA4C90">
        <w:rPr>
          <w:rStyle w:val="af6"/>
          <w:rFonts w:eastAsia="Guttman Hodes"/>
          <w:rtl/>
        </w:rPr>
        <w:instrText xml:space="preserve"> </w:instrText>
      </w:r>
      <w:r w:rsidRPr="00BA4C90">
        <w:rPr>
          <w:rStyle w:val="af6"/>
          <w:rFonts w:eastAsia="Guttman Hodes" w:hint="cs"/>
        </w:rPr>
        <w:instrText>REF</w:instrText>
      </w:r>
      <w:r w:rsidRPr="00BA4C90">
        <w:rPr>
          <w:rStyle w:val="af6"/>
          <w:rFonts w:eastAsia="Guttman Hodes" w:hint="cs"/>
          <w:rtl/>
        </w:rPr>
        <w:instrText xml:space="preserve"> _</w:instrText>
      </w:r>
      <w:r w:rsidRPr="00BA4C90">
        <w:rPr>
          <w:rStyle w:val="af6"/>
          <w:rFonts w:eastAsia="Guttman Hodes" w:hint="cs"/>
        </w:rPr>
        <w:instrText>Ref19182111 \r \h</w:instrText>
      </w:r>
      <w:r w:rsidRPr="00BA4C90">
        <w:rPr>
          <w:rStyle w:val="af6"/>
          <w:rFonts w:eastAsia="Guttman Hodes"/>
          <w:rtl/>
        </w:rPr>
        <w:instrText xml:space="preserve">  \* </w:instrText>
      </w:r>
      <w:r w:rsidRPr="00BA4C90">
        <w:rPr>
          <w:rStyle w:val="af6"/>
          <w:rFonts w:eastAsia="Guttman Hodes"/>
        </w:rPr>
        <w:instrText>MERGEFORMAT</w:instrText>
      </w:r>
      <w:r w:rsidRPr="00BA4C90">
        <w:rPr>
          <w:rStyle w:val="af6"/>
          <w:rFonts w:eastAsia="Guttman Hodes"/>
          <w:rtl/>
        </w:rPr>
        <w:instrText xml:space="preserve"> </w:instrText>
      </w:r>
      <w:r w:rsidRPr="00BA4C90">
        <w:rPr>
          <w:rStyle w:val="af6"/>
          <w:rFonts w:eastAsia="Guttman Hodes"/>
          <w:rtl/>
        </w:rPr>
      </w:r>
      <w:r w:rsidRPr="00BA4C90">
        <w:rPr>
          <w:rStyle w:val="af6"/>
          <w:rFonts w:eastAsia="Guttman Hodes"/>
          <w:rtl/>
        </w:rPr>
        <w:fldChar w:fldCharType="separate"/>
      </w:r>
      <w:r w:rsidR="004D1C5B">
        <w:rPr>
          <w:rStyle w:val="af6"/>
          <w:rFonts w:eastAsia="Guttman Hodes"/>
          <w:cs/>
        </w:rPr>
        <w:t>‎</w:t>
      </w:r>
      <w:r w:rsidR="004D1C5B">
        <w:rPr>
          <w:rStyle w:val="af6"/>
          <w:rFonts w:eastAsia="Guttman Hodes"/>
          <w:rtl/>
        </w:rPr>
        <w:t>צא)</w:t>
      </w:r>
      <w:r w:rsidRPr="00BA4C90">
        <w:rPr>
          <w:rStyle w:val="af6"/>
          <w:rFonts w:eastAsia="Guttman Hodes"/>
          <w:rtl/>
        </w:rPr>
        <w:fldChar w:fldCharType="end"/>
      </w:r>
      <w:r>
        <w:rPr>
          <w:rFonts w:hint="cs"/>
          <w:rtl/>
        </w:rPr>
        <w:t>]</w:t>
      </w:r>
      <w:r w:rsidRPr="00BA4C90">
        <w:rPr>
          <w:rFonts w:hint="cs"/>
          <w:rtl/>
        </w:rPr>
        <w:t>.</w:t>
      </w:r>
    </w:p>
    <w:p w:rsidR="0013006A" w:rsidRPr="00BA4C90" w:rsidRDefault="0013006A" w:rsidP="0013006A">
      <w:pPr>
        <w:pStyle w:val="a2"/>
      </w:pPr>
      <w:bookmarkStart w:id="9800" w:name="_Toc19082141"/>
      <w:bookmarkStart w:id="9801" w:name="_Toc19129431"/>
      <w:bookmarkStart w:id="9802" w:name="_Toc19129985"/>
      <w:bookmarkStart w:id="9803" w:name="_Toc19170918"/>
      <w:bookmarkStart w:id="9804" w:name="_Toc19180774"/>
      <w:r w:rsidRPr="00BA4C90">
        <w:rPr>
          <w:rFonts w:hint="cs"/>
          <w:rtl/>
        </w:rPr>
        <w:t>תירוץ ה</w:t>
      </w:r>
      <w:r w:rsidR="00250230">
        <w:rPr>
          <w:rFonts w:hint="cs"/>
          <w:rtl/>
        </w:rPr>
        <w:t>פלתי</w:t>
      </w:r>
      <w:r w:rsidRPr="00BA4C90">
        <w:rPr>
          <w:rFonts w:hint="cs"/>
          <w:rtl/>
        </w:rPr>
        <w:t xml:space="preserve"> והגרעק"א דלדידן דקיי"ל דשלא כדרך הנאתן מותר א"צ את הילפותא מנבילה</w:t>
      </w:r>
      <w:bookmarkEnd w:id="9800"/>
      <w:bookmarkEnd w:id="9801"/>
      <w:bookmarkEnd w:id="9802"/>
      <w:bookmarkEnd w:id="9803"/>
      <w:bookmarkEnd w:id="9804"/>
    </w:p>
    <w:p w:rsidR="0013006A" w:rsidRDefault="0013006A" w:rsidP="009F44AF">
      <w:pPr>
        <w:pStyle w:val="a"/>
        <w:rPr>
          <w:rtl/>
        </w:rPr>
      </w:pPr>
      <w:r w:rsidRPr="00BA4C90">
        <w:rPr>
          <w:rFonts w:hint="cs"/>
          <w:rtl/>
        </w:rPr>
        <w:t xml:space="preserve">ועי' במה שתירצו </w:t>
      </w:r>
      <w:r w:rsidRPr="00BA4C90">
        <w:rPr>
          <w:rStyle w:val="af8"/>
          <w:rFonts w:hint="cs"/>
          <w:rtl/>
        </w:rPr>
        <w:t>ה</w:t>
      </w:r>
      <w:r w:rsidR="00250230">
        <w:rPr>
          <w:rStyle w:val="af8"/>
          <w:rFonts w:hint="cs"/>
          <w:rtl/>
        </w:rPr>
        <w:t>פלתי</w:t>
      </w:r>
      <w:r w:rsidRPr="006A1C1B">
        <w:rPr>
          <w:rStyle w:val="af6"/>
          <w:rFonts w:eastAsia="Guttman Hodes" w:hint="cs"/>
          <w:rtl/>
        </w:rPr>
        <w:t xml:space="preserve"> </w:t>
      </w:r>
      <w:r w:rsidRPr="005920EB">
        <w:rPr>
          <w:rStyle w:val="af6"/>
          <w:rFonts w:eastAsia="Guttman Hodes" w:hint="cs"/>
          <w:rtl/>
        </w:rPr>
        <w:t>(עי' בהערה</w:t>
      </w:r>
      <w:bookmarkStart w:id="9805" w:name="_Ref19007294"/>
      <w:r w:rsidRPr="005920EB">
        <w:rPr>
          <w:rStyle w:val="af0"/>
          <w:rtl/>
        </w:rPr>
        <w:footnoteReference w:id="42"/>
      </w:r>
      <w:bookmarkEnd w:id="9805"/>
      <w:r w:rsidRPr="005920EB">
        <w:rPr>
          <w:rStyle w:val="af6"/>
          <w:rFonts w:eastAsia="Guttman Hodes" w:hint="cs"/>
          <w:rtl/>
        </w:rPr>
        <w:t>)</w:t>
      </w:r>
      <w:r w:rsidRPr="006A1C1B">
        <w:rPr>
          <w:rStyle w:val="af6"/>
          <w:rFonts w:eastAsia="Guttman Hodes" w:hint="cs"/>
          <w:rtl/>
        </w:rPr>
        <w:t xml:space="preserve"> </w:t>
      </w:r>
      <w:r w:rsidRPr="005920EB">
        <w:rPr>
          <w:rStyle w:val="af8"/>
          <w:rFonts w:hint="cs"/>
          <w:rtl/>
        </w:rPr>
        <w:t>והגרעק"א</w:t>
      </w:r>
      <w:r>
        <w:rPr>
          <w:rStyle w:val="af6"/>
          <w:rFonts w:eastAsia="Guttman Hodes" w:hint="cs"/>
          <w:rtl/>
        </w:rPr>
        <w:t xml:space="preserve"> </w:t>
      </w:r>
      <w:r w:rsidRPr="005920EB">
        <w:rPr>
          <w:rStyle w:val="af6"/>
          <w:rFonts w:eastAsia="Guttman Hodes" w:hint="cs"/>
          <w:rtl/>
        </w:rPr>
        <w:t>(עי' בהערה</w:t>
      </w:r>
      <w:bookmarkStart w:id="9806" w:name="_Ref19693212"/>
      <w:r>
        <w:rPr>
          <w:rStyle w:val="af0"/>
          <w:rtl/>
        </w:rPr>
        <w:footnoteReference w:id="43"/>
      </w:r>
      <w:bookmarkEnd w:id="9806"/>
      <w:r w:rsidRPr="005920EB">
        <w:rPr>
          <w:rStyle w:val="af6"/>
          <w:rFonts w:eastAsia="Guttman Hodes" w:hint="cs"/>
          <w:rtl/>
        </w:rPr>
        <w:t>)</w:t>
      </w:r>
      <w:r w:rsidRPr="006A1C1B">
        <w:rPr>
          <w:rStyle w:val="af6"/>
          <w:rFonts w:eastAsia="Guttman Hodes" w:hint="cs"/>
          <w:rtl/>
        </w:rPr>
        <w:t xml:space="preserve"> </w:t>
      </w:r>
      <w:r w:rsidRPr="005920EB">
        <w:rPr>
          <w:rFonts w:hint="cs"/>
          <w:rtl/>
        </w:rPr>
        <w:t xml:space="preserve">דס"ל </w:t>
      </w:r>
      <w:r w:rsidRPr="005920EB">
        <w:rPr>
          <w:rStyle w:val="af8"/>
          <w:rFonts w:hint="cs"/>
          <w:rtl/>
        </w:rPr>
        <w:t>להרמב"ם</w:t>
      </w:r>
      <w:r w:rsidRPr="005920EB">
        <w:rPr>
          <w:rFonts w:hint="cs"/>
          <w:rtl/>
        </w:rPr>
        <w:t xml:space="preserve"> דלדידן </w:t>
      </w:r>
      <w:r>
        <w:rPr>
          <w:rFonts w:hint="cs"/>
          <w:rtl/>
        </w:rPr>
        <w:t xml:space="preserve">דקיי"ל דשלא כדרך הנאתן מותר, </w:t>
      </w:r>
      <w:r w:rsidRPr="005920EB">
        <w:rPr>
          <w:rFonts w:hint="cs"/>
          <w:rtl/>
        </w:rPr>
        <w:t>א"צ את הילפותא מנבילה שאינה ראויה לגר</w:t>
      </w:r>
      <w:r>
        <w:rPr>
          <w:rFonts w:hint="cs"/>
          <w:rtl/>
        </w:rPr>
        <w:t>.</w:t>
      </w:r>
    </w:p>
    <w:p w:rsidR="0013006A" w:rsidRPr="00E757E8" w:rsidRDefault="0013006A" w:rsidP="0013006A">
      <w:pPr>
        <w:pStyle w:val="a2"/>
      </w:pPr>
      <w:bookmarkStart w:id="9807" w:name="_Toc19129432"/>
      <w:bookmarkStart w:id="9808" w:name="_Toc19129986"/>
      <w:bookmarkStart w:id="9809" w:name="_Toc19170919"/>
      <w:bookmarkStart w:id="9810" w:name="_Toc19180775"/>
      <w:r>
        <w:rPr>
          <w:rFonts w:hint="cs"/>
          <w:rtl/>
        </w:rPr>
        <w:t>תירוץ הנוב"י דלהרמב"ם לא ילפינן מנבילה לנטל"פ וחייב בב"ח אף בהסריח ולא כדרך הנאתן</w:t>
      </w:r>
      <w:bookmarkEnd w:id="9807"/>
      <w:bookmarkEnd w:id="9808"/>
      <w:bookmarkEnd w:id="9809"/>
      <w:bookmarkEnd w:id="9810"/>
    </w:p>
    <w:p w:rsidR="0013006A" w:rsidRPr="005920EB" w:rsidRDefault="0013006A" w:rsidP="009F44AF">
      <w:pPr>
        <w:pStyle w:val="a"/>
        <w:rPr>
          <w:rtl/>
        </w:rPr>
      </w:pPr>
      <w:r>
        <w:rPr>
          <w:rFonts w:hint="cs"/>
          <w:rtl/>
        </w:rPr>
        <w:t xml:space="preserve">ועי' במה שתירץ </w:t>
      </w:r>
      <w:r w:rsidRPr="007638DF">
        <w:rPr>
          <w:rStyle w:val="af8"/>
          <w:rFonts w:hint="cs"/>
          <w:rtl/>
        </w:rPr>
        <w:t>הנוב"י</w:t>
      </w:r>
      <w:r>
        <w:rPr>
          <w:rFonts w:hint="cs"/>
          <w:rtl/>
        </w:rPr>
        <w:t xml:space="preserve"> </w:t>
      </w:r>
      <w:r w:rsidRPr="005920EB">
        <w:rPr>
          <w:rStyle w:val="af6"/>
          <w:rFonts w:eastAsia="Guttman Hodes" w:hint="cs"/>
          <w:rtl/>
        </w:rPr>
        <w:t>(עי' בהערה</w:t>
      </w:r>
      <w:r>
        <w:rPr>
          <w:rStyle w:val="af0"/>
          <w:rtl/>
        </w:rPr>
        <w:footnoteReference w:id="44"/>
      </w:r>
      <w:r w:rsidRPr="005920EB">
        <w:rPr>
          <w:rStyle w:val="af6"/>
          <w:rFonts w:eastAsia="Guttman Hodes" w:hint="cs"/>
          <w:rtl/>
        </w:rPr>
        <w:t>)</w:t>
      </w:r>
      <w:r w:rsidRPr="00E757E8">
        <w:rPr>
          <w:rFonts w:hint="cs"/>
          <w:rtl/>
        </w:rPr>
        <w:t xml:space="preserve"> </w:t>
      </w:r>
      <w:r>
        <w:rPr>
          <w:rFonts w:hint="cs"/>
          <w:rtl/>
        </w:rPr>
        <w:t xml:space="preserve">דס"ל </w:t>
      </w:r>
      <w:r w:rsidRPr="00E757E8">
        <w:rPr>
          <w:rStyle w:val="af8"/>
          <w:rFonts w:hint="cs"/>
          <w:rtl/>
        </w:rPr>
        <w:t>להרמב"ם</w:t>
      </w:r>
      <w:r>
        <w:rPr>
          <w:rFonts w:hint="cs"/>
          <w:rtl/>
        </w:rPr>
        <w:t xml:space="preserve"> דקיי"ל כר"מ דלא ילפינן לנותן טעם לפגם, מנבילה שאינה ראויה לגר, והפטור בהסריח והבאיש הוא רק מדין שלא כדרך הנאתן, ולכן בבשר בחלב חייב אף בהסריח והבאיש</w:t>
      </w:r>
      <w:r w:rsidRPr="005920EB">
        <w:rPr>
          <w:rFonts w:hint="cs"/>
          <w:rtl/>
        </w:rPr>
        <w:t xml:space="preserve">. </w:t>
      </w:r>
    </w:p>
    <w:p w:rsidR="0013006A" w:rsidRPr="00A37615" w:rsidRDefault="0013006A" w:rsidP="0013006A">
      <w:pPr>
        <w:pStyle w:val="a2"/>
        <w:rPr>
          <w:rtl/>
        </w:rPr>
      </w:pPr>
      <w:bookmarkStart w:id="9811" w:name="_Toc19129433"/>
      <w:bookmarkStart w:id="9812" w:name="_Toc19129987"/>
      <w:bookmarkStart w:id="9813" w:name="_Toc19170920"/>
      <w:bookmarkStart w:id="9814" w:name="_Toc19180776"/>
      <w:bookmarkStart w:id="9815" w:name="_Toc19082142"/>
      <w:r>
        <w:rPr>
          <w:rFonts w:hint="cs"/>
          <w:rtl/>
        </w:rPr>
        <w:t>ביאור הפר"ח ברמב"ם דבעירב דבר מר אינו ראוי לגר ומותר אף שיש רוב איסור ובב"ח אסור</w:t>
      </w:r>
      <w:bookmarkEnd w:id="9811"/>
      <w:bookmarkEnd w:id="9812"/>
      <w:bookmarkEnd w:id="9813"/>
      <w:bookmarkEnd w:id="9814"/>
    </w:p>
    <w:p w:rsidR="0013006A" w:rsidRDefault="0013006A" w:rsidP="009F44AF">
      <w:pPr>
        <w:pStyle w:val="a"/>
        <w:rPr>
          <w:rtl/>
        </w:rPr>
      </w:pPr>
      <w:r w:rsidRPr="00A35665">
        <w:rPr>
          <w:rStyle w:val="af8"/>
          <w:rFonts w:hint="cs"/>
          <w:rtl/>
        </w:rPr>
        <w:t>והפר"ח בספר מים חיים</w:t>
      </w:r>
      <w:r w:rsidRPr="00A35665">
        <w:rPr>
          <w:rFonts w:hint="cs"/>
          <w:rtl/>
        </w:rPr>
        <w:t xml:space="preserve"> </w:t>
      </w:r>
      <w:r w:rsidRPr="00A35665">
        <w:rPr>
          <w:rStyle w:val="af6"/>
          <w:rFonts w:eastAsia="Guttman Hodes" w:hint="cs"/>
          <w:rtl/>
        </w:rPr>
        <w:t>(מאכ"א פי"ד הי"א)</w:t>
      </w:r>
      <w:r w:rsidRPr="00A35665">
        <w:rPr>
          <w:rFonts w:hint="cs"/>
          <w:rtl/>
        </w:rPr>
        <w:t xml:space="preserve"> ביאר דהא דכתב </w:t>
      </w:r>
      <w:r w:rsidRPr="000729FE">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Ref19034347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E96710">
        <w:rPr>
          <w:rStyle w:val="af6"/>
          <w:rFonts w:eastAsia="Guttman Hodes"/>
          <w:rtl/>
        </w:rPr>
        <w:fldChar w:fldCharType="end"/>
      </w:r>
      <w:r>
        <w:rPr>
          <w:rFonts w:hint="cs"/>
          <w:rtl/>
        </w:rPr>
        <w:t xml:space="preserve"> </w:t>
      </w:r>
      <w:r w:rsidRPr="00A35665">
        <w:rPr>
          <w:rFonts w:hint="cs"/>
          <w:rtl/>
        </w:rPr>
        <w:t>דנותן טעם לפגם הוא אף כשעירב דברים מרים לתוך האיסור ואכלו כשהוא מר, דכוונתו לומר דאף שיש רוב באיסור כנגד ההיתר, מ"מ כיון שאכלו מר מותר, דבטל מאכילת</w:t>
      </w:r>
      <w:r w:rsidRPr="00A013B9">
        <w:rPr>
          <w:rFonts w:hint="cs"/>
          <w:rtl/>
        </w:rPr>
        <w:t xml:space="preserve"> אדם לגמרי, והוא כנבילה שאינה ראויה לגר, ולכן כתב </w:t>
      </w:r>
      <w:r w:rsidRPr="000729FE">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Ref19034938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E96710">
        <w:rPr>
          <w:rStyle w:val="af6"/>
          <w:rFonts w:eastAsia="Guttman Hodes"/>
          <w:rtl/>
        </w:rPr>
        <w:fldChar w:fldCharType="end"/>
      </w:r>
      <w:r>
        <w:rPr>
          <w:rFonts w:hint="cs"/>
          <w:rtl/>
        </w:rPr>
        <w:t xml:space="preserve"> </w:t>
      </w:r>
      <w:r w:rsidRPr="00A013B9">
        <w:rPr>
          <w:rFonts w:hint="cs"/>
          <w:rtl/>
        </w:rPr>
        <w:t>דבבשר בחלב וכלאי הכרם חייב אף כשעירב בהם דבר מר ואכלם</w:t>
      </w:r>
      <w:r>
        <w:rPr>
          <w:rFonts w:hint="cs"/>
          <w:rtl/>
        </w:rPr>
        <w:t>.</w:t>
      </w:r>
    </w:p>
    <w:p w:rsidR="0013006A" w:rsidRDefault="0013006A" w:rsidP="0013006A">
      <w:pPr>
        <w:pStyle w:val="1"/>
        <w:rPr>
          <w:rtl/>
        </w:rPr>
      </w:pPr>
      <w:bookmarkStart w:id="9816" w:name="_Toc19129434"/>
      <w:bookmarkStart w:id="9817" w:name="_Toc19129988"/>
      <w:bookmarkStart w:id="9818" w:name="_Toc19170921"/>
      <w:bookmarkStart w:id="9819" w:name="_Toc19180777"/>
      <w:r>
        <w:rPr>
          <w:rFonts w:hint="cs"/>
          <w:rtl/>
        </w:rPr>
        <w:t>דברי ה</w:t>
      </w:r>
      <w:r w:rsidR="00250230">
        <w:rPr>
          <w:rFonts w:hint="cs"/>
          <w:rtl/>
        </w:rPr>
        <w:t>פלתי</w:t>
      </w:r>
      <w:r>
        <w:rPr>
          <w:rFonts w:hint="cs"/>
          <w:rtl/>
        </w:rPr>
        <w:t xml:space="preserve"> דלהרמב"ם דנותן טעם לפגם אסור בבב"ח</w:t>
      </w:r>
      <w:bookmarkEnd w:id="9815"/>
      <w:bookmarkEnd w:id="9816"/>
      <w:bookmarkEnd w:id="9817"/>
      <w:bookmarkEnd w:id="9818"/>
      <w:bookmarkEnd w:id="9819"/>
      <w:r>
        <w:rPr>
          <w:rFonts w:hint="cs"/>
          <w:rtl/>
        </w:rPr>
        <w:t xml:space="preserve"> </w:t>
      </w:r>
    </w:p>
    <w:p w:rsidR="0013006A" w:rsidRPr="00A37615" w:rsidRDefault="0013006A" w:rsidP="0013006A">
      <w:pPr>
        <w:pStyle w:val="a2"/>
      </w:pPr>
      <w:bookmarkStart w:id="9820" w:name="_Toc19082143"/>
      <w:bookmarkStart w:id="9821" w:name="_Toc19129435"/>
      <w:bookmarkStart w:id="9822" w:name="_Toc19129989"/>
      <w:bookmarkStart w:id="9823" w:name="_Toc19170922"/>
      <w:bookmarkStart w:id="9824" w:name="_Toc19180778"/>
      <w:r w:rsidRPr="00A37615">
        <w:rPr>
          <w:rFonts w:hint="cs"/>
          <w:rtl/>
        </w:rPr>
        <w:t>דברי ה</w:t>
      </w:r>
      <w:r w:rsidR="00250230">
        <w:rPr>
          <w:rFonts w:hint="cs"/>
          <w:rtl/>
        </w:rPr>
        <w:t>פלתי</w:t>
      </w:r>
      <w:r w:rsidRPr="00A37615">
        <w:rPr>
          <w:rFonts w:hint="cs"/>
          <w:rtl/>
        </w:rPr>
        <w:t xml:space="preserve"> דמבואר ברמב"ם דבבשר בחלב חייב אף בנטל"פ דהא חייב בשלא כדרך הנאתן</w:t>
      </w:r>
      <w:bookmarkEnd w:id="9820"/>
      <w:bookmarkEnd w:id="9821"/>
      <w:bookmarkEnd w:id="9822"/>
      <w:bookmarkEnd w:id="9823"/>
      <w:bookmarkEnd w:id="9824"/>
    </w:p>
    <w:p w:rsidR="0013006A" w:rsidRPr="00BC6661" w:rsidRDefault="0013006A" w:rsidP="009F44AF">
      <w:pPr>
        <w:pStyle w:val="a"/>
        <w:rPr>
          <w:rStyle w:val="afa"/>
        </w:rPr>
      </w:pPr>
      <w:bookmarkStart w:id="9825" w:name="_Ref19043108"/>
      <w:bookmarkStart w:id="9826" w:name="_Ref19178334"/>
      <w:r w:rsidRPr="001934FA">
        <w:rPr>
          <w:rFonts w:hint="cs"/>
          <w:rtl/>
        </w:rPr>
        <w:t>וכתב</w:t>
      </w:r>
      <w:r>
        <w:rPr>
          <w:rFonts w:hint="cs"/>
          <w:rtl/>
        </w:rPr>
        <w:t xml:space="preserve"> </w:t>
      </w:r>
      <w:r w:rsidRPr="00D409FE">
        <w:rPr>
          <w:rStyle w:val="af8"/>
          <w:rFonts w:hint="cs"/>
          <w:rtl/>
        </w:rPr>
        <w:t>ה</w:t>
      </w:r>
      <w:r w:rsidR="00250230">
        <w:rPr>
          <w:rStyle w:val="af8"/>
          <w:rFonts w:hint="cs"/>
          <w:rtl/>
        </w:rPr>
        <w:t>פלתי</w:t>
      </w:r>
      <w:r w:rsidRPr="005920EB">
        <w:rPr>
          <w:rFonts w:hint="cs"/>
          <w:rtl/>
        </w:rPr>
        <w:t xml:space="preserve"> </w:t>
      </w:r>
      <w:r w:rsidRPr="005920EB">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פ</w:t>
      </w:r>
      <w:r>
        <w:rPr>
          <w:rStyle w:val="af6"/>
          <w:rFonts w:eastAsia="Guttman Hodes"/>
          <w:rtl/>
        </w:rPr>
        <w:t>"</w:t>
      </w:r>
      <w:r>
        <w:rPr>
          <w:rStyle w:val="af6"/>
          <w:rFonts w:eastAsia="Guttman Hodes" w:hint="cs"/>
          <w:rtl/>
        </w:rPr>
        <w:t>ז סקט</w:t>
      </w:r>
      <w:r>
        <w:rPr>
          <w:rStyle w:val="af6"/>
          <w:rFonts w:eastAsia="Guttman Hodes"/>
          <w:rtl/>
        </w:rPr>
        <w:t>"</w:t>
      </w:r>
      <w:r>
        <w:rPr>
          <w:rStyle w:val="af6"/>
          <w:rFonts w:eastAsia="Guttman Hodes" w:hint="cs"/>
          <w:rtl/>
        </w:rPr>
        <w:t>ו</w:t>
      </w:r>
      <w:r w:rsidRPr="005920EB">
        <w:rPr>
          <w:rStyle w:val="af6"/>
          <w:rFonts w:eastAsia="Guttman Hodes" w:hint="cs"/>
          <w:rtl/>
        </w:rPr>
        <w:t>)</w:t>
      </w:r>
      <w:r w:rsidRPr="005920EB">
        <w:rPr>
          <w:rFonts w:hint="cs"/>
          <w:rtl/>
        </w:rPr>
        <w:t xml:space="preserve"> </w:t>
      </w:r>
      <w:r>
        <w:rPr>
          <w:rFonts w:hint="cs"/>
          <w:rtl/>
        </w:rPr>
        <w:t xml:space="preserve">דמ"מ מבואר </w:t>
      </w:r>
      <w:r w:rsidRPr="00D409FE">
        <w:rPr>
          <w:rStyle w:val="af8"/>
          <w:rFonts w:hint="cs"/>
          <w:rtl/>
        </w:rPr>
        <w:t>ברמב"ם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Ref19034938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E96710">
        <w:rPr>
          <w:rStyle w:val="af6"/>
          <w:rFonts w:eastAsia="Guttman Hodes"/>
          <w:rtl/>
        </w:rPr>
        <w:fldChar w:fldCharType="end"/>
      </w:r>
      <w:r>
        <w:rPr>
          <w:rFonts w:hint="cs"/>
          <w:rtl/>
        </w:rPr>
        <w:t xml:space="preserve"> דהאיסור בבשר וחלב, הוא אף בנותן טעם לפגם, כיון שחייב עליהם אף שלא </w:t>
      </w:r>
      <w:r>
        <w:rPr>
          <w:rFonts w:hint="cs"/>
          <w:rtl/>
        </w:rPr>
        <w:lastRenderedPageBreak/>
        <w:t>כדרך הנאתן</w:t>
      </w:r>
      <w:bookmarkEnd w:id="9825"/>
      <w:r>
        <w:rPr>
          <w:rFonts w:hint="cs"/>
          <w:rtl/>
        </w:rPr>
        <w:t xml:space="preserve">. </w:t>
      </w:r>
      <w:r w:rsidRPr="00BC6661">
        <w:rPr>
          <w:rStyle w:val="afa"/>
          <w:rFonts w:hint="cs"/>
          <w:rtl/>
        </w:rPr>
        <w:t xml:space="preserve">[אך כתב </w:t>
      </w:r>
      <w:r w:rsidRPr="00BC6661">
        <w:rPr>
          <w:rStyle w:val="affa"/>
          <w:rFonts w:hint="cs"/>
          <w:rtl/>
        </w:rPr>
        <w:t>ה</w:t>
      </w:r>
      <w:r w:rsidR="00250230">
        <w:rPr>
          <w:rStyle w:val="affa"/>
          <w:rFonts w:hint="cs"/>
          <w:rtl/>
        </w:rPr>
        <w:t>פלתי</w:t>
      </w:r>
      <w:r w:rsidRPr="00BC6661">
        <w:rPr>
          <w:rStyle w:val="afa"/>
          <w:rFonts w:hint="cs"/>
          <w:rtl/>
        </w:rPr>
        <w:t xml:space="preserve"> </w:t>
      </w:r>
      <w:r w:rsidRPr="00BC6661">
        <w:rPr>
          <w:rStyle w:val="aff6"/>
          <w:rFonts w:hint="cs"/>
          <w:rtl/>
        </w:rPr>
        <w:t xml:space="preserve">(עי' אות </w:t>
      </w:r>
      <w:r w:rsidRPr="00BC6661">
        <w:rPr>
          <w:rStyle w:val="aff6"/>
          <w:rtl/>
        </w:rPr>
        <w:fldChar w:fldCharType="begin"/>
      </w:r>
      <w:r w:rsidRPr="00BC6661">
        <w:rPr>
          <w:rStyle w:val="aff6"/>
          <w:rtl/>
        </w:rPr>
        <w:instrText xml:space="preserve"> </w:instrText>
      </w:r>
      <w:r w:rsidRPr="00BC6661">
        <w:rPr>
          <w:rStyle w:val="aff6"/>
          <w:rFonts w:hint="cs"/>
        </w:rPr>
        <w:instrText>REF</w:instrText>
      </w:r>
      <w:r w:rsidRPr="00BC6661">
        <w:rPr>
          <w:rStyle w:val="aff6"/>
          <w:rFonts w:hint="cs"/>
          <w:rtl/>
        </w:rPr>
        <w:instrText xml:space="preserve"> _</w:instrText>
      </w:r>
      <w:r w:rsidRPr="00BC6661">
        <w:rPr>
          <w:rStyle w:val="aff6"/>
          <w:rFonts w:hint="cs"/>
        </w:rPr>
        <w:instrText>Ref19118010 \r \h</w:instrText>
      </w:r>
      <w:r w:rsidRPr="00BC6661">
        <w:rPr>
          <w:rStyle w:val="aff6"/>
          <w:rtl/>
        </w:rPr>
        <w:instrText xml:space="preserve"> </w:instrText>
      </w:r>
      <w:r w:rsidRPr="00BC6661">
        <w:rPr>
          <w:rStyle w:val="aff6"/>
          <w:rtl/>
        </w:rPr>
      </w:r>
      <w:r w:rsidRPr="00BC6661">
        <w:rPr>
          <w:rStyle w:val="aff6"/>
          <w:rtl/>
        </w:rPr>
        <w:fldChar w:fldCharType="separate"/>
      </w:r>
      <w:r w:rsidR="004D1C5B">
        <w:rPr>
          <w:rStyle w:val="aff6"/>
          <w:cs/>
        </w:rPr>
        <w:t>‎</w:t>
      </w:r>
      <w:r w:rsidR="004D1C5B">
        <w:rPr>
          <w:rStyle w:val="aff6"/>
          <w:rtl/>
        </w:rPr>
        <w:t>פה)</w:t>
      </w:r>
      <w:r w:rsidRPr="00BC6661">
        <w:rPr>
          <w:rStyle w:val="aff6"/>
          <w:rtl/>
        </w:rPr>
        <w:fldChar w:fldCharType="end"/>
      </w:r>
      <w:r w:rsidRPr="00BC6661">
        <w:rPr>
          <w:rStyle w:val="afa"/>
          <w:rFonts w:hint="cs"/>
          <w:rtl/>
        </w:rPr>
        <w:t xml:space="preserve"> דכ"ז הוא רק לאחר שנאסר הבשר בחלב כשהיה משובח ואח"כ נפגם, עי' בדבריו].</w:t>
      </w:r>
      <w:bookmarkEnd w:id="9826"/>
    </w:p>
    <w:p w:rsidR="0013006A" w:rsidRDefault="0013006A" w:rsidP="0013006A">
      <w:pPr>
        <w:pStyle w:val="1"/>
        <w:rPr>
          <w:rtl/>
        </w:rPr>
      </w:pPr>
      <w:bookmarkStart w:id="9827" w:name="_Toc19082145"/>
      <w:bookmarkStart w:id="9828" w:name="_Toc19129436"/>
      <w:bookmarkStart w:id="9829" w:name="_Toc19129990"/>
      <w:bookmarkStart w:id="9830" w:name="_Toc19170923"/>
      <w:bookmarkStart w:id="9831" w:name="_Toc19180779"/>
      <w:bookmarkStart w:id="9832" w:name="_Toc19082147"/>
      <w:r>
        <w:rPr>
          <w:rFonts w:hint="cs"/>
          <w:rtl/>
        </w:rPr>
        <w:t>דברי האחרונים ברמב"ם דבב"ח שנפל לתבשיל מותר</w:t>
      </w:r>
      <w:bookmarkEnd w:id="9827"/>
      <w:r>
        <w:rPr>
          <w:rFonts w:hint="cs"/>
          <w:rtl/>
        </w:rPr>
        <w:t xml:space="preserve"> בנטל"פ</w:t>
      </w:r>
      <w:bookmarkEnd w:id="9828"/>
      <w:bookmarkEnd w:id="9829"/>
      <w:bookmarkEnd w:id="9830"/>
      <w:bookmarkEnd w:id="9831"/>
    </w:p>
    <w:p w:rsidR="0013006A" w:rsidRPr="00A7556C" w:rsidRDefault="0013006A" w:rsidP="0013006A">
      <w:pPr>
        <w:pStyle w:val="a2"/>
      </w:pPr>
      <w:bookmarkStart w:id="9833" w:name="_Toc19129437"/>
      <w:bookmarkStart w:id="9834" w:name="_Toc19129991"/>
      <w:bookmarkStart w:id="9835" w:name="_Toc19170924"/>
      <w:bookmarkStart w:id="9836" w:name="_Toc19180780"/>
      <w:r>
        <w:rPr>
          <w:rFonts w:hint="cs"/>
          <w:rtl/>
        </w:rPr>
        <w:t xml:space="preserve">ביאור </w:t>
      </w:r>
      <w:r w:rsidRPr="00A37615">
        <w:rPr>
          <w:rFonts w:hint="cs"/>
          <w:rtl/>
        </w:rPr>
        <w:t xml:space="preserve">הפרמ"ג </w:t>
      </w:r>
      <w:r>
        <w:rPr>
          <w:rFonts w:hint="cs"/>
          <w:rtl/>
        </w:rPr>
        <w:t>והרלב"ח ברמב"ם דבב"ח אסור רק בפנ"ע אבל בתערובת מותר מדין נטל"פ</w:t>
      </w:r>
      <w:bookmarkEnd w:id="9833"/>
      <w:bookmarkEnd w:id="9834"/>
      <w:bookmarkEnd w:id="9835"/>
      <w:bookmarkEnd w:id="9836"/>
    </w:p>
    <w:p w:rsidR="0013006A" w:rsidRDefault="0013006A" w:rsidP="009F44AF">
      <w:pPr>
        <w:pStyle w:val="a"/>
        <w:rPr>
          <w:rtl/>
        </w:rPr>
      </w:pPr>
      <w:bookmarkStart w:id="9837" w:name="_Ref19117391"/>
      <w:bookmarkEnd w:id="9832"/>
      <w:r>
        <w:rPr>
          <w:rFonts w:hint="cs"/>
          <w:rtl/>
        </w:rPr>
        <w:t xml:space="preserve">אבל </w:t>
      </w:r>
      <w:r w:rsidRPr="00886F54">
        <w:rPr>
          <w:rStyle w:val="af8"/>
          <w:rFonts w:hint="cs"/>
          <w:rtl/>
        </w:rPr>
        <w:t>הפרמ"ג</w:t>
      </w:r>
      <w:r>
        <w:rPr>
          <w:rFonts w:hint="cs"/>
          <w:rtl/>
        </w:rPr>
        <w:t xml:space="preserve"> </w:t>
      </w:r>
      <w:r w:rsidRPr="00886F54">
        <w:rPr>
          <w:rStyle w:val="af6"/>
          <w:rFonts w:eastAsia="Guttman Hodes" w:hint="cs"/>
          <w:rtl/>
        </w:rPr>
        <w:t>(סוף פתיחה להל' בשר בחלב ד"ה ודע</w:t>
      </w:r>
      <w:r>
        <w:rPr>
          <w:rStyle w:val="af6"/>
          <w:rFonts w:eastAsia="Guttman Hodes" w:hint="cs"/>
          <w:rtl/>
        </w:rPr>
        <w:t>,</w:t>
      </w:r>
      <w:r w:rsidRPr="00E01C7B">
        <w:rPr>
          <w:rFonts w:hint="cs"/>
          <w:rtl/>
        </w:rPr>
        <w:t xml:space="preserve"> </w:t>
      </w:r>
      <w:r w:rsidRPr="0045500D">
        <w:rPr>
          <w:rStyle w:val="af6"/>
          <w:rFonts w:eastAsia="Guttman Hodes" w:hint="cs"/>
          <w:rtl/>
        </w:rPr>
        <w:t>סי' צ"</w:t>
      </w:r>
      <w:r w:rsidRPr="006D6B03">
        <w:rPr>
          <w:rStyle w:val="af6"/>
          <w:rFonts w:eastAsia="Guttman Hodes" w:hint="cs"/>
          <w:rtl/>
        </w:rPr>
        <w:t>ד משב"ז סק"ד)</w:t>
      </w:r>
      <w:r w:rsidRPr="006D6B03">
        <w:rPr>
          <w:rFonts w:hint="cs"/>
          <w:rtl/>
        </w:rPr>
        <w:t xml:space="preserve"> </w:t>
      </w:r>
      <w:r>
        <w:rPr>
          <w:rFonts w:hint="cs"/>
          <w:rtl/>
        </w:rPr>
        <w:t xml:space="preserve">כתב </w:t>
      </w:r>
      <w:r w:rsidRPr="006D6B03">
        <w:rPr>
          <w:rFonts w:hint="cs"/>
          <w:rtl/>
        </w:rPr>
        <w:t xml:space="preserve">דאף </w:t>
      </w:r>
      <w:r>
        <w:rPr>
          <w:rFonts w:hint="cs"/>
          <w:rtl/>
        </w:rPr>
        <w:t xml:space="preserve">שכתב </w:t>
      </w:r>
      <w:r>
        <w:rPr>
          <w:rStyle w:val="af8"/>
          <w:rFonts w:hint="cs"/>
          <w:rtl/>
        </w:rPr>
        <w:t>ה</w:t>
      </w:r>
      <w:r w:rsidRPr="00D409FE">
        <w:rPr>
          <w:rStyle w:val="af8"/>
          <w:rFonts w:hint="cs"/>
          <w:rtl/>
        </w:rPr>
        <w:t>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Ref19034938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E96710">
        <w:rPr>
          <w:rStyle w:val="af6"/>
          <w:rFonts w:eastAsia="Guttman Hodes"/>
          <w:rtl/>
        </w:rPr>
        <w:fldChar w:fldCharType="end"/>
      </w:r>
      <w:r>
        <w:rPr>
          <w:rFonts w:hint="cs"/>
          <w:rtl/>
        </w:rPr>
        <w:t xml:space="preserve"> דבעירב דבר מר חייב ב</w:t>
      </w:r>
      <w:r w:rsidRPr="006D6B03">
        <w:rPr>
          <w:rFonts w:hint="cs"/>
          <w:rtl/>
        </w:rPr>
        <w:t>בשר בחלב</w:t>
      </w:r>
      <w:r>
        <w:rPr>
          <w:rFonts w:hint="cs"/>
          <w:rtl/>
        </w:rPr>
        <w:t xml:space="preserve">, זהו דוקא כשהם בעין, דלגבי בשר בחלב חשיבא אכילה אף שאינו כדרך הנאה, אבל </w:t>
      </w:r>
      <w:r w:rsidRPr="006D6B03">
        <w:rPr>
          <w:rFonts w:hint="cs"/>
          <w:rtl/>
        </w:rPr>
        <w:t>, אם נפלו לתבשיל אחר אינם אוסרים אותו, דהוא נותן טעם לפגם שמותר</w:t>
      </w:r>
      <w:r>
        <w:rPr>
          <w:rFonts w:hint="cs"/>
          <w:rtl/>
        </w:rPr>
        <w:t>,</w:t>
      </w:r>
      <w:r w:rsidRPr="00475BD9">
        <w:rPr>
          <w:rFonts w:hint="cs"/>
          <w:rtl/>
        </w:rPr>
        <w:t xml:space="preserve"> </w:t>
      </w:r>
      <w:r>
        <w:rPr>
          <w:rFonts w:hint="cs"/>
          <w:rtl/>
        </w:rPr>
        <w:t xml:space="preserve">וכ"כ </w:t>
      </w:r>
      <w:r w:rsidRPr="009C1277">
        <w:rPr>
          <w:rStyle w:val="af8"/>
          <w:rFonts w:hint="cs"/>
          <w:rtl/>
        </w:rPr>
        <w:t>המרכה"מ</w:t>
      </w:r>
      <w:r>
        <w:rPr>
          <w:rFonts w:hint="cs"/>
          <w:rtl/>
        </w:rPr>
        <w:t xml:space="preserve"> </w:t>
      </w:r>
      <w:r w:rsidRPr="009C1277">
        <w:rPr>
          <w:rStyle w:val="af6"/>
          <w:rFonts w:eastAsia="Guttman Hodes" w:hint="cs"/>
          <w:rtl/>
        </w:rPr>
        <w:t xml:space="preserve">(מאכ"א פט"ו ה"ל) </w:t>
      </w:r>
      <w:r>
        <w:rPr>
          <w:rFonts w:hint="cs"/>
          <w:rtl/>
        </w:rPr>
        <w:t xml:space="preserve">בשם </w:t>
      </w:r>
      <w:r w:rsidRPr="009C1277">
        <w:rPr>
          <w:rStyle w:val="af8"/>
          <w:rFonts w:hint="cs"/>
          <w:rtl/>
        </w:rPr>
        <w:t>המהרלב"ח</w:t>
      </w:r>
      <w:r>
        <w:rPr>
          <w:rFonts w:hint="cs"/>
          <w:rtl/>
        </w:rPr>
        <w:t xml:space="preserve"> </w:t>
      </w:r>
      <w:r w:rsidRPr="009C1277">
        <w:rPr>
          <w:rStyle w:val="af6"/>
          <w:rFonts w:eastAsia="Guttman Hodes" w:hint="cs"/>
          <w:rtl/>
        </w:rPr>
        <w:t>(סי' פ"ח ד"ה כבר ביארנו)</w:t>
      </w:r>
      <w:r>
        <w:rPr>
          <w:rStyle w:val="af8"/>
          <w:rFonts w:hint="cs"/>
          <w:rtl/>
        </w:rPr>
        <w:t xml:space="preserve"> ו</w:t>
      </w:r>
      <w:r w:rsidRPr="00A013B9">
        <w:rPr>
          <w:rStyle w:val="af8"/>
          <w:rFonts w:hint="cs"/>
          <w:rtl/>
        </w:rPr>
        <w:t>הפר"ח</w:t>
      </w:r>
      <w:r w:rsidRPr="00A013B9">
        <w:rPr>
          <w:rFonts w:hint="cs"/>
          <w:rtl/>
        </w:rPr>
        <w:t xml:space="preserve"> </w:t>
      </w:r>
      <w:r w:rsidRPr="00A35665">
        <w:rPr>
          <w:rStyle w:val="af8"/>
          <w:rFonts w:hint="cs"/>
          <w:rtl/>
        </w:rPr>
        <w:t>בספר מים חיים</w:t>
      </w:r>
      <w:r w:rsidRPr="00A35665">
        <w:rPr>
          <w:rFonts w:hint="cs"/>
          <w:rtl/>
        </w:rPr>
        <w:t xml:space="preserve"> </w:t>
      </w:r>
      <w:r w:rsidRPr="00A87245">
        <w:rPr>
          <w:rStyle w:val="af6"/>
          <w:rFonts w:eastAsia="Guttman Hodes" w:hint="cs"/>
          <w:rtl/>
        </w:rPr>
        <w:t>(מאכ"א פי"ד הי"א)</w:t>
      </w:r>
      <w:r w:rsidRPr="00A35665">
        <w:rPr>
          <w:rFonts w:hint="cs"/>
          <w:rtl/>
        </w:rPr>
        <w:t xml:space="preserve"> </w:t>
      </w:r>
      <w:r w:rsidRPr="00A013B9">
        <w:rPr>
          <w:rFonts w:hint="cs"/>
          <w:rtl/>
        </w:rPr>
        <w:t>דבמקום שבשר בחלב התערב בתערובת מותר</w:t>
      </w:r>
      <w:r>
        <w:rPr>
          <w:rFonts w:hint="cs"/>
          <w:rtl/>
        </w:rPr>
        <w:t>,</w:t>
      </w:r>
      <w:r w:rsidRPr="00DD7B27">
        <w:rPr>
          <w:rFonts w:hint="cs"/>
          <w:rtl/>
        </w:rPr>
        <w:t xml:space="preserve"> </w:t>
      </w:r>
      <w:r>
        <w:rPr>
          <w:rFonts w:hint="cs"/>
          <w:rtl/>
        </w:rPr>
        <w:t xml:space="preserve">כדכתב </w:t>
      </w:r>
      <w:r w:rsidRPr="00A013B9">
        <w:rPr>
          <w:rStyle w:val="af8"/>
          <w:rFonts w:hint="cs"/>
          <w:rtl/>
        </w:rPr>
        <w:t>הרמב"ם</w:t>
      </w:r>
      <w:r w:rsidRPr="00A013B9">
        <w:rPr>
          <w:rFonts w:hint="cs"/>
          <w:rtl/>
        </w:rPr>
        <w:t xml:space="preserve"> </w:t>
      </w:r>
      <w:r w:rsidRPr="00A87245">
        <w:rPr>
          <w:rStyle w:val="af6"/>
          <w:rFonts w:eastAsia="Guttman Hodes" w:hint="cs"/>
          <w:rtl/>
        </w:rPr>
        <w:t xml:space="preserve">(עי' אות </w:t>
      </w:r>
      <w:r w:rsidRPr="00A87245">
        <w:rPr>
          <w:rStyle w:val="af6"/>
          <w:rFonts w:eastAsia="Guttman Hodes"/>
          <w:rtl/>
        </w:rPr>
        <w:fldChar w:fldCharType="begin"/>
      </w:r>
      <w:r w:rsidRPr="00A87245">
        <w:rPr>
          <w:rStyle w:val="af6"/>
          <w:rFonts w:eastAsia="Guttman Hodes"/>
          <w:rtl/>
        </w:rPr>
        <w:instrText xml:space="preserve"> </w:instrText>
      </w:r>
      <w:r w:rsidRPr="00A87245">
        <w:rPr>
          <w:rStyle w:val="af6"/>
          <w:rFonts w:eastAsia="Guttman Hodes" w:hint="cs"/>
        </w:rPr>
        <w:instrText>REF</w:instrText>
      </w:r>
      <w:r w:rsidRPr="00A87245">
        <w:rPr>
          <w:rStyle w:val="af6"/>
          <w:rFonts w:eastAsia="Guttman Hodes" w:hint="cs"/>
          <w:rtl/>
        </w:rPr>
        <w:instrText xml:space="preserve"> _</w:instrText>
      </w:r>
      <w:r w:rsidRPr="00A87245">
        <w:rPr>
          <w:rStyle w:val="af6"/>
          <w:rFonts w:eastAsia="Guttman Hodes" w:hint="cs"/>
        </w:rPr>
        <w:instrText>Ref17625423 \r \h</w:instrText>
      </w:r>
      <w:r w:rsidRPr="00A87245">
        <w:rPr>
          <w:rStyle w:val="af6"/>
          <w:rFonts w:eastAsia="Guttman Hodes"/>
          <w:rtl/>
        </w:rPr>
        <w:instrText xml:space="preserve">  \* </w:instrText>
      </w:r>
      <w:r w:rsidRPr="00A87245">
        <w:rPr>
          <w:rStyle w:val="af6"/>
          <w:rFonts w:eastAsia="Guttman Hodes"/>
        </w:rPr>
        <w:instrText>MERGEFORMAT</w:instrText>
      </w:r>
      <w:r w:rsidRPr="00A87245">
        <w:rPr>
          <w:rStyle w:val="af6"/>
          <w:rFonts w:eastAsia="Guttman Hodes"/>
          <w:rtl/>
        </w:rPr>
        <w:instrText xml:space="preserve"> </w:instrText>
      </w:r>
      <w:r w:rsidRPr="00A87245">
        <w:rPr>
          <w:rStyle w:val="af6"/>
          <w:rFonts w:eastAsia="Guttman Hodes"/>
          <w:rtl/>
        </w:rPr>
      </w:r>
      <w:r w:rsidRPr="00A87245">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A87245">
        <w:rPr>
          <w:rStyle w:val="af6"/>
          <w:rFonts w:eastAsia="Guttman Hodes"/>
          <w:rtl/>
        </w:rPr>
        <w:fldChar w:fldCharType="end"/>
      </w:r>
      <w:r>
        <w:rPr>
          <w:rFonts w:hint="cs"/>
          <w:rtl/>
        </w:rPr>
        <w:t xml:space="preserve"> להדיא דנותן טעם לפגם מותר אף בבשר בחלב,</w:t>
      </w:r>
      <w:r w:rsidRPr="00A013B9">
        <w:rPr>
          <w:rFonts w:hint="cs"/>
          <w:rtl/>
        </w:rPr>
        <w:t xml:space="preserve"> </w:t>
      </w:r>
      <w:r>
        <w:rPr>
          <w:rFonts w:hint="cs"/>
          <w:rtl/>
        </w:rPr>
        <w:t xml:space="preserve">וביאר </w:t>
      </w:r>
      <w:r w:rsidRPr="008D0682">
        <w:rPr>
          <w:rStyle w:val="af8"/>
          <w:rFonts w:hint="cs"/>
          <w:rtl/>
        </w:rPr>
        <w:t>הפר"ח</w:t>
      </w:r>
      <w:r>
        <w:rPr>
          <w:rFonts w:hint="cs"/>
          <w:rtl/>
        </w:rPr>
        <w:t xml:space="preserve"> דטעם פגום </w:t>
      </w:r>
      <w:r w:rsidRPr="00A013B9">
        <w:rPr>
          <w:rFonts w:hint="cs"/>
          <w:rtl/>
        </w:rPr>
        <w:t>אינו קרוי טעם</w:t>
      </w:r>
      <w:r>
        <w:rPr>
          <w:rFonts w:hint="cs"/>
          <w:rtl/>
        </w:rPr>
        <w:t xml:space="preserve">, </w:t>
      </w:r>
      <w:r w:rsidRPr="00121998">
        <w:rPr>
          <w:rStyle w:val="afa"/>
          <w:rFonts w:hint="cs"/>
          <w:rtl/>
        </w:rPr>
        <w:t>[</w:t>
      </w:r>
      <w:r>
        <w:rPr>
          <w:rStyle w:val="afa"/>
          <w:rFonts w:hint="cs"/>
          <w:rtl/>
        </w:rPr>
        <w:t>ועי' במ שהקשו</w:t>
      </w:r>
      <w:r w:rsidRPr="00121998">
        <w:rPr>
          <w:rStyle w:val="afa"/>
          <w:rFonts w:hint="cs"/>
          <w:rtl/>
        </w:rPr>
        <w:t xml:space="preserve"> </w:t>
      </w:r>
      <w:r w:rsidRPr="00C76D2A">
        <w:rPr>
          <w:rStyle w:val="affa"/>
          <w:rFonts w:hint="cs"/>
          <w:rtl/>
        </w:rPr>
        <w:t>האמרי ברוך</w:t>
      </w:r>
      <w:r w:rsidRPr="00121998">
        <w:rPr>
          <w:rStyle w:val="afa"/>
          <w:rFonts w:hint="cs"/>
          <w:rtl/>
        </w:rPr>
        <w:t xml:space="preserve"> </w:t>
      </w:r>
      <w:r w:rsidRPr="00C76D2A">
        <w:rPr>
          <w:rStyle w:val="aff6"/>
          <w:rFonts w:hint="cs"/>
          <w:rtl/>
        </w:rPr>
        <w:t xml:space="preserve">(עי' אות </w:t>
      </w:r>
      <w:r w:rsidRPr="00C76D2A">
        <w:rPr>
          <w:rStyle w:val="aff6"/>
          <w:rtl/>
        </w:rPr>
        <w:fldChar w:fldCharType="begin"/>
      </w:r>
      <w:r w:rsidRPr="00C76D2A">
        <w:rPr>
          <w:rStyle w:val="aff6"/>
          <w:rtl/>
        </w:rPr>
        <w:instrText xml:space="preserve"> </w:instrText>
      </w:r>
      <w:r w:rsidRPr="00C76D2A">
        <w:rPr>
          <w:rStyle w:val="aff6"/>
          <w:rFonts w:hint="cs"/>
        </w:rPr>
        <w:instrText>REF</w:instrText>
      </w:r>
      <w:r w:rsidRPr="00C76D2A">
        <w:rPr>
          <w:rStyle w:val="aff6"/>
          <w:rFonts w:hint="cs"/>
          <w:rtl/>
        </w:rPr>
        <w:instrText xml:space="preserve"> _</w:instrText>
      </w:r>
      <w:r w:rsidRPr="00C76D2A">
        <w:rPr>
          <w:rStyle w:val="aff6"/>
          <w:rFonts w:hint="cs"/>
        </w:rPr>
        <w:instrText>Ref19026131 \r \h</w:instrText>
      </w:r>
      <w:r w:rsidRPr="00C76D2A">
        <w:rPr>
          <w:rStyle w:val="aff6"/>
          <w:rtl/>
        </w:rPr>
        <w:instrText xml:space="preserve"> </w:instrText>
      </w:r>
      <w:r w:rsidRPr="00C76D2A">
        <w:rPr>
          <w:rStyle w:val="aff6"/>
          <w:rtl/>
        </w:rPr>
      </w:r>
      <w:r w:rsidRPr="00C76D2A">
        <w:rPr>
          <w:rStyle w:val="aff6"/>
          <w:rtl/>
        </w:rPr>
        <w:fldChar w:fldCharType="separate"/>
      </w:r>
      <w:r w:rsidR="004D1C5B">
        <w:rPr>
          <w:rStyle w:val="aff6"/>
          <w:cs/>
        </w:rPr>
        <w:t>‎</w:t>
      </w:r>
      <w:r w:rsidR="004D1C5B">
        <w:rPr>
          <w:rStyle w:val="aff6"/>
          <w:rtl/>
        </w:rPr>
        <w:t>סד)</w:t>
      </w:r>
      <w:r w:rsidRPr="00C76D2A">
        <w:rPr>
          <w:rStyle w:val="aff6"/>
          <w:rtl/>
        </w:rPr>
        <w:fldChar w:fldCharType="end"/>
      </w:r>
      <w:r w:rsidRPr="00121998">
        <w:rPr>
          <w:rStyle w:val="afa"/>
          <w:rFonts w:hint="cs"/>
          <w:rtl/>
        </w:rPr>
        <w:t xml:space="preserve"> </w:t>
      </w:r>
      <w:r w:rsidRPr="00C76D2A">
        <w:rPr>
          <w:rStyle w:val="affa"/>
          <w:rFonts w:hint="cs"/>
          <w:rtl/>
        </w:rPr>
        <w:t>והגר"ח</w:t>
      </w:r>
      <w:r w:rsidRPr="00121998">
        <w:rPr>
          <w:rStyle w:val="afa"/>
          <w:rFonts w:hint="cs"/>
          <w:rtl/>
        </w:rPr>
        <w:t xml:space="preserve"> </w:t>
      </w:r>
      <w:r w:rsidRPr="00C76D2A">
        <w:rPr>
          <w:rStyle w:val="aff6"/>
          <w:rFonts w:hint="cs"/>
          <w:rtl/>
        </w:rPr>
        <w:t xml:space="preserve">(עי' אות </w:t>
      </w:r>
      <w:r w:rsidRPr="00C76D2A">
        <w:rPr>
          <w:rStyle w:val="aff6"/>
          <w:rtl/>
        </w:rPr>
        <w:fldChar w:fldCharType="begin"/>
      </w:r>
      <w:r w:rsidRPr="00C76D2A">
        <w:rPr>
          <w:rStyle w:val="aff6"/>
          <w:rtl/>
        </w:rPr>
        <w:instrText xml:space="preserve"> </w:instrText>
      </w:r>
      <w:r w:rsidRPr="00C76D2A">
        <w:rPr>
          <w:rStyle w:val="aff6"/>
          <w:rFonts w:hint="cs"/>
        </w:rPr>
        <w:instrText>REF</w:instrText>
      </w:r>
      <w:r w:rsidRPr="00C76D2A">
        <w:rPr>
          <w:rStyle w:val="aff6"/>
          <w:rFonts w:hint="cs"/>
          <w:rtl/>
        </w:rPr>
        <w:instrText xml:space="preserve"> _</w:instrText>
      </w:r>
      <w:r w:rsidRPr="00C76D2A">
        <w:rPr>
          <w:rStyle w:val="aff6"/>
          <w:rFonts w:hint="cs"/>
        </w:rPr>
        <w:instrText>Ref19026071 \r \h</w:instrText>
      </w:r>
      <w:r w:rsidRPr="00C76D2A">
        <w:rPr>
          <w:rStyle w:val="aff6"/>
          <w:rtl/>
        </w:rPr>
        <w:instrText xml:space="preserve"> </w:instrText>
      </w:r>
      <w:r w:rsidRPr="00C76D2A">
        <w:rPr>
          <w:rStyle w:val="aff6"/>
          <w:rtl/>
        </w:rPr>
      </w:r>
      <w:r w:rsidRPr="00C76D2A">
        <w:rPr>
          <w:rStyle w:val="aff6"/>
          <w:rtl/>
        </w:rPr>
        <w:fldChar w:fldCharType="separate"/>
      </w:r>
      <w:r w:rsidR="004D1C5B">
        <w:rPr>
          <w:rStyle w:val="aff6"/>
          <w:cs/>
        </w:rPr>
        <w:t>‎</w:t>
      </w:r>
      <w:r w:rsidR="004D1C5B">
        <w:rPr>
          <w:rStyle w:val="aff6"/>
          <w:rtl/>
        </w:rPr>
        <w:t>צד)</w:t>
      </w:r>
      <w:r w:rsidRPr="00C76D2A">
        <w:rPr>
          <w:rStyle w:val="aff6"/>
          <w:rtl/>
        </w:rPr>
        <w:fldChar w:fldCharType="end"/>
      </w:r>
      <w:r w:rsidRPr="00121998">
        <w:rPr>
          <w:rStyle w:val="afa"/>
          <w:rFonts w:hint="cs"/>
          <w:rtl/>
        </w:rPr>
        <w:t>],</w:t>
      </w:r>
      <w:r>
        <w:rPr>
          <w:rFonts w:hint="cs"/>
          <w:rtl/>
        </w:rPr>
        <w:t xml:space="preserve"> ועי' במה שהקשה </w:t>
      </w:r>
      <w:r w:rsidRPr="0045500D">
        <w:rPr>
          <w:rStyle w:val="af8"/>
          <w:rFonts w:hint="cs"/>
          <w:rtl/>
        </w:rPr>
        <w:t>הפרמ"ג</w:t>
      </w:r>
      <w:r>
        <w:rPr>
          <w:rFonts w:hint="cs"/>
          <w:rtl/>
        </w:rPr>
        <w:t xml:space="preserve"> </w:t>
      </w:r>
      <w:r w:rsidRPr="00A87245">
        <w:rPr>
          <w:rStyle w:val="af6"/>
          <w:rFonts w:eastAsia="Guttman Hodes" w:hint="cs"/>
          <w:rtl/>
        </w:rPr>
        <w:t>(סי' צ"ד משב"ז סק"ד)</w:t>
      </w:r>
      <w:r>
        <w:rPr>
          <w:rFonts w:hint="cs"/>
          <w:rtl/>
        </w:rPr>
        <w:t xml:space="preserve"> על </w:t>
      </w:r>
      <w:r w:rsidRPr="0045500D">
        <w:rPr>
          <w:rStyle w:val="af8"/>
          <w:rFonts w:hint="cs"/>
          <w:rtl/>
        </w:rPr>
        <w:t>ה</w:t>
      </w:r>
      <w:r w:rsidR="00250230">
        <w:rPr>
          <w:rStyle w:val="af8"/>
          <w:rFonts w:hint="cs"/>
          <w:rtl/>
        </w:rPr>
        <w:t>פלתי</w:t>
      </w:r>
      <w:r>
        <w:rPr>
          <w:rFonts w:hint="cs"/>
          <w:rtl/>
        </w:rPr>
        <w:t>.</w:t>
      </w:r>
      <w:bookmarkEnd w:id="9837"/>
    </w:p>
    <w:p w:rsidR="0013006A" w:rsidRDefault="0013006A" w:rsidP="0013006A">
      <w:pPr>
        <w:pStyle w:val="a2"/>
        <w:rPr>
          <w:rtl/>
        </w:rPr>
      </w:pPr>
      <w:bookmarkStart w:id="9838" w:name="_Toc19082148"/>
      <w:bookmarkStart w:id="9839" w:name="_Toc19129438"/>
      <w:bookmarkStart w:id="9840" w:name="_Toc19129992"/>
      <w:bookmarkStart w:id="9841" w:name="_Toc19170925"/>
      <w:bookmarkStart w:id="9842" w:name="_Toc19180781"/>
      <w:r>
        <w:rPr>
          <w:rFonts w:hint="cs"/>
          <w:rtl/>
        </w:rPr>
        <w:t>דברי האמרי ברוך דאף לסברת ה</w:t>
      </w:r>
      <w:r w:rsidR="00250230">
        <w:rPr>
          <w:rFonts w:hint="cs"/>
          <w:rtl/>
        </w:rPr>
        <w:t>פלתי</w:t>
      </w:r>
      <w:r>
        <w:rPr>
          <w:rFonts w:hint="cs"/>
          <w:rtl/>
        </w:rPr>
        <w:t xml:space="preserve"> בב"ח שנפל לתבשיל אינו אוסרו דאין טע"כ בטעם פגום</w:t>
      </w:r>
      <w:bookmarkEnd w:id="9838"/>
      <w:bookmarkEnd w:id="9839"/>
      <w:bookmarkEnd w:id="9840"/>
      <w:bookmarkEnd w:id="9841"/>
      <w:bookmarkEnd w:id="9842"/>
    </w:p>
    <w:p w:rsidR="0013006A" w:rsidRPr="0081356D" w:rsidRDefault="0013006A" w:rsidP="009F44AF">
      <w:pPr>
        <w:pStyle w:val="a"/>
        <w:rPr>
          <w:rtl/>
        </w:rPr>
      </w:pPr>
      <w:r w:rsidRPr="008A2A3B">
        <w:rPr>
          <w:rtl/>
        </w:rPr>
        <w:t xml:space="preserve">וכ"כ </w:t>
      </w:r>
      <w:r w:rsidRPr="0081356D">
        <w:rPr>
          <w:rStyle w:val="af8"/>
          <w:rtl/>
        </w:rPr>
        <w:t>בהג' אמרי ברוך על החוו"ד</w:t>
      </w:r>
      <w:r w:rsidRPr="0081356D">
        <w:rPr>
          <w:rStyle w:val="af6"/>
          <w:rFonts w:eastAsia="Guttman Hodes"/>
          <w:rtl/>
        </w:rPr>
        <w:t xml:space="preserve"> </w:t>
      </w:r>
      <w:r w:rsidRPr="0081356D">
        <w:rPr>
          <w:rStyle w:val="af6"/>
          <w:rFonts w:eastAsia="Guttman Rashi"/>
          <w:rtl/>
        </w:rPr>
        <w:t>(סי' ק"ג ד')</w:t>
      </w:r>
      <w:r w:rsidRPr="0081356D">
        <w:rPr>
          <w:rStyle w:val="af6"/>
          <w:rFonts w:eastAsia="Guttman Hodes"/>
          <w:rtl/>
        </w:rPr>
        <w:t xml:space="preserve"> </w:t>
      </w:r>
      <w:r w:rsidRPr="008A2A3B">
        <w:rPr>
          <w:rtl/>
        </w:rPr>
        <w:t>דאף לסברת</w:t>
      </w:r>
      <w:r w:rsidRPr="0081356D">
        <w:rPr>
          <w:rStyle w:val="af8"/>
          <w:rtl/>
        </w:rPr>
        <w:t xml:space="preserve"> ה</w:t>
      </w:r>
      <w:r w:rsidR="00250230">
        <w:rPr>
          <w:rStyle w:val="af8"/>
          <w:rtl/>
        </w:rPr>
        <w:t>פלתי</w:t>
      </w:r>
      <w:r w:rsidRPr="008A2A3B">
        <w:rPr>
          <w:rtl/>
        </w:rPr>
        <w:t xml:space="preserve"> דהדין דשלא כדרך הנאתן</w:t>
      </w:r>
      <w:r>
        <w:rPr>
          <w:rFonts w:hint="cs"/>
          <w:rtl/>
        </w:rPr>
        <w:t>,</w:t>
      </w:r>
      <w:r w:rsidRPr="008A2A3B">
        <w:rPr>
          <w:rtl/>
        </w:rPr>
        <w:t xml:space="preserve"> ו</w:t>
      </w:r>
      <w:r>
        <w:rPr>
          <w:rFonts w:hint="cs"/>
          <w:rtl/>
        </w:rPr>
        <w:t xml:space="preserve">דין </w:t>
      </w:r>
      <w:r w:rsidRPr="008A2A3B">
        <w:rPr>
          <w:rtl/>
        </w:rPr>
        <w:t>נותן טעם לפגם הוא דין אח</w:t>
      </w:r>
      <w:r>
        <w:rPr>
          <w:rFonts w:hint="cs"/>
          <w:rtl/>
        </w:rPr>
        <w:t>ד</w:t>
      </w:r>
      <w:r w:rsidRPr="008A2A3B">
        <w:rPr>
          <w:rtl/>
        </w:rPr>
        <w:t xml:space="preserve">, </w:t>
      </w:r>
      <w:r w:rsidRPr="00B87B7B">
        <w:rPr>
          <w:rStyle w:val="afa"/>
          <w:rFonts w:hint="cs"/>
          <w:rtl/>
        </w:rPr>
        <w:t xml:space="preserve">[ודלא </w:t>
      </w:r>
      <w:r w:rsidRPr="00B87B7B">
        <w:rPr>
          <w:rStyle w:val="affa"/>
          <w:rFonts w:hint="cs"/>
          <w:rtl/>
        </w:rPr>
        <w:t>כחוו"ד</w:t>
      </w:r>
      <w:r w:rsidRPr="00B87B7B">
        <w:rPr>
          <w:rStyle w:val="afa"/>
          <w:rFonts w:hint="cs"/>
          <w:rtl/>
        </w:rPr>
        <w:t xml:space="preserve"> </w:t>
      </w:r>
      <w:r w:rsidRPr="00B87B7B">
        <w:rPr>
          <w:rStyle w:val="aff6"/>
          <w:rFonts w:hint="cs"/>
          <w:rtl/>
        </w:rPr>
        <w:t xml:space="preserve">(עי' אות </w:t>
      </w:r>
      <w:r w:rsidRPr="00B87B7B">
        <w:rPr>
          <w:rStyle w:val="aff6"/>
          <w:rtl/>
        </w:rPr>
        <w:fldChar w:fldCharType="begin"/>
      </w:r>
      <w:r w:rsidRPr="00B87B7B">
        <w:rPr>
          <w:rStyle w:val="aff6"/>
          <w:rtl/>
        </w:rPr>
        <w:instrText xml:space="preserve"> </w:instrText>
      </w:r>
      <w:r w:rsidRPr="00B87B7B">
        <w:rPr>
          <w:rStyle w:val="aff6"/>
          <w:rFonts w:hint="cs"/>
        </w:rPr>
        <w:instrText>REF</w:instrText>
      </w:r>
      <w:r w:rsidRPr="00B87B7B">
        <w:rPr>
          <w:rStyle w:val="aff6"/>
          <w:rFonts w:hint="cs"/>
          <w:rtl/>
        </w:rPr>
        <w:instrText xml:space="preserve"> _</w:instrText>
      </w:r>
      <w:r w:rsidRPr="00B87B7B">
        <w:rPr>
          <w:rStyle w:val="aff6"/>
          <w:rFonts w:hint="cs"/>
        </w:rPr>
        <w:instrText>Ref19042939 \r \h</w:instrText>
      </w:r>
      <w:r w:rsidRPr="00B87B7B">
        <w:rPr>
          <w:rStyle w:val="aff6"/>
          <w:rtl/>
        </w:rPr>
        <w:instrText xml:space="preserve"> </w:instrText>
      </w:r>
      <w:r w:rsidRPr="00B87B7B">
        <w:rPr>
          <w:rStyle w:val="aff6"/>
          <w:rtl/>
        </w:rPr>
      </w:r>
      <w:r w:rsidRPr="00B87B7B">
        <w:rPr>
          <w:rStyle w:val="aff6"/>
          <w:rtl/>
        </w:rPr>
        <w:fldChar w:fldCharType="separate"/>
      </w:r>
      <w:r w:rsidR="004D1C5B">
        <w:rPr>
          <w:rStyle w:val="aff6"/>
          <w:cs/>
        </w:rPr>
        <w:t>‎</w:t>
      </w:r>
      <w:r w:rsidR="004D1C5B">
        <w:rPr>
          <w:rStyle w:val="aff6"/>
          <w:rtl/>
        </w:rPr>
        <w:t>סז)</w:t>
      </w:r>
      <w:r w:rsidRPr="00B87B7B">
        <w:rPr>
          <w:rStyle w:val="aff6"/>
          <w:rtl/>
        </w:rPr>
        <w:fldChar w:fldCharType="end"/>
      </w:r>
      <w:r w:rsidRPr="00B87B7B">
        <w:rPr>
          <w:rStyle w:val="afa"/>
          <w:rFonts w:hint="cs"/>
          <w:rtl/>
        </w:rPr>
        <w:t>],</w:t>
      </w:r>
      <w:r>
        <w:rPr>
          <w:rFonts w:hint="cs"/>
          <w:rtl/>
        </w:rPr>
        <w:t xml:space="preserve"> </w:t>
      </w:r>
      <w:r w:rsidRPr="008A2A3B">
        <w:rPr>
          <w:rtl/>
        </w:rPr>
        <w:t>מ"מ א"א לאסור תבשיל של היתר שקיבל טעם  לפגם מבשר בנותן טעם לפגם בבשר בחלב, דכל דין טעם כעיקר נאמר רק בטעם משובח ולא בטעם פגום.</w:t>
      </w:r>
    </w:p>
    <w:p w:rsidR="0013006A" w:rsidRPr="00A37615" w:rsidRDefault="0013006A" w:rsidP="0013006A">
      <w:pPr>
        <w:pStyle w:val="a2"/>
        <w:rPr>
          <w:rtl/>
        </w:rPr>
      </w:pPr>
      <w:bookmarkStart w:id="9843" w:name="_Toc19129439"/>
      <w:bookmarkStart w:id="9844" w:name="_Toc19129993"/>
      <w:bookmarkStart w:id="9845" w:name="_Toc19170926"/>
      <w:bookmarkStart w:id="9846" w:name="_Toc19180782"/>
      <w:bookmarkStart w:id="9847" w:name="_Toc18513269"/>
      <w:bookmarkStart w:id="9848" w:name="_Toc18874364"/>
      <w:bookmarkStart w:id="9849" w:name="_Toc18946778"/>
      <w:bookmarkStart w:id="9850" w:name="_Toc19026240"/>
      <w:bookmarkStart w:id="9851" w:name="_Toc19029717"/>
      <w:bookmarkStart w:id="9852" w:name="_Toc19030101"/>
      <w:bookmarkStart w:id="9853" w:name="_Toc19082149"/>
      <w:r>
        <w:rPr>
          <w:rFonts w:hint="cs"/>
          <w:rtl/>
        </w:rPr>
        <w:t>ביאור הבית מאיד דבב"ח אסור באינו ראוי לגר ומותר בנטל"פ דהוא חידוש</w:t>
      </w:r>
      <w:bookmarkEnd w:id="9843"/>
      <w:bookmarkEnd w:id="9844"/>
      <w:bookmarkEnd w:id="9845"/>
      <w:bookmarkEnd w:id="9846"/>
    </w:p>
    <w:p w:rsidR="0013006A" w:rsidRDefault="0013006A" w:rsidP="009F44AF">
      <w:pPr>
        <w:pStyle w:val="a"/>
        <w:rPr>
          <w:rtl/>
        </w:rPr>
      </w:pPr>
      <w:r w:rsidRPr="00A92608">
        <w:rPr>
          <w:rStyle w:val="af8"/>
          <w:rFonts w:hint="cs"/>
          <w:rtl/>
        </w:rPr>
        <w:t>והבית מאיר</w:t>
      </w:r>
      <w:r>
        <w:rPr>
          <w:rFonts w:hint="cs"/>
          <w:rtl/>
        </w:rPr>
        <w:t xml:space="preserve"> </w:t>
      </w:r>
      <w:r w:rsidRPr="00A92608">
        <w:rPr>
          <w:rStyle w:val="af6"/>
          <w:rFonts w:eastAsia="Guttman Hodes" w:hint="cs"/>
          <w:rtl/>
        </w:rPr>
        <w:t>(סי' פ"ז על ה</w:t>
      </w:r>
      <w:r w:rsidR="00250230">
        <w:rPr>
          <w:rStyle w:val="af6"/>
          <w:rFonts w:eastAsia="Guttman Hodes" w:hint="cs"/>
          <w:rtl/>
        </w:rPr>
        <w:t>פלתי</w:t>
      </w:r>
      <w:r w:rsidRPr="00A92608">
        <w:rPr>
          <w:rStyle w:val="af6"/>
          <w:rFonts w:eastAsia="Guttman Hodes" w:hint="cs"/>
          <w:rtl/>
        </w:rPr>
        <w:t xml:space="preserve"> סק"ד)</w:t>
      </w:r>
      <w:r>
        <w:rPr>
          <w:rFonts w:hint="cs"/>
          <w:rtl/>
        </w:rPr>
        <w:t xml:space="preserve"> כתב דאף דמוכח </w:t>
      </w:r>
      <w:r w:rsidRPr="00A92608">
        <w:rPr>
          <w:rStyle w:val="af8"/>
          <w:rFonts w:hint="cs"/>
          <w:rtl/>
        </w:rPr>
        <w:t>ברמב"ם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Ref19034938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E96710">
        <w:rPr>
          <w:rStyle w:val="af6"/>
          <w:rFonts w:eastAsia="Guttman Hodes"/>
          <w:rtl/>
        </w:rPr>
        <w:fldChar w:fldCharType="end"/>
      </w:r>
      <w:r>
        <w:rPr>
          <w:rFonts w:hint="cs"/>
          <w:rtl/>
        </w:rPr>
        <w:t xml:space="preserve"> דחייב בבשר בחלב אף על אוכלין שהסריחו, ואין בו את ההיתר דנבילה שאינה ראויה לגר, מ"מ נותן טעם לפגם מותר בבשר בחלב, דאין לך בו אלא חידושו, דאסרתו תורה אף כשהוא פגום רק כשהוא בעין ולא בתערובת, עיי"ש</w:t>
      </w:r>
      <w:r w:rsidRPr="00A92608">
        <w:rPr>
          <w:rStyle w:val="af8"/>
          <w:rFonts w:hint="cs"/>
          <w:rtl/>
        </w:rPr>
        <w:t xml:space="preserve"> </w:t>
      </w:r>
      <w:r>
        <w:rPr>
          <w:rStyle w:val="af8"/>
          <w:rFonts w:hint="cs"/>
          <w:rtl/>
        </w:rPr>
        <w:t>ב</w:t>
      </w:r>
      <w:r w:rsidRPr="00A92608">
        <w:rPr>
          <w:rStyle w:val="af8"/>
          <w:rFonts w:hint="cs"/>
          <w:rtl/>
        </w:rPr>
        <w:t>בית מאיר</w:t>
      </w:r>
      <w:r>
        <w:rPr>
          <w:rFonts w:hint="cs"/>
          <w:rtl/>
        </w:rPr>
        <w:t xml:space="preserve"> במה שהאריך בזה.</w:t>
      </w:r>
    </w:p>
    <w:p w:rsidR="0013006A" w:rsidRDefault="0013006A" w:rsidP="0013006A">
      <w:pPr>
        <w:pStyle w:val="1"/>
        <w:rPr>
          <w:rtl/>
        </w:rPr>
      </w:pPr>
      <w:bookmarkStart w:id="9854" w:name="_Toc19129440"/>
      <w:bookmarkStart w:id="9855" w:name="_Toc19129994"/>
      <w:bookmarkStart w:id="9856" w:name="_Toc19170927"/>
      <w:bookmarkStart w:id="9857" w:name="_Toc19180783"/>
      <w:r w:rsidRPr="00A96FF7">
        <w:rPr>
          <w:rFonts w:hint="cs"/>
          <w:rtl/>
        </w:rPr>
        <w:t>דברי החוו"ד</w:t>
      </w:r>
      <w:bookmarkEnd w:id="9847"/>
      <w:bookmarkEnd w:id="9848"/>
      <w:bookmarkEnd w:id="9849"/>
      <w:bookmarkEnd w:id="9850"/>
      <w:bookmarkEnd w:id="9851"/>
      <w:bookmarkEnd w:id="9852"/>
      <w:bookmarkEnd w:id="9853"/>
      <w:r>
        <w:rPr>
          <w:rFonts w:hint="cs"/>
          <w:rtl/>
        </w:rPr>
        <w:t xml:space="preserve"> דהיתר נטל"פ הוא אף בבשר בחלב וכלאים</w:t>
      </w:r>
      <w:bookmarkEnd w:id="9854"/>
      <w:bookmarkEnd w:id="9855"/>
      <w:bookmarkEnd w:id="9856"/>
      <w:bookmarkEnd w:id="9857"/>
    </w:p>
    <w:p w:rsidR="0013006A" w:rsidRPr="00D423F3" w:rsidRDefault="0013006A" w:rsidP="0013006A">
      <w:pPr>
        <w:pStyle w:val="a2"/>
      </w:pPr>
      <w:bookmarkStart w:id="9858" w:name="_Toc19082151"/>
      <w:bookmarkStart w:id="9859" w:name="_Toc19129441"/>
      <w:bookmarkStart w:id="9860" w:name="_Toc19129995"/>
      <w:bookmarkStart w:id="9861" w:name="_Toc19170928"/>
      <w:bookmarkStart w:id="9862" w:name="_Toc19180784"/>
      <w:bookmarkStart w:id="9863" w:name="_Toc19082150"/>
      <w:r>
        <w:rPr>
          <w:rFonts w:hint="cs"/>
          <w:rtl/>
        </w:rPr>
        <w:t>קושית החוו"ד דאיתא להדיא בגמ' דנטל"פ מותר בכלאי הכרם אף שאסור בשלא כדרך הנאתן</w:t>
      </w:r>
      <w:bookmarkEnd w:id="9858"/>
      <w:bookmarkEnd w:id="9859"/>
      <w:bookmarkEnd w:id="9860"/>
      <w:bookmarkEnd w:id="9861"/>
      <w:bookmarkEnd w:id="9862"/>
    </w:p>
    <w:p w:rsidR="0013006A" w:rsidRDefault="0013006A" w:rsidP="009F44AF">
      <w:pPr>
        <w:pStyle w:val="a"/>
        <w:rPr>
          <w:rtl/>
        </w:rPr>
      </w:pPr>
      <w:bookmarkStart w:id="9864" w:name="_Ref19046006"/>
      <w:r>
        <w:rPr>
          <w:rStyle w:val="af8"/>
          <w:rFonts w:hint="cs"/>
          <w:rtl/>
        </w:rPr>
        <w:t>וב</w:t>
      </w:r>
      <w:r w:rsidRPr="00D409FE">
        <w:rPr>
          <w:rStyle w:val="af8"/>
          <w:rFonts w:hint="cs"/>
          <w:rtl/>
        </w:rPr>
        <w:t>חוו"ד</w:t>
      </w:r>
      <w:r>
        <w:rPr>
          <w:rFonts w:hint="cs"/>
          <w:rtl/>
        </w:rPr>
        <w:t xml:space="preserve"> </w:t>
      </w:r>
      <w:r w:rsidRPr="008441DA">
        <w:rPr>
          <w:rStyle w:val="af6"/>
          <w:rFonts w:eastAsia="Guttman Hodes" w:hint="cs"/>
          <w:rtl/>
        </w:rPr>
        <w:t>(סי' ק"ג סק"א)</w:t>
      </w:r>
      <w:r>
        <w:rPr>
          <w:rFonts w:hint="cs"/>
          <w:rtl/>
        </w:rPr>
        <w:t xml:space="preserve"> </w:t>
      </w:r>
      <w:r>
        <w:rPr>
          <w:rStyle w:val="af8"/>
          <w:rFonts w:hint="cs"/>
          <w:rtl/>
        </w:rPr>
        <w:t>ו</w:t>
      </w:r>
      <w:r w:rsidRPr="00581BF7">
        <w:rPr>
          <w:rStyle w:val="af8"/>
          <w:rFonts w:hint="cs"/>
          <w:rtl/>
        </w:rPr>
        <w:t>במקור חיים</w:t>
      </w:r>
      <w:r w:rsidRPr="002C19D9">
        <w:rPr>
          <w:rFonts w:hint="cs"/>
          <w:rtl/>
        </w:rPr>
        <w:t xml:space="preserve"> </w:t>
      </w:r>
      <w:r w:rsidRPr="00581BF7">
        <w:rPr>
          <w:rStyle w:val="af6"/>
          <w:rFonts w:eastAsia="Guttman Hodes" w:hint="cs"/>
          <w:rtl/>
        </w:rPr>
        <w:t>(סי' תמ"ב סק"ב ד"ה ומה שהקשה הר"ן)</w:t>
      </w:r>
      <w:r w:rsidRPr="002C19D9">
        <w:rPr>
          <w:rFonts w:hint="cs"/>
          <w:rtl/>
        </w:rPr>
        <w:t xml:space="preserve"> </w:t>
      </w:r>
      <w:r>
        <w:rPr>
          <w:rFonts w:hint="cs"/>
          <w:rtl/>
        </w:rPr>
        <w:t xml:space="preserve">הקשה על דברי </w:t>
      </w:r>
      <w:r w:rsidRPr="00D409FE">
        <w:rPr>
          <w:rStyle w:val="af8"/>
          <w:rFonts w:hint="cs"/>
          <w:rtl/>
        </w:rPr>
        <w:t>ה</w:t>
      </w:r>
      <w:r w:rsidR="00250230">
        <w:rPr>
          <w:rStyle w:val="af8"/>
          <w:rFonts w:hint="cs"/>
          <w:rtl/>
        </w:rPr>
        <w:t>פלתי</w:t>
      </w:r>
      <w:r>
        <w:rPr>
          <w:rFonts w:hint="cs"/>
          <w:rtl/>
        </w:rPr>
        <w:t xml:space="preserve"> </w:t>
      </w:r>
      <w:r w:rsidRPr="00E70E4D">
        <w:rPr>
          <w:rStyle w:val="af6"/>
          <w:rFonts w:eastAsia="Guttman Hodes" w:hint="cs"/>
          <w:rtl/>
        </w:rPr>
        <w:t xml:space="preserve">(עי' אות </w:t>
      </w:r>
      <w:r w:rsidRPr="00E70E4D">
        <w:rPr>
          <w:rStyle w:val="af6"/>
          <w:rFonts w:eastAsia="Guttman Hodes"/>
          <w:rtl/>
        </w:rPr>
        <w:fldChar w:fldCharType="begin"/>
      </w:r>
      <w:r w:rsidRPr="00E70E4D">
        <w:rPr>
          <w:rStyle w:val="af6"/>
          <w:rFonts w:eastAsia="Guttman Hodes"/>
          <w:rtl/>
        </w:rPr>
        <w:instrText xml:space="preserve"> </w:instrText>
      </w:r>
      <w:r w:rsidRPr="00E70E4D">
        <w:rPr>
          <w:rStyle w:val="af6"/>
          <w:rFonts w:eastAsia="Guttman Hodes" w:hint="cs"/>
        </w:rPr>
        <w:instrText>REF</w:instrText>
      </w:r>
      <w:r w:rsidRPr="00E70E4D">
        <w:rPr>
          <w:rStyle w:val="af6"/>
          <w:rFonts w:eastAsia="Guttman Hodes" w:hint="cs"/>
          <w:rtl/>
        </w:rPr>
        <w:instrText xml:space="preserve"> _</w:instrText>
      </w:r>
      <w:r w:rsidRPr="00E70E4D">
        <w:rPr>
          <w:rStyle w:val="af6"/>
          <w:rFonts w:eastAsia="Guttman Hodes" w:hint="cs"/>
        </w:rPr>
        <w:instrText>Ref19043108 \r \h</w:instrText>
      </w:r>
      <w:r w:rsidRPr="00E70E4D">
        <w:rPr>
          <w:rStyle w:val="af6"/>
          <w:rFonts w:eastAsia="Guttman Hodes"/>
          <w:rtl/>
        </w:rPr>
        <w:instrText xml:space="preserve"> </w:instrText>
      </w:r>
      <w:r w:rsidRPr="00E70E4D">
        <w:rPr>
          <w:rStyle w:val="af6"/>
          <w:rFonts w:eastAsia="Guttman Hodes"/>
          <w:rtl/>
        </w:rPr>
      </w:r>
      <w:r w:rsidRPr="00E70E4D">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E70E4D">
        <w:rPr>
          <w:rStyle w:val="af6"/>
          <w:rFonts w:eastAsia="Guttman Hodes"/>
          <w:rtl/>
        </w:rPr>
        <w:fldChar w:fldCharType="end"/>
      </w:r>
      <w:r w:rsidRPr="00E70E4D">
        <w:rPr>
          <w:rStyle w:val="af6"/>
          <w:rFonts w:eastAsia="Guttman Hodes" w:hint="cs"/>
          <w:rtl/>
        </w:rPr>
        <w:t xml:space="preserve"> </w:t>
      </w:r>
      <w:r>
        <w:rPr>
          <w:rFonts w:hint="cs"/>
          <w:rtl/>
        </w:rPr>
        <w:t xml:space="preserve">דהא מוכח בגמ' </w:t>
      </w:r>
      <w:r w:rsidRPr="008441DA">
        <w:rPr>
          <w:rStyle w:val="af6"/>
          <w:rFonts w:eastAsia="Guttman Hodes" w:hint="cs"/>
          <w:rtl/>
        </w:rPr>
        <w:t>(סח.)</w:t>
      </w:r>
      <w:r>
        <w:rPr>
          <w:rFonts w:hint="cs"/>
          <w:rtl/>
        </w:rPr>
        <w:t xml:space="preserve"> דנותן טעם לפגם מותר בכלאי הכרם, ובכלאי הכרם חייב אף בשלא כדרך הנאתן, וכן ביין נסך דעת </w:t>
      </w:r>
      <w:r w:rsidRPr="00D409FE">
        <w:rPr>
          <w:rStyle w:val="af8"/>
          <w:rFonts w:hint="cs"/>
          <w:rtl/>
        </w:rPr>
        <w:t>התוס' לעיל</w:t>
      </w:r>
      <w:r>
        <w:rPr>
          <w:rFonts w:hint="cs"/>
          <w:rtl/>
        </w:rPr>
        <w:t xml:space="preserve"> </w:t>
      </w:r>
      <w:r w:rsidRPr="008441DA">
        <w:rPr>
          <w:rStyle w:val="af6"/>
          <w:rFonts w:eastAsia="Guttman Hodes" w:hint="cs"/>
          <w:rtl/>
        </w:rPr>
        <w:t>(יב: ד"ה אלא)</w:t>
      </w:r>
      <w:r>
        <w:rPr>
          <w:rFonts w:hint="cs"/>
          <w:rtl/>
        </w:rPr>
        <w:t xml:space="preserve"> דחייב אף בשלא כדרך הנאתן, ומבואר במתני' לעיל </w:t>
      </w:r>
      <w:r w:rsidRPr="008441DA">
        <w:rPr>
          <w:rStyle w:val="af6"/>
          <w:rFonts w:eastAsia="Guttman Hodes" w:hint="cs"/>
          <w:rtl/>
        </w:rPr>
        <w:t>(סה:)</w:t>
      </w:r>
      <w:r>
        <w:rPr>
          <w:rFonts w:hint="cs"/>
          <w:rtl/>
        </w:rPr>
        <w:t xml:space="preserve"> דמותר בנותן טעם לפגם.</w:t>
      </w:r>
      <w:bookmarkEnd w:id="9864"/>
    </w:p>
    <w:p w:rsidR="0013006A" w:rsidRPr="00A37615" w:rsidRDefault="0013006A" w:rsidP="0013006A">
      <w:pPr>
        <w:pStyle w:val="a2"/>
        <w:rPr>
          <w:rtl/>
        </w:rPr>
      </w:pPr>
      <w:bookmarkStart w:id="9865" w:name="_Toc19129442"/>
      <w:bookmarkStart w:id="9866" w:name="_Toc19129996"/>
      <w:bookmarkStart w:id="9867" w:name="_Toc19170929"/>
      <w:bookmarkStart w:id="9868" w:name="_Toc19180785"/>
      <w:r>
        <w:rPr>
          <w:rFonts w:hint="cs"/>
          <w:rtl/>
        </w:rPr>
        <w:t>קושית האמרי ברוך דמבואר ברמב"ם להדיא דהיתר נטל"פ הוא אף בבשר בחלב וכלאים</w:t>
      </w:r>
      <w:bookmarkEnd w:id="9865"/>
      <w:bookmarkEnd w:id="9866"/>
      <w:bookmarkEnd w:id="9867"/>
      <w:bookmarkEnd w:id="9868"/>
    </w:p>
    <w:p w:rsidR="0013006A" w:rsidRPr="000729FE" w:rsidRDefault="0013006A" w:rsidP="009F44AF">
      <w:pPr>
        <w:pStyle w:val="a"/>
        <w:rPr>
          <w:rtl/>
        </w:rPr>
      </w:pPr>
      <w:bookmarkStart w:id="9869" w:name="_Ref19026131"/>
      <w:r>
        <w:rPr>
          <w:rFonts w:hint="cs"/>
          <w:rtl/>
        </w:rPr>
        <w:t xml:space="preserve">ועוד הקשה </w:t>
      </w:r>
      <w:r w:rsidRPr="00544B79">
        <w:rPr>
          <w:rStyle w:val="af8"/>
          <w:rFonts w:hint="cs"/>
          <w:rtl/>
        </w:rPr>
        <w:t>בהג' אמרי ברוך על החוו"ד</w:t>
      </w:r>
      <w:r>
        <w:rPr>
          <w:rFonts w:hint="cs"/>
          <w:rtl/>
        </w:rPr>
        <w:t xml:space="preserve"> </w:t>
      </w:r>
      <w:r w:rsidRPr="00544B79">
        <w:rPr>
          <w:rStyle w:val="af6"/>
          <w:rFonts w:eastAsia="Guttman Hodes" w:hint="cs"/>
          <w:rtl/>
        </w:rPr>
        <w:t xml:space="preserve">(סי' ק"ג </w:t>
      </w:r>
      <w:r>
        <w:rPr>
          <w:rStyle w:val="af6"/>
          <w:rFonts w:eastAsia="Guttman Hodes" w:hint="cs"/>
          <w:rtl/>
        </w:rPr>
        <w:t>א</w:t>
      </w:r>
      <w:r w:rsidRPr="00544B79">
        <w:rPr>
          <w:rStyle w:val="af6"/>
          <w:rFonts w:eastAsia="Guttman Hodes" w:hint="cs"/>
          <w:rtl/>
        </w:rPr>
        <w:t>')</w:t>
      </w:r>
      <w:r>
        <w:rPr>
          <w:rFonts w:hint="cs"/>
          <w:rtl/>
        </w:rPr>
        <w:t xml:space="preserve"> דהא </w:t>
      </w:r>
      <w:r w:rsidRPr="00D926B5">
        <w:rPr>
          <w:rStyle w:val="af8"/>
          <w:rFonts w:hint="cs"/>
          <w:rtl/>
        </w:rPr>
        <w:t>הרמב"ם</w:t>
      </w:r>
      <w:r>
        <w:rPr>
          <w:rFonts w:hint="cs"/>
          <w:rtl/>
        </w:rPr>
        <w:t xml:space="preserve"> </w:t>
      </w:r>
      <w:r w:rsidRPr="003C4372">
        <w:rPr>
          <w:rStyle w:val="af6"/>
          <w:rFonts w:eastAsia="Guttman Hodes" w:hint="cs"/>
          <w:rtl/>
        </w:rPr>
        <w:t xml:space="preserve">(עי' אות </w:t>
      </w:r>
      <w:r w:rsidRPr="003C4372">
        <w:rPr>
          <w:rStyle w:val="af6"/>
          <w:rFonts w:eastAsia="Guttman Hodes"/>
          <w:rtl/>
        </w:rPr>
        <w:fldChar w:fldCharType="begin"/>
      </w:r>
      <w:r w:rsidRPr="003C4372">
        <w:rPr>
          <w:rStyle w:val="af6"/>
          <w:rFonts w:eastAsia="Guttman Hodes"/>
          <w:rtl/>
        </w:rPr>
        <w:instrText xml:space="preserve"> </w:instrText>
      </w:r>
      <w:r w:rsidRPr="003C4372">
        <w:rPr>
          <w:rStyle w:val="af6"/>
          <w:rFonts w:eastAsia="Guttman Hodes" w:hint="cs"/>
        </w:rPr>
        <w:instrText>REF</w:instrText>
      </w:r>
      <w:r w:rsidRPr="003C4372">
        <w:rPr>
          <w:rStyle w:val="af6"/>
          <w:rFonts w:eastAsia="Guttman Hodes" w:hint="cs"/>
          <w:rtl/>
        </w:rPr>
        <w:instrText xml:space="preserve"> _</w:instrText>
      </w:r>
      <w:r w:rsidRPr="003C4372">
        <w:rPr>
          <w:rStyle w:val="af6"/>
          <w:rFonts w:eastAsia="Guttman Hodes" w:hint="cs"/>
        </w:rPr>
        <w:instrText>Ref17367367 \r \h</w:instrText>
      </w:r>
      <w:r w:rsidRPr="003C4372">
        <w:rPr>
          <w:rStyle w:val="af6"/>
          <w:rFonts w:eastAsia="Guttman Hodes"/>
          <w:rtl/>
        </w:rPr>
        <w:instrText xml:space="preserve"> </w:instrText>
      </w:r>
      <w:r w:rsidRPr="003C4372">
        <w:rPr>
          <w:rStyle w:val="af6"/>
          <w:rFonts w:eastAsia="Guttman Hodes"/>
          <w:rtl/>
        </w:rPr>
      </w:r>
      <w:r w:rsidRPr="003C4372">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3C4372">
        <w:rPr>
          <w:rStyle w:val="af6"/>
          <w:rFonts w:eastAsia="Guttman Hodes"/>
          <w:rtl/>
        </w:rPr>
        <w:fldChar w:fldCharType="end"/>
      </w:r>
      <w:r>
        <w:rPr>
          <w:rFonts w:hint="cs"/>
          <w:rtl/>
        </w:rPr>
        <w:t xml:space="preserve"> כתב להדיא דההיתר בנותן טעם לפגם הוא אף בבשר בחלב וכלאי הכרם. [ועי' במה שהקשה </w:t>
      </w:r>
      <w:r w:rsidRPr="000729FE">
        <w:rPr>
          <w:rStyle w:val="af8"/>
          <w:rFonts w:hint="cs"/>
          <w:rtl/>
        </w:rPr>
        <w:t>הגר"ח</w:t>
      </w:r>
      <w:r>
        <w:rPr>
          <w:rFonts w:hint="cs"/>
          <w:rtl/>
        </w:rPr>
        <w:t xml:space="preserve"> </w:t>
      </w:r>
      <w:r w:rsidRPr="000729FE">
        <w:rPr>
          <w:rStyle w:val="af6"/>
          <w:rFonts w:eastAsia="Guttman Hodes" w:hint="cs"/>
          <w:rtl/>
        </w:rPr>
        <w:t xml:space="preserve">(עי' אות </w:t>
      </w:r>
      <w:r w:rsidRPr="000729FE">
        <w:rPr>
          <w:rStyle w:val="af6"/>
          <w:rFonts w:eastAsia="Guttman Hodes"/>
          <w:rtl/>
        </w:rPr>
        <w:fldChar w:fldCharType="begin"/>
      </w:r>
      <w:r w:rsidRPr="000729FE">
        <w:rPr>
          <w:rStyle w:val="af6"/>
          <w:rFonts w:eastAsia="Guttman Hodes"/>
          <w:rtl/>
        </w:rPr>
        <w:instrText xml:space="preserve"> </w:instrText>
      </w:r>
      <w:r w:rsidRPr="000729FE">
        <w:rPr>
          <w:rStyle w:val="af6"/>
          <w:rFonts w:eastAsia="Guttman Hodes" w:hint="cs"/>
        </w:rPr>
        <w:instrText>REF</w:instrText>
      </w:r>
      <w:r w:rsidRPr="000729FE">
        <w:rPr>
          <w:rStyle w:val="af6"/>
          <w:rFonts w:eastAsia="Guttman Hodes" w:hint="cs"/>
          <w:rtl/>
        </w:rPr>
        <w:instrText xml:space="preserve"> _</w:instrText>
      </w:r>
      <w:r w:rsidRPr="000729FE">
        <w:rPr>
          <w:rStyle w:val="af6"/>
          <w:rFonts w:eastAsia="Guttman Hodes" w:hint="cs"/>
        </w:rPr>
        <w:instrText>Ref19026071 \r \h</w:instrText>
      </w:r>
      <w:r w:rsidRPr="000729FE">
        <w:rPr>
          <w:rStyle w:val="af6"/>
          <w:rFonts w:eastAsia="Guttman Hodes"/>
          <w:rtl/>
        </w:rPr>
        <w:instrText xml:space="preserve"> </w:instrText>
      </w:r>
      <w:r w:rsidRPr="000729FE">
        <w:rPr>
          <w:rStyle w:val="af6"/>
          <w:rFonts w:eastAsia="Guttman Hodes"/>
          <w:rtl/>
        </w:rPr>
      </w:r>
      <w:r w:rsidRPr="000729FE">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0729FE">
        <w:rPr>
          <w:rStyle w:val="af6"/>
          <w:rFonts w:eastAsia="Guttman Hodes"/>
          <w:rtl/>
        </w:rPr>
        <w:fldChar w:fldCharType="end"/>
      </w:r>
      <w:r>
        <w:rPr>
          <w:rFonts w:hint="cs"/>
          <w:rtl/>
        </w:rPr>
        <w:t xml:space="preserve">, ועי' בדברי </w:t>
      </w:r>
      <w:r w:rsidRPr="00C76D2A">
        <w:rPr>
          <w:rStyle w:val="af8"/>
          <w:rFonts w:hint="cs"/>
          <w:rtl/>
        </w:rPr>
        <w:t>הרלב"ח והפר"ח</w:t>
      </w:r>
      <w:r>
        <w:rPr>
          <w:rFonts w:hint="cs"/>
          <w:rtl/>
        </w:rPr>
        <w:t xml:space="preserve"> </w:t>
      </w:r>
      <w:r w:rsidRPr="00C76D2A">
        <w:rPr>
          <w:rStyle w:val="af6"/>
          <w:rFonts w:eastAsia="Guttman Hodes" w:hint="cs"/>
          <w:rtl/>
        </w:rPr>
        <w:t xml:space="preserve">(עי' אות </w:t>
      </w:r>
      <w:r w:rsidRPr="00C76D2A">
        <w:rPr>
          <w:rStyle w:val="af6"/>
          <w:rFonts w:eastAsia="Guttman Hodes"/>
          <w:rtl/>
        </w:rPr>
        <w:fldChar w:fldCharType="begin"/>
      </w:r>
      <w:r w:rsidRPr="00C76D2A">
        <w:rPr>
          <w:rStyle w:val="af6"/>
          <w:rFonts w:eastAsia="Guttman Hodes"/>
          <w:rtl/>
        </w:rPr>
        <w:instrText xml:space="preserve"> </w:instrText>
      </w:r>
      <w:r w:rsidRPr="00C76D2A">
        <w:rPr>
          <w:rStyle w:val="af6"/>
          <w:rFonts w:eastAsia="Guttman Hodes" w:hint="cs"/>
        </w:rPr>
        <w:instrText>REF</w:instrText>
      </w:r>
      <w:r w:rsidRPr="00C76D2A">
        <w:rPr>
          <w:rStyle w:val="af6"/>
          <w:rFonts w:eastAsia="Guttman Hodes" w:hint="cs"/>
          <w:rtl/>
        </w:rPr>
        <w:instrText xml:space="preserve"> _</w:instrText>
      </w:r>
      <w:r w:rsidRPr="00C76D2A">
        <w:rPr>
          <w:rStyle w:val="af6"/>
          <w:rFonts w:eastAsia="Guttman Hodes" w:hint="cs"/>
        </w:rPr>
        <w:instrText>Ref19117391 \r \h</w:instrText>
      </w:r>
      <w:r w:rsidRPr="00C76D2A">
        <w:rPr>
          <w:rStyle w:val="af6"/>
          <w:rFonts w:eastAsia="Guttman Hodes"/>
          <w:rtl/>
        </w:rPr>
        <w:instrText xml:space="preserve"> </w:instrText>
      </w:r>
      <w:r w:rsidRPr="00C76D2A">
        <w:rPr>
          <w:rStyle w:val="af6"/>
          <w:rFonts w:eastAsia="Guttman Hodes"/>
          <w:rtl/>
        </w:rPr>
      </w:r>
      <w:r w:rsidRPr="00C76D2A">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C76D2A">
        <w:rPr>
          <w:rStyle w:val="af6"/>
          <w:rFonts w:eastAsia="Guttman Hodes"/>
          <w:rtl/>
        </w:rPr>
        <w:fldChar w:fldCharType="end"/>
      </w:r>
      <w:r>
        <w:rPr>
          <w:rFonts w:hint="cs"/>
          <w:rtl/>
        </w:rPr>
        <w:t>].</w:t>
      </w:r>
      <w:bookmarkEnd w:id="9869"/>
    </w:p>
    <w:p w:rsidR="0013006A" w:rsidRPr="00A37615" w:rsidRDefault="0013006A" w:rsidP="0013006A">
      <w:pPr>
        <w:pStyle w:val="a2"/>
        <w:rPr>
          <w:rtl/>
        </w:rPr>
      </w:pPr>
      <w:bookmarkStart w:id="9870" w:name="_Toc19129443"/>
      <w:bookmarkStart w:id="9871" w:name="_Toc19129997"/>
      <w:bookmarkStart w:id="9872" w:name="_Toc19170930"/>
      <w:bookmarkStart w:id="9873" w:name="_Toc19180786"/>
      <w:r>
        <w:rPr>
          <w:rFonts w:hint="cs"/>
          <w:rtl/>
        </w:rPr>
        <w:t>דברי החוו"ד דמסתימת השו"ע והפוסקים מוכח דנטל"פ מותר אף בבשר בחלב וכלאים</w:t>
      </w:r>
      <w:bookmarkEnd w:id="9863"/>
      <w:bookmarkEnd w:id="9870"/>
      <w:bookmarkEnd w:id="9871"/>
      <w:bookmarkEnd w:id="9872"/>
      <w:bookmarkEnd w:id="9873"/>
    </w:p>
    <w:p w:rsidR="0013006A" w:rsidRDefault="0013006A" w:rsidP="009F44AF">
      <w:pPr>
        <w:pStyle w:val="a"/>
        <w:rPr>
          <w:rtl/>
        </w:rPr>
      </w:pPr>
      <w:bookmarkStart w:id="9874" w:name="_Toc17889823"/>
      <w:bookmarkStart w:id="9875" w:name="_Toc17975445"/>
      <w:bookmarkStart w:id="9876" w:name="_Toc17984133"/>
      <w:bookmarkStart w:id="9877" w:name="_Toc18228258"/>
      <w:bookmarkStart w:id="9878" w:name="_Toc18250802"/>
      <w:bookmarkStart w:id="9879" w:name="_Toc18266259"/>
      <w:bookmarkStart w:id="9880" w:name="_Toc18269170"/>
      <w:r>
        <w:rPr>
          <w:rFonts w:hint="cs"/>
          <w:rtl/>
        </w:rPr>
        <w:t xml:space="preserve">וכתב </w:t>
      </w:r>
      <w:r w:rsidRPr="00D409FE">
        <w:rPr>
          <w:rStyle w:val="af8"/>
          <w:rFonts w:hint="cs"/>
          <w:rtl/>
        </w:rPr>
        <w:t>החוו"ד</w:t>
      </w:r>
      <w:r>
        <w:rPr>
          <w:rFonts w:hint="cs"/>
          <w:rtl/>
        </w:rPr>
        <w:t xml:space="preserve"> דמדברי </w:t>
      </w:r>
      <w:r w:rsidRPr="00D409FE">
        <w:rPr>
          <w:rStyle w:val="af8"/>
          <w:rFonts w:hint="cs"/>
          <w:rtl/>
        </w:rPr>
        <w:t>השו"ע</w:t>
      </w:r>
      <w:r>
        <w:rPr>
          <w:rFonts w:hint="cs"/>
          <w:rtl/>
        </w:rPr>
        <w:t xml:space="preserve"> </w:t>
      </w:r>
      <w:r w:rsidRPr="008441DA">
        <w:rPr>
          <w:rStyle w:val="af6"/>
          <w:rFonts w:eastAsia="Guttman Hodes" w:hint="cs"/>
          <w:rtl/>
        </w:rPr>
        <w:t>(סי' ק"ג א')</w:t>
      </w:r>
      <w:r>
        <w:rPr>
          <w:rFonts w:hint="cs"/>
          <w:rtl/>
        </w:rPr>
        <w:t xml:space="preserve"> וכל הפוסקים שכתבו בסתמא, דנותן טעם לפגם בפגום במקצת מותר, משמע דההיתר בנותן טעם לפגם הוא אף בבשר בחלב וכלאים, ודלא </w:t>
      </w:r>
      <w:r w:rsidRPr="00D409FE">
        <w:rPr>
          <w:rStyle w:val="af8"/>
          <w:rFonts w:hint="cs"/>
          <w:rtl/>
        </w:rPr>
        <w:t>כ</w:t>
      </w:r>
      <w:r w:rsidR="00250230">
        <w:rPr>
          <w:rStyle w:val="af8"/>
          <w:rFonts w:hint="cs"/>
          <w:rtl/>
        </w:rPr>
        <w:t>פלתי</w:t>
      </w:r>
      <w:r>
        <w:rPr>
          <w:rFonts w:hint="cs"/>
          <w:rtl/>
        </w:rPr>
        <w:t xml:space="preserve"> </w:t>
      </w:r>
      <w:r w:rsidRPr="00D423F3">
        <w:rPr>
          <w:rStyle w:val="af6"/>
          <w:rFonts w:eastAsia="Guttman Hodes" w:hint="cs"/>
          <w:rtl/>
        </w:rPr>
        <w:t xml:space="preserve">(עי' אות </w:t>
      </w:r>
      <w:r w:rsidRPr="00D423F3">
        <w:rPr>
          <w:rStyle w:val="af6"/>
          <w:rFonts w:eastAsia="Guttman Hodes"/>
          <w:rtl/>
        </w:rPr>
        <w:fldChar w:fldCharType="begin"/>
      </w:r>
      <w:r w:rsidRPr="00D423F3">
        <w:rPr>
          <w:rStyle w:val="af6"/>
          <w:rFonts w:eastAsia="Guttman Hodes"/>
          <w:rtl/>
        </w:rPr>
        <w:instrText xml:space="preserve"> </w:instrText>
      </w:r>
      <w:r w:rsidRPr="00D423F3">
        <w:rPr>
          <w:rStyle w:val="af6"/>
          <w:rFonts w:eastAsia="Guttman Hodes" w:hint="cs"/>
        </w:rPr>
        <w:instrText>REF</w:instrText>
      </w:r>
      <w:r w:rsidRPr="00D423F3">
        <w:rPr>
          <w:rStyle w:val="af6"/>
          <w:rFonts w:eastAsia="Guttman Hodes" w:hint="cs"/>
          <w:rtl/>
        </w:rPr>
        <w:instrText xml:space="preserve"> _</w:instrText>
      </w:r>
      <w:r w:rsidRPr="00D423F3">
        <w:rPr>
          <w:rStyle w:val="af6"/>
          <w:rFonts w:eastAsia="Guttman Hodes" w:hint="cs"/>
        </w:rPr>
        <w:instrText>Ref19043108 \r \h</w:instrText>
      </w:r>
      <w:r w:rsidRPr="00D423F3">
        <w:rPr>
          <w:rStyle w:val="af6"/>
          <w:rFonts w:eastAsia="Guttman Hodes"/>
          <w:rtl/>
        </w:rPr>
        <w:instrText xml:space="preserve"> </w:instrText>
      </w:r>
      <w:r w:rsidRPr="00D423F3">
        <w:rPr>
          <w:rStyle w:val="af6"/>
          <w:rFonts w:eastAsia="Guttman Hodes"/>
          <w:rtl/>
        </w:rPr>
      </w:r>
      <w:r w:rsidRPr="00D423F3">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D423F3">
        <w:rPr>
          <w:rStyle w:val="af6"/>
          <w:rFonts w:eastAsia="Guttman Hodes"/>
          <w:rtl/>
        </w:rPr>
        <w:fldChar w:fldCharType="end"/>
      </w:r>
      <w:r>
        <w:rPr>
          <w:rFonts w:hint="cs"/>
          <w:rtl/>
        </w:rPr>
        <w:t xml:space="preserve">. [ועי' במה שביאר </w:t>
      </w:r>
      <w:r w:rsidRPr="00112FDA">
        <w:rPr>
          <w:rStyle w:val="af8"/>
          <w:rFonts w:hint="cs"/>
          <w:rtl/>
        </w:rPr>
        <w:t>החוו"ד</w:t>
      </w:r>
      <w:r>
        <w:rPr>
          <w:rFonts w:hint="cs"/>
          <w:rtl/>
        </w:rPr>
        <w:t xml:space="preserve"> </w:t>
      </w:r>
      <w:r w:rsidRPr="00112FDA">
        <w:rPr>
          <w:rStyle w:val="af6"/>
          <w:rFonts w:eastAsia="Guttman Hodes" w:hint="cs"/>
          <w:rtl/>
        </w:rPr>
        <w:t xml:space="preserve">(עי' אות </w:t>
      </w:r>
      <w:r w:rsidRPr="00112FDA">
        <w:rPr>
          <w:rStyle w:val="af6"/>
          <w:rFonts w:eastAsia="Guttman Hodes"/>
          <w:rtl/>
        </w:rPr>
        <w:fldChar w:fldCharType="begin"/>
      </w:r>
      <w:r w:rsidRPr="00112FDA">
        <w:rPr>
          <w:rStyle w:val="af6"/>
          <w:rFonts w:eastAsia="Guttman Hodes"/>
          <w:rtl/>
        </w:rPr>
        <w:instrText xml:space="preserve"> </w:instrText>
      </w:r>
      <w:r w:rsidRPr="00112FDA">
        <w:rPr>
          <w:rStyle w:val="af6"/>
          <w:rFonts w:eastAsia="Guttman Hodes" w:hint="cs"/>
        </w:rPr>
        <w:instrText>REF</w:instrText>
      </w:r>
      <w:r w:rsidRPr="00112FDA">
        <w:rPr>
          <w:rStyle w:val="af6"/>
          <w:rFonts w:eastAsia="Guttman Hodes" w:hint="cs"/>
          <w:rtl/>
        </w:rPr>
        <w:instrText xml:space="preserve"> _</w:instrText>
      </w:r>
      <w:r w:rsidRPr="00112FDA">
        <w:rPr>
          <w:rStyle w:val="af6"/>
          <w:rFonts w:eastAsia="Guttman Hodes" w:hint="cs"/>
        </w:rPr>
        <w:instrText>Ref18959902 \r \h</w:instrText>
      </w:r>
      <w:r w:rsidRPr="00112FDA">
        <w:rPr>
          <w:rStyle w:val="af6"/>
          <w:rFonts w:eastAsia="Guttman Hodes"/>
          <w:rtl/>
        </w:rPr>
        <w:instrText xml:space="preserve"> </w:instrText>
      </w:r>
      <w:r w:rsidRPr="00112FDA">
        <w:rPr>
          <w:rStyle w:val="af6"/>
          <w:rFonts w:eastAsia="Guttman Hodes"/>
          <w:rtl/>
        </w:rPr>
      </w:r>
      <w:r w:rsidRPr="00112FDA">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sidRPr="00112FDA">
        <w:rPr>
          <w:rStyle w:val="af6"/>
          <w:rFonts w:eastAsia="Guttman Hodes"/>
          <w:rtl/>
        </w:rPr>
        <w:fldChar w:fldCharType="end"/>
      </w:r>
      <w:r>
        <w:rPr>
          <w:rFonts w:hint="cs"/>
          <w:rtl/>
        </w:rPr>
        <w:t xml:space="preserve"> בדברי </w:t>
      </w:r>
      <w:r w:rsidRPr="00112FDA">
        <w:rPr>
          <w:rStyle w:val="af8"/>
          <w:rFonts w:hint="cs"/>
          <w:rtl/>
        </w:rPr>
        <w:t>הרמב"ם</w:t>
      </w:r>
      <w:r>
        <w:rPr>
          <w:rFonts w:hint="cs"/>
          <w:rtl/>
        </w:rPr>
        <w:t>].</w:t>
      </w:r>
    </w:p>
    <w:p w:rsidR="0013006A" w:rsidRPr="00A37615" w:rsidRDefault="0013006A" w:rsidP="0013006A">
      <w:pPr>
        <w:pStyle w:val="a2"/>
        <w:rPr>
          <w:rtl/>
        </w:rPr>
      </w:pPr>
      <w:bookmarkStart w:id="9881" w:name="_Toc19082152"/>
      <w:bookmarkStart w:id="9882" w:name="_Toc19129444"/>
      <w:bookmarkStart w:id="9883" w:name="_Toc19129998"/>
      <w:bookmarkStart w:id="9884" w:name="_Toc19170931"/>
      <w:bookmarkStart w:id="9885" w:name="_Toc19180787"/>
      <w:r>
        <w:rPr>
          <w:rFonts w:hint="cs"/>
          <w:rtl/>
        </w:rPr>
        <w:t>דברי המקו"ח דכיון דנטל"פ מותר בבב"ח מוכח דגדר נטל"פ הוא שאין טע"כ בטעם פגום</w:t>
      </w:r>
      <w:bookmarkEnd w:id="9881"/>
      <w:bookmarkEnd w:id="9882"/>
      <w:bookmarkEnd w:id="9883"/>
      <w:bookmarkEnd w:id="9884"/>
      <w:bookmarkEnd w:id="9885"/>
    </w:p>
    <w:p w:rsidR="00E03085" w:rsidRDefault="0013006A" w:rsidP="009F44AF">
      <w:pPr>
        <w:pStyle w:val="a"/>
        <w:rPr>
          <w:rtl/>
        </w:rPr>
      </w:pPr>
      <w:bookmarkStart w:id="9886" w:name="_Ref19132216"/>
      <w:bookmarkStart w:id="9887" w:name="_Ref19693312"/>
      <w:r>
        <w:rPr>
          <w:rFonts w:hint="cs"/>
          <w:rtl/>
        </w:rPr>
        <w:t xml:space="preserve">וביאר </w:t>
      </w:r>
      <w:r>
        <w:rPr>
          <w:rStyle w:val="af8"/>
          <w:rFonts w:hint="cs"/>
          <w:rtl/>
        </w:rPr>
        <w:t>ה</w:t>
      </w:r>
      <w:r w:rsidRPr="00581BF7">
        <w:rPr>
          <w:rStyle w:val="af8"/>
          <w:rFonts w:hint="cs"/>
          <w:rtl/>
        </w:rPr>
        <w:t>מקור חיים</w:t>
      </w:r>
      <w:r>
        <w:rPr>
          <w:rFonts w:hint="cs"/>
          <w:rtl/>
        </w:rPr>
        <w:t xml:space="preserve"> דכיון דמוכח דההיתר בנותן טעם לפגם הוא אף בבשר וחלב וכלאי הכרם, אעפ"י דאיסורם הוא אף בשלא כדרך הנאתן, א"כ מבואר דטעם ההיתר בנותן טעם לפגם, הוא כיון </w:t>
      </w:r>
      <w:r w:rsidRPr="002C19D9">
        <w:rPr>
          <w:rFonts w:hint="cs"/>
          <w:rtl/>
        </w:rPr>
        <w:t xml:space="preserve">דלולי הילפותא </w:t>
      </w:r>
      <w:r>
        <w:rPr>
          <w:rFonts w:hint="cs"/>
          <w:rtl/>
        </w:rPr>
        <w:t xml:space="preserve">בגמ' בפסחים </w:t>
      </w:r>
      <w:r w:rsidRPr="00307599">
        <w:rPr>
          <w:rStyle w:val="af6"/>
          <w:rFonts w:eastAsia="Guttman Hodes" w:hint="cs"/>
          <w:rtl/>
        </w:rPr>
        <w:t>(מד.)</w:t>
      </w:r>
      <w:r>
        <w:rPr>
          <w:rFonts w:hint="cs"/>
          <w:rtl/>
        </w:rPr>
        <w:t xml:space="preserve"> </w:t>
      </w:r>
      <w:r w:rsidRPr="002C19D9">
        <w:rPr>
          <w:rFonts w:hint="cs"/>
          <w:rtl/>
        </w:rPr>
        <w:t>ממשרת אף טעם לשבח היה מותר, וכ"מ דילפינן מ</w:t>
      </w:r>
      <w:r>
        <w:rPr>
          <w:rFonts w:hint="cs"/>
          <w:rtl/>
        </w:rPr>
        <w:t>נ</w:t>
      </w:r>
      <w:r w:rsidRPr="002C19D9">
        <w:rPr>
          <w:rFonts w:hint="cs"/>
          <w:rtl/>
        </w:rPr>
        <w:t>זיר לשאר איסורים דטעם כעיקר הוא בק"ו, וכיון דבנזיר גופיה נותן</w:t>
      </w:r>
      <w:r>
        <w:rPr>
          <w:rFonts w:hint="cs"/>
          <w:rtl/>
        </w:rPr>
        <w:t xml:space="preserve"> טעם לפגם מותר, א"כ אמרינן דיו לבא מן הדין להיות כנדון, דאף בשאר איסורים נותן טעם לפגם מותר</w:t>
      </w:r>
      <w:bookmarkEnd w:id="9886"/>
      <w:r>
        <w:rPr>
          <w:rFonts w:hint="cs"/>
          <w:rtl/>
        </w:rPr>
        <w:t>,</w:t>
      </w:r>
      <w:r w:rsidRPr="00BE1655">
        <w:rPr>
          <w:rStyle w:val="afa"/>
          <w:rFonts w:hint="cs"/>
          <w:rtl/>
        </w:rPr>
        <w:t xml:space="preserve"> </w:t>
      </w:r>
      <w:bookmarkEnd w:id="9887"/>
      <w:r>
        <w:rPr>
          <w:rFonts w:hint="cs"/>
          <w:rtl/>
        </w:rPr>
        <w:t xml:space="preserve">ועי' במ"ש כעי"ז </w:t>
      </w:r>
      <w:r>
        <w:rPr>
          <w:rStyle w:val="af8"/>
          <w:rFonts w:hint="cs"/>
          <w:rtl/>
        </w:rPr>
        <w:t>הגרעק"א</w:t>
      </w:r>
      <w:r>
        <w:rPr>
          <w:rFonts w:hint="cs"/>
          <w:rtl/>
        </w:rPr>
        <w:t xml:space="preserve"> </w:t>
      </w:r>
      <w:r w:rsidRPr="0030759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Ref19693364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פ)</w:t>
      </w:r>
      <w:r>
        <w:rPr>
          <w:rStyle w:val="af6"/>
          <w:rFonts w:eastAsia="Guttman Hodes"/>
          <w:rtl/>
        </w:rPr>
        <w:fldChar w:fldCharType="end"/>
      </w:r>
      <w:r w:rsidRPr="00307599">
        <w:rPr>
          <w:rFonts w:hint="cs"/>
          <w:rtl/>
        </w:rPr>
        <w:t>.</w:t>
      </w:r>
      <w:r w:rsidRPr="00307599">
        <w:rPr>
          <w:rStyle w:val="afa"/>
          <w:rFonts w:hint="cs"/>
          <w:rtl/>
        </w:rPr>
        <w:t xml:space="preserve"> </w:t>
      </w:r>
      <w:r w:rsidRPr="000177C2">
        <w:rPr>
          <w:rStyle w:val="afa"/>
          <w:rFonts w:hint="cs"/>
          <w:rtl/>
        </w:rPr>
        <w:t>[ועי' במ</w:t>
      </w:r>
      <w:r>
        <w:rPr>
          <w:rStyle w:val="afa"/>
          <w:rFonts w:hint="cs"/>
          <w:rtl/>
        </w:rPr>
        <w:t>ה שביאר</w:t>
      </w:r>
      <w:r w:rsidRPr="000177C2">
        <w:rPr>
          <w:rStyle w:val="afa"/>
          <w:rFonts w:hint="cs"/>
          <w:rtl/>
        </w:rPr>
        <w:t xml:space="preserve"> </w:t>
      </w:r>
      <w:r w:rsidRPr="00BE1655">
        <w:rPr>
          <w:rStyle w:val="afa"/>
          <w:rFonts w:hint="cs"/>
          <w:rtl/>
        </w:rPr>
        <w:t xml:space="preserve">לפי"ז </w:t>
      </w:r>
      <w:r w:rsidRPr="000177C2">
        <w:rPr>
          <w:rStyle w:val="affa"/>
          <w:rFonts w:hint="cs"/>
          <w:rtl/>
        </w:rPr>
        <w:t>המקור חיים</w:t>
      </w:r>
      <w:r w:rsidRPr="000177C2">
        <w:rPr>
          <w:rStyle w:val="afa"/>
          <w:rFonts w:hint="cs"/>
          <w:rtl/>
        </w:rPr>
        <w:t xml:space="preserve"> </w:t>
      </w:r>
      <w:r w:rsidRPr="000177C2">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Ref19132275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כד)</w:t>
      </w:r>
      <w:r>
        <w:rPr>
          <w:rStyle w:val="aff6"/>
          <w:rtl/>
        </w:rPr>
        <w:fldChar w:fldCharType="end"/>
      </w:r>
      <w:r>
        <w:rPr>
          <w:rFonts w:hint="cs"/>
          <w:rtl/>
        </w:rPr>
        <w:t xml:space="preserve"> </w:t>
      </w:r>
      <w:r w:rsidRPr="00BE1655">
        <w:rPr>
          <w:rStyle w:val="afa"/>
          <w:rFonts w:hint="cs"/>
          <w:rtl/>
        </w:rPr>
        <w:t>בדין נותן טעם לפגם בחמץ]</w:t>
      </w:r>
      <w:r>
        <w:rPr>
          <w:rStyle w:val="afa"/>
          <w:rFonts w:hint="cs"/>
          <w:rtl/>
        </w:rPr>
        <w:t>.</w:t>
      </w:r>
    </w:p>
    <w:p w:rsidR="0013006A" w:rsidRPr="007E08AF" w:rsidRDefault="0013006A" w:rsidP="00E669F8">
      <w:pPr>
        <w:pStyle w:val="afd"/>
        <w:rPr>
          <w:rtl/>
        </w:rPr>
      </w:pPr>
      <w:bookmarkStart w:id="9888" w:name="_Toc19129445"/>
      <w:bookmarkStart w:id="9889" w:name="_Toc19129999"/>
      <w:bookmarkStart w:id="9890" w:name="_Toc19170932"/>
      <w:bookmarkStart w:id="9891" w:name="_Toc19180788"/>
      <w:r w:rsidRPr="00380B3C">
        <w:rPr>
          <w:rtl/>
        </w:rPr>
        <w:t>ביאורי האחרונים</w:t>
      </w:r>
      <w:r>
        <w:rPr>
          <w:rFonts w:hint="cs"/>
          <w:rtl/>
        </w:rPr>
        <w:t xml:space="preserve"> בגדר נטל"פ ונבילה</w:t>
      </w:r>
      <w:bookmarkEnd w:id="9888"/>
      <w:bookmarkEnd w:id="9889"/>
      <w:bookmarkEnd w:id="9890"/>
      <w:bookmarkEnd w:id="9891"/>
    </w:p>
    <w:p w:rsidR="0013006A" w:rsidRDefault="0013006A" w:rsidP="0013006A">
      <w:pPr>
        <w:pStyle w:val="1"/>
        <w:rPr>
          <w:rtl/>
        </w:rPr>
      </w:pPr>
      <w:bookmarkStart w:id="9892" w:name="_Toc19129446"/>
      <w:bookmarkStart w:id="9893" w:name="_Toc19130000"/>
      <w:bookmarkStart w:id="9894" w:name="_Toc19170933"/>
      <w:bookmarkStart w:id="9895" w:name="_Toc19180789"/>
      <w:bookmarkStart w:id="9896" w:name="_Toc19082153"/>
      <w:r>
        <w:rPr>
          <w:rFonts w:hint="cs"/>
          <w:rtl/>
        </w:rPr>
        <w:t>ביאור החוו"ד דבשלא כדרך הנאתן ונטל"פ לא פקע האיסור</w:t>
      </w:r>
      <w:bookmarkEnd w:id="9892"/>
      <w:bookmarkEnd w:id="9893"/>
      <w:bookmarkEnd w:id="9894"/>
      <w:bookmarkEnd w:id="9895"/>
    </w:p>
    <w:p w:rsidR="0013006A" w:rsidRPr="00A37615" w:rsidRDefault="0013006A" w:rsidP="0013006A">
      <w:pPr>
        <w:pStyle w:val="a2"/>
        <w:rPr>
          <w:rtl/>
        </w:rPr>
      </w:pPr>
      <w:bookmarkStart w:id="9897" w:name="_Toc19129447"/>
      <w:bookmarkStart w:id="9898" w:name="_Toc19130001"/>
      <w:bookmarkStart w:id="9899" w:name="_Toc19170934"/>
      <w:bookmarkStart w:id="9900" w:name="_Toc19180790"/>
      <w:r>
        <w:rPr>
          <w:rFonts w:hint="cs"/>
          <w:rtl/>
        </w:rPr>
        <w:t>דברי החוו"ד דשלא כדרך הנאתן ודין אינה ראויה לגר הם ב' דינים שונים</w:t>
      </w:r>
      <w:bookmarkEnd w:id="9896"/>
      <w:bookmarkEnd w:id="9897"/>
      <w:bookmarkEnd w:id="9898"/>
      <w:bookmarkEnd w:id="9899"/>
      <w:bookmarkEnd w:id="9900"/>
      <w:r>
        <w:rPr>
          <w:rFonts w:hint="cs"/>
          <w:rtl/>
        </w:rPr>
        <w:t xml:space="preserve"> </w:t>
      </w:r>
    </w:p>
    <w:p w:rsidR="0013006A" w:rsidRDefault="0013006A" w:rsidP="009F44AF">
      <w:pPr>
        <w:pStyle w:val="a"/>
        <w:rPr>
          <w:rtl/>
        </w:rPr>
      </w:pPr>
      <w:bookmarkStart w:id="9901" w:name="_Ref19042939"/>
      <w:r>
        <w:rPr>
          <w:rFonts w:hint="cs"/>
          <w:rtl/>
        </w:rPr>
        <w:t xml:space="preserve">וכתב </w:t>
      </w:r>
      <w:r w:rsidRPr="00D409FE">
        <w:rPr>
          <w:rStyle w:val="af8"/>
          <w:rFonts w:hint="cs"/>
          <w:rtl/>
        </w:rPr>
        <w:t>החוו"ד</w:t>
      </w:r>
      <w:r>
        <w:rPr>
          <w:rFonts w:hint="cs"/>
          <w:rtl/>
        </w:rPr>
        <w:t xml:space="preserve"> </w:t>
      </w:r>
      <w:r w:rsidRPr="008441DA">
        <w:rPr>
          <w:rStyle w:val="af6"/>
          <w:rFonts w:eastAsia="Guttman Hodes" w:hint="cs"/>
          <w:rtl/>
        </w:rPr>
        <w:t>(סי' ק"ג סק"א)</w:t>
      </w:r>
      <w:r>
        <w:rPr>
          <w:rFonts w:hint="cs"/>
          <w:rtl/>
        </w:rPr>
        <w:t xml:space="preserve"> דההיתר דנבילה שאינה ראויה לגר, ופטור אכילה בשלא כדרך הנאתן, הם ב' דינים שונים, ושלא כדרך הנאתן, היינו כשאכל דבר חי, או שעירב בו דבר מר, או שאכל באכילה גסה, ודין זה נלמד בגמ' בפסחים </w:t>
      </w:r>
      <w:r w:rsidRPr="008441DA">
        <w:rPr>
          <w:rStyle w:val="af6"/>
          <w:rFonts w:eastAsia="Guttman Hodes" w:hint="cs"/>
          <w:rtl/>
        </w:rPr>
        <w:t>(כד:)</w:t>
      </w:r>
      <w:r>
        <w:rPr>
          <w:rFonts w:hint="cs"/>
          <w:rtl/>
        </w:rPr>
        <w:t xml:space="preserve"> מדכתיב "לא יאכל", ואינו שייך כלל לילפותא מנבילה שאינה ראויה לגר, וכמבואר מדברי </w:t>
      </w:r>
      <w:r>
        <w:rPr>
          <w:rStyle w:val="af8"/>
          <w:rFonts w:hint="cs"/>
          <w:rtl/>
        </w:rPr>
        <w:t>הרמב"ם</w:t>
      </w:r>
      <w:r>
        <w:rPr>
          <w:rFonts w:hint="cs"/>
          <w:rtl/>
        </w:rPr>
        <w:t xml:space="preserve"> </w:t>
      </w:r>
      <w:r w:rsidRPr="00F442E7">
        <w:rPr>
          <w:rStyle w:val="af6"/>
          <w:rFonts w:eastAsia="Guttman Hodes" w:hint="cs"/>
          <w:rtl/>
        </w:rPr>
        <w:t xml:space="preserve">(עי' אות </w:t>
      </w:r>
      <w:r w:rsidRPr="00F442E7">
        <w:rPr>
          <w:rStyle w:val="af6"/>
          <w:rFonts w:eastAsia="Guttman Hodes"/>
          <w:rtl/>
        </w:rPr>
        <w:fldChar w:fldCharType="begin"/>
      </w:r>
      <w:r w:rsidRPr="00F442E7">
        <w:rPr>
          <w:rStyle w:val="af6"/>
          <w:rFonts w:eastAsia="Guttman Hodes"/>
          <w:rtl/>
        </w:rPr>
        <w:instrText xml:space="preserve"> </w:instrText>
      </w:r>
      <w:r w:rsidRPr="00F442E7">
        <w:rPr>
          <w:rStyle w:val="af6"/>
          <w:rFonts w:eastAsia="Guttman Hodes" w:hint="cs"/>
        </w:rPr>
        <w:instrText>REF</w:instrText>
      </w:r>
      <w:r w:rsidRPr="00F442E7">
        <w:rPr>
          <w:rStyle w:val="af6"/>
          <w:rFonts w:eastAsia="Guttman Hodes" w:hint="cs"/>
          <w:rtl/>
        </w:rPr>
        <w:instrText xml:space="preserve"> _</w:instrText>
      </w:r>
      <w:r w:rsidRPr="00F442E7">
        <w:rPr>
          <w:rStyle w:val="af6"/>
          <w:rFonts w:eastAsia="Guttman Hodes" w:hint="cs"/>
        </w:rPr>
        <w:instrText>Ref19034347 \r \h</w:instrText>
      </w:r>
      <w:r w:rsidRPr="00F442E7">
        <w:rPr>
          <w:rStyle w:val="af6"/>
          <w:rFonts w:eastAsia="Guttman Hodes"/>
          <w:rtl/>
        </w:rPr>
        <w:instrText xml:space="preserve"> </w:instrText>
      </w:r>
      <w:r w:rsidRPr="00F442E7">
        <w:rPr>
          <w:rStyle w:val="af6"/>
          <w:rFonts w:eastAsia="Guttman Hodes"/>
          <w:rtl/>
        </w:rPr>
      </w:r>
      <w:r w:rsidRPr="00F442E7">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F442E7">
        <w:rPr>
          <w:rStyle w:val="af6"/>
          <w:rFonts w:eastAsia="Guttman Hodes"/>
          <w:rtl/>
        </w:rPr>
        <w:fldChar w:fldCharType="end"/>
      </w:r>
      <w:r>
        <w:rPr>
          <w:rFonts w:hint="cs"/>
          <w:rtl/>
        </w:rPr>
        <w:t>.</w:t>
      </w:r>
      <w:bookmarkEnd w:id="9901"/>
    </w:p>
    <w:p w:rsidR="0013006A" w:rsidRDefault="0013006A" w:rsidP="0013006A">
      <w:pPr>
        <w:pStyle w:val="a2"/>
      </w:pPr>
      <w:bookmarkStart w:id="9902" w:name="_Toc19082154"/>
      <w:bookmarkStart w:id="9903" w:name="_Toc19129448"/>
      <w:bookmarkStart w:id="9904" w:name="_Toc19130002"/>
      <w:bookmarkStart w:id="9905" w:name="_Toc19170935"/>
      <w:bookmarkStart w:id="9906" w:name="_Toc19180791"/>
      <w:r>
        <w:rPr>
          <w:rFonts w:hint="cs"/>
          <w:rtl/>
        </w:rPr>
        <w:t>ביאור החוו"ד דבשלא כדרך האיסור עצמו עדיין אסור ואם חזר ותיקנו חוזר לאיסורו</w:t>
      </w:r>
      <w:bookmarkEnd w:id="9902"/>
      <w:bookmarkEnd w:id="9903"/>
      <w:bookmarkEnd w:id="9904"/>
      <w:bookmarkEnd w:id="9905"/>
      <w:bookmarkEnd w:id="9906"/>
    </w:p>
    <w:p w:rsidR="0013006A" w:rsidRDefault="0013006A" w:rsidP="009F44AF">
      <w:pPr>
        <w:pStyle w:val="a"/>
        <w:rPr>
          <w:rtl/>
        </w:rPr>
      </w:pPr>
      <w:r>
        <w:rPr>
          <w:rFonts w:hint="cs"/>
          <w:rtl/>
        </w:rPr>
        <w:t xml:space="preserve">וביאר </w:t>
      </w:r>
      <w:r w:rsidRPr="00D409FE">
        <w:rPr>
          <w:rStyle w:val="af8"/>
          <w:rFonts w:hint="cs"/>
          <w:rtl/>
        </w:rPr>
        <w:t>החוו"ד</w:t>
      </w:r>
      <w:r>
        <w:rPr>
          <w:rFonts w:hint="cs"/>
          <w:rtl/>
        </w:rPr>
        <w:t xml:space="preserve"> דבשלא כדרך הנאתן, הוא רק פטור ממלקות כיון שאוכלו שלא כדרך הנאתו, אבל האיסור עצמו עדיין אסור, ולכן אם חזר ותיקן את האיסור, כגון שבישלו או שהוציא ממנו את הדבר המר, או שמיתק אותו, האיסור חוזר לאיסורו, דשם האיסור לא בטל ממנו, מחמת שהוא חי ולא מבושל או ע"י שנתן בו דבר מר, ולכן כתב </w:t>
      </w:r>
      <w:r w:rsidRPr="00D409FE">
        <w:rPr>
          <w:rStyle w:val="af8"/>
          <w:rFonts w:hint="cs"/>
          <w:rtl/>
        </w:rPr>
        <w:t>הרמב"ם</w:t>
      </w:r>
      <w:r>
        <w:rPr>
          <w:rFonts w:hint="cs"/>
          <w:rtl/>
        </w:rPr>
        <w:t xml:space="preserve"> </w:t>
      </w:r>
      <w:r w:rsidRPr="005208C2">
        <w:rPr>
          <w:rStyle w:val="af6"/>
          <w:rFonts w:eastAsia="Guttman Hodes" w:hint="cs"/>
          <w:rtl/>
        </w:rPr>
        <w:t xml:space="preserve">(עי' אות </w:t>
      </w:r>
      <w:r w:rsidRPr="005208C2">
        <w:rPr>
          <w:rStyle w:val="af6"/>
          <w:rFonts w:eastAsia="Guttman Hodes"/>
          <w:rtl/>
        </w:rPr>
        <w:fldChar w:fldCharType="begin"/>
      </w:r>
      <w:r w:rsidRPr="005208C2">
        <w:rPr>
          <w:rStyle w:val="af6"/>
          <w:rFonts w:eastAsia="Guttman Hodes"/>
          <w:rtl/>
        </w:rPr>
        <w:instrText xml:space="preserve"> </w:instrText>
      </w:r>
      <w:r w:rsidRPr="005208C2">
        <w:rPr>
          <w:rStyle w:val="af6"/>
          <w:rFonts w:eastAsia="Guttman Hodes" w:hint="cs"/>
        </w:rPr>
        <w:instrText>REF</w:instrText>
      </w:r>
      <w:r w:rsidRPr="005208C2">
        <w:rPr>
          <w:rStyle w:val="af6"/>
          <w:rFonts w:eastAsia="Guttman Hodes" w:hint="cs"/>
          <w:rtl/>
        </w:rPr>
        <w:instrText xml:space="preserve"> _</w:instrText>
      </w:r>
      <w:r w:rsidRPr="005208C2">
        <w:rPr>
          <w:rStyle w:val="af6"/>
          <w:rFonts w:eastAsia="Guttman Hodes" w:hint="cs"/>
        </w:rPr>
        <w:instrText>Ref19034938 \r \h</w:instrText>
      </w:r>
      <w:r w:rsidRPr="005208C2">
        <w:rPr>
          <w:rStyle w:val="af6"/>
          <w:rFonts w:eastAsia="Guttman Hodes"/>
          <w:rtl/>
        </w:rPr>
        <w:instrText xml:space="preserve"> </w:instrText>
      </w:r>
      <w:r w:rsidRPr="005208C2">
        <w:rPr>
          <w:rStyle w:val="af6"/>
          <w:rFonts w:eastAsia="Guttman Hodes"/>
          <w:rtl/>
        </w:rPr>
      </w:r>
      <w:r w:rsidRPr="005208C2">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5208C2">
        <w:rPr>
          <w:rStyle w:val="af6"/>
          <w:rFonts w:eastAsia="Guttman Hodes"/>
          <w:rtl/>
        </w:rPr>
        <w:fldChar w:fldCharType="end"/>
      </w:r>
      <w:r>
        <w:rPr>
          <w:rFonts w:hint="cs"/>
          <w:rtl/>
        </w:rPr>
        <w:t xml:space="preserve"> דבבשר בחלב וכלאי הכרם, לוקה אף כשנתן דבר מר וכדו', דכיון שלא כתיב בהם אכילה, חייב עליהם אף בשלא כדרך הנאתן. [ועי' במה שדחה </w:t>
      </w:r>
      <w:r w:rsidRPr="00316EB2">
        <w:rPr>
          <w:rStyle w:val="af8"/>
          <w:rFonts w:hint="cs"/>
          <w:rtl/>
        </w:rPr>
        <w:t>היד יהודה</w:t>
      </w:r>
      <w:r w:rsidRPr="00316EB2">
        <w:rPr>
          <w:rFonts w:hint="cs"/>
          <w:rtl/>
        </w:rPr>
        <w:t xml:space="preserve"> </w:t>
      </w:r>
      <w:r w:rsidRPr="00316EB2">
        <w:rPr>
          <w:rStyle w:val="af6"/>
          <w:rFonts w:eastAsia="Guttman Hodes" w:hint="cs"/>
          <w:rtl/>
        </w:rPr>
        <w:t xml:space="preserve">(סי' ק"ג סק"א ד"ה </w:t>
      </w:r>
      <w:r>
        <w:rPr>
          <w:rStyle w:val="af6"/>
          <w:rFonts w:eastAsia="Guttman Hodes" w:hint="cs"/>
          <w:rtl/>
        </w:rPr>
        <w:t>אבל עוד</w:t>
      </w:r>
      <w:r w:rsidRPr="00316EB2">
        <w:rPr>
          <w:rStyle w:val="af6"/>
          <w:rFonts w:eastAsia="Guttman Hodes" w:hint="cs"/>
          <w:rtl/>
        </w:rPr>
        <w:t>)</w:t>
      </w:r>
      <w:r>
        <w:rPr>
          <w:rFonts w:hint="cs"/>
          <w:rtl/>
        </w:rPr>
        <w:t xml:space="preserve"> את דברי </w:t>
      </w:r>
      <w:r w:rsidRPr="005208C2">
        <w:rPr>
          <w:rStyle w:val="af8"/>
          <w:rFonts w:hint="cs"/>
          <w:rtl/>
        </w:rPr>
        <w:t>החוו"ד</w:t>
      </w:r>
      <w:r>
        <w:rPr>
          <w:rFonts w:hint="cs"/>
          <w:rtl/>
        </w:rPr>
        <w:t>].</w:t>
      </w:r>
    </w:p>
    <w:p w:rsidR="0013006A" w:rsidRPr="003434BD" w:rsidRDefault="0013006A" w:rsidP="0013006A">
      <w:pPr>
        <w:pStyle w:val="a2"/>
        <w:rPr>
          <w:rtl/>
        </w:rPr>
      </w:pPr>
      <w:bookmarkStart w:id="9907" w:name="_Toc19129449"/>
      <w:bookmarkStart w:id="9908" w:name="_Toc19130003"/>
      <w:bookmarkStart w:id="9909" w:name="_Toc19170936"/>
      <w:bookmarkStart w:id="9910" w:name="_Toc19180792"/>
      <w:r>
        <w:rPr>
          <w:rFonts w:hint="cs"/>
          <w:rtl/>
        </w:rPr>
        <w:t>דברי החוו"ד דבפגום במקצת לא פקע האיסור ולכן פוגם ולבסוף השביח אסור</w:t>
      </w:r>
      <w:bookmarkEnd w:id="9907"/>
      <w:bookmarkEnd w:id="9908"/>
      <w:bookmarkEnd w:id="9909"/>
      <w:bookmarkEnd w:id="9910"/>
    </w:p>
    <w:p w:rsidR="0013006A" w:rsidRPr="00A37615" w:rsidRDefault="0013006A" w:rsidP="009F44AF">
      <w:pPr>
        <w:pStyle w:val="a"/>
        <w:rPr>
          <w:rtl/>
        </w:rPr>
      </w:pPr>
      <w:bookmarkStart w:id="9911" w:name="_Ref19179032"/>
      <w:r>
        <w:rPr>
          <w:rFonts w:hint="cs"/>
          <w:rtl/>
        </w:rPr>
        <w:t>ו</w:t>
      </w:r>
      <w:r w:rsidRPr="008F4D94">
        <w:rPr>
          <w:rFonts w:hint="cs"/>
          <w:rtl/>
        </w:rPr>
        <w:t xml:space="preserve">בנותן טעם לפגם בפגום במקצת, כתב </w:t>
      </w:r>
      <w:r w:rsidRPr="008F4D94">
        <w:rPr>
          <w:rStyle w:val="af8"/>
          <w:rFonts w:hint="cs"/>
          <w:rtl/>
        </w:rPr>
        <w:t>החוו"ד</w:t>
      </w:r>
      <w:r w:rsidRPr="008F4D94">
        <w:rPr>
          <w:rFonts w:hint="cs"/>
          <w:rtl/>
        </w:rPr>
        <w:t xml:space="preserve"> דלא חשיב שהאיסור פקע, אלא דכיון שלא נפגם לגמרי הוא עדיין אסור, ומ"מ אינו אוסר את התערובת כיון שלא ניחא לו בטעם הפגום</w:t>
      </w:r>
      <w:r>
        <w:rPr>
          <w:rFonts w:hint="cs"/>
          <w:rtl/>
        </w:rPr>
        <w:t>,</w:t>
      </w:r>
      <w:r w:rsidRPr="008F4D94">
        <w:rPr>
          <w:rFonts w:hint="cs"/>
          <w:rtl/>
        </w:rPr>
        <w:t xml:space="preserve"> כדביארו </w:t>
      </w:r>
      <w:r w:rsidRPr="008F4D94">
        <w:rPr>
          <w:rStyle w:val="af8"/>
          <w:rFonts w:hint="cs"/>
          <w:rtl/>
        </w:rPr>
        <w:t>הרשב"א</w:t>
      </w:r>
      <w:r w:rsidRPr="008F4D94">
        <w:rPr>
          <w:rFonts w:hint="cs"/>
          <w:rtl/>
        </w:rPr>
        <w:t xml:space="preserve"> </w:t>
      </w:r>
      <w:r w:rsidRPr="008F4D94">
        <w:rPr>
          <w:rStyle w:val="af6"/>
          <w:rFonts w:eastAsia="Guttman Hodes" w:hint="cs"/>
          <w:rtl/>
        </w:rPr>
        <w:t xml:space="preserve">(עי' אות </w:t>
      </w:r>
      <w:r w:rsidRPr="008F4D94">
        <w:rPr>
          <w:rStyle w:val="af6"/>
          <w:rFonts w:eastAsia="Guttman Hodes"/>
          <w:rtl/>
        </w:rPr>
        <w:fldChar w:fldCharType="begin"/>
      </w:r>
      <w:r w:rsidRPr="008F4D94">
        <w:rPr>
          <w:rStyle w:val="af6"/>
          <w:rFonts w:eastAsia="Guttman Hodes"/>
          <w:rtl/>
        </w:rPr>
        <w:instrText xml:space="preserve"> </w:instrText>
      </w:r>
      <w:r w:rsidRPr="008F4D94">
        <w:rPr>
          <w:rStyle w:val="af6"/>
          <w:rFonts w:eastAsia="Guttman Hodes" w:hint="cs"/>
        </w:rPr>
        <w:instrText>REF</w:instrText>
      </w:r>
      <w:r w:rsidRPr="008F4D94">
        <w:rPr>
          <w:rStyle w:val="af6"/>
          <w:rFonts w:eastAsia="Guttman Hodes" w:hint="cs"/>
          <w:rtl/>
        </w:rPr>
        <w:instrText xml:space="preserve"> _</w:instrText>
      </w:r>
      <w:r w:rsidRPr="008F4D94">
        <w:rPr>
          <w:rStyle w:val="af6"/>
          <w:rFonts w:eastAsia="Guttman Hodes" w:hint="cs"/>
        </w:rPr>
        <w:instrText>Ref19046356 \r \h</w:instrText>
      </w:r>
      <w:r w:rsidRPr="008F4D94">
        <w:rPr>
          <w:rStyle w:val="af6"/>
          <w:rFonts w:eastAsia="Guttman Hodes"/>
          <w:rtl/>
        </w:rPr>
        <w:instrText xml:space="preserve">  \* </w:instrText>
      </w:r>
      <w:r w:rsidRPr="008F4D94">
        <w:rPr>
          <w:rStyle w:val="af6"/>
          <w:rFonts w:eastAsia="Guttman Hodes"/>
        </w:rPr>
        <w:instrText>MERGEFORMAT</w:instrText>
      </w:r>
      <w:r w:rsidRPr="008F4D94">
        <w:rPr>
          <w:rStyle w:val="af6"/>
          <w:rFonts w:eastAsia="Guttman Hodes"/>
          <w:rtl/>
        </w:rPr>
        <w:instrText xml:space="preserve"> </w:instrText>
      </w:r>
      <w:r w:rsidRPr="008F4D94">
        <w:rPr>
          <w:rStyle w:val="af6"/>
          <w:rFonts w:eastAsia="Guttman Hodes"/>
          <w:rtl/>
        </w:rPr>
      </w:r>
      <w:r w:rsidRPr="008F4D94">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8F4D94">
        <w:rPr>
          <w:rStyle w:val="af6"/>
          <w:rFonts w:eastAsia="Guttman Hodes"/>
          <w:rtl/>
        </w:rPr>
        <w:fldChar w:fldCharType="end"/>
      </w:r>
      <w:r w:rsidRPr="008F4D94">
        <w:rPr>
          <w:rStyle w:val="af6"/>
          <w:rFonts w:eastAsia="Guttman Hodes" w:hint="cs"/>
          <w:rtl/>
        </w:rPr>
        <w:t xml:space="preserve"> </w:t>
      </w:r>
      <w:r w:rsidRPr="008F4D94">
        <w:rPr>
          <w:rStyle w:val="af8"/>
          <w:rFonts w:hint="cs"/>
          <w:rtl/>
        </w:rPr>
        <w:t>והר"ן</w:t>
      </w:r>
      <w:r w:rsidRPr="008F4D94">
        <w:rPr>
          <w:rFonts w:hint="cs"/>
          <w:rtl/>
        </w:rPr>
        <w:t xml:space="preserve"> </w:t>
      </w:r>
      <w:r w:rsidRPr="008F4D94">
        <w:rPr>
          <w:rStyle w:val="af6"/>
          <w:rFonts w:eastAsia="Guttman Hodes" w:hint="cs"/>
          <w:rtl/>
        </w:rPr>
        <w:t xml:space="preserve">(עי' אות </w:t>
      </w:r>
      <w:r w:rsidRPr="008F4D94">
        <w:rPr>
          <w:rStyle w:val="af6"/>
          <w:rFonts w:eastAsia="Guttman Hodes"/>
          <w:rtl/>
        </w:rPr>
        <w:fldChar w:fldCharType="begin"/>
      </w:r>
      <w:r w:rsidRPr="008F4D94">
        <w:rPr>
          <w:rStyle w:val="af6"/>
          <w:rFonts w:eastAsia="Guttman Hodes"/>
          <w:rtl/>
        </w:rPr>
        <w:instrText xml:space="preserve"> </w:instrText>
      </w:r>
      <w:r w:rsidRPr="008F4D94">
        <w:rPr>
          <w:rStyle w:val="af6"/>
          <w:rFonts w:eastAsia="Guttman Hodes" w:hint="cs"/>
        </w:rPr>
        <w:instrText>REF</w:instrText>
      </w:r>
      <w:r w:rsidRPr="008F4D94">
        <w:rPr>
          <w:rStyle w:val="af6"/>
          <w:rFonts w:eastAsia="Guttman Hodes" w:hint="cs"/>
          <w:rtl/>
        </w:rPr>
        <w:instrText xml:space="preserve"> _</w:instrText>
      </w:r>
      <w:r w:rsidRPr="008F4D94">
        <w:rPr>
          <w:rStyle w:val="af6"/>
          <w:rFonts w:eastAsia="Guttman Hodes" w:hint="cs"/>
        </w:rPr>
        <w:instrText>Ref19046356 \r \h</w:instrText>
      </w:r>
      <w:r w:rsidRPr="008F4D94">
        <w:rPr>
          <w:rStyle w:val="af6"/>
          <w:rFonts w:eastAsia="Guttman Hodes"/>
          <w:rtl/>
        </w:rPr>
        <w:instrText xml:space="preserve">  \* </w:instrText>
      </w:r>
      <w:r w:rsidRPr="008F4D94">
        <w:rPr>
          <w:rStyle w:val="af6"/>
          <w:rFonts w:eastAsia="Guttman Hodes"/>
        </w:rPr>
        <w:instrText>MERGEFORMAT</w:instrText>
      </w:r>
      <w:r w:rsidRPr="008F4D94">
        <w:rPr>
          <w:rStyle w:val="af6"/>
          <w:rFonts w:eastAsia="Guttman Hodes"/>
          <w:rtl/>
        </w:rPr>
        <w:instrText xml:space="preserve"> </w:instrText>
      </w:r>
      <w:r w:rsidRPr="008F4D94">
        <w:rPr>
          <w:rStyle w:val="af6"/>
          <w:rFonts w:eastAsia="Guttman Hodes"/>
          <w:rtl/>
        </w:rPr>
      </w:r>
      <w:r w:rsidRPr="008F4D94">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8F4D94">
        <w:rPr>
          <w:rStyle w:val="af6"/>
          <w:rFonts w:eastAsia="Guttman Hodes"/>
          <w:rtl/>
        </w:rPr>
        <w:fldChar w:fldCharType="end"/>
      </w:r>
      <w:r w:rsidRPr="008F4D94">
        <w:rPr>
          <w:rStyle w:val="af0"/>
          <w:rtl/>
        </w:rPr>
        <w:footnoteReference w:id="45"/>
      </w:r>
      <w:r w:rsidRPr="008F4D94">
        <w:rPr>
          <w:rFonts w:hint="cs"/>
          <w:rtl/>
        </w:rPr>
        <w:t xml:space="preserve">, וכתב </w:t>
      </w:r>
      <w:r w:rsidRPr="008F4D94">
        <w:rPr>
          <w:rStyle w:val="af8"/>
          <w:rFonts w:hint="cs"/>
          <w:rtl/>
        </w:rPr>
        <w:t>החוו"ד</w:t>
      </w:r>
      <w:r w:rsidRPr="008F4D94">
        <w:rPr>
          <w:rFonts w:hint="cs"/>
          <w:rtl/>
        </w:rPr>
        <w:t xml:space="preserve"> דמשו"ה אסור בפוגם ולבסוף השביח, דכיון שלא פקע האיסור ממנו, א"כ כשחזר הטעם הפגום והשביח את התערובת, וניחא לו בטעם האסור נאסרת התערובת</w:t>
      </w:r>
      <w:r>
        <w:rPr>
          <w:rFonts w:hint="cs"/>
          <w:rtl/>
        </w:rPr>
        <w:t>.</w:t>
      </w:r>
      <w:bookmarkEnd w:id="9911"/>
      <w:r>
        <w:rPr>
          <w:rFonts w:hint="cs"/>
          <w:rtl/>
        </w:rPr>
        <w:t xml:space="preserve"> [ועי' במה שהקשה </w:t>
      </w:r>
      <w:r w:rsidRPr="00BA4C90">
        <w:rPr>
          <w:rStyle w:val="af8"/>
          <w:rFonts w:hint="cs"/>
          <w:rtl/>
        </w:rPr>
        <w:t>הקה"י</w:t>
      </w:r>
      <w:r>
        <w:rPr>
          <w:rFonts w:hint="cs"/>
          <w:rtl/>
        </w:rPr>
        <w:t xml:space="preserve"> </w:t>
      </w:r>
      <w:r w:rsidRPr="00BA4C90">
        <w:rPr>
          <w:rStyle w:val="af6"/>
          <w:rFonts w:eastAsia="Guttman Hodes" w:hint="cs"/>
          <w:rtl/>
        </w:rPr>
        <w:t xml:space="preserve">(עי' אות </w:t>
      </w:r>
      <w:r w:rsidRPr="00BA4C90">
        <w:rPr>
          <w:rStyle w:val="af6"/>
          <w:rFonts w:eastAsia="Guttman Hodes"/>
          <w:rtl/>
        </w:rPr>
        <w:fldChar w:fldCharType="begin"/>
      </w:r>
      <w:r w:rsidRPr="00BA4C90">
        <w:rPr>
          <w:rStyle w:val="af6"/>
          <w:rFonts w:eastAsia="Guttman Hodes"/>
          <w:rtl/>
        </w:rPr>
        <w:instrText xml:space="preserve"> </w:instrText>
      </w:r>
      <w:r w:rsidRPr="00BA4C90">
        <w:rPr>
          <w:rStyle w:val="af6"/>
          <w:rFonts w:eastAsia="Guttman Hodes" w:hint="cs"/>
        </w:rPr>
        <w:instrText>REF</w:instrText>
      </w:r>
      <w:r w:rsidRPr="00BA4C90">
        <w:rPr>
          <w:rStyle w:val="af6"/>
          <w:rFonts w:eastAsia="Guttman Hodes" w:hint="cs"/>
          <w:rtl/>
        </w:rPr>
        <w:instrText xml:space="preserve"> _</w:instrText>
      </w:r>
      <w:r w:rsidRPr="00BA4C90">
        <w:rPr>
          <w:rStyle w:val="af6"/>
          <w:rFonts w:eastAsia="Guttman Hodes" w:hint="cs"/>
        </w:rPr>
        <w:instrText>Ref19182226 \r \h</w:instrText>
      </w:r>
      <w:r w:rsidRPr="00BA4C90">
        <w:rPr>
          <w:rStyle w:val="af6"/>
          <w:rFonts w:eastAsia="Guttman Hodes"/>
          <w:rtl/>
        </w:rPr>
        <w:instrText xml:space="preserve"> </w:instrText>
      </w:r>
      <w:r w:rsidRPr="00BA4C90">
        <w:rPr>
          <w:rStyle w:val="af6"/>
          <w:rFonts w:eastAsia="Guttman Hodes"/>
          <w:rtl/>
        </w:rPr>
      </w:r>
      <w:r w:rsidRPr="00BA4C90">
        <w:rPr>
          <w:rStyle w:val="af6"/>
          <w:rFonts w:eastAsia="Guttman Hodes"/>
          <w:rtl/>
        </w:rPr>
        <w:fldChar w:fldCharType="separate"/>
      </w:r>
      <w:r w:rsidR="004D1C5B">
        <w:rPr>
          <w:rStyle w:val="af6"/>
          <w:rFonts w:eastAsia="Guttman Hodes"/>
          <w:cs/>
        </w:rPr>
        <w:t>‎</w:t>
      </w:r>
      <w:r w:rsidR="004D1C5B">
        <w:rPr>
          <w:rStyle w:val="af6"/>
          <w:rFonts w:eastAsia="Guttman Hodes"/>
          <w:rtl/>
        </w:rPr>
        <w:t>קיא)</w:t>
      </w:r>
      <w:r w:rsidRPr="00BA4C90">
        <w:rPr>
          <w:rStyle w:val="af6"/>
          <w:rFonts w:eastAsia="Guttman Hodes"/>
          <w:rtl/>
        </w:rPr>
        <w:fldChar w:fldCharType="end"/>
      </w:r>
      <w:r>
        <w:rPr>
          <w:rFonts w:hint="cs"/>
          <w:rtl/>
        </w:rPr>
        <w:t>].</w:t>
      </w:r>
    </w:p>
    <w:p w:rsidR="0013006A" w:rsidRDefault="0013006A" w:rsidP="0013006A">
      <w:pPr>
        <w:pStyle w:val="1"/>
        <w:rPr>
          <w:rtl/>
        </w:rPr>
      </w:pPr>
      <w:bookmarkStart w:id="9912" w:name="_Toc19129450"/>
      <w:bookmarkStart w:id="9913" w:name="_Toc19130004"/>
      <w:bookmarkStart w:id="9914" w:name="_Toc19170937"/>
      <w:bookmarkStart w:id="9915" w:name="_Toc19180793"/>
      <w:bookmarkStart w:id="9916" w:name="_Ref19042420"/>
      <w:bookmarkStart w:id="9917" w:name="_Toc18513270"/>
      <w:bookmarkStart w:id="9918" w:name="_Toc18874365"/>
      <w:bookmarkStart w:id="9919" w:name="_Toc18946779"/>
      <w:bookmarkStart w:id="9920" w:name="_Toc19026241"/>
      <w:bookmarkStart w:id="9921" w:name="_Toc19029718"/>
      <w:bookmarkStart w:id="9922" w:name="_Toc19030102"/>
      <w:bookmarkStart w:id="9923" w:name="_Toc19082155"/>
      <w:r w:rsidRPr="00A35665">
        <w:rPr>
          <w:rFonts w:hint="cs"/>
          <w:rtl/>
        </w:rPr>
        <w:t>דברי החוו"ד דב</w:t>
      </w:r>
      <w:r>
        <w:rPr>
          <w:rFonts w:hint="cs"/>
          <w:rtl/>
        </w:rPr>
        <w:t>אינה ראויה לגר</w:t>
      </w:r>
      <w:r w:rsidRPr="00A35665">
        <w:rPr>
          <w:rFonts w:hint="cs"/>
          <w:rtl/>
        </w:rPr>
        <w:t xml:space="preserve"> פקע האיסור </w:t>
      </w:r>
      <w:r>
        <w:rPr>
          <w:rFonts w:hint="cs"/>
          <w:rtl/>
        </w:rPr>
        <w:t>אף בחזר ותיקנה</w:t>
      </w:r>
      <w:bookmarkEnd w:id="9912"/>
      <w:bookmarkEnd w:id="9913"/>
      <w:bookmarkEnd w:id="9914"/>
      <w:bookmarkEnd w:id="9915"/>
    </w:p>
    <w:p w:rsidR="0013006A" w:rsidRPr="00A37615" w:rsidRDefault="0013006A" w:rsidP="0013006A">
      <w:pPr>
        <w:pStyle w:val="a2"/>
        <w:rPr>
          <w:rtl/>
        </w:rPr>
      </w:pPr>
      <w:bookmarkStart w:id="9924" w:name="_Toc19129451"/>
      <w:bookmarkStart w:id="9925" w:name="_Toc19130005"/>
      <w:bookmarkStart w:id="9926" w:name="_Toc19170938"/>
      <w:bookmarkStart w:id="9927" w:name="_Toc19180794"/>
      <w:r>
        <w:rPr>
          <w:rFonts w:hint="cs"/>
          <w:rtl/>
        </w:rPr>
        <w:t>דברי החוו"ד דבאינה ראויה לגר פרח האיסור ממנה ואף אם חזר ותיקנה לאכילה מותרת</w:t>
      </w:r>
      <w:bookmarkEnd w:id="9924"/>
      <w:bookmarkEnd w:id="9925"/>
      <w:bookmarkEnd w:id="9926"/>
      <w:bookmarkEnd w:id="9927"/>
    </w:p>
    <w:p w:rsidR="0013006A" w:rsidRPr="0067431A" w:rsidRDefault="0013006A" w:rsidP="009F44AF">
      <w:pPr>
        <w:pStyle w:val="a"/>
        <w:rPr>
          <w:rStyle w:val="afa"/>
        </w:rPr>
      </w:pPr>
      <w:bookmarkStart w:id="9928" w:name="_Ref19120520"/>
      <w:bookmarkStart w:id="9929" w:name="_Ref19182863"/>
      <w:r w:rsidRPr="008F4D94">
        <w:rPr>
          <w:rFonts w:hint="cs"/>
          <w:rtl/>
        </w:rPr>
        <w:t xml:space="preserve">אך כתב </w:t>
      </w:r>
      <w:r w:rsidRPr="008F4D94">
        <w:rPr>
          <w:rStyle w:val="af8"/>
          <w:rtl/>
        </w:rPr>
        <w:t>החוו"ד</w:t>
      </w:r>
      <w:r w:rsidRPr="008F4D94">
        <w:rPr>
          <w:rStyle w:val="af6"/>
          <w:rFonts w:eastAsia="Guttman Hodes" w:hint="cs"/>
          <w:rtl/>
        </w:rPr>
        <w:t xml:space="preserve"> (סי' ק"ג סק"א) </w:t>
      </w:r>
      <w:r>
        <w:rPr>
          <w:rFonts w:hint="cs"/>
          <w:rtl/>
        </w:rPr>
        <w:t>ד</w:t>
      </w:r>
      <w:r w:rsidRPr="008F4D94">
        <w:rPr>
          <w:rFonts w:hint="cs"/>
          <w:rtl/>
        </w:rPr>
        <w:t>בנבילה שאינה ראויה לגר</w:t>
      </w:r>
      <w:r>
        <w:rPr>
          <w:rFonts w:hint="cs"/>
          <w:rtl/>
        </w:rPr>
        <w:t>,</w:t>
      </w:r>
      <w:r w:rsidRPr="008F4D94">
        <w:rPr>
          <w:rFonts w:hint="cs"/>
          <w:rtl/>
        </w:rPr>
        <w:t xml:space="preserve"> </w:t>
      </w:r>
      <w:r>
        <w:rPr>
          <w:rFonts w:hint="cs"/>
          <w:rtl/>
        </w:rPr>
        <w:t xml:space="preserve">לא </w:t>
      </w:r>
      <w:r w:rsidRPr="008F4D94">
        <w:rPr>
          <w:rFonts w:hint="cs"/>
          <w:rtl/>
        </w:rPr>
        <w:t xml:space="preserve">שייך לומר שאם חזר ותיקן את האיסור הוא חוזר לאיסורו, </w:t>
      </w:r>
      <w:r>
        <w:rPr>
          <w:rFonts w:hint="cs"/>
          <w:rtl/>
        </w:rPr>
        <w:t xml:space="preserve">דהא כיון </w:t>
      </w:r>
      <w:r w:rsidRPr="008F4D94">
        <w:rPr>
          <w:rFonts w:hint="cs"/>
          <w:rtl/>
        </w:rPr>
        <w:t>שאינה ראויה לגר</w:t>
      </w:r>
      <w:r>
        <w:rPr>
          <w:rFonts w:hint="cs"/>
          <w:rtl/>
        </w:rPr>
        <w:t>,</w:t>
      </w:r>
      <w:r w:rsidRPr="008F4D94">
        <w:rPr>
          <w:rFonts w:hint="cs"/>
          <w:rtl/>
        </w:rPr>
        <w:t xml:space="preserve"> פרח האיסור ממנה ונעשית כעפר, </w:t>
      </w:r>
      <w:r>
        <w:rPr>
          <w:rFonts w:hint="cs"/>
          <w:rtl/>
        </w:rPr>
        <w:t>ו</w:t>
      </w:r>
      <w:r w:rsidRPr="008F4D94">
        <w:rPr>
          <w:rFonts w:hint="cs"/>
          <w:rtl/>
        </w:rPr>
        <w:t>אינה חוזרת לאיסורה אף אם יחזור ויתקנה</w:t>
      </w:r>
      <w:r>
        <w:rPr>
          <w:rFonts w:hint="cs"/>
          <w:rtl/>
        </w:rPr>
        <w:t>.</w:t>
      </w:r>
      <w:r w:rsidRPr="0067431A">
        <w:rPr>
          <w:rFonts w:hint="cs"/>
          <w:rtl/>
        </w:rPr>
        <w:t xml:space="preserve"> </w:t>
      </w:r>
      <w:r>
        <w:rPr>
          <w:rFonts w:hint="cs"/>
          <w:rtl/>
        </w:rPr>
        <w:t xml:space="preserve">[אבל </w:t>
      </w:r>
      <w:r w:rsidRPr="009754E7">
        <w:rPr>
          <w:rStyle w:val="af8"/>
          <w:rFonts w:hint="cs"/>
          <w:rtl/>
        </w:rPr>
        <w:t>בפרמ"ג</w:t>
      </w:r>
      <w:r>
        <w:rPr>
          <w:rFonts w:hint="cs"/>
          <w:rtl/>
        </w:rPr>
        <w:t xml:space="preserve"> </w:t>
      </w:r>
      <w:r w:rsidRPr="009754E7">
        <w:rPr>
          <w:rStyle w:val="af6"/>
          <w:rFonts w:eastAsia="Guttman Hodes" w:hint="cs"/>
          <w:rtl/>
        </w:rPr>
        <w:t xml:space="preserve">(עי' אות </w:t>
      </w:r>
      <w:r w:rsidRPr="009754E7">
        <w:rPr>
          <w:rStyle w:val="af6"/>
          <w:rFonts w:eastAsia="Guttman Hodes"/>
          <w:rtl/>
        </w:rPr>
        <w:fldChar w:fldCharType="begin"/>
      </w:r>
      <w:r w:rsidRPr="009754E7">
        <w:rPr>
          <w:rStyle w:val="af6"/>
          <w:rFonts w:eastAsia="Guttman Hodes"/>
          <w:rtl/>
        </w:rPr>
        <w:instrText xml:space="preserve"> </w:instrText>
      </w:r>
      <w:r w:rsidRPr="009754E7">
        <w:rPr>
          <w:rStyle w:val="af6"/>
          <w:rFonts w:eastAsia="Guttman Hodes" w:hint="cs"/>
        </w:rPr>
        <w:instrText>REF</w:instrText>
      </w:r>
      <w:r w:rsidRPr="009754E7">
        <w:rPr>
          <w:rStyle w:val="af6"/>
          <w:rFonts w:eastAsia="Guttman Hodes" w:hint="cs"/>
          <w:rtl/>
        </w:rPr>
        <w:instrText xml:space="preserve"> _</w:instrText>
      </w:r>
      <w:r w:rsidRPr="009754E7">
        <w:rPr>
          <w:rStyle w:val="af6"/>
          <w:rFonts w:eastAsia="Guttman Hodes" w:hint="cs"/>
        </w:rPr>
        <w:instrText>Ref19120577 \r \h</w:instrText>
      </w:r>
      <w:r w:rsidRPr="009754E7">
        <w:rPr>
          <w:rStyle w:val="af6"/>
          <w:rFonts w:eastAsia="Guttman Hodes"/>
          <w:rtl/>
        </w:rPr>
        <w:instrText xml:space="preserve"> </w:instrText>
      </w:r>
      <w:r w:rsidRPr="009754E7">
        <w:rPr>
          <w:rStyle w:val="af6"/>
          <w:rFonts w:eastAsia="Guttman Hodes"/>
          <w:rtl/>
        </w:rPr>
      </w:r>
      <w:r w:rsidRPr="009754E7">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9754E7">
        <w:rPr>
          <w:rStyle w:val="af6"/>
          <w:rFonts w:eastAsia="Guttman Hodes"/>
          <w:rtl/>
        </w:rPr>
        <w:fldChar w:fldCharType="end"/>
      </w:r>
      <w:r>
        <w:rPr>
          <w:rFonts w:hint="cs"/>
          <w:rtl/>
        </w:rPr>
        <w:t xml:space="preserve"> כתב דבנימוח האיסור חוזר ונאסר,</w:t>
      </w:r>
      <w:r w:rsidRPr="006F57A5">
        <w:rPr>
          <w:rFonts w:hint="cs"/>
          <w:rtl/>
        </w:rPr>
        <w:t xml:space="preserve"> </w:t>
      </w:r>
      <w:r w:rsidRPr="008F4D94">
        <w:rPr>
          <w:rFonts w:hint="cs"/>
          <w:rtl/>
        </w:rPr>
        <w:t xml:space="preserve">ובמ"ש </w:t>
      </w:r>
      <w:r w:rsidRPr="008F4D94">
        <w:rPr>
          <w:rStyle w:val="af8"/>
          <w:rFonts w:hint="cs"/>
          <w:rtl/>
        </w:rPr>
        <w:t xml:space="preserve">במשנת </w:t>
      </w:r>
      <w:r w:rsidRPr="0067431A">
        <w:rPr>
          <w:rStyle w:val="af8"/>
          <w:rFonts w:hint="cs"/>
          <w:rtl/>
        </w:rPr>
        <w:t>ר"א</w:t>
      </w:r>
      <w:r w:rsidRPr="0067431A">
        <w:rPr>
          <w:rFonts w:hint="cs"/>
          <w:rtl/>
        </w:rPr>
        <w:t xml:space="preserve"> </w:t>
      </w:r>
      <w:r w:rsidRPr="0067431A">
        <w:rPr>
          <w:rStyle w:val="af6"/>
          <w:rFonts w:eastAsia="Guttman Hodes" w:hint="cs"/>
          <w:rtl/>
        </w:rPr>
        <w:t>(עי' הערה</w:t>
      </w:r>
      <w:bookmarkStart w:id="9930" w:name="_Ref19043283"/>
      <w:r w:rsidRPr="0067431A">
        <w:rPr>
          <w:rStyle w:val="af0"/>
          <w:rtl/>
        </w:rPr>
        <w:footnoteReference w:id="46"/>
      </w:r>
      <w:bookmarkEnd w:id="9930"/>
      <w:r w:rsidRPr="0067431A">
        <w:rPr>
          <w:rStyle w:val="af6"/>
          <w:rFonts w:eastAsia="Guttman Hodes" w:hint="cs"/>
          <w:rtl/>
        </w:rPr>
        <w:t>)</w:t>
      </w:r>
      <w:r w:rsidRPr="0067431A">
        <w:rPr>
          <w:rFonts w:hint="cs"/>
          <w:rtl/>
        </w:rPr>
        <w:t xml:space="preserve">, ועי' במה שחקר </w:t>
      </w:r>
      <w:r w:rsidRPr="0067431A">
        <w:rPr>
          <w:rStyle w:val="af8"/>
          <w:rFonts w:hint="cs"/>
          <w:rtl/>
        </w:rPr>
        <w:t>הגר"ח</w:t>
      </w:r>
      <w:r w:rsidRPr="0067431A">
        <w:rPr>
          <w:rFonts w:hint="cs"/>
          <w:rtl/>
        </w:rPr>
        <w:t xml:space="preserve"> </w:t>
      </w:r>
      <w:r w:rsidRPr="0067431A">
        <w:rPr>
          <w:rStyle w:val="af6"/>
          <w:rFonts w:eastAsia="Guttman Hodes" w:hint="cs"/>
          <w:rtl/>
        </w:rPr>
        <w:t xml:space="preserve">(עי' אות </w:t>
      </w:r>
      <w:r w:rsidRPr="0067431A">
        <w:rPr>
          <w:rStyle w:val="af6"/>
          <w:rFonts w:eastAsia="Guttman Hodes"/>
          <w:rtl/>
        </w:rPr>
        <w:fldChar w:fldCharType="begin"/>
      </w:r>
      <w:r w:rsidRPr="0067431A">
        <w:rPr>
          <w:rStyle w:val="af6"/>
          <w:rFonts w:eastAsia="Guttman Hodes"/>
          <w:rtl/>
        </w:rPr>
        <w:instrText xml:space="preserve"> </w:instrText>
      </w:r>
      <w:r w:rsidRPr="0067431A">
        <w:rPr>
          <w:rStyle w:val="af6"/>
          <w:rFonts w:eastAsia="Guttman Hodes" w:hint="cs"/>
        </w:rPr>
        <w:instrText>REF</w:instrText>
      </w:r>
      <w:r w:rsidRPr="0067431A">
        <w:rPr>
          <w:rStyle w:val="af6"/>
          <w:rFonts w:eastAsia="Guttman Hodes" w:hint="cs"/>
          <w:rtl/>
        </w:rPr>
        <w:instrText xml:space="preserve"> _</w:instrText>
      </w:r>
      <w:r w:rsidRPr="0067431A">
        <w:rPr>
          <w:rStyle w:val="af6"/>
          <w:rFonts w:eastAsia="Guttman Hodes" w:hint="cs"/>
        </w:rPr>
        <w:instrText>Ref18397727 \r \h</w:instrText>
      </w:r>
      <w:r w:rsidRPr="0067431A">
        <w:rPr>
          <w:rStyle w:val="af6"/>
          <w:rFonts w:eastAsia="Guttman Hodes"/>
          <w:rtl/>
        </w:rPr>
        <w:instrText xml:space="preserve">  \* </w:instrText>
      </w:r>
      <w:r w:rsidRPr="0067431A">
        <w:rPr>
          <w:rStyle w:val="af6"/>
          <w:rFonts w:eastAsia="Guttman Hodes"/>
        </w:rPr>
        <w:instrText>MERGEFORMAT</w:instrText>
      </w:r>
      <w:r w:rsidRPr="0067431A">
        <w:rPr>
          <w:rStyle w:val="af6"/>
          <w:rFonts w:eastAsia="Guttman Hodes"/>
          <w:rtl/>
        </w:rPr>
        <w:instrText xml:space="preserve"> </w:instrText>
      </w:r>
      <w:r w:rsidRPr="0067431A">
        <w:rPr>
          <w:rStyle w:val="af6"/>
          <w:rFonts w:eastAsia="Guttman Hodes"/>
          <w:rtl/>
        </w:rPr>
      </w:r>
      <w:r w:rsidRPr="0067431A">
        <w:rPr>
          <w:rStyle w:val="af6"/>
          <w:rFonts w:eastAsia="Guttman Hodes"/>
          <w:rtl/>
        </w:rPr>
        <w:fldChar w:fldCharType="separate"/>
      </w:r>
      <w:r w:rsidR="004D1C5B" w:rsidRPr="004D1C5B">
        <w:rPr>
          <w:rStyle w:val="af6"/>
          <w:rFonts w:eastAsia="Guttman Hodes"/>
          <w:b/>
          <w:bCs/>
          <w:cs/>
        </w:rPr>
        <w:t>‎</w:t>
      </w:r>
      <w:r w:rsidR="004D1C5B" w:rsidRPr="004D1C5B">
        <w:rPr>
          <w:rStyle w:val="af6"/>
          <w:rFonts w:eastAsia="Guttman Hodes"/>
          <w:b/>
          <w:bCs/>
          <w:rtl/>
        </w:rPr>
        <w:t>קב)</w:t>
      </w:r>
      <w:r w:rsidRPr="0067431A">
        <w:rPr>
          <w:rStyle w:val="af6"/>
          <w:rFonts w:eastAsia="Guttman Hodes"/>
          <w:rtl/>
        </w:rPr>
        <w:fldChar w:fldCharType="end"/>
      </w:r>
      <w:r w:rsidRPr="0067431A">
        <w:rPr>
          <w:rFonts w:hint="cs"/>
          <w:rtl/>
        </w:rPr>
        <w:t xml:space="preserve"> בזה]. [</w:t>
      </w:r>
      <w:r w:rsidRPr="0067431A">
        <w:rPr>
          <w:rStyle w:val="afa"/>
          <w:rFonts w:hint="cs"/>
          <w:rtl/>
        </w:rPr>
        <w:t xml:space="preserve">וכתב </w:t>
      </w:r>
      <w:r w:rsidRPr="0067431A">
        <w:rPr>
          <w:rStyle w:val="affa"/>
          <w:rFonts w:hint="cs"/>
          <w:rtl/>
        </w:rPr>
        <w:t>הקה"י בפסחים</w:t>
      </w:r>
      <w:r w:rsidRPr="0067431A">
        <w:rPr>
          <w:rStyle w:val="afa"/>
          <w:rFonts w:hint="cs"/>
          <w:rtl/>
        </w:rPr>
        <w:t xml:space="preserve"> </w:t>
      </w:r>
      <w:r w:rsidRPr="009754E7">
        <w:rPr>
          <w:rStyle w:val="aff6"/>
          <w:rFonts w:hint="cs"/>
          <w:rtl/>
        </w:rPr>
        <w:t>(ריש סי' ט"ז)</w:t>
      </w:r>
      <w:r w:rsidRPr="0067431A">
        <w:rPr>
          <w:rStyle w:val="afa"/>
          <w:rFonts w:hint="cs"/>
          <w:rtl/>
        </w:rPr>
        <w:t xml:space="preserve"> דכן דעת </w:t>
      </w:r>
      <w:r w:rsidRPr="0067431A">
        <w:rPr>
          <w:rStyle w:val="affa"/>
          <w:rFonts w:hint="cs"/>
          <w:rtl/>
        </w:rPr>
        <w:t>הרא"ה בבד"ה</w:t>
      </w:r>
      <w:r w:rsidRPr="0067431A">
        <w:rPr>
          <w:rStyle w:val="afa"/>
          <w:rFonts w:hint="cs"/>
          <w:rtl/>
        </w:rPr>
        <w:t xml:space="preserve"> </w:t>
      </w:r>
      <w:r w:rsidRPr="009754E7">
        <w:rPr>
          <w:rStyle w:val="aff6"/>
          <w:rFonts w:hint="cs"/>
          <w:rtl/>
        </w:rPr>
        <w:t xml:space="preserve">(ב"ד </w:t>
      </w:r>
      <w:r w:rsidRPr="009754E7">
        <w:rPr>
          <w:rStyle w:val="aff6"/>
          <w:rFonts w:hint="cs"/>
          <w:rtl/>
        </w:rPr>
        <w:lastRenderedPageBreak/>
        <w:t xml:space="preserve">ש"א יט. מדה"ס, הובא לעיל סימן </w:t>
      </w:r>
      <w:r>
        <w:rPr>
          <w:rStyle w:val="aff6"/>
          <w:rFonts w:hint="cs"/>
          <w:rtl/>
        </w:rPr>
        <w:t>י"ב</w:t>
      </w:r>
      <w:r w:rsidRPr="009754E7">
        <w:rPr>
          <w:rStyle w:val="aff6"/>
          <w:rFonts w:hint="cs"/>
          <w:rtl/>
        </w:rPr>
        <w:t xml:space="preserve"> אות </w:t>
      </w:r>
      <w:r>
        <w:rPr>
          <w:rStyle w:val="aff6"/>
          <w:rFonts w:hint="cs"/>
          <w:rtl/>
        </w:rPr>
        <w:t>פ"ד</w:t>
      </w:r>
      <w:r w:rsidRPr="009754E7">
        <w:rPr>
          <w:rStyle w:val="aff6"/>
          <w:rFonts w:hint="cs"/>
          <w:rtl/>
        </w:rPr>
        <w:t>)</w:t>
      </w:r>
      <w:r w:rsidRPr="0067431A">
        <w:rPr>
          <w:rStyle w:val="afa"/>
          <w:rFonts w:hint="cs"/>
          <w:rtl/>
        </w:rPr>
        <w:t xml:space="preserve"> </w:t>
      </w:r>
      <w:r>
        <w:rPr>
          <w:rStyle w:val="affa"/>
          <w:rFonts w:hint="cs"/>
          <w:rtl/>
        </w:rPr>
        <w:t>ו</w:t>
      </w:r>
      <w:r w:rsidRPr="0067431A">
        <w:rPr>
          <w:rStyle w:val="affa"/>
          <w:rFonts w:hint="cs"/>
          <w:rtl/>
        </w:rPr>
        <w:t>הרא"ה בחי' לעיל</w:t>
      </w:r>
      <w:r w:rsidRPr="0067431A">
        <w:rPr>
          <w:rStyle w:val="afa"/>
          <w:rFonts w:hint="cs"/>
          <w:rtl/>
        </w:rPr>
        <w:t xml:space="preserve"> </w:t>
      </w:r>
      <w:r w:rsidRPr="009754E7">
        <w:rPr>
          <w:rStyle w:val="aff6"/>
          <w:rFonts w:hint="cs"/>
          <w:rtl/>
        </w:rPr>
        <w:t>(לט. ד"ה והחילק, הועתק בקובץ שיטות קמאי ע"ז ח"א עמ' תתק"ה)</w:t>
      </w:r>
      <w:r w:rsidRPr="0067431A">
        <w:rPr>
          <w:rStyle w:val="afa"/>
          <w:rFonts w:hint="cs"/>
          <w:rtl/>
        </w:rPr>
        <w:t xml:space="preserve"> </w:t>
      </w:r>
      <w:r w:rsidRPr="0067431A">
        <w:rPr>
          <w:rStyle w:val="affa"/>
          <w:rFonts w:hint="cs"/>
          <w:rtl/>
        </w:rPr>
        <w:t>והריטב"א לעיל</w:t>
      </w:r>
      <w:r w:rsidRPr="0067431A">
        <w:rPr>
          <w:rStyle w:val="afa"/>
          <w:rFonts w:hint="cs"/>
          <w:rtl/>
        </w:rPr>
        <w:t xml:space="preserve"> </w:t>
      </w:r>
      <w:r w:rsidRPr="009754E7">
        <w:rPr>
          <w:rStyle w:val="aff6"/>
          <w:rFonts w:hint="cs"/>
          <w:rtl/>
        </w:rPr>
        <w:t>(לט. ד"ה ואע"ג)</w:t>
      </w:r>
      <w:r w:rsidRPr="0067431A">
        <w:rPr>
          <w:rStyle w:val="afa"/>
          <w:rFonts w:hint="cs"/>
          <w:rtl/>
        </w:rPr>
        <w:t xml:space="preserve"> דאחר שהאיסור עצמו הותר מדאו' דאינו ראוי לגר, אינו חוזר ונאסר לעולם, וכתב </w:t>
      </w:r>
      <w:r w:rsidRPr="0067431A">
        <w:rPr>
          <w:rStyle w:val="affa"/>
          <w:rFonts w:hint="cs"/>
          <w:rtl/>
        </w:rPr>
        <w:t>הקה"י בפסחים דברשב"א במשה"</w:t>
      </w:r>
      <w:r w:rsidRPr="0067431A">
        <w:rPr>
          <w:rStyle w:val="afa"/>
          <w:rFonts w:hint="cs"/>
          <w:rtl/>
        </w:rPr>
        <w:t xml:space="preserve">ב משמע דמודה </w:t>
      </w:r>
      <w:r w:rsidRPr="0067431A">
        <w:rPr>
          <w:rStyle w:val="affa"/>
          <w:rFonts w:hint="cs"/>
          <w:rtl/>
        </w:rPr>
        <w:t xml:space="preserve">לרא"ה </w:t>
      </w:r>
      <w:r w:rsidRPr="0067431A">
        <w:rPr>
          <w:rStyle w:val="afa"/>
          <w:rFonts w:hint="cs"/>
          <w:rtl/>
        </w:rPr>
        <w:t xml:space="preserve">בזה, </w:t>
      </w:r>
      <w:bookmarkEnd w:id="9916"/>
      <w:bookmarkEnd w:id="9928"/>
      <w:r w:rsidRPr="0067431A">
        <w:rPr>
          <w:rStyle w:val="afa"/>
          <w:rFonts w:hint="cs"/>
          <w:rtl/>
        </w:rPr>
        <w:t xml:space="preserve">ועי' במ"ש </w:t>
      </w:r>
      <w:r w:rsidRPr="0067431A">
        <w:rPr>
          <w:rStyle w:val="affa"/>
          <w:rFonts w:hint="cs"/>
          <w:rtl/>
        </w:rPr>
        <w:t xml:space="preserve">היד יהודה </w:t>
      </w:r>
      <w:r w:rsidRPr="009754E7">
        <w:rPr>
          <w:rStyle w:val="aff6"/>
          <w:rFonts w:hint="cs"/>
          <w:rtl/>
        </w:rPr>
        <w:t xml:space="preserve">(סי' ק"ג סק"א ד"ה מעתה נבאר הובא לעיל סימן י"ב אות </w:t>
      </w:r>
      <w:r>
        <w:rPr>
          <w:rStyle w:val="aff6"/>
          <w:rFonts w:hint="cs"/>
          <w:rtl/>
        </w:rPr>
        <w:t>ע"א</w:t>
      </w:r>
      <w:r w:rsidRPr="009754E7">
        <w:rPr>
          <w:rStyle w:val="aff6"/>
          <w:rFonts w:hint="cs"/>
          <w:rtl/>
        </w:rPr>
        <w:t>)</w:t>
      </w:r>
      <w:r w:rsidRPr="0067431A">
        <w:rPr>
          <w:rStyle w:val="afa"/>
          <w:rFonts w:hint="cs"/>
          <w:rtl/>
        </w:rPr>
        <w:t xml:space="preserve"> </w:t>
      </w:r>
      <w:r w:rsidRPr="0067431A">
        <w:rPr>
          <w:rStyle w:val="affa"/>
          <w:rFonts w:hint="cs"/>
          <w:rtl/>
        </w:rPr>
        <w:t xml:space="preserve">דהרשב"א והר"ן </w:t>
      </w:r>
      <w:r w:rsidRPr="0067431A">
        <w:rPr>
          <w:rStyle w:val="afa"/>
          <w:rFonts w:hint="cs"/>
          <w:rtl/>
        </w:rPr>
        <w:t>נחלקו בזה</w:t>
      </w:r>
      <w:r>
        <w:rPr>
          <w:rStyle w:val="afa"/>
          <w:rFonts w:hint="cs"/>
          <w:rtl/>
        </w:rPr>
        <w:t>].</w:t>
      </w:r>
      <w:bookmarkEnd w:id="9929"/>
      <w:r w:rsidRPr="0067431A">
        <w:rPr>
          <w:rStyle w:val="afa"/>
          <w:rFonts w:hint="cs"/>
          <w:rtl/>
        </w:rPr>
        <w:t xml:space="preserve"> </w:t>
      </w:r>
    </w:p>
    <w:p w:rsidR="0013006A" w:rsidRPr="00054E71" w:rsidRDefault="0013006A" w:rsidP="0013006A">
      <w:pPr>
        <w:pStyle w:val="a2"/>
      </w:pPr>
      <w:bookmarkStart w:id="9931" w:name="_Toc19129452"/>
      <w:bookmarkStart w:id="9932" w:name="_Toc19130006"/>
      <w:bookmarkStart w:id="9933" w:name="_Toc19170939"/>
      <w:bookmarkStart w:id="9934" w:name="_Toc19180795"/>
      <w:bookmarkStart w:id="9935" w:name="_Toc18513272"/>
      <w:bookmarkStart w:id="9936" w:name="_Toc18874367"/>
      <w:bookmarkEnd w:id="9917"/>
      <w:bookmarkEnd w:id="9918"/>
      <w:bookmarkEnd w:id="9919"/>
      <w:bookmarkEnd w:id="9920"/>
      <w:bookmarkEnd w:id="9921"/>
      <w:bookmarkEnd w:id="9922"/>
      <w:bookmarkEnd w:id="9923"/>
      <w:r>
        <w:rPr>
          <w:rFonts w:hint="cs"/>
          <w:rtl/>
        </w:rPr>
        <w:t>ביאור החוו"ד דהילפותא בנבילה שאינה ראויה לגר נצרכת רק להתירה אחר שחזר ותיקנה</w:t>
      </w:r>
      <w:bookmarkEnd w:id="9931"/>
      <w:bookmarkEnd w:id="9932"/>
      <w:bookmarkEnd w:id="9933"/>
      <w:bookmarkEnd w:id="9934"/>
    </w:p>
    <w:p w:rsidR="0013006A" w:rsidRDefault="0013006A" w:rsidP="009F44AF">
      <w:pPr>
        <w:pStyle w:val="a"/>
        <w:rPr>
          <w:rtl/>
        </w:rPr>
      </w:pPr>
      <w:r>
        <w:rPr>
          <w:rFonts w:hint="cs"/>
          <w:rtl/>
        </w:rPr>
        <w:t xml:space="preserve">וביאר </w:t>
      </w:r>
      <w:r w:rsidRPr="00132603">
        <w:rPr>
          <w:rStyle w:val="af8"/>
          <w:rFonts w:hint="cs"/>
          <w:rtl/>
        </w:rPr>
        <w:t>החוו"ד</w:t>
      </w:r>
      <w:r>
        <w:rPr>
          <w:rFonts w:hint="cs"/>
          <w:rtl/>
        </w:rPr>
        <w:t xml:space="preserve"> דכל הילפותא בנבילה שאינה ראויה לגר באה להתיר רק במקום שחזר ותיקן אותה, דא"א לומר דהילפותא היא למקום ש</w:t>
      </w:r>
      <w:r w:rsidRPr="00A35665">
        <w:rPr>
          <w:rFonts w:hint="cs"/>
          <w:rtl/>
        </w:rPr>
        <w:t>אוכלה כשהיא סרוחה</w:t>
      </w:r>
      <w:r>
        <w:rPr>
          <w:rFonts w:hint="cs"/>
          <w:rtl/>
        </w:rPr>
        <w:t>,</w:t>
      </w:r>
      <w:r w:rsidRPr="00A35665">
        <w:rPr>
          <w:rFonts w:hint="cs"/>
          <w:rtl/>
        </w:rPr>
        <w:t xml:space="preserve"> דהא </w:t>
      </w:r>
      <w:r>
        <w:rPr>
          <w:rFonts w:hint="cs"/>
          <w:rtl/>
        </w:rPr>
        <w:t xml:space="preserve">בכה"ג </w:t>
      </w:r>
      <w:r w:rsidRPr="00A35665">
        <w:rPr>
          <w:rFonts w:hint="cs"/>
          <w:rtl/>
        </w:rPr>
        <w:t xml:space="preserve">א"צ קרא דמותר, </w:t>
      </w:r>
      <w:r>
        <w:rPr>
          <w:rFonts w:hint="cs"/>
          <w:rtl/>
        </w:rPr>
        <w:t>ד</w:t>
      </w:r>
      <w:r w:rsidRPr="00A35665">
        <w:rPr>
          <w:rFonts w:hint="cs"/>
          <w:rtl/>
        </w:rPr>
        <w:t>אף בלא דין נבילה שאינה ראויה לגר מותר</w:t>
      </w:r>
      <w:r>
        <w:rPr>
          <w:rFonts w:hint="cs"/>
          <w:rtl/>
        </w:rPr>
        <w:t>,</w:t>
      </w:r>
      <w:r w:rsidRPr="00A35665">
        <w:rPr>
          <w:rFonts w:hint="cs"/>
          <w:rtl/>
        </w:rPr>
        <w:t xml:space="preserve"> כיון שאינו בדרך אכילה וכדכתב</w:t>
      </w:r>
      <w:r w:rsidRPr="00A35665">
        <w:rPr>
          <w:rStyle w:val="af8"/>
          <w:rFonts w:hint="cs"/>
          <w:rtl/>
        </w:rPr>
        <w:t xml:space="preserve"> הרמב"ם</w:t>
      </w:r>
      <w:r w:rsidRPr="00A35665">
        <w:rPr>
          <w:rFonts w:hint="cs"/>
          <w:rtl/>
        </w:rPr>
        <w:t xml:space="preserve"> </w:t>
      </w:r>
      <w:r>
        <w:rPr>
          <w:rStyle w:val="af6"/>
          <w:rFonts w:eastAsia="Guttman Hodes" w:hint="cs"/>
          <w:rtl/>
        </w:rPr>
        <w:t>(</w:t>
      </w:r>
      <w:r w:rsidRPr="00CA2CE6">
        <w:rPr>
          <w:rStyle w:val="af6"/>
          <w:rFonts w:eastAsia="Guttman Hodes" w:hint="cs"/>
          <w:rtl/>
        </w:rPr>
        <w:t xml:space="preserve">עי' אות </w:t>
      </w:r>
      <w:r w:rsidRPr="00CA2CE6">
        <w:rPr>
          <w:rStyle w:val="af6"/>
          <w:rFonts w:eastAsia="Guttman Hodes"/>
          <w:rtl/>
        </w:rPr>
        <w:fldChar w:fldCharType="begin"/>
      </w:r>
      <w:r w:rsidRPr="00CA2CE6">
        <w:rPr>
          <w:rStyle w:val="af6"/>
          <w:rFonts w:eastAsia="Guttman Hodes"/>
          <w:rtl/>
        </w:rPr>
        <w:instrText xml:space="preserve"> </w:instrText>
      </w:r>
      <w:r w:rsidRPr="00CA2CE6">
        <w:rPr>
          <w:rStyle w:val="af6"/>
          <w:rFonts w:eastAsia="Guttman Hodes" w:hint="cs"/>
        </w:rPr>
        <w:instrText>REF</w:instrText>
      </w:r>
      <w:r w:rsidRPr="00CA2CE6">
        <w:rPr>
          <w:rStyle w:val="af6"/>
          <w:rFonts w:eastAsia="Guttman Hodes" w:hint="cs"/>
          <w:rtl/>
        </w:rPr>
        <w:instrText xml:space="preserve"> _</w:instrText>
      </w:r>
      <w:r w:rsidRPr="00CA2CE6">
        <w:rPr>
          <w:rStyle w:val="af6"/>
          <w:rFonts w:eastAsia="Guttman Hodes" w:hint="cs"/>
        </w:rPr>
        <w:instrText>Ref19034347 \r \h</w:instrText>
      </w:r>
      <w:r w:rsidRPr="00CA2CE6">
        <w:rPr>
          <w:rStyle w:val="af6"/>
          <w:rFonts w:eastAsia="Guttman Hodes"/>
          <w:rtl/>
        </w:rPr>
        <w:instrText xml:space="preserve"> </w:instrText>
      </w:r>
      <w:r w:rsidRPr="00CA2CE6">
        <w:rPr>
          <w:rStyle w:val="af6"/>
          <w:rFonts w:eastAsia="Guttman Hodes"/>
          <w:rtl/>
        </w:rPr>
      </w:r>
      <w:r w:rsidRPr="00CA2CE6">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CA2CE6">
        <w:rPr>
          <w:rStyle w:val="af6"/>
          <w:rFonts w:eastAsia="Guttman Hodes"/>
          <w:rtl/>
        </w:rPr>
        <w:fldChar w:fldCharType="end"/>
      </w:r>
      <w:r>
        <w:rPr>
          <w:rFonts w:hint="cs"/>
          <w:rtl/>
        </w:rPr>
        <w:t xml:space="preserve">, אלא כתב </w:t>
      </w:r>
      <w:r w:rsidRPr="00132603">
        <w:rPr>
          <w:rStyle w:val="af8"/>
          <w:rFonts w:hint="cs"/>
          <w:rtl/>
        </w:rPr>
        <w:t xml:space="preserve">החוו"ד </w:t>
      </w:r>
      <w:r>
        <w:rPr>
          <w:rFonts w:hint="cs"/>
          <w:rtl/>
        </w:rPr>
        <w:t>דמוכח דהילפותא דאינה ראויה לגר, באה לומר שפרח האיסור ממנה לגמרי, ואף כשחזר ותיקנו דהיא ראויה לאכילה מותר.</w:t>
      </w:r>
    </w:p>
    <w:p w:rsidR="0013006A" w:rsidRPr="00054E71" w:rsidRDefault="0013006A" w:rsidP="0013006A">
      <w:pPr>
        <w:pStyle w:val="1"/>
        <w:rPr>
          <w:rtl/>
        </w:rPr>
      </w:pPr>
      <w:bookmarkStart w:id="9937" w:name="_Toc19129453"/>
      <w:bookmarkStart w:id="9938" w:name="_Toc19130007"/>
      <w:bookmarkStart w:id="9939" w:name="_Toc19170940"/>
      <w:bookmarkStart w:id="9940" w:name="_Toc19180796"/>
      <w:r>
        <w:rPr>
          <w:rFonts w:hint="cs"/>
          <w:rtl/>
        </w:rPr>
        <w:t>ביאור החוו"ד ברמב"ם דהיתר נבילה ונטל"פ נאמר אף בבב"ח</w:t>
      </w:r>
      <w:bookmarkEnd w:id="9937"/>
      <w:bookmarkEnd w:id="9938"/>
      <w:bookmarkEnd w:id="9939"/>
      <w:bookmarkEnd w:id="9940"/>
    </w:p>
    <w:p w:rsidR="0013006A" w:rsidRPr="00A37615" w:rsidRDefault="0013006A" w:rsidP="0013006A">
      <w:pPr>
        <w:pStyle w:val="a2"/>
        <w:rPr>
          <w:rtl/>
        </w:rPr>
      </w:pPr>
      <w:bookmarkStart w:id="9941" w:name="_Toc19129454"/>
      <w:bookmarkStart w:id="9942" w:name="_Toc19130008"/>
      <w:bookmarkStart w:id="9943" w:name="_Toc19170941"/>
      <w:bookmarkStart w:id="9944" w:name="_Toc19180797"/>
      <w:r>
        <w:rPr>
          <w:rFonts w:hint="cs"/>
          <w:rtl/>
        </w:rPr>
        <w:t>הוכחת החוו"ד מהרמב"ם דבבשר וחלב שנפגמו לגמרי פקע האיסור כדילפינן מנבילה</w:t>
      </w:r>
      <w:bookmarkEnd w:id="9941"/>
      <w:bookmarkEnd w:id="9942"/>
      <w:bookmarkEnd w:id="9943"/>
      <w:bookmarkEnd w:id="9944"/>
    </w:p>
    <w:p w:rsidR="0013006A" w:rsidRDefault="0013006A" w:rsidP="009F44AF">
      <w:pPr>
        <w:pStyle w:val="a"/>
        <w:rPr>
          <w:rtl/>
        </w:rPr>
      </w:pPr>
      <w:bookmarkStart w:id="9945" w:name="_Ref18959902"/>
      <w:r>
        <w:rPr>
          <w:rFonts w:hint="cs"/>
          <w:rtl/>
        </w:rPr>
        <w:t xml:space="preserve">וכתב </w:t>
      </w:r>
      <w:r w:rsidRPr="00132603">
        <w:rPr>
          <w:rStyle w:val="af8"/>
          <w:rFonts w:hint="cs"/>
          <w:rtl/>
        </w:rPr>
        <w:t>החוו"ד</w:t>
      </w:r>
      <w:r>
        <w:rPr>
          <w:rFonts w:hint="cs"/>
          <w:rtl/>
        </w:rPr>
        <w:t xml:space="preserve"> </w:t>
      </w:r>
      <w:r w:rsidRPr="008441DA">
        <w:rPr>
          <w:rStyle w:val="af6"/>
          <w:rFonts w:eastAsia="Guttman Hodes" w:hint="cs"/>
          <w:rtl/>
        </w:rPr>
        <w:t>(סי' ק"ג סק"א)</w:t>
      </w:r>
      <w:r>
        <w:rPr>
          <w:rFonts w:hint="cs"/>
          <w:rtl/>
        </w:rPr>
        <w:t xml:space="preserve"> דמשו"ה נבילה שאינה ראויה לגר מותרת, אף בבשר בחלב וכלאי הכרם, דפרח האיסור ממנה לגמרי, וכתב </w:t>
      </w:r>
      <w:r w:rsidRPr="00132603">
        <w:rPr>
          <w:rStyle w:val="af8"/>
          <w:rFonts w:hint="cs"/>
          <w:rtl/>
        </w:rPr>
        <w:t>החוו"ד</w:t>
      </w:r>
      <w:r>
        <w:rPr>
          <w:rFonts w:hint="cs"/>
          <w:rtl/>
        </w:rPr>
        <w:t xml:space="preserve"> דכן מדוייק בדברי </w:t>
      </w:r>
      <w:r w:rsidRPr="00D409FE">
        <w:rPr>
          <w:rStyle w:val="af8"/>
          <w:rFonts w:hint="cs"/>
          <w:rtl/>
        </w:rPr>
        <w:t>הרמב"ם</w:t>
      </w:r>
      <w:r>
        <w:rPr>
          <w:rFonts w:hint="cs"/>
          <w:rtl/>
        </w:rPr>
        <w:t xml:space="preserve"> </w:t>
      </w:r>
      <w:r w:rsidRPr="005208C2">
        <w:rPr>
          <w:rStyle w:val="af6"/>
          <w:rFonts w:eastAsia="Guttman Hodes" w:hint="cs"/>
          <w:rtl/>
        </w:rPr>
        <w:t xml:space="preserve">(עי' אות </w:t>
      </w:r>
      <w:r w:rsidRPr="005208C2">
        <w:rPr>
          <w:rStyle w:val="af6"/>
          <w:rFonts w:eastAsia="Guttman Hodes"/>
          <w:rtl/>
        </w:rPr>
        <w:fldChar w:fldCharType="begin"/>
      </w:r>
      <w:r w:rsidRPr="005208C2">
        <w:rPr>
          <w:rStyle w:val="af6"/>
          <w:rFonts w:eastAsia="Guttman Hodes"/>
          <w:rtl/>
        </w:rPr>
        <w:instrText xml:space="preserve"> </w:instrText>
      </w:r>
      <w:r w:rsidRPr="005208C2">
        <w:rPr>
          <w:rStyle w:val="af6"/>
          <w:rFonts w:eastAsia="Guttman Hodes" w:hint="cs"/>
        </w:rPr>
        <w:instrText>REF</w:instrText>
      </w:r>
      <w:r w:rsidRPr="005208C2">
        <w:rPr>
          <w:rStyle w:val="af6"/>
          <w:rFonts w:eastAsia="Guttman Hodes" w:hint="cs"/>
          <w:rtl/>
        </w:rPr>
        <w:instrText xml:space="preserve"> _</w:instrText>
      </w:r>
      <w:r w:rsidRPr="005208C2">
        <w:rPr>
          <w:rStyle w:val="af6"/>
          <w:rFonts w:eastAsia="Guttman Hodes" w:hint="cs"/>
        </w:rPr>
        <w:instrText>Ref19034938 \r \h</w:instrText>
      </w:r>
      <w:r w:rsidRPr="005208C2">
        <w:rPr>
          <w:rStyle w:val="af6"/>
          <w:rFonts w:eastAsia="Guttman Hodes"/>
          <w:rtl/>
        </w:rPr>
        <w:instrText xml:space="preserve"> </w:instrText>
      </w:r>
      <w:r w:rsidRPr="005208C2">
        <w:rPr>
          <w:rStyle w:val="af6"/>
          <w:rFonts w:eastAsia="Guttman Hodes"/>
          <w:rtl/>
        </w:rPr>
      </w:r>
      <w:r w:rsidRPr="005208C2">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5208C2">
        <w:rPr>
          <w:rStyle w:val="af6"/>
          <w:rFonts w:eastAsia="Guttman Hodes"/>
          <w:rtl/>
        </w:rPr>
        <w:fldChar w:fldCharType="end"/>
      </w:r>
      <w:r>
        <w:rPr>
          <w:rFonts w:hint="cs"/>
          <w:rtl/>
        </w:rPr>
        <w:t xml:space="preserve"> דבהא דכתב דבשר בחלב או בכלאי הכרם אסורים אף אם עירב בהם דבר מר, לא כתב </w:t>
      </w:r>
      <w:r w:rsidRPr="00054E71">
        <w:rPr>
          <w:rStyle w:val="af8"/>
          <w:rFonts w:hint="cs"/>
          <w:rtl/>
        </w:rPr>
        <w:t>הרמב"ם</w:t>
      </w:r>
      <w:r>
        <w:rPr>
          <w:rFonts w:hint="cs"/>
          <w:rtl/>
        </w:rPr>
        <w:t xml:space="preserve"> דאף אם אכלם לאחר שהסריחו ואילו בשאר האיסורים כתב </w:t>
      </w:r>
      <w:r w:rsidRPr="00054E71">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Ref19034347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E96710">
        <w:rPr>
          <w:rStyle w:val="af6"/>
          <w:rFonts w:eastAsia="Guttman Hodes"/>
          <w:rtl/>
        </w:rPr>
        <w:fldChar w:fldCharType="end"/>
      </w:r>
      <w:r>
        <w:rPr>
          <w:rFonts w:hint="cs"/>
          <w:rtl/>
        </w:rPr>
        <w:t xml:space="preserve"> דמותר בין בעירב דבר מר ובין בהסריחו, אלא כתב </w:t>
      </w:r>
      <w:r w:rsidRPr="00132603">
        <w:rPr>
          <w:rStyle w:val="af8"/>
          <w:rFonts w:hint="cs"/>
          <w:rtl/>
        </w:rPr>
        <w:t>החוו"ד</w:t>
      </w:r>
      <w:r>
        <w:rPr>
          <w:rFonts w:hint="cs"/>
          <w:rtl/>
        </w:rPr>
        <w:t xml:space="preserve"> דמוכח דבדבר שהסריח ההיתר הוא אף בבשר בחלב וכלאי הכרם, כיון דילפינן מנבילה שאינה ראויה לגר שפרח האיסור ממנה לגמרי, וכ"כ </w:t>
      </w:r>
      <w:r w:rsidRPr="000729FE">
        <w:rPr>
          <w:rStyle w:val="af8"/>
          <w:rFonts w:hint="cs"/>
          <w:rtl/>
        </w:rPr>
        <w:t>הפרמ"ג</w:t>
      </w:r>
      <w:r>
        <w:rPr>
          <w:rFonts w:hint="cs"/>
          <w:rtl/>
        </w:rPr>
        <w:t xml:space="preserve"> </w:t>
      </w:r>
      <w:r w:rsidRPr="00C41297">
        <w:rPr>
          <w:rStyle w:val="af6"/>
          <w:rFonts w:eastAsia="Guttman Hodes" w:hint="cs"/>
          <w:rtl/>
        </w:rPr>
        <w:t xml:space="preserve">(עי' אות </w:t>
      </w:r>
      <w:r w:rsidRPr="00C41297">
        <w:rPr>
          <w:rStyle w:val="af6"/>
          <w:rFonts w:eastAsia="Guttman Hodes"/>
          <w:rtl/>
        </w:rPr>
        <w:fldChar w:fldCharType="begin"/>
      </w:r>
      <w:r w:rsidRPr="00C41297">
        <w:rPr>
          <w:rStyle w:val="af6"/>
          <w:rFonts w:eastAsia="Guttman Hodes"/>
          <w:rtl/>
        </w:rPr>
        <w:instrText xml:space="preserve"> </w:instrText>
      </w:r>
      <w:r w:rsidRPr="00C41297">
        <w:rPr>
          <w:rStyle w:val="af6"/>
          <w:rFonts w:eastAsia="Guttman Hodes" w:hint="cs"/>
        </w:rPr>
        <w:instrText>REF</w:instrText>
      </w:r>
      <w:r w:rsidRPr="00C41297">
        <w:rPr>
          <w:rStyle w:val="af6"/>
          <w:rFonts w:eastAsia="Guttman Hodes" w:hint="cs"/>
          <w:rtl/>
        </w:rPr>
        <w:instrText xml:space="preserve"> _</w:instrText>
      </w:r>
      <w:r w:rsidRPr="00C41297">
        <w:rPr>
          <w:rStyle w:val="af6"/>
          <w:rFonts w:eastAsia="Guttman Hodes" w:hint="cs"/>
        </w:rPr>
        <w:instrText>Ref19095425 \r \h</w:instrText>
      </w:r>
      <w:r w:rsidRPr="00C41297">
        <w:rPr>
          <w:rStyle w:val="af6"/>
          <w:rFonts w:eastAsia="Guttman Hodes"/>
          <w:rtl/>
        </w:rPr>
        <w:instrText xml:space="preserve"> </w:instrText>
      </w:r>
      <w:r w:rsidRPr="00C41297">
        <w:rPr>
          <w:rStyle w:val="af6"/>
          <w:rFonts w:eastAsia="Guttman Hodes"/>
          <w:rtl/>
        </w:rPr>
      </w:r>
      <w:r w:rsidRPr="00C41297">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C41297">
        <w:rPr>
          <w:rStyle w:val="af6"/>
          <w:rFonts w:eastAsia="Guttman Hodes"/>
          <w:rtl/>
        </w:rPr>
        <w:fldChar w:fldCharType="end"/>
      </w:r>
      <w:r>
        <w:rPr>
          <w:rFonts w:hint="cs"/>
          <w:rtl/>
        </w:rPr>
        <w:t>.</w:t>
      </w:r>
      <w:bookmarkEnd w:id="9945"/>
    </w:p>
    <w:p w:rsidR="0013006A" w:rsidRPr="00A37615" w:rsidRDefault="0013006A" w:rsidP="0013006A">
      <w:pPr>
        <w:pStyle w:val="a2"/>
        <w:rPr>
          <w:rtl/>
        </w:rPr>
      </w:pPr>
      <w:bookmarkStart w:id="9946" w:name="_Toc19129455"/>
      <w:bookmarkStart w:id="9947" w:name="_Toc19130009"/>
      <w:bookmarkStart w:id="9948" w:name="_Toc19170942"/>
      <w:bookmarkStart w:id="9949" w:name="_Toc19180798"/>
      <w:r>
        <w:rPr>
          <w:rFonts w:hint="cs"/>
          <w:rtl/>
        </w:rPr>
        <w:t>דברי החוו"ד דכיון דנטל"פ נלמד מנבילה א"כ ההיתר בבשר בחלב הוא אף בפגום במקצת</w:t>
      </w:r>
      <w:bookmarkEnd w:id="9946"/>
      <w:bookmarkEnd w:id="9947"/>
      <w:bookmarkEnd w:id="9948"/>
      <w:bookmarkEnd w:id="9949"/>
    </w:p>
    <w:p w:rsidR="0013006A" w:rsidRDefault="0013006A" w:rsidP="009F44AF">
      <w:pPr>
        <w:pStyle w:val="a"/>
        <w:rPr>
          <w:rtl/>
        </w:rPr>
      </w:pPr>
      <w:r>
        <w:rPr>
          <w:rFonts w:hint="cs"/>
          <w:rtl/>
        </w:rPr>
        <w:t>וכתב</w:t>
      </w:r>
      <w:r w:rsidRPr="00132603">
        <w:rPr>
          <w:rStyle w:val="af8"/>
          <w:rFonts w:hint="cs"/>
          <w:rtl/>
        </w:rPr>
        <w:t xml:space="preserve"> החוו"ד</w:t>
      </w:r>
      <w:r>
        <w:rPr>
          <w:rFonts w:hint="cs"/>
          <w:rtl/>
        </w:rPr>
        <w:t xml:space="preserve"> דא"כ מוכח מדברי </w:t>
      </w:r>
      <w:r w:rsidRPr="00132603">
        <w:rPr>
          <w:rStyle w:val="af8"/>
          <w:rFonts w:hint="cs"/>
          <w:rtl/>
        </w:rPr>
        <w:t>הרמב"ם</w:t>
      </w:r>
      <w:r>
        <w:rPr>
          <w:rFonts w:hint="cs"/>
          <w:rtl/>
        </w:rPr>
        <w:t xml:space="preserve"> דההיתר בנותן טעם לפגם אף בפגום במקצת, הוא אף בכלאי הכרם ובשר בחלב, דכיון דילפינן להו מנבילה שאינה ראויה לגר, והילפותא דנבילה נאמרה אף בבשר בחלב וכלאי הכרם, א"כ אף היתר נותן טעם לפגם נאמר בבשר בחלב</w:t>
      </w:r>
      <w:r w:rsidRPr="00B43B7D">
        <w:rPr>
          <w:rFonts w:hint="cs"/>
          <w:rtl/>
        </w:rPr>
        <w:t xml:space="preserve"> </w:t>
      </w:r>
      <w:r>
        <w:rPr>
          <w:rFonts w:hint="cs"/>
          <w:rtl/>
        </w:rPr>
        <w:t xml:space="preserve">וכלאי הכרם, ודלא </w:t>
      </w:r>
      <w:r w:rsidRPr="00D409FE">
        <w:rPr>
          <w:rStyle w:val="af8"/>
          <w:rFonts w:hint="cs"/>
          <w:rtl/>
        </w:rPr>
        <w:t>כ</w:t>
      </w:r>
      <w:r w:rsidR="00250230">
        <w:rPr>
          <w:rStyle w:val="af8"/>
          <w:rFonts w:hint="cs"/>
          <w:rtl/>
        </w:rPr>
        <w:t>פלתי</w:t>
      </w:r>
      <w:r>
        <w:rPr>
          <w:rFonts w:hint="cs"/>
          <w:rtl/>
        </w:rPr>
        <w:t xml:space="preserve"> </w:t>
      </w:r>
      <w:r w:rsidRPr="00D423F3">
        <w:rPr>
          <w:rStyle w:val="af6"/>
          <w:rFonts w:eastAsia="Guttman Hodes" w:hint="cs"/>
          <w:rtl/>
        </w:rPr>
        <w:t xml:space="preserve">(עי' אות </w:t>
      </w:r>
      <w:r w:rsidRPr="00D423F3">
        <w:rPr>
          <w:rStyle w:val="af6"/>
          <w:rFonts w:eastAsia="Guttman Hodes"/>
          <w:rtl/>
        </w:rPr>
        <w:fldChar w:fldCharType="begin"/>
      </w:r>
      <w:r w:rsidRPr="00D423F3">
        <w:rPr>
          <w:rStyle w:val="af6"/>
          <w:rFonts w:eastAsia="Guttman Hodes"/>
          <w:rtl/>
        </w:rPr>
        <w:instrText xml:space="preserve"> </w:instrText>
      </w:r>
      <w:r w:rsidRPr="00D423F3">
        <w:rPr>
          <w:rStyle w:val="af6"/>
          <w:rFonts w:eastAsia="Guttman Hodes" w:hint="cs"/>
        </w:rPr>
        <w:instrText>REF</w:instrText>
      </w:r>
      <w:r w:rsidRPr="00D423F3">
        <w:rPr>
          <w:rStyle w:val="af6"/>
          <w:rFonts w:eastAsia="Guttman Hodes" w:hint="cs"/>
          <w:rtl/>
        </w:rPr>
        <w:instrText xml:space="preserve"> _</w:instrText>
      </w:r>
      <w:r w:rsidRPr="00D423F3">
        <w:rPr>
          <w:rStyle w:val="af6"/>
          <w:rFonts w:eastAsia="Guttman Hodes" w:hint="cs"/>
        </w:rPr>
        <w:instrText>Ref19043108 \r \h</w:instrText>
      </w:r>
      <w:r w:rsidRPr="00D423F3">
        <w:rPr>
          <w:rStyle w:val="af6"/>
          <w:rFonts w:eastAsia="Guttman Hodes"/>
          <w:rtl/>
        </w:rPr>
        <w:instrText xml:space="preserve"> </w:instrText>
      </w:r>
      <w:r w:rsidRPr="00D423F3">
        <w:rPr>
          <w:rStyle w:val="af6"/>
          <w:rFonts w:eastAsia="Guttman Hodes"/>
          <w:rtl/>
        </w:rPr>
      </w:r>
      <w:r w:rsidRPr="00D423F3">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D423F3">
        <w:rPr>
          <w:rStyle w:val="af6"/>
          <w:rFonts w:eastAsia="Guttman Hodes"/>
          <w:rtl/>
        </w:rPr>
        <w:fldChar w:fldCharType="end"/>
      </w:r>
      <w:r>
        <w:rPr>
          <w:rFonts w:hint="cs"/>
          <w:rtl/>
        </w:rPr>
        <w:t>.</w:t>
      </w:r>
    </w:p>
    <w:p w:rsidR="0013006A" w:rsidRPr="00A37615" w:rsidRDefault="0013006A" w:rsidP="0013006A">
      <w:pPr>
        <w:pStyle w:val="a2"/>
        <w:rPr>
          <w:rtl/>
        </w:rPr>
      </w:pPr>
      <w:bookmarkStart w:id="9950" w:name="_Toc19129456"/>
      <w:bookmarkStart w:id="9951" w:name="_Toc19130010"/>
      <w:bookmarkStart w:id="9952" w:name="_Toc19170943"/>
      <w:bookmarkStart w:id="9953" w:name="_Toc19180799"/>
      <w:r>
        <w:rPr>
          <w:rFonts w:hint="cs"/>
          <w:rtl/>
        </w:rPr>
        <w:t>דחיית האמרי ברוך דהא הרמב"ם לא כתב דבשר בחלב מותר גם כשאכלו חם</w:t>
      </w:r>
      <w:bookmarkEnd w:id="9950"/>
      <w:bookmarkEnd w:id="9951"/>
      <w:bookmarkEnd w:id="9952"/>
      <w:bookmarkEnd w:id="9953"/>
    </w:p>
    <w:p w:rsidR="0013006A" w:rsidRDefault="0013006A" w:rsidP="009F44AF">
      <w:pPr>
        <w:pStyle w:val="a"/>
        <w:rPr>
          <w:rStyle w:val="afa"/>
          <w:rtl/>
        </w:rPr>
      </w:pPr>
      <w:bookmarkStart w:id="9954" w:name="_Ref19095385"/>
      <w:r w:rsidRPr="00544B79">
        <w:rPr>
          <w:rStyle w:val="af8"/>
          <w:rFonts w:hint="cs"/>
          <w:rtl/>
        </w:rPr>
        <w:t>ובהג' אמרי ברוך על החוו"ד</w:t>
      </w:r>
      <w:r>
        <w:rPr>
          <w:rFonts w:hint="cs"/>
          <w:rtl/>
        </w:rPr>
        <w:t xml:space="preserve"> </w:t>
      </w:r>
      <w:r w:rsidRPr="00544B79">
        <w:rPr>
          <w:rStyle w:val="af6"/>
          <w:rFonts w:eastAsia="Guttman Hodes" w:hint="cs"/>
          <w:rtl/>
        </w:rPr>
        <w:t>(סי' ק"ג ג')</w:t>
      </w:r>
      <w:r>
        <w:rPr>
          <w:rFonts w:hint="cs"/>
          <w:rtl/>
        </w:rPr>
        <w:t xml:space="preserve"> דחה את דיוק </w:t>
      </w:r>
      <w:r w:rsidRPr="00544B79">
        <w:rPr>
          <w:rStyle w:val="af8"/>
          <w:rFonts w:hint="cs"/>
          <w:rtl/>
        </w:rPr>
        <w:t>החוו"ד</w:t>
      </w:r>
      <w:r>
        <w:rPr>
          <w:rFonts w:hint="cs"/>
          <w:rtl/>
        </w:rPr>
        <w:t xml:space="preserve"> </w:t>
      </w:r>
      <w:r w:rsidRPr="00A854C9">
        <w:rPr>
          <w:rStyle w:val="af6"/>
          <w:rFonts w:eastAsia="Guttman Hodes" w:hint="cs"/>
          <w:rtl/>
        </w:rPr>
        <w:t xml:space="preserve">(עי' אות </w:t>
      </w:r>
      <w:r w:rsidRPr="00A854C9">
        <w:rPr>
          <w:rStyle w:val="af6"/>
          <w:rFonts w:eastAsia="Guttman Hodes"/>
          <w:rtl/>
        </w:rPr>
        <w:fldChar w:fldCharType="begin"/>
      </w:r>
      <w:r w:rsidRPr="00A854C9">
        <w:rPr>
          <w:rStyle w:val="af6"/>
          <w:rFonts w:eastAsia="Guttman Hodes"/>
          <w:rtl/>
        </w:rPr>
        <w:instrText xml:space="preserve"> </w:instrText>
      </w:r>
      <w:r w:rsidRPr="00A854C9">
        <w:rPr>
          <w:rStyle w:val="af6"/>
          <w:rFonts w:eastAsia="Guttman Hodes" w:hint="cs"/>
        </w:rPr>
        <w:instrText>REF</w:instrText>
      </w:r>
      <w:r w:rsidRPr="00A854C9">
        <w:rPr>
          <w:rStyle w:val="af6"/>
          <w:rFonts w:eastAsia="Guttman Hodes" w:hint="cs"/>
          <w:rtl/>
        </w:rPr>
        <w:instrText xml:space="preserve"> _</w:instrText>
      </w:r>
      <w:r w:rsidRPr="00A854C9">
        <w:rPr>
          <w:rStyle w:val="af6"/>
          <w:rFonts w:eastAsia="Guttman Hodes" w:hint="cs"/>
        </w:rPr>
        <w:instrText>Ref18959902 \r \h</w:instrText>
      </w:r>
      <w:r w:rsidRPr="00A854C9">
        <w:rPr>
          <w:rStyle w:val="af6"/>
          <w:rFonts w:eastAsia="Guttman Hodes"/>
          <w:rtl/>
        </w:rPr>
        <w:instrText xml:space="preserve"> </w:instrText>
      </w:r>
      <w:r w:rsidRPr="00A854C9">
        <w:rPr>
          <w:rStyle w:val="af6"/>
          <w:rFonts w:eastAsia="Guttman Hodes"/>
          <w:rtl/>
        </w:rPr>
      </w:r>
      <w:r w:rsidRPr="00A854C9">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sidRPr="00A854C9">
        <w:rPr>
          <w:rStyle w:val="af6"/>
          <w:rFonts w:eastAsia="Guttman Hodes"/>
          <w:rtl/>
        </w:rPr>
        <w:fldChar w:fldCharType="end"/>
      </w:r>
      <w:r>
        <w:rPr>
          <w:rStyle w:val="af6"/>
          <w:rFonts w:eastAsia="Guttman Hodes" w:hint="cs"/>
          <w:rtl/>
        </w:rPr>
        <w:t xml:space="preserve"> </w:t>
      </w:r>
      <w:r>
        <w:rPr>
          <w:rFonts w:hint="cs"/>
          <w:rtl/>
        </w:rPr>
        <w:t xml:space="preserve">מדברי </w:t>
      </w:r>
      <w:r w:rsidRPr="00544B79">
        <w:rPr>
          <w:rStyle w:val="af8"/>
          <w:rFonts w:hint="cs"/>
          <w:rtl/>
        </w:rPr>
        <w:t>הרמב"ם</w:t>
      </w:r>
      <w:r>
        <w:rPr>
          <w:rFonts w:hint="cs"/>
          <w:rtl/>
        </w:rPr>
        <w:t xml:space="preserve"> שלא כתב דהאיסור בבשר בחלב הוא אף אם אכלם לאחר שהסריחו, דהא לא כתב </w:t>
      </w:r>
      <w:r w:rsidRPr="00D409FE">
        <w:rPr>
          <w:rStyle w:val="af8"/>
          <w:rFonts w:hint="cs"/>
          <w:rtl/>
        </w:rPr>
        <w:t>הרמב"ם</w:t>
      </w:r>
      <w:r>
        <w:rPr>
          <w:rFonts w:hint="cs"/>
          <w:rtl/>
        </w:rPr>
        <w:t xml:space="preserve"> </w:t>
      </w:r>
      <w:r w:rsidRPr="005208C2">
        <w:rPr>
          <w:rStyle w:val="af6"/>
          <w:rFonts w:eastAsia="Guttman Hodes" w:hint="cs"/>
          <w:rtl/>
        </w:rPr>
        <w:t xml:space="preserve">(עי' אות </w:t>
      </w:r>
      <w:r w:rsidRPr="005208C2">
        <w:rPr>
          <w:rStyle w:val="af6"/>
          <w:rFonts w:eastAsia="Guttman Hodes"/>
          <w:rtl/>
        </w:rPr>
        <w:fldChar w:fldCharType="begin"/>
      </w:r>
      <w:r w:rsidRPr="005208C2">
        <w:rPr>
          <w:rStyle w:val="af6"/>
          <w:rFonts w:eastAsia="Guttman Hodes"/>
          <w:rtl/>
        </w:rPr>
        <w:instrText xml:space="preserve"> </w:instrText>
      </w:r>
      <w:r w:rsidRPr="005208C2">
        <w:rPr>
          <w:rStyle w:val="af6"/>
          <w:rFonts w:eastAsia="Guttman Hodes" w:hint="cs"/>
        </w:rPr>
        <w:instrText>REF</w:instrText>
      </w:r>
      <w:r w:rsidRPr="005208C2">
        <w:rPr>
          <w:rStyle w:val="af6"/>
          <w:rFonts w:eastAsia="Guttman Hodes" w:hint="cs"/>
          <w:rtl/>
        </w:rPr>
        <w:instrText xml:space="preserve"> _</w:instrText>
      </w:r>
      <w:r w:rsidRPr="005208C2">
        <w:rPr>
          <w:rStyle w:val="af6"/>
          <w:rFonts w:eastAsia="Guttman Hodes" w:hint="cs"/>
        </w:rPr>
        <w:instrText>Ref19034938 \r \h</w:instrText>
      </w:r>
      <w:r w:rsidRPr="005208C2">
        <w:rPr>
          <w:rStyle w:val="af6"/>
          <w:rFonts w:eastAsia="Guttman Hodes"/>
          <w:rtl/>
        </w:rPr>
        <w:instrText xml:space="preserve"> </w:instrText>
      </w:r>
      <w:r w:rsidRPr="005208C2">
        <w:rPr>
          <w:rStyle w:val="af6"/>
          <w:rFonts w:eastAsia="Guttman Hodes"/>
          <w:rtl/>
        </w:rPr>
      </w:r>
      <w:r w:rsidRPr="005208C2">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5208C2">
        <w:rPr>
          <w:rStyle w:val="af6"/>
          <w:rFonts w:eastAsia="Guttman Hodes"/>
          <w:rtl/>
        </w:rPr>
        <w:fldChar w:fldCharType="end"/>
      </w:r>
      <w:r>
        <w:rPr>
          <w:rFonts w:hint="cs"/>
          <w:rtl/>
        </w:rPr>
        <w:t xml:space="preserve"> דבשר בחלב אסורים גם אם אכלם כשהם חמים עד שנכווה גרונו, ואילו בשאר האיסורים כתב </w:t>
      </w:r>
      <w:r w:rsidRPr="00054E71">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Ref19034347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E96710">
        <w:rPr>
          <w:rStyle w:val="af6"/>
          <w:rFonts w:eastAsia="Guttman Hodes"/>
          <w:rtl/>
        </w:rPr>
        <w:fldChar w:fldCharType="end"/>
      </w:r>
      <w:r>
        <w:rPr>
          <w:rFonts w:hint="cs"/>
          <w:rtl/>
        </w:rPr>
        <w:t xml:space="preserve"> דמותר בכה"ג. </w:t>
      </w:r>
      <w:r w:rsidRPr="00544B79">
        <w:rPr>
          <w:rStyle w:val="afa"/>
          <w:rFonts w:hint="cs"/>
          <w:rtl/>
        </w:rPr>
        <w:t xml:space="preserve">[והיינו דא"א לומר דבין בדבר חם ובין בדבר שהסריח ס"ל </w:t>
      </w:r>
      <w:r w:rsidRPr="00A854C9">
        <w:rPr>
          <w:rStyle w:val="affa"/>
          <w:rFonts w:hint="cs"/>
          <w:rtl/>
        </w:rPr>
        <w:t>להרמב"ם</w:t>
      </w:r>
      <w:r w:rsidRPr="00544B79">
        <w:rPr>
          <w:rStyle w:val="afa"/>
          <w:rFonts w:hint="cs"/>
          <w:rtl/>
        </w:rPr>
        <w:t xml:space="preserve"> דמותר בבשר בחלב, דהא ודאי דדבר חם הוא מדין שלא כדרך הנאתן].</w:t>
      </w:r>
      <w:bookmarkEnd w:id="9954"/>
    </w:p>
    <w:p w:rsidR="0013006A" w:rsidRPr="00B37C6E" w:rsidRDefault="0013006A" w:rsidP="0013006A">
      <w:pPr>
        <w:pStyle w:val="1"/>
        <w:rPr>
          <w:rtl/>
        </w:rPr>
      </w:pPr>
      <w:bookmarkStart w:id="9955" w:name="_Toc19129457"/>
      <w:bookmarkStart w:id="9956" w:name="_Toc19130011"/>
      <w:bookmarkStart w:id="9957" w:name="_Toc19170944"/>
      <w:bookmarkStart w:id="9958" w:name="_Toc19180800"/>
      <w:r>
        <w:rPr>
          <w:rFonts w:hint="cs"/>
          <w:rtl/>
        </w:rPr>
        <w:t>דברי השאג"א דבנבילה לא חשיב אוכל ושלא כדרך חשיב אוכל</w:t>
      </w:r>
      <w:bookmarkEnd w:id="9955"/>
      <w:bookmarkEnd w:id="9956"/>
      <w:bookmarkEnd w:id="9957"/>
      <w:bookmarkEnd w:id="9958"/>
    </w:p>
    <w:p w:rsidR="0013006A" w:rsidRPr="00A37615" w:rsidRDefault="0013006A" w:rsidP="0013006A">
      <w:pPr>
        <w:pStyle w:val="a2"/>
        <w:rPr>
          <w:rtl/>
        </w:rPr>
      </w:pPr>
      <w:bookmarkStart w:id="9959" w:name="_Toc19129458"/>
      <w:bookmarkStart w:id="9960" w:name="_Toc19130012"/>
      <w:bookmarkStart w:id="9961" w:name="_Toc19170945"/>
      <w:bookmarkStart w:id="9962" w:name="_Toc19180801"/>
      <w:bookmarkStart w:id="9963" w:name="_Toc18513271"/>
      <w:bookmarkStart w:id="9964" w:name="_Toc18874366"/>
      <w:bookmarkStart w:id="9965" w:name="_Toc18946780"/>
      <w:bookmarkStart w:id="9966" w:name="_Toc19026242"/>
      <w:bookmarkStart w:id="9967" w:name="_Toc19029719"/>
      <w:bookmarkStart w:id="9968" w:name="_Toc19030103"/>
      <w:bookmarkStart w:id="9969" w:name="_Toc19082156"/>
      <w:r>
        <w:rPr>
          <w:rFonts w:hint="cs"/>
          <w:rtl/>
        </w:rPr>
        <w:t>דברי השאג"א דאוכל שאינו ראוי לאכילה הוא כעפר ושלא כדרך הנאתן חשיב איסור</w:t>
      </w:r>
      <w:bookmarkEnd w:id="9959"/>
      <w:bookmarkEnd w:id="9960"/>
      <w:bookmarkEnd w:id="9961"/>
      <w:bookmarkEnd w:id="9962"/>
    </w:p>
    <w:p w:rsidR="0013006A" w:rsidRPr="00197F5A" w:rsidRDefault="0013006A" w:rsidP="009F44AF">
      <w:pPr>
        <w:pStyle w:val="a"/>
        <w:rPr>
          <w:rStyle w:val="afa"/>
          <w:rtl/>
        </w:rPr>
      </w:pPr>
      <w:bookmarkStart w:id="9970" w:name="_Ref19179743"/>
      <w:r w:rsidRPr="00197F5A">
        <w:rPr>
          <w:rStyle w:val="af8"/>
          <w:rFonts w:hint="cs"/>
          <w:rtl/>
        </w:rPr>
        <w:t>והשאג"א</w:t>
      </w:r>
      <w:r>
        <w:rPr>
          <w:rFonts w:hint="cs"/>
          <w:rtl/>
        </w:rPr>
        <w:t xml:space="preserve"> </w:t>
      </w:r>
      <w:r w:rsidRPr="00197F5A">
        <w:rPr>
          <w:rStyle w:val="af6"/>
          <w:rFonts w:eastAsia="Guttman Hodes" w:hint="cs"/>
          <w:rtl/>
        </w:rPr>
        <w:t>(סי' ע"ה)</w:t>
      </w:r>
      <w:r>
        <w:rPr>
          <w:rFonts w:hint="cs"/>
          <w:rtl/>
        </w:rPr>
        <w:t xml:space="preserve"> כתב דאוכלין ומשקין שאינם ראויים לאכילה, אין להם שם אוכל ומשקה, וחשיבי כעפר בעלמא, אבל באוכל איסור שלא כדרך אכילתו, יש שם אוכל על האיסור, ולכן דינו חמור יותר. </w:t>
      </w:r>
      <w:r w:rsidRPr="00197F5A">
        <w:rPr>
          <w:rStyle w:val="afa"/>
          <w:rFonts w:hint="cs"/>
          <w:rtl/>
        </w:rPr>
        <w:t xml:space="preserve">[וכתב </w:t>
      </w:r>
      <w:r w:rsidRPr="00197F5A">
        <w:rPr>
          <w:rStyle w:val="affa"/>
          <w:rFonts w:hint="cs"/>
          <w:rtl/>
        </w:rPr>
        <w:t>השאג"א</w:t>
      </w:r>
      <w:r w:rsidRPr="00197F5A">
        <w:rPr>
          <w:rStyle w:val="afa"/>
          <w:rFonts w:hint="cs"/>
          <w:rtl/>
        </w:rPr>
        <w:t xml:space="preserve"> דנ"מ לענין איסורי הנאה, דיש אופנים שאסור בשלא כדרך אכילתן, ומותר באוכל שאינו ראוי לאכילה].</w:t>
      </w:r>
      <w:bookmarkEnd w:id="9970"/>
    </w:p>
    <w:p w:rsidR="0013006A" w:rsidRPr="00A37615" w:rsidRDefault="0013006A" w:rsidP="0013006A">
      <w:pPr>
        <w:pStyle w:val="a2"/>
        <w:rPr>
          <w:rtl/>
        </w:rPr>
      </w:pPr>
      <w:bookmarkStart w:id="9971" w:name="_Toc19129459"/>
      <w:bookmarkStart w:id="9972" w:name="_Toc19130013"/>
      <w:bookmarkStart w:id="9973" w:name="_Toc19170946"/>
      <w:bookmarkStart w:id="9974" w:name="_Toc19180802"/>
      <w:r>
        <w:rPr>
          <w:rFonts w:hint="cs"/>
          <w:rtl/>
        </w:rPr>
        <w:t>דברי השאג"א דכן מוכח מהא דבב"ח אסור בנטל"פ אעפ"י שהוא נלמד מנבילה</w:t>
      </w:r>
      <w:bookmarkEnd w:id="9971"/>
      <w:bookmarkEnd w:id="9972"/>
      <w:bookmarkEnd w:id="9973"/>
      <w:bookmarkEnd w:id="9974"/>
    </w:p>
    <w:p w:rsidR="0013006A" w:rsidRDefault="0013006A" w:rsidP="009F44AF">
      <w:pPr>
        <w:pStyle w:val="a"/>
        <w:rPr>
          <w:rtl/>
        </w:rPr>
      </w:pPr>
      <w:bookmarkStart w:id="9975" w:name="_Ref19180473"/>
      <w:r>
        <w:rPr>
          <w:rFonts w:hint="cs"/>
          <w:rtl/>
        </w:rPr>
        <w:t xml:space="preserve">וכתב </w:t>
      </w:r>
      <w:r w:rsidRPr="00197F5A">
        <w:rPr>
          <w:rStyle w:val="af8"/>
          <w:rFonts w:hint="cs"/>
          <w:rtl/>
        </w:rPr>
        <w:t>השאג"א</w:t>
      </w:r>
      <w:r>
        <w:rPr>
          <w:rFonts w:hint="cs"/>
          <w:rtl/>
        </w:rPr>
        <w:t xml:space="preserve"> דכן מוכח מהא דבבשר וחלב וכלאי הכרם אעפ"י דלוקין עליהם בשלא כדרך אכילתן, מ"מ כשאינם ראויים לאכילה פטור עליהם, כיון דנותן טעם לפגם מותר אף בבשר בחלב, </w:t>
      </w:r>
      <w:r w:rsidRPr="00C84F3F">
        <w:rPr>
          <w:rStyle w:val="afa"/>
          <w:rFonts w:hint="cs"/>
          <w:rtl/>
        </w:rPr>
        <w:t xml:space="preserve">[כדכתב </w:t>
      </w:r>
      <w:r w:rsidRPr="00C84F3F">
        <w:rPr>
          <w:rStyle w:val="affa"/>
          <w:rFonts w:hint="cs"/>
          <w:rtl/>
        </w:rPr>
        <w:t>הרמב"ם</w:t>
      </w:r>
      <w:r w:rsidRPr="00C84F3F">
        <w:rPr>
          <w:rStyle w:val="afa"/>
          <w:rFonts w:hint="cs"/>
          <w:rtl/>
        </w:rPr>
        <w:t xml:space="preserve"> </w:t>
      </w:r>
      <w:r w:rsidRPr="00C84F3F">
        <w:rPr>
          <w:rStyle w:val="aff6"/>
          <w:rFonts w:hint="cs"/>
          <w:rtl/>
        </w:rPr>
        <w:t xml:space="preserve">(עי' אות </w:t>
      </w:r>
      <w:r w:rsidRPr="00C84F3F">
        <w:rPr>
          <w:rStyle w:val="aff6"/>
          <w:rtl/>
        </w:rPr>
        <w:fldChar w:fldCharType="begin"/>
      </w:r>
      <w:r w:rsidRPr="00C84F3F">
        <w:rPr>
          <w:rStyle w:val="aff6"/>
          <w:rtl/>
        </w:rPr>
        <w:instrText xml:space="preserve"> </w:instrText>
      </w:r>
      <w:r w:rsidRPr="00C84F3F">
        <w:rPr>
          <w:rStyle w:val="aff6"/>
          <w:rFonts w:hint="cs"/>
        </w:rPr>
        <w:instrText>REF</w:instrText>
      </w:r>
      <w:r w:rsidRPr="00C84F3F">
        <w:rPr>
          <w:rStyle w:val="aff6"/>
          <w:rFonts w:hint="cs"/>
          <w:rtl/>
        </w:rPr>
        <w:instrText xml:space="preserve"> _</w:instrText>
      </w:r>
      <w:r w:rsidRPr="00C84F3F">
        <w:rPr>
          <w:rStyle w:val="aff6"/>
          <w:rFonts w:hint="cs"/>
        </w:rPr>
        <w:instrText>Ref17367367 \r \h</w:instrText>
      </w:r>
      <w:r w:rsidRPr="00C84F3F">
        <w:rPr>
          <w:rStyle w:val="aff6"/>
          <w:rtl/>
        </w:rPr>
        <w:instrText xml:space="preserve"> </w:instrText>
      </w:r>
      <w:r w:rsidRPr="00C84F3F">
        <w:rPr>
          <w:rStyle w:val="aff6"/>
          <w:rtl/>
        </w:rPr>
      </w:r>
      <w:r w:rsidRPr="00C84F3F">
        <w:rPr>
          <w:rStyle w:val="aff6"/>
          <w:rtl/>
        </w:rPr>
        <w:fldChar w:fldCharType="separate"/>
      </w:r>
      <w:r w:rsidR="004D1C5B">
        <w:rPr>
          <w:rStyle w:val="aff6"/>
          <w:cs/>
        </w:rPr>
        <w:t>‎</w:t>
      </w:r>
      <w:r w:rsidR="004D1C5B">
        <w:rPr>
          <w:rStyle w:val="aff6"/>
          <w:rtl/>
        </w:rPr>
        <w:t>נא)</w:t>
      </w:r>
      <w:r w:rsidRPr="00C84F3F">
        <w:rPr>
          <w:rStyle w:val="aff6"/>
          <w:rtl/>
        </w:rPr>
        <w:fldChar w:fldCharType="end"/>
      </w:r>
      <w:r w:rsidRPr="00C84F3F">
        <w:rPr>
          <w:rStyle w:val="afa"/>
          <w:rFonts w:hint="cs"/>
          <w:rtl/>
        </w:rPr>
        <w:t>],</w:t>
      </w:r>
      <w:r>
        <w:rPr>
          <w:rFonts w:hint="cs"/>
          <w:rtl/>
        </w:rPr>
        <w:t xml:space="preserve"> ונותן טעם לפגם הרי נלמד מנבילה שאינה ראויה לגר, וא"כ מוכח דהאיסור באוכל שאינו ראוי, הוא קל יותר מאוכל איסור שלא כדרך אכילתו.</w:t>
      </w:r>
      <w:bookmarkEnd w:id="9975"/>
    </w:p>
    <w:p w:rsidR="0013006A" w:rsidRDefault="0013006A" w:rsidP="0013006A">
      <w:pPr>
        <w:pStyle w:val="1"/>
        <w:rPr>
          <w:rtl/>
        </w:rPr>
      </w:pPr>
      <w:bookmarkStart w:id="9976" w:name="_Toc19129460"/>
      <w:bookmarkStart w:id="9977" w:name="_Toc19130014"/>
      <w:bookmarkStart w:id="9978" w:name="_Toc19170947"/>
      <w:bookmarkStart w:id="9979" w:name="_Toc19180803"/>
      <w:r>
        <w:rPr>
          <w:rFonts w:hint="cs"/>
          <w:rtl/>
        </w:rPr>
        <w:t>דברי הפרמ"ג דבשר וחלב שנפגמו לגמרי חשיבי כעפר</w:t>
      </w:r>
      <w:bookmarkEnd w:id="9976"/>
      <w:bookmarkEnd w:id="9977"/>
      <w:bookmarkEnd w:id="9978"/>
      <w:bookmarkEnd w:id="9979"/>
    </w:p>
    <w:p w:rsidR="0013006A" w:rsidRPr="009C62BA" w:rsidRDefault="0013006A" w:rsidP="0013006A">
      <w:pPr>
        <w:pStyle w:val="a2"/>
      </w:pPr>
      <w:bookmarkStart w:id="9980" w:name="_Toc19129461"/>
      <w:bookmarkStart w:id="9981" w:name="_Toc19130015"/>
      <w:bookmarkStart w:id="9982" w:name="_Toc19170948"/>
      <w:bookmarkStart w:id="9983" w:name="_Toc19180804"/>
      <w:r>
        <w:rPr>
          <w:rFonts w:hint="cs"/>
          <w:rtl/>
        </w:rPr>
        <w:t>ספק הפרמ"ג בבשר בחלב שנפגם לגמרי כנבילה ונפל לתבשיל אי אוסרו או שהוא כעפר</w:t>
      </w:r>
      <w:bookmarkEnd w:id="9980"/>
      <w:bookmarkEnd w:id="9981"/>
      <w:bookmarkEnd w:id="9982"/>
      <w:bookmarkEnd w:id="9983"/>
      <w:r>
        <w:rPr>
          <w:rFonts w:hint="cs"/>
          <w:rtl/>
        </w:rPr>
        <w:t xml:space="preserve"> </w:t>
      </w:r>
    </w:p>
    <w:p w:rsidR="00E03085" w:rsidRDefault="0013006A" w:rsidP="009F44AF">
      <w:pPr>
        <w:pStyle w:val="a"/>
        <w:rPr>
          <w:rtl/>
        </w:rPr>
      </w:pPr>
      <w:r>
        <w:rPr>
          <w:rFonts w:hint="cs"/>
          <w:rtl/>
        </w:rPr>
        <w:t xml:space="preserve">כתב </w:t>
      </w:r>
      <w:r w:rsidRPr="000729FE">
        <w:rPr>
          <w:rStyle w:val="af8"/>
          <w:rFonts w:hint="cs"/>
          <w:rtl/>
        </w:rPr>
        <w:t>הפרמ"ג</w:t>
      </w:r>
      <w:r>
        <w:rPr>
          <w:rFonts w:hint="cs"/>
          <w:rtl/>
        </w:rPr>
        <w:t xml:space="preserve"> </w:t>
      </w:r>
      <w:r w:rsidRPr="000729FE">
        <w:rPr>
          <w:rStyle w:val="af6"/>
          <w:rFonts w:eastAsia="Guttman Hodes" w:hint="cs"/>
          <w:rtl/>
        </w:rPr>
        <w:t>(סי' ק"ג שפ"ד סק"ד)</w:t>
      </w:r>
      <w:r>
        <w:rPr>
          <w:rFonts w:hint="cs"/>
          <w:rtl/>
        </w:rPr>
        <w:t xml:space="preserve"> דבבשר וחלב וכלאי הכרם שנפגמו לגמרי ואינם ראויים לגר, יש להסתפק האם כיון שחייב עליהם אף שלא כדרך אכילה, א"כ הם אוסרים כשנפלו לתוך היתר ואין רוב בהיתר כנגדם, כמו איסור שמאוס מעיקרו דאוסר, או דכיון שאינם ראויים לגר חשיבי כעפר.</w:t>
      </w:r>
    </w:p>
    <w:p w:rsidR="0013006A" w:rsidRPr="00A37615" w:rsidRDefault="0013006A" w:rsidP="0013006A">
      <w:pPr>
        <w:pStyle w:val="a2"/>
        <w:rPr>
          <w:rtl/>
        </w:rPr>
      </w:pPr>
      <w:bookmarkStart w:id="9984" w:name="_Toc19129462"/>
      <w:bookmarkStart w:id="9985" w:name="_Toc19130016"/>
      <w:bookmarkStart w:id="9986" w:name="_Toc19170949"/>
      <w:bookmarkStart w:id="9987" w:name="_Toc19180805"/>
      <w:r>
        <w:rPr>
          <w:rFonts w:hint="cs"/>
          <w:rtl/>
        </w:rPr>
        <w:t>הוכחת הפרמ"ג מהרמב"ם דבשר בחלב שנפגמו לגמרי חשיבי כעפר</w:t>
      </w:r>
      <w:bookmarkEnd w:id="9984"/>
      <w:bookmarkEnd w:id="9985"/>
      <w:bookmarkEnd w:id="9986"/>
      <w:bookmarkEnd w:id="9987"/>
    </w:p>
    <w:p w:rsidR="0013006A" w:rsidRDefault="0013006A" w:rsidP="009F44AF">
      <w:pPr>
        <w:pStyle w:val="a"/>
        <w:rPr>
          <w:rtl/>
        </w:rPr>
      </w:pPr>
      <w:bookmarkStart w:id="9988" w:name="_Ref19095425"/>
      <w:r>
        <w:rPr>
          <w:rFonts w:hint="cs"/>
          <w:rtl/>
        </w:rPr>
        <w:t xml:space="preserve">וכתב </w:t>
      </w:r>
      <w:r w:rsidRPr="000729FE">
        <w:rPr>
          <w:rStyle w:val="af8"/>
          <w:rFonts w:hint="cs"/>
          <w:rtl/>
        </w:rPr>
        <w:t>הפרמ"ג</w:t>
      </w:r>
      <w:r>
        <w:rPr>
          <w:rFonts w:hint="cs"/>
          <w:rtl/>
        </w:rPr>
        <w:t xml:space="preserve"> דמהא דכתב </w:t>
      </w:r>
      <w:r w:rsidRPr="000729FE">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Ref19034938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E96710">
        <w:rPr>
          <w:rStyle w:val="af6"/>
          <w:rFonts w:eastAsia="Guttman Hodes"/>
          <w:rtl/>
        </w:rPr>
        <w:fldChar w:fldCharType="end"/>
      </w:r>
      <w:r>
        <w:rPr>
          <w:rFonts w:hint="cs"/>
          <w:rtl/>
        </w:rPr>
        <w:t xml:space="preserve"> דבשר בחלב או בכלאי הכרם אסורים אף אם עירב בהם דבר מר, ולא כתב </w:t>
      </w:r>
      <w:r w:rsidRPr="00462850">
        <w:rPr>
          <w:rStyle w:val="af8"/>
          <w:rFonts w:hint="cs"/>
          <w:rtl/>
        </w:rPr>
        <w:t>הרמב"ם</w:t>
      </w:r>
      <w:r>
        <w:rPr>
          <w:rFonts w:hint="cs"/>
          <w:rtl/>
        </w:rPr>
        <w:t xml:space="preserve"> דאף אם אכלם לאחר שהסריחו ואילו בשאר האיסורים כתב </w:t>
      </w:r>
      <w:r w:rsidRPr="000729FE">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Ref19034347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E96710">
        <w:rPr>
          <w:rStyle w:val="af6"/>
          <w:rFonts w:eastAsia="Guttman Hodes"/>
          <w:rtl/>
        </w:rPr>
        <w:fldChar w:fldCharType="end"/>
      </w:r>
      <w:r>
        <w:rPr>
          <w:rFonts w:hint="cs"/>
          <w:rtl/>
        </w:rPr>
        <w:t xml:space="preserve"> דמותר בין בעירב </w:t>
      </w:r>
      <w:r w:rsidRPr="00C41297">
        <w:rPr>
          <w:rFonts w:hint="cs"/>
          <w:rtl/>
        </w:rPr>
        <w:t xml:space="preserve">דבר מר ובין בהסריחו, א"כ משמע דאף בבשר בחלב וכלאי הכרם שנפגמו לגמרי, דכיון שאינם ראויים לגר חשיבי כעפר, וכ"כ </w:t>
      </w:r>
      <w:r w:rsidRPr="00C41297">
        <w:rPr>
          <w:rStyle w:val="af8"/>
          <w:rFonts w:hint="cs"/>
          <w:rtl/>
        </w:rPr>
        <w:t>החוו"ד</w:t>
      </w:r>
      <w:r w:rsidRPr="00C41297">
        <w:rPr>
          <w:rFonts w:hint="cs"/>
          <w:rtl/>
        </w:rPr>
        <w:t xml:space="preserve"> </w:t>
      </w:r>
      <w:r w:rsidRPr="00C41297">
        <w:rPr>
          <w:rStyle w:val="af6"/>
          <w:rFonts w:eastAsia="Guttman Hodes" w:hint="cs"/>
          <w:rtl/>
        </w:rPr>
        <w:t xml:space="preserve">(עי' אות </w:t>
      </w:r>
      <w:r w:rsidRPr="00C41297">
        <w:rPr>
          <w:rStyle w:val="af6"/>
          <w:rFonts w:eastAsia="Guttman Hodes"/>
          <w:rtl/>
        </w:rPr>
        <w:fldChar w:fldCharType="begin"/>
      </w:r>
      <w:r w:rsidRPr="00C41297">
        <w:rPr>
          <w:rStyle w:val="af6"/>
          <w:rFonts w:eastAsia="Guttman Hodes"/>
          <w:rtl/>
        </w:rPr>
        <w:instrText xml:space="preserve"> </w:instrText>
      </w:r>
      <w:r w:rsidRPr="00C41297">
        <w:rPr>
          <w:rStyle w:val="af6"/>
          <w:rFonts w:eastAsia="Guttman Hodes" w:hint="cs"/>
        </w:rPr>
        <w:instrText>REF</w:instrText>
      </w:r>
      <w:r w:rsidRPr="00C41297">
        <w:rPr>
          <w:rStyle w:val="af6"/>
          <w:rFonts w:eastAsia="Guttman Hodes" w:hint="cs"/>
          <w:rtl/>
        </w:rPr>
        <w:instrText xml:space="preserve"> _</w:instrText>
      </w:r>
      <w:r w:rsidRPr="00C41297">
        <w:rPr>
          <w:rStyle w:val="af6"/>
          <w:rFonts w:eastAsia="Guttman Hodes" w:hint="cs"/>
        </w:rPr>
        <w:instrText>Ref18959902 \r \h</w:instrText>
      </w:r>
      <w:r w:rsidRPr="00C41297">
        <w:rPr>
          <w:rStyle w:val="af6"/>
          <w:rFonts w:eastAsia="Guttman Hodes"/>
          <w:rtl/>
        </w:rPr>
        <w:instrText xml:space="preserve">  \* </w:instrText>
      </w:r>
      <w:r w:rsidRPr="00C41297">
        <w:rPr>
          <w:rStyle w:val="af6"/>
          <w:rFonts w:eastAsia="Guttman Hodes"/>
        </w:rPr>
        <w:instrText>MERGEFORMAT</w:instrText>
      </w:r>
      <w:r w:rsidRPr="00C41297">
        <w:rPr>
          <w:rStyle w:val="af6"/>
          <w:rFonts w:eastAsia="Guttman Hodes"/>
          <w:rtl/>
        </w:rPr>
        <w:instrText xml:space="preserve"> </w:instrText>
      </w:r>
      <w:r w:rsidRPr="00C41297">
        <w:rPr>
          <w:rStyle w:val="af6"/>
          <w:rFonts w:eastAsia="Guttman Hodes"/>
          <w:rtl/>
        </w:rPr>
      </w:r>
      <w:r w:rsidRPr="00C41297">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sidRPr="00C41297">
        <w:rPr>
          <w:rStyle w:val="af6"/>
          <w:rFonts w:eastAsia="Guttman Hodes"/>
          <w:rtl/>
        </w:rPr>
        <w:fldChar w:fldCharType="end"/>
      </w:r>
      <w:r>
        <w:rPr>
          <w:rFonts w:hint="cs"/>
          <w:rtl/>
        </w:rPr>
        <w:t xml:space="preserve">. [ועי' במה שדחה </w:t>
      </w:r>
      <w:r w:rsidRPr="00C41297">
        <w:rPr>
          <w:rStyle w:val="af8"/>
          <w:rFonts w:hint="cs"/>
          <w:rtl/>
        </w:rPr>
        <w:t>האמרי ברוך</w:t>
      </w:r>
      <w:r>
        <w:rPr>
          <w:rFonts w:hint="cs"/>
          <w:rtl/>
        </w:rPr>
        <w:t xml:space="preserve"> </w:t>
      </w:r>
      <w:r w:rsidRPr="00C41297">
        <w:rPr>
          <w:rStyle w:val="af6"/>
          <w:rFonts w:eastAsia="Guttman Hodes" w:hint="cs"/>
          <w:rtl/>
        </w:rPr>
        <w:t xml:space="preserve">(עי' אות </w:t>
      </w:r>
      <w:r w:rsidRPr="00C41297">
        <w:rPr>
          <w:rStyle w:val="af6"/>
          <w:rFonts w:eastAsia="Guttman Hodes"/>
          <w:rtl/>
        </w:rPr>
        <w:fldChar w:fldCharType="begin"/>
      </w:r>
      <w:r w:rsidRPr="00C41297">
        <w:rPr>
          <w:rStyle w:val="af6"/>
          <w:rFonts w:eastAsia="Guttman Hodes"/>
          <w:rtl/>
        </w:rPr>
        <w:instrText xml:space="preserve"> </w:instrText>
      </w:r>
      <w:r w:rsidRPr="00C41297">
        <w:rPr>
          <w:rStyle w:val="af6"/>
          <w:rFonts w:eastAsia="Guttman Hodes" w:hint="cs"/>
        </w:rPr>
        <w:instrText>REF</w:instrText>
      </w:r>
      <w:r w:rsidRPr="00C41297">
        <w:rPr>
          <w:rStyle w:val="af6"/>
          <w:rFonts w:eastAsia="Guttman Hodes" w:hint="cs"/>
          <w:rtl/>
        </w:rPr>
        <w:instrText xml:space="preserve"> _</w:instrText>
      </w:r>
      <w:r w:rsidRPr="00C41297">
        <w:rPr>
          <w:rStyle w:val="af6"/>
          <w:rFonts w:eastAsia="Guttman Hodes" w:hint="cs"/>
        </w:rPr>
        <w:instrText>Ref19095385 \r \h</w:instrText>
      </w:r>
      <w:r w:rsidRPr="00C41297">
        <w:rPr>
          <w:rStyle w:val="af6"/>
          <w:rFonts w:eastAsia="Guttman Hodes"/>
          <w:rtl/>
        </w:rPr>
        <w:instrText xml:space="preserve"> </w:instrText>
      </w:r>
      <w:r w:rsidRPr="00C41297">
        <w:rPr>
          <w:rStyle w:val="af6"/>
          <w:rFonts w:eastAsia="Guttman Hodes"/>
          <w:rtl/>
        </w:rPr>
      </w:r>
      <w:r w:rsidRPr="00C41297">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C41297">
        <w:rPr>
          <w:rStyle w:val="af6"/>
          <w:rFonts w:eastAsia="Guttman Hodes"/>
          <w:rtl/>
        </w:rPr>
        <w:fldChar w:fldCharType="end"/>
      </w:r>
      <w:r>
        <w:rPr>
          <w:rFonts w:hint="cs"/>
          <w:rtl/>
        </w:rPr>
        <w:t>]</w:t>
      </w:r>
      <w:r w:rsidRPr="00C41297">
        <w:rPr>
          <w:rFonts w:hint="cs"/>
          <w:rtl/>
        </w:rPr>
        <w:t>.</w:t>
      </w:r>
      <w:bookmarkEnd w:id="9988"/>
    </w:p>
    <w:p w:rsidR="0013006A" w:rsidRPr="00DD11F6" w:rsidRDefault="0013006A" w:rsidP="0013006A">
      <w:pPr>
        <w:pStyle w:val="1"/>
      </w:pPr>
      <w:bookmarkStart w:id="9989" w:name="_Toc19129463"/>
      <w:bookmarkStart w:id="9990" w:name="_Toc19130017"/>
      <w:bookmarkStart w:id="9991" w:name="_Toc19170950"/>
      <w:bookmarkStart w:id="9992" w:name="_Toc19180806"/>
      <w:r>
        <w:rPr>
          <w:rFonts w:hint="cs"/>
          <w:rtl/>
        </w:rPr>
        <w:t>דברי הפרמ"ג דנבילה שיבשה וחזרה ונימוחה בתבשיל אסורה</w:t>
      </w:r>
      <w:bookmarkEnd w:id="9989"/>
      <w:bookmarkEnd w:id="9990"/>
      <w:bookmarkEnd w:id="9991"/>
      <w:bookmarkEnd w:id="9992"/>
    </w:p>
    <w:p w:rsidR="0013006A" w:rsidRPr="00A37615" w:rsidRDefault="0013006A" w:rsidP="0013006A">
      <w:pPr>
        <w:pStyle w:val="a2"/>
        <w:rPr>
          <w:rtl/>
        </w:rPr>
      </w:pPr>
      <w:bookmarkStart w:id="9993" w:name="_Toc19129464"/>
      <w:bookmarkStart w:id="9994" w:name="_Toc19130018"/>
      <w:bookmarkStart w:id="9995" w:name="_Toc19170951"/>
      <w:bookmarkStart w:id="9996" w:name="_Toc19180807"/>
      <w:r>
        <w:rPr>
          <w:rFonts w:hint="cs"/>
          <w:rtl/>
        </w:rPr>
        <w:t>דברי הפרמ"ג דבשר נבילה שיבש כעץ וחזר ונימוח בתבשיל אסור מדאו' כיון שנהנה</w:t>
      </w:r>
      <w:bookmarkEnd w:id="9993"/>
      <w:bookmarkEnd w:id="9994"/>
      <w:bookmarkEnd w:id="9995"/>
      <w:bookmarkEnd w:id="9996"/>
    </w:p>
    <w:p w:rsidR="0013006A" w:rsidRPr="001900E2" w:rsidRDefault="0013006A" w:rsidP="009F44AF">
      <w:pPr>
        <w:pStyle w:val="a"/>
        <w:rPr>
          <w:rtl/>
        </w:rPr>
      </w:pPr>
      <w:bookmarkStart w:id="9997" w:name="_Ref19120577"/>
      <w:r>
        <w:rPr>
          <w:rFonts w:hint="cs"/>
          <w:rtl/>
        </w:rPr>
        <w:t xml:space="preserve">אך כתב </w:t>
      </w:r>
      <w:r w:rsidRPr="00BE7EE1">
        <w:rPr>
          <w:rStyle w:val="af8"/>
          <w:rFonts w:hint="cs"/>
          <w:rtl/>
        </w:rPr>
        <w:t>הפרמ"ג</w:t>
      </w:r>
      <w:r w:rsidRPr="00B40A3E">
        <w:rPr>
          <w:rFonts w:hint="cs"/>
          <w:rtl/>
        </w:rPr>
        <w:t xml:space="preserve"> </w:t>
      </w:r>
      <w:r w:rsidRPr="00DD7456">
        <w:rPr>
          <w:rStyle w:val="af6"/>
          <w:rFonts w:eastAsia="Guttman Hodes" w:hint="cs"/>
          <w:rtl/>
        </w:rPr>
        <w:t xml:space="preserve">(סי' ק"ג שפ"ד סק"ב) </w:t>
      </w:r>
      <w:r>
        <w:rPr>
          <w:rFonts w:hint="cs"/>
          <w:rtl/>
        </w:rPr>
        <w:t xml:space="preserve">דבשר נבילה שיבש כעץ, אף דבאוכלו יבש אין בו איסור דאו', מ"מ אחר שבישלו בתבשיל וחזר ונימוח הוא נהנה ממנו ואסור מדאו', </w:t>
      </w:r>
      <w:r w:rsidRPr="00074375">
        <w:rPr>
          <w:rStyle w:val="afa"/>
          <w:rFonts w:hint="cs"/>
          <w:rtl/>
        </w:rPr>
        <w:t xml:space="preserve">[ודלא </w:t>
      </w:r>
      <w:r w:rsidRPr="00074375">
        <w:rPr>
          <w:rStyle w:val="affa"/>
          <w:rFonts w:hint="cs"/>
          <w:rtl/>
        </w:rPr>
        <w:t>כהחוו"ד</w:t>
      </w:r>
      <w:r w:rsidRPr="00074375">
        <w:rPr>
          <w:rStyle w:val="afa"/>
          <w:rFonts w:hint="cs"/>
          <w:rtl/>
        </w:rPr>
        <w:t xml:space="preserve"> </w:t>
      </w:r>
      <w:r w:rsidRPr="00074375">
        <w:rPr>
          <w:rStyle w:val="aff6"/>
          <w:rFonts w:hint="cs"/>
          <w:rtl/>
        </w:rPr>
        <w:t xml:space="preserve">(עי' אות </w:t>
      </w:r>
      <w:r w:rsidRPr="00074375">
        <w:rPr>
          <w:rStyle w:val="aff6"/>
          <w:rtl/>
        </w:rPr>
        <w:fldChar w:fldCharType="begin"/>
      </w:r>
      <w:r w:rsidRPr="00074375">
        <w:rPr>
          <w:rStyle w:val="aff6"/>
          <w:rtl/>
        </w:rPr>
        <w:instrText xml:space="preserve"> </w:instrText>
      </w:r>
      <w:r w:rsidRPr="00074375">
        <w:rPr>
          <w:rStyle w:val="aff6"/>
          <w:rFonts w:hint="cs"/>
        </w:rPr>
        <w:instrText>REF</w:instrText>
      </w:r>
      <w:r w:rsidRPr="00074375">
        <w:rPr>
          <w:rStyle w:val="aff6"/>
          <w:rFonts w:hint="cs"/>
          <w:rtl/>
        </w:rPr>
        <w:instrText xml:space="preserve"> _</w:instrText>
      </w:r>
      <w:r w:rsidRPr="00074375">
        <w:rPr>
          <w:rStyle w:val="aff6"/>
          <w:rFonts w:hint="cs"/>
        </w:rPr>
        <w:instrText>Ref19120520 \r \h</w:instrText>
      </w:r>
      <w:r w:rsidRPr="00074375">
        <w:rPr>
          <w:rStyle w:val="aff6"/>
          <w:rtl/>
        </w:rPr>
        <w:instrText xml:space="preserve"> </w:instrText>
      </w:r>
      <w:r w:rsidRPr="00074375">
        <w:rPr>
          <w:rStyle w:val="aff6"/>
          <w:rtl/>
        </w:rPr>
      </w:r>
      <w:r w:rsidRPr="00074375">
        <w:rPr>
          <w:rStyle w:val="aff6"/>
          <w:rtl/>
        </w:rPr>
        <w:fldChar w:fldCharType="separate"/>
      </w:r>
      <w:r w:rsidR="004D1C5B">
        <w:rPr>
          <w:rStyle w:val="aff6"/>
          <w:cs/>
        </w:rPr>
        <w:t>‎</w:t>
      </w:r>
      <w:r w:rsidR="004D1C5B">
        <w:rPr>
          <w:rStyle w:val="aff6"/>
          <w:rtl/>
        </w:rPr>
        <w:t>ע)</w:t>
      </w:r>
      <w:r w:rsidRPr="00074375">
        <w:rPr>
          <w:rStyle w:val="aff6"/>
          <w:rtl/>
        </w:rPr>
        <w:fldChar w:fldCharType="end"/>
      </w:r>
      <w:r w:rsidRPr="00074375">
        <w:rPr>
          <w:rStyle w:val="afa"/>
          <w:rFonts w:hint="cs"/>
          <w:rtl/>
        </w:rPr>
        <w:t xml:space="preserve">], </w:t>
      </w:r>
      <w:r>
        <w:rPr>
          <w:rFonts w:hint="cs"/>
          <w:rtl/>
        </w:rPr>
        <w:t xml:space="preserve">והוסיף </w:t>
      </w:r>
      <w:r w:rsidRPr="00BE7EE1">
        <w:rPr>
          <w:rStyle w:val="af8"/>
          <w:rFonts w:hint="cs"/>
          <w:rtl/>
        </w:rPr>
        <w:t>הפרמ"ג</w:t>
      </w:r>
      <w:r>
        <w:rPr>
          <w:rFonts w:hint="cs"/>
          <w:rtl/>
        </w:rPr>
        <w:t xml:space="preserve"> דאף כשהוא יבש יתכן שאסור מדאו', </w:t>
      </w:r>
      <w:r w:rsidRPr="00DD7456">
        <w:rPr>
          <w:rStyle w:val="afa"/>
          <w:rFonts w:hint="cs"/>
          <w:rtl/>
        </w:rPr>
        <w:t>[כיון שאם יבשלו בתבשיל יהיה נימוח]</w:t>
      </w:r>
      <w:r w:rsidRPr="00256528">
        <w:rPr>
          <w:rFonts w:hint="cs"/>
          <w:rtl/>
        </w:rPr>
        <w:t xml:space="preserve"> </w:t>
      </w:r>
      <w:r>
        <w:rPr>
          <w:rFonts w:hint="cs"/>
          <w:rtl/>
        </w:rPr>
        <w:t xml:space="preserve">ועי' במ"ש </w:t>
      </w:r>
      <w:r w:rsidRPr="00256528">
        <w:rPr>
          <w:rStyle w:val="af8"/>
          <w:rFonts w:hint="cs"/>
          <w:rtl/>
        </w:rPr>
        <w:t>במשנת ר"א</w:t>
      </w:r>
      <w:r>
        <w:rPr>
          <w:rFonts w:hint="cs"/>
          <w:rtl/>
        </w:rPr>
        <w:t xml:space="preserve"> </w:t>
      </w:r>
      <w:r w:rsidRPr="00256528">
        <w:rPr>
          <w:rStyle w:val="af6"/>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Ref19043283 \h</w:instrText>
      </w:r>
      <w:r>
        <w:rPr>
          <w:vertAlign w:val="superscript"/>
          <w:rtl/>
        </w:rPr>
        <w:instrText xml:space="preserve"> </w:instrText>
      </w:r>
      <w:r>
        <w:rPr>
          <w:vertAlign w:val="superscript"/>
          <w:rtl/>
        </w:rPr>
      </w:r>
      <w:r>
        <w:rPr>
          <w:vertAlign w:val="superscript"/>
          <w:rtl/>
        </w:rPr>
        <w:fldChar w:fldCharType="separate"/>
      </w:r>
      <w:r w:rsidR="004D1C5B">
        <w:rPr>
          <w:vertAlign w:val="superscript"/>
          <w:rtl/>
        </w:rPr>
        <w:t>46</w:t>
      </w:r>
      <w:r>
        <w:rPr>
          <w:vertAlign w:val="superscript"/>
          <w:rtl/>
        </w:rPr>
        <w:fldChar w:fldCharType="end"/>
      </w:r>
      <w:r w:rsidRPr="00256528">
        <w:rPr>
          <w:rStyle w:val="af6"/>
          <w:rFonts w:eastAsia="Guttman Hodes" w:hint="cs"/>
          <w:rtl/>
        </w:rPr>
        <w:t>)</w:t>
      </w:r>
      <w:r w:rsidRPr="00A35665">
        <w:rPr>
          <w:rFonts w:hint="cs"/>
          <w:rtl/>
        </w:rPr>
        <w:t>.</w:t>
      </w:r>
      <w:bookmarkEnd w:id="9997"/>
      <w:r>
        <w:rPr>
          <w:rFonts w:hint="cs"/>
          <w:highlight w:val="yellow"/>
          <w:rtl/>
        </w:rPr>
        <w:t xml:space="preserve"> </w:t>
      </w:r>
    </w:p>
    <w:p w:rsidR="0013006A" w:rsidRDefault="0013006A" w:rsidP="0013006A">
      <w:pPr>
        <w:pStyle w:val="1"/>
        <w:rPr>
          <w:rtl/>
        </w:rPr>
      </w:pPr>
      <w:bookmarkStart w:id="9998" w:name="_Toc19026244"/>
      <w:bookmarkStart w:id="9999" w:name="_Toc19029721"/>
      <w:bookmarkStart w:id="10000" w:name="_Toc19030105"/>
      <w:bookmarkStart w:id="10001" w:name="_Toc19082158"/>
      <w:bookmarkStart w:id="10002" w:name="_Toc19129465"/>
      <w:bookmarkStart w:id="10003" w:name="_Toc19130019"/>
      <w:bookmarkStart w:id="10004" w:name="_Toc19170952"/>
      <w:bookmarkStart w:id="10005" w:name="_Toc19180808"/>
      <w:bookmarkStart w:id="10006" w:name="_Toc18946782"/>
      <w:bookmarkEnd w:id="9935"/>
      <w:bookmarkEnd w:id="9936"/>
      <w:bookmarkEnd w:id="9963"/>
      <w:bookmarkEnd w:id="9964"/>
      <w:bookmarkEnd w:id="9965"/>
      <w:bookmarkEnd w:id="9966"/>
      <w:bookmarkEnd w:id="9967"/>
      <w:bookmarkEnd w:id="9968"/>
      <w:bookmarkEnd w:id="9969"/>
      <w:r>
        <w:rPr>
          <w:rFonts w:hint="cs"/>
          <w:rtl/>
        </w:rPr>
        <w:t>דברי הגרעק"א</w:t>
      </w:r>
      <w:bookmarkEnd w:id="9998"/>
      <w:bookmarkEnd w:id="9999"/>
      <w:bookmarkEnd w:id="10000"/>
      <w:bookmarkEnd w:id="10001"/>
      <w:r>
        <w:rPr>
          <w:rFonts w:hint="cs"/>
          <w:rtl/>
        </w:rPr>
        <w:t xml:space="preserve"> דטע"כ בב"ח הוא ככל האיסורים ונטל"פ מותר</w:t>
      </w:r>
      <w:bookmarkEnd w:id="10002"/>
      <w:bookmarkEnd w:id="10003"/>
      <w:bookmarkEnd w:id="10004"/>
      <w:bookmarkEnd w:id="10005"/>
    </w:p>
    <w:p w:rsidR="0013006A" w:rsidRPr="00C7786C" w:rsidRDefault="0013006A" w:rsidP="0013006A">
      <w:pPr>
        <w:pStyle w:val="a2"/>
      </w:pPr>
      <w:bookmarkStart w:id="10007" w:name="_Toc19129466"/>
      <w:bookmarkStart w:id="10008" w:name="_Toc19130020"/>
      <w:bookmarkStart w:id="10009" w:name="_Toc19170953"/>
      <w:bookmarkStart w:id="10010" w:name="_Toc19180809"/>
      <w:r>
        <w:rPr>
          <w:rFonts w:hint="cs"/>
          <w:rtl/>
        </w:rPr>
        <w:t>דברי הגרעק"א דנטל"פ מותר בכלאים דאין דין טע"כ בטעם פגום בכל האיסורים וה"ה בכלאים</w:t>
      </w:r>
      <w:bookmarkEnd w:id="10007"/>
      <w:bookmarkEnd w:id="10008"/>
      <w:bookmarkEnd w:id="10009"/>
      <w:bookmarkEnd w:id="10010"/>
    </w:p>
    <w:p w:rsidR="0013006A" w:rsidRDefault="0013006A" w:rsidP="009F44AF">
      <w:pPr>
        <w:pStyle w:val="a"/>
        <w:rPr>
          <w:rtl/>
        </w:rPr>
      </w:pPr>
      <w:bookmarkStart w:id="10011" w:name="_Ref19693364"/>
      <w:r w:rsidRPr="009E64CD">
        <w:rPr>
          <w:rFonts w:hint="cs"/>
          <w:rtl/>
        </w:rPr>
        <w:t>כתב</w:t>
      </w:r>
      <w:r>
        <w:rPr>
          <w:rFonts w:hint="cs"/>
          <w:rtl/>
        </w:rPr>
        <w:t xml:space="preserve"> </w:t>
      </w:r>
      <w:r w:rsidRPr="00C62A60">
        <w:rPr>
          <w:rStyle w:val="af8"/>
          <w:rFonts w:hint="cs"/>
          <w:rtl/>
        </w:rPr>
        <w:t>הגרעק"א</w:t>
      </w:r>
      <w:r>
        <w:rPr>
          <w:rFonts w:hint="cs"/>
          <w:rtl/>
        </w:rPr>
        <w:t xml:space="preserve"> </w:t>
      </w:r>
      <w:r w:rsidRPr="00C62A60">
        <w:rPr>
          <w:rStyle w:val="af6"/>
          <w:rFonts w:eastAsia="Guttman Hodes" w:hint="cs"/>
          <w:rtl/>
        </w:rPr>
        <w:t>(בס</w:t>
      </w:r>
      <w:r>
        <w:rPr>
          <w:rStyle w:val="af6"/>
          <w:rFonts w:eastAsia="Guttman Hodes" w:hint="cs"/>
          <w:rtl/>
        </w:rPr>
        <w:t>'</w:t>
      </w:r>
      <w:r w:rsidRPr="00C62A60">
        <w:rPr>
          <w:rStyle w:val="af6"/>
          <w:rFonts w:eastAsia="Guttman Hodes" w:hint="cs"/>
          <w:rtl/>
        </w:rPr>
        <w:t xml:space="preserve"> זכרון וזאת ליהודה ע"ז סז. ד"ה ונ"ל דאפי'</w:t>
      </w:r>
      <w:r>
        <w:rPr>
          <w:rStyle w:val="af6"/>
          <w:rFonts w:eastAsia="Guttman Hodes" w:hint="cs"/>
          <w:rtl/>
        </w:rPr>
        <w:t xml:space="preserve">, הועתק בס' </w:t>
      </w:r>
      <w:r w:rsidRPr="009E64CD">
        <w:rPr>
          <w:rStyle w:val="af6"/>
          <w:rFonts w:eastAsia="Guttman Hodes" w:hint="cs"/>
          <w:rtl/>
        </w:rPr>
        <w:t>תורת רבינו</w:t>
      </w:r>
      <w:r>
        <w:rPr>
          <w:rStyle w:val="af6"/>
          <w:rFonts w:eastAsia="Guttman Hodes" w:hint="cs"/>
          <w:rtl/>
        </w:rPr>
        <w:t xml:space="preserve"> עקיבא איגר ע"ז סז.</w:t>
      </w:r>
      <w:r w:rsidRPr="009E64CD">
        <w:rPr>
          <w:rStyle w:val="af6"/>
          <w:rFonts w:eastAsia="Guttman Hodes" w:hint="cs"/>
          <w:rtl/>
        </w:rPr>
        <w:t>)</w:t>
      </w:r>
      <w:r w:rsidRPr="009E64CD">
        <w:rPr>
          <w:rFonts w:hint="cs"/>
          <w:rtl/>
        </w:rPr>
        <w:t xml:space="preserve"> </w:t>
      </w:r>
      <w:r>
        <w:rPr>
          <w:rFonts w:hint="cs"/>
          <w:rtl/>
        </w:rPr>
        <w:t xml:space="preserve">דנותן טעם לפגם מותר, אף בכלאים שחייב עליהם בשלא כדרך הנאתן, דהרי דין טעם כעיקר לא נאמר בכלאים, וכל מה דטעם כעיקר אסור בכלאים הוא כיון דילפינן כלאים משאר איסורים, וכיון דבשאר איסורים נותן טעם לפגם מותר, ה"ה בכלאים. [ועי' במ"ש כעי"ז </w:t>
      </w:r>
      <w:r>
        <w:rPr>
          <w:rStyle w:val="af8"/>
          <w:rFonts w:hint="cs"/>
          <w:rtl/>
        </w:rPr>
        <w:t>ה</w:t>
      </w:r>
      <w:r w:rsidRPr="00581BF7">
        <w:rPr>
          <w:rStyle w:val="af8"/>
          <w:rFonts w:hint="cs"/>
          <w:rtl/>
        </w:rPr>
        <w:t>מקור חיים</w:t>
      </w:r>
      <w:r>
        <w:rPr>
          <w:rFonts w:hint="cs"/>
          <w:rtl/>
        </w:rPr>
        <w:t xml:space="preserve"> </w:t>
      </w:r>
      <w:r w:rsidRPr="00307599">
        <w:rPr>
          <w:rStyle w:val="af6"/>
          <w:rFonts w:eastAsia="Guttman Hodes" w:hint="cs"/>
          <w:rtl/>
        </w:rPr>
        <w:t xml:space="preserve">(עי' אות </w:t>
      </w:r>
      <w:r w:rsidRPr="00307599">
        <w:rPr>
          <w:rStyle w:val="af6"/>
          <w:rFonts w:eastAsia="Guttman Hodes"/>
          <w:rtl/>
        </w:rPr>
        <w:fldChar w:fldCharType="begin"/>
      </w:r>
      <w:r w:rsidRPr="00307599">
        <w:rPr>
          <w:rStyle w:val="af6"/>
          <w:rFonts w:eastAsia="Guttman Hodes"/>
          <w:rtl/>
        </w:rPr>
        <w:instrText xml:space="preserve"> </w:instrText>
      </w:r>
      <w:r w:rsidRPr="00307599">
        <w:rPr>
          <w:rStyle w:val="af6"/>
          <w:rFonts w:eastAsia="Guttman Hodes" w:hint="cs"/>
        </w:rPr>
        <w:instrText>REF</w:instrText>
      </w:r>
      <w:r w:rsidRPr="00307599">
        <w:rPr>
          <w:rStyle w:val="af6"/>
          <w:rFonts w:eastAsia="Guttman Hodes" w:hint="cs"/>
          <w:rtl/>
        </w:rPr>
        <w:instrText xml:space="preserve"> _</w:instrText>
      </w:r>
      <w:r w:rsidRPr="00307599">
        <w:rPr>
          <w:rStyle w:val="af6"/>
          <w:rFonts w:eastAsia="Guttman Hodes" w:hint="cs"/>
        </w:rPr>
        <w:instrText>Ref19693312 \r \h</w:instrText>
      </w:r>
      <w:r w:rsidRPr="00307599">
        <w:rPr>
          <w:rStyle w:val="af6"/>
          <w:rFonts w:eastAsia="Guttman Hodes"/>
          <w:rtl/>
        </w:rPr>
        <w:instrText xml:space="preserve"> </w:instrText>
      </w:r>
      <w:r w:rsidRPr="00307599">
        <w:rPr>
          <w:rStyle w:val="af6"/>
          <w:rFonts w:eastAsia="Guttman Hodes"/>
          <w:rtl/>
        </w:rPr>
      </w:r>
      <w:r w:rsidRPr="00307599">
        <w:rPr>
          <w:rStyle w:val="af6"/>
          <w:rFonts w:eastAsia="Guttman Hodes"/>
          <w:rtl/>
        </w:rPr>
        <w:fldChar w:fldCharType="separate"/>
      </w:r>
      <w:r w:rsidR="004D1C5B">
        <w:rPr>
          <w:rStyle w:val="af6"/>
          <w:rFonts w:eastAsia="Guttman Hodes"/>
          <w:cs/>
        </w:rPr>
        <w:t>‎</w:t>
      </w:r>
      <w:r w:rsidR="004D1C5B">
        <w:rPr>
          <w:rStyle w:val="af6"/>
          <w:rFonts w:eastAsia="Guttman Hodes"/>
          <w:rtl/>
        </w:rPr>
        <w:t>סו)</w:t>
      </w:r>
      <w:r w:rsidRPr="00307599">
        <w:rPr>
          <w:rStyle w:val="af6"/>
          <w:rFonts w:eastAsia="Guttman Hodes"/>
          <w:rtl/>
        </w:rPr>
        <w:fldChar w:fldCharType="end"/>
      </w:r>
      <w:r>
        <w:rPr>
          <w:rFonts w:hint="cs"/>
          <w:rtl/>
        </w:rPr>
        <w:t>].</w:t>
      </w:r>
      <w:bookmarkEnd w:id="10011"/>
    </w:p>
    <w:p w:rsidR="0013006A" w:rsidRPr="00A37615" w:rsidRDefault="0013006A" w:rsidP="0013006A">
      <w:pPr>
        <w:pStyle w:val="a2"/>
        <w:rPr>
          <w:rtl/>
        </w:rPr>
      </w:pPr>
      <w:bookmarkStart w:id="10012" w:name="_Toc19129467"/>
      <w:bookmarkStart w:id="10013" w:name="_Toc19130021"/>
      <w:bookmarkStart w:id="10014" w:name="_Toc19170954"/>
      <w:bookmarkStart w:id="10015" w:name="_Toc19180810"/>
      <w:r>
        <w:rPr>
          <w:rFonts w:hint="cs"/>
          <w:rtl/>
        </w:rPr>
        <w:t>קושית הגרעק"א דבבב"ח מפורש דטע"כ אסור והרי בב"ח אסור אף בשלא כדרך הנאתן</w:t>
      </w:r>
      <w:bookmarkEnd w:id="10012"/>
      <w:bookmarkEnd w:id="10013"/>
      <w:bookmarkEnd w:id="10014"/>
      <w:bookmarkEnd w:id="10015"/>
    </w:p>
    <w:p w:rsidR="0013006A" w:rsidRDefault="0013006A" w:rsidP="009F44AF">
      <w:pPr>
        <w:pStyle w:val="a"/>
        <w:rPr>
          <w:rtl/>
        </w:rPr>
      </w:pPr>
      <w:r>
        <w:rPr>
          <w:rFonts w:hint="cs"/>
          <w:rtl/>
        </w:rPr>
        <w:t xml:space="preserve">אך הקשה </w:t>
      </w:r>
      <w:r w:rsidRPr="00C62A60">
        <w:rPr>
          <w:rStyle w:val="af8"/>
          <w:rFonts w:hint="cs"/>
          <w:rtl/>
        </w:rPr>
        <w:t>הגרעק"א</w:t>
      </w:r>
      <w:r>
        <w:rPr>
          <w:rFonts w:hint="cs"/>
          <w:rtl/>
        </w:rPr>
        <w:t xml:space="preserve"> דהא דבבשר בחלב מפורש האיסור של טעם כעיקר, דהא דרך בישול אסרה תורה, </w:t>
      </w:r>
      <w:r w:rsidRPr="00C62A60">
        <w:rPr>
          <w:rStyle w:val="afa"/>
          <w:rFonts w:hint="cs"/>
          <w:rtl/>
        </w:rPr>
        <w:t xml:space="preserve">[כדאיתא בחולין </w:t>
      </w:r>
      <w:r w:rsidRPr="00C62A60">
        <w:rPr>
          <w:rStyle w:val="aff6"/>
          <w:rFonts w:hint="cs"/>
          <w:rtl/>
        </w:rPr>
        <w:t>(קח.)</w:t>
      </w:r>
      <w:r w:rsidRPr="00C62A60">
        <w:rPr>
          <w:rStyle w:val="afa"/>
          <w:rFonts w:hint="cs"/>
          <w:rtl/>
        </w:rPr>
        <w:t>],</w:t>
      </w:r>
      <w:r>
        <w:rPr>
          <w:rFonts w:hint="cs"/>
          <w:rtl/>
        </w:rPr>
        <w:t xml:space="preserve"> וא"כ כיון דשלא כדרך הנאתן אסור בבשר בחלב, ה"ה שצריך לאסור בנותן טעם לפגם.</w:t>
      </w:r>
    </w:p>
    <w:p w:rsidR="0013006A" w:rsidRPr="00A37615" w:rsidRDefault="0013006A" w:rsidP="0013006A">
      <w:pPr>
        <w:pStyle w:val="a2"/>
        <w:rPr>
          <w:rtl/>
        </w:rPr>
      </w:pPr>
      <w:bookmarkStart w:id="10016" w:name="_Toc19129468"/>
      <w:bookmarkStart w:id="10017" w:name="_Toc19130022"/>
      <w:bookmarkStart w:id="10018" w:name="_Toc19170955"/>
      <w:bookmarkStart w:id="10019" w:name="_Toc19180811"/>
      <w:r>
        <w:rPr>
          <w:rFonts w:hint="cs"/>
          <w:rtl/>
        </w:rPr>
        <w:t>דברי הגרעק"א דבב"ח שנתן טעם בהיתר אוסרו מדין טע"כ בכל האיסורים ולכן נטל"פ מותר</w:t>
      </w:r>
      <w:bookmarkEnd w:id="10016"/>
      <w:bookmarkEnd w:id="10017"/>
      <w:bookmarkEnd w:id="10018"/>
      <w:bookmarkEnd w:id="10019"/>
    </w:p>
    <w:p w:rsidR="0013006A" w:rsidRDefault="0013006A" w:rsidP="009F44AF">
      <w:pPr>
        <w:pStyle w:val="a"/>
        <w:rPr>
          <w:rtl/>
        </w:rPr>
      </w:pPr>
      <w:r>
        <w:rPr>
          <w:rFonts w:hint="cs"/>
          <w:rtl/>
        </w:rPr>
        <w:t xml:space="preserve">ותירץ </w:t>
      </w:r>
      <w:r w:rsidRPr="00C62A60">
        <w:rPr>
          <w:rStyle w:val="af8"/>
          <w:rFonts w:hint="cs"/>
          <w:rtl/>
        </w:rPr>
        <w:t>הגרעק"א</w:t>
      </w:r>
      <w:r>
        <w:rPr>
          <w:rFonts w:hint="cs"/>
          <w:rtl/>
        </w:rPr>
        <w:t xml:space="preserve"> דכל מה שמפורש דין טעם כעיקר בבשר בחלב, הוא לענין שהבשר בחלב עצמו נאסר בדרך בישול, אך לא מפורש דבשר בחלב אוסר דבר אחר בדין טעם כעיקר, וביאר </w:t>
      </w:r>
      <w:r w:rsidRPr="00C62A60">
        <w:rPr>
          <w:rStyle w:val="af8"/>
          <w:rFonts w:hint="cs"/>
          <w:rtl/>
        </w:rPr>
        <w:t>הגרעק"א</w:t>
      </w:r>
      <w:r>
        <w:rPr>
          <w:rFonts w:hint="cs"/>
          <w:rtl/>
        </w:rPr>
        <w:t xml:space="preserve"> דאחר שנאסר הבשר בחלב</w:t>
      </w:r>
      <w:r w:rsidRPr="00B9259E">
        <w:rPr>
          <w:rFonts w:hint="cs"/>
          <w:rtl/>
        </w:rPr>
        <w:t xml:space="preserve"> </w:t>
      </w:r>
      <w:r>
        <w:rPr>
          <w:rFonts w:hint="cs"/>
          <w:rtl/>
        </w:rPr>
        <w:t xml:space="preserve">הוא ככל האיסורים, וא"א ללמוד את דינו מתחילת איסורו שנאסר בדרך בישול, כמו שלא ילפינן את כל האיסורים מבשר בחלב, אלא מוכח דהא דבשר בחלב אוסר דבר אחר בטעם כעיקר, הוא מדין טעם כעיקר בכל האיסורים, ולא מדין טעם כעיקר שנאמר בבשר בחלב, וכיון דבכל האיסורים נותן טעם לפגם מותר, ה"ה בבשר בחלב, ועי' במה שביאר </w:t>
      </w:r>
      <w:r w:rsidRPr="00767632">
        <w:rPr>
          <w:rStyle w:val="af8"/>
          <w:rFonts w:hint="cs"/>
          <w:rtl/>
        </w:rPr>
        <w:t>הגרעק"א</w:t>
      </w:r>
      <w:r>
        <w:rPr>
          <w:rFonts w:hint="cs"/>
          <w:rtl/>
        </w:rPr>
        <w:t xml:space="preserve"> </w:t>
      </w:r>
      <w:r w:rsidRPr="00767632">
        <w:rPr>
          <w:rStyle w:val="af6"/>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Ref19693212 \h</w:instrText>
      </w:r>
      <w:r>
        <w:rPr>
          <w:vertAlign w:val="superscript"/>
          <w:rtl/>
        </w:rPr>
        <w:instrText xml:space="preserve"> </w:instrText>
      </w:r>
      <w:r>
        <w:rPr>
          <w:vertAlign w:val="superscript"/>
          <w:rtl/>
        </w:rPr>
      </w:r>
      <w:r>
        <w:rPr>
          <w:vertAlign w:val="superscript"/>
          <w:rtl/>
        </w:rPr>
        <w:fldChar w:fldCharType="separate"/>
      </w:r>
      <w:r w:rsidR="004D1C5B">
        <w:rPr>
          <w:vertAlign w:val="superscript"/>
          <w:rtl/>
        </w:rPr>
        <w:t>43</w:t>
      </w:r>
      <w:r>
        <w:rPr>
          <w:vertAlign w:val="superscript"/>
          <w:rtl/>
        </w:rPr>
        <w:fldChar w:fldCharType="end"/>
      </w:r>
      <w:r w:rsidRPr="00767632">
        <w:rPr>
          <w:rStyle w:val="af6"/>
          <w:rFonts w:eastAsia="Guttman Hodes" w:hint="cs"/>
          <w:rtl/>
        </w:rPr>
        <w:t>)</w:t>
      </w:r>
      <w:r w:rsidRPr="00767632">
        <w:rPr>
          <w:rFonts w:hint="cs"/>
          <w:rtl/>
        </w:rPr>
        <w:t xml:space="preserve"> </w:t>
      </w:r>
      <w:r>
        <w:rPr>
          <w:rFonts w:hint="cs"/>
          <w:rtl/>
        </w:rPr>
        <w:t xml:space="preserve">בדברי </w:t>
      </w:r>
      <w:r w:rsidRPr="00767632">
        <w:rPr>
          <w:rStyle w:val="af8"/>
          <w:rFonts w:hint="cs"/>
          <w:rtl/>
        </w:rPr>
        <w:t>הרמב"ם</w:t>
      </w:r>
      <w:r>
        <w:rPr>
          <w:rFonts w:hint="cs"/>
          <w:rtl/>
        </w:rPr>
        <w:t>.</w:t>
      </w:r>
    </w:p>
    <w:p w:rsidR="0013006A" w:rsidRDefault="0013006A" w:rsidP="0013006A">
      <w:pPr>
        <w:pStyle w:val="1"/>
        <w:rPr>
          <w:rtl/>
        </w:rPr>
      </w:pPr>
      <w:r>
        <w:rPr>
          <w:rFonts w:hint="cs"/>
          <w:rtl/>
        </w:rPr>
        <w:t>דברי החזו"א דדבר מר שא"א להפרידו הוא כנבילה ומותר בב"ח</w:t>
      </w:r>
    </w:p>
    <w:p w:rsidR="0013006A" w:rsidRDefault="0013006A" w:rsidP="0013006A">
      <w:pPr>
        <w:pStyle w:val="a2"/>
      </w:pPr>
      <w:r>
        <w:rPr>
          <w:rFonts w:hint="cs"/>
          <w:rtl/>
        </w:rPr>
        <w:t>ביאור החזו"א ברמב"ם דרק דבר מר אסור בבשר בחלב אבל הסריח מותר דהוא כעפר</w:t>
      </w:r>
    </w:p>
    <w:p w:rsidR="00E03085" w:rsidRDefault="0013006A" w:rsidP="009F44AF">
      <w:pPr>
        <w:pStyle w:val="a"/>
        <w:rPr>
          <w:rFonts w:asciiTheme="minorHAnsi" w:hAnsiTheme="minorHAnsi"/>
          <w:rtl/>
        </w:rPr>
      </w:pPr>
      <w:r>
        <w:rPr>
          <w:rFonts w:asciiTheme="minorHAnsi" w:hAnsiTheme="minorHAnsi" w:hint="cs"/>
          <w:rtl/>
        </w:rPr>
        <w:lastRenderedPageBreak/>
        <w:t xml:space="preserve">כתב </w:t>
      </w:r>
      <w:r w:rsidRPr="005A7506">
        <w:rPr>
          <w:rStyle w:val="af8"/>
          <w:rFonts w:hint="cs"/>
          <w:rtl/>
        </w:rPr>
        <w:t>החזו"א</w:t>
      </w:r>
      <w:r>
        <w:rPr>
          <w:rFonts w:asciiTheme="minorHAnsi" w:hAnsiTheme="minorHAnsi" w:hint="cs"/>
          <w:rtl/>
        </w:rPr>
        <w:t xml:space="preserve"> </w:t>
      </w:r>
      <w:r w:rsidRPr="005A7506">
        <w:rPr>
          <w:rStyle w:val="af6"/>
          <w:rFonts w:eastAsia="Guttman Hodes" w:hint="cs"/>
          <w:rtl/>
        </w:rPr>
        <w:t>(או"ח סי' קט"ז סק"ג ד"ה לר"מ)</w:t>
      </w:r>
      <w:r>
        <w:rPr>
          <w:rFonts w:asciiTheme="minorHAnsi" w:hAnsiTheme="minorHAnsi" w:hint="cs"/>
          <w:rtl/>
        </w:rPr>
        <w:t xml:space="preserve"> דהא </w:t>
      </w:r>
      <w:r>
        <w:rPr>
          <w:rFonts w:hint="cs"/>
          <w:rtl/>
        </w:rPr>
        <w:t xml:space="preserve">דכתב </w:t>
      </w:r>
      <w:r w:rsidRPr="00054E71">
        <w:rPr>
          <w:rStyle w:val="af8"/>
          <w:rFonts w:hint="cs"/>
          <w:rtl/>
        </w:rPr>
        <w:t>הרמב"ם</w:t>
      </w:r>
      <w:r>
        <w:rPr>
          <w:rFonts w:hint="cs"/>
          <w:rtl/>
        </w:rPr>
        <w:t xml:space="preserve"> </w:t>
      </w:r>
      <w:r w:rsidRPr="00E96710">
        <w:rPr>
          <w:rStyle w:val="af6"/>
          <w:rFonts w:eastAsia="Guttman Hodes" w:hint="cs"/>
          <w:rtl/>
        </w:rPr>
        <w:t xml:space="preserve">(עי' אות </w:t>
      </w:r>
      <w:r w:rsidRPr="00E96710">
        <w:rPr>
          <w:rStyle w:val="af6"/>
          <w:rFonts w:eastAsia="Guttman Hodes"/>
          <w:rtl/>
        </w:rPr>
        <w:fldChar w:fldCharType="begin"/>
      </w:r>
      <w:r w:rsidRPr="00E96710">
        <w:rPr>
          <w:rStyle w:val="af6"/>
          <w:rFonts w:eastAsia="Guttman Hodes"/>
          <w:rtl/>
        </w:rPr>
        <w:instrText xml:space="preserve"> </w:instrText>
      </w:r>
      <w:r w:rsidRPr="00E96710">
        <w:rPr>
          <w:rStyle w:val="af6"/>
          <w:rFonts w:eastAsia="Guttman Hodes" w:hint="cs"/>
        </w:rPr>
        <w:instrText>REF</w:instrText>
      </w:r>
      <w:r w:rsidRPr="00E96710">
        <w:rPr>
          <w:rStyle w:val="af6"/>
          <w:rFonts w:eastAsia="Guttman Hodes" w:hint="cs"/>
          <w:rtl/>
        </w:rPr>
        <w:instrText xml:space="preserve"> _</w:instrText>
      </w:r>
      <w:r w:rsidRPr="00E96710">
        <w:rPr>
          <w:rStyle w:val="af6"/>
          <w:rFonts w:eastAsia="Guttman Hodes" w:hint="cs"/>
        </w:rPr>
        <w:instrText>Ref19034347 \r \h</w:instrText>
      </w:r>
      <w:r w:rsidRPr="00E96710">
        <w:rPr>
          <w:rStyle w:val="af6"/>
          <w:rFonts w:eastAsia="Guttman Hodes"/>
          <w:rtl/>
        </w:rPr>
        <w:instrText xml:space="preserve"> </w:instrText>
      </w:r>
      <w:r w:rsidRPr="00E96710">
        <w:rPr>
          <w:rStyle w:val="af6"/>
          <w:rFonts w:eastAsia="Guttman Hodes"/>
          <w:rtl/>
        </w:rPr>
      </w:r>
      <w:r w:rsidRPr="00E96710">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E96710">
        <w:rPr>
          <w:rStyle w:val="af6"/>
          <w:rFonts w:eastAsia="Guttman Hodes"/>
          <w:rtl/>
        </w:rPr>
        <w:fldChar w:fldCharType="end"/>
      </w:r>
      <w:r>
        <w:rPr>
          <w:rFonts w:hint="cs"/>
          <w:rtl/>
        </w:rPr>
        <w:t xml:space="preserve"> דאיסור אכילה שעירבו עם דבר מר או שהסריח פטור, ואילו בדין בשר בחלב וכלאי הכרם, כתב </w:t>
      </w:r>
      <w:r w:rsidRPr="00D409FE">
        <w:rPr>
          <w:rStyle w:val="af8"/>
          <w:rFonts w:hint="cs"/>
          <w:rtl/>
        </w:rPr>
        <w:t>הרמב"ם</w:t>
      </w:r>
      <w:r>
        <w:rPr>
          <w:rFonts w:hint="cs"/>
          <w:rtl/>
        </w:rPr>
        <w:t xml:space="preserve"> </w:t>
      </w:r>
      <w:r w:rsidRPr="005208C2">
        <w:rPr>
          <w:rStyle w:val="af6"/>
          <w:rFonts w:eastAsia="Guttman Hodes" w:hint="cs"/>
          <w:rtl/>
        </w:rPr>
        <w:t xml:space="preserve">(עי' אות </w:t>
      </w:r>
      <w:r w:rsidRPr="005208C2">
        <w:rPr>
          <w:rStyle w:val="af6"/>
          <w:rFonts w:eastAsia="Guttman Hodes"/>
          <w:rtl/>
        </w:rPr>
        <w:fldChar w:fldCharType="begin"/>
      </w:r>
      <w:r w:rsidRPr="005208C2">
        <w:rPr>
          <w:rStyle w:val="af6"/>
          <w:rFonts w:eastAsia="Guttman Hodes"/>
          <w:rtl/>
        </w:rPr>
        <w:instrText xml:space="preserve"> </w:instrText>
      </w:r>
      <w:r w:rsidRPr="005208C2">
        <w:rPr>
          <w:rStyle w:val="af6"/>
          <w:rFonts w:eastAsia="Guttman Hodes" w:hint="cs"/>
        </w:rPr>
        <w:instrText>REF</w:instrText>
      </w:r>
      <w:r w:rsidRPr="005208C2">
        <w:rPr>
          <w:rStyle w:val="af6"/>
          <w:rFonts w:eastAsia="Guttman Hodes" w:hint="cs"/>
          <w:rtl/>
        </w:rPr>
        <w:instrText xml:space="preserve"> _</w:instrText>
      </w:r>
      <w:r w:rsidRPr="005208C2">
        <w:rPr>
          <w:rStyle w:val="af6"/>
          <w:rFonts w:eastAsia="Guttman Hodes" w:hint="cs"/>
        </w:rPr>
        <w:instrText>Ref19034938 \r \h</w:instrText>
      </w:r>
      <w:r w:rsidRPr="005208C2">
        <w:rPr>
          <w:rStyle w:val="af6"/>
          <w:rFonts w:eastAsia="Guttman Hodes"/>
          <w:rtl/>
        </w:rPr>
        <w:instrText xml:space="preserve"> </w:instrText>
      </w:r>
      <w:r w:rsidRPr="005208C2">
        <w:rPr>
          <w:rStyle w:val="af6"/>
          <w:rFonts w:eastAsia="Guttman Hodes"/>
          <w:rtl/>
        </w:rPr>
      </w:r>
      <w:r w:rsidRPr="005208C2">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5208C2">
        <w:rPr>
          <w:rStyle w:val="af6"/>
          <w:rFonts w:eastAsia="Guttman Hodes"/>
          <w:rtl/>
        </w:rPr>
        <w:fldChar w:fldCharType="end"/>
      </w:r>
      <w:r>
        <w:rPr>
          <w:rFonts w:hint="cs"/>
          <w:rtl/>
        </w:rPr>
        <w:t xml:space="preserve"> דאסור אף אם עירב בהם דבר מר, ולא כתב </w:t>
      </w:r>
      <w:r w:rsidRPr="00054E71">
        <w:rPr>
          <w:rStyle w:val="af8"/>
          <w:rFonts w:hint="cs"/>
          <w:rtl/>
        </w:rPr>
        <w:t>הרמב"ם</w:t>
      </w:r>
      <w:r>
        <w:rPr>
          <w:rFonts w:hint="cs"/>
          <w:rtl/>
        </w:rPr>
        <w:t xml:space="preserve"> דאף אם אכלם לאחר שהסריח, [וכן דייקו </w:t>
      </w:r>
      <w:r w:rsidRPr="00544B79">
        <w:rPr>
          <w:rStyle w:val="af8"/>
          <w:rFonts w:hint="cs"/>
          <w:rtl/>
        </w:rPr>
        <w:t>החוו"ד</w:t>
      </w:r>
      <w:r>
        <w:rPr>
          <w:rFonts w:hint="cs"/>
          <w:rtl/>
        </w:rPr>
        <w:t xml:space="preserve"> </w:t>
      </w:r>
      <w:r w:rsidRPr="00A854C9">
        <w:rPr>
          <w:rStyle w:val="af6"/>
          <w:rFonts w:eastAsia="Guttman Hodes" w:hint="cs"/>
          <w:rtl/>
        </w:rPr>
        <w:t xml:space="preserve">(עי' אות </w:t>
      </w:r>
      <w:r w:rsidRPr="00A854C9">
        <w:rPr>
          <w:rStyle w:val="af6"/>
          <w:rFonts w:eastAsia="Guttman Hodes"/>
          <w:rtl/>
        </w:rPr>
        <w:fldChar w:fldCharType="begin"/>
      </w:r>
      <w:r w:rsidRPr="00A854C9">
        <w:rPr>
          <w:rStyle w:val="af6"/>
          <w:rFonts w:eastAsia="Guttman Hodes"/>
          <w:rtl/>
        </w:rPr>
        <w:instrText xml:space="preserve"> </w:instrText>
      </w:r>
      <w:r w:rsidRPr="00A854C9">
        <w:rPr>
          <w:rStyle w:val="af6"/>
          <w:rFonts w:eastAsia="Guttman Hodes" w:hint="cs"/>
        </w:rPr>
        <w:instrText>REF</w:instrText>
      </w:r>
      <w:r w:rsidRPr="00A854C9">
        <w:rPr>
          <w:rStyle w:val="af6"/>
          <w:rFonts w:eastAsia="Guttman Hodes" w:hint="cs"/>
          <w:rtl/>
        </w:rPr>
        <w:instrText xml:space="preserve"> _</w:instrText>
      </w:r>
      <w:r w:rsidRPr="00A854C9">
        <w:rPr>
          <w:rStyle w:val="af6"/>
          <w:rFonts w:eastAsia="Guttman Hodes" w:hint="cs"/>
        </w:rPr>
        <w:instrText>Ref18959902 \r \h</w:instrText>
      </w:r>
      <w:r w:rsidRPr="00A854C9">
        <w:rPr>
          <w:rStyle w:val="af6"/>
          <w:rFonts w:eastAsia="Guttman Hodes"/>
          <w:rtl/>
        </w:rPr>
        <w:instrText xml:space="preserve"> </w:instrText>
      </w:r>
      <w:r w:rsidRPr="00A854C9">
        <w:rPr>
          <w:rStyle w:val="af6"/>
          <w:rFonts w:eastAsia="Guttman Hodes"/>
          <w:rtl/>
        </w:rPr>
      </w:r>
      <w:r w:rsidRPr="00A854C9">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sidRPr="00A854C9">
        <w:rPr>
          <w:rStyle w:val="af6"/>
          <w:rFonts w:eastAsia="Guttman Hodes"/>
          <w:rtl/>
        </w:rPr>
        <w:fldChar w:fldCharType="end"/>
      </w:r>
      <w:r>
        <w:rPr>
          <w:rStyle w:val="af6"/>
          <w:rFonts w:eastAsia="Guttman Hodes" w:hint="cs"/>
          <w:rtl/>
        </w:rPr>
        <w:t xml:space="preserve"> </w:t>
      </w:r>
      <w:r w:rsidRPr="000729FE">
        <w:rPr>
          <w:rStyle w:val="af8"/>
          <w:rFonts w:hint="cs"/>
          <w:rtl/>
        </w:rPr>
        <w:t>הפרמ"ג</w:t>
      </w:r>
      <w:r>
        <w:rPr>
          <w:rFonts w:hint="cs"/>
          <w:rtl/>
        </w:rPr>
        <w:t xml:space="preserve"> </w:t>
      </w:r>
      <w:r w:rsidRPr="00C41297">
        <w:rPr>
          <w:rStyle w:val="af6"/>
          <w:rFonts w:eastAsia="Guttman Hodes" w:hint="cs"/>
          <w:rtl/>
        </w:rPr>
        <w:t xml:space="preserve">(עי' אות </w:t>
      </w:r>
      <w:r w:rsidRPr="00C41297">
        <w:rPr>
          <w:rStyle w:val="af6"/>
          <w:rFonts w:eastAsia="Guttman Hodes"/>
          <w:rtl/>
        </w:rPr>
        <w:fldChar w:fldCharType="begin"/>
      </w:r>
      <w:r w:rsidRPr="00C41297">
        <w:rPr>
          <w:rStyle w:val="af6"/>
          <w:rFonts w:eastAsia="Guttman Hodes"/>
          <w:rtl/>
        </w:rPr>
        <w:instrText xml:space="preserve"> </w:instrText>
      </w:r>
      <w:r w:rsidRPr="00C41297">
        <w:rPr>
          <w:rStyle w:val="af6"/>
          <w:rFonts w:eastAsia="Guttman Hodes" w:hint="cs"/>
        </w:rPr>
        <w:instrText>REF</w:instrText>
      </w:r>
      <w:r w:rsidRPr="00C41297">
        <w:rPr>
          <w:rStyle w:val="af6"/>
          <w:rFonts w:eastAsia="Guttman Hodes" w:hint="cs"/>
          <w:rtl/>
        </w:rPr>
        <w:instrText xml:space="preserve"> _</w:instrText>
      </w:r>
      <w:r w:rsidRPr="00C41297">
        <w:rPr>
          <w:rStyle w:val="af6"/>
          <w:rFonts w:eastAsia="Guttman Hodes" w:hint="cs"/>
        </w:rPr>
        <w:instrText>Ref19095425 \r \h</w:instrText>
      </w:r>
      <w:r w:rsidRPr="00C41297">
        <w:rPr>
          <w:rStyle w:val="af6"/>
          <w:rFonts w:eastAsia="Guttman Hodes"/>
          <w:rtl/>
        </w:rPr>
        <w:instrText xml:space="preserve"> </w:instrText>
      </w:r>
      <w:r w:rsidRPr="00C41297">
        <w:rPr>
          <w:rStyle w:val="af6"/>
          <w:rFonts w:eastAsia="Guttman Hodes"/>
          <w:rtl/>
        </w:rPr>
      </w:r>
      <w:r w:rsidRPr="00C41297">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C41297">
        <w:rPr>
          <w:rStyle w:val="af6"/>
          <w:rFonts w:eastAsia="Guttman Hodes"/>
          <w:rtl/>
        </w:rPr>
        <w:fldChar w:fldCharType="end"/>
      </w:r>
      <w:r>
        <w:rPr>
          <w:rFonts w:hint="cs"/>
          <w:rtl/>
        </w:rPr>
        <w:t xml:space="preserve">], </w:t>
      </w:r>
      <w:r>
        <w:rPr>
          <w:rFonts w:asciiTheme="minorHAnsi" w:hAnsiTheme="minorHAnsi" w:hint="cs"/>
          <w:rtl/>
        </w:rPr>
        <w:t>הוא כיון דההיתר בהסריח הוא כיון דהוא כעפר בעלמא, ובעפר בעלמא פטור אף בבשר בחלב וכלאי הכרם.</w:t>
      </w:r>
    </w:p>
    <w:p w:rsidR="0013006A" w:rsidRPr="005A7506" w:rsidRDefault="0013006A" w:rsidP="0013006A">
      <w:pPr>
        <w:pStyle w:val="a2"/>
      </w:pPr>
      <w:r>
        <w:rPr>
          <w:rFonts w:hint="cs"/>
          <w:rtl/>
        </w:rPr>
        <w:t>דברי החזו"א דדבר מר שא"א להפרידו מהאיסור חשיב כנבילה ומותר וכן נטל"פ מותר כנבילה</w:t>
      </w:r>
    </w:p>
    <w:p w:rsidR="0013006A" w:rsidRPr="001E7E45" w:rsidRDefault="0013006A" w:rsidP="009F44AF">
      <w:pPr>
        <w:pStyle w:val="a"/>
        <w:rPr>
          <w:rtl/>
        </w:rPr>
      </w:pPr>
      <w:r>
        <w:rPr>
          <w:rFonts w:hint="cs"/>
          <w:rtl/>
        </w:rPr>
        <w:t xml:space="preserve">אך כתב </w:t>
      </w:r>
      <w:r w:rsidRPr="001E7E45">
        <w:rPr>
          <w:rStyle w:val="af8"/>
          <w:rFonts w:hint="cs"/>
          <w:rtl/>
        </w:rPr>
        <w:t>החזו"א</w:t>
      </w:r>
      <w:r>
        <w:rPr>
          <w:rFonts w:hint="cs"/>
          <w:rtl/>
        </w:rPr>
        <w:t xml:space="preserve"> דכל הפטור בעירב דבר מר, הוא דוקא בכה"ג שאפשר להפריד את הדבר המר מהאוכל, אבל במקום שהדבר המר התחבר לגמרי לאיסור וא"א להפרידם, חשיב כהסריח ומותר אף בבשר בחלב, וכתב </w:t>
      </w:r>
      <w:r w:rsidRPr="001E7E45">
        <w:rPr>
          <w:rStyle w:val="af8"/>
          <w:rFonts w:hint="cs"/>
          <w:rtl/>
        </w:rPr>
        <w:t>החזו"א</w:t>
      </w:r>
      <w:r>
        <w:rPr>
          <w:rFonts w:hint="cs"/>
          <w:rtl/>
        </w:rPr>
        <w:t xml:space="preserve"> דבזה מיושבת קושית </w:t>
      </w:r>
      <w:r w:rsidRPr="001E7E45">
        <w:rPr>
          <w:rStyle w:val="af8"/>
          <w:rFonts w:hint="cs"/>
          <w:rtl/>
        </w:rPr>
        <w:t>המקור חיים</w:t>
      </w:r>
      <w:r>
        <w:rPr>
          <w:rFonts w:hint="cs"/>
          <w:rtl/>
        </w:rPr>
        <w:t xml:space="preserve"> </w:t>
      </w:r>
      <w:r w:rsidRPr="008F489E">
        <w:rPr>
          <w:rStyle w:val="af6"/>
          <w:rFonts w:eastAsia="Guttman Hodes" w:hint="cs"/>
          <w:rtl/>
        </w:rPr>
        <w:t xml:space="preserve">(עי' אות </w:t>
      </w:r>
      <w:r w:rsidRPr="008F489E">
        <w:rPr>
          <w:rStyle w:val="af6"/>
          <w:rFonts w:eastAsia="Guttman Hodes"/>
          <w:rtl/>
        </w:rPr>
        <w:fldChar w:fldCharType="begin"/>
      </w:r>
      <w:r w:rsidRPr="008F489E">
        <w:rPr>
          <w:rStyle w:val="af6"/>
          <w:rFonts w:eastAsia="Guttman Hodes"/>
          <w:rtl/>
        </w:rPr>
        <w:instrText xml:space="preserve"> </w:instrText>
      </w:r>
      <w:r w:rsidRPr="008F489E">
        <w:rPr>
          <w:rStyle w:val="af6"/>
          <w:rFonts w:eastAsia="Guttman Hodes" w:hint="cs"/>
        </w:rPr>
        <w:instrText>REF</w:instrText>
      </w:r>
      <w:r w:rsidRPr="008F489E">
        <w:rPr>
          <w:rStyle w:val="af6"/>
          <w:rFonts w:eastAsia="Guttman Hodes" w:hint="cs"/>
          <w:rtl/>
        </w:rPr>
        <w:instrText xml:space="preserve"> _</w:instrText>
      </w:r>
      <w:r w:rsidRPr="008F489E">
        <w:rPr>
          <w:rStyle w:val="af6"/>
          <w:rFonts w:eastAsia="Guttman Hodes" w:hint="cs"/>
        </w:rPr>
        <w:instrText>Ref19046006 \r \h</w:instrText>
      </w:r>
      <w:r w:rsidRPr="008F489E">
        <w:rPr>
          <w:rStyle w:val="af6"/>
          <w:rFonts w:eastAsia="Guttman Hodes"/>
          <w:rtl/>
        </w:rPr>
        <w:instrText xml:space="preserve"> </w:instrText>
      </w:r>
      <w:r w:rsidRPr="008F489E">
        <w:rPr>
          <w:rStyle w:val="af6"/>
          <w:rFonts w:eastAsia="Guttman Hodes"/>
          <w:rtl/>
        </w:rPr>
      </w:r>
      <w:r w:rsidRPr="008F489E">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8F489E">
        <w:rPr>
          <w:rStyle w:val="af6"/>
          <w:rFonts w:eastAsia="Guttman Hodes"/>
          <w:rtl/>
        </w:rPr>
        <w:fldChar w:fldCharType="end"/>
      </w:r>
      <w:r>
        <w:rPr>
          <w:rFonts w:hint="cs"/>
          <w:rtl/>
        </w:rPr>
        <w:t xml:space="preserve"> דאמאי נותן טעם לפגם מותר אף בבשר בחלב, דכיון דנותן טעם לפגם נלמד מנבילה, והיתר נבילה הוא אף בבשר בחלב.</w:t>
      </w:r>
    </w:p>
    <w:p w:rsidR="0013006A" w:rsidRDefault="0013006A" w:rsidP="0013006A">
      <w:pPr>
        <w:pStyle w:val="1"/>
        <w:rPr>
          <w:rtl/>
        </w:rPr>
      </w:pPr>
      <w:bookmarkStart w:id="10020" w:name="_Toc19129469"/>
      <w:bookmarkStart w:id="10021" w:name="_Toc19130023"/>
      <w:bookmarkStart w:id="10022" w:name="_Toc19170956"/>
      <w:bookmarkStart w:id="10023" w:name="_Toc19180812"/>
      <w:bookmarkStart w:id="10024" w:name="_Toc19082144"/>
      <w:bookmarkStart w:id="10025" w:name="_Toc18874357"/>
      <w:bookmarkStart w:id="10026" w:name="_Toc18946771"/>
      <w:bookmarkStart w:id="10027" w:name="_Toc19026233"/>
      <w:bookmarkStart w:id="10028" w:name="_Toc19029710"/>
      <w:bookmarkStart w:id="10029" w:name="_Toc19030094"/>
      <w:bookmarkStart w:id="10030" w:name="_Toc19082160"/>
      <w:bookmarkStart w:id="10031" w:name="_Toc15936057"/>
      <w:bookmarkStart w:id="10032" w:name="_Toc16116628"/>
      <w:bookmarkStart w:id="10033" w:name="_Toc16243788"/>
      <w:bookmarkStart w:id="10034" w:name="_Toc16679288"/>
      <w:bookmarkStart w:id="10035" w:name="_Toc16850493"/>
      <w:bookmarkStart w:id="10036" w:name="_Toc17624868"/>
      <w:bookmarkStart w:id="10037" w:name="_Toc17889818"/>
      <w:bookmarkStart w:id="10038" w:name="_Toc17975440"/>
      <w:bookmarkStart w:id="10039" w:name="_Toc17984127"/>
      <w:bookmarkStart w:id="10040" w:name="_Toc18228252"/>
      <w:bookmarkStart w:id="10041" w:name="_Toc18250783"/>
      <w:bookmarkStart w:id="10042" w:name="_Toc18266240"/>
      <w:bookmarkStart w:id="10043" w:name="_Toc18269151"/>
      <w:bookmarkStart w:id="10044" w:name="_Toc18513265"/>
      <w:bookmarkStart w:id="10045" w:name="_Toc17624873"/>
      <w:bookmarkStart w:id="10046" w:name="_Toc17889824"/>
      <w:bookmarkStart w:id="10047" w:name="_Toc17975446"/>
      <w:bookmarkStart w:id="10048" w:name="_Toc17984134"/>
      <w:bookmarkStart w:id="10049" w:name="_Toc18228259"/>
      <w:bookmarkStart w:id="10050" w:name="_Toc18250803"/>
      <w:bookmarkStart w:id="10051" w:name="_Toc18266260"/>
      <w:bookmarkStart w:id="10052" w:name="_Toc18269171"/>
      <w:bookmarkStart w:id="10053" w:name="_Toc18513274"/>
      <w:bookmarkStart w:id="10054" w:name="_Toc18874369"/>
      <w:bookmarkStart w:id="10055" w:name="_Toc18946783"/>
      <w:bookmarkStart w:id="10056" w:name="_Toc19026246"/>
      <w:bookmarkStart w:id="10057" w:name="_Toc19029723"/>
      <w:bookmarkStart w:id="10058" w:name="_Toc19030107"/>
      <w:bookmarkEnd w:id="9874"/>
      <w:bookmarkEnd w:id="9875"/>
      <w:bookmarkEnd w:id="9876"/>
      <w:bookmarkEnd w:id="9877"/>
      <w:bookmarkEnd w:id="9878"/>
      <w:bookmarkEnd w:id="9879"/>
      <w:bookmarkEnd w:id="9880"/>
      <w:bookmarkEnd w:id="10006"/>
      <w:r>
        <w:rPr>
          <w:rFonts w:hint="cs"/>
          <w:rtl/>
        </w:rPr>
        <w:t>ביאורי האחרונים בדין נטל"פ בבשר בחלב עצמם ולא בתערובת</w:t>
      </w:r>
      <w:bookmarkEnd w:id="10020"/>
      <w:bookmarkEnd w:id="10021"/>
      <w:bookmarkEnd w:id="10022"/>
      <w:bookmarkEnd w:id="10023"/>
    </w:p>
    <w:p w:rsidR="0013006A" w:rsidRPr="00A37615" w:rsidRDefault="0013006A" w:rsidP="0013006A">
      <w:pPr>
        <w:pStyle w:val="a2"/>
      </w:pPr>
      <w:bookmarkStart w:id="10059" w:name="_Toc19129470"/>
      <w:bookmarkStart w:id="10060" w:name="_Toc19130024"/>
      <w:bookmarkStart w:id="10061" w:name="_Toc19170957"/>
      <w:bookmarkStart w:id="10062" w:name="_Toc19180813"/>
      <w:r w:rsidRPr="00A37615">
        <w:rPr>
          <w:rFonts w:hint="cs"/>
          <w:rtl/>
        </w:rPr>
        <w:t>דברי ה</w:t>
      </w:r>
      <w:r w:rsidR="00250230">
        <w:rPr>
          <w:rFonts w:hint="cs"/>
          <w:rtl/>
        </w:rPr>
        <w:t>פלתי</w:t>
      </w:r>
      <w:r w:rsidRPr="00A37615">
        <w:rPr>
          <w:rFonts w:hint="cs"/>
          <w:rtl/>
        </w:rPr>
        <w:t xml:space="preserve"> דרק לאחר שהבשר בחלב נאסר הוא אוסר בנותן טעם לפגם</w:t>
      </w:r>
      <w:bookmarkEnd w:id="10024"/>
      <w:bookmarkEnd w:id="10059"/>
      <w:bookmarkEnd w:id="10060"/>
      <w:bookmarkEnd w:id="10061"/>
      <w:bookmarkEnd w:id="10062"/>
    </w:p>
    <w:p w:rsidR="0013006A" w:rsidRDefault="0013006A" w:rsidP="009F44AF">
      <w:pPr>
        <w:pStyle w:val="a"/>
        <w:rPr>
          <w:rtl/>
        </w:rPr>
      </w:pPr>
      <w:bookmarkStart w:id="10063" w:name="_Ref19118010"/>
      <w:r>
        <w:rPr>
          <w:rFonts w:hint="cs"/>
          <w:rtl/>
        </w:rPr>
        <w:t xml:space="preserve">כתב </w:t>
      </w:r>
      <w:r w:rsidRPr="00886F54">
        <w:rPr>
          <w:rStyle w:val="af8"/>
          <w:rFonts w:hint="cs"/>
          <w:rtl/>
        </w:rPr>
        <w:t>ה</w:t>
      </w:r>
      <w:r w:rsidR="00250230">
        <w:rPr>
          <w:rStyle w:val="af8"/>
          <w:rFonts w:hint="cs"/>
          <w:rtl/>
        </w:rPr>
        <w:t>פלתי</w:t>
      </w:r>
      <w:r w:rsidRPr="005920EB">
        <w:rPr>
          <w:rFonts w:hint="cs"/>
          <w:rtl/>
        </w:rPr>
        <w:t xml:space="preserve"> </w:t>
      </w:r>
      <w:r w:rsidRPr="005920EB">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פ</w:t>
      </w:r>
      <w:r>
        <w:rPr>
          <w:rStyle w:val="af6"/>
          <w:rFonts w:eastAsia="Guttman Hodes"/>
          <w:rtl/>
        </w:rPr>
        <w:t>"</w:t>
      </w:r>
      <w:r>
        <w:rPr>
          <w:rStyle w:val="af6"/>
          <w:rFonts w:eastAsia="Guttman Hodes" w:hint="cs"/>
          <w:rtl/>
        </w:rPr>
        <w:t>ז סקט</w:t>
      </w:r>
      <w:r>
        <w:rPr>
          <w:rStyle w:val="af6"/>
          <w:rFonts w:eastAsia="Guttman Hodes"/>
          <w:rtl/>
        </w:rPr>
        <w:t>"</w:t>
      </w:r>
      <w:r>
        <w:rPr>
          <w:rStyle w:val="af6"/>
          <w:rFonts w:eastAsia="Guttman Hodes" w:hint="cs"/>
          <w:rtl/>
        </w:rPr>
        <w:t>ו</w:t>
      </w:r>
      <w:r w:rsidRPr="005920EB">
        <w:rPr>
          <w:rStyle w:val="af6"/>
          <w:rFonts w:eastAsia="Guttman Hodes" w:hint="cs"/>
          <w:rtl/>
        </w:rPr>
        <w:t>)</w:t>
      </w:r>
      <w:r w:rsidRPr="005920EB">
        <w:rPr>
          <w:rFonts w:hint="cs"/>
          <w:rtl/>
        </w:rPr>
        <w:t xml:space="preserve"> </w:t>
      </w:r>
      <w:r>
        <w:rPr>
          <w:rFonts w:hint="cs"/>
          <w:rtl/>
        </w:rPr>
        <w:t xml:space="preserve">דכ"מ דמבואר </w:t>
      </w:r>
      <w:r w:rsidRPr="00DA2E25">
        <w:rPr>
          <w:rStyle w:val="af8"/>
          <w:rFonts w:hint="cs"/>
          <w:rtl/>
        </w:rPr>
        <w:t>ברמב"ם</w:t>
      </w:r>
      <w:r>
        <w:rPr>
          <w:rFonts w:hint="cs"/>
          <w:rtl/>
        </w:rPr>
        <w:t xml:space="preserve"> </w:t>
      </w:r>
      <w:r w:rsidRPr="00DA2E25">
        <w:rPr>
          <w:rStyle w:val="af6"/>
          <w:rFonts w:eastAsia="Guttman Hodes" w:hint="cs"/>
          <w:rtl/>
        </w:rPr>
        <w:t xml:space="preserve">(עי' אות </w:t>
      </w:r>
      <w:r w:rsidRPr="00DA2E25">
        <w:rPr>
          <w:rStyle w:val="af6"/>
          <w:rFonts w:eastAsia="Guttman Hodes"/>
          <w:rtl/>
        </w:rPr>
        <w:fldChar w:fldCharType="begin"/>
      </w:r>
      <w:r w:rsidRPr="00DA2E25">
        <w:rPr>
          <w:rStyle w:val="af6"/>
          <w:rFonts w:eastAsia="Guttman Hodes"/>
          <w:rtl/>
        </w:rPr>
        <w:instrText xml:space="preserve"> </w:instrText>
      </w:r>
      <w:r w:rsidRPr="00DA2E25">
        <w:rPr>
          <w:rStyle w:val="af6"/>
          <w:rFonts w:eastAsia="Guttman Hodes" w:hint="cs"/>
        </w:rPr>
        <w:instrText>REF</w:instrText>
      </w:r>
      <w:r w:rsidRPr="00DA2E25">
        <w:rPr>
          <w:rStyle w:val="af6"/>
          <w:rFonts w:eastAsia="Guttman Hodes" w:hint="cs"/>
          <w:rtl/>
        </w:rPr>
        <w:instrText xml:space="preserve"> _</w:instrText>
      </w:r>
      <w:r w:rsidRPr="00DA2E25">
        <w:rPr>
          <w:rStyle w:val="af6"/>
          <w:rFonts w:eastAsia="Guttman Hodes" w:hint="cs"/>
        </w:rPr>
        <w:instrText>Ref19043108 \r \h</w:instrText>
      </w:r>
      <w:r w:rsidRPr="00DA2E25">
        <w:rPr>
          <w:rStyle w:val="af6"/>
          <w:rFonts w:eastAsia="Guttman Hodes"/>
          <w:rtl/>
        </w:rPr>
        <w:instrText xml:space="preserve"> </w:instrText>
      </w:r>
      <w:r w:rsidRPr="00DA2E25">
        <w:rPr>
          <w:rStyle w:val="af6"/>
          <w:rFonts w:eastAsia="Guttman Hodes"/>
          <w:rtl/>
        </w:rPr>
      </w:r>
      <w:r w:rsidRPr="00DA2E25">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DA2E25">
        <w:rPr>
          <w:rStyle w:val="af6"/>
          <w:rFonts w:eastAsia="Guttman Hodes"/>
          <w:rtl/>
        </w:rPr>
        <w:fldChar w:fldCharType="end"/>
      </w:r>
      <w:r>
        <w:rPr>
          <w:rFonts w:hint="cs"/>
          <w:rtl/>
        </w:rPr>
        <w:t xml:space="preserve"> דבשר בחלב אסור אף בנותן טעם לפגם, זהו דוקא בדבר שכבר נאסר באיסור בשר בחלב, ואח"כ נפגם דאינו מותר, אף בדבר הפוגם </w:t>
      </w:r>
      <w:r>
        <w:rPr>
          <w:rFonts w:hint="cs"/>
          <w:rtl/>
        </w:rPr>
        <w:t>ביותר, אבל אם נפל לתוך חלב בשר יחד עם דבר מר שפוגם, לא נאסר מדין בשר בחלב כלל, דהא בתערובת אסרה תורה רק דבר שנותן טעם לשבח ולא דבר שפוגם, ורק מקום שקיבל החלב טעם בשר לשבח ונאסר, הוא אסור אף אם נפגם אח"כ, דאיסורו הוא אף בשלא כדרך הנאתו.</w:t>
      </w:r>
      <w:bookmarkEnd w:id="10063"/>
    </w:p>
    <w:p w:rsidR="0013006A" w:rsidRPr="00A37615" w:rsidRDefault="0013006A" w:rsidP="0013006A">
      <w:pPr>
        <w:pStyle w:val="a2"/>
        <w:rPr>
          <w:rtl/>
        </w:rPr>
      </w:pPr>
      <w:bookmarkStart w:id="10064" w:name="_Toc19082146"/>
      <w:bookmarkStart w:id="10065" w:name="_Toc19129471"/>
      <w:bookmarkStart w:id="10066" w:name="_Toc19130025"/>
      <w:bookmarkStart w:id="10067" w:name="_Toc19170958"/>
      <w:bookmarkStart w:id="10068" w:name="_Toc19180814"/>
      <w:r>
        <w:rPr>
          <w:rFonts w:hint="cs"/>
          <w:rtl/>
        </w:rPr>
        <w:t>דברי הפרמ"ג דחיוב בב"ח בעירב דבר מר הוא רק אחר שנאסרו ולא בתחילת הבישול</w:t>
      </w:r>
      <w:bookmarkEnd w:id="10064"/>
      <w:bookmarkEnd w:id="10065"/>
      <w:bookmarkEnd w:id="10066"/>
      <w:bookmarkEnd w:id="10067"/>
      <w:bookmarkEnd w:id="10068"/>
    </w:p>
    <w:p w:rsidR="0013006A" w:rsidRDefault="0013006A" w:rsidP="009F44AF">
      <w:pPr>
        <w:pStyle w:val="a"/>
        <w:rPr>
          <w:rtl/>
        </w:rPr>
      </w:pPr>
      <w:r>
        <w:rPr>
          <w:rFonts w:hint="cs"/>
          <w:rtl/>
        </w:rPr>
        <w:t xml:space="preserve">וכ"כ </w:t>
      </w:r>
      <w:r w:rsidRPr="00886F54">
        <w:rPr>
          <w:rStyle w:val="af8"/>
          <w:rFonts w:hint="cs"/>
          <w:rtl/>
        </w:rPr>
        <w:t>הפרמ"ג</w:t>
      </w:r>
      <w:r>
        <w:rPr>
          <w:rFonts w:hint="cs"/>
          <w:rtl/>
        </w:rPr>
        <w:t xml:space="preserve"> </w:t>
      </w:r>
      <w:r w:rsidRPr="00886F54">
        <w:rPr>
          <w:rStyle w:val="af6"/>
          <w:rFonts w:eastAsia="Guttman Hodes" w:hint="cs"/>
          <w:rtl/>
        </w:rPr>
        <w:t>(סוף פתיחה להל' בשר בחלב ד"ה ודע)</w:t>
      </w:r>
      <w:r>
        <w:rPr>
          <w:rFonts w:hint="cs"/>
          <w:rtl/>
        </w:rPr>
        <w:t xml:space="preserve"> דכ"מ דכתב </w:t>
      </w:r>
      <w:r w:rsidRPr="00886F54">
        <w:rPr>
          <w:rStyle w:val="af8"/>
          <w:rFonts w:hint="cs"/>
          <w:rtl/>
        </w:rPr>
        <w:t>הרמב"ם</w:t>
      </w:r>
      <w:r>
        <w:rPr>
          <w:rFonts w:hint="cs"/>
          <w:rtl/>
        </w:rPr>
        <w:t xml:space="preserve"> </w:t>
      </w:r>
      <w:r w:rsidRPr="008F36BC">
        <w:rPr>
          <w:rStyle w:val="af6"/>
          <w:rFonts w:eastAsia="Guttman Hodes" w:hint="cs"/>
          <w:rtl/>
        </w:rPr>
        <w:t xml:space="preserve">(עי' אות </w:t>
      </w:r>
      <w:r w:rsidRPr="008F36BC">
        <w:rPr>
          <w:rStyle w:val="af6"/>
          <w:rFonts w:eastAsia="Guttman Hodes"/>
          <w:rtl/>
        </w:rPr>
        <w:fldChar w:fldCharType="begin"/>
      </w:r>
      <w:r w:rsidRPr="008F36BC">
        <w:rPr>
          <w:rStyle w:val="af6"/>
          <w:rFonts w:eastAsia="Guttman Hodes"/>
          <w:rtl/>
        </w:rPr>
        <w:instrText xml:space="preserve"> </w:instrText>
      </w:r>
      <w:r w:rsidRPr="008F36BC">
        <w:rPr>
          <w:rStyle w:val="af6"/>
          <w:rFonts w:eastAsia="Guttman Hodes" w:hint="cs"/>
        </w:rPr>
        <w:instrText>REF</w:instrText>
      </w:r>
      <w:r w:rsidRPr="008F36BC">
        <w:rPr>
          <w:rStyle w:val="af6"/>
          <w:rFonts w:eastAsia="Guttman Hodes" w:hint="cs"/>
          <w:rtl/>
        </w:rPr>
        <w:instrText xml:space="preserve"> _</w:instrText>
      </w:r>
      <w:r w:rsidRPr="008F36BC">
        <w:rPr>
          <w:rStyle w:val="af6"/>
          <w:rFonts w:eastAsia="Guttman Hodes" w:hint="cs"/>
        </w:rPr>
        <w:instrText>Ref19034938 \r \h</w:instrText>
      </w:r>
      <w:r w:rsidRPr="008F36BC">
        <w:rPr>
          <w:rStyle w:val="af6"/>
          <w:rFonts w:eastAsia="Guttman Hodes"/>
          <w:rtl/>
        </w:rPr>
        <w:instrText xml:space="preserve"> </w:instrText>
      </w:r>
      <w:r w:rsidRPr="008F36BC">
        <w:rPr>
          <w:rStyle w:val="af6"/>
          <w:rFonts w:eastAsia="Guttman Hodes"/>
          <w:rtl/>
        </w:rPr>
      </w:r>
      <w:r w:rsidRPr="008F36BC">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8F36BC">
        <w:rPr>
          <w:rStyle w:val="af6"/>
          <w:rFonts w:eastAsia="Guttman Hodes"/>
          <w:rtl/>
        </w:rPr>
        <w:fldChar w:fldCharType="end"/>
      </w:r>
      <w:r w:rsidRPr="008F36BC">
        <w:rPr>
          <w:rStyle w:val="af6"/>
          <w:rFonts w:eastAsia="Guttman Hodes" w:hint="cs"/>
          <w:rtl/>
        </w:rPr>
        <w:t xml:space="preserve"> </w:t>
      </w:r>
      <w:r>
        <w:rPr>
          <w:rFonts w:hint="cs"/>
          <w:rtl/>
        </w:rPr>
        <w:t>דחייב בבשר בחלב אף כשעירב בהם דבר מר, זהו רק אם בישלן תחילה ונאסרו ואח"כ נפגמו, אבל אם בתחילת הבישול עירב בהם דבר מר או בשר שאינו ראוי לגר, לא נאסרו כלל, דהא דרך בישול אסרה תורה, ואינם נאסרים אם לא קיבלו טעם משובח.</w:t>
      </w:r>
    </w:p>
    <w:p w:rsidR="0013006A" w:rsidRDefault="0013006A" w:rsidP="0013006A">
      <w:pPr>
        <w:pStyle w:val="a2"/>
        <w:rPr>
          <w:rtl/>
        </w:rPr>
      </w:pPr>
      <w:bookmarkStart w:id="10069" w:name="_Toc19129472"/>
      <w:bookmarkStart w:id="10070" w:name="_Toc19130026"/>
      <w:bookmarkStart w:id="10071" w:name="_Toc19170959"/>
      <w:bookmarkStart w:id="10072" w:name="_Toc19180815"/>
      <w:r>
        <w:rPr>
          <w:rFonts w:hint="cs"/>
          <w:rtl/>
        </w:rPr>
        <w:t>דברי הגרעק"א והחזו"א דבשר פגום שהתערב בחלב אינו נאסר מדין בשר בחלב</w:t>
      </w:r>
      <w:bookmarkEnd w:id="10069"/>
      <w:bookmarkEnd w:id="10070"/>
      <w:bookmarkEnd w:id="10071"/>
      <w:bookmarkEnd w:id="10072"/>
    </w:p>
    <w:p w:rsidR="0013006A" w:rsidRPr="0012490D" w:rsidRDefault="0013006A" w:rsidP="009F44AF">
      <w:pPr>
        <w:pStyle w:val="a"/>
        <w:rPr>
          <w:rtl/>
        </w:rPr>
      </w:pPr>
      <w:r w:rsidRPr="0012490D">
        <w:rPr>
          <w:rtl/>
        </w:rPr>
        <w:t>וע"ע בדברי</w:t>
      </w:r>
      <w:r w:rsidRPr="0012490D">
        <w:rPr>
          <w:b/>
          <w:bCs/>
          <w:rtl/>
        </w:rPr>
        <w:t xml:space="preserve"> הגרעק"א </w:t>
      </w:r>
      <w:r w:rsidRPr="00B91381">
        <w:rPr>
          <w:rStyle w:val="af6"/>
          <w:rFonts w:eastAsia="Guttman Rashi"/>
          <w:rtl/>
        </w:rPr>
        <w:t xml:space="preserve">(סי' צ"ד </w:t>
      </w:r>
      <w:r>
        <w:rPr>
          <w:rStyle w:val="af6"/>
          <w:rFonts w:eastAsia="Guttman Rashi" w:hint="cs"/>
          <w:rtl/>
        </w:rPr>
        <w:t>בהג' על הפרמ"ג שפ"ד סק"ה, נד' רק במהדו' צורת הדף ופרידמן</w:t>
      </w:r>
      <w:r w:rsidRPr="00B91381">
        <w:rPr>
          <w:rStyle w:val="af6"/>
          <w:rFonts w:eastAsia="Guttman Rashi"/>
          <w:rtl/>
        </w:rPr>
        <w:t>)</w:t>
      </w:r>
      <w:r w:rsidRPr="0012490D">
        <w:rPr>
          <w:rtl/>
        </w:rPr>
        <w:t xml:space="preserve"> דכתב דאפש"ל דבבשר בחלב </w:t>
      </w:r>
      <w:r>
        <w:rPr>
          <w:rFonts w:hint="cs"/>
          <w:rtl/>
        </w:rPr>
        <w:t xml:space="preserve">עצמו, </w:t>
      </w:r>
      <w:r w:rsidRPr="0012490D">
        <w:rPr>
          <w:rtl/>
        </w:rPr>
        <w:t xml:space="preserve">לא שייך נותן טעם לפגם, </w:t>
      </w:r>
      <w:r w:rsidRPr="00A81FBB">
        <w:rPr>
          <w:rStyle w:val="afa"/>
          <w:rFonts w:hint="cs"/>
          <w:rtl/>
        </w:rPr>
        <w:t>[כשהבשר שהתבשל בחלב היה פגום],</w:t>
      </w:r>
      <w:r>
        <w:rPr>
          <w:rFonts w:hint="cs"/>
          <w:rtl/>
        </w:rPr>
        <w:t xml:space="preserve"> </w:t>
      </w:r>
      <w:r w:rsidRPr="0012490D">
        <w:rPr>
          <w:rtl/>
        </w:rPr>
        <w:t>דהא האיסור של בשר בחלב הוא רק ע"י נתינת טעם</w:t>
      </w:r>
      <w:r w:rsidRPr="00B91381">
        <w:rPr>
          <w:rStyle w:val="afa"/>
          <w:rtl/>
        </w:rPr>
        <w:t xml:space="preserve">, [דהא דרך בישול אסרה תורה, כדאיתא בחולין </w:t>
      </w:r>
      <w:r w:rsidRPr="00B91381">
        <w:rPr>
          <w:rStyle w:val="aff6"/>
          <w:rtl/>
        </w:rPr>
        <w:t>(קח.)</w:t>
      </w:r>
      <w:r w:rsidRPr="00B91381">
        <w:rPr>
          <w:rStyle w:val="afa"/>
          <w:rtl/>
        </w:rPr>
        <w:t>],</w:t>
      </w:r>
      <w:r w:rsidRPr="0012490D">
        <w:rPr>
          <w:rtl/>
        </w:rPr>
        <w:t xml:space="preserve"> וא"כ כיון דטעם פגום אינו נקרא טעם, חשיב התערובת של בשר בחלב, כתערובת של יבש ביבש דאינו נעשה בשר בחלב</w:t>
      </w:r>
      <w:r w:rsidRPr="0012490D">
        <w:rPr>
          <w:rFonts w:hint="cs"/>
          <w:rtl/>
        </w:rPr>
        <w:t xml:space="preserve">, וכעין סברא זו כתב </w:t>
      </w:r>
      <w:r w:rsidRPr="0012490D">
        <w:rPr>
          <w:rFonts w:hint="cs"/>
          <w:b/>
          <w:bCs/>
          <w:rtl/>
        </w:rPr>
        <w:t>החזו"א</w:t>
      </w:r>
      <w:r w:rsidRPr="0012490D">
        <w:rPr>
          <w:rFonts w:hint="cs"/>
          <w:rtl/>
        </w:rPr>
        <w:t xml:space="preserve"> </w:t>
      </w:r>
      <w:r w:rsidRPr="00B91381">
        <w:rPr>
          <w:rStyle w:val="af6"/>
          <w:rFonts w:eastAsia="Guttman Rashi" w:hint="cs"/>
          <w:rtl/>
        </w:rPr>
        <w:t>(או"ח סי' קט"ז ד' ד"ה ונראה דהואיל)</w:t>
      </w:r>
      <w:r w:rsidRPr="0012490D">
        <w:rPr>
          <w:rFonts w:hint="cs"/>
          <w:rtl/>
        </w:rPr>
        <w:t xml:space="preserve"> דכיון דבשר בחלב הוא היתר, וצריך לחול עליו שם איסור, א"כ כל שהבשר עצמו אינו נחשב לבשר כיון שאינו ראוי לגר, אף הטעם שלו אין לו שם בשר, ולא חל עליו האיסור</w:t>
      </w:r>
      <w:r w:rsidRPr="0012490D">
        <w:rPr>
          <w:rtl/>
        </w:rPr>
        <w:t>.</w:t>
      </w:r>
    </w:p>
    <w:p w:rsidR="0013006A" w:rsidRPr="00832B7A" w:rsidRDefault="0013006A" w:rsidP="0013006A">
      <w:pPr>
        <w:pStyle w:val="a2"/>
        <w:rPr>
          <w:rtl/>
        </w:rPr>
        <w:sectPr w:rsidR="0013006A" w:rsidRPr="00832B7A" w:rsidSect="005049E2">
          <w:footerReference w:type="default" r:id="rId77"/>
          <w:type w:val="continuous"/>
          <w:pgSz w:w="11906" w:h="16838"/>
          <w:pgMar w:top="720" w:right="720" w:bottom="720" w:left="720" w:header="283" w:footer="283" w:gutter="0"/>
          <w:cols w:num="2" w:space="567"/>
          <w:titlePg/>
          <w:bidi/>
          <w:rtlGutter/>
          <w:docGrid w:linePitch="299"/>
        </w:sectPr>
      </w:pPr>
      <w:bookmarkStart w:id="10073" w:name="_Toc18513279"/>
      <w:bookmarkStart w:id="10074" w:name="_Toc18874382"/>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p>
    <w:p w:rsidR="0013006A" w:rsidRDefault="0013006A" w:rsidP="0013006A">
      <w:pPr>
        <w:tabs>
          <w:tab w:val="left" w:pos="1163"/>
        </w:tabs>
        <w:spacing w:after="120" w:line="240" w:lineRule="auto"/>
        <w:ind w:left="0"/>
        <w:rPr>
          <w:rFonts w:ascii="Guttman Hodes" w:eastAsia="Guttman Hodes" w:hAnsi="Guttman Hodes" w:cs="Guttman Hodes"/>
          <w:noProof/>
          <w:sz w:val="18"/>
          <w:szCs w:val="18"/>
        </w:rPr>
        <w:sectPr w:rsidR="0013006A" w:rsidSect="0013006A">
          <w:type w:val="continuous"/>
          <w:pgSz w:w="11906" w:h="16838"/>
          <w:pgMar w:top="720" w:right="720" w:bottom="720" w:left="720" w:header="283" w:footer="283" w:gutter="0"/>
          <w:cols w:space="567"/>
          <w:bidi/>
          <w:rtlGutter/>
          <w:docGrid w:linePitch="299"/>
        </w:sectPr>
      </w:pPr>
    </w:p>
    <w:p w:rsidR="0013006A" w:rsidRPr="00D47CE7" w:rsidRDefault="00651E3B" w:rsidP="0013006A">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1" type="#_x0000_t75" style="width:404.55pt;height:6.8pt" o:hrpct="0" o:hralign="center" o:hr="t">
            <v:imagedata r:id="rId48" o:title="BD14845_"/>
          </v:shape>
        </w:pict>
      </w:r>
      <w:r w:rsidR="0013006A" w:rsidRPr="00D47CE7">
        <w:rPr>
          <w:rFonts w:ascii="Guttman Hodes" w:eastAsia="Guttman Hodes" w:hAnsi="Guttman Hodes" w:cs="Guttman Hodes" w:hint="cs"/>
          <w:noProof/>
          <w:sz w:val="18"/>
          <w:szCs w:val="18"/>
          <w:rtl/>
        </w:rPr>
        <w:t xml:space="preserve"> </w:t>
      </w:r>
    </w:p>
    <w:p w:rsidR="0013006A" w:rsidRPr="0081356D" w:rsidRDefault="0013006A" w:rsidP="00E669F8">
      <w:pPr>
        <w:pStyle w:val="afd"/>
        <w:rPr>
          <w:rtl/>
        </w:rPr>
        <w:sectPr w:rsidR="0013006A" w:rsidRPr="0081356D" w:rsidSect="0013006A">
          <w:pgSz w:w="11906" w:h="16838"/>
          <w:pgMar w:top="720" w:right="720" w:bottom="720" w:left="720" w:header="283" w:footer="283" w:gutter="0"/>
          <w:cols w:space="567"/>
          <w:bidi/>
          <w:rtlGutter/>
          <w:docGrid w:linePitch="299"/>
        </w:sectPr>
      </w:pPr>
      <w:bookmarkStart w:id="10075" w:name="_Toc18946799"/>
      <w:bookmarkStart w:id="10076" w:name="_Toc19026262"/>
      <w:bookmarkStart w:id="10077" w:name="_Toc19029739"/>
      <w:bookmarkStart w:id="10078" w:name="_Toc19030123"/>
      <w:bookmarkStart w:id="10079" w:name="_Toc19082184"/>
      <w:bookmarkStart w:id="10080" w:name="_Toc19129522"/>
      <w:bookmarkStart w:id="10081" w:name="_Toc19130078"/>
      <w:bookmarkStart w:id="10082" w:name="_Toc19171031"/>
      <w:bookmarkStart w:id="10083" w:name="_Toc19180887"/>
      <w:r w:rsidRPr="0081356D">
        <w:rPr>
          <w:rFonts w:hint="cs"/>
          <w:rtl/>
        </w:rPr>
        <w:t>ביאורי ראשי הישיבות</w:t>
      </w:r>
      <w:bookmarkEnd w:id="10075"/>
      <w:bookmarkEnd w:id="10076"/>
      <w:bookmarkEnd w:id="10077"/>
      <w:bookmarkEnd w:id="10078"/>
      <w:bookmarkEnd w:id="10079"/>
      <w:bookmarkEnd w:id="10080"/>
      <w:bookmarkEnd w:id="10081"/>
      <w:bookmarkEnd w:id="10082"/>
      <w:bookmarkEnd w:id="10083"/>
      <w:r w:rsidRPr="0081356D">
        <w:rPr>
          <w:rFonts w:hint="cs"/>
          <w:rtl/>
        </w:rPr>
        <w:t xml:space="preserve"> </w:t>
      </w:r>
    </w:p>
    <w:p w:rsidR="0013006A" w:rsidRPr="0081356D" w:rsidRDefault="0013006A" w:rsidP="00E669F8">
      <w:pPr>
        <w:pStyle w:val="afd"/>
        <w:rPr>
          <w:rtl/>
        </w:rPr>
      </w:pPr>
      <w:bookmarkStart w:id="10084" w:name="_Toc19029740"/>
      <w:bookmarkStart w:id="10085" w:name="_Toc19030124"/>
      <w:bookmarkStart w:id="10086" w:name="_Toc19082185"/>
      <w:bookmarkStart w:id="10087" w:name="_Toc19129523"/>
      <w:bookmarkStart w:id="10088" w:name="_Toc19130079"/>
      <w:bookmarkStart w:id="10089" w:name="_Toc19171032"/>
      <w:bookmarkStart w:id="10090" w:name="_Toc19180888"/>
      <w:bookmarkStart w:id="10091" w:name="_Toc18946800"/>
      <w:bookmarkStart w:id="10092" w:name="_Toc19026263"/>
      <w:r w:rsidRPr="0081356D">
        <w:rPr>
          <w:rFonts w:hint="cs"/>
          <w:rtl/>
        </w:rPr>
        <w:t>חקירת הגר"ח בגדר אינו ראוי לגר</w:t>
      </w:r>
      <w:bookmarkEnd w:id="10084"/>
      <w:bookmarkEnd w:id="10085"/>
      <w:bookmarkEnd w:id="10086"/>
      <w:bookmarkEnd w:id="10087"/>
      <w:bookmarkEnd w:id="10088"/>
      <w:bookmarkEnd w:id="10089"/>
      <w:bookmarkEnd w:id="10090"/>
    </w:p>
    <w:p w:rsidR="0013006A" w:rsidRPr="006B2B80" w:rsidRDefault="0013006A" w:rsidP="0013006A">
      <w:pPr>
        <w:pStyle w:val="1"/>
        <w:rPr>
          <w:rtl/>
        </w:rPr>
      </w:pPr>
      <w:bookmarkStart w:id="10093" w:name="_Toc19029741"/>
      <w:bookmarkStart w:id="10094" w:name="_Toc19030125"/>
      <w:bookmarkStart w:id="10095" w:name="_Toc19082186"/>
      <w:bookmarkStart w:id="10096" w:name="_Toc19129524"/>
      <w:bookmarkStart w:id="10097" w:name="_Toc19130080"/>
      <w:bookmarkStart w:id="10098" w:name="_Toc19171033"/>
      <w:bookmarkStart w:id="10099" w:name="_Toc19180889"/>
      <w:r w:rsidRPr="006B2B80">
        <w:rPr>
          <w:rFonts w:hint="cs"/>
          <w:rtl/>
        </w:rPr>
        <w:t>חקירת הגר"ח בגדר ההיתר דנבילה שאינה ראויה לגר</w:t>
      </w:r>
      <w:bookmarkEnd w:id="10093"/>
      <w:bookmarkEnd w:id="10094"/>
      <w:bookmarkEnd w:id="10095"/>
      <w:bookmarkEnd w:id="10096"/>
      <w:bookmarkEnd w:id="10097"/>
      <w:bookmarkEnd w:id="10098"/>
      <w:bookmarkEnd w:id="10099"/>
      <w:r w:rsidRPr="006B2B80">
        <w:rPr>
          <w:rFonts w:hint="cs"/>
          <w:rtl/>
        </w:rPr>
        <w:t xml:space="preserve"> </w:t>
      </w:r>
    </w:p>
    <w:p w:rsidR="0013006A" w:rsidRPr="00A37615" w:rsidRDefault="0013006A" w:rsidP="0013006A">
      <w:pPr>
        <w:pStyle w:val="a2"/>
        <w:rPr>
          <w:rtl/>
        </w:rPr>
      </w:pPr>
      <w:bookmarkStart w:id="10100" w:name="_Toc19029742"/>
      <w:bookmarkStart w:id="10101" w:name="_Toc19030126"/>
      <w:bookmarkStart w:id="10102" w:name="_Toc19082187"/>
      <w:bookmarkStart w:id="10103" w:name="_Toc19129525"/>
      <w:bookmarkStart w:id="10104" w:name="_Toc19130081"/>
      <w:bookmarkStart w:id="10105" w:name="_Toc19171034"/>
      <w:bookmarkStart w:id="10106" w:name="_Toc19180890"/>
      <w:r w:rsidRPr="00A37615">
        <w:rPr>
          <w:rFonts w:hint="cs"/>
          <w:rtl/>
        </w:rPr>
        <w:t>הצד הא' בגר"ח דבאינה ראויה לגר פקע מהחפצא של הנבילה שם נבילה ולכן מותרת</w:t>
      </w:r>
      <w:bookmarkEnd w:id="10100"/>
      <w:bookmarkEnd w:id="10101"/>
      <w:bookmarkEnd w:id="10102"/>
      <w:bookmarkEnd w:id="10103"/>
      <w:bookmarkEnd w:id="10104"/>
      <w:bookmarkEnd w:id="10105"/>
      <w:bookmarkEnd w:id="10106"/>
    </w:p>
    <w:p w:rsidR="0013006A" w:rsidRPr="006B2B80" w:rsidRDefault="0013006A" w:rsidP="009F44AF">
      <w:pPr>
        <w:pStyle w:val="a"/>
        <w:rPr>
          <w:rtl/>
        </w:rPr>
      </w:pPr>
      <w:r w:rsidRPr="006B2B80">
        <w:rPr>
          <w:rFonts w:hint="cs"/>
          <w:rtl/>
        </w:rPr>
        <w:t>כתב</w:t>
      </w:r>
      <w:r w:rsidRPr="006B2B80">
        <w:rPr>
          <w:rStyle w:val="af8"/>
          <w:rFonts w:hint="cs"/>
          <w:rtl/>
        </w:rPr>
        <w:t xml:space="preserve"> בחי' הגר"ח על הש"ס</w:t>
      </w:r>
      <w:r w:rsidRPr="006B2B80">
        <w:rPr>
          <w:rFonts w:hint="cs"/>
          <w:rtl/>
        </w:rPr>
        <w:t xml:space="preserve"> </w:t>
      </w:r>
      <w:r w:rsidRPr="006B2B80">
        <w:rPr>
          <w:rStyle w:val="af6"/>
          <w:rFonts w:eastAsia="Guttman Hodes" w:hint="cs"/>
          <w:rtl/>
        </w:rPr>
        <w:t xml:space="preserve">(נזיר נ. בענין נצל ד"ה והנה בע"ז) </w:t>
      </w:r>
      <w:r w:rsidRPr="006B2B80">
        <w:rPr>
          <w:rFonts w:hint="cs"/>
          <w:rtl/>
        </w:rPr>
        <w:t>דיש לחקור בגדר ההיתר בנבילה שאינה ראויה לגר, והצד הא</w:t>
      </w:r>
      <w:r>
        <w:rPr>
          <w:rFonts w:hint="cs"/>
          <w:rtl/>
        </w:rPr>
        <w:t>'</w:t>
      </w:r>
      <w:r w:rsidRPr="006B2B80">
        <w:rPr>
          <w:rFonts w:hint="cs"/>
          <w:rtl/>
        </w:rPr>
        <w:t xml:space="preserve"> הוא דכיון שאינה ראויה לאכילה, פקע מעצם החפצא של הנבילה שם נבילה. </w:t>
      </w:r>
      <w:r>
        <w:rPr>
          <w:rFonts w:hint="cs"/>
          <w:rtl/>
        </w:rPr>
        <w:t>[</w:t>
      </w:r>
      <w:r w:rsidR="005C369F" w:rsidRPr="006B2B80">
        <w:rPr>
          <w:rFonts w:hint="cs"/>
          <w:rtl/>
        </w:rPr>
        <w:t xml:space="preserve">ועי' בדברי </w:t>
      </w:r>
      <w:r w:rsidR="005C369F" w:rsidRPr="00050F3C">
        <w:rPr>
          <w:rStyle w:val="af8"/>
          <w:rFonts w:hint="cs"/>
          <w:rtl/>
        </w:rPr>
        <w:t>החוו"ד</w:t>
      </w:r>
      <w:r w:rsidR="005C369F" w:rsidRPr="006B2B80">
        <w:rPr>
          <w:rFonts w:hint="cs"/>
          <w:rtl/>
        </w:rPr>
        <w:t xml:space="preserve"> </w:t>
      </w:r>
      <w:r w:rsidR="005C369F" w:rsidRPr="00050F3C">
        <w:rPr>
          <w:rStyle w:val="af6"/>
          <w:rFonts w:eastAsia="Guttman Hodes" w:hint="cs"/>
          <w:rtl/>
        </w:rPr>
        <w:t xml:space="preserve">(עי' </w:t>
      </w:r>
      <w:r w:rsidR="005C369F">
        <w:rPr>
          <w:rStyle w:val="af6"/>
          <w:rFonts w:eastAsia="Guttman Hodes" w:hint="cs"/>
          <w:rtl/>
        </w:rPr>
        <w:t xml:space="preserve">אות </w:t>
      </w:r>
      <w:r w:rsidR="005C369F">
        <w:rPr>
          <w:rStyle w:val="af6"/>
          <w:rFonts w:eastAsia="Guttman Hodes"/>
          <w:rtl/>
        </w:rPr>
        <w:fldChar w:fldCharType="begin"/>
      </w:r>
      <w:r w:rsidR="005C369F">
        <w:rPr>
          <w:rStyle w:val="af6"/>
          <w:rFonts w:eastAsia="Guttman Hodes"/>
          <w:rtl/>
        </w:rPr>
        <w:instrText xml:space="preserve"> </w:instrText>
      </w:r>
      <w:r w:rsidR="005C369F">
        <w:rPr>
          <w:rStyle w:val="af6"/>
          <w:rFonts w:eastAsia="Guttman Hodes" w:hint="cs"/>
        </w:rPr>
        <w:instrText>REF</w:instrText>
      </w:r>
      <w:r w:rsidR="005C369F">
        <w:rPr>
          <w:rStyle w:val="af6"/>
          <w:rFonts w:eastAsia="Guttman Hodes" w:hint="cs"/>
          <w:rtl/>
        </w:rPr>
        <w:instrText xml:space="preserve"> _</w:instrText>
      </w:r>
      <w:r w:rsidR="005C369F">
        <w:rPr>
          <w:rStyle w:val="af6"/>
          <w:rFonts w:eastAsia="Guttman Hodes" w:hint="cs"/>
        </w:rPr>
        <w:instrText>Ref19182863 \r \h</w:instrText>
      </w:r>
      <w:r w:rsidR="005C369F">
        <w:rPr>
          <w:rStyle w:val="af6"/>
          <w:rFonts w:eastAsia="Guttman Hodes"/>
          <w:rtl/>
        </w:rPr>
        <w:instrText xml:space="preserve"> </w:instrText>
      </w:r>
      <w:r w:rsidR="005C369F">
        <w:rPr>
          <w:rStyle w:val="af6"/>
          <w:rFonts w:eastAsia="Guttman Hodes"/>
          <w:rtl/>
        </w:rPr>
      </w:r>
      <w:r w:rsidR="005C369F">
        <w:rPr>
          <w:rStyle w:val="af6"/>
          <w:rFonts w:eastAsia="Guttman Hodes"/>
          <w:rtl/>
        </w:rPr>
        <w:fldChar w:fldCharType="separate"/>
      </w:r>
      <w:r w:rsidR="004D1C5B">
        <w:rPr>
          <w:rStyle w:val="af6"/>
          <w:rFonts w:eastAsia="Guttman Hodes"/>
          <w:cs/>
        </w:rPr>
        <w:t>‎</w:t>
      </w:r>
      <w:r w:rsidR="004D1C5B">
        <w:rPr>
          <w:rStyle w:val="af6"/>
          <w:rFonts w:eastAsia="Guttman Hodes"/>
          <w:rtl/>
        </w:rPr>
        <w:t>ע)</w:t>
      </w:r>
      <w:r w:rsidR="005C369F">
        <w:rPr>
          <w:rStyle w:val="af6"/>
          <w:rFonts w:eastAsia="Guttman Hodes"/>
          <w:rtl/>
        </w:rPr>
        <w:fldChar w:fldCharType="end"/>
      </w:r>
      <w:r>
        <w:rPr>
          <w:rFonts w:hint="cs"/>
          <w:rtl/>
        </w:rPr>
        <w:t>].</w:t>
      </w:r>
      <w:r w:rsidRPr="006B2B80">
        <w:rPr>
          <w:rFonts w:hint="cs"/>
          <w:rtl/>
        </w:rPr>
        <w:t xml:space="preserve"> </w:t>
      </w:r>
    </w:p>
    <w:p w:rsidR="0013006A" w:rsidRPr="00A37615" w:rsidRDefault="0013006A" w:rsidP="0013006A">
      <w:pPr>
        <w:pStyle w:val="a2"/>
      </w:pPr>
      <w:bookmarkStart w:id="10107" w:name="_Toc19029743"/>
      <w:bookmarkStart w:id="10108" w:name="_Toc19030127"/>
      <w:bookmarkStart w:id="10109" w:name="_Toc19082188"/>
      <w:bookmarkStart w:id="10110" w:name="_Toc19129526"/>
      <w:bookmarkStart w:id="10111" w:name="_Toc19130082"/>
      <w:bookmarkStart w:id="10112" w:name="_Toc19171035"/>
      <w:bookmarkStart w:id="10113" w:name="_Toc19180891"/>
      <w:r w:rsidRPr="00A37615">
        <w:rPr>
          <w:rFonts w:hint="cs"/>
          <w:rtl/>
        </w:rPr>
        <w:t>הצד הב' בגר"ח דבאינה ראויה לגר מותר כיון דדבר שאינו ראוי לאכילה אין בו איסור אכילה</w:t>
      </w:r>
      <w:bookmarkEnd w:id="10107"/>
      <w:bookmarkEnd w:id="10108"/>
      <w:bookmarkEnd w:id="10109"/>
      <w:bookmarkEnd w:id="10110"/>
      <w:bookmarkEnd w:id="10111"/>
      <w:bookmarkEnd w:id="10112"/>
      <w:bookmarkEnd w:id="10113"/>
    </w:p>
    <w:p w:rsidR="0013006A" w:rsidRPr="006B2B80" w:rsidRDefault="0013006A" w:rsidP="009F44AF">
      <w:pPr>
        <w:pStyle w:val="a"/>
        <w:rPr>
          <w:rtl/>
        </w:rPr>
      </w:pPr>
      <w:r w:rsidRPr="006B2B80">
        <w:rPr>
          <w:rFonts w:hint="cs"/>
          <w:rtl/>
        </w:rPr>
        <w:t>והצד הב' כתב</w:t>
      </w:r>
      <w:r w:rsidRPr="006B2B80">
        <w:rPr>
          <w:rStyle w:val="af8"/>
          <w:rFonts w:hint="cs"/>
          <w:rtl/>
        </w:rPr>
        <w:t xml:space="preserve"> בחי' הגר"ח על הש"ס</w:t>
      </w:r>
      <w:r w:rsidRPr="006B2B80">
        <w:rPr>
          <w:rFonts w:hint="cs"/>
          <w:rtl/>
        </w:rPr>
        <w:t xml:space="preserve"> דהיתר נבילה שאינה ראויה לגר, הוא דין באיסור אכילה, דאיסור שאינו ראוי לאכילה, אין בו איסור אכילה</w:t>
      </w:r>
      <w:r>
        <w:rPr>
          <w:rFonts w:hint="cs"/>
          <w:rtl/>
        </w:rPr>
        <w:t xml:space="preserve">, [ועי' במ"ש </w:t>
      </w:r>
      <w:r w:rsidRPr="0005322C">
        <w:rPr>
          <w:rStyle w:val="af8"/>
          <w:rFonts w:hint="cs"/>
          <w:rtl/>
        </w:rPr>
        <w:t>הגר"ח</w:t>
      </w:r>
      <w:r>
        <w:rPr>
          <w:rFonts w:hint="cs"/>
          <w:rtl/>
        </w:rPr>
        <w:t xml:space="preserve"> </w:t>
      </w:r>
      <w:r w:rsidRPr="0005322C">
        <w:rPr>
          <w:rStyle w:val="af6"/>
          <w:rFonts w:eastAsia="Guttman Hodes" w:hint="cs"/>
          <w:rtl/>
        </w:rPr>
        <w:t xml:space="preserve">(עי' אות </w:t>
      </w:r>
      <w:r w:rsidRPr="0005322C">
        <w:rPr>
          <w:rStyle w:val="af6"/>
          <w:rFonts w:eastAsia="Guttman Hodes"/>
          <w:rtl/>
        </w:rPr>
        <w:fldChar w:fldCharType="begin"/>
      </w:r>
      <w:r w:rsidRPr="0005322C">
        <w:rPr>
          <w:rStyle w:val="af6"/>
          <w:rFonts w:eastAsia="Guttman Hodes"/>
          <w:rtl/>
        </w:rPr>
        <w:instrText xml:space="preserve"> </w:instrText>
      </w:r>
      <w:r w:rsidRPr="0005322C">
        <w:rPr>
          <w:rStyle w:val="af6"/>
          <w:rFonts w:eastAsia="Guttman Hodes" w:hint="cs"/>
        </w:rPr>
        <w:instrText>REF</w:instrText>
      </w:r>
      <w:r w:rsidRPr="0005322C">
        <w:rPr>
          <w:rStyle w:val="af6"/>
          <w:rFonts w:eastAsia="Guttman Hodes" w:hint="cs"/>
          <w:rtl/>
        </w:rPr>
        <w:instrText xml:space="preserve"> _</w:instrText>
      </w:r>
      <w:r w:rsidRPr="0005322C">
        <w:rPr>
          <w:rStyle w:val="af6"/>
          <w:rFonts w:eastAsia="Guttman Hodes" w:hint="cs"/>
        </w:rPr>
        <w:instrText>Ref18404008 \r \h</w:instrText>
      </w:r>
      <w:r w:rsidRPr="0005322C">
        <w:rPr>
          <w:rStyle w:val="af6"/>
          <w:rFonts w:eastAsia="Guttman Hodes"/>
          <w:rtl/>
        </w:rPr>
        <w:instrText xml:space="preserve"> </w:instrText>
      </w:r>
      <w:r w:rsidRPr="0005322C">
        <w:rPr>
          <w:rStyle w:val="af6"/>
          <w:rFonts w:eastAsia="Guttman Hodes"/>
          <w:rtl/>
        </w:rPr>
      </w:r>
      <w:r w:rsidRPr="0005322C">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05322C">
        <w:rPr>
          <w:rStyle w:val="af6"/>
          <w:rFonts w:eastAsia="Guttman Hodes"/>
          <w:rtl/>
        </w:rPr>
        <w:fldChar w:fldCharType="end"/>
      </w:r>
      <w:r>
        <w:rPr>
          <w:rFonts w:hint="cs"/>
          <w:rtl/>
        </w:rPr>
        <w:t xml:space="preserve"> דכן מוכח מדברי </w:t>
      </w:r>
      <w:r w:rsidRPr="0005322C">
        <w:rPr>
          <w:rStyle w:val="af8"/>
          <w:rFonts w:hint="cs"/>
          <w:rtl/>
        </w:rPr>
        <w:t>הרשב"א והר"ן</w:t>
      </w:r>
      <w:r>
        <w:rPr>
          <w:rFonts w:hint="cs"/>
          <w:rtl/>
        </w:rPr>
        <w:t>]</w:t>
      </w:r>
      <w:r w:rsidRPr="006B2B80">
        <w:rPr>
          <w:rFonts w:hint="cs"/>
          <w:rtl/>
        </w:rPr>
        <w:t>.</w:t>
      </w:r>
    </w:p>
    <w:p w:rsidR="0013006A" w:rsidRPr="0081356D" w:rsidRDefault="0013006A" w:rsidP="00E669F8">
      <w:pPr>
        <w:pStyle w:val="afd"/>
        <w:rPr>
          <w:rtl/>
        </w:rPr>
      </w:pPr>
      <w:bookmarkStart w:id="10114" w:name="_Toc19029744"/>
      <w:bookmarkStart w:id="10115" w:name="_Toc19030128"/>
      <w:bookmarkStart w:id="10116" w:name="_Toc19082189"/>
      <w:bookmarkStart w:id="10117" w:name="_Toc19129527"/>
      <w:bookmarkStart w:id="10118" w:name="_Toc19130083"/>
      <w:bookmarkStart w:id="10119" w:name="_Toc19171036"/>
      <w:bookmarkStart w:id="10120" w:name="_Toc19180892"/>
      <w:r w:rsidRPr="0081356D">
        <w:rPr>
          <w:rFonts w:hint="cs"/>
          <w:rtl/>
        </w:rPr>
        <w:t xml:space="preserve">ביאור הגר"ח </w:t>
      </w:r>
      <w:bookmarkEnd w:id="10073"/>
      <w:bookmarkEnd w:id="10074"/>
      <w:bookmarkEnd w:id="10091"/>
      <w:bookmarkEnd w:id="10092"/>
      <w:bookmarkEnd w:id="10114"/>
      <w:bookmarkEnd w:id="10115"/>
      <w:bookmarkEnd w:id="10116"/>
      <w:bookmarkEnd w:id="10117"/>
      <w:bookmarkEnd w:id="10118"/>
      <w:r>
        <w:rPr>
          <w:rFonts w:hint="cs"/>
          <w:rtl/>
        </w:rPr>
        <w:t>בגדר היתר נבילה</w:t>
      </w:r>
      <w:r w:rsidRPr="007E270C">
        <w:rPr>
          <w:rFonts w:hint="cs"/>
          <w:rtl/>
        </w:rPr>
        <w:t xml:space="preserve"> </w:t>
      </w:r>
      <w:r>
        <w:rPr>
          <w:rFonts w:hint="cs"/>
          <w:rtl/>
        </w:rPr>
        <w:t>לרמב"ם</w:t>
      </w:r>
      <w:bookmarkEnd w:id="10119"/>
      <w:bookmarkEnd w:id="10120"/>
    </w:p>
    <w:p w:rsidR="0013006A" w:rsidRDefault="0013006A" w:rsidP="0013006A">
      <w:pPr>
        <w:pStyle w:val="1"/>
        <w:rPr>
          <w:rtl/>
        </w:rPr>
      </w:pPr>
      <w:bookmarkStart w:id="10121" w:name="_Toc17624883"/>
      <w:bookmarkStart w:id="10122" w:name="_Toc17889837"/>
      <w:bookmarkStart w:id="10123" w:name="_Toc17975459"/>
      <w:bookmarkStart w:id="10124" w:name="_Toc17984147"/>
      <w:bookmarkStart w:id="10125" w:name="_Toc18228272"/>
      <w:bookmarkStart w:id="10126" w:name="_Toc18250816"/>
      <w:bookmarkStart w:id="10127" w:name="_Toc18266273"/>
      <w:bookmarkStart w:id="10128" w:name="_Toc18269184"/>
      <w:bookmarkStart w:id="10129" w:name="_Toc18323884"/>
      <w:bookmarkStart w:id="10130" w:name="_Toc18513280"/>
      <w:bookmarkStart w:id="10131" w:name="_Toc18874383"/>
      <w:bookmarkStart w:id="10132" w:name="_Toc18946801"/>
      <w:bookmarkStart w:id="10133" w:name="_Toc19026264"/>
      <w:bookmarkStart w:id="10134" w:name="_Toc19029745"/>
      <w:bookmarkStart w:id="10135" w:name="_Toc19030129"/>
      <w:bookmarkStart w:id="10136" w:name="_Toc19082190"/>
      <w:bookmarkStart w:id="10137" w:name="_Toc19129528"/>
      <w:bookmarkStart w:id="10138" w:name="_Toc19130084"/>
      <w:bookmarkStart w:id="10139" w:name="_Toc19171037"/>
      <w:bookmarkStart w:id="10140" w:name="_Toc19180893"/>
      <w:r w:rsidRPr="00C95890">
        <w:rPr>
          <w:rFonts w:hint="cs"/>
          <w:rtl/>
        </w:rPr>
        <w:t xml:space="preserve">ביאור הגר"ח </w:t>
      </w:r>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r>
        <w:rPr>
          <w:rFonts w:hint="cs"/>
          <w:rtl/>
        </w:rPr>
        <w:t>דהיתר החפצא בנבילה הוא מדין אכילה</w:t>
      </w:r>
      <w:bookmarkEnd w:id="10139"/>
      <w:bookmarkEnd w:id="10140"/>
    </w:p>
    <w:p w:rsidR="0013006A" w:rsidRPr="00A37615" w:rsidRDefault="0013006A" w:rsidP="0013006A">
      <w:pPr>
        <w:pStyle w:val="a2"/>
        <w:rPr>
          <w:rtl/>
        </w:rPr>
      </w:pPr>
      <w:bookmarkStart w:id="10141" w:name="_Toc19171038"/>
      <w:bookmarkStart w:id="10142" w:name="_Toc19180894"/>
      <w:r>
        <w:rPr>
          <w:rFonts w:hint="cs"/>
          <w:rtl/>
        </w:rPr>
        <w:t>דברי הגר"ח דמוכח ברמב"ם דבבב"ח דחייב בשלא כדרך הנאתן חייב אף כשאינו ראוי לגר</w:t>
      </w:r>
      <w:bookmarkEnd w:id="10141"/>
      <w:bookmarkEnd w:id="10142"/>
      <w:r>
        <w:rPr>
          <w:rFonts w:hint="cs"/>
          <w:rtl/>
        </w:rPr>
        <w:t xml:space="preserve"> </w:t>
      </w:r>
    </w:p>
    <w:p w:rsidR="0013006A" w:rsidRPr="005166B0" w:rsidRDefault="0013006A" w:rsidP="009F44AF">
      <w:pPr>
        <w:pStyle w:val="a"/>
        <w:rPr>
          <w:rStyle w:val="afa"/>
        </w:rPr>
      </w:pPr>
      <w:bookmarkStart w:id="10143" w:name="_Ref17367520"/>
      <w:r w:rsidRPr="00456A4F">
        <w:rPr>
          <w:rFonts w:hint="cs"/>
          <w:rtl/>
        </w:rPr>
        <w:t xml:space="preserve">הביא </w:t>
      </w:r>
      <w:r w:rsidRPr="00456A4F">
        <w:rPr>
          <w:rStyle w:val="af8"/>
          <w:rFonts w:hint="cs"/>
          <w:rtl/>
        </w:rPr>
        <w:t>הגר"ח</w:t>
      </w:r>
      <w:r w:rsidRPr="00456A4F">
        <w:rPr>
          <w:rFonts w:hint="cs"/>
          <w:rtl/>
        </w:rPr>
        <w:t xml:space="preserve"> </w:t>
      </w:r>
      <w:r w:rsidRPr="00456A4F">
        <w:rPr>
          <w:rStyle w:val="af6"/>
          <w:rFonts w:eastAsia="Guttman Hodes" w:hint="cs"/>
          <w:rtl/>
        </w:rPr>
        <w:t>(מאכ"א פט"ו ה"א ד"ה והנה בפי"ד)</w:t>
      </w:r>
      <w:r w:rsidRPr="00456A4F">
        <w:rPr>
          <w:rFonts w:hint="cs"/>
          <w:rtl/>
        </w:rPr>
        <w:t xml:space="preserve"> את דברי </w:t>
      </w:r>
      <w:r w:rsidRPr="00456A4F">
        <w:rPr>
          <w:rStyle w:val="af8"/>
          <w:rFonts w:hint="cs"/>
          <w:rtl/>
        </w:rPr>
        <w:t>הרמב"ם</w:t>
      </w:r>
      <w:r w:rsidRPr="00456A4F">
        <w:rPr>
          <w:rFonts w:hint="cs"/>
          <w:rtl/>
        </w:rPr>
        <w:t xml:space="preserve"> </w:t>
      </w:r>
      <w:r w:rsidRPr="00456A4F">
        <w:rPr>
          <w:rStyle w:val="af6"/>
          <w:rFonts w:eastAsia="Guttman Hodes" w:hint="cs"/>
          <w:rtl/>
        </w:rPr>
        <w:t xml:space="preserve">(עי' אות </w:t>
      </w:r>
      <w:r w:rsidRPr="00456A4F">
        <w:rPr>
          <w:rStyle w:val="af6"/>
          <w:rFonts w:eastAsia="Guttman Hodes"/>
          <w:rtl/>
        </w:rPr>
        <w:fldChar w:fldCharType="begin"/>
      </w:r>
      <w:r w:rsidRPr="00456A4F">
        <w:rPr>
          <w:rStyle w:val="af6"/>
          <w:rFonts w:eastAsia="Guttman Hodes"/>
          <w:rtl/>
        </w:rPr>
        <w:instrText xml:space="preserve"> </w:instrText>
      </w:r>
      <w:r w:rsidRPr="00456A4F">
        <w:rPr>
          <w:rStyle w:val="af6"/>
          <w:rFonts w:eastAsia="Guttman Hodes" w:hint="cs"/>
        </w:rPr>
        <w:instrText>REF</w:instrText>
      </w:r>
      <w:r w:rsidRPr="00456A4F">
        <w:rPr>
          <w:rStyle w:val="af6"/>
          <w:rFonts w:eastAsia="Guttman Hodes" w:hint="cs"/>
          <w:rtl/>
        </w:rPr>
        <w:instrText xml:space="preserve"> _</w:instrText>
      </w:r>
      <w:r w:rsidRPr="00456A4F">
        <w:rPr>
          <w:rStyle w:val="af6"/>
          <w:rFonts w:eastAsia="Guttman Hodes" w:hint="cs"/>
        </w:rPr>
        <w:instrText>Ref17367353 \r \h</w:instrText>
      </w:r>
      <w:r w:rsidRPr="00456A4F">
        <w:rPr>
          <w:rStyle w:val="af6"/>
          <w:rFonts w:eastAsia="Guttman Hodes"/>
          <w:rtl/>
        </w:rPr>
        <w:instrText xml:space="preserve"> </w:instrText>
      </w:r>
      <w:r w:rsidRPr="00456A4F">
        <w:rPr>
          <w:rStyle w:val="af6"/>
          <w:rFonts w:eastAsia="Guttman Hodes"/>
          <w:rtl/>
        </w:rPr>
      </w:r>
      <w:r w:rsidRPr="00456A4F">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456A4F">
        <w:rPr>
          <w:rStyle w:val="af6"/>
          <w:rFonts w:eastAsia="Guttman Hodes"/>
          <w:rtl/>
        </w:rPr>
        <w:fldChar w:fldCharType="end"/>
      </w:r>
      <w:r w:rsidRPr="00456A4F">
        <w:rPr>
          <w:rFonts w:hint="cs"/>
          <w:rtl/>
        </w:rPr>
        <w:t xml:space="preserve"> דכתב בהא דאוכל איסור שלא בדרך הנאתו, אינו חייב עליו, דהוא גם באופן שאכלו אחר שהסריח ואינו ראוי לאכילת אדם, וכתב </w:t>
      </w:r>
      <w:r w:rsidRPr="00456A4F">
        <w:rPr>
          <w:rStyle w:val="af8"/>
          <w:rFonts w:hint="cs"/>
          <w:rtl/>
        </w:rPr>
        <w:t>הגר"ח</w:t>
      </w:r>
      <w:r w:rsidRPr="00456A4F">
        <w:rPr>
          <w:rFonts w:hint="cs"/>
          <w:rtl/>
        </w:rPr>
        <w:t xml:space="preserve"> דמבואר מדברי </w:t>
      </w:r>
      <w:r w:rsidRPr="00456A4F">
        <w:rPr>
          <w:rStyle w:val="af8"/>
          <w:rFonts w:hint="cs"/>
          <w:rtl/>
        </w:rPr>
        <w:t>הרמב"ם</w:t>
      </w:r>
      <w:r w:rsidRPr="00456A4F">
        <w:rPr>
          <w:rFonts w:hint="cs"/>
          <w:rtl/>
        </w:rPr>
        <w:t xml:space="preserve"> דהפטור על אכילת איסור שלא בדרך הנאתו, היינו גם באופן שאינו ראוי לגר, וכתב </w:t>
      </w:r>
      <w:r w:rsidRPr="00456A4F">
        <w:rPr>
          <w:rStyle w:val="af8"/>
          <w:rFonts w:hint="cs"/>
          <w:rtl/>
        </w:rPr>
        <w:t>הגר"ח</w:t>
      </w:r>
      <w:r w:rsidRPr="00456A4F">
        <w:rPr>
          <w:rFonts w:hint="cs"/>
          <w:rtl/>
        </w:rPr>
        <w:t xml:space="preserve"> דא"כ מבואר </w:t>
      </w:r>
      <w:r w:rsidRPr="00456A4F">
        <w:rPr>
          <w:rStyle w:val="af8"/>
          <w:rFonts w:hint="cs"/>
          <w:rtl/>
        </w:rPr>
        <w:t>ברמב"ם</w:t>
      </w:r>
      <w:r w:rsidRPr="00456A4F">
        <w:rPr>
          <w:rFonts w:hint="cs"/>
          <w:rtl/>
        </w:rPr>
        <w:t xml:space="preserve"> </w:t>
      </w:r>
      <w:r w:rsidRPr="00AE449B">
        <w:rPr>
          <w:rStyle w:val="af6"/>
          <w:rFonts w:eastAsia="Guttman Hodes" w:hint="cs"/>
          <w:rtl/>
        </w:rPr>
        <w:t xml:space="preserve">(עי' אות </w:t>
      </w:r>
      <w:r w:rsidRPr="00AE449B">
        <w:rPr>
          <w:rStyle w:val="af6"/>
          <w:rFonts w:eastAsia="Guttman Hodes"/>
          <w:rtl/>
        </w:rPr>
        <w:fldChar w:fldCharType="begin"/>
      </w:r>
      <w:r w:rsidRPr="00AE449B">
        <w:rPr>
          <w:rStyle w:val="af6"/>
          <w:rFonts w:eastAsia="Guttman Hodes"/>
          <w:rtl/>
        </w:rPr>
        <w:instrText xml:space="preserve"> </w:instrText>
      </w:r>
      <w:r w:rsidRPr="00AE449B">
        <w:rPr>
          <w:rStyle w:val="af6"/>
          <w:rFonts w:eastAsia="Guttman Hodes" w:hint="cs"/>
        </w:rPr>
        <w:instrText>REF</w:instrText>
      </w:r>
      <w:r w:rsidRPr="00AE449B">
        <w:rPr>
          <w:rStyle w:val="af6"/>
          <w:rFonts w:eastAsia="Guttman Hodes" w:hint="cs"/>
          <w:rtl/>
        </w:rPr>
        <w:instrText xml:space="preserve"> _</w:instrText>
      </w:r>
      <w:r w:rsidRPr="00AE449B">
        <w:rPr>
          <w:rStyle w:val="af6"/>
          <w:rFonts w:eastAsia="Guttman Hodes" w:hint="cs"/>
        </w:rPr>
        <w:instrText>Ref19034938 \r \h</w:instrText>
      </w:r>
      <w:r w:rsidRPr="00AE449B">
        <w:rPr>
          <w:rStyle w:val="af6"/>
          <w:rFonts w:eastAsia="Guttman Hodes"/>
          <w:rtl/>
        </w:rPr>
        <w:instrText xml:space="preserve"> </w:instrText>
      </w:r>
      <w:r w:rsidRPr="00AE449B">
        <w:rPr>
          <w:rStyle w:val="af6"/>
          <w:rFonts w:eastAsia="Guttman Hodes"/>
          <w:rtl/>
        </w:rPr>
      </w:r>
      <w:r w:rsidRPr="00AE449B">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AE449B">
        <w:rPr>
          <w:rStyle w:val="af6"/>
          <w:rFonts w:eastAsia="Guttman Hodes"/>
          <w:rtl/>
        </w:rPr>
        <w:fldChar w:fldCharType="end"/>
      </w:r>
      <w:r w:rsidRPr="00AE449B">
        <w:rPr>
          <w:rStyle w:val="af6"/>
          <w:rFonts w:eastAsia="Guttman Hodes" w:hint="cs"/>
          <w:rtl/>
        </w:rPr>
        <w:t xml:space="preserve"> </w:t>
      </w:r>
      <w:r w:rsidRPr="00456A4F">
        <w:rPr>
          <w:rFonts w:hint="cs"/>
          <w:rtl/>
        </w:rPr>
        <w:t>דבבשר בחלב ובכלאי הכרם דחייב אף בשלא בדרך הנאתם הוא אף באינו ראוי לגר</w:t>
      </w:r>
      <w:r>
        <w:rPr>
          <w:rFonts w:hint="cs"/>
          <w:rtl/>
        </w:rPr>
        <w:t xml:space="preserve">. </w:t>
      </w:r>
      <w:r w:rsidRPr="005166B0">
        <w:rPr>
          <w:rStyle w:val="afa"/>
          <w:rFonts w:hint="cs"/>
          <w:rtl/>
        </w:rPr>
        <w:t xml:space="preserve">[אמנם יעוי' במה שדייקו </w:t>
      </w:r>
      <w:r w:rsidRPr="005166B0">
        <w:rPr>
          <w:rStyle w:val="affa"/>
          <w:rFonts w:hint="cs"/>
          <w:rtl/>
        </w:rPr>
        <w:t>החוו"ד</w:t>
      </w:r>
      <w:r w:rsidRPr="00AE449B">
        <w:rPr>
          <w:rStyle w:val="aff6"/>
          <w:rFonts w:hint="cs"/>
          <w:rtl/>
        </w:rPr>
        <w:t xml:space="preserve"> (עי' אות </w:t>
      </w:r>
      <w:r w:rsidRPr="00AE449B">
        <w:rPr>
          <w:rStyle w:val="aff6"/>
          <w:rtl/>
        </w:rPr>
        <w:fldChar w:fldCharType="begin"/>
      </w:r>
      <w:r w:rsidRPr="00AE449B">
        <w:rPr>
          <w:rStyle w:val="aff6"/>
          <w:rtl/>
        </w:rPr>
        <w:instrText xml:space="preserve"> </w:instrText>
      </w:r>
      <w:r w:rsidRPr="00AE449B">
        <w:rPr>
          <w:rStyle w:val="aff6"/>
          <w:rFonts w:hint="cs"/>
        </w:rPr>
        <w:instrText>REF</w:instrText>
      </w:r>
      <w:r w:rsidRPr="00AE449B">
        <w:rPr>
          <w:rStyle w:val="aff6"/>
          <w:rFonts w:hint="cs"/>
          <w:rtl/>
        </w:rPr>
        <w:instrText xml:space="preserve"> _</w:instrText>
      </w:r>
      <w:r w:rsidRPr="00AE449B">
        <w:rPr>
          <w:rStyle w:val="aff6"/>
          <w:rFonts w:hint="cs"/>
        </w:rPr>
        <w:instrText>Ref18959902 \r \h</w:instrText>
      </w:r>
      <w:r w:rsidRPr="00AE449B">
        <w:rPr>
          <w:rStyle w:val="aff6"/>
          <w:rtl/>
        </w:rPr>
        <w:instrText xml:space="preserve"> </w:instrText>
      </w:r>
      <w:r w:rsidRPr="00AE449B">
        <w:rPr>
          <w:rStyle w:val="aff6"/>
          <w:rtl/>
        </w:rPr>
      </w:r>
      <w:r w:rsidRPr="00AE449B">
        <w:rPr>
          <w:rStyle w:val="aff6"/>
          <w:rtl/>
        </w:rPr>
        <w:fldChar w:fldCharType="separate"/>
      </w:r>
      <w:r w:rsidR="004D1C5B">
        <w:rPr>
          <w:rStyle w:val="aff6"/>
          <w:cs/>
        </w:rPr>
        <w:t>‎</w:t>
      </w:r>
      <w:r w:rsidR="004D1C5B">
        <w:rPr>
          <w:rStyle w:val="aff6"/>
          <w:rtl/>
        </w:rPr>
        <w:t>עב)</w:t>
      </w:r>
      <w:r w:rsidRPr="00AE449B">
        <w:rPr>
          <w:rStyle w:val="aff6"/>
          <w:rtl/>
        </w:rPr>
        <w:fldChar w:fldCharType="end"/>
      </w:r>
      <w:r w:rsidRPr="005166B0">
        <w:rPr>
          <w:rStyle w:val="afa"/>
          <w:rFonts w:hint="cs"/>
          <w:rtl/>
        </w:rPr>
        <w:t xml:space="preserve"> </w:t>
      </w:r>
      <w:r w:rsidRPr="005166B0">
        <w:rPr>
          <w:rStyle w:val="affa"/>
          <w:rFonts w:hint="cs"/>
          <w:rtl/>
        </w:rPr>
        <w:t>והפרמ"ג</w:t>
      </w:r>
      <w:r w:rsidRPr="005166B0">
        <w:rPr>
          <w:rStyle w:val="afa"/>
          <w:rFonts w:hint="cs"/>
          <w:rtl/>
        </w:rPr>
        <w:t xml:space="preserve"> </w:t>
      </w:r>
      <w:r w:rsidRPr="00AE449B">
        <w:rPr>
          <w:rStyle w:val="aff6"/>
          <w:rFonts w:hint="cs"/>
          <w:rtl/>
        </w:rPr>
        <w:t xml:space="preserve">(עי' אות </w:t>
      </w:r>
      <w:r w:rsidRPr="00AE449B">
        <w:rPr>
          <w:rStyle w:val="aff6"/>
          <w:rtl/>
        </w:rPr>
        <w:fldChar w:fldCharType="begin"/>
      </w:r>
      <w:r w:rsidRPr="00AE449B">
        <w:rPr>
          <w:rStyle w:val="aff6"/>
          <w:rtl/>
        </w:rPr>
        <w:instrText xml:space="preserve"> </w:instrText>
      </w:r>
      <w:r w:rsidRPr="00AE449B">
        <w:rPr>
          <w:rStyle w:val="aff6"/>
          <w:rFonts w:hint="cs"/>
        </w:rPr>
        <w:instrText>REF</w:instrText>
      </w:r>
      <w:r w:rsidRPr="00AE449B">
        <w:rPr>
          <w:rStyle w:val="aff6"/>
          <w:rFonts w:hint="cs"/>
          <w:rtl/>
        </w:rPr>
        <w:instrText xml:space="preserve"> _</w:instrText>
      </w:r>
      <w:r w:rsidRPr="00AE449B">
        <w:rPr>
          <w:rStyle w:val="aff6"/>
          <w:rFonts w:hint="cs"/>
        </w:rPr>
        <w:instrText>Ref19095425 \r \h</w:instrText>
      </w:r>
      <w:r w:rsidRPr="00AE449B">
        <w:rPr>
          <w:rStyle w:val="aff6"/>
          <w:rtl/>
        </w:rPr>
        <w:instrText xml:space="preserve"> </w:instrText>
      </w:r>
      <w:r w:rsidRPr="00AE449B">
        <w:rPr>
          <w:rStyle w:val="aff6"/>
          <w:rtl/>
        </w:rPr>
      </w:r>
      <w:r w:rsidRPr="00AE449B">
        <w:rPr>
          <w:rStyle w:val="aff6"/>
          <w:rtl/>
        </w:rPr>
        <w:fldChar w:fldCharType="separate"/>
      </w:r>
      <w:r w:rsidR="004D1C5B">
        <w:rPr>
          <w:rStyle w:val="aff6"/>
          <w:cs/>
        </w:rPr>
        <w:t>‎</w:t>
      </w:r>
      <w:r w:rsidR="004D1C5B">
        <w:rPr>
          <w:rStyle w:val="aff6"/>
          <w:rtl/>
        </w:rPr>
        <w:t>עח)</w:t>
      </w:r>
      <w:r w:rsidRPr="00AE449B">
        <w:rPr>
          <w:rStyle w:val="aff6"/>
          <w:rtl/>
        </w:rPr>
        <w:fldChar w:fldCharType="end"/>
      </w:r>
      <w:r w:rsidRPr="005166B0">
        <w:rPr>
          <w:rStyle w:val="afa"/>
          <w:rFonts w:hint="cs"/>
          <w:rtl/>
        </w:rPr>
        <w:t xml:space="preserve"> </w:t>
      </w:r>
      <w:r w:rsidRPr="005166B0">
        <w:rPr>
          <w:rStyle w:val="affa"/>
          <w:rFonts w:hint="cs"/>
          <w:rtl/>
        </w:rPr>
        <w:t>ברמב"ם</w:t>
      </w:r>
      <w:r w:rsidRPr="005166B0">
        <w:rPr>
          <w:rStyle w:val="afa"/>
          <w:rFonts w:hint="cs"/>
          <w:rtl/>
        </w:rPr>
        <w:t xml:space="preserve"> דכתב דהחיוב בבשר בחלב הוא כשעירב בהם דבר מר, ולא כתב דהוא אף באופן שאינו ראוי לגר].</w:t>
      </w:r>
    </w:p>
    <w:p w:rsidR="0013006A" w:rsidRPr="00AE449B" w:rsidRDefault="0013006A" w:rsidP="0013006A">
      <w:pPr>
        <w:pStyle w:val="a2"/>
        <w:rPr>
          <w:rtl/>
        </w:rPr>
      </w:pPr>
      <w:bookmarkStart w:id="10144" w:name="_Toc19171039"/>
      <w:bookmarkStart w:id="10145" w:name="_Toc19180895"/>
      <w:bookmarkEnd w:id="10143"/>
      <w:r>
        <w:rPr>
          <w:rFonts w:hint="cs"/>
          <w:rtl/>
        </w:rPr>
        <w:t>קושית הגר"ח דבאינו ראוי לגר הוא היתר בחפצא של האיסור ולא דמי לשלא כדרך הנאתן</w:t>
      </w:r>
      <w:bookmarkEnd w:id="10144"/>
      <w:bookmarkEnd w:id="10145"/>
    </w:p>
    <w:p w:rsidR="0013006A" w:rsidRPr="00D926B5" w:rsidRDefault="0013006A" w:rsidP="009F44AF">
      <w:pPr>
        <w:pStyle w:val="a"/>
        <w:rPr>
          <w:rStyle w:val="afa"/>
          <w:rtl/>
        </w:rPr>
      </w:pPr>
      <w:bookmarkStart w:id="10146" w:name="_Ref19182111"/>
      <w:r>
        <w:rPr>
          <w:rFonts w:hint="cs"/>
          <w:rtl/>
        </w:rPr>
        <w:t xml:space="preserve">והקשה </w:t>
      </w:r>
      <w:r w:rsidRPr="00D926B5">
        <w:rPr>
          <w:rStyle w:val="af8"/>
          <w:rFonts w:hint="cs"/>
          <w:rtl/>
        </w:rPr>
        <w:t>הגר"ח</w:t>
      </w:r>
      <w:r>
        <w:rPr>
          <w:rFonts w:hint="cs"/>
          <w:rtl/>
        </w:rPr>
        <w:t xml:space="preserve"> דהרי הא דאין חיוב על אכילת נבילה שאינה ראויה לגר, הוא היתר בעצם החפצא של האיסור, דאין הנבילה קרויה נבילה, כדילפינן מקרא, אבל הא דפטור על אכילת איסור שלא כדרך הנאתו, אינו היתר בעצם החפצא. </w:t>
      </w:r>
      <w:r w:rsidRPr="00D926B5">
        <w:rPr>
          <w:rStyle w:val="afa"/>
          <w:rFonts w:hint="cs"/>
          <w:rtl/>
        </w:rPr>
        <w:t>[דהאיסור עדיין נקרא איסור, אלא דהחיוב על אכילתו הוא רק בדרך הנאתו].</w:t>
      </w:r>
      <w:bookmarkEnd w:id="10146"/>
    </w:p>
    <w:p w:rsidR="0013006A" w:rsidRPr="00A37615" w:rsidRDefault="0013006A" w:rsidP="0013006A">
      <w:pPr>
        <w:pStyle w:val="a2"/>
        <w:rPr>
          <w:rtl/>
        </w:rPr>
      </w:pPr>
      <w:bookmarkStart w:id="10147" w:name="_Toc19171040"/>
      <w:bookmarkStart w:id="10148" w:name="_Toc19180896"/>
      <w:r>
        <w:rPr>
          <w:rFonts w:hint="cs"/>
          <w:rtl/>
        </w:rPr>
        <w:t>ביאור הגר"ח ברמב"ם דההיתר בחפצא בלא ראוי לגר הוא רק לגבי איסור אכילה ולא בהנאה</w:t>
      </w:r>
      <w:bookmarkEnd w:id="10147"/>
      <w:bookmarkEnd w:id="10148"/>
    </w:p>
    <w:p w:rsidR="0013006A" w:rsidRDefault="0013006A" w:rsidP="009F44AF">
      <w:pPr>
        <w:pStyle w:val="a"/>
        <w:rPr>
          <w:rtl/>
        </w:rPr>
      </w:pPr>
      <w:r>
        <w:rPr>
          <w:rFonts w:hint="cs"/>
          <w:rtl/>
        </w:rPr>
        <w:t xml:space="preserve">ותירץ </w:t>
      </w:r>
      <w:r w:rsidRPr="00D926B5">
        <w:rPr>
          <w:rStyle w:val="af8"/>
          <w:rFonts w:hint="cs"/>
          <w:rtl/>
        </w:rPr>
        <w:t>הגר"ח</w:t>
      </w:r>
      <w:r>
        <w:rPr>
          <w:rFonts w:hint="cs"/>
          <w:rtl/>
        </w:rPr>
        <w:t xml:space="preserve"> דס"ל </w:t>
      </w:r>
      <w:r w:rsidRPr="00D926B5">
        <w:rPr>
          <w:rStyle w:val="af8"/>
          <w:rFonts w:hint="cs"/>
          <w:rtl/>
        </w:rPr>
        <w:t>להרמב"ם</w:t>
      </w:r>
      <w:r>
        <w:rPr>
          <w:rFonts w:hint="cs"/>
          <w:rtl/>
        </w:rPr>
        <w:t xml:space="preserve"> דהא דנבילה שאינה ראויה לגר אינה קרויה נבילה, נאמר רק לענין חלות דין אכילה, אבל לענין איסורי הנאה כבשר בחלב וכלאים, לא נאמר דין נבילה שראויה לגר כלל.</w:t>
      </w:r>
    </w:p>
    <w:p w:rsidR="0013006A" w:rsidRPr="00A37615" w:rsidRDefault="0013006A" w:rsidP="0013006A">
      <w:pPr>
        <w:pStyle w:val="a2"/>
        <w:rPr>
          <w:rtl/>
        </w:rPr>
      </w:pPr>
      <w:bookmarkStart w:id="10149" w:name="_Toc19171041"/>
      <w:bookmarkStart w:id="10150" w:name="_Toc19180897"/>
      <w:r>
        <w:rPr>
          <w:rFonts w:hint="cs"/>
          <w:rtl/>
        </w:rPr>
        <w:t>ביאור הגר"ח דיסוד ההיתר בנבילה הוא דלא ראוי לאכילה ובבב"ח חייב שלא בדרך אכילה</w:t>
      </w:r>
      <w:bookmarkEnd w:id="10149"/>
      <w:bookmarkEnd w:id="10150"/>
    </w:p>
    <w:p w:rsidR="0013006A" w:rsidRDefault="0013006A" w:rsidP="009F44AF">
      <w:pPr>
        <w:pStyle w:val="a"/>
        <w:rPr>
          <w:rtl/>
        </w:rPr>
      </w:pPr>
      <w:r>
        <w:rPr>
          <w:rFonts w:hint="cs"/>
          <w:rtl/>
        </w:rPr>
        <w:t xml:space="preserve">וביאר </w:t>
      </w:r>
      <w:r w:rsidRPr="00D926B5">
        <w:rPr>
          <w:rStyle w:val="af8"/>
          <w:rFonts w:hint="cs"/>
          <w:rtl/>
        </w:rPr>
        <w:t>הגר"ח</w:t>
      </w:r>
      <w:r>
        <w:rPr>
          <w:rFonts w:hint="cs"/>
          <w:rtl/>
        </w:rPr>
        <w:t xml:space="preserve"> דס"ל </w:t>
      </w:r>
      <w:r w:rsidRPr="00D926B5">
        <w:rPr>
          <w:rStyle w:val="af8"/>
          <w:rFonts w:hint="cs"/>
          <w:rtl/>
        </w:rPr>
        <w:t>להרמב"ם</w:t>
      </w:r>
      <w:r>
        <w:rPr>
          <w:rFonts w:hint="cs"/>
          <w:rtl/>
        </w:rPr>
        <w:t xml:space="preserve"> דאף דההיתר באינה ראויה לגר הוא בעצם החפצא של האיסור, מ"מ יסוד ההיתר הוא מחמת שאינו ראוי לאכילה, דבמקום שיש איסור אכילה, נאמר דנבילה שאינה </w:t>
      </w:r>
      <w:r>
        <w:rPr>
          <w:rFonts w:hint="cs"/>
          <w:rtl/>
        </w:rPr>
        <w:t>ראויה לאכילה,</w:t>
      </w:r>
      <w:r w:rsidRPr="001D4641">
        <w:rPr>
          <w:rFonts w:hint="cs"/>
          <w:rtl/>
        </w:rPr>
        <w:t xml:space="preserve"> </w:t>
      </w:r>
      <w:r>
        <w:rPr>
          <w:rFonts w:hint="cs"/>
          <w:rtl/>
        </w:rPr>
        <w:t>אינה קרויה נבילה דאינה אסורה באכילה, אבל בבשר וחלב וכלאי הכרם שחייב עליהם אף באכלם שלא בדרך אכילה, א"כ לא שייך בהם ההיתר דאינה ראויה לגר כלל.</w:t>
      </w:r>
    </w:p>
    <w:p w:rsidR="0013006A" w:rsidRPr="00A73E84" w:rsidRDefault="0013006A" w:rsidP="0013006A">
      <w:pPr>
        <w:pStyle w:val="1"/>
        <w:rPr>
          <w:rtl/>
        </w:rPr>
      </w:pPr>
      <w:bookmarkStart w:id="10151" w:name="_Toc17624884"/>
      <w:bookmarkStart w:id="10152" w:name="_Toc17889838"/>
      <w:bookmarkStart w:id="10153" w:name="_Toc17975460"/>
      <w:bookmarkStart w:id="10154" w:name="_Toc17984148"/>
      <w:bookmarkStart w:id="10155" w:name="_Toc18228273"/>
      <w:bookmarkStart w:id="10156" w:name="_Toc18250817"/>
      <w:bookmarkStart w:id="10157" w:name="_Toc18266274"/>
      <w:bookmarkStart w:id="10158" w:name="_Toc18269185"/>
      <w:bookmarkStart w:id="10159" w:name="_Toc18323885"/>
      <w:bookmarkStart w:id="10160" w:name="_Toc18513281"/>
      <w:bookmarkStart w:id="10161" w:name="_Toc18874384"/>
      <w:bookmarkStart w:id="10162" w:name="_Toc18946802"/>
      <w:bookmarkStart w:id="10163" w:name="_Toc19026265"/>
      <w:bookmarkStart w:id="10164" w:name="_Toc19029746"/>
      <w:bookmarkStart w:id="10165" w:name="_Toc19030130"/>
      <w:bookmarkStart w:id="10166" w:name="_Toc19082191"/>
      <w:bookmarkStart w:id="10167" w:name="_Toc19129529"/>
      <w:bookmarkStart w:id="10168" w:name="_Toc19130085"/>
      <w:bookmarkStart w:id="10169" w:name="_Toc19171042"/>
      <w:bookmarkStart w:id="10170" w:name="_Toc19180898"/>
      <w:r>
        <w:rPr>
          <w:rFonts w:hint="cs"/>
          <w:rtl/>
        </w:rPr>
        <w:t>קושית הגר"ח</w:t>
      </w:r>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r>
        <w:rPr>
          <w:rFonts w:hint="cs"/>
          <w:rtl/>
        </w:rPr>
        <w:t xml:space="preserve"> דנטל"פ מותר בב"ח אעפ"י דהוא  נלמד מנבילה</w:t>
      </w:r>
      <w:bookmarkEnd w:id="10169"/>
      <w:bookmarkEnd w:id="10170"/>
    </w:p>
    <w:p w:rsidR="0013006A" w:rsidRPr="00A37615" w:rsidRDefault="0013006A" w:rsidP="0013006A">
      <w:pPr>
        <w:pStyle w:val="a2"/>
        <w:rPr>
          <w:rtl/>
        </w:rPr>
      </w:pPr>
      <w:bookmarkStart w:id="10171" w:name="_Toc19171043"/>
      <w:bookmarkStart w:id="10172" w:name="_Toc19180899"/>
      <w:r>
        <w:rPr>
          <w:rFonts w:hint="cs"/>
          <w:rtl/>
        </w:rPr>
        <w:t>קושיות הגר"ח דמפורש ברמב"ם דנטל"פ מותר בבב"ח והרי נטל"פ נלמד מנבילה שאינו בב"ח</w:t>
      </w:r>
      <w:bookmarkEnd w:id="10171"/>
      <w:bookmarkEnd w:id="10172"/>
    </w:p>
    <w:p w:rsidR="0013006A" w:rsidRDefault="0013006A" w:rsidP="009F44AF">
      <w:pPr>
        <w:pStyle w:val="a"/>
        <w:rPr>
          <w:rtl/>
        </w:rPr>
      </w:pPr>
      <w:bookmarkStart w:id="10173" w:name="_Ref17367558"/>
      <w:bookmarkStart w:id="10174" w:name="_Ref19026071"/>
      <w:r>
        <w:rPr>
          <w:rFonts w:hint="cs"/>
          <w:rtl/>
        </w:rPr>
        <w:t xml:space="preserve">אך הקשה </w:t>
      </w:r>
      <w:r w:rsidRPr="00D926B5">
        <w:rPr>
          <w:rStyle w:val="af8"/>
          <w:rFonts w:hint="cs"/>
          <w:rtl/>
        </w:rPr>
        <w:t>הגר"ח</w:t>
      </w:r>
      <w:r>
        <w:rPr>
          <w:rFonts w:hint="cs"/>
          <w:rtl/>
        </w:rPr>
        <w:t xml:space="preserve"> </w:t>
      </w:r>
      <w:r w:rsidRPr="00456A4F">
        <w:rPr>
          <w:rStyle w:val="af6"/>
          <w:rFonts w:eastAsia="Guttman Hodes" w:hint="cs"/>
          <w:rtl/>
        </w:rPr>
        <w:t>(מאכ"א פט"ו ה"א ד"ה והנה בפי"ד)</w:t>
      </w:r>
      <w:r w:rsidRPr="00456A4F">
        <w:rPr>
          <w:rFonts w:hint="cs"/>
          <w:rtl/>
        </w:rPr>
        <w:t xml:space="preserve"> </w:t>
      </w:r>
      <w:r>
        <w:rPr>
          <w:rFonts w:hint="cs"/>
          <w:rtl/>
        </w:rPr>
        <w:t xml:space="preserve">דהא כתב </w:t>
      </w:r>
      <w:r w:rsidRPr="00D926B5">
        <w:rPr>
          <w:rStyle w:val="af8"/>
          <w:rFonts w:hint="cs"/>
          <w:rtl/>
        </w:rPr>
        <w:t>הרמב"ם</w:t>
      </w:r>
      <w:r>
        <w:rPr>
          <w:rFonts w:hint="cs"/>
          <w:rtl/>
        </w:rPr>
        <w:t xml:space="preserve"> </w:t>
      </w:r>
      <w:r w:rsidRPr="009A03FA">
        <w:rPr>
          <w:rStyle w:val="af6"/>
          <w:rFonts w:eastAsia="Guttman Hodes" w:hint="cs"/>
          <w:rtl/>
        </w:rPr>
        <w:t xml:space="preserve">(עי' אות </w:t>
      </w:r>
      <w:r w:rsidRPr="009A03FA">
        <w:rPr>
          <w:rStyle w:val="af6"/>
          <w:rFonts w:eastAsia="Guttman Hodes"/>
          <w:rtl/>
        </w:rPr>
        <w:fldChar w:fldCharType="begin"/>
      </w:r>
      <w:r w:rsidRPr="009A03FA">
        <w:rPr>
          <w:rStyle w:val="af6"/>
          <w:rFonts w:eastAsia="Guttman Hodes"/>
          <w:rtl/>
        </w:rPr>
        <w:instrText xml:space="preserve"> </w:instrText>
      </w:r>
      <w:r w:rsidRPr="009A03FA">
        <w:rPr>
          <w:rStyle w:val="af6"/>
          <w:rFonts w:eastAsia="Guttman Hodes" w:hint="cs"/>
        </w:rPr>
        <w:instrText>REF</w:instrText>
      </w:r>
      <w:r w:rsidRPr="009A03FA">
        <w:rPr>
          <w:rStyle w:val="af6"/>
          <w:rFonts w:eastAsia="Guttman Hodes" w:hint="cs"/>
          <w:rtl/>
        </w:rPr>
        <w:instrText xml:space="preserve"> _</w:instrText>
      </w:r>
      <w:r w:rsidRPr="009A03FA">
        <w:rPr>
          <w:rStyle w:val="af6"/>
          <w:rFonts w:eastAsia="Guttman Hodes" w:hint="cs"/>
        </w:rPr>
        <w:instrText>Ref17367367 \r \h</w:instrText>
      </w:r>
      <w:r w:rsidRPr="009A03FA">
        <w:rPr>
          <w:rStyle w:val="af6"/>
          <w:rFonts w:eastAsia="Guttman Hodes"/>
          <w:rtl/>
        </w:rPr>
        <w:instrText xml:space="preserve"> </w:instrText>
      </w:r>
      <w:r w:rsidRPr="009A03FA">
        <w:rPr>
          <w:rStyle w:val="af6"/>
          <w:rFonts w:eastAsia="Guttman Hodes"/>
          <w:rtl/>
        </w:rPr>
      </w:r>
      <w:r w:rsidRPr="009A03FA">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9A03FA">
        <w:rPr>
          <w:rStyle w:val="af6"/>
          <w:rFonts w:eastAsia="Guttman Hodes"/>
          <w:rtl/>
        </w:rPr>
        <w:fldChar w:fldCharType="end"/>
      </w:r>
      <w:r>
        <w:rPr>
          <w:rFonts w:hint="cs"/>
          <w:rtl/>
        </w:rPr>
        <w:t xml:space="preserve"> דההיתר בנותן טעם לפגם הוא אף בבשר בחלב וכלאי הכרם, ובגמ' </w:t>
      </w:r>
      <w:r w:rsidRPr="009A03FA">
        <w:rPr>
          <w:rStyle w:val="af6"/>
          <w:rFonts w:eastAsia="Guttman Hodes" w:hint="cs"/>
          <w:rtl/>
        </w:rPr>
        <w:t>(סז:)</w:t>
      </w:r>
      <w:r>
        <w:rPr>
          <w:rFonts w:hint="cs"/>
          <w:rtl/>
        </w:rPr>
        <w:t xml:space="preserve"> מבואר דההיתר בנותן טעם לפגם נלמד מהילפותא בנבילה, וכיון דס"ל </w:t>
      </w:r>
      <w:r w:rsidRPr="00D926B5">
        <w:rPr>
          <w:rStyle w:val="af8"/>
          <w:rFonts w:hint="cs"/>
          <w:rtl/>
        </w:rPr>
        <w:t>להרמב"ם</w:t>
      </w:r>
      <w:r>
        <w:rPr>
          <w:rFonts w:hint="cs"/>
          <w:rtl/>
        </w:rPr>
        <w:t xml:space="preserve"> דדין נבילה שאינה ראויה לגר לא נאמר בבשר בחלב, א"כ לא שייך בבשר בחלב גם ההיתר דנותן טעם לפגם</w:t>
      </w:r>
      <w:bookmarkEnd w:id="10173"/>
      <w:bookmarkEnd w:id="10174"/>
      <w:r>
        <w:rPr>
          <w:rFonts w:hint="cs"/>
          <w:rtl/>
        </w:rPr>
        <w:t xml:space="preserve">, </w:t>
      </w:r>
      <w:bookmarkStart w:id="10175" w:name="_Toc17624885"/>
      <w:bookmarkStart w:id="10176" w:name="_Toc17889839"/>
      <w:bookmarkStart w:id="10177" w:name="_Toc17975461"/>
      <w:bookmarkStart w:id="10178" w:name="_Toc17984149"/>
      <w:bookmarkStart w:id="10179" w:name="_Toc18228274"/>
      <w:bookmarkStart w:id="10180" w:name="_Toc18250818"/>
      <w:bookmarkStart w:id="10181" w:name="_Toc18266275"/>
      <w:bookmarkStart w:id="10182" w:name="_Toc18269186"/>
      <w:bookmarkStart w:id="10183" w:name="_Toc18323886"/>
      <w:bookmarkStart w:id="10184" w:name="_Toc18513282"/>
      <w:bookmarkStart w:id="10185" w:name="_Toc18874385"/>
      <w:bookmarkStart w:id="10186" w:name="_Toc18946803"/>
      <w:bookmarkStart w:id="10187" w:name="_Toc19026266"/>
      <w:r>
        <w:rPr>
          <w:rStyle w:val="af8"/>
          <w:rFonts w:hint="cs"/>
          <w:rtl/>
        </w:rPr>
        <w:t>ו</w:t>
      </w:r>
      <w:r w:rsidRPr="00C7184D">
        <w:rPr>
          <w:rStyle w:val="af8"/>
          <w:rFonts w:hint="cs"/>
          <w:rtl/>
        </w:rPr>
        <w:t>בחי' הגר"ח על הש"ס</w:t>
      </w:r>
      <w:r>
        <w:rPr>
          <w:rFonts w:hint="cs"/>
          <w:rtl/>
        </w:rPr>
        <w:t xml:space="preserve"> </w:t>
      </w:r>
      <w:r w:rsidRPr="009A03FA">
        <w:rPr>
          <w:rStyle w:val="af6"/>
          <w:rFonts w:eastAsia="Guttman Hodes" w:hint="cs"/>
          <w:rtl/>
        </w:rPr>
        <w:t>(נזיר נ. בענין נצל ד"ה ונראה דהנה)</w:t>
      </w:r>
      <w:r w:rsidRPr="0097080E">
        <w:rPr>
          <w:rFonts w:hint="cs"/>
          <w:rtl/>
        </w:rPr>
        <w:t xml:space="preserve"> </w:t>
      </w:r>
      <w:r>
        <w:rPr>
          <w:rFonts w:hint="cs"/>
          <w:rtl/>
        </w:rPr>
        <w:t xml:space="preserve">הוסיף להקשות בעיקר דברי </w:t>
      </w:r>
      <w:r w:rsidRPr="00456A4F">
        <w:rPr>
          <w:rStyle w:val="af8"/>
          <w:rFonts w:hint="cs"/>
          <w:rtl/>
        </w:rPr>
        <w:t>הרמב"ם</w:t>
      </w:r>
      <w:r w:rsidRPr="00456A4F">
        <w:rPr>
          <w:rFonts w:hint="cs"/>
          <w:rtl/>
        </w:rPr>
        <w:t xml:space="preserve"> </w:t>
      </w:r>
      <w:r w:rsidRPr="009A03FA">
        <w:rPr>
          <w:rStyle w:val="af6"/>
          <w:rFonts w:eastAsia="Guttman Hodes" w:hint="cs"/>
          <w:rtl/>
        </w:rPr>
        <w:t xml:space="preserve">(עי' אות </w:t>
      </w:r>
      <w:r w:rsidRPr="009A03FA">
        <w:rPr>
          <w:rStyle w:val="af6"/>
          <w:rFonts w:eastAsia="Guttman Hodes"/>
          <w:rtl/>
        </w:rPr>
        <w:fldChar w:fldCharType="begin"/>
      </w:r>
      <w:r w:rsidRPr="009A03FA">
        <w:rPr>
          <w:rStyle w:val="af6"/>
          <w:rFonts w:eastAsia="Guttman Hodes"/>
          <w:rtl/>
        </w:rPr>
        <w:instrText xml:space="preserve"> </w:instrText>
      </w:r>
      <w:r w:rsidRPr="009A03FA">
        <w:rPr>
          <w:rStyle w:val="af6"/>
          <w:rFonts w:eastAsia="Guttman Hodes" w:hint="cs"/>
        </w:rPr>
        <w:instrText>REF</w:instrText>
      </w:r>
      <w:r w:rsidRPr="009A03FA">
        <w:rPr>
          <w:rStyle w:val="af6"/>
          <w:rFonts w:eastAsia="Guttman Hodes" w:hint="cs"/>
          <w:rtl/>
        </w:rPr>
        <w:instrText xml:space="preserve"> _</w:instrText>
      </w:r>
      <w:r w:rsidRPr="009A03FA">
        <w:rPr>
          <w:rStyle w:val="af6"/>
          <w:rFonts w:eastAsia="Guttman Hodes" w:hint="cs"/>
        </w:rPr>
        <w:instrText>Ref17367353 \r \h</w:instrText>
      </w:r>
      <w:r w:rsidRPr="009A03FA">
        <w:rPr>
          <w:rStyle w:val="af6"/>
          <w:rFonts w:eastAsia="Guttman Hodes"/>
          <w:rtl/>
        </w:rPr>
        <w:instrText xml:space="preserve"> </w:instrText>
      </w:r>
      <w:r w:rsidRPr="009A03FA">
        <w:rPr>
          <w:rStyle w:val="af6"/>
          <w:rFonts w:eastAsia="Guttman Hodes"/>
          <w:rtl/>
        </w:rPr>
      </w:r>
      <w:r w:rsidRPr="009A03FA">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9A03FA">
        <w:rPr>
          <w:rStyle w:val="af6"/>
          <w:rFonts w:eastAsia="Guttman Hodes"/>
          <w:rtl/>
        </w:rPr>
        <w:fldChar w:fldCharType="end"/>
      </w:r>
      <w:r>
        <w:rPr>
          <w:rFonts w:hint="cs"/>
          <w:rtl/>
        </w:rPr>
        <w:t xml:space="preserve"> דעירב את דין שלא כדרך הנאתן, עם דין דנבילה שאינה ראויה לגר, דהרי ההיתר באינו ראוי לגר, הוא אף בבשר בחלב ובכלאים כדכתב </w:t>
      </w:r>
      <w:r w:rsidRPr="00D926B5">
        <w:rPr>
          <w:rStyle w:val="af8"/>
          <w:rFonts w:hint="cs"/>
          <w:rtl/>
        </w:rPr>
        <w:t>הרמב"ם</w:t>
      </w:r>
      <w:r>
        <w:rPr>
          <w:rFonts w:hint="cs"/>
          <w:rtl/>
        </w:rPr>
        <w:t xml:space="preserve"> </w:t>
      </w:r>
      <w:r w:rsidRPr="009A03FA">
        <w:rPr>
          <w:rStyle w:val="af6"/>
          <w:rFonts w:eastAsia="Guttman Hodes" w:hint="cs"/>
          <w:rtl/>
        </w:rPr>
        <w:t xml:space="preserve">(עי' אות </w:t>
      </w:r>
      <w:r w:rsidRPr="009A03FA">
        <w:rPr>
          <w:rStyle w:val="af6"/>
          <w:rFonts w:eastAsia="Guttman Hodes"/>
          <w:rtl/>
        </w:rPr>
        <w:fldChar w:fldCharType="begin"/>
      </w:r>
      <w:r w:rsidRPr="009A03FA">
        <w:rPr>
          <w:rStyle w:val="af6"/>
          <w:rFonts w:eastAsia="Guttman Hodes"/>
          <w:rtl/>
        </w:rPr>
        <w:instrText xml:space="preserve"> </w:instrText>
      </w:r>
      <w:r w:rsidRPr="009A03FA">
        <w:rPr>
          <w:rStyle w:val="af6"/>
          <w:rFonts w:eastAsia="Guttman Hodes" w:hint="cs"/>
        </w:rPr>
        <w:instrText>REF</w:instrText>
      </w:r>
      <w:r w:rsidRPr="009A03FA">
        <w:rPr>
          <w:rStyle w:val="af6"/>
          <w:rFonts w:eastAsia="Guttman Hodes" w:hint="cs"/>
          <w:rtl/>
        </w:rPr>
        <w:instrText xml:space="preserve"> _</w:instrText>
      </w:r>
      <w:r w:rsidRPr="009A03FA">
        <w:rPr>
          <w:rStyle w:val="af6"/>
          <w:rFonts w:eastAsia="Guttman Hodes" w:hint="cs"/>
        </w:rPr>
        <w:instrText>Ref17367367 \r \h</w:instrText>
      </w:r>
      <w:r w:rsidRPr="009A03FA">
        <w:rPr>
          <w:rStyle w:val="af6"/>
          <w:rFonts w:eastAsia="Guttman Hodes"/>
          <w:rtl/>
        </w:rPr>
        <w:instrText xml:space="preserve"> </w:instrText>
      </w:r>
      <w:r w:rsidRPr="009A03FA">
        <w:rPr>
          <w:rStyle w:val="af6"/>
          <w:rFonts w:eastAsia="Guttman Hodes"/>
          <w:rtl/>
        </w:rPr>
      </w:r>
      <w:r w:rsidRPr="009A03FA">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9A03FA">
        <w:rPr>
          <w:rStyle w:val="af6"/>
          <w:rFonts w:eastAsia="Guttman Hodes"/>
          <w:rtl/>
        </w:rPr>
        <w:fldChar w:fldCharType="end"/>
      </w:r>
      <w:r>
        <w:rPr>
          <w:rFonts w:hint="cs"/>
          <w:rtl/>
        </w:rPr>
        <w:t xml:space="preserve">, והרי ההיתר בנותן טעם לפגם, הוא כיון שצריך שיהיה ראוי לגר, וא"כ מוכח דאף בבשר בחלב מותר באינו ראוי לגר, </w:t>
      </w:r>
      <w:r w:rsidRPr="009A03FA">
        <w:rPr>
          <w:rFonts w:hint="cs"/>
          <w:rtl/>
        </w:rPr>
        <w:t xml:space="preserve">ואילו בשלא כדרך הנאתן חייב אפילו בבשר בחלב, והיאך כלל </w:t>
      </w:r>
      <w:r w:rsidRPr="009A03FA">
        <w:rPr>
          <w:rStyle w:val="af8"/>
          <w:rFonts w:hint="cs"/>
          <w:rtl/>
        </w:rPr>
        <w:t>הרמב"ם</w:t>
      </w:r>
      <w:r w:rsidRPr="009A03FA">
        <w:rPr>
          <w:rFonts w:hint="cs"/>
          <w:rtl/>
        </w:rPr>
        <w:t xml:space="preserve"> ב' דינים אלו יחד, ועי' במה שתירץ </w:t>
      </w:r>
      <w:r w:rsidRPr="009A03FA">
        <w:rPr>
          <w:rStyle w:val="af8"/>
          <w:rFonts w:hint="cs"/>
          <w:rtl/>
        </w:rPr>
        <w:t xml:space="preserve">בחי' הגר"ח על הש"ס </w:t>
      </w:r>
      <w:r w:rsidRPr="009A03FA">
        <w:rPr>
          <w:rStyle w:val="af6"/>
          <w:rFonts w:eastAsia="Guttman Hodes" w:hint="cs"/>
          <w:rtl/>
        </w:rPr>
        <w:t xml:space="preserve">(עי' אות </w:t>
      </w:r>
      <w:r w:rsidRPr="009A03FA">
        <w:rPr>
          <w:rStyle w:val="af6"/>
          <w:rFonts w:eastAsia="Guttman Hodes"/>
          <w:rtl/>
        </w:rPr>
        <w:fldChar w:fldCharType="begin"/>
      </w:r>
      <w:r w:rsidRPr="009A03FA">
        <w:rPr>
          <w:rStyle w:val="af6"/>
          <w:rFonts w:eastAsia="Guttman Hodes"/>
          <w:rtl/>
        </w:rPr>
        <w:instrText xml:space="preserve"> </w:instrText>
      </w:r>
      <w:r w:rsidRPr="009A03FA">
        <w:rPr>
          <w:rStyle w:val="af6"/>
          <w:rFonts w:eastAsia="Guttman Hodes" w:hint="cs"/>
        </w:rPr>
        <w:instrText>REF</w:instrText>
      </w:r>
      <w:r w:rsidRPr="009A03FA">
        <w:rPr>
          <w:rStyle w:val="af6"/>
          <w:rFonts w:eastAsia="Guttman Hodes" w:hint="cs"/>
          <w:rtl/>
        </w:rPr>
        <w:instrText xml:space="preserve"> _</w:instrText>
      </w:r>
      <w:r w:rsidRPr="009A03FA">
        <w:rPr>
          <w:rStyle w:val="af6"/>
          <w:rFonts w:eastAsia="Guttman Hodes" w:hint="cs"/>
        </w:rPr>
        <w:instrText>Ref17463932 \r \h</w:instrText>
      </w:r>
      <w:r w:rsidRPr="009A03FA">
        <w:rPr>
          <w:rStyle w:val="af6"/>
          <w:rFonts w:eastAsia="Guttman Hodes"/>
          <w:rtl/>
        </w:rPr>
        <w:instrText xml:space="preserve">  \* </w:instrText>
      </w:r>
      <w:r w:rsidRPr="009A03FA">
        <w:rPr>
          <w:rStyle w:val="af6"/>
          <w:rFonts w:eastAsia="Guttman Hodes"/>
        </w:rPr>
        <w:instrText>MERGEFORMAT</w:instrText>
      </w:r>
      <w:r w:rsidRPr="009A03FA">
        <w:rPr>
          <w:rStyle w:val="af6"/>
          <w:rFonts w:eastAsia="Guttman Hodes"/>
          <w:rtl/>
        </w:rPr>
        <w:instrText xml:space="preserve"> </w:instrText>
      </w:r>
      <w:r w:rsidRPr="009A03FA">
        <w:rPr>
          <w:rStyle w:val="af6"/>
          <w:rFonts w:eastAsia="Guttman Hodes"/>
          <w:rtl/>
        </w:rPr>
      </w:r>
      <w:r w:rsidRPr="009A03FA">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9A03FA">
        <w:rPr>
          <w:rStyle w:val="af6"/>
          <w:rFonts w:eastAsia="Guttman Hodes"/>
          <w:rtl/>
        </w:rPr>
        <w:fldChar w:fldCharType="end"/>
      </w:r>
      <w:r w:rsidRPr="009A03FA">
        <w:rPr>
          <w:rFonts w:hint="cs"/>
          <w:rtl/>
        </w:rPr>
        <w:t xml:space="preserve">. [ועי' במה שהקשה </w:t>
      </w:r>
      <w:r w:rsidRPr="009A03FA">
        <w:rPr>
          <w:rStyle w:val="af8"/>
          <w:rFonts w:hint="cs"/>
          <w:rtl/>
        </w:rPr>
        <w:t>בהג' אמרי ברוך על החוו"ד</w:t>
      </w:r>
      <w:r w:rsidRPr="009A03FA">
        <w:rPr>
          <w:rFonts w:hint="cs"/>
          <w:rtl/>
        </w:rPr>
        <w:t xml:space="preserve"> </w:t>
      </w:r>
      <w:r w:rsidRPr="009A03FA">
        <w:rPr>
          <w:rStyle w:val="af6"/>
          <w:rFonts w:eastAsia="Guttman Hodes" w:hint="cs"/>
          <w:rtl/>
        </w:rPr>
        <w:t xml:space="preserve">(עי' אות </w:t>
      </w:r>
      <w:r w:rsidRPr="009A03FA">
        <w:rPr>
          <w:rStyle w:val="af6"/>
          <w:rFonts w:eastAsia="Guttman Hodes"/>
          <w:rtl/>
        </w:rPr>
        <w:fldChar w:fldCharType="begin"/>
      </w:r>
      <w:r w:rsidRPr="009A03FA">
        <w:rPr>
          <w:rStyle w:val="af6"/>
          <w:rFonts w:eastAsia="Guttman Hodes"/>
          <w:rtl/>
        </w:rPr>
        <w:instrText xml:space="preserve"> </w:instrText>
      </w:r>
      <w:r w:rsidRPr="009A03FA">
        <w:rPr>
          <w:rStyle w:val="af6"/>
          <w:rFonts w:eastAsia="Guttman Hodes" w:hint="cs"/>
        </w:rPr>
        <w:instrText>REF</w:instrText>
      </w:r>
      <w:r w:rsidRPr="009A03FA">
        <w:rPr>
          <w:rStyle w:val="af6"/>
          <w:rFonts w:eastAsia="Guttman Hodes" w:hint="cs"/>
          <w:rtl/>
        </w:rPr>
        <w:instrText xml:space="preserve"> _</w:instrText>
      </w:r>
      <w:r w:rsidRPr="009A03FA">
        <w:rPr>
          <w:rStyle w:val="af6"/>
          <w:rFonts w:eastAsia="Guttman Hodes" w:hint="cs"/>
        </w:rPr>
        <w:instrText>Ref19026131 \r \h</w:instrText>
      </w:r>
      <w:r w:rsidRPr="009A03FA">
        <w:rPr>
          <w:rStyle w:val="af6"/>
          <w:rFonts w:eastAsia="Guttman Hodes"/>
          <w:rtl/>
        </w:rPr>
        <w:instrText xml:space="preserve">  \* </w:instrText>
      </w:r>
      <w:r w:rsidRPr="009A03FA">
        <w:rPr>
          <w:rStyle w:val="af6"/>
          <w:rFonts w:eastAsia="Guttman Hodes"/>
        </w:rPr>
        <w:instrText>MERGEFORMAT</w:instrText>
      </w:r>
      <w:r w:rsidRPr="009A03FA">
        <w:rPr>
          <w:rStyle w:val="af6"/>
          <w:rFonts w:eastAsia="Guttman Hodes"/>
          <w:rtl/>
        </w:rPr>
        <w:instrText xml:space="preserve"> </w:instrText>
      </w:r>
      <w:r w:rsidRPr="009A03FA">
        <w:rPr>
          <w:rStyle w:val="af6"/>
          <w:rFonts w:eastAsia="Guttman Hodes"/>
          <w:rtl/>
        </w:rPr>
      </w:r>
      <w:r w:rsidRPr="009A03FA">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9A03FA">
        <w:rPr>
          <w:rStyle w:val="af6"/>
          <w:rFonts w:eastAsia="Guttman Hodes"/>
          <w:rtl/>
        </w:rPr>
        <w:fldChar w:fldCharType="end"/>
      </w:r>
      <w:r w:rsidRPr="009A03FA">
        <w:rPr>
          <w:rFonts w:hint="cs"/>
          <w:rtl/>
        </w:rPr>
        <w:t>, ועי' במ</w:t>
      </w:r>
      <w:r>
        <w:rPr>
          <w:rFonts w:hint="cs"/>
          <w:rtl/>
        </w:rPr>
        <w:t xml:space="preserve">"ש </w:t>
      </w:r>
      <w:r w:rsidRPr="00C76D2A">
        <w:rPr>
          <w:rStyle w:val="af8"/>
          <w:rFonts w:hint="cs"/>
          <w:rtl/>
        </w:rPr>
        <w:t>הרלב"ח והפר"ח</w:t>
      </w:r>
      <w:r>
        <w:rPr>
          <w:rFonts w:hint="cs"/>
          <w:rtl/>
        </w:rPr>
        <w:t xml:space="preserve"> </w:t>
      </w:r>
      <w:r w:rsidRPr="009A03FA">
        <w:rPr>
          <w:rStyle w:val="af6"/>
          <w:rFonts w:eastAsia="Guttman Hodes" w:hint="cs"/>
          <w:rtl/>
        </w:rPr>
        <w:t xml:space="preserve">(עי' אות </w:t>
      </w:r>
      <w:r w:rsidRPr="009A03FA">
        <w:rPr>
          <w:rStyle w:val="af6"/>
          <w:rFonts w:eastAsia="Guttman Hodes"/>
          <w:rtl/>
        </w:rPr>
        <w:fldChar w:fldCharType="begin"/>
      </w:r>
      <w:r w:rsidRPr="009A03FA">
        <w:rPr>
          <w:rStyle w:val="af6"/>
          <w:rFonts w:eastAsia="Guttman Hodes"/>
          <w:rtl/>
        </w:rPr>
        <w:instrText xml:space="preserve"> </w:instrText>
      </w:r>
      <w:r w:rsidRPr="009A03FA">
        <w:rPr>
          <w:rStyle w:val="af6"/>
          <w:rFonts w:eastAsia="Guttman Hodes" w:hint="cs"/>
        </w:rPr>
        <w:instrText>REF</w:instrText>
      </w:r>
      <w:r w:rsidRPr="009A03FA">
        <w:rPr>
          <w:rStyle w:val="af6"/>
          <w:rFonts w:eastAsia="Guttman Hodes" w:hint="cs"/>
          <w:rtl/>
        </w:rPr>
        <w:instrText xml:space="preserve"> _</w:instrText>
      </w:r>
      <w:r w:rsidRPr="009A03FA">
        <w:rPr>
          <w:rStyle w:val="af6"/>
          <w:rFonts w:eastAsia="Guttman Hodes" w:hint="cs"/>
        </w:rPr>
        <w:instrText>Ref19117391 \r \h</w:instrText>
      </w:r>
      <w:r w:rsidRPr="009A03FA">
        <w:rPr>
          <w:rStyle w:val="af6"/>
          <w:rFonts w:eastAsia="Guttman Hodes"/>
          <w:rtl/>
        </w:rPr>
        <w:instrText xml:space="preserve"> </w:instrText>
      </w:r>
      <w:r w:rsidRPr="009A03FA">
        <w:rPr>
          <w:rStyle w:val="af6"/>
          <w:rFonts w:eastAsia="Guttman Hodes"/>
          <w:rtl/>
        </w:rPr>
      </w:r>
      <w:r w:rsidRPr="009A03FA">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9A03FA">
        <w:rPr>
          <w:rStyle w:val="af6"/>
          <w:rFonts w:eastAsia="Guttman Hodes"/>
          <w:rtl/>
        </w:rPr>
        <w:fldChar w:fldCharType="end"/>
      </w:r>
      <w:r>
        <w:rPr>
          <w:rFonts w:hint="cs"/>
          <w:rtl/>
        </w:rPr>
        <w:t>].</w:t>
      </w:r>
    </w:p>
    <w:p w:rsidR="0013006A" w:rsidRDefault="0013006A" w:rsidP="0013006A">
      <w:pPr>
        <w:pStyle w:val="1"/>
        <w:rPr>
          <w:rtl/>
        </w:rPr>
      </w:pPr>
      <w:bookmarkStart w:id="10188" w:name="_Toc19029747"/>
      <w:bookmarkStart w:id="10189" w:name="_Toc19030131"/>
      <w:bookmarkStart w:id="10190" w:name="_Toc19082192"/>
      <w:bookmarkStart w:id="10191" w:name="_Toc19129530"/>
      <w:bookmarkStart w:id="10192" w:name="_Toc19130086"/>
      <w:bookmarkStart w:id="10193" w:name="_Toc19171044"/>
      <w:bookmarkStart w:id="10194" w:name="_Toc19180900"/>
      <w:r>
        <w:rPr>
          <w:rFonts w:hint="cs"/>
          <w:rtl/>
        </w:rPr>
        <w:t>ביאור הגר"ח</w:t>
      </w:r>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r>
        <w:rPr>
          <w:rFonts w:hint="cs"/>
          <w:rtl/>
        </w:rPr>
        <w:t xml:space="preserve"> ברמב"ם דטע"כ בב"ח הוא תלוי באיסור אכילה</w:t>
      </w:r>
      <w:bookmarkEnd w:id="10194"/>
    </w:p>
    <w:p w:rsidR="0013006A" w:rsidRPr="00A37615" w:rsidRDefault="0013006A" w:rsidP="0013006A">
      <w:pPr>
        <w:pStyle w:val="a2"/>
        <w:rPr>
          <w:rtl/>
        </w:rPr>
      </w:pPr>
      <w:bookmarkStart w:id="10195" w:name="_Toc19171045"/>
      <w:bookmarkStart w:id="10196" w:name="_Toc19180901"/>
      <w:r>
        <w:rPr>
          <w:rFonts w:hint="cs"/>
          <w:rtl/>
        </w:rPr>
        <w:t>ביאור הגר"ח דרק גוף בב"ח אסור באינו ראוי לגר אך נטל"פ מותר בב"ח מדין טע"כ</w:t>
      </w:r>
      <w:bookmarkEnd w:id="10195"/>
      <w:bookmarkEnd w:id="10196"/>
    </w:p>
    <w:p w:rsidR="0013006A" w:rsidRDefault="0013006A" w:rsidP="009F44AF">
      <w:pPr>
        <w:pStyle w:val="a"/>
        <w:rPr>
          <w:rtl/>
        </w:rPr>
      </w:pPr>
      <w:r>
        <w:rPr>
          <w:rFonts w:hint="cs"/>
          <w:rtl/>
        </w:rPr>
        <w:t xml:space="preserve">וכתב </w:t>
      </w:r>
      <w:r w:rsidRPr="00456A4F">
        <w:rPr>
          <w:rStyle w:val="af8"/>
          <w:rFonts w:hint="cs"/>
          <w:rtl/>
        </w:rPr>
        <w:t>הגר"ח</w:t>
      </w:r>
      <w:r w:rsidRPr="00456A4F">
        <w:rPr>
          <w:rFonts w:hint="cs"/>
          <w:rtl/>
        </w:rPr>
        <w:t xml:space="preserve"> </w:t>
      </w:r>
      <w:r>
        <w:rPr>
          <w:rFonts w:hint="cs"/>
          <w:rtl/>
        </w:rPr>
        <w:t xml:space="preserve">דס"ל </w:t>
      </w:r>
      <w:r w:rsidRPr="00D5692E">
        <w:rPr>
          <w:rStyle w:val="af8"/>
          <w:rFonts w:hint="cs"/>
          <w:rtl/>
        </w:rPr>
        <w:t>להרמב"ם</w:t>
      </w:r>
      <w:r>
        <w:rPr>
          <w:rFonts w:hint="cs"/>
          <w:rtl/>
        </w:rPr>
        <w:t xml:space="preserve"> דאף דעיקר איסור בשר בחלב וכלאי הכרם, נאמר אף במקום שאינו ראוי לגר, מ"מ זהו רק בגוף האיסור עצמו, אבל במקום שהחיוב בבשר בחלב ובכלאי הכרם הוא מדין טעם כעיקר, בזה ס"ל </w:t>
      </w:r>
      <w:r w:rsidRPr="002776F9">
        <w:rPr>
          <w:rStyle w:val="af8"/>
          <w:rFonts w:hint="cs"/>
          <w:rtl/>
        </w:rPr>
        <w:t>להרמב"ם</w:t>
      </w:r>
      <w:r>
        <w:rPr>
          <w:rFonts w:hint="cs"/>
          <w:rtl/>
        </w:rPr>
        <w:t xml:space="preserve"> דאף בבשר בחלב ובכלאי הכרם האיסור הוא רק כשראוי לגר.</w:t>
      </w:r>
    </w:p>
    <w:p w:rsidR="0013006A" w:rsidRPr="00A37615" w:rsidRDefault="0013006A" w:rsidP="0013006A">
      <w:pPr>
        <w:pStyle w:val="a2"/>
        <w:rPr>
          <w:rtl/>
        </w:rPr>
      </w:pPr>
      <w:bookmarkStart w:id="10197" w:name="_Toc19171046"/>
      <w:bookmarkStart w:id="10198" w:name="_Toc19180902"/>
      <w:r>
        <w:rPr>
          <w:rFonts w:hint="cs"/>
          <w:rtl/>
        </w:rPr>
        <w:t>ביאור הגר"ח דין טע"כ הוא רק באיסור אכילה וכשפקע האיסור מהחפצא לא שייך טע"כ</w:t>
      </w:r>
      <w:bookmarkEnd w:id="10197"/>
      <w:bookmarkEnd w:id="10198"/>
    </w:p>
    <w:p w:rsidR="0013006A" w:rsidRDefault="0013006A" w:rsidP="009F44AF">
      <w:pPr>
        <w:pStyle w:val="a"/>
        <w:rPr>
          <w:rtl/>
        </w:rPr>
      </w:pPr>
      <w:r w:rsidRPr="00E137FB">
        <w:rPr>
          <w:rFonts w:hint="cs"/>
          <w:rtl/>
        </w:rPr>
        <w:t xml:space="preserve">וביאר </w:t>
      </w:r>
      <w:r w:rsidRPr="00E137FB">
        <w:rPr>
          <w:rStyle w:val="af8"/>
          <w:rFonts w:hint="cs"/>
          <w:rtl/>
        </w:rPr>
        <w:t xml:space="preserve">הגר"ח </w:t>
      </w:r>
      <w:r w:rsidRPr="00E137FB">
        <w:rPr>
          <w:rFonts w:hint="cs"/>
          <w:rtl/>
        </w:rPr>
        <w:t xml:space="preserve">דס"ל </w:t>
      </w:r>
      <w:r w:rsidRPr="00E137FB">
        <w:rPr>
          <w:rStyle w:val="af8"/>
          <w:rFonts w:hint="cs"/>
          <w:rtl/>
        </w:rPr>
        <w:t xml:space="preserve">להרמב"ם </w:t>
      </w:r>
      <w:r>
        <w:rPr>
          <w:rFonts w:hint="cs"/>
          <w:rtl/>
        </w:rPr>
        <w:t>ד</w:t>
      </w:r>
      <w:r w:rsidRPr="00E137FB">
        <w:rPr>
          <w:rFonts w:hint="cs"/>
          <w:rtl/>
        </w:rPr>
        <w:t xml:space="preserve">דין טעם כעיקר לא בא לומר </w:t>
      </w:r>
      <w:r>
        <w:rPr>
          <w:rFonts w:hint="cs"/>
          <w:rtl/>
        </w:rPr>
        <w:t>ש</w:t>
      </w:r>
      <w:r w:rsidRPr="00E137FB">
        <w:rPr>
          <w:rFonts w:hint="cs"/>
          <w:rtl/>
        </w:rPr>
        <w:t>כשיש טעם פקע דין ביטול ברוב, אלא ד</w:t>
      </w:r>
      <w:r>
        <w:rPr>
          <w:rFonts w:hint="cs"/>
          <w:rtl/>
        </w:rPr>
        <w:t xml:space="preserve">אחר </w:t>
      </w:r>
      <w:r w:rsidRPr="00E137FB">
        <w:rPr>
          <w:rFonts w:hint="cs"/>
          <w:rtl/>
        </w:rPr>
        <w:t xml:space="preserve">הילפותא בגמ' בפסחים </w:t>
      </w:r>
      <w:r w:rsidRPr="00A65746">
        <w:rPr>
          <w:rStyle w:val="af6"/>
          <w:rFonts w:eastAsia="Guttman Hodes" w:hint="cs"/>
          <w:rtl/>
        </w:rPr>
        <w:t>(מד.)</w:t>
      </w:r>
      <w:r w:rsidRPr="00E137FB">
        <w:rPr>
          <w:rFonts w:hint="cs"/>
          <w:rtl/>
        </w:rPr>
        <w:t xml:space="preserve"> ממשרת דטעם כעיקר אסור, </w:t>
      </w:r>
      <w:r>
        <w:rPr>
          <w:rFonts w:hint="cs"/>
          <w:rtl/>
        </w:rPr>
        <w:t xml:space="preserve">ואחר שיש חלות דין חדש דטעם כעיקר, </w:t>
      </w:r>
      <w:r w:rsidRPr="00E137FB">
        <w:rPr>
          <w:rFonts w:hint="cs"/>
          <w:rtl/>
        </w:rPr>
        <w:t>ממילא אינו מתבטל ברוב</w:t>
      </w:r>
      <w:r>
        <w:rPr>
          <w:rFonts w:hint="cs"/>
          <w:rtl/>
        </w:rPr>
        <w:t>,</w:t>
      </w:r>
      <w:r w:rsidRPr="00066BA6">
        <w:rPr>
          <w:rFonts w:hint="cs"/>
          <w:rtl/>
        </w:rPr>
        <w:t xml:space="preserve"> </w:t>
      </w:r>
      <w:r w:rsidRPr="00EC5B1C">
        <w:rPr>
          <w:rFonts w:hint="cs"/>
          <w:rtl/>
        </w:rPr>
        <w:t xml:space="preserve">וכתב </w:t>
      </w:r>
      <w:r w:rsidRPr="00D5692E">
        <w:rPr>
          <w:rStyle w:val="af8"/>
          <w:rFonts w:hint="cs"/>
          <w:rtl/>
        </w:rPr>
        <w:t xml:space="preserve">הגר"ח </w:t>
      </w:r>
      <w:r w:rsidRPr="00EC5B1C">
        <w:rPr>
          <w:rFonts w:hint="cs"/>
          <w:rtl/>
        </w:rPr>
        <w:t>דא"כ מבואר דכל דין טעם כעיקר שייך רק לענין איסור אכילה, ולא לשאר דינים, ובמקום ש</w:t>
      </w:r>
      <w:r>
        <w:rPr>
          <w:rFonts w:hint="cs"/>
          <w:rtl/>
        </w:rPr>
        <w:t>פקע מהחפצא של האיסור הדין שאוסרו</w:t>
      </w:r>
      <w:r w:rsidRPr="00EC5B1C">
        <w:rPr>
          <w:rFonts w:hint="cs"/>
          <w:rtl/>
        </w:rPr>
        <w:t xml:space="preserve"> </w:t>
      </w:r>
      <w:r>
        <w:rPr>
          <w:rFonts w:hint="cs"/>
          <w:rtl/>
        </w:rPr>
        <w:t>ב</w:t>
      </w:r>
      <w:r w:rsidRPr="00EC5B1C">
        <w:rPr>
          <w:rFonts w:hint="cs"/>
          <w:rtl/>
        </w:rPr>
        <w:t>אכילה</w:t>
      </w:r>
      <w:r>
        <w:rPr>
          <w:rFonts w:hint="cs"/>
          <w:rtl/>
        </w:rPr>
        <w:t>, ממילא</w:t>
      </w:r>
      <w:r w:rsidRPr="00EC5B1C">
        <w:rPr>
          <w:rFonts w:hint="cs"/>
          <w:rtl/>
        </w:rPr>
        <w:t xml:space="preserve"> לא שייך</w:t>
      </w:r>
      <w:r>
        <w:rPr>
          <w:rFonts w:hint="cs"/>
          <w:rtl/>
        </w:rPr>
        <w:t xml:space="preserve"> בו</w:t>
      </w:r>
      <w:r w:rsidRPr="00EC5B1C">
        <w:rPr>
          <w:rFonts w:hint="cs"/>
          <w:rtl/>
        </w:rPr>
        <w:t xml:space="preserve"> </w:t>
      </w:r>
      <w:r>
        <w:rPr>
          <w:rFonts w:hint="cs"/>
          <w:rtl/>
        </w:rPr>
        <w:t xml:space="preserve">דין </w:t>
      </w:r>
      <w:r w:rsidRPr="00EC5B1C">
        <w:rPr>
          <w:rFonts w:hint="cs"/>
          <w:rtl/>
        </w:rPr>
        <w:t>טעם כעיקר</w:t>
      </w:r>
      <w:r w:rsidRPr="00E137FB">
        <w:rPr>
          <w:rFonts w:hint="cs"/>
          <w:rtl/>
        </w:rPr>
        <w:t>.</w:t>
      </w:r>
    </w:p>
    <w:p w:rsidR="0013006A" w:rsidRPr="00A65746" w:rsidRDefault="0013006A" w:rsidP="0013006A">
      <w:pPr>
        <w:pStyle w:val="a2"/>
        <w:rPr>
          <w:rtl/>
        </w:rPr>
      </w:pPr>
      <w:bookmarkStart w:id="10199" w:name="_Toc19180903"/>
      <w:r>
        <w:rPr>
          <w:rFonts w:hint="cs"/>
          <w:rtl/>
        </w:rPr>
        <w:t>ביאור הגר"ח דאף בבב"ח טע"כ אסור רק מדין אכילה ובאינו ראוי לגר פקע איסור אכילה</w:t>
      </w:r>
      <w:bookmarkEnd w:id="10199"/>
    </w:p>
    <w:p w:rsidR="0013006A" w:rsidRDefault="0013006A" w:rsidP="009F44AF">
      <w:pPr>
        <w:pStyle w:val="a"/>
        <w:rPr>
          <w:rtl/>
        </w:rPr>
      </w:pPr>
      <w:r>
        <w:rPr>
          <w:rFonts w:hint="cs"/>
          <w:rtl/>
        </w:rPr>
        <w:t xml:space="preserve">וכתב </w:t>
      </w:r>
      <w:r w:rsidRPr="00D5692E">
        <w:rPr>
          <w:rStyle w:val="af8"/>
          <w:rFonts w:hint="cs"/>
          <w:rtl/>
        </w:rPr>
        <w:t xml:space="preserve">הגר"ח </w:t>
      </w:r>
      <w:r>
        <w:rPr>
          <w:rFonts w:hint="cs"/>
          <w:rtl/>
        </w:rPr>
        <w:t xml:space="preserve">דא"כ בבבשר בחלב וכלאי הכרם אף שבעצם האיסור עצמו לא נאמר בהם הדין דנבילה שאינה ראויה לגר אינה קרויה נבילה, מ"מ במקום שבשר בחלב וכלאי הכרם התערבו בתוך היתר, דאסורים רק מדין טעם כעיקר, כיון שהוא דין מחודש וחלות הדין שלו נאמר באיסור אכילה, כדילפינן </w:t>
      </w:r>
      <w:r w:rsidRPr="00B22EC0">
        <w:rPr>
          <w:rFonts w:hint="cs"/>
          <w:rtl/>
        </w:rPr>
        <w:t xml:space="preserve">בגמ' בפסחים </w:t>
      </w:r>
      <w:r w:rsidRPr="00D5692E">
        <w:rPr>
          <w:rStyle w:val="af6"/>
          <w:rFonts w:eastAsia="Guttman Hodes" w:hint="cs"/>
          <w:rtl/>
        </w:rPr>
        <w:t>(מד.)</w:t>
      </w:r>
      <w:r w:rsidRPr="00B22EC0">
        <w:rPr>
          <w:rFonts w:hint="cs"/>
          <w:rtl/>
        </w:rPr>
        <w:t xml:space="preserve"> </w:t>
      </w:r>
      <w:r>
        <w:rPr>
          <w:rFonts w:hint="cs"/>
          <w:rtl/>
        </w:rPr>
        <w:t>מקרא "וכל משרת ענבים לא יאכל", א"כ כל דין טעם כעיקר שייך רק באופן שהוא ראוי לגר, דאיסור אכילה שייך רק במקום שראוי</w:t>
      </w:r>
      <w:r w:rsidRPr="00B85A8F">
        <w:rPr>
          <w:rFonts w:hint="cs"/>
          <w:rtl/>
        </w:rPr>
        <w:t xml:space="preserve"> </w:t>
      </w:r>
      <w:r>
        <w:rPr>
          <w:rFonts w:hint="cs"/>
          <w:rtl/>
        </w:rPr>
        <w:t>לגר, כדילפינן מנבילה דבאינו ראוי לגר פקע איסור אכילה מעצם החפצא, וכיון שאינו אסור באכילה, ממילא לא שייך בו הדין המחודש של טעם כעיקר.</w:t>
      </w:r>
    </w:p>
    <w:p w:rsidR="0013006A" w:rsidRPr="00A37615" w:rsidRDefault="0013006A" w:rsidP="0013006A">
      <w:pPr>
        <w:pStyle w:val="a2"/>
        <w:rPr>
          <w:rtl/>
        </w:rPr>
      </w:pPr>
      <w:bookmarkStart w:id="10200" w:name="_Toc19180904"/>
      <w:r>
        <w:rPr>
          <w:rFonts w:hint="cs"/>
          <w:rtl/>
        </w:rPr>
        <w:lastRenderedPageBreak/>
        <w:t>דברי הגר"ח דבתערובת האיסור בב"ח הוא רק מדין טע"כ דהוא איסור אכילה ומותר בלא ראוי</w:t>
      </w:r>
      <w:bookmarkEnd w:id="10200"/>
      <w:r>
        <w:rPr>
          <w:rFonts w:hint="cs"/>
          <w:rtl/>
        </w:rPr>
        <w:t xml:space="preserve"> </w:t>
      </w:r>
    </w:p>
    <w:p w:rsidR="0013006A" w:rsidRDefault="0013006A" w:rsidP="009F44AF">
      <w:pPr>
        <w:pStyle w:val="a"/>
        <w:rPr>
          <w:rtl/>
        </w:rPr>
      </w:pPr>
      <w:r>
        <w:rPr>
          <w:rFonts w:hint="cs"/>
          <w:rtl/>
        </w:rPr>
        <w:t xml:space="preserve">וכתב </w:t>
      </w:r>
      <w:r w:rsidRPr="00D5692E">
        <w:rPr>
          <w:rStyle w:val="af8"/>
          <w:rFonts w:hint="cs"/>
          <w:rtl/>
        </w:rPr>
        <w:t>הגר"ח</w:t>
      </w:r>
      <w:r>
        <w:rPr>
          <w:rFonts w:hint="cs"/>
          <w:rtl/>
        </w:rPr>
        <w:t xml:space="preserve"> דאעפ"י דבשר בחלב וכלאי הכרם עצם האיסור שלהם הוא אף כשאינם ראויים לגר, מ"מ במקום שהתערבו בתערובת דהאיסור הוא רק מדין טעם כעיקר, </w:t>
      </w:r>
      <w:r w:rsidRPr="00D5692E">
        <w:rPr>
          <w:rStyle w:val="afa"/>
          <w:rFonts w:hint="cs"/>
          <w:rtl/>
        </w:rPr>
        <w:t>[דבגוף האיסור עצמו מהני ביטול ברוב],</w:t>
      </w:r>
      <w:r>
        <w:rPr>
          <w:rFonts w:hint="cs"/>
          <w:rtl/>
        </w:rPr>
        <w:t xml:space="preserve"> א"כ האיסור הוא רק בראוי לגר, דדין טעם כעיקר נאמר בדין אכילה, ובאיסור אכילה החיוב הוא רק בראוי לגר.</w:t>
      </w:r>
    </w:p>
    <w:p w:rsidR="0013006A" w:rsidRPr="00A37615" w:rsidRDefault="0013006A" w:rsidP="0013006A">
      <w:pPr>
        <w:pStyle w:val="a2"/>
      </w:pPr>
      <w:bookmarkStart w:id="10201" w:name="_Toc19180905"/>
      <w:r>
        <w:rPr>
          <w:rFonts w:hint="cs"/>
          <w:rtl/>
        </w:rPr>
        <w:t>ביאור הגר"ח ברמב"ם דנטל"פ מותר בב"ח כיון דנטל"פ נלמד מנבילה שהוא דין באכילה</w:t>
      </w:r>
      <w:bookmarkEnd w:id="10201"/>
    </w:p>
    <w:p w:rsidR="0013006A" w:rsidRDefault="0013006A" w:rsidP="009F44AF">
      <w:pPr>
        <w:pStyle w:val="a"/>
        <w:rPr>
          <w:rtl/>
        </w:rPr>
      </w:pPr>
      <w:r>
        <w:rPr>
          <w:rFonts w:hint="cs"/>
          <w:rtl/>
        </w:rPr>
        <w:t xml:space="preserve">וכתב </w:t>
      </w:r>
      <w:r w:rsidRPr="00D5692E">
        <w:rPr>
          <w:rStyle w:val="af8"/>
          <w:rFonts w:hint="cs"/>
          <w:rtl/>
        </w:rPr>
        <w:t>הגר"ח</w:t>
      </w:r>
      <w:r>
        <w:rPr>
          <w:rFonts w:hint="cs"/>
          <w:rtl/>
        </w:rPr>
        <w:t xml:space="preserve"> דא"כ מיושבים דברי </w:t>
      </w:r>
      <w:r w:rsidRPr="00D5692E">
        <w:rPr>
          <w:rStyle w:val="af8"/>
          <w:rFonts w:hint="cs"/>
          <w:rtl/>
        </w:rPr>
        <w:t>הרמב"ם</w:t>
      </w:r>
      <w:r>
        <w:rPr>
          <w:rFonts w:hint="cs"/>
          <w:rtl/>
        </w:rPr>
        <w:t xml:space="preserve"> </w:t>
      </w:r>
      <w:r w:rsidRPr="00E067E8">
        <w:rPr>
          <w:rStyle w:val="af6"/>
          <w:rFonts w:eastAsia="Guttman Hodes" w:hint="cs"/>
          <w:rtl/>
        </w:rPr>
        <w:t xml:space="preserve">(עי' אות </w:t>
      </w:r>
      <w:r w:rsidRPr="00E067E8">
        <w:rPr>
          <w:rStyle w:val="af6"/>
          <w:rFonts w:eastAsia="Guttman Hodes"/>
          <w:rtl/>
        </w:rPr>
        <w:fldChar w:fldCharType="begin"/>
      </w:r>
      <w:r w:rsidRPr="00E067E8">
        <w:rPr>
          <w:rStyle w:val="af6"/>
          <w:rFonts w:eastAsia="Guttman Hodes"/>
          <w:rtl/>
        </w:rPr>
        <w:instrText xml:space="preserve"> </w:instrText>
      </w:r>
      <w:r w:rsidRPr="00E067E8">
        <w:rPr>
          <w:rStyle w:val="af6"/>
          <w:rFonts w:eastAsia="Guttman Hodes" w:hint="cs"/>
        </w:rPr>
        <w:instrText>REF</w:instrText>
      </w:r>
      <w:r w:rsidRPr="00E067E8">
        <w:rPr>
          <w:rStyle w:val="af6"/>
          <w:rFonts w:eastAsia="Guttman Hodes" w:hint="cs"/>
          <w:rtl/>
        </w:rPr>
        <w:instrText xml:space="preserve"> _</w:instrText>
      </w:r>
      <w:r w:rsidRPr="00E067E8">
        <w:rPr>
          <w:rStyle w:val="af6"/>
          <w:rFonts w:eastAsia="Guttman Hodes" w:hint="cs"/>
        </w:rPr>
        <w:instrText>Ref17625423 \r \h</w:instrText>
      </w:r>
      <w:r w:rsidRPr="00E067E8">
        <w:rPr>
          <w:rStyle w:val="af6"/>
          <w:rFonts w:eastAsia="Guttman Hodes"/>
          <w:rtl/>
        </w:rPr>
        <w:instrText xml:space="preserve"> </w:instrText>
      </w:r>
      <w:r w:rsidRPr="00E067E8">
        <w:rPr>
          <w:rStyle w:val="af6"/>
          <w:rFonts w:eastAsia="Guttman Hodes"/>
          <w:rtl/>
        </w:rPr>
      </w:r>
      <w:r w:rsidRPr="00E067E8">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E067E8">
        <w:rPr>
          <w:rStyle w:val="af6"/>
          <w:rFonts w:eastAsia="Guttman Hodes"/>
          <w:rtl/>
        </w:rPr>
        <w:fldChar w:fldCharType="end"/>
      </w:r>
      <w:r>
        <w:rPr>
          <w:rFonts w:hint="cs"/>
          <w:rtl/>
        </w:rPr>
        <w:t xml:space="preserve"> דכתב דההיתר בנותן טעם לפגם הוא אף בבשר בחלב וכלאי הכרם, דדין נותן טעם לפגם נלמד מהילפותא מנבילה, והיינו דבנותן טעם לפגם לא נאמר הדין דטעם כעיקר, ובמקום שלא נאמר הדין המחודש של טעם כעיקר, ממילא מהני ביטול ברוב, ולכן אין בהם איסור כלל בנותן טעם לפגם. [וע"ע במה שהוסיף </w:t>
      </w:r>
      <w:r w:rsidRPr="00870B8F">
        <w:rPr>
          <w:rStyle w:val="af8"/>
          <w:rFonts w:hint="cs"/>
          <w:rtl/>
        </w:rPr>
        <w:t>הגר"ח</w:t>
      </w:r>
      <w:r>
        <w:rPr>
          <w:rFonts w:hint="cs"/>
          <w:rtl/>
        </w:rPr>
        <w:t xml:space="preserve"> </w:t>
      </w:r>
      <w:r w:rsidRPr="00870B8F">
        <w:rPr>
          <w:rStyle w:val="af6"/>
          <w:rFonts w:eastAsia="Guttman Hodes" w:hint="cs"/>
          <w:rtl/>
        </w:rPr>
        <w:t xml:space="preserve">(עי' אות </w:t>
      </w:r>
      <w:r w:rsidRPr="00870B8F">
        <w:rPr>
          <w:rStyle w:val="af6"/>
          <w:rFonts w:eastAsia="Guttman Hodes"/>
          <w:rtl/>
        </w:rPr>
        <w:fldChar w:fldCharType="begin"/>
      </w:r>
      <w:r w:rsidRPr="00870B8F">
        <w:rPr>
          <w:rStyle w:val="af6"/>
          <w:rFonts w:eastAsia="Guttman Hodes"/>
          <w:rtl/>
        </w:rPr>
        <w:instrText xml:space="preserve"> </w:instrText>
      </w:r>
      <w:r w:rsidRPr="00870B8F">
        <w:rPr>
          <w:rStyle w:val="af6"/>
          <w:rFonts w:eastAsia="Guttman Hodes" w:hint="cs"/>
        </w:rPr>
        <w:instrText>REF</w:instrText>
      </w:r>
      <w:r w:rsidRPr="00870B8F">
        <w:rPr>
          <w:rStyle w:val="af6"/>
          <w:rFonts w:eastAsia="Guttman Hodes" w:hint="cs"/>
          <w:rtl/>
        </w:rPr>
        <w:instrText xml:space="preserve"> _</w:instrText>
      </w:r>
      <w:r w:rsidRPr="00870B8F">
        <w:rPr>
          <w:rStyle w:val="af6"/>
          <w:rFonts w:eastAsia="Guttman Hodes" w:hint="cs"/>
        </w:rPr>
        <w:instrText>Ref19177802 \r \h</w:instrText>
      </w:r>
      <w:r w:rsidRPr="00870B8F">
        <w:rPr>
          <w:rStyle w:val="af6"/>
          <w:rFonts w:eastAsia="Guttman Hodes"/>
          <w:rtl/>
        </w:rPr>
        <w:instrText xml:space="preserve"> </w:instrText>
      </w:r>
      <w:r w:rsidRPr="00870B8F">
        <w:rPr>
          <w:rStyle w:val="af6"/>
          <w:rFonts w:eastAsia="Guttman Hodes"/>
          <w:rtl/>
        </w:rPr>
      </w:r>
      <w:r w:rsidRPr="00870B8F">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870B8F">
        <w:rPr>
          <w:rStyle w:val="af6"/>
          <w:rFonts w:eastAsia="Guttman Hodes"/>
          <w:rtl/>
        </w:rPr>
        <w:fldChar w:fldCharType="end"/>
      </w:r>
      <w:r>
        <w:rPr>
          <w:rFonts w:hint="cs"/>
          <w:rtl/>
        </w:rPr>
        <w:t xml:space="preserve"> בזה].</w:t>
      </w:r>
    </w:p>
    <w:p w:rsidR="0013006A" w:rsidRPr="00A37615" w:rsidRDefault="0013006A" w:rsidP="0013006A">
      <w:pPr>
        <w:pStyle w:val="a2"/>
        <w:rPr>
          <w:rtl/>
        </w:rPr>
      </w:pPr>
      <w:bookmarkStart w:id="10202" w:name="_Toc19180906"/>
      <w:bookmarkStart w:id="10203" w:name="_Toc19029748"/>
      <w:r>
        <w:rPr>
          <w:rFonts w:hint="cs"/>
          <w:rtl/>
        </w:rPr>
        <w:t>ביאור הגר"ח דכל שאין לו שם אוכל לא נאמר בו טע"כ ובאינו ראוי לאכילה לא שייך  טע"כ</w:t>
      </w:r>
      <w:bookmarkEnd w:id="10202"/>
      <w:r>
        <w:rPr>
          <w:rFonts w:hint="cs"/>
          <w:rtl/>
        </w:rPr>
        <w:t xml:space="preserve"> </w:t>
      </w:r>
    </w:p>
    <w:p w:rsidR="0013006A" w:rsidRPr="003D5E90" w:rsidRDefault="0013006A" w:rsidP="009F44AF">
      <w:pPr>
        <w:pStyle w:val="a"/>
      </w:pPr>
      <w:r w:rsidRPr="00EC5B1C">
        <w:rPr>
          <w:rFonts w:hint="cs"/>
          <w:rtl/>
        </w:rPr>
        <w:t>והוסיף</w:t>
      </w:r>
      <w:r w:rsidRPr="00482752">
        <w:rPr>
          <w:rStyle w:val="af8"/>
          <w:rFonts w:hint="cs"/>
          <w:rtl/>
        </w:rPr>
        <w:t xml:space="preserve"> הגר"ח</w:t>
      </w:r>
      <w:r w:rsidRPr="00EC5B1C">
        <w:rPr>
          <w:rFonts w:hint="cs"/>
          <w:rtl/>
        </w:rPr>
        <w:t xml:space="preserve"> </w:t>
      </w:r>
      <w:r w:rsidRPr="00482752">
        <w:rPr>
          <w:rStyle w:val="af6"/>
          <w:rFonts w:eastAsia="Guttman Hodes" w:hint="cs"/>
          <w:rtl/>
        </w:rPr>
        <w:t>(מאכ"א פט"ו ה"א ד"ה ונראה עוד)</w:t>
      </w:r>
      <w:r w:rsidRPr="00EC5B1C">
        <w:rPr>
          <w:rFonts w:hint="cs"/>
          <w:rtl/>
        </w:rPr>
        <w:t xml:space="preserve"> </w:t>
      </w:r>
      <w:r>
        <w:rPr>
          <w:rFonts w:hint="cs"/>
          <w:rtl/>
        </w:rPr>
        <w:t xml:space="preserve">לבאר דלא רק דכל דין טעם כעיקר הוא איסור בדין אוכל, וכל שאין לו שם אוכל לא נאמרה בו האזהרה של טעם כעיקר, אלא </w:t>
      </w:r>
      <w:r w:rsidRPr="00EC5B1C">
        <w:rPr>
          <w:rFonts w:hint="cs"/>
          <w:rtl/>
        </w:rPr>
        <w:t>כל חלות הדין של טעם כעיקר, הוא תלוי בדין האוכל, וכל שאי</w:t>
      </w:r>
      <w:r>
        <w:rPr>
          <w:rFonts w:hint="cs"/>
          <w:rtl/>
        </w:rPr>
        <w:t>נו ראוי לאכילה, לא שייך בו חלות הדין של טעם כעיקר כלל</w:t>
      </w:r>
      <w:r>
        <w:rPr>
          <w:rStyle w:val="af0"/>
          <w:rtl/>
        </w:rPr>
        <w:footnoteReference w:id="47"/>
      </w:r>
      <w:r>
        <w:rPr>
          <w:rFonts w:hint="cs"/>
          <w:rtl/>
        </w:rPr>
        <w:t>.</w:t>
      </w:r>
    </w:p>
    <w:p w:rsidR="0013006A" w:rsidRDefault="0013006A" w:rsidP="0013006A">
      <w:pPr>
        <w:pStyle w:val="1"/>
        <w:rPr>
          <w:rtl/>
        </w:rPr>
      </w:pPr>
      <w:bookmarkStart w:id="10204" w:name="_Toc19030132"/>
      <w:bookmarkStart w:id="10205" w:name="_Toc19082193"/>
      <w:bookmarkStart w:id="10206" w:name="_Toc19129531"/>
      <w:bookmarkStart w:id="10207" w:name="_Toc19130087"/>
      <w:bookmarkStart w:id="10208" w:name="_Toc19171047"/>
      <w:bookmarkStart w:id="10209" w:name="_Toc19180907"/>
      <w:r>
        <w:rPr>
          <w:rFonts w:hint="cs"/>
          <w:rtl/>
        </w:rPr>
        <w:t>הוכחת הגר"ח מהרשב"א והר"ן</w:t>
      </w:r>
      <w:bookmarkEnd w:id="10204"/>
      <w:bookmarkEnd w:id="10205"/>
      <w:bookmarkEnd w:id="10206"/>
      <w:bookmarkEnd w:id="10207"/>
      <w:bookmarkEnd w:id="10208"/>
      <w:r>
        <w:rPr>
          <w:rFonts w:hint="cs"/>
          <w:rtl/>
        </w:rPr>
        <w:t xml:space="preserve"> דאינו ראוי לגר הוא דין באכילה</w:t>
      </w:r>
      <w:bookmarkEnd w:id="10209"/>
    </w:p>
    <w:p w:rsidR="0013006A" w:rsidRPr="00A37615" w:rsidRDefault="0013006A" w:rsidP="0013006A">
      <w:pPr>
        <w:pStyle w:val="a2"/>
        <w:jc w:val="both"/>
        <w:rPr>
          <w:rtl/>
        </w:rPr>
      </w:pPr>
      <w:bookmarkStart w:id="10210" w:name="_Toc19030133"/>
      <w:bookmarkStart w:id="10211" w:name="_Toc19082194"/>
      <w:bookmarkStart w:id="10212" w:name="_Toc19129532"/>
      <w:bookmarkStart w:id="10213" w:name="_Toc19130088"/>
      <w:bookmarkStart w:id="10214" w:name="_Toc19171048"/>
      <w:bookmarkStart w:id="10215" w:name="_Toc19180908"/>
      <w:r w:rsidRPr="00A37615">
        <w:rPr>
          <w:rFonts w:hint="cs"/>
          <w:rtl/>
        </w:rPr>
        <w:t>דברי הגר"ח דאי היתר אינו ראוי לגר הוא היתר בחפצא של האיסור פגום במקצת אסור</w:t>
      </w:r>
      <w:bookmarkEnd w:id="10203"/>
      <w:bookmarkEnd w:id="10210"/>
      <w:bookmarkEnd w:id="10211"/>
      <w:bookmarkEnd w:id="10212"/>
      <w:bookmarkEnd w:id="10213"/>
      <w:bookmarkEnd w:id="10214"/>
      <w:bookmarkEnd w:id="10215"/>
      <w:r w:rsidRPr="00A37615">
        <w:rPr>
          <w:rFonts w:hint="cs"/>
          <w:rtl/>
        </w:rPr>
        <w:t xml:space="preserve"> </w:t>
      </w:r>
    </w:p>
    <w:p w:rsidR="0013006A" w:rsidRDefault="0013006A" w:rsidP="009F44AF">
      <w:pPr>
        <w:pStyle w:val="a"/>
        <w:rPr>
          <w:rtl/>
        </w:rPr>
      </w:pPr>
      <w:r w:rsidRPr="00D47CE7">
        <w:rPr>
          <w:rFonts w:hint="cs"/>
          <w:rtl/>
        </w:rPr>
        <w:t>ו</w:t>
      </w:r>
      <w:r>
        <w:rPr>
          <w:rFonts w:hint="cs"/>
          <w:rtl/>
        </w:rPr>
        <w:t>הביא</w:t>
      </w:r>
      <w:r w:rsidRPr="00D47CE7">
        <w:rPr>
          <w:rFonts w:hint="cs"/>
          <w:rtl/>
        </w:rPr>
        <w:t xml:space="preserve"> </w:t>
      </w:r>
      <w:r w:rsidRPr="00D47CE7">
        <w:rPr>
          <w:rStyle w:val="af8"/>
          <w:rFonts w:hint="cs"/>
          <w:rtl/>
        </w:rPr>
        <w:t>הגר"ח</w:t>
      </w:r>
      <w:r w:rsidRPr="00D47CE7">
        <w:rPr>
          <w:rFonts w:hint="cs"/>
          <w:rtl/>
        </w:rPr>
        <w:t xml:space="preserve"> </w:t>
      </w:r>
      <w:r w:rsidRPr="00D47CE7">
        <w:rPr>
          <w:rStyle w:val="af6"/>
          <w:rFonts w:eastAsia="Guttman Hodes" w:hint="cs"/>
          <w:rtl/>
        </w:rPr>
        <w:t>(מאכ"א פט"ו ה"א ד"ה ונראה דכן)</w:t>
      </w:r>
      <w:r>
        <w:rPr>
          <w:rFonts w:hint="cs"/>
          <w:rtl/>
        </w:rPr>
        <w:t xml:space="preserve"> ראיה דדין טעם כעיקר שייך רק לענין איסור אכילה, </w:t>
      </w:r>
      <w:r w:rsidRPr="00D47CE7">
        <w:rPr>
          <w:rFonts w:hint="cs"/>
          <w:rtl/>
        </w:rPr>
        <w:t xml:space="preserve">מדברי </w:t>
      </w:r>
      <w:r>
        <w:rPr>
          <w:rStyle w:val="af8"/>
          <w:rtl/>
        </w:rPr>
        <w:t>הרשב"א</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Style w:val="af8"/>
          <w:rtl/>
        </w:rPr>
        <w:t>והר"ן</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Fonts w:hint="cs"/>
          <w:rtl/>
        </w:rPr>
        <w:t xml:space="preserve"> </w:t>
      </w:r>
      <w:r w:rsidRPr="00D47CE7">
        <w:rPr>
          <w:rFonts w:hint="cs"/>
          <w:rtl/>
        </w:rPr>
        <w:t xml:space="preserve">דביארו דהא דילפינן להתיר נותן טעם לפגם אף בפגום במקצת, מנבילה שאינה ראויה לגר, </w:t>
      </w:r>
      <w:r>
        <w:rPr>
          <w:rFonts w:hint="cs"/>
          <w:rtl/>
        </w:rPr>
        <w:t>דבאיסור</w:t>
      </w:r>
      <w:r w:rsidRPr="00D47CE7">
        <w:rPr>
          <w:rFonts w:hint="cs"/>
          <w:rtl/>
        </w:rPr>
        <w:t xml:space="preserve"> בתערובת כל שהאיסור פוגם לא חשיב כנותן טעם, ו</w:t>
      </w:r>
      <w:r>
        <w:rPr>
          <w:rFonts w:hint="cs"/>
          <w:rtl/>
        </w:rPr>
        <w:t xml:space="preserve">לכן </w:t>
      </w:r>
      <w:r w:rsidRPr="00D47CE7">
        <w:rPr>
          <w:rFonts w:hint="cs"/>
          <w:rtl/>
        </w:rPr>
        <w:t xml:space="preserve">מותר אף בפגום במקצת, וכתב </w:t>
      </w:r>
      <w:r w:rsidRPr="00D47CE7">
        <w:rPr>
          <w:rStyle w:val="af8"/>
          <w:rFonts w:hint="cs"/>
          <w:rtl/>
        </w:rPr>
        <w:t>הגר"ח</w:t>
      </w:r>
      <w:r w:rsidRPr="00D47CE7">
        <w:rPr>
          <w:rFonts w:hint="cs"/>
          <w:rtl/>
        </w:rPr>
        <w:t xml:space="preserve"> </w:t>
      </w:r>
      <w:r>
        <w:rPr>
          <w:rFonts w:hint="cs"/>
          <w:rtl/>
        </w:rPr>
        <w:t>ד</w:t>
      </w:r>
      <w:r w:rsidRPr="00D47CE7">
        <w:rPr>
          <w:rFonts w:hint="cs"/>
          <w:rtl/>
        </w:rPr>
        <w:t>אי נימא דההיתר דאינה ראויה לגר, נאמר על עצם החפצא של האיסור שהתערב בתערובת,</w:t>
      </w:r>
      <w:r>
        <w:rPr>
          <w:rFonts w:hint="cs"/>
          <w:rtl/>
        </w:rPr>
        <w:t xml:space="preserve"> </w:t>
      </w:r>
      <w:r w:rsidRPr="00D47CE7">
        <w:rPr>
          <w:rFonts w:hint="cs"/>
          <w:rtl/>
        </w:rPr>
        <w:t xml:space="preserve">א"א לומר כתירוץ </w:t>
      </w:r>
      <w:r w:rsidRPr="00D47CE7">
        <w:rPr>
          <w:rStyle w:val="af8"/>
          <w:rFonts w:hint="cs"/>
          <w:rtl/>
        </w:rPr>
        <w:t>הרשב"א והר"ן</w:t>
      </w:r>
      <w:r w:rsidRPr="00D47CE7">
        <w:rPr>
          <w:rFonts w:hint="cs"/>
          <w:rtl/>
        </w:rPr>
        <w:t xml:space="preserve"> דהא בפגום במקצת שהוא ראוי לאכילה, לא פקע שם האיסור ממנו, ולא שייך לומר דהוא בכלל ההיתר דאינה ראויה לגר, וכיון שיש עליו שם איסור ממילא אעפ"י שהוא פגום במקצת, הוא אוסר את כל התערובת מדין טעם כעיקר</w:t>
      </w:r>
      <w:r>
        <w:rPr>
          <w:rFonts w:hint="cs"/>
          <w:rtl/>
        </w:rPr>
        <w:t>.</w:t>
      </w:r>
      <w:r w:rsidRPr="00D47CE7">
        <w:rPr>
          <w:rFonts w:hint="cs"/>
          <w:rtl/>
        </w:rPr>
        <w:t xml:space="preserve"> </w:t>
      </w:r>
    </w:p>
    <w:p w:rsidR="0013006A" w:rsidRPr="00A37615" w:rsidRDefault="0013006A" w:rsidP="0013006A">
      <w:pPr>
        <w:pStyle w:val="a2"/>
        <w:rPr>
          <w:rtl/>
        </w:rPr>
      </w:pPr>
      <w:bookmarkStart w:id="10216" w:name="_Toc19029749"/>
      <w:bookmarkStart w:id="10217" w:name="_Toc19030134"/>
      <w:bookmarkStart w:id="10218" w:name="_Toc19082195"/>
      <w:bookmarkStart w:id="10219" w:name="_Toc19129533"/>
      <w:bookmarkStart w:id="10220" w:name="_Toc19130089"/>
      <w:bookmarkStart w:id="10221" w:name="_Toc19171049"/>
      <w:bookmarkStart w:id="10222" w:name="_Toc19180909"/>
      <w:r w:rsidRPr="00A37615">
        <w:rPr>
          <w:rFonts w:hint="cs"/>
          <w:rtl/>
        </w:rPr>
        <w:t>דברי הגר"ח דאי בנבילה פקע ממנה שם נבילה א"א להתיר בפגום במקצת דלא פקע האיסור</w:t>
      </w:r>
      <w:bookmarkEnd w:id="10216"/>
      <w:bookmarkEnd w:id="10217"/>
      <w:bookmarkEnd w:id="10218"/>
      <w:bookmarkEnd w:id="10219"/>
      <w:bookmarkEnd w:id="10220"/>
      <w:bookmarkEnd w:id="10221"/>
      <w:bookmarkEnd w:id="10222"/>
    </w:p>
    <w:p w:rsidR="0013006A" w:rsidRPr="006B2B80" w:rsidRDefault="0013006A" w:rsidP="009F44AF">
      <w:pPr>
        <w:pStyle w:val="a"/>
        <w:rPr>
          <w:rtl/>
        </w:rPr>
      </w:pPr>
      <w:r w:rsidRPr="006B2B80">
        <w:rPr>
          <w:rFonts w:hint="cs"/>
          <w:rtl/>
        </w:rPr>
        <w:t>ו</w:t>
      </w:r>
      <w:r>
        <w:rPr>
          <w:rFonts w:hint="cs"/>
          <w:rtl/>
        </w:rPr>
        <w:t xml:space="preserve">כעי"ז </w:t>
      </w:r>
      <w:r w:rsidRPr="006B2B80">
        <w:rPr>
          <w:rFonts w:hint="cs"/>
          <w:rtl/>
        </w:rPr>
        <w:t xml:space="preserve">כתב </w:t>
      </w:r>
      <w:r w:rsidRPr="006B2B80">
        <w:rPr>
          <w:rStyle w:val="af8"/>
          <w:rFonts w:hint="cs"/>
          <w:rtl/>
        </w:rPr>
        <w:t>בחי' הגר"ח על הש"ס</w:t>
      </w:r>
      <w:r w:rsidRPr="006B2B80">
        <w:rPr>
          <w:rFonts w:hint="cs"/>
          <w:rtl/>
        </w:rPr>
        <w:t xml:space="preserve">  </w:t>
      </w:r>
      <w:r w:rsidRPr="006B2B80">
        <w:rPr>
          <w:rStyle w:val="af6"/>
          <w:rFonts w:eastAsia="Guttman Hodes" w:hint="cs"/>
          <w:rtl/>
        </w:rPr>
        <w:t xml:space="preserve">(נזיר נ. בענין נצל ד"ה והנה בע"ז) </w:t>
      </w:r>
      <w:r w:rsidRPr="006B2B80">
        <w:rPr>
          <w:rFonts w:hint="cs"/>
          <w:rtl/>
        </w:rPr>
        <w:t xml:space="preserve">דמדברי </w:t>
      </w:r>
      <w:r>
        <w:rPr>
          <w:rStyle w:val="af8"/>
          <w:rtl/>
        </w:rPr>
        <w:t>הרשב"א</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Style w:val="af8"/>
          <w:rtl/>
        </w:rPr>
        <w:t>והר"ן</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Ref19046356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Style w:val="af6"/>
          <w:rFonts w:eastAsia="Guttman Hodes" w:hint="cs"/>
          <w:rtl/>
        </w:rPr>
        <w:fldChar w:fldCharType="end"/>
      </w:r>
      <w:r w:rsidRPr="006B2B80">
        <w:rPr>
          <w:rFonts w:hint="cs"/>
          <w:rtl/>
        </w:rPr>
        <w:t xml:space="preserve"> מבואר דא"א לומר כהצד הא' </w:t>
      </w:r>
      <w:r>
        <w:rPr>
          <w:rFonts w:hint="cs"/>
          <w:rtl/>
        </w:rPr>
        <w:t xml:space="preserve">בחקירת </w:t>
      </w:r>
      <w:r w:rsidRPr="003B2840">
        <w:rPr>
          <w:rStyle w:val="af8"/>
          <w:rFonts w:hint="cs"/>
          <w:rtl/>
        </w:rPr>
        <w:t>הגר"ח</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Ref18397727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קב)</w:t>
      </w:r>
      <w:r w:rsidRPr="003B2840">
        <w:rPr>
          <w:rStyle w:val="af6"/>
          <w:rFonts w:eastAsia="Guttman Hodes"/>
          <w:rtl/>
        </w:rPr>
        <w:fldChar w:fldCharType="end"/>
      </w:r>
      <w:r>
        <w:rPr>
          <w:rFonts w:hint="cs"/>
          <w:rtl/>
        </w:rPr>
        <w:t xml:space="preserve"> </w:t>
      </w:r>
      <w:r w:rsidRPr="006B2B80">
        <w:rPr>
          <w:rFonts w:hint="cs"/>
          <w:rtl/>
        </w:rPr>
        <w:t>דפקע מהנבילה שם נבילה, דא"כ א"א ללמוד היתר נותן טעם לפגם בפגום במקצת מנבילה, דהא בפגום במקצת גוף הטעם הוא ראוי לאכילה, ויש בחפצא שם נבילה, והיאך אפשר להתירו ע"י שהוא פוגם את התערובת.</w:t>
      </w:r>
    </w:p>
    <w:p w:rsidR="0013006A" w:rsidRPr="00A37615" w:rsidRDefault="0013006A" w:rsidP="0013006A">
      <w:pPr>
        <w:pStyle w:val="a2"/>
      </w:pPr>
      <w:bookmarkStart w:id="10223" w:name="_Toc19029750"/>
      <w:bookmarkStart w:id="10224" w:name="_Toc19030135"/>
      <w:bookmarkStart w:id="10225" w:name="_Toc19082196"/>
      <w:bookmarkStart w:id="10226" w:name="_Toc19129534"/>
      <w:bookmarkStart w:id="10227" w:name="_Toc19130090"/>
      <w:bookmarkStart w:id="10228" w:name="_Toc19171050"/>
      <w:bookmarkStart w:id="10229" w:name="_Toc19180910"/>
      <w:r w:rsidRPr="00A37615">
        <w:rPr>
          <w:rFonts w:hint="cs"/>
          <w:rtl/>
        </w:rPr>
        <w:t>דברי הגר"ח דמוכח ברשב"א ובר"ן דאינו ראוי לגר נאמר בדין טע"כ ולכן פגום במקצת מותר</w:t>
      </w:r>
      <w:bookmarkEnd w:id="10223"/>
      <w:bookmarkEnd w:id="10224"/>
      <w:bookmarkEnd w:id="10225"/>
      <w:bookmarkEnd w:id="10226"/>
      <w:bookmarkEnd w:id="10227"/>
      <w:bookmarkEnd w:id="10228"/>
      <w:bookmarkEnd w:id="10229"/>
    </w:p>
    <w:p w:rsidR="0013006A" w:rsidRDefault="0013006A" w:rsidP="009F44AF">
      <w:pPr>
        <w:pStyle w:val="a"/>
        <w:rPr>
          <w:rtl/>
        </w:rPr>
      </w:pPr>
      <w:r>
        <w:rPr>
          <w:rFonts w:hint="cs"/>
          <w:rtl/>
        </w:rPr>
        <w:t xml:space="preserve">אלא </w:t>
      </w:r>
      <w:r w:rsidRPr="00D47CE7">
        <w:rPr>
          <w:rFonts w:hint="cs"/>
          <w:rtl/>
        </w:rPr>
        <w:t xml:space="preserve">כתב </w:t>
      </w:r>
      <w:r w:rsidRPr="00D47CE7">
        <w:rPr>
          <w:rStyle w:val="af8"/>
          <w:rFonts w:hint="cs"/>
          <w:rtl/>
        </w:rPr>
        <w:t>הגר"ח</w:t>
      </w:r>
      <w:r>
        <w:rPr>
          <w:rFonts w:hint="cs"/>
          <w:rtl/>
        </w:rPr>
        <w:t xml:space="preserve"> </w:t>
      </w:r>
      <w:r w:rsidRPr="00D47CE7">
        <w:rPr>
          <w:rStyle w:val="af6"/>
          <w:rFonts w:eastAsia="Guttman Hodes" w:hint="cs"/>
          <w:rtl/>
        </w:rPr>
        <w:t>(מאכ"א פט"ו ה"א ד"ה ונראה דכן)</w:t>
      </w:r>
      <w:r>
        <w:rPr>
          <w:rFonts w:hint="cs"/>
          <w:rtl/>
        </w:rPr>
        <w:t xml:space="preserve"> </w:t>
      </w:r>
      <w:r w:rsidRPr="00D47CE7">
        <w:rPr>
          <w:rFonts w:hint="cs"/>
          <w:rtl/>
        </w:rPr>
        <w:t xml:space="preserve">דמוכח מדברי </w:t>
      </w:r>
      <w:r w:rsidRPr="00D47CE7">
        <w:rPr>
          <w:rStyle w:val="af8"/>
          <w:rFonts w:hint="cs"/>
          <w:rtl/>
        </w:rPr>
        <w:t>הרשב"א והר"ן</w:t>
      </w:r>
      <w:r w:rsidRPr="00D47CE7">
        <w:rPr>
          <w:rFonts w:hint="cs"/>
          <w:rtl/>
        </w:rPr>
        <w:t xml:space="preserve"> דגדר ההיתר דאינה ראויה לגר, נאמר בעיקר חלות הדין של טעם כעיקר, ולכן ילפינן מנבילה דכל שהטעם פוגם ואינו משביח, הוא </w:t>
      </w:r>
      <w:r>
        <w:rPr>
          <w:rFonts w:hint="cs"/>
          <w:rtl/>
        </w:rPr>
        <w:t>בכלל אינה</w:t>
      </w:r>
      <w:r w:rsidRPr="00D47CE7">
        <w:rPr>
          <w:rFonts w:hint="cs"/>
          <w:rtl/>
        </w:rPr>
        <w:t xml:space="preserve"> ראויה לגר</w:t>
      </w:r>
      <w:r>
        <w:rPr>
          <w:rFonts w:hint="cs"/>
          <w:rtl/>
        </w:rPr>
        <w:t>, ואין בו דין טעם כעיקר כלל.</w:t>
      </w:r>
      <w:r w:rsidRPr="00D47CE7">
        <w:rPr>
          <w:rFonts w:hint="cs"/>
          <w:rtl/>
        </w:rPr>
        <w:t xml:space="preserve"> </w:t>
      </w:r>
      <w:r>
        <w:rPr>
          <w:rFonts w:hint="cs"/>
          <w:rtl/>
        </w:rPr>
        <w:t>[</w:t>
      </w:r>
      <w:r w:rsidRPr="006B2B80">
        <w:rPr>
          <w:rFonts w:hint="cs"/>
          <w:rtl/>
        </w:rPr>
        <w:t xml:space="preserve">ועי' </w:t>
      </w:r>
      <w:r>
        <w:rPr>
          <w:rFonts w:hint="cs"/>
          <w:rtl/>
        </w:rPr>
        <w:t>במ"ש</w:t>
      </w:r>
      <w:r w:rsidRPr="006B2B80">
        <w:rPr>
          <w:rFonts w:hint="cs"/>
          <w:rtl/>
        </w:rPr>
        <w:t xml:space="preserve"> </w:t>
      </w:r>
      <w:r w:rsidRPr="00050F3C">
        <w:rPr>
          <w:rStyle w:val="af8"/>
          <w:rFonts w:hint="cs"/>
          <w:rtl/>
        </w:rPr>
        <w:t>החוו"ד</w:t>
      </w:r>
      <w:r w:rsidRPr="006B2B80">
        <w:rPr>
          <w:rFonts w:hint="cs"/>
          <w:rtl/>
        </w:rPr>
        <w:t xml:space="preserve"> </w:t>
      </w:r>
      <w:r w:rsidRPr="00050F3C">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Ref19182863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ע)</w:t>
      </w:r>
      <w:r>
        <w:rPr>
          <w:rStyle w:val="af6"/>
          <w:rFonts w:eastAsia="Guttman Hodes"/>
          <w:rtl/>
        </w:rPr>
        <w:fldChar w:fldCharType="end"/>
      </w:r>
      <w:r>
        <w:rPr>
          <w:rStyle w:val="af6"/>
          <w:rFonts w:eastAsia="Guttman Hodes" w:hint="cs"/>
          <w:rtl/>
        </w:rPr>
        <w:t xml:space="preserve"> </w:t>
      </w:r>
      <w:r>
        <w:rPr>
          <w:rFonts w:hint="cs"/>
          <w:rtl/>
        </w:rPr>
        <w:t xml:space="preserve">בזה, ובדברי </w:t>
      </w:r>
      <w:r w:rsidRPr="002C26E5">
        <w:rPr>
          <w:rStyle w:val="af8"/>
          <w:rFonts w:hint="cs"/>
          <w:rtl/>
        </w:rPr>
        <w:t>היד יהודה</w:t>
      </w:r>
      <w:r>
        <w:rPr>
          <w:rFonts w:hint="cs"/>
          <w:rtl/>
        </w:rPr>
        <w:t xml:space="preserve"> </w:t>
      </w:r>
      <w:r w:rsidRPr="00002A90">
        <w:rPr>
          <w:rStyle w:val="af6"/>
          <w:rFonts w:eastAsia="Guttman Hodes" w:hint="cs"/>
          <w:rtl/>
        </w:rPr>
        <w:t xml:space="preserve">(סי' ק"ג סק"א ד"ה מעתה נבאר, </w:t>
      </w:r>
      <w:r w:rsidRPr="00002A90">
        <w:rPr>
          <w:rStyle w:val="af6"/>
          <w:rFonts w:eastAsia="Guttman Rashi" w:hint="cs"/>
          <w:rtl/>
        </w:rPr>
        <w:t xml:space="preserve">הובא לעיל סימן י"ב אות </w:t>
      </w:r>
      <w:r>
        <w:rPr>
          <w:rStyle w:val="af6"/>
          <w:rFonts w:eastAsia="Guttman Rashi" w:hint="cs"/>
          <w:rtl/>
        </w:rPr>
        <w:t>ע"א</w:t>
      </w:r>
      <w:r w:rsidRPr="00002A90">
        <w:rPr>
          <w:rStyle w:val="af6"/>
          <w:rFonts w:eastAsia="Guttman Rashi" w:hint="cs"/>
          <w:rtl/>
        </w:rPr>
        <w:t>)</w:t>
      </w:r>
      <w:r w:rsidRPr="00002A90">
        <w:rPr>
          <w:rStyle w:val="af6"/>
          <w:rFonts w:eastAsia="Guttman Hodes" w:hint="cs"/>
          <w:rtl/>
        </w:rPr>
        <w:t xml:space="preserve"> </w:t>
      </w:r>
      <w:r>
        <w:rPr>
          <w:rFonts w:hint="cs"/>
          <w:rtl/>
        </w:rPr>
        <w:t xml:space="preserve">דכתב דנחלקו בזה </w:t>
      </w:r>
      <w:r w:rsidRPr="002C26E5">
        <w:rPr>
          <w:rStyle w:val="af8"/>
          <w:rFonts w:hint="cs"/>
          <w:rtl/>
        </w:rPr>
        <w:t>הרשב"א והר"ן</w:t>
      </w:r>
      <w:r>
        <w:rPr>
          <w:rFonts w:hint="cs"/>
          <w:rtl/>
        </w:rPr>
        <w:t>]</w:t>
      </w:r>
      <w:r w:rsidRPr="00D47CE7">
        <w:rPr>
          <w:rFonts w:hint="cs"/>
          <w:rtl/>
        </w:rPr>
        <w:t>.</w:t>
      </w:r>
    </w:p>
    <w:p w:rsidR="0013006A" w:rsidRPr="00A37615" w:rsidRDefault="0013006A" w:rsidP="0013006A">
      <w:pPr>
        <w:pStyle w:val="a2"/>
      </w:pPr>
      <w:bookmarkStart w:id="10230" w:name="_Toc19029751"/>
      <w:bookmarkStart w:id="10231" w:name="_Toc19030136"/>
      <w:bookmarkStart w:id="10232" w:name="_Toc19082197"/>
      <w:bookmarkStart w:id="10233" w:name="_Toc19129535"/>
      <w:bookmarkStart w:id="10234" w:name="_Toc19130091"/>
      <w:bookmarkStart w:id="10235" w:name="_Toc19171051"/>
      <w:bookmarkStart w:id="10236" w:name="_Toc19180911"/>
      <w:r w:rsidRPr="00A37615">
        <w:rPr>
          <w:rFonts w:hint="cs"/>
          <w:rtl/>
        </w:rPr>
        <w:t>הוכחת הגר"ח מהרשב"א והר"ן דהיתר נבילה הוא באיסור אכילה ולכן אף פגום במקצת מותר</w:t>
      </w:r>
      <w:bookmarkEnd w:id="10230"/>
      <w:bookmarkEnd w:id="10231"/>
      <w:bookmarkEnd w:id="10232"/>
      <w:bookmarkEnd w:id="10233"/>
      <w:bookmarkEnd w:id="10234"/>
      <w:bookmarkEnd w:id="10235"/>
      <w:bookmarkEnd w:id="10236"/>
    </w:p>
    <w:p w:rsidR="0013006A" w:rsidRDefault="0013006A" w:rsidP="009F44AF">
      <w:pPr>
        <w:pStyle w:val="a"/>
        <w:rPr>
          <w:rtl/>
        </w:rPr>
      </w:pPr>
      <w:r>
        <w:rPr>
          <w:rFonts w:hint="cs"/>
          <w:rtl/>
        </w:rPr>
        <w:t>וכעי"ז</w:t>
      </w:r>
      <w:r w:rsidRPr="006B2B80">
        <w:rPr>
          <w:rFonts w:hint="cs"/>
          <w:rtl/>
        </w:rPr>
        <w:t xml:space="preserve"> כתב </w:t>
      </w:r>
      <w:r w:rsidRPr="006B2B80">
        <w:rPr>
          <w:rStyle w:val="af8"/>
          <w:rFonts w:hint="cs"/>
          <w:rtl/>
        </w:rPr>
        <w:t>בחי' הגר"ח על הש"ס</w:t>
      </w:r>
      <w:r w:rsidRPr="006B2B80">
        <w:rPr>
          <w:rFonts w:hint="cs"/>
          <w:rtl/>
        </w:rPr>
        <w:t xml:space="preserve">  </w:t>
      </w:r>
      <w:r w:rsidRPr="006B2B80">
        <w:rPr>
          <w:rStyle w:val="af6"/>
          <w:rFonts w:eastAsia="Guttman Hodes" w:hint="cs"/>
          <w:rtl/>
        </w:rPr>
        <w:t xml:space="preserve">(נזיר נ. בענין נצל ד"ה והנה בע"ז) </w:t>
      </w:r>
      <w:r w:rsidRPr="006B2B80">
        <w:rPr>
          <w:rFonts w:hint="cs"/>
          <w:rtl/>
        </w:rPr>
        <w:t xml:space="preserve">דמבואר מדברי </w:t>
      </w:r>
      <w:r w:rsidRPr="006B2B80">
        <w:rPr>
          <w:rStyle w:val="af8"/>
          <w:rFonts w:hint="cs"/>
          <w:rtl/>
        </w:rPr>
        <w:t>הרשב"א והר"ן</w:t>
      </w:r>
      <w:r w:rsidRPr="006B2B80">
        <w:rPr>
          <w:rFonts w:hint="cs"/>
          <w:rtl/>
        </w:rPr>
        <w:t xml:space="preserve"> כהצד הב' </w:t>
      </w:r>
      <w:r>
        <w:rPr>
          <w:rFonts w:hint="cs"/>
          <w:rtl/>
        </w:rPr>
        <w:t xml:space="preserve">בחקירת </w:t>
      </w:r>
      <w:r w:rsidRPr="003B2840">
        <w:rPr>
          <w:rStyle w:val="af8"/>
          <w:rFonts w:hint="cs"/>
          <w:rtl/>
        </w:rPr>
        <w:t>הגר"ח</w:t>
      </w:r>
      <w:r>
        <w:rPr>
          <w:rFonts w:hint="cs"/>
          <w:rtl/>
        </w:rPr>
        <w:t xml:space="preserve"> </w:t>
      </w:r>
      <w:r w:rsidRPr="003B2840">
        <w:rPr>
          <w:rStyle w:val="af6"/>
          <w:rFonts w:eastAsia="Guttman Hodes" w:hint="cs"/>
          <w:rtl/>
        </w:rPr>
        <w:t xml:space="preserve">(עי' אות </w:t>
      </w:r>
      <w:r w:rsidRPr="003B2840">
        <w:rPr>
          <w:rStyle w:val="af6"/>
          <w:rFonts w:eastAsia="Guttman Hodes"/>
          <w:rtl/>
        </w:rPr>
        <w:fldChar w:fldCharType="begin"/>
      </w:r>
      <w:r w:rsidRPr="003B2840">
        <w:rPr>
          <w:rStyle w:val="af6"/>
          <w:rFonts w:eastAsia="Guttman Hodes"/>
          <w:rtl/>
        </w:rPr>
        <w:instrText xml:space="preserve"> </w:instrText>
      </w:r>
      <w:r w:rsidRPr="003B2840">
        <w:rPr>
          <w:rStyle w:val="af6"/>
          <w:rFonts w:eastAsia="Guttman Hodes" w:hint="cs"/>
        </w:rPr>
        <w:instrText>REF</w:instrText>
      </w:r>
      <w:r w:rsidRPr="003B2840">
        <w:rPr>
          <w:rStyle w:val="af6"/>
          <w:rFonts w:eastAsia="Guttman Hodes" w:hint="cs"/>
          <w:rtl/>
        </w:rPr>
        <w:instrText xml:space="preserve"> _</w:instrText>
      </w:r>
      <w:r w:rsidRPr="003B2840">
        <w:rPr>
          <w:rStyle w:val="af6"/>
          <w:rFonts w:eastAsia="Guttman Hodes" w:hint="cs"/>
        </w:rPr>
        <w:instrText>Ref18397795 \r \h</w:instrText>
      </w:r>
      <w:r w:rsidRPr="003B2840">
        <w:rPr>
          <w:rStyle w:val="af6"/>
          <w:rFonts w:eastAsia="Guttman Hodes"/>
          <w:rtl/>
        </w:rPr>
        <w:instrText xml:space="preserve"> </w:instrText>
      </w:r>
      <w:r w:rsidRPr="003B2840">
        <w:rPr>
          <w:rStyle w:val="af6"/>
          <w:rFonts w:eastAsia="Guttman Hodes"/>
          <w:rtl/>
        </w:rPr>
      </w:r>
      <w:r w:rsidRPr="003B2840">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3B2840">
        <w:rPr>
          <w:rStyle w:val="af6"/>
          <w:rFonts w:eastAsia="Guttman Hodes"/>
          <w:rtl/>
        </w:rPr>
        <w:fldChar w:fldCharType="end"/>
      </w:r>
      <w:r>
        <w:rPr>
          <w:rFonts w:hint="cs"/>
          <w:rtl/>
        </w:rPr>
        <w:t xml:space="preserve"> </w:t>
      </w:r>
      <w:r w:rsidRPr="006B2B80">
        <w:rPr>
          <w:rFonts w:hint="cs"/>
          <w:rtl/>
        </w:rPr>
        <w:t>דהיתר הנבילה הוא דין באיסור אכילה, דאף שלא פקע מהחפצא של הנבילה שם נבילה, מ"מ כיון שאינה ראויה לאכילה אין בה איסור אכילה, ולכן ילפינן דבנותן טעם לפגם מותר אף כשהוא ראוי לאכילה, דכיון שהטעם פוגם את התערובת, והטעם אינו ראוי לגר, אין בו איסור אכילה.</w:t>
      </w:r>
    </w:p>
    <w:p w:rsidR="0013006A" w:rsidRPr="00A37615" w:rsidRDefault="0013006A" w:rsidP="0013006A">
      <w:pPr>
        <w:pStyle w:val="a2"/>
      </w:pPr>
      <w:bookmarkStart w:id="10237" w:name="_Toc19180912"/>
      <w:r>
        <w:rPr>
          <w:rFonts w:hint="cs"/>
          <w:rtl/>
        </w:rPr>
        <w:t>ביאור הגר"ח ברמב"ם דבטע"כ שאינו ראוי פקע האיסור ולכן נטל"פ מותר אף בב"ח</w:t>
      </w:r>
      <w:bookmarkEnd w:id="10237"/>
    </w:p>
    <w:p w:rsidR="0013006A" w:rsidRDefault="0013006A" w:rsidP="009F44AF">
      <w:pPr>
        <w:pStyle w:val="a"/>
        <w:rPr>
          <w:rtl/>
        </w:rPr>
      </w:pPr>
      <w:bookmarkStart w:id="10238" w:name="_Ref19177802"/>
      <w:r>
        <w:rPr>
          <w:rFonts w:hint="cs"/>
          <w:rtl/>
        </w:rPr>
        <w:t xml:space="preserve">ובזה ביאר </w:t>
      </w:r>
      <w:r w:rsidRPr="00F31262">
        <w:rPr>
          <w:rStyle w:val="af8"/>
          <w:rFonts w:hint="cs"/>
          <w:rtl/>
        </w:rPr>
        <w:t>הגר"ח</w:t>
      </w:r>
      <w:r>
        <w:rPr>
          <w:rFonts w:hint="cs"/>
          <w:rtl/>
        </w:rPr>
        <w:t xml:space="preserve"> את דברי </w:t>
      </w:r>
      <w:r w:rsidRPr="00D926B5">
        <w:rPr>
          <w:rStyle w:val="af8"/>
          <w:rFonts w:hint="cs"/>
          <w:rtl/>
        </w:rPr>
        <w:t>הרמב"ם</w:t>
      </w:r>
      <w:r>
        <w:rPr>
          <w:rFonts w:hint="cs"/>
          <w:rtl/>
        </w:rPr>
        <w:t xml:space="preserve"> </w:t>
      </w:r>
      <w:r w:rsidRPr="002F5A04">
        <w:rPr>
          <w:rStyle w:val="af6"/>
          <w:rFonts w:eastAsia="Guttman Hodes" w:hint="cs"/>
          <w:rtl/>
        </w:rPr>
        <w:t xml:space="preserve">(עי' אות </w:t>
      </w:r>
      <w:r w:rsidRPr="002F5A04">
        <w:rPr>
          <w:rStyle w:val="af6"/>
          <w:rFonts w:eastAsia="Guttman Hodes"/>
          <w:rtl/>
        </w:rPr>
        <w:fldChar w:fldCharType="begin"/>
      </w:r>
      <w:r w:rsidRPr="002F5A04">
        <w:rPr>
          <w:rStyle w:val="af6"/>
          <w:rFonts w:eastAsia="Guttman Hodes"/>
          <w:rtl/>
        </w:rPr>
        <w:instrText xml:space="preserve"> </w:instrText>
      </w:r>
      <w:r w:rsidRPr="002F5A04">
        <w:rPr>
          <w:rStyle w:val="af6"/>
          <w:rFonts w:eastAsia="Guttman Hodes" w:hint="cs"/>
        </w:rPr>
        <w:instrText>REF</w:instrText>
      </w:r>
      <w:r w:rsidRPr="002F5A04">
        <w:rPr>
          <w:rStyle w:val="af6"/>
          <w:rFonts w:eastAsia="Guttman Hodes" w:hint="cs"/>
          <w:rtl/>
        </w:rPr>
        <w:instrText xml:space="preserve"> _</w:instrText>
      </w:r>
      <w:r w:rsidRPr="002F5A04">
        <w:rPr>
          <w:rStyle w:val="af6"/>
          <w:rFonts w:eastAsia="Guttman Hodes" w:hint="cs"/>
        </w:rPr>
        <w:instrText>Ref17367367 \r \h</w:instrText>
      </w:r>
      <w:r w:rsidRPr="002F5A04">
        <w:rPr>
          <w:rStyle w:val="af6"/>
          <w:rFonts w:eastAsia="Guttman Hodes"/>
          <w:rtl/>
        </w:rPr>
        <w:instrText xml:space="preserve"> </w:instrText>
      </w:r>
      <w:r w:rsidRPr="002F5A04">
        <w:rPr>
          <w:rStyle w:val="af6"/>
          <w:rFonts w:eastAsia="Guttman Hodes"/>
          <w:rtl/>
        </w:rPr>
      </w:r>
      <w:r w:rsidRPr="002F5A04">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2F5A04">
        <w:rPr>
          <w:rStyle w:val="af6"/>
          <w:rFonts w:eastAsia="Guttman Hodes"/>
          <w:rtl/>
        </w:rPr>
        <w:fldChar w:fldCharType="end"/>
      </w:r>
      <w:r>
        <w:rPr>
          <w:rFonts w:hint="cs"/>
          <w:rtl/>
        </w:rPr>
        <w:t xml:space="preserve"> דפסק דאף בבשר וחלב וכלאי הכרם שייך ההיתר דנותן טעם לפגם, דאעפ"י דכתב </w:t>
      </w:r>
      <w:r w:rsidRPr="00870B8F">
        <w:rPr>
          <w:rStyle w:val="af8"/>
          <w:rFonts w:hint="cs"/>
          <w:rtl/>
        </w:rPr>
        <w:t>הרמב"ם</w:t>
      </w:r>
      <w:r>
        <w:rPr>
          <w:rFonts w:hint="cs"/>
          <w:rtl/>
        </w:rPr>
        <w:t xml:space="preserve"> </w:t>
      </w:r>
      <w:r w:rsidRPr="002F5A04">
        <w:rPr>
          <w:rStyle w:val="af6"/>
          <w:rFonts w:eastAsiaTheme="minorHAnsi" w:hint="cs"/>
          <w:rtl/>
        </w:rPr>
        <w:t xml:space="preserve">(עי' אות </w:t>
      </w:r>
      <w:r w:rsidRPr="002F5A04">
        <w:rPr>
          <w:rStyle w:val="af6"/>
          <w:rFonts w:eastAsiaTheme="minorHAnsi"/>
          <w:rtl/>
        </w:rPr>
        <w:fldChar w:fldCharType="begin"/>
      </w:r>
      <w:r w:rsidRPr="002F5A04">
        <w:rPr>
          <w:rStyle w:val="af6"/>
          <w:rFonts w:eastAsiaTheme="minorHAnsi"/>
          <w:rtl/>
        </w:rPr>
        <w:instrText xml:space="preserve"> </w:instrText>
      </w:r>
      <w:r w:rsidRPr="002F5A04">
        <w:rPr>
          <w:rStyle w:val="af6"/>
          <w:rFonts w:eastAsiaTheme="minorHAnsi" w:hint="cs"/>
        </w:rPr>
        <w:instrText>REF</w:instrText>
      </w:r>
      <w:r w:rsidRPr="002F5A04">
        <w:rPr>
          <w:rStyle w:val="af6"/>
          <w:rFonts w:eastAsiaTheme="minorHAnsi" w:hint="cs"/>
          <w:rtl/>
        </w:rPr>
        <w:instrText xml:space="preserve"> _</w:instrText>
      </w:r>
      <w:r w:rsidRPr="002F5A04">
        <w:rPr>
          <w:rStyle w:val="af6"/>
          <w:rFonts w:eastAsiaTheme="minorHAnsi" w:hint="cs"/>
        </w:rPr>
        <w:instrText>Ref19034938 \r \h</w:instrText>
      </w:r>
      <w:r w:rsidRPr="002F5A04">
        <w:rPr>
          <w:rStyle w:val="af6"/>
          <w:rFonts w:eastAsiaTheme="minorHAnsi"/>
          <w:rtl/>
        </w:rPr>
        <w:instrText xml:space="preserve"> </w:instrText>
      </w:r>
      <w:r w:rsidRPr="002F5A04">
        <w:rPr>
          <w:rStyle w:val="af6"/>
          <w:rFonts w:eastAsiaTheme="minorHAnsi"/>
          <w:rtl/>
        </w:rPr>
      </w:r>
      <w:r w:rsidRPr="002F5A04">
        <w:rPr>
          <w:rStyle w:val="af6"/>
          <w:rFonts w:eastAsiaTheme="minorHAnsi"/>
          <w:rtl/>
        </w:rPr>
        <w:fldChar w:fldCharType="separate"/>
      </w:r>
      <w:r w:rsidR="004D1C5B">
        <w:rPr>
          <w:rStyle w:val="af6"/>
          <w:rFonts w:eastAsiaTheme="minorHAnsi"/>
          <w:cs/>
        </w:rPr>
        <w:t>‎</w:t>
      </w:r>
      <w:r w:rsidR="004D1C5B">
        <w:rPr>
          <w:rStyle w:val="af6"/>
          <w:rFonts w:eastAsiaTheme="minorHAnsi"/>
          <w:rtl/>
        </w:rPr>
        <w:t>נד)</w:t>
      </w:r>
      <w:r w:rsidRPr="002F5A04">
        <w:rPr>
          <w:rStyle w:val="af6"/>
          <w:rFonts w:eastAsiaTheme="minorHAnsi"/>
          <w:rtl/>
        </w:rPr>
        <w:fldChar w:fldCharType="end"/>
      </w:r>
      <w:r>
        <w:rPr>
          <w:rFonts w:hint="cs"/>
          <w:rtl/>
        </w:rPr>
        <w:t xml:space="preserve"> שהם אסורים אף כשאינם ראויים לגר, מ</w:t>
      </w:r>
      <w:r w:rsidRPr="002F5A04">
        <w:rPr>
          <w:rFonts w:hint="cs"/>
          <w:rtl/>
        </w:rPr>
        <w:t>"</w:t>
      </w:r>
      <w:r>
        <w:rPr>
          <w:rFonts w:hint="cs"/>
          <w:rtl/>
        </w:rPr>
        <w:t>מ כשהם מעורבים בתערובת איסורם הוא מדין טעם כעיקר, וכל שלא חל הדין של טעם כעיקר, מחמת שהאיסור אינו ראוי לגר,</w:t>
      </w:r>
      <w:r w:rsidRPr="00267AE7">
        <w:rPr>
          <w:rStyle w:val="afa"/>
          <w:rFonts w:hint="cs"/>
          <w:rtl/>
        </w:rPr>
        <w:t xml:space="preserve"> [או בערובת בפגום במקצת דנלמד מאינו ראוי לגר], </w:t>
      </w:r>
      <w:r>
        <w:rPr>
          <w:rFonts w:hint="cs"/>
          <w:rtl/>
        </w:rPr>
        <w:t>פקע האיסור ממנו וממילא התערובת נשארת מותרת</w:t>
      </w:r>
      <w:bookmarkStart w:id="10239" w:name="_Ref17463932"/>
      <w:bookmarkEnd w:id="10238"/>
      <w:r>
        <w:rPr>
          <w:rFonts w:hint="cs"/>
          <w:rtl/>
        </w:rPr>
        <w:t>.</w:t>
      </w:r>
    </w:p>
    <w:p w:rsidR="0013006A" w:rsidRPr="002F5A04" w:rsidRDefault="0013006A" w:rsidP="0013006A">
      <w:pPr>
        <w:pStyle w:val="a2"/>
      </w:pPr>
      <w:bookmarkStart w:id="10240" w:name="_Toc19180913"/>
      <w:r>
        <w:rPr>
          <w:rFonts w:hint="cs"/>
          <w:rtl/>
        </w:rPr>
        <w:t>ביאור הגר"ח דשלא כדרך הנאתן ואינו ראוי לגר נאמרו באיסור אכילה ולכן עירבם הרמב"ם</w:t>
      </w:r>
      <w:bookmarkEnd w:id="10240"/>
    </w:p>
    <w:p w:rsidR="0013006A" w:rsidRDefault="0013006A" w:rsidP="009F44AF">
      <w:pPr>
        <w:pStyle w:val="a"/>
        <w:rPr>
          <w:rtl/>
        </w:rPr>
      </w:pPr>
      <w:r w:rsidRPr="002015B2">
        <w:rPr>
          <w:rFonts w:hint="cs"/>
          <w:rtl/>
        </w:rPr>
        <w:t>ו</w:t>
      </w:r>
      <w:r>
        <w:rPr>
          <w:rFonts w:hint="cs"/>
          <w:rtl/>
        </w:rPr>
        <w:t>הוסיף</w:t>
      </w:r>
      <w:r w:rsidRPr="002015B2">
        <w:rPr>
          <w:rFonts w:hint="cs"/>
          <w:rtl/>
        </w:rPr>
        <w:t xml:space="preserve"> </w:t>
      </w:r>
      <w:r w:rsidRPr="002015B2">
        <w:rPr>
          <w:rStyle w:val="af8"/>
          <w:rFonts w:hint="cs"/>
          <w:rtl/>
        </w:rPr>
        <w:t>בחי' הגר"ח על הש"ס</w:t>
      </w:r>
      <w:r w:rsidRPr="002015B2">
        <w:rPr>
          <w:rFonts w:hint="cs"/>
          <w:rtl/>
        </w:rPr>
        <w:t xml:space="preserve"> דבזה מיושבים דברי </w:t>
      </w:r>
      <w:r>
        <w:rPr>
          <w:rStyle w:val="af8"/>
          <w:rFonts w:hint="cs"/>
          <w:rtl/>
        </w:rPr>
        <w:t>הרמב"ם</w:t>
      </w:r>
      <w:r>
        <w:rPr>
          <w:rFonts w:hint="cs"/>
          <w:rtl/>
        </w:rPr>
        <w:t xml:space="preserve"> </w:t>
      </w:r>
      <w:r w:rsidRPr="002F5A04">
        <w:rPr>
          <w:rStyle w:val="af6"/>
          <w:rFonts w:eastAsia="Guttman Hodes" w:hint="cs"/>
          <w:rtl/>
        </w:rPr>
        <w:t xml:space="preserve">(עי' אות </w:t>
      </w:r>
      <w:r w:rsidRPr="002F5A04">
        <w:rPr>
          <w:rStyle w:val="af6"/>
          <w:rFonts w:eastAsia="Guttman Hodes"/>
          <w:rtl/>
        </w:rPr>
        <w:fldChar w:fldCharType="begin"/>
      </w:r>
      <w:r w:rsidRPr="002F5A04">
        <w:rPr>
          <w:rStyle w:val="af6"/>
          <w:rFonts w:eastAsia="Guttman Hodes"/>
          <w:rtl/>
        </w:rPr>
        <w:instrText xml:space="preserve"> </w:instrText>
      </w:r>
      <w:r w:rsidRPr="002F5A04">
        <w:rPr>
          <w:rStyle w:val="af6"/>
          <w:rFonts w:eastAsia="Guttman Hodes" w:hint="cs"/>
        </w:rPr>
        <w:instrText>REF</w:instrText>
      </w:r>
      <w:r w:rsidRPr="002F5A04">
        <w:rPr>
          <w:rStyle w:val="af6"/>
          <w:rFonts w:eastAsia="Guttman Hodes" w:hint="cs"/>
          <w:rtl/>
        </w:rPr>
        <w:instrText xml:space="preserve"> _</w:instrText>
      </w:r>
      <w:r w:rsidRPr="002F5A04">
        <w:rPr>
          <w:rStyle w:val="af6"/>
          <w:rFonts w:eastAsia="Guttman Hodes" w:hint="cs"/>
        </w:rPr>
        <w:instrText>Ref19034347 \r \h</w:instrText>
      </w:r>
      <w:r w:rsidRPr="002F5A04">
        <w:rPr>
          <w:rStyle w:val="af6"/>
          <w:rFonts w:eastAsia="Guttman Hodes"/>
          <w:rtl/>
        </w:rPr>
        <w:instrText xml:space="preserve"> </w:instrText>
      </w:r>
      <w:r w:rsidRPr="002F5A04">
        <w:rPr>
          <w:rStyle w:val="af6"/>
          <w:rFonts w:eastAsia="Guttman Hodes"/>
          <w:rtl/>
        </w:rPr>
      </w:r>
      <w:r w:rsidRPr="002F5A04">
        <w:rPr>
          <w:rStyle w:val="af6"/>
          <w:rFonts w:eastAsia="Guttman Hodes"/>
          <w:rtl/>
        </w:rPr>
        <w:fldChar w:fldCharType="separate"/>
      </w:r>
      <w:r w:rsidR="004D1C5B">
        <w:rPr>
          <w:rStyle w:val="af6"/>
          <w:rFonts w:eastAsia="Guttman Hodes"/>
          <w:cs/>
        </w:rPr>
        <w:t>‎</w:t>
      </w:r>
      <w:r w:rsidR="004D1C5B">
        <w:rPr>
          <w:rStyle w:val="af6"/>
          <w:rFonts w:eastAsia="Guttman Hodes"/>
          <w:rtl/>
        </w:rPr>
        <w:t>נג)</w:t>
      </w:r>
      <w:r w:rsidRPr="002F5A04">
        <w:rPr>
          <w:rStyle w:val="af6"/>
          <w:rFonts w:eastAsia="Guttman Hodes"/>
          <w:rtl/>
        </w:rPr>
        <w:fldChar w:fldCharType="end"/>
      </w:r>
      <w:r>
        <w:rPr>
          <w:rFonts w:hint="cs"/>
          <w:rtl/>
        </w:rPr>
        <w:t xml:space="preserve"> דעירב את דין שלא כדרך הנאתו, להיתר נבילה שאינה ראויה לגר, דאעפ"י שהם ב' דינים שונים, דהפטור בשלא כדרך הנאתו הוא מחמת שחסר במעשה האכילה, ודין זה לא נאמר בבשר בחלב וכלאי הכרם, ואילו ההיתר דנבילה שאינה ראויה לגר, נאמר אף בבשר בחלב וכלאי הכרם, דכוונת </w:t>
      </w:r>
      <w:r w:rsidRPr="00AC5D79">
        <w:rPr>
          <w:rStyle w:val="af8"/>
          <w:rFonts w:hint="cs"/>
          <w:rtl/>
        </w:rPr>
        <w:t>הרמב"ם</w:t>
      </w:r>
      <w:r>
        <w:rPr>
          <w:rFonts w:hint="cs"/>
          <w:rtl/>
        </w:rPr>
        <w:t xml:space="preserve"> לומר דבב' דינים אלו לא חסר בחפצא של הנבילה, דעדיין יש לה שם נבילה, אלא דב' דינים אלו נאמרו באיסור האכילה, דאף שהוא חפצא דאיסורא, אין בהם חיוב כיון שאינו כדרך אכילה, או שאינה ראויה לגר.</w:t>
      </w:r>
      <w:bookmarkEnd w:id="10239"/>
    </w:p>
    <w:p w:rsidR="0013006A" w:rsidRDefault="0013006A" w:rsidP="00E669F8">
      <w:pPr>
        <w:pStyle w:val="afd"/>
        <w:rPr>
          <w:rtl/>
        </w:rPr>
      </w:pPr>
      <w:bookmarkStart w:id="10241" w:name="_Toc19030137"/>
      <w:bookmarkStart w:id="10242" w:name="_Toc19082198"/>
      <w:bookmarkStart w:id="10243" w:name="_Toc19129536"/>
      <w:bookmarkStart w:id="10244" w:name="_Toc19130092"/>
      <w:bookmarkStart w:id="10245" w:name="_Toc19171052"/>
      <w:bookmarkStart w:id="10246" w:name="_Toc19180914"/>
      <w:r w:rsidRPr="007805E6">
        <w:rPr>
          <w:rFonts w:hint="cs"/>
          <w:rtl/>
        </w:rPr>
        <w:t>דברי הקה"י</w:t>
      </w:r>
      <w:bookmarkEnd w:id="10241"/>
      <w:bookmarkEnd w:id="10242"/>
      <w:bookmarkEnd w:id="10243"/>
      <w:bookmarkEnd w:id="10244"/>
      <w:bookmarkEnd w:id="10245"/>
      <w:r>
        <w:rPr>
          <w:rFonts w:hint="cs"/>
          <w:rtl/>
        </w:rPr>
        <w:t xml:space="preserve"> בגדר אינו ראוי לגר ונטל"פ</w:t>
      </w:r>
      <w:bookmarkEnd w:id="10246"/>
    </w:p>
    <w:p w:rsidR="0013006A" w:rsidRDefault="0013006A" w:rsidP="0013006A">
      <w:pPr>
        <w:pStyle w:val="1"/>
        <w:rPr>
          <w:rtl/>
        </w:rPr>
      </w:pPr>
      <w:bookmarkStart w:id="10247" w:name="_Toc19180915"/>
      <w:r>
        <w:rPr>
          <w:rFonts w:hint="cs"/>
          <w:rtl/>
        </w:rPr>
        <w:t>דברי הקה"י דחיוב בב"ח הוא רק בהנאת מעיו ולא בטעם פגום</w:t>
      </w:r>
      <w:bookmarkEnd w:id="10247"/>
    </w:p>
    <w:p w:rsidR="0013006A" w:rsidRPr="00CC38E7" w:rsidRDefault="0013006A" w:rsidP="0013006A">
      <w:pPr>
        <w:pStyle w:val="a2"/>
      </w:pPr>
      <w:bookmarkStart w:id="10248" w:name="_Toc19180916"/>
      <w:r>
        <w:rPr>
          <w:rFonts w:hint="cs"/>
          <w:rtl/>
        </w:rPr>
        <w:t>דברי הקה"י דאף דמוכח דנטל"פ מותר בב"ח מ"מ קשה דהרי דחיוב בב"ח הוא אף שלא נהנה</w:t>
      </w:r>
      <w:bookmarkEnd w:id="10248"/>
    </w:p>
    <w:p w:rsidR="0013006A" w:rsidRDefault="0013006A" w:rsidP="009F44AF">
      <w:pPr>
        <w:pStyle w:val="a"/>
        <w:rPr>
          <w:rtl/>
        </w:rPr>
      </w:pPr>
      <w:r>
        <w:rPr>
          <w:rFonts w:hint="cs"/>
          <w:rtl/>
        </w:rPr>
        <w:t xml:space="preserve">הביא </w:t>
      </w:r>
      <w:r w:rsidRPr="00D47CE7">
        <w:rPr>
          <w:rStyle w:val="af8"/>
          <w:rFonts w:hint="cs"/>
          <w:rtl/>
        </w:rPr>
        <w:t>הקה"י</w:t>
      </w:r>
      <w:r>
        <w:rPr>
          <w:rStyle w:val="af8"/>
          <w:rFonts w:hint="cs"/>
          <w:rtl/>
        </w:rPr>
        <w:t xml:space="preserve"> </w:t>
      </w:r>
      <w:r w:rsidRPr="00D47CE7">
        <w:rPr>
          <w:rStyle w:val="af6"/>
          <w:rFonts w:eastAsia="Guttman Hodes" w:hint="cs"/>
          <w:rtl/>
        </w:rPr>
        <w:t>(סי' כ"ה</w:t>
      </w:r>
      <w:r>
        <w:rPr>
          <w:rStyle w:val="af6"/>
          <w:rFonts w:eastAsia="Guttman Hodes" w:hint="cs"/>
          <w:rtl/>
        </w:rPr>
        <w:t xml:space="preserve"> ח' ד"ה והכרו"פ) </w:t>
      </w:r>
      <w:r>
        <w:rPr>
          <w:rFonts w:hint="cs"/>
          <w:rtl/>
        </w:rPr>
        <w:t xml:space="preserve">את דברי </w:t>
      </w:r>
      <w:r w:rsidRPr="0006214B">
        <w:rPr>
          <w:rStyle w:val="af8"/>
          <w:rFonts w:hint="cs"/>
          <w:rtl/>
        </w:rPr>
        <w:t>החוו"ד</w:t>
      </w:r>
      <w:r>
        <w:rPr>
          <w:rFonts w:hint="cs"/>
          <w:rtl/>
        </w:rPr>
        <w:t xml:space="preserve"> </w:t>
      </w:r>
      <w:r w:rsidRPr="0006214B">
        <w:rPr>
          <w:rStyle w:val="af6"/>
          <w:rFonts w:eastAsia="Guttman Hodes" w:hint="cs"/>
          <w:rtl/>
        </w:rPr>
        <w:t xml:space="preserve">(עי' אות </w:t>
      </w:r>
      <w:r w:rsidRPr="0006214B">
        <w:rPr>
          <w:rStyle w:val="af6"/>
          <w:rFonts w:eastAsia="Guttman Hodes"/>
          <w:rtl/>
        </w:rPr>
        <w:fldChar w:fldCharType="begin"/>
      </w:r>
      <w:r w:rsidRPr="0006214B">
        <w:rPr>
          <w:rStyle w:val="af6"/>
          <w:rFonts w:eastAsia="Guttman Hodes"/>
          <w:rtl/>
        </w:rPr>
        <w:instrText xml:space="preserve"> </w:instrText>
      </w:r>
      <w:r w:rsidRPr="0006214B">
        <w:rPr>
          <w:rStyle w:val="af6"/>
          <w:rFonts w:eastAsia="Guttman Hodes" w:hint="cs"/>
        </w:rPr>
        <w:instrText>REF</w:instrText>
      </w:r>
      <w:r w:rsidRPr="0006214B">
        <w:rPr>
          <w:rStyle w:val="af6"/>
          <w:rFonts w:eastAsia="Guttman Hodes" w:hint="cs"/>
          <w:rtl/>
        </w:rPr>
        <w:instrText xml:space="preserve"> _</w:instrText>
      </w:r>
      <w:r w:rsidRPr="0006214B">
        <w:rPr>
          <w:rStyle w:val="af6"/>
          <w:rFonts w:eastAsia="Guttman Hodes" w:hint="cs"/>
        </w:rPr>
        <w:instrText>Ref19046006 \r \h</w:instrText>
      </w:r>
      <w:r w:rsidRPr="0006214B">
        <w:rPr>
          <w:rStyle w:val="af6"/>
          <w:rFonts w:eastAsia="Guttman Hodes"/>
          <w:rtl/>
        </w:rPr>
        <w:instrText xml:space="preserve"> </w:instrText>
      </w:r>
      <w:r w:rsidRPr="0006214B">
        <w:rPr>
          <w:rStyle w:val="af6"/>
          <w:rFonts w:eastAsia="Guttman Hodes"/>
          <w:rtl/>
        </w:rPr>
      </w:r>
      <w:r w:rsidRPr="0006214B">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06214B">
        <w:rPr>
          <w:rStyle w:val="af6"/>
          <w:rFonts w:eastAsia="Guttman Hodes"/>
          <w:rtl/>
        </w:rPr>
        <w:fldChar w:fldCharType="end"/>
      </w:r>
      <w:r>
        <w:rPr>
          <w:rFonts w:hint="cs"/>
          <w:rtl/>
        </w:rPr>
        <w:t xml:space="preserve"> דהוכיח דהיתר נותן טעם לפגם הוא אף בבשר בחלב וכלאי הכרם, אך כתב </w:t>
      </w:r>
      <w:r w:rsidRPr="0006214B">
        <w:rPr>
          <w:rStyle w:val="af8"/>
          <w:rFonts w:hint="cs"/>
          <w:rtl/>
        </w:rPr>
        <w:t>הקה"י</w:t>
      </w:r>
      <w:r>
        <w:rPr>
          <w:rFonts w:hint="cs"/>
          <w:rtl/>
        </w:rPr>
        <w:t xml:space="preserve"> דעדיין צריך לתרץ את קושית </w:t>
      </w:r>
      <w:r w:rsidRPr="0006214B">
        <w:rPr>
          <w:rStyle w:val="af8"/>
          <w:rFonts w:hint="cs"/>
          <w:rtl/>
        </w:rPr>
        <w:t>ה</w:t>
      </w:r>
      <w:r w:rsidR="00250230">
        <w:rPr>
          <w:rStyle w:val="af8"/>
          <w:rFonts w:hint="cs"/>
          <w:rtl/>
        </w:rPr>
        <w:t>פלתי</w:t>
      </w:r>
      <w:r>
        <w:rPr>
          <w:rFonts w:hint="cs"/>
          <w:rtl/>
        </w:rPr>
        <w:t xml:space="preserve"> </w:t>
      </w:r>
      <w:r w:rsidRPr="0006214B">
        <w:rPr>
          <w:rStyle w:val="af6"/>
          <w:rFonts w:eastAsia="Guttman Hodes" w:hint="cs"/>
          <w:rtl/>
        </w:rPr>
        <w:t xml:space="preserve">(עי' אות </w:t>
      </w:r>
      <w:r w:rsidRPr="0006214B">
        <w:rPr>
          <w:rStyle w:val="af6"/>
          <w:rFonts w:eastAsia="Guttman Hodes"/>
          <w:rtl/>
        </w:rPr>
        <w:fldChar w:fldCharType="begin"/>
      </w:r>
      <w:r w:rsidRPr="0006214B">
        <w:rPr>
          <w:rStyle w:val="af6"/>
          <w:rFonts w:eastAsia="Guttman Hodes"/>
          <w:rtl/>
        </w:rPr>
        <w:instrText xml:space="preserve"> </w:instrText>
      </w:r>
      <w:r w:rsidRPr="0006214B">
        <w:rPr>
          <w:rStyle w:val="af6"/>
          <w:rFonts w:eastAsia="Guttman Hodes" w:hint="cs"/>
        </w:rPr>
        <w:instrText>REF</w:instrText>
      </w:r>
      <w:r w:rsidRPr="0006214B">
        <w:rPr>
          <w:rStyle w:val="af6"/>
          <w:rFonts w:eastAsia="Guttman Hodes" w:hint="cs"/>
          <w:rtl/>
        </w:rPr>
        <w:instrText xml:space="preserve"> _</w:instrText>
      </w:r>
      <w:r w:rsidRPr="0006214B">
        <w:rPr>
          <w:rStyle w:val="af6"/>
          <w:rFonts w:eastAsia="Guttman Hodes" w:hint="cs"/>
        </w:rPr>
        <w:instrText>Ref19178334 \r \h</w:instrText>
      </w:r>
      <w:r w:rsidRPr="0006214B">
        <w:rPr>
          <w:rStyle w:val="af6"/>
          <w:rFonts w:eastAsia="Guttman Hodes"/>
          <w:rtl/>
        </w:rPr>
        <w:instrText xml:space="preserve"> </w:instrText>
      </w:r>
      <w:r w:rsidRPr="0006214B">
        <w:rPr>
          <w:rStyle w:val="af6"/>
          <w:rFonts w:eastAsia="Guttman Hodes"/>
          <w:rtl/>
        </w:rPr>
      </w:r>
      <w:r w:rsidRPr="0006214B">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06214B">
        <w:rPr>
          <w:rStyle w:val="af6"/>
          <w:rFonts w:eastAsia="Guttman Hodes"/>
          <w:rtl/>
        </w:rPr>
        <w:fldChar w:fldCharType="end"/>
      </w:r>
      <w:r>
        <w:rPr>
          <w:rFonts w:hint="cs"/>
          <w:rtl/>
        </w:rPr>
        <w:t xml:space="preserve"> דהרי החיוב בבשר בחלב הוא אף כשאין לו כל הנאה מהאכילה ואדרבה יש לו צער בה, כשאכלו רותח או שעירב בה דבר מר, וא"כ אמאי נותן טעם לפגם מותר.</w:t>
      </w:r>
    </w:p>
    <w:p w:rsidR="0013006A" w:rsidRPr="00A37615" w:rsidRDefault="0013006A" w:rsidP="0013006A">
      <w:pPr>
        <w:pStyle w:val="a2"/>
        <w:rPr>
          <w:rtl/>
        </w:rPr>
      </w:pPr>
      <w:bookmarkStart w:id="10249" w:name="_Toc19180917"/>
      <w:r>
        <w:rPr>
          <w:rFonts w:hint="cs"/>
          <w:rtl/>
        </w:rPr>
        <w:t>ביאור הקה"י ברשב"א דבפגום אין דין טע"כ וא"כ אף שאינו כדרך הנאתן אין איסור טע"כ</w:t>
      </w:r>
      <w:bookmarkEnd w:id="10249"/>
    </w:p>
    <w:p w:rsidR="0013006A" w:rsidRPr="00CA624A" w:rsidRDefault="0013006A" w:rsidP="009F44AF">
      <w:pPr>
        <w:pStyle w:val="a"/>
        <w:rPr>
          <w:rStyle w:val="afa"/>
        </w:rPr>
      </w:pPr>
      <w:r>
        <w:rPr>
          <w:rFonts w:hint="cs"/>
          <w:rtl/>
        </w:rPr>
        <w:t xml:space="preserve">וכתב </w:t>
      </w:r>
      <w:r w:rsidRPr="00D47CE7">
        <w:rPr>
          <w:rStyle w:val="af8"/>
          <w:rFonts w:hint="cs"/>
          <w:rtl/>
        </w:rPr>
        <w:t>הקה"י</w:t>
      </w:r>
      <w:r>
        <w:rPr>
          <w:rStyle w:val="af8"/>
          <w:rFonts w:hint="cs"/>
          <w:rtl/>
        </w:rPr>
        <w:t xml:space="preserve"> </w:t>
      </w:r>
      <w:r w:rsidRPr="00CA624A">
        <w:rPr>
          <w:rStyle w:val="af6"/>
          <w:rFonts w:eastAsia="Guttman Hodes" w:hint="cs"/>
          <w:rtl/>
        </w:rPr>
        <w:t xml:space="preserve">(סי' כ"ה ח' ד"ה והנה לשיטת) </w:t>
      </w:r>
      <w:r>
        <w:rPr>
          <w:rFonts w:hint="cs"/>
          <w:rtl/>
        </w:rPr>
        <w:t xml:space="preserve">דלדעת </w:t>
      </w:r>
      <w:r w:rsidRPr="00F90050">
        <w:rPr>
          <w:rStyle w:val="af8"/>
          <w:rFonts w:hint="cs"/>
          <w:rtl/>
        </w:rPr>
        <w:t>הרשב"א</w:t>
      </w:r>
      <w:r>
        <w:rPr>
          <w:rFonts w:hint="cs"/>
          <w:rtl/>
        </w:rPr>
        <w:t xml:space="preserve"> </w:t>
      </w:r>
      <w:r w:rsidRPr="00CA624A">
        <w:rPr>
          <w:rStyle w:val="af6"/>
          <w:rFonts w:eastAsia="Guttman Hodes" w:hint="cs"/>
          <w:rtl/>
        </w:rPr>
        <w:t xml:space="preserve">(עי' אות </w:t>
      </w:r>
      <w:r w:rsidRPr="00CA624A">
        <w:rPr>
          <w:rStyle w:val="af6"/>
          <w:rFonts w:eastAsia="Guttman Hodes"/>
          <w:rtl/>
        </w:rPr>
        <w:fldChar w:fldCharType="begin"/>
      </w:r>
      <w:r w:rsidRPr="00CA624A">
        <w:rPr>
          <w:rStyle w:val="af6"/>
          <w:rFonts w:eastAsia="Guttman Hodes"/>
          <w:rtl/>
        </w:rPr>
        <w:instrText xml:space="preserve"> </w:instrText>
      </w:r>
      <w:r w:rsidRPr="00CA624A">
        <w:rPr>
          <w:rStyle w:val="af6"/>
          <w:rFonts w:eastAsia="Guttman Hodes" w:hint="cs"/>
        </w:rPr>
        <w:instrText>REF</w:instrText>
      </w:r>
      <w:r w:rsidRPr="00CA624A">
        <w:rPr>
          <w:rStyle w:val="af6"/>
          <w:rFonts w:eastAsia="Guttman Hodes" w:hint="cs"/>
          <w:rtl/>
        </w:rPr>
        <w:instrText xml:space="preserve"> _</w:instrText>
      </w:r>
      <w:r w:rsidRPr="00CA624A">
        <w:rPr>
          <w:rStyle w:val="af6"/>
          <w:rFonts w:eastAsia="Guttman Hodes" w:hint="cs"/>
        </w:rPr>
        <w:instrText>Ref19046356 \r \h</w:instrText>
      </w:r>
      <w:r w:rsidRPr="00CA624A">
        <w:rPr>
          <w:rStyle w:val="af6"/>
          <w:rFonts w:eastAsia="Guttman Hodes"/>
          <w:rtl/>
        </w:rPr>
        <w:instrText xml:space="preserve"> </w:instrText>
      </w:r>
      <w:r w:rsidRPr="00CA624A">
        <w:rPr>
          <w:rStyle w:val="af6"/>
          <w:rFonts w:eastAsia="Guttman Hodes"/>
          <w:rtl/>
        </w:rPr>
      </w:r>
      <w:r w:rsidRPr="00CA624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CA624A">
        <w:rPr>
          <w:rStyle w:val="af6"/>
          <w:rFonts w:eastAsia="Guttman Hodes"/>
          <w:rtl/>
        </w:rPr>
        <w:fldChar w:fldCharType="end"/>
      </w:r>
      <w:r>
        <w:rPr>
          <w:rFonts w:hint="cs"/>
          <w:rtl/>
        </w:rPr>
        <w:t xml:space="preserve"> דההיתר בנותן טעם לפגם הוא כיון שבטעם פגום אין דין טעם כעיקר, א"כ  דין נותן טעם לפגם אינו שייך כלל לדין שלא כדרך הנאתן, דהא דחייב בבשר בחלב וכלאי הכרם אף באכלם שלא כדרך הנאתן, היינו כיון שאכל את גוף האיסור, אבל בטעמו ולא ממשו, דכל האיסור הוא רק מדין טעם כעיקר, א"כ כיון דבטעם פגום אין דין טעם כעיקר, א"כ אף בבשר בחלב נותן טעם לפגם מותר.</w:t>
      </w:r>
    </w:p>
    <w:p w:rsidR="0013006A" w:rsidRPr="00A37615" w:rsidRDefault="0013006A" w:rsidP="0013006A">
      <w:pPr>
        <w:pStyle w:val="a2"/>
        <w:rPr>
          <w:rtl/>
        </w:rPr>
      </w:pPr>
      <w:bookmarkStart w:id="10250" w:name="_Toc19180918"/>
      <w:r>
        <w:rPr>
          <w:rFonts w:hint="cs"/>
          <w:rtl/>
        </w:rPr>
        <w:t>קושית הקה"י על הר"ן דהיתר נטל"פ דאינו נהנה והרי בב"ח חייב אף שלא כדרך הנאתן</w:t>
      </w:r>
      <w:bookmarkEnd w:id="10250"/>
    </w:p>
    <w:p w:rsidR="0013006A" w:rsidRDefault="0013006A" w:rsidP="009F44AF">
      <w:pPr>
        <w:pStyle w:val="a"/>
        <w:rPr>
          <w:rtl/>
        </w:rPr>
      </w:pPr>
      <w:r>
        <w:rPr>
          <w:rFonts w:hint="cs"/>
          <w:rtl/>
        </w:rPr>
        <w:lastRenderedPageBreak/>
        <w:t xml:space="preserve">אך הקשה </w:t>
      </w:r>
      <w:r w:rsidRPr="00F90050">
        <w:rPr>
          <w:rStyle w:val="af8"/>
          <w:rFonts w:hint="cs"/>
          <w:rtl/>
        </w:rPr>
        <w:t>הקה"י</w:t>
      </w:r>
      <w:r>
        <w:rPr>
          <w:rFonts w:hint="cs"/>
          <w:rtl/>
        </w:rPr>
        <w:t xml:space="preserve"> על דעת </w:t>
      </w:r>
      <w:r w:rsidRPr="00F90050">
        <w:rPr>
          <w:rStyle w:val="af8"/>
          <w:rFonts w:hint="cs"/>
          <w:rtl/>
        </w:rPr>
        <w:t>הר"ן</w:t>
      </w:r>
      <w:r>
        <w:rPr>
          <w:rFonts w:hint="cs"/>
          <w:rtl/>
        </w:rPr>
        <w:t xml:space="preserve"> </w:t>
      </w:r>
      <w:r w:rsidRPr="000147BD">
        <w:rPr>
          <w:rStyle w:val="af6"/>
          <w:rFonts w:eastAsia="Guttman Hodes" w:hint="cs"/>
          <w:rtl/>
        </w:rPr>
        <w:t xml:space="preserve">(עי' אות </w:t>
      </w:r>
      <w:r w:rsidRPr="000147BD">
        <w:rPr>
          <w:rStyle w:val="af6"/>
          <w:rFonts w:eastAsia="Guttman Hodes"/>
          <w:rtl/>
        </w:rPr>
        <w:fldChar w:fldCharType="begin"/>
      </w:r>
      <w:r w:rsidRPr="000147BD">
        <w:rPr>
          <w:rStyle w:val="af6"/>
          <w:rFonts w:eastAsia="Guttman Hodes"/>
          <w:rtl/>
        </w:rPr>
        <w:instrText xml:space="preserve"> </w:instrText>
      </w:r>
      <w:r w:rsidRPr="000147BD">
        <w:rPr>
          <w:rStyle w:val="af6"/>
          <w:rFonts w:eastAsia="Guttman Hodes" w:hint="cs"/>
        </w:rPr>
        <w:instrText>REF</w:instrText>
      </w:r>
      <w:r w:rsidRPr="000147BD">
        <w:rPr>
          <w:rStyle w:val="af6"/>
          <w:rFonts w:eastAsia="Guttman Hodes" w:hint="cs"/>
          <w:rtl/>
        </w:rPr>
        <w:instrText xml:space="preserve"> _</w:instrText>
      </w:r>
      <w:r w:rsidRPr="000147BD">
        <w:rPr>
          <w:rStyle w:val="af6"/>
          <w:rFonts w:eastAsia="Guttman Hodes" w:hint="cs"/>
        </w:rPr>
        <w:instrText>Ref19129538 \r \h</w:instrText>
      </w:r>
      <w:r w:rsidRPr="000147BD">
        <w:rPr>
          <w:rStyle w:val="af6"/>
          <w:rFonts w:eastAsia="Guttman Hodes"/>
          <w:rtl/>
        </w:rPr>
        <w:instrText xml:space="preserve"> </w:instrText>
      </w:r>
      <w:r w:rsidRPr="000147BD">
        <w:rPr>
          <w:rStyle w:val="af6"/>
          <w:rFonts w:eastAsia="Guttman Hodes"/>
          <w:rtl/>
        </w:rPr>
      </w:r>
      <w:r w:rsidRPr="000147BD">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0147BD">
        <w:rPr>
          <w:rStyle w:val="af6"/>
          <w:rFonts w:eastAsia="Guttman Hodes"/>
          <w:rtl/>
        </w:rPr>
        <w:fldChar w:fldCharType="end"/>
      </w:r>
      <w:r>
        <w:rPr>
          <w:rFonts w:hint="cs"/>
          <w:rtl/>
        </w:rPr>
        <w:t xml:space="preserve"> דס"ל דההיתר בנותן טעם לפגם הוא כיון שאינו נהנה מהאיסור, וחשיב כאוכל איסור שאינו ראוי לאכילה, כיון שאינו נהנה מהטעם הפגום שהתערב בהיתר, א"כ קשה אמאי אינו חייב במותן טעם לפגם, בבשר בחלב וכלאי הכרם, דחייבים עליהם אף בשלא כדרך הנאתן.</w:t>
      </w:r>
    </w:p>
    <w:p w:rsidR="0013006A" w:rsidRPr="00A37615" w:rsidRDefault="0013006A" w:rsidP="0013006A">
      <w:pPr>
        <w:pStyle w:val="a2"/>
        <w:rPr>
          <w:rtl/>
        </w:rPr>
      </w:pPr>
      <w:bookmarkStart w:id="10251" w:name="_Toc19180919"/>
      <w:r>
        <w:rPr>
          <w:rFonts w:hint="cs"/>
          <w:rtl/>
        </w:rPr>
        <w:t>ביאור הקה"י בר"ן חיוב בב"ח הוא רק בממשו שנהנה במעיו ולא בטעמו שאין כל הנאה</w:t>
      </w:r>
      <w:bookmarkEnd w:id="10251"/>
    </w:p>
    <w:p w:rsidR="0013006A" w:rsidRDefault="0013006A" w:rsidP="009F44AF">
      <w:pPr>
        <w:pStyle w:val="a"/>
        <w:rPr>
          <w:rtl/>
        </w:rPr>
      </w:pPr>
      <w:r>
        <w:rPr>
          <w:rFonts w:hint="cs"/>
          <w:rtl/>
        </w:rPr>
        <w:t xml:space="preserve">אלא כתב </w:t>
      </w:r>
      <w:r w:rsidRPr="00F90050">
        <w:rPr>
          <w:rStyle w:val="af8"/>
          <w:rFonts w:hint="cs"/>
          <w:rtl/>
        </w:rPr>
        <w:t>הקה"י</w:t>
      </w:r>
      <w:r>
        <w:rPr>
          <w:rFonts w:hint="cs"/>
          <w:rtl/>
        </w:rPr>
        <w:t xml:space="preserve"> דמוכח דאף לדעת </w:t>
      </w:r>
      <w:r w:rsidRPr="00F90050">
        <w:rPr>
          <w:rStyle w:val="af8"/>
          <w:rFonts w:hint="cs"/>
          <w:rtl/>
        </w:rPr>
        <w:t>הר"ן</w:t>
      </w:r>
      <w:r>
        <w:rPr>
          <w:rFonts w:hint="cs"/>
          <w:rtl/>
        </w:rPr>
        <w:t xml:space="preserve"> יש חילוק בין נותן טעם לפגם בטעמו וממשו לטעמו ולא ממשו, דאף דבכל נותן טעם לפגם, אין בו הנאת גרונו, כיון שהטעם פגום, מ"מ בטעמו וממשו, יש בו את הנאת מעיו, אבל בטעמו לבד, אין בו כל הנאה לא הנאת גרונו ולא הנאת מעיו, וכתב </w:t>
      </w:r>
      <w:r w:rsidRPr="00F90050">
        <w:rPr>
          <w:rStyle w:val="af8"/>
          <w:rFonts w:hint="cs"/>
          <w:rtl/>
        </w:rPr>
        <w:t>הקה"י</w:t>
      </w:r>
      <w:r>
        <w:rPr>
          <w:rFonts w:hint="cs"/>
          <w:rtl/>
        </w:rPr>
        <w:t xml:space="preserve"> דא"כ כ"מ שאפשר לחייב בבשר וחלב וכלאי הכרם הוא כשאוכל את ממשות האיסור, דאף שאינו נהנה ממנו, מ"מ יש בו הנאת מעיו, אבל כשאוכל רק את טעמו, דבטעם כל ההנאה היא רק כשטעמו משובח ולא בטעם פגום, לכן א"א לחייבו אף בבשר בחלב וכלאי הכרם.</w:t>
      </w:r>
    </w:p>
    <w:p w:rsidR="0013006A" w:rsidRPr="00A37615" w:rsidRDefault="0013006A" w:rsidP="0013006A">
      <w:pPr>
        <w:pStyle w:val="a2"/>
        <w:rPr>
          <w:rtl/>
        </w:rPr>
      </w:pPr>
      <w:bookmarkStart w:id="10252" w:name="_Toc19180920"/>
      <w:r>
        <w:rPr>
          <w:rFonts w:hint="cs"/>
          <w:rtl/>
        </w:rPr>
        <w:t>קושית הקה"י על החוו"ד דבנטל"פ לא פקע האיסור ומותר דאינו נהנה והרי בב"ח חייב בלא נהנה</w:t>
      </w:r>
      <w:bookmarkEnd w:id="10252"/>
    </w:p>
    <w:p w:rsidR="0013006A" w:rsidRDefault="0013006A" w:rsidP="009F44AF">
      <w:pPr>
        <w:pStyle w:val="a"/>
        <w:rPr>
          <w:rtl/>
        </w:rPr>
      </w:pPr>
      <w:bookmarkStart w:id="10253" w:name="_Ref19182226"/>
      <w:r w:rsidRPr="008744AF">
        <w:rPr>
          <w:rFonts w:hint="cs"/>
          <w:rtl/>
        </w:rPr>
        <w:t xml:space="preserve">הביא </w:t>
      </w:r>
      <w:r w:rsidRPr="008744AF">
        <w:rPr>
          <w:rStyle w:val="af8"/>
          <w:rFonts w:hint="cs"/>
          <w:rtl/>
        </w:rPr>
        <w:t xml:space="preserve">הקה"י </w:t>
      </w:r>
      <w:r w:rsidRPr="008744AF">
        <w:rPr>
          <w:rStyle w:val="af6"/>
          <w:rFonts w:eastAsia="Guttman Hodes" w:hint="cs"/>
          <w:rtl/>
        </w:rPr>
        <w:t>(סי' כ"ה ח' ד"ה ודברי החוו"ד</w:t>
      </w:r>
      <w:r>
        <w:rPr>
          <w:rStyle w:val="af6"/>
          <w:rFonts w:eastAsia="Guttman Hodes" w:hint="cs"/>
          <w:rtl/>
        </w:rPr>
        <w:t>,</w:t>
      </w:r>
      <w:r w:rsidRPr="00C62602">
        <w:rPr>
          <w:rtl/>
        </w:rPr>
        <w:t xml:space="preserve"> </w:t>
      </w:r>
      <w:r w:rsidRPr="00C62602">
        <w:rPr>
          <w:rStyle w:val="af6"/>
          <w:rFonts w:eastAsia="Guttman Hodes"/>
          <w:rtl/>
        </w:rPr>
        <w:t>בפסחים סי' ט"ז ד"ה ומ"מ אכתי</w:t>
      </w:r>
      <w:r w:rsidRPr="008744AF">
        <w:rPr>
          <w:rStyle w:val="af6"/>
          <w:rFonts w:eastAsia="Guttman Hodes" w:hint="cs"/>
          <w:rtl/>
        </w:rPr>
        <w:t xml:space="preserve">) </w:t>
      </w:r>
      <w:r w:rsidRPr="008744AF">
        <w:rPr>
          <w:rFonts w:hint="cs"/>
          <w:rtl/>
        </w:rPr>
        <w:t xml:space="preserve">את דברי </w:t>
      </w:r>
      <w:r w:rsidRPr="00461832">
        <w:rPr>
          <w:rStyle w:val="af8"/>
          <w:rFonts w:hint="cs"/>
          <w:rtl/>
        </w:rPr>
        <w:t xml:space="preserve">החוו"ד </w:t>
      </w:r>
      <w:r w:rsidRPr="007445C1">
        <w:rPr>
          <w:rStyle w:val="af6"/>
          <w:rFonts w:eastAsia="Guttman Hodes" w:hint="cs"/>
          <w:rtl/>
        </w:rPr>
        <w:t xml:space="preserve">(עי' אות </w:t>
      </w:r>
      <w:r w:rsidRPr="007445C1">
        <w:rPr>
          <w:rStyle w:val="af6"/>
          <w:rFonts w:eastAsia="Guttman Hodes"/>
          <w:rtl/>
        </w:rPr>
        <w:fldChar w:fldCharType="begin"/>
      </w:r>
      <w:r w:rsidRPr="007445C1">
        <w:rPr>
          <w:rStyle w:val="af6"/>
          <w:rFonts w:eastAsia="Guttman Hodes"/>
          <w:rtl/>
        </w:rPr>
        <w:instrText xml:space="preserve"> </w:instrText>
      </w:r>
      <w:r w:rsidRPr="007445C1">
        <w:rPr>
          <w:rStyle w:val="af6"/>
          <w:rFonts w:eastAsia="Guttman Hodes" w:hint="cs"/>
        </w:rPr>
        <w:instrText>REF</w:instrText>
      </w:r>
      <w:r w:rsidRPr="007445C1">
        <w:rPr>
          <w:rStyle w:val="af6"/>
          <w:rFonts w:eastAsia="Guttman Hodes" w:hint="cs"/>
          <w:rtl/>
        </w:rPr>
        <w:instrText xml:space="preserve"> _</w:instrText>
      </w:r>
      <w:r w:rsidRPr="007445C1">
        <w:rPr>
          <w:rStyle w:val="af6"/>
          <w:rFonts w:eastAsia="Guttman Hodes" w:hint="cs"/>
        </w:rPr>
        <w:instrText>Ref19120520 \r \h</w:instrText>
      </w:r>
      <w:r w:rsidRPr="007445C1">
        <w:rPr>
          <w:rStyle w:val="af6"/>
          <w:rFonts w:eastAsia="Guttman Hodes"/>
          <w:rtl/>
        </w:rPr>
        <w:instrText xml:space="preserve"> </w:instrText>
      </w:r>
      <w:r w:rsidRPr="007445C1">
        <w:rPr>
          <w:rStyle w:val="af6"/>
          <w:rFonts w:eastAsia="Guttman Hodes"/>
          <w:rtl/>
        </w:rPr>
      </w:r>
      <w:r w:rsidRPr="007445C1">
        <w:rPr>
          <w:rStyle w:val="af6"/>
          <w:rFonts w:eastAsia="Guttman Hodes"/>
          <w:rtl/>
        </w:rPr>
        <w:fldChar w:fldCharType="separate"/>
      </w:r>
      <w:r w:rsidR="004D1C5B">
        <w:rPr>
          <w:rStyle w:val="af6"/>
          <w:rFonts w:eastAsia="Guttman Hodes"/>
          <w:cs/>
        </w:rPr>
        <w:t>‎</w:t>
      </w:r>
      <w:r w:rsidR="004D1C5B">
        <w:rPr>
          <w:rStyle w:val="af6"/>
          <w:rFonts w:eastAsia="Guttman Hodes"/>
          <w:rtl/>
        </w:rPr>
        <w:t>ע)</w:t>
      </w:r>
      <w:r w:rsidRPr="007445C1">
        <w:rPr>
          <w:rStyle w:val="af6"/>
          <w:rFonts w:eastAsia="Guttman Hodes"/>
          <w:rtl/>
        </w:rPr>
        <w:fldChar w:fldCharType="end"/>
      </w:r>
      <w:r>
        <w:rPr>
          <w:rFonts w:hint="cs"/>
          <w:rtl/>
        </w:rPr>
        <w:t xml:space="preserve"> דכתב </w:t>
      </w:r>
      <w:r w:rsidRPr="008744AF">
        <w:rPr>
          <w:rFonts w:hint="cs"/>
          <w:rtl/>
        </w:rPr>
        <w:t>דבנבילה פקע האיסור לגמרי</w:t>
      </w:r>
      <w:r>
        <w:rPr>
          <w:rFonts w:hint="cs"/>
          <w:rtl/>
        </w:rPr>
        <w:t>,</w:t>
      </w:r>
      <w:r w:rsidRPr="008744AF">
        <w:rPr>
          <w:rFonts w:hint="cs"/>
          <w:rtl/>
        </w:rPr>
        <w:t xml:space="preserve"> וכתב </w:t>
      </w:r>
      <w:r w:rsidRPr="00461832">
        <w:rPr>
          <w:rStyle w:val="af8"/>
          <w:rFonts w:hint="cs"/>
          <w:rtl/>
        </w:rPr>
        <w:t>הקה"י</w:t>
      </w:r>
      <w:r w:rsidRPr="008744AF">
        <w:rPr>
          <w:rFonts w:hint="cs"/>
          <w:rtl/>
        </w:rPr>
        <w:t xml:space="preserve"> דמשמעות דברי </w:t>
      </w:r>
      <w:r w:rsidRPr="00461832">
        <w:rPr>
          <w:rStyle w:val="af8"/>
          <w:rFonts w:hint="cs"/>
          <w:rtl/>
        </w:rPr>
        <w:t xml:space="preserve">החוו"ד </w:t>
      </w:r>
      <w:r w:rsidRPr="008744AF">
        <w:rPr>
          <w:rFonts w:hint="cs"/>
          <w:rtl/>
        </w:rPr>
        <w:t xml:space="preserve">הם </w:t>
      </w:r>
      <w:r>
        <w:rPr>
          <w:rFonts w:hint="cs"/>
          <w:rtl/>
        </w:rPr>
        <w:t xml:space="preserve">דלכן </w:t>
      </w:r>
      <w:r w:rsidRPr="008744AF">
        <w:rPr>
          <w:rFonts w:hint="cs"/>
          <w:rtl/>
        </w:rPr>
        <w:t xml:space="preserve">אף נותן טעם לפגם דילפינן מנבילה, מותר בבשר בחלב וכלאי הכרם, דחשיב שפקע גוף האיסור, אלא דהוקשה </w:t>
      </w:r>
      <w:r w:rsidRPr="00461832">
        <w:rPr>
          <w:rStyle w:val="af8"/>
          <w:rFonts w:hint="cs"/>
          <w:rtl/>
        </w:rPr>
        <w:t xml:space="preserve">לחוו"ד </w:t>
      </w:r>
      <w:r w:rsidRPr="00461832">
        <w:rPr>
          <w:rStyle w:val="af6"/>
          <w:rFonts w:eastAsia="Guttman Hodes" w:hint="cs"/>
          <w:rtl/>
        </w:rPr>
        <w:t xml:space="preserve">(עי' אות </w:t>
      </w:r>
      <w:r w:rsidRPr="00461832">
        <w:rPr>
          <w:rStyle w:val="af6"/>
          <w:rFonts w:eastAsia="Guttman Hodes"/>
          <w:rtl/>
        </w:rPr>
        <w:fldChar w:fldCharType="begin"/>
      </w:r>
      <w:r w:rsidRPr="00461832">
        <w:rPr>
          <w:rStyle w:val="af6"/>
          <w:rFonts w:eastAsia="Guttman Hodes"/>
          <w:rtl/>
        </w:rPr>
        <w:instrText xml:space="preserve"> </w:instrText>
      </w:r>
      <w:r w:rsidRPr="00461832">
        <w:rPr>
          <w:rStyle w:val="af6"/>
          <w:rFonts w:eastAsia="Guttman Hodes" w:hint="cs"/>
        </w:rPr>
        <w:instrText>REF</w:instrText>
      </w:r>
      <w:r w:rsidRPr="00461832">
        <w:rPr>
          <w:rStyle w:val="af6"/>
          <w:rFonts w:eastAsia="Guttman Hodes" w:hint="cs"/>
          <w:rtl/>
        </w:rPr>
        <w:instrText xml:space="preserve"> _</w:instrText>
      </w:r>
      <w:r w:rsidRPr="00461832">
        <w:rPr>
          <w:rStyle w:val="af6"/>
          <w:rFonts w:eastAsia="Guttman Hodes" w:hint="cs"/>
        </w:rPr>
        <w:instrText>Ref19179032 \r \h</w:instrText>
      </w:r>
      <w:r w:rsidRPr="00461832">
        <w:rPr>
          <w:rStyle w:val="af6"/>
          <w:rFonts w:eastAsia="Guttman Hodes"/>
          <w:rtl/>
        </w:rPr>
        <w:instrText xml:space="preserve"> </w:instrText>
      </w:r>
      <w:r w:rsidRPr="00461832">
        <w:rPr>
          <w:rStyle w:val="af6"/>
          <w:rFonts w:eastAsia="Guttman Hodes"/>
          <w:rtl/>
        </w:rPr>
      </w:r>
      <w:r w:rsidRPr="00461832">
        <w:rPr>
          <w:rStyle w:val="af6"/>
          <w:rFonts w:eastAsia="Guttman Hodes"/>
          <w:rtl/>
        </w:rPr>
        <w:fldChar w:fldCharType="separate"/>
      </w:r>
      <w:r w:rsidR="004D1C5B">
        <w:rPr>
          <w:rStyle w:val="af6"/>
          <w:rFonts w:eastAsia="Guttman Hodes"/>
          <w:cs/>
        </w:rPr>
        <w:t>‎</w:t>
      </w:r>
      <w:r w:rsidR="004D1C5B">
        <w:rPr>
          <w:rStyle w:val="af6"/>
          <w:rFonts w:eastAsia="Guttman Hodes"/>
          <w:rtl/>
        </w:rPr>
        <w:t>סט)</w:t>
      </w:r>
      <w:r w:rsidRPr="00461832">
        <w:rPr>
          <w:rStyle w:val="af6"/>
          <w:rFonts w:eastAsia="Guttman Hodes"/>
          <w:rtl/>
        </w:rPr>
        <w:fldChar w:fldCharType="end"/>
      </w:r>
      <w:r>
        <w:rPr>
          <w:rFonts w:hint="cs"/>
          <w:rtl/>
        </w:rPr>
        <w:t xml:space="preserve"> </w:t>
      </w:r>
      <w:r w:rsidRPr="008744AF">
        <w:rPr>
          <w:rFonts w:hint="cs"/>
          <w:rtl/>
        </w:rPr>
        <w:t xml:space="preserve">מהא דפגם ולבסוף השביח אסור, ומוכח שלא פקע גוף האיסור, וע"ז תירץ </w:t>
      </w:r>
      <w:r w:rsidRPr="00461832">
        <w:rPr>
          <w:rStyle w:val="af8"/>
          <w:rFonts w:hint="cs"/>
          <w:rtl/>
        </w:rPr>
        <w:t xml:space="preserve">החוו"ד </w:t>
      </w:r>
      <w:r w:rsidRPr="00461832">
        <w:rPr>
          <w:rStyle w:val="af6"/>
          <w:rFonts w:eastAsia="Guttman Hodes" w:hint="cs"/>
          <w:rtl/>
        </w:rPr>
        <w:t xml:space="preserve">(עי' אות </w:t>
      </w:r>
      <w:r w:rsidRPr="00461832">
        <w:rPr>
          <w:rStyle w:val="af6"/>
          <w:rFonts w:eastAsia="Guttman Hodes"/>
          <w:rtl/>
        </w:rPr>
        <w:fldChar w:fldCharType="begin"/>
      </w:r>
      <w:r w:rsidRPr="00461832">
        <w:rPr>
          <w:rStyle w:val="af6"/>
          <w:rFonts w:eastAsia="Guttman Hodes"/>
          <w:rtl/>
        </w:rPr>
        <w:instrText xml:space="preserve"> </w:instrText>
      </w:r>
      <w:r w:rsidRPr="00461832">
        <w:rPr>
          <w:rStyle w:val="af6"/>
          <w:rFonts w:eastAsia="Guttman Hodes" w:hint="cs"/>
        </w:rPr>
        <w:instrText>REF</w:instrText>
      </w:r>
      <w:r w:rsidRPr="00461832">
        <w:rPr>
          <w:rStyle w:val="af6"/>
          <w:rFonts w:eastAsia="Guttman Hodes" w:hint="cs"/>
          <w:rtl/>
        </w:rPr>
        <w:instrText xml:space="preserve"> _</w:instrText>
      </w:r>
      <w:r w:rsidRPr="00461832">
        <w:rPr>
          <w:rStyle w:val="af6"/>
          <w:rFonts w:eastAsia="Guttman Hodes" w:hint="cs"/>
        </w:rPr>
        <w:instrText>Ref19179032 \r \h</w:instrText>
      </w:r>
      <w:r w:rsidRPr="00461832">
        <w:rPr>
          <w:rStyle w:val="af6"/>
          <w:rFonts w:eastAsia="Guttman Hodes"/>
          <w:rtl/>
        </w:rPr>
        <w:instrText xml:space="preserve"> </w:instrText>
      </w:r>
      <w:r w:rsidRPr="00461832">
        <w:rPr>
          <w:rStyle w:val="af6"/>
          <w:rFonts w:eastAsia="Guttman Hodes"/>
          <w:rtl/>
        </w:rPr>
      </w:r>
      <w:r w:rsidRPr="00461832">
        <w:rPr>
          <w:rStyle w:val="af6"/>
          <w:rFonts w:eastAsia="Guttman Hodes"/>
          <w:rtl/>
        </w:rPr>
        <w:fldChar w:fldCharType="separate"/>
      </w:r>
      <w:r w:rsidR="004D1C5B">
        <w:rPr>
          <w:rStyle w:val="af6"/>
          <w:rFonts w:eastAsia="Guttman Hodes"/>
          <w:cs/>
        </w:rPr>
        <w:t>‎</w:t>
      </w:r>
      <w:r w:rsidR="004D1C5B">
        <w:rPr>
          <w:rStyle w:val="af6"/>
          <w:rFonts w:eastAsia="Guttman Hodes"/>
          <w:rtl/>
        </w:rPr>
        <w:t>סט)</w:t>
      </w:r>
      <w:r w:rsidRPr="00461832">
        <w:rPr>
          <w:rStyle w:val="af6"/>
          <w:rFonts w:eastAsia="Guttman Hodes"/>
          <w:rtl/>
        </w:rPr>
        <w:fldChar w:fldCharType="end"/>
      </w:r>
      <w:r>
        <w:rPr>
          <w:rFonts w:hint="cs"/>
          <w:rtl/>
        </w:rPr>
        <w:t xml:space="preserve"> </w:t>
      </w:r>
      <w:r w:rsidRPr="008744AF">
        <w:rPr>
          <w:rFonts w:hint="cs"/>
          <w:rtl/>
        </w:rPr>
        <w:t xml:space="preserve">דנותן טעם לפגם שפגום במקצת לא פקע האיסור, והקשה </w:t>
      </w:r>
      <w:r w:rsidRPr="00461832">
        <w:rPr>
          <w:rStyle w:val="af8"/>
          <w:rFonts w:hint="cs"/>
          <w:rtl/>
        </w:rPr>
        <w:t xml:space="preserve">הקה"י </w:t>
      </w:r>
      <w:r w:rsidRPr="008744AF">
        <w:rPr>
          <w:rFonts w:hint="cs"/>
          <w:rtl/>
        </w:rPr>
        <w:t>דא"כ הגדר בנותן טעם לפגם אינו שהוא</w:t>
      </w:r>
      <w:r>
        <w:rPr>
          <w:rFonts w:hint="cs"/>
          <w:rtl/>
        </w:rPr>
        <w:t xml:space="preserve"> מפקיע את האיסור, אלא דכיון שהיא אכילה בלא הנאה מותר, ועדיין קשה דאמאי בבשר וחלב וכלאי הכרם אין חיוב בנותן טעם לפגם, דהא חייב על אכילתן אף בשלא כדרך הנאתן, ובמה דחה </w:t>
      </w:r>
      <w:r w:rsidRPr="00461832">
        <w:rPr>
          <w:rStyle w:val="af8"/>
          <w:rFonts w:hint="cs"/>
          <w:rtl/>
        </w:rPr>
        <w:t xml:space="preserve">החוו"ד </w:t>
      </w:r>
      <w:r>
        <w:rPr>
          <w:rFonts w:hint="cs"/>
          <w:rtl/>
        </w:rPr>
        <w:t xml:space="preserve">את דברי </w:t>
      </w:r>
      <w:r w:rsidRPr="00461832">
        <w:rPr>
          <w:rStyle w:val="af8"/>
          <w:rFonts w:hint="cs"/>
          <w:rtl/>
        </w:rPr>
        <w:t>ה</w:t>
      </w:r>
      <w:r w:rsidR="00250230">
        <w:rPr>
          <w:rStyle w:val="af8"/>
          <w:rFonts w:hint="cs"/>
          <w:rtl/>
        </w:rPr>
        <w:t>פלתי</w:t>
      </w:r>
      <w:r>
        <w:rPr>
          <w:rFonts w:hint="cs"/>
          <w:rtl/>
        </w:rPr>
        <w:t>.</w:t>
      </w:r>
      <w:bookmarkEnd w:id="10253"/>
    </w:p>
    <w:p w:rsidR="0013006A" w:rsidRPr="00ED491C" w:rsidRDefault="0013006A" w:rsidP="0013006A">
      <w:pPr>
        <w:pStyle w:val="1"/>
        <w:rPr>
          <w:rtl/>
        </w:rPr>
      </w:pPr>
      <w:bookmarkStart w:id="10254" w:name="_Toc19180921"/>
      <w:r>
        <w:rPr>
          <w:rFonts w:hint="cs"/>
          <w:rtl/>
        </w:rPr>
        <w:t>דברי הקה"י בפסחים דחיוב בב"ח הוא במעשה האכילה בעין</w:t>
      </w:r>
      <w:bookmarkEnd w:id="10254"/>
    </w:p>
    <w:p w:rsidR="0013006A" w:rsidRDefault="0013006A" w:rsidP="0013006A">
      <w:pPr>
        <w:pStyle w:val="a2"/>
      </w:pPr>
      <w:bookmarkStart w:id="10255" w:name="_Toc19180922"/>
      <w:r>
        <w:rPr>
          <w:rFonts w:hint="cs"/>
          <w:rtl/>
        </w:rPr>
        <w:t>דברי הקה"י דמנבילה ילפינן גם דפקע האיסור וגם דאיסור שאינו נהנה באכילתו פטור</w:t>
      </w:r>
      <w:bookmarkEnd w:id="10255"/>
    </w:p>
    <w:p w:rsidR="0013006A" w:rsidRDefault="0013006A" w:rsidP="009F44AF">
      <w:pPr>
        <w:pStyle w:val="a"/>
        <w:rPr>
          <w:rtl/>
        </w:rPr>
      </w:pPr>
      <w:r>
        <w:rPr>
          <w:rFonts w:hint="cs"/>
          <w:rtl/>
        </w:rPr>
        <w:t>וכתב</w:t>
      </w:r>
      <w:r>
        <w:rPr>
          <w:rStyle w:val="af8"/>
          <w:rFonts w:hint="cs"/>
          <w:rtl/>
        </w:rPr>
        <w:t xml:space="preserve"> </w:t>
      </w:r>
      <w:r w:rsidRPr="008D3612">
        <w:rPr>
          <w:rStyle w:val="af8"/>
          <w:rFonts w:hint="cs"/>
          <w:rtl/>
        </w:rPr>
        <w:t>הקה"י בפסחים</w:t>
      </w:r>
      <w:r>
        <w:rPr>
          <w:rStyle w:val="af0"/>
          <w:rtl/>
        </w:rPr>
        <w:footnoteReference w:id="48"/>
      </w:r>
      <w:r w:rsidRPr="00D47CE7">
        <w:rPr>
          <w:rFonts w:hint="cs"/>
          <w:rtl/>
        </w:rPr>
        <w:t xml:space="preserve"> </w:t>
      </w:r>
      <w:r w:rsidRPr="007445C1">
        <w:rPr>
          <w:rStyle w:val="af6"/>
          <w:rFonts w:eastAsia="Guttman Hodes" w:hint="cs"/>
          <w:rtl/>
        </w:rPr>
        <w:t xml:space="preserve">(סי' ט"ז ד"ה ואעפ"י דבגמ') </w:t>
      </w:r>
      <w:r>
        <w:rPr>
          <w:rFonts w:hint="cs"/>
          <w:rtl/>
        </w:rPr>
        <w:t>דמבואר דמהילפותא דנבילה ילפינן ב' דינים, הא' דכשאינה ראויה לגר פקע ממנה שם איסור נבילה, אך כיון דהטעם שפקע האיסור, הוא כיון דהיסוד של איסור אכילה, הוא שאסור לאוכלו בהנאה, וכל שאין בו הנאת אכילה אינו בכלל איסור נבילה, ולכן ילפינן מנבילה דאף בפגום קצת שלא פקע איסורו ממנו, כיון שעדיין הוא ראוי לגר, מ"מ כיון שאין לאדם הנאת אכילה בו פטור, ואף כשאינו נהנה מחמת דבר אחר, כגון שהוא רותח ג"כ פטור דלא חשיב אכילה, דהפירוש באכילה היינו אכילה בהנאה.</w:t>
      </w:r>
    </w:p>
    <w:p w:rsidR="0013006A" w:rsidRPr="00A37615" w:rsidRDefault="0013006A" w:rsidP="0013006A">
      <w:pPr>
        <w:pStyle w:val="a2"/>
        <w:rPr>
          <w:rtl/>
        </w:rPr>
      </w:pPr>
      <w:bookmarkStart w:id="10256" w:name="_Toc19180923"/>
      <w:r>
        <w:rPr>
          <w:rFonts w:hint="cs"/>
          <w:rtl/>
        </w:rPr>
        <w:t>קושית הקה"י דכיון דנטל"פ נלמד מנבילה דהא אינו נהנה א"כ בב"ח צריך לחייב בנטל"פ</w:t>
      </w:r>
      <w:bookmarkEnd w:id="10256"/>
    </w:p>
    <w:p w:rsidR="0013006A" w:rsidRPr="00771F6D" w:rsidRDefault="0013006A" w:rsidP="009F44AF">
      <w:pPr>
        <w:pStyle w:val="a"/>
        <w:rPr>
          <w:rtl/>
        </w:rPr>
      </w:pPr>
      <w:r>
        <w:rPr>
          <w:rFonts w:hint="cs"/>
          <w:rtl/>
        </w:rPr>
        <w:t xml:space="preserve">וכתב </w:t>
      </w:r>
      <w:r w:rsidRPr="003775EE">
        <w:rPr>
          <w:rStyle w:val="af8"/>
          <w:rFonts w:hint="cs"/>
          <w:rtl/>
        </w:rPr>
        <w:t>הקה"י בפסחים</w:t>
      </w:r>
      <w:r>
        <w:rPr>
          <w:rFonts w:hint="cs"/>
          <w:vertAlign w:val="superscript"/>
          <w:rtl/>
        </w:rPr>
        <w:t xml:space="preserve"> </w:t>
      </w:r>
      <w:r>
        <w:rPr>
          <w:rFonts w:hint="cs"/>
          <w:rtl/>
        </w:rPr>
        <w:t xml:space="preserve">דזהו הביאור בהא דילפינן נותן טעם לפגם מנבילה, וכדכתב </w:t>
      </w:r>
      <w:r w:rsidRPr="00F90050">
        <w:rPr>
          <w:rStyle w:val="af8"/>
          <w:rFonts w:hint="cs"/>
          <w:rtl/>
        </w:rPr>
        <w:t>הר"ן</w:t>
      </w:r>
      <w:r>
        <w:rPr>
          <w:rFonts w:hint="cs"/>
          <w:rtl/>
        </w:rPr>
        <w:t xml:space="preserve"> </w:t>
      </w:r>
      <w:r w:rsidRPr="000147BD">
        <w:rPr>
          <w:rStyle w:val="af6"/>
          <w:rFonts w:eastAsia="Guttman Hodes" w:hint="cs"/>
          <w:rtl/>
        </w:rPr>
        <w:t xml:space="preserve">(עי' אות </w:t>
      </w:r>
      <w:r w:rsidRPr="000147BD">
        <w:rPr>
          <w:rStyle w:val="af6"/>
          <w:rFonts w:eastAsia="Guttman Hodes"/>
          <w:rtl/>
        </w:rPr>
        <w:fldChar w:fldCharType="begin"/>
      </w:r>
      <w:r w:rsidRPr="000147BD">
        <w:rPr>
          <w:rStyle w:val="af6"/>
          <w:rFonts w:eastAsia="Guttman Hodes"/>
          <w:rtl/>
        </w:rPr>
        <w:instrText xml:space="preserve"> </w:instrText>
      </w:r>
      <w:r w:rsidRPr="000147BD">
        <w:rPr>
          <w:rStyle w:val="af6"/>
          <w:rFonts w:eastAsia="Guttman Hodes" w:hint="cs"/>
        </w:rPr>
        <w:instrText>REF</w:instrText>
      </w:r>
      <w:r w:rsidRPr="000147BD">
        <w:rPr>
          <w:rStyle w:val="af6"/>
          <w:rFonts w:eastAsia="Guttman Hodes" w:hint="cs"/>
          <w:rtl/>
        </w:rPr>
        <w:instrText xml:space="preserve"> _</w:instrText>
      </w:r>
      <w:r w:rsidRPr="000147BD">
        <w:rPr>
          <w:rStyle w:val="af6"/>
          <w:rFonts w:eastAsia="Guttman Hodes" w:hint="cs"/>
        </w:rPr>
        <w:instrText>Ref19129538 \r \h</w:instrText>
      </w:r>
      <w:r w:rsidRPr="000147BD">
        <w:rPr>
          <w:rStyle w:val="af6"/>
          <w:rFonts w:eastAsia="Guttman Hodes"/>
          <w:rtl/>
        </w:rPr>
        <w:instrText xml:space="preserve"> </w:instrText>
      </w:r>
      <w:r w:rsidRPr="000147BD">
        <w:rPr>
          <w:rStyle w:val="af6"/>
          <w:rFonts w:eastAsia="Guttman Hodes"/>
          <w:rtl/>
        </w:rPr>
      </w:r>
      <w:r w:rsidRPr="000147BD">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0147BD">
        <w:rPr>
          <w:rStyle w:val="af6"/>
          <w:rFonts w:eastAsia="Guttman Hodes"/>
          <w:rtl/>
        </w:rPr>
        <w:fldChar w:fldCharType="end"/>
      </w:r>
      <w:r>
        <w:rPr>
          <w:rFonts w:hint="cs"/>
          <w:rtl/>
        </w:rPr>
        <w:t xml:space="preserve"> דכיון שאינו נהנה באכילתו, אין בו חיוב אכילה, והקשה </w:t>
      </w:r>
      <w:r w:rsidRPr="00ED491C">
        <w:rPr>
          <w:rStyle w:val="af8"/>
          <w:rFonts w:hint="cs"/>
          <w:rtl/>
        </w:rPr>
        <w:t>הקה"י</w:t>
      </w:r>
      <w:r>
        <w:rPr>
          <w:rFonts w:hint="cs"/>
          <w:rtl/>
        </w:rPr>
        <w:t xml:space="preserve"> דא"כ בכלאי הכרם שחייב בשלא כדרך הנאתן, צריך להתחייב אף בנותן טעם לפגם.</w:t>
      </w:r>
    </w:p>
    <w:p w:rsidR="0013006A" w:rsidRPr="00A37615" w:rsidRDefault="0013006A" w:rsidP="0013006A">
      <w:pPr>
        <w:pStyle w:val="a2"/>
        <w:rPr>
          <w:rtl/>
        </w:rPr>
      </w:pPr>
      <w:bookmarkStart w:id="10257" w:name="_Toc19180924"/>
      <w:r>
        <w:rPr>
          <w:rFonts w:hint="cs"/>
          <w:rtl/>
        </w:rPr>
        <w:t>קושית הקה"י על החוו"ד דעירב דבר מר הוא כנטל"פ ואפ"ה כתב הרמב"ם דחייב בב"ח</w:t>
      </w:r>
      <w:bookmarkEnd w:id="10257"/>
    </w:p>
    <w:p w:rsidR="0013006A" w:rsidRDefault="0013006A" w:rsidP="009F44AF">
      <w:pPr>
        <w:pStyle w:val="a"/>
        <w:rPr>
          <w:rtl/>
        </w:rPr>
      </w:pPr>
      <w:r>
        <w:rPr>
          <w:rFonts w:hint="cs"/>
          <w:rtl/>
        </w:rPr>
        <w:t xml:space="preserve">ועוד הקשה </w:t>
      </w:r>
      <w:r w:rsidRPr="003775EE">
        <w:rPr>
          <w:rStyle w:val="af8"/>
          <w:rFonts w:hint="cs"/>
          <w:rtl/>
        </w:rPr>
        <w:t>הקה"י בפסחים</w:t>
      </w:r>
      <w:r>
        <w:rPr>
          <w:rFonts w:hint="cs"/>
          <w:rtl/>
        </w:rPr>
        <w:t xml:space="preserve"> על </w:t>
      </w:r>
      <w:r w:rsidRPr="00ED491C">
        <w:rPr>
          <w:rStyle w:val="af8"/>
          <w:rFonts w:hint="cs"/>
          <w:rtl/>
        </w:rPr>
        <w:t xml:space="preserve">החוו"ד </w:t>
      </w:r>
      <w:r w:rsidRPr="00ED491C">
        <w:rPr>
          <w:rStyle w:val="af6"/>
          <w:rFonts w:eastAsia="Guttman Hodes" w:hint="cs"/>
          <w:rtl/>
        </w:rPr>
        <w:t xml:space="preserve">(עי' אות </w:t>
      </w:r>
      <w:r w:rsidRPr="00ED491C">
        <w:rPr>
          <w:rStyle w:val="af6"/>
          <w:rFonts w:eastAsia="Guttman Hodes"/>
          <w:rtl/>
        </w:rPr>
        <w:fldChar w:fldCharType="begin"/>
      </w:r>
      <w:r w:rsidRPr="00ED491C">
        <w:rPr>
          <w:rStyle w:val="af6"/>
          <w:rFonts w:eastAsia="Guttman Hodes"/>
          <w:rtl/>
        </w:rPr>
        <w:instrText xml:space="preserve"> </w:instrText>
      </w:r>
      <w:r w:rsidRPr="00ED491C">
        <w:rPr>
          <w:rStyle w:val="af6"/>
          <w:rFonts w:eastAsia="Guttman Hodes" w:hint="cs"/>
        </w:rPr>
        <w:instrText>REF</w:instrText>
      </w:r>
      <w:r w:rsidRPr="00ED491C">
        <w:rPr>
          <w:rStyle w:val="af6"/>
          <w:rFonts w:eastAsia="Guttman Hodes" w:hint="cs"/>
          <w:rtl/>
        </w:rPr>
        <w:instrText xml:space="preserve"> _</w:instrText>
      </w:r>
      <w:r w:rsidRPr="00ED491C">
        <w:rPr>
          <w:rStyle w:val="af6"/>
          <w:rFonts w:eastAsia="Guttman Hodes" w:hint="cs"/>
        </w:rPr>
        <w:instrText>Ref19046006 \r \h</w:instrText>
      </w:r>
      <w:r w:rsidRPr="00ED491C">
        <w:rPr>
          <w:rStyle w:val="af6"/>
          <w:rFonts w:eastAsia="Guttman Hodes"/>
          <w:rtl/>
        </w:rPr>
        <w:instrText xml:space="preserve"> </w:instrText>
      </w:r>
      <w:r w:rsidRPr="00ED491C">
        <w:rPr>
          <w:rStyle w:val="af6"/>
          <w:rFonts w:eastAsia="Guttman Hodes"/>
          <w:rtl/>
        </w:rPr>
      </w:r>
      <w:r w:rsidRPr="00ED491C">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ED491C">
        <w:rPr>
          <w:rStyle w:val="af6"/>
          <w:rFonts w:eastAsia="Guttman Hodes"/>
          <w:rtl/>
        </w:rPr>
        <w:fldChar w:fldCharType="end"/>
      </w:r>
      <w:r>
        <w:rPr>
          <w:rFonts w:hint="cs"/>
          <w:rtl/>
        </w:rPr>
        <w:t xml:space="preserve"> דכתב דהיתר נותן טעם לפגם הוא אף בבשר בחלב, דהרי אין כל חילוק בין נותן טעם לפגם לעירב בהם דבר מר, דבשניהם גוף האיסור עצמו לא נפסל מאכילה, אלא שא"א להנות ממנו כיון שמעורב בו דבר אחר, והרי בעירב דבר מר כתב </w:t>
      </w:r>
      <w:r w:rsidRPr="00ED491C">
        <w:rPr>
          <w:rStyle w:val="af8"/>
          <w:rFonts w:hint="cs"/>
          <w:rtl/>
        </w:rPr>
        <w:t xml:space="preserve">הרמב"ם </w:t>
      </w:r>
      <w:r w:rsidRPr="00ED491C">
        <w:rPr>
          <w:rStyle w:val="af6"/>
          <w:rFonts w:eastAsia="Guttman Hodes" w:hint="cs"/>
          <w:rtl/>
        </w:rPr>
        <w:t xml:space="preserve">(עי' אות </w:t>
      </w:r>
      <w:r w:rsidRPr="00ED491C">
        <w:rPr>
          <w:rStyle w:val="af6"/>
          <w:rFonts w:eastAsia="Guttman Hodes"/>
          <w:rtl/>
        </w:rPr>
        <w:fldChar w:fldCharType="begin"/>
      </w:r>
      <w:r w:rsidRPr="00ED491C">
        <w:rPr>
          <w:rStyle w:val="af6"/>
          <w:rFonts w:eastAsia="Guttman Hodes"/>
          <w:rtl/>
        </w:rPr>
        <w:instrText xml:space="preserve"> </w:instrText>
      </w:r>
      <w:r w:rsidRPr="00ED491C">
        <w:rPr>
          <w:rStyle w:val="af6"/>
          <w:rFonts w:eastAsia="Guttman Hodes" w:hint="cs"/>
        </w:rPr>
        <w:instrText>REF</w:instrText>
      </w:r>
      <w:r w:rsidRPr="00ED491C">
        <w:rPr>
          <w:rStyle w:val="af6"/>
          <w:rFonts w:eastAsia="Guttman Hodes" w:hint="cs"/>
          <w:rtl/>
        </w:rPr>
        <w:instrText xml:space="preserve"> _</w:instrText>
      </w:r>
      <w:r w:rsidRPr="00ED491C">
        <w:rPr>
          <w:rStyle w:val="af6"/>
          <w:rFonts w:eastAsia="Guttman Hodes" w:hint="cs"/>
        </w:rPr>
        <w:instrText>Ref19034938 \r \h</w:instrText>
      </w:r>
      <w:r w:rsidRPr="00ED491C">
        <w:rPr>
          <w:rStyle w:val="af6"/>
          <w:rFonts w:eastAsia="Guttman Hodes"/>
          <w:rtl/>
        </w:rPr>
        <w:instrText xml:space="preserve"> </w:instrText>
      </w:r>
      <w:r w:rsidRPr="00ED491C">
        <w:rPr>
          <w:rStyle w:val="af6"/>
          <w:rFonts w:eastAsia="Guttman Hodes"/>
          <w:rtl/>
        </w:rPr>
      </w:r>
      <w:r w:rsidRPr="00ED491C">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ED491C">
        <w:rPr>
          <w:rStyle w:val="af6"/>
          <w:rFonts w:eastAsia="Guttman Hodes"/>
          <w:rtl/>
        </w:rPr>
        <w:fldChar w:fldCharType="end"/>
      </w:r>
      <w:r>
        <w:rPr>
          <w:rFonts w:hint="cs"/>
          <w:rtl/>
        </w:rPr>
        <w:t xml:space="preserve"> להדיא דחייב בבשר בחלב וכלאי הכרם. </w:t>
      </w:r>
    </w:p>
    <w:p w:rsidR="0013006A" w:rsidRPr="00A37615" w:rsidRDefault="0013006A" w:rsidP="0013006A">
      <w:pPr>
        <w:pStyle w:val="a2"/>
      </w:pPr>
      <w:bookmarkStart w:id="10258" w:name="_Toc19180925"/>
      <w:r>
        <w:rPr>
          <w:rFonts w:hint="cs"/>
          <w:rtl/>
        </w:rPr>
        <w:t>ביאור הקה"י דחיוב בב"ח הוא במעשה האכילה אף שאינו נהנה בטעם</w:t>
      </w:r>
      <w:bookmarkEnd w:id="10258"/>
    </w:p>
    <w:p w:rsidR="0013006A" w:rsidRDefault="0013006A" w:rsidP="009F44AF">
      <w:pPr>
        <w:pStyle w:val="a"/>
        <w:rPr>
          <w:rtl/>
        </w:rPr>
      </w:pPr>
      <w:r>
        <w:rPr>
          <w:rFonts w:hint="cs"/>
          <w:rtl/>
        </w:rPr>
        <w:t>אלא ביאר</w:t>
      </w:r>
      <w:r w:rsidRPr="00D47CE7">
        <w:rPr>
          <w:rFonts w:hint="cs"/>
          <w:rtl/>
        </w:rPr>
        <w:t xml:space="preserve"> </w:t>
      </w:r>
      <w:r w:rsidRPr="003775EE">
        <w:rPr>
          <w:rStyle w:val="af8"/>
          <w:rFonts w:hint="cs"/>
          <w:rtl/>
        </w:rPr>
        <w:t>הקה"י בפסחים</w:t>
      </w:r>
      <w:r w:rsidRPr="006A3396">
        <w:rPr>
          <w:vertAlign w:val="superscript"/>
          <w:rtl/>
        </w:rPr>
        <w:fldChar w:fldCharType="begin"/>
      </w:r>
      <w:r w:rsidRPr="006A3396">
        <w:rPr>
          <w:vertAlign w:val="superscript"/>
          <w:rtl/>
        </w:rPr>
        <w:instrText xml:space="preserve"> </w:instrText>
      </w:r>
      <w:r w:rsidRPr="006A3396">
        <w:rPr>
          <w:rFonts w:hint="cs"/>
          <w:vertAlign w:val="superscript"/>
        </w:rPr>
        <w:instrText>NOTEREF</w:instrText>
      </w:r>
      <w:r w:rsidRPr="006A3396">
        <w:rPr>
          <w:rFonts w:hint="cs"/>
          <w:vertAlign w:val="superscript"/>
          <w:rtl/>
        </w:rPr>
        <w:instrText xml:space="preserve"> _</w:instrText>
      </w:r>
      <w:r w:rsidRPr="006A3396">
        <w:rPr>
          <w:rFonts w:hint="cs"/>
          <w:vertAlign w:val="superscript"/>
        </w:rPr>
        <w:instrText>Ref18477969 \h</w:instrText>
      </w:r>
      <w:r w:rsidRPr="006A3396">
        <w:rPr>
          <w:vertAlign w:val="superscript"/>
          <w:rtl/>
        </w:rPr>
        <w:instrText xml:space="preserve">  \* </w:instrText>
      </w:r>
      <w:r w:rsidRPr="006A3396">
        <w:rPr>
          <w:vertAlign w:val="superscript"/>
        </w:rPr>
        <w:instrText>MERGEFORMAT</w:instrText>
      </w:r>
      <w:r w:rsidRPr="006A3396">
        <w:rPr>
          <w:vertAlign w:val="superscript"/>
          <w:rtl/>
        </w:rPr>
        <w:instrText xml:space="preserve"> </w:instrText>
      </w:r>
      <w:r w:rsidRPr="006A3396">
        <w:rPr>
          <w:vertAlign w:val="superscript"/>
          <w:rtl/>
        </w:rPr>
      </w:r>
      <w:r w:rsidRPr="006A3396">
        <w:rPr>
          <w:vertAlign w:val="superscript"/>
          <w:rtl/>
        </w:rPr>
        <w:fldChar w:fldCharType="separate"/>
      </w:r>
      <w:r w:rsidR="004D1C5B">
        <w:rPr>
          <w:vertAlign w:val="superscript"/>
          <w:rtl/>
        </w:rPr>
        <w:t>38</w:t>
      </w:r>
      <w:r w:rsidRPr="006A3396">
        <w:rPr>
          <w:vertAlign w:val="superscript"/>
          <w:rtl/>
        </w:rPr>
        <w:fldChar w:fldCharType="end"/>
      </w:r>
      <w:r w:rsidRPr="00D47CE7">
        <w:rPr>
          <w:rFonts w:hint="cs"/>
          <w:rtl/>
        </w:rPr>
        <w:t xml:space="preserve"> </w:t>
      </w:r>
      <w:r w:rsidRPr="003775EE">
        <w:rPr>
          <w:rStyle w:val="af6"/>
          <w:rFonts w:eastAsia="Guttman Hodes" w:hint="cs"/>
          <w:rtl/>
        </w:rPr>
        <w:t>(סי' ט"ז ד"ה ונראה בזה)</w:t>
      </w:r>
      <w:r w:rsidRPr="00D47CE7">
        <w:rPr>
          <w:rFonts w:hint="cs"/>
          <w:rtl/>
        </w:rPr>
        <w:t xml:space="preserve"> </w:t>
      </w:r>
      <w:r>
        <w:rPr>
          <w:rFonts w:hint="cs"/>
          <w:rtl/>
        </w:rPr>
        <w:t>דהא דחייב בבשר וחלב וכלאי הכרם אף בשלא כדרך הנאתן, אף אי נימא דחייב בהם גם כשנפסלו מאכילה, הוא כיון שהחיוב עליהם אינו מחמת שמרגיש את טעם האיסור, דהא הטעם הוא סרוח ואינו נהנה ממנו, אלא שאסרה תורה את גוף מעשה האכילה, ודמי לאיסור גיד הנשה דאף שהוא כעץ אסרתו תורה, ואין בו כל טעם ואף שמרגיש בו טעם, אינו חייב מחמתו כיון שאינו נהנה בטעם.</w:t>
      </w:r>
    </w:p>
    <w:p w:rsidR="0013006A" w:rsidRPr="00A37615" w:rsidRDefault="0013006A" w:rsidP="0013006A">
      <w:pPr>
        <w:pStyle w:val="a2"/>
      </w:pPr>
      <w:bookmarkStart w:id="10259" w:name="_Toc19180926"/>
      <w:r>
        <w:rPr>
          <w:rFonts w:hint="cs"/>
          <w:rtl/>
        </w:rPr>
        <w:t>ביאור הקה"י דבטעם בתערובת אף בב"ח חיובו מדין טע"כ וטעם פגום אינו טעם ונטל"פ מותר</w:t>
      </w:r>
      <w:bookmarkEnd w:id="10259"/>
    </w:p>
    <w:p w:rsidR="0013006A" w:rsidRDefault="0013006A" w:rsidP="009F44AF">
      <w:pPr>
        <w:pStyle w:val="a"/>
        <w:rPr>
          <w:rtl/>
        </w:rPr>
      </w:pPr>
      <w:r>
        <w:rPr>
          <w:rFonts w:hint="cs"/>
          <w:rtl/>
        </w:rPr>
        <w:t>ו</w:t>
      </w:r>
      <w:r w:rsidRPr="00D47CE7">
        <w:rPr>
          <w:rFonts w:hint="cs"/>
          <w:rtl/>
        </w:rPr>
        <w:t xml:space="preserve">הביא </w:t>
      </w:r>
      <w:r w:rsidRPr="003775EE">
        <w:rPr>
          <w:rStyle w:val="af8"/>
          <w:rFonts w:hint="cs"/>
          <w:rtl/>
        </w:rPr>
        <w:t>הקה"י בפסחים</w:t>
      </w:r>
      <w:r w:rsidRPr="00D47CE7">
        <w:rPr>
          <w:rFonts w:hint="cs"/>
          <w:rtl/>
        </w:rPr>
        <w:t xml:space="preserve"> את דברי </w:t>
      </w:r>
      <w:r w:rsidRPr="008D3612">
        <w:rPr>
          <w:rStyle w:val="af8"/>
          <w:rFonts w:hint="cs"/>
          <w:rtl/>
        </w:rPr>
        <w:t xml:space="preserve">הג' </w:t>
      </w:r>
      <w:r w:rsidRPr="009920E4">
        <w:rPr>
          <w:rStyle w:val="af8"/>
          <w:rFonts w:hint="cs"/>
          <w:rtl/>
        </w:rPr>
        <w:t>אמרי ברוך</w:t>
      </w:r>
      <w:r>
        <w:rPr>
          <w:rStyle w:val="af8"/>
          <w:rFonts w:hint="cs"/>
          <w:rtl/>
        </w:rPr>
        <w:t xml:space="preserve"> </w:t>
      </w:r>
      <w:r w:rsidRPr="009920E4">
        <w:rPr>
          <w:rStyle w:val="af8"/>
          <w:rFonts w:hint="cs"/>
          <w:rtl/>
        </w:rPr>
        <w:t>על החוו"ד</w:t>
      </w:r>
      <w:r w:rsidRPr="00D47CE7">
        <w:rPr>
          <w:rFonts w:hint="cs"/>
          <w:rtl/>
        </w:rPr>
        <w:t xml:space="preserve"> </w:t>
      </w:r>
      <w:r w:rsidRPr="003775EE">
        <w:rPr>
          <w:rStyle w:val="af6"/>
          <w:rFonts w:eastAsia="Guttman Hodes" w:hint="cs"/>
          <w:rtl/>
        </w:rPr>
        <w:t>(סי' ק"ג ד')</w:t>
      </w:r>
      <w:r w:rsidRPr="008D3612">
        <w:rPr>
          <w:rFonts w:hint="cs"/>
          <w:rtl/>
        </w:rPr>
        <w:t xml:space="preserve"> דביאר</w:t>
      </w:r>
      <w:r w:rsidRPr="00D47CE7">
        <w:rPr>
          <w:rFonts w:hint="cs"/>
          <w:rtl/>
        </w:rPr>
        <w:t xml:space="preserve"> דדין טעם כעיקר נאמר רק בטעם משובח, ולא בטעם פגום, וממילא בנותן טעם לפגם, הטעם מתבטל בתערובת, </w:t>
      </w:r>
      <w:r>
        <w:rPr>
          <w:rFonts w:hint="cs"/>
          <w:rtl/>
        </w:rPr>
        <w:t xml:space="preserve">וכתב </w:t>
      </w:r>
      <w:r w:rsidRPr="003775EE">
        <w:rPr>
          <w:rStyle w:val="af8"/>
          <w:rFonts w:hint="cs"/>
          <w:rtl/>
        </w:rPr>
        <w:t>הקה"י בפסחים</w:t>
      </w:r>
      <w:r w:rsidRPr="006A3396">
        <w:rPr>
          <w:vertAlign w:val="superscript"/>
          <w:rtl/>
        </w:rPr>
        <w:fldChar w:fldCharType="begin"/>
      </w:r>
      <w:r w:rsidRPr="006A3396">
        <w:rPr>
          <w:vertAlign w:val="superscript"/>
          <w:rtl/>
        </w:rPr>
        <w:instrText xml:space="preserve"> </w:instrText>
      </w:r>
      <w:r w:rsidRPr="006A3396">
        <w:rPr>
          <w:rFonts w:hint="cs"/>
          <w:vertAlign w:val="superscript"/>
        </w:rPr>
        <w:instrText>NOTEREF</w:instrText>
      </w:r>
      <w:r w:rsidRPr="006A3396">
        <w:rPr>
          <w:rFonts w:hint="cs"/>
          <w:vertAlign w:val="superscript"/>
          <w:rtl/>
        </w:rPr>
        <w:instrText xml:space="preserve"> _</w:instrText>
      </w:r>
      <w:r w:rsidRPr="006A3396">
        <w:rPr>
          <w:rFonts w:hint="cs"/>
          <w:vertAlign w:val="superscript"/>
        </w:rPr>
        <w:instrText>Ref18477969 \h</w:instrText>
      </w:r>
      <w:r w:rsidRPr="006A3396">
        <w:rPr>
          <w:vertAlign w:val="superscript"/>
          <w:rtl/>
        </w:rPr>
        <w:instrText xml:space="preserve">  \* </w:instrText>
      </w:r>
      <w:r w:rsidRPr="006A3396">
        <w:rPr>
          <w:vertAlign w:val="superscript"/>
        </w:rPr>
        <w:instrText>MERGEFORMAT</w:instrText>
      </w:r>
      <w:r w:rsidRPr="006A3396">
        <w:rPr>
          <w:vertAlign w:val="superscript"/>
          <w:rtl/>
        </w:rPr>
        <w:instrText xml:space="preserve"> </w:instrText>
      </w:r>
      <w:r w:rsidRPr="006A3396">
        <w:rPr>
          <w:vertAlign w:val="superscript"/>
          <w:rtl/>
        </w:rPr>
      </w:r>
      <w:r w:rsidRPr="006A3396">
        <w:rPr>
          <w:vertAlign w:val="superscript"/>
          <w:rtl/>
        </w:rPr>
        <w:fldChar w:fldCharType="separate"/>
      </w:r>
      <w:r w:rsidR="004D1C5B">
        <w:rPr>
          <w:vertAlign w:val="superscript"/>
          <w:rtl/>
        </w:rPr>
        <w:t>38</w:t>
      </w:r>
      <w:r w:rsidRPr="006A3396">
        <w:rPr>
          <w:vertAlign w:val="superscript"/>
          <w:rtl/>
        </w:rPr>
        <w:fldChar w:fldCharType="end"/>
      </w:r>
      <w:r w:rsidRPr="007823E5">
        <w:rPr>
          <w:rFonts w:hint="cs"/>
          <w:rtl/>
        </w:rPr>
        <w:t xml:space="preserve"> </w:t>
      </w:r>
      <w:r>
        <w:rPr>
          <w:rFonts w:hint="cs"/>
          <w:rtl/>
        </w:rPr>
        <w:t xml:space="preserve">דכל החיוב בבשר בחלב על מעשה האכילה אף שאינו נהנה, זהו דוקא כשהאיסור בעין, אבל כשהאיסור מעורב בתערובת, דכל חיובו הוא מדין טעם כעיקר, ובלא דין טעם כעיקר היה האיסור מתבטל ברוב, וכיון דביאר </w:t>
      </w:r>
      <w:r w:rsidRPr="00F90050">
        <w:rPr>
          <w:rStyle w:val="af8"/>
          <w:rFonts w:hint="cs"/>
          <w:rtl/>
        </w:rPr>
        <w:t>הר"ן</w:t>
      </w:r>
      <w:r>
        <w:rPr>
          <w:rFonts w:hint="cs"/>
          <w:rtl/>
        </w:rPr>
        <w:t xml:space="preserve"> </w:t>
      </w:r>
      <w:r w:rsidRPr="000147BD">
        <w:rPr>
          <w:rStyle w:val="af6"/>
          <w:rFonts w:eastAsia="Guttman Hodes" w:hint="cs"/>
          <w:rtl/>
        </w:rPr>
        <w:t xml:space="preserve">(עי' אות </w:t>
      </w:r>
      <w:r w:rsidRPr="000147BD">
        <w:rPr>
          <w:rStyle w:val="af6"/>
          <w:rFonts w:eastAsia="Guttman Hodes"/>
          <w:rtl/>
        </w:rPr>
        <w:fldChar w:fldCharType="begin"/>
      </w:r>
      <w:r w:rsidRPr="000147BD">
        <w:rPr>
          <w:rStyle w:val="af6"/>
          <w:rFonts w:eastAsia="Guttman Hodes"/>
          <w:rtl/>
        </w:rPr>
        <w:instrText xml:space="preserve"> </w:instrText>
      </w:r>
      <w:r w:rsidRPr="000147BD">
        <w:rPr>
          <w:rStyle w:val="af6"/>
          <w:rFonts w:eastAsia="Guttman Hodes" w:hint="cs"/>
        </w:rPr>
        <w:instrText>REF</w:instrText>
      </w:r>
      <w:r w:rsidRPr="000147BD">
        <w:rPr>
          <w:rStyle w:val="af6"/>
          <w:rFonts w:eastAsia="Guttman Hodes" w:hint="cs"/>
          <w:rtl/>
        </w:rPr>
        <w:instrText xml:space="preserve"> _</w:instrText>
      </w:r>
      <w:r w:rsidRPr="000147BD">
        <w:rPr>
          <w:rStyle w:val="af6"/>
          <w:rFonts w:eastAsia="Guttman Hodes" w:hint="cs"/>
        </w:rPr>
        <w:instrText>Ref19129538 \r \h</w:instrText>
      </w:r>
      <w:r w:rsidRPr="000147BD">
        <w:rPr>
          <w:rStyle w:val="af6"/>
          <w:rFonts w:eastAsia="Guttman Hodes"/>
          <w:rtl/>
        </w:rPr>
        <w:instrText xml:space="preserve"> </w:instrText>
      </w:r>
      <w:r w:rsidRPr="000147BD">
        <w:rPr>
          <w:rStyle w:val="af6"/>
          <w:rFonts w:eastAsia="Guttman Hodes"/>
          <w:rtl/>
        </w:rPr>
      </w:r>
      <w:r w:rsidRPr="000147BD">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0147BD">
        <w:rPr>
          <w:rStyle w:val="af6"/>
          <w:rFonts w:eastAsia="Guttman Hodes"/>
          <w:rtl/>
        </w:rPr>
        <w:fldChar w:fldCharType="end"/>
      </w:r>
      <w:r>
        <w:rPr>
          <w:rFonts w:hint="cs"/>
          <w:rtl/>
        </w:rPr>
        <w:t xml:space="preserve"> דילפינן מנבילה, דחיוב אכילה הוא רק באכילה שיש בה טעם, וטעם פגום אינו טעם, א"כ נותן טעם לפגם מותר, אף בבשר בחלב וכלאי הכרם, דחשיב שהטעם התבטל ברוב ההיתר.</w:t>
      </w:r>
    </w:p>
    <w:p w:rsidR="0013006A" w:rsidRDefault="0013006A" w:rsidP="0013006A">
      <w:pPr>
        <w:pStyle w:val="1"/>
        <w:rPr>
          <w:rtl/>
        </w:rPr>
      </w:pPr>
      <w:bookmarkStart w:id="10260" w:name="_Toc19026271"/>
      <w:bookmarkStart w:id="10261" w:name="_Toc19029756"/>
      <w:bookmarkStart w:id="10262" w:name="_Toc19030138"/>
      <w:bookmarkStart w:id="10263" w:name="_Toc19082199"/>
      <w:bookmarkStart w:id="10264" w:name="_Toc19129537"/>
      <w:bookmarkStart w:id="10265" w:name="_Toc19130093"/>
      <w:bookmarkStart w:id="10266" w:name="_Toc19171053"/>
      <w:bookmarkStart w:id="10267" w:name="_Toc19180927"/>
      <w:r>
        <w:rPr>
          <w:rFonts w:hint="cs"/>
          <w:rtl/>
        </w:rPr>
        <w:t>דברי האבי עזרי</w:t>
      </w:r>
      <w:bookmarkEnd w:id="10260"/>
      <w:bookmarkEnd w:id="10261"/>
      <w:bookmarkEnd w:id="10262"/>
      <w:bookmarkEnd w:id="10263"/>
      <w:bookmarkEnd w:id="10264"/>
      <w:bookmarkEnd w:id="10265"/>
      <w:bookmarkEnd w:id="10266"/>
      <w:r>
        <w:rPr>
          <w:rFonts w:hint="cs"/>
          <w:rtl/>
        </w:rPr>
        <w:t xml:space="preserve"> דנטל"פ ואינו ראוי לגר מותר בב"ח דאינו אוכל</w:t>
      </w:r>
      <w:bookmarkEnd w:id="10267"/>
      <w:r>
        <w:rPr>
          <w:rFonts w:hint="cs"/>
          <w:rtl/>
        </w:rPr>
        <w:t xml:space="preserve"> </w:t>
      </w:r>
    </w:p>
    <w:p w:rsidR="0013006A" w:rsidRPr="00A37615" w:rsidRDefault="0013006A" w:rsidP="0013006A">
      <w:pPr>
        <w:pStyle w:val="a2"/>
      </w:pPr>
      <w:bookmarkStart w:id="10268" w:name="_Toc19180928"/>
      <w:r>
        <w:rPr>
          <w:rFonts w:hint="cs"/>
          <w:rtl/>
        </w:rPr>
        <w:t>דברי האבי עזרי דכל ההיתר באינו ראוי לגר הוא מכח דין דאכילה בלא הנאה אינה אכילה</w:t>
      </w:r>
      <w:bookmarkEnd w:id="10268"/>
      <w:r>
        <w:rPr>
          <w:rFonts w:hint="cs"/>
          <w:rtl/>
        </w:rPr>
        <w:t xml:space="preserve"> </w:t>
      </w:r>
    </w:p>
    <w:p w:rsidR="0013006A" w:rsidRDefault="0013006A" w:rsidP="009F44AF">
      <w:pPr>
        <w:pStyle w:val="a"/>
        <w:rPr>
          <w:rtl/>
        </w:rPr>
      </w:pPr>
      <w:r>
        <w:rPr>
          <w:rFonts w:hint="cs"/>
          <w:rtl/>
        </w:rPr>
        <w:t xml:space="preserve">כתב </w:t>
      </w:r>
      <w:r w:rsidRPr="00ED491C">
        <w:rPr>
          <w:rStyle w:val="af8"/>
          <w:rFonts w:hint="cs"/>
          <w:rtl/>
        </w:rPr>
        <w:t>האבי עזרי</w:t>
      </w:r>
      <w:r>
        <w:rPr>
          <w:rFonts w:hint="cs"/>
          <w:rtl/>
        </w:rPr>
        <w:t xml:space="preserve"> </w:t>
      </w:r>
      <w:r w:rsidRPr="00ED491C">
        <w:rPr>
          <w:rStyle w:val="af6"/>
          <w:rFonts w:eastAsia="Guttman Hodes" w:hint="cs"/>
          <w:rtl/>
        </w:rPr>
        <w:t xml:space="preserve">(חמץ ומצה פ"א ה"ב ד"ה והנה ראיתי) </w:t>
      </w:r>
      <w:r>
        <w:rPr>
          <w:rFonts w:hint="cs"/>
          <w:rtl/>
        </w:rPr>
        <w:t>דכל הילפותא דנבילה שאינה ראויה לגר אינה קרויה נבילה, היא רק מכח הדין דאכילה שלא כדרך הנאה אינה אכילה, ולכן ילפינן דכיון דהסמיכה תורה את הלאו דלא תאכלו כל נבילה, לפסו' דלגר אשר בשעריך תתננה ואכלה, מבואר דהלאו בנבילה הוא רק בדרך אכילה, ולכן ילפינן דכל שאינה ראויה לגר אינה קרויה נבילה.</w:t>
      </w:r>
    </w:p>
    <w:p w:rsidR="0013006A" w:rsidRPr="00A37615" w:rsidRDefault="0013006A" w:rsidP="0013006A">
      <w:pPr>
        <w:pStyle w:val="a2"/>
        <w:rPr>
          <w:rtl/>
        </w:rPr>
      </w:pPr>
      <w:bookmarkStart w:id="10269" w:name="_Toc19180929"/>
      <w:r>
        <w:rPr>
          <w:rFonts w:hint="cs"/>
          <w:rtl/>
        </w:rPr>
        <w:t>ביאור האבי עזרי דאף בב"ח מותר באינה ראויה לגר דאינה קרויה נבילה וה"ה בנטל"פ</w:t>
      </w:r>
      <w:bookmarkEnd w:id="10269"/>
    </w:p>
    <w:p w:rsidR="0013006A" w:rsidRDefault="0013006A" w:rsidP="009F44AF">
      <w:pPr>
        <w:pStyle w:val="a"/>
        <w:rPr>
          <w:rtl/>
        </w:rPr>
        <w:sectPr w:rsidR="0013006A" w:rsidSect="005049E2">
          <w:footerReference w:type="default" r:id="rId78"/>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ED491C">
        <w:rPr>
          <w:rStyle w:val="af8"/>
          <w:rFonts w:hint="cs"/>
          <w:rtl/>
        </w:rPr>
        <w:t>האבי עזרי</w:t>
      </w:r>
      <w:r>
        <w:rPr>
          <w:rFonts w:hint="cs"/>
          <w:rtl/>
        </w:rPr>
        <w:t xml:space="preserve"> דא"כ אף בבשר בחלב וכלאי הכרם שאסורים אף בשלא כדרך הנאתן, מ"מ אין בהם איסור</w:t>
      </w:r>
      <w:r w:rsidRPr="008D13CF">
        <w:rPr>
          <w:rFonts w:hint="cs"/>
          <w:rtl/>
        </w:rPr>
        <w:t xml:space="preserve"> </w:t>
      </w:r>
      <w:r>
        <w:rPr>
          <w:rFonts w:hint="cs"/>
          <w:rtl/>
        </w:rPr>
        <w:t xml:space="preserve">באינה ראויה לגר, דהא את כל האיסורים ילפינן מנבילה, וכתב </w:t>
      </w:r>
      <w:r w:rsidRPr="00ED491C">
        <w:rPr>
          <w:rStyle w:val="af8"/>
          <w:rFonts w:hint="cs"/>
          <w:rtl/>
        </w:rPr>
        <w:t>האבי עזרי</w:t>
      </w:r>
      <w:r>
        <w:rPr>
          <w:rFonts w:hint="cs"/>
          <w:rtl/>
        </w:rPr>
        <w:t xml:space="preserve"> דכן מוכח מהא דכתב </w:t>
      </w:r>
      <w:r w:rsidRPr="00D509EB">
        <w:rPr>
          <w:rStyle w:val="af8"/>
          <w:rFonts w:hint="cs"/>
          <w:rtl/>
        </w:rPr>
        <w:t>הרמב"ם</w:t>
      </w:r>
      <w:r>
        <w:rPr>
          <w:rFonts w:hint="cs"/>
          <w:rtl/>
        </w:rPr>
        <w:t xml:space="preserve"> </w:t>
      </w:r>
      <w:r w:rsidRPr="00675815">
        <w:rPr>
          <w:rStyle w:val="af6"/>
          <w:rFonts w:eastAsia="Guttman Hodes" w:hint="cs"/>
          <w:rtl/>
        </w:rPr>
        <w:t xml:space="preserve">(עי' אות </w:t>
      </w:r>
      <w:r w:rsidRPr="00675815">
        <w:rPr>
          <w:rStyle w:val="af6"/>
          <w:rFonts w:eastAsia="Guttman Hodes"/>
          <w:rtl/>
        </w:rPr>
        <w:fldChar w:fldCharType="begin"/>
      </w:r>
      <w:r w:rsidRPr="00675815">
        <w:rPr>
          <w:rStyle w:val="af6"/>
          <w:rFonts w:eastAsia="Guttman Hodes"/>
          <w:rtl/>
        </w:rPr>
        <w:instrText xml:space="preserve"> </w:instrText>
      </w:r>
      <w:r w:rsidRPr="00675815">
        <w:rPr>
          <w:rStyle w:val="af6"/>
          <w:rFonts w:eastAsia="Guttman Hodes" w:hint="cs"/>
        </w:rPr>
        <w:instrText>REF</w:instrText>
      </w:r>
      <w:r w:rsidRPr="00675815">
        <w:rPr>
          <w:rStyle w:val="af6"/>
          <w:rFonts w:eastAsia="Guttman Hodes" w:hint="cs"/>
          <w:rtl/>
        </w:rPr>
        <w:instrText xml:space="preserve"> _</w:instrText>
      </w:r>
      <w:r w:rsidRPr="00675815">
        <w:rPr>
          <w:rStyle w:val="af6"/>
          <w:rFonts w:eastAsia="Guttman Hodes" w:hint="cs"/>
        </w:rPr>
        <w:instrText>Ref19034938 \r \h</w:instrText>
      </w:r>
      <w:r w:rsidRPr="00675815">
        <w:rPr>
          <w:rStyle w:val="af6"/>
          <w:rFonts w:eastAsia="Guttman Hodes"/>
          <w:rtl/>
        </w:rPr>
        <w:instrText xml:space="preserve"> </w:instrText>
      </w:r>
      <w:r w:rsidRPr="00675815">
        <w:rPr>
          <w:rStyle w:val="af6"/>
          <w:rFonts w:eastAsia="Guttman Hodes"/>
          <w:rtl/>
        </w:rPr>
      </w:r>
      <w:r w:rsidRPr="00675815">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675815">
        <w:rPr>
          <w:rStyle w:val="af6"/>
          <w:rFonts w:eastAsia="Guttman Hodes"/>
          <w:rtl/>
        </w:rPr>
        <w:fldChar w:fldCharType="end"/>
      </w:r>
      <w:r>
        <w:rPr>
          <w:rFonts w:hint="cs"/>
          <w:rtl/>
        </w:rPr>
        <w:t xml:space="preserve"> דבעירב דבר מר חייב בבשר בחלב וכלאי הכרם, ולא כתב דאף בהסריח והבאיש חייב, כדכתב בכל האיסורים, [וכן דייקו </w:t>
      </w:r>
      <w:r w:rsidRPr="00544B79">
        <w:rPr>
          <w:rStyle w:val="af8"/>
          <w:rFonts w:hint="cs"/>
          <w:rtl/>
        </w:rPr>
        <w:t>החוו"ד</w:t>
      </w:r>
      <w:r>
        <w:rPr>
          <w:rFonts w:hint="cs"/>
          <w:rtl/>
        </w:rPr>
        <w:t xml:space="preserve"> </w:t>
      </w:r>
      <w:r w:rsidRPr="00A854C9">
        <w:rPr>
          <w:rStyle w:val="af6"/>
          <w:rFonts w:eastAsia="Guttman Hodes" w:hint="cs"/>
          <w:rtl/>
        </w:rPr>
        <w:t xml:space="preserve">(עי' אות </w:t>
      </w:r>
      <w:r w:rsidRPr="00A854C9">
        <w:rPr>
          <w:rStyle w:val="af6"/>
          <w:rFonts w:eastAsia="Guttman Hodes"/>
          <w:rtl/>
        </w:rPr>
        <w:fldChar w:fldCharType="begin"/>
      </w:r>
      <w:r w:rsidRPr="00A854C9">
        <w:rPr>
          <w:rStyle w:val="af6"/>
          <w:rFonts w:eastAsia="Guttman Hodes"/>
          <w:rtl/>
        </w:rPr>
        <w:instrText xml:space="preserve"> </w:instrText>
      </w:r>
      <w:r w:rsidRPr="00A854C9">
        <w:rPr>
          <w:rStyle w:val="af6"/>
          <w:rFonts w:eastAsia="Guttman Hodes" w:hint="cs"/>
        </w:rPr>
        <w:instrText>REF</w:instrText>
      </w:r>
      <w:r w:rsidRPr="00A854C9">
        <w:rPr>
          <w:rStyle w:val="af6"/>
          <w:rFonts w:eastAsia="Guttman Hodes" w:hint="cs"/>
          <w:rtl/>
        </w:rPr>
        <w:instrText xml:space="preserve"> _</w:instrText>
      </w:r>
      <w:r w:rsidRPr="00A854C9">
        <w:rPr>
          <w:rStyle w:val="af6"/>
          <w:rFonts w:eastAsia="Guttman Hodes" w:hint="cs"/>
        </w:rPr>
        <w:instrText>Ref18959902 \r \h</w:instrText>
      </w:r>
      <w:r w:rsidRPr="00A854C9">
        <w:rPr>
          <w:rStyle w:val="af6"/>
          <w:rFonts w:eastAsia="Guttman Hodes"/>
          <w:rtl/>
        </w:rPr>
        <w:instrText xml:space="preserve"> </w:instrText>
      </w:r>
      <w:r w:rsidRPr="00A854C9">
        <w:rPr>
          <w:rStyle w:val="af6"/>
          <w:rFonts w:eastAsia="Guttman Hodes"/>
          <w:rtl/>
        </w:rPr>
      </w:r>
      <w:r w:rsidRPr="00A854C9">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sidRPr="00A854C9">
        <w:rPr>
          <w:rStyle w:val="af6"/>
          <w:rFonts w:eastAsia="Guttman Hodes"/>
          <w:rtl/>
        </w:rPr>
        <w:fldChar w:fldCharType="end"/>
      </w:r>
      <w:r>
        <w:rPr>
          <w:rStyle w:val="af6"/>
          <w:rFonts w:eastAsia="Guttman Hodes" w:hint="cs"/>
          <w:rtl/>
        </w:rPr>
        <w:t xml:space="preserve"> </w:t>
      </w:r>
      <w:r w:rsidRPr="000729FE">
        <w:rPr>
          <w:rStyle w:val="af8"/>
          <w:rFonts w:hint="cs"/>
          <w:rtl/>
        </w:rPr>
        <w:t>הפרמ"ג</w:t>
      </w:r>
      <w:r>
        <w:rPr>
          <w:rFonts w:hint="cs"/>
          <w:rtl/>
        </w:rPr>
        <w:t xml:space="preserve"> </w:t>
      </w:r>
      <w:r w:rsidRPr="00C41297">
        <w:rPr>
          <w:rStyle w:val="af6"/>
          <w:rFonts w:eastAsia="Guttman Hodes" w:hint="cs"/>
          <w:rtl/>
        </w:rPr>
        <w:t xml:space="preserve">(עי' אות </w:t>
      </w:r>
      <w:r w:rsidRPr="00C41297">
        <w:rPr>
          <w:rStyle w:val="af6"/>
          <w:rFonts w:eastAsia="Guttman Hodes"/>
          <w:rtl/>
        </w:rPr>
        <w:fldChar w:fldCharType="begin"/>
      </w:r>
      <w:r w:rsidRPr="00C41297">
        <w:rPr>
          <w:rStyle w:val="af6"/>
          <w:rFonts w:eastAsia="Guttman Hodes"/>
          <w:rtl/>
        </w:rPr>
        <w:instrText xml:space="preserve"> </w:instrText>
      </w:r>
      <w:r w:rsidRPr="00C41297">
        <w:rPr>
          <w:rStyle w:val="af6"/>
          <w:rFonts w:eastAsia="Guttman Hodes" w:hint="cs"/>
        </w:rPr>
        <w:instrText>REF</w:instrText>
      </w:r>
      <w:r w:rsidRPr="00C41297">
        <w:rPr>
          <w:rStyle w:val="af6"/>
          <w:rFonts w:eastAsia="Guttman Hodes" w:hint="cs"/>
          <w:rtl/>
        </w:rPr>
        <w:instrText xml:space="preserve"> _</w:instrText>
      </w:r>
      <w:r w:rsidRPr="00C41297">
        <w:rPr>
          <w:rStyle w:val="af6"/>
          <w:rFonts w:eastAsia="Guttman Hodes" w:hint="cs"/>
        </w:rPr>
        <w:instrText>Ref19095425 \r \h</w:instrText>
      </w:r>
      <w:r w:rsidRPr="00C41297">
        <w:rPr>
          <w:rStyle w:val="af6"/>
          <w:rFonts w:eastAsia="Guttman Hodes"/>
          <w:rtl/>
        </w:rPr>
        <w:instrText xml:space="preserve"> </w:instrText>
      </w:r>
      <w:r w:rsidRPr="00C41297">
        <w:rPr>
          <w:rStyle w:val="af6"/>
          <w:rFonts w:eastAsia="Guttman Hodes"/>
          <w:rtl/>
        </w:rPr>
      </w:r>
      <w:r w:rsidRPr="00C41297">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C41297">
        <w:rPr>
          <w:rStyle w:val="af6"/>
          <w:rFonts w:eastAsia="Guttman Hodes"/>
          <w:rtl/>
        </w:rPr>
        <w:fldChar w:fldCharType="end"/>
      </w:r>
      <w:r>
        <w:rPr>
          <w:rFonts w:hint="cs"/>
          <w:rtl/>
        </w:rPr>
        <w:t xml:space="preserve">], ומבואר דאף בבשר בחלב פטור באינו ראוי לגר, כיון דאף לענין בשר בחלב וכלאי הכרם, אינה קרויה נבילה, וכתב האבי עזרי דלכן פסק </w:t>
      </w:r>
      <w:r w:rsidRPr="00D509EB">
        <w:rPr>
          <w:rStyle w:val="af8"/>
          <w:rFonts w:hint="cs"/>
          <w:rtl/>
        </w:rPr>
        <w:t>הרמב"ם</w:t>
      </w:r>
      <w:r>
        <w:rPr>
          <w:rFonts w:hint="cs"/>
          <w:rtl/>
        </w:rPr>
        <w:t xml:space="preserve"> </w:t>
      </w:r>
      <w:r w:rsidRPr="00675815">
        <w:rPr>
          <w:rStyle w:val="af6"/>
          <w:rFonts w:eastAsia="Guttman Hodes" w:hint="cs"/>
          <w:rtl/>
        </w:rPr>
        <w:t xml:space="preserve">(עי' אות </w:t>
      </w:r>
      <w:r w:rsidRPr="00675815">
        <w:rPr>
          <w:rStyle w:val="af6"/>
          <w:rFonts w:eastAsia="Guttman Hodes"/>
          <w:rtl/>
        </w:rPr>
        <w:fldChar w:fldCharType="begin"/>
      </w:r>
      <w:r w:rsidRPr="00675815">
        <w:rPr>
          <w:rStyle w:val="af6"/>
          <w:rFonts w:eastAsia="Guttman Hodes"/>
          <w:rtl/>
        </w:rPr>
        <w:instrText xml:space="preserve"> </w:instrText>
      </w:r>
      <w:r w:rsidRPr="00675815">
        <w:rPr>
          <w:rStyle w:val="af6"/>
          <w:rFonts w:eastAsia="Guttman Hodes" w:hint="cs"/>
        </w:rPr>
        <w:instrText>REF</w:instrText>
      </w:r>
      <w:r w:rsidRPr="00675815">
        <w:rPr>
          <w:rStyle w:val="af6"/>
          <w:rFonts w:eastAsia="Guttman Hodes" w:hint="cs"/>
          <w:rtl/>
        </w:rPr>
        <w:instrText xml:space="preserve"> _</w:instrText>
      </w:r>
      <w:r w:rsidRPr="00675815">
        <w:rPr>
          <w:rStyle w:val="af6"/>
          <w:rFonts w:eastAsia="Guttman Hodes" w:hint="cs"/>
        </w:rPr>
        <w:instrText>Ref17625423 \r \h</w:instrText>
      </w:r>
      <w:r w:rsidRPr="00675815">
        <w:rPr>
          <w:rStyle w:val="af6"/>
          <w:rFonts w:eastAsia="Guttman Hodes"/>
          <w:rtl/>
        </w:rPr>
        <w:instrText xml:space="preserve"> </w:instrText>
      </w:r>
      <w:r w:rsidRPr="00675815">
        <w:rPr>
          <w:rStyle w:val="af6"/>
          <w:rFonts w:eastAsia="Guttman Hodes"/>
          <w:rtl/>
        </w:rPr>
      </w:r>
      <w:r w:rsidRPr="00675815">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675815">
        <w:rPr>
          <w:rStyle w:val="af6"/>
          <w:rFonts w:eastAsia="Guttman Hodes"/>
          <w:rtl/>
        </w:rPr>
        <w:fldChar w:fldCharType="end"/>
      </w:r>
      <w:r>
        <w:rPr>
          <w:rFonts w:hint="cs"/>
          <w:rtl/>
        </w:rPr>
        <w:t xml:space="preserve"> דנותן טעם לפגם מותר אף בבשר בחלב וכלאי הכרם, דהוא נלמד מדין אינו ראוי לגר, וכדכתב </w:t>
      </w:r>
      <w:r w:rsidRPr="00ED491C">
        <w:rPr>
          <w:rStyle w:val="af8"/>
          <w:rFonts w:hint="cs"/>
          <w:rtl/>
        </w:rPr>
        <w:t>השאג"א</w:t>
      </w:r>
      <w:r>
        <w:rPr>
          <w:rFonts w:hint="cs"/>
          <w:rtl/>
        </w:rPr>
        <w:t xml:space="preserve"> </w:t>
      </w:r>
      <w:r w:rsidRPr="00ED491C">
        <w:rPr>
          <w:rStyle w:val="af6"/>
          <w:rFonts w:eastAsia="Guttman Hodes" w:hint="cs"/>
          <w:rtl/>
        </w:rPr>
        <w:t>(</w:t>
      </w:r>
      <w:r w:rsidRPr="00675815">
        <w:rPr>
          <w:rStyle w:val="af6"/>
          <w:rFonts w:eastAsia="Guttman Hodes" w:hint="cs"/>
          <w:rtl/>
        </w:rPr>
        <w:t xml:space="preserve">עי' אות </w:t>
      </w:r>
      <w:r w:rsidRPr="00675815">
        <w:rPr>
          <w:rStyle w:val="af6"/>
          <w:rFonts w:eastAsia="Guttman Hodes"/>
          <w:rtl/>
        </w:rPr>
        <w:fldChar w:fldCharType="begin"/>
      </w:r>
      <w:r w:rsidRPr="00675815">
        <w:rPr>
          <w:rStyle w:val="af6"/>
          <w:rFonts w:eastAsia="Guttman Hodes"/>
          <w:rtl/>
        </w:rPr>
        <w:instrText xml:space="preserve"> </w:instrText>
      </w:r>
      <w:r w:rsidRPr="00675815">
        <w:rPr>
          <w:rStyle w:val="af6"/>
          <w:rFonts w:eastAsia="Guttman Hodes" w:hint="cs"/>
        </w:rPr>
        <w:instrText>REF</w:instrText>
      </w:r>
      <w:r w:rsidRPr="00675815">
        <w:rPr>
          <w:rStyle w:val="af6"/>
          <w:rFonts w:eastAsia="Guttman Hodes" w:hint="cs"/>
          <w:rtl/>
        </w:rPr>
        <w:instrText xml:space="preserve"> _</w:instrText>
      </w:r>
      <w:r w:rsidRPr="00675815">
        <w:rPr>
          <w:rStyle w:val="af6"/>
          <w:rFonts w:eastAsia="Guttman Hodes" w:hint="cs"/>
        </w:rPr>
        <w:instrText>Ref19180473 \r \h</w:instrText>
      </w:r>
      <w:r w:rsidRPr="00675815">
        <w:rPr>
          <w:rStyle w:val="af6"/>
          <w:rFonts w:eastAsia="Guttman Hodes"/>
          <w:rtl/>
        </w:rPr>
        <w:instrText xml:space="preserve"> </w:instrText>
      </w:r>
      <w:r w:rsidRPr="00675815">
        <w:rPr>
          <w:rStyle w:val="af6"/>
          <w:rFonts w:eastAsia="Guttman Hodes"/>
          <w:rtl/>
        </w:rPr>
      </w:r>
      <w:r w:rsidRPr="00675815">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675815">
        <w:rPr>
          <w:rStyle w:val="af6"/>
          <w:rFonts w:eastAsia="Guttman Hodes"/>
          <w:rtl/>
        </w:rPr>
        <w:fldChar w:fldCharType="end"/>
      </w:r>
      <w:r>
        <w:rPr>
          <w:rFonts w:hint="cs"/>
          <w:rtl/>
        </w:rPr>
        <w:t>.</w:t>
      </w:r>
    </w:p>
    <w:p w:rsidR="0013006A" w:rsidRPr="006A3396" w:rsidRDefault="0013006A" w:rsidP="009F44AF">
      <w:pPr>
        <w:pStyle w:val="a"/>
        <w:rPr>
          <w:rtl/>
        </w:rPr>
        <w:sectPr w:rsidR="0013006A" w:rsidRPr="006A3396" w:rsidSect="005049E2">
          <w:type w:val="continuous"/>
          <w:pgSz w:w="11906" w:h="16838"/>
          <w:pgMar w:top="720" w:right="720" w:bottom="720" w:left="720" w:header="283" w:footer="283" w:gutter="0"/>
          <w:cols w:num="2" w:space="567"/>
          <w:titlePg/>
          <w:bidi/>
          <w:rtlGutter/>
          <w:docGrid w:linePitch="299"/>
        </w:sectPr>
      </w:pPr>
    </w:p>
    <w:p w:rsidR="00A82F1E" w:rsidRDefault="00A82F1E" w:rsidP="005B1A17">
      <w:pPr>
        <w:pStyle w:val="afc"/>
      </w:pPr>
      <w:bookmarkStart w:id="10270" w:name="_Toc20468170"/>
      <w:r>
        <w:rPr>
          <w:rFonts w:hint="cs"/>
          <w:rtl/>
        </w:rPr>
        <w:lastRenderedPageBreak/>
        <w:t>ס</w:t>
      </w:r>
      <w:r w:rsidRPr="00E669F8">
        <w:rPr>
          <w:rStyle w:val="aff"/>
          <w:rFonts w:hint="cs"/>
          <w:rtl/>
        </w:rPr>
        <w:t>ימן</w:t>
      </w:r>
      <w:r>
        <w:rPr>
          <w:rFonts w:hint="cs"/>
          <w:rtl/>
        </w:rPr>
        <w:t xml:space="preserve"> יד'</w:t>
      </w:r>
      <w:bookmarkEnd w:id="10270"/>
    </w:p>
    <w:p w:rsidR="00A82F1E" w:rsidRDefault="00715158" w:rsidP="005B1A17">
      <w:pPr>
        <w:pStyle w:val="afc"/>
        <w:rPr>
          <w:rtl/>
        </w:rPr>
      </w:pPr>
      <w:bookmarkStart w:id="10271" w:name="_Toc20429224"/>
      <w:bookmarkStart w:id="10272" w:name="_Toc20468171"/>
      <w:r>
        <w:rPr>
          <w:rFonts w:hint="cs"/>
          <w:rtl/>
        </w:rPr>
        <w:t xml:space="preserve">סוגית נותן </w:t>
      </w:r>
      <w:r w:rsidR="00A82F1E">
        <w:rPr>
          <w:rFonts w:hint="cs"/>
          <w:rtl/>
        </w:rPr>
        <w:t>טעם לפגם (ג')</w:t>
      </w:r>
      <w:bookmarkEnd w:id="10271"/>
      <w:bookmarkEnd w:id="10272"/>
    </w:p>
    <w:p w:rsidR="00A82F1E" w:rsidRPr="00FB6B44" w:rsidRDefault="00A82F1E" w:rsidP="005B1A17">
      <w:pPr>
        <w:pStyle w:val="afc"/>
        <w:rPr>
          <w:rtl/>
        </w:rPr>
      </w:pPr>
      <w:bookmarkStart w:id="10273" w:name="_Toc20429225"/>
      <w:bookmarkStart w:id="10274" w:name="_Toc20468172"/>
      <w:r>
        <w:rPr>
          <w:rFonts w:hint="cs"/>
          <w:rtl/>
        </w:rPr>
        <w:t>בדין השביח ולבסוף פגם ופגם ולבסוף השביח ובדברי עולא וריו"ח בזה</w:t>
      </w:r>
      <w:bookmarkEnd w:id="10273"/>
      <w:bookmarkEnd w:id="10274"/>
    </w:p>
    <w:p w:rsidR="00A82F1E" w:rsidRPr="007F009C" w:rsidRDefault="002916D7" w:rsidP="00A82F1E">
      <w:pPr>
        <w:pStyle w:val="2"/>
        <w:rPr>
          <w:rtl/>
        </w:rPr>
      </w:pPr>
      <w:r>
        <w:rPr>
          <w:rtl/>
        </w:rPr>
        <w:t>מפתח הסוגיא</w:t>
      </w:r>
    </w:p>
    <w:p w:rsidR="00A82F1E" w:rsidRDefault="00A82F1E" w:rsidP="00A82F1E">
      <w:pPr>
        <w:pStyle w:val="2"/>
        <w:rPr>
          <w:rtl/>
        </w:rPr>
        <w:sectPr w:rsidR="00A82F1E" w:rsidSect="00A82F1E">
          <w:headerReference w:type="default" r:id="rId79"/>
          <w:headerReference w:type="first" r:id="rId80"/>
          <w:footerReference w:type="first" r:id="rId81"/>
          <w:pgSz w:w="11906" w:h="16838"/>
          <w:pgMar w:top="720" w:right="720" w:bottom="720" w:left="720" w:header="283" w:footer="283" w:gutter="0"/>
          <w:cols w:space="113"/>
          <w:bidi/>
          <w:rtlGutter/>
          <w:docGrid w:linePitch="299"/>
        </w:sectPr>
      </w:pPr>
    </w:p>
    <w:p w:rsidR="00A82F1E" w:rsidRDefault="00A82F1E" w:rsidP="00A82F1E">
      <w:pPr>
        <w:pStyle w:val="2"/>
        <w:rPr>
          <w:rFonts w:eastAsiaTheme="minorEastAsia" w:cstheme="minorBidi"/>
          <w:i/>
          <w:iCs/>
          <w:noProof/>
          <w:sz w:val="22"/>
          <w:szCs w:val="22"/>
          <w:rtl/>
        </w:rPr>
      </w:pPr>
      <w:r w:rsidRPr="009B1D48">
        <w:rPr>
          <w:rtl/>
        </w:rPr>
        <w:fldChar w:fldCharType="begin"/>
      </w:r>
      <w:r w:rsidRPr="009B1D48">
        <w:rPr>
          <w:rtl/>
        </w:rPr>
        <w:instrText xml:space="preserve"> </w:instrText>
      </w:r>
      <w:r w:rsidRPr="009B1D48">
        <w:instrText>TOC</w:instrText>
      </w:r>
      <w:r w:rsidRPr="009B1D48">
        <w:rPr>
          <w:rtl/>
        </w:rPr>
        <w:instrText xml:space="preserve"> \</w:instrText>
      </w:r>
      <w:r w:rsidRPr="009B1D48">
        <w:instrText>o "1-9" \n \p " " \z \t</w:instrText>
      </w:r>
      <w:r w:rsidRPr="009B1D48">
        <w:rPr>
          <w:rtl/>
        </w:rPr>
        <w:instrText xml:space="preserve"> "כותרת 1,2,כות קט,3,כות מקטע,1" </w:instrText>
      </w:r>
      <w:r w:rsidRPr="009B1D48">
        <w:rPr>
          <w:rtl/>
        </w:rPr>
        <w:fldChar w:fldCharType="separate"/>
      </w:r>
      <w:r>
        <w:rPr>
          <w:noProof/>
          <w:rtl/>
        </w:rPr>
        <w:t>מראי מקומות וביאורים</w:t>
      </w:r>
    </w:p>
    <w:p w:rsidR="00A82F1E" w:rsidRDefault="00A82F1E" w:rsidP="00A82F1E">
      <w:pPr>
        <w:pStyle w:val="2"/>
        <w:rPr>
          <w:rFonts w:eastAsiaTheme="minorEastAsia" w:cstheme="minorBidi"/>
          <w:i/>
          <w:iCs/>
          <w:noProof/>
          <w:sz w:val="22"/>
          <w:szCs w:val="22"/>
          <w:rtl/>
        </w:rPr>
      </w:pPr>
      <w:r>
        <w:rPr>
          <w:noProof/>
          <w:rtl/>
        </w:rPr>
        <w:t>בביאור האיסור בהשביח ולבסוף פגם</w:t>
      </w:r>
    </w:p>
    <w:p w:rsidR="00A82F1E" w:rsidRPr="00777671" w:rsidRDefault="00A82F1E" w:rsidP="00A82F1E">
      <w:pPr>
        <w:pStyle w:val="aff4"/>
        <w:rPr>
          <w:rtl/>
        </w:rPr>
      </w:pPr>
      <w:r w:rsidRPr="00777671">
        <w:rPr>
          <w:rFonts w:hint="cs"/>
          <w:rtl/>
        </w:rPr>
        <w:t>דברי הרא"ה</w:t>
      </w:r>
      <w:r>
        <w:rPr>
          <w:rFonts w:hint="cs"/>
          <w:rtl/>
        </w:rPr>
        <w:t xml:space="preserve"> דאחר שהשביח ונאסר נעשה חנ"נ בנפגם במקצת</w:t>
      </w:r>
    </w:p>
    <w:p w:rsidR="00A82F1E" w:rsidRDefault="00A82F1E" w:rsidP="004D1C5B">
      <w:pPr>
        <w:pStyle w:val="TOC9"/>
        <w:numPr>
          <w:ilvl w:val="0"/>
          <w:numId w:val="35"/>
        </w:numPr>
      </w:pPr>
      <w:r w:rsidRPr="00CC3E45">
        <w:rPr>
          <w:rFonts w:hint="cs"/>
          <w:rtl/>
        </w:rPr>
        <w:t>דברי הרא"ה דנטל"פ מותר רק כשהאיסור עצמו אינו ראוי לגר או בטע"כ דרבנן בפגום במקצת</w:t>
      </w:r>
    </w:p>
    <w:p w:rsidR="00A82F1E" w:rsidRDefault="00A82F1E" w:rsidP="00A82F1E">
      <w:pPr>
        <w:pStyle w:val="aff2"/>
        <w:numPr>
          <w:ilvl w:val="0"/>
          <w:numId w:val="3"/>
        </w:numPr>
      </w:pPr>
      <w:r>
        <w:rPr>
          <w:rFonts w:hint="cs"/>
          <w:rtl/>
        </w:rPr>
        <w:t>דברי הרא"ה דבהשביח ולבסוף פגם באינו ראוי לגר מותר דלא גרע מהאיסור עצמו</w:t>
      </w:r>
    </w:p>
    <w:p w:rsidR="00A82F1E" w:rsidRDefault="00A82F1E" w:rsidP="00A82F1E">
      <w:pPr>
        <w:pStyle w:val="aff2"/>
        <w:numPr>
          <w:ilvl w:val="0"/>
          <w:numId w:val="3"/>
        </w:numPr>
      </w:pPr>
      <w:r>
        <w:rPr>
          <w:rFonts w:hint="cs"/>
          <w:rtl/>
        </w:rPr>
        <w:t>דברי הרא"ה דחומץ לתוך גריסין הוא טע"כ דרבנן וכשהשביח בתחילה לא הקילו בפגום במקצת</w:t>
      </w:r>
    </w:p>
    <w:p w:rsidR="00A82F1E" w:rsidRPr="001034F0" w:rsidRDefault="00A82F1E" w:rsidP="00A82F1E">
      <w:pPr>
        <w:pStyle w:val="aff2"/>
        <w:numPr>
          <w:ilvl w:val="0"/>
          <w:numId w:val="3"/>
        </w:numPr>
        <w:rPr>
          <w:rtl/>
        </w:rPr>
      </w:pPr>
      <w:r>
        <w:rPr>
          <w:rFonts w:hint="cs"/>
          <w:rtl/>
        </w:rPr>
        <w:t>דברי הרא"ה דכיון שהאיסור השביח את ההיתר הוא נעשה כחנ"נ וא"א להתירו כשפגם</w:t>
      </w:r>
      <w:r w:rsidRPr="00037631">
        <w:rPr>
          <w:rFonts w:hint="cs"/>
          <w:rtl/>
        </w:rPr>
        <w:t xml:space="preserve"> </w:t>
      </w:r>
      <w:r>
        <w:rPr>
          <w:rFonts w:hint="cs"/>
          <w:rtl/>
        </w:rPr>
        <w:t>במקצת</w:t>
      </w:r>
    </w:p>
    <w:p w:rsidR="00A82F1E" w:rsidRDefault="00A82F1E" w:rsidP="00A82F1E">
      <w:pPr>
        <w:pStyle w:val="aff2"/>
        <w:numPr>
          <w:ilvl w:val="0"/>
          <w:numId w:val="3"/>
        </w:numPr>
        <w:rPr>
          <w:rFonts w:eastAsiaTheme="minorEastAsia" w:cstheme="minorBidi"/>
          <w:sz w:val="22"/>
          <w:szCs w:val="22"/>
          <w:rtl/>
        </w:rPr>
      </w:pPr>
      <w:r>
        <w:rPr>
          <w:rtl/>
        </w:rPr>
        <w:t>דברי הרא"ה דלשמואל רק בבשר בחלב אפשר לסוחטו מותר אבל בשאר איסורים אסור</w:t>
      </w:r>
    </w:p>
    <w:p w:rsidR="00A82F1E" w:rsidRDefault="00A82F1E" w:rsidP="00A82F1E">
      <w:pPr>
        <w:pStyle w:val="aff2"/>
        <w:numPr>
          <w:ilvl w:val="0"/>
          <w:numId w:val="3"/>
        </w:numPr>
        <w:rPr>
          <w:rFonts w:eastAsiaTheme="minorEastAsia" w:cstheme="minorBidi"/>
          <w:sz w:val="22"/>
          <w:szCs w:val="22"/>
          <w:rtl/>
        </w:rPr>
      </w:pPr>
      <w:r>
        <w:rPr>
          <w:rtl/>
        </w:rPr>
        <w:t>הביאור הב' ברא"ה דהאיסור הוא רק בב' דברים משובחים שאינם פגומים מצד עצמם</w:t>
      </w:r>
    </w:p>
    <w:p w:rsidR="00A82F1E" w:rsidRDefault="00A82F1E" w:rsidP="00A82F1E">
      <w:pPr>
        <w:pStyle w:val="aff2"/>
        <w:numPr>
          <w:ilvl w:val="0"/>
          <w:numId w:val="3"/>
        </w:numPr>
        <w:rPr>
          <w:rFonts w:eastAsiaTheme="minorEastAsia" w:cstheme="minorBidi"/>
          <w:sz w:val="22"/>
          <w:szCs w:val="22"/>
          <w:rtl/>
        </w:rPr>
      </w:pPr>
      <w:r>
        <w:rPr>
          <w:rtl/>
        </w:rPr>
        <w:t>דברי הפרמ"ג דהאיסור בהשביח ולבסוף פגם הוא מדרבנן ולא מדאו' וכמבואר ברא"ה</w:t>
      </w:r>
    </w:p>
    <w:p w:rsidR="00A82F1E" w:rsidRDefault="00A82F1E" w:rsidP="00A82F1E">
      <w:pPr>
        <w:pStyle w:val="aff2"/>
        <w:numPr>
          <w:ilvl w:val="0"/>
          <w:numId w:val="3"/>
        </w:numPr>
        <w:rPr>
          <w:rFonts w:eastAsiaTheme="minorEastAsia" w:cstheme="minorBidi"/>
          <w:sz w:val="22"/>
          <w:szCs w:val="22"/>
          <w:rtl/>
        </w:rPr>
      </w:pPr>
      <w:r>
        <w:rPr>
          <w:rtl/>
        </w:rPr>
        <w:t>דברי החת"ס דבהשביח ולבסוף פגם אסור מדין חנ"נ דאפשר לסוחטו אסור</w:t>
      </w:r>
    </w:p>
    <w:p w:rsidR="00A82F1E" w:rsidRDefault="00A82F1E" w:rsidP="00A82F1E">
      <w:pPr>
        <w:pStyle w:val="aff4"/>
        <w:rPr>
          <w:rFonts w:eastAsiaTheme="minorEastAsia" w:cstheme="minorBidi"/>
          <w:i/>
          <w:iCs/>
          <w:noProof/>
          <w:sz w:val="22"/>
          <w:szCs w:val="22"/>
          <w:rtl/>
        </w:rPr>
      </w:pPr>
      <w:r>
        <w:rPr>
          <w:noProof/>
          <w:rtl/>
        </w:rPr>
        <w:t>דברי הר"ן דאחר שנאסר דינו כנבילה דמותרת רק בפגום לגמרי</w:t>
      </w:r>
    </w:p>
    <w:p w:rsidR="00A82F1E" w:rsidRDefault="00A82F1E" w:rsidP="00A82F1E">
      <w:pPr>
        <w:pStyle w:val="aff2"/>
        <w:numPr>
          <w:ilvl w:val="0"/>
          <w:numId w:val="3"/>
        </w:numPr>
        <w:rPr>
          <w:rFonts w:eastAsiaTheme="minorEastAsia" w:cstheme="minorBidi"/>
          <w:sz w:val="22"/>
          <w:szCs w:val="22"/>
          <w:rtl/>
        </w:rPr>
      </w:pPr>
      <w:r>
        <w:rPr>
          <w:rtl/>
        </w:rPr>
        <w:t>ביאור הר"ן דהשביח ולבסוף פגם כיון שחל איסור א"א להתירו כדין נבילה שאסורה בראויה לגר</w:t>
      </w:r>
    </w:p>
    <w:p w:rsidR="00A82F1E" w:rsidRDefault="00A82F1E" w:rsidP="00A82F1E">
      <w:pPr>
        <w:pStyle w:val="aff2"/>
        <w:numPr>
          <w:ilvl w:val="0"/>
          <w:numId w:val="3"/>
        </w:numPr>
        <w:rPr>
          <w:rFonts w:eastAsiaTheme="minorEastAsia" w:cstheme="minorBidi"/>
          <w:sz w:val="22"/>
          <w:szCs w:val="22"/>
          <w:rtl/>
        </w:rPr>
      </w:pPr>
      <w:r>
        <w:rPr>
          <w:rtl/>
        </w:rPr>
        <w:t>דברי הר"ן דאף דהאיסור הוא מדין טע"כ ואין איסור בנטל"פ מ"מ כיון שנאסר דינו כנבילה</w:t>
      </w:r>
    </w:p>
    <w:p w:rsidR="00A82F1E" w:rsidRDefault="00A82F1E" w:rsidP="00A82F1E">
      <w:pPr>
        <w:pStyle w:val="aff2"/>
        <w:numPr>
          <w:ilvl w:val="0"/>
          <w:numId w:val="3"/>
        </w:numPr>
        <w:rPr>
          <w:rFonts w:eastAsiaTheme="minorEastAsia" w:cstheme="minorBidi"/>
          <w:sz w:val="22"/>
          <w:szCs w:val="22"/>
          <w:rtl/>
        </w:rPr>
      </w:pPr>
      <w:r>
        <w:rPr>
          <w:rtl/>
        </w:rPr>
        <w:t>ביאור הר"ן דדמי לדין חנ"נ שנאסר ע"י טעם ואין לו היתר כשנפגם הטעם אחר שנאסר בתחילה</w:t>
      </w:r>
    </w:p>
    <w:p w:rsidR="00A82F1E" w:rsidRDefault="00A82F1E" w:rsidP="00A82F1E">
      <w:pPr>
        <w:pStyle w:val="aff4"/>
        <w:rPr>
          <w:rFonts w:eastAsiaTheme="minorEastAsia" w:cstheme="minorBidi"/>
          <w:i/>
          <w:iCs/>
          <w:noProof/>
          <w:sz w:val="22"/>
          <w:szCs w:val="22"/>
          <w:rtl/>
        </w:rPr>
      </w:pPr>
      <w:r>
        <w:rPr>
          <w:noProof/>
          <w:rtl/>
        </w:rPr>
        <w:t>ביאור רבינו יהונתן דהאיסור הראשון לא התבטל</w:t>
      </w:r>
    </w:p>
    <w:p w:rsidR="00A82F1E" w:rsidRDefault="00A82F1E" w:rsidP="00A82F1E">
      <w:pPr>
        <w:pStyle w:val="aff2"/>
        <w:numPr>
          <w:ilvl w:val="0"/>
          <w:numId w:val="3"/>
        </w:numPr>
        <w:rPr>
          <w:rFonts w:eastAsiaTheme="minorEastAsia" w:cstheme="minorBidi"/>
          <w:sz w:val="22"/>
          <w:szCs w:val="22"/>
          <w:rtl/>
        </w:rPr>
      </w:pPr>
      <w:r>
        <w:rPr>
          <w:rtl/>
        </w:rPr>
        <w:t>ביאור רבינו יהונתן דאף שנפגם אינו מותר כיון שנשאר האיסור הראשון כשהיה משובח</w:t>
      </w:r>
    </w:p>
    <w:p w:rsidR="00A82F1E" w:rsidRDefault="00A82F1E" w:rsidP="00A82F1E">
      <w:pPr>
        <w:pStyle w:val="aff4"/>
        <w:rPr>
          <w:rFonts w:eastAsiaTheme="minorEastAsia" w:cstheme="minorBidi"/>
          <w:i/>
          <w:iCs/>
          <w:noProof/>
          <w:sz w:val="22"/>
          <w:szCs w:val="22"/>
          <w:rtl/>
        </w:rPr>
      </w:pPr>
      <w:r>
        <w:rPr>
          <w:noProof/>
          <w:rtl/>
        </w:rPr>
        <w:t>ביאורי החזו"א דאחר שנאסר דינו כנבילה ויש בו חנ"נ</w:t>
      </w:r>
    </w:p>
    <w:p w:rsidR="00A82F1E" w:rsidRDefault="00A82F1E" w:rsidP="00A82F1E">
      <w:pPr>
        <w:pStyle w:val="aff2"/>
        <w:numPr>
          <w:ilvl w:val="0"/>
          <w:numId w:val="3"/>
        </w:numPr>
        <w:rPr>
          <w:rFonts w:eastAsiaTheme="minorEastAsia" w:cstheme="minorBidi"/>
          <w:sz w:val="22"/>
          <w:szCs w:val="22"/>
          <w:rtl/>
        </w:rPr>
      </w:pPr>
      <w:r>
        <w:rPr>
          <w:rtl/>
        </w:rPr>
        <w:t>דברי החזו"א דכיון שהתערובת נאסרה והאיסור עצמו עדיין אסור רק כשנפגמה כנבילה מותר</w:t>
      </w:r>
    </w:p>
    <w:p w:rsidR="00A82F1E" w:rsidRDefault="00A82F1E" w:rsidP="00A82F1E">
      <w:pPr>
        <w:pStyle w:val="aff2"/>
        <w:numPr>
          <w:ilvl w:val="0"/>
          <w:numId w:val="3"/>
        </w:numPr>
        <w:rPr>
          <w:rFonts w:eastAsiaTheme="minorEastAsia" w:cstheme="minorBidi"/>
          <w:sz w:val="22"/>
          <w:szCs w:val="22"/>
          <w:rtl/>
        </w:rPr>
      </w:pPr>
      <w:r>
        <w:rPr>
          <w:rtl/>
        </w:rPr>
        <w:t>דברי החזו"א דאף שהאיסור היה מדין טע"כ ועכשיו הטעם פגום מ"מ אסור מדין חנ"נ</w:t>
      </w:r>
    </w:p>
    <w:p w:rsidR="00A82F1E" w:rsidRDefault="00A82F1E" w:rsidP="00A82F1E">
      <w:pPr>
        <w:pStyle w:val="aff4"/>
        <w:rPr>
          <w:rFonts w:eastAsiaTheme="minorEastAsia" w:cstheme="minorBidi"/>
          <w:i/>
          <w:iCs/>
          <w:noProof/>
          <w:sz w:val="22"/>
          <w:szCs w:val="22"/>
          <w:rtl/>
        </w:rPr>
      </w:pPr>
      <w:r>
        <w:rPr>
          <w:noProof/>
          <w:rtl/>
        </w:rPr>
        <w:t>משמעות המאירי והב"י דהיתר נטל"פ רק כשאינו משביח כלל</w:t>
      </w:r>
    </w:p>
    <w:p w:rsidR="00A82F1E" w:rsidRDefault="00A82F1E" w:rsidP="00A82F1E">
      <w:pPr>
        <w:pStyle w:val="aff2"/>
        <w:numPr>
          <w:ilvl w:val="0"/>
          <w:numId w:val="3"/>
        </w:numPr>
        <w:rPr>
          <w:rFonts w:eastAsiaTheme="minorEastAsia" w:cstheme="minorBidi"/>
          <w:sz w:val="22"/>
          <w:szCs w:val="22"/>
          <w:rtl/>
        </w:rPr>
      </w:pPr>
      <w:r>
        <w:rPr>
          <w:rtl/>
        </w:rPr>
        <w:t>משמעות הב"י דאיסור השביח ולבסוף פגם אינו כיון דנאסר אלא דאינו פגום מתחילה ועד סוף</w:t>
      </w:r>
    </w:p>
    <w:p w:rsidR="00A82F1E" w:rsidRDefault="00A82F1E" w:rsidP="00A82F1E">
      <w:pPr>
        <w:pStyle w:val="aff2"/>
        <w:numPr>
          <w:ilvl w:val="0"/>
          <w:numId w:val="3"/>
        </w:numPr>
        <w:rPr>
          <w:rFonts w:eastAsiaTheme="minorEastAsia" w:cstheme="minorBidi"/>
          <w:sz w:val="22"/>
          <w:szCs w:val="22"/>
          <w:rtl/>
        </w:rPr>
      </w:pPr>
      <w:r>
        <w:rPr>
          <w:rtl/>
        </w:rPr>
        <w:t>משמעות המאירי דהשביח ולבסוף פגם ופגם ולבסוף השביח אסורים כיון שיש בהם שבח</w:t>
      </w:r>
    </w:p>
    <w:p w:rsidR="00A82F1E" w:rsidRDefault="00A82F1E" w:rsidP="00A82F1E">
      <w:pPr>
        <w:pStyle w:val="aff4"/>
        <w:rPr>
          <w:rFonts w:eastAsiaTheme="minorEastAsia" w:cstheme="minorBidi"/>
          <w:i/>
          <w:iCs/>
          <w:noProof/>
          <w:sz w:val="22"/>
          <w:szCs w:val="22"/>
          <w:rtl/>
        </w:rPr>
      </w:pPr>
      <w:r>
        <w:rPr>
          <w:noProof/>
          <w:rtl/>
        </w:rPr>
        <w:t>דברי חי' הרי"ם דהאיסור הוא מדין נהפך דההיתר כבר נאסר</w:t>
      </w:r>
    </w:p>
    <w:p w:rsidR="00A82F1E" w:rsidRDefault="00A82F1E" w:rsidP="00A82F1E">
      <w:pPr>
        <w:pStyle w:val="aff2"/>
        <w:numPr>
          <w:ilvl w:val="0"/>
          <w:numId w:val="3"/>
        </w:numPr>
        <w:rPr>
          <w:rFonts w:eastAsiaTheme="minorEastAsia" w:cstheme="minorBidi"/>
          <w:sz w:val="22"/>
          <w:szCs w:val="22"/>
          <w:rtl/>
        </w:rPr>
      </w:pPr>
      <w:r>
        <w:rPr>
          <w:rtl/>
        </w:rPr>
        <w:t>קושית חי' הרי"ם דבהשביח ולבסוף פגם הטעם עכשיו פגום ואינו אסור ומאי נ"מ מה היה כשנפל</w:t>
      </w:r>
    </w:p>
    <w:p w:rsidR="00A82F1E" w:rsidRDefault="00A82F1E" w:rsidP="00A82F1E">
      <w:pPr>
        <w:pStyle w:val="aff2"/>
        <w:numPr>
          <w:ilvl w:val="0"/>
          <w:numId w:val="3"/>
        </w:numPr>
        <w:rPr>
          <w:rFonts w:eastAsiaTheme="minorEastAsia" w:cstheme="minorBidi"/>
          <w:sz w:val="22"/>
          <w:szCs w:val="22"/>
          <w:rtl/>
        </w:rPr>
      </w:pPr>
      <w:r>
        <w:rPr>
          <w:rtl/>
        </w:rPr>
        <w:t>ביאור החי' הרי"ם דהשביח ולבסוף פגם אסור מדין נהפך דא"א להתיר את ההיתר אחר שנאסר</w:t>
      </w:r>
    </w:p>
    <w:p w:rsidR="00A82F1E" w:rsidRDefault="00A82F1E" w:rsidP="00A82F1E">
      <w:pPr>
        <w:pStyle w:val="aff4"/>
        <w:rPr>
          <w:rFonts w:eastAsiaTheme="minorEastAsia" w:cstheme="minorBidi"/>
          <w:i/>
          <w:iCs/>
          <w:noProof/>
          <w:sz w:val="22"/>
          <w:szCs w:val="22"/>
          <w:rtl/>
        </w:rPr>
      </w:pPr>
      <w:r>
        <w:rPr>
          <w:noProof/>
          <w:rtl/>
        </w:rPr>
        <w:t>ביאור לשון הגמ' דנעשה כמי שהשביח</w:t>
      </w:r>
    </w:p>
    <w:p w:rsidR="00A82F1E" w:rsidRDefault="00A82F1E" w:rsidP="00A82F1E">
      <w:pPr>
        <w:pStyle w:val="aff2"/>
        <w:numPr>
          <w:ilvl w:val="0"/>
          <w:numId w:val="3"/>
        </w:numPr>
        <w:rPr>
          <w:rFonts w:eastAsiaTheme="minorEastAsia" w:cstheme="minorBidi"/>
          <w:sz w:val="22"/>
          <w:szCs w:val="22"/>
          <w:rtl/>
        </w:rPr>
      </w:pPr>
      <w:r>
        <w:rPr>
          <w:rtl/>
        </w:rPr>
        <w:t>קושית התוס' אמאי נקטה הגמ' דנעשה כמי שהשביח והרי ודאי שהוא משביח</w:t>
      </w:r>
    </w:p>
    <w:p w:rsidR="00A82F1E" w:rsidRDefault="00A82F1E" w:rsidP="00A82F1E">
      <w:pPr>
        <w:pStyle w:val="aff2"/>
        <w:numPr>
          <w:ilvl w:val="0"/>
          <w:numId w:val="3"/>
        </w:numPr>
        <w:rPr>
          <w:rFonts w:eastAsiaTheme="minorEastAsia" w:cstheme="minorBidi"/>
          <w:sz w:val="22"/>
          <w:szCs w:val="22"/>
          <w:rtl/>
        </w:rPr>
      </w:pPr>
      <w:r>
        <w:rPr>
          <w:rtl/>
        </w:rPr>
        <w:t>תירוץ התוס' דעיקר השבח הוא רק בנפל החומץ אחר שהגריסין הרתיחו והצטננו</w:t>
      </w:r>
    </w:p>
    <w:p w:rsidR="00A82F1E" w:rsidRDefault="00A82F1E" w:rsidP="00A82F1E">
      <w:pPr>
        <w:pStyle w:val="aff2"/>
        <w:numPr>
          <w:ilvl w:val="0"/>
          <w:numId w:val="3"/>
        </w:numPr>
        <w:rPr>
          <w:rFonts w:eastAsiaTheme="minorEastAsia" w:cstheme="minorBidi"/>
          <w:sz w:val="22"/>
          <w:szCs w:val="22"/>
          <w:rtl/>
        </w:rPr>
      </w:pPr>
      <w:r>
        <w:rPr>
          <w:rtl/>
        </w:rPr>
        <w:t>דברי הריטב"א דאף דאינו משביח ממש מ"מ כל שאינו פוגם נעשה כמו שהשביח</w:t>
      </w:r>
    </w:p>
    <w:p w:rsidR="00A82F1E" w:rsidRDefault="00A82F1E" w:rsidP="00A82F1E">
      <w:pPr>
        <w:pStyle w:val="aff2"/>
        <w:numPr>
          <w:ilvl w:val="0"/>
          <w:numId w:val="3"/>
        </w:numPr>
        <w:rPr>
          <w:rFonts w:eastAsiaTheme="minorEastAsia" w:cstheme="minorBidi"/>
          <w:sz w:val="22"/>
          <w:szCs w:val="22"/>
          <w:rtl/>
        </w:rPr>
      </w:pPr>
      <w:r>
        <w:rPr>
          <w:rtl/>
        </w:rPr>
        <w:t>ביאור הר"ן דקמ"ל דאף שעומד להפגם מ"מ חשיב כהשביח ואח"כ נפגם מעצמו</w:t>
      </w:r>
    </w:p>
    <w:p w:rsidR="00A82F1E" w:rsidRDefault="00A82F1E" w:rsidP="00A82F1E">
      <w:pPr>
        <w:pStyle w:val="aff2"/>
        <w:numPr>
          <w:ilvl w:val="0"/>
          <w:numId w:val="3"/>
        </w:numPr>
        <w:rPr>
          <w:rFonts w:eastAsiaTheme="minorEastAsia" w:cstheme="minorBidi"/>
          <w:sz w:val="22"/>
          <w:szCs w:val="22"/>
          <w:rtl/>
        </w:rPr>
      </w:pPr>
      <w:r>
        <w:rPr>
          <w:rtl/>
        </w:rPr>
        <w:t>דברי הרא"ה דלשון נעשה כמי שהשביח הוא לאו דוקא ויש שבח גמור</w:t>
      </w:r>
    </w:p>
    <w:p w:rsidR="00A82F1E" w:rsidRDefault="00A82F1E" w:rsidP="00A82F1E">
      <w:pPr>
        <w:pStyle w:val="2"/>
        <w:rPr>
          <w:rFonts w:eastAsiaTheme="minorEastAsia" w:cstheme="minorBidi"/>
          <w:i/>
          <w:iCs/>
          <w:noProof/>
          <w:sz w:val="22"/>
          <w:szCs w:val="22"/>
          <w:rtl/>
        </w:rPr>
      </w:pPr>
      <w:r>
        <w:rPr>
          <w:noProof/>
          <w:rtl/>
        </w:rPr>
        <w:t>באיסור פגם ולבסוף השביח</w:t>
      </w:r>
    </w:p>
    <w:p w:rsidR="00A82F1E" w:rsidRDefault="00A82F1E" w:rsidP="00A82F1E">
      <w:pPr>
        <w:pStyle w:val="aff4"/>
        <w:rPr>
          <w:rFonts w:eastAsiaTheme="minorEastAsia" w:cstheme="minorBidi"/>
          <w:i/>
          <w:iCs/>
          <w:noProof/>
          <w:sz w:val="22"/>
          <w:szCs w:val="22"/>
          <w:rtl/>
        </w:rPr>
      </w:pPr>
      <w:r>
        <w:rPr>
          <w:noProof/>
          <w:rtl/>
        </w:rPr>
        <w:t>דברי הרמב"ם והרשב"א דפגם ולבסוף השביח אסור</w:t>
      </w:r>
    </w:p>
    <w:p w:rsidR="00A82F1E" w:rsidRDefault="00A82F1E" w:rsidP="00A82F1E">
      <w:pPr>
        <w:pStyle w:val="aff2"/>
        <w:numPr>
          <w:ilvl w:val="0"/>
          <w:numId w:val="3"/>
        </w:numPr>
        <w:rPr>
          <w:rFonts w:eastAsiaTheme="minorEastAsia" w:cstheme="minorBidi"/>
          <w:sz w:val="22"/>
          <w:szCs w:val="22"/>
          <w:rtl/>
        </w:rPr>
      </w:pPr>
      <w:r>
        <w:rPr>
          <w:rtl/>
        </w:rPr>
        <w:t>דברי הרמב"ם דפגם וסופו להשביח ובהשביח וסופו לפגום אסור</w:t>
      </w:r>
    </w:p>
    <w:p w:rsidR="00A82F1E" w:rsidRDefault="00A82F1E" w:rsidP="00A82F1E">
      <w:pPr>
        <w:pStyle w:val="aff2"/>
        <w:numPr>
          <w:ilvl w:val="0"/>
          <w:numId w:val="3"/>
        </w:numPr>
      </w:pPr>
      <w:r>
        <w:rPr>
          <w:rtl/>
        </w:rPr>
        <w:t>דברי הרשב"א והמאירי והטור דפגם ולבסוף השביח אסור</w:t>
      </w:r>
    </w:p>
    <w:p w:rsidR="00A82F1E" w:rsidRPr="00A962CF" w:rsidRDefault="00A82F1E" w:rsidP="00A82F1E">
      <w:pPr>
        <w:pStyle w:val="aff2"/>
        <w:numPr>
          <w:ilvl w:val="0"/>
          <w:numId w:val="3"/>
        </w:numPr>
        <w:rPr>
          <w:rtl/>
        </w:rPr>
      </w:pPr>
      <w:r>
        <w:rPr>
          <w:rFonts w:hint="cs"/>
          <w:rtl/>
        </w:rPr>
        <w:t>ביאור הקה"י ברא"ה דבטעם הבלוע בכלי פגם ולבסוף השביח מותר ורק ביין ע"ג גרוגרות אסור</w:t>
      </w:r>
    </w:p>
    <w:p w:rsidR="00A82F1E" w:rsidRDefault="00A82F1E" w:rsidP="00A82F1E">
      <w:pPr>
        <w:pStyle w:val="aff4"/>
        <w:rPr>
          <w:rFonts w:eastAsiaTheme="minorEastAsia" w:cstheme="minorBidi"/>
          <w:i/>
          <w:iCs/>
          <w:noProof/>
          <w:sz w:val="22"/>
          <w:szCs w:val="22"/>
          <w:rtl/>
        </w:rPr>
      </w:pPr>
      <w:r>
        <w:rPr>
          <w:noProof/>
          <w:rtl/>
        </w:rPr>
        <w:t>ביאור הלח"מ והגר"א דהרמב"ם פסק כביאורו בפיהמ"ש</w:t>
      </w:r>
    </w:p>
    <w:p w:rsidR="00A82F1E" w:rsidRDefault="00A82F1E" w:rsidP="00A82F1E">
      <w:pPr>
        <w:pStyle w:val="aff2"/>
        <w:numPr>
          <w:ilvl w:val="0"/>
          <w:numId w:val="3"/>
        </w:numPr>
        <w:rPr>
          <w:rFonts w:eastAsiaTheme="minorEastAsia" w:cstheme="minorBidi"/>
          <w:sz w:val="22"/>
          <w:szCs w:val="22"/>
          <w:rtl/>
        </w:rPr>
      </w:pPr>
      <w:r>
        <w:rPr>
          <w:rtl/>
        </w:rPr>
        <w:t>ביאור הלח"מ דדין פגם ולבסוף השביח היינו פגום מעיקרא כדביאר הרמב"ם בפיהמ"ש</w:t>
      </w:r>
    </w:p>
    <w:p w:rsidR="00A82F1E" w:rsidRDefault="00A82F1E" w:rsidP="00A82F1E">
      <w:pPr>
        <w:pStyle w:val="aff2"/>
        <w:numPr>
          <w:ilvl w:val="0"/>
          <w:numId w:val="3"/>
        </w:numPr>
        <w:rPr>
          <w:rFonts w:eastAsiaTheme="minorEastAsia" w:cstheme="minorBidi"/>
          <w:sz w:val="22"/>
          <w:szCs w:val="22"/>
          <w:rtl/>
        </w:rPr>
      </w:pPr>
      <w:r>
        <w:rPr>
          <w:rtl/>
        </w:rPr>
        <w:t>דברי הלח"מ והגר"א דבהשביח ולבסוף פגם פסק הרמב"ם כסתמא דמתני' וכר"מ לדעת עולא</w:t>
      </w:r>
    </w:p>
    <w:p w:rsidR="00A82F1E" w:rsidRDefault="00A82F1E" w:rsidP="00A82F1E">
      <w:pPr>
        <w:pStyle w:val="aff2"/>
        <w:numPr>
          <w:ilvl w:val="0"/>
          <w:numId w:val="3"/>
        </w:numPr>
        <w:rPr>
          <w:rFonts w:eastAsiaTheme="minorEastAsia" w:cstheme="minorBidi"/>
          <w:sz w:val="22"/>
          <w:szCs w:val="22"/>
          <w:rtl/>
        </w:rPr>
      </w:pPr>
      <w:r>
        <w:rPr>
          <w:rtl/>
        </w:rPr>
        <w:t>דברי הלח"מ דבפגם ולבסוף השביח פסק הרמב"ם כסתמא דברייתא וכר"מ לדעת ריו"ח</w:t>
      </w:r>
    </w:p>
    <w:p w:rsidR="00A82F1E" w:rsidRDefault="00A82F1E" w:rsidP="00A82F1E">
      <w:pPr>
        <w:pStyle w:val="aff2"/>
        <w:numPr>
          <w:ilvl w:val="0"/>
          <w:numId w:val="3"/>
        </w:numPr>
        <w:rPr>
          <w:rFonts w:eastAsiaTheme="minorEastAsia" w:cstheme="minorBidi"/>
          <w:sz w:val="22"/>
          <w:szCs w:val="22"/>
          <w:rtl/>
        </w:rPr>
      </w:pPr>
      <w:r>
        <w:rPr>
          <w:rtl/>
        </w:rPr>
        <w:t>דברי הגר"א דבפגם ולבסוף השביח לא התברר בגמ' ופסק הרמב"ם דמספק אסור</w:t>
      </w:r>
    </w:p>
    <w:p w:rsidR="00A82F1E" w:rsidRDefault="00A82F1E" w:rsidP="00A82F1E">
      <w:pPr>
        <w:pStyle w:val="aff4"/>
        <w:rPr>
          <w:rtl/>
        </w:rPr>
      </w:pPr>
      <w:r>
        <w:rPr>
          <w:rFonts w:hint="cs"/>
          <w:rtl/>
        </w:rPr>
        <w:t>דעת הרמב"ם בפיהמ"ש דלעולא פגם ולבסוף השביח מותר</w:t>
      </w:r>
    </w:p>
    <w:p w:rsidR="00A82F1E" w:rsidRDefault="00A82F1E" w:rsidP="00A82F1E">
      <w:pPr>
        <w:pStyle w:val="aff2"/>
        <w:numPr>
          <w:ilvl w:val="0"/>
          <w:numId w:val="3"/>
        </w:numPr>
        <w:rPr>
          <w:rtl/>
        </w:rPr>
      </w:pPr>
      <w:r>
        <w:rPr>
          <w:rFonts w:hint="cs"/>
          <w:rtl/>
        </w:rPr>
        <w:t>דברי הלח"מ והגר"א דלהרמב"ם בפיהמ"ש לדעת עולא פגם ולבסוף השביח מותר לכו"ע</w:t>
      </w:r>
    </w:p>
    <w:p w:rsidR="00A82F1E" w:rsidRDefault="00A82F1E" w:rsidP="00A82F1E">
      <w:pPr>
        <w:pStyle w:val="aff4"/>
        <w:rPr>
          <w:rFonts w:eastAsiaTheme="minorEastAsia" w:cstheme="minorBidi"/>
          <w:i/>
          <w:iCs/>
          <w:noProof/>
          <w:sz w:val="22"/>
          <w:szCs w:val="22"/>
          <w:rtl/>
        </w:rPr>
      </w:pPr>
      <w:r>
        <w:rPr>
          <w:noProof/>
          <w:rtl/>
        </w:rPr>
        <w:t>ביאור הב"י והכס"מ דפגם ולבסוף השביח נלמד בק"ו</w:t>
      </w:r>
    </w:p>
    <w:p w:rsidR="00A82F1E" w:rsidRDefault="00A82F1E" w:rsidP="00A82F1E">
      <w:pPr>
        <w:pStyle w:val="aff2"/>
        <w:numPr>
          <w:ilvl w:val="0"/>
          <w:numId w:val="3"/>
        </w:numPr>
        <w:rPr>
          <w:rFonts w:eastAsiaTheme="minorEastAsia" w:cstheme="minorBidi"/>
          <w:sz w:val="22"/>
          <w:szCs w:val="22"/>
          <w:rtl/>
        </w:rPr>
      </w:pPr>
      <w:r>
        <w:rPr>
          <w:rtl/>
        </w:rPr>
        <w:t>ביאור הב"י והכס"מ דכיון דהשביח ולבסוף פגם אסור כ"ש דפגם ולבסוף השביח אסור</w:t>
      </w:r>
    </w:p>
    <w:p w:rsidR="00A82F1E" w:rsidRDefault="00A82F1E" w:rsidP="00A82F1E">
      <w:pPr>
        <w:pStyle w:val="aff2"/>
        <w:numPr>
          <w:ilvl w:val="0"/>
          <w:numId w:val="3"/>
        </w:numPr>
        <w:rPr>
          <w:rFonts w:eastAsiaTheme="minorEastAsia" w:cstheme="minorBidi"/>
          <w:sz w:val="22"/>
          <w:szCs w:val="22"/>
          <w:rtl/>
        </w:rPr>
      </w:pPr>
      <w:r>
        <w:rPr>
          <w:rtl/>
        </w:rPr>
        <w:t>דחיית הפר"ח דבהשביח ולבסוף פגם אחר שנאסר א"א להתיר ואי"ז ק"ו לפגם ולבסוף השביח</w:t>
      </w:r>
    </w:p>
    <w:p w:rsidR="00A82F1E" w:rsidRDefault="00A82F1E" w:rsidP="00A82F1E">
      <w:pPr>
        <w:pStyle w:val="aff2"/>
        <w:numPr>
          <w:ilvl w:val="0"/>
          <w:numId w:val="3"/>
        </w:numPr>
        <w:rPr>
          <w:rFonts w:eastAsiaTheme="minorEastAsia" w:cstheme="minorBidi"/>
          <w:sz w:val="22"/>
          <w:szCs w:val="22"/>
          <w:rtl/>
        </w:rPr>
      </w:pPr>
      <w:r>
        <w:rPr>
          <w:rtl/>
        </w:rPr>
        <w:t>דברי הגר"א דלהרמב"ם בפיהמ"ש דפגום מעיקרא היינו פגם ולבסוף השביח מוכח דאי"ז ק"ו</w:t>
      </w:r>
    </w:p>
    <w:p w:rsidR="00A82F1E" w:rsidRDefault="00A82F1E" w:rsidP="00A82F1E">
      <w:pPr>
        <w:pStyle w:val="aff2"/>
        <w:numPr>
          <w:ilvl w:val="0"/>
          <w:numId w:val="3"/>
        </w:numPr>
        <w:rPr>
          <w:rFonts w:eastAsiaTheme="minorEastAsia" w:cstheme="minorBidi"/>
          <w:sz w:val="22"/>
          <w:szCs w:val="22"/>
          <w:rtl/>
        </w:rPr>
      </w:pPr>
      <w:r>
        <w:rPr>
          <w:rtl/>
        </w:rPr>
        <w:t>דברי היד יהודה דברשב"א מוכח דפגם ולבסוף השביח הוא דין מפורש ואינו נלמד מק"ו</w:t>
      </w:r>
    </w:p>
    <w:p w:rsidR="00A82F1E" w:rsidRDefault="00A82F1E" w:rsidP="00A82F1E">
      <w:pPr>
        <w:pStyle w:val="aff4"/>
        <w:rPr>
          <w:rFonts w:eastAsiaTheme="minorEastAsia" w:cstheme="minorBidi"/>
          <w:i/>
          <w:iCs/>
          <w:noProof/>
          <w:sz w:val="22"/>
          <w:szCs w:val="22"/>
          <w:rtl/>
        </w:rPr>
      </w:pPr>
      <w:r>
        <w:rPr>
          <w:noProof/>
          <w:rtl/>
        </w:rPr>
        <w:t>ביאורי היד יהודה והלח"מ במקור דין פגם ולבסוף השביח</w:t>
      </w:r>
    </w:p>
    <w:p w:rsidR="00A82F1E" w:rsidRDefault="00A82F1E" w:rsidP="00A82F1E">
      <w:pPr>
        <w:pStyle w:val="aff2"/>
        <w:numPr>
          <w:ilvl w:val="0"/>
          <w:numId w:val="3"/>
        </w:numPr>
        <w:rPr>
          <w:rFonts w:eastAsiaTheme="minorEastAsia" w:cstheme="minorBidi"/>
          <w:sz w:val="22"/>
          <w:szCs w:val="22"/>
          <w:rtl/>
        </w:rPr>
      </w:pPr>
      <w:r>
        <w:rPr>
          <w:rtl/>
        </w:rPr>
        <w:t>דברי היד יהודה דמדאמר ר"ל בל"ב דהשתא מיהא פגמה מוכח דאם אח"כ השביח אסור</w:t>
      </w:r>
    </w:p>
    <w:p w:rsidR="00A82F1E" w:rsidRDefault="00A82F1E" w:rsidP="00A82F1E">
      <w:pPr>
        <w:pStyle w:val="aff2"/>
        <w:numPr>
          <w:ilvl w:val="0"/>
          <w:numId w:val="3"/>
        </w:numPr>
        <w:rPr>
          <w:rFonts w:eastAsiaTheme="minorEastAsia" w:cstheme="minorBidi"/>
          <w:sz w:val="22"/>
          <w:szCs w:val="22"/>
          <w:rtl/>
        </w:rPr>
      </w:pPr>
      <w:r>
        <w:rPr>
          <w:rtl/>
        </w:rPr>
        <w:t>דברי הלח"מ דבדין עיסה שראויה להחמיץ כמה עיסות מוכח דפגום עכשיו וישביח אח"כ אסור</w:t>
      </w:r>
    </w:p>
    <w:p w:rsidR="00A82F1E" w:rsidRDefault="00A82F1E" w:rsidP="00A82F1E">
      <w:pPr>
        <w:pStyle w:val="aff4"/>
        <w:rPr>
          <w:rFonts w:eastAsiaTheme="minorEastAsia" w:cstheme="minorBidi"/>
          <w:i/>
          <w:iCs/>
          <w:noProof/>
          <w:sz w:val="22"/>
          <w:szCs w:val="22"/>
          <w:rtl/>
        </w:rPr>
      </w:pPr>
      <w:r>
        <w:rPr>
          <w:noProof/>
          <w:rtl/>
        </w:rPr>
        <w:t>ביאור החוו"ד דבשעת הפגם הטעם נשאר אסור וחוזר וניעור</w:t>
      </w:r>
    </w:p>
    <w:p w:rsidR="00A82F1E" w:rsidRDefault="00A82F1E" w:rsidP="00A82F1E">
      <w:pPr>
        <w:pStyle w:val="aff2"/>
        <w:numPr>
          <w:ilvl w:val="0"/>
          <w:numId w:val="3"/>
        </w:numPr>
        <w:rPr>
          <w:rFonts w:eastAsiaTheme="minorEastAsia" w:cstheme="minorBidi"/>
          <w:sz w:val="22"/>
          <w:szCs w:val="22"/>
          <w:rtl/>
        </w:rPr>
      </w:pPr>
      <w:r>
        <w:rPr>
          <w:rtl/>
        </w:rPr>
        <w:t>דברי החוו"ד דבפגום במקצת לא פקע האיסור ולכן פגם ולבסוף השביח אסור</w:t>
      </w:r>
    </w:p>
    <w:p w:rsidR="00A82F1E" w:rsidRDefault="00A82F1E" w:rsidP="00A82F1E">
      <w:pPr>
        <w:pStyle w:val="aff2"/>
        <w:numPr>
          <w:ilvl w:val="0"/>
          <w:numId w:val="3"/>
        </w:numPr>
        <w:rPr>
          <w:rFonts w:eastAsiaTheme="minorEastAsia" w:cstheme="minorBidi"/>
          <w:sz w:val="22"/>
          <w:szCs w:val="22"/>
          <w:rtl/>
        </w:rPr>
      </w:pPr>
      <w:r>
        <w:rPr>
          <w:rtl/>
        </w:rPr>
        <w:t>ביאור המקור חיים דבנטל"פ האיסור לא התבטל וכשחזר והשביח ממילא חוזר ואוסר</w:t>
      </w:r>
    </w:p>
    <w:p w:rsidR="00A82F1E" w:rsidRDefault="00A82F1E" w:rsidP="00A82F1E">
      <w:pPr>
        <w:pStyle w:val="aff4"/>
        <w:rPr>
          <w:noProof/>
          <w:rtl/>
        </w:rPr>
      </w:pPr>
      <w:r>
        <w:rPr>
          <w:rFonts w:hint="cs"/>
          <w:rtl/>
        </w:rPr>
        <w:t>ביאור הפרי תאר דפגם ולבסוף השביח חמור דלא חשיב פגם</w:t>
      </w:r>
    </w:p>
    <w:p w:rsidR="00A82F1E" w:rsidRDefault="00A82F1E" w:rsidP="00A82F1E">
      <w:pPr>
        <w:pStyle w:val="aff2"/>
        <w:numPr>
          <w:ilvl w:val="0"/>
          <w:numId w:val="3"/>
        </w:numPr>
        <w:rPr>
          <w:rFonts w:eastAsiaTheme="minorEastAsia" w:cstheme="minorBidi"/>
          <w:sz w:val="22"/>
          <w:szCs w:val="22"/>
          <w:rtl/>
        </w:rPr>
      </w:pPr>
      <w:r>
        <w:rPr>
          <w:rtl/>
        </w:rPr>
        <w:t>דברי הפרי תאר דיש צד לומר דמסברא השביח ולבסוף פגם חמור דכבר חל עליו איסור</w:t>
      </w:r>
    </w:p>
    <w:p w:rsidR="00A82F1E" w:rsidRDefault="00A82F1E" w:rsidP="00A82F1E">
      <w:pPr>
        <w:pStyle w:val="aff2"/>
        <w:numPr>
          <w:ilvl w:val="0"/>
          <w:numId w:val="3"/>
        </w:numPr>
        <w:rPr>
          <w:rFonts w:eastAsiaTheme="minorEastAsia" w:cstheme="minorBidi"/>
          <w:sz w:val="22"/>
          <w:szCs w:val="22"/>
          <w:rtl/>
        </w:rPr>
      </w:pPr>
      <w:r>
        <w:rPr>
          <w:rtl/>
        </w:rPr>
        <w:t>דברי הפרי תאר דיש צד לומר דמסברא פגם ולבסוף השביח חמור דהתברר שלא חשיב פגם</w:t>
      </w:r>
    </w:p>
    <w:p w:rsidR="00A82F1E" w:rsidRDefault="00A82F1E" w:rsidP="00A82F1E">
      <w:pPr>
        <w:pStyle w:val="2"/>
        <w:rPr>
          <w:rFonts w:eastAsiaTheme="minorEastAsia" w:cstheme="minorBidi"/>
          <w:i/>
          <w:iCs/>
          <w:noProof/>
          <w:sz w:val="22"/>
          <w:szCs w:val="22"/>
          <w:rtl/>
        </w:rPr>
      </w:pPr>
      <w:r>
        <w:rPr>
          <w:noProof/>
          <w:rtl/>
        </w:rPr>
        <w:t xml:space="preserve">בדין פוגם ולבסוף </w:t>
      </w:r>
      <w:r>
        <w:rPr>
          <w:rFonts w:hint="cs"/>
          <w:noProof/>
          <w:rtl/>
        </w:rPr>
        <w:t>ה</w:t>
      </w:r>
      <w:r>
        <w:rPr>
          <w:noProof/>
          <w:rtl/>
        </w:rPr>
        <w:t>שביח בשעת הפגם</w:t>
      </w:r>
    </w:p>
    <w:p w:rsidR="00A82F1E" w:rsidRDefault="00A82F1E" w:rsidP="00A82F1E">
      <w:pPr>
        <w:pStyle w:val="aff4"/>
        <w:rPr>
          <w:rFonts w:eastAsiaTheme="minorEastAsia" w:cstheme="minorBidi"/>
          <w:i/>
          <w:iCs/>
          <w:noProof/>
          <w:sz w:val="22"/>
          <w:szCs w:val="22"/>
          <w:rtl/>
        </w:rPr>
      </w:pPr>
      <w:r>
        <w:rPr>
          <w:noProof/>
          <w:rtl/>
        </w:rPr>
        <w:t>דברי המאירי דבסופו להשביח אסור אף לפני שהשביח</w:t>
      </w:r>
    </w:p>
    <w:p w:rsidR="00A82F1E" w:rsidRDefault="00A82F1E" w:rsidP="00A82F1E">
      <w:pPr>
        <w:pStyle w:val="aff2"/>
        <w:numPr>
          <w:ilvl w:val="0"/>
          <w:numId w:val="3"/>
        </w:numPr>
        <w:rPr>
          <w:rFonts w:eastAsiaTheme="minorEastAsia" w:cstheme="minorBidi"/>
          <w:sz w:val="22"/>
          <w:szCs w:val="22"/>
          <w:rtl/>
        </w:rPr>
      </w:pPr>
      <w:r>
        <w:rPr>
          <w:rtl/>
        </w:rPr>
        <w:t>דברי המאירי דלפני שהשביח מותר לאוכלו אך אם הדרך לאוכלו כך מותר וכשישביח יאסר</w:t>
      </w:r>
    </w:p>
    <w:p w:rsidR="00A82F1E" w:rsidRPr="0078150B" w:rsidRDefault="00A82F1E" w:rsidP="00A82F1E">
      <w:pPr>
        <w:pStyle w:val="aff4"/>
        <w:rPr>
          <w:noProof/>
          <w:rtl/>
        </w:rPr>
      </w:pPr>
      <w:r>
        <w:rPr>
          <w:noProof/>
          <w:rtl/>
        </w:rPr>
        <w:t>דברי האיסור והיתר והש"ך</w:t>
      </w:r>
      <w:r w:rsidRPr="0078150B">
        <w:rPr>
          <w:rFonts w:hint="cs"/>
          <w:noProof/>
          <w:rtl/>
        </w:rPr>
        <w:t xml:space="preserve"> דבשעת הפגם מותר</w:t>
      </w:r>
    </w:p>
    <w:p w:rsidR="00A82F1E" w:rsidRDefault="00A82F1E" w:rsidP="00A82F1E">
      <w:pPr>
        <w:pStyle w:val="aff2"/>
        <w:numPr>
          <w:ilvl w:val="0"/>
          <w:numId w:val="3"/>
        </w:numPr>
        <w:rPr>
          <w:rFonts w:eastAsiaTheme="minorEastAsia" w:cstheme="minorBidi"/>
          <w:sz w:val="22"/>
          <w:szCs w:val="22"/>
          <w:rtl/>
        </w:rPr>
      </w:pPr>
      <w:r>
        <w:rPr>
          <w:rtl/>
        </w:rPr>
        <w:t>דברי האיסור והיתר והש"ך דבנודע האיסור כשהוא פגום ולפני שהשביח מותר לאוכלו</w:t>
      </w:r>
    </w:p>
    <w:p w:rsidR="00A82F1E" w:rsidRDefault="00A82F1E" w:rsidP="00A82F1E">
      <w:pPr>
        <w:pStyle w:val="aff2"/>
        <w:numPr>
          <w:ilvl w:val="0"/>
          <w:numId w:val="3"/>
        </w:numPr>
        <w:rPr>
          <w:rFonts w:eastAsiaTheme="minorEastAsia" w:cstheme="minorBidi"/>
          <w:sz w:val="22"/>
          <w:szCs w:val="22"/>
          <w:rtl/>
        </w:rPr>
      </w:pPr>
      <w:r>
        <w:rPr>
          <w:rtl/>
        </w:rPr>
        <w:t>דברי הש"ך דכן מוכח מל"ב דר"ל בקדירה שחסירה מלח דכשהיא פגומה היא מותרת</w:t>
      </w:r>
    </w:p>
    <w:p w:rsidR="00A82F1E" w:rsidRDefault="00A82F1E" w:rsidP="00A82F1E">
      <w:pPr>
        <w:pStyle w:val="aff4"/>
        <w:rPr>
          <w:rFonts w:eastAsiaTheme="minorEastAsia" w:cstheme="minorBidi"/>
          <w:i/>
          <w:iCs/>
          <w:noProof/>
          <w:sz w:val="22"/>
          <w:szCs w:val="22"/>
          <w:rtl/>
        </w:rPr>
      </w:pPr>
      <w:r>
        <w:rPr>
          <w:noProof/>
          <w:rtl/>
        </w:rPr>
        <w:t>דעת הפר"ח דפגם ולבסוף השביח אסור אף בשעת הפגם</w:t>
      </w:r>
    </w:p>
    <w:p w:rsidR="00A82F1E" w:rsidRDefault="00A82F1E" w:rsidP="00A82F1E">
      <w:pPr>
        <w:pStyle w:val="aff2"/>
        <w:numPr>
          <w:ilvl w:val="0"/>
          <w:numId w:val="3"/>
        </w:numPr>
        <w:rPr>
          <w:rFonts w:eastAsiaTheme="minorEastAsia" w:cstheme="minorBidi"/>
          <w:sz w:val="22"/>
          <w:szCs w:val="22"/>
          <w:rtl/>
        </w:rPr>
      </w:pPr>
      <w:r>
        <w:rPr>
          <w:rtl/>
        </w:rPr>
        <w:t>דחיית הפר"ח דאסור בשעת הפגם כמו דהשביח ולבסוף פגם אסור בשעת הפגם</w:t>
      </w:r>
    </w:p>
    <w:p w:rsidR="00A82F1E" w:rsidRDefault="00A82F1E" w:rsidP="00A82F1E">
      <w:pPr>
        <w:pStyle w:val="aff2"/>
        <w:numPr>
          <w:ilvl w:val="0"/>
          <w:numId w:val="3"/>
        </w:numPr>
        <w:rPr>
          <w:rFonts w:eastAsiaTheme="minorEastAsia" w:cstheme="minorBidi"/>
          <w:sz w:val="22"/>
          <w:szCs w:val="22"/>
          <w:rtl/>
        </w:rPr>
      </w:pPr>
      <w:r>
        <w:rPr>
          <w:rtl/>
        </w:rPr>
        <w:t>דברי הפר"ח דמלשון הרמב"ם דאסור בסופו להשביח מבואר דאף שעדיין לא השביח אסור</w:t>
      </w:r>
    </w:p>
    <w:p w:rsidR="00A82F1E" w:rsidRDefault="00A82F1E" w:rsidP="00A82F1E">
      <w:pPr>
        <w:pStyle w:val="aff2"/>
        <w:numPr>
          <w:ilvl w:val="0"/>
          <w:numId w:val="3"/>
        </w:numPr>
        <w:rPr>
          <w:rFonts w:eastAsiaTheme="minorEastAsia" w:cstheme="minorBidi"/>
          <w:sz w:val="22"/>
          <w:szCs w:val="22"/>
          <w:rtl/>
        </w:rPr>
      </w:pPr>
      <w:r>
        <w:rPr>
          <w:rtl/>
        </w:rPr>
        <w:t>דברי הפר"ח דבב"י מבואר דאף בשעה שהוא פגום אסור כיון שעומד להשביח</w:t>
      </w:r>
    </w:p>
    <w:p w:rsidR="00A82F1E" w:rsidRDefault="00A82F1E" w:rsidP="00A82F1E">
      <w:pPr>
        <w:pStyle w:val="aff2"/>
        <w:numPr>
          <w:ilvl w:val="0"/>
          <w:numId w:val="3"/>
        </w:numPr>
        <w:rPr>
          <w:rFonts w:eastAsiaTheme="minorEastAsia" w:cstheme="minorBidi"/>
          <w:sz w:val="22"/>
          <w:szCs w:val="22"/>
          <w:rtl/>
        </w:rPr>
      </w:pPr>
      <w:r>
        <w:rPr>
          <w:rtl/>
        </w:rPr>
        <w:t>דחיית הפר"ח לראית הש"ך מקדירה שחסירה מלח דאין סופה להשביח ולכן היא מותרת עכשיו</w:t>
      </w:r>
    </w:p>
    <w:p w:rsidR="00A82F1E" w:rsidRDefault="00A82F1E" w:rsidP="00A82F1E">
      <w:pPr>
        <w:pStyle w:val="aff2"/>
        <w:numPr>
          <w:ilvl w:val="0"/>
          <w:numId w:val="3"/>
        </w:numPr>
        <w:rPr>
          <w:rFonts w:eastAsiaTheme="minorEastAsia" w:cstheme="minorBidi"/>
          <w:sz w:val="22"/>
          <w:szCs w:val="22"/>
          <w:rtl/>
        </w:rPr>
      </w:pPr>
      <w:r>
        <w:rPr>
          <w:rtl/>
        </w:rPr>
        <w:t>דברי הפרמ"ג דמדאו' ודאי דמותר בפגם ולבסוף השביח בשעה שהוא פגום</w:t>
      </w:r>
    </w:p>
    <w:p w:rsidR="00A82F1E" w:rsidRDefault="00A82F1E" w:rsidP="00A82F1E">
      <w:pPr>
        <w:pStyle w:val="2"/>
        <w:rPr>
          <w:rFonts w:eastAsiaTheme="minorEastAsia" w:cstheme="minorBidi"/>
          <w:i/>
          <w:iCs/>
          <w:noProof/>
          <w:sz w:val="22"/>
          <w:szCs w:val="22"/>
          <w:rtl/>
        </w:rPr>
      </w:pPr>
      <w:r>
        <w:rPr>
          <w:noProof/>
          <w:rtl/>
        </w:rPr>
        <w:t>ביאור התוס' בדברי עולא</w:t>
      </w:r>
    </w:p>
    <w:p w:rsidR="00A82F1E" w:rsidRDefault="00A82F1E" w:rsidP="00A82F1E">
      <w:pPr>
        <w:pStyle w:val="aff4"/>
        <w:rPr>
          <w:rFonts w:eastAsiaTheme="minorEastAsia" w:cstheme="minorBidi"/>
          <w:i/>
          <w:iCs/>
          <w:noProof/>
          <w:sz w:val="22"/>
          <w:szCs w:val="22"/>
          <w:rtl/>
        </w:rPr>
      </w:pPr>
      <w:r>
        <w:rPr>
          <w:noProof/>
          <w:rtl/>
        </w:rPr>
        <w:t>דברי התוס' דלעולא פליגי בסברא אי פגם מתיר דבר שנאסר</w:t>
      </w:r>
    </w:p>
    <w:p w:rsidR="00A82F1E" w:rsidRDefault="00A82F1E" w:rsidP="00A82F1E">
      <w:pPr>
        <w:pStyle w:val="aff2"/>
        <w:numPr>
          <w:ilvl w:val="0"/>
          <w:numId w:val="3"/>
        </w:numPr>
        <w:rPr>
          <w:rFonts w:eastAsiaTheme="minorEastAsia" w:cstheme="minorBidi"/>
          <w:sz w:val="22"/>
          <w:szCs w:val="22"/>
          <w:rtl/>
        </w:rPr>
      </w:pPr>
      <w:r>
        <w:rPr>
          <w:rtl/>
        </w:rPr>
        <w:t>דברי התוס' דלעולא ר"מ ור"ש לא נחלקו בילפותא דא"כ אין סברא לומר דפגום מעיקרא מותר</w:t>
      </w:r>
    </w:p>
    <w:p w:rsidR="00A82F1E" w:rsidRDefault="00A82F1E" w:rsidP="00A82F1E">
      <w:pPr>
        <w:pStyle w:val="aff2"/>
        <w:numPr>
          <w:ilvl w:val="0"/>
          <w:numId w:val="3"/>
        </w:numPr>
        <w:rPr>
          <w:rFonts w:eastAsiaTheme="minorEastAsia" w:cstheme="minorBidi"/>
          <w:sz w:val="22"/>
          <w:szCs w:val="22"/>
          <w:rtl/>
        </w:rPr>
      </w:pPr>
      <w:r>
        <w:rPr>
          <w:rtl/>
        </w:rPr>
        <w:t>ביאור המהרש"א בתוס' דאי נחלקו בילפותא א"כ לר"מ אין ילפותא להתיר אף בפגום מעיקרא</w:t>
      </w:r>
    </w:p>
    <w:p w:rsidR="00A82F1E" w:rsidRDefault="00A82F1E" w:rsidP="00A82F1E">
      <w:pPr>
        <w:pStyle w:val="aff2"/>
        <w:numPr>
          <w:ilvl w:val="0"/>
          <w:numId w:val="3"/>
        </w:numPr>
        <w:rPr>
          <w:rFonts w:eastAsiaTheme="minorEastAsia" w:cstheme="minorBidi"/>
          <w:sz w:val="22"/>
          <w:szCs w:val="22"/>
          <w:rtl/>
        </w:rPr>
      </w:pPr>
      <w:r>
        <w:rPr>
          <w:rtl/>
        </w:rPr>
        <w:t>ביאור התוס' דר"מ ור"ש נחלקו בסברא אם אחר שהשביח ונאסר אפשר לחזור ולהתיר</w:t>
      </w:r>
    </w:p>
    <w:p w:rsidR="00A82F1E" w:rsidRDefault="00A82F1E" w:rsidP="00A82F1E">
      <w:pPr>
        <w:pStyle w:val="aff4"/>
        <w:rPr>
          <w:rFonts w:eastAsiaTheme="minorEastAsia" w:cstheme="minorBidi"/>
          <w:i/>
          <w:iCs/>
          <w:noProof/>
          <w:sz w:val="22"/>
          <w:szCs w:val="22"/>
          <w:rtl/>
        </w:rPr>
      </w:pPr>
      <w:r>
        <w:rPr>
          <w:noProof/>
          <w:rtl/>
        </w:rPr>
        <w:t>ביאור החזו"א בתוס' דלר"מ הוא כחנ"נ ולר"ש מותר באינו בעין</w:t>
      </w:r>
    </w:p>
    <w:p w:rsidR="00A82F1E" w:rsidRDefault="00A82F1E" w:rsidP="00A82F1E">
      <w:pPr>
        <w:pStyle w:val="aff2"/>
        <w:numPr>
          <w:ilvl w:val="0"/>
          <w:numId w:val="3"/>
        </w:numPr>
        <w:rPr>
          <w:rFonts w:eastAsiaTheme="minorEastAsia" w:cstheme="minorBidi"/>
          <w:sz w:val="22"/>
          <w:szCs w:val="22"/>
          <w:rtl/>
        </w:rPr>
      </w:pPr>
      <w:r>
        <w:rPr>
          <w:rtl/>
        </w:rPr>
        <w:t>ביאור החזו"א דר"מ מודה דנבילה שאינה ראויה לגר מותרת ומודה לעיקר דין נטל"פ דמותר</w:t>
      </w:r>
    </w:p>
    <w:p w:rsidR="00A82F1E" w:rsidRDefault="00A82F1E" w:rsidP="00A82F1E">
      <w:pPr>
        <w:pStyle w:val="aff2"/>
        <w:numPr>
          <w:ilvl w:val="0"/>
          <w:numId w:val="3"/>
        </w:numPr>
        <w:rPr>
          <w:rFonts w:eastAsiaTheme="minorEastAsia" w:cstheme="minorBidi"/>
          <w:sz w:val="22"/>
          <w:szCs w:val="22"/>
          <w:rtl/>
        </w:rPr>
      </w:pPr>
      <w:r>
        <w:rPr>
          <w:rtl/>
        </w:rPr>
        <w:t>ביאור החזו"א דלר"מ אף דפגם לבסוף מ"מ האיסור עצמו עדיין אסור ודין התערובת כדין נבילה</w:t>
      </w:r>
    </w:p>
    <w:p w:rsidR="00A82F1E" w:rsidRDefault="00A82F1E" w:rsidP="00A82F1E">
      <w:pPr>
        <w:pStyle w:val="aff2"/>
        <w:numPr>
          <w:ilvl w:val="0"/>
          <w:numId w:val="3"/>
        </w:numPr>
        <w:rPr>
          <w:rFonts w:eastAsiaTheme="minorEastAsia" w:cstheme="minorBidi"/>
          <w:sz w:val="22"/>
          <w:szCs w:val="22"/>
          <w:rtl/>
        </w:rPr>
      </w:pPr>
      <w:r>
        <w:rPr>
          <w:rtl/>
        </w:rPr>
        <w:t>ביאור החזו"א בר"ש דכיון שהאיסור אינו בעין והאיסור הוא מדין טע"כ כל שעכשיו פגום מותר</w:t>
      </w:r>
    </w:p>
    <w:p w:rsidR="00A82F1E" w:rsidRDefault="00A82F1E" w:rsidP="00A82F1E">
      <w:pPr>
        <w:pStyle w:val="2"/>
        <w:rPr>
          <w:rFonts w:eastAsiaTheme="minorEastAsia" w:cstheme="minorBidi"/>
          <w:i/>
          <w:iCs/>
          <w:noProof/>
          <w:sz w:val="22"/>
          <w:szCs w:val="22"/>
          <w:rtl/>
        </w:rPr>
      </w:pPr>
      <w:r>
        <w:rPr>
          <w:noProof/>
          <w:rtl/>
        </w:rPr>
        <w:t>ביאור הר"ן בדברי עולא</w:t>
      </w:r>
    </w:p>
    <w:p w:rsidR="00A82F1E" w:rsidRDefault="00A82F1E" w:rsidP="00A82F1E">
      <w:pPr>
        <w:pStyle w:val="aff4"/>
        <w:rPr>
          <w:rFonts w:eastAsiaTheme="minorEastAsia" w:cstheme="minorBidi"/>
          <w:i/>
          <w:iCs/>
          <w:noProof/>
          <w:sz w:val="22"/>
          <w:szCs w:val="22"/>
          <w:rtl/>
        </w:rPr>
      </w:pPr>
      <w:r>
        <w:rPr>
          <w:noProof/>
          <w:rtl/>
        </w:rPr>
        <w:t>קושית הר"ן דלעולא א"א לומר דנחלקו בילפותא מגיעולי עכו"ם</w:t>
      </w:r>
    </w:p>
    <w:p w:rsidR="00A82F1E" w:rsidRDefault="00A82F1E" w:rsidP="00A82F1E">
      <w:pPr>
        <w:pStyle w:val="aff2"/>
        <w:numPr>
          <w:ilvl w:val="0"/>
          <w:numId w:val="3"/>
        </w:numPr>
        <w:rPr>
          <w:rFonts w:eastAsiaTheme="minorEastAsia" w:cstheme="minorBidi"/>
          <w:sz w:val="22"/>
          <w:szCs w:val="22"/>
          <w:rtl/>
        </w:rPr>
      </w:pPr>
      <w:r>
        <w:rPr>
          <w:rtl/>
        </w:rPr>
        <w:lastRenderedPageBreak/>
        <w:t>דברי הר"ן דלעולא מוכח דלכו"ע אסרה תורה בבת יומא והיתר נטל"פ לא נלמד מגיעולי עכו"ם</w:t>
      </w:r>
    </w:p>
    <w:p w:rsidR="00A82F1E" w:rsidRDefault="00A82F1E" w:rsidP="00A82F1E">
      <w:pPr>
        <w:pStyle w:val="aff2"/>
        <w:numPr>
          <w:ilvl w:val="0"/>
          <w:numId w:val="3"/>
        </w:numPr>
        <w:rPr>
          <w:rFonts w:eastAsiaTheme="minorEastAsia" w:cstheme="minorBidi"/>
          <w:sz w:val="22"/>
          <w:szCs w:val="22"/>
          <w:rtl/>
        </w:rPr>
      </w:pPr>
      <w:r>
        <w:rPr>
          <w:rtl/>
        </w:rPr>
        <w:t>קושית הר"ן במה נחלקו בהשביח ולבסוף פגם הא א"א להעמיד דנחלקו בילפותא מגיעולי עכו"ם</w:t>
      </w:r>
    </w:p>
    <w:p w:rsidR="00A82F1E" w:rsidRDefault="00A82F1E" w:rsidP="00A82F1E">
      <w:pPr>
        <w:pStyle w:val="aff4"/>
        <w:rPr>
          <w:rFonts w:eastAsiaTheme="minorEastAsia" w:cstheme="minorBidi"/>
          <w:i/>
          <w:iCs/>
          <w:noProof/>
          <w:sz w:val="22"/>
          <w:szCs w:val="22"/>
          <w:rtl/>
        </w:rPr>
      </w:pPr>
      <w:r>
        <w:rPr>
          <w:noProof/>
          <w:rtl/>
        </w:rPr>
        <w:t>ביאור הר"ן בעולא דנח' אי ילפינן השביח ולבסוף פגם מנבילה</w:t>
      </w:r>
    </w:p>
    <w:p w:rsidR="00A82F1E" w:rsidRDefault="00A82F1E" w:rsidP="00A82F1E">
      <w:pPr>
        <w:pStyle w:val="aff2"/>
        <w:numPr>
          <w:ilvl w:val="0"/>
          <w:numId w:val="3"/>
        </w:numPr>
        <w:rPr>
          <w:rFonts w:eastAsiaTheme="minorEastAsia" w:cstheme="minorBidi"/>
          <w:sz w:val="22"/>
          <w:szCs w:val="22"/>
          <w:rtl/>
        </w:rPr>
      </w:pPr>
      <w:r>
        <w:rPr>
          <w:rtl/>
        </w:rPr>
        <w:t>ביאור הר"ן דלעולא לכו"ע היתר נבילה אף במשובחת ונפגמה ולר"ש ה"ה בהשביח ולבסוף פגם</w:t>
      </w:r>
    </w:p>
    <w:p w:rsidR="00A82F1E" w:rsidRDefault="00A82F1E" w:rsidP="00A82F1E">
      <w:pPr>
        <w:pStyle w:val="aff2"/>
        <w:numPr>
          <w:ilvl w:val="0"/>
          <w:numId w:val="3"/>
        </w:numPr>
        <w:rPr>
          <w:rFonts w:eastAsiaTheme="minorEastAsia" w:cstheme="minorBidi"/>
          <w:sz w:val="22"/>
          <w:szCs w:val="22"/>
          <w:rtl/>
        </w:rPr>
      </w:pPr>
      <w:r>
        <w:rPr>
          <w:rtl/>
        </w:rPr>
        <w:t>ביאור הר"ן דלר"מ הילפותא מנבילה לנטל"פ הוא רק בפגום מעיקרא דהוא כאינה ראויה לגר</w:t>
      </w:r>
    </w:p>
    <w:p w:rsidR="00A82F1E" w:rsidRDefault="00A82F1E" w:rsidP="00A82F1E">
      <w:pPr>
        <w:pStyle w:val="aff2"/>
        <w:numPr>
          <w:ilvl w:val="0"/>
          <w:numId w:val="3"/>
        </w:numPr>
        <w:rPr>
          <w:rFonts w:eastAsiaTheme="minorEastAsia" w:cstheme="minorBidi"/>
          <w:sz w:val="22"/>
          <w:szCs w:val="22"/>
          <w:rtl/>
        </w:rPr>
      </w:pPr>
      <w:r>
        <w:rPr>
          <w:rtl/>
        </w:rPr>
        <w:t>ביאור הר"ן דלר"מ השביח ולבסוף פגם כיון שחל איסור א"א להתירו כנבילה שראויה לגר</w:t>
      </w:r>
    </w:p>
    <w:p w:rsidR="00A82F1E" w:rsidRDefault="00A82F1E" w:rsidP="00A82F1E">
      <w:pPr>
        <w:pStyle w:val="aff2"/>
        <w:numPr>
          <w:ilvl w:val="0"/>
          <w:numId w:val="3"/>
        </w:numPr>
        <w:rPr>
          <w:rFonts w:eastAsiaTheme="minorEastAsia" w:cstheme="minorBidi"/>
          <w:sz w:val="22"/>
          <w:szCs w:val="22"/>
          <w:rtl/>
        </w:rPr>
      </w:pPr>
      <w:r>
        <w:rPr>
          <w:rtl/>
        </w:rPr>
        <w:t>דברי הר"ן דאף דהאיסור הוא מדין טע"כ ואין איסור בנטל"פ מ"מ כיון שנאסר דינו כנבילה</w:t>
      </w:r>
    </w:p>
    <w:p w:rsidR="00A82F1E" w:rsidRDefault="00A82F1E" w:rsidP="00A82F1E">
      <w:pPr>
        <w:pStyle w:val="aff2"/>
        <w:numPr>
          <w:ilvl w:val="0"/>
          <w:numId w:val="3"/>
        </w:numPr>
        <w:rPr>
          <w:rFonts w:eastAsiaTheme="minorEastAsia" w:cstheme="minorBidi"/>
          <w:sz w:val="22"/>
          <w:szCs w:val="22"/>
          <w:rtl/>
        </w:rPr>
      </w:pPr>
      <w:r>
        <w:rPr>
          <w:rtl/>
        </w:rPr>
        <w:t>ביאור הר"ן דדמי לדין חנ"נ שנאסר ע"י טעם ואין לו היתר כשנפגם הטעם אחר שנאסר בתחילה</w:t>
      </w:r>
    </w:p>
    <w:p w:rsidR="00A82F1E" w:rsidRDefault="00A82F1E" w:rsidP="00A82F1E">
      <w:pPr>
        <w:pStyle w:val="aff2"/>
        <w:numPr>
          <w:ilvl w:val="0"/>
          <w:numId w:val="3"/>
        </w:numPr>
        <w:rPr>
          <w:rFonts w:eastAsiaTheme="minorEastAsia" w:cstheme="minorBidi"/>
          <w:sz w:val="22"/>
          <w:szCs w:val="22"/>
          <w:rtl/>
        </w:rPr>
      </w:pPr>
      <w:r>
        <w:rPr>
          <w:rtl/>
        </w:rPr>
        <w:t>ביאור הר"ן בעולא דבפגום מעיקרא לכו"ע דמי לנבילה שאינה ראויה לגר דאינו נהנה מהטעם</w:t>
      </w:r>
    </w:p>
    <w:p w:rsidR="00A82F1E" w:rsidRDefault="00A82F1E" w:rsidP="00A82F1E">
      <w:pPr>
        <w:pStyle w:val="aff4"/>
        <w:rPr>
          <w:rFonts w:eastAsiaTheme="minorEastAsia" w:cstheme="minorBidi"/>
          <w:i/>
          <w:iCs/>
          <w:noProof/>
          <w:sz w:val="22"/>
          <w:szCs w:val="22"/>
          <w:rtl/>
        </w:rPr>
      </w:pPr>
      <w:r>
        <w:rPr>
          <w:noProof/>
          <w:rtl/>
        </w:rPr>
        <w:t>ביאור הראב"ד בדעת עולא דפגום מעיקרא הוא כנבילה סרוחה</w:t>
      </w:r>
    </w:p>
    <w:p w:rsidR="00A82F1E" w:rsidRDefault="00A82F1E" w:rsidP="00A82F1E">
      <w:pPr>
        <w:pStyle w:val="aff2"/>
        <w:numPr>
          <w:ilvl w:val="0"/>
          <w:numId w:val="3"/>
        </w:numPr>
        <w:rPr>
          <w:rFonts w:eastAsiaTheme="minorEastAsia" w:cstheme="minorBidi"/>
          <w:sz w:val="22"/>
          <w:szCs w:val="22"/>
          <w:rtl/>
        </w:rPr>
      </w:pPr>
      <w:r>
        <w:rPr>
          <w:rtl/>
        </w:rPr>
        <w:t>דברי הראב"ד דלעולא פגום מעיקרא מותר לכו"ע כיון דחשיב כנבילה שסרוחה מעיקרא</w:t>
      </w:r>
    </w:p>
    <w:p w:rsidR="00A82F1E" w:rsidRDefault="00A82F1E" w:rsidP="00A82F1E">
      <w:pPr>
        <w:pStyle w:val="2"/>
        <w:rPr>
          <w:rFonts w:eastAsiaTheme="minorEastAsia" w:cstheme="minorBidi"/>
          <w:i/>
          <w:iCs/>
          <w:noProof/>
          <w:sz w:val="22"/>
          <w:szCs w:val="22"/>
          <w:rtl/>
        </w:rPr>
      </w:pPr>
      <w:r w:rsidRPr="00600087">
        <w:rPr>
          <w:noProof/>
          <w:rtl/>
        </w:rPr>
        <w:t>ביאור התוס' בספק הגמ' לריו"ח</w:t>
      </w:r>
    </w:p>
    <w:p w:rsidR="00A82F1E" w:rsidRDefault="00A82F1E" w:rsidP="00A82F1E">
      <w:pPr>
        <w:pStyle w:val="aff4"/>
        <w:rPr>
          <w:rFonts w:eastAsiaTheme="minorEastAsia" w:cstheme="minorBidi"/>
          <w:i/>
          <w:iCs/>
          <w:noProof/>
          <w:sz w:val="22"/>
          <w:szCs w:val="22"/>
          <w:rtl/>
        </w:rPr>
      </w:pPr>
      <w:r>
        <w:rPr>
          <w:noProof/>
          <w:rtl/>
        </w:rPr>
        <w:t>דברי התוס' בחילוק בין נבילה שסרוחה לבסוף לנפגם לבסוף</w:t>
      </w:r>
    </w:p>
    <w:p w:rsidR="00A82F1E" w:rsidRDefault="00A82F1E" w:rsidP="00A82F1E">
      <w:pPr>
        <w:pStyle w:val="aff2"/>
        <w:numPr>
          <w:ilvl w:val="0"/>
          <w:numId w:val="3"/>
        </w:numPr>
        <w:rPr>
          <w:rFonts w:eastAsiaTheme="minorEastAsia" w:cstheme="minorBidi"/>
          <w:sz w:val="22"/>
          <w:szCs w:val="22"/>
          <w:rtl/>
        </w:rPr>
      </w:pPr>
      <w:r>
        <w:rPr>
          <w:rtl/>
        </w:rPr>
        <w:t>קושית התוס' דבפלוגתת ר"מ ור"ש בילפותא מנבילה מבואר דנחלקו בהשביח ולבסוף פגם</w:t>
      </w:r>
    </w:p>
    <w:p w:rsidR="00A82F1E" w:rsidRDefault="00A82F1E" w:rsidP="00A82F1E">
      <w:pPr>
        <w:pStyle w:val="aff2"/>
        <w:numPr>
          <w:ilvl w:val="0"/>
          <w:numId w:val="3"/>
        </w:numPr>
        <w:rPr>
          <w:rFonts w:eastAsiaTheme="minorEastAsia" w:cstheme="minorBidi"/>
          <w:sz w:val="22"/>
          <w:szCs w:val="22"/>
          <w:rtl/>
        </w:rPr>
      </w:pPr>
      <w:r>
        <w:rPr>
          <w:rtl/>
        </w:rPr>
        <w:t>ביאור התוס' דהשביח ולבסוף פגם הטעם אסר בתחילה ואילו בנבילה הפגם הוא כשהיא בעין</w:t>
      </w:r>
    </w:p>
    <w:p w:rsidR="00A82F1E" w:rsidRDefault="00A82F1E" w:rsidP="00A82F1E">
      <w:pPr>
        <w:pStyle w:val="aff2"/>
        <w:numPr>
          <w:ilvl w:val="0"/>
          <w:numId w:val="3"/>
        </w:numPr>
        <w:rPr>
          <w:rFonts w:eastAsiaTheme="minorEastAsia" w:cstheme="minorBidi"/>
          <w:sz w:val="22"/>
          <w:szCs w:val="22"/>
          <w:rtl/>
        </w:rPr>
      </w:pPr>
      <w:r>
        <w:rPr>
          <w:rtl/>
        </w:rPr>
        <w:t>ביאור המהרש"א בתוס' דבתערובת הפגם הוא רק כשהאיסור אינו בעין והנבילה נפגמה בעין</w:t>
      </w:r>
    </w:p>
    <w:p w:rsidR="00A82F1E" w:rsidRDefault="00A82F1E" w:rsidP="00A82F1E">
      <w:pPr>
        <w:pStyle w:val="aff4"/>
        <w:rPr>
          <w:rFonts w:eastAsiaTheme="minorEastAsia" w:cstheme="minorBidi"/>
          <w:i/>
          <w:iCs/>
          <w:noProof/>
          <w:sz w:val="22"/>
          <w:szCs w:val="22"/>
          <w:rtl/>
        </w:rPr>
      </w:pPr>
      <w:r>
        <w:rPr>
          <w:noProof/>
          <w:rtl/>
        </w:rPr>
        <w:t>ביאור החזו"א בתוס' דנח' אי אחר שנאסר מותר בפגום במקצת</w:t>
      </w:r>
    </w:p>
    <w:p w:rsidR="00A82F1E" w:rsidRDefault="00A82F1E" w:rsidP="00A82F1E">
      <w:pPr>
        <w:pStyle w:val="aff2"/>
        <w:numPr>
          <w:ilvl w:val="0"/>
          <w:numId w:val="3"/>
        </w:numPr>
        <w:rPr>
          <w:rFonts w:eastAsiaTheme="minorEastAsia" w:cstheme="minorBidi"/>
          <w:sz w:val="22"/>
          <w:szCs w:val="22"/>
          <w:rtl/>
        </w:rPr>
      </w:pPr>
      <w:r>
        <w:rPr>
          <w:rtl/>
        </w:rPr>
        <w:t>ביאור החזו"א בתוס' דבהשביח ולבסוף פגם האיסור ראוי לגר ואף שאין בו טע"כ אסור מדין חנ"נ</w:t>
      </w:r>
    </w:p>
    <w:p w:rsidR="00A82F1E" w:rsidRDefault="00A82F1E" w:rsidP="00A82F1E">
      <w:pPr>
        <w:pStyle w:val="aff2"/>
        <w:numPr>
          <w:ilvl w:val="0"/>
          <w:numId w:val="3"/>
        </w:numPr>
        <w:rPr>
          <w:rFonts w:eastAsiaTheme="minorEastAsia" w:cstheme="minorBidi"/>
          <w:sz w:val="22"/>
          <w:szCs w:val="22"/>
          <w:rtl/>
        </w:rPr>
      </w:pPr>
      <w:r>
        <w:rPr>
          <w:rtl/>
        </w:rPr>
        <w:t>ביאור החזו"א דבנבילה שאינו ראויה לגר ומותרת אף בעין ההיתר הוא אף כשחל איסור</w:t>
      </w:r>
    </w:p>
    <w:p w:rsidR="00A82F1E" w:rsidRDefault="00A82F1E" w:rsidP="00A82F1E">
      <w:pPr>
        <w:pStyle w:val="aff2"/>
        <w:numPr>
          <w:ilvl w:val="0"/>
          <w:numId w:val="3"/>
        </w:numPr>
        <w:rPr>
          <w:rFonts w:eastAsiaTheme="minorEastAsia" w:cstheme="minorBidi"/>
          <w:sz w:val="22"/>
          <w:szCs w:val="22"/>
          <w:rtl/>
        </w:rPr>
      </w:pPr>
      <w:r>
        <w:rPr>
          <w:rtl/>
        </w:rPr>
        <w:t>דברי החזו"א דלכו"ע אי נבילה שאינה ראויה לגר מותרת ילפינן דנטל"פ מותר</w:t>
      </w:r>
    </w:p>
    <w:p w:rsidR="00A82F1E" w:rsidRDefault="00A82F1E" w:rsidP="00A82F1E">
      <w:pPr>
        <w:pStyle w:val="aff4"/>
        <w:rPr>
          <w:rFonts w:eastAsiaTheme="minorEastAsia" w:cstheme="minorBidi"/>
          <w:i/>
          <w:iCs/>
          <w:noProof/>
          <w:sz w:val="22"/>
          <w:szCs w:val="22"/>
          <w:rtl/>
        </w:rPr>
      </w:pPr>
      <w:r>
        <w:rPr>
          <w:noProof/>
          <w:rtl/>
        </w:rPr>
        <w:t>ביאור הראב"ד בדעת ריו"ח דפגום מעיקרא לא דמי לנבילה</w:t>
      </w:r>
    </w:p>
    <w:p w:rsidR="00A82F1E" w:rsidRDefault="00A82F1E" w:rsidP="00A82F1E">
      <w:pPr>
        <w:pStyle w:val="aff2"/>
        <w:numPr>
          <w:ilvl w:val="0"/>
          <w:numId w:val="3"/>
        </w:numPr>
        <w:rPr>
          <w:rFonts w:eastAsiaTheme="minorEastAsia" w:cstheme="minorBidi"/>
          <w:sz w:val="22"/>
          <w:szCs w:val="22"/>
          <w:rtl/>
        </w:rPr>
      </w:pPr>
      <w:r>
        <w:rPr>
          <w:rtl/>
        </w:rPr>
        <w:t>דברי הראב"ד דלריו"ח פגום מעיקרא חל עליו איסור דהוא אוכל פגום ואיסורו לא נפגם כלל</w:t>
      </w:r>
    </w:p>
    <w:p w:rsidR="00A82F1E" w:rsidRDefault="00A82F1E" w:rsidP="00A82F1E">
      <w:pPr>
        <w:pStyle w:val="aff4"/>
        <w:rPr>
          <w:rFonts w:eastAsiaTheme="minorEastAsia" w:cstheme="minorBidi"/>
          <w:i/>
          <w:iCs/>
          <w:noProof/>
          <w:sz w:val="22"/>
          <w:szCs w:val="22"/>
          <w:rtl/>
        </w:rPr>
      </w:pPr>
      <w:r>
        <w:rPr>
          <w:noProof/>
          <w:rtl/>
        </w:rPr>
        <w:t>ביאור החת"ס בעולא דלר"מ נעשה חנ"נ ולר"ש חוזר ומותר</w:t>
      </w:r>
    </w:p>
    <w:p w:rsidR="00A82F1E" w:rsidRDefault="00A82F1E" w:rsidP="00A82F1E">
      <w:pPr>
        <w:pStyle w:val="aff2"/>
        <w:numPr>
          <w:ilvl w:val="0"/>
          <w:numId w:val="3"/>
        </w:numPr>
        <w:rPr>
          <w:rFonts w:eastAsiaTheme="minorEastAsia" w:cstheme="minorBidi"/>
          <w:sz w:val="22"/>
          <w:szCs w:val="22"/>
          <w:rtl/>
        </w:rPr>
      </w:pPr>
      <w:r>
        <w:rPr>
          <w:rtl/>
        </w:rPr>
        <w:t>ביאור החת"ס דלעולא א"א לומר דר"מ פליג על הילפותא מנבילה דא"כ מתני' דלא כר"מ</w:t>
      </w:r>
    </w:p>
    <w:p w:rsidR="00A82F1E" w:rsidRDefault="00A82F1E" w:rsidP="00A82F1E">
      <w:pPr>
        <w:pStyle w:val="aff2"/>
        <w:numPr>
          <w:ilvl w:val="0"/>
          <w:numId w:val="3"/>
        </w:numPr>
        <w:rPr>
          <w:rFonts w:eastAsiaTheme="minorEastAsia" w:cstheme="minorBidi"/>
          <w:sz w:val="22"/>
          <w:szCs w:val="22"/>
          <w:rtl/>
        </w:rPr>
      </w:pPr>
      <w:r>
        <w:rPr>
          <w:rtl/>
        </w:rPr>
        <w:t>ביאור החת"ס בעולא דלר"מ השביח ולבסוף פגם אסור כדין חנ"נ ולר"ש חוזר ונעשה היתר</w:t>
      </w:r>
    </w:p>
    <w:p w:rsidR="00A82F1E" w:rsidRPr="0053585F" w:rsidRDefault="00A82F1E" w:rsidP="00A82F1E">
      <w:pPr>
        <w:pStyle w:val="aff4"/>
        <w:rPr>
          <w:rtl/>
        </w:rPr>
      </w:pPr>
      <w:r w:rsidRPr="00600087">
        <w:rPr>
          <w:rFonts w:hint="cs"/>
          <w:rtl/>
        </w:rPr>
        <w:t>ביאור התוס' בדעת ריו"ח להלכה</w:t>
      </w:r>
    </w:p>
    <w:p w:rsidR="00A82F1E" w:rsidRDefault="00A82F1E" w:rsidP="00A82F1E">
      <w:pPr>
        <w:pStyle w:val="aff2"/>
        <w:numPr>
          <w:ilvl w:val="0"/>
          <w:numId w:val="3"/>
        </w:numPr>
        <w:rPr>
          <w:rFonts w:eastAsiaTheme="minorEastAsia" w:cstheme="minorBidi"/>
          <w:sz w:val="22"/>
          <w:szCs w:val="22"/>
          <w:rtl/>
        </w:rPr>
      </w:pPr>
      <w:r>
        <w:rPr>
          <w:rtl/>
        </w:rPr>
        <w:t>קושית התוס' דאי לריו"ח נח' אף בהשביח ולבסוף פגם א"כ דבריו בחומץ דלא כר"מ ולא כר"ש</w:t>
      </w:r>
    </w:p>
    <w:p w:rsidR="00A82F1E" w:rsidRDefault="00A82F1E" w:rsidP="00A82F1E">
      <w:pPr>
        <w:pStyle w:val="aff2"/>
        <w:numPr>
          <w:ilvl w:val="0"/>
          <w:numId w:val="3"/>
        </w:numPr>
        <w:rPr>
          <w:rFonts w:eastAsiaTheme="minorEastAsia" w:cstheme="minorBidi"/>
          <w:sz w:val="22"/>
          <w:szCs w:val="22"/>
          <w:rtl/>
        </w:rPr>
      </w:pPr>
      <w:r>
        <w:rPr>
          <w:rtl/>
        </w:rPr>
        <w:t>תירוץ התוס' דריו"ח התיר בפגום מעיקרא כר"ש ואסר בהשביח ולבסוף פגם כר"מ</w:t>
      </w:r>
    </w:p>
    <w:p w:rsidR="00A82F1E" w:rsidRDefault="00A82F1E" w:rsidP="00A82F1E">
      <w:pPr>
        <w:pStyle w:val="aff2"/>
        <w:numPr>
          <w:ilvl w:val="0"/>
          <w:numId w:val="3"/>
        </w:numPr>
        <w:rPr>
          <w:rFonts w:eastAsiaTheme="minorEastAsia" w:cstheme="minorBidi"/>
          <w:sz w:val="22"/>
          <w:szCs w:val="22"/>
          <w:rtl/>
        </w:rPr>
      </w:pPr>
      <w:r>
        <w:rPr>
          <w:rtl/>
        </w:rPr>
        <w:t>קושית החזו"א דר"מ ור"ש לא חילקו בין השביח ולבסוף פגם לפגם מעיקרא והיאך חילק ריו"ח</w:t>
      </w:r>
    </w:p>
    <w:p w:rsidR="00A82F1E" w:rsidRDefault="00A82F1E" w:rsidP="00A82F1E">
      <w:pPr>
        <w:pStyle w:val="aff4"/>
        <w:rPr>
          <w:rFonts w:eastAsiaTheme="minorEastAsia" w:cstheme="minorBidi"/>
          <w:i/>
          <w:iCs/>
          <w:noProof/>
          <w:sz w:val="22"/>
          <w:szCs w:val="22"/>
          <w:rtl/>
        </w:rPr>
      </w:pPr>
      <w:r>
        <w:rPr>
          <w:noProof/>
          <w:rtl/>
        </w:rPr>
        <w:t>ביאור הנוב"י בתוס' בריו"ח דמסברא רק פגום מעיקר מותר</w:t>
      </w:r>
    </w:p>
    <w:p w:rsidR="00A82F1E" w:rsidRDefault="00A82F1E" w:rsidP="00A82F1E">
      <w:pPr>
        <w:pStyle w:val="aff2"/>
        <w:numPr>
          <w:ilvl w:val="0"/>
          <w:numId w:val="3"/>
        </w:numPr>
        <w:rPr>
          <w:rFonts w:eastAsiaTheme="minorEastAsia" w:cstheme="minorBidi"/>
          <w:sz w:val="22"/>
          <w:szCs w:val="22"/>
          <w:rtl/>
        </w:rPr>
      </w:pPr>
      <w:r>
        <w:rPr>
          <w:rtl/>
        </w:rPr>
        <w:t>דברי הנוב"י דההיתר בנבילה ובנטל"פ הוא אותו היתר בפגום מעיקרא ובהשביח ולבסוף פגם</w:t>
      </w:r>
    </w:p>
    <w:p w:rsidR="00A82F1E" w:rsidRDefault="00A82F1E" w:rsidP="00A82F1E">
      <w:pPr>
        <w:pStyle w:val="aff2"/>
        <w:numPr>
          <w:ilvl w:val="0"/>
          <w:numId w:val="3"/>
        </w:numPr>
        <w:rPr>
          <w:rFonts w:eastAsiaTheme="minorEastAsia" w:cstheme="minorBidi"/>
          <w:sz w:val="22"/>
          <w:szCs w:val="22"/>
          <w:rtl/>
        </w:rPr>
      </w:pPr>
      <w:r>
        <w:rPr>
          <w:rtl/>
        </w:rPr>
        <w:t>ביאור הנוב"י בתוס' דלריו"ח נבילה שסרוחה מעיקרא ונטל"פ בפגום מעיקרא מותרים מסברא</w:t>
      </w:r>
    </w:p>
    <w:p w:rsidR="00A82F1E" w:rsidRDefault="00A82F1E" w:rsidP="00A82F1E">
      <w:pPr>
        <w:pStyle w:val="aff2"/>
        <w:numPr>
          <w:ilvl w:val="0"/>
          <w:numId w:val="3"/>
        </w:numPr>
        <w:rPr>
          <w:rFonts w:eastAsiaTheme="minorEastAsia" w:cstheme="minorBidi"/>
          <w:sz w:val="22"/>
          <w:szCs w:val="22"/>
          <w:rtl/>
        </w:rPr>
      </w:pPr>
      <w:r>
        <w:rPr>
          <w:rtl/>
        </w:rPr>
        <w:t>דברי הנוב"י דנבילה משובחת שהסריחה והשביח ולבסוף פגם אסור מסברא ואין ילפותא להתיר</w:t>
      </w:r>
    </w:p>
    <w:p w:rsidR="00A82F1E" w:rsidRDefault="00A82F1E" w:rsidP="00A82F1E">
      <w:pPr>
        <w:pStyle w:val="aff2"/>
        <w:numPr>
          <w:ilvl w:val="0"/>
          <w:numId w:val="3"/>
        </w:numPr>
        <w:rPr>
          <w:rFonts w:eastAsiaTheme="minorEastAsia" w:cstheme="minorBidi"/>
          <w:sz w:val="22"/>
          <w:szCs w:val="22"/>
          <w:rtl/>
        </w:rPr>
      </w:pPr>
      <w:r>
        <w:rPr>
          <w:rtl/>
        </w:rPr>
        <w:t>דברי הנוב"י דלהצד בספק דר"ש מתיר בהשביח ולבסוף פגם יליף לה מנבילה וריו"ח פליג</w:t>
      </w:r>
    </w:p>
    <w:p w:rsidR="00A82F1E" w:rsidRDefault="00A82F1E" w:rsidP="00A82F1E">
      <w:pPr>
        <w:pStyle w:val="aff4"/>
        <w:rPr>
          <w:rFonts w:eastAsiaTheme="minorEastAsia" w:cstheme="minorBidi"/>
          <w:i/>
          <w:iCs/>
          <w:noProof/>
          <w:sz w:val="22"/>
          <w:szCs w:val="22"/>
          <w:rtl/>
        </w:rPr>
      </w:pPr>
      <w:r>
        <w:rPr>
          <w:noProof/>
          <w:rtl/>
        </w:rPr>
        <w:t>ביאור החת"ס דהספק לר"ש אי מותר מדין אפשר לסוחטו</w:t>
      </w:r>
    </w:p>
    <w:p w:rsidR="00A82F1E" w:rsidRDefault="00A82F1E" w:rsidP="00A82F1E">
      <w:pPr>
        <w:pStyle w:val="aff2"/>
        <w:numPr>
          <w:ilvl w:val="0"/>
          <w:numId w:val="3"/>
        </w:numPr>
        <w:rPr>
          <w:rFonts w:eastAsiaTheme="minorEastAsia" w:cstheme="minorBidi"/>
          <w:sz w:val="22"/>
          <w:szCs w:val="22"/>
          <w:rtl/>
        </w:rPr>
      </w:pPr>
      <w:r>
        <w:rPr>
          <w:rtl/>
        </w:rPr>
        <w:t>ביאור החת"ס דלר"ש ילפינן מנבילה והספק אי בהשביח ולבסוף פגם מותר כיון דאפשר לסוחטו</w:t>
      </w:r>
    </w:p>
    <w:p w:rsidR="00A82F1E" w:rsidRDefault="00A82F1E" w:rsidP="00A82F1E">
      <w:pPr>
        <w:pStyle w:val="aff4"/>
        <w:rPr>
          <w:rFonts w:eastAsiaTheme="minorEastAsia" w:cstheme="minorBidi"/>
          <w:i/>
          <w:iCs/>
          <w:noProof/>
          <w:sz w:val="22"/>
          <w:szCs w:val="22"/>
          <w:rtl/>
        </w:rPr>
      </w:pPr>
      <w:r>
        <w:rPr>
          <w:noProof/>
          <w:rtl/>
        </w:rPr>
        <w:t>דברי הריטב"א דריו"ח פסק כר"ש בפגום מעיקרא</w:t>
      </w:r>
    </w:p>
    <w:p w:rsidR="00A82F1E" w:rsidRDefault="00A82F1E" w:rsidP="00A82F1E">
      <w:pPr>
        <w:pStyle w:val="aff2"/>
        <w:numPr>
          <w:ilvl w:val="0"/>
          <w:numId w:val="3"/>
        </w:numPr>
        <w:rPr>
          <w:rFonts w:eastAsiaTheme="minorEastAsia" w:cstheme="minorBidi"/>
          <w:sz w:val="22"/>
          <w:szCs w:val="22"/>
          <w:rtl/>
        </w:rPr>
      </w:pPr>
      <w:r>
        <w:rPr>
          <w:rtl/>
        </w:rPr>
        <w:t>קושית הריטב"א דמריו"ח בחומץ שנפל לגריסין מבואר דבהשביח ולבסוף פגם אסור לכו"ע</w:t>
      </w:r>
    </w:p>
    <w:p w:rsidR="00A82F1E" w:rsidRDefault="00A82F1E" w:rsidP="00A82F1E">
      <w:pPr>
        <w:pStyle w:val="aff2"/>
        <w:numPr>
          <w:ilvl w:val="0"/>
          <w:numId w:val="3"/>
        </w:numPr>
        <w:rPr>
          <w:rFonts w:eastAsiaTheme="minorEastAsia" w:cstheme="minorBidi"/>
          <w:sz w:val="22"/>
          <w:szCs w:val="22"/>
          <w:rtl/>
        </w:rPr>
      </w:pPr>
      <w:r>
        <w:rPr>
          <w:rtl/>
        </w:rPr>
        <w:t>תירוץ הריטב"א דריו"ח העמיד את מתני' ופסק כר"ש בפגום מעיקרא אך ר"ש מתיר אף בהשביח</w:t>
      </w:r>
    </w:p>
    <w:p w:rsidR="00A82F1E" w:rsidRDefault="00A82F1E" w:rsidP="00A82F1E">
      <w:pPr>
        <w:pStyle w:val="2"/>
        <w:rPr>
          <w:rFonts w:eastAsiaTheme="minorEastAsia" w:cstheme="minorBidi"/>
          <w:i/>
          <w:iCs/>
          <w:noProof/>
          <w:sz w:val="22"/>
          <w:szCs w:val="22"/>
          <w:rtl/>
        </w:rPr>
      </w:pPr>
      <w:r>
        <w:rPr>
          <w:noProof/>
          <w:rtl/>
        </w:rPr>
        <w:t>ביאור הר"ן בספק הגמ' לריו"ח</w:t>
      </w:r>
    </w:p>
    <w:p w:rsidR="00A82F1E" w:rsidRDefault="00A82F1E" w:rsidP="00A82F1E">
      <w:pPr>
        <w:pStyle w:val="aff4"/>
        <w:rPr>
          <w:rFonts w:eastAsiaTheme="minorEastAsia" w:cstheme="minorBidi"/>
          <w:i/>
          <w:iCs/>
          <w:noProof/>
          <w:sz w:val="22"/>
          <w:szCs w:val="22"/>
          <w:rtl/>
        </w:rPr>
      </w:pPr>
      <w:r>
        <w:rPr>
          <w:noProof/>
          <w:rtl/>
        </w:rPr>
        <w:t>קושית הר"ן דאמאי לא ילפינן מנבילה להשביח ולסוף פגם</w:t>
      </w:r>
    </w:p>
    <w:p w:rsidR="00A82F1E" w:rsidRDefault="00A82F1E" w:rsidP="00A82F1E">
      <w:pPr>
        <w:pStyle w:val="aff2"/>
        <w:numPr>
          <w:ilvl w:val="0"/>
          <w:numId w:val="3"/>
        </w:numPr>
        <w:rPr>
          <w:rFonts w:eastAsiaTheme="minorEastAsia" w:cstheme="minorBidi"/>
          <w:sz w:val="22"/>
          <w:szCs w:val="22"/>
          <w:rtl/>
        </w:rPr>
      </w:pPr>
      <w:r>
        <w:rPr>
          <w:rtl/>
        </w:rPr>
        <w:t>קושית הר"ן דר"ש דמתיר בפגום מעיקרא יליף מנבילה ואמאי מודה לר"מ בהשביח ואח"כ פגם</w:t>
      </w:r>
    </w:p>
    <w:p w:rsidR="00A82F1E" w:rsidRDefault="00A82F1E" w:rsidP="00A82F1E">
      <w:pPr>
        <w:pStyle w:val="aff4"/>
        <w:rPr>
          <w:rFonts w:eastAsiaTheme="minorEastAsia" w:cstheme="minorBidi"/>
          <w:i/>
          <w:iCs/>
          <w:noProof/>
          <w:sz w:val="22"/>
          <w:szCs w:val="22"/>
          <w:rtl/>
        </w:rPr>
      </w:pPr>
      <w:r>
        <w:rPr>
          <w:noProof/>
          <w:rtl/>
        </w:rPr>
        <w:t>ביאור הר"ן בריו"ח דהיתר נטל"פ הוא רק כשלא חל איסור</w:t>
      </w:r>
    </w:p>
    <w:p w:rsidR="00A82F1E" w:rsidRDefault="00A82F1E" w:rsidP="00A82F1E">
      <w:pPr>
        <w:pStyle w:val="aff2"/>
        <w:numPr>
          <w:ilvl w:val="0"/>
          <w:numId w:val="3"/>
        </w:numPr>
        <w:rPr>
          <w:rFonts w:eastAsiaTheme="minorEastAsia" w:cstheme="minorBidi"/>
          <w:sz w:val="22"/>
          <w:szCs w:val="22"/>
          <w:rtl/>
        </w:rPr>
      </w:pPr>
      <w:r>
        <w:rPr>
          <w:rtl/>
        </w:rPr>
        <w:t>ביאור הר"ן בריו"ח דלר"מ ילפינן מגיעולי עכו"ם לאסור בפגום מעיקרא ולא ילפינן מנבילה</w:t>
      </w:r>
    </w:p>
    <w:p w:rsidR="00A82F1E" w:rsidRDefault="00A82F1E" w:rsidP="00A82F1E">
      <w:pPr>
        <w:pStyle w:val="aff2"/>
        <w:numPr>
          <w:ilvl w:val="0"/>
          <w:numId w:val="3"/>
        </w:numPr>
        <w:rPr>
          <w:rFonts w:eastAsiaTheme="minorEastAsia" w:cstheme="minorBidi"/>
          <w:sz w:val="22"/>
          <w:szCs w:val="22"/>
          <w:rtl/>
        </w:rPr>
      </w:pPr>
      <w:r>
        <w:rPr>
          <w:rtl/>
        </w:rPr>
        <w:t>ביאור הר"ן דלר"ש ילפינן מנבילה להתיר כיון דאינו נהנה מהאיסור ועל התערובת לא חל איסור</w:t>
      </w:r>
    </w:p>
    <w:p w:rsidR="00A82F1E" w:rsidRDefault="00A82F1E" w:rsidP="00A82F1E">
      <w:pPr>
        <w:pStyle w:val="aff2"/>
        <w:numPr>
          <w:ilvl w:val="0"/>
          <w:numId w:val="3"/>
        </w:numPr>
        <w:rPr>
          <w:rFonts w:eastAsiaTheme="minorEastAsia" w:cstheme="minorBidi"/>
          <w:sz w:val="22"/>
          <w:szCs w:val="22"/>
          <w:rtl/>
        </w:rPr>
      </w:pPr>
      <w:r>
        <w:rPr>
          <w:rtl/>
        </w:rPr>
        <w:t>ביאור הר"ן בריו"ח דבהשביח ולבסוף פגם כל התבשיל נעשה כנבילה וא"א להתירו ולכו"ע אסור</w:t>
      </w:r>
    </w:p>
    <w:p w:rsidR="00A82F1E" w:rsidRDefault="00A82F1E" w:rsidP="00A82F1E">
      <w:pPr>
        <w:pStyle w:val="aff4"/>
        <w:rPr>
          <w:rFonts w:eastAsiaTheme="minorEastAsia" w:cstheme="minorBidi"/>
          <w:i/>
          <w:iCs/>
          <w:noProof/>
          <w:sz w:val="22"/>
          <w:szCs w:val="22"/>
          <w:rtl/>
        </w:rPr>
      </w:pPr>
      <w:r>
        <w:rPr>
          <w:noProof/>
          <w:rtl/>
        </w:rPr>
        <w:t>ביאור החת"ס בריו"ח דלר"מ א"א לאסור בהשביח ולבסוף פגם</w:t>
      </w:r>
    </w:p>
    <w:p w:rsidR="00A82F1E" w:rsidRDefault="00A82F1E" w:rsidP="00A82F1E">
      <w:pPr>
        <w:pStyle w:val="aff2"/>
        <w:numPr>
          <w:ilvl w:val="0"/>
          <w:numId w:val="3"/>
        </w:numPr>
        <w:rPr>
          <w:rFonts w:eastAsiaTheme="minorEastAsia" w:cstheme="minorBidi"/>
          <w:sz w:val="22"/>
          <w:szCs w:val="22"/>
          <w:rtl/>
        </w:rPr>
      </w:pPr>
      <w:r>
        <w:rPr>
          <w:rtl/>
        </w:rPr>
        <w:t>דברי החת"ס בריו"ח דא"א לומר דבהשביח ולבסוף פגם הוא חנ"נ דהא ילפינן מנבילה דמותר</w:t>
      </w:r>
    </w:p>
    <w:p w:rsidR="002D7168" w:rsidRDefault="00A82F1E" w:rsidP="00A82F1E">
      <w:pPr>
        <w:pStyle w:val="aff2"/>
        <w:numPr>
          <w:ilvl w:val="0"/>
          <w:numId w:val="3"/>
        </w:numPr>
        <w:rPr>
          <w:rFonts w:eastAsiaTheme="minorEastAsia" w:cstheme="minorBidi"/>
          <w:sz w:val="22"/>
          <w:szCs w:val="22"/>
        </w:rPr>
      </w:pPr>
      <w:r>
        <w:rPr>
          <w:rtl/>
        </w:rPr>
        <w:t>דברי החת"ס דלריו"ח ר"מ לא יליף נטל"פ מנבילה דהיתר נבילה הוא בסרוחה מעיקרא</w:t>
      </w:r>
    </w:p>
    <w:p w:rsidR="00A82F1E" w:rsidRDefault="00A82F1E" w:rsidP="00A82F1E">
      <w:pPr>
        <w:pStyle w:val="2"/>
        <w:rPr>
          <w:rFonts w:eastAsiaTheme="minorEastAsia" w:cstheme="minorBidi"/>
          <w:i/>
          <w:iCs/>
          <w:noProof/>
          <w:sz w:val="22"/>
          <w:szCs w:val="22"/>
          <w:rtl/>
        </w:rPr>
      </w:pPr>
      <w:r>
        <w:rPr>
          <w:noProof/>
          <w:rtl/>
        </w:rPr>
        <w:t>ביאור הרמב"ם בפיהמ"ש בפגם והשביח</w:t>
      </w:r>
    </w:p>
    <w:p w:rsidR="00A82F1E" w:rsidRPr="000A7BF6" w:rsidRDefault="00A82F1E" w:rsidP="00A82F1E">
      <w:pPr>
        <w:pStyle w:val="aff4"/>
        <w:rPr>
          <w:rFonts w:eastAsiaTheme="minorEastAsia" w:cstheme="minorBidi"/>
          <w:sz w:val="22"/>
          <w:szCs w:val="22"/>
        </w:rPr>
      </w:pPr>
      <w:r>
        <w:rPr>
          <w:rFonts w:hint="cs"/>
          <w:rtl/>
        </w:rPr>
        <w:t>דברי הרמב"ם בפיהמ"ש דפגום מעיקרא הוא פגם ולבסוף השביח</w:t>
      </w:r>
      <w:r>
        <w:rPr>
          <w:rtl/>
        </w:rPr>
        <w:t xml:space="preserve"> </w:t>
      </w:r>
    </w:p>
    <w:p w:rsidR="00A82F1E" w:rsidRDefault="00A82F1E" w:rsidP="00A82F1E">
      <w:pPr>
        <w:pStyle w:val="aff2"/>
        <w:numPr>
          <w:ilvl w:val="0"/>
          <w:numId w:val="3"/>
        </w:numPr>
        <w:rPr>
          <w:rFonts w:eastAsiaTheme="minorEastAsia" w:cstheme="minorBidi"/>
          <w:sz w:val="22"/>
          <w:szCs w:val="22"/>
          <w:rtl/>
        </w:rPr>
      </w:pPr>
      <w:r>
        <w:rPr>
          <w:rtl/>
        </w:rPr>
        <w:t>דברי רש"י דפגם מעיקרא היינו שמשעת נפילת האיסור להיתר נעשה הפגם ואינו משביח</w:t>
      </w:r>
    </w:p>
    <w:p w:rsidR="00A82F1E" w:rsidRDefault="00A82F1E" w:rsidP="00A82F1E">
      <w:pPr>
        <w:pStyle w:val="aff2"/>
        <w:numPr>
          <w:ilvl w:val="0"/>
          <w:numId w:val="3"/>
        </w:numPr>
        <w:rPr>
          <w:rFonts w:eastAsiaTheme="minorEastAsia" w:cstheme="minorBidi"/>
          <w:sz w:val="22"/>
          <w:szCs w:val="22"/>
          <w:rtl/>
        </w:rPr>
      </w:pPr>
      <w:r>
        <w:rPr>
          <w:rtl/>
        </w:rPr>
        <w:t>דברי הרמב"ם בפיהמ"ש בביאור אופני הפגם בנותן טעם לפגם</w:t>
      </w:r>
    </w:p>
    <w:p w:rsidR="00A82F1E" w:rsidRDefault="00A82F1E" w:rsidP="00A82F1E">
      <w:pPr>
        <w:pStyle w:val="aff2"/>
        <w:numPr>
          <w:ilvl w:val="0"/>
          <w:numId w:val="3"/>
        </w:numPr>
        <w:rPr>
          <w:rFonts w:eastAsiaTheme="minorEastAsia" w:cstheme="minorBidi"/>
          <w:sz w:val="22"/>
          <w:szCs w:val="22"/>
          <w:rtl/>
        </w:rPr>
      </w:pPr>
      <w:r>
        <w:rPr>
          <w:rtl/>
        </w:rPr>
        <w:t>ביאור הרמב"ם בפיהמ"ש דפגום מעיקרא אינו פגם מתחילה ועד סוף אלא פגם ולבסוף השביח</w:t>
      </w:r>
    </w:p>
    <w:p w:rsidR="00A82F1E" w:rsidRDefault="00A82F1E" w:rsidP="00A82F1E">
      <w:pPr>
        <w:pStyle w:val="aff2"/>
        <w:numPr>
          <w:ilvl w:val="0"/>
          <w:numId w:val="3"/>
        </w:numPr>
        <w:rPr>
          <w:rFonts w:eastAsiaTheme="minorEastAsia" w:cstheme="minorBidi"/>
          <w:sz w:val="22"/>
          <w:szCs w:val="22"/>
          <w:rtl/>
        </w:rPr>
      </w:pPr>
      <w:r>
        <w:rPr>
          <w:rtl/>
        </w:rPr>
        <w:t>דברי הפיהמ"ש דבהשביח ולבסוף פגם ופגם ולבסוף השביח לא מפורש הדין ואסורים מספק</w:t>
      </w:r>
    </w:p>
    <w:p w:rsidR="00A82F1E" w:rsidRDefault="00A82F1E" w:rsidP="00A82F1E">
      <w:pPr>
        <w:pStyle w:val="aff4"/>
        <w:rPr>
          <w:rFonts w:eastAsiaTheme="minorEastAsia" w:cstheme="minorBidi"/>
          <w:i/>
          <w:iCs/>
          <w:noProof/>
          <w:sz w:val="22"/>
          <w:szCs w:val="22"/>
          <w:rtl/>
        </w:rPr>
      </w:pPr>
      <w:r>
        <w:rPr>
          <w:noProof/>
          <w:rtl/>
        </w:rPr>
        <w:t>דברי הלח"מ בביאור עולא וריו"ח לדעת הרמב"ם בפיהמ"ש</w:t>
      </w:r>
    </w:p>
    <w:p w:rsidR="00A82F1E" w:rsidRDefault="00A82F1E" w:rsidP="00A82F1E">
      <w:pPr>
        <w:pStyle w:val="aff2"/>
        <w:numPr>
          <w:ilvl w:val="0"/>
          <w:numId w:val="3"/>
        </w:numPr>
        <w:rPr>
          <w:rFonts w:eastAsiaTheme="minorEastAsia" w:cstheme="minorBidi"/>
          <w:sz w:val="22"/>
          <w:szCs w:val="22"/>
          <w:rtl/>
        </w:rPr>
      </w:pPr>
      <w:r>
        <w:rPr>
          <w:rtl/>
        </w:rPr>
        <w:t>דברי הלח"מ דהוקשה להרמב"ם הלשון פגם מעיקרא דהול"ל פגום מתחילה ועד סוף</w:t>
      </w:r>
    </w:p>
    <w:p w:rsidR="00A82F1E" w:rsidRDefault="00A82F1E" w:rsidP="00A82F1E">
      <w:pPr>
        <w:pStyle w:val="aff2"/>
        <w:numPr>
          <w:ilvl w:val="0"/>
          <w:numId w:val="3"/>
        </w:numPr>
        <w:rPr>
          <w:rFonts w:eastAsiaTheme="minorEastAsia" w:cstheme="minorBidi"/>
          <w:sz w:val="22"/>
          <w:szCs w:val="22"/>
          <w:rtl/>
        </w:rPr>
      </w:pPr>
      <w:r>
        <w:rPr>
          <w:rtl/>
        </w:rPr>
        <w:t>דברי הלח"מ דלהרמב"ם בפיהמ"ש ר"מ ור"ש נחלקו בסברא ולא בילפותא מנבילה</w:t>
      </w:r>
    </w:p>
    <w:p w:rsidR="00A82F1E" w:rsidRDefault="00A82F1E" w:rsidP="00A82F1E">
      <w:pPr>
        <w:pStyle w:val="aff2"/>
        <w:numPr>
          <w:ilvl w:val="0"/>
          <w:numId w:val="3"/>
        </w:numPr>
        <w:rPr>
          <w:rFonts w:eastAsiaTheme="minorEastAsia" w:cstheme="minorBidi"/>
          <w:sz w:val="22"/>
          <w:szCs w:val="22"/>
          <w:rtl/>
        </w:rPr>
      </w:pPr>
      <w:r>
        <w:rPr>
          <w:rtl/>
        </w:rPr>
        <w:t>ביאור הלח"מ דהקושיה מיין שנפל לעדשים היא בפגם ולבסוף השביח ולא מתחילה ועד סוף</w:t>
      </w:r>
    </w:p>
    <w:p w:rsidR="00A82F1E" w:rsidRDefault="00A82F1E" w:rsidP="00A82F1E">
      <w:pPr>
        <w:pStyle w:val="aff2"/>
        <w:numPr>
          <w:ilvl w:val="0"/>
          <w:numId w:val="3"/>
        </w:numPr>
        <w:rPr>
          <w:rFonts w:eastAsiaTheme="minorEastAsia" w:cstheme="minorBidi"/>
          <w:sz w:val="22"/>
          <w:szCs w:val="22"/>
          <w:rtl/>
        </w:rPr>
      </w:pPr>
      <w:r>
        <w:rPr>
          <w:rtl/>
        </w:rPr>
        <w:t>ביאור הלח"מ דלריו"ח בפגום מתחילה ועד סוף מותר לכו"ע ונחלקו רק בפגם ולבסוף השביח</w:t>
      </w:r>
    </w:p>
    <w:p w:rsidR="00A82F1E" w:rsidRDefault="00A82F1E" w:rsidP="00A82F1E">
      <w:pPr>
        <w:pStyle w:val="aff2"/>
        <w:numPr>
          <w:ilvl w:val="0"/>
          <w:numId w:val="3"/>
        </w:numPr>
        <w:rPr>
          <w:rFonts w:eastAsiaTheme="minorEastAsia" w:cstheme="minorBidi"/>
          <w:sz w:val="22"/>
          <w:szCs w:val="22"/>
          <w:rtl/>
        </w:rPr>
      </w:pPr>
      <w:r>
        <w:rPr>
          <w:rtl/>
        </w:rPr>
        <w:t>דברי הלח"מ דבירושלמי משמע דהשביח ולבסוף פגם היינו פגם מעיקרא</w:t>
      </w:r>
    </w:p>
    <w:p w:rsidR="00A82F1E" w:rsidRDefault="00A82F1E" w:rsidP="00A82F1E">
      <w:pPr>
        <w:pStyle w:val="aff4"/>
        <w:rPr>
          <w:rFonts w:eastAsiaTheme="minorEastAsia" w:cstheme="minorBidi"/>
          <w:i/>
          <w:iCs/>
          <w:noProof/>
          <w:sz w:val="22"/>
          <w:szCs w:val="22"/>
          <w:rtl/>
        </w:rPr>
      </w:pPr>
      <w:r>
        <w:rPr>
          <w:noProof/>
          <w:rtl/>
        </w:rPr>
        <w:t>דברי הגר"א בביאור עולא וריו"ח לדעת הרמב"ם בפיהמ"ש</w:t>
      </w:r>
    </w:p>
    <w:p w:rsidR="00A82F1E" w:rsidRDefault="00A82F1E" w:rsidP="00A82F1E">
      <w:pPr>
        <w:pStyle w:val="aff2"/>
        <w:numPr>
          <w:ilvl w:val="0"/>
          <w:numId w:val="3"/>
        </w:numPr>
        <w:rPr>
          <w:rFonts w:eastAsiaTheme="minorEastAsia" w:cstheme="minorBidi"/>
          <w:sz w:val="22"/>
          <w:szCs w:val="22"/>
          <w:rtl/>
        </w:rPr>
      </w:pPr>
      <w:r>
        <w:rPr>
          <w:rtl/>
        </w:rPr>
        <w:t>דברי הגר"א דמדברי ריו"ח בבלי ובירושלמי מבואר דאסור אף בפגם ולבסוף השביח</w:t>
      </w:r>
    </w:p>
    <w:p w:rsidR="00A82F1E" w:rsidRDefault="00A82F1E" w:rsidP="00A82F1E">
      <w:pPr>
        <w:pStyle w:val="aff2"/>
        <w:numPr>
          <w:ilvl w:val="0"/>
          <w:numId w:val="3"/>
        </w:numPr>
        <w:rPr>
          <w:rFonts w:eastAsiaTheme="minorEastAsia" w:cstheme="minorBidi"/>
          <w:sz w:val="22"/>
          <w:szCs w:val="22"/>
          <w:rtl/>
        </w:rPr>
      </w:pPr>
      <w:r>
        <w:rPr>
          <w:rtl/>
        </w:rPr>
        <w:t>קושית הגר"א דלדעת רש"י לריו"ח א"א להעמיד את מתני' כר"מ דאסר בפגום מעיקרא</w:t>
      </w:r>
    </w:p>
    <w:p w:rsidR="00A82F1E" w:rsidRDefault="00A82F1E" w:rsidP="00A82F1E">
      <w:pPr>
        <w:pStyle w:val="aff2"/>
        <w:numPr>
          <w:ilvl w:val="0"/>
          <w:numId w:val="3"/>
        </w:numPr>
        <w:rPr>
          <w:rFonts w:eastAsiaTheme="minorEastAsia" w:cstheme="minorBidi"/>
          <w:sz w:val="22"/>
          <w:szCs w:val="22"/>
          <w:rtl/>
        </w:rPr>
      </w:pPr>
      <w:r>
        <w:rPr>
          <w:rtl/>
        </w:rPr>
        <w:t xml:space="preserve">דברי </w:t>
      </w:r>
      <w:r>
        <w:rPr>
          <w:rFonts w:hint="cs"/>
          <w:rtl/>
        </w:rPr>
        <w:t xml:space="preserve">דברי הגר"א דלהרמב"ם בפיהמ"ש </w:t>
      </w:r>
      <w:r>
        <w:rPr>
          <w:rtl/>
        </w:rPr>
        <w:t>ר"ל בירושלמי כעולא ומתני' כר"מ אליבא דריו"ח</w:t>
      </w:r>
    </w:p>
    <w:p w:rsidR="00A82F1E" w:rsidRDefault="00A82F1E" w:rsidP="00A82F1E">
      <w:pPr>
        <w:pStyle w:val="aff2"/>
        <w:numPr>
          <w:ilvl w:val="0"/>
          <w:numId w:val="3"/>
        </w:numPr>
        <w:rPr>
          <w:rFonts w:eastAsiaTheme="minorEastAsia" w:cstheme="minorBidi"/>
          <w:sz w:val="22"/>
          <w:szCs w:val="22"/>
          <w:rtl/>
        </w:rPr>
      </w:pPr>
      <w:r>
        <w:rPr>
          <w:rtl/>
        </w:rPr>
        <w:t>דברי הגר"א דלהרמב"ם בפיהמ"ש מיושבת קושית התוס' מדברי ריו"ח בחומץ שנפל לגריסין</w:t>
      </w:r>
    </w:p>
    <w:p w:rsidR="00A82F1E" w:rsidRDefault="00A82F1E" w:rsidP="00A82F1E">
      <w:pPr>
        <w:pStyle w:val="aff2"/>
        <w:numPr>
          <w:ilvl w:val="0"/>
          <w:numId w:val="3"/>
        </w:numPr>
        <w:rPr>
          <w:rFonts w:eastAsiaTheme="minorEastAsia" w:cstheme="minorBidi"/>
          <w:sz w:val="22"/>
          <w:szCs w:val="22"/>
          <w:rtl/>
        </w:rPr>
      </w:pPr>
      <w:r>
        <w:rPr>
          <w:rtl/>
        </w:rPr>
        <w:t>ביאור הגר"א דלהרמב"ם בפיהמ"ש מבוארת קושית הגמ' מיין שנפל לעדשים</w:t>
      </w:r>
    </w:p>
    <w:p w:rsidR="00A82F1E" w:rsidRDefault="00A82F1E" w:rsidP="00A82F1E">
      <w:pPr>
        <w:pStyle w:val="aff2"/>
        <w:numPr>
          <w:ilvl w:val="0"/>
          <w:numId w:val="3"/>
        </w:numPr>
        <w:rPr>
          <w:rFonts w:eastAsiaTheme="minorEastAsia" w:cstheme="minorBidi"/>
          <w:sz w:val="22"/>
          <w:szCs w:val="22"/>
          <w:rtl/>
        </w:rPr>
      </w:pPr>
      <w:r>
        <w:rPr>
          <w:rtl/>
        </w:rPr>
        <w:t>דברי הגר"א דהרמב"ם פסק כר"מ וכסתמא דמתני' דפגם ולבסוף השביח אסור</w:t>
      </w:r>
    </w:p>
    <w:p w:rsidR="00A82F1E" w:rsidRDefault="00A82F1E" w:rsidP="00A82F1E">
      <w:pPr>
        <w:pStyle w:val="aff4"/>
        <w:rPr>
          <w:rFonts w:eastAsiaTheme="minorEastAsia" w:cstheme="minorBidi"/>
          <w:i/>
          <w:iCs/>
          <w:noProof/>
          <w:sz w:val="22"/>
          <w:szCs w:val="22"/>
          <w:rtl/>
        </w:rPr>
      </w:pPr>
      <w:r>
        <w:rPr>
          <w:noProof/>
          <w:rtl/>
        </w:rPr>
        <w:t>גי' הגר"א בפיהמ"ש דרק בפגם ולבסוף השביח אסור מספק</w:t>
      </w:r>
    </w:p>
    <w:p w:rsidR="00A82F1E" w:rsidRDefault="00A82F1E" w:rsidP="00A82F1E">
      <w:pPr>
        <w:pStyle w:val="aff2"/>
        <w:numPr>
          <w:ilvl w:val="0"/>
          <w:numId w:val="3"/>
        </w:numPr>
        <w:rPr>
          <w:rFonts w:eastAsiaTheme="minorEastAsia" w:cstheme="minorBidi"/>
          <w:sz w:val="22"/>
          <w:szCs w:val="22"/>
          <w:rtl/>
        </w:rPr>
      </w:pPr>
      <w:r>
        <w:rPr>
          <w:rtl/>
        </w:rPr>
        <w:t>קושית הגר"א דמפורש בגמ' דבהשביח ולבסוף פגם אסור והיאך כתב בפיהמ"ש דהוא ספק</w:t>
      </w:r>
    </w:p>
    <w:p w:rsidR="00A82F1E" w:rsidRDefault="00A82F1E" w:rsidP="00A82F1E">
      <w:pPr>
        <w:pStyle w:val="aff2"/>
        <w:numPr>
          <w:ilvl w:val="0"/>
          <w:numId w:val="3"/>
        </w:numPr>
        <w:rPr>
          <w:rFonts w:eastAsiaTheme="minorEastAsia" w:cstheme="minorBidi"/>
          <w:sz w:val="22"/>
          <w:szCs w:val="22"/>
          <w:rtl/>
        </w:rPr>
      </w:pPr>
      <w:r>
        <w:rPr>
          <w:rtl/>
        </w:rPr>
        <w:t>גירסת הגר"א בפיהמ"ש דרק בפגם ולבסוף השביח לא התברר בגמ' ואסור מספק</w:t>
      </w:r>
    </w:p>
    <w:p w:rsidR="00A82F1E" w:rsidRDefault="00A82F1E" w:rsidP="00A82F1E">
      <w:pPr>
        <w:pStyle w:val="aff2"/>
        <w:numPr>
          <w:ilvl w:val="0"/>
          <w:numId w:val="3"/>
        </w:numPr>
        <w:rPr>
          <w:rFonts w:eastAsiaTheme="minorEastAsia" w:cstheme="minorBidi"/>
          <w:sz w:val="22"/>
          <w:szCs w:val="22"/>
          <w:rtl/>
        </w:rPr>
      </w:pPr>
      <w:r>
        <w:rPr>
          <w:rtl/>
        </w:rPr>
        <w:t>דברי הגר"א דפשטות הגמ' והירושלמי דפגום מעיקרא הוא פגום מתחילה ועד סוף ולא כפיהמ"ש</w:t>
      </w:r>
    </w:p>
    <w:p w:rsidR="00A82F1E" w:rsidRDefault="00A82F1E" w:rsidP="00A82F1E">
      <w:pPr>
        <w:pStyle w:val="aff4"/>
        <w:rPr>
          <w:rFonts w:eastAsiaTheme="minorEastAsia" w:cstheme="minorBidi"/>
          <w:i/>
          <w:iCs/>
          <w:noProof/>
          <w:sz w:val="22"/>
          <w:szCs w:val="22"/>
          <w:rtl/>
        </w:rPr>
      </w:pPr>
      <w:r>
        <w:rPr>
          <w:noProof/>
          <w:rtl/>
        </w:rPr>
        <w:t>ביאור הפרי תאר בפיהמ"ש דיש ספק בביאור פגום מעיקרא</w:t>
      </w:r>
    </w:p>
    <w:p w:rsidR="00A82F1E" w:rsidRDefault="00A82F1E" w:rsidP="00A82F1E">
      <w:pPr>
        <w:pStyle w:val="aff2"/>
        <w:numPr>
          <w:ilvl w:val="0"/>
          <w:numId w:val="3"/>
        </w:numPr>
        <w:rPr>
          <w:rFonts w:eastAsiaTheme="minorEastAsia" w:cstheme="minorBidi"/>
          <w:sz w:val="22"/>
          <w:szCs w:val="22"/>
          <w:rtl/>
        </w:rPr>
      </w:pPr>
      <w:r>
        <w:rPr>
          <w:rtl/>
        </w:rPr>
        <w:t>דברי הפרי תאר דיש צד לומר דמסברא השביח ולבסוף פגם חמור דכבר חל עליו איסור</w:t>
      </w:r>
    </w:p>
    <w:p w:rsidR="00A82F1E" w:rsidRDefault="00A82F1E" w:rsidP="00A82F1E">
      <w:pPr>
        <w:pStyle w:val="aff2"/>
        <w:numPr>
          <w:ilvl w:val="0"/>
          <w:numId w:val="3"/>
        </w:numPr>
        <w:rPr>
          <w:rFonts w:eastAsiaTheme="minorEastAsia" w:cstheme="minorBidi"/>
          <w:sz w:val="22"/>
          <w:szCs w:val="22"/>
          <w:rtl/>
        </w:rPr>
      </w:pPr>
      <w:r>
        <w:rPr>
          <w:rtl/>
        </w:rPr>
        <w:t>דברי הפרי תאר דיש צד לומר דמסברא פגם ולבסוף השביח חמור דהתברר שלא חשיב פגם</w:t>
      </w:r>
    </w:p>
    <w:p w:rsidR="00A82F1E" w:rsidRDefault="00A82F1E" w:rsidP="00A82F1E">
      <w:pPr>
        <w:pStyle w:val="aff2"/>
        <w:numPr>
          <w:ilvl w:val="0"/>
          <w:numId w:val="3"/>
        </w:numPr>
        <w:rPr>
          <w:rFonts w:eastAsiaTheme="minorEastAsia" w:cstheme="minorBidi"/>
          <w:sz w:val="22"/>
          <w:szCs w:val="22"/>
          <w:rtl/>
        </w:rPr>
      </w:pPr>
      <w:r>
        <w:rPr>
          <w:rtl/>
        </w:rPr>
        <w:t>ביאור הפרי תאר דלצד דפגם ולבסוף השביח חמור כוונת עולא דפגם מתחילה ועד סוף אסור</w:t>
      </w:r>
    </w:p>
    <w:p w:rsidR="00A82F1E" w:rsidRDefault="00A82F1E" w:rsidP="00A82F1E">
      <w:pPr>
        <w:pStyle w:val="aff2"/>
        <w:numPr>
          <w:ilvl w:val="0"/>
          <w:numId w:val="3"/>
        </w:numPr>
        <w:rPr>
          <w:rFonts w:eastAsiaTheme="minorEastAsia" w:cstheme="minorBidi"/>
          <w:sz w:val="22"/>
          <w:szCs w:val="22"/>
          <w:rtl/>
        </w:rPr>
      </w:pPr>
      <w:r>
        <w:rPr>
          <w:rtl/>
        </w:rPr>
        <w:t>דברי הפרי תאר דאי פגם ולבסוף השביח חמור יותר לריו"ח המחלוקת בפגום מתחילה ועד סוף</w:t>
      </w:r>
    </w:p>
    <w:p w:rsidR="00A82F1E" w:rsidRDefault="00A82F1E" w:rsidP="00A82F1E">
      <w:pPr>
        <w:pStyle w:val="aff2"/>
        <w:numPr>
          <w:ilvl w:val="0"/>
          <w:numId w:val="3"/>
        </w:numPr>
        <w:rPr>
          <w:rFonts w:eastAsiaTheme="minorEastAsia" w:cstheme="minorBidi"/>
          <w:sz w:val="22"/>
          <w:szCs w:val="22"/>
          <w:rtl/>
        </w:rPr>
      </w:pPr>
      <w:r>
        <w:rPr>
          <w:rtl/>
        </w:rPr>
        <w:t>ביאור הפרי תאר דאי השביח ולבסוף פגם חמור יותר אסור לעולא אף בפגם ולבסוף השביח</w:t>
      </w:r>
    </w:p>
    <w:p w:rsidR="00A82F1E" w:rsidRDefault="00A82F1E" w:rsidP="00A82F1E">
      <w:pPr>
        <w:pStyle w:val="aff2"/>
        <w:numPr>
          <w:ilvl w:val="0"/>
          <w:numId w:val="3"/>
        </w:numPr>
        <w:rPr>
          <w:rFonts w:eastAsiaTheme="minorEastAsia" w:cstheme="minorBidi"/>
          <w:sz w:val="22"/>
          <w:szCs w:val="22"/>
          <w:rtl/>
        </w:rPr>
      </w:pPr>
      <w:r>
        <w:rPr>
          <w:rtl/>
        </w:rPr>
        <w:t>דברי הפרי תאר דזו כוונת הרמב"ם דלא נתבאר דינם בגמ' דיש סברא להחמיר בכ"א מהם</w:t>
      </w:r>
    </w:p>
    <w:p w:rsidR="00A82F1E" w:rsidRDefault="00A82F1E" w:rsidP="00A82F1E">
      <w:pPr>
        <w:pStyle w:val="2"/>
        <w:rPr>
          <w:rFonts w:eastAsiaTheme="minorEastAsia" w:cstheme="minorBidi"/>
          <w:i/>
          <w:iCs/>
          <w:noProof/>
          <w:sz w:val="22"/>
          <w:szCs w:val="22"/>
          <w:rtl/>
        </w:rPr>
      </w:pPr>
      <w:r>
        <w:rPr>
          <w:noProof/>
          <w:rtl/>
        </w:rPr>
        <w:t>ביאורי ראשי הישיבות</w:t>
      </w:r>
    </w:p>
    <w:p w:rsidR="00A82F1E" w:rsidRDefault="00A82F1E" w:rsidP="00A82F1E">
      <w:pPr>
        <w:pStyle w:val="2"/>
        <w:rPr>
          <w:rFonts w:eastAsiaTheme="minorEastAsia" w:cstheme="minorBidi"/>
          <w:i/>
          <w:iCs/>
          <w:noProof/>
          <w:sz w:val="22"/>
          <w:szCs w:val="22"/>
          <w:rtl/>
        </w:rPr>
      </w:pPr>
      <w:r>
        <w:rPr>
          <w:noProof/>
          <w:rtl/>
        </w:rPr>
        <w:t>בדין השביח ולבסוף פגם</w:t>
      </w:r>
    </w:p>
    <w:p w:rsidR="00A82F1E" w:rsidRDefault="00A82F1E" w:rsidP="00A82F1E">
      <w:pPr>
        <w:pStyle w:val="aff4"/>
        <w:rPr>
          <w:rFonts w:eastAsiaTheme="minorEastAsia" w:cstheme="minorBidi"/>
          <w:i/>
          <w:iCs/>
          <w:noProof/>
          <w:sz w:val="22"/>
          <w:szCs w:val="22"/>
          <w:rtl/>
        </w:rPr>
      </w:pPr>
      <w:r>
        <w:rPr>
          <w:noProof/>
          <w:rtl/>
        </w:rPr>
        <w:t>ביאורי הקה"י דהאיסור לא פקע או דנעשה חנ"נ</w:t>
      </w:r>
    </w:p>
    <w:p w:rsidR="00A82F1E" w:rsidRDefault="00A82F1E" w:rsidP="00A82F1E">
      <w:pPr>
        <w:pStyle w:val="aff2"/>
        <w:numPr>
          <w:ilvl w:val="0"/>
          <w:numId w:val="3"/>
        </w:numPr>
        <w:rPr>
          <w:rFonts w:eastAsiaTheme="minorEastAsia" w:cstheme="minorBidi"/>
          <w:sz w:val="22"/>
          <w:szCs w:val="22"/>
          <w:rtl/>
        </w:rPr>
      </w:pPr>
      <w:r>
        <w:rPr>
          <w:rtl/>
        </w:rPr>
        <w:t>דברי הקה"י בתוס' דבהשביח ולבסוף פגם כיון שחל איסור אינו פוקע כשנפגם</w:t>
      </w:r>
    </w:p>
    <w:p w:rsidR="00A82F1E" w:rsidRDefault="00A82F1E" w:rsidP="00A82F1E">
      <w:pPr>
        <w:pStyle w:val="aff2"/>
        <w:numPr>
          <w:ilvl w:val="0"/>
          <w:numId w:val="3"/>
        </w:numPr>
        <w:rPr>
          <w:rFonts w:eastAsiaTheme="minorEastAsia" w:cstheme="minorBidi"/>
          <w:sz w:val="22"/>
          <w:szCs w:val="22"/>
          <w:rtl/>
        </w:rPr>
      </w:pPr>
      <w:r>
        <w:rPr>
          <w:rtl/>
        </w:rPr>
        <w:t>ביאור הקה"י דבהשביח ולבסוף פגם יש לתערובת דין חנ"נ דנעשית גוף האיסור</w:t>
      </w:r>
    </w:p>
    <w:p w:rsidR="00A82F1E" w:rsidRDefault="00A82F1E" w:rsidP="00A82F1E">
      <w:pPr>
        <w:pStyle w:val="aff4"/>
        <w:rPr>
          <w:rFonts w:eastAsiaTheme="minorEastAsia" w:cstheme="minorBidi"/>
          <w:i/>
          <w:iCs/>
          <w:noProof/>
          <w:sz w:val="22"/>
          <w:szCs w:val="22"/>
          <w:rtl/>
        </w:rPr>
      </w:pPr>
      <w:r>
        <w:rPr>
          <w:noProof/>
          <w:rtl/>
        </w:rPr>
        <w:t>ביאור המקדש דוד דכשהשביח נהפך ההיתר לאיסור</w:t>
      </w:r>
    </w:p>
    <w:p w:rsidR="00A82F1E" w:rsidRDefault="00A82F1E" w:rsidP="00A82F1E">
      <w:pPr>
        <w:pStyle w:val="aff2"/>
        <w:numPr>
          <w:ilvl w:val="0"/>
          <w:numId w:val="3"/>
        </w:numPr>
        <w:rPr>
          <w:rFonts w:eastAsiaTheme="minorEastAsia" w:cstheme="minorBidi"/>
          <w:sz w:val="22"/>
          <w:szCs w:val="22"/>
          <w:rtl/>
        </w:rPr>
      </w:pPr>
      <w:r>
        <w:rPr>
          <w:rtl/>
        </w:rPr>
        <w:t>קושית שיעורי המקדש דוד דבהשביח ולבסוף פגם אינו נהנה מהאיסור הפגום והוא בטל ברוב</w:t>
      </w:r>
    </w:p>
    <w:p w:rsidR="00A82F1E" w:rsidRDefault="00A82F1E" w:rsidP="00A82F1E">
      <w:pPr>
        <w:pStyle w:val="aff2"/>
        <w:numPr>
          <w:ilvl w:val="0"/>
          <w:numId w:val="3"/>
        </w:numPr>
        <w:rPr>
          <w:rFonts w:eastAsiaTheme="minorEastAsia" w:cstheme="minorBidi"/>
          <w:sz w:val="22"/>
          <w:szCs w:val="22"/>
          <w:rtl/>
        </w:rPr>
      </w:pPr>
      <w:r>
        <w:rPr>
          <w:rtl/>
        </w:rPr>
        <w:t>ביאור המקדש דוד בר"ן [עפי"ד הש"ך] דבנטל"פ לא אמרינן נהפך ואין בו דין טע"כ כלל</w:t>
      </w:r>
    </w:p>
    <w:p w:rsidR="00A82F1E" w:rsidRDefault="00A82F1E" w:rsidP="00A82F1E">
      <w:pPr>
        <w:pStyle w:val="aff2"/>
        <w:numPr>
          <w:ilvl w:val="0"/>
          <w:numId w:val="3"/>
        </w:numPr>
        <w:rPr>
          <w:rFonts w:eastAsiaTheme="minorEastAsia" w:cstheme="minorBidi"/>
          <w:sz w:val="22"/>
          <w:szCs w:val="22"/>
          <w:rtl/>
        </w:rPr>
      </w:pPr>
      <w:r>
        <w:rPr>
          <w:rtl/>
        </w:rPr>
        <w:t>ביאור המקדש דוד דבהשביח ולבסוף פגם ההיתר נהפך לאיסור וא"א להחזירו להיתר כשנפגם</w:t>
      </w:r>
    </w:p>
    <w:p w:rsidR="00A82F1E" w:rsidRDefault="00A82F1E" w:rsidP="00A82F1E">
      <w:pPr>
        <w:pStyle w:val="2"/>
        <w:rPr>
          <w:rFonts w:eastAsiaTheme="minorEastAsia" w:cstheme="minorBidi"/>
          <w:i/>
          <w:iCs/>
          <w:noProof/>
          <w:sz w:val="22"/>
          <w:szCs w:val="22"/>
          <w:rtl/>
        </w:rPr>
      </w:pPr>
      <w:r>
        <w:rPr>
          <w:noProof/>
          <w:rtl/>
        </w:rPr>
        <w:t>בדין פגם ולבסוף השביח</w:t>
      </w:r>
    </w:p>
    <w:p w:rsidR="00A82F1E" w:rsidRDefault="00A82F1E" w:rsidP="00A82F1E">
      <w:pPr>
        <w:pStyle w:val="aff4"/>
        <w:rPr>
          <w:rFonts w:eastAsiaTheme="minorEastAsia" w:cstheme="minorBidi"/>
          <w:i/>
          <w:iCs/>
          <w:noProof/>
          <w:sz w:val="22"/>
          <w:szCs w:val="22"/>
          <w:rtl/>
        </w:rPr>
      </w:pPr>
      <w:r>
        <w:rPr>
          <w:noProof/>
          <w:rtl/>
        </w:rPr>
        <w:t>דברי הקה"י בביאור דעת הר"ן והרשב"א דבהשביח חוזר ואוסר</w:t>
      </w:r>
    </w:p>
    <w:p w:rsidR="00A82F1E" w:rsidRDefault="00A82F1E" w:rsidP="00A82F1E">
      <w:pPr>
        <w:pStyle w:val="aff2"/>
        <w:numPr>
          <w:ilvl w:val="0"/>
          <w:numId w:val="3"/>
        </w:numPr>
        <w:rPr>
          <w:rFonts w:eastAsiaTheme="minorEastAsia" w:cstheme="minorBidi"/>
          <w:sz w:val="22"/>
          <w:szCs w:val="22"/>
          <w:rtl/>
        </w:rPr>
      </w:pPr>
      <w:r>
        <w:rPr>
          <w:rtl/>
        </w:rPr>
        <w:t>דברי הקה"י דלדעת הר"ן דבנטל"פ לא פקע האיסור מהטעם הפגום חוזר ונאסר כשהשביח</w:t>
      </w:r>
    </w:p>
    <w:p w:rsidR="00A82F1E" w:rsidRDefault="00A82F1E" w:rsidP="00A82F1E">
      <w:pPr>
        <w:pStyle w:val="aff2"/>
        <w:numPr>
          <w:ilvl w:val="0"/>
          <w:numId w:val="3"/>
        </w:numPr>
        <w:rPr>
          <w:rFonts w:eastAsiaTheme="minorEastAsia" w:cstheme="minorBidi"/>
          <w:sz w:val="22"/>
          <w:szCs w:val="22"/>
          <w:rtl/>
        </w:rPr>
      </w:pPr>
      <w:r>
        <w:rPr>
          <w:rtl/>
        </w:rPr>
        <w:t>קושית הקה"י להרשב"א דאין איסור טע"כ בנטל"פ כשהיה פגום פקע האיסור והיאך חוזר ואוסר</w:t>
      </w:r>
    </w:p>
    <w:p w:rsidR="00A82F1E" w:rsidRDefault="00A82F1E" w:rsidP="00A82F1E">
      <w:pPr>
        <w:pStyle w:val="aff2"/>
        <w:numPr>
          <w:ilvl w:val="0"/>
          <w:numId w:val="3"/>
        </w:numPr>
        <w:rPr>
          <w:rFonts w:eastAsiaTheme="minorEastAsia" w:cstheme="minorBidi"/>
          <w:sz w:val="22"/>
          <w:szCs w:val="22"/>
          <w:rtl/>
        </w:rPr>
      </w:pPr>
      <w:r>
        <w:rPr>
          <w:rtl/>
        </w:rPr>
        <w:t>דברי הקה"י דלהרשב"א אף שהותר האיסור מ"מ הוא חוזר וניעור ולא דמי לנבילה דפקע לגמרי</w:t>
      </w:r>
    </w:p>
    <w:p w:rsidR="00A82F1E" w:rsidRDefault="00A82F1E" w:rsidP="00A82F1E">
      <w:pPr>
        <w:pStyle w:val="aff4"/>
        <w:rPr>
          <w:rFonts w:eastAsiaTheme="minorEastAsia" w:cstheme="minorBidi"/>
          <w:i/>
          <w:iCs/>
          <w:noProof/>
          <w:sz w:val="22"/>
          <w:szCs w:val="22"/>
          <w:rtl/>
        </w:rPr>
      </w:pPr>
      <w:r>
        <w:rPr>
          <w:noProof/>
          <w:rtl/>
        </w:rPr>
        <w:t>דברי הקה"י בדעת הרא"ה בדין פגם ולבסוף השביח</w:t>
      </w:r>
    </w:p>
    <w:p w:rsidR="00A82F1E" w:rsidRDefault="00A82F1E" w:rsidP="00A82F1E">
      <w:pPr>
        <w:pStyle w:val="aff2"/>
        <w:numPr>
          <w:ilvl w:val="0"/>
          <w:numId w:val="3"/>
        </w:numPr>
        <w:rPr>
          <w:rFonts w:eastAsiaTheme="minorEastAsia" w:cstheme="minorBidi"/>
          <w:sz w:val="22"/>
          <w:szCs w:val="22"/>
          <w:rtl/>
        </w:rPr>
      </w:pPr>
      <w:r>
        <w:rPr>
          <w:rtl/>
        </w:rPr>
        <w:t>דברי הקה"י דלרא"ה אף דטעם פגום אינו חוזר ונאסר מ"מ כשהטעם עצמו הושבח אסור</w:t>
      </w:r>
    </w:p>
    <w:p w:rsidR="00A82F1E" w:rsidRDefault="00A82F1E" w:rsidP="00A82F1E">
      <w:pPr>
        <w:pStyle w:val="aff2"/>
        <w:numPr>
          <w:ilvl w:val="0"/>
          <w:numId w:val="3"/>
        </w:numPr>
        <w:rPr>
          <w:rFonts w:eastAsiaTheme="minorEastAsia" w:cstheme="minorBidi"/>
          <w:sz w:val="22"/>
          <w:szCs w:val="22"/>
          <w:rtl/>
        </w:rPr>
        <w:sectPr w:rsidR="00A82F1E" w:rsidSect="00A82F1E">
          <w:type w:val="continuous"/>
          <w:pgSz w:w="11906" w:h="16838"/>
          <w:pgMar w:top="720" w:right="720" w:bottom="720" w:left="720" w:header="283" w:footer="283" w:gutter="0"/>
          <w:cols w:num="2" w:space="113"/>
          <w:bidi/>
          <w:rtlGutter/>
          <w:docGrid w:linePitch="299"/>
        </w:sectPr>
      </w:pPr>
      <w:r>
        <w:rPr>
          <w:rtl/>
        </w:rPr>
        <w:t>דברי הקה"י דלרא"ה בטעם הבלוע אין איסור בפגם ולבסוף השביח ורק ביין בגרוגרות אס</w:t>
      </w:r>
      <w:r>
        <w:rPr>
          <w:rFonts w:hint="cs"/>
          <w:rtl/>
        </w:rPr>
        <w:t>ור</w:t>
      </w:r>
    </w:p>
    <w:p w:rsidR="00A82F1E" w:rsidRDefault="00A82F1E" w:rsidP="00A82F1E">
      <w:pPr>
        <w:pStyle w:val="aff2"/>
        <w:rPr>
          <w:rFonts w:eastAsiaTheme="minorEastAsia" w:cstheme="minorBidi"/>
          <w:sz w:val="22"/>
          <w:szCs w:val="22"/>
          <w:rtl/>
        </w:rPr>
      </w:pPr>
    </w:p>
    <w:p w:rsidR="00A82F1E" w:rsidRDefault="00A82F1E" w:rsidP="00A82F1E">
      <w:pPr>
        <w:pStyle w:val="aff4"/>
        <w:rPr>
          <w:rtl/>
        </w:rPr>
        <w:sectPr w:rsidR="00A82F1E" w:rsidSect="00707FC2">
          <w:type w:val="continuous"/>
          <w:pgSz w:w="11906" w:h="16838"/>
          <w:pgMar w:top="720" w:right="720" w:bottom="720" w:left="720" w:header="283" w:footer="283" w:gutter="0"/>
          <w:cols w:num="2" w:space="113"/>
          <w:titlePg/>
          <w:bidi/>
          <w:rtlGutter/>
          <w:docGrid w:linePitch="299"/>
        </w:sectPr>
      </w:pPr>
      <w:r w:rsidRPr="009B1D48">
        <w:rPr>
          <w:rtl/>
        </w:rPr>
        <w:fldChar w:fldCharType="end"/>
      </w:r>
    </w:p>
    <w:p w:rsidR="00A82F1E" w:rsidRDefault="00A82F1E" w:rsidP="00E669F8">
      <w:pPr>
        <w:pStyle w:val="afd"/>
        <w:rPr>
          <w:rtl/>
        </w:rPr>
      </w:pPr>
      <w:bookmarkStart w:id="10275" w:name="_Toc19207839"/>
      <w:bookmarkStart w:id="10276" w:name="_Toc19479352"/>
      <w:bookmarkStart w:id="10277" w:name="_Toc19618177"/>
      <w:bookmarkStart w:id="10278" w:name="_Toc19624455"/>
      <w:bookmarkStart w:id="10279" w:name="_Toc19651749"/>
      <w:bookmarkStart w:id="10280" w:name="_Toc19694906"/>
      <w:bookmarkStart w:id="10281" w:name="_Toc19738417"/>
      <w:bookmarkStart w:id="10282" w:name="_Toc19792237"/>
      <w:r>
        <w:rPr>
          <w:rFonts w:hint="cs"/>
          <w:rtl/>
        </w:rPr>
        <w:lastRenderedPageBreak/>
        <w:t>מראי מקומות וביאורים</w:t>
      </w:r>
      <w:bookmarkEnd w:id="10275"/>
      <w:bookmarkEnd w:id="10276"/>
      <w:bookmarkEnd w:id="10277"/>
      <w:bookmarkEnd w:id="10278"/>
      <w:bookmarkEnd w:id="10279"/>
      <w:bookmarkEnd w:id="10280"/>
      <w:bookmarkEnd w:id="10281"/>
      <w:bookmarkEnd w:id="10282"/>
    </w:p>
    <w:p w:rsidR="00A82F1E" w:rsidRPr="006378A8" w:rsidRDefault="00A82F1E" w:rsidP="00A82F1E">
      <w:pPr>
        <w:pStyle w:val="2"/>
        <w:rPr>
          <w:rFonts w:asciiTheme="minorHAnsi" w:hAnsiTheme="minorHAnsi"/>
          <w:rtl/>
        </w:rPr>
        <w:sectPr w:rsidR="00A82F1E" w:rsidRPr="006378A8" w:rsidSect="00707FC2">
          <w:pgSz w:w="11906" w:h="16838"/>
          <w:pgMar w:top="720" w:right="720" w:bottom="720" w:left="720" w:header="283" w:footer="283" w:gutter="0"/>
          <w:cols w:space="720"/>
          <w:bidi/>
          <w:rtlGutter/>
          <w:docGrid w:linePitch="299"/>
        </w:sectPr>
      </w:pPr>
    </w:p>
    <w:p w:rsidR="00A82F1E" w:rsidRDefault="00A82F1E" w:rsidP="00E669F8">
      <w:pPr>
        <w:pStyle w:val="afd"/>
        <w:rPr>
          <w:rtl/>
        </w:rPr>
      </w:pPr>
      <w:bookmarkStart w:id="10283" w:name="_Toc19694907"/>
      <w:bookmarkStart w:id="10284" w:name="_Toc19738418"/>
      <w:bookmarkStart w:id="10285" w:name="_Toc19792238"/>
      <w:bookmarkStart w:id="10286" w:name="_Toc19207842"/>
      <w:bookmarkStart w:id="10287" w:name="_Toc19479355"/>
      <w:bookmarkStart w:id="10288" w:name="_Toc19618178"/>
      <w:bookmarkStart w:id="10289" w:name="_Toc19624456"/>
      <w:bookmarkStart w:id="10290" w:name="_Toc19651750"/>
      <w:bookmarkStart w:id="10291" w:name="_Toc16679282"/>
      <w:bookmarkStart w:id="10292" w:name="_Toc16850486"/>
      <w:bookmarkStart w:id="10293" w:name="_Toc17624861"/>
      <w:bookmarkStart w:id="10294" w:name="_Toc17889810"/>
      <w:bookmarkStart w:id="10295" w:name="_Toc17975432"/>
      <w:bookmarkStart w:id="10296" w:name="_Toc17984125"/>
      <w:bookmarkStart w:id="10297" w:name="_Toc18228250"/>
      <w:bookmarkStart w:id="10298" w:name="_Toc18250781"/>
      <w:bookmarkStart w:id="10299" w:name="_Toc18266238"/>
      <w:bookmarkStart w:id="10300" w:name="_Toc18269149"/>
      <w:bookmarkStart w:id="10301" w:name="_Toc18323858"/>
      <w:bookmarkStart w:id="10302" w:name="_Toc18513278"/>
      <w:bookmarkStart w:id="10303" w:name="_Toc18874380"/>
      <w:r>
        <w:rPr>
          <w:rFonts w:hint="cs"/>
          <w:rtl/>
        </w:rPr>
        <w:t>בביאור האיסור בהשביח ולבסוף פגם</w:t>
      </w:r>
      <w:bookmarkEnd w:id="10283"/>
      <w:bookmarkEnd w:id="10284"/>
      <w:bookmarkEnd w:id="10285"/>
    </w:p>
    <w:p w:rsidR="00A82F1E" w:rsidRPr="00777671" w:rsidRDefault="00A82F1E" w:rsidP="00A82F1E">
      <w:pPr>
        <w:pStyle w:val="1"/>
        <w:rPr>
          <w:rtl/>
        </w:rPr>
      </w:pPr>
      <w:bookmarkStart w:id="10304" w:name="_Toc19651798"/>
      <w:bookmarkStart w:id="10305" w:name="_Toc19694908"/>
      <w:bookmarkStart w:id="10306" w:name="_Toc19738419"/>
      <w:bookmarkStart w:id="10307" w:name="_Toc19792239"/>
      <w:bookmarkStart w:id="10308" w:name="_Toc19651813"/>
      <w:r w:rsidRPr="00777671">
        <w:rPr>
          <w:rFonts w:hint="cs"/>
          <w:rtl/>
        </w:rPr>
        <w:t>דברי הרא"ה</w:t>
      </w:r>
      <w:bookmarkEnd w:id="10304"/>
      <w:bookmarkEnd w:id="10305"/>
      <w:r>
        <w:rPr>
          <w:rFonts w:hint="cs"/>
          <w:rtl/>
        </w:rPr>
        <w:t xml:space="preserve"> דאחר שהשביח ונאסר נעשה חנ"נ</w:t>
      </w:r>
      <w:bookmarkEnd w:id="10306"/>
      <w:bookmarkEnd w:id="10307"/>
      <w:r>
        <w:rPr>
          <w:rFonts w:hint="cs"/>
          <w:rtl/>
        </w:rPr>
        <w:t xml:space="preserve"> בנפגם במקצת</w:t>
      </w:r>
    </w:p>
    <w:p w:rsidR="00A82F1E" w:rsidRPr="009B7DE3" w:rsidRDefault="00A82F1E" w:rsidP="00A82F1E">
      <w:pPr>
        <w:pStyle w:val="a2"/>
        <w:rPr>
          <w:rtl/>
        </w:rPr>
      </w:pPr>
      <w:r>
        <w:rPr>
          <w:rFonts w:hint="cs"/>
          <w:rtl/>
        </w:rPr>
        <w:t>דברי הרא"ה דנטל"פ מותר רק כשהאיסור עצמו אינו ראוי לגר או בטע"כ דרבנן בפגום במקצת</w:t>
      </w:r>
    </w:p>
    <w:p w:rsidR="00A82F1E" w:rsidRPr="009F44AF" w:rsidRDefault="00A82F1E" w:rsidP="009F44AF">
      <w:pPr>
        <w:pStyle w:val="a"/>
        <w:numPr>
          <w:ilvl w:val="0"/>
          <w:numId w:val="28"/>
        </w:numPr>
        <w:rPr>
          <w:sz w:val="10"/>
          <w:szCs w:val="14"/>
          <w:rtl/>
        </w:rPr>
      </w:pPr>
      <w:bookmarkStart w:id="10309" w:name="_Ref19703607"/>
      <w:bookmarkStart w:id="10310" w:name="_Ref19791590"/>
      <w:r>
        <w:rPr>
          <w:rFonts w:hint="cs"/>
          <w:rtl/>
        </w:rPr>
        <w:t>ב</w:t>
      </w:r>
      <w:r w:rsidRPr="00777671">
        <w:rPr>
          <w:rFonts w:hint="cs"/>
          <w:rtl/>
        </w:rPr>
        <w:t xml:space="preserve">הא דאסר רב יהודה אמר שמואל בחומץ שנפל לגריסין, בהשביח ולבסוף </w:t>
      </w:r>
      <w:r w:rsidRPr="00B845D1">
        <w:rPr>
          <w:rFonts w:hint="cs"/>
          <w:rtl/>
        </w:rPr>
        <w:t>פגם</w:t>
      </w:r>
      <w:r w:rsidRPr="00B845D1">
        <w:rPr>
          <w:rtl/>
        </w:rPr>
        <w:t>,</w:t>
      </w:r>
      <w:r>
        <w:rPr>
          <w:rFonts w:hint="cs"/>
          <w:rtl/>
        </w:rPr>
        <w:t xml:space="preserve"> והתיר בפגום מתחילתו,</w:t>
      </w:r>
      <w:r w:rsidRPr="00B845D1">
        <w:rPr>
          <w:rFonts w:hint="cs"/>
          <w:rtl/>
        </w:rPr>
        <w:t xml:space="preserve"> </w:t>
      </w:r>
      <w:r w:rsidRPr="00B845D1">
        <w:rPr>
          <w:rtl/>
        </w:rPr>
        <w:t xml:space="preserve">כתב </w:t>
      </w:r>
      <w:r w:rsidRPr="00B845D1">
        <w:rPr>
          <w:rStyle w:val="af8"/>
          <w:rtl/>
        </w:rPr>
        <w:t xml:space="preserve">הרא"ה בבד"ה </w:t>
      </w:r>
      <w:r w:rsidRPr="009F44AF">
        <w:rPr>
          <w:rStyle w:val="af6"/>
          <w:rFonts w:eastAsia="Guttman Hodes"/>
          <w:rtl/>
        </w:rPr>
        <w:t xml:space="preserve">(ב"ד ש"א יט: מדה"ס) </w:t>
      </w:r>
      <w:r w:rsidRPr="00D47CE7">
        <w:rPr>
          <w:rFonts w:hint="cs"/>
          <w:rtl/>
        </w:rPr>
        <w:t>דההיתר בנותן טעם פגם הוא רק בב' אופנים, האופן הא' כשהאיסור פגום בגופו דאינו ראוי לאכילת גר,</w:t>
      </w:r>
      <w:r w:rsidRPr="00CD7CDF">
        <w:rPr>
          <w:rFonts w:hint="cs"/>
          <w:rtl/>
        </w:rPr>
        <w:t xml:space="preserve"> </w:t>
      </w:r>
      <w:r w:rsidRPr="00D47CE7">
        <w:rPr>
          <w:rFonts w:hint="cs"/>
          <w:rtl/>
        </w:rPr>
        <w:t>אעפ"י דע"י התערובת הוא לא ניכר שאינו ראוי</w:t>
      </w:r>
      <w:r>
        <w:rPr>
          <w:rFonts w:hint="cs"/>
          <w:rtl/>
        </w:rPr>
        <w:t xml:space="preserve"> והוא נאכל, מ"מ האיסור עצמו פגום ואינו ראוי לגר,</w:t>
      </w:r>
      <w:r w:rsidRPr="00D47CE7">
        <w:rPr>
          <w:rFonts w:hint="cs"/>
          <w:rtl/>
        </w:rPr>
        <w:t xml:space="preserve"> </w:t>
      </w:r>
      <w:r w:rsidRPr="000A46A5">
        <w:rPr>
          <w:rStyle w:val="afa"/>
          <w:rFonts w:hint="cs"/>
          <w:rtl/>
        </w:rPr>
        <w:t xml:space="preserve">[ודלא </w:t>
      </w:r>
      <w:r w:rsidRPr="000A46A5">
        <w:rPr>
          <w:rStyle w:val="affa"/>
          <w:rFonts w:hint="cs"/>
          <w:rtl/>
        </w:rPr>
        <w:t xml:space="preserve">כרש"י </w:t>
      </w:r>
      <w:r>
        <w:rPr>
          <w:rStyle w:val="affa"/>
          <w:rFonts w:hint="cs"/>
          <w:rtl/>
        </w:rPr>
        <w:t xml:space="preserve">ותוס' והרמב"ן </w:t>
      </w:r>
      <w:r w:rsidRPr="000A46A5">
        <w:rPr>
          <w:rStyle w:val="affa"/>
          <w:rFonts w:hint="cs"/>
          <w:rtl/>
        </w:rPr>
        <w:t>והרשב"א והר"ן</w:t>
      </w:r>
      <w:r>
        <w:rPr>
          <w:rFonts w:hint="cs"/>
          <w:rtl/>
        </w:rPr>
        <w:t xml:space="preserve"> </w:t>
      </w:r>
      <w:r w:rsidRPr="009F44AF">
        <w:rPr>
          <w:rStyle w:val="af6"/>
          <w:rFonts w:eastAsia="Guttman Hodes" w:hint="cs"/>
          <w:rtl/>
        </w:rPr>
        <w:t>(עי' בהערה</w:t>
      </w:r>
      <w:r w:rsidRPr="00777671">
        <w:rPr>
          <w:rStyle w:val="af0"/>
          <w:rtl/>
        </w:rPr>
        <w:footnoteReference w:id="49"/>
      </w:r>
      <w:r w:rsidRPr="009F44AF">
        <w:rPr>
          <w:rStyle w:val="af6"/>
          <w:rFonts w:eastAsia="Guttman Hodes" w:hint="cs"/>
          <w:rtl/>
        </w:rPr>
        <w:t>)</w:t>
      </w:r>
      <w:r w:rsidRPr="000A46A5">
        <w:rPr>
          <w:rStyle w:val="afa"/>
          <w:rFonts w:hint="cs"/>
          <w:rtl/>
        </w:rPr>
        <w:t>],</w:t>
      </w:r>
      <w:r>
        <w:rPr>
          <w:rFonts w:hint="cs"/>
          <w:rtl/>
        </w:rPr>
        <w:t xml:space="preserve"> </w:t>
      </w:r>
      <w:r w:rsidRPr="00D47CE7">
        <w:rPr>
          <w:rFonts w:hint="cs"/>
          <w:rtl/>
        </w:rPr>
        <w:t xml:space="preserve">והאופן הב' </w:t>
      </w:r>
      <w:r w:rsidRPr="00B845D1">
        <w:rPr>
          <w:rtl/>
        </w:rPr>
        <w:t xml:space="preserve">כתב </w:t>
      </w:r>
      <w:r w:rsidRPr="00B845D1">
        <w:rPr>
          <w:rStyle w:val="af8"/>
          <w:rtl/>
        </w:rPr>
        <w:t xml:space="preserve">הרא"ה בבד"ה </w:t>
      </w:r>
      <w:r>
        <w:rPr>
          <w:rFonts w:hint="cs"/>
          <w:rtl/>
        </w:rPr>
        <w:t xml:space="preserve">דנותן טעם לפגם מותר </w:t>
      </w:r>
      <w:r w:rsidRPr="00D47CE7">
        <w:rPr>
          <w:rFonts w:hint="cs"/>
          <w:rtl/>
        </w:rPr>
        <w:t>הוא כשיש בתערובת רק טעמו ולא את ממשו, דאף בפגימה כל שהוא מותר, כיון דטעם כעיקר דרבנן</w:t>
      </w:r>
      <w:r w:rsidRPr="00D47CE7">
        <w:rPr>
          <w:rStyle w:val="af0"/>
          <w:rtl/>
        </w:rPr>
        <w:footnoteReference w:id="50"/>
      </w:r>
      <w:r w:rsidRPr="00B10BC3">
        <w:rPr>
          <w:rFonts w:hint="cs"/>
          <w:rtl/>
        </w:rPr>
        <w:t>.</w:t>
      </w:r>
    </w:p>
    <w:p w:rsidR="00A82F1E" w:rsidRPr="009B7DE3" w:rsidRDefault="00A82F1E" w:rsidP="00A82F1E">
      <w:pPr>
        <w:pStyle w:val="a2"/>
      </w:pPr>
      <w:r>
        <w:rPr>
          <w:rFonts w:hint="cs"/>
          <w:rtl/>
        </w:rPr>
        <w:t>דברי הרא"ה דבהשביח ולבסוף פגם באינו ראוי לגר מותר דלא גרע מהאיסור עצמו</w:t>
      </w:r>
    </w:p>
    <w:p w:rsidR="00A82F1E" w:rsidRDefault="00A82F1E" w:rsidP="009F44AF">
      <w:pPr>
        <w:pStyle w:val="a"/>
        <w:rPr>
          <w:rtl/>
        </w:rPr>
      </w:pPr>
      <w:r>
        <w:rPr>
          <w:rFonts w:hint="cs"/>
          <w:rtl/>
        </w:rPr>
        <w:t>ו</w:t>
      </w:r>
      <w:r w:rsidRPr="00B10BC3">
        <w:rPr>
          <w:rFonts w:hint="cs"/>
          <w:rtl/>
        </w:rPr>
        <w:t xml:space="preserve">כתב </w:t>
      </w:r>
      <w:r w:rsidRPr="00D47CE7">
        <w:rPr>
          <w:rStyle w:val="af8"/>
          <w:rFonts w:hint="cs"/>
          <w:rtl/>
        </w:rPr>
        <w:t>הרא"ה בבד"ה</w:t>
      </w:r>
      <w:r>
        <w:rPr>
          <w:rFonts w:hint="cs"/>
          <w:rtl/>
        </w:rPr>
        <w:t xml:space="preserve"> דבהשביח ולבסוף פגם </w:t>
      </w:r>
      <w:r w:rsidRPr="00B845D1">
        <w:rPr>
          <w:rtl/>
        </w:rPr>
        <w:t xml:space="preserve">א"א לבאר דאיירי </w:t>
      </w:r>
      <w:r>
        <w:rPr>
          <w:rFonts w:hint="cs"/>
          <w:rtl/>
        </w:rPr>
        <w:t>בנפגם לגמרי</w:t>
      </w:r>
      <w:r w:rsidRPr="00B845D1">
        <w:rPr>
          <w:rtl/>
        </w:rPr>
        <w:t xml:space="preserve"> שאינו ראוי לגר, דא</w:t>
      </w:r>
      <w:r>
        <w:rPr>
          <w:rFonts w:hint="cs"/>
          <w:rtl/>
        </w:rPr>
        <w:t>י אחר שהשביח נפגם לגמרי עד שנעשה אינו ראוי לגר, א"כ</w:t>
      </w:r>
      <w:r w:rsidRPr="00B845D1">
        <w:rPr>
          <w:rtl/>
        </w:rPr>
        <w:t xml:space="preserve"> הוא מותר</w:t>
      </w:r>
      <w:r w:rsidRPr="008E7EB4">
        <w:rPr>
          <w:rtl/>
        </w:rPr>
        <w:t xml:space="preserve"> </w:t>
      </w:r>
      <w:r w:rsidRPr="00B845D1">
        <w:rPr>
          <w:rtl/>
        </w:rPr>
        <w:t>אעפ"י ש</w:t>
      </w:r>
      <w:r>
        <w:rPr>
          <w:rtl/>
        </w:rPr>
        <w:t>השביח בתחילה</w:t>
      </w:r>
      <w:r w:rsidRPr="00B845D1">
        <w:rPr>
          <w:rtl/>
        </w:rPr>
        <w:t>, דלא גרע מהאיסור עצמו</w:t>
      </w:r>
      <w:r>
        <w:rPr>
          <w:rtl/>
        </w:rPr>
        <w:t xml:space="preserve"> דמותר כשנפגם ואינו ראוי לגר</w:t>
      </w:r>
      <w:r>
        <w:rPr>
          <w:rFonts w:hint="cs"/>
          <w:rtl/>
        </w:rPr>
        <w:t>.</w:t>
      </w:r>
    </w:p>
    <w:p w:rsidR="00A82F1E" w:rsidRPr="009B7DE3" w:rsidRDefault="00A82F1E" w:rsidP="00A82F1E">
      <w:pPr>
        <w:pStyle w:val="a2"/>
      </w:pPr>
      <w:r>
        <w:rPr>
          <w:rFonts w:hint="cs"/>
          <w:rtl/>
        </w:rPr>
        <w:t>דברי הרא"ה דחומץ לתוך גריסין הוא טע"כ דרבנן וכשהשביח בתחילה לא הקילו בפגום במקצת</w:t>
      </w:r>
    </w:p>
    <w:p w:rsidR="00A82F1E" w:rsidRPr="00CE6C86" w:rsidRDefault="00A82F1E" w:rsidP="009F44AF">
      <w:pPr>
        <w:pStyle w:val="a"/>
        <w:rPr>
          <w:rtl/>
        </w:rPr>
      </w:pPr>
      <w:bookmarkStart w:id="10311" w:name="_Ref20156256"/>
      <w:r>
        <w:rPr>
          <w:rtl/>
        </w:rPr>
        <w:t xml:space="preserve">אלא </w:t>
      </w:r>
      <w:r w:rsidRPr="00B10BC3">
        <w:rPr>
          <w:rFonts w:hint="cs"/>
          <w:rtl/>
        </w:rPr>
        <w:t xml:space="preserve">כתב </w:t>
      </w:r>
      <w:r w:rsidRPr="00D47CE7">
        <w:rPr>
          <w:rStyle w:val="af8"/>
          <w:rFonts w:hint="cs"/>
          <w:rtl/>
        </w:rPr>
        <w:t>הרא"ה בבד"ה</w:t>
      </w:r>
      <w:r>
        <w:rPr>
          <w:rFonts w:hint="cs"/>
          <w:rtl/>
        </w:rPr>
        <w:t xml:space="preserve"> דבהשביח ולבסוף פגם </w:t>
      </w:r>
      <w:r>
        <w:rPr>
          <w:rtl/>
        </w:rPr>
        <w:t>מוכח דאיירי בפגום במקצת אך הוא ראוי לגר</w:t>
      </w:r>
      <w:r>
        <w:rPr>
          <w:rFonts w:hint="cs"/>
          <w:rtl/>
        </w:rPr>
        <w:t>,</w:t>
      </w:r>
      <w:r w:rsidRPr="009028A0">
        <w:rPr>
          <w:rtl/>
        </w:rPr>
        <w:t xml:space="preserve"> </w:t>
      </w:r>
      <w:r>
        <w:rPr>
          <w:rtl/>
        </w:rPr>
        <w:t xml:space="preserve">וביאר </w:t>
      </w:r>
      <w:r w:rsidRPr="00315033">
        <w:rPr>
          <w:rStyle w:val="af8"/>
          <w:rtl/>
        </w:rPr>
        <w:t>הרא"ה בבד"ה</w:t>
      </w:r>
      <w:r w:rsidRPr="009028A0">
        <w:rPr>
          <w:rFonts w:hint="cs"/>
          <w:rtl/>
        </w:rPr>
        <w:t xml:space="preserve"> </w:t>
      </w:r>
      <w:r>
        <w:rPr>
          <w:rFonts w:hint="cs"/>
          <w:rtl/>
        </w:rPr>
        <w:t>דחומץ שנפל לגריסין ד</w:t>
      </w:r>
      <w:r>
        <w:rPr>
          <w:rtl/>
        </w:rPr>
        <w:t>הוא טעמו ולא ממשו</w:t>
      </w:r>
      <w:r>
        <w:rPr>
          <w:rStyle w:val="af0"/>
          <w:rtl/>
        </w:rPr>
        <w:footnoteReference w:id="51"/>
      </w:r>
      <w:r>
        <w:rPr>
          <w:rFonts w:hint="cs"/>
          <w:rtl/>
        </w:rPr>
        <w:t>, ו</w:t>
      </w:r>
      <w:r>
        <w:rPr>
          <w:rtl/>
        </w:rPr>
        <w:t xml:space="preserve">לכן בפגום מתחילתו מותר אף בפגום במקצת, </w:t>
      </w:r>
      <w:r>
        <w:rPr>
          <w:rFonts w:hint="cs"/>
          <w:rtl/>
        </w:rPr>
        <w:t>דכיון ד</w:t>
      </w:r>
      <w:r>
        <w:rPr>
          <w:rtl/>
        </w:rPr>
        <w:t>טעם כעיקר דרבנן, הקילו להתירו אף בפגימה כל שהוא</w:t>
      </w:r>
      <w:r>
        <w:rPr>
          <w:rFonts w:hint="cs"/>
          <w:rtl/>
        </w:rPr>
        <w:t>,</w:t>
      </w:r>
      <w:r w:rsidRPr="009028A0">
        <w:rPr>
          <w:rFonts w:hint="cs"/>
          <w:rtl/>
        </w:rPr>
        <w:t xml:space="preserve"> </w:t>
      </w:r>
      <w:r>
        <w:rPr>
          <w:rFonts w:hint="cs"/>
          <w:rtl/>
        </w:rPr>
        <w:t xml:space="preserve">אבל </w:t>
      </w:r>
      <w:r>
        <w:rPr>
          <w:rtl/>
        </w:rPr>
        <w:t xml:space="preserve">בהשביח בתחילה </w:t>
      </w:r>
      <w:r>
        <w:rPr>
          <w:rFonts w:hint="cs"/>
          <w:rtl/>
        </w:rPr>
        <w:t xml:space="preserve">ולבסוף פגם </w:t>
      </w:r>
      <w:r>
        <w:rPr>
          <w:rtl/>
        </w:rPr>
        <w:t xml:space="preserve">לא התירוהו </w:t>
      </w:r>
      <w:r>
        <w:rPr>
          <w:rFonts w:hint="cs"/>
          <w:rtl/>
        </w:rPr>
        <w:t xml:space="preserve">בפגום </w:t>
      </w:r>
      <w:r w:rsidRPr="00CE6C86">
        <w:rPr>
          <w:rFonts w:hint="cs"/>
          <w:rtl/>
        </w:rPr>
        <w:t>במקצת.</w:t>
      </w:r>
      <w:bookmarkEnd w:id="10311"/>
    </w:p>
    <w:p w:rsidR="00A82F1E" w:rsidRPr="00315033" w:rsidRDefault="00A82F1E" w:rsidP="00A82F1E">
      <w:pPr>
        <w:pStyle w:val="a2"/>
      </w:pPr>
      <w:bookmarkStart w:id="10312" w:name="_Toc19738420"/>
      <w:bookmarkStart w:id="10313" w:name="_Toc19792240"/>
      <w:r>
        <w:rPr>
          <w:rFonts w:hint="cs"/>
          <w:rtl/>
        </w:rPr>
        <w:t>דברי הרא"ה דכיון שהאיסור השביח את ההיתר הוא נעשה כחנ"נ וא"א להתירו כשפגם</w:t>
      </w:r>
      <w:bookmarkEnd w:id="10312"/>
      <w:bookmarkEnd w:id="10313"/>
      <w:r w:rsidRPr="00037631">
        <w:rPr>
          <w:rFonts w:hint="cs"/>
          <w:rtl/>
        </w:rPr>
        <w:t xml:space="preserve"> </w:t>
      </w:r>
      <w:r>
        <w:rPr>
          <w:rFonts w:hint="cs"/>
          <w:rtl/>
        </w:rPr>
        <w:t>במקצת</w:t>
      </w:r>
    </w:p>
    <w:p w:rsidR="00A82F1E" w:rsidRPr="008752A8" w:rsidRDefault="00A82F1E" w:rsidP="009F44AF">
      <w:pPr>
        <w:pStyle w:val="a"/>
        <w:rPr>
          <w:rStyle w:val="afa"/>
          <w:rtl/>
        </w:rPr>
      </w:pPr>
      <w:bookmarkStart w:id="10314" w:name="_Ref20156539"/>
      <w:r w:rsidRPr="00777671">
        <w:rPr>
          <w:rFonts w:hint="cs"/>
          <w:rtl/>
        </w:rPr>
        <w:t xml:space="preserve">וביאר </w:t>
      </w:r>
      <w:r w:rsidRPr="00DD6F15">
        <w:rPr>
          <w:rStyle w:val="af8"/>
          <w:rFonts w:hint="cs"/>
          <w:rtl/>
        </w:rPr>
        <w:t xml:space="preserve">הרא"ה בבד"ה </w:t>
      </w:r>
      <w:r>
        <w:rPr>
          <w:rFonts w:hint="cs"/>
          <w:rtl/>
        </w:rPr>
        <w:t>ד</w:t>
      </w:r>
      <w:r w:rsidRPr="00777671">
        <w:rPr>
          <w:rFonts w:hint="cs"/>
          <w:rtl/>
        </w:rPr>
        <w:t>כיון שבתחילה האיסור השביח את ההיתר, ונאסר ההיתר, אף שחזר האיסור ונפגם א"א להתירו</w:t>
      </w:r>
      <w:r>
        <w:rPr>
          <w:rFonts w:hint="cs"/>
          <w:rtl/>
        </w:rPr>
        <w:t>,</w:t>
      </w:r>
      <w:r w:rsidRPr="00777671">
        <w:rPr>
          <w:rFonts w:hint="cs"/>
          <w:rtl/>
        </w:rPr>
        <w:t xml:space="preserve"> דיש לו דין חתיכה נעשית נבילה </w:t>
      </w:r>
      <w:r w:rsidRPr="00F804CE">
        <w:rPr>
          <w:rStyle w:val="af6"/>
          <w:rFonts w:eastAsia="Guttman Hodes" w:hint="cs"/>
          <w:rtl/>
        </w:rPr>
        <w:t>(לקמן קח.)</w:t>
      </w:r>
      <w:bookmarkEnd w:id="10309"/>
      <w:r>
        <w:rPr>
          <w:rFonts w:hint="cs"/>
          <w:rtl/>
        </w:rPr>
        <w:t xml:space="preserve">, ועי' בדברי </w:t>
      </w:r>
      <w:r w:rsidRPr="00FF7289">
        <w:rPr>
          <w:rStyle w:val="af8"/>
          <w:rFonts w:hint="cs"/>
          <w:rtl/>
        </w:rPr>
        <w:t>הקה"י</w:t>
      </w:r>
      <w:r>
        <w:rPr>
          <w:rFonts w:hint="cs"/>
          <w:rtl/>
        </w:rPr>
        <w:t xml:space="preserve"> </w:t>
      </w:r>
      <w:r w:rsidRPr="00F804CE">
        <w:rPr>
          <w:rStyle w:val="af6"/>
          <w:rFonts w:eastAsia="Guttman Hodes" w:hint="cs"/>
          <w:rtl/>
        </w:rPr>
        <w:t>(עי' אות</w:t>
      </w:r>
      <w:r>
        <w:rPr>
          <w:rFonts w:hint="cs"/>
          <w:rtl/>
        </w:rPr>
        <w:t xml:space="preserve"> </w:t>
      </w:r>
      <w:r w:rsidRPr="00F804CE">
        <w:rPr>
          <w:rStyle w:val="af6"/>
          <w:rFonts w:eastAsia="Guttman Hodes"/>
          <w:rtl/>
        </w:rPr>
        <w:fldChar w:fldCharType="begin"/>
      </w:r>
      <w:r w:rsidRPr="00F804CE">
        <w:rPr>
          <w:rStyle w:val="af6"/>
          <w:rFonts w:eastAsia="Guttman Hodes"/>
          <w:rtl/>
        </w:rPr>
        <w:instrText xml:space="preserve"> </w:instrText>
      </w:r>
      <w:r w:rsidRPr="00F804CE">
        <w:rPr>
          <w:rStyle w:val="af6"/>
          <w:rFonts w:eastAsia="Guttman Hodes" w:hint="cs"/>
        </w:rPr>
        <w:instrText>REF</w:instrText>
      </w:r>
      <w:r w:rsidRPr="00F804CE">
        <w:rPr>
          <w:rStyle w:val="af6"/>
          <w:rFonts w:eastAsia="Guttman Hodes" w:hint="cs"/>
          <w:rtl/>
        </w:rPr>
        <w:instrText xml:space="preserve"> _</w:instrText>
      </w:r>
      <w:r w:rsidRPr="00F804CE">
        <w:rPr>
          <w:rStyle w:val="af6"/>
          <w:rFonts w:eastAsia="Guttman Hodes" w:hint="cs"/>
        </w:rPr>
        <w:instrText>Ref19789217 \r \h</w:instrText>
      </w:r>
      <w:r w:rsidRPr="00F804CE">
        <w:rPr>
          <w:rStyle w:val="af6"/>
          <w:rFonts w:eastAsia="Guttman Hodes"/>
          <w:rtl/>
        </w:rPr>
        <w:instrText xml:space="preserve"> </w:instrText>
      </w:r>
      <w:r w:rsidRPr="00F804CE">
        <w:rPr>
          <w:rStyle w:val="af6"/>
          <w:rFonts w:eastAsia="Guttman Hodes"/>
          <w:rtl/>
        </w:rPr>
      </w:r>
      <w:r w:rsidRPr="00F804CE">
        <w:rPr>
          <w:rStyle w:val="af6"/>
          <w:rFonts w:eastAsia="Guttman Hodes"/>
          <w:rtl/>
        </w:rPr>
        <w:fldChar w:fldCharType="separate"/>
      </w:r>
      <w:r w:rsidR="004D1C5B">
        <w:rPr>
          <w:rStyle w:val="af6"/>
          <w:rFonts w:eastAsia="Guttman Hodes"/>
          <w:cs/>
        </w:rPr>
        <w:t>‎</w:t>
      </w:r>
      <w:r w:rsidR="004D1C5B">
        <w:rPr>
          <w:rStyle w:val="af6"/>
          <w:rFonts w:eastAsia="Guttman Hodes"/>
          <w:rtl/>
        </w:rPr>
        <w:t>קטו)</w:t>
      </w:r>
      <w:r w:rsidRPr="00F804CE">
        <w:rPr>
          <w:rStyle w:val="af6"/>
          <w:rFonts w:eastAsia="Guttman Hodes"/>
          <w:rtl/>
        </w:rPr>
        <w:fldChar w:fldCharType="end"/>
      </w:r>
      <w:r w:rsidRPr="00FF7289">
        <w:rPr>
          <w:rFonts w:hint="cs"/>
          <w:rtl/>
        </w:rPr>
        <w:t>.</w:t>
      </w:r>
      <w:bookmarkEnd w:id="10310"/>
      <w:r w:rsidRPr="0074648A">
        <w:rPr>
          <w:rStyle w:val="af8"/>
          <w:rFonts w:hint="cs"/>
          <w:rtl/>
        </w:rPr>
        <w:t xml:space="preserve"> </w:t>
      </w:r>
      <w:r w:rsidRPr="0074648A">
        <w:rPr>
          <w:rStyle w:val="afa"/>
          <w:rFonts w:hint="cs"/>
          <w:rtl/>
        </w:rPr>
        <w:t>[</w:t>
      </w:r>
      <w:r w:rsidRPr="0074648A">
        <w:rPr>
          <w:rStyle w:val="affa"/>
          <w:rFonts w:hint="cs"/>
          <w:rtl/>
        </w:rPr>
        <w:t>והרא"ה בחי'</w:t>
      </w:r>
      <w:r w:rsidRPr="0074648A">
        <w:rPr>
          <w:rStyle w:val="afa"/>
          <w:rFonts w:hint="cs"/>
          <w:rtl/>
        </w:rPr>
        <w:t xml:space="preserve"> </w:t>
      </w:r>
      <w:r w:rsidRPr="0074648A">
        <w:rPr>
          <w:rStyle w:val="aff6"/>
          <w:rFonts w:hint="cs"/>
          <w:rtl/>
        </w:rPr>
        <w:t>(סז. ד"ה אמר,</w:t>
      </w:r>
      <w:r w:rsidRPr="0074648A">
        <w:rPr>
          <w:rStyle w:val="aff6"/>
          <w:rtl/>
        </w:rPr>
        <w:t xml:space="preserve"> הועתק בקובץ שיטות קמאי ע"ז ח"</w:t>
      </w:r>
      <w:r w:rsidRPr="0074648A">
        <w:rPr>
          <w:rStyle w:val="aff6"/>
          <w:rFonts w:hint="cs"/>
          <w:rtl/>
        </w:rPr>
        <w:t>ב</w:t>
      </w:r>
      <w:r w:rsidRPr="0074648A">
        <w:rPr>
          <w:rStyle w:val="aff6"/>
          <w:rtl/>
        </w:rPr>
        <w:t xml:space="preserve"> עמ' </w:t>
      </w:r>
      <w:r w:rsidRPr="0074648A">
        <w:rPr>
          <w:rStyle w:val="aff6"/>
          <w:rFonts w:hint="cs"/>
          <w:rtl/>
        </w:rPr>
        <w:t xml:space="preserve">אלף תקצ"ט) </w:t>
      </w:r>
      <w:r>
        <w:rPr>
          <w:rStyle w:val="afa"/>
          <w:rFonts w:hint="cs"/>
          <w:rtl/>
        </w:rPr>
        <w:t>כתב דכל שהשביח בתחילה נאסר, והיאך יהיה מותר</w:t>
      </w:r>
      <w:r w:rsidRPr="0074648A">
        <w:rPr>
          <w:rStyle w:val="afa"/>
          <w:rFonts w:hint="cs"/>
          <w:rtl/>
        </w:rPr>
        <w:t>].</w:t>
      </w:r>
      <w:bookmarkEnd w:id="10314"/>
    </w:p>
    <w:p w:rsidR="00A82F1E" w:rsidRPr="00777671" w:rsidRDefault="00A82F1E" w:rsidP="00A82F1E">
      <w:pPr>
        <w:pStyle w:val="a2"/>
        <w:rPr>
          <w:rtl/>
        </w:rPr>
      </w:pPr>
      <w:bookmarkStart w:id="10315" w:name="_Toc19738421"/>
      <w:bookmarkStart w:id="10316" w:name="_Toc19792241"/>
      <w:r>
        <w:rPr>
          <w:rFonts w:hint="cs"/>
          <w:rtl/>
        </w:rPr>
        <w:t>דברי הרא"ה דלשמואל רק בבשר בחלב אפשר לסוחטו מותר אבל בשאר איסורים אסור</w:t>
      </w:r>
      <w:bookmarkEnd w:id="10315"/>
      <w:bookmarkEnd w:id="10316"/>
    </w:p>
    <w:p w:rsidR="00707FC2" w:rsidRDefault="00A82F1E" w:rsidP="009F44AF">
      <w:pPr>
        <w:pStyle w:val="a"/>
        <w:rPr>
          <w:rtl/>
        </w:rPr>
      </w:pPr>
      <w:r w:rsidRPr="00777671">
        <w:rPr>
          <w:rtl/>
        </w:rPr>
        <w:t>ו</w:t>
      </w:r>
      <w:r w:rsidRPr="00777671">
        <w:rPr>
          <w:rFonts w:hint="cs"/>
          <w:rtl/>
        </w:rPr>
        <w:t>כתב</w:t>
      </w:r>
      <w:r w:rsidRPr="00777671">
        <w:rPr>
          <w:rtl/>
        </w:rPr>
        <w:t xml:space="preserve"> </w:t>
      </w:r>
      <w:r w:rsidRPr="00342C65">
        <w:rPr>
          <w:rStyle w:val="af8"/>
          <w:rtl/>
        </w:rPr>
        <w:t>הרא"ה בבד"ה</w:t>
      </w:r>
      <w:r w:rsidRPr="00777671">
        <w:rPr>
          <w:rtl/>
        </w:rPr>
        <w:t xml:space="preserve"> </w:t>
      </w:r>
      <w:r w:rsidRPr="00777671">
        <w:rPr>
          <w:rFonts w:hint="cs"/>
          <w:rtl/>
        </w:rPr>
        <w:t xml:space="preserve">דאף </w:t>
      </w:r>
      <w:r w:rsidRPr="00777671">
        <w:rPr>
          <w:rtl/>
        </w:rPr>
        <w:t>דשמואל ס"ל</w:t>
      </w:r>
      <w:r w:rsidRPr="00777671">
        <w:rPr>
          <w:rStyle w:val="af6"/>
          <w:rFonts w:eastAsia="Guttman Hodes" w:hint="cs"/>
          <w:rtl/>
        </w:rPr>
        <w:t xml:space="preserve"> (לקמן קח.) </w:t>
      </w:r>
      <w:r w:rsidRPr="00777671">
        <w:rPr>
          <w:rtl/>
        </w:rPr>
        <w:t>ד</w:t>
      </w:r>
      <w:r w:rsidRPr="00777671">
        <w:rPr>
          <w:rFonts w:hint="cs"/>
          <w:rtl/>
        </w:rPr>
        <w:t>אפשר לסוחטו מותר ו</w:t>
      </w:r>
      <w:r w:rsidRPr="00777671">
        <w:rPr>
          <w:rtl/>
        </w:rPr>
        <w:t>לא אמרינן חנ"נ</w:t>
      </w:r>
      <w:r w:rsidRPr="00777671">
        <w:rPr>
          <w:rFonts w:hint="cs"/>
          <w:rtl/>
        </w:rPr>
        <w:t>, זהו דוקא בבשר בחלב, אבל</w:t>
      </w:r>
      <w:r w:rsidRPr="00777671">
        <w:rPr>
          <w:rtl/>
        </w:rPr>
        <w:t xml:space="preserve"> בשאר איסורים </w:t>
      </w:r>
      <w:r w:rsidRPr="00777671">
        <w:rPr>
          <w:rFonts w:hint="cs"/>
          <w:rtl/>
        </w:rPr>
        <w:t xml:space="preserve">אמרינן חנ"נ, </w:t>
      </w:r>
      <w:r w:rsidRPr="00777671">
        <w:rPr>
          <w:rtl/>
        </w:rPr>
        <w:t xml:space="preserve">ולכן אמר </w:t>
      </w:r>
      <w:r w:rsidRPr="00777671">
        <w:rPr>
          <w:rFonts w:hint="cs"/>
          <w:rtl/>
        </w:rPr>
        <w:t xml:space="preserve">רב יהודה אמר </w:t>
      </w:r>
      <w:r w:rsidRPr="00777671">
        <w:rPr>
          <w:rtl/>
        </w:rPr>
        <w:t>שמואל ד</w:t>
      </w:r>
      <w:r w:rsidRPr="00777671">
        <w:rPr>
          <w:rFonts w:hint="cs"/>
          <w:rtl/>
        </w:rPr>
        <w:t xml:space="preserve">בחומץ שנפל לגריסין והשביח ולבסוף פגם, </w:t>
      </w:r>
      <w:r w:rsidRPr="00777671">
        <w:rPr>
          <w:rtl/>
        </w:rPr>
        <w:t>כיון שנאסר נאסר</w:t>
      </w:r>
      <w:r>
        <w:rPr>
          <w:rFonts w:hint="cs"/>
          <w:rtl/>
        </w:rPr>
        <w:t>,</w:t>
      </w:r>
      <w:r w:rsidRPr="004C49BD">
        <w:rPr>
          <w:rFonts w:hint="cs"/>
          <w:rtl/>
        </w:rPr>
        <w:t xml:space="preserve"> </w:t>
      </w:r>
      <w:r>
        <w:rPr>
          <w:rFonts w:hint="cs"/>
          <w:rtl/>
        </w:rPr>
        <w:t xml:space="preserve">ועי' בדברי </w:t>
      </w:r>
      <w:r w:rsidRPr="00F859CE">
        <w:rPr>
          <w:rStyle w:val="af8"/>
          <w:rFonts w:hint="cs"/>
          <w:rtl/>
        </w:rPr>
        <w:t>החת"ס</w:t>
      </w:r>
      <w:r>
        <w:rPr>
          <w:rFonts w:hint="cs"/>
          <w:rtl/>
        </w:rPr>
        <w:t xml:space="preserve"> </w:t>
      </w:r>
      <w:r w:rsidRPr="00F859CE">
        <w:rPr>
          <w:rStyle w:val="af6"/>
          <w:rFonts w:eastAsia="Guttman Hodes" w:hint="cs"/>
          <w:rtl/>
        </w:rPr>
        <w:t xml:space="preserve">(עי' אות </w:t>
      </w:r>
      <w:r w:rsidRPr="00F859CE">
        <w:rPr>
          <w:rStyle w:val="af6"/>
          <w:rFonts w:eastAsia="Guttman Hodes"/>
          <w:rtl/>
        </w:rPr>
        <w:fldChar w:fldCharType="begin"/>
      </w:r>
      <w:r w:rsidRPr="00F859CE">
        <w:rPr>
          <w:rStyle w:val="af6"/>
          <w:rFonts w:eastAsia="Guttman Hodes"/>
          <w:rtl/>
        </w:rPr>
        <w:instrText xml:space="preserve"> </w:instrText>
      </w:r>
      <w:r w:rsidRPr="00F859CE">
        <w:rPr>
          <w:rStyle w:val="af6"/>
          <w:rFonts w:eastAsia="Guttman Hodes" w:hint="cs"/>
        </w:rPr>
        <w:instrText>REF</w:instrText>
      </w:r>
      <w:r w:rsidRPr="00F859CE">
        <w:rPr>
          <w:rStyle w:val="af6"/>
          <w:rFonts w:eastAsia="Guttman Hodes" w:hint="cs"/>
          <w:rtl/>
        </w:rPr>
        <w:instrText xml:space="preserve"> _</w:instrText>
      </w:r>
      <w:r w:rsidRPr="00F859CE">
        <w:rPr>
          <w:rStyle w:val="af6"/>
          <w:rFonts w:eastAsia="Guttman Hodes" w:hint="cs"/>
        </w:rPr>
        <w:instrText>Ref20156662 \r \h</w:instrText>
      </w:r>
      <w:r w:rsidRPr="00F859CE">
        <w:rPr>
          <w:rStyle w:val="af6"/>
          <w:rFonts w:eastAsia="Guttman Hodes"/>
          <w:rtl/>
        </w:rPr>
        <w:instrText xml:space="preserve"> </w:instrText>
      </w:r>
      <w:r w:rsidRPr="00F859CE">
        <w:rPr>
          <w:rStyle w:val="af6"/>
          <w:rFonts w:eastAsia="Guttman Hodes"/>
          <w:rtl/>
        </w:rPr>
      </w:r>
      <w:r w:rsidRPr="00F859CE">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F859CE">
        <w:rPr>
          <w:rStyle w:val="af6"/>
          <w:rFonts w:eastAsia="Guttman Hodes"/>
          <w:rtl/>
        </w:rPr>
        <w:fldChar w:fldCharType="end"/>
      </w:r>
      <w:r w:rsidRPr="00777671">
        <w:rPr>
          <w:rFonts w:hint="cs"/>
          <w:rtl/>
        </w:rPr>
        <w:t>.</w:t>
      </w:r>
    </w:p>
    <w:p w:rsidR="00A82F1E" w:rsidRPr="00777671" w:rsidRDefault="00A82F1E" w:rsidP="00A82F1E">
      <w:pPr>
        <w:pStyle w:val="a2"/>
      </w:pPr>
      <w:bookmarkStart w:id="10317" w:name="_Toc19738422"/>
      <w:bookmarkStart w:id="10318" w:name="_Toc19792242"/>
      <w:r>
        <w:rPr>
          <w:rFonts w:hint="cs"/>
          <w:rtl/>
        </w:rPr>
        <w:t>הביאור הב' ברא"ה דהאיסור הוא רק בב' דברים משובחים שאינם פגומים מצד עצמם</w:t>
      </w:r>
      <w:bookmarkEnd w:id="10317"/>
      <w:bookmarkEnd w:id="10318"/>
    </w:p>
    <w:p w:rsidR="00A82F1E" w:rsidRDefault="00A82F1E" w:rsidP="009F44AF">
      <w:pPr>
        <w:pStyle w:val="a"/>
        <w:rPr>
          <w:rStyle w:val="afa"/>
          <w:rtl/>
        </w:rPr>
      </w:pPr>
      <w:r w:rsidRPr="00777671">
        <w:rPr>
          <w:rtl/>
        </w:rPr>
        <w:t xml:space="preserve">ועוד ביאר </w:t>
      </w:r>
      <w:r w:rsidRPr="00342C65">
        <w:rPr>
          <w:rStyle w:val="af8"/>
          <w:rtl/>
        </w:rPr>
        <w:t>הרא"ה בבד"ה</w:t>
      </w:r>
      <w:r w:rsidRPr="00777671">
        <w:rPr>
          <w:rtl/>
        </w:rPr>
        <w:t xml:space="preserve"> </w:t>
      </w:r>
      <w:r w:rsidRPr="00777671">
        <w:rPr>
          <w:rFonts w:hint="cs"/>
          <w:rtl/>
        </w:rPr>
        <w:t>ד</w:t>
      </w:r>
      <w:r w:rsidRPr="00777671">
        <w:rPr>
          <w:rtl/>
        </w:rPr>
        <w:t>האיסור בהשביח ולבסוף פגם הוא רק בב' דברים שכ"א הוא משובח בפנ"ע</w:t>
      </w:r>
      <w:r>
        <w:rPr>
          <w:rFonts w:hint="cs"/>
          <w:rtl/>
        </w:rPr>
        <w:t>,</w:t>
      </w:r>
      <w:r w:rsidRPr="00777671">
        <w:rPr>
          <w:rtl/>
        </w:rPr>
        <w:t xml:space="preserve"> ורק כיון שהתערבו יחד</w:t>
      </w:r>
      <w:r w:rsidRPr="00A96C06">
        <w:rPr>
          <w:rtl/>
        </w:rPr>
        <w:t xml:space="preserve"> </w:t>
      </w:r>
      <w:r w:rsidRPr="00777671">
        <w:rPr>
          <w:rtl/>
        </w:rPr>
        <w:t>נפגמו, אך בהם עצמם אין כל פגם</w:t>
      </w:r>
      <w:r w:rsidRPr="00777671">
        <w:rPr>
          <w:rFonts w:hint="cs"/>
          <w:rtl/>
        </w:rPr>
        <w:t xml:space="preserve">. </w:t>
      </w:r>
      <w:r w:rsidRPr="00777671">
        <w:rPr>
          <w:rStyle w:val="afa"/>
          <w:rFonts w:hint="cs"/>
          <w:rtl/>
        </w:rPr>
        <w:t>[והיינו דלכן השביח ולבסוף פגם אסור, אעפ"י דס"ל לשמואל דאפשר לסוחטו מותר, וא"א לאסור מדין חנ"נ</w:t>
      </w:r>
      <w:r>
        <w:rPr>
          <w:rStyle w:val="afa"/>
          <w:rFonts w:hint="cs"/>
          <w:rtl/>
        </w:rPr>
        <w:t>,</w:t>
      </w:r>
      <w:r w:rsidRPr="000A33ED">
        <w:rPr>
          <w:rStyle w:val="afa"/>
          <w:rFonts w:hint="cs"/>
          <w:rtl/>
        </w:rPr>
        <w:t xml:space="preserve"> </w:t>
      </w:r>
      <w:r>
        <w:rPr>
          <w:rStyle w:val="afa"/>
          <w:rFonts w:hint="cs"/>
          <w:rtl/>
        </w:rPr>
        <w:t xml:space="preserve">ואולי כוונת </w:t>
      </w:r>
      <w:r w:rsidRPr="00E2013C">
        <w:rPr>
          <w:rStyle w:val="affa"/>
          <w:rFonts w:hint="cs"/>
          <w:rtl/>
        </w:rPr>
        <w:t>הרא"ה</w:t>
      </w:r>
      <w:r>
        <w:rPr>
          <w:rStyle w:val="afa"/>
          <w:rFonts w:hint="cs"/>
          <w:rtl/>
        </w:rPr>
        <w:t xml:space="preserve"> דבב' דברים שכ"א הוא משובח, כל שהשביח בתחילה הוי שבח, כיון שב' הדברים משובחים ואין דבר פגום בתערובת, ואחר שנאסרה אף שנפגמה אח"כ נשאר האיסור, אבל כשהאיסור פגום, א"כ אף שהשביח בתחילה את התערובת, מ"מ אי"ז נחשב שבח גמור, ולכן כשפגם אח"כ מותר</w:t>
      </w:r>
      <w:r w:rsidRPr="00777671">
        <w:rPr>
          <w:rStyle w:val="afa"/>
          <w:rFonts w:hint="cs"/>
          <w:rtl/>
        </w:rPr>
        <w:t>].</w:t>
      </w:r>
    </w:p>
    <w:p w:rsidR="00A82F1E" w:rsidRPr="00F66071" w:rsidRDefault="00A82F1E" w:rsidP="00A82F1E">
      <w:pPr>
        <w:pStyle w:val="a2"/>
        <w:rPr>
          <w:rtl/>
        </w:rPr>
      </w:pPr>
      <w:bookmarkStart w:id="10319" w:name="_Toc19738423"/>
      <w:bookmarkStart w:id="10320" w:name="_Toc19792243"/>
      <w:r>
        <w:rPr>
          <w:rFonts w:hint="cs"/>
          <w:rtl/>
        </w:rPr>
        <w:t>דברי הפרמ"ג דהאיסור בהשביח ולבסוף פגם הוא מדרבנן ולא מדאו' וכמבואר ברא"ה</w:t>
      </w:r>
      <w:bookmarkEnd w:id="10319"/>
      <w:bookmarkEnd w:id="10320"/>
    </w:p>
    <w:p w:rsidR="00A82F1E" w:rsidRDefault="00A82F1E" w:rsidP="009F44AF">
      <w:pPr>
        <w:pStyle w:val="a"/>
        <w:rPr>
          <w:rtl/>
        </w:rPr>
      </w:pPr>
      <w:bookmarkStart w:id="10321" w:name="_Ref20156655"/>
      <w:r>
        <w:rPr>
          <w:rFonts w:hint="cs"/>
          <w:rtl/>
        </w:rPr>
        <w:t>ו</w:t>
      </w:r>
      <w:r w:rsidRPr="00777671">
        <w:rPr>
          <w:rFonts w:hint="cs"/>
          <w:rtl/>
        </w:rPr>
        <w:t xml:space="preserve">כתב </w:t>
      </w:r>
      <w:r w:rsidRPr="00777671">
        <w:rPr>
          <w:rStyle w:val="af8"/>
          <w:rFonts w:hint="cs"/>
          <w:rtl/>
        </w:rPr>
        <w:t xml:space="preserve">הפרמ"ג </w:t>
      </w:r>
      <w:r w:rsidRPr="00777671">
        <w:rPr>
          <w:rStyle w:val="af6"/>
          <w:rFonts w:eastAsia="Guttman Hodes" w:hint="cs"/>
          <w:rtl/>
        </w:rPr>
        <w:t>(סי' ק"ג שפ"ד סק"ז)</w:t>
      </w:r>
      <w:r w:rsidRPr="00777671">
        <w:rPr>
          <w:rFonts w:hint="cs"/>
          <w:rtl/>
        </w:rPr>
        <w:t xml:space="preserve"> דבהשביח ולבסוף פגם, אין איסור דאו', וכל האיסור הוא כיון שכבר חל שם איסור וא"א להתיר, וציין </w:t>
      </w:r>
      <w:r w:rsidRPr="00777671">
        <w:rPr>
          <w:rStyle w:val="af8"/>
          <w:rFonts w:hint="cs"/>
          <w:rtl/>
        </w:rPr>
        <w:t>הפרמ"ג</w:t>
      </w:r>
      <w:r w:rsidRPr="00777671">
        <w:rPr>
          <w:rFonts w:hint="cs"/>
          <w:rtl/>
        </w:rPr>
        <w:t xml:space="preserve"> לדברי </w:t>
      </w:r>
      <w:r w:rsidRPr="00777671">
        <w:rPr>
          <w:rStyle w:val="af8"/>
          <w:rFonts w:hint="cs"/>
          <w:rtl/>
        </w:rPr>
        <w:t>הרא"ה</w:t>
      </w:r>
      <w:r w:rsidRPr="00777671">
        <w:rPr>
          <w:rFonts w:hint="cs"/>
          <w:rtl/>
        </w:rPr>
        <w:t xml:space="preserve"> </w:t>
      </w:r>
      <w:r w:rsidRPr="006D2F46">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Ref20156256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ג)</w:t>
      </w:r>
      <w:r>
        <w:rPr>
          <w:rStyle w:val="af6"/>
          <w:rFonts w:eastAsia="Guttman Hodes"/>
          <w:rtl/>
        </w:rPr>
        <w:fldChar w:fldCharType="end"/>
      </w:r>
      <w:r w:rsidRPr="00777671">
        <w:rPr>
          <w:rFonts w:hint="cs"/>
          <w:rtl/>
        </w:rPr>
        <w:t>.</w:t>
      </w:r>
      <w:bookmarkEnd w:id="10321"/>
    </w:p>
    <w:p w:rsidR="00A82F1E" w:rsidRPr="00280951" w:rsidRDefault="00A82F1E" w:rsidP="00A82F1E">
      <w:pPr>
        <w:pStyle w:val="a2"/>
        <w:rPr>
          <w:rtl/>
        </w:rPr>
      </w:pPr>
      <w:bookmarkStart w:id="10322" w:name="_Toc19738424"/>
      <w:bookmarkStart w:id="10323" w:name="_Toc19792244"/>
      <w:r>
        <w:rPr>
          <w:rFonts w:hint="cs"/>
          <w:rtl/>
        </w:rPr>
        <w:t>דברי החת"ס דבהשביח ולבסוף פגם אסור מדין חנ"נ דאפשר לסוחטו אסור</w:t>
      </w:r>
      <w:bookmarkEnd w:id="10322"/>
      <w:bookmarkEnd w:id="10323"/>
    </w:p>
    <w:p w:rsidR="00A82F1E" w:rsidRPr="00F0758B" w:rsidRDefault="00A82F1E" w:rsidP="009F44AF">
      <w:pPr>
        <w:pStyle w:val="a"/>
        <w:rPr>
          <w:rtl/>
        </w:rPr>
      </w:pPr>
      <w:bookmarkStart w:id="10324" w:name="_Ref20156662"/>
      <w:r>
        <w:rPr>
          <w:rFonts w:hint="cs"/>
          <w:rtl/>
        </w:rPr>
        <w:t>ועי' בדברי</w:t>
      </w:r>
      <w:r w:rsidRPr="00F0758B">
        <w:rPr>
          <w:rFonts w:hint="cs"/>
          <w:rtl/>
        </w:rPr>
        <w:t xml:space="preserve"> </w:t>
      </w:r>
      <w:r w:rsidRPr="00F0758B">
        <w:rPr>
          <w:rStyle w:val="af8"/>
          <w:rFonts w:hint="cs"/>
          <w:rtl/>
        </w:rPr>
        <w:t>החת"ס</w:t>
      </w:r>
      <w:r w:rsidRPr="00F0758B">
        <w:rPr>
          <w:rFonts w:hint="cs"/>
          <w:rtl/>
        </w:rPr>
        <w:t xml:space="preserve"> </w:t>
      </w:r>
      <w:r w:rsidRPr="00F0758B">
        <w:rPr>
          <w:rStyle w:val="af6"/>
          <w:rFonts w:eastAsia="Guttman Hodes" w:hint="cs"/>
          <w:rtl/>
        </w:rPr>
        <w:t>(</w:t>
      </w:r>
      <w:r>
        <w:rPr>
          <w:rStyle w:val="af6"/>
          <w:rFonts w:eastAsia="Guttman Hodes" w:hint="cs"/>
          <w:rtl/>
        </w:rPr>
        <w:t xml:space="preserve">סז. </w:t>
      </w:r>
      <w:r w:rsidRPr="00F0758B">
        <w:rPr>
          <w:rStyle w:val="af6"/>
          <w:rFonts w:eastAsia="Guttman Hodes" w:hint="cs"/>
          <w:rtl/>
        </w:rPr>
        <w:t>ד"ה והא דהשביח, ס</w:t>
      </w:r>
      <w:r>
        <w:rPr>
          <w:rStyle w:val="af6"/>
          <w:rFonts w:eastAsia="Guttman Hodes" w:hint="cs"/>
          <w:rtl/>
        </w:rPr>
        <w:t>ח</w:t>
      </w:r>
      <w:r w:rsidRPr="00F0758B">
        <w:rPr>
          <w:rStyle w:val="af6"/>
          <w:rFonts w:eastAsia="Guttman Hodes" w:hint="cs"/>
          <w:rtl/>
        </w:rPr>
        <w:t>. ד"ה מחלוקת)</w:t>
      </w:r>
      <w:r w:rsidRPr="00F0758B">
        <w:rPr>
          <w:rFonts w:hint="cs"/>
          <w:rtl/>
        </w:rPr>
        <w:t xml:space="preserve"> </w:t>
      </w:r>
      <w:r>
        <w:rPr>
          <w:rFonts w:hint="cs"/>
          <w:rtl/>
        </w:rPr>
        <w:t xml:space="preserve">דביאר </w:t>
      </w:r>
      <w:r w:rsidRPr="00F0758B">
        <w:rPr>
          <w:rFonts w:hint="cs"/>
          <w:rtl/>
        </w:rPr>
        <w:t xml:space="preserve">דבהשביח ולבסוף פגם האיסור הוא כמו דין חתיכה נעשית נבילה </w:t>
      </w:r>
      <w:r w:rsidRPr="00F0758B">
        <w:rPr>
          <w:rStyle w:val="af6"/>
          <w:rFonts w:eastAsia="Guttman Hodes" w:hint="cs"/>
          <w:rtl/>
        </w:rPr>
        <w:t>(לקמן קח.)</w:t>
      </w:r>
      <w:r w:rsidRPr="00F0758B">
        <w:rPr>
          <w:rFonts w:hint="cs"/>
          <w:rtl/>
        </w:rPr>
        <w:t xml:space="preserve">, דכיון שהשביח בתחילה נאסר, אעפ"י שאח"כ נפגם, </w:t>
      </w:r>
      <w:r w:rsidRPr="00F0758B">
        <w:rPr>
          <w:rStyle w:val="afa"/>
          <w:rFonts w:hint="cs"/>
          <w:rtl/>
        </w:rPr>
        <w:t xml:space="preserve">[דהיינו פגום במקצת והוא עדיין ראוי לגר, כדין נותן טעם לפגם], </w:t>
      </w:r>
      <w:r w:rsidRPr="00F0758B">
        <w:rPr>
          <w:rFonts w:hint="cs"/>
          <w:rtl/>
        </w:rPr>
        <w:t>וס"ל לר"מ</w:t>
      </w:r>
      <w:r>
        <w:rPr>
          <w:rFonts w:hint="cs"/>
          <w:rtl/>
        </w:rPr>
        <w:t xml:space="preserve"> אליבא דעולא</w:t>
      </w:r>
      <w:r w:rsidRPr="00F0758B">
        <w:rPr>
          <w:rFonts w:hint="cs"/>
          <w:rtl/>
        </w:rPr>
        <w:t xml:space="preserve"> דאעפ"י דאפשר לסחוט את האיסור, מ"מ החתיכה עצמה נעשית נבילה</w:t>
      </w:r>
      <w:r>
        <w:rPr>
          <w:rFonts w:hint="cs"/>
          <w:rtl/>
        </w:rPr>
        <w:t xml:space="preserve">, ועי' בדברי </w:t>
      </w:r>
      <w:r w:rsidRPr="00FF7289">
        <w:rPr>
          <w:rStyle w:val="af8"/>
          <w:rFonts w:hint="cs"/>
          <w:rtl/>
        </w:rPr>
        <w:t>הקה"י</w:t>
      </w:r>
      <w:r>
        <w:rPr>
          <w:rFonts w:hint="cs"/>
          <w:rtl/>
        </w:rPr>
        <w:t xml:space="preserve"> </w:t>
      </w:r>
      <w:r w:rsidRPr="00F804CE">
        <w:rPr>
          <w:rStyle w:val="af6"/>
          <w:rFonts w:eastAsia="Guttman Hodes" w:hint="cs"/>
          <w:rtl/>
        </w:rPr>
        <w:t>(עי' אות</w:t>
      </w:r>
      <w:r>
        <w:rPr>
          <w:rFonts w:hint="cs"/>
          <w:rtl/>
        </w:rPr>
        <w:t xml:space="preserve"> </w:t>
      </w:r>
      <w:r w:rsidRPr="00F804CE">
        <w:rPr>
          <w:rStyle w:val="af6"/>
          <w:rFonts w:eastAsia="Guttman Hodes"/>
          <w:rtl/>
        </w:rPr>
        <w:fldChar w:fldCharType="begin"/>
      </w:r>
      <w:r w:rsidRPr="00F804CE">
        <w:rPr>
          <w:rStyle w:val="af6"/>
          <w:rFonts w:eastAsia="Guttman Hodes"/>
          <w:rtl/>
        </w:rPr>
        <w:instrText xml:space="preserve"> </w:instrText>
      </w:r>
      <w:r w:rsidRPr="00F804CE">
        <w:rPr>
          <w:rStyle w:val="af6"/>
          <w:rFonts w:eastAsia="Guttman Hodes" w:hint="cs"/>
        </w:rPr>
        <w:instrText>REF</w:instrText>
      </w:r>
      <w:r w:rsidRPr="00F804CE">
        <w:rPr>
          <w:rStyle w:val="af6"/>
          <w:rFonts w:eastAsia="Guttman Hodes" w:hint="cs"/>
          <w:rtl/>
        </w:rPr>
        <w:instrText xml:space="preserve"> _</w:instrText>
      </w:r>
      <w:r w:rsidRPr="00F804CE">
        <w:rPr>
          <w:rStyle w:val="af6"/>
          <w:rFonts w:eastAsia="Guttman Hodes" w:hint="cs"/>
        </w:rPr>
        <w:instrText>Ref19789217 \r \h</w:instrText>
      </w:r>
      <w:r w:rsidRPr="00F804CE">
        <w:rPr>
          <w:rStyle w:val="af6"/>
          <w:rFonts w:eastAsia="Guttman Hodes"/>
          <w:rtl/>
        </w:rPr>
        <w:instrText xml:space="preserve"> </w:instrText>
      </w:r>
      <w:r w:rsidRPr="00F804CE">
        <w:rPr>
          <w:rStyle w:val="af6"/>
          <w:rFonts w:eastAsia="Guttman Hodes"/>
          <w:rtl/>
        </w:rPr>
      </w:r>
      <w:r w:rsidRPr="00F804CE">
        <w:rPr>
          <w:rStyle w:val="af6"/>
          <w:rFonts w:eastAsia="Guttman Hodes"/>
          <w:rtl/>
        </w:rPr>
        <w:fldChar w:fldCharType="separate"/>
      </w:r>
      <w:r w:rsidR="004D1C5B">
        <w:rPr>
          <w:rStyle w:val="af6"/>
          <w:rFonts w:eastAsia="Guttman Hodes"/>
          <w:cs/>
        </w:rPr>
        <w:t>‎</w:t>
      </w:r>
      <w:r w:rsidR="004D1C5B">
        <w:rPr>
          <w:rStyle w:val="af6"/>
          <w:rFonts w:eastAsia="Guttman Hodes"/>
          <w:rtl/>
        </w:rPr>
        <w:t>קטו)</w:t>
      </w:r>
      <w:r w:rsidRPr="00F804CE">
        <w:rPr>
          <w:rStyle w:val="af6"/>
          <w:rFonts w:eastAsia="Guttman Hodes"/>
          <w:rtl/>
        </w:rPr>
        <w:fldChar w:fldCharType="end"/>
      </w:r>
      <w:r>
        <w:rPr>
          <w:rFonts w:hint="cs"/>
          <w:rtl/>
        </w:rPr>
        <w:t>. [</w:t>
      </w:r>
      <w:r w:rsidRPr="00F0758B">
        <w:rPr>
          <w:rFonts w:hint="cs"/>
          <w:rtl/>
        </w:rPr>
        <w:t xml:space="preserve">ועי' במה שביאר </w:t>
      </w:r>
      <w:r w:rsidRPr="00F0758B">
        <w:rPr>
          <w:rStyle w:val="af8"/>
          <w:rFonts w:hint="cs"/>
          <w:rtl/>
        </w:rPr>
        <w:t>החת"ס</w:t>
      </w:r>
      <w:r w:rsidRPr="00F0758B">
        <w:rPr>
          <w:rStyle w:val="af6"/>
          <w:rFonts w:eastAsia="Guttman Hodes" w:hint="cs"/>
          <w:rtl/>
        </w:rPr>
        <w:t xml:space="preserve"> (עי' </w:t>
      </w:r>
      <w:r w:rsidRPr="007D4983">
        <w:rPr>
          <w:rStyle w:val="af6"/>
          <w:rFonts w:eastAsia="Guttman Hodes" w:hint="cs"/>
          <w:rtl/>
        </w:rPr>
        <w:t xml:space="preserve">אות </w:t>
      </w:r>
      <w:r w:rsidRPr="007D4983">
        <w:rPr>
          <w:rStyle w:val="af6"/>
          <w:rFonts w:eastAsia="Guttman Hodes"/>
          <w:rtl/>
        </w:rPr>
        <w:fldChar w:fldCharType="begin"/>
      </w:r>
      <w:r w:rsidRPr="007D4983">
        <w:rPr>
          <w:rStyle w:val="af6"/>
          <w:rFonts w:eastAsia="Guttman Hodes"/>
          <w:rtl/>
        </w:rPr>
        <w:instrText xml:space="preserve"> </w:instrText>
      </w:r>
      <w:r w:rsidRPr="007D4983">
        <w:rPr>
          <w:rStyle w:val="af6"/>
          <w:rFonts w:eastAsia="Guttman Hodes" w:hint="cs"/>
        </w:rPr>
        <w:instrText>REF</w:instrText>
      </w:r>
      <w:r w:rsidRPr="007D4983">
        <w:rPr>
          <w:rStyle w:val="af6"/>
          <w:rFonts w:eastAsia="Guttman Hodes" w:hint="cs"/>
          <w:rtl/>
        </w:rPr>
        <w:instrText xml:space="preserve"> _</w:instrText>
      </w:r>
      <w:r w:rsidRPr="007D4983">
        <w:rPr>
          <w:rStyle w:val="af6"/>
          <w:rFonts w:eastAsia="Guttman Hodes" w:hint="cs"/>
        </w:rPr>
        <w:instrText>Ref19635096 \r \h</w:instrText>
      </w:r>
      <w:r w:rsidRPr="007D4983">
        <w:rPr>
          <w:rStyle w:val="af6"/>
          <w:rFonts w:eastAsia="Guttman Hodes"/>
          <w:rtl/>
        </w:rPr>
        <w:instrText xml:space="preserve"> </w:instrText>
      </w:r>
      <w:r w:rsidRPr="007D4983">
        <w:rPr>
          <w:rStyle w:val="af6"/>
          <w:rFonts w:eastAsia="Guttman Hodes"/>
          <w:rtl/>
        </w:rPr>
      </w:r>
      <w:r w:rsidRPr="007D4983">
        <w:rPr>
          <w:rStyle w:val="af6"/>
          <w:rFonts w:eastAsia="Guttman Hodes"/>
          <w:rtl/>
        </w:rPr>
        <w:fldChar w:fldCharType="separate"/>
      </w:r>
      <w:r w:rsidR="004D1C5B">
        <w:rPr>
          <w:rStyle w:val="af6"/>
          <w:rFonts w:eastAsia="Guttman Hodes"/>
          <w:cs/>
        </w:rPr>
        <w:t>‎</w:t>
      </w:r>
      <w:r w:rsidR="004D1C5B">
        <w:rPr>
          <w:rStyle w:val="af6"/>
          <w:rFonts w:eastAsia="Guttman Hodes"/>
          <w:rtl/>
        </w:rPr>
        <w:t>עג)</w:t>
      </w:r>
      <w:r w:rsidRPr="007D4983">
        <w:rPr>
          <w:rStyle w:val="af6"/>
          <w:rFonts w:eastAsia="Guttman Hodes"/>
          <w:rtl/>
        </w:rPr>
        <w:fldChar w:fldCharType="end"/>
      </w:r>
      <w:r>
        <w:rPr>
          <w:rFonts w:hint="cs"/>
          <w:rtl/>
        </w:rPr>
        <w:t xml:space="preserve"> </w:t>
      </w:r>
      <w:r w:rsidRPr="00F0758B">
        <w:rPr>
          <w:rFonts w:hint="cs"/>
          <w:rtl/>
        </w:rPr>
        <w:t xml:space="preserve">בדעת ר"ש </w:t>
      </w:r>
      <w:r>
        <w:rPr>
          <w:rFonts w:hint="cs"/>
          <w:rtl/>
        </w:rPr>
        <w:t>אליבא דעולא דמתיר בהשביח ולבסוף פגם, ו</w:t>
      </w:r>
      <w:r w:rsidRPr="00F0758B">
        <w:rPr>
          <w:rFonts w:hint="cs"/>
          <w:rtl/>
        </w:rPr>
        <w:t xml:space="preserve">במה שביאר </w:t>
      </w:r>
      <w:r w:rsidRPr="00F0758B">
        <w:rPr>
          <w:rStyle w:val="af8"/>
          <w:rFonts w:hint="cs"/>
          <w:rtl/>
        </w:rPr>
        <w:t>החת"ס</w:t>
      </w:r>
      <w:r w:rsidRPr="00F0758B">
        <w:rPr>
          <w:rStyle w:val="af6"/>
          <w:rFonts w:eastAsia="Guttman Hodes" w:hint="cs"/>
          <w:rtl/>
        </w:rPr>
        <w:t xml:space="preserve"> (עי' אות </w:t>
      </w:r>
      <w:r w:rsidRPr="00F0758B">
        <w:rPr>
          <w:rStyle w:val="af6"/>
          <w:rFonts w:eastAsia="Guttman Hodes"/>
          <w:rtl/>
        </w:rPr>
        <w:fldChar w:fldCharType="begin"/>
      </w:r>
      <w:r w:rsidRPr="00F0758B">
        <w:rPr>
          <w:rStyle w:val="af6"/>
          <w:rFonts w:eastAsia="Guttman Hodes"/>
          <w:rtl/>
        </w:rPr>
        <w:instrText xml:space="preserve"> </w:instrText>
      </w:r>
      <w:r w:rsidRPr="00F0758B">
        <w:rPr>
          <w:rStyle w:val="af6"/>
          <w:rFonts w:eastAsia="Guttman Hodes" w:hint="cs"/>
        </w:rPr>
        <w:instrText>REF</w:instrText>
      </w:r>
      <w:r w:rsidRPr="00F0758B">
        <w:rPr>
          <w:rStyle w:val="af6"/>
          <w:rFonts w:eastAsia="Guttman Hodes" w:hint="cs"/>
          <w:rtl/>
        </w:rPr>
        <w:instrText xml:space="preserve"> _</w:instrText>
      </w:r>
      <w:r w:rsidRPr="00F0758B">
        <w:rPr>
          <w:rStyle w:val="af6"/>
          <w:rFonts w:eastAsia="Guttman Hodes" w:hint="cs"/>
        </w:rPr>
        <w:instrText>Ref19635070 \r \h</w:instrText>
      </w:r>
      <w:r w:rsidRPr="00F0758B">
        <w:rPr>
          <w:rStyle w:val="af6"/>
          <w:rFonts w:eastAsia="Guttman Hodes"/>
          <w:rtl/>
        </w:rPr>
        <w:instrText xml:space="preserve">  \* </w:instrText>
      </w:r>
      <w:r w:rsidRPr="00F0758B">
        <w:rPr>
          <w:rStyle w:val="af6"/>
          <w:rFonts w:eastAsia="Guttman Hodes"/>
        </w:rPr>
        <w:instrText>MERGEFORMAT</w:instrText>
      </w:r>
      <w:r w:rsidRPr="00F0758B">
        <w:rPr>
          <w:rStyle w:val="af6"/>
          <w:rFonts w:eastAsia="Guttman Hodes"/>
          <w:rtl/>
        </w:rPr>
        <w:instrText xml:space="preserve"> </w:instrText>
      </w:r>
      <w:r w:rsidRPr="00F0758B">
        <w:rPr>
          <w:rStyle w:val="af6"/>
          <w:rFonts w:eastAsia="Guttman Hodes"/>
          <w:rtl/>
        </w:rPr>
      </w:r>
      <w:r w:rsidRPr="00F0758B">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sidRPr="00F0758B">
        <w:rPr>
          <w:rStyle w:val="af6"/>
          <w:rFonts w:eastAsia="Guttman Hodes"/>
          <w:rtl/>
        </w:rPr>
        <w:fldChar w:fldCharType="end"/>
      </w:r>
      <w:r w:rsidRPr="00F0758B">
        <w:rPr>
          <w:rStyle w:val="af6"/>
          <w:rFonts w:eastAsia="Guttman Hodes" w:hint="cs"/>
          <w:rtl/>
        </w:rPr>
        <w:t xml:space="preserve"> </w:t>
      </w:r>
      <w:r w:rsidRPr="00F0758B">
        <w:rPr>
          <w:rFonts w:hint="cs"/>
          <w:rtl/>
        </w:rPr>
        <w:t xml:space="preserve">דריו"ח פליג על </w:t>
      </w:r>
      <w:r>
        <w:rPr>
          <w:rFonts w:hint="cs"/>
          <w:rtl/>
        </w:rPr>
        <w:t xml:space="preserve">עיקר </w:t>
      </w:r>
      <w:r w:rsidRPr="00F0758B">
        <w:rPr>
          <w:rFonts w:hint="cs"/>
          <w:rtl/>
        </w:rPr>
        <w:t>סברא זו</w:t>
      </w:r>
      <w:r>
        <w:rPr>
          <w:rFonts w:hint="cs"/>
          <w:rtl/>
        </w:rPr>
        <w:t>]</w:t>
      </w:r>
      <w:r w:rsidRPr="00F0758B">
        <w:rPr>
          <w:rFonts w:hint="cs"/>
          <w:rtl/>
        </w:rPr>
        <w:t>.</w:t>
      </w:r>
      <w:bookmarkEnd w:id="10324"/>
    </w:p>
    <w:p w:rsidR="00A82F1E" w:rsidRDefault="00A82F1E" w:rsidP="00A82F1E">
      <w:pPr>
        <w:pStyle w:val="1"/>
        <w:rPr>
          <w:rtl/>
        </w:rPr>
      </w:pPr>
      <w:bookmarkStart w:id="10325" w:name="_Toc19738425"/>
      <w:bookmarkStart w:id="10326" w:name="_Toc19792245"/>
      <w:r>
        <w:rPr>
          <w:rFonts w:hint="cs"/>
          <w:rtl/>
        </w:rPr>
        <w:t>דברי הר"ן דאחר שנאסר דינו כנבילה דמותרת רק בפגום לגמרי</w:t>
      </w:r>
      <w:bookmarkEnd w:id="10325"/>
      <w:bookmarkEnd w:id="10326"/>
    </w:p>
    <w:p w:rsidR="00A82F1E" w:rsidRDefault="00A82F1E" w:rsidP="00A82F1E">
      <w:pPr>
        <w:pStyle w:val="a2"/>
      </w:pPr>
      <w:bookmarkStart w:id="10327" w:name="_Toc19738426"/>
      <w:bookmarkStart w:id="10328" w:name="_Toc19792246"/>
      <w:r>
        <w:rPr>
          <w:rFonts w:hint="cs"/>
          <w:rtl/>
        </w:rPr>
        <w:t xml:space="preserve">ביאור הר"ן דהשביח ולבסוף פגם כיון שחל איסור א"א </w:t>
      </w:r>
      <w:r w:rsidRPr="00C94558">
        <w:rPr>
          <w:rFonts w:hint="cs"/>
          <w:rtl/>
        </w:rPr>
        <w:t xml:space="preserve">להתירו כדין </w:t>
      </w:r>
      <w:r>
        <w:rPr>
          <w:rFonts w:hint="cs"/>
          <w:rtl/>
        </w:rPr>
        <w:t>נבילה שאסורה בראויה לגר</w:t>
      </w:r>
      <w:bookmarkEnd w:id="10327"/>
      <w:bookmarkEnd w:id="10328"/>
    </w:p>
    <w:p w:rsidR="00A82F1E" w:rsidRPr="00017FC0" w:rsidRDefault="00A82F1E" w:rsidP="009F44AF">
      <w:pPr>
        <w:pStyle w:val="a"/>
        <w:rPr>
          <w:rStyle w:val="afa"/>
          <w:rtl/>
        </w:rPr>
      </w:pPr>
      <w:r>
        <w:rPr>
          <w:rFonts w:hint="cs"/>
          <w:rtl/>
        </w:rPr>
        <w:t xml:space="preserve">כתב </w:t>
      </w:r>
      <w:r w:rsidRPr="00740732">
        <w:rPr>
          <w:rStyle w:val="af8"/>
          <w:rFonts w:hint="cs"/>
          <w:rtl/>
        </w:rPr>
        <w:t xml:space="preserve">הר"ן </w:t>
      </w:r>
      <w:r w:rsidRPr="00346115">
        <w:rPr>
          <w:rStyle w:val="af8"/>
          <w:rFonts w:hint="cs"/>
          <w:rtl/>
        </w:rPr>
        <w:t>בחי'</w:t>
      </w:r>
      <w:r w:rsidRPr="00AE721F">
        <w:rPr>
          <w:rStyle w:val="af6"/>
          <w:rFonts w:eastAsia="Guttman Hodes" w:hint="cs"/>
          <w:rtl/>
        </w:rPr>
        <w:t xml:space="preserve"> </w:t>
      </w:r>
      <w:r w:rsidRPr="00346115">
        <w:rPr>
          <w:rStyle w:val="af6"/>
          <w:rFonts w:eastAsia="Guttman Hodes" w:hint="cs"/>
          <w:rtl/>
        </w:rPr>
        <w:t>(ד"ה אמר עולא</w:t>
      </w:r>
      <w:r w:rsidRPr="00AE721F">
        <w:rPr>
          <w:rStyle w:val="af6"/>
          <w:rFonts w:eastAsia="Guttman Hodes" w:hint="cs"/>
          <w:rtl/>
        </w:rPr>
        <w:t xml:space="preserve">) </w:t>
      </w:r>
      <w:r>
        <w:rPr>
          <w:rFonts w:hint="cs"/>
          <w:rtl/>
        </w:rPr>
        <w:t>דהאיסור בהשביח ולבסוף פגם, הוא כיון דנאסר התבשיל</w:t>
      </w:r>
      <w:r w:rsidRPr="00AE721F">
        <w:rPr>
          <w:rFonts w:hint="cs"/>
          <w:rtl/>
        </w:rPr>
        <w:t xml:space="preserve"> </w:t>
      </w:r>
      <w:r>
        <w:rPr>
          <w:rFonts w:hint="cs"/>
          <w:rtl/>
        </w:rPr>
        <w:t xml:space="preserve">בשעה שהשביח, וחשיב כנבילה, </w:t>
      </w:r>
      <w:r w:rsidRPr="001226B9">
        <w:rPr>
          <w:rFonts w:hint="cs"/>
          <w:rtl/>
        </w:rPr>
        <w:t>ו</w:t>
      </w:r>
      <w:r>
        <w:rPr>
          <w:rFonts w:hint="cs"/>
          <w:rtl/>
        </w:rPr>
        <w:t xml:space="preserve">לכן אחר </w:t>
      </w:r>
      <w:r w:rsidRPr="001226B9">
        <w:rPr>
          <w:rFonts w:hint="cs"/>
          <w:rtl/>
        </w:rPr>
        <w:t>שחל עליו איסור</w:t>
      </w:r>
      <w:r>
        <w:rPr>
          <w:rFonts w:hint="cs"/>
          <w:rtl/>
        </w:rPr>
        <w:t xml:space="preserve"> אינו מותר כשנפגם כ"ז שהוא ראוי לגר, דדינו כנבילה, שאף שנפגמה היא עדיין אסורה כ"ז שהיא ראויה לגר. </w:t>
      </w:r>
      <w:r w:rsidRPr="00DB5542">
        <w:rPr>
          <w:rStyle w:val="afa"/>
          <w:rFonts w:hint="cs"/>
          <w:rtl/>
        </w:rPr>
        <w:t>[עי'</w:t>
      </w:r>
      <w:r w:rsidRPr="00017FC0">
        <w:rPr>
          <w:rStyle w:val="afa"/>
          <w:rFonts w:hint="cs"/>
          <w:rtl/>
        </w:rPr>
        <w:t xml:space="preserve"> בדברי </w:t>
      </w:r>
      <w:r w:rsidRPr="009E0D8A">
        <w:rPr>
          <w:rStyle w:val="affa"/>
          <w:rFonts w:hint="cs"/>
          <w:rtl/>
        </w:rPr>
        <w:t>הר"ן</w:t>
      </w:r>
      <w:r w:rsidRPr="00017FC0">
        <w:rPr>
          <w:rStyle w:val="afa"/>
          <w:rFonts w:hint="cs"/>
          <w:rtl/>
        </w:rPr>
        <w:t xml:space="preserve"> </w:t>
      </w:r>
      <w:r w:rsidRPr="009E0D8A">
        <w:rPr>
          <w:rStyle w:val="aff6"/>
          <w:rFonts w:hint="cs"/>
          <w:rtl/>
        </w:rPr>
        <w:t xml:space="preserve">(עי' אות </w:t>
      </w:r>
      <w:r w:rsidRPr="009E0D8A">
        <w:rPr>
          <w:rStyle w:val="aff6"/>
          <w:rtl/>
        </w:rPr>
        <w:fldChar w:fldCharType="begin"/>
      </w:r>
      <w:r w:rsidRPr="009E0D8A">
        <w:rPr>
          <w:rStyle w:val="aff6"/>
          <w:rtl/>
        </w:rPr>
        <w:instrText xml:space="preserve"> </w:instrText>
      </w:r>
      <w:r w:rsidRPr="009E0D8A">
        <w:rPr>
          <w:rStyle w:val="aff6"/>
          <w:rFonts w:hint="cs"/>
        </w:rPr>
        <w:instrText>REF</w:instrText>
      </w:r>
      <w:r w:rsidRPr="009E0D8A">
        <w:rPr>
          <w:rStyle w:val="aff6"/>
          <w:rFonts w:hint="cs"/>
          <w:rtl/>
        </w:rPr>
        <w:instrText xml:space="preserve"> _</w:instrText>
      </w:r>
      <w:r w:rsidRPr="009E0D8A">
        <w:rPr>
          <w:rStyle w:val="aff6"/>
          <w:rFonts w:hint="cs"/>
        </w:rPr>
        <w:instrText>Ref19794479 \r \h</w:instrText>
      </w:r>
      <w:r w:rsidRPr="009E0D8A">
        <w:rPr>
          <w:rStyle w:val="aff6"/>
          <w:rtl/>
        </w:rPr>
        <w:instrText xml:space="preserve"> </w:instrText>
      </w:r>
      <w:r w:rsidRPr="009E0D8A">
        <w:rPr>
          <w:rStyle w:val="aff6"/>
          <w:rtl/>
        </w:rPr>
      </w:r>
      <w:r w:rsidRPr="009E0D8A">
        <w:rPr>
          <w:rStyle w:val="aff6"/>
          <w:rtl/>
        </w:rPr>
        <w:fldChar w:fldCharType="separate"/>
      </w:r>
      <w:r w:rsidR="004D1C5B">
        <w:rPr>
          <w:rStyle w:val="aff6"/>
          <w:cs/>
        </w:rPr>
        <w:t>‎</w:t>
      </w:r>
      <w:r w:rsidR="004D1C5B">
        <w:rPr>
          <w:rStyle w:val="aff6"/>
          <w:rtl/>
        </w:rPr>
        <w:t>ס)</w:t>
      </w:r>
      <w:r w:rsidRPr="009E0D8A">
        <w:rPr>
          <w:rStyle w:val="aff6"/>
          <w:rtl/>
        </w:rPr>
        <w:fldChar w:fldCharType="end"/>
      </w:r>
      <w:r w:rsidRPr="00017FC0">
        <w:rPr>
          <w:rStyle w:val="afa"/>
          <w:rFonts w:hint="cs"/>
          <w:rtl/>
        </w:rPr>
        <w:t xml:space="preserve"> דביאר כן בדעת ר"מ אליבא דעולא, וכן ביאר </w:t>
      </w:r>
      <w:r w:rsidRPr="009E0D8A">
        <w:rPr>
          <w:rStyle w:val="affa"/>
          <w:rFonts w:hint="cs"/>
          <w:rtl/>
        </w:rPr>
        <w:t>הר"ן</w:t>
      </w:r>
      <w:r w:rsidRPr="00017FC0">
        <w:rPr>
          <w:rStyle w:val="afa"/>
          <w:rFonts w:hint="cs"/>
          <w:rtl/>
        </w:rPr>
        <w:t xml:space="preserve"> </w:t>
      </w:r>
      <w:r w:rsidRPr="009E0D8A">
        <w:rPr>
          <w:rStyle w:val="aff6"/>
          <w:rFonts w:hint="cs"/>
          <w:rtl/>
        </w:rPr>
        <w:t xml:space="preserve">(עי' אות </w:t>
      </w:r>
      <w:r w:rsidRPr="009E0D8A">
        <w:rPr>
          <w:rStyle w:val="aff6"/>
          <w:rtl/>
        </w:rPr>
        <w:fldChar w:fldCharType="begin"/>
      </w:r>
      <w:r w:rsidRPr="009E0D8A">
        <w:rPr>
          <w:rStyle w:val="aff6"/>
          <w:rtl/>
        </w:rPr>
        <w:instrText xml:space="preserve"> </w:instrText>
      </w:r>
      <w:r w:rsidRPr="009E0D8A">
        <w:rPr>
          <w:rStyle w:val="aff6"/>
          <w:rFonts w:hint="cs"/>
        </w:rPr>
        <w:instrText>REF</w:instrText>
      </w:r>
      <w:r w:rsidRPr="009E0D8A">
        <w:rPr>
          <w:rStyle w:val="aff6"/>
          <w:rFonts w:hint="cs"/>
          <w:rtl/>
        </w:rPr>
        <w:instrText xml:space="preserve"> _</w:instrText>
      </w:r>
      <w:r w:rsidRPr="009E0D8A">
        <w:rPr>
          <w:rStyle w:val="aff6"/>
          <w:rFonts w:hint="cs"/>
        </w:rPr>
        <w:instrText>Ref19457440 \r \h</w:instrText>
      </w:r>
      <w:r w:rsidRPr="009E0D8A">
        <w:rPr>
          <w:rStyle w:val="aff6"/>
          <w:rtl/>
        </w:rPr>
        <w:instrText xml:space="preserve"> </w:instrText>
      </w:r>
      <w:r w:rsidRPr="009E0D8A">
        <w:rPr>
          <w:rStyle w:val="aff6"/>
          <w:rtl/>
        </w:rPr>
      </w:r>
      <w:r w:rsidRPr="009E0D8A">
        <w:rPr>
          <w:rStyle w:val="aff6"/>
          <w:rtl/>
        </w:rPr>
        <w:fldChar w:fldCharType="separate"/>
      </w:r>
      <w:r w:rsidR="004D1C5B">
        <w:rPr>
          <w:rStyle w:val="aff6"/>
          <w:cs/>
        </w:rPr>
        <w:t>‎</w:t>
      </w:r>
      <w:r w:rsidR="004D1C5B">
        <w:rPr>
          <w:rStyle w:val="aff6"/>
          <w:rtl/>
        </w:rPr>
        <w:t>פז)</w:t>
      </w:r>
      <w:r w:rsidRPr="009E0D8A">
        <w:rPr>
          <w:rStyle w:val="aff6"/>
          <w:rtl/>
        </w:rPr>
        <w:fldChar w:fldCharType="end"/>
      </w:r>
      <w:r w:rsidRPr="00017FC0">
        <w:rPr>
          <w:rStyle w:val="afa"/>
          <w:rFonts w:hint="cs"/>
          <w:rtl/>
        </w:rPr>
        <w:t xml:space="preserve"> בדעת ריו"ח לכו"ע, אך יעוי' במה שביאר </w:t>
      </w:r>
      <w:r w:rsidRPr="009E0D8A">
        <w:rPr>
          <w:rStyle w:val="affa"/>
          <w:rFonts w:hint="cs"/>
          <w:rtl/>
        </w:rPr>
        <w:t>הר"ן</w:t>
      </w:r>
      <w:r w:rsidRPr="009E0D8A">
        <w:rPr>
          <w:rStyle w:val="aff6"/>
          <w:rFonts w:hint="cs"/>
          <w:rtl/>
        </w:rPr>
        <w:t xml:space="preserve"> (עי' אות </w:t>
      </w:r>
      <w:r w:rsidRPr="009E0D8A">
        <w:rPr>
          <w:rStyle w:val="aff6"/>
          <w:rtl/>
        </w:rPr>
        <w:fldChar w:fldCharType="begin"/>
      </w:r>
      <w:r w:rsidRPr="009E0D8A">
        <w:rPr>
          <w:rStyle w:val="aff6"/>
          <w:rtl/>
        </w:rPr>
        <w:instrText xml:space="preserve"> </w:instrText>
      </w:r>
      <w:r w:rsidRPr="009E0D8A">
        <w:rPr>
          <w:rStyle w:val="aff6"/>
          <w:rFonts w:hint="cs"/>
        </w:rPr>
        <w:instrText>REF</w:instrText>
      </w:r>
      <w:r w:rsidRPr="009E0D8A">
        <w:rPr>
          <w:rStyle w:val="aff6"/>
          <w:rFonts w:hint="cs"/>
          <w:rtl/>
        </w:rPr>
        <w:instrText xml:space="preserve"> _</w:instrText>
      </w:r>
      <w:r w:rsidRPr="009E0D8A">
        <w:rPr>
          <w:rStyle w:val="aff6"/>
          <w:rFonts w:hint="cs"/>
        </w:rPr>
        <w:instrText>Ref19702045 \r \h</w:instrText>
      </w:r>
      <w:r w:rsidRPr="009E0D8A">
        <w:rPr>
          <w:rStyle w:val="aff6"/>
          <w:rtl/>
        </w:rPr>
        <w:instrText xml:space="preserve">  \* </w:instrText>
      </w:r>
      <w:r w:rsidRPr="009E0D8A">
        <w:rPr>
          <w:rStyle w:val="aff6"/>
        </w:rPr>
        <w:instrText>MERGEFORMAT</w:instrText>
      </w:r>
      <w:r w:rsidRPr="009E0D8A">
        <w:rPr>
          <w:rStyle w:val="aff6"/>
          <w:rtl/>
        </w:rPr>
        <w:instrText xml:space="preserve"> </w:instrText>
      </w:r>
      <w:r w:rsidRPr="009E0D8A">
        <w:rPr>
          <w:rStyle w:val="aff6"/>
          <w:rtl/>
        </w:rPr>
      </w:r>
      <w:r w:rsidRPr="009E0D8A">
        <w:rPr>
          <w:rStyle w:val="aff6"/>
          <w:rtl/>
        </w:rPr>
        <w:fldChar w:fldCharType="separate"/>
      </w:r>
      <w:r w:rsidR="004D1C5B">
        <w:rPr>
          <w:rStyle w:val="aff6"/>
          <w:cs/>
        </w:rPr>
        <w:t>‎</w:t>
      </w:r>
      <w:r w:rsidR="004D1C5B">
        <w:rPr>
          <w:rStyle w:val="aff6"/>
          <w:rtl/>
        </w:rPr>
        <w:t>נח)</w:t>
      </w:r>
      <w:r w:rsidRPr="009E0D8A">
        <w:rPr>
          <w:rStyle w:val="aff6"/>
          <w:rtl/>
        </w:rPr>
        <w:fldChar w:fldCharType="end"/>
      </w:r>
      <w:r w:rsidRPr="00017FC0">
        <w:rPr>
          <w:rStyle w:val="afa"/>
          <w:rFonts w:hint="cs"/>
          <w:rtl/>
        </w:rPr>
        <w:t xml:space="preserve"> בדעת ר"ש אליבא דעולא, דמתיר בהשביח ולבסוף פגם].</w:t>
      </w:r>
    </w:p>
    <w:p w:rsidR="00A82F1E" w:rsidRPr="00A16771" w:rsidRDefault="00A82F1E" w:rsidP="00A82F1E">
      <w:pPr>
        <w:pStyle w:val="a2"/>
      </w:pPr>
      <w:bookmarkStart w:id="10329" w:name="_Toc19738427"/>
      <w:bookmarkStart w:id="10330" w:name="_Toc19792247"/>
      <w:r>
        <w:rPr>
          <w:rFonts w:hint="cs"/>
          <w:rtl/>
        </w:rPr>
        <w:t>דברי הר"ן דאף דהאיסור הוא מדין טע"כ ואין איסור בנטל"פ מ"מ כיון שנאסר דינו כנבילה</w:t>
      </w:r>
      <w:bookmarkEnd w:id="10329"/>
      <w:bookmarkEnd w:id="10330"/>
    </w:p>
    <w:p w:rsidR="00A82F1E" w:rsidRDefault="00A82F1E" w:rsidP="009F44AF">
      <w:pPr>
        <w:pStyle w:val="a"/>
        <w:rPr>
          <w:rtl/>
        </w:rPr>
      </w:pPr>
      <w:bookmarkStart w:id="10331" w:name="_Ref19789786"/>
      <w:r w:rsidRPr="002B2EDE">
        <w:rPr>
          <w:rtl/>
        </w:rPr>
        <w:t xml:space="preserve">וכתב </w:t>
      </w:r>
      <w:r w:rsidRPr="00FD1A04">
        <w:rPr>
          <w:rStyle w:val="af8"/>
          <w:rtl/>
        </w:rPr>
        <w:t>הר"ן</w:t>
      </w:r>
      <w:r w:rsidRPr="002B2EDE">
        <w:rPr>
          <w:rtl/>
        </w:rPr>
        <w:t xml:space="preserve"> דאף </w:t>
      </w:r>
      <w:r>
        <w:rPr>
          <w:rFonts w:hint="cs"/>
          <w:rtl/>
        </w:rPr>
        <w:t>דבתערובת יש רק טעם איסור, ואין את ממשו של האיסור, והרי בדין טעם כעיקר אין איסור בטעם פגום, ואם היה הטעם פגום מעיקרא היה מותר</w:t>
      </w:r>
      <w:r w:rsidRPr="002B2EDE">
        <w:rPr>
          <w:rtl/>
        </w:rPr>
        <w:t xml:space="preserve">, כיון שאינו נהנה מהאיסור, </w:t>
      </w:r>
      <w:r w:rsidRPr="00CB6323">
        <w:rPr>
          <w:rStyle w:val="afa"/>
          <w:rtl/>
        </w:rPr>
        <w:t>[לעולא לכו"ע, ולריו"ח לדעת ר"ש],</w:t>
      </w:r>
      <w:r w:rsidRPr="00CB6323">
        <w:rPr>
          <w:rStyle w:val="afa"/>
          <w:rFonts w:hint="cs"/>
          <w:rtl/>
        </w:rPr>
        <w:t xml:space="preserve"> </w:t>
      </w:r>
      <w:r>
        <w:rPr>
          <w:rFonts w:hint="cs"/>
          <w:rtl/>
        </w:rPr>
        <w:t xml:space="preserve">מ"מ כיון שהשביח בתחילתו ונאסר כבר דינו כנבילה שאין בה היתר בטעם פגום. [ועי' במ"ש </w:t>
      </w:r>
      <w:r w:rsidRPr="00B32DE5">
        <w:rPr>
          <w:rStyle w:val="af8"/>
          <w:rFonts w:hint="cs"/>
          <w:rtl/>
        </w:rPr>
        <w:t xml:space="preserve">בשיעורי המקדש דוד </w:t>
      </w:r>
      <w:r w:rsidRPr="00813BB0">
        <w:rPr>
          <w:rStyle w:val="af6"/>
          <w:rFonts w:eastAsia="Guttman Hodes" w:hint="cs"/>
          <w:rtl/>
        </w:rPr>
        <w:t xml:space="preserve">(עי' אות </w:t>
      </w:r>
      <w:r w:rsidRPr="00813BB0">
        <w:rPr>
          <w:rStyle w:val="af6"/>
          <w:rFonts w:eastAsia="Guttman Hodes"/>
          <w:rtl/>
        </w:rPr>
        <w:fldChar w:fldCharType="begin"/>
      </w:r>
      <w:r w:rsidRPr="00813BB0">
        <w:rPr>
          <w:rStyle w:val="af6"/>
          <w:rFonts w:eastAsia="Guttman Hodes"/>
          <w:rtl/>
        </w:rPr>
        <w:instrText xml:space="preserve"> </w:instrText>
      </w:r>
      <w:r w:rsidRPr="00813BB0">
        <w:rPr>
          <w:rStyle w:val="af6"/>
          <w:rFonts w:eastAsia="Guttman Hodes" w:hint="cs"/>
        </w:rPr>
        <w:instrText>REF</w:instrText>
      </w:r>
      <w:r w:rsidRPr="00813BB0">
        <w:rPr>
          <w:rStyle w:val="af6"/>
          <w:rFonts w:eastAsia="Guttman Hodes" w:hint="cs"/>
          <w:rtl/>
        </w:rPr>
        <w:instrText xml:space="preserve"> _</w:instrText>
      </w:r>
      <w:r w:rsidRPr="00813BB0">
        <w:rPr>
          <w:rStyle w:val="af6"/>
          <w:rFonts w:eastAsia="Guttman Hodes" w:hint="cs"/>
        </w:rPr>
        <w:instrText>Ref19789759 \r \h</w:instrText>
      </w:r>
      <w:r w:rsidRPr="00813BB0">
        <w:rPr>
          <w:rStyle w:val="af6"/>
          <w:rFonts w:eastAsia="Guttman Hodes"/>
          <w:rtl/>
        </w:rPr>
        <w:instrText xml:space="preserve"> </w:instrText>
      </w:r>
      <w:r w:rsidRPr="00813BB0">
        <w:rPr>
          <w:rStyle w:val="af6"/>
          <w:rFonts w:eastAsia="Guttman Hodes"/>
          <w:rtl/>
        </w:rPr>
      </w:r>
      <w:r w:rsidRPr="00813BB0">
        <w:rPr>
          <w:rStyle w:val="af6"/>
          <w:rFonts w:eastAsia="Guttman Hodes"/>
          <w:rtl/>
        </w:rPr>
        <w:fldChar w:fldCharType="separate"/>
      </w:r>
      <w:r w:rsidR="004D1C5B">
        <w:rPr>
          <w:rStyle w:val="af6"/>
          <w:rFonts w:eastAsia="Guttman Hodes"/>
          <w:cs/>
        </w:rPr>
        <w:t>‎</w:t>
      </w:r>
      <w:r w:rsidR="004D1C5B">
        <w:rPr>
          <w:rStyle w:val="af6"/>
          <w:rFonts w:eastAsia="Guttman Hodes"/>
          <w:rtl/>
        </w:rPr>
        <w:t>קטז)</w:t>
      </w:r>
      <w:r w:rsidRPr="00813BB0">
        <w:rPr>
          <w:rStyle w:val="af6"/>
          <w:rFonts w:eastAsia="Guttman Hodes"/>
          <w:rtl/>
        </w:rPr>
        <w:fldChar w:fldCharType="end"/>
      </w:r>
      <w:r>
        <w:rPr>
          <w:rFonts w:hint="cs"/>
          <w:rtl/>
        </w:rPr>
        <w:t>].</w:t>
      </w:r>
      <w:bookmarkEnd w:id="10331"/>
    </w:p>
    <w:p w:rsidR="00A82F1E" w:rsidRPr="00C622E0" w:rsidRDefault="00A82F1E" w:rsidP="00A82F1E">
      <w:pPr>
        <w:pStyle w:val="a2"/>
      </w:pPr>
      <w:bookmarkStart w:id="10332" w:name="_Toc19738428"/>
      <w:bookmarkStart w:id="10333" w:name="_Toc19792248"/>
      <w:r>
        <w:rPr>
          <w:rFonts w:hint="cs"/>
          <w:rtl/>
        </w:rPr>
        <w:t>ביאור הר"ן דדמי לדין חנ"נ שנאסר ע"י טעם ואין לו היתר כשנפגם הטעם אחר שנאסר בתחילה</w:t>
      </w:r>
      <w:bookmarkEnd w:id="10332"/>
      <w:bookmarkEnd w:id="10333"/>
    </w:p>
    <w:p w:rsidR="00A82F1E" w:rsidRPr="00AC723B" w:rsidRDefault="00A82F1E" w:rsidP="009F44AF">
      <w:pPr>
        <w:pStyle w:val="a"/>
        <w:rPr>
          <w:rStyle w:val="afa"/>
          <w:rtl/>
        </w:rPr>
      </w:pPr>
      <w:r w:rsidRPr="001226B9">
        <w:rPr>
          <w:rFonts w:hint="cs"/>
          <w:rtl/>
        </w:rPr>
        <w:t>ו</w:t>
      </w:r>
      <w:r>
        <w:rPr>
          <w:rFonts w:hint="cs"/>
          <w:rtl/>
        </w:rPr>
        <w:t>ביאר</w:t>
      </w:r>
      <w:r w:rsidRPr="001226B9">
        <w:rPr>
          <w:rFonts w:hint="cs"/>
          <w:rtl/>
        </w:rPr>
        <w:t xml:space="preserve"> </w:t>
      </w:r>
      <w:r w:rsidRPr="001226B9">
        <w:rPr>
          <w:rStyle w:val="af8"/>
          <w:rFonts w:hint="cs"/>
          <w:rtl/>
        </w:rPr>
        <w:t xml:space="preserve">הר"ן </w:t>
      </w:r>
      <w:r w:rsidRPr="001226B9">
        <w:rPr>
          <w:rFonts w:hint="cs"/>
          <w:rtl/>
        </w:rPr>
        <w:t>דדמי לדין חתיכה נעשית נבילה</w:t>
      </w:r>
      <w:r w:rsidRPr="00017FC0">
        <w:rPr>
          <w:rStyle w:val="af6"/>
          <w:rFonts w:eastAsia="Guttman Hodes" w:hint="cs"/>
          <w:rtl/>
        </w:rPr>
        <w:t xml:space="preserve"> </w:t>
      </w:r>
      <w:r w:rsidRPr="001226B9">
        <w:rPr>
          <w:rStyle w:val="af6"/>
          <w:rFonts w:eastAsia="Guttman Hodes" w:hint="cs"/>
          <w:rtl/>
        </w:rPr>
        <w:t>(לקמן קח.)</w:t>
      </w:r>
      <w:r w:rsidRPr="001226B9">
        <w:rPr>
          <w:rFonts w:hint="cs"/>
          <w:rtl/>
        </w:rPr>
        <w:t>,</w:t>
      </w:r>
      <w:r w:rsidRPr="00017FC0">
        <w:rPr>
          <w:rStyle w:val="af6"/>
          <w:rFonts w:eastAsia="Guttman Hodes" w:hint="cs"/>
          <w:rtl/>
        </w:rPr>
        <w:t xml:space="preserve"> </w:t>
      </w:r>
      <w:r>
        <w:rPr>
          <w:rFonts w:hint="cs"/>
          <w:rtl/>
        </w:rPr>
        <w:t xml:space="preserve">דאף שהאיסור בחתיכה נעשית נבילה הוא ע"י טעם ולא ע"י ממשות, </w:t>
      </w:r>
      <w:r w:rsidRPr="001226B9">
        <w:rPr>
          <w:rFonts w:hint="cs"/>
          <w:rtl/>
        </w:rPr>
        <w:t xml:space="preserve">מ"מ </w:t>
      </w:r>
      <w:r w:rsidRPr="001226B9">
        <w:rPr>
          <w:rFonts w:hint="cs"/>
          <w:rtl/>
        </w:rPr>
        <w:lastRenderedPageBreak/>
        <w:t>אמרינן דכל שאינו נפסל</w:t>
      </w:r>
      <w:r>
        <w:rPr>
          <w:rFonts w:hint="cs"/>
          <w:rtl/>
        </w:rPr>
        <w:t>ה החתיכה</w:t>
      </w:r>
      <w:r w:rsidRPr="001226B9">
        <w:rPr>
          <w:rFonts w:hint="cs"/>
          <w:rtl/>
        </w:rPr>
        <w:t xml:space="preserve"> מאכילת אדם</w:t>
      </w:r>
      <w:r>
        <w:rPr>
          <w:rFonts w:hint="cs"/>
          <w:rtl/>
        </w:rPr>
        <w:t xml:space="preserve"> היא אסורה כדין נבילה, ולא אמרינן דדין התבשיל בסופו הוא כדינו בתחילתו, דכיון שבתחילתו אינו נאסר ע"י טעם פגום, א"כ גם כשנאסר התבשיל ע"י טעם ובסופו נפגם הטעם, הוא מותר, אלא אמרינן דכ"ז שלא נפסל התבשיל מאכילה דינו כנבילה דאסורה, כיון שכשאוכל את התבשיל הפגום,</w:t>
      </w:r>
      <w:r w:rsidRPr="001226B9">
        <w:rPr>
          <w:rFonts w:hint="cs"/>
          <w:rtl/>
        </w:rPr>
        <w:t xml:space="preserve"> א"כ הוא נהנה מתבשיל ש</w:t>
      </w:r>
      <w:r>
        <w:rPr>
          <w:rFonts w:hint="cs"/>
          <w:rtl/>
        </w:rPr>
        <w:t xml:space="preserve">נאסר </w:t>
      </w:r>
      <w:r w:rsidRPr="001226B9">
        <w:rPr>
          <w:rFonts w:hint="cs"/>
          <w:rtl/>
        </w:rPr>
        <w:t xml:space="preserve">בתחילתו </w:t>
      </w:r>
      <w:r>
        <w:rPr>
          <w:rFonts w:hint="cs"/>
          <w:rtl/>
        </w:rPr>
        <w:t xml:space="preserve">בשעה שהושבח. </w:t>
      </w:r>
      <w:r w:rsidRPr="00AC723B">
        <w:rPr>
          <w:rStyle w:val="afa"/>
          <w:rFonts w:hint="cs"/>
          <w:rtl/>
        </w:rPr>
        <w:t>[</w:t>
      </w:r>
      <w:r>
        <w:rPr>
          <w:rStyle w:val="afa"/>
          <w:rFonts w:hint="cs"/>
          <w:rtl/>
        </w:rPr>
        <w:t xml:space="preserve">אמנם אין כוונת </w:t>
      </w:r>
      <w:r w:rsidRPr="00CF5134">
        <w:rPr>
          <w:rStyle w:val="affa"/>
          <w:rFonts w:hint="cs"/>
          <w:rtl/>
        </w:rPr>
        <w:t>הר"ן</w:t>
      </w:r>
      <w:r>
        <w:rPr>
          <w:rStyle w:val="afa"/>
          <w:rFonts w:hint="cs"/>
          <w:rtl/>
        </w:rPr>
        <w:t xml:space="preserve"> דהאיסור בהשביח ולבסוף פגם הוא מדין חנ"נ מדרבנן, וכמ"ש </w:t>
      </w:r>
      <w:r w:rsidRPr="00CF5134">
        <w:rPr>
          <w:rStyle w:val="affa"/>
          <w:rFonts w:hint="cs"/>
          <w:rtl/>
        </w:rPr>
        <w:t>הרא"ה</w:t>
      </w:r>
      <w:r>
        <w:rPr>
          <w:rStyle w:val="afa"/>
          <w:rFonts w:hint="cs"/>
          <w:rtl/>
        </w:rPr>
        <w:t xml:space="preserve"> </w:t>
      </w:r>
      <w:r w:rsidRPr="00CF5134">
        <w:rPr>
          <w:rStyle w:val="aff6"/>
          <w:rFonts w:hint="cs"/>
          <w:rtl/>
        </w:rPr>
        <w:t xml:space="preserve">(עי' אות </w:t>
      </w:r>
      <w:r w:rsidRPr="00CF5134">
        <w:rPr>
          <w:rStyle w:val="aff6"/>
          <w:rtl/>
        </w:rPr>
        <w:fldChar w:fldCharType="begin"/>
      </w:r>
      <w:r w:rsidRPr="00CF5134">
        <w:rPr>
          <w:rStyle w:val="aff6"/>
          <w:rtl/>
        </w:rPr>
        <w:instrText xml:space="preserve"> </w:instrText>
      </w:r>
      <w:r w:rsidRPr="00CF5134">
        <w:rPr>
          <w:rStyle w:val="aff6"/>
          <w:rFonts w:hint="cs"/>
        </w:rPr>
        <w:instrText>REF</w:instrText>
      </w:r>
      <w:r w:rsidRPr="00CF5134">
        <w:rPr>
          <w:rStyle w:val="aff6"/>
          <w:rFonts w:hint="cs"/>
          <w:rtl/>
        </w:rPr>
        <w:instrText xml:space="preserve"> _</w:instrText>
      </w:r>
      <w:r w:rsidRPr="00CF5134">
        <w:rPr>
          <w:rStyle w:val="aff6"/>
          <w:rFonts w:hint="cs"/>
        </w:rPr>
        <w:instrText>Ref20156539 \r \h</w:instrText>
      </w:r>
      <w:r w:rsidRPr="00CF5134">
        <w:rPr>
          <w:rStyle w:val="aff6"/>
          <w:rtl/>
        </w:rPr>
        <w:instrText xml:space="preserve"> </w:instrText>
      </w:r>
      <w:r w:rsidRPr="00CF5134">
        <w:rPr>
          <w:rStyle w:val="aff6"/>
          <w:rtl/>
        </w:rPr>
      </w:r>
      <w:r w:rsidRPr="00CF5134">
        <w:rPr>
          <w:rStyle w:val="aff6"/>
          <w:rtl/>
        </w:rPr>
        <w:fldChar w:fldCharType="separate"/>
      </w:r>
      <w:r w:rsidR="004D1C5B">
        <w:rPr>
          <w:rStyle w:val="aff6"/>
          <w:cs/>
        </w:rPr>
        <w:t>‎</w:t>
      </w:r>
      <w:r w:rsidR="004D1C5B">
        <w:rPr>
          <w:rStyle w:val="aff6"/>
          <w:rtl/>
        </w:rPr>
        <w:t>ד)</w:t>
      </w:r>
      <w:r w:rsidRPr="00CF5134">
        <w:rPr>
          <w:rStyle w:val="aff6"/>
          <w:rtl/>
        </w:rPr>
        <w:fldChar w:fldCharType="end"/>
      </w:r>
      <w:r>
        <w:rPr>
          <w:rStyle w:val="afa"/>
          <w:rFonts w:hint="cs"/>
          <w:rtl/>
        </w:rPr>
        <w:t xml:space="preserve"> </w:t>
      </w:r>
      <w:r w:rsidRPr="00CF5134">
        <w:rPr>
          <w:rStyle w:val="affa"/>
          <w:rFonts w:hint="cs"/>
          <w:rtl/>
        </w:rPr>
        <w:t>והפרמ"ג</w:t>
      </w:r>
      <w:r>
        <w:rPr>
          <w:rStyle w:val="afa"/>
          <w:rFonts w:hint="cs"/>
          <w:rtl/>
        </w:rPr>
        <w:t xml:space="preserve"> </w:t>
      </w:r>
      <w:r w:rsidRPr="00CF5134">
        <w:rPr>
          <w:rStyle w:val="aff6"/>
          <w:rFonts w:hint="cs"/>
          <w:rtl/>
        </w:rPr>
        <w:t xml:space="preserve">(עי' אות </w:t>
      </w:r>
      <w:r w:rsidRPr="00CF5134">
        <w:rPr>
          <w:rStyle w:val="aff6"/>
          <w:rtl/>
        </w:rPr>
        <w:fldChar w:fldCharType="begin"/>
      </w:r>
      <w:r w:rsidRPr="00CF5134">
        <w:rPr>
          <w:rStyle w:val="aff6"/>
          <w:rtl/>
        </w:rPr>
        <w:instrText xml:space="preserve"> </w:instrText>
      </w:r>
      <w:r w:rsidRPr="00CF5134">
        <w:rPr>
          <w:rStyle w:val="aff6"/>
          <w:rFonts w:hint="cs"/>
        </w:rPr>
        <w:instrText>REF</w:instrText>
      </w:r>
      <w:r w:rsidRPr="00CF5134">
        <w:rPr>
          <w:rStyle w:val="aff6"/>
          <w:rFonts w:hint="cs"/>
          <w:rtl/>
        </w:rPr>
        <w:instrText xml:space="preserve"> _</w:instrText>
      </w:r>
      <w:r w:rsidRPr="00CF5134">
        <w:rPr>
          <w:rStyle w:val="aff6"/>
          <w:rFonts w:hint="cs"/>
        </w:rPr>
        <w:instrText>Ref20156655 \r \h</w:instrText>
      </w:r>
      <w:r w:rsidRPr="00CF5134">
        <w:rPr>
          <w:rStyle w:val="aff6"/>
          <w:rtl/>
        </w:rPr>
        <w:instrText xml:space="preserve"> </w:instrText>
      </w:r>
      <w:r w:rsidRPr="00CF5134">
        <w:rPr>
          <w:rStyle w:val="aff6"/>
          <w:rtl/>
        </w:rPr>
      </w:r>
      <w:r w:rsidRPr="00CF5134">
        <w:rPr>
          <w:rStyle w:val="aff6"/>
          <w:rtl/>
        </w:rPr>
        <w:fldChar w:fldCharType="separate"/>
      </w:r>
      <w:r w:rsidR="004D1C5B">
        <w:rPr>
          <w:rStyle w:val="aff6"/>
          <w:cs/>
        </w:rPr>
        <w:t>‎</w:t>
      </w:r>
      <w:r w:rsidR="004D1C5B">
        <w:rPr>
          <w:rStyle w:val="aff6"/>
          <w:rtl/>
        </w:rPr>
        <w:t>ז)</w:t>
      </w:r>
      <w:r w:rsidRPr="00CF5134">
        <w:rPr>
          <w:rStyle w:val="aff6"/>
          <w:rtl/>
        </w:rPr>
        <w:fldChar w:fldCharType="end"/>
      </w:r>
      <w:r>
        <w:rPr>
          <w:rStyle w:val="afa"/>
          <w:rFonts w:hint="cs"/>
          <w:rtl/>
        </w:rPr>
        <w:t xml:space="preserve">, דהא מבואר </w:t>
      </w:r>
      <w:r w:rsidRPr="00CF5134">
        <w:rPr>
          <w:rStyle w:val="affa"/>
          <w:rFonts w:hint="cs"/>
          <w:rtl/>
        </w:rPr>
        <w:t>בר"ן</w:t>
      </w:r>
      <w:r>
        <w:rPr>
          <w:rStyle w:val="afa"/>
          <w:rFonts w:hint="cs"/>
          <w:rtl/>
        </w:rPr>
        <w:t xml:space="preserve"> </w:t>
      </w:r>
      <w:r w:rsidRPr="00CF5134">
        <w:rPr>
          <w:rStyle w:val="aff6"/>
          <w:rFonts w:hint="cs"/>
          <w:rtl/>
        </w:rPr>
        <w:t xml:space="preserve">(עי' אות </w:t>
      </w:r>
      <w:r w:rsidRPr="00CF5134">
        <w:rPr>
          <w:rStyle w:val="aff6"/>
          <w:rtl/>
        </w:rPr>
        <w:fldChar w:fldCharType="begin"/>
      </w:r>
      <w:r w:rsidRPr="00CF5134">
        <w:rPr>
          <w:rStyle w:val="aff6"/>
          <w:rtl/>
        </w:rPr>
        <w:instrText xml:space="preserve"> </w:instrText>
      </w:r>
      <w:r w:rsidRPr="00CF5134">
        <w:rPr>
          <w:rStyle w:val="aff6"/>
          <w:rFonts w:hint="cs"/>
        </w:rPr>
        <w:instrText>REF</w:instrText>
      </w:r>
      <w:r w:rsidRPr="00CF5134">
        <w:rPr>
          <w:rStyle w:val="aff6"/>
          <w:rFonts w:hint="cs"/>
          <w:rtl/>
        </w:rPr>
        <w:instrText xml:space="preserve"> _</w:instrText>
      </w:r>
      <w:r w:rsidRPr="00CF5134">
        <w:rPr>
          <w:rStyle w:val="aff6"/>
          <w:rFonts w:hint="cs"/>
        </w:rPr>
        <w:instrText>Ref20165692 \r \h</w:instrText>
      </w:r>
      <w:r w:rsidRPr="00CF5134">
        <w:rPr>
          <w:rStyle w:val="aff6"/>
          <w:rtl/>
        </w:rPr>
        <w:instrText xml:space="preserve"> </w:instrText>
      </w:r>
      <w:r w:rsidRPr="00CF5134">
        <w:rPr>
          <w:rStyle w:val="aff6"/>
          <w:rtl/>
        </w:rPr>
      </w:r>
      <w:r w:rsidRPr="00CF5134">
        <w:rPr>
          <w:rStyle w:val="aff6"/>
          <w:rtl/>
        </w:rPr>
        <w:fldChar w:fldCharType="separate"/>
      </w:r>
      <w:r w:rsidR="004D1C5B">
        <w:rPr>
          <w:rStyle w:val="aff6"/>
          <w:cs/>
        </w:rPr>
        <w:t>‎</w:t>
      </w:r>
      <w:r w:rsidR="004D1C5B">
        <w:rPr>
          <w:rStyle w:val="aff6"/>
          <w:rtl/>
        </w:rPr>
        <w:t>נז)</w:t>
      </w:r>
      <w:r w:rsidRPr="00CF5134">
        <w:rPr>
          <w:rStyle w:val="aff6"/>
          <w:rtl/>
        </w:rPr>
        <w:fldChar w:fldCharType="end"/>
      </w:r>
      <w:r>
        <w:rPr>
          <w:rStyle w:val="afa"/>
          <w:rFonts w:hint="cs"/>
          <w:rtl/>
        </w:rPr>
        <w:t xml:space="preserve"> דפלוגתת ר"מ ור"ש בהשביח ולבסוף פגם, היא תלויה בילפותא מנבילה, ומבואר דהוא אסור מדאו'</w:t>
      </w:r>
      <w:r w:rsidRPr="00AC723B">
        <w:rPr>
          <w:rStyle w:val="afa"/>
          <w:rFonts w:hint="cs"/>
          <w:rtl/>
        </w:rPr>
        <w:t>].</w:t>
      </w:r>
    </w:p>
    <w:p w:rsidR="00A82F1E" w:rsidRPr="006659A9" w:rsidRDefault="00A82F1E" w:rsidP="00A82F1E">
      <w:pPr>
        <w:pStyle w:val="1"/>
        <w:rPr>
          <w:rtl/>
        </w:rPr>
      </w:pPr>
      <w:bookmarkStart w:id="10334" w:name="_Toc19738429"/>
      <w:bookmarkStart w:id="10335" w:name="_Toc19792249"/>
      <w:r>
        <w:rPr>
          <w:rFonts w:hint="cs"/>
          <w:rtl/>
        </w:rPr>
        <w:t>ביאור רבינו יהונתן דהאיסור הראשון לא התבטל</w:t>
      </w:r>
      <w:bookmarkEnd w:id="10334"/>
      <w:bookmarkEnd w:id="10335"/>
    </w:p>
    <w:p w:rsidR="00A82F1E" w:rsidRPr="00687DE1" w:rsidRDefault="00A82F1E" w:rsidP="00A82F1E">
      <w:pPr>
        <w:pStyle w:val="a2"/>
        <w:rPr>
          <w:rtl/>
        </w:rPr>
      </w:pPr>
      <w:bookmarkStart w:id="10336" w:name="_Toc19738430"/>
      <w:bookmarkStart w:id="10337" w:name="_Toc19792250"/>
      <w:r>
        <w:rPr>
          <w:rFonts w:hint="cs"/>
          <w:rtl/>
        </w:rPr>
        <w:t>ביאור רבינו יהונתן דאף שנפגם אינו מותר כיון שנשאר האיסור הראשון כשהיה משובח</w:t>
      </w:r>
      <w:bookmarkEnd w:id="10336"/>
      <w:bookmarkEnd w:id="10337"/>
    </w:p>
    <w:p w:rsidR="00A82F1E" w:rsidRDefault="00A82F1E" w:rsidP="009F44AF">
      <w:pPr>
        <w:pStyle w:val="a"/>
        <w:rPr>
          <w:rtl/>
        </w:rPr>
      </w:pPr>
      <w:bookmarkStart w:id="10338" w:name="_Toc19651799"/>
      <w:bookmarkStart w:id="10339" w:name="_Toc19694909"/>
      <w:r>
        <w:rPr>
          <w:rStyle w:val="af8"/>
          <w:rFonts w:hint="cs"/>
          <w:rtl/>
        </w:rPr>
        <w:t>ו</w:t>
      </w:r>
      <w:r w:rsidRPr="00687DE1">
        <w:rPr>
          <w:rStyle w:val="af8"/>
          <w:rFonts w:hint="cs"/>
          <w:rtl/>
        </w:rPr>
        <w:t xml:space="preserve">רבינו יהונתן </w:t>
      </w:r>
      <w:r w:rsidRPr="00687DE1">
        <w:rPr>
          <w:rStyle w:val="af6"/>
          <w:rFonts w:eastAsia="Guttman Hodes" w:hint="cs"/>
          <w:rtl/>
        </w:rPr>
        <w:t xml:space="preserve">(ד"ה לתוך הגריסין, הועתק בקובץ שיטות קמאי ע"ז ח"ב עמ' </w:t>
      </w:r>
      <w:r w:rsidRPr="00687DE1">
        <w:rPr>
          <w:rStyle w:val="af6"/>
          <w:rFonts w:eastAsia="Guttman Hodes"/>
          <w:rtl/>
        </w:rPr>
        <w:t>אלף תקצ</w:t>
      </w:r>
      <w:r w:rsidRPr="00687DE1">
        <w:rPr>
          <w:rStyle w:val="af6"/>
          <w:rFonts w:eastAsia="Guttman Hodes" w:hint="cs"/>
          <w:rtl/>
        </w:rPr>
        <w:t>"ט)</w:t>
      </w:r>
      <w:r>
        <w:rPr>
          <w:rFonts w:hint="cs"/>
          <w:rtl/>
        </w:rPr>
        <w:t xml:space="preserve"> כתב דבהשביח ולבסוף פגם, כיון שנאסר מתחילה, אינו מותר אף כשנפגם, דהאיסור הראשון</w:t>
      </w:r>
      <w:r w:rsidRPr="00320457">
        <w:rPr>
          <w:rFonts w:hint="cs"/>
          <w:rtl/>
        </w:rPr>
        <w:t xml:space="preserve"> </w:t>
      </w:r>
      <w:r>
        <w:rPr>
          <w:rFonts w:hint="cs"/>
          <w:rtl/>
        </w:rPr>
        <w:t>לא התבטל.</w:t>
      </w:r>
    </w:p>
    <w:p w:rsidR="00A82F1E" w:rsidRPr="00B56D52" w:rsidRDefault="00A82F1E" w:rsidP="00A82F1E">
      <w:pPr>
        <w:pStyle w:val="1"/>
        <w:rPr>
          <w:rtl/>
        </w:rPr>
      </w:pPr>
      <w:bookmarkStart w:id="10340" w:name="_Toc19738431"/>
      <w:bookmarkStart w:id="10341" w:name="_Toc19792251"/>
      <w:r>
        <w:rPr>
          <w:rFonts w:hint="cs"/>
          <w:rtl/>
        </w:rPr>
        <w:t>ביאורי החזו"א דאחר שנאסר דינו כנבילה ויש בו חנ"נ</w:t>
      </w:r>
      <w:bookmarkEnd w:id="10340"/>
      <w:bookmarkEnd w:id="10341"/>
    </w:p>
    <w:p w:rsidR="00A82F1E" w:rsidRDefault="00A82F1E" w:rsidP="00A82F1E">
      <w:pPr>
        <w:pStyle w:val="a2"/>
        <w:rPr>
          <w:rtl/>
        </w:rPr>
      </w:pPr>
      <w:bookmarkStart w:id="10342" w:name="_Toc19738432"/>
      <w:bookmarkStart w:id="10343" w:name="_Toc19792252"/>
      <w:r>
        <w:rPr>
          <w:rFonts w:hint="cs"/>
          <w:rtl/>
        </w:rPr>
        <w:t>דברי החזו"א דכיון שהתערובת נאסרה והאיסור עצמו עדיין אסור רק כשנפגמה כנבילה מותר</w:t>
      </w:r>
      <w:bookmarkEnd w:id="10342"/>
      <w:bookmarkEnd w:id="10343"/>
    </w:p>
    <w:p w:rsidR="00A82F1E" w:rsidRPr="004F1CF4" w:rsidRDefault="00A82F1E" w:rsidP="009F44AF">
      <w:pPr>
        <w:pStyle w:val="a"/>
        <w:rPr>
          <w:rtl/>
        </w:rPr>
      </w:pPr>
      <w:r w:rsidRPr="004F1CF4">
        <w:rPr>
          <w:rStyle w:val="af8"/>
          <w:rFonts w:hint="cs"/>
          <w:rtl/>
        </w:rPr>
        <w:t>והחזו"א</w:t>
      </w:r>
      <w:r w:rsidRPr="004F1CF4">
        <w:rPr>
          <w:rStyle w:val="af6"/>
          <w:rFonts w:eastAsia="Guttman Hodes" w:hint="cs"/>
          <w:rtl/>
        </w:rPr>
        <w:t xml:space="preserve"> (סי' ט"ו סק"ז </w:t>
      </w:r>
      <w:r>
        <w:rPr>
          <w:rStyle w:val="af6"/>
          <w:rFonts w:eastAsia="Guttman Hodes" w:hint="cs"/>
          <w:rtl/>
        </w:rPr>
        <w:t>על תו</w:t>
      </w:r>
      <w:r w:rsidRPr="004F1CF4">
        <w:rPr>
          <w:rStyle w:val="af6"/>
          <w:rFonts w:eastAsia="Guttman Hodes" w:hint="cs"/>
          <w:rtl/>
        </w:rPr>
        <w:t xml:space="preserve">ד"ה אמר, או"ח סי' קט"ז סק"ב) </w:t>
      </w:r>
      <w:r w:rsidRPr="004F1CF4">
        <w:rPr>
          <w:rFonts w:hint="cs"/>
          <w:rtl/>
        </w:rPr>
        <w:t>ביאר בדעת עולא דר"מ ור"ש פליג</w:t>
      </w:r>
      <w:r>
        <w:rPr>
          <w:rFonts w:hint="cs"/>
          <w:rtl/>
        </w:rPr>
        <w:t>י</w:t>
      </w:r>
      <w:r w:rsidRPr="004F1CF4">
        <w:rPr>
          <w:rFonts w:hint="cs"/>
          <w:rtl/>
        </w:rPr>
        <w:t xml:space="preserve"> בסברא,</w:t>
      </w:r>
      <w:r>
        <w:rPr>
          <w:rFonts w:hint="cs"/>
          <w:rtl/>
        </w:rPr>
        <w:t xml:space="preserve"> ואף דנותן טעם לפגם מותר לכו"ע, מ"מ </w:t>
      </w:r>
      <w:r w:rsidRPr="004F1CF4">
        <w:rPr>
          <w:rFonts w:hint="cs"/>
          <w:rtl/>
        </w:rPr>
        <w:t xml:space="preserve">בהשביח ולבסוף פגם אסור, </w:t>
      </w:r>
      <w:r>
        <w:rPr>
          <w:rFonts w:hint="cs"/>
          <w:rtl/>
        </w:rPr>
        <w:t>ד</w:t>
      </w:r>
      <w:r w:rsidRPr="004F1CF4">
        <w:rPr>
          <w:rFonts w:hint="cs"/>
          <w:rtl/>
        </w:rPr>
        <w:t xml:space="preserve">כיון </w:t>
      </w:r>
      <w:r>
        <w:rPr>
          <w:rFonts w:hint="cs"/>
          <w:rtl/>
        </w:rPr>
        <w:t>שבשעת השבח</w:t>
      </w:r>
      <w:r w:rsidRPr="004F1CF4">
        <w:rPr>
          <w:rFonts w:hint="cs"/>
          <w:rtl/>
        </w:rPr>
        <w:t xml:space="preserve"> חל על התערובת איסור מדין טעם כעיקר, </w:t>
      </w:r>
      <w:r>
        <w:rPr>
          <w:rFonts w:hint="cs"/>
          <w:rtl/>
        </w:rPr>
        <w:t>א"כ</w:t>
      </w:r>
      <w:r w:rsidRPr="004F1CF4">
        <w:rPr>
          <w:rFonts w:hint="cs"/>
          <w:rtl/>
        </w:rPr>
        <w:t xml:space="preserve"> </w:t>
      </w:r>
      <w:r>
        <w:rPr>
          <w:rFonts w:hint="cs"/>
          <w:rtl/>
        </w:rPr>
        <w:t>דין התערובת כדין נבילה ו</w:t>
      </w:r>
      <w:r w:rsidRPr="004F1CF4">
        <w:rPr>
          <w:rFonts w:hint="cs"/>
          <w:rtl/>
        </w:rPr>
        <w:t>א"א להתיר</w:t>
      </w:r>
      <w:r>
        <w:rPr>
          <w:rFonts w:hint="cs"/>
          <w:rtl/>
        </w:rPr>
        <w:t>ה</w:t>
      </w:r>
      <w:r w:rsidRPr="004F1CF4">
        <w:rPr>
          <w:rFonts w:hint="cs"/>
          <w:rtl/>
        </w:rPr>
        <w:t xml:space="preserve"> כל שהיא ראויה לגר, כנבילה שאסורה כל שהיא ראויה לגר, </w:t>
      </w:r>
      <w:r>
        <w:rPr>
          <w:rFonts w:hint="cs"/>
          <w:rtl/>
        </w:rPr>
        <w:t>ואף שעכשיו נפגם ה</w:t>
      </w:r>
      <w:r w:rsidRPr="004F1CF4">
        <w:rPr>
          <w:rFonts w:hint="cs"/>
          <w:rtl/>
        </w:rPr>
        <w:t xml:space="preserve">איסור </w:t>
      </w:r>
      <w:r>
        <w:rPr>
          <w:rFonts w:hint="cs"/>
          <w:rtl/>
        </w:rPr>
        <w:t xml:space="preserve">מ"מ כיון </w:t>
      </w:r>
      <w:r w:rsidRPr="004F1CF4">
        <w:rPr>
          <w:rFonts w:hint="cs"/>
          <w:rtl/>
        </w:rPr>
        <w:t>ש</w:t>
      </w:r>
      <w:r>
        <w:rPr>
          <w:rFonts w:hint="cs"/>
          <w:rtl/>
        </w:rPr>
        <w:t>הוא רק לא</w:t>
      </w:r>
      <w:r w:rsidRPr="004F1CF4">
        <w:rPr>
          <w:rFonts w:hint="cs"/>
          <w:rtl/>
        </w:rPr>
        <w:t xml:space="preserve"> משביח את התערובת</w:t>
      </w:r>
      <w:r>
        <w:rPr>
          <w:rFonts w:hint="cs"/>
          <w:rtl/>
        </w:rPr>
        <w:t xml:space="preserve"> אך אינו פוסלה מאכילה,</w:t>
      </w:r>
      <w:r w:rsidRPr="004F1CF4">
        <w:rPr>
          <w:rFonts w:hint="cs"/>
          <w:rtl/>
        </w:rPr>
        <w:t xml:space="preserve"> א"א להתיר</w:t>
      </w:r>
      <w:r>
        <w:rPr>
          <w:rFonts w:hint="cs"/>
          <w:rtl/>
        </w:rPr>
        <w:t xml:space="preserve">ה </w:t>
      </w:r>
      <w:r w:rsidRPr="004F1CF4">
        <w:rPr>
          <w:rFonts w:hint="cs"/>
          <w:rtl/>
        </w:rPr>
        <w:t xml:space="preserve">כנבילה, </w:t>
      </w:r>
      <w:r>
        <w:rPr>
          <w:rFonts w:hint="cs"/>
          <w:rtl/>
        </w:rPr>
        <w:t>כיון שה</w:t>
      </w:r>
      <w:r w:rsidRPr="004F1CF4">
        <w:rPr>
          <w:rFonts w:hint="cs"/>
          <w:rtl/>
        </w:rPr>
        <w:t xml:space="preserve">איסור עצמו, עדיין </w:t>
      </w:r>
      <w:r>
        <w:rPr>
          <w:rFonts w:hint="cs"/>
          <w:rtl/>
        </w:rPr>
        <w:t xml:space="preserve">הוא </w:t>
      </w:r>
      <w:r w:rsidRPr="004F1CF4">
        <w:rPr>
          <w:rFonts w:hint="cs"/>
          <w:rtl/>
        </w:rPr>
        <w:t xml:space="preserve">אסור לכו"ע. </w:t>
      </w:r>
      <w:r>
        <w:rPr>
          <w:rFonts w:hint="cs"/>
          <w:rtl/>
        </w:rPr>
        <w:t>[</w:t>
      </w:r>
      <w:r w:rsidRPr="004F1CF4">
        <w:rPr>
          <w:rFonts w:hint="cs"/>
          <w:rtl/>
        </w:rPr>
        <w:t xml:space="preserve">ועי' במה שביאר </w:t>
      </w:r>
      <w:r w:rsidRPr="006659A9">
        <w:rPr>
          <w:rStyle w:val="af8"/>
          <w:rFonts w:hint="cs"/>
          <w:rtl/>
        </w:rPr>
        <w:t>החזו"א</w:t>
      </w:r>
      <w:r w:rsidRPr="004F1CF4">
        <w:rPr>
          <w:rFonts w:hint="cs"/>
          <w:rtl/>
        </w:rPr>
        <w:t xml:space="preserve"> </w:t>
      </w:r>
      <w:r w:rsidRPr="00AE12EC">
        <w:rPr>
          <w:rStyle w:val="af6"/>
          <w:rFonts w:eastAsia="Guttman Hodes" w:hint="cs"/>
          <w:rtl/>
        </w:rPr>
        <w:t xml:space="preserve">(עי' אות </w:t>
      </w:r>
      <w:r w:rsidRPr="00AE12EC">
        <w:rPr>
          <w:rStyle w:val="af6"/>
          <w:rFonts w:eastAsia="Guttman Hodes"/>
          <w:rtl/>
        </w:rPr>
        <w:fldChar w:fldCharType="begin"/>
      </w:r>
      <w:r w:rsidRPr="00AE12EC">
        <w:rPr>
          <w:rStyle w:val="af6"/>
          <w:rFonts w:eastAsia="Guttman Hodes"/>
          <w:rtl/>
        </w:rPr>
        <w:instrText xml:space="preserve"> </w:instrText>
      </w:r>
      <w:r w:rsidRPr="00AE12EC">
        <w:rPr>
          <w:rStyle w:val="af6"/>
          <w:rFonts w:eastAsia="Guttman Hodes" w:hint="cs"/>
        </w:rPr>
        <w:instrText>REF</w:instrText>
      </w:r>
      <w:r w:rsidRPr="00AE12EC">
        <w:rPr>
          <w:rStyle w:val="af6"/>
          <w:rFonts w:eastAsia="Guttman Hodes" w:hint="cs"/>
          <w:rtl/>
        </w:rPr>
        <w:instrText xml:space="preserve"> _</w:instrText>
      </w:r>
      <w:r w:rsidRPr="00AE12EC">
        <w:rPr>
          <w:rStyle w:val="af6"/>
          <w:rFonts w:eastAsia="Guttman Hodes" w:hint="cs"/>
        </w:rPr>
        <w:instrText>Ref19734187 \r \h</w:instrText>
      </w:r>
      <w:r w:rsidRPr="00AE12EC">
        <w:rPr>
          <w:rStyle w:val="af6"/>
          <w:rFonts w:eastAsia="Guttman Hodes"/>
          <w:rtl/>
        </w:rPr>
        <w:instrText xml:space="preserve"> </w:instrText>
      </w:r>
      <w:r w:rsidRPr="00AE12EC">
        <w:rPr>
          <w:rStyle w:val="af6"/>
          <w:rFonts w:eastAsia="Guttman Hodes"/>
          <w:rtl/>
        </w:rPr>
      </w:r>
      <w:r w:rsidRPr="00AE12EC">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AE12EC">
        <w:rPr>
          <w:rStyle w:val="af6"/>
          <w:rFonts w:eastAsia="Guttman Hodes"/>
          <w:rtl/>
        </w:rPr>
        <w:fldChar w:fldCharType="end"/>
      </w:r>
      <w:r w:rsidRPr="004F1CF4">
        <w:rPr>
          <w:rFonts w:hint="cs"/>
          <w:rtl/>
        </w:rPr>
        <w:t xml:space="preserve"> בדעת ר"ש אליבא דעולא דמתיר בהשביח ולבסוף פגם</w:t>
      </w:r>
      <w:r>
        <w:rPr>
          <w:rFonts w:hint="cs"/>
          <w:rtl/>
        </w:rPr>
        <w:t>]</w:t>
      </w:r>
      <w:r w:rsidRPr="004F1CF4">
        <w:rPr>
          <w:rFonts w:hint="cs"/>
          <w:rtl/>
        </w:rPr>
        <w:t>.</w:t>
      </w:r>
    </w:p>
    <w:p w:rsidR="00A82F1E" w:rsidRPr="004F1CF4" w:rsidRDefault="00A82F1E" w:rsidP="00A82F1E">
      <w:pPr>
        <w:pStyle w:val="a2"/>
      </w:pPr>
      <w:bookmarkStart w:id="10344" w:name="_Toc19738433"/>
      <w:bookmarkStart w:id="10345" w:name="_Toc19792253"/>
      <w:r>
        <w:rPr>
          <w:rFonts w:hint="cs"/>
          <w:rtl/>
        </w:rPr>
        <w:t>דברי החזו"א דאף שהאיסור היה מדין טע"כ ועכשיו הטעם פגום מ"מ אסור מדין חנ"נ</w:t>
      </w:r>
      <w:bookmarkEnd w:id="10344"/>
      <w:bookmarkEnd w:id="10345"/>
    </w:p>
    <w:p w:rsidR="00A82F1E" w:rsidRPr="004F1CF4" w:rsidRDefault="00A82F1E" w:rsidP="009F44AF">
      <w:pPr>
        <w:pStyle w:val="a"/>
        <w:rPr>
          <w:rtl/>
        </w:rPr>
      </w:pPr>
      <w:r w:rsidRPr="004F1CF4">
        <w:rPr>
          <w:rFonts w:hint="cs"/>
          <w:rtl/>
        </w:rPr>
        <w:t xml:space="preserve">והוסיף </w:t>
      </w:r>
      <w:r w:rsidRPr="004F1CF4">
        <w:rPr>
          <w:rStyle w:val="af8"/>
          <w:rFonts w:hint="cs"/>
          <w:rtl/>
        </w:rPr>
        <w:t>החזו"א</w:t>
      </w:r>
      <w:r w:rsidRPr="004F1CF4">
        <w:rPr>
          <w:rStyle w:val="af6"/>
          <w:rFonts w:eastAsia="Guttman Hodes" w:hint="cs"/>
          <w:rtl/>
        </w:rPr>
        <w:t xml:space="preserve">  (סי' ט"ו סק"ז </w:t>
      </w:r>
      <w:r>
        <w:rPr>
          <w:rStyle w:val="af6"/>
          <w:rFonts w:eastAsia="Guttman Hodes" w:hint="cs"/>
          <w:rtl/>
        </w:rPr>
        <w:t>על תו</w:t>
      </w:r>
      <w:r w:rsidRPr="004F1CF4">
        <w:rPr>
          <w:rStyle w:val="af6"/>
          <w:rFonts w:eastAsia="Guttman Hodes" w:hint="cs"/>
          <w:rtl/>
        </w:rPr>
        <w:t>ד"ה אבל, או"ח סי' קט"ז סק"ב)</w:t>
      </w:r>
      <w:r w:rsidRPr="004F1CF4">
        <w:rPr>
          <w:rFonts w:hint="cs"/>
          <w:rtl/>
        </w:rPr>
        <w:t xml:space="preserve"> </w:t>
      </w:r>
      <w:r>
        <w:rPr>
          <w:rFonts w:hint="cs"/>
          <w:rtl/>
        </w:rPr>
        <w:t>דלהצד בגמ' ב</w:t>
      </w:r>
      <w:r w:rsidRPr="004F1CF4">
        <w:rPr>
          <w:rFonts w:hint="cs"/>
          <w:rtl/>
        </w:rPr>
        <w:t>דעת ריו"ח דבהשביח ולבסוף פגם</w:t>
      </w:r>
      <w:r w:rsidRPr="00A73F43">
        <w:rPr>
          <w:rFonts w:hint="cs"/>
          <w:rtl/>
        </w:rPr>
        <w:t xml:space="preserve"> </w:t>
      </w:r>
      <w:r w:rsidRPr="004F1CF4">
        <w:rPr>
          <w:rFonts w:hint="cs"/>
          <w:rtl/>
        </w:rPr>
        <w:t>אסור לכו"ע</w:t>
      </w:r>
      <w:r>
        <w:rPr>
          <w:rFonts w:hint="cs"/>
          <w:rtl/>
        </w:rPr>
        <w:t>, הביאור הוא</w:t>
      </w:r>
      <w:r w:rsidRPr="004F1CF4">
        <w:rPr>
          <w:rFonts w:hint="cs"/>
          <w:rtl/>
        </w:rPr>
        <w:t xml:space="preserve"> </w:t>
      </w:r>
      <w:r>
        <w:rPr>
          <w:rFonts w:hint="cs"/>
          <w:rtl/>
        </w:rPr>
        <w:t xml:space="preserve">דכיון שכשנפגם עדיין הוא ראוי לגר, וכ"מ דמהני הפגימה שלו היא להתירו מדין טעם כעיקר, ולכן לכו"ע אמרינן דכיון שבשעה שהשביח חל עליו איסור, חשיב דהוא כמו דין חתיכה עצמה נעשית נבילה </w:t>
      </w:r>
      <w:r w:rsidRPr="00780FDF">
        <w:rPr>
          <w:rStyle w:val="af6"/>
          <w:rFonts w:eastAsia="Guttman Hodes" w:hint="cs"/>
          <w:rtl/>
        </w:rPr>
        <w:t>(לקמן קח.)</w:t>
      </w:r>
      <w:r>
        <w:rPr>
          <w:rFonts w:hint="cs"/>
          <w:rtl/>
        </w:rPr>
        <w:t>, שאינה חוזרת ומותרת בפגום במקצת, ורק כשאינה ראויה לגר היא מותרת.</w:t>
      </w:r>
      <w:r w:rsidRPr="004F1CF4">
        <w:rPr>
          <w:rFonts w:hint="cs"/>
          <w:rtl/>
        </w:rPr>
        <w:t xml:space="preserve"> </w:t>
      </w:r>
    </w:p>
    <w:p w:rsidR="00A82F1E" w:rsidRDefault="00A82F1E" w:rsidP="00A82F1E">
      <w:pPr>
        <w:pStyle w:val="1"/>
        <w:rPr>
          <w:rtl/>
        </w:rPr>
      </w:pPr>
      <w:bookmarkStart w:id="10346" w:name="_Toc19738434"/>
      <w:bookmarkStart w:id="10347" w:name="_Toc19792254"/>
      <w:r>
        <w:rPr>
          <w:rFonts w:hint="cs"/>
          <w:rtl/>
        </w:rPr>
        <w:t>משמעות המאירי והב"י דהיתר נטל"פ רק כשאינו משביח כלל</w:t>
      </w:r>
      <w:bookmarkEnd w:id="10346"/>
      <w:bookmarkEnd w:id="10347"/>
    </w:p>
    <w:p w:rsidR="00A82F1E" w:rsidRPr="006659A9" w:rsidRDefault="00A82F1E" w:rsidP="00A82F1E">
      <w:pPr>
        <w:pStyle w:val="a2"/>
        <w:rPr>
          <w:rtl/>
        </w:rPr>
      </w:pPr>
      <w:bookmarkStart w:id="10348" w:name="_Toc19738435"/>
      <w:bookmarkStart w:id="10349" w:name="_Toc19792255"/>
      <w:r>
        <w:rPr>
          <w:rFonts w:hint="cs"/>
          <w:rtl/>
        </w:rPr>
        <w:t>משמעות הב"י דאיסור השביח ולבסוף פגם אינו כיון דנאסר אלא דאינו פגום מתחילה ועד סוף</w:t>
      </w:r>
      <w:bookmarkEnd w:id="10348"/>
      <w:bookmarkEnd w:id="10349"/>
    </w:p>
    <w:p w:rsidR="00A82F1E" w:rsidRDefault="00A82F1E" w:rsidP="009F44AF">
      <w:pPr>
        <w:pStyle w:val="a"/>
        <w:rPr>
          <w:rStyle w:val="afa"/>
          <w:rtl/>
        </w:rPr>
      </w:pPr>
      <w:r w:rsidRPr="004F1CF4">
        <w:rPr>
          <w:rFonts w:hint="cs"/>
          <w:rtl/>
        </w:rPr>
        <w:t xml:space="preserve">ועי' במ"ש </w:t>
      </w:r>
      <w:r w:rsidRPr="00E3358C">
        <w:rPr>
          <w:rStyle w:val="af8"/>
          <w:rFonts w:hint="cs"/>
          <w:rtl/>
        </w:rPr>
        <w:t>הב"י והכס"מ</w:t>
      </w:r>
      <w:r w:rsidRPr="004F1CF4">
        <w:rPr>
          <w:rFonts w:hint="cs"/>
          <w:rtl/>
        </w:rPr>
        <w:t xml:space="preserve"> </w:t>
      </w:r>
      <w:r w:rsidRPr="00E3358C">
        <w:rPr>
          <w:rStyle w:val="af6"/>
          <w:rFonts w:eastAsia="Guttman Hodes" w:hint="cs"/>
          <w:rtl/>
        </w:rPr>
        <w:t xml:space="preserve">(עי' אות </w:t>
      </w:r>
      <w:r w:rsidRPr="00E3358C">
        <w:rPr>
          <w:rStyle w:val="af6"/>
          <w:rFonts w:eastAsia="Guttman Hodes"/>
          <w:rtl/>
        </w:rPr>
        <w:fldChar w:fldCharType="begin"/>
      </w:r>
      <w:r w:rsidRPr="00E3358C">
        <w:rPr>
          <w:rStyle w:val="af6"/>
          <w:rFonts w:eastAsia="Guttman Hodes"/>
          <w:rtl/>
        </w:rPr>
        <w:instrText xml:space="preserve"> </w:instrText>
      </w:r>
      <w:r w:rsidRPr="00E3358C">
        <w:rPr>
          <w:rStyle w:val="af6"/>
          <w:rFonts w:eastAsia="Guttman Hodes" w:hint="cs"/>
        </w:rPr>
        <w:instrText>REF</w:instrText>
      </w:r>
      <w:r w:rsidRPr="00E3358C">
        <w:rPr>
          <w:rStyle w:val="af6"/>
          <w:rFonts w:eastAsia="Guttman Hodes" w:hint="cs"/>
          <w:rtl/>
        </w:rPr>
        <w:instrText xml:space="preserve"> _</w:instrText>
      </w:r>
      <w:r w:rsidRPr="00E3358C">
        <w:rPr>
          <w:rStyle w:val="af6"/>
          <w:rFonts w:eastAsia="Guttman Hodes" w:hint="cs"/>
        </w:rPr>
        <w:instrText>Ref19726043 \r \h</w:instrText>
      </w:r>
      <w:r w:rsidRPr="00E3358C">
        <w:rPr>
          <w:rStyle w:val="af6"/>
          <w:rFonts w:eastAsia="Guttman Hodes"/>
          <w:rtl/>
        </w:rPr>
        <w:instrText xml:space="preserve">  \* </w:instrText>
      </w:r>
      <w:r w:rsidRPr="00E3358C">
        <w:rPr>
          <w:rStyle w:val="af6"/>
          <w:rFonts w:eastAsia="Guttman Hodes"/>
        </w:rPr>
        <w:instrText>MERGEFORMAT</w:instrText>
      </w:r>
      <w:r w:rsidRPr="00E3358C">
        <w:rPr>
          <w:rStyle w:val="af6"/>
          <w:rFonts w:eastAsia="Guttman Hodes"/>
          <w:rtl/>
        </w:rPr>
        <w:instrText xml:space="preserve"> </w:instrText>
      </w:r>
      <w:r w:rsidRPr="00E3358C">
        <w:rPr>
          <w:rStyle w:val="af6"/>
          <w:rFonts w:eastAsia="Guttman Hodes"/>
          <w:rtl/>
        </w:rPr>
      </w:r>
      <w:r w:rsidRPr="00E3358C">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E3358C">
        <w:rPr>
          <w:rStyle w:val="af6"/>
          <w:rFonts w:eastAsia="Guttman Hodes"/>
          <w:rtl/>
        </w:rPr>
        <w:fldChar w:fldCharType="end"/>
      </w:r>
      <w:r w:rsidRPr="004F1CF4">
        <w:rPr>
          <w:rFonts w:hint="cs"/>
          <w:rtl/>
        </w:rPr>
        <w:t xml:space="preserve"> דכיון דאמרינן דבהשביח ולבסוף פגם אסור, א"כ ק"ו דאסור בפגם ולבסוף השביח, דהא בהשביח ולבסוף פגם אסור, אעפ"י דהשבח שהיה הוא שבח שעומד להפגם, מ"מ כיון שהשביח בתחילה אסור, א"כ כ"ש דאסור בפגם ולבסוף השביח, דהפגם שהיה בתחילה אינו נחשב פגם כיון שהוא עומד להשביח, ועי' במה שדחה </w:t>
      </w:r>
      <w:r w:rsidRPr="004F1CF4">
        <w:rPr>
          <w:rStyle w:val="af8"/>
          <w:rFonts w:hint="cs"/>
          <w:rtl/>
        </w:rPr>
        <w:t>הפר"ח</w:t>
      </w:r>
      <w:r w:rsidRPr="004F1CF4">
        <w:rPr>
          <w:rStyle w:val="af6"/>
          <w:rFonts w:eastAsia="Guttman Hodes" w:hint="cs"/>
          <w:rtl/>
        </w:rPr>
        <w:t xml:space="preserve"> (עי' אות </w:t>
      </w:r>
      <w:r w:rsidRPr="004F1CF4">
        <w:rPr>
          <w:rStyle w:val="af6"/>
          <w:rFonts w:eastAsia="Guttman Hodes"/>
          <w:rtl/>
        </w:rPr>
        <w:fldChar w:fldCharType="begin"/>
      </w:r>
      <w:r w:rsidRPr="004F1CF4">
        <w:rPr>
          <w:rStyle w:val="af6"/>
          <w:rFonts w:eastAsia="Guttman Hodes"/>
          <w:rtl/>
        </w:rPr>
        <w:instrText xml:space="preserve"> </w:instrText>
      </w:r>
      <w:r w:rsidRPr="004F1CF4">
        <w:rPr>
          <w:rStyle w:val="af6"/>
          <w:rFonts w:eastAsia="Guttman Hodes" w:hint="cs"/>
        </w:rPr>
        <w:instrText>REF</w:instrText>
      </w:r>
      <w:r w:rsidRPr="004F1CF4">
        <w:rPr>
          <w:rStyle w:val="af6"/>
          <w:rFonts w:eastAsia="Guttman Hodes" w:hint="cs"/>
          <w:rtl/>
        </w:rPr>
        <w:instrText xml:space="preserve"> _</w:instrText>
      </w:r>
      <w:r w:rsidRPr="004F1CF4">
        <w:rPr>
          <w:rStyle w:val="af6"/>
          <w:rFonts w:eastAsia="Guttman Hodes" w:hint="cs"/>
        </w:rPr>
        <w:instrText>Ref19726092 \r \h</w:instrText>
      </w:r>
      <w:r w:rsidRPr="004F1CF4">
        <w:rPr>
          <w:rStyle w:val="af6"/>
          <w:rFonts w:eastAsia="Guttman Hodes"/>
          <w:rtl/>
        </w:rPr>
        <w:instrText xml:space="preserve">  \* </w:instrText>
      </w:r>
      <w:r w:rsidRPr="004F1CF4">
        <w:rPr>
          <w:rStyle w:val="af6"/>
          <w:rFonts w:eastAsia="Guttman Hodes"/>
        </w:rPr>
        <w:instrText>MERGEFORMAT</w:instrText>
      </w:r>
      <w:r w:rsidRPr="004F1CF4">
        <w:rPr>
          <w:rStyle w:val="af6"/>
          <w:rFonts w:eastAsia="Guttman Hodes"/>
          <w:rtl/>
        </w:rPr>
        <w:instrText xml:space="preserve"> </w:instrText>
      </w:r>
      <w:r w:rsidRPr="004F1CF4">
        <w:rPr>
          <w:rStyle w:val="af6"/>
          <w:rFonts w:eastAsia="Guttman Hodes"/>
          <w:rtl/>
        </w:rPr>
      </w:r>
      <w:r w:rsidRPr="004F1CF4">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4F1CF4">
        <w:rPr>
          <w:rStyle w:val="af6"/>
          <w:rFonts w:eastAsia="Guttman Hodes"/>
          <w:rtl/>
        </w:rPr>
        <w:fldChar w:fldCharType="end"/>
      </w:r>
      <w:r w:rsidRPr="004F1CF4">
        <w:rPr>
          <w:rStyle w:val="af6"/>
          <w:rFonts w:eastAsia="Guttman Hodes" w:hint="cs"/>
          <w:rtl/>
        </w:rPr>
        <w:t xml:space="preserve"> </w:t>
      </w:r>
      <w:r w:rsidRPr="004F1CF4">
        <w:rPr>
          <w:rFonts w:hint="cs"/>
          <w:rtl/>
        </w:rPr>
        <w:t xml:space="preserve">את דברי </w:t>
      </w:r>
      <w:r w:rsidRPr="004F1CF4">
        <w:rPr>
          <w:rStyle w:val="af8"/>
          <w:rFonts w:hint="cs"/>
          <w:rtl/>
        </w:rPr>
        <w:t>הב"י והכס"מ</w:t>
      </w:r>
      <w:r w:rsidRPr="004F1CF4">
        <w:rPr>
          <w:rFonts w:hint="cs"/>
          <w:rtl/>
        </w:rPr>
        <w:t xml:space="preserve"> דאי"ז כ"ש, דאפש"ל דדוקא בהשביח ולבסוף פגם אסור, כיון שאחר שנאסר בשעה שהשביח א"א להתירו אח"כ אא"כ נעשה פגום לגמרי, משא"כ בפגום ולבסוף השביח.</w:t>
      </w:r>
      <w:r w:rsidRPr="00C662F2">
        <w:rPr>
          <w:rStyle w:val="afa"/>
          <w:rFonts w:hint="cs"/>
          <w:rtl/>
        </w:rPr>
        <w:t xml:space="preserve"> [ומשמע מדברי הב"י דסברת האיסור בהשביח ולבסוף פגם היא דההיתר בנותן טעם לפגם הוא רק בפגם גמור, דפוגם מתחילה ועד סוף, אבל אם משביח בתחילה או בסוף אין לו היתר נותן טעם לפגם].</w:t>
      </w:r>
    </w:p>
    <w:p w:rsidR="00A82F1E" w:rsidRDefault="00A82F1E" w:rsidP="00A82F1E">
      <w:pPr>
        <w:pStyle w:val="a2"/>
        <w:rPr>
          <w:rtl/>
        </w:rPr>
      </w:pPr>
      <w:bookmarkStart w:id="10350" w:name="_Toc19738436"/>
      <w:bookmarkStart w:id="10351" w:name="_Toc19792256"/>
      <w:r>
        <w:rPr>
          <w:rFonts w:hint="cs"/>
          <w:rtl/>
        </w:rPr>
        <w:t>משמעות המאירי דהשביח ולבסוף פגם ופגם ולבסוף השביח אסורים כיון שיש בהם שבח</w:t>
      </w:r>
      <w:bookmarkEnd w:id="10350"/>
      <w:bookmarkEnd w:id="10351"/>
    </w:p>
    <w:p w:rsidR="00A82F1E" w:rsidRPr="00382ED7" w:rsidRDefault="00A82F1E" w:rsidP="009F44AF">
      <w:pPr>
        <w:pStyle w:val="a"/>
        <w:rPr>
          <w:rtl/>
        </w:rPr>
      </w:pPr>
      <w:r>
        <w:rPr>
          <w:rFonts w:hint="cs"/>
          <w:rtl/>
        </w:rPr>
        <w:t>וכן משמע מדברי</w:t>
      </w:r>
      <w:r w:rsidRPr="00020A5B">
        <w:rPr>
          <w:rFonts w:hint="cs"/>
          <w:rtl/>
        </w:rPr>
        <w:t xml:space="preserve"> </w:t>
      </w:r>
      <w:r w:rsidRPr="00082AD3">
        <w:rPr>
          <w:rStyle w:val="af8"/>
          <w:rFonts w:hint="cs"/>
          <w:rtl/>
        </w:rPr>
        <w:t xml:space="preserve">המאירי </w:t>
      </w:r>
      <w:r w:rsidRPr="00082AD3">
        <w:rPr>
          <w:rStyle w:val="af6"/>
          <w:rFonts w:eastAsia="Guttman Hodes" w:hint="cs"/>
          <w:rtl/>
        </w:rPr>
        <w:t>(סז. ד"ה כבר)</w:t>
      </w:r>
      <w:r>
        <w:rPr>
          <w:rFonts w:hint="cs"/>
          <w:rtl/>
        </w:rPr>
        <w:t xml:space="preserve"> דכתב דהשביח ולבסוף פגם אסור, וה"ה פגם ולבסוף השביח, וההיתר בנותן טעם לפגם הוא רק </w:t>
      </w:r>
      <w:r>
        <w:rPr>
          <w:rFonts w:hint="cs"/>
          <w:rtl/>
        </w:rPr>
        <w:t>בהשביח מתחילה ועד סוף, ומשמע מדברי</w:t>
      </w:r>
      <w:r w:rsidRPr="00020A5B">
        <w:rPr>
          <w:rFonts w:hint="cs"/>
          <w:rtl/>
        </w:rPr>
        <w:t xml:space="preserve"> </w:t>
      </w:r>
      <w:r w:rsidRPr="00082AD3">
        <w:rPr>
          <w:rStyle w:val="af8"/>
          <w:rFonts w:hint="cs"/>
          <w:rtl/>
        </w:rPr>
        <w:t xml:space="preserve">המאירי </w:t>
      </w:r>
      <w:r>
        <w:rPr>
          <w:rFonts w:hint="cs"/>
          <w:rtl/>
        </w:rPr>
        <w:t>דכל ההיתר בנותן טעם לפגם, הוא רק בדבר שאינו משביח כלל.</w:t>
      </w:r>
    </w:p>
    <w:p w:rsidR="00A82F1E" w:rsidRDefault="00A82F1E" w:rsidP="00A82F1E">
      <w:pPr>
        <w:pStyle w:val="1"/>
        <w:rPr>
          <w:rtl/>
        </w:rPr>
      </w:pPr>
      <w:bookmarkStart w:id="10352" w:name="_Toc19738437"/>
      <w:bookmarkStart w:id="10353" w:name="_Toc19792257"/>
      <w:r w:rsidRPr="00777671">
        <w:rPr>
          <w:rFonts w:hint="cs"/>
          <w:rtl/>
        </w:rPr>
        <w:t xml:space="preserve">דברי </w:t>
      </w:r>
      <w:r>
        <w:rPr>
          <w:rFonts w:hint="cs"/>
          <w:rtl/>
        </w:rPr>
        <w:t xml:space="preserve">חי' הרי"ם </w:t>
      </w:r>
      <w:bookmarkEnd w:id="10338"/>
      <w:bookmarkEnd w:id="10339"/>
      <w:r>
        <w:rPr>
          <w:rFonts w:hint="cs"/>
          <w:rtl/>
        </w:rPr>
        <w:t>דהאיסור הוא מדין נהפך דההיתר כבר נאסר</w:t>
      </w:r>
      <w:bookmarkEnd w:id="10352"/>
      <w:bookmarkEnd w:id="10353"/>
    </w:p>
    <w:p w:rsidR="00A82F1E" w:rsidRPr="00777671" w:rsidRDefault="00A82F1E" w:rsidP="00A82F1E">
      <w:pPr>
        <w:pStyle w:val="a2"/>
        <w:rPr>
          <w:rtl/>
        </w:rPr>
      </w:pPr>
      <w:bookmarkStart w:id="10354" w:name="_Toc19738438"/>
      <w:bookmarkStart w:id="10355" w:name="_Toc19792258"/>
      <w:r>
        <w:rPr>
          <w:rFonts w:hint="cs"/>
          <w:rtl/>
        </w:rPr>
        <w:t>קושית חי' הרי"ם דבהשביח ולבסוף פגם הטעם עכשיו פגום ואינו אסור ומאי נ"מ מה היה כשנפל</w:t>
      </w:r>
      <w:bookmarkEnd w:id="10354"/>
      <w:bookmarkEnd w:id="10355"/>
    </w:p>
    <w:p w:rsidR="00A82F1E" w:rsidRPr="00777671" w:rsidRDefault="00A82F1E" w:rsidP="009F44AF">
      <w:pPr>
        <w:pStyle w:val="a"/>
        <w:rPr>
          <w:rtl/>
        </w:rPr>
      </w:pPr>
      <w:r w:rsidRPr="00777671">
        <w:rPr>
          <w:rFonts w:hint="cs"/>
          <w:rtl/>
        </w:rPr>
        <w:t xml:space="preserve">הקשה </w:t>
      </w:r>
      <w:r w:rsidRPr="00777671">
        <w:rPr>
          <w:rStyle w:val="af8"/>
          <w:rFonts w:hint="cs"/>
          <w:rtl/>
        </w:rPr>
        <w:t>בחי' הרי"ם</w:t>
      </w:r>
      <w:r w:rsidRPr="00777671">
        <w:rPr>
          <w:rFonts w:hint="cs"/>
          <w:rtl/>
        </w:rPr>
        <w:t xml:space="preserve"> </w:t>
      </w:r>
      <w:r w:rsidRPr="00777671">
        <w:rPr>
          <w:rStyle w:val="af6"/>
          <w:rFonts w:eastAsia="Guttman Hodes" w:hint="cs"/>
          <w:rtl/>
        </w:rPr>
        <w:t>(סז. ד"ה לא שנו)</w:t>
      </w:r>
      <w:r w:rsidRPr="00777671">
        <w:rPr>
          <w:rFonts w:hint="cs"/>
          <w:rtl/>
        </w:rPr>
        <w:t xml:space="preserve"> דמה הסברא לאסור בהשביח ולבסוף פגם, הרי כיון שבדין טעם כעיקר, אין איסור בטעם פגום, א"כ אף שבתחילה הטעם היה משביח, מ"מ בש</w:t>
      </w:r>
      <w:r>
        <w:rPr>
          <w:rFonts w:hint="cs"/>
          <w:rtl/>
        </w:rPr>
        <w:t>עה שהוא אוכל אינו מרגיש טעם משו</w:t>
      </w:r>
      <w:r w:rsidRPr="00777671">
        <w:rPr>
          <w:rFonts w:hint="cs"/>
          <w:rtl/>
        </w:rPr>
        <w:t>ח אלא טעם פגום שאין בו איסור טעם כעיקר, ומה הנ"מ מה היה הטעם בשעת נפילתו להיתר.</w:t>
      </w:r>
    </w:p>
    <w:p w:rsidR="00A82F1E" w:rsidRPr="00342C65" w:rsidRDefault="00A82F1E" w:rsidP="00A82F1E">
      <w:pPr>
        <w:pStyle w:val="a2"/>
        <w:rPr>
          <w:rtl/>
        </w:rPr>
      </w:pPr>
      <w:bookmarkStart w:id="10356" w:name="_Toc19651800"/>
      <w:bookmarkStart w:id="10357" w:name="_Toc19694910"/>
      <w:bookmarkStart w:id="10358" w:name="_Toc19738439"/>
      <w:bookmarkStart w:id="10359" w:name="_Toc19792259"/>
      <w:r>
        <w:rPr>
          <w:rFonts w:hint="cs"/>
          <w:rtl/>
        </w:rPr>
        <w:t>ביאור החי' הרי"ם דהשביח ולבסוף פגם אסור מדין נהפך</w:t>
      </w:r>
      <w:bookmarkEnd w:id="10356"/>
      <w:bookmarkEnd w:id="10357"/>
      <w:r>
        <w:rPr>
          <w:rFonts w:hint="cs"/>
          <w:rtl/>
        </w:rPr>
        <w:t xml:space="preserve"> דא"א להתיר את ההיתר אחר שנאסר</w:t>
      </w:r>
      <w:bookmarkEnd w:id="10358"/>
      <w:bookmarkEnd w:id="10359"/>
    </w:p>
    <w:p w:rsidR="00A82F1E" w:rsidRDefault="00A82F1E" w:rsidP="009F44AF">
      <w:pPr>
        <w:pStyle w:val="a"/>
        <w:rPr>
          <w:rtl/>
        </w:rPr>
      </w:pPr>
      <w:bookmarkStart w:id="10360" w:name="_Ref19789975"/>
      <w:r w:rsidRPr="00777671">
        <w:rPr>
          <w:rFonts w:hint="cs"/>
          <w:rtl/>
        </w:rPr>
        <w:t xml:space="preserve">וביאר </w:t>
      </w:r>
      <w:r w:rsidRPr="00777671">
        <w:rPr>
          <w:rStyle w:val="af8"/>
          <w:rFonts w:hint="cs"/>
          <w:rtl/>
        </w:rPr>
        <w:t>החי' הרי"ם</w:t>
      </w:r>
      <w:r w:rsidRPr="00777671">
        <w:rPr>
          <w:rFonts w:hint="cs"/>
          <w:rtl/>
        </w:rPr>
        <w:t xml:space="preserve"> דכיון דבטעם כעיקר אמרינן דההיתר נהפך להיות איסור, כדכתב </w:t>
      </w:r>
      <w:r w:rsidRPr="00777671">
        <w:rPr>
          <w:rStyle w:val="af8"/>
          <w:rFonts w:hint="cs"/>
          <w:rtl/>
        </w:rPr>
        <w:t>רש"י בפסחים</w:t>
      </w:r>
      <w:r w:rsidRPr="00777671">
        <w:rPr>
          <w:rFonts w:hint="cs"/>
          <w:rtl/>
        </w:rPr>
        <w:t xml:space="preserve"> </w:t>
      </w:r>
      <w:r w:rsidRPr="00777671">
        <w:rPr>
          <w:rStyle w:val="af6"/>
          <w:rFonts w:eastAsia="Guttman Hodes" w:hint="cs"/>
          <w:rtl/>
        </w:rPr>
        <w:t>(מד: ד"ה מפת, הובא לעיל סימן י' אות א')</w:t>
      </w:r>
      <w:r w:rsidRPr="00777671">
        <w:rPr>
          <w:rFonts w:hint="cs"/>
          <w:rtl/>
        </w:rPr>
        <w:t xml:space="preserve"> דבטעם כעיקר לוקין על אכילת כזית מהתערובת, </w:t>
      </w:r>
      <w:r w:rsidRPr="00777671">
        <w:rPr>
          <w:rStyle w:val="afa"/>
          <w:rFonts w:hint="cs"/>
          <w:rtl/>
        </w:rPr>
        <w:t>[אף שלא אכל כזית מהאיסור עצמו],</w:t>
      </w:r>
      <w:r w:rsidRPr="00777671">
        <w:rPr>
          <w:rFonts w:hint="cs"/>
          <w:rtl/>
        </w:rPr>
        <w:t xml:space="preserve"> לכן בהשביח ולבסוף פגם, דההיתר נהפך לאיסור, שוב לא שייך לחזור ולהתירו אחר שנעשה פגום, דכיון שהוא אסור בעצמו דינו כנבילה שאסורה כל שהיא ראויה לגר, וכתב </w:t>
      </w:r>
      <w:r w:rsidRPr="00777671">
        <w:rPr>
          <w:rStyle w:val="af8"/>
          <w:rFonts w:hint="cs"/>
          <w:rtl/>
        </w:rPr>
        <w:t>בחי' הרי"ם</w:t>
      </w:r>
      <w:r w:rsidRPr="00777671">
        <w:rPr>
          <w:rFonts w:hint="cs"/>
          <w:rtl/>
        </w:rPr>
        <w:t xml:space="preserve"> דבפגום מעיקרא, לא חל כל איסור, כיון שהטעם פגום וההיתר לא נהפך לאיסור כלל, אך הקשה </w:t>
      </w:r>
      <w:r w:rsidRPr="00777671">
        <w:rPr>
          <w:rStyle w:val="af8"/>
          <w:rFonts w:hint="cs"/>
          <w:rtl/>
        </w:rPr>
        <w:t>בחי' הרי"ם</w:t>
      </w:r>
      <w:r w:rsidRPr="00777671">
        <w:rPr>
          <w:rFonts w:hint="cs"/>
          <w:rtl/>
        </w:rPr>
        <w:t xml:space="preserve"> דכ"ז הוא למ"ד דאפשר לסוחטו אסור </w:t>
      </w:r>
      <w:r w:rsidRPr="00777671">
        <w:rPr>
          <w:rStyle w:val="af6"/>
          <w:rFonts w:eastAsia="Guttman Hodes" w:hint="cs"/>
          <w:rtl/>
        </w:rPr>
        <w:t>(לקמן קח.)</w:t>
      </w:r>
      <w:r w:rsidRPr="00777671">
        <w:rPr>
          <w:rFonts w:hint="cs"/>
          <w:rtl/>
        </w:rPr>
        <w:t xml:space="preserve">, עיי"ש </w:t>
      </w:r>
      <w:r w:rsidRPr="00777671">
        <w:rPr>
          <w:rStyle w:val="af8"/>
          <w:rFonts w:hint="cs"/>
          <w:rtl/>
        </w:rPr>
        <w:t>בחי' הרי"ם</w:t>
      </w:r>
      <w:r w:rsidRPr="00777671">
        <w:rPr>
          <w:rFonts w:hint="cs"/>
          <w:rtl/>
        </w:rPr>
        <w:t xml:space="preserve"> במה שהאריך בזה.</w:t>
      </w:r>
      <w:bookmarkEnd w:id="10360"/>
      <w:r>
        <w:rPr>
          <w:rFonts w:hint="cs"/>
          <w:rtl/>
        </w:rPr>
        <w:t xml:space="preserve"> [וכ"כ </w:t>
      </w:r>
      <w:r w:rsidRPr="00C70267">
        <w:rPr>
          <w:rStyle w:val="af8"/>
          <w:rFonts w:hint="cs"/>
          <w:rtl/>
        </w:rPr>
        <w:t>בשיעורי המקדש</w:t>
      </w:r>
      <w:r w:rsidRPr="00813BB0">
        <w:rPr>
          <w:rStyle w:val="af8"/>
          <w:rFonts w:hint="cs"/>
          <w:rtl/>
        </w:rPr>
        <w:t xml:space="preserve"> דוד</w:t>
      </w:r>
      <w:r w:rsidRPr="00813BB0">
        <w:rPr>
          <w:rFonts w:hint="cs"/>
          <w:rtl/>
        </w:rPr>
        <w:t xml:space="preserve"> </w:t>
      </w:r>
      <w:r w:rsidRPr="000B42A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Ref19790025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Pr>
          <w:rStyle w:val="af6"/>
          <w:rFonts w:eastAsia="Guttman Hodes"/>
          <w:rtl/>
        </w:rPr>
        <w:fldChar w:fldCharType="end"/>
      </w:r>
      <w:r>
        <w:rPr>
          <w:rFonts w:hint="cs"/>
          <w:rtl/>
        </w:rPr>
        <w:t>].</w:t>
      </w:r>
    </w:p>
    <w:p w:rsidR="00A82F1E" w:rsidRPr="006D19C0" w:rsidRDefault="00A82F1E" w:rsidP="00E669F8">
      <w:pPr>
        <w:pStyle w:val="afd"/>
        <w:rPr>
          <w:rtl/>
        </w:rPr>
      </w:pPr>
      <w:bookmarkStart w:id="10361" w:name="_Toc19694911"/>
      <w:bookmarkStart w:id="10362" w:name="_Toc19738440"/>
      <w:bookmarkStart w:id="10363" w:name="_Toc19792260"/>
      <w:r w:rsidRPr="004F1CF4">
        <w:rPr>
          <w:rFonts w:hint="cs"/>
          <w:rtl/>
        </w:rPr>
        <w:t>ב</w:t>
      </w:r>
      <w:r>
        <w:rPr>
          <w:rFonts w:hint="cs"/>
          <w:rtl/>
        </w:rPr>
        <w:t>יאור לשון</w:t>
      </w:r>
      <w:r w:rsidRPr="004F1CF4">
        <w:rPr>
          <w:rFonts w:hint="cs"/>
          <w:rtl/>
        </w:rPr>
        <w:t xml:space="preserve"> </w:t>
      </w:r>
      <w:r>
        <w:rPr>
          <w:rFonts w:hint="cs"/>
          <w:rtl/>
        </w:rPr>
        <w:t>הגמ'</w:t>
      </w:r>
      <w:r w:rsidRPr="004F1CF4">
        <w:rPr>
          <w:rFonts w:hint="cs"/>
          <w:rtl/>
        </w:rPr>
        <w:t xml:space="preserve"> דנעשה כמי</w:t>
      </w:r>
      <w:bookmarkEnd w:id="10308"/>
      <w:bookmarkEnd w:id="10361"/>
      <w:r w:rsidRPr="004F1CF4">
        <w:rPr>
          <w:rFonts w:hint="cs"/>
          <w:rtl/>
        </w:rPr>
        <w:t xml:space="preserve"> שהשביח</w:t>
      </w:r>
      <w:bookmarkEnd w:id="10362"/>
      <w:bookmarkEnd w:id="10363"/>
    </w:p>
    <w:p w:rsidR="00A82F1E" w:rsidRDefault="00A82F1E" w:rsidP="00A82F1E">
      <w:pPr>
        <w:pStyle w:val="a2"/>
        <w:rPr>
          <w:rtl/>
        </w:rPr>
      </w:pPr>
      <w:bookmarkStart w:id="10364" w:name="_Toc19738441"/>
      <w:bookmarkStart w:id="10365" w:name="_Toc19792261"/>
      <w:r>
        <w:rPr>
          <w:rFonts w:hint="cs"/>
          <w:rtl/>
        </w:rPr>
        <w:t>קושית התוס' אמאי נקטה הגמ' דנעשה כמי שהשביח והרי ודאי שהוא משביח</w:t>
      </w:r>
      <w:bookmarkEnd w:id="10364"/>
      <w:bookmarkEnd w:id="10365"/>
    </w:p>
    <w:p w:rsidR="00A82F1E" w:rsidRDefault="00A82F1E" w:rsidP="009F44AF">
      <w:pPr>
        <w:pStyle w:val="a"/>
        <w:rPr>
          <w:rtl/>
        </w:rPr>
      </w:pPr>
      <w:r>
        <w:rPr>
          <w:rFonts w:hint="cs"/>
          <w:rtl/>
        </w:rPr>
        <w:t xml:space="preserve">בהא דאמרינן דחומץ שנפל לתוך גריסין צוננין והרתיחן, דנעשה כמי שהשביח ולבסוף פגם, הקשו </w:t>
      </w:r>
      <w:r w:rsidRPr="000D0560">
        <w:rPr>
          <w:rStyle w:val="af8"/>
          <w:rFonts w:hint="cs"/>
          <w:rtl/>
        </w:rPr>
        <w:t>התוס'</w:t>
      </w:r>
      <w:r>
        <w:rPr>
          <w:rFonts w:hint="cs"/>
          <w:rtl/>
        </w:rPr>
        <w:t xml:space="preserve"> </w:t>
      </w:r>
      <w:r w:rsidRPr="009D3DCC">
        <w:rPr>
          <w:rStyle w:val="af6"/>
          <w:rFonts w:eastAsia="Guttman Hodes" w:hint="cs"/>
          <w:rtl/>
        </w:rPr>
        <w:t>(ד"ה נעשה)</w:t>
      </w:r>
      <w:r>
        <w:rPr>
          <w:rFonts w:hint="cs"/>
          <w:rtl/>
        </w:rPr>
        <w:t xml:space="preserve"> דאמאי נקטה הגמ' דהוא נעשה כמו משביח הרי הוא ודאי משביח.</w:t>
      </w:r>
    </w:p>
    <w:p w:rsidR="00A82F1E" w:rsidRPr="005F0B83" w:rsidRDefault="00A82F1E" w:rsidP="00A82F1E">
      <w:pPr>
        <w:pStyle w:val="a2"/>
      </w:pPr>
      <w:bookmarkStart w:id="10366" w:name="_Toc19738442"/>
      <w:bookmarkStart w:id="10367" w:name="_Toc19792262"/>
      <w:r>
        <w:rPr>
          <w:rFonts w:hint="cs"/>
          <w:rtl/>
        </w:rPr>
        <w:t>תירוץ התוס' דעיקר השבח הוא רק בנפל החומץ אחר שהגריסין הרתיחו והצטננו</w:t>
      </w:r>
      <w:bookmarkEnd w:id="10366"/>
      <w:bookmarkEnd w:id="10367"/>
    </w:p>
    <w:p w:rsidR="00A82F1E" w:rsidRDefault="00A82F1E" w:rsidP="009F44AF">
      <w:pPr>
        <w:pStyle w:val="a"/>
        <w:rPr>
          <w:rtl/>
        </w:rPr>
      </w:pPr>
      <w:r>
        <w:rPr>
          <w:rFonts w:hint="cs"/>
          <w:rtl/>
        </w:rPr>
        <w:t>ותירצו ה</w:t>
      </w:r>
      <w:r w:rsidRPr="000D0560">
        <w:rPr>
          <w:rStyle w:val="af8"/>
          <w:rFonts w:hint="cs"/>
          <w:rtl/>
        </w:rPr>
        <w:t xml:space="preserve">תוס' </w:t>
      </w:r>
      <w:r>
        <w:rPr>
          <w:rFonts w:hint="cs"/>
          <w:rtl/>
        </w:rPr>
        <w:t>דעיקר השבח הוא כשנפל החומץ לגריסין אחר שרתחו והצטננו, ולכן נקטה הגמ' לשון דהוא נעשה כמי שהשביח, וביאר</w:t>
      </w:r>
      <w:r w:rsidRPr="005F0B83">
        <w:rPr>
          <w:rFonts w:hint="cs"/>
          <w:rtl/>
        </w:rPr>
        <w:t xml:space="preserve"> </w:t>
      </w:r>
      <w:r w:rsidRPr="000D0560">
        <w:rPr>
          <w:rStyle w:val="af8"/>
          <w:rFonts w:hint="cs"/>
          <w:rtl/>
        </w:rPr>
        <w:t xml:space="preserve">הנימוק"י </w:t>
      </w:r>
      <w:r w:rsidRPr="00FC1C34">
        <w:rPr>
          <w:rStyle w:val="af6"/>
          <w:rFonts w:eastAsia="Guttman Hodes" w:hint="cs"/>
          <w:rtl/>
        </w:rPr>
        <w:t xml:space="preserve">(ד"ה והקשו בתוס') </w:t>
      </w:r>
      <w:r>
        <w:rPr>
          <w:rFonts w:hint="cs"/>
          <w:rtl/>
        </w:rPr>
        <w:t xml:space="preserve">דכוונת </w:t>
      </w:r>
      <w:r w:rsidRPr="00436D98">
        <w:rPr>
          <w:rStyle w:val="af8"/>
          <w:rFonts w:hint="cs"/>
          <w:rtl/>
        </w:rPr>
        <w:t>התוס'</w:t>
      </w:r>
      <w:r>
        <w:rPr>
          <w:rFonts w:hint="cs"/>
          <w:rtl/>
        </w:rPr>
        <w:t xml:space="preserve"> לומר דכיון שאין רגילות לאוכלם עד לאחר שרתחו והתבשלו היטב, לכן לא נקטה הגמ' דחשיב משביח ממש, וכ"כ </w:t>
      </w:r>
      <w:r w:rsidRPr="000D0560">
        <w:rPr>
          <w:rStyle w:val="af8"/>
          <w:rFonts w:hint="cs"/>
          <w:rtl/>
        </w:rPr>
        <w:t xml:space="preserve">בתוס' הר"י מפאריש </w:t>
      </w:r>
      <w:r w:rsidRPr="00FC1C34">
        <w:rPr>
          <w:rStyle w:val="af6"/>
          <w:rFonts w:eastAsia="Guttman Hodes" w:hint="cs"/>
          <w:rtl/>
        </w:rPr>
        <w:t>(ד"ה נעשה)</w:t>
      </w:r>
      <w:r>
        <w:rPr>
          <w:rFonts w:hint="cs"/>
          <w:rtl/>
        </w:rPr>
        <w:t xml:space="preserve">, וכעי"ז ביאר </w:t>
      </w:r>
      <w:r w:rsidRPr="000D0560">
        <w:rPr>
          <w:rStyle w:val="af8"/>
          <w:rFonts w:hint="cs"/>
          <w:rtl/>
        </w:rPr>
        <w:t xml:space="preserve">המהר"ם </w:t>
      </w:r>
      <w:r w:rsidRPr="00FC1C34">
        <w:rPr>
          <w:rStyle w:val="af6"/>
          <w:rFonts w:eastAsia="Guttman Hodes" w:hint="cs"/>
          <w:rtl/>
        </w:rPr>
        <w:t>(על תוד"ה נעשה)</w:t>
      </w:r>
      <w:r>
        <w:rPr>
          <w:rFonts w:hint="cs"/>
          <w:rtl/>
        </w:rPr>
        <w:t xml:space="preserve"> דאיירי שנפל החומץ לגריסין צוננין והרתיחן, דאינו עיקר השבח, ולכן אמר ריו"ח דנעשה כמי שהשביח, דעיקר השבח הוא כשנפל אחר שהרתיחן והצטננו ואח"כ נותן לתוכם את החומץ, אך כתב </w:t>
      </w:r>
      <w:r w:rsidRPr="000D0560">
        <w:rPr>
          <w:rStyle w:val="af8"/>
          <w:rFonts w:hint="cs"/>
          <w:rtl/>
        </w:rPr>
        <w:t xml:space="preserve">המהר"ם </w:t>
      </w:r>
      <w:r>
        <w:rPr>
          <w:rFonts w:hint="cs"/>
          <w:rtl/>
        </w:rPr>
        <w:t>דאם נתן חומץ לגריסין רותחין אינו משביח כלל, אף לאחר שיצטננו.</w:t>
      </w:r>
    </w:p>
    <w:p w:rsidR="00A82F1E" w:rsidRPr="007308EF" w:rsidRDefault="00A82F1E" w:rsidP="00A82F1E">
      <w:pPr>
        <w:pStyle w:val="a2"/>
      </w:pPr>
      <w:bookmarkStart w:id="10368" w:name="_Toc19738443"/>
      <w:bookmarkStart w:id="10369" w:name="_Toc19792263"/>
      <w:r>
        <w:rPr>
          <w:rFonts w:hint="cs"/>
          <w:rtl/>
        </w:rPr>
        <w:t>דברי הריטב"א דאף דאינו משביח ממש מ"מ כל שאינו פוגם נעשה כמו שהשביח</w:t>
      </w:r>
      <w:bookmarkEnd w:id="10368"/>
      <w:bookmarkEnd w:id="10369"/>
    </w:p>
    <w:p w:rsidR="00A82F1E" w:rsidRDefault="00A82F1E" w:rsidP="009F44AF">
      <w:pPr>
        <w:pStyle w:val="a"/>
        <w:rPr>
          <w:rtl/>
        </w:rPr>
      </w:pPr>
      <w:r w:rsidRPr="000D0560">
        <w:rPr>
          <w:rStyle w:val="af8"/>
          <w:rFonts w:hint="cs"/>
          <w:rtl/>
        </w:rPr>
        <w:t>והריטב"א</w:t>
      </w:r>
      <w:r>
        <w:rPr>
          <w:rFonts w:hint="cs"/>
          <w:rtl/>
        </w:rPr>
        <w:t xml:space="preserve"> </w:t>
      </w:r>
      <w:r w:rsidRPr="000D0560">
        <w:rPr>
          <w:rStyle w:val="af6"/>
          <w:rFonts w:eastAsia="Guttman Hodes" w:hint="cs"/>
          <w:rtl/>
        </w:rPr>
        <w:t xml:space="preserve">(ד"ה נעשה) </w:t>
      </w:r>
      <w:r>
        <w:rPr>
          <w:rFonts w:hint="cs"/>
          <w:rtl/>
        </w:rPr>
        <w:t>ביאר נקטה הגמ' לשון נעשה כמי שהשביח, כיון דאינו משביח ממש בתחילתו, אלא דכיון שאינו פוגם בתחילתו נעשה כמי שהשביח ואח"כ פגם.</w:t>
      </w:r>
    </w:p>
    <w:p w:rsidR="00A82F1E" w:rsidRDefault="00A82F1E" w:rsidP="00A82F1E">
      <w:pPr>
        <w:pStyle w:val="a2"/>
        <w:rPr>
          <w:rtl/>
        </w:rPr>
      </w:pPr>
      <w:bookmarkStart w:id="10370" w:name="_Toc19738444"/>
      <w:bookmarkStart w:id="10371" w:name="_Toc19792264"/>
      <w:r>
        <w:rPr>
          <w:rFonts w:hint="cs"/>
          <w:rtl/>
        </w:rPr>
        <w:t>ביאור הר"ן דקמ"ל דאף שעומד להפגם מ"מ חשיב כהשביח ואח"כ נפגם מעצמו</w:t>
      </w:r>
      <w:bookmarkEnd w:id="10370"/>
      <w:bookmarkEnd w:id="10371"/>
    </w:p>
    <w:p w:rsidR="00A82F1E" w:rsidRDefault="00A82F1E" w:rsidP="009F44AF">
      <w:pPr>
        <w:pStyle w:val="a"/>
        <w:rPr>
          <w:rtl/>
        </w:rPr>
      </w:pPr>
      <w:r w:rsidRPr="000D0560">
        <w:rPr>
          <w:rStyle w:val="af8"/>
          <w:rFonts w:hint="cs"/>
          <w:rtl/>
        </w:rPr>
        <w:t>והר"ן על הרי"ף</w:t>
      </w:r>
      <w:r w:rsidRPr="000D0560">
        <w:rPr>
          <w:rStyle w:val="af6"/>
          <w:rFonts w:eastAsia="Guttman Hodes" w:hint="cs"/>
          <w:rtl/>
        </w:rPr>
        <w:t xml:space="preserve"> (לב. מדפי הרי"ף ד"ה נעשה) </w:t>
      </w:r>
      <w:r>
        <w:rPr>
          <w:rFonts w:hint="cs"/>
          <w:rtl/>
        </w:rPr>
        <w:t>ביאר דהו"א דכיון שהחומץ עומד להפגם כשירתיח את הגריסין, לכן אף בתחילה יהיה חשיב כדבר שפוגם ולא משביח, מ"מ אמרינן בגמ' דנעשה כתבשיל שהשביח ע"י האיסור, ואח"כ נפגם מעצמו ונאסר, דכל שהוא ראוי לגר עדיין הוא אסור.</w:t>
      </w:r>
    </w:p>
    <w:p w:rsidR="00A82F1E" w:rsidRPr="00491C73" w:rsidRDefault="00A82F1E" w:rsidP="00A82F1E">
      <w:pPr>
        <w:pStyle w:val="a2"/>
      </w:pPr>
      <w:bookmarkStart w:id="10372" w:name="_Toc19738445"/>
      <w:bookmarkStart w:id="10373" w:name="_Toc19792265"/>
      <w:bookmarkStart w:id="10374" w:name="_Toc19618212"/>
      <w:bookmarkStart w:id="10375" w:name="_Toc19624490"/>
      <w:bookmarkStart w:id="10376" w:name="_Toc19651806"/>
      <w:bookmarkStart w:id="10377" w:name="_Toc19694912"/>
      <w:bookmarkStart w:id="10378" w:name="_Toc19479365"/>
      <w:bookmarkStart w:id="10379" w:name="_Toc19618209"/>
      <w:bookmarkStart w:id="10380" w:name="_Toc19624487"/>
      <w:bookmarkStart w:id="10381" w:name="_Toc19651803"/>
      <w:r>
        <w:rPr>
          <w:rFonts w:hint="cs"/>
          <w:rtl/>
        </w:rPr>
        <w:t>דברי הרא"ה דלשון נעשה כמי שהשביח הוא לאו דוקא ויש שבח גמור</w:t>
      </w:r>
      <w:bookmarkEnd w:id="10372"/>
      <w:bookmarkEnd w:id="10373"/>
    </w:p>
    <w:p w:rsidR="00A82F1E" w:rsidRDefault="00A82F1E" w:rsidP="009F44AF">
      <w:pPr>
        <w:pStyle w:val="a"/>
        <w:rPr>
          <w:rtl/>
        </w:rPr>
      </w:pPr>
      <w:r>
        <w:rPr>
          <w:rFonts w:hint="cs"/>
          <w:rtl/>
        </w:rPr>
        <w:t xml:space="preserve">אבל </w:t>
      </w:r>
      <w:r w:rsidRPr="000D0560">
        <w:rPr>
          <w:rStyle w:val="af8"/>
          <w:rFonts w:hint="cs"/>
          <w:rtl/>
        </w:rPr>
        <w:t>הרא"ה בחי'</w:t>
      </w:r>
      <w:r>
        <w:rPr>
          <w:rFonts w:hint="cs"/>
          <w:rtl/>
        </w:rPr>
        <w:t xml:space="preserve"> </w:t>
      </w:r>
      <w:r w:rsidRPr="000D0560">
        <w:rPr>
          <w:rStyle w:val="af6"/>
          <w:rFonts w:eastAsia="Guttman Hodes" w:hint="cs"/>
          <w:rtl/>
        </w:rPr>
        <w:t xml:space="preserve">(ד"ה אמר) </w:t>
      </w:r>
      <w:r>
        <w:rPr>
          <w:rFonts w:hint="cs"/>
          <w:rtl/>
        </w:rPr>
        <w:t>כתב דלשון נעשה כמי שהשביח, הוא לאו דוקא, והכוונה דהשביח ולבסוף פגם.</w:t>
      </w:r>
    </w:p>
    <w:p w:rsidR="00A82F1E" w:rsidRPr="007434C9" w:rsidRDefault="00A82F1E" w:rsidP="00E669F8">
      <w:pPr>
        <w:pStyle w:val="afd"/>
        <w:rPr>
          <w:rtl/>
        </w:rPr>
      </w:pPr>
      <w:bookmarkStart w:id="10382" w:name="_Toc19738446"/>
      <w:bookmarkStart w:id="10383" w:name="_Toc19792266"/>
      <w:r>
        <w:rPr>
          <w:rFonts w:hint="cs"/>
          <w:rtl/>
        </w:rPr>
        <w:lastRenderedPageBreak/>
        <w:t>באיסור פגם ולבסוף השביח</w:t>
      </w:r>
      <w:bookmarkEnd w:id="10374"/>
      <w:bookmarkEnd w:id="10375"/>
      <w:bookmarkEnd w:id="10376"/>
      <w:bookmarkEnd w:id="10377"/>
      <w:bookmarkEnd w:id="10382"/>
      <w:bookmarkEnd w:id="10383"/>
    </w:p>
    <w:p w:rsidR="00A82F1E" w:rsidRPr="007469C3" w:rsidRDefault="00A82F1E" w:rsidP="00A82F1E">
      <w:pPr>
        <w:pStyle w:val="1"/>
        <w:rPr>
          <w:rtl/>
        </w:rPr>
      </w:pPr>
      <w:bookmarkStart w:id="10384" w:name="_Toc19479368"/>
      <w:bookmarkStart w:id="10385" w:name="_Toc19618213"/>
      <w:bookmarkStart w:id="10386" w:name="_Toc19624491"/>
      <w:bookmarkStart w:id="10387" w:name="_Toc19651807"/>
      <w:bookmarkStart w:id="10388" w:name="_Toc19694913"/>
      <w:bookmarkStart w:id="10389" w:name="_Toc19738447"/>
      <w:bookmarkStart w:id="10390" w:name="_Toc19792267"/>
      <w:r>
        <w:rPr>
          <w:rFonts w:hint="cs"/>
          <w:rtl/>
        </w:rPr>
        <w:t>דברי הרמב"ם והרשב"א דפגם ולבסוף השביח</w:t>
      </w:r>
      <w:bookmarkEnd w:id="10384"/>
      <w:bookmarkEnd w:id="10385"/>
      <w:bookmarkEnd w:id="10386"/>
      <w:bookmarkEnd w:id="10387"/>
      <w:bookmarkEnd w:id="10388"/>
      <w:r>
        <w:rPr>
          <w:rFonts w:hint="cs"/>
          <w:rtl/>
        </w:rPr>
        <w:t xml:space="preserve"> אסור</w:t>
      </w:r>
      <w:bookmarkEnd w:id="10389"/>
      <w:bookmarkEnd w:id="10390"/>
    </w:p>
    <w:p w:rsidR="00A82F1E" w:rsidRPr="00A37615" w:rsidRDefault="00A82F1E" w:rsidP="00A82F1E">
      <w:pPr>
        <w:pStyle w:val="a2"/>
        <w:rPr>
          <w:rtl/>
        </w:rPr>
      </w:pPr>
      <w:bookmarkStart w:id="10391" w:name="_Toc19479369"/>
      <w:bookmarkStart w:id="10392" w:name="_Toc19618214"/>
      <w:bookmarkStart w:id="10393" w:name="_Toc19624492"/>
      <w:bookmarkStart w:id="10394" w:name="_Toc19651808"/>
      <w:bookmarkStart w:id="10395" w:name="_Toc19694914"/>
      <w:bookmarkStart w:id="10396" w:name="_Toc19738448"/>
      <w:bookmarkStart w:id="10397" w:name="_Toc19792268"/>
      <w:r w:rsidRPr="002B4595">
        <w:rPr>
          <w:rFonts w:hint="cs"/>
          <w:rtl/>
        </w:rPr>
        <w:t xml:space="preserve">דברי הרמב"ם דפגם וסופו להשביח ובהשביח </w:t>
      </w:r>
      <w:r>
        <w:rPr>
          <w:rFonts w:hint="cs"/>
          <w:rtl/>
        </w:rPr>
        <w:t>וסופו לפגום</w:t>
      </w:r>
      <w:r w:rsidRPr="002B4595">
        <w:rPr>
          <w:rFonts w:hint="cs"/>
          <w:rtl/>
        </w:rPr>
        <w:t xml:space="preserve"> אסור</w:t>
      </w:r>
      <w:bookmarkEnd w:id="10391"/>
      <w:bookmarkEnd w:id="10392"/>
      <w:bookmarkEnd w:id="10393"/>
      <w:bookmarkEnd w:id="10394"/>
      <w:bookmarkEnd w:id="10395"/>
      <w:bookmarkEnd w:id="10396"/>
      <w:bookmarkEnd w:id="10397"/>
    </w:p>
    <w:p w:rsidR="00A82F1E" w:rsidRDefault="00A82F1E" w:rsidP="009F44AF">
      <w:pPr>
        <w:pStyle w:val="a"/>
        <w:rPr>
          <w:rtl/>
        </w:rPr>
      </w:pPr>
      <w:bookmarkStart w:id="10398" w:name="_Ref19777685"/>
      <w:bookmarkStart w:id="10399" w:name="_Ref19478830"/>
      <w:r>
        <w:rPr>
          <w:rFonts w:hint="cs"/>
          <w:rtl/>
        </w:rPr>
        <w:t xml:space="preserve">כתב </w:t>
      </w:r>
      <w:r w:rsidRPr="007469C3">
        <w:rPr>
          <w:rStyle w:val="af8"/>
          <w:rFonts w:hint="cs"/>
          <w:rtl/>
        </w:rPr>
        <w:t>הרמב"ם</w:t>
      </w:r>
      <w:r>
        <w:rPr>
          <w:rFonts w:hint="cs"/>
          <w:rtl/>
        </w:rPr>
        <w:t xml:space="preserve"> </w:t>
      </w:r>
      <w:r w:rsidRPr="00897232">
        <w:rPr>
          <w:rStyle w:val="af6"/>
          <w:rFonts w:eastAsia="Guttman Hodes" w:hint="cs"/>
          <w:rtl/>
        </w:rPr>
        <w:t>(מאכ"א פט"ו הכ"ח)</w:t>
      </w:r>
      <w:r>
        <w:rPr>
          <w:rFonts w:hint="cs"/>
          <w:rtl/>
        </w:rPr>
        <w:t xml:space="preserve"> דהא דאיסור שנתן טעם בהיתר אוסר את כל ההיתר, הוא דוקא במקום שהאיסור השביח את ההיתר, אבל אם האיסור פגם את ההיתר והפסיד את טעמו מותר, אך כתב </w:t>
      </w:r>
      <w:r w:rsidRPr="007469C3">
        <w:rPr>
          <w:rStyle w:val="af8"/>
          <w:rFonts w:hint="cs"/>
          <w:rtl/>
        </w:rPr>
        <w:t>הרמב"ם</w:t>
      </w:r>
      <w:r>
        <w:rPr>
          <w:rFonts w:hint="cs"/>
          <w:rtl/>
        </w:rPr>
        <w:t xml:space="preserve"> דזהו דוקא כשהפגם היה מתחילה ועד סוף, אבל אם פגם בתחילה וסופו להשביח, או שהשביח בתחילה וסופו לפגום אסור.</w:t>
      </w:r>
      <w:bookmarkEnd w:id="10398"/>
    </w:p>
    <w:p w:rsidR="00A82F1E" w:rsidRPr="005649B9" w:rsidRDefault="00A82F1E" w:rsidP="00A82F1E">
      <w:pPr>
        <w:pStyle w:val="a2"/>
      </w:pPr>
      <w:bookmarkStart w:id="10400" w:name="_Toc19738449"/>
      <w:bookmarkStart w:id="10401" w:name="_Toc19792269"/>
      <w:r>
        <w:rPr>
          <w:rFonts w:hint="cs"/>
          <w:rtl/>
        </w:rPr>
        <w:t>דברי הרשב"א והמאירי והטור דפגם ולבסוף השביח אסור</w:t>
      </w:r>
      <w:bookmarkEnd w:id="10400"/>
      <w:bookmarkEnd w:id="10401"/>
    </w:p>
    <w:p w:rsidR="00A82F1E" w:rsidRDefault="00A82F1E" w:rsidP="009F44AF">
      <w:pPr>
        <w:pStyle w:val="a"/>
        <w:rPr>
          <w:rtl/>
        </w:rPr>
      </w:pPr>
      <w:bookmarkStart w:id="10402" w:name="_Ref19813952"/>
      <w:r>
        <w:rPr>
          <w:rFonts w:hint="cs"/>
          <w:rtl/>
        </w:rPr>
        <w:t xml:space="preserve">והביא </w:t>
      </w:r>
      <w:r w:rsidRPr="00613187">
        <w:rPr>
          <w:rStyle w:val="af8"/>
          <w:rFonts w:hint="cs"/>
          <w:rtl/>
        </w:rPr>
        <w:t>הב"י</w:t>
      </w:r>
      <w:r>
        <w:rPr>
          <w:rFonts w:hint="cs"/>
          <w:rtl/>
        </w:rPr>
        <w:t xml:space="preserve"> </w:t>
      </w:r>
      <w:r w:rsidRPr="00613187">
        <w:rPr>
          <w:rStyle w:val="af6"/>
          <w:rFonts w:eastAsia="Guttman Hodes" w:hint="cs"/>
          <w:rtl/>
        </w:rPr>
        <w:t xml:space="preserve">(סי' ק"ג א' ד"ה בד"א) </w:t>
      </w:r>
      <w:r>
        <w:rPr>
          <w:rFonts w:hint="cs"/>
          <w:rtl/>
        </w:rPr>
        <w:t xml:space="preserve">דכ"כ </w:t>
      </w:r>
      <w:r w:rsidRPr="00613187">
        <w:rPr>
          <w:rStyle w:val="af8"/>
          <w:rFonts w:hint="cs"/>
          <w:rtl/>
        </w:rPr>
        <w:t>הרשב"א במשה"ב</w:t>
      </w:r>
      <w:r>
        <w:rPr>
          <w:rFonts w:hint="cs"/>
          <w:rtl/>
        </w:rPr>
        <w:t xml:space="preserve"> </w:t>
      </w:r>
      <w:r w:rsidRPr="00613187">
        <w:rPr>
          <w:rStyle w:val="af6"/>
          <w:rFonts w:eastAsia="Guttman Hodes" w:hint="cs"/>
          <w:rtl/>
        </w:rPr>
        <w:t>(ב"ד ש"א יט. מדה"ס</w:t>
      </w:r>
      <w:r>
        <w:rPr>
          <w:rStyle w:val="af6"/>
          <w:rFonts w:eastAsia="Guttman Hodes" w:hint="cs"/>
          <w:rtl/>
        </w:rPr>
        <w:t>, הובא לעיל סימן י"ב הערה</w:t>
      </w:r>
      <w:r w:rsidRPr="004664CE">
        <w:rPr>
          <w:rFonts w:hint="cs"/>
          <w:vertAlign w:val="superscript"/>
          <w:rtl/>
        </w:rPr>
        <w:t>1</w:t>
      </w:r>
      <w:r>
        <w:rPr>
          <w:rFonts w:hint="cs"/>
          <w:vertAlign w:val="superscript"/>
          <w:rtl/>
        </w:rPr>
        <w:t>6</w:t>
      </w:r>
      <w:r w:rsidRPr="004664CE">
        <w:rPr>
          <w:rStyle w:val="af6"/>
          <w:rFonts w:eastAsia="Guttman Hodes" w:hint="cs"/>
          <w:rtl/>
        </w:rPr>
        <w:t xml:space="preserve">) </w:t>
      </w:r>
      <w:r>
        <w:rPr>
          <w:rFonts w:hint="cs"/>
          <w:rtl/>
        </w:rPr>
        <w:t>דאף בפגם ולבסוף השביח</w:t>
      </w:r>
      <w:r w:rsidRPr="00613187">
        <w:rPr>
          <w:rFonts w:hint="cs"/>
          <w:rtl/>
        </w:rPr>
        <w:t xml:space="preserve"> </w:t>
      </w:r>
      <w:r>
        <w:rPr>
          <w:rFonts w:hint="cs"/>
          <w:rtl/>
        </w:rPr>
        <w:t xml:space="preserve">אסור, וכ"כ </w:t>
      </w:r>
      <w:r w:rsidRPr="00082AD3">
        <w:rPr>
          <w:rStyle w:val="af8"/>
          <w:rFonts w:hint="cs"/>
          <w:rtl/>
        </w:rPr>
        <w:t xml:space="preserve">המאירי </w:t>
      </w:r>
      <w:r w:rsidRPr="00082AD3">
        <w:rPr>
          <w:rStyle w:val="af6"/>
          <w:rFonts w:eastAsia="Guttman Hodes" w:hint="cs"/>
          <w:rtl/>
        </w:rPr>
        <w:t>(סז. ד"ה כבר)</w:t>
      </w:r>
      <w:bookmarkEnd w:id="10399"/>
      <w:r>
        <w:rPr>
          <w:rStyle w:val="af6"/>
          <w:rFonts w:eastAsia="Guttman Hodes" w:hint="cs"/>
          <w:rtl/>
        </w:rPr>
        <w:t xml:space="preserve"> </w:t>
      </w:r>
      <w:r>
        <w:rPr>
          <w:rStyle w:val="af8"/>
          <w:rFonts w:hint="cs"/>
          <w:rtl/>
        </w:rPr>
        <w:t>ו</w:t>
      </w:r>
      <w:r w:rsidRPr="00C20579">
        <w:rPr>
          <w:rStyle w:val="af8"/>
          <w:rFonts w:hint="cs"/>
          <w:rtl/>
        </w:rPr>
        <w:t>הטור</w:t>
      </w:r>
      <w:r w:rsidRPr="00C20579">
        <w:rPr>
          <w:rStyle w:val="af6"/>
          <w:rFonts w:eastAsia="Guttman Hodes" w:hint="cs"/>
          <w:rtl/>
        </w:rPr>
        <w:t xml:space="preserve"> (סי' ק"ג א')</w:t>
      </w:r>
      <w:r>
        <w:rPr>
          <w:rFonts w:hint="cs"/>
          <w:rtl/>
        </w:rPr>
        <w:t>.</w:t>
      </w:r>
    </w:p>
    <w:p w:rsidR="00A82F1E" w:rsidRPr="007254D5" w:rsidRDefault="00A82F1E" w:rsidP="00A82F1E">
      <w:pPr>
        <w:pStyle w:val="a2"/>
      </w:pPr>
      <w:r>
        <w:rPr>
          <w:rFonts w:hint="cs"/>
          <w:rtl/>
        </w:rPr>
        <w:t>ביאור הקה"י ברא"ה דבטעם הבלוע בכלי פגם ולבסוף השביח מותר ורק ביין ע"ג גרוגרות אסור</w:t>
      </w:r>
    </w:p>
    <w:p w:rsidR="00A82F1E" w:rsidRDefault="00A82F1E" w:rsidP="009F44AF">
      <w:pPr>
        <w:pStyle w:val="a"/>
      </w:pPr>
      <w:r>
        <w:rPr>
          <w:rFonts w:hint="cs"/>
          <w:rtl/>
        </w:rPr>
        <w:t xml:space="preserve">ועי' במה שביאר </w:t>
      </w:r>
      <w:r w:rsidRPr="0077091A">
        <w:rPr>
          <w:rStyle w:val="af8"/>
          <w:rFonts w:hint="cs"/>
          <w:rtl/>
        </w:rPr>
        <w:t>הקה"י</w:t>
      </w:r>
      <w:r>
        <w:rPr>
          <w:rFonts w:hint="cs"/>
          <w:rtl/>
        </w:rPr>
        <w:t xml:space="preserve"> </w:t>
      </w:r>
      <w:r w:rsidRPr="0077091A">
        <w:rPr>
          <w:rStyle w:val="af6"/>
          <w:rFonts w:eastAsia="Guttman Hodes" w:hint="cs"/>
          <w:rtl/>
        </w:rPr>
        <w:t xml:space="preserve">(עי' אות </w:t>
      </w:r>
      <w:r w:rsidRPr="0077091A">
        <w:rPr>
          <w:rStyle w:val="af6"/>
          <w:rFonts w:eastAsia="Guttman Hodes"/>
          <w:rtl/>
        </w:rPr>
        <w:fldChar w:fldCharType="begin"/>
      </w:r>
      <w:r w:rsidRPr="0077091A">
        <w:rPr>
          <w:rStyle w:val="af6"/>
          <w:rFonts w:eastAsia="Guttman Hodes"/>
          <w:rtl/>
        </w:rPr>
        <w:instrText xml:space="preserve"> </w:instrText>
      </w:r>
      <w:r w:rsidRPr="0077091A">
        <w:rPr>
          <w:rStyle w:val="af6"/>
          <w:rFonts w:eastAsia="Guttman Hodes" w:hint="cs"/>
        </w:rPr>
        <w:instrText>REF</w:instrText>
      </w:r>
      <w:r w:rsidRPr="0077091A">
        <w:rPr>
          <w:rStyle w:val="af6"/>
          <w:rFonts w:eastAsia="Guttman Hodes" w:hint="cs"/>
          <w:rtl/>
        </w:rPr>
        <w:instrText xml:space="preserve"> _</w:instrText>
      </w:r>
      <w:r w:rsidRPr="0077091A">
        <w:rPr>
          <w:rStyle w:val="af6"/>
          <w:rFonts w:eastAsia="Guttman Hodes" w:hint="cs"/>
        </w:rPr>
        <w:instrText>Ref19792132 \r \h</w:instrText>
      </w:r>
      <w:r w:rsidRPr="0077091A">
        <w:rPr>
          <w:rStyle w:val="af6"/>
          <w:rFonts w:eastAsia="Guttman Hodes"/>
          <w:rtl/>
        </w:rPr>
        <w:instrText xml:space="preserve"> </w:instrText>
      </w:r>
      <w:r w:rsidRPr="0077091A">
        <w:rPr>
          <w:rStyle w:val="af6"/>
          <w:rFonts w:eastAsia="Guttman Hodes"/>
          <w:rtl/>
        </w:rPr>
      </w:r>
      <w:r w:rsidRPr="0077091A">
        <w:rPr>
          <w:rStyle w:val="af6"/>
          <w:rFonts w:eastAsia="Guttman Hodes"/>
          <w:rtl/>
        </w:rPr>
        <w:fldChar w:fldCharType="separate"/>
      </w:r>
      <w:r w:rsidR="004D1C5B">
        <w:rPr>
          <w:rStyle w:val="af6"/>
          <w:rFonts w:eastAsia="Guttman Hodes"/>
          <w:cs/>
        </w:rPr>
        <w:t>‎</w:t>
      </w:r>
      <w:r w:rsidR="004D1C5B">
        <w:rPr>
          <w:rStyle w:val="af6"/>
          <w:rFonts w:eastAsia="Guttman Hodes"/>
          <w:rtl/>
        </w:rPr>
        <w:t>קכב)</w:t>
      </w:r>
      <w:r w:rsidRPr="0077091A">
        <w:rPr>
          <w:rStyle w:val="af6"/>
          <w:rFonts w:eastAsia="Guttman Hodes"/>
          <w:rtl/>
        </w:rPr>
        <w:fldChar w:fldCharType="end"/>
      </w:r>
      <w:r>
        <w:rPr>
          <w:rFonts w:hint="cs"/>
          <w:rtl/>
        </w:rPr>
        <w:t xml:space="preserve"> בדעת </w:t>
      </w:r>
      <w:r w:rsidRPr="0077091A">
        <w:rPr>
          <w:rStyle w:val="af8"/>
          <w:rFonts w:hint="cs"/>
          <w:rtl/>
        </w:rPr>
        <w:t>הרא"ה</w:t>
      </w:r>
      <w:r>
        <w:rPr>
          <w:rFonts w:hint="cs"/>
          <w:rtl/>
        </w:rPr>
        <w:t xml:space="preserve"> דס"ל דהאיסור בפגם ולבסוף השביח, הוא רק באיסור משובח שנפל ע"ג היתר ופגמו, כיין שנפל ע"ג גרוגרות, אבל פגום בטעם שבלוע בכלי, לא נאמר האיסור בפגם ולבסוף השביח, עיי"ש בדבריו.</w:t>
      </w:r>
    </w:p>
    <w:p w:rsidR="00A82F1E" w:rsidRDefault="00A82F1E" w:rsidP="00A82F1E">
      <w:pPr>
        <w:pStyle w:val="1"/>
        <w:rPr>
          <w:rtl/>
        </w:rPr>
      </w:pPr>
      <w:bookmarkStart w:id="10403" w:name="_Toc19792270"/>
      <w:bookmarkStart w:id="10404" w:name="_Toc19738450"/>
      <w:bookmarkEnd w:id="10402"/>
      <w:r>
        <w:rPr>
          <w:rFonts w:hint="cs"/>
          <w:rtl/>
        </w:rPr>
        <w:t>ביאור הלח"מ והגר"א דהרמב"ם פסק כביאורו בפיהמ"ש</w:t>
      </w:r>
      <w:bookmarkEnd w:id="10403"/>
    </w:p>
    <w:p w:rsidR="00A82F1E" w:rsidRPr="0055489F" w:rsidRDefault="00A82F1E" w:rsidP="00A82F1E">
      <w:pPr>
        <w:pStyle w:val="a2"/>
      </w:pPr>
      <w:bookmarkStart w:id="10405" w:name="_Toc19792271"/>
      <w:r>
        <w:rPr>
          <w:rFonts w:hint="cs"/>
          <w:rtl/>
        </w:rPr>
        <w:t>ביאור הלח"מ דדין פגם ולבסוף השביח היינו פגום מעיקרא כדביאר הרמב"ם בפיהמ"ש</w:t>
      </w:r>
      <w:bookmarkEnd w:id="10405"/>
    </w:p>
    <w:p w:rsidR="00A82F1E" w:rsidRDefault="00A82F1E" w:rsidP="009F44AF">
      <w:pPr>
        <w:pStyle w:val="a"/>
        <w:rPr>
          <w:rtl/>
        </w:rPr>
      </w:pPr>
      <w:r>
        <w:rPr>
          <w:rFonts w:hint="cs"/>
          <w:rtl/>
        </w:rPr>
        <w:t xml:space="preserve">והביא </w:t>
      </w:r>
      <w:r w:rsidRPr="0061209F">
        <w:rPr>
          <w:rStyle w:val="af8"/>
          <w:rFonts w:hint="cs"/>
          <w:rtl/>
        </w:rPr>
        <w:t>הלח"מ</w:t>
      </w:r>
      <w:r>
        <w:rPr>
          <w:rFonts w:hint="cs"/>
          <w:rtl/>
        </w:rPr>
        <w:t xml:space="preserve"> </w:t>
      </w:r>
      <w:r w:rsidRPr="0061209F">
        <w:rPr>
          <w:rStyle w:val="af6"/>
          <w:rFonts w:eastAsia="Guttman Hodes" w:hint="cs"/>
          <w:rtl/>
        </w:rPr>
        <w:t xml:space="preserve">(מאכ"א פט"ו הכ"ח) </w:t>
      </w:r>
      <w:r>
        <w:rPr>
          <w:rFonts w:hint="cs"/>
          <w:rtl/>
        </w:rPr>
        <w:t xml:space="preserve">את דברי </w:t>
      </w:r>
      <w:r w:rsidRPr="0061209F">
        <w:rPr>
          <w:rStyle w:val="af8"/>
          <w:rFonts w:hint="cs"/>
          <w:rtl/>
        </w:rPr>
        <w:t>הרמב"ם בפיהמ"ש</w:t>
      </w:r>
      <w:r>
        <w:rPr>
          <w:rFonts w:hint="cs"/>
          <w:rtl/>
        </w:rPr>
        <w:t xml:space="preserve"> </w:t>
      </w:r>
      <w:r w:rsidRPr="004E546A">
        <w:rPr>
          <w:rStyle w:val="af6"/>
          <w:rFonts w:eastAsia="Guttman Hodes" w:hint="cs"/>
          <w:rtl/>
        </w:rPr>
        <w:t xml:space="preserve">(עי' אות </w:t>
      </w:r>
      <w:r w:rsidRPr="004E546A">
        <w:rPr>
          <w:rStyle w:val="af6"/>
          <w:rFonts w:eastAsia="Guttman Hodes"/>
          <w:rtl/>
        </w:rPr>
        <w:fldChar w:fldCharType="begin"/>
      </w:r>
      <w:r w:rsidRPr="004E546A">
        <w:rPr>
          <w:rStyle w:val="af6"/>
          <w:rFonts w:eastAsia="Guttman Hodes"/>
          <w:rtl/>
        </w:rPr>
        <w:instrText xml:space="preserve"> </w:instrText>
      </w:r>
      <w:r w:rsidRPr="004E546A">
        <w:rPr>
          <w:rStyle w:val="af6"/>
          <w:rFonts w:eastAsia="Guttman Hodes" w:hint="cs"/>
        </w:rPr>
        <w:instrText>REF</w:instrText>
      </w:r>
      <w:r w:rsidRPr="004E546A">
        <w:rPr>
          <w:rStyle w:val="af6"/>
          <w:rFonts w:eastAsia="Guttman Hodes" w:hint="cs"/>
          <w:rtl/>
        </w:rPr>
        <w:instrText xml:space="preserve"> _</w:instrText>
      </w:r>
      <w:r w:rsidRPr="004E546A">
        <w:rPr>
          <w:rStyle w:val="af6"/>
          <w:rFonts w:eastAsia="Guttman Hodes" w:hint="cs"/>
        </w:rPr>
        <w:instrText>Ref19735946 \r \h</w:instrText>
      </w:r>
      <w:r w:rsidRPr="004E546A">
        <w:rPr>
          <w:rStyle w:val="af6"/>
          <w:rFonts w:eastAsia="Guttman Hodes"/>
          <w:rtl/>
        </w:rPr>
        <w:instrText xml:space="preserve"> </w:instrText>
      </w:r>
      <w:r w:rsidRPr="004E546A">
        <w:rPr>
          <w:rStyle w:val="af6"/>
          <w:rFonts w:eastAsia="Guttman Hodes"/>
          <w:rtl/>
        </w:rPr>
      </w:r>
      <w:r w:rsidRPr="004E546A">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4E546A">
        <w:rPr>
          <w:rStyle w:val="af6"/>
          <w:rFonts w:eastAsia="Guttman Hodes"/>
          <w:rtl/>
        </w:rPr>
        <w:fldChar w:fldCharType="end"/>
      </w:r>
      <w:r>
        <w:rPr>
          <w:rFonts w:hint="cs"/>
          <w:rtl/>
        </w:rPr>
        <w:t xml:space="preserve"> דכתב דפגם מעיקרא, היינו פגם ולבסוף השביח, ועי' במה שביאר </w:t>
      </w:r>
      <w:r w:rsidRPr="0061209F">
        <w:rPr>
          <w:rStyle w:val="af8"/>
          <w:rFonts w:hint="cs"/>
          <w:rtl/>
        </w:rPr>
        <w:t>הלח"מ</w:t>
      </w:r>
      <w:r>
        <w:rPr>
          <w:rFonts w:hint="cs"/>
          <w:rtl/>
        </w:rPr>
        <w:t xml:space="preserve"> </w:t>
      </w:r>
      <w:r w:rsidRPr="0079234E">
        <w:rPr>
          <w:rStyle w:val="af6"/>
          <w:rFonts w:eastAsia="Guttman Hodes" w:hint="cs"/>
          <w:rtl/>
        </w:rPr>
        <w:t xml:space="preserve">(עי' אות </w:t>
      </w:r>
      <w:r w:rsidRPr="0079234E">
        <w:rPr>
          <w:rStyle w:val="af6"/>
          <w:rFonts w:eastAsia="Guttman Hodes"/>
          <w:rtl/>
        </w:rPr>
        <w:fldChar w:fldCharType="begin"/>
      </w:r>
      <w:r w:rsidRPr="0079234E">
        <w:rPr>
          <w:rStyle w:val="af6"/>
          <w:rFonts w:eastAsia="Guttman Hodes"/>
          <w:rtl/>
        </w:rPr>
        <w:instrText xml:space="preserve"> </w:instrText>
      </w:r>
      <w:r w:rsidRPr="0079234E">
        <w:rPr>
          <w:rStyle w:val="af6"/>
          <w:rFonts w:eastAsia="Guttman Hodes" w:hint="cs"/>
        </w:rPr>
        <w:instrText>REF</w:instrText>
      </w:r>
      <w:r w:rsidRPr="0079234E">
        <w:rPr>
          <w:rStyle w:val="af6"/>
          <w:rFonts w:eastAsia="Guttman Hodes" w:hint="cs"/>
          <w:rtl/>
        </w:rPr>
        <w:instrText xml:space="preserve"> _</w:instrText>
      </w:r>
      <w:r w:rsidRPr="0079234E">
        <w:rPr>
          <w:rStyle w:val="af6"/>
          <w:rFonts w:eastAsia="Guttman Hodes" w:hint="cs"/>
        </w:rPr>
        <w:instrText>Ref19735975 \r \h</w:instrText>
      </w:r>
      <w:r w:rsidRPr="0079234E">
        <w:rPr>
          <w:rStyle w:val="af6"/>
          <w:rFonts w:eastAsia="Guttman Hodes"/>
          <w:rtl/>
        </w:rPr>
        <w:instrText xml:space="preserve"> </w:instrText>
      </w:r>
      <w:r w:rsidRPr="0079234E">
        <w:rPr>
          <w:rStyle w:val="af6"/>
          <w:rFonts w:eastAsia="Guttman Hodes"/>
          <w:rtl/>
        </w:rPr>
      </w:r>
      <w:r w:rsidRPr="0079234E">
        <w:rPr>
          <w:rStyle w:val="af6"/>
          <w:rFonts w:eastAsia="Guttman Hodes"/>
          <w:rtl/>
        </w:rPr>
        <w:fldChar w:fldCharType="separate"/>
      </w:r>
      <w:r w:rsidR="004D1C5B">
        <w:rPr>
          <w:rStyle w:val="af6"/>
          <w:rFonts w:eastAsia="Guttman Hodes"/>
          <w:cs/>
        </w:rPr>
        <w:t>‎</w:t>
      </w:r>
      <w:r w:rsidR="004D1C5B">
        <w:rPr>
          <w:rStyle w:val="af6"/>
          <w:rFonts w:eastAsia="Guttman Hodes"/>
          <w:rtl/>
        </w:rPr>
        <w:t>צד)</w:t>
      </w:r>
      <w:r w:rsidRPr="0079234E">
        <w:rPr>
          <w:rStyle w:val="af6"/>
          <w:rFonts w:eastAsia="Guttman Hodes"/>
          <w:rtl/>
        </w:rPr>
        <w:fldChar w:fldCharType="end"/>
      </w:r>
      <w:r>
        <w:rPr>
          <w:rFonts w:hint="cs"/>
          <w:rtl/>
        </w:rPr>
        <w:t xml:space="preserve"> בדברי </w:t>
      </w:r>
      <w:r w:rsidRPr="0061209F">
        <w:rPr>
          <w:rStyle w:val="af8"/>
          <w:rFonts w:hint="cs"/>
          <w:rtl/>
        </w:rPr>
        <w:t>הרמב"ם בפיהמ"ש</w:t>
      </w:r>
      <w:r>
        <w:rPr>
          <w:rFonts w:hint="cs"/>
          <w:rtl/>
        </w:rPr>
        <w:t xml:space="preserve"> בביאור פלוגתת עולא וריו"ח.</w:t>
      </w:r>
    </w:p>
    <w:p w:rsidR="00A82F1E" w:rsidRPr="00510B39" w:rsidRDefault="00A82F1E" w:rsidP="00A82F1E">
      <w:pPr>
        <w:pStyle w:val="a2"/>
      </w:pPr>
      <w:bookmarkStart w:id="10406" w:name="_Toc19792272"/>
      <w:r>
        <w:rPr>
          <w:rFonts w:hint="cs"/>
          <w:rtl/>
        </w:rPr>
        <w:t>דברי הלח"מ והגר"א דבהשביח ולבסוף פגם פסק הרמב"ם כסתמא דמתני' וכר"מ לדעת עולא</w:t>
      </w:r>
      <w:bookmarkEnd w:id="10406"/>
    </w:p>
    <w:p w:rsidR="00A82F1E" w:rsidRDefault="00A82F1E" w:rsidP="009F44AF">
      <w:pPr>
        <w:pStyle w:val="a"/>
        <w:rPr>
          <w:rtl/>
        </w:rPr>
      </w:pPr>
      <w:bookmarkStart w:id="10407" w:name="_Ref19779122"/>
      <w:r>
        <w:rPr>
          <w:rFonts w:hint="cs"/>
          <w:rtl/>
        </w:rPr>
        <w:t xml:space="preserve">וכתבו </w:t>
      </w:r>
      <w:r w:rsidRPr="00D4330E">
        <w:rPr>
          <w:rStyle w:val="af8"/>
          <w:rFonts w:hint="cs"/>
          <w:rtl/>
        </w:rPr>
        <w:t>הלח"מ</w:t>
      </w:r>
      <w:r>
        <w:rPr>
          <w:rFonts w:hint="cs"/>
          <w:rtl/>
        </w:rPr>
        <w:t xml:space="preserve"> [בביאורו הב'] </w:t>
      </w:r>
      <w:r w:rsidRPr="00CE7F22">
        <w:rPr>
          <w:rStyle w:val="af8"/>
          <w:rFonts w:hint="cs"/>
          <w:rtl/>
        </w:rPr>
        <w:t>והגר"א</w:t>
      </w:r>
      <w:r>
        <w:rPr>
          <w:rFonts w:hint="cs"/>
          <w:rtl/>
        </w:rPr>
        <w:t xml:space="preserve"> </w:t>
      </w:r>
      <w:r w:rsidRPr="00CE7F22">
        <w:rPr>
          <w:rStyle w:val="af6"/>
          <w:rFonts w:eastAsia="Guttman Hodes" w:hint="cs"/>
          <w:rtl/>
        </w:rPr>
        <w:t xml:space="preserve">(עי' אות </w:t>
      </w:r>
      <w:r w:rsidRPr="00CE7F22">
        <w:rPr>
          <w:rStyle w:val="af6"/>
          <w:rFonts w:eastAsia="Guttman Hodes"/>
          <w:rtl/>
        </w:rPr>
        <w:fldChar w:fldCharType="begin"/>
      </w:r>
      <w:r w:rsidRPr="00CE7F22">
        <w:rPr>
          <w:rStyle w:val="af6"/>
          <w:rFonts w:eastAsia="Guttman Hodes"/>
          <w:rtl/>
        </w:rPr>
        <w:instrText xml:space="preserve"> </w:instrText>
      </w:r>
      <w:r w:rsidRPr="00CE7F22">
        <w:rPr>
          <w:rStyle w:val="af6"/>
          <w:rFonts w:eastAsia="Guttman Hodes" w:hint="cs"/>
        </w:rPr>
        <w:instrText>REF</w:instrText>
      </w:r>
      <w:r w:rsidRPr="00CE7F22">
        <w:rPr>
          <w:rStyle w:val="af6"/>
          <w:rFonts w:eastAsia="Guttman Hodes" w:hint="cs"/>
          <w:rtl/>
        </w:rPr>
        <w:instrText xml:space="preserve"> _</w:instrText>
      </w:r>
      <w:r w:rsidRPr="00CE7F22">
        <w:rPr>
          <w:rStyle w:val="af6"/>
          <w:rFonts w:eastAsia="Guttman Hodes" w:hint="cs"/>
        </w:rPr>
        <w:instrText>Ref19780425 \r \h</w:instrText>
      </w:r>
      <w:r w:rsidRPr="00CE7F22">
        <w:rPr>
          <w:rStyle w:val="af6"/>
          <w:rFonts w:eastAsia="Guttman Hodes"/>
          <w:rtl/>
        </w:rPr>
        <w:instrText xml:space="preserve"> </w:instrText>
      </w:r>
      <w:r w:rsidRPr="00CE7F22">
        <w:rPr>
          <w:rStyle w:val="af6"/>
          <w:rFonts w:eastAsia="Guttman Hodes"/>
          <w:rtl/>
        </w:rPr>
      </w:r>
      <w:r w:rsidRPr="00CE7F22">
        <w:rPr>
          <w:rStyle w:val="af6"/>
          <w:rFonts w:eastAsia="Guttman Hodes"/>
          <w:rtl/>
        </w:rPr>
        <w:fldChar w:fldCharType="separate"/>
      </w:r>
      <w:r w:rsidR="004D1C5B">
        <w:rPr>
          <w:rStyle w:val="af6"/>
          <w:rFonts w:eastAsia="Guttman Hodes"/>
          <w:cs/>
        </w:rPr>
        <w:t>‎</w:t>
      </w:r>
      <w:r w:rsidR="004D1C5B">
        <w:rPr>
          <w:rStyle w:val="af6"/>
          <w:rFonts w:eastAsia="Guttman Hodes"/>
          <w:rtl/>
        </w:rPr>
        <w:t>קד)</w:t>
      </w:r>
      <w:r w:rsidRPr="00CE7F22">
        <w:rPr>
          <w:rStyle w:val="af6"/>
          <w:rFonts w:eastAsia="Guttman Hodes"/>
          <w:rtl/>
        </w:rPr>
        <w:fldChar w:fldCharType="end"/>
      </w:r>
      <w:r>
        <w:rPr>
          <w:rFonts w:hint="cs"/>
          <w:rtl/>
        </w:rPr>
        <w:t xml:space="preserve"> דלהלכה פסק </w:t>
      </w:r>
      <w:r w:rsidRPr="00D4330E">
        <w:rPr>
          <w:rStyle w:val="af8"/>
          <w:rFonts w:hint="cs"/>
          <w:rtl/>
        </w:rPr>
        <w:t>הרמב"ם</w:t>
      </w:r>
      <w:r>
        <w:rPr>
          <w:rFonts w:hint="cs"/>
          <w:rtl/>
        </w:rPr>
        <w:t xml:space="preserve"> </w:t>
      </w:r>
      <w:r w:rsidRPr="00072324">
        <w:rPr>
          <w:rStyle w:val="af6"/>
          <w:rFonts w:eastAsia="Guttman Hodes" w:hint="cs"/>
          <w:rtl/>
        </w:rPr>
        <w:t xml:space="preserve">(עי' אות </w:t>
      </w:r>
      <w:r w:rsidRPr="00072324">
        <w:rPr>
          <w:rStyle w:val="af6"/>
          <w:rFonts w:eastAsia="Guttman Hodes"/>
          <w:rtl/>
        </w:rPr>
        <w:fldChar w:fldCharType="begin"/>
      </w:r>
      <w:r w:rsidRPr="00072324">
        <w:rPr>
          <w:rStyle w:val="af6"/>
          <w:rFonts w:eastAsia="Guttman Hodes"/>
          <w:rtl/>
        </w:rPr>
        <w:instrText xml:space="preserve"> </w:instrText>
      </w:r>
      <w:r w:rsidRPr="00072324">
        <w:rPr>
          <w:rStyle w:val="af6"/>
          <w:rFonts w:eastAsia="Guttman Hodes" w:hint="cs"/>
        </w:rPr>
        <w:instrText>REF</w:instrText>
      </w:r>
      <w:r w:rsidRPr="00072324">
        <w:rPr>
          <w:rStyle w:val="af6"/>
          <w:rFonts w:eastAsia="Guttman Hodes" w:hint="cs"/>
          <w:rtl/>
        </w:rPr>
        <w:instrText xml:space="preserve"> _</w:instrText>
      </w:r>
      <w:r w:rsidRPr="00072324">
        <w:rPr>
          <w:rStyle w:val="af6"/>
          <w:rFonts w:eastAsia="Guttman Hodes" w:hint="cs"/>
        </w:rPr>
        <w:instrText>Ref19777685 \r \h</w:instrText>
      </w:r>
      <w:r w:rsidRPr="00072324">
        <w:rPr>
          <w:rStyle w:val="af6"/>
          <w:rFonts w:eastAsia="Guttman Hodes"/>
          <w:rtl/>
        </w:rPr>
        <w:instrText xml:space="preserve"> </w:instrText>
      </w:r>
      <w:r w:rsidRPr="00072324">
        <w:rPr>
          <w:rStyle w:val="af6"/>
          <w:rFonts w:eastAsia="Guttman Hodes"/>
          <w:rtl/>
        </w:rPr>
      </w:r>
      <w:r w:rsidRPr="00072324">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072324">
        <w:rPr>
          <w:rStyle w:val="af6"/>
          <w:rFonts w:eastAsia="Guttman Hodes"/>
          <w:rtl/>
        </w:rPr>
        <w:fldChar w:fldCharType="end"/>
      </w:r>
      <w:r>
        <w:rPr>
          <w:rFonts w:hint="cs"/>
          <w:rtl/>
        </w:rPr>
        <w:t xml:space="preserve"> דבהשביח ולבסוף פגם אסור, דהא ס"ל </w:t>
      </w:r>
      <w:r w:rsidRPr="00D4330E">
        <w:rPr>
          <w:rStyle w:val="af8"/>
          <w:rFonts w:hint="cs"/>
          <w:rtl/>
        </w:rPr>
        <w:t>להרמב"ם</w:t>
      </w:r>
      <w:r>
        <w:rPr>
          <w:rFonts w:hint="cs"/>
          <w:rtl/>
        </w:rPr>
        <w:t xml:space="preserve"> דבהשביח ולבסוף פגם לדעת עולא אסור לדעת ר"מ, וכסתמא דמתני' </w:t>
      </w:r>
      <w:r w:rsidRPr="00033E05">
        <w:rPr>
          <w:rStyle w:val="af6"/>
          <w:rFonts w:eastAsia="Guttman Hodes" w:hint="cs"/>
          <w:rtl/>
        </w:rPr>
        <w:t>(סה:)</w:t>
      </w:r>
      <w:r>
        <w:rPr>
          <w:rFonts w:hint="cs"/>
          <w:rtl/>
        </w:rPr>
        <w:t xml:space="preserve"> דיין שנפל לגריסין, לפי ביאור </w:t>
      </w:r>
      <w:r w:rsidRPr="00D4330E">
        <w:rPr>
          <w:rStyle w:val="af8"/>
          <w:rFonts w:hint="cs"/>
          <w:rtl/>
        </w:rPr>
        <w:t>הרמב"ם בפיהמ"ש</w:t>
      </w:r>
      <w:r>
        <w:rPr>
          <w:rFonts w:hint="cs"/>
          <w:rtl/>
        </w:rPr>
        <w:t xml:space="preserve"> </w:t>
      </w:r>
      <w:r w:rsidRPr="00033E05">
        <w:rPr>
          <w:rStyle w:val="af6"/>
          <w:rFonts w:eastAsia="Guttman Hodes" w:hint="cs"/>
          <w:rtl/>
        </w:rPr>
        <w:t xml:space="preserve">(עי' אות </w:t>
      </w:r>
      <w:r w:rsidRPr="00033E05">
        <w:rPr>
          <w:rStyle w:val="af6"/>
          <w:rFonts w:eastAsia="Guttman Hodes"/>
          <w:rtl/>
        </w:rPr>
        <w:fldChar w:fldCharType="begin"/>
      </w:r>
      <w:r w:rsidRPr="00033E05">
        <w:rPr>
          <w:rStyle w:val="af6"/>
          <w:rFonts w:eastAsia="Guttman Hodes"/>
          <w:rtl/>
        </w:rPr>
        <w:instrText xml:space="preserve"> </w:instrText>
      </w:r>
      <w:r w:rsidRPr="00033E05">
        <w:rPr>
          <w:rStyle w:val="af6"/>
          <w:rFonts w:eastAsia="Guttman Hodes" w:hint="cs"/>
        </w:rPr>
        <w:instrText>REF</w:instrText>
      </w:r>
      <w:r w:rsidRPr="00033E05">
        <w:rPr>
          <w:rStyle w:val="af6"/>
          <w:rFonts w:eastAsia="Guttman Hodes" w:hint="cs"/>
          <w:rtl/>
        </w:rPr>
        <w:instrText xml:space="preserve"> _</w:instrText>
      </w:r>
      <w:r w:rsidRPr="00033E05">
        <w:rPr>
          <w:rStyle w:val="af6"/>
          <w:rFonts w:eastAsia="Guttman Hodes" w:hint="cs"/>
        </w:rPr>
        <w:instrText>Ref19529739 \r \h</w:instrText>
      </w:r>
      <w:r w:rsidRPr="00033E05">
        <w:rPr>
          <w:rStyle w:val="af6"/>
          <w:rFonts w:eastAsia="Guttman Hodes"/>
          <w:rtl/>
        </w:rPr>
        <w:instrText xml:space="preserve"> </w:instrText>
      </w:r>
      <w:r w:rsidRPr="00033E05">
        <w:rPr>
          <w:rStyle w:val="af6"/>
          <w:rFonts w:eastAsia="Guttman Hodes"/>
          <w:rtl/>
        </w:rPr>
      </w:r>
      <w:r w:rsidRPr="00033E05">
        <w:rPr>
          <w:rStyle w:val="af6"/>
          <w:rFonts w:eastAsia="Guttman Hodes"/>
          <w:rtl/>
        </w:rPr>
        <w:fldChar w:fldCharType="separate"/>
      </w:r>
      <w:r w:rsidR="004D1C5B">
        <w:rPr>
          <w:rStyle w:val="af6"/>
          <w:rFonts w:eastAsia="Guttman Hodes"/>
          <w:cs/>
        </w:rPr>
        <w:t>‎</w:t>
      </w:r>
      <w:r w:rsidR="004D1C5B">
        <w:rPr>
          <w:rStyle w:val="af6"/>
          <w:rFonts w:eastAsia="Guttman Hodes"/>
          <w:rtl/>
        </w:rPr>
        <w:t>צו)</w:t>
      </w:r>
      <w:r w:rsidRPr="00033E05">
        <w:rPr>
          <w:rStyle w:val="af6"/>
          <w:rFonts w:eastAsia="Guttman Hodes"/>
          <w:rtl/>
        </w:rPr>
        <w:fldChar w:fldCharType="end"/>
      </w:r>
      <w:r>
        <w:rPr>
          <w:rFonts w:hint="cs"/>
          <w:rtl/>
        </w:rPr>
        <w:t xml:space="preserve"> בדעת עולא, ולכן פסק </w:t>
      </w:r>
      <w:r w:rsidRPr="00D4330E">
        <w:rPr>
          <w:rStyle w:val="af8"/>
          <w:rFonts w:hint="cs"/>
          <w:rtl/>
        </w:rPr>
        <w:t>הרמב"ם</w:t>
      </w:r>
      <w:r>
        <w:rPr>
          <w:rFonts w:hint="cs"/>
          <w:rtl/>
        </w:rPr>
        <w:t xml:space="preserve"> כסתמא דמתני'.</w:t>
      </w:r>
      <w:bookmarkEnd w:id="10407"/>
    </w:p>
    <w:p w:rsidR="00A82F1E" w:rsidRPr="00BF4DD3" w:rsidRDefault="00A82F1E" w:rsidP="00A82F1E">
      <w:pPr>
        <w:pStyle w:val="a2"/>
      </w:pPr>
      <w:bookmarkStart w:id="10408" w:name="_Toc19792273"/>
      <w:r>
        <w:rPr>
          <w:rFonts w:hint="cs"/>
          <w:rtl/>
        </w:rPr>
        <w:t>דברי הלח"מ דבפגם ולבסוף השביח פסק הרמב"ם כסתמא דברייתא וכר"מ לדעת ריו"ח</w:t>
      </w:r>
      <w:bookmarkEnd w:id="10408"/>
    </w:p>
    <w:p w:rsidR="00A82F1E" w:rsidRDefault="00A82F1E" w:rsidP="009F44AF">
      <w:pPr>
        <w:pStyle w:val="a"/>
        <w:rPr>
          <w:rtl/>
        </w:rPr>
      </w:pPr>
      <w:bookmarkStart w:id="10409" w:name="_Ref19813315"/>
      <w:r>
        <w:rPr>
          <w:rFonts w:hint="cs"/>
          <w:rtl/>
        </w:rPr>
        <w:t xml:space="preserve">ובפגם ולבסוף השביח, ביאר </w:t>
      </w:r>
      <w:r w:rsidRPr="0061209F">
        <w:rPr>
          <w:rStyle w:val="af8"/>
          <w:rFonts w:hint="cs"/>
          <w:rtl/>
        </w:rPr>
        <w:t>הלח"מ</w:t>
      </w:r>
      <w:r>
        <w:rPr>
          <w:rFonts w:hint="cs"/>
          <w:rtl/>
        </w:rPr>
        <w:t xml:space="preserve"> דלהלכה פסק </w:t>
      </w:r>
      <w:r w:rsidRPr="00D4330E">
        <w:rPr>
          <w:rStyle w:val="af8"/>
          <w:rFonts w:hint="cs"/>
          <w:rtl/>
        </w:rPr>
        <w:t>הרמב"ם</w:t>
      </w:r>
      <w:r>
        <w:rPr>
          <w:rFonts w:hint="cs"/>
          <w:rtl/>
        </w:rPr>
        <w:t xml:space="preserve"> כדעת ריו"ח דר"מ אסר בפגם ולבסוף השביח, דהיינו פגום מעיקרא, וכתב </w:t>
      </w:r>
      <w:r w:rsidRPr="00D4330E">
        <w:rPr>
          <w:rStyle w:val="af8"/>
          <w:rFonts w:hint="cs"/>
          <w:rtl/>
        </w:rPr>
        <w:t>הלח"מ</w:t>
      </w:r>
      <w:r>
        <w:rPr>
          <w:rFonts w:hint="cs"/>
          <w:rtl/>
        </w:rPr>
        <w:t xml:space="preserve"> דזהו הביאור בברייתא דיין שנפל לעדשים, </w:t>
      </w:r>
      <w:r w:rsidRPr="00BF6963">
        <w:rPr>
          <w:rStyle w:val="afa"/>
          <w:rFonts w:hint="cs"/>
          <w:rtl/>
        </w:rPr>
        <w:t xml:space="preserve">[כדביאר </w:t>
      </w:r>
      <w:r w:rsidRPr="00D4330E">
        <w:rPr>
          <w:rStyle w:val="affa"/>
          <w:rFonts w:hint="cs"/>
          <w:rtl/>
        </w:rPr>
        <w:t>הלח"מ</w:t>
      </w:r>
      <w:r w:rsidRPr="00BF6963">
        <w:rPr>
          <w:rStyle w:val="afa"/>
          <w:rFonts w:hint="cs"/>
          <w:rtl/>
        </w:rPr>
        <w:t xml:space="preserve"> </w:t>
      </w:r>
      <w:r w:rsidRPr="004F3020">
        <w:rPr>
          <w:rStyle w:val="aff6"/>
          <w:rFonts w:hint="cs"/>
          <w:rtl/>
        </w:rPr>
        <w:t xml:space="preserve">(עי' אות </w:t>
      </w:r>
      <w:r w:rsidRPr="004F3020">
        <w:rPr>
          <w:rStyle w:val="aff6"/>
          <w:rtl/>
        </w:rPr>
        <w:fldChar w:fldCharType="begin"/>
      </w:r>
      <w:r w:rsidRPr="004F3020">
        <w:rPr>
          <w:rStyle w:val="aff6"/>
          <w:rtl/>
        </w:rPr>
        <w:instrText xml:space="preserve"> </w:instrText>
      </w:r>
      <w:r w:rsidRPr="004F3020">
        <w:rPr>
          <w:rStyle w:val="aff6"/>
          <w:rFonts w:hint="cs"/>
        </w:rPr>
        <w:instrText>REF</w:instrText>
      </w:r>
      <w:r w:rsidRPr="004F3020">
        <w:rPr>
          <w:rStyle w:val="aff6"/>
          <w:rFonts w:hint="cs"/>
          <w:rtl/>
        </w:rPr>
        <w:instrText xml:space="preserve"> _</w:instrText>
      </w:r>
      <w:r w:rsidRPr="004F3020">
        <w:rPr>
          <w:rStyle w:val="aff6"/>
          <w:rFonts w:hint="cs"/>
        </w:rPr>
        <w:instrText>Ref19529739 \r \h</w:instrText>
      </w:r>
      <w:r w:rsidRPr="004F3020">
        <w:rPr>
          <w:rStyle w:val="aff6"/>
          <w:rtl/>
        </w:rPr>
        <w:instrText xml:space="preserve"> </w:instrText>
      </w:r>
      <w:r w:rsidRPr="004F3020">
        <w:rPr>
          <w:rStyle w:val="aff6"/>
          <w:rtl/>
        </w:rPr>
      </w:r>
      <w:r w:rsidRPr="004F3020">
        <w:rPr>
          <w:rStyle w:val="aff6"/>
          <w:rtl/>
        </w:rPr>
        <w:fldChar w:fldCharType="separate"/>
      </w:r>
      <w:r w:rsidR="004D1C5B">
        <w:rPr>
          <w:rStyle w:val="aff6"/>
          <w:cs/>
        </w:rPr>
        <w:t>‎</w:t>
      </w:r>
      <w:r w:rsidR="004D1C5B">
        <w:rPr>
          <w:rStyle w:val="aff6"/>
          <w:rtl/>
        </w:rPr>
        <w:t>צו)</w:t>
      </w:r>
      <w:r w:rsidRPr="004F3020">
        <w:rPr>
          <w:rStyle w:val="aff6"/>
          <w:rtl/>
        </w:rPr>
        <w:fldChar w:fldCharType="end"/>
      </w:r>
      <w:r w:rsidRPr="00BF6963">
        <w:rPr>
          <w:rStyle w:val="afa"/>
          <w:rFonts w:hint="cs"/>
          <w:rtl/>
        </w:rPr>
        <w:t xml:space="preserve">], </w:t>
      </w:r>
      <w:r>
        <w:rPr>
          <w:rFonts w:hint="cs"/>
          <w:rtl/>
        </w:rPr>
        <w:t xml:space="preserve">וכיון דסתמה המשנה כר"מ פסק </w:t>
      </w:r>
      <w:r w:rsidRPr="00BF4DD3">
        <w:rPr>
          <w:rStyle w:val="af8"/>
          <w:rFonts w:hint="cs"/>
          <w:rtl/>
        </w:rPr>
        <w:t>הרמב"ם</w:t>
      </w:r>
      <w:r>
        <w:rPr>
          <w:rFonts w:hint="cs"/>
          <w:rtl/>
        </w:rPr>
        <w:t xml:space="preserve"> כר"מ. </w:t>
      </w:r>
      <w:r w:rsidRPr="00BF6963">
        <w:rPr>
          <w:rStyle w:val="afa"/>
          <w:rFonts w:hint="cs"/>
          <w:rtl/>
        </w:rPr>
        <w:t xml:space="preserve">[אך הוסיף </w:t>
      </w:r>
      <w:r w:rsidRPr="00D4330E">
        <w:rPr>
          <w:rStyle w:val="affa"/>
          <w:rFonts w:hint="cs"/>
          <w:rtl/>
        </w:rPr>
        <w:t>הלח"מ</w:t>
      </w:r>
      <w:r w:rsidRPr="00BF6963">
        <w:rPr>
          <w:rStyle w:val="afa"/>
          <w:rFonts w:hint="cs"/>
          <w:rtl/>
        </w:rPr>
        <w:t xml:space="preserve"> דהוא דוחק לומר דהרמב"ם פסק כר"מ לגבי ר"ש דהוא יחדיאה, וכתב </w:t>
      </w:r>
      <w:r w:rsidRPr="00D4330E">
        <w:rPr>
          <w:rStyle w:val="affa"/>
          <w:rFonts w:hint="cs"/>
          <w:rtl/>
        </w:rPr>
        <w:t>הלח"מ</w:t>
      </w:r>
      <w:r w:rsidRPr="00BF6963">
        <w:rPr>
          <w:rStyle w:val="afa"/>
          <w:rFonts w:hint="cs"/>
          <w:rtl/>
        </w:rPr>
        <w:t xml:space="preserve"> דלכן כתב </w:t>
      </w:r>
      <w:r w:rsidRPr="00D4330E">
        <w:rPr>
          <w:rStyle w:val="affa"/>
          <w:rFonts w:hint="cs"/>
          <w:rtl/>
        </w:rPr>
        <w:t>הרמב"ם בפיהמ"ש</w:t>
      </w:r>
      <w:r w:rsidRPr="00BF6963">
        <w:rPr>
          <w:rStyle w:val="afa"/>
          <w:rFonts w:hint="cs"/>
          <w:rtl/>
        </w:rPr>
        <w:t xml:space="preserve"> </w:t>
      </w:r>
      <w:r w:rsidRPr="004F3020">
        <w:rPr>
          <w:rStyle w:val="aff6"/>
          <w:rFonts w:hint="cs"/>
          <w:rtl/>
        </w:rPr>
        <w:t xml:space="preserve">(עי' אות </w:t>
      </w:r>
      <w:r w:rsidRPr="004F3020">
        <w:rPr>
          <w:rStyle w:val="aff6"/>
          <w:rtl/>
        </w:rPr>
        <w:fldChar w:fldCharType="begin"/>
      </w:r>
      <w:r w:rsidRPr="004F3020">
        <w:rPr>
          <w:rStyle w:val="aff6"/>
          <w:rtl/>
        </w:rPr>
        <w:instrText xml:space="preserve"> </w:instrText>
      </w:r>
      <w:r w:rsidRPr="004F3020">
        <w:rPr>
          <w:rStyle w:val="aff6"/>
          <w:rFonts w:hint="cs"/>
        </w:rPr>
        <w:instrText>REF</w:instrText>
      </w:r>
      <w:r w:rsidRPr="004F3020">
        <w:rPr>
          <w:rStyle w:val="aff6"/>
          <w:rFonts w:hint="cs"/>
          <w:rtl/>
        </w:rPr>
        <w:instrText xml:space="preserve"> _</w:instrText>
      </w:r>
      <w:r w:rsidRPr="004F3020">
        <w:rPr>
          <w:rStyle w:val="aff6"/>
          <w:rFonts w:hint="cs"/>
        </w:rPr>
        <w:instrText>Ref19778761 \r \h</w:instrText>
      </w:r>
      <w:r w:rsidRPr="004F3020">
        <w:rPr>
          <w:rStyle w:val="aff6"/>
          <w:rtl/>
        </w:rPr>
        <w:instrText xml:space="preserve"> </w:instrText>
      </w:r>
      <w:r w:rsidRPr="004F3020">
        <w:rPr>
          <w:rStyle w:val="aff6"/>
          <w:rtl/>
        </w:rPr>
      </w:r>
      <w:r w:rsidRPr="004F3020">
        <w:rPr>
          <w:rStyle w:val="aff6"/>
          <w:rtl/>
        </w:rPr>
        <w:fldChar w:fldCharType="separate"/>
      </w:r>
      <w:r w:rsidR="004D1C5B">
        <w:rPr>
          <w:rStyle w:val="aff6"/>
          <w:cs/>
        </w:rPr>
        <w:t>‎</w:t>
      </w:r>
      <w:r w:rsidR="004D1C5B">
        <w:rPr>
          <w:rStyle w:val="aff6"/>
          <w:rtl/>
        </w:rPr>
        <w:t>צג)</w:t>
      </w:r>
      <w:r w:rsidRPr="004F3020">
        <w:rPr>
          <w:rStyle w:val="aff6"/>
          <w:rtl/>
        </w:rPr>
        <w:fldChar w:fldCharType="end"/>
      </w:r>
      <w:r w:rsidRPr="004F3020">
        <w:rPr>
          <w:rStyle w:val="aff6"/>
          <w:rFonts w:hint="cs"/>
          <w:rtl/>
        </w:rPr>
        <w:t xml:space="preserve"> </w:t>
      </w:r>
      <w:r w:rsidRPr="00BF6963">
        <w:rPr>
          <w:rStyle w:val="afa"/>
          <w:rFonts w:hint="cs"/>
          <w:rtl/>
        </w:rPr>
        <w:t>דכיון שלא מפורש בגמ' הדין בהשביח ולבסוף פגם ובפגם ולבסוף השביח, לכן שניהם אסורים, דכוונתו לאסור מספק אי קיי"ל כר"מ או כר"ש]</w:t>
      </w:r>
      <w:r>
        <w:rPr>
          <w:rStyle w:val="afa"/>
          <w:rFonts w:hint="cs"/>
          <w:rtl/>
        </w:rPr>
        <w:t>.</w:t>
      </w:r>
      <w:bookmarkEnd w:id="10409"/>
    </w:p>
    <w:p w:rsidR="00A82F1E" w:rsidRPr="00E71803" w:rsidRDefault="00A82F1E" w:rsidP="00A82F1E">
      <w:pPr>
        <w:pStyle w:val="a2"/>
      </w:pPr>
      <w:bookmarkStart w:id="10410" w:name="_Toc19792274"/>
      <w:r>
        <w:rPr>
          <w:rFonts w:hint="cs"/>
          <w:rtl/>
        </w:rPr>
        <w:t>דברי הגר"א דבפגם ולבסוף השביח לא התברר בגמ' ופסק הרמב"ם דמספק אסור</w:t>
      </w:r>
      <w:bookmarkEnd w:id="10410"/>
    </w:p>
    <w:p w:rsidR="00707FC2" w:rsidRDefault="00A82F1E" w:rsidP="009F44AF">
      <w:pPr>
        <w:pStyle w:val="a"/>
        <w:rPr>
          <w:rtl/>
        </w:rPr>
      </w:pPr>
      <w:r w:rsidRPr="00CE7F22">
        <w:rPr>
          <w:rFonts w:hint="cs"/>
          <w:rtl/>
        </w:rPr>
        <w:t xml:space="preserve">ועי' במה שביאר </w:t>
      </w:r>
      <w:r w:rsidRPr="00CE7F22">
        <w:rPr>
          <w:rStyle w:val="af8"/>
          <w:rFonts w:hint="cs"/>
          <w:rtl/>
        </w:rPr>
        <w:t>הגר"א</w:t>
      </w:r>
      <w:r w:rsidRPr="00CE7F22">
        <w:rPr>
          <w:rFonts w:hint="cs"/>
          <w:rtl/>
        </w:rPr>
        <w:t xml:space="preserve"> </w:t>
      </w:r>
      <w:r w:rsidRPr="00CE7F22">
        <w:rPr>
          <w:rStyle w:val="af6"/>
          <w:rFonts w:eastAsia="Guttman Hodes" w:hint="cs"/>
          <w:rtl/>
        </w:rPr>
        <w:t xml:space="preserve">(עי' אות </w:t>
      </w:r>
      <w:r w:rsidRPr="00CE7F22">
        <w:rPr>
          <w:rStyle w:val="af6"/>
          <w:rFonts w:eastAsia="Guttman Hodes"/>
          <w:rtl/>
        </w:rPr>
        <w:fldChar w:fldCharType="begin"/>
      </w:r>
      <w:r w:rsidRPr="00CE7F22">
        <w:rPr>
          <w:rStyle w:val="af6"/>
          <w:rFonts w:eastAsia="Guttman Hodes"/>
          <w:rtl/>
        </w:rPr>
        <w:instrText xml:space="preserve"> </w:instrText>
      </w:r>
      <w:r w:rsidRPr="00CE7F22">
        <w:rPr>
          <w:rStyle w:val="af6"/>
          <w:rFonts w:eastAsia="Guttman Hodes" w:hint="cs"/>
        </w:rPr>
        <w:instrText>REF</w:instrText>
      </w:r>
      <w:r w:rsidRPr="00CE7F22">
        <w:rPr>
          <w:rStyle w:val="af6"/>
          <w:rFonts w:eastAsia="Guttman Hodes" w:hint="cs"/>
          <w:rtl/>
        </w:rPr>
        <w:instrText xml:space="preserve"> _</w:instrText>
      </w:r>
      <w:r w:rsidRPr="00CE7F22">
        <w:rPr>
          <w:rStyle w:val="af6"/>
          <w:rFonts w:eastAsia="Guttman Hodes" w:hint="cs"/>
        </w:rPr>
        <w:instrText>Ref19780470 \r \h</w:instrText>
      </w:r>
      <w:r w:rsidRPr="00CE7F22">
        <w:rPr>
          <w:rStyle w:val="af6"/>
          <w:rFonts w:eastAsia="Guttman Hodes"/>
          <w:rtl/>
        </w:rPr>
        <w:instrText xml:space="preserve"> </w:instrText>
      </w:r>
      <w:r w:rsidRPr="00CE7F22">
        <w:rPr>
          <w:rStyle w:val="af6"/>
          <w:rFonts w:eastAsia="Guttman Hodes"/>
          <w:rtl/>
        </w:rPr>
      </w:r>
      <w:r w:rsidRPr="00CE7F22">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CE7F22">
        <w:rPr>
          <w:rStyle w:val="af6"/>
          <w:rFonts w:eastAsia="Guttman Hodes"/>
          <w:rtl/>
        </w:rPr>
        <w:fldChar w:fldCharType="end"/>
      </w:r>
      <w:r w:rsidRPr="00CE7F22">
        <w:rPr>
          <w:rFonts w:hint="cs"/>
          <w:rtl/>
        </w:rPr>
        <w:t xml:space="preserve"> דיש טעות סופר בדברי </w:t>
      </w:r>
      <w:r w:rsidRPr="00CE7F22">
        <w:rPr>
          <w:rStyle w:val="af8"/>
          <w:rFonts w:hint="cs"/>
          <w:rtl/>
        </w:rPr>
        <w:t>הרמב"ם בפיהמ"ש</w:t>
      </w:r>
      <w:r>
        <w:rPr>
          <w:rFonts w:hint="cs"/>
          <w:rtl/>
        </w:rPr>
        <w:t xml:space="preserve">, וצריך לגרוס בדבריו דלא התברר בגמ' מה הדין בפגם ולבסוף השביח, ולכן מספק פסק </w:t>
      </w:r>
      <w:r w:rsidRPr="00E71803">
        <w:rPr>
          <w:rStyle w:val="af8"/>
          <w:rFonts w:hint="cs"/>
          <w:rtl/>
        </w:rPr>
        <w:t>הרמב"ם</w:t>
      </w:r>
      <w:r>
        <w:rPr>
          <w:rFonts w:hint="cs"/>
          <w:rtl/>
        </w:rPr>
        <w:t xml:space="preserve"> דאסור, אבל בהשביח ולבסוף פגם פסק </w:t>
      </w:r>
      <w:r w:rsidRPr="00E71803">
        <w:rPr>
          <w:rStyle w:val="af8"/>
          <w:rFonts w:hint="cs"/>
          <w:rtl/>
        </w:rPr>
        <w:t>הרמב"ם</w:t>
      </w:r>
      <w:r>
        <w:rPr>
          <w:rFonts w:hint="cs"/>
          <w:rtl/>
        </w:rPr>
        <w:t xml:space="preserve"> כמפורש בגמ' דלדעת ריו"ח אסור לכו"ע.</w:t>
      </w:r>
    </w:p>
    <w:p w:rsidR="00A82F1E" w:rsidRDefault="00A82F1E" w:rsidP="00A82F1E">
      <w:pPr>
        <w:pStyle w:val="1"/>
        <w:rPr>
          <w:rtl/>
        </w:rPr>
      </w:pPr>
      <w:r>
        <w:rPr>
          <w:rFonts w:hint="cs"/>
          <w:rtl/>
        </w:rPr>
        <w:t>דעת הרמב"ם בפיהמ"ש דלעולא פגם ולבסוף השביח מותר</w:t>
      </w:r>
    </w:p>
    <w:p w:rsidR="00A82F1E" w:rsidRDefault="00A82F1E" w:rsidP="00A82F1E">
      <w:pPr>
        <w:pStyle w:val="a2"/>
        <w:rPr>
          <w:rtl/>
        </w:rPr>
      </w:pPr>
      <w:r>
        <w:rPr>
          <w:rFonts w:hint="cs"/>
          <w:rtl/>
        </w:rPr>
        <w:t>דברי הלח"מ והגר"א דלהרמב"ם בפיהמ"ש לדעת עולא פגם ולבסוף השביח מותר לכו"ע</w:t>
      </w:r>
    </w:p>
    <w:p w:rsidR="00A82F1E" w:rsidRPr="00721392" w:rsidRDefault="00A82F1E" w:rsidP="009F44AF">
      <w:pPr>
        <w:pStyle w:val="a"/>
        <w:rPr>
          <w:sz w:val="10"/>
          <w:szCs w:val="14"/>
          <w:rtl/>
        </w:rPr>
      </w:pPr>
      <w:r>
        <w:rPr>
          <w:rFonts w:hint="cs"/>
          <w:rtl/>
        </w:rPr>
        <w:t xml:space="preserve">וכתב </w:t>
      </w:r>
      <w:r w:rsidRPr="00D4330E">
        <w:rPr>
          <w:rStyle w:val="af8"/>
          <w:rFonts w:hint="cs"/>
          <w:rtl/>
        </w:rPr>
        <w:t>הלח"מ</w:t>
      </w:r>
      <w:r>
        <w:rPr>
          <w:rFonts w:hint="cs"/>
          <w:rtl/>
        </w:rPr>
        <w:t xml:space="preserve"> </w:t>
      </w:r>
      <w:r w:rsidRPr="008612FE">
        <w:rPr>
          <w:rStyle w:val="af6"/>
          <w:rFonts w:eastAsia="Guttman Hodes" w:hint="cs"/>
          <w:rtl/>
        </w:rPr>
        <w:t>(מאכ"א פט"ו הכ"ח)</w:t>
      </w:r>
      <w:r>
        <w:rPr>
          <w:rFonts w:hint="cs"/>
          <w:rtl/>
        </w:rPr>
        <w:t xml:space="preserve"> </w:t>
      </w:r>
      <w:r>
        <w:rPr>
          <w:rStyle w:val="af8"/>
          <w:rFonts w:hint="cs"/>
          <w:rtl/>
        </w:rPr>
        <w:t>ד</w:t>
      </w:r>
      <w:r w:rsidRPr="00D4330E">
        <w:rPr>
          <w:rStyle w:val="af8"/>
          <w:rFonts w:hint="cs"/>
          <w:rtl/>
        </w:rPr>
        <w:t>הרמב"ם בפיהמ"ש</w:t>
      </w:r>
      <w:r>
        <w:rPr>
          <w:rFonts w:hint="cs"/>
          <w:rtl/>
        </w:rPr>
        <w:t xml:space="preserve"> ביאר דכוונת עולא לומר דר"מ ור"ש נחלקו בהשביח ולבסוף פגם, אבל בפגם </w:t>
      </w:r>
      <w:r>
        <w:rPr>
          <w:rFonts w:hint="cs"/>
          <w:rtl/>
        </w:rPr>
        <w:t xml:space="preserve">ולבסוף השביח לכו"ע מותר כיון שהיה פגום בתחילה, וכ"ש אם היה פגום מתחילה ועד סוף, ולכן נקט עולא לשון פגום מעיקרא, וכ"כ </w:t>
      </w:r>
      <w:r w:rsidRPr="00BD59CE">
        <w:rPr>
          <w:rStyle w:val="af8"/>
          <w:rFonts w:hint="cs"/>
          <w:rtl/>
        </w:rPr>
        <w:t>הגר"א</w:t>
      </w:r>
      <w:r w:rsidRPr="00BD59CE">
        <w:rPr>
          <w:rFonts w:hint="cs"/>
          <w:rtl/>
        </w:rPr>
        <w:t xml:space="preserve"> </w:t>
      </w:r>
      <w:r w:rsidRPr="00346115">
        <w:rPr>
          <w:rStyle w:val="af6"/>
          <w:rFonts w:eastAsia="Guttman Hodes" w:hint="cs"/>
          <w:rtl/>
        </w:rPr>
        <w:t>(סי' צ"ח סק"ד)</w:t>
      </w:r>
      <w:r>
        <w:rPr>
          <w:rFonts w:hint="cs"/>
          <w:rtl/>
        </w:rPr>
        <w:t xml:space="preserve"> </w:t>
      </w:r>
      <w:r>
        <w:rPr>
          <w:rStyle w:val="af8"/>
          <w:rFonts w:hint="cs"/>
          <w:rtl/>
        </w:rPr>
        <w:t>ד</w:t>
      </w:r>
      <w:r w:rsidRPr="00D4330E">
        <w:rPr>
          <w:rStyle w:val="af8"/>
          <w:rFonts w:hint="cs"/>
          <w:rtl/>
        </w:rPr>
        <w:t>הרמב"ם בפיהמ"ש</w:t>
      </w:r>
      <w:r>
        <w:rPr>
          <w:rFonts w:hint="cs"/>
          <w:rtl/>
        </w:rPr>
        <w:t xml:space="preserve"> ביאר </w:t>
      </w:r>
      <w:r w:rsidRPr="00BD59CE">
        <w:rPr>
          <w:rFonts w:hint="cs"/>
          <w:rtl/>
        </w:rPr>
        <w:t xml:space="preserve">דלדעת עולא פגום </w:t>
      </w:r>
      <w:r>
        <w:rPr>
          <w:rFonts w:hint="cs"/>
          <w:rtl/>
        </w:rPr>
        <w:t>מעיקרא</w:t>
      </w:r>
      <w:r w:rsidRPr="00BD59CE">
        <w:rPr>
          <w:rFonts w:hint="cs"/>
          <w:rtl/>
        </w:rPr>
        <w:t xml:space="preserve"> </w:t>
      </w:r>
      <w:r>
        <w:rPr>
          <w:rFonts w:hint="cs"/>
          <w:rtl/>
        </w:rPr>
        <w:t xml:space="preserve">דהיינו </w:t>
      </w:r>
      <w:r w:rsidRPr="00BD59CE">
        <w:rPr>
          <w:rFonts w:hint="cs"/>
          <w:rtl/>
        </w:rPr>
        <w:t>פגם</w:t>
      </w:r>
      <w:r>
        <w:rPr>
          <w:rFonts w:hint="cs"/>
          <w:rtl/>
        </w:rPr>
        <w:t xml:space="preserve"> ולבסוף השביח </w:t>
      </w:r>
      <w:r w:rsidRPr="00BD59CE">
        <w:rPr>
          <w:rFonts w:hint="cs"/>
          <w:rtl/>
        </w:rPr>
        <w:t>מותר</w:t>
      </w:r>
      <w:r w:rsidRPr="00721392">
        <w:rPr>
          <w:rFonts w:hint="cs"/>
          <w:rtl/>
        </w:rPr>
        <w:t xml:space="preserve"> </w:t>
      </w:r>
      <w:r w:rsidRPr="00BD59CE">
        <w:rPr>
          <w:rFonts w:hint="cs"/>
          <w:rtl/>
        </w:rPr>
        <w:t>לכו"ע</w:t>
      </w:r>
      <w:r>
        <w:rPr>
          <w:rFonts w:hint="cs"/>
          <w:rtl/>
        </w:rPr>
        <w:t>.</w:t>
      </w:r>
    </w:p>
    <w:p w:rsidR="00A82F1E" w:rsidRPr="004F3020" w:rsidRDefault="00A82F1E" w:rsidP="00A82F1E">
      <w:pPr>
        <w:pStyle w:val="1"/>
        <w:rPr>
          <w:rtl/>
        </w:rPr>
      </w:pPr>
      <w:bookmarkStart w:id="10411" w:name="_Toc19792275"/>
      <w:r>
        <w:rPr>
          <w:rFonts w:hint="cs"/>
          <w:rtl/>
        </w:rPr>
        <w:t>ביאור הב"י והכס"מ דפגם ולבסוף השביח נלמד בק"ו</w:t>
      </w:r>
      <w:bookmarkEnd w:id="10411"/>
    </w:p>
    <w:p w:rsidR="00A82F1E" w:rsidRPr="004112CC" w:rsidRDefault="00A82F1E" w:rsidP="00A82F1E">
      <w:pPr>
        <w:pStyle w:val="a2"/>
        <w:rPr>
          <w:rtl/>
        </w:rPr>
      </w:pPr>
      <w:bookmarkStart w:id="10412" w:name="_Toc19792276"/>
      <w:r>
        <w:rPr>
          <w:rFonts w:hint="cs"/>
          <w:rtl/>
        </w:rPr>
        <w:t>ביאור הב"י והכס"מ דכיון דהשביח ולבסוף פגם אסור כ"ש דפגם ולבסוף השביח אסור</w:t>
      </w:r>
      <w:bookmarkEnd w:id="10404"/>
      <w:bookmarkEnd w:id="10412"/>
    </w:p>
    <w:p w:rsidR="00A82F1E" w:rsidRDefault="00A82F1E" w:rsidP="009F44AF">
      <w:pPr>
        <w:pStyle w:val="a"/>
        <w:rPr>
          <w:rtl/>
        </w:rPr>
      </w:pPr>
      <w:bookmarkStart w:id="10413" w:name="_Ref19726043"/>
      <w:r>
        <w:rPr>
          <w:rFonts w:hint="cs"/>
          <w:rtl/>
        </w:rPr>
        <w:t xml:space="preserve">כתב </w:t>
      </w:r>
      <w:r>
        <w:rPr>
          <w:rStyle w:val="af8"/>
          <w:rFonts w:hint="cs"/>
          <w:rtl/>
        </w:rPr>
        <w:t>ה</w:t>
      </w:r>
      <w:r w:rsidRPr="000F35B8">
        <w:rPr>
          <w:rStyle w:val="af8"/>
          <w:rFonts w:hint="cs"/>
          <w:rtl/>
        </w:rPr>
        <w:t>ב"י</w:t>
      </w:r>
      <w:r>
        <w:rPr>
          <w:rFonts w:hint="cs"/>
          <w:rtl/>
        </w:rPr>
        <w:t xml:space="preserve"> </w:t>
      </w:r>
      <w:r w:rsidRPr="00613187">
        <w:rPr>
          <w:rStyle w:val="af6"/>
          <w:rFonts w:eastAsia="Guttman Hodes" w:hint="cs"/>
          <w:rtl/>
        </w:rPr>
        <w:t xml:space="preserve">(סי' ק"ג א' ד"ה בד"א) </w:t>
      </w:r>
      <w:r w:rsidRPr="000F35B8">
        <w:rPr>
          <w:rStyle w:val="af8"/>
          <w:rFonts w:hint="cs"/>
          <w:rtl/>
        </w:rPr>
        <w:t>ו</w:t>
      </w:r>
      <w:r>
        <w:rPr>
          <w:rStyle w:val="af8"/>
          <w:rFonts w:hint="cs"/>
          <w:rtl/>
        </w:rPr>
        <w:t>ה</w:t>
      </w:r>
      <w:r w:rsidRPr="000F35B8">
        <w:rPr>
          <w:rStyle w:val="af8"/>
          <w:rFonts w:hint="cs"/>
          <w:rtl/>
        </w:rPr>
        <w:t>כס"מ</w:t>
      </w:r>
      <w:r>
        <w:rPr>
          <w:rFonts w:hint="cs"/>
          <w:rtl/>
        </w:rPr>
        <w:t xml:space="preserve"> </w:t>
      </w:r>
      <w:r w:rsidRPr="00613187">
        <w:rPr>
          <w:rStyle w:val="af6"/>
          <w:rFonts w:eastAsia="Guttman Hodes" w:hint="cs"/>
          <w:rtl/>
        </w:rPr>
        <w:t xml:space="preserve">(מאכ"א פט"ו הכ"ח) </w:t>
      </w:r>
      <w:r>
        <w:rPr>
          <w:rFonts w:hint="cs"/>
          <w:rtl/>
        </w:rPr>
        <w:t xml:space="preserve">דאף שבגמ' מבואר רק דבהשביח ולבסוף פגם אסור, ולא מבואר מה הדין בפגם ולבסוף השביח, מ"מ למדו </w:t>
      </w:r>
      <w:r w:rsidRPr="000F35B8">
        <w:rPr>
          <w:rStyle w:val="af8"/>
          <w:rFonts w:hint="cs"/>
          <w:rtl/>
        </w:rPr>
        <w:t xml:space="preserve">הרמב"ם </w:t>
      </w:r>
      <w:r w:rsidRPr="001759BF">
        <w:rPr>
          <w:rStyle w:val="af6"/>
          <w:rFonts w:eastAsia="Guttman Hodes" w:hint="cs"/>
          <w:rtl/>
        </w:rPr>
        <w:t xml:space="preserve">(עי' אות </w:t>
      </w:r>
      <w:r w:rsidRPr="001759BF">
        <w:rPr>
          <w:rStyle w:val="af6"/>
          <w:rFonts w:eastAsia="Guttman Hodes"/>
          <w:rtl/>
        </w:rPr>
        <w:fldChar w:fldCharType="begin"/>
      </w:r>
      <w:r w:rsidRPr="001759BF">
        <w:rPr>
          <w:rStyle w:val="af6"/>
          <w:rFonts w:eastAsia="Guttman Hodes"/>
          <w:rtl/>
        </w:rPr>
        <w:instrText xml:space="preserve"> </w:instrText>
      </w:r>
      <w:r w:rsidRPr="001759BF">
        <w:rPr>
          <w:rStyle w:val="af6"/>
          <w:rFonts w:eastAsia="Guttman Hodes" w:hint="cs"/>
        </w:rPr>
        <w:instrText>REF</w:instrText>
      </w:r>
      <w:r w:rsidRPr="001759BF">
        <w:rPr>
          <w:rStyle w:val="af6"/>
          <w:rFonts w:eastAsia="Guttman Hodes" w:hint="cs"/>
          <w:rtl/>
        </w:rPr>
        <w:instrText xml:space="preserve"> _</w:instrText>
      </w:r>
      <w:r w:rsidRPr="001759BF">
        <w:rPr>
          <w:rStyle w:val="af6"/>
          <w:rFonts w:eastAsia="Guttman Hodes" w:hint="cs"/>
        </w:rPr>
        <w:instrText>Ref19777685 \r \h</w:instrText>
      </w:r>
      <w:r w:rsidRPr="001759BF">
        <w:rPr>
          <w:rStyle w:val="af6"/>
          <w:rFonts w:eastAsia="Guttman Hodes"/>
          <w:rtl/>
        </w:rPr>
        <w:instrText xml:space="preserve"> </w:instrText>
      </w:r>
      <w:r w:rsidRPr="001759BF">
        <w:rPr>
          <w:rStyle w:val="af6"/>
          <w:rFonts w:eastAsia="Guttman Hodes"/>
          <w:rtl/>
        </w:rPr>
      </w:r>
      <w:r w:rsidRPr="001759BF">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1759BF">
        <w:rPr>
          <w:rStyle w:val="af6"/>
          <w:rFonts w:eastAsia="Guttman Hodes"/>
          <w:rtl/>
        </w:rPr>
        <w:fldChar w:fldCharType="end"/>
      </w:r>
      <w:r w:rsidRPr="001759BF">
        <w:rPr>
          <w:rStyle w:val="af6"/>
          <w:rFonts w:eastAsia="Guttman Hodes" w:hint="cs"/>
          <w:rtl/>
        </w:rPr>
        <w:t xml:space="preserve"> </w:t>
      </w:r>
      <w:r w:rsidRPr="000F35B8">
        <w:rPr>
          <w:rStyle w:val="af8"/>
          <w:rFonts w:hint="cs"/>
          <w:rtl/>
        </w:rPr>
        <w:t>והרשב"א</w:t>
      </w:r>
      <w:r w:rsidRPr="00C20579">
        <w:rPr>
          <w:rStyle w:val="af8"/>
          <w:rFonts w:hint="cs"/>
          <w:rtl/>
        </w:rPr>
        <w:t xml:space="preserve"> </w:t>
      </w:r>
      <w:r>
        <w:rPr>
          <w:rStyle w:val="af8"/>
          <w:rFonts w:hint="cs"/>
          <w:rtl/>
        </w:rPr>
        <w:t>ו</w:t>
      </w:r>
      <w:r w:rsidRPr="00C20579">
        <w:rPr>
          <w:rStyle w:val="af8"/>
          <w:rFonts w:hint="cs"/>
          <w:rtl/>
        </w:rPr>
        <w:t>הטור</w:t>
      </w:r>
      <w:r w:rsidRPr="001759BF">
        <w:rPr>
          <w:rStyle w:val="af6"/>
          <w:rFonts w:eastAsia="Guttman Hodes" w:hint="cs"/>
          <w:rtl/>
        </w:rPr>
        <w:t xml:space="preserve"> (עי' אות </w:t>
      </w:r>
      <w:r w:rsidRPr="001759BF">
        <w:rPr>
          <w:rStyle w:val="af6"/>
          <w:rFonts w:eastAsia="Guttman Hodes"/>
          <w:rtl/>
        </w:rPr>
        <w:fldChar w:fldCharType="begin"/>
      </w:r>
      <w:r w:rsidRPr="001759BF">
        <w:rPr>
          <w:rStyle w:val="af6"/>
          <w:rFonts w:eastAsia="Guttman Hodes"/>
          <w:rtl/>
        </w:rPr>
        <w:instrText xml:space="preserve"> </w:instrText>
      </w:r>
      <w:r w:rsidRPr="001759BF">
        <w:rPr>
          <w:rStyle w:val="af6"/>
          <w:rFonts w:eastAsia="Guttman Hodes" w:hint="cs"/>
        </w:rPr>
        <w:instrText>REF</w:instrText>
      </w:r>
      <w:r w:rsidRPr="001759BF">
        <w:rPr>
          <w:rStyle w:val="af6"/>
          <w:rFonts w:eastAsia="Guttman Hodes" w:hint="cs"/>
          <w:rtl/>
        </w:rPr>
        <w:instrText xml:space="preserve"> _</w:instrText>
      </w:r>
      <w:r w:rsidRPr="001759BF">
        <w:rPr>
          <w:rStyle w:val="af6"/>
          <w:rFonts w:eastAsia="Guttman Hodes" w:hint="cs"/>
        </w:rPr>
        <w:instrText>Ref19813952 \r \h</w:instrText>
      </w:r>
      <w:r w:rsidRPr="001759BF">
        <w:rPr>
          <w:rStyle w:val="af6"/>
          <w:rFonts w:eastAsia="Guttman Hodes"/>
          <w:rtl/>
        </w:rPr>
        <w:instrText xml:space="preserve"> </w:instrText>
      </w:r>
      <w:r w:rsidRPr="001759BF">
        <w:rPr>
          <w:rStyle w:val="af6"/>
          <w:rFonts w:eastAsia="Guttman Hodes"/>
          <w:rtl/>
        </w:rPr>
      </w:r>
      <w:r w:rsidRPr="001759BF">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1759BF">
        <w:rPr>
          <w:rStyle w:val="af6"/>
          <w:rFonts w:eastAsia="Guttman Hodes"/>
          <w:rtl/>
        </w:rPr>
        <w:fldChar w:fldCharType="end"/>
      </w:r>
      <w:r w:rsidRPr="001759BF">
        <w:rPr>
          <w:rStyle w:val="af6"/>
          <w:rFonts w:eastAsia="Guttman Hodes" w:hint="cs"/>
          <w:rtl/>
        </w:rPr>
        <w:t xml:space="preserve"> </w:t>
      </w:r>
      <w:r>
        <w:rPr>
          <w:rFonts w:hint="cs"/>
          <w:rtl/>
        </w:rPr>
        <w:t>את דין פגם ולבסוף השביח בק"ו, מדין השביח ולבסוף פגם, דהא בהשביח ולבסוף פגם אסור, אעפ"י דהשבח שהיה הוא שבח שעומד להפגם, מ"מ כיון שהשביח בתחילה אסור, א"כ כ"ש דאסור</w:t>
      </w:r>
      <w:r w:rsidRPr="00C10EA9">
        <w:rPr>
          <w:rFonts w:hint="cs"/>
          <w:rtl/>
        </w:rPr>
        <w:t xml:space="preserve"> </w:t>
      </w:r>
      <w:r>
        <w:rPr>
          <w:rFonts w:hint="cs"/>
          <w:rtl/>
        </w:rPr>
        <w:t xml:space="preserve">בפגם ולבסוף השביח, דהפגם שהיה בתחילה אינו נחשב פגם כיון שהוא עומד להשביח, וכ"כ </w:t>
      </w:r>
      <w:r w:rsidRPr="00896FF1">
        <w:rPr>
          <w:rStyle w:val="af8"/>
          <w:rFonts w:hint="cs"/>
          <w:rtl/>
        </w:rPr>
        <w:t>הט"ז</w:t>
      </w:r>
      <w:r>
        <w:rPr>
          <w:rFonts w:hint="cs"/>
          <w:rtl/>
        </w:rPr>
        <w:t xml:space="preserve"> </w:t>
      </w:r>
      <w:r w:rsidRPr="000D1B52">
        <w:rPr>
          <w:rStyle w:val="af6"/>
          <w:rFonts w:eastAsia="Guttman Hodes" w:hint="cs"/>
          <w:rtl/>
        </w:rPr>
        <w:t>(סי' ק"ג סק"ה)</w:t>
      </w:r>
      <w:r>
        <w:rPr>
          <w:rFonts w:hint="cs"/>
          <w:rtl/>
        </w:rPr>
        <w:t>.</w:t>
      </w:r>
      <w:bookmarkEnd w:id="10413"/>
    </w:p>
    <w:p w:rsidR="00A82F1E" w:rsidRPr="002B3562" w:rsidRDefault="00A82F1E" w:rsidP="00A82F1E">
      <w:pPr>
        <w:pStyle w:val="a2"/>
        <w:rPr>
          <w:rtl/>
        </w:rPr>
      </w:pPr>
      <w:bookmarkStart w:id="10414" w:name="_Toc19738451"/>
      <w:bookmarkStart w:id="10415" w:name="_Toc19792277"/>
      <w:r>
        <w:rPr>
          <w:rFonts w:hint="cs"/>
          <w:rtl/>
        </w:rPr>
        <w:t>דחיית הפר"ח דבהשביח ולבסוף פגם אחר שנאסר א"א להתיר ואי"ז ק"ו לפגם ולבסוף השביח</w:t>
      </w:r>
      <w:bookmarkEnd w:id="10414"/>
      <w:bookmarkEnd w:id="10415"/>
    </w:p>
    <w:p w:rsidR="00A82F1E" w:rsidRDefault="00A82F1E" w:rsidP="009F44AF">
      <w:pPr>
        <w:pStyle w:val="a"/>
        <w:rPr>
          <w:rtl/>
        </w:rPr>
      </w:pPr>
      <w:bookmarkStart w:id="10416" w:name="_Ref19726092"/>
      <w:r>
        <w:rPr>
          <w:rFonts w:hint="cs"/>
          <w:rtl/>
        </w:rPr>
        <w:t xml:space="preserve">ודחה </w:t>
      </w:r>
      <w:r w:rsidRPr="00746099">
        <w:rPr>
          <w:rStyle w:val="af8"/>
          <w:rFonts w:hint="cs"/>
          <w:rtl/>
        </w:rPr>
        <w:t>הפר"ח</w:t>
      </w:r>
      <w:r w:rsidRPr="00746099">
        <w:rPr>
          <w:rStyle w:val="af6"/>
          <w:rFonts w:eastAsia="Guttman Hodes" w:hint="cs"/>
          <w:rtl/>
        </w:rPr>
        <w:t xml:space="preserve"> (סי' ק"ג סק"ח)</w:t>
      </w:r>
      <w:r>
        <w:rPr>
          <w:rFonts w:hint="cs"/>
          <w:rtl/>
        </w:rPr>
        <w:t xml:space="preserve"> את דברי </w:t>
      </w:r>
      <w:r w:rsidRPr="00896FF1">
        <w:rPr>
          <w:rStyle w:val="af8"/>
          <w:rFonts w:hint="cs"/>
          <w:rtl/>
        </w:rPr>
        <w:t>הב"י והכס"מ</w:t>
      </w:r>
      <w:r>
        <w:rPr>
          <w:rFonts w:hint="cs"/>
          <w:rtl/>
        </w:rPr>
        <w:t xml:space="preserve"> דאי"ז ק"ו, דאפש"ל דדוקא בהשביח ולבסוף פגם אסור, כיון שאחר שנאסר בשעה שהשביח א"א להתירו אח"כ אא"כ נעשה פגום לגמרי, אבל בפגום ולבסוף השביח, היה אפש"ל דכיון שבשעת הנפילה הותר האיסור מחמת שהוא פגום, א"כ נעשית כל התערובת היתר, ואף שהשביח אח"כ אינו חוזר וניעור לאיסור. [וע"ע במה שדחה </w:t>
      </w:r>
      <w:r w:rsidRPr="00014345">
        <w:rPr>
          <w:rStyle w:val="af8"/>
          <w:rFonts w:hint="cs"/>
          <w:rtl/>
        </w:rPr>
        <w:t>בפרי תאר [לבעל האוה"ח]</w:t>
      </w:r>
      <w:r>
        <w:rPr>
          <w:rFonts w:hint="cs"/>
          <w:rtl/>
        </w:rPr>
        <w:t xml:space="preserve"> </w:t>
      </w:r>
      <w:r w:rsidRPr="00014345">
        <w:rPr>
          <w:rStyle w:val="af6"/>
          <w:rFonts w:eastAsia="Guttman Hodes" w:hint="cs"/>
          <w:rtl/>
        </w:rPr>
        <w:t>(סי' ק"ג סק"ה ד"ה מקורן)</w:t>
      </w:r>
      <w:r>
        <w:rPr>
          <w:rFonts w:hint="cs"/>
          <w:rtl/>
        </w:rPr>
        <w:t xml:space="preserve"> את דברי </w:t>
      </w:r>
      <w:r w:rsidRPr="00896FF1">
        <w:rPr>
          <w:rStyle w:val="af8"/>
          <w:rFonts w:hint="cs"/>
          <w:rtl/>
        </w:rPr>
        <w:t>הב"י והכס"מ</w:t>
      </w:r>
      <w:r w:rsidRPr="00AC7EB4">
        <w:rPr>
          <w:rFonts w:hint="cs"/>
          <w:rtl/>
        </w:rPr>
        <w:t>].</w:t>
      </w:r>
      <w:bookmarkEnd w:id="10416"/>
    </w:p>
    <w:p w:rsidR="00A82F1E" w:rsidRDefault="00A82F1E" w:rsidP="00A82F1E">
      <w:pPr>
        <w:pStyle w:val="a2"/>
        <w:rPr>
          <w:rtl/>
        </w:rPr>
      </w:pPr>
      <w:bookmarkStart w:id="10417" w:name="_Toc19738452"/>
      <w:bookmarkStart w:id="10418" w:name="_Toc19792278"/>
      <w:r>
        <w:rPr>
          <w:rFonts w:hint="cs"/>
          <w:rtl/>
        </w:rPr>
        <w:t>דברי הגר"א דלהרמב"ם בפיהמ"ש דפגום מעיקרא היינו פגם ולבסוף השביח מוכח דאי"ז ק"ו</w:t>
      </w:r>
      <w:bookmarkEnd w:id="10417"/>
      <w:bookmarkEnd w:id="10418"/>
    </w:p>
    <w:p w:rsidR="00A82F1E" w:rsidRDefault="00A82F1E" w:rsidP="009F44AF">
      <w:pPr>
        <w:pStyle w:val="a"/>
        <w:rPr>
          <w:rtl/>
        </w:rPr>
      </w:pPr>
      <w:r w:rsidRPr="00BE3263">
        <w:rPr>
          <w:rStyle w:val="af8"/>
          <w:rFonts w:hint="cs"/>
          <w:rtl/>
        </w:rPr>
        <w:t>והגר"א</w:t>
      </w:r>
      <w:r>
        <w:rPr>
          <w:rFonts w:hint="cs"/>
          <w:rtl/>
        </w:rPr>
        <w:t xml:space="preserve"> </w:t>
      </w:r>
      <w:r w:rsidRPr="00BE3263">
        <w:rPr>
          <w:rStyle w:val="af6"/>
          <w:rFonts w:eastAsia="Guttman Hodes" w:hint="cs"/>
          <w:rtl/>
        </w:rPr>
        <w:t>(סי' צ"ח סוס"ק ד')</w:t>
      </w:r>
      <w:r>
        <w:rPr>
          <w:rFonts w:hint="cs"/>
          <w:rtl/>
        </w:rPr>
        <w:t xml:space="preserve"> דחה את דברי</w:t>
      </w:r>
      <w:r w:rsidRPr="00F963BF">
        <w:rPr>
          <w:rStyle w:val="af8"/>
          <w:rFonts w:hint="cs"/>
          <w:rtl/>
        </w:rPr>
        <w:t xml:space="preserve"> </w:t>
      </w:r>
      <w:r w:rsidRPr="00896FF1">
        <w:rPr>
          <w:rStyle w:val="af8"/>
          <w:rFonts w:hint="cs"/>
          <w:rtl/>
        </w:rPr>
        <w:t>הב"י והכס"מ</w:t>
      </w:r>
      <w:r>
        <w:rPr>
          <w:rFonts w:hint="cs"/>
          <w:rtl/>
        </w:rPr>
        <w:t xml:space="preserve"> דהרי </w:t>
      </w:r>
      <w:r w:rsidRPr="00014345">
        <w:rPr>
          <w:rStyle w:val="af8"/>
          <w:rFonts w:hint="cs"/>
          <w:rtl/>
        </w:rPr>
        <w:t>הרמב"ם בפיהמ"ש</w:t>
      </w:r>
      <w:r>
        <w:rPr>
          <w:rFonts w:hint="cs"/>
          <w:rtl/>
        </w:rPr>
        <w:t xml:space="preserve"> </w:t>
      </w:r>
      <w:r w:rsidRPr="004E546A">
        <w:rPr>
          <w:rStyle w:val="af6"/>
          <w:rFonts w:eastAsia="Guttman Hodes" w:hint="cs"/>
          <w:rtl/>
        </w:rPr>
        <w:t xml:space="preserve">(עי' אות </w:t>
      </w:r>
      <w:r w:rsidRPr="004E546A">
        <w:rPr>
          <w:rStyle w:val="af6"/>
          <w:rFonts w:eastAsia="Guttman Hodes"/>
          <w:rtl/>
        </w:rPr>
        <w:fldChar w:fldCharType="begin"/>
      </w:r>
      <w:r w:rsidRPr="004E546A">
        <w:rPr>
          <w:rStyle w:val="af6"/>
          <w:rFonts w:eastAsia="Guttman Hodes"/>
          <w:rtl/>
        </w:rPr>
        <w:instrText xml:space="preserve"> </w:instrText>
      </w:r>
      <w:r w:rsidRPr="004E546A">
        <w:rPr>
          <w:rStyle w:val="af6"/>
          <w:rFonts w:eastAsia="Guttman Hodes" w:hint="cs"/>
        </w:rPr>
        <w:instrText>REF</w:instrText>
      </w:r>
      <w:r w:rsidRPr="004E546A">
        <w:rPr>
          <w:rStyle w:val="af6"/>
          <w:rFonts w:eastAsia="Guttman Hodes" w:hint="cs"/>
          <w:rtl/>
        </w:rPr>
        <w:instrText xml:space="preserve"> _</w:instrText>
      </w:r>
      <w:r w:rsidRPr="004E546A">
        <w:rPr>
          <w:rStyle w:val="af6"/>
          <w:rFonts w:eastAsia="Guttman Hodes" w:hint="cs"/>
        </w:rPr>
        <w:instrText>Ref19735946 \r \h</w:instrText>
      </w:r>
      <w:r w:rsidRPr="004E546A">
        <w:rPr>
          <w:rStyle w:val="af6"/>
          <w:rFonts w:eastAsia="Guttman Hodes"/>
          <w:rtl/>
        </w:rPr>
        <w:instrText xml:space="preserve"> </w:instrText>
      </w:r>
      <w:r w:rsidRPr="004E546A">
        <w:rPr>
          <w:rStyle w:val="af6"/>
          <w:rFonts w:eastAsia="Guttman Hodes"/>
          <w:rtl/>
        </w:rPr>
      </w:r>
      <w:r w:rsidRPr="004E546A">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4E546A">
        <w:rPr>
          <w:rStyle w:val="af6"/>
          <w:rFonts w:eastAsia="Guttman Hodes"/>
          <w:rtl/>
        </w:rPr>
        <w:fldChar w:fldCharType="end"/>
      </w:r>
      <w:r>
        <w:rPr>
          <w:rFonts w:hint="cs"/>
          <w:rtl/>
        </w:rPr>
        <w:t xml:space="preserve"> ביאר דפגום מעיקרא היינו פגם ולבסוף השביח, וא"כ מוכח בגמ' דאי"ז ק"ו, דהא לדעת עולא ר"מ ור"ש נחלקו רק בהשביח ולבסוף פגם, אבל בפגם מעיקרא דהיינו פגם ולבסוף השביח מודה ר"מ לר"ש דמותר, </w:t>
      </w:r>
      <w:r w:rsidRPr="009B1B68">
        <w:rPr>
          <w:rStyle w:val="afa"/>
          <w:rFonts w:hint="cs"/>
          <w:rtl/>
        </w:rPr>
        <w:t>[וא"כ לדעת ר"מ דאוסר בהשביח ולבסוף פגם א"א ללמוד בק"ו להתיר בפגם ולבסוף השביח],</w:t>
      </w:r>
      <w:r>
        <w:rPr>
          <w:rFonts w:hint="cs"/>
          <w:rtl/>
        </w:rPr>
        <w:t xml:space="preserve"> וכן לדעת ריו"ח דמסתפקת הגמ' אי נחלקו רק בפגום מעיקרא דהיינו פגם ולבסוף השביח, או גם בהשביח ולבסוף פגם, וכתב </w:t>
      </w:r>
      <w:r w:rsidRPr="000D0560">
        <w:rPr>
          <w:rStyle w:val="af8"/>
          <w:rFonts w:hint="cs"/>
          <w:rtl/>
        </w:rPr>
        <w:t xml:space="preserve">הגר"א </w:t>
      </w:r>
      <w:r>
        <w:rPr>
          <w:rFonts w:hint="cs"/>
          <w:rtl/>
        </w:rPr>
        <w:t xml:space="preserve">דלהצד דנחלקו רק בפגם ולבסוף השביח ודאי דאי"ז ק"ו, וגם להצד דנחלקו בשניהם, כתב </w:t>
      </w:r>
      <w:r w:rsidRPr="00014345">
        <w:rPr>
          <w:rStyle w:val="af8"/>
          <w:rFonts w:hint="cs"/>
          <w:rtl/>
        </w:rPr>
        <w:t>הגר"א</w:t>
      </w:r>
      <w:r>
        <w:rPr>
          <w:rFonts w:hint="cs"/>
          <w:rtl/>
        </w:rPr>
        <w:t xml:space="preserve"> דכוונת הגמ' לומר דעיקר המחלוקת היא בפגם ולבסוף השביח, ונחלקו גם בהשביח ולבסוף פגם, ואי"ז ק"ו.</w:t>
      </w:r>
    </w:p>
    <w:p w:rsidR="00A82F1E" w:rsidRDefault="00A82F1E" w:rsidP="00A82F1E">
      <w:pPr>
        <w:pStyle w:val="a2"/>
        <w:rPr>
          <w:rtl/>
        </w:rPr>
      </w:pPr>
      <w:bookmarkStart w:id="10419" w:name="_Toc19738453"/>
      <w:bookmarkStart w:id="10420" w:name="_Toc19792279"/>
      <w:r>
        <w:rPr>
          <w:rFonts w:hint="cs"/>
          <w:rtl/>
        </w:rPr>
        <w:t>דברי היד יהודה דברשב"א מוכח דפגם ולבסוף השביח הוא דין מפורש ואינו נלמד מק"ו</w:t>
      </w:r>
      <w:bookmarkEnd w:id="10419"/>
      <w:bookmarkEnd w:id="10420"/>
    </w:p>
    <w:p w:rsidR="00A82F1E" w:rsidRDefault="00A82F1E" w:rsidP="009F44AF">
      <w:pPr>
        <w:pStyle w:val="a"/>
        <w:rPr>
          <w:rtl/>
        </w:rPr>
      </w:pPr>
      <w:r w:rsidRPr="009B542F">
        <w:rPr>
          <w:rStyle w:val="af8"/>
          <w:rFonts w:hint="cs"/>
          <w:rtl/>
        </w:rPr>
        <w:t>והיד יהודה</w:t>
      </w:r>
      <w:r>
        <w:rPr>
          <w:rFonts w:hint="cs"/>
          <w:rtl/>
        </w:rPr>
        <w:t xml:space="preserve"> </w:t>
      </w:r>
      <w:r w:rsidRPr="009B542F">
        <w:rPr>
          <w:rStyle w:val="af6"/>
          <w:rFonts w:eastAsia="Guttman Hodes" w:hint="cs"/>
          <w:rtl/>
        </w:rPr>
        <w:t>(סי' ק"ג סקי"א)</w:t>
      </w:r>
      <w:r>
        <w:rPr>
          <w:rFonts w:hint="cs"/>
          <w:rtl/>
        </w:rPr>
        <w:t xml:space="preserve"> כתב דמהא </w:t>
      </w:r>
      <w:r>
        <w:rPr>
          <w:rStyle w:val="af8"/>
          <w:rFonts w:hint="cs"/>
          <w:rtl/>
        </w:rPr>
        <w:t>ד</w:t>
      </w:r>
      <w:r w:rsidRPr="00613187">
        <w:rPr>
          <w:rStyle w:val="af8"/>
          <w:rFonts w:hint="cs"/>
          <w:rtl/>
        </w:rPr>
        <w:t>הרשב"א במשה"ב</w:t>
      </w:r>
      <w:r>
        <w:rPr>
          <w:rFonts w:hint="cs"/>
          <w:rtl/>
        </w:rPr>
        <w:t xml:space="preserve"> </w:t>
      </w:r>
      <w:r w:rsidRPr="00613187">
        <w:rPr>
          <w:rStyle w:val="af6"/>
          <w:rFonts w:eastAsia="Guttman Hodes" w:hint="cs"/>
          <w:rtl/>
        </w:rPr>
        <w:t>(ב"ד ש"א יט. מדה"ס</w:t>
      </w:r>
      <w:r>
        <w:rPr>
          <w:rStyle w:val="af6"/>
          <w:rFonts w:eastAsia="Guttman Hodes" w:hint="cs"/>
          <w:rtl/>
        </w:rPr>
        <w:t>, הובא לעיל סימן י"ב הערה</w:t>
      </w:r>
      <w:r w:rsidRPr="004664CE">
        <w:rPr>
          <w:rFonts w:hint="cs"/>
          <w:vertAlign w:val="superscript"/>
          <w:rtl/>
        </w:rPr>
        <w:t>1</w:t>
      </w:r>
      <w:r>
        <w:rPr>
          <w:rFonts w:hint="cs"/>
          <w:vertAlign w:val="superscript"/>
          <w:rtl/>
        </w:rPr>
        <w:t>6</w:t>
      </w:r>
      <w:r w:rsidRPr="004664CE">
        <w:rPr>
          <w:rStyle w:val="af6"/>
          <w:rFonts w:eastAsia="Guttman Hodes" w:hint="cs"/>
          <w:rtl/>
        </w:rPr>
        <w:t xml:space="preserve">) </w:t>
      </w:r>
      <w:r>
        <w:rPr>
          <w:rFonts w:hint="cs"/>
          <w:rtl/>
        </w:rPr>
        <w:t xml:space="preserve">הקשה על </w:t>
      </w:r>
      <w:r w:rsidRPr="009B542F">
        <w:rPr>
          <w:rStyle w:val="af8"/>
          <w:rFonts w:hint="cs"/>
          <w:rtl/>
        </w:rPr>
        <w:t xml:space="preserve">הרא"ה בבד"ה </w:t>
      </w:r>
      <w:r>
        <w:rPr>
          <w:rFonts w:hint="cs"/>
          <w:rtl/>
        </w:rPr>
        <w:t>מדין פגם ולבסוף השביח, מבואר דאינו ק"ו אלא הוא דין מפורש, ולכן אפשר להקשות ממנו.</w:t>
      </w:r>
    </w:p>
    <w:p w:rsidR="00A82F1E" w:rsidRDefault="00A82F1E" w:rsidP="00A82F1E">
      <w:pPr>
        <w:pStyle w:val="1"/>
        <w:rPr>
          <w:rtl/>
        </w:rPr>
      </w:pPr>
      <w:bookmarkStart w:id="10421" w:name="_Toc19792280"/>
      <w:bookmarkStart w:id="10422" w:name="_Toc19738454"/>
      <w:r>
        <w:rPr>
          <w:rFonts w:hint="cs"/>
          <w:rtl/>
        </w:rPr>
        <w:t>ביאורי היד יהודה והלח"מ במקור דין פגם ולבסוף השביח</w:t>
      </w:r>
      <w:bookmarkEnd w:id="10421"/>
    </w:p>
    <w:p w:rsidR="00A82F1E" w:rsidRPr="009B542F" w:rsidRDefault="00A82F1E" w:rsidP="00A82F1E">
      <w:pPr>
        <w:pStyle w:val="a2"/>
      </w:pPr>
      <w:bookmarkStart w:id="10423" w:name="_Toc19792281"/>
      <w:r>
        <w:rPr>
          <w:rFonts w:hint="cs"/>
          <w:rtl/>
        </w:rPr>
        <w:t>דברי היד יהודה דמדאמר ר"ל בל"ב דהשתא מיהא פגמה מוכח דאם אח"כ השביח אסור</w:t>
      </w:r>
      <w:bookmarkEnd w:id="10422"/>
      <w:bookmarkEnd w:id="10423"/>
    </w:p>
    <w:p w:rsidR="00707FC2" w:rsidRDefault="00A82F1E" w:rsidP="009F44AF">
      <w:pPr>
        <w:pStyle w:val="a"/>
        <w:rPr>
          <w:rtl/>
        </w:rPr>
      </w:pPr>
      <w:r>
        <w:rPr>
          <w:rFonts w:hint="cs"/>
          <w:rtl/>
        </w:rPr>
        <w:t xml:space="preserve">אלא כתב </w:t>
      </w:r>
      <w:r w:rsidRPr="009B542F">
        <w:rPr>
          <w:rStyle w:val="af8"/>
          <w:rFonts w:hint="cs"/>
          <w:rtl/>
        </w:rPr>
        <w:t xml:space="preserve">היד יהודה </w:t>
      </w:r>
      <w:r>
        <w:rPr>
          <w:rFonts w:hint="cs"/>
          <w:rtl/>
        </w:rPr>
        <w:t>דמקור דין פגם ולבסוף השביח, הוא מדברי ר"ל בל"ב דהתיר בקדירה שחסרה מלח, כיון שעכשיו היא פגומה, ומשמע מדברי ר"ל דההיתר הוא רק כשהיא עדיין פגומה, אבל אם הוסיף בה מלח והושבחה אסור, ומוכח דפגם ולבסוף השביח אסור.</w:t>
      </w:r>
    </w:p>
    <w:p w:rsidR="00A82F1E" w:rsidRDefault="00A82F1E" w:rsidP="00A82F1E">
      <w:pPr>
        <w:pStyle w:val="a2"/>
        <w:rPr>
          <w:rtl/>
        </w:rPr>
      </w:pPr>
      <w:bookmarkStart w:id="10424" w:name="_Toc19738455"/>
      <w:bookmarkStart w:id="10425" w:name="_Toc19792282"/>
      <w:r>
        <w:rPr>
          <w:rFonts w:hint="cs"/>
          <w:rtl/>
        </w:rPr>
        <w:t>דברי הלח"מ דבדין עיסה שראויה להחמיץ כמה עיסות מוכח דפגום עכשיו וישביח אח"כ אסור</w:t>
      </w:r>
      <w:bookmarkEnd w:id="10424"/>
      <w:bookmarkEnd w:id="10425"/>
      <w:r>
        <w:rPr>
          <w:rFonts w:hint="cs"/>
          <w:rtl/>
        </w:rPr>
        <w:t xml:space="preserve"> </w:t>
      </w:r>
    </w:p>
    <w:p w:rsidR="00A82F1E" w:rsidRDefault="00A82F1E" w:rsidP="009F44AF">
      <w:pPr>
        <w:pStyle w:val="a"/>
        <w:rPr>
          <w:rtl/>
        </w:rPr>
      </w:pPr>
      <w:r w:rsidRPr="0061209F">
        <w:rPr>
          <w:rStyle w:val="af8"/>
          <w:rFonts w:hint="cs"/>
          <w:rtl/>
        </w:rPr>
        <w:t>והלח"מ</w:t>
      </w:r>
      <w:r w:rsidRPr="0061209F">
        <w:rPr>
          <w:rStyle w:val="af6"/>
          <w:rFonts w:eastAsia="Guttman Hodes" w:hint="cs"/>
          <w:rtl/>
        </w:rPr>
        <w:t xml:space="preserve"> (מאכ"א פט"ו הכ"ח) </w:t>
      </w:r>
      <w:r>
        <w:rPr>
          <w:rFonts w:hint="cs"/>
          <w:rtl/>
        </w:rPr>
        <w:t xml:space="preserve">[בביאורו הא'] כתב </w:t>
      </w:r>
      <w:r w:rsidRPr="0061209F">
        <w:rPr>
          <w:rStyle w:val="af8"/>
          <w:rFonts w:hint="cs"/>
          <w:rtl/>
        </w:rPr>
        <w:t>דהרמב"ם</w:t>
      </w:r>
      <w:r>
        <w:rPr>
          <w:rFonts w:hint="cs"/>
          <w:rtl/>
        </w:rPr>
        <w:t xml:space="preserve"> למד את דין פגם ולבסוף השביח, מדין עיסה שנפל לתוכה שאור של חולין ואח"כ נפל שאור של תרומה, ויש בשניהם כדי לחמץ דאסור, ואעפ"י שהשאור של חולין כבר החמיץ את העיסה, וא"כ השאור של התרומה הוא נותן טעם לפגם, מ"מ ביאר רב זירא כיון שראוי לחמץ בה עיסות אחרות אסור, וביאר </w:t>
      </w:r>
      <w:r w:rsidRPr="00131C03">
        <w:rPr>
          <w:rStyle w:val="af8"/>
          <w:rFonts w:hint="cs"/>
          <w:rtl/>
        </w:rPr>
        <w:t>הלח"מ</w:t>
      </w:r>
      <w:r>
        <w:rPr>
          <w:rFonts w:hint="cs"/>
          <w:rtl/>
        </w:rPr>
        <w:t xml:space="preserve"> דאף שעכשיו השאור של </w:t>
      </w:r>
      <w:r>
        <w:rPr>
          <w:rFonts w:hint="cs"/>
          <w:rtl/>
        </w:rPr>
        <w:lastRenderedPageBreak/>
        <w:t xml:space="preserve">התרומה פוגם, מ"מ חשיב שמשביח לבסוף במה שראוי </w:t>
      </w:r>
      <w:r w:rsidRPr="006E3E9B">
        <w:rPr>
          <w:rFonts w:hint="cs"/>
          <w:rtl/>
        </w:rPr>
        <w:t xml:space="preserve">לחמץ בה עיסות אחרות, וכתב </w:t>
      </w:r>
      <w:r w:rsidRPr="006E3E9B">
        <w:rPr>
          <w:rStyle w:val="af8"/>
          <w:rFonts w:hint="cs"/>
          <w:rtl/>
        </w:rPr>
        <w:t>הלח"מ</w:t>
      </w:r>
      <w:r w:rsidRPr="006E3E9B">
        <w:rPr>
          <w:rFonts w:hint="cs"/>
          <w:rtl/>
        </w:rPr>
        <w:t xml:space="preserve"> דלמד מזה </w:t>
      </w:r>
      <w:r w:rsidRPr="00131C03">
        <w:rPr>
          <w:rStyle w:val="af8"/>
          <w:rFonts w:hint="cs"/>
          <w:rtl/>
        </w:rPr>
        <w:t>הרמב"ם</w:t>
      </w:r>
      <w:r w:rsidRPr="006E3E9B">
        <w:rPr>
          <w:rFonts w:hint="cs"/>
          <w:rtl/>
        </w:rPr>
        <w:t xml:space="preserve"> דה"ה בכל פגם ולבסוף השביח דאסור. [ועי' במה שדחה </w:t>
      </w:r>
      <w:r w:rsidRPr="006E3E9B">
        <w:rPr>
          <w:rStyle w:val="af8"/>
          <w:rFonts w:hint="cs"/>
          <w:rtl/>
        </w:rPr>
        <w:t>בפרי תאר [לבעל האוה"ח]</w:t>
      </w:r>
      <w:r w:rsidRPr="006E3E9B">
        <w:rPr>
          <w:rFonts w:hint="cs"/>
          <w:rtl/>
        </w:rPr>
        <w:t xml:space="preserve"> </w:t>
      </w:r>
      <w:r w:rsidRPr="006E3E9B">
        <w:rPr>
          <w:rStyle w:val="af6"/>
          <w:rFonts w:eastAsia="Guttman Hodes" w:hint="cs"/>
          <w:rtl/>
        </w:rPr>
        <w:t>(סי' ק"ג סק"ה ד"ה והלח"מ)</w:t>
      </w:r>
      <w:r w:rsidRPr="006E3E9B">
        <w:rPr>
          <w:rFonts w:hint="cs"/>
          <w:rtl/>
        </w:rPr>
        <w:t xml:space="preserve"> את דברי </w:t>
      </w:r>
      <w:r w:rsidRPr="006E3E9B">
        <w:rPr>
          <w:rStyle w:val="af8"/>
          <w:rFonts w:hint="cs"/>
          <w:rtl/>
        </w:rPr>
        <w:t>הלח"מ</w:t>
      </w:r>
      <w:r w:rsidRPr="006E3E9B">
        <w:rPr>
          <w:rFonts w:hint="cs"/>
          <w:rtl/>
        </w:rPr>
        <w:t>].</w:t>
      </w:r>
    </w:p>
    <w:p w:rsidR="00A82F1E" w:rsidRDefault="00A82F1E" w:rsidP="00A82F1E">
      <w:pPr>
        <w:pStyle w:val="1"/>
        <w:rPr>
          <w:rtl/>
        </w:rPr>
      </w:pPr>
      <w:bookmarkStart w:id="10426" w:name="_Toc19792283"/>
      <w:r>
        <w:rPr>
          <w:rFonts w:hint="cs"/>
          <w:rtl/>
        </w:rPr>
        <w:t>ביאור החוו"ד דבשעת הפגם הטעם נשאר אסור וחוזר וניעור</w:t>
      </w:r>
      <w:bookmarkEnd w:id="10426"/>
    </w:p>
    <w:p w:rsidR="00A82F1E" w:rsidRPr="00A37615" w:rsidRDefault="00A82F1E" w:rsidP="00A82F1E">
      <w:pPr>
        <w:pStyle w:val="a2"/>
        <w:rPr>
          <w:rtl/>
        </w:rPr>
      </w:pPr>
      <w:bookmarkStart w:id="10427" w:name="_Toc19792284"/>
      <w:r>
        <w:rPr>
          <w:rFonts w:hint="cs"/>
          <w:rtl/>
        </w:rPr>
        <w:t>דברי החוו"ד דבפגום במקצת לא פקע האיסור ולכן פגם ולבסוף השביח אסור</w:t>
      </w:r>
      <w:bookmarkEnd w:id="10427"/>
    </w:p>
    <w:p w:rsidR="00A82F1E" w:rsidRPr="00EE128C" w:rsidRDefault="00A82F1E" w:rsidP="009F44AF">
      <w:pPr>
        <w:pStyle w:val="a"/>
        <w:rPr>
          <w:rtl/>
        </w:rPr>
      </w:pPr>
      <w:r>
        <w:rPr>
          <w:rFonts w:hint="cs"/>
          <w:rtl/>
        </w:rPr>
        <w:t xml:space="preserve">כתב </w:t>
      </w:r>
      <w:r w:rsidRPr="00D409FE">
        <w:rPr>
          <w:rStyle w:val="af8"/>
          <w:rFonts w:hint="cs"/>
          <w:rtl/>
        </w:rPr>
        <w:t>החוו"ד</w:t>
      </w:r>
      <w:r>
        <w:rPr>
          <w:rFonts w:hint="cs"/>
          <w:rtl/>
        </w:rPr>
        <w:t xml:space="preserve"> </w:t>
      </w:r>
      <w:r w:rsidRPr="00C63FF4">
        <w:rPr>
          <w:rStyle w:val="af6"/>
          <w:rFonts w:eastAsia="Guttman Hodes" w:hint="cs"/>
          <w:rtl/>
        </w:rPr>
        <w:t>(סי' ק"ג סק"א)</w:t>
      </w:r>
      <w:r>
        <w:rPr>
          <w:rFonts w:hint="cs"/>
          <w:rtl/>
        </w:rPr>
        <w:t xml:space="preserve"> דבנותן</w:t>
      </w:r>
      <w:r w:rsidRPr="008F4D94">
        <w:rPr>
          <w:rFonts w:hint="cs"/>
          <w:rtl/>
        </w:rPr>
        <w:t xml:space="preserve"> טעם לפגם בפגום במקצת, לא חשיב שהאיסור פקע, </w:t>
      </w:r>
      <w:r>
        <w:rPr>
          <w:rFonts w:hint="cs"/>
          <w:rtl/>
        </w:rPr>
        <w:t xml:space="preserve">כל שהוא ראוי לגר, </w:t>
      </w:r>
      <w:r w:rsidRPr="008F4D94">
        <w:rPr>
          <w:rFonts w:hint="cs"/>
          <w:rtl/>
        </w:rPr>
        <w:t xml:space="preserve">אלא דכיון שלא נפגם לגמרי </w:t>
      </w:r>
      <w:r>
        <w:rPr>
          <w:rFonts w:hint="cs"/>
          <w:rtl/>
        </w:rPr>
        <w:t xml:space="preserve">לכן האיסור עצמו </w:t>
      </w:r>
      <w:r w:rsidRPr="008F4D94">
        <w:rPr>
          <w:rFonts w:hint="cs"/>
          <w:rtl/>
        </w:rPr>
        <w:t xml:space="preserve">עדיין אסור, </w:t>
      </w:r>
      <w:r>
        <w:rPr>
          <w:rFonts w:hint="cs"/>
          <w:rtl/>
        </w:rPr>
        <w:t xml:space="preserve">אך </w:t>
      </w:r>
      <w:r w:rsidRPr="008F4D94">
        <w:rPr>
          <w:rFonts w:hint="cs"/>
          <w:rtl/>
        </w:rPr>
        <w:t>מ"מ אינו אוסר את התערובת כיון שלא ניחא לו בטעם הפגום</w:t>
      </w:r>
      <w:r>
        <w:rPr>
          <w:rFonts w:hint="cs"/>
          <w:rtl/>
        </w:rPr>
        <w:t>,</w:t>
      </w:r>
      <w:r w:rsidRPr="008F4D94">
        <w:rPr>
          <w:rFonts w:hint="cs"/>
          <w:rtl/>
        </w:rPr>
        <w:t xml:space="preserve"> כדביארו </w:t>
      </w:r>
      <w:r>
        <w:rPr>
          <w:rStyle w:val="af8"/>
          <w:rtl/>
        </w:rPr>
        <w:t>הרשב"א</w:t>
      </w:r>
      <w:r>
        <w:rPr>
          <w:rtl/>
        </w:rPr>
        <w:t xml:space="preserve"> </w:t>
      </w:r>
      <w:r>
        <w:rPr>
          <w:rStyle w:val="af8"/>
          <w:rtl/>
        </w:rPr>
        <w:t>בתוה"ב</w:t>
      </w:r>
      <w:r>
        <w:rPr>
          <w:rtl/>
        </w:rPr>
        <w:t xml:space="preserve"> </w:t>
      </w:r>
      <w:r>
        <w:rPr>
          <w:rStyle w:val="af6"/>
          <w:rFonts w:eastAsia="Guttman Hodes" w:hint="cs"/>
          <w:rtl/>
        </w:rPr>
        <w:t xml:space="preserve">(ב"ד ש"א יט. מדה"ס ד"ה פגם, הובא לעיל סימן יב' אות טז) </w:t>
      </w:r>
      <w:r>
        <w:rPr>
          <w:rStyle w:val="af8"/>
          <w:rtl/>
        </w:rPr>
        <w:t xml:space="preserve"> והר"ן על הרי"ף </w:t>
      </w:r>
      <w:r>
        <w:rPr>
          <w:rStyle w:val="af6"/>
          <w:rFonts w:eastAsia="Guttman Hodes" w:hint="cs"/>
          <w:rtl/>
        </w:rPr>
        <w:t>(סוף לב. מדפי הרי"ף ד"ה ודאמרינן, הובא לעיל סימן י"ב אות מז)</w:t>
      </w:r>
      <w:r>
        <w:rPr>
          <w:rFonts w:hint="cs"/>
          <w:rtl/>
        </w:rPr>
        <w:t xml:space="preserve">, </w:t>
      </w:r>
      <w:r w:rsidRPr="008F4D94">
        <w:rPr>
          <w:rFonts w:hint="cs"/>
          <w:rtl/>
        </w:rPr>
        <w:t xml:space="preserve">וכתב </w:t>
      </w:r>
      <w:r w:rsidRPr="008F4D94">
        <w:rPr>
          <w:rStyle w:val="af8"/>
          <w:rFonts w:hint="cs"/>
          <w:rtl/>
        </w:rPr>
        <w:t>החוו"ד</w:t>
      </w:r>
      <w:r w:rsidRPr="008F4D94">
        <w:rPr>
          <w:rFonts w:hint="cs"/>
          <w:rtl/>
        </w:rPr>
        <w:t xml:space="preserve"> דמשו"ה אסור בפגם ולבסוף השביח, </w:t>
      </w:r>
      <w:r>
        <w:rPr>
          <w:rFonts w:hint="cs"/>
          <w:rtl/>
        </w:rPr>
        <w:t xml:space="preserve">דאף בשעה שהיה פגום </w:t>
      </w:r>
      <w:r w:rsidRPr="008F4D94">
        <w:rPr>
          <w:rFonts w:hint="cs"/>
          <w:rtl/>
        </w:rPr>
        <w:t xml:space="preserve">לא פקע האיסור ממנו, </w:t>
      </w:r>
      <w:r>
        <w:rPr>
          <w:rFonts w:hint="cs"/>
          <w:rtl/>
        </w:rPr>
        <w:t>ו</w:t>
      </w:r>
      <w:r w:rsidRPr="008F4D94">
        <w:rPr>
          <w:rFonts w:hint="cs"/>
          <w:rtl/>
        </w:rPr>
        <w:t xml:space="preserve">א"כ כשחזר </w:t>
      </w:r>
      <w:r w:rsidRPr="00EE128C">
        <w:rPr>
          <w:rFonts w:hint="cs"/>
          <w:rtl/>
        </w:rPr>
        <w:t xml:space="preserve">הטעם הפגום והשביח את התערובת, וניחא לו בטעם האסור נאסרת התערובת. [ועי' במה שהקשה </w:t>
      </w:r>
      <w:r w:rsidRPr="00EE128C">
        <w:rPr>
          <w:rStyle w:val="af8"/>
          <w:rFonts w:hint="cs"/>
          <w:rtl/>
        </w:rPr>
        <w:t>הקה"י</w:t>
      </w:r>
      <w:r w:rsidRPr="00EE128C">
        <w:rPr>
          <w:rFonts w:hint="cs"/>
          <w:rtl/>
        </w:rPr>
        <w:t xml:space="preserve"> </w:t>
      </w:r>
      <w:r w:rsidRPr="00EE128C">
        <w:rPr>
          <w:rStyle w:val="af6"/>
          <w:rFonts w:eastAsia="Guttman Hodes" w:hint="cs"/>
          <w:rtl/>
        </w:rPr>
        <w:t xml:space="preserve">(עי' אות </w:t>
      </w:r>
      <w:r w:rsidRPr="00EE128C">
        <w:rPr>
          <w:rStyle w:val="af6"/>
          <w:rFonts w:eastAsia="Guttman Hodes"/>
          <w:rtl/>
        </w:rPr>
        <w:fldChar w:fldCharType="begin"/>
      </w:r>
      <w:r w:rsidRPr="00EE128C">
        <w:rPr>
          <w:rStyle w:val="af6"/>
          <w:rFonts w:eastAsia="Guttman Hodes"/>
          <w:rtl/>
        </w:rPr>
        <w:instrText xml:space="preserve"> </w:instrText>
      </w:r>
      <w:r w:rsidRPr="00EE128C">
        <w:rPr>
          <w:rStyle w:val="af6"/>
          <w:rFonts w:eastAsia="Guttman Hodes" w:hint="cs"/>
        </w:rPr>
        <w:instrText>REF</w:instrText>
      </w:r>
      <w:r w:rsidRPr="00EE128C">
        <w:rPr>
          <w:rStyle w:val="af6"/>
          <w:rFonts w:eastAsia="Guttman Hodes" w:hint="cs"/>
          <w:rtl/>
        </w:rPr>
        <w:instrText xml:space="preserve"> _</w:instrText>
      </w:r>
      <w:r w:rsidRPr="00EE128C">
        <w:rPr>
          <w:rStyle w:val="af6"/>
          <w:rFonts w:eastAsia="Guttman Hodes" w:hint="cs"/>
        </w:rPr>
        <w:instrText>Ref19795886 \r \h</w:instrText>
      </w:r>
      <w:r w:rsidRPr="00EE128C">
        <w:rPr>
          <w:rStyle w:val="af6"/>
          <w:rFonts w:eastAsia="Guttman Hodes"/>
          <w:rtl/>
        </w:rPr>
        <w:instrText xml:space="preserve">  \* </w:instrText>
      </w:r>
      <w:r w:rsidRPr="00EE128C">
        <w:rPr>
          <w:rStyle w:val="af6"/>
          <w:rFonts w:eastAsia="Guttman Hodes"/>
        </w:rPr>
        <w:instrText>MERGEFORMAT</w:instrText>
      </w:r>
      <w:r w:rsidRPr="00EE128C">
        <w:rPr>
          <w:rStyle w:val="af6"/>
          <w:rFonts w:eastAsia="Guttman Hodes"/>
          <w:rtl/>
        </w:rPr>
        <w:instrText xml:space="preserve"> </w:instrText>
      </w:r>
      <w:r w:rsidRPr="00EE128C">
        <w:rPr>
          <w:rStyle w:val="af6"/>
          <w:rFonts w:eastAsia="Guttman Hodes"/>
          <w:rtl/>
        </w:rPr>
      </w:r>
      <w:r w:rsidRPr="00EE128C">
        <w:rPr>
          <w:rStyle w:val="af6"/>
          <w:rFonts w:eastAsia="Guttman Hodes"/>
          <w:rtl/>
        </w:rPr>
        <w:fldChar w:fldCharType="separate"/>
      </w:r>
      <w:r w:rsidR="004D1C5B">
        <w:rPr>
          <w:rStyle w:val="af6"/>
          <w:rFonts w:eastAsia="Guttman Hodes"/>
          <w:cs/>
        </w:rPr>
        <w:t>‎</w:t>
      </w:r>
      <w:r w:rsidR="004D1C5B">
        <w:rPr>
          <w:rStyle w:val="af6"/>
          <w:rFonts w:eastAsia="Guttman Hodes"/>
          <w:rtl/>
        </w:rPr>
        <w:t>קיט)</w:t>
      </w:r>
      <w:r w:rsidRPr="00EE128C">
        <w:rPr>
          <w:rStyle w:val="af6"/>
          <w:rFonts w:eastAsia="Guttman Hodes"/>
          <w:rtl/>
        </w:rPr>
        <w:fldChar w:fldCharType="end"/>
      </w:r>
      <w:r w:rsidRPr="00EE128C">
        <w:rPr>
          <w:rFonts w:hint="cs"/>
          <w:rtl/>
        </w:rPr>
        <w:t>].</w:t>
      </w:r>
    </w:p>
    <w:p w:rsidR="00A82F1E" w:rsidRPr="00DD0E3F" w:rsidRDefault="00A82F1E" w:rsidP="00A82F1E">
      <w:pPr>
        <w:pStyle w:val="a2"/>
        <w:rPr>
          <w:rtl/>
        </w:rPr>
      </w:pPr>
      <w:bookmarkStart w:id="10428" w:name="_Toc19792285"/>
      <w:r w:rsidRPr="00DD0E3F">
        <w:rPr>
          <w:rFonts w:hint="cs"/>
          <w:rtl/>
        </w:rPr>
        <w:t>ביאור המקור חיים דבנטל"פ האיסור לא התבטל וכשחזר והשביח ממילא חוזר ואוסר</w:t>
      </w:r>
      <w:bookmarkEnd w:id="10428"/>
    </w:p>
    <w:p w:rsidR="00A82F1E" w:rsidRDefault="00A82F1E" w:rsidP="009F44AF">
      <w:pPr>
        <w:pStyle w:val="a"/>
      </w:pPr>
      <w:r>
        <w:rPr>
          <w:rFonts w:hint="cs"/>
          <w:rtl/>
        </w:rPr>
        <w:t xml:space="preserve">והוסיף </w:t>
      </w:r>
      <w:r w:rsidRPr="00341ED4">
        <w:rPr>
          <w:rStyle w:val="af8"/>
          <w:rFonts w:hint="cs"/>
          <w:rtl/>
        </w:rPr>
        <w:t>המקור חיים</w:t>
      </w:r>
      <w:r w:rsidRPr="00341ED4">
        <w:rPr>
          <w:rFonts w:hint="cs"/>
          <w:rtl/>
        </w:rPr>
        <w:t xml:space="preserve"> </w:t>
      </w:r>
      <w:r w:rsidRPr="00341ED4">
        <w:rPr>
          <w:rStyle w:val="af6"/>
          <w:rFonts w:eastAsia="Guttman Hodes" w:hint="cs"/>
          <w:rtl/>
        </w:rPr>
        <w:t>(סי' תמ"ז ס"ק י"ב)</w:t>
      </w:r>
      <w:r w:rsidRPr="00341ED4">
        <w:rPr>
          <w:rFonts w:hint="cs"/>
          <w:rtl/>
        </w:rPr>
        <w:t xml:space="preserve"> </w:t>
      </w:r>
      <w:r>
        <w:rPr>
          <w:rFonts w:hint="cs"/>
          <w:rtl/>
        </w:rPr>
        <w:t xml:space="preserve">לבאר דבנותן טעם לפגם הטעם הפגום נשאר באיסורו ואינו מתבטל ברוב דהא האיסור ניכר ע"י הטעם, </w:t>
      </w:r>
      <w:r w:rsidRPr="00EB331D">
        <w:rPr>
          <w:rStyle w:val="afa"/>
          <w:rFonts w:hint="cs"/>
          <w:rtl/>
        </w:rPr>
        <w:t xml:space="preserve">[כסברת </w:t>
      </w:r>
      <w:r w:rsidRPr="00B7212F">
        <w:rPr>
          <w:rStyle w:val="affa"/>
          <w:rFonts w:hint="cs"/>
          <w:rtl/>
        </w:rPr>
        <w:t>הרשב"א</w:t>
      </w:r>
      <w:r w:rsidRPr="00EB331D">
        <w:rPr>
          <w:rStyle w:val="afa"/>
          <w:rFonts w:hint="cs"/>
          <w:rtl/>
        </w:rPr>
        <w:t xml:space="preserve"> </w:t>
      </w:r>
      <w:r w:rsidRPr="009E0D8A">
        <w:rPr>
          <w:rStyle w:val="aff6"/>
          <w:rtl/>
        </w:rPr>
        <w:t>(</w:t>
      </w:r>
      <w:r>
        <w:rPr>
          <w:rStyle w:val="aff6"/>
          <w:rFonts w:hint="cs"/>
          <w:rtl/>
        </w:rPr>
        <w:t xml:space="preserve">חולין </w:t>
      </w:r>
      <w:r w:rsidRPr="009E0D8A">
        <w:rPr>
          <w:rStyle w:val="aff6"/>
          <w:rtl/>
        </w:rPr>
        <w:t>צח: ד"ה וקשיא, הובא לעיל סימן ח' אות סט)</w:t>
      </w:r>
      <w:r w:rsidRPr="009E0D8A">
        <w:rPr>
          <w:rStyle w:val="aff6"/>
          <w:rFonts w:hint="cs"/>
          <w:rtl/>
        </w:rPr>
        <w:t xml:space="preserve"> </w:t>
      </w:r>
      <w:r w:rsidRPr="00EB331D">
        <w:rPr>
          <w:rStyle w:val="afa"/>
          <w:rFonts w:hint="cs"/>
          <w:rtl/>
        </w:rPr>
        <w:t xml:space="preserve">בשם </w:t>
      </w:r>
      <w:r w:rsidRPr="00B7212F">
        <w:rPr>
          <w:rStyle w:val="affa"/>
          <w:rFonts w:hint="cs"/>
          <w:rtl/>
        </w:rPr>
        <w:t>הראב"ד</w:t>
      </w:r>
      <w:r w:rsidRPr="00EB331D">
        <w:rPr>
          <w:rStyle w:val="afa"/>
          <w:rFonts w:hint="cs"/>
          <w:rtl/>
        </w:rPr>
        <w:t xml:space="preserve"> דבטעם כעיקר לא מהני ביטול ברוב, דהאיסור ניכר ע"י הטעם], </w:t>
      </w:r>
      <w:r>
        <w:rPr>
          <w:rFonts w:hint="cs"/>
          <w:rtl/>
        </w:rPr>
        <w:t xml:space="preserve">אלא דכל שהטעם פגום אינו אוסר את התערובת, כדילפינן מנבילה שאינה ראויה לגר, וביאר </w:t>
      </w:r>
      <w:r w:rsidRPr="00341ED4">
        <w:rPr>
          <w:rStyle w:val="af8"/>
          <w:rFonts w:hint="cs"/>
          <w:rtl/>
        </w:rPr>
        <w:t>המקור חיים</w:t>
      </w:r>
      <w:r w:rsidRPr="00341ED4">
        <w:rPr>
          <w:rFonts w:hint="cs"/>
          <w:rtl/>
        </w:rPr>
        <w:t xml:space="preserve"> </w:t>
      </w:r>
      <w:r>
        <w:rPr>
          <w:rFonts w:hint="cs"/>
          <w:rtl/>
        </w:rPr>
        <w:t>דלכן בפגם ולבסוף השביח אסור, דאחר שהטעם האסור שחזר והשביח את התערובת הוא חוזר וניעור,</w:t>
      </w:r>
      <w:r w:rsidRPr="00341ED4">
        <w:rPr>
          <w:rFonts w:hint="cs"/>
          <w:rtl/>
        </w:rPr>
        <w:t xml:space="preserve"> </w:t>
      </w:r>
      <w:r w:rsidRPr="006A6D18">
        <w:rPr>
          <w:rFonts w:hint="cs"/>
          <w:rtl/>
        </w:rPr>
        <w:t>כיון שיש בו טעם גמור של איסור</w:t>
      </w:r>
      <w:r>
        <w:rPr>
          <w:rFonts w:hint="cs"/>
          <w:rtl/>
        </w:rPr>
        <w:t>, דהאיסור לא התבטל אף בשעה שהיה פגום, ורק לא היה בכוחו לאסור את התערובת, כיון שהוא פוגמה, אך לאחר שהשביח לבסוף הוא אוסר את התערובת כדין כל נותן טעם לשבח דאוס.</w:t>
      </w:r>
    </w:p>
    <w:p w:rsidR="00A82F1E" w:rsidRDefault="00A82F1E" w:rsidP="00A82F1E">
      <w:pPr>
        <w:pStyle w:val="1"/>
        <w:rPr>
          <w:rtl/>
        </w:rPr>
      </w:pPr>
      <w:bookmarkStart w:id="10429" w:name="_Toc19694915"/>
      <w:bookmarkStart w:id="10430" w:name="_Toc19738456"/>
      <w:bookmarkStart w:id="10431" w:name="_Toc19792286"/>
      <w:r>
        <w:rPr>
          <w:rFonts w:hint="cs"/>
          <w:rtl/>
        </w:rPr>
        <w:t>ביאור הפרי תאר דפגם ולבסוף השביח חמור דלא חשיב פגם</w:t>
      </w:r>
    </w:p>
    <w:p w:rsidR="00A82F1E" w:rsidRPr="00D01376" w:rsidRDefault="00A82F1E" w:rsidP="00A82F1E">
      <w:pPr>
        <w:pStyle w:val="a2"/>
      </w:pPr>
      <w:r>
        <w:rPr>
          <w:rFonts w:hint="cs"/>
          <w:rtl/>
        </w:rPr>
        <w:t>דברי הפרי תאר דיש צד לומר דמסברא השביח ולבסוף פגם חמור דכבר חל עליו איסור</w:t>
      </w:r>
    </w:p>
    <w:p w:rsidR="00A82F1E" w:rsidRDefault="00A82F1E" w:rsidP="009F44AF">
      <w:pPr>
        <w:pStyle w:val="a"/>
        <w:rPr>
          <w:rtl/>
        </w:rPr>
      </w:pPr>
      <w:r>
        <w:rPr>
          <w:rFonts w:hint="cs"/>
          <w:rtl/>
        </w:rPr>
        <w:t xml:space="preserve">כתב </w:t>
      </w:r>
      <w:r>
        <w:rPr>
          <w:rStyle w:val="af8"/>
          <w:rFonts w:hint="cs"/>
          <w:rtl/>
        </w:rPr>
        <w:t>ה</w:t>
      </w:r>
      <w:r w:rsidRPr="00A82ED2">
        <w:rPr>
          <w:rStyle w:val="af8"/>
          <w:rFonts w:hint="cs"/>
          <w:rtl/>
        </w:rPr>
        <w:t>פרי תאר</w:t>
      </w:r>
      <w:r>
        <w:rPr>
          <w:rFonts w:hint="cs"/>
          <w:rtl/>
        </w:rPr>
        <w:t xml:space="preserve"> [</w:t>
      </w:r>
      <w:r w:rsidRPr="00A82ED2">
        <w:rPr>
          <w:rStyle w:val="af8"/>
          <w:rFonts w:hint="cs"/>
          <w:rtl/>
        </w:rPr>
        <w:t>לבעל האוה"ח</w:t>
      </w:r>
      <w:r>
        <w:rPr>
          <w:rFonts w:hint="cs"/>
          <w:rtl/>
        </w:rPr>
        <w:t xml:space="preserve">] </w:t>
      </w:r>
      <w:r w:rsidRPr="00A82ED2">
        <w:rPr>
          <w:rStyle w:val="af6"/>
          <w:rFonts w:eastAsia="Guttman Hodes" w:hint="cs"/>
          <w:rtl/>
        </w:rPr>
        <w:t>(סי' ק"ג סק"ה ד"ה נראה ליישב)</w:t>
      </w:r>
      <w:r>
        <w:rPr>
          <w:rFonts w:hint="cs"/>
          <w:rtl/>
        </w:rPr>
        <w:t xml:space="preserve"> דיש צד לומר דהשביח ואח"כ פגם חמור יותר, דכיון שהשביח בתחילה וכבר חל עליו איסור, הוא חמור יותר מפגם בתחילה שעדיין לא חל עליו האיסור.</w:t>
      </w:r>
    </w:p>
    <w:p w:rsidR="00A82F1E" w:rsidRPr="00E74CCD" w:rsidRDefault="00A82F1E" w:rsidP="00A82F1E">
      <w:pPr>
        <w:pStyle w:val="a2"/>
      </w:pPr>
      <w:r>
        <w:rPr>
          <w:rFonts w:hint="cs"/>
          <w:rtl/>
        </w:rPr>
        <w:t>דברי הפרי תאר דיש צד לומר דמסברא פגם ולבסוף השביח חמור דהתברר שלא חשיב פגם</w:t>
      </w:r>
    </w:p>
    <w:p w:rsidR="00707FC2" w:rsidRDefault="00A82F1E" w:rsidP="009F44AF">
      <w:pPr>
        <w:pStyle w:val="a"/>
        <w:rPr>
          <w:rtl/>
        </w:rPr>
      </w:pPr>
      <w:r>
        <w:rPr>
          <w:rFonts w:hint="cs"/>
          <w:rtl/>
        </w:rPr>
        <w:t xml:space="preserve">אך כתב </w:t>
      </w:r>
      <w:r w:rsidRPr="00A82ED2">
        <w:rPr>
          <w:rStyle w:val="af8"/>
          <w:rFonts w:hint="cs"/>
          <w:rtl/>
        </w:rPr>
        <w:t>הפרי תאר</w:t>
      </w:r>
      <w:r>
        <w:rPr>
          <w:rFonts w:hint="cs"/>
          <w:rtl/>
        </w:rPr>
        <w:t xml:space="preserve"> דיש צד לומר להיפך דפגם ולבסוף השביח הוא חמור יותר, דעיקר הטעם הוא לפי מה הוא עומד להיות לבסוף, וכיון שבסופו הוא משביח א"כ איגלאי מילתא דהפגם שהיה בתחילה אינו פגם, דהעיקר הוא לפי סופו ככל תבשיל דמצטמק ויפה לו, אבל בהשביח ולבסוף פגם, דהשבח שבתחילה אינו שבח כיון שעומד להפגם, ועי' במה שביאר בזה </w:t>
      </w:r>
      <w:r w:rsidRPr="004A5AC3">
        <w:rPr>
          <w:rStyle w:val="af8"/>
          <w:rFonts w:hint="cs"/>
          <w:rtl/>
        </w:rPr>
        <w:t>הפרי תאר</w:t>
      </w:r>
      <w:r>
        <w:rPr>
          <w:rFonts w:hint="cs"/>
          <w:rtl/>
        </w:rPr>
        <w:t xml:space="preserve"> </w:t>
      </w:r>
      <w:r w:rsidRPr="004A5AC3">
        <w:rPr>
          <w:rStyle w:val="af6"/>
          <w:rFonts w:eastAsia="Guttman Hodes" w:hint="cs"/>
          <w:rtl/>
        </w:rPr>
        <w:t xml:space="preserve">(עי' אות </w:t>
      </w:r>
      <w:r w:rsidRPr="004A5AC3">
        <w:rPr>
          <w:rStyle w:val="af6"/>
          <w:rFonts w:eastAsia="Guttman Hodes"/>
          <w:rtl/>
        </w:rPr>
        <w:fldChar w:fldCharType="begin"/>
      </w:r>
      <w:r w:rsidRPr="004A5AC3">
        <w:rPr>
          <w:rStyle w:val="af6"/>
          <w:rFonts w:eastAsia="Guttman Hodes"/>
          <w:rtl/>
        </w:rPr>
        <w:instrText xml:space="preserve"> </w:instrText>
      </w:r>
      <w:r w:rsidRPr="004A5AC3">
        <w:rPr>
          <w:rStyle w:val="af6"/>
          <w:rFonts w:eastAsia="Guttman Hodes" w:hint="cs"/>
        </w:rPr>
        <w:instrText>REF</w:instrText>
      </w:r>
      <w:r w:rsidRPr="004A5AC3">
        <w:rPr>
          <w:rStyle w:val="af6"/>
          <w:rFonts w:eastAsia="Guttman Hodes" w:hint="cs"/>
          <w:rtl/>
        </w:rPr>
        <w:instrText xml:space="preserve"> _</w:instrText>
      </w:r>
      <w:r w:rsidRPr="004A5AC3">
        <w:rPr>
          <w:rStyle w:val="af6"/>
          <w:rFonts w:eastAsia="Guttman Hodes" w:hint="cs"/>
        </w:rPr>
        <w:instrText>Ref19812542 \r \h</w:instrText>
      </w:r>
      <w:r w:rsidRPr="004A5AC3">
        <w:rPr>
          <w:rStyle w:val="af6"/>
          <w:rFonts w:eastAsia="Guttman Hodes"/>
          <w:rtl/>
        </w:rPr>
        <w:instrText xml:space="preserve"> </w:instrText>
      </w:r>
      <w:r w:rsidRPr="004A5AC3">
        <w:rPr>
          <w:rStyle w:val="af6"/>
          <w:rFonts w:eastAsia="Guttman Hodes"/>
          <w:rtl/>
        </w:rPr>
      </w:r>
      <w:r w:rsidRPr="004A5AC3">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4A5AC3">
        <w:rPr>
          <w:rStyle w:val="af6"/>
          <w:rFonts w:eastAsia="Guttman Hodes"/>
          <w:rtl/>
        </w:rPr>
        <w:fldChar w:fldCharType="end"/>
      </w:r>
      <w:r>
        <w:rPr>
          <w:rFonts w:hint="cs"/>
          <w:rtl/>
        </w:rPr>
        <w:t xml:space="preserve"> את דברי </w:t>
      </w:r>
      <w:r w:rsidRPr="004A5AC3">
        <w:rPr>
          <w:rStyle w:val="af8"/>
          <w:rFonts w:hint="cs"/>
          <w:rtl/>
        </w:rPr>
        <w:t>הרמב"ם בפיהמ"ש</w:t>
      </w:r>
      <w:r>
        <w:rPr>
          <w:rFonts w:hint="cs"/>
          <w:rtl/>
        </w:rPr>
        <w:t>.</w:t>
      </w:r>
    </w:p>
    <w:p w:rsidR="00A82F1E" w:rsidRDefault="00A82F1E" w:rsidP="00E669F8">
      <w:pPr>
        <w:pStyle w:val="afd"/>
        <w:rPr>
          <w:rtl/>
        </w:rPr>
      </w:pPr>
      <w:r>
        <w:rPr>
          <w:rFonts w:hint="cs"/>
          <w:rtl/>
        </w:rPr>
        <w:t>בדין פוגם ולבסוף השביח בשע</w:t>
      </w:r>
      <w:bookmarkEnd w:id="10378"/>
      <w:bookmarkEnd w:id="10379"/>
      <w:bookmarkEnd w:id="10380"/>
      <w:bookmarkEnd w:id="10381"/>
      <w:bookmarkEnd w:id="10429"/>
      <w:r>
        <w:rPr>
          <w:rFonts w:hint="cs"/>
          <w:rtl/>
        </w:rPr>
        <w:t>ת הפגם</w:t>
      </w:r>
      <w:bookmarkEnd w:id="10430"/>
      <w:bookmarkEnd w:id="10431"/>
    </w:p>
    <w:p w:rsidR="00A82F1E" w:rsidRDefault="00A82F1E" w:rsidP="00A82F1E">
      <w:pPr>
        <w:pStyle w:val="1"/>
        <w:rPr>
          <w:rtl/>
        </w:rPr>
      </w:pPr>
      <w:bookmarkStart w:id="10432" w:name="_Toc19618210"/>
      <w:bookmarkStart w:id="10433" w:name="_Toc19624488"/>
      <w:bookmarkStart w:id="10434" w:name="_Toc19651804"/>
      <w:bookmarkStart w:id="10435" w:name="_Toc19694916"/>
      <w:bookmarkStart w:id="10436" w:name="_Toc19738457"/>
      <w:bookmarkStart w:id="10437" w:name="_Toc19792287"/>
      <w:bookmarkStart w:id="10438" w:name="_Toc19479366"/>
      <w:r>
        <w:rPr>
          <w:rFonts w:hint="cs"/>
          <w:rtl/>
        </w:rPr>
        <w:t>דברי המאירי</w:t>
      </w:r>
      <w:bookmarkEnd w:id="10432"/>
      <w:bookmarkEnd w:id="10433"/>
      <w:bookmarkEnd w:id="10434"/>
      <w:bookmarkEnd w:id="10435"/>
      <w:r>
        <w:rPr>
          <w:rFonts w:hint="cs"/>
          <w:rtl/>
        </w:rPr>
        <w:t xml:space="preserve"> דבסופו להשביח אסור אף לפני שהשביח</w:t>
      </w:r>
      <w:bookmarkEnd w:id="10436"/>
      <w:bookmarkEnd w:id="10437"/>
    </w:p>
    <w:p w:rsidR="00A82F1E" w:rsidRDefault="00A82F1E" w:rsidP="00A82F1E">
      <w:pPr>
        <w:pStyle w:val="a2"/>
        <w:rPr>
          <w:rtl/>
        </w:rPr>
      </w:pPr>
      <w:bookmarkStart w:id="10439" w:name="_Toc19738458"/>
      <w:bookmarkStart w:id="10440" w:name="_Toc19792288"/>
      <w:r>
        <w:rPr>
          <w:rFonts w:hint="cs"/>
          <w:rtl/>
        </w:rPr>
        <w:t>דברי המאירי דלפני שהשביח מותר לאוכלו אך אם הדרך לאוכלו כך מותר וכשישביח יאסר</w:t>
      </w:r>
      <w:bookmarkEnd w:id="10439"/>
      <w:bookmarkEnd w:id="10440"/>
    </w:p>
    <w:p w:rsidR="00A82F1E" w:rsidRPr="00B64267" w:rsidRDefault="00A82F1E" w:rsidP="009F44AF">
      <w:pPr>
        <w:pStyle w:val="a"/>
        <w:rPr>
          <w:rtl/>
        </w:rPr>
      </w:pPr>
      <w:bookmarkStart w:id="10441" w:name="_Ref19736829"/>
      <w:r>
        <w:rPr>
          <w:rFonts w:hint="cs"/>
          <w:rtl/>
        </w:rPr>
        <w:t xml:space="preserve">כתב </w:t>
      </w:r>
      <w:r w:rsidRPr="00082AD3">
        <w:rPr>
          <w:rStyle w:val="af8"/>
          <w:rFonts w:hint="cs"/>
          <w:rtl/>
        </w:rPr>
        <w:t xml:space="preserve">המאירי </w:t>
      </w:r>
      <w:r w:rsidRPr="00082AD3">
        <w:rPr>
          <w:rStyle w:val="af6"/>
          <w:rFonts w:eastAsia="Guttman Hodes" w:hint="cs"/>
          <w:rtl/>
        </w:rPr>
        <w:t>(סז. ד"ה כבר)</w:t>
      </w:r>
      <w:r>
        <w:rPr>
          <w:rFonts w:hint="cs"/>
          <w:rtl/>
        </w:rPr>
        <w:t xml:space="preserve"> דנראה דפגום שסופו להשביח אסור אף לפני שהשביח, אך כתב</w:t>
      </w:r>
      <w:r w:rsidRPr="00702283">
        <w:rPr>
          <w:rStyle w:val="af8"/>
          <w:rFonts w:hint="cs"/>
          <w:rtl/>
        </w:rPr>
        <w:t xml:space="preserve"> המאירי</w:t>
      </w:r>
      <w:r>
        <w:rPr>
          <w:rFonts w:hint="cs"/>
          <w:rtl/>
        </w:rPr>
        <w:t xml:space="preserve"> דבדבר שהדרך לאוכלו כפי שהוא </w:t>
      </w:r>
      <w:r>
        <w:rPr>
          <w:rFonts w:hint="cs"/>
          <w:rtl/>
        </w:rPr>
        <w:t>פגום, כשהוא רותח לפני שיצטנן, מותר לאוכלו בפגימתו, ואח"כ כשיצטנן וישביח יאסר לאוכלו.</w:t>
      </w:r>
      <w:bookmarkEnd w:id="10441"/>
      <w:r>
        <w:rPr>
          <w:rFonts w:hint="cs"/>
          <w:rtl/>
        </w:rPr>
        <w:t xml:space="preserve"> </w:t>
      </w:r>
    </w:p>
    <w:p w:rsidR="00A82F1E" w:rsidRDefault="00A82F1E" w:rsidP="00A82F1E">
      <w:pPr>
        <w:pStyle w:val="1"/>
        <w:rPr>
          <w:rtl/>
        </w:rPr>
      </w:pPr>
      <w:bookmarkStart w:id="10442" w:name="_Toc19618211"/>
      <w:bookmarkStart w:id="10443" w:name="_Toc19624489"/>
      <w:bookmarkStart w:id="10444" w:name="_Toc19651805"/>
      <w:bookmarkStart w:id="10445" w:name="_Toc19694917"/>
      <w:bookmarkStart w:id="10446" w:name="_Toc19738459"/>
      <w:bookmarkStart w:id="10447" w:name="_Toc19792289"/>
      <w:r>
        <w:rPr>
          <w:rFonts w:hint="cs"/>
          <w:rtl/>
        </w:rPr>
        <w:t>דברי האיסור והיתר והש"ך</w:t>
      </w:r>
      <w:bookmarkEnd w:id="10438"/>
      <w:bookmarkEnd w:id="10442"/>
      <w:bookmarkEnd w:id="10443"/>
      <w:bookmarkEnd w:id="10444"/>
      <w:bookmarkEnd w:id="10445"/>
      <w:bookmarkEnd w:id="10446"/>
      <w:bookmarkEnd w:id="10447"/>
      <w:r w:rsidRPr="0078150B">
        <w:rPr>
          <w:rtl/>
        </w:rPr>
        <w:t xml:space="preserve"> דבשעת הפגם מותר</w:t>
      </w:r>
      <w:r>
        <w:rPr>
          <w:rFonts w:hint="cs"/>
          <w:rtl/>
        </w:rPr>
        <w:t xml:space="preserve"> </w:t>
      </w:r>
    </w:p>
    <w:p w:rsidR="00A82F1E" w:rsidRPr="00C17D2F" w:rsidRDefault="00A82F1E" w:rsidP="00A82F1E">
      <w:pPr>
        <w:pStyle w:val="a2"/>
        <w:rPr>
          <w:rtl/>
        </w:rPr>
      </w:pPr>
      <w:bookmarkStart w:id="10448" w:name="_Toc19738460"/>
      <w:bookmarkStart w:id="10449" w:name="_Toc19792290"/>
      <w:r>
        <w:rPr>
          <w:rFonts w:hint="cs"/>
          <w:rtl/>
        </w:rPr>
        <w:t>דברי האיסור והיתר והש"ך דבנודע האיסור כשהוא פגום ולפני שהשביח מותר לאוכלו</w:t>
      </w:r>
      <w:bookmarkEnd w:id="10448"/>
      <w:bookmarkEnd w:id="10449"/>
      <w:r>
        <w:rPr>
          <w:rFonts w:hint="cs"/>
          <w:rtl/>
        </w:rPr>
        <w:t xml:space="preserve"> </w:t>
      </w:r>
    </w:p>
    <w:p w:rsidR="00A82F1E" w:rsidRDefault="00A82F1E" w:rsidP="009F44AF">
      <w:pPr>
        <w:pStyle w:val="a"/>
        <w:rPr>
          <w:rtl/>
        </w:rPr>
      </w:pPr>
      <w:r>
        <w:rPr>
          <w:rFonts w:hint="cs"/>
          <w:rtl/>
        </w:rPr>
        <w:t xml:space="preserve">אבל </w:t>
      </w:r>
      <w:r w:rsidRPr="00896FF1">
        <w:rPr>
          <w:rStyle w:val="af8"/>
          <w:rFonts w:hint="cs"/>
          <w:rtl/>
        </w:rPr>
        <w:t>הש"ך</w:t>
      </w:r>
      <w:r>
        <w:rPr>
          <w:rFonts w:hint="cs"/>
          <w:rtl/>
        </w:rPr>
        <w:t xml:space="preserve"> </w:t>
      </w:r>
      <w:r w:rsidRPr="00746099">
        <w:rPr>
          <w:rStyle w:val="af6"/>
          <w:rFonts w:eastAsia="Guttman Hodes" w:hint="cs"/>
          <w:rtl/>
        </w:rPr>
        <w:t>(סי' ק"ג סק"ז)</w:t>
      </w:r>
      <w:r>
        <w:rPr>
          <w:rFonts w:hint="cs"/>
          <w:rtl/>
        </w:rPr>
        <w:t xml:space="preserve"> הביא את דברי </w:t>
      </w:r>
      <w:r w:rsidRPr="00896FF1">
        <w:rPr>
          <w:rStyle w:val="af8"/>
          <w:rFonts w:hint="cs"/>
          <w:rtl/>
        </w:rPr>
        <w:t>האיסור והיתר הארוך</w:t>
      </w:r>
      <w:r>
        <w:rPr>
          <w:rFonts w:hint="cs"/>
          <w:rtl/>
        </w:rPr>
        <w:t xml:space="preserve"> </w:t>
      </w:r>
      <w:r w:rsidRPr="00746099">
        <w:rPr>
          <w:rStyle w:val="af6"/>
          <w:rFonts w:eastAsia="Guttman Hodes" w:hint="cs"/>
          <w:rtl/>
        </w:rPr>
        <w:t>(כלל ל"ב ה')</w:t>
      </w:r>
      <w:r>
        <w:rPr>
          <w:rFonts w:hint="cs"/>
          <w:rtl/>
        </w:rPr>
        <w:t xml:space="preserve"> דכתב דהא דאסור בפגם ולבסוף השביח היינו דוקא באופן שנודע לו שנפל האיסור לתוך ההיתר רק לאחר שהשביח, אבל אם נודע לו בשעה שעדיין היה פגום מותר, ורק לאחר שהשביח אסור, וביאר </w:t>
      </w:r>
      <w:r w:rsidRPr="00B64267">
        <w:rPr>
          <w:rStyle w:val="af8"/>
          <w:rFonts w:hint="cs"/>
          <w:rtl/>
        </w:rPr>
        <w:t>האיסור והיתר הארוך</w:t>
      </w:r>
      <w:r>
        <w:rPr>
          <w:rFonts w:hint="cs"/>
          <w:rtl/>
        </w:rPr>
        <w:t xml:space="preserve"> דאף שבשעה שנודע לו על נפילת האיסור היה פגום, מ"מ נאסר אח"כ בשעה שמשביח, כיון שאף בשעה שהוא פגום האיסור אינו מבוטל בהיתר, וכ"כ </w:t>
      </w:r>
      <w:r w:rsidRPr="00896FF1">
        <w:rPr>
          <w:rStyle w:val="af8"/>
          <w:rFonts w:hint="cs"/>
          <w:rtl/>
        </w:rPr>
        <w:t>הלבוש</w:t>
      </w:r>
      <w:r>
        <w:rPr>
          <w:rFonts w:hint="cs"/>
          <w:rtl/>
        </w:rPr>
        <w:t xml:space="preserve"> </w:t>
      </w:r>
      <w:r w:rsidRPr="00746099">
        <w:rPr>
          <w:rStyle w:val="af6"/>
          <w:rFonts w:eastAsia="Guttman Hodes" w:hint="cs"/>
          <w:rtl/>
        </w:rPr>
        <w:t>(סי' ק"ג ב')</w:t>
      </w:r>
      <w:r>
        <w:rPr>
          <w:rFonts w:hint="cs"/>
          <w:rtl/>
        </w:rPr>
        <w:t>.</w:t>
      </w:r>
    </w:p>
    <w:p w:rsidR="00A82F1E" w:rsidRPr="00DD1F58" w:rsidRDefault="00A82F1E" w:rsidP="00A82F1E">
      <w:pPr>
        <w:pStyle w:val="a2"/>
        <w:rPr>
          <w:rtl/>
        </w:rPr>
      </w:pPr>
      <w:bookmarkStart w:id="10450" w:name="_Toc19738461"/>
      <w:bookmarkStart w:id="10451" w:name="_Toc19792291"/>
      <w:r>
        <w:rPr>
          <w:rFonts w:hint="cs"/>
          <w:rtl/>
        </w:rPr>
        <w:t>דברי הש"ך דכן מוכח מל"ב דר"ל בקדירה שחסירה מלח דכשהיא פגומה היא מותרת</w:t>
      </w:r>
      <w:bookmarkEnd w:id="10450"/>
      <w:bookmarkEnd w:id="10451"/>
    </w:p>
    <w:p w:rsidR="00A82F1E" w:rsidRDefault="00A82F1E" w:rsidP="009F44AF">
      <w:pPr>
        <w:pStyle w:val="a"/>
        <w:rPr>
          <w:rtl/>
        </w:rPr>
      </w:pPr>
      <w:bookmarkStart w:id="10452" w:name="_Ref19478880"/>
      <w:r>
        <w:rPr>
          <w:rFonts w:hint="cs"/>
          <w:rtl/>
        </w:rPr>
        <w:t xml:space="preserve">והביא </w:t>
      </w:r>
      <w:r w:rsidRPr="00896FF1">
        <w:rPr>
          <w:rStyle w:val="af8"/>
          <w:rFonts w:hint="cs"/>
          <w:rtl/>
        </w:rPr>
        <w:t>הש"ך</w:t>
      </w:r>
      <w:r>
        <w:rPr>
          <w:rFonts w:hint="cs"/>
          <w:rtl/>
        </w:rPr>
        <w:t xml:space="preserve"> בשם </w:t>
      </w:r>
      <w:r w:rsidRPr="00896FF1">
        <w:rPr>
          <w:rStyle w:val="af8"/>
          <w:rFonts w:hint="cs"/>
          <w:rtl/>
        </w:rPr>
        <w:t>האיסור והיתר הארוך</w:t>
      </w:r>
      <w:r>
        <w:rPr>
          <w:rFonts w:hint="cs"/>
          <w:rtl/>
        </w:rPr>
        <w:t xml:space="preserve"> דדמי לל"ב דר"ל </w:t>
      </w:r>
      <w:r w:rsidRPr="00110F41">
        <w:rPr>
          <w:rStyle w:val="af6"/>
          <w:rFonts w:eastAsia="Guttman Hodes" w:hint="cs"/>
          <w:rtl/>
        </w:rPr>
        <w:t>(סז.)</w:t>
      </w:r>
      <w:r>
        <w:rPr>
          <w:rFonts w:hint="cs"/>
          <w:rtl/>
        </w:rPr>
        <w:t xml:space="preserve"> דקדירה שחסירה מלח שנפל לתוכה איסור ופגמה, דהיא מותרת כיון שעכשיו היא פגומה, ולא אמרינן דאם היה במלח לא הייתה נפגמת.</w:t>
      </w:r>
      <w:bookmarkEnd w:id="10452"/>
    </w:p>
    <w:p w:rsidR="00A82F1E" w:rsidRDefault="00A82F1E" w:rsidP="00A82F1E">
      <w:pPr>
        <w:pStyle w:val="1"/>
        <w:rPr>
          <w:rtl/>
        </w:rPr>
      </w:pPr>
      <w:bookmarkStart w:id="10453" w:name="_Toc19738462"/>
      <w:bookmarkStart w:id="10454" w:name="_Toc19792292"/>
      <w:r>
        <w:rPr>
          <w:rFonts w:hint="cs"/>
          <w:rtl/>
        </w:rPr>
        <w:t>דעת הפר"ח דפגם ולבסוף השביח אסור אף בשעת הפגם</w:t>
      </w:r>
      <w:bookmarkEnd w:id="10453"/>
      <w:bookmarkEnd w:id="10454"/>
    </w:p>
    <w:p w:rsidR="00A82F1E" w:rsidRPr="00110F41" w:rsidRDefault="00A82F1E" w:rsidP="00A82F1E">
      <w:pPr>
        <w:pStyle w:val="a2"/>
        <w:rPr>
          <w:rtl/>
        </w:rPr>
      </w:pPr>
      <w:bookmarkStart w:id="10455" w:name="_Toc19738463"/>
      <w:bookmarkStart w:id="10456" w:name="_Toc19792293"/>
      <w:r>
        <w:rPr>
          <w:rFonts w:hint="cs"/>
          <w:rtl/>
        </w:rPr>
        <w:t>דחיית הפר"ח דאסור בשעת הפגם כמו דהשביח ולבסוף פגם אסור בשעת הפגם</w:t>
      </w:r>
      <w:bookmarkEnd w:id="10455"/>
      <w:bookmarkEnd w:id="10456"/>
    </w:p>
    <w:p w:rsidR="00A82F1E" w:rsidRDefault="00A82F1E" w:rsidP="009F44AF">
      <w:pPr>
        <w:pStyle w:val="a"/>
        <w:rPr>
          <w:rtl/>
        </w:rPr>
      </w:pPr>
      <w:r>
        <w:rPr>
          <w:rFonts w:hint="cs"/>
          <w:rtl/>
        </w:rPr>
        <w:t>ודחה</w:t>
      </w:r>
      <w:r w:rsidRPr="00D81C21">
        <w:rPr>
          <w:rFonts w:hint="cs"/>
          <w:rtl/>
        </w:rPr>
        <w:t xml:space="preserve"> </w:t>
      </w:r>
      <w:r w:rsidRPr="00896FF1">
        <w:rPr>
          <w:rStyle w:val="af8"/>
          <w:rFonts w:hint="cs"/>
          <w:rtl/>
        </w:rPr>
        <w:t>הפר"ח</w:t>
      </w:r>
      <w:r>
        <w:rPr>
          <w:rFonts w:hint="cs"/>
          <w:rtl/>
        </w:rPr>
        <w:t xml:space="preserve"> </w:t>
      </w:r>
      <w:r w:rsidRPr="00746099">
        <w:rPr>
          <w:rStyle w:val="af6"/>
          <w:rFonts w:eastAsia="Guttman Hodes" w:hint="cs"/>
          <w:rtl/>
        </w:rPr>
        <w:t>(סי' ק"ג סק"ח)</w:t>
      </w:r>
      <w:r>
        <w:rPr>
          <w:rFonts w:hint="cs"/>
          <w:rtl/>
        </w:rPr>
        <w:t xml:space="preserve"> את דברי </w:t>
      </w:r>
      <w:r w:rsidRPr="00110F41">
        <w:rPr>
          <w:rStyle w:val="af8"/>
          <w:rFonts w:hint="cs"/>
          <w:rtl/>
        </w:rPr>
        <w:t>האיסור והיתר הארוך</w:t>
      </w:r>
      <w:r>
        <w:rPr>
          <w:rFonts w:hint="cs"/>
          <w:rtl/>
        </w:rPr>
        <w:t xml:space="preserve"> דכמו דבהשביח ולבסוף פגם, הוא אסור בשעה שהוא פגום, כיון שהשביח בתחילה, ה"ה בפגם ולבסוף השביח, דהוא אסור אף בשעה שהוא פגום כיון שעומד להשביח. [וכמבואר </w:t>
      </w:r>
      <w:r w:rsidRPr="00FE3BB4">
        <w:rPr>
          <w:rStyle w:val="af8"/>
          <w:rFonts w:hint="cs"/>
          <w:rtl/>
        </w:rPr>
        <w:t>במאירי</w:t>
      </w:r>
      <w:r>
        <w:rPr>
          <w:rFonts w:hint="cs"/>
          <w:rtl/>
        </w:rPr>
        <w:t xml:space="preserve"> </w:t>
      </w:r>
      <w:r w:rsidRPr="00FE3BB4">
        <w:rPr>
          <w:rStyle w:val="af6"/>
          <w:rFonts w:eastAsia="Guttman Hodes" w:hint="cs"/>
          <w:rtl/>
        </w:rPr>
        <w:t xml:space="preserve">(עי' אות </w:t>
      </w:r>
      <w:r w:rsidRPr="00FE3BB4">
        <w:rPr>
          <w:rStyle w:val="af6"/>
          <w:rFonts w:eastAsia="Guttman Hodes"/>
          <w:rtl/>
        </w:rPr>
        <w:fldChar w:fldCharType="begin"/>
      </w:r>
      <w:r w:rsidRPr="00FE3BB4">
        <w:rPr>
          <w:rStyle w:val="af6"/>
          <w:rFonts w:eastAsia="Guttman Hodes"/>
          <w:rtl/>
        </w:rPr>
        <w:instrText xml:space="preserve"> </w:instrText>
      </w:r>
      <w:r w:rsidRPr="00FE3BB4">
        <w:rPr>
          <w:rStyle w:val="af6"/>
          <w:rFonts w:eastAsia="Guttman Hodes" w:hint="cs"/>
        </w:rPr>
        <w:instrText>REF</w:instrText>
      </w:r>
      <w:r w:rsidRPr="00FE3BB4">
        <w:rPr>
          <w:rStyle w:val="af6"/>
          <w:rFonts w:eastAsia="Guttman Hodes" w:hint="cs"/>
          <w:rtl/>
        </w:rPr>
        <w:instrText xml:space="preserve"> _</w:instrText>
      </w:r>
      <w:r w:rsidRPr="00FE3BB4">
        <w:rPr>
          <w:rStyle w:val="af6"/>
          <w:rFonts w:eastAsia="Guttman Hodes" w:hint="cs"/>
        </w:rPr>
        <w:instrText>Ref19736829 \r \h</w:instrText>
      </w:r>
      <w:r w:rsidRPr="00FE3BB4">
        <w:rPr>
          <w:rStyle w:val="af6"/>
          <w:rFonts w:eastAsia="Guttman Hodes"/>
          <w:rtl/>
        </w:rPr>
        <w:instrText xml:space="preserve"> </w:instrText>
      </w:r>
      <w:r w:rsidRPr="00FE3BB4">
        <w:rPr>
          <w:rStyle w:val="af6"/>
          <w:rFonts w:eastAsia="Guttman Hodes"/>
          <w:rtl/>
        </w:rPr>
      </w:r>
      <w:r w:rsidRPr="00FE3BB4">
        <w:rPr>
          <w:rStyle w:val="af6"/>
          <w:rFonts w:eastAsia="Guttman Hodes"/>
          <w:rtl/>
        </w:rPr>
        <w:fldChar w:fldCharType="separate"/>
      </w:r>
      <w:r w:rsidR="004D1C5B">
        <w:rPr>
          <w:rStyle w:val="af6"/>
          <w:rFonts w:eastAsia="Guttman Hodes"/>
          <w:cs/>
        </w:rPr>
        <w:t>‎</w:t>
      </w:r>
      <w:r w:rsidR="004D1C5B">
        <w:rPr>
          <w:rStyle w:val="af6"/>
          <w:rFonts w:eastAsia="Guttman Hodes"/>
          <w:rtl/>
        </w:rPr>
        <w:t>מב)</w:t>
      </w:r>
      <w:r w:rsidRPr="00FE3BB4">
        <w:rPr>
          <w:rStyle w:val="af6"/>
          <w:rFonts w:eastAsia="Guttman Hodes"/>
          <w:rtl/>
        </w:rPr>
        <w:fldChar w:fldCharType="end"/>
      </w:r>
      <w:r>
        <w:rPr>
          <w:rFonts w:hint="cs"/>
          <w:rtl/>
        </w:rPr>
        <w:t>].</w:t>
      </w:r>
    </w:p>
    <w:p w:rsidR="00A82F1E" w:rsidRDefault="00A82F1E" w:rsidP="00A82F1E">
      <w:pPr>
        <w:pStyle w:val="a2"/>
        <w:rPr>
          <w:rtl/>
        </w:rPr>
      </w:pPr>
      <w:bookmarkStart w:id="10457" w:name="_Toc19738464"/>
      <w:bookmarkStart w:id="10458" w:name="_Toc19792294"/>
      <w:r>
        <w:rPr>
          <w:rFonts w:hint="cs"/>
          <w:rtl/>
        </w:rPr>
        <w:t>דברי הפר"ח דמלשון הרמב"ם דאסור בסופו להשביח מבואר דאף שעדיין לא השביח אסור</w:t>
      </w:r>
      <w:bookmarkEnd w:id="10457"/>
      <w:bookmarkEnd w:id="10458"/>
    </w:p>
    <w:p w:rsidR="00A82F1E" w:rsidRDefault="00A82F1E" w:rsidP="009F44AF">
      <w:pPr>
        <w:pStyle w:val="a"/>
        <w:rPr>
          <w:rtl/>
        </w:rPr>
      </w:pPr>
      <w:r>
        <w:rPr>
          <w:rFonts w:hint="cs"/>
          <w:rtl/>
        </w:rPr>
        <w:t xml:space="preserve">וכתב </w:t>
      </w:r>
      <w:r w:rsidRPr="00896FF1">
        <w:rPr>
          <w:rStyle w:val="af8"/>
          <w:rFonts w:hint="cs"/>
          <w:rtl/>
        </w:rPr>
        <w:t>הפר"ח</w:t>
      </w:r>
      <w:r>
        <w:rPr>
          <w:rFonts w:hint="cs"/>
          <w:rtl/>
        </w:rPr>
        <w:t xml:space="preserve"> דכן מוכח בדברי </w:t>
      </w:r>
      <w:r w:rsidRPr="00896FF1">
        <w:rPr>
          <w:rStyle w:val="af8"/>
          <w:rFonts w:hint="cs"/>
          <w:rtl/>
        </w:rPr>
        <w:t>הרמב"ם</w:t>
      </w:r>
      <w:r>
        <w:rPr>
          <w:rFonts w:hint="cs"/>
          <w:rtl/>
        </w:rPr>
        <w:t xml:space="preserve"> </w:t>
      </w:r>
      <w:r w:rsidRPr="00746099">
        <w:rPr>
          <w:rStyle w:val="af6"/>
          <w:rFonts w:eastAsia="Guttman Hodes" w:hint="cs"/>
          <w:rtl/>
        </w:rPr>
        <w:t xml:space="preserve">(עי' אות </w:t>
      </w:r>
      <w:r w:rsidRPr="00746099">
        <w:rPr>
          <w:rStyle w:val="af6"/>
          <w:rFonts w:eastAsia="Guttman Hodes"/>
          <w:rtl/>
        </w:rPr>
        <w:fldChar w:fldCharType="begin"/>
      </w:r>
      <w:r w:rsidRPr="00746099">
        <w:rPr>
          <w:rStyle w:val="af6"/>
          <w:rFonts w:eastAsia="Guttman Hodes"/>
          <w:rtl/>
        </w:rPr>
        <w:instrText xml:space="preserve"> </w:instrText>
      </w:r>
      <w:r w:rsidRPr="00746099">
        <w:rPr>
          <w:rStyle w:val="af6"/>
          <w:rFonts w:eastAsia="Guttman Hodes" w:hint="cs"/>
        </w:rPr>
        <w:instrText>REF</w:instrText>
      </w:r>
      <w:r w:rsidRPr="00746099">
        <w:rPr>
          <w:rStyle w:val="af6"/>
          <w:rFonts w:eastAsia="Guttman Hodes" w:hint="cs"/>
          <w:rtl/>
        </w:rPr>
        <w:instrText xml:space="preserve"> _</w:instrText>
      </w:r>
      <w:r w:rsidRPr="00746099">
        <w:rPr>
          <w:rStyle w:val="af6"/>
          <w:rFonts w:eastAsia="Guttman Hodes" w:hint="cs"/>
        </w:rPr>
        <w:instrText>Ref19478830 \r \h</w:instrText>
      </w:r>
      <w:r w:rsidRPr="00746099">
        <w:rPr>
          <w:rStyle w:val="af6"/>
          <w:rFonts w:eastAsia="Guttman Hodes"/>
          <w:rtl/>
        </w:rPr>
        <w:instrText xml:space="preserve"> </w:instrText>
      </w:r>
      <w:r w:rsidRPr="00746099">
        <w:rPr>
          <w:rStyle w:val="af6"/>
          <w:rFonts w:eastAsia="Guttman Hodes"/>
          <w:rtl/>
        </w:rPr>
      </w:r>
      <w:r w:rsidRPr="00746099">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746099">
        <w:rPr>
          <w:rStyle w:val="af6"/>
          <w:rFonts w:eastAsia="Guttman Hodes"/>
          <w:rtl/>
        </w:rPr>
        <w:fldChar w:fldCharType="end"/>
      </w:r>
      <w:r>
        <w:rPr>
          <w:rFonts w:hint="cs"/>
          <w:rtl/>
        </w:rPr>
        <w:t xml:space="preserve"> דכתב דאם פגם בתחילה וסופו להשביח אסור, וכתב </w:t>
      </w:r>
      <w:r w:rsidRPr="00896FF1">
        <w:rPr>
          <w:rStyle w:val="af8"/>
          <w:rFonts w:hint="cs"/>
          <w:rtl/>
        </w:rPr>
        <w:t>הפר"ח</w:t>
      </w:r>
      <w:r>
        <w:rPr>
          <w:rFonts w:hint="cs"/>
          <w:rtl/>
        </w:rPr>
        <w:t xml:space="preserve"> דכיון דכתב </w:t>
      </w:r>
      <w:r w:rsidRPr="005173F7">
        <w:rPr>
          <w:rStyle w:val="af8"/>
          <w:rFonts w:hint="cs"/>
          <w:rtl/>
        </w:rPr>
        <w:t>הרמב"ם</w:t>
      </w:r>
      <w:r>
        <w:rPr>
          <w:rFonts w:hint="cs"/>
          <w:rtl/>
        </w:rPr>
        <w:t xml:space="preserve"> דסופו להשביח, א"כ מבואר דכוונת </w:t>
      </w:r>
      <w:r w:rsidRPr="00896FF1">
        <w:rPr>
          <w:rStyle w:val="af8"/>
          <w:rFonts w:hint="cs"/>
          <w:rtl/>
        </w:rPr>
        <w:t>הרמב"ם</w:t>
      </w:r>
      <w:r>
        <w:rPr>
          <w:rFonts w:hint="cs"/>
          <w:rtl/>
        </w:rPr>
        <w:t xml:space="preserve"> לומר דאף בשעה שהוא עדיין פגום ולא השביח, מ"מ הוא אסור כיון שסופו להשביח.</w:t>
      </w:r>
    </w:p>
    <w:p w:rsidR="00A82F1E" w:rsidRPr="005173F7" w:rsidRDefault="00A82F1E" w:rsidP="00A82F1E">
      <w:pPr>
        <w:pStyle w:val="a2"/>
      </w:pPr>
      <w:bookmarkStart w:id="10459" w:name="_Toc19738465"/>
      <w:bookmarkStart w:id="10460" w:name="_Toc19792295"/>
      <w:r>
        <w:rPr>
          <w:rFonts w:hint="cs"/>
          <w:rtl/>
        </w:rPr>
        <w:t>דברי הפר"ח דבב"י מבואר דאף בשעה שהוא פגום אסור כיון שעומד להשביח</w:t>
      </w:r>
      <w:bookmarkEnd w:id="10459"/>
      <w:bookmarkEnd w:id="10460"/>
    </w:p>
    <w:p w:rsidR="00A82F1E" w:rsidRDefault="00A82F1E" w:rsidP="009F44AF">
      <w:pPr>
        <w:pStyle w:val="a"/>
        <w:rPr>
          <w:rtl/>
        </w:rPr>
      </w:pPr>
      <w:r>
        <w:rPr>
          <w:rFonts w:hint="cs"/>
          <w:rtl/>
        </w:rPr>
        <w:t xml:space="preserve">והוסיף </w:t>
      </w:r>
      <w:r w:rsidRPr="00896FF1">
        <w:rPr>
          <w:rStyle w:val="af8"/>
          <w:rFonts w:hint="cs"/>
          <w:rtl/>
        </w:rPr>
        <w:t>הפר"ח</w:t>
      </w:r>
      <w:r>
        <w:rPr>
          <w:rFonts w:hint="cs"/>
          <w:rtl/>
        </w:rPr>
        <w:t xml:space="preserve"> דכן מבואר מדברי </w:t>
      </w:r>
      <w:r w:rsidRPr="00896FF1">
        <w:rPr>
          <w:rStyle w:val="af8"/>
          <w:rFonts w:hint="cs"/>
          <w:rtl/>
        </w:rPr>
        <w:t>הב"י והכס"מ</w:t>
      </w:r>
      <w:r>
        <w:rPr>
          <w:rFonts w:hint="cs"/>
          <w:rtl/>
        </w:rPr>
        <w:t xml:space="preserve"> </w:t>
      </w:r>
      <w:r w:rsidRPr="002B505A">
        <w:rPr>
          <w:rStyle w:val="af6"/>
          <w:rFonts w:eastAsia="Guttman Hodes" w:hint="cs"/>
          <w:rtl/>
        </w:rPr>
        <w:t xml:space="preserve">(עי' אות </w:t>
      </w:r>
      <w:r w:rsidRPr="002B505A">
        <w:rPr>
          <w:rStyle w:val="af6"/>
          <w:rFonts w:eastAsia="Guttman Hodes"/>
          <w:rtl/>
        </w:rPr>
        <w:fldChar w:fldCharType="begin"/>
      </w:r>
      <w:r w:rsidRPr="002B505A">
        <w:rPr>
          <w:rStyle w:val="af6"/>
          <w:rFonts w:eastAsia="Guttman Hodes"/>
          <w:rtl/>
        </w:rPr>
        <w:instrText xml:space="preserve"> </w:instrText>
      </w:r>
      <w:r w:rsidRPr="002B505A">
        <w:rPr>
          <w:rStyle w:val="af6"/>
          <w:rFonts w:eastAsia="Guttman Hodes" w:hint="cs"/>
        </w:rPr>
        <w:instrText>REF</w:instrText>
      </w:r>
      <w:r w:rsidRPr="002B505A">
        <w:rPr>
          <w:rStyle w:val="af6"/>
          <w:rFonts w:eastAsia="Guttman Hodes" w:hint="cs"/>
          <w:rtl/>
        </w:rPr>
        <w:instrText xml:space="preserve"> _</w:instrText>
      </w:r>
      <w:r w:rsidRPr="002B505A">
        <w:rPr>
          <w:rStyle w:val="af6"/>
          <w:rFonts w:eastAsia="Guttman Hodes" w:hint="cs"/>
        </w:rPr>
        <w:instrText>Ref19726043 \r \h</w:instrText>
      </w:r>
      <w:r w:rsidRPr="002B505A">
        <w:rPr>
          <w:rStyle w:val="af6"/>
          <w:rFonts w:eastAsia="Guttman Hodes"/>
          <w:rtl/>
        </w:rPr>
        <w:instrText xml:space="preserve"> </w:instrText>
      </w:r>
      <w:r w:rsidRPr="002B505A">
        <w:rPr>
          <w:rStyle w:val="af6"/>
          <w:rFonts w:eastAsia="Guttman Hodes"/>
          <w:rtl/>
        </w:rPr>
      </w:r>
      <w:r w:rsidRPr="002B505A">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2B505A">
        <w:rPr>
          <w:rStyle w:val="af6"/>
          <w:rFonts w:eastAsia="Guttman Hodes"/>
          <w:rtl/>
        </w:rPr>
        <w:fldChar w:fldCharType="end"/>
      </w:r>
      <w:r>
        <w:rPr>
          <w:rFonts w:hint="cs"/>
          <w:rtl/>
        </w:rPr>
        <w:t xml:space="preserve"> דכתב דמקור דברי </w:t>
      </w:r>
      <w:r w:rsidRPr="00896FF1">
        <w:rPr>
          <w:rStyle w:val="af8"/>
          <w:rFonts w:hint="cs"/>
          <w:rtl/>
        </w:rPr>
        <w:t>הרמב"ם</w:t>
      </w:r>
      <w:r>
        <w:rPr>
          <w:rFonts w:hint="cs"/>
          <w:rtl/>
        </w:rPr>
        <w:t xml:space="preserve"> דאסר בפגם ולבסוף השביח, הוא מק"ו מהשביח ולבסוף פגם, דאי במקום שהשביח בתחילה אסור אעפ"י שהשבח שהיה בו בתחילה הוא שבח שעומד להפגם, כ"ש דאסור בפוגם בתחילה ועומד להשביח, דאינו נקרא פוגם, דהוא עומד להשביח, וכתב </w:t>
      </w:r>
      <w:r w:rsidRPr="00896FF1">
        <w:rPr>
          <w:rStyle w:val="af8"/>
          <w:rFonts w:hint="cs"/>
          <w:rtl/>
        </w:rPr>
        <w:t>הפר"ח</w:t>
      </w:r>
      <w:r>
        <w:rPr>
          <w:rFonts w:hint="cs"/>
          <w:rtl/>
        </w:rPr>
        <w:t xml:space="preserve"> דמוכח מדברי </w:t>
      </w:r>
      <w:r w:rsidRPr="00264C44">
        <w:rPr>
          <w:rStyle w:val="af8"/>
          <w:rFonts w:hint="cs"/>
          <w:rtl/>
        </w:rPr>
        <w:t>הב"י</w:t>
      </w:r>
      <w:r>
        <w:rPr>
          <w:rFonts w:hint="cs"/>
          <w:rtl/>
        </w:rPr>
        <w:t xml:space="preserve"> דהאיסור בפגם ולבסוף השביח, הוא אף בשעה שהוא עדיין פגום, כיון שהוא דעומד להשביח. [ועיי"ש במה שהאריך </w:t>
      </w:r>
      <w:r w:rsidRPr="00896FF1">
        <w:rPr>
          <w:rStyle w:val="af8"/>
          <w:rFonts w:hint="cs"/>
          <w:rtl/>
        </w:rPr>
        <w:t>הפר"ח</w:t>
      </w:r>
      <w:r>
        <w:rPr>
          <w:rFonts w:hint="cs"/>
          <w:rtl/>
        </w:rPr>
        <w:t xml:space="preserve"> בביאור אופני השבח והפגם, בחומץ שנפל לגריסין]</w:t>
      </w:r>
      <w:r w:rsidRPr="004E734C">
        <w:rPr>
          <w:rFonts w:hint="cs"/>
          <w:rtl/>
        </w:rPr>
        <w:t>.</w:t>
      </w:r>
    </w:p>
    <w:p w:rsidR="00A82F1E" w:rsidRDefault="00A82F1E" w:rsidP="00A82F1E">
      <w:pPr>
        <w:pStyle w:val="a2"/>
        <w:rPr>
          <w:rtl/>
        </w:rPr>
      </w:pPr>
      <w:bookmarkStart w:id="10461" w:name="_Toc19738466"/>
      <w:bookmarkStart w:id="10462" w:name="_Toc19792296"/>
      <w:r>
        <w:rPr>
          <w:rFonts w:hint="cs"/>
          <w:rtl/>
        </w:rPr>
        <w:t>דחיית הפר"ח לראית הש"ך מקדירה שחסירה מלח דאין סופה להשביח ולכן היא מותרת עכשיו</w:t>
      </w:r>
      <w:bookmarkEnd w:id="10461"/>
      <w:bookmarkEnd w:id="10462"/>
    </w:p>
    <w:p w:rsidR="00A82F1E" w:rsidRDefault="00A82F1E" w:rsidP="009F44AF">
      <w:pPr>
        <w:pStyle w:val="a"/>
        <w:rPr>
          <w:rtl/>
        </w:rPr>
      </w:pPr>
      <w:r>
        <w:rPr>
          <w:rFonts w:hint="cs"/>
          <w:rtl/>
        </w:rPr>
        <w:t xml:space="preserve">ובמה שהביא </w:t>
      </w:r>
      <w:r w:rsidRPr="00896FF1">
        <w:rPr>
          <w:rStyle w:val="af8"/>
          <w:rFonts w:hint="cs"/>
          <w:rtl/>
        </w:rPr>
        <w:t>הש"ך</w:t>
      </w:r>
      <w:r>
        <w:rPr>
          <w:rFonts w:hint="cs"/>
          <w:rtl/>
        </w:rPr>
        <w:t xml:space="preserve"> </w:t>
      </w:r>
      <w:r w:rsidRPr="00746099">
        <w:rPr>
          <w:rStyle w:val="af6"/>
          <w:rFonts w:eastAsia="Guttman Hodes" w:hint="cs"/>
          <w:rtl/>
        </w:rPr>
        <w:t xml:space="preserve">(עי' אות </w:t>
      </w:r>
      <w:r w:rsidRPr="00746099">
        <w:rPr>
          <w:rStyle w:val="af6"/>
          <w:rFonts w:eastAsia="Guttman Hodes"/>
          <w:rtl/>
        </w:rPr>
        <w:fldChar w:fldCharType="begin"/>
      </w:r>
      <w:r w:rsidRPr="00746099">
        <w:rPr>
          <w:rStyle w:val="af6"/>
          <w:rFonts w:eastAsia="Guttman Hodes"/>
          <w:rtl/>
        </w:rPr>
        <w:instrText xml:space="preserve"> </w:instrText>
      </w:r>
      <w:r w:rsidRPr="00746099">
        <w:rPr>
          <w:rStyle w:val="af6"/>
          <w:rFonts w:eastAsia="Guttman Hodes" w:hint="cs"/>
        </w:rPr>
        <w:instrText>REF</w:instrText>
      </w:r>
      <w:r w:rsidRPr="00746099">
        <w:rPr>
          <w:rStyle w:val="af6"/>
          <w:rFonts w:eastAsia="Guttman Hodes" w:hint="cs"/>
          <w:rtl/>
        </w:rPr>
        <w:instrText xml:space="preserve"> _</w:instrText>
      </w:r>
      <w:r w:rsidRPr="00746099">
        <w:rPr>
          <w:rStyle w:val="af6"/>
          <w:rFonts w:eastAsia="Guttman Hodes" w:hint="cs"/>
        </w:rPr>
        <w:instrText>Ref19478880 \r \h</w:instrText>
      </w:r>
      <w:r w:rsidRPr="00746099">
        <w:rPr>
          <w:rStyle w:val="af6"/>
          <w:rFonts w:eastAsia="Guttman Hodes"/>
          <w:rtl/>
        </w:rPr>
        <w:instrText xml:space="preserve"> </w:instrText>
      </w:r>
      <w:r w:rsidRPr="00746099">
        <w:rPr>
          <w:rStyle w:val="af6"/>
          <w:rFonts w:eastAsia="Guttman Hodes"/>
          <w:rtl/>
        </w:rPr>
      </w:r>
      <w:r w:rsidRPr="00746099">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746099">
        <w:rPr>
          <w:rStyle w:val="af6"/>
          <w:rFonts w:eastAsia="Guttman Hodes"/>
          <w:rtl/>
        </w:rPr>
        <w:fldChar w:fldCharType="end"/>
      </w:r>
      <w:r>
        <w:rPr>
          <w:rFonts w:hint="cs"/>
          <w:rtl/>
        </w:rPr>
        <w:t xml:space="preserve"> בשם </w:t>
      </w:r>
      <w:r w:rsidRPr="00896FF1">
        <w:rPr>
          <w:rStyle w:val="af8"/>
          <w:rFonts w:hint="cs"/>
          <w:rtl/>
        </w:rPr>
        <w:t>האיסור והיתר הארוך</w:t>
      </w:r>
      <w:r>
        <w:rPr>
          <w:rFonts w:hint="cs"/>
          <w:rtl/>
        </w:rPr>
        <w:t xml:space="preserve"> ראיה מל"ב דר"ל דהיתר נותן טעם לפגם, הוא אף בקדירה שחסירה מלח, דחה </w:t>
      </w:r>
      <w:r w:rsidRPr="00896FF1">
        <w:rPr>
          <w:rStyle w:val="af8"/>
          <w:rFonts w:hint="cs"/>
          <w:rtl/>
        </w:rPr>
        <w:t>הפר"ח</w:t>
      </w:r>
      <w:r>
        <w:rPr>
          <w:rFonts w:hint="cs"/>
          <w:rtl/>
        </w:rPr>
        <w:t xml:space="preserve"> דלא דמי לפגם ולבסוף השביח, דהקדירה היא פגומה עכשיו ואין סופה להשביח, ולא דמי למקום שהפגם עומד ממילא להשביח.</w:t>
      </w:r>
    </w:p>
    <w:p w:rsidR="00A82F1E" w:rsidRDefault="00A82F1E" w:rsidP="00A82F1E">
      <w:pPr>
        <w:pStyle w:val="a2"/>
        <w:rPr>
          <w:rtl/>
        </w:rPr>
      </w:pPr>
      <w:bookmarkStart w:id="10463" w:name="_Toc19738467"/>
      <w:bookmarkStart w:id="10464" w:name="_Toc19792297"/>
      <w:bookmarkStart w:id="10465" w:name="_Toc19479367"/>
      <w:r>
        <w:rPr>
          <w:rFonts w:hint="cs"/>
          <w:rtl/>
        </w:rPr>
        <w:t>דברי הפרמ"ג דמדאו' ודאי דמותר בפגם ולבסוף השביח בשעה שהוא פגום</w:t>
      </w:r>
      <w:bookmarkEnd w:id="10463"/>
      <w:bookmarkEnd w:id="10464"/>
    </w:p>
    <w:p w:rsidR="00A82F1E" w:rsidRDefault="00A82F1E" w:rsidP="009F44AF">
      <w:pPr>
        <w:pStyle w:val="a"/>
        <w:rPr>
          <w:rtl/>
        </w:rPr>
      </w:pPr>
      <w:r>
        <w:rPr>
          <w:rFonts w:hint="cs"/>
          <w:rtl/>
        </w:rPr>
        <w:t xml:space="preserve">וכתב </w:t>
      </w:r>
      <w:r w:rsidRPr="004E546A">
        <w:rPr>
          <w:rStyle w:val="af8"/>
          <w:rFonts w:hint="cs"/>
          <w:rtl/>
        </w:rPr>
        <w:t>הפרמ"ג</w:t>
      </w:r>
      <w:r>
        <w:rPr>
          <w:rFonts w:hint="cs"/>
          <w:rtl/>
        </w:rPr>
        <w:t xml:space="preserve"> </w:t>
      </w:r>
      <w:r w:rsidRPr="0079234E">
        <w:rPr>
          <w:rStyle w:val="af6"/>
          <w:rFonts w:eastAsia="Guttman Hodes" w:hint="cs"/>
          <w:rtl/>
        </w:rPr>
        <w:t>(סי' ק"ג שפ"ד סק"ז)</w:t>
      </w:r>
      <w:r>
        <w:rPr>
          <w:rFonts w:hint="cs"/>
          <w:rtl/>
        </w:rPr>
        <w:t xml:space="preserve"> דלהלכה אפשר להקל כדעת </w:t>
      </w:r>
      <w:r w:rsidRPr="000D7DAB">
        <w:rPr>
          <w:rStyle w:val="af8"/>
          <w:rFonts w:hint="cs"/>
          <w:rtl/>
        </w:rPr>
        <w:t>הש"ך</w:t>
      </w:r>
      <w:r>
        <w:rPr>
          <w:rFonts w:hint="cs"/>
          <w:rtl/>
        </w:rPr>
        <w:t>, כיון שמדאו' ודאי דמותר.</w:t>
      </w:r>
    </w:p>
    <w:p w:rsidR="00A82F1E" w:rsidRDefault="00A82F1E" w:rsidP="00E669F8">
      <w:pPr>
        <w:pStyle w:val="afd"/>
        <w:rPr>
          <w:rtl/>
        </w:rPr>
      </w:pPr>
      <w:bookmarkStart w:id="10466" w:name="_Toc19738468"/>
      <w:bookmarkStart w:id="10467" w:name="_Toc19792298"/>
      <w:bookmarkEnd w:id="10286"/>
      <w:bookmarkEnd w:id="10287"/>
      <w:bookmarkEnd w:id="10288"/>
      <w:bookmarkEnd w:id="10289"/>
      <w:bookmarkEnd w:id="10290"/>
      <w:bookmarkEnd w:id="10465"/>
      <w:r>
        <w:rPr>
          <w:rFonts w:hint="cs"/>
          <w:rtl/>
        </w:rPr>
        <w:t>ביאור התוס' בדברי עולא</w:t>
      </w:r>
      <w:bookmarkEnd w:id="10466"/>
      <w:bookmarkEnd w:id="10467"/>
    </w:p>
    <w:p w:rsidR="00A82F1E" w:rsidRDefault="00A82F1E" w:rsidP="00A82F1E">
      <w:pPr>
        <w:pStyle w:val="1"/>
        <w:rPr>
          <w:rtl/>
        </w:rPr>
      </w:pPr>
      <w:bookmarkStart w:id="10468" w:name="_Toc19207843"/>
      <w:bookmarkStart w:id="10469" w:name="_Toc19479356"/>
      <w:bookmarkStart w:id="10470" w:name="_Toc19618179"/>
      <w:bookmarkStart w:id="10471" w:name="_Toc19624457"/>
      <w:bookmarkStart w:id="10472" w:name="_Toc19651751"/>
      <w:bookmarkStart w:id="10473" w:name="_Toc19694923"/>
      <w:bookmarkStart w:id="10474" w:name="_Toc19738469"/>
      <w:bookmarkStart w:id="10475" w:name="_Toc19792299"/>
      <w:r>
        <w:rPr>
          <w:rFonts w:hint="cs"/>
          <w:rtl/>
        </w:rPr>
        <w:lastRenderedPageBreak/>
        <w:t>דברי התוס'</w:t>
      </w:r>
      <w:bookmarkEnd w:id="10468"/>
      <w:bookmarkEnd w:id="10469"/>
      <w:r>
        <w:rPr>
          <w:rFonts w:hint="cs"/>
          <w:rtl/>
        </w:rPr>
        <w:t xml:space="preserve"> דלעולא פליגי בסברא אי פגם מתיר דבר שנאסר</w:t>
      </w:r>
      <w:bookmarkEnd w:id="10470"/>
      <w:bookmarkEnd w:id="10471"/>
      <w:bookmarkEnd w:id="10472"/>
      <w:bookmarkEnd w:id="10473"/>
      <w:bookmarkEnd w:id="10474"/>
      <w:bookmarkEnd w:id="10475"/>
    </w:p>
    <w:p w:rsidR="00A82F1E" w:rsidRDefault="00A82F1E" w:rsidP="00A82F1E">
      <w:pPr>
        <w:pStyle w:val="a2"/>
        <w:rPr>
          <w:rtl/>
        </w:rPr>
      </w:pPr>
      <w:bookmarkStart w:id="10476" w:name="_Toc19618180"/>
      <w:bookmarkStart w:id="10477" w:name="_Toc19624458"/>
      <w:bookmarkStart w:id="10478" w:name="_Toc19651752"/>
      <w:bookmarkStart w:id="10479" w:name="_Toc19694924"/>
      <w:bookmarkStart w:id="10480" w:name="_Toc19738470"/>
      <w:bookmarkStart w:id="10481" w:name="_Toc19792300"/>
      <w:r>
        <w:rPr>
          <w:rFonts w:hint="cs"/>
          <w:rtl/>
        </w:rPr>
        <w:t>דברי התוס' דלעולא ר"מ ור"ש לא נחלקו בילפותא דא"כ אין סברא לומר דפגום מעיקרא מותר</w:t>
      </w:r>
      <w:bookmarkEnd w:id="10476"/>
      <w:bookmarkEnd w:id="10477"/>
      <w:bookmarkEnd w:id="10478"/>
      <w:bookmarkEnd w:id="10479"/>
      <w:bookmarkEnd w:id="10480"/>
      <w:bookmarkEnd w:id="10481"/>
      <w:r>
        <w:rPr>
          <w:rFonts w:hint="cs"/>
          <w:rtl/>
        </w:rPr>
        <w:t xml:space="preserve"> </w:t>
      </w:r>
    </w:p>
    <w:p w:rsidR="00A82F1E" w:rsidRDefault="00A82F1E" w:rsidP="009F44AF">
      <w:pPr>
        <w:pStyle w:val="a"/>
        <w:rPr>
          <w:rtl/>
        </w:rPr>
      </w:pPr>
      <w:r>
        <w:rPr>
          <w:rFonts w:hint="cs"/>
          <w:rtl/>
        </w:rPr>
        <w:t xml:space="preserve">בדברי עולא דאמר דמחלוקת ר"מ ור"ש היא בהשביח ולבסוף פגם, אבל בפגום מעיקרא מותר לכו"ע, כתבו </w:t>
      </w:r>
      <w:r w:rsidRPr="00482061">
        <w:rPr>
          <w:rStyle w:val="af8"/>
          <w:rFonts w:hint="cs"/>
          <w:rtl/>
        </w:rPr>
        <w:t>התוס'</w:t>
      </w:r>
      <w:r>
        <w:rPr>
          <w:rFonts w:hint="cs"/>
          <w:rtl/>
        </w:rPr>
        <w:t xml:space="preserve"> </w:t>
      </w:r>
      <w:r w:rsidRPr="000910FA">
        <w:rPr>
          <w:rStyle w:val="af6"/>
          <w:rFonts w:eastAsia="Guttman Hodes" w:hint="cs"/>
          <w:rtl/>
        </w:rPr>
        <w:t>(ד"ה אמר עולא)</w:t>
      </w:r>
      <w:r>
        <w:rPr>
          <w:rFonts w:hint="cs"/>
          <w:rtl/>
        </w:rPr>
        <w:t xml:space="preserve"> דלדברי עולא לא נחלקו ר"מ ור"ש בילפותא מנבילה, דאי נחלקו בנבילה, אין סברא לחלק בין השביח ולבסוף פגם, לבין פגום מעיקרא.</w:t>
      </w:r>
    </w:p>
    <w:p w:rsidR="00A82F1E" w:rsidRDefault="00A82F1E" w:rsidP="00A82F1E">
      <w:pPr>
        <w:pStyle w:val="a2"/>
        <w:rPr>
          <w:rtl/>
        </w:rPr>
      </w:pPr>
      <w:bookmarkStart w:id="10482" w:name="_Toc19618181"/>
      <w:bookmarkStart w:id="10483" w:name="_Toc19624459"/>
      <w:bookmarkStart w:id="10484" w:name="_Toc19651753"/>
      <w:bookmarkStart w:id="10485" w:name="_Toc19694925"/>
      <w:bookmarkStart w:id="10486" w:name="_Toc19738471"/>
      <w:bookmarkStart w:id="10487" w:name="_Toc19792301"/>
      <w:r>
        <w:rPr>
          <w:rFonts w:hint="cs"/>
          <w:rtl/>
        </w:rPr>
        <w:t>ביאור המהרש"א בתוס' דאי נחלקו בילפותא א"כ לר"מ אין ילפותא להתיר אף בפגום מעיקרא</w:t>
      </w:r>
      <w:bookmarkEnd w:id="10482"/>
      <w:bookmarkEnd w:id="10483"/>
      <w:bookmarkEnd w:id="10484"/>
      <w:bookmarkEnd w:id="10485"/>
      <w:bookmarkEnd w:id="10486"/>
      <w:bookmarkEnd w:id="10487"/>
    </w:p>
    <w:p w:rsidR="00A82F1E" w:rsidRPr="00E825FA" w:rsidRDefault="00A82F1E" w:rsidP="009F44AF">
      <w:pPr>
        <w:pStyle w:val="a"/>
        <w:rPr>
          <w:sz w:val="10"/>
          <w:szCs w:val="14"/>
          <w:rtl/>
        </w:rPr>
      </w:pPr>
      <w:bookmarkStart w:id="10488" w:name="_Ref19615707"/>
      <w:r>
        <w:rPr>
          <w:rFonts w:hint="cs"/>
          <w:rtl/>
        </w:rPr>
        <w:t xml:space="preserve">וביאר </w:t>
      </w:r>
      <w:r w:rsidRPr="00482061">
        <w:rPr>
          <w:rStyle w:val="af8"/>
          <w:rFonts w:hint="cs"/>
          <w:rtl/>
        </w:rPr>
        <w:t xml:space="preserve">המהרש"א </w:t>
      </w:r>
      <w:r w:rsidRPr="00CF561F">
        <w:rPr>
          <w:rStyle w:val="af6"/>
          <w:rFonts w:eastAsia="Guttman Hodes" w:hint="cs"/>
          <w:rtl/>
        </w:rPr>
        <w:t>(על תוד"ה אמר)</w:t>
      </w:r>
      <w:r>
        <w:rPr>
          <w:rFonts w:hint="cs"/>
          <w:rtl/>
        </w:rPr>
        <w:t xml:space="preserve"> את דברי </w:t>
      </w:r>
      <w:r w:rsidRPr="00482061">
        <w:rPr>
          <w:rStyle w:val="af8"/>
          <w:rFonts w:hint="cs"/>
          <w:rtl/>
        </w:rPr>
        <w:t xml:space="preserve">התוס' </w:t>
      </w:r>
      <w:r>
        <w:rPr>
          <w:rFonts w:hint="cs"/>
          <w:rtl/>
        </w:rPr>
        <w:t xml:space="preserve">דאי ר"מ ור"ש נחלקו בילפותא, א"כ מוכח דר"מ אוסר אפילו בפגום מעיקרא, דלר"מ ההיתר בנבילה הוא רק בסרוחה מעיקרא, שלא חל עליה שם איסור מעולם, אבל כשחל איסור אינו פוקע אף אם  נפגם אח"כ, ואף בדבר שפגום מעיקרא שבשעת נפילת האיסור להיתר היה פוגם, ג"כ אוסר ר"מ, דהא חל עליו איסור לפני שנפגם, אך כתב </w:t>
      </w:r>
      <w:r w:rsidRPr="00482061">
        <w:rPr>
          <w:rStyle w:val="af8"/>
          <w:rFonts w:hint="cs"/>
          <w:rtl/>
        </w:rPr>
        <w:t xml:space="preserve">המהרש"א </w:t>
      </w:r>
      <w:r>
        <w:rPr>
          <w:rFonts w:hint="cs"/>
          <w:rtl/>
        </w:rPr>
        <w:t>דמ"מ מוכח דנחלקו ר"מ ור"ש גם בהשביח ולבסוף פגם, דר"ש מתיר אף בכה"ג, וכדהוכיחו</w:t>
      </w:r>
      <w:r w:rsidRPr="00482061">
        <w:rPr>
          <w:rStyle w:val="af8"/>
          <w:rFonts w:hint="cs"/>
          <w:rtl/>
        </w:rPr>
        <w:t xml:space="preserve"> התוס' </w:t>
      </w:r>
      <w:r w:rsidRPr="00CF561F">
        <w:rPr>
          <w:rStyle w:val="af6"/>
          <w:rFonts w:eastAsia="Guttman Hodes" w:hint="cs"/>
          <w:rtl/>
        </w:rPr>
        <w:t xml:space="preserve">(עי' אות </w:t>
      </w:r>
      <w:r w:rsidRPr="00CF561F">
        <w:rPr>
          <w:rStyle w:val="af6"/>
          <w:rFonts w:eastAsia="Guttman Hodes"/>
          <w:rtl/>
        </w:rPr>
        <w:fldChar w:fldCharType="begin"/>
      </w:r>
      <w:r w:rsidRPr="00CF561F">
        <w:rPr>
          <w:rStyle w:val="af6"/>
          <w:rFonts w:eastAsia="Guttman Hodes"/>
          <w:rtl/>
        </w:rPr>
        <w:instrText xml:space="preserve"> </w:instrText>
      </w:r>
      <w:r w:rsidRPr="00CF561F">
        <w:rPr>
          <w:rStyle w:val="af6"/>
          <w:rFonts w:eastAsia="Guttman Hodes" w:hint="cs"/>
        </w:rPr>
        <w:instrText>REF</w:instrText>
      </w:r>
      <w:r w:rsidRPr="00CF561F">
        <w:rPr>
          <w:rStyle w:val="af6"/>
          <w:rFonts w:eastAsia="Guttman Hodes" w:hint="cs"/>
          <w:rtl/>
        </w:rPr>
        <w:instrText xml:space="preserve"> _</w:instrText>
      </w:r>
      <w:r w:rsidRPr="00CF561F">
        <w:rPr>
          <w:rStyle w:val="af6"/>
          <w:rFonts w:eastAsia="Guttman Hodes" w:hint="cs"/>
        </w:rPr>
        <w:instrText>Ref19215520 \r \h</w:instrText>
      </w:r>
      <w:r w:rsidRPr="00CF561F">
        <w:rPr>
          <w:rStyle w:val="af6"/>
          <w:rFonts w:eastAsia="Guttman Hodes"/>
          <w:rtl/>
        </w:rPr>
        <w:instrText xml:space="preserve"> </w:instrText>
      </w:r>
      <w:r w:rsidRPr="00CF561F">
        <w:rPr>
          <w:rStyle w:val="af6"/>
          <w:rFonts w:eastAsia="Guttman Hodes"/>
          <w:rtl/>
        </w:rPr>
      </w:r>
      <w:r w:rsidRPr="00CF561F">
        <w:rPr>
          <w:rStyle w:val="af6"/>
          <w:rFonts w:eastAsia="Guttman Hodes"/>
          <w:rtl/>
        </w:rPr>
        <w:fldChar w:fldCharType="separate"/>
      </w:r>
      <w:r w:rsidR="004D1C5B">
        <w:rPr>
          <w:rStyle w:val="af6"/>
          <w:rFonts w:eastAsia="Guttman Hodes"/>
          <w:cs/>
        </w:rPr>
        <w:t>‎</w:t>
      </w:r>
      <w:r w:rsidR="004D1C5B">
        <w:rPr>
          <w:rStyle w:val="af6"/>
          <w:rFonts w:eastAsia="Guttman Hodes"/>
          <w:rtl/>
        </w:rPr>
        <w:t>סה)</w:t>
      </w:r>
      <w:r w:rsidRPr="00CF561F">
        <w:rPr>
          <w:rStyle w:val="af6"/>
          <w:rFonts w:eastAsia="Guttman Hodes"/>
          <w:rtl/>
        </w:rPr>
        <w:fldChar w:fldCharType="end"/>
      </w:r>
      <w:r>
        <w:rPr>
          <w:rFonts w:hint="cs"/>
          <w:rtl/>
        </w:rPr>
        <w:t xml:space="preserve"> מהא דהעמיד ר"ש את הילפותא מנבילה אף בהסריחה לבסוף, דנחלקו גם בהשביח ולבסוף פגם</w:t>
      </w:r>
      <w:r>
        <w:rPr>
          <w:rStyle w:val="af0"/>
          <w:rtl/>
        </w:rPr>
        <w:footnoteReference w:id="52"/>
      </w:r>
      <w:r>
        <w:rPr>
          <w:rFonts w:hint="cs"/>
          <w:rtl/>
        </w:rPr>
        <w:t xml:space="preserve">. </w:t>
      </w:r>
      <w:r w:rsidRPr="008037C9">
        <w:rPr>
          <w:rStyle w:val="afa"/>
          <w:rFonts w:hint="cs"/>
          <w:rtl/>
        </w:rPr>
        <w:t xml:space="preserve">[ועי' במה שדחה </w:t>
      </w:r>
      <w:r w:rsidRPr="008037C9">
        <w:rPr>
          <w:rStyle w:val="affa"/>
          <w:rFonts w:hint="cs"/>
          <w:rtl/>
        </w:rPr>
        <w:t>החזו"א</w:t>
      </w:r>
      <w:r w:rsidRPr="008037C9">
        <w:rPr>
          <w:rStyle w:val="afa"/>
          <w:rFonts w:hint="cs"/>
          <w:rtl/>
        </w:rPr>
        <w:t xml:space="preserve"> </w:t>
      </w:r>
      <w:r w:rsidRPr="008037C9">
        <w:rPr>
          <w:rStyle w:val="aff6"/>
          <w:rFonts w:hint="cs"/>
          <w:rtl/>
        </w:rPr>
        <w:t>(סי' ט"ו סק"ז סוד"ה ע"ז ס"ח, או"ח סי' קט"ז סק"ב)</w:t>
      </w:r>
      <w:r w:rsidRPr="008037C9">
        <w:rPr>
          <w:rStyle w:val="afa"/>
          <w:rFonts w:hint="cs"/>
          <w:rtl/>
        </w:rPr>
        <w:t xml:space="preserve"> את דברי </w:t>
      </w:r>
      <w:r w:rsidRPr="008037C9">
        <w:rPr>
          <w:rStyle w:val="affa"/>
          <w:rFonts w:hint="cs"/>
          <w:rtl/>
        </w:rPr>
        <w:t>המהרש"א</w:t>
      </w:r>
      <w:r>
        <w:rPr>
          <w:rStyle w:val="afa"/>
          <w:rFonts w:hint="cs"/>
          <w:rtl/>
        </w:rPr>
        <w:t xml:space="preserve">, וכדביאר </w:t>
      </w:r>
      <w:r w:rsidRPr="00BC57DD">
        <w:rPr>
          <w:rStyle w:val="affa"/>
          <w:rFonts w:hint="cs"/>
          <w:rtl/>
        </w:rPr>
        <w:t>החזו"א</w:t>
      </w:r>
      <w:r>
        <w:rPr>
          <w:rStyle w:val="afa"/>
          <w:rFonts w:hint="cs"/>
          <w:rtl/>
        </w:rPr>
        <w:t xml:space="preserve"> </w:t>
      </w:r>
      <w:r w:rsidRPr="00BC57DD">
        <w:rPr>
          <w:rStyle w:val="aff6"/>
          <w:rFonts w:hint="cs"/>
          <w:rtl/>
        </w:rPr>
        <w:t xml:space="preserve">(עי' אות </w:t>
      </w:r>
      <w:r w:rsidRPr="00BC57DD">
        <w:rPr>
          <w:rStyle w:val="aff6"/>
          <w:rtl/>
        </w:rPr>
        <w:fldChar w:fldCharType="begin"/>
      </w:r>
      <w:r w:rsidRPr="00BC57DD">
        <w:rPr>
          <w:rStyle w:val="aff6"/>
          <w:rtl/>
        </w:rPr>
        <w:instrText xml:space="preserve"> </w:instrText>
      </w:r>
      <w:r w:rsidRPr="00BC57DD">
        <w:rPr>
          <w:rStyle w:val="aff6"/>
          <w:rFonts w:hint="cs"/>
        </w:rPr>
        <w:instrText>REF</w:instrText>
      </w:r>
      <w:r w:rsidRPr="00BC57DD">
        <w:rPr>
          <w:rStyle w:val="aff6"/>
          <w:rFonts w:hint="cs"/>
          <w:rtl/>
        </w:rPr>
        <w:instrText xml:space="preserve"> _</w:instrText>
      </w:r>
      <w:r w:rsidRPr="00BC57DD">
        <w:rPr>
          <w:rStyle w:val="aff6"/>
          <w:rFonts w:hint="cs"/>
        </w:rPr>
        <w:instrText>Ref19614912 \r \h</w:instrText>
      </w:r>
      <w:r w:rsidRPr="00BC57DD">
        <w:rPr>
          <w:rStyle w:val="aff6"/>
          <w:rtl/>
        </w:rPr>
        <w:instrText xml:space="preserve"> </w:instrText>
      </w:r>
      <w:r w:rsidRPr="00BC57DD">
        <w:rPr>
          <w:rStyle w:val="aff6"/>
          <w:rtl/>
        </w:rPr>
      </w:r>
      <w:r w:rsidRPr="00BC57DD">
        <w:rPr>
          <w:rStyle w:val="aff6"/>
          <w:rtl/>
        </w:rPr>
        <w:fldChar w:fldCharType="separate"/>
      </w:r>
      <w:r w:rsidR="004D1C5B">
        <w:rPr>
          <w:rStyle w:val="aff6"/>
          <w:cs/>
        </w:rPr>
        <w:t>‎</w:t>
      </w:r>
      <w:r w:rsidR="004D1C5B">
        <w:rPr>
          <w:rStyle w:val="aff6"/>
          <w:rtl/>
        </w:rPr>
        <w:t>סט)</w:t>
      </w:r>
      <w:r w:rsidRPr="00BC57DD">
        <w:rPr>
          <w:rStyle w:val="aff6"/>
          <w:rtl/>
        </w:rPr>
        <w:fldChar w:fldCharType="end"/>
      </w:r>
      <w:r>
        <w:rPr>
          <w:rStyle w:val="afa"/>
          <w:rFonts w:hint="cs"/>
          <w:rtl/>
        </w:rPr>
        <w:t xml:space="preserve"> </w:t>
      </w:r>
      <w:r w:rsidRPr="00BC57DD">
        <w:rPr>
          <w:rStyle w:val="afa"/>
          <w:rtl/>
        </w:rPr>
        <w:t>דהגמ' לעיל דביארה דר"מ ור"ש נחלקו בילפותא מנבילה, היא אליבא דריו"ח</w:t>
      </w:r>
      <w:r w:rsidRPr="008037C9">
        <w:rPr>
          <w:rStyle w:val="afa"/>
          <w:rFonts w:hint="cs"/>
          <w:rtl/>
        </w:rPr>
        <w:t>].</w:t>
      </w:r>
      <w:bookmarkStart w:id="10489" w:name="_Toc19618182"/>
      <w:bookmarkStart w:id="10490" w:name="_Toc19624460"/>
      <w:bookmarkEnd w:id="10488"/>
    </w:p>
    <w:p w:rsidR="00A82F1E" w:rsidRPr="000910FA" w:rsidRDefault="00A82F1E" w:rsidP="00A82F1E">
      <w:pPr>
        <w:pStyle w:val="a2"/>
      </w:pPr>
      <w:bookmarkStart w:id="10491" w:name="_Toc19651754"/>
      <w:bookmarkStart w:id="10492" w:name="_Toc19694926"/>
      <w:bookmarkStart w:id="10493" w:name="_Toc19738472"/>
      <w:bookmarkStart w:id="10494" w:name="_Toc19792302"/>
      <w:r>
        <w:rPr>
          <w:rFonts w:hint="cs"/>
          <w:rtl/>
        </w:rPr>
        <w:t>ביאור התוס' דר"מ ור"ש נחלקו בסברא אם אחר שהשביח ונאסר אפשר לחזור ולהתיר</w:t>
      </w:r>
      <w:bookmarkEnd w:id="10489"/>
      <w:bookmarkEnd w:id="10490"/>
      <w:bookmarkEnd w:id="10491"/>
      <w:bookmarkEnd w:id="10492"/>
      <w:bookmarkEnd w:id="10493"/>
      <w:bookmarkEnd w:id="10494"/>
      <w:r>
        <w:rPr>
          <w:rFonts w:hint="cs"/>
          <w:rtl/>
        </w:rPr>
        <w:t xml:space="preserve"> </w:t>
      </w:r>
    </w:p>
    <w:p w:rsidR="00A82F1E" w:rsidRDefault="00A82F1E" w:rsidP="009F44AF">
      <w:pPr>
        <w:pStyle w:val="a"/>
        <w:rPr>
          <w:rtl/>
        </w:rPr>
      </w:pPr>
      <w:bookmarkStart w:id="10495" w:name="_Ref19780645"/>
      <w:r>
        <w:rPr>
          <w:rFonts w:hint="cs"/>
          <w:rtl/>
        </w:rPr>
        <w:t xml:space="preserve">אלא ביארו </w:t>
      </w:r>
      <w:r w:rsidRPr="00482061">
        <w:rPr>
          <w:rStyle w:val="af8"/>
          <w:rFonts w:hint="cs"/>
          <w:rtl/>
        </w:rPr>
        <w:t xml:space="preserve">התוס' </w:t>
      </w:r>
      <w:r>
        <w:rPr>
          <w:rFonts w:hint="cs"/>
          <w:rtl/>
        </w:rPr>
        <w:t>דלעולא ר"מ ור"ש נחלקו בסברא, דלדעת ר"מ כל שהשביח בשעת נפילה וחל איסור על התערובת, שוב אינה מותרת אף שנפגם אח"כ, ולדעת ר"ש כל שעכשיו אינו פגום מותר.</w:t>
      </w:r>
      <w:bookmarkEnd w:id="10495"/>
      <w:r>
        <w:rPr>
          <w:rFonts w:hint="cs"/>
          <w:rtl/>
        </w:rPr>
        <w:t xml:space="preserve"> [ועי' בדברי </w:t>
      </w:r>
      <w:r w:rsidRPr="00FF7289">
        <w:rPr>
          <w:rStyle w:val="af8"/>
          <w:rFonts w:hint="cs"/>
          <w:rtl/>
        </w:rPr>
        <w:t>הקה"י</w:t>
      </w:r>
      <w:r>
        <w:rPr>
          <w:rFonts w:hint="cs"/>
          <w:rtl/>
        </w:rPr>
        <w:t xml:space="preserve"> </w:t>
      </w:r>
      <w:r w:rsidRPr="00FF7289">
        <w:rPr>
          <w:rStyle w:val="af6"/>
          <w:rFonts w:eastAsia="Guttman Hodes" w:hint="cs"/>
          <w:rtl/>
        </w:rPr>
        <w:t xml:space="preserve">(עי' אות </w:t>
      </w:r>
      <w:r w:rsidRPr="00FF7289">
        <w:rPr>
          <w:rStyle w:val="af6"/>
          <w:rFonts w:eastAsia="Guttman Hodes"/>
          <w:rtl/>
        </w:rPr>
        <w:fldChar w:fldCharType="begin"/>
      </w:r>
      <w:r w:rsidRPr="00FF7289">
        <w:rPr>
          <w:rStyle w:val="af6"/>
          <w:rFonts w:eastAsia="Guttman Hodes"/>
          <w:rtl/>
        </w:rPr>
        <w:instrText xml:space="preserve"> </w:instrText>
      </w:r>
      <w:r w:rsidRPr="00FF7289">
        <w:rPr>
          <w:rStyle w:val="af6"/>
          <w:rFonts w:eastAsia="Guttman Hodes" w:hint="cs"/>
        </w:rPr>
        <w:instrText>REF</w:instrText>
      </w:r>
      <w:r w:rsidRPr="00FF7289">
        <w:rPr>
          <w:rStyle w:val="af6"/>
          <w:rFonts w:eastAsia="Guttman Hodes" w:hint="cs"/>
          <w:rtl/>
        </w:rPr>
        <w:instrText xml:space="preserve"> _</w:instrText>
      </w:r>
      <w:r w:rsidRPr="00FF7289">
        <w:rPr>
          <w:rStyle w:val="af6"/>
          <w:rFonts w:eastAsia="Guttman Hodes" w:hint="cs"/>
        </w:rPr>
        <w:instrText>Ref19789082 \r \h</w:instrText>
      </w:r>
      <w:r w:rsidRPr="00FF7289">
        <w:rPr>
          <w:rStyle w:val="af6"/>
          <w:rFonts w:eastAsia="Guttman Hodes"/>
          <w:rtl/>
        </w:rPr>
        <w:instrText xml:space="preserve"> </w:instrText>
      </w:r>
      <w:r w:rsidRPr="00FF7289">
        <w:rPr>
          <w:rStyle w:val="af6"/>
          <w:rFonts w:eastAsia="Guttman Hodes"/>
          <w:rtl/>
        </w:rPr>
      </w:r>
      <w:r w:rsidRPr="00FF7289">
        <w:rPr>
          <w:rStyle w:val="af6"/>
          <w:rFonts w:eastAsia="Guttman Hodes"/>
          <w:rtl/>
        </w:rPr>
        <w:fldChar w:fldCharType="separate"/>
      </w:r>
      <w:r w:rsidR="004D1C5B">
        <w:rPr>
          <w:rStyle w:val="af6"/>
          <w:rFonts w:eastAsia="Guttman Hodes"/>
          <w:cs/>
        </w:rPr>
        <w:t>‎</w:t>
      </w:r>
      <w:r w:rsidR="004D1C5B">
        <w:rPr>
          <w:rStyle w:val="af6"/>
          <w:rFonts w:eastAsia="Guttman Hodes"/>
          <w:rtl/>
        </w:rPr>
        <w:t>קיד)</w:t>
      </w:r>
      <w:r w:rsidRPr="00FF7289">
        <w:rPr>
          <w:rStyle w:val="af6"/>
          <w:rFonts w:eastAsia="Guttman Hodes"/>
          <w:rtl/>
        </w:rPr>
        <w:fldChar w:fldCharType="end"/>
      </w:r>
      <w:r>
        <w:rPr>
          <w:rFonts w:hint="cs"/>
          <w:rtl/>
        </w:rPr>
        <w:t>].</w:t>
      </w:r>
    </w:p>
    <w:p w:rsidR="00A82F1E" w:rsidRPr="00960749" w:rsidRDefault="00A82F1E" w:rsidP="00A82F1E">
      <w:pPr>
        <w:pStyle w:val="1"/>
        <w:rPr>
          <w:rtl/>
        </w:rPr>
      </w:pPr>
      <w:bookmarkStart w:id="10496" w:name="_Toc19618183"/>
      <w:bookmarkStart w:id="10497" w:name="_Toc19624461"/>
      <w:bookmarkStart w:id="10498" w:name="_Toc19651755"/>
      <w:bookmarkStart w:id="10499" w:name="_Toc19694927"/>
      <w:bookmarkStart w:id="10500" w:name="_Toc19738473"/>
      <w:bookmarkStart w:id="10501" w:name="_Toc19792303"/>
      <w:r>
        <w:rPr>
          <w:rFonts w:hint="cs"/>
          <w:rtl/>
        </w:rPr>
        <w:t>ביאור החזו"א בתוס' דלר"מ הוא כחנ"נ ולר"ש מותר באינו בעין</w:t>
      </w:r>
      <w:bookmarkEnd w:id="10496"/>
      <w:bookmarkEnd w:id="10497"/>
      <w:bookmarkEnd w:id="10498"/>
      <w:bookmarkEnd w:id="10499"/>
      <w:bookmarkEnd w:id="10500"/>
      <w:bookmarkEnd w:id="10501"/>
      <w:r>
        <w:rPr>
          <w:rFonts w:hint="cs"/>
          <w:rtl/>
        </w:rPr>
        <w:t xml:space="preserve"> </w:t>
      </w:r>
    </w:p>
    <w:p w:rsidR="00A82F1E" w:rsidRDefault="00A82F1E" w:rsidP="00A82F1E">
      <w:pPr>
        <w:pStyle w:val="a2"/>
        <w:rPr>
          <w:rtl/>
        </w:rPr>
      </w:pPr>
      <w:bookmarkStart w:id="10502" w:name="_Toc19618184"/>
      <w:bookmarkStart w:id="10503" w:name="_Toc19624462"/>
      <w:bookmarkStart w:id="10504" w:name="_Toc19651756"/>
      <w:bookmarkStart w:id="10505" w:name="_Toc19694928"/>
      <w:bookmarkStart w:id="10506" w:name="_Toc19738474"/>
      <w:bookmarkStart w:id="10507" w:name="_Toc19792304"/>
      <w:r>
        <w:rPr>
          <w:rFonts w:hint="cs"/>
          <w:rtl/>
        </w:rPr>
        <w:t>ביאור החזו"א דר"מ מודה דנבילה שאינה ראויה לגר מותרת ומודה לעיקר דין נטל"פ דמותר</w:t>
      </w:r>
      <w:bookmarkEnd w:id="10502"/>
      <w:bookmarkEnd w:id="10503"/>
      <w:bookmarkEnd w:id="10504"/>
      <w:bookmarkEnd w:id="10505"/>
      <w:bookmarkEnd w:id="10506"/>
      <w:bookmarkEnd w:id="10507"/>
    </w:p>
    <w:p w:rsidR="00A82F1E" w:rsidRDefault="00A82F1E" w:rsidP="009F44AF">
      <w:pPr>
        <w:pStyle w:val="a"/>
        <w:rPr>
          <w:rtl/>
        </w:rPr>
      </w:pPr>
      <w:r>
        <w:rPr>
          <w:rFonts w:hint="cs"/>
          <w:rtl/>
        </w:rPr>
        <w:t xml:space="preserve">וביאר </w:t>
      </w:r>
      <w:r w:rsidRPr="00B36FAE">
        <w:rPr>
          <w:rStyle w:val="af8"/>
          <w:rFonts w:hint="cs"/>
          <w:rtl/>
        </w:rPr>
        <w:t>החזו"א</w:t>
      </w:r>
      <w:r>
        <w:rPr>
          <w:rFonts w:hint="cs"/>
          <w:rtl/>
        </w:rPr>
        <w:t xml:space="preserve"> </w:t>
      </w:r>
      <w:r w:rsidRPr="00B36FAE">
        <w:rPr>
          <w:rStyle w:val="af6"/>
          <w:rFonts w:eastAsia="Guttman Hodes" w:hint="cs"/>
          <w:rtl/>
        </w:rPr>
        <w:t>(סי' ט"ו סק"ז</w:t>
      </w:r>
      <w:r>
        <w:rPr>
          <w:rStyle w:val="af6"/>
          <w:rFonts w:eastAsia="Guttman Hodes" w:hint="cs"/>
          <w:rtl/>
        </w:rPr>
        <w:t xml:space="preserve"> על תו</w:t>
      </w:r>
      <w:r w:rsidRPr="004F1CF4">
        <w:rPr>
          <w:rStyle w:val="af6"/>
          <w:rFonts w:eastAsia="Guttman Hodes" w:hint="cs"/>
          <w:rtl/>
        </w:rPr>
        <w:t xml:space="preserve">ד"ה </w:t>
      </w:r>
      <w:r>
        <w:rPr>
          <w:rStyle w:val="af6"/>
          <w:rFonts w:eastAsia="Guttman Hodes" w:hint="cs"/>
          <w:rtl/>
        </w:rPr>
        <w:t>אמר</w:t>
      </w:r>
      <w:r w:rsidRPr="00B36FAE">
        <w:rPr>
          <w:rStyle w:val="af6"/>
          <w:rFonts w:eastAsia="Guttman Hodes" w:hint="cs"/>
          <w:rtl/>
        </w:rPr>
        <w:t xml:space="preserve">, או"ח סי' קט"ז סק"ב) </w:t>
      </w:r>
      <w:r>
        <w:rPr>
          <w:rFonts w:hint="cs"/>
          <w:rtl/>
        </w:rPr>
        <w:t xml:space="preserve">את דברי </w:t>
      </w:r>
      <w:r w:rsidRPr="00B36FAE">
        <w:rPr>
          <w:rStyle w:val="af8"/>
          <w:rFonts w:hint="cs"/>
          <w:rtl/>
        </w:rPr>
        <w:t>התוס'</w:t>
      </w:r>
      <w:r>
        <w:rPr>
          <w:rFonts w:hint="cs"/>
          <w:rtl/>
        </w:rPr>
        <w:t xml:space="preserve"> דלעולא ר"מ ור"ש נחלקו בסברא, דר"מ מודה לר"ש דנבילה שאינה ראויה לגר מותרת, ולכן מודה ר"מ לר"ש בעיקר הדין דנותן טעם לפגם מותר, ולכן מתיר ר"מ בפגום מעיקרא.</w:t>
      </w:r>
    </w:p>
    <w:p w:rsidR="00A82F1E" w:rsidRPr="00F80B10" w:rsidRDefault="00A82F1E" w:rsidP="00A82F1E">
      <w:pPr>
        <w:pStyle w:val="a2"/>
        <w:rPr>
          <w:rtl/>
        </w:rPr>
      </w:pPr>
      <w:bookmarkStart w:id="10508" w:name="_Toc19618185"/>
      <w:bookmarkStart w:id="10509" w:name="_Toc19624463"/>
      <w:bookmarkStart w:id="10510" w:name="_Toc19651757"/>
      <w:bookmarkStart w:id="10511" w:name="_Toc19694929"/>
      <w:bookmarkStart w:id="10512" w:name="_Toc19738475"/>
      <w:bookmarkStart w:id="10513" w:name="_Toc19792305"/>
      <w:r>
        <w:rPr>
          <w:rFonts w:hint="cs"/>
          <w:rtl/>
        </w:rPr>
        <w:t>ביאור החזו"א דלר"מ אף דפגם לבסוף מ"מ האיסור עצמו עדיין אסור ודין התערובת כדין נבילה</w:t>
      </w:r>
      <w:bookmarkEnd w:id="10508"/>
      <w:bookmarkEnd w:id="10509"/>
      <w:bookmarkEnd w:id="10510"/>
      <w:bookmarkEnd w:id="10511"/>
      <w:bookmarkEnd w:id="10512"/>
      <w:bookmarkEnd w:id="10513"/>
    </w:p>
    <w:p w:rsidR="00A82F1E" w:rsidRDefault="00A82F1E" w:rsidP="009F44AF">
      <w:pPr>
        <w:pStyle w:val="a"/>
        <w:rPr>
          <w:rtl/>
        </w:rPr>
      </w:pPr>
      <w:r>
        <w:rPr>
          <w:rFonts w:hint="cs"/>
          <w:rtl/>
        </w:rPr>
        <w:t xml:space="preserve">והא דנחלקו ר"מ ור"ש בהשביח ולבסוף פגם, ביאר </w:t>
      </w:r>
      <w:r w:rsidRPr="00B36FAE">
        <w:rPr>
          <w:rStyle w:val="af8"/>
          <w:rFonts w:hint="cs"/>
          <w:rtl/>
        </w:rPr>
        <w:t>החזו"א</w:t>
      </w:r>
      <w:r>
        <w:rPr>
          <w:rFonts w:hint="cs"/>
          <w:rtl/>
        </w:rPr>
        <w:t xml:space="preserve"> דפליגי בגדר ההיתר בנותן טעם לפגם, דהא טעם האיסור עצמו אינו נפסל מאכילת אדם, ואם היה מוציא את האיסור מתוך התערובת, היה נשאר באיסורו, אלא דכלפי התערובת האיסור הוא מדין דין טעם כעיקר, ולכן כל שהאדם מצטער בטעם דינו כנבילה סרוחה, וכדביאר </w:t>
      </w:r>
      <w:r w:rsidRPr="00B36FAE">
        <w:rPr>
          <w:rStyle w:val="af8"/>
          <w:rFonts w:hint="cs"/>
          <w:rtl/>
        </w:rPr>
        <w:t>הר"ן</w:t>
      </w:r>
      <w:r>
        <w:rPr>
          <w:rFonts w:hint="cs"/>
          <w:rtl/>
        </w:rPr>
        <w:t xml:space="preserve"> </w:t>
      </w:r>
      <w:r w:rsidRPr="000B2890">
        <w:rPr>
          <w:rStyle w:val="af6"/>
          <w:rFonts w:eastAsia="Guttman Rashi" w:hint="cs"/>
          <w:rtl/>
        </w:rPr>
        <w:t>(סו: ד"ה כל, הובא לעיל סימן י"ב אות מ"</w:t>
      </w:r>
      <w:r>
        <w:rPr>
          <w:rStyle w:val="af6"/>
          <w:rFonts w:eastAsia="Guttman Rashi" w:hint="cs"/>
          <w:rtl/>
        </w:rPr>
        <w:t>ז</w:t>
      </w:r>
      <w:r w:rsidRPr="000B2890">
        <w:rPr>
          <w:rStyle w:val="af6"/>
          <w:rFonts w:eastAsia="Guttman Rashi" w:hint="cs"/>
          <w:rtl/>
        </w:rPr>
        <w:t>)</w:t>
      </w:r>
      <w:r>
        <w:rPr>
          <w:rFonts w:hint="cs"/>
          <w:rtl/>
        </w:rPr>
        <w:t xml:space="preserve">, וכתב </w:t>
      </w:r>
      <w:r w:rsidRPr="00B36FAE">
        <w:rPr>
          <w:rStyle w:val="af8"/>
          <w:rFonts w:hint="cs"/>
          <w:rtl/>
        </w:rPr>
        <w:t>החזו"א</w:t>
      </w:r>
      <w:r>
        <w:rPr>
          <w:rFonts w:hint="cs"/>
          <w:rtl/>
        </w:rPr>
        <w:t xml:space="preserve"> דס"ל לר"מ דבפגם ולבסוף השביח אסור, כיון שבשעה שהשביח חל על התערובת איסור מדין טעם כעיקר, ולכן א"א להתיר את התערובת כל שהיא ראויה לגר, כדין נבילה שאסורה כל שהיא ראויה לגר, אבל במה שהאיסור עכשיו נעשה פגום, אינו נפסל בזה מאכילה, אלא שאינו משביח את התערובת, ולכן א"א להתיר את התערובת כדין נבילה, דהרי האיסור עצמו, עדיין אסור לכו"ע.</w:t>
      </w:r>
    </w:p>
    <w:p w:rsidR="00A82F1E" w:rsidRDefault="00A82F1E" w:rsidP="00A82F1E">
      <w:pPr>
        <w:pStyle w:val="a2"/>
        <w:rPr>
          <w:rtl/>
        </w:rPr>
      </w:pPr>
      <w:bookmarkStart w:id="10514" w:name="_Toc19618186"/>
      <w:bookmarkStart w:id="10515" w:name="_Toc19624464"/>
      <w:bookmarkStart w:id="10516" w:name="_Toc19651758"/>
      <w:bookmarkStart w:id="10517" w:name="_Toc19694930"/>
      <w:bookmarkStart w:id="10518" w:name="_Toc19738476"/>
      <w:bookmarkStart w:id="10519" w:name="_Toc19792306"/>
      <w:r>
        <w:rPr>
          <w:rFonts w:hint="cs"/>
          <w:rtl/>
        </w:rPr>
        <w:t>ביאור החזו"א בר"ש דכיון שהאיסור אינו בעין והאיסור הוא מדין טע"כ כל שעכשיו</w:t>
      </w:r>
      <w:r w:rsidRPr="00F02961">
        <w:rPr>
          <w:rFonts w:hint="cs"/>
          <w:rtl/>
        </w:rPr>
        <w:t xml:space="preserve"> </w:t>
      </w:r>
      <w:r>
        <w:rPr>
          <w:rFonts w:hint="cs"/>
          <w:rtl/>
        </w:rPr>
        <w:t>פגום מותר</w:t>
      </w:r>
      <w:bookmarkEnd w:id="10514"/>
      <w:bookmarkEnd w:id="10515"/>
      <w:bookmarkEnd w:id="10516"/>
      <w:bookmarkEnd w:id="10517"/>
      <w:bookmarkEnd w:id="10518"/>
      <w:bookmarkEnd w:id="10519"/>
    </w:p>
    <w:p w:rsidR="00A82F1E" w:rsidRDefault="00A82F1E" w:rsidP="009F44AF">
      <w:pPr>
        <w:pStyle w:val="a"/>
        <w:rPr>
          <w:rtl/>
        </w:rPr>
      </w:pPr>
      <w:bookmarkStart w:id="10520" w:name="_Ref19734187"/>
      <w:r>
        <w:rPr>
          <w:rFonts w:hint="cs"/>
          <w:rtl/>
        </w:rPr>
        <w:t xml:space="preserve">ובדעת ר"ש דמתיר בהשביח ולבסוף פגם, ביאר </w:t>
      </w:r>
      <w:r w:rsidRPr="00B36FAE">
        <w:rPr>
          <w:rStyle w:val="af8"/>
          <w:rFonts w:hint="cs"/>
          <w:rtl/>
        </w:rPr>
        <w:t>החזו"א</w:t>
      </w:r>
      <w:r>
        <w:rPr>
          <w:rFonts w:hint="cs"/>
          <w:rtl/>
        </w:rPr>
        <w:t xml:space="preserve"> דס"ל דכיון שהאיסור עצמו אינו בעין, וכל האיסור בתערובת הוא מדין טעם כעיקר, ולכן כל שעכשיו הטעם פגום, אין בו איסור טעם כעיקר.</w:t>
      </w:r>
      <w:bookmarkEnd w:id="10520"/>
    </w:p>
    <w:p w:rsidR="00A82F1E" w:rsidRPr="00597594" w:rsidRDefault="00A82F1E" w:rsidP="00E669F8">
      <w:pPr>
        <w:pStyle w:val="afd"/>
        <w:rPr>
          <w:rtl/>
        </w:rPr>
      </w:pPr>
      <w:bookmarkStart w:id="10521" w:name="_Toc19738477"/>
      <w:bookmarkStart w:id="10522" w:name="_Toc19792307"/>
      <w:r>
        <w:rPr>
          <w:rFonts w:hint="cs"/>
          <w:rtl/>
        </w:rPr>
        <w:t>ביאור הר"ן בדברי עולא</w:t>
      </w:r>
      <w:bookmarkEnd w:id="10521"/>
      <w:bookmarkEnd w:id="10522"/>
    </w:p>
    <w:p w:rsidR="00A82F1E" w:rsidRDefault="00A82F1E" w:rsidP="00A82F1E">
      <w:pPr>
        <w:pStyle w:val="1"/>
        <w:rPr>
          <w:rtl/>
        </w:rPr>
      </w:pPr>
      <w:bookmarkStart w:id="10523" w:name="_Toc19618187"/>
      <w:bookmarkStart w:id="10524" w:name="_Toc19624465"/>
      <w:bookmarkStart w:id="10525" w:name="_Toc19651759"/>
      <w:bookmarkStart w:id="10526" w:name="_Toc19694931"/>
      <w:bookmarkStart w:id="10527" w:name="_Toc19738478"/>
      <w:bookmarkStart w:id="10528" w:name="_Toc19792308"/>
      <w:r>
        <w:rPr>
          <w:rFonts w:hint="cs"/>
          <w:rtl/>
        </w:rPr>
        <w:t>קושית הר"ן דלעולא א"א לומר דנחלקו בילפותא מגיעולי עכו"ם</w:t>
      </w:r>
      <w:bookmarkEnd w:id="10523"/>
      <w:bookmarkEnd w:id="10524"/>
      <w:bookmarkEnd w:id="10525"/>
      <w:bookmarkEnd w:id="10526"/>
      <w:bookmarkEnd w:id="10527"/>
      <w:bookmarkEnd w:id="10528"/>
    </w:p>
    <w:p w:rsidR="00A82F1E" w:rsidRDefault="00A82F1E" w:rsidP="00A82F1E">
      <w:pPr>
        <w:pStyle w:val="a2"/>
        <w:rPr>
          <w:rtl/>
        </w:rPr>
      </w:pPr>
      <w:bookmarkStart w:id="10529" w:name="_Toc19618188"/>
      <w:bookmarkStart w:id="10530" w:name="_Toc19624466"/>
      <w:bookmarkStart w:id="10531" w:name="_Toc19651760"/>
      <w:bookmarkStart w:id="10532" w:name="_Toc19694932"/>
      <w:bookmarkStart w:id="10533" w:name="_Toc19738479"/>
      <w:bookmarkStart w:id="10534" w:name="_Toc19792309"/>
      <w:r>
        <w:rPr>
          <w:rFonts w:hint="cs"/>
          <w:rtl/>
        </w:rPr>
        <w:t>דברי הר"ן דלעולא מוכח דלכו"ע אסרה תורה בבת יומא והיתר נטל"פ לא נלמד מגיעולי עכו"ם</w:t>
      </w:r>
      <w:bookmarkEnd w:id="10529"/>
      <w:bookmarkEnd w:id="10530"/>
      <w:bookmarkEnd w:id="10531"/>
      <w:bookmarkEnd w:id="10532"/>
      <w:bookmarkEnd w:id="10533"/>
      <w:bookmarkEnd w:id="10534"/>
    </w:p>
    <w:p w:rsidR="00A82F1E" w:rsidRDefault="00A82F1E" w:rsidP="009F44AF">
      <w:pPr>
        <w:pStyle w:val="a"/>
        <w:rPr>
          <w:rtl/>
        </w:rPr>
      </w:pPr>
      <w:r>
        <w:rPr>
          <w:rFonts w:hint="cs"/>
          <w:rtl/>
        </w:rPr>
        <w:t>כתב</w:t>
      </w:r>
      <w:r w:rsidRPr="00010543">
        <w:rPr>
          <w:rFonts w:hint="cs"/>
          <w:rtl/>
        </w:rPr>
        <w:t xml:space="preserve"> </w:t>
      </w:r>
      <w:r w:rsidRPr="00346115">
        <w:rPr>
          <w:rStyle w:val="af8"/>
          <w:rFonts w:hint="cs"/>
          <w:rtl/>
        </w:rPr>
        <w:t>הר"ן בחי'</w:t>
      </w:r>
      <w:r w:rsidRPr="00010543">
        <w:rPr>
          <w:rFonts w:hint="cs"/>
          <w:rtl/>
        </w:rPr>
        <w:t xml:space="preserve"> </w:t>
      </w:r>
      <w:r w:rsidRPr="00346115">
        <w:rPr>
          <w:rStyle w:val="af6"/>
          <w:rFonts w:eastAsia="Guttman Hodes" w:hint="cs"/>
          <w:rtl/>
        </w:rPr>
        <w:t>(ד"ה אמר עולא)</w:t>
      </w:r>
      <w:r w:rsidRPr="00010543">
        <w:rPr>
          <w:rFonts w:hint="cs"/>
          <w:rtl/>
        </w:rPr>
        <w:t xml:space="preserve"> דלדעת עולא א"א לומר דלמ"ד דנותן טעם לפגם אסור, ילפינן מגיעולי עכו"ם, דהא אי הילפותא היא מגיעולי עכו"ם, א"כ אף בפגום </w:t>
      </w:r>
      <w:r>
        <w:rPr>
          <w:rFonts w:hint="cs"/>
          <w:rtl/>
        </w:rPr>
        <w:t>מעיקרא</w:t>
      </w:r>
      <w:r w:rsidRPr="00010543">
        <w:rPr>
          <w:rFonts w:hint="cs"/>
          <w:rtl/>
        </w:rPr>
        <w:t xml:space="preserve"> צריך לאסור, דהרי גיעולי עכו"ם פוגמים את התבשיל </w:t>
      </w:r>
      <w:r>
        <w:rPr>
          <w:rFonts w:hint="cs"/>
          <w:rtl/>
        </w:rPr>
        <w:t>מעיקרא</w:t>
      </w:r>
      <w:r w:rsidRPr="00010543">
        <w:rPr>
          <w:rFonts w:hint="cs"/>
          <w:rtl/>
        </w:rPr>
        <w:t xml:space="preserve">, </w:t>
      </w:r>
      <w:r>
        <w:rPr>
          <w:rFonts w:hint="cs"/>
          <w:rtl/>
        </w:rPr>
        <w:t>ו</w:t>
      </w:r>
      <w:r w:rsidRPr="00010543">
        <w:rPr>
          <w:rFonts w:hint="cs"/>
          <w:rtl/>
        </w:rPr>
        <w:t xml:space="preserve">כתב </w:t>
      </w:r>
      <w:r w:rsidRPr="00346115">
        <w:rPr>
          <w:rStyle w:val="af8"/>
          <w:rFonts w:hint="cs"/>
          <w:rtl/>
        </w:rPr>
        <w:t>הר"ן</w:t>
      </w:r>
      <w:r w:rsidRPr="00010543">
        <w:rPr>
          <w:rFonts w:hint="cs"/>
          <w:rtl/>
        </w:rPr>
        <w:t xml:space="preserve"> ד</w:t>
      </w:r>
      <w:r>
        <w:rPr>
          <w:rFonts w:hint="cs"/>
          <w:rtl/>
        </w:rPr>
        <w:t xml:space="preserve">א"כ </w:t>
      </w:r>
      <w:r w:rsidRPr="00010543">
        <w:rPr>
          <w:rFonts w:hint="cs"/>
          <w:rtl/>
        </w:rPr>
        <w:t>מוכח דלדעת עולא לכו"ע אסרה תורה רק בקדירה בת יומא, ו</w:t>
      </w:r>
      <w:r>
        <w:rPr>
          <w:rFonts w:hint="cs"/>
          <w:rtl/>
        </w:rPr>
        <w:t>ב</w:t>
      </w:r>
      <w:r w:rsidRPr="00010543">
        <w:rPr>
          <w:rFonts w:hint="cs"/>
          <w:rtl/>
        </w:rPr>
        <w:t xml:space="preserve">גיעולי עכו"ם אינו פגום </w:t>
      </w:r>
      <w:r>
        <w:rPr>
          <w:rFonts w:hint="cs"/>
          <w:rtl/>
        </w:rPr>
        <w:t>מעיקרא.</w:t>
      </w:r>
    </w:p>
    <w:p w:rsidR="00A82F1E" w:rsidRPr="00C477B9" w:rsidRDefault="00A82F1E" w:rsidP="00A82F1E">
      <w:pPr>
        <w:pStyle w:val="a2"/>
      </w:pPr>
      <w:bookmarkStart w:id="10535" w:name="_Toc19618189"/>
      <w:bookmarkStart w:id="10536" w:name="_Toc19624467"/>
      <w:bookmarkStart w:id="10537" w:name="_Toc19651761"/>
      <w:bookmarkStart w:id="10538" w:name="_Toc19694933"/>
      <w:bookmarkStart w:id="10539" w:name="_Toc19738480"/>
      <w:bookmarkStart w:id="10540" w:name="_Toc19792310"/>
      <w:r>
        <w:rPr>
          <w:rFonts w:hint="cs"/>
          <w:rtl/>
        </w:rPr>
        <w:t>קושית הר"ן במה נחלקו בהשביח ולבסוף פגם הא א"א להעמיד דנחלקו בילפותא מגיעולי עכו"ם</w:t>
      </w:r>
      <w:bookmarkEnd w:id="10535"/>
      <w:bookmarkEnd w:id="10536"/>
      <w:bookmarkEnd w:id="10537"/>
      <w:bookmarkEnd w:id="10538"/>
      <w:bookmarkEnd w:id="10539"/>
      <w:bookmarkEnd w:id="10540"/>
    </w:p>
    <w:p w:rsidR="00A82F1E" w:rsidRDefault="00A82F1E" w:rsidP="009F44AF">
      <w:pPr>
        <w:pStyle w:val="a"/>
        <w:rPr>
          <w:rtl/>
        </w:rPr>
      </w:pPr>
      <w:bookmarkStart w:id="10541" w:name="_Ref20165692"/>
      <w:r>
        <w:rPr>
          <w:rFonts w:hint="cs"/>
          <w:rtl/>
        </w:rPr>
        <w:t>ו</w:t>
      </w:r>
      <w:r w:rsidRPr="00010543">
        <w:rPr>
          <w:rFonts w:hint="cs"/>
          <w:rtl/>
        </w:rPr>
        <w:t xml:space="preserve">הקשה </w:t>
      </w:r>
      <w:r w:rsidRPr="00346115">
        <w:rPr>
          <w:rStyle w:val="af8"/>
          <w:rFonts w:hint="cs"/>
          <w:rtl/>
        </w:rPr>
        <w:t>הר"ן</w:t>
      </w:r>
      <w:r w:rsidRPr="00C477B9">
        <w:rPr>
          <w:rStyle w:val="af8"/>
          <w:rFonts w:hint="cs"/>
          <w:rtl/>
        </w:rPr>
        <w:t xml:space="preserve"> </w:t>
      </w:r>
      <w:r w:rsidRPr="00346115">
        <w:rPr>
          <w:rStyle w:val="af8"/>
          <w:rFonts w:hint="cs"/>
          <w:rtl/>
        </w:rPr>
        <w:t>בחי'</w:t>
      </w:r>
      <w:r w:rsidRPr="00010543">
        <w:rPr>
          <w:rFonts w:hint="cs"/>
          <w:rtl/>
        </w:rPr>
        <w:t xml:space="preserve"> דא"כ במה נחלקו בהשביח ולבסוף פגם, דכל מה שביארה הגמ' בדעת ר"מ ובדעת ר"ש</w:t>
      </w:r>
      <w:r>
        <w:rPr>
          <w:rFonts w:hint="cs"/>
          <w:rtl/>
        </w:rPr>
        <w:t>, דנחלקו אי בגיעולי עכו"ם הוא נותן טעם לפגם או לא,</w:t>
      </w:r>
      <w:r w:rsidRPr="00010543">
        <w:rPr>
          <w:rFonts w:hint="cs"/>
          <w:rtl/>
        </w:rPr>
        <w:t xml:space="preserve"> א"א להעמידו אליבא דעולא.</w:t>
      </w:r>
      <w:bookmarkEnd w:id="10541"/>
    </w:p>
    <w:p w:rsidR="00A82F1E" w:rsidRDefault="00A82F1E" w:rsidP="00A82F1E">
      <w:pPr>
        <w:pStyle w:val="1"/>
        <w:rPr>
          <w:rtl/>
        </w:rPr>
      </w:pPr>
      <w:bookmarkStart w:id="10542" w:name="_Toc19618190"/>
      <w:bookmarkStart w:id="10543" w:name="_Toc19624468"/>
      <w:bookmarkStart w:id="10544" w:name="_Toc19651762"/>
      <w:bookmarkStart w:id="10545" w:name="_Toc19694934"/>
      <w:bookmarkStart w:id="10546" w:name="_Toc19738481"/>
      <w:bookmarkStart w:id="10547" w:name="_Toc19792311"/>
      <w:r>
        <w:rPr>
          <w:rFonts w:hint="cs"/>
          <w:rtl/>
        </w:rPr>
        <w:t>ביאור הר"ן בעולא דנח' אי ילפינן השביח ולבסוף פגם מנבילה</w:t>
      </w:r>
      <w:bookmarkEnd w:id="10542"/>
      <w:bookmarkEnd w:id="10543"/>
      <w:bookmarkEnd w:id="10544"/>
      <w:bookmarkEnd w:id="10545"/>
      <w:bookmarkEnd w:id="10546"/>
      <w:bookmarkEnd w:id="10547"/>
    </w:p>
    <w:p w:rsidR="00A82F1E" w:rsidRDefault="00A82F1E" w:rsidP="00A82F1E">
      <w:pPr>
        <w:pStyle w:val="a2"/>
        <w:rPr>
          <w:rtl/>
        </w:rPr>
      </w:pPr>
      <w:bookmarkStart w:id="10548" w:name="_Toc19618191"/>
      <w:bookmarkStart w:id="10549" w:name="_Toc19624469"/>
      <w:bookmarkStart w:id="10550" w:name="_Toc19651763"/>
      <w:bookmarkStart w:id="10551" w:name="_Toc19694935"/>
      <w:bookmarkStart w:id="10552" w:name="_Toc19738482"/>
      <w:bookmarkStart w:id="10553" w:name="_Toc19792312"/>
      <w:r>
        <w:rPr>
          <w:rFonts w:hint="cs"/>
          <w:rtl/>
        </w:rPr>
        <w:t>ביאור הר"ן דלעולא לכו"ע היתר נבילה אף במשובחת ונפגמה ולר"ש ה"ה בהשביח ולבסוף פגם</w:t>
      </w:r>
      <w:bookmarkEnd w:id="10548"/>
      <w:bookmarkEnd w:id="10549"/>
      <w:bookmarkEnd w:id="10550"/>
      <w:bookmarkEnd w:id="10551"/>
      <w:bookmarkEnd w:id="10552"/>
      <w:bookmarkEnd w:id="10553"/>
    </w:p>
    <w:p w:rsidR="00A82F1E" w:rsidRPr="00346115" w:rsidRDefault="00A82F1E" w:rsidP="009F44AF">
      <w:pPr>
        <w:pStyle w:val="a"/>
        <w:rPr>
          <w:rStyle w:val="afa"/>
          <w:rtl/>
        </w:rPr>
      </w:pPr>
      <w:bookmarkStart w:id="10554" w:name="_Ref19702045"/>
      <w:r w:rsidRPr="009C4702">
        <w:rPr>
          <w:rFonts w:hint="cs"/>
          <w:rtl/>
        </w:rPr>
        <w:t xml:space="preserve">ותירץ </w:t>
      </w:r>
      <w:r w:rsidRPr="00346115">
        <w:rPr>
          <w:rStyle w:val="af8"/>
          <w:rFonts w:hint="cs"/>
          <w:rtl/>
        </w:rPr>
        <w:t>הר"ן בחי'</w:t>
      </w:r>
      <w:r>
        <w:rPr>
          <w:rFonts w:hint="cs"/>
          <w:rtl/>
        </w:rPr>
        <w:t xml:space="preserve"> </w:t>
      </w:r>
      <w:r w:rsidRPr="009C4702">
        <w:rPr>
          <w:rFonts w:hint="cs"/>
          <w:rtl/>
        </w:rPr>
        <w:t>דלדעת עולא בין לר"מ ובין לר"ש, התירה תורה בנבילה אף במשובחת ולבסוף נפגמה, ולא רק בסרוחה מעיקרא, ור"ש ס"ל דכמו דבנבילה אף שחל עליה כבר איסור כשהייתה משובחת, מ"מ כשנפסלה מאכילה הותרה, ה"ה בהשביח ולבסוף פגם בתערובת, דאף שחל עליו איסור בתחילה כשהיה משובח, מ"מ כשנפגם לבסוף הותר</w:t>
      </w:r>
      <w:r>
        <w:rPr>
          <w:rFonts w:hint="cs"/>
          <w:rtl/>
        </w:rPr>
        <w:t>.</w:t>
      </w:r>
      <w:r w:rsidRPr="009C4702">
        <w:rPr>
          <w:rFonts w:hint="cs"/>
          <w:rtl/>
        </w:rPr>
        <w:t xml:space="preserve"> </w:t>
      </w:r>
      <w:r w:rsidRPr="00346115">
        <w:rPr>
          <w:rStyle w:val="afa"/>
          <w:rFonts w:hint="cs"/>
          <w:rtl/>
        </w:rPr>
        <w:t xml:space="preserve">[והוסיף </w:t>
      </w:r>
      <w:r w:rsidRPr="00B14AF6">
        <w:rPr>
          <w:rStyle w:val="affa"/>
          <w:rFonts w:hint="cs"/>
          <w:rtl/>
        </w:rPr>
        <w:t>הר"ן</w:t>
      </w:r>
      <w:r w:rsidRPr="00346115">
        <w:rPr>
          <w:rStyle w:val="afa"/>
          <w:rFonts w:hint="cs"/>
          <w:rtl/>
        </w:rPr>
        <w:t xml:space="preserve"> דאעפ"י דבנבילה ההיתר הוא כשאינה ראויה לגר, ובנותן טעם לפגם ההיתר הוא בפגום במקצת, מ"מ ציין </w:t>
      </w:r>
      <w:r w:rsidRPr="00B14AF6">
        <w:rPr>
          <w:rStyle w:val="affa"/>
          <w:rFonts w:hint="cs"/>
          <w:rtl/>
        </w:rPr>
        <w:t>הר"ן</w:t>
      </w:r>
      <w:r w:rsidRPr="00346115">
        <w:rPr>
          <w:rStyle w:val="afa"/>
          <w:rFonts w:hint="cs"/>
          <w:rtl/>
        </w:rPr>
        <w:t xml:space="preserve"> לדבריו </w:t>
      </w:r>
      <w:r w:rsidRPr="00B14AF6">
        <w:rPr>
          <w:rStyle w:val="aff6"/>
          <w:rFonts w:hint="cs"/>
          <w:rtl/>
        </w:rPr>
        <w:t>(סו: ד"ה כל, הובא לעיל סימן י"ב אות מ"</w:t>
      </w:r>
      <w:r>
        <w:rPr>
          <w:rStyle w:val="aff6"/>
          <w:rFonts w:hint="cs"/>
          <w:rtl/>
        </w:rPr>
        <w:t>ז</w:t>
      </w:r>
      <w:r w:rsidRPr="00B14AF6">
        <w:rPr>
          <w:rStyle w:val="aff6"/>
          <w:rFonts w:hint="cs"/>
          <w:rtl/>
        </w:rPr>
        <w:t xml:space="preserve">) </w:t>
      </w:r>
      <w:r w:rsidRPr="00346115">
        <w:rPr>
          <w:rStyle w:val="afa"/>
          <w:rFonts w:hint="cs"/>
          <w:rtl/>
        </w:rPr>
        <w:t>דביאר דכיון שאין בתערובת את ממשו של האיסור, ויש בו רק את טעמו, כל שהטעם פוגם את ההיתר במקצת, ראוי להתירו כמו נבילה שאינה ראויה לגר כלל, כיון שאינו נהנה מהאיסור].</w:t>
      </w:r>
      <w:bookmarkEnd w:id="10554"/>
    </w:p>
    <w:p w:rsidR="00A82F1E" w:rsidRDefault="00A82F1E" w:rsidP="00A82F1E">
      <w:pPr>
        <w:pStyle w:val="a2"/>
        <w:rPr>
          <w:rtl/>
        </w:rPr>
      </w:pPr>
      <w:bookmarkStart w:id="10555" w:name="_Toc19738483"/>
      <w:bookmarkStart w:id="10556" w:name="_Toc19792313"/>
      <w:bookmarkStart w:id="10557" w:name="_Toc19618192"/>
      <w:bookmarkStart w:id="10558" w:name="_Toc19624470"/>
      <w:bookmarkStart w:id="10559" w:name="_Toc19651764"/>
      <w:bookmarkStart w:id="10560" w:name="_Toc19694936"/>
      <w:r>
        <w:rPr>
          <w:rFonts w:hint="cs"/>
          <w:rtl/>
        </w:rPr>
        <w:t>ביאור הר"ן דלר"מ הילפותא מנבילה לנטל"פ הוא רק בפגום מעיקרא דהוא כאינה ראויה לגר</w:t>
      </w:r>
      <w:bookmarkEnd w:id="10555"/>
      <w:bookmarkEnd w:id="10556"/>
    </w:p>
    <w:p w:rsidR="00A82F1E" w:rsidRDefault="00A82F1E" w:rsidP="009F44AF">
      <w:pPr>
        <w:pStyle w:val="a"/>
        <w:rPr>
          <w:rtl/>
        </w:rPr>
      </w:pPr>
      <w:r>
        <w:rPr>
          <w:rFonts w:hint="cs"/>
          <w:rtl/>
        </w:rPr>
        <w:t xml:space="preserve">ובדעת ר"מ אליבא דעולא דמתיר רק בפגום מעיקרא, ביאר </w:t>
      </w:r>
      <w:r w:rsidRPr="00780FDF">
        <w:rPr>
          <w:rStyle w:val="af8"/>
          <w:rFonts w:hint="cs"/>
          <w:rtl/>
        </w:rPr>
        <w:t>הר"ן בחי'</w:t>
      </w:r>
      <w:r>
        <w:rPr>
          <w:rFonts w:hint="cs"/>
          <w:rtl/>
        </w:rPr>
        <w:t xml:space="preserve"> דכיון דההיתר בנבילה הוא רק כשאינה ראויה לגר, לכן אפשר ללמוד מזה לנותן טעם לפגם בתערובת, רק בפגום מעיקרא, דאף דהוא פגום במקצת ואינו פגם גמור, כמו בנבילה שאינה ראויה לגר, מ"מ כיון שהוא פגום מעיקרא, ולא היה כל שבח בתבשיל מחמת טעם האיסור, אלא אדרבה האיסור פוגם את ההיתר, לכן ס"ל לר"מ דאפשר להתירו, דאעפ"י דהוא ראוי לאכילה, מ"מ אינו נהנה מהאיסור.</w:t>
      </w:r>
    </w:p>
    <w:p w:rsidR="00A82F1E" w:rsidRPr="005D6815" w:rsidRDefault="00A82F1E" w:rsidP="00A82F1E">
      <w:pPr>
        <w:pStyle w:val="a2"/>
      </w:pPr>
      <w:bookmarkStart w:id="10561" w:name="_Toc19738484"/>
      <w:bookmarkStart w:id="10562" w:name="_Toc19792314"/>
      <w:bookmarkStart w:id="10563" w:name="_Toc19618193"/>
      <w:bookmarkStart w:id="10564" w:name="_Toc19624471"/>
      <w:bookmarkStart w:id="10565" w:name="_Toc19651765"/>
      <w:bookmarkStart w:id="10566" w:name="_Toc19694937"/>
      <w:r w:rsidRPr="005D6815">
        <w:rPr>
          <w:rFonts w:hint="cs"/>
          <w:rtl/>
        </w:rPr>
        <w:t>ביאור הר"ן דלר"מ השביח ולבסוף פגם כיון שחל איסור א"א להתירו כנבילה שראויה לגר</w:t>
      </w:r>
      <w:bookmarkEnd w:id="10561"/>
      <w:bookmarkEnd w:id="10562"/>
    </w:p>
    <w:p w:rsidR="00A82F1E" w:rsidRPr="007D4983" w:rsidRDefault="00A82F1E" w:rsidP="009F44AF">
      <w:pPr>
        <w:pStyle w:val="a"/>
      </w:pPr>
      <w:bookmarkStart w:id="10567" w:name="_Ref19794479"/>
      <w:bookmarkStart w:id="10568" w:name="_Ref19702104"/>
      <w:bookmarkEnd w:id="10563"/>
      <w:bookmarkEnd w:id="10564"/>
      <w:bookmarkEnd w:id="10565"/>
      <w:bookmarkEnd w:id="10566"/>
      <w:r>
        <w:rPr>
          <w:rFonts w:hint="cs"/>
          <w:rtl/>
        </w:rPr>
        <w:t xml:space="preserve">אבל בהשביח ולבסוף פגם, ביאר </w:t>
      </w:r>
      <w:r w:rsidRPr="00780FDF">
        <w:rPr>
          <w:rStyle w:val="af8"/>
          <w:rFonts w:hint="cs"/>
          <w:rtl/>
        </w:rPr>
        <w:t xml:space="preserve">הר"ן בחי' </w:t>
      </w:r>
      <w:r>
        <w:rPr>
          <w:rFonts w:hint="cs"/>
          <w:rtl/>
        </w:rPr>
        <w:t xml:space="preserve">דס"ל לר"מ אליבא דעולא, דכיון </w:t>
      </w:r>
      <w:r w:rsidRPr="005B0ED2">
        <w:rPr>
          <w:rFonts w:hint="cs"/>
          <w:rtl/>
        </w:rPr>
        <w:t xml:space="preserve">דנאסר התבשיל בשעה שהשביח, וחשיב כנבילה, ולכן אחר שחל עליו איסור אינו מותר כשנפגם כ"ז שהוא ראוי לגר, דדינו כנבילה, שאף שנפגמה היא עדיין אסורה כ"ז שהיא </w:t>
      </w:r>
      <w:r w:rsidRPr="007D4983">
        <w:rPr>
          <w:rFonts w:hint="cs"/>
          <w:rtl/>
        </w:rPr>
        <w:t>ראויה לגר.</w:t>
      </w:r>
      <w:bookmarkEnd w:id="10567"/>
      <w:r w:rsidRPr="007D4983">
        <w:rPr>
          <w:rFonts w:hint="cs"/>
          <w:rtl/>
        </w:rPr>
        <w:t xml:space="preserve"> [</w:t>
      </w:r>
      <w:r>
        <w:rPr>
          <w:rFonts w:hint="cs"/>
          <w:rtl/>
        </w:rPr>
        <w:t xml:space="preserve">וכן ביאר </w:t>
      </w:r>
      <w:r w:rsidRPr="009E0D8A">
        <w:rPr>
          <w:rStyle w:val="af8"/>
          <w:rFonts w:hint="cs"/>
          <w:rtl/>
        </w:rPr>
        <w:t>הר"ן</w:t>
      </w:r>
      <w:r>
        <w:rPr>
          <w:rFonts w:hint="cs"/>
          <w:rtl/>
        </w:rPr>
        <w:t xml:space="preserve"> </w:t>
      </w:r>
      <w:r w:rsidRPr="009E0D8A">
        <w:rPr>
          <w:rStyle w:val="af6"/>
          <w:rFonts w:eastAsia="Guttman Hodes" w:hint="cs"/>
          <w:rtl/>
        </w:rPr>
        <w:t xml:space="preserve">(עי' אות </w:t>
      </w:r>
      <w:r w:rsidRPr="009E0D8A">
        <w:rPr>
          <w:rStyle w:val="af6"/>
          <w:rFonts w:eastAsia="Guttman Hodes"/>
          <w:rtl/>
        </w:rPr>
        <w:fldChar w:fldCharType="begin"/>
      </w:r>
      <w:r w:rsidRPr="009E0D8A">
        <w:rPr>
          <w:rStyle w:val="af6"/>
          <w:rFonts w:eastAsia="Guttman Hodes"/>
          <w:rtl/>
        </w:rPr>
        <w:instrText xml:space="preserve"> </w:instrText>
      </w:r>
      <w:r w:rsidRPr="009E0D8A">
        <w:rPr>
          <w:rStyle w:val="af6"/>
          <w:rFonts w:eastAsia="Guttman Hodes" w:hint="cs"/>
        </w:rPr>
        <w:instrText>REF</w:instrText>
      </w:r>
      <w:r w:rsidRPr="009E0D8A">
        <w:rPr>
          <w:rStyle w:val="af6"/>
          <w:rFonts w:eastAsia="Guttman Hodes" w:hint="cs"/>
          <w:rtl/>
        </w:rPr>
        <w:instrText xml:space="preserve"> _</w:instrText>
      </w:r>
      <w:r w:rsidRPr="009E0D8A">
        <w:rPr>
          <w:rStyle w:val="af6"/>
          <w:rFonts w:eastAsia="Guttman Hodes" w:hint="cs"/>
        </w:rPr>
        <w:instrText>Ref19457440 \r \h</w:instrText>
      </w:r>
      <w:r w:rsidRPr="009E0D8A">
        <w:rPr>
          <w:rStyle w:val="af6"/>
          <w:rFonts w:eastAsia="Guttman Hodes"/>
          <w:rtl/>
        </w:rPr>
        <w:instrText xml:space="preserve"> </w:instrText>
      </w:r>
      <w:r w:rsidRPr="009E0D8A">
        <w:rPr>
          <w:rStyle w:val="af6"/>
          <w:rFonts w:eastAsia="Guttman Hodes"/>
          <w:rtl/>
        </w:rPr>
      </w:r>
      <w:r w:rsidRPr="009E0D8A">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9E0D8A">
        <w:rPr>
          <w:rStyle w:val="af6"/>
          <w:rFonts w:eastAsia="Guttman Hodes"/>
          <w:rtl/>
        </w:rPr>
        <w:fldChar w:fldCharType="end"/>
      </w:r>
      <w:r>
        <w:rPr>
          <w:rFonts w:hint="cs"/>
          <w:rtl/>
        </w:rPr>
        <w:t xml:space="preserve"> בדעת ריו"ח דלכו"ע אסור בהשביח ולבסוף פגם</w:t>
      </w:r>
      <w:r w:rsidRPr="007D4983">
        <w:rPr>
          <w:rFonts w:hint="cs"/>
          <w:rtl/>
        </w:rPr>
        <w:t>]</w:t>
      </w:r>
      <w:r>
        <w:rPr>
          <w:rFonts w:hint="cs"/>
          <w:rtl/>
        </w:rPr>
        <w:t>.</w:t>
      </w:r>
    </w:p>
    <w:p w:rsidR="00A82F1E" w:rsidRPr="005D6815" w:rsidRDefault="00A82F1E" w:rsidP="00A82F1E">
      <w:pPr>
        <w:pStyle w:val="a2"/>
      </w:pPr>
      <w:bookmarkStart w:id="10569" w:name="_Toc19738485"/>
      <w:bookmarkStart w:id="10570" w:name="_Toc19792315"/>
      <w:r w:rsidRPr="005D6815">
        <w:rPr>
          <w:rFonts w:hint="cs"/>
          <w:rtl/>
        </w:rPr>
        <w:t>דברי הר"ן דאף דהאיסור הוא מדין טע"כ ואין איסור בנטל"פ מ"מ כיון שנאסר דינו כנבילה</w:t>
      </w:r>
      <w:bookmarkEnd w:id="10569"/>
      <w:bookmarkEnd w:id="10570"/>
    </w:p>
    <w:p w:rsidR="00A82F1E" w:rsidRPr="00730CDA" w:rsidRDefault="00A82F1E" w:rsidP="009F44AF">
      <w:pPr>
        <w:pStyle w:val="a"/>
        <w:rPr>
          <w:rStyle w:val="afa"/>
          <w:rtl/>
        </w:rPr>
      </w:pPr>
      <w:r w:rsidRPr="005D6815">
        <w:rPr>
          <w:rtl/>
        </w:rPr>
        <w:t xml:space="preserve">וכתב </w:t>
      </w:r>
      <w:r w:rsidRPr="005D6815">
        <w:rPr>
          <w:rStyle w:val="af8"/>
          <w:rtl/>
        </w:rPr>
        <w:t xml:space="preserve">הר"ן </w:t>
      </w:r>
      <w:r w:rsidRPr="005D6815">
        <w:rPr>
          <w:rStyle w:val="af8"/>
          <w:rFonts w:hint="cs"/>
          <w:rtl/>
        </w:rPr>
        <w:t>בחי'</w:t>
      </w:r>
      <w:r w:rsidRPr="005D6815">
        <w:rPr>
          <w:rFonts w:hint="cs"/>
          <w:rtl/>
        </w:rPr>
        <w:t xml:space="preserve"> </w:t>
      </w:r>
      <w:r w:rsidRPr="005D6815">
        <w:rPr>
          <w:rtl/>
        </w:rPr>
        <w:t xml:space="preserve">דאף </w:t>
      </w:r>
      <w:r w:rsidRPr="005D6815">
        <w:rPr>
          <w:rFonts w:hint="cs"/>
          <w:rtl/>
        </w:rPr>
        <w:t>דבתערובת יש רק טעם איסור, ואין את ממשו של האיסור, והרי בדין טעם כעיקר אין איסור בטעם פגום, ואם היה הטעם פגום מעיקרא היה מותר</w:t>
      </w:r>
      <w:r>
        <w:rPr>
          <w:rFonts w:hint="cs"/>
          <w:rtl/>
        </w:rPr>
        <w:t xml:space="preserve"> אף לדעת ר"מ</w:t>
      </w:r>
      <w:r w:rsidRPr="005D6815">
        <w:rPr>
          <w:rtl/>
        </w:rPr>
        <w:t>, כיון שאינו נהנה מהאיסור</w:t>
      </w:r>
      <w:r>
        <w:rPr>
          <w:rFonts w:hint="cs"/>
          <w:rtl/>
        </w:rPr>
        <w:t xml:space="preserve">, </w:t>
      </w:r>
      <w:r w:rsidRPr="005D6815">
        <w:rPr>
          <w:rFonts w:hint="cs"/>
          <w:rtl/>
        </w:rPr>
        <w:t>מ"מ כיון שהשביח בתחילתו ונאסר כבר דינו כנבילה שאין בה היתר בטעם פגום.</w:t>
      </w:r>
      <w:bookmarkEnd w:id="10568"/>
    </w:p>
    <w:p w:rsidR="00A82F1E" w:rsidRPr="00730CDA" w:rsidRDefault="00A82F1E" w:rsidP="00A82F1E">
      <w:pPr>
        <w:pStyle w:val="a2"/>
      </w:pPr>
      <w:bookmarkStart w:id="10571" w:name="_Toc19738486"/>
      <w:bookmarkStart w:id="10572" w:name="_Toc19792316"/>
      <w:r w:rsidRPr="00730CDA">
        <w:rPr>
          <w:rFonts w:hint="cs"/>
          <w:rtl/>
        </w:rPr>
        <w:lastRenderedPageBreak/>
        <w:t>ביאור הר"ן דדמי לדין חנ"נ שנאסר ע"י טעם ואין לו היתר כשנפגם הטעם אחר שנאסר בתחילה</w:t>
      </w:r>
      <w:bookmarkEnd w:id="10571"/>
      <w:bookmarkEnd w:id="10572"/>
    </w:p>
    <w:p w:rsidR="00A82F1E" w:rsidRPr="00730CDA" w:rsidRDefault="00A82F1E" w:rsidP="009F44AF">
      <w:pPr>
        <w:pStyle w:val="a"/>
        <w:rPr>
          <w:rtl/>
        </w:rPr>
      </w:pPr>
      <w:r w:rsidRPr="00730CDA">
        <w:rPr>
          <w:rFonts w:hint="cs"/>
          <w:rtl/>
        </w:rPr>
        <w:t xml:space="preserve">וביאר </w:t>
      </w:r>
      <w:r w:rsidRPr="00730CDA">
        <w:rPr>
          <w:rStyle w:val="af8"/>
          <w:rFonts w:hint="cs"/>
          <w:rtl/>
        </w:rPr>
        <w:t xml:space="preserve">הר"ן </w:t>
      </w:r>
      <w:r w:rsidRPr="00730CDA">
        <w:rPr>
          <w:rFonts w:hint="cs"/>
          <w:rtl/>
        </w:rPr>
        <w:t>דדמי לדין חתיכה נעשית נבילה</w:t>
      </w:r>
      <w:r w:rsidRPr="00730CDA">
        <w:rPr>
          <w:rStyle w:val="af6"/>
          <w:rFonts w:eastAsia="Guttman Hodes" w:hint="cs"/>
          <w:rtl/>
        </w:rPr>
        <w:t xml:space="preserve"> (לקמן קח.)</w:t>
      </w:r>
      <w:r w:rsidRPr="00730CDA">
        <w:rPr>
          <w:rFonts w:hint="cs"/>
          <w:rtl/>
        </w:rPr>
        <w:t>,</w:t>
      </w:r>
      <w:r w:rsidRPr="00730CDA">
        <w:rPr>
          <w:rStyle w:val="af6"/>
          <w:rFonts w:eastAsia="Guttman Hodes" w:hint="cs"/>
          <w:rtl/>
        </w:rPr>
        <w:t xml:space="preserve"> </w:t>
      </w:r>
      <w:r w:rsidRPr="00730CDA">
        <w:rPr>
          <w:rFonts w:hint="cs"/>
          <w:rtl/>
        </w:rPr>
        <w:t>דאף שהאיסור בחתיכה נעשית נבילה הוא ע"י טעם ולא ע"י ממשות, מ"מ אמרינן דכל שאינו נפסלה החתיכה מאכילת אדם היא אסורה כדין נבילה, ולא אמרינן דדין התבשיל בסופו הוא כדינו בתחילתו, דכיון שבתחילתו אינו נאסר ע"י טעם פגום, א"כ גם כשנאסר התבשיל ע"י טעם ובסופו נפגם הטעם, הוא מותר, אלא אמרינן דכ"ז שלא נפסל התבשיל מאכילה דינו כנבילה דאסורה, כיון שכשאוכל את התבשיל הפגום, א"כ הוא נהנה מתבשיל שנאסר בתחילתו בשעה שהושבח.</w:t>
      </w:r>
      <w:r w:rsidRPr="00730CDA">
        <w:rPr>
          <w:rStyle w:val="afa"/>
          <w:rFonts w:hint="cs"/>
          <w:rtl/>
        </w:rPr>
        <w:t xml:space="preserve"> </w:t>
      </w:r>
      <w:r w:rsidRPr="00574D24">
        <w:rPr>
          <w:rStyle w:val="afa"/>
          <w:rFonts w:hint="cs"/>
          <w:rtl/>
        </w:rPr>
        <w:t>[</w:t>
      </w:r>
      <w:r w:rsidRPr="00730CDA">
        <w:rPr>
          <w:rStyle w:val="afa"/>
          <w:rFonts w:hint="cs"/>
          <w:rtl/>
        </w:rPr>
        <w:t xml:space="preserve">וכן ביאר </w:t>
      </w:r>
      <w:r w:rsidRPr="00730CDA">
        <w:rPr>
          <w:rStyle w:val="affa"/>
          <w:rFonts w:hint="cs"/>
          <w:rtl/>
        </w:rPr>
        <w:t>הר"ן</w:t>
      </w:r>
      <w:r w:rsidRPr="00730CDA">
        <w:rPr>
          <w:rStyle w:val="afa"/>
          <w:rFonts w:hint="cs"/>
          <w:rtl/>
        </w:rPr>
        <w:t xml:space="preserve"> </w:t>
      </w:r>
      <w:r w:rsidRPr="00730CDA">
        <w:rPr>
          <w:rStyle w:val="aff6"/>
          <w:rFonts w:hint="cs"/>
          <w:rtl/>
        </w:rPr>
        <w:t xml:space="preserve">(עי' אות </w:t>
      </w:r>
      <w:r w:rsidRPr="00730CDA">
        <w:rPr>
          <w:rStyle w:val="aff6"/>
          <w:rtl/>
        </w:rPr>
        <w:fldChar w:fldCharType="begin"/>
      </w:r>
      <w:r w:rsidRPr="00730CDA">
        <w:rPr>
          <w:rStyle w:val="aff6"/>
          <w:rtl/>
        </w:rPr>
        <w:instrText xml:space="preserve"> </w:instrText>
      </w:r>
      <w:r w:rsidRPr="00730CDA">
        <w:rPr>
          <w:rStyle w:val="aff6"/>
          <w:rFonts w:hint="cs"/>
        </w:rPr>
        <w:instrText>REF</w:instrText>
      </w:r>
      <w:r w:rsidRPr="00730CDA">
        <w:rPr>
          <w:rStyle w:val="aff6"/>
          <w:rFonts w:hint="cs"/>
          <w:rtl/>
        </w:rPr>
        <w:instrText xml:space="preserve"> _</w:instrText>
      </w:r>
      <w:r w:rsidRPr="00730CDA">
        <w:rPr>
          <w:rStyle w:val="aff6"/>
          <w:rFonts w:hint="cs"/>
        </w:rPr>
        <w:instrText>Ref19457440 \r \h</w:instrText>
      </w:r>
      <w:r w:rsidRPr="00730CDA">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730CDA">
        <w:rPr>
          <w:rStyle w:val="aff6"/>
          <w:rtl/>
        </w:rPr>
      </w:r>
      <w:r w:rsidRPr="00730CDA">
        <w:rPr>
          <w:rStyle w:val="aff6"/>
          <w:rtl/>
        </w:rPr>
        <w:fldChar w:fldCharType="separate"/>
      </w:r>
      <w:r w:rsidR="004D1C5B">
        <w:rPr>
          <w:rStyle w:val="aff6"/>
          <w:cs/>
        </w:rPr>
        <w:t>‎</w:t>
      </w:r>
      <w:r w:rsidR="004D1C5B">
        <w:rPr>
          <w:rStyle w:val="aff6"/>
          <w:rtl/>
        </w:rPr>
        <w:t>פז)</w:t>
      </w:r>
      <w:r w:rsidRPr="00730CDA">
        <w:rPr>
          <w:rStyle w:val="aff6"/>
          <w:rtl/>
        </w:rPr>
        <w:fldChar w:fldCharType="end"/>
      </w:r>
      <w:r w:rsidRPr="00730CDA">
        <w:rPr>
          <w:rStyle w:val="afa"/>
          <w:rFonts w:hint="cs"/>
          <w:rtl/>
        </w:rPr>
        <w:t xml:space="preserve"> בדעת ריו"ח דבהשביח ולבסוף פגם לכו"ע אסור].</w:t>
      </w:r>
    </w:p>
    <w:p w:rsidR="00A82F1E" w:rsidRPr="00E53C31" w:rsidRDefault="00A82F1E" w:rsidP="00A82F1E">
      <w:pPr>
        <w:pStyle w:val="a2"/>
        <w:rPr>
          <w:rtl/>
        </w:rPr>
      </w:pPr>
      <w:bookmarkStart w:id="10573" w:name="_Toc19618194"/>
      <w:bookmarkStart w:id="10574" w:name="_Toc19624472"/>
      <w:bookmarkStart w:id="10575" w:name="_Toc19651766"/>
      <w:bookmarkStart w:id="10576" w:name="_Toc19694938"/>
      <w:bookmarkStart w:id="10577" w:name="_Toc19738487"/>
      <w:bookmarkStart w:id="10578" w:name="_Toc19792317"/>
      <w:bookmarkEnd w:id="10557"/>
      <w:bookmarkEnd w:id="10558"/>
      <w:bookmarkEnd w:id="10559"/>
      <w:bookmarkEnd w:id="10560"/>
      <w:r>
        <w:rPr>
          <w:rFonts w:hint="cs"/>
          <w:rtl/>
        </w:rPr>
        <w:t>ביאור הר"ן בעולא דבפגום מעיקרא לכו"ע דמי לנבילה שאינה ראויה לגר דאינו נהנה מהטעם</w:t>
      </w:r>
      <w:bookmarkEnd w:id="10573"/>
      <w:bookmarkEnd w:id="10574"/>
      <w:bookmarkEnd w:id="10575"/>
      <w:bookmarkEnd w:id="10576"/>
      <w:bookmarkEnd w:id="10577"/>
      <w:bookmarkEnd w:id="10578"/>
    </w:p>
    <w:p w:rsidR="00A82F1E" w:rsidRDefault="00A82F1E" w:rsidP="009F44AF">
      <w:pPr>
        <w:pStyle w:val="a"/>
        <w:rPr>
          <w:rtl/>
        </w:rPr>
      </w:pPr>
      <w:r>
        <w:rPr>
          <w:rFonts w:hint="cs"/>
          <w:rtl/>
        </w:rPr>
        <w:t xml:space="preserve">אבל בפגום מעיקרא ביאר </w:t>
      </w:r>
      <w:r w:rsidRPr="00780FDF">
        <w:rPr>
          <w:rStyle w:val="af8"/>
          <w:rFonts w:hint="cs"/>
          <w:rtl/>
        </w:rPr>
        <w:t xml:space="preserve">הר"ן בחי' </w:t>
      </w:r>
      <w:r>
        <w:rPr>
          <w:rFonts w:hint="cs"/>
          <w:rtl/>
        </w:rPr>
        <w:t>לדעת עולא דכו"ע מודו דאפשר לדמותו לנבילה שאינה ראויה לגר, כיון שאינו נהנה מהטעם של האיסור.</w:t>
      </w:r>
    </w:p>
    <w:p w:rsidR="00A82F1E" w:rsidRPr="008F25F1" w:rsidRDefault="00A82F1E" w:rsidP="00A82F1E">
      <w:pPr>
        <w:pStyle w:val="1"/>
        <w:rPr>
          <w:rtl/>
        </w:rPr>
      </w:pPr>
      <w:bookmarkStart w:id="10579" w:name="_Toc19479363"/>
      <w:bookmarkStart w:id="10580" w:name="_Toc19618217"/>
      <w:bookmarkStart w:id="10581" w:name="_Toc19624495"/>
      <w:bookmarkStart w:id="10582" w:name="_Toc19651811"/>
      <w:bookmarkStart w:id="10583" w:name="_Toc19694920"/>
      <w:bookmarkStart w:id="10584" w:name="_Toc19738488"/>
      <w:bookmarkStart w:id="10585" w:name="_Toc19792318"/>
      <w:r>
        <w:rPr>
          <w:rFonts w:hint="cs"/>
          <w:rtl/>
        </w:rPr>
        <w:t xml:space="preserve">ביאור הראב"ד </w:t>
      </w:r>
      <w:bookmarkEnd w:id="10579"/>
      <w:bookmarkEnd w:id="10580"/>
      <w:bookmarkEnd w:id="10581"/>
      <w:bookmarkEnd w:id="10582"/>
      <w:bookmarkEnd w:id="10583"/>
      <w:r>
        <w:rPr>
          <w:rFonts w:hint="cs"/>
          <w:rtl/>
        </w:rPr>
        <w:t>בדעת עולא דפגום מעיקרא הוא כנבילה סרוחה</w:t>
      </w:r>
      <w:bookmarkEnd w:id="10584"/>
      <w:bookmarkEnd w:id="10585"/>
    </w:p>
    <w:p w:rsidR="00A82F1E" w:rsidRDefault="00A82F1E" w:rsidP="00A82F1E">
      <w:pPr>
        <w:pStyle w:val="a2"/>
        <w:rPr>
          <w:rtl/>
        </w:rPr>
      </w:pPr>
      <w:bookmarkStart w:id="10586" w:name="_Toc19738489"/>
      <w:bookmarkStart w:id="10587" w:name="_Toc19792319"/>
      <w:r>
        <w:rPr>
          <w:rFonts w:hint="cs"/>
          <w:rtl/>
        </w:rPr>
        <w:t>דברי הראב"ד דלעולא פגום מעיקרא מותר לכו"ע כיון דחשיב כנבילה שסרוחה מעיקרא</w:t>
      </w:r>
      <w:bookmarkEnd w:id="10586"/>
      <w:bookmarkEnd w:id="10587"/>
    </w:p>
    <w:p w:rsidR="00A82F1E" w:rsidRDefault="00A82F1E" w:rsidP="009F44AF">
      <w:pPr>
        <w:pStyle w:val="a"/>
        <w:rPr>
          <w:rStyle w:val="afa"/>
          <w:rtl/>
        </w:rPr>
      </w:pPr>
      <w:bookmarkStart w:id="10588" w:name="_Ref19218746"/>
      <w:r w:rsidRPr="00D47CE7">
        <w:rPr>
          <w:rFonts w:hint="cs"/>
          <w:rtl/>
        </w:rPr>
        <w:t xml:space="preserve">כתב </w:t>
      </w:r>
      <w:r w:rsidRPr="00D47CE7">
        <w:rPr>
          <w:rStyle w:val="af8"/>
          <w:rFonts w:hint="cs"/>
          <w:rtl/>
        </w:rPr>
        <w:t xml:space="preserve">בפי' </w:t>
      </w:r>
      <w:r w:rsidRPr="00240B2E">
        <w:rPr>
          <w:rStyle w:val="af8"/>
          <w:rFonts w:hint="cs"/>
          <w:rtl/>
        </w:rPr>
        <w:t>הראב"ד</w:t>
      </w:r>
      <w:r w:rsidRPr="006C1F39">
        <w:rPr>
          <w:rStyle w:val="af6"/>
          <w:rFonts w:eastAsia="Guttman Hodes" w:hint="cs"/>
          <w:rtl/>
        </w:rPr>
        <w:t xml:space="preserve">  (ד"ה אלא, הועתק </w:t>
      </w:r>
      <w:r w:rsidRPr="00240B2E">
        <w:rPr>
          <w:rStyle w:val="af6"/>
          <w:rFonts w:eastAsia="Guttman Hodes" w:hint="cs"/>
          <w:rtl/>
        </w:rPr>
        <w:t>בקובץ שיטות קמאי ע"ז ח"ב עמ' אלף תר</w:t>
      </w:r>
      <w:r>
        <w:rPr>
          <w:rStyle w:val="af6"/>
          <w:rFonts w:eastAsia="Guttman Hodes" w:hint="cs"/>
          <w:rtl/>
        </w:rPr>
        <w:t>מ</w:t>
      </w:r>
      <w:r w:rsidRPr="00240B2E">
        <w:rPr>
          <w:rStyle w:val="af6"/>
          <w:rFonts w:eastAsia="Guttman Hodes" w:hint="cs"/>
          <w:rtl/>
        </w:rPr>
        <w:t>"</w:t>
      </w:r>
      <w:r>
        <w:rPr>
          <w:rStyle w:val="af6"/>
          <w:rFonts w:eastAsia="Guttman Hodes" w:hint="cs"/>
          <w:rtl/>
        </w:rPr>
        <w:t>ז</w:t>
      </w:r>
      <w:r w:rsidRPr="00240B2E">
        <w:rPr>
          <w:rStyle w:val="af6"/>
          <w:rFonts w:eastAsia="Guttman Hodes" w:hint="cs"/>
          <w:rtl/>
        </w:rPr>
        <w:t xml:space="preserve">) </w:t>
      </w:r>
      <w:r w:rsidRPr="00240B2E">
        <w:rPr>
          <w:rFonts w:hint="cs"/>
          <w:rtl/>
        </w:rPr>
        <w:t>דלדברי עולא דבפגום מעיקרא לכו"ע מותר, הוא כיון דחשיב כנבילה שסרוחה מתחילתה.</w:t>
      </w:r>
      <w:bookmarkEnd w:id="10588"/>
      <w:r>
        <w:rPr>
          <w:rFonts w:hint="cs"/>
          <w:rtl/>
        </w:rPr>
        <w:t xml:space="preserve"> </w:t>
      </w:r>
      <w:r w:rsidRPr="002C109A">
        <w:rPr>
          <w:rStyle w:val="afa"/>
          <w:rFonts w:hint="cs"/>
          <w:rtl/>
        </w:rPr>
        <w:t xml:space="preserve">[ועי' במה שביאר </w:t>
      </w:r>
      <w:r w:rsidRPr="002C109A">
        <w:rPr>
          <w:rStyle w:val="affa"/>
          <w:rFonts w:hint="cs"/>
          <w:rtl/>
        </w:rPr>
        <w:t>הראב"ד</w:t>
      </w:r>
      <w:r w:rsidRPr="002C109A">
        <w:rPr>
          <w:rStyle w:val="afa"/>
          <w:rFonts w:hint="cs"/>
          <w:rtl/>
        </w:rPr>
        <w:t xml:space="preserve"> </w:t>
      </w:r>
      <w:r w:rsidRPr="002C109A">
        <w:rPr>
          <w:rStyle w:val="aff6"/>
          <w:rFonts w:hint="cs"/>
          <w:rtl/>
        </w:rPr>
        <w:t xml:space="preserve">(עי' אות </w:t>
      </w:r>
      <w:r w:rsidRPr="002C109A">
        <w:rPr>
          <w:rStyle w:val="aff6"/>
          <w:rtl/>
        </w:rPr>
        <w:fldChar w:fldCharType="begin"/>
      </w:r>
      <w:r w:rsidRPr="002C109A">
        <w:rPr>
          <w:rStyle w:val="aff6"/>
          <w:rtl/>
        </w:rPr>
        <w:instrText xml:space="preserve"> </w:instrText>
      </w:r>
      <w:r w:rsidRPr="002C109A">
        <w:rPr>
          <w:rStyle w:val="aff6"/>
          <w:rFonts w:hint="cs"/>
        </w:rPr>
        <w:instrText>REF</w:instrText>
      </w:r>
      <w:r w:rsidRPr="002C109A">
        <w:rPr>
          <w:rStyle w:val="aff6"/>
          <w:rFonts w:hint="cs"/>
          <w:rtl/>
        </w:rPr>
        <w:instrText xml:space="preserve"> _</w:instrText>
      </w:r>
      <w:r w:rsidRPr="002C109A">
        <w:rPr>
          <w:rStyle w:val="aff6"/>
          <w:rFonts w:hint="cs"/>
        </w:rPr>
        <w:instrText>Ref19737834 \r \h</w:instrText>
      </w:r>
      <w:r w:rsidRPr="002C109A">
        <w:rPr>
          <w:rStyle w:val="aff6"/>
          <w:rtl/>
        </w:rPr>
        <w:instrText xml:space="preserve"> </w:instrText>
      </w:r>
      <w:r w:rsidRPr="002C109A">
        <w:rPr>
          <w:rStyle w:val="aff6"/>
          <w:rtl/>
        </w:rPr>
      </w:r>
      <w:r w:rsidRPr="002C109A">
        <w:rPr>
          <w:rStyle w:val="aff6"/>
          <w:rtl/>
        </w:rPr>
        <w:fldChar w:fldCharType="separate"/>
      </w:r>
      <w:r w:rsidR="004D1C5B">
        <w:rPr>
          <w:rStyle w:val="aff6"/>
          <w:cs/>
        </w:rPr>
        <w:t>‎</w:t>
      </w:r>
      <w:r w:rsidR="004D1C5B">
        <w:rPr>
          <w:rStyle w:val="aff6"/>
          <w:rtl/>
        </w:rPr>
        <w:t>עא)</w:t>
      </w:r>
      <w:r w:rsidRPr="002C109A">
        <w:rPr>
          <w:rStyle w:val="aff6"/>
          <w:rtl/>
        </w:rPr>
        <w:fldChar w:fldCharType="end"/>
      </w:r>
      <w:r w:rsidRPr="002C109A">
        <w:rPr>
          <w:rStyle w:val="afa"/>
          <w:rFonts w:hint="cs"/>
          <w:rtl/>
        </w:rPr>
        <w:t xml:space="preserve"> בדעת ריו"ח דלא דמי לנבילה סרוחה].</w:t>
      </w:r>
    </w:p>
    <w:p w:rsidR="00A82F1E" w:rsidRPr="00471621" w:rsidRDefault="00A82F1E" w:rsidP="00E669F8">
      <w:pPr>
        <w:pStyle w:val="afd"/>
        <w:rPr>
          <w:rtl/>
        </w:rPr>
      </w:pPr>
      <w:r>
        <w:rPr>
          <w:rFonts w:hint="cs"/>
          <w:rtl/>
        </w:rPr>
        <w:t>ביאור התוס' בספק הגמ' לריו"ח</w:t>
      </w:r>
    </w:p>
    <w:p w:rsidR="00A82F1E" w:rsidRDefault="00A82F1E" w:rsidP="00A82F1E">
      <w:pPr>
        <w:pStyle w:val="1"/>
        <w:rPr>
          <w:rtl/>
        </w:rPr>
      </w:pPr>
      <w:bookmarkStart w:id="10589" w:name="_Toc19618196"/>
      <w:bookmarkStart w:id="10590" w:name="_Toc19624474"/>
      <w:bookmarkStart w:id="10591" w:name="_Toc19651768"/>
      <w:bookmarkStart w:id="10592" w:name="_Toc19694940"/>
      <w:bookmarkStart w:id="10593" w:name="_Toc19738491"/>
      <w:bookmarkStart w:id="10594" w:name="_Toc19792321"/>
      <w:r>
        <w:rPr>
          <w:rFonts w:hint="cs"/>
          <w:rtl/>
        </w:rPr>
        <w:t>דברי התוס'</w:t>
      </w:r>
      <w:bookmarkEnd w:id="10589"/>
      <w:bookmarkEnd w:id="10590"/>
      <w:bookmarkEnd w:id="10591"/>
      <w:bookmarkEnd w:id="10592"/>
      <w:r>
        <w:rPr>
          <w:rFonts w:hint="cs"/>
          <w:rtl/>
        </w:rPr>
        <w:t xml:space="preserve"> בחילוק בין נבילה שסרוחה לבסוף לנפגם לבסוף</w:t>
      </w:r>
      <w:bookmarkEnd w:id="10593"/>
      <w:bookmarkEnd w:id="10594"/>
    </w:p>
    <w:p w:rsidR="00A82F1E" w:rsidRPr="00960749" w:rsidRDefault="00A82F1E" w:rsidP="00A82F1E">
      <w:pPr>
        <w:pStyle w:val="a2"/>
        <w:rPr>
          <w:rtl/>
        </w:rPr>
      </w:pPr>
      <w:bookmarkStart w:id="10595" w:name="_Toc19618197"/>
      <w:bookmarkStart w:id="10596" w:name="_Toc19624475"/>
      <w:bookmarkStart w:id="10597" w:name="_Toc19651769"/>
      <w:bookmarkStart w:id="10598" w:name="_Toc19694941"/>
      <w:bookmarkStart w:id="10599" w:name="_Toc19738492"/>
      <w:bookmarkStart w:id="10600" w:name="_Toc19792322"/>
      <w:r>
        <w:rPr>
          <w:rFonts w:hint="cs"/>
          <w:rtl/>
        </w:rPr>
        <w:t>קושית התוס' דבפלוגתת ר"מ ור"ש בילפותא מנבילה מבואר דנחלקו בהשביח ולבסוף פגם</w:t>
      </w:r>
      <w:bookmarkEnd w:id="10595"/>
      <w:bookmarkEnd w:id="10596"/>
      <w:bookmarkEnd w:id="10597"/>
      <w:bookmarkEnd w:id="10598"/>
      <w:bookmarkEnd w:id="10599"/>
      <w:bookmarkEnd w:id="10600"/>
    </w:p>
    <w:p w:rsidR="00A82F1E" w:rsidRDefault="00A82F1E" w:rsidP="009F44AF">
      <w:pPr>
        <w:pStyle w:val="a"/>
        <w:rPr>
          <w:rtl/>
        </w:rPr>
      </w:pPr>
      <w:bookmarkStart w:id="10601" w:name="_Ref19215520"/>
      <w:r w:rsidRPr="004F1CF4">
        <w:rPr>
          <w:rFonts w:hint="cs"/>
          <w:rtl/>
        </w:rPr>
        <w:t xml:space="preserve">להצד בגמ' </w:t>
      </w:r>
      <w:r>
        <w:rPr>
          <w:rFonts w:hint="cs"/>
          <w:rtl/>
        </w:rPr>
        <w:t xml:space="preserve">בדברי ריו"ח דבהשביח ולבסוף פגם, לא נחלקו ר"מ ור"ש ולכו"ע אסור, הקשו </w:t>
      </w:r>
      <w:r w:rsidRPr="00482061">
        <w:rPr>
          <w:rStyle w:val="af8"/>
          <w:rFonts w:hint="cs"/>
          <w:rtl/>
        </w:rPr>
        <w:t>התוס'</w:t>
      </w:r>
      <w:r>
        <w:rPr>
          <w:rFonts w:hint="cs"/>
          <w:rtl/>
        </w:rPr>
        <w:t xml:space="preserve"> </w:t>
      </w:r>
      <w:r w:rsidRPr="000910FA">
        <w:rPr>
          <w:rStyle w:val="af6"/>
          <w:rFonts w:eastAsia="Guttman Hodes" w:hint="cs"/>
          <w:rtl/>
        </w:rPr>
        <w:t>(ד"ה אבל)</w:t>
      </w:r>
      <w:r>
        <w:rPr>
          <w:rFonts w:hint="cs"/>
          <w:rtl/>
        </w:rPr>
        <w:t xml:space="preserve"> דהרי בהא דנחלקו ר"מ ור"ש בילפותא מנבילה, משמע דנחלקו בהשביח ולבסוף פגם, דר"מ העמיד את הילפותא מנבילה לסרוחה מעיקרא, דרק היא מותרת, אבל נבילה שלא הסריחה מעיקרא והסריחה לבסוף אסורה לר"מ, ואילו ר"ש העמיד את הילפותא אף בהסריחה לבסוף, דאף היא בכלל ההיתר, וא"כ מבואר דפלוגתתם היא בהשביח ולבסוף פגם.</w:t>
      </w:r>
      <w:bookmarkEnd w:id="10601"/>
    </w:p>
    <w:p w:rsidR="00A82F1E" w:rsidRDefault="00A82F1E" w:rsidP="00A82F1E">
      <w:pPr>
        <w:pStyle w:val="a2"/>
        <w:rPr>
          <w:rtl/>
        </w:rPr>
      </w:pPr>
      <w:bookmarkStart w:id="10602" w:name="_Toc19618198"/>
      <w:bookmarkStart w:id="10603" w:name="_Toc19624476"/>
      <w:bookmarkStart w:id="10604" w:name="_Toc19651770"/>
      <w:bookmarkStart w:id="10605" w:name="_Toc19694942"/>
      <w:bookmarkStart w:id="10606" w:name="_Toc19738493"/>
      <w:bookmarkStart w:id="10607" w:name="_Toc19792323"/>
      <w:r>
        <w:rPr>
          <w:rFonts w:hint="cs"/>
          <w:rtl/>
        </w:rPr>
        <w:t>ביאור התוס' דהשביח ולבסוף פגם הטעם אסר בתחילה ואילו בנבילה הפגם הוא כשהיא בעין</w:t>
      </w:r>
      <w:bookmarkEnd w:id="10602"/>
      <w:bookmarkEnd w:id="10603"/>
      <w:bookmarkEnd w:id="10604"/>
      <w:bookmarkEnd w:id="10605"/>
      <w:bookmarkEnd w:id="10606"/>
      <w:bookmarkEnd w:id="10607"/>
    </w:p>
    <w:p w:rsidR="00A82F1E" w:rsidRPr="00050453" w:rsidRDefault="00A82F1E" w:rsidP="009F44AF">
      <w:pPr>
        <w:pStyle w:val="a"/>
        <w:rPr>
          <w:rtl/>
        </w:rPr>
      </w:pPr>
      <w:r w:rsidRPr="00050453">
        <w:rPr>
          <w:rFonts w:hint="cs"/>
          <w:rtl/>
        </w:rPr>
        <w:t xml:space="preserve">ותירצו </w:t>
      </w:r>
      <w:r w:rsidRPr="00050453">
        <w:rPr>
          <w:rStyle w:val="af8"/>
          <w:rFonts w:hint="cs"/>
          <w:rtl/>
        </w:rPr>
        <w:t xml:space="preserve">התוס' </w:t>
      </w:r>
      <w:r w:rsidRPr="00050453">
        <w:rPr>
          <w:rFonts w:hint="cs"/>
          <w:rtl/>
        </w:rPr>
        <w:t>ד</w:t>
      </w:r>
      <w:r>
        <w:rPr>
          <w:rFonts w:hint="cs"/>
          <w:rtl/>
        </w:rPr>
        <w:t>איסור שנפל לתערובת ו</w:t>
      </w:r>
      <w:r w:rsidRPr="00050453">
        <w:rPr>
          <w:rFonts w:hint="cs"/>
          <w:rtl/>
        </w:rPr>
        <w:t>השביח ולבסוף פגם, לא דמי לנבילה שהסריחה רק לבסוף, כיון דבהשביח ולבסוף פגם, בשעת נפילת האיסור הוא נתן טעם לשבח, ו</w:t>
      </w:r>
      <w:r>
        <w:rPr>
          <w:rFonts w:hint="cs"/>
          <w:rtl/>
        </w:rPr>
        <w:t>הוא אסר במה ש</w:t>
      </w:r>
      <w:r w:rsidRPr="00050453">
        <w:rPr>
          <w:rFonts w:hint="cs"/>
          <w:rtl/>
        </w:rPr>
        <w:t>השביח את ההיתר, ורק אח"כ טעם האיסור שמעורב בהיתר פגם את ההיתר, ו</w:t>
      </w:r>
      <w:r>
        <w:rPr>
          <w:rFonts w:hint="cs"/>
          <w:rtl/>
        </w:rPr>
        <w:t xml:space="preserve">לכן </w:t>
      </w:r>
      <w:r w:rsidRPr="00050453">
        <w:rPr>
          <w:rFonts w:hint="cs"/>
          <w:rtl/>
        </w:rPr>
        <w:t xml:space="preserve">אמר ריו"ח </w:t>
      </w:r>
      <w:r>
        <w:rPr>
          <w:rFonts w:hint="cs"/>
          <w:rtl/>
        </w:rPr>
        <w:t>ד</w:t>
      </w:r>
      <w:r w:rsidRPr="00050453">
        <w:rPr>
          <w:rFonts w:hint="cs"/>
          <w:rtl/>
        </w:rPr>
        <w:t>בין לר"מ ובין לר"ש אסור, אבל בנבילה שהפגם שהיא הסריחה הייתה בעודה נבילה</w:t>
      </w:r>
      <w:r>
        <w:rPr>
          <w:rFonts w:hint="cs"/>
          <w:rtl/>
        </w:rPr>
        <w:t>, ולכן ס"ל לר"ש דאף</w:t>
      </w:r>
      <w:r w:rsidRPr="00050453">
        <w:rPr>
          <w:rFonts w:hint="cs"/>
          <w:rtl/>
        </w:rPr>
        <w:t xml:space="preserve"> שלא הייתה סרוחה מעיקרא, </w:t>
      </w:r>
      <w:r>
        <w:rPr>
          <w:rFonts w:hint="cs"/>
          <w:rtl/>
        </w:rPr>
        <w:t>מ"מ היא מותרת כיון ש</w:t>
      </w:r>
      <w:r w:rsidRPr="00050453">
        <w:rPr>
          <w:rFonts w:hint="cs"/>
          <w:rtl/>
        </w:rPr>
        <w:t>עכשיו היא סרוחה.</w:t>
      </w:r>
    </w:p>
    <w:p w:rsidR="00A82F1E" w:rsidRPr="00B05D4B" w:rsidRDefault="00A82F1E" w:rsidP="00A82F1E">
      <w:pPr>
        <w:pStyle w:val="a2"/>
        <w:rPr>
          <w:rtl/>
        </w:rPr>
      </w:pPr>
      <w:bookmarkStart w:id="10608" w:name="_Toc19618199"/>
      <w:bookmarkStart w:id="10609" w:name="_Toc19624477"/>
      <w:bookmarkStart w:id="10610" w:name="_Toc19651771"/>
      <w:bookmarkStart w:id="10611" w:name="_Toc19694943"/>
      <w:bookmarkStart w:id="10612" w:name="_Toc19738494"/>
      <w:bookmarkStart w:id="10613" w:name="_Toc19792324"/>
      <w:r>
        <w:rPr>
          <w:rFonts w:hint="cs"/>
          <w:rtl/>
        </w:rPr>
        <w:t>ביאור המהרש"א בתוס' דבתערובת הפגם הוא רק כשהאיסור אינו בעין והנבילה נפגמה בעין</w:t>
      </w:r>
      <w:bookmarkEnd w:id="10608"/>
      <w:bookmarkEnd w:id="10609"/>
      <w:bookmarkEnd w:id="10610"/>
      <w:bookmarkEnd w:id="10611"/>
      <w:bookmarkEnd w:id="10612"/>
      <w:bookmarkEnd w:id="10613"/>
    </w:p>
    <w:p w:rsidR="00A82F1E" w:rsidRDefault="00A82F1E" w:rsidP="009F44AF">
      <w:pPr>
        <w:pStyle w:val="a"/>
        <w:rPr>
          <w:rtl/>
        </w:rPr>
      </w:pPr>
      <w:r>
        <w:rPr>
          <w:rFonts w:hint="cs"/>
          <w:rtl/>
        </w:rPr>
        <w:t xml:space="preserve">וביאר </w:t>
      </w:r>
      <w:r w:rsidRPr="00482061">
        <w:rPr>
          <w:rStyle w:val="af8"/>
          <w:rFonts w:hint="cs"/>
          <w:rtl/>
        </w:rPr>
        <w:t>המהרש"א</w:t>
      </w:r>
      <w:r w:rsidRPr="00960749">
        <w:rPr>
          <w:rStyle w:val="af6"/>
          <w:rFonts w:eastAsia="Guttman Hodes" w:hint="cs"/>
          <w:rtl/>
        </w:rPr>
        <w:t xml:space="preserve"> (על תוד"ה אבל) </w:t>
      </w:r>
      <w:r>
        <w:rPr>
          <w:rFonts w:hint="cs"/>
          <w:rtl/>
        </w:rPr>
        <w:t xml:space="preserve">דכוונת </w:t>
      </w:r>
      <w:r w:rsidRPr="00482061">
        <w:rPr>
          <w:rStyle w:val="af8"/>
          <w:rFonts w:hint="cs"/>
          <w:rtl/>
        </w:rPr>
        <w:t xml:space="preserve">התוס' </w:t>
      </w:r>
      <w:r>
        <w:rPr>
          <w:rFonts w:hint="cs"/>
          <w:rtl/>
        </w:rPr>
        <w:t>לתרץ דבהשביח ולבסוף פגם, כשהאיסור היה בעין לא היה כל פגם, ורק אחר שהוא התערב בתערובת ונעשה טעם הוא פוגם, ולכן אינו מתיר, אבל בנבילה דהפגם שלה הוא כשהיא עדיין בעין, אף לדעת ריו"ח ס"ל לר"ש דהיא מותרת</w:t>
      </w:r>
      <w:r>
        <w:rPr>
          <w:rStyle w:val="af0"/>
          <w:rtl/>
        </w:rPr>
        <w:footnoteReference w:id="53"/>
      </w:r>
      <w:r>
        <w:rPr>
          <w:rFonts w:hint="cs"/>
          <w:rtl/>
        </w:rPr>
        <w:t>.</w:t>
      </w:r>
    </w:p>
    <w:p w:rsidR="00A82F1E" w:rsidRPr="005E0E8C" w:rsidRDefault="00A82F1E" w:rsidP="00A82F1E">
      <w:pPr>
        <w:pStyle w:val="1"/>
        <w:rPr>
          <w:rtl/>
        </w:rPr>
      </w:pPr>
      <w:bookmarkStart w:id="10614" w:name="_Toc19618200"/>
      <w:bookmarkStart w:id="10615" w:name="_Toc19624478"/>
      <w:bookmarkStart w:id="10616" w:name="_Toc19651772"/>
      <w:bookmarkStart w:id="10617" w:name="_Toc19694944"/>
      <w:bookmarkStart w:id="10618" w:name="_Toc19738495"/>
      <w:bookmarkStart w:id="10619" w:name="_Toc19792325"/>
      <w:r w:rsidRPr="00F03C0E">
        <w:rPr>
          <w:rFonts w:hint="cs"/>
          <w:rtl/>
        </w:rPr>
        <w:t xml:space="preserve">ביאור החזו"א בתוס' דנח' אי </w:t>
      </w:r>
      <w:bookmarkEnd w:id="10614"/>
      <w:bookmarkEnd w:id="10615"/>
      <w:r>
        <w:rPr>
          <w:rFonts w:hint="cs"/>
          <w:rtl/>
        </w:rPr>
        <w:t>אחר שנאסר</w:t>
      </w:r>
      <w:r w:rsidRPr="00F03C0E">
        <w:rPr>
          <w:rFonts w:hint="cs"/>
          <w:rtl/>
        </w:rPr>
        <w:t xml:space="preserve"> </w:t>
      </w:r>
      <w:r>
        <w:rPr>
          <w:rFonts w:hint="cs"/>
          <w:rtl/>
        </w:rPr>
        <w:t>מותר ב</w:t>
      </w:r>
      <w:r w:rsidRPr="00F03C0E">
        <w:rPr>
          <w:rFonts w:hint="cs"/>
          <w:rtl/>
        </w:rPr>
        <w:t>פגום במקצת</w:t>
      </w:r>
      <w:bookmarkEnd w:id="10616"/>
      <w:bookmarkEnd w:id="10617"/>
      <w:bookmarkEnd w:id="10618"/>
      <w:bookmarkEnd w:id="10619"/>
    </w:p>
    <w:p w:rsidR="00A82F1E" w:rsidRDefault="00A82F1E" w:rsidP="00A82F1E">
      <w:pPr>
        <w:pStyle w:val="a2"/>
      </w:pPr>
      <w:bookmarkStart w:id="10620" w:name="_Toc19618201"/>
      <w:bookmarkStart w:id="10621" w:name="_Toc19624479"/>
      <w:bookmarkStart w:id="10622" w:name="_Toc19651773"/>
      <w:bookmarkStart w:id="10623" w:name="_Toc19694945"/>
      <w:bookmarkStart w:id="10624" w:name="_Toc19738496"/>
      <w:bookmarkStart w:id="10625" w:name="_Toc19792326"/>
      <w:r>
        <w:rPr>
          <w:rFonts w:hint="cs"/>
          <w:rtl/>
        </w:rPr>
        <w:t>ביאור החזו"א בתוס' דבהשביח ולבסוף פגם האיסור ראוי לגר ואף שאין בו טע"כ אסור מדין חנ"נ</w:t>
      </w:r>
      <w:bookmarkEnd w:id="10620"/>
      <w:bookmarkEnd w:id="10621"/>
      <w:bookmarkEnd w:id="10622"/>
      <w:bookmarkEnd w:id="10623"/>
      <w:bookmarkEnd w:id="10624"/>
      <w:bookmarkEnd w:id="10625"/>
    </w:p>
    <w:p w:rsidR="00A82F1E" w:rsidRDefault="00A82F1E" w:rsidP="009F44AF">
      <w:pPr>
        <w:pStyle w:val="a"/>
        <w:rPr>
          <w:rtl/>
        </w:rPr>
      </w:pPr>
      <w:r w:rsidRPr="003167AC">
        <w:rPr>
          <w:rStyle w:val="af8"/>
          <w:rFonts w:hint="cs"/>
          <w:rtl/>
        </w:rPr>
        <w:t>והחזו"א</w:t>
      </w:r>
      <w:r w:rsidRPr="00ED2298">
        <w:rPr>
          <w:rStyle w:val="af6"/>
          <w:rFonts w:eastAsia="Guttman Hodes" w:hint="cs"/>
          <w:rtl/>
        </w:rPr>
        <w:t xml:space="preserve"> (</w:t>
      </w:r>
      <w:r w:rsidRPr="003167AC">
        <w:rPr>
          <w:rStyle w:val="af6"/>
          <w:rFonts w:eastAsia="Guttman Hodes" w:hint="cs"/>
          <w:rtl/>
        </w:rPr>
        <w:t xml:space="preserve">סי' ט"ו סק"ז </w:t>
      </w:r>
      <w:r>
        <w:rPr>
          <w:rStyle w:val="af6"/>
          <w:rFonts w:eastAsia="Guttman Hodes" w:hint="cs"/>
          <w:rtl/>
        </w:rPr>
        <w:t>על תו</w:t>
      </w:r>
      <w:r w:rsidRPr="004F1CF4">
        <w:rPr>
          <w:rStyle w:val="af6"/>
          <w:rFonts w:eastAsia="Guttman Hodes" w:hint="cs"/>
          <w:rtl/>
        </w:rPr>
        <w:t xml:space="preserve">ד"ה </w:t>
      </w:r>
      <w:r w:rsidRPr="00ED2298">
        <w:rPr>
          <w:rStyle w:val="af6"/>
          <w:rFonts w:eastAsia="Guttman Hodes" w:hint="cs"/>
          <w:rtl/>
        </w:rPr>
        <w:t>אבל, או"ח סי' קט"ז סק"ב)</w:t>
      </w:r>
      <w:r w:rsidRPr="003167AC">
        <w:rPr>
          <w:rStyle w:val="af6"/>
          <w:rFonts w:eastAsia="Guttman Hodes" w:hint="cs"/>
          <w:rtl/>
        </w:rPr>
        <w:t xml:space="preserve"> </w:t>
      </w:r>
      <w:r>
        <w:rPr>
          <w:rFonts w:hint="cs"/>
          <w:rtl/>
        </w:rPr>
        <w:t>ביאר את דברי ה</w:t>
      </w:r>
      <w:r w:rsidRPr="003167AC">
        <w:rPr>
          <w:rStyle w:val="af8"/>
          <w:rFonts w:hint="cs"/>
          <w:rtl/>
        </w:rPr>
        <w:t>תוס'</w:t>
      </w:r>
      <w:r>
        <w:rPr>
          <w:rFonts w:hint="cs"/>
          <w:rtl/>
        </w:rPr>
        <w:t xml:space="preserve"> </w:t>
      </w:r>
      <w:r w:rsidRPr="001801D8">
        <w:rPr>
          <w:rFonts w:hint="cs"/>
          <w:rtl/>
        </w:rPr>
        <w:t>בדעת ריו"ח דהגמ' לעיל</w:t>
      </w:r>
      <w:r>
        <w:rPr>
          <w:rFonts w:hint="cs"/>
          <w:rtl/>
        </w:rPr>
        <w:t xml:space="preserve"> דביארה דר"מ ור"ש נחלקו בילפותא מנבילה, היא אליבא דריו"ח, ובהשביח ולבסוף פגם, דכיון שכשנפגם עדיין הוא ראוי לגר, וכ"מ דמהני הפגימה שלו היא להתירו מדין טעם כעיקר, ולכן לכו"ע אמרינן דכיון שבשעה שהשביח חל עליו איסור, חשיב דהוא כמו דין חתיכה עצמה נעשית נבילה </w:t>
      </w:r>
      <w:r w:rsidRPr="00780FDF">
        <w:rPr>
          <w:rStyle w:val="af6"/>
          <w:rFonts w:eastAsia="Guttman Hodes" w:hint="cs"/>
          <w:rtl/>
        </w:rPr>
        <w:t>(לקמן קח.)</w:t>
      </w:r>
      <w:r>
        <w:rPr>
          <w:rFonts w:hint="cs"/>
          <w:rtl/>
        </w:rPr>
        <w:t>, שאינה חוזרת ומותרת בפגום במקצת, ורק כשאינה ראויה לגר היא מותרת.</w:t>
      </w:r>
      <w:r w:rsidRPr="001801D8">
        <w:rPr>
          <w:rStyle w:val="afa"/>
          <w:rFonts w:hint="cs"/>
          <w:rtl/>
        </w:rPr>
        <w:t xml:space="preserve"> </w:t>
      </w:r>
      <w:r w:rsidRPr="00C75FB8">
        <w:rPr>
          <w:rStyle w:val="afa"/>
          <w:rFonts w:hint="cs"/>
          <w:rtl/>
        </w:rPr>
        <w:t>[ו</w:t>
      </w:r>
      <w:r>
        <w:rPr>
          <w:rStyle w:val="afa"/>
          <w:rFonts w:hint="cs"/>
          <w:rtl/>
        </w:rPr>
        <w:t>עי'</w:t>
      </w:r>
      <w:r w:rsidRPr="00C75FB8">
        <w:rPr>
          <w:rStyle w:val="afa"/>
          <w:rFonts w:hint="cs"/>
          <w:rtl/>
        </w:rPr>
        <w:t xml:space="preserve"> </w:t>
      </w:r>
      <w:r>
        <w:rPr>
          <w:rStyle w:val="affa"/>
          <w:rFonts w:hint="cs"/>
          <w:rtl/>
        </w:rPr>
        <w:t>ב</w:t>
      </w:r>
      <w:r w:rsidRPr="00C75FB8">
        <w:rPr>
          <w:rStyle w:val="affa"/>
          <w:rFonts w:hint="cs"/>
          <w:rtl/>
        </w:rPr>
        <w:t>מהרש"א</w:t>
      </w:r>
      <w:r w:rsidRPr="00C75FB8">
        <w:rPr>
          <w:rStyle w:val="afa"/>
          <w:rFonts w:hint="cs"/>
          <w:rtl/>
        </w:rPr>
        <w:t xml:space="preserve"> </w:t>
      </w:r>
      <w:r w:rsidRPr="00C75FB8">
        <w:rPr>
          <w:rStyle w:val="aff6"/>
          <w:rFonts w:hint="cs"/>
          <w:rtl/>
        </w:rPr>
        <w:t xml:space="preserve">(עי' אות </w:t>
      </w:r>
      <w:r w:rsidRPr="00C75FB8">
        <w:rPr>
          <w:rStyle w:val="aff6"/>
          <w:rtl/>
        </w:rPr>
        <w:fldChar w:fldCharType="begin"/>
      </w:r>
      <w:r w:rsidRPr="00C75FB8">
        <w:rPr>
          <w:rStyle w:val="aff6"/>
          <w:rtl/>
        </w:rPr>
        <w:instrText xml:space="preserve"> </w:instrText>
      </w:r>
      <w:r w:rsidRPr="00C75FB8">
        <w:rPr>
          <w:rStyle w:val="aff6"/>
          <w:rFonts w:hint="cs"/>
        </w:rPr>
        <w:instrText>REF</w:instrText>
      </w:r>
      <w:r w:rsidRPr="00C75FB8">
        <w:rPr>
          <w:rStyle w:val="aff6"/>
          <w:rFonts w:hint="cs"/>
          <w:rtl/>
        </w:rPr>
        <w:instrText xml:space="preserve"> _</w:instrText>
      </w:r>
      <w:r w:rsidRPr="00C75FB8">
        <w:rPr>
          <w:rStyle w:val="aff6"/>
          <w:rFonts w:hint="cs"/>
        </w:rPr>
        <w:instrText>Ref19615707 \r \h</w:instrText>
      </w:r>
      <w:r w:rsidRPr="00C75FB8">
        <w:rPr>
          <w:rStyle w:val="aff6"/>
          <w:rtl/>
        </w:rPr>
        <w:instrText xml:space="preserve"> </w:instrText>
      </w:r>
      <w:r w:rsidRPr="00C75FB8">
        <w:rPr>
          <w:rStyle w:val="aff6"/>
          <w:rtl/>
        </w:rPr>
      </w:r>
      <w:r w:rsidRPr="00C75FB8">
        <w:rPr>
          <w:rStyle w:val="aff6"/>
          <w:rtl/>
        </w:rPr>
        <w:fldChar w:fldCharType="separate"/>
      </w:r>
      <w:r w:rsidR="004D1C5B">
        <w:rPr>
          <w:rStyle w:val="aff6"/>
          <w:cs/>
        </w:rPr>
        <w:t>‎</w:t>
      </w:r>
      <w:r w:rsidR="004D1C5B">
        <w:rPr>
          <w:rStyle w:val="aff6"/>
          <w:rtl/>
        </w:rPr>
        <w:t>נא)</w:t>
      </w:r>
      <w:r w:rsidRPr="00C75FB8">
        <w:rPr>
          <w:rStyle w:val="aff6"/>
          <w:rtl/>
        </w:rPr>
        <w:fldChar w:fldCharType="end"/>
      </w:r>
      <w:r w:rsidRPr="00C75FB8">
        <w:rPr>
          <w:rStyle w:val="afa"/>
          <w:rFonts w:hint="cs"/>
          <w:rtl/>
        </w:rPr>
        <w:t>].</w:t>
      </w:r>
    </w:p>
    <w:p w:rsidR="00A82F1E" w:rsidRPr="00EA5102" w:rsidRDefault="00A82F1E" w:rsidP="00A82F1E">
      <w:pPr>
        <w:pStyle w:val="a2"/>
        <w:rPr>
          <w:rtl/>
        </w:rPr>
      </w:pPr>
      <w:bookmarkStart w:id="10626" w:name="_Toc19618202"/>
      <w:bookmarkStart w:id="10627" w:name="_Toc19624480"/>
      <w:bookmarkStart w:id="10628" w:name="_Toc19651774"/>
      <w:bookmarkStart w:id="10629" w:name="_Toc19694946"/>
      <w:bookmarkStart w:id="10630" w:name="_Toc19738497"/>
      <w:bookmarkStart w:id="10631" w:name="_Toc19792327"/>
      <w:r>
        <w:rPr>
          <w:rFonts w:hint="cs"/>
          <w:rtl/>
        </w:rPr>
        <w:t>ביאור החזו"א דבנבילה שאינו ראויה לגר ומותרת אף בעין ההיתר הוא אף כשחל איסור</w:t>
      </w:r>
      <w:bookmarkEnd w:id="10626"/>
      <w:bookmarkEnd w:id="10627"/>
      <w:bookmarkEnd w:id="10628"/>
      <w:bookmarkEnd w:id="10629"/>
      <w:bookmarkEnd w:id="10630"/>
      <w:bookmarkEnd w:id="10631"/>
    </w:p>
    <w:p w:rsidR="00A82F1E" w:rsidRDefault="00A82F1E" w:rsidP="009F44AF">
      <w:pPr>
        <w:pStyle w:val="a"/>
        <w:rPr>
          <w:rStyle w:val="afa"/>
          <w:rtl/>
        </w:rPr>
      </w:pPr>
      <w:bookmarkStart w:id="10632" w:name="_Ref19614912"/>
      <w:r>
        <w:rPr>
          <w:rFonts w:hint="cs"/>
          <w:rtl/>
        </w:rPr>
        <w:t xml:space="preserve">אבל בנבילה שאינה ראויה לגר, ביאר </w:t>
      </w:r>
      <w:r w:rsidRPr="003167AC">
        <w:rPr>
          <w:rStyle w:val="af8"/>
          <w:rFonts w:hint="cs"/>
          <w:rtl/>
        </w:rPr>
        <w:t xml:space="preserve">החזו"א </w:t>
      </w:r>
      <w:r>
        <w:rPr>
          <w:rFonts w:hint="cs"/>
          <w:rtl/>
        </w:rPr>
        <w:t xml:space="preserve">את דברי </w:t>
      </w:r>
      <w:r w:rsidRPr="003167AC">
        <w:rPr>
          <w:rStyle w:val="af8"/>
          <w:rFonts w:hint="cs"/>
          <w:rtl/>
        </w:rPr>
        <w:t>התוס'</w:t>
      </w:r>
      <w:r>
        <w:rPr>
          <w:rFonts w:hint="cs"/>
          <w:rtl/>
        </w:rPr>
        <w:t xml:space="preserve"> דכיון שהוא פגם שמתיר אף נבילה בעין, לכן ס"ל לר"ש דאין כל חילוק בין סרוחה מעיקרא, לנבילה שהייתה משובחת והסריחה אח"כ.</w:t>
      </w:r>
      <w:r w:rsidRPr="003F3996">
        <w:rPr>
          <w:rStyle w:val="afa"/>
          <w:rFonts w:hint="cs"/>
          <w:rtl/>
        </w:rPr>
        <w:t xml:space="preserve"> [דהיינו דאף שחל עליה איסור מעיקרא כשלא הייתה סרוחה, מ"מ איסור זה אינו אוסרה כדין חתיכה נעשית נבילה, דהפגם שאינה ראויה לגר מתיר אף איסור בעין]</w:t>
      </w:r>
      <w:r>
        <w:rPr>
          <w:rStyle w:val="afa"/>
          <w:rFonts w:hint="cs"/>
          <w:rtl/>
        </w:rPr>
        <w:t>.</w:t>
      </w:r>
      <w:r>
        <w:rPr>
          <w:rFonts w:hint="cs"/>
          <w:rtl/>
        </w:rPr>
        <w:t xml:space="preserve"> </w:t>
      </w:r>
      <w:bookmarkEnd w:id="10632"/>
    </w:p>
    <w:p w:rsidR="00A82F1E" w:rsidRPr="00022B00" w:rsidRDefault="00A82F1E" w:rsidP="00A82F1E">
      <w:pPr>
        <w:pStyle w:val="a2"/>
      </w:pPr>
      <w:bookmarkStart w:id="10633" w:name="_Toc19738498"/>
      <w:bookmarkStart w:id="10634" w:name="_Toc19792328"/>
      <w:bookmarkStart w:id="10635" w:name="_Toc19651775"/>
      <w:bookmarkStart w:id="10636" w:name="_Toc19694947"/>
      <w:r>
        <w:rPr>
          <w:rFonts w:hint="cs"/>
          <w:rtl/>
        </w:rPr>
        <w:t>דברי החזו"א דלכו"ע אי נבילה שאינה ראויה לגר מותרת ילפינן דנטל"פ מותר</w:t>
      </w:r>
      <w:bookmarkEnd w:id="10633"/>
      <w:bookmarkEnd w:id="10634"/>
      <w:r>
        <w:rPr>
          <w:rFonts w:hint="cs"/>
          <w:rtl/>
        </w:rPr>
        <w:t xml:space="preserve"> </w:t>
      </w:r>
      <w:bookmarkEnd w:id="10635"/>
      <w:bookmarkEnd w:id="10636"/>
    </w:p>
    <w:p w:rsidR="00A82F1E" w:rsidRPr="000D4EB6" w:rsidRDefault="00A82F1E" w:rsidP="009F44AF">
      <w:pPr>
        <w:pStyle w:val="a"/>
        <w:rPr>
          <w:rStyle w:val="afa"/>
          <w:rtl/>
        </w:rPr>
      </w:pPr>
      <w:r>
        <w:rPr>
          <w:rFonts w:hint="cs"/>
          <w:rtl/>
        </w:rPr>
        <w:t xml:space="preserve">וכתב </w:t>
      </w:r>
      <w:r w:rsidRPr="000D4EB6">
        <w:rPr>
          <w:rStyle w:val="af8"/>
          <w:rFonts w:hint="cs"/>
          <w:rtl/>
        </w:rPr>
        <w:t>החזו"א</w:t>
      </w:r>
      <w:r>
        <w:rPr>
          <w:rFonts w:hint="cs"/>
          <w:rtl/>
        </w:rPr>
        <w:t xml:space="preserve"> דא"כ מבואר דכל ההיתר בנותן טעם לפגם, הוא רק אם הדין בנבילה דהיא מותרת כשאינה ראויה לגר, אבל אם הילפותא מנבילה היא רק בסרוחה מעיקרא, אבל בהשביחה ואח"כ נסרחה ואינה ראויה לגר</w:t>
      </w:r>
      <w:r w:rsidRPr="00D317CC">
        <w:rPr>
          <w:rFonts w:hint="cs"/>
          <w:rtl/>
        </w:rPr>
        <w:t xml:space="preserve"> </w:t>
      </w:r>
      <w:r>
        <w:rPr>
          <w:rFonts w:hint="cs"/>
          <w:rtl/>
        </w:rPr>
        <w:t xml:space="preserve">אסורה, ודאי דלכו"ע אף נותן טעם לפגם היה אסור. </w:t>
      </w:r>
      <w:r w:rsidRPr="00B203EA">
        <w:rPr>
          <w:rStyle w:val="afa"/>
          <w:rFonts w:hint="cs"/>
          <w:rtl/>
        </w:rPr>
        <w:t xml:space="preserve">[וכתב </w:t>
      </w:r>
      <w:r w:rsidRPr="00801926">
        <w:rPr>
          <w:rStyle w:val="affa"/>
          <w:rFonts w:hint="cs"/>
          <w:rtl/>
        </w:rPr>
        <w:t>החזו"א</w:t>
      </w:r>
      <w:r w:rsidRPr="00B203EA">
        <w:rPr>
          <w:rStyle w:val="afa"/>
          <w:rFonts w:hint="cs"/>
          <w:rtl/>
        </w:rPr>
        <w:t xml:space="preserve"> ד</w:t>
      </w:r>
      <w:r>
        <w:rPr>
          <w:rStyle w:val="afa"/>
          <w:rFonts w:hint="cs"/>
          <w:rtl/>
        </w:rPr>
        <w:t xml:space="preserve">רק </w:t>
      </w:r>
      <w:r w:rsidRPr="00B203EA">
        <w:rPr>
          <w:rStyle w:val="afa"/>
          <w:rFonts w:hint="cs"/>
          <w:rtl/>
        </w:rPr>
        <w:t xml:space="preserve">אחר דילפינן דנותן טעם לפגם מותר, </w:t>
      </w:r>
      <w:r>
        <w:rPr>
          <w:rStyle w:val="afa"/>
          <w:rFonts w:hint="cs"/>
          <w:rtl/>
        </w:rPr>
        <w:t>שייך לדון</w:t>
      </w:r>
      <w:r w:rsidRPr="00B203EA">
        <w:rPr>
          <w:rStyle w:val="afa"/>
          <w:rFonts w:hint="cs"/>
          <w:rtl/>
        </w:rPr>
        <w:t xml:space="preserve"> האם בהשביח ולבסוף פגם, ג"כ מותר, או דכיון שנאסר בשעה שהשביח א"א לחזור ולהתירו</w:t>
      </w:r>
      <w:r>
        <w:rPr>
          <w:rStyle w:val="afa"/>
          <w:rFonts w:hint="cs"/>
          <w:rtl/>
        </w:rPr>
        <w:t>,</w:t>
      </w:r>
      <w:r w:rsidRPr="00B203EA">
        <w:rPr>
          <w:rStyle w:val="afa"/>
          <w:rFonts w:hint="cs"/>
          <w:rtl/>
        </w:rPr>
        <w:t xml:space="preserve"> וכתב </w:t>
      </w:r>
      <w:r w:rsidRPr="00801926">
        <w:rPr>
          <w:rStyle w:val="affa"/>
          <w:rFonts w:hint="cs"/>
          <w:rtl/>
        </w:rPr>
        <w:t>החזו"א</w:t>
      </w:r>
      <w:r>
        <w:rPr>
          <w:rStyle w:val="afa"/>
          <w:rFonts w:hint="cs"/>
          <w:rtl/>
        </w:rPr>
        <w:t xml:space="preserve"> דכן היא דעת </w:t>
      </w:r>
      <w:r w:rsidRPr="00801926">
        <w:rPr>
          <w:rStyle w:val="affa"/>
          <w:rFonts w:hint="cs"/>
          <w:rtl/>
        </w:rPr>
        <w:t>הרמב"ם</w:t>
      </w:r>
      <w:r>
        <w:rPr>
          <w:rStyle w:val="afa"/>
          <w:rFonts w:hint="cs"/>
          <w:rtl/>
        </w:rPr>
        <w:t xml:space="preserve"> </w:t>
      </w:r>
      <w:r w:rsidRPr="00801926">
        <w:rPr>
          <w:rStyle w:val="aff6"/>
          <w:rFonts w:hint="cs"/>
          <w:rtl/>
        </w:rPr>
        <w:t xml:space="preserve">(עי' אות </w:t>
      </w:r>
      <w:r w:rsidRPr="00801926">
        <w:rPr>
          <w:rStyle w:val="aff6"/>
          <w:rtl/>
        </w:rPr>
        <w:fldChar w:fldCharType="begin"/>
      </w:r>
      <w:r w:rsidRPr="00801926">
        <w:rPr>
          <w:rStyle w:val="aff6"/>
          <w:rtl/>
        </w:rPr>
        <w:instrText xml:space="preserve"> </w:instrText>
      </w:r>
      <w:r w:rsidRPr="00801926">
        <w:rPr>
          <w:rStyle w:val="aff6"/>
          <w:rFonts w:hint="cs"/>
        </w:rPr>
        <w:instrText>REF</w:instrText>
      </w:r>
      <w:r w:rsidRPr="00801926">
        <w:rPr>
          <w:rStyle w:val="aff6"/>
          <w:rFonts w:hint="cs"/>
          <w:rtl/>
        </w:rPr>
        <w:instrText xml:space="preserve"> _</w:instrText>
      </w:r>
      <w:r w:rsidRPr="00801926">
        <w:rPr>
          <w:rStyle w:val="aff6"/>
          <w:rFonts w:hint="cs"/>
        </w:rPr>
        <w:instrText>Ref19777685 \r \h</w:instrText>
      </w:r>
      <w:r w:rsidRPr="00801926">
        <w:rPr>
          <w:rStyle w:val="aff6"/>
          <w:rtl/>
        </w:rPr>
        <w:instrText xml:space="preserve"> </w:instrText>
      </w:r>
      <w:r w:rsidRPr="00801926">
        <w:rPr>
          <w:rStyle w:val="aff6"/>
          <w:rtl/>
        </w:rPr>
      </w:r>
      <w:r w:rsidRPr="00801926">
        <w:rPr>
          <w:rStyle w:val="aff6"/>
          <w:rtl/>
        </w:rPr>
        <w:fldChar w:fldCharType="separate"/>
      </w:r>
      <w:r w:rsidR="004D1C5B">
        <w:rPr>
          <w:rStyle w:val="aff6"/>
          <w:cs/>
        </w:rPr>
        <w:t>‎</w:t>
      </w:r>
      <w:r w:rsidR="004D1C5B">
        <w:rPr>
          <w:rStyle w:val="aff6"/>
          <w:rtl/>
        </w:rPr>
        <w:t>כד)</w:t>
      </w:r>
      <w:r w:rsidRPr="00801926">
        <w:rPr>
          <w:rStyle w:val="aff6"/>
          <w:rtl/>
        </w:rPr>
        <w:fldChar w:fldCharType="end"/>
      </w:r>
      <w:r>
        <w:rPr>
          <w:rStyle w:val="afa"/>
          <w:rFonts w:hint="cs"/>
          <w:rtl/>
        </w:rPr>
        <w:t xml:space="preserve"> דנותן טעם לפגם מותר, ואסר בהשביח ולבסוף פגם, אך כתב </w:t>
      </w:r>
      <w:r w:rsidRPr="00801926">
        <w:rPr>
          <w:rStyle w:val="affa"/>
          <w:rFonts w:hint="cs"/>
          <w:rtl/>
        </w:rPr>
        <w:t>החזו"א</w:t>
      </w:r>
      <w:r>
        <w:rPr>
          <w:rStyle w:val="afa"/>
          <w:rFonts w:hint="cs"/>
          <w:rtl/>
        </w:rPr>
        <w:t xml:space="preserve"> דכיון דפסק </w:t>
      </w:r>
      <w:r w:rsidRPr="00B203EA">
        <w:rPr>
          <w:rStyle w:val="afa"/>
          <w:rFonts w:hint="cs"/>
          <w:rtl/>
        </w:rPr>
        <w:t xml:space="preserve"> </w:t>
      </w:r>
      <w:r w:rsidRPr="00801926">
        <w:rPr>
          <w:rStyle w:val="affa"/>
          <w:rFonts w:hint="cs"/>
          <w:rtl/>
        </w:rPr>
        <w:t>הרמב"ם</w:t>
      </w:r>
      <w:r w:rsidRPr="00B203EA">
        <w:rPr>
          <w:rStyle w:val="afa"/>
          <w:rFonts w:hint="cs"/>
          <w:rtl/>
        </w:rPr>
        <w:t xml:space="preserve"> דנותן טעם לפגם מותר, א"כ ודאי דקיי"ל דנבילה</w:t>
      </w:r>
      <w:r w:rsidRPr="000D4EB6">
        <w:rPr>
          <w:rStyle w:val="afa"/>
          <w:rFonts w:hint="cs"/>
          <w:rtl/>
        </w:rPr>
        <w:t xml:space="preserve"> שאינה ראויה לגר מותרת, ודלא </w:t>
      </w:r>
      <w:r w:rsidRPr="000D4EB6">
        <w:rPr>
          <w:rStyle w:val="affa"/>
          <w:rFonts w:hint="cs"/>
          <w:rtl/>
        </w:rPr>
        <w:t>כהנוב"י</w:t>
      </w:r>
      <w:r w:rsidRPr="000D4EB6">
        <w:rPr>
          <w:rStyle w:val="afa"/>
          <w:rFonts w:hint="cs"/>
          <w:rtl/>
        </w:rPr>
        <w:t xml:space="preserve"> </w:t>
      </w:r>
      <w:r>
        <w:rPr>
          <w:rStyle w:val="aff6"/>
          <w:rFonts w:hint="cs"/>
          <w:rtl/>
        </w:rPr>
        <w:t xml:space="preserve">(עי' </w:t>
      </w:r>
      <w:r w:rsidRPr="005F526D">
        <w:rPr>
          <w:rStyle w:val="aff6"/>
          <w:rFonts w:hint="cs"/>
          <w:rtl/>
        </w:rPr>
        <w:t xml:space="preserve">אות </w:t>
      </w:r>
      <w:r w:rsidRPr="005F526D">
        <w:rPr>
          <w:rStyle w:val="aff6"/>
          <w:rtl/>
        </w:rPr>
        <w:fldChar w:fldCharType="begin"/>
      </w:r>
      <w:r w:rsidRPr="005F526D">
        <w:rPr>
          <w:rStyle w:val="aff6"/>
          <w:rtl/>
        </w:rPr>
        <w:instrText xml:space="preserve"> </w:instrText>
      </w:r>
      <w:r w:rsidRPr="005F526D">
        <w:rPr>
          <w:rStyle w:val="aff6"/>
          <w:rFonts w:hint="cs"/>
        </w:rPr>
        <w:instrText>REF</w:instrText>
      </w:r>
      <w:r w:rsidRPr="005F526D">
        <w:rPr>
          <w:rStyle w:val="aff6"/>
          <w:rFonts w:hint="cs"/>
          <w:rtl/>
        </w:rPr>
        <w:instrText xml:space="preserve"> _</w:instrText>
      </w:r>
      <w:r w:rsidRPr="005F526D">
        <w:rPr>
          <w:rStyle w:val="aff6"/>
          <w:rFonts w:hint="cs"/>
        </w:rPr>
        <w:instrText>Ref19787737 \r \h</w:instrText>
      </w:r>
      <w:r w:rsidRPr="005F526D">
        <w:rPr>
          <w:rStyle w:val="aff6"/>
          <w:rtl/>
        </w:rPr>
        <w:instrText xml:space="preserve"> </w:instrText>
      </w:r>
      <w:r w:rsidRPr="005F526D">
        <w:rPr>
          <w:rStyle w:val="aff6"/>
          <w:rtl/>
        </w:rPr>
      </w:r>
      <w:r w:rsidRPr="005F526D">
        <w:rPr>
          <w:rStyle w:val="aff6"/>
          <w:rtl/>
        </w:rPr>
        <w:fldChar w:fldCharType="separate"/>
      </w:r>
      <w:r w:rsidR="004D1C5B">
        <w:rPr>
          <w:rStyle w:val="aff6"/>
          <w:cs/>
        </w:rPr>
        <w:t>‎</w:t>
      </w:r>
      <w:r w:rsidR="004D1C5B">
        <w:rPr>
          <w:rStyle w:val="aff6"/>
          <w:rtl/>
        </w:rPr>
        <w:t>עז)</w:t>
      </w:r>
      <w:r w:rsidRPr="005F526D">
        <w:rPr>
          <w:rStyle w:val="aff6"/>
          <w:rtl/>
        </w:rPr>
        <w:fldChar w:fldCharType="end"/>
      </w:r>
      <w:r w:rsidRPr="000D4EB6">
        <w:rPr>
          <w:rStyle w:val="afa"/>
          <w:rFonts w:hint="cs"/>
          <w:rtl/>
        </w:rPr>
        <w:t>].</w:t>
      </w:r>
    </w:p>
    <w:p w:rsidR="00A82F1E" w:rsidRPr="008F25F1" w:rsidRDefault="00A82F1E" w:rsidP="00A82F1E">
      <w:pPr>
        <w:pStyle w:val="1"/>
        <w:rPr>
          <w:rtl/>
        </w:rPr>
      </w:pPr>
      <w:bookmarkStart w:id="10637" w:name="_Toc19738499"/>
      <w:bookmarkStart w:id="10638" w:name="_Toc19792329"/>
      <w:bookmarkStart w:id="10639" w:name="_Toc19651776"/>
      <w:bookmarkStart w:id="10640" w:name="_Toc19694948"/>
      <w:bookmarkStart w:id="10641" w:name="_Toc19618206"/>
      <w:bookmarkStart w:id="10642" w:name="_Toc19624484"/>
      <w:bookmarkStart w:id="10643" w:name="_Toc19479358"/>
      <w:bookmarkStart w:id="10644" w:name="_Toc19618203"/>
      <w:bookmarkStart w:id="10645" w:name="_Toc19624481"/>
      <w:bookmarkStart w:id="10646" w:name="_Toc19479357"/>
      <w:r>
        <w:rPr>
          <w:rFonts w:hint="cs"/>
          <w:rtl/>
        </w:rPr>
        <w:t>ביאור הראב"ד בדעת ריו"ח דפגום מעיקרא לא דמי לנבילה</w:t>
      </w:r>
      <w:bookmarkEnd w:id="10637"/>
      <w:bookmarkEnd w:id="10638"/>
    </w:p>
    <w:p w:rsidR="00A82F1E" w:rsidRPr="00240B2E" w:rsidRDefault="00A82F1E" w:rsidP="00A82F1E">
      <w:pPr>
        <w:pStyle w:val="a2"/>
        <w:rPr>
          <w:rtl/>
        </w:rPr>
      </w:pPr>
      <w:bookmarkStart w:id="10647" w:name="_Toc19738500"/>
      <w:bookmarkStart w:id="10648" w:name="_Toc19792330"/>
      <w:r>
        <w:rPr>
          <w:rFonts w:hint="cs"/>
          <w:rtl/>
        </w:rPr>
        <w:t>דברי הראב"ד דלריו"ח פגום מעיקרא חל עליו איסור דהוא אוכל פגום ואיסורו לא נפגם כלל</w:t>
      </w:r>
      <w:bookmarkEnd w:id="10647"/>
      <w:bookmarkEnd w:id="10648"/>
    </w:p>
    <w:p w:rsidR="00A82F1E" w:rsidRDefault="00A82F1E" w:rsidP="009F44AF">
      <w:pPr>
        <w:pStyle w:val="a"/>
      </w:pPr>
      <w:bookmarkStart w:id="10649" w:name="_Ref19737834"/>
      <w:r w:rsidRPr="00240B2E">
        <w:rPr>
          <w:rFonts w:hint="cs"/>
          <w:rtl/>
        </w:rPr>
        <w:t xml:space="preserve">בדברי ריו"ח דנחלקו בפגום </w:t>
      </w:r>
      <w:r>
        <w:rPr>
          <w:rFonts w:hint="cs"/>
          <w:rtl/>
        </w:rPr>
        <w:t>מעיקרא</w:t>
      </w:r>
      <w:r w:rsidRPr="00240B2E">
        <w:rPr>
          <w:rFonts w:hint="cs"/>
          <w:rtl/>
        </w:rPr>
        <w:t xml:space="preserve">, ביאר </w:t>
      </w:r>
      <w:r w:rsidRPr="00240B2E">
        <w:rPr>
          <w:rStyle w:val="af8"/>
          <w:rFonts w:hint="cs"/>
          <w:rtl/>
        </w:rPr>
        <w:t xml:space="preserve">בפי' הראב"ד </w:t>
      </w:r>
      <w:r w:rsidRPr="00240B2E">
        <w:rPr>
          <w:rFonts w:hint="cs"/>
          <w:rtl/>
        </w:rPr>
        <w:t xml:space="preserve"> </w:t>
      </w:r>
      <w:r w:rsidRPr="00240B2E">
        <w:rPr>
          <w:rStyle w:val="af6"/>
          <w:rFonts w:eastAsia="Guttman Hodes" w:hint="cs"/>
          <w:rtl/>
        </w:rPr>
        <w:t>(ד"ה ריו"ח, הועתק בקובץ שיטות קמאי ע"ז ח"ב עמ' אלף תר</w:t>
      </w:r>
      <w:r>
        <w:rPr>
          <w:rStyle w:val="af6"/>
          <w:rFonts w:eastAsia="Guttman Hodes" w:hint="cs"/>
          <w:rtl/>
        </w:rPr>
        <w:t>מ</w:t>
      </w:r>
      <w:r w:rsidRPr="00240B2E">
        <w:rPr>
          <w:rStyle w:val="af6"/>
          <w:rFonts w:eastAsia="Guttman Hodes" w:hint="cs"/>
          <w:rtl/>
        </w:rPr>
        <w:t>"</w:t>
      </w:r>
      <w:r>
        <w:rPr>
          <w:rStyle w:val="af6"/>
          <w:rFonts w:eastAsia="Guttman Hodes" w:hint="cs"/>
          <w:rtl/>
        </w:rPr>
        <w:t>ז</w:t>
      </w:r>
      <w:r w:rsidRPr="00240B2E">
        <w:rPr>
          <w:rStyle w:val="af6"/>
          <w:rFonts w:eastAsia="Guttman Hodes" w:hint="cs"/>
          <w:rtl/>
        </w:rPr>
        <w:t>)</w:t>
      </w:r>
      <w:r w:rsidRPr="00240B2E">
        <w:rPr>
          <w:rFonts w:hint="cs"/>
          <w:rtl/>
        </w:rPr>
        <w:t xml:space="preserve"> דס"ל לריו"ח ד</w:t>
      </w:r>
      <w:r>
        <w:rPr>
          <w:rFonts w:hint="cs"/>
          <w:rtl/>
        </w:rPr>
        <w:t>אף דר"מ מתיר בנבילה שסרוחה מעיקרא, מ"מ אסר ר"מ ב</w:t>
      </w:r>
      <w:r w:rsidRPr="00240B2E">
        <w:rPr>
          <w:rFonts w:hint="cs"/>
          <w:rtl/>
        </w:rPr>
        <w:t>פגום מעיקר</w:t>
      </w:r>
      <w:r>
        <w:rPr>
          <w:rFonts w:hint="cs"/>
          <w:rtl/>
        </w:rPr>
        <w:t>א, ד</w:t>
      </w:r>
      <w:r w:rsidRPr="00240B2E">
        <w:rPr>
          <w:rFonts w:hint="cs"/>
          <w:rtl/>
        </w:rPr>
        <w:t xml:space="preserve">לא דמי לנבילה סרוחה מעיקרא, </w:t>
      </w:r>
      <w:r w:rsidRPr="00201F3B">
        <w:rPr>
          <w:rStyle w:val="afa"/>
          <w:rFonts w:hint="cs"/>
          <w:rtl/>
        </w:rPr>
        <w:t xml:space="preserve">[ופליג על עולא דס"ל דהוא כנבילה סרוחה, כדביאר </w:t>
      </w:r>
      <w:r w:rsidRPr="00201F3B">
        <w:rPr>
          <w:rStyle w:val="affa"/>
          <w:rFonts w:hint="cs"/>
          <w:rtl/>
        </w:rPr>
        <w:t>הראב"ד</w:t>
      </w:r>
      <w:r w:rsidRPr="00201F3B">
        <w:rPr>
          <w:rStyle w:val="afa"/>
          <w:rFonts w:hint="cs"/>
          <w:rtl/>
        </w:rPr>
        <w:t xml:space="preserve"> </w:t>
      </w:r>
      <w:r w:rsidRPr="00201F3B">
        <w:rPr>
          <w:rStyle w:val="aff6"/>
          <w:rFonts w:hint="cs"/>
          <w:rtl/>
        </w:rPr>
        <w:t xml:space="preserve">(עי' אות </w:t>
      </w:r>
      <w:r w:rsidRPr="00201F3B">
        <w:rPr>
          <w:rStyle w:val="aff6"/>
          <w:rtl/>
        </w:rPr>
        <w:fldChar w:fldCharType="begin"/>
      </w:r>
      <w:r w:rsidRPr="00201F3B">
        <w:rPr>
          <w:rStyle w:val="aff6"/>
          <w:rtl/>
        </w:rPr>
        <w:instrText xml:space="preserve"> </w:instrText>
      </w:r>
      <w:r w:rsidRPr="00201F3B">
        <w:rPr>
          <w:rStyle w:val="aff6"/>
          <w:rFonts w:hint="cs"/>
        </w:rPr>
        <w:instrText>REF</w:instrText>
      </w:r>
      <w:r w:rsidRPr="00201F3B">
        <w:rPr>
          <w:rStyle w:val="aff6"/>
          <w:rFonts w:hint="cs"/>
          <w:rtl/>
        </w:rPr>
        <w:instrText xml:space="preserve"> _</w:instrText>
      </w:r>
      <w:r w:rsidRPr="00201F3B">
        <w:rPr>
          <w:rStyle w:val="aff6"/>
          <w:rFonts w:hint="cs"/>
        </w:rPr>
        <w:instrText>Ref19218746 \r \h</w:instrText>
      </w:r>
      <w:r w:rsidRPr="00201F3B">
        <w:rPr>
          <w:rStyle w:val="aff6"/>
          <w:rtl/>
        </w:rPr>
        <w:instrText xml:space="preserve"> </w:instrText>
      </w:r>
      <w:r w:rsidRPr="00201F3B">
        <w:rPr>
          <w:rStyle w:val="aff6"/>
          <w:rtl/>
        </w:rPr>
      </w:r>
      <w:r w:rsidRPr="00201F3B">
        <w:rPr>
          <w:rStyle w:val="aff6"/>
          <w:rtl/>
        </w:rPr>
        <w:fldChar w:fldCharType="separate"/>
      </w:r>
      <w:r w:rsidR="004D1C5B">
        <w:rPr>
          <w:rStyle w:val="aff6"/>
          <w:cs/>
        </w:rPr>
        <w:t>‎</w:t>
      </w:r>
      <w:r w:rsidR="004D1C5B">
        <w:rPr>
          <w:rStyle w:val="aff6"/>
          <w:rtl/>
        </w:rPr>
        <w:t>סד)</w:t>
      </w:r>
      <w:r w:rsidRPr="00201F3B">
        <w:rPr>
          <w:rStyle w:val="aff6"/>
          <w:rtl/>
        </w:rPr>
        <w:fldChar w:fldCharType="end"/>
      </w:r>
      <w:r w:rsidRPr="00201F3B">
        <w:rPr>
          <w:rStyle w:val="afa"/>
          <w:rFonts w:hint="cs"/>
          <w:rtl/>
        </w:rPr>
        <w:t>],</w:t>
      </w:r>
      <w:r>
        <w:rPr>
          <w:rFonts w:hint="cs"/>
          <w:rtl/>
        </w:rPr>
        <w:t xml:space="preserve"> דבנבילה האיסור עצמו היה פגום מעיקרא, ולא חל עליו איסור מחמת שהיה פגום, אבל בפגום מעיקרא הוא אוכל שהוא פגום, אך כשהוא בעין חל עליו איסור לגמרי, ולא נפגם איסורו כלל.</w:t>
      </w:r>
      <w:bookmarkEnd w:id="10649"/>
    </w:p>
    <w:p w:rsidR="00A82F1E" w:rsidRDefault="00A82F1E" w:rsidP="00A82F1E">
      <w:pPr>
        <w:pStyle w:val="1"/>
        <w:rPr>
          <w:rtl/>
        </w:rPr>
      </w:pPr>
      <w:bookmarkStart w:id="10650" w:name="_Toc19738501"/>
      <w:bookmarkStart w:id="10651" w:name="_Toc19792331"/>
      <w:r>
        <w:rPr>
          <w:rFonts w:hint="cs"/>
          <w:rtl/>
        </w:rPr>
        <w:t>ביאור החת"ס בעולא</w:t>
      </w:r>
      <w:bookmarkEnd w:id="10639"/>
      <w:bookmarkEnd w:id="10640"/>
      <w:bookmarkEnd w:id="10650"/>
      <w:r>
        <w:rPr>
          <w:rFonts w:hint="cs"/>
          <w:rtl/>
        </w:rPr>
        <w:t xml:space="preserve"> </w:t>
      </w:r>
      <w:bookmarkEnd w:id="10641"/>
      <w:bookmarkEnd w:id="10642"/>
      <w:r>
        <w:rPr>
          <w:rFonts w:hint="cs"/>
          <w:rtl/>
        </w:rPr>
        <w:t>דלר"מ נעשה חנ"נ ולר"ש חוזר ומותר</w:t>
      </w:r>
      <w:bookmarkEnd w:id="10651"/>
    </w:p>
    <w:p w:rsidR="00A82F1E" w:rsidRPr="00C42091" w:rsidRDefault="00A82F1E" w:rsidP="00A82F1E">
      <w:pPr>
        <w:pStyle w:val="a2"/>
        <w:rPr>
          <w:rtl/>
        </w:rPr>
      </w:pPr>
      <w:bookmarkStart w:id="10652" w:name="_Toc19651777"/>
      <w:bookmarkStart w:id="10653" w:name="_Toc19694949"/>
      <w:bookmarkStart w:id="10654" w:name="_Toc19738502"/>
      <w:bookmarkStart w:id="10655" w:name="_Toc19792332"/>
      <w:r>
        <w:rPr>
          <w:rFonts w:hint="cs"/>
          <w:rtl/>
        </w:rPr>
        <w:t>ביאור החת"ס דלעולא א"א לומר דר"מ פליג על הילפותא מנבילה דא"כ מתני' דלא כר"מ</w:t>
      </w:r>
      <w:bookmarkEnd w:id="10652"/>
      <w:bookmarkEnd w:id="10653"/>
      <w:bookmarkEnd w:id="10654"/>
      <w:bookmarkEnd w:id="10655"/>
      <w:r>
        <w:rPr>
          <w:rFonts w:hint="cs"/>
          <w:rtl/>
        </w:rPr>
        <w:t xml:space="preserve"> </w:t>
      </w:r>
    </w:p>
    <w:p w:rsidR="00A82F1E" w:rsidRDefault="00A82F1E" w:rsidP="009F44AF">
      <w:pPr>
        <w:pStyle w:val="a"/>
        <w:rPr>
          <w:rtl/>
        </w:rPr>
      </w:pPr>
      <w:r>
        <w:rPr>
          <w:rFonts w:hint="cs"/>
          <w:rtl/>
        </w:rPr>
        <w:t xml:space="preserve">כתב </w:t>
      </w:r>
      <w:r w:rsidRPr="00574D24">
        <w:rPr>
          <w:rStyle w:val="af8"/>
          <w:rFonts w:hint="cs"/>
          <w:rtl/>
        </w:rPr>
        <w:t>החת"ס</w:t>
      </w:r>
      <w:r>
        <w:rPr>
          <w:rFonts w:hint="cs"/>
          <w:rtl/>
        </w:rPr>
        <w:t xml:space="preserve"> </w:t>
      </w:r>
      <w:r w:rsidRPr="00574D24">
        <w:rPr>
          <w:rStyle w:val="af6"/>
          <w:rFonts w:eastAsia="Guttman Hodes" w:hint="cs"/>
          <w:rtl/>
        </w:rPr>
        <w:t>(ד"ה מחלוקת)</w:t>
      </w:r>
      <w:r>
        <w:rPr>
          <w:rFonts w:hint="cs"/>
          <w:rtl/>
        </w:rPr>
        <w:t xml:space="preserve"> דעולא ס"ל דלא נחלקו ר"מ ור"ש בילפותא מנבילה, דאי ר"מ פליג על הילפותא בנבילה וס"ל דההיתר בנבילה רק בסרוחה מעיקרא, א"כ סתמא דמתני' לעיל </w:t>
      </w:r>
      <w:r w:rsidRPr="00574D24">
        <w:rPr>
          <w:rStyle w:val="af6"/>
          <w:rFonts w:eastAsia="Guttman Hodes" w:hint="cs"/>
          <w:rtl/>
        </w:rPr>
        <w:t>(סה:)</w:t>
      </w:r>
      <w:r>
        <w:rPr>
          <w:rFonts w:hint="cs"/>
          <w:rtl/>
        </w:rPr>
        <w:t xml:space="preserve"> דהתירה בפגום מעיקרא היא דלא כר"מ, ולכן ביאר עולא דמתני' דפגום מעיקרא מותר, היא לכו"ע, ונחלקו בהשביח ולבסוף פגם.</w:t>
      </w:r>
    </w:p>
    <w:p w:rsidR="00A82F1E" w:rsidRPr="007C353C" w:rsidRDefault="00A82F1E" w:rsidP="00A82F1E">
      <w:pPr>
        <w:pStyle w:val="a2"/>
        <w:rPr>
          <w:rtl/>
        </w:rPr>
      </w:pPr>
      <w:bookmarkStart w:id="10656" w:name="_Toc19651778"/>
      <w:bookmarkStart w:id="10657" w:name="_Toc19694950"/>
      <w:bookmarkStart w:id="10658" w:name="_Toc19738503"/>
      <w:bookmarkStart w:id="10659" w:name="_Toc19792333"/>
      <w:r>
        <w:rPr>
          <w:rFonts w:hint="cs"/>
          <w:rtl/>
        </w:rPr>
        <w:t xml:space="preserve">ביאור החת"ס </w:t>
      </w:r>
      <w:r w:rsidRPr="007C353C">
        <w:rPr>
          <w:rFonts w:hint="cs"/>
          <w:rtl/>
        </w:rPr>
        <w:t>בעולא דלר"מ השביח ולבסוף פגם אסור כדין חנ"נ ולר"ש חוזר ונעשה היתר</w:t>
      </w:r>
      <w:bookmarkEnd w:id="10656"/>
      <w:bookmarkEnd w:id="10657"/>
      <w:bookmarkEnd w:id="10658"/>
      <w:bookmarkEnd w:id="10659"/>
    </w:p>
    <w:p w:rsidR="00A82F1E" w:rsidRDefault="00A82F1E" w:rsidP="009F44AF">
      <w:pPr>
        <w:pStyle w:val="a"/>
        <w:rPr>
          <w:rtl/>
        </w:rPr>
      </w:pPr>
      <w:bookmarkStart w:id="10660" w:name="_Ref19635096"/>
      <w:r w:rsidRPr="007C353C">
        <w:rPr>
          <w:rFonts w:hint="cs"/>
          <w:rtl/>
        </w:rPr>
        <w:t xml:space="preserve">וכתב </w:t>
      </w:r>
      <w:r w:rsidRPr="007C353C">
        <w:rPr>
          <w:rStyle w:val="af8"/>
          <w:rFonts w:hint="cs"/>
          <w:rtl/>
        </w:rPr>
        <w:t>החת"ס</w:t>
      </w:r>
      <w:r w:rsidRPr="007C353C">
        <w:rPr>
          <w:rFonts w:hint="cs"/>
          <w:rtl/>
        </w:rPr>
        <w:t xml:space="preserve"> </w:t>
      </w:r>
      <w:r w:rsidRPr="007C353C">
        <w:rPr>
          <w:rStyle w:val="af6"/>
          <w:rFonts w:eastAsia="Guttman Hodes" w:hint="cs"/>
          <w:rtl/>
        </w:rPr>
        <w:t>(ד"ה מחלוקת, סז. ד"ה והא דהשביח)</w:t>
      </w:r>
      <w:r w:rsidRPr="007C353C">
        <w:rPr>
          <w:rFonts w:hint="cs"/>
          <w:rtl/>
        </w:rPr>
        <w:t xml:space="preserve"> דבהשביח ולבסוף פגם לדעת ר"מ אליבא דעולא, האיסור הוא כמו דין חתיכה נעשית נבילה </w:t>
      </w:r>
      <w:r w:rsidRPr="007C353C">
        <w:rPr>
          <w:rStyle w:val="af6"/>
          <w:rFonts w:eastAsia="Guttman Hodes" w:hint="cs"/>
          <w:rtl/>
        </w:rPr>
        <w:t>(לקמן קח.)</w:t>
      </w:r>
      <w:r w:rsidRPr="007C353C">
        <w:rPr>
          <w:rFonts w:hint="cs"/>
          <w:rtl/>
        </w:rPr>
        <w:t xml:space="preserve">, דכיון שהשביח בתחילה נאסר, אעפ"י שאח"כ נפגם, </w:t>
      </w:r>
      <w:r w:rsidRPr="007C353C">
        <w:rPr>
          <w:rStyle w:val="afa"/>
          <w:rFonts w:hint="cs"/>
          <w:rtl/>
        </w:rPr>
        <w:t>[דהיינו פגום במקצת והוא עדיין ראוי</w:t>
      </w:r>
      <w:r w:rsidRPr="00574D24">
        <w:rPr>
          <w:rStyle w:val="afa"/>
          <w:rFonts w:hint="cs"/>
          <w:rtl/>
        </w:rPr>
        <w:t xml:space="preserve"> לגר, כדין נותן טעם לפגם], </w:t>
      </w:r>
      <w:r>
        <w:rPr>
          <w:rFonts w:hint="cs"/>
          <w:rtl/>
        </w:rPr>
        <w:t xml:space="preserve">וס"ל לר"מ דאעפ"י דאפשר </w:t>
      </w:r>
      <w:r>
        <w:rPr>
          <w:rFonts w:hint="cs"/>
          <w:rtl/>
        </w:rPr>
        <w:lastRenderedPageBreak/>
        <w:t xml:space="preserve">לסחוט את האיסור, מ"מ החתיכה עצמה נעשית נבילה, ובדעת ר"ש ביאר </w:t>
      </w:r>
      <w:r w:rsidRPr="00574D24">
        <w:rPr>
          <w:rStyle w:val="af8"/>
          <w:rFonts w:hint="cs"/>
          <w:rtl/>
        </w:rPr>
        <w:t>החת"ס</w:t>
      </w:r>
      <w:r>
        <w:rPr>
          <w:rFonts w:hint="cs"/>
          <w:rtl/>
        </w:rPr>
        <w:t xml:space="preserve"> דס"ל דלא דמי לאפשר לסוחטו, וכל שנפגם התבשיל הוא חוזר ונעשה היתר. [ועי' במה שביאר </w:t>
      </w:r>
      <w:r w:rsidRPr="0077244F">
        <w:rPr>
          <w:rStyle w:val="af8"/>
          <w:rFonts w:hint="cs"/>
          <w:rtl/>
        </w:rPr>
        <w:t>החת"ס</w:t>
      </w:r>
      <w:r w:rsidRPr="0077244F">
        <w:rPr>
          <w:rStyle w:val="af6"/>
          <w:rFonts w:eastAsia="Guttman Hodes" w:hint="cs"/>
          <w:rtl/>
        </w:rPr>
        <w:t xml:space="preserve"> (עי' אות </w:t>
      </w:r>
      <w:r w:rsidRPr="0077244F">
        <w:rPr>
          <w:rStyle w:val="af6"/>
          <w:rFonts w:eastAsia="Guttman Hodes"/>
          <w:rtl/>
        </w:rPr>
        <w:fldChar w:fldCharType="begin"/>
      </w:r>
      <w:r w:rsidRPr="0077244F">
        <w:rPr>
          <w:rStyle w:val="af6"/>
          <w:rFonts w:eastAsia="Guttman Hodes"/>
          <w:rtl/>
        </w:rPr>
        <w:instrText xml:space="preserve"> </w:instrText>
      </w:r>
      <w:r w:rsidRPr="0077244F">
        <w:rPr>
          <w:rStyle w:val="af6"/>
          <w:rFonts w:eastAsia="Guttman Hodes" w:hint="cs"/>
        </w:rPr>
        <w:instrText>REF</w:instrText>
      </w:r>
      <w:r w:rsidRPr="0077244F">
        <w:rPr>
          <w:rStyle w:val="af6"/>
          <w:rFonts w:eastAsia="Guttman Hodes" w:hint="cs"/>
          <w:rtl/>
        </w:rPr>
        <w:instrText xml:space="preserve"> _</w:instrText>
      </w:r>
      <w:r w:rsidRPr="0077244F">
        <w:rPr>
          <w:rStyle w:val="af6"/>
          <w:rFonts w:eastAsia="Guttman Hodes" w:hint="cs"/>
        </w:rPr>
        <w:instrText>Ref19635070 \r \h</w:instrText>
      </w:r>
      <w:r w:rsidRPr="0077244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7244F">
        <w:rPr>
          <w:rStyle w:val="af6"/>
          <w:rFonts w:eastAsia="Guttman Hodes"/>
          <w:rtl/>
        </w:rPr>
      </w:r>
      <w:r w:rsidRPr="0077244F">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sidRPr="0077244F">
        <w:rPr>
          <w:rStyle w:val="af6"/>
          <w:rFonts w:eastAsia="Guttman Hodes"/>
          <w:rtl/>
        </w:rPr>
        <w:fldChar w:fldCharType="end"/>
      </w:r>
      <w:r w:rsidRPr="0077244F">
        <w:rPr>
          <w:rStyle w:val="af6"/>
          <w:rFonts w:eastAsia="Guttman Hodes" w:hint="cs"/>
          <w:rtl/>
        </w:rPr>
        <w:t xml:space="preserve"> </w:t>
      </w:r>
      <w:r>
        <w:rPr>
          <w:rFonts w:hint="cs"/>
          <w:rtl/>
        </w:rPr>
        <w:t>דריו"ח פליג על סברא זו].</w:t>
      </w:r>
      <w:bookmarkEnd w:id="10660"/>
    </w:p>
    <w:p w:rsidR="00A82F1E" w:rsidRPr="0053585F" w:rsidRDefault="00A82F1E" w:rsidP="00A82F1E">
      <w:pPr>
        <w:pStyle w:val="1"/>
        <w:rPr>
          <w:rtl/>
        </w:rPr>
      </w:pPr>
      <w:bookmarkStart w:id="10661" w:name="_Toc19651789"/>
      <w:bookmarkStart w:id="10662" w:name="_Toc19694951"/>
      <w:bookmarkStart w:id="10663" w:name="_Toc19738504"/>
      <w:bookmarkStart w:id="10664" w:name="_Toc19792334"/>
      <w:bookmarkStart w:id="10665" w:name="_Toc19651779"/>
      <w:r>
        <w:rPr>
          <w:rFonts w:hint="cs"/>
          <w:rtl/>
        </w:rPr>
        <w:t xml:space="preserve">ביאור התוס' </w:t>
      </w:r>
      <w:bookmarkEnd w:id="10661"/>
      <w:bookmarkEnd w:id="10662"/>
      <w:bookmarkEnd w:id="10663"/>
      <w:bookmarkEnd w:id="10664"/>
      <w:r>
        <w:rPr>
          <w:rFonts w:hint="cs"/>
          <w:rtl/>
        </w:rPr>
        <w:t>בדעת ריו"ח להלכה</w:t>
      </w:r>
    </w:p>
    <w:p w:rsidR="00A82F1E" w:rsidRPr="0053585F" w:rsidRDefault="00A82F1E" w:rsidP="00A82F1E">
      <w:pPr>
        <w:pStyle w:val="a2"/>
        <w:rPr>
          <w:rtl/>
        </w:rPr>
      </w:pPr>
      <w:bookmarkStart w:id="10666" w:name="_Toc19651790"/>
      <w:bookmarkStart w:id="10667" w:name="_Toc19694952"/>
      <w:bookmarkStart w:id="10668" w:name="_Toc19738505"/>
      <w:bookmarkStart w:id="10669" w:name="_Toc19792335"/>
      <w:r>
        <w:rPr>
          <w:rFonts w:hint="cs"/>
          <w:rtl/>
        </w:rPr>
        <w:t>קושית התוס' דאי לריו"ח נח' אף בהשביח ולבסוף פגם א"כ דבריו בחומץ דלא כר"מ ולא כר"ש</w:t>
      </w:r>
      <w:bookmarkEnd w:id="10666"/>
      <w:bookmarkEnd w:id="10667"/>
      <w:bookmarkEnd w:id="10668"/>
      <w:bookmarkEnd w:id="10669"/>
    </w:p>
    <w:p w:rsidR="00A82F1E" w:rsidRDefault="00A82F1E" w:rsidP="009F44AF">
      <w:pPr>
        <w:pStyle w:val="a"/>
        <w:rPr>
          <w:rtl/>
        </w:rPr>
      </w:pPr>
      <w:bookmarkStart w:id="10670" w:name="_Ref19462551"/>
      <w:r w:rsidRPr="0053585F">
        <w:rPr>
          <w:rFonts w:hint="cs"/>
          <w:rtl/>
        </w:rPr>
        <w:t xml:space="preserve">בספק הגמ' </w:t>
      </w:r>
      <w:r>
        <w:rPr>
          <w:rFonts w:hint="cs"/>
          <w:rtl/>
        </w:rPr>
        <w:t>ב</w:t>
      </w:r>
      <w:r w:rsidRPr="0053585F">
        <w:rPr>
          <w:rFonts w:hint="cs"/>
          <w:rtl/>
        </w:rPr>
        <w:t>ריו"ח, להצד ד</w:t>
      </w:r>
      <w:r>
        <w:rPr>
          <w:rFonts w:hint="cs"/>
          <w:rtl/>
        </w:rPr>
        <w:t xml:space="preserve">ר"מ ור"ש </w:t>
      </w:r>
      <w:r w:rsidRPr="0053585F">
        <w:rPr>
          <w:rFonts w:hint="cs"/>
          <w:rtl/>
        </w:rPr>
        <w:t xml:space="preserve">נחלקו בין בפגום </w:t>
      </w:r>
      <w:r>
        <w:rPr>
          <w:rFonts w:hint="cs"/>
          <w:rtl/>
        </w:rPr>
        <w:t>מעיקרא</w:t>
      </w:r>
      <w:r w:rsidRPr="0053585F">
        <w:rPr>
          <w:rFonts w:hint="cs"/>
          <w:rtl/>
        </w:rPr>
        <w:t xml:space="preserve"> ובין בהשביח ולבסוף פגם, הקשו ה</w:t>
      </w:r>
      <w:r w:rsidRPr="0053585F">
        <w:rPr>
          <w:rStyle w:val="af8"/>
          <w:rFonts w:hint="cs"/>
          <w:rtl/>
        </w:rPr>
        <w:t>תוס'</w:t>
      </w:r>
      <w:r w:rsidRPr="0053585F">
        <w:rPr>
          <w:rFonts w:hint="cs"/>
          <w:rtl/>
        </w:rPr>
        <w:t xml:space="preserve"> </w:t>
      </w:r>
      <w:r w:rsidRPr="0053585F">
        <w:rPr>
          <w:rStyle w:val="af6"/>
          <w:rFonts w:eastAsia="Guttman Hodes" w:hint="cs"/>
          <w:rtl/>
        </w:rPr>
        <w:t>(ד"ה או)</w:t>
      </w:r>
      <w:r w:rsidRPr="0053585F">
        <w:rPr>
          <w:rFonts w:hint="cs"/>
          <w:rtl/>
        </w:rPr>
        <w:t xml:space="preserve"> דהאיך אפש"ל דלריו"ח נחלקו אף בהשביח ולבסוף פגם, דא"כ אמר ריו"ח </w:t>
      </w:r>
      <w:r w:rsidRPr="0053585F">
        <w:rPr>
          <w:rStyle w:val="af6"/>
          <w:rFonts w:eastAsia="Guttman Hodes" w:hint="cs"/>
          <w:rtl/>
        </w:rPr>
        <w:t>(סז.)</w:t>
      </w:r>
      <w:r w:rsidRPr="0053585F">
        <w:rPr>
          <w:rFonts w:hint="cs"/>
          <w:rtl/>
        </w:rPr>
        <w:t xml:space="preserve"> בחומץ שנפל לגריסין דבפגם </w:t>
      </w:r>
      <w:r>
        <w:rPr>
          <w:rFonts w:hint="cs"/>
          <w:rtl/>
        </w:rPr>
        <w:t>מעיקרא</w:t>
      </w:r>
      <w:r w:rsidRPr="0053585F">
        <w:rPr>
          <w:rFonts w:hint="cs"/>
          <w:rtl/>
        </w:rPr>
        <w:t xml:space="preserve"> מותר</w:t>
      </w:r>
      <w:r>
        <w:rPr>
          <w:rFonts w:hint="cs"/>
          <w:rtl/>
        </w:rPr>
        <w:t xml:space="preserve"> ובהשביח ולבסוף פגם אסור, אינו לא כר"מ ולא כר"ש, דלר"מ אף בפגום מעיקרא אסור, ולר"ש מותר אף בהשביח ולבסוף פגם.</w:t>
      </w:r>
      <w:r w:rsidRPr="001C3951">
        <w:rPr>
          <w:rFonts w:hint="cs"/>
          <w:rtl/>
        </w:rPr>
        <w:t xml:space="preserve"> </w:t>
      </w:r>
      <w:r>
        <w:rPr>
          <w:rFonts w:hint="cs"/>
          <w:rtl/>
        </w:rPr>
        <w:t xml:space="preserve">[ועי' במה שביאר </w:t>
      </w:r>
      <w:r w:rsidRPr="001F1F6D">
        <w:rPr>
          <w:rStyle w:val="af8"/>
          <w:rFonts w:hint="cs"/>
          <w:rtl/>
        </w:rPr>
        <w:t>הגר"א</w:t>
      </w:r>
      <w:r>
        <w:rPr>
          <w:rFonts w:hint="cs"/>
          <w:rtl/>
        </w:rPr>
        <w:t xml:space="preserve"> </w:t>
      </w:r>
      <w:r w:rsidRPr="00175C67">
        <w:rPr>
          <w:rStyle w:val="af6"/>
          <w:rFonts w:eastAsia="Guttman Hodes" w:hint="cs"/>
          <w:rtl/>
        </w:rPr>
        <w:t xml:space="preserve">(עי' אות </w:t>
      </w:r>
      <w:r w:rsidRPr="00175C67">
        <w:rPr>
          <w:rStyle w:val="af6"/>
          <w:rFonts w:eastAsia="Guttman Hodes"/>
          <w:rtl/>
        </w:rPr>
        <w:fldChar w:fldCharType="begin"/>
      </w:r>
      <w:r w:rsidRPr="00175C67">
        <w:rPr>
          <w:rStyle w:val="af6"/>
          <w:rFonts w:eastAsia="Guttman Hodes"/>
          <w:rtl/>
        </w:rPr>
        <w:instrText xml:space="preserve"> </w:instrText>
      </w:r>
      <w:r w:rsidRPr="00175C67">
        <w:rPr>
          <w:rStyle w:val="af6"/>
          <w:rFonts w:eastAsia="Guttman Hodes" w:hint="cs"/>
        </w:rPr>
        <w:instrText>REF</w:instrText>
      </w:r>
      <w:r w:rsidRPr="00175C67">
        <w:rPr>
          <w:rStyle w:val="af6"/>
          <w:rFonts w:eastAsia="Guttman Hodes" w:hint="cs"/>
          <w:rtl/>
        </w:rPr>
        <w:instrText xml:space="preserve"> _</w:instrText>
      </w:r>
      <w:r w:rsidRPr="00175C67">
        <w:rPr>
          <w:rStyle w:val="af6"/>
          <w:rFonts w:eastAsia="Guttman Hodes" w:hint="cs"/>
        </w:rPr>
        <w:instrText>Ref19462533 \r \h</w:instrText>
      </w:r>
      <w:r w:rsidRPr="00175C67">
        <w:rPr>
          <w:rStyle w:val="af6"/>
          <w:rFonts w:eastAsia="Guttman Hodes"/>
          <w:rtl/>
        </w:rPr>
        <w:instrText xml:space="preserve"> </w:instrText>
      </w:r>
      <w:r w:rsidRPr="00175C67">
        <w:rPr>
          <w:rStyle w:val="af6"/>
          <w:rFonts w:eastAsia="Guttman Hodes"/>
          <w:rtl/>
        </w:rPr>
      </w:r>
      <w:r w:rsidRPr="00175C67">
        <w:rPr>
          <w:rStyle w:val="af6"/>
          <w:rFonts w:eastAsia="Guttman Hodes"/>
          <w:rtl/>
        </w:rPr>
        <w:fldChar w:fldCharType="separate"/>
      </w:r>
      <w:r w:rsidR="004D1C5B">
        <w:rPr>
          <w:rStyle w:val="af6"/>
          <w:rFonts w:eastAsia="Guttman Hodes"/>
          <w:cs/>
        </w:rPr>
        <w:t>‎</w:t>
      </w:r>
      <w:r w:rsidR="004D1C5B">
        <w:rPr>
          <w:rStyle w:val="af6"/>
          <w:rFonts w:eastAsia="Guttman Hodes"/>
          <w:rtl/>
        </w:rPr>
        <w:t>קב)</w:t>
      </w:r>
      <w:r w:rsidRPr="00175C67">
        <w:rPr>
          <w:rStyle w:val="af6"/>
          <w:rFonts w:eastAsia="Guttman Hodes"/>
          <w:rtl/>
        </w:rPr>
        <w:fldChar w:fldCharType="end"/>
      </w:r>
      <w:r>
        <w:rPr>
          <w:rFonts w:hint="cs"/>
          <w:rtl/>
        </w:rPr>
        <w:t xml:space="preserve"> בישוב קושית התוס'</w:t>
      </w:r>
      <w:r w:rsidRPr="001C3951">
        <w:rPr>
          <w:rFonts w:hint="cs"/>
          <w:rtl/>
        </w:rPr>
        <w:t xml:space="preserve"> </w:t>
      </w:r>
      <w:r>
        <w:rPr>
          <w:rFonts w:hint="cs"/>
          <w:rtl/>
        </w:rPr>
        <w:t xml:space="preserve">לדעת </w:t>
      </w:r>
      <w:r w:rsidRPr="001F1F6D">
        <w:rPr>
          <w:rStyle w:val="af8"/>
          <w:rFonts w:hint="cs"/>
          <w:rtl/>
        </w:rPr>
        <w:t>הרמב"ם בפיהמ"ש</w:t>
      </w:r>
      <w:r>
        <w:rPr>
          <w:rFonts w:hint="cs"/>
          <w:rtl/>
        </w:rPr>
        <w:t>].</w:t>
      </w:r>
      <w:bookmarkEnd w:id="10670"/>
    </w:p>
    <w:p w:rsidR="00A82F1E" w:rsidRDefault="00A82F1E" w:rsidP="00A82F1E">
      <w:pPr>
        <w:pStyle w:val="a2"/>
        <w:rPr>
          <w:rtl/>
        </w:rPr>
      </w:pPr>
      <w:bookmarkStart w:id="10671" w:name="_Toc19651791"/>
      <w:bookmarkStart w:id="10672" w:name="_Toc19694953"/>
      <w:bookmarkStart w:id="10673" w:name="_Toc19738506"/>
      <w:bookmarkStart w:id="10674" w:name="_Toc19792336"/>
      <w:r>
        <w:rPr>
          <w:rFonts w:hint="cs"/>
          <w:rtl/>
        </w:rPr>
        <w:t>תירוץ התוס' דריו"ח התיר בפגום מעיקרא כר"ש ואסר בהשביח ולבסוף פגם כר"מ</w:t>
      </w:r>
      <w:bookmarkEnd w:id="10671"/>
      <w:bookmarkEnd w:id="10672"/>
      <w:bookmarkEnd w:id="10673"/>
      <w:bookmarkEnd w:id="10674"/>
    </w:p>
    <w:p w:rsidR="00A82F1E" w:rsidRDefault="00A82F1E" w:rsidP="009F44AF">
      <w:pPr>
        <w:pStyle w:val="a"/>
        <w:rPr>
          <w:rtl/>
        </w:rPr>
      </w:pPr>
      <w:bookmarkStart w:id="10675" w:name="_Ref19786479"/>
      <w:r>
        <w:rPr>
          <w:rFonts w:hint="cs"/>
          <w:rtl/>
        </w:rPr>
        <w:t xml:space="preserve">ותירצו </w:t>
      </w:r>
      <w:r w:rsidRPr="001F1F6D">
        <w:rPr>
          <w:rStyle w:val="af8"/>
          <w:rFonts w:hint="cs"/>
          <w:rtl/>
        </w:rPr>
        <w:t>התוס'</w:t>
      </w:r>
      <w:r>
        <w:rPr>
          <w:rFonts w:hint="cs"/>
          <w:rtl/>
        </w:rPr>
        <w:t xml:space="preserve"> דריו"ח סבר כר"ש בפגום מעיקרא דמותר, וכר"מ בהשביח ולבסוף פגם.</w:t>
      </w:r>
      <w:bookmarkEnd w:id="10675"/>
    </w:p>
    <w:p w:rsidR="00A82F1E" w:rsidRDefault="00A82F1E" w:rsidP="00A82F1E">
      <w:pPr>
        <w:pStyle w:val="a2"/>
      </w:pPr>
      <w:bookmarkStart w:id="10676" w:name="_Toc19651792"/>
      <w:bookmarkStart w:id="10677" w:name="_Toc19694954"/>
      <w:bookmarkStart w:id="10678" w:name="_Toc19738507"/>
      <w:bookmarkStart w:id="10679" w:name="_Toc19792337"/>
      <w:r>
        <w:rPr>
          <w:rFonts w:hint="cs"/>
          <w:rtl/>
        </w:rPr>
        <w:t>קושית החזו"א דר"מ ור"ש לא חילקו בין השביח ולבסוף פגם לפגם מעיקרא והיאך חילק ריו"ח</w:t>
      </w:r>
      <w:bookmarkEnd w:id="10676"/>
      <w:bookmarkEnd w:id="10677"/>
      <w:bookmarkEnd w:id="10678"/>
      <w:bookmarkEnd w:id="10679"/>
    </w:p>
    <w:p w:rsidR="00A82F1E" w:rsidRDefault="00A82F1E" w:rsidP="009F44AF">
      <w:pPr>
        <w:pStyle w:val="a"/>
        <w:rPr>
          <w:rtl/>
        </w:rPr>
      </w:pPr>
      <w:r>
        <w:rPr>
          <w:rFonts w:hint="cs"/>
          <w:rtl/>
        </w:rPr>
        <w:t xml:space="preserve">והקשה </w:t>
      </w:r>
      <w:r w:rsidRPr="003167AC">
        <w:rPr>
          <w:rStyle w:val="af8"/>
          <w:rFonts w:hint="cs"/>
          <w:rtl/>
        </w:rPr>
        <w:t>החזו"א</w:t>
      </w:r>
      <w:r w:rsidRPr="00ED2298">
        <w:rPr>
          <w:rStyle w:val="af6"/>
          <w:rFonts w:eastAsia="Guttman Hodes" w:hint="cs"/>
          <w:rtl/>
        </w:rPr>
        <w:t xml:space="preserve"> (</w:t>
      </w:r>
      <w:r w:rsidRPr="003167AC">
        <w:rPr>
          <w:rStyle w:val="af6"/>
          <w:rFonts w:eastAsia="Guttman Hodes" w:hint="cs"/>
          <w:rtl/>
        </w:rPr>
        <w:t xml:space="preserve">סי' ט"ו סק"ז </w:t>
      </w:r>
      <w:r>
        <w:rPr>
          <w:rStyle w:val="af6"/>
          <w:rFonts w:eastAsia="Guttman Hodes" w:hint="cs"/>
          <w:rtl/>
        </w:rPr>
        <w:t>על תו</w:t>
      </w:r>
      <w:r w:rsidRPr="004F1CF4">
        <w:rPr>
          <w:rStyle w:val="af6"/>
          <w:rFonts w:eastAsia="Guttman Hodes" w:hint="cs"/>
          <w:rtl/>
        </w:rPr>
        <w:t xml:space="preserve">ד"ה </w:t>
      </w:r>
      <w:r w:rsidRPr="00ED2298">
        <w:rPr>
          <w:rStyle w:val="af6"/>
          <w:rFonts w:eastAsia="Guttman Hodes" w:hint="cs"/>
          <w:rtl/>
        </w:rPr>
        <w:t>א</w:t>
      </w:r>
      <w:r>
        <w:rPr>
          <w:rStyle w:val="af6"/>
          <w:rFonts w:eastAsia="Guttman Hodes" w:hint="cs"/>
          <w:rtl/>
        </w:rPr>
        <w:t>ו</w:t>
      </w:r>
      <w:r w:rsidRPr="00ED2298">
        <w:rPr>
          <w:rStyle w:val="af6"/>
          <w:rFonts w:eastAsia="Guttman Hodes" w:hint="cs"/>
          <w:rtl/>
        </w:rPr>
        <w:t>, או"ח סי' קט"ז סק"ב)</w:t>
      </w:r>
      <w:r w:rsidRPr="003167AC">
        <w:rPr>
          <w:rStyle w:val="af6"/>
          <w:rFonts w:eastAsia="Guttman Hodes" w:hint="cs"/>
          <w:rtl/>
        </w:rPr>
        <w:t xml:space="preserve"> </w:t>
      </w:r>
      <w:r>
        <w:rPr>
          <w:rFonts w:hint="cs"/>
          <w:rtl/>
        </w:rPr>
        <w:t xml:space="preserve">על תירוץ </w:t>
      </w:r>
      <w:r w:rsidRPr="00400A89">
        <w:rPr>
          <w:rStyle w:val="af8"/>
          <w:rFonts w:hint="cs"/>
          <w:rtl/>
        </w:rPr>
        <w:t>התוס'</w:t>
      </w:r>
      <w:r>
        <w:rPr>
          <w:rFonts w:hint="cs"/>
          <w:rtl/>
        </w:rPr>
        <w:t xml:space="preserve">, דהרי הא דאסר ר"מ בהשביח ולבסוף פגם, אינו מחמת דס"ל דאעפ"י דנותן טעם לפגם מותר, מ"מ השביח ולבסוף פגם אסור, דהא לדעת ריו"ח להצד דנחלקו גם בפגום מעיקרא, וגם בהשביח ולבסוף פגם, אין כל חילוק בין פגום מעיקרא להשביח ולבסוף פגם בין לר"מ ובין לר"ש, דר"מ אסר בשניהם, ור"ש מתיר בשניהם, וא"כ היאך אפש"ל דריו"ח ס"ל כר"מ בחדא וכר"ש בחדא, וכתב </w:t>
      </w:r>
      <w:r w:rsidRPr="009C442E">
        <w:rPr>
          <w:rStyle w:val="af8"/>
          <w:rFonts w:hint="cs"/>
          <w:rtl/>
        </w:rPr>
        <w:t>החזו"א</w:t>
      </w:r>
      <w:r>
        <w:rPr>
          <w:rFonts w:hint="cs"/>
          <w:rtl/>
        </w:rPr>
        <w:t xml:space="preserve"> דצ"ל דריו"ח הסתפק האם ר"מ ור"ש נחלקו בין בפגום מעיקרא, ובין בהשביח ולבסוף פגם, או דר"מ ס"ל דאף לר"ש שמתיר בפגום מעיקרא מדין נותן טעם לפגם, מ"מ הוא אוסר בהשביח ולבסוף פגם.</w:t>
      </w:r>
    </w:p>
    <w:p w:rsidR="00A82F1E" w:rsidRPr="00801926" w:rsidRDefault="00A82F1E" w:rsidP="00A82F1E">
      <w:pPr>
        <w:pStyle w:val="1"/>
        <w:rPr>
          <w:rtl/>
        </w:rPr>
      </w:pPr>
      <w:bookmarkStart w:id="10680" w:name="_Toc19651793"/>
      <w:bookmarkStart w:id="10681" w:name="_Toc19694955"/>
      <w:bookmarkStart w:id="10682" w:name="_Toc19738509"/>
      <w:bookmarkStart w:id="10683" w:name="_Toc19792338"/>
      <w:r w:rsidRPr="00801926">
        <w:rPr>
          <w:rFonts w:hint="cs"/>
          <w:rtl/>
        </w:rPr>
        <w:t>ביאור הנוב"י</w:t>
      </w:r>
      <w:bookmarkEnd w:id="10680"/>
      <w:bookmarkEnd w:id="10681"/>
      <w:bookmarkEnd w:id="10682"/>
      <w:r w:rsidRPr="00801926">
        <w:rPr>
          <w:rFonts w:hint="cs"/>
          <w:rtl/>
        </w:rPr>
        <w:t xml:space="preserve"> </w:t>
      </w:r>
      <w:r>
        <w:rPr>
          <w:rFonts w:hint="cs"/>
          <w:rtl/>
        </w:rPr>
        <w:t>בתוס' בריו"ח דמסברא רק פגום מעיקר מותר</w:t>
      </w:r>
      <w:bookmarkEnd w:id="10683"/>
      <w:r>
        <w:rPr>
          <w:rFonts w:hint="cs"/>
          <w:rtl/>
        </w:rPr>
        <w:t xml:space="preserve"> </w:t>
      </w:r>
    </w:p>
    <w:p w:rsidR="00A82F1E" w:rsidRDefault="00A82F1E" w:rsidP="00A82F1E">
      <w:pPr>
        <w:pStyle w:val="a2"/>
      </w:pPr>
      <w:bookmarkStart w:id="10684" w:name="_Toc19792339"/>
      <w:r>
        <w:rPr>
          <w:rFonts w:hint="cs"/>
          <w:rtl/>
        </w:rPr>
        <w:t>דברי הנוב"י דההיתר בנבילה ובנטל"פ הוא אותו היתר בפגום מעיקרא ובהשביח ולבסוף פגם</w:t>
      </w:r>
      <w:bookmarkEnd w:id="10684"/>
    </w:p>
    <w:p w:rsidR="00A82F1E" w:rsidRDefault="00A82F1E" w:rsidP="009F44AF">
      <w:pPr>
        <w:pStyle w:val="a"/>
        <w:rPr>
          <w:rtl/>
        </w:rPr>
      </w:pPr>
      <w:bookmarkStart w:id="10685" w:name="_Ref19787737"/>
      <w:r>
        <w:rPr>
          <w:rFonts w:hint="cs"/>
          <w:rtl/>
        </w:rPr>
        <w:t xml:space="preserve">כתב </w:t>
      </w:r>
      <w:r w:rsidRPr="00801926">
        <w:rPr>
          <w:rStyle w:val="af8"/>
          <w:rFonts w:hint="cs"/>
          <w:rtl/>
        </w:rPr>
        <w:t>הנוב"י</w:t>
      </w:r>
      <w:r w:rsidRPr="00801926">
        <w:rPr>
          <w:rFonts w:hint="cs"/>
          <w:rtl/>
        </w:rPr>
        <w:t xml:space="preserve"> </w:t>
      </w:r>
      <w:r w:rsidRPr="00801926">
        <w:rPr>
          <w:rStyle w:val="af6"/>
          <w:rFonts w:eastAsia="Guttman Hodes" w:hint="cs"/>
          <w:rtl/>
        </w:rPr>
        <w:t>(מהדו"ק יו"ד סי' כ"ו ד"ה והנה לעולא)</w:t>
      </w:r>
      <w:r w:rsidRPr="00801926">
        <w:rPr>
          <w:rFonts w:hint="cs"/>
          <w:rtl/>
        </w:rPr>
        <w:t xml:space="preserve"> </w:t>
      </w:r>
      <w:r>
        <w:rPr>
          <w:rFonts w:hint="cs"/>
          <w:rtl/>
        </w:rPr>
        <w:t>דההיתר בנבילה ובנותן טעם לפגם, הוא אותו ההיתר, ולכן למ"ד דנבילה מותרת אף כשהייתה משובחת ואח"כ הסריחה, ה"ה דמותר בהשביח ולבסוף פגם, ולמ"ד דס"ל דההיתר בנבילה הוא רק בסרוחה מעיקרא, א"כ ההיתר בנותן טעם לפגם הוא רק בפגום מעיקרו, אבל בהשביח ולבסוף פגם אסור.</w:t>
      </w:r>
      <w:bookmarkEnd w:id="10685"/>
    </w:p>
    <w:p w:rsidR="00A82F1E" w:rsidRPr="006E4580" w:rsidRDefault="00A82F1E" w:rsidP="00A82F1E">
      <w:pPr>
        <w:pStyle w:val="a2"/>
      </w:pPr>
      <w:bookmarkStart w:id="10686" w:name="_Toc19792340"/>
      <w:r>
        <w:rPr>
          <w:rFonts w:hint="cs"/>
          <w:rtl/>
        </w:rPr>
        <w:t>ביאור הנוב"י בתוס' דלריו"ח נבילה שסרוחה מעיקרא ונטל"פ בפגום מעיקרא מותרים מסברא</w:t>
      </w:r>
      <w:bookmarkEnd w:id="10686"/>
    </w:p>
    <w:p w:rsidR="00A82F1E" w:rsidRDefault="00A82F1E" w:rsidP="009F44AF">
      <w:pPr>
        <w:pStyle w:val="a"/>
        <w:rPr>
          <w:rtl/>
        </w:rPr>
      </w:pPr>
      <w:r w:rsidRPr="00801926">
        <w:rPr>
          <w:rFonts w:hint="cs"/>
          <w:rtl/>
        </w:rPr>
        <w:t>ו</w:t>
      </w:r>
      <w:r>
        <w:rPr>
          <w:rFonts w:hint="cs"/>
          <w:rtl/>
        </w:rPr>
        <w:t xml:space="preserve">בזה </w:t>
      </w:r>
      <w:r w:rsidRPr="00801926">
        <w:rPr>
          <w:rFonts w:hint="cs"/>
          <w:rtl/>
        </w:rPr>
        <w:t xml:space="preserve">ביאר </w:t>
      </w:r>
      <w:r w:rsidRPr="00801926">
        <w:rPr>
          <w:rStyle w:val="af8"/>
          <w:rFonts w:hint="cs"/>
          <w:rtl/>
        </w:rPr>
        <w:t>הנוב"י</w:t>
      </w:r>
      <w:r w:rsidRPr="00801926">
        <w:rPr>
          <w:rFonts w:hint="cs"/>
          <w:rtl/>
        </w:rPr>
        <w:t xml:space="preserve"> את דברי </w:t>
      </w:r>
      <w:r w:rsidRPr="00801926">
        <w:rPr>
          <w:rStyle w:val="af8"/>
          <w:rFonts w:hint="cs"/>
          <w:rtl/>
        </w:rPr>
        <w:t>התוס'</w:t>
      </w:r>
      <w:r w:rsidRPr="00801926">
        <w:rPr>
          <w:rFonts w:hint="cs"/>
          <w:rtl/>
        </w:rPr>
        <w:t xml:space="preserve"> </w:t>
      </w:r>
      <w:r w:rsidRPr="00B443AA">
        <w:rPr>
          <w:rStyle w:val="af6"/>
          <w:rFonts w:eastAsia="Guttman Hodes" w:hint="cs"/>
          <w:rtl/>
        </w:rPr>
        <w:t xml:space="preserve">(עי' אות </w:t>
      </w:r>
      <w:r w:rsidRPr="00B443AA">
        <w:rPr>
          <w:rStyle w:val="af6"/>
          <w:rFonts w:eastAsia="Guttman Hodes"/>
          <w:rtl/>
        </w:rPr>
        <w:fldChar w:fldCharType="begin"/>
      </w:r>
      <w:r w:rsidRPr="00B443AA">
        <w:rPr>
          <w:rStyle w:val="af6"/>
          <w:rFonts w:eastAsia="Guttman Hodes"/>
          <w:rtl/>
        </w:rPr>
        <w:instrText xml:space="preserve"> </w:instrText>
      </w:r>
      <w:r w:rsidRPr="00B443AA">
        <w:rPr>
          <w:rStyle w:val="af6"/>
          <w:rFonts w:eastAsia="Guttman Hodes" w:hint="cs"/>
        </w:rPr>
        <w:instrText>REF</w:instrText>
      </w:r>
      <w:r w:rsidRPr="00B443AA">
        <w:rPr>
          <w:rStyle w:val="af6"/>
          <w:rFonts w:eastAsia="Guttman Hodes" w:hint="cs"/>
          <w:rtl/>
        </w:rPr>
        <w:instrText xml:space="preserve"> _</w:instrText>
      </w:r>
      <w:r w:rsidRPr="00B443AA">
        <w:rPr>
          <w:rStyle w:val="af6"/>
          <w:rFonts w:eastAsia="Guttman Hodes" w:hint="cs"/>
        </w:rPr>
        <w:instrText>Ref19786479 \r \h</w:instrText>
      </w:r>
      <w:r w:rsidRPr="00B443AA">
        <w:rPr>
          <w:rStyle w:val="af6"/>
          <w:rFonts w:eastAsia="Guttman Hodes"/>
          <w:rtl/>
        </w:rPr>
        <w:instrText xml:space="preserve"> </w:instrText>
      </w:r>
      <w:r w:rsidRPr="00B443AA">
        <w:rPr>
          <w:rStyle w:val="af6"/>
          <w:rFonts w:eastAsia="Guttman Hodes"/>
          <w:rtl/>
        </w:rPr>
      </w:r>
      <w:r w:rsidRPr="00B443AA">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B443AA">
        <w:rPr>
          <w:rStyle w:val="af6"/>
          <w:rFonts w:eastAsia="Guttman Hodes"/>
          <w:rtl/>
        </w:rPr>
        <w:fldChar w:fldCharType="end"/>
      </w:r>
      <w:r>
        <w:rPr>
          <w:rFonts w:hint="cs"/>
          <w:rtl/>
        </w:rPr>
        <w:t xml:space="preserve"> דכתבו דריו"ח פסק כר"ש בפגום מעיקרא דמותר, וכר"מ בהשביח ולבסוף פגם דאסור, דס"ל ל</w:t>
      </w:r>
      <w:r w:rsidRPr="00801926">
        <w:rPr>
          <w:rFonts w:hint="cs"/>
          <w:rtl/>
        </w:rPr>
        <w:t>ריו"</w:t>
      </w:r>
      <w:r>
        <w:rPr>
          <w:rFonts w:hint="cs"/>
          <w:rtl/>
        </w:rPr>
        <w:t>ח</w:t>
      </w:r>
      <w:r w:rsidRPr="00A05644">
        <w:rPr>
          <w:rFonts w:hint="cs"/>
          <w:rtl/>
        </w:rPr>
        <w:t xml:space="preserve"> </w:t>
      </w:r>
      <w:r>
        <w:rPr>
          <w:rFonts w:hint="cs"/>
          <w:rtl/>
        </w:rPr>
        <w:t>דנבילה שסרוחה מעיקרא מותרת מסברא, וא"צ ילפותא להתיר לענין איסור,</w:t>
      </w:r>
      <w:r w:rsidRPr="00801926">
        <w:rPr>
          <w:rFonts w:hint="cs"/>
          <w:rtl/>
        </w:rPr>
        <w:t xml:space="preserve"> </w:t>
      </w:r>
      <w:r w:rsidRPr="00383056">
        <w:rPr>
          <w:rStyle w:val="afa"/>
          <w:rFonts w:hint="cs"/>
          <w:rtl/>
        </w:rPr>
        <w:t>[והילפותא היא רק לענין טומאה</w:t>
      </w:r>
      <w:r>
        <w:rPr>
          <w:rStyle w:val="afa"/>
          <w:rFonts w:hint="cs"/>
          <w:rtl/>
        </w:rPr>
        <w:t xml:space="preserve">, </w:t>
      </w:r>
      <w:r w:rsidRPr="00383056">
        <w:rPr>
          <w:rStyle w:val="afa"/>
          <w:rFonts w:hint="cs"/>
          <w:rtl/>
        </w:rPr>
        <w:t>כדמוכח מדברי ריו"ח בגמ' בבכורו</w:t>
      </w:r>
      <w:r w:rsidRPr="00801926">
        <w:rPr>
          <w:rStyle w:val="afa"/>
          <w:rFonts w:hint="cs"/>
          <w:rtl/>
        </w:rPr>
        <w:t xml:space="preserve">ת </w:t>
      </w:r>
      <w:r w:rsidRPr="00801926">
        <w:rPr>
          <w:rStyle w:val="aff6"/>
          <w:rFonts w:hint="cs"/>
          <w:rtl/>
        </w:rPr>
        <w:t>(כג:)</w:t>
      </w:r>
      <w:r w:rsidRPr="00801926">
        <w:rPr>
          <w:rStyle w:val="afa"/>
          <w:rFonts w:hint="cs"/>
          <w:rtl/>
        </w:rPr>
        <w:t>],</w:t>
      </w:r>
      <w:r>
        <w:rPr>
          <w:rFonts w:hint="cs"/>
          <w:rtl/>
        </w:rPr>
        <w:t xml:space="preserve"> ולכן מותר</w:t>
      </w:r>
      <w:r w:rsidRPr="00801926">
        <w:rPr>
          <w:rFonts w:hint="cs"/>
          <w:rtl/>
        </w:rPr>
        <w:t xml:space="preserve"> </w:t>
      </w:r>
      <w:r>
        <w:rPr>
          <w:rFonts w:hint="cs"/>
          <w:rtl/>
        </w:rPr>
        <w:t>מסברא אף בנותן טעם לפגם</w:t>
      </w:r>
      <w:r w:rsidRPr="00801926">
        <w:rPr>
          <w:rFonts w:hint="cs"/>
          <w:rtl/>
        </w:rPr>
        <w:t xml:space="preserve"> בפגום מעיקרא</w:t>
      </w:r>
      <w:r>
        <w:rPr>
          <w:rFonts w:hint="cs"/>
          <w:rtl/>
        </w:rPr>
        <w:t xml:space="preserve">, </w:t>
      </w:r>
      <w:r w:rsidRPr="00801926">
        <w:rPr>
          <w:rFonts w:hint="cs"/>
          <w:rtl/>
        </w:rPr>
        <w:t>וא"צ לזה ילפותא מנבילה.</w:t>
      </w:r>
    </w:p>
    <w:p w:rsidR="00A82F1E" w:rsidRDefault="00A82F1E" w:rsidP="00A82F1E">
      <w:pPr>
        <w:pStyle w:val="a2"/>
        <w:rPr>
          <w:rtl/>
        </w:rPr>
      </w:pPr>
      <w:bookmarkStart w:id="10687" w:name="_Toc19792341"/>
      <w:r>
        <w:rPr>
          <w:rFonts w:hint="cs"/>
          <w:rtl/>
        </w:rPr>
        <w:t>דברי הנוב"י דנבילה משובחת שהסריחה והשביח ולבסוף פגם אסור מסברא ואין ילפותא להתיר</w:t>
      </w:r>
      <w:bookmarkEnd w:id="10687"/>
    </w:p>
    <w:p w:rsidR="00A82F1E" w:rsidRDefault="00A82F1E" w:rsidP="009F44AF">
      <w:pPr>
        <w:pStyle w:val="a"/>
        <w:rPr>
          <w:rtl/>
        </w:rPr>
      </w:pPr>
      <w:r>
        <w:rPr>
          <w:rFonts w:hint="cs"/>
          <w:rtl/>
        </w:rPr>
        <w:t xml:space="preserve">אבל בנבילה שהייתה משובחת ואח"כ הסריחה, כתב </w:t>
      </w:r>
      <w:r w:rsidRPr="00C11F5A">
        <w:rPr>
          <w:rStyle w:val="af8"/>
          <w:rFonts w:hint="cs"/>
          <w:rtl/>
        </w:rPr>
        <w:t>הנוב"י</w:t>
      </w:r>
      <w:r>
        <w:rPr>
          <w:rFonts w:hint="cs"/>
          <w:rtl/>
        </w:rPr>
        <w:t xml:space="preserve"> דס"ל לריו"ח דאסור, דאין סברא להתיר ואין ילפותא מנבילה לענין איסור, ולכן אף בנותן טעם לפגם בתערובת </w:t>
      </w:r>
      <w:r w:rsidRPr="00801926">
        <w:rPr>
          <w:rFonts w:hint="cs"/>
          <w:rtl/>
        </w:rPr>
        <w:t>פסק ריו"ח כר"מ דאסור בהשביח ולבסוף פגם</w:t>
      </w:r>
      <w:r>
        <w:rPr>
          <w:rFonts w:hint="cs"/>
          <w:rtl/>
        </w:rPr>
        <w:t>.</w:t>
      </w:r>
    </w:p>
    <w:p w:rsidR="00A82F1E" w:rsidRPr="00383056" w:rsidRDefault="00A82F1E" w:rsidP="00A82F1E">
      <w:pPr>
        <w:pStyle w:val="a2"/>
        <w:rPr>
          <w:rtl/>
        </w:rPr>
      </w:pPr>
      <w:bookmarkStart w:id="10688" w:name="_Toc19792342"/>
      <w:r>
        <w:rPr>
          <w:rFonts w:hint="cs"/>
          <w:rtl/>
        </w:rPr>
        <w:t>דברי הנוב"י דלהצד בספק דר"ש מתיר בהשביח ולבסוף פגם יליף לה מנבילה וריו"ח פליג</w:t>
      </w:r>
      <w:bookmarkEnd w:id="10688"/>
    </w:p>
    <w:p w:rsidR="00A82F1E" w:rsidRDefault="00A82F1E" w:rsidP="009F44AF">
      <w:pPr>
        <w:pStyle w:val="a"/>
        <w:rPr>
          <w:rStyle w:val="afa"/>
          <w:rtl/>
        </w:rPr>
      </w:pPr>
      <w:r>
        <w:rPr>
          <w:rFonts w:hint="cs"/>
          <w:rtl/>
        </w:rPr>
        <w:t>ו</w:t>
      </w:r>
      <w:r w:rsidRPr="00801926">
        <w:rPr>
          <w:rFonts w:hint="cs"/>
          <w:rtl/>
        </w:rPr>
        <w:t xml:space="preserve">כתב </w:t>
      </w:r>
      <w:r w:rsidRPr="00801926">
        <w:rPr>
          <w:rStyle w:val="af8"/>
          <w:rFonts w:hint="cs"/>
          <w:rtl/>
        </w:rPr>
        <w:t>הנוב"י</w:t>
      </w:r>
      <w:r w:rsidRPr="00801926">
        <w:rPr>
          <w:rFonts w:hint="cs"/>
          <w:rtl/>
        </w:rPr>
        <w:t xml:space="preserve"> </w:t>
      </w:r>
      <w:r>
        <w:rPr>
          <w:rFonts w:hint="cs"/>
          <w:rtl/>
        </w:rPr>
        <w:t xml:space="preserve">דאף להצד בספק בגמ' בריו"ח דר"ש מתיר בהשביח ולבסוף פגם, וכ"ש דמתיר ר"ש בנבילה שהייתה משובחת ואח"כ הסריחה, דהא היא הסריחה כשהייתה עדיין בעין ואסורה באיסור נבילה, מ"מ ריו"ח ס"ל כר"ש רק במה שהתיר בפגום מעיקרא, אך </w:t>
      </w:r>
      <w:r>
        <w:rPr>
          <w:rFonts w:hint="cs"/>
          <w:rtl/>
        </w:rPr>
        <w:t>פליג ריו"ח על ר"ש דהתיר בהשביח ולבסוף פגם, וכן ס"ל לריו"ח דאסור בנבילה שהייתה משובחת ואח"כ הסריחה, דהא ר"ש ס"ל דמותר מהילפותא בנבילה, ואילו לדעת ריו"ח אין ילפותא מנבילה לענין איסור כלל</w:t>
      </w:r>
      <w:r w:rsidRPr="00C11F5A">
        <w:rPr>
          <w:rStyle w:val="afa"/>
          <w:rFonts w:hint="cs"/>
          <w:rtl/>
        </w:rPr>
        <w:t xml:space="preserve">. [וכתב </w:t>
      </w:r>
      <w:r w:rsidRPr="003E7CF9">
        <w:rPr>
          <w:rStyle w:val="affa"/>
          <w:rFonts w:hint="cs"/>
          <w:rtl/>
        </w:rPr>
        <w:t>הנוב"י</w:t>
      </w:r>
      <w:r w:rsidRPr="00C11F5A">
        <w:rPr>
          <w:rStyle w:val="afa"/>
          <w:rFonts w:hint="cs"/>
          <w:rtl/>
        </w:rPr>
        <w:t xml:space="preserve"> דלדעת ריו"ח א"א לומר דלר"ש ההיתר הוא מסברא, כדביארו </w:t>
      </w:r>
      <w:r w:rsidRPr="003E7CF9">
        <w:rPr>
          <w:rStyle w:val="affa"/>
          <w:rFonts w:hint="cs"/>
          <w:rtl/>
        </w:rPr>
        <w:t>התוס'</w:t>
      </w:r>
      <w:r w:rsidRPr="00C11F5A">
        <w:rPr>
          <w:rStyle w:val="afa"/>
          <w:rFonts w:hint="cs"/>
          <w:rtl/>
        </w:rPr>
        <w:t xml:space="preserve"> </w:t>
      </w:r>
      <w:r w:rsidRPr="0042097D">
        <w:rPr>
          <w:rStyle w:val="aff6"/>
          <w:rFonts w:hint="cs"/>
          <w:rtl/>
        </w:rPr>
        <w:t xml:space="preserve">(עי' אות </w:t>
      </w:r>
      <w:r w:rsidRPr="0042097D">
        <w:rPr>
          <w:rStyle w:val="aff6"/>
          <w:rtl/>
        </w:rPr>
        <w:fldChar w:fldCharType="begin"/>
      </w:r>
      <w:r w:rsidRPr="0042097D">
        <w:rPr>
          <w:rStyle w:val="aff6"/>
          <w:rtl/>
        </w:rPr>
        <w:instrText xml:space="preserve"> </w:instrText>
      </w:r>
      <w:r w:rsidRPr="0042097D">
        <w:rPr>
          <w:rStyle w:val="aff6"/>
          <w:rFonts w:hint="cs"/>
        </w:rPr>
        <w:instrText>REF</w:instrText>
      </w:r>
      <w:r w:rsidRPr="0042097D">
        <w:rPr>
          <w:rStyle w:val="aff6"/>
          <w:rFonts w:hint="cs"/>
          <w:rtl/>
        </w:rPr>
        <w:instrText xml:space="preserve"> _</w:instrText>
      </w:r>
      <w:r w:rsidRPr="0042097D">
        <w:rPr>
          <w:rStyle w:val="aff6"/>
          <w:rFonts w:hint="cs"/>
        </w:rPr>
        <w:instrText>Ref19780645 \r \h</w:instrText>
      </w:r>
      <w:r w:rsidRPr="0042097D">
        <w:rPr>
          <w:rStyle w:val="aff6"/>
          <w:rtl/>
        </w:rPr>
        <w:instrText xml:space="preserve"> </w:instrText>
      </w:r>
      <w:r w:rsidRPr="0042097D">
        <w:rPr>
          <w:rStyle w:val="aff6"/>
          <w:rtl/>
        </w:rPr>
      </w:r>
      <w:r w:rsidRPr="0042097D">
        <w:rPr>
          <w:rStyle w:val="aff6"/>
          <w:rtl/>
        </w:rPr>
        <w:fldChar w:fldCharType="separate"/>
      </w:r>
      <w:r w:rsidR="004D1C5B">
        <w:rPr>
          <w:rStyle w:val="aff6"/>
          <w:cs/>
        </w:rPr>
        <w:t>‎</w:t>
      </w:r>
      <w:r w:rsidR="004D1C5B">
        <w:rPr>
          <w:rStyle w:val="aff6"/>
          <w:rtl/>
        </w:rPr>
        <w:t>נב)</w:t>
      </w:r>
      <w:r w:rsidRPr="0042097D">
        <w:rPr>
          <w:rStyle w:val="aff6"/>
          <w:rtl/>
        </w:rPr>
        <w:fldChar w:fldCharType="end"/>
      </w:r>
      <w:r w:rsidRPr="0042097D">
        <w:rPr>
          <w:rStyle w:val="aff6"/>
          <w:rFonts w:hint="cs"/>
          <w:rtl/>
        </w:rPr>
        <w:t xml:space="preserve"> </w:t>
      </w:r>
      <w:r w:rsidRPr="00C11F5A">
        <w:rPr>
          <w:rStyle w:val="afa"/>
          <w:rFonts w:hint="cs"/>
          <w:rtl/>
        </w:rPr>
        <w:t xml:space="preserve">בדעת עולא, [עיי"ש במה שהאריך </w:t>
      </w:r>
      <w:r w:rsidRPr="003E7CF9">
        <w:rPr>
          <w:rStyle w:val="affa"/>
          <w:rFonts w:hint="cs"/>
          <w:rtl/>
        </w:rPr>
        <w:t>הנוב"י</w:t>
      </w:r>
      <w:r w:rsidRPr="00C11F5A">
        <w:rPr>
          <w:rStyle w:val="afa"/>
          <w:rFonts w:hint="cs"/>
          <w:rtl/>
        </w:rPr>
        <w:t xml:space="preserve"> להוכיח כן לדעת ר"ש], אלא הוא מהילפותא בנבילה, וכיון דלריו"ח לא ילפינן מנבילה לענין איסור כלל, א"כ אין ילפותא להתיר לריו"ח בהשביח ולבסוף פגם].</w:t>
      </w:r>
      <w:bookmarkStart w:id="10689" w:name="_Toc19651797"/>
      <w:bookmarkStart w:id="10690" w:name="_Toc19694959"/>
      <w:bookmarkStart w:id="10691" w:name="_Toc19738513"/>
      <w:bookmarkStart w:id="10692" w:name="_Toc19651794"/>
      <w:bookmarkStart w:id="10693" w:name="_Toc19694956"/>
      <w:bookmarkStart w:id="10694" w:name="_Toc19738510"/>
    </w:p>
    <w:p w:rsidR="00A82F1E" w:rsidRPr="005A106C" w:rsidRDefault="00A82F1E" w:rsidP="00A82F1E">
      <w:pPr>
        <w:pStyle w:val="1"/>
      </w:pPr>
      <w:bookmarkStart w:id="10695" w:name="_Toc19792343"/>
      <w:r>
        <w:rPr>
          <w:rFonts w:hint="cs"/>
          <w:rtl/>
        </w:rPr>
        <w:t>ביאור החת"ס דהספק לר"ש אי מותר מדין אפשר לסוחטו</w:t>
      </w:r>
      <w:bookmarkEnd w:id="10695"/>
    </w:p>
    <w:p w:rsidR="00A82F1E" w:rsidRDefault="00A82F1E" w:rsidP="00A82F1E">
      <w:pPr>
        <w:pStyle w:val="a2"/>
      </w:pPr>
      <w:bookmarkStart w:id="10696" w:name="_Toc19792344"/>
      <w:r>
        <w:rPr>
          <w:rFonts w:hint="cs"/>
          <w:rtl/>
        </w:rPr>
        <w:t>ביאור החת"ס דלר"ש ילפינן מנבילה והספק אי בהשביח ולבסוף פגם מותר</w:t>
      </w:r>
      <w:r w:rsidRPr="00303D3A">
        <w:rPr>
          <w:rFonts w:hint="cs"/>
          <w:rtl/>
        </w:rPr>
        <w:t xml:space="preserve"> </w:t>
      </w:r>
      <w:r>
        <w:rPr>
          <w:rFonts w:hint="cs"/>
          <w:rtl/>
        </w:rPr>
        <w:t>כיון דאפשר לסוחטו</w:t>
      </w:r>
      <w:bookmarkEnd w:id="10689"/>
      <w:bookmarkEnd w:id="10690"/>
      <w:bookmarkEnd w:id="10691"/>
      <w:bookmarkEnd w:id="10696"/>
    </w:p>
    <w:p w:rsidR="00A82F1E" w:rsidRDefault="00A82F1E" w:rsidP="009F44AF">
      <w:pPr>
        <w:pStyle w:val="a"/>
        <w:rPr>
          <w:rtl/>
        </w:rPr>
      </w:pPr>
      <w:bookmarkStart w:id="10697" w:name="_Ref19651316"/>
      <w:r>
        <w:rPr>
          <w:rFonts w:hint="cs"/>
          <w:rtl/>
        </w:rPr>
        <w:t xml:space="preserve">אבל </w:t>
      </w:r>
      <w:r w:rsidRPr="00170D1B">
        <w:rPr>
          <w:rStyle w:val="af8"/>
          <w:rFonts w:hint="cs"/>
          <w:rtl/>
        </w:rPr>
        <w:t>החת"ס</w:t>
      </w:r>
      <w:r w:rsidRPr="00EE128C">
        <w:rPr>
          <w:rStyle w:val="af6"/>
          <w:rFonts w:eastAsia="Guttman Hodes" w:hint="cs"/>
          <w:rtl/>
        </w:rPr>
        <w:t xml:space="preserve"> (ד"ה ואמנם) </w:t>
      </w:r>
      <w:r>
        <w:rPr>
          <w:rFonts w:hint="cs"/>
          <w:rtl/>
        </w:rPr>
        <w:t xml:space="preserve">ביאר דר"ש יליף מנבילה להתיר בנותן טעם לפגם, וממילא מסברא מותר בפגום מעיקרא אף בראוי לגר כיון שאינו נהנה מהאיסור, </w:t>
      </w:r>
      <w:r w:rsidRPr="00096DDD">
        <w:rPr>
          <w:rStyle w:val="afa"/>
          <w:rFonts w:hint="cs"/>
          <w:rtl/>
        </w:rPr>
        <w:t xml:space="preserve">[כדביארו </w:t>
      </w:r>
      <w:r w:rsidRPr="00096DDD">
        <w:rPr>
          <w:rStyle w:val="affa"/>
          <w:rFonts w:hint="cs"/>
          <w:rtl/>
        </w:rPr>
        <w:t>הרשב"א והר"ן</w:t>
      </w:r>
      <w:r w:rsidRPr="00096DDD">
        <w:rPr>
          <w:rStyle w:val="afa"/>
          <w:rFonts w:hint="cs"/>
          <w:rtl/>
        </w:rPr>
        <w:t xml:space="preserve"> </w:t>
      </w:r>
      <w:r w:rsidRPr="00096DDD">
        <w:rPr>
          <w:rStyle w:val="aff6"/>
          <w:rFonts w:hint="cs"/>
          <w:rtl/>
        </w:rPr>
        <w:t xml:space="preserve">(עי' אות </w:t>
      </w:r>
      <w:r w:rsidRPr="00096DDD">
        <w:rPr>
          <w:rStyle w:val="aff6"/>
          <w:rtl/>
        </w:rPr>
        <w:fldChar w:fldCharType="begin"/>
      </w:r>
      <w:r w:rsidRPr="00096DDD">
        <w:rPr>
          <w:rStyle w:val="aff6"/>
          <w:rtl/>
        </w:rPr>
        <w:instrText xml:space="preserve"> </w:instrText>
      </w:r>
      <w:r w:rsidRPr="00096DDD">
        <w:rPr>
          <w:rStyle w:val="aff6"/>
          <w:rFonts w:hint="cs"/>
        </w:rPr>
        <w:instrText>REF</w:instrText>
      </w:r>
      <w:r w:rsidRPr="00096DDD">
        <w:rPr>
          <w:rStyle w:val="aff6"/>
          <w:rFonts w:hint="cs"/>
          <w:rtl/>
        </w:rPr>
        <w:instrText xml:space="preserve"> _</w:instrText>
      </w:r>
      <w:r w:rsidRPr="00096DDD">
        <w:rPr>
          <w:rStyle w:val="aff6"/>
          <w:rFonts w:hint="cs"/>
        </w:rPr>
        <w:instrText>Ref19647132 \r \h</w:instrText>
      </w:r>
      <w:r w:rsidRPr="00096DDD">
        <w:rPr>
          <w:rStyle w:val="aff6"/>
          <w:rtl/>
        </w:rPr>
        <w:instrText xml:space="preserve"> </w:instrText>
      </w:r>
      <w:r w:rsidRPr="00096DDD">
        <w:rPr>
          <w:rStyle w:val="aff6"/>
          <w:rtl/>
        </w:rPr>
      </w:r>
      <w:r w:rsidRPr="00096DDD">
        <w:rPr>
          <w:rStyle w:val="aff6"/>
          <w:rtl/>
        </w:rPr>
        <w:fldChar w:fldCharType="separate"/>
      </w:r>
      <w:r w:rsidR="004D1C5B">
        <w:rPr>
          <w:rStyle w:val="aff6"/>
          <w:cs/>
        </w:rPr>
        <w:t>‎</w:t>
      </w:r>
      <w:r w:rsidR="004D1C5B">
        <w:rPr>
          <w:rStyle w:val="aff6"/>
          <w:rtl/>
        </w:rPr>
        <w:t>פח)</w:t>
      </w:r>
      <w:r w:rsidRPr="00096DDD">
        <w:rPr>
          <w:rStyle w:val="aff6"/>
          <w:rtl/>
        </w:rPr>
        <w:fldChar w:fldCharType="end"/>
      </w:r>
      <w:r w:rsidRPr="00096DDD">
        <w:rPr>
          <w:rStyle w:val="afa"/>
          <w:rFonts w:hint="cs"/>
          <w:rtl/>
        </w:rPr>
        <w:t>],</w:t>
      </w:r>
      <w:r>
        <w:rPr>
          <w:rFonts w:hint="cs"/>
          <w:rtl/>
        </w:rPr>
        <w:t xml:space="preserve"> ומסתפקת הגמ' אי מתיר ר"ש אף בהשביח ולבסוף פגם, דהיינו דמותר בכה"ג כיון שאפשר </w:t>
      </w:r>
      <w:r w:rsidRPr="00777671">
        <w:rPr>
          <w:rFonts w:hint="cs"/>
          <w:rtl/>
        </w:rPr>
        <w:t xml:space="preserve">לסוחטו, </w:t>
      </w:r>
      <w:r w:rsidRPr="00777671">
        <w:rPr>
          <w:rStyle w:val="afa"/>
          <w:rFonts w:hint="cs"/>
          <w:rtl/>
        </w:rPr>
        <w:t xml:space="preserve">[וכדביאר </w:t>
      </w:r>
      <w:r w:rsidRPr="00777671">
        <w:rPr>
          <w:rStyle w:val="affa"/>
          <w:rFonts w:hint="cs"/>
          <w:rtl/>
        </w:rPr>
        <w:t>החת"ס</w:t>
      </w:r>
      <w:r w:rsidRPr="00777671">
        <w:rPr>
          <w:rStyle w:val="afa"/>
          <w:rFonts w:hint="cs"/>
          <w:rtl/>
        </w:rPr>
        <w:t xml:space="preserve"> </w:t>
      </w:r>
      <w:r w:rsidRPr="00777671">
        <w:rPr>
          <w:rStyle w:val="aff6"/>
          <w:rFonts w:hint="cs"/>
          <w:rtl/>
        </w:rPr>
        <w:t xml:space="preserve">(עי' אות </w:t>
      </w:r>
      <w:r w:rsidRPr="00777671">
        <w:rPr>
          <w:rStyle w:val="aff6"/>
          <w:rtl/>
        </w:rPr>
        <w:fldChar w:fldCharType="begin"/>
      </w:r>
      <w:r w:rsidRPr="00777671">
        <w:rPr>
          <w:rStyle w:val="aff6"/>
          <w:rtl/>
        </w:rPr>
        <w:instrText xml:space="preserve"> </w:instrText>
      </w:r>
      <w:r w:rsidRPr="00777671">
        <w:rPr>
          <w:rStyle w:val="aff6"/>
          <w:rFonts w:hint="cs"/>
        </w:rPr>
        <w:instrText>REF</w:instrText>
      </w:r>
      <w:r w:rsidRPr="00777671">
        <w:rPr>
          <w:rStyle w:val="aff6"/>
          <w:rFonts w:hint="cs"/>
          <w:rtl/>
        </w:rPr>
        <w:instrText xml:space="preserve"> _</w:instrText>
      </w:r>
      <w:r w:rsidRPr="00777671">
        <w:rPr>
          <w:rStyle w:val="aff6"/>
          <w:rFonts w:hint="cs"/>
        </w:rPr>
        <w:instrText>Ref19647132 \r \h</w:instrText>
      </w:r>
      <w:r w:rsidRPr="00777671">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777671">
        <w:rPr>
          <w:rStyle w:val="aff6"/>
          <w:rtl/>
        </w:rPr>
      </w:r>
      <w:r w:rsidRPr="00777671">
        <w:rPr>
          <w:rStyle w:val="aff6"/>
          <w:rtl/>
        </w:rPr>
        <w:fldChar w:fldCharType="separate"/>
      </w:r>
      <w:r w:rsidR="004D1C5B">
        <w:rPr>
          <w:rStyle w:val="aff6"/>
          <w:cs/>
        </w:rPr>
        <w:t>‎</w:t>
      </w:r>
      <w:r w:rsidR="004D1C5B">
        <w:rPr>
          <w:rStyle w:val="aff6"/>
          <w:rtl/>
        </w:rPr>
        <w:t>פח)</w:t>
      </w:r>
      <w:r w:rsidRPr="00777671">
        <w:rPr>
          <w:rStyle w:val="aff6"/>
          <w:rtl/>
        </w:rPr>
        <w:fldChar w:fldCharType="end"/>
      </w:r>
      <w:r w:rsidRPr="00777671">
        <w:rPr>
          <w:rStyle w:val="afa"/>
          <w:rFonts w:hint="cs"/>
          <w:rtl/>
        </w:rPr>
        <w:t xml:space="preserve"> דלדעת ריו"ח לא אמרינן דבהשביח ולבסוף פגם נעשה חנ"נ],</w:t>
      </w:r>
      <w:r w:rsidRPr="00777671">
        <w:rPr>
          <w:rFonts w:hint="cs"/>
          <w:rtl/>
        </w:rPr>
        <w:t xml:space="preserve"> וכתב </w:t>
      </w:r>
      <w:r w:rsidRPr="00777671">
        <w:rPr>
          <w:rStyle w:val="af8"/>
          <w:rFonts w:hint="cs"/>
          <w:rtl/>
        </w:rPr>
        <w:t>החת"ס</w:t>
      </w:r>
      <w:r w:rsidRPr="00777671">
        <w:rPr>
          <w:rFonts w:hint="cs"/>
          <w:rtl/>
        </w:rPr>
        <w:t xml:space="preserve"> ד</w:t>
      </w:r>
      <w:r>
        <w:rPr>
          <w:rFonts w:hint="cs"/>
          <w:rtl/>
        </w:rPr>
        <w:t>מבואר</w:t>
      </w:r>
      <w:r w:rsidRPr="00777671">
        <w:rPr>
          <w:rFonts w:hint="cs"/>
          <w:rtl/>
        </w:rPr>
        <w:t xml:space="preserve"> דלא </w:t>
      </w:r>
      <w:r w:rsidRPr="00777671">
        <w:rPr>
          <w:rStyle w:val="af8"/>
          <w:rFonts w:hint="cs"/>
          <w:rtl/>
        </w:rPr>
        <w:t>כ</w:t>
      </w:r>
      <w:r>
        <w:rPr>
          <w:rStyle w:val="af8"/>
          <w:rFonts w:hint="cs"/>
          <w:rtl/>
        </w:rPr>
        <w:t>ה</w:t>
      </w:r>
      <w:r w:rsidRPr="00777671">
        <w:rPr>
          <w:rStyle w:val="af8"/>
          <w:rFonts w:hint="cs"/>
          <w:rtl/>
        </w:rPr>
        <w:t>נוב"י</w:t>
      </w:r>
      <w:r w:rsidRPr="00777671">
        <w:rPr>
          <w:rFonts w:hint="cs"/>
          <w:rtl/>
        </w:rPr>
        <w:t xml:space="preserve"> </w:t>
      </w:r>
      <w:r w:rsidRPr="00EE128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Ref19787737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Pr>
          <w:rStyle w:val="af6"/>
          <w:rFonts w:eastAsia="Guttman Hodes"/>
          <w:rtl/>
        </w:rPr>
        <w:fldChar w:fldCharType="end"/>
      </w:r>
      <w:bookmarkStart w:id="10698" w:name="_Toc19792345"/>
      <w:bookmarkEnd w:id="10697"/>
      <w:r w:rsidRPr="00EE128C">
        <w:rPr>
          <w:rFonts w:hint="cs"/>
          <w:rtl/>
        </w:rPr>
        <w:t>.</w:t>
      </w:r>
    </w:p>
    <w:p w:rsidR="00A82F1E" w:rsidRPr="00801926" w:rsidRDefault="00A82F1E" w:rsidP="00A82F1E">
      <w:pPr>
        <w:pStyle w:val="1"/>
        <w:rPr>
          <w:rtl/>
        </w:rPr>
      </w:pPr>
      <w:r w:rsidRPr="00801926">
        <w:rPr>
          <w:rFonts w:hint="cs"/>
          <w:rtl/>
        </w:rPr>
        <w:t>דברי הריטב"א</w:t>
      </w:r>
      <w:bookmarkEnd w:id="10692"/>
      <w:bookmarkEnd w:id="10693"/>
      <w:bookmarkEnd w:id="10694"/>
      <w:r>
        <w:rPr>
          <w:rFonts w:hint="cs"/>
          <w:rtl/>
        </w:rPr>
        <w:t xml:space="preserve"> דריו"ח פסק כר"ש בפגום מעיקרא</w:t>
      </w:r>
      <w:bookmarkEnd w:id="10698"/>
      <w:r>
        <w:rPr>
          <w:rFonts w:hint="cs"/>
          <w:rtl/>
        </w:rPr>
        <w:t xml:space="preserve"> </w:t>
      </w:r>
    </w:p>
    <w:p w:rsidR="00A82F1E" w:rsidRPr="00801926" w:rsidRDefault="00A82F1E" w:rsidP="00A82F1E">
      <w:pPr>
        <w:pStyle w:val="a2"/>
        <w:rPr>
          <w:rtl/>
        </w:rPr>
      </w:pPr>
      <w:bookmarkStart w:id="10699" w:name="_Toc19651795"/>
      <w:bookmarkStart w:id="10700" w:name="_Toc19694957"/>
      <w:bookmarkStart w:id="10701" w:name="_Toc19738511"/>
      <w:bookmarkStart w:id="10702" w:name="_Toc19792346"/>
      <w:r w:rsidRPr="00801926">
        <w:rPr>
          <w:rFonts w:hint="cs"/>
          <w:rtl/>
        </w:rPr>
        <w:t>קושית הריטב"א דמריו"ח בחומץ שנפל לגריסין מבואר דבהשביח ולבסוף פגם אסור לכו"ע</w:t>
      </w:r>
      <w:bookmarkEnd w:id="10699"/>
      <w:bookmarkEnd w:id="10700"/>
      <w:bookmarkEnd w:id="10701"/>
      <w:bookmarkEnd w:id="10702"/>
    </w:p>
    <w:p w:rsidR="00A82F1E" w:rsidRDefault="00A82F1E" w:rsidP="009F44AF">
      <w:pPr>
        <w:pStyle w:val="a"/>
        <w:rPr>
          <w:rtl/>
        </w:rPr>
      </w:pPr>
      <w:r w:rsidRPr="00801926">
        <w:rPr>
          <w:rStyle w:val="af8"/>
          <w:rFonts w:hint="cs"/>
          <w:rtl/>
        </w:rPr>
        <w:t>והריטב"א</w:t>
      </w:r>
      <w:r w:rsidRPr="00801926">
        <w:rPr>
          <w:rFonts w:hint="cs"/>
          <w:rtl/>
        </w:rPr>
        <w:t xml:space="preserve"> </w:t>
      </w:r>
      <w:r w:rsidRPr="00801926">
        <w:rPr>
          <w:rStyle w:val="af6"/>
          <w:rFonts w:eastAsia="Guttman Hodes" w:hint="cs"/>
          <w:rtl/>
        </w:rPr>
        <w:t>(ד"ה איבעיא)</w:t>
      </w:r>
      <w:r w:rsidRPr="00801926">
        <w:rPr>
          <w:rFonts w:hint="cs"/>
          <w:rtl/>
        </w:rPr>
        <w:t xml:space="preserve"> הקשה דמדברי ריו"ח </w:t>
      </w:r>
      <w:r w:rsidRPr="00801926">
        <w:rPr>
          <w:rStyle w:val="af6"/>
          <w:rFonts w:eastAsia="Guttman Hodes" w:hint="cs"/>
          <w:rtl/>
        </w:rPr>
        <w:t>(סז.)</w:t>
      </w:r>
      <w:r w:rsidRPr="00801926">
        <w:rPr>
          <w:rFonts w:hint="cs"/>
          <w:rtl/>
        </w:rPr>
        <w:t xml:space="preserve"> בחומץ שנפל לגריסין מבואר דבהשביח ולבסוף פגם אסור לכו"ע, דהא ריו"ח העמיד את מתני' לעיל </w:t>
      </w:r>
      <w:r w:rsidRPr="00801926">
        <w:rPr>
          <w:rStyle w:val="af6"/>
          <w:rFonts w:eastAsia="Guttman Hodes" w:hint="cs"/>
          <w:rtl/>
        </w:rPr>
        <w:t>(סה:)</w:t>
      </w:r>
      <w:r w:rsidRPr="00801926">
        <w:rPr>
          <w:rFonts w:hint="cs"/>
          <w:rtl/>
        </w:rPr>
        <w:t xml:space="preserve"> רק בחומץ שנפל לתוך גריסין רותחין,</w:t>
      </w:r>
      <w:r>
        <w:rPr>
          <w:rFonts w:hint="cs"/>
          <w:rtl/>
        </w:rPr>
        <w:t xml:space="preserve"> אבל בנפל לצוננין והרתיחן נעשה כהשביח ולבסוף פגם ואסור, ומבואר דלכו"ע אסור, דהא מתני' היא כר"ש, והתירה מתני' רק בפגום מעיקרא, והיאך אפש"ל דלריו"ח נחלקו גם בהשביח ולבסוף פגם.</w:t>
      </w:r>
    </w:p>
    <w:p w:rsidR="00A82F1E" w:rsidRDefault="00A82F1E" w:rsidP="00A82F1E">
      <w:pPr>
        <w:pStyle w:val="a2"/>
        <w:rPr>
          <w:rtl/>
        </w:rPr>
      </w:pPr>
      <w:bookmarkStart w:id="10703" w:name="_Toc19651796"/>
      <w:bookmarkStart w:id="10704" w:name="_Toc19694958"/>
      <w:bookmarkStart w:id="10705" w:name="_Toc19738512"/>
      <w:bookmarkStart w:id="10706" w:name="_Toc19792347"/>
      <w:r>
        <w:rPr>
          <w:rFonts w:hint="cs"/>
          <w:rtl/>
        </w:rPr>
        <w:t>תירוץ הריטב"א דריו"ח העמיד את מתני' ופסק כר"ש בפגום מעיקרא אך ר"ש מתיר אף בהשביח</w:t>
      </w:r>
      <w:bookmarkEnd w:id="10703"/>
      <w:bookmarkEnd w:id="10704"/>
      <w:bookmarkEnd w:id="10705"/>
      <w:bookmarkEnd w:id="10706"/>
    </w:p>
    <w:p w:rsidR="00707FC2" w:rsidRDefault="00A82F1E" w:rsidP="009F44AF">
      <w:pPr>
        <w:pStyle w:val="a"/>
        <w:rPr>
          <w:rtl/>
        </w:rPr>
      </w:pPr>
      <w:r>
        <w:rPr>
          <w:rFonts w:hint="cs"/>
          <w:rtl/>
        </w:rPr>
        <w:t xml:space="preserve">ותירץ </w:t>
      </w:r>
      <w:r w:rsidRPr="0034316C">
        <w:rPr>
          <w:rStyle w:val="af8"/>
          <w:rFonts w:hint="cs"/>
          <w:rtl/>
        </w:rPr>
        <w:t>הריטב"א</w:t>
      </w:r>
      <w:r>
        <w:rPr>
          <w:rFonts w:hint="cs"/>
          <w:rtl/>
        </w:rPr>
        <w:t xml:space="preserve"> דבדברי ריו"ח בחומץ שנפל לגריסין אפשר לבאר דר"מ ור"ש נחלקו בין בפגום מעיקרא, ובין בהשביח ולבסוף פגם, והא דהעמיד ריו"ח את מתני' בפגום מעיקרא, הוא כיון דריו"ח בא לפסוק להלכה דתנא דמתני' סתם כר"ש רק בפגום מעיקרא, אבל בהשביח ולבסוף פגם, קיי"ל כר"מ דאסר.</w:t>
      </w:r>
    </w:p>
    <w:p w:rsidR="00A82F1E" w:rsidRPr="0053585F" w:rsidRDefault="00A82F1E" w:rsidP="00E669F8">
      <w:pPr>
        <w:pStyle w:val="afd"/>
        <w:rPr>
          <w:rtl/>
        </w:rPr>
      </w:pPr>
      <w:bookmarkStart w:id="10707" w:name="_Toc19694960"/>
      <w:bookmarkStart w:id="10708" w:name="_Toc19738514"/>
      <w:bookmarkStart w:id="10709" w:name="_Toc19792348"/>
      <w:r>
        <w:rPr>
          <w:rFonts w:hint="cs"/>
          <w:rtl/>
        </w:rPr>
        <w:t xml:space="preserve">ביאור הר"ן </w:t>
      </w:r>
      <w:bookmarkEnd w:id="10643"/>
      <w:bookmarkEnd w:id="10644"/>
      <w:bookmarkEnd w:id="10645"/>
      <w:bookmarkEnd w:id="10665"/>
      <w:bookmarkEnd w:id="10707"/>
      <w:bookmarkEnd w:id="10708"/>
      <w:r>
        <w:rPr>
          <w:rFonts w:hint="cs"/>
          <w:rtl/>
        </w:rPr>
        <w:t xml:space="preserve">בספק </w:t>
      </w:r>
      <w:r w:rsidRPr="0053585F">
        <w:rPr>
          <w:rFonts w:hint="cs"/>
          <w:rtl/>
        </w:rPr>
        <w:t xml:space="preserve">הגמ' </w:t>
      </w:r>
      <w:r>
        <w:rPr>
          <w:rFonts w:hint="cs"/>
          <w:rtl/>
        </w:rPr>
        <w:t>ל</w:t>
      </w:r>
      <w:r w:rsidRPr="0053585F">
        <w:rPr>
          <w:rFonts w:hint="cs"/>
          <w:rtl/>
        </w:rPr>
        <w:t>ריו"ח</w:t>
      </w:r>
      <w:bookmarkEnd w:id="10709"/>
    </w:p>
    <w:p w:rsidR="00A82F1E" w:rsidRPr="00FA4EDD" w:rsidRDefault="00A82F1E" w:rsidP="00A82F1E">
      <w:pPr>
        <w:pStyle w:val="1"/>
        <w:rPr>
          <w:rtl/>
        </w:rPr>
      </w:pPr>
      <w:bookmarkStart w:id="10710" w:name="_Toc19651780"/>
      <w:bookmarkStart w:id="10711" w:name="_Toc19694961"/>
      <w:bookmarkStart w:id="10712" w:name="_Toc19738515"/>
      <w:bookmarkStart w:id="10713" w:name="_Toc19792349"/>
      <w:r>
        <w:rPr>
          <w:rFonts w:hint="cs"/>
          <w:rtl/>
        </w:rPr>
        <w:t>קושית הר"ן</w:t>
      </w:r>
      <w:bookmarkEnd w:id="10710"/>
      <w:bookmarkEnd w:id="10711"/>
      <w:bookmarkEnd w:id="10712"/>
      <w:r>
        <w:rPr>
          <w:rFonts w:hint="cs"/>
          <w:rtl/>
        </w:rPr>
        <w:t xml:space="preserve"> דאמאי לא ילפינן מנבילה להשביח ולסוף פגם</w:t>
      </w:r>
      <w:bookmarkEnd w:id="10713"/>
    </w:p>
    <w:p w:rsidR="00A82F1E" w:rsidRDefault="00A82F1E" w:rsidP="00A82F1E">
      <w:pPr>
        <w:pStyle w:val="a2"/>
        <w:rPr>
          <w:rtl/>
        </w:rPr>
      </w:pPr>
      <w:bookmarkStart w:id="10714" w:name="_Toc19618204"/>
      <w:bookmarkStart w:id="10715" w:name="_Toc19624482"/>
      <w:bookmarkStart w:id="10716" w:name="_Toc19651781"/>
      <w:bookmarkStart w:id="10717" w:name="_Toc19694962"/>
      <w:bookmarkStart w:id="10718" w:name="_Toc19738516"/>
      <w:bookmarkStart w:id="10719" w:name="_Toc19792350"/>
      <w:r>
        <w:rPr>
          <w:rFonts w:hint="cs"/>
          <w:rtl/>
        </w:rPr>
        <w:t>קושית הר"ן</w:t>
      </w:r>
      <w:bookmarkEnd w:id="10714"/>
      <w:bookmarkEnd w:id="10715"/>
      <w:r>
        <w:rPr>
          <w:rFonts w:hint="cs"/>
          <w:rtl/>
        </w:rPr>
        <w:t xml:space="preserve"> דר"ש דמתיר בפגום מעיקרא יליף מנבילה ואמאי מודה לר"מ בהשביח ואח"כ פגם</w:t>
      </w:r>
      <w:bookmarkEnd w:id="10716"/>
      <w:bookmarkEnd w:id="10717"/>
      <w:bookmarkEnd w:id="10718"/>
      <w:bookmarkEnd w:id="10719"/>
      <w:r>
        <w:rPr>
          <w:rFonts w:hint="cs"/>
          <w:rtl/>
        </w:rPr>
        <w:t xml:space="preserve"> </w:t>
      </w:r>
    </w:p>
    <w:p w:rsidR="00A82F1E" w:rsidRDefault="00A82F1E" w:rsidP="009F44AF">
      <w:pPr>
        <w:pStyle w:val="a"/>
        <w:rPr>
          <w:rtl/>
        </w:rPr>
      </w:pPr>
      <w:r>
        <w:rPr>
          <w:rFonts w:hint="cs"/>
          <w:rtl/>
        </w:rPr>
        <w:t xml:space="preserve">הקשה </w:t>
      </w:r>
      <w:r w:rsidRPr="00346115">
        <w:rPr>
          <w:rStyle w:val="af8"/>
          <w:rFonts w:hint="cs"/>
          <w:rtl/>
        </w:rPr>
        <w:t>הר"ן בחי'</w:t>
      </w:r>
      <w:r w:rsidRPr="0080179F">
        <w:rPr>
          <w:rStyle w:val="af6"/>
          <w:rFonts w:eastAsia="Guttman Hodes" w:hint="cs"/>
          <w:rtl/>
        </w:rPr>
        <w:t xml:space="preserve"> (ד"ה אמר עולא) </w:t>
      </w:r>
      <w:r>
        <w:rPr>
          <w:rFonts w:hint="cs"/>
          <w:rtl/>
        </w:rPr>
        <w:t>למסקנת הגמ' אליבא דריו"ח, דנחלקו בפגום מעיקרא, ובהשביח ולבסוף פגם לכו"ע אסור, דהרי המ"ד דמתיר בפגום מעיקרא ודאי דס"ל דילפינן מנבילה, דההיתר אינו רק בסרוחה מעיקרא, אלא אף במשובחת ולבסוף נפגמה, וא"כ אמאי הוא מודה דבהשביח ולבסוף פגם אסור, הא אפשר ללמוד מנבילה, דאף בכה"ג מותר.</w:t>
      </w:r>
    </w:p>
    <w:p w:rsidR="00A82F1E" w:rsidRDefault="00A82F1E" w:rsidP="00A82F1E">
      <w:pPr>
        <w:pStyle w:val="1"/>
        <w:rPr>
          <w:rtl/>
        </w:rPr>
      </w:pPr>
      <w:bookmarkStart w:id="10720" w:name="_Toc19651782"/>
      <w:bookmarkStart w:id="10721" w:name="_Toc19694963"/>
      <w:bookmarkStart w:id="10722" w:name="_Toc19738517"/>
      <w:bookmarkStart w:id="10723" w:name="_Toc19792351"/>
      <w:r>
        <w:rPr>
          <w:rFonts w:hint="cs"/>
          <w:rtl/>
        </w:rPr>
        <w:t>ביאור הר"ן בריו"ח</w:t>
      </w:r>
      <w:bookmarkEnd w:id="10720"/>
      <w:bookmarkEnd w:id="10721"/>
      <w:bookmarkEnd w:id="10722"/>
      <w:r>
        <w:rPr>
          <w:rFonts w:hint="cs"/>
          <w:rtl/>
        </w:rPr>
        <w:t xml:space="preserve"> דהיתר נטל"פ הוא רק כשלא חל איסור</w:t>
      </w:r>
      <w:bookmarkEnd w:id="10723"/>
      <w:r>
        <w:rPr>
          <w:rFonts w:hint="cs"/>
          <w:rtl/>
        </w:rPr>
        <w:t xml:space="preserve"> </w:t>
      </w:r>
    </w:p>
    <w:p w:rsidR="00A82F1E" w:rsidRDefault="00A82F1E" w:rsidP="00A82F1E">
      <w:pPr>
        <w:pStyle w:val="a2"/>
        <w:rPr>
          <w:rtl/>
        </w:rPr>
      </w:pPr>
      <w:bookmarkStart w:id="10724" w:name="_Toc19651783"/>
      <w:bookmarkStart w:id="10725" w:name="_Toc19694964"/>
      <w:bookmarkStart w:id="10726" w:name="_Toc19738518"/>
      <w:bookmarkStart w:id="10727" w:name="_Toc19792352"/>
      <w:r>
        <w:rPr>
          <w:rFonts w:hint="cs"/>
          <w:rtl/>
        </w:rPr>
        <w:t>ביאור הר"ן בריו"ח דלר"מ ילפינן מגיעולי עכו"ם לאסור בפגום מעיקרא ולא ילפינן מנבילה</w:t>
      </w:r>
      <w:bookmarkEnd w:id="10724"/>
      <w:bookmarkEnd w:id="10725"/>
      <w:bookmarkEnd w:id="10726"/>
      <w:bookmarkEnd w:id="10727"/>
    </w:p>
    <w:p w:rsidR="00A82F1E" w:rsidRDefault="00A82F1E" w:rsidP="009F44AF">
      <w:pPr>
        <w:pStyle w:val="a"/>
        <w:rPr>
          <w:rtl/>
        </w:rPr>
      </w:pPr>
      <w:r>
        <w:rPr>
          <w:rFonts w:hint="cs"/>
          <w:rtl/>
        </w:rPr>
        <w:t xml:space="preserve">וביאר </w:t>
      </w:r>
      <w:r w:rsidRPr="00B14AF6">
        <w:rPr>
          <w:rStyle w:val="af8"/>
          <w:rFonts w:hint="cs"/>
          <w:rtl/>
        </w:rPr>
        <w:t>הר"ן בחי'</w:t>
      </w:r>
      <w:r>
        <w:rPr>
          <w:rFonts w:hint="cs"/>
          <w:rtl/>
        </w:rPr>
        <w:t xml:space="preserve"> </w:t>
      </w:r>
      <w:r w:rsidRPr="00346115">
        <w:rPr>
          <w:rStyle w:val="af8"/>
          <w:rFonts w:hint="cs"/>
          <w:rtl/>
        </w:rPr>
        <w:t>בחי'</w:t>
      </w:r>
      <w:r w:rsidRPr="0080179F">
        <w:rPr>
          <w:rStyle w:val="af6"/>
          <w:rFonts w:eastAsia="Guttman Hodes" w:hint="cs"/>
          <w:rtl/>
        </w:rPr>
        <w:t xml:space="preserve"> (ד"ה </w:t>
      </w:r>
      <w:r>
        <w:rPr>
          <w:rStyle w:val="af6"/>
          <w:rFonts w:eastAsia="Guttman Hodes" w:hint="cs"/>
          <w:rtl/>
        </w:rPr>
        <w:t>אבל ריו"ח</w:t>
      </w:r>
      <w:r w:rsidRPr="0080179F">
        <w:rPr>
          <w:rStyle w:val="af6"/>
          <w:rFonts w:eastAsia="Guttman Hodes" w:hint="cs"/>
          <w:rtl/>
        </w:rPr>
        <w:t xml:space="preserve">) </w:t>
      </w:r>
      <w:r>
        <w:rPr>
          <w:rFonts w:hint="cs"/>
          <w:rtl/>
        </w:rPr>
        <w:t xml:space="preserve">בדעת ר"מ אליבא דריו"ח, דילפינן מגיעולי עכו"ם דהאיסור הוא אף בפגום מעיקרא, ולכן העמיד ר"מ את ההיתר בנבילה רק בסרוחה מעיקרא, דכיון שלא חל עליה האיסור מעולם, לכן היא מותרת, אבל בגיעולי עכו"ם </w:t>
      </w:r>
      <w:r>
        <w:rPr>
          <w:rFonts w:hint="cs"/>
          <w:rtl/>
        </w:rPr>
        <w:lastRenderedPageBreak/>
        <w:t xml:space="preserve">שהאיסור הבלוע בכלי כבר היה אסור, וביאר </w:t>
      </w:r>
      <w:r w:rsidRPr="005C28C7">
        <w:rPr>
          <w:rStyle w:val="af8"/>
          <w:rFonts w:hint="cs"/>
          <w:rtl/>
        </w:rPr>
        <w:t xml:space="preserve">הר"ן </w:t>
      </w:r>
      <w:r>
        <w:rPr>
          <w:rFonts w:hint="cs"/>
          <w:rtl/>
        </w:rPr>
        <w:t xml:space="preserve">דא"א לומר לר"מ דההיתר בנבילה הוא גם באינה סרוחה מעיקרא, דא"כ לא הייתה התורה אוסרת בגיעולי עכו"ם, והוסיף </w:t>
      </w:r>
      <w:r w:rsidRPr="005C28C7">
        <w:rPr>
          <w:rStyle w:val="af8"/>
          <w:rFonts w:hint="cs"/>
          <w:rtl/>
        </w:rPr>
        <w:t xml:space="preserve">הר"ן </w:t>
      </w:r>
      <w:r>
        <w:rPr>
          <w:rFonts w:hint="cs"/>
          <w:rtl/>
        </w:rPr>
        <w:t xml:space="preserve">דאעפ"י דבנבילה אינה ראויה לגר, ובנותן טעם לפגם, האיסור אינו נפסל מאכילה דמותר אף בפגום במקצת, מ"מ הרי כיון שאין לו הנאה מהטעם המעורב בתערובת, הוא דומה לנבילה שהייתה משובחת ואח"כ נפגמה, כדביאר </w:t>
      </w:r>
      <w:r w:rsidRPr="005C28C7">
        <w:rPr>
          <w:rStyle w:val="af8"/>
          <w:rFonts w:hint="cs"/>
          <w:rtl/>
        </w:rPr>
        <w:t xml:space="preserve">הר"ן </w:t>
      </w:r>
      <w:r w:rsidRPr="008A21B6">
        <w:rPr>
          <w:rStyle w:val="af6"/>
          <w:rFonts w:eastAsia="Guttman Hodes" w:hint="cs"/>
          <w:rtl/>
        </w:rPr>
        <w:t xml:space="preserve">(עי' אות </w:t>
      </w:r>
      <w:r w:rsidRPr="008A21B6">
        <w:rPr>
          <w:rStyle w:val="af6"/>
          <w:rFonts w:eastAsia="Guttman Hodes"/>
          <w:rtl/>
        </w:rPr>
        <w:fldChar w:fldCharType="begin"/>
      </w:r>
      <w:r w:rsidRPr="008A21B6">
        <w:rPr>
          <w:rStyle w:val="af6"/>
          <w:rFonts w:eastAsia="Guttman Hodes"/>
          <w:rtl/>
        </w:rPr>
        <w:instrText xml:space="preserve"> </w:instrText>
      </w:r>
      <w:r w:rsidRPr="008A21B6">
        <w:rPr>
          <w:rStyle w:val="af6"/>
          <w:rFonts w:eastAsia="Guttman Hodes" w:hint="cs"/>
        </w:rPr>
        <w:instrText>REF</w:instrText>
      </w:r>
      <w:r w:rsidRPr="008A21B6">
        <w:rPr>
          <w:rStyle w:val="af6"/>
          <w:rFonts w:eastAsia="Guttman Hodes" w:hint="cs"/>
          <w:rtl/>
        </w:rPr>
        <w:instrText xml:space="preserve"> _</w:instrText>
      </w:r>
      <w:r w:rsidRPr="008A21B6">
        <w:rPr>
          <w:rStyle w:val="af6"/>
          <w:rFonts w:eastAsia="Guttman Hodes" w:hint="cs"/>
        </w:rPr>
        <w:instrText>Ref19702045 \r \h</w:instrText>
      </w:r>
      <w:r w:rsidRPr="008A21B6">
        <w:rPr>
          <w:rStyle w:val="af6"/>
          <w:rFonts w:eastAsia="Guttman Hodes"/>
          <w:rtl/>
        </w:rPr>
        <w:instrText xml:space="preserve"> </w:instrText>
      </w:r>
      <w:r w:rsidRPr="008A21B6">
        <w:rPr>
          <w:rStyle w:val="af6"/>
          <w:rFonts w:eastAsia="Guttman Hodes"/>
          <w:rtl/>
        </w:rPr>
      </w:r>
      <w:r w:rsidRPr="008A21B6">
        <w:rPr>
          <w:rStyle w:val="af6"/>
          <w:rFonts w:eastAsia="Guttman Hodes"/>
          <w:rtl/>
        </w:rPr>
        <w:fldChar w:fldCharType="separate"/>
      </w:r>
      <w:r w:rsidR="004D1C5B">
        <w:rPr>
          <w:rStyle w:val="af6"/>
          <w:rFonts w:eastAsia="Guttman Hodes"/>
          <w:cs/>
        </w:rPr>
        <w:t>‎</w:t>
      </w:r>
      <w:r w:rsidR="004D1C5B">
        <w:rPr>
          <w:rStyle w:val="af6"/>
          <w:rFonts w:eastAsia="Guttman Hodes"/>
          <w:rtl/>
        </w:rPr>
        <w:t>נח)</w:t>
      </w:r>
      <w:r w:rsidRPr="008A21B6">
        <w:rPr>
          <w:rStyle w:val="af6"/>
          <w:rFonts w:eastAsia="Guttman Hodes"/>
          <w:rtl/>
        </w:rPr>
        <w:fldChar w:fldCharType="end"/>
      </w:r>
      <w:r>
        <w:rPr>
          <w:rFonts w:hint="cs"/>
          <w:rtl/>
        </w:rPr>
        <w:t xml:space="preserve">, וכתב </w:t>
      </w:r>
      <w:r w:rsidRPr="005C28C7">
        <w:rPr>
          <w:rStyle w:val="af8"/>
          <w:rFonts w:hint="cs"/>
          <w:rtl/>
        </w:rPr>
        <w:t xml:space="preserve">הר"ן </w:t>
      </w:r>
      <w:r>
        <w:rPr>
          <w:rFonts w:hint="cs"/>
          <w:rtl/>
        </w:rPr>
        <w:t>דלכן ס"ל לר"מ אליבא דריו"ח דאף בפגום מעיקרא אסור, דהוא כגיעולי עכו"ם דאסרה תורה בפגום מעיקרא.</w:t>
      </w:r>
    </w:p>
    <w:p w:rsidR="00A82F1E" w:rsidRDefault="00A82F1E" w:rsidP="00A82F1E">
      <w:pPr>
        <w:pStyle w:val="a2"/>
        <w:rPr>
          <w:rtl/>
        </w:rPr>
      </w:pPr>
      <w:bookmarkStart w:id="10728" w:name="_Toc19651784"/>
      <w:bookmarkStart w:id="10729" w:name="_Toc19694965"/>
      <w:bookmarkStart w:id="10730" w:name="_Toc19738519"/>
      <w:bookmarkStart w:id="10731" w:name="_Toc19792353"/>
      <w:r>
        <w:rPr>
          <w:rFonts w:hint="cs"/>
          <w:rtl/>
        </w:rPr>
        <w:t xml:space="preserve">ביאור הר"ן דלר"ש ילפינן מנבילה להתיר כיון דאינו נהנה מהאיסור ועל התערובת לא חל </w:t>
      </w:r>
      <w:bookmarkEnd w:id="10728"/>
      <w:bookmarkEnd w:id="10729"/>
      <w:bookmarkEnd w:id="10730"/>
      <w:r>
        <w:rPr>
          <w:rFonts w:hint="cs"/>
          <w:rtl/>
        </w:rPr>
        <w:t>איסור</w:t>
      </w:r>
      <w:bookmarkEnd w:id="10731"/>
    </w:p>
    <w:p w:rsidR="00A82F1E" w:rsidRPr="001A4077" w:rsidRDefault="00A82F1E" w:rsidP="009F44AF">
      <w:pPr>
        <w:pStyle w:val="a"/>
        <w:rPr>
          <w:rStyle w:val="afa"/>
          <w:rtl/>
        </w:rPr>
      </w:pPr>
      <w:r>
        <w:rPr>
          <w:rFonts w:hint="cs"/>
          <w:rtl/>
        </w:rPr>
        <w:t xml:space="preserve">ובדעת ר"ש אליבא דריו"ח, ביאר </w:t>
      </w:r>
      <w:r w:rsidRPr="005C28C7">
        <w:rPr>
          <w:rStyle w:val="af8"/>
          <w:rFonts w:hint="cs"/>
          <w:rtl/>
        </w:rPr>
        <w:t>הר"ן בחי'</w:t>
      </w:r>
      <w:r>
        <w:rPr>
          <w:rFonts w:hint="cs"/>
          <w:rtl/>
        </w:rPr>
        <w:t xml:space="preserve"> דההיתר בנבילה שאינה ראויה לגר, הוא אף כשהייתה משובחת ואח"כ נפגמה, דאעפ"י שכבר חל עליה האיסור, מ"מ כיון שאינה ראויה לגר התירתה תורה, ולכן ס"ל לר"ש דילפינן מנבילה להתיר באיסור שנתן טעם בהיתר ופגמו בפגום מעיקרא, דדמי לנבילה שאינה ראויה לגר, והוסיף </w:t>
      </w:r>
      <w:r w:rsidRPr="001A4077">
        <w:rPr>
          <w:rStyle w:val="af8"/>
          <w:rFonts w:hint="cs"/>
          <w:rtl/>
        </w:rPr>
        <w:t>הר"ן</w:t>
      </w:r>
      <w:r>
        <w:rPr>
          <w:rFonts w:hint="cs"/>
          <w:rtl/>
        </w:rPr>
        <w:t xml:space="preserve"> דאעפ"י דנותן טעם לפגם לא נפסל מאכילה, ואילו הנבילה נפסלה מאכילה, מ"מ לא חל איסור על התבשיל שנפל האיסור לתוכו מעולם, ואעפ"י שעל האיסור שנפל לתוך התבשיל כבר חל איסור לפני שהתערב בהיתר, מ"מ בתבשיל של ההיתר לא היה כל איסור, ודמי לנבילה שאינה ראויה לגר, כיון שאינו נהנה מהאיסור. </w:t>
      </w:r>
      <w:r w:rsidRPr="001A4077">
        <w:rPr>
          <w:rStyle w:val="afa"/>
          <w:rFonts w:hint="cs"/>
          <w:rtl/>
        </w:rPr>
        <w:t>[והיינו דאף שעל האיסור עצמו כבר חל איסור לפני שהתערב בתבשיל, מ"מ אינו נהנה ממנו, ודמי לנבילה שאינה ראויה לגר שאינו נהנה ממנה, ואף שנהנה מהתבשיל עצמו מ"מ בתבשיל לא חל איסור כלל].</w:t>
      </w:r>
    </w:p>
    <w:p w:rsidR="00A82F1E" w:rsidRDefault="00A82F1E" w:rsidP="00A82F1E">
      <w:pPr>
        <w:pStyle w:val="a2"/>
        <w:rPr>
          <w:rtl/>
        </w:rPr>
      </w:pPr>
      <w:bookmarkStart w:id="10732" w:name="_Toc19651785"/>
      <w:bookmarkStart w:id="10733" w:name="_Toc19694966"/>
      <w:bookmarkStart w:id="10734" w:name="_Toc19738520"/>
      <w:bookmarkStart w:id="10735" w:name="_Toc19792354"/>
      <w:r>
        <w:rPr>
          <w:rFonts w:hint="cs"/>
          <w:rtl/>
        </w:rPr>
        <w:t>ביאור הר"ן בריו"ח דבהשביח ולבסוף פגם כל התבשיל נעשה כנבילה וא"א להתירו</w:t>
      </w:r>
      <w:r w:rsidRPr="00E74F9A">
        <w:rPr>
          <w:rFonts w:hint="cs"/>
          <w:rtl/>
        </w:rPr>
        <w:t xml:space="preserve"> </w:t>
      </w:r>
      <w:r>
        <w:rPr>
          <w:rFonts w:hint="cs"/>
          <w:rtl/>
        </w:rPr>
        <w:t>ולכו"ע אסור</w:t>
      </w:r>
      <w:bookmarkEnd w:id="10732"/>
      <w:bookmarkEnd w:id="10733"/>
      <w:bookmarkEnd w:id="10734"/>
      <w:bookmarkEnd w:id="10735"/>
    </w:p>
    <w:p w:rsidR="00A82F1E" w:rsidRDefault="00A82F1E" w:rsidP="009F44AF">
      <w:pPr>
        <w:pStyle w:val="a"/>
        <w:rPr>
          <w:rtl/>
        </w:rPr>
      </w:pPr>
      <w:bookmarkStart w:id="10736" w:name="_Ref19457440"/>
      <w:r>
        <w:rPr>
          <w:rFonts w:hint="cs"/>
          <w:rtl/>
        </w:rPr>
        <w:t xml:space="preserve">אבל בהשביח ולבסוף פגם דס"ל לריו"ח דלכו"ע אסור, ביאר </w:t>
      </w:r>
      <w:r w:rsidRPr="00B14AF6">
        <w:rPr>
          <w:rStyle w:val="af8"/>
          <w:rFonts w:hint="cs"/>
          <w:rtl/>
        </w:rPr>
        <w:t>הר"ן בחי'</w:t>
      </w:r>
      <w:r>
        <w:rPr>
          <w:rFonts w:hint="cs"/>
          <w:rtl/>
        </w:rPr>
        <w:t xml:space="preserve"> דבשעה שהשביח התבשיל מחמת האיסור, נעשה כל התבשיל כנבילה, ושוב א"א להתירו, עד שיפסל מאכילת אדם, וציין </w:t>
      </w:r>
      <w:r w:rsidRPr="00B14AF6">
        <w:rPr>
          <w:rStyle w:val="af8"/>
          <w:rFonts w:hint="cs"/>
          <w:rtl/>
        </w:rPr>
        <w:t>הר"ן</w:t>
      </w:r>
      <w:r>
        <w:rPr>
          <w:rFonts w:hint="cs"/>
          <w:rtl/>
        </w:rPr>
        <w:t xml:space="preserve"> לדבריו </w:t>
      </w:r>
      <w:r w:rsidRPr="005C2E46">
        <w:rPr>
          <w:rStyle w:val="af6"/>
          <w:rFonts w:eastAsia="Guttman Hodes" w:hint="cs"/>
          <w:rtl/>
        </w:rPr>
        <w:t xml:space="preserve">(עי' אות </w:t>
      </w:r>
      <w:r w:rsidRPr="005C2E46">
        <w:rPr>
          <w:rStyle w:val="af6"/>
          <w:rFonts w:eastAsia="Guttman Hodes"/>
          <w:rtl/>
        </w:rPr>
        <w:fldChar w:fldCharType="begin"/>
      </w:r>
      <w:r w:rsidRPr="005C2E46">
        <w:rPr>
          <w:rStyle w:val="af6"/>
          <w:rFonts w:eastAsia="Guttman Hodes"/>
          <w:rtl/>
        </w:rPr>
        <w:instrText xml:space="preserve"> </w:instrText>
      </w:r>
      <w:r w:rsidRPr="005C2E46">
        <w:rPr>
          <w:rStyle w:val="af6"/>
          <w:rFonts w:eastAsia="Guttman Hodes" w:hint="cs"/>
        </w:rPr>
        <w:instrText>REF</w:instrText>
      </w:r>
      <w:r w:rsidRPr="005C2E46">
        <w:rPr>
          <w:rStyle w:val="af6"/>
          <w:rFonts w:eastAsia="Guttman Hodes" w:hint="cs"/>
          <w:rtl/>
        </w:rPr>
        <w:instrText xml:space="preserve"> _</w:instrText>
      </w:r>
      <w:r w:rsidRPr="005C2E46">
        <w:rPr>
          <w:rStyle w:val="af6"/>
          <w:rFonts w:eastAsia="Guttman Hodes" w:hint="cs"/>
        </w:rPr>
        <w:instrText>Ref19702104 \r \h</w:instrText>
      </w:r>
      <w:r w:rsidRPr="005C2E46">
        <w:rPr>
          <w:rStyle w:val="af6"/>
          <w:rFonts w:eastAsia="Guttman Hodes"/>
          <w:rtl/>
        </w:rPr>
        <w:instrText xml:space="preserve"> </w:instrText>
      </w:r>
      <w:r w:rsidRPr="005C2E46">
        <w:rPr>
          <w:rStyle w:val="af6"/>
          <w:rFonts w:eastAsia="Guttman Hodes"/>
          <w:rtl/>
        </w:rPr>
      </w:r>
      <w:r w:rsidRPr="005C2E46">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5C2E46">
        <w:rPr>
          <w:rStyle w:val="af6"/>
          <w:rFonts w:eastAsia="Guttman Hodes"/>
          <w:rtl/>
        </w:rPr>
        <w:fldChar w:fldCharType="end"/>
      </w:r>
      <w:r>
        <w:rPr>
          <w:rFonts w:hint="cs"/>
          <w:rtl/>
        </w:rPr>
        <w:t xml:space="preserve"> במה שביאר כן בדעת ר"מ אליבא דעולא.</w:t>
      </w:r>
      <w:bookmarkEnd w:id="10736"/>
    </w:p>
    <w:p w:rsidR="00A82F1E" w:rsidRDefault="00A82F1E" w:rsidP="00A82F1E">
      <w:pPr>
        <w:pStyle w:val="1"/>
        <w:rPr>
          <w:rtl/>
        </w:rPr>
      </w:pPr>
      <w:bookmarkStart w:id="10737" w:name="_Toc19651786"/>
      <w:bookmarkStart w:id="10738" w:name="_Toc19694967"/>
      <w:bookmarkStart w:id="10739" w:name="_Toc19738521"/>
      <w:bookmarkStart w:id="10740" w:name="_Toc19792355"/>
      <w:bookmarkStart w:id="10741" w:name="_Toc19618205"/>
      <w:bookmarkStart w:id="10742" w:name="_Toc19624483"/>
      <w:r>
        <w:rPr>
          <w:rFonts w:hint="cs"/>
          <w:rtl/>
        </w:rPr>
        <w:t>ביאור החת"ס בריו"ח</w:t>
      </w:r>
      <w:bookmarkEnd w:id="10737"/>
      <w:bookmarkEnd w:id="10738"/>
      <w:bookmarkEnd w:id="10739"/>
      <w:r>
        <w:rPr>
          <w:rFonts w:hint="cs"/>
          <w:rtl/>
        </w:rPr>
        <w:t xml:space="preserve"> דלר"מ</w:t>
      </w:r>
      <w:r w:rsidRPr="00CA7A2A">
        <w:rPr>
          <w:rFonts w:hint="cs"/>
          <w:rtl/>
        </w:rPr>
        <w:t xml:space="preserve"> </w:t>
      </w:r>
      <w:r>
        <w:rPr>
          <w:rFonts w:hint="cs"/>
          <w:rtl/>
        </w:rPr>
        <w:t>א"א לאסור בהשביח ולבסוף פגם</w:t>
      </w:r>
      <w:bookmarkEnd w:id="10740"/>
    </w:p>
    <w:p w:rsidR="00A82F1E" w:rsidRPr="00574D24" w:rsidRDefault="00A82F1E" w:rsidP="00A82F1E">
      <w:pPr>
        <w:pStyle w:val="a2"/>
        <w:rPr>
          <w:rtl/>
        </w:rPr>
      </w:pPr>
      <w:bookmarkStart w:id="10743" w:name="_Toc19651787"/>
      <w:bookmarkStart w:id="10744" w:name="_Toc19694968"/>
      <w:bookmarkStart w:id="10745" w:name="_Toc19738522"/>
      <w:bookmarkStart w:id="10746" w:name="_Toc19792356"/>
      <w:r>
        <w:rPr>
          <w:rFonts w:hint="cs"/>
          <w:rtl/>
        </w:rPr>
        <w:t>דברי החת"ס בריו"ח דא"א לומר דבהשביח ולבסוף פגם הוא חנ"נ דהא ילפינן מנבילה דמותר</w:t>
      </w:r>
      <w:bookmarkEnd w:id="10743"/>
      <w:bookmarkEnd w:id="10744"/>
      <w:bookmarkEnd w:id="10745"/>
      <w:bookmarkEnd w:id="10746"/>
    </w:p>
    <w:p w:rsidR="00A82F1E" w:rsidRDefault="00A82F1E" w:rsidP="009F44AF">
      <w:pPr>
        <w:pStyle w:val="a"/>
        <w:rPr>
          <w:rtl/>
        </w:rPr>
      </w:pPr>
      <w:bookmarkStart w:id="10747" w:name="_Ref19647132"/>
      <w:bookmarkStart w:id="10748" w:name="_Ref19635070"/>
      <w:r>
        <w:rPr>
          <w:rStyle w:val="af8"/>
          <w:rFonts w:hint="cs"/>
          <w:rtl/>
        </w:rPr>
        <w:t>ו</w:t>
      </w:r>
      <w:r w:rsidRPr="00033E05">
        <w:rPr>
          <w:rStyle w:val="af8"/>
          <w:rFonts w:hint="cs"/>
          <w:rtl/>
        </w:rPr>
        <w:t>החת"ס</w:t>
      </w:r>
      <w:r>
        <w:rPr>
          <w:rStyle w:val="af6"/>
          <w:rFonts w:eastAsia="Guttman Hodes" w:hint="cs"/>
          <w:rtl/>
        </w:rPr>
        <w:t xml:space="preserve"> </w:t>
      </w:r>
      <w:r w:rsidRPr="00033E05">
        <w:rPr>
          <w:rStyle w:val="af6"/>
          <w:rFonts w:eastAsia="Guttman Hodes" w:hint="cs"/>
          <w:rtl/>
        </w:rPr>
        <w:t xml:space="preserve">(ד"ה ואמנם) </w:t>
      </w:r>
      <w:r>
        <w:rPr>
          <w:rFonts w:hint="cs"/>
          <w:rtl/>
        </w:rPr>
        <w:t xml:space="preserve">ביאר בדעת ריו"ח להצד בגמ' דנחלקו בפגום מעיקרא, דס"ל לריו"ח דלא שייך לומר דבהשביח ולבסוף פגם אסור, מדין חתיכה נעשית נבילה, </w:t>
      </w:r>
      <w:r w:rsidRPr="00170D1B">
        <w:rPr>
          <w:rStyle w:val="afa"/>
          <w:rFonts w:hint="cs"/>
          <w:rtl/>
        </w:rPr>
        <w:t xml:space="preserve">[וכדביאר </w:t>
      </w:r>
      <w:r w:rsidRPr="00170D1B">
        <w:rPr>
          <w:rStyle w:val="affa"/>
          <w:rFonts w:hint="cs"/>
          <w:rtl/>
        </w:rPr>
        <w:t>החת"ס</w:t>
      </w:r>
      <w:r w:rsidRPr="00170D1B">
        <w:rPr>
          <w:rStyle w:val="afa"/>
          <w:rFonts w:hint="cs"/>
          <w:rtl/>
        </w:rPr>
        <w:t xml:space="preserve"> </w:t>
      </w:r>
      <w:r w:rsidRPr="00170D1B">
        <w:rPr>
          <w:rStyle w:val="aff6"/>
          <w:rFonts w:hint="cs"/>
          <w:rtl/>
        </w:rPr>
        <w:t xml:space="preserve">(עי' אות </w:t>
      </w:r>
      <w:r w:rsidRPr="00170D1B">
        <w:rPr>
          <w:rStyle w:val="aff6"/>
          <w:rtl/>
        </w:rPr>
        <w:fldChar w:fldCharType="begin"/>
      </w:r>
      <w:r w:rsidRPr="00170D1B">
        <w:rPr>
          <w:rStyle w:val="aff6"/>
          <w:rtl/>
        </w:rPr>
        <w:instrText xml:space="preserve"> </w:instrText>
      </w:r>
      <w:r w:rsidRPr="00170D1B">
        <w:rPr>
          <w:rStyle w:val="aff6"/>
          <w:rFonts w:hint="cs"/>
        </w:rPr>
        <w:instrText>REF</w:instrText>
      </w:r>
      <w:r w:rsidRPr="00170D1B">
        <w:rPr>
          <w:rStyle w:val="aff6"/>
          <w:rFonts w:hint="cs"/>
          <w:rtl/>
        </w:rPr>
        <w:instrText xml:space="preserve"> _</w:instrText>
      </w:r>
      <w:r w:rsidRPr="00170D1B">
        <w:rPr>
          <w:rStyle w:val="aff6"/>
          <w:rFonts w:hint="cs"/>
        </w:rPr>
        <w:instrText>Ref19635096 \r \h</w:instrText>
      </w:r>
      <w:r w:rsidRPr="00170D1B">
        <w:rPr>
          <w:rStyle w:val="aff6"/>
          <w:rtl/>
        </w:rPr>
        <w:instrText xml:space="preserve"> </w:instrText>
      </w:r>
      <w:r w:rsidRPr="00170D1B">
        <w:rPr>
          <w:rStyle w:val="aff6"/>
          <w:rtl/>
        </w:rPr>
      </w:r>
      <w:r w:rsidRPr="00170D1B">
        <w:rPr>
          <w:rStyle w:val="aff6"/>
          <w:rtl/>
        </w:rPr>
        <w:fldChar w:fldCharType="separate"/>
      </w:r>
      <w:r w:rsidR="004D1C5B">
        <w:rPr>
          <w:rStyle w:val="aff6"/>
          <w:cs/>
        </w:rPr>
        <w:t>‎</w:t>
      </w:r>
      <w:r w:rsidR="004D1C5B">
        <w:rPr>
          <w:rStyle w:val="aff6"/>
          <w:rtl/>
        </w:rPr>
        <w:t>עג)</w:t>
      </w:r>
      <w:r w:rsidRPr="00170D1B">
        <w:rPr>
          <w:rStyle w:val="aff6"/>
          <w:rtl/>
        </w:rPr>
        <w:fldChar w:fldCharType="end"/>
      </w:r>
      <w:r w:rsidRPr="00170D1B">
        <w:rPr>
          <w:rStyle w:val="afa"/>
          <w:rFonts w:hint="cs"/>
          <w:rtl/>
        </w:rPr>
        <w:t xml:space="preserve"> בדעת עולא],</w:t>
      </w:r>
      <w:r>
        <w:rPr>
          <w:rFonts w:hint="cs"/>
          <w:rtl/>
        </w:rPr>
        <w:t xml:space="preserve"> דהרי אף הנבילה עצמה שהייתה אסורה בתחילה, מ"מ היא מותרת כשנפגמה ואינה ראויה לגר, וביארו </w:t>
      </w:r>
      <w:r w:rsidRPr="00D47CE7">
        <w:rPr>
          <w:rStyle w:val="af8"/>
          <w:rFonts w:hint="cs"/>
          <w:rtl/>
        </w:rPr>
        <w:t>הרשב"א</w:t>
      </w:r>
      <w:r w:rsidRPr="00D47CE7">
        <w:rPr>
          <w:rFonts w:hint="cs"/>
          <w:rtl/>
        </w:rPr>
        <w:t xml:space="preserve"> </w:t>
      </w:r>
      <w:r w:rsidRPr="00D47CE7">
        <w:rPr>
          <w:rStyle w:val="af8"/>
          <w:rFonts w:hint="cs"/>
          <w:rtl/>
        </w:rPr>
        <w:t>בתוה"ב</w:t>
      </w:r>
      <w:r w:rsidRPr="00D47CE7">
        <w:rPr>
          <w:rFonts w:hint="cs"/>
          <w:rtl/>
        </w:rPr>
        <w:t xml:space="preserve"> </w:t>
      </w:r>
      <w:r w:rsidRPr="00D47CE7">
        <w:rPr>
          <w:rStyle w:val="af6"/>
          <w:rFonts w:eastAsia="Guttman Hodes" w:hint="cs"/>
          <w:rtl/>
        </w:rPr>
        <w:t>(ב"ד ש"א יט. מדה"ס ד"ה פגם</w:t>
      </w:r>
      <w:r>
        <w:rPr>
          <w:rStyle w:val="af6"/>
          <w:rFonts w:eastAsia="Guttman Hodes" w:hint="cs"/>
          <w:rtl/>
        </w:rPr>
        <w:t xml:space="preserve">, הובא לעיל סימן יב' אות טז) </w:t>
      </w:r>
      <w:r w:rsidRPr="00D47CE7">
        <w:rPr>
          <w:rStyle w:val="af8"/>
          <w:rFonts w:hint="cs"/>
          <w:rtl/>
        </w:rPr>
        <w:t xml:space="preserve"> והר"ן על הרי"ף</w:t>
      </w:r>
      <w:r>
        <w:rPr>
          <w:rStyle w:val="af8"/>
          <w:rFonts w:hint="cs"/>
          <w:rtl/>
        </w:rPr>
        <w:t xml:space="preserve"> </w:t>
      </w:r>
      <w:r w:rsidRPr="00D47CE7">
        <w:rPr>
          <w:rStyle w:val="af6"/>
          <w:rFonts w:eastAsia="Guttman Hodes" w:hint="cs"/>
          <w:rtl/>
        </w:rPr>
        <w:t>(סוף לב. מדפי הרי"ף ד"ה ודאמרינן</w:t>
      </w:r>
      <w:r w:rsidRPr="00B53DAD">
        <w:rPr>
          <w:rStyle w:val="af6"/>
          <w:rFonts w:eastAsia="Guttman Hodes" w:hint="cs"/>
          <w:rtl/>
        </w:rPr>
        <w:t xml:space="preserve">, הובא לעיל סימן </w:t>
      </w:r>
      <w:r>
        <w:rPr>
          <w:rStyle w:val="af6"/>
          <w:rFonts w:eastAsia="Guttman Hodes" w:hint="cs"/>
          <w:rtl/>
        </w:rPr>
        <w:t>י"ב</w:t>
      </w:r>
      <w:r w:rsidRPr="00B53DAD">
        <w:rPr>
          <w:rStyle w:val="af6"/>
          <w:rFonts w:eastAsia="Guttman Hodes" w:hint="cs"/>
          <w:rtl/>
        </w:rPr>
        <w:t xml:space="preserve"> אות </w:t>
      </w:r>
      <w:r>
        <w:rPr>
          <w:rStyle w:val="af6"/>
          <w:rFonts w:eastAsia="Guttman Hodes" w:hint="cs"/>
          <w:rtl/>
        </w:rPr>
        <w:t>מז</w:t>
      </w:r>
      <w:r w:rsidRPr="00B53DAD">
        <w:rPr>
          <w:rStyle w:val="af6"/>
          <w:rFonts w:eastAsia="Guttman Hodes" w:hint="cs"/>
          <w:rtl/>
        </w:rPr>
        <w:t>)</w:t>
      </w:r>
      <w:r>
        <w:rPr>
          <w:rStyle w:val="af6"/>
          <w:rFonts w:eastAsia="Guttman Hodes" w:hint="cs"/>
          <w:rtl/>
        </w:rPr>
        <w:t xml:space="preserve"> </w:t>
      </w:r>
      <w:r>
        <w:rPr>
          <w:rFonts w:hint="cs"/>
          <w:rtl/>
        </w:rPr>
        <w:t>דמנבילה ילפינן לכל נותן טעם לפגם שאינו נהנה מהאיסור, דמותר אף שעדיין הוא ראוי לגר.</w:t>
      </w:r>
      <w:bookmarkEnd w:id="10747"/>
    </w:p>
    <w:p w:rsidR="00A82F1E" w:rsidRPr="00C402DC" w:rsidRDefault="00A82F1E" w:rsidP="00A82F1E">
      <w:pPr>
        <w:pStyle w:val="a2"/>
      </w:pPr>
      <w:bookmarkStart w:id="10749" w:name="_Toc19651788"/>
      <w:bookmarkStart w:id="10750" w:name="_Toc19694969"/>
      <w:bookmarkStart w:id="10751" w:name="_Toc19738523"/>
      <w:bookmarkStart w:id="10752" w:name="_Toc19792357"/>
      <w:r>
        <w:rPr>
          <w:rFonts w:hint="cs"/>
          <w:rtl/>
        </w:rPr>
        <w:t>דברי החת"ס דלריו"ח ר"מ לא יליף נטל"פ מנבילה דהיתר נבילה הוא בסרוחה מעיקרא</w:t>
      </w:r>
      <w:bookmarkEnd w:id="10749"/>
      <w:bookmarkEnd w:id="10750"/>
      <w:bookmarkEnd w:id="10751"/>
      <w:bookmarkEnd w:id="10752"/>
    </w:p>
    <w:p w:rsidR="00A82F1E" w:rsidRDefault="00A82F1E" w:rsidP="009F44AF">
      <w:pPr>
        <w:pStyle w:val="a"/>
        <w:rPr>
          <w:rtl/>
        </w:rPr>
      </w:pPr>
      <w:r>
        <w:rPr>
          <w:rFonts w:hint="cs"/>
          <w:rtl/>
        </w:rPr>
        <w:t xml:space="preserve">וכתב </w:t>
      </w:r>
      <w:r w:rsidRPr="00170D1B">
        <w:rPr>
          <w:rStyle w:val="af8"/>
          <w:rFonts w:hint="cs"/>
          <w:rtl/>
        </w:rPr>
        <w:t>החת"ס</w:t>
      </w:r>
      <w:r>
        <w:rPr>
          <w:rFonts w:hint="cs"/>
          <w:rtl/>
        </w:rPr>
        <w:t xml:space="preserve"> דלכן ביאר ריו"ח דר"מ ס"ל דהילפותא דנבילה היא בסרוחה מעיקרא, ואין ילפותא להתיר נבילה שהייתה אסורה ואח"כ נסרחה, ולכן לדעת ר"מ ילפינן מגיעולי עכו"ם לאסור בנותן טעם לפגם.</w:t>
      </w:r>
      <w:r w:rsidRPr="00096DDD">
        <w:rPr>
          <w:rFonts w:hint="cs"/>
          <w:rtl/>
        </w:rPr>
        <w:t xml:space="preserve"> </w:t>
      </w:r>
    </w:p>
    <w:p w:rsidR="00A82F1E" w:rsidRDefault="00A82F1E" w:rsidP="00E669F8">
      <w:pPr>
        <w:pStyle w:val="afd"/>
        <w:rPr>
          <w:rtl/>
        </w:rPr>
      </w:pPr>
      <w:bookmarkStart w:id="10753" w:name="_Toc19479359"/>
      <w:bookmarkStart w:id="10754" w:name="_Toc19618207"/>
      <w:bookmarkStart w:id="10755" w:name="_Toc19624485"/>
      <w:bookmarkStart w:id="10756" w:name="_Toc19651801"/>
      <w:bookmarkStart w:id="10757" w:name="_Toc19694970"/>
      <w:bookmarkStart w:id="10758" w:name="_Toc19738524"/>
      <w:bookmarkStart w:id="10759" w:name="_Toc19792358"/>
      <w:bookmarkStart w:id="10760" w:name="_Toc19207844"/>
      <w:bookmarkEnd w:id="10646"/>
      <w:bookmarkEnd w:id="10741"/>
      <w:bookmarkEnd w:id="10742"/>
      <w:bookmarkEnd w:id="10748"/>
      <w:r>
        <w:rPr>
          <w:rFonts w:hint="cs"/>
          <w:rtl/>
        </w:rPr>
        <w:t>ביאור הרמב"ם בפיהמ"ש</w:t>
      </w:r>
      <w:bookmarkEnd w:id="10753"/>
      <w:bookmarkEnd w:id="10754"/>
      <w:bookmarkEnd w:id="10755"/>
      <w:bookmarkEnd w:id="10756"/>
      <w:bookmarkEnd w:id="10757"/>
      <w:bookmarkEnd w:id="10758"/>
      <w:r>
        <w:rPr>
          <w:rFonts w:hint="cs"/>
          <w:rtl/>
        </w:rPr>
        <w:t xml:space="preserve"> בפגם והשביח</w:t>
      </w:r>
      <w:bookmarkEnd w:id="10759"/>
    </w:p>
    <w:p w:rsidR="00A82F1E" w:rsidRPr="000A7BF6" w:rsidRDefault="00A82F1E" w:rsidP="00A82F1E">
      <w:pPr>
        <w:pStyle w:val="1"/>
        <w:rPr>
          <w:rtl/>
        </w:rPr>
      </w:pPr>
      <w:r>
        <w:rPr>
          <w:rFonts w:hint="cs"/>
          <w:rtl/>
        </w:rPr>
        <w:t>דברי הרמב"ם בפיהמ"ש דפגום מעיקרא הוא פגם ולבסוף השביח</w:t>
      </w:r>
    </w:p>
    <w:p w:rsidR="00A82F1E" w:rsidRDefault="00A82F1E" w:rsidP="00A82F1E">
      <w:pPr>
        <w:pStyle w:val="a2"/>
        <w:rPr>
          <w:rtl/>
        </w:rPr>
      </w:pPr>
      <w:bookmarkStart w:id="10761" w:name="_Toc19792359"/>
      <w:r>
        <w:rPr>
          <w:rFonts w:hint="cs"/>
          <w:rtl/>
        </w:rPr>
        <w:t>דברי רש"י דפגם מעיקרא היינו שמשעת נפילת האיסור להיתר נעשה הפגם ואינו משביח</w:t>
      </w:r>
      <w:bookmarkEnd w:id="10761"/>
    </w:p>
    <w:p w:rsidR="00A82F1E" w:rsidRDefault="00A82F1E" w:rsidP="009F44AF">
      <w:pPr>
        <w:pStyle w:val="a"/>
        <w:rPr>
          <w:rtl/>
        </w:rPr>
      </w:pPr>
      <w:bookmarkStart w:id="10762" w:name="_Ref19779890"/>
      <w:r w:rsidRPr="00256629">
        <w:rPr>
          <w:rFonts w:hint="cs"/>
          <w:rtl/>
        </w:rPr>
        <w:t>בביאור פגם מעיקר</w:t>
      </w:r>
      <w:r>
        <w:rPr>
          <w:rFonts w:hint="cs"/>
          <w:rtl/>
        </w:rPr>
        <w:t>א</w:t>
      </w:r>
      <w:r w:rsidRPr="00256629">
        <w:rPr>
          <w:rFonts w:hint="cs"/>
          <w:rtl/>
        </w:rPr>
        <w:t xml:space="preserve">, כתב </w:t>
      </w:r>
      <w:r w:rsidRPr="00256629">
        <w:rPr>
          <w:rStyle w:val="af8"/>
          <w:rFonts w:hint="cs"/>
          <w:rtl/>
        </w:rPr>
        <w:t>רש"י</w:t>
      </w:r>
      <w:r w:rsidRPr="00256629">
        <w:rPr>
          <w:rFonts w:hint="cs"/>
          <w:rtl/>
        </w:rPr>
        <w:t xml:space="preserve"> </w:t>
      </w:r>
      <w:r w:rsidRPr="00256629">
        <w:rPr>
          <w:rStyle w:val="af6"/>
          <w:rFonts w:eastAsia="Guttman Hodes" w:hint="cs"/>
          <w:rtl/>
        </w:rPr>
        <w:t>(ד"ה בפוגם)</w:t>
      </w:r>
      <w:r w:rsidRPr="00256629">
        <w:rPr>
          <w:rFonts w:hint="cs"/>
          <w:rtl/>
        </w:rPr>
        <w:t xml:space="preserve"> דמשעה שנפל האיסור לתוך ההיתר הוא פגמו.</w:t>
      </w:r>
      <w:bookmarkEnd w:id="10762"/>
    </w:p>
    <w:p w:rsidR="00A82F1E" w:rsidRPr="003032B3" w:rsidRDefault="00A82F1E" w:rsidP="00A82F1E">
      <w:pPr>
        <w:pStyle w:val="a2"/>
        <w:rPr>
          <w:rtl/>
        </w:rPr>
      </w:pPr>
      <w:bookmarkStart w:id="10763" w:name="_Toc19792360"/>
      <w:r>
        <w:rPr>
          <w:rFonts w:hint="cs"/>
          <w:rtl/>
        </w:rPr>
        <w:t>דברי הרמב"ם בפיהמ"ש בביאור אופני הפגם בנותן טעם לפגם</w:t>
      </w:r>
      <w:bookmarkEnd w:id="10763"/>
    </w:p>
    <w:p w:rsidR="00A82F1E" w:rsidRPr="003032B3" w:rsidRDefault="00A82F1E" w:rsidP="009F44AF">
      <w:pPr>
        <w:pStyle w:val="a"/>
        <w:rPr>
          <w:rtl/>
        </w:rPr>
      </w:pPr>
      <w:r>
        <w:rPr>
          <w:rFonts w:hint="cs"/>
          <w:rtl/>
        </w:rPr>
        <w:t xml:space="preserve">אבל </w:t>
      </w:r>
      <w:r w:rsidRPr="00346115">
        <w:rPr>
          <w:rStyle w:val="af8"/>
          <w:rFonts w:hint="cs"/>
          <w:rtl/>
        </w:rPr>
        <w:t>הרמב"ם בפיהמ"ש</w:t>
      </w:r>
      <w:r>
        <w:rPr>
          <w:rFonts w:hint="cs"/>
          <w:rtl/>
        </w:rPr>
        <w:t xml:space="preserve"> </w:t>
      </w:r>
      <w:r w:rsidRPr="003A4379">
        <w:rPr>
          <w:rStyle w:val="af6"/>
          <w:rFonts w:eastAsia="Guttman Hodes" w:hint="cs"/>
          <w:rtl/>
        </w:rPr>
        <w:t>(לעיל סה:)</w:t>
      </w:r>
      <w:r>
        <w:rPr>
          <w:rFonts w:hint="cs"/>
          <w:rtl/>
        </w:rPr>
        <w:t xml:space="preserve"> כתב דבנותן טעם לשבח ולפגם, יש ד' אופנים, האופן הראשון הוא שפוגם בטעם או בריח מיד בשעה שהתערב, ואף לאחר זמן נשארת הפגימה, דהוא פגום מתחילה ועד סוף, כגון שומן של בשר או דג שהתערב בדבש, דהוא פוגמו לעולם, והאופן השני הוא שמשביח בשעה שהתערב, ואף לאחר זמן נשאר השבח, דהוא משביח מתחילה ועד סוף, כגון יין שהתערב בתבשיל של בשר או דגים, והאופן השלישי שמשביח בשעה שהתערב, אך אם נשאר לאחר זמן הוא פוגם, שהוא השביח ולבסוף פגם, כגון שומן ו</w:t>
      </w:r>
      <w:r>
        <w:rPr>
          <w:rtl/>
        </w:rPr>
        <w:t>חֵלֶב</w:t>
      </w:r>
      <w:r>
        <w:rPr>
          <w:rFonts w:hint="cs"/>
          <w:rtl/>
        </w:rPr>
        <w:t xml:space="preserve"> של בשר שהתערב בחמאה, שבתחילה הוא משביח את הטעם, ואם נשאר בו הוא מפסיד את טעמו וריחו.</w:t>
      </w:r>
    </w:p>
    <w:p w:rsidR="00A82F1E" w:rsidRPr="00050635" w:rsidRDefault="00A82F1E" w:rsidP="00A82F1E">
      <w:pPr>
        <w:pStyle w:val="a2"/>
        <w:rPr>
          <w:rtl/>
        </w:rPr>
      </w:pPr>
      <w:bookmarkStart w:id="10764" w:name="_Toc19792361"/>
      <w:r>
        <w:rPr>
          <w:rFonts w:hint="cs"/>
          <w:rtl/>
        </w:rPr>
        <w:t>ביאור הרמב"ם בפיהמ"ש דפגום מעיקרא אינו פגם מתחילה ועד סוף אלא פגם ולבסוף השביח</w:t>
      </w:r>
      <w:bookmarkEnd w:id="10764"/>
      <w:r>
        <w:rPr>
          <w:rFonts w:hint="cs"/>
          <w:rtl/>
        </w:rPr>
        <w:t xml:space="preserve"> </w:t>
      </w:r>
    </w:p>
    <w:p w:rsidR="00A82F1E" w:rsidRDefault="00A82F1E" w:rsidP="009F44AF">
      <w:pPr>
        <w:pStyle w:val="a"/>
        <w:rPr>
          <w:rtl/>
        </w:rPr>
      </w:pPr>
      <w:bookmarkStart w:id="10765" w:name="_Ref19735946"/>
      <w:r>
        <w:rPr>
          <w:rFonts w:hint="cs"/>
          <w:rtl/>
        </w:rPr>
        <w:t>והאופן הרביעי כתב</w:t>
      </w:r>
      <w:r w:rsidRPr="00346115">
        <w:rPr>
          <w:rStyle w:val="af8"/>
          <w:rFonts w:hint="cs"/>
          <w:rtl/>
        </w:rPr>
        <w:t xml:space="preserve"> הרמב"ם בפיהמ"ש</w:t>
      </w:r>
      <w:r>
        <w:rPr>
          <w:rFonts w:hint="cs"/>
          <w:rtl/>
        </w:rPr>
        <w:t xml:space="preserve"> דהוא שפוגם בשעה שהתערב, ולאחר זמן הוא משביח, שהוא פגום מעיקרא, כגון דבש שהתערב ביין, שבתחילה הדבש מתיש את כח היין ופוגם את טעמו, ולאחר זמן הין מתגבר על הדבש, ומוסיף הדבר ריח וצלילות וחריפות ליין ומשביחו.</w:t>
      </w:r>
      <w:bookmarkEnd w:id="10765"/>
    </w:p>
    <w:p w:rsidR="00A82F1E" w:rsidRDefault="00A82F1E" w:rsidP="00A82F1E">
      <w:pPr>
        <w:pStyle w:val="a2"/>
        <w:rPr>
          <w:rtl/>
        </w:rPr>
      </w:pPr>
      <w:bookmarkStart w:id="10766" w:name="_Toc19792362"/>
      <w:r>
        <w:rPr>
          <w:rFonts w:hint="cs"/>
          <w:rtl/>
        </w:rPr>
        <w:t>דברי הפיהמ"ש דבהשביח ולבסוף פגם ופגם ולבסוף השביח לא מפורש הדין ואסורים</w:t>
      </w:r>
      <w:r w:rsidRPr="00261CBD">
        <w:rPr>
          <w:rFonts w:hint="cs"/>
          <w:rtl/>
        </w:rPr>
        <w:t xml:space="preserve"> </w:t>
      </w:r>
      <w:r>
        <w:rPr>
          <w:rFonts w:hint="cs"/>
          <w:rtl/>
        </w:rPr>
        <w:t>מספק</w:t>
      </w:r>
      <w:bookmarkEnd w:id="10766"/>
    </w:p>
    <w:p w:rsidR="00A82F1E" w:rsidRDefault="00A82F1E" w:rsidP="009F44AF">
      <w:pPr>
        <w:pStyle w:val="a"/>
        <w:rPr>
          <w:rtl/>
        </w:rPr>
      </w:pPr>
      <w:bookmarkStart w:id="10767" w:name="_Ref19778761"/>
      <w:r>
        <w:rPr>
          <w:rFonts w:hint="cs"/>
          <w:rtl/>
        </w:rPr>
        <w:t xml:space="preserve">וכתב </w:t>
      </w:r>
      <w:r w:rsidRPr="00780FDF">
        <w:rPr>
          <w:rStyle w:val="af8"/>
          <w:rFonts w:hint="cs"/>
          <w:rtl/>
        </w:rPr>
        <w:t>הרמב"ם בפיהמ"ש</w:t>
      </w:r>
      <w:r>
        <w:rPr>
          <w:rFonts w:hint="cs"/>
          <w:rtl/>
        </w:rPr>
        <w:t xml:space="preserve"> דבפוגם מתחילה ועד סוף פשיטא דמותר בכל האיסורים, ובמשביח מתחילה ועד סוף פשיטא דאסור, אבל בהשביח ולבסוף פגם ופגום מעיקרא דהיינו פגם ולבסוף השביח, כתב </w:t>
      </w:r>
      <w:r w:rsidRPr="00780FDF">
        <w:rPr>
          <w:rStyle w:val="af8"/>
          <w:rFonts w:hint="cs"/>
          <w:rtl/>
        </w:rPr>
        <w:t xml:space="preserve">הרמב"ם </w:t>
      </w:r>
      <w:r w:rsidRPr="0037453B">
        <w:rPr>
          <w:rStyle w:val="af8"/>
          <w:rFonts w:hint="cs"/>
          <w:rtl/>
        </w:rPr>
        <w:t>בפיהמ"ש</w:t>
      </w:r>
      <w:r w:rsidRPr="0037453B">
        <w:rPr>
          <w:rFonts w:hint="cs"/>
          <w:rtl/>
        </w:rPr>
        <w:t xml:space="preserve"> דלא מבואר בגמ' מי מהם אסור ומי מהם מותר, ולכן שניהם אסורים, ולכן העמידה הגמ' את מתני' בגריסין רותחים, דהוא פוגם מתחילה ועד סוף, אבל אם היו הגריסין צוננים, הוא משביחן בתחילה, ואח"כ כשמערבם ומרתיחן החומץ פוגם אותם</w:t>
      </w:r>
      <w:r>
        <w:rPr>
          <w:rFonts w:hint="cs"/>
          <w:rtl/>
        </w:rPr>
        <w:t xml:space="preserve">. [ועי' במ"ש </w:t>
      </w:r>
      <w:r w:rsidRPr="0097158D">
        <w:rPr>
          <w:rStyle w:val="af8"/>
          <w:rFonts w:hint="cs"/>
          <w:rtl/>
        </w:rPr>
        <w:t>הגר"א</w:t>
      </w:r>
      <w:r>
        <w:rPr>
          <w:rFonts w:hint="cs"/>
          <w:rtl/>
        </w:rPr>
        <w:t xml:space="preserve"> </w:t>
      </w:r>
      <w:r w:rsidRPr="00FE236B">
        <w:rPr>
          <w:rStyle w:val="af6"/>
          <w:rFonts w:eastAsia="Guttman Hodes" w:hint="cs"/>
          <w:rtl/>
        </w:rPr>
        <w:t xml:space="preserve">(עי' אות </w:t>
      </w:r>
      <w:r w:rsidRPr="00FE236B">
        <w:rPr>
          <w:rStyle w:val="af6"/>
          <w:rFonts w:eastAsia="Guttman Hodes"/>
          <w:rtl/>
        </w:rPr>
        <w:fldChar w:fldCharType="begin"/>
      </w:r>
      <w:r w:rsidRPr="00FE236B">
        <w:rPr>
          <w:rStyle w:val="af6"/>
          <w:rFonts w:eastAsia="Guttman Hodes"/>
          <w:rtl/>
        </w:rPr>
        <w:instrText xml:space="preserve"> </w:instrText>
      </w:r>
      <w:r w:rsidRPr="00FE236B">
        <w:rPr>
          <w:rStyle w:val="af6"/>
          <w:rFonts w:eastAsia="Guttman Hodes" w:hint="cs"/>
        </w:rPr>
        <w:instrText>REF</w:instrText>
      </w:r>
      <w:r w:rsidRPr="00FE236B">
        <w:rPr>
          <w:rStyle w:val="af6"/>
          <w:rFonts w:eastAsia="Guttman Hodes" w:hint="cs"/>
          <w:rtl/>
        </w:rPr>
        <w:instrText xml:space="preserve"> _</w:instrText>
      </w:r>
      <w:r w:rsidRPr="00FE236B">
        <w:rPr>
          <w:rStyle w:val="af6"/>
          <w:rFonts w:eastAsia="Guttman Hodes" w:hint="cs"/>
        </w:rPr>
        <w:instrText>Ref19780470 \r \h</w:instrText>
      </w:r>
      <w:r w:rsidRPr="00FE236B">
        <w:rPr>
          <w:rStyle w:val="af6"/>
          <w:rFonts w:eastAsia="Guttman Hodes"/>
          <w:rtl/>
        </w:rPr>
        <w:instrText xml:space="preserve"> </w:instrText>
      </w:r>
      <w:r w:rsidRPr="00FE236B">
        <w:rPr>
          <w:rStyle w:val="af6"/>
          <w:rFonts w:eastAsia="Guttman Hodes"/>
          <w:rtl/>
        </w:rPr>
      </w:r>
      <w:r w:rsidRPr="00FE236B">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FE236B">
        <w:rPr>
          <w:rStyle w:val="af6"/>
          <w:rFonts w:eastAsia="Guttman Hodes"/>
          <w:rtl/>
        </w:rPr>
        <w:fldChar w:fldCharType="end"/>
      </w:r>
      <w:r>
        <w:rPr>
          <w:rFonts w:hint="cs"/>
          <w:rtl/>
        </w:rPr>
        <w:t xml:space="preserve"> דיש טעות סופר בדבר </w:t>
      </w:r>
      <w:r w:rsidRPr="0097158D">
        <w:rPr>
          <w:rStyle w:val="af8"/>
          <w:rFonts w:hint="cs"/>
          <w:rtl/>
        </w:rPr>
        <w:t>הרמב"ם בפיהמ"ש</w:t>
      </w:r>
      <w:r>
        <w:rPr>
          <w:rFonts w:hint="cs"/>
          <w:rtl/>
        </w:rPr>
        <w:t xml:space="preserve">, ועי' במה שביארו בזה </w:t>
      </w:r>
      <w:r w:rsidRPr="00EB4553">
        <w:rPr>
          <w:rStyle w:val="af8"/>
          <w:rFonts w:hint="cs"/>
          <w:rtl/>
        </w:rPr>
        <w:t>הלח"מ</w:t>
      </w:r>
      <w:r>
        <w:rPr>
          <w:rFonts w:hint="cs"/>
          <w:rtl/>
        </w:rPr>
        <w:t xml:space="preserve"> </w:t>
      </w:r>
      <w:r w:rsidRPr="00EB4553">
        <w:rPr>
          <w:rStyle w:val="af6"/>
          <w:rFonts w:eastAsia="Guttman Hodes" w:hint="cs"/>
          <w:rtl/>
        </w:rPr>
        <w:t xml:space="preserve">(עי' אות </w:t>
      </w:r>
      <w:r w:rsidRPr="00EB4553">
        <w:rPr>
          <w:rStyle w:val="af6"/>
          <w:rFonts w:eastAsia="Guttman Hodes"/>
          <w:rtl/>
        </w:rPr>
        <w:fldChar w:fldCharType="begin"/>
      </w:r>
      <w:r w:rsidRPr="00EB4553">
        <w:rPr>
          <w:rStyle w:val="af6"/>
          <w:rFonts w:eastAsia="Guttman Hodes"/>
          <w:rtl/>
        </w:rPr>
        <w:instrText xml:space="preserve"> </w:instrText>
      </w:r>
      <w:r w:rsidRPr="00EB4553">
        <w:rPr>
          <w:rStyle w:val="af6"/>
          <w:rFonts w:eastAsia="Guttman Hodes" w:hint="cs"/>
        </w:rPr>
        <w:instrText>REF</w:instrText>
      </w:r>
      <w:r w:rsidRPr="00EB4553">
        <w:rPr>
          <w:rStyle w:val="af6"/>
          <w:rFonts w:eastAsia="Guttman Hodes" w:hint="cs"/>
          <w:rtl/>
        </w:rPr>
        <w:instrText xml:space="preserve"> _</w:instrText>
      </w:r>
      <w:r w:rsidRPr="00EB4553">
        <w:rPr>
          <w:rStyle w:val="af6"/>
          <w:rFonts w:eastAsia="Guttman Hodes" w:hint="cs"/>
        </w:rPr>
        <w:instrText>Ref19813315 \r \h</w:instrText>
      </w:r>
      <w:r w:rsidRPr="00EB4553">
        <w:rPr>
          <w:rStyle w:val="af6"/>
          <w:rFonts w:eastAsia="Guttman Hodes"/>
          <w:rtl/>
        </w:rPr>
        <w:instrText xml:space="preserve"> </w:instrText>
      </w:r>
      <w:r w:rsidRPr="00EB4553">
        <w:rPr>
          <w:rStyle w:val="af6"/>
          <w:rFonts w:eastAsia="Guttman Hodes"/>
          <w:rtl/>
        </w:rPr>
      </w:r>
      <w:r w:rsidRPr="00EB4553">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EB4553">
        <w:rPr>
          <w:rStyle w:val="af6"/>
          <w:rFonts w:eastAsia="Guttman Hodes"/>
          <w:rtl/>
        </w:rPr>
        <w:fldChar w:fldCharType="end"/>
      </w:r>
      <w:r>
        <w:rPr>
          <w:rFonts w:hint="cs"/>
          <w:rtl/>
        </w:rPr>
        <w:t xml:space="preserve"> </w:t>
      </w:r>
      <w:r w:rsidRPr="00EB4553">
        <w:rPr>
          <w:rStyle w:val="af8"/>
          <w:rFonts w:hint="cs"/>
          <w:rtl/>
        </w:rPr>
        <w:t>והפרי תאר</w:t>
      </w:r>
      <w:r>
        <w:rPr>
          <w:rFonts w:hint="cs"/>
          <w:rtl/>
        </w:rPr>
        <w:t xml:space="preserve"> </w:t>
      </w:r>
      <w:r w:rsidRPr="00EB4553">
        <w:rPr>
          <w:rStyle w:val="af6"/>
          <w:rFonts w:eastAsia="Guttman Hodes" w:hint="cs"/>
          <w:rtl/>
        </w:rPr>
        <w:t xml:space="preserve">(עי' אות </w:t>
      </w:r>
      <w:r w:rsidRPr="00EB4553">
        <w:rPr>
          <w:rStyle w:val="af6"/>
          <w:rFonts w:eastAsia="Guttman Hodes"/>
          <w:rtl/>
        </w:rPr>
        <w:fldChar w:fldCharType="begin"/>
      </w:r>
      <w:r w:rsidRPr="00EB4553">
        <w:rPr>
          <w:rStyle w:val="af6"/>
          <w:rFonts w:eastAsia="Guttman Hodes"/>
          <w:rtl/>
        </w:rPr>
        <w:instrText xml:space="preserve"> </w:instrText>
      </w:r>
      <w:r w:rsidRPr="00EB4553">
        <w:rPr>
          <w:rStyle w:val="af6"/>
          <w:rFonts w:eastAsia="Guttman Hodes" w:hint="cs"/>
        </w:rPr>
        <w:instrText>REF</w:instrText>
      </w:r>
      <w:r w:rsidRPr="00EB4553">
        <w:rPr>
          <w:rStyle w:val="af6"/>
          <w:rFonts w:eastAsia="Guttman Hodes" w:hint="cs"/>
          <w:rtl/>
        </w:rPr>
        <w:instrText xml:space="preserve"> _</w:instrText>
      </w:r>
      <w:r w:rsidRPr="00EB4553">
        <w:rPr>
          <w:rStyle w:val="af6"/>
          <w:rFonts w:eastAsia="Guttman Hodes" w:hint="cs"/>
        </w:rPr>
        <w:instrText>Ref19813338 \r \h</w:instrText>
      </w:r>
      <w:r w:rsidRPr="00EB4553">
        <w:rPr>
          <w:rStyle w:val="af6"/>
          <w:rFonts w:eastAsia="Guttman Hodes"/>
          <w:rtl/>
        </w:rPr>
        <w:instrText xml:space="preserve"> </w:instrText>
      </w:r>
      <w:r w:rsidRPr="00EB4553">
        <w:rPr>
          <w:rStyle w:val="af6"/>
          <w:rFonts w:eastAsia="Guttman Hodes"/>
          <w:rtl/>
        </w:rPr>
      </w:r>
      <w:r w:rsidRPr="00EB4553">
        <w:rPr>
          <w:rStyle w:val="af6"/>
          <w:rFonts w:eastAsia="Guttman Hodes"/>
          <w:rtl/>
        </w:rPr>
        <w:fldChar w:fldCharType="separate"/>
      </w:r>
      <w:r w:rsidR="004D1C5B">
        <w:rPr>
          <w:rStyle w:val="af6"/>
          <w:rFonts w:eastAsia="Guttman Hodes"/>
          <w:cs/>
        </w:rPr>
        <w:t>‎</w:t>
      </w:r>
      <w:r w:rsidR="004D1C5B">
        <w:rPr>
          <w:rStyle w:val="af6"/>
          <w:rFonts w:eastAsia="Guttman Hodes"/>
          <w:rtl/>
        </w:rPr>
        <w:t>קח)</w:t>
      </w:r>
      <w:r w:rsidRPr="00EB4553">
        <w:rPr>
          <w:rStyle w:val="af6"/>
          <w:rFonts w:eastAsia="Guttman Hodes"/>
          <w:rtl/>
        </w:rPr>
        <w:fldChar w:fldCharType="end"/>
      </w:r>
      <w:r>
        <w:rPr>
          <w:rFonts w:hint="cs"/>
          <w:rtl/>
        </w:rPr>
        <w:t>]</w:t>
      </w:r>
      <w:r w:rsidRPr="0037453B">
        <w:rPr>
          <w:rFonts w:hint="cs"/>
          <w:rtl/>
        </w:rPr>
        <w:t>.</w:t>
      </w:r>
      <w:bookmarkEnd w:id="10767"/>
    </w:p>
    <w:p w:rsidR="00A82F1E" w:rsidRPr="00261CBD" w:rsidRDefault="00A82F1E" w:rsidP="00A82F1E">
      <w:pPr>
        <w:pStyle w:val="1"/>
        <w:rPr>
          <w:rtl/>
        </w:rPr>
      </w:pPr>
      <w:bookmarkStart w:id="10768" w:name="_Toc19792363"/>
      <w:r>
        <w:rPr>
          <w:rFonts w:hint="cs"/>
          <w:rtl/>
        </w:rPr>
        <w:t>דברי הלח"מ בביאור עולא וריו"ח לדעת הרמב"ם בפיהמ"ש</w:t>
      </w:r>
      <w:bookmarkEnd w:id="10768"/>
    </w:p>
    <w:p w:rsidR="00A82F1E" w:rsidRPr="009F707E" w:rsidRDefault="00A82F1E" w:rsidP="00A82F1E">
      <w:pPr>
        <w:pStyle w:val="a2"/>
        <w:rPr>
          <w:rtl/>
        </w:rPr>
      </w:pPr>
      <w:bookmarkStart w:id="10769" w:name="_Toc19792364"/>
      <w:r>
        <w:rPr>
          <w:rFonts w:hint="cs"/>
          <w:rtl/>
        </w:rPr>
        <w:t>דברי הלח"מ דהוקשה להרמב"ם הלשון פגם מעיקרא דהול"ל פגום מתחילה ועד סוף</w:t>
      </w:r>
      <w:bookmarkEnd w:id="10769"/>
    </w:p>
    <w:p w:rsidR="00A82F1E" w:rsidRDefault="00A82F1E" w:rsidP="009F44AF">
      <w:pPr>
        <w:pStyle w:val="a"/>
        <w:rPr>
          <w:rtl/>
        </w:rPr>
      </w:pPr>
      <w:bookmarkStart w:id="10770" w:name="_Ref19735975"/>
      <w:r>
        <w:rPr>
          <w:rFonts w:hint="cs"/>
          <w:rtl/>
        </w:rPr>
        <w:t xml:space="preserve">וכתב </w:t>
      </w:r>
      <w:r w:rsidRPr="00D4330E">
        <w:rPr>
          <w:rStyle w:val="af8"/>
          <w:rFonts w:hint="cs"/>
          <w:rtl/>
        </w:rPr>
        <w:t>הלח"מ</w:t>
      </w:r>
      <w:r>
        <w:rPr>
          <w:rFonts w:hint="cs"/>
          <w:rtl/>
        </w:rPr>
        <w:t xml:space="preserve"> </w:t>
      </w:r>
      <w:r w:rsidRPr="008612FE">
        <w:rPr>
          <w:rStyle w:val="af6"/>
          <w:rFonts w:eastAsia="Guttman Hodes" w:hint="cs"/>
          <w:rtl/>
        </w:rPr>
        <w:t>(מאכ"א פט"ו הכ"ח)</w:t>
      </w:r>
      <w:r>
        <w:rPr>
          <w:rFonts w:hint="cs"/>
          <w:rtl/>
        </w:rPr>
        <w:t xml:space="preserve"> דהוקשה </w:t>
      </w:r>
      <w:r w:rsidRPr="00D4330E">
        <w:rPr>
          <w:rStyle w:val="af8"/>
          <w:rFonts w:hint="cs"/>
          <w:rtl/>
        </w:rPr>
        <w:t>להרמב"ם בפיהמ"ש</w:t>
      </w:r>
      <w:r>
        <w:rPr>
          <w:rFonts w:hint="cs"/>
          <w:rtl/>
        </w:rPr>
        <w:t xml:space="preserve"> בדברי עולא דאמר דבפגום מעיקרא לכו"ע מותר, דאמאי נקט עולא לשון פגום מעיקרא, ולא נקט לשון פגום מתחילה ועד סוף, וכתב </w:t>
      </w:r>
      <w:r w:rsidRPr="00D4330E">
        <w:rPr>
          <w:rStyle w:val="af8"/>
          <w:rFonts w:hint="cs"/>
          <w:rtl/>
        </w:rPr>
        <w:t>הלח"מ</w:t>
      </w:r>
      <w:r>
        <w:rPr>
          <w:rFonts w:hint="cs"/>
          <w:rtl/>
        </w:rPr>
        <w:t xml:space="preserve"> דלכן ביאר </w:t>
      </w:r>
      <w:r w:rsidRPr="00D4330E">
        <w:rPr>
          <w:rStyle w:val="af8"/>
          <w:rFonts w:hint="cs"/>
          <w:rtl/>
        </w:rPr>
        <w:t>הרמב"ם בפיהמ"ש</w:t>
      </w:r>
      <w:r>
        <w:rPr>
          <w:rFonts w:hint="cs"/>
          <w:rtl/>
        </w:rPr>
        <w:t xml:space="preserve"> דכוונת עולא לומר דר"מ ור"ש נחלקו בהשביח ולבסוף פגם, אבל בדבר שהיה פגום בתחילה לכו"ע מותר אף שהשביח לבסוף, ולכן נקט עולא לשון פגום מעיקרא, דכל שבתחילה היה פגום מותר, אף אם השביח אח"כ, וכ"ש אם היה פגום מתחילה ועד סוף.</w:t>
      </w:r>
      <w:bookmarkEnd w:id="10770"/>
    </w:p>
    <w:p w:rsidR="00A82F1E" w:rsidRDefault="00A82F1E" w:rsidP="00A82F1E">
      <w:pPr>
        <w:pStyle w:val="a2"/>
        <w:rPr>
          <w:rtl/>
        </w:rPr>
      </w:pPr>
      <w:bookmarkStart w:id="10771" w:name="_Toc19792365"/>
      <w:r>
        <w:rPr>
          <w:rFonts w:hint="cs"/>
          <w:rtl/>
        </w:rPr>
        <w:t>דברי הלח"מ דלהרמב"ם בפיהמ"ש ר"מ ור"ש נחלקו בסברא ולא בילפותא מנבילה</w:t>
      </w:r>
      <w:bookmarkEnd w:id="10771"/>
    </w:p>
    <w:p w:rsidR="00A82F1E" w:rsidRDefault="00A82F1E" w:rsidP="009F44AF">
      <w:pPr>
        <w:pStyle w:val="a"/>
        <w:rPr>
          <w:rtl/>
        </w:rPr>
      </w:pPr>
      <w:r>
        <w:rPr>
          <w:rFonts w:hint="cs"/>
          <w:rtl/>
        </w:rPr>
        <w:t xml:space="preserve">וכתב </w:t>
      </w:r>
      <w:r w:rsidRPr="00D4330E">
        <w:rPr>
          <w:rStyle w:val="af8"/>
          <w:rFonts w:hint="cs"/>
          <w:rtl/>
        </w:rPr>
        <w:t>הלח"מ</w:t>
      </w:r>
      <w:r>
        <w:rPr>
          <w:rFonts w:hint="cs"/>
          <w:rtl/>
        </w:rPr>
        <w:t xml:space="preserve"> דלביאור </w:t>
      </w:r>
      <w:r w:rsidRPr="00D4330E">
        <w:rPr>
          <w:rStyle w:val="af8"/>
          <w:rFonts w:hint="cs"/>
          <w:rtl/>
        </w:rPr>
        <w:t>הרמב"ם בפיהמ"ש</w:t>
      </w:r>
      <w:r>
        <w:rPr>
          <w:rFonts w:hint="cs"/>
          <w:rtl/>
        </w:rPr>
        <w:t xml:space="preserve"> לא נחלקו ר"מ ור"ש אליבא דעולא בילפותא מנבילה, וכדעת </w:t>
      </w:r>
      <w:r w:rsidRPr="00D4330E">
        <w:rPr>
          <w:rStyle w:val="af8"/>
          <w:rFonts w:hint="cs"/>
          <w:rtl/>
        </w:rPr>
        <w:t>התוס'</w:t>
      </w:r>
      <w:r>
        <w:rPr>
          <w:rFonts w:hint="cs"/>
          <w:rtl/>
        </w:rPr>
        <w:t xml:space="preserve"> </w:t>
      </w:r>
      <w:r w:rsidRPr="00150869">
        <w:rPr>
          <w:rStyle w:val="af6"/>
          <w:rFonts w:eastAsia="Guttman Hodes" w:hint="cs"/>
          <w:rtl/>
        </w:rPr>
        <w:t xml:space="preserve">(עי' אות </w:t>
      </w:r>
      <w:r w:rsidRPr="00150869">
        <w:rPr>
          <w:rStyle w:val="af6"/>
          <w:rFonts w:eastAsia="Guttman Hodes"/>
          <w:rtl/>
        </w:rPr>
        <w:fldChar w:fldCharType="begin"/>
      </w:r>
      <w:r w:rsidRPr="00150869">
        <w:rPr>
          <w:rStyle w:val="af6"/>
          <w:rFonts w:eastAsia="Guttman Hodes"/>
          <w:rtl/>
        </w:rPr>
        <w:instrText xml:space="preserve"> </w:instrText>
      </w:r>
      <w:r w:rsidRPr="00150869">
        <w:rPr>
          <w:rStyle w:val="af6"/>
          <w:rFonts w:eastAsia="Guttman Hodes" w:hint="cs"/>
        </w:rPr>
        <w:instrText>REF</w:instrText>
      </w:r>
      <w:r w:rsidRPr="00150869">
        <w:rPr>
          <w:rStyle w:val="af6"/>
          <w:rFonts w:eastAsia="Guttman Hodes" w:hint="cs"/>
          <w:rtl/>
        </w:rPr>
        <w:instrText xml:space="preserve"> _</w:instrText>
      </w:r>
      <w:r w:rsidRPr="00150869">
        <w:rPr>
          <w:rStyle w:val="af6"/>
          <w:rFonts w:eastAsia="Guttman Hodes" w:hint="cs"/>
        </w:rPr>
        <w:instrText>Ref19780645 \r \h</w:instrText>
      </w:r>
      <w:r w:rsidRPr="00150869">
        <w:rPr>
          <w:rStyle w:val="af6"/>
          <w:rFonts w:eastAsia="Guttman Hodes"/>
          <w:rtl/>
        </w:rPr>
        <w:instrText xml:space="preserve"> </w:instrText>
      </w:r>
      <w:r w:rsidRPr="00150869">
        <w:rPr>
          <w:rStyle w:val="af6"/>
          <w:rFonts w:eastAsia="Guttman Hodes"/>
          <w:rtl/>
        </w:rPr>
      </w:r>
      <w:r w:rsidRPr="00150869">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150869">
        <w:rPr>
          <w:rStyle w:val="af6"/>
          <w:rFonts w:eastAsia="Guttman Hodes"/>
          <w:rtl/>
        </w:rPr>
        <w:fldChar w:fldCharType="end"/>
      </w:r>
      <w:r>
        <w:rPr>
          <w:rFonts w:hint="cs"/>
          <w:rtl/>
        </w:rPr>
        <w:t>, דאי נחלקו בנבילה, אין סברא לחלק בין השביח ולבסוף פגם, לבין פגום מעיקרא, דהיינו השביח ולבסוף פגם.</w:t>
      </w:r>
    </w:p>
    <w:p w:rsidR="00A82F1E" w:rsidRPr="000E0A3E" w:rsidRDefault="00A82F1E" w:rsidP="00A82F1E">
      <w:pPr>
        <w:pStyle w:val="a2"/>
        <w:rPr>
          <w:rtl/>
        </w:rPr>
      </w:pPr>
      <w:bookmarkStart w:id="10772" w:name="_Toc19792366"/>
      <w:r>
        <w:rPr>
          <w:rFonts w:hint="cs"/>
          <w:rtl/>
        </w:rPr>
        <w:t>ביאור הלח"מ דהקושיה מיין שנפל לעדשים היא בפגם ולבסוף השביח ולא מתחילה ועד סוף</w:t>
      </w:r>
      <w:bookmarkEnd w:id="10772"/>
    </w:p>
    <w:p w:rsidR="00A82F1E" w:rsidRPr="00452B99" w:rsidRDefault="00A82F1E" w:rsidP="009F44AF">
      <w:pPr>
        <w:pStyle w:val="a"/>
        <w:rPr>
          <w:rtl/>
        </w:rPr>
      </w:pPr>
      <w:bookmarkStart w:id="10773" w:name="_Ref19529739"/>
      <w:r>
        <w:rPr>
          <w:rFonts w:hint="cs"/>
          <w:rtl/>
        </w:rPr>
        <w:t xml:space="preserve">וכתב </w:t>
      </w:r>
      <w:r w:rsidRPr="00D4330E">
        <w:rPr>
          <w:rStyle w:val="af8"/>
          <w:rFonts w:hint="cs"/>
          <w:rtl/>
        </w:rPr>
        <w:t>הלח"מ</w:t>
      </w:r>
      <w:r>
        <w:rPr>
          <w:rFonts w:hint="cs"/>
          <w:rtl/>
        </w:rPr>
        <w:t xml:space="preserve"> דלדברי </w:t>
      </w:r>
      <w:r w:rsidRPr="00D4330E">
        <w:rPr>
          <w:rStyle w:val="af8"/>
          <w:rFonts w:hint="cs"/>
          <w:rtl/>
        </w:rPr>
        <w:t>הרמב"ם בפיהמ"ש</w:t>
      </w:r>
      <w:r>
        <w:rPr>
          <w:rFonts w:hint="cs"/>
          <w:rtl/>
        </w:rPr>
        <w:t xml:space="preserve"> הא דהקשה רב חגא מיין שנפל לעדשים, אין </w:t>
      </w:r>
      <w:r w:rsidRPr="000A7087">
        <w:rPr>
          <w:rFonts w:hint="cs"/>
          <w:rtl/>
        </w:rPr>
        <w:t xml:space="preserve">כוונתו להקשות דהוא פגום מתחילה ועד סוף, דא"כ היה לרב חגא להקשות דהיאך נחלקו בהשביח ולבסוף פגם, הרי המחלוקת היא בפגום מתחילה ועד סוף, </w:t>
      </w:r>
      <w:r w:rsidRPr="000A7087">
        <w:rPr>
          <w:rStyle w:val="afa"/>
          <w:rFonts w:hint="cs"/>
          <w:rtl/>
        </w:rPr>
        <w:t xml:space="preserve">[והיינו דכיון דר"ש מתיר רק בפגום מתחילה ועד סוף, היאך אמר עולא דבהשביח ולבסוף פגם מתיר ר"ש], </w:t>
      </w:r>
      <w:r w:rsidRPr="000A7087">
        <w:rPr>
          <w:rFonts w:hint="cs"/>
          <w:rtl/>
        </w:rPr>
        <w:t xml:space="preserve">אלא דכוונת רב חגא להקשות דביין שנפל לעדשים הוא פגם ולבסוף השביח, וכדביאר </w:t>
      </w:r>
      <w:r w:rsidRPr="000A7087">
        <w:rPr>
          <w:rStyle w:val="af8"/>
          <w:rFonts w:hint="cs"/>
          <w:rtl/>
        </w:rPr>
        <w:t>הרמב"ם בפיהמ"ש</w:t>
      </w:r>
      <w:r w:rsidRPr="000A7087">
        <w:rPr>
          <w:rFonts w:hint="cs"/>
          <w:rtl/>
        </w:rPr>
        <w:t xml:space="preserve"> דהוא נקרא פגום מעיקרא, ומבואר דלא כעולא דאמר דמותר</w:t>
      </w:r>
      <w:r>
        <w:rPr>
          <w:rFonts w:hint="cs"/>
          <w:rtl/>
        </w:rPr>
        <w:t xml:space="preserve"> לכו"ע, וע"ז תירץ עולא דאינו פגם ולבסוף השביח, אלא הוא השביח ולבסוף פגם.</w:t>
      </w:r>
      <w:bookmarkEnd w:id="10773"/>
    </w:p>
    <w:p w:rsidR="00A82F1E" w:rsidRPr="0068220E" w:rsidRDefault="00A82F1E" w:rsidP="00A82F1E">
      <w:pPr>
        <w:pStyle w:val="a2"/>
        <w:rPr>
          <w:rtl/>
        </w:rPr>
      </w:pPr>
      <w:bookmarkStart w:id="10774" w:name="_Toc19792367"/>
      <w:r>
        <w:rPr>
          <w:rFonts w:hint="cs"/>
          <w:rtl/>
        </w:rPr>
        <w:t>ביאור הלח"מ דלריו"ח בפגום מתחילה ועד סוף מותר לכו"ע ונחלקו רק בפגם ולבסוף השביח</w:t>
      </w:r>
      <w:bookmarkEnd w:id="10774"/>
      <w:r>
        <w:rPr>
          <w:rFonts w:hint="cs"/>
          <w:rtl/>
        </w:rPr>
        <w:t xml:space="preserve"> </w:t>
      </w:r>
    </w:p>
    <w:p w:rsidR="00A82F1E" w:rsidRDefault="00A82F1E" w:rsidP="009F44AF">
      <w:pPr>
        <w:pStyle w:val="a"/>
        <w:rPr>
          <w:rtl/>
        </w:rPr>
      </w:pPr>
      <w:r>
        <w:rPr>
          <w:rFonts w:hint="cs"/>
          <w:rtl/>
        </w:rPr>
        <w:lastRenderedPageBreak/>
        <w:t xml:space="preserve">ובדעת ריו"ח כתב </w:t>
      </w:r>
      <w:r w:rsidRPr="0097158D">
        <w:rPr>
          <w:rStyle w:val="af8"/>
          <w:rFonts w:hint="cs"/>
          <w:rtl/>
        </w:rPr>
        <w:t>הלח"מ</w:t>
      </w:r>
      <w:r>
        <w:rPr>
          <w:rFonts w:hint="cs"/>
          <w:rtl/>
        </w:rPr>
        <w:t xml:space="preserve"> דביאר </w:t>
      </w:r>
      <w:r w:rsidRPr="0097158D">
        <w:rPr>
          <w:rStyle w:val="af8"/>
          <w:rFonts w:hint="cs"/>
          <w:rtl/>
        </w:rPr>
        <w:t>הרמב"ם בפיהמ"ש</w:t>
      </w:r>
      <w:r>
        <w:rPr>
          <w:rFonts w:hint="cs"/>
          <w:rtl/>
        </w:rPr>
        <w:t xml:space="preserve"> דר"ש ור"מ נחלקו בפגם ולבסוף השביח דהוא נקרא פגום מעיקרא, אבל בפגום מתחילה ועד סוף אף לדעת ריו"ח מותר לכו"ע, ובזה הביאה הגמ' </w:t>
      </w:r>
      <w:r w:rsidRPr="00131C03">
        <w:rPr>
          <w:rStyle w:val="af6"/>
          <w:rFonts w:eastAsia="Guttman Hodes" w:hint="cs"/>
          <w:rtl/>
        </w:rPr>
        <w:t>(סח:)</w:t>
      </w:r>
      <w:r>
        <w:rPr>
          <w:rFonts w:hint="cs"/>
          <w:rtl/>
        </w:rPr>
        <w:t xml:space="preserve"> ראיה מיין שנפל לעדשים דנחלקו בפגם ולבסוף השביח דהוא פגום מעיקרא, ועי' במה שביאר </w:t>
      </w:r>
      <w:r w:rsidRPr="00D4330E">
        <w:rPr>
          <w:rStyle w:val="af8"/>
          <w:rFonts w:hint="cs"/>
          <w:rtl/>
        </w:rPr>
        <w:t>הלח"מ</w:t>
      </w:r>
      <w:r>
        <w:rPr>
          <w:rFonts w:hint="cs"/>
          <w:rtl/>
        </w:rPr>
        <w:t xml:space="preserve"> </w:t>
      </w:r>
      <w:r w:rsidRPr="00131C03">
        <w:rPr>
          <w:rStyle w:val="af6"/>
          <w:rFonts w:eastAsia="Guttman Hodes" w:hint="cs"/>
          <w:rtl/>
        </w:rPr>
        <w:t xml:space="preserve">(עי' אות </w:t>
      </w:r>
      <w:r w:rsidRPr="00131C03">
        <w:rPr>
          <w:rStyle w:val="af6"/>
          <w:rFonts w:eastAsia="Guttman Hodes"/>
          <w:rtl/>
        </w:rPr>
        <w:fldChar w:fldCharType="begin"/>
      </w:r>
      <w:r w:rsidRPr="00131C03">
        <w:rPr>
          <w:rStyle w:val="af6"/>
          <w:rFonts w:eastAsia="Guttman Hodes"/>
          <w:rtl/>
        </w:rPr>
        <w:instrText xml:space="preserve"> </w:instrText>
      </w:r>
      <w:r w:rsidRPr="00131C03">
        <w:rPr>
          <w:rStyle w:val="af6"/>
          <w:rFonts w:eastAsia="Guttman Hodes" w:hint="cs"/>
        </w:rPr>
        <w:instrText>REF</w:instrText>
      </w:r>
      <w:r w:rsidRPr="00131C03">
        <w:rPr>
          <w:rStyle w:val="af6"/>
          <w:rFonts w:eastAsia="Guttman Hodes" w:hint="cs"/>
          <w:rtl/>
        </w:rPr>
        <w:instrText xml:space="preserve"> _</w:instrText>
      </w:r>
      <w:r w:rsidRPr="00131C03">
        <w:rPr>
          <w:rStyle w:val="af6"/>
          <w:rFonts w:eastAsia="Guttman Hodes" w:hint="cs"/>
        </w:rPr>
        <w:instrText>Ref19779122 \r \h</w:instrText>
      </w:r>
      <w:r w:rsidRPr="00131C03">
        <w:rPr>
          <w:rStyle w:val="af6"/>
          <w:rFonts w:eastAsia="Guttman Hodes"/>
          <w:rtl/>
        </w:rPr>
        <w:instrText xml:space="preserve"> </w:instrText>
      </w:r>
      <w:r w:rsidRPr="00131C03">
        <w:rPr>
          <w:rStyle w:val="af6"/>
          <w:rFonts w:eastAsia="Guttman Hodes"/>
          <w:rtl/>
        </w:rPr>
      </w:r>
      <w:r w:rsidRPr="00131C03">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131C03">
        <w:rPr>
          <w:rStyle w:val="af6"/>
          <w:rFonts w:eastAsia="Guttman Hodes"/>
          <w:rtl/>
        </w:rPr>
        <w:fldChar w:fldCharType="end"/>
      </w:r>
      <w:r>
        <w:rPr>
          <w:rFonts w:hint="cs"/>
          <w:rtl/>
        </w:rPr>
        <w:t xml:space="preserve"> בביאור דברי </w:t>
      </w:r>
      <w:r w:rsidRPr="00D4330E">
        <w:rPr>
          <w:rStyle w:val="af8"/>
          <w:rFonts w:hint="cs"/>
          <w:rtl/>
        </w:rPr>
        <w:t>הרמב"ם</w:t>
      </w:r>
      <w:r>
        <w:rPr>
          <w:rFonts w:hint="cs"/>
          <w:rtl/>
        </w:rPr>
        <w:t xml:space="preserve"> </w:t>
      </w:r>
      <w:r w:rsidRPr="00131C03">
        <w:rPr>
          <w:rStyle w:val="af6"/>
          <w:rFonts w:eastAsia="Guttman Hodes" w:hint="cs"/>
          <w:rtl/>
        </w:rPr>
        <w:t xml:space="preserve">(עי' אות </w:t>
      </w:r>
      <w:r w:rsidRPr="00131C03">
        <w:rPr>
          <w:rStyle w:val="af6"/>
          <w:rFonts w:eastAsia="Guttman Hodes"/>
          <w:rtl/>
        </w:rPr>
        <w:fldChar w:fldCharType="begin"/>
      </w:r>
      <w:r w:rsidRPr="00131C03">
        <w:rPr>
          <w:rStyle w:val="af6"/>
          <w:rFonts w:eastAsia="Guttman Hodes"/>
          <w:rtl/>
        </w:rPr>
        <w:instrText xml:space="preserve"> </w:instrText>
      </w:r>
      <w:r w:rsidRPr="00131C03">
        <w:rPr>
          <w:rStyle w:val="af6"/>
          <w:rFonts w:eastAsia="Guttman Hodes" w:hint="cs"/>
        </w:rPr>
        <w:instrText>REF</w:instrText>
      </w:r>
      <w:r w:rsidRPr="00131C03">
        <w:rPr>
          <w:rStyle w:val="af6"/>
          <w:rFonts w:eastAsia="Guttman Hodes" w:hint="cs"/>
          <w:rtl/>
        </w:rPr>
        <w:instrText xml:space="preserve"> _</w:instrText>
      </w:r>
      <w:r w:rsidRPr="00131C03">
        <w:rPr>
          <w:rStyle w:val="af6"/>
          <w:rFonts w:eastAsia="Guttman Hodes" w:hint="cs"/>
        </w:rPr>
        <w:instrText>Ref19777685 \r \h</w:instrText>
      </w:r>
      <w:r w:rsidRPr="00131C03">
        <w:rPr>
          <w:rStyle w:val="af6"/>
          <w:rFonts w:eastAsia="Guttman Hodes"/>
          <w:rtl/>
        </w:rPr>
        <w:instrText xml:space="preserve"> </w:instrText>
      </w:r>
      <w:r w:rsidRPr="00131C03">
        <w:rPr>
          <w:rStyle w:val="af6"/>
          <w:rFonts w:eastAsia="Guttman Hodes"/>
          <w:rtl/>
        </w:rPr>
      </w:r>
      <w:r w:rsidRPr="00131C03">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131C03">
        <w:rPr>
          <w:rStyle w:val="af6"/>
          <w:rFonts w:eastAsia="Guttman Hodes"/>
          <w:rtl/>
        </w:rPr>
        <w:fldChar w:fldCharType="end"/>
      </w:r>
      <w:r>
        <w:rPr>
          <w:rFonts w:hint="cs"/>
          <w:rtl/>
        </w:rPr>
        <w:t xml:space="preserve"> דפסק לאסור בין בהשביח ולבסוף פגם ובין בפגם ולבסוף השביח דהוא פגום מעיקרא.</w:t>
      </w:r>
    </w:p>
    <w:p w:rsidR="00A82F1E" w:rsidRPr="00131C03" w:rsidRDefault="00A82F1E" w:rsidP="00A82F1E">
      <w:pPr>
        <w:pStyle w:val="a2"/>
        <w:rPr>
          <w:rtl/>
        </w:rPr>
      </w:pPr>
      <w:bookmarkStart w:id="10775" w:name="_Toc19792368"/>
      <w:r>
        <w:rPr>
          <w:rFonts w:hint="cs"/>
          <w:rtl/>
        </w:rPr>
        <w:t>דברי הלח"מ דבירושלמי משמע דהשביח ולבסוף פגם היינו פגם מעיקרא</w:t>
      </w:r>
      <w:bookmarkEnd w:id="10775"/>
    </w:p>
    <w:p w:rsidR="00A82F1E" w:rsidRDefault="00A82F1E" w:rsidP="009F44AF">
      <w:pPr>
        <w:pStyle w:val="a"/>
        <w:rPr>
          <w:rtl/>
        </w:rPr>
      </w:pPr>
      <w:r>
        <w:rPr>
          <w:rFonts w:hint="cs"/>
          <w:rtl/>
        </w:rPr>
        <w:t xml:space="preserve">ועוד הביא </w:t>
      </w:r>
      <w:r w:rsidRPr="00D4330E">
        <w:rPr>
          <w:rStyle w:val="af8"/>
          <w:rFonts w:hint="cs"/>
          <w:rtl/>
        </w:rPr>
        <w:t>הלח"מ</w:t>
      </w:r>
      <w:r>
        <w:rPr>
          <w:rFonts w:hint="cs"/>
          <w:rtl/>
        </w:rPr>
        <w:t xml:space="preserve"> דמצא דכן מפורש בירושלמי בערלה </w:t>
      </w:r>
      <w:r w:rsidRPr="00346115">
        <w:rPr>
          <w:rStyle w:val="af6"/>
          <w:rFonts w:eastAsia="Guttman Hodes" w:hint="cs"/>
          <w:rtl/>
        </w:rPr>
        <w:t>(פ"ב ה"ד, יג:)</w:t>
      </w:r>
      <w:r>
        <w:rPr>
          <w:rFonts w:hint="cs"/>
          <w:rtl/>
        </w:rPr>
        <w:t xml:space="preserve"> דר"מ אוסר בכל נותן טעם בין לשבח ובין לפגם, ור"ש מתיר בנותן טעם לפגם, וביאר ר"ל דנחלקו בהשביח ולבסוף פגם, אבל בפגם ולבסוף השביח, אמר ר"ל דאף ר"מ מודה דמותר, וריו"ח אמר דנחלקו אף בפגם ולבסוף השביח, וכתב </w:t>
      </w:r>
      <w:r w:rsidRPr="00D4330E">
        <w:rPr>
          <w:rStyle w:val="af8"/>
          <w:rFonts w:hint="cs"/>
          <w:rtl/>
        </w:rPr>
        <w:t>הלח"מ</w:t>
      </w:r>
      <w:r>
        <w:rPr>
          <w:rFonts w:hint="cs"/>
          <w:rtl/>
        </w:rPr>
        <w:t xml:space="preserve"> דמבואר דדברי ר"ל בירושלמי הם כדעת עולא, דלא נחלקו בפגם ולבסוף השביח, אלא דעולא קורא לזה פגום מעיקרא, וכדביאר </w:t>
      </w:r>
      <w:r w:rsidRPr="00D4330E">
        <w:rPr>
          <w:rStyle w:val="af8"/>
          <w:rFonts w:hint="cs"/>
          <w:rtl/>
        </w:rPr>
        <w:t>הרמב"ם בפיהמ"ש</w:t>
      </w:r>
      <w:r>
        <w:rPr>
          <w:rFonts w:hint="cs"/>
          <w:rtl/>
        </w:rPr>
        <w:t xml:space="preserve"> </w:t>
      </w:r>
      <w:r w:rsidRPr="004540ED">
        <w:rPr>
          <w:rStyle w:val="af6"/>
          <w:rFonts w:eastAsia="Guttman Hodes" w:hint="cs"/>
          <w:rtl/>
        </w:rPr>
        <w:t xml:space="preserve">(עי' אות </w:t>
      </w:r>
      <w:r w:rsidRPr="004540ED">
        <w:rPr>
          <w:rStyle w:val="af6"/>
          <w:rFonts w:eastAsia="Guttman Hodes"/>
          <w:rtl/>
        </w:rPr>
        <w:fldChar w:fldCharType="begin"/>
      </w:r>
      <w:r w:rsidRPr="004540ED">
        <w:rPr>
          <w:rStyle w:val="af6"/>
          <w:rFonts w:eastAsia="Guttman Hodes"/>
          <w:rtl/>
        </w:rPr>
        <w:instrText xml:space="preserve"> </w:instrText>
      </w:r>
      <w:r w:rsidRPr="004540ED">
        <w:rPr>
          <w:rStyle w:val="af6"/>
          <w:rFonts w:eastAsia="Guttman Hodes" w:hint="cs"/>
        </w:rPr>
        <w:instrText>REF</w:instrText>
      </w:r>
      <w:r w:rsidRPr="004540ED">
        <w:rPr>
          <w:rStyle w:val="af6"/>
          <w:rFonts w:eastAsia="Guttman Hodes" w:hint="cs"/>
          <w:rtl/>
        </w:rPr>
        <w:instrText xml:space="preserve"> _</w:instrText>
      </w:r>
      <w:r w:rsidRPr="004540ED">
        <w:rPr>
          <w:rStyle w:val="af6"/>
          <w:rFonts w:eastAsia="Guttman Hodes" w:hint="cs"/>
        </w:rPr>
        <w:instrText>Ref19735946 \r \h</w:instrText>
      </w:r>
      <w:r w:rsidRPr="004540ED">
        <w:rPr>
          <w:rStyle w:val="af6"/>
          <w:rFonts w:eastAsia="Guttman Hodes"/>
          <w:rtl/>
        </w:rPr>
        <w:instrText xml:space="preserve"> </w:instrText>
      </w:r>
      <w:r w:rsidRPr="004540ED">
        <w:rPr>
          <w:rStyle w:val="af6"/>
          <w:rFonts w:eastAsia="Guttman Hodes"/>
          <w:rtl/>
        </w:rPr>
      </w:r>
      <w:r w:rsidRPr="004540ED">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4540ED">
        <w:rPr>
          <w:rStyle w:val="af6"/>
          <w:rFonts w:eastAsia="Guttman Hodes"/>
          <w:rtl/>
        </w:rPr>
        <w:fldChar w:fldCharType="end"/>
      </w:r>
      <w:r>
        <w:rPr>
          <w:rFonts w:hint="cs"/>
          <w:rtl/>
        </w:rPr>
        <w:t>,</w:t>
      </w:r>
      <w:r w:rsidRPr="00897ED4">
        <w:rPr>
          <w:rFonts w:hint="cs"/>
          <w:rtl/>
        </w:rPr>
        <w:t xml:space="preserve"> </w:t>
      </w:r>
      <w:r w:rsidRPr="00D23431">
        <w:rPr>
          <w:rFonts w:hint="cs"/>
          <w:rtl/>
        </w:rPr>
        <w:t>ו</w:t>
      </w:r>
      <w:r>
        <w:rPr>
          <w:rFonts w:hint="cs"/>
          <w:rtl/>
        </w:rPr>
        <w:t>ע"ע במה ש</w:t>
      </w:r>
      <w:r w:rsidRPr="00D23431">
        <w:rPr>
          <w:rFonts w:hint="cs"/>
          <w:rtl/>
        </w:rPr>
        <w:t xml:space="preserve">ביאר </w:t>
      </w:r>
      <w:r w:rsidRPr="00D4330E">
        <w:rPr>
          <w:rStyle w:val="af8"/>
          <w:rFonts w:hint="cs"/>
          <w:rtl/>
        </w:rPr>
        <w:t>הפר"ח</w:t>
      </w:r>
      <w:r w:rsidRPr="00D23431">
        <w:rPr>
          <w:rFonts w:hint="cs"/>
          <w:rtl/>
        </w:rPr>
        <w:t xml:space="preserve"> </w:t>
      </w:r>
      <w:r w:rsidRPr="00D4330E">
        <w:rPr>
          <w:rStyle w:val="af6"/>
          <w:rFonts w:eastAsia="Guttman Hodes" w:hint="cs"/>
          <w:rtl/>
        </w:rPr>
        <w:t>(סי' ק"ג סק"ח ד"ה וראיתי להרמב"ם)</w:t>
      </w:r>
      <w:r w:rsidRPr="00D23431">
        <w:rPr>
          <w:rFonts w:hint="cs"/>
          <w:rtl/>
        </w:rPr>
        <w:t xml:space="preserve"> את דברי </w:t>
      </w:r>
      <w:r w:rsidRPr="00D4330E">
        <w:rPr>
          <w:rStyle w:val="af8"/>
          <w:rFonts w:hint="cs"/>
          <w:rtl/>
        </w:rPr>
        <w:t>הרמב"ם בפיהמ"ש</w:t>
      </w:r>
      <w:r>
        <w:rPr>
          <w:rFonts w:hint="cs"/>
          <w:rtl/>
        </w:rPr>
        <w:t>.</w:t>
      </w:r>
    </w:p>
    <w:p w:rsidR="00A82F1E" w:rsidRPr="00261CBD" w:rsidRDefault="00A82F1E" w:rsidP="00A82F1E">
      <w:pPr>
        <w:pStyle w:val="1"/>
        <w:rPr>
          <w:rtl/>
        </w:rPr>
      </w:pPr>
      <w:bookmarkStart w:id="10776" w:name="_Toc19792369"/>
      <w:r>
        <w:rPr>
          <w:rFonts w:hint="cs"/>
          <w:rtl/>
        </w:rPr>
        <w:t>דברי הגר"א בביאור עולא וריו"ח לדעת הרמב"ם בפיהמ"ש</w:t>
      </w:r>
      <w:bookmarkEnd w:id="10776"/>
    </w:p>
    <w:p w:rsidR="00A82F1E" w:rsidRDefault="00A82F1E" w:rsidP="00A82F1E">
      <w:pPr>
        <w:pStyle w:val="a2"/>
        <w:rPr>
          <w:rtl/>
        </w:rPr>
      </w:pPr>
      <w:bookmarkStart w:id="10777" w:name="_Toc19792370"/>
      <w:r>
        <w:rPr>
          <w:rFonts w:hint="cs"/>
          <w:rtl/>
        </w:rPr>
        <w:t>דברי הגר"א דמדברי ריו"ח בבלי ובירושלמי מבואר דאסור אף בפגם ולבסוף השביח</w:t>
      </w:r>
      <w:bookmarkEnd w:id="10777"/>
      <w:r>
        <w:rPr>
          <w:rFonts w:hint="cs"/>
          <w:rtl/>
        </w:rPr>
        <w:t xml:space="preserve"> </w:t>
      </w:r>
    </w:p>
    <w:p w:rsidR="00A82F1E" w:rsidRDefault="00A82F1E" w:rsidP="009F44AF">
      <w:pPr>
        <w:pStyle w:val="a"/>
        <w:rPr>
          <w:rtl/>
        </w:rPr>
      </w:pPr>
      <w:bookmarkStart w:id="10778" w:name="_Ref19791062"/>
      <w:r>
        <w:rPr>
          <w:rFonts w:hint="cs"/>
          <w:rtl/>
        </w:rPr>
        <w:t xml:space="preserve">הביא </w:t>
      </w:r>
      <w:r w:rsidRPr="00346115">
        <w:rPr>
          <w:rStyle w:val="af8"/>
          <w:rFonts w:hint="cs"/>
          <w:rtl/>
        </w:rPr>
        <w:t xml:space="preserve">הגר"א </w:t>
      </w:r>
      <w:r w:rsidRPr="00346115">
        <w:rPr>
          <w:rStyle w:val="af6"/>
          <w:rFonts w:eastAsia="Guttman Hodes" w:hint="cs"/>
          <w:rtl/>
        </w:rPr>
        <w:t>(סי' צ"ח סק"ד)</w:t>
      </w:r>
      <w:r>
        <w:rPr>
          <w:rFonts w:hint="cs"/>
          <w:rtl/>
        </w:rPr>
        <w:t xml:space="preserve"> את דברי הירושלמי בתרומות </w:t>
      </w:r>
      <w:r w:rsidRPr="00346115">
        <w:rPr>
          <w:rStyle w:val="af6"/>
          <w:rFonts w:eastAsia="Guttman Hodes" w:hint="cs"/>
          <w:rtl/>
        </w:rPr>
        <w:t>(פ"י ה"א, נא.)</w:t>
      </w:r>
      <w:r>
        <w:rPr>
          <w:rFonts w:hint="cs"/>
          <w:rtl/>
        </w:rPr>
        <w:t xml:space="preserve"> ובערלה </w:t>
      </w:r>
      <w:r w:rsidRPr="00346115">
        <w:rPr>
          <w:rStyle w:val="af6"/>
          <w:rFonts w:eastAsia="Guttman Hodes" w:hint="cs"/>
          <w:rtl/>
        </w:rPr>
        <w:t>(פ"ב ה"ד, יג:)</w:t>
      </w:r>
      <w:r>
        <w:rPr>
          <w:rFonts w:hint="cs"/>
          <w:rtl/>
        </w:rPr>
        <w:t xml:space="preserve"> דאמר ר"ל דר"מ ור"ש נחלקו רק בהשביח ולבסוף פגם, אבל בפגם ולבסוף השביח מודה ר"מ לר"ש דמותר, וריו"ח אמר דנחלקו אף פגם ולבסוף השביח, </w:t>
      </w:r>
      <w:r w:rsidRPr="00E92208">
        <w:rPr>
          <w:rFonts w:hint="cs"/>
          <w:rtl/>
        </w:rPr>
        <w:t>וכתב</w:t>
      </w:r>
      <w:r w:rsidRPr="00E92208">
        <w:rPr>
          <w:rStyle w:val="af8"/>
          <w:rFonts w:hint="cs"/>
          <w:rtl/>
        </w:rPr>
        <w:t xml:space="preserve"> הגר"א </w:t>
      </w:r>
      <w:r w:rsidRPr="00E92208">
        <w:rPr>
          <w:rFonts w:hint="cs"/>
          <w:rtl/>
        </w:rPr>
        <w:t>דקיי"ל כריו"ח, וא"כ כיון דהגמ' בסוגיין פוסקת דהשביח ולבסוף פגם אסור, ה"ה בפגם ולבסוף השביח, דהרי לדעת ריו"ח שניהם שוין</w:t>
      </w:r>
      <w:r>
        <w:rPr>
          <w:rFonts w:hint="cs"/>
          <w:rtl/>
        </w:rPr>
        <w:t>.</w:t>
      </w:r>
      <w:bookmarkEnd w:id="10778"/>
    </w:p>
    <w:p w:rsidR="00A82F1E" w:rsidRPr="00BD59CE" w:rsidRDefault="00A82F1E" w:rsidP="00A82F1E">
      <w:pPr>
        <w:pStyle w:val="a2"/>
      </w:pPr>
      <w:bookmarkStart w:id="10779" w:name="_Toc19792371"/>
      <w:r>
        <w:rPr>
          <w:rFonts w:hint="cs"/>
          <w:rtl/>
        </w:rPr>
        <w:t>קושית הגר"א דלדעת רש"י לריו"ח א"א להעמיד את מתני' כר"מ דאסר בפגום מעיקרא</w:t>
      </w:r>
      <w:bookmarkEnd w:id="10779"/>
    </w:p>
    <w:p w:rsidR="00707FC2" w:rsidRDefault="00A82F1E" w:rsidP="009F44AF">
      <w:pPr>
        <w:pStyle w:val="a"/>
        <w:rPr>
          <w:rStyle w:val="afa"/>
          <w:rtl/>
        </w:rPr>
      </w:pPr>
      <w:r w:rsidRPr="00BD59CE">
        <w:rPr>
          <w:rFonts w:hint="cs"/>
          <w:rtl/>
        </w:rPr>
        <w:t xml:space="preserve">והוסיף </w:t>
      </w:r>
      <w:r w:rsidRPr="00BD59CE">
        <w:rPr>
          <w:rStyle w:val="af8"/>
          <w:rFonts w:hint="cs"/>
          <w:rtl/>
        </w:rPr>
        <w:t>הגר"א</w:t>
      </w:r>
      <w:r w:rsidRPr="00BD59CE">
        <w:rPr>
          <w:rFonts w:hint="cs"/>
          <w:rtl/>
        </w:rPr>
        <w:t xml:space="preserve"> דהרי לדעת עולא מתני' כר"מ כדאמר עולא דנחלקו בהשביח ולבסוף פגם, ובפגום </w:t>
      </w:r>
      <w:r>
        <w:rPr>
          <w:rFonts w:hint="cs"/>
          <w:rtl/>
        </w:rPr>
        <w:t>מעיקרא</w:t>
      </w:r>
      <w:r w:rsidRPr="00BD59CE">
        <w:rPr>
          <w:rFonts w:hint="cs"/>
          <w:rtl/>
        </w:rPr>
        <w:t xml:space="preserve"> לכו"ע מותר, א</w:t>
      </w:r>
      <w:r>
        <w:rPr>
          <w:rFonts w:hint="cs"/>
          <w:rtl/>
        </w:rPr>
        <w:t xml:space="preserve">ך כתב הגר"א דלדעת </w:t>
      </w:r>
      <w:r w:rsidRPr="00BD59CE">
        <w:rPr>
          <w:rFonts w:hint="cs"/>
          <w:rtl/>
        </w:rPr>
        <w:t xml:space="preserve">ריו"ח דאמר דנחלקו בפגום </w:t>
      </w:r>
      <w:r>
        <w:rPr>
          <w:rFonts w:hint="cs"/>
          <w:rtl/>
        </w:rPr>
        <w:t>מעיקרא</w:t>
      </w:r>
      <w:r w:rsidRPr="00BD59CE">
        <w:rPr>
          <w:rFonts w:hint="cs"/>
          <w:rtl/>
        </w:rPr>
        <w:t xml:space="preserve">, א"כ א"א להעמיד את מתני' כר"מ, אף אי נימא דנחלקו בין בהשביח ולבסוף פגם, ובין בפגום </w:t>
      </w:r>
      <w:r>
        <w:rPr>
          <w:rFonts w:hint="cs"/>
          <w:rtl/>
        </w:rPr>
        <w:t>מעיקרא</w:t>
      </w:r>
      <w:r w:rsidRPr="00BD59CE">
        <w:rPr>
          <w:rFonts w:hint="cs"/>
          <w:rtl/>
        </w:rPr>
        <w:t xml:space="preserve">. </w:t>
      </w:r>
      <w:r w:rsidRPr="00514CE1">
        <w:rPr>
          <w:rStyle w:val="afa"/>
          <w:rFonts w:hint="cs"/>
          <w:rtl/>
        </w:rPr>
        <w:t xml:space="preserve">[היינו לדעת רש"י </w:t>
      </w:r>
      <w:r w:rsidRPr="00514CE1">
        <w:rPr>
          <w:rStyle w:val="aff6"/>
          <w:rFonts w:hint="cs"/>
          <w:rtl/>
        </w:rPr>
        <w:t xml:space="preserve">(עי' אות </w:t>
      </w:r>
      <w:r w:rsidRPr="00514CE1">
        <w:rPr>
          <w:rStyle w:val="aff6"/>
          <w:rtl/>
        </w:rPr>
        <w:fldChar w:fldCharType="begin"/>
      </w:r>
      <w:r w:rsidRPr="00514CE1">
        <w:rPr>
          <w:rStyle w:val="aff6"/>
          <w:rtl/>
        </w:rPr>
        <w:instrText xml:space="preserve"> </w:instrText>
      </w:r>
      <w:r w:rsidRPr="00514CE1">
        <w:rPr>
          <w:rStyle w:val="aff6"/>
          <w:rFonts w:hint="cs"/>
        </w:rPr>
        <w:instrText>REF</w:instrText>
      </w:r>
      <w:r w:rsidRPr="00514CE1">
        <w:rPr>
          <w:rStyle w:val="aff6"/>
          <w:rFonts w:hint="cs"/>
          <w:rtl/>
        </w:rPr>
        <w:instrText xml:space="preserve"> _</w:instrText>
      </w:r>
      <w:r w:rsidRPr="00514CE1">
        <w:rPr>
          <w:rStyle w:val="aff6"/>
          <w:rFonts w:hint="cs"/>
        </w:rPr>
        <w:instrText>Ref19779890 \r \h</w:instrText>
      </w:r>
      <w:r w:rsidRPr="00514CE1">
        <w:rPr>
          <w:rStyle w:val="aff6"/>
          <w:rtl/>
        </w:rPr>
        <w:instrText xml:space="preserve"> </w:instrText>
      </w:r>
      <w:r w:rsidRPr="00514CE1">
        <w:rPr>
          <w:rStyle w:val="aff6"/>
          <w:rtl/>
        </w:rPr>
      </w:r>
      <w:r w:rsidRPr="00514CE1">
        <w:rPr>
          <w:rStyle w:val="aff6"/>
          <w:rtl/>
        </w:rPr>
        <w:fldChar w:fldCharType="separate"/>
      </w:r>
      <w:r w:rsidR="004D1C5B">
        <w:rPr>
          <w:rStyle w:val="aff6"/>
          <w:cs/>
        </w:rPr>
        <w:t>‎</w:t>
      </w:r>
      <w:r w:rsidR="004D1C5B">
        <w:rPr>
          <w:rStyle w:val="aff6"/>
          <w:rtl/>
        </w:rPr>
        <w:t>צ)</w:t>
      </w:r>
      <w:r w:rsidRPr="00514CE1">
        <w:rPr>
          <w:rStyle w:val="aff6"/>
          <w:rtl/>
        </w:rPr>
        <w:fldChar w:fldCharType="end"/>
      </w:r>
      <w:r w:rsidRPr="00514CE1">
        <w:rPr>
          <w:rStyle w:val="afa"/>
          <w:rFonts w:hint="cs"/>
          <w:rtl/>
        </w:rPr>
        <w:t xml:space="preserve"> דפגום מעיקרא היינו פגם מתחילה ועד סוף, דהא לריו"ח אסר ר"מ בפגם מתחילה ועד סוף, ובמתני' תנא דמותר].</w:t>
      </w:r>
    </w:p>
    <w:p w:rsidR="00A82F1E" w:rsidRPr="00E92208" w:rsidRDefault="00A82F1E" w:rsidP="00A82F1E">
      <w:pPr>
        <w:pStyle w:val="a2"/>
        <w:rPr>
          <w:rtl/>
        </w:rPr>
      </w:pPr>
      <w:bookmarkStart w:id="10780" w:name="_Toc19792372"/>
      <w:r>
        <w:rPr>
          <w:rFonts w:hint="cs"/>
          <w:rtl/>
        </w:rPr>
        <w:t>דברי הגר"א דלהרמב"ם בפיהמ"ש ר"ל בירושלמי כעולא ומתני' כר"מ אליבא דריו"ח</w:t>
      </w:r>
      <w:bookmarkEnd w:id="10780"/>
    </w:p>
    <w:p w:rsidR="00A82F1E" w:rsidRDefault="00A82F1E" w:rsidP="009F44AF">
      <w:pPr>
        <w:pStyle w:val="a"/>
        <w:rPr>
          <w:rtl/>
        </w:rPr>
      </w:pPr>
      <w:bookmarkStart w:id="10781" w:name="_Ref19780270"/>
      <w:r>
        <w:rPr>
          <w:rFonts w:hint="cs"/>
          <w:rtl/>
        </w:rPr>
        <w:t>והביא</w:t>
      </w:r>
      <w:r w:rsidRPr="00346115">
        <w:rPr>
          <w:rStyle w:val="af8"/>
          <w:rFonts w:hint="cs"/>
          <w:rtl/>
        </w:rPr>
        <w:t xml:space="preserve"> הגר"א</w:t>
      </w:r>
      <w:r>
        <w:rPr>
          <w:rFonts w:hint="cs"/>
          <w:rtl/>
        </w:rPr>
        <w:t xml:space="preserve"> את דברי </w:t>
      </w:r>
      <w:r w:rsidRPr="00346115">
        <w:rPr>
          <w:rStyle w:val="af8"/>
          <w:rFonts w:hint="cs"/>
          <w:rtl/>
        </w:rPr>
        <w:t>הרמב"ם בפיהמ"ש</w:t>
      </w:r>
      <w:r>
        <w:rPr>
          <w:rFonts w:hint="cs"/>
          <w:rtl/>
        </w:rPr>
        <w:t xml:space="preserve"> </w:t>
      </w:r>
      <w:r w:rsidRPr="008F253D">
        <w:rPr>
          <w:rStyle w:val="af6"/>
          <w:rFonts w:eastAsia="Guttman Hodes" w:hint="cs"/>
          <w:rtl/>
        </w:rPr>
        <w:t xml:space="preserve">(עי' אות </w:t>
      </w:r>
      <w:r w:rsidRPr="008F253D">
        <w:rPr>
          <w:rStyle w:val="af6"/>
          <w:rFonts w:eastAsia="Guttman Hodes"/>
          <w:rtl/>
        </w:rPr>
        <w:fldChar w:fldCharType="begin"/>
      </w:r>
      <w:r w:rsidRPr="008F253D">
        <w:rPr>
          <w:rStyle w:val="af6"/>
          <w:rFonts w:eastAsia="Guttman Hodes"/>
          <w:rtl/>
        </w:rPr>
        <w:instrText xml:space="preserve"> </w:instrText>
      </w:r>
      <w:r w:rsidRPr="008F253D">
        <w:rPr>
          <w:rStyle w:val="af6"/>
          <w:rFonts w:eastAsia="Guttman Hodes" w:hint="cs"/>
        </w:rPr>
        <w:instrText>REF</w:instrText>
      </w:r>
      <w:r w:rsidRPr="008F253D">
        <w:rPr>
          <w:rStyle w:val="af6"/>
          <w:rFonts w:eastAsia="Guttman Hodes" w:hint="cs"/>
          <w:rtl/>
        </w:rPr>
        <w:instrText xml:space="preserve"> _</w:instrText>
      </w:r>
      <w:r w:rsidRPr="008F253D">
        <w:rPr>
          <w:rStyle w:val="af6"/>
          <w:rFonts w:eastAsia="Guttman Hodes" w:hint="cs"/>
        </w:rPr>
        <w:instrText>Ref19735946 \r \h</w:instrText>
      </w:r>
      <w:r w:rsidRPr="008F253D">
        <w:rPr>
          <w:rStyle w:val="af6"/>
          <w:rFonts w:eastAsia="Guttman Hodes"/>
          <w:rtl/>
        </w:rPr>
        <w:instrText xml:space="preserve"> </w:instrText>
      </w:r>
      <w:r w:rsidRPr="008F253D">
        <w:rPr>
          <w:rStyle w:val="af6"/>
          <w:rFonts w:eastAsia="Guttman Hodes"/>
          <w:rtl/>
        </w:rPr>
      </w:r>
      <w:r w:rsidRPr="008F253D">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8F253D">
        <w:rPr>
          <w:rStyle w:val="af6"/>
          <w:rFonts w:eastAsia="Guttman Hodes"/>
          <w:rtl/>
        </w:rPr>
        <w:fldChar w:fldCharType="end"/>
      </w:r>
      <w:r w:rsidRPr="008F253D">
        <w:rPr>
          <w:rStyle w:val="af6"/>
          <w:rFonts w:eastAsia="Guttman Hodes" w:hint="cs"/>
          <w:rtl/>
        </w:rPr>
        <w:t xml:space="preserve"> </w:t>
      </w:r>
      <w:r>
        <w:rPr>
          <w:rFonts w:hint="cs"/>
          <w:rtl/>
        </w:rPr>
        <w:t xml:space="preserve">דביאר דפגום מעיקרא הוא פגם ולבסוף השביח, וכתב </w:t>
      </w:r>
      <w:r w:rsidRPr="00346115">
        <w:rPr>
          <w:rStyle w:val="af8"/>
          <w:rFonts w:hint="cs"/>
          <w:rtl/>
        </w:rPr>
        <w:t>הגר"א</w:t>
      </w:r>
      <w:r>
        <w:rPr>
          <w:rFonts w:hint="cs"/>
          <w:rtl/>
        </w:rPr>
        <w:t xml:space="preserve"> </w:t>
      </w:r>
      <w:r w:rsidRPr="00346115">
        <w:rPr>
          <w:rStyle w:val="af8"/>
          <w:rFonts w:hint="cs"/>
          <w:rtl/>
        </w:rPr>
        <w:t>דהרמב"ם</w:t>
      </w:r>
      <w:r>
        <w:rPr>
          <w:rFonts w:hint="cs"/>
          <w:rtl/>
        </w:rPr>
        <w:t xml:space="preserve"> ביאר דעולא ס"ל כר"ל בירושלמי, ובדעת ריו"ח כתב </w:t>
      </w:r>
      <w:r w:rsidRPr="00802483">
        <w:rPr>
          <w:rStyle w:val="af8"/>
          <w:rFonts w:hint="cs"/>
          <w:rtl/>
        </w:rPr>
        <w:t>הגר"א</w:t>
      </w:r>
      <w:r>
        <w:rPr>
          <w:rFonts w:hint="cs"/>
          <w:rtl/>
        </w:rPr>
        <w:t xml:space="preserve"> בדעת </w:t>
      </w:r>
      <w:r w:rsidRPr="00802483">
        <w:rPr>
          <w:rStyle w:val="af8"/>
          <w:rFonts w:hint="cs"/>
          <w:rtl/>
        </w:rPr>
        <w:t>הרמב"ם בפיהמ"ש</w:t>
      </w:r>
      <w:r>
        <w:rPr>
          <w:rFonts w:hint="cs"/>
          <w:rtl/>
        </w:rPr>
        <w:t xml:space="preserve"> דלהצד בגמ' דס"ל דנחלקו בין </w:t>
      </w:r>
      <w:r w:rsidRPr="008309C5">
        <w:rPr>
          <w:rFonts w:hint="cs"/>
          <w:rtl/>
        </w:rPr>
        <w:t>בפגום מעיקר</w:t>
      </w:r>
      <w:r>
        <w:rPr>
          <w:rFonts w:hint="cs"/>
          <w:rtl/>
        </w:rPr>
        <w:t xml:space="preserve">א </w:t>
      </w:r>
      <w:r w:rsidRPr="008309C5">
        <w:rPr>
          <w:rFonts w:hint="cs"/>
          <w:rtl/>
        </w:rPr>
        <w:t xml:space="preserve">דהיינו פגם ולבסוף השביח, ובין בהשביח </w:t>
      </w:r>
      <w:r>
        <w:rPr>
          <w:rFonts w:hint="cs"/>
          <w:rtl/>
        </w:rPr>
        <w:t xml:space="preserve">ולבסוף פגם, הוא כשיטתו בירושלמי, ולפי"ז מתני' לעיל </w:t>
      </w:r>
      <w:r w:rsidRPr="005C28C7">
        <w:rPr>
          <w:rStyle w:val="af6"/>
          <w:rFonts w:eastAsia="Guttman Hodes" w:hint="cs"/>
          <w:rtl/>
        </w:rPr>
        <w:t>(סה:)</w:t>
      </w:r>
      <w:r>
        <w:rPr>
          <w:rFonts w:hint="cs"/>
          <w:rtl/>
        </w:rPr>
        <w:t xml:space="preserve"> היא אליבא דכו"ע, דבפוגם לגמרי, </w:t>
      </w:r>
      <w:r w:rsidRPr="00802483">
        <w:rPr>
          <w:rStyle w:val="afa"/>
          <w:rFonts w:hint="cs"/>
          <w:rtl/>
        </w:rPr>
        <w:t>[דהיינו בפוגם מתחילה ועד סוף],</w:t>
      </w:r>
      <w:r>
        <w:rPr>
          <w:rFonts w:hint="cs"/>
          <w:rtl/>
        </w:rPr>
        <w:t xml:space="preserve"> אין מ"ד דס"ל דאסור, וכדביאר </w:t>
      </w:r>
      <w:r w:rsidRPr="00802483">
        <w:rPr>
          <w:rStyle w:val="af8"/>
          <w:rFonts w:hint="cs"/>
          <w:rtl/>
        </w:rPr>
        <w:t>הרמב"ם בפיהמ"ש</w:t>
      </w:r>
      <w:r>
        <w:rPr>
          <w:rFonts w:hint="cs"/>
          <w:rtl/>
        </w:rPr>
        <w:t xml:space="preserve"> </w:t>
      </w:r>
      <w:r w:rsidRPr="00727676">
        <w:rPr>
          <w:rStyle w:val="af6"/>
          <w:rFonts w:eastAsia="Guttman Hodes" w:hint="cs"/>
          <w:rtl/>
        </w:rPr>
        <w:t xml:space="preserve">(עי' אות </w:t>
      </w:r>
      <w:r w:rsidRPr="00727676">
        <w:rPr>
          <w:rStyle w:val="af6"/>
          <w:rFonts w:eastAsia="Guttman Hodes"/>
          <w:rtl/>
        </w:rPr>
        <w:fldChar w:fldCharType="begin"/>
      </w:r>
      <w:r w:rsidRPr="00727676">
        <w:rPr>
          <w:rStyle w:val="af6"/>
          <w:rFonts w:eastAsia="Guttman Hodes"/>
          <w:rtl/>
        </w:rPr>
        <w:instrText xml:space="preserve"> </w:instrText>
      </w:r>
      <w:r w:rsidRPr="00727676">
        <w:rPr>
          <w:rStyle w:val="af6"/>
          <w:rFonts w:eastAsia="Guttman Hodes" w:hint="cs"/>
        </w:rPr>
        <w:instrText>REF</w:instrText>
      </w:r>
      <w:r w:rsidRPr="00727676">
        <w:rPr>
          <w:rStyle w:val="af6"/>
          <w:rFonts w:eastAsia="Guttman Hodes" w:hint="cs"/>
          <w:rtl/>
        </w:rPr>
        <w:instrText xml:space="preserve"> _</w:instrText>
      </w:r>
      <w:r w:rsidRPr="00727676">
        <w:rPr>
          <w:rStyle w:val="af6"/>
          <w:rFonts w:eastAsia="Guttman Hodes" w:hint="cs"/>
        </w:rPr>
        <w:instrText>Ref19778761 \r \h</w:instrText>
      </w:r>
      <w:r w:rsidRPr="00727676">
        <w:rPr>
          <w:rStyle w:val="af6"/>
          <w:rFonts w:eastAsia="Guttman Hodes"/>
          <w:rtl/>
        </w:rPr>
        <w:instrText xml:space="preserve"> </w:instrText>
      </w:r>
      <w:r w:rsidRPr="00727676">
        <w:rPr>
          <w:rStyle w:val="af6"/>
          <w:rFonts w:eastAsia="Guttman Hodes"/>
          <w:rtl/>
        </w:rPr>
      </w:r>
      <w:r w:rsidRPr="00727676">
        <w:rPr>
          <w:rStyle w:val="af6"/>
          <w:rFonts w:eastAsia="Guttman Hodes"/>
          <w:rtl/>
        </w:rPr>
        <w:fldChar w:fldCharType="separate"/>
      </w:r>
      <w:r w:rsidR="004D1C5B">
        <w:rPr>
          <w:rStyle w:val="af6"/>
          <w:rFonts w:eastAsia="Guttman Hodes"/>
          <w:cs/>
        </w:rPr>
        <w:t>‎</w:t>
      </w:r>
      <w:r w:rsidR="004D1C5B">
        <w:rPr>
          <w:rStyle w:val="af6"/>
          <w:rFonts w:eastAsia="Guttman Hodes"/>
          <w:rtl/>
        </w:rPr>
        <w:t>צג)</w:t>
      </w:r>
      <w:r w:rsidRPr="00727676">
        <w:rPr>
          <w:rStyle w:val="af6"/>
          <w:rFonts w:eastAsia="Guttman Hodes"/>
          <w:rtl/>
        </w:rPr>
        <w:fldChar w:fldCharType="end"/>
      </w:r>
      <w:r>
        <w:rPr>
          <w:rFonts w:hint="cs"/>
          <w:rtl/>
        </w:rPr>
        <w:t xml:space="preserve"> דבזה פשיטא דמותר.</w:t>
      </w:r>
      <w:bookmarkEnd w:id="10781"/>
    </w:p>
    <w:p w:rsidR="00A82F1E" w:rsidRPr="00F608C3" w:rsidRDefault="00A82F1E" w:rsidP="00A82F1E">
      <w:pPr>
        <w:pStyle w:val="a2"/>
        <w:rPr>
          <w:rtl/>
        </w:rPr>
      </w:pPr>
      <w:bookmarkStart w:id="10782" w:name="_Toc19792373"/>
      <w:r>
        <w:rPr>
          <w:rFonts w:hint="cs"/>
          <w:rtl/>
        </w:rPr>
        <w:t>דברי הגר"א דלהרמב"ם בפיהמ"ש מיושבת קושית התוס' מדברי ריו"ח בחומץ שנפל לגריסין</w:t>
      </w:r>
      <w:bookmarkEnd w:id="10782"/>
    </w:p>
    <w:p w:rsidR="00A82F1E" w:rsidRDefault="00A82F1E" w:rsidP="009F44AF">
      <w:pPr>
        <w:pStyle w:val="a"/>
        <w:rPr>
          <w:sz w:val="10"/>
          <w:szCs w:val="14"/>
          <w:rtl/>
        </w:rPr>
      </w:pPr>
      <w:bookmarkStart w:id="10783" w:name="_Ref19462533"/>
      <w:r>
        <w:rPr>
          <w:rFonts w:hint="cs"/>
          <w:rtl/>
        </w:rPr>
        <w:t xml:space="preserve">וכתב </w:t>
      </w:r>
      <w:r w:rsidRPr="00802483">
        <w:rPr>
          <w:rStyle w:val="af8"/>
          <w:rFonts w:hint="cs"/>
          <w:rtl/>
        </w:rPr>
        <w:t xml:space="preserve">הגר"א </w:t>
      </w:r>
      <w:r>
        <w:rPr>
          <w:rFonts w:hint="cs"/>
          <w:rtl/>
        </w:rPr>
        <w:t xml:space="preserve">דלפי דברי </w:t>
      </w:r>
      <w:r w:rsidRPr="00802483">
        <w:rPr>
          <w:rStyle w:val="af8"/>
          <w:rFonts w:hint="cs"/>
          <w:rtl/>
        </w:rPr>
        <w:t>הרמב"ם בפיהמ"ש</w:t>
      </w:r>
      <w:r>
        <w:rPr>
          <w:rFonts w:hint="cs"/>
          <w:rtl/>
        </w:rPr>
        <w:t xml:space="preserve"> מיושבת קושית </w:t>
      </w:r>
      <w:r w:rsidRPr="00802483">
        <w:rPr>
          <w:rStyle w:val="af8"/>
          <w:rFonts w:hint="cs"/>
          <w:rtl/>
        </w:rPr>
        <w:t>התוס'</w:t>
      </w:r>
      <w:r w:rsidRPr="00802483">
        <w:rPr>
          <w:rStyle w:val="af6"/>
          <w:rFonts w:eastAsia="Guttman Hodes" w:hint="cs"/>
          <w:rtl/>
        </w:rPr>
        <w:t xml:space="preserve"> (עי' אות </w:t>
      </w:r>
      <w:r w:rsidRPr="00802483">
        <w:rPr>
          <w:rStyle w:val="af6"/>
          <w:rFonts w:eastAsia="Guttman Hodes"/>
          <w:rtl/>
        </w:rPr>
        <w:fldChar w:fldCharType="begin"/>
      </w:r>
      <w:r w:rsidRPr="00802483">
        <w:rPr>
          <w:rStyle w:val="af6"/>
          <w:rFonts w:eastAsia="Guttman Hodes"/>
          <w:rtl/>
        </w:rPr>
        <w:instrText xml:space="preserve"> </w:instrText>
      </w:r>
      <w:r w:rsidRPr="00802483">
        <w:rPr>
          <w:rStyle w:val="af6"/>
          <w:rFonts w:eastAsia="Guttman Hodes" w:hint="cs"/>
        </w:rPr>
        <w:instrText>REF</w:instrText>
      </w:r>
      <w:r w:rsidRPr="00802483">
        <w:rPr>
          <w:rStyle w:val="af6"/>
          <w:rFonts w:eastAsia="Guttman Hodes" w:hint="cs"/>
          <w:rtl/>
        </w:rPr>
        <w:instrText xml:space="preserve"> _</w:instrText>
      </w:r>
      <w:r w:rsidRPr="00802483">
        <w:rPr>
          <w:rStyle w:val="af6"/>
          <w:rFonts w:eastAsia="Guttman Hodes" w:hint="cs"/>
        </w:rPr>
        <w:instrText>Ref19462551 \r \h</w:instrText>
      </w:r>
      <w:r w:rsidRPr="00802483">
        <w:rPr>
          <w:rStyle w:val="af6"/>
          <w:rFonts w:eastAsia="Guttman Hodes"/>
          <w:rtl/>
        </w:rPr>
        <w:instrText xml:space="preserve"> </w:instrText>
      </w:r>
      <w:r w:rsidRPr="00802483">
        <w:rPr>
          <w:rStyle w:val="af6"/>
          <w:rFonts w:eastAsia="Guttman Hodes"/>
          <w:rtl/>
        </w:rPr>
      </w:r>
      <w:r w:rsidRPr="00802483">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802483">
        <w:rPr>
          <w:rStyle w:val="af6"/>
          <w:rFonts w:eastAsia="Guttman Hodes"/>
          <w:rtl/>
        </w:rPr>
        <w:fldChar w:fldCharType="end"/>
      </w:r>
      <w:r w:rsidRPr="00802483">
        <w:rPr>
          <w:rStyle w:val="af6"/>
          <w:rFonts w:eastAsia="Guttman Hodes" w:hint="cs"/>
          <w:rtl/>
        </w:rPr>
        <w:t xml:space="preserve"> </w:t>
      </w:r>
      <w:r>
        <w:rPr>
          <w:rFonts w:hint="cs"/>
          <w:rtl/>
        </w:rPr>
        <w:t xml:space="preserve">דהקשו דהאיך אפש"ל דלריו"ח נחלקו אף בהשביח ולבסוף פגם, דא"כ אמר ריו"ח </w:t>
      </w:r>
      <w:r w:rsidRPr="001F1F6D">
        <w:rPr>
          <w:rStyle w:val="af6"/>
          <w:rFonts w:eastAsia="Guttman Hodes" w:hint="cs"/>
          <w:rtl/>
        </w:rPr>
        <w:t>(סז.)</w:t>
      </w:r>
      <w:r>
        <w:rPr>
          <w:rFonts w:hint="cs"/>
          <w:rtl/>
        </w:rPr>
        <w:t xml:space="preserve"> בחומץ שנפל לגריסין דבפגם מעיקרא מותר ובהשביח ולבסוף פגם אסור, אינו לא כר"מ ולא כר"ש, דלר"מ אף בפגום מעיקרא אסור, ולר"ש מותר אף בהשביח ולבסוף פגם, דלדעת </w:t>
      </w:r>
      <w:r w:rsidRPr="008E3EF2">
        <w:rPr>
          <w:rStyle w:val="af8"/>
          <w:rFonts w:hint="cs"/>
          <w:rtl/>
        </w:rPr>
        <w:t>הרמב"ם</w:t>
      </w:r>
      <w:r>
        <w:rPr>
          <w:rFonts w:hint="cs"/>
          <w:rtl/>
        </w:rPr>
        <w:t xml:space="preserve"> דפגום מעיקרא הוא פוגם ולבסוף משביח, א"כ לא קשה מדברי ריו"ח בחומץ שנפל לגריסין. </w:t>
      </w:r>
      <w:r w:rsidRPr="00FE2E4E">
        <w:rPr>
          <w:rStyle w:val="afa"/>
          <w:rFonts w:hint="cs"/>
          <w:rtl/>
        </w:rPr>
        <w:t xml:space="preserve">[דהיינו דכל דברי ריו"ח </w:t>
      </w:r>
      <w:r w:rsidRPr="00AE4014">
        <w:rPr>
          <w:rStyle w:val="afa"/>
          <w:rtl/>
        </w:rPr>
        <w:t>בחומץ שנפל לגריסין</w:t>
      </w:r>
      <w:r w:rsidRPr="00AE4014">
        <w:rPr>
          <w:rStyle w:val="afa"/>
          <w:rFonts w:hint="cs"/>
          <w:rtl/>
        </w:rPr>
        <w:t xml:space="preserve"> </w:t>
      </w:r>
      <w:r w:rsidRPr="00FE2E4E">
        <w:rPr>
          <w:rStyle w:val="afa"/>
          <w:rFonts w:hint="cs"/>
          <w:rtl/>
        </w:rPr>
        <w:t>הם אליבא דר"מ דהא דאמר ריו"ח דחומץ שנפל לגריסין רותחין מותר, היינו בפוגם מתחילה ועד סוף, דלדעת הרמב"ם מודה ר"מ דמותר וכסתמא דמתני', והא דאמר ריו"ח דחומץ שנפל לגריסין צוננין והרתיחן אסור, הוא כדעת ר"מ דאוסר בהשביח ולבסוף פגם].</w:t>
      </w:r>
      <w:bookmarkEnd w:id="10783"/>
    </w:p>
    <w:p w:rsidR="00A82F1E" w:rsidRDefault="00A82F1E" w:rsidP="00A82F1E">
      <w:pPr>
        <w:pStyle w:val="a2"/>
        <w:rPr>
          <w:rtl/>
        </w:rPr>
      </w:pPr>
      <w:bookmarkStart w:id="10784" w:name="_Toc19792374"/>
      <w:r>
        <w:rPr>
          <w:rFonts w:hint="cs"/>
          <w:rtl/>
        </w:rPr>
        <w:t>ביאור הגר"א דלהרמב"ם בפיהמ"ש מבוארת קושית הגמ' מיין שנפל לעדשים</w:t>
      </w:r>
      <w:bookmarkEnd w:id="10784"/>
    </w:p>
    <w:p w:rsidR="00A82F1E" w:rsidRDefault="00A82F1E" w:rsidP="009F44AF">
      <w:pPr>
        <w:pStyle w:val="a"/>
        <w:rPr>
          <w:rStyle w:val="afa"/>
          <w:rtl/>
        </w:rPr>
      </w:pPr>
      <w:r w:rsidRPr="00CD1338">
        <w:rPr>
          <w:rFonts w:hint="cs"/>
          <w:rtl/>
        </w:rPr>
        <w:t xml:space="preserve">והוסיף </w:t>
      </w:r>
      <w:r w:rsidRPr="0097158D">
        <w:rPr>
          <w:rStyle w:val="af8"/>
          <w:rFonts w:hint="cs"/>
          <w:rtl/>
        </w:rPr>
        <w:t>הגר"א</w:t>
      </w:r>
      <w:r w:rsidRPr="00CD1338">
        <w:rPr>
          <w:rFonts w:hint="cs"/>
          <w:rtl/>
        </w:rPr>
        <w:t xml:space="preserve"> </w:t>
      </w:r>
      <w:r>
        <w:rPr>
          <w:rFonts w:hint="cs"/>
          <w:rtl/>
        </w:rPr>
        <w:t xml:space="preserve">דלדברי </w:t>
      </w:r>
      <w:r w:rsidRPr="0097158D">
        <w:rPr>
          <w:rStyle w:val="af8"/>
          <w:rFonts w:hint="cs"/>
          <w:rtl/>
        </w:rPr>
        <w:t>הרמב"ם בפיהמ"ש</w:t>
      </w:r>
      <w:r>
        <w:rPr>
          <w:rFonts w:hint="cs"/>
          <w:rtl/>
        </w:rPr>
        <w:t xml:space="preserve"> מבואר אמאי עולא לא תירץ על קושית רב חגא מיין שנפל לעדשים, דהברייתא איירי בפגם ולבסוף השביח. </w:t>
      </w:r>
      <w:r w:rsidRPr="00F034EC">
        <w:rPr>
          <w:rStyle w:val="afa"/>
          <w:rFonts w:hint="cs"/>
          <w:rtl/>
        </w:rPr>
        <w:t xml:space="preserve">[והיינו דאי הביאור בדברי עולא דבפגום מעיקרא לכו"ע מותר, היינו בפגום מתחילה ועד סוף, א"כ היה עולא יכול לתרץ דהברייתא איירי בפגם ולבסוף השביח, [והביא </w:t>
      </w:r>
      <w:r w:rsidRPr="0097158D">
        <w:rPr>
          <w:rStyle w:val="affa"/>
          <w:rFonts w:hint="cs"/>
          <w:rtl/>
        </w:rPr>
        <w:t>הגר"א</w:t>
      </w:r>
      <w:r w:rsidRPr="00F034EC">
        <w:rPr>
          <w:rStyle w:val="afa"/>
          <w:rFonts w:hint="cs"/>
          <w:rtl/>
        </w:rPr>
        <w:t xml:space="preserve"> דכן מבואר בירושלמי דכן הדרך דמצטנן לבסוף ומשביח], ולא בפגום מתחילה עד סוף, אבל דלדברי </w:t>
      </w:r>
      <w:r w:rsidRPr="0097158D">
        <w:rPr>
          <w:rStyle w:val="affa"/>
          <w:rFonts w:hint="cs"/>
          <w:rtl/>
        </w:rPr>
        <w:t>הרמב"ם בפיהמ"ש</w:t>
      </w:r>
      <w:r w:rsidRPr="00F034EC">
        <w:rPr>
          <w:rStyle w:val="afa"/>
          <w:rFonts w:hint="cs"/>
          <w:rtl/>
        </w:rPr>
        <w:t xml:space="preserve"> דכוונת עולא בפגום מעיקרא לפגם ולבסוף השביח, א"כ זה גופא מה שהקשה רב חגא על עולא, דבברייתא מבואר דפליגי בכה"ג ודלא כעולא דאמר דמותר לכו"ע].</w:t>
      </w:r>
    </w:p>
    <w:p w:rsidR="00A82F1E" w:rsidRPr="005C53DE" w:rsidRDefault="00A82F1E" w:rsidP="00A82F1E">
      <w:pPr>
        <w:pStyle w:val="a2"/>
        <w:rPr>
          <w:rtl/>
        </w:rPr>
      </w:pPr>
      <w:bookmarkStart w:id="10785" w:name="_Toc19792375"/>
      <w:r>
        <w:rPr>
          <w:rFonts w:hint="cs"/>
          <w:rtl/>
        </w:rPr>
        <w:t>דברי הגר"א דהרמב"ם פסק כר"מ וכסתמא דמתני' דפגם ולבסוף השביח אסור</w:t>
      </w:r>
      <w:bookmarkEnd w:id="10785"/>
    </w:p>
    <w:p w:rsidR="00A82F1E" w:rsidRDefault="00A82F1E" w:rsidP="009F44AF">
      <w:pPr>
        <w:pStyle w:val="a"/>
        <w:rPr>
          <w:rtl/>
        </w:rPr>
      </w:pPr>
      <w:bookmarkStart w:id="10786" w:name="_Ref19780425"/>
      <w:r w:rsidRPr="00B71F50">
        <w:rPr>
          <w:rFonts w:hint="cs"/>
          <w:rtl/>
        </w:rPr>
        <w:t xml:space="preserve">וכתב </w:t>
      </w:r>
      <w:r w:rsidRPr="0097158D">
        <w:rPr>
          <w:rStyle w:val="af8"/>
          <w:rFonts w:hint="cs"/>
          <w:rtl/>
        </w:rPr>
        <w:t>הגר"א דהרמב"ם</w:t>
      </w:r>
      <w:r w:rsidRPr="00B71F50">
        <w:rPr>
          <w:rFonts w:hint="cs"/>
          <w:rtl/>
        </w:rPr>
        <w:t xml:space="preserve"> </w:t>
      </w:r>
      <w:r w:rsidRPr="00CE7F22">
        <w:rPr>
          <w:rStyle w:val="af6"/>
          <w:rFonts w:eastAsia="Guttman Hodes" w:hint="cs"/>
          <w:rtl/>
        </w:rPr>
        <w:t xml:space="preserve">(עי' אות </w:t>
      </w:r>
      <w:r w:rsidRPr="00CE7F22">
        <w:rPr>
          <w:rStyle w:val="af6"/>
          <w:rFonts w:eastAsia="Guttman Hodes"/>
          <w:rtl/>
        </w:rPr>
        <w:fldChar w:fldCharType="begin"/>
      </w:r>
      <w:r w:rsidRPr="00CE7F22">
        <w:rPr>
          <w:rStyle w:val="af6"/>
          <w:rFonts w:eastAsia="Guttman Hodes"/>
          <w:rtl/>
        </w:rPr>
        <w:instrText xml:space="preserve"> </w:instrText>
      </w:r>
      <w:r w:rsidRPr="00CE7F22">
        <w:rPr>
          <w:rStyle w:val="af6"/>
          <w:rFonts w:eastAsia="Guttman Hodes" w:hint="cs"/>
        </w:rPr>
        <w:instrText>REF</w:instrText>
      </w:r>
      <w:r w:rsidRPr="00CE7F22">
        <w:rPr>
          <w:rStyle w:val="af6"/>
          <w:rFonts w:eastAsia="Guttman Hodes" w:hint="cs"/>
          <w:rtl/>
        </w:rPr>
        <w:instrText xml:space="preserve"> _</w:instrText>
      </w:r>
      <w:r w:rsidRPr="00CE7F22">
        <w:rPr>
          <w:rStyle w:val="af6"/>
          <w:rFonts w:eastAsia="Guttman Hodes" w:hint="cs"/>
        </w:rPr>
        <w:instrText>Ref19777685 \r \h</w:instrText>
      </w:r>
      <w:r w:rsidRPr="00CE7F22">
        <w:rPr>
          <w:rStyle w:val="af6"/>
          <w:rFonts w:eastAsia="Guttman Hodes"/>
          <w:rtl/>
        </w:rPr>
        <w:instrText xml:space="preserve"> </w:instrText>
      </w:r>
      <w:r w:rsidRPr="00CE7F22">
        <w:rPr>
          <w:rStyle w:val="af6"/>
          <w:rFonts w:eastAsia="Guttman Hodes"/>
          <w:rtl/>
        </w:rPr>
      </w:r>
      <w:r w:rsidRPr="00CE7F22">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CE7F22">
        <w:rPr>
          <w:rStyle w:val="af6"/>
          <w:rFonts w:eastAsia="Guttman Hodes"/>
          <w:rtl/>
        </w:rPr>
        <w:fldChar w:fldCharType="end"/>
      </w:r>
      <w:r>
        <w:rPr>
          <w:rFonts w:hint="cs"/>
          <w:rtl/>
        </w:rPr>
        <w:t xml:space="preserve"> </w:t>
      </w:r>
      <w:r w:rsidRPr="00B71F50">
        <w:rPr>
          <w:rFonts w:hint="cs"/>
          <w:rtl/>
        </w:rPr>
        <w:t>פסק כריו"ח</w:t>
      </w:r>
      <w:r>
        <w:rPr>
          <w:rFonts w:hint="cs"/>
          <w:rtl/>
        </w:rPr>
        <w:t xml:space="preserve">, ואף להצד בגמ' דנחלקו בפגום מעיקרא, דהיינו פגם ולבסוף השביח לביאור </w:t>
      </w:r>
      <w:r w:rsidRPr="00CE7F22">
        <w:rPr>
          <w:rStyle w:val="af8"/>
          <w:rFonts w:hint="cs"/>
          <w:rtl/>
        </w:rPr>
        <w:t>הרמב"ם בפיהמ"ש</w:t>
      </w:r>
      <w:r>
        <w:rPr>
          <w:rFonts w:hint="cs"/>
          <w:rtl/>
        </w:rPr>
        <w:t xml:space="preserve">, מ"מ פסק </w:t>
      </w:r>
      <w:r w:rsidRPr="0097158D">
        <w:rPr>
          <w:rStyle w:val="af8"/>
          <w:rFonts w:hint="cs"/>
          <w:rtl/>
        </w:rPr>
        <w:t>הרמב"ם</w:t>
      </w:r>
      <w:r>
        <w:rPr>
          <w:rFonts w:hint="cs"/>
          <w:rtl/>
        </w:rPr>
        <w:t xml:space="preserve"> כמתני' לעיל </w:t>
      </w:r>
      <w:r w:rsidRPr="00CE7F22">
        <w:rPr>
          <w:rStyle w:val="af6"/>
          <w:rFonts w:eastAsia="Guttman Hodes" w:hint="cs"/>
          <w:rtl/>
        </w:rPr>
        <w:t>(סה:)</w:t>
      </w:r>
      <w:r>
        <w:rPr>
          <w:rFonts w:hint="cs"/>
          <w:rtl/>
        </w:rPr>
        <w:t xml:space="preserve"> שהיא כר"מ, [כדביאר </w:t>
      </w:r>
      <w:r w:rsidRPr="0097158D">
        <w:rPr>
          <w:rStyle w:val="af8"/>
          <w:rFonts w:hint="cs"/>
          <w:rtl/>
        </w:rPr>
        <w:t>הגר"א</w:t>
      </w:r>
      <w:r w:rsidRPr="00CE7F22">
        <w:rPr>
          <w:rStyle w:val="af6"/>
          <w:rFonts w:eastAsia="Guttman Hodes" w:hint="cs"/>
          <w:rtl/>
        </w:rPr>
        <w:t xml:space="preserve"> (עי' אות </w:t>
      </w:r>
      <w:r w:rsidRPr="00CE7F22">
        <w:rPr>
          <w:rStyle w:val="af6"/>
          <w:rFonts w:eastAsia="Guttman Hodes"/>
          <w:rtl/>
        </w:rPr>
        <w:fldChar w:fldCharType="begin"/>
      </w:r>
      <w:r w:rsidRPr="00CE7F22">
        <w:rPr>
          <w:rStyle w:val="af6"/>
          <w:rFonts w:eastAsia="Guttman Hodes"/>
          <w:rtl/>
        </w:rPr>
        <w:instrText xml:space="preserve"> </w:instrText>
      </w:r>
      <w:r w:rsidRPr="00CE7F22">
        <w:rPr>
          <w:rStyle w:val="af6"/>
          <w:rFonts w:eastAsia="Guttman Hodes" w:hint="cs"/>
        </w:rPr>
        <w:instrText>REF</w:instrText>
      </w:r>
      <w:r w:rsidRPr="00CE7F22">
        <w:rPr>
          <w:rStyle w:val="af6"/>
          <w:rFonts w:eastAsia="Guttman Hodes" w:hint="cs"/>
          <w:rtl/>
        </w:rPr>
        <w:instrText xml:space="preserve"> _</w:instrText>
      </w:r>
      <w:r w:rsidRPr="00CE7F22">
        <w:rPr>
          <w:rStyle w:val="af6"/>
          <w:rFonts w:eastAsia="Guttman Hodes" w:hint="cs"/>
        </w:rPr>
        <w:instrText>Ref19780270 \r \h</w:instrText>
      </w:r>
      <w:r w:rsidRPr="00CE7F22">
        <w:rPr>
          <w:rStyle w:val="af6"/>
          <w:rFonts w:eastAsia="Guttman Hodes"/>
          <w:rtl/>
        </w:rPr>
        <w:instrText xml:space="preserve"> </w:instrText>
      </w:r>
      <w:r w:rsidRPr="00CE7F22">
        <w:rPr>
          <w:rStyle w:val="af6"/>
          <w:rFonts w:eastAsia="Guttman Hodes"/>
          <w:rtl/>
        </w:rPr>
      </w:r>
      <w:r w:rsidRPr="00CE7F22">
        <w:rPr>
          <w:rStyle w:val="af6"/>
          <w:rFonts w:eastAsia="Guttman Hodes"/>
          <w:rtl/>
        </w:rPr>
        <w:fldChar w:fldCharType="separate"/>
      </w:r>
      <w:r w:rsidR="004D1C5B">
        <w:rPr>
          <w:rStyle w:val="af6"/>
          <w:rFonts w:eastAsia="Guttman Hodes"/>
          <w:cs/>
        </w:rPr>
        <w:t>‎</w:t>
      </w:r>
      <w:r w:rsidR="004D1C5B">
        <w:rPr>
          <w:rStyle w:val="af6"/>
          <w:rFonts w:eastAsia="Guttman Hodes"/>
          <w:rtl/>
        </w:rPr>
        <w:t>קא)</w:t>
      </w:r>
      <w:r w:rsidRPr="00CE7F22">
        <w:rPr>
          <w:rStyle w:val="af6"/>
          <w:rFonts w:eastAsia="Guttman Hodes"/>
          <w:rtl/>
        </w:rPr>
        <w:fldChar w:fldCharType="end"/>
      </w:r>
      <w:r>
        <w:rPr>
          <w:rFonts w:hint="cs"/>
          <w:rtl/>
        </w:rPr>
        <w:t xml:space="preserve"> וכ"כ </w:t>
      </w:r>
      <w:r w:rsidRPr="0097158D">
        <w:rPr>
          <w:rStyle w:val="af8"/>
          <w:rFonts w:hint="cs"/>
          <w:rtl/>
        </w:rPr>
        <w:t>הלח"מ</w:t>
      </w:r>
      <w:r>
        <w:rPr>
          <w:rFonts w:hint="cs"/>
          <w:rtl/>
        </w:rPr>
        <w:t xml:space="preserve"> </w:t>
      </w:r>
      <w:r w:rsidRPr="00CE7F22">
        <w:rPr>
          <w:rStyle w:val="af6"/>
          <w:rFonts w:eastAsia="Guttman Hodes" w:hint="cs"/>
          <w:rtl/>
        </w:rPr>
        <w:t xml:space="preserve">(עי' אות </w:t>
      </w:r>
      <w:r w:rsidRPr="00CE7F22">
        <w:rPr>
          <w:rStyle w:val="af6"/>
          <w:rFonts w:eastAsia="Guttman Hodes"/>
          <w:rtl/>
        </w:rPr>
        <w:fldChar w:fldCharType="begin"/>
      </w:r>
      <w:r w:rsidRPr="00CE7F22">
        <w:rPr>
          <w:rStyle w:val="af6"/>
          <w:rFonts w:eastAsia="Guttman Hodes"/>
          <w:rtl/>
        </w:rPr>
        <w:instrText xml:space="preserve"> </w:instrText>
      </w:r>
      <w:r w:rsidRPr="00CE7F22">
        <w:rPr>
          <w:rStyle w:val="af6"/>
          <w:rFonts w:eastAsia="Guttman Hodes" w:hint="cs"/>
        </w:rPr>
        <w:instrText>REF</w:instrText>
      </w:r>
      <w:r w:rsidRPr="00CE7F22">
        <w:rPr>
          <w:rStyle w:val="af6"/>
          <w:rFonts w:eastAsia="Guttman Hodes" w:hint="cs"/>
          <w:rtl/>
        </w:rPr>
        <w:instrText xml:space="preserve"> _</w:instrText>
      </w:r>
      <w:r w:rsidRPr="00CE7F22">
        <w:rPr>
          <w:rStyle w:val="af6"/>
          <w:rFonts w:eastAsia="Guttman Hodes" w:hint="cs"/>
        </w:rPr>
        <w:instrText>Ref19779122 \r \h</w:instrText>
      </w:r>
      <w:r w:rsidRPr="00CE7F22">
        <w:rPr>
          <w:rStyle w:val="af6"/>
          <w:rFonts w:eastAsia="Guttman Hodes"/>
          <w:rtl/>
        </w:rPr>
        <w:instrText xml:space="preserve"> </w:instrText>
      </w:r>
      <w:r w:rsidRPr="00CE7F22">
        <w:rPr>
          <w:rStyle w:val="af6"/>
          <w:rFonts w:eastAsia="Guttman Hodes"/>
          <w:rtl/>
        </w:rPr>
      </w:r>
      <w:r w:rsidRPr="00CE7F22">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CE7F22">
        <w:rPr>
          <w:rStyle w:val="af6"/>
          <w:rFonts w:eastAsia="Guttman Hodes"/>
          <w:rtl/>
        </w:rPr>
        <w:fldChar w:fldCharType="end"/>
      </w:r>
      <w:r>
        <w:rPr>
          <w:rFonts w:hint="cs"/>
          <w:rtl/>
        </w:rPr>
        <w:t>].</w:t>
      </w:r>
      <w:bookmarkEnd w:id="10786"/>
    </w:p>
    <w:p w:rsidR="00A82F1E" w:rsidRPr="00FE236B" w:rsidRDefault="00A82F1E" w:rsidP="00A82F1E">
      <w:pPr>
        <w:pStyle w:val="1"/>
        <w:rPr>
          <w:rtl/>
        </w:rPr>
      </w:pPr>
      <w:bookmarkStart w:id="10787" w:name="_Toc19792376"/>
      <w:r>
        <w:rPr>
          <w:rFonts w:hint="cs"/>
          <w:rtl/>
        </w:rPr>
        <w:t>גי' הגר"א בפיהמ"ש דרק בפגם ולבסוף השביח אסור מספק</w:t>
      </w:r>
      <w:bookmarkEnd w:id="10787"/>
    </w:p>
    <w:p w:rsidR="00A82F1E" w:rsidRPr="003D7E20" w:rsidRDefault="00A82F1E" w:rsidP="00A82F1E">
      <w:pPr>
        <w:pStyle w:val="a2"/>
        <w:rPr>
          <w:rtl/>
        </w:rPr>
      </w:pPr>
      <w:bookmarkStart w:id="10788" w:name="_Toc19792377"/>
      <w:r>
        <w:rPr>
          <w:rFonts w:hint="cs"/>
          <w:rtl/>
        </w:rPr>
        <w:t>קושית הגר"א דמפורש בגמ' דבהשביח ולבסוף פגם אסור והיאך כתב בפיהמ"ש דהוא ספק</w:t>
      </w:r>
      <w:bookmarkEnd w:id="10788"/>
    </w:p>
    <w:p w:rsidR="00A82F1E" w:rsidRDefault="00A82F1E" w:rsidP="009F44AF">
      <w:pPr>
        <w:pStyle w:val="a"/>
        <w:rPr>
          <w:rStyle w:val="afa"/>
          <w:rtl/>
        </w:rPr>
      </w:pPr>
      <w:bookmarkStart w:id="10789" w:name="_Ref19780470"/>
      <w:r>
        <w:rPr>
          <w:rFonts w:hint="cs"/>
          <w:rtl/>
        </w:rPr>
        <w:t xml:space="preserve">אך כתב </w:t>
      </w:r>
      <w:r w:rsidRPr="0097158D">
        <w:rPr>
          <w:rStyle w:val="af8"/>
          <w:rFonts w:hint="cs"/>
          <w:rtl/>
        </w:rPr>
        <w:t>הגר"א</w:t>
      </w:r>
      <w:r>
        <w:rPr>
          <w:rFonts w:hint="cs"/>
          <w:rtl/>
        </w:rPr>
        <w:t xml:space="preserve"> דיש טעות סופר בדבר </w:t>
      </w:r>
      <w:r w:rsidRPr="0097158D">
        <w:rPr>
          <w:rStyle w:val="af8"/>
          <w:rFonts w:hint="cs"/>
          <w:rtl/>
        </w:rPr>
        <w:t>הרמב"ם בפיהמ"ש</w:t>
      </w:r>
      <w:r>
        <w:rPr>
          <w:rFonts w:hint="cs"/>
          <w:rtl/>
        </w:rPr>
        <w:t xml:space="preserve"> </w:t>
      </w:r>
      <w:r w:rsidRPr="00FE236B">
        <w:rPr>
          <w:rStyle w:val="af6"/>
          <w:rFonts w:eastAsia="Guttman Hodes" w:hint="cs"/>
          <w:rtl/>
        </w:rPr>
        <w:t xml:space="preserve">(עי' אות </w:t>
      </w:r>
      <w:r w:rsidRPr="00FE236B">
        <w:rPr>
          <w:rStyle w:val="af6"/>
          <w:rFonts w:eastAsia="Guttman Hodes"/>
          <w:rtl/>
        </w:rPr>
        <w:fldChar w:fldCharType="begin"/>
      </w:r>
      <w:r w:rsidRPr="00FE236B">
        <w:rPr>
          <w:rStyle w:val="af6"/>
          <w:rFonts w:eastAsia="Guttman Hodes"/>
          <w:rtl/>
        </w:rPr>
        <w:instrText xml:space="preserve"> </w:instrText>
      </w:r>
      <w:r w:rsidRPr="00FE236B">
        <w:rPr>
          <w:rStyle w:val="af6"/>
          <w:rFonts w:eastAsia="Guttman Hodes" w:hint="cs"/>
        </w:rPr>
        <w:instrText>REF</w:instrText>
      </w:r>
      <w:r w:rsidRPr="00FE236B">
        <w:rPr>
          <w:rStyle w:val="af6"/>
          <w:rFonts w:eastAsia="Guttman Hodes" w:hint="cs"/>
          <w:rtl/>
        </w:rPr>
        <w:instrText xml:space="preserve"> _</w:instrText>
      </w:r>
      <w:r w:rsidRPr="00FE236B">
        <w:rPr>
          <w:rStyle w:val="af6"/>
          <w:rFonts w:eastAsia="Guttman Hodes" w:hint="cs"/>
        </w:rPr>
        <w:instrText>Ref19778761 \r \h</w:instrText>
      </w:r>
      <w:r w:rsidRPr="00FE236B">
        <w:rPr>
          <w:rStyle w:val="af6"/>
          <w:rFonts w:eastAsia="Guttman Hodes"/>
          <w:rtl/>
        </w:rPr>
        <w:instrText xml:space="preserve"> </w:instrText>
      </w:r>
      <w:r w:rsidRPr="00FE236B">
        <w:rPr>
          <w:rStyle w:val="af6"/>
          <w:rFonts w:eastAsia="Guttman Hodes"/>
          <w:rtl/>
        </w:rPr>
      </w:r>
      <w:r w:rsidRPr="00FE236B">
        <w:rPr>
          <w:rStyle w:val="af6"/>
          <w:rFonts w:eastAsia="Guttman Hodes"/>
          <w:rtl/>
        </w:rPr>
        <w:fldChar w:fldCharType="separate"/>
      </w:r>
      <w:r w:rsidR="004D1C5B">
        <w:rPr>
          <w:rStyle w:val="af6"/>
          <w:rFonts w:eastAsia="Guttman Hodes"/>
          <w:cs/>
        </w:rPr>
        <w:t>‎</w:t>
      </w:r>
      <w:r w:rsidR="004D1C5B">
        <w:rPr>
          <w:rStyle w:val="af6"/>
          <w:rFonts w:eastAsia="Guttman Hodes"/>
          <w:rtl/>
        </w:rPr>
        <w:t>צג)</w:t>
      </w:r>
      <w:r w:rsidRPr="00FE236B">
        <w:rPr>
          <w:rStyle w:val="af6"/>
          <w:rFonts w:eastAsia="Guttman Hodes"/>
          <w:rtl/>
        </w:rPr>
        <w:fldChar w:fldCharType="end"/>
      </w:r>
      <w:r>
        <w:rPr>
          <w:rFonts w:hint="cs"/>
          <w:rtl/>
        </w:rPr>
        <w:t xml:space="preserve"> במ"ש דבהשביח ולבסוף פגם ופגום מעיקרא דהיינו פגם ולבסוף השביח, לא מבואר בגמ' מי מהם אסור ומי מהם מותר, דהרי בגמ' מפורש להדיא דבהשביח ולבסוף פגם אסור, ועוד הקשה </w:t>
      </w:r>
      <w:r w:rsidRPr="00977B2F">
        <w:rPr>
          <w:rStyle w:val="af8"/>
          <w:rFonts w:hint="cs"/>
          <w:rtl/>
        </w:rPr>
        <w:t>הגר"א</w:t>
      </w:r>
      <w:r>
        <w:rPr>
          <w:rFonts w:hint="cs"/>
          <w:rtl/>
        </w:rPr>
        <w:t xml:space="preserve"> דמדכתב </w:t>
      </w:r>
      <w:r w:rsidRPr="00486F16">
        <w:rPr>
          <w:rStyle w:val="af8"/>
          <w:rFonts w:hint="cs"/>
          <w:rtl/>
        </w:rPr>
        <w:t>הרמב"ם</w:t>
      </w:r>
      <w:r>
        <w:rPr>
          <w:rFonts w:hint="cs"/>
          <w:rtl/>
        </w:rPr>
        <w:t xml:space="preserve"> דלא מבואר מי מהם אסור, א"כ משמע שיש סברא להקל בהשביח ולבסוף פגם, יותר מפגם ולבסוף השביח, והרי אין מ"ד דס"ל כן. </w:t>
      </w:r>
      <w:r w:rsidRPr="000B78FC">
        <w:rPr>
          <w:rStyle w:val="afa"/>
          <w:rFonts w:hint="cs"/>
          <w:rtl/>
        </w:rPr>
        <w:t xml:space="preserve">[דלדעת עולא </w:t>
      </w:r>
      <w:r>
        <w:rPr>
          <w:rStyle w:val="afa"/>
          <w:rFonts w:hint="cs"/>
          <w:rtl/>
        </w:rPr>
        <w:t>בפגם</w:t>
      </w:r>
      <w:r w:rsidRPr="000B78FC">
        <w:rPr>
          <w:rStyle w:val="afa"/>
          <w:rFonts w:hint="cs"/>
          <w:rtl/>
        </w:rPr>
        <w:t xml:space="preserve"> ולבסוף </w:t>
      </w:r>
      <w:r>
        <w:rPr>
          <w:rStyle w:val="afa"/>
          <w:rFonts w:hint="cs"/>
          <w:rtl/>
        </w:rPr>
        <w:t>השביח</w:t>
      </w:r>
      <w:r w:rsidRPr="000B78FC">
        <w:rPr>
          <w:rStyle w:val="afa"/>
          <w:rFonts w:hint="cs"/>
          <w:rtl/>
        </w:rPr>
        <w:t xml:space="preserve"> </w:t>
      </w:r>
      <w:r>
        <w:rPr>
          <w:rStyle w:val="afa"/>
          <w:rFonts w:hint="cs"/>
          <w:rtl/>
        </w:rPr>
        <w:t xml:space="preserve">דהיינו פגום </w:t>
      </w:r>
      <w:r w:rsidRPr="000B78FC">
        <w:rPr>
          <w:rStyle w:val="afa"/>
          <w:rFonts w:hint="cs"/>
          <w:rtl/>
        </w:rPr>
        <w:t>מעיקרא מותר לכו"ע, וב</w:t>
      </w:r>
      <w:r>
        <w:rPr>
          <w:rStyle w:val="afa"/>
          <w:rFonts w:hint="cs"/>
          <w:rtl/>
        </w:rPr>
        <w:t xml:space="preserve">השביח </w:t>
      </w:r>
      <w:r w:rsidRPr="000B78FC">
        <w:rPr>
          <w:rStyle w:val="afa"/>
          <w:rFonts w:hint="cs"/>
          <w:rtl/>
        </w:rPr>
        <w:t xml:space="preserve">ולבסוף </w:t>
      </w:r>
      <w:r>
        <w:rPr>
          <w:rStyle w:val="afa"/>
          <w:rFonts w:hint="cs"/>
          <w:rtl/>
        </w:rPr>
        <w:t>פגם</w:t>
      </w:r>
      <w:r w:rsidRPr="000B78FC">
        <w:rPr>
          <w:rStyle w:val="afa"/>
          <w:rFonts w:hint="cs"/>
          <w:rtl/>
        </w:rPr>
        <w:t xml:space="preserve"> מותר רק לר"ש, ולדעת ריו"ח מסתפקת הגמ' האם ר"ש מתיר רק בפגם ולבסוף השביח, או גם בהשביח ולבסוף פגם, אך אין מ"ד דס"ל דמותר בהשביח ולבסוף פגם ולא בפגם ולבסוף השביח].</w:t>
      </w:r>
      <w:bookmarkEnd w:id="10789"/>
    </w:p>
    <w:p w:rsidR="00A82F1E" w:rsidRDefault="00A82F1E" w:rsidP="00A82F1E">
      <w:pPr>
        <w:pStyle w:val="a2"/>
        <w:rPr>
          <w:rtl/>
        </w:rPr>
      </w:pPr>
      <w:bookmarkStart w:id="10790" w:name="_Toc19792378"/>
      <w:r>
        <w:rPr>
          <w:rFonts w:hint="cs"/>
          <w:rtl/>
        </w:rPr>
        <w:t>גירסת הגר"א בפיהמ"ש דרק בפגם ולבסוף השביח לא התברר בגמ' ואסור מספק</w:t>
      </w:r>
      <w:bookmarkEnd w:id="10790"/>
    </w:p>
    <w:p w:rsidR="00A82F1E" w:rsidRDefault="00A82F1E" w:rsidP="009F44AF">
      <w:pPr>
        <w:pStyle w:val="a"/>
        <w:rPr>
          <w:rtl/>
        </w:rPr>
      </w:pPr>
      <w:r>
        <w:rPr>
          <w:rFonts w:hint="cs"/>
          <w:rtl/>
        </w:rPr>
        <w:t xml:space="preserve">אלא כתב </w:t>
      </w:r>
      <w:r w:rsidRPr="005A0D83">
        <w:rPr>
          <w:rStyle w:val="af8"/>
          <w:rFonts w:hint="cs"/>
          <w:rtl/>
        </w:rPr>
        <w:t xml:space="preserve">הגר"א </w:t>
      </w:r>
      <w:r>
        <w:rPr>
          <w:rFonts w:hint="cs"/>
          <w:rtl/>
        </w:rPr>
        <w:t xml:space="preserve">דצריך לגרוס בדברי </w:t>
      </w:r>
      <w:r w:rsidRPr="005A0D83">
        <w:rPr>
          <w:rStyle w:val="af8"/>
          <w:rFonts w:hint="cs"/>
          <w:rtl/>
        </w:rPr>
        <w:t xml:space="preserve">הרמב"ם בפיהמ"ש </w:t>
      </w:r>
      <w:r>
        <w:rPr>
          <w:rFonts w:hint="cs"/>
          <w:rtl/>
        </w:rPr>
        <w:t xml:space="preserve">דרק בפגם ולבסוף השביח לא התברר בגמ' ולכן פסק </w:t>
      </w:r>
      <w:r w:rsidRPr="005A0D83">
        <w:rPr>
          <w:rStyle w:val="af8"/>
          <w:rFonts w:hint="cs"/>
          <w:rtl/>
        </w:rPr>
        <w:t xml:space="preserve">הרמב"ם </w:t>
      </w:r>
      <w:r>
        <w:rPr>
          <w:rFonts w:hint="cs"/>
          <w:rtl/>
        </w:rPr>
        <w:t>כר"מ דבין בהשביח ולבסוף פגם ובין בפגם ולבסוף השביח אסור, עיי"ש בדבריו.</w:t>
      </w:r>
    </w:p>
    <w:p w:rsidR="00A82F1E" w:rsidRDefault="00A82F1E" w:rsidP="00A82F1E">
      <w:pPr>
        <w:pStyle w:val="a2"/>
        <w:rPr>
          <w:rtl/>
        </w:rPr>
      </w:pPr>
      <w:bookmarkStart w:id="10791" w:name="_Toc19792379"/>
      <w:r>
        <w:rPr>
          <w:rFonts w:hint="cs"/>
          <w:rtl/>
        </w:rPr>
        <w:t>דברי הגר"א דפשטות הגמ' והירושלמי דפגום מעיקרא הוא פגום מתחילה ועד סוף ולא כפיהמ"ש</w:t>
      </w:r>
      <w:bookmarkEnd w:id="10791"/>
    </w:p>
    <w:p w:rsidR="00A82F1E" w:rsidRDefault="00A82F1E" w:rsidP="009F44AF">
      <w:pPr>
        <w:pStyle w:val="a"/>
        <w:rPr>
          <w:rtl/>
        </w:rPr>
      </w:pPr>
      <w:r>
        <w:rPr>
          <w:rFonts w:hint="cs"/>
          <w:rtl/>
        </w:rPr>
        <w:t xml:space="preserve">אך כתב </w:t>
      </w:r>
      <w:r w:rsidRPr="005A0D83">
        <w:rPr>
          <w:rStyle w:val="af8"/>
          <w:rFonts w:hint="cs"/>
          <w:rtl/>
        </w:rPr>
        <w:t>הגר"א</w:t>
      </w:r>
      <w:r>
        <w:rPr>
          <w:rFonts w:hint="cs"/>
          <w:rtl/>
        </w:rPr>
        <w:t xml:space="preserve"> דפשטות הגמ' בסוגיין, וכן פשטות דברי הירושלמי לא משמע כביאור </w:t>
      </w:r>
      <w:r w:rsidRPr="005A0D83">
        <w:rPr>
          <w:rStyle w:val="af8"/>
          <w:rFonts w:hint="cs"/>
          <w:rtl/>
        </w:rPr>
        <w:t>הרמב"ם בפיהמ"ש</w:t>
      </w:r>
      <w:r>
        <w:rPr>
          <w:rStyle w:val="af8"/>
          <w:rFonts w:hint="cs"/>
          <w:rtl/>
        </w:rPr>
        <w:t xml:space="preserve"> </w:t>
      </w:r>
      <w:r w:rsidRPr="00330CFD">
        <w:rPr>
          <w:rStyle w:val="af6"/>
          <w:rFonts w:eastAsia="Guttman Hodes" w:hint="cs"/>
          <w:rtl/>
        </w:rPr>
        <w:t xml:space="preserve">(עי' אות </w:t>
      </w:r>
      <w:r w:rsidRPr="00330CFD">
        <w:rPr>
          <w:rStyle w:val="af6"/>
          <w:rFonts w:eastAsia="Guttman Hodes"/>
          <w:rtl/>
        </w:rPr>
        <w:fldChar w:fldCharType="begin"/>
      </w:r>
      <w:r w:rsidRPr="00330CFD">
        <w:rPr>
          <w:rStyle w:val="af6"/>
          <w:rFonts w:eastAsia="Guttman Hodes"/>
          <w:rtl/>
        </w:rPr>
        <w:instrText xml:space="preserve"> </w:instrText>
      </w:r>
      <w:r w:rsidRPr="00330CFD">
        <w:rPr>
          <w:rStyle w:val="af6"/>
          <w:rFonts w:eastAsia="Guttman Hodes" w:hint="cs"/>
        </w:rPr>
        <w:instrText>REF</w:instrText>
      </w:r>
      <w:r w:rsidRPr="00330CFD">
        <w:rPr>
          <w:rStyle w:val="af6"/>
          <w:rFonts w:eastAsia="Guttman Hodes" w:hint="cs"/>
          <w:rtl/>
        </w:rPr>
        <w:instrText xml:space="preserve"> _</w:instrText>
      </w:r>
      <w:r w:rsidRPr="00330CFD">
        <w:rPr>
          <w:rStyle w:val="af6"/>
          <w:rFonts w:eastAsia="Guttman Hodes" w:hint="cs"/>
        </w:rPr>
        <w:instrText>Ref19735946 \r \h</w:instrText>
      </w:r>
      <w:r w:rsidRPr="00330CFD">
        <w:rPr>
          <w:rStyle w:val="af6"/>
          <w:rFonts w:eastAsia="Guttman Hodes"/>
          <w:rtl/>
        </w:rPr>
        <w:instrText xml:space="preserve"> </w:instrText>
      </w:r>
      <w:r w:rsidRPr="00330CFD">
        <w:rPr>
          <w:rStyle w:val="af6"/>
          <w:rFonts w:eastAsia="Guttman Hodes"/>
          <w:rtl/>
        </w:rPr>
      </w:r>
      <w:r w:rsidRPr="00330CFD">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330CFD">
        <w:rPr>
          <w:rStyle w:val="af6"/>
          <w:rFonts w:eastAsia="Guttman Hodes"/>
          <w:rtl/>
        </w:rPr>
        <w:fldChar w:fldCharType="end"/>
      </w:r>
      <w:r w:rsidRPr="00330CFD">
        <w:rPr>
          <w:rFonts w:hint="cs"/>
          <w:rtl/>
        </w:rPr>
        <w:t xml:space="preserve">, דפגום מעיקרא היינו פגם ולבסוף השביח, </w:t>
      </w:r>
      <w:r>
        <w:rPr>
          <w:rFonts w:hint="cs"/>
          <w:rtl/>
        </w:rPr>
        <w:t xml:space="preserve">אלא כביאור </w:t>
      </w:r>
      <w:r w:rsidRPr="00330CFD">
        <w:rPr>
          <w:rStyle w:val="af8"/>
          <w:rFonts w:hint="cs"/>
          <w:rtl/>
        </w:rPr>
        <w:t>רש"י</w:t>
      </w:r>
      <w:r>
        <w:rPr>
          <w:rFonts w:hint="cs"/>
          <w:rtl/>
        </w:rPr>
        <w:t xml:space="preserve"> </w:t>
      </w:r>
      <w:r w:rsidRPr="00330CFD">
        <w:rPr>
          <w:rStyle w:val="af6"/>
          <w:rFonts w:eastAsia="Guttman Hodes" w:hint="cs"/>
          <w:rtl/>
        </w:rPr>
        <w:t xml:space="preserve">(עי' אות </w:t>
      </w:r>
      <w:r w:rsidRPr="00330CFD">
        <w:rPr>
          <w:rStyle w:val="af6"/>
          <w:rFonts w:eastAsia="Guttman Hodes"/>
          <w:rtl/>
        </w:rPr>
        <w:fldChar w:fldCharType="begin"/>
      </w:r>
      <w:r w:rsidRPr="00330CFD">
        <w:rPr>
          <w:rStyle w:val="af6"/>
          <w:rFonts w:eastAsia="Guttman Hodes"/>
          <w:rtl/>
        </w:rPr>
        <w:instrText xml:space="preserve"> </w:instrText>
      </w:r>
      <w:r w:rsidRPr="00330CFD">
        <w:rPr>
          <w:rStyle w:val="af6"/>
          <w:rFonts w:eastAsia="Guttman Hodes" w:hint="cs"/>
        </w:rPr>
        <w:instrText>REF</w:instrText>
      </w:r>
      <w:r w:rsidRPr="00330CFD">
        <w:rPr>
          <w:rStyle w:val="af6"/>
          <w:rFonts w:eastAsia="Guttman Hodes" w:hint="cs"/>
          <w:rtl/>
        </w:rPr>
        <w:instrText xml:space="preserve"> _</w:instrText>
      </w:r>
      <w:r w:rsidRPr="00330CFD">
        <w:rPr>
          <w:rStyle w:val="af6"/>
          <w:rFonts w:eastAsia="Guttman Hodes" w:hint="cs"/>
        </w:rPr>
        <w:instrText>Ref19779890 \r \h</w:instrText>
      </w:r>
      <w:r w:rsidRPr="00330CFD">
        <w:rPr>
          <w:rStyle w:val="af6"/>
          <w:rFonts w:eastAsia="Guttman Hodes"/>
          <w:rtl/>
        </w:rPr>
        <w:instrText xml:space="preserve"> </w:instrText>
      </w:r>
      <w:r w:rsidRPr="00330CFD">
        <w:rPr>
          <w:rStyle w:val="af6"/>
          <w:rFonts w:eastAsia="Guttman Hodes"/>
          <w:rtl/>
        </w:rPr>
      </w:r>
      <w:r w:rsidRPr="00330CFD">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330CFD">
        <w:rPr>
          <w:rStyle w:val="af6"/>
          <w:rFonts w:eastAsia="Guttman Hodes"/>
          <w:rtl/>
        </w:rPr>
        <w:fldChar w:fldCharType="end"/>
      </w:r>
      <w:r>
        <w:rPr>
          <w:rFonts w:hint="cs"/>
          <w:rtl/>
        </w:rPr>
        <w:t xml:space="preserve"> דפגום מעיקרא הוא פגום מתחילה ועד סוף, עיי"ש בדבריו.</w:t>
      </w:r>
    </w:p>
    <w:p w:rsidR="00A82F1E" w:rsidRDefault="00A82F1E" w:rsidP="00A82F1E">
      <w:pPr>
        <w:pStyle w:val="1"/>
        <w:rPr>
          <w:rtl/>
        </w:rPr>
      </w:pPr>
      <w:bookmarkStart w:id="10792" w:name="_Toc19792380"/>
      <w:r>
        <w:rPr>
          <w:rFonts w:hint="cs"/>
          <w:rtl/>
        </w:rPr>
        <w:t>ביאור הפרי תאר בפיהמ"ש דיש ספק בביאור פגום מעיקרא</w:t>
      </w:r>
      <w:bookmarkEnd w:id="10792"/>
    </w:p>
    <w:p w:rsidR="00A82F1E" w:rsidRPr="00D01376" w:rsidRDefault="00A82F1E" w:rsidP="00A82F1E">
      <w:pPr>
        <w:pStyle w:val="a2"/>
      </w:pPr>
      <w:bookmarkStart w:id="10793" w:name="_Toc19792381"/>
      <w:r>
        <w:rPr>
          <w:rFonts w:hint="cs"/>
          <w:rtl/>
        </w:rPr>
        <w:t>דברי הפרי תאר דיש צד לומר דמסברא השביח ולבסוף פגם חמור דכבר חל עליו איסור</w:t>
      </w:r>
      <w:bookmarkEnd w:id="10793"/>
    </w:p>
    <w:p w:rsidR="00A82F1E" w:rsidRDefault="00A82F1E" w:rsidP="009F44AF">
      <w:pPr>
        <w:pStyle w:val="a"/>
        <w:rPr>
          <w:rtl/>
        </w:rPr>
      </w:pPr>
      <w:bookmarkStart w:id="10794" w:name="_Ref19813338"/>
      <w:r>
        <w:rPr>
          <w:rFonts w:hint="cs"/>
          <w:rtl/>
        </w:rPr>
        <w:t xml:space="preserve">במ"ש </w:t>
      </w:r>
      <w:r w:rsidRPr="00A82ED2">
        <w:rPr>
          <w:rStyle w:val="af8"/>
          <w:rFonts w:hint="cs"/>
          <w:rtl/>
        </w:rPr>
        <w:t>הרמב"ם בפיהמ"ש</w:t>
      </w:r>
      <w:r>
        <w:rPr>
          <w:rFonts w:hint="cs"/>
          <w:rtl/>
        </w:rPr>
        <w:t xml:space="preserve"> </w:t>
      </w:r>
      <w:r w:rsidRPr="008F253D">
        <w:rPr>
          <w:rStyle w:val="af6"/>
          <w:rFonts w:eastAsia="Guttman Hodes" w:hint="cs"/>
          <w:rtl/>
        </w:rPr>
        <w:t xml:space="preserve">(עי' אות </w:t>
      </w:r>
      <w:r w:rsidRPr="008F253D">
        <w:rPr>
          <w:rStyle w:val="af6"/>
          <w:rFonts w:eastAsia="Guttman Hodes"/>
          <w:rtl/>
        </w:rPr>
        <w:fldChar w:fldCharType="begin"/>
      </w:r>
      <w:r w:rsidRPr="008F253D">
        <w:rPr>
          <w:rStyle w:val="af6"/>
          <w:rFonts w:eastAsia="Guttman Hodes"/>
          <w:rtl/>
        </w:rPr>
        <w:instrText xml:space="preserve"> </w:instrText>
      </w:r>
      <w:r w:rsidRPr="008F253D">
        <w:rPr>
          <w:rStyle w:val="af6"/>
          <w:rFonts w:eastAsia="Guttman Hodes" w:hint="cs"/>
        </w:rPr>
        <w:instrText>REF</w:instrText>
      </w:r>
      <w:r w:rsidRPr="008F253D">
        <w:rPr>
          <w:rStyle w:val="af6"/>
          <w:rFonts w:eastAsia="Guttman Hodes" w:hint="cs"/>
          <w:rtl/>
        </w:rPr>
        <w:instrText xml:space="preserve"> _</w:instrText>
      </w:r>
      <w:r w:rsidRPr="008F253D">
        <w:rPr>
          <w:rStyle w:val="af6"/>
          <w:rFonts w:eastAsia="Guttman Hodes" w:hint="cs"/>
        </w:rPr>
        <w:instrText>Ref19735946 \r \h</w:instrText>
      </w:r>
      <w:r w:rsidRPr="008F253D">
        <w:rPr>
          <w:rStyle w:val="af6"/>
          <w:rFonts w:eastAsia="Guttman Hodes"/>
          <w:rtl/>
        </w:rPr>
        <w:instrText xml:space="preserve"> </w:instrText>
      </w:r>
      <w:r w:rsidRPr="008F253D">
        <w:rPr>
          <w:rStyle w:val="af6"/>
          <w:rFonts w:eastAsia="Guttman Hodes"/>
          <w:rtl/>
        </w:rPr>
      </w:r>
      <w:r w:rsidRPr="008F253D">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8F253D">
        <w:rPr>
          <w:rStyle w:val="af6"/>
          <w:rFonts w:eastAsia="Guttman Hodes"/>
          <w:rtl/>
        </w:rPr>
        <w:fldChar w:fldCharType="end"/>
      </w:r>
      <w:r w:rsidRPr="008F253D">
        <w:rPr>
          <w:rStyle w:val="af6"/>
          <w:rFonts w:eastAsia="Guttman Hodes" w:hint="cs"/>
          <w:rtl/>
        </w:rPr>
        <w:t xml:space="preserve"> </w:t>
      </w:r>
      <w:r>
        <w:rPr>
          <w:rFonts w:hint="cs"/>
          <w:rtl/>
        </w:rPr>
        <w:t>דכתב</w:t>
      </w:r>
      <w:r w:rsidRPr="005A0D83">
        <w:rPr>
          <w:rFonts w:hint="cs"/>
          <w:rtl/>
        </w:rPr>
        <w:t xml:space="preserve"> </w:t>
      </w:r>
      <w:r>
        <w:rPr>
          <w:rFonts w:hint="cs"/>
          <w:rtl/>
        </w:rPr>
        <w:t xml:space="preserve">דבהשביח ולבסוף פגם ופגום מעיקרא דהיינו פגם ולבסוף השביח, לא מבואר בגמ' מי מהם אסור ומי מהם מותר,  ביאר </w:t>
      </w:r>
      <w:r>
        <w:rPr>
          <w:rStyle w:val="af8"/>
          <w:rFonts w:hint="cs"/>
          <w:rtl/>
        </w:rPr>
        <w:t>ה</w:t>
      </w:r>
      <w:r w:rsidRPr="00A82ED2">
        <w:rPr>
          <w:rStyle w:val="af8"/>
          <w:rFonts w:hint="cs"/>
          <w:rtl/>
        </w:rPr>
        <w:t>פרי תאר</w:t>
      </w:r>
      <w:r>
        <w:rPr>
          <w:rFonts w:hint="cs"/>
          <w:rtl/>
        </w:rPr>
        <w:t xml:space="preserve"> [</w:t>
      </w:r>
      <w:r w:rsidRPr="00A82ED2">
        <w:rPr>
          <w:rStyle w:val="af8"/>
          <w:rFonts w:hint="cs"/>
          <w:rtl/>
        </w:rPr>
        <w:t>לבעל האוה"ח</w:t>
      </w:r>
      <w:r>
        <w:rPr>
          <w:rFonts w:hint="cs"/>
          <w:rtl/>
        </w:rPr>
        <w:t xml:space="preserve">] </w:t>
      </w:r>
      <w:r w:rsidRPr="00A82ED2">
        <w:rPr>
          <w:rStyle w:val="af6"/>
          <w:rFonts w:eastAsia="Guttman Hodes" w:hint="cs"/>
          <w:rtl/>
        </w:rPr>
        <w:t>(סי' ק"ג סק"ה ד"ה נראה ליישב)</w:t>
      </w:r>
      <w:r>
        <w:rPr>
          <w:rFonts w:hint="cs"/>
          <w:rtl/>
        </w:rPr>
        <w:t xml:space="preserve"> דיש צד לומר דהשביח ואח"כ פגם חמור יותר, דכיון שהשביח בתחילה וכבר חל עליו איסור, הוא חמור יותר מפגם בתחילה שעדיין לא חל עליו האיסור.</w:t>
      </w:r>
      <w:bookmarkEnd w:id="10794"/>
    </w:p>
    <w:p w:rsidR="00A82F1E" w:rsidRPr="00E74CCD" w:rsidRDefault="00A82F1E" w:rsidP="00A82F1E">
      <w:pPr>
        <w:pStyle w:val="a2"/>
      </w:pPr>
      <w:bookmarkStart w:id="10795" w:name="_Toc19792382"/>
      <w:r>
        <w:rPr>
          <w:rFonts w:hint="cs"/>
          <w:rtl/>
        </w:rPr>
        <w:t>דברי הפרי תאר דיש צד לומר דמסברא פגם ולבסוף השביח חמור דהתברר שלא חשיב פגם</w:t>
      </w:r>
      <w:bookmarkEnd w:id="10795"/>
    </w:p>
    <w:p w:rsidR="00A82F1E" w:rsidRDefault="00A82F1E" w:rsidP="009F44AF">
      <w:pPr>
        <w:pStyle w:val="a"/>
        <w:rPr>
          <w:rtl/>
        </w:rPr>
      </w:pPr>
      <w:r>
        <w:rPr>
          <w:rFonts w:hint="cs"/>
          <w:rtl/>
        </w:rPr>
        <w:t xml:space="preserve">אך כתב </w:t>
      </w:r>
      <w:r w:rsidRPr="00A82ED2">
        <w:rPr>
          <w:rStyle w:val="af8"/>
          <w:rFonts w:hint="cs"/>
          <w:rtl/>
        </w:rPr>
        <w:t>הפרי תאר</w:t>
      </w:r>
      <w:r>
        <w:rPr>
          <w:rFonts w:hint="cs"/>
          <w:rtl/>
        </w:rPr>
        <w:t xml:space="preserve"> דיש צד לומר להיפך דפגם ולבסוף השביח הוא חמור יותר, דעיקר הטעם הוא לפי מה הוא עומד להיות לבסוף, וכיון שבסופו הוא משביח א"כ איגלאי מילתא דהפגם שהיה בתחילה אינו פגם, דהעיקר הוא לפי סופו ככל תבשיל דמצטמק ויפה לו, אבל בהשביח ולבסוף פגם, דהשבח שבתחילה אינו שבח כיון שעומד להפגם.</w:t>
      </w:r>
    </w:p>
    <w:p w:rsidR="00A82F1E" w:rsidRDefault="00A82F1E" w:rsidP="00A82F1E">
      <w:pPr>
        <w:pStyle w:val="a2"/>
        <w:rPr>
          <w:rtl/>
        </w:rPr>
      </w:pPr>
      <w:bookmarkStart w:id="10796" w:name="_Toc19792383"/>
      <w:r>
        <w:rPr>
          <w:rFonts w:hint="cs"/>
          <w:rtl/>
        </w:rPr>
        <w:t>ביאור הפרי תאר דלצד דפגם ולבסוף השביח חמור כוונת עולא דפגם מתחילה ועד סוף אסור</w:t>
      </w:r>
      <w:bookmarkEnd w:id="10796"/>
    </w:p>
    <w:p w:rsidR="00A82F1E" w:rsidRDefault="00A82F1E" w:rsidP="009F44AF">
      <w:pPr>
        <w:pStyle w:val="a"/>
        <w:rPr>
          <w:rtl/>
        </w:rPr>
      </w:pPr>
      <w:bookmarkStart w:id="10797" w:name="_Ref19812542"/>
      <w:r>
        <w:rPr>
          <w:rFonts w:hint="cs"/>
          <w:rtl/>
        </w:rPr>
        <w:t xml:space="preserve">וכתב </w:t>
      </w:r>
      <w:r w:rsidRPr="00423E82">
        <w:rPr>
          <w:rStyle w:val="af8"/>
          <w:rFonts w:hint="cs"/>
          <w:rtl/>
        </w:rPr>
        <w:t>הפרי תואר</w:t>
      </w:r>
      <w:r>
        <w:rPr>
          <w:rFonts w:hint="cs"/>
          <w:rtl/>
        </w:rPr>
        <w:t xml:space="preserve"> דזו כוונת </w:t>
      </w:r>
      <w:r w:rsidRPr="00423E82">
        <w:rPr>
          <w:rStyle w:val="af8"/>
          <w:rFonts w:hint="cs"/>
          <w:rtl/>
        </w:rPr>
        <w:t>הרמב"ם בפיהמ"ש</w:t>
      </w:r>
      <w:r>
        <w:rPr>
          <w:rFonts w:hint="cs"/>
          <w:rtl/>
        </w:rPr>
        <w:t xml:space="preserve"> שאפשר לפרש את הגמ' ככל אחת מהסברות הללו, דאי נימא דפגם ולבסוף משביח </w:t>
      </w:r>
      <w:r>
        <w:rPr>
          <w:rFonts w:hint="cs"/>
          <w:rtl/>
        </w:rPr>
        <w:lastRenderedPageBreak/>
        <w:t xml:space="preserve">הוא חמור יותר, א"כ הא דאמר עולא דהמחלוקת היא בהשביח ולבסוף פגם, א"כ מבואר דפגם ולבסוף השביח לכו"ע אסור, וא"כ מה שאמר עולא דפגום מעיקרא לכו"ע מותר, אין כוונתו כביאור </w:t>
      </w:r>
      <w:r w:rsidRPr="00E333FF">
        <w:rPr>
          <w:rStyle w:val="af8"/>
          <w:rFonts w:hint="cs"/>
          <w:rtl/>
        </w:rPr>
        <w:t>הרמב"ם בפיהמ"ש</w:t>
      </w:r>
      <w:r>
        <w:rPr>
          <w:rFonts w:hint="cs"/>
          <w:rtl/>
        </w:rPr>
        <w:t xml:space="preserve"> </w:t>
      </w:r>
      <w:r w:rsidRPr="00E333FF">
        <w:rPr>
          <w:rStyle w:val="af6"/>
          <w:rFonts w:eastAsia="Guttman Hodes" w:hint="cs"/>
          <w:rtl/>
        </w:rPr>
        <w:t xml:space="preserve">(עי' אות </w:t>
      </w:r>
      <w:r w:rsidRPr="00E333FF">
        <w:rPr>
          <w:rStyle w:val="af6"/>
          <w:rFonts w:eastAsia="Guttman Hodes"/>
          <w:rtl/>
        </w:rPr>
        <w:fldChar w:fldCharType="begin"/>
      </w:r>
      <w:r w:rsidRPr="00E333FF">
        <w:rPr>
          <w:rStyle w:val="af6"/>
          <w:rFonts w:eastAsia="Guttman Hodes"/>
          <w:rtl/>
        </w:rPr>
        <w:instrText xml:space="preserve"> </w:instrText>
      </w:r>
      <w:r w:rsidRPr="00E333FF">
        <w:rPr>
          <w:rStyle w:val="af6"/>
          <w:rFonts w:eastAsia="Guttman Hodes" w:hint="cs"/>
        </w:rPr>
        <w:instrText>REF</w:instrText>
      </w:r>
      <w:r w:rsidRPr="00E333FF">
        <w:rPr>
          <w:rStyle w:val="af6"/>
          <w:rFonts w:eastAsia="Guttman Hodes" w:hint="cs"/>
          <w:rtl/>
        </w:rPr>
        <w:instrText xml:space="preserve"> _</w:instrText>
      </w:r>
      <w:r w:rsidRPr="00E333FF">
        <w:rPr>
          <w:rStyle w:val="af6"/>
          <w:rFonts w:eastAsia="Guttman Hodes" w:hint="cs"/>
        </w:rPr>
        <w:instrText>Ref19735946 \r \h</w:instrText>
      </w:r>
      <w:r w:rsidRPr="00E333FF">
        <w:rPr>
          <w:rStyle w:val="af6"/>
          <w:rFonts w:eastAsia="Guttman Hodes"/>
          <w:rtl/>
        </w:rPr>
        <w:instrText xml:space="preserve"> </w:instrText>
      </w:r>
      <w:r w:rsidRPr="00E333FF">
        <w:rPr>
          <w:rStyle w:val="af6"/>
          <w:rFonts w:eastAsia="Guttman Hodes"/>
          <w:rtl/>
        </w:rPr>
      </w:r>
      <w:r w:rsidRPr="00E333FF">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E333FF">
        <w:rPr>
          <w:rStyle w:val="af6"/>
          <w:rFonts w:eastAsia="Guttman Hodes"/>
          <w:rtl/>
        </w:rPr>
        <w:fldChar w:fldCharType="end"/>
      </w:r>
      <w:r>
        <w:rPr>
          <w:rFonts w:hint="cs"/>
          <w:rtl/>
        </w:rPr>
        <w:t xml:space="preserve"> דהוא פגם ולבסוף השביח, אלא כוונת עולא לפגום מתחילה ועד סוף, וכדמשמע מלשונו שנקט פגום מעיקרא ולא פגום בתחילה, וכדביאר </w:t>
      </w:r>
      <w:r w:rsidRPr="00330CFD">
        <w:rPr>
          <w:rStyle w:val="af8"/>
          <w:rFonts w:hint="cs"/>
          <w:rtl/>
        </w:rPr>
        <w:t>רש"י</w:t>
      </w:r>
      <w:r>
        <w:rPr>
          <w:rFonts w:hint="cs"/>
          <w:rtl/>
        </w:rPr>
        <w:t xml:space="preserve"> </w:t>
      </w:r>
      <w:r w:rsidRPr="00330CFD">
        <w:rPr>
          <w:rStyle w:val="af6"/>
          <w:rFonts w:eastAsia="Guttman Hodes" w:hint="cs"/>
          <w:rtl/>
        </w:rPr>
        <w:t xml:space="preserve">(עי' אות </w:t>
      </w:r>
      <w:r w:rsidRPr="00330CFD">
        <w:rPr>
          <w:rStyle w:val="af6"/>
          <w:rFonts w:eastAsia="Guttman Hodes"/>
          <w:rtl/>
        </w:rPr>
        <w:fldChar w:fldCharType="begin"/>
      </w:r>
      <w:r w:rsidRPr="00330CFD">
        <w:rPr>
          <w:rStyle w:val="af6"/>
          <w:rFonts w:eastAsia="Guttman Hodes"/>
          <w:rtl/>
        </w:rPr>
        <w:instrText xml:space="preserve"> </w:instrText>
      </w:r>
      <w:r w:rsidRPr="00330CFD">
        <w:rPr>
          <w:rStyle w:val="af6"/>
          <w:rFonts w:eastAsia="Guttman Hodes" w:hint="cs"/>
        </w:rPr>
        <w:instrText>REF</w:instrText>
      </w:r>
      <w:r w:rsidRPr="00330CFD">
        <w:rPr>
          <w:rStyle w:val="af6"/>
          <w:rFonts w:eastAsia="Guttman Hodes" w:hint="cs"/>
          <w:rtl/>
        </w:rPr>
        <w:instrText xml:space="preserve"> _</w:instrText>
      </w:r>
      <w:r w:rsidRPr="00330CFD">
        <w:rPr>
          <w:rStyle w:val="af6"/>
          <w:rFonts w:eastAsia="Guttman Hodes" w:hint="cs"/>
        </w:rPr>
        <w:instrText>Ref19779890 \r \h</w:instrText>
      </w:r>
      <w:r w:rsidRPr="00330CFD">
        <w:rPr>
          <w:rStyle w:val="af6"/>
          <w:rFonts w:eastAsia="Guttman Hodes"/>
          <w:rtl/>
        </w:rPr>
        <w:instrText xml:space="preserve"> </w:instrText>
      </w:r>
      <w:r w:rsidRPr="00330CFD">
        <w:rPr>
          <w:rStyle w:val="af6"/>
          <w:rFonts w:eastAsia="Guttman Hodes"/>
          <w:rtl/>
        </w:rPr>
      </w:r>
      <w:r w:rsidRPr="00330CFD">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330CFD">
        <w:rPr>
          <w:rStyle w:val="af6"/>
          <w:rFonts w:eastAsia="Guttman Hodes"/>
          <w:rtl/>
        </w:rPr>
        <w:fldChar w:fldCharType="end"/>
      </w:r>
      <w:r>
        <w:rPr>
          <w:rFonts w:hint="cs"/>
          <w:rtl/>
        </w:rPr>
        <w:t>.</w:t>
      </w:r>
      <w:bookmarkEnd w:id="10797"/>
    </w:p>
    <w:p w:rsidR="00A82F1E" w:rsidRDefault="00A82F1E" w:rsidP="00A82F1E">
      <w:pPr>
        <w:pStyle w:val="a2"/>
        <w:rPr>
          <w:rtl/>
        </w:rPr>
      </w:pPr>
      <w:bookmarkStart w:id="10798" w:name="_Toc19792384"/>
      <w:r>
        <w:rPr>
          <w:rFonts w:hint="cs"/>
          <w:rtl/>
        </w:rPr>
        <w:t>דברי הפרי תאר דאי פגם ולבסוף השביח חמור יותר לריו"ח המחלוקת בפגום מתחילה ועד סוף</w:t>
      </w:r>
      <w:bookmarkEnd w:id="10798"/>
    </w:p>
    <w:p w:rsidR="00A82F1E" w:rsidRDefault="00A82F1E" w:rsidP="009F44AF">
      <w:pPr>
        <w:pStyle w:val="a"/>
        <w:rPr>
          <w:rtl/>
        </w:rPr>
      </w:pPr>
      <w:r>
        <w:rPr>
          <w:rFonts w:hint="cs"/>
          <w:rtl/>
        </w:rPr>
        <w:t xml:space="preserve">וכתב </w:t>
      </w:r>
      <w:r w:rsidRPr="00423E82">
        <w:rPr>
          <w:rStyle w:val="af8"/>
          <w:rFonts w:hint="cs"/>
          <w:rtl/>
        </w:rPr>
        <w:t>הפרי תאר</w:t>
      </w:r>
      <w:r>
        <w:rPr>
          <w:rFonts w:hint="cs"/>
          <w:rtl/>
        </w:rPr>
        <w:t xml:space="preserve"> דלפי"ז לריו"ח דאמר שנחלקו בפגם מעיקרא, היינו שהוא פגום מתחילה ועד סוף, אבל בפגם ולבסוף השביח אסור לכו"ע, עיי"ש במה שביאר </w:t>
      </w:r>
      <w:r w:rsidRPr="003F3304">
        <w:rPr>
          <w:rStyle w:val="af8"/>
          <w:rFonts w:hint="cs"/>
          <w:rtl/>
        </w:rPr>
        <w:t>הפרי תאר</w:t>
      </w:r>
      <w:r>
        <w:rPr>
          <w:rFonts w:hint="cs"/>
          <w:rtl/>
        </w:rPr>
        <w:t xml:space="preserve"> בזה. </w:t>
      </w:r>
    </w:p>
    <w:p w:rsidR="00A82F1E" w:rsidRDefault="00A82F1E" w:rsidP="00A82F1E">
      <w:pPr>
        <w:pStyle w:val="a2"/>
      </w:pPr>
      <w:bookmarkStart w:id="10799" w:name="_Toc19792385"/>
      <w:r>
        <w:rPr>
          <w:rFonts w:hint="cs"/>
          <w:rtl/>
        </w:rPr>
        <w:t>ביאור הפרי תאר דאי השביח ולבסוף פגם חמור יותר אסור לעולא אף בפגם ולבסוף השביח</w:t>
      </w:r>
      <w:bookmarkEnd w:id="10799"/>
    </w:p>
    <w:p w:rsidR="00A82F1E" w:rsidRDefault="00A82F1E" w:rsidP="009F44AF">
      <w:pPr>
        <w:pStyle w:val="a"/>
        <w:rPr>
          <w:rtl/>
        </w:rPr>
      </w:pPr>
      <w:r>
        <w:rPr>
          <w:rFonts w:hint="cs"/>
          <w:rtl/>
        </w:rPr>
        <w:t xml:space="preserve">אך כתב </w:t>
      </w:r>
      <w:r w:rsidRPr="001A1785">
        <w:rPr>
          <w:rStyle w:val="af8"/>
          <w:rFonts w:hint="cs"/>
          <w:rtl/>
        </w:rPr>
        <w:t>הפרי תאר</w:t>
      </w:r>
      <w:r>
        <w:rPr>
          <w:rFonts w:hint="cs"/>
          <w:rtl/>
        </w:rPr>
        <w:t xml:space="preserve"> </w:t>
      </w:r>
      <w:r w:rsidRPr="00A82ED2">
        <w:rPr>
          <w:rStyle w:val="af6"/>
          <w:rFonts w:eastAsia="Guttman Hodes" w:hint="cs"/>
          <w:rtl/>
        </w:rPr>
        <w:t>(סי' ק"ג סק"ה ד"ה</w:t>
      </w:r>
      <w:r>
        <w:rPr>
          <w:rStyle w:val="af6"/>
          <w:rFonts w:eastAsia="Guttman Hodes" w:hint="cs"/>
          <w:rtl/>
        </w:rPr>
        <w:t xml:space="preserve"> ואם נאמר)</w:t>
      </w:r>
      <w:r>
        <w:rPr>
          <w:rFonts w:hint="cs"/>
          <w:rtl/>
        </w:rPr>
        <w:t xml:space="preserve"> דלהסברא השניה דהשביח ואח"כ פגם הוא חמור יותר, א"כ כוונת עולא לומר </w:t>
      </w:r>
      <w:r>
        <w:rPr>
          <w:rFonts w:hint="cs"/>
          <w:rtl/>
        </w:rPr>
        <w:t xml:space="preserve">דהמחלוקת היא רק בהשביח ואח"כ פגם, אבל כל שבתחילה היה פגם, בין בפגום מתחילה ועד סוף, ובין בפגם ולבסוף השביח אמר עולא דלכו"ע מותר, וזו כוונת </w:t>
      </w:r>
      <w:r w:rsidRPr="00E333FF">
        <w:rPr>
          <w:rStyle w:val="af8"/>
          <w:rFonts w:hint="cs"/>
          <w:rtl/>
        </w:rPr>
        <w:t>הרמב"ם בפיהמ"ש</w:t>
      </w:r>
      <w:r>
        <w:rPr>
          <w:rFonts w:hint="cs"/>
          <w:rtl/>
        </w:rPr>
        <w:t xml:space="preserve"> </w:t>
      </w:r>
      <w:r w:rsidRPr="00E333FF">
        <w:rPr>
          <w:rStyle w:val="af6"/>
          <w:rFonts w:eastAsia="Guttman Hodes" w:hint="cs"/>
          <w:rtl/>
        </w:rPr>
        <w:t xml:space="preserve">(עי' אות </w:t>
      </w:r>
      <w:r w:rsidRPr="00E333FF">
        <w:rPr>
          <w:rStyle w:val="af6"/>
          <w:rFonts w:eastAsia="Guttman Hodes"/>
          <w:rtl/>
        </w:rPr>
        <w:fldChar w:fldCharType="begin"/>
      </w:r>
      <w:r w:rsidRPr="00E333FF">
        <w:rPr>
          <w:rStyle w:val="af6"/>
          <w:rFonts w:eastAsia="Guttman Hodes"/>
          <w:rtl/>
        </w:rPr>
        <w:instrText xml:space="preserve"> </w:instrText>
      </w:r>
      <w:r w:rsidRPr="00E333FF">
        <w:rPr>
          <w:rStyle w:val="af6"/>
          <w:rFonts w:eastAsia="Guttman Hodes" w:hint="cs"/>
        </w:rPr>
        <w:instrText>REF</w:instrText>
      </w:r>
      <w:r w:rsidRPr="00E333FF">
        <w:rPr>
          <w:rStyle w:val="af6"/>
          <w:rFonts w:eastAsia="Guttman Hodes" w:hint="cs"/>
          <w:rtl/>
        </w:rPr>
        <w:instrText xml:space="preserve"> _</w:instrText>
      </w:r>
      <w:r w:rsidRPr="00E333FF">
        <w:rPr>
          <w:rStyle w:val="af6"/>
          <w:rFonts w:eastAsia="Guttman Hodes" w:hint="cs"/>
        </w:rPr>
        <w:instrText>Ref19735946 \r \h</w:instrText>
      </w:r>
      <w:r w:rsidRPr="00E333FF">
        <w:rPr>
          <w:rStyle w:val="af6"/>
          <w:rFonts w:eastAsia="Guttman Hodes"/>
          <w:rtl/>
        </w:rPr>
        <w:instrText xml:space="preserve"> </w:instrText>
      </w:r>
      <w:r w:rsidRPr="00E333FF">
        <w:rPr>
          <w:rStyle w:val="af6"/>
          <w:rFonts w:eastAsia="Guttman Hodes"/>
          <w:rtl/>
        </w:rPr>
      </w:r>
      <w:r w:rsidRPr="00E333FF">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E333FF">
        <w:rPr>
          <w:rStyle w:val="af6"/>
          <w:rFonts w:eastAsia="Guttman Hodes"/>
          <w:rtl/>
        </w:rPr>
        <w:fldChar w:fldCharType="end"/>
      </w:r>
      <w:r>
        <w:rPr>
          <w:rFonts w:hint="cs"/>
          <w:rtl/>
        </w:rPr>
        <w:t xml:space="preserve"> דפגום מעיקרא הוא פגם ולבסוף השביח, עיי"ש במה שביאר </w:t>
      </w:r>
      <w:r w:rsidRPr="00423E82">
        <w:rPr>
          <w:rStyle w:val="af8"/>
          <w:rFonts w:hint="cs"/>
          <w:rtl/>
        </w:rPr>
        <w:t>הפרי תאר</w:t>
      </w:r>
      <w:r>
        <w:rPr>
          <w:rFonts w:hint="cs"/>
          <w:rtl/>
        </w:rPr>
        <w:t xml:space="preserve"> בזה.</w:t>
      </w:r>
    </w:p>
    <w:p w:rsidR="00A82F1E" w:rsidRDefault="00A82F1E" w:rsidP="00A82F1E">
      <w:pPr>
        <w:pStyle w:val="a2"/>
      </w:pPr>
      <w:bookmarkStart w:id="10800" w:name="_Toc19792386"/>
      <w:bookmarkStart w:id="10801" w:name="_Toc19479360"/>
      <w:r>
        <w:rPr>
          <w:rFonts w:hint="cs"/>
          <w:rtl/>
        </w:rPr>
        <w:t>דברי הפרי תאר דזו כוונת הרמב"ם דלא נתבאר דינם בגמ' דיש סברא להחמיר בכ"א מהם</w:t>
      </w:r>
      <w:bookmarkEnd w:id="10800"/>
    </w:p>
    <w:p w:rsidR="00A82F1E" w:rsidRDefault="00A82F1E" w:rsidP="009F44AF">
      <w:pPr>
        <w:pStyle w:val="a"/>
        <w:rPr>
          <w:rtl/>
        </w:rPr>
      </w:pPr>
      <w:r>
        <w:rPr>
          <w:rFonts w:hint="cs"/>
          <w:rtl/>
        </w:rPr>
        <w:t xml:space="preserve">וכתב </w:t>
      </w:r>
      <w:r w:rsidRPr="001A1785">
        <w:rPr>
          <w:rStyle w:val="af8"/>
          <w:rFonts w:hint="cs"/>
          <w:rtl/>
        </w:rPr>
        <w:t>הפרי תאר</w:t>
      </w:r>
      <w:r>
        <w:rPr>
          <w:rFonts w:hint="cs"/>
          <w:rtl/>
        </w:rPr>
        <w:t xml:space="preserve"> </w:t>
      </w:r>
      <w:r w:rsidRPr="00A82ED2">
        <w:rPr>
          <w:rStyle w:val="af6"/>
          <w:rFonts w:eastAsia="Guttman Hodes" w:hint="cs"/>
          <w:rtl/>
        </w:rPr>
        <w:t>(סי' ק"ג סק"ה ד"ה</w:t>
      </w:r>
      <w:r>
        <w:rPr>
          <w:rStyle w:val="af6"/>
          <w:rFonts w:eastAsia="Guttman Hodes" w:hint="cs"/>
          <w:rtl/>
        </w:rPr>
        <w:t xml:space="preserve"> ויש לפנינו)</w:t>
      </w:r>
      <w:r>
        <w:rPr>
          <w:rFonts w:hint="cs"/>
          <w:rtl/>
        </w:rPr>
        <w:t xml:space="preserve"> דזהו הביאור בדברי </w:t>
      </w:r>
      <w:r w:rsidRPr="00423E82">
        <w:rPr>
          <w:rStyle w:val="af8"/>
          <w:rFonts w:hint="cs"/>
          <w:rtl/>
        </w:rPr>
        <w:t>הרמב"ם בפיהמ"ש</w:t>
      </w:r>
      <w:r>
        <w:rPr>
          <w:rFonts w:hint="cs"/>
          <w:rtl/>
        </w:rPr>
        <w:t xml:space="preserve"> </w:t>
      </w:r>
      <w:r w:rsidRPr="00855FCF">
        <w:rPr>
          <w:rStyle w:val="af6"/>
          <w:rFonts w:eastAsia="Guttman Hodes" w:hint="cs"/>
          <w:rtl/>
        </w:rPr>
        <w:t xml:space="preserve">(עי' אות </w:t>
      </w:r>
      <w:r w:rsidRPr="00855FCF">
        <w:rPr>
          <w:rStyle w:val="af6"/>
          <w:rFonts w:eastAsia="Guttman Hodes"/>
          <w:rtl/>
        </w:rPr>
        <w:fldChar w:fldCharType="begin"/>
      </w:r>
      <w:r w:rsidRPr="00855FCF">
        <w:rPr>
          <w:rStyle w:val="af6"/>
          <w:rFonts w:eastAsia="Guttman Hodes"/>
          <w:rtl/>
        </w:rPr>
        <w:instrText xml:space="preserve"> </w:instrText>
      </w:r>
      <w:r w:rsidRPr="00855FCF">
        <w:rPr>
          <w:rStyle w:val="af6"/>
          <w:rFonts w:eastAsia="Guttman Hodes" w:hint="cs"/>
        </w:rPr>
        <w:instrText>REF</w:instrText>
      </w:r>
      <w:r w:rsidRPr="00855FCF">
        <w:rPr>
          <w:rStyle w:val="af6"/>
          <w:rFonts w:eastAsia="Guttman Hodes" w:hint="cs"/>
          <w:rtl/>
        </w:rPr>
        <w:instrText xml:space="preserve"> _</w:instrText>
      </w:r>
      <w:r w:rsidRPr="00855FCF">
        <w:rPr>
          <w:rStyle w:val="af6"/>
          <w:rFonts w:eastAsia="Guttman Hodes" w:hint="cs"/>
        </w:rPr>
        <w:instrText>Ref19778761 \r \h</w:instrText>
      </w:r>
      <w:r w:rsidRPr="00855FCF">
        <w:rPr>
          <w:rStyle w:val="af6"/>
          <w:rFonts w:eastAsia="Guttman Hodes"/>
          <w:rtl/>
        </w:rPr>
        <w:instrText xml:space="preserve"> </w:instrText>
      </w:r>
      <w:r w:rsidRPr="00855FCF">
        <w:rPr>
          <w:rStyle w:val="af6"/>
          <w:rFonts w:eastAsia="Guttman Hodes"/>
          <w:rtl/>
        </w:rPr>
      </w:r>
      <w:r w:rsidRPr="00855FCF">
        <w:rPr>
          <w:rStyle w:val="af6"/>
          <w:rFonts w:eastAsia="Guttman Hodes"/>
          <w:rtl/>
        </w:rPr>
        <w:fldChar w:fldCharType="separate"/>
      </w:r>
      <w:r w:rsidR="004D1C5B">
        <w:rPr>
          <w:rStyle w:val="af6"/>
          <w:rFonts w:eastAsia="Guttman Hodes"/>
          <w:cs/>
        </w:rPr>
        <w:t>‎</w:t>
      </w:r>
      <w:r w:rsidR="004D1C5B">
        <w:rPr>
          <w:rStyle w:val="af6"/>
          <w:rFonts w:eastAsia="Guttman Hodes"/>
          <w:rtl/>
        </w:rPr>
        <w:t>צג)</w:t>
      </w:r>
      <w:r w:rsidRPr="00855FCF">
        <w:rPr>
          <w:rStyle w:val="af6"/>
          <w:rFonts w:eastAsia="Guttman Hodes"/>
          <w:rtl/>
        </w:rPr>
        <w:fldChar w:fldCharType="end"/>
      </w:r>
      <w:r>
        <w:rPr>
          <w:rFonts w:hint="cs"/>
          <w:rtl/>
        </w:rPr>
        <w:t xml:space="preserve"> דכתב שלא מבואר בגמ' מי מהם מותר ומי מהם אסור, דכוונתו לומר דלא מבואר בגמ' מי מהם חמור יותר, דבכ"א מהם יש סברא להחמיר בו יותר, וכתב </w:t>
      </w:r>
      <w:r w:rsidRPr="00423E82">
        <w:rPr>
          <w:rStyle w:val="af8"/>
          <w:rFonts w:hint="cs"/>
          <w:rtl/>
        </w:rPr>
        <w:t>הפרי תאר</w:t>
      </w:r>
      <w:r>
        <w:rPr>
          <w:rFonts w:hint="cs"/>
          <w:rtl/>
        </w:rPr>
        <w:t xml:space="preserve"> דאף דהוא דוחק בלשון </w:t>
      </w:r>
      <w:r w:rsidRPr="00423E82">
        <w:rPr>
          <w:rStyle w:val="af8"/>
          <w:rFonts w:hint="cs"/>
          <w:rtl/>
        </w:rPr>
        <w:t>הרמב"ם בפיהמ"</w:t>
      </w:r>
      <w:r>
        <w:rPr>
          <w:rFonts w:hint="cs"/>
          <w:rtl/>
        </w:rPr>
        <w:t>ש, מ"מ לפי"ז מיושבים דבריו היטב.</w:t>
      </w:r>
    </w:p>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760"/>
    <w:bookmarkEnd w:id="10801"/>
    <w:p w:rsidR="00A82F1E" w:rsidRPr="00227CCD" w:rsidRDefault="00A82F1E" w:rsidP="00A82F1E">
      <w:pPr>
        <w:pStyle w:val="a2"/>
        <w:rPr>
          <w:rtl/>
        </w:rPr>
        <w:sectPr w:rsidR="00A82F1E" w:rsidRPr="00227CCD" w:rsidSect="005049E2">
          <w:footerReference w:type="default" r:id="rId82"/>
          <w:type w:val="continuous"/>
          <w:pgSz w:w="11906" w:h="16838"/>
          <w:pgMar w:top="720" w:right="720" w:bottom="720" w:left="720" w:header="283" w:footer="283" w:gutter="0"/>
          <w:cols w:num="2" w:space="567"/>
          <w:titlePg/>
          <w:bidi/>
          <w:rtlGutter/>
          <w:docGrid w:linePitch="299"/>
        </w:sectPr>
      </w:pPr>
    </w:p>
    <w:p w:rsidR="00A82F1E" w:rsidRDefault="00A82F1E" w:rsidP="00A82F1E">
      <w:pPr>
        <w:tabs>
          <w:tab w:val="left" w:pos="1163"/>
        </w:tabs>
        <w:spacing w:after="120" w:line="240" w:lineRule="auto"/>
        <w:ind w:left="0"/>
        <w:rPr>
          <w:rFonts w:ascii="Guttman Hodes" w:eastAsia="Guttman Hodes" w:hAnsi="Guttman Hodes" w:cs="Guttman Hodes"/>
          <w:noProof/>
          <w:sz w:val="18"/>
          <w:szCs w:val="18"/>
        </w:rPr>
        <w:sectPr w:rsidR="00A82F1E" w:rsidSect="00707FC2">
          <w:type w:val="continuous"/>
          <w:pgSz w:w="11906" w:h="16838"/>
          <w:pgMar w:top="720" w:right="720" w:bottom="720" w:left="720" w:header="283" w:footer="283" w:gutter="0"/>
          <w:cols w:space="567"/>
          <w:bidi/>
          <w:rtlGutter/>
          <w:docGrid w:linePitch="299"/>
        </w:sectPr>
      </w:pPr>
    </w:p>
    <w:p w:rsidR="00A82F1E" w:rsidRDefault="00A82F1E" w:rsidP="00A82F1E">
      <w:pPr>
        <w:tabs>
          <w:tab w:val="left" w:pos="1163"/>
        </w:tabs>
        <w:spacing w:after="120" w:line="240" w:lineRule="auto"/>
        <w:ind w:left="0"/>
        <w:rPr>
          <w:rFonts w:ascii="Guttman Hodes" w:eastAsia="Guttman Hodes" w:hAnsi="Guttman Hodes" w:cs="Guttman Hodes"/>
          <w:noProof/>
          <w:sz w:val="18"/>
          <w:szCs w:val="18"/>
        </w:rPr>
        <w:sectPr w:rsidR="00A82F1E" w:rsidSect="00707FC2">
          <w:type w:val="continuous"/>
          <w:pgSz w:w="11906" w:h="16838"/>
          <w:pgMar w:top="720" w:right="720" w:bottom="720" w:left="720" w:header="283" w:footer="283" w:gutter="0"/>
          <w:cols w:space="567"/>
          <w:bidi/>
          <w:rtlGutter/>
          <w:docGrid w:linePitch="299"/>
        </w:sectPr>
      </w:pPr>
    </w:p>
    <w:p w:rsidR="00A82F1E" w:rsidRPr="00D47CE7" w:rsidRDefault="00651E3B" w:rsidP="00A82F1E">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2" type="#_x0000_t75" style="width:404.55pt;height:6.8pt" o:hrpct="0" o:hralign="center" o:hr="t">
            <v:imagedata r:id="rId48" o:title="BD14845_"/>
          </v:shape>
        </w:pict>
      </w:r>
      <w:r w:rsidR="00A82F1E" w:rsidRPr="00D47CE7">
        <w:rPr>
          <w:rFonts w:ascii="Guttman Hodes" w:eastAsia="Guttman Hodes" w:hAnsi="Guttman Hodes" w:cs="Guttman Hodes" w:hint="cs"/>
          <w:noProof/>
          <w:sz w:val="18"/>
          <w:szCs w:val="18"/>
          <w:rtl/>
        </w:rPr>
        <w:t xml:space="preserve"> </w:t>
      </w:r>
    </w:p>
    <w:p w:rsidR="00A82F1E" w:rsidRPr="00D47CE7" w:rsidRDefault="00A82F1E" w:rsidP="00E669F8">
      <w:pPr>
        <w:pStyle w:val="afd"/>
        <w:rPr>
          <w:rtl/>
        </w:rPr>
        <w:sectPr w:rsidR="00A82F1E" w:rsidRPr="00D47CE7" w:rsidSect="00707FC2">
          <w:pgSz w:w="11906" w:h="16838"/>
          <w:pgMar w:top="720" w:right="720" w:bottom="720" w:left="720" w:header="283" w:footer="283" w:gutter="0"/>
          <w:cols w:space="567"/>
          <w:bidi/>
          <w:rtlGutter/>
          <w:docGrid w:linePitch="299"/>
        </w:sectPr>
      </w:pPr>
      <w:bookmarkStart w:id="10802" w:name="_Toc19479370"/>
      <w:bookmarkStart w:id="10803" w:name="_Toc19618219"/>
      <w:bookmarkStart w:id="10804" w:name="_Toc19624497"/>
      <w:bookmarkStart w:id="10805" w:name="_Toc19651814"/>
      <w:bookmarkStart w:id="10806" w:name="_Toc19694972"/>
      <w:bookmarkStart w:id="10807" w:name="_Toc19738526"/>
      <w:bookmarkStart w:id="10808" w:name="_Toc19792387"/>
      <w:r w:rsidRPr="00D47CE7">
        <w:rPr>
          <w:rFonts w:hint="cs"/>
          <w:rtl/>
        </w:rPr>
        <w:t>ביאורי ראשי הישיבות</w:t>
      </w:r>
      <w:bookmarkEnd w:id="10802"/>
      <w:bookmarkEnd w:id="10803"/>
      <w:bookmarkEnd w:id="10804"/>
      <w:bookmarkEnd w:id="10805"/>
      <w:bookmarkEnd w:id="10806"/>
      <w:bookmarkEnd w:id="10807"/>
      <w:bookmarkEnd w:id="10808"/>
      <w:r w:rsidRPr="00D47CE7">
        <w:rPr>
          <w:rFonts w:hint="cs"/>
          <w:rtl/>
        </w:rPr>
        <w:t xml:space="preserve"> </w:t>
      </w:r>
    </w:p>
    <w:p w:rsidR="00A82F1E" w:rsidRPr="006B2B80" w:rsidRDefault="00A82F1E" w:rsidP="00E669F8">
      <w:pPr>
        <w:pStyle w:val="afd"/>
        <w:rPr>
          <w:rtl/>
        </w:rPr>
      </w:pPr>
      <w:bookmarkStart w:id="10809" w:name="_Toc19738527"/>
      <w:bookmarkStart w:id="10810" w:name="_Toc19792388"/>
      <w:r>
        <w:rPr>
          <w:rFonts w:hint="cs"/>
          <w:rtl/>
        </w:rPr>
        <w:t>בדין השביח ולבסוף פגם</w:t>
      </w:r>
      <w:bookmarkEnd w:id="10809"/>
      <w:bookmarkEnd w:id="10810"/>
    </w:p>
    <w:p w:rsidR="00A82F1E" w:rsidRDefault="00A82F1E" w:rsidP="00A82F1E">
      <w:pPr>
        <w:pStyle w:val="1"/>
        <w:rPr>
          <w:rtl/>
        </w:rPr>
      </w:pPr>
      <w:bookmarkStart w:id="10811" w:name="_Toc19479371"/>
      <w:bookmarkStart w:id="10812" w:name="_Toc19618220"/>
      <w:bookmarkStart w:id="10813" w:name="_Toc19624498"/>
      <w:bookmarkStart w:id="10814" w:name="_Toc19651815"/>
      <w:bookmarkStart w:id="10815" w:name="_Toc19694973"/>
      <w:bookmarkStart w:id="10816" w:name="_Toc19738528"/>
      <w:bookmarkStart w:id="10817" w:name="_Toc19792389"/>
      <w:r w:rsidRPr="006B2B80">
        <w:rPr>
          <w:rFonts w:hint="cs"/>
          <w:rtl/>
        </w:rPr>
        <w:t>ביאור</w:t>
      </w:r>
      <w:r>
        <w:rPr>
          <w:rFonts w:hint="cs"/>
          <w:rtl/>
        </w:rPr>
        <w:t>י</w:t>
      </w:r>
      <w:r w:rsidRPr="006B2B80">
        <w:rPr>
          <w:rFonts w:hint="cs"/>
          <w:rtl/>
        </w:rPr>
        <w:t xml:space="preserve"> </w:t>
      </w:r>
      <w:r>
        <w:rPr>
          <w:rFonts w:hint="cs"/>
          <w:rtl/>
        </w:rPr>
        <w:t>הקה"י</w:t>
      </w:r>
      <w:bookmarkEnd w:id="10811"/>
      <w:bookmarkEnd w:id="10812"/>
      <w:bookmarkEnd w:id="10813"/>
      <w:bookmarkEnd w:id="10814"/>
      <w:bookmarkEnd w:id="10815"/>
      <w:bookmarkEnd w:id="10816"/>
      <w:r>
        <w:rPr>
          <w:rFonts w:hint="cs"/>
          <w:rtl/>
        </w:rPr>
        <w:t xml:space="preserve"> דהאיסור לא פקע או דנעשה חנ"נ</w:t>
      </w:r>
      <w:bookmarkEnd w:id="10817"/>
    </w:p>
    <w:p w:rsidR="00A82F1E" w:rsidRDefault="00A82F1E" w:rsidP="00A82F1E">
      <w:pPr>
        <w:pStyle w:val="a2"/>
        <w:rPr>
          <w:rtl/>
        </w:rPr>
      </w:pPr>
      <w:bookmarkStart w:id="10818" w:name="_Toc19792390"/>
      <w:r>
        <w:rPr>
          <w:rFonts w:hint="cs"/>
          <w:rtl/>
        </w:rPr>
        <w:t>דברי הקה"י בתוס' דבהשביח ולבסוף פגם כיון שחל איסור אינו פוקע כשנפגם</w:t>
      </w:r>
      <w:bookmarkEnd w:id="10818"/>
    </w:p>
    <w:p w:rsidR="00A82F1E" w:rsidRDefault="00A82F1E" w:rsidP="009F44AF">
      <w:pPr>
        <w:pStyle w:val="a"/>
      </w:pPr>
      <w:bookmarkStart w:id="10819" w:name="_Ref19789082"/>
      <w:r w:rsidRPr="00262F85">
        <w:rPr>
          <w:rFonts w:hint="cs"/>
          <w:rtl/>
        </w:rPr>
        <w:t xml:space="preserve">כתב </w:t>
      </w:r>
      <w:r w:rsidRPr="00262F85">
        <w:rPr>
          <w:rStyle w:val="af8"/>
          <w:rFonts w:hint="cs"/>
          <w:rtl/>
        </w:rPr>
        <w:t xml:space="preserve">הקה"י </w:t>
      </w:r>
      <w:r w:rsidRPr="009B1A4D">
        <w:rPr>
          <w:rStyle w:val="af6"/>
          <w:rFonts w:eastAsia="Guttman Hodes" w:hint="cs"/>
          <w:rtl/>
        </w:rPr>
        <w:t>(סי' כ"ה ד' ד"ה והנה מסקינן)</w:t>
      </w:r>
      <w:r w:rsidRPr="00262F85">
        <w:rPr>
          <w:rFonts w:hint="cs"/>
          <w:rtl/>
        </w:rPr>
        <w:t xml:space="preserve"> </w:t>
      </w:r>
      <w:r w:rsidRPr="009B1A4D">
        <w:rPr>
          <w:rFonts w:hint="cs"/>
          <w:rtl/>
        </w:rPr>
        <w:t xml:space="preserve">דלמסקנת הגמ' בריו"ח דאף למ"ד דנותן טעם לפגם מותר, היינו רק בפגום מעיקרא, אבל בהשביח ולבסוף פגם אסור לכו"ע, </w:t>
      </w:r>
      <w:r>
        <w:rPr>
          <w:rFonts w:hint="cs"/>
          <w:rtl/>
        </w:rPr>
        <w:t>והביאור הוא כדכתבו</w:t>
      </w:r>
      <w:r w:rsidRPr="009B1A4D">
        <w:rPr>
          <w:rStyle w:val="af8"/>
          <w:rFonts w:hint="cs"/>
          <w:rtl/>
        </w:rPr>
        <w:t xml:space="preserve"> התוס'</w:t>
      </w:r>
      <w:r w:rsidRPr="009B1A4D">
        <w:rPr>
          <w:rFonts w:hint="cs"/>
          <w:rtl/>
        </w:rPr>
        <w:t xml:space="preserve"> </w:t>
      </w:r>
      <w:r w:rsidRPr="006E52B0">
        <w:rPr>
          <w:rStyle w:val="af6"/>
          <w:rFonts w:eastAsia="Guttman Hodes" w:hint="cs"/>
          <w:rtl/>
        </w:rPr>
        <w:t xml:space="preserve">(עי' אות </w:t>
      </w:r>
      <w:r w:rsidRPr="006E52B0">
        <w:rPr>
          <w:rStyle w:val="af6"/>
          <w:rFonts w:eastAsia="Guttman Hodes"/>
          <w:rtl/>
        </w:rPr>
        <w:fldChar w:fldCharType="begin"/>
      </w:r>
      <w:r w:rsidRPr="006E52B0">
        <w:rPr>
          <w:rStyle w:val="af6"/>
          <w:rFonts w:eastAsia="Guttman Hodes"/>
          <w:rtl/>
        </w:rPr>
        <w:instrText xml:space="preserve"> </w:instrText>
      </w:r>
      <w:r w:rsidRPr="006E52B0">
        <w:rPr>
          <w:rStyle w:val="af6"/>
          <w:rFonts w:eastAsia="Guttman Hodes" w:hint="cs"/>
        </w:rPr>
        <w:instrText>REF</w:instrText>
      </w:r>
      <w:r w:rsidRPr="006E52B0">
        <w:rPr>
          <w:rStyle w:val="af6"/>
          <w:rFonts w:eastAsia="Guttman Hodes" w:hint="cs"/>
          <w:rtl/>
        </w:rPr>
        <w:instrText xml:space="preserve"> _</w:instrText>
      </w:r>
      <w:r w:rsidRPr="006E52B0">
        <w:rPr>
          <w:rStyle w:val="af6"/>
          <w:rFonts w:eastAsia="Guttman Hodes" w:hint="cs"/>
        </w:rPr>
        <w:instrText>Ref19780645 \r \h</w:instrText>
      </w:r>
      <w:r w:rsidRPr="006E52B0">
        <w:rPr>
          <w:rStyle w:val="af6"/>
          <w:rFonts w:eastAsia="Guttman Hodes"/>
          <w:rtl/>
        </w:rPr>
        <w:instrText xml:space="preserve"> </w:instrText>
      </w:r>
      <w:r w:rsidRPr="006E52B0">
        <w:rPr>
          <w:rStyle w:val="af6"/>
          <w:rFonts w:eastAsia="Guttman Hodes"/>
          <w:rtl/>
        </w:rPr>
      </w:r>
      <w:r w:rsidRPr="006E52B0">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6E52B0">
        <w:rPr>
          <w:rStyle w:val="af6"/>
          <w:rFonts w:eastAsia="Guttman Hodes"/>
          <w:rtl/>
        </w:rPr>
        <w:fldChar w:fldCharType="end"/>
      </w:r>
      <w:r w:rsidRPr="009B1A4D">
        <w:rPr>
          <w:rFonts w:hint="cs"/>
          <w:rtl/>
        </w:rPr>
        <w:t xml:space="preserve"> </w:t>
      </w:r>
      <w:r w:rsidRPr="00234114">
        <w:rPr>
          <w:rStyle w:val="afa"/>
          <w:rFonts w:hint="cs"/>
          <w:rtl/>
        </w:rPr>
        <w:t>[בדעת ר"מ אליבא דעולא]</w:t>
      </w:r>
      <w:r w:rsidRPr="00C3208A">
        <w:rPr>
          <w:rFonts w:hint="cs"/>
          <w:rtl/>
        </w:rPr>
        <w:t xml:space="preserve"> </w:t>
      </w:r>
      <w:r w:rsidRPr="009B1A4D">
        <w:rPr>
          <w:rFonts w:hint="cs"/>
          <w:rtl/>
        </w:rPr>
        <w:t>דאף שבטעם פגום לא חל האיסור, מ"מ השביח ולבסוף פגם אסור</w:t>
      </w:r>
      <w:r>
        <w:rPr>
          <w:rFonts w:hint="cs"/>
          <w:rtl/>
        </w:rPr>
        <w:t xml:space="preserve">, </w:t>
      </w:r>
      <w:r w:rsidRPr="009B1A4D">
        <w:rPr>
          <w:rFonts w:hint="cs"/>
          <w:rtl/>
        </w:rPr>
        <w:t xml:space="preserve">דכיון שבשעה שהשביח חל עליו איסור, לא פקע האיסור ממנו אף כשנפגם אח"כ, וביאר </w:t>
      </w:r>
      <w:r w:rsidRPr="009B1A4D">
        <w:rPr>
          <w:rStyle w:val="af8"/>
          <w:rFonts w:hint="cs"/>
          <w:rtl/>
        </w:rPr>
        <w:t>הקה"י</w:t>
      </w:r>
      <w:r w:rsidRPr="009B1A4D">
        <w:rPr>
          <w:rFonts w:hint="cs"/>
          <w:rtl/>
        </w:rPr>
        <w:t xml:space="preserve"> דהשביח ולבסוף </w:t>
      </w:r>
      <w:r w:rsidRPr="00262F85">
        <w:rPr>
          <w:rFonts w:hint="cs"/>
          <w:rtl/>
        </w:rPr>
        <w:t>פגם דמי לחילוק הגמ' בין סרוחה מעיקרא</w:t>
      </w:r>
      <w:r>
        <w:rPr>
          <w:rFonts w:hint="cs"/>
          <w:rtl/>
        </w:rPr>
        <w:t>,</w:t>
      </w:r>
      <w:r w:rsidRPr="00262F85">
        <w:rPr>
          <w:rFonts w:hint="cs"/>
          <w:rtl/>
        </w:rPr>
        <w:t xml:space="preserve"> לבין נבילה שאינה ראויה לגר, ד</w:t>
      </w:r>
      <w:r>
        <w:rPr>
          <w:rFonts w:hint="cs"/>
          <w:rtl/>
        </w:rPr>
        <w:t xml:space="preserve">לר"ש </w:t>
      </w:r>
      <w:r w:rsidRPr="00262F85">
        <w:rPr>
          <w:rFonts w:hint="cs"/>
          <w:rtl/>
        </w:rPr>
        <w:t>א"צ קרא להתיר</w:t>
      </w:r>
      <w:r>
        <w:rPr>
          <w:rFonts w:hint="cs"/>
          <w:rtl/>
        </w:rPr>
        <w:t xml:space="preserve"> בסרוחה מעיקרא, והילפותא במשובחת ואח"כ הסריחה, </w:t>
      </w:r>
      <w:r w:rsidRPr="00262F85">
        <w:rPr>
          <w:rFonts w:hint="cs"/>
          <w:rtl/>
        </w:rPr>
        <w:t>אלא דבגמ' איירי כשגוף האיסור סרוח</w:t>
      </w:r>
      <w:r w:rsidRPr="000B2247">
        <w:rPr>
          <w:rFonts w:hint="cs"/>
          <w:rtl/>
        </w:rPr>
        <w:t xml:space="preserve"> </w:t>
      </w:r>
      <w:r>
        <w:rPr>
          <w:rFonts w:hint="cs"/>
          <w:rtl/>
        </w:rPr>
        <w:t>והאיסור עצמו הותר</w:t>
      </w:r>
      <w:r w:rsidRPr="00262F85">
        <w:rPr>
          <w:rFonts w:hint="cs"/>
          <w:rtl/>
        </w:rPr>
        <w:t>, ו</w:t>
      </w:r>
      <w:r>
        <w:rPr>
          <w:rFonts w:hint="cs"/>
          <w:rtl/>
        </w:rPr>
        <w:t xml:space="preserve">לכן </w:t>
      </w:r>
      <w:r w:rsidRPr="00262F85">
        <w:rPr>
          <w:rFonts w:hint="cs"/>
          <w:rtl/>
        </w:rPr>
        <w:t>א"צ ילפותא להתיר בסרוח מעיקרא,</w:t>
      </w:r>
      <w:r>
        <w:rPr>
          <w:rFonts w:hint="cs"/>
          <w:rtl/>
        </w:rPr>
        <w:t xml:space="preserve"> ויש היתר במשובחת שהסריחה, אבל </w:t>
      </w:r>
      <w:r>
        <w:rPr>
          <w:rStyle w:val="af8"/>
          <w:rFonts w:hint="cs"/>
          <w:rtl/>
        </w:rPr>
        <w:t>ב</w:t>
      </w:r>
      <w:r w:rsidRPr="00262F85">
        <w:rPr>
          <w:rStyle w:val="af8"/>
          <w:rFonts w:hint="cs"/>
          <w:rtl/>
        </w:rPr>
        <w:t>תוס'</w:t>
      </w:r>
      <w:r w:rsidRPr="00262F85">
        <w:rPr>
          <w:rFonts w:hint="cs"/>
          <w:rtl/>
        </w:rPr>
        <w:t xml:space="preserve"> איירי בנותן טעם לפגם בתערובת,</w:t>
      </w:r>
      <w:r>
        <w:rPr>
          <w:rFonts w:hint="cs"/>
          <w:rtl/>
        </w:rPr>
        <w:t xml:space="preserve"> דהאיסור עצמו לא הוסרח ולא הותר,</w:t>
      </w:r>
      <w:r w:rsidRPr="00262F85">
        <w:rPr>
          <w:rFonts w:hint="cs"/>
          <w:rtl/>
        </w:rPr>
        <w:t xml:space="preserve"> </w:t>
      </w:r>
      <w:r>
        <w:rPr>
          <w:rFonts w:hint="cs"/>
          <w:rtl/>
        </w:rPr>
        <w:t>ולכן ההיתר הוא רק בפגום מעיקרו שלא חל איסור, ולא בהשביח ולבסוף פגם דכיון שחל האיסור אינו פוקע כשנפגם אח"כ.</w:t>
      </w:r>
      <w:bookmarkEnd w:id="10819"/>
    </w:p>
    <w:p w:rsidR="00A82F1E" w:rsidRDefault="00A82F1E" w:rsidP="00A82F1E">
      <w:pPr>
        <w:pStyle w:val="a2"/>
        <w:rPr>
          <w:rtl/>
        </w:rPr>
      </w:pPr>
      <w:bookmarkStart w:id="10820" w:name="_Toc19792391"/>
      <w:r>
        <w:rPr>
          <w:rFonts w:hint="cs"/>
          <w:rtl/>
        </w:rPr>
        <w:t>ביאור הקה"י דבהשביח ולבסוף פגם יש לתערובת דין חנ"נ דנעשית גוף האיסור</w:t>
      </w:r>
      <w:bookmarkEnd w:id="10820"/>
    </w:p>
    <w:p w:rsidR="00A82F1E" w:rsidRPr="00FF7289" w:rsidRDefault="00A82F1E" w:rsidP="009F44AF">
      <w:pPr>
        <w:pStyle w:val="a"/>
        <w:rPr>
          <w:rtl/>
        </w:rPr>
      </w:pPr>
      <w:bookmarkStart w:id="10821" w:name="_Ref19789217"/>
      <w:r>
        <w:rPr>
          <w:rFonts w:hint="cs"/>
          <w:rtl/>
        </w:rPr>
        <w:t xml:space="preserve">וכתב </w:t>
      </w:r>
      <w:r w:rsidRPr="00BF063B">
        <w:rPr>
          <w:rStyle w:val="af8"/>
          <w:rFonts w:hint="cs"/>
          <w:rtl/>
        </w:rPr>
        <w:t>הקה"י</w:t>
      </w:r>
      <w:r>
        <w:rPr>
          <w:rFonts w:hint="cs"/>
          <w:rtl/>
        </w:rPr>
        <w:t xml:space="preserve"> דעוד אפשר לבאר דבהשביח ולבסוף פגם, כיון שהשביח יש לתערובת דין חתיכה נעשית נבילה, ולכן אף שנפגמה אח"כ היא עדיין אסורה, </w:t>
      </w:r>
      <w:r w:rsidRPr="00FF7289">
        <w:rPr>
          <w:rFonts w:hint="cs"/>
          <w:rtl/>
        </w:rPr>
        <w:t>דהתערובת נעשית גוף האיסור, ובאיסור עצמו אין היתר נותן טעם לפגם, עד שיפסל מאכילה כנבילה שאינה ראויה לגר. [וכבר כתב</w:t>
      </w:r>
      <w:r>
        <w:rPr>
          <w:rFonts w:hint="cs"/>
          <w:rtl/>
        </w:rPr>
        <w:t>ו</w:t>
      </w:r>
      <w:r w:rsidRPr="00FF7289">
        <w:rPr>
          <w:rFonts w:hint="cs"/>
          <w:rtl/>
        </w:rPr>
        <w:t xml:space="preserve"> כן </w:t>
      </w:r>
      <w:r w:rsidRPr="00FF7289">
        <w:rPr>
          <w:rStyle w:val="af8"/>
          <w:rFonts w:hint="cs"/>
          <w:rtl/>
        </w:rPr>
        <w:t>הרא"ה</w:t>
      </w:r>
      <w:r>
        <w:rPr>
          <w:rStyle w:val="af8"/>
          <w:rFonts w:hint="cs"/>
          <w:rtl/>
        </w:rPr>
        <w:t xml:space="preserve">  בבד"ה</w:t>
      </w:r>
      <w:r w:rsidRPr="00FF7289">
        <w:rPr>
          <w:rFonts w:hint="cs"/>
          <w:rtl/>
        </w:rPr>
        <w:t xml:space="preserve"> </w:t>
      </w:r>
      <w:r w:rsidRPr="00F859CE">
        <w:rPr>
          <w:rStyle w:val="af6"/>
          <w:rFonts w:eastAsia="Guttman Hodes" w:hint="cs"/>
          <w:rtl/>
        </w:rPr>
        <w:t xml:space="preserve">(עי' אות </w:t>
      </w:r>
      <w:r w:rsidRPr="00F859CE">
        <w:rPr>
          <w:rStyle w:val="af6"/>
          <w:rFonts w:eastAsia="Guttman Hodes"/>
          <w:rtl/>
        </w:rPr>
        <w:fldChar w:fldCharType="begin"/>
      </w:r>
      <w:r w:rsidRPr="00F859CE">
        <w:rPr>
          <w:rStyle w:val="af6"/>
          <w:rFonts w:eastAsia="Guttman Hodes"/>
          <w:rtl/>
        </w:rPr>
        <w:instrText xml:space="preserve"> </w:instrText>
      </w:r>
      <w:r w:rsidRPr="00F859CE">
        <w:rPr>
          <w:rStyle w:val="af6"/>
          <w:rFonts w:eastAsia="Guttman Hodes" w:hint="cs"/>
        </w:rPr>
        <w:instrText>REF</w:instrText>
      </w:r>
      <w:r w:rsidRPr="00F859CE">
        <w:rPr>
          <w:rStyle w:val="af6"/>
          <w:rFonts w:eastAsia="Guttman Hodes" w:hint="cs"/>
          <w:rtl/>
        </w:rPr>
        <w:instrText xml:space="preserve"> _</w:instrText>
      </w:r>
      <w:r w:rsidRPr="00F859CE">
        <w:rPr>
          <w:rStyle w:val="af6"/>
          <w:rFonts w:eastAsia="Guttman Hodes" w:hint="cs"/>
        </w:rPr>
        <w:instrText>Ref20156539 \r \h</w:instrText>
      </w:r>
      <w:r w:rsidRPr="00F859CE">
        <w:rPr>
          <w:rStyle w:val="af6"/>
          <w:rFonts w:eastAsia="Guttman Hodes"/>
          <w:rtl/>
        </w:rPr>
        <w:instrText xml:space="preserve"> </w:instrText>
      </w:r>
      <w:r w:rsidRPr="00F859CE">
        <w:rPr>
          <w:rStyle w:val="af6"/>
          <w:rFonts w:eastAsia="Guttman Hodes"/>
          <w:rtl/>
        </w:rPr>
      </w:r>
      <w:r w:rsidRPr="00F859CE">
        <w:rPr>
          <w:rStyle w:val="af6"/>
          <w:rFonts w:eastAsia="Guttman Hodes"/>
          <w:rtl/>
        </w:rPr>
        <w:fldChar w:fldCharType="separate"/>
      </w:r>
      <w:r w:rsidR="004D1C5B">
        <w:rPr>
          <w:rStyle w:val="af6"/>
          <w:rFonts w:eastAsia="Guttman Hodes"/>
          <w:cs/>
        </w:rPr>
        <w:t>‎</w:t>
      </w:r>
      <w:r w:rsidR="004D1C5B">
        <w:rPr>
          <w:rStyle w:val="af6"/>
          <w:rFonts w:eastAsia="Guttman Hodes"/>
          <w:rtl/>
        </w:rPr>
        <w:t>ד)</w:t>
      </w:r>
      <w:r w:rsidRPr="00F859CE">
        <w:rPr>
          <w:rStyle w:val="af6"/>
          <w:rFonts w:eastAsia="Guttman Hodes"/>
          <w:rtl/>
        </w:rPr>
        <w:fldChar w:fldCharType="end"/>
      </w:r>
      <w:r>
        <w:rPr>
          <w:rFonts w:hint="cs"/>
          <w:rtl/>
        </w:rPr>
        <w:t xml:space="preserve"> </w:t>
      </w:r>
      <w:r w:rsidRPr="00F859CE">
        <w:rPr>
          <w:rStyle w:val="af8"/>
          <w:rFonts w:hint="cs"/>
          <w:rtl/>
        </w:rPr>
        <w:t>והחת"ס</w:t>
      </w:r>
      <w:r>
        <w:rPr>
          <w:rFonts w:hint="cs"/>
          <w:rtl/>
        </w:rPr>
        <w:t xml:space="preserve"> </w:t>
      </w:r>
      <w:r w:rsidRPr="00F859CE">
        <w:rPr>
          <w:rStyle w:val="af6"/>
          <w:rFonts w:eastAsia="Guttman Hodes" w:hint="cs"/>
          <w:rtl/>
        </w:rPr>
        <w:t xml:space="preserve">(עי' אות </w:t>
      </w:r>
      <w:r w:rsidRPr="00F859CE">
        <w:rPr>
          <w:rStyle w:val="af6"/>
          <w:rFonts w:eastAsia="Guttman Hodes"/>
          <w:rtl/>
        </w:rPr>
        <w:fldChar w:fldCharType="begin"/>
      </w:r>
      <w:r w:rsidRPr="00F859CE">
        <w:rPr>
          <w:rStyle w:val="af6"/>
          <w:rFonts w:eastAsia="Guttman Hodes"/>
          <w:rtl/>
        </w:rPr>
        <w:instrText xml:space="preserve"> </w:instrText>
      </w:r>
      <w:r w:rsidRPr="00F859CE">
        <w:rPr>
          <w:rStyle w:val="af6"/>
          <w:rFonts w:eastAsia="Guttman Hodes" w:hint="cs"/>
        </w:rPr>
        <w:instrText>REF</w:instrText>
      </w:r>
      <w:r w:rsidRPr="00F859CE">
        <w:rPr>
          <w:rStyle w:val="af6"/>
          <w:rFonts w:eastAsia="Guttman Hodes" w:hint="cs"/>
          <w:rtl/>
        </w:rPr>
        <w:instrText xml:space="preserve"> _</w:instrText>
      </w:r>
      <w:r w:rsidRPr="00F859CE">
        <w:rPr>
          <w:rStyle w:val="af6"/>
          <w:rFonts w:eastAsia="Guttman Hodes" w:hint="cs"/>
        </w:rPr>
        <w:instrText>Ref20156662 \r \h</w:instrText>
      </w:r>
      <w:r w:rsidRPr="00F859CE">
        <w:rPr>
          <w:rStyle w:val="af6"/>
          <w:rFonts w:eastAsia="Guttman Hodes"/>
          <w:rtl/>
        </w:rPr>
        <w:instrText xml:space="preserve"> </w:instrText>
      </w:r>
      <w:r w:rsidRPr="00F859CE">
        <w:rPr>
          <w:rStyle w:val="af6"/>
          <w:rFonts w:eastAsia="Guttman Hodes"/>
          <w:rtl/>
        </w:rPr>
      </w:r>
      <w:r w:rsidRPr="00F859CE">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F859CE">
        <w:rPr>
          <w:rStyle w:val="af6"/>
          <w:rFonts w:eastAsia="Guttman Hodes"/>
          <w:rtl/>
        </w:rPr>
        <w:fldChar w:fldCharType="end"/>
      </w:r>
      <w:r>
        <w:rPr>
          <w:rFonts w:hint="cs"/>
          <w:rtl/>
        </w:rPr>
        <w:t xml:space="preserve">, אמנם הרא"ה כ"כ רק לביאורו דהשביח ולבסוף פגם אסור רק בטעם כעיקר דרבנן, וכתב </w:t>
      </w:r>
      <w:r w:rsidRPr="00F859CE">
        <w:rPr>
          <w:rStyle w:val="af8"/>
          <w:rFonts w:hint="cs"/>
          <w:rtl/>
        </w:rPr>
        <w:t>הפרמ"ג</w:t>
      </w:r>
      <w:r>
        <w:rPr>
          <w:rFonts w:hint="cs"/>
          <w:rtl/>
        </w:rPr>
        <w:t xml:space="preserve"> </w:t>
      </w:r>
      <w:r w:rsidRPr="00F859CE">
        <w:rPr>
          <w:rStyle w:val="af6"/>
          <w:rFonts w:eastAsia="Guttman Hodes" w:hint="cs"/>
          <w:rtl/>
        </w:rPr>
        <w:t xml:space="preserve">(עי' אות </w:t>
      </w:r>
      <w:r w:rsidRPr="00F859CE">
        <w:rPr>
          <w:rStyle w:val="af6"/>
          <w:rFonts w:eastAsia="Guttman Hodes"/>
          <w:rtl/>
        </w:rPr>
        <w:fldChar w:fldCharType="begin"/>
      </w:r>
      <w:r w:rsidRPr="00F859CE">
        <w:rPr>
          <w:rStyle w:val="af6"/>
          <w:rFonts w:eastAsia="Guttman Hodes"/>
          <w:rtl/>
        </w:rPr>
        <w:instrText xml:space="preserve"> </w:instrText>
      </w:r>
      <w:r w:rsidRPr="00F859CE">
        <w:rPr>
          <w:rStyle w:val="af6"/>
          <w:rFonts w:eastAsia="Guttman Hodes" w:hint="cs"/>
        </w:rPr>
        <w:instrText>REF</w:instrText>
      </w:r>
      <w:r w:rsidRPr="00F859CE">
        <w:rPr>
          <w:rStyle w:val="af6"/>
          <w:rFonts w:eastAsia="Guttman Hodes" w:hint="cs"/>
          <w:rtl/>
        </w:rPr>
        <w:instrText xml:space="preserve"> _</w:instrText>
      </w:r>
      <w:r w:rsidRPr="00F859CE">
        <w:rPr>
          <w:rStyle w:val="af6"/>
          <w:rFonts w:eastAsia="Guttman Hodes" w:hint="cs"/>
        </w:rPr>
        <w:instrText>Ref20156655 \r \h</w:instrText>
      </w:r>
      <w:r w:rsidRPr="00F859CE">
        <w:rPr>
          <w:rStyle w:val="af6"/>
          <w:rFonts w:eastAsia="Guttman Hodes"/>
          <w:rtl/>
        </w:rPr>
        <w:instrText xml:space="preserve"> </w:instrText>
      </w:r>
      <w:r w:rsidRPr="00F859CE">
        <w:rPr>
          <w:rStyle w:val="af6"/>
          <w:rFonts w:eastAsia="Guttman Hodes"/>
          <w:rtl/>
        </w:rPr>
      </w:r>
      <w:r w:rsidRPr="00F859CE">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Pr="00F859CE">
        <w:rPr>
          <w:rStyle w:val="af6"/>
          <w:rFonts w:eastAsia="Guttman Hodes"/>
          <w:rtl/>
        </w:rPr>
        <w:fldChar w:fldCharType="end"/>
      </w:r>
      <w:r>
        <w:rPr>
          <w:rFonts w:hint="cs"/>
          <w:rtl/>
        </w:rPr>
        <w:t xml:space="preserve"> דלדעת </w:t>
      </w:r>
      <w:r w:rsidRPr="00F859CE">
        <w:rPr>
          <w:rStyle w:val="af8"/>
          <w:rFonts w:hint="cs"/>
          <w:rtl/>
        </w:rPr>
        <w:t>הרא"ה</w:t>
      </w:r>
      <w:r>
        <w:rPr>
          <w:rFonts w:hint="cs"/>
          <w:rtl/>
        </w:rPr>
        <w:t xml:space="preserve"> האיסור בהשביח ולבסוף פגם אינו מדאו'</w:t>
      </w:r>
      <w:r w:rsidRPr="00FF7289">
        <w:rPr>
          <w:rFonts w:hint="cs"/>
          <w:rtl/>
        </w:rPr>
        <w:t>].</w:t>
      </w:r>
      <w:bookmarkEnd w:id="10821"/>
    </w:p>
    <w:p w:rsidR="00A82F1E" w:rsidRDefault="00A82F1E" w:rsidP="00A82F1E">
      <w:pPr>
        <w:pStyle w:val="1"/>
        <w:rPr>
          <w:rtl/>
        </w:rPr>
      </w:pPr>
      <w:bookmarkStart w:id="10822" w:name="_Toc19738529"/>
      <w:bookmarkStart w:id="10823" w:name="_Toc19792392"/>
      <w:r>
        <w:rPr>
          <w:rFonts w:hint="cs"/>
          <w:rtl/>
        </w:rPr>
        <w:t>ביאור המקדש דוד</w:t>
      </w:r>
      <w:bookmarkEnd w:id="10822"/>
      <w:r>
        <w:rPr>
          <w:rFonts w:hint="cs"/>
          <w:rtl/>
        </w:rPr>
        <w:t xml:space="preserve"> דכשהשביח נהפך ההיתר לאיסור</w:t>
      </w:r>
      <w:bookmarkEnd w:id="10823"/>
    </w:p>
    <w:p w:rsidR="00A82F1E" w:rsidRPr="00FF7289" w:rsidRDefault="00A82F1E" w:rsidP="00A82F1E">
      <w:pPr>
        <w:pStyle w:val="a2"/>
        <w:rPr>
          <w:rtl/>
        </w:rPr>
      </w:pPr>
      <w:bookmarkStart w:id="10824" w:name="_Toc19792393"/>
      <w:r>
        <w:rPr>
          <w:rFonts w:hint="cs"/>
          <w:rtl/>
        </w:rPr>
        <w:t>קושית שיעורי המקדש דוד דבהשביח ולבסוף פגם אינו נהנה מהאיסור הפגום והוא בטל ברוב</w:t>
      </w:r>
      <w:bookmarkEnd w:id="10824"/>
    </w:p>
    <w:p w:rsidR="00A82F1E" w:rsidRPr="00FF7289" w:rsidRDefault="00A82F1E" w:rsidP="009F44AF">
      <w:pPr>
        <w:pStyle w:val="a"/>
      </w:pPr>
      <w:bookmarkStart w:id="10825" w:name="_Ref19789759"/>
      <w:r w:rsidRPr="00FF7289">
        <w:rPr>
          <w:rFonts w:hint="cs"/>
          <w:rtl/>
        </w:rPr>
        <w:t xml:space="preserve">הביא </w:t>
      </w:r>
      <w:r w:rsidRPr="00FF7289">
        <w:rPr>
          <w:rStyle w:val="af8"/>
          <w:rFonts w:hint="cs"/>
          <w:rtl/>
        </w:rPr>
        <w:t>בשיעורי מקדש דוד</w:t>
      </w:r>
      <w:r w:rsidRPr="00FF7289">
        <w:rPr>
          <w:rFonts w:hint="cs"/>
          <w:rtl/>
        </w:rPr>
        <w:t xml:space="preserve"> </w:t>
      </w:r>
      <w:r w:rsidRPr="00FF7289">
        <w:rPr>
          <w:rStyle w:val="af6"/>
          <w:rFonts w:eastAsia="Guttman Hodes" w:hint="cs"/>
          <w:rtl/>
        </w:rPr>
        <w:t>(חולין סי' י"א אות ז', ובספר ב</w:t>
      </w:r>
      <w:r w:rsidRPr="00FF7289">
        <w:rPr>
          <w:rStyle w:val="af6"/>
          <w:rFonts w:eastAsia="Guttman Hodes"/>
          <w:rtl/>
        </w:rPr>
        <w:t>קובץ ענינים</w:t>
      </w:r>
      <w:r w:rsidRPr="00FF7289">
        <w:rPr>
          <w:rStyle w:val="af6"/>
          <w:rFonts w:eastAsia="Guttman Hodes" w:hint="cs"/>
          <w:rtl/>
        </w:rPr>
        <w:t xml:space="preserve"> </w:t>
      </w:r>
      <w:r w:rsidRPr="00FF7289">
        <w:rPr>
          <w:rStyle w:val="af6"/>
          <w:rFonts w:eastAsia="Guttman Hodes"/>
          <w:rtl/>
        </w:rPr>
        <w:t>הגרד"ר סי' ח' אות ו')</w:t>
      </w:r>
      <w:r w:rsidRPr="00FF7289">
        <w:rPr>
          <w:rStyle w:val="af6"/>
          <w:rFonts w:eastAsia="Guttman Hodes" w:hint="cs"/>
          <w:rtl/>
        </w:rPr>
        <w:t xml:space="preserve"> </w:t>
      </w:r>
      <w:r w:rsidRPr="00FF7289">
        <w:rPr>
          <w:rFonts w:hint="cs"/>
          <w:rtl/>
        </w:rPr>
        <w:t xml:space="preserve">את דברי </w:t>
      </w:r>
      <w:r>
        <w:rPr>
          <w:rStyle w:val="af8"/>
          <w:rtl/>
        </w:rPr>
        <w:t xml:space="preserve">הר"ן על הרי"ף </w:t>
      </w:r>
      <w:r>
        <w:rPr>
          <w:rStyle w:val="af6"/>
          <w:rFonts w:eastAsia="Guttman Hodes" w:hint="cs"/>
          <w:rtl/>
        </w:rPr>
        <w:t>(סוף לב. מדפי הרי"ף ד"ה ודאמרינן, הובא לעיל סימן י"ב אות מז)</w:t>
      </w:r>
      <w:r w:rsidRPr="00FF7289">
        <w:rPr>
          <w:rFonts w:hint="cs"/>
          <w:rtl/>
        </w:rPr>
        <w:t xml:space="preserve"> דכתב דההיתר בפגום קצת הוא כיון שאינו נהנה מהטעם האסור, ואף שמרוויח קצת במה שהאיסור הגדיל את מידת ההיתר, מ"מ הוא מפסיד יותר במה שהטעם פגם, </w:t>
      </w:r>
      <w:r>
        <w:rPr>
          <w:rFonts w:hint="cs"/>
          <w:rtl/>
        </w:rPr>
        <w:t>ו</w:t>
      </w:r>
      <w:r w:rsidRPr="00FF7289">
        <w:rPr>
          <w:rFonts w:hint="cs"/>
          <w:rtl/>
        </w:rPr>
        <w:t xml:space="preserve">הקשה </w:t>
      </w:r>
      <w:r w:rsidRPr="00494BD0">
        <w:rPr>
          <w:rStyle w:val="af8"/>
          <w:rFonts w:hint="cs"/>
          <w:rtl/>
        </w:rPr>
        <w:t>המקדש דוד</w:t>
      </w:r>
      <w:r w:rsidRPr="00FF7289">
        <w:rPr>
          <w:rFonts w:hint="cs"/>
          <w:rtl/>
        </w:rPr>
        <w:t xml:space="preserve"> </w:t>
      </w:r>
      <w:r>
        <w:rPr>
          <w:rFonts w:hint="cs"/>
          <w:rtl/>
        </w:rPr>
        <w:t>דא"כ אמאי אסור ב</w:t>
      </w:r>
      <w:r w:rsidRPr="00FF7289">
        <w:rPr>
          <w:rFonts w:hint="cs"/>
          <w:rtl/>
        </w:rPr>
        <w:t>השביח ולבסוף פגם, הא עכשיו אוכל טעם פגום</w:t>
      </w:r>
      <w:r>
        <w:rPr>
          <w:rFonts w:hint="cs"/>
          <w:rtl/>
        </w:rPr>
        <w:t xml:space="preserve"> ואינו נהנה ממנו</w:t>
      </w:r>
      <w:r w:rsidRPr="00FF7289">
        <w:rPr>
          <w:rFonts w:hint="cs"/>
          <w:rtl/>
        </w:rPr>
        <w:t>,</w:t>
      </w:r>
      <w:r>
        <w:rPr>
          <w:rFonts w:hint="cs"/>
          <w:rtl/>
        </w:rPr>
        <w:t xml:space="preserve"> וצריך הטעם להתבטל ברוב,</w:t>
      </w:r>
      <w:r w:rsidRPr="00FF7289">
        <w:rPr>
          <w:rFonts w:hint="cs"/>
          <w:rtl/>
        </w:rPr>
        <w:t xml:space="preserve"> ומאי נ"מ במה שבתחילה השביח</w:t>
      </w:r>
      <w:r>
        <w:rPr>
          <w:rFonts w:hint="cs"/>
          <w:rtl/>
        </w:rPr>
        <w:t xml:space="preserve">. [ועי' במה שביאר בזה </w:t>
      </w:r>
      <w:r w:rsidRPr="00494BD0">
        <w:rPr>
          <w:rStyle w:val="af8"/>
          <w:rFonts w:hint="cs"/>
          <w:rtl/>
        </w:rPr>
        <w:t>הר"ן בחי'</w:t>
      </w:r>
      <w:r>
        <w:rPr>
          <w:rFonts w:hint="cs"/>
          <w:rtl/>
        </w:rPr>
        <w:t xml:space="preserve"> </w:t>
      </w:r>
      <w:r w:rsidRPr="00813BB0">
        <w:rPr>
          <w:rStyle w:val="af6"/>
          <w:rFonts w:eastAsia="Guttman Hodes" w:hint="cs"/>
          <w:rtl/>
        </w:rPr>
        <w:t xml:space="preserve">(עי' אות </w:t>
      </w:r>
      <w:r w:rsidRPr="00813BB0">
        <w:rPr>
          <w:rStyle w:val="af6"/>
          <w:rFonts w:eastAsia="Guttman Hodes"/>
          <w:rtl/>
        </w:rPr>
        <w:fldChar w:fldCharType="begin"/>
      </w:r>
      <w:r w:rsidRPr="00813BB0">
        <w:rPr>
          <w:rStyle w:val="af6"/>
          <w:rFonts w:eastAsia="Guttman Hodes"/>
          <w:rtl/>
        </w:rPr>
        <w:instrText xml:space="preserve"> </w:instrText>
      </w:r>
      <w:r w:rsidRPr="00813BB0">
        <w:rPr>
          <w:rStyle w:val="af6"/>
          <w:rFonts w:eastAsia="Guttman Hodes" w:hint="cs"/>
        </w:rPr>
        <w:instrText>REF</w:instrText>
      </w:r>
      <w:r w:rsidRPr="00813BB0">
        <w:rPr>
          <w:rStyle w:val="af6"/>
          <w:rFonts w:eastAsia="Guttman Hodes" w:hint="cs"/>
          <w:rtl/>
        </w:rPr>
        <w:instrText xml:space="preserve"> _</w:instrText>
      </w:r>
      <w:r w:rsidRPr="00813BB0">
        <w:rPr>
          <w:rStyle w:val="af6"/>
          <w:rFonts w:eastAsia="Guttman Hodes" w:hint="cs"/>
        </w:rPr>
        <w:instrText>Ref19789786 \r \h</w:instrText>
      </w:r>
      <w:r w:rsidRPr="00813BB0">
        <w:rPr>
          <w:rStyle w:val="af6"/>
          <w:rFonts w:eastAsia="Guttman Hodes"/>
          <w:rtl/>
        </w:rPr>
        <w:instrText xml:space="preserve"> </w:instrText>
      </w:r>
      <w:r w:rsidRPr="00813BB0">
        <w:rPr>
          <w:rStyle w:val="af6"/>
          <w:rFonts w:eastAsia="Guttman Hodes"/>
          <w:rtl/>
        </w:rPr>
      </w:r>
      <w:r w:rsidRPr="00813BB0">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813BB0">
        <w:rPr>
          <w:rStyle w:val="af6"/>
          <w:rFonts w:eastAsia="Guttman Hodes"/>
          <w:rtl/>
        </w:rPr>
        <w:fldChar w:fldCharType="end"/>
      </w:r>
      <w:r>
        <w:rPr>
          <w:rFonts w:hint="cs"/>
          <w:rtl/>
        </w:rPr>
        <w:t>].</w:t>
      </w:r>
      <w:bookmarkEnd w:id="10825"/>
    </w:p>
    <w:p w:rsidR="00A82F1E" w:rsidRPr="00813BB0" w:rsidRDefault="00A82F1E" w:rsidP="00A82F1E">
      <w:pPr>
        <w:pStyle w:val="a2"/>
      </w:pPr>
      <w:bookmarkStart w:id="10826" w:name="_Toc19207847"/>
      <w:bookmarkStart w:id="10827" w:name="_Toc19479374"/>
      <w:bookmarkStart w:id="10828" w:name="_Toc19618223"/>
      <w:bookmarkStart w:id="10829" w:name="_Toc19624501"/>
      <w:bookmarkStart w:id="10830" w:name="_Toc19651818"/>
      <w:bookmarkStart w:id="10831" w:name="_Toc19694976"/>
      <w:bookmarkStart w:id="10832" w:name="_Toc19738531"/>
      <w:bookmarkStart w:id="10833" w:name="_Toc19792394"/>
      <w:r w:rsidRPr="00813BB0">
        <w:rPr>
          <w:rFonts w:hint="cs"/>
          <w:rtl/>
        </w:rPr>
        <w:t>ביאור המקדש דוד בר"ן [עפי"ד הש"ך] דבנטל"פ לא אמרינן נהפך ואין בו דין טע"כ כלל</w:t>
      </w:r>
      <w:bookmarkEnd w:id="10826"/>
      <w:bookmarkEnd w:id="10827"/>
      <w:bookmarkEnd w:id="10828"/>
      <w:bookmarkEnd w:id="10829"/>
      <w:bookmarkEnd w:id="10830"/>
      <w:bookmarkEnd w:id="10831"/>
      <w:bookmarkEnd w:id="10832"/>
      <w:bookmarkEnd w:id="10833"/>
    </w:p>
    <w:p w:rsidR="00A82F1E" w:rsidRDefault="00A82F1E" w:rsidP="009F44AF">
      <w:pPr>
        <w:pStyle w:val="a"/>
        <w:rPr>
          <w:rtl/>
        </w:rPr>
      </w:pPr>
      <w:r w:rsidRPr="00813BB0">
        <w:rPr>
          <w:rFonts w:hint="cs"/>
          <w:rtl/>
        </w:rPr>
        <w:t xml:space="preserve">והביא </w:t>
      </w:r>
      <w:r w:rsidRPr="00C70267">
        <w:rPr>
          <w:rStyle w:val="af8"/>
          <w:rFonts w:hint="cs"/>
          <w:rtl/>
        </w:rPr>
        <w:t>בשיעורי המקדש</w:t>
      </w:r>
      <w:r w:rsidRPr="00813BB0">
        <w:rPr>
          <w:rStyle w:val="af8"/>
          <w:rFonts w:hint="cs"/>
          <w:rtl/>
        </w:rPr>
        <w:t xml:space="preserve"> דוד</w:t>
      </w:r>
      <w:r w:rsidRPr="00813BB0">
        <w:rPr>
          <w:rFonts w:hint="cs"/>
          <w:rtl/>
        </w:rPr>
        <w:t xml:space="preserve"> את דברי </w:t>
      </w:r>
      <w:r w:rsidRPr="00813BB0">
        <w:rPr>
          <w:rStyle w:val="af8"/>
          <w:rFonts w:hint="cs"/>
          <w:rtl/>
        </w:rPr>
        <w:t>הש"ך</w:t>
      </w:r>
      <w:r w:rsidRPr="00813BB0">
        <w:rPr>
          <w:rStyle w:val="af6"/>
          <w:rFonts w:eastAsia="Guttman Hodes" w:hint="cs"/>
          <w:rtl/>
        </w:rPr>
        <w:t xml:space="preserve"> (סי' צ"ח סק"ו, הובא לעיל סימן ח' אות עג)</w:t>
      </w:r>
      <w:r w:rsidRPr="00813BB0">
        <w:rPr>
          <w:rFonts w:hint="cs"/>
          <w:rtl/>
        </w:rPr>
        <w:t xml:space="preserve"> דכתב דהא דטעם כעיקר אסור מדאו', ולא מהני בטעם ביטול ברוב, הוא כיון דבטעם כעיקר נהפך ההיתר לאיסור, ואחר שנאסר ההיתר ממילא אין מה שיבטל את האיסור, וכתב </w:t>
      </w:r>
      <w:r w:rsidRPr="00813BB0">
        <w:rPr>
          <w:rStyle w:val="af8"/>
          <w:rFonts w:hint="cs"/>
          <w:rtl/>
        </w:rPr>
        <w:t>המקדש דוד</w:t>
      </w:r>
      <w:r w:rsidRPr="00813BB0">
        <w:rPr>
          <w:rFonts w:hint="cs"/>
          <w:rtl/>
        </w:rPr>
        <w:t xml:space="preserve"> דלפי"ז לדעת </w:t>
      </w:r>
      <w:r w:rsidRPr="00813BB0">
        <w:rPr>
          <w:rStyle w:val="af8"/>
          <w:rFonts w:hint="cs"/>
          <w:rtl/>
        </w:rPr>
        <w:t>הר"ן</w:t>
      </w:r>
      <w:r w:rsidRPr="00813BB0">
        <w:rPr>
          <w:rFonts w:hint="cs"/>
          <w:rtl/>
        </w:rPr>
        <w:t xml:space="preserve"> הביאור בנותן טעם לפגם הוא דכיון שהאיסור פוגם ומקלקל את ההיתר, אין הטעם פגום חשוב להפוך את ההיתר איסור, </w:t>
      </w:r>
      <w:r w:rsidRPr="00813BB0">
        <w:rPr>
          <w:rStyle w:val="afa"/>
          <w:rFonts w:hint="cs"/>
          <w:rtl/>
        </w:rPr>
        <w:t xml:space="preserve">[וביאר </w:t>
      </w:r>
      <w:r w:rsidRPr="00813BB0">
        <w:rPr>
          <w:rStyle w:val="affa"/>
          <w:rFonts w:hint="cs"/>
          <w:rtl/>
        </w:rPr>
        <w:t>בשיעורי המקדש דוד</w:t>
      </w:r>
      <w:r w:rsidRPr="00813BB0">
        <w:rPr>
          <w:rStyle w:val="afa"/>
          <w:rFonts w:hint="cs"/>
          <w:rtl/>
        </w:rPr>
        <w:t xml:space="preserve"> </w:t>
      </w:r>
      <w:r w:rsidRPr="00813BB0">
        <w:rPr>
          <w:rStyle w:val="aff6"/>
          <w:rFonts w:hint="cs"/>
          <w:rtl/>
        </w:rPr>
        <w:t xml:space="preserve">(סי' י"א אות ט' ד"ה והנה בטעם בתו"ד) </w:t>
      </w:r>
      <w:r w:rsidRPr="00813BB0">
        <w:rPr>
          <w:rStyle w:val="afa"/>
          <w:rFonts w:hint="cs"/>
          <w:rtl/>
        </w:rPr>
        <w:t xml:space="preserve">דא"א לומר דהטעם </w:t>
      </w:r>
      <w:r w:rsidRPr="00813BB0">
        <w:rPr>
          <w:rStyle w:val="afa"/>
          <w:rFonts w:hint="cs"/>
          <w:rtl/>
        </w:rPr>
        <w:t>הפגום הוא העיקר],</w:t>
      </w:r>
      <w:r w:rsidRPr="00813BB0">
        <w:rPr>
          <w:rFonts w:hint="cs"/>
          <w:rtl/>
        </w:rPr>
        <w:t xml:space="preserve"> אלא ההיתר מבטל את האיסור, וא"כ אמרינן להיפך דהאיסור נהפך להיות היתר, ואין כל דין טעם כעיקר כלל, והוסיף </w:t>
      </w:r>
      <w:r w:rsidRPr="00813BB0">
        <w:rPr>
          <w:rStyle w:val="af8"/>
          <w:rFonts w:hint="cs"/>
          <w:rtl/>
        </w:rPr>
        <w:t>המקדש דוד</w:t>
      </w:r>
      <w:r w:rsidRPr="00813BB0">
        <w:rPr>
          <w:rFonts w:hint="cs"/>
          <w:rtl/>
        </w:rPr>
        <w:t xml:space="preserve"> </w:t>
      </w:r>
      <w:r w:rsidRPr="00813BB0">
        <w:rPr>
          <w:rStyle w:val="af6"/>
          <w:rFonts w:eastAsia="Guttman Hodes" w:hint="cs"/>
          <w:rtl/>
        </w:rPr>
        <w:t xml:space="preserve">(סי' י"א אות ט', ובקובץ ענינים סי' ח' אות ח') </w:t>
      </w:r>
      <w:r w:rsidRPr="00813BB0">
        <w:rPr>
          <w:rFonts w:hint="cs"/>
          <w:rtl/>
        </w:rPr>
        <w:t xml:space="preserve">דדעת </w:t>
      </w:r>
      <w:r w:rsidRPr="00813BB0">
        <w:rPr>
          <w:rStyle w:val="af8"/>
          <w:rFonts w:hint="cs"/>
          <w:rtl/>
        </w:rPr>
        <w:t>הר"ן</w:t>
      </w:r>
      <w:r w:rsidRPr="00813BB0">
        <w:rPr>
          <w:rFonts w:hint="cs"/>
          <w:rtl/>
        </w:rPr>
        <w:t xml:space="preserve"> דכיון שהטעם הפגום מפסיד את ההיתר, אין בו דין נהפך, ולא שייך בו טעם כעיקר</w:t>
      </w:r>
      <w:r>
        <w:rPr>
          <w:rFonts w:hint="cs"/>
          <w:rtl/>
        </w:rPr>
        <w:t>.</w:t>
      </w:r>
    </w:p>
    <w:p w:rsidR="00A82F1E" w:rsidRPr="00C70267" w:rsidRDefault="00A82F1E" w:rsidP="00A82F1E">
      <w:pPr>
        <w:pStyle w:val="a2"/>
      </w:pPr>
      <w:bookmarkStart w:id="10834" w:name="_Toc19792395"/>
      <w:r>
        <w:rPr>
          <w:rFonts w:hint="cs"/>
          <w:rtl/>
        </w:rPr>
        <w:t>ביאור המקדש דוד דבהשביח ולבסוף פגם ההיתר נהפך לאיסור וא"א להחזירו להיתר כשנפגם</w:t>
      </w:r>
      <w:bookmarkEnd w:id="10834"/>
    </w:p>
    <w:p w:rsidR="00A82F1E" w:rsidRPr="00813BB0" w:rsidRDefault="00A82F1E" w:rsidP="009F44AF">
      <w:pPr>
        <w:pStyle w:val="a"/>
        <w:rPr>
          <w:rStyle w:val="afa"/>
        </w:rPr>
      </w:pPr>
      <w:bookmarkStart w:id="10835" w:name="_Ref19790025"/>
      <w:r w:rsidRPr="00813BB0">
        <w:rPr>
          <w:rFonts w:hint="cs"/>
          <w:rtl/>
        </w:rPr>
        <w:t xml:space="preserve">ובזה ביאר </w:t>
      </w:r>
      <w:r w:rsidRPr="00C70267">
        <w:rPr>
          <w:rStyle w:val="af8"/>
          <w:rFonts w:hint="cs"/>
          <w:rtl/>
        </w:rPr>
        <w:t>בשיעורי המקדש</w:t>
      </w:r>
      <w:r w:rsidRPr="00813BB0">
        <w:rPr>
          <w:rStyle w:val="af8"/>
          <w:rFonts w:hint="cs"/>
          <w:rtl/>
        </w:rPr>
        <w:t xml:space="preserve"> דוד</w:t>
      </w:r>
      <w:r w:rsidRPr="00813BB0">
        <w:rPr>
          <w:rFonts w:hint="cs"/>
          <w:rtl/>
        </w:rPr>
        <w:t xml:space="preserve"> את האיסור בהשביח ולבסוף פגם, דבשעה שהשביח נהפך ההיתר לאיסור, מדין טעם כעיקר, ואחר שנפגם האיסור א"א להתיר את האיסור ע"י ההיתר, כיון שההיתר נעשה כמו האיסור עצמו, וא"א להחזירו להיות היתר ע"י שנפגם האיסור</w:t>
      </w:r>
      <w:r>
        <w:rPr>
          <w:rFonts w:hint="cs"/>
          <w:rtl/>
        </w:rPr>
        <w:t xml:space="preserve">. [וכ"כ </w:t>
      </w:r>
      <w:r w:rsidRPr="000B42A0">
        <w:rPr>
          <w:rStyle w:val="af8"/>
          <w:rFonts w:hint="cs"/>
          <w:rtl/>
        </w:rPr>
        <w:t>בחידושי הרי"ם</w:t>
      </w:r>
      <w:r>
        <w:rPr>
          <w:rFonts w:hint="cs"/>
          <w:rtl/>
        </w:rPr>
        <w:t xml:space="preserve"> </w:t>
      </w:r>
      <w:r w:rsidRPr="000B42A0">
        <w:rPr>
          <w:rStyle w:val="af6"/>
          <w:rFonts w:eastAsia="Guttman Hodes" w:hint="cs"/>
          <w:rtl/>
        </w:rPr>
        <w:t xml:space="preserve">(עי' אות </w:t>
      </w:r>
      <w:r w:rsidRPr="000B42A0">
        <w:rPr>
          <w:rStyle w:val="af6"/>
          <w:rFonts w:eastAsia="Guttman Hodes"/>
          <w:rtl/>
        </w:rPr>
        <w:fldChar w:fldCharType="begin"/>
      </w:r>
      <w:r w:rsidRPr="000B42A0">
        <w:rPr>
          <w:rStyle w:val="af6"/>
          <w:rFonts w:eastAsia="Guttman Hodes"/>
          <w:rtl/>
        </w:rPr>
        <w:instrText xml:space="preserve"> </w:instrText>
      </w:r>
      <w:r w:rsidRPr="000B42A0">
        <w:rPr>
          <w:rStyle w:val="af6"/>
          <w:rFonts w:eastAsia="Guttman Hodes" w:hint="cs"/>
        </w:rPr>
        <w:instrText>REF</w:instrText>
      </w:r>
      <w:r w:rsidRPr="000B42A0">
        <w:rPr>
          <w:rStyle w:val="af6"/>
          <w:rFonts w:eastAsia="Guttman Hodes" w:hint="cs"/>
          <w:rtl/>
        </w:rPr>
        <w:instrText xml:space="preserve"> _</w:instrText>
      </w:r>
      <w:r w:rsidRPr="000B42A0">
        <w:rPr>
          <w:rStyle w:val="af6"/>
          <w:rFonts w:eastAsia="Guttman Hodes" w:hint="cs"/>
        </w:rPr>
        <w:instrText>Ref19789975 \r \h</w:instrText>
      </w:r>
      <w:r w:rsidRPr="000B42A0">
        <w:rPr>
          <w:rStyle w:val="af6"/>
          <w:rFonts w:eastAsia="Guttman Hodes"/>
          <w:rtl/>
        </w:rPr>
        <w:instrText xml:space="preserve"> </w:instrText>
      </w:r>
      <w:r w:rsidRPr="000B42A0">
        <w:rPr>
          <w:rStyle w:val="af6"/>
          <w:rFonts w:eastAsia="Guttman Hodes"/>
          <w:rtl/>
        </w:rPr>
      </w:r>
      <w:r w:rsidRPr="000B42A0">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0B42A0">
        <w:rPr>
          <w:rStyle w:val="af6"/>
          <w:rFonts w:eastAsia="Guttman Hodes"/>
          <w:rtl/>
        </w:rPr>
        <w:fldChar w:fldCharType="end"/>
      </w:r>
      <w:r w:rsidRPr="00813BB0">
        <w:rPr>
          <w:rFonts w:hint="cs"/>
          <w:rtl/>
        </w:rPr>
        <w:t>].</w:t>
      </w:r>
      <w:bookmarkEnd w:id="10835"/>
    </w:p>
    <w:p w:rsidR="00A82F1E" w:rsidRDefault="00A82F1E" w:rsidP="00E669F8">
      <w:pPr>
        <w:pStyle w:val="afd"/>
        <w:rPr>
          <w:rtl/>
        </w:rPr>
      </w:pPr>
      <w:bookmarkStart w:id="10836" w:name="_Toc19738532"/>
      <w:bookmarkStart w:id="10837" w:name="_Toc19792396"/>
      <w:r>
        <w:rPr>
          <w:rFonts w:hint="cs"/>
          <w:rtl/>
        </w:rPr>
        <w:t>בדין פגם ולבסוף השביח</w:t>
      </w:r>
      <w:bookmarkEnd w:id="10836"/>
      <w:bookmarkEnd w:id="10837"/>
    </w:p>
    <w:p w:rsidR="00A82F1E" w:rsidRDefault="00A82F1E" w:rsidP="00A82F1E">
      <w:pPr>
        <w:pStyle w:val="1"/>
        <w:rPr>
          <w:rtl/>
        </w:rPr>
      </w:pPr>
      <w:bookmarkStart w:id="10838" w:name="_Toc19738533"/>
      <w:bookmarkStart w:id="10839" w:name="_Toc19792397"/>
      <w:r>
        <w:rPr>
          <w:rFonts w:hint="cs"/>
          <w:rtl/>
        </w:rPr>
        <w:t>דברי הקה"י</w:t>
      </w:r>
      <w:bookmarkEnd w:id="10838"/>
      <w:r>
        <w:rPr>
          <w:rFonts w:hint="cs"/>
          <w:rtl/>
        </w:rPr>
        <w:t xml:space="preserve"> בביאור דעת הר"ן והרשב"א דבהשביח חוזר ואוסר</w:t>
      </w:r>
      <w:bookmarkEnd w:id="10839"/>
    </w:p>
    <w:p w:rsidR="00A82F1E" w:rsidRPr="001431F0" w:rsidRDefault="00A82F1E" w:rsidP="00A82F1E">
      <w:pPr>
        <w:pStyle w:val="a2"/>
      </w:pPr>
      <w:bookmarkStart w:id="10840" w:name="_Toc19792398"/>
      <w:r>
        <w:rPr>
          <w:rFonts w:hint="cs"/>
          <w:rtl/>
        </w:rPr>
        <w:t>דברי הקה"י דלדעת הר"ן דבנטל"פ לא פקע האיסור מהטעם הפגום חוזר ונאסר כשהשביח</w:t>
      </w:r>
      <w:bookmarkEnd w:id="10840"/>
    </w:p>
    <w:p w:rsidR="00A82F1E" w:rsidRDefault="00A82F1E" w:rsidP="009F44AF">
      <w:pPr>
        <w:pStyle w:val="a"/>
        <w:rPr>
          <w:rtl/>
        </w:rPr>
      </w:pPr>
      <w:bookmarkStart w:id="10841" w:name="_Ref19795886"/>
      <w:r>
        <w:rPr>
          <w:rFonts w:hint="cs"/>
          <w:rtl/>
        </w:rPr>
        <w:t xml:space="preserve">הביא </w:t>
      </w:r>
      <w:r w:rsidRPr="00BF063B">
        <w:rPr>
          <w:rStyle w:val="af8"/>
          <w:rFonts w:hint="cs"/>
          <w:rtl/>
        </w:rPr>
        <w:t xml:space="preserve">הקה"י </w:t>
      </w:r>
      <w:r w:rsidRPr="00CA6DF4">
        <w:rPr>
          <w:rStyle w:val="af6"/>
          <w:rFonts w:eastAsia="Guttman Hodes" w:hint="cs"/>
          <w:rtl/>
        </w:rPr>
        <w:t>(סי' כ"ה ה' ד"ה והנה מבואר)</w:t>
      </w:r>
      <w:r>
        <w:rPr>
          <w:rFonts w:hint="cs"/>
          <w:rtl/>
        </w:rPr>
        <w:t xml:space="preserve"> את דברי </w:t>
      </w:r>
      <w:r w:rsidRPr="00BF063B">
        <w:rPr>
          <w:rStyle w:val="af8"/>
          <w:rFonts w:hint="cs"/>
          <w:rtl/>
        </w:rPr>
        <w:t>השו"ע</w:t>
      </w:r>
      <w:r>
        <w:rPr>
          <w:rFonts w:hint="cs"/>
          <w:rtl/>
        </w:rPr>
        <w:t xml:space="preserve"> </w:t>
      </w:r>
      <w:r w:rsidRPr="00CA6DF4">
        <w:rPr>
          <w:rStyle w:val="af6"/>
          <w:rFonts w:eastAsia="Guttman Hodes" w:hint="cs"/>
          <w:rtl/>
        </w:rPr>
        <w:t>(סי' ק"ג ב')</w:t>
      </w:r>
      <w:r>
        <w:rPr>
          <w:rFonts w:hint="cs"/>
          <w:rtl/>
        </w:rPr>
        <w:t xml:space="preserve"> דפסק דבפגם ולבסוף השביח אסור, וכתב </w:t>
      </w:r>
      <w:r w:rsidRPr="0051177A">
        <w:rPr>
          <w:rStyle w:val="af8"/>
          <w:rFonts w:hint="cs"/>
          <w:rtl/>
        </w:rPr>
        <w:t>הקה"י</w:t>
      </w:r>
      <w:r>
        <w:rPr>
          <w:rFonts w:hint="cs"/>
          <w:rtl/>
        </w:rPr>
        <w:t xml:space="preserve"> דלדעת </w:t>
      </w:r>
      <w:r w:rsidRPr="00D47CE7">
        <w:rPr>
          <w:rStyle w:val="af8"/>
          <w:rFonts w:hint="cs"/>
          <w:rtl/>
        </w:rPr>
        <w:t xml:space="preserve">הר"ן </w:t>
      </w:r>
      <w:r w:rsidRPr="00855FCF">
        <w:rPr>
          <w:rStyle w:val="afa"/>
          <w:rFonts w:hint="cs"/>
          <w:rtl/>
        </w:rPr>
        <w:t>[ל</w:t>
      </w:r>
      <w:r>
        <w:rPr>
          <w:rStyle w:val="afa"/>
          <w:rFonts w:hint="cs"/>
          <w:rtl/>
        </w:rPr>
        <w:t>ביאור</w:t>
      </w:r>
      <w:r w:rsidRPr="00855FCF">
        <w:rPr>
          <w:rStyle w:val="afa"/>
          <w:rFonts w:hint="cs"/>
          <w:rtl/>
        </w:rPr>
        <w:t xml:space="preserve"> </w:t>
      </w:r>
      <w:r w:rsidRPr="00855FCF">
        <w:rPr>
          <w:rStyle w:val="affa"/>
          <w:rFonts w:hint="cs"/>
          <w:rtl/>
        </w:rPr>
        <w:t>הקה"י</w:t>
      </w:r>
      <w:r w:rsidRPr="00855FCF">
        <w:rPr>
          <w:rStyle w:val="afa"/>
          <w:rFonts w:hint="cs"/>
          <w:rtl/>
        </w:rPr>
        <w:t xml:space="preserve"> </w:t>
      </w:r>
      <w:r w:rsidRPr="00855FCF">
        <w:rPr>
          <w:rStyle w:val="affa"/>
          <w:rFonts w:hint="cs"/>
          <w:rtl/>
        </w:rPr>
        <w:t>בר"ן</w:t>
      </w:r>
      <w:r>
        <w:rPr>
          <w:rStyle w:val="afa"/>
          <w:rFonts w:hint="cs"/>
          <w:rtl/>
        </w:rPr>
        <w:t xml:space="preserve"> </w:t>
      </w:r>
      <w:r w:rsidRPr="00AF7E1C">
        <w:rPr>
          <w:rStyle w:val="aff6"/>
          <w:rFonts w:hint="cs"/>
          <w:rtl/>
        </w:rPr>
        <w:t>(</w:t>
      </w:r>
      <w:r w:rsidRPr="00855FCF">
        <w:rPr>
          <w:rStyle w:val="aff6"/>
          <w:rFonts w:hint="cs"/>
          <w:rtl/>
        </w:rPr>
        <w:t xml:space="preserve">סי' כ"ה ד"ה ופשוט, ד"ה ולהרשב"א ז"ל, הובא לעיל סימן י"ב אות </w:t>
      </w:r>
      <w:r>
        <w:rPr>
          <w:rStyle w:val="aff6"/>
          <w:rFonts w:hint="cs"/>
          <w:rtl/>
        </w:rPr>
        <w:t>קכ"א</w:t>
      </w:r>
      <w:r w:rsidRPr="00855FCF">
        <w:rPr>
          <w:rStyle w:val="aff6"/>
          <w:rFonts w:hint="cs"/>
          <w:rtl/>
        </w:rPr>
        <w:t>)</w:t>
      </w:r>
      <w:r w:rsidRPr="00855FCF">
        <w:rPr>
          <w:rStyle w:val="afa"/>
          <w:rFonts w:hint="cs"/>
          <w:rtl/>
        </w:rPr>
        <w:t>],</w:t>
      </w:r>
      <w:r>
        <w:rPr>
          <w:rStyle w:val="afa"/>
          <w:rFonts w:hint="cs"/>
          <w:rtl/>
        </w:rPr>
        <w:t xml:space="preserve"> </w:t>
      </w:r>
      <w:r>
        <w:rPr>
          <w:rFonts w:hint="cs"/>
          <w:rtl/>
        </w:rPr>
        <w:t>דס"ל דבנותן טעם לפגם לא פקע מהטעם שם איסור, אלא דאין איסור אכילה בנותן טעם לפגם, כיון שאינו נהנה מהאיסור, א"כ מבואר האיסור בפגם ולבסוף השביח, דאף בשעה שפגם לא פקע שם האיסור מהטעם האסור, והיה בו רק היתר אכילה, וא"כ כשהשביח אח"כ ונהנה באכילתו, ממילא הוא אסור, דהוא אכילה בהנאה.</w:t>
      </w:r>
      <w:bookmarkEnd w:id="10841"/>
    </w:p>
    <w:p w:rsidR="00A82F1E" w:rsidRDefault="00A82F1E" w:rsidP="00A82F1E">
      <w:pPr>
        <w:pStyle w:val="a2"/>
        <w:rPr>
          <w:rtl/>
        </w:rPr>
      </w:pPr>
      <w:bookmarkStart w:id="10842" w:name="_Toc19792399"/>
      <w:r>
        <w:rPr>
          <w:rFonts w:hint="cs"/>
          <w:rtl/>
        </w:rPr>
        <w:t>קושית הקה"י להרשב"א דאין איסור טע"כ בנטל"פ כשהיה פגום פקע האיסור והיאך חוזר ואוסר</w:t>
      </w:r>
      <w:bookmarkEnd w:id="10842"/>
    </w:p>
    <w:p w:rsidR="00A82F1E" w:rsidRDefault="00A82F1E" w:rsidP="009F44AF">
      <w:pPr>
        <w:pStyle w:val="a"/>
        <w:rPr>
          <w:rtl/>
        </w:rPr>
      </w:pPr>
      <w:bookmarkStart w:id="10843" w:name="_Ref20428151"/>
      <w:r>
        <w:rPr>
          <w:rFonts w:hint="cs"/>
          <w:rtl/>
        </w:rPr>
        <w:t xml:space="preserve">אך הקשה </w:t>
      </w:r>
      <w:r w:rsidRPr="00BF063B">
        <w:rPr>
          <w:rStyle w:val="af8"/>
          <w:rFonts w:hint="cs"/>
          <w:rtl/>
        </w:rPr>
        <w:t>הקה"י</w:t>
      </w:r>
      <w:r>
        <w:rPr>
          <w:rFonts w:hint="cs"/>
          <w:rtl/>
        </w:rPr>
        <w:t xml:space="preserve"> דלדעת </w:t>
      </w:r>
      <w:r w:rsidRPr="00BF063B">
        <w:rPr>
          <w:rStyle w:val="af8"/>
          <w:rFonts w:hint="cs"/>
          <w:rtl/>
        </w:rPr>
        <w:t>הרשב"א</w:t>
      </w:r>
      <w:r>
        <w:rPr>
          <w:rFonts w:hint="cs"/>
          <w:rtl/>
        </w:rPr>
        <w:t xml:space="preserve"> </w:t>
      </w:r>
      <w:r w:rsidRPr="00855FCF">
        <w:rPr>
          <w:rStyle w:val="afa"/>
          <w:rFonts w:hint="cs"/>
          <w:rtl/>
        </w:rPr>
        <w:t>[ל</w:t>
      </w:r>
      <w:r>
        <w:rPr>
          <w:rStyle w:val="afa"/>
          <w:rFonts w:hint="cs"/>
          <w:rtl/>
        </w:rPr>
        <w:t>ביאור</w:t>
      </w:r>
      <w:r w:rsidRPr="00855FCF">
        <w:rPr>
          <w:rStyle w:val="afa"/>
          <w:rFonts w:hint="cs"/>
          <w:rtl/>
        </w:rPr>
        <w:t xml:space="preserve"> </w:t>
      </w:r>
      <w:r w:rsidRPr="00855FCF">
        <w:rPr>
          <w:rStyle w:val="affa"/>
          <w:rFonts w:hint="cs"/>
          <w:rtl/>
        </w:rPr>
        <w:t>הקה"י</w:t>
      </w:r>
      <w:r w:rsidRPr="00855FCF">
        <w:rPr>
          <w:rStyle w:val="afa"/>
          <w:rFonts w:hint="cs"/>
          <w:rtl/>
        </w:rPr>
        <w:t xml:space="preserve"> </w:t>
      </w:r>
      <w:r>
        <w:rPr>
          <w:rStyle w:val="affa"/>
          <w:rFonts w:hint="cs"/>
          <w:rtl/>
        </w:rPr>
        <w:t xml:space="preserve">ברשב"א </w:t>
      </w:r>
      <w:r>
        <w:rPr>
          <w:rStyle w:val="aff6"/>
          <w:rFonts w:hint="cs"/>
          <w:rtl/>
        </w:rPr>
        <w:t>(</w:t>
      </w:r>
      <w:r w:rsidRPr="00855FCF">
        <w:rPr>
          <w:rStyle w:val="aff6"/>
          <w:rFonts w:hint="cs"/>
          <w:rtl/>
        </w:rPr>
        <w:t>סי' כ"ה ד"ה ופשוט, ד"ה ולהרשב"א ז"ל, הובא לעיל סימן י"ב אות קכ</w:t>
      </w:r>
      <w:r>
        <w:rPr>
          <w:rStyle w:val="aff6"/>
          <w:rFonts w:hint="cs"/>
          <w:rtl/>
        </w:rPr>
        <w:t>"ב</w:t>
      </w:r>
      <w:r w:rsidRPr="00855FCF">
        <w:rPr>
          <w:rStyle w:val="aff6"/>
          <w:rFonts w:hint="cs"/>
          <w:rtl/>
        </w:rPr>
        <w:t>)</w:t>
      </w:r>
      <w:r w:rsidRPr="00855FCF">
        <w:rPr>
          <w:rStyle w:val="afa"/>
          <w:rFonts w:hint="cs"/>
          <w:rtl/>
        </w:rPr>
        <w:t>],</w:t>
      </w:r>
      <w:r>
        <w:rPr>
          <w:rFonts w:hint="cs"/>
          <w:rtl/>
        </w:rPr>
        <w:t xml:space="preserve"> דס"ל דאין דין נותן טעם לפגם בטעם פגום, א"כ כשהיה פגום בתחילה, פקע האיסור ממנו, ודינו הוא כנבילה שאינה ראויה לגר, דכתב </w:t>
      </w:r>
      <w:r w:rsidRPr="00D409FE">
        <w:rPr>
          <w:rStyle w:val="af8"/>
          <w:rFonts w:hint="cs"/>
          <w:rtl/>
        </w:rPr>
        <w:t>החוו"ד</w:t>
      </w:r>
      <w:r>
        <w:rPr>
          <w:rFonts w:hint="cs"/>
          <w:rtl/>
        </w:rPr>
        <w:t xml:space="preserve"> </w:t>
      </w:r>
      <w:r w:rsidRPr="00C63FF4">
        <w:rPr>
          <w:rStyle w:val="af6"/>
          <w:rFonts w:eastAsia="Guttman Hodes" w:hint="cs"/>
          <w:rtl/>
        </w:rPr>
        <w:t>(סי' ק"ג סק"א</w:t>
      </w:r>
      <w:r>
        <w:rPr>
          <w:rStyle w:val="af6"/>
          <w:rFonts w:eastAsia="Guttman Hodes" w:hint="cs"/>
          <w:rtl/>
        </w:rPr>
        <w:t xml:space="preserve">, הובא לעיל סימן י"ג אות ע) </w:t>
      </w:r>
      <w:r>
        <w:rPr>
          <w:rFonts w:hint="cs"/>
          <w:rtl/>
        </w:rPr>
        <w:t xml:space="preserve">דפקע האיסור ממנה, ואף אם חזר והשביחה היא עדיין מותרת, וא"כ קשה על </w:t>
      </w:r>
      <w:r w:rsidRPr="00BF063B">
        <w:rPr>
          <w:rStyle w:val="af8"/>
          <w:rFonts w:hint="cs"/>
          <w:rtl/>
        </w:rPr>
        <w:t>הרשב"א</w:t>
      </w:r>
      <w:r>
        <w:rPr>
          <w:rFonts w:hint="cs"/>
          <w:rtl/>
        </w:rPr>
        <w:t xml:space="preserve"> היאך האיסור חוזר וניעור.</w:t>
      </w:r>
      <w:bookmarkEnd w:id="10843"/>
    </w:p>
    <w:p w:rsidR="00A82F1E" w:rsidRDefault="00A82F1E" w:rsidP="00A82F1E">
      <w:pPr>
        <w:pStyle w:val="a2"/>
      </w:pPr>
      <w:bookmarkStart w:id="10844" w:name="_Toc19792400"/>
      <w:r>
        <w:rPr>
          <w:rFonts w:hint="cs"/>
          <w:rtl/>
        </w:rPr>
        <w:t>דברי הקה"י דלהרשב"א אף שהותר האיסור מ"מ הוא חוזר וניעור ולא דמי לנבילה דפקע לגמרי</w:t>
      </w:r>
      <w:bookmarkEnd w:id="10844"/>
    </w:p>
    <w:p w:rsidR="00A82F1E" w:rsidRDefault="00A82F1E" w:rsidP="009F44AF">
      <w:pPr>
        <w:pStyle w:val="a"/>
        <w:rPr>
          <w:rtl/>
        </w:rPr>
      </w:pPr>
      <w:r>
        <w:rPr>
          <w:rFonts w:hint="cs"/>
          <w:rtl/>
        </w:rPr>
        <w:t xml:space="preserve">וכתב </w:t>
      </w:r>
      <w:r w:rsidRPr="00BF063B">
        <w:rPr>
          <w:rStyle w:val="af8"/>
          <w:rFonts w:hint="cs"/>
          <w:rtl/>
        </w:rPr>
        <w:t>הקה"י</w:t>
      </w:r>
      <w:r>
        <w:rPr>
          <w:rFonts w:hint="cs"/>
          <w:rtl/>
        </w:rPr>
        <w:t xml:space="preserve"> דצ"ל לדעת </w:t>
      </w:r>
      <w:r w:rsidRPr="00BF063B">
        <w:rPr>
          <w:rStyle w:val="af8"/>
          <w:rFonts w:hint="cs"/>
          <w:rtl/>
        </w:rPr>
        <w:t>הרשב"א</w:t>
      </w:r>
      <w:r>
        <w:rPr>
          <w:rFonts w:hint="cs"/>
          <w:rtl/>
        </w:rPr>
        <w:t xml:space="preserve"> דבנותן טעם לפגם, אף כשהאיסור הותר מחמת שנפגם, מ"מ כשחזר והשביח חוזר האיסור וניעור,ולא פקע לגמרי כנבילה.</w:t>
      </w:r>
    </w:p>
    <w:p w:rsidR="00A82F1E" w:rsidRDefault="00A82F1E" w:rsidP="00A82F1E">
      <w:pPr>
        <w:pStyle w:val="1"/>
        <w:rPr>
          <w:rtl/>
        </w:rPr>
      </w:pPr>
      <w:bookmarkStart w:id="10845" w:name="_Toc19792401"/>
      <w:r>
        <w:rPr>
          <w:rFonts w:hint="cs"/>
          <w:rtl/>
        </w:rPr>
        <w:t>דברי הקה"י בדעת הרא"ה בדין פגם ולבסוף השביח</w:t>
      </w:r>
      <w:bookmarkEnd w:id="10845"/>
    </w:p>
    <w:p w:rsidR="00A82F1E" w:rsidRDefault="00A82F1E" w:rsidP="00A82F1E">
      <w:pPr>
        <w:pStyle w:val="a2"/>
        <w:rPr>
          <w:rtl/>
        </w:rPr>
      </w:pPr>
      <w:bookmarkStart w:id="10846" w:name="_Toc19792402"/>
      <w:r>
        <w:rPr>
          <w:rFonts w:hint="cs"/>
          <w:rtl/>
        </w:rPr>
        <w:t>דברי הקה"י דלרא"ה אף דטעם פגום אינו חוזר ונאסר מ"מ כשהטעם עצמו הושבח אסור</w:t>
      </w:r>
      <w:bookmarkEnd w:id="10846"/>
    </w:p>
    <w:p w:rsidR="00A82F1E" w:rsidRDefault="00A82F1E" w:rsidP="009F44AF">
      <w:pPr>
        <w:pStyle w:val="a"/>
      </w:pPr>
      <w:bookmarkStart w:id="10847" w:name="_Ref19792132"/>
      <w:r>
        <w:rPr>
          <w:rFonts w:hint="cs"/>
          <w:rtl/>
        </w:rPr>
        <w:t xml:space="preserve">והביא </w:t>
      </w:r>
      <w:r w:rsidRPr="00C340C8">
        <w:rPr>
          <w:rStyle w:val="af8"/>
          <w:rFonts w:hint="cs"/>
          <w:rtl/>
        </w:rPr>
        <w:t>הקה"י</w:t>
      </w:r>
      <w:r>
        <w:rPr>
          <w:rFonts w:hint="cs"/>
          <w:rtl/>
        </w:rPr>
        <w:t xml:space="preserve"> את דברי </w:t>
      </w:r>
      <w:r w:rsidRPr="00D47CE7">
        <w:rPr>
          <w:rStyle w:val="af8"/>
          <w:rFonts w:hint="cs"/>
          <w:rtl/>
        </w:rPr>
        <w:t>הרא"ה בבד"ה</w:t>
      </w:r>
      <w:r w:rsidRPr="00D47CE7">
        <w:rPr>
          <w:rFonts w:hint="cs"/>
          <w:rtl/>
        </w:rPr>
        <w:t xml:space="preserve"> </w:t>
      </w:r>
      <w:r w:rsidRPr="00D47CE7">
        <w:rPr>
          <w:rStyle w:val="af6"/>
          <w:rFonts w:eastAsia="Guttman Hodes" w:hint="cs"/>
          <w:rtl/>
        </w:rPr>
        <w:t>(ב"ד ש"א יט. מדה"ס</w:t>
      </w:r>
      <w:r>
        <w:rPr>
          <w:rStyle w:val="af6"/>
          <w:rFonts w:eastAsia="Guttman Hodes" w:hint="cs"/>
          <w:rtl/>
        </w:rPr>
        <w:t xml:space="preserve">, הובא לעיל סימן י"ב אות פ"ב) </w:t>
      </w:r>
      <w:r>
        <w:rPr>
          <w:rFonts w:hint="cs"/>
          <w:rtl/>
        </w:rPr>
        <w:t xml:space="preserve">דכתב דההיתר באיסור שבלוע בכלי בקדירה שאינה בת יומא, הוא כיון </w:t>
      </w:r>
      <w:r w:rsidRPr="00D47CE7">
        <w:rPr>
          <w:rFonts w:hint="cs"/>
          <w:rtl/>
        </w:rPr>
        <w:t xml:space="preserve">שהאיסור עצמו הותר מדאו' דאינו ראוי לגר, </w:t>
      </w:r>
      <w:r>
        <w:rPr>
          <w:rFonts w:hint="cs"/>
          <w:rtl/>
        </w:rPr>
        <w:t>ו</w:t>
      </w:r>
      <w:r w:rsidRPr="00D47CE7">
        <w:rPr>
          <w:rFonts w:hint="cs"/>
          <w:rtl/>
        </w:rPr>
        <w:t xml:space="preserve">אף כשהתערב בהיתר שראוי לאכילה, והאיסור עצמו ג"כ נאכל ע"י ההיתר, מ"מ אינו חוזר ונאסר לעולם, </w:t>
      </w:r>
      <w:r>
        <w:rPr>
          <w:rFonts w:hint="cs"/>
          <w:rtl/>
        </w:rPr>
        <w:t xml:space="preserve">וכתב </w:t>
      </w:r>
      <w:r w:rsidRPr="00BF063B">
        <w:rPr>
          <w:rStyle w:val="af8"/>
          <w:rFonts w:hint="cs"/>
          <w:rtl/>
        </w:rPr>
        <w:t>הקה"י</w:t>
      </w:r>
      <w:r>
        <w:rPr>
          <w:rFonts w:hint="cs"/>
          <w:rtl/>
        </w:rPr>
        <w:t xml:space="preserve"> דמבואר בדברי </w:t>
      </w:r>
      <w:r w:rsidRPr="00C340C8">
        <w:rPr>
          <w:rStyle w:val="af8"/>
          <w:rFonts w:hint="cs"/>
          <w:rtl/>
        </w:rPr>
        <w:t>הרא"ה</w:t>
      </w:r>
      <w:r>
        <w:rPr>
          <w:rFonts w:hint="cs"/>
          <w:rtl/>
        </w:rPr>
        <w:t xml:space="preserve"> דכל מה שאינו חוזר ונאסר, הוא דוקא כיון שהטעם הבלוע בכלי אינו ראוי לגר, ואף כשחזר ובישל בכלי היתר משובח, הטעם הבלוע נשאר אינו ראוי לגר, אלא דאפשר לאוכלו ע"י שהוא מתערב בתערובת, והטעם הפגום שלו אינו ניכר, אך כתב </w:t>
      </w:r>
      <w:r w:rsidRPr="00C340C8">
        <w:rPr>
          <w:rStyle w:val="af8"/>
          <w:rFonts w:hint="cs"/>
          <w:rtl/>
        </w:rPr>
        <w:t>הקה"י</w:t>
      </w:r>
      <w:r>
        <w:rPr>
          <w:rFonts w:hint="cs"/>
          <w:rtl/>
        </w:rPr>
        <w:t xml:space="preserve"> </w:t>
      </w:r>
      <w:r>
        <w:rPr>
          <w:rFonts w:hint="cs"/>
          <w:rtl/>
        </w:rPr>
        <w:lastRenderedPageBreak/>
        <w:t xml:space="preserve">דבמקום שהטעם עצמו חוזר ונעשה משובח, אפש"ל דאף לדעת </w:t>
      </w:r>
      <w:r w:rsidRPr="00C340C8">
        <w:rPr>
          <w:rStyle w:val="af8"/>
          <w:rFonts w:hint="cs"/>
          <w:rtl/>
        </w:rPr>
        <w:t>הרא"ה</w:t>
      </w:r>
      <w:r>
        <w:rPr>
          <w:rFonts w:hint="cs"/>
          <w:rtl/>
        </w:rPr>
        <w:t xml:space="preserve"> הוא חוזר ונאסר. [ועי' בדברי </w:t>
      </w:r>
      <w:r w:rsidRPr="0021492D">
        <w:rPr>
          <w:rStyle w:val="af8"/>
          <w:rFonts w:hint="cs"/>
          <w:rtl/>
        </w:rPr>
        <w:t xml:space="preserve">הרא"ה </w:t>
      </w:r>
      <w:r w:rsidRPr="0021492D">
        <w:rPr>
          <w:rStyle w:val="af6"/>
          <w:rFonts w:eastAsia="Guttman Hodes" w:hint="cs"/>
          <w:rtl/>
        </w:rPr>
        <w:t xml:space="preserve">(עי' אות </w:t>
      </w:r>
      <w:r w:rsidRPr="0021492D">
        <w:rPr>
          <w:rStyle w:val="af6"/>
          <w:rFonts w:eastAsia="Guttman Hodes"/>
          <w:rtl/>
        </w:rPr>
        <w:fldChar w:fldCharType="begin"/>
      </w:r>
      <w:r w:rsidRPr="0021492D">
        <w:rPr>
          <w:rStyle w:val="af6"/>
          <w:rFonts w:eastAsia="Guttman Hodes"/>
          <w:rtl/>
        </w:rPr>
        <w:instrText xml:space="preserve"> </w:instrText>
      </w:r>
      <w:r w:rsidRPr="0021492D">
        <w:rPr>
          <w:rStyle w:val="af6"/>
          <w:rFonts w:eastAsia="Guttman Hodes" w:hint="cs"/>
        </w:rPr>
        <w:instrText>REF</w:instrText>
      </w:r>
      <w:r w:rsidRPr="0021492D">
        <w:rPr>
          <w:rStyle w:val="af6"/>
          <w:rFonts w:eastAsia="Guttman Hodes" w:hint="cs"/>
          <w:rtl/>
        </w:rPr>
        <w:instrText xml:space="preserve"> _</w:instrText>
      </w:r>
      <w:r w:rsidRPr="0021492D">
        <w:rPr>
          <w:rStyle w:val="af6"/>
          <w:rFonts w:eastAsia="Guttman Hodes" w:hint="cs"/>
        </w:rPr>
        <w:instrText>Ref19791590 \r \h</w:instrText>
      </w:r>
      <w:r w:rsidRPr="0021492D">
        <w:rPr>
          <w:rStyle w:val="af6"/>
          <w:rFonts w:eastAsia="Guttman Hodes"/>
          <w:rtl/>
        </w:rPr>
        <w:instrText xml:space="preserve"> </w:instrText>
      </w:r>
      <w:r w:rsidRPr="0021492D">
        <w:rPr>
          <w:rStyle w:val="af6"/>
          <w:rFonts w:eastAsia="Guttman Hodes"/>
          <w:rtl/>
        </w:rPr>
      </w:r>
      <w:r w:rsidRPr="0021492D">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21492D">
        <w:rPr>
          <w:rStyle w:val="af6"/>
          <w:rFonts w:eastAsia="Guttman Hodes"/>
          <w:rtl/>
        </w:rPr>
        <w:fldChar w:fldCharType="end"/>
      </w:r>
      <w:r>
        <w:rPr>
          <w:rFonts w:hint="cs"/>
          <w:rtl/>
        </w:rPr>
        <w:t xml:space="preserve"> בדין השביח ולבסוף פגם].</w:t>
      </w:r>
      <w:bookmarkEnd w:id="10847"/>
    </w:p>
    <w:p w:rsidR="00A82F1E" w:rsidRDefault="00A82F1E" w:rsidP="00A82F1E">
      <w:pPr>
        <w:pStyle w:val="a2"/>
      </w:pPr>
      <w:bookmarkStart w:id="10848" w:name="_Toc19792403"/>
      <w:r>
        <w:rPr>
          <w:rFonts w:hint="cs"/>
          <w:rtl/>
        </w:rPr>
        <w:t>דברי הקה"י דלרא"ה בטעם הבלוע אין איסור בפגם ולבסוף השביח ורק ביין בגרוגרות אסור</w:t>
      </w:r>
      <w:bookmarkEnd w:id="10848"/>
    </w:p>
    <w:p w:rsidR="00707FC2" w:rsidRDefault="00A82F1E" w:rsidP="009F44AF">
      <w:pPr>
        <w:pStyle w:val="a"/>
        <w:rPr>
          <w:rtl/>
        </w:rPr>
        <w:sectPr w:rsidR="00707FC2" w:rsidSect="00707FC2">
          <w:type w:val="continuous"/>
          <w:pgSz w:w="11906" w:h="16838"/>
          <w:pgMar w:top="720" w:right="720" w:bottom="720" w:left="720" w:header="283" w:footer="283" w:gutter="0"/>
          <w:cols w:num="2" w:space="567"/>
          <w:bidi/>
          <w:rtlGutter/>
          <w:docGrid w:linePitch="299"/>
        </w:sectPr>
      </w:pPr>
      <w:r>
        <w:rPr>
          <w:rFonts w:hint="cs"/>
          <w:rtl/>
        </w:rPr>
        <w:t xml:space="preserve">וכתב </w:t>
      </w:r>
      <w:r w:rsidRPr="00BF063B">
        <w:rPr>
          <w:rStyle w:val="af8"/>
          <w:rFonts w:hint="cs"/>
          <w:rtl/>
        </w:rPr>
        <w:t>הקה"י</w:t>
      </w:r>
      <w:r>
        <w:rPr>
          <w:rFonts w:hint="cs"/>
          <w:rtl/>
        </w:rPr>
        <w:t xml:space="preserve"> דא"כ צ"ל לדעת </w:t>
      </w:r>
      <w:r w:rsidRPr="00BF063B">
        <w:rPr>
          <w:rStyle w:val="af8"/>
          <w:rFonts w:hint="cs"/>
          <w:rtl/>
        </w:rPr>
        <w:t>הרא"ה</w:t>
      </w:r>
      <w:r>
        <w:rPr>
          <w:rFonts w:hint="cs"/>
          <w:rtl/>
        </w:rPr>
        <w:t xml:space="preserve"> צ"ל דהא דהוכיח</w:t>
      </w:r>
      <w:r w:rsidRPr="008816DE">
        <w:rPr>
          <w:rStyle w:val="af8"/>
          <w:rFonts w:hint="cs"/>
          <w:rtl/>
        </w:rPr>
        <w:t xml:space="preserve"> הגר"א</w:t>
      </w:r>
      <w:r>
        <w:rPr>
          <w:rFonts w:hint="cs"/>
          <w:rtl/>
        </w:rPr>
        <w:t xml:space="preserve"> </w:t>
      </w:r>
      <w:r w:rsidRPr="008816DE">
        <w:rPr>
          <w:rStyle w:val="af6"/>
          <w:rFonts w:eastAsia="Guttman Hodes" w:hint="cs"/>
          <w:rtl/>
        </w:rPr>
        <w:t xml:space="preserve">(עי' אות </w:t>
      </w:r>
      <w:r w:rsidRPr="008816DE">
        <w:rPr>
          <w:rStyle w:val="af6"/>
          <w:rFonts w:eastAsia="Guttman Hodes"/>
          <w:rtl/>
        </w:rPr>
        <w:fldChar w:fldCharType="begin"/>
      </w:r>
      <w:r w:rsidRPr="008816DE">
        <w:rPr>
          <w:rStyle w:val="af6"/>
          <w:rFonts w:eastAsia="Guttman Hodes"/>
          <w:rtl/>
        </w:rPr>
        <w:instrText xml:space="preserve"> </w:instrText>
      </w:r>
      <w:r w:rsidRPr="008816DE">
        <w:rPr>
          <w:rStyle w:val="af6"/>
          <w:rFonts w:eastAsia="Guttman Hodes" w:hint="cs"/>
        </w:rPr>
        <w:instrText>REF</w:instrText>
      </w:r>
      <w:r w:rsidRPr="008816DE">
        <w:rPr>
          <w:rStyle w:val="af6"/>
          <w:rFonts w:eastAsia="Guttman Hodes" w:hint="cs"/>
          <w:rtl/>
        </w:rPr>
        <w:instrText xml:space="preserve"> _</w:instrText>
      </w:r>
      <w:r w:rsidRPr="008816DE">
        <w:rPr>
          <w:rStyle w:val="af6"/>
          <w:rFonts w:eastAsia="Guttman Hodes" w:hint="cs"/>
        </w:rPr>
        <w:instrText>Ref19791062 \r \h</w:instrText>
      </w:r>
      <w:r w:rsidRPr="008816DE">
        <w:rPr>
          <w:rStyle w:val="af6"/>
          <w:rFonts w:eastAsia="Guttman Hodes"/>
          <w:rtl/>
        </w:rPr>
        <w:instrText xml:space="preserve"> </w:instrText>
      </w:r>
      <w:r w:rsidRPr="008816DE">
        <w:rPr>
          <w:rStyle w:val="af6"/>
          <w:rFonts w:eastAsia="Guttman Hodes"/>
          <w:rtl/>
        </w:rPr>
      </w:r>
      <w:r w:rsidRPr="008816DE">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8816DE">
        <w:rPr>
          <w:rStyle w:val="af6"/>
          <w:rFonts w:eastAsia="Guttman Hodes"/>
          <w:rtl/>
        </w:rPr>
        <w:fldChar w:fldCharType="end"/>
      </w:r>
      <w:r>
        <w:rPr>
          <w:rFonts w:hint="cs"/>
          <w:rtl/>
        </w:rPr>
        <w:t xml:space="preserve"> מהירושלמי דפגם ולבסוף השביח אסור, לא איירי בטעם שבלוע בכלי, דהא לדעת </w:t>
      </w:r>
      <w:r w:rsidRPr="0017711C">
        <w:rPr>
          <w:rStyle w:val="af8"/>
          <w:rFonts w:hint="cs"/>
          <w:rtl/>
        </w:rPr>
        <w:t>הרא"ה</w:t>
      </w:r>
      <w:r>
        <w:rPr>
          <w:rFonts w:hint="cs"/>
          <w:rtl/>
        </w:rPr>
        <w:t xml:space="preserve"> הטעם הבלוע עצמו עדיין אינו ראוי לגר והוא מותר, אלא איירי באיסור משובח שנפל ע"ג היתר </w:t>
      </w:r>
      <w:r>
        <w:rPr>
          <w:rFonts w:hint="cs"/>
          <w:rtl/>
        </w:rPr>
        <w:t xml:space="preserve">ופגמו, כיין שנפל ע"ג גרוגרות, דהטעם עצמו הוא משובח, והוא מקלקל רק את הטעם של הגרוגרות, דביאר </w:t>
      </w:r>
      <w:r w:rsidRPr="00BF063B">
        <w:rPr>
          <w:rStyle w:val="af8"/>
          <w:rFonts w:hint="cs"/>
          <w:rtl/>
        </w:rPr>
        <w:t>הרא"ה בבד"ה</w:t>
      </w:r>
      <w:r>
        <w:rPr>
          <w:rFonts w:hint="cs"/>
          <w:rtl/>
        </w:rPr>
        <w:t xml:space="preserve"> </w:t>
      </w:r>
      <w:r w:rsidRPr="00D47CE7">
        <w:rPr>
          <w:rStyle w:val="af6"/>
          <w:rFonts w:eastAsia="Guttman Hodes" w:hint="cs"/>
          <w:rtl/>
        </w:rPr>
        <w:t>(ב"</w:t>
      </w:r>
      <w:r w:rsidRPr="00AF7E1C">
        <w:rPr>
          <w:rStyle w:val="af6"/>
          <w:rFonts w:eastAsia="Guttman Hodes" w:hint="cs"/>
          <w:rtl/>
        </w:rPr>
        <w:t xml:space="preserve">ד ש"א יט: מדה"ס, הובא לעיל סימן י"ב אות פ"ג) </w:t>
      </w:r>
      <w:r>
        <w:rPr>
          <w:rFonts w:hint="cs"/>
          <w:rtl/>
        </w:rPr>
        <w:t xml:space="preserve">דההיתר בזה הוא רק כיון דהוא טעמו ולא ממשו וטעם כעיקר דרבנן, והקילו בנותן טעם לפגם בפגום במקצת, וא"כ ודאי דבכה"ג לא פקע האיסור מהיין כיון שהיין עצמו הוא משובח, ולכן בפגום ולבסוף השביח הוא חוזר ונאסר דלא הקילו רבנן בכה"ג, וכתב </w:t>
      </w:r>
      <w:r w:rsidRPr="00BF063B">
        <w:rPr>
          <w:rStyle w:val="af8"/>
          <w:rFonts w:hint="cs"/>
          <w:rtl/>
        </w:rPr>
        <w:t>הקה"י</w:t>
      </w:r>
      <w:r>
        <w:rPr>
          <w:rFonts w:hint="cs"/>
          <w:rtl/>
        </w:rPr>
        <w:t xml:space="preserve"> דצריך לעיין היטב בדברי </w:t>
      </w:r>
      <w:r w:rsidRPr="00BF063B">
        <w:rPr>
          <w:rStyle w:val="af8"/>
          <w:rFonts w:hint="cs"/>
          <w:rtl/>
        </w:rPr>
        <w:t>הרא"ה בבד"ה</w:t>
      </w:r>
      <w:r>
        <w:rPr>
          <w:rFonts w:hint="cs"/>
          <w:rtl/>
        </w:rPr>
        <w:t xml:space="preserve"> בזה.</w:t>
      </w:r>
    </w:p>
    <w:p w:rsidR="00A82F1E" w:rsidRDefault="00A82F1E" w:rsidP="009F44AF">
      <w:pPr>
        <w:pStyle w:val="a"/>
        <w:numPr>
          <w:ilvl w:val="0"/>
          <w:numId w:val="0"/>
        </w:numPr>
        <w:rPr>
          <w:rtl/>
        </w:rPr>
      </w:pPr>
      <w:r>
        <w:rPr>
          <w:rFonts w:hint="cs"/>
          <w:rtl/>
        </w:rPr>
        <w:t xml:space="preserve"> </w:t>
      </w:r>
    </w:p>
    <w:p w:rsidR="00A82F1E" w:rsidRPr="00542201" w:rsidRDefault="00A82F1E" w:rsidP="00A82F1E">
      <w:pPr>
        <w:pStyle w:val="a2"/>
        <w:rPr>
          <w:rtl/>
        </w:rPr>
        <w:sectPr w:rsidR="00A82F1E" w:rsidRPr="00542201" w:rsidSect="00707FC2">
          <w:type w:val="continuous"/>
          <w:pgSz w:w="11906" w:h="16838"/>
          <w:pgMar w:top="720" w:right="720" w:bottom="720" w:left="720" w:header="283" w:footer="283" w:gutter="0"/>
          <w:cols w:num="2" w:space="567"/>
          <w:bidi/>
          <w:rtlGutter/>
          <w:docGrid w:linePitch="299"/>
        </w:sectPr>
      </w:pPr>
    </w:p>
    <w:p w:rsidR="006C2032" w:rsidRDefault="006C2032" w:rsidP="005B1A17">
      <w:pPr>
        <w:pStyle w:val="afc"/>
        <w:rPr>
          <w:rtl/>
        </w:rPr>
      </w:pPr>
      <w:bookmarkStart w:id="10849" w:name="_Toc20468173"/>
      <w:r>
        <w:rPr>
          <w:rFonts w:hint="cs"/>
          <w:rtl/>
        </w:rPr>
        <w:lastRenderedPageBreak/>
        <w:t>סימן  ט"ו</w:t>
      </w:r>
      <w:bookmarkEnd w:id="10849"/>
    </w:p>
    <w:p w:rsidR="006C2032" w:rsidRDefault="00715158" w:rsidP="005B1A17">
      <w:pPr>
        <w:pStyle w:val="afc"/>
        <w:rPr>
          <w:rtl/>
        </w:rPr>
      </w:pPr>
      <w:bookmarkStart w:id="10850" w:name="_Toc20429227"/>
      <w:bookmarkStart w:id="10851" w:name="_Toc20468174"/>
      <w:r>
        <w:rPr>
          <w:rFonts w:hint="cs"/>
          <w:rtl/>
        </w:rPr>
        <w:t xml:space="preserve">סוגית נותן </w:t>
      </w:r>
      <w:r w:rsidR="006C2032">
        <w:rPr>
          <w:rFonts w:hint="cs"/>
          <w:rtl/>
        </w:rPr>
        <w:t>טעם לפגם (ד')</w:t>
      </w:r>
      <w:bookmarkEnd w:id="10850"/>
      <w:bookmarkEnd w:id="10851"/>
    </w:p>
    <w:p w:rsidR="006C2032" w:rsidRPr="00FB6B44" w:rsidRDefault="006C2032" w:rsidP="005B1A17">
      <w:pPr>
        <w:pStyle w:val="afc"/>
        <w:rPr>
          <w:rtl/>
        </w:rPr>
      </w:pPr>
      <w:bookmarkStart w:id="10852" w:name="_Toc20429228"/>
      <w:bookmarkStart w:id="10853" w:name="_Toc20468175"/>
      <w:r>
        <w:rPr>
          <w:rFonts w:hint="cs"/>
          <w:rtl/>
        </w:rPr>
        <w:t>בדין נותן טעם לפגם באיסור שמאוס מעיקרו</w:t>
      </w:r>
      <w:bookmarkEnd w:id="10852"/>
      <w:bookmarkEnd w:id="10853"/>
    </w:p>
    <w:p w:rsidR="006C2032" w:rsidRDefault="002916D7" w:rsidP="006C2032">
      <w:pPr>
        <w:pStyle w:val="2"/>
        <w:rPr>
          <w:noProof/>
          <w:rtl/>
        </w:rPr>
      </w:pPr>
      <w:r>
        <w:rPr>
          <w:rFonts w:hint="cs"/>
          <w:noProof/>
          <w:rtl/>
        </w:rPr>
        <w:t>מפתח הסוגיא</w:t>
      </w:r>
    </w:p>
    <w:p w:rsidR="006C2032" w:rsidRDefault="006C2032" w:rsidP="006C2032">
      <w:pPr>
        <w:pStyle w:val="2"/>
        <w:rPr>
          <w:rtl/>
        </w:rPr>
        <w:sectPr w:rsidR="006C2032" w:rsidSect="006C2032">
          <w:headerReference w:type="default" r:id="rId83"/>
          <w:headerReference w:type="first" r:id="rId84"/>
          <w:footerReference w:type="first" r:id="rId85"/>
          <w:pgSz w:w="11906" w:h="16838"/>
          <w:pgMar w:top="720" w:right="720" w:bottom="720" w:left="720" w:header="283" w:footer="283" w:gutter="0"/>
          <w:cols w:space="113"/>
          <w:bidi/>
          <w:rtlGutter/>
          <w:docGrid w:linePitch="299"/>
        </w:sectPr>
      </w:pPr>
    </w:p>
    <w:p w:rsidR="006C2032" w:rsidRDefault="006C2032" w:rsidP="006C2032">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p>
    <w:p w:rsidR="006C2032" w:rsidRDefault="006C2032" w:rsidP="006C2032">
      <w:pPr>
        <w:pStyle w:val="2"/>
        <w:rPr>
          <w:rFonts w:eastAsiaTheme="minorEastAsia" w:cstheme="minorBidi"/>
          <w:i/>
          <w:iCs/>
          <w:sz w:val="22"/>
          <w:szCs w:val="22"/>
          <w:rtl/>
        </w:rPr>
      </w:pPr>
      <w:r>
        <w:rPr>
          <w:rtl/>
        </w:rPr>
        <w:t>בביאור החידוש באיסור שרץ</w:t>
      </w:r>
    </w:p>
    <w:p w:rsidR="006C2032" w:rsidRDefault="006C2032" w:rsidP="006C2032">
      <w:pPr>
        <w:pStyle w:val="aff4"/>
        <w:rPr>
          <w:rFonts w:eastAsiaTheme="minorEastAsia" w:cstheme="minorBidi"/>
          <w:i/>
          <w:iCs/>
          <w:noProof/>
          <w:sz w:val="22"/>
          <w:szCs w:val="22"/>
          <w:rtl/>
        </w:rPr>
      </w:pPr>
      <w:r>
        <w:rPr>
          <w:noProof/>
          <w:rtl/>
        </w:rPr>
        <w:t>דברי רש"י דהחידוש דשרץ אסור באכילה אף שהוא מאוס</w:t>
      </w:r>
    </w:p>
    <w:p w:rsidR="006C2032" w:rsidRPr="004D1C5B" w:rsidRDefault="006C2032" w:rsidP="004D1C5B">
      <w:pPr>
        <w:pStyle w:val="TOC9"/>
        <w:numPr>
          <w:ilvl w:val="0"/>
          <w:numId w:val="29"/>
        </w:numPr>
        <w:rPr>
          <w:rFonts w:eastAsiaTheme="minorEastAsia" w:cstheme="minorBidi"/>
          <w:sz w:val="22"/>
          <w:szCs w:val="22"/>
          <w:rtl/>
        </w:rPr>
      </w:pPr>
      <w:r w:rsidRPr="00F16CBD">
        <w:rPr>
          <w:rtl/>
        </w:rPr>
        <w:t>דברי רש"י דהחידוש בשרץ שאסרתה תורה באכילה אף שהוא מאוס ובדילי מיניה וא"צ לאוסרו</w:t>
      </w:r>
    </w:p>
    <w:p w:rsidR="006C2032" w:rsidRDefault="006C2032" w:rsidP="006C2032">
      <w:pPr>
        <w:pStyle w:val="aff2"/>
        <w:numPr>
          <w:ilvl w:val="0"/>
          <w:numId w:val="3"/>
        </w:numPr>
        <w:rPr>
          <w:rFonts w:eastAsiaTheme="minorEastAsia" w:cstheme="minorBidi"/>
          <w:sz w:val="22"/>
          <w:szCs w:val="22"/>
          <w:rtl/>
        </w:rPr>
      </w:pPr>
      <w:r>
        <w:rPr>
          <w:rtl/>
        </w:rPr>
        <w:t>דברי רש"י דהחידוש בשכבת זרע דאמרה תורה שמטמאה במגע אעפ"י דבדילי אינשי ממנה</w:t>
      </w:r>
    </w:p>
    <w:p w:rsidR="006C2032" w:rsidRDefault="006C2032" w:rsidP="006C2032">
      <w:pPr>
        <w:pStyle w:val="aff2"/>
        <w:numPr>
          <w:ilvl w:val="0"/>
          <w:numId w:val="3"/>
        </w:numPr>
        <w:rPr>
          <w:rFonts w:eastAsiaTheme="minorEastAsia" w:cstheme="minorBidi"/>
          <w:sz w:val="22"/>
          <w:szCs w:val="22"/>
          <w:rtl/>
        </w:rPr>
      </w:pPr>
      <w:r>
        <w:rPr>
          <w:rtl/>
        </w:rPr>
        <w:t>קושית התוס' דהיה לתורה לומר שיש בשרץ לאו ובש"ז טומאה ועוד דלא דמי לכל חידוש בש"ס</w:t>
      </w:r>
    </w:p>
    <w:p w:rsidR="006C2032" w:rsidRDefault="006C2032" w:rsidP="006C2032">
      <w:pPr>
        <w:pStyle w:val="aff4"/>
        <w:rPr>
          <w:rFonts w:eastAsiaTheme="minorEastAsia" w:cstheme="minorBidi"/>
          <w:i/>
          <w:iCs/>
          <w:noProof/>
          <w:sz w:val="22"/>
          <w:szCs w:val="22"/>
          <w:rtl/>
        </w:rPr>
      </w:pPr>
      <w:r>
        <w:rPr>
          <w:noProof/>
          <w:rtl/>
        </w:rPr>
        <w:t>דברי התוס' דהחידוש דשרץ אסור באכילה אף שטעמו פגום</w:t>
      </w:r>
    </w:p>
    <w:p w:rsidR="006C2032" w:rsidRDefault="006C2032" w:rsidP="006C2032">
      <w:pPr>
        <w:pStyle w:val="aff2"/>
        <w:numPr>
          <w:ilvl w:val="0"/>
          <w:numId w:val="3"/>
        </w:numPr>
        <w:rPr>
          <w:rFonts w:eastAsiaTheme="minorEastAsia" w:cstheme="minorBidi"/>
          <w:sz w:val="22"/>
          <w:szCs w:val="22"/>
          <w:rtl/>
        </w:rPr>
      </w:pPr>
      <w:r>
        <w:rPr>
          <w:rtl/>
        </w:rPr>
        <w:t>ביאור התוס' דהחידוש בשרץ שטעמו פגום והרי נטל"פ מותר ואפ"ה אסרה תורה נטל"פ בשרץ</w:t>
      </w:r>
    </w:p>
    <w:p w:rsidR="006C2032" w:rsidRDefault="006C2032" w:rsidP="006C2032">
      <w:pPr>
        <w:pStyle w:val="aff2"/>
        <w:numPr>
          <w:ilvl w:val="0"/>
          <w:numId w:val="3"/>
        </w:numPr>
        <w:rPr>
          <w:rFonts w:eastAsiaTheme="minorEastAsia" w:cstheme="minorBidi"/>
          <w:sz w:val="22"/>
          <w:szCs w:val="22"/>
          <w:rtl/>
        </w:rPr>
      </w:pPr>
      <w:r>
        <w:rPr>
          <w:rtl/>
        </w:rPr>
        <w:t>ביאור התוס' דאף בטומאת שכבת זרע יש חידוש דהא נבילה סרוחה אינה מטמאה</w:t>
      </w:r>
    </w:p>
    <w:p w:rsidR="006C2032" w:rsidRDefault="006C2032" w:rsidP="006C2032">
      <w:pPr>
        <w:pStyle w:val="aff2"/>
        <w:numPr>
          <w:ilvl w:val="0"/>
          <w:numId w:val="3"/>
        </w:numPr>
        <w:rPr>
          <w:rFonts w:eastAsiaTheme="minorEastAsia" w:cstheme="minorBidi"/>
          <w:sz w:val="22"/>
          <w:szCs w:val="22"/>
          <w:rtl/>
        </w:rPr>
      </w:pPr>
      <w:r>
        <w:rPr>
          <w:rtl/>
        </w:rPr>
        <w:t>ביאור התוס' ברבא דפלי</w:t>
      </w:r>
      <w:r>
        <w:rPr>
          <w:rFonts w:hint="cs"/>
          <w:rtl/>
        </w:rPr>
        <w:t>ג</w:t>
      </w:r>
      <w:r>
        <w:rPr>
          <w:rtl/>
        </w:rPr>
        <w:t xml:space="preserve"> על רב ששת וס"ל דנטל"פ מותר אף בשרצים</w:t>
      </w:r>
    </w:p>
    <w:p w:rsidR="006C2032" w:rsidRDefault="006C2032" w:rsidP="006C2032">
      <w:pPr>
        <w:pStyle w:val="aff2"/>
        <w:numPr>
          <w:ilvl w:val="0"/>
          <w:numId w:val="3"/>
        </w:numPr>
        <w:rPr>
          <w:rFonts w:eastAsiaTheme="minorEastAsia" w:cstheme="minorBidi"/>
          <w:sz w:val="22"/>
          <w:szCs w:val="22"/>
          <w:rtl/>
        </w:rPr>
      </w:pPr>
      <w:r>
        <w:rPr>
          <w:rtl/>
        </w:rPr>
        <w:t>ביאור התוס' בספיקא דרבא בדעת רב אי ס"ל דנטל"פ מותר או אסור</w:t>
      </w:r>
    </w:p>
    <w:p w:rsidR="006C2032" w:rsidRDefault="006C2032" w:rsidP="006C2032">
      <w:pPr>
        <w:pStyle w:val="aff2"/>
        <w:numPr>
          <w:ilvl w:val="0"/>
          <w:numId w:val="3"/>
        </w:numPr>
        <w:rPr>
          <w:rFonts w:eastAsiaTheme="minorEastAsia" w:cstheme="minorBidi"/>
          <w:sz w:val="22"/>
          <w:szCs w:val="22"/>
          <w:rtl/>
        </w:rPr>
      </w:pPr>
      <w:r>
        <w:rPr>
          <w:rtl/>
        </w:rPr>
        <w:t>דברי התוס' דא"א לבדוק אי שרץ משביח וקיי"ל כרבא דנטל"פ מותר אף בשרצים</w:t>
      </w:r>
    </w:p>
    <w:p w:rsidR="006C2032" w:rsidRDefault="006C2032" w:rsidP="006C2032">
      <w:pPr>
        <w:pStyle w:val="2"/>
        <w:rPr>
          <w:rFonts w:eastAsiaTheme="minorEastAsia" w:cstheme="minorBidi"/>
          <w:i/>
          <w:iCs/>
          <w:sz w:val="22"/>
          <w:szCs w:val="22"/>
          <w:rtl/>
        </w:rPr>
      </w:pPr>
      <w:r>
        <w:rPr>
          <w:rtl/>
        </w:rPr>
        <w:t>ביאור הרשב"א בנטל"פ באיסור מאוס</w:t>
      </w:r>
    </w:p>
    <w:p w:rsidR="006C2032" w:rsidRDefault="006C2032" w:rsidP="006C2032">
      <w:pPr>
        <w:pStyle w:val="aff4"/>
        <w:rPr>
          <w:rFonts w:eastAsiaTheme="minorEastAsia" w:cstheme="minorBidi"/>
          <w:i/>
          <w:iCs/>
          <w:noProof/>
          <w:sz w:val="22"/>
          <w:szCs w:val="22"/>
          <w:rtl/>
        </w:rPr>
      </w:pPr>
      <w:r>
        <w:rPr>
          <w:noProof/>
          <w:rtl/>
        </w:rPr>
        <w:t>ביאור הרשב"א ברב ששת דדין התערובת כדין האיסור המאוס</w:t>
      </w:r>
    </w:p>
    <w:p w:rsidR="006C2032" w:rsidRDefault="006C2032" w:rsidP="006C2032">
      <w:pPr>
        <w:pStyle w:val="aff2"/>
        <w:numPr>
          <w:ilvl w:val="0"/>
          <w:numId w:val="3"/>
        </w:numPr>
        <w:rPr>
          <w:rFonts w:eastAsiaTheme="minorEastAsia" w:cstheme="minorBidi"/>
          <w:sz w:val="22"/>
          <w:szCs w:val="22"/>
          <w:rtl/>
        </w:rPr>
      </w:pPr>
      <w:r>
        <w:rPr>
          <w:rtl/>
        </w:rPr>
        <w:t>דברי הרשב"א ברב ששת דשרץ שמאוס מעיקרו הוא חידוש ואינו בכלל היתר נטל"פ דנבילה</w:t>
      </w:r>
    </w:p>
    <w:p w:rsidR="006C2032" w:rsidRDefault="006C2032" w:rsidP="006C2032">
      <w:pPr>
        <w:pStyle w:val="aff2"/>
        <w:numPr>
          <w:ilvl w:val="0"/>
          <w:numId w:val="3"/>
        </w:numPr>
        <w:rPr>
          <w:rFonts w:eastAsiaTheme="minorEastAsia" w:cstheme="minorBidi"/>
          <w:sz w:val="22"/>
          <w:szCs w:val="22"/>
          <w:rtl/>
        </w:rPr>
      </w:pPr>
      <w:r>
        <w:rPr>
          <w:rtl/>
        </w:rPr>
        <w:t>ביאור הרשב"א ברב ששת דדין התערובת כדין האיסור ושרץ מאוס שאסור אוסר בתערובת</w:t>
      </w:r>
    </w:p>
    <w:p w:rsidR="006C2032" w:rsidRDefault="006C2032" w:rsidP="006C2032">
      <w:pPr>
        <w:pStyle w:val="aff4"/>
        <w:rPr>
          <w:rFonts w:eastAsiaTheme="minorEastAsia" w:cstheme="minorBidi"/>
          <w:i/>
          <w:iCs/>
          <w:noProof/>
          <w:sz w:val="22"/>
          <w:szCs w:val="22"/>
          <w:rtl/>
        </w:rPr>
      </w:pPr>
      <w:r>
        <w:rPr>
          <w:noProof/>
          <w:rtl/>
        </w:rPr>
        <w:t>ביאור הרשב"א ברבא דטעם איסור המאוס אינו אסור בתערובת</w:t>
      </w:r>
    </w:p>
    <w:p w:rsidR="006C2032" w:rsidRDefault="006C2032" w:rsidP="006C2032">
      <w:pPr>
        <w:pStyle w:val="aff2"/>
        <w:numPr>
          <w:ilvl w:val="0"/>
          <w:numId w:val="3"/>
        </w:numPr>
        <w:rPr>
          <w:rFonts w:eastAsiaTheme="minorEastAsia" w:cstheme="minorBidi"/>
          <w:sz w:val="22"/>
          <w:szCs w:val="22"/>
          <w:rtl/>
        </w:rPr>
      </w:pPr>
      <w:r>
        <w:rPr>
          <w:rtl/>
        </w:rPr>
        <w:t>דברי הרשב"א דלרבא אין דין התערובת כדין האיסור ואיסור מאוס שהפך תערובת לפגם מותר</w:t>
      </w:r>
    </w:p>
    <w:p w:rsidR="006C2032" w:rsidRDefault="006C2032" w:rsidP="006C2032">
      <w:pPr>
        <w:pStyle w:val="aff2"/>
        <w:numPr>
          <w:ilvl w:val="0"/>
          <w:numId w:val="3"/>
        </w:numPr>
        <w:rPr>
          <w:rFonts w:eastAsiaTheme="minorEastAsia" w:cstheme="minorBidi"/>
          <w:sz w:val="22"/>
          <w:szCs w:val="22"/>
          <w:rtl/>
        </w:rPr>
      </w:pPr>
      <w:r>
        <w:rPr>
          <w:rtl/>
        </w:rPr>
        <w:t>קושית הרא"ה על הרשב"א דלא יתכן שהאיסור עצמו יהיה אסור ותערובתו תהיה מותרת</w:t>
      </w:r>
    </w:p>
    <w:p w:rsidR="006C2032" w:rsidRDefault="006C2032" w:rsidP="006C2032">
      <w:pPr>
        <w:pStyle w:val="aff2"/>
        <w:numPr>
          <w:ilvl w:val="0"/>
          <w:numId w:val="3"/>
        </w:numPr>
        <w:rPr>
          <w:rFonts w:eastAsiaTheme="minorEastAsia" w:cstheme="minorBidi"/>
          <w:sz w:val="22"/>
          <w:szCs w:val="22"/>
          <w:rtl/>
        </w:rPr>
      </w:pPr>
      <w:r>
        <w:rPr>
          <w:rtl/>
        </w:rPr>
        <w:t>תירוץ הרשב"א דמוכח בגמ' דאף איסור משובח שאסור בפנ"ע מותר בתערובת בנטל"פ</w:t>
      </w:r>
    </w:p>
    <w:p w:rsidR="006C2032" w:rsidRDefault="006C2032" w:rsidP="006C2032">
      <w:pPr>
        <w:pStyle w:val="aff2"/>
        <w:numPr>
          <w:ilvl w:val="0"/>
          <w:numId w:val="3"/>
        </w:numPr>
        <w:rPr>
          <w:rFonts w:eastAsiaTheme="minorEastAsia" w:cstheme="minorBidi"/>
          <w:sz w:val="22"/>
          <w:szCs w:val="22"/>
          <w:rtl/>
        </w:rPr>
      </w:pPr>
      <w:r>
        <w:rPr>
          <w:rtl/>
        </w:rPr>
        <w:t>ביאור הרשב"א בספיקא דרבא בדעת רב דמספקא ליה אי קיי"ל כרב בעכברא בשיכרא</w:t>
      </w:r>
    </w:p>
    <w:p w:rsidR="006C2032" w:rsidRDefault="006C2032" w:rsidP="006C2032">
      <w:pPr>
        <w:pStyle w:val="aff4"/>
        <w:rPr>
          <w:rFonts w:eastAsiaTheme="minorEastAsia" w:cstheme="minorBidi"/>
          <w:i/>
          <w:iCs/>
          <w:noProof/>
          <w:sz w:val="22"/>
          <w:szCs w:val="22"/>
          <w:rtl/>
        </w:rPr>
      </w:pPr>
      <w:r>
        <w:rPr>
          <w:noProof/>
          <w:rtl/>
        </w:rPr>
        <w:t>דברי הרשב"א דאף בנימוח האיסור ופגם את הההיתר מותר</w:t>
      </w:r>
    </w:p>
    <w:p w:rsidR="006C2032" w:rsidRDefault="006C2032" w:rsidP="006C2032">
      <w:pPr>
        <w:pStyle w:val="aff2"/>
        <w:numPr>
          <w:ilvl w:val="0"/>
          <w:numId w:val="3"/>
        </w:numPr>
        <w:rPr>
          <w:rFonts w:eastAsiaTheme="minorEastAsia" w:cstheme="minorBidi"/>
          <w:sz w:val="22"/>
          <w:szCs w:val="22"/>
          <w:rtl/>
        </w:rPr>
      </w:pPr>
      <w:r>
        <w:rPr>
          <w:rtl/>
        </w:rPr>
        <w:t>דברי הרשב"א דקיי"ל דנטל"פ מותר באיסור מאוס אף בנימוח גוף האיסור ורק במשביח אוסר</w:t>
      </w:r>
    </w:p>
    <w:p w:rsidR="006C2032" w:rsidRDefault="006C2032" w:rsidP="006C2032">
      <w:pPr>
        <w:pStyle w:val="aff4"/>
        <w:rPr>
          <w:rFonts w:eastAsiaTheme="minorEastAsia" w:cstheme="minorBidi"/>
          <w:i/>
          <w:iCs/>
          <w:noProof/>
          <w:sz w:val="22"/>
          <w:szCs w:val="22"/>
          <w:rtl/>
        </w:rPr>
      </w:pPr>
      <w:r>
        <w:rPr>
          <w:noProof/>
          <w:rtl/>
        </w:rPr>
        <w:t xml:space="preserve">ביאור הרשב"א </w:t>
      </w:r>
      <w:r>
        <w:rPr>
          <w:rFonts w:hint="cs"/>
          <w:noProof/>
          <w:rtl/>
        </w:rPr>
        <w:t>דבמאוס בתערובת האיסור תלוי בדין הטעם</w:t>
      </w:r>
    </w:p>
    <w:p w:rsidR="006C2032" w:rsidRDefault="006C2032" w:rsidP="006C2032">
      <w:pPr>
        <w:pStyle w:val="aff2"/>
        <w:numPr>
          <w:ilvl w:val="0"/>
          <w:numId w:val="3"/>
        </w:numPr>
        <w:rPr>
          <w:rFonts w:eastAsiaTheme="minorEastAsia" w:cstheme="minorBidi"/>
          <w:sz w:val="22"/>
          <w:szCs w:val="22"/>
          <w:rtl/>
        </w:rPr>
      </w:pPr>
      <w:r>
        <w:rPr>
          <w:rtl/>
        </w:rPr>
        <w:t>קושית הרשב"א אמאי מאוס מעיקרו מותר בנטל"פ כשיש כזית בכא"פ הא לא השתנה לפגם</w:t>
      </w:r>
    </w:p>
    <w:p w:rsidR="006C2032" w:rsidRDefault="006C2032" w:rsidP="006C2032">
      <w:pPr>
        <w:pStyle w:val="aff2"/>
        <w:numPr>
          <w:ilvl w:val="0"/>
          <w:numId w:val="3"/>
        </w:numPr>
        <w:rPr>
          <w:rFonts w:eastAsiaTheme="minorEastAsia" w:cstheme="minorBidi"/>
          <w:sz w:val="22"/>
          <w:szCs w:val="22"/>
          <w:rtl/>
        </w:rPr>
      </w:pPr>
      <w:r>
        <w:rPr>
          <w:rtl/>
        </w:rPr>
        <w:t>ביאור הרשב"א דאיסור מאוס רק בפנ"ע אסור כשהוא פגום אבל בתערובת איסורו תלוי בטעמו</w:t>
      </w:r>
    </w:p>
    <w:p w:rsidR="006C2032" w:rsidRDefault="006C2032" w:rsidP="006C2032">
      <w:pPr>
        <w:pStyle w:val="aff2"/>
        <w:numPr>
          <w:ilvl w:val="0"/>
          <w:numId w:val="3"/>
        </w:numPr>
        <w:rPr>
          <w:rFonts w:eastAsiaTheme="minorEastAsia" w:cstheme="minorBidi"/>
          <w:sz w:val="22"/>
          <w:szCs w:val="22"/>
          <w:rtl/>
        </w:rPr>
      </w:pPr>
      <w:r>
        <w:rPr>
          <w:rtl/>
        </w:rPr>
        <w:t>דברי הרשב"א דכן מצינו בשאר איסורים בפגום במקצת וראוי לגר דרק הטעם אינו אסור</w:t>
      </w:r>
    </w:p>
    <w:p w:rsidR="006C2032" w:rsidRDefault="006C2032" w:rsidP="006C2032">
      <w:pPr>
        <w:pStyle w:val="aff4"/>
        <w:rPr>
          <w:rFonts w:eastAsiaTheme="minorEastAsia" w:cstheme="minorBidi"/>
          <w:i/>
          <w:iCs/>
          <w:noProof/>
          <w:sz w:val="22"/>
          <w:szCs w:val="22"/>
          <w:rtl/>
        </w:rPr>
      </w:pPr>
      <w:r w:rsidRPr="0039432D">
        <w:rPr>
          <w:noProof/>
          <w:rtl/>
        </w:rPr>
        <w:t>ביאור הרשב"א דבמאוס אף שהטעם ניכר מהני ביטול ברוב</w:t>
      </w:r>
    </w:p>
    <w:p w:rsidR="006C2032" w:rsidRDefault="006C2032" w:rsidP="006C2032">
      <w:pPr>
        <w:pStyle w:val="aff2"/>
        <w:numPr>
          <w:ilvl w:val="0"/>
          <w:numId w:val="3"/>
        </w:numPr>
        <w:rPr>
          <w:rFonts w:eastAsiaTheme="minorEastAsia" w:cstheme="minorBidi"/>
          <w:sz w:val="22"/>
          <w:szCs w:val="22"/>
          <w:rtl/>
        </w:rPr>
      </w:pPr>
      <w:r>
        <w:rPr>
          <w:rtl/>
        </w:rPr>
        <w:t>קושית הרשב"א דכל שאין שישים כנגד האיסור המאוס חשיב בעין והיאך התערובת מתירתו</w:t>
      </w:r>
    </w:p>
    <w:p w:rsidR="006C2032" w:rsidRDefault="006C2032" w:rsidP="006C2032">
      <w:pPr>
        <w:pStyle w:val="aff2"/>
        <w:numPr>
          <w:ilvl w:val="0"/>
          <w:numId w:val="3"/>
        </w:numPr>
        <w:rPr>
          <w:rFonts w:eastAsiaTheme="minorEastAsia" w:cstheme="minorBidi"/>
          <w:sz w:val="22"/>
          <w:szCs w:val="22"/>
          <w:rtl/>
        </w:rPr>
      </w:pPr>
      <w:r>
        <w:rPr>
          <w:rtl/>
        </w:rPr>
        <w:t>תירוץ הרשב"א דכיון שיש רוב היתר אין הטעם המורגש אוסר את רוב ההיתר</w:t>
      </w:r>
    </w:p>
    <w:p w:rsidR="006C2032" w:rsidRDefault="006C2032" w:rsidP="006C2032">
      <w:pPr>
        <w:pStyle w:val="aff2"/>
        <w:numPr>
          <w:ilvl w:val="0"/>
          <w:numId w:val="3"/>
        </w:numPr>
        <w:rPr>
          <w:rFonts w:eastAsiaTheme="minorEastAsia" w:cstheme="minorBidi"/>
          <w:sz w:val="22"/>
          <w:szCs w:val="22"/>
          <w:rtl/>
        </w:rPr>
      </w:pPr>
      <w:r>
        <w:rPr>
          <w:rtl/>
        </w:rPr>
        <w:t>דברי הרשב"א דבטעם פגום ובסילק את האיסור א"צ לשער כנגד כל האיסור</w:t>
      </w:r>
    </w:p>
    <w:p w:rsidR="006C2032" w:rsidRDefault="006C2032" w:rsidP="006C2032">
      <w:pPr>
        <w:pStyle w:val="aff2"/>
        <w:numPr>
          <w:ilvl w:val="0"/>
          <w:numId w:val="3"/>
        </w:numPr>
        <w:rPr>
          <w:rFonts w:eastAsiaTheme="minorEastAsia" w:cstheme="minorBidi"/>
          <w:sz w:val="22"/>
          <w:szCs w:val="22"/>
          <w:rtl/>
        </w:rPr>
      </w:pPr>
      <w:r>
        <w:rPr>
          <w:rtl/>
        </w:rPr>
        <w:t>ביאור הרשב"א דלא יתכן שפלט כנגד כל האיסור ורק בטעם לשבח החמירו כנגד כולו</w:t>
      </w:r>
    </w:p>
    <w:p w:rsidR="006C2032" w:rsidRDefault="006C2032" w:rsidP="006C2032">
      <w:pPr>
        <w:pStyle w:val="2"/>
        <w:rPr>
          <w:rFonts w:eastAsiaTheme="minorEastAsia" w:cstheme="minorBidi"/>
          <w:i/>
          <w:iCs/>
          <w:sz w:val="22"/>
          <w:szCs w:val="22"/>
          <w:rtl/>
        </w:rPr>
      </w:pPr>
      <w:r>
        <w:rPr>
          <w:rtl/>
        </w:rPr>
        <w:t>ביאור הר"ן בפלוגתת רב ששת ורבא</w:t>
      </w:r>
    </w:p>
    <w:p w:rsidR="006C2032" w:rsidRDefault="006C2032" w:rsidP="006C2032">
      <w:pPr>
        <w:pStyle w:val="aff4"/>
        <w:rPr>
          <w:rFonts w:eastAsiaTheme="minorEastAsia" w:cstheme="minorBidi"/>
          <w:i/>
          <w:iCs/>
          <w:noProof/>
          <w:sz w:val="22"/>
          <w:szCs w:val="22"/>
          <w:rtl/>
        </w:rPr>
      </w:pPr>
      <w:r>
        <w:rPr>
          <w:noProof/>
          <w:rtl/>
        </w:rPr>
        <w:t>ביאור הר"ן ברב ששת דאף הטעם הפגום אסור במאוס מעיקרו</w:t>
      </w:r>
    </w:p>
    <w:p w:rsidR="006C2032" w:rsidRDefault="006C2032" w:rsidP="006C2032">
      <w:pPr>
        <w:pStyle w:val="aff2"/>
        <w:numPr>
          <w:ilvl w:val="0"/>
          <w:numId w:val="3"/>
        </w:numPr>
        <w:rPr>
          <w:rFonts w:eastAsiaTheme="minorEastAsia" w:cstheme="minorBidi"/>
          <w:sz w:val="22"/>
          <w:szCs w:val="22"/>
          <w:rtl/>
        </w:rPr>
      </w:pPr>
      <w:r>
        <w:rPr>
          <w:rtl/>
        </w:rPr>
        <w:t>ביאור הר"ן ברב ששת דכיון שחידשה תורה באיסור מאוס דאסור אף טעמו הפגום אוסר</w:t>
      </w:r>
    </w:p>
    <w:p w:rsidR="006C2032" w:rsidRDefault="006C2032" w:rsidP="006C2032">
      <w:pPr>
        <w:pStyle w:val="aff4"/>
        <w:rPr>
          <w:rFonts w:eastAsiaTheme="minorEastAsia" w:cstheme="minorBidi"/>
          <w:i/>
          <w:iCs/>
          <w:noProof/>
          <w:sz w:val="22"/>
          <w:szCs w:val="22"/>
          <w:rtl/>
        </w:rPr>
      </w:pPr>
      <w:r>
        <w:rPr>
          <w:noProof/>
          <w:rtl/>
        </w:rPr>
        <w:t>ביאור הר"ן ברבא דחידשה תורה איסור בגופו ולא בטעמו</w:t>
      </w:r>
    </w:p>
    <w:p w:rsidR="006C2032" w:rsidRDefault="006C2032" w:rsidP="006C2032">
      <w:pPr>
        <w:pStyle w:val="aff2"/>
        <w:numPr>
          <w:ilvl w:val="0"/>
          <w:numId w:val="3"/>
        </w:numPr>
        <w:rPr>
          <w:rFonts w:eastAsiaTheme="minorEastAsia" w:cstheme="minorBidi"/>
          <w:sz w:val="22"/>
          <w:szCs w:val="22"/>
          <w:rtl/>
        </w:rPr>
      </w:pPr>
      <w:r>
        <w:rPr>
          <w:rtl/>
        </w:rPr>
        <w:t>דברי הר"ן דלרבא אף שהשרץ עצמו אסור טעמו הפגום מותר דאין לך בו אלא חידושו</w:t>
      </w:r>
    </w:p>
    <w:p w:rsidR="006C2032" w:rsidRDefault="006C2032" w:rsidP="006C2032">
      <w:pPr>
        <w:pStyle w:val="aff2"/>
        <w:numPr>
          <w:ilvl w:val="0"/>
          <w:numId w:val="3"/>
        </w:numPr>
        <w:rPr>
          <w:rFonts w:eastAsiaTheme="minorEastAsia" w:cstheme="minorBidi"/>
          <w:sz w:val="22"/>
          <w:szCs w:val="22"/>
          <w:rtl/>
        </w:rPr>
      </w:pPr>
      <w:r>
        <w:rPr>
          <w:rtl/>
        </w:rPr>
        <w:t>דברי הר"ן דלרבא טעם של איסור מאוס אינו אוסר אא"כ הוא משביח</w:t>
      </w:r>
    </w:p>
    <w:p w:rsidR="006C2032" w:rsidRDefault="006C2032" w:rsidP="006C2032">
      <w:pPr>
        <w:pStyle w:val="aff4"/>
        <w:rPr>
          <w:rFonts w:eastAsiaTheme="minorEastAsia" w:cstheme="minorBidi"/>
          <w:i/>
          <w:iCs/>
          <w:noProof/>
          <w:sz w:val="22"/>
          <w:szCs w:val="22"/>
          <w:rtl/>
        </w:rPr>
      </w:pPr>
      <w:r>
        <w:rPr>
          <w:noProof/>
          <w:rtl/>
        </w:rPr>
        <w:t>דברי הר"ן דאיסור מאוס שנימוח מותר ברוב דאינו נהנה ממנו</w:t>
      </w:r>
    </w:p>
    <w:p w:rsidR="006C2032" w:rsidRDefault="006C2032" w:rsidP="006C2032">
      <w:pPr>
        <w:pStyle w:val="aff2"/>
        <w:numPr>
          <w:ilvl w:val="0"/>
          <w:numId w:val="3"/>
        </w:numPr>
        <w:rPr>
          <w:rFonts w:eastAsiaTheme="minorEastAsia" w:cstheme="minorBidi"/>
          <w:sz w:val="22"/>
          <w:szCs w:val="22"/>
        </w:rPr>
      </w:pPr>
      <w:r>
        <w:rPr>
          <w:rtl/>
        </w:rPr>
        <w:t>דברי הר"ן דאף בנימוח גוף האיסור המאוס הוא מותר דבטל ברוב ואינו נהנה מהאיסור כלל</w:t>
      </w:r>
    </w:p>
    <w:p w:rsidR="006C2032" w:rsidRDefault="006C2032" w:rsidP="006C2032">
      <w:pPr>
        <w:pStyle w:val="2"/>
        <w:rPr>
          <w:rFonts w:eastAsiaTheme="minorEastAsia" w:cstheme="minorBidi"/>
          <w:i/>
          <w:iCs/>
          <w:sz w:val="22"/>
          <w:szCs w:val="22"/>
          <w:rtl/>
        </w:rPr>
      </w:pPr>
      <w:r>
        <w:rPr>
          <w:rtl/>
        </w:rPr>
        <w:t>דברי הר"ן דבכזית בכא"פ אסור במאוס</w:t>
      </w:r>
    </w:p>
    <w:p w:rsidR="006C2032" w:rsidRDefault="006C2032" w:rsidP="006C2032">
      <w:pPr>
        <w:pStyle w:val="aff4"/>
        <w:rPr>
          <w:rFonts w:eastAsiaTheme="minorEastAsia" w:cstheme="minorBidi"/>
          <w:i/>
          <w:iCs/>
          <w:noProof/>
          <w:sz w:val="22"/>
          <w:szCs w:val="22"/>
          <w:rtl/>
        </w:rPr>
      </w:pPr>
      <w:r>
        <w:rPr>
          <w:noProof/>
          <w:rtl/>
        </w:rPr>
        <w:t>דברי הר"ן בחי' דבכזית בכא"פ נטל"פ אסור אף באיסור מאוס</w:t>
      </w:r>
    </w:p>
    <w:p w:rsidR="006C2032" w:rsidRDefault="006C2032" w:rsidP="006C2032">
      <w:pPr>
        <w:pStyle w:val="aff2"/>
        <w:numPr>
          <w:ilvl w:val="0"/>
          <w:numId w:val="3"/>
        </w:numPr>
        <w:rPr>
          <w:rFonts w:eastAsiaTheme="minorEastAsia" w:cstheme="minorBidi"/>
          <w:sz w:val="22"/>
          <w:szCs w:val="22"/>
          <w:rtl/>
        </w:rPr>
      </w:pPr>
      <w:r>
        <w:rPr>
          <w:rtl/>
        </w:rPr>
        <w:t>דחיית הר"ן לדברי הרשב"א דנטל"פ בטל ברוב דבכזית בכא"פ לא מהני ביטול ברוב</w:t>
      </w:r>
    </w:p>
    <w:p w:rsidR="006C2032" w:rsidRDefault="006C2032" w:rsidP="006C2032">
      <w:pPr>
        <w:pStyle w:val="aff2"/>
        <w:numPr>
          <w:ilvl w:val="0"/>
          <w:numId w:val="3"/>
        </w:numPr>
        <w:rPr>
          <w:rFonts w:eastAsiaTheme="minorEastAsia" w:cstheme="minorBidi"/>
          <w:sz w:val="22"/>
          <w:szCs w:val="22"/>
          <w:rtl/>
        </w:rPr>
      </w:pPr>
      <w:r>
        <w:rPr>
          <w:rtl/>
        </w:rPr>
        <w:t>ביאור הר"ן דבכזית בכא"פ נהנה מהטעם הפגום ואינו בכלל הילפותא לנטל"פ מנבילה</w:t>
      </w:r>
    </w:p>
    <w:p w:rsidR="006C2032" w:rsidRDefault="006C2032" w:rsidP="006C2032">
      <w:pPr>
        <w:pStyle w:val="aff2"/>
        <w:numPr>
          <w:ilvl w:val="0"/>
          <w:numId w:val="3"/>
        </w:numPr>
        <w:rPr>
          <w:rFonts w:eastAsiaTheme="minorEastAsia" w:cstheme="minorBidi"/>
          <w:sz w:val="22"/>
          <w:szCs w:val="22"/>
          <w:rtl/>
        </w:rPr>
      </w:pPr>
      <w:r>
        <w:rPr>
          <w:rtl/>
        </w:rPr>
        <w:t>דברי הר"ן דכל שהאיסור הגדיל את ההיתר נטל"פ אסור אף בפחות מכזית בכא"פ</w:t>
      </w:r>
    </w:p>
    <w:p w:rsidR="006C2032" w:rsidRDefault="006C2032" w:rsidP="006C2032">
      <w:pPr>
        <w:pStyle w:val="2"/>
        <w:rPr>
          <w:rFonts w:eastAsiaTheme="minorEastAsia" w:cstheme="minorBidi"/>
          <w:i/>
          <w:iCs/>
          <w:sz w:val="22"/>
          <w:szCs w:val="22"/>
          <w:rtl/>
        </w:rPr>
      </w:pPr>
      <w:r>
        <w:rPr>
          <w:rtl/>
        </w:rPr>
        <w:t>דעת המאירי דבנימוח גופו אסור בכא"פ</w:t>
      </w:r>
    </w:p>
    <w:p w:rsidR="006C2032" w:rsidRDefault="006C2032" w:rsidP="006C2032">
      <w:pPr>
        <w:pStyle w:val="aff4"/>
        <w:rPr>
          <w:rFonts w:eastAsiaTheme="minorEastAsia" w:cstheme="minorBidi"/>
          <w:i/>
          <w:iCs/>
          <w:noProof/>
          <w:sz w:val="22"/>
          <w:szCs w:val="22"/>
          <w:rtl/>
        </w:rPr>
      </w:pPr>
      <w:r>
        <w:rPr>
          <w:noProof/>
          <w:rtl/>
        </w:rPr>
        <w:t>דעת המאירי דבנימוח גופו אסור בכא"פ ובטעמו מותר</w:t>
      </w:r>
    </w:p>
    <w:p w:rsidR="006C2032" w:rsidRDefault="006C2032" w:rsidP="006C2032">
      <w:pPr>
        <w:pStyle w:val="aff2"/>
        <w:numPr>
          <w:ilvl w:val="0"/>
          <w:numId w:val="3"/>
        </w:numPr>
        <w:rPr>
          <w:rFonts w:eastAsiaTheme="minorEastAsia" w:cstheme="minorBidi"/>
          <w:sz w:val="22"/>
          <w:szCs w:val="22"/>
          <w:rtl/>
        </w:rPr>
      </w:pPr>
      <w:r>
        <w:rPr>
          <w:rtl/>
        </w:rPr>
        <w:t>דברי המאירי דבנימוח גוף האיסור ויש כזית בכא"פ חשיב כאיסור בעין ואסור</w:t>
      </w:r>
    </w:p>
    <w:p w:rsidR="006C2032" w:rsidRDefault="006C2032" w:rsidP="006C2032">
      <w:pPr>
        <w:pStyle w:val="aff2"/>
        <w:numPr>
          <w:ilvl w:val="0"/>
          <w:numId w:val="3"/>
        </w:numPr>
        <w:rPr>
          <w:rFonts w:eastAsiaTheme="minorEastAsia" w:cstheme="minorBidi"/>
          <w:sz w:val="22"/>
          <w:szCs w:val="22"/>
          <w:rtl/>
        </w:rPr>
      </w:pPr>
      <w:r>
        <w:rPr>
          <w:rtl/>
        </w:rPr>
        <w:t>דברי המאירי דבסילק את גוף האיסור מותר אף שפלט טעם הרבה כיון שהוא טעם פגום</w:t>
      </w:r>
    </w:p>
    <w:p w:rsidR="006C2032" w:rsidRDefault="006C2032" w:rsidP="006C2032">
      <w:pPr>
        <w:pStyle w:val="2"/>
        <w:rPr>
          <w:rFonts w:eastAsiaTheme="minorEastAsia" w:cstheme="minorBidi"/>
          <w:i/>
          <w:iCs/>
          <w:sz w:val="22"/>
          <w:szCs w:val="22"/>
          <w:rtl/>
        </w:rPr>
      </w:pPr>
      <w:r>
        <w:rPr>
          <w:rtl/>
        </w:rPr>
        <w:t>בדעת הרשב"א והר"ן בכזית בכא"פ</w:t>
      </w:r>
    </w:p>
    <w:p w:rsidR="006C2032" w:rsidRDefault="006C2032" w:rsidP="006C2032">
      <w:pPr>
        <w:pStyle w:val="aff4"/>
        <w:rPr>
          <w:rFonts w:eastAsiaTheme="minorEastAsia" w:cstheme="minorBidi"/>
          <w:i/>
          <w:iCs/>
          <w:noProof/>
          <w:sz w:val="22"/>
          <w:szCs w:val="22"/>
          <w:rtl/>
        </w:rPr>
      </w:pPr>
      <w:r>
        <w:rPr>
          <w:noProof/>
          <w:rtl/>
        </w:rPr>
        <w:t>ביאור הב"י והגר"א ברשב"א ובר"ן דמהני רוב אף בכזית בכא"פ</w:t>
      </w:r>
    </w:p>
    <w:p w:rsidR="006C2032" w:rsidRDefault="006C2032" w:rsidP="006C2032">
      <w:pPr>
        <w:pStyle w:val="aff2"/>
        <w:numPr>
          <w:ilvl w:val="0"/>
          <w:numId w:val="3"/>
        </w:numPr>
        <w:rPr>
          <w:rFonts w:eastAsiaTheme="minorEastAsia" w:cstheme="minorBidi"/>
          <w:sz w:val="22"/>
          <w:szCs w:val="22"/>
          <w:rtl/>
        </w:rPr>
      </w:pPr>
      <w:r>
        <w:rPr>
          <w:rtl/>
        </w:rPr>
        <w:t>דברי הב"י דלהרשב"א נטל"פ מותר אף בכזית בכא"פ בכל האיסורים ובאיסור מאוס מעיקרו</w:t>
      </w:r>
    </w:p>
    <w:p w:rsidR="006C2032" w:rsidRDefault="006C2032" w:rsidP="006C2032">
      <w:pPr>
        <w:pStyle w:val="aff2"/>
        <w:numPr>
          <w:ilvl w:val="0"/>
          <w:numId w:val="3"/>
        </w:numPr>
        <w:rPr>
          <w:rFonts w:eastAsiaTheme="minorEastAsia" w:cstheme="minorBidi"/>
          <w:sz w:val="22"/>
          <w:szCs w:val="22"/>
          <w:rtl/>
        </w:rPr>
      </w:pPr>
      <w:r>
        <w:rPr>
          <w:rtl/>
        </w:rPr>
        <w:t>דברי הב"י דבאיסור מאוס מודה הר"ן להרשב"א דמותר אף בכזית בכא"פ כשיש רוב היתר</w:t>
      </w:r>
    </w:p>
    <w:p w:rsidR="006C2032" w:rsidRDefault="006C2032" w:rsidP="006C2032">
      <w:pPr>
        <w:pStyle w:val="aff2"/>
        <w:numPr>
          <w:ilvl w:val="0"/>
          <w:numId w:val="3"/>
        </w:numPr>
        <w:rPr>
          <w:rFonts w:eastAsiaTheme="minorEastAsia" w:cstheme="minorBidi"/>
          <w:sz w:val="22"/>
          <w:szCs w:val="22"/>
          <w:rtl/>
        </w:rPr>
      </w:pPr>
      <w:r>
        <w:rPr>
          <w:rtl/>
        </w:rPr>
        <w:t>ביאור הגר"א בר"ן דבאיסור מאוס מותר בכזית בכא"פ דאינו נהנה ונפשו קצה באיסור המאוס</w:t>
      </w:r>
    </w:p>
    <w:p w:rsidR="006C2032" w:rsidRDefault="006C2032" w:rsidP="006C2032">
      <w:pPr>
        <w:pStyle w:val="aff4"/>
        <w:rPr>
          <w:rFonts w:eastAsiaTheme="minorEastAsia" w:cstheme="minorBidi"/>
          <w:i/>
          <w:iCs/>
          <w:noProof/>
          <w:sz w:val="22"/>
          <w:szCs w:val="22"/>
          <w:rtl/>
        </w:rPr>
      </w:pPr>
      <w:r>
        <w:rPr>
          <w:noProof/>
          <w:rtl/>
        </w:rPr>
        <w:t>ביאור הב"ח ברשב"א דרק באיסור מאוס מותר בכזית בכא"פ</w:t>
      </w:r>
    </w:p>
    <w:p w:rsidR="006C2032" w:rsidRDefault="006C2032" w:rsidP="006C2032">
      <w:pPr>
        <w:pStyle w:val="aff2"/>
        <w:numPr>
          <w:ilvl w:val="0"/>
          <w:numId w:val="3"/>
        </w:numPr>
        <w:rPr>
          <w:rFonts w:eastAsiaTheme="minorEastAsia" w:cstheme="minorBidi"/>
          <w:sz w:val="22"/>
          <w:szCs w:val="22"/>
          <w:rtl/>
        </w:rPr>
      </w:pPr>
      <w:r>
        <w:rPr>
          <w:rtl/>
        </w:rPr>
        <w:t>ביאור הב"ח ברשב"א דס"ל דהאיסור המאוס אסור וטעמו מותר דאין לך בו אלא חידושו</w:t>
      </w:r>
    </w:p>
    <w:p w:rsidR="006C2032" w:rsidRDefault="006C2032" w:rsidP="006C2032">
      <w:pPr>
        <w:pStyle w:val="aff2"/>
        <w:numPr>
          <w:ilvl w:val="0"/>
          <w:numId w:val="3"/>
        </w:numPr>
        <w:rPr>
          <w:rFonts w:eastAsiaTheme="minorEastAsia" w:cstheme="minorBidi"/>
          <w:sz w:val="22"/>
          <w:szCs w:val="22"/>
          <w:rtl/>
        </w:rPr>
      </w:pPr>
      <w:r>
        <w:rPr>
          <w:rtl/>
        </w:rPr>
        <w:t>ביאור הב"ח ברשב"א דבמאוס שנימוח מותר אף בכזית בכא"פ כשיש רוב היתר</w:t>
      </w:r>
    </w:p>
    <w:p w:rsidR="006C2032" w:rsidRDefault="006C2032" w:rsidP="006C2032">
      <w:pPr>
        <w:pStyle w:val="aff2"/>
        <w:numPr>
          <w:ilvl w:val="0"/>
          <w:numId w:val="3"/>
        </w:numPr>
        <w:rPr>
          <w:rFonts w:eastAsiaTheme="minorEastAsia" w:cstheme="minorBidi"/>
          <w:sz w:val="22"/>
          <w:szCs w:val="22"/>
          <w:rtl/>
        </w:rPr>
      </w:pPr>
      <w:r>
        <w:rPr>
          <w:rtl/>
        </w:rPr>
        <w:t>דברי הב"ח דלהרשב"א בנטל"פ בשאר איסורים בכזית בכא"פ חשיב בעין ואסור</w:t>
      </w:r>
    </w:p>
    <w:p w:rsidR="006C2032" w:rsidRDefault="006C2032" w:rsidP="006C2032">
      <w:pPr>
        <w:pStyle w:val="aff2"/>
        <w:numPr>
          <w:ilvl w:val="0"/>
          <w:numId w:val="3"/>
        </w:numPr>
        <w:rPr>
          <w:rFonts w:eastAsiaTheme="minorEastAsia" w:cstheme="minorBidi"/>
          <w:sz w:val="22"/>
          <w:szCs w:val="22"/>
          <w:rtl/>
        </w:rPr>
      </w:pPr>
      <w:r>
        <w:rPr>
          <w:rtl/>
        </w:rPr>
        <w:t>ביאור הב"ח ברשב"א דבמאוס חידשה תורה דאסור רק בפנ"ע ובתערובת מותר אף בכא"פ</w:t>
      </w:r>
    </w:p>
    <w:p w:rsidR="006C2032" w:rsidRDefault="006C2032" w:rsidP="006C2032">
      <w:pPr>
        <w:pStyle w:val="aff2"/>
        <w:numPr>
          <w:ilvl w:val="0"/>
          <w:numId w:val="3"/>
        </w:numPr>
        <w:rPr>
          <w:rFonts w:eastAsiaTheme="minorEastAsia" w:cstheme="minorBidi"/>
          <w:sz w:val="22"/>
          <w:szCs w:val="22"/>
          <w:rtl/>
        </w:rPr>
      </w:pPr>
      <w:r>
        <w:rPr>
          <w:rtl/>
        </w:rPr>
        <w:t>קושית הפרמ"ג דאף בשאר איסורין טעם פגום אינו אוסר להרשב"א ומותר אף בכזית בכא"פ</w:t>
      </w:r>
    </w:p>
    <w:p w:rsidR="006C2032" w:rsidRDefault="006C2032" w:rsidP="006C2032">
      <w:pPr>
        <w:pStyle w:val="aff2"/>
        <w:numPr>
          <w:ilvl w:val="0"/>
          <w:numId w:val="3"/>
        </w:numPr>
        <w:rPr>
          <w:rFonts w:eastAsiaTheme="minorEastAsia" w:cstheme="minorBidi"/>
          <w:sz w:val="22"/>
          <w:szCs w:val="22"/>
          <w:rtl/>
        </w:rPr>
      </w:pPr>
      <w:r>
        <w:rPr>
          <w:rtl/>
        </w:rPr>
        <w:t>דברי הפרמ"ג דבתוה"ב הקצר מוכח דכל שיש רוב מותר בין בשאר איסורים ובין במאוס מעיקרו</w:t>
      </w:r>
    </w:p>
    <w:p w:rsidR="006C2032" w:rsidRDefault="006C2032" w:rsidP="006C2032">
      <w:pPr>
        <w:pStyle w:val="2"/>
        <w:rPr>
          <w:rFonts w:eastAsiaTheme="minorEastAsia" w:cstheme="minorBidi"/>
          <w:i/>
          <w:iCs/>
          <w:sz w:val="22"/>
          <w:szCs w:val="22"/>
          <w:rtl/>
        </w:rPr>
      </w:pPr>
      <w:r>
        <w:rPr>
          <w:rtl/>
        </w:rPr>
        <w:t>בביטול ברוב במאוס להרשב"א ולהר"ן</w:t>
      </w:r>
    </w:p>
    <w:p w:rsidR="006C2032" w:rsidRDefault="006C2032" w:rsidP="006C2032">
      <w:pPr>
        <w:pStyle w:val="aff4"/>
        <w:rPr>
          <w:rFonts w:eastAsiaTheme="minorEastAsia" w:cstheme="minorBidi"/>
          <w:i/>
          <w:iCs/>
          <w:noProof/>
          <w:sz w:val="22"/>
          <w:szCs w:val="22"/>
          <w:rtl/>
        </w:rPr>
      </w:pPr>
      <w:r w:rsidRPr="00A94B6F">
        <w:rPr>
          <w:noProof/>
          <w:rtl/>
        </w:rPr>
        <w:t>ביאור הפרמ"ג ברשב"א דאף שהטעם ניכר מאוס בטל ברוב</w:t>
      </w:r>
    </w:p>
    <w:p w:rsidR="006C2032" w:rsidRDefault="006C2032" w:rsidP="006C2032">
      <w:pPr>
        <w:pStyle w:val="aff2"/>
        <w:numPr>
          <w:ilvl w:val="0"/>
          <w:numId w:val="3"/>
        </w:numPr>
        <w:rPr>
          <w:rFonts w:eastAsiaTheme="minorEastAsia" w:cstheme="minorBidi"/>
          <w:sz w:val="22"/>
          <w:szCs w:val="22"/>
          <w:rtl/>
        </w:rPr>
      </w:pPr>
      <w:r>
        <w:rPr>
          <w:rtl/>
        </w:rPr>
        <w:t>קושית הפרמ"ג דאף טעם פגום ניכר ולהרשב"א בטעם הניכר לא מהני ביטול ברוב לאיסור עצמו</w:t>
      </w:r>
    </w:p>
    <w:p w:rsidR="006C2032" w:rsidRDefault="006C2032" w:rsidP="006C2032">
      <w:pPr>
        <w:pStyle w:val="aff2"/>
        <w:numPr>
          <w:ilvl w:val="0"/>
          <w:numId w:val="3"/>
        </w:numPr>
        <w:rPr>
          <w:rFonts w:eastAsiaTheme="minorEastAsia" w:cstheme="minorBidi"/>
          <w:sz w:val="22"/>
          <w:szCs w:val="22"/>
          <w:rtl/>
        </w:rPr>
      </w:pPr>
      <w:r>
        <w:rPr>
          <w:rtl/>
        </w:rPr>
        <w:t>קושית הפרמ"ג דבאיסור שמאוס מעיקרו הטעם הפגום אסור והוא ניכר ולא בטל ברוב</w:t>
      </w:r>
    </w:p>
    <w:p w:rsidR="006C2032" w:rsidRDefault="006C2032" w:rsidP="006C2032">
      <w:pPr>
        <w:pStyle w:val="aff2"/>
        <w:numPr>
          <w:ilvl w:val="0"/>
          <w:numId w:val="3"/>
        </w:numPr>
        <w:rPr>
          <w:rFonts w:eastAsiaTheme="minorEastAsia" w:cstheme="minorBidi"/>
          <w:sz w:val="22"/>
          <w:szCs w:val="22"/>
          <w:rtl/>
        </w:rPr>
      </w:pPr>
      <w:r>
        <w:rPr>
          <w:rtl/>
        </w:rPr>
        <w:t>דברי הפרמ"ג דטעם פגום טעימתו לא חשיבא כהכרתו ומהני בו ביטול ברוב</w:t>
      </w:r>
    </w:p>
    <w:p w:rsidR="006C2032" w:rsidRDefault="006C2032" w:rsidP="006C2032">
      <w:pPr>
        <w:pStyle w:val="aff4"/>
        <w:rPr>
          <w:rFonts w:eastAsiaTheme="minorEastAsia" w:cstheme="minorBidi"/>
          <w:i/>
          <w:iCs/>
          <w:noProof/>
          <w:sz w:val="22"/>
          <w:szCs w:val="22"/>
          <w:rtl/>
        </w:rPr>
      </w:pPr>
      <w:r>
        <w:rPr>
          <w:noProof/>
          <w:rtl/>
        </w:rPr>
        <w:t xml:space="preserve">ביאור הפרמ"ג בר"ן דבאינו נהנה </w:t>
      </w:r>
      <w:r w:rsidRPr="007A208A">
        <w:rPr>
          <w:noProof/>
          <w:rtl/>
        </w:rPr>
        <w:t>ובמאוס לעולם אינו נהנה</w:t>
      </w:r>
    </w:p>
    <w:p w:rsidR="006C2032" w:rsidRDefault="006C2032" w:rsidP="006C2032">
      <w:pPr>
        <w:pStyle w:val="aff2"/>
        <w:numPr>
          <w:ilvl w:val="0"/>
          <w:numId w:val="3"/>
        </w:numPr>
        <w:rPr>
          <w:rFonts w:eastAsiaTheme="minorEastAsia" w:cstheme="minorBidi"/>
          <w:sz w:val="22"/>
          <w:szCs w:val="22"/>
          <w:rtl/>
        </w:rPr>
      </w:pPr>
      <w:r>
        <w:rPr>
          <w:rtl/>
        </w:rPr>
        <w:t>ביאור הפרמ"ג בר"ן דכשאינו נהנה מהאיסור נטל"פ מותר ובהגדיל מידתו ניכר האיסור ולא בטל</w:t>
      </w:r>
    </w:p>
    <w:p w:rsidR="006C2032" w:rsidRPr="0091227A" w:rsidRDefault="006C2032" w:rsidP="006C2032">
      <w:pPr>
        <w:pStyle w:val="aff2"/>
        <w:numPr>
          <w:ilvl w:val="0"/>
          <w:numId w:val="3"/>
        </w:numPr>
        <w:rPr>
          <w:rtl/>
        </w:rPr>
      </w:pPr>
      <w:r>
        <w:rPr>
          <w:rFonts w:hint="cs"/>
          <w:rtl/>
        </w:rPr>
        <w:t>דברי הפרמ"ג דבמאוס מעיקרו כזבובין אף בהגדיל מדתו מותר להר"ן דאינו נהנה</w:t>
      </w:r>
    </w:p>
    <w:p w:rsidR="006C2032" w:rsidRDefault="006C2032" w:rsidP="006C2032">
      <w:pPr>
        <w:pStyle w:val="aff2"/>
        <w:numPr>
          <w:ilvl w:val="0"/>
          <w:numId w:val="3"/>
        </w:numPr>
        <w:rPr>
          <w:rFonts w:eastAsiaTheme="minorEastAsia" w:cstheme="minorBidi"/>
          <w:sz w:val="22"/>
          <w:szCs w:val="22"/>
          <w:rtl/>
        </w:rPr>
      </w:pPr>
      <w:r>
        <w:rPr>
          <w:rtl/>
        </w:rPr>
        <w:t>קושית הפרמ"ג דבאיסור מאוס לא שייך לומר דאינו נהנה מהאיסור דזה גופא אסרה תורה</w:t>
      </w:r>
    </w:p>
    <w:p w:rsidR="006C2032" w:rsidRDefault="006C2032" w:rsidP="006C2032">
      <w:pPr>
        <w:pStyle w:val="aff4"/>
        <w:rPr>
          <w:rFonts w:eastAsiaTheme="minorEastAsia" w:cstheme="minorBidi"/>
          <w:i/>
          <w:iCs/>
          <w:noProof/>
          <w:sz w:val="22"/>
          <w:szCs w:val="22"/>
          <w:rtl/>
        </w:rPr>
      </w:pPr>
      <w:r>
        <w:rPr>
          <w:rFonts w:hint="cs"/>
          <w:noProof/>
          <w:rtl/>
        </w:rPr>
        <w:t xml:space="preserve">ביאור </w:t>
      </w:r>
      <w:r>
        <w:rPr>
          <w:noProof/>
          <w:rtl/>
        </w:rPr>
        <w:t xml:space="preserve">היד יהודה </w:t>
      </w:r>
      <w:r>
        <w:rPr>
          <w:rFonts w:hint="cs"/>
          <w:noProof/>
          <w:rtl/>
        </w:rPr>
        <w:t>ב</w:t>
      </w:r>
      <w:r>
        <w:rPr>
          <w:noProof/>
          <w:rtl/>
        </w:rPr>
        <w:t xml:space="preserve">רשב"א </w:t>
      </w:r>
      <w:r>
        <w:rPr>
          <w:rFonts w:hint="cs"/>
          <w:noProof/>
          <w:rtl/>
        </w:rPr>
        <w:t xml:space="preserve">דטעם </w:t>
      </w:r>
      <w:r>
        <w:rPr>
          <w:noProof/>
          <w:rtl/>
        </w:rPr>
        <w:t xml:space="preserve">מאוס </w:t>
      </w:r>
      <w:r>
        <w:rPr>
          <w:rFonts w:hint="cs"/>
          <w:noProof/>
          <w:rtl/>
        </w:rPr>
        <w:t>מותר ובטל ברוב</w:t>
      </w:r>
    </w:p>
    <w:p w:rsidR="006C2032" w:rsidRDefault="006C2032" w:rsidP="006C2032">
      <w:pPr>
        <w:pStyle w:val="aff2"/>
        <w:numPr>
          <w:ilvl w:val="0"/>
          <w:numId w:val="3"/>
        </w:numPr>
        <w:rPr>
          <w:rFonts w:eastAsiaTheme="minorEastAsia" w:cstheme="minorBidi"/>
          <w:sz w:val="22"/>
          <w:szCs w:val="22"/>
          <w:rtl/>
        </w:rPr>
      </w:pPr>
      <w:r>
        <w:rPr>
          <w:rtl/>
        </w:rPr>
        <w:t>ביאור היד יהודה ברשב"א דבטעם אסור לא מהני ביטול ברוב ובטעם פגום אף שניכר מהני רוב</w:t>
      </w:r>
    </w:p>
    <w:p w:rsidR="006C2032" w:rsidRDefault="006C2032" w:rsidP="006C2032">
      <w:pPr>
        <w:pStyle w:val="aff2"/>
        <w:numPr>
          <w:ilvl w:val="0"/>
          <w:numId w:val="3"/>
        </w:numPr>
        <w:rPr>
          <w:rFonts w:eastAsiaTheme="minorEastAsia" w:cstheme="minorBidi"/>
          <w:sz w:val="22"/>
          <w:szCs w:val="22"/>
          <w:rtl/>
        </w:rPr>
      </w:pPr>
      <w:r>
        <w:rPr>
          <w:rtl/>
        </w:rPr>
        <w:t>ביאור היד יהודה בקושית הרשב"א דבמאוס מעיקרו הטעם הפגום אסור ולא מהני ביטול ברוב</w:t>
      </w:r>
    </w:p>
    <w:p w:rsidR="006C2032" w:rsidRDefault="006C2032" w:rsidP="006C2032">
      <w:pPr>
        <w:pStyle w:val="aff2"/>
        <w:numPr>
          <w:ilvl w:val="0"/>
          <w:numId w:val="3"/>
        </w:numPr>
        <w:rPr>
          <w:rFonts w:eastAsiaTheme="minorEastAsia" w:cstheme="minorBidi"/>
          <w:sz w:val="22"/>
          <w:szCs w:val="22"/>
          <w:rtl/>
        </w:rPr>
      </w:pPr>
      <w:r>
        <w:rPr>
          <w:rtl/>
        </w:rPr>
        <w:t>ביאור היד יהודה ברשב"א דאף במאוס הטעם אינו אסור ולכן מהני ביטול ברוב לגוף האיסור</w:t>
      </w:r>
    </w:p>
    <w:p w:rsidR="006C2032" w:rsidRDefault="006C2032" w:rsidP="006C2032">
      <w:pPr>
        <w:pStyle w:val="aff2"/>
        <w:numPr>
          <w:ilvl w:val="0"/>
          <w:numId w:val="3"/>
        </w:numPr>
        <w:rPr>
          <w:rFonts w:eastAsiaTheme="minorEastAsia" w:cstheme="minorBidi"/>
          <w:sz w:val="22"/>
          <w:szCs w:val="22"/>
          <w:rtl/>
        </w:rPr>
      </w:pPr>
      <w:r>
        <w:rPr>
          <w:rtl/>
        </w:rPr>
        <w:t>ביאור היד יהודה דהוקשה להרשב"א דע"י הטעם חשיב בעין והיאך תערובת ההיתר מתירתו</w:t>
      </w:r>
    </w:p>
    <w:p w:rsidR="006C2032" w:rsidRDefault="006C2032" w:rsidP="006C2032">
      <w:pPr>
        <w:pStyle w:val="aff2"/>
        <w:numPr>
          <w:ilvl w:val="0"/>
          <w:numId w:val="3"/>
        </w:numPr>
        <w:rPr>
          <w:rFonts w:eastAsiaTheme="minorEastAsia" w:cstheme="minorBidi"/>
          <w:sz w:val="22"/>
          <w:szCs w:val="22"/>
          <w:rtl/>
        </w:rPr>
      </w:pPr>
      <w:r>
        <w:rPr>
          <w:rtl/>
        </w:rPr>
        <w:t>ביאור היד יהודה בתירוץ הרשב"א דגופו בטל ברוב ואת הטעם הפגום לא אסרה תורה כלל</w:t>
      </w:r>
    </w:p>
    <w:p w:rsidR="006C2032" w:rsidRDefault="006C2032" w:rsidP="006C2032">
      <w:pPr>
        <w:pStyle w:val="aff4"/>
        <w:rPr>
          <w:rFonts w:eastAsiaTheme="minorEastAsia" w:cstheme="minorBidi"/>
          <w:i/>
          <w:iCs/>
          <w:noProof/>
          <w:sz w:val="22"/>
          <w:szCs w:val="22"/>
          <w:rtl/>
        </w:rPr>
      </w:pPr>
      <w:r>
        <w:rPr>
          <w:noProof/>
          <w:rtl/>
        </w:rPr>
        <w:t xml:space="preserve">ביאור היד יהודה בר"ן דרק במאוס </w:t>
      </w:r>
      <w:r>
        <w:rPr>
          <w:rFonts w:hint="cs"/>
          <w:noProof/>
          <w:rtl/>
        </w:rPr>
        <w:t xml:space="preserve">שאינו אוכל </w:t>
      </w:r>
      <w:r>
        <w:rPr>
          <w:noProof/>
          <w:rtl/>
        </w:rPr>
        <w:t>הטעם בטל ברוב</w:t>
      </w:r>
    </w:p>
    <w:p w:rsidR="006C2032" w:rsidRDefault="006C2032" w:rsidP="006C2032">
      <w:pPr>
        <w:pStyle w:val="aff2"/>
        <w:numPr>
          <w:ilvl w:val="0"/>
          <w:numId w:val="3"/>
        </w:numPr>
        <w:rPr>
          <w:rFonts w:eastAsiaTheme="minorEastAsia" w:cstheme="minorBidi"/>
          <w:sz w:val="22"/>
          <w:szCs w:val="22"/>
          <w:rtl/>
        </w:rPr>
      </w:pPr>
      <w:r>
        <w:rPr>
          <w:rtl/>
        </w:rPr>
        <w:t>ביאור היד יהודה בר"ן דאף טעם פגום שמותר גורם לאיסור שלא יתבטל ברוב</w:t>
      </w:r>
    </w:p>
    <w:p w:rsidR="006C2032" w:rsidRDefault="006C2032" w:rsidP="006C2032">
      <w:pPr>
        <w:pStyle w:val="aff2"/>
        <w:numPr>
          <w:ilvl w:val="0"/>
          <w:numId w:val="3"/>
        </w:numPr>
        <w:rPr>
          <w:rFonts w:eastAsiaTheme="minorEastAsia" w:cstheme="minorBidi"/>
          <w:sz w:val="22"/>
          <w:szCs w:val="22"/>
          <w:rtl/>
        </w:rPr>
      </w:pPr>
      <w:r>
        <w:rPr>
          <w:rtl/>
        </w:rPr>
        <w:t xml:space="preserve">קושית היד יהודה דהא </w:t>
      </w:r>
      <w:r>
        <w:rPr>
          <w:rFonts w:hint="cs"/>
          <w:rtl/>
        </w:rPr>
        <w:t xml:space="preserve">כתב הר"ן </w:t>
      </w:r>
      <w:r>
        <w:rPr>
          <w:rtl/>
        </w:rPr>
        <w:t>דבאיסור מאוס מהני ביטול ברוב אף שהטעם ניכר</w:t>
      </w:r>
    </w:p>
    <w:p w:rsidR="006C2032" w:rsidRDefault="006C2032" w:rsidP="006C2032">
      <w:pPr>
        <w:pStyle w:val="aff2"/>
        <w:numPr>
          <w:ilvl w:val="0"/>
          <w:numId w:val="3"/>
        </w:numPr>
        <w:rPr>
          <w:rFonts w:eastAsiaTheme="minorEastAsia" w:cstheme="minorBidi"/>
          <w:sz w:val="22"/>
          <w:szCs w:val="22"/>
          <w:rtl/>
        </w:rPr>
      </w:pPr>
      <w:r>
        <w:rPr>
          <w:rtl/>
        </w:rPr>
        <w:t>תירוץ היד יהודה בר"ן דבשאר איסורים שהם אוכל ע"י הטעם ניכר האיסור והוא טעמו וממשו</w:t>
      </w:r>
    </w:p>
    <w:p w:rsidR="006C2032" w:rsidRDefault="006C2032" w:rsidP="006C2032">
      <w:pPr>
        <w:pStyle w:val="aff2"/>
        <w:numPr>
          <w:ilvl w:val="0"/>
          <w:numId w:val="3"/>
        </w:numPr>
        <w:rPr>
          <w:rFonts w:eastAsiaTheme="minorEastAsia" w:cstheme="minorBidi"/>
          <w:sz w:val="22"/>
          <w:szCs w:val="22"/>
          <w:rtl/>
        </w:rPr>
      </w:pPr>
      <w:r>
        <w:rPr>
          <w:rtl/>
        </w:rPr>
        <w:t>ביאור היד יהודה בר"ן דבמאוס מעיקרו שאין בו טעמו וממשו אף בנימוח מהני ביטול ברוב</w:t>
      </w:r>
    </w:p>
    <w:p w:rsidR="006C2032" w:rsidRDefault="006C2032" w:rsidP="006C2032">
      <w:pPr>
        <w:pStyle w:val="aff4"/>
        <w:rPr>
          <w:rFonts w:eastAsiaTheme="minorEastAsia" w:cstheme="minorBidi"/>
          <w:i/>
          <w:iCs/>
          <w:noProof/>
          <w:sz w:val="22"/>
          <w:szCs w:val="22"/>
          <w:rtl/>
        </w:rPr>
      </w:pPr>
      <w:r>
        <w:rPr>
          <w:noProof/>
          <w:rtl/>
        </w:rPr>
        <w:lastRenderedPageBreak/>
        <w:t>דברי החזו"א דמוכח בר"ן דבכל נטל"פ צריך רוב היתר</w:t>
      </w:r>
    </w:p>
    <w:p w:rsidR="006C2032" w:rsidRDefault="006C2032" w:rsidP="006C2032">
      <w:pPr>
        <w:pStyle w:val="aff2"/>
        <w:numPr>
          <w:ilvl w:val="0"/>
          <w:numId w:val="3"/>
        </w:numPr>
        <w:rPr>
          <w:rFonts w:eastAsiaTheme="minorEastAsia" w:cstheme="minorBidi"/>
          <w:sz w:val="22"/>
          <w:szCs w:val="22"/>
          <w:rtl/>
        </w:rPr>
      </w:pPr>
      <w:r>
        <w:rPr>
          <w:rtl/>
        </w:rPr>
        <w:t>קושית החזו"א על הר"ן אמאי צריך רוב היתר באיסור מאוס הא אינו נהנה מהטעם הפגום</w:t>
      </w:r>
    </w:p>
    <w:p w:rsidR="006C2032" w:rsidRDefault="006C2032" w:rsidP="006C2032">
      <w:pPr>
        <w:pStyle w:val="aff2"/>
        <w:numPr>
          <w:ilvl w:val="0"/>
          <w:numId w:val="3"/>
        </w:numPr>
        <w:rPr>
          <w:rFonts w:eastAsiaTheme="minorEastAsia" w:cstheme="minorBidi"/>
          <w:sz w:val="22"/>
          <w:szCs w:val="22"/>
          <w:rtl/>
        </w:rPr>
      </w:pPr>
      <w:r>
        <w:rPr>
          <w:rtl/>
        </w:rPr>
        <w:t>דברי החזו"א דמדברי הר"ן באיסור מאוס מוכח דכל נטל"פ מותר רק ברוב היתר אף דאינו נהנה</w:t>
      </w:r>
    </w:p>
    <w:p w:rsidR="006C2032" w:rsidRDefault="006C2032" w:rsidP="006C2032">
      <w:pPr>
        <w:pStyle w:val="aff4"/>
        <w:rPr>
          <w:rFonts w:eastAsiaTheme="minorEastAsia" w:cstheme="minorBidi"/>
          <w:i/>
          <w:iCs/>
          <w:noProof/>
          <w:sz w:val="22"/>
          <w:szCs w:val="22"/>
          <w:rtl/>
        </w:rPr>
      </w:pPr>
      <w:r>
        <w:rPr>
          <w:noProof/>
          <w:rtl/>
        </w:rPr>
        <w:t>ביאור האבנ"ז דמאוס מעיקרו בתערובת אינו רוצה באכילתו</w:t>
      </w:r>
    </w:p>
    <w:p w:rsidR="006C2032" w:rsidRDefault="006C2032" w:rsidP="006C2032">
      <w:pPr>
        <w:pStyle w:val="aff2"/>
        <w:numPr>
          <w:ilvl w:val="0"/>
          <w:numId w:val="3"/>
        </w:numPr>
        <w:rPr>
          <w:rFonts w:eastAsiaTheme="minorEastAsia" w:cstheme="minorBidi"/>
          <w:sz w:val="22"/>
          <w:szCs w:val="22"/>
          <w:rtl/>
        </w:rPr>
      </w:pPr>
      <w:r>
        <w:rPr>
          <w:rtl/>
        </w:rPr>
        <w:t>ביאור האבנ"ז דחיוב אכילת שרצים המאוסים הוא כיון דאחשביה באכילתם</w:t>
      </w:r>
    </w:p>
    <w:p w:rsidR="006C2032" w:rsidRDefault="006C2032" w:rsidP="006C2032">
      <w:pPr>
        <w:pStyle w:val="aff2"/>
        <w:numPr>
          <w:ilvl w:val="0"/>
          <w:numId w:val="3"/>
        </w:numPr>
        <w:rPr>
          <w:rFonts w:eastAsiaTheme="minorEastAsia" w:cstheme="minorBidi"/>
          <w:sz w:val="22"/>
          <w:szCs w:val="22"/>
          <w:rtl/>
        </w:rPr>
      </w:pPr>
      <w:r>
        <w:rPr>
          <w:rtl/>
        </w:rPr>
        <w:t>ביאור האבנ"ז דאיסור מאוס בתערובת אינו רוצה בו ואינו מחשיבו ולכן נטל"פ מותר בו</w:t>
      </w:r>
    </w:p>
    <w:p w:rsidR="006C2032" w:rsidRDefault="006C2032" w:rsidP="006C2032">
      <w:pPr>
        <w:pStyle w:val="aff2"/>
        <w:numPr>
          <w:ilvl w:val="0"/>
          <w:numId w:val="3"/>
        </w:numPr>
        <w:rPr>
          <w:rFonts w:eastAsiaTheme="minorEastAsia" w:cstheme="minorBidi"/>
          <w:sz w:val="22"/>
          <w:szCs w:val="22"/>
          <w:rtl/>
        </w:rPr>
      </w:pPr>
      <w:r>
        <w:rPr>
          <w:rtl/>
        </w:rPr>
        <w:t>קושית האבנ"ז דאף כשאין רוב היתר אינו רוצה באיסור המאוס ואמאי אין בו היתר נטל"פ</w:t>
      </w:r>
    </w:p>
    <w:p w:rsidR="006C2032" w:rsidRDefault="006C2032" w:rsidP="006C2032">
      <w:pPr>
        <w:pStyle w:val="aff2"/>
        <w:numPr>
          <w:ilvl w:val="0"/>
          <w:numId w:val="3"/>
        </w:numPr>
        <w:rPr>
          <w:rFonts w:eastAsiaTheme="minorEastAsia" w:cstheme="minorBidi"/>
          <w:sz w:val="22"/>
          <w:szCs w:val="22"/>
          <w:rtl/>
        </w:rPr>
      </w:pPr>
      <w:r>
        <w:rPr>
          <w:rtl/>
        </w:rPr>
        <w:t>ביאור האבנ"ז דכשאין רוב היתר והתערובת ראויה לגר חשיבי השרצים כמשובחים ואסורים</w:t>
      </w:r>
    </w:p>
    <w:p w:rsidR="006C2032" w:rsidRDefault="006C2032" w:rsidP="006C2032">
      <w:pPr>
        <w:pStyle w:val="2"/>
        <w:rPr>
          <w:rFonts w:eastAsiaTheme="minorEastAsia" w:cstheme="minorBidi"/>
          <w:i/>
          <w:iCs/>
          <w:sz w:val="22"/>
          <w:szCs w:val="22"/>
          <w:rtl/>
        </w:rPr>
      </w:pPr>
      <w:r>
        <w:rPr>
          <w:rtl/>
        </w:rPr>
        <w:t>פלוגתת הרא"ה והרשב"א באיסור מאוס</w:t>
      </w:r>
    </w:p>
    <w:p w:rsidR="006C2032" w:rsidRDefault="006C2032" w:rsidP="006C2032">
      <w:pPr>
        <w:pStyle w:val="aff4"/>
        <w:rPr>
          <w:rFonts w:eastAsiaTheme="minorEastAsia" w:cstheme="minorBidi"/>
          <w:i/>
          <w:iCs/>
          <w:noProof/>
          <w:sz w:val="22"/>
          <w:szCs w:val="22"/>
          <w:rtl/>
        </w:rPr>
      </w:pPr>
      <w:r>
        <w:rPr>
          <w:noProof/>
          <w:rtl/>
        </w:rPr>
        <w:t>דברי הרא"ה דרק עכבר המפורש בתורה אסור אף שהוא פגום</w:t>
      </w:r>
    </w:p>
    <w:p w:rsidR="006C2032" w:rsidRDefault="006C2032" w:rsidP="006C2032">
      <w:pPr>
        <w:pStyle w:val="aff2"/>
        <w:numPr>
          <w:ilvl w:val="0"/>
          <w:numId w:val="3"/>
        </w:numPr>
        <w:rPr>
          <w:rFonts w:eastAsiaTheme="minorEastAsia" w:cstheme="minorBidi"/>
          <w:sz w:val="22"/>
          <w:szCs w:val="22"/>
          <w:rtl/>
        </w:rPr>
      </w:pPr>
      <w:r>
        <w:rPr>
          <w:rtl/>
        </w:rPr>
        <w:t>דברי הרא"ה דרבא ורב ששת נחלקו רק בעכבר המפורש בקרא לאיסור אעפ"י שהוא מאוס</w:t>
      </w:r>
    </w:p>
    <w:p w:rsidR="006C2032" w:rsidRDefault="006C2032" w:rsidP="006C2032">
      <w:pPr>
        <w:pStyle w:val="aff4"/>
        <w:rPr>
          <w:rFonts w:eastAsiaTheme="minorEastAsia" w:cstheme="minorBidi"/>
          <w:i/>
          <w:iCs/>
          <w:noProof/>
          <w:sz w:val="22"/>
          <w:szCs w:val="22"/>
          <w:rtl/>
        </w:rPr>
      </w:pPr>
      <w:r>
        <w:rPr>
          <w:noProof/>
          <w:rtl/>
        </w:rPr>
        <w:t>דברי הרא"ה דשאר השרצים שפגומים אינם אסורים</w:t>
      </w:r>
    </w:p>
    <w:p w:rsidR="006C2032" w:rsidRDefault="006C2032" w:rsidP="006C2032">
      <w:pPr>
        <w:pStyle w:val="aff2"/>
        <w:numPr>
          <w:ilvl w:val="0"/>
          <w:numId w:val="3"/>
        </w:numPr>
        <w:rPr>
          <w:rFonts w:eastAsiaTheme="minorEastAsia" w:cstheme="minorBidi"/>
          <w:sz w:val="22"/>
          <w:szCs w:val="22"/>
          <w:rtl/>
        </w:rPr>
      </w:pPr>
      <w:r>
        <w:rPr>
          <w:rtl/>
        </w:rPr>
        <w:t>דברי הרא"ה דשאר שרצים המאוסים אינם אסורים כנבילה שסרוחה מעיקרא דא"צ קרא להתירה</w:t>
      </w:r>
    </w:p>
    <w:p w:rsidR="006C2032" w:rsidRDefault="006C2032" w:rsidP="006C2032">
      <w:pPr>
        <w:pStyle w:val="aff2"/>
        <w:numPr>
          <w:ilvl w:val="0"/>
          <w:numId w:val="3"/>
        </w:numPr>
        <w:rPr>
          <w:rFonts w:eastAsiaTheme="minorEastAsia" w:cstheme="minorBidi"/>
          <w:sz w:val="22"/>
          <w:szCs w:val="22"/>
          <w:rtl/>
        </w:rPr>
      </w:pPr>
      <w:r>
        <w:rPr>
          <w:rtl/>
        </w:rPr>
        <w:t>דברי הרא"ה דאיסור שרצים בתורה נאמר רק בשרצים שאינם פגומים אבל הפגומים לא נאסרו</w:t>
      </w:r>
    </w:p>
    <w:p w:rsidR="006C2032" w:rsidRDefault="006C2032" w:rsidP="006C2032">
      <w:pPr>
        <w:pStyle w:val="aff2"/>
        <w:numPr>
          <w:ilvl w:val="0"/>
          <w:numId w:val="3"/>
        </w:numPr>
        <w:rPr>
          <w:rFonts w:eastAsiaTheme="minorEastAsia" w:cstheme="minorBidi"/>
          <w:sz w:val="22"/>
          <w:szCs w:val="22"/>
          <w:rtl/>
        </w:rPr>
      </w:pPr>
      <w:r>
        <w:rPr>
          <w:rtl/>
        </w:rPr>
        <w:t>דברי הרא"ה דדבר פגום אינו אסור אלא בנמאס מפני שיקוצו</w:t>
      </w:r>
    </w:p>
    <w:p w:rsidR="006C2032" w:rsidRDefault="006C2032" w:rsidP="006C2032">
      <w:pPr>
        <w:pStyle w:val="aff2"/>
        <w:numPr>
          <w:ilvl w:val="0"/>
          <w:numId w:val="3"/>
        </w:numPr>
        <w:rPr>
          <w:rFonts w:eastAsiaTheme="minorEastAsia" w:cstheme="minorBidi"/>
          <w:sz w:val="22"/>
          <w:szCs w:val="22"/>
          <w:rtl/>
        </w:rPr>
      </w:pPr>
      <w:r>
        <w:rPr>
          <w:rtl/>
        </w:rPr>
        <w:t>ביאור הרא"ה בגמ' במכות דאיירי בשרצים שאינם מאוסים ולכן לוקה עליהם</w:t>
      </w:r>
    </w:p>
    <w:p w:rsidR="006C2032" w:rsidRDefault="006C2032" w:rsidP="006C2032">
      <w:pPr>
        <w:pStyle w:val="aff4"/>
        <w:rPr>
          <w:rFonts w:eastAsiaTheme="minorEastAsia" w:cstheme="minorBidi"/>
          <w:i/>
          <w:iCs/>
          <w:noProof/>
          <w:sz w:val="22"/>
          <w:szCs w:val="22"/>
          <w:rtl/>
        </w:rPr>
      </w:pPr>
      <w:r>
        <w:rPr>
          <w:noProof/>
          <w:rtl/>
        </w:rPr>
        <w:t>דברי הרשב"א והריטב"א דכל השרצים המאוסים אסורים</w:t>
      </w:r>
    </w:p>
    <w:p w:rsidR="006C2032" w:rsidRDefault="006C2032" w:rsidP="006C2032">
      <w:pPr>
        <w:pStyle w:val="aff2"/>
        <w:numPr>
          <w:ilvl w:val="0"/>
          <w:numId w:val="3"/>
        </w:numPr>
        <w:rPr>
          <w:rFonts w:eastAsiaTheme="minorEastAsia" w:cstheme="minorBidi"/>
          <w:sz w:val="22"/>
          <w:szCs w:val="22"/>
          <w:rtl/>
        </w:rPr>
      </w:pPr>
      <w:r>
        <w:rPr>
          <w:rtl/>
        </w:rPr>
        <w:t>דחיית הרשב"א דא"א לומר דכוונת הגמ' במכות לשרצים שאינם מאוסים</w:t>
      </w:r>
    </w:p>
    <w:p w:rsidR="006C2032" w:rsidRDefault="006C2032" w:rsidP="006C2032">
      <w:pPr>
        <w:pStyle w:val="aff2"/>
        <w:numPr>
          <w:ilvl w:val="0"/>
          <w:numId w:val="3"/>
        </w:numPr>
        <w:rPr>
          <w:rFonts w:eastAsiaTheme="minorEastAsia" w:cstheme="minorBidi"/>
          <w:sz w:val="22"/>
          <w:szCs w:val="22"/>
          <w:rtl/>
        </w:rPr>
      </w:pPr>
      <w:r>
        <w:rPr>
          <w:rtl/>
        </w:rPr>
        <w:t>הוכחות הרשב"א דמצינו בהרבה מקומות בגמ' שיש איסור בשרצים המאוסים</w:t>
      </w:r>
    </w:p>
    <w:p w:rsidR="006C2032" w:rsidRDefault="006C2032" w:rsidP="006C2032">
      <w:pPr>
        <w:pStyle w:val="aff2"/>
        <w:numPr>
          <w:ilvl w:val="0"/>
          <w:numId w:val="3"/>
        </w:numPr>
        <w:rPr>
          <w:rFonts w:eastAsiaTheme="minorEastAsia" w:cstheme="minorBidi"/>
          <w:sz w:val="22"/>
          <w:szCs w:val="22"/>
          <w:rtl/>
        </w:rPr>
      </w:pPr>
      <w:r>
        <w:rPr>
          <w:rtl/>
        </w:rPr>
        <w:t>דברי הרשב"א דכל שרץ שבדילים ממנו חשיב כמאוס [אף אם אין טעמו פגום] ואפ"ה אסור</w:t>
      </w:r>
    </w:p>
    <w:p w:rsidR="006C2032" w:rsidRDefault="006C2032" w:rsidP="006C2032">
      <w:pPr>
        <w:pStyle w:val="aff2"/>
        <w:numPr>
          <w:ilvl w:val="0"/>
          <w:numId w:val="3"/>
        </w:numPr>
        <w:rPr>
          <w:rFonts w:eastAsiaTheme="minorEastAsia" w:cstheme="minorBidi"/>
          <w:sz w:val="22"/>
          <w:szCs w:val="22"/>
          <w:rtl/>
        </w:rPr>
      </w:pPr>
      <w:r>
        <w:rPr>
          <w:rtl/>
        </w:rPr>
        <w:t>דברי הריטב"א דרבא ורב ששת נחלקו רק בטעם הפגום אך השרצים עצמם אסורים לכו"ע</w:t>
      </w:r>
    </w:p>
    <w:p w:rsidR="006C2032" w:rsidRDefault="006C2032" w:rsidP="006C2032">
      <w:pPr>
        <w:pStyle w:val="aff4"/>
        <w:rPr>
          <w:rFonts w:eastAsiaTheme="minorEastAsia" w:cstheme="minorBidi"/>
          <w:i/>
          <w:iCs/>
          <w:noProof/>
          <w:sz w:val="22"/>
          <w:szCs w:val="22"/>
          <w:rtl/>
        </w:rPr>
      </w:pPr>
      <w:r>
        <w:rPr>
          <w:noProof/>
          <w:rtl/>
        </w:rPr>
        <w:t>דברי הרא"ה דשרץ שהשביח בתערובת אסור דאינו פגום</w:t>
      </w:r>
    </w:p>
    <w:p w:rsidR="006C2032" w:rsidRDefault="006C2032" w:rsidP="006C2032">
      <w:pPr>
        <w:pStyle w:val="aff2"/>
        <w:numPr>
          <w:ilvl w:val="0"/>
          <w:numId w:val="3"/>
        </w:numPr>
        <w:rPr>
          <w:rFonts w:eastAsiaTheme="minorEastAsia" w:cstheme="minorBidi"/>
          <w:sz w:val="22"/>
          <w:szCs w:val="22"/>
          <w:rtl/>
        </w:rPr>
      </w:pPr>
      <w:r>
        <w:rPr>
          <w:rtl/>
        </w:rPr>
        <w:t>דברי הרא"ה דשרץ שהכשירו לאכילה נאסר כיון שכ"מ שאינו אסור הוא מחמת שהיה פגום</w:t>
      </w:r>
    </w:p>
    <w:p w:rsidR="006C2032" w:rsidRDefault="006C2032" w:rsidP="006C2032">
      <w:pPr>
        <w:pStyle w:val="aff2"/>
        <w:numPr>
          <w:ilvl w:val="0"/>
          <w:numId w:val="3"/>
        </w:numPr>
        <w:rPr>
          <w:rFonts w:eastAsiaTheme="minorEastAsia" w:cstheme="minorBidi"/>
          <w:sz w:val="22"/>
          <w:szCs w:val="22"/>
          <w:rtl/>
        </w:rPr>
      </w:pPr>
      <w:r>
        <w:rPr>
          <w:rtl/>
        </w:rPr>
        <w:t>דברי הרא"ה דדבר משובח שהשתנה לפגם חשיב כעפר ואינו חוזר ונאסר</w:t>
      </w:r>
    </w:p>
    <w:p w:rsidR="006C2032" w:rsidRDefault="006C2032" w:rsidP="006C2032">
      <w:pPr>
        <w:pStyle w:val="aff2"/>
        <w:numPr>
          <w:ilvl w:val="0"/>
          <w:numId w:val="3"/>
        </w:numPr>
        <w:rPr>
          <w:rFonts w:eastAsiaTheme="minorEastAsia" w:cstheme="minorBidi"/>
          <w:sz w:val="22"/>
          <w:szCs w:val="22"/>
          <w:rtl/>
        </w:rPr>
      </w:pPr>
      <w:r>
        <w:rPr>
          <w:rtl/>
        </w:rPr>
        <w:t>קושית הרשב"א דאי השרץ הפגום אינו בכלל איסור שרצים א"כ היאך נאסר אחר שהושבח</w:t>
      </w:r>
    </w:p>
    <w:p w:rsidR="006C2032" w:rsidRDefault="006C2032" w:rsidP="006C2032">
      <w:pPr>
        <w:pStyle w:val="aff4"/>
        <w:rPr>
          <w:rFonts w:eastAsiaTheme="minorEastAsia" w:cstheme="minorBidi"/>
          <w:i/>
          <w:iCs/>
          <w:noProof/>
          <w:sz w:val="22"/>
          <w:szCs w:val="22"/>
          <w:rtl/>
        </w:rPr>
      </w:pPr>
      <w:r>
        <w:rPr>
          <w:noProof/>
          <w:rtl/>
        </w:rPr>
        <w:t>ביאור הרא"ה ברב ששת דחידשה תורה איסור אף בטעם המאוס</w:t>
      </w:r>
    </w:p>
    <w:p w:rsidR="006C2032" w:rsidRDefault="006C2032" w:rsidP="006C2032">
      <w:pPr>
        <w:pStyle w:val="aff2"/>
        <w:numPr>
          <w:ilvl w:val="0"/>
          <w:numId w:val="3"/>
        </w:numPr>
        <w:rPr>
          <w:rFonts w:eastAsiaTheme="minorEastAsia" w:cstheme="minorBidi"/>
          <w:sz w:val="22"/>
          <w:szCs w:val="22"/>
          <w:rtl/>
        </w:rPr>
      </w:pPr>
      <w:r>
        <w:rPr>
          <w:rtl/>
        </w:rPr>
        <w:t>ביאור הרא"ה ברב ששת דנטל"פ מותר מילפותא דנבילה ובעכבר דחידשה תורה אף טעמו אסור</w:t>
      </w:r>
    </w:p>
    <w:p w:rsidR="006C2032" w:rsidRDefault="006C2032" w:rsidP="006C2032">
      <w:pPr>
        <w:pStyle w:val="aff4"/>
        <w:rPr>
          <w:rFonts w:eastAsiaTheme="minorEastAsia" w:cstheme="minorBidi"/>
          <w:i/>
          <w:iCs/>
          <w:noProof/>
          <w:sz w:val="22"/>
          <w:szCs w:val="22"/>
          <w:rtl/>
        </w:rPr>
      </w:pPr>
      <w:r>
        <w:rPr>
          <w:noProof/>
          <w:rtl/>
        </w:rPr>
        <w:t>ביאור הרא"ה ברבא דאין כל איסור פגום שאסרתו תורה</w:t>
      </w:r>
    </w:p>
    <w:p w:rsidR="006C2032" w:rsidRDefault="006C2032" w:rsidP="006C2032">
      <w:pPr>
        <w:pStyle w:val="aff2"/>
        <w:numPr>
          <w:ilvl w:val="0"/>
          <w:numId w:val="3"/>
        </w:numPr>
        <w:rPr>
          <w:rFonts w:eastAsiaTheme="minorEastAsia" w:cstheme="minorBidi"/>
          <w:sz w:val="22"/>
          <w:szCs w:val="22"/>
          <w:rtl/>
        </w:rPr>
      </w:pPr>
      <w:r>
        <w:rPr>
          <w:rtl/>
        </w:rPr>
        <w:t>דברי הרא"ה דלרבא לא אסרה תורה איסור מאוס ורב אסר בעכברא דדברא</w:t>
      </w:r>
    </w:p>
    <w:p w:rsidR="006C2032" w:rsidRDefault="006C2032" w:rsidP="006C2032">
      <w:pPr>
        <w:pStyle w:val="aff2"/>
        <w:numPr>
          <w:ilvl w:val="0"/>
          <w:numId w:val="3"/>
        </w:numPr>
        <w:rPr>
          <w:rFonts w:eastAsiaTheme="minorEastAsia" w:cstheme="minorBidi"/>
          <w:sz w:val="22"/>
          <w:szCs w:val="22"/>
          <w:rtl/>
        </w:rPr>
      </w:pPr>
      <w:r>
        <w:rPr>
          <w:rtl/>
        </w:rPr>
        <w:t>דברי הרא"ה דרבא הסתפק אי רב אסר בכל נטל"פ או רק בעכבר דהוא חידוש</w:t>
      </w:r>
    </w:p>
    <w:p w:rsidR="006C2032" w:rsidRDefault="006C2032" w:rsidP="006C2032">
      <w:pPr>
        <w:pStyle w:val="aff2"/>
        <w:numPr>
          <w:ilvl w:val="0"/>
          <w:numId w:val="3"/>
        </w:numPr>
        <w:rPr>
          <w:rFonts w:eastAsiaTheme="minorEastAsia" w:cstheme="minorBidi"/>
          <w:sz w:val="22"/>
          <w:szCs w:val="22"/>
          <w:rtl/>
        </w:rPr>
      </w:pPr>
      <w:r>
        <w:rPr>
          <w:rtl/>
        </w:rPr>
        <w:t>ביאור הרא"ה דהעכבר המאוס מותר וכשהשביח את השכר אסור דהיתרו הוא רק כשהוא פגום</w:t>
      </w:r>
    </w:p>
    <w:p w:rsidR="006C2032" w:rsidRDefault="006C2032" w:rsidP="006C2032">
      <w:pPr>
        <w:pStyle w:val="aff2"/>
        <w:numPr>
          <w:ilvl w:val="0"/>
          <w:numId w:val="3"/>
        </w:numPr>
        <w:rPr>
          <w:rFonts w:eastAsiaTheme="minorEastAsia" w:cstheme="minorBidi"/>
          <w:sz w:val="22"/>
          <w:szCs w:val="22"/>
          <w:rtl/>
        </w:rPr>
      </w:pPr>
      <w:r>
        <w:rPr>
          <w:rtl/>
        </w:rPr>
        <w:t>קושית הרשב"א דאי העכבר מותר היאך טעמו אסור ועוד דטעמו השתנה ואינו אוסר להרא"ה</w:t>
      </w:r>
    </w:p>
    <w:p w:rsidR="006C2032" w:rsidRDefault="006C2032" w:rsidP="006C2032">
      <w:pPr>
        <w:pStyle w:val="aff4"/>
        <w:rPr>
          <w:rFonts w:eastAsiaTheme="minorEastAsia" w:cstheme="minorBidi"/>
          <w:i/>
          <w:iCs/>
          <w:noProof/>
          <w:sz w:val="22"/>
          <w:szCs w:val="22"/>
          <w:rtl/>
        </w:rPr>
      </w:pPr>
      <w:r>
        <w:rPr>
          <w:noProof/>
          <w:rtl/>
        </w:rPr>
        <w:t>מסקנת הרא"ה דנטל"פ בכל האיסורים ואיסור מאוס מותרים</w:t>
      </w:r>
    </w:p>
    <w:p w:rsidR="007D485E" w:rsidRDefault="006C2032" w:rsidP="006C2032">
      <w:pPr>
        <w:pStyle w:val="aff2"/>
        <w:numPr>
          <w:ilvl w:val="0"/>
          <w:numId w:val="3"/>
        </w:numPr>
        <w:rPr>
          <w:rFonts w:eastAsiaTheme="minorEastAsia" w:cstheme="minorBidi"/>
          <w:sz w:val="22"/>
          <w:szCs w:val="22"/>
        </w:rPr>
      </w:pPr>
      <w:r>
        <w:rPr>
          <w:rtl/>
        </w:rPr>
        <w:t>מסקנת הרא"ה דנטל"פ מותר ואיסור מאוס מותר גופו צירו ורוטבו ובלא השתנה והשביח אוסר</w:t>
      </w:r>
    </w:p>
    <w:p w:rsidR="006C2032" w:rsidRDefault="006C2032" w:rsidP="006C2032">
      <w:pPr>
        <w:pStyle w:val="2"/>
        <w:rPr>
          <w:rFonts w:eastAsiaTheme="minorEastAsia" w:cstheme="minorBidi"/>
          <w:i/>
          <w:iCs/>
          <w:sz w:val="22"/>
          <w:szCs w:val="22"/>
          <w:rtl/>
        </w:rPr>
      </w:pPr>
      <w:r>
        <w:rPr>
          <w:rtl/>
        </w:rPr>
        <w:t>ביאור הריטב"א בדברי רבא</w:t>
      </w:r>
    </w:p>
    <w:p w:rsidR="006C2032" w:rsidRDefault="006C2032" w:rsidP="006C2032">
      <w:pPr>
        <w:pStyle w:val="aff4"/>
        <w:rPr>
          <w:rFonts w:eastAsiaTheme="minorEastAsia" w:cstheme="minorBidi"/>
          <w:i/>
          <w:iCs/>
          <w:noProof/>
          <w:sz w:val="22"/>
          <w:szCs w:val="22"/>
          <w:rtl/>
        </w:rPr>
      </w:pPr>
      <w:r>
        <w:rPr>
          <w:noProof/>
          <w:rtl/>
        </w:rPr>
        <w:t>דברי הריטב"א דלרבא לא פלוג רבנן ונטל"פ מותר במאוס</w:t>
      </w:r>
    </w:p>
    <w:p w:rsidR="006C2032" w:rsidRDefault="006C2032" w:rsidP="006C2032">
      <w:pPr>
        <w:pStyle w:val="aff2"/>
        <w:numPr>
          <w:ilvl w:val="0"/>
          <w:numId w:val="3"/>
        </w:numPr>
        <w:rPr>
          <w:rFonts w:eastAsiaTheme="minorEastAsia" w:cstheme="minorBidi"/>
          <w:sz w:val="22"/>
          <w:szCs w:val="22"/>
          <w:rtl/>
        </w:rPr>
      </w:pPr>
      <w:r>
        <w:rPr>
          <w:rtl/>
        </w:rPr>
        <w:t>דברי הריטב"א דבעכברא לא היה שישים ובשישים בטל דלטעם בריה מהני שישים</w:t>
      </w:r>
    </w:p>
    <w:p w:rsidR="006C2032" w:rsidRDefault="006C2032" w:rsidP="006C2032">
      <w:pPr>
        <w:pStyle w:val="aff2"/>
        <w:numPr>
          <w:ilvl w:val="0"/>
          <w:numId w:val="3"/>
        </w:numPr>
        <w:rPr>
          <w:rFonts w:eastAsiaTheme="minorEastAsia" w:cstheme="minorBidi"/>
          <w:sz w:val="22"/>
          <w:szCs w:val="22"/>
          <w:rtl/>
        </w:rPr>
      </w:pPr>
      <w:r>
        <w:rPr>
          <w:rtl/>
        </w:rPr>
        <w:t>דברי הריטב"א דרבא פליג על רב ששת ומתיר נותן טעם לפגם אף באיסור מאוס מעיקרו</w:t>
      </w:r>
    </w:p>
    <w:p w:rsidR="006C2032" w:rsidRDefault="006C2032" w:rsidP="006C2032">
      <w:pPr>
        <w:pStyle w:val="aff2"/>
        <w:numPr>
          <w:ilvl w:val="0"/>
          <w:numId w:val="3"/>
        </w:numPr>
        <w:rPr>
          <w:rFonts w:eastAsiaTheme="minorEastAsia" w:cstheme="minorBidi"/>
          <w:sz w:val="22"/>
          <w:szCs w:val="22"/>
          <w:rtl/>
        </w:rPr>
      </w:pPr>
      <w:r>
        <w:rPr>
          <w:rtl/>
        </w:rPr>
        <w:t>ביאור הריטב"א בצד הא' בספק של רבא דס"ל דאף עכברא דבתים אינו מאוס ולכן אסר רב</w:t>
      </w:r>
    </w:p>
    <w:p w:rsidR="006C2032" w:rsidRDefault="006C2032" w:rsidP="006C2032">
      <w:pPr>
        <w:pStyle w:val="aff2"/>
        <w:numPr>
          <w:ilvl w:val="0"/>
          <w:numId w:val="3"/>
        </w:numPr>
        <w:rPr>
          <w:rFonts w:eastAsiaTheme="minorEastAsia" w:cstheme="minorBidi"/>
          <w:sz w:val="22"/>
          <w:szCs w:val="22"/>
          <w:rtl/>
        </w:rPr>
      </w:pPr>
      <w:r>
        <w:rPr>
          <w:rtl/>
        </w:rPr>
        <w:t>ביאור הריטב"א בצד בספק של רבא דרבנן אסרו נטל"פ אף באיסור מאוס דלא פלוג רבנן</w:t>
      </w:r>
    </w:p>
    <w:p w:rsidR="006C2032" w:rsidRDefault="006C2032" w:rsidP="006C2032">
      <w:pPr>
        <w:pStyle w:val="aff2"/>
        <w:numPr>
          <w:ilvl w:val="0"/>
          <w:numId w:val="3"/>
        </w:numPr>
        <w:rPr>
          <w:rFonts w:eastAsiaTheme="minorEastAsia" w:cstheme="minorBidi"/>
          <w:sz w:val="22"/>
          <w:szCs w:val="22"/>
          <w:rtl/>
        </w:rPr>
      </w:pPr>
      <w:r>
        <w:rPr>
          <w:rtl/>
        </w:rPr>
        <w:t>דברי הריטב"א דמסתבר דלרבא נטל"פ מותר בכל האיסורים ואף במאוס דלא פלוג רבנן</w:t>
      </w:r>
    </w:p>
    <w:p w:rsidR="006C2032" w:rsidRDefault="006C2032" w:rsidP="006C2032">
      <w:pPr>
        <w:pStyle w:val="2"/>
        <w:rPr>
          <w:rFonts w:eastAsiaTheme="minorEastAsia" w:cstheme="minorBidi"/>
          <w:i/>
          <w:iCs/>
          <w:sz w:val="22"/>
          <w:szCs w:val="22"/>
          <w:rtl/>
        </w:rPr>
      </w:pPr>
      <w:r>
        <w:rPr>
          <w:rtl/>
        </w:rPr>
        <w:t xml:space="preserve">בדין ביטול </w:t>
      </w:r>
      <w:r>
        <w:rPr>
          <w:rFonts w:hint="cs"/>
          <w:rtl/>
        </w:rPr>
        <w:t>ב</w:t>
      </w:r>
      <w:r>
        <w:rPr>
          <w:rtl/>
        </w:rPr>
        <w:t>שישים באיסור מאוס</w:t>
      </w:r>
    </w:p>
    <w:p w:rsidR="006C2032" w:rsidRDefault="006C2032" w:rsidP="006C2032">
      <w:pPr>
        <w:pStyle w:val="aff4"/>
        <w:rPr>
          <w:rFonts w:eastAsiaTheme="minorEastAsia" w:cstheme="minorBidi"/>
          <w:i/>
          <w:iCs/>
          <w:noProof/>
          <w:sz w:val="22"/>
          <w:szCs w:val="22"/>
          <w:rtl/>
        </w:rPr>
      </w:pPr>
      <w:r>
        <w:rPr>
          <w:noProof/>
          <w:rtl/>
        </w:rPr>
        <w:t>פלוגתת הראשונים אם צריך שישים כנגד האיסור המאוס</w:t>
      </w:r>
    </w:p>
    <w:p w:rsidR="006C2032" w:rsidRDefault="006C2032" w:rsidP="006C2032">
      <w:pPr>
        <w:pStyle w:val="aff2"/>
        <w:numPr>
          <w:ilvl w:val="0"/>
          <w:numId w:val="3"/>
        </w:numPr>
        <w:rPr>
          <w:rFonts w:eastAsiaTheme="minorEastAsia" w:cstheme="minorBidi"/>
          <w:sz w:val="22"/>
          <w:szCs w:val="22"/>
          <w:rtl/>
        </w:rPr>
      </w:pPr>
      <w:r>
        <w:rPr>
          <w:rtl/>
        </w:rPr>
        <w:t>דברי הב"י דלהרשב"א והריב"ש א"צ שישים כנגד איסור מאוס שבדילים ממנו</w:t>
      </w:r>
    </w:p>
    <w:p w:rsidR="006C2032" w:rsidRDefault="006C2032" w:rsidP="006C2032">
      <w:pPr>
        <w:pStyle w:val="aff2"/>
        <w:numPr>
          <w:ilvl w:val="0"/>
          <w:numId w:val="3"/>
        </w:numPr>
        <w:rPr>
          <w:rFonts w:eastAsiaTheme="minorEastAsia" w:cstheme="minorBidi"/>
          <w:sz w:val="22"/>
          <w:szCs w:val="22"/>
          <w:rtl/>
        </w:rPr>
      </w:pPr>
      <w:r>
        <w:rPr>
          <w:rtl/>
        </w:rPr>
        <w:t>דברי הב"י דלטור ולשערי דורא ורבינו ירוחם צריך שישים כנגד איסור המאוס</w:t>
      </w:r>
    </w:p>
    <w:p w:rsidR="006C2032" w:rsidRDefault="006C2032" w:rsidP="006C2032">
      <w:pPr>
        <w:pStyle w:val="aff2"/>
        <w:numPr>
          <w:ilvl w:val="0"/>
          <w:numId w:val="3"/>
        </w:numPr>
        <w:rPr>
          <w:rFonts w:eastAsiaTheme="minorEastAsia" w:cstheme="minorBidi"/>
          <w:sz w:val="22"/>
          <w:szCs w:val="22"/>
          <w:rtl/>
        </w:rPr>
      </w:pPr>
      <w:r>
        <w:rPr>
          <w:rtl/>
        </w:rPr>
        <w:t>קושית הב"י דמסתבר כרשב"א והר"ן דבכל איסור מאוס אין איסור בנתינת טעם כלל</w:t>
      </w:r>
    </w:p>
    <w:p w:rsidR="006C2032" w:rsidRDefault="006C2032" w:rsidP="006C2032">
      <w:pPr>
        <w:pStyle w:val="2"/>
        <w:rPr>
          <w:rFonts w:eastAsiaTheme="minorEastAsia" w:cstheme="minorBidi"/>
          <w:i/>
          <w:iCs/>
          <w:sz w:val="22"/>
          <w:szCs w:val="22"/>
          <w:rtl/>
        </w:rPr>
      </w:pPr>
      <w:r>
        <w:rPr>
          <w:rtl/>
        </w:rPr>
        <w:t>בענין שרצים שהסריחו ואינם ראויים לגר</w:t>
      </w:r>
    </w:p>
    <w:p w:rsidR="006C2032" w:rsidRDefault="006C2032" w:rsidP="006C2032">
      <w:pPr>
        <w:pStyle w:val="aff4"/>
        <w:rPr>
          <w:rFonts w:eastAsiaTheme="minorEastAsia" w:cstheme="minorBidi"/>
          <w:i/>
          <w:iCs/>
          <w:noProof/>
          <w:sz w:val="22"/>
          <w:szCs w:val="22"/>
          <w:rtl/>
        </w:rPr>
      </w:pPr>
      <w:r>
        <w:rPr>
          <w:noProof/>
          <w:rtl/>
        </w:rPr>
        <w:t>דברי הרמב"ם דהאוכל בריה חייב אף אם הסריחה</w:t>
      </w:r>
    </w:p>
    <w:p w:rsidR="006C2032" w:rsidRDefault="006C2032" w:rsidP="006C2032">
      <w:pPr>
        <w:pStyle w:val="aff2"/>
        <w:numPr>
          <w:ilvl w:val="0"/>
          <w:numId w:val="3"/>
        </w:numPr>
        <w:rPr>
          <w:rFonts w:eastAsiaTheme="minorEastAsia" w:cstheme="minorBidi"/>
          <w:sz w:val="22"/>
          <w:szCs w:val="22"/>
          <w:rtl/>
        </w:rPr>
      </w:pPr>
      <w:r>
        <w:rPr>
          <w:rtl/>
        </w:rPr>
        <w:t>דברי הרמב"ם דהאוכל בריה טמאה חייב אף אם הסריחה והשתנתה צורתה</w:t>
      </w:r>
    </w:p>
    <w:p w:rsidR="006C2032" w:rsidRPr="000C454A" w:rsidRDefault="006C2032" w:rsidP="006C2032">
      <w:pPr>
        <w:pStyle w:val="aff4"/>
        <w:rPr>
          <w:rtl/>
        </w:rPr>
      </w:pPr>
      <w:r>
        <w:rPr>
          <w:rFonts w:hint="cs"/>
          <w:rtl/>
        </w:rPr>
        <w:t>דברי המ"מ דהחיוב בבריה שהסריחה הוא רק בראוי לגר</w:t>
      </w:r>
    </w:p>
    <w:p w:rsidR="006C2032" w:rsidRDefault="006C2032" w:rsidP="006C2032">
      <w:pPr>
        <w:pStyle w:val="aff2"/>
        <w:numPr>
          <w:ilvl w:val="0"/>
          <w:numId w:val="3"/>
        </w:numPr>
        <w:rPr>
          <w:rFonts w:eastAsiaTheme="minorEastAsia" w:cstheme="minorBidi"/>
          <w:sz w:val="22"/>
          <w:szCs w:val="22"/>
          <w:rtl/>
        </w:rPr>
      </w:pPr>
      <w:r>
        <w:rPr>
          <w:rtl/>
        </w:rPr>
        <w:t>ביאור המ"מ דהחיוב רק כשהיא עדיין ראויה לגר אבל באינה ראויה פטור דאינה קרויה נבילה</w:t>
      </w:r>
    </w:p>
    <w:p w:rsidR="006C2032" w:rsidRDefault="006C2032" w:rsidP="006C2032">
      <w:pPr>
        <w:pStyle w:val="aff2"/>
        <w:numPr>
          <w:ilvl w:val="0"/>
          <w:numId w:val="3"/>
        </w:numPr>
        <w:rPr>
          <w:rFonts w:eastAsiaTheme="minorEastAsia" w:cstheme="minorBidi"/>
          <w:sz w:val="22"/>
          <w:szCs w:val="22"/>
          <w:rtl/>
        </w:rPr>
      </w:pPr>
      <w:r>
        <w:rPr>
          <w:rtl/>
        </w:rPr>
        <w:t>דברי החקרי לב דברמב"ם מוכח דהחיוב באיסור מאוס הוא רק בדרך הנאתן ולא בסרוח</w:t>
      </w:r>
    </w:p>
    <w:p w:rsidR="006C2032" w:rsidRDefault="006C2032" w:rsidP="006C2032">
      <w:pPr>
        <w:pStyle w:val="aff2"/>
        <w:numPr>
          <w:ilvl w:val="0"/>
          <w:numId w:val="3"/>
        </w:numPr>
        <w:rPr>
          <w:rFonts w:eastAsiaTheme="minorEastAsia" w:cstheme="minorBidi"/>
          <w:sz w:val="22"/>
          <w:szCs w:val="22"/>
          <w:rtl/>
        </w:rPr>
      </w:pPr>
      <w:r>
        <w:rPr>
          <w:rtl/>
        </w:rPr>
        <w:t>דברי האבנ"ז דכיון דכתיב בשרצים לשון אכילה חייב רק בדרך אכילתן ואינם כבב"ח וכלאים</w:t>
      </w:r>
    </w:p>
    <w:p w:rsidR="006C2032" w:rsidRDefault="006C2032" w:rsidP="006C2032">
      <w:pPr>
        <w:pStyle w:val="aff4"/>
        <w:rPr>
          <w:rFonts w:eastAsiaTheme="minorEastAsia" w:cstheme="minorBidi"/>
          <w:i/>
          <w:iCs/>
          <w:noProof/>
          <w:sz w:val="22"/>
          <w:szCs w:val="22"/>
          <w:rtl/>
        </w:rPr>
      </w:pPr>
      <w:r>
        <w:rPr>
          <w:noProof/>
          <w:rtl/>
        </w:rPr>
        <w:t>דעת הפר"ח דהחיוב באיסור מאוס הוא אף בסרוח</w:t>
      </w:r>
    </w:p>
    <w:p w:rsidR="006C2032" w:rsidRDefault="006C2032" w:rsidP="006C2032">
      <w:pPr>
        <w:pStyle w:val="aff2"/>
        <w:numPr>
          <w:ilvl w:val="0"/>
          <w:numId w:val="3"/>
        </w:numPr>
        <w:rPr>
          <w:rFonts w:eastAsiaTheme="minorEastAsia" w:cstheme="minorBidi"/>
          <w:sz w:val="22"/>
          <w:szCs w:val="22"/>
          <w:rtl/>
        </w:rPr>
      </w:pPr>
      <w:r>
        <w:rPr>
          <w:rtl/>
        </w:rPr>
        <w:t>דברי הפר"ח דאיסור שמאוס מעיקרו חייב עליו אף שהסריח דהוא סרוח מעיקרו ואפ"ה הוא אסור</w:t>
      </w:r>
    </w:p>
    <w:p w:rsidR="006C2032" w:rsidRDefault="006C2032" w:rsidP="006C2032">
      <w:pPr>
        <w:pStyle w:val="aff2"/>
        <w:numPr>
          <w:ilvl w:val="0"/>
          <w:numId w:val="3"/>
        </w:numPr>
        <w:rPr>
          <w:rFonts w:eastAsiaTheme="minorEastAsia" w:cstheme="minorBidi"/>
          <w:sz w:val="22"/>
          <w:szCs w:val="22"/>
          <w:rtl/>
        </w:rPr>
      </w:pPr>
      <w:r>
        <w:rPr>
          <w:rtl/>
        </w:rPr>
        <w:t>דברי הפר"ח דהא דנטל"פ מותר באיסור מאוס הוא כיון דאין איסור טעם כעיקר בטעם פגום</w:t>
      </w:r>
    </w:p>
    <w:p w:rsidR="006C2032" w:rsidRDefault="006C2032" w:rsidP="006C2032">
      <w:pPr>
        <w:pStyle w:val="aff2"/>
        <w:numPr>
          <w:ilvl w:val="0"/>
          <w:numId w:val="3"/>
        </w:numPr>
        <w:rPr>
          <w:rFonts w:eastAsiaTheme="minorEastAsia" w:cstheme="minorBidi"/>
          <w:sz w:val="22"/>
          <w:szCs w:val="22"/>
          <w:rtl/>
        </w:rPr>
      </w:pPr>
      <w:r>
        <w:rPr>
          <w:rtl/>
        </w:rPr>
        <w:t>ביאור הפר"ח ברמב"ם בבריה שהסריחה דחייב עליה היינו באיסור שמאוס מעיקרו</w:t>
      </w:r>
    </w:p>
    <w:p w:rsidR="006C2032" w:rsidRDefault="006C2032" w:rsidP="006C2032">
      <w:pPr>
        <w:pStyle w:val="aff2"/>
        <w:numPr>
          <w:ilvl w:val="0"/>
          <w:numId w:val="3"/>
        </w:numPr>
        <w:rPr>
          <w:rFonts w:eastAsiaTheme="minorEastAsia" w:cstheme="minorBidi"/>
          <w:sz w:val="22"/>
          <w:szCs w:val="22"/>
          <w:rtl/>
        </w:rPr>
      </w:pPr>
      <w:r>
        <w:rPr>
          <w:rFonts w:hint="cs"/>
          <w:rtl/>
        </w:rPr>
        <w:t>דחיית</w:t>
      </w:r>
      <w:r>
        <w:rPr>
          <w:rtl/>
        </w:rPr>
        <w:t xml:space="preserve"> החוו"ד דכיון דילפינן מנבילה דנטל"פ מותר במאוס מעיקרו ה"ה דמותר באינו ראוי לגר</w:t>
      </w:r>
    </w:p>
    <w:p w:rsidR="006C2032" w:rsidRDefault="006C2032" w:rsidP="006C2032">
      <w:pPr>
        <w:pStyle w:val="aff2"/>
        <w:numPr>
          <w:ilvl w:val="0"/>
          <w:numId w:val="3"/>
        </w:numPr>
        <w:rPr>
          <w:rFonts w:eastAsiaTheme="minorEastAsia" w:cstheme="minorBidi"/>
          <w:sz w:val="22"/>
          <w:szCs w:val="22"/>
          <w:rtl/>
        </w:rPr>
      </w:pPr>
      <w:r>
        <w:rPr>
          <w:rtl/>
        </w:rPr>
        <w:t>דברי הפרמ"ג דלדעת הפר"ח איסור מאוס שהסריח אוסר כל שאין כנגדו רוב היתר אסור</w:t>
      </w:r>
    </w:p>
    <w:p w:rsidR="006C2032" w:rsidRDefault="006C2032" w:rsidP="006C2032">
      <w:pPr>
        <w:pStyle w:val="2"/>
        <w:rPr>
          <w:rFonts w:eastAsiaTheme="minorEastAsia" w:cstheme="minorBidi"/>
          <w:i/>
          <w:iCs/>
          <w:sz w:val="22"/>
          <w:szCs w:val="22"/>
          <w:rtl/>
        </w:rPr>
      </w:pPr>
      <w:r>
        <w:rPr>
          <w:rtl/>
        </w:rPr>
        <w:t>ביאורי ראשי הישיבות</w:t>
      </w:r>
    </w:p>
    <w:p w:rsidR="006C2032" w:rsidRDefault="006C2032" w:rsidP="006C2032">
      <w:pPr>
        <w:pStyle w:val="2"/>
        <w:rPr>
          <w:rFonts w:eastAsiaTheme="minorEastAsia" w:cstheme="minorBidi"/>
          <w:i/>
          <w:iCs/>
          <w:sz w:val="22"/>
          <w:szCs w:val="22"/>
          <w:rtl/>
        </w:rPr>
      </w:pPr>
      <w:r>
        <w:rPr>
          <w:rtl/>
        </w:rPr>
        <w:t>בביאור פלוגתת רב ששת ורבא</w:t>
      </w:r>
    </w:p>
    <w:p w:rsidR="006C2032" w:rsidRDefault="006C2032" w:rsidP="006C2032">
      <w:pPr>
        <w:pStyle w:val="aff4"/>
        <w:rPr>
          <w:rFonts w:eastAsiaTheme="minorEastAsia" w:cstheme="minorBidi"/>
          <w:i/>
          <w:iCs/>
          <w:noProof/>
          <w:sz w:val="22"/>
          <w:szCs w:val="22"/>
          <w:rtl/>
        </w:rPr>
      </w:pPr>
      <w:r>
        <w:rPr>
          <w:noProof/>
          <w:rtl/>
        </w:rPr>
        <w:t>דברי הקה"י בדעת הרשב"א והר"ן בדין נטל"פ לרב ששת ורבא</w:t>
      </w:r>
    </w:p>
    <w:p w:rsidR="006C2032" w:rsidRDefault="006C2032" w:rsidP="006C2032">
      <w:pPr>
        <w:pStyle w:val="aff2"/>
        <w:numPr>
          <w:ilvl w:val="0"/>
          <w:numId w:val="3"/>
        </w:numPr>
        <w:rPr>
          <w:rFonts w:eastAsiaTheme="minorEastAsia" w:cstheme="minorBidi"/>
          <w:sz w:val="22"/>
          <w:szCs w:val="22"/>
          <w:rtl/>
        </w:rPr>
      </w:pPr>
      <w:r>
        <w:rPr>
          <w:rtl/>
        </w:rPr>
        <w:t>דברי הקה"י דלהרשב"א דהיתר נטל"פ דאין טע"כ בפגום מבואר כרבא דנטל"פ מותר אף במאוס</w:t>
      </w:r>
    </w:p>
    <w:p w:rsidR="006C2032" w:rsidRDefault="006C2032" w:rsidP="006C2032">
      <w:pPr>
        <w:pStyle w:val="aff2"/>
        <w:numPr>
          <w:ilvl w:val="0"/>
          <w:numId w:val="3"/>
        </w:numPr>
        <w:rPr>
          <w:rFonts w:eastAsiaTheme="minorEastAsia" w:cstheme="minorBidi"/>
          <w:sz w:val="22"/>
          <w:szCs w:val="22"/>
          <w:rtl/>
        </w:rPr>
      </w:pPr>
      <w:r>
        <w:rPr>
          <w:rtl/>
        </w:rPr>
        <w:t>דברי הקה"י דלהר"ן דהיתר נטל"פ דאינו נהנה מבואר כרב ששת דבמאוס חייב אף שלא נהנה</w:t>
      </w:r>
    </w:p>
    <w:p w:rsidR="006C2032" w:rsidRDefault="006C2032" w:rsidP="006C2032">
      <w:pPr>
        <w:pStyle w:val="aff2"/>
        <w:numPr>
          <w:ilvl w:val="0"/>
          <w:numId w:val="3"/>
        </w:numPr>
        <w:rPr>
          <w:rFonts w:eastAsiaTheme="minorEastAsia" w:cstheme="minorBidi"/>
          <w:sz w:val="22"/>
          <w:szCs w:val="22"/>
          <w:rtl/>
        </w:rPr>
      </w:pPr>
      <w:r>
        <w:rPr>
          <w:rtl/>
        </w:rPr>
        <w:t>ביאור הקה"י ברשב"א דלרב ששת חידשה תורה דבאיסור מאוס חייב על טע"כ בפגום</w:t>
      </w:r>
    </w:p>
    <w:p w:rsidR="006C2032" w:rsidRDefault="006C2032" w:rsidP="006C2032">
      <w:pPr>
        <w:pStyle w:val="aff2"/>
        <w:numPr>
          <w:ilvl w:val="0"/>
          <w:numId w:val="3"/>
        </w:numPr>
        <w:rPr>
          <w:rFonts w:eastAsiaTheme="minorEastAsia" w:cstheme="minorBidi"/>
          <w:sz w:val="22"/>
          <w:szCs w:val="22"/>
          <w:rtl/>
        </w:rPr>
        <w:sectPr w:rsidR="006C2032" w:rsidSect="006C2032">
          <w:type w:val="continuous"/>
          <w:pgSz w:w="11906" w:h="16838"/>
          <w:pgMar w:top="720" w:right="720" w:bottom="720" w:left="720" w:header="283" w:footer="283" w:gutter="0"/>
          <w:cols w:num="2" w:space="113"/>
          <w:bidi/>
          <w:rtlGutter/>
          <w:docGrid w:linePitch="299"/>
        </w:sectPr>
      </w:pPr>
      <w:r>
        <w:rPr>
          <w:rtl/>
        </w:rPr>
        <w:t>ביאור הקה"י בר"ן דלרבא אסרה תורה במאוס רק באיסור עצמו אך טעמו כדין שאר איסורי</w:t>
      </w:r>
      <w:r>
        <w:rPr>
          <w:rFonts w:hint="cs"/>
          <w:rtl/>
        </w:rPr>
        <w:t>ן</w:t>
      </w:r>
    </w:p>
    <w:p w:rsidR="006C2032" w:rsidRDefault="006C2032" w:rsidP="006C2032">
      <w:pPr>
        <w:pStyle w:val="aff2"/>
        <w:rPr>
          <w:rFonts w:eastAsiaTheme="minorEastAsia" w:cstheme="minorBidi"/>
          <w:sz w:val="22"/>
          <w:szCs w:val="22"/>
          <w:rtl/>
        </w:rPr>
      </w:pPr>
    </w:p>
    <w:p w:rsidR="006C2032" w:rsidRDefault="006C2032" w:rsidP="006C2032">
      <w:pPr>
        <w:pStyle w:val="2"/>
        <w:rPr>
          <w:rtl/>
        </w:rPr>
        <w:sectPr w:rsidR="006C2032" w:rsidSect="006C2032">
          <w:type w:val="continuous"/>
          <w:pgSz w:w="11906" w:h="16838"/>
          <w:pgMar w:top="720" w:right="720" w:bottom="720" w:left="720" w:header="283" w:footer="283" w:gutter="0"/>
          <w:cols w:num="2" w:space="113"/>
          <w:titlePg/>
          <w:bidi/>
          <w:rtlGutter/>
          <w:docGrid w:linePitch="299"/>
        </w:sectPr>
      </w:pPr>
      <w:r>
        <w:rPr>
          <w:rtl/>
        </w:rPr>
        <w:fldChar w:fldCharType="end"/>
      </w:r>
    </w:p>
    <w:p w:rsidR="006C2032" w:rsidRDefault="006C2032" w:rsidP="00E669F8">
      <w:pPr>
        <w:pStyle w:val="afd"/>
        <w:rPr>
          <w:rtl/>
        </w:rPr>
      </w:pPr>
      <w:bookmarkStart w:id="10854" w:name="_Toc19092743"/>
      <w:bookmarkStart w:id="10855" w:name="_Toc19995377"/>
      <w:bookmarkStart w:id="10856" w:name="_Toc19995901"/>
      <w:bookmarkStart w:id="10857" w:name="_Toc20168383"/>
      <w:bookmarkStart w:id="10858" w:name="_Toc20170485"/>
      <w:bookmarkStart w:id="10859" w:name="_Toc20226683"/>
      <w:bookmarkStart w:id="10860" w:name="_Toc20256872"/>
      <w:bookmarkStart w:id="10861" w:name="_Toc20267101"/>
      <w:bookmarkStart w:id="10862" w:name="_Toc20310914"/>
      <w:bookmarkStart w:id="10863" w:name="_Toc20311086"/>
      <w:bookmarkStart w:id="10864" w:name="_Toc20315355"/>
      <w:bookmarkStart w:id="10865" w:name="_Toc20315747"/>
      <w:r w:rsidRPr="0081356D">
        <w:rPr>
          <w:rFonts w:hint="cs"/>
          <w:rtl/>
        </w:rPr>
        <w:lastRenderedPageBreak/>
        <w:t>מראי מקומות וביאורים</w:t>
      </w:r>
      <w:bookmarkEnd w:id="10854"/>
      <w:bookmarkEnd w:id="10855"/>
      <w:bookmarkEnd w:id="10856"/>
      <w:bookmarkEnd w:id="10857"/>
      <w:bookmarkEnd w:id="10858"/>
      <w:bookmarkEnd w:id="10859"/>
      <w:bookmarkEnd w:id="10860"/>
      <w:bookmarkEnd w:id="10861"/>
      <w:bookmarkEnd w:id="10862"/>
      <w:bookmarkEnd w:id="10863"/>
      <w:bookmarkEnd w:id="10864"/>
      <w:bookmarkEnd w:id="10865"/>
    </w:p>
    <w:p w:rsidR="006C2032" w:rsidRPr="00B858B6" w:rsidRDefault="006C2032" w:rsidP="006C2032">
      <w:pPr>
        <w:pStyle w:val="1"/>
        <w:rPr>
          <w:rtl/>
        </w:rPr>
        <w:sectPr w:rsidR="006C2032" w:rsidRPr="00B858B6" w:rsidSect="007D485E">
          <w:pgSz w:w="11906" w:h="16838"/>
          <w:pgMar w:top="720" w:right="720" w:bottom="720" w:left="720" w:header="283" w:footer="283" w:gutter="0"/>
          <w:cols w:space="720"/>
          <w:bidi/>
          <w:rtlGutter/>
          <w:docGrid w:linePitch="299"/>
        </w:sectPr>
      </w:pPr>
    </w:p>
    <w:p w:rsidR="006C2032" w:rsidRDefault="006C2032" w:rsidP="00E669F8">
      <w:pPr>
        <w:pStyle w:val="afd"/>
        <w:rPr>
          <w:rtl/>
        </w:rPr>
      </w:pPr>
      <w:bookmarkStart w:id="10866" w:name="_Toc19995378"/>
      <w:bookmarkStart w:id="10867" w:name="_Toc19995902"/>
      <w:bookmarkStart w:id="10868" w:name="_Toc20168384"/>
      <w:bookmarkStart w:id="10869" w:name="_Toc20170486"/>
      <w:bookmarkStart w:id="10870" w:name="_Toc20226684"/>
      <w:bookmarkStart w:id="10871" w:name="_Toc20256873"/>
      <w:bookmarkStart w:id="10872" w:name="_Toc20267102"/>
      <w:bookmarkStart w:id="10873" w:name="_Toc20310915"/>
      <w:bookmarkStart w:id="10874" w:name="_Toc20311087"/>
      <w:bookmarkStart w:id="10875" w:name="_Toc20315356"/>
      <w:bookmarkStart w:id="10876" w:name="_Toc20315748"/>
      <w:r>
        <w:rPr>
          <w:rFonts w:hint="cs"/>
          <w:rtl/>
        </w:rPr>
        <w:t>בביאור החידוש באיסור שרץ</w:t>
      </w:r>
      <w:bookmarkEnd w:id="10866"/>
      <w:bookmarkEnd w:id="10867"/>
      <w:bookmarkEnd w:id="10868"/>
      <w:bookmarkEnd w:id="10869"/>
      <w:bookmarkEnd w:id="10870"/>
      <w:bookmarkEnd w:id="10871"/>
      <w:bookmarkEnd w:id="10872"/>
      <w:bookmarkEnd w:id="10873"/>
      <w:bookmarkEnd w:id="10874"/>
      <w:bookmarkEnd w:id="10875"/>
      <w:bookmarkEnd w:id="10876"/>
    </w:p>
    <w:p w:rsidR="006C2032" w:rsidRDefault="006C2032" w:rsidP="006C2032">
      <w:pPr>
        <w:pStyle w:val="1"/>
        <w:rPr>
          <w:rtl/>
        </w:rPr>
      </w:pPr>
      <w:bookmarkStart w:id="10877" w:name="_Toc19995379"/>
      <w:bookmarkStart w:id="10878" w:name="_Toc19995903"/>
      <w:bookmarkStart w:id="10879" w:name="_Toc20168385"/>
      <w:bookmarkStart w:id="10880" w:name="_Toc20170487"/>
      <w:bookmarkStart w:id="10881" w:name="_Toc20226685"/>
      <w:bookmarkStart w:id="10882" w:name="_Toc20256874"/>
      <w:bookmarkStart w:id="10883" w:name="_Toc20267103"/>
      <w:bookmarkStart w:id="10884" w:name="_Toc20310916"/>
      <w:bookmarkStart w:id="10885" w:name="_Toc20311088"/>
      <w:bookmarkStart w:id="10886" w:name="_Toc20315357"/>
      <w:bookmarkStart w:id="10887" w:name="_Toc20315749"/>
      <w:r>
        <w:rPr>
          <w:rFonts w:hint="cs"/>
          <w:rtl/>
        </w:rPr>
        <w:t>דברי רש"י דהחידוש דשרץ אסור באכילה אף שהוא מאוס</w:t>
      </w:r>
      <w:bookmarkEnd w:id="10877"/>
      <w:bookmarkEnd w:id="10878"/>
      <w:bookmarkEnd w:id="10879"/>
      <w:bookmarkEnd w:id="10880"/>
      <w:bookmarkEnd w:id="10881"/>
      <w:bookmarkEnd w:id="10882"/>
      <w:bookmarkEnd w:id="10883"/>
      <w:bookmarkEnd w:id="10884"/>
      <w:bookmarkEnd w:id="10885"/>
      <w:bookmarkEnd w:id="10886"/>
      <w:bookmarkEnd w:id="10887"/>
    </w:p>
    <w:p w:rsidR="006C2032" w:rsidRDefault="006C2032" w:rsidP="006C2032">
      <w:pPr>
        <w:pStyle w:val="a2"/>
        <w:rPr>
          <w:rtl/>
        </w:rPr>
      </w:pPr>
      <w:bookmarkStart w:id="10888" w:name="_Toc19995380"/>
      <w:bookmarkStart w:id="10889" w:name="_Toc19995904"/>
      <w:bookmarkStart w:id="10890" w:name="_Toc20168386"/>
      <w:bookmarkStart w:id="10891" w:name="_Toc20170488"/>
      <w:bookmarkStart w:id="10892" w:name="_Toc20226686"/>
      <w:bookmarkStart w:id="10893" w:name="_Toc20256875"/>
      <w:bookmarkStart w:id="10894" w:name="_Toc20267104"/>
      <w:bookmarkStart w:id="10895" w:name="_Toc20310917"/>
      <w:bookmarkStart w:id="10896" w:name="_Toc20311089"/>
      <w:bookmarkStart w:id="10897" w:name="_Toc20315358"/>
      <w:bookmarkStart w:id="10898" w:name="_Toc20315750"/>
      <w:r>
        <w:rPr>
          <w:rFonts w:hint="cs"/>
          <w:rtl/>
        </w:rPr>
        <w:t>דברי רש"י דהחידוש בשרץ שאסרתה תורה באכילה אף שהוא מאוס ובדילי מיניה וא"צ לאוסרו</w:t>
      </w:r>
      <w:bookmarkEnd w:id="10888"/>
      <w:bookmarkEnd w:id="10889"/>
      <w:bookmarkEnd w:id="10890"/>
      <w:bookmarkEnd w:id="10891"/>
      <w:bookmarkEnd w:id="10892"/>
      <w:bookmarkEnd w:id="10893"/>
      <w:bookmarkEnd w:id="10894"/>
      <w:bookmarkEnd w:id="10895"/>
      <w:bookmarkEnd w:id="10896"/>
      <w:bookmarkEnd w:id="10897"/>
      <w:bookmarkEnd w:id="10898"/>
    </w:p>
    <w:p w:rsidR="006C2032" w:rsidRDefault="006C2032" w:rsidP="009F44AF">
      <w:pPr>
        <w:pStyle w:val="a"/>
        <w:numPr>
          <w:ilvl w:val="0"/>
          <w:numId w:val="30"/>
        </w:numPr>
        <w:rPr>
          <w:rtl/>
        </w:rPr>
      </w:pPr>
      <w:r>
        <w:rPr>
          <w:rFonts w:hint="cs"/>
          <w:rtl/>
        </w:rPr>
        <w:t xml:space="preserve">בדברי רב ששת דהאיסור שרץ הוא חידוש, כתב </w:t>
      </w:r>
      <w:r w:rsidRPr="00457957">
        <w:rPr>
          <w:rStyle w:val="af8"/>
          <w:rFonts w:hint="cs"/>
          <w:rtl/>
        </w:rPr>
        <w:t>רש"י</w:t>
      </w:r>
      <w:r>
        <w:rPr>
          <w:rFonts w:hint="cs"/>
          <w:rtl/>
        </w:rPr>
        <w:t xml:space="preserve"> </w:t>
      </w:r>
      <w:r w:rsidRPr="009F44AF">
        <w:rPr>
          <w:rStyle w:val="af6"/>
          <w:rFonts w:eastAsia="Guttman Hodes" w:hint="cs"/>
          <w:rtl/>
        </w:rPr>
        <w:t>(ד"ה דהא)</w:t>
      </w:r>
      <w:r>
        <w:rPr>
          <w:rFonts w:hint="cs"/>
          <w:rtl/>
        </w:rPr>
        <w:t xml:space="preserve"> דהאיסור בשרץ הוא חידוש, כיון דאף בלא האיסור, בדילי מיניה ולא יבואו לאוכלו, ולא הייתה התורה צריכה לאסור לאוכלו, ומדאסרתו תורה מוכח דהוא חידוש שאסור אף כשהוא נותן טעם לפגם. [ועי' במ"ש </w:t>
      </w:r>
      <w:r w:rsidRPr="005036B8">
        <w:rPr>
          <w:rStyle w:val="af8"/>
          <w:rFonts w:hint="cs"/>
          <w:rtl/>
        </w:rPr>
        <w:t>החת"ס</w:t>
      </w:r>
      <w:r>
        <w:rPr>
          <w:rFonts w:hint="cs"/>
          <w:rtl/>
        </w:rPr>
        <w:t xml:space="preserve"> </w:t>
      </w:r>
      <w:r w:rsidRPr="009F44AF">
        <w:rPr>
          <w:rStyle w:val="af6"/>
          <w:rFonts w:eastAsia="Guttman Hodes" w:hint="cs"/>
          <w:rtl/>
        </w:rPr>
        <w:t>(ד"ה ובדילי)</w:t>
      </w:r>
      <w:r>
        <w:rPr>
          <w:rFonts w:hint="cs"/>
          <w:rtl/>
        </w:rPr>
        <w:t>].</w:t>
      </w:r>
    </w:p>
    <w:p w:rsidR="006C2032" w:rsidRPr="00C1786E" w:rsidRDefault="006C2032" w:rsidP="006C2032">
      <w:pPr>
        <w:pStyle w:val="a2"/>
        <w:rPr>
          <w:rtl/>
        </w:rPr>
      </w:pPr>
      <w:bookmarkStart w:id="10899" w:name="_Toc19995381"/>
      <w:bookmarkStart w:id="10900" w:name="_Toc19995905"/>
      <w:bookmarkStart w:id="10901" w:name="_Toc20168387"/>
      <w:bookmarkStart w:id="10902" w:name="_Toc20170489"/>
      <w:bookmarkStart w:id="10903" w:name="_Toc20226687"/>
      <w:bookmarkStart w:id="10904" w:name="_Toc20256876"/>
      <w:bookmarkStart w:id="10905" w:name="_Toc20267105"/>
      <w:bookmarkStart w:id="10906" w:name="_Toc20310918"/>
      <w:bookmarkStart w:id="10907" w:name="_Toc20311090"/>
      <w:bookmarkStart w:id="10908" w:name="_Toc20315359"/>
      <w:bookmarkStart w:id="10909" w:name="_Toc20315751"/>
      <w:r>
        <w:rPr>
          <w:rFonts w:hint="cs"/>
          <w:rtl/>
        </w:rPr>
        <w:t>דברי רש"י דהחידוש בשכבת זרע דאמרה תורה שמטמאה במגע אעפ"י דבדילי אינשי ממנה</w:t>
      </w:r>
      <w:bookmarkEnd w:id="10899"/>
      <w:bookmarkEnd w:id="10900"/>
      <w:bookmarkEnd w:id="10901"/>
      <w:bookmarkEnd w:id="10902"/>
      <w:bookmarkEnd w:id="10903"/>
      <w:bookmarkEnd w:id="10904"/>
      <w:bookmarkEnd w:id="10905"/>
      <w:bookmarkEnd w:id="10906"/>
      <w:bookmarkEnd w:id="10907"/>
      <w:bookmarkEnd w:id="10908"/>
      <w:bookmarkEnd w:id="10909"/>
    </w:p>
    <w:p w:rsidR="006C2032" w:rsidRDefault="006C2032" w:rsidP="009F44AF">
      <w:pPr>
        <w:pStyle w:val="a"/>
        <w:rPr>
          <w:rtl/>
        </w:rPr>
      </w:pPr>
      <w:r>
        <w:rPr>
          <w:rFonts w:hint="cs"/>
          <w:rtl/>
        </w:rPr>
        <w:t xml:space="preserve">וכן ביאר </w:t>
      </w:r>
      <w:r w:rsidRPr="00C1786E">
        <w:rPr>
          <w:rStyle w:val="af8"/>
          <w:rFonts w:hint="cs"/>
          <w:rtl/>
        </w:rPr>
        <w:t xml:space="preserve">רש"י </w:t>
      </w:r>
      <w:r w:rsidRPr="00C1786E">
        <w:rPr>
          <w:rStyle w:val="af6"/>
          <w:rFonts w:eastAsia="Guttman Hodes" w:hint="cs"/>
          <w:rtl/>
        </w:rPr>
        <w:t xml:space="preserve">(ד"ה יטמא) </w:t>
      </w:r>
      <w:r>
        <w:rPr>
          <w:rFonts w:hint="cs"/>
          <w:rtl/>
        </w:rPr>
        <w:t>בחידוש בשכבת זרע, דכיון דבדילי אינשי מיניה, ולא יבואו לגעת בה, ולא הייתה צריכה התורה להזהיר על טומאת מגע בשכבת זרע.</w:t>
      </w:r>
    </w:p>
    <w:p w:rsidR="006C2032" w:rsidRPr="00C1786E" w:rsidRDefault="006C2032" w:rsidP="006C2032">
      <w:pPr>
        <w:pStyle w:val="a2"/>
        <w:rPr>
          <w:rtl/>
        </w:rPr>
      </w:pPr>
      <w:bookmarkStart w:id="10910" w:name="_Toc19995382"/>
      <w:bookmarkStart w:id="10911" w:name="_Toc19995906"/>
      <w:bookmarkStart w:id="10912" w:name="_Toc20168388"/>
      <w:bookmarkStart w:id="10913" w:name="_Toc20170490"/>
      <w:bookmarkStart w:id="10914" w:name="_Toc20226688"/>
      <w:bookmarkStart w:id="10915" w:name="_Toc20256877"/>
      <w:bookmarkStart w:id="10916" w:name="_Toc20267106"/>
      <w:bookmarkStart w:id="10917" w:name="_Toc20310919"/>
      <w:bookmarkStart w:id="10918" w:name="_Toc20311091"/>
      <w:bookmarkStart w:id="10919" w:name="_Toc20315360"/>
      <w:bookmarkStart w:id="10920" w:name="_Toc20315752"/>
      <w:r>
        <w:rPr>
          <w:rFonts w:hint="cs"/>
          <w:rtl/>
        </w:rPr>
        <w:t>קושית התוס' דהיה לתורה לומר שיש בשרץ לאו ובש"ז טומאה ועוד דלא דמי לכל חידוש בש"ס</w:t>
      </w:r>
      <w:bookmarkEnd w:id="10910"/>
      <w:bookmarkEnd w:id="10911"/>
      <w:bookmarkEnd w:id="10912"/>
      <w:bookmarkEnd w:id="10913"/>
      <w:bookmarkEnd w:id="10914"/>
      <w:bookmarkEnd w:id="10915"/>
      <w:bookmarkEnd w:id="10916"/>
      <w:bookmarkEnd w:id="10917"/>
      <w:bookmarkEnd w:id="10918"/>
      <w:bookmarkEnd w:id="10919"/>
      <w:bookmarkEnd w:id="10920"/>
    </w:p>
    <w:p w:rsidR="006C2032" w:rsidRDefault="006C2032" w:rsidP="009F44AF">
      <w:pPr>
        <w:pStyle w:val="a"/>
        <w:rPr>
          <w:rtl/>
        </w:rPr>
      </w:pPr>
      <w:r>
        <w:rPr>
          <w:rFonts w:hint="cs"/>
          <w:rtl/>
        </w:rPr>
        <w:t xml:space="preserve">והקשו </w:t>
      </w:r>
      <w:r>
        <w:rPr>
          <w:rStyle w:val="af8"/>
          <w:rFonts w:hint="cs"/>
          <w:rtl/>
        </w:rPr>
        <w:t>ה</w:t>
      </w:r>
      <w:r w:rsidRPr="008D6A59">
        <w:rPr>
          <w:rStyle w:val="af8"/>
          <w:rFonts w:hint="cs"/>
          <w:rtl/>
        </w:rPr>
        <w:t>תוס'</w:t>
      </w:r>
      <w:r w:rsidRPr="008D6A59">
        <w:rPr>
          <w:rStyle w:val="af6"/>
          <w:rFonts w:eastAsia="Guttman Hodes" w:hint="cs"/>
          <w:rtl/>
        </w:rPr>
        <w:t xml:space="preserve"> (ד"ה דהא) </w:t>
      </w:r>
      <w:r>
        <w:rPr>
          <w:rFonts w:hint="cs"/>
          <w:rtl/>
        </w:rPr>
        <w:t xml:space="preserve">על </w:t>
      </w:r>
      <w:r w:rsidRPr="008D6A59">
        <w:rPr>
          <w:rStyle w:val="af8"/>
          <w:rFonts w:hint="cs"/>
          <w:rtl/>
        </w:rPr>
        <w:t>רש"י</w:t>
      </w:r>
      <w:r>
        <w:rPr>
          <w:rFonts w:hint="cs"/>
          <w:rtl/>
        </w:rPr>
        <w:t xml:space="preserve"> דאף דהשרץ מאוס, ובדילי אינשי מיניה, מ"מ צריכה התורה לומר שהאוכלו עובר בלאו, וכן בשכבת זרע צריכה התורה לומר דהיא מטמאה במגע, ועוד הקשו </w:t>
      </w:r>
      <w:r w:rsidRPr="008D6A59">
        <w:rPr>
          <w:rStyle w:val="af8"/>
          <w:rFonts w:hint="cs"/>
          <w:rtl/>
        </w:rPr>
        <w:t>התוס'</w:t>
      </w:r>
      <w:r>
        <w:rPr>
          <w:rFonts w:hint="cs"/>
          <w:rtl/>
        </w:rPr>
        <w:t xml:space="preserve"> דהרי בשאר המקומות בש"ס דאמרינן על דבר שהוא חידוש, דהכוונה להתיר דבר מתוך דבר האסור, או לאסור דבר מתוך דבר המותר, ואילו לדברי </w:t>
      </w:r>
      <w:r w:rsidRPr="00C8160E">
        <w:rPr>
          <w:rStyle w:val="af8"/>
          <w:rFonts w:hint="cs"/>
          <w:rtl/>
        </w:rPr>
        <w:t xml:space="preserve">רש"י </w:t>
      </w:r>
      <w:r>
        <w:rPr>
          <w:rFonts w:hint="cs"/>
          <w:rtl/>
        </w:rPr>
        <w:t xml:space="preserve">לא דמי החידוש בשרץ לשאר המקומות בש"ס, וכן הקשה </w:t>
      </w:r>
      <w:r w:rsidRPr="00C8160E">
        <w:rPr>
          <w:rStyle w:val="af8"/>
          <w:rFonts w:hint="cs"/>
          <w:rtl/>
        </w:rPr>
        <w:t xml:space="preserve">הר"ן על הרי"ף </w:t>
      </w:r>
      <w:r w:rsidRPr="00C8160E">
        <w:rPr>
          <w:rStyle w:val="af6"/>
          <w:rFonts w:eastAsia="Guttman Hodes" w:hint="cs"/>
          <w:rtl/>
        </w:rPr>
        <w:t>(לב: מדפי הרי"ף ד"ה ההוא)</w:t>
      </w:r>
      <w:r>
        <w:rPr>
          <w:rFonts w:hint="cs"/>
          <w:rtl/>
        </w:rPr>
        <w:t xml:space="preserve">. [ועי' במה שהקשה </w:t>
      </w:r>
      <w:r w:rsidRPr="006D1E9E">
        <w:rPr>
          <w:rStyle w:val="af8"/>
          <w:rFonts w:hint="cs"/>
          <w:rtl/>
        </w:rPr>
        <w:t>הגרעק"א</w:t>
      </w:r>
      <w:r>
        <w:rPr>
          <w:rFonts w:hint="cs"/>
          <w:rtl/>
        </w:rPr>
        <w:t xml:space="preserve"> </w:t>
      </w:r>
      <w:r w:rsidRPr="006D1E9E">
        <w:rPr>
          <w:rStyle w:val="af6"/>
          <w:rFonts w:eastAsia="Guttman Hodes" w:hint="cs"/>
          <w:rtl/>
        </w:rPr>
        <w:t>(על תוד"ה דהא)</w:t>
      </w:r>
      <w:r>
        <w:rPr>
          <w:rFonts w:hint="cs"/>
          <w:rtl/>
        </w:rPr>
        <w:t xml:space="preserve"> על קושית </w:t>
      </w:r>
      <w:r w:rsidRPr="006D1E9E">
        <w:rPr>
          <w:rStyle w:val="af8"/>
          <w:rFonts w:hint="cs"/>
          <w:rtl/>
        </w:rPr>
        <w:t>התוס'</w:t>
      </w:r>
      <w:r>
        <w:rPr>
          <w:rFonts w:hint="cs"/>
          <w:rtl/>
        </w:rPr>
        <w:t>].</w:t>
      </w:r>
    </w:p>
    <w:p w:rsidR="006C2032" w:rsidRPr="009F0374" w:rsidRDefault="006C2032" w:rsidP="006C2032">
      <w:pPr>
        <w:pStyle w:val="1"/>
        <w:rPr>
          <w:rtl/>
        </w:rPr>
      </w:pPr>
      <w:bookmarkStart w:id="10921" w:name="_Toc19995383"/>
      <w:bookmarkStart w:id="10922" w:name="_Toc19995907"/>
      <w:bookmarkStart w:id="10923" w:name="_Toc20168389"/>
      <w:bookmarkStart w:id="10924" w:name="_Toc20170491"/>
      <w:bookmarkStart w:id="10925" w:name="_Toc20226689"/>
      <w:bookmarkStart w:id="10926" w:name="_Toc20256878"/>
      <w:bookmarkStart w:id="10927" w:name="_Toc20267107"/>
      <w:bookmarkStart w:id="10928" w:name="_Toc20310920"/>
      <w:bookmarkStart w:id="10929" w:name="_Toc20311092"/>
      <w:bookmarkStart w:id="10930" w:name="_Toc20315361"/>
      <w:bookmarkStart w:id="10931" w:name="_Toc20315753"/>
      <w:r>
        <w:rPr>
          <w:rFonts w:hint="cs"/>
          <w:rtl/>
        </w:rPr>
        <w:t>דברי התוס' דהחידוש דשרץ אסור באכילה אף שטעמו פגום</w:t>
      </w:r>
      <w:bookmarkEnd w:id="10921"/>
      <w:bookmarkEnd w:id="10922"/>
      <w:bookmarkEnd w:id="10923"/>
      <w:bookmarkEnd w:id="10924"/>
      <w:bookmarkEnd w:id="10925"/>
      <w:bookmarkEnd w:id="10926"/>
      <w:bookmarkEnd w:id="10927"/>
      <w:bookmarkEnd w:id="10928"/>
      <w:bookmarkEnd w:id="10929"/>
      <w:bookmarkEnd w:id="10930"/>
      <w:bookmarkEnd w:id="10931"/>
    </w:p>
    <w:p w:rsidR="006C2032" w:rsidRDefault="006C2032" w:rsidP="006C2032">
      <w:pPr>
        <w:pStyle w:val="a2"/>
        <w:rPr>
          <w:rtl/>
        </w:rPr>
      </w:pPr>
      <w:bookmarkStart w:id="10932" w:name="_Toc19995384"/>
      <w:bookmarkStart w:id="10933" w:name="_Toc19995908"/>
      <w:bookmarkStart w:id="10934" w:name="_Toc20168390"/>
      <w:bookmarkStart w:id="10935" w:name="_Toc20170492"/>
      <w:bookmarkStart w:id="10936" w:name="_Toc20226690"/>
      <w:bookmarkStart w:id="10937" w:name="_Toc20256879"/>
      <w:bookmarkStart w:id="10938" w:name="_Toc20267108"/>
      <w:bookmarkStart w:id="10939" w:name="_Toc20310921"/>
      <w:bookmarkStart w:id="10940" w:name="_Toc20311093"/>
      <w:bookmarkStart w:id="10941" w:name="_Toc20315362"/>
      <w:bookmarkStart w:id="10942" w:name="_Toc20315754"/>
      <w:r>
        <w:rPr>
          <w:rFonts w:hint="cs"/>
          <w:rtl/>
        </w:rPr>
        <w:t>ביאור התוס' דהחידוש בשרץ שטעמו פגום והרי נטל"פ מותר ואפ"ה אסרה תורה נטל"פ בשרץ</w:t>
      </w:r>
      <w:bookmarkEnd w:id="10932"/>
      <w:bookmarkEnd w:id="10933"/>
      <w:bookmarkEnd w:id="10934"/>
      <w:bookmarkEnd w:id="10935"/>
      <w:bookmarkEnd w:id="10936"/>
      <w:bookmarkEnd w:id="10937"/>
      <w:bookmarkEnd w:id="10938"/>
      <w:bookmarkEnd w:id="10939"/>
      <w:bookmarkEnd w:id="10940"/>
      <w:bookmarkEnd w:id="10941"/>
      <w:bookmarkEnd w:id="10942"/>
    </w:p>
    <w:p w:rsidR="006C2032" w:rsidRPr="00F63846" w:rsidRDefault="006C2032" w:rsidP="009F44AF">
      <w:pPr>
        <w:pStyle w:val="a"/>
        <w:rPr>
          <w:rtl/>
        </w:rPr>
      </w:pPr>
      <w:r>
        <w:rPr>
          <w:rFonts w:hint="cs"/>
          <w:rtl/>
        </w:rPr>
        <w:t>ותירצו</w:t>
      </w:r>
      <w:r w:rsidRPr="008D6A59">
        <w:rPr>
          <w:rStyle w:val="af8"/>
          <w:rFonts w:hint="cs"/>
          <w:rtl/>
        </w:rPr>
        <w:t xml:space="preserve"> התוס'</w:t>
      </w:r>
      <w:r>
        <w:rPr>
          <w:rFonts w:hint="cs"/>
          <w:rtl/>
        </w:rPr>
        <w:t xml:space="preserve"> דכוונת הגמ' לומר דכיון דבדילי אינשי מהשרץ, א"כ הייתה התורה צריכה להתירו, כיון דהוא פגום, ובשאר איסורין נותן טעם לפגם מותר, ומהא דאסרתו תורה מוכח דהוא חידוש, דבשרץ אין היתר  נותן טעם לפגם, ואף בשרץ שנתן טעם פגום בתערובת אינו מותר, דזהו האיסור בשרצים אף שטעמם פגום, וכתבו </w:t>
      </w:r>
      <w:r w:rsidRPr="008D6A59">
        <w:rPr>
          <w:rStyle w:val="af8"/>
          <w:rFonts w:hint="cs"/>
          <w:rtl/>
        </w:rPr>
        <w:t>התוס'</w:t>
      </w:r>
      <w:r>
        <w:rPr>
          <w:rFonts w:hint="cs"/>
          <w:rtl/>
        </w:rPr>
        <w:t xml:space="preserve"> דא"כ לשון הגמ' דהוא חידוש, דמי לשאר המקומות בש"ס דאמרינן על דבר שהוא חידוש, דהאיסור בטעם הפגום בשרץ הוא מתוך ההיתר בכל טעם פגום בשאר איסורין, וכ"כ</w:t>
      </w:r>
      <w:r w:rsidRPr="00801F92">
        <w:rPr>
          <w:rFonts w:hint="cs"/>
          <w:rtl/>
        </w:rPr>
        <w:t xml:space="preserve"> </w:t>
      </w:r>
      <w:r w:rsidRPr="00801F92">
        <w:rPr>
          <w:rStyle w:val="af8"/>
          <w:rFonts w:hint="cs"/>
          <w:rtl/>
        </w:rPr>
        <w:t>הרמב"ן</w:t>
      </w:r>
      <w:r>
        <w:rPr>
          <w:rFonts w:hint="cs"/>
          <w:rtl/>
        </w:rPr>
        <w:t xml:space="preserve"> </w:t>
      </w:r>
      <w:r w:rsidRPr="00801F92">
        <w:rPr>
          <w:rStyle w:val="af6"/>
          <w:rFonts w:eastAsia="Guttman Hodes" w:hint="cs"/>
          <w:rtl/>
        </w:rPr>
        <w:t>(ד"ה והא)</w:t>
      </w:r>
      <w:r>
        <w:rPr>
          <w:rFonts w:hint="cs"/>
          <w:rtl/>
        </w:rPr>
        <w:t xml:space="preserve"> </w:t>
      </w:r>
      <w:r>
        <w:rPr>
          <w:rStyle w:val="af8"/>
          <w:rFonts w:hint="cs"/>
          <w:rtl/>
        </w:rPr>
        <w:t>ו</w:t>
      </w:r>
      <w:r w:rsidRPr="00F63846">
        <w:rPr>
          <w:rStyle w:val="af8"/>
          <w:rFonts w:hint="cs"/>
          <w:rtl/>
        </w:rPr>
        <w:t>הרשב"א</w:t>
      </w:r>
      <w:r w:rsidRPr="00F63846">
        <w:rPr>
          <w:rFonts w:hint="cs"/>
          <w:rtl/>
        </w:rPr>
        <w:t xml:space="preserve"> </w:t>
      </w:r>
      <w:r w:rsidRPr="00F63846">
        <w:rPr>
          <w:rStyle w:val="af6"/>
          <w:rFonts w:eastAsia="Guttman Hodes" w:hint="cs"/>
          <w:rtl/>
        </w:rPr>
        <w:t xml:space="preserve">(עי' אות </w:t>
      </w:r>
      <w:r w:rsidRPr="00F63846">
        <w:rPr>
          <w:rStyle w:val="af6"/>
          <w:rFonts w:eastAsia="Guttman Hodes"/>
          <w:rtl/>
        </w:rPr>
        <w:fldChar w:fldCharType="begin"/>
      </w:r>
      <w:r w:rsidRPr="00F63846">
        <w:rPr>
          <w:rStyle w:val="af6"/>
          <w:rFonts w:eastAsia="Guttman Hodes"/>
          <w:rtl/>
        </w:rPr>
        <w:instrText xml:space="preserve"> </w:instrText>
      </w:r>
      <w:r w:rsidRPr="00F63846">
        <w:rPr>
          <w:rStyle w:val="af6"/>
          <w:rFonts w:eastAsia="Guttman Hodes" w:hint="cs"/>
        </w:rPr>
        <w:instrText>REF</w:instrText>
      </w:r>
      <w:r w:rsidRPr="00F63846">
        <w:rPr>
          <w:rStyle w:val="af6"/>
          <w:rFonts w:eastAsia="Guttman Hodes" w:hint="cs"/>
          <w:rtl/>
        </w:rPr>
        <w:instrText xml:space="preserve"> _</w:instrText>
      </w:r>
      <w:r w:rsidRPr="00F63846">
        <w:rPr>
          <w:rStyle w:val="af6"/>
          <w:rFonts w:eastAsia="Guttman Hodes" w:hint="cs"/>
        </w:rPr>
        <w:instrText>Ref20239421 \r \h</w:instrText>
      </w:r>
      <w:r w:rsidRPr="00F63846">
        <w:rPr>
          <w:rStyle w:val="af6"/>
          <w:rFonts w:eastAsia="Guttman Hodes"/>
          <w:rtl/>
        </w:rPr>
        <w:instrText xml:space="preserve">  \* </w:instrText>
      </w:r>
      <w:r w:rsidRPr="00F63846">
        <w:rPr>
          <w:rStyle w:val="af6"/>
          <w:rFonts w:eastAsia="Guttman Hodes"/>
        </w:rPr>
        <w:instrText>MERGEFORMAT</w:instrText>
      </w:r>
      <w:r w:rsidRPr="00F63846">
        <w:rPr>
          <w:rStyle w:val="af6"/>
          <w:rFonts w:eastAsia="Guttman Hodes"/>
          <w:rtl/>
        </w:rPr>
        <w:instrText xml:space="preserve"> </w:instrText>
      </w:r>
      <w:r w:rsidRPr="00F63846">
        <w:rPr>
          <w:rStyle w:val="af6"/>
          <w:rFonts w:eastAsia="Guttman Hodes"/>
          <w:rtl/>
        </w:rPr>
      </w:r>
      <w:r w:rsidRPr="00F63846">
        <w:rPr>
          <w:rStyle w:val="af6"/>
          <w:rFonts w:eastAsia="Guttman Hodes"/>
          <w:rtl/>
        </w:rPr>
        <w:fldChar w:fldCharType="separate"/>
      </w:r>
      <w:r w:rsidR="004D1C5B">
        <w:rPr>
          <w:rStyle w:val="af6"/>
          <w:rFonts w:eastAsia="Guttman Hodes"/>
          <w:cs/>
        </w:rPr>
        <w:t>‎</w:t>
      </w:r>
      <w:r w:rsidR="004D1C5B">
        <w:rPr>
          <w:rStyle w:val="af6"/>
          <w:rFonts w:eastAsia="Guttman Hodes"/>
          <w:rtl/>
        </w:rPr>
        <w:t>ט)</w:t>
      </w:r>
      <w:r w:rsidRPr="00F63846">
        <w:rPr>
          <w:rStyle w:val="af6"/>
          <w:rFonts w:eastAsia="Guttman Hodes"/>
          <w:rtl/>
        </w:rPr>
        <w:fldChar w:fldCharType="end"/>
      </w:r>
      <w:r>
        <w:rPr>
          <w:rStyle w:val="af6"/>
          <w:rFonts w:eastAsia="Guttman Hodes" w:hint="cs"/>
          <w:rtl/>
        </w:rPr>
        <w:t xml:space="preserve"> </w:t>
      </w:r>
      <w:r>
        <w:rPr>
          <w:rStyle w:val="af8"/>
          <w:rFonts w:hint="cs"/>
          <w:rtl/>
        </w:rPr>
        <w:t>ו</w:t>
      </w:r>
      <w:r w:rsidRPr="00C8160E">
        <w:rPr>
          <w:rStyle w:val="af8"/>
          <w:rFonts w:hint="cs"/>
          <w:rtl/>
        </w:rPr>
        <w:t xml:space="preserve">הר"ן על הרי"ף </w:t>
      </w:r>
      <w:r w:rsidRPr="00C8160E">
        <w:rPr>
          <w:rStyle w:val="af6"/>
          <w:rFonts w:eastAsia="Guttman Hodes" w:hint="cs"/>
          <w:rtl/>
        </w:rPr>
        <w:t>(לב: מדפי הרי"ף ד"</w:t>
      </w:r>
      <w:r w:rsidRPr="00F63846">
        <w:rPr>
          <w:rStyle w:val="af6"/>
          <w:rFonts w:eastAsia="Guttman Hodes" w:hint="cs"/>
          <w:rtl/>
        </w:rPr>
        <w:t>ה ההוא)</w:t>
      </w:r>
      <w:r>
        <w:rPr>
          <w:rFonts w:hint="cs"/>
          <w:rtl/>
        </w:rPr>
        <w:t xml:space="preserve">. [ועי' במ"ש </w:t>
      </w:r>
      <w:r w:rsidRPr="005036B8">
        <w:rPr>
          <w:rStyle w:val="af8"/>
          <w:rFonts w:hint="cs"/>
          <w:rtl/>
        </w:rPr>
        <w:t>החת"ס</w:t>
      </w:r>
      <w:r>
        <w:rPr>
          <w:rFonts w:hint="cs"/>
          <w:rtl/>
        </w:rPr>
        <w:t xml:space="preserve"> </w:t>
      </w:r>
      <w:r w:rsidRPr="005036B8">
        <w:rPr>
          <w:rStyle w:val="af6"/>
          <w:rFonts w:eastAsia="Guttman Hodes" w:hint="cs"/>
          <w:rtl/>
        </w:rPr>
        <w:t>(ד"ה ובדילי)</w:t>
      </w:r>
      <w:r>
        <w:rPr>
          <w:rFonts w:hint="cs"/>
          <w:rtl/>
        </w:rPr>
        <w:t>]</w:t>
      </w:r>
      <w:r w:rsidRPr="00F63846">
        <w:rPr>
          <w:rFonts w:hint="cs"/>
          <w:rtl/>
        </w:rPr>
        <w:t>.</w:t>
      </w:r>
    </w:p>
    <w:p w:rsidR="006C2032" w:rsidRPr="00F63846" w:rsidRDefault="006C2032" w:rsidP="006C2032">
      <w:pPr>
        <w:pStyle w:val="a2"/>
        <w:rPr>
          <w:rtl/>
        </w:rPr>
      </w:pPr>
      <w:bookmarkStart w:id="10943" w:name="_Toc20168391"/>
      <w:bookmarkStart w:id="10944" w:name="_Toc20170493"/>
      <w:bookmarkStart w:id="10945" w:name="_Toc20226691"/>
      <w:bookmarkStart w:id="10946" w:name="_Toc20256880"/>
      <w:bookmarkStart w:id="10947" w:name="_Toc20267109"/>
      <w:bookmarkStart w:id="10948" w:name="_Toc20310922"/>
      <w:bookmarkStart w:id="10949" w:name="_Toc20311094"/>
      <w:bookmarkStart w:id="10950" w:name="_Toc20315363"/>
      <w:bookmarkStart w:id="10951" w:name="_Toc20315755"/>
      <w:r w:rsidRPr="00F63846">
        <w:rPr>
          <w:rFonts w:hint="cs"/>
          <w:rtl/>
        </w:rPr>
        <w:t>ביאור התוס' דאף בטומאת שכבת זרע יש חידוש דהא נבילה סרוחה אינה מטמאה</w:t>
      </w:r>
      <w:bookmarkEnd w:id="10943"/>
      <w:bookmarkEnd w:id="10944"/>
      <w:bookmarkEnd w:id="10945"/>
      <w:bookmarkEnd w:id="10946"/>
      <w:bookmarkEnd w:id="10947"/>
      <w:bookmarkEnd w:id="10948"/>
      <w:bookmarkEnd w:id="10949"/>
      <w:bookmarkEnd w:id="10950"/>
      <w:bookmarkEnd w:id="10951"/>
    </w:p>
    <w:p w:rsidR="006C2032" w:rsidRDefault="006C2032" w:rsidP="009F44AF">
      <w:pPr>
        <w:pStyle w:val="a"/>
        <w:rPr>
          <w:rtl/>
        </w:rPr>
      </w:pPr>
      <w:r w:rsidRPr="00F63846">
        <w:rPr>
          <w:rFonts w:hint="cs"/>
          <w:rtl/>
        </w:rPr>
        <w:t>ובביאור החידוש בשכבת זרע, הקשו</w:t>
      </w:r>
      <w:r>
        <w:rPr>
          <w:rFonts w:hint="cs"/>
          <w:rtl/>
        </w:rPr>
        <w:t xml:space="preserve"> </w:t>
      </w:r>
      <w:r w:rsidRPr="002915F6">
        <w:rPr>
          <w:rStyle w:val="af8"/>
          <w:rFonts w:hint="cs"/>
          <w:rtl/>
        </w:rPr>
        <w:t xml:space="preserve">התוס' </w:t>
      </w:r>
      <w:r w:rsidRPr="002915F6">
        <w:rPr>
          <w:rStyle w:val="af6"/>
          <w:rFonts w:eastAsia="Guttman Hodes" w:hint="cs"/>
          <w:rtl/>
        </w:rPr>
        <w:t>(ד"ה אלא)</w:t>
      </w:r>
      <w:r>
        <w:rPr>
          <w:rFonts w:hint="cs"/>
          <w:rtl/>
        </w:rPr>
        <w:t xml:space="preserve"> דלגבי האיסור בשרץ אפש"ל דהוא חידוש, כיון דנותן טעם לפגם מותר בשאר איסורין, אבל בטומאה הרי אין כל חילוק בין שבח לפגם, ומה החידוש דשכבת זרע היא טמאה, ותירצו </w:t>
      </w:r>
      <w:r w:rsidRPr="002915F6">
        <w:rPr>
          <w:rStyle w:val="af8"/>
          <w:rFonts w:hint="cs"/>
          <w:rtl/>
        </w:rPr>
        <w:t>התוס'</w:t>
      </w:r>
      <w:r>
        <w:rPr>
          <w:rFonts w:hint="cs"/>
          <w:rtl/>
        </w:rPr>
        <w:t xml:space="preserve"> דאף בטומאה יש חידוש, בדבר פגום שהוא טמא, דהא נבילה שהסריחה ואינה ראויה לגר, אינה מטמאה דאינה קרויה נבילה.</w:t>
      </w:r>
    </w:p>
    <w:p w:rsidR="006C2032" w:rsidRPr="002915F6" w:rsidRDefault="006C2032" w:rsidP="006C2032">
      <w:pPr>
        <w:pStyle w:val="a2"/>
        <w:rPr>
          <w:rtl/>
        </w:rPr>
      </w:pPr>
      <w:bookmarkStart w:id="10952" w:name="_Toc20168392"/>
      <w:bookmarkStart w:id="10953" w:name="_Toc20170494"/>
      <w:bookmarkStart w:id="10954" w:name="_Toc20226692"/>
      <w:bookmarkStart w:id="10955" w:name="_Toc20256881"/>
      <w:bookmarkStart w:id="10956" w:name="_Toc20267110"/>
      <w:bookmarkStart w:id="10957" w:name="_Toc20310923"/>
      <w:bookmarkStart w:id="10958" w:name="_Toc20311095"/>
      <w:bookmarkStart w:id="10959" w:name="_Toc20315364"/>
      <w:bookmarkStart w:id="10960" w:name="_Toc20315756"/>
      <w:r>
        <w:rPr>
          <w:rFonts w:hint="cs"/>
          <w:rtl/>
        </w:rPr>
        <w:t>ביאור התוס' ברבא דפליג על רב ששת וס"ל דנטל"פ מותר אף בשרצים</w:t>
      </w:r>
      <w:bookmarkEnd w:id="10952"/>
      <w:bookmarkEnd w:id="10953"/>
      <w:bookmarkEnd w:id="10954"/>
      <w:bookmarkEnd w:id="10955"/>
      <w:bookmarkEnd w:id="10956"/>
      <w:bookmarkEnd w:id="10957"/>
      <w:bookmarkEnd w:id="10958"/>
      <w:bookmarkEnd w:id="10959"/>
      <w:bookmarkEnd w:id="10960"/>
      <w:r>
        <w:rPr>
          <w:rFonts w:hint="cs"/>
          <w:rtl/>
        </w:rPr>
        <w:t xml:space="preserve"> </w:t>
      </w:r>
    </w:p>
    <w:p w:rsidR="006C2032" w:rsidRDefault="006C2032" w:rsidP="009F44AF">
      <w:pPr>
        <w:pStyle w:val="a"/>
        <w:rPr>
          <w:rtl/>
        </w:rPr>
      </w:pPr>
      <w:bookmarkStart w:id="10961" w:name="_Toc19995909"/>
      <w:r>
        <w:rPr>
          <w:rFonts w:hint="cs"/>
          <w:rtl/>
        </w:rPr>
        <w:t>ובביאור דברי רבא דאמר דנותן טעם לפגם, והסתפק בביאור האיסור בעכברא בשיכרא, כתבו</w:t>
      </w:r>
      <w:r w:rsidRPr="00644B33">
        <w:rPr>
          <w:rStyle w:val="af8"/>
          <w:rFonts w:hint="cs"/>
          <w:rtl/>
        </w:rPr>
        <w:t xml:space="preserve"> התוס'</w:t>
      </w:r>
      <w:r>
        <w:rPr>
          <w:rFonts w:hint="cs"/>
          <w:rtl/>
        </w:rPr>
        <w:t xml:space="preserve"> </w:t>
      </w:r>
      <w:r w:rsidRPr="00644B33">
        <w:rPr>
          <w:rStyle w:val="af6"/>
          <w:rFonts w:eastAsia="Guttman Hodes" w:hint="cs"/>
          <w:rtl/>
        </w:rPr>
        <w:t>(ד"ה אמר רבא)</w:t>
      </w:r>
      <w:r>
        <w:rPr>
          <w:rFonts w:hint="cs"/>
          <w:rtl/>
        </w:rPr>
        <w:t xml:space="preserve"> דכוונת </w:t>
      </w:r>
      <w:r w:rsidRPr="004219C4">
        <w:rPr>
          <w:rFonts w:hint="cs"/>
          <w:rtl/>
        </w:rPr>
        <w:t xml:space="preserve">רבא לומר </w:t>
      </w:r>
      <w:r w:rsidRPr="004219C4">
        <w:rPr>
          <w:rFonts w:hint="cs"/>
          <w:rtl/>
        </w:rPr>
        <w:t>דאף שרץ שנתן טעם לפגם מותר, דאין חידוש בשרץ דאסור אף שהוא פגום, ודלא כדברי רב ששת</w:t>
      </w:r>
      <w:r>
        <w:rPr>
          <w:rFonts w:hint="cs"/>
          <w:rtl/>
        </w:rPr>
        <w:t>.</w:t>
      </w:r>
    </w:p>
    <w:p w:rsidR="006C2032" w:rsidRPr="00644B33" w:rsidRDefault="006C2032" w:rsidP="006C2032">
      <w:pPr>
        <w:pStyle w:val="a2"/>
        <w:rPr>
          <w:rtl/>
        </w:rPr>
      </w:pPr>
      <w:bookmarkStart w:id="10962" w:name="_Toc20168393"/>
      <w:bookmarkStart w:id="10963" w:name="_Toc20170495"/>
      <w:bookmarkStart w:id="10964" w:name="_Toc20226693"/>
      <w:bookmarkStart w:id="10965" w:name="_Toc20256882"/>
      <w:bookmarkStart w:id="10966" w:name="_Toc20267111"/>
      <w:bookmarkStart w:id="10967" w:name="_Toc20310924"/>
      <w:bookmarkStart w:id="10968" w:name="_Toc20311096"/>
      <w:bookmarkStart w:id="10969" w:name="_Toc20315365"/>
      <w:bookmarkStart w:id="10970" w:name="_Toc20315757"/>
      <w:r>
        <w:rPr>
          <w:rFonts w:hint="cs"/>
          <w:rtl/>
        </w:rPr>
        <w:t>ביאור התוס' בספיקא דרבא בדעת רב אי ס"ל דנטל"פ מותר או אסור</w:t>
      </w:r>
      <w:bookmarkEnd w:id="10962"/>
      <w:bookmarkEnd w:id="10963"/>
      <w:bookmarkEnd w:id="10964"/>
      <w:bookmarkEnd w:id="10965"/>
      <w:bookmarkEnd w:id="10966"/>
      <w:bookmarkEnd w:id="10967"/>
      <w:bookmarkEnd w:id="10968"/>
      <w:bookmarkEnd w:id="10969"/>
      <w:bookmarkEnd w:id="10970"/>
    </w:p>
    <w:p w:rsidR="006C2032" w:rsidRDefault="006C2032" w:rsidP="009F44AF">
      <w:pPr>
        <w:pStyle w:val="a"/>
        <w:rPr>
          <w:rtl/>
        </w:rPr>
      </w:pPr>
      <w:r>
        <w:rPr>
          <w:rFonts w:hint="cs"/>
          <w:rtl/>
        </w:rPr>
        <w:t xml:space="preserve">וביארו </w:t>
      </w:r>
      <w:r w:rsidRPr="00644B33">
        <w:rPr>
          <w:rStyle w:val="af8"/>
          <w:rFonts w:hint="cs"/>
          <w:rtl/>
        </w:rPr>
        <w:t>התוס'</w:t>
      </w:r>
      <w:r>
        <w:rPr>
          <w:rFonts w:hint="cs"/>
          <w:rtl/>
        </w:rPr>
        <w:t xml:space="preserve"> ד</w:t>
      </w:r>
      <w:r w:rsidRPr="004219C4">
        <w:rPr>
          <w:rFonts w:hint="cs"/>
          <w:rtl/>
        </w:rPr>
        <w:t xml:space="preserve">רבא הסתפק </w:t>
      </w:r>
      <w:r>
        <w:rPr>
          <w:rFonts w:hint="cs"/>
          <w:rtl/>
        </w:rPr>
        <w:t xml:space="preserve">אי רב אסר בעכברא בשיכרא, דס"ל דאף בשאר שרצים נותן טעם לפגם אסור, וא"כ לא קיי"ל כרב, דהא אף בשאר שרצים נותן טעם לפגם מותר, או כיון דס"ל לרב דהעכבר משביח את השכר והקשו </w:t>
      </w:r>
      <w:r w:rsidRPr="00644B33">
        <w:rPr>
          <w:rStyle w:val="af8"/>
          <w:rFonts w:hint="cs"/>
          <w:rtl/>
        </w:rPr>
        <w:t>התוס'</w:t>
      </w:r>
      <w:r>
        <w:rPr>
          <w:rFonts w:hint="cs"/>
          <w:rtl/>
        </w:rPr>
        <w:t xml:space="preserve"> דאמאי לא פשט רבא את ספיקו מדברי רב בחולין </w:t>
      </w:r>
      <w:r w:rsidRPr="00644B33">
        <w:rPr>
          <w:rStyle w:val="af6"/>
          <w:rFonts w:eastAsia="Guttman Hodes" w:hint="cs"/>
          <w:rtl/>
        </w:rPr>
        <w:t>(ח:)</w:t>
      </w:r>
      <w:r>
        <w:rPr>
          <w:rFonts w:hint="cs"/>
          <w:rtl/>
        </w:rPr>
        <w:t xml:space="preserve"> דאמר רב דהשוחט בסכין של עכו"ם קולף, ולא סגי בהדחה כדברי שמואל, אעפ"י דסתם סכין של עכו"ם אינו בן יומו, והוא נותן טעם לפגם, ותירצו </w:t>
      </w:r>
      <w:r w:rsidRPr="00644B33">
        <w:rPr>
          <w:rStyle w:val="af8"/>
          <w:rFonts w:hint="cs"/>
          <w:rtl/>
        </w:rPr>
        <w:t>התוס'</w:t>
      </w:r>
      <w:r>
        <w:rPr>
          <w:rFonts w:hint="cs"/>
          <w:rtl/>
        </w:rPr>
        <w:t xml:space="preserve"> דבגמ' בחולין איירי בסכין שידוע שהוא בן יומו, ועוד תירצו </w:t>
      </w:r>
      <w:r w:rsidRPr="00644B33">
        <w:rPr>
          <w:rStyle w:val="af8"/>
          <w:rFonts w:hint="cs"/>
          <w:rtl/>
        </w:rPr>
        <w:t>התוס'</w:t>
      </w:r>
      <w:r>
        <w:rPr>
          <w:rFonts w:hint="cs"/>
          <w:rtl/>
        </w:rPr>
        <w:t xml:space="preserve"> דבסכין יש שמנונית שהיא בעין, והוא נותן טעם לשבח אף כשאין הסכין בן יומו.</w:t>
      </w:r>
    </w:p>
    <w:p w:rsidR="006C2032" w:rsidRDefault="006C2032" w:rsidP="006C2032">
      <w:pPr>
        <w:pStyle w:val="a2"/>
        <w:rPr>
          <w:rtl/>
        </w:rPr>
      </w:pPr>
      <w:bookmarkStart w:id="10971" w:name="_Toc20168394"/>
      <w:bookmarkStart w:id="10972" w:name="_Toc20170496"/>
      <w:bookmarkStart w:id="10973" w:name="_Toc20226694"/>
      <w:bookmarkStart w:id="10974" w:name="_Toc20256883"/>
      <w:bookmarkStart w:id="10975" w:name="_Toc20267112"/>
      <w:bookmarkStart w:id="10976" w:name="_Toc20310925"/>
      <w:bookmarkStart w:id="10977" w:name="_Toc20311097"/>
      <w:bookmarkStart w:id="10978" w:name="_Toc20315366"/>
      <w:bookmarkStart w:id="10979" w:name="_Toc20315758"/>
      <w:r>
        <w:rPr>
          <w:rFonts w:hint="cs"/>
          <w:rtl/>
        </w:rPr>
        <w:t>דברי התוס' דא"א לבדוק אי שרץ משביח וקיי"ל כרבא דנטל"פ מותר אף בשרצים</w:t>
      </w:r>
      <w:bookmarkEnd w:id="10971"/>
      <w:bookmarkEnd w:id="10972"/>
      <w:bookmarkEnd w:id="10973"/>
      <w:bookmarkEnd w:id="10974"/>
      <w:bookmarkEnd w:id="10975"/>
      <w:bookmarkEnd w:id="10976"/>
      <w:bookmarkEnd w:id="10977"/>
      <w:bookmarkEnd w:id="10978"/>
      <w:bookmarkEnd w:id="10979"/>
    </w:p>
    <w:p w:rsidR="006C2032" w:rsidRDefault="006C2032" w:rsidP="009F44AF">
      <w:pPr>
        <w:pStyle w:val="a"/>
        <w:rPr>
          <w:rtl/>
        </w:rPr>
      </w:pPr>
      <w:r>
        <w:rPr>
          <w:rFonts w:hint="cs"/>
          <w:rtl/>
        </w:rPr>
        <w:t xml:space="preserve">ועוד הקשו </w:t>
      </w:r>
      <w:r w:rsidRPr="00A314EB">
        <w:rPr>
          <w:rStyle w:val="af8"/>
          <w:rFonts w:hint="cs"/>
          <w:rtl/>
        </w:rPr>
        <w:t>התוס'</w:t>
      </w:r>
      <w:r>
        <w:rPr>
          <w:rFonts w:hint="cs"/>
          <w:rtl/>
        </w:rPr>
        <w:t xml:space="preserve"> אמאי אמר רבא דלא ידוע אם העכבר משביח את השכר, הא אפשר להטעימו לקפילא, ותירצו </w:t>
      </w:r>
      <w:r w:rsidRPr="00A314EB">
        <w:rPr>
          <w:rStyle w:val="af8"/>
          <w:rFonts w:hint="cs"/>
          <w:rtl/>
        </w:rPr>
        <w:t>התוס'</w:t>
      </w:r>
      <w:r>
        <w:rPr>
          <w:rFonts w:hint="cs"/>
          <w:rtl/>
        </w:rPr>
        <w:t xml:space="preserve"> דיתכן שהעכבר מחזק את השכר ומחמיצו, ואחר שהחמיץ א"א לבדוק אם הוא מחמת השכר עצמו או מחמת העכבר, וכתבו </w:t>
      </w:r>
      <w:r w:rsidRPr="00A314EB">
        <w:rPr>
          <w:rStyle w:val="af8"/>
          <w:rFonts w:hint="cs"/>
          <w:rtl/>
        </w:rPr>
        <w:t xml:space="preserve">התוס' </w:t>
      </w:r>
      <w:r>
        <w:rPr>
          <w:rFonts w:hint="cs"/>
          <w:rtl/>
        </w:rPr>
        <w:t xml:space="preserve">דקיי"ל כרבא דנותן טעם לפגם מותר אף בשרצים, והוסיפו </w:t>
      </w:r>
      <w:r w:rsidRPr="00A314EB">
        <w:rPr>
          <w:rStyle w:val="af8"/>
          <w:rFonts w:hint="cs"/>
          <w:rtl/>
        </w:rPr>
        <w:t xml:space="preserve">התוס' </w:t>
      </w:r>
      <w:r>
        <w:rPr>
          <w:rFonts w:hint="cs"/>
          <w:rtl/>
        </w:rPr>
        <w:t>דהוא נ"מ דבר שאינו בן יומו דמותר אף בשרצים.</w:t>
      </w:r>
    </w:p>
    <w:p w:rsidR="006C2032" w:rsidRDefault="006C2032" w:rsidP="00E669F8">
      <w:pPr>
        <w:pStyle w:val="afd"/>
        <w:rPr>
          <w:rtl/>
        </w:rPr>
      </w:pPr>
      <w:bookmarkStart w:id="10980" w:name="_Toc20310926"/>
      <w:bookmarkStart w:id="10981" w:name="_Toc20311098"/>
      <w:bookmarkStart w:id="10982" w:name="_Toc20315367"/>
      <w:bookmarkStart w:id="10983" w:name="_Toc20315759"/>
      <w:bookmarkStart w:id="10984" w:name="_Toc20168395"/>
      <w:bookmarkStart w:id="10985" w:name="_Toc20170497"/>
      <w:bookmarkStart w:id="10986" w:name="_Toc20226695"/>
      <w:bookmarkStart w:id="10987" w:name="_Toc20256884"/>
      <w:bookmarkStart w:id="10988" w:name="_Toc20267113"/>
      <w:r>
        <w:rPr>
          <w:rFonts w:hint="cs"/>
          <w:rtl/>
        </w:rPr>
        <w:t>ביאור הרשב"א בנטל"פ באיסור מאוס</w:t>
      </w:r>
      <w:bookmarkEnd w:id="10980"/>
      <w:bookmarkEnd w:id="10981"/>
      <w:bookmarkEnd w:id="10982"/>
      <w:bookmarkEnd w:id="10983"/>
    </w:p>
    <w:p w:rsidR="006C2032" w:rsidRDefault="006C2032" w:rsidP="006C2032">
      <w:pPr>
        <w:pStyle w:val="1"/>
        <w:rPr>
          <w:rtl/>
        </w:rPr>
      </w:pPr>
      <w:bookmarkStart w:id="10989" w:name="_Toc20310927"/>
      <w:bookmarkStart w:id="10990" w:name="_Toc20311099"/>
      <w:bookmarkStart w:id="10991" w:name="_Toc20315368"/>
      <w:bookmarkStart w:id="10992" w:name="_Toc20315760"/>
      <w:bookmarkEnd w:id="10984"/>
      <w:bookmarkEnd w:id="10985"/>
      <w:bookmarkEnd w:id="10986"/>
      <w:bookmarkEnd w:id="10987"/>
      <w:bookmarkEnd w:id="10988"/>
      <w:r>
        <w:rPr>
          <w:rFonts w:hint="cs"/>
          <w:rtl/>
        </w:rPr>
        <w:t>ביאור הרשב"א ברב ששת דדין התערובת כדין האיסור המאוס</w:t>
      </w:r>
      <w:bookmarkEnd w:id="10989"/>
      <w:bookmarkEnd w:id="10990"/>
      <w:bookmarkEnd w:id="10991"/>
      <w:bookmarkEnd w:id="10992"/>
    </w:p>
    <w:p w:rsidR="006C2032" w:rsidRPr="00283654" w:rsidRDefault="006C2032" w:rsidP="006C2032">
      <w:pPr>
        <w:pStyle w:val="a2"/>
        <w:rPr>
          <w:rtl/>
        </w:rPr>
      </w:pPr>
      <w:bookmarkStart w:id="10993" w:name="_Toc20168396"/>
      <w:bookmarkStart w:id="10994" w:name="_Toc20170498"/>
      <w:bookmarkStart w:id="10995" w:name="_Toc20226696"/>
      <w:bookmarkStart w:id="10996" w:name="_Toc20256885"/>
      <w:bookmarkStart w:id="10997" w:name="_Toc20267114"/>
      <w:bookmarkStart w:id="10998" w:name="_Toc20310928"/>
      <w:bookmarkStart w:id="10999" w:name="_Toc20311100"/>
      <w:bookmarkStart w:id="11000" w:name="_Toc20315369"/>
      <w:bookmarkStart w:id="11001" w:name="_Toc20315761"/>
      <w:r>
        <w:rPr>
          <w:rFonts w:hint="cs"/>
          <w:rtl/>
        </w:rPr>
        <w:t>דברי הרשב"א ברב ששת דשרץ שמאוס מעיקרו הוא חידוש ואינו בכלל היתר נטל"פ דנבילה</w:t>
      </w:r>
      <w:bookmarkEnd w:id="10993"/>
      <w:bookmarkEnd w:id="10994"/>
      <w:bookmarkEnd w:id="10995"/>
      <w:bookmarkEnd w:id="10996"/>
      <w:bookmarkEnd w:id="10997"/>
      <w:bookmarkEnd w:id="10998"/>
      <w:bookmarkEnd w:id="10999"/>
      <w:bookmarkEnd w:id="11000"/>
      <w:bookmarkEnd w:id="11001"/>
    </w:p>
    <w:p w:rsidR="006C2032" w:rsidRDefault="006C2032" w:rsidP="009F44AF">
      <w:pPr>
        <w:pStyle w:val="a"/>
        <w:rPr>
          <w:rtl/>
        </w:rPr>
      </w:pPr>
      <w:bookmarkStart w:id="11002" w:name="_Ref20239421"/>
      <w:r>
        <w:rPr>
          <w:rFonts w:hint="cs"/>
          <w:rtl/>
        </w:rPr>
        <w:t xml:space="preserve">בהא דאמר רב ששת דס"ל לרב דנותן טעם לפגם מותר, והכא חידוש הוא, ביאר </w:t>
      </w:r>
      <w:r w:rsidRPr="00A84C8C">
        <w:rPr>
          <w:rStyle w:val="af8"/>
          <w:rFonts w:hint="cs"/>
          <w:rtl/>
        </w:rPr>
        <w:t>הרשב"א בתוה"ב</w:t>
      </w:r>
      <w:r>
        <w:rPr>
          <w:rFonts w:hint="cs"/>
          <w:rtl/>
        </w:rPr>
        <w:t xml:space="preserve"> </w:t>
      </w:r>
      <w:r w:rsidRPr="00515185">
        <w:rPr>
          <w:rStyle w:val="af6"/>
          <w:rFonts w:eastAsia="Guttman Hodes" w:hint="cs"/>
          <w:rtl/>
        </w:rPr>
        <w:t>(ב"ד ש"א יט: מדה"ס ד"ה ולענין הדברים)</w:t>
      </w:r>
      <w:r>
        <w:rPr>
          <w:rFonts w:hint="cs"/>
          <w:rtl/>
        </w:rPr>
        <w:t xml:space="preserve"> דס"ל לרב ששת דמהא דאסרה תורה נבילה רק כשהיא ראויה לגר, מבואר דנותן טעם לפגם מותר, דכיון שהיא נפגמה אינה אסורה, אבל בעכבר שמתחילתו הוא פגום ומאוס, ובדילי אינשי מיניה, והוא חידוש דאפ"ה אסרתו תורה, וכיון דהוא חידוש א"כ אף כשהעכבר נותן טעם לפגם בתערובת הוא אוסר, דהאיסור המחודש שבו נשאר אף כשפגם את התערובת.</w:t>
      </w:r>
      <w:bookmarkEnd w:id="11002"/>
    </w:p>
    <w:p w:rsidR="006C2032" w:rsidRDefault="006C2032" w:rsidP="006C2032">
      <w:pPr>
        <w:pStyle w:val="a2"/>
        <w:rPr>
          <w:rtl/>
        </w:rPr>
      </w:pPr>
      <w:bookmarkStart w:id="11003" w:name="_Toc20168397"/>
      <w:bookmarkStart w:id="11004" w:name="_Toc20170499"/>
      <w:bookmarkStart w:id="11005" w:name="_Toc20226697"/>
      <w:bookmarkStart w:id="11006" w:name="_Toc20256886"/>
      <w:bookmarkStart w:id="11007" w:name="_Toc20267115"/>
      <w:bookmarkStart w:id="11008" w:name="_Toc20310929"/>
      <w:bookmarkStart w:id="11009" w:name="_Toc20311101"/>
      <w:bookmarkStart w:id="11010" w:name="_Toc20315370"/>
      <w:bookmarkStart w:id="11011" w:name="_Toc20315762"/>
      <w:r>
        <w:rPr>
          <w:rFonts w:hint="cs"/>
          <w:rtl/>
        </w:rPr>
        <w:t>ביאור הרשב"א ברב ששת דדין התערובת כדין האיסור ושרץ מאוס שאסור אוסר בתערובת</w:t>
      </w:r>
      <w:bookmarkEnd w:id="11003"/>
      <w:bookmarkEnd w:id="11004"/>
      <w:bookmarkEnd w:id="11005"/>
      <w:bookmarkEnd w:id="11006"/>
      <w:bookmarkEnd w:id="11007"/>
      <w:bookmarkEnd w:id="11008"/>
      <w:bookmarkEnd w:id="11009"/>
      <w:bookmarkEnd w:id="11010"/>
      <w:bookmarkEnd w:id="11011"/>
    </w:p>
    <w:p w:rsidR="006C2032" w:rsidRDefault="006C2032" w:rsidP="009F44AF">
      <w:pPr>
        <w:pStyle w:val="a"/>
        <w:rPr>
          <w:rtl/>
        </w:rPr>
      </w:pPr>
      <w:r>
        <w:rPr>
          <w:rFonts w:hint="cs"/>
          <w:rtl/>
        </w:rPr>
        <w:t xml:space="preserve">וכתב </w:t>
      </w:r>
      <w:r w:rsidRPr="00A84C8C">
        <w:rPr>
          <w:rStyle w:val="af8"/>
          <w:rFonts w:hint="cs"/>
          <w:rtl/>
        </w:rPr>
        <w:t>הרשב"א בתוה"ב</w:t>
      </w:r>
      <w:r>
        <w:rPr>
          <w:rFonts w:hint="cs"/>
          <w:rtl/>
        </w:rPr>
        <w:t xml:space="preserve"> דס"ל לרב ששת דבכל האיסורים שהתערבו בתערובת, דין התערובת היא כמו הדין של האיסור עצמו, ולכן כל איסור שעיקרו הוא משביח, כמו נבילה ובהמה טמאה, וכשהשתנו לפגם הם מותרים, דילפינן להו מנבילה, א"כ אף כשהתערבו האיסורים בתוך היתר, ופגמו את התערובת, דהתערובת מותרת כמו האיסור עצמו, ובאיסור שמאוס מעיקרו אף שאסרתו תורה כעכבר וזבובין וכיו"ב, אף התערובת שלהם אסורה כשפגמו אותה, דעיקר האיסור שלהם הוא כשהם פגומים.</w:t>
      </w:r>
    </w:p>
    <w:p w:rsidR="006C2032" w:rsidRDefault="006C2032" w:rsidP="006C2032">
      <w:pPr>
        <w:pStyle w:val="1"/>
        <w:rPr>
          <w:rtl/>
        </w:rPr>
      </w:pPr>
      <w:bookmarkStart w:id="11012" w:name="_Toc20310930"/>
      <w:bookmarkStart w:id="11013" w:name="_Toc20311102"/>
      <w:bookmarkStart w:id="11014" w:name="_Toc20315371"/>
      <w:bookmarkStart w:id="11015" w:name="_Toc20315763"/>
      <w:bookmarkStart w:id="11016" w:name="_Toc20170500"/>
      <w:bookmarkStart w:id="11017" w:name="_Toc20226698"/>
      <w:bookmarkStart w:id="11018" w:name="_Toc20256887"/>
      <w:bookmarkStart w:id="11019" w:name="_Toc20267116"/>
      <w:r>
        <w:rPr>
          <w:rFonts w:hint="cs"/>
          <w:rtl/>
        </w:rPr>
        <w:t>ביאור הרשב"א ברבא דטעם איסור המאוס אינו אסור בתערובת</w:t>
      </w:r>
      <w:bookmarkEnd w:id="11012"/>
      <w:bookmarkEnd w:id="11013"/>
      <w:bookmarkEnd w:id="11014"/>
      <w:bookmarkEnd w:id="11015"/>
    </w:p>
    <w:p w:rsidR="006C2032" w:rsidRDefault="006C2032" w:rsidP="006C2032">
      <w:pPr>
        <w:pStyle w:val="a2"/>
        <w:rPr>
          <w:rtl/>
        </w:rPr>
      </w:pPr>
      <w:bookmarkStart w:id="11020" w:name="_Toc20310931"/>
      <w:bookmarkStart w:id="11021" w:name="_Toc20311103"/>
      <w:bookmarkStart w:id="11022" w:name="_Toc20315372"/>
      <w:bookmarkStart w:id="11023" w:name="_Toc20315764"/>
      <w:r>
        <w:rPr>
          <w:rFonts w:hint="cs"/>
          <w:rtl/>
        </w:rPr>
        <w:t>דברי הרשב"א דלרבא אין דין התערובת כדין האיסור ואיסור מאוס שהפך תערובת לפגם מותר</w:t>
      </w:r>
      <w:bookmarkEnd w:id="11016"/>
      <w:bookmarkEnd w:id="11017"/>
      <w:bookmarkEnd w:id="11018"/>
      <w:bookmarkEnd w:id="11019"/>
      <w:bookmarkEnd w:id="11020"/>
      <w:bookmarkEnd w:id="11021"/>
      <w:bookmarkEnd w:id="11022"/>
      <w:bookmarkEnd w:id="11023"/>
    </w:p>
    <w:p w:rsidR="007D485E" w:rsidRDefault="006C2032" w:rsidP="009F44AF">
      <w:pPr>
        <w:pStyle w:val="a"/>
        <w:rPr>
          <w:rtl/>
        </w:rPr>
      </w:pPr>
      <w:r w:rsidRPr="009760BD">
        <w:rPr>
          <w:rFonts w:hint="cs"/>
          <w:rtl/>
        </w:rPr>
        <w:t xml:space="preserve">ובדברי רבא דאמר דקיי"ל דנותן טעם לפגם מותר, ביאר </w:t>
      </w:r>
      <w:r w:rsidRPr="00A84C8C">
        <w:rPr>
          <w:rStyle w:val="af8"/>
          <w:rFonts w:hint="cs"/>
          <w:rtl/>
        </w:rPr>
        <w:t>הרשב"א בתוה"ב</w:t>
      </w:r>
      <w:r w:rsidRPr="009760BD">
        <w:rPr>
          <w:rFonts w:hint="cs"/>
          <w:rtl/>
        </w:rPr>
        <w:t xml:space="preserve"> דרבא פליג על רב ששת, וס"ל דאף באיסור שמאוס מעיקרו, כשהתערב בתערובת אין דין התערובת כדין האיסור, </w:t>
      </w:r>
      <w:r>
        <w:rPr>
          <w:rFonts w:hint="cs"/>
          <w:rtl/>
        </w:rPr>
        <w:t xml:space="preserve">דאף דהאיסור עצמו אסור כשהוא מאוס ופגום, מ"מ </w:t>
      </w:r>
      <w:r>
        <w:rPr>
          <w:rFonts w:hint="cs"/>
          <w:rtl/>
        </w:rPr>
        <w:lastRenderedPageBreak/>
        <w:t>כש</w:t>
      </w:r>
      <w:r w:rsidRPr="009760BD">
        <w:rPr>
          <w:rFonts w:hint="cs"/>
          <w:rtl/>
        </w:rPr>
        <w:t>ה</w:t>
      </w:r>
      <w:r>
        <w:rPr>
          <w:rFonts w:hint="cs"/>
          <w:rtl/>
        </w:rPr>
        <w:t>ת</w:t>
      </w:r>
      <w:r w:rsidRPr="009760BD">
        <w:rPr>
          <w:rFonts w:hint="cs"/>
          <w:rtl/>
        </w:rPr>
        <w:t xml:space="preserve">ערב בהיתר </w:t>
      </w:r>
      <w:r>
        <w:rPr>
          <w:rFonts w:hint="cs"/>
          <w:rtl/>
        </w:rPr>
        <w:t xml:space="preserve">משובח </w:t>
      </w:r>
      <w:r w:rsidRPr="009760BD">
        <w:rPr>
          <w:rFonts w:hint="cs"/>
          <w:rtl/>
        </w:rPr>
        <w:t>ופגמו</w:t>
      </w:r>
      <w:r>
        <w:rPr>
          <w:rFonts w:hint="cs"/>
          <w:rtl/>
        </w:rPr>
        <w:t xml:space="preserve"> אותו </w:t>
      </w:r>
      <w:r w:rsidRPr="009760BD">
        <w:rPr>
          <w:rFonts w:hint="cs"/>
          <w:rtl/>
        </w:rPr>
        <w:t>מותר,</w:t>
      </w:r>
      <w:r>
        <w:rPr>
          <w:rFonts w:hint="cs"/>
          <w:rtl/>
        </w:rPr>
        <w:t xml:space="preserve"> וביאר </w:t>
      </w:r>
      <w:r w:rsidRPr="006E6DA1">
        <w:rPr>
          <w:rStyle w:val="af8"/>
          <w:rFonts w:hint="cs"/>
          <w:rtl/>
        </w:rPr>
        <w:t>הרשב"א</w:t>
      </w:r>
      <w:r>
        <w:rPr>
          <w:rFonts w:hint="cs"/>
          <w:rtl/>
        </w:rPr>
        <w:t xml:space="preserve"> דכיון שההיתר היה משובח, והאיסור הפכו משבח לפגם הוא מותר, דכ"מ דאסרה תורה היתר שמתערב באיסור, זהו דוקא כשהאיסור לא פגם את ההיתר אבל כל שפגמו אינו אוסר כלל.</w:t>
      </w:r>
    </w:p>
    <w:p w:rsidR="006C2032" w:rsidRPr="003400F3" w:rsidRDefault="006C2032" w:rsidP="006C2032">
      <w:pPr>
        <w:pStyle w:val="a2"/>
        <w:rPr>
          <w:rtl/>
        </w:rPr>
      </w:pPr>
      <w:bookmarkStart w:id="11024" w:name="_Toc20256899"/>
      <w:bookmarkStart w:id="11025" w:name="_Toc20267117"/>
      <w:bookmarkStart w:id="11026" w:name="_Toc20310932"/>
      <w:bookmarkStart w:id="11027" w:name="_Toc20311104"/>
      <w:bookmarkStart w:id="11028" w:name="_Toc20315373"/>
      <w:bookmarkStart w:id="11029" w:name="_Toc20315765"/>
      <w:bookmarkStart w:id="11030" w:name="_Toc20170501"/>
      <w:bookmarkStart w:id="11031" w:name="_Toc20226699"/>
      <w:bookmarkStart w:id="11032" w:name="_Toc20256888"/>
      <w:r>
        <w:rPr>
          <w:rFonts w:hint="cs"/>
          <w:rtl/>
        </w:rPr>
        <w:t>קושית הרא"ה על הרשב"א דלא יתכן שהאיסור עצמו יהיה אסור ותערובתו תהיה מותרת</w:t>
      </w:r>
      <w:bookmarkEnd w:id="11024"/>
      <w:bookmarkEnd w:id="11025"/>
      <w:bookmarkEnd w:id="11026"/>
      <w:bookmarkEnd w:id="11027"/>
      <w:bookmarkEnd w:id="11028"/>
      <w:bookmarkEnd w:id="11029"/>
    </w:p>
    <w:p w:rsidR="006C2032" w:rsidRDefault="006C2032" w:rsidP="009F44AF">
      <w:pPr>
        <w:pStyle w:val="a"/>
        <w:rPr>
          <w:rtl/>
        </w:rPr>
      </w:pPr>
      <w:r>
        <w:rPr>
          <w:rFonts w:hint="cs"/>
          <w:rtl/>
        </w:rPr>
        <w:t xml:space="preserve">והקשה </w:t>
      </w:r>
      <w:r w:rsidRPr="00C17C41">
        <w:rPr>
          <w:rStyle w:val="af8"/>
          <w:rFonts w:hint="cs"/>
          <w:rtl/>
        </w:rPr>
        <w:t>הרא"ה בבד"ה</w:t>
      </w:r>
      <w:r>
        <w:rPr>
          <w:rFonts w:hint="cs"/>
          <w:rtl/>
        </w:rPr>
        <w:t xml:space="preserve"> </w:t>
      </w:r>
      <w:r w:rsidRPr="003400F3">
        <w:rPr>
          <w:rStyle w:val="af6"/>
          <w:rFonts w:eastAsia="Guttman Hodes" w:hint="cs"/>
          <w:rtl/>
        </w:rPr>
        <w:t>(ב"ד ש"א יט: מדה"ס ד"ה כתב החכם)</w:t>
      </w:r>
      <w:r>
        <w:rPr>
          <w:rStyle w:val="af6"/>
          <w:rFonts w:eastAsia="Guttman Hodes" w:hint="cs"/>
          <w:rtl/>
        </w:rPr>
        <w:t xml:space="preserve"> </w:t>
      </w:r>
      <w:r>
        <w:rPr>
          <w:rFonts w:hint="cs"/>
          <w:rtl/>
        </w:rPr>
        <w:t>דלא יתכן שהאיסור עצמו יהיה אסור ולא יאסור את התערובת שהתערב בה, ומה המקור לחלק בין גוף האיסור לבין התערובת שלו.</w:t>
      </w:r>
    </w:p>
    <w:p w:rsidR="006C2032" w:rsidRDefault="006C2032" w:rsidP="006C2032">
      <w:pPr>
        <w:pStyle w:val="a2"/>
        <w:rPr>
          <w:rtl/>
        </w:rPr>
      </w:pPr>
      <w:bookmarkStart w:id="11033" w:name="_Toc20256900"/>
      <w:bookmarkStart w:id="11034" w:name="_Toc20267118"/>
      <w:bookmarkStart w:id="11035" w:name="_Toc20310933"/>
      <w:bookmarkStart w:id="11036" w:name="_Toc20311105"/>
      <w:bookmarkStart w:id="11037" w:name="_Toc20315374"/>
      <w:bookmarkStart w:id="11038" w:name="_Toc20315766"/>
      <w:r>
        <w:rPr>
          <w:rFonts w:hint="cs"/>
          <w:rtl/>
        </w:rPr>
        <w:t>תירוץ הרשב"א דמוכח בגמ' דאף איסור משובח שאסור בפנ"ע מותר בתערובת בנטל"פ</w:t>
      </w:r>
      <w:bookmarkEnd w:id="11033"/>
      <w:bookmarkEnd w:id="11034"/>
      <w:bookmarkEnd w:id="11035"/>
      <w:bookmarkEnd w:id="11036"/>
      <w:bookmarkEnd w:id="11037"/>
      <w:bookmarkEnd w:id="11038"/>
    </w:p>
    <w:p w:rsidR="006C2032" w:rsidRPr="004C7E67" w:rsidRDefault="006C2032" w:rsidP="009F44AF">
      <w:pPr>
        <w:pStyle w:val="a"/>
        <w:rPr>
          <w:rtl/>
        </w:rPr>
      </w:pPr>
      <w:r>
        <w:rPr>
          <w:rFonts w:hint="cs"/>
          <w:rtl/>
        </w:rPr>
        <w:t>ותירץ</w:t>
      </w:r>
      <w:r w:rsidRPr="003D0E35">
        <w:rPr>
          <w:rStyle w:val="af8"/>
          <w:rFonts w:hint="cs"/>
          <w:rtl/>
        </w:rPr>
        <w:t xml:space="preserve"> </w:t>
      </w:r>
      <w:r w:rsidRPr="003400F3">
        <w:rPr>
          <w:rStyle w:val="af8"/>
          <w:rFonts w:hint="cs"/>
          <w:rtl/>
        </w:rPr>
        <w:t xml:space="preserve">הרשב"א </w:t>
      </w:r>
      <w:r w:rsidRPr="00833FA4">
        <w:rPr>
          <w:rStyle w:val="af8"/>
          <w:rFonts w:hint="cs"/>
          <w:rtl/>
        </w:rPr>
        <w:t>במשה"ב</w:t>
      </w:r>
      <w:r>
        <w:rPr>
          <w:rFonts w:hint="cs"/>
          <w:rtl/>
        </w:rPr>
        <w:t xml:space="preserve"> </w:t>
      </w:r>
      <w:r w:rsidRPr="003400F3">
        <w:rPr>
          <w:rStyle w:val="af6"/>
          <w:rFonts w:eastAsia="Guttman Hodes" w:hint="cs"/>
          <w:rtl/>
        </w:rPr>
        <w:t>(ב"ד ש"א יט: מדה"ס)</w:t>
      </w:r>
      <w:r>
        <w:rPr>
          <w:rFonts w:hint="cs"/>
          <w:rtl/>
        </w:rPr>
        <w:t xml:space="preserve"> דודאי שיש חילוק בין גוף האיסור לבין טעמו, דהא חומץ או יין נסך משובח שהם אסורים בפנ"ע, מ"מ הם מותרים כשהתערבו בגרוגרות או בגריסין או בעדשים ופגמום, אעפ"י שהיין והחומץ עצמם לא נפגמו כנבילה שאינה ראויה לגר, ואף הגרוגרות והגריסין והעדשים אינם פגומים לגמרי, והם ראויים לגר, אלא כתב </w:t>
      </w:r>
      <w:r w:rsidRPr="009A4B6E">
        <w:rPr>
          <w:rStyle w:val="af8"/>
          <w:rFonts w:hint="cs"/>
          <w:rtl/>
        </w:rPr>
        <w:t xml:space="preserve">הרשב"א במשה"ב </w:t>
      </w:r>
      <w:r>
        <w:rPr>
          <w:rFonts w:hint="cs"/>
          <w:rtl/>
        </w:rPr>
        <w:t>דמוכח דהאיסור בתערובת, תלוי בנתינת הטעם, וכיון שאין בהם הנאה בטעמם הם מותרים.</w:t>
      </w:r>
    </w:p>
    <w:p w:rsidR="006C2032" w:rsidRDefault="006C2032" w:rsidP="006C2032">
      <w:pPr>
        <w:pStyle w:val="a2"/>
        <w:rPr>
          <w:rtl/>
        </w:rPr>
      </w:pPr>
      <w:bookmarkStart w:id="11039" w:name="_Toc20267119"/>
      <w:bookmarkStart w:id="11040" w:name="_Toc20310934"/>
      <w:bookmarkStart w:id="11041" w:name="_Toc20311106"/>
      <w:bookmarkStart w:id="11042" w:name="_Toc20315375"/>
      <w:bookmarkStart w:id="11043" w:name="_Toc20315767"/>
      <w:r>
        <w:rPr>
          <w:rFonts w:hint="cs"/>
          <w:rtl/>
        </w:rPr>
        <w:t>ביאור הרשב"א בספיקא דרבא בדעת רב</w:t>
      </w:r>
      <w:bookmarkEnd w:id="11030"/>
      <w:bookmarkEnd w:id="11031"/>
      <w:bookmarkEnd w:id="11032"/>
      <w:r>
        <w:rPr>
          <w:rFonts w:hint="cs"/>
          <w:rtl/>
        </w:rPr>
        <w:t xml:space="preserve"> דמספקא ליה אי קיי"ל כרב בעכברא בשיכרא</w:t>
      </w:r>
      <w:bookmarkEnd w:id="11039"/>
      <w:bookmarkEnd w:id="11040"/>
      <w:bookmarkEnd w:id="11041"/>
      <w:bookmarkEnd w:id="11042"/>
      <w:bookmarkEnd w:id="11043"/>
    </w:p>
    <w:p w:rsidR="006C2032" w:rsidRDefault="006C2032" w:rsidP="009F44AF">
      <w:pPr>
        <w:pStyle w:val="a"/>
        <w:rPr>
          <w:rStyle w:val="afa"/>
          <w:rtl/>
        </w:rPr>
      </w:pPr>
      <w:bookmarkStart w:id="11044" w:name="_Ref20262159"/>
      <w:r w:rsidRPr="003975F4">
        <w:rPr>
          <w:rFonts w:hint="cs"/>
          <w:rtl/>
        </w:rPr>
        <w:t>ו</w:t>
      </w:r>
      <w:r>
        <w:rPr>
          <w:rFonts w:hint="cs"/>
          <w:rtl/>
        </w:rPr>
        <w:t xml:space="preserve">בספק של רבא בדברי רב, </w:t>
      </w:r>
      <w:r w:rsidRPr="003975F4">
        <w:rPr>
          <w:rFonts w:hint="cs"/>
          <w:rtl/>
        </w:rPr>
        <w:t xml:space="preserve">כתב </w:t>
      </w:r>
      <w:r w:rsidRPr="00A84C8C">
        <w:rPr>
          <w:rStyle w:val="af8"/>
          <w:rFonts w:hint="cs"/>
          <w:rtl/>
        </w:rPr>
        <w:t>הרשב"א בתוה"ב</w:t>
      </w:r>
      <w:r w:rsidRPr="003975F4">
        <w:rPr>
          <w:rFonts w:hint="cs"/>
          <w:rtl/>
        </w:rPr>
        <w:t xml:space="preserve"> </w:t>
      </w:r>
      <w:r>
        <w:rPr>
          <w:rFonts w:hint="cs"/>
          <w:rtl/>
        </w:rPr>
        <w:t>דלהצד ש</w:t>
      </w:r>
      <w:r w:rsidRPr="003975F4">
        <w:rPr>
          <w:rFonts w:hint="cs"/>
          <w:rtl/>
        </w:rPr>
        <w:t xml:space="preserve">רב אוסר בכל נותן טעם לפגם, ואמר רבא דלא קיי"ל כרב דאוסר, </w:t>
      </w:r>
      <w:r>
        <w:rPr>
          <w:rFonts w:hint="cs"/>
          <w:rtl/>
        </w:rPr>
        <w:t xml:space="preserve">דכוונתו לומר דקיי"ל </w:t>
      </w:r>
      <w:r w:rsidRPr="003975F4">
        <w:rPr>
          <w:rFonts w:hint="cs"/>
          <w:rtl/>
        </w:rPr>
        <w:t xml:space="preserve">כריו"ח ורב כהנא לעיל </w:t>
      </w:r>
      <w:r w:rsidRPr="00515185">
        <w:rPr>
          <w:rStyle w:val="af6"/>
          <w:rFonts w:eastAsia="Guttman Hodes" w:hint="cs"/>
          <w:rtl/>
        </w:rPr>
        <w:t>(סז:)</w:t>
      </w:r>
      <w:r w:rsidRPr="003975F4">
        <w:rPr>
          <w:rFonts w:hint="cs"/>
          <w:rtl/>
        </w:rPr>
        <w:t xml:space="preserve"> </w:t>
      </w:r>
      <w:r>
        <w:rPr>
          <w:rFonts w:hint="cs"/>
          <w:rtl/>
        </w:rPr>
        <w:t xml:space="preserve">שהתירו </w:t>
      </w:r>
      <w:r w:rsidRPr="003975F4">
        <w:rPr>
          <w:rFonts w:hint="cs"/>
          <w:rtl/>
        </w:rPr>
        <w:t xml:space="preserve">נותן טעם לפגם, </w:t>
      </w:r>
      <w:r>
        <w:rPr>
          <w:rFonts w:hint="cs"/>
          <w:rtl/>
        </w:rPr>
        <w:t>ולהצד ד</w:t>
      </w:r>
      <w:r w:rsidRPr="003975F4">
        <w:rPr>
          <w:rFonts w:hint="cs"/>
          <w:rtl/>
        </w:rPr>
        <w:t xml:space="preserve">סבר רב דעכברא בשיכרא משביח, ביאר </w:t>
      </w:r>
      <w:r w:rsidRPr="00A84C8C">
        <w:rPr>
          <w:rStyle w:val="af8"/>
          <w:rFonts w:hint="cs"/>
          <w:rtl/>
        </w:rPr>
        <w:t>הרשב"א בתוה"ב</w:t>
      </w:r>
      <w:r w:rsidRPr="003975F4">
        <w:rPr>
          <w:rFonts w:hint="cs"/>
          <w:rtl/>
        </w:rPr>
        <w:t xml:space="preserve"> דיש דברים שהם עצמם מאוסים אך טבעם שמשביחים בתערובת, </w:t>
      </w:r>
      <w:r>
        <w:rPr>
          <w:rFonts w:hint="cs"/>
          <w:rtl/>
        </w:rPr>
        <w:t>וא"כ</w:t>
      </w:r>
      <w:r w:rsidRPr="003975F4">
        <w:rPr>
          <w:rFonts w:hint="cs"/>
          <w:rtl/>
        </w:rPr>
        <w:t xml:space="preserve"> קיי"ל כרב דעכברא בשיכרא אסור.</w:t>
      </w:r>
      <w:bookmarkEnd w:id="11044"/>
      <w:r>
        <w:rPr>
          <w:rFonts w:hint="cs"/>
          <w:rtl/>
        </w:rPr>
        <w:t xml:space="preserve"> </w:t>
      </w:r>
      <w:r w:rsidRPr="00EC0B77">
        <w:rPr>
          <w:rStyle w:val="afa"/>
          <w:rFonts w:hint="cs"/>
          <w:rtl/>
        </w:rPr>
        <w:t xml:space="preserve">[ודלא </w:t>
      </w:r>
      <w:r w:rsidRPr="00EC0B77">
        <w:rPr>
          <w:rStyle w:val="affa"/>
          <w:rFonts w:hint="cs"/>
          <w:rtl/>
        </w:rPr>
        <w:t>כהרא"ה</w:t>
      </w:r>
      <w:r w:rsidRPr="00EC0B77">
        <w:rPr>
          <w:rStyle w:val="afa"/>
          <w:rFonts w:hint="cs"/>
          <w:rtl/>
        </w:rPr>
        <w:t xml:space="preserve"> </w:t>
      </w:r>
      <w:r w:rsidRPr="00EC0B77">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Ref20263002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עז)</w:t>
      </w:r>
      <w:r>
        <w:rPr>
          <w:rStyle w:val="aff6"/>
          <w:rtl/>
        </w:rPr>
        <w:fldChar w:fldCharType="end"/>
      </w:r>
      <w:r>
        <w:rPr>
          <w:rStyle w:val="aff6"/>
          <w:rFonts w:hint="cs"/>
          <w:rtl/>
        </w:rPr>
        <w:t xml:space="preserve"> </w:t>
      </w:r>
      <w:r w:rsidRPr="00EC0B77">
        <w:rPr>
          <w:rStyle w:val="afa"/>
          <w:rFonts w:hint="cs"/>
          <w:rtl/>
        </w:rPr>
        <w:t xml:space="preserve">דכתב </w:t>
      </w:r>
      <w:r>
        <w:rPr>
          <w:rStyle w:val="afa"/>
          <w:rFonts w:hint="cs"/>
          <w:rtl/>
        </w:rPr>
        <w:t>ד</w:t>
      </w:r>
      <w:r w:rsidRPr="00EC0B77">
        <w:rPr>
          <w:rStyle w:val="afa"/>
          <w:rFonts w:hint="cs"/>
          <w:rtl/>
        </w:rPr>
        <w:t>לב' הצדדים לא קיי"ל כרב].</w:t>
      </w:r>
    </w:p>
    <w:p w:rsidR="006C2032" w:rsidRPr="001C5684" w:rsidRDefault="006C2032" w:rsidP="006C2032">
      <w:pPr>
        <w:pStyle w:val="1"/>
        <w:rPr>
          <w:rtl/>
        </w:rPr>
      </w:pPr>
      <w:bookmarkStart w:id="11045" w:name="_Toc20310935"/>
      <w:bookmarkStart w:id="11046" w:name="_Toc20311107"/>
      <w:bookmarkStart w:id="11047" w:name="_Toc20315376"/>
      <w:bookmarkStart w:id="11048" w:name="_Toc20315768"/>
      <w:r>
        <w:rPr>
          <w:rFonts w:hint="cs"/>
          <w:rtl/>
        </w:rPr>
        <w:t>דברי הרשב"א דאף בנימוח האיסור ופגם את הההיתר מותר</w:t>
      </w:r>
      <w:bookmarkEnd w:id="11045"/>
      <w:bookmarkEnd w:id="11046"/>
      <w:bookmarkEnd w:id="11047"/>
      <w:bookmarkEnd w:id="11048"/>
    </w:p>
    <w:p w:rsidR="006C2032" w:rsidRDefault="006C2032" w:rsidP="006C2032">
      <w:pPr>
        <w:pStyle w:val="a2"/>
        <w:rPr>
          <w:rtl/>
        </w:rPr>
      </w:pPr>
      <w:bookmarkStart w:id="11049" w:name="_Toc20170502"/>
      <w:bookmarkStart w:id="11050" w:name="_Toc20226700"/>
      <w:bookmarkStart w:id="11051" w:name="_Toc20256889"/>
      <w:bookmarkStart w:id="11052" w:name="_Toc20267120"/>
      <w:bookmarkStart w:id="11053" w:name="_Toc20310936"/>
      <w:bookmarkStart w:id="11054" w:name="_Toc20311108"/>
      <w:bookmarkStart w:id="11055" w:name="_Toc20315377"/>
      <w:bookmarkStart w:id="11056" w:name="_Toc20315769"/>
      <w:r>
        <w:rPr>
          <w:rFonts w:hint="cs"/>
          <w:rtl/>
        </w:rPr>
        <w:t>דברי הרשב"א דקיי"ל דנטל"פ מותר באיסור מאוס אף בנימוח גוף האיסור ורק במשביח אוסר</w:t>
      </w:r>
      <w:bookmarkEnd w:id="11049"/>
      <w:bookmarkEnd w:id="11050"/>
      <w:bookmarkEnd w:id="11051"/>
      <w:bookmarkEnd w:id="11052"/>
      <w:bookmarkEnd w:id="11053"/>
      <w:bookmarkEnd w:id="11054"/>
      <w:bookmarkEnd w:id="11055"/>
      <w:bookmarkEnd w:id="11056"/>
    </w:p>
    <w:p w:rsidR="006C2032" w:rsidRPr="001F0E54" w:rsidRDefault="006C2032" w:rsidP="009F44AF">
      <w:pPr>
        <w:pStyle w:val="a"/>
        <w:rPr>
          <w:rtl/>
        </w:rPr>
      </w:pPr>
      <w:bookmarkStart w:id="11057" w:name="_Ref20300977"/>
      <w:r>
        <w:rPr>
          <w:rFonts w:hint="cs"/>
          <w:rtl/>
        </w:rPr>
        <w:t xml:space="preserve">וכתב </w:t>
      </w:r>
      <w:r w:rsidRPr="00A84C8C">
        <w:rPr>
          <w:rStyle w:val="af8"/>
          <w:rFonts w:hint="cs"/>
          <w:rtl/>
        </w:rPr>
        <w:t>הרשב"א בתוה"ב</w:t>
      </w:r>
      <w:r>
        <w:rPr>
          <w:rFonts w:hint="cs"/>
          <w:rtl/>
        </w:rPr>
        <w:t xml:space="preserve"> </w:t>
      </w:r>
      <w:r w:rsidRPr="00515185">
        <w:rPr>
          <w:rStyle w:val="af6"/>
          <w:rFonts w:eastAsia="Guttman Hodes" w:hint="cs"/>
          <w:rtl/>
        </w:rPr>
        <w:t>(ב"ד ש"א יט: מדה"ס ד"ה ובפלוגתא)</w:t>
      </w:r>
      <w:r>
        <w:rPr>
          <w:rFonts w:hint="cs"/>
          <w:rtl/>
        </w:rPr>
        <w:t xml:space="preserve"> דקיי"ל כרבא ודלא כרב ששת, ואף דברים שהם פגומים ומאוסים, וחידשה בהם תורה איסור אכילה, מ"מ אין דין התערובת כדין האיסור, וכל שפגם את התערובת אינו אוסר אותה, ואף אם האיסור עצמו נימוח בתוך התערובת ופגמה מותר, אא"כ הוא משביח את התערובת כצד בספק של רבא בעכברא בשיכרא, שאף שהעכבר עצמו מאוס, מ"מ הוא משביח את השיכר.</w:t>
      </w:r>
      <w:bookmarkEnd w:id="11057"/>
    </w:p>
    <w:p w:rsidR="006C2032" w:rsidRDefault="006C2032" w:rsidP="006C2032">
      <w:pPr>
        <w:pStyle w:val="1"/>
        <w:rPr>
          <w:rtl/>
        </w:rPr>
      </w:pPr>
      <w:bookmarkStart w:id="11058" w:name="_Toc20168398"/>
      <w:bookmarkStart w:id="11059" w:name="_Toc20170503"/>
      <w:bookmarkStart w:id="11060" w:name="_Toc20226701"/>
      <w:bookmarkStart w:id="11061" w:name="_Toc20256890"/>
      <w:bookmarkStart w:id="11062" w:name="_Toc20267121"/>
      <w:r w:rsidRPr="005B3EB5">
        <w:rPr>
          <w:rtl/>
        </w:rPr>
        <w:t>ביאור הרשב"א דבמאוס בתערובת האיסור תלוי בדין הטעם</w:t>
      </w:r>
    </w:p>
    <w:p w:rsidR="006C2032" w:rsidRPr="00F27C29" w:rsidRDefault="006C2032" w:rsidP="006C2032">
      <w:pPr>
        <w:pStyle w:val="a2"/>
        <w:rPr>
          <w:rtl/>
        </w:rPr>
      </w:pPr>
      <w:bookmarkStart w:id="11063" w:name="_Toc19995910"/>
      <w:bookmarkStart w:id="11064" w:name="_Toc20168399"/>
      <w:bookmarkStart w:id="11065" w:name="_Toc20170504"/>
      <w:bookmarkStart w:id="11066" w:name="_Toc20226702"/>
      <w:bookmarkStart w:id="11067" w:name="_Toc20256891"/>
      <w:bookmarkStart w:id="11068" w:name="_Toc20267122"/>
      <w:bookmarkStart w:id="11069" w:name="_Toc20310938"/>
      <w:bookmarkStart w:id="11070" w:name="_Toc20311110"/>
      <w:bookmarkStart w:id="11071" w:name="_Toc20315379"/>
      <w:bookmarkStart w:id="11072" w:name="_Toc20315771"/>
      <w:bookmarkEnd w:id="10961"/>
      <w:bookmarkEnd w:id="11058"/>
      <w:bookmarkEnd w:id="11059"/>
      <w:bookmarkEnd w:id="11060"/>
      <w:bookmarkEnd w:id="11061"/>
      <w:bookmarkEnd w:id="11062"/>
      <w:r w:rsidRPr="008A4648">
        <w:rPr>
          <w:rFonts w:hint="cs"/>
          <w:rtl/>
        </w:rPr>
        <w:t xml:space="preserve">קושית הרשב"א </w:t>
      </w:r>
      <w:r>
        <w:rPr>
          <w:rFonts w:hint="cs"/>
          <w:rtl/>
        </w:rPr>
        <w:t xml:space="preserve">אמאי </w:t>
      </w:r>
      <w:r w:rsidRPr="008A4648">
        <w:rPr>
          <w:rFonts w:hint="cs"/>
          <w:rtl/>
        </w:rPr>
        <w:t xml:space="preserve">מאוס מעיקרו מותר </w:t>
      </w:r>
      <w:bookmarkEnd w:id="11063"/>
      <w:bookmarkEnd w:id="11064"/>
      <w:bookmarkEnd w:id="11065"/>
      <w:bookmarkEnd w:id="11066"/>
      <w:bookmarkEnd w:id="11067"/>
      <w:bookmarkEnd w:id="11068"/>
      <w:r>
        <w:rPr>
          <w:rFonts w:hint="cs"/>
          <w:rtl/>
        </w:rPr>
        <w:t>בנטל"פ</w:t>
      </w:r>
      <w:r w:rsidRPr="00B608F5">
        <w:rPr>
          <w:rFonts w:hint="cs"/>
          <w:rtl/>
        </w:rPr>
        <w:t xml:space="preserve"> </w:t>
      </w:r>
      <w:r>
        <w:rPr>
          <w:rFonts w:hint="cs"/>
          <w:rtl/>
        </w:rPr>
        <w:t>כשיש כזית בכא"פ הא לא השתנה לפגם</w:t>
      </w:r>
      <w:bookmarkEnd w:id="11069"/>
      <w:bookmarkEnd w:id="11070"/>
      <w:bookmarkEnd w:id="11071"/>
      <w:bookmarkEnd w:id="11072"/>
      <w:r>
        <w:rPr>
          <w:rFonts w:hint="cs"/>
          <w:rtl/>
        </w:rPr>
        <w:t xml:space="preserve"> </w:t>
      </w:r>
    </w:p>
    <w:p w:rsidR="006C2032" w:rsidRPr="00B608F5" w:rsidRDefault="006C2032" w:rsidP="009F44AF">
      <w:pPr>
        <w:pStyle w:val="a"/>
        <w:rPr>
          <w:sz w:val="12"/>
          <w:szCs w:val="14"/>
          <w:rtl/>
        </w:rPr>
      </w:pPr>
      <w:r>
        <w:rPr>
          <w:rFonts w:hint="cs"/>
          <w:rtl/>
        </w:rPr>
        <w:t xml:space="preserve">אך </w:t>
      </w:r>
      <w:r w:rsidRPr="00D7324E">
        <w:rPr>
          <w:rFonts w:hint="cs"/>
          <w:rtl/>
        </w:rPr>
        <w:t xml:space="preserve">הקשה </w:t>
      </w:r>
      <w:r w:rsidRPr="00D7324E">
        <w:rPr>
          <w:rStyle w:val="af8"/>
          <w:rFonts w:hint="cs"/>
          <w:rtl/>
        </w:rPr>
        <w:t xml:space="preserve">הרשב"א בתוה"ב </w:t>
      </w:r>
      <w:r w:rsidRPr="00D7324E">
        <w:rPr>
          <w:rStyle w:val="af6"/>
          <w:rFonts w:eastAsia="Guttman Hodes" w:hint="cs"/>
          <w:rtl/>
        </w:rPr>
        <w:t>(ב"ד ש"א כ: מדה"ס</w:t>
      </w:r>
      <w:r>
        <w:rPr>
          <w:rStyle w:val="af6"/>
          <w:rFonts w:eastAsia="Guttman Hodes" w:hint="cs"/>
          <w:rtl/>
        </w:rPr>
        <w:t xml:space="preserve"> ד"ה ואני תמה</w:t>
      </w:r>
      <w:r w:rsidRPr="00D7324E">
        <w:rPr>
          <w:rStyle w:val="af6"/>
          <w:rFonts w:eastAsia="Guttman Hodes" w:hint="cs"/>
          <w:rtl/>
        </w:rPr>
        <w:t>)</w:t>
      </w:r>
      <w:r w:rsidRPr="00D7324E">
        <w:rPr>
          <w:rFonts w:hint="cs"/>
          <w:rtl/>
        </w:rPr>
        <w:t xml:space="preserve"> דהאי</w:t>
      </w:r>
      <w:r>
        <w:rPr>
          <w:rFonts w:hint="cs"/>
          <w:rtl/>
        </w:rPr>
        <w:t xml:space="preserve">ך אפשר להתיר </w:t>
      </w:r>
      <w:r w:rsidRPr="00D7324E">
        <w:rPr>
          <w:rFonts w:hint="cs"/>
          <w:rtl/>
        </w:rPr>
        <w:t>נותן טעם לפגם</w:t>
      </w:r>
      <w:r>
        <w:rPr>
          <w:rFonts w:hint="cs"/>
          <w:rtl/>
        </w:rPr>
        <w:t xml:space="preserve"> באיסור מאוס מעיקרו, </w:t>
      </w:r>
      <w:r w:rsidRPr="00D7324E">
        <w:rPr>
          <w:rFonts w:hint="cs"/>
          <w:rtl/>
        </w:rPr>
        <w:t xml:space="preserve">שהתערב בתערובת ופגם אותה, </w:t>
      </w:r>
      <w:r>
        <w:rPr>
          <w:rFonts w:hint="cs"/>
          <w:rtl/>
        </w:rPr>
        <w:t xml:space="preserve">דהא בשלמא בשאר איסורין שהיו משובחים בתחילתם ואח"כ נפגמו שייך להתירם, בין אם נפגמו בפנ"ע, ובין אם נפגמו ע"י שהתערבו בהיתר, דהא </w:t>
      </w:r>
      <w:r w:rsidRPr="00B608F5">
        <w:rPr>
          <w:rFonts w:hint="cs"/>
          <w:rtl/>
        </w:rPr>
        <w:t>השתנו משבח לפגם, אבל באיסור מאוס מעיקרו שהוא לא השתנה משבח לפגם וא"כ אם יש בתערובת כזית בכדי אכילת פרס מהאיסור, א"כ הוא טועם את האיסור בעצמו, ואסרתו תורה אף כשהוא מאוס ופגום, והיאך אפשר להתירו כשהתערב בתערובת ופגם אותה</w:t>
      </w:r>
      <w:r>
        <w:rPr>
          <w:rFonts w:hint="cs"/>
          <w:rtl/>
        </w:rPr>
        <w:t xml:space="preserve">, ועי' במה שביאר </w:t>
      </w:r>
      <w:r w:rsidRPr="00305823">
        <w:rPr>
          <w:rStyle w:val="af8"/>
          <w:rFonts w:hint="cs"/>
          <w:rtl/>
        </w:rPr>
        <w:t>היד יהודה</w:t>
      </w:r>
      <w:r>
        <w:rPr>
          <w:rFonts w:hint="cs"/>
          <w:rtl/>
        </w:rPr>
        <w:t xml:space="preserve"> </w:t>
      </w:r>
      <w:r w:rsidRPr="00FF28CB">
        <w:rPr>
          <w:rStyle w:val="af6"/>
          <w:rFonts w:eastAsia="Guttman Hodes" w:hint="cs"/>
          <w:rtl/>
        </w:rPr>
        <w:t xml:space="preserve">(עי' אות </w:t>
      </w:r>
      <w:r w:rsidRPr="00FF28CB">
        <w:rPr>
          <w:rStyle w:val="af6"/>
          <w:rFonts w:eastAsia="Guttman Hodes"/>
          <w:rtl/>
        </w:rPr>
        <w:fldChar w:fldCharType="begin"/>
      </w:r>
      <w:r w:rsidRPr="00FF28CB">
        <w:rPr>
          <w:rStyle w:val="af6"/>
          <w:rFonts w:eastAsia="Guttman Hodes"/>
          <w:rtl/>
        </w:rPr>
        <w:instrText xml:space="preserve"> </w:instrText>
      </w:r>
      <w:r w:rsidRPr="00FF28CB">
        <w:rPr>
          <w:rStyle w:val="af6"/>
          <w:rFonts w:eastAsia="Guttman Hodes" w:hint="cs"/>
        </w:rPr>
        <w:instrText>REF</w:instrText>
      </w:r>
      <w:r w:rsidRPr="00FF28CB">
        <w:rPr>
          <w:rStyle w:val="af6"/>
          <w:rFonts w:eastAsia="Guttman Hodes" w:hint="cs"/>
          <w:rtl/>
        </w:rPr>
        <w:instrText xml:space="preserve"> _</w:instrText>
      </w:r>
      <w:r w:rsidRPr="00FF28CB">
        <w:rPr>
          <w:rStyle w:val="af6"/>
          <w:rFonts w:eastAsia="Guttman Hodes" w:hint="cs"/>
        </w:rPr>
        <w:instrText>Ref20294051 \r \h</w:instrText>
      </w:r>
      <w:r w:rsidRPr="00FF28CB">
        <w:rPr>
          <w:rStyle w:val="af6"/>
          <w:rFonts w:eastAsia="Guttman Hodes"/>
          <w:rtl/>
        </w:rPr>
        <w:instrText xml:space="preserve"> </w:instrText>
      </w:r>
      <w:r w:rsidRPr="00FF28CB">
        <w:rPr>
          <w:rStyle w:val="af6"/>
          <w:rFonts w:eastAsia="Guttman Hodes"/>
          <w:rtl/>
        </w:rPr>
      </w:r>
      <w:r w:rsidRPr="00FF28CB">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FF28CB">
        <w:rPr>
          <w:rStyle w:val="af6"/>
          <w:rFonts w:eastAsia="Guttman Hodes"/>
          <w:rtl/>
        </w:rPr>
        <w:fldChar w:fldCharType="end"/>
      </w:r>
      <w:r>
        <w:rPr>
          <w:rFonts w:hint="cs"/>
          <w:rtl/>
        </w:rPr>
        <w:t xml:space="preserve"> בקושית </w:t>
      </w:r>
      <w:r w:rsidRPr="00305823">
        <w:rPr>
          <w:rStyle w:val="af8"/>
          <w:rFonts w:hint="cs"/>
          <w:rtl/>
        </w:rPr>
        <w:t>הרשב"א</w:t>
      </w:r>
      <w:r w:rsidRPr="00B608F5">
        <w:rPr>
          <w:rFonts w:hint="cs"/>
          <w:rtl/>
        </w:rPr>
        <w:t>.</w:t>
      </w:r>
    </w:p>
    <w:p w:rsidR="006C2032" w:rsidRPr="00B608F5" w:rsidRDefault="006C2032" w:rsidP="006C2032">
      <w:pPr>
        <w:pStyle w:val="a2"/>
        <w:rPr>
          <w:rtl/>
        </w:rPr>
      </w:pPr>
      <w:bookmarkStart w:id="11073" w:name="_Toc19995911"/>
      <w:bookmarkStart w:id="11074" w:name="_Toc20168400"/>
      <w:bookmarkStart w:id="11075" w:name="_Toc20170505"/>
      <w:bookmarkStart w:id="11076" w:name="_Toc20226703"/>
      <w:bookmarkStart w:id="11077" w:name="_Toc20256892"/>
      <w:bookmarkStart w:id="11078" w:name="_Toc20267123"/>
      <w:bookmarkStart w:id="11079" w:name="_Toc20310939"/>
      <w:bookmarkStart w:id="11080" w:name="_Toc20311111"/>
      <w:bookmarkStart w:id="11081" w:name="_Toc20315380"/>
      <w:bookmarkStart w:id="11082" w:name="_Toc20315772"/>
      <w:r w:rsidRPr="00B608F5">
        <w:rPr>
          <w:rFonts w:hint="cs"/>
          <w:rtl/>
        </w:rPr>
        <w:t>ביאור הרשב"א דאיסור מאוס רק בפנ"ע אסור כשהוא פגום אבל בתערובת איסורו תלוי בטעמו</w:t>
      </w:r>
      <w:bookmarkEnd w:id="11073"/>
      <w:bookmarkEnd w:id="11074"/>
      <w:bookmarkEnd w:id="11075"/>
      <w:bookmarkEnd w:id="11076"/>
      <w:bookmarkEnd w:id="11077"/>
      <w:bookmarkEnd w:id="11078"/>
      <w:bookmarkEnd w:id="11079"/>
      <w:bookmarkEnd w:id="11080"/>
      <w:bookmarkEnd w:id="11081"/>
      <w:bookmarkEnd w:id="11082"/>
    </w:p>
    <w:p w:rsidR="006C2032" w:rsidRDefault="006C2032" w:rsidP="009F44AF">
      <w:pPr>
        <w:pStyle w:val="a"/>
        <w:rPr>
          <w:rtl/>
        </w:rPr>
      </w:pPr>
      <w:bookmarkStart w:id="11083" w:name="_Toc19995912"/>
      <w:r w:rsidRPr="00B608F5">
        <w:rPr>
          <w:rFonts w:hint="cs"/>
          <w:rtl/>
        </w:rPr>
        <w:t xml:space="preserve">ותירץ </w:t>
      </w:r>
      <w:r w:rsidRPr="00B608F5">
        <w:rPr>
          <w:rStyle w:val="af8"/>
          <w:rFonts w:hint="cs"/>
          <w:rtl/>
        </w:rPr>
        <w:t xml:space="preserve">הרשב"א בתוה"ב </w:t>
      </w:r>
      <w:r w:rsidRPr="00B608F5">
        <w:rPr>
          <w:rFonts w:hint="cs"/>
          <w:rtl/>
        </w:rPr>
        <w:t xml:space="preserve">דהא דאסרה תורה איסור שמאוס מעיקרו, היינו דוקא כשאוכלו בפנ"ע, אבל כשהאיסור התערב בהיתר אזלינן בתר נתינת טעם, ואיסורו אינו מחמת עצמו, אלא ע"י הטעם שנותן בתערובת, ולכן כל שנתן בתערובת טעם פגום, לא </w:t>
      </w:r>
      <w:r w:rsidRPr="00B608F5">
        <w:rPr>
          <w:rFonts w:hint="cs"/>
          <w:rtl/>
        </w:rPr>
        <w:t>חשיב נותן טעם, אלא הוא פוגמה ומותר</w:t>
      </w:r>
      <w:r>
        <w:rPr>
          <w:rFonts w:hint="cs"/>
          <w:rtl/>
        </w:rPr>
        <w:t xml:space="preserve">, אף שיש איסור בכזית בכדי אכילת פרס, ועי' במה שביאר </w:t>
      </w:r>
      <w:r w:rsidRPr="00305823">
        <w:rPr>
          <w:rStyle w:val="af8"/>
          <w:rFonts w:hint="cs"/>
          <w:rtl/>
        </w:rPr>
        <w:t>היד יהודה</w:t>
      </w:r>
      <w:r>
        <w:rPr>
          <w:rFonts w:hint="cs"/>
          <w:rtl/>
        </w:rPr>
        <w:t xml:space="preserve"> </w:t>
      </w:r>
      <w:r w:rsidRPr="00FF28CB">
        <w:rPr>
          <w:rStyle w:val="af6"/>
          <w:rFonts w:eastAsia="Guttman Hodes" w:hint="cs"/>
          <w:rtl/>
        </w:rPr>
        <w:t xml:space="preserve">(עי' אות </w:t>
      </w:r>
      <w:r w:rsidRPr="00FF28CB">
        <w:rPr>
          <w:rStyle w:val="af6"/>
          <w:rFonts w:eastAsia="Guttman Hodes"/>
          <w:rtl/>
        </w:rPr>
        <w:fldChar w:fldCharType="begin"/>
      </w:r>
      <w:r w:rsidRPr="00FF28CB">
        <w:rPr>
          <w:rStyle w:val="af6"/>
          <w:rFonts w:eastAsia="Guttman Hodes"/>
          <w:rtl/>
        </w:rPr>
        <w:instrText xml:space="preserve"> </w:instrText>
      </w:r>
      <w:r w:rsidRPr="00FF28CB">
        <w:rPr>
          <w:rStyle w:val="af6"/>
          <w:rFonts w:eastAsia="Guttman Hodes" w:hint="cs"/>
        </w:rPr>
        <w:instrText>REF</w:instrText>
      </w:r>
      <w:r w:rsidRPr="00FF28CB">
        <w:rPr>
          <w:rStyle w:val="af6"/>
          <w:rFonts w:eastAsia="Guttman Hodes" w:hint="cs"/>
          <w:rtl/>
        </w:rPr>
        <w:instrText xml:space="preserve"> _</w:instrText>
      </w:r>
      <w:r w:rsidRPr="00FF28CB">
        <w:rPr>
          <w:rStyle w:val="af6"/>
          <w:rFonts w:eastAsia="Guttman Hodes" w:hint="cs"/>
        </w:rPr>
        <w:instrText>Ref20294073 \r \h</w:instrText>
      </w:r>
      <w:r w:rsidRPr="00FF28CB">
        <w:rPr>
          <w:rStyle w:val="af6"/>
          <w:rFonts w:eastAsia="Guttman Hodes"/>
          <w:rtl/>
        </w:rPr>
        <w:instrText xml:space="preserve"> </w:instrText>
      </w:r>
      <w:r w:rsidRPr="00FF28CB">
        <w:rPr>
          <w:rStyle w:val="af6"/>
          <w:rFonts w:eastAsia="Guttman Hodes"/>
          <w:rtl/>
        </w:rPr>
      </w:r>
      <w:r w:rsidRPr="00FF28CB">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sidRPr="00FF28CB">
        <w:rPr>
          <w:rStyle w:val="af6"/>
          <w:rFonts w:eastAsia="Guttman Hodes"/>
          <w:rtl/>
        </w:rPr>
        <w:fldChar w:fldCharType="end"/>
      </w:r>
      <w:r>
        <w:rPr>
          <w:rFonts w:hint="cs"/>
          <w:rtl/>
        </w:rPr>
        <w:t xml:space="preserve"> בתירוץ </w:t>
      </w:r>
      <w:r w:rsidRPr="00305823">
        <w:rPr>
          <w:rStyle w:val="af8"/>
          <w:rFonts w:hint="cs"/>
          <w:rtl/>
        </w:rPr>
        <w:t>הרשב"א</w:t>
      </w:r>
      <w:r w:rsidRPr="00B608F5">
        <w:rPr>
          <w:rFonts w:hint="cs"/>
          <w:rtl/>
        </w:rPr>
        <w:t>.</w:t>
      </w:r>
    </w:p>
    <w:p w:rsidR="006C2032" w:rsidRPr="00B608F5" w:rsidRDefault="006C2032" w:rsidP="006C2032">
      <w:pPr>
        <w:pStyle w:val="a2"/>
      </w:pPr>
      <w:bookmarkStart w:id="11084" w:name="_Toc20310940"/>
      <w:bookmarkStart w:id="11085" w:name="_Toc20311112"/>
      <w:bookmarkStart w:id="11086" w:name="_Toc20315381"/>
      <w:bookmarkStart w:id="11087" w:name="_Toc20315773"/>
      <w:r w:rsidRPr="00B608F5">
        <w:rPr>
          <w:rFonts w:hint="cs"/>
          <w:rtl/>
        </w:rPr>
        <w:t xml:space="preserve">דברי הרשב"א </w:t>
      </w:r>
      <w:r>
        <w:rPr>
          <w:rFonts w:hint="cs"/>
          <w:rtl/>
        </w:rPr>
        <w:t>דכן מצינו בשאר איסורים בפגום במקצת וראוי לגר דרק הטעם אינו אסור</w:t>
      </w:r>
      <w:bookmarkEnd w:id="11084"/>
      <w:bookmarkEnd w:id="11085"/>
      <w:bookmarkEnd w:id="11086"/>
      <w:bookmarkEnd w:id="11087"/>
    </w:p>
    <w:p w:rsidR="006C2032" w:rsidRPr="00B608F5" w:rsidRDefault="006C2032" w:rsidP="009F44AF">
      <w:pPr>
        <w:pStyle w:val="a"/>
        <w:rPr>
          <w:sz w:val="10"/>
          <w:szCs w:val="14"/>
          <w:rtl/>
        </w:rPr>
      </w:pPr>
      <w:r w:rsidRPr="00B608F5">
        <w:rPr>
          <w:rFonts w:hint="cs"/>
          <w:rtl/>
        </w:rPr>
        <w:t xml:space="preserve">וציין </w:t>
      </w:r>
      <w:r w:rsidRPr="00B608F5">
        <w:rPr>
          <w:rStyle w:val="af8"/>
          <w:rFonts w:hint="cs"/>
          <w:rtl/>
        </w:rPr>
        <w:t>הרשב"א בתוה"ב</w:t>
      </w:r>
      <w:r w:rsidRPr="00B608F5">
        <w:rPr>
          <w:rFonts w:hint="cs"/>
          <w:rtl/>
        </w:rPr>
        <w:t xml:space="preserve"> למה שביאר </w:t>
      </w:r>
      <w:r w:rsidRPr="00B608F5">
        <w:rPr>
          <w:rStyle w:val="af6"/>
          <w:rFonts w:eastAsia="Guttman Hodes" w:hint="cs"/>
          <w:rtl/>
        </w:rPr>
        <w:t xml:space="preserve">(ב"ד ש"א יט. מדה"ס ד"ה פגם, הובא לעיל סימן י"ב אות י"ג) </w:t>
      </w:r>
      <w:r w:rsidRPr="00B608F5">
        <w:rPr>
          <w:rFonts w:hint="cs"/>
          <w:rtl/>
        </w:rPr>
        <w:t xml:space="preserve">דההיתר נותן טעם לפגם בשאר האיסורין, הוא אף בפגום במקצת, אעפ"י שכשהאיסור בפנ"ע הוא אסור כל שהוא ראוי לגר, </w:t>
      </w:r>
      <w:r>
        <w:rPr>
          <w:rFonts w:hint="cs"/>
          <w:rtl/>
        </w:rPr>
        <w:t>וה"ה באיסור מאוס, דאף שהאיסור עצמו אסור, מ"מ הטעם הפגום שלו אינו אסור</w:t>
      </w:r>
      <w:r w:rsidRPr="00B608F5">
        <w:rPr>
          <w:rFonts w:hint="cs"/>
          <w:rtl/>
        </w:rPr>
        <w:t>.</w:t>
      </w:r>
    </w:p>
    <w:p w:rsidR="006C2032" w:rsidRDefault="006C2032" w:rsidP="006C2032">
      <w:pPr>
        <w:pStyle w:val="1"/>
        <w:rPr>
          <w:rtl/>
        </w:rPr>
      </w:pPr>
      <w:bookmarkStart w:id="11088" w:name="_Toc20310941"/>
      <w:bookmarkStart w:id="11089" w:name="_Toc20311113"/>
      <w:bookmarkStart w:id="11090" w:name="_Toc20315382"/>
      <w:bookmarkStart w:id="11091" w:name="_Toc20315774"/>
      <w:r>
        <w:rPr>
          <w:rFonts w:hint="cs"/>
          <w:rtl/>
        </w:rPr>
        <w:t>ביאור הרשב"א ד</w:t>
      </w:r>
      <w:bookmarkEnd w:id="11088"/>
      <w:bookmarkEnd w:id="11089"/>
      <w:bookmarkEnd w:id="11090"/>
      <w:bookmarkEnd w:id="11091"/>
      <w:r>
        <w:rPr>
          <w:rFonts w:hint="cs"/>
          <w:rtl/>
        </w:rPr>
        <w:t>במאוס</w:t>
      </w:r>
      <w:r w:rsidRPr="00774260">
        <w:rPr>
          <w:rFonts w:hint="cs"/>
          <w:rtl/>
        </w:rPr>
        <w:t xml:space="preserve"> </w:t>
      </w:r>
      <w:r>
        <w:rPr>
          <w:rFonts w:hint="cs"/>
          <w:rtl/>
        </w:rPr>
        <w:t>אף שהטעם ניכר מהני ביטול ברוב</w:t>
      </w:r>
    </w:p>
    <w:p w:rsidR="006C2032" w:rsidRPr="00B608F5" w:rsidRDefault="006C2032" w:rsidP="006C2032">
      <w:pPr>
        <w:pStyle w:val="a2"/>
        <w:rPr>
          <w:rtl/>
        </w:rPr>
      </w:pPr>
      <w:bookmarkStart w:id="11092" w:name="_Toc20310942"/>
      <w:bookmarkStart w:id="11093" w:name="_Toc20311114"/>
      <w:bookmarkStart w:id="11094" w:name="_Toc20315383"/>
      <w:bookmarkStart w:id="11095" w:name="_Toc20315775"/>
      <w:r>
        <w:rPr>
          <w:rFonts w:hint="cs"/>
          <w:rtl/>
        </w:rPr>
        <w:t>קושית הרשב"א דכל שאין שישים כנגד האיסור המאוס חשיב בעין והיאך התערובת מתירתו</w:t>
      </w:r>
      <w:bookmarkEnd w:id="11092"/>
      <w:bookmarkEnd w:id="11093"/>
      <w:bookmarkEnd w:id="11094"/>
      <w:bookmarkEnd w:id="11095"/>
    </w:p>
    <w:p w:rsidR="006C2032" w:rsidRPr="00B608F5" w:rsidRDefault="006C2032" w:rsidP="009F44AF">
      <w:pPr>
        <w:pStyle w:val="a"/>
        <w:rPr>
          <w:rtl/>
        </w:rPr>
      </w:pPr>
      <w:bookmarkStart w:id="11096" w:name="_Ref20068557"/>
      <w:r w:rsidRPr="00B608F5">
        <w:rPr>
          <w:rFonts w:hint="cs"/>
          <w:rtl/>
        </w:rPr>
        <w:t xml:space="preserve">ועוד הקשה </w:t>
      </w:r>
      <w:r w:rsidRPr="00B608F5">
        <w:rPr>
          <w:rStyle w:val="af8"/>
          <w:rFonts w:hint="cs"/>
          <w:rtl/>
        </w:rPr>
        <w:t>הרשב"א בתוה"ב</w:t>
      </w:r>
      <w:r w:rsidRPr="00B608F5">
        <w:rPr>
          <w:rFonts w:hint="cs"/>
          <w:rtl/>
        </w:rPr>
        <w:t xml:space="preserve"> </w:t>
      </w:r>
      <w:r w:rsidRPr="00B608F5">
        <w:rPr>
          <w:rtl/>
        </w:rPr>
        <w:t xml:space="preserve">דהיאך אפשר להתיר נותן טעם לפגם באיסור מאוס, כשאין שישים כנגדו, </w:t>
      </w:r>
      <w:r w:rsidRPr="00B608F5">
        <w:rPr>
          <w:rStyle w:val="afa"/>
          <w:rFonts w:hint="cs"/>
          <w:rtl/>
        </w:rPr>
        <w:t xml:space="preserve">[וכ"כ </w:t>
      </w:r>
      <w:r w:rsidRPr="00B608F5">
        <w:rPr>
          <w:rStyle w:val="affa"/>
          <w:rFonts w:hint="cs"/>
          <w:rtl/>
        </w:rPr>
        <w:t>הריטב"א</w:t>
      </w:r>
      <w:r w:rsidRPr="00B608F5">
        <w:rPr>
          <w:rStyle w:val="afa"/>
          <w:rFonts w:hint="cs"/>
          <w:rtl/>
        </w:rPr>
        <w:t xml:space="preserve"> </w:t>
      </w:r>
      <w:r w:rsidRPr="00B608F5">
        <w:rPr>
          <w:rStyle w:val="aff6"/>
          <w:rFonts w:hint="cs"/>
          <w:rtl/>
        </w:rPr>
        <w:t xml:space="preserve">(עי' אות </w:t>
      </w:r>
      <w:r w:rsidRPr="00B608F5">
        <w:rPr>
          <w:rStyle w:val="aff6"/>
          <w:rtl/>
        </w:rPr>
        <w:fldChar w:fldCharType="begin"/>
      </w:r>
      <w:r w:rsidRPr="00B608F5">
        <w:rPr>
          <w:rStyle w:val="aff6"/>
          <w:rtl/>
        </w:rPr>
        <w:instrText xml:space="preserve"> </w:instrText>
      </w:r>
      <w:r w:rsidRPr="00B608F5">
        <w:rPr>
          <w:rStyle w:val="aff6"/>
          <w:rFonts w:hint="cs"/>
        </w:rPr>
        <w:instrText>REF</w:instrText>
      </w:r>
      <w:r w:rsidRPr="00B608F5">
        <w:rPr>
          <w:rStyle w:val="aff6"/>
          <w:rFonts w:hint="cs"/>
          <w:rtl/>
        </w:rPr>
        <w:instrText xml:space="preserve"> _</w:instrText>
      </w:r>
      <w:r w:rsidRPr="00B608F5">
        <w:rPr>
          <w:rStyle w:val="aff6"/>
          <w:rFonts w:hint="cs"/>
        </w:rPr>
        <w:instrText>Ref20265593 \r \h</w:instrText>
      </w:r>
      <w:r w:rsidRPr="00B608F5">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B608F5">
        <w:rPr>
          <w:rStyle w:val="aff6"/>
          <w:rtl/>
        </w:rPr>
      </w:r>
      <w:r w:rsidRPr="00B608F5">
        <w:rPr>
          <w:rStyle w:val="aff6"/>
          <w:rtl/>
        </w:rPr>
        <w:fldChar w:fldCharType="separate"/>
      </w:r>
      <w:r w:rsidR="004D1C5B">
        <w:rPr>
          <w:rStyle w:val="aff6"/>
          <w:cs/>
        </w:rPr>
        <w:t>‎</w:t>
      </w:r>
      <w:r w:rsidR="004D1C5B">
        <w:rPr>
          <w:rStyle w:val="aff6"/>
          <w:rtl/>
        </w:rPr>
        <w:t>פ)</w:t>
      </w:r>
      <w:r w:rsidRPr="00B608F5">
        <w:rPr>
          <w:rStyle w:val="aff6"/>
          <w:rtl/>
        </w:rPr>
        <w:fldChar w:fldCharType="end"/>
      </w:r>
      <w:r w:rsidRPr="00B608F5">
        <w:rPr>
          <w:rStyle w:val="afa"/>
          <w:rFonts w:hint="cs"/>
          <w:rtl/>
        </w:rPr>
        <w:t xml:space="preserve"> דאין שישים כנגד האיסור</w:t>
      </w:r>
      <w:r>
        <w:rPr>
          <w:rStyle w:val="afa"/>
          <w:rFonts w:hint="cs"/>
          <w:rtl/>
        </w:rPr>
        <w:t xml:space="preserve">, ועי' בדברי </w:t>
      </w:r>
      <w:r w:rsidRPr="0045199B">
        <w:rPr>
          <w:rStyle w:val="affa"/>
          <w:rFonts w:hint="cs"/>
          <w:rtl/>
        </w:rPr>
        <w:t>הב"י</w:t>
      </w:r>
      <w:r>
        <w:rPr>
          <w:rStyle w:val="afa"/>
          <w:rFonts w:hint="cs"/>
          <w:rtl/>
        </w:rPr>
        <w:t xml:space="preserve"> </w:t>
      </w:r>
      <w:r w:rsidRPr="0045199B">
        <w:rPr>
          <w:rStyle w:val="aff6"/>
          <w:rFonts w:hint="cs"/>
          <w:rtl/>
        </w:rPr>
        <w:t xml:space="preserve">(עי' אות </w:t>
      </w:r>
      <w:r w:rsidRPr="0045199B">
        <w:rPr>
          <w:rStyle w:val="aff6"/>
          <w:rtl/>
        </w:rPr>
        <w:fldChar w:fldCharType="begin"/>
      </w:r>
      <w:r w:rsidRPr="0045199B">
        <w:rPr>
          <w:rStyle w:val="aff6"/>
          <w:rtl/>
        </w:rPr>
        <w:instrText xml:space="preserve"> </w:instrText>
      </w:r>
      <w:r w:rsidRPr="0045199B">
        <w:rPr>
          <w:rStyle w:val="aff6"/>
          <w:rFonts w:hint="cs"/>
        </w:rPr>
        <w:instrText>REF</w:instrText>
      </w:r>
      <w:r w:rsidRPr="0045199B">
        <w:rPr>
          <w:rStyle w:val="aff6"/>
          <w:rFonts w:hint="cs"/>
          <w:rtl/>
        </w:rPr>
        <w:instrText xml:space="preserve"> _</w:instrText>
      </w:r>
      <w:r w:rsidRPr="0045199B">
        <w:rPr>
          <w:rStyle w:val="aff6"/>
          <w:rFonts w:hint="cs"/>
        </w:rPr>
        <w:instrText>Ref20300769 \r \h</w:instrText>
      </w:r>
      <w:r w:rsidRPr="0045199B">
        <w:rPr>
          <w:rStyle w:val="aff6"/>
          <w:rtl/>
        </w:rPr>
        <w:instrText xml:space="preserve"> </w:instrText>
      </w:r>
      <w:r w:rsidRPr="0045199B">
        <w:rPr>
          <w:rStyle w:val="aff6"/>
          <w:rtl/>
        </w:rPr>
      </w:r>
      <w:r w:rsidRPr="0045199B">
        <w:rPr>
          <w:rStyle w:val="aff6"/>
          <w:rtl/>
        </w:rPr>
        <w:fldChar w:fldCharType="separate"/>
      </w:r>
      <w:r w:rsidR="004D1C5B">
        <w:rPr>
          <w:rStyle w:val="aff6"/>
          <w:cs/>
        </w:rPr>
        <w:t>‎</w:t>
      </w:r>
      <w:r w:rsidR="004D1C5B">
        <w:rPr>
          <w:rStyle w:val="aff6"/>
          <w:rtl/>
        </w:rPr>
        <w:t>פה)</w:t>
      </w:r>
      <w:r w:rsidRPr="0045199B">
        <w:rPr>
          <w:rStyle w:val="aff6"/>
          <w:rtl/>
        </w:rPr>
        <w:fldChar w:fldCharType="end"/>
      </w:r>
      <w:r w:rsidRPr="00B608F5">
        <w:rPr>
          <w:rStyle w:val="afa"/>
          <w:rFonts w:hint="cs"/>
          <w:rtl/>
        </w:rPr>
        <w:t xml:space="preserve">], </w:t>
      </w:r>
      <w:r w:rsidRPr="00B608F5">
        <w:rPr>
          <w:rtl/>
        </w:rPr>
        <w:t xml:space="preserve">ואף כשיש מהאיסור עצמו כזית בכדי אכילת פרס, והא אף שאינו אוסר את התערובת, מ"מ חשיב כאילו האיסור נמצא בעין, </w:t>
      </w:r>
      <w:r w:rsidRPr="00B608F5">
        <w:rPr>
          <w:rFonts w:hint="cs"/>
          <w:rtl/>
        </w:rPr>
        <w:t>וחשיב שנפל איסור מרובה לתוך מעט היתר, או שנפל היתר מועט שהוא משובח לתוך איסור פגום, דודאי דא"א לומר דהאיסור שמאוס מעיקרו, יהיה מותר כיון שהתערב בו היתר מועט שנפגם ע"י רוב האיסור</w:t>
      </w:r>
      <w:r>
        <w:rPr>
          <w:rFonts w:hint="cs"/>
          <w:rtl/>
        </w:rPr>
        <w:t xml:space="preserve">, ועי' במה שביאר </w:t>
      </w:r>
      <w:r w:rsidRPr="00305823">
        <w:rPr>
          <w:rStyle w:val="af8"/>
          <w:rFonts w:hint="cs"/>
          <w:rtl/>
        </w:rPr>
        <w:t>היד יהודה</w:t>
      </w:r>
      <w:r>
        <w:rPr>
          <w:rFonts w:hint="cs"/>
          <w:rtl/>
        </w:rPr>
        <w:t xml:space="preserve"> </w:t>
      </w:r>
      <w:r w:rsidRPr="00FF28CB">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Ref20294873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נ)</w:t>
      </w:r>
      <w:r>
        <w:rPr>
          <w:rStyle w:val="af6"/>
          <w:rFonts w:eastAsia="Guttman Hodes"/>
          <w:rtl/>
        </w:rPr>
        <w:fldChar w:fldCharType="end"/>
      </w:r>
      <w:r w:rsidRPr="00FF28CB">
        <w:rPr>
          <w:rStyle w:val="af6"/>
          <w:rFonts w:eastAsia="Guttman Hodes" w:hint="cs"/>
          <w:rtl/>
        </w:rPr>
        <w:t xml:space="preserve"> </w:t>
      </w:r>
      <w:r>
        <w:rPr>
          <w:rFonts w:hint="cs"/>
          <w:rtl/>
        </w:rPr>
        <w:t xml:space="preserve">בקושית </w:t>
      </w:r>
      <w:r w:rsidRPr="00305823">
        <w:rPr>
          <w:rStyle w:val="af8"/>
          <w:rFonts w:hint="cs"/>
          <w:rtl/>
        </w:rPr>
        <w:t>הרשב"א</w:t>
      </w:r>
      <w:r w:rsidRPr="00B608F5">
        <w:rPr>
          <w:rFonts w:hint="cs"/>
          <w:rtl/>
        </w:rPr>
        <w:t>.</w:t>
      </w:r>
      <w:bookmarkEnd w:id="11096"/>
    </w:p>
    <w:p w:rsidR="006C2032" w:rsidRPr="00B608F5" w:rsidRDefault="006C2032" w:rsidP="006C2032">
      <w:pPr>
        <w:pStyle w:val="a2"/>
      </w:pPr>
      <w:bookmarkStart w:id="11097" w:name="_Toc20310943"/>
      <w:bookmarkStart w:id="11098" w:name="_Toc20311115"/>
      <w:bookmarkStart w:id="11099" w:name="_Toc20315384"/>
      <w:bookmarkStart w:id="11100" w:name="_Toc20315776"/>
      <w:r>
        <w:rPr>
          <w:rFonts w:hint="cs"/>
          <w:rtl/>
        </w:rPr>
        <w:t>תירוץ הרשב"א דכיון שיש רוב היתר אין הטעם המורגש אוסר את רוב ההיתר</w:t>
      </w:r>
      <w:bookmarkEnd w:id="11097"/>
      <w:bookmarkEnd w:id="11098"/>
      <w:bookmarkEnd w:id="11099"/>
      <w:bookmarkEnd w:id="11100"/>
    </w:p>
    <w:p w:rsidR="006C2032" w:rsidRDefault="006C2032" w:rsidP="009F44AF">
      <w:pPr>
        <w:pStyle w:val="a"/>
        <w:rPr>
          <w:rtl/>
        </w:rPr>
      </w:pPr>
      <w:bookmarkStart w:id="11101" w:name="_Ref20068581"/>
      <w:bookmarkStart w:id="11102" w:name="_Ref20301212"/>
      <w:r w:rsidRPr="00B608F5">
        <w:rPr>
          <w:rFonts w:hint="cs"/>
          <w:rtl/>
        </w:rPr>
        <w:t xml:space="preserve">ותירץ </w:t>
      </w:r>
      <w:r w:rsidRPr="00B608F5">
        <w:rPr>
          <w:rStyle w:val="af8"/>
          <w:rFonts w:hint="cs"/>
          <w:rtl/>
        </w:rPr>
        <w:t>הרשב"א בתוה"ב</w:t>
      </w:r>
      <w:r w:rsidRPr="00B608F5">
        <w:rPr>
          <w:rFonts w:hint="cs"/>
          <w:rtl/>
        </w:rPr>
        <w:t xml:space="preserve"> דכל ההיתר בנותן טעם לפגם באיסור שמאוס מעיקרו, הוא דוקא כשיש רוב היתר, דבכה"ג האיסור מתבטל בתוך ההיתר, כדין רוב בכל התורה, ואף שהוא טועם את הטעם של האיסור והוא מורגש בהיתר, ועי"ז חשיב כאילו האיסור הוא בעין, וא"כ טעם האיסור המועט צריך לאסור את רוב ההיתר, אלא דכיון שהוא פוגם את ההיתר אינו אוסרו, וציין </w:t>
      </w:r>
      <w:r w:rsidRPr="00B608F5">
        <w:rPr>
          <w:rStyle w:val="af8"/>
          <w:rFonts w:hint="cs"/>
          <w:rtl/>
        </w:rPr>
        <w:t>הרשב"א בתוה"ב</w:t>
      </w:r>
      <w:r w:rsidRPr="00B608F5">
        <w:rPr>
          <w:rFonts w:hint="cs"/>
          <w:rtl/>
        </w:rPr>
        <w:t xml:space="preserve"> למה שביאר </w:t>
      </w:r>
      <w:r w:rsidRPr="00B608F5">
        <w:rPr>
          <w:rStyle w:val="af6"/>
          <w:rFonts w:eastAsia="Guttman Hodes" w:hint="cs"/>
          <w:rtl/>
        </w:rPr>
        <w:t xml:space="preserve">(ב"ד ש"א יט. מדה"ס ד"ה פגם, הובא לעיל סימן י"ב אות י"ז) </w:t>
      </w:r>
      <w:r>
        <w:rPr>
          <w:rFonts w:hint="cs"/>
          <w:rtl/>
        </w:rPr>
        <w:t>דאף</w:t>
      </w:r>
      <w:r w:rsidRPr="00B608F5">
        <w:rPr>
          <w:rFonts w:hint="cs"/>
          <w:rtl/>
        </w:rPr>
        <w:t xml:space="preserve"> בשאר האיסורים שנתנו טעם פגום בהיתר, נותן טעם לפגם מותר</w:t>
      </w:r>
      <w:r>
        <w:rPr>
          <w:rFonts w:hint="cs"/>
          <w:rtl/>
        </w:rPr>
        <w:t xml:space="preserve">, רק במקום </w:t>
      </w:r>
      <w:r w:rsidRPr="00B608F5">
        <w:rPr>
          <w:rFonts w:hint="cs"/>
          <w:rtl/>
        </w:rPr>
        <w:t>דוקא שיש רוב היתר</w:t>
      </w:r>
      <w:r>
        <w:rPr>
          <w:rFonts w:hint="cs"/>
          <w:rtl/>
        </w:rPr>
        <w:t xml:space="preserve">, ועי' במה שביאר </w:t>
      </w:r>
      <w:r w:rsidRPr="00305823">
        <w:rPr>
          <w:rStyle w:val="af8"/>
          <w:rFonts w:hint="cs"/>
          <w:rtl/>
        </w:rPr>
        <w:t>היד יהודה</w:t>
      </w:r>
      <w:r>
        <w:rPr>
          <w:rFonts w:hint="cs"/>
          <w:rtl/>
        </w:rPr>
        <w:t xml:space="preserve"> </w:t>
      </w:r>
      <w:r w:rsidRPr="00FF28CB">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Ref20295335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Pr>
          <w:rStyle w:val="af6"/>
          <w:rFonts w:eastAsia="Guttman Hodes"/>
          <w:rtl/>
        </w:rPr>
        <w:fldChar w:fldCharType="end"/>
      </w:r>
      <w:r>
        <w:rPr>
          <w:rStyle w:val="af6"/>
          <w:rFonts w:eastAsia="Guttman Hodes" w:hint="cs"/>
          <w:rtl/>
        </w:rPr>
        <w:t xml:space="preserve"> </w:t>
      </w:r>
      <w:r>
        <w:rPr>
          <w:rFonts w:hint="cs"/>
          <w:rtl/>
        </w:rPr>
        <w:t xml:space="preserve">בתירוץ </w:t>
      </w:r>
      <w:r w:rsidRPr="00305823">
        <w:rPr>
          <w:rStyle w:val="af8"/>
          <w:rFonts w:hint="cs"/>
          <w:rtl/>
        </w:rPr>
        <w:t>הרשב"א</w:t>
      </w:r>
      <w:r w:rsidRPr="00B608F5">
        <w:rPr>
          <w:rFonts w:hint="cs"/>
          <w:rtl/>
        </w:rPr>
        <w:t>.</w:t>
      </w:r>
      <w:bookmarkEnd w:id="11101"/>
      <w:r>
        <w:rPr>
          <w:rFonts w:hint="cs"/>
          <w:rtl/>
        </w:rPr>
        <w:t xml:space="preserve"> [ועי' במה שדחה </w:t>
      </w:r>
      <w:r w:rsidRPr="00BA6010">
        <w:rPr>
          <w:rStyle w:val="af8"/>
          <w:rtl/>
        </w:rPr>
        <w:t>הר"ן בחי'</w:t>
      </w:r>
      <w:r>
        <w:rPr>
          <w:rFonts w:hint="cs"/>
          <w:rtl/>
        </w:rPr>
        <w:t xml:space="preserve"> </w:t>
      </w:r>
      <w:r w:rsidRPr="007F126A">
        <w:rPr>
          <w:rStyle w:val="af6"/>
          <w:rFonts w:eastAsia="Guttman Hodes" w:hint="cs"/>
          <w:rtl/>
        </w:rPr>
        <w:t xml:space="preserve">(עי' אות </w:t>
      </w:r>
      <w:r w:rsidRPr="007F126A">
        <w:rPr>
          <w:rStyle w:val="af6"/>
          <w:rFonts w:eastAsia="Guttman Hodes"/>
          <w:rtl/>
        </w:rPr>
        <w:fldChar w:fldCharType="begin"/>
      </w:r>
      <w:r w:rsidRPr="007F126A">
        <w:rPr>
          <w:rStyle w:val="af6"/>
          <w:rFonts w:eastAsia="Guttman Hodes"/>
          <w:rtl/>
        </w:rPr>
        <w:instrText xml:space="preserve"> </w:instrText>
      </w:r>
      <w:r w:rsidRPr="007F126A">
        <w:rPr>
          <w:rStyle w:val="af6"/>
          <w:rFonts w:eastAsia="Guttman Hodes" w:hint="cs"/>
        </w:rPr>
        <w:instrText>REF</w:instrText>
      </w:r>
      <w:r w:rsidRPr="007F126A">
        <w:rPr>
          <w:rStyle w:val="af6"/>
          <w:rFonts w:eastAsia="Guttman Hodes" w:hint="cs"/>
          <w:rtl/>
        </w:rPr>
        <w:instrText xml:space="preserve"> _</w:instrText>
      </w:r>
      <w:r w:rsidRPr="007F126A">
        <w:rPr>
          <w:rStyle w:val="af6"/>
          <w:rFonts w:eastAsia="Guttman Hodes" w:hint="cs"/>
        </w:rPr>
        <w:instrText>Ref20299627 \r \h</w:instrText>
      </w:r>
      <w:r w:rsidRPr="007F126A">
        <w:rPr>
          <w:rStyle w:val="af6"/>
          <w:rFonts w:eastAsia="Guttman Hodes"/>
          <w:rtl/>
        </w:rPr>
        <w:instrText xml:space="preserve"> </w:instrText>
      </w:r>
      <w:r w:rsidRPr="007F126A">
        <w:rPr>
          <w:rStyle w:val="af6"/>
          <w:rFonts w:eastAsia="Guttman Hodes"/>
          <w:rtl/>
        </w:rPr>
      </w:r>
      <w:r w:rsidRPr="007F126A">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7F126A">
        <w:rPr>
          <w:rStyle w:val="af6"/>
          <w:rFonts w:eastAsia="Guttman Hodes"/>
          <w:rtl/>
        </w:rPr>
        <w:fldChar w:fldCharType="end"/>
      </w:r>
      <w:r w:rsidRPr="007F126A">
        <w:rPr>
          <w:rStyle w:val="af6"/>
          <w:rFonts w:eastAsia="Guttman Hodes" w:hint="cs"/>
          <w:rtl/>
        </w:rPr>
        <w:t xml:space="preserve"> </w:t>
      </w:r>
      <w:r>
        <w:rPr>
          <w:rFonts w:hint="cs"/>
          <w:rtl/>
        </w:rPr>
        <w:t xml:space="preserve">את דברי </w:t>
      </w:r>
      <w:r w:rsidRPr="007F126A">
        <w:rPr>
          <w:rStyle w:val="af8"/>
          <w:rFonts w:hint="cs"/>
          <w:rtl/>
        </w:rPr>
        <w:t>הרשב"א</w:t>
      </w:r>
      <w:r>
        <w:rPr>
          <w:rFonts w:hint="cs"/>
          <w:rtl/>
        </w:rPr>
        <w:t>].</w:t>
      </w:r>
      <w:bookmarkEnd w:id="11102"/>
    </w:p>
    <w:p w:rsidR="006C2032" w:rsidRPr="001B3A17" w:rsidRDefault="006C2032" w:rsidP="006C2032">
      <w:pPr>
        <w:pStyle w:val="a2"/>
        <w:rPr>
          <w:rtl/>
        </w:rPr>
      </w:pPr>
      <w:bookmarkStart w:id="11103" w:name="_Toc20310944"/>
      <w:bookmarkStart w:id="11104" w:name="_Toc20311116"/>
      <w:bookmarkStart w:id="11105" w:name="_Toc20315385"/>
      <w:bookmarkStart w:id="11106" w:name="_Toc20315777"/>
      <w:r>
        <w:rPr>
          <w:rFonts w:hint="cs"/>
          <w:rtl/>
        </w:rPr>
        <w:t>דברי הרשב"א דבטעם פגום ובסילק את האיסור א"צ לשער כנגד כל האיסור</w:t>
      </w:r>
      <w:bookmarkEnd w:id="11103"/>
      <w:bookmarkEnd w:id="11104"/>
      <w:bookmarkEnd w:id="11105"/>
      <w:bookmarkEnd w:id="11106"/>
      <w:r w:rsidRPr="00257DBF">
        <w:rPr>
          <w:rFonts w:hint="cs"/>
          <w:rtl/>
        </w:rPr>
        <w:t xml:space="preserve"> </w:t>
      </w:r>
    </w:p>
    <w:p w:rsidR="006C2032" w:rsidRDefault="006C2032" w:rsidP="009F44AF">
      <w:pPr>
        <w:pStyle w:val="a"/>
        <w:rPr>
          <w:rtl/>
        </w:rPr>
      </w:pPr>
      <w:r w:rsidRPr="00B608F5">
        <w:rPr>
          <w:rFonts w:hint="cs"/>
          <w:rtl/>
        </w:rPr>
        <w:t xml:space="preserve">והוסיף </w:t>
      </w:r>
      <w:r w:rsidRPr="00B608F5">
        <w:rPr>
          <w:rStyle w:val="af8"/>
          <w:rFonts w:hint="cs"/>
          <w:rtl/>
        </w:rPr>
        <w:t>הרשב"א בתוה"ב</w:t>
      </w:r>
      <w:r w:rsidRPr="00B608F5">
        <w:rPr>
          <w:rFonts w:hint="cs"/>
          <w:rtl/>
        </w:rPr>
        <w:t xml:space="preserve"> דאף כשנפל האיסור המאוס לתוך מיעוט היתר, וסילק את ההאיסור מתוך ההיתר, ונשאר בו רק טעמו ולא ממשו, דמותר מדין נותן טעם לפגם, ואעפ"י</w:t>
      </w:r>
      <w:r>
        <w:rPr>
          <w:rFonts w:hint="cs"/>
          <w:rtl/>
        </w:rPr>
        <w:t xml:space="preserve"> דבטעם כעיקר בשאר איסורין</w:t>
      </w:r>
      <w:r w:rsidRPr="00B608F5">
        <w:rPr>
          <w:rFonts w:hint="cs"/>
          <w:rtl/>
        </w:rPr>
        <w:t xml:space="preserve"> הדין הוא דמשערינן כנגד כל האיסור ולא כנגד מה שנפלט ממנו,</w:t>
      </w:r>
      <w:r w:rsidRPr="00E71D5E">
        <w:rPr>
          <w:rStyle w:val="afa"/>
          <w:rFonts w:hint="cs"/>
          <w:rtl/>
        </w:rPr>
        <w:t xml:space="preserve"> [כדכתב</w:t>
      </w:r>
      <w:r w:rsidRPr="00B608F5">
        <w:rPr>
          <w:rStyle w:val="afa"/>
          <w:rFonts w:hint="cs"/>
          <w:rtl/>
        </w:rPr>
        <w:t xml:space="preserve"> </w:t>
      </w:r>
      <w:r w:rsidRPr="00B608F5">
        <w:rPr>
          <w:rStyle w:val="affa"/>
          <w:rFonts w:hint="cs"/>
          <w:rtl/>
        </w:rPr>
        <w:t xml:space="preserve">הרשב"א בתוה"ב </w:t>
      </w:r>
      <w:r w:rsidRPr="00B608F5">
        <w:rPr>
          <w:rStyle w:val="aff6"/>
          <w:rFonts w:hint="cs"/>
          <w:rtl/>
        </w:rPr>
        <w:t>(ב"ד ש"א א: מדה"ס, הובא לעיל סימן ה' אות יג)</w:t>
      </w:r>
      <w:r w:rsidRPr="00E71D5E">
        <w:rPr>
          <w:rStyle w:val="afa"/>
          <w:rFonts w:hint="cs"/>
          <w:rtl/>
        </w:rPr>
        <w:t>],</w:t>
      </w:r>
      <w:r w:rsidRPr="00B608F5">
        <w:rPr>
          <w:rFonts w:hint="cs"/>
          <w:rtl/>
        </w:rPr>
        <w:t xml:space="preserve"> זהו דוקא כיון שלא ידוע כמה טעם יצא מהאיסור, אבל בנותן טעם לפגם, שאינו נהנה מהטעם, וטעם פגום אינו</w:t>
      </w:r>
      <w:r>
        <w:rPr>
          <w:rFonts w:hint="cs"/>
          <w:rtl/>
        </w:rPr>
        <w:t xml:space="preserve"> אוסר בתערובת, לכן א"צ לשער כנגד כולו.</w:t>
      </w:r>
    </w:p>
    <w:p w:rsidR="006C2032" w:rsidRPr="00185964" w:rsidRDefault="006C2032" w:rsidP="006C2032">
      <w:pPr>
        <w:pStyle w:val="a2"/>
        <w:rPr>
          <w:rtl/>
        </w:rPr>
      </w:pPr>
      <w:bookmarkStart w:id="11107" w:name="_Toc20310945"/>
      <w:bookmarkStart w:id="11108" w:name="_Toc20311117"/>
      <w:bookmarkStart w:id="11109" w:name="_Toc20315386"/>
      <w:bookmarkStart w:id="11110" w:name="_Toc20315778"/>
      <w:r>
        <w:rPr>
          <w:rFonts w:hint="cs"/>
          <w:rtl/>
        </w:rPr>
        <w:t>ביאור הרשב"א דלא יתכן שפלט כנגד כל האיסור ורק בטעם לשבח החמירו כנגד כולו</w:t>
      </w:r>
      <w:bookmarkEnd w:id="11107"/>
      <w:bookmarkEnd w:id="11108"/>
      <w:bookmarkEnd w:id="11109"/>
      <w:bookmarkEnd w:id="11110"/>
    </w:p>
    <w:p w:rsidR="006C2032" w:rsidRDefault="006C2032" w:rsidP="009F44AF">
      <w:pPr>
        <w:pStyle w:val="a"/>
        <w:rPr>
          <w:rtl/>
        </w:rPr>
      </w:pPr>
      <w:r>
        <w:rPr>
          <w:rFonts w:hint="cs"/>
          <w:rtl/>
        </w:rPr>
        <w:t xml:space="preserve">וביאר </w:t>
      </w:r>
      <w:r w:rsidRPr="00515185">
        <w:rPr>
          <w:rStyle w:val="af8"/>
          <w:rFonts w:hint="cs"/>
          <w:rtl/>
        </w:rPr>
        <w:t>הרשב"א בתוה"ב</w:t>
      </w:r>
      <w:r>
        <w:rPr>
          <w:rFonts w:hint="cs"/>
          <w:rtl/>
        </w:rPr>
        <w:t xml:space="preserve"> דודאי שלא יתכן שפלט כנגד כולו, שהרי אינו ממלא את כל הכלי, אלא דהוא רק נותן בו טעם, וכשנתן טעם לשבח מחמירים בו שמא פלט כשיעור שנותן טעם בתערובת, ולכן כל שאמר הקפילא שאין בו טעם מותר, אף כשאין בהיתר כנגד כל האיסור, </w:t>
      </w:r>
      <w:r>
        <w:rPr>
          <w:rStyle w:val="afa"/>
          <w:rFonts w:hint="cs"/>
          <w:rtl/>
        </w:rPr>
        <w:t>[</w:t>
      </w:r>
      <w:r w:rsidRPr="00D47CE7">
        <w:rPr>
          <w:rStyle w:val="afa"/>
          <w:rFonts w:hint="cs"/>
          <w:rtl/>
        </w:rPr>
        <w:t xml:space="preserve">כדכתב </w:t>
      </w:r>
      <w:r w:rsidRPr="00D47CE7">
        <w:rPr>
          <w:rStyle w:val="affa"/>
          <w:rFonts w:hint="cs"/>
          <w:rtl/>
        </w:rPr>
        <w:t xml:space="preserve">הרשב"א בתוה"ב </w:t>
      </w:r>
      <w:r w:rsidRPr="00D47CE7">
        <w:rPr>
          <w:rStyle w:val="aff6"/>
          <w:rFonts w:hint="cs"/>
          <w:rtl/>
        </w:rPr>
        <w:t xml:space="preserve">(ב"ד ש"א א: מדה"ס, הובא לעיל סימן ה' אות </w:t>
      </w:r>
      <w:r>
        <w:rPr>
          <w:rStyle w:val="aff6"/>
          <w:rFonts w:hint="cs"/>
          <w:rtl/>
        </w:rPr>
        <w:t>כ"ד</w:t>
      </w:r>
      <w:r w:rsidRPr="00D47CE7">
        <w:rPr>
          <w:rStyle w:val="aff6"/>
          <w:rFonts w:hint="cs"/>
          <w:rtl/>
        </w:rPr>
        <w:t>)</w:t>
      </w:r>
      <w:r w:rsidRPr="00D47CE7">
        <w:rPr>
          <w:rStyle w:val="afa"/>
          <w:rFonts w:hint="cs"/>
          <w:rtl/>
        </w:rPr>
        <w:t>],</w:t>
      </w:r>
      <w:r>
        <w:rPr>
          <w:rFonts w:hint="cs"/>
          <w:rtl/>
        </w:rPr>
        <w:t xml:space="preserve"> וא"כ ה"ה באיסור פגום, שאין משערים כנגד כולו אלא כנגד הטעם שיצא ממנו, וכיון שהטעם שלו הוא פגום ממילא חשיב שאין כאן טעם, דטעם פגום אינו אוסר כלל.</w:t>
      </w:r>
    </w:p>
    <w:p w:rsidR="006C2032" w:rsidRDefault="006C2032" w:rsidP="00E669F8">
      <w:pPr>
        <w:pStyle w:val="afd"/>
        <w:rPr>
          <w:rtl/>
        </w:rPr>
      </w:pPr>
      <w:bookmarkStart w:id="11111" w:name="_Toc20168402"/>
      <w:bookmarkStart w:id="11112" w:name="_Toc20170507"/>
      <w:bookmarkStart w:id="11113" w:name="_Toc20226707"/>
      <w:bookmarkStart w:id="11114" w:name="_Toc20256910"/>
      <w:bookmarkStart w:id="11115" w:name="_Toc20267125"/>
      <w:bookmarkStart w:id="11116" w:name="_Toc20310946"/>
      <w:bookmarkStart w:id="11117" w:name="_Toc20311118"/>
      <w:bookmarkStart w:id="11118" w:name="_Toc20315387"/>
      <w:bookmarkStart w:id="11119" w:name="_Toc20315779"/>
      <w:bookmarkStart w:id="11120" w:name="_Toc20256894"/>
      <w:bookmarkEnd w:id="11083"/>
      <w:r>
        <w:rPr>
          <w:rFonts w:hint="cs"/>
          <w:rtl/>
        </w:rPr>
        <w:t>ביאור הר"ן</w:t>
      </w:r>
      <w:bookmarkEnd w:id="11111"/>
      <w:bookmarkEnd w:id="11112"/>
      <w:bookmarkEnd w:id="11113"/>
      <w:bookmarkEnd w:id="11114"/>
      <w:bookmarkEnd w:id="11115"/>
      <w:r>
        <w:rPr>
          <w:rFonts w:hint="cs"/>
          <w:rtl/>
        </w:rPr>
        <w:t xml:space="preserve"> בפלוגתת רב ששת ורבא</w:t>
      </w:r>
      <w:bookmarkEnd w:id="11116"/>
      <w:bookmarkEnd w:id="11117"/>
      <w:bookmarkEnd w:id="11118"/>
      <w:bookmarkEnd w:id="11119"/>
    </w:p>
    <w:p w:rsidR="006C2032" w:rsidRDefault="006C2032" w:rsidP="006C2032">
      <w:pPr>
        <w:pStyle w:val="1"/>
        <w:rPr>
          <w:rtl/>
        </w:rPr>
      </w:pPr>
      <w:bookmarkStart w:id="11121" w:name="_Toc20310947"/>
      <w:bookmarkStart w:id="11122" w:name="_Toc20311119"/>
      <w:bookmarkStart w:id="11123" w:name="_Toc20315388"/>
      <w:bookmarkStart w:id="11124" w:name="_Toc20315780"/>
      <w:r>
        <w:rPr>
          <w:rFonts w:hint="cs"/>
          <w:rtl/>
        </w:rPr>
        <w:lastRenderedPageBreak/>
        <w:t>ביאור הר"ן ברב ששת דאף הטעם הפגום אסור במאוס מעיקרו</w:t>
      </w:r>
      <w:bookmarkEnd w:id="11121"/>
      <w:bookmarkEnd w:id="11122"/>
      <w:bookmarkEnd w:id="11123"/>
      <w:bookmarkEnd w:id="11124"/>
    </w:p>
    <w:p w:rsidR="006C2032" w:rsidRPr="00021144" w:rsidRDefault="006C2032" w:rsidP="006C2032">
      <w:pPr>
        <w:pStyle w:val="a2"/>
        <w:rPr>
          <w:rtl/>
        </w:rPr>
      </w:pPr>
      <w:bookmarkStart w:id="11125" w:name="_Toc20267127"/>
      <w:bookmarkStart w:id="11126" w:name="_Toc20310948"/>
      <w:bookmarkStart w:id="11127" w:name="_Toc20311120"/>
      <w:bookmarkStart w:id="11128" w:name="_Toc20315389"/>
      <w:bookmarkStart w:id="11129" w:name="_Toc20315781"/>
      <w:r>
        <w:rPr>
          <w:rFonts w:hint="cs"/>
          <w:rtl/>
        </w:rPr>
        <w:t>ביאור הר"ן ברב ששת דכיון שחידשה תורה באיסור מאוס דאסור אף טעמו הפגום אוסר</w:t>
      </w:r>
      <w:bookmarkEnd w:id="11125"/>
      <w:bookmarkEnd w:id="11126"/>
      <w:bookmarkEnd w:id="11127"/>
      <w:bookmarkEnd w:id="11128"/>
      <w:bookmarkEnd w:id="11129"/>
    </w:p>
    <w:p w:rsidR="006C2032" w:rsidRDefault="006C2032" w:rsidP="009F44AF">
      <w:pPr>
        <w:pStyle w:val="a"/>
        <w:rPr>
          <w:rtl/>
        </w:rPr>
      </w:pPr>
      <w:r>
        <w:rPr>
          <w:rFonts w:hint="cs"/>
          <w:rtl/>
        </w:rPr>
        <w:t>בדברי רב ששת דאמר דרב</w:t>
      </w:r>
      <w:r w:rsidRPr="00DF6D4F">
        <w:rPr>
          <w:rFonts w:hint="cs"/>
          <w:rtl/>
        </w:rPr>
        <w:t xml:space="preserve"> </w:t>
      </w:r>
      <w:r>
        <w:rPr>
          <w:rFonts w:hint="cs"/>
          <w:rtl/>
        </w:rPr>
        <w:t>אסר בעכברא בשיכרא, כיון שהוא חידוש דאסרה תורה איסור מאוס, אעפ"י דס"ל לרב דנותן טעם לפגם מותר, ביאר</w:t>
      </w:r>
      <w:r w:rsidRPr="004421C6">
        <w:rPr>
          <w:rStyle w:val="af8"/>
          <w:rFonts w:hint="cs"/>
          <w:rtl/>
        </w:rPr>
        <w:t xml:space="preserve"> הר"ן על הרי"ף</w:t>
      </w:r>
      <w:r>
        <w:rPr>
          <w:rFonts w:hint="cs"/>
          <w:rtl/>
        </w:rPr>
        <w:t xml:space="preserve"> </w:t>
      </w:r>
      <w:r w:rsidRPr="004421C6">
        <w:rPr>
          <w:rStyle w:val="af6"/>
          <w:rFonts w:eastAsia="Guttman Hodes" w:hint="cs"/>
          <w:rtl/>
        </w:rPr>
        <w:t>(לב: מדפי הרי"ף ד"ה אי משום)</w:t>
      </w:r>
      <w:r>
        <w:rPr>
          <w:rFonts w:hint="cs"/>
          <w:rtl/>
        </w:rPr>
        <w:t xml:space="preserve"> דס"ל לרב ששת דכיון שהאיסור באיסור מאוס הוא חידוש, לכן  אף טעם האיסור אוסר, אף שהוא פגום.</w:t>
      </w:r>
    </w:p>
    <w:p w:rsidR="006C2032" w:rsidRPr="00D37ED7" w:rsidRDefault="006C2032" w:rsidP="006C2032">
      <w:pPr>
        <w:pStyle w:val="1"/>
        <w:rPr>
          <w:rtl/>
        </w:rPr>
      </w:pPr>
      <w:bookmarkStart w:id="11130" w:name="_Toc20310949"/>
      <w:bookmarkStart w:id="11131" w:name="_Toc20311121"/>
      <w:bookmarkStart w:id="11132" w:name="_Toc20315390"/>
      <w:bookmarkStart w:id="11133" w:name="_Toc20315782"/>
      <w:r>
        <w:rPr>
          <w:rFonts w:hint="cs"/>
          <w:rtl/>
        </w:rPr>
        <w:t>ביאור הר"ן ברבא דחידשה תורה איסור בגופו ולא בטעמו</w:t>
      </w:r>
      <w:bookmarkEnd w:id="11130"/>
      <w:bookmarkEnd w:id="11131"/>
      <w:bookmarkEnd w:id="11132"/>
      <w:bookmarkEnd w:id="11133"/>
    </w:p>
    <w:p w:rsidR="006C2032" w:rsidRPr="0079485F" w:rsidRDefault="006C2032" w:rsidP="006C2032">
      <w:pPr>
        <w:pStyle w:val="a2"/>
        <w:rPr>
          <w:rtl/>
        </w:rPr>
      </w:pPr>
      <w:bookmarkStart w:id="11134" w:name="_Toc20267128"/>
      <w:bookmarkStart w:id="11135" w:name="_Toc20310950"/>
      <w:bookmarkStart w:id="11136" w:name="_Toc20311122"/>
      <w:bookmarkStart w:id="11137" w:name="_Toc20315391"/>
      <w:bookmarkStart w:id="11138" w:name="_Toc20315783"/>
      <w:r>
        <w:rPr>
          <w:rFonts w:hint="cs"/>
          <w:rtl/>
        </w:rPr>
        <w:t>דברי הר"ן דלרבא אף שהשרץ עצמו אסור טעמו הפגום מותר דאין לך בו אלא חידושו</w:t>
      </w:r>
      <w:bookmarkEnd w:id="11134"/>
      <w:bookmarkEnd w:id="11135"/>
      <w:bookmarkEnd w:id="11136"/>
      <w:bookmarkEnd w:id="11137"/>
      <w:bookmarkEnd w:id="11138"/>
    </w:p>
    <w:p w:rsidR="006C2032" w:rsidRDefault="006C2032" w:rsidP="009F44AF">
      <w:pPr>
        <w:pStyle w:val="a"/>
        <w:rPr>
          <w:rtl/>
        </w:rPr>
      </w:pPr>
      <w:bookmarkStart w:id="11139" w:name="_Ref20293927"/>
      <w:r>
        <w:rPr>
          <w:rFonts w:hint="cs"/>
          <w:rtl/>
        </w:rPr>
        <w:t xml:space="preserve">ובצד בספק של רבא דרב ס"ל דנותן טעם לפגם אסור, ואמר רבא דלא קיי"ל כרב, ביאר </w:t>
      </w:r>
      <w:r w:rsidRPr="004421C6">
        <w:rPr>
          <w:rStyle w:val="af8"/>
          <w:rFonts w:hint="cs"/>
          <w:rtl/>
        </w:rPr>
        <w:t>הר"ן על הרי"ף</w:t>
      </w:r>
      <w:r>
        <w:rPr>
          <w:rFonts w:hint="cs"/>
          <w:rtl/>
        </w:rPr>
        <w:t xml:space="preserve"> דרבא פליג על רב ששת לא רק בדעת רב, בדין נותן טעם לפגם, אלא פליג עליה גם במה שאמר דהא דרב</w:t>
      </w:r>
      <w:r w:rsidRPr="00DF6D4F">
        <w:rPr>
          <w:rFonts w:hint="cs"/>
          <w:rtl/>
        </w:rPr>
        <w:t xml:space="preserve"> </w:t>
      </w:r>
      <w:r>
        <w:rPr>
          <w:rFonts w:hint="cs"/>
          <w:rtl/>
        </w:rPr>
        <w:t>אסר בעכברא בשיכרא, הוא מחמת דנותן טעם לפגם אסור באיסור מאוס, דכיון שהאיסור הוא חידוש אף טעם האיסור אוסר, דס"ל לרבא דאף דהא דאסרה תורה שרץ שמאוס מעיקרו הוא חידוש, מ"מ אין לך בו אלא חידושו, דדוקא גופו אסור, אבל מה שפלט השרץ טעם אינו אסור, והוא בכלל היתר נותן טעם לפגם.</w:t>
      </w:r>
      <w:bookmarkEnd w:id="11139"/>
    </w:p>
    <w:p w:rsidR="006C2032" w:rsidRDefault="006C2032" w:rsidP="006C2032">
      <w:pPr>
        <w:pStyle w:val="a2"/>
        <w:rPr>
          <w:rtl/>
        </w:rPr>
      </w:pPr>
      <w:bookmarkStart w:id="11140" w:name="_Toc20267129"/>
      <w:bookmarkStart w:id="11141" w:name="_Toc20310951"/>
      <w:bookmarkStart w:id="11142" w:name="_Toc20311123"/>
      <w:bookmarkStart w:id="11143" w:name="_Toc20315392"/>
      <w:bookmarkStart w:id="11144" w:name="_Toc20315784"/>
      <w:r>
        <w:rPr>
          <w:rFonts w:hint="cs"/>
          <w:rtl/>
        </w:rPr>
        <w:t>דברי הר"ן דלרבא טעם של איסור מאוס אינו אוסר אא"כ הוא משביח</w:t>
      </w:r>
      <w:bookmarkEnd w:id="11140"/>
      <w:bookmarkEnd w:id="11141"/>
      <w:bookmarkEnd w:id="11142"/>
      <w:bookmarkEnd w:id="11143"/>
      <w:bookmarkEnd w:id="11144"/>
    </w:p>
    <w:p w:rsidR="006C2032" w:rsidRDefault="006C2032" w:rsidP="009F44AF">
      <w:pPr>
        <w:pStyle w:val="a"/>
        <w:rPr>
          <w:rtl/>
        </w:rPr>
      </w:pPr>
      <w:bookmarkStart w:id="11145" w:name="_Ref20304106"/>
      <w:r>
        <w:rPr>
          <w:rFonts w:hint="cs"/>
          <w:rtl/>
        </w:rPr>
        <w:t xml:space="preserve">וכתב </w:t>
      </w:r>
      <w:r w:rsidRPr="004421C6">
        <w:rPr>
          <w:rStyle w:val="af8"/>
          <w:rFonts w:hint="cs"/>
          <w:rtl/>
        </w:rPr>
        <w:t>הר"ן על הרי"ף</w:t>
      </w:r>
      <w:r>
        <w:rPr>
          <w:rFonts w:hint="cs"/>
          <w:rtl/>
        </w:rPr>
        <w:t xml:space="preserve"> דמבואר מדברי רבא, דאיסור שמאוס מעיקרו כעכבר וכדו', אין אוסר כשפלט טעם לתוך היתר, ודוקא בעכברא בשיכרא או בחלא דהוא משביחו אסר רב.</w:t>
      </w:r>
      <w:bookmarkEnd w:id="11145"/>
    </w:p>
    <w:p w:rsidR="006C2032" w:rsidRPr="001F3FB5" w:rsidRDefault="006C2032" w:rsidP="006C2032">
      <w:pPr>
        <w:pStyle w:val="1"/>
        <w:rPr>
          <w:rtl/>
        </w:rPr>
      </w:pPr>
      <w:bookmarkStart w:id="11146" w:name="_Toc20267130"/>
      <w:bookmarkStart w:id="11147" w:name="_Toc20310952"/>
      <w:bookmarkStart w:id="11148" w:name="_Toc20311124"/>
      <w:bookmarkStart w:id="11149" w:name="_Toc20315393"/>
      <w:bookmarkStart w:id="11150" w:name="_Toc20315785"/>
      <w:r>
        <w:rPr>
          <w:rFonts w:hint="cs"/>
          <w:rtl/>
        </w:rPr>
        <w:t>דברי הר"ן דאיסור מאוס שנימוח מותר ברוב דאינו נהנה ממנו</w:t>
      </w:r>
      <w:bookmarkEnd w:id="11146"/>
      <w:bookmarkEnd w:id="11147"/>
      <w:bookmarkEnd w:id="11148"/>
      <w:bookmarkEnd w:id="11149"/>
      <w:bookmarkEnd w:id="11150"/>
    </w:p>
    <w:p w:rsidR="006C2032" w:rsidRPr="001A710D" w:rsidRDefault="006C2032" w:rsidP="006C2032">
      <w:pPr>
        <w:pStyle w:val="a2"/>
      </w:pPr>
      <w:bookmarkStart w:id="11151" w:name="_Toc20267131"/>
      <w:bookmarkStart w:id="11152" w:name="_Toc20310953"/>
      <w:bookmarkStart w:id="11153" w:name="_Toc20311125"/>
      <w:bookmarkStart w:id="11154" w:name="_Toc20315394"/>
      <w:bookmarkStart w:id="11155" w:name="_Toc20315786"/>
      <w:r>
        <w:rPr>
          <w:rFonts w:hint="cs"/>
          <w:rtl/>
        </w:rPr>
        <w:t>דברי הר"ן דאף בנימוח גוף האיסור המאוס הוא מותר דבטל ברוב ואינו נהנה מהאיסור כלל</w:t>
      </w:r>
      <w:bookmarkEnd w:id="11151"/>
      <w:bookmarkEnd w:id="11152"/>
      <w:bookmarkEnd w:id="11153"/>
      <w:bookmarkEnd w:id="11154"/>
      <w:bookmarkEnd w:id="11155"/>
    </w:p>
    <w:p w:rsidR="006C2032" w:rsidRDefault="006C2032" w:rsidP="009F44AF">
      <w:pPr>
        <w:pStyle w:val="a"/>
        <w:rPr>
          <w:rtl/>
        </w:rPr>
      </w:pPr>
      <w:bookmarkStart w:id="11156" w:name="_Ref20266754"/>
      <w:r>
        <w:rPr>
          <w:rFonts w:hint="cs"/>
          <w:rtl/>
        </w:rPr>
        <w:t xml:space="preserve">והוסיף </w:t>
      </w:r>
      <w:r w:rsidRPr="004421C6">
        <w:rPr>
          <w:rStyle w:val="af8"/>
          <w:rFonts w:hint="cs"/>
          <w:rtl/>
        </w:rPr>
        <w:t>הר"ן</w:t>
      </w:r>
      <w:r>
        <w:rPr>
          <w:rFonts w:hint="cs"/>
          <w:rtl/>
        </w:rPr>
        <w:t xml:space="preserve"> </w:t>
      </w:r>
      <w:r w:rsidRPr="004421C6">
        <w:rPr>
          <w:rStyle w:val="af8"/>
          <w:rFonts w:hint="cs"/>
          <w:rtl/>
        </w:rPr>
        <w:t>על הרי"ף</w:t>
      </w:r>
      <w:r>
        <w:rPr>
          <w:rFonts w:hint="cs"/>
          <w:rtl/>
        </w:rPr>
        <w:t xml:space="preserve"> דאף כשנמחה גוף האיסור לגמרי והתערב בהיתר הוא מותר כיון דמדאו' בטל ברוב, ואינו נהנה מהאיסור כלל.</w:t>
      </w:r>
      <w:bookmarkEnd w:id="11156"/>
    </w:p>
    <w:p w:rsidR="006C2032" w:rsidRPr="00C729C2" w:rsidRDefault="006C2032" w:rsidP="00E669F8">
      <w:pPr>
        <w:pStyle w:val="afd"/>
        <w:rPr>
          <w:rtl/>
        </w:rPr>
      </w:pPr>
      <w:bookmarkStart w:id="11157" w:name="_Toc20310954"/>
      <w:bookmarkStart w:id="11158" w:name="_Toc20311126"/>
      <w:bookmarkStart w:id="11159" w:name="_Toc20315395"/>
      <w:bookmarkStart w:id="11160" w:name="_Toc20315787"/>
      <w:r>
        <w:rPr>
          <w:rFonts w:hint="cs"/>
          <w:rtl/>
        </w:rPr>
        <w:t>דברי הר"ן דבכזית בכא"פ</w:t>
      </w:r>
      <w:r w:rsidRPr="0066710A">
        <w:rPr>
          <w:rFonts w:hint="cs"/>
          <w:rtl/>
        </w:rPr>
        <w:t xml:space="preserve"> </w:t>
      </w:r>
      <w:r>
        <w:rPr>
          <w:rFonts w:hint="cs"/>
          <w:rtl/>
        </w:rPr>
        <w:t>אסור במאוס</w:t>
      </w:r>
      <w:bookmarkEnd w:id="11157"/>
      <w:bookmarkEnd w:id="11158"/>
      <w:bookmarkEnd w:id="11159"/>
      <w:bookmarkEnd w:id="11160"/>
      <w:r>
        <w:rPr>
          <w:rFonts w:hint="cs"/>
          <w:rtl/>
        </w:rPr>
        <w:t xml:space="preserve"> </w:t>
      </w:r>
    </w:p>
    <w:p w:rsidR="006C2032" w:rsidRPr="003B087F" w:rsidRDefault="006C2032" w:rsidP="006C2032">
      <w:pPr>
        <w:pStyle w:val="1"/>
        <w:rPr>
          <w:rtl/>
        </w:rPr>
      </w:pPr>
      <w:bookmarkStart w:id="11161" w:name="_Toc20310955"/>
      <w:bookmarkStart w:id="11162" w:name="_Toc20311127"/>
      <w:bookmarkStart w:id="11163" w:name="_Toc20315396"/>
      <w:bookmarkStart w:id="11164" w:name="_Toc20315788"/>
      <w:r>
        <w:rPr>
          <w:rFonts w:hint="cs"/>
          <w:rtl/>
        </w:rPr>
        <w:t>דברי הר"ן בחי' דבכזית בכא"פ נטל"פ אסור אף באיסור מאוס</w:t>
      </w:r>
      <w:bookmarkEnd w:id="11161"/>
      <w:bookmarkEnd w:id="11162"/>
      <w:bookmarkEnd w:id="11163"/>
      <w:bookmarkEnd w:id="11164"/>
    </w:p>
    <w:p w:rsidR="006C2032" w:rsidRPr="003B087F" w:rsidRDefault="006C2032" w:rsidP="006C2032">
      <w:pPr>
        <w:pStyle w:val="a2"/>
      </w:pPr>
      <w:bookmarkStart w:id="11165" w:name="_Toc20310956"/>
      <w:bookmarkStart w:id="11166" w:name="_Toc20311128"/>
      <w:bookmarkStart w:id="11167" w:name="_Toc20315397"/>
      <w:bookmarkStart w:id="11168" w:name="_Toc20315789"/>
      <w:bookmarkStart w:id="11169" w:name="_Toc20267132"/>
      <w:r w:rsidRPr="003B087F">
        <w:rPr>
          <w:rFonts w:hint="cs"/>
          <w:rtl/>
        </w:rPr>
        <w:t>דחיית הר"ן לדברי הרשב"א דנטל"פ בטל ברוב דבכזית בכא"פ לא מהני ביטול ברוב</w:t>
      </w:r>
      <w:bookmarkEnd w:id="11165"/>
      <w:bookmarkEnd w:id="11166"/>
      <w:bookmarkEnd w:id="11167"/>
      <w:bookmarkEnd w:id="11168"/>
    </w:p>
    <w:p w:rsidR="006C2032" w:rsidRDefault="006C2032" w:rsidP="009F44AF">
      <w:pPr>
        <w:pStyle w:val="a"/>
        <w:rPr>
          <w:rtl/>
        </w:rPr>
      </w:pPr>
      <w:bookmarkStart w:id="11170" w:name="_Ref20299627"/>
      <w:r>
        <w:rPr>
          <w:rFonts w:hint="cs"/>
          <w:rtl/>
        </w:rPr>
        <w:t xml:space="preserve">אמנם יעוי' בדברי </w:t>
      </w:r>
      <w:r w:rsidRPr="00BA6010">
        <w:rPr>
          <w:rStyle w:val="af8"/>
          <w:rtl/>
        </w:rPr>
        <w:t>הר"ן בחי'</w:t>
      </w:r>
      <w:r>
        <w:rPr>
          <w:rStyle w:val="af8"/>
          <w:rFonts w:hint="cs"/>
          <w:rtl/>
        </w:rPr>
        <w:t xml:space="preserve"> לעיל</w:t>
      </w:r>
      <w:r w:rsidRPr="00BA6010">
        <w:rPr>
          <w:rStyle w:val="af8"/>
          <w:rtl/>
        </w:rPr>
        <w:t xml:space="preserve"> </w:t>
      </w:r>
      <w:r w:rsidRPr="00384E1D">
        <w:rPr>
          <w:rStyle w:val="af6"/>
          <w:rFonts w:eastAsia="Guttman Hodes" w:hint="cs"/>
          <w:rtl/>
        </w:rPr>
        <w:t>(סו: סוד"ה כל)</w:t>
      </w:r>
      <w:r w:rsidRPr="00384E1D">
        <w:rPr>
          <w:rStyle w:val="af6"/>
          <w:rFonts w:eastAsia="Guttman Hodes"/>
          <w:rtl/>
        </w:rPr>
        <w:t xml:space="preserve"> </w:t>
      </w:r>
      <w:r>
        <w:rPr>
          <w:rFonts w:hint="cs"/>
          <w:rtl/>
        </w:rPr>
        <w:t xml:space="preserve">דהביא </w:t>
      </w:r>
      <w:r w:rsidRPr="00BA6010">
        <w:rPr>
          <w:rFonts w:hint="cs"/>
          <w:rtl/>
        </w:rPr>
        <w:t xml:space="preserve">את דברי </w:t>
      </w:r>
      <w:r w:rsidRPr="00D47CE7">
        <w:rPr>
          <w:rStyle w:val="af8"/>
          <w:rFonts w:hint="cs"/>
          <w:rtl/>
        </w:rPr>
        <w:t>הרשב"א בתוה"ב</w:t>
      </w:r>
      <w:r w:rsidRPr="00D47CE7">
        <w:rPr>
          <w:rFonts w:hint="cs"/>
          <w:rtl/>
        </w:rPr>
        <w:t xml:space="preserve"> </w:t>
      </w:r>
      <w:r w:rsidRPr="00D47CE7">
        <w:rPr>
          <w:rStyle w:val="af6"/>
          <w:rFonts w:eastAsia="Guttman Hodes" w:hint="cs"/>
          <w:rtl/>
        </w:rPr>
        <w:t>(ב"ד ש"א יט. מדה"ס ד"ה פגם</w:t>
      </w:r>
      <w:r>
        <w:rPr>
          <w:rStyle w:val="af6"/>
          <w:rFonts w:eastAsia="Guttman Hodes" w:hint="cs"/>
          <w:rtl/>
        </w:rPr>
        <w:t xml:space="preserve">, הובא לעיל סימן י"ב אות י"ז) </w:t>
      </w:r>
      <w:r w:rsidRPr="00D47CE7">
        <w:rPr>
          <w:rFonts w:hint="cs"/>
          <w:rtl/>
        </w:rPr>
        <w:t xml:space="preserve"> </w:t>
      </w:r>
      <w:r>
        <w:rPr>
          <w:rFonts w:hint="cs"/>
          <w:rtl/>
        </w:rPr>
        <w:t>דכתב דב</w:t>
      </w:r>
      <w:r w:rsidRPr="00D47CE7">
        <w:rPr>
          <w:rFonts w:hint="cs"/>
          <w:rtl/>
        </w:rPr>
        <w:t>נותן טעם לפגם</w:t>
      </w:r>
      <w:r>
        <w:rPr>
          <w:rFonts w:hint="cs"/>
          <w:rtl/>
        </w:rPr>
        <w:t xml:space="preserve"> בשאר איסורין</w:t>
      </w:r>
      <w:r w:rsidRPr="00D47CE7">
        <w:rPr>
          <w:rFonts w:hint="cs"/>
          <w:rtl/>
        </w:rPr>
        <w:t xml:space="preserve">, ההיתר </w:t>
      </w:r>
      <w:r>
        <w:rPr>
          <w:rFonts w:hint="cs"/>
          <w:rtl/>
        </w:rPr>
        <w:t xml:space="preserve">הוא </w:t>
      </w:r>
      <w:r w:rsidRPr="00D47CE7">
        <w:rPr>
          <w:rFonts w:hint="cs"/>
          <w:rtl/>
        </w:rPr>
        <w:t>דוקא באופן שהתערב מעט איסור בתוך רוב של היתר,</w:t>
      </w:r>
      <w:r w:rsidRPr="00BA6010">
        <w:rPr>
          <w:rStyle w:val="af6"/>
          <w:rFonts w:eastAsia="Guttman Hodes" w:hint="cs"/>
          <w:rtl/>
        </w:rPr>
        <w:t xml:space="preserve"> </w:t>
      </w:r>
      <w:r w:rsidRPr="00BA6010">
        <w:rPr>
          <w:rFonts w:hint="cs"/>
          <w:rtl/>
        </w:rPr>
        <w:t>דהא מדאו' חד בתרי בטיל, ומדין טעם כעיקר אינו אסור כיון שהוא פוגם, וכן</w:t>
      </w:r>
      <w:r>
        <w:rPr>
          <w:rFonts w:hint="cs"/>
          <w:rtl/>
        </w:rPr>
        <w:t xml:space="preserve"> הביא </w:t>
      </w:r>
      <w:r w:rsidRPr="00BA6010">
        <w:rPr>
          <w:rStyle w:val="af8"/>
          <w:rtl/>
        </w:rPr>
        <w:t>הר"ן בחי'</w:t>
      </w:r>
      <w:r w:rsidRPr="00BA6010">
        <w:rPr>
          <w:rFonts w:hint="cs"/>
          <w:rtl/>
        </w:rPr>
        <w:t xml:space="preserve"> את דברי </w:t>
      </w:r>
      <w:r w:rsidRPr="00BA6010">
        <w:rPr>
          <w:rStyle w:val="af8"/>
          <w:rFonts w:hint="cs"/>
          <w:rtl/>
        </w:rPr>
        <w:t>הרשב"א בתוה"ב</w:t>
      </w:r>
      <w:r w:rsidRPr="00BA6010">
        <w:rPr>
          <w:rFonts w:hint="cs"/>
          <w:rtl/>
        </w:rPr>
        <w:t xml:space="preserve"> </w:t>
      </w:r>
      <w:r w:rsidRPr="00BA6010">
        <w:rPr>
          <w:rStyle w:val="af6"/>
          <w:rFonts w:eastAsia="Guttman Hodes" w:hint="cs"/>
          <w:rtl/>
        </w:rPr>
        <w:t xml:space="preserve">(עי' אות </w:t>
      </w:r>
      <w:r w:rsidRPr="00BA6010">
        <w:rPr>
          <w:rStyle w:val="af6"/>
          <w:rFonts w:eastAsia="Guttman Hodes"/>
          <w:rtl/>
        </w:rPr>
        <w:fldChar w:fldCharType="begin"/>
      </w:r>
      <w:r w:rsidRPr="00BA6010">
        <w:rPr>
          <w:rStyle w:val="af6"/>
          <w:rFonts w:eastAsia="Guttman Hodes"/>
          <w:rtl/>
        </w:rPr>
        <w:instrText xml:space="preserve"> </w:instrText>
      </w:r>
      <w:r w:rsidRPr="00BA6010">
        <w:rPr>
          <w:rStyle w:val="af6"/>
          <w:rFonts w:eastAsia="Guttman Hodes" w:hint="cs"/>
        </w:rPr>
        <w:instrText>REF</w:instrText>
      </w:r>
      <w:r w:rsidRPr="00BA6010">
        <w:rPr>
          <w:rStyle w:val="af6"/>
          <w:rFonts w:eastAsia="Guttman Hodes" w:hint="cs"/>
          <w:rtl/>
        </w:rPr>
        <w:instrText xml:space="preserve"> _</w:instrText>
      </w:r>
      <w:r w:rsidRPr="00BA6010">
        <w:rPr>
          <w:rStyle w:val="af6"/>
          <w:rFonts w:eastAsia="Guttman Hodes" w:hint="cs"/>
        </w:rPr>
        <w:instrText>Ref20068581 \r \h</w:instrText>
      </w:r>
      <w:r w:rsidRPr="00BA6010">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BA6010">
        <w:rPr>
          <w:rStyle w:val="af6"/>
          <w:rFonts w:eastAsia="Guttman Hodes"/>
          <w:rtl/>
        </w:rPr>
      </w:r>
      <w:r w:rsidRPr="00BA6010">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BA6010">
        <w:rPr>
          <w:rStyle w:val="af6"/>
          <w:rFonts w:eastAsia="Guttman Hodes"/>
          <w:rtl/>
        </w:rPr>
        <w:fldChar w:fldCharType="end"/>
      </w:r>
      <w:r w:rsidRPr="00BA6010">
        <w:rPr>
          <w:rStyle w:val="af6"/>
          <w:rFonts w:eastAsia="Guttman Hodes" w:hint="cs"/>
          <w:rtl/>
        </w:rPr>
        <w:t xml:space="preserve"> </w:t>
      </w:r>
      <w:r w:rsidRPr="00BA6010">
        <w:rPr>
          <w:rFonts w:hint="cs"/>
          <w:rtl/>
        </w:rPr>
        <w:t>דכתב ד</w:t>
      </w:r>
      <w:r>
        <w:rPr>
          <w:rFonts w:hint="cs"/>
          <w:rtl/>
        </w:rPr>
        <w:t>ב</w:t>
      </w:r>
      <w:r w:rsidRPr="00BA6010">
        <w:rPr>
          <w:rFonts w:hint="cs"/>
          <w:rtl/>
        </w:rPr>
        <w:t>איסור שמאוס מ</w:t>
      </w:r>
      <w:r>
        <w:rPr>
          <w:rFonts w:hint="cs"/>
          <w:rtl/>
        </w:rPr>
        <w:t>עיקרו</w:t>
      </w:r>
      <w:r w:rsidRPr="00BA6010">
        <w:rPr>
          <w:rFonts w:hint="cs"/>
          <w:rtl/>
        </w:rPr>
        <w:t xml:space="preserve"> שהתערב בהיתר ופגם אותו, ויש רוב בהיתר כנגד האיסור, דמותר כיון דהממשות של האיסור בטלה מדאו' ברוב, ומדין טעם כעיקר אין איסור כיון שהוא פוגם אין בו איסור מדין טעם כעיקר, ודחה </w:t>
      </w:r>
      <w:r w:rsidRPr="00BA6010">
        <w:rPr>
          <w:rStyle w:val="af8"/>
          <w:rFonts w:hint="cs"/>
          <w:rtl/>
        </w:rPr>
        <w:t>הר"</w:t>
      </w:r>
      <w:r w:rsidRPr="00A30936">
        <w:rPr>
          <w:rStyle w:val="af8"/>
          <w:rFonts w:hint="cs"/>
          <w:rtl/>
        </w:rPr>
        <w:t>ן בחי'</w:t>
      </w:r>
      <w:r w:rsidRPr="00BA6010">
        <w:rPr>
          <w:rFonts w:hint="cs"/>
          <w:rtl/>
        </w:rPr>
        <w:t xml:space="preserve"> את דברי </w:t>
      </w:r>
      <w:r w:rsidRPr="00BA6010">
        <w:rPr>
          <w:rStyle w:val="af8"/>
          <w:rFonts w:hint="cs"/>
          <w:rtl/>
        </w:rPr>
        <w:t>הרשב"א</w:t>
      </w:r>
      <w:r w:rsidRPr="00BA6010">
        <w:rPr>
          <w:rFonts w:hint="cs"/>
          <w:rtl/>
        </w:rPr>
        <w:t xml:space="preserve"> דכל שיש </w:t>
      </w:r>
      <w:r>
        <w:rPr>
          <w:rFonts w:hint="cs"/>
          <w:rtl/>
        </w:rPr>
        <w:t>מהאיסור</w:t>
      </w:r>
      <w:r w:rsidRPr="00BA6010">
        <w:rPr>
          <w:rFonts w:hint="cs"/>
          <w:rtl/>
        </w:rPr>
        <w:t xml:space="preserve"> כזית בכדי אכילת פרס אסור</w:t>
      </w:r>
      <w:r>
        <w:rPr>
          <w:rFonts w:hint="cs"/>
          <w:rtl/>
        </w:rPr>
        <w:t>, ד</w:t>
      </w:r>
      <w:r w:rsidRPr="00BA6010">
        <w:rPr>
          <w:rFonts w:hint="cs"/>
          <w:rtl/>
        </w:rPr>
        <w:t>אינו בטל ולוקין עלי</w:t>
      </w:r>
      <w:r>
        <w:rPr>
          <w:rFonts w:hint="cs"/>
          <w:rtl/>
        </w:rPr>
        <w:t>ו</w:t>
      </w:r>
      <w:r w:rsidR="009F4CE3" w:rsidRPr="00D47CE7">
        <w:rPr>
          <w:rStyle w:val="af0"/>
          <w:rtl/>
        </w:rPr>
        <w:footnoteReference w:id="54"/>
      </w:r>
      <w:r>
        <w:rPr>
          <w:rFonts w:hint="cs"/>
          <w:rtl/>
        </w:rPr>
        <w:t>.</w:t>
      </w:r>
      <w:bookmarkEnd w:id="11170"/>
    </w:p>
    <w:p w:rsidR="006C2032" w:rsidRPr="00CA2672" w:rsidRDefault="006C2032" w:rsidP="006C2032">
      <w:pPr>
        <w:pStyle w:val="a2"/>
      </w:pPr>
      <w:bookmarkStart w:id="11171" w:name="_Toc20310957"/>
      <w:bookmarkStart w:id="11172" w:name="_Toc20311129"/>
      <w:bookmarkStart w:id="11173" w:name="_Toc20315398"/>
      <w:bookmarkStart w:id="11174" w:name="_Toc20315790"/>
      <w:r>
        <w:rPr>
          <w:rFonts w:hint="cs"/>
          <w:rtl/>
        </w:rPr>
        <w:t>ביאור הר"ן דבכזית בכא"פ נהנה מהטעם הפגום ואינו בכלל הילפותא לנטל"פ מנבילה</w:t>
      </w:r>
      <w:bookmarkEnd w:id="11171"/>
      <w:bookmarkEnd w:id="11172"/>
      <w:bookmarkEnd w:id="11173"/>
      <w:bookmarkEnd w:id="11174"/>
    </w:p>
    <w:p w:rsidR="006C2032" w:rsidRDefault="006C2032" w:rsidP="009F44AF">
      <w:pPr>
        <w:pStyle w:val="a"/>
        <w:rPr>
          <w:sz w:val="10"/>
          <w:szCs w:val="14"/>
          <w:rtl/>
        </w:rPr>
      </w:pPr>
      <w:r>
        <w:rPr>
          <w:rFonts w:hint="cs"/>
          <w:rtl/>
        </w:rPr>
        <w:t xml:space="preserve">וביאר </w:t>
      </w:r>
      <w:r w:rsidRPr="00BA6010">
        <w:rPr>
          <w:rStyle w:val="af8"/>
          <w:rtl/>
        </w:rPr>
        <w:t>הר"ן בחי'</w:t>
      </w:r>
      <w:r w:rsidRPr="00BA6010">
        <w:rPr>
          <w:rFonts w:hint="cs"/>
          <w:rtl/>
        </w:rPr>
        <w:t xml:space="preserve"> </w:t>
      </w:r>
      <w:r>
        <w:rPr>
          <w:rFonts w:hint="cs"/>
          <w:rtl/>
        </w:rPr>
        <w:t xml:space="preserve">דכיון שיש כזית בכדי אכילת פרס, א"כ אינו בכלל הילפותא לנותן טעם לפגם מנבילה, דכל הילפותא מנבילה להתיר נותן טעם לפגם, הוא דכמו דהתירה תורה נבילה שאינה ראויה לגר, כיון שאינו נהנה באכילתה, ה"ה בנותן טעם לפגם שאינו נהנה מהטעם האסור שמעורב בתערובת, </w:t>
      </w:r>
      <w:r w:rsidRPr="00785563">
        <w:rPr>
          <w:rStyle w:val="afa"/>
          <w:rFonts w:hint="cs"/>
          <w:rtl/>
        </w:rPr>
        <w:t xml:space="preserve">[כדביאר שם </w:t>
      </w:r>
      <w:r w:rsidRPr="00785563">
        <w:rPr>
          <w:rStyle w:val="affa"/>
          <w:rFonts w:hint="cs"/>
          <w:rtl/>
        </w:rPr>
        <w:t>הר"ן</w:t>
      </w:r>
      <w:r w:rsidRPr="00785563">
        <w:rPr>
          <w:rStyle w:val="afa"/>
          <w:rFonts w:hint="cs"/>
          <w:rtl/>
        </w:rPr>
        <w:t xml:space="preserve"> </w:t>
      </w:r>
      <w:r w:rsidRPr="00785563">
        <w:rPr>
          <w:rStyle w:val="aff6"/>
          <w:rFonts w:hint="cs"/>
          <w:rtl/>
        </w:rPr>
        <w:t>(ה</w:t>
      </w:r>
      <w:r w:rsidRPr="00785563">
        <w:rPr>
          <w:rStyle w:val="aff6"/>
          <w:rFonts w:hint="cs"/>
          <w:b/>
          <w:bCs/>
          <w:rtl/>
        </w:rPr>
        <w:t>ובא לעיל סימן י"ב אות מ"ז)</w:t>
      </w:r>
      <w:r w:rsidRPr="00785563">
        <w:rPr>
          <w:rStyle w:val="afa"/>
          <w:rFonts w:hint="cs"/>
          <w:rtl/>
        </w:rPr>
        <w:t>]</w:t>
      </w:r>
      <w:r>
        <w:rPr>
          <w:rStyle w:val="afa"/>
          <w:rFonts w:hint="cs"/>
          <w:rtl/>
        </w:rPr>
        <w:t xml:space="preserve">, </w:t>
      </w:r>
      <w:r>
        <w:rPr>
          <w:rFonts w:hint="cs"/>
          <w:rtl/>
        </w:rPr>
        <w:t>אבל כל שיש בטעם האסור כזית בכדי אכילת פרס, הוא נהנה מהאיסור, ואינו בכלל הילפותא מנבילה</w:t>
      </w:r>
      <w:r w:rsidRPr="00BA6010">
        <w:rPr>
          <w:rFonts w:hint="cs"/>
          <w:rtl/>
        </w:rPr>
        <w:t>, ורק במקום שנפסל מאכילת אדם כנבילה מותר</w:t>
      </w:r>
      <w:r>
        <w:rPr>
          <w:rFonts w:hint="cs"/>
          <w:rtl/>
        </w:rPr>
        <w:t>.</w:t>
      </w:r>
    </w:p>
    <w:p w:rsidR="006C2032" w:rsidRPr="00785563" w:rsidRDefault="006C2032" w:rsidP="006C2032">
      <w:pPr>
        <w:pStyle w:val="a2"/>
      </w:pPr>
      <w:bookmarkStart w:id="11175" w:name="_Toc20310958"/>
      <w:bookmarkStart w:id="11176" w:name="_Toc20311130"/>
      <w:bookmarkStart w:id="11177" w:name="_Toc20315399"/>
      <w:bookmarkStart w:id="11178" w:name="_Toc20315791"/>
      <w:r>
        <w:rPr>
          <w:rFonts w:hint="cs"/>
          <w:rtl/>
        </w:rPr>
        <w:t>דברי הר"ן דכל שהאיסור הגדיל את ההיתר נטל"פ אסור אף בפחות מכזית בכא"פ</w:t>
      </w:r>
      <w:bookmarkEnd w:id="11175"/>
      <w:bookmarkEnd w:id="11176"/>
      <w:bookmarkEnd w:id="11177"/>
      <w:bookmarkEnd w:id="11178"/>
    </w:p>
    <w:p w:rsidR="007D485E" w:rsidRDefault="006C2032" w:rsidP="009F44AF">
      <w:pPr>
        <w:pStyle w:val="a"/>
        <w:rPr>
          <w:rStyle w:val="afa"/>
          <w:rtl/>
        </w:rPr>
      </w:pPr>
      <w:bookmarkStart w:id="11179" w:name="_Ref20300317"/>
      <w:r>
        <w:rPr>
          <w:rFonts w:hint="cs"/>
          <w:rtl/>
        </w:rPr>
        <w:t xml:space="preserve">והוסיף </w:t>
      </w:r>
      <w:r w:rsidRPr="00785563">
        <w:rPr>
          <w:rStyle w:val="af8"/>
          <w:rFonts w:hint="cs"/>
          <w:rtl/>
        </w:rPr>
        <w:t>הר"ן בחי'</w:t>
      </w:r>
      <w:r>
        <w:rPr>
          <w:rFonts w:hint="cs"/>
          <w:rtl/>
        </w:rPr>
        <w:t xml:space="preserve"> דאף כשאין כזית איסור בכדי אכילת פרס, אך האיסור הגדיל את מידת ההיתר, ג"כ לא שייך להתירו כיון שנהנה מהאיסור, </w:t>
      </w:r>
      <w:r w:rsidRPr="00785563">
        <w:rPr>
          <w:rStyle w:val="afa"/>
          <w:rFonts w:hint="cs"/>
          <w:rtl/>
        </w:rPr>
        <w:t xml:space="preserve">[כדכתב שם </w:t>
      </w:r>
      <w:r w:rsidRPr="00785563">
        <w:rPr>
          <w:rStyle w:val="affa"/>
          <w:rFonts w:hint="cs"/>
          <w:rtl/>
        </w:rPr>
        <w:t>הר"ן</w:t>
      </w:r>
      <w:r w:rsidRPr="00785563">
        <w:rPr>
          <w:rStyle w:val="afa"/>
          <w:rFonts w:hint="cs"/>
          <w:rtl/>
        </w:rPr>
        <w:t xml:space="preserve"> </w:t>
      </w:r>
      <w:r w:rsidRPr="00C4035F">
        <w:rPr>
          <w:rStyle w:val="aff6"/>
          <w:rFonts w:hint="cs"/>
          <w:rtl/>
        </w:rPr>
        <w:t>(הובא לעיל סימן י"ב אות מ"ח)</w:t>
      </w:r>
      <w:r w:rsidRPr="00785563">
        <w:rPr>
          <w:rStyle w:val="afa"/>
          <w:rFonts w:hint="cs"/>
          <w:rtl/>
        </w:rPr>
        <w:t>]</w:t>
      </w:r>
      <w:bookmarkEnd w:id="11179"/>
      <w:r>
        <w:rPr>
          <w:rStyle w:val="afa"/>
          <w:rFonts w:hint="cs"/>
          <w:rtl/>
        </w:rPr>
        <w:t xml:space="preserve">, </w:t>
      </w:r>
      <w:r w:rsidRPr="00CD1880">
        <w:rPr>
          <w:rFonts w:hint="cs"/>
          <w:rtl/>
        </w:rPr>
        <w:t xml:space="preserve">ועי' בדברי </w:t>
      </w:r>
      <w:r w:rsidRPr="00CD1880">
        <w:rPr>
          <w:rStyle w:val="af8"/>
          <w:rFonts w:hint="cs"/>
          <w:rtl/>
        </w:rPr>
        <w:t>הב"י</w:t>
      </w:r>
      <w:r w:rsidRPr="00CD1880">
        <w:rPr>
          <w:rFonts w:hint="cs"/>
          <w:rtl/>
        </w:rPr>
        <w:t xml:space="preserve"> </w:t>
      </w:r>
      <w:r w:rsidRPr="00CD1880">
        <w:rPr>
          <w:rStyle w:val="af6"/>
          <w:rFonts w:eastAsia="Guttman Hodes" w:hint="cs"/>
          <w:rtl/>
        </w:rPr>
        <w:t xml:space="preserve">(עי' אות </w:t>
      </w:r>
      <w:r w:rsidRPr="00CD1880">
        <w:rPr>
          <w:rStyle w:val="af6"/>
          <w:rFonts w:eastAsia="Guttman Hodes"/>
          <w:rtl/>
        </w:rPr>
        <w:fldChar w:fldCharType="begin"/>
      </w:r>
      <w:r w:rsidRPr="00CD1880">
        <w:rPr>
          <w:rStyle w:val="af6"/>
          <w:rFonts w:eastAsia="Guttman Hodes"/>
          <w:rtl/>
        </w:rPr>
        <w:instrText xml:space="preserve"> </w:instrText>
      </w:r>
      <w:r w:rsidRPr="00CD1880">
        <w:rPr>
          <w:rStyle w:val="af6"/>
          <w:rFonts w:eastAsia="Guttman Hodes" w:hint="cs"/>
        </w:rPr>
        <w:instrText>REF</w:instrText>
      </w:r>
      <w:r w:rsidRPr="00CD1880">
        <w:rPr>
          <w:rStyle w:val="af6"/>
          <w:rFonts w:eastAsia="Guttman Hodes" w:hint="cs"/>
          <w:rtl/>
        </w:rPr>
        <w:instrText xml:space="preserve"> _</w:instrText>
      </w:r>
      <w:r w:rsidRPr="00CD1880">
        <w:rPr>
          <w:rStyle w:val="af6"/>
          <w:rFonts w:eastAsia="Guttman Hodes" w:hint="cs"/>
        </w:rPr>
        <w:instrText>Ref20300366 \r \h</w:instrText>
      </w:r>
      <w:r w:rsidRPr="00CD1880">
        <w:rPr>
          <w:rStyle w:val="af6"/>
          <w:rFonts w:eastAsia="Guttman Hodes"/>
          <w:rtl/>
        </w:rPr>
        <w:instrText xml:space="preserve"> </w:instrText>
      </w:r>
      <w:r w:rsidRPr="00CD1880">
        <w:rPr>
          <w:rStyle w:val="af6"/>
          <w:rFonts w:eastAsia="Guttman Hodes"/>
          <w:rtl/>
        </w:rPr>
      </w:r>
      <w:r w:rsidRPr="00CD1880">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CD1880">
        <w:rPr>
          <w:rStyle w:val="af6"/>
          <w:rFonts w:eastAsia="Guttman Hodes"/>
          <w:rtl/>
        </w:rPr>
        <w:fldChar w:fldCharType="end"/>
      </w:r>
      <w:r>
        <w:rPr>
          <w:rFonts w:hint="cs"/>
          <w:rtl/>
        </w:rPr>
        <w:t xml:space="preserve"> </w:t>
      </w:r>
      <w:r w:rsidRPr="004A79EB">
        <w:rPr>
          <w:rStyle w:val="af8"/>
          <w:rFonts w:hint="cs"/>
          <w:rtl/>
        </w:rPr>
        <w:t>ו</w:t>
      </w:r>
      <w:r w:rsidRPr="00C17C41">
        <w:rPr>
          <w:rStyle w:val="af8"/>
          <w:rFonts w:hint="cs"/>
          <w:rtl/>
        </w:rPr>
        <w:t>הגר"א</w:t>
      </w:r>
      <w:r>
        <w:rPr>
          <w:rFonts w:hint="cs"/>
          <w:rtl/>
        </w:rPr>
        <w:t xml:space="preserve"> </w:t>
      </w:r>
      <w:r w:rsidRPr="004A79EB">
        <w:rPr>
          <w:rStyle w:val="af6"/>
          <w:rFonts w:eastAsia="Guttman Hodes" w:hint="cs"/>
          <w:rtl/>
        </w:rPr>
        <w:t xml:space="preserve">(עי' אות </w:t>
      </w:r>
      <w:r w:rsidRPr="004A79EB">
        <w:rPr>
          <w:rStyle w:val="af6"/>
          <w:rFonts w:eastAsia="Guttman Hodes"/>
          <w:rtl/>
        </w:rPr>
        <w:fldChar w:fldCharType="begin"/>
      </w:r>
      <w:r w:rsidRPr="004A79EB">
        <w:rPr>
          <w:rStyle w:val="af6"/>
          <w:rFonts w:eastAsia="Guttman Hodes"/>
          <w:rtl/>
        </w:rPr>
        <w:instrText xml:space="preserve"> </w:instrText>
      </w:r>
      <w:r w:rsidRPr="004A79EB">
        <w:rPr>
          <w:rStyle w:val="af6"/>
          <w:rFonts w:eastAsia="Guttman Hodes" w:hint="cs"/>
        </w:rPr>
        <w:instrText>REF</w:instrText>
      </w:r>
      <w:r w:rsidRPr="004A79EB">
        <w:rPr>
          <w:rStyle w:val="af6"/>
          <w:rFonts w:eastAsia="Guttman Hodes" w:hint="cs"/>
          <w:rtl/>
        </w:rPr>
        <w:instrText xml:space="preserve"> _</w:instrText>
      </w:r>
      <w:r w:rsidRPr="004A79EB">
        <w:rPr>
          <w:rStyle w:val="af6"/>
          <w:rFonts w:eastAsia="Guttman Hodes" w:hint="cs"/>
        </w:rPr>
        <w:instrText>Ref20300481 \r \h</w:instrText>
      </w:r>
      <w:r w:rsidRPr="004A79EB">
        <w:rPr>
          <w:rStyle w:val="af6"/>
          <w:rFonts w:eastAsia="Guttman Hodes"/>
          <w:rtl/>
        </w:rPr>
        <w:instrText xml:space="preserve"> </w:instrText>
      </w:r>
      <w:r w:rsidRPr="004A79EB">
        <w:rPr>
          <w:rStyle w:val="af6"/>
          <w:rFonts w:eastAsia="Guttman Hodes"/>
          <w:rtl/>
        </w:rPr>
      </w:r>
      <w:r w:rsidRPr="004A79EB">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4A79EB">
        <w:rPr>
          <w:rStyle w:val="af6"/>
          <w:rFonts w:eastAsia="Guttman Hodes"/>
          <w:rtl/>
        </w:rPr>
        <w:fldChar w:fldCharType="end"/>
      </w:r>
      <w:r>
        <w:rPr>
          <w:rFonts w:hint="cs"/>
          <w:rtl/>
        </w:rPr>
        <w:t xml:space="preserve">, ובדברי </w:t>
      </w:r>
      <w:r w:rsidRPr="00C4035F">
        <w:rPr>
          <w:rStyle w:val="af8"/>
          <w:rFonts w:hint="cs"/>
          <w:rtl/>
        </w:rPr>
        <w:t>הפרמ"ג</w:t>
      </w:r>
      <w:r>
        <w:rPr>
          <w:rFonts w:hint="cs"/>
          <w:rtl/>
        </w:rPr>
        <w:t xml:space="preserve"> </w:t>
      </w:r>
      <w:r w:rsidRPr="00C4035F">
        <w:rPr>
          <w:rStyle w:val="af6"/>
          <w:rFonts w:eastAsia="Guttman Hodes" w:hint="cs"/>
          <w:rtl/>
        </w:rPr>
        <w:t xml:space="preserve">(עי' אות </w:t>
      </w:r>
      <w:r w:rsidRPr="00C4035F">
        <w:rPr>
          <w:rStyle w:val="af6"/>
          <w:rFonts w:eastAsia="Guttman Hodes"/>
          <w:rtl/>
        </w:rPr>
        <w:fldChar w:fldCharType="begin"/>
      </w:r>
      <w:r w:rsidRPr="00C4035F">
        <w:rPr>
          <w:rStyle w:val="af6"/>
          <w:rFonts w:eastAsia="Guttman Hodes"/>
          <w:rtl/>
        </w:rPr>
        <w:instrText xml:space="preserve"> </w:instrText>
      </w:r>
      <w:r w:rsidRPr="00C4035F">
        <w:rPr>
          <w:rStyle w:val="af6"/>
          <w:rFonts w:eastAsia="Guttman Hodes" w:hint="cs"/>
        </w:rPr>
        <w:instrText>REF</w:instrText>
      </w:r>
      <w:r w:rsidRPr="00C4035F">
        <w:rPr>
          <w:rStyle w:val="af6"/>
          <w:rFonts w:eastAsia="Guttman Hodes" w:hint="cs"/>
          <w:rtl/>
        </w:rPr>
        <w:instrText xml:space="preserve"> _</w:instrText>
      </w:r>
      <w:r w:rsidRPr="00C4035F">
        <w:rPr>
          <w:rStyle w:val="af6"/>
          <w:rFonts w:eastAsia="Guttman Hodes" w:hint="cs"/>
        </w:rPr>
        <w:instrText>Ref20339351 \r \h</w:instrText>
      </w:r>
      <w:r w:rsidRPr="00C4035F">
        <w:rPr>
          <w:rStyle w:val="af6"/>
          <w:rFonts w:eastAsia="Guttman Hodes"/>
          <w:rtl/>
        </w:rPr>
        <w:instrText xml:space="preserve"> </w:instrText>
      </w:r>
      <w:r w:rsidRPr="00C4035F">
        <w:rPr>
          <w:rStyle w:val="af6"/>
          <w:rFonts w:eastAsia="Guttman Hodes"/>
          <w:rtl/>
        </w:rPr>
      </w:r>
      <w:r w:rsidRPr="00C4035F">
        <w:rPr>
          <w:rStyle w:val="af6"/>
          <w:rFonts w:eastAsia="Guttman Hodes"/>
          <w:rtl/>
        </w:rPr>
        <w:fldChar w:fldCharType="separate"/>
      </w:r>
      <w:r w:rsidR="004D1C5B">
        <w:rPr>
          <w:rStyle w:val="af6"/>
          <w:rFonts w:eastAsia="Guttman Hodes"/>
          <w:cs/>
        </w:rPr>
        <w:t>‎</w:t>
      </w:r>
      <w:r w:rsidR="004D1C5B">
        <w:rPr>
          <w:rStyle w:val="af6"/>
          <w:rFonts w:eastAsia="Guttman Hodes"/>
          <w:rtl/>
        </w:rPr>
        <w:t>מה)</w:t>
      </w:r>
      <w:r w:rsidRPr="00C4035F">
        <w:rPr>
          <w:rStyle w:val="af6"/>
          <w:rFonts w:eastAsia="Guttman Hodes"/>
          <w:rtl/>
        </w:rPr>
        <w:fldChar w:fldCharType="end"/>
      </w:r>
      <w:r>
        <w:rPr>
          <w:rFonts w:hint="cs"/>
          <w:rtl/>
        </w:rPr>
        <w:t>.</w:t>
      </w:r>
      <w:r w:rsidRPr="00CD1880">
        <w:rPr>
          <w:rFonts w:hint="cs"/>
          <w:rtl/>
        </w:rPr>
        <w:t xml:space="preserve"> </w:t>
      </w:r>
    </w:p>
    <w:p w:rsidR="006C2032" w:rsidRDefault="006C2032" w:rsidP="00E669F8">
      <w:pPr>
        <w:pStyle w:val="afd"/>
        <w:rPr>
          <w:rtl/>
        </w:rPr>
      </w:pPr>
      <w:bookmarkStart w:id="11180" w:name="_Toc20310959"/>
      <w:bookmarkStart w:id="11181" w:name="_Toc20311131"/>
      <w:bookmarkStart w:id="11182" w:name="_Toc20315400"/>
      <w:bookmarkStart w:id="11183" w:name="_Toc20315792"/>
      <w:r>
        <w:rPr>
          <w:rFonts w:hint="cs"/>
          <w:rtl/>
        </w:rPr>
        <w:t>דעת המאירי דבנימוח גופו אסור בכא"פ</w:t>
      </w:r>
      <w:bookmarkEnd w:id="11180"/>
      <w:bookmarkEnd w:id="11181"/>
      <w:bookmarkEnd w:id="11182"/>
      <w:bookmarkEnd w:id="11183"/>
    </w:p>
    <w:p w:rsidR="006C2032" w:rsidRDefault="006C2032" w:rsidP="006C2032">
      <w:pPr>
        <w:pStyle w:val="1"/>
        <w:rPr>
          <w:rtl/>
        </w:rPr>
      </w:pPr>
      <w:bookmarkStart w:id="11184" w:name="_Toc20310960"/>
      <w:bookmarkStart w:id="11185" w:name="_Toc20311132"/>
      <w:bookmarkStart w:id="11186" w:name="_Toc20315401"/>
      <w:bookmarkStart w:id="11187" w:name="_Toc20315793"/>
      <w:r>
        <w:rPr>
          <w:rFonts w:hint="cs"/>
          <w:rtl/>
        </w:rPr>
        <w:t>דעת המאירי דבנימוח גופו אסור בכא"פ ובטעמו מותר</w:t>
      </w:r>
      <w:bookmarkEnd w:id="11184"/>
      <w:bookmarkEnd w:id="11185"/>
      <w:bookmarkEnd w:id="11186"/>
      <w:bookmarkEnd w:id="11187"/>
    </w:p>
    <w:p w:rsidR="006C2032" w:rsidRPr="00191499" w:rsidRDefault="006C2032" w:rsidP="006C2032">
      <w:pPr>
        <w:pStyle w:val="a2"/>
        <w:rPr>
          <w:rtl/>
        </w:rPr>
      </w:pPr>
      <w:bookmarkStart w:id="11188" w:name="_Toc20310961"/>
      <w:bookmarkStart w:id="11189" w:name="_Toc20311133"/>
      <w:bookmarkStart w:id="11190" w:name="_Toc20315402"/>
      <w:bookmarkStart w:id="11191" w:name="_Toc20315794"/>
      <w:r>
        <w:rPr>
          <w:rFonts w:hint="cs"/>
          <w:rtl/>
        </w:rPr>
        <w:t>דברי המאירי דבנימוח גוף האיסור ויש כזית בכא"פ חשיב כאיסור בעין ואסור</w:t>
      </w:r>
      <w:bookmarkEnd w:id="11188"/>
      <w:bookmarkEnd w:id="11189"/>
      <w:bookmarkEnd w:id="11190"/>
      <w:bookmarkEnd w:id="11191"/>
    </w:p>
    <w:p w:rsidR="006C2032" w:rsidRDefault="006C2032" w:rsidP="009F44AF">
      <w:pPr>
        <w:pStyle w:val="a"/>
        <w:rPr>
          <w:rtl/>
        </w:rPr>
      </w:pPr>
      <w:r>
        <w:rPr>
          <w:rFonts w:hint="cs"/>
          <w:rtl/>
        </w:rPr>
        <w:t>כתב</w:t>
      </w:r>
      <w:r w:rsidRPr="004421C6">
        <w:rPr>
          <w:rStyle w:val="af8"/>
          <w:rFonts w:hint="cs"/>
          <w:rtl/>
        </w:rPr>
        <w:t xml:space="preserve"> המאירי</w:t>
      </w:r>
      <w:r>
        <w:rPr>
          <w:rFonts w:hint="cs"/>
          <w:rtl/>
        </w:rPr>
        <w:t xml:space="preserve"> </w:t>
      </w:r>
      <w:r w:rsidRPr="004421C6">
        <w:rPr>
          <w:rStyle w:val="af6"/>
          <w:rFonts w:eastAsia="Guttman Hodes" w:hint="cs"/>
          <w:rtl/>
        </w:rPr>
        <w:t>(ד"ה כל מה)</w:t>
      </w:r>
      <w:r>
        <w:rPr>
          <w:rFonts w:hint="cs"/>
          <w:rtl/>
        </w:rPr>
        <w:t xml:space="preserve"> דנותן טעם לפגם מותר אף באיסור מאוס מעיקרו, ואף כשגוף האיסור נימוח בהיתר, ואין שישים כנגד האיסור מותר, </w:t>
      </w:r>
      <w:r w:rsidRPr="00DB00D4">
        <w:rPr>
          <w:rStyle w:val="afa"/>
          <w:rFonts w:hint="cs"/>
          <w:rtl/>
        </w:rPr>
        <w:t xml:space="preserve">[וכ"כ </w:t>
      </w:r>
      <w:r w:rsidRPr="00DB00D4">
        <w:rPr>
          <w:rStyle w:val="affa"/>
          <w:rFonts w:hint="cs"/>
          <w:rtl/>
        </w:rPr>
        <w:t>הרשב"א</w:t>
      </w:r>
      <w:r w:rsidRPr="00DB00D4">
        <w:rPr>
          <w:rStyle w:val="afa"/>
          <w:rFonts w:hint="cs"/>
          <w:rtl/>
        </w:rPr>
        <w:t xml:space="preserve"> </w:t>
      </w:r>
      <w:r w:rsidRPr="00DB00D4">
        <w:rPr>
          <w:rStyle w:val="aff6"/>
          <w:rFonts w:hint="cs"/>
          <w:rtl/>
        </w:rPr>
        <w:t xml:space="preserve">(עי' אות </w:t>
      </w:r>
      <w:r w:rsidRPr="00DB00D4">
        <w:rPr>
          <w:rStyle w:val="aff6"/>
          <w:rtl/>
        </w:rPr>
        <w:fldChar w:fldCharType="begin"/>
      </w:r>
      <w:r w:rsidRPr="00DB00D4">
        <w:rPr>
          <w:rStyle w:val="aff6"/>
          <w:rtl/>
        </w:rPr>
        <w:instrText xml:space="preserve"> </w:instrText>
      </w:r>
      <w:r w:rsidRPr="00DB00D4">
        <w:rPr>
          <w:rStyle w:val="aff6"/>
          <w:rFonts w:hint="cs"/>
        </w:rPr>
        <w:instrText>REF</w:instrText>
      </w:r>
      <w:r w:rsidRPr="00DB00D4">
        <w:rPr>
          <w:rStyle w:val="aff6"/>
          <w:rFonts w:hint="cs"/>
          <w:rtl/>
        </w:rPr>
        <w:instrText xml:space="preserve"> _</w:instrText>
      </w:r>
      <w:r w:rsidRPr="00DB00D4">
        <w:rPr>
          <w:rStyle w:val="aff6"/>
          <w:rFonts w:hint="cs"/>
        </w:rPr>
        <w:instrText>Ref20068557 \r \h</w:instrText>
      </w:r>
      <w:r w:rsidRPr="00DB00D4">
        <w:rPr>
          <w:rStyle w:val="aff6"/>
          <w:rtl/>
        </w:rPr>
        <w:instrText xml:space="preserve"> </w:instrText>
      </w:r>
      <w:r w:rsidRPr="00DB00D4">
        <w:rPr>
          <w:rStyle w:val="aff6"/>
          <w:rtl/>
        </w:rPr>
      </w:r>
      <w:r w:rsidRPr="00DB00D4">
        <w:rPr>
          <w:rStyle w:val="aff6"/>
          <w:rtl/>
        </w:rPr>
        <w:fldChar w:fldCharType="separate"/>
      </w:r>
      <w:r w:rsidR="004D1C5B">
        <w:rPr>
          <w:rStyle w:val="aff6"/>
          <w:cs/>
        </w:rPr>
        <w:t>‎</w:t>
      </w:r>
      <w:r w:rsidR="004D1C5B">
        <w:rPr>
          <w:rStyle w:val="aff6"/>
          <w:rtl/>
        </w:rPr>
        <w:t>יט)</w:t>
      </w:r>
      <w:r w:rsidRPr="00DB00D4">
        <w:rPr>
          <w:rStyle w:val="aff6"/>
          <w:rtl/>
        </w:rPr>
        <w:fldChar w:fldCharType="end"/>
      </w:r>
      <w:r w:rsidRPr="00C4430D">
        <w:rPr>
          <w:rStyle w:val="affa"/>
          <w:rFonts w:hint="cs"/>
          <w:rtl/>
        </w:rPr>
        <w:t xml:space="preserve"> </w:t>
      </w:r>
      <w:r>
        <w:rPr>
          <w:rStyle w:val="affa"/>
          <w:rFonts w:hint="cs"/>
          <w:rtl/>
        </w:rPr>
        <w:t>ו</w:t>
      </w:r>
      <w:r w:rsidRPr="00B608F5">
        <w:rPr>
          <w:rStyle w:val="affa"/>
          <w:rFonts w:hint="cs"/>
          <w:rtl/>
        </w:rPr>
        <w:t>הריטב"א</w:t>
      </w:r>
      <w:r w:rsidRPr="00B608F5">
        <w:rPr>
          <w:rStyle w:val="afa"/>
          <w:rFonts w:hint="cs"/>
          <w:rtl/>
        </w:rPr>
        <w:t xml:space="preserve"> </w:t>
      </w:r>
      <w:r w:rsidRPr="00B608F5">
        <w:rPr>
          <w:rStyle w:val="aff6"/>
          <w:rFonts w:hint="cs"/>
          <w:rtl/>
        </w:rPr>
        <w:t xml:space="preserve">(עי' אות </w:t>
      </w:r>
      <w:r w:rsidRPr="00B608F5">
        <w:rPr>
          <w:rStyle w:val="aff6"/>
          <w:rtl/>
        </w:rPr>
        <w:fldChar w:fldCharType="begin"/>
      </w:r>
      <w:r w:rsidRPr="00B608F5">
        <w:rPr>
          <w:rStyle w:val="aff6"/>
          <w:rtl/>
        </w:rPr>
        <w:instrText xml:space="preserve"> </w:instrText>
      </w:r>
      <w:r w:rsidRPr="00B608F5">
        <w:rPr>
          <w:rStyle w:val="aff6"/>
          <w:rFonts w:hint="cs"/>
        </w:rPr>
        <w:instrText>REF</w:instrText>
      </w:r>
      <w:r w:rsidRPr="00B608F5">
        <w:rPr>
          <w:rStyle w:val="aff6"/>
          <w:rFonts w:hint="cs"/>
          <w:rtl/>
        </w:rPr>
        <w:instrText xml:space="preserve"> _</w:instrText>
      </w:r>
      <w:r w:rsidRPr="00B608F5">
        <w:rPr>
          <w:rStyle w:val="aff6"/>
          <w:rFonts w:hint="cs"/>
        </w:rPr>
        <w:instrText>Ref20265593 \r \h</w:instrText>
      </w:r>
      <w:r w:rsidRPr="00B608F5">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B608F5">
        <w:rPr>
          <w:rStyle w:val="aff6"/>
          <w:rtl/>
        </w:rPr>
      </w:r>
      <w:r w:rsidRPr="00B608F5">
        <w:rPr>
          <w:rStyle w:val="aff6"/>
          <w:rtl/>
        </w:rPr>
        <w:fldChar w:fldCharType="separate"/>
      </w:r>
      <w:r w:rsidR="004D1C5B">
        <w:rPr>
          <w:rStyle w:val="aff6"/>
          <w:cs/>
        </w:rPr>
        <w:t>‎</w:t>
      </w:r>
      <w:r w:rsidR="004D1C5B">
        <w:rPr>
          <w:rStyle w:val="aff6"/>
          <w:rtl/>
        </w:rPr>
        <w:t>פ)</w:t>
      </w:r>
      <w:r w:rsidRPr="00B608F5">
        <w:rPr>
          <w:rStyle w:val="aff6"/>
          <w:rtl/>
        </w:rPr>
        <w:fldChar w:fldCharType="end"/>
      </w:r>
      <w:r>
        <w:rPr>
          <w:rStyle w:val="afa"/>
          <w:rFonts w:hint="cs"/>
          <w:rtl/>
        </w:rPr>
        <w:t xml:space="preserve">, ועי' בדברי </w:t>
      </w:r>
      <w:r w:rsidRPr="0045199B">
        <w:rPr>
          <w:rStyle w:val="affa"/>
          <w:rFonts w:hint="cs"/>
          <w:rtl/>
        </w:rPr>
        <w:t>הב"י</w:t>
      </w:r>
      <w:r>
        <w:rPr>
          <w:rStyle w:val="afa"/>
          <w:rFonts w:hint="cs"/>
          <w:rtl/>
        </w:rPr>
        <w:t xml:space="preserve"> </w:t>
      </w:r>
      <w:r w:rsidRPr="0045199B">
        <w:rPr>
          <w:rStyle w:val="aff6"/>
          <w:rFonts w:hint="cs"/>
          <w:rtl/>
        </w:rPr>
        <w:t xml:space="preserve">(עי' אות </w:t>
      </w:r>
      <w:r w:rsidRPr="0045199B">
        <w:rPr>
          <w:rStyle w:val="aff6"/>
          <w:rtl/>
        </w:rPr>
        <w:fldChar w:fldCharType="begin"/>
      </w:r>
      <w:r w:rsidRPr="0045199B">
        <w:rPr>
          <w:rStyle w:val="aff6"/>
          <w:rtl/>
        </w:rPr>
        <w:instrText xml:space="preserve"> </w:instrText>
      </w:r>
      <w:r w:rsidRPr="0045199B">
        <w:rPr>
          <w:rStyle w:val="aff6"/>
          <w:rFonts w:hint="cs"/>
        </w:rPr>
        <w:instrText>REF</w:instrText>
      </w:r>
      <w:r w:rsidRPr="0045199B">
        <w:rPr>
          <w:rStyle w:val="aff6"/>
          <w:rFonts w:hint="cs"/>
          <w:rtl/>
        </w:rPr>
        <w:instrText xml:space="preserve"> _</w:instrText>
      </w:r>
      <w:r w:rsidRPr="0045199B">
        <w:rPr>
          <w:rStyle w:val="aff6"/>
          <w:rFonts w:hint="cs"/>
        </w:rPr>
        <w:instrText>Ref20300769 \r \h</w:instrText>
      </w:r>
      <w:r w:rsidRPr="0045199B">
        <w:rPr>
          <w:rStyle w:val="aff6"/>
          <w:rtl/>
        </w:rPr>
        <w:instrText xml:space="preserve"> </w:instrText>
      </w:r>
      <w:r w:rsidRPr="0045199B">
        <w:rPr>
          <w:rStyle w:val="aff6"/>
          <w:rtl/>
        </w:rPr>
      </w:r>
      <w:r w:rsidRPr="0045199B">
        <w:rPr>
          <w:rStyle w:val="aff6"/>
          <w:rtl/>
        </w:rPr>
        <w:fldChar w:fldCharType="separate"/>
      </w:r>
      <w:r w:rsidR="004D1C5B">
        <w:rPr>
          <w:rStyle w:val="aff6"/>
          <w:cs/>
        </w:rPr>
        <w:t>‎</w:t>
      </w:r>
      <w:r w:rsidR="004D1C5B">
        <w:rPr>
          <w:rStyle w:val="aff6"/>
          <w:rtl/>
        </w:rPr>
        <w:t>פה)</w:t>
      </w:r>
      <w:r w:rsidRPr="0045199B">
        <w:rPr>
          <w:rStyle w:val="aff6"/>
          <w:rtl/>
        </w:rPr>
        <w:fldChar w:fldCharType="end"/>
      </w:r>
      <w:r w:rsidRPr="00DB00D4">
        <w:rPr>
          <w:rStyle w:val="afa"/>
          <w:rFonts w:hint="cs"/>
          <w:rtl/>
        </w:rPr>
        <w:t>],</w:t>
      </w:r>
      <w:r>
        <w:rPr>
          <w:rFonts w:hint="cs"/>
          <w:rtl/>
        </w:rPr>
        <w:t xml:space="preserve"> והביא </w:t>
      </w:r>
      <w:r w:rsidRPr="004421C6">
        <w:rPr>
          <w:rStyle w:val="af8"/>
          <w:rFonts w:hint="cs"/>
          <w:rtl/>
        </w:rPr>
        <w:t>המאירי</w:t>
      </w:r>
      <w:r>
        <w:rPr>
          <w:rFonts w:hint="cs"/>
          <w:rtl/>
        </w:rPr>
        <w:t xml:space="preserve"> בשם </w:t>
      </w:r>
      <w:r w:rsidRPr="004421C6">
        <w:rPr>
          <w:rStyle w:val="af8"/>
          <w:rFonts w:hint="cs"/>
          <w:rtl/>
        </w:rPr>
        <w:t>י"א</w:t>
      </w:r>
      <w:r>
        <w:rPr>
          <w:rFonts w:hint="cs"/>
          <w:rtl/>
        </w:rPr>
        <w:t xml:space="preserve"> [</w:t>
      </w:r>
      <w:r w:rsidRPr="004421C6">
        <w:rPr>
          <w:rStyle w:val="af8"/>
          <w:rFonts w:hint="cs"/>
          <w:rtl/>
        </w:rPr>
        <w:t>רשב"א</w:t>
      </w:r>
      <w:r>
        <w:rPr>
          <w:rFonts w:hint="cs"/>
          <w:rtl/>
        </w:rPr>
        <w:t xml:space="preserve"> </w:t>
      </w:r>
      <w:r w:rsidRPr="004421C6">
        <w:rPr>
          <w:rStyle w:val="af6"/>
          <w:rFonts w:eastAsia="Guttman Hodes" w:hint="cs"/>
          <w:rtl/>
        </w:rPr>
        <w:t xml:space="preserve">(עי' אות </w:t>
      </w:r>
      <w:r w:rsidRPr="004421C6">
        <w:rPr>
          <w:rStyle w:val="af6"/>
          <w:rFonts w:eastAsia="Guttman Hodes"/>
          <w:rtl/>
        </w:rPr>
        <w:fldChar w:fldCharType="begin"/>
      </w:r>
      <w:r w:rsidRPr="004421C6">
        <w:rPr>
          <w:rStyle w:val="af6"/>
          <w:rFonts w:eastAsia="Guttman Hodes"/>
          <w:rtl/>
        </w:rPr>
        <w:instrText xml:space="preserve"> </w:instrText>
      </w:r>
      <w:r w:rsidRPr="004421C6">
        <w:rPr>
          <w:rStyle w:val="af6"/>
          <w:rFonts w:eastAsia="Guttman Hodes" w:hint="cs"/>
        </w:rPr>
        <w:instrText>REF</w:instrText>
      </w:r>
      <w:r w:rsidRPr="004421C6">
        <w:rPr>
          <w:rStyle w:val="af6"/>
          <w:rFonts w:eastAsia="Guttman Hodes" w:hint="cs"/>
          <w:rtl/>
        </w:rPr>
        <w:instrText xml:space="preserve"> _</w:instrText>
      </w:r>
      <w:r w:rsidRPr="004421C6">
        <w:rPr>
          <w:rStyle w:val="af6"/>
          <w:rFonts w:eastAsia="Guttman Hodes" w:hint="cs"/>
        </w:rPr>
        <w:instrText>Ref20068581 \r \h</w:instrText>
      </w:r>
      <w:r w:rsidRPr="004421C6">
        <w:rPr>
          <w:rStyle w:val="af6"/>
          <w:rFonts w:eastAsia="Guttman Hodes"/>
          <w:rtl/>
        </w:rPr>
        <w:instrText xml:space="preserve"> </w:instrText>
      </w:r>
      <w:r w:rsidRPr="004421C6">
        <w:rPr>
          <w:rStyle w:val="af6"/>
          <w:rFonts w:eastAsia="Guttman Hodes"/>
          <w:rtl/>
        </w:rPr>
      </w:r>
      <w:r w:rsidRPr="004421C6">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4421C6">
        <w:rPr>
          <w:rStyle w:val="af6"/>
          <w:rFonts w:eastAsia="Guttman Hodes"/>
          <w:rtl/>
        </w:rPr>
        <w:fldChar w:fldCharType="end"/>
      </w:r>
      <w:r>
        <w:rPr>
          <w:rFonts w:hint="cs"/>
          <w:rtl/>
        </w:rPr>
        <w:t xml:space="preserve">] דבנימוח גוף האיסור מותר רק כשיש רוב בהיתר כנגד האיסור, אך כתב </w:t>
      </w:r>
      <w:r w:rsidRPr="00205810">
        <w:rPr>
          <w:rStyle w:val="af8"/>
          <w:rFonts w:hint="cs"/>
          <w:rtl/>
        </w:rPr>
        <w:t>המאיר</w:t>
      </w:r>
      <w:r>
        <w:rPr>
          <w:rStyle w:val="af8"/>
          <w:rFonts w:hint="cs"/>
          <w:rtl/>
        </w:rPr>
        <w:t>י</w:t>
      </w:r>
      <w:r>
        <w:rPr>
          <w:rFonts w:hint="cs"/>
          <w:rtl/>
        </w:rPr>
        <w:t xml:space="preserve"> דאף כשיש מהאיסור כזית בכדי אכילת פרס אסור, דהא בכה"ג חשיב כגוף האיסור עצמו, [ודלא </w:t>
      </w:r>
      <w:r w:rsidRPr="004421C6">
        <w:rPr>
          <w:rStyle w:val="af8"/>
          <w:rFonts w:hint="cs"/>
          <w:rtl/>
        </w:rPr>
        <w:t>כהרשב"א</w:t>
      </w:r>
      <w:r>
        <w:rPr>
          <w:rFonts w:hint="cs"/>
          <w:rtl/>
        </w:rPr>
        <w:t xml:space="preserve"> </w:t>
      </w:r>
      <w:r w:rsidRPr="004421C6">
        <w:rPr>
          <w:rStyle w:val="af6"/>
          <w:rFonts w:eastAsia="Guttman Hodes" w:hint="cs"/>
          <w:rtl/>
        </w:rPr>
        <w:t xml:space="preserve">(עי' אות </w:t>
      </w:r>
      <w:r w:rsidRPr="004421C6">
        <w:rPr>
          <w:rStyle w:val="af6"/>
          <w:rFonts w:eastAsia="Guttman Hodes"/>
          <w:rtl/>
        </w:rPr>
        <w:fldChar w:fldCharType="begin"/>
      </w:r>
      <w:r w:rsidRPr="004421C6">
        <w:rPr>
          <w:rStyle w:val="af6"/>
          <w:rFonts w:eastAsia="Guttman Hodes"/>
          <w:rtl/>
        </w:rPr>
        <w:instrText xml:space="preserve"> </w:instrText>
      </w:r>
      <w:r w:rsidRPr="004421C6">
        <w:rPr>
          <w:rStyle w:val="af6"/>
          <w:rFonts w:eastAsia="Guttman Hodes" w:hint="cs"/>
        </w:rPr>
        <w:instrText>REF</w:instrText>
      </w:r>
      <w:r w:rsidRPr="004421C6">
        <w:rPr>
          <w:rStyle w:val="af6"/>
          <w:rFonts w:eastAsia="Guttman Hodes" w:hint="cs"/>
          <w:rtl/>
        </w:rPr>
        <w:instrText xml:space="preserve"> _</w:instrText>
      </w:r>
      <w:r w:rsidRPr="004421C6">
        <w:rPr>
          <w:rStyle w:val="af6"/>
          <w:rFonts w:eastAsia="Guttman Hodes" w:hint="cs"/>
        </w:rPr>
        <w:instrText>Ref16848044 \r \h</w:instrText>
      </w:r>
      <w:r w:rsidRPr="004421C6">
        <w:rPr>
          <w:rStyle w:val="af6"/>
          <w:rFonts w:eastAsia="Guttman Hodes"/>
          <w:rtl/>
        </w:rPr>
        <w:instrText xml:space="preserve"> </w:instrText>
      </w:r>
      <w:r w:rsidRPr="004421C6">
        <w:rPr>
          <w:rStyle w:val="af6"/>
          <w:rFonts w:eastAsia="Guttman Hodes"/>
          <w:rtl/>
        </w:rPr>
      </w:r>
      <w:r w:rsidRPr="004421C6">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4421C6">
        <w:rPr>
          <w:rStyle w:val="af6"/>
          <w:rFonts w:eastAsia="Guttman Hodes"/>
          <w:rtl/>
        </w:rPr>
        <w:fldChar w:fldCharType="end"/>
      </w:r>
      <w:r>
        <w:rPr>
          <w:rFonts w:hint="cs"/>
          <w:rtl/>
        </w:rPr>
        <w:t>].</w:t>
      </w:r>
    </w:p>
    <w:p w:rsidR="006C2032" w:rsidRPr="00F76839" w:rsidRDefault="006C2032" w:rsidP="006C2032">
      <w:pPr>
        <w:pStyle w:val="a2"/>
      </w:pPr>
      <w:bookmarkStart w:id="11192" w:name="_Toc20310962"/>
      <w:bookmarkStart w:id="11193" w:name="_Toc20311134"/>
      <w:bookmarkStart w:id="11194" w:name="_Toc20315403"/>
      <w:bookmarkStart w:id="11195" w:name="_Toc20315795"/>
      <w:r>
        <w:rPr>
          <w:rFonts w:hint="cs"/>
          <w:rtl/>
        </w:rPr>
        <w:t>דברי המאירי דבסילק את גוף האיסור מותר אף שפלט טעם הרבה כיון שהוא טעם פגום</w:t>
      </w:r>
      <w:bookmarkEnd w:id="11192"/>
      <w:bookmarkEnd w:id="11193"/>
      <w:bookmarkEnd w:id="11194"/>
      <w:bookmarkEnd w:id="11195"/>
    </w:p>
    <w:p w:rsidR="006C2032" w:rsidRPr="00891E4E" w:rsidRDefault="006C2032" w:rsidP="009F44AF">
      <w:pPr>
        <w:pStyle w:val="a"/>
        <w:rPr>
          <w:rStyle w:val="afa"/>
          <w:rtl/>
        </w:rPr>
      </w:pPr>
      <w:r>
        <w:rPr>
          <w:rFonts w:hint="cs"/>
          <w:rtl/>
        </w:rPr>
        <w:t xml:space="preserve">וכתב </w:t>
      </w:r>
      <w:r w:rsidRPr="004421C6">
        <w:rPr>
          <w:rStyle w:val="af8"/>
          <w:rFonts w:hint="cs"/>
          <w:rtl/>
        </w:rPr>
        <w:t>המאירי</w:t>
      </w:r>
      <w:r>
        <w:rPr>
          <w:rFonts w:hint="cs"/>
          <w:rtl/>
        </w:rPr>
        <w:t xml:space="preserve"> דאם לא נימוח גוף האיסור, והכיר את האיסור וסילקו, ופלט רק את טעמו, דאף אם פלט הרבה טעם מותר, כיון שהוא טעם פגום. </w:t>
      </w:r>
      <w:r w:rsidRPr="00891E4E">
        <w:rPr>
          <w:rStyle w:val="afa"/>
          <w:rFonts w:hint="cs"/>
          <w:rtl/>
        </w:rPr>
        <w:t xml:space="preserve">[ומשמע דכוונת </w:t>
      </w:r>
      <w:r w:rsidRPr="00891E4E">
        <w:rPr>
          <w:rStyle w:val="affa"/>
          <w:rFonts w:hint="cs"/>
          <w:rtl/>
        </w:rPr>
        <w:t>המאירי</w:t>
      </w:r>
      <w:r w:rsidRPr="00891E4E">
        <w:rPr>
          <w:rStyle w:val="afa"/>
          <w:rFonts w:hint="cs"/>
          <w:rtl/>
        </w:rPr>
        <w:t xml:space="preserve"> לומר דכ"מ שצריך רוב היתר כנגד האיסור הוא רק בנימוח גוף האיסור, אבל בסילקו מותר</w:t>
      </w:r>
      <w:r>
        <w:rPr>
          <w:rStyle w:val="afa"/>
          <w:rFonts w:hint="cs"/>
          <w:rtl/>
        </w:rPr>
        <w:t xml:space="preserve"> אף שיש כזית בכדי אכילת פרס, ו</w:t>
      </w:r>
      <w:r w:rsidRPr="00891E4E">
        <w:rPr>
          <w:rStyle w:val="afa"/>
          <w:rFonts w:hint="cs"/>
          <w:rtl/>
        </w:rPr>
        <w:t>אף כש</w:t>
      </w:r>
      <w:r>
        <w:rPr>
          <w:rStyle w:val="afa"/>
          <w:rFonts w:hint="cs"/>
          <w:rtl/>
        </w:rPr>
        <w:t>אין</w:t>
      </w:r>
      <w:r w:rsidRPr="00891E4E">
        <w:rPr>
          <w:rStyle w:val="afa"/>
          <w:rFonts w:hint="cs"/>
          <w:rtl/>
        </w:rPr>
        <w:t xml:space="preserve"> רוב </w:t>
      </w:r>
      <w:r>
        <w:rPr>
          <w:rStyle w:val="afa"/>
          <w:rFonts w:hint="cs"/>
          <w:rtl/>
        </w:rPr>
        <w:t xml:space="preserve">היתר כנגד </w:t>
      </w:r>
      <w:r w:rsidRPr="00891E4E">
        <w:rPr>
          <w:rStyle w:val="afa"/>
          <w:rFonts w:hint="cs"/>
          <w:rtl/>
        </w:rPr>
        <w:t xml:space="preserve">טעם </w:t>
      </w:r>
      <w:r>
        <w:rPr>
          <w:rStyle w:val="afa"/>
          <w:rFonts w:hint="cs"/>
          <w:rtl/>
        </w:rPr>
        <w:t>ה</w:t>
      </w:r>
      <w:r w:rsidRPr="00891E4E">
        <w:rPr>
          <w:rStyle w:val="afa"/>
          <w:rFonts w:hint="cs"/>
          <w:rtl/>
        </w:rPr>
        <w:t>איסור].</w:t>
      </w:r>
    </w:p>
    <w:p w:rsidR="006C2032" w:rsidRPr="001F3FB5" w:rsidRDefault="006C2032" w:rsidP="00E669F8">
      <w:pPr>
        <w:pStyle w:val="afd"/>
        <w:rPr>
          <w:rtl/>
        </w:rPr>
      </w:pPr>
      <w:bookmarkStart w:id="11196" w:name="_Toc20310963"/>
      <w:bookmarkStart w:id="11197" w:name="_Toc20311135"/>
      <w:bookmarkStart w:id="11198" w:name="_Toc20315404"/>
      <w:bookmarkStart w:id="11199" w:name="_Toc20315796"/>
      <w:r>
        <w:rPr>
          <w:rFonts w:hint="cs"/>
          <w:rtl/>
        </w:rPr>
        <w:t>בדעת הרשב"א והר"ן</w:t>
      </w:r>
      <w:bookmarkEnd w:id="11169"/>
      <w:r>
        <w:rPr>
          <w:rFonts w:hint="cs"/>
          <w:rtl/>
        </w:rPr>
        <w:t xml:space="preserve"> בכזית בכא"פ</w:t>
      </w:r>
      <w:bookmarkEnd w:id="11196"/>
      <w:bookmarkEnd w:id="11197"/>
      <w:bookmarkEnd w:id="11198"/>
      <w:bookmarkEnd w:id="11199"/>
    </w:p>
    <w:p w:rsidR="006C2032" w:rsidRDefault="006C2032" w:rsidP="006C2032">
      <w:pPr>
        <w:pStyle w:val="1"/>
        <w:rPr>
          <w:rtl/>
        </w:rPr>
      </w:pPr>
      <w:bookmarkStart w:id="11200" w:name="_Toc20310964"/>
      <w:bookmarkStart w:id="11201" w:name="_Toc20311136"/>
      <w:bookmarkStart w:id="11202" w:name="_Toc20315405"/>
      <w:bookmarkStart w:id="11203" w:name="_Toc20315797"/>
      <w:bookmarkStart w:id="11204" w:name="_Toc20267133"/>
      <w:r>
        <w:rPr>
          <w:rFonts w:hint="cs"/>
          <w:rtl/>
        </w:rPr>
        <w:t>ביאור הב"י והגר"א ברשב"א ובר"ן דמהני רוב אף בכזית בכא"פ</w:t>
      </w:r>
      <w:bookmarkEnd w:id="11200"/>
      <w:bookmarkEnd w:id="11201"/>
      <w:bookmarkEnd w:id="11202"/>
      <w:bookmarkEnd w:id="11203"/>
    </w:p>
    <w:p w:rsidR="006C2032" w:rsidRDefault="006C2032" w:rsidP="006C2032">
      <w:pPr>
        <w:pStyle w:val="a2"/>
        <w:rPr>
          <w:rtl/>
        </w:rPr>
      </w:pPr>
      <w:bookmarkStart w:id="11205" w:name="_Toc20310965"/>
      <w:bookmarkStart w:id="11206" w:name="_Toc20311137"/>
      <w:bookmarkStart w:id="11207" w:name="_Toc20315406"/>
      <w:bookmarkStart w:id="11208" w:name="_Toc20315798"/>
      <w:r>
        <w:rPr>
          <w:rFonts w:hint="cs"/>
          <w:rtl/>
        </w:rPr>
        <w:t>דברי הב"י דלהרשב"א נטל"פ מותר אף בכזית בכא"פ בכל האיסורים ובאיסור מאוס מעיקרו</w:t>
      </w:r>
      <w:bookmarkEnd w:id="11205"/>
      <w:bookmarkEnd w:id="11206"/>
      <w:bookmarkEnd w:id="11207"/>
      <w:bookmarkEnd w:id="11208"/>
    </w:p>
    <w:p w:rsidR="006C2032" w:rsidRPr="005B306E" w:rsidRDefault="006C2032" w:rsidP="009F44AF">
      <w:pPr>
        <w:pStyle w:val="a"/>
        <w:rPr>
          <w:rStyle w:val="afa"/>
          <w:rtl/>
        </w:rPr>
      </w:pPr>
      <w:bookmarkStart w:id="11209" w:name="_Ref20303146"/>
      <w:r>
        <w:rPr>
          <w:rFonts w:hint="cs"/>
          <w:rtl/>
        </w:rPr>
        <w:t xml:space="preserve">כתב </w:t>
      </w:r>
      <w:r w:rsidRPr="00C17C41">
        <w:rPr>
          <w:rStyle w:val="af8"/>
          <w:rFonts w:hint="cs"/>
          <w:rtl/>
        </w:rPr>
        <w:t>הב"י</w:t>
      </w:r>
      <w:r>
        <w:rPr>
          <w:rFonts w:hint="cs"/>
          <w:rtl/>
        </w:rPr>
        <w:t xml:space="preserve"> </w:t>
      </w:r>
      <w:r w:rsidRPr="00C17C41">
        <w:rPr>
          <w:rStyle w:val="af6"/>
          <w:rFonts w:eastAsia="Guttman Hodes" w:hint="cs"/>
          <w:rtl/>
        </w:rPr>
        <w:t>(סי' ק"ד ג' ד"ה ומשמע מדברי הרשב"א)</w:t>
      </w:r>
      <w:r>
        <w:rPr>
          <w:rFonts w:hint="cs"/>
          <w:rtl/>
        </w:rPr>
        <w:t xml:space="preserve"> דמבואר מדברי </w:t>
      </w:r>
      <w:r w:rsidRPr="00C17C41">
        <w:rPr>
          <w:rStyle w:val="af8"/>
          <w:rFonts w:hint="cs"/>
          <w:rtl/>
        </w:rPr>
        <w:t>הרשב"א בתוה"ב</w:t>
      </w:r>
      <w:r>
        <w:rPr>
          <w:rFonts w:hint="cs"/>
          <w:rtl/>
        </w:rPr>
        <w:t xml:space="preserve"> </w:t>
      </w:r>
      <w:r w:rsidRPr="007B4206">
        <w:rPr>
          <w:rStyle w:val="af6"/>
          <w:rFonts w:eastAsia="Guttman Hodes" w:hint="cs"/>
          <w:rtl/>
        </w:rPr>
        <w:t xml:space="preserve">(עי' אות </w:t>
      </w:r>
      <w:r w:rsidRPr="007B4206">
        <w:rPr>
          <w:rStyle w:val="af6"/>
          <w:rFonts w:eastAsia="Guttman Hodes"/>
          <w:rtl/>
        </w:rPr>
        <w:fldChar w:fldCharType="begin"/>
      </w:r>
      <w:r w:rsidRPr="007B4206">
        <w:rPr>
          <w:rStyle w:val="af6"/>
          <w:rFonts w:eastAsia="Guttman Hodes"/>
          <w:rtl/>
        </w:rPr>
        <w:instrText xml:space="preserve"> </w:instrText>
      </w:r>
      <w:r w:rsidRPr="007B4206">
        <w:rPr>
          <w:rStyle w:val="af6"/>
          <w:rFonts w:eastAsia="Guttman Hodes" w:hint="cs"/>
        </w:rPr>
        <w:instrText>REF</w:instrText>
      </w:r>
      <w:r w:rsidRPr="007B4206">
        <w:rPr>
          <w:rStyle w:val="af6"/>
          <w:rFonts w:eastAsia="Guttman Hodes" w:hint="cs"/>
          <w:rtl/>
        </w:rPr>
        <w:instrText xml:space="preserve"> _</w:instrText>
      </w:r>
      <w:r w:rsidRPr="007B4206">
        <w:rPr>
          <w:rStyle w:val="af6"/>
          <w:rFonts w:eastAsia="Guttman Hodes" w:hint="cs"/>
        </w:rPr>
        <w:instrText>Ref20300977 \r \h</w:instrText>
      </w:r>
      <w:r w:rsidRPr="007B4206">
        <w:rPr>
          <w:rStyle w:val="af6"/>
          <w:rFonts w:eastAsia="Guttman Hodes"/>
          <w:rtl/>
        </w:rPr>
        <w:instrText xml:space="preserve"> </w:instrText>
      </w:r>
      <w:r w:rsidRPr="007B4206">
        <w:rPr>
          <w:rStyle w:val="af6"/>
          <w:rFonts w:eastAsia="Guttman Hodes"/>
          <w:rtl/>
        </w:rPr>
      </w:r>
      <w:r w:rsidRPr="007B4206">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7B4206">
        <w:rPr>
          <w:rStyle w:val="af6"/>
          <w:rFonts w:eastAsia="Guttman Hodes"/>
          <w:rtl/>
        </w:rPr>
        <w:fldChar w:fldCharType="end"/>
      </w:r>
      <w:r>
        <w:rPr>
          <w:rFonts w:hint="cs"/>
          <w:rtl/>
        </w:rPr>
        <w:t xml:space="preserve"> דבאיסור שמאוס מעיקרו, אף שגוף האיסור נימוח בתערובת, ויש בו כזית בכדי אכילת פרס, מ"מ הוא מותר, כיון שיש רוב בהיתר כנגדו וגופו בטל ברוב, וטעמו אינו אוסר דהוא פגום, וכתב </w:t>
      </w:r>
      <w:r w:rsidRPr="00B60D9F">
        <w:rPr>
          <w:rStyle w:val="af8"/>
          <w:rFonts w:hint="cs"/>
          <w:rtl/>
        </w:rPr>
        <w:t>הב"י</w:t>
      </w:r>
      <w:r>
        <w:rPr>
          <w:rFonts w:hint="cs"/>
          <w:rtl/>
        </w:rPr>
        <w:t xml:space="preserve"> דכן הוא דעת </w:t>
      </w:r>
      <w:r w:rsidRPr="00D47CE7">
        <w:rPr>
          <w:rStyle w:val="af8"/>
          <w:rFonts w:hint="cs"/>
          <w:rtl/>
        </w:rPr>
        <w:t>הרשב"א בתוה"ב</w:t>
      </w:r>
      <w:r w:rsidRPr="00D47CE7">
        <w:rPr>
          <w:rFonts w:hint="cs"/>
          <w:rtl/>
        </w:rPr>
        <w:t xml:space="preserve"> </w:t>
      </w:r>
      <w:r w:rsidRPr="00D47CE7">
        <w:rPr>
          <w:rStyle w:val="af6"/>
          <w:rFonts w:eastAsia="Guttman Hodes" w:hint="cs"/>
          <w:rtl/>
        </w:rPr>
        <w:t>(ב"ד ש"א יט. מדה"ס ד"ה פגם</w:t>
      </w:r>
      <w:r>
        <w:rPr>
          <w:rStyle w:val="af6"/>
          <w:rFonts w:eastAsia="Guttman Hodes" w:hint="cs"/>
          <w:rtl/>
        </w:rPr>
        <w:t xml:space="preserve">, הובא לעיל סימן י"ב אות י"ז) </w:t>
      </w:r>
      <w:r>
        <w:rPr>
          <w:rFonts w:hint="cs"/>
          <w:rtl/>
        </w:rPr>
        <w:t xml:space="preserve">בכל נותן טעם לפגם דכל שיש רוב היתר, לא אסרה את הטעם הפגום, וגוף האיסור בטל ברוב. </w:t>
      </w:r>
      <w:r w:rsidRPr="005B306E">
        <w:rPr>
          <w:rStyle w:val="afa"/>
          <w:rFonts w:hint="cs"/>
          <w:rtl/>
        </w:rPr>
        <w:t xml:space="preserve">[ועי' בדברי </w:t>
      </w:r>
      <w:r w:rsidRPr="005B306E">
        <w:rPr>
          <w:rStyle w:val="affa"/>
          <w:rFonts w:hint="cs"/>
          <w:rtl/>
        </w:rPr>
        <w:t xml:space="preserve">הב"ח </w:t>
      </w:r>
      <w:r w:rsidRPr="005B306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Ref20303571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לח)</w:t>
      </w:r>
      <w:r>
        <w:rPr>
          <w:rStyle w:val="aff6"/>
          <w:rtl/>
        </w:rPr>
        <w:fldChar w:fldCharType="end"/>
      </w:r>
      <w:r>
        <w:rPr>
          <w:rStyle w:val="aff6"/>
          <w:rFonts w:hint="cs"/>
          <w:rtl/>
        </w:rPr>
        <w:t xml:space="preserve"> </w:t>
      </w:r>
      <w:r w:rsidRPr="005B306E">
        <w:rPr>
          <w:rStyle w:val="afa"/>
          <w:rFonts w:hint="cs"/>
          <w:rtl/>
        </w:rPr>
        <w:t xml:space="preserve">דכתב דרק באיסור מאוס התיר </w:t>
      </w:r>
      <w:r w:rsidRPr="005B306E">
        <w:rPr>
          <w:rStyle w:val="affa"/>
          <w:rFonts w:hint="cs"/>
          <w:rtl/>
        </w:rPr>
        <w:t>הרשב"א</w:t>
      </w:r>
      <w:r w:rsidRPr="005B306E">
        <w:rPr>
          <w:rStyle w:val="afa"/>
          <w:rFonts w:hint="cs"/>
          <w:rtl/>
        </w:rPr>
        <w:t xml:space="preserve"> בכזית בכדי אכילת פרס].</w:t>
      </w:r>
      <w:bookmarkEnd w:id="11209"/>
    </w:p>
    <w:p w:rsidR="006C2032" w:rsidRPr="00C17C41" w:rsidRDefault="006C2032" w:rsidP="006C2032">
      <w:pPr>
        <w:pStyle w:val="a2"/>
      </w:pPr>
      <w:bookmarkStart w:id="11210" w:name="_Toc20310966"/>
      <w:bookmarkStart w:id="11211" w:name="_Toc20311138"/>
      <w:bookmarkStart w:id="11212" w:name="_Toc20315407"/>
      <w:bookmarkStart w:id="11213" w:name="_Toc20315799"/>
      <w:r>
        <w:rPr>
          <w:rFonts w:hint="cs"/>
          <w:rtl/>
        </w:rPr>
        <w:lastRenderedPageBreak/>
        <w:t>דברי הב"י דבאיסור מאוס מודה הר"ן להרשב"א דמותר אף בכזית בכא"פ כשיש רוב היתר</w:t>
      </w:r>
      <w:bookmarkEnd w:id="11210"/>
      <w:bookmarkEnd w:id="11211"/>
      <w:bookmarkEnd w:id="11212"/>
      <w:bookmarkEnd w:id="11213"/>
    </w:p>
    <w:p w:rsidR="006C2032" w:rsidRDefault="006C2032" w:rsidP="009F44AF">
      <w:pPr>
        <w:pStyle w:val="a"/>
        <w:rPr>
          <w:rtl/>
        </w:rPr>
      </w:pPr>
      <w:bookmarkStart w:id="11214" w:name="_Ref20300366"/>
      <w:r>
        <w:rPr>
          <w:rFonts w:hint="cs"/>
          <w:rtl/>
        </w:rPr>
        <w:t xml:space="preserve">וכתב </w:t>
      </w:r>
      <w:r w:rsidRPr="00C17C41">
        <w:rPr>
          <w:rStyle w:val="af8"/>
          <w:rFonts w:hint="cs"/>
          <w:rtl/>
        </w:rPr>
        <w:t>הב"י</w:t>
      </w:r>
      <w:r>
        <w:rPr>
          <w:rFonts w:hint="cs"/>
          <w:rtl/>
        </w:rPr>
        <w:t xml:space="preserve"> דאעפ"י דבכל נותן טעם לפגם בשאר איסורים,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Pr>
          <w:rStyle w:val="af6"/>
          <w:rFonts w:eastAsia="Guttman Hodes" w:hint="cs"/>
          <w:rtl/>
        </w:rPr>
        <w:t>מ"ז</w:t>
      </w:r>
      <w:r w:rsidRPr="00C17C41">
        <w:rPr>
          <w:rStyle w:val="af6"/>
          <w:rFonts w:eastAsia="Guttman Hodes" w:hint="cs"/>
          <w:rtl/>
        </w:rPr>
        <w:t>)</w:t>
      </w:r>
      <w:r>
        <w:rPr>
          <w:rFonts w:hint="cs"/>
          <w:rtl/>
        </w:rPr>
        <w:t xml:space="preserve"> חולק על </w:t>
      </w:r>
      <w:r w:rsidRPr="00C17C41">
        <w:rPr>
          <w:rStyle w:val="af8"/>
          <w:rFonts w:hint="cs"/>
          <w:rtl/>
        </w:rPr>
        <w:t>הרשב"א</w:t>
      </w:r>
      <w:r>
        <w:rPr>
          <w:rFonts w:hint="cs"/>
          <w:rtl/>
        </w:rPr>
        <w:t xml:space="preserve">, וס"ל דאף שיש רוב בהיתר כנגד האיסור, אם האיסור הגדיל את מידת ההיתר ונהנה מהאיסור אין בו היתר נותן טעם לפגם, ולא מהני ביטול ברוב, מ"מ כתב </w:t>
      </w:r>
      <w:r w:rsidRPr="00C17C41">
        <w:rPr>
          <w:rStyle w:val="af8"/>
          <w:rFonts w:hint="cs"/>
          <w:rtl/>
        </w:rPr>
        <w:t>הב"י</w:t>
      </w:r>
      <w:r>
        <w:rPr>
          <w:rFonts w:hint="cs"/>
          <w:rtl/>
        </w:rPr>
        <w:t xml:space="preserve"> דבאיסור שמאוס מעיקרו, נראה </w:t>
      </w:r>
      <w:r w:rsidRPr="00C17C41">
        <w:rPr>
          <w:rStyle w:val="af8"/>
          <w:rFonts w:hint="cs"/>
          <w:rtl/>
        </w:rPr>
        <w:t>דהר"ן</w:t>
      </w:r>
      <w:r>
        <w:rPr>
          <w:rFonts w:hint="cs"/>
          <w:rtl/>
        </w:rPr>
        <w:t xml:space="preserve"> מודה </w:t>
      </w:r>
      <w:r w:rsidRPr="00C17C41">
        <w:rPr>
          <w:rStyle w:val="af8"/>
          <w:rFonts w:hint="cs"/>
          <w:rtl/>
        </w:rPr>
        <w:t>להרשב"א</w:t>
      </w:r>
      <w:r>
        <w:rPr>
          <w:rFonts w:hint="cs"/>
          <w:rtl/>
        </w:rPr>
        <w:t xml:space="preserve"> שהוא מותר, וכ"כ </w:t>
      </w:r>
      <w:r w:rsidRPr="00C17C41">
        <w:rPr>
          <w:rStyle w:val="af8"/>
          <w:rFonts w:hint="cs"/>
          <w:rtl/>
        </w:rPr>
        <w:t>הש"ך</w:t>
      </w:r>
      <w:r>
        <w:rPr>
          <w:rFonts w:hint="cs"/>
          <w:rtl/>
        </w:rPr>
        <w:t xml:space="preserve"> </w:t>
      </w:r>
      <w:r w:rsidRPr="00C17C41">
        <w:rPr>
          <w:rStyle w:val="af6"/>
          <w:rFonts w:eastAsia="Guttman Hodes" w:hint="cs"/>
          <w:rtl/>
        </w:rPr>
        <w:t>(סי' ק"ד סק"ט)</w:t>
      </w:r>
      <w:r>
        <w:rPr>
          <w:rFonts w:hint="cs"/>
          <w:rtl/>
        </w:rPr>
        <w:t xml:space="preserve">, אמנם יעוי' בדברי </w:t>
      </w:r>
      <w:r w:rsidRPr="00CD1880">
        <w:rPr>
          <w:rStyle w:val="af8"/>
          <w:rFonts w:hint="cs"/>
          <w:rtl/>
        </w:rPr>
        <w:t>הר"ן בחי'</w:t>
      </w:r>
      <w:r>
        <w:rPr>
          <w:rFonts w:hint="cs"/>
          <w:rtl/>
        </w:rPr>
        <w:t xml:space="preserve"> </w:t>
      </w:r>
      <w:r w:rsidRPr="00CD1880">
        <w:rPr>
          <w:rStyle w:val="af6"/>
          <w:rFonts w:eastAsia="Guttman Hodes" w:hint="cs"/>
          <w:rtl/>
        </w:rPr>
        <w:t xml:space="preserve">(עי' אות </w:t>
      </w:r>
      <w:r w:rsidRPr="00CD1880">
        <w:rPr>
          <w:rStyle w:val="af6"/>
          <w:rFonts w:eastAsia="Guttman Hodes"/>
          <w:rtl/>
        </w:rPr>
        <w:fldChar w:fldCharType="begin"/>
      </w:r>
      <w:r w:rsidRPr="00CD1880">
        <w:rPr>
          <w:rStyle w:val="af6"/>
          <w:rFonts w:eastAsia="Guttman Hodes"/>
          <w:rtl/>
        </w:rPr>
        <w:instrText xml:space="preserve"> </w:instrText>
      </w:r>
      <w:r w:rsidRPr="00CD1880">
        <w:rPr>
          <w:rStyle w:val="af6"/>
          <w:rFonts w:eastAsia="Guttman Hodes" w:hint="cs"/>
        </w:rPr>
        <w:instrText>REF</w:instrText>
      </w:r>
      <w:r w:rsidRPr="00CD1880">
        <w:rPr>
          <w:rStyle w:val="af6"/>
          <w:rFonts w:eastAsia="Guttman Hodes" w:hint="cs"/>
          <w:rtl/>
        </w:rPr>
        <w:instrText xml:space="preserve"> _</w:instrText>
      </w:r>
      <w:r w:rsidRPr="00CD1880">
        <w:rPr>
          <w:rStyle w:val="af6"/>
          <w:rFonts w:eastAsia="Guttman Hodes" w:hint="cs"/>
        </w:rPr>
        <w:instrText>Ref20300317 \r \h</w:instrText>
      </w:r>
      <w:r w:rsidRPr="00CD1880">
        <w:rPr>
          <w:rStyle w:val="af6"/>
          <w:rFonts w:eastAsia="Guttman Hodes"/>
          <w:rtl/>
        </w:rPr>
        <w:instrText xml:space="preserve"> </w:instrText>
      </w:r>
      <w:r w:rsidRPr="00CD1880">
        <w:rPr>
          <w:rStyle w:val="af6"/>
          <w:rFonts w:eastAsia="Guttman Hodes"/>
          <w:rtl/>
        </w:rPr>
      </w:r>
      <w:r w:rsidRPr="00CD1880">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CD1880">
        <w:rPr>
          <w:rStyle w:val="af6"/>
          <w:rFonts w:eastAsia="Guttman Hodes"/>
          <w:rtl/>
        </w:rPr>
        <w:fldChar w:fldCharType="end"/>
      </w:r>
      <w:r>
        <w:rPr>
          <w:rFonts w:hint="cs"/>
          <w:rtl/>
        </w:rPr>
        <w:t xml:space="preserve"> דכתב להדיא דאסור.</w:t>
      </w:r>
      <w:bookmarkEnd w:id="11214"/>
    </w:p>
    <w:p w:rsidR="006C2032" w:rsidRPr="00E147AA" w:rsidRDefault="006C2032" w:rsidP="006C2032">
      <w:pPr>
        <w:pStyle w:val="a2"/>
        <w:rPr>
          <w:rtl/>
        </w:rPr>
      </w:pPr>
      <w:bookmarkStart w:id="11215" w:name="_Toc20310967"/>
      <w:bookmarkStart w:id="11216" w:name="_Toc20311139"/>
      <w:bookmarkStart w:id="11217" w:name="_Toc20315408"/>
      <w:bookmarkStart w:id="11218" w:name="_Toc20315800"/>
      <w:r>
        <w:rPr>
          <w:rFonts w:hint="cs"/>
          <w:rtl/>
        </w:rPr>
        <w:t>ביאור הגר"א בר"ן דבאיסור מאוס מותר בכזית בכא"פ דאינו נהנה ונפשו קצה באיסור המאוס</w:t>
      </w:r>
      <w:bookmarkEnd w:id="11215"/>
      <w:bookmarkEnd w:id="11216"/>
      <w:bookmarkEnd w:id="11217"/>
      <w:bookmarkEnd w:id="11218"/>
    </w:p>
    <w:p w:rsidR="006C2032" w:rsidRDefault="006C2032" w:rsidP="009F44AF">
      <w:pPr>
        <w:pStyle w:val="a"/>
        <w:rPr>
          <w:rtl/>
        </w:rPr>
      </w:pPr>
      <w:bookmarkStart w:id="11219" w:name="_Ref20300481"/>
      <w:r>
        <w:rPr>
          <w:rFonts w:hint="cs"/>
          <w:rtl/>
        </w:rPr>
        <w:t xml:space="preserve">וכ"כ </w:t>
      </w:r>
      <w:r w:rsidRPr="00C17C41">
        <w:rPr>
          <w:rStyle w:val="af8"/>
          <w:rFonts w:hint="cs"/>
          <w:rtl/>
        </w:rPr>
        <w:t>הגר"א</w:t>
      </w:r>
      <w:r>
        <w:rPr>
          <w:rFonts w:hint="cs"/>
          <w:rtl/>
        </w:rPr>
        <w:t xml:space="preserve"> </w:t>
      </w:r>
      <w:r w:rsidRPr="00C17C41">
        <w:rPr>
          <w:rStyle w:val="af6"/>
          <w:rFonts w:eastAsia="Guttman Hodes" w:hint="cs"/>
          <w:rtl/>
        </w:rPr>
        <w:t xml:space="preserve">(סי' ק"ד סקי"א) </w:t>
      </w:r>
      <w:r>
        <w:rPr>
          <w:rFonts w:hint="cs"/>
          <w:rtl/>
        </w:rPr>
        <w:t xml:space="preserve">דאף </w:t>
      </w:r>
      <w:r w:rsidRPr="00C17C41">
        <w:rPr>
          <w:rStyle w:val="af8"/>
          <w:rFonts w:hint="cs"/>
          <w:rtl/>
        </w:rPr>
        <w:t>הר"ן</w:t>
      </w:r>
      <w:r>
        <w:rPr>
          <w:rFonts w:hint="cs"/>
          <w:rtl/>
        </w:rPr>
        <w:t xml:space="preserve"> מודה דבאיסור שמאוס מעיקרו כל שיש רוב כנגדו מותר, וביאר </w:t>
      </w:r>
      <w:r w:rsidRPr="00C17C41">
        <w:rPr>
          <w:rStyle w:val="af8"/>
          <w:rFonts w:hint="cs"/>
          <w:rtl/>
        </w:rPr>
        <w:t>הגר"א</w:t>
      </w:r>
      <w:r>
        <w:rPr>
          <w:rFonts w:hint="cs"/>
          <w:rtl/>
        </w:rPr>
        <w:t xml:space="preserve"> דכיון שהוא פגום ומאוס לגמרי, אינו נהנה מהאיסור כלל ונפשו קצה בו, וכתב </w:t>
      </w:r>
      <w:r w:rsidRPr="00C17C41">
        <w:rPr>
          <w:rStyle w:val="af8"/>
          <w:rFonts w:hint="cs"/>
          <w:rtl/>
        </w:rPr>
        <w:t>הגר"א</w:t>
      </w:r>
      <w:r>
        <w:rPr>
          <w:rFonts w:hint="cs"/>
          <w:rtl/>
        </w:rPr>
        <w:t xml:space="preserve"> לכן אף לדעת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Pr>
          <w:rStyle w:val="af6"/>
          <w:rFonts w:eastAsia="Guttman Hodes" w:hint="cs"/>
          <w:rtl/>
        </w:rPr>
        <w:t>מ"ז</w:t>
      </w:r>
      <w:r w:rsidRPr="00C17C41">
        <w:rPr>
          <w:rStyle w:val="af6"/>
          <w:rFonts w:eastAsia="Guttman Hodes" w:hint="cs"/>
          <w:rtl/>
        </w:rPr>
        <w:t>)</w:t>
      </w:r>
      <w:r>
        <w:rPr>
          <w:rFonts w:hint="cs"/>
          <w:rtl/>
        </w:rPr>
        <w:t xml:space="preserve"> שהביא </w:t>
      </w:r>
      <w:r w:rsidRPr="0031681B">
        <w:rPr>
          <w:rStyle w:val="af8"/>
          <w:rFonts w:hint="cs"/>
          <w:rtl/>
        </w:rPr>
        <w:t>השו"ע</w:t>
      </w:r>
      <w:r>
        <w:rPr>
          <w:rFonts w:hint="cs"/>
          <w:rtl/>
        </w:rPr>
        <w:t xml:space="preserve"> </w:t>
      </w:r>
      <w:r w:rsidRPr="0031681B">
        <w:rPr>
          <w:rStyle w:val="af6"/>
          <w:rFonts w:eastAsia="Guttman Hodes" w:hint="cs"/>
          <w:rtl/>
        </w:rPr>
        <w:t>(סי' ק"ג ב')</w:t>
      </w:r>
      <w:r>
        <w:rPr>
          <w:rFonts w:hint="cs"/>
          <w:rtl/>
        </w:rPr>
        <w:t xml:space="preserve"> דפליג על </w:t>
      </w:r>
      <w:r w:rsidRPr="00C17C41">
        <w:rPr>
          <w:rStyle w:val="af8"/>
          <w:rFonts w:hint="cs"/>
          <w:rtl/>
        </w:rPr>
        <w:t>הרשב"א</w:t>
      </w:r>
      <w:r>
        <w:rPr>
          <w:rFonts w:hint="cs"/>
          <w:rtl/>
        </w:rPr>
        <w:t xml:space="preserve"> בכל נותן טעם לפגם, וס"ל דאם האיסור הגדיל את מידת ההיתר ונהנה מהאיסור אסור, אף שיש רוב בהיתר כנגד האיסור, כתב </w:t>
      </w:r>
      <w:r w:rsidRPr="00C17C41">
        <w:rPr>
          <w:rStyle w:val="af8"/>
          <w:rFonts w:hint="cs"/>
          <w:rtl/>
        </w:rPr>
        <w:t>הגר"א</w:t>
      </w:r>
      <w:r>
        <w:rPr>
          <w:rFonts w:hint="cs"/>
          <w:rtl/>
        </w:rPr>
        <w:t xml:space="preserve"> דמ"מ מודה </w:t>
      </w:r>
      <w:r w:rsidRPr="00E02D1D">
        <w:rPr>
          <w:rStyle w:val="af8"/>
          <w:rFonts w:hint="cs"/>
          <w:rtl/>
        </w:rPr>
        <w:t>הר"ן</w:t>
      </w:r>
      <w:r>
        <w:rPr>
          <w:rFonts w:hint="cs"/>
          <w:rtl/>
        </w:rPr>
        <w:t xml:space="preserve"> דבאיסור מאוס מעיקרו שאינו נהנה כלל דמותר, וכתב </w:t>
      </w:r>
      <w:r w:rsidRPr="00C17C41">
        <w:rPr>
          <w:rStyle w:val="af8"/>
          <w:rFonts w:hint="cs"/>
          <w:rtl/>
        </w:rPr>
        <w:t>הגר"א</w:t>
      </w:r>
      <w:r>
        <w:rPr>
          <w:rFonts w:hint="cs"/>
          <w:rtl/>
        </w:rPr>
        <w:t xml:space="preserve"> דכן מוכח בגמ' בגיטין </w:t>
      </w:r>
      <w:r w:rsidRPr="00C17C41">
        <w:rPr>
          <w:rStyle w:val="af6"/>
          <w:rFonts w:eastAsia="Guttman Hodes" w:hint="cs"/>
          <w:rtl/>
        </w:rPr>
        <w:t>(צ.)</w:t>
      </w:r>
      <w:r>
        <w:rPr>
          <w:rFonts w:hint="cs"/>
          <w:rtl/>
        </w:rPr>
        <w:t xml:space="preserve"> דזבוב שנפל לקערה, המוצצו נקרא רשע, ומבואר דאיסורו הוא רק מדין בל תשקצו, אמנם יעוי' בדברי </w:t>
      </w:r>
      <w:r w:rsidRPr="00CD1880">
        <w:rPr>
          <w:rStyle w:val="af8"/>
          <w:rFonts w:hint="cs"/>
          <w:rtl/>
        </w:rPr>
        <w:t>הר"ן בחי'</w:t>
      </w:r>
      <w:r>
        <w:rPr>
          <w:rFonts w:hint="cs"/>
          <w:rtl/>
        </w:rPr>
        <w:t xml:space="preserve"> </w:t>
      </w:r>
      <w:r w:rsidRPr="00CD1880">
        <w:rPr>
          <w:rStyle w:val="af6"/>
          <w:rFonts w:eastAsia="Guttman Hodes" w:hint="cs"/>
          <w:rtl/>
        </w:rPr>
        <w:t xml:space="preserve">(עי' אות </w:t>
      </w:r>
      <w:r w:rsidRPr="00CD1880">
        <w:rPr>
          <w:rStyle w:val="af6"/>
          <w:rFonts w:eastAsia="Guttman Hodes"/>
          <w:rtl/>
        </w:rPr>
        <w:fldChar w:fldCharType="begin"/>
      </w:r>
      <w:r w:rsidRPr="00CD1880">
        <w:rPr>
          <w:rStyle w:val="af6"/>
          <w:rFonts w:eastAsia="Guttman Hodes"/>
          <w:rtl/>
        </w:rPr>
        <w:instrText xml:space="preserve"> </w:instrText>
      </w:r>
      <w:r w:rsidRPr="00CD1880">
        <w:rPr>
          <w:rStyle w:val="af6"/>
          <w:rFonts w:eastAsia="Guttman Hodes" w:hint="cs"/>
        </w:rPr>
        <w:instrText>REF</w:instrText>
      </w:r>
      <w:r w:rsidRPr="00CD1880">
        <w:rPr>
          <w:rStyle w:val="af6"/>
          <w:rFonts w:eastAsia="Guttman Hodes" w:hint="cs"/>
          <w:rtl/>
        </w:rPr>
        <w:instrText xml:space="preserve"> _</w:instrText>
      </w:r>
      <w:r w:rsidRPr="00CD1880">
        <w:rPr>
          <w:rStyle w:val="af6"/>
          <w:rFonts w:eastAsia="Guttman Hodes" w:hint="cs"/>
        </w:rPr>
        <w:instrText>Ref20300317 \r \h</w:instrText>
      </w:r>
      <w:r w:rsidRPr="00CD1880">
        <w:rPr>
          <w:rStyle w:val="af6"/>
          <w:rFonts w:eastAsia="Guttman Hodes"/>
          <w:rtl/>
        </w:rPr>
        <w:instrText xml:space="preserve"> </w:instrText>
      </w:r>
      <w:r w:rsidRPr="00CD1880">
        <w:rPr>
          <w:rStyle w:val="af6"/>
          <w:rFonts w:eastAsia="Guttman Hodes"/>
          <w:rtl/>
        </w:rPr>
      </w:r>
      <w:r w:rsidRPr="00CD1880">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CD1880">
        <w:rPr>
          <w:rStyle w:val="af6"/>
          <w:rFonts w:eastAsia="Guttman Hodes"/>
          <w:rtl/>
        </w:rPr>
        <w:fldChar w:fldCharType="end"/>
      </w:r>
      <w:r>
        <w:rPr>
          <w:rFonts w:hint="cs"/>
          <w:rtl/>
        </w:rPr>
        <w:t xml:space="preserve"> דכתב להדיא דאסור.</w:t>
      </w:r>
      <w:bookmarkEnd w:id="11219"/>
    </w:p>
    <w:p w:rsidR="006C2032" w:rsidRDefault="006C2032" w:rsidP="006C2032">
      <w:pPr>
        <w:pStyle w:val="1"/>
        <w:rPr>
          <w:rtl/>
        </w:rPr>
      </w:pPr>
      <w:bookmarkStart w:id="11220" w:name="_Toc20310971"/>
      <w:bookmarkStart w:id="11221" w:name="_Toc20311143"/>
      <w:bookmarkStart w:id="11222" w:name="_Toc20315412"/>
      <w:bookmarkStart w:id="11223" w:name="_Toc20315801"/>
      <w:r>
        <w:rPr>
          <w:rFonts w:hint="cs"/>
          <w:rtl/>
        </w:rPr>
        <w:t>ביאור הב"ח ברשב"א</w:t>
      </w:r>
      <w:bookmarkEnd w:id="11120"/>
      <w:bookmarkEnd w:id="11204"/>
      <w:r>
        <w:rPr>
          <w:rFonts w:hint="cs"/>
          <w:rtl/>
        </w:rPr>
        <w:t xml:space="preserve"> דרק באיסור מאוס מותר בכזית בכא"פ</w:t>
      </w:r>
      <w:bookmarkEnd w:id="11220"/>
      <w:bookmarkEnd w:id="11221"/>
      <w:bookmarkEnd w:id="11222"/>
      <w:bookmarkEnd w:id="11223"/>
    </w:p>
    <w:p w:rsidR="006C2032" w:rsidRPr="00955744" w:rsidRDefault="006C2032" w:rsidP="006C2032">
      <w:pPr>
        <w:pStyle w:val="a2"/>
        <w:rPr>
          <w:rtl/>
        </w:rPr>
      </w:pPr>
      <w:bookmarkStart w:id="11224" w:name="_Toc20310972"/>
      <w:bookmarkStart w:id="11225" w:name="_Toc20311144"/>
      <w:bookmarkStart w:id="11226" w:name="_Toc20315413"/>
      <w:bookmarkStart w:id="11227" w:name="_Toc20315802"/>
      <w:r>
        <w:rPr>
          <w:rFonts w:hint="cs"/>
          <w:rtl/>
        </w:rPr>
        <w:t>ביאור הב"ח ברשב"א דס"ל דהאיסור המאוס אסור וטעמו מותר דאין לך בו אלא חידושו</w:t>
      </w:r>
      <w:bookmarkEnd w:id="11224"/>
      <w:bookmarkEnd w:id="11225"/>
      <w:bookmarkEnd w:id="11226"/>
      <w:bookmarkEnd w:id="11227"/>
      <w:r>
        <w:rPr>
          <w:rFonts w:hint="cs"/>
          <w:rtl/>
        </w:rPr>
        <w:t xml:space="preserve"> </w:t>
      </w:r>
    </w:p>
    <w:p w:rsidR="006C2032" w:rsidRDefault="006C2032" w:rsidP="009F44AF">
      <w:pPr>
        <w:pStyle w:val="a"/>
        <w:rPr>
          <w:rtl/>
        </w:rPr>
      </w:pPr>
      <w:r>
        <w:rPr>
          <w:rFonts w:hint="cs"/>
          <w:rtl/>
        </w:rPr>
        <w:t xml:space="preserve">כתב </w:t>
      </w:r>
      <w:r w:rsidRPr="003400F3">
        <w:rPr>
          <w:rStyle w:val="af8"/>
          <w:rFonts w:hint="cs"/>
          <w:rtl/>
        </w:rPr>
        <w:t>הב"ח</w:t>
      </w:r>
      <w:r>
        <w:rPr>
          <w:rFonts w:hint="cs"/>
          <w:rtl/>
        </w:rPr>
        <w:t xml:space="preserve"> </w:t>
      </w:r>
      <w:r w:rsidRPr="003400F3">
        <w:rPr>
          <w:rStyle w:val="af6"/>
          <w:rFonts w:eastAsia="Guttman Hodes" w:hint="cs"/>
          <w:rtl/>
        </w:rPr>
        <w:t>(סי' ק"ד ד')</w:t>
      </w:r>
      <w:r>
        <w:rPr>
          <w:rFonts w:hint="cs"/>
          <w:rtl/>
        </w:rPr>
        <w:t xml:space="preserve"> דמבואר מדברי </w:t>
      </w:r>
      <w:r w:rsidRPr="003400F3">
        <w:rPr>
          <w:rStyle w:val="af8"/>
          <w:rFonts w:hint="cs"/>
          <w:rtl/>
        </w:rPr>
        <w:t>הרשב"א בתוה"ב</w:t>
      </w:r>
      <w:r>
        <w:rPr>
          <w:rFonts w:hint="cs"/>
          <w:rtl/>
        </w:rPr>
        <w:t xml:space="preserve"> דבא לומר ב' חידושים שונים באיסור שרץ בתערובת, והדין הראשון כתב </w:t>
      </w:r>
      <w:r w:rsidRPr="003400F3">
        <w:rPr>
          <w:rStyle w:val="af8"/>
          <w:rFonts w:hint="cs"/>
          <w:rtl/>
        </w:rPr>
        <w:t>הרשב"א בתוה"ב</w:t>
      </w:r>
      <w:r>
        <w:rPr>
          <w:rFonts w:hint="cs"/>
          <w:rtl/>
        </w:rPr>
        <w:t xml:space="preserve"> </w:t>
      </w:r>
      <w:r w:rsidRPr="00ED4DD5">
        <w:rPr>
          <w:rStyle w:val="af6"/>
          <w:rFonts w:eastAsia="Guttman Hodes" w:hint="cs"/>
          <w:rtl/>
        </w:rPr>
        <w:t xml:space="preserve">(עי' אות </w:t>
      </w:r>
      <w:r w:rsidRPr="00ED4DD5">
        <w:rPr>
          <w:rStyle w:val="af6"/>
          <w:rFonts w:eastAsia="Guttman Hodes"/>
          <w:rtl/>
        </w:rPr>
        <w:fldChar w:fldCharType="begin"/>
      </w:r>
      <w:r w:rsidRPr="00ED4DD5">
        <w:rPr>
          <w:rStyle w:val="af6"/>
          <w:rFonts w:eastAsia="Guttman Hodes"/>
          <w:rtl/>
        </w:rPr>
        <w:instrText xml:space="preserve"> </w:instrText>
      </w:r>
      <w:r w:rsidRPr="00ED4DD5">
        <w:rPr>
          <w:rStyle w:val="af6"/>
          <w:rFonts w:eastAsia="Guttman Hodes" w:hint="cs"/>
        </w:rPr>
        <w:instrText>REF</w:instrText>
      </w:r>
      <w:r w:rsidRPr="00ED4DD5">
        <w:rPr>
          <w:rStyle w:val="af6"/>
          <w:rFonts w:eastAsia="Guttman Hodes" w:hint="cs"/>
          <w:rtl/>
        </w:rPr>
        <w:instrText xml:space="preserve"> _</w:instrText>
      </w:r>
      <w:r w:rsidRPr="00ED4DD5">
        <w:rPr>
          <w:rStyle w:val="af6"/>
          <w:rFonts w:eastAsia="Guttman Hodes" w:hint="cs"/>
        </w:rPr>
        <w:instrText>Ref20300977 \r \h</w:instrText>
      </w:r>
      <w:r w:rsidRPr="00ED4DD5">
        <w:rPr>
          <w:rStyle w:val="af6"/>
          <w:rFonts w:eastAsia="Guttman Hodes"/>
          <w:rtl/>
        </w:rPr>
        <w:instrText xml:space="preserve"> </w:instrText>
      </w:r>
      <w:r w:rsidRPr="00ED4DD5">
        <w:rPr>
          <w:rStyle w:val="af6"/>
          <w:rFonts w:eastAsia="Guttman Hodes"/>
          <w:rtl/>
        </w:rPr>
      </w:r>
      <w:r w:rsidRPr="00ED4DD5">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ED4DD5">
        <w:rPr>
          <w:rStyle w:val="af6"/>
          <w:rFonts w:eastAsia="Guttman Hodes"/>
          <w:rtl/>
        </w:rPr>
        <w:fldChar w:fldCharType="end"/>
      </w:r>
      <w:r>
        <w:rPr>
          <w:rFonts w:hint="cs"/>
          <w:rtl/>
        </w:rPr>
        <w:t xml:space="preserve"> דלא קיי"ל כרב ששת דנותן טעם לפגם אסור בשרצים, אלא קיי"ל כרבא דאף שחידשה תורה שהשרץ המאוס עצמו אסור, מ"מ כשנתן טעם לפגם בתערובת אינו אוסר, דאין לך בו אלא חידושו.</w:t>
      </w:r>
    </w:p>
    <w:p w:rsidR="006C2032" w:rsidRPr="006E2F2C" w:rsidRDefault="006C2032" w:rsidP="006C2032">
      <w:pPr>
        <w:pStyle w:val="a2"/>
        <w:rPr>
          <w:rtl/>
        </w:rPr>
      </w:pPr>
      <w:bookmarkStart w:id="11228" w:name="_Toc20310973"/>
      <w:bookmarkStart w:id="11229" w:name="_Toc20311145"/>
      <w:bookmarkStart w:id="11230" w:name="_Toc20315414"/>
      <w:bookmarkStart w:id="11231" w:name="_Toc20315803"/>
      <w:r>
        <w:rPr>
          <w:rFonts w:hint="cs"/>
          <w:rtl/>
        </w:rPr>
        <w:t>ביאור הב"ח ברשב"א דבמאוס שנימוח מותר אף בכזית בכא"פ כשיש רוב היתר</w:t>
      </w:r>
      <w:bookmarkEnd w:id="11228"/>
      <w:bookmarkEnd w:id="11229"/>
      <w:bookmarkEnd w:id="11230"/>
      <w:bookmarkEnd w:id="11231"/>
    </w:p>
    <w:p w:rsidR="006C2032" w:rsidRDefault="006C2032" w:rsidP="009F44AF">
      <w:pPr>
        <w:pStyle w:val="a"/>
        <w:rPr>
          <w:rtl/>
        </w:rPr>
      </w:pPr>
      <w:r>
        <w:rPr>
          <w:rFonts w:hint="cs"/>
          <w:rtl/>
        </w:rPr>
        <w:t xml:space="preserve">וכתב </w:t>
      </w:r>
      <w:r w:rsidRPr="009A4B6E">
        <w:rPr>
          <w:rStyle w:val="af8"/>
          <w:rFonts w:hint="cs"/>
          <w:rtl/>
        </w:rPr>
        <w:t xml:space="preserve">הב"ח </w:t>
      </w:r>
      <w:r>
        <w:rPr>
          <w:rFonts w:hint="cs"/>
          <w:rtl/>
        </w:rPr>
        <w:t xml:space="preserve">דעוד מבואר מדברי </w:t>
      </w:r>
      <w:r w:rsidRPr="009A4B6E">
        <w:rPr>
          <w:rStyle w:val="af8"/>
          <w:rFonts w:hint="cs"/>
          <w:rtl/>
        </w:rPr>
        <w:t xml:space="preserve">הרשב"א בתוה"ב </w:t>
      </w:r>
      <w:r w:rsidRPr="001F2942">
        <w:rPr>
          <w:rStyle w:val="af6"/>
          <w:rFonts w:eastAsia="Guttman Hodes" w:hint="cs"/>
          <w:rtl/>
        </w:rPr>
        <w:t xml:space="preserve">(עי' אות </w:t>
      </w:r>
      <w:r w:rsidRPr="001F2942">
        <w:rPr>
          <w:rStyle w:val="af6"/>
          <w:rFonts w:eastAsia="Guttman Hodes"/>
          <w:rtl/>
        </w:rPr>
        <w:fldChar w:fldCharType="begin"/>
      </w:r>
      <w:r w:rsidRPr="001F2942">
        <w:rPr>
          <w:rStyle w:val="af6"/>
          <w:rFonts w:eastAsia="Guttman Hodes"/>
          <w:rtl/>
        </w:rPr>
        <w:instrText xml:space="preserve"> </w:instrText>
      </w:r>
      <w:r w:rsidRPr="001F2942">
        <w:rPr>
          <w:rStyle w:val="af6"/>
          <w:rFonts w:eastAsia="Guttman Hodes" w:hint="cs"/>
        </w:rPr>
        <w:instrText>REF</w:instrText>
      </w:r>
      <w:r w:rsidRPr="001F2942">
        <w:rPr>
          <w:rStyle w:val="af6"/>
          <w:rFonts w:eastAsia="Guttman Hodes" w:hint="cs"/>
          <w:rtl/>
        </w:rPr>
        <w:instrText xml:space="preserve"> _</w:instrText>
      </w:r>
      <w:r w:rsidRPr="001F2942">
        <w:rPr>
          <w:rStyle w:val="af6"/>
          <w:rFonts w:eastAsia="Guttman Hodes" w:hint="cs"/>
        </w:rPr>
        <w:instrText>Ref18227824 \r \h</w:instrText>
      </w:r>
      <w:r w:rsidRPr="001F2942">
        <w:rPr>
          <w:rStyle w:val="af6"/>
          <w:rFonts w:eastAsia="Guttman Hodes"/>
          <w:rtl/>
        </w:rPr>
        <w:instrText xml:space="preserve"> </w:instrText>
      </w:r>
      <w:r w:rsidRPr="001F2942">
        <w:rPr>
          <w:rStyle w:val="af6"/>
          <w:rFonts w:eastAsia="Guttman Hodes"/>
          <w:rtl/>
        </w:rPr>
      </w:r>
      <w:r w:rsidRPr="001F2942">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1F2942">
        <w:rPr>
          <w:rStyle w:val="af6"/>
          <w:rFonts w:eastAsia="Guttman Hodes"/>
          <w:rtl/>
        </w:rPr>
        <w:fldChar w:fldCharType="end"/>
      </w:r>
      <w:r>
        <w:rPr>
          <w:rStyle w:val="af8"/>
          <w:rFonts w:hint="cs"/>
          <w:rtl/>
        </w:rPr>
        <w:t xml:space="preserve"> </w:t>
      </w:r>
      <w:r>
        <w:rPr>
          <w:rFonts w:hint="cs"/>
          <w:rtl/>
        </w:rPr>
        <w:t xml:space="preserve">דין נוסף דכל החידוש בשרץ מאוס שהוא אסור, זהו דוקא כשאוכלו בפנ"ע, אבל כל שהשרץ התערב בתערובת, </w:t>
      </w:r>
      <w:r w:rsidRPr="005C6297">
        <w:rPr>
          <w:rFonts w:hint="cs"/>
          <w:rtl/>
        </w:rPr>
        <w:t xml:space="preserve">אזלינן בתר נתינת טעם, ולכן כל שנתן בתערובת טעם פגום, </w:t>
      </w:r>
      <w:r>
        <w:rPr>
          <w:rFonts w:hint="cs"/>
          <w:rtl/>
        </w:rPr>
        <w:t xml:space="preserve">כל שיש רוב בהיתר כנגדו מותר, אף שיש באיסור כזית בכדי אכילת פרס, דגוף האיסור מותר מדין רוב, וטעמו אינו אוסר כיון שהוא טעם פגום, וכתב </w:t>
      </w:r>
      <w:r w:rsidRPr="009A4B6E">
        <w:rPr>
          <w:rStyle w:val="af8"/>
          <w:rFonts w:hint="cs"/>
          <w:rtl/>
        </w:rPr>
        <w:t xml:space="preserve">הב"ח </w:t>
      </w:r>
      <w:r>
        <w:rPr>
          <w:rStyle w:val="af8"/>
          <w:rFonts w:hint="cs"/>
          <w:rtl/>
        </w:rPr>
        <w:t>ד</w:t>
      </w:r>
      <w:r w:rsidRPr="009A4B6E">
        <w:rPr>
          <w:rStyle w:val="af8"/>
          <w:rFonts w:hint="cs"/>
          <w:rtl/>
        </w:rPr>
        <w:t xml:space="preserve">הרשב"א בתוה"ב </w:t>
      </w:r>
      <w:r w:rsidRPr="00BE523C">
        <w:rPr>
          <w:rStyle w:val="af6"/>
          <w:rFonts w:eastAsia="Guttman Hodes" w:hint="cs"/>
          <w:rtl/>
        </w:rPr>
        <w:t>(</w:t>
      </w:r>
      <w:r w:rsidRPr="001F2942">
        <w:rPr>
          <w:rStyle w:val="af6"/>
          <w:rFonts w:eastAsia="Guttman Hodes" w:hint="cs"/>
          <w:rtl/>
        </w:rPr>
        <w:t xml:space="preserve">עי' אות </w:t>
      </w:r>
      <w:r w:rsidRPr="001F2942">
        <w:rPr>
          <w:rStyle w:val="af6"/>
          <w:rFonts w:eastAsia="Guttman Hodes"/>
          <w:rtl/>
        </w:rPr>
        <w:fldChar w:fldCharType="begin"/>
      </w:r>
      <w:r w:rsidRPr="001F2942">
        <w:rPr>
          <w:rStyle w:val="af6"/>
          <w:rFonts w:eastAsia="Guttman Hodes"/>
          <w:rtl/>
        </w:rPr>
        <w:instrText xml:space="preserve"> </w:instrText>
      </w:r>
      <w:r w:rsidRPr="001F2942">
        <w:rPr>
          <w:rStyle w:val="af6"/>
          <w:rFonts w:eastAsia="Guttman Hodes" w:hint="cs"/>
        </w:rPr>
        <w:instrText>REF</w:instrText>
      </w:r>
      <w:r w:rsidRPr="001F2942">
        <w:rPr>
          <w:rStyle w:val="af6"/>
          <w:rFonts w:eastAsia="Guttman Hodes" w:hint="cs"/>
          <w:rtl/>
        </w:rPr>
        <w:instrText xml:space="preserve"> _</w:instrText>
      </w:r>
      <w:r w:rsidRPr="001F2942">
        <w:rPr>
          <w:rStyle w:val="af6"/>
          <w:rFonts w:eastAsia="Guttman Hodes" w:hint="cs"/>
        </w:rPr>
        <w:instrText>Ref20301212 \r \h</w:instrText>
      </w:r>
      <w:r w:rsidRPr="001F2942">
        <w:rPr>
          <w:rStyle w:val="af6"/>
          <w:rFonts w:eastAsia="Guttman Hodes"/>
          <w:rtl/>
        </w:rPr>
        <w:instrText xml:space="preserve"> </w:instrText>
      </w:r>
      <w:r w:rsidRPr="001F2942">
        <w:rPr>
          <w:rStyle w:val="af6"/>
          <w:rFonts w:eastAsia="Guttman Hodes"/>
          <w:rtl/>
        </w:rPr>
      </w:r>
      <w:r w:rsidRPr="001F2942">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1F2942">
        <w:rPr>
          <w:rStyle w:val="af6"/>
          <w:rFonts w:eastAsia="Guttman Hodes"/>
          <w:rtl/>
        </w:rPr>
        <w:fldChar w:fldCharType="end"/>
      </w:r>
      <w:r>
        <w:rPr>
          <w:rFonts w:hint="cs"/>
          <w:rtl/>
        </w:rPr>
        <w:t xml:space="preserve"> ביאר דאעפ"י שהטעם של האיסור מורגש בהיתר, וחשיב כאילו האיסור בעין, מ"מ אין לו דין של טעם כעיקר, לאסור את רוב ההיתר, דאינו נותן טעם בהיתר אלא אדרבה הוא פוגם אותו, וכתב </w:t>
      </w:r>
      <w:r w:rsidRPr="009A4B6E">
        <w:rPr>
          <w:rStyle w:val="af8"/>
          <w:rFonts w:hint="cs"/>
          <w:rtl/>
        </w:rPr>
        <w:t xml:space="preserve">הב"ח </w:t>
      </w:r>
      <w:r>
        <w:rPr>
          <w:rFonts w:hint="cs"/>
          <w:rtl/>
        </w:rPr>
        <w:t xml:space="preserve">דלכן כתב </w:t>
      </w:r>
      <w:r w:rsidRPr="009A4B6E">
        <w:rPr>
          <w:rStyle w:val="af8"/>
          <w:rFonts w:hint="cs"/>
          <w:rtl/>
        </w:rPr>
        <w:t>הרשב"א בתוה"ב</w:t>
      </w:r>
      <w:r>
        <w:rPr>
          <w:rStyle w:val="af8"/>
          <w:rFonts w:hint="cs"/>
          <w:rtl/>
        </w:rPr>
        <w:t xml:space="preserve"> </w:t>
      </w:r>
      <w:r>
        <w:rPr>
          <w:rFonts w:hint="cs"/>
          <w:rtl/>
        </w:rPr>
        <w:t>דאף שגוף השרץ המאוס נימוח בהיתר, כל שיש רוב בהיתר כנגדו מותר, אף שיש איסור בכזית בכדי אכילת פרס.</w:t>
      </w:r>
    </w:p>
    <w:p w:rsidR="006C2032" w:rsidRDefault="006C2032" w:rsidP="006C2032">
      <w:pPr>
        <w:pStyle w:val="a2"/>
        <w:rPr>
          <w:rtl/>
        </w:rPr>
      </w:pPr>
      <w:bookmarkStart w:id="11232" w:name="_Toc20310974"/>
      <w:bookmarkStart w:id="11233" w:name="_Toc20311146"/>
      <w:bookmarkStart w:id="11234" w:name="_Toc20315415"/>
      <w:bookmarkStart w:id="11235" w:name="_Toc20315804"/>
      <w:r>
        <w:rPr>
          <w:rFonts w:hint="cs"/>
          <w:rtl/>
        </w:rPr>
        <w:t>דברי הב"ח דלהרשב"א בנטל"פ בשאר איסורים בכזית בכא"פ חשיב בעין ואסור</w:t>
      </w:r>
      <w:bookmarkEnd w:id="11232"/>
      <w:bookmarkEnd w:id="11233"/>
      <w:bookmarkEnd w:id="11234"/>
      <w:bookmarkEnd w:id="11235"/>
    </w:p>
    <w:p w:rsidR="006C2032" w:rsidRDefault="006C2032" w:rsidP="009F44AF">
      <w:pPr>
        <w:pStyle w:val="a"/>
        <w:rPr>
          <w:sz w:val="10"/>
          <w:szCs w:val="14"/>
          <w:rtl/>
        </w:rPr>
      </w:pPr>
      <w:bookmarkStart w:id="11236" w:name="_Ref20303021"/>
      <w:r>
        <w:rPr>
          <w:rFonts w:hint="cs"/>
          <w:rtl/>
        </w:rPr>
        <w:t xml:space="preserve">וכתב </w:t>
      </w:r>
      <w:r w:rsidRPr="009A4B6E">
        <w:rPr>
          <w:rStyle w:val="af8"/>
          <w:rFonts w:hint="cs"/>
          <w:rtl/>
        </w:rPr>
        <w:t>הב"ח</w:t>
      </w:r>
      <w:r>
        <w:rPr>
          <w:rFonts w:hint="cs"/>
          <w:rtl/>
        </w:rPr>
        <w:t xml:space="preserve"> דא"כ מבואר מדברי </w:t>
      </w:r>
      <w:r w:rsidRPr="009A4B6E">
        <w:rPr>
          <w:rStyle w:val="af8"/>
          <w:rFonts w:hint="cs"/>
          <w:rtl/>
        </w:rPr>
        <w:t>הרשב"א</w:t>
      </w:r>
      <w:r>
        <w:rPr>
          <w:rFonts w:hint="cs"/>
          <w:rtl/>
        </w:rPr>
        <w:t xml:space="preserve"> </w:t>
      </w:r>
      <w:r w:rsidRPr="009A4B6E">
        <w:rPr>
          <w:rStyle w:val="af8"/>
          <w:rFonts w:hint="cs"/>
          <w:rtl/>
        </w:rPr>
        <w:t>בתוה"ב</w:t>
      </w:r>
      <w:r>
        <w:rPr>
          <w:rStyle w:val="af8"/>
          <w:rFonts w:hint="cs"/>
          <w:rtl/>
        </w:rPr>
        <w:t xml:space="preserve"> </w:t>
      </w:r>
      <w:r>
        <w:rPr>
          <w:rFonts w:hint="cs"/>
          <w:rtl/>
        </w:rPr>
        <w:t>שיש חילוק בין נותן טעם לפגם בכל האיסורים, דההיתר הוא דוקא במקום שאין מהאיסור כזית בכדי אכילת פרס, דאי יש כזית בכדי אכילת פרס, א"כ חשיב שהאיסור בעין ואף שהוא נותן טעם לפגם הוא אוסר כל שהוא ראוי לגר.</w:t>
      </w:r>
    </w:p>
    <w:p w:rsidR="006C2032" w:rsidRPr="00D1577C" w:rsidRDefault="006C2032" w:rsidP="006C2032">
      <w:pPr>
        <w:pStyle w:val="a2"/>
      </w:pPr>
      <w:bookmarkStart w:id="11237" w:name="_Toc20310975"/>
      <w:bookmarkStart w:id="11238" w:name="_Toc20311147"/>
      <w:bookmarkStart w:id="11239" w:name="_Toc20315416"/>
      <w:bookmarkStart w:id="11240" w:name="_Toc20315805"/>
      <w:r>
        <w:rPr>
          <w:rFonts w:hint="cs"/>
          <w:rtl/>
        </w:rPr>
        <w:t>ביאור הב"ח ברשב"א דבמאוס חידשה תורה דאסור רק בפנ"ע ובתערובת מותר אף בכא"פ</w:t>
      </w:r>
      <w:bookmarkEnd w:id="11237"/>
      <w:bookmarkEnd w:id="11238"/>
      <w:bookmarkEnd w:id="11239"/>
      <w:bookmarkEnd w:id="11240"/>
    </w:p>
    <w:p w:rsidR="006C2032" w:rsidRPr="00005445" w:rsidRDefault="006C2032" w:rsidP="009F44AF">
      <w:pPr>
        <w:pStyle w:val="a"/>
        <w:rPr>
          <w:rStyle w:val="afa"/>
          <w:rtl/>
        </w:rPr>
      </w:pPr>
      <w:bookmarkStart w:id="11241" w:name="_Ref20303571"/>
      <w:r>
        <w:rPr>
          <w:rFonts w:hint="cs"/>
          <w:rtl/>
        </w:rPr>
        <w:t xml:space="preserve">אבל באיסור שמאוס מעיקרו, כתב </w:t>
      </w:r>
      <w:r w:rsidRPr="009A4B6E">
        <w:rPr>
          <w:rStyle w:val="af8"/>
          <w:rFonts w:hint="cs"/>
          <w:rtl/>
        </w:rPr>
        <w:t>הב"ח</w:t>
      </w:r>
      <w:r>
        <w:rPr>
          <w:rFonts w:hint="cs"/>
          <w:rtl/>
        </w:rPr>
        <w:t xml:space="preserve"> דס"ל </w:t>
      </w:r>
      <w:r w:rsidRPr="009A4B6E">
        <w:rPr>
          <w:rStyle w:val="af8"/>
          <w:rFonts w:hint="cs"/>
          <w:rtl/>
        </w:rPr>
        <w:t>להרשב"א</w:t>
      </w:r>
      <w:r>
        <w:rPr>
          <w:rFonts w:hint="cs"/>
          <w:rtl/>
        </w:rPr>
        <w:t xml:space="preserve"> דמותר אף כשיש באיסור כזית בכדי אכילת פרס, דחידוש התורה שאיסור מאוס אוסר, הוא דוקא כשהוא בפנ"ע, ולא כשמעורב בתערובת שיש רוב בהיתר כנגדו, וכתב </w:t>
      </w:r>
      <w:r w:rsidRPr="00BB3DC5">
        <w:rPr>
          <w:rStyle w:val="af8"/>
          <w:rFonts w:hint="cs"/>
          <w:rtl/>
        </w:rPr>
        <w:t xml:space="preserve">הב"ח </w:t>
      </w:r>
      <w:r>
        <w:rPr>
          <w:rFonts w:hint="cs"/>
          <w:rtl/>
        </w:rPr>
        <w:t xml:space="preserve">דהיה </w:t>
      </w:r>
      <w:r w:rsidRPr="00BB3DC5">
        <w:rPr>
          <w:rStyle w:val="af8"/>
          <w:rFonts w:hint="cs"/>
          <w:rtl/>
        </w:rPr>
        <w:t xml:space="preserve">לטור </w:t>
      </w:r>
      <w:r>
        <w:rPr>
          <w:rFonts w:hint="cs"/>
          <w:rtl/>
        </w:rPr>
        <w:t xml:space="preserve">לפרש דבכל האיסורים התיר </w:t>
      </w:r>
      <w:r w:rsidRPr="00BB3DC5">
        <w:rPr>
          <w:rStyle w:val="af8"/>
          <w:rFonts w:hint="cs"/>
          <w:rtl/>
        </w:rPr>
        <w:t xml:space="preserve">הרשב"א </w:t>
      </w:r>
      <w:r>
        <w:rPr>
          <w:rFonts w:hint="cs"/>
          <w:rtl/>
        </w:rPr>
        <w:t>רק כשאין כזית איסור בכדי אכילת פרס, ובאיסור מאוס מותר אף בכזית בכדי אכילת פרס.</w:t>
      </w:r>
      <w:bookmarkEnd w:id="11236"/>
      <w:r>
        <w:rPr>
          <w:rFonts w:hint="cs"/>
          <w:rtl/>
        </w:rPr>
        <w:t xml:space="preserve"> </w:t>
      </w:r>
      <w:r w:rsidRPr="00005445">
        <w:rPr>
          <w:rStyle w:val="afa"/>
          <w:rFonts w:hint="cs"/>
          <w:rtl/>
        </w:rPr>
        <w:t xml:space="preserve">[ועי' בדברי </w:t>
      </w:r>
      <w:r w:rsidRPr="00005445">
        <w:rPr>
          <w:rStyle w:val="affa"/>
          <w:rFonts w:hint="cs"/>
          <w:rtl/>
        </w:rPr>
        <w:t>הב"י</w:t>
      </w:r>
      <w:r w:rsidRPr="00005445">
        <w:rPr>
          <w:rStyle w:val="afa"/>
          <w:rFonts w:hint="cs"/>
          <w:rtl/>
        </w:rPr>
        <w:t xml:space="preserve"> </w:t>
      </w:r>
      <w:r w:rsidRPr="005B306E">
        <w:rPr>
          <w:rStyle w:val="aff6"/>
          <w:rFonts w:hint="cs"/>
          <w:rtl/>
        </w:rPr>
        <w:t xml:space="preserve">(עי' אות </w:t>
      </w:r>
      <w:r w:rsidRPr="005B306E">
        <w:rPr>
          <w:rStyle w:val="aff6"/>
          <w:rtl/>
        </w:rPr>
        <w:fldChar w:fldCharType="begin"/>
      </w:r>
      <w:r w:rsidRPr="005B306E">
        <w:rPr>
          <w:rStyle w:val="aff6"/>
          <w:rtl/>
        </w:rPr>
        <w:instrText xml:space="preserve"> </w:instrText>
      </w:r>
      <w:r w:rsidRPr="005B306E">
        <w:rPr>
          <w:rStyle w:val="aff6"/>
          <w:rFonts w:hint="cs"/>
        </w:rPr>
        <w:instrText>REF</w:instrText>
      </w:r>
      <w:r w:rsidRPr="005B306E">
        <w:rPr>
          <w:rStyle w:val="aff6"/>
          <w:rFonts w:hint="cs"/>
          <w:rtl/>
        </w:rPr>
        <w:instrText xml:space="preserve"> _</w:instrText>
      </w:r>
      <w:r w:rsidRPr="005B306E">
        <w:rPr>
          <w:rStyle w:val="aff6"/>
          <w:rFonts w:hint="cs"/>
        </w:rPr>
        <w:instrText>Ref20303146 \r \h</w:instrText>
      </w:r>
      <w:r w:rsidRPr="005B306E">
        <w:rPr>
          <w:rStyle w:val="aff6"/>
          <w:rtl/>
        </w:rPr>
        <w:instrText xml:space="preserve"> </w:instrText>
      </w:r>
      <w:r w:rsidRPr="005B306E">
        <w:rPr>
          <w:rStyle w:val="aff6"/>
          <w:rtl/>
        </w:rPr>
      </w:r>
      <w:r w:rsidRPr="005B306E">
        <w:rPr>
          <w:rStyle w:val="aff6"/>
          <w:rtl/>
        </w:rPr>
        <w:fldChar w:fldCharType="separate"/>
      </w:r>
      <w:r w:rsidR="004D1C5B">
        <w:rPr>
          <w:rStyle w:val="aff6"/>
          <w:cs/>
        </w:rPr>
        <w:t>‎</w:t>
      </w:r>
      <w:r w:rsidR="004D1C5B">
        <w:rPr>
          <w:rStyle w:val="aff6"/>
          <w:rtl/>
        </w:rPr>
        <w:t>לב)</w:t>
      </w:r>
      <w:r w:rsidRPr="005B306E">
        <w:rPr>
          <w:rStyle w:val="aff6"/>
          <w:rtl/>
        </w:rPr>
        <w:fldChar w:fldCharType="end"/>
      </w:r>
      <w:r w:rsidRPr="00005445">
        <w:rPr>
          <w:rStyle w:val="afa"/>
          <w:rFonts w:hint="cs"/>
          <w:rtl/>
        </w:rPr>
        <w:t xml:space="preserve"> דכתב </w:t>
      </w:r>
      <w:r w:rsidRPr="00005445">
        <w:rPr>
          <w:rStyle w:val="affa"/>
          <w:rFonts w:hint="cs"/>
          <w:rtl/>
        </w:rPr>
        <w:t>דלהרשב"א</w:t>
      </w:r>
      <w:r w:rsidRPr="00005445">
        <w:rPr>
          <w:rStyle w:val="afa"/>
          <w:rFonts w:hint="cs"/>
          <w:rtl/>
        </w:rPr>
        <w:t xml:space="preserve"> אף בשאר האיסורים מותר בכזית בכדי אכילת פרס, ורק </w:t>
      </w:r>
      <w:r w:rsidRPr="00005445">
        <w:rPr>
          <w:rStyle w:val="affa"/>
          <w:rFonts w:hint="cs"/>
          <w:rtl/>
        </w:rPr>
        <w:t>להר"ן</w:t>
      </w:r>
      <w:r w:rsidRPr="00005445">
        <w:rPr>
          <w:rStyle w:val="afa"/>
          <w:rFonts w:hint="cs"/>
          <w:rtl/>
        </w:rPr>
        <w:t xml:space="preserve"> </w:t>
      </w:r>
      <w:r w:rsidRPr="005B306E">
        <w:rPr>
          <w:rStyle w:val="aff6"/>
          <w:rFonts w:hint="cs"/>
          <w:rtl/>
        </w:rPr>
        <w:t xml:space="preserve">(עי' אות </w:t>
      </w:r>
      <w:r w:rsidRPr="005B306E">
        <w:rPr>
          <w:rStyle w:val="aff6"/>
          <w:rtl/>
        </w:rPr>
        <w:fldChar w:fldCharType="begin"/>
      </w:r>
      <w:r w:rsidRPr="005B306E">
        <w:rPr>
          <w:rStyle w:val="aff6"/>
          <w:rtl/>
        </w:rPr>
        <w:instrText xml:space="preserve"> </w:instrText>
      </w:r>
      <w:r w:rsidRPr="005B306E">
        <w:rPr>
          <w:rStyle w:val="aff6"/>
          <w:rFonts w:hint="cs"/>
        </w:rPr>
        <w:instrText>REF</w:instrText>
      </w:r>
      <w:r w:rsidRPr="005B306E">
        <w:rPr>
          <w:rStyle w:val="aff6"/>
          <w:rFonts w:hint="cs"/>
          <w:rtl/>
        </w:rPr>
        <w:instrText xml:space="preserve"> _</w:instrText>
      </w:r>
      <w:r w:rsidRPr="005B306E">
        <w:rPr>
          <w:rStyle w:val="aff6"/>
          <w:rFonts w:hint="cs"/>
        </w:rPr>
        <w:instrText>Ref20300366 \r \h</w:instrText>
      </w:r>
      <w:r w:rsidRPr="005B306E">
        <w:rPr>
          <w:rStyle w:val="aff6"/>
          <w:rtl/>
        </w:rPr>
        <w:instrText xml:space="preserve"> </w:instrText>
      </w:r>
      <w:r w:rsidRPr="005B306E">
        <w:rPr>
          <w:rStyle w:val="aff6"/>
          <w:rtl/>
        </w:rPr>
      </w:r>
      <w:r w:rsidRPr="005B306E">
        <w:rPr>
          <w:rStyle w:val="aff6"/>
          <w:rtl/>
        </w:rPr>
        <w:fldChar w:fldCharType="separate"/>
      </w:r>
      <w:r w:rsidR="004D1C5B">
        <w:rPr>
          <w:rStyle w:val="aff6"/>
          <w:cs/>
        </w:rPr>
        <w:t>‎</w:t>
      </w:r>
      <w:r w:rsidR="004D1C5B">
        <w:rPr>
          <w:rStyle w:val="aff6"/>
          <w:rtl/>
        </w:rPr>
        <w:t>לג)</w:t>
      </w:r>
      <w:r w:rsidRPr="005B306E">
        <w:rPr>
          <w:rStyle w:val="aff6"/>
          <w:rtl/>
        </w:rPr>
        <w:fldChar w:fldCharType="end"/>
      </w:r>
      <w:r w:rsidRPr="00005445">
        <w:rPr>
          <w:rStyle w:val="afa"/>
          <w:rFonts w:hint="cs"/>
          <w:rtl/>
        </w:rPr>
        <w:t xml:space="preserve"> ההיתר הוא רק באיסור מאוס מעיקרו].</w:t>
      </w:r>
      <w:bookmarkEnd w:id="11241"/>
    </w:p>
    <w:p w:rsidR="006C2032" w:rsidRDefault="006C2032" w:rsidP="006C2032">
      <w:pPr>
        <w:pStyle w:val="a2"/>
        <w:rPr>
          <w:rtl/>
        </w:rPr>
      </w:pPr>
      <w:bookmarkStart w:id="11242" w:name="_Toc20310976"/>
      <w:bookmarkStart w:id="11243" w:name="_Toc20311148"/>
      <w:bookmarkStart w:id="11244" w:name="_Toc20315417"/>
      <w:bookmarkStart w:id="11245" w:name="_Toc20315806"/>
      <w:r>
        <w:rPr>
          <w:rFonts w:hint="cs"/>
          <w:rtl/>
        </w:rPr>
        <w:t>קושית הפרמ"ג דאף בשאר איסורין טעם פגום אינו אוסר להרשב"א ומותר אף בכזית בכא"פ</w:t>
      </w:r>
      <w:bookmarkEnd w:id="11242"/>
      <w:bookmarkEnd w:id="11243"/>
      <w:bookmarkEnd w:id="11244"/>
      <w:bookmarkEnd w:id="11245"/>
    </w:p>
    <w:p w:rsidR="006C2032" w:rsidRDefault="006C2032" w:rsidP="009F44AF">
      <w:pPr>
        <w:pStyle w:val="a"/>
        <w:rPr>
          <w:rtl/>
        </w:rPr>
      </w:pPr>
      <w:r>
        <w:rPr>
          <w:rFonts w:hint="cs"/>
          <w:rtl/>
        </w:rPr>
        <w:t>והקשה</w:t>
      </w:r>
      <w:r w:rsidRPr="001E2A48">
        <w:rPr>
          <w:rStyle w:val="af8"/>
          <w:rFonts w:hint="cs"/>
          <w:rtl/>
        </w:rPr>
        <w:t xml:space="preserve"> הפרמ"ג</w:t>
      </w:r>
      <w:r>
        <w:rPr>
          <w:rFonts w:hint="cs"/>
          <w:rtl/>
        </w:rPr>
        <w:t xml:space="preserve"> </w:t>
      </w:r>
      <w:r w:rsidRPr="005B306E">
        <w:rPr>
          <w:rStyle w:val="af6"/>
          <w:rFonts w:eastAsia="Guttman Hodes" w:hint="cs"/>
          <w:rtl/>
        </w:rPr>
        <w:t>(סי' ק"ד שפ"ד סק"ט)</w:t>
      </w:r>
      <w:r>
        <w:rPr>
          <w:rFonts w:hint="cs"/>
          <w:rtl/>
        </w:rPr>
        <w:t xml:space="preserve"> על </w:t>
      </w:r>
      <w:r w:rsidRPr="001E2A48">
        <w:rPr>
          <w:rStyle w:val="af8"/>
          <w:rFonts w:hint="cs"/>
          <w:rtl/>
        </w:rPr>
        <w:t>הב"ח</w:t>
      </w:r>
      <w:r>
        <w:rPr>
          <w:rFonts w:hint="cs"/>
          <w:rtl/>
        </w:rPr>
        <w:t xml:space="preserve"> דאי ס"ל </w:t>
      </w:r>
      <w:r w:rsidRPr="008F2972">
        <w:rPr>
          <w:rStyle w:val="af8"/>
          <w:rFonts w:hint="cs"/>
          <w:rtl/>
        </w:rPr>
        <w:t>להרשב"א</w:t>
      </w:r>
      <w:r>
        <w:rPr>
          <w:rFonts w:hint="cs"/>
          <w:rtl/>
        </w:rPr>
        <w:t xml:space="preserve"> דבאיסור שמאוס מעיקרו שאסרתו תורה, ואפ"ה גם באופן שיש באיסור כזית בכדי אכילת פרס,</w:t>
      </w:r>
      <w:r w:rsidRPr="001B75C3">
        <w:rPr>
          <w:rFonts w:hint="cs"/>
          <w:rtl/>
        </w:rPr>
        <w:t xml:space="preserve"> </w:t>
      </w:r>
      <w:r>
        <w:rPr>
          <w:rFonts w:hint="cs"/>
          <w:rtl/>
        </w:rPr>
        <w:t>יש בו היתר נותן טעם לפגם, כל שיש רוב היתר כנגדו,</w:t>
      </w:r>
      <w:r w:rsidRPr="001B75C3">
        <w:rPr>
          <w:rFonts w:hint="cs"/>
          <w:rtl/>
        </w:rPr>
        <w:t xml:space="preserve"> </w:t>
      </w:r>
      <w:r>
        <w:rPr>
          <w:rFonts w:hint="cs"/>
          <w:rtl/>
        </w:rPr>
        <w:t xml:space="preserve">א"כ אף באיסור שהיה משובח ופגם במקצת את התערובת, ג"כ צריך להיות מותר, לדעת </w:t>
      </w:r>
      <w:r w:rsidRPr="005B306E">
        <w:rPr>
          <w:rStyle w:val="af8"/>
          <w:rFonts w:hint="cs"/>
          <w:rtl/>
        </w:rPr>
        <w:t>הרשב"א</w:t>
      </w:r>
      <w:r>
        <w:rPr>
          <w:rFonts w:hint="cs"/>
          <w:rtl/>
        </w:rPr>
        <w:t xml:space="preserve">, דהא בדין טעם כעיקר לא אסרה תורה טעם פגום, </w:t>
      </w:r>
      <w:r w:rsidRPr="00D62886">
        <w:rPr>
          <w:rStyle w:val="afa"/>
          <w:rFonts w:hint="cs"/>
          <w:rtl/>
        </w:rPr>
        <w:t xml:space="preserve">[כדכתב </w:t>
      </w:r>
      <w:r w:rsidRPr="005B306E">
        <w:rPr>
          <w:rStyle w:val="affa"/>
          <w:rFonts w:hint="cs"/>
          <w:rtl/>
        </w:rPr>
        <w:t>הרשב"א בתוה"ב</w:t>
      </w:r>
      <w:r w:rsidRPr="00D62886">
        <w:rPr>
          <w:rStyle w:val="afa"/>
          <w:rFonts w:hint="cs"/>
          <w:rtl/>
        </w:rPr>
        <w:t xml:space="preserve"> </w:t>
      </w:r>
      <w:r w:rsidRPr="005B306E">
        <w:rPr>
          <w:rStyle w:val="aff6"/>
          <w:rFonts w:hint="cs"/>
          <w:rtl/>
        </w:rPr>
        <w:t>(ב"ד ש"א יט. מדה"ס ד"ה פגם, הובא לעיל סימן י"ב אות ט"ז</w:t>
      </w:r>
      <w:r>
        <w:rPr>
          <w:rStyle w:val="aff6"/>
          <w:rFonts w:hint="cs"/>
          <w:rtl/>
        </w:rPr>
        <w:t>)</w:t>
      </w:r>
      <w:r w:rsidRPr="00D62886">
        <w:rPr>
          <w:rStyle w:val="afa"/>
          <w:rFonts w:hint="cs"/>
          <w:rtl/>
        </w:rPr>
        <w:t>],</w:t>
      </w:r>
      <w:r>
        <w:rPr>
          <w:rFonts w:hint="cs"/>
          <w:rtl/>
        </w:rPr>
        <w:t xml:space="preserve"> וכיון שאין בו איסור מצד טעם כעיקר, א"כ מהני בו ביטול ברוב, ככל חד בתרי במין במינו, ואף כשיש כזית בכדי אכילת פרס.</w:t>
      </w:r>
    </w:p>
    <w:p w:rsidR="006C2032" w:rsidRPr="00E823BD" w:rsidRDefault="006C2032" w:rsidP="006C2032">
      <w:pPr>
        <w:pStyle w:val="a2"/>
      </w:pPr>
      <w:bookmarkStart w:id="11246" w:name="_Toc20310977"/>
      <w:bookmarkStart w:id="11247" w:name="_Toc20311149"/>
      <w:bookmarkStart w:id="11248" w:name="_Toc20315418"/>
      <w:bookmarkStart w:id="11249" w:name="_Toc20315807"/>
      <w:r>
        <w:rPr>
          <w:rFonts w:hint="cs"/>
          <w:rtl/>
        </w:rPr>
        <w:t>דברי הפרמ"ג דבתוה"ב הקצר מוכח דכל שיש רוב מותר בין בשאר איסורים ובין במאוס מעיקרו</w:t>
      </w:r>
      <w:bookmarkEnd w:id="11246"/>
      <w:bookmarkEnd w:id="11247"/>
      <w:bookmarkEnd w:id="11248"/>
      <w:bookmarkEnd w:id="11249"/>
    </w:p>
    <w:p w:rsidR="007D485E" w:rsidRDefault="006C2032" w:rsidP="009F44AF">
      <w:pPr>
        <w:pStyle w:val="a"/>
        <w:rPr>
          <w:rtl/>
        </w:rPr>
      </w:pPr>
      <w:r>
        <w:rPr>
          <w:rFonts w:hint="cs"/>
          <w:rtl/>
        </w:rPr>
        <w:t xml:space="preserve">והוסיף </w:t>
      </w:r>
      <w:r w:rsidRPr="005B306E">
        <w:rPr>
          <w:rStyle w:val="af8"/>
          <w:rFonts w:hint="cs"/>
          <w:rtl/>
        </w:rPr>
        <w:t>הפרמ"ג דהרשב"א בתוה"ב הקצר</w:t>
      </w:r>
      <w:r>
        <w:rPr>
          <w:rFonts w:hint="cs"/>
          <w:rtl/>
        </w:rPr>
        <w:t xml:space="preserve"> </w:t>
      </w:r>
      <w:r w:rsidRPr="005B306E">
        <w:rPr>
          <w:rStyle w:val="af6"/>
          <w:rFonts w:eastAsia="Guttman Hodes" w:hint="cs"/>
          <w:rtl/>
        </w:rPr>
        <w:t>(ב"ד ש"א טו. מדה"ס)</w:t>
      </w:r>
      <w:r>
        <w:rPr>
          <w:rFonts w:hint="cs"/>
          <w:rtl/>
        </w:rPr>
        <w:t xml:space="preserve"> כתב דבכל נותן טעם לפגם, מותר כשיש רוב היתר, וכן באיסור מאוס כתב </w:t>
      </w:r>
      <w:r w:rsidRPr="005B306E">
        <w:rPr>
          <w:rStyle w:val="af8"/>
          <w:rFonts w:hint="cs"/>
          <w:rtl/>
        </w:rPr>
        <w:t>הרשב"א בתוה"ב הקצר</w:t>
      </w:r>
      <w:r w:rsidRPr="005B306E">
        <w:rPr>
          <w:rStyle w:val="af6"/>
          <w:rFonts w:eastAsia="Guttman Hodes" w:hint="cs"/>
          <w:rtl/>
        </w:rPr>
        <w:t xml:space="preserve"> (ב"ד ש"א טז: מדה"ס)</w:t>
      </w:r>
      <w:r>
        <w:rPr>
          <w:rFonts w:hint="cs"/>
          <w:rtl/>
        </w:rPr>
        <w:t xml:space="preserve"> דכל שיש רוב בהיתר מותר, ולא חילק </w:t>
      </w:r>
      <w:r w:rsidRPr="005B306E">
        <w:rPr>
          <w:rStyle w:val="af8"/>
          <w:rFonts w:hint="cs"/>
          <w:rtl/>
        </w:rPr>
        <w:t>הרשב"א</w:t>
      </w:r>
      <w:r>
        <w:rPr>
          <w:rFonts w:hint="cs"/>
          <w:rtl/>
        </w:rPr>
        <w:t xml:space="preserve"> אם יש בו כזית בכדי אכילת פרס, וכתב </w:t>
      </w:r>
      <w:r w:rsidRPr="005B306E">
        <w:rPr>
          <w:rStyle w:val="af8"/>
          <w:rFonts w:hint="cs"/>
          <w:rtl/>
        </w:rPr>
        <w:t xml:space="preserve">הפרמ"ג </w:t>
      </w:r>
      <w:r>
        <w:rPr>
          <w:rFonts w:hint="cs"/>
          <w:rtl/>
        </w:rPr>
        <w:t xml:space="preserve">דמבואר דס"ל </w:t>
      </w:r>
      <w:r w:rsidRPr="005B306E">
        <w:rPr>
          <w:rStyle w:val="af8"/>
          <w:rFonts w:hint="cs"/>
          <w:rtl/>
        </w:rPr>
        <w:t>להרשב"א</w:t>
      </w:r>
      <w:r>
        <w:rPr>
          <w:rFonts w:hint="cs"/>
          <w:rtl/>
        </w:rPr>
        <w:t xml:space="preserve"> דכל שיש רוב של חד בתרי, דהיינו שיש משהו בהיתר כנגד האיסור מותר, בין בנותן טעם לפגם בכל האיסורים, ובין באיסור מאוס מעיקרו.</w:t>
      </w:r>
    </w:p>
    <w:p w:rsidR="006C2032" w:rsidRPr="00F14381" w:rsidRDefault="006C2032" w:rsidP="00E669F8">
      <w:pPr>
        <w:pStyle w:val="afd"/>
        <w:rPr>
          <w:rtl/>
        </w:rPr>
      </w:pPr>
      <w:bookmarkStart w:id="11250" w:name="_Toc20315808"/>
      <w:r>
        <w:rPr>
          <w:rFonts w:hint="cs"/>
          <w:rtl/>
        </w:rPr>
        <w:t>בביטול ברוב במאוס להרשב"א ולהר"ן</w:t>
      </w:r>
      <w:bookmarkEnd w:id="11250"/>
      <w:r>
        <w:rPr>
          <w:rFonts w:hint="cs"/>
          <w:rtl/>
        </w:rPr>
        <w:t xml:space="preserve"> </w:t>
      </w:r>
    </w:p>
    <w:p w:rsidR="006C2032" w:rsidRPr="002E20F7" w:rsidRDefault="006C2032" w:rsidP="006C2032">
      <w:pPr>
        <w:pStyle w:val="1"/>
        <w:rPr>
          <w:rtl/>
        </w:rPr>
      </w:pPr>
      <w:bookmarkStart w:id="11251" w:name="_Toc20310978"/>
      <w:bookmarkStart w:id="11252" w:name="_Toc20311150"/>
      <w:bookmarkStart w:id="11253" w:name="_Toc20315419"/>
      <w:bookmarkStart w:id="11254" w:name="_Toc20267134"/>
      <w:bookmarkStart w:id="11255" w:name="_Toc20226705"/>
      <w:r>
        <w:rPr>
          <w:rtl/>
        </w:rPr>
        <w:t>ביאור הפרמ"ג ברשב"א ד</w:t>
      </w:r>
      <w:r w:rsidRPr="00322CA6">
        <w:rPr>
          <w:rtl/>
        </w:rPr>
        <w:t xml:space="preserve">אף </w:t>
      </w:r>
      <w:r>
        <w:rPr>
          <w:rFonts w:hint="cs"/>
          <w:rtl/>
        </w:rPr>
        <w:t>שה</w:t>
      </w:r>
      <w:r w:rsidRPr="00322CA6">
        <w:rPr>
          <w:rtl/>
        </w:rPr>
        <w:t>טעם ניכר</w:t>
      </w:r>
      <w:r w:rsidRPr="00A94B6F">
        <w:rPr>
          <w:rtl/>
        </w:rPr>
        <w:t xml:space="preserve"> </w:t>
      </w:r>
      <w:r w:rsidRPr="00322CA6">
        <w:rPr>
          <w:rtl/>
        </w:rPr>
        <w:t xml:space="preserve">מאוס </w:t>
      </w:r>
      <w:r>
        <w:rPr>
          <w:rFonts w:hint="cs"/>
          <w:rtl/>
        </w:rPr>
        <w:t xml:space="preserve">בטל </w:t>
      </w:r>
      <w:r w:rsidRPr="00322CA6">
        <w:rPr>
          <w:rtl/>
        </w:rPr>
        <w:t>ברוב</w:t>
      </w:r>
    </w:p>
    <w:p w:rsidR="006C2032" w:rsidRPr="0090480D" w:rsidRDefault="006C2032" w:rsidP="006C2032">
      <w:pPr>
        <w:pStyle w:val="a2"/>
        <w:rPr>
          <w:rtl/>
        </w:rPr>
      </w:pPr>
      <w:bookmarkStart w:id="11256" w:name="_Toc19995917"/>
      <w:bookmarkStart w:id="11257" w:name="_Toc20168416"/>
      <w:bookmarkStart w:id="11258" w:name="_Toc20170522"/>
      <w:bookmarkStart w:id="11259" w:name="_Toc20226723"/>
      <w:bookmarkStart w:id="11260" w:name="_Toc20256927"/>
      <w:bookmarkStart w:id="11261" w:name="_Toc20267185"/>
      <w:bookmarkStart w:id="11262" w:name="_Toc20311041"/>
      <w:bookmarkStart w:id="11263" w:name="_Toc20311213"/>
      <w:bookmarkStart w:id="11264" w:name="_Toc20315485"/>
      <w:bookmarkStart w:id="11265" w:name="_Toc20315810"/>
      <w:r w:rsidRPr="002E20F7">
        <w:rPr>
          <w:rFonts w:hint="cs"/>
          <w:rtl/>
        </w:rPr>
        <w:t>קושית הפרמ"</w:t>
      </w:r>
      <w:r w:rsidRPr="0090480D">
        <w:rPr>
          <w:rFonts w:hint="cs"/>
          <w:rtl/>
        </w:rPr>
        <w:t>ג דאף טעם פגום ניכר ולהרשב"א בטעם הניכר לא מהני ביטול ברוב לאיסור עצמו</w:t>
      </w:r>
      <w:bookmarkEnd w:id="11256"/>
      <w:bookmarkEnd w:id="11257"/>
      <w:bookmarkEnd w:id="11258"/>
      <w:bookmarkEnd w:id="11259"/>
      <w:bookmarkEnd w:id="11260"/>
      <w:bookmarkEnd w:id="11261"/>
      <w:bookmarkEnd w:id="11262"/>
      <w:bookmarkEnd w:id="11263"/>
      <w:bookmarkEnd w:id="11264"/>
      <w:bookmarkEnd w:id="11265"/>
    </w:p>
    <w:p w:rsidR="006C2032" w:rsidRDefault="006C2032" w:rsidP="009F44AF">
      <w:pPr>
        <w:pStyle w:val="a"/>
      </w:pPr>
      <w:bookmarkStart w:id="11266" w:name="_Toc19995916"/>
      <w:bookmarkStart w:id="11267" w:name="_Toc20168415"/>
      <w:bookmarkStart w:id="11268" w:name="_Toc20170521"/>
      <w:bookmarkStart w:id="11269" w:name="_Toc20226722"/>
      <w:bookmarkStart w:id="11270" w:name="_Toc20256926"/>
      <w:bookmarkStart w:id="11271" w:name="_Toc20267184"/>
      <w:r w:rsidRPr="00D47CE7">
        <w:rPr>
          <w:rFonts w:hint="cs"/>
          <w:rtl/>
        </w:rPr>
        <w:t xml:space="preserve">הביא </w:t>
      </w:r>
      <w:r w:rsidRPr="00D47CE7">
        <w:rPr>
          <w:rStyle w:val="af8"/>
          <w:rFonts w:hint="cs"/>
          <w:rtl/>
        </w:rPr>
        <w:t>הפרמ"ג</w:t>
      </w:r>
      <w:r w:rsidRPr="00D47CE7">
        <w:rPr>
          <w:rFonts w:hint="cs"/>
          <w:rtl/>
        </w:rPr>
        <w:t xml:space="preserve"> </w:t>
      </w:r>
      <w:r w:rsidRPr="00D47CE7">
        <w:rPr>
          <w:rStyle w:val="af6"/>
          <w:rFonts w:eastAsia="Guttman Hodes" w:hint="cs"/>
          <w:rtl/>
        </w:rPr>
        <w:t>(סי' ק"ג משב"ז סק"א ד"ה אמנם כן)</w:t>
      </w:r>
      <w:r w:rsidRPr="00D47CE7">
        <w:rPr>
          <w:rFonts w:hint="cs"/>
          <w:rtl/>
        </w:rPr>
        <w:t xml:space="preserve"> את דברי </w:t>
      </w:r>
      <w:r w:rsidRPr="00D47CE7">
        <w:rPr>
          <w:rStyle w:val="af8"/>
          <w:rFonts w:hint="cs"/>
          <w:rtl/>
        </w:rPr>
        <w:t>הרשב"א בתוה"ב</w:t>
      </w:r>
      <w:r w:rsidRPr="00D47CE7">
        <w:rPr>
          <w:rStyle w:val="af6"/>
          <w:rFonts w:eastAsia="Guttman Hodes" w:hint="cs"/>
          <w:rtl/>
        </w:rPr>
        <w:t xml:space="preserve"> </w:t>
      </w:r>
      <w:r w:rsidRPr="00D47CE7">
        <w:rPr>
          <w:rStyle w:val="af8"/>
          <w:rFonts w:hint="cs"/>
          <w:rtl/>
        </w:rPr>
        <w:t>הרשב"א בתוה"ב</w:t>
      </w:r>
      <w:r w:rsidRPr="00D47CE7">
        <w:rPr>
          <w:rFonts w:hint="cs"/>
          <w:rtl/>
        </w:rPr>
        <w:t xml:space="preserve"> </w:t>
      </w:r>
      <w:r w:rsidRPr="00D47CE7">
        <w:rPr>
          <w:rStyle w:val="af6"/>
          <w:rFonts w:eastAsia="Guttman Hodes" w:hint="cs"/>
          <w:rtl/>
        </w:rPr>
        <w:t>(ב"ד ש"א יט. מדה"ס ד"ה פגם</w:t>
      </w:r>
      <w:r>
        <w:rPr>
          <w:rStyle w:val="af6"/>
          <w:rFonts w:eastAsia="Guttman Hodes" w:hint="cs"/>
          <w:rtl/>
        </w:rPr>
        <w:t xml:space="preserve">, הובא לעיל סימן י"ב אות י"ז) </w:t>
      </w:r>
      <w:r w:rsidRPr="00D47CE7">
        <w:rPr>
          <w:rFonts w:hint="cs"/>
          <w:rtl/>
        </w:rPr>
        <w:t xml:space="preserve">דביאר </w:t>
      </w:r>
      <w:r>
        <w:rPr>
          <w:rFonts w:hint="cs"/>
          <w:rtl/>
        </w:rPr>
        <w:t>דההיתר בנותן טעם לפגם, דלא אסרה תורה טעם כעיקר ב</w:t>
      </w:r>
      <w:r w:rsidRPr="00D47CE7">
        <w:rPr>
          <w:rFonts w:hint="cs"/>
          <w:rtl/>
        </w:rPr>
        <w:t xml:space="preserve">טעם פגום, וביאר </w:t>
      </w:r>
      <w:r w:rsidRPr="00D47CE7">
        <w:rPr>
          <w:rStyle w:val="af8"/>
          <w:rFonts w:hint="cs"/>
          <w:rtl/>
        </w:rPr>
        <w:t>הפרמ"ג</w:t>
      </w:r>
      <w:r w:rsidRPr="00D47CE7">
        <w:rPr>
          <w:rFonts w:hint="cs"/>
          <w:rtl/>
        </w:rPr>
        <w:t xml:space="preserve"> </w:t>
      </w:r>
      <w:r w:rsidRPr="00D47CE7">
        <w:rPr>
          <w:rStyle w:val="af6"/>
          <w:rFonts w:eastAsia="Guttman Hodes" w:hint="cs"/>
          <w:rtl/>
        </w:rPr>
        <w:t>(סי' ק"ג משב"ז סק"א ד"ה אמנם כן</w:t>
      </w:r>
      <w:r>
        <w:rPr>
          <w:rStyle w:val="af6"/>
          <w:rFonts w:eastAsia="Guttman Hodes" w:hint="cs"/>
          <w:rtl/>
        </w:rPr>
        <w:t xml:space="preserve">, הובא לעיל סימן י"ב אות כ"ז) </w:t>
      </w:r>
      <w:r w:rsidRPr="00D47CE7">
        <w:rPr>
          <w:rFonts w:hint="cs"/>
          <w:rtl/>
        </w:rPr>
        <w:t xml:space="preserve"> דכוונת </w:t>
      </w:r>
      <w:r w:rsidRPr="00D47CE7">
        <w:rPr>
          <w:rStyle w:val="af8"/>
          <w:rFonts w:hint="cs"/>
          <w:rtl/>
        </w:rPr>
        <w:t>הרשב"א</w:t>
      </w:r>
      <w:r w:rsidRPr="00D47CE7">
        <w:rPr>
          <w:rFonts w:hint="cs"/>
          <w:rtl/>
        </w:rPr>
        <w:t xml:space="preserve"> לומר </w:t>
      </w:r>
      <w:r>
        <w:rPr>
          <w:rFonts w:hint="cs"/>
          <w:rtl/>
        </w:rPr>
        <w:t xml:space="preserve">דמסברא אמרינן דהאיסור בטעם כעיקר הוא רק באיסור משובח ולא באיסור פגום, עיי"ש בדבריו, </w:t>
      </w:r>
      <w:r w:rsidRPr="0090480D">
        <w:rPr>
          <w:rFonts w:hint="cs"/>
          <w:rtl/>
        </w:rPr>
        <w:t xml:space="preserve">אך הקשה </w:t>
      </w:r>
      <w:r w:rsidRPr="0090480D">
        <w:rPr>
          <w:rStyle w:val="af8"/>
          <w:rFonts w:hint="cs"/>
          <w:rtl/>
        </w:rPr>
        <w:t>הפרמ"ג</w:t>
      </w:r>
      <w:r w:rsidRPr="0090480D">
        <w:rPr>
          <w:rFonts w:hint="cs"/>
          <w:rtl/>
        </w:rPr>
        <w:t xml:space="preserve"> דהרי </w:t>
      </w:r>
      <w:r w:rsidRPr="0090480D">
        <w:rPr>
          <w:rStyle w:val="af8"/>
          <w:rFonts w:hint="cs"/>
          <w:rtl/>
        </w:rPr>
        <w:t>הרשב"א בחולין</w:t>
      </w:r>
      <w:r w:rsidRPr="0090480D">
        <w:rPr>
          <w:rFonts w:hint="cs"/>
          <w:rtl/>
        </w:rPr>
        <w:t xml:space="preserve"> </w:t>
      </w:r>
      <w:r w:rsidRPr="0090480D">
        <w:rPr>
          <w:rStyle w:val="af6"/>
          <w:rFonts w:eastAsia="Guttman Hodes" w:hint="cs"/>
          <w:rtl/>
        </w:rPr>
        <w:t xml:space="preserve">(צח: ד"ה וקשיא, הובא </w:t>
      </w:r>
      <w:r w:rsidR="00D67444">
        <w:rPr>
          <w:rStyle w:val="af6"/>
          <w:rFonts w:eastAsia="Guttman Hodes" w:hint="cs"/>
          <w:rtl/>
        </w:rPr>
        <w:t>ב</w:t>
      </w:r>
      <w:r w:rsidRPr="0090480D">
        <w:rPr>
          <w:rStyle w:val="af6"/>
          <w:rFonts w:eastAsia="Guttman Hodes" w:hint="cs"/>
          <w:rtl/>
        </w:rPr>
        <w:t>סימן ח' אות סט)</w:t>
      </w:r>
      <w:r w:rsidRPr="0090480D">
        <w:rPr>
          <w:rFonts w:hint="cs"/>
          <w:rtl/>
        </w:rPr>
        <w:t xml:space="preserve"> כתב בשם </w:t>
      </w:r>
      <w:r w:rsidRPr="0090480D">
        <w:rPr>
          <w:rStyle w:val="af8"/>
          <w:rFonts w:hint="cs"/>
          <w:rtl/>
        </w:rPr>
        <w:t>הראב"ד</w:t>
      </w:r>
      <w:r w:rsidRPr="0090480D">
        <w:rPr>
          <w:rFonts w:hint="cs"/>
          <w:rtl/>
        </w:rPr>
        <w:t xml:space="preserve"> דהא דטעם כעיקר אינו מתבטל ברוב, הוא כיון דההיתר מקבל טעם מהאיסור, וניכר טעם האיסור בתוך ההיתר, טעימתו זוהי הכרתו, כדכתי' "וחיך אוכל יטעם לו", וכל החשיבות של האוכל היא בטעם, וא"כ אף בנותן טעם לפגם, ניכר הטעם ואינו מתבטל ברוב, וא"כ אף אם טעם כעיקר לא נאמר בטעם פגום, הוא אסור מדאו' מחמת האיסור עצמו שלא התבטל, וא"צ לאוסרו מדין טעם כעיקר.</w:t>
      </w:r>
    </w:p>
    <w:p w:rsidR="006C2032" w:rsidRPr="0090480D" w:rsidRDefault="006C2032" w:rsidP="006C2032">
      <w:pPr>
        <w:pStyle w:val="a2"/>
        <w:rPr>
          <w:rtl/>
        </w:rPr>
      </w:pPr>
      <w:bookmarkStart w:id="11272" w:name="_Toc19995918"/>
      <w:bookmarkStart w:id="11273" w:name="_Toc20168417"/>
      <w:bookmarkStart w:id="11274" w:name="_Toc20170523"/>
      <w:bookmarkStart w:id="11275" w:name="_Toc20226724"/>
      <w:bookmarkStart w:id="11276" w:name="_Toc20256928"/>
      <w:bookmarkStart w:id="11277" w:name="_Toc20267186"/>
      <w:bookmarkStart w:id="11278" w:name="_Toc20311042"/>
      <w:bookmarkStart w:id="11279" w:name="_Toc20311214"/>
      <w:bookmarkStart w:id="11280" w:name="_Toc20315486"/>
      <w:bookmarkStart w:id="11281" w:name="_Toc20315811"/>
      <w:bookmarkEnd w:id="11266"/>
      <w:bookmarkEnd w:id="11267"/>
      <w:bookmarkEnd w:id="11268"/>
      <w:bookmarkEnd w:id="11269"/>
      <w:bookmarkEnd w:id="11270"/>
      <w:bookmarkEnd w:id="11271"/>
      <w:r w:rsidRPr="0090480D">
        <w:rPr>
          <w:rFonts w:hint="cs"/>
          <w:rtl/>
        </w:rPr>
        <w:t>קושית הפרמ"ג דבאיסור שמאוס מעיקרו הטעם הפגום אסור והוא ניכר ולא בטל ברוב</w:t>
      </w:r>
      <w:bookmarkEnd w:id="11272"/>
      <w:bookmarkEnd w:id="11273"/>
      <w:bookmarkEnd w:id="11274"/>
      <w:bookmarkEnd w:id="11275"/>
      <w:bookmarkEnd w:id="11276"/>
      <w:bookmarkEnd w:id="11277"/>
      <w:bookmarkEnd w:id="11278"/>
      <w:bookmarkEnd w:id="11279"/>
      <w:bookmarkEnd w:id="11280"/>
      <w:bookmarkEnd w:id="11281"/>
    </w:p>
    <w:p w:rsidR="006C2032" w:rsidRPr="0090480D" w:rsidRDefault="006C2032" w:rsidP="009F44AF">
      <w:pPr>
        <w:pStyle w:val="a"/>
        <w:rPr>
          <w:rtl/>
        </w:rPr>
      </w:pPr>
      <w:r w:rsidRPr="0090480D">
        <w:rPr>
          <w:rFonts w:hint="cs"/>
          <w:rtl/>
        </w:rPr>
        <w:t xml:space="preserve">והוסיף </w:t>
      </w:r>
      <w:r w:rsidRPr="0090480D">
        <w:rPr>
          <w:rStyle w:val="af8"/>
          <w:rFonts w:hint="cs"/>
          <w:rtl/>
        </w:rPr>
        <w:t>הפרמ"ג</w:t>
      </w:r>
      <w:r w:rsidRPr="0090480D">
        <w:rPr>
          <w:rFonts w:hint="cs"/>
          <w:rtl/>
        </w:rPr>
        <w:t xml:space="preserve"> דיותר קשה מדברים שמאוסים מעיקרם </w:t>
      </w:r>
      <w:r w:rsidRPr="0090480D">
        <w:rPr>
          <w:rStyle w:val="afa"/>
          <w:rFonts w:hint="cs"/>
          <w:rtl/>
        </w:rPr>
        <w:t>[כזבובים ויתושים]</w:t>
      </w:r>
      <w:r w:rsidRPr="0090480D">
        <w:rPr>
          <w:rFonts w:hint="cs"/>
          <w:rtl/>
        </w:rPr>
        <w:t>, דהאיסור שאסרתם תורה, הם כשהם פגומים, וא"כ האיך אפש"ל דהם בטלים ברוב, הא טעימתם זוהי הכרתם.</w:t>
      </w:r>
    </w:p>
    <w:p w:rsidR="006C2032" w:rsidRPr="00EA1046" w:rsidRDefault="006C2032" w:rsidP="006C2032">
      <w:pPr>
        <w:pStyle w:val="a2"/>
        <w:rPr>
          <w:rtl/>
        </w:rPr>
      </w:pPr>
      <w:bookmarkStart w:id="11282" w:name="_Toc20170524"/>
      <w:bookmarkStart w:id="11283" w:name="_Toc20226725"/>
      <w:bookmarkStart w:id="11284" w:name="_Toc20256929"/>
      <w:bookmarkStart w:id="11285" w:name="_Toc20267187"/>
      <w:bookmarkStart w:id="11286" w:name="_Toc20311043"/>
      <w:bookmarkStart w:id="11287" w:name="_Toc20311215"/>
      <w:bookmarkStart w:id="11288" w:name="_Toc20315487"/>
      <w:bookmarkStart w:id="11289" w:name="_Toc20315812"/>
      <w:bookmarkStart w:id="11290" w:name="_Toc19995919"/>
      <w:bookmarkStart w:id="11291" w:name="_Toc20168418"/>
      <w:r w:rsidRPr="00EA1046">
        <w:rPr>
          <w:rFonts w:hint="cs"/>
          <w:rtl/>
        </w:rPr>
        <w:t xml:space="preserve">דברי הפרמ"ג דטעם פגום טעימתו לא חשיבא כהכרתו ומהני </w:t>
      </w:r>
      <w:r>
        <w:rPr>
          <w:rFonts w:hint="cs"/>
          <w:rtl/>
        </w:rPr>
        <w:t xml:space="preserve">בו </w:t>
      </w:r>
      <w:r w:rsidRPr="00EA1046">
        <w:rPr>
          <w:rFonts w:hint="cs"/>
          <w:rtl/>
        </w:rPr>
        <w:t>ביטול ברוב</w:t>
      </w:r>
      <w:bookmarkEnd w:id="11282"/>
      <w:bookmarkEnd w:id="11283"/>
      <w:bookmarkEnd w:id="11284"/>
      <w:bookmarkEnd w:id="11285"/>
      <w:bookmarkEnd w:id="11286"/>
      <w:bookmarkEnd w:id="11287"/>
      <w:bookmarkEnd w:id="11288"/>
      <w:bookmarkEnd w:id="11289"/>
    </w:p>
    <w:p w:rsidR="006C2032" w:rsidRPr="00EF5712" w:rsidRDefault="006C2032" w:rsidP="009F44AF">
      <w:pPr>
        <w:pStyle w:val="a"/>
        <w:rPr>
          <w:rtl/>
        </w:rPr>
      </w:pPr>
      <w:r w:rsidRPr="00EF5712">
        <w:rPr>
          <w:rFonts w:hint="cs"/>
          <w:rtl/>
        </w:rPr>
        <w:t xml:space="preserve">ותירץ </w:t>
      </w:r>
      <w:r w:rsidRPr="00EF5712">
        <w:rPr>
          <w:rStyle w:val="af8"/>
          <w:rFonts w:hint="cs"/>
          <w:rtl/>
        </w:rPr>
        <w:t>הפרמ"ג</w:t>
      </w:r>
      <w:r w:rsidRPr="00EF5712">
        <w:rPr>
          <w:rFonts w:hint="cs"/>
          <w:rtl/>
        </w:rPr>
        <w:t xml:space="preserve"> דכל טעם שאינו טעם משובח, טעימתו לא חשיבא כהכרתו, וכיון שאינו ניכר הוא בטל ברוב בעלמא, אך כתב </w:t>
      </w:r>
      <w:r w:rsidRPr="00EF5712">
        <w:rPr>
          <w:rStyle w:val="af8"/>
          <w:rFonts w:hint="cs"/>
          <w:rtl/>
        </w:rPr>
        <w:t>היד יהודה</w:t>
      </w:r>
      <w:r w:rsidRPr="00EF5712">
        <w:rPr>
          <w:rFonts w:hint="cs"/>
          <w:rtl/>
        </w:rPr>
        <w:t xml:space="preserve"> </w:t>
      </w:r>
      <w:r w:rsidRPr="00EF5712">
        <w:rPr>
          <w:rStyle w:val="af6"/>
          <w:rFonts w:eastAsia="Guttman Hodes" w:hint="cs"/>
          <w:rtl/>
        </w:rPr>
        <w:t>(סי' ק"ג סק"א ד"ה הנה בעכו"ם)</w:t>
      </w:r>
      <w:r w:rsidRPr="00EF5712">
        <w:rPr>
          <w:rFonts w:hint="cs"/>
          <w:rtl/>
        </w:rPr>
        <w:t xml:space="preserve"> דביאור </w:t>
      </w:r>
      <w:r w:rsidRPr="00EF5712">
        <w:rPr>
          <w:rStyle w:val="af8"/>
          <w:rFonts w:hint="cs"/>
          <w:rtl/>
        </w:rPr>
        <w:t>הפרמ"ג</w:t>
      </w:r>
      <w:r w:rsidRPr="00EF5712">
        <w:rPr>
          <w:rFonts w:hint="cs"/>
          <w:rtl/>
        </w:rPr>
        <w:t xml:space="preserve"> הוא דוחק, דמ"מ הטעם ניכר ואינו מתבטל.</w:t>
      </w:r>
    </w:p>
    <w:p w:rsidR="006C2032" w:rsidRPr="0090480D" w:rsidRDefault="006C2032" w:rsidP="006C2032">
      <w:pPr>
        <w:pStyle w:val="1"/>
        <w:rPr>
          <w:rtl/>
        </w:rPr>
      </w:pPr>
      <w:bookmarkStart w:id="11292" w:name="_Toc20170526"/>
      <w:bookmarkStart w:id="11293" w:name="_Toc20226727"/>
      <w:bookmarkStart w:id="11294" w:name="_Toc20256931"/>
      <w:bookmarkStart w:id="11295" w:name="_Toc20267189"/>
      <w:bookmarkStart w:id="11296" w:name="_Toc20311044"/>
      <w:bookmarkStart w:id="11297" w:name="_Toc20311216"/>
      <w:bookmarkStart w:id="11298" w:name="_Toc20315488"/>
      <w:bookmarkStart w:id="11299" w:name="_Toc20315813"/>
      <w:r w:rsidRPr="0090480D">
        <w:rPr>
          <w:rFonts w:hint="cs"/>
          <w:rtl/>
        </w:rPr>
        <w:t xml:space="preserve">ביאור הפרמ"ג בר"ן דבאינו נהנה </w:t>
      </w:r>
      <w:bookmarkEnd w:id="11290"/>
      <w:bookmarkEnd w:id="11291"/>
      <w:bookmarkEnd w:id="11292"/>
      <w:bookmarkEnd w:id="11293"/>
      <w:bookmarkEnd w:id="11294"/>
      <w:bookmarkEnd w:id="11295"/>
      <w:bookmarkEnd w:id="11296"/>
      <w:bookmarkEnd w:id="11297"/>
      <w:bookmarkEnd w:id="11298"/>
      <w:bookmarkEnd w:id="11299"/>
      <w:r>
        <w:rPr>
          <w:rFonts w:hint="cs"/>
          <w:rtl/>
        </w:rPr>
        <w:t>ובמאוס לעולם אינו נהנה</w:t>
      </w:r>
    </w:p>
    <w:p w:rsidR="006C2032" w:rsidRPr="0090480D" w:rsidRDefault="006C2032" w:rsidP="006C2032">
      <w:pPr>
        <w:pStyle w:val="a2"/>
        <w:rPr>
          <w:rtl/>
        </w:rPr>
      </w:pPr>
      <w:bookmarkStart w:id="11300" w:name="_Toc19995920"/>
      <w:bookmarkStart w:id="11301" w:name="_Toc20168419"/>
      <w:bookmarkStart w:id="11302" w:name="_Toc20170527"/>
      <w:bookmarkStart w:id="11303" w:name="_Toc20226728"/>
      <w:bookmarkStart w:id="11304" w:name="_Toc20256932"/>
      <w:bookmarkStart w:id="11305" w:name="_Toc20267190"/>
      <w:bookmarkStart w:id="11306" w:name="_Toc20311045"/>
      <w:bookmarkStart w:id="11307" w:name="_Toc20311217"/>
      <w:bookmarkStart w:id="11308" w:name="_Toc20315489"/>
      <w:bookmarkStart w:id="11309" w:name="_Toc20315814"/>
      <w:r w:rsidRPr="0012248C">
        <w:rPr>
          <w:rFonts w:hint="cs"/>
          <w:rtl/>
        </w:rPr>
        <w:t>ביאור הפרמ"ג בר"ן דכשאינו נהנה מהאיסור</w:t>
      </w:r>
      <w:r>
        <w:rPr>
          <w:rFonts w:hint="cs"/>
          <w:rtl/>
        </w:rPr>
        <w:t xml:space="preserve"> נטל"פ</w:t>
      </w:r>
      <w:r w:rsidRPr="0012248C">
        <w:rPr>
          <w:rFonts w:hint="cs"/>
          <w:rtl/>
        </w:rPr>
        <w:t xml:space="preserve"> מותר </w:t>
      </w:r>
      <w:bookmarkEnd w:id="11300"/>
      <w:bookmarkEnd w:id="11301"/>
      <w:bookmarkEnd w:id="11302"/>
      <w:bookmarkEnd w:id="11303"/>
      <w:bookmarkEnd w:id="11304"/>
      <w:bookmarkEnd w:id="11305"/>
      <w:r>
        <w:rPr>
          <w:rFonts w:hint="cs"/>
          <w:rtl/>
        </w:rPr>
        <w:t>ובהגדיל מידתו ניכר האיסור ולא בטל</w:t>
      </w:r>
      <w:bookmarkEnd w:id="11306"/>
      <w:bookmarkEnd w:id="11307"/>
      <w:bookmarkEnd w:id="11308"/>
      <w:bookmarkEnd w:id="11309"/>
    </w:p>
    <w:p w:rsidR="006C2032" w:rsidRDefault="006C2032" w:rsidP="009F44AF">
      <w:pPr>
        <w:pStyle w:val="a"/>
        <w:rPr>
          <w:rtl/>
        </w:rPr>
      </w:pPr>
      <w:r>
        <w:rPr>
          <w:rFonts w:hint="cs"/>
          <w:rtl/>
        </w:rPr>
        <w:t>הביא</w:t>
      </w:r>
      <w:r w:rsidRPr="0090480D">
        <w:rPr>
          <w:rFonts w:hint="cs"/>
          <w:rtl/>
        </w:rPr>
        <w:t xml:space="preserve"> </w:t>
      </w:r>
      <w:r w:rsidRPr="0090480D">
        <w:rPr>
          <w:rStyle w:val="af8"/>
          <w:rFonts w:hint="cs"/>
          <w:rtl/>
        </w:rPr>
        <w:t xml:space="preserve">הפרמ"ג </w:t>
      </w:r>
      <w:r w:rsidRPr="0090480D">
        <w:rPr>
          <w:rStyle w:val="af6"/>
          <w:rFonts w:eastAsia="Guttman Hodes" w:hint="cs"/>
          <w:rtl/>
        </w:rPr>
        <w:t>(סי' ק"ג משב"ז סוס"ק א')</w:t>
      </w:r>
      <w:r w:rsidRPr="0090480D">
        <w:rPr>
          <w:rFonts w:hint="cs"/>
          <w:rtl/>
        </w:rPr>
        <w:t xml:space="preserve"> </w:t>
      </w:r>
      <w:r>
        <w:rPr>
          <w:rFonts w:hint="cs"/>
          <w:rtl/>
        </w:rPr>
        <w:t xml:space="preserve">את דברי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Pr>
          <w:rStyle w:val="af6"/>
          <w:rFonts w:eastAsia="Guttman Hodes" w:hint="cs"/>
          <w:rtl/>
        </w:rPr>
        <w:t>מ"ו</w:t>
      </w:r>
      <w:r w:rsidRPr="00C17C41">
        <w:rPr>
          <w:rStyle w:val="af6"/>
          <w:rFonts w:eastAsia="Guttman Hodes" w:hint="cs"/>
          <w:rtl/>
        </w:rPr>
        <w:t>)</w:t>
      </w:r>
      <w:r>
        <w:rPr>
          <w:rFonts w:hint="cs"/>
          <w:rtl/>
        </w:rPr>
        <w:t xml:space="preserve"> דכתב </w:t>
      </w:r>
      <w:r w:rsidRPr="0090480D">
        <w:rPr>
          <w:rFonts w:hint="cs"/>
          <w:rtl/>
        </w:rPr>
        <w:t xml:space="preserve">דההיתר בנותן טעם לפגם </w:t>
      </w:r>
      <w:r w:rsidRPr="0090480D">
        <w:rPr>
          <w:rFonts w:hint="cs"/>
          <w:rtl/>
        </w:rPr>
        <w:lastRenderedPageBreak/>
        <w:t xml:space="preserve">בפגום במקצת נלמד מנבילה דכשאינו נהנה מהאיסור התירתה תורה, וה"ה בפגום במקצת דאינו נהנה מהאיסור, </w:t>
      </w:r>
      <w:r>
        <w:rPr>
          <w:rFonts w:hint="cs"/>
          <w:rtl/>
        </w:rPr>
        <w:t>והוסיף</w:t>
      </w:r>
      <w:r w:rsidRPr="00110B19">
        <w:rPr>
          <w:rStyle w:val="af8"/>
          <w:rFonts w:hint="cs"/>
          <w:rtl/>
        </w:rPr>
        <w:t xml:space="preserve">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sidRPr="00110B19">
        <w:rPr>
          <w:rStyle w:val="af6"/>
          <w:rFonts w:eastAsia="Guttman Hodes" w:hint="cs"/>
          <w:rtl/>
        </w:rPr>
        <w:t>מ"ז)</w:t>
      </w:r>
      <w:r>
        <w:rPr>
          <w:rFonts w:hint="cs"/>
          <w:rtl/>
        </w:rPr>
        <w:t xml:space="preserve"> ד</w:t>
      </w:r>
      <w:r w:rsidRPr="0090480D">
        <w:rPr>
          <w:rFonts w:hint="cs"/>
          <w:rtl/>
        </w:rPr>
        <w:t>במקום שהאיסור הגדיל את מידת ההיתר אסור</w:t>
      </w:r>
      <w:r>
        <w:rPr>
          <w:rFonts w:hint="cs"/>
          <w:rtl/>
        </w:rPr>
        <w:t xml:space="preserve">, כיון שהוא נהנה מהאיסור, </w:t>
      </w:r>
      <w:r w:rsidRPr="0090480D">
        <w:rPr>
          <w:rFonts w:hint="cs"/>
          <w:rtl/>
        </w:rPr>
        <w:t xml:space="preserve">וביאר </w:t>
      </w:r>
      <w:r w:rsidRPr="0090480D">
        <w:rPr>
          <w:rStyle w:val="af8"/>
          <w:rFonts w:hint="cs"/>
          <w:rtl/>
        </w:rPr>
        <w:t>הפרמ"ג</w:t>
      </w:r>
      <w:r w:rsidRPr="0090480D">
        <w:rPr>
          <w:rFonts w:hint="cs"/>
          <w:rtl/>
        </w:rPr>
        <w:t xml:space="preserve"> דס"ל </w:t>
      </w:r>
      <w:r w:rsidRPr="0090480D">
        <w:rPr>
          <w:rStyle w:val="af8"/>
          <w:rFonts w:hint="cs"/>
          <w:rtl/>
        </w:rPr>
        <w:t>להר"ן</w:t>
      </w:r>
      <w:r w:rsidRPr="0090480D">
        <w:rPr>
          <w:rFonts w:hint="cs"/>
          <w:rtl/>
        </w:rPr>
        <w:t xml:space="preserve"> </w:t>
      </w:r>
      <w:r>
        <w:rPr>
          <w:rFonts w:hint="cs"/>
          <w:rtl/>
        </w:rPr>
        <w:t>ד</w:t>
      </w:r>
      <w:r w:rsidRPr="0090480D">
        <w:rPr>
          <w:rFonts w:hint="cs"/>
          <w:rtl/>
        </w:rPr>
        <w:t xml:space="preserve">כיון שאינו נהנה מן האיסור, </w:t>
      </w:r>
      <w:r>
        <w:rPr>
          <w:rFonts w:hint="cs"/>
          <w:rtl/>
        </w:rPr>
        <w:t>ו</w:t>
      </w:r>
      <w:r w:rsidRPr="0090480D">
        <w:rPr>
          <w:rFonts w:hint="cs"/>
          <w:rtl/>
        </w:rPr>
        <w:t xml:space="preserve">ביאר </w:t>
      </w:r>
      <w:r w:rsidRPr="0090480D">
        <w:rPr>
          <w:rStyle w:val="af8"/>
          <w:rFonts w:hint="cs"/>
          <w:rtl/>
        </w:rPr>
        <w:t>הפרמ"ג</w:t>
      </w:r>
      <w:r w:rsidRPr="0090480D">
        <w:rPr>
          <w:rFonts w:hint="cs"/>
          <w:rtl/>
        </w:rPr>
        <w:t xml:space="preserve"> דס"ל ל</w:t>
      </w:r>
      <w:r w:rsidRPr="0090480D">
        <w:rPr>
          <w:rStyle w:val="af8"/>
          <w:rFonts w:hint="cs"/>
          <w:rtl/>
        </w:rPr>
        <w:t>הר"ן</w:t>
      </w:r>
      <w:r w:rsidRPr="0090480D">
        <w:rPr>
          <w:rFonts w:hint="cs"/>
          <w:rtl/>
        </w:rPr>
        <w:t xml:space="preserve"> דכיון שהוא הגדיל את מידתו א"כ טעימתו זוהי הכרתו, ולא שייך בזה ביטול ברוב, דהוא נהנה מהאיסור.</w:t>
      </w:r>
    </w:p>
    <w:p w:rsidR="006C2032" w:rsidRPr="0091227A" w:rsidRDefault="006C2032" w:rsidP="006C2032">
      <w:pPr>
        <w:pStyle w:val="a2"/>
        <w:rPr>
          <w:rtl/>
        </w:rPr>
      </w:pPr>
      <w:r>
        <w:rPr>
          <w:rFonts w:hint="cs"/>
          <w:rtl/>
        </w:rPr>
        <w:t>דברי הפרמ"ג דבמאוס מעיקרו כזבובין אף בהגדיל מדתו מותר להר"ן דאינו נהנה</w:t>
      </w:r>
    </w:p>
    <w:p w:rsidR="006C2032" w:rsidRDefault="006C2032" w:rsidP="009F44AF">
      <w:pPr>
        <w:pStyle w:val="a"/>
        <w:rPr>
          <w:rtl/>
        </w:rPr>
      </w:pPr>
      <w:bookmarkStart w:id="11310" w:name="_Ref20339351"/>
      <w:bookmarkStart w:id="11311" w:name="_Toc19995922"/>
      <w:bookmarkStart w:id="11312" w:name="_Toc20168421"/>
      <w:bookmarkStart w:id="11313" w:name="_Toc20170529"/>
      <w:bookmarkStart w:id="11314" w:name="_Toc20226730"/>
      <w:bookmarkStart w:id="11315" w:name="_Toc20256934"/>
      <w:bookmarkStart w:id="11316" w:name="_Toc20267192"/>
      <w:bookmarkStart w:id="11317" w:name="_Toc20311046"/>
      <w:bookmarkStart w:id="11318" w:name="_Toc20311218"/>
      <w:bookmarkStart w:id="11319" w:name="_Toc20315490"/>
      <w:bookmarkStart w:id="11320" w:name="_Toc20315815"/>
      <w:r>
        <w:rPr>
          <w:rFonts w:hint="cs"/>
          <w:rtl/>
        </w:rPr>
        <w:t>ו</w:t>
      </w:r>
      <w:r w:rsidRPr="0090480D">
        <w:rPr>
          <w:rFonts w:hint="cs"/>
          <w:rtl/>
        </w:rPr>
        <w:t xml:space="preserve">כתב </w:t>
      </w:r>
      <w:r w:rsidRPr="0090480D">
        <w:rPr>
          <w:rStyle w:val="af8"/>
          <w:rFonts w:hint="cs"/>
          <w:rtl/>
        </w:rPr>
        <w:t>הפרמ"ג</w:t>
      </w:r>
      <w:r w:rsidRPr="0090480D">
        <w:rPr>
          <w:rFonts w:hint="cs"/>
          <w:rtl/>
        </w:rPr>
        <w:t xml:space="preserve"> דב</w:t>
      </w:r>
      <w:r>
        <w:rPr>
          <w:rFonts w:hint="cs"/>
          <w:rtl/>
        </w:rPr>
        <w:t>איסור מאוס כ</w:t>
      </w:r>
      <w:r w:rsidRPr="0090480D">
        <w:rPr>
          <w:rFonts w:hint="cs"/>
          <w:rtl/>
        </w:rPr>
        <w:t>זבובים ויתושים שלא שייך לומר שהוא נהנה ממידת האיסור</w:t>
      </w:r>
      <w:r>
        <w:rPr>
          <w:rFonts w:hint="cs"/>
          <w:rtl/>
        </w:rPr>
        <w:t xml:space="preserve">, </w:t>
      </w:r>
      <w:r w:rsidRPr="0090480D">
        <w:rPr>
          <w:rFonts w:hint="cs"/>
          <w:rtl/>
        </w:rPr>
        <w:t xml:space="preserve">אף בהגדיל מידתו מותר לדעת </w:t>
      </w:r>
      <w:r w:rsidRPr="0090480D">
        <w:rPr>
          <w:rStyle w:val="af8"/>
          <w:rFonts w:hint="cs"/>
          <w:rtl/>
        </w:rPr>
        <w:t>הר"ן</w:t>
      </w:r>
      <w:r>
        <w:rPr>
          <w:rFonts w:hint="cs"/>
          <w:rtl/>
        </w:rPr>
        <w:t xml:space="preserve">, אמנם יעוי' </w:t>
      </w:r>
      <w:r w:rsidRPr="00984CDB">
        <w:rPr>
          <w:rStyle w:val="af8"/>
          <w:rFonts w:hint="cs"/>
          <w:rtl/>
        </w:rPr>
        <w:t>בר"ן בחי'</w:t>
      </w:r>
      <w:r>
        <w:rPr>
          <w:rFonts w:hint="cs"/>
          <w:rtl/>
        </w:rPr>
        <w:t xml:space="preserve"> </w:t>
      </w:r>
      <w:r w:rsidRPr="00CD1880">
        <w:rPr>
          <w:rStyle w:val="af6"/>
          <w:rFonts w:eastAsia="Guttman Hodes" w:hint="cs"/>
          <w:rtl/>
        </w:rPr>
        <w:t xml:space="preserve">(עי' אות </w:t>
      </w:r>
      <w:r w:rsidRPr="00CD1880">
        <w:rPr>
          <w:rStyle w:val="af6"/>
          <w:rFonts w:eastAsia="Guttman Hodes"/>
          <w:rtl/>
        </w:rPr>
        <w:fldChar w:fldCharType="begin"/>
      </w:r>
      <w:r w:rsidRPr="00CD1880">
        <w:rPr>
          <w:rStyle w:val="af6"/>
          <w:rFonts w:eastAsia="Guttman Hodes"/>
          <w:rtl/>
        </w:rPr>
        <w:instrText xml:space="preserve"> </w:instrText>
      </w:r>
      <w:r w:rsidRPr="00CD1880">
        <w:rPr>
          <w:rStyle w:val="af6"/>
          <w:rFonts w:eastAsia="Guttman Hodes" w:hint="cs"/>
        </w:rPr>
        <w:instrText>REF</w:instrText>
      </w:r>
      <w:r w:rsidRPr="00CD1880">
        <w:rPr>
          <w:rStyle w:val="af6"/>
          <w:rFonts w:eastAsia="Guttman Hodes" w:hint="cs"/>
          <w:rtl/>
        </w:rPr>
        <w:instrText xml:space="preserve"> _</w:instrText>
      </w:r>
      <w:r w:rsidRPr="00CD1880">
        <w:rPr>
          <w:rStyle w:val="af6"/>
          <w:rFonts w:eastAsia="Guttman Hodes" w:hint="cs"/>
        </w:rPr>
        <w:instrText>Ref20300317 \r \h</w:instrText>
      </w:r>
      <w:r w:rsidRPr="00CD1880">
        <w:rPr>
          <w:rStyle w:val="af6"/>
          <w:rFonts w:eastAsia="Guttman Hodes"/>
          <w:rtl/>
        </w:rPr>
        <w:instrText xml:space="preserve"> </w:instrText>
      </w:r>
      <w:r w:rsidRPr="00CD1880">
        <w:rPr>
          <w:rStyle w:val="af6"/>
          <w:rFonts w:eastAsia="Guttman Hodes"/>
          <w:rtl/>
        </w:rPr>
      </w:r>
      <w:r w:rsidRPr="00CD1880">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CD1880">
        <w:rPr>
          <w:rStyle w:val="af6"/>
          <w:rFonts w:eastAsia="Guttman Hodes"/>
          <w:rtl/>
        </w:rPr>
        <w:fldChar w:fldCharType="end"/>
      </w:r>
      <w:r>
        <w:rPr>
          <w:rFonts w:hint="cs"/>
          <w:rtl/>
        </w:rPr>
        <w:t xml:space="preserve"> דכתב להדיא דאף באיסור שמאוס מעיקרו, אסור בהגדיל מדתו.</w:t>
      </w:r>
      <w:bookmarkEnd w:id="11310"/>
    </w:p>
    <w:p w:rsidR="006C2032" w:rsidRPr="0090480D" w:rsidRDefault="006C2032" w:rsidP="006C2032">
      <w:pPr>
        <w:pStyle w:val="a2"/>
        <w:rPr>
          <w:rtl/>
        </w:rPr>
      </w:pPr>
      <w:r w:rsidRPr="0090480D">
        <w:rPr>
          <w:rFonts w:hint="cs"/>
          <w:rtl/>
        </w:rPr>
        <w:t>קושית הפרמ"ג דבאיסור מאוס לא שייך לומר דאינו נהנה מהאיסור דזה גופא אסרה תורה</w:t>
      </w:r>
      <w:bookmarkEnd w:id="11311"/>
      <w:bookmarkEnd w:id="11312"/>
      <w:bookmarkEnd w:id="11313"/>
      <w:bookmarkEnd w:id="11314"/>
      <w:bookmarkEnd w:id="11315"/>
      <w:bookmarkEnd w:id="11316"/>
      <w:bookmarkEnd w:id="11317"/>
      <w:bookmarkEnd w:id="11318"/>
      <w:bookmarkEnd w:id="11319"/>
      <w:bookmarkEnd w:id="11320"/>
    </w:p>
    <w:p w:rsidR="007D485E" w:rsidRDefault="006C2032" w:rsidP="009F44AF">
      <w:pPr>
        <w:pStyle w:val="a"/>
        <w:rPr>
          <w:rtl/>
        </w:rPr>
      </w:pPr>
      <w:r w:rsidRPr="0090480D">
        <w:rPr>
          <w:rFonts w:hint="cs"/>
          <w:rtl/>
        </w:rPr>
        <w:t xml:space="preserve">אך כתב </w:t>
      </w:r>
      <w:r w:rsidRPr="0090480D">
        <w:rPr>
          <w:rStyle w:val="af8"/>
          <w:rFonts w:hint="cs"/>
          <w:rtl/>
        </w:rPr>
        <w:t>הפרמ"ג</w:t>
      </w:r>
      <w:r w:rsidRPr="0090480D">
        <w:rPr>
          <w:rFonts w:hint="cs"/>
          <w:rtl/>
        </w:rPr>
        <w:t xml:space="preserve"> דעדיין קשה על </w:t>
      </w:r>
      <w:r w:rsidRPr="0090480D">
        <w:rPr>
          <w:rStyle w:val="af8"/>
          <w:rFonts w:hint="cs"/>
          <w:rtl/>
        </w:rPr>
        <w:t>הר"ן</w:t>
      </w:r>
      <w:r w:rsidRPr="0090480D">
        <w:rPr>
          <w:rFonts w:hint="cs"/>
          <w:rtl/>
        </w:rPr>
        <w:t xml:space="preserve"> </w:t>
      </w:r>
      <w:r>
        <w:rPr>
          <w:rFonts w:hint="cs"/>
          <w:rtl/>
        </w:rPr>
        <w:t>ד</w:t>
      </w:r>
      <w:r w:rsidRPr="0090480D">
        <w:rPr>
          <w:rFonts w:hint="cs"/>
          <w:rtl/>
        </w:rPr>
        <w:t>האיך אפש"ל דכ</w:t>
      </w:r>
      <w:r>
        <w:rPr>
          <w:rFonts w:hint="cs"/>
          <w:rtl/>
        </w:rPr>
        <w:t>ל שאינו נהנה מהטעם הפגום מותר, והא ב</w:t>
      </w:r>
      <w:r w:rsidRPr="0090480D">
        <w:rPr>
          <w:rFonts w:hint="cs"/>
          <w:rtl/>
        </w:rPr>
        <w:t xml:space="preserve">דברים שמאוסים </w:t>
      </w:r>
      <w:r w:rsidRPr="0023514B">
        <w:rPr>
          <w:rFonts w:hint="cs"/>
          <w:rtl/>
        </w:rPr>
        <w:t xml:space="preserve">מעיקרם כזבובים ויתושים, </w:t>
      </w:r>
      <w:r w:rsidRPr="0090480D">
        <w:rPr>
          <w:rFonts w:hint="cs"/>
          <w:rtl/>
        </w:rPr>
        <w:t xml:space="preserve">אסרתם תורה, הם כשהם פגומים, וא"כ </w:t>
      </w:r>
      <w:r>
        <w:rPr>
          <w:rFonts w:hint="cs"/>
          <w:rtl/>
        </w:rPr>
        <w:t xml:space="preserve">חייב אף שאינו נהנה, </w:t>
      </w:r>
      <w:r w:rsidRPr="0090480D">
        <w:rPr>
          <w:rFonts w:hint="cs"/>
          <w:rtl/>
        </w:rPr>
        <w:t xml:space="preserve">וכתב </w:t>
      </w:r>
      <w:r w:rsidRPr="0090480D">
        <w:rPr>
          <w:rStyle w:val="af8"/>
          <w:rFonts w:hint="cs"/>
          <w:rtl/>
        </w:rPr>
        <w:t>הפרמ"ג</w:t>
      </w:r>
      <w:r w:rsidRPr="0090480D">
        <w:rPr>
          <w:rFonts w:hint="cs"/>
          <w:rtl/>
        </w:rPr>
        <w:t xml:space="preserve"> דיש ליישב</w:t>
      </w:r>
      <w:r>
        <w:rPr>
          <w:rFonts w:hint="cs"/>
          <w:rtl/>
        </w:rPr>
        <w:t>.</w:t>
      </w:r>
    </w:p>
    <w:bookmarkEnd w:id="11251"/>
    <w:bookmarkEnd w:id="11252"/>
    <w:bookmarkEnd w:id="11253"/>
    <w:p w:rsidR="006C2032" w:rsidRPr="004F6E69" w:rsidRDefault="006C2032" w:rsidP="006C2032">
      <w:pPr>
        <w:pStyle w:val="1"/>
        <w:rPr>
          <w:rtl/>
        </w:rPr>
      </w:pPr>
      <w:r w:rsidRPr="00A94B6F">
        <w:rPr>
          <w:noProof/>
          <w:rtl/>
        </w:rPr>
        <w:t>ביאור היד יהודה ברשב"א דטעם מאוס מותר ובטל ברוב</w:t>
      </w:r>
    </w:p>
    <w:p w:rsidR="006C2032" w:rsidRDefault="006C2032" w:rsidP="006C2032">
      <w:pPr>
        <w:pStyle w:val="a2"/>
        <w:rPr>
          <w:rtl/>
        </w:rPr>
      </w:pPr>
      <w:bookmarkStart w:id="11321" w:name="_Toc20310979"/>
      <w:bookmarkStart w:id="11322" w:name="_Toc20311151"/>
      <w:bookmarkStart w:id="11323" w:name="_Toc20315420"/>
      <w:bookmarkStart w:id="11324" w:name="_Toc20315817"/>
      <w:r w:rsidRPr="00D47CE7">
        <w:rPr>
          <w:rFonts w:hint="cs"/>
          <w:rtl/>
        </w:rPr>
        <w:t>ביאור היד יהודה</w:t>
      </w:r>
      <w:r>
        <w:rPr>
          <w:rFonts w:hint="cs"/>
          <w:rtl/>
        </w:rPr>
        <w:t xml:space="preserve"> ברשב"א דבטעם אסור לא מהני ביטול ברוב ובטעם פגום אף שניכר מהני רוב</w:t>
      </w:r>
      <w:bookmarkEnd w:id="11321"/>
      <w:bookmarkEnd w:id="11322"/>
      <w:bookmarkEnd w:id="11323"/>
      <w:bookmarkEnd w:id="11324"/>
    </w:p>
    <w:p w:rsidR="006C2032" w:rsidRDefault="006C2032" w:rsidP="009F44AF">
      <w:pPr>
        <w:pStyle w:val="a"/>
        <w:rPr>
          <w:rtl/>
        </w:rPr>
      </w:pPr>
      <w:r>
        <w:rPr>
          <w:rFonts w:hint="cs"/>
          <w:rtl/>
        </w:rPr>
        <w:t xml:space="preserve">בהא דהקשה </w:t>
      </w:r>
      <w:r w:rsidRPr="00DF6659">
        <w:rPr>
          <w:rStyle w:val="af8"/>
          <w:rFonts w:hint="cs"/>
          <w:rtl/>
        </w:rPr>
        <w:t>הרשב"א בתוה"ב</w:t>
      </w:r>
      <w:r>
        <w:rPr>
          <w:rFonts w:hint="cs"/>
          <w:rtl/>
        </w:rPr>
        <w:t xml:space="preserve"> </w:t>
      </w:r>
      <w:r w:rsidRPr="003806DB">
        <w:rPr>
          <w:rStyle w:val="af6"/>
          <w:rFonts w:eastAsia="Guttman Hodes" w:hint="cs"/>
          <w:rtl/>
        </w:rPr>
        <w:t xml:space="preserve">(עי' אות </w:t>
      </w:r>
      <w:r w:rsidRPr="003806DB">
        <w:rPr>
          <w:rStyle w:val="af6"/>
          <w:rFonts w:eastAsia="Guttman Hodes"/>
          <w:rtl/>
        </w:rPr>
        <w:fldChar w:fldCharType="begin"/>
      </w:r>
      <w:r w:rsidRPr="003806DB">
        <w:rPr>
          <w:rStyle w:val="af6"/>
          <w:rFonts w:eastAsia="Guttman Hodes"/>
          <w:rtl/>
        </w:rPr>
        <w:instrText xml:space="preserve"> </w:instrText>
      </w:r>
      <w:r w:rsidRPr="003806DB">
        <w:rPr>
          <w:rStyle w:val="af6"/>
          <w:rFonts w:eastAsia="Guttman Hodes" w:hint="cs"/>
        </w:rPr>
        <w:instrText>REF</w:instrText>
      </w:r>
      <w:r w:rsidRPr="003806DB">
        <w:rPr>
          <w:rStyle w:val="af6"/>
          <w:rFonts w:eastAsia="Guttman Hodes" w:hint="cs"/>
          <w:rtl/>
        </w:rPr>
        <w:instrText xml:space="preserve"> _</w:instrText>
      </w:r>
      <w:r w:rsidRPr="003806DB">
        <w:rPr>
          <w:rStyle w:val="af6"/>
          <w:rFonts w:eastAsia="Guttman Hodes" w:hint="cs"/>
        </w:rPr>
        <w:instrText>Ref16848044 \r \h</w:instrText>
      </w:r>
      <w:r w:rsidRPr="003806DB">
        <w:rPr>
          <w:rStyle w:val="af6"/>
          <w:rFonts w:eastAsia="Guttman Hodes"/>
          <w:rtl/>
        </w:rPr>
        <w:instrText xml:space="preserve"> </w:instrText>
      </w:r>
      <w:r w:rsidRPr="003806DB">
        <w:rPr>
          <w:rStyle w:val="af6"/>
          <w:rFonts w:eastAsia="Guttman Hodes"/>
          <w:rtl/>
        </w:rPr>
      </w:r>
      <w:r w:rsidRPr="003806DB">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3806DB">
        <w:rPr>
          <w:rStyle w:val="af6"/>
          <w:rFonts w:eastAsia="Guttman Hodes"/>
          <w:rtl/>
        </w:rPr>
        <w:fldChar w:fldCharType="end"/>
      </w:r>
      <w:r>
        <w:rPr>
          <w:rFonts w:hint="cs"/>
          <w:rtl/>
        </w:rPr>
        <w:t xml:space="preserve"> דהיאך מהני נותן טעם לפגם באיסור מאוס מעיקרו, כתב </w:t>
      </w:r>
      <w:r w:rsidRPr="00B608F5">
        <w:rPr>
          <w:rStyle w:val="af8"/>
          <w:rFonts w:hint="cs"/>
          <w:rtl/>
        </w:rPr>
        <w:t>היד יהודה</w:t>
      </w:r>
      <w:r w:rsidRPr="00B608F5">
        <w:rPr>
          <w:rFonts w:hint="cs"/>
          <w:rtl/>
        </w:rPr>
        <w:t xml:space="preserve"> </w:t>
      </w:r>
      <w:r w:rsidRPr="00B608F5">
        <w:rPr>
          <w:rStyle w:val="af6"/>
          <w:rFonts w:eastAsia="Guttman Hodes" w:hint="cs"/>
          <w:rtl/>
        </w:rPr>
        <w:t>(סי' ק"ג סק"א ד"ה מיהו זה ניחא)</w:t>
      </w:r>
      <w:r w:rsidRPr="00B608F5">
        <w:rPr>
          <w:rFonts w:hint="cs"/>
          <w:rtl/>
        </w:rPr>
        <w:t xml:space="preserve"> </w:t>
      </w:r>
      <w:r>
        <w:rPr>
          <w:rFonts w:hint="cs"/>
          <w:rtl/>
        </w:rPr>
        <w:t>ד</w:t>
      </w:r>
      <w:r w:rsidRPr="00B608F5">
        <w:rPr>
          <w:rtl/>
        </w:rPr>
        <w:t xml:space="preserve">מבואר מדברי </w:t>
      </w:r>
      <w:r w:rsidRPr="00B608F5">
        <w:rPr>
          <w:rStyle w:val="af8"/>
          <w:rFonts w:hint="cs"/>
          <w:rtl/>
        </w:rPr>
        <w:t xml:space="preserve">הרשב"א </w:t>
      </w:r>
      <w:r w:rsidRPr="00B608F5">
        <w:rPr>
          <w:rtl/>
        </w:rPr>
        <w:t xml:space="preserve">דכל ההיתר בנותן טעם לפגם הוא כיון דהטעם הפגום עצמו מותר, </w:t>
      </w:r>
      <w:r>
        <w:rPr>
          <w:rFonts w:hint="cs"/>
          <w:rtl/>
        </w:rPr>
        <w:t xml:space="preserve">וכדס"ל </w:t>
      </w:r>
      <w:r w:rsidRPr="009E058C">
        <w:rPr>
          <w:rStyle w:val="af8"/>
          <w:rFonts w:hint="cs"/>
          <w:rtl/>
        </w:rPr>
        <w:t>להרשב"א</w:t>
      </w:r>
      <w:r>
        <w:rPr>
          <w:rFonts w:hint="cs"/>
          <w:rtl/>
        </w:rPr>
        <w:t xml:space="preserve"> </w:t>
      </w:r>
      <w:r w:rsidRPr="00D47CE7">
        <w:rPr>
          <w:rStyle w:val="af6"/>
          <w:rFonts w:eastAsia="Guttman Hodes" w:hint="cs"/>
          <w:rtl/>
        </w:rPr>
        <w:t>(ב"ד ש"א סוף יט. מדה"ס ד"ה וקסבר רב ששת</w:t>
      </w:r>
      <w:r>
        <w:rPr>
          <w:rStyle w:val="af6"/>
          <w:rFonts w:eastAsia="Guttman Hodes" w:hint="cs"/>
          <w:rtl/>
        </w:rPr>
        <w:t>,</w:t>
      </w:r>
      <w:r w:rsidRPr="009E058C">
        <w:rPr>
          <w:rStyle w:val="af6"/>
          <w:rFonts w:eastAsia="Guttman Hodes" w:hint="cs"/>
          <w:rtl/>
        </w:rPr>
        <w:t xml:space="preserve"> הובא לעיל סימן י"ב אות ט"ז)</w:t>
      </w:r>
      <w:r>
        <w:rPr>
          <w:rFonts w:hint="cs"/>
          <w:rtl/>
        </w:rPr>
        <w:t xml:space="preserve"> דדין טעם כעיקר לא נאמר בטעם פגום, </w:t>
      </w:r>
      <w:r w:rsidRPr="00B608F5">
        <w:rPr>
          <w:rtl/>
        </w:rPr>
        <w:t>ולכן גוף האיסור מתבטל ברוב,</w:t>
      </w:r>
      <w:r>
        <w:rPr>
          <w:rFonts w:hint="cs"/>
          <w:rtl/>
        </w:rPr>
        <w:t xml:space="preserve"> וכדביאר </w:t>
      </w:r>
      <w:r w:rsidRPr="00817BE2">
        <w:rPr>
          <w:rStyle w:val="af8"/>
          <w:rFonts w:hint="cs"/>
          <w:rtl/>
        </w:rPr>
        <w:t>היד יהודה ברשב</w:t>
      </w:r>
      <w:r w:rsidRPr="009E058C">
        <w:rPr>
          <w:rStyle w:val="af8"/>
          <w:rFonts w:hint="cs"/>
          <w:rtl/>
        </w:rPr>
        <w:t>"א</w:t>
      </w:r>
      <w:r>
        <w:rPr>
          <w:rFonts w:hint="cs"/>
          <w:rtl/>
        </w:rPr>
        <w:t xml:space="preserve"> </w:t>
      </w:r>
      <w:r w:rsidRPr="009E058C">
        <w:rPr>
          <w:rStyle w:val="af6"/>
          <w:rFonts w:eastAsia="Guttman Hodes" w:hint="cs"/>
          <w:rtl/>
        </w:rPr>
        <w:t xml:space="preserve">(הובא לעיל סימן </w:t>
      </w:r>
      <w:r>
        <w:rPr>
          <w:rStyle w:val="af6"/>
          <w:rFonts w:eastAsia="Guttman Hodes" w:hint="cs"/>
          <w:rtl/>
        </w:rPr>
        <w:t>י"ב</w:t>
      </w:r>
      <w:r w:rsidRPr="009E058C">
        <w:rPr>
          <w:rStyle w:val="af6"/>
          <w:rFonts w:eastAsia="Guttman Hodes" w:hint="cs"/>
          <w:rtl/>
        </w:rPr>
        <w:t xml:space="preserve"> אות לד)</w:t>
      </w:r>
      <w:r>
        <w:rPr>
          <w:rFonts w:hint="cs"/>
          <w:rtl/>
        </w:rPr>
        <w:t>,</w:t>
      </w:r>
      <w:r w:rsidRPr="00B608F5">
        <w:rPr>
          <w:rtl/>
        </w:rPr>
        <w:t xml:space="preserve"> </w:t>
      </w:r>
      <w:r>
        <w:rPr>
          <w:rFonts w:hint="cs"/>
          <w:rtl/>
        </w:rPr>
        <w:t>דס"ל</w:t>
      </w:r>
      <w:r w:rsidRPr="00D47CE7">
        <w:rPr>
          <w:rFonts w:hint="cs"/>
          <w:rtl/>
        </w:rPr>
        <w:t xml:space="preserve"> דבטעם כעיקר </w:t>
      </w:r>
      <w:r>
        <w:rPr>
          <w:rFonts w:hint="cs"/>
          <w:rtl/>
        </w:rPr>
        <w:t xml:space="preserve">בטעם משובח </w:t>
      </w:r>
      <w:r w:rsidRPr="00D47CE7">
        <w:rPr>
          <w:rFonts w:hint="cs"/>
          <w:rtl/>
        </w:rPr>
        <w:t>לא מהני ביטול ברוב, כיון שהטעם</w:t>
      </w:r>
      <w:r>
        <w:rPr>
          <w:rFonts w:hint="cs"/>
          <w:rtl/>
        </w:rPr>
        <w:t xml:space="preserve"> האסור</w:t>
      </w:r>
      <w:r w:rsidRPr="00D47CE7">
        <w:rPr>
          <w:rFonts w:hint="cs"/>
          <w:rtl/>
        </w:rPr>
        <w:t xml:space="preserve"> מורגש בכל ההיתר, ממילא הממשות שלו אינה מתבטלת</w:t>
      </w:r>
      <w:r>
        <w:rPr>
          <w:rFonts w:hint="cs"/>
          <w:rtl/>
        </w:rPr>
        <w:t xml:space="preserve">, </w:t>
      </w:r>
      <w:r w:rsidRPr="00D47CE7">
        <w:rPr>
          <w:rFonts w:hint="cs"/>
          <w:rtl/>
        </w:rPr>
        <w:t xml:space="preserve">אבל </w:t>
      </w:r>
      <w:r>
        <w:rPr>
          <w:rFonts w:hint="cs"/>
          <w:rtl/>
        </w:rPr>
        <w:t xml:space="preserve">בנותן טעם לפגם, </w:t>
      </w:r>
      <w:r w:rsidRPr="00D47CE7">
        <w:rPr>
          <w:rFonts w:hint="cs"/>
          <w:rtl/>
        </w:rPr>
        <w:t>שהטעם עצמו אינו אוסר</w:t>
      </w:r>
      <w:r>
        <w:rPr>
          <w:rFonts w:hint="cs"/>
          <w:rtl/>
        </w:rPr>
        <w:t xml:space="preserve"> דהוא פגום</w:t>
      </w:r>
      <w:r w:rsidRPr="00D47CE7">
        <w:rPr>
          <w:rFonts w:hint="cs"/>
          <w:rtl/>
        </w:rPr>
        <w:t xml:space="preserve">, אין בכח הטעם לגרום לממשות האיסור שלא תתבטל ולאסור עי"ז את כל ההיתר שבתערובת, דהא הטעם גופיה מותר ולכן אף שטעם האיסור מורגש בהיתר, מ"מ חשיב דההיתר עומד בפנ"ע וממשות האיסור עומדת בפנ"ע, </w:t>
      </w:r>
      <w:r>
        <w:rPr>
          <w:rFonts w:hint="cs"/>
          <w:rtl/>
        </w:rPr>
        <w:t xml:space="preserve">דהא אין איסור בטעם, </w:t>
      </w:r>
      <w:r w:rsidRPr="00D47CE7">
        <w:rPr>
          <w:rFonts w:hint="cs"/>
          <w:rtl/>
        </w:rPr>
        <w:t>ולכן מהני ביטול ברוב לבטל את ממשות האיסור</w:t>
      </w:r>
      <w:r>
        <w:rPr>
          <w:rFonts w:hint="cs"/>
          <w:rtl/>
        </w:rPr>
        <w:t>.</w:t>
      </w:r>
    </w:p>
    <w:p w:rsidR="006C2032" w:rsidRPr="00B34D02" w:rsidRDefault="006C2032" w:rsidP="006C2032">
      <w:pPr>
        <w:pStyle w:val="a2"/>
      </w:pPr>
      <w:bookmarkStart w:id="11325" w:name="_Toc20310980"/>
      <w:bookmarkStart w:id="11326" w:name="_Toc20311152"/>
      <w:bookmarkStart w:id="11327" w:name="_Toc20315421"/>
      <w:bookmarkStart w:id="11328" w:name="_Toc20315818"/>
      <w:r>
        <w:rPr>
          <w:rFonts w:hint="cs"/>
          <w:rtl/>
        </w:rPr>
        <w:t>ביאור היד יהודה בקושית הרשב"א דבמאוס מעיקרו הטעם הפגום אסור ולא מהני ביטול ברוב</w:t>
      </w:r>
      <w:bookmarkEnd w:id="11325"/>
      <w:bookmarkEnd w:id="11326"/>
      <w:bookmarkEnd w:id="11327"/>
      <w:bookmarkEnd w:id="11328"/>
    </w:p>
    <w:p w:rsidR="006C2032" w:rsidRDefault="006C2032" w:rsidP="009F44AF">
      <w:pPr>
        <w:pStyle w:val="a"/>
        <w:rPr>
          <w:rtl/>
        </w:rPr>
      </w:pPr>
      <w:bookmarkStart w:id="11329" w:name="_Ref20294051"/>
      <w:r>
        <w:rPr>
          <w:rFonts w:hint="cs"/>
          <w:rtl/>
        </w:rPr>
        <w:t xml:space="preserve">ובזה ביאר </w:t>
      </w:r>
      <w:r w:rsidRPr="003806DB">
        <w:rPr>
          <w:rStyle w:val="af8"/>
          <w:rFonts w:hint="cs"/>
          <w:rtl/>
        </w:rPr>
        <w:t>היד יהודה</w:t>
      </w:r>
      <w:r>
        <w:rPr>
          <w:rFonts w:hint="cs"/>
          <w:rtl/>
        </w:rPr>
        <w:t xml:space="preserve"> את קושית </w:t>
      </w:r>
      <w:r w:rsidRPr="00DF6659">
        <w:rPr>
          <w:rStyle w:val="af8"/>
          <w:rFonts w:hint="cs"/>
          <w:rtl/>
        </w:rPr>
        <w:t>הרשב"א בתוה"ב</w:t>
      </w:r>
      <w:r>
        <w:rPr>
          <w:rFonts w:hint="cs"/>
          <w:rtl/>
        </w:rPr>
        <w:t xml:space="preserve"> </w:t>
      </w:r>
      <w:r w:rsidRPr="003806DB">
        <w:rPr>
          <w:rStyle w:val="af6"/>
          <w:rFonts w:eastAsia="Guttman Hodes" w:hint="cs"/>
          <w:rtl/>
        </w:rPr>
        <w:t xml:space="preserve">(עי' אות </w:t>
      </w:r>
      <w:r w:rsidRPr="003806DB">
        <w:rPr>
          <w:rStyle w:val="af6"/>
          <w:rFonts w:eastAsia="Guttman Hodes"/>
          <w:rtl/>
        </w:rPr>
        <w:fldChar w:fldCharType="begin"/>
      </w:r>
      <w:r w:rsidRPr="003806DB">
        <w:rPr>
          <w:rStyle w:val="af6"/>
          <w:rFonts w:eastAsia="Guttman Hodes"/>
          <w:rtl/>
        </w:rPr>
        <w:instrText xml:space="preserve"> </w:instrText>
      </w:r>
      <w:r w:rsidRPr="003806DB">
        <w:rPr>
          <w:rStyle w:val="af6"/>
          <w:rFonts w:eastAsia="Guttman Hodes" w:hint="cs"/>
        </w:rPr>
        <w:instrText>REF</w:instrText>
      </w:r>
      <w:r w:rsidRPr="003806DB">
        <w:rPr>
          <w:rStyle w:val="af6"/>
          <w:rFonts w:eastAsia="Guttman Hodes" w:hint="cs"/>
          <w:rtl/>
        </w:rPr>
        <w:instrText xml:space="preserve"> _</w:instrText>
      </w:r>
      <w:r w:rsidRPr="003806DB">
        <w:rPr>
          <w:rStyle w:val="af6"/>
          <w:rFonts w:eastAsia="Guttman Hodes" w:hint="cs"/>
        </w:rPr>
        <w:instrText>Ref16848044 \r \h</w:instrText>
      </w:r>
      <w:r w:rsidRPr="003806DB">
        <w:rPr>
          <w:rStyle w:val="af6"/>
          <w:rFonts w:eastAsia="Guttman Hodes"/>
          <w:rtl/>
        </w:rPr>
        <w:instrText xml:space="preserve"> </w:instrText>
      </w:r>
      <w:r w:rsidRPr="003806DB">
        <w:rPr>
          <w:rStyle w:val="af6"/>
          <w:rFonts w:eastAsia="Guttman Hodes"/>
          <w:rtl/>
        </w:rPr>
      </w:r>
      <w:r w:rsidRPr="003806DB">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3806DB">
        <w:rPr>
          <w:rStyle w:val="af6"/>
          <w:rFonts w:eastAsia="Guttman Hodes"/>
          <w:rtl/>
        </w:rPr>
        <w:fldChar w:fldCharType="end"/>
      </w:r>
      <w:r>
        <w:rPr>
          <w:rFonts w:hint="cs"/>
          <w:rtl/>
        </w:rPr>
        <w:t xml:space="preserve">  היאך מהני נותן טעם לפגם באיסור מאוס מעיקרו, דהא באיסור שמאוס </w:t>
      </w:r>
      <w:r w:rsidRPr="00B608F5">
        <w:rPr>
          <w:rtl/>
        </w:rPr>
        <w:t>מעיקרו</w:t>
      </w:r>
      <w:r>
        <w:rPr>
          <w:rFonts w:hint="cs"/>
          <w:rtl/>
        </w:rPr>
        <w:t>, אסרה תורה אף שהוא  פגום, א"כ גם</w:t>
      </w:r>
      <w:r w:rsidRPr="00B608F5">
        <w:rPr>
          <w:rtl/>
        </w:rPr>
        <w:t xml:space="preserve"> הטעם הפגום עצמו אסור</w:t>
      </w:r>
      <w:r>
        <w:rPr>
          <w:rFonts w:hint="cs"/>
          <w:rtl/>
        </w:rPr>
        <w:t>, וכיון שהטעם פגום ממילא הוא גורם לממשות שלא תתבטל, ולכן  כל שיש ממשות איסור בכזית בכדי אכילת פרס, הוא צריך להיות אסור, דממשות האיסור ניכרת ע"י הטעם הפגום האסור, והוא גורם לה שלא תתבטל.</w:t>
      </w:r>
      <w:bookmarkEnd w:id="11329"/>
    </w:p>
    <w:p w:rsidR="006C2032" w:rsidRPr="00B608F5" w:rsidRDefault="006C2032" w:rsidP="006C2032">
      <w:pPr>
        <w:pStyle w:val="a2"/>
        <w:rPr>
          <w:rtl/>
        </w:rPr>
      </w:pPr>
      <w:bookmarkStart w:id="11330" w:name="_Toc20310981"/>
      <w:bookmarkStart w:id="11331" w:name="_Toc20311153"/>
      <w:bookmarkStart w:id="11332" w:name="_Toc20315422"/>
      <w:bookmarkStart w:id="11333" w:name="_Toc20315819"/>
      <w:r>
        <w:rPr>
          <w:rFonts w:hint="cs"/>
          <w:rtl/>
        </w:rPr>
        <w:t>ביאור היד יהודה ברשב"א דאף במאוס הטעם אינו אסור ולכן מהני ביטול ברוב לגוף האיסור</w:t>
      </w:r>
      <w:bookmarkEnd w:id="11330"/>
      <w:bookmarkEnd w:id="11331"/>
      <w:bookmarkEnd w:id="11332"/>
      <w:bookmarkEnd w:id="11333"/>
    </w:p>
    <w:p w:rsidR="006C2032" w:rsidRPr="00B608F5" w:rsidRDefault="006C2032" w:rsidP="009F44AF">
      <w:pPr>
        <w:pStyle w:val="a"/>
      </w:pPr>
      <w:bookmarkStart w:id="11334" w:name="_Ref20294073"/>
      <w:bookmarkStart w:id="11335" w:name="_Toc20168401"/>
      <w:bookmarkStart w:id="11336" w:name="_Toc20170506"/>
      <w:bookmarkStart w:id="11337" w:name="_Toc20226704"/>
      <w:bookmarkStart w:id="11338" w:name="_Toc20256893"/>
      <w:bookmarkStart w:id="11339" w:name="_Toc20267124"/>
      <w:r w:rsidRPr="00B608F5">
        <w:rPr>
          <w:rtl/>
        </w:rPr>
        <w:t>ו</w:t>
      </w:r>
      <w:r>
        <w:rPr>
          <w:rFonts w:hint="cs"/>
          <w:rtl/>
        </w:rPr>
        <w:t xml:space="preserve">במה שתירץ </w:t>
      </w:r>
      <w:r w:rsidRPr="00022A52">
        <w:rPr>
          <w:rStyle w:val="af8"/>
          <w:rFonts w:hint="cs"/>
          <w:rtl/>
        </w:rPr>
        <w:t>הרשב"א בתוה"ב</w:t>
      </w:r>
      <w:r>
        <w:rPr>
          <w:rFonts w:hint="cs"/>
          <w:rtl/>
        </w:rPr>
        <w:t xml:space="preserve"> </w:t>
      </w:r>
      <w:r w:rsidRPr="00022A52">
        <w:rPr>
          <w:rStyle w:val="af6"/>
          <w:rFonts w:eastAsia="Guttman Hodes" w:hint="cs"/>
          <w:rtl/>
        </w:rPr>
        <w:t xml:space="preserve">(עי' אות </w:t>
      </w:r>
      <w:r w:rsidRPr="00022A52">
        <w:rPr>
          <w:rStyle w:val="af6"/>
          <w:rFonts w:eastAsia="Guttman Hodes"/>
          <w:rtl/>
        </w:rPr>
        <w:fldChar w:fldCharType="begin"/>
      </w:r>
      <w:r w:rsidRPr="00022A52">
        <w:rPr>
          <w:rStyle w:val="af6"/>
          <w:rFonts w:eastAsia="Guttman Hodes"/>
          <w:rtl/>
        </w:rPr>
        <w:instrText xml:space="preserve"> </w:instrText>
      </w:r>
      <w:r w:rsidRPr="00022A52">
        <w:rPr>
          <w:rStyle w:val="af6"/>
          <w:rFonts w:eastAsia="Guttman Hodes" w:hint="cs"/>
        </w:rPr>
        <w:instrText>REF</w:instrText>
      </w:r>
      <w:r w:rsidRPr="00022A52">
        <w:rPr>
          <w:rStyle w:val="af6"/>
          <w:rFonts w:eastAsia="Guttman Hodes" w:hint="cs"/>
          <w:rtl/>
        </w:rPr>
        <w:instrText xml:space="preserve"> _</w:instrText>
      </w:r>
      <w:r w:rsidRPr="00022A52">
        <w:rPr>
          <w:rStyle w:val="af6"/>
          <w:rFonts w:eastAsia="Guttman Hodes" w:hint="cs"/>
        </w:rPr>
        <w:instrText>Ref18227824 \r \h</w:instrText>
      </w:r>
      <w:r w:rsidRPr="00022A52">
        <w:rPr>
          <w:rStyle w:val="af6"/>
          <w:rFonts w:eastAsia="Guttman Hodes"/>
          <w:rtl/>
        </w:rPr>
        <w:instrText xml:space="preserve"> </w:instrText>
      </w:r>
      <w:r w:rsidRPr="00022A52">
        <w:rPr>
          <w:rStyle w:val="af6"/>
          <w:rFonts w:eastAsia="Guttman Hodes"/>
          <w:rtl/>
        </w:rPr>
      </w:r>
      <w:r w:rsidRPr="00022A52">
        <w:rPr>
          <w:rStyle w:val="af6"/>
          <w:rFonts w:eastAsia="Guttman Hodes"/>
          <w:rtl/>
        </w:rPr>
        <w:fldChar w:fldCharType="separate"/>
      </w:r>
      <w:r w:rsidR="004D1C5B">
        <w:rPr>
          <w:rStyle w:val="af6"/>
          <w:rFonts w:eastAsia="Guttman Hodes"/>
          <w:cs/>
        </w:rPr>
        <w:t>‎</w:t>
      </w:r>
      <w:r w:rsidR="004D1C5B">
        <w:rPr>
          <w:rStyle w:val="af6"/>
          <w:rFonts w:eastAsia="Guttman Hodes"/>
          <w:rtl/>
        </w:rPr>
        <w:t>כג)</w:t>
      </w:r>
      <w:r w:rsidRPr="00022A52">
        <w:rPr>
          <w:rStyle w:val="af6"/>
          <w:rFonts w:eastAsia="Guttman Hodes"/>
          <w:rtl/>
        </w:rPr>
        <w:fldChar w:fldCharType="end"/>
      </w:r>
      <w:r w:rsidRPr="00022A52">
        <w:rPr>
          <w:rStyle w:val="af6"/>
          <w:rFonts w:eastAsia="Guttman Hodes" w:hint="cs"/>
          <w:rtl/>
        </w:rPr>
        <w:t xml:space="preserve"> </w:t>
      </w:r>
      <w:r>
        <w:rPr>
          <w:rFonts w:hint="cs"/>
          <w:rtl/>
        </w:rPr>
        <w:t xml:space="preserve">דאסרה תורה רק את אכילת האיסור עצמו, ולא את טעמו הפגום שמעורב בתערובת, </w:t>
      </w:r>
      <w:r w:rsidRPr="00B608F5">
        <w:rPr>
          <w:rFonts w:hint="cs"/>
          <w:rtl/>
        </w:rPr>
        <w:t>ביאר</w:t>
      </w:r>
      <w:r w:rsidRPr="00B608F5">
        <w:rPr>
          <w:rtl/>
        </w:rPr>
        <w:t xml:space="preserve"> </w:t>
      </w:r>
      <w:r w:rsidRPr="00B608F5">
        <w:rPr>
          <w:rStyle w:val="af8"/>
          <w:rFonts w:hint="cs"/>
          <w:rtl/>
        </w:rPr>
        <w:t>היד יהודה</w:t>
      </w:r>
      <w:r>
        <w:rPr>
          <w:rFonts w:hint="cs"/>
          <w:rtl/>
        </w:rPr>
        <w:t xml:space="preserve"> </w:t>
      </w:r>
      <w:r w:rsidRPr="00B608F5">
        <w:rPr>
          <w:rtl/>
        </w:rPr>
        <w:t xml:space="preserve">דכוונת </w:t>
      </w:r>
      <w:r w:rsidRPr="00014D18">
        <w:rPr>
          <w:rStyle w:val="af8"/>
          <w:rtl/>
        </w:rPr>
        <w:t>הרשב"א</w:t>
      </w:r>
      <w:r w:rsidRPr="00B608F5">
        <w:rPr>
          <w:rtl/>
        </w:rPr>
        <w:t xml:space="preserve"> </w:t>
      </w:r>
      <w:r>
        <w:rPr>
          <w:rFonts w:hint="cs"/>
          <w:rtl/>
        </w:rPr>
        <w:t>לתרץ</w:t>
      </w:r>
      <w:r w:rsidRPr="00B608F5">
        <w:rPr>
          <w:rtl/>
        </w:rPr>
        <w:t xml:space="preserve"> דאף דאסרה תורה דבר שפגום מעיקרו, </w:t>
      </w:r>
      <w:r>
        <w:rPr>
          <w:rFonts w:hint="cs"/>
          <w:rtl/>
        </w:rPr>
        <w:t xml:space="preserve">מ"מ אין לך בו אלא חידושו, וכדברי </w:t>
      </w:r>
      <w:r w:rsidRPr="001E5996">
        <w:rPr>
          <w:rStyle w:val="af8"/>
          <w:rFonts w:hint="cs"/>
          <w:rtl/>
        </w:rPr>
        <w:t>הר"ן</w:t>
      </w:r>
      <w:r>
        <w:rPr>
          <w:rFonts w:hint="cs"/>
          <w:rtl/>
        </w:rPr>
        <w:t xml:space="preserve"> </w:t>
      </w:r>
      <w:r w:rsidRPr="001E5996">
        <w:rPr>
          <w:rStyle w:val="af6"/>
          <w:rFonts w:eastAsia="Guttman Hodes" w:hint="cs"/>
          <w:rtl/>
        </w:rPr>
        <w:t xml:space="preserve">(עי' אות </w:t>
      </w:r>
      <w:r w:rsidRPr="001E5996">
        <w:rPr>
          <w:rStyle w:val="af6"/>
          <w:rFonts w:eastAsia="Guttman Hodes"/>
          <w:rtl/>
        </w:rPr>
        <w:fldChar w:fldCharType="begin"/>
      </w:r>
      <w:r w:rsidRPr="001E5996">
        <w:rPr>
          <w:rStyle w:val="af6"/>
          <w:rFonts w:eastAsia="Guttman Hodes"/>
          <w:rtl/>
        </w:rPr>
        <w:instrText xml:space="preserve"> </w:instrText>
      </w:r>
      <w:r w:rsidRPr="001E5996">
        <w:rPr>
          <w:rStyle w:val="af6"/>
          <w:rFonts w:eastAsia="Guttman Hodes" w:hint="cs"/>
        </w:rPr>
        <w:instrText>REF</w:instrText>
      </w:r>
      <w:r w:rsidRPr="001E5996">
        <w:rPr>
          <w:rStyle w:val="af6"/>
          <w:rFonts w:eastAsia="Guttman Hodes" w:hint="cs"/>
          <w:rtl/>
        </w:rPr>
        <w:instrText xml:space="preserve"> _</w:instrText>
      </w:r>
      <w:r w:rsidRPr="001E5996">
        <w:rPr>
          <w:rStyle w:val="af6"/>
          <w:rFonts w:eastAsia="Guttman Hodes" w:hint="cs"/>
        </w:rPr>
        <w:instrText>Ref20293927 \r \h</w:instrText>
      </w:r>
      <w:r w:rsidRPr="001E5996">
        <w:rPr>
          <w:rStyle w:val="af6"/>
          <w:rFonts w:eastAsia="Guttman Hodes"/>
          <w:rtl/>
        </w:rPr>
        <w:instrText xml:space="preserve"> </w:instrText>
      </w:r>
      <w:r w:rsidRPr="001E5996">
        <w:rPr>
          <w:rStyle w:val="af6"/>
          <w:rFonts w:eastAsia="Guttman Hodes"/>
          <w:rtl/>
        </w:rPr>
      </w:r>
      <w:r w:rsidRPr="001E5996">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1E5996">
        <w:rPr>
          <w:rStyle w:val="af6"/>
          <w:rFonts w:eastAsia="Guttman Hodes"/>
          <w:rtl/>
        </w:rPr>
        <w:fldChar w:fldCharType="end"/>
      </w:r>
      <w:r>
        <w:rPr>
          <w:rFonts w:hint="cs"/>
          <w:rtl/>
        </w:rPr>
        <w:t xml:space="preserve"> דדוקא כשהוא בפנ"ע הוא אסור בפגימתו, אבל בתערובת הוא מותר, ולכן </w:t>
      </w:r>
      <w:r w:rsidRPr="00B608F5">
        <w:rPr>
          <w:rtl/>
        </w:rPr>
        <w:t xml:space="preserve">אף דבתערובת הוא ניכר ע"י טעמו, מ"מ לא חשיב דהוא עומד בפנ"ע, דכל איסורו הוא </w:t>
      </w:r>
      <w:r>
        <w:rPr>
          <w:rtl/>
        </w:rPr>
        <w:t>רק באכילת גופו בפנ"ע</w:t>
      </w:r>
      <w:r>
        <w:rPr>
          <w:rFonts w:hint="cs"/>
          <w:rtl/>
        </w:rPr>
        <w:t>, אבל הטעם שלו אינו  טעם אסור, דלא אסרה תורה טעם פגום אף באיסור שמאוס מעיקרו, ולכן בגוף האיסור אף שהוא אסור במיאוסו, מ"מ מהני בו ביטול ברוב, והטעם הפגום אינו אוסר, וכיון שהטעם מותר, אין בכחו למנוע ממשות האיסור להתבטל אף שטעם האיסור הפגום מורגש בכל ההיתר</w:t>
      </w:r>
      <w:r w:rsidRPr="00B608F5">
        <w:rPr>
          <w:rtl/>
        </w:rPr>
        <w:t>.</w:t>
      </w:r>
      <w:bookmarkEnd w:id="11334"/>
    </w:p>
    <w:p w:rsidR="006C2032" w:rsidRPr="00B608F5" w:rsidRDefault="006C2032" w:rsidP="006C2032">
      <w:pPr>
        <w:pStyle w:val="a2"/>
        <w:rPr>
          <w:rtl/>
        </w:rPr>
      </w:pPr>
      <w:bookmarkStart w:id="11340" w:name="_Toc20310982"/>
      <w:bookmarkStart w:id="11341" w:name="_Toc20311154"/>
      <w:bookmarkStart w:id="11342" w:name="_Toc20315423"/>
      <w:bookmarkStart w:id="11343" w:name="_Toc20315820"/>
      <w:bookmarkEnd w:id="11335"/>
      <w:bookmarkEnd w:id="11336"/>
      <w:bookmarkEnd w:id="11337"/>
      <w:bookmarkEnd w:id="11338"/>
      <w:bookmarkEnd w:id="11339"/>
      <w:r>
        <w:rPr>
          <w:rFonts w:hint="cs"/>
          <w:rtl/>
        </w:rPr>
        <w:t>ביאור היד יהודה דהוקשה להרשב"א דע"י הטעם חשיב בעין והיאך תערובת ההיתר מתירתו</w:t>
      </w:r>
      <w:bookmarkEnd w:id="11340"/>
      <w:bookmarkEnd w:id="11341"/>
      <w:bookmarkEnd w:id="11342"/>
      <w:bookmarkEnd w:id="11343"/>
    </w:p>
    <w:p w:rsidR="006C2032" w:rsidRDefault="006C2032" w:rsidP="009F44AF">
      <w:pPr>
        <w:pStyle w:val="a"/>
        <w:rPr>
          <w:rtl/>
        </w:rPr>
      </w:pPr>
      <w:bookmarkStart w:id="11344" w:name="_Ref20294873"/>
      <w:r>
        <w:rPr>
          <w:rFonts w:hint="cs"/>
          <w:rtl/>
        </w:rPr>
        <w:t xml:space="preserve">ובמה שחזר </w:t>
      </w:r>
      <w:r w:rsidRPr="00CE3E38">
        <w:rPr>
          <w:rStyle w:val="af8"/>
          <w:rFonts w:hint="cs"/>
          <w:rtl/>
        </w:rPr>
        <w:t>הרשב"א בתוה"ב</w:t>
      </w:r>
      <w:r>
        <w:rPr>
          <w:rFonts w:hint="cs"/>
          <w:rtl/>
        </w:rPr>
        <w:t xml:space="preserve"> </w:t>
      </w:r>
      <w:r w:rsidRPr="00CE3E38">
        <w:rPr>
          <w:rStyle w:val="af6"/>
          <w:rFonts w:eastAsia="Guttman Hodes" w:hint="cs"/>
          <w:rtl/>
        </w:rPr>
        <w:t xml:space="preserve">(עי' אות </w:t>
      </w:r>
      <w:r w:rsidRPr="00CE3E38">
        <w:rPr>
          <w:rStyle w:val="af6"/>
          <w:rFonts w:eastAsia="Guttman Hodes"/>
          <w:rtl/>
        </w:rPr>
        <w:fldChar w:fldCharType="begin"/>
      </w:r>
      <w:r w:rsidRPr="00CE3E38">
        <w:rPr>
          <w:rStyle w:val="af6"/>
          <w:rFonts w:eastAsia="Guttman Hodes"/>
          <w:rtl/>
        </w:rPr>
        <w:instrText xml:space="preserve"> </w:instrText>
      </w:r>
      <w:r w:rsidRPr="00CE3E38">
        <w:rPr>
          <w:rStyle w:val="af6"/>
          <w:rFonts w:eastAsia="Guttman Hodes" w:hint="cs"/>
        </w:rPr>
        <w:instrText>REF</w:instrText>
      </w:r>
      <w:r w:rsidRPr="00CE3E38">
        <w:rPr>
          <w:rStyle w:val="af6"/>
          <w:rFonts w:eastAsia="Guttman Hodes" w:hint="cs"/>
          <w:rtl/>
        </w:rPr>
        <w:instrText xml:space="preserve"> _</w:instrText>
      </w:r>
      <w:r w:rsidRPr="00CE3E38">
        <w:rPr>
          <w:rStyle w:val="af6"/>
          <w:rFonts w:eastAsia="Guttman Hodes" w:hint="cs"/>
        </w:rPr>
        <w:instrText>Ref20068557 \r \h</w:instrText>
      </w:r>
      <w:r w:rsidRPr="00CE3E38">
        <w:rPr>
          <w:rStyle w:val="af6"/>
          <w:rFonts w:eastAsia="Guttman Hodes"/>
          <w:rtl/>
        </w:rPr>
        <w:instrText xml:space="preserve"> </w:instrText>
      </w:r>
      <w:r w:rsidRPr="00CE3E38">
        <w:rPr>
          <w:rStyle w:val="af6"/>
          <w:rFonts w:eastAsia="Guttman Hodes"/>
          <w:rtl/>
        </w:rPr>
      </w:r>
      <w:r w:rsidRPr="00CE3E38">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CE3E38">
        <w:rPr>
          <w:rStyle w:val="af6"/>
          <w:rFonts w:eastAsia="Guttman Hodes"/>
          <w:rtl/>
        </w:rPr>
        <w:fldChar w:fldCharType="end"/>
      </w:r>
      <w:r w:rsidRPr="00CE3E38">
        <w:rPr>
          <w:rStyle w:val="af6"/>
          <w:rFonts w:eastAsia="Guttman Hodes" w:hint="cs"/>
          <w:rtl/>
        </w:rPr>
        <w:t xml:space="preserve"> </w:t>
      </w:r>
      <w:r w:rsidRPr="00C4430D">
        <w:rPr>
          <w:rFonts w:hint="cs"/>
          <w:rtl/>
        </w:rPr>
        <w:t>והקשה דכיון שאין</w:t>
      </w:r>
      <w:r>
        <w:rPr>
          <w:rFonts w:hint="cs"/>
          <w:rtl/>
        </w:rPr>
        <w:t xml:space="preserve"> שישים כנגד האיסור,</w:t>
      </w:r>
      <w:r w:rsidRPr="00B608F5">
        <w:rPr>
          <w:rtl/>
        </w:rPr>
        <w:t xml:space="preserve"> חשיב כאילו האיסור נמצא בעין, </w:t>
      </w:r>
      <w:r w:rsidRPr="00B608F5">
        <w:rPr>
          <w:rFonts w:hint="cs"/>
          <w:rtl/>
        </w:rPr>
        <w:t xml:space="preserve">וחשיב שנפל איסור מרובה לתוך מעט היתר, </w:t>
      </w:r>
      <w:r>
        <w:rPr>
          <w:rFonts w:hint="cs"/>
          <w:rtl/>
        </w:rPr>
        <w:t>ואי הוא מותר ע"י שהתערב בהיתר ופגם אותו, א"כ אף רוב איסור שנפל למיעוט היתר יהיה מותר, ביאר</w:t>
      </w:r>
      <w:r w:rsidRPr="00B608F5">
        <w:rPr>
          <w:rFonts w:hint="cs"/>
          <w:rtl/>
        </w:rPr>
        <w:t xml:space="preserve"> </w:t>
      </w:r>
      <w:r w:rsidRPr="00CE3E38">
        <w:rPr>
          <w:rStyle w:val="af8"/>
          <w:rFonts w:hint="cs"/>
          <w:rtl/>
        </w:rPr>
        <w:t xml:space="preserve">היד יהודה </w:t>
      </w:r>
      <w:r w:rsidRPr="00B608F5">
        <w:rPr>
          <w:rFonts w:hint="cs"/>
          <w:rtl/>
        </w:rPr>
        <w:t xml:space="preserve">דהוקשה </w:t>
      </w:r>
      <w:r w:rsidRPr="00CE3E38">
        <w:rPr>
          <w:rStyle w:val="af8"/>
          <w:rFonts w:hint="cs"/>
          <w:rtl/>
        </w:rPr>
        <w:t xml:space="preserve">להרשב"א </w:t>
      </w:r>
      <w:r>
        <w:rPr>
          <w:rFonts w:hint="cs"/>
          <w:rtl/>
        </w:rPr>
        <w:t>דכיון שע"י הטעם הפגום חשיב האיסור כעומד בפנ"ע, דטעם האיסור מורגש בהיתר, ו</w:t>
      </w:r>
      <w:r w:rsidRPr="00B608F5">
        <w:rPr>
          <w:rFonts w:hint="cs"/>
          <w:rtl/>
        </w:rPr>
        <w:t>אי כל שהתערב בהיתר הוא נעשה מותר,</w:t>
      </w:r>
      <w:r>
        <w:rPr>
          <w:rFonts w:hint="cs"/>
          <w:rtl/>
        </w:rPr>
        <w:t xml:space="preserve"> כיון שהוא פגם את ההיתר, ולא אסרה תורה טעם פגום,</w:t>
      </w:r>
      <w:r w:rsidRPr="00B608F5">
        <w:rPr>
          <w:rFonts w:hint="cs"/>
          <w:rtl/>
        </w:rPr>
        <w:t xml:space="preserve"> א"כ אף כ</w:t>
      </w:r>
      <w:r>
        <w:rPr>
          <w:rFonts w:hint="cs"/>
          <w:rtl/>
        </w:rPr>
        <w:t xml:space="preserve">שהאיסור הפגום </w:t>
      </w:r>
      <w:r w:rsidRPr="00B608F5">
        <w:rPr>
          <w:rFonts w:hint="cs"/>
          <w:rtl/>
        </w:rPr>
        <w:t>התערב במיעוט היתר יהיה מותר</w:t>
      </w:r>
      <w:r>
        <w:rPr>
          <w:rFonts w:hint="cs"/>
          <w:rtl/>
        </w:rPr>
        <w:t>.</w:t>
      </w:r>
      <w:bookmarkEnd w:id="11344"/>
    </w:p>
    <w:p w:rsidR="006C2032" w:rsidRPr="00CE3E38" w:rsidRDefault="006C2032" w:rsidP="006C2032">
      <w:pPr>
        <w:pStyle w:val="a2"/>
      </w:pPr>
      <w:bookmarkStart w:id="11345" w:name="_Toc20310983"/>
      <w:bookmarkStart w:id="11346" w:name="_Toc20311155"/>
      <w:bookmarkStart w:id="11347" w:name="_Toc20315424"/>
      <w:bookmarkStart w:id="11348" w:name="_Toc20315821"/>
      <w:r>
        <w:rPr>
          <w:rFonts w:hint="cs"/>
          <w:rtl/>
        </w:rPr>
        <w:t>ביאור היד יהודה בתירוץ הרשב"א דגופו בטל ברוב ואת הטעם הפגום לא אסרה תורה כלל</w:t>
      </w:r>
      <w:bookmarkEnd w:id="11345"/>
      <w:bookmarkEnd w:id="11346"/>
      <w:bookmarkEnd w:id="11347"/>
      <w:bookmarkEnd w:id="11348"/>
    </w:p>
    <w:p w:rsidR="006C2032" w:rsidRDefault="006C2032" w:rsidP="009F44AF">
      <w:pPr>
        <w:pStyle w:val="a"/>
        <w:rPr>
          <w:rtl/>
        </w:rPr>
      </w:pPr>
      <w:bookmarkStart w:id="11349" w:name="_Ref20295335"/>
      <w:r>
        <w:rPr>
          <w:rFonts w:hint="cs"/>
          <w:rtl/>
        </w:rPr>
        <w:t>ובמה ש</w:t>
      </w:r>
      <w:r w:rsidRPr="00B608F5">
        <w:rPr>
          <w:rtl/>
        </w:rPr>
        <w:t xml:space="preserve">תירץ </w:t>
      </w:r>
      <w:r w:rsidRPr="00B608F5">
        <w:rPr>
          <w:rStyle w:val="af8"/>
          <w:rFonts w:hint="cs"/>
          <w:rtl/>
        </w:rPr>
        <w:t>הרשב"א בתוה"ב</w:t>
      </w:r>
      <w:r w:rsidRPr="00B608F5">
        <w:rPr>
          <w:rFonts w:hint="cs"/>
          <w:rtl/>
        </w:rPr>
        <w:t xml:space="preserve"> </w:t>
      </w:r>
      <w:r w:rsidRPr="00B608F5">
        <w:rPr>
          <w:rStyle w:val="af6"/>
          <w:rFonts w:eastAsia="Guttman Hodes" w:hint="cs"/>
          <w:rtl/>
        </w:rPr>
        <w:t xml:space="preserve">(עי' אות </w:t>
      </w:r>
      <w:r w:rsidRPr="00B608F5">
        <w:rPr>
          <w:rStyle w:val="af6"/>
          <w:rFonts w:eastAsia="Guttman Hodes"/>
          <w:rtl/>
        </w:rPr>
        <w:fldChar w:fldCharType="begin"/>
      </w:r>
      <w:r w:rsidRPr="00B608F5">
        <w:rPr>
          <w:rStyle w:val="af6"/>
          <w:rFonts w:eastAsia="Guttman Hodes"/>
          <w:rtl/>
        </w:rPr>
        <w:instrText xml:space="preserve"> </w:instrText>
      </w:r>
      <w:r w:rsidRPr="00B608F5">
        <w:rPr>
          <w:rStyle w:val="af6"/>
          <w:rFonts w:eastAsia="Guttman Hodes" w:hint="cs"/>
        </w:rPr>
        <w:instrText>REF</w:instrText>
      </w:r>
      <w:r w:rsidRPr="00B608F5">
        <w:rPr>
          <w:rStyle w:val="af6"/>
          <w:rFonts w:eastAsia="Guttman Hodes" w:hint="cs"/>
          <w:rtl/>
        </w:rPr>
        <w:instrText xml:space="preserve"> _</w:instrText>
      </w:r>
      <w:r w:rsidRPr="00B608F5">
        <w:rPr>
          <w:rStyle w:val="af6"/>
          <w:rFonts w:eastAsia="Guttman Hodes" w:hint="cs"/>
        </w:rPr>
        <w:instrText>Ref20068581 \r \h</w:instrText>
      </w:r>
      <w:r w:rsidRPr="00B608F5">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B608F5">
        <w:rPr>
          <w:rStyle w:val="af6"/>
          <w:rFonts w:eastAsia="Guttman Hodes"/>
          <w:rtl/>
        </w:rPr>
      </w:r>
      <w:r w:rsidRPr="00B608F5">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B608F5">
        <w:rPr>
          <w:rStyle w:val="af6"/>
          <w:rFonts w:eastAsia="Guttman Hodes"/>
          <w:rtl/>
        </w:rPr>
        <w:fldChar w:fldCharType="end"/>
      </w:r>
      <w:r w:rsidRPr="00B608F5">
        <w:rPr>
          <w:rFonts w:hint="cs"/>
          <w:rtl/>
        </w:rPr>
        <w:t xml:space="preserve"> דההיתר בנותן טעם לפגם באיסור שמאוס מעיקרו, הוא דוקא כשיש רוב היתר,</w:t>
      </w:r>
      <w:r>
        <w:rPr>
          <w:rFonts w:hint="cs"/>
          <w:rtl/>
        </w:rPr>
        <w:t xml:space="preserve"> דמהני בו ביטול ברוב</w:t>
      </w:r>
      <w:r w:rsidRPr="00B608F5">
        <w:rPr>
          <w:rFonts w:hint="cs"/>
          <w:rtl/>
        </w:rPr>
        <w:t xml:space="preserve">, ואף </w:t>
      </w:r>
      <w:r>
        <w:rPr>
          <w:rFonts w:hint="cs"/>
          <w:rtl/>
        </w:rPr>
        <w:t>שטעם האיסור</w:t>
      </w:r>
      <w:r w:rsidRPr="00B608F5">
        <w:rPr>
          <w:rFonts w:hint="cs"/>
          <w:rtl/>
        </w:rPr>
        <w:t xml:space="preserve"> מורגש בהיתר, </w:t>
      </w:r>
      <w:r>
        <w:rPr>
          <w:rFonts w:hint="cs"/>
          <w:rtl/>
        </w:rPr>
        <w:t xml:space="preserve">מ"מ </w:t>
      </w:r>
      <w:r w:rsidRPr="00B608F5">
        <w:rPr>
          <w:rFonts w:hint="cs"/>
          <w:rtl/>
        </w:rPr>
        <w:t xml:space="preserve">כיון שהוא פוגם את ההיתר אינו אוסרו, </w:t>
      </w:r>
      <w:r>
        <w:rPr>
          <w:rFonts w:hint="cs"/>
          <w:rtl/>
        </w:rPr>
        <w:t>ביאר</w:t>
      </w:r>
      <w:r w:rsidRPr="00B608F5">
        <w:rPr>
          <w:rtl/>
        </w:rPr>
        <w:t xml:space="preserve"> </w:t>
      </w:r>
      <w:r w:rsidRPr="00B608F5">
        <w:rPr>
          <w:rStyle w:val="af8"/>
          <w:rFonts w:hint="cs"/>
          <w:rtl/>
        </w:rPr>
        <w:t>היד יהודה</w:t>
      </w:r>
      <w:r w:rsidRPr="00B608F5">
        <w:rPr>
          <w:rFonts w:hint="cs"/>
          <w:rtl/>
        </w:rPr>
        <w:t xml:space="preserve"> </w:t>
      </w:r>
      <w:r>
        <w:rPr>
          <w:rFonts w:hint="cs"/>
          <w:rtl/>
        </w:rPr>
        <w:t xml:space="preserve">כוונת </w:t>
      </w:r>
      <w:r w:rsidRPr="004522D4">
        <w:rPr>
          <w:rStyle w:val="af8"/>
          <w:rFonts w:hint="cs"/>
          <w:rtl/>
        </w:rPr>
        <w:t>הרשב"א</w:t>
      </w:r>
      <w:r>
        <w:rPr>
          <w:rFonts w:hint="cs"/>
          <w:rtl/>
        </w:rPr>
        <w:t xml:space="preserve"> לומר </w:t>
      </w:r>
      <w:r w:rsidRPr="00B608F5">
        <w:rPr>
          <w:rtl/>
        </w:rPr>
        <w:t>דגוף האיסור המאוס, לעולם נשאר אסור, אך האיסור הוא רק באכילת גוף האיסור המאוס, א</w:t>
      </w:r>
      <w:r w:rsidRPr="00B608F5">
        <w:rPr>
          <w:rFonts w:hint="cs"/>
          <w:rtl/>
        </w:rPr>
        <w:t>בל</w:t>
      </w:r>
      <w:r w:rsidRPr="00B608F5">
        <w:rPr>
          <w:rtl/>
        </w:rPr>
        <w:t xml:space="preserve"> כל שאוכל את טעמו, בלא גופו אין בו איסור, ולכן כל שגוף האיסור המאוס התבטל ברוב, ויש בתערובת רק את טעמו, א"כ אין כל איסור בטעם פגום, דדינו ככל שאר </w:t>
      </w:r>
      <w:r w:rsidRPr="00B37D61">
        <w:rPr>
          <w:rtl/>
        </w:rPr>
        <w:t>האיסורים</w:t>
      </w:r>
      <w:r w:rsidRPr="00B37D61">
        <w:rPr>
          <w:rFonts w:hint="cs"/>
          <w:rtl/>
        </w:rPr>
        <w:t>.</w:t>
      </w:r>
      <w:bookmarkEnd w:id="11349"/>
    </w:p>
    <w:p w:rsidR="006C2032" w:rsidRPr="00B37D61" w:rsidRDefault="006C2032" w:rsidP="006C2032">
      <w:pPr>
        <w:pStyle w:val="1"/>
        <w:rPr>
          <w:rtl/>
        </w:rPr>
      </w:pPr>
      <w:r w:rsidRPr="00D80D21">
        <w:rPr>
          <w:rtl/>
        </w:rPr>
        <w:t>ביאור היד יהודה בר"ן דרק במאוס שאינו אוכל הטעם בטל ברוב</w:t>
      </w:r>
    </w:p>
    <w:p w:rsidR="006C2032" w:rsidRPr="00B37D61" w:rsidRDefault="006C2032" w:rsidP="006C2032">
      <w:pPr>
        <w:pStyle w:val="a2"/>
      </w:pPr>
      <w:bookmarkStart w:id="11350" w:name="_Toc19995915"/>
      <w:bookmarkStart w:id="11351" w:name="_Toc20168414"/>
      <w:bookmarkStart w:id="11352" w:name="_Toc20170520"/>
      <w:bookmarkStart w:id="11353" w:name="_Toc20226721"/>
      <w:bookmarkStart w:id="11354" w:name="_Toc20256925"/>
      <w:bookmarkStart w:id="11355" w:name="_Toc20267183"/>
      <w:bookmarkStart w:id="11356" w:name="_Toc20310985"/>
      <w:bookmarkStart w:id="11357" w:name="_Toc20311157"/>
      <w:bookmarkStart w:id="11358" w:name="_Toc20315426"/>
      <w:bookmarkStart w:id="11359" w:name="_Toc20315823"/>
      <w:r w:rsidRPr="00B37D61">
        <w:rPr>
          <w:rFonts w:hint="cs"/>
          <w:rtl/>
        </w:rPr>
        <w:t xml:space="preserve">ביאור היד יהודה בר"ן </w:t>
      </w:r>
      <w:bookmarkEnd w:id="11350"/>
      <w:bookmarkEnd w:id="11351"/>
      <w:bookmarkEnd w:id="11352"/>
      <w:bookmarkEnd w:id="11353"/>
      <w:bookmarkEnd w:id="11354"/>
      <w:bookmarkEnd w:id="11355"/>
      <w:bookmarkEnd w:id="11356"/>
      <w:bookmarkEnd w:id="11357"/>
      <w:r>
        <w:rPr>
          <w:rFonts w:hint="cs"/>
          <w:rtl/>
        </w:rPr>
        <w:t>דאף טעם פגום שמותר גורם לאיסור שלא יתבטל ברוב</w:t>
      </w:r>
      <w:bookmarkEnd w:id="11358"/>
      <w:bookmarkEnd w:id="11359"/>
    </w:p>
    <w:p w:rsidR="006C2032" w:rsidRDefault="006C2032" w:rsidP="009F44AF">
      <w:pPr>
        <w:pStyle w:val="a"/>
        <w:rPr>
          <w:rtl/>
        </w:rPr>
      </w:pPr>
      <w:r>
        <w:rPr>
          <w:rFonts w:hint="cs"/>
          <w:rtl/>
        </w:rPr>
        <w:t>אך כתב</w:t>
      </w:r>
      <w:r w:rsidRPr="00B37D61">
        <w:rPr>
          <w:rFonts w:hint="cs"/>
          <w:rtl/>
        </w:rPr>
        <w:t xml:space="preserve"> </w:t>
      </w:r>
      <w:r w:rsidRPr="00B37D61">
        <w:rPr>
          <w:rStyle w:val="af8"/>
          <w:rFonts w:hint="cs"/>
          <w:rtl/>
        </w:rPr>
        <w:t>היד יהודה</w:t>
      </w:r>
      <w:r w:rsidRPr="00B37D61">
        <w:rPr>
          <w:rFonts w:hint="cs"/>
          <w:rtl/>
        </w:rPr>
        <w:t xml:space="preserve"> </w:t>
      </w:r>
      <w:r w:rsidRPr="00B37D61">
        <w:rPr>
          <w:rStyle w:val="af6"/>
          <w:rFonts w:eastAsia="Guttman Rashi"/>
          <w:rtl/>
        </w:rPr>
        <w:t>(סי' ק"ג סק"א ד"ה אבל הר"ן)</w:t>
      </w:r>
      <w:r w:rsidRPr="00BD60CA">
        <w:rPr>
          <w:rtl/>
        </w:rPr>
        <w:t xml:space="preserve"> </w:t>
      </w:r>
      <w:r w:rsidRPr="006B44B8">
        <w:rPr>
          <w:rFonts w:hint="cs"/>
          <w:rtl/>
        </w:rPr>
        <w:t xml:space="preserve">דלדעת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Pr>
          <w:rStyle w:val="af6"/>
          <w:rFonts w:eastAsia="Guttman Hodes" w:hint="cs"/>
          <w:rtl/>
        </w:rPr>
        <w:t>מ"ו</w:t>
      </w:r>
      <w:r w:rsidRPr="00C17C41">
        <w:rPr>
          <w:rStyle w:val="af6"/>
          <w:rFonts w:eastAsia="Guttman Hodes" w:hint="cs"/>
          <w:rtl/>
        </w:rPr>
        <w:t>)</w:t>
      </w:r>
      <w:r>
        <w:rPr>
          <w:rFonts w:hint="cs"/>
          <w:rtl/>
        </w:rPr>
        <w:t xml:space="preserve"> אף טעם </w:t>
      </w:r>
      <w:r w:rsidRPr="00D47CE7">
        <w:rPr>
          <w:rFonts w:hint="cs"/>
          <w:rtl/>
        </w:rPr>
        <w:t xml:space="preserve">פגום </w:t>
      </w:r>
      <w:r>
        <w:rPr>
          <w:rFonts w:hint="cs"/>
          <w:rtl/>
        </w:rPr>
        <w:t>ש</w:t>
      </w:r>
      <w:r w:rsidRPr="00D47CE7">
        <w:rPr>
          <w:rFonts w:hint="cs"/>
          <w:rtl/>
        </w:rPr>
        <w:t xml:space="preserve">מותר, </w:t>
      </w:r>
      <w:r>
        <w:rPr>
          <w:rFonts w:hint="cs"/>
          <w:rtl/>
        </w:rPr>
        <w:t>מ"מ הוא</w:t>
      </w:r>
      <w:r w:rsidRPr="00D47CE7">
        <w:rPr>
          <w:rFonts w:hint="cs"/>
          <w:rtl/>
        </w:rPr>
        <w:t xml:space="preserve"> גורם לממשות שלא </w:t>
      </w:r>
      <w:r>
        <w:rPr>
          <w:rFonts w:hint="cs"/>
          <w:rtl/>
        </w:rPr>
        <w:t>ת</w:t>
      </w:r>
      <w:r w:rsidRPr="00D47CE7">
        <w:rPr>
          <w:rFonts w:hint="cs"/>
          <w:rtl/>
        </w:rPr>
        <w:t xml:space="preserve">תבטל, </w:t>
      </w:r>
      <w:r>
        <w:rPr>
          <w:rFonts w:hint="cs"/>
          <w:rtl/>
        </w:rPr>
        <w:t>דכיון ש</w:t>
      </w:r>
      <w:r w:rsidRPr="00D47CE7">
        <w:rPr>
          <w:rFonts w:hint="cs"/>
          <w:rtl/>
        </w:rPr>
        <w:t>גוף האיסור מצד עצמו הוא עדיין אסור, והטעם מורגש</w:t>
      </w:r>
      <w:r>
        <w:rPr>
          <w:rFonts w:hint="cs"/>
          <w:rtl/>
        </w:rPr>
        <w:t xml:space="preserve"> בהיתר</w:t>
      </w:r>
      <w:r w:rsidRPr="00D47CE7">
        <w:rPr>
          <w:rFonts w:hint="cs"/>
          <w:rtl/>
        </w:rPr>
        <w:t xml:space="preserve">, </w:t>
      </w:r>
      <w:r>
        <w:rPr>
          <w:rFonts w:hint="cs"/>
          <w:rtl/>
        </w:rPr>
        <w:t xml:space="preserve">ממילא הוא </w:t>
      </w:r>
      <w:r w:rsidRPr="00D47CE7">
        <w:rPr>
          <w:rFonts w:hint="cs"/>
          <w:rtl/>
        </w:rPr>
        <w:t xml:space="preserve">גורם לגוף האיסור שיהיה ניכר, ואף שהטעם </w:t>
      </w:r>
      <w:r>
        <w:rPr>
          <w:rFonts w:hint="cs"/>
          <w:rtl/>
        </w:rPr>
        <w:t xml:space="preserve">הפגום </w:t>
      </w:r>
      <w:r w:rsidRPr="00D47CE7">
        <w:rPr>
          <w:rFonts w:hint="cs"/>
          <w:rtl/>
        </w:rPr>
        <w:t>אינו אסור, מ"מ האיסור עצמו ניכר</w:t>
      </w:r>
      <w:r>
        <w:rPr>
          <w:rFonts w:hint="cs"/>
          <w:rtl/>
        </w:rPr>
        <w:t xml:space="preserve">, ולכן הוצרך </w:t>
      </w:r>
      <w:r w:rsidRPr="008248C5">
        <w:rPr>
          <w:rStyle w:val="af8"/>
          <w:rFonts w:hint="cs"/>
          <w:rtl/>
        </w:rPr>
        <w:t>הר"ן</w:t>
      </w:r>
      <w:r>
        <w:rPr>
          <w:rFonts w:hint="cs"/>
          <w:rtl/>
        </w:rPr>
        <w:t xml:space="preserve"> לבאר דההיתר בנותן טעם לפגם אינו מדין רוב, אלא דכיון שאינו נהנה מהטעם, הטעם עצמו אינו אסור.</w:t>
      </w:r>
    </w:p>
    <w:p w:rsidR="006C2032" w:rsidRPr="00345540" w:rsidRDefault="006C2032" w:rsidP="006C2032">
      <w:pPr>
        <w:pStyle w:val="a2"/>
      </w:pPr>
      <w:bookmarkStart w:id="11360" w:name="_Toc20315427"/>
      <w:bookmarkStart w:id="11361" w:name="_Toc20315824"/>
      <w:r>
        <w:rPr>
          <w:rFonts w:hint="cs"/>
          <w:rtl/>
        </w:rPr>
        <w:t>קושית היד יהודה דהא כתב הר"ן דבאיסור מאוס מהני ביטול ברוב אף שהטעם ניכר</w:t>
      </w:r>
      <w:bookmarkEnd w:id="11360"/>
      <w:bookmarkEnd w:id="11361"/>
    </w:p>
    <w:p w:rsidR="006C2032" w:rsidRDefault="006C2032" w:rsidP="009F44AF">
      <w:pPr>
        <w:pStyle w:val="a"/>
        <w:rPr>
          <w:rtl/>
        </w:rPr>
      </w:pPr>
      <w:r>
        <w:rPr>
          <w:rFonts w:hint="cs"/>
          <w:rtl/>
        </w:rPr>
        <w:t>אך הקשה</w:t>
      </w:r>
      <w:r w:rsidRPr="00BD60CA">
        <w:rPr>
          <w:rtl/>
        </w:rPr>
        <w:t xml:space="preserve"> </w:t>
      </w:r>
      <w:r w:rsidRPr="00B37D61">
        <w:rPr>
          <w:rStyle w:val="af8"/>
          <w:rFonts w:hint="cs"/>
          <w:rtl/>
        </w:rPr>
        <w:t>היד יהודה</w:t>
      </w:r>
      <w:r w:rsidRPr="00B37D61">
        <w:rPr>
          <w:rFonts w:hint="cs"/>
          <w:rtl/>
        </w:rPr>
        <w:t xml:space="preserve"> </w:t>
      </w:r>
      <w:r>
        <w:rPr>
          <w:rFonts w:hint="cs"/>
          <w:rtl/>
        </w:rPr>
        <w:t xml:space="preserve">דהא כתב </w:t>
      </w:r>
      <w:r w:rsidRPr="00FE2EE8">
        <w:rPr>
          <w:rStyle w:val="af8"/>
          <w:rFonts w:hint="cs"/>
          <w:rtl/>
        </w:rPr>
        <w:t>הר"ן</w:t>
      </w:r>
      <w:r>
        <w:rPr>
          <w:rFonts w:hint="cs"/>
          <w:rtl/>
        </w:rPr>
        <w:t xml:space="preserve"> </w:t>
      </w:r>
      <w:r w:rsidRPr="00FE2EE8">
        <w:rPr>
          <w:rStyle w:val="af6"/>
          <w:rFonts w:eastAsia="Guttman Hodes" w:hint="cs"/>
          <w:rtl/>
        </w:rPr>
        <w:t xml:space="preserve">(עי' אות </w:t>
      </w:r>
      <w:r w:rsidRPr="00FE2EE8">
        <w:rPr>
          <w:rStyle w:val="af6"/>
          <w:rFonts w:eastAsia="Guttman Hodes"/>
          <w:rtl/>
        </w:rPr>
        <w:fldChar w:fldCharType="begin"/>
      </w:r>
      <w:r w:rsidRPr="00FE2EE8">
        <w:rPr>
          <w:rStyle w:val="af6"/>
          <w:rFonts w:eastAsia="Guttman Hodes"/>
          <w:rtl/>
        </w:rPr>
        <w:instrText xml:space="preserve"> </w:instrText>
      </w:r>
      <w:r w:rsidRPr="00FE2EE8">
        <w:rPr>
          <w:rStyle w:val="af6"/>
          <w:rFonts w:eastAsia="Guttman Hodes" w:hint="cs"/>
        </w:rPr>
        <w:instrText>REF</w:instrText>
      </w:r>
      <w:r w:rsidRPr="00FE2EE8">
        <w:rPr>
          <w:rStyle w:val="af6"/>
          <w:rFonts w:eastAsia="Guttman Hodes" w:hint="cs"/>
          <w:rtl/>
        </w:rPr>
        <w:instrText xml:space="preserve"> _</w:instrText>
      </w:r>
      <w:r w:rsidRPr="00FE2EE8">
        <w:rPr>
          <w:rStyle w:val="af6"/>
          <w:rFonts w:eastAsia="Guttman Hodes" w:hint="cs"/>
        </w:rPr>
        <w:instrText>Ref20293927 \r \h</w:instrText>
      </w:r>
      <w:r w:rsidRPr="00FE2EE8">
        <w:rPr>
          <w:rStyle w:val="af6"/>
          <w:rFonts w:eastAsia="Guttman Hodes"/>
          <w:rtl/>
        </w:rPr>
        <w:instrText xml:space="preserve"> </w:instrText>
      </w:r>
      <w:r w:rsidRPr="00FE2EE8">
        <w:rPr>
          <w:rStyle w:val="af6"/>
          <w:rFonts w:eastAsia="Guttman Hodes"/>
          <w:rtl/>
        </w:rPr>
      </w:r>
      <w:r w:rsidRPr="00FE2EE8">
        <w:rPr>
          <w:rStyle w:val="af6"/>
          <w:rFonts w:eastAsia="Guttman Hodes"/>
          <w:rtl/>
        </w:rPr>
        <w:fldChar w:fldCharType="separate"/>
      </w:r>
      <w:r w:rsidR="004D1C5B">
        <w:rPr>
          <w:rStyle w:val="af6"/>
          <w:rFonts w:eastAsia="Guttman Hodes"/>
          <w:cs/>
        </w:rPr>
        <w:t>‎</w:t>
      </w:r>
      <w:r w:rsidR="004D1C5B">
        <w:rPr>
          <w:rStyle w:val="af6"/>
          <w:rFonts w:eastAsia="Guttman Hodes"/>
          <w:rtl/>
        </w:rPr>
        <w:t>כד)</w:t>
      </w:r>
      <w:r w:rsidRPr="00FE2EE8">
        <w:rPr>
          <w:rStyle w:val="af6"/>
          <w:rFonts w:eastAsia="Guttman Hodes"/>
          <w:rtl/>
        </w:rPr>
        <w:fldChar w:fldCharType="end"/>
      </w:r>
      <w:r>
        <w:rPr>
          <w:rFonts w:hint="cs"/>
          <w:rtl/>
        </w:rPr>
        <w:t xml:space="preserve"> דבאיסור מאוס</w:t>
      </w:r>
      <w:r w:rsidRPr="006266B7">
        <w:rPr>
          <w:rFonts w:hint="cs"/>
          <w:rtl/>
        </w:rPr>
        <w:t xml:space="preserve"> </w:t>
      </w:r>
      <w:r>
        <w:rPr>
          <w:rFonts w:hint="cs"/>
          <w:rtl/>
        </w:rPr>
        <w:t xml:space="preserve">הוא חידוש שאסרתו תורה, ואין לך בו אלא חידושו, ורק גופו אוסר, אבל פליטתו אינה אוסרת, דדוקא דבר שמשביח פליטתו אוסרת, והוסיף </w:t>
      </w:r>
      <w:r w:rsidRPr="00FE2EE8">
        <w:rPr>
          <w:rStyle w:val="af8"/>
          <w:rFonts w:hint="cs"/>
          <w:rtl/>
        </w:rPr>
        <w:t>הר"ן</w:t>
      </w:r>
      <w:r>
        <w:rPr>
          <w:rFonts w:hint="cs"/>
          <w:rtl/>
        </w:rPr>
        <w:t xml:space="preserve"> </w:t>
      </w:r>
      <w:r w:rsidRPr="00FE2EE8">
        <w:rPr>
          <w:rStyle w:val="af6"/>
          <w:rFonts w:eastAsia="Guttman Hodes" w:hint="cs"/>
          <w:rtl/>
        </w:rPr>
        <w:t xml:space="preserve">(עי' אות </w:t>
      </w:r>
      <w:r w:rsidRPr="00FE2EE8">
        <w:rPr>
          <w:rStyle w:val="af6"/>
          <w:rFonts w:eastAsia="Guttman Hodes"/>
          <w:rtl/>
        </w:rPr>
        <w:fldChar w:fldCharType="begin"/>
      </w:r>
      <w:r w:rsidRPr="00FE2EE8">
        <w:rPr>
          <w:rStyle w:val="af6"/>
          <w:rFonts w:eastAsia="Guttman Hodes"/>
          <w:rtl/>
        </w:rPr>
        <w:instrText xml:space="preserve"> </w:instrText>
      </w:r>
      <w:r w:rsidRPr="00FE2EE8">
        <w:rPr>
          <w:rStyle w:val="af6"/>
          <w:rFonts w:eastAsia="Guttman Hodes" w:hint="cs"/>
        </w:rPr>
        <w:instrText>REF</w:instrText>
      </w:r>
      <w:r w:rsidRPr="00FE2EE8">
        <w:rPr>
          <w:rStyle w:val="af6"/>
          <w:rFonts w:eastAsia="Guttman Hodes" w:hint="cs"/>
          <w:rtl/>
        </w:rPr>
        <w:instrText xml:space="preserve"> _</w:instrText>
      </w:r>
      <w:r w:rsidRPr="00FE2EE8">
        <w:rPr>
          <w:rStyle w:val="af6"/>
          <w:rFonts w:eastAsia="Guttman Hodes" w:hint="cs"/>
        </w:rPr>
        <w:instrText>Ref20266754 \r \h</w:instrText>
      </w:r>
      <w:r w:rsidRPr="00FE2EE8">
        <w:rPr>
          <w:rStyle w:val="af6"/>
          <w:rFonts w:eastAsia="Guttman Hodes"/>
          <w:rtl/>
        </w:rPr>
        <w:instrText xml:space="preserve"> </w:instrText>
      </w:r>
      <w:r w:rsidRPr="00FE2EE8">
        <w:rPr>
          <w:rStyle w:val="af6"/>
          <w:rFonts w:eastAsia="Guttman Hodes"/>
          <w:rtl/>
        </w:rPr>
      </w:r>
      <w:r w:rsidRPr="00FE2EE8">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FE2EE8">
        <w:rPr>
          <w:rStyle w:val="af6"/>
          <w:rFonts w:eastAsia="Guttman Hodes"/>
          <w:rtl/>
        </w:rPr>
        <w:fldChar w:fldCharType="end"/>
      </w:r>
      <w:r>
        <w:rPr>
          <w:rFonts w:hint="cs"/>
          <w:rtl/>
        </w:rPr>
        <w:t xml:space="preserve"> דאף כשממשו של האיסור נימוח בהיתר מותר, כיון דמדאו' הוא בטל ברוב, ואינו נהנה מהאיסור, וכתב </w:t>
      </w:r>
      <w:r w:rsidRPr="00FE2EE8">
        <w:rPr>
          <w:rStyle w:val="af8"/>
          <w:rFonts w:hint="cs"/>
          <w:rtl/>
        </w:rPr>
        <w:t>היד יהודה</w:t>
      </w:r>
      <w:r>
        <w:rPr>
          <w:rFonts w:hint="cs"/>
          <w:rtl/>
        </w:rPr>
        <w:t xml:space="preserve"> דמבואר מדברי </w:t>
      </w:r>
      <w:r w:rsidRPr="00FE2EE8">
        <w:rPr>
          <w:rStyle w:val="af8"/>
          <w:rFonts w:hint="cs"/>
          <w:rtl/>
        </w:rPr>
        <w:t>הר"ן</w:t>
      </w:r>
      <w:r>
        <w:rPr>
          <w:rFonts w:hint="cs"/>
          <w:rtl/>
        </w:rPr>
        <w:t xml:space="preserve"> דבאיסור שמאוס מעיקרו, מהני ביטול ברוב, אעפ"י דבכל נותן טעם לפגם, ס"ל </w:t>
      </w:r>
      <w:r w:rsidRPr="00FE2EE8">
        <w:rPr>
          <w:rStyle w:val="af8"/>
          <w:rFonts w:hint="cs"/>
          <w:rtl/>
        </w:rPr>
        <w:t>להר"ן</w:t>
      </w:r>
      <w:r>
        <w:rPr>
          <w:rFonts w:hint="cs"/>
          <w:rtl/>
        </w:rPr>
        <w:t xml:space="preserve"> דהטעם הפגום גורם לממשות האיסור שלא תתבטל.</w:t>
      </w:r>
    </w:p>
    <w:p w:rsidR="006C2032" w:rsidRPr="00BC63C9" w:rsidRDefault="006C2032" w:rsidP="006C2032">
      <w:pPr>
        <w:pStyle w:val="a2"/>
        <w:rPr>
          <w:rtl/>
        </w:rPr>
      </w:pPr>
      <w:bookmarkStart w:id="11362" w:name="_Toc20315428"/>
      <w:bookmarkStart w:id="11363" w:name="_Toc20315825"/>
      <w:r>
        <w:rPr>
          <w:rFonts w:hint="cs"/>
          <w:rtl/>
        </w:rPr>
        <w:t>תירוץ היד יהודה בר"ן דבשאר איסורים שהם אוכל ע"י הטעם ניכר האיסור והוא טעמו וממשו</w:t>
      </w:r>
      <w:bookmarkEnd w:id="11362"/>
      <w:bookmarkEnd w:id="11363"/>
    </w:p>
    <w:p w:rsidR="006C2032" w:rsidRPr="00FE2EE8" w:rsidRDefault="006C2032" w:rsidP="009F44AF">
      <w:pPr>
        <w:pStyle w:val="a"/>
        <w:rPr>
          <w:rStyle w:val="afa"/>
          <w:rtl/>
        </w:rPr>
      </w:pPr>
      <w:r>
        <w:rPr>
          <w:rFonts w:hint="cs"/>
          <w:rtl/>
        </w:rPr>
        <w:t xml:space="preserve">ותירץ </w:t>
      </w:r>
      <w:r w:rsidRPr="00FE2EE8">
        <w:rPr>
          <w:rStyle w:val="af8"/>
          <w:rFonts w:hint="cs"/>
          <w:rtl/>
        </w:rPr>
        <w:t>היד יהודה</w:t>
      </w:r>
      <w:r>
        <w:rPr>
          <w:rFonts w:hint="cs"/>
          <w:rtl/>
        </w:rPr>
        <w:t xml:space="preserve"> דרק בשאר איסורים, דהם ראויים לאכילה, ס"ל </w:t>
      </w:r>
      <w:r w:rsidRPr="00FE2EE8">
        <w:rPr>
          <w:rStyle w:val="af8"/>
          <w:rFonts w:hint="cs"/>
          <w:rtl/>
        </w:rPr>
        <w:t>להר"ן</w:t>
      </w:r>
      <w:r>
        <w:rPr>
          <w:rFonts w:hint="cs"/>
          <w:rtl/>
        </w:rPr>
        <w:t xml:space="preserve"> דע"י הטעם הפגום ניכר גוף האיסור ואינו מתבטל ברוב, והוא טעמו וממשו דאסור מדאו'. </w:t>
      </w:r>
      <w:r w:rsidRPr="00FE2EE8">
        <w:rPr>
          <w:rStyle w:val="afa"/>
          <w:rFonts w:hint="cs"/>
          <w:rtl/>
        </w:rPr>
        <w:t>[אף למ"ד דטעם כעיקר דרבנן].</w:t>
      </w:r>
    </w:p>
    <w:p w:rsidR="006C2032" w:rsidRPr="004551D9" w:rsidRDefault="006C2032" w:rsidP="006C2032">
      <w:pPr>
        <w:pStyle w:val="a2"/>
        <w:rPr>
          <w:rtl/>
        </w:rPr>
      </w:pPr>
      <w:bookmarkStart w:id="11364" w:name="_Toc20315429"/>
      <w:bookmarkStart w:id="11365" w:name="_Toc20315826"/>
      <w:r>
        <w:rPr>
          <w:rFonts w:hint="cs"/>
          <w:rtl/>
        </w:rPr>
        <w:t>ביאור היד יהודה בר"ן דבמאוס מעיקרו שאין בו טעמו וממשו אף בנימוח מהני ביטול ברוב</w:t>
      </w:r>
      <w:bookmarkEnd w:id="11364"/>
      <w:bookmarkEnd w:id="11365"/>
    </w:p>
    <w:p w:rsidR="006C2032" w:rsidRDefault="006C2032" w:rsidP="009F44AF">
      <w:pPr>
        <w:pStyle w:val="a"/>
      </w:pPr>
      <w:r>
        <w:rPr>
          <w:rFonts w:hint="cs"/>
          <w:rtl/>
        </w:rPr>
        <w:t xml:space="preserve">אבל באיסור שמאוס מעיקרו שאינו אוכל, כתב </w:t>
      </w:r>
      <w:r w:rsidRPr="00FE2EE8">
        <w:rPr>
          <w:rStyle w:val="af8"/>
          <w:rFonts w:hint="cs"/>
          <w:rtl/>
        </w:rPr>
        <w:t>היד יהודה</w:t>
      </w:r>
      <w:r>
        <w:rPr>
          <w:rFonts w:hint="cs"/>
          <w:rtl/>
        </w:rPr>
        <w:t xml:space="preserve"> דס"ל </w:t>
      </w:r>
      <w:r w:rsidRPr="00FE2EE8">
        <w:rPr>
          <w:rStyle w:val="af8"/>
          <w:rFonts w:hint="cs"/>
          <w:rtl/>
        </w:rPr>
        <w:t>להר"ן</w:t>
      </w:r>
      <w:r>
        <w:rPr>
          <w:rFonts w:hint="cs"/>
          <w:rtl/>
        </w:rPr>
        <w:t xml:space="preserve"> דלא נאמר בו דין טעמו וממשו כלל, והא דאסרתו תורה אף שאינו אוכל הוא חידוש, ואין לך בו אלא חידושו, דהוא גופו אסור, אך הוא נחשב כעץ שאינו נותן טעם כלל, ולכן לא שייך בו איסור בטעמו וממשו, ואף כשגופו נימוח בהיתר הוא מתבטל ברוב, ולכן אינו נהנה מהאיסור.</w:t>
      </w:r>
    </w:p>
    <w:p w:rsidR="006C2032" w:rsidRPr="00FB48C7" w:rsidRDefault="006C2032" w:rsidP="006C2032">
      <w:pPr>
        <w:pStyle w:val="1"/>
        <w:rPr>
          <w:rtl/>
        </w:rPr>
      </w:pPr>
      <w:bookmarkStart w:id="11366" w:name="_Toc20310968"/>
      <w:bookmarkStart w:id="11367" w:name="_Toc20311140"/>
      <w:bookmarkStart w:id="11368" w:name="_Toc20315409"/>
      <w:bookmarkStart w:id="11369" w:name="_Toc20315827"/>
      <w:bookmarkStart w:id="11370" w:name="_Toc20310986"/>
      <w:bookmarkStart w:id="11371" w:name="_Toc20311158"/>
      <w:bookmarkStart w:id="11372" w:name="_Toc20315430"/>
      <w:r>
        <w:rPr>
          <w:rFonts w:hint="cs"/>
          <w:rtl/>
        </w:rPr>
        <w:t>דברי החזו"א דמוכח בר"ן דבכל נטל"פ צריך רוב היתר</w:t>
      </w:r>
      <w:bookmarkEnd w:id="11366"/>
      <w:bookmarkEnd w:id="11367"/>
      <w:bookmarkEnd w:id="11368"/>
      <w:bookmarkEnd w:id="11369"/>
    </w:p>
    <w:p w:rsidR="006C2032" w:rsidRPr="00A87F57" w:rsidRDefault="006C2032" w:rsidP="006C2032">
      <w:pPr>
        <w:pStyle w:val="a2"/>
      </w:pPr>
      <w:bookmarkStart w:id="11373" w:name="_Toc20310969"/>
      <w:bookmarkStart w:id="11374" w:name="_Toc20311141"/>
      <w:bookmarkStart w:id="11375" w:name="_Toc20315410"/>
      <w:bookmarkStart w:id="11376" w:name="_Toc20315828"/>
      <w:r>
        <w:rPr>
          <w:rFonts w:hint="cs"/>
          <w:rtl/>
        </w:rPr>
        <w:t>קושית החזו"א על הר"ן אמאי צריך רוב היתר באיסור מאוס הא אינו נהנה מהטעם הפגום</w:t>
      </w:r>
      <w:bookmarkEnd w:id="11373"/>
      <w:bookmarkEnd w:id="11374"/>
      <w:bookmarkEnd w:id="11375"/>
      <w:bookmarkEnd w:id="11376"/>
    </w:p>
    <w:p w:rsidR="006C2032" w:rsidRDefault="006C2032" w:rsidP="009F44AF">
      <w:pPr>
        <w:pStyle w:val="a"/>
      </w:pPr>
      <w:r>
        <w:rPr>
          <w:rFonts w:hint="cs"/>
          <w:rtl/>
        </w:rPr>
        <w:lastRenderedPageBreak/>
        <w:t>במ"ש</w:t>
      </w:r>
      <w:r w:rsidRPr="00A42C56">
        <w:rPr>
          <w:rFonts w:hint="cs"/>
          <w:rtl/>
        </w:rPr>
        <w:t xml:space="preserve"> </w:t>
      </w:r>
      <w:r w:rsidRPr="00A42C56">
        <w:rPr>
          <w:rStyle w:val="af8"/>
          <w:rFonts w:hint="cs"/>
          <w:rtl/>
        </w:rPr>
        <w:t>הר"ן על הרי"ף</w:t>
      </w:r>
      <w:r w:rsidRPr="00A42C56">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Ref20266754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Pr>
          <w:rStyle w:val="af6"/>
          <w:rFonts w:eastAsia="Guttman Hodes"/>
          <w:rtl/>
        </w:rPr>
        <w:fldChar w:fldCharType="end"/>
      </w:r>
      <w:r>
        <w:rPr>
          <w:rStyle w:val="af6"/>
          <w:rFonts w:eastAsia="Guttman Hodes" w:hint="cs"/>
          <w:rtl/>
        </w:rPr>
        <w:t xml:space="preserve"> </w:t>
      </w:r>
      <w:r w:rsidRPr="00A42C56">
        <w:rPr>
          <w:rFonts w:hint="cs"/>
          <w:rtl/>
        </w:rPr>
        <w:t xml:space="preserve">דבאיסור שמאוס מעיקרו, ההיתר בנותן טעם לפגם, הוא רק במקום שיש רוב היתר והאיסור התבטל ברוב, </w:t>
      </w:r>
      <w:r w:rsidRPr="00A42C56">
        <w:rPr>
          <w:rStyle w:val="afa"/>
          <w:rFonts w:hint="cs"/>
          <w:rtl/>
        </w:rPr>
        <w:t>[בנימוח גוף האיסור],</w:t>
      </w:r>
      <w:r w:rsidRPr="00A42C56">
        <w:rPr>
          <w:rFonts w:hint="cs"/>
          <w:rtl/>
        </w:rPr>
        <w:t xml:space="preserve"> הקשה </w:t>
      </w:r>
      <w:r w:rsidRPr="00A42C56">
        <w:rPr>
          <w:rStyle w:val="af8"/>
          <w:rFonts w:hint="cs"/>
          <w:rtl/>
        </w:rPr>
        <w:t>החזו"א</w:t>
      </w:r>
      <w:r>
        <w:rPr>
          <w:rStyle w:val="af8"/>
          <w:rFonts w:hint="cs"/>
          <w:rtl/>
        </w:rPr>
        <w:t xml:space="preserve"> </w:t>
      </w:r>
      <w:r w:rsidRPr="00A42C56">
        <w:rPr>
          <w:rStyle w:val="af6"/>
          <w:rFonts w:eastAsia="Guttman Hodes" w:hint="cs"/>
          <w:rtl/>
        </w:rPr>
        <w:t>(סי' ל' סק"ב ד"ה ובאיסור)</w:t>
      </w:r>
      <w:r w:rsidRPr="00A42C56">
        <w:rPr>
          <w:rFonts w:hint="cs"/>
          <w:rtl/>
        </w:rPr>
        <w:t xml:space="preserve"> דהרי אף בטעם שמאוס מעיקרו נותן טעם לפגם מותר, וכיון דס"ל </w:t>
      </w:r>
      <w:r w:rsidRPr="00A42C56">
        <w:rPr>
          <w:rStyle w:val="af8"/>
          <w:rFonts w:hint="cs"/>
          <w:rtl/>
        </w:rPr>
        <w:t>להר"ן</w:t>
      </w:r>
      <w:r w:rsidRPr="00CC2BCB">
        <w:rPr>
          <w:rStyle w:val="af8"/>
          <w:rFonts w:hint="cs"/>
          <w:rtl/>
        </w:rPr>
        <w:t xml:space="preserve">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Pr>
          <w:rStyle w:val="af6"/>
          <w:rFonts w:eastAsia="Guttman Hodes" w:hint="cs"/>
          <w:rtl/>
        </w:rPr>
        <w:t>מ"ו</w:t>
      </w:r>
      <w:r w:rsidRPr="00C17C41">
        <w:rPr>
          <w:rStyle w:val="af6"/>
          <w:rFonts w:eastAsia="Guttman Hodes" w:hint="cs"/>
          <w:rtl/>
        </w:rPr>
        <w:t>)</w:t>
      </w:r>
      <w:r>
        <w:rPr>
          <w:rFonts w:hint="cs"/>
          <w:rtl/>
        </w:rPr>
        <w:t xml:space="preserve"> </w:t>
      </w:r>
      <w:r w:rsidRPr="00A42C56">
        <w:rPr>
          <w:rFonts w:hint="cs"/>
          <w:rtl/>
        </w:rPr>
        <w:t>דבדין טעם כעיקר לא חידשה תורה דטעם פגום נחשב כטעם, א"כ אף במקום שיש רוב איסור היה צריך להיות מותר באיסור מאוס, כיון דלא ניחא ליה באיסור ודעתו היא רק על ההיתר</w:t>
      </w:r>
      <w:r>
        <w:rPr>
          <w:rFonts w:hint="cs"/>
          <w:rtl/>
        </w:rPr>
        <w:t>.</w:t>
      </w:r>
    </w:p>
    <w:p w:rsidR="006C2032" w:rsidRPr="0080210A" w:rsidRDefault="006C2032" w:rsidP="006C2032">
      <w:pPr>
        <w:pStyle w:val="a2"/>
        <w:rPr>
          <w:rtl/>
        </w:rPr>
      </w:pPr>
      <w:bookmarkStart w:id="11377" w:name="_Toc19995914"/>
      <w:bookmarkStart w:id="11378" w:name="_Toc20168413"/>
      <w:bookmarkStart w:id="11379" w:name="_Toc20170519"/>
      <w:bookmarkStart w:id="11380" w:name="_Toc20226720"/>
      <w:bookmarkStart w:id="11381" w:name="_Toc20256924"/>
      <w:bookmarkStart w:id="11382" w:name="_Toc20267182"/>
      <w:bookmarkStart w:id="11383" w:name="_Toc20310970"/>
      <w:bookmarkStart w:id="11384" w:name="_Toc20311142"/>
      <w:bookmarkStart w:id="11385" w:name="_Toc20315411"/>
      <w:bookmarkStart w:id="11386" w:name="_Toc20315829"/>
      <w:r w:rsidRPr="0080210A">
        <w:rPr>
          <w:rFonts w:hint="cs"/>
          <w:rtl/>
        </w:rPr>
        <w:t>דברי החזו"א דמדברי הר"ן באיסור מאוס מוכח ד</w:t>
      </w:r>
      <w:r>
        <w:rPr>
          <w:rFonts w:hint="cs"/>
          <w:rtl/>
        </w:rPr>
        <w:t xml:space="preserve">כל </w:t>
      </w:r>
      <w:r w:rsidRPr="0080210A">
        <w:rPr>
          <w:rFonts w:hint="cs"/>
          <w:rtl/>
        </w:rPr>
        <w:t>נטל"פ מותר רק ברוב היתר אף דאינו נהנה</w:t>
      </w:r>
      <w:bookmarkEnd w:id="11377"/>
      <w:bookmarkEnd w:id="11378"/>
      <w:bookmarkEnd w:id="11379"/>
      <w:bookmarkEnd w:id="11380"/>
      <w:bookmarkEnd w:id="11381"/>
      <w:bookmarkEnd w:id="11382"/>
      <w:bookmarkEnd w:id="11383"/>
      <w:bookmarkEnd w:id="11384"/>
      <w:bookmarkEnd w:id="11385"/>
      <w:bookmarkEnd w:id="11386"/>
    </w:p>
    <w:p w:rsidR="007D485E" w:rsidRDefault="006C2032" w:rsidP="009F44AF">
      <w:pPr>
        <w:pStyle w:val="a"/>
        <w:rPr>
          <w:rtl/>
        </w:rPr>
      </w:pPr>
      <w:r>
        <w:rPr>
          <w:rFonts w:hint="cs"/>
          <w:rtl/>
        </w:rPr>
        <w:t>ותירץ</w:t>
      </w:r>
      <w:r w:rsidRPr="00A42C56">
        <w:rPr>
          <w:rFonts w:hint="cs"/>
          <w:rtl/>
        </w:rPr>
        <w:t xml:space="preserve"> </w:t>
      </w:r>
      <w:r w:rsidRPr="00A42C56">
        <w:rPr>
          <w:rStyle w:val="af8"/>
          <w:rFonts w:hint="cs"/>
          <w:rtl/>
        </w:rPr>
        <w:t xml:space="preserve">החזו"א </w:t>
      </w:r>
      <w:r w:rsidRPr="00A42C56">
        <w:rPr>
          <w:rFonts w:hint="cs"/>
          <w:rtl/>
        </w:rPr>
        <w:t xml:space="preserve">דמוכח </w:t>
      </w:r>
      <w:r w:rsidRPr="00D47CE7">
        <w:rPr>
          <w:rFonts w:hint="cs"/>
          <w:rtl/>
        </w:rPr>
        <w:t>דא</w:t>
      </w:r>
      <w:r>
        <w:rPr>
          <w:rFonts w:hint="cs"/>
          <w:rtl/>
        </w:rPr>
        <w:t xml:space="preserve">ף דס"ל </w:t>
      </w:r>
      <w:r>
        <w:rPr>
          <w:rStyle w:val="af8"/>
          <w:rFonts w:hint="cs"/>
          <w:rtl/>
        </w:rPr>
        <w:t>ל</w:t>
      </w:r>
      <w:r w:rsidRPr="00D47CE7">
        <w:rPr>
          <w:rStyle w:val="af8"/>
          <w:rFonts w:hint="cs"/>
          <w:rtl/>
        </w:rPr>
        <w:t>הר"</w:t>
      </w:r>
      <w:r>
        <w:rPr>
          <w:rStyle w:val="af8"/>
          <w:rFonts w:hint="cs"/>
          <w:rtl/>
        </w:rPr>
        <w:t>ן</w:t>
      </w:r>
      <w:r w:rsidRPr="002D709B">
        <w:rPr>
          <w:rStyle w:val="af8"/>
          <w:rFonts w:hint="cs"/>
          <w:rtl/>
        </w:rPr>
        <w:t xml:space="preserve"> </w:t>
      </w:r>
      <w:r w:rsidRPr="00D47CE7">
        <w:rPr>
          <w:rFonts w:hint="cs"/>
          <w:rtl/>
        </w:rPr>
        <w:t xml:space="preserve">דההיתר </w:t>
      </w:r>
      <w:r>
        <w:rPr>
          <w:rFonts w:hint="cs"/>
          <w:rtl/>
        </w:rPr>
        <w:t xml:space="preserve">בכל </w:t>
      </w:r>
      <w:r w:rsidRPr="00D47CE7">
        <w:rPr>
          <w:rFonts w:hint="cs"/>
          <w:rtl/>
        </w:rPr>
        <w:t>נותן טעם לפגם הוא כיון שאינו נהנה מהאיסור אלא מצטער במה שהתערב, מ"מ</w:t>
      </w:r>
      <w:r w:rsidRPr="00A87F57">
        <w:rPr>
          <w:rFonts w:hint="cs"/>
          <w:rtl/>
        </w:rPr>
        <w:t xml:space="preserve"> </w:t>
      </w:r>
      <w:r w:rsidRPr="00D47CE7">
        <w:rPr>
          <w:rFonts w:hint="cs"/>
          <w:rtl/>
        </w:rPr>
        <w:t xml:space="preserve">מודה </w:t>
      </w:r>
      <w:r w:rsidRPr="00D47CE7">
        <w:rPr>
          <w:rStyle w:val="af8"/>
          <w:rFonts w:hint="cs"/>
          <w:rtl/>
        </w:rPr>
        <w:t>הר"ן</w:t>
      </w:r>
      <w:r w:rsidRPr="00D47CE7">
        <w:rPr>
          <w:rFonts w:hint="cs"/>
          <w:rtl/>
        </w:rPr>
        <w:t xml:space="preserve"> ד</w:t>
      </w:r>
      <w:r>
        <w:rPr>
          <w:rFonts w:hint="cs"/>
          <w:rtl/>
        </w:rPr>
        <w:t xml:space="preserve">בכל נותן טעם לפגם ההיתר הוא רק </w:t>
      </w:r>
      <w:r w:rsidRPr="00D47CE7">
        <w:rPr>
          <w:rFonts w:hint="cs"/>
          <w:rtl/>
        </w:rPr>
        <w:t xml:space="preserve">במקום שיש </w:t>
      </w:r>
      <w:r>
        <w:rPr>
          <w:rFonts w:hint="cs"/>
          <w:rtl/>
        </w:rPr>
        <w:t xml:space="preserve">רוב היתר, אבל אם יש </w:t>
      </w:r>
      <w:r w:rsidRPr="00D47CE7">
        <w:rPr>
          <w:rFonts w:hint="cs"/>
          <w:rtl/>
        </w:rPr>
        <w:t>רוב באיסור כנגד ההיתר</w:t>
      </w:r>
      <w:r>
        <w:rPr>
          <w:rFonts w:hint="cs"/>
          <w:rtl/>
        </w:rPr>
        <w:t>,</w:t>
      </w:r>
      <w:r w:rsidRPr="00D47CE7">
        <w:rPr>
          <w:rFonts w:hint="cs"/>
          <w:rtl/>
        </w:rPr>
        <w:t xml:space="preserve"> אף שניחא לו יותר בהיתר המועט מאשר באיסור המרובה שפוגם את ההיתר, מ"מ הוא אסור</w:t>
      </w:r>
      <w:r w:rsidRPr="00A42C56">
        <w:rPr>
          <w:rFonts w:hint="cs"/>
          <w:rtl/>
        </w:rPr>
        <w:t xml:space="preserve"> ודלא כדברי </w:t>
      </w:r>
      <w:r w:rsidRPr="00D47CE7">
        <w:rPr>
          <w:rStyle w:val="af8"/>
          <w:rFonts w:hint="cs"/>
          <w:rtl/>
        </w:rPr>
        <w:t>הגרעק"א</w:t>
      </w:r>
      <w:r>
        <w:rPr>
          <w:rStyle w:val="af8"/>
          <w:rFonts w:hint="cs"/>
          <w:rtl/>
        </w:rPr>
        <w:t xml:space="preserve"> בחי'</w:t>
      </w:r>
      <w:r w:rsidRPr="00D47CE7">
        <w:rPr>
          <w:rStyle w:val="af8"/>
          <w:rFonts w:hint="cs"/>
          <w:rtl/>
        </w:rPr>
        <w:t xml:space="preserve"> </w:t>
      </w:r>
      <w:r w:rsidRPr="00D47CE7">
        <w:rPr>
          <w:rStyle w:val="af6"/>
          <w:rFonts w:eastAsia="Guttman Hodes" w:hint="cs"/>
          <w:rtl/>
        </w:rPr>
        <w:t>(</w:t>
      </w:r>
      <w:r>
        <w:rPr>
          <w:rStyle w:val="af6"/>
          <w:rFonts w:eastAsia="Guttman Hodes" w:hint="cs"/>
          <w:rtl/>
        </w:rPr>
        <w:t>סז: ד"ה ועפ"י</w:t>
      </w:r>
      <w:r w:rsidRPr="00D47CE7">
        <w:rPr>
          <w:rStyle w:val="af6"/>
          <w:rFonts w:eastAsia="Guttman Hodes" w:hint="cs"/>
          <w:rtl/>
        </w:rPr>
        <w:t>)</w:t>
      </w:r>
      <w:r w:rsidRPr="00D47CE7">
        <w:rPr>
          <w:rStyle w:val="af8"/>
          <w:rFonts w:hint="cs"/>
          <w:rtl/>
        </w:rPr>
        <w:t xml:space="preserve"> ובתשו' </w:t>
      </w:r>
      <w:r w:rsidRPr="00D47CE7">
        <w:rPr>
          <w:rStyle w:val="af6"/>
          <w:rFonts w:eastAsia="Guttman Hodes" w:hint="cs"/>
          <w:rtl/>
        </w:rPr>
        <w:t>(מהדו"ק סי' קס"ו ד"ה ועפ"י</w:t>
      </w:r>
      <w:r>
        <w:rPr>
          <w:rStyle w:val="af6"/>
          <w:rFonts w:eastAsia="Guttman Hodes" w:hint="cs"/>
          <w:rtl/>
        </w:rPr>
        <w:t>, הובא לעיל סימן י"ב אות ס')</w:t>
      </w:r>
      <w:r w:rsidRPr="00D47CE7">
        <w:rPr>
          <w:rStyle w:val="af6"/>
          <w:rFonts w:eastAsia="Guttman Hodes" w:hint="cs"/>
          <w:rtl/>
        </w:rPr>
        <w:t xml:space="preserve"> </w:t>
      </w:r>
      <w:r w:rsidRPr="00A42C56">
        <w:rPr>
          <w:rFonts w:hint="cs"/>
          <w:rtl/>
        </w:rPr>
        <w:t xml:space="preserve">דכתב </w:t>
      </w:r>
      <w:r w:rsidRPr="00A42C56">
        <w:rPr>
          <w:rStyle w:val="af8"/>
          <w:rFonts w:hint="cs"/>
          <w:rtl/>
        </w:rPr>
        <w:t>דלהר"ן</w:t>
      </w:r>
      <w:r w:rsidRPr="00A42C56">
        <w:rPr>
          <w:rFonts w:hint="cs"/>
          <w:rtl/>
        </w:rPr>
        <w:t xml:space="preserve"> </w:t>
      </w:r>
      <w:r>
        <w:rPr>
          <w:rFonts w:hint="cs"/>
          <w:rtl/>
        </w:rPr>
        <w:t xml:space="preserve">דבשאר האיסורים </w:t>
      </w:r>
      <w:r w:rsidRPr="00A42C56">
        <w:rPr>
          <w:rFonts w:hint="cs"/>
          <w:rtl/>
        </w:rPr>
        <w:t>נותן טעם לפגם מותר אף כשאין רוב היתר.</w:t>
      </w:r>
    </w:p>
    <w:p w:rsidR="006C2032" w:rsidRDefault="006C2032" w:rsidP="006C2032">
      <w:pPr>
        <w:pStyle w:val="1"/>
        <w:rPr>
          <w:rtl/>
        </w:rPr>
      </w:pPr>
      <w:bookmarkStart w:id="11387" w:name="_Toc20315830"/>
      <w:r>
        <w:rPr>
          <w:rFonts w:hint="cs"/>
          <w:rtl/>
        </w:rPr>
        <w:t>ביאור האבנ"ז</w:t>
      </w:r>
      <w:bookmarkEnd w:id="11254"/>
      <w:r>
        <w:rPr>
          <w:rFonts w:hint="cs"/>
          <w:rtl/>
        </w:rPr>
        <w:t xml:space="preserve"> דמאוס מעיקרו בתערובת אינו רוצה באכילתו</w:t>
      </w:r>
      <w:bookmarkEnd w:id="11370"/>
      <w:bookmarkEnd w:id="11371"/>
      <w:bookmarkEnd w:id="11372"/>
      <w:bookmarkEnd w:id="11387"/>
    </w:p>
    <w:p w:rsidR="006C2032" w:rsidRPr="00D06DA2" w:rsidRDefault="006C2032" w:rsidP="006C2032">
      <w:pPr>
        <w:pStyle w:val="a2"/>
      </w:pPr>
      <w:bookmarkStart w:id="11388" w:name="_Toc20267135"/>
      <w:bookmarkStart w:id="11389" w:name="_Toc20310987"/>
      <w:bookmarkStart w:id="11390" w:name="_Toc20311159"/>
      <w:bookmarkStart w:id="11391" w:name="_Toc20315431"/>
      <w:bookmarkStart w:id="11392" w:name="_Toc20315831"/>
      <w:bookmarkStart w:id="11393" w:name="_Toc20256895"/>
      <w:r>
        <w:rPr>
          <w:rFonts w:hint="cs"/>
          <w:rtl/>
        </w:rPr>
        <w:t>ביאור האבנ"ז דחיוב אכילת שרצים המאוסים הוא כיון דאחשביה באכילתם</w:t>
      </w:r>
      <w:bookmarkEnd w:id="11388"/>
      <w:bookmarkEnd w:id="11389"/>
      <w:bookmarkEnd w:id="11390"/>
      <w:bookmarkEnd w:id="11391"/>
      <w:bookmarkEnd w:id="11392"/>
    </w:p>
    <w:p w:rsidR="006C2032" w:rsidRDefault="006C2032" w:rsidP="009F44AF">
      <w:pPr>
        <w:pStyle w:val="a"/>
        <w:rPr>
          <w:rtl/>
        </w:rPr>
      </w:pPr>
      <w:bookmarkStart w:id="11394" w:name="_Ref20338939"/>
      <w:r>
        <w:rPr>
          <w:rFonts w:hint="cs"/>
          <w:rtl/>
        </w:rPr>
        <w:t xml:space="preserve">כתב </w:t>
      </w:r>
      <w:r w:rsidRPr="000E4C89">
        <w:rPr>
          <w:rStyle w:val="af8"/>
          <w:rFonts w:hint="cs"/>
          <w:rtl/>
        </w:rPr>
        <w:t>האבנ"ז</w:t>
      </w:r>
      <w:r>
        <w:rPr>
          <w:rFonts w:hint="cs"/>
          <w:rtl/>
        </w:rPr>
        <w:t xml:space="preserve"> </w:t>
      </w:r>
      <w:r w:rsidRPr="000E4C89">
        <w:rPr>
          <w:rStyle w:val="af6"/>
          <w:rFonts w:eastAsia="Guttman Hodes" w:hint="cs"/>
          <w:rtl/>
        </w:rPr>
        <w:t>(יו"ד סי' פ"ב ב')</w:t>
      </w:r>
      <w:r>
        <w:rPr>
          <w:rFonts w:hint="cs"/>
          <w:rtl/>
        </w:rPr>
        <w:t xml:space="preserve"> דהא דחייבה תורה על אכילת שרצים אף שהם מאוסים, היינו כיון דאחשביה באכילתם.</w:t>
      </w:r>
      <w:bookmarkEnd w:id="11394"/>
    </w:p>
    <w:p w:rsidR="006C2032" w:rsidRPr="001D369F" w:rsidRDefault="006C2032" w:rsidP="006C2032">
      <w:pPr>
        <w:pStyle w:val="a2"/>
      </w:pPr>
      <w:bookmarkStart w:id="11395" w:name="_Toc20267136"/>
      <w:bookmarkStart w:id="11396" w:name="_Toc20310988"/>
      <w:bookmarkStart w:id="11397" w:name="_Toc20311160"/>
      <w:bookmarkStart w:id="11398" w:name="_Toc20315432"/>
      <w:bookmarkStart w:id="11399" w:name="_Toc20315832"/>
      <w:r>
        <w:rPr>
          <w:rFonts w:hint="cs"/>
          <w:rtl/>
        </w:rPr>
        <w:t>ביאור האבנ"ז דאיסור מאוס בתערובת אינו רוצה בו ואינו מחשיבו ולכן נטל"פ מותר בו</w:t>
      </w:r>
      <w:bookmarkEnd w:id="11395"/>
      <w:bookmarkEnd w:id="11396"/>
      <w:bookmarkEnd w:id="11397"/>
      <w:bookmarkEnd w:id="11398"/>
      <w:bookmarkEnd w:id="11399"/>
    </w:p>
    <w:p w:rsidR="006C2032" w:rsidRDefault="006C2032" w:rsidP="009F44AF">
      <w:pPr>
        <w:pStyle w:val="a"/>
        <w:rPr>
          <w:rtl/>
        </w:rPr>
      </w:pPr>
      <w:r>
        <w:rPr>
          <w:rFonts w:hint="cs"/>
          <w:rtl/>
        </w:rPr>
        <w:t xml:space="preserve">אך כתב </w:t>
      </w:r>
      <w:r w:rsidRPr="000E4C89">
        <w:rPr>
          <w:rStyle w:val="af8"/>
          <w:rFonts w:hint="cs"/>
          <w:rtl/>
        </w:rPr>
        <w:t>האבנ"ז</w:t>
      </w:r>
      <w:r>
        <w:rPr>
          <w:rFonts w:hint="cs"/>
          <w:rtl/>
        </w:rPr>
        <w:t xml:space="preserve"> דבמקום שטעם השרץ התערב בתערובת ופגם אותה, דודאי שאין דעתו לאכול את הטעם הפגום של השרץ, א"כ אינו מחשיבו כלל, דרצונו לאכול את ההיתר, ובעל כרחו אוכל בו גם את טעם השרץ שהתערב בו.</w:t>
      </w:r>
    </w:p>
    <w:p w:rsidR="006C2032" w:rsidRDefault="006C2032" w:rsidP="006C2032">
      <w:pPr>
        <w:pStyle w:val="a2"/>
        <w:rPr>
          <w:rtl/>
        </w:rPr>
      </w:pPr>
      <w:bookmarkStart w:id="11400" w:name="_Toc20267137"/>
      <w:bookmarkStart w:id="11401" w:name="_Toc20310989"/>
      <w:bookmarkStart w:id="11402" w:name="_Toc20311161"/>
      <w:bookmarkStart w:id="11403" w:name="_Toc20315433"/>
      <w:bookmarkStart w:id="11404" w:name="_Toc20315833"/>
      <w:r>
        <w:rPr>
          <w:rFonts w:hint="cs"/>
          <w:rtl/>
        </w:rPr>
        <w:t>קושית האבנ"ז דאף כשאין רוב היתר אינו רוצה באיסור המאוס ואמאי אין בו היתר נטל"פ</w:t>
      </w:r>
      <w:bookmarkEnd w:id="11400"/>
      <w:bookmarkEnd w:id="11401"/>
      <w:bookmarkEnd w:id="11402"/>
      <w:bookmarkEnd w:id="11403"/>
      <w:bookmarkEnd w:id="11404"/>
    </w:p>
    <w:p w:rsidR="006C2032" w:rsidRDefault="006C2032" w:rsidP="009F44AF">
      <w:pPr>
        <w:pStyle w:val="a"/>
        <w:rPr>
          <w:rtl/>
        </w:rPr>
      </w:pPr>
      <w:r>
        <w:rPr>
          <w:rFonts w:hint="cs"/>
          <w:rtl/>
        </w:rPr>
        <w:t xml:space="preserve">אך הקשה </w:t>
      </w:r>
      <w:r w:rsidRPr="00583F55">
        <w:rPr>
          <w:rStyle w:val="af8"/>
          <w:rFonts w:hint="cs"/>
          <w:rtl/>
        </w:rPr>
        <w:t>האבנ"ז</w:t>
      </w:r>
      <w:r>
        <w:rPr>
          <w:rFonts w:hint="cs"/>
          <w:rtl/>
        </w:rPr>
        <w:t xml:space="preserve"> </w:t>
      </w:r>
      <w:r w:rsidRPr="000E4C89">
        <w:rPr>
          <w:rStyle w:val="af6"/>
          <w:rFonts w:eastAsia="Guttman Hodes" w:hint="cs"/>
          <w:rtl/>
        </w:rPr>
        <w:t xml:space="preserve">(יו"ד סי' פ"ב </w:t>
      </w:r>
      <w:r>
        <w:rPr>
          <w:rStyle w:val="af6"/>
          <w:rFonts w:eastAsia="Guttman Hodes" w:hint="cs"/>
          <w:rtl/>
        </w:rPr>
        <w:t>ה</w:t>
      </w:r>
      <w:r w:rsidRPr="000E4C89">
        <w:rPr>
          <w:rStyle w:val="af6"/>
          <w:rFonts w:eastAsia="Guttman Hodes" w:hint="cs"/>
          <w:rtl/>
        </w:rPr>
        <w:t>')</w:t>
      </w:r>
      <w:r>
        <w:rPr>
          <w:rFonts w:hint="cs"/>
          <w:rtl/>
        </w:rPr>
        <w:t xml:space="preserve"> דאי טעם האיסור בשרצים הוא כיון דאחשביה באכילתם, ולכן הם מותרים בתערובת, דאנו רוצה באכילתם, א"כ אמאי כתב </w:t>
      </w:r>
      <w:r w:rsidRPr="004E1636">
        <w:rPr>
          <w:rStyle w:val="af8"/>
          <w:rFonts w:hint="cs"/>
          <w:rtl/>
        </w:rPr>
        <w:t>הר"ן</w:t>
      </w:r>
      <w:r>
        <w:rPr>
          <w:rFonts w:hint="cs"/>
          <w:rtl/>
        </w:rPr>
        <w:t xml:space="preserve"> </w:t>
      </w:r>
      <w:r w:rsidRPr="00827104">
        <w:rPr>
          <w:rStyle w:val="af6"/>
          <w:rFonts w:eastAsia="Guttman Hodes" w:hint="cs"/>
          <w:rtl/>
        </w:rPr>
        <w:t xml:space="preserve">(עי' אות </w:t>
      </w:r>
      <w:r w:rsidRPr="00827104">
        <w:rPr>
          <w:rStyle w:val="af6"/>
          <w:rFonts w:eastAsia="Guttman Hodes"/>
          <w:rtl/>
        </w:rPr>
        <w:fldChar w:fldCharType="begin"/>
      </w:r>
      <w:r w:rsidRPr="00827104">
        <w:rPr>
          <w:rStyle w:val="af6"/>
          <w:rFonts w:eastAsia="Guttman Hodes"/>
          <w:rtl/>
        </w:rPr>
        <w:instrText xml:space="preserve"> </w:instrText>
      </w:r>
      <w:r w:rsidRPr="00827104">
        <w:rPr>
          <w:rStyle w:val="af6"/>
          <w:rFonts w:eastAsia="Guttman Hodes" w:hint="cs"/>
        </w:rPr>
        <w:instrText>REF</w:instrText>
      </w:r>
      <w:r w:rsidRPr="00827104">
        <w:rPr>
          <w:rStyle w:val="af6"/>
          <w:rFonts w:eastAsia="Guttman Hodes" w:hint="cs"/>
          <w:rtl/>
        </w:rPr>
        <w:instrText xml:space="preserve"> _</w:instrText>
      </w:r>
      <w:r w:rsidRPr="00827104">
        <w:rPr>
          <w:rStyle w:val="af6"/>
          <w:rFonts w:eastAsia="Guttman Hodes" w:hint="cs"/>
        </w:rPr>
        <w:instrText>Ref20266754 \r \h</w:instrText>
      </w:r>
      <w:r w:rsidRPr="00827104">
        <w:rPr>
          <w:rStyle w:val="af6"/>
          <w:rFonts w:eastAsia="Guttman Hodes"/>
          <w:rtl/>
        </w:rPr>
        <w:instrText xml:space="preserve"> </w:instrText>
      </w:r>
      <w:r w:rsidRPr="00827104">
        <w:rPr>
          <w:rStyle w:val="af6"/>
          <w:rFonts w:eastAsia="Guttman Hodes"/>
          <w:rtl/>
        </w:rPr>
      </w:r>
      <w:r w:rsidRPr="00827104">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827104">
        <w:rPr>
          <w:rStyle w:val="af6"/>
          <w:rFonts w:eastAsia="Guttman Hodes"/>
          <w:rtl/>
        </w:rPr>
        <w:fldChar w:fldCharType="end"/>
      </w:r>
      <w:r>
        <w:rPr>
          <w:rFonts w:hint="cs"/>
          <w:rtl/>
        </w:rPr>
        <w:t xml:space="preserve"> דאם אין רוב בהיתר כנגד האיסור המאוס, אין בו היתר נותן טעם לפגם, הא אף שאין רוב היתר, מ"מ אינו רוצה באכילת השרצים.</w:t>
      </w:r>
    </w:p>
    <w:p w:rsidR="006C2032" w:rsidRDefault="006C2032" w:rsidP="006C2032">
      <w:pPr>
        <w:pStyle w:val="a2"/>
        <w:rPr>
          <w:rtl/>
        </w:rPr>
      </w:pPr>
      <w:bookmarkStart w:id="11405" w:name="_Toc20267138"/>
      <w:bookmarkStart w:id="11406" w:name="_Toc20310990"/>
      <w:bookmarkStart w:id="11407" w:name="_Toc20311162"/>
      <w:bookmarkStart w:id="11408" w:name="_Toc20315434"/>
      <w:bookmarkStart w:id="11409" w:name="_Toc20315834"/>
      <w:r>
        <w:rPr>
          <w:rFonts w:hint="cs"/>
          <w:rtl/>
        </w:rPr>
        <w:t>ביאור האבנ"ז דכשאין רוב היתר והתערובת ראויה לגר חשיבי השרצים כמשובחים ואסורים</w:t>
      </w:r>
      <w:bookmarkEnd w:id="11405"/>
      <w:bookmarkEnd w:id="11406"/>
      <w:bookmarkEnd w:id="11407"/>
      <w:bookmarkEnd w:id="11408"/>
      <w:bookmarkEnd w:id="11409"/>
    </w:p>
    <w:p w:rsidR="006C2032" w:rsidRPr="00EB7C68" w:rsidRDefault="006C2032" w:rsidP="009F44AF">
      <w:pPr>
        <w:pStyle w:val="a"/>
        <w:rPr>
          <w:rtl/>
        </w:rPr>
      </w:pPr>
      <w:r>
        <w:rPr>
          <w:rFonts w:hint="cs"/>
          <w:rtl/>
        </w:rPr>
        <w:t xml:space="preserve">ותירץ </w:t>
      </w:r>
      <w:r w:rsidRPr="004E1636">
        <w:rPr>
          <w:rStyle w:val="af8"/>
          <w:rFonts w:hint="cs"/>
          <w:rtl/>
        </w:rPr>
        <w:t>האבנ"ז</w:t>
      </w:r>
      <w:r>
        <w:rPr>
          <w:rFonts w:hint="cs"/>
          <w:rtl/>
        </w:rPr>
        <w:t xml:space="preserve"> דאף שהשרצים פגומים מצד עצמם, מ"מ כיון שהתערובת כולה היא ראויה לאכילת גר, א"כ חשיבי אף השרצים כמשובחים, וכמו דכתב </w:t>
      </w:r>
      <w:r w:rsidRPr="005A7DB4">
        <w:rPr>
          <w:rStyle w:val="af8"/>
          <w:rFonts w:hint="cs"/>
          <w:rtl/>
        </w:rPr>
        <w:t>הרמב"ם</w:t>
      </w:r>
      <w:r>
        <w:rPr>
          <w:rFonts w:hint="cs"/>
          <w:rtl/>
        </w:rPr>
        <w:t xml:space="preserve"> </w:t>
      </w:r>
      <w:r w:rsidRPr="00395E6F">
        <w:rPr>
          <w:rStyle w:val="af6"/>
          <w:rFonts w:eastAsia="Guttman Hodes" w:hint="cs"/>
          <w:rtl/>
        </w:rPr>
        <w:t>(מאכ"א פי"ד הי"א</w:t>
      </w:r>
      <w:r>
        <w:rPr>
          <w:rStyle w:val="af6"/>
          <w:rFonts w:eastAsia="Guttman Hodes" w:hint="cs"/>
          <w:rtl/>
        </w:rPr>
        <w:t xml:space="preserve">, הובא לעיל סימן י"ג אות נ"ג) </w:t>
      </w:r>
      <w:r>
        <w:rPr>
          <w:rFonts w:hint="cs"/>
          <w:rtl/>
        </w:rPr>
        <w:t xml:space="preserve">דאם עירב באיסור דבר מר, אין חייב עליו דהוא שלא כדרך אכילה, ה"ה להיפך, שאם עירב באיסור המאוס תערובת היתר, ונעשה האיסור ראוי לאכילה עי"ז, דהוא נאסר, ודוקא במקום שיש רוב בהיתר כנגדו, אינו אוסר, דהאיסור עצמו התבטל ברוב, וטעמו אינו אוסר, כיון שהטעם עצמו אינו ראוי לגר. </w:t>
      </w:r>
      <w:r w:rsidRPr="004E1636">
        <w:rPr>
          <w:rStyle w:val="afa"/>
          <w:rFonts w:hint="cs"/>
          <w:rtl/>
        </w:rPr>
        <w:t xml:space="preserve">[וכתב </w:t>
      </w:r>
      <w:r w:rsidRPr="004E1636">
        <w:rPr>
          <w:rStyle w:val="affa"/>
          <w:rFonts w:hint="cs"/>
          <w:rtl/>
        </w:rPr>
        <w:t>האבנ"ז דהר"ן</w:t>
      </w:r>
      <w:r w:rsidRPr="004E1636">
        <w:rPr>
          <w:rStyle w:val="afa"/>
          <w:rFonts w:hint="cs"/>
          <w:rtl/>
        </w:rPr>
        <w:t xml:space="preserve"> מודה </w:t>
      </w:r>
      <w:r w:rsidRPr="004E1636">
        <w:rPr>
          <w:rStyle w:val="affa"/>
          <w:rFonts w:hint="cs"/>
          <w:rtl/>
        </w:rPr>
        <w:t>לרשב"א</w:t>
      </w:r>
      <w:r w:rsidRPr="004E1636">
        <w:rPr>
          <w:rStyle w:val="afa"/>
          <w:rFonts w:hint="cs"/>
          <w:rtl/>
        </w:rPr>
        <w:t xml:space="preserve"> דכל שהטעם עצמו אינו ראוי לגר, אינו אוסר].</w:t>
      </w:r>
    </w:p>
    <w:p w:rsidR="006C2032" w:rsidRDefault="006C2032" w:rsidP="00E669F8">
      <w:pPr>
        <w:pStyle w:val="afd"/>
        <w:rPr>
          <w:rtl/>
        </w:rPr>
      </w:pPr>
      <w:bookmarkStart w:id="11410" w:name="_Toc20267139"/>
      <w:bookmarkStart w:id="11411" w:name="_Toc20310995"/>
      <w:bookmarkStart w:id="11412" w:name="_Toc20311167"/>
      <w:bookmarkStart w:id="11413" w:name="_Toc20315439"/>
      <w:bookmarkStart w:id="11414" w:name="_Toc20315835"/>
      <w:r>
        <w:rPr>
          <w:rFonts w:hint="cs"/>
          <w:rtl/>
        </w:rPr>
        <w:t>פלוגתת הרא"ה</w:t>
      </w:r>
      <w:bookmarkEnd w:id="11255"/>
      <w:r>
        <w:rPr>
          <w:rFonts w:hint="cs"/>
          <w:rtl/>
        </w:rPr>
        <w:t xml:space="preserve"> והרשב"א באיסור מאוס</w:t>
      </w:r>
      <w:bookmarkEnd w:id="11393"/>
      <w:bookmarkEnd w:id="11410"/>
      <w:bookmarkEnd w:id="11411"/>
      <w:bookmarkEnd w:id="11412"/>
      <w:bookmarkEnd w:id="11413"/>
      <w:bookmarkEnd w:id="11414"/>
    </w:p>
    <w:p w:rsidR="006C2032" w:rsidRDefault="006C2032" w:rsidP="006C2032">
      <w:pPr>
        <w:pStyle w:val="1"/>
        <w:rPr>
          <w:rtl/>
        </w:rPr>
      </w:pPr>
      <w:bookmarkStart w:id="11415" w:name="_Toc20267140"/>
      <w:bookmarkStart w:id="11416" w:name="_Toc20310996"/>
      <w:bookmarkStart w:id="11417" w:name="_Toc20311168"/>
      <w:bookmarkStart w:id="11418" w:name="_Toc20315440"/>
      <w:bookmarkStart w:id="11419" w:name="_Toc20315836"/>
      <w:bookmarkStart w:id="11420" w:name="_Toc20256897"/>
      <w:r>
        <w:rPr>
          <w:rFonts w:hint="cs"/>
          <w:rtl/>
        </w:rPr>
        <w:t>דברי הרא"ה דרק עכבר המפורש בתורה אסור אף שהוא פגום</w:t>
      </w:r>
      <w:bookmarkEnd w:id="11415"/>
      <w:bookmarkEnd w:id="11416"/>
      <w:bookmarkEnd w:id="11417"/>
      <w:bookmarkEnd w:id="11418"/>
      <w:bookmarkEnd w:id="11419"/>
      <w:r>
        <w:rPr>
          <w:rFonts w:hint="cs"/>
          <w:rtl/>
        </w:rPr>
        <w:t xml:space="preserve"> </w:t>
      </w:r>
    </w:p>
    <w:p w:rsidR="006C2032" w:rsidRPr="00720E1C" w:rsidRDefault="006C2032" w:rsidP="006C2032">
      <w:pPr>
        <w:pStyle w:val="a2"/>
        <w:rPr>
          <w:rtl/>
        </w:rPr>
      </w:pPr>
      <w:bookmarkStart w:id="11421" w:name="_Toc20267141"/>
      <w:bookmarkStart w:id="11422" w:name="_Toc20310997"/>
      <w:bookmarkStart w:id="11423" w:name="_Toc20311169"/>
      <w:bookmarkStart w:id="11424" w:name="_Toc20315441"/>
      <w:bookmarkStart w:id="11425" w:name="_Toc20315837"/>
      <w:r>
        <w:rPr>
          <w:rFonts w:hint="cs"/>
          <w:rtl/>
        </w:rPr>
        <w:t>דברי הרא"ה דרבא ורב ששת נחלקו רק בעכבר המפורש בקרא לאיסור אעפ"י שהוא מאוס</w:t>
      </w:r>
      <w:bookmarkEnd w:id="11420"/>
      <w:bookmarkEnd w:id="11421"/>
      <w:bookmarkEnd w:id="11422"/>
      <w:bookmarkEnd w:id="11423"/>
      <w:bookmarkEnd w:id="11424"/>
      <w:bookmarkEnd w:id="11425"/>
    </w:p>
    <w:p w:rsidR="006C2032" w:rsidRDefault="006C2032" w:rsidP="009F44AF">
      <w:pPr>
        <w:pStyle w:val="a"/>
        <w:rPr>
          <w:rtl/>
        </w:rPr>
      </w:pPr>
      <w:r>
        <w:rPr>
          <w:rFonts w:hint="cs"/>
          <w:rtl/>
        </w:rPr>
        <w:t xml:space="preserve">במ"ש </w:t>
      </w:r>
      <w:r w:rsidRPr="00C17C41">
        <w:rPr>
          <w:rStyle w:val="af8"/>
          <w:rFonts w:hint="cs"/>
          <w:rtl/>
        </w:rPr>
        <w:t>הרשב"א בתוה"ב</w:t>
      </w:r>
      <w:r>
        <w:rPr>
          <w:rFonts w:hint="cs"/>
          <w:rtl/>
        </w:rPr>
        <w:t xml:space="preserve"> </w:t>
      </w:r>
      <w:r w:rsidRPr="003A164F">
        <w:rPr>
          <w:rStyle w:val="af6"/>
          <w:rFonts w:eastAsia="Guttman Hodes" w:hint="cs"/>
          <w:rtl/>
        </w:rPr>
        <w:t xml:space="preserve">(עי' אות </w:t>
      </w:r>
      <w:r w:rsidRPr="003A164F">
        <w:rPr>
          <w:rStyle w:val="af6"/>
          <w:rFonts w:eastAsia="Guttman Hodes"/>
          <w:rtl/>
        </w:rPr>
        <w:fldChar w:fldCharType="begin"/>
      </w:r>
      <w:r w:rsidRPr="003A164F">
        <w:rPr>
          <w:rStyle w:val="af6"/>
          <w:rFonts w:eastAsia="Guttman Hodes"/>
          <w:rtl/>
        </w:rPr>
        <w:instrText xml:space="preserve"> </w:instrText>
      </w:r>
      <w:r w:rsidRPr="003A164F">
        <w:rPr>
          <w:rStyle w:val="af6"/>
          <w:rFonts w:eastAsia="Guttman Hodes" w:hint="cs"/>
        </w:rPr>
        <w:instrText>REF</w:instrText>
      </w:r>
      <w:r w:rsidRPr="003A164F">
        <w:rPr>
          <w:rStyle w:val="af6"/>
          <w:rFonts w:eastAsia="Guttman Hodes" w:hint="cs"/>
          <w:rtl/>
        </w:rPr>
        <w:instrText xml:space="preserve"> _</w:instrText>
      </w:r>
      <w:r w:rsidRPr="003A164F">
        <w:rPr>
          <w:rStyle w:val="af6"/>
          <w:rFonts w:eastAsia="Guttman Hodes" w:hint="cs"/>
        </w:rPr>
        <w:instrText>Ref20300977 \r \h</w:instrText>
      </w:r>
      <w:r w:rsidRPr="003A164F">
        <w:rPr>
          <w:rStyle w:val="af6"/>
          <w:rFonts w:eastAsia="Guttman Hodes"/>
          <w:rtl/>
        </w:rPr>
        <w:instrText xml:space="preserve"> </w:instrText>
      </w:r>
      <w:r w:rsidRPr="003A164F">
        <w:rPr>
          <w:rStyle w:val="af6"/>
          <w:rFonts w:eastAsia="Guttman Hodes"/>
          <w:rtl/>
        </w:rPr>
      </w:r>
      <w:r w:rsidRPr="003A164F">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3A164F">
        <w:rPr>
          <w:rStyle w:val="af6"/>
          <w:rFonts w:eastAsia="Guttman Hodes"/>
          <w:rtl/>
        </w:rPr>
        <w:fldChar w:fldCharType="end"/>
      </w:r>
      <w:r>
        <w:rPr>
          <w:rFonts w:hint="cs"/>
          <w:rtl/>
        </w:rPr>
        <w:t xml:space="preserve"> דאיסור מאוס מעיקרו כעכברים וזבובין ויתושין, אף שהוא חידוש דאסרתו תורה, מ"מ יש בו היתר נותן טעם </w:t>
      </w:r>
      <w:r w:rsidRPr="003400F3">
        <w:rPr>
          <w:rFonts w:hint="cs"/>
          <w:rtl/>
        </w:rPr>
        <w:t>לפגם, הקשה</w:t>
      </w:r>
      <w:r w:rsidRPr="00C17C41">
        <w:rPr>
          <w:rStyle w:val="af8"/>
          <w:rFonts w:hint="cs"/>
          <w:rtl/>
        </w:rPr>
        <w:t xml:space="preserve"> הרא"ה בבד"ה</w:t>
      </w:r>
      <w:r>
        <w:rPr>
          <w:rFonts w:hint="cs"/>
          <w:rtl/>
        </w:rPr>
        <w:t xml:space="preserve"> </w:t>
      </w:r>
      <w:r w:rsidRPr="003400F3">
        <w:rPr>
          <w:rStyle w:val="af6"/>
          <w:rFonts w:eastAsia="Guttman Hodes" w:hint="cs"/>
          <w:rtl/>
        </w:rPr>
        <w:t xml:space="preserve">(ב"ד ש"א יט: מדה"ס ד"ה כתב </w:t>
      </w:r>
      <w:r w:rsidRPr="003400F3">
        <w:rPr>
          <w:rStyle w:val="af6"/>
          <w:rFonts w:eastAsia="Guttman Hodes" w:hint="cs"/>
          <w:rtl/>
        </w:rPr>
        <w:t>החכם)</w:t>
      </w:r>
      <w:r>
        <w:rPr>
          <w:rFonts w:hint="cs"/>
          <w:rtl/>
        </w:rPr>
        <w:t xml:space="preserve"> דאפש"ל דכל דברי רב ששת ורבא הם בעכבר בלבד, דמפורש בקרא שהוא אסור אעפ"י שהוא מאוס.</w:t>
      </w:r>
    </w:p>
    <w:p w:rsidR="006C2032" w:rsidRDefault="006C2032" w:rsidP="006C2032">
      <w:pPr>
        <w:pStyle w:val="1"/>
        <w:rPr>
          <w:rtl/>
        </w:rPr>
      </w:pPr>
      <w:bookmarkStart w:id="11426" w:name="_Toc20256896"/>
      <w:bookmarkStart w:id="11427" w:name="_Toc20267142"/>
      <w:bookmarkStart w:id="11428" w:name="_Toc20310998"/>
      <w:bookmarkStart w:id="11429" w:name="_Toc20311170"/>
      <w:bookmarkStart w:id="11430" w:name="_Toc20315442"/>
      <w:bookmarkStart w:id="11431" w:name="_Toc20315838"/>
      <w:bookmarkStart w:id="11432" w:name="_Toc20256898"/>
      <w:r>
        <w:rPr>
          <w:rFonts w:hint="cs"/>
          <w:rtl/>
        </w:rPr>
        <w:t>דברי הרא"ה</w:t>
      </w:r>
      <w:bookmarkEnd w:id="11426"/>
      <w:r>
        <w:rPr>
          <w:rFonts w:hint="cs"/>
          <w:rtl/>
        </w:rPr>
        <w:t xml:space="preserve"> דשאר השרצים שפגומים אינם אסורים</w:t>
      </w:r>
      <w:bookmarkEnd w:id="11427"/>
      <w:bookmarkEnd w:id="11428"/>
      <w:bookmarkEnd w:id="11429"/>
      <w:bookmarkEnd w:id="11430"/>
      <w:bookmarkEnd w:id="11431"/>
    </w:p>
    <w:p w:rsidR="006C2032" w:rsidRPr="00720E1C" w:rsidRDefault="006C2032" w:rsidP="006C2032">
      <w:pPr>
        <w:pStyle w:val="a2"/>
        <w:rPr>
          <w:rtl/>
        </w:rPr>
      </w:pPr>
      <w:bookmarkStart w:id="11433" w:name="_Toc20267143"/>
      <w:bookmarkStart w:id="11434" w:name="_Toc20310999"/>
      <w:bookmarkStart w:id="11435" w:name="_Toc20311171"/>
      <w:bookmarkStart w:id="11436" w:name="_Toc20315443"/>
      <w:bookmarkStart w:id="11437" w:name="_Toc20315839"/>
      <w:r>
        <w:rPr>
          <w:rFonts w:hint="cs"/>
          <w:rtl/>
        </w:rPr>
        <w:t>דברי הרא"ה דשאר שרצים המאוסים אינם אסורים כנבילה שסרוחה מעיקרא דא"צ קרא להתירה</w:t>
      </w:r>
      <w:bookmarkEnd w:id="11432"/>
      <w:bookmarkEnd w:id="11433"/>
      <w:bookmarkEnd w:id="11434"/>
      <w:bookmarkEnd w:id="11435"/>
      <w:bookmarkEnd w:id="11436"/>
      <w:bookmarkEnd w:id="11437"/>
    </w:p>
    <w:p w:rsidR="006C2032" w:rsidRDefault="006C2032" w:rsidP="009F44AF">
      <w:pPr>
        <w:pStyle w:val="a"/>
        <w:rPr>
          <w:rtl/>
        </w:rPr>
      </w:pPr>
      <w:bookmarkStart w:id="11438" w:name="_Ref20260716"/>
      <w:r>
        <w:rPr>
          <w:rFonts w:hint="cs"/>
          <w:rtl/>
        </w:rPr>
        <w:t xml:space="preserve">אבל בשאר האיסורים המאוסים שאינם מפורשים בתורה, כתב </w:t>
      </w:r>
      <w:r w:rsidRPr="00C17C41">
        <w:rPr>
          <w:rStyle w:val="af8"/>
          <w:rFonts w:hint="cs"/>
          <w:rtl/>
        </w:rPr>
        <w:t>הרא"ה בבד"ה</w:t>
      </w:r>
      <w:r>
        <w:rPr>
          <w:rFonts w:hint="cs"/>
          <w:rtl/>
        </w:rPr>
        <w:t xml:space="preserve"> דאפש"ל דאין בהם איסור, והם מותרים בק"ו מנבילה שאינה ראויה לגר, שאעפ"י שהשביחה בתחילה היא מותרת כשנפגמה אח"כ, וכ"ש איסור שמאוס מעיקרו, ועוד דאמרינן בגמ' דסרוחה מעיקרא א"צ קרא, וא"כ ה"ה באיסור שמאוס מעיקרו.</w:t>
      </w:r>
      <w:bookmarkEnd w:id="11438"/>
    </w:p>
    <w:p w:rsidR="006C2032" w:rsidRPr="0070773E" w:rsidRDefault="006C2032" w:rsidP="006C2032">
      <w:pPr>
        <w:pStyle w:val="a2"/>
        <w:rPr>
          <w:rtl/>
        </w:rPr>
      </w:pPr>
      <w:bookmarkStart w:id="11439" w:name="_Toc20256903"/>
      <w:bookmarkStart w:id="11440" w:name="_Toc20267144"/>
      <w:bookmarkStart w:id="11441" w:name="_Toc20311000"/>
      <w:bookmarkStart w:id="11442" w:name="_Toc20311172"/>
      <w:bookmarkStart w:id="11443" w:name="_Toc20315444"/>
      <w:bookmarkStart w:id="11444" w:name="_Toc20315840"/>
      <w:r>
        <w:rPr>
          <w:rFonts w:hint="cs"/>
          <w:rtl/>
        </w:rPr>
        <w:t>דברי הרא"ה דאיסור שרצים בתורה נאמר רק בשרצים שאינם פגומים</w:t>
      </w:r>
      <w:bookmarkEnd w:id="11439"/>
      <w:r>
        <w:rPr>
          <w:rFonts w:hint="cs"/>
          <w:rtl/>
        </w:rPr>
        <w:t xml:space="preserve"> אבל הפגומים לא נאסרו</w:t>
      </w:r>
      <w:bookmarkEnd w:id="11440"/>
      <w:bookmarkEnd w:id="11441"/>
      <w:bookmarkEnd w:id="11442"/>
      <w:bookmarkEnd w:id="11443"/>
      <w:bookmarkEnd w:id="11444"/>
    </w:p>
    <w:p w:rsidR="006C2032" w:rsidRDefault="006C2032" w:rsidP="009F44AF">
      <w:pPr>
        <w:pStyle w:val="a"/>
        <w:rPr>
          <w:rtl/>
        </w:rPr>
      </w:pPr>
      <w:bookmarkStart w:id="11445" w:name="_Ref20216616"/>
      <w:r>
        <w:rPr>
          <w:rFonts w:hint="cs"/>
          <w:rtl/>
        </w:rPr>
        <w:t xml:space="preserve">וביאר </w:t>
      </w:r>
      <w:r w:rsidRPr="009A4B6E">
        <w:rPr>
          <w:rStyle w:val="af8"/>
          <w:rFonts w:hint="cs"/>
          <w:rtl/>
        </w:rPr>
        <w:t>הרא"ה בבד"ה</w:t>
      </w:r>
      <w:r>
        <w:rPr>
          <w:rFonts w:hint="cs"/>
          <w:rtl/>
        </w:rPr>
        <w:t xml:space="preserve"> </w:t>
      </w:r>
      <w:r w:rsidRPr="009A4B6E">
        <w:rPr>
          <w:rStyle w:val="af6"/>
          <w:rFonts w:eastAsia="Guttman Hodes" w:hint="cs"/>
          <w:rtl/>
        </w:rPr>
        <w:t>(ב"ד ש"א כ. מדה"ס</w:t>
      </w:r>
      <w:r>
        <w:rPr>
          <w:rStyle w:val="af6"/>
          <w:rFonts w:eastAsia="Guttman Hodes" w:hint="cs"/>
          <w:rtl/>
        </w:rPr>
        <w:t>)</w:t>
      </w:r>
      <w:r w:rsidRPr="009A4B6E">
        <w:rPr>
          <w:rStyle w:val="af6"/>
          <w:rFonts w:eastAsia="Guttman Hodes" w:hint="cs"/>
          <w:rtl/>
        </w:rPr>
        <w:t xml:space="preserve"> </w:t>
      </w:r>
      <w:r>
        <w:rPr>
          <w:rFonts w:hint="cs"/>
          <w:rtl/>
        </w:rPr>
        <w:t>דהא דאסרה תורה אכילת שרצים, היינו דוקא באותם שאינם פגומים, אבל שרצים שפגומים מעיקרם אין בהם איסור, דלא אסרה תורה את אכילתם כשהם פגומים.</w:t>
      </w:r>
    </w:p>
    <w:p w:rsidR="006C2032" w:rsidRDefault="006C2032" w:rsidP="006C2032">
      <w:pPr>
        <w:pStyle w:val="a2"/>
        <w:rPr>
          <w:rtl/>
        </w:rPr>
      </w:pPr>
      <w:bookmarkStart w:id="11446" w:name="_Toc20256908"/>
      <w:bookmarkStart w:id="11447" w:name="_Toc20267145"/>
      <w:bookmarkStart w:id="11448" w:name="_Toc20311001"/>
      <w:bookmarkStart w:id="11449" w:name="_Toc20311173"/>
      <w:bookmarkStart w:id="11450" w:name="_Toc20315445"/>
      <w:bookmarkStart w:id="11451" w:name="_Toc20315841"/>
      <w:bookmarkStart w:id="11452" w:name="_Toc20256904"/>
      <w:r>
        <w:rPr>
          <w:rFonts w:hint="cs"/>
          <w:rtl/>
        </w:rPr>
        <w:t>דברי הרא"ה דדבר פגום אינו אסור אלא בנמאס מפני שיקוצו</w:t>
      </w:r>
      <w:bookmarkEnd w:id="11446"/>
      <w:bookmarkEnd w:id="11447"/>
      <w:bookmarkEnd w:id="11448"/>
      <w:bookmarkEnd w:id="11449"/>
      <w:bookmarkEnd w:id="11450"/>
      <w:bookmarkEnd w:id="11451"/>
      <w:r>
        <w:rPr>
          <w:rFonts w:hint="cs"/>
          <w:rtl/>
        </w:rPr>
        <w:t xml:space="preserve"> </w:t>
      </w:r>
    </w:p>
    <w:p w:rsidR="006C2032" w:rsidRDefault="006C2032" w:rsidP="009F44AF">
      <w:pPr>
        <w:pStyle w:val="a"/>
        <w:rPr>
          <w:rtl/>
        </w:rPr>
      </w:pPr>
      <w:r>
        <w:rPr>
          <w:rFonts w:hint="cs"/>
          <w:rtl/>
        </w:rPr>
        <w:t xml:space="preserve">והוסיף </w:t>
      </w:r>
      <w:r w:rsidRPr="009A4B6E">
        <w:rPr>
          <w:rStyle w:val="af8"/>
          <w:rFonts w:hint="cs"/>
          <w:rtl/>
        </w:rPr>
        <w:t>הרא"ה בבד"ה</w:t>
      </w:r>
      <w:r>
        <w:rPr>
          <w:rFonts w:hint="cs"/>
          <w:rtl/>
        </w:rPr>
        <w:t xml:space="preserve"> </w:t>
      </w:r>
      <w:r w:rsidRPr="009A4B6E">
        <w:rPr>
          <w:rStyle w:val="af6"/>
          <w:rFonts w:eastAsia="Guttman Hodes" w:hint="cs"/>
          <w:rtl/>
        </w:rPr>
        <w:t>(ב"ד ש"א כ. מדה"ס בסו"ד)</w:t>
      </w:r>
      <w:r>
        <w:rPr>
          <w:rFonts w:hint="cs"/>
          <w:rtl/>
        </w:rPr>
        <w:t xml:space="preserve"> דאין דבר שאסור כשהוא פגום אלא רק היתר שנמאס, דאסור משום שיקוץ הנפש.</w:t>
      </w:r>
    </w:p>
    <w:p w:rsidR="006C2032" w:rsidRPr="00C030C5" w:rsidRDefault="006C2032" w:rsidP="006C2032">
      <w:pPr>
        <w:pStyle w:val="a2"/>
      </w:pPr>
      <w:bookmarkStart w:id="11453" w:name="_Toc20267146"/>
      <w:bookmarkStart w:id="11454" w:name="_Toc20311002"/>
      <w:bookmarkStart w:id="11455" w:name="_Toc20311174"/>
      <w:bookmarkStart w:id="11456" w:name="_Toc20315446"/>
      <w:bookmarkStart w:id="11457" w:name="_Toc20315842"/>
      <w:r>
        <w:rPr>
          <w:rFonts w:hint="cs"/>
          <w:rtl/>
        </w:rPr>
        <w:t>ביאור הרא"ה בגמ' במכות דאיירי בשרצים שאינם מאוסים ולכן לוקה עליהם</w:t>
      </w:r>
      <w:bookmarkEnd w:id="11452"/>
      <w:bookmarkEnd w:id="11453"/>
      <w:bookmarkEnd w:id="11454"/>
      <w:bookmarkEnd w:id="11455"/>
      <w:bookmarkEnd w:id="11456"/>
      <w:bookmarkEnd w:id="11457"/>
    </w:p>
    <w:p w:rsidR="006C2032" w:rsidRDefault="006C2032" w:rsidP="009F44AF">
      <w:pPr>
        <w:pStyle w:val="a"/>
        <w:rPr>
          <w:rtl/>
        </w:rPr>
      </w:pPr>
      <w:r>
        <w:rPr>
          <w:rFonts w:hint="cs"/>
          <w:rtl/>
        </w:rPr>
        <w:t xml:space="preserve">וכתב </w:t>
      </w:r>
      <w:r w:rsidRPr="009A4B6E">
        <w:rPr>
          <w:rStyle w:val="af8"/>
          <w:rFonts w:hint="cs"/>
          <w:rtl/>
        </w:rPr>
        <w:t>הרא"ה בבד"ה</w:t>
      </w:r>
      <w:r>
        <w:rPr>
          <w:rFonts w:hint="cs"/>
          <w:rtl/>
        </w:rPr>
        <w:t xml:space="preserve"> </w:t>
      </w:r>
      <w:r w:rsidRPr="009A4B6E">
        <w:rPr>
          <w:rStyle w:val="af6"/>
          <w:rFonts w:eastAsia="Guttman Hodes" w:hint="cs"/>
          <w:rtl/>
        </w:rPr>
        <w:t>(ב"ד ש"א כ. מדה"ס</w:t>
      </w:r>
      <w:r>
        <w:rPr>
          <w:rStyle w:val="af6"/>
          <w:rFonts w:eastAsia="Guttman Hodes" w:hint="cs"/>
          <w:rtl/>
        </w:rPr>
        <w:t>)</w:t>
      </w:r>
      <w:r w:rsidRPr="009A4B6E">
        <w:rPr>
          <w:rStyle w:val="af6"/>
          <w:rFonts w:eastAsia="Guttman Hodes" w:hint="cs"/>
          <w:rtl/>
        </w:rPr>
        <w:t xml:space="preserve"> </w:t>
      </w:r>
      <w:r>
        <w:rPr>
          <w:rFonts w:hint="cs"/>
          <w:rtl/>
        </w:rPr>
        <w:t xml:space="preserve">דהא דאמרינן בגמ' במכות </w:t>
      </w:r>
      <w:r w:rsidRPr="009A4B6E">
        <w:rPr>
          <w:rStyle w:val="af6"/>
          <w:rFonts w:eastAsia="Guttman Hodes" w:hint="cs"/>
          <w:rtl/>
        </w:rPr>
        <w:t>(טז:)</w:t>
      </w:r>
      <w:r>
        <w:rPr>
          <w:rFonts w:hint="cs"/>
          <w:rtl/>
        </w:rPr>
        <w:t xml:space="preserve"> דהאוכל פוטיתא לוקה ארבעה ובנמלה חמש ובצירעה שש, אין כוונת הגמ' לומר שאכל את האיסורין המאוסים עצמם, אלא דכוונת הגמ' לומר שאם יש איסור שרץ שדומה להם בלאוין ואינו מאוס, לוקה עליו ארבע או חמש או שש.</w:t>
      </w:r>
    </w:p>
    <w:p w:rsidR="006C2032" w:rsidRPr="0059400F" w:rsidRDefault="006C2032" w:rsidP="006C2032">
      <w:pPr>
        <w:pStyle w:val="1"/>
        <w:rPr>
          <w:rtl/>
        </w:rPr>
      </w:pPr>
      <w:bookmarkStart w:id="11458" w:name="_Toc20267147"/>
      <w:bookmarkStart w:id="11459" w:name="_Toc20311003"/>
      <w:bookmarkStart w:id="11460" w:name="_Toc20311175"/>
      <w:bookmarkStart w:id="11461" w:name="_Toc20315447"/>
      <w:bookmarkStart w:id="11462" w:name="_Toc20315843"/>
      <w:r>
        <w:rPr>
          <w:rFonts w:hint="cs"/>
          <w:rtl/>
        </w:rPr>
        <w:t>דברי הרשב"א והריטב"א דכל השרצים המאוסים אסורים</w:t>
      </w:r>
      <w:bookmarkEnd w:id="11458"/>
      <w:bookmarkEnd w:id="11459"/>
      <w:bookmarkEnd w:id="11460"/>
      <w:bookmarkEnd w:id="11461"/>
      <w:bookmarkEnd w:id="11462"/>
    </w:p>
    <w:p w:rsidR="006C2032" w:rsidRPr="005A790C" w:rsidRDefault="006C2032" w:rsidP="006C2032">
      <w:pPr>
        <w:pStyle w:val="a2"/>
        <w:rPr>
          <w:rtl/>
        </w:rPr>
      </w:pPr>
      <w:bookmarkStart w:id="11463" w:name="_Toc20267148"/>
      <w:bookmarkStart w:id="11464" w:name="_Toc20311004"/>
      <w:bookmarkStart w:id="11465" w:name="_Toc20311176"/>
      <w:bookmarkStart w:id="11466" w:name="_Toc20315448"/>
      <w:bookmarkStart w:id="11467" w:name="_Toc20315844"/>
      <w:r>
        <w:rPr>
          <w:rFonts w:hint="cs"/>
          <w:rtl/>
        </w:rPr>
        <w:t>דחיית הרשב"א דא"א לומר דכוונת הגמ' במכות לשרצים שאינם מאוסים</w:t>
      </w:r>
      <w:bookmarkEnd w:id="11463"/>
      <w:bookmarkEnd w:id="11464"/>
      <w:bookmarkEnd w:id="11465"/>
      <w:bookmarkEnd w:id="11466"/>
      <w:bookmarkEnd w:id="11467"/>
    </w:p>
    <w:p w:rsidR="006C2032" w:rsidRDefault="006C2032" w:rsidP="009F44AF">
      <w:pPr>
        <w:pStyle w:val="a"/>
        <w:rPr>
          <w:rtl/>
        </w:rPr>
      </w:pPr>
      <w:r>
        <w:rPr>
          <w:rFonts w:hint="cs"/>
          <w:rtl/>
        </w:rPr>
        <w:t xml:space="preserve">ודחה </w:t>
      </w:r>
      <w:r w:rsidRPr="001B5640">
        <w:rPr>
          <w:rStyle w:val="af8"/>
          <w:rFonts w:hint="cs"/>
          <w:rtl/>
        </w:rPr>
        <w:t>הרשב"א במשה"ב</w:t>
      </w:r>
      <w:r>
        <w:rPr>
          <w:rFonts w:hint="cs"/>
          <w:rtl/>
        </w:rPr>
        <w:t xml:space="preserve"> </w:t>
      </w:r>
      <w:r w:rsidRPr="001B5640">
        <w:rPr>
          <w:rStyle w:val="af6"/>
          <w:rFonts w:eastAsia="Guttman Hodes" w:hint="cs"/>
          <w:rtl/>
        </w:rPr>
        <w:t>(ב"ד ש"א כ. מדה"ס ד"ה אמר הכותב)</w:t>
      </w:r>
      <w:r>
        <w:rPr>
          <w:rFonts w:hint="cs"/>
          <w:rtl/>
        </w:rPr>
        <w:t xml:space="preserve"> דאי כוונת הגמ' במכות לומר את השרצים האלו לסימנא בעלמא, היה לגמ' לפרש, דכוונתה לשרצים שחשובים כמותם.</w:t>
      </w:r>
    </w:p>
    <w:p w:rsidR="006C2032" w:rsidRPr="00286A56" w:rsidRDefault="006C2032" w:rsidP="006C2032">
      <w:pPr>
        <w:pStyle w:val="a2"/>
      </w:pPr>
      <w:bookmarkStart w:id="11468" w:name="_Toc20267149"/>
      <w:bookmarkStart w:id="11469" w:name="_Toc20311005"/>
      <w:bookmarkStart w:id="11470" w:name="_Toc20311177"/>
      <w:bookmarkStart w:id="11471" w:name="_Toc20315449"/>
      <w:bookmarkStart w:id="11472" w:name="_Toc20315845"/>
      <w:r>
        <w:rPr>
          <w:rFonts w:hint="cs"/>
          <w:rtl/>
        </w:rPr>
        <w:t>הוכחות הרשב"א דמצינו בהרבה מקומות בגמ' שיש איסור בשרצים המאוסים</w:t>
      </w:r>
      <w:bookmarkEnd w:id="11468"/>
      <w:bookmarkEnd w:id="11469"/>
      <w:bookmarkEnd w:id="11470"/>
      <w:bookmarkEnd w:id="11471"/>
      <w:bookmarkEnd w:id="11472"/>
    </w:p>
    <w:p w:rsidR="006C2032" w:rsidRDefault="006C2032" w:rsidP="009F44AF">
      <w:pPr>
        <w:pStyle w:val="a"/>
        <w:rPr>
          <w:rtl/>
        </w:rPr>
      </w:pPr>
      <w:r>
        <w:rPr>
          <w:rFonts w:hint="cs"/>
          <w:rtl/>
        </w:rPr>
        <w:t xml:space="preserve">ועוד הקשה </w:t>
      </w:r>
      <w:r w:rsidRPr="001B5640">
        <w:rPr>
          <w:rStyle w:val="af8"/>
          <w:rFonts w:hint="cs"/>
          <w:rtl/>
        </w:rPr>
        <w:t>הרשב"א</w:t>
      </w:r>
      <w:r>
        <w:rPr>
          <w:rFonts w:hint="cs"/>
          <w:rtl/>
        </w:rPr>
        <w:t xml:space="preserve"> </w:t>
      </w:r>
      <w:r w:rsidRPr="001B5640">
        <w:rPr>
          <w:rStyle w:val="af8"/>
          <w:rFonts w:hint="cs"/>
          <w:rtl/>
        </w:rPr>
        <w:t>במשה"ב</w:t>
      </w:r>
      <w:r>
        <w:rPr>
          <w:rFonts w:hint="cs"/>
          <w:rtl/>
        </w:rPr>
        <w:t xml:space="preserve"> דבגמ' בנדה </w:t>
      </w:r>
      <w:r w:rsidRPr="001B5640">
        <w:rPr>
          <w:rStyle w:val="af6"/>
          <w:rFonts w:eastAsia="Guttman Hodes" w:hint="cs"/>
          <w:rtl/>
        </w:rPr>
        <w:t>(נח:)</w:t>
      </w:r>
      <w:r>
        <w:rPr>
          <w:rFonts w:hint="cs"/>
          <w:rtl/>
        </w:rPr>
        <w:t xml:space="preserve"> מבואר דפשפש שהוא מאוס אסור, וכן מבואר בגמ' בחולין </w:t>
      </w:r>
      <w:r w:rsidRPr="001B5640">
        <w:rPr>
          <w:rStyle w:val="af6"/>
          <w:rFonts w:eastAsia="Guttman Hodes" w:hint="cs"/>
          <w:rtl/>
        </w:rPr>
        <w:t>(נח:)</w:t>
      </w:r>
      <w:r>
        <w:rPr>
          <w:rFonts w:hint="cs"/>
          <w:rtl/>
        </w:rPr>
        <w:t xml:space="preserve"> דיש איסור בתולעים, וכן מבואר בגמ' בחולין </w:t>
      </w:r>
      <w:r w:rsidRPr="001B5640">
        <w:rPr>
          <w:rStyle w:val="af6"/>
          <w:rFonts w:eastAsia="Guttman Hodes" w:hint="cs"/>
          <w:rtl/>
        </w:rPr>
        <w:t>(סז.)</w:t>
      </w:r>
      <w:r>
        <w:rPr>
          <w:rFonts w:hint="cs"/>
          <w:rtl/>
        </w:rPr>
        <w:t xml:space="preserve"> שיש איסור ביבחושין, וכן מבואר בגמ' בחולין </w:t>
      </w:r>
      <w:r w:rsidRPr="001B5640">
        <w:rPr>
          <w:rStyle w:val="af6"/>
          <w:rFonts w:eastAsia="Guttman Hodes" w:hint="cs"/>
          <w:rtl/>
        </w:rPr>
        <w:t>(סז:)</w:t>
      </w:r>
      <w:r>
        <w:rPr>
          <w:rFonts w:hint="cs"/>
          <w:rtl/>
        </w:rPr>
        <w:t xml:space="preserve"> דמדכתיב כל השרץ השורץ על הארץ, ילפינן לאסור בתולעים שבעיקרי הגפנים, וכתב </w:t>
      </w:r>
      <w:r w:rsidRPr="001B5640">
        <w:rPr>
          <w:rStyle w:val="af8"/>
          <w:rFonts w:hint="cs"/>
          <w:rtl/>
        </w:rPr>
        <w:t xml:space="preserve">הרשב"א </w:t>
      </w:r>
      <w:r>
        <w:rPr>
          <w:rFonts w:hint="cs"/>
          <w:rtl/>
        </w:rPr>
        <w:t xml:space="preserve">דא"א לומר שכל אלו הטעם שלהם הוא משובח, ולא בדילי אינשי מינייהו, וכן הקשה </w:t>
      </w:r>
      <w:r w:rsidRPr="001B5640">
        <w:rPr>
          <w:rStyle w:val="af8"/>
          <w:rFonts w:hint="cs"/>
          <w:rtl/>
        </w:rPr>
        <w:t>הרשב"א</w:t>
      </w:r>
      <w:r>
        <w:rPr>
          <w:rFonts w:hint="cs"/>
          <w:rtl/>
        </w:rPr>
        <w:t xml:space="preserve"> מהאיסורים המפורשים בתורה כצב ומרבה רגלים, </w:t>
      </w:r>
      <w:r w:rsidRPr="008E6AFE">
        <w:rPr>
          <w:rStyle w:val="afa"/>
          <w:rFonts w:hint="cs"/>
          <w:rtl/>
        </w:rPr>
        <w:t xml:space="preserve">[דאמרינן בגמ' בחולין </w:t>
      </w:r>
      <w:r w:rsidRPr="008E6AFE">
        <w:rPr>
          <w:rStyle w:val="aff6"/>
          <w:rFonts w:hint="cs"/>
          <w:rtl/>
        </w:rPr>
        <w:t>(סז:)</w:t>
      </w:r>
      <w:r w:rsidRPr="008E6AFE">
        <w:rPr>
          <w:rStyle w:val="afa"/>
          <w:rFonts w:hint="cs"/>
          <w:rtl/>
        </w:rPr>
        <w:t xml:space="preserve"> שהוא נדל],</w:t>
      </w:r>
      <w:r>
        <w:rPr>
          <w:rFonts w:hint="cs"/>
          <w:rtl/>
        </w:rPr>
        <w:t xml:space="preserve"> דא"א לומר דטעמם משובח, דהוא דבר שגלוי לעין דהם פגומים, וכן הקשה </w:t>
      </w:r>
      <w:r w:rsidRPr="001B5640">
        <w:rPr>
          <w:rStyle w:val="af8"/>
          <w:rFonts w:hint="cs"/>
          <w:rtl/>
        </w:rPr>
        <w:t xml:space="preserve">הרשב"א </w:t>
      </w:r>
      <w:r>
        <w:rPr>
          <w:rFonts w:hint="cs"/>
          <w:rtl/>
        </w:rPr>
        <w:t xml:space="preserve">מהגמ' לעיל </w:t>
      </w:r>
      <w:r w:rsidRPr="001B5640">
        <w:rPr>
          <w:rStyle w:val="af6"/>
          <w:rFonts w:eastAsia="Guttman Hodes" w:hint="cs"/>
          <w:rtl/>
        </w:rPr>
        <w:t>(כו:)</w:t>
      </w:r>
      <w:r>
        <w:rPr>
          <w:rFonts w:hint="cs"/>
          <w:rtl/>
        </w:rPr>
        <w:t xml:space="preserve"> דהאוכל פרעוש או יתוש חשיב מומר, ומוכח דהוא אסור אף שהוא מאוס ובדילי אינשי מיניה.</w:t>
      </w:r>
    </w:p>
    <w:p w:rsidR="006C2032" w:rsidRDefault="006C2032" w:rsidP="006C2032">
      <w:pPr>
        <w:pStyle w:val="a2"/>
        <w:rPr>
          <w:rtl/>
        </w:rPr>
      </w:pPr>
      <w:bookmarkStart w:id="11473" w:name="_Toc20267150"/>
      <w:bookmarkStart w:id="11474" w:name="_Toc20311006"/>
      <w:bookmarkStart w:id="11475" w:name="_Toc20311178"/>
      <w:bookmarkStart w:id="11476" w:name="_Toc20315450"/>
      <w:bookmarkStart w:id="11477" w:name="_Toc20315846"/>
      <w:r>
        <w:rPr>
          <w:rFonts w:hint="cs"/>
          <w:rtl/>
        </w:rPr>
        <w:t>דברי הרשב"א דכל שרץ שבדילים ממנו חשיב כמאוס [אף אם אין טעמו פגום] ואפ"ה אסור</w:t>
      </w:r>
      <w:bookmarkEnd w:id="11473"/>
      <w:bookmarkEnd w:id="11474"/>
      <w:bookmarkEnd w:id="11475"/>
      <w:bookmarkEnd w:id="11476"/>
      <w:bookmarkEnd w:id="11477"/>
    </w:p>
    <w:p w:rsidR="006C2032" w:rsidRPr="00214BF8" w:rsidRDefault="006C2032" w:rsidP="009F44AF">
      <w:pPr>
        <w:pStyle w:val="a"/>
        <w:rPr>
          <w:rtl/>
        </w:rPr>
      </w:pPr>
      <w:r>
        <w:rPr>
          <w:rFonts w:hint="cs"/>
          <w:rtl/>
        </w:rPr>
        <w:t xml:space="preserve">והוסיף </w:t>
      </w:r>
      <w:r w:rsidRPr="00214BF8">
        <w:rPr>
          <w:rStyle w:val="af8"/>
          <w:rFonts w:hint="cs"/>
          <w:rtl/>
        </w:rPr>
        <w:t>הרשב"א במשה"ב</w:t>
      </w:r>
      <w:r>
        <w:rPr>
          <w:rFonts w:hint="cs"/>
          <w:rtl/>
        </w:rPr>
        <w:t xml:space="preserve"> דודאי דאינשי בדילי מינייהו, וכל שבדלים ממנו זהו מחמת שהוא מאוס, כדאמרינן בגמ' דעכבר שמאוס בדילי אינשי מיניה, ומבואר דכל שבדלים ממנו חשיב כמאוס. </w:t>
      </w:r>
      <w:r w:rsidRPr="005A790C">
        <w:rPr>
          <w:rStyle w:val="afa"/>
          <w:rFonts w:hint="cs"/>
          <w:rtl/>
        </w:rPr>
        <w:t>[והיינו דאף אי נימא דטעמם אינו פגום, מ"מ מחמת מאיסותם בדילי אינשי מינייהו וחשיבי כאיסור שמאוס מעיקרו</w:t>
      </w:r>
      <w:r w:rsidRPr="00214BF8">
        <w:rPr>
          <w:rStyle w:val="afa"/>
          <w:rFonts w:hint="cs"/>
          <w:rtl/>
        </w:rPr>
        <w:t>].</w:t>
      </w:r>
    </w:p>
    <w:p w:rsidR="006C2032" w:rsidRPr="00214BF8" w:rsidRDefault="006C2032" w:rsidP="006C2032">
      <w:pPr>
        <w:pStyle w:val="a2"/>
        <w:rPr>
          <w:rtl/>
        </w:rPr>
      </w:pPr>
      <w:bookmarkStart w:id="11478" w:name="_Toc20267151"/>
      <w:bookmarkStart w:id="11479" w:name="_Toc20311007"/>
      <w:bookmarkStart w:id="11480" w:name="_Toc20311179"/>
      <w:bookmarkStart w:id="11481" w:name="_Toc20315451"/>
      <w:bookmarkStart w:id="11482" w:name="_Toc20315847"/>
      <w:r>
        <w:rPr>
          <w:rFonts w:hint="cs"/>
          <w:rtl/>
        </w:rPr>
        <w:t>דברי הריטב"א דרבא ורב ששת נחלקו רק בטעם הפגום אך השרצים עצמם אסורים לכו"ע</w:t>
      </w:r>
      <w:bookmarkEnd w:id="11478"/>
      <w:bookmarkEnd w:id="11479"/>
      <w:bookmarkEnd w:id="11480"/>
      <w:bookmarkEnd w:id="11481"/>
      <w:bookmarkEnd w:id="11482"/>
    </w:p>
    <w:p w:rsidR="006C2032" w:rsidRDefault="006C2032" w:rsidP="009F44AF">
      <w:pPr>
        <w:pStyle w:val="a"/>
        <w:rPr>
          <w:rtl/>
        </w:rPr>
      </w:pPr>
      <w:r w:rsidRPr="00214BF8">
        <w:rPr>
          <w:rFonts w:hint="cs"/>
          <w:rtl/>
        </w:rPr>
        <w:t xml:space="preserve">וכ"כ </w:t>
      </w:r>
      <w:r w:rsidRPr="00214BF8">
        <w:rPr>
          <w:rStyle w:val="af8"/>
          <w:rFonts w:hint="cs"/>
          <w:rtl/>
        </w:rPr>
        <w:t>הריטב"א</w:t>
      </w:r>
      <w:r w:rsidRPr="00214BF8">
        <w:rPr>
          <w:rFonts w:hint="cs"/>
          <w:rtl/>
        </w:rPr>
        <w:t xml:space="preserve"> </w:t>
      </w:r>
      <w:r w:rsidRPr="00214BF8">
        <w:rPr>
          <w:rStyle w:val="af6"/>
          <w:rFonts w:eastAsia="Guttman Hodes" w:hint="cs"/>
          <w:rtl/>
        </w:rPr>
        <w:t>(ד"ה ועד כאן)</w:t>
      </w:r>
      <w:r>
        <w:rPr>
          <w:rFonts w:hint="cs"/>
          <w:rtl/>
        </w:rPr>
        <w:t xml:space="preserve"> דכל המחלוקת של רב ששת ורבא, היא רק בטעם של איסור מאוס, האם יש בו היתר נותן טעם לפגם או לא, אבל האיסור עצמו לכו"ע אסור, דהתורה אסרה את כל השרצים </w:t>
      </w:r>
      <w:r>
        <w:rPr>
          <w:rFonts w:hint="cs"/>
          <w:rtl/>
        </w:rPr>
        <w:lastRenderedPageBreak/>
        <w:t xml:space="preserve">ולוקין על כולם, וא"א לומר כדברי </w:t>
      </w:r>
      <w:r w:rsidRPr="00214BF8">
        <w:rPr>
          <w:rStyle w:val="af8"/>
          <w:rFonts w:hint="cs"/>
          <w:rtl/>
        </w:rPr>
        <w:t>הרא"ה</w:t>
      </w:r>
      <w:r>
        <w:rPr>
          <w:rFonts w:hint="cs"/>
          <w:rtl/>
        </w:rPr>
        <w:t xml:space="preserve"> </w:t>
      </w:r>
      <w:r w:rsidRPr="00D84FC8">
        <w:rPr>
          <w:rStyle w:val="af6"/>
          <w:rFonts w:eastAsia="Guttman Hodes" w:hint="cs"/>
          <w:rtl/>
        </w:rPr>
        <w:t xml:space="preserve">(עי' אות </w:t>
      </w:r>
      <w:r w:rsidRPr="00D84FC8">
        <w:rPr>
          <w:rStyle w:val="af6"/>
          <w:rFonts w:eastAsia="Guttman Hodes"/>
          <w:rtl/>
        </w:rPr>
        <w:fldChar w:fldCharType="begin"/>
      </w:r>
      <w:r w:rsidRPr="00D84FC8">
        <w:rPr>
          <w:rStyle w:val="af6"/>
          <w:rFonts w:eastAsia="Guttman Hodes"/>
          <w:rtl/>
        </w:rPr>
        <w:instrText xml:space="preserve"> </w:instrText>
      </w:r>
      <w:r w:rsidRPr="00D84FC8">
        <w:rPr>
          <w:rStyle w:val="af6"/>
          <w:rFonts w:eastAsia="Guttman Hodes" w:hint="cs"/>
        </w:rPr>
        <w:instrText>REF</w:instrText>
      </w:r>
      <w:r w:rsidRPr="00D84FC8">
        <w:rPr>
          <w:rStyle w:val="af6"/>
          <w:rFonts w:eastAsia="Guttman Hodes" w:hint="cs"/>
          <w:rtl/>
        </w:rPr>
        <w:instrText xml:space="preserve"> _</w:instrText>
      </w:r>
      <w:r w:rsidRPr="00D84FC8">
        <w:rPr>
          <w:rStyle w:val="af6"/>
          <w:rFonts w:eastAsia="Guttman Hodes" w:hint="cs"/>
        </w:rPr>
        <w:instrText>Ref20260716 \r \h</w:instrText>
      </w:r>
      <w:r w:rsidRPr="00D84FC8">
        <w:rPr>
          <w:rStyle w:val="af6"/>
          <w:rFonts w:eastAsia="Guttman Hodes"/>
          <w:rtl/>
        </w:rPr>
        <w:instrText xml:space="preserve"> </w:instrText>
      </w:r>
      <w:r w:rsidRPr="00D84FC8">
        <w:rPr>
          <w:rStyle w:val="af6"/>
          <w:rFonts w:eastAsia="Guttman Hodes"/>
          <w:rtl/>
        </w:rPr>
      </w:r>
      <w:r w:rsidRPr="00D84FC8">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D84FC8">
        <w:rPr>
          <w:rStyle w:val="af6"/>
          <w:rFonts w:eastAsia="Guttman Hodes"/>
          <w:rtl/>
        </w:rPr>
        <w:fldChar w:fldCharType="end"/>
      </w:r>
      <w:r>
        <w:rPr>
          <w:rFonts w:hint="cs"/>
          <w:rtl/>
        </w:rPr>
        <w:t xml:space="preserve"> דאסרה תורה רק את השרצים המשובחים, וכדמוכח בגמ' דעכברא דמתא דהוא מאוס אסור מדאו', ולדעת רב אף טעמו אוסר, וכן מוכח בגמ' במכות </w:t>
      </w:r>
      <w:r w:rsidRPr="00214BF8">
        <w:rPr>
          <w:rStyle w:val="af6"/>
          <w:rFonts w:eastAsia="Guttman Hodes" w:hint="cs"/>
          <w:rtl/>
        </w:rPr>
        <w:t>(טז:)</w:t>
      </w:r>
      <w:r>
        <w:rPr>
          <w:rFonts w:hint="cs"/>
          <w:rtl/>
        </w:rPr>
        <w:t xml:space="preserve"> דהאוכל פוטיתא לוקה ארבעה ובנמלה חמש ובצירעה שש, ומבואר דלוקין אף על השרצים המאוסים, וכתב </w:t>
      </w:r>
      <w:r w:rsidRPr="00214BF8">
        <w:rPr>
          <w:rStyle w:val="af8"/>
          <w:rFonts w:hint="cs"/>
          <w:rtl/>
        </w:rPr>
        <w:t>הריטב"א</w:t>
      </w:r>
      <w:r>
        <w:rPr>
          <w:rFonts w:hint="cs"/>
          <w:rtl/>
        </w:rPr>
        <w:t xml:space="preserve"> דהוא דבר פשוט דא"א לומר </w:t>
      </w:r>
      <w:r w:rsidRPr="00214BF8">
        <w:rPr>
          <w:rStyle w:val="af8"/>
          <w:rFonts w:hint="cs"/>
          <w:rtl/>
        </w:rPr>
        <w:t>כהרא"ה</w:t>
      </w:r>
      <w:r>
        <w:rPr>
          <w:rFonts w:hint="cs"/>
          <w:rtl/>
        </w:rPr>
        <w:t>.</w:t>
      </w:r>
    </w:p>
    <w:p w:rsidR="006C2032" w:rsidRPr="00BD5353" w:rsidRDefault="006C2032" w:rsidP="006C2032">
      <w:pPr>
        <w:pStyle w:val="1"/>
        <w:rPr>
          <w:rtl/>
        </w:rPr>
      </w:pPr>
      <w:bookmarkStart w:id="11483" w:name="_Toc20256905"/>
      <w:bookmarkStart w:id="11484" w:name="_Toc20267152"/>
      <w:bookmarkStart w:id="11485" w:name="_Toc20311008"/>
      <w:bookmarkStart w:id="11486" w:name="_Toc20311180"/>
      <w:bookmarkStart w:id="11487" w:name="_Toc20315452"/>
      <w:bookmarkStart w:id="11488" w:name="_Toc20315848"/>
      <w:r>
        <w:rPr>
          <w:rFonts w:hint="cs"/>
          <w:rtl/>
        </w:rPr>
        <w:t>דברי הרא"ה</w:t>
      </w:r>
      <w:bookmarkEnd w:id="11483"/>
      <w:r>
        <w:rPr>
          <w:rFonts w:hint="cs"/>
          <w:rtl/>
        </w:rPr>
        <w:t xml:space="preserve"> דשרץ שהשביח בתערובת אסור דאינו פגום</w:t>
      </w:r>
      <w:bookmarkEnd w:id="11484"/>
      <w:bookmarkEnd w:id="11485"/>
      <w:bookmarkEnd w:id="11486"/>
      <w:bookmarkEnd w:id="11487"/>
      <w:bookmarkEnd w:id="11488"/>
    </w:p>
    <w:p w:rsidR="006C2032" w:rsidRPr="00F03B7F" w:rsidRDefault="006C2032" w:rsidP="006C2032">
      <w:pPr>
        <w:pStyle w:val="a2"/>
      </w:pPr>
      <w:bookmarkStart w:id="11489" w:name="_Toc20256906"/>
      <w:bookmarkStart w:id="11490" w:name="_Toc20267153"/>
      <w:bookmarkStart w:id="11491" w:name="_Toc20311009"/>
      <w:bookmarkStart w:id="11492" w:name="_Toc20311181"/>
      <w:bookmarkStart w:id="11493" w:name="_Toc20315453"/>
      <w:bookmarkStart w:id="11494" w:name="_Toc20315849"/>
      <w:r>
        <w:rPr>
          <w:rFonts w:hint="cs"/>
          <w:rtl/>
        </w:rPr>
        <w:t>דברי הרא"ה דשרץ שהכשירו לאכילה נאסר כיון שכ"מ שאינו אסור הוא מחמת שהיה פגום</w:t>
      </w:r>
      <w:bookmarkEnd w:id="11489"/>
      <w:bookmarkEnd w:id="11490"/>
      <w:bookmarkEnd w:id="11491"/>
      <w:bookmarkEnd w:id="11492"/>
      <w:bookmarkEnd w:id="11493"/>
      <w:bookmarkEnd w:id="11494"/>
    </w:p>
    <w:p w:rsidR="006C2032" w:rsidRDefault="006C2032" w:rsidP="009F44AF">
      <w:pPr>
        <w:pStyle w:val="a"/>
        <w:rPr>
          <w:rtl/>
        </w:rPr>
      </w:pPr>
      <w:bookmarkStart w:id="11495" w:name="_Ref20263534"/>
      <w:r>
        <w:rPr>
          <w:rFonts w:hint="cs"/>
          <w:rtl/>
        </w:rPr>
        <w:t xml:space="preserve">עוד כתב </w:t>
      </w:r>
      <w:r w:rsidRPr="009A4B6E">
        <w:rPr>
          <w:rStyle w:val="af8"/>
          <w:rFonts w:hint="cs"/>
          <w:rtl/>
        </w:rPr>
        <w:t>הרא"ה בבד"ה</w:t>
      </w:r>
      <w:r>
        <w:rPr>
          <w:rFonts w:hint="cs"/>
          <w:rtl/>
        </w:rPr>
        <w:t xml:space="preserve"> </w:t>
      </w:r>
      <w:r w:rsidRPr="009A4B6E">
        <w:rPr>
          <w:rStyle w:val="af6"/>
          <w:rFonts w:eastAsia="Guttman Hodes" w:hint="cs"/>
          <w:rtl/>
        </w:rPr>
        <w:t>(ב"ד ש"א כ. מדה"ס</w:t>
      </w:r>
      <w:r>
        <w:rPr>
          <w:rStyle w:val="af6"/>
          <w:rFonts w:eastAsia="Guttman Hodes" w:hint="cs"/>
          <w:rtl/>
        </w:rPr>
        <w:t>)</w:t>
      </w:r>
      <w:r w:rsidRPr="009A4B6E">
        <w:rPr>
          <w:rStyle w:val="af6"/>
          <w:rFonts w:eastAsia="Guttman Hodes" w:hint="cs"/>
          <w:rtl/>
        </w:rPr>
        <w:t xml:space="preserve"> </w:t>
      </w:r>
      <w:r>
        <w:rPr>
          <w:rFonts w:hint="cs"/>
          <w:rtl/>
        </w:rPr>
        <w:t>דאף דאין איסור בשאר השרצים שאינם מפורשים בתורה, כיון שהם פגומים, אך מ"מ אם לא השתנה השרץ הפגום לאחר שמת, והכשירו אותו לאכילה, ע"י שעירבוהו בתערובת, ודאי דהוא אסור, דהרי כל ההיתר שבו הוא רק מחמת שהוא פגום.</w:t>
      </w:r>
      <w:bookmarkEnd w:id="11495"/>
    </w:p>
    <w:p w:rsidR="006C2032" w:rsidRPr="00B17B1C" w:rsidRDefault="006C2032" w:rsidP="006C2032">
      <w:pPr>
        <w:pStyle w:val="a2"/>
      </w:pPr>
      <w:bookmarkStart w:id="11496" w:name="_Toc20256907"/>
      <w:bookmarkStart w:id="11497" w:name="_Toc20267154"/>
      <w:bookmarkStart w:id="11498" w:name="_Toc20311010"/>
      <w:bookmarkStart w:id="11499" w:name="_Toc20311182"/>
      <w:bookmarkStart w:id="11500" w:name="_Toc20315454"/>
      <w:bookmarkStart w:id="11501" w:name="_Toc20315850"/>
      <w:r>
        <w:rPr>
          <w:rFonts w:hint="cs"/>
          <w:rtl/>
        </w:rPr>
        <w:t>דברי הרא"ה דדבר משובח שהשתנה לפגם חשיב כעפר ואינו חוזר ונאסר</w:t>
      </w:r>
      <w:bookmarkEnd w:id="11496"/>
      <w:bookmarkEnd w:id="11497"/>
      <w:bookmarkEnd w:id="11498"/>
      <w:bookmarkEnd w:id="11499"/>
      <w:bookmarkEnd w:id="11500"/>
      <w:bookmarkEnd w:id="11501"/>
    </w:p>
    <w:p w:rsidR="006C2032" w:rsidRDefault="006C2032" w:rsidP="009F44AF">
      <w:pPr>
        <w:pStyle w:val="a"/>
        <w:rPr>
          <w:rtl/>
        </w:rPr>
      </w:pPr>
      <w:r>
        <w:rPr>
          <w:rFonts w:hint="cs"/>
          <w:rtl/>
        </w:rPr>
        <w:t xml:space="preserve">והוסיף </w:t>
      </w:r>
      <w:r w:rsidRPr="009A4B6E">
        <w:rPr>
          <w:rStyle w:val="af8"/>
          <w:rFonts w:hint="cs"/>
          <w:rtl/>
        </w:rPr>
        <w:t>הרא"ה בבד"ה</w:t>
      </w:r>
      <w:r>
        <w:rPr>
          <w:rFonts w:hint="cs"/>
          <w:rtl/>
        </w:rPr>
        <w:t xml:space="preserve"> דדבר שהיה משובח והשתנה לפגם, הוא נחשב כעפר, ואף אם חזר והשביח אינו חוזר ונאסר.</w:t>
      </w:r>
    </w:p>
    <w:p w:rsidR="006C2032" w:rsidRDefault="006C2032" w:rsidP="006C2032">
      <w:pPr>
        <w:pStyle w:val="a2"/>
        <w:rPr>
          <w:rtl/>
        </w:rPr>
      </w:pPr>
      <w:bookmarkStart w:id="11502" w:name="_Toc20267155"/>
      <w:bookmarkStart w:id="11503" w:name="_Toc20311011"/>
      <w:bookmarkStart w:id="11504" w:name="_Toc20311183"/>
      <w:bookmarkStart w:id="11505" w:name="_Toc20315455"/>
      <w:bookmarkStart w:id="11506" w:name="_Toc20315851"/>
      <w:r>
        <w:rPr>
          <w:rFonts w:hint="cs"/>
          <w:rtl/>
        </w:rPr>
        <w:t>קושית הרשב"א דאי השרץ הפגום אינו בכלל איסור שרצים א"כ היאך נאסר אחר שהושבח</w:t>
      </w:r>
      <w:bookmarkEnd w:id="11502"/>
      <w:bookmarkEnd w:id="11503"/>
      <w:bookmarkEnd w:id="11504"/>
      <w:bookmarkEnd w:id="11505"/>
      <w:bookmarkEnd w:id="11506"/>
    </w:p>
    <w:p w:rsidR="006C2032" w:rsidRDefault="006C2032" w:rsidP="009F44AF">
      <w:pPr>
        <w:pStyle w:val="a"/>
        <w:rPr>
          <w:rtl/>
        </w:rPr>
      </w:pPr>
      <w:r>
        <w:rPr>
          <w:rFonts w:hint="cs"/>
          <w:rtl/>
        </w:rPr>
        <w:t xml:space="preserve">והקשה </w:t>
      </w:r>
      <w:r w:rsidRPr="009A4B6E">
        <w:rPr>
          <w:rStyle w:val="af8"/>
          <w:rFonts w:hint="cs"/>
          <w:rtl/>
        </w:rPr>
        <w:t>הרשב"א במשה"ב</w:t>
      </w:r>
      <w:r>
        <w:rPr>
          <w:rFonts w:hint="cs"/>
          <w:rtl/>
        </w:rPr>
        <w:t xml:space="preserve"> </w:t>
      </w:r>
      <w:r w:rsidRPr="009A4B6E">
        <w:rPr>
          <w:rStyle w:val="af6"/>
          <w:rFonts w:eastAsia="Guttman Hodes" w:hint="cs"/>
          <w:rtl/>
        </w:rPr>
        <w:t>(ב"ד ש"א כ. מדה"ס)</w:t>
      </w:r>
      <w:r>
        <w:rPr>
          <w:rFonts w:hint="cs"/>
          <w:rtl/>
        </w:rPr>
        <w:t xml:space="preserve"> דאי לא אסרה תורה שרץ שמאוס מעיקרו, א"כ היאך הוא אסור כשהכשירו אותו ע"י תערובת, הרי הוא לא היה מעולם בכלל האיסור, ואי היו בכלל האיסור, א"כ האיסור שלהם הוא גם בזמן שהם פגומים.</w:t>
      </w:r>
    </w:p>
    <w:p w:rsidR="006C2032" w:rsidRDefault="006C2032" w:rsidP="006C2032">
      <w:pPr>
        <w:pStyle w:val="1"/>
        <w:rPr>
          <w:rtl/>
        </w:rPr>
      </w:pPr>
      <w:bookmarkStart w:id="11507" w:name="_Toc20267156"/>
      <w:bookmarkStart w:id="11508" w:name="_Toc20311012"/>
      <w:bookmarkStart w:id="11509" w:name="_Toc20311184"/>
      <w:bookmarkStart w:id="11510" w:name="_Toc20315456"/>
      <w:bookmarkStart w:id="11511" w:name="_Toc20315852"/>
      <w:bookmarkStart w:id="11512" w:name="_Toc20256909"/>
      <w:bookmarkEnd w:id="11445"/>
      <w:r>
        <w:rPr>
          <w:rFonts w:hint="cs"/>
          <w:rtl/>
        </w:rPr>
        <w:t>ביאור הרא"ה ברב ששת</w:t>
      </w:r>
      <w:bookmarkEnd w:id="11507"/>
      <w:r>
        <w:rPr>
          <w:rFonts w:hint="cs"/>
          <w:rtl/>
        </w:rPr>
        <w:t xml:space="preserve"> דחידשה תורה איסור אף בטעם המאוס</w:t>
      </w:r>
      <w:bookmarkEnd w:id="11508"/>
      <w:bookmarkEnd w:id="11509"/>
      <w:bookmarkEnd w:id="11510"/>
      <w:bookmarkEnd w:id="11511"/>
    </w:p>
    <w:p w:rsidR="006C2032" w:rsidRPr="00E57A14" w:rsidRDefault="006C2032" w:rsidP="006C2032">
      <w:pPr>
        <w:pStyle w:val="a2"/>
        <w:rPr>
          <w:rtl/>
        </w:rPr>
      </w:pPr>
      <w:bookmarkStart w:id="11513" w:name="_Toc20267157"/>
      <w:bookmarkStart w:id="11514" w:name="_Toc20311013"/>
      <w:bookmarkStart w:id="11515" w:name="_Toc20311185"/>
      <w:bookmarkStart w:id="11516" w:name="_Toc20315457"/>
      <w:bookmarkStart w:id="11517" w:name="_Toc20315853"/>
      <w:r>
        <w:rPr>
          <w:rFonts w:hint="cs"/>
          <w:rtl/>
        </w:rPr>
        <w:t>ביאור הרא"ה ברב ששת דנטל"פ מותר מילפותא דנבילה ובעכבר דחידשה תורה אף טעמו אסור</w:t>
      </w:r>
      <w:bookmarkEnd w:id="11513"/>
      <w:bookmarkEnd w:id="11514"/>
      <w:bookmarkEnd w:id="11515"/>
      <w:bookmarkEnd w:id="11516"/>
      <w:bookmarkEnd w:id="11517"/>
    </w:p>
    <w:p w:rsidR="006C2032" w:rsidRDefault="006C2032" w:rsidP="009F44AF">
      <w:pPr>
        <w:pStyle w:val="a"/>
        <w:rPr>
          <w:rtl/>
        </w:rPr>
      </w:pPr>
      <w:r>
        <w:rPr>
          <w:rFonts w:hint="cs"/>
          <w:rtl/>
        </w:rPr>
        <w:t xml:space="preserve">ובדברי רב ששת דאמר דרב ס"ל דנותן טעם לפגם מותר, והא דאסר בעכברא בשיכרא, הוא כיון דהוא חידוש שאסרתו תורה אף שהוא מאוס, ביאר </w:t>
      </w:r>
      <w:r w:rsidRPr="009A4B6E">
        <w:rPr>
          <w:rStyle w:val="af8"/>
          <w:rFonts w:hint="cs"/>
          <w:rtl/>
        </w:rPr>
        <w:t xml:space="preserve">הרא"ה בבד"ה </w:t>
      </w:r>
      <w:r w:rsidRPr="003400F3">
        <w:rPr>
          <w:rStyle w:val="af6"/>
          <w:rFonts w:eastAsia="Guttman Hodes" w:hint="cs"/>
          <w:rtl/>
        </w:rPr>
        <w:t>(ב"ד ש"א יט: מדה"ס ד"ה כתב החכם)</w:t>
      </w:r>
      <w:r>
        <w:rPr>
          <w:rFonts w:hint="cs"/>
          <w:rtl/>
        </w:rPr>
        <w:t xml:space="preserve"> דס"ל לרב ששת דבכל האיסורין רב מתיר בנותן טעם לפגם, דילפינן מנבילה שאינה ראויה לגר, דכל מה שאסרה תורה הוא רק איסור משובח, אבל בעכבר אמר רב ששת שהוא חידוש שאף שהוא מאוס, והוא כנבילה סרוחה שהיא מותרת לכו"ע, וא"צ קרא להתירה, ואפ"ה אסרה תורה את העכבר, דהוא מפורש בתורה לאיסור, ולכן אמר רב ששת דאף כשנתן העכבר טעם פגום בתערובת הוא אסור, כדין גוף העכבר שחידשה בו תורה איסור אף שהוא כנבילה סרוחה, אך כתב </w:t>
      </w:r>
      <w:r w:rsidRPr="009A4B6E">
        <w:rPr>
          <w:rStyle w:val="af8"/>
          <w:rFonts w:hint="cs"/>
          <w:rtl/>
        </w:rPr>
        <w:t>הרא"ה בבד"ה</w:t>
      </w:r>
      <w:r>
        <w:rPr>
          <w:rFonts w:hint="cs"/>
          <w:rtl/>
        </w:rPr>
        <w:t xml:space="preserve"> דשאר שרצים שמאוסים מעיקרם, אינם בכלל האיסור.</w:t>
      </w:r>
    </w:p>
    <w:p w:rsidR="006C2032" w:rsidRPr="00C15643" w:rsidRDefault="006C2032" w:rsidP="006C2032">
      <w:pPr>
        <w:pStyle w:val="1"/>
        <w:rPr>
          <w:rtl/>
        </w:rPr>
      </w:pPr>
      <w:bookmarkStart w:id="11518" w:name="_Toc20267158"/>
      <w:bookmarkStart w:id="11519" w:name="_Toc20311014"/>
      <w:bookmarkStart w:id="11520" w:name="_Toc20311186"/>
      <w:bookmarkStart w:id="11521" w:name="_Toc20315458"/>
      <w:bookmarkStart w:id="11522" w:name="_Toc20315854"/>
      <w:r>
        <w:rPr>
          <w:rFonts w:hint="cs"/>
          <w:rtl/>
        </w:rPr>
        <w:t>ביאור הרא"ה ברבא</w:t>
      </w:r>
      <w:bookmarkEnd w:id="11512"/>
      <w:bookmarkEnd w:id="11518"/>
      <w:r>
        <w:rPr>
          <w:rFonts w:hint="cs"/>
          <w:rtl/>
        </w:rPr>
        <w:t xml:space="preserve"> דאין כל איסור פגום שאסרתו תורה</w:t>
      </w:r>
      <w:bookmarkEnd w:id="11519"/>
      <w:bookmarkEnd w:id="11520"/>
      <w:bookmarkEnd w:id="11521"/>
      <w:bookmarkEnd w:id="11522"/>
    </w:p>
    <w:p w:rsidR="006C2032" w:rsidRDefault="006C2032" w:rsidP="006C2032">
      <w:pPr>
        <w:pStyle w:val="a2"/>
        <w:rPr>
          <w:rtl/>
        </w:rPr>
      </w:pPr>
      <w:bookmarkStart w:id="11523" w:name="_Toc20267159"/>
      <w:bookmarkStart w:id="11524" w:name="_Toc20311015"/>
      <w:bookmarkStart w:id="11525" w:name="_Toc20311187"/>
      <w:bookmarkStart w:id="11526" w:name="_Toc20315459"/>
      <w:bookmarkStart w:id="11527" w:name="_Toc20315855"/>
      <w:r>
        <w:rPr>
          <w:rFonts w:hint="cs"/>
          <w:rtl/>
        </w:rPr>
        <w:t>דברי הרא"ה דלרבא לא אסרה תורה איסור מאוס</w:t>
      </w:r>
      <w:bookmarkEnd w:id="11523"/>
      <w:r>
        <w:rPr>
          <w:rFonts w:hint="cs"/>
          <w:rtl/>
        </w:rPr>
        <w:t xml:space="preserve"> ורב אסר בעכברא דדברא</w:t>
      </w:r>
      <w:bookmarkEnd w:id="11524"/>
      <w:bookmarkEnd w:id="11525"/>
      <w:bookmarkEnd w:id="11526"/>
      <w:bookmarkEnd w:id="11527"/>
    </w:p>
    <w:p w:rsidR="006C2032" w:rsidRDefault="006C2032" w:rsidP="009F44AF">
      <w:pPr>
        <w:pStyle w:val="a"/>
        <w:rPr>
          <w:rtl/>
        </w:rPr>
      </w:pPr>
      <w:r>
        <w:rPr>
          <w:rFonts w:hint="cs"/>
          <w:rtl/>
        </w:rPr>
        <w:t xml:space="preserve">בדברי רבא דאמר דקיי"ל דנותן טעם לפגם מותר, ביאר </w:t>
      </w:r>
      <w:r w:rsidRPr="00214BF8">
        <w:rPr>
          <w:rStyle w:val="af8"/>
          <w:rFonts w:hint="cs"/>
          <w:rtl/>
        </w:rPr>
        <w:t>הרא"ה בבד"ה</w:t>
      </w:r>
      <w:r w:rsidRPr="00214BF8">
        <w:rPr>
          <w:rStyle w:val="af6"/>
          <w:rFonts w:eastAsia="Guttman Hodes" w:hint="cs"/>
          <w:rtl/>
        </w:rPr>
        <w:t xml:space="preserve"> (ב"ד ש"א כ. מדה"ס) </w:t>
      </w:r>
      <w:r>
        <w:rPr>
          <w:rFonts w:hint="cs"/>
          <w:rtl/>
        </w:rPr>
        <w:t>דכוונת רבא לומר דההיתר בנותן טעם לפגם הוא אף בעכבר, דס"ל לרבא דלא אסרה תורה שום איסור בזמן שהוא פגום,</w:t>
      </w:r>
      <w:r w:rsidRPr="002D4898">
        <w:rPr>
          <w:rFonts w:hint="cs"/>
          <w:rtl/>
        </w:rPr>
        <w:t xml:space="preserve"> </w:t>
      </w:r>
      <w:r>
        <w:rPr>
          <w:rFonts w:hint="cs"/>
          <w:rtl/>
        </w:rPr>
        <w:t xml:space="preserve">ונותן טעם לפגם מותר בכל האיסורין, ואף בעכבר כ"ז שהוא עדיין פגום הוא מותר, והא דאסרה תורה עכבר היינו בעכברא דדברא שהוא משובח, ועי' במה שדחה </w:t>
      </w:r>
      <w:r w:rsidRPr="00214BF8">
        <w:rPr>
          <w:rStyle w:val="af8"/>
          <w:rFonts w:hint="cs"/>
          <w:rtl/>
        </w:rPr>
        <w:t>הרשב"א במשה"ב</w:t>
      </w:r>
      <w:r>
        <w:rPr>
          <w:rFonts w:hint="cs"/>
          <w:rtl/>
        </w:rPr>
        <w:t xml:space="preserve"> </w:t>
      </w:r>
      <w:r w:rsidRPr="00214BF8">
        <w:rPr>
          <w:rStyle w:val="af6"/>
          <w:rFonts w:eastAsia="Guttman Hodes" w:hint="cs"/>
          <w:rtl/>
        </w:rPr>
        <w:t>(ב"ד ש"א כ. מדה"ס)</w:t>
      </w:r>
      <w:r>
        <w:rPr>
          <w:rFonts w:hint="cs"/>
          <w:rtl/>
        </w:rPr>
        <w:t xml:space="preserve"> דרבא לא איירי כלל בעכברא דדברא.</w:t>
      </w:r>
    </w:p>
    <w:p w:rsidR="006C2032" w:rsidRPr="00F051F7" w:rsidRDefault="006C2032" w:rsidP="006C2032">
      <w:pPr>
        <w:pStyle w:val="a2"/>
      </w:pPr>
      <w:bookmarkStart w:id="11528" w:name="_Toc20267160"/>
      <w:bookmarkStart w:id="11529" w:name="_Toc20311016"/>
      <w:bookmarkStart w:id="11530" w:name="_Toc20311188"/>
      <w:bookmarkStart w:id="11531" w:name="_Toc20315460"/>
      <w:bookmarkStart w:id="11532" w:name="_Toc20315856"/>
      <w:r>
        <w:rPr>
          <w:rFonts w:hint="cs"/>
          <w:rtl/>
        </w:rPr>
        <w:t>דברי הרא"ה דרבא הסתפק אי רב אסר בכל נטל"פ או רק בעכבר דהוא חידוש</w:t>
      </w:r>
      <w:bookmarkEnd w:id="11528"/>
      <w:bookmarkEnd w:id="11529"/>
      <w:bookmarkEnd w:id="11530"/>
      <w:bookmarkEnd w:id="11531"/>
      <w:bookmarkEnd w:id="11532"/>
    </w:p>
    <w:p w:rsidR="006C2032" w:rsidRPr="00BB6BE5" w:rsidRDefault="006C2032" w:rsidP="009F44AF">
      <w:pPr>
        <w:pStyle w:val="a"/>
        <w:rPr>
          <w:rtl/>
        </w:rPr>
      </w:pPr>
      <w:bookmarkStart w:id="11533" w:name="_Ref20262206"/>
      <w:r>
        <w:rPr>
          <w:rFonts w:hint="cs"/>
          <w:rtl/>
        </w:rPr>
        <w:t xml:space="preserve">וכתב </w:t>
      </w:r>
      <w:r w:rsidRPr="009A4B6E">
        <w:rPr>
          <w:rStyle w:val="af8"/>
          <w:rFonts w:hint="cs"/>
          <w:rtl/>
        </w:rPr>
        <w:t>הרא"ה בבד"ה</w:t>
      </w:r>
      <w:r>
        <w:rPr>
          <w:rFonts w:hint="cs"/>
          <w:rtl/>
        </w:rPr>
        <w:t xml:space="preserve"> דהצד של רבא דרב אסר בנותן טעם לפגם, היינו דאו דס"ל לרב דבכל האיסורין שבתורה נותן טעם לפגם אסור, או דס"ל לרב דנותן טעם לפגם אסור רק בעכבר, דכיון שחידשה בו תורה שהוא אסור אף שהוא מאוס, א"כ אף נותן טעם לפגם אסור </w:t>
      </w:r>
      <w:r>
        <w:rPr>
          <w:rFonts w:hint="cs"/>
          <w:rtl/>
        </w:rPr>
        <w:t xml:space="preserve">בו, ואמר רבא דבין בעכבר ובין </w:t>
      </w:r>
      <w:r w:rsidRPr="00BB6BE5">
        <w:rPr>
          <w:rFonts w:hint="cs"/>
          <w:rtl/>
        </w:rPr>
        <w:t xml:space="preserve">בשאר איסורים לא קיי"ל כרב, ונותן טעם לפגם מותר, דלא אסרה תורה איסור כשהוא פגום. </w:t>
      </w:r>
      <w:bookmarkEnd w:id="11533"/>
    </w:p>
    <w:p w:rsidR="006C2032" w:rsidRPr="00BB6BE5" w:rsidRDefault="006C2032" w:rsidP="006C2032">
      <w:pPr>
        <w:pStyle w:val="a2"/>
      </w:pPr>
      <w:bookmarkStart w:id="11534" w:name="_Toc20267161"/>
      <w:bookmarkStart w:id="11535" w:name="_Toc20311017"/>
      <w:bookmarkStart w:id="11536" w:name="_Toc20311189"/>
      <w:bookmarkStart w:id="11537" w:name="_Toc20315461"/>
      <w:bookmarkStart w:id="11538" w:name="_Toc20315857"/>
      <w:r>
        <w:rPr>
          <w:rFonts w:hint="cs"/>
          <w:rtl/>
        </w:rPr>
        <w:t>ביאור הרא"ה דהעכבר המאוס מותר וכשהשביח את השכר אסור דהיתרו הוא רק כשהוא פגום</w:t>
      </w:r>
      <w:bookmarkEnd w:id="11534"/>
      <w:bookmarkEnd w:id="11535"/>
      <w:bookmarkEnd w:id="11536"/>
      <w:bookmarkEnd w:id="11537"/>
      <w:bookmarkEnd w:id="11538"/>
    </w:p>
    <w:p w:rsidR="006C2032" w:rsidRDefault="006C2032" w:rsidP="009F44AF">
      <w:pPr>
        <w:pStyle w:val="a"/>
        <w:rPr>
          <w:rtl/>
        </w:rPr>
      </w:pPr>
      <w:bookmarkStart w:id="11539" w:name="_Ref20263002"/>
      <w:r w:rsidRPr="00BB6BE5">
        <w:rPr>
          <w:rFonts w:hint="cs"/>
          <w:rtl/>
        </w:rPr>
        <w:t xml:space="preserve">ובצד של רבא דרב אסר בעכברא בשיכרא כיון דאשבוחי משבח, ביאר </w:t>
      </w:r>
      <w:r w:rsidRPr="00BB6BE5">
        <w:rPr>
          <w:rStyle w:val="af8"/>
          <w:rFonts w:hint="cs"/>
          <w:rtl/>
        </w:rPr>
        <w:t>הרא"ה בבד"ה</w:t>
      </w:r>
      <w:r w:rsidRPr="00BB6BE5">
        <w:rPr>
          <w:rFonts w:hint="cs"/>
          <w:rtl/>
        </w:rPr>
        <w:t xml:space="preserve"> דאף שהעכבר עצמו</w:t>
      </w:r>
      <w:r>
        <w:rPr>
          <w:rFonts w:hint="cs"/>
          <w:rtl/>
        </w:rPr>
        <w:t xml:space="preserve"> מאוס, ואין בו איסור, מ"מ אי ע"י נתינתו בשכר הוא משביח הוא אסור, דכיון שכל ההיתר בעכבר הוא מחמת שהוא פגום, </w:t>
      </w:r>
      <w:r w:rsidRPr="001B5640">
        <w:rPr>
          <w:rStyle w:val="afa"/>
          <w:rFonts w:hint="cs"/>
          <w:rtl/>
        </w:rPr>
        <w:t xml:space="preserve">[כדביאר </w:t>
      </w:r>
      <w:r w:rsidRPr="001B5640">
        <w:rPr>
          <w:rStyle w:val="affa"/>
          <w:rFonts w:hint="cs"/>
          <w:rtl/>
        </w:rPr>
        <w:t>הרא"ה</w:t>
      </w:r>
      <w:r w:rsidRPr="001B5640">
        <w:rPr>
          <w:rStyle w:val="afa"/>
          <w:rFonts w:hint="cs"/>
          <w:rtl/>
        </w:rPr>
        <w:t xml:space="preserve"> </w:t>
      </w:r>
      <w:r w:rsidRPr="001B5640">
        <w:rPr>
          <w:rStyle w:val="aff6"/>
          <w:rFonts w:hint="cs"/>
          <w:rtl/>
        </w:rPr>
        <w:t xml:space="preserve">(עי' אות </w:t>
      </w:r>
      <w:r w:rsidRPr="001B5640">
        <w:rPr>
          <w:rStyle w:val="aff6"/>
          <w:rtl/>
        </w:rPr>
        <w:fldChar w:fldCharType="begin"/>
      </w:r>
      <w:r w:rsidRPr="001B5640">
        <w:rPr>
          <w:rStyle w:val="aff6"/>
          <w:rtl/>
        </w:rPr>
        <w:instrText xml:space="preserve"> </w:instrText>
      </w:r>
      <w:r w:rsidRPr="001B5640">
        <w:rPr>
          <w:rStyle w:val="aff6"/>
          <w:rFonts w:hint="cs"/>
        </w:rPr>
        <w:instrText>REF</w:instrText>
      </w:r>
      <w:r w:rsidRPr="001B5640">
        <w:rPr>
          <w:rStyle w:val="aff6"/>
          <w:rFonts w:hint="cs"/>
          <w:rtl/>
        </w:rPr>
        <w:instrText xml:space="preserve"> _</w:instrText>
      </w:r>
      <w:r w:rsidRPr="001B5640">
        <w:rPr>
          <w:rStyle w:val="aff6"/>
          <w:rFonts w:hint="cs"/>
        </w:rPr>
        <w:instrText>Ref20216616 \r \h</w:instrText>
      </w:r>
      <w:r w:rsidRPr="001B5640">
        <w:rPr>
          <w:rStyle w:val="aff6"/>
          <w:rtl/>
        </w:rPr>
        <w:instrText xml:space="preserve"> </w:instrText>
      </w:r>
      <w:r w:rsidRPr="001B5640">
        <w:rPr>
          <w:rStyle w:val="aff6"/>
          <w:rtl/>
        </w:rPr>
      </w:r>
      <w:r w:rsidRPr="001B5640">
        <w:rPr>
          <w:rStyle w:val="aff6"/>
          <w:rtl/>
        </w:rPr>
        <w:fldChar w:fldCharType="separate"/>
      </w:r>
      <w:r w:rsidR="004D1C5B">
        <w:rPr>
          <w:rStyle w:val="aff6"/>
          <w:cs/>
        </w:rPr>
        <w:t>‎</w:t>
      </w:r>
      <w:r w:rsidR="004D1C5B">
        <w:rPr>
          <w:rStyle w:val="aff6"/>
          <w:rtl/>
        </w:rPr>
        <w:t>סד)</w:t>
      </w:r>
      <w:r w:rsidRPr="001B5640">
        <w:rPr>
          <w:rStyle w:val="aff6"/>
          <w:rtl/>
        </w:rPr>
        <w:fldChar w:fldCharType="end"/>
      </w:r>
      <w:r w:rsidRPr="001B5640">
        <w:rPr>
          <w:rStyle w:val="afa"/>
          <w:rFonts w:hint="cs"/>
          <w:rtl/>
        </w:rPr>
        <w:t>],</w:t>
      </w:r>
      <w:r>
        <w:rPr>
          <w:rFonts w:hint="cs"/>
          <w:rtl/>
        </w:rPr>
        <w:t xml:space="preserve"> ועכשיו הוא נשאר כמו שהיה ולא השתנה, לכן כיון שהוא הוכשר לשבח הוא אסור, אך כתב </w:t>
      </w:r>
      <w:r w:rsidRPr="009A4B6E">
        <w:rPr>
          <w:rStyle w:val="af8"/>
          <w:rFonts w:hint="cs"/>
          <w:rtl/>
        </w:rPr>
        <w:t>הרא"ה בבד"ה</w:t>
      </w:r>
      <w:r>
        <w:rPr>
          <w:rFonts w:hint="cs"/>
          <w:rtl/>
        </w:rPr>
        <w:t xml:space="preserve"> דרבא אמר כן רק בדעת רב, אך רבא עצמו לא ס"ל כן, אלא דעכברא בשיכרא אינו משביח, ועי' במה שדחה </w:t>
      </w:r>
      <w:r w:rsidRPr="001B5640">
        <w:rPr>
          <w:rStyle w:val="af8"/>
          <w:rFonts w:hint="cs"/>
          <w:rtl/>
        </w:rPr>
        <w:t>הרשב"א במשה"ב</w:t>
      </w:r>
      <w:r>
        <w:rPr>
          <w:rFonts w:hint="cs"/>
          <w:rtl/>
        </w:rPr>
        <w:t xml:space="preserve"> </w:t>
      </w:r>
      <w:r w:rsidRPr="009A4B6E">
        <w:rPr>
          <w:rStyle w:val="af6"/>
          <w:rFonts w:eastAsia="Guttman Hodes" w:hint="cs"/>
          <w:rtl/>
        </w:rPr>
        <w:t>(ב"ד ש"א כ. מדה"ס)</w:t>
      </w:r>
      <w:r>
        <w:rPr>
          <w:rFonts w:hint="cs"/>
          <w:rtl/>
        </w:rPr>
        <w:t xml:space="preserve"> דלא מסתבר לומר דרבא נחלק בזה.</w:t>
      </w:r>
      <w:r w:rsidRPr="00BB6BE5">
        <w:rPr>
          <w:rStyle w:val="afa"/>
          <w:rFonts w:hint="cs"/>
          <w:rtl/>
        </w:rPr>
        <w:t xml:space="preserve"> [ודלא </w:t>
      </w:r>
      <w:r w:rsidRPr="00BB6BE5">
        <w:rPr>
          <w:rStyle w:val="affa"/>
          <w:rFonts w:hint="cs"/>
          <w:rtl/>
        </w:rPr>
        <w:t>כהרשב"א</w:t>
      </w:r>
      <w:r w:rsidRPr="00BB6BE5">
        <w:rPr>
          <w:rStyle w:val="aff6"/>
          <w:rFonts w:hint="cs"/>
          <w:rtl/>
        </w:rPr>
        <w:t xml:space="preserve"> (עי' אות </w:t>
      </w:r>
      <w:r w:rsidRPr="00BB6BE5">
        <w:rPr>
          <w:rStyle w:val="aff6"/>
          <w:rtl/>
        </w:rPr>
        <w:fldChar w:fldCharType="begin"/>
      </w:r>
      <w:r w:rsidRPr="00BB6BE5">
        <w:rPr>
          <w:rStyle w:val="aff6"/>
          <w:rtl/>
        </w:rPr>
        <w:instrText xml:space="preserve"> </w:instrText>
      </w:r>
      <w:r w:rsidRPr="00BB6BE5">
        <w:rPr>
          <w:rStyle w:val="aff6"/>
          <w:rFonts w:hint="cs"/>
        </w:rPr>
        <w:instrText>REF</w:instrText>
      </w:r>
      <w:r w:rsidRPr="00BB6BE5">
        <w:rPr>
          <w:rStyle w:val="aff6"/>
          <w:rFonts w:hint="cs"/>
          <w:rtl/>
        </w:rPr>
        <w:instrText xml:space="preserve"> _</w:instrText>
      </w:r>
      <w:r w:rsidRPr="00BB6BE5">
        <w:rPr>
          <w:rStyle w:val="aff6"/>
          <w:rFonts w:hint="cs"/>
        </w:rPr>
        <w:instrText>Ref20262159 \r \h</w:instrText>
      </w:r>
      <w:r w:rsidRPr="00BB6BE5">
        <w:rPr>
          <w:rStyle w:val="aff6"/>
          <w:rtl/>
        </w:rPr>
        <w:instrText xml:space="preserve">  \* </w:instrText>
      </w:r>
      <w:r w:rsidRPr="00BB6BE5">
        <w:rPr>
          <w:rStyle w:val="aff6"/>
        </w:rPr>
        <w:instrText>MERGEFORMAT</w:instrText>
      </w:r>
      <w:r w:rsidRPr="00BB6BE5">
        <w:rPr>
          <w:rStyle w:val="aff6"/>
          <w:rtl/>
        </w:rPr>
        <w:instrText xml:space="preserve"> </w:instrText>
      </w:r>
      <w:r w:rsidRPr="00BB6BE5">
        <w:rPr>
          <w:rStyle w:val="aff6"/>
          <w:rtl/>
        </w:rPr>
      </w:r>
      <w:r w:rsidRPr="00BB6BE5">
        <w:rPr>
          <w:rStyle w:val="aff6"/>
          <w:rtl/>
        </w:rPr>
        <w:fldChar w:fldCharType="separate"/>
      </w:r>
      <w:r w:rsidR="004D1C5B">
        <w:rPr>
          <w:rStyle w:val="aff6"/>
          <w:cs/>
        </w:rPr>
        <w:t>‎</w:t>
      </w:r>
      <w:r w:rsidR="004D1C5B">
        <w:rPr>
          <w:rStyle w:val="aff6"/>
          <w:rtl/>
        </w:rPr>
        <w:t>יד)</w:t>
      </w:r>
      <w:r w:rsidRPr="00BB6BE5">
        <w:rPr>
          <w:rStyle w:val="aff6"/>
          <w:rtl/>
        </w:rPr>
        <w:fldChar w:fldCharType="end"/>
      </w:r>
      <w:r w:rsidRPr="00BB6BE5">
        <w:rPr>
          <w:rStyle w:val="afa"/>
          <w:rFonts w:hint="cs"/>
          <w:rtl/>
        </w:rPr>
        <w:t xml:space="preserve"> דכתב </w:t>
      </w:r>
      <w:r>
        <w:rPr>
          <w:rStyle w:val="afa"/>
          <w:rFonts w:hint="cs"/>
          <w:rtl/>
        </w:rPr>
        <w:t>ד</w:t>
      </w:r>
      <w:r w:rsidRPr="00BB6BE5">
        <w:rPr>
          <w:rStyle w:val="afa"/>
          <w:rtl/>
        </w:rPr>
        <w:t>להצד דעכברא בשיכרא משביח</w:t>
      </w:r>
      <w:r>
        <w:rPr>
          <w:rStyle w:val="afa"/>
          <w:rFonts w:hint="cs"/>
          <w:rtl/>
        </w:rPr>
        <w:t>, פסק רבא כרב</w:t>
      </w:r>
      <w:r w:rsidRPr="00BB6BE5">
        <w:rPr>
          <w:rStyle w:val="afa"/>
          <w:rFonts w:hint="cs"/>
          <w:rtl/>
        </w:rPr>
        <w:t>].</w:t>
      </w:r>
      <w:bookmarkEnd w:id="11539"/>
    </w:p>
    <w:p w:rsidR="006C2032" w:rsidRDefault="006C2032" w:rsidP="006C2032">
      <w:pPr>
        <w:pStyle w:val="a2"/>
        <w:rPr>
          <w:rtl/>
        </w:rPr>
      </w:pPr>
      <w:bookmarkStart w:id="11540" w:name="_Toc20267162"/>
      <w:bookmarkStart w:id="11541" w:name="_Toc20311018"/>
      <w:bookmarkStart w:id="11542" w:name="_Toc20311190"/>
      <w:bookmarkStart w:id="11543" w:name="_Toc20315462"/>
      <w:bookmarkStart w:id="11544" w:name="_Toc20315858"/>
      <w:r>
        <w:rPr>
          <w:rFonts w:hint="cs"/>
          <w:rtl/>
        </w:rPr>
        <w:t>קושית הרשב"א דאי העכבר מותר היאך טעמו אסור ועוד דטעמו השתנה ואינו אוסר להרא"ה</w:t>
      </w:r>
      <w:bookmarkEnd w:id="11540"/>
      <w:bookmarkEnd w:id="11541"/>
      <w:bookmarkEnd w:id="11542"/>
      <w:bookmarkEnd w:id="11543"/>
      <w:bookmarkEnd w:id="11544"/>
    </w:p>
    <w:p w:rsidR="007D485E" w:rsidRDefault="006C2032" w:rsidP="009F44AF">
      <w:pPr>
        <w:pStyle w:val="a"/>
        <w:rPr>
          <w:rtl/>
        </w:rPr>
      </w:pPr>
      <w:r>
        <w:rPr>
          <w:rFonts w:hint="cs"/>
          <w:rtl/>
        </w:rPr>
        <w:t xml:space="preserve">והקשה </w:t>
      </w:r>
      <w:r w:rsidRPr="001B5640">
        <w:rPr>
          <w:rStyle w:val="af8"/>
          <w:rFonts w:hint="cs"/>
          <w:rtl/>
        </w:rPr>
        <w:t>הרשב"א במשה"ב</w:t>
      </w:r>
      <w:r>
        <w:rPr>
          <w:rFonts w:hint="cs"/>
          <w:rtl/>
        </w:rPr>
        <w:t xml:space="preserve"> </w:t>
      </w:r>
      <w:r w:rsidRPr="001B5640">
        <w:rPr>
          <w:rStyle w:val="af6"/>
          <w:rFonts w:eastAsia="Guttman Hodes" w:hint="cs"/>
          <w:rtl/>
        </w:rPr>
        <w:t>(ב"ד ש"א כ. מדה"ס)</w:t>
      </w:r>
      <w:r>
        <w:rPr>
          <w:rFonts w:hint="cs"/>
          <w:rtl/>
        </w:rPr>
        <w:t xml:space="preserve"> דהיאך אפש"ל דהעכבר עצמו מותר דהוא מאוס, אך הטעם שנפלט ממנו לשיכר יהיה אסור, ועוד דהרי הטעם שנפלט ממנו השתנה, והרי כתב </w:t>
      </w:r>
      <w:r w:rsidRPr="001B5640">
        <w:rPr>
          <w:rStyle w:val="af8"/>
          <w:rFonts w:hint="cs"/>
          <w:rtl/>
        </w:rPr>
        <w:t>הרא"ה</w:t>
      </w:r>
      <w:r>
        <w:rPr>
          <w:rFonts w:hint="cs"/>
          <w:rtl/>
        </w:rPr>
        <w:t xml:space="preserve"> </w:t>
      </w:r>
      <w:r w:rsidRPr="00021144">
        <w:rPr>
          <w:rStyle w:val="af6"/>
          <w:rFonts w:eastAsia="Guttman Hodes" w:hint="cs"/>
          <w:rtl/>
        </w:rPr>
        <w:t xml:space="preserve">(עי' אות </w:t>
      </w:r>
      <w:r w:rsidRPr="00021144">
        <w:rPr>
          <w:rStyle w:val="af6"/>
          <w:rFonts w:eastAsia="Guttman Hodes"/>
          <w:rtl/>
        </w:rPr>
        <w:fldChar w:fldCharType="begin"/>
      </w:r>
      <w:r w:rsidRPr="00021144">
        <w:rPr>
          <w:rStyle w:val="af6"/>
          <w:rFonts w:eastAsia="Guttman Hodes"/>
          <w:rtl/>
        </w:rPr>
        <w:instrText xml:space="preserve"> </w:instrText>
      </w:r>
      <w:r w:rsidRPr="00021144">
        <w:rPr>
          <w:rStyle w:val="af6"/>
          <w:rFonts w:eastAsia="Guttman Hodes" w:hint="cs"/>
        </w:rPr>
        <w:instrText>REF</w:instrText>
      </w:r>
      <w:r w:rsidRPr="00021144">
        <w:rPr>
          <w:rStyle w:val="af6"/>
          <w:rFonts w:eastAsia="Guttman Hodes" w:hint="cs"/>
          <w:rtl/>
        </w:rPr>
        <w:instrText xml:space="preserve"> _</w:instrText>
      </w:r>
      <w:r w:rsidRPr="00021144">
        <w:rPr>
          <w:rStyle w:val="af6"/>
          <w:rFonts w:eastAsia="Guttman Hodes" w:hint="cs"/>
        </w:rPr>
        <w:instrText>Ref20263534 \r \h</w:instrText>
      </w:r>
      <w:r w:rsidRPr="00021144">
        <w:rPr>
          <w:rStyle w:val="af6"/>
          <w:rFonts w:eastAsia="Guttman Hodes"/>
          <w:rtl/>
        </w:rPr>
        <w:instrText xml:space="preserve"> </w:instrText>
      </w:r>
      <w:r w:rsidRPr="00021144">
        <w:rPr>
          <w:rStyle w:val="af6"/>
          <w:rFonts w:eastAsia="Guttman Hodes"/>
          <w:rtl/>
        </w:rPr>
      </w:r>
      <w:r w:rsidRPr="00021144">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021144">
        <w:rPr>
          <w:rStyle w:val="af6"/>
          <w:rFonts w:eastAsia="Guttman Hodes"/>
          <w:rtl/>
        </w:rPr>
        <w:fldChar w:fldCharType="end"/>
      </w:r>
      <w:r>
        <w:rPr>
          <w:rStyle w:val="af6"/>
          <w:rFonts w:eastAsia="Guttman Hodes" w:hint="cs"/>
          <w:rtl/>
        </w:rPr>
        <w:t xml:space="preserve"> </w:t>
      </w:r>
      <w:r>
        <w:rPr>
          <w:rFonts w:hint="cs"/>
          <w:rtl/>
        </w:rPr>
        <w:t>דכל שהשתנה גופו הוא מותר אעפ"י שהוא משביח, וא"כ אמאי טעמו אסור.</w:t>
      </w:r>
    </w:p>
    <w:p w:rsidR="006C2032" w:rsidRPr="00A12011" w:rsidRDefault="006C2032" w:rsidP="006C2032">
      <w:pPr>
        <w:pStyle w:val="1"/>
        <w:rPr>
          <w:rtl/>
        </w:rPr>
      </w:pPr>
      <w:bookmarkStart w:id="11545" w:name="_Toc20267163"/>
      <w:bookmarkStart w:id="11546" w:name="_Toc20311019"/>
      <w:bookmarkStart w:id="11547" w:name="_Toc20311191"/>
      <w:bookmarkStart w:id="11548" w:name="_Toc20315463"/>
      <w:bookmarkStart w:id="11549" w:name="_Toc20315859"/>
      <w:r>
        <w:rPr>
          <w:rFonts w:hint="cs"/>
          <w:rtl/>
        </w:rPr>
        <w:t>מסקנת הרא"ה דנטל"פ בכל האיסורים ואיסור מאוס מותרים</w:t>
      </w:r>
      <w:bookmarkEnd w:id="11545"/>
      <w:bookmarkEnd w:id="11546"/>
      <w:bookmarkEnd w:id="11547"/>
      <w:bookmarkEnd w:id="11548"/>
      <w:bookmarkEnd w:id="11549"/>
    </w:p>
    <w:p w:rsidR="006C2032" w:rsidRDefault="006C2032" w:rsidP="006C2032">
      <w:pPr>
        <w:pStyle w:val="a2"/>
        <w:rPr>
          <w:rtl/>
        </w:rPr>
      </w:pPr>
      <w:bookmarkStart w:id="11550" w:name="_Toc20267164"/>
      <w:bookmarkStart w:id="11551" w:name="_Toc20311020"/>
      <w:bookmarkStart w:id="11552" w:name="_Toc20311192"/>
      <w:bookmarkStart w:id="11553" w:name="_Toc20315464"/>
      <w:bookmarkStart w:id="11554" w:name="_Toc20315860"/>
      <w:r>
        <w:rPr>
          <w:rFonts w:hint="cs"/>
          <w:rtl/>
        </w:rPr>
        <w:t>מסקנת הרא"ה דנטל"פ מותר ואיסור מאוס מותר גופו צירו ורוטבו ובלא השתנה והשביח אוסר</w:t>
      </w:r>
      <w:bookmarkEnd w:id="11550"/>
      <w:bookmarkEnd w:id="11551"/>
      <w:bookmarkEnd w:id="11552"/>
      <w:bookmarkEnd w:id="11553"/>
      <w:bookmarkEnd w:id="11554"/>
    </w:p>
    <w:p w:rsidR="006C2032" w:rsidRPr="00E7425F" w:rsidRDefault="006C2032" w:rsidP="009F44AF">
      <w:pPr>
        <w:pStyle w:val="a"/>
        <w:rPr>
          <w:rtl/>
        </w:rPr>
      </w:pPr>
      <w:r>
        <w:rPr>
          <w:rFonts w:hint="cs"/>
          <w:rtl/>
        </w:rPr>
        <w:t xml:space="preserve">וכתב </w:t>
      </w:r>
      <w:r w:rsidRPr="001B5640">
        <w:rPr>
          <w:rStyle w:val="af8"/>
          <w:rFonts w:hint="cs"/>
          <w:rtl/>
        </w:rPr>
        <w:t xml:space="preserve">הרא"ה </w:t>
      </w:r>
      <w:r w:rsidRPr="009A4B6E">
        <w:rPr>
          <w:rStyle w:val="af8"/>
          <w:rFonts w:hint="cs"/>
          <w:rtl/>
        </w:rPr>
        <w:t>בבד"ה</w:t>
      </w:r>
      <w:r>
        <w:rPr>
          <w:rFonts w:hint="cs"/>
          <w:rtl/>
        </w:rPr>
        <w:t xml:space="preserve"> </w:t>
      </w:r>
      <w:r w:rsidRPr="009A4B6E">
        <w:rPr>
          <w:rStyle w:val="af6"/>
          <w:rFonts w:eastAsia="Guttman Hodes" w:hint="cs"/>
          <w:rtl/>
        </w:rPr>
        <w:t>(ב"ד ש"א כ. מדה"ס</w:t>
      </w:r>
      <w:r>
        <w:rPr>
          <w:rStyle w:val="af6"/>
          <w:rFonts w:eastAsia="Guttman Hodes" w:hint="cs"/>
          <w:rtl/>
        </w:rPr>
        <w:t>)</w:t>
      </w:r>
      <w:r w:rsidRPr="009A4B6E">
        <w:rPr>
          <w:rStyle w:val="af6"/>
          <w:rFonts w:eastAsia="Guttman Hodes" w:hint="cs"/>
          <w:rtl/>
        </w:rPr>
        <w:t xml:space="preserve"> </w:t>
      </w:r>
      <w:r>
        <w:rPr>
          <w:rFonts w:hint="cs"/>
          <w:rtl/>
        </w:rPr>
        <w:t>דמבואר מדברי רבא דנותן טעם לפגם מותר בכל האיסורין, ואיסור שמאוס מעיקרו כעכבר וכיו"ב, כל שהוא עדיין בפגמו הוא מותר, בין גופו ובין צירו ורוטבו, אך אם לא השתנה גופו, והוכשר לשבח ע"י תערובת, הוא אסור.</w:t>
      </w:r>
    </w:p>
    <w:p w:rsidR="006C2032" w:rsidRDefault="006C2032" w:rsidP="00E669F8">
      <w:pPr>
        <w:pStyle w:val="afd"/>
        <w:rPr>
          <w:rtl/>
        </w:rPr>
      </w:pPr>
      <w:bookmarkStart w:id="11555" w:name="_Toc20311021"/>
      <w:bookmarkStart w:id="11556" w:name="_Toc20311193"/>
      <w:bookmarkStart w:id="11557" w:name="_Toc20315465"/>
      <w:bookmarkStart w:id="11558" w:name="_Toc20315861"/>
      <w:bookmarkStart w:id="11559" w:name="_Toc20170508"/>
      <w:bookmarkStart w:id="11560" w:name="_Toc20226708"/>
      <w:bookmarkStart w:id="11561" w:name="_Toc20256911"/>
      <w:bookmarkStart w:id="11562" w:name="_Toc20267165"/>
      <w:r>
        <w:rPr>
          <w:rFonts w:hint="cs"/>
          <w:rtl/>
        </w:rPr>
        <w:t>ביאור הריטב"א בדברי רבא</w:t>
      </w:r>
      <w:bookmarkEnd w:id="11555"/>
      <w:bookmarkEnd w:id="11556"/>
      <w:bookmarkEnd w:id="11557"/>
      <w:bookmarkEnd w:id="11558"/>
    </w:p>
    <w:p w:rsidR="006C2032" w:rsidRPr="003377F8" w:rsidRDefault="006C2032" w:rsidP="006C2032">
      <w:pPr>
        <w:pStyle w:val="1"/>
        <w:rPr>
          <w:rtl/>
        </w:rPr>
      </w:pPr>
      <w:bookmarkStart w:id="11563" w:name="_Toc20311022"/>
      <w:bookmarkStart w:id="11564" w:name="_Toc20311194"/>
      <w:bookmarkStart w:id="11565" w:name="_Toc20315466"/>
      <w:bookmarkStart w:id="11566" w:name="_Toc20315862"/>
      <w:r w:rsidRPr="003377F8">
        <w:rPr>
          <w:rFonts w:hint="cs"/>
          <w:rtl/>
        </w:rPr>
        <w:t>דברי הריטב"א</w:t>
      </w:r>
      <w:bookmarkEnd w:id="11559"/>
      <w:bookmarkEnd w:id="11560"/>
      <w:bookmarkEnd w:id="11561"/>
      <w:bookmarkEnd w:id="11562"/>
      <w:r>
        <w:rPr>
          <w:rFonts w:hint="cs"/>
          <w:rtl/>
        </w:rPr>
        <w:t xml:space="preserve"> דלרבא לא פלוג רבנן ונטל"פ מותר במאוס</w:t>
      </w:r>
      <w:bookmarkEnd w:id="11563"/>
      <w:bookmarkEnd w:id="11564"/>
      <w:bookmarkEnd w:id="11565"/>
      <w:bookmarkEnd w:id="11566"/>
    </w:p>
    <w:p w:rsidR="006C2032" w:rsidRPr="003377F8" w:rsidRDefault="006C2032" w:rsidP="006C2032">
      <w:pPr>
        <w:pStyle w:val="a2"/>
        <w:rPr>
          <w:rtl/>
        </w:rPr>
      </w:pPr>
      <w:bookmarkStart w:id="11567" w:name="_Toc20267166"/>
      <w:bookmarkStart w:id="11568" w:name="_Toc20311023"/>
      <w:bookmarkStart w:id="11569" w:name="_Toc20311195"/>
      <w:bookmarkStart w:id="11570" w:name="_Toc20315467"/>
      <w:bookmarkStart w:id="11571" w:name="_Toc20315863"/>
      <w:r>
        <w:rPr>
          <w:rFonts w:hint="cs"/>
          <w:rtl/>
        </w:rPr>
        <w:t>דברי הריטב"א דבעכברא לא היה שישים ובשישים בטל דלטעם בריה מהני שישים</w:t>
      </w:r>
      <w:bookmarkEnd w:id="11567"/>
      <w:bookmarkEnd w:id="11568"/>
      <w:bookmarkEnd w:id="11569"/>
      <w:bookmarkEnd w:id="11570"/>
      <w:bookmarkEnd w:id="11571"/>
    </w:p>
    <w:p w:rsidR="006C2032" w:rsidRPr="003377F8" w:rsidRDefault="006C2032" w:rsidP="009F44AF">
      <w:pPr>
        <w:pStyle w:val="a"/>
        <w:rPr>
          <w:rtl/>
        </w:rPr>
      </w:pPr>
      <w:bookmarkStart w:id="11572" w:name="_Ref20265593"/>
      <w:r w:rsidRPr="003377F8">
        <w:rPr>
          <w:rFonts w:hint="cs"/>
          <w:rtl/>
        </w:rPr>
        <w:t xml:space="preserve">כתב </w:t>
      </w:r>
      <w:r w:rsidRPr="003377F8">
        <w:rPr>
          <w:rStyle w:val="af8"/>
          <w:rFonts w:hint="cs"/>
          <w:rtl/>
        </w:rPr>
        <w:t>הריטב"א</w:t>
      </w:r>
      <w:r w:rsidRPr="003377F8">
        <w:rPr>
          <w:rFonts w:hint="cs"/>
          <w:rtl/>
        </w:rPr>
        <w:t xml:space="preserve"> </w:t>
      </w:r>
      <w:r w:rsidRPr="003377F8">
        <w:rPr>
          <w:rStyle w:val="af6"/>
          <w:rFonts w:eastAsia="Guttman Hodes" w:hint="cs"/>
          <w:rtl/>
        </w:rPr>
        <w:t>(ד"ה ההוא)</w:t>
      </w:r>
      <w:r w:rsidRPr="003377F8">
        <w:rPr>
          <w:rFonts w:hint="cs"/>
          <w:rtl/>
        </w:rPr>
        <w:t xml:space="preserve"> דבעכברא בשיכרא איירי שהאיסור היה ניכר וסילקוהו מתוך ההיתר, דכיון שהוא ניכר אינו מתבטל, אלא דעדיין יש בתוך ההיתר טעם מהאיסור, ואין שיעור </w:t>
      </w:r>
      <w:r w:rsidRPr="003377F8">
        <w:rPr>
          <w:rStyle w:val="afa"/>
          <w:rFonts w:hint="cs"/>
          <w:rtl/>
        </w:rPr>
        <w:t>[שישים]</w:t>
      </w:r>
      <w:r w:rsidRPr="003377F8">
        <w:rPr>
          <w:rFonts w:hint="cs"/>
          <w:rtl/>
        </w:rPr>
        <w:t xml:space="preserve"> בהיתר בכדי לבטלו, </w:t>
      </w:r>
      <w:r w:rsidRPr="00DB00D4">
        <w:rPr>
          <w:rStyle w:val="afa"/>
          <w:rFonts w:hint="cs"/>
          <w:rtl/>
        </w:rPr>
        <w:t xml:space="preserve">[וכ"כ </w:t>
      </w:r>
      <w:r w:rsidRPr="00DB00D4">
        <w:rPr>
          <w:rStyle w:val="affa"/>
          <w:rFonts w:hint="cs"/>
          <w:rtl/>
        </w:rPr>
        <w:t>הרשב"א</w:t>
      </w:r>
      <w:r w:rsidRPr="00DB00D4">
        <w:rPr>
          <w:rStyle w:val="afa"/>
          <w:rFonts w:hint="cs"/>
          <w:rtl/>
        </w:rPr>
        <w:t xml:space="preserve"> </w:t>
      </w:r>
      <w:r w:rsidRPr="00DB00D4">
        <w:rPr>
          <w:rStyle w:val="aff6"/>
          <w:rFonts w:hint="cs"/>
          <w:rtl/>
        </w:rPr>
        <w:t xml:space="preserve">(עי' אות </w:t>
      </w:r>
      <w:r w:rsidRPr="00DB00D4">
        <w:rPr>
          <w:rStyle w:val="aff6"/>
          <w:rtl/>
        </w:rPr>
        <w:fldChar w:fldCharType="begin"/>
      </w:r>
      <w:r w:rsidRPr="00DB00D4">
        <w:rPr>
          <w:rStyle w:val="aff6"/>
          <w:rtl/>
        </w:rPr>
        <w:instrText xml:space="preserve"> </w:instrText>
      </w:r>
      <w:r w:rsidRPr="00DB00D4">
        <w:rPr>
          <w:rStyle w:val="aff6"/>
          <w:rFonts w:hint="cs"/>
        </w:rPr>
        <w:instrText>REF</w:instrText>
      </w:r>
      <w:r w:rsidRPr="00DB00D4">
        <w:rPr>
          <w:rStyle w:val="aff6"/>
          <w:rFonts w:hint="cs"/>
          <w:rtl/>
        </w:rPr>
        <w:instrText xml:space="preserve"> _</w:instrText>
      </w:r>
      <w:r w:rsidRPr="00DB00D4">
        <w:rPr>
          <w:rStyle w:val="aff6"/>
          <w:rFonts w:hint="cs"/>
        </w:rPr>
        <w:instrText>Ref20068557 \r \h</w:instrText>
      </w:r>
      <w:r w:rsidRPr="00DB00D4">
        <w:rPr>
          <w:rStyle w:val="aff6"/>
          <w:rtl/>
        </w:rPr>
        <w:instrText xml:space="preserve"> </w:instrText>
      </w:r>
      <w:r w:rsidRPr="00DB00D4">
        <w:rPr>
          <w:rStyle w:val="aff6"/>
          <w:rtl/>
        </w:rPr>
      </w:r>
      <w:r w:rsidRPr="00DB00D4">
        <w:rPr>
          <w:rStyle w:val="aff6"/>
          <w:rtl/>
        </w:rPr>
        <w:fldChar w:fldCharType="separate"/>
      </w:r>
      <w:r w:rsidR="004D1C5B">
        <w:rPr>
          <w:rStyle w:val="aff6"/>
          <w:cs/>
        </w:rPr>
        <w:t>‎</w:t>
      </w:r>
      <w:r w:rsidR="004D1C5B">
        <w:rPr>
          <w:rStyle w:val="aff6"/>
          <w:rtl/>
        </w:rPr>
        <w:t>יט)</w:t>
      </w:r>
      <w:r w:rsidRPr="00DB00D4">
        <w:rPr>
          <w:rStyle w:val="aff6"/>
          <w:rtl/>
        </w:rPr>
        <w:fldChar w:fldCharType="end"/>
      </w:r>
      <w:r>
        <w:rPr>
          <w:rStyle w:val="afa"/>
          <w:rFonts w:hint="cs"/>
          <w:rtl/>
        </w:rPr>
        <w:t xml:space="preserve">, ועי' בדברי </w:t>
      </w:r>
      <w:r w:rsidRPr="0045199B">
        <w:rPr>
          <w:rStyle w:val="affa"/>
          <w:rFonts w:hint="cs"/>
          <w:rtl/>
        </w:rPr>
        <w:t>הב"י</w:t>
      </w:r>
      <w:r>
        <w:rPr>
          <w:rStyle w:val="afa"/>
          <w:rFonts w:hint="cs"/>
          <w:rtl/>
        </w:rPr>
        <w:t xml:space="preserve"> </w:t>
      </w:r>
      <w:r w:rsidRPr="0045199B">
        <w:rPr>
          <w:rStyle w:val="aff6"/>
          <w:rFonts w:hint="cs"/>
          <w:rtl/>
        </w:rPr>
        <w:t xml:space="preserve">(עי' אות </w:t>
      </w:r>
      <w:r w:rsidRPr="0045199B">
        <w:rPr>
          <w:rStyle w:val="aff6"/>
          <w:rtl/>
        </w:rPr>
        <w:fldChar w:fldCharType="begin"/>
      </w:r>
      <w:r w:rsidRPr="0045199B">
        <w:rPr>
          <w:rStyle w:val="aff6"/>
          <w:rtl/>
        </w:rPr>
        <w:instrText xml:space="preserve"> </w:instrText>
      </w:r>
      <w:r w:rsidRPr="0045199B">
        <w:rPr>
          <w:rStyle w:val="aff6"/>
          <w:rFonts w:hint="cs"/>
        </w:rPr>
        <w:instrText>REF</w:instrText>
      </w:r>
      <w:r w:rsidRPr="0045199B">
        <w:rPr>
          <w:rStyle w:val="aff6"/>
          <w:rFonts w:hint="cs"/>
          <w:rtl/>
        </w:rPr>
        <w:instrText xml:space="preserve"> _</w:instrText>
      </w:r>
      <w:r w:rsidRPr="0045199B">
        <w:rPr>
          <w:rStyle w:val="aff6"/>
          <w:rFonts w:hint="cs"/>
        </w:rPr>
        <w:instrText>Ref20300769 \r \h</w:instrText>
      </w:r>
      <w:r w:rsidRPr="0045199B">
        <w:rPr>
          <w:rStyle w:val="aff6"/>
          <w:rtl/>
        </w:rPr>
        <w:instrText xml:space="preserve"> </w:instrText>
      </w:r>
      <w:r w:rsidRPr="0045199B">
        <w:rPr>
          <w:rStyle w:val="aff6"/>
          <w:rtl/>
        </w:rPr>
      </w:r>
      <w:r w:rsidRPr="0045199B">
        <w:rPr>
          <w:rStyle w:val="aff6"/>
          <w:rtl/>
        </w:rPr>
        <w:fldChar w:fldCharType="separate"/>
      </w:r>
      <w:r w:rsidR="004D1C5B">
        <w:rPr>
          <w:rStyle w:val="aff6"/>
          <w:cs/>
        </w:rPr>
        <w:t>‎</w:t>
      </w:r>
      <w:r w:rsidR="004D1C5B">
        <w:rPr>
          <w:rStyle w:val="aff6"/>
          <w:rtl/>
        </w:rPr>
        <w:t>פה)</w:t>
      </w:r>
      <w:r w:rsidRPr="0045199B">
        <w:rPr>
          <w:rStyle w:val="aff6"/>
          <w:rtl/>
        </w:rPr>
        <w:fldChar w:fldCharType="end"/>
      </w:r>
      <w:r w:rsidRPr="00DB00D4">
        <w:rPr>
          <w:rStyle w:val="afa"/>
          <w:rFonts w:hint="cs"/>
          <w:rtl/>
        </w:rPr>
        <w:t>],</w:t>
      </w:r>
      <w:r>
        <w:rPr>
          <w:rFonts w:hint="cs"/>
          <w:rtl/>
        </w:rPr>
        <w:t xml:space="preserve"> </w:t>
      </w:r>
      <w:r w:rsidRPr="003377F8">
        <w:rPr>
          <w:rFonts w:hint="cs"/>
          <w:rtl/>
        </w:rPr>
        <w:t xml:space="preserve">וביאר </w:t>
      </w:r>
      <w:r w:rsidRPr="003377F8">
        <w:rPr>
          <w:rStyle w:val="af8"/>
          <w:rFonts w:hint="cs"/>
          <w:rtl/>
        </w:rPr>
        <w:t>הריטב"א</w:t>
      </w:r>
      <w:r w:rsidRPr="003377F8">
        <w:rPr>
          <w:rFonts w:hint="cs"/>
          <w:rtl/>
        </w:rPr>
        <w:t xml:space="preserve"> דאף דבריה אינה מתבטלת, זהו דוקא לענין גוף הב</w:t>
      </w:r>
      <w:r>
        <w:rPr>
          <w:rFonts w:hint="cs"/>
          <w:rtl/>
        </w:rPr>
        <w:t>ר</w:t>
      </w:r>
      <w:r w:rsidRPr="003377F8">
        <w:rPr>
          <w:rFonts w:hint="cs"/>
          <w:rtl/>
        </w:rPr>
        <w:t xml:space="preserve">יה עצמה, דכל שנפלה לתוך מינה ואינה ניכרת אינה מתבטלת, אבל טעם הבריה מתבטל בנותן טעם </w:t>
      </w:r>
      <w:r w:rsidRPr="003377F8">
        <w:rPr>
          <w:rStyle w:val="afa"/>
          <w:rFonts w:hint="cs"/>
          <w:rtl/>
        </w:rPr>
        <w:t>[בשישים]</w:t>
      </w:r>
      <w:r w:rsidRPr="003377F8">
        <w:rPr>
          <w:rFonts w:hint="cs"/>
          <w:rtl/>
        </w:rPr>
        <w:t>.</w:t>
      </w:r>
      <w:bookmarkEnd w:id="11572"/>
    </w:p>
    <w:p w:rsidR="006C2032" w:rsidRPr="00D26EBC" w:rsidRDefault="006C2032" w:rsidP="006C2032">
      <w:pPr>
        <w:pStyle w:val="a2"/>
        <w:rPr>
          <w:rtl/>
        </w:rPr>
      </w:pPr>
      <w:bookmarkStart w:id="11573" w:name="_Toc20267167"/>
      <w:bookmarkStart w:id="11574" w:name="_Toc20311024"/>
      <w:bookmarkStart w:id="11575" w:name="_Toc20311196"/>
      <w:bookmarkStart w:id="11576" w:name="_Toc20315468"/>
      <w:bookmarkStart w:id="11577" w:name="_Toc20315864"/>
      <w:r w:rsidRPr="00D26EBC">
        <w:rPr>
          <w:rFonts w:hint="cs"/>
          <w:rtl/>
        </w:rPr>
        <w:t>דברי הריטב"א דרבא פליג על רב ששת ומתיר נותן טעם לפגם אף באיסור מאוס מעיקרו</w:t>
      </w:r>
      <w:bookmarkEnd w:id="11573"/>
      <w:bookmarkEnd w:id="11574"/>
      <w:bookmarkEnd w:id="11575"/>
      <w:bookmarkEnd w:id="11576"/>
      <w:bookmarkEnd w:id="11577"/>
    </w:p>
    <w:p w:rsidR="006C2032" w:rsidRPr="00D26EBC" w:rsidRDefault="006C2032" w:rsidP="009F44AF">
      <w:pPr>
        <w:pStyle w:val="a"/>
        <w:rPr>
          <w:rtl/>
        </w:rPr>
      </w:pPr>
      <w:r w:rsidRPr="00D26EBC">
        <w:rPr>
          <w:rFonts w:hint="cs"/>
          <w:rtl/>
        </w:rPr>
        <w:t xml:space="preserve">כתב </w:t>
      </w:r>
      <w:r w:rsidRPr="00D26EBC">
        <w:rPr>
          <w:rStyle w:val="af8"/>
          <w:rFonts w:hint="cs"/>
          <w:rtl/>
        </w:rPr>
        <w:t>הריטב"א</w:t>
      </w:r>
      <w:r w:rsidRPr="00D26EBC">
        <w:rPr>
          <w:rFonts w:hint="cs"/>
          <w:rtl/>
        </w:rPr>
        <w:t xml:space="preserve"> </w:t>
      </w:r>
      <w:r w:rsidRPr="00D26EBC">
        <w:rPr>
          <w:rStyle w:val="af6"/>
          <w:rFonts w:eastAsia="Guttman Hodes" w:hint="cs"/>
          <w:rtl/>
        </w:rPr>
        <w:t>(ד"ה ומיהו)</w:t>
      </w:r>
      <w:r w:rsidRPr="00D26EBC">
        <w:rPr>
          <w:rFonts w:hint="cs"/>
          <w:rtl/>
        </w:rPr>
        <w:t xml:space="preserve"> </w:t>
      </w:r>
      <w:r>
        <w:rPr>
          <w:rFonts w:hint="cs"/>
          <w:rtl/>
        </w:rPr>
        <w:t xml:space="preserve">דהגירסא בדברי רבא היא, דהלכתא דנותן טעם לפגם בשרצים מותר, וכתב </w:t>
      </w:r>
      <w:r w:rsidRPr="00204AE3">
        <w:rPr>
          <w:rStyle w:val="af8"/>
          <w:rFonts w:hint="cs"/>
          <w:rtl/>
        </w:rPr>
        <w:t>הריטב"א</w:t>
      </w:r>
      <w:r>
        <w:rPr>
          <w:rFonts w:hint="cs"/>
          <w:rtl/>
        </w:rPr>
        <w:t xml:space="preserve"> דאף אי לא גרסינן כן בגמ', מ"מ זהו הביאור בדברי רבא, ד</w:t>
      </w:r>
      <w:r w:rsidRPr="00D26EBC">
        <w:rPr>
          <w:rFonts w:hint="cs"/>
          <w:rtl/>
        </w:rPr>
        <w:t>פליג על רב ששת, וס"ל דנותן טעם לפגם מותר אף באיסור שמאוס מעיקרו.</w:t>
      </w:r>
    </w:p>
    <w:p w:rsidR="006C2032" w:rsidRPr="00D26EBC" w:rsidRDefault="006C2032" w:rsidP="006C2032">
      <w:pPr>
        <w:pStyle w:val="a2"/>
      </w:pPr>
      <w:bookmarkStart w:id="11578" w:name="_Toc20311025"/>
      <w:bookmarkStart w:id="11579" w:name="_Toc20311197"/>
      <w:bookmarkStart w:id="11580" w:name="_Toc20315469"/>
      <w:bookmarkStart w:id="11581" w:name="_Toc20315865"/>
      <w:r>
        <w:rPr>
          <w:rFonts w:hint="cs"/>
          <w:rtl/>
        </w:rPr>
        <w:t>ביאור הריטב"א בצד הא' בספק של רבא דס"ל דאף עכברא דבתים אינו מאוס ולכן אסר רב</w:t>
      </w:r>
      <w:bookmarkEnd w:id="11578"/>
      <w:bookmarkEnd w:id="11579"/>
      <w:bookmarkEnd w:id="11580"/>
      <w:bookmarkEnd w:id="11581"/>
    </w:p>
    <w:p w:rsidR="006C2032" w:rsidRPr="0023682C" w:rsidRDefault="006C2032" w:rsidP="009F44AF">
      <w:pPr>
        <w:pStyle w:val="a"/>
        <w:rPr>
          <w:rStyle w:val="afa"/>
          <w:rtl/>
        </w:rPr>
      </w:pPr>
      <w:r w:rsidRPr="00D26EBC">
        <w:rPr>
          <w:rFonts w:hint="cs"/>
          <w:rtl/>
        </w:rPr>
        <w:t xml:space="preserve">וכתב </w:t>
      </w:r>
      <w:r w:rsidRPr="00D26EBC">
        <w:rPr>
          <w:rStyle w:val="af8"/>
          <w:rFonts w:hint="cs"/>
          <w:rtl/>
        </w:rPr>
        <w:t>הריטב"א</w:t>
      </w:r>
      <w:r w:rsidRPr="00D26EBC">
        <w:rPr>
          <w:rFonts w:hint="cs"/>
          <w:rtl/>
        </w:rPr>
        <w:t xml:space="preserve"> דלא התברר בגמ' אי רבא ס"ל דעכברא בשיכרא אינו מאוס</w:t>
      </w:r>
      <w:r>
        <w:rPr>
          <w:rFonts w:hint="cs"/>
          <w:rtl/>
        </w:rPr>
        <w:t>,</w:t>
      </w:r>
      <w:r w:rsidRPr="00D26EBC">
        <w:rPr>
          <w:rFonts w:hint="cs"/>
          <w:rtl/>
        </w:rPr>
        <w:t xml:space="preserve"> </w:t>
      </w:r>
      <w:r w:rsidRPr="00505BF5">
        <w:rPr>
          <w:rStyle w:val="afa"/>
          <w:rFonts w:hint="cs"/>
          <w:rtl/>
        </w:rPr>
        <w:t>[דאשבוחי אשבח],</w:t>
      </w:r>
      <w:r w:rsidRPr="00D26EBC">
        <w:rPr>
          <w:rFonts w:hint="cs"/>
          <w:rtl/>
        </w:rPr>
        <w:t xml:space="preserve"> ואין בו חידוש</w:t>
      </w:r>
      <w:r>
        <w:rPr>
          <w:rFonts w:hint="cs"/>
          <w:rtl/>
        </w:rPr>
        <w:t xml:space="preserve">. </w:t>
      </w:r>
      <w:r w:rsidRPr="0023682C">
        <w:rPr>
          <w:rStyle w:val="afa"/>
          <w:rFonts w:hint="cs"/>
          <w:rtl/>
        </w:rPr>
        <w:t>[והיינו דלצד זה רבא מודה לרב ששת דאיסור שמאוס מעיקרו, אין בו היתר נותן טעם לפגם, כיון שהוא חידוש דאסרתו תורה אף שהוא מאוס].</w:t>
      </w:r>
    </w:p>
    <w:p w:rsidR="006C2032" w:rsidRPr="0023682C" w:rsidRDefault="006C2032" w:rsidP="006C2032">
      <w:pPr>
        <w:pStyle w:val="a2"/>
      </w:pPr>
      <w:bookmarkStart w:id="11582" w:name="_Toc20311026"/>
      <w:bookmarkStart w:id="11583" w:name="_Toc20311198"/>
      <w:bookmarkStart w:id="11584" w:name="_Toc20315470"/>
      <w:bookmarkStart w:id="11585" w:name="_Toc20315866"/>
      <w:r>
        <w:rPr>
          <w:rFonts w:hint="cs"/>
          <w:rtl/>
        </w:rPr>
        <w:t>ביאור הריטב"א בצד בספק של רבא דרבנן אסרו נטל"פ אף באיסור מאוס דלא פלוג רבנן</w:t>
      </w:r>
      <w:bookmarkEnd w:id="11582"/>
      <w:bookmarkEnd w:id="11583"/>
      <w:bookmarkEnd w:id="11584"/>
      <w:bookmarkEnd w:id="11585"/>
    </w:p>
    <w:p w:rsidR="006C2032" w:rsidRDefault="006C2032" w:rsidP="009F44AF">
      <w:pPr>
        <w:pStyle w:val="a"/>
        <w:rPr>
          <w:rtl/>
        </w:rPr>
      </w:pPr>
      <w:r>
        <w:rPr>
          <w:rFonts w:hint="cs"/>
          <w:rtl/>
        </w:rPr>
        <w:t xml:space="preserve">ובצד השני ברבא ביאר הריטב"א </w:t>
      </w:r>
      <w:r w:rsidRPr="00D26EBC">
        <w:rPr>
          <w:rFonts w:hint="cs"/>
          <w:rtl/>
        </w:rPr>
        <w:t xml:space="preserve">דס"ל לרבא דכיון דטעם כעיקר דרבנן, לכן לא פלוג רבנן ולא החמירו בטעם פגום של </w:t>
      </w:r>
      <w:r w:rsidRPr="00D26EBC">
        <w:rPr>
          <w:rFonts w:hint="cs"/>
          <w:rtl/>
        </w:rPr>
        <w:lastRenderedPageBreak/>
        <w:t>שרצים, אף שחייבה תורה עליו כשהוא מאוס בטעמו, מ"מ התירו רבנן את טעמו בתערובת, מדין נותן טעם לפגם, כיון דטעם כעיקר דרבנן, ולפי"ז רבא נחלק על דברי רב ששת לגמרי</w:t>
      </w:r>
      <w:r>
        <w:rPr>
          <w:rFonts w:hint="cs"/>
          <w:rtl/>
        </w:rPr>
        <w:t>.</w:t>
      </w:r>
    </w:p>
    <w:p w:rsidR="006C2032" w:rsidRPr="00423359" w:rsidRDefault="006C2032" w:rsidP="006C2032">
      <w:pPr>
        <w:pStyle w:val="a2"/>
      </w:pPr>
      <w:bookmarkStart w:id="11586" w:name="_Toc20311027"/>
      <w:bookmarkStart w:id="11587" w:name="_Toc20311199"/>
      <w:bookmarkStart w:id="11588" w:name="_Toc20315471"/>
      <w:bookmarkStart w:id="11589" w:name="_Toc20315867"/>
      <w:r>
        <w:rPr>
          <w:rFonts w:hint="cs"/>
          <w:rtl/>
        </w:rPr>
        <w:t>דברי הריטב"א דמסתבר דלרבא נטל"פ מותר בכל האיסורים ואף במאוס דלא פלוג רבנן</w:t>
      </w:r>
      <w:bookmarkEnd w:id="11586"/>
      <w:bookmarkEnd w:id="11587"/>
      <w:bookmarkEnd w:id="11588"/>
      <w:bookmarkEnd w:id="11589"/>
    </w:p>
    <w:p w:rsidR="006C2032" w:rsidRDefault="006C2032" w:rsidP="009F44AF">
      <w:pPr>
        <w:pStyle w:val="a"/>
        <w:rPr>
          <w:rtl/>
        </w:rPr>
      </w:pPr>
      <w:r w:rsidRPr="00D26EBC">
        <w:rPr>
          <w:rFonts w:hint="cs"/>
          <w:rtl/>
        </w:rPr>
        <w:t xml:space="preserve">וכתב </w:t>
      </w:r>
      <w:r w:rsidRPr="00D26EBC">
        <w:rPr>
          <w:rStyle w:val="af8"/>
          <w:rFonts w:hint="cs"/>
          <w:rtl/>
        </w:rPr>
        <w:t>הריטב"א</w:t>
      </w:r>
      <w:r w:rsidRPr="00D26EBC">
        <w:rPr>
          <w:rFonts w:hint="cs"/>
          <w:rtl/>
        </w:rPr>
        <w:t xml:space="preserve"> דיותר מסתבר דלרבא </w:t>
      </w:r>
      <w:r>
        <w:rPr>
          <w:rFonts w:hint="cs"/>
          <w:rtl/>
        </w:rPr>
        <w:t xml:space="preserve">לא פלוג רבנן וכל </w:t>
      </w:r>
      <w:r w:rsidRPr="00D26EBC">
        <w:rPr>
          <w:rFonts w:hint="cs"/>
          <w:rtl/>
        </w:rPr>
        <w:t>נותן טעם לפגם מותר</w:t>
      </w:r>
      <w:r>
        <w:rPr>
          <w:rFonts w:hint="cs"/>
          <w:rtl/>
        </w:rPr>
        <w:t>,</w:t>
      </w:r>
      <w:r w:rsidRPr="00D26EBC">
        <w:rPr>
          <w:rFonts w:hint="cs"/>
          <w:rtl/>
        </w:rPr>
        <w:t xml:space="preserve"> בין באיסור מאוס מעיקרו</w:t>
      </w:r>
      <w:r>
        <w:rPr>
          <w:rFonts w:hint="cs"/>
          <w:rtl/>
        </w:rPr>
        <w:t>,</w:t>
      </w:r>
      <w:r w:rsidRPr="00D26EBC">
        <w:rPr>
          <w:rFonts w:hint="cs"/>
          <w:rtl/>
        </w:rPr>
        <w:t xml:space="preserve"> ובין</w:t>
      </w:r>
      <w:r>
        <w:rPr>
          <w:rFonts w:hint="cs"/>
          <w:rtl/>
        </w:rPr>
        <w:t xml:space="preserve"> באיסור שהיה משובח ופגם בתערובת</w:t>
      </w:r>
      <w:r w:rsidRPr="002E0C68">
        <w:rPr>
          <w:rFonts w:hint="cs"/>
          <w:rtl/>
        </w:rPr>
        <w:t>.</w:t>
      </w:r>
    </w:p>
    <w:p w:rsidR="006C2032" w:rsidRDefault="006C2032" w:rsidP="00E669F8">
      <w:pPr>
        <w:pStyle w:val="afd"/>
        <w:rPr>
          <w:rtl/>
        </w:rPr>
      </w:pPr>
      <w:bookmarkStart w:id="11590" w:name="_Toc20315868"/>
      <w:bookmarkStart w:id="11591" w:name="_Toc20310991"/>
      <w:bookmarkStart w:id="11592" w:name="_Toc20311163"/>
      <w:bookmarkStart w:id="11593" w:name="_Toc20315435"/>
      <w:bookmarkStart w:id="11594" w:name="_Toc20168403"/>
      <w:bookmarkStart w:id="11595" w:name="_Toc20170509"/>
      <w:bookmarkStart w:id="11596" w:name="_Toc20226709"/>
      <w:bookmarkStart w:id="11597" w:name="_Toc20256912"/>
      <w:bookmarkStart w:id="11598" w:name="_Toc20267168"/>
      <w:bookmarkStart w:id="11599" w:name="_Toc20311028"/>
      <w:bookmarkStart w:id="11600" w:name="_Toc20311200"/>
      <w:bookmarkStart w:id="11601" w:name="_Toc20315472"/>
      <w:r>
        <w:rPr>
          <w:rFonts w:hint="cs"/>
          <w:rtl/>
        </w:rPr>
        <w:t>בדין ביטול בשישים באיסור מאוס</w:t>
      </w:r>
      <w:bookmarkEnd w:id="11590"/>
    </w:p>
    <w:p w:rsidR="006C2032" w:rsidRDefault="006C2032" w:rsidP="006C2032">
      <w:pPr>
        <w:pStyle w:val="1"/>
        <w:rPr>
          <w:rtl/>
        </w:rPr>
      </w:pPr>
      <w:bookmarkStart w:id="11602" w:name="_Toc20315869"/>
      <w:r>
        <w:rPr>
          <w:rFonts w:hint="cs"/>
          <w:rtl/>
        </w:rPr>
        <w:t>פלוגתת הראשונים אם צריך שישים כנגד האיסור המאוס</w:t>
      </w:r>
      <w:bookmarkEnd w:id="11591"/>
      <w:bookmarkEnd w:id="11592"/>
      <w:bookmarkEnd w:id="11593"/>
      <w:bookmarkEnd w:id="11602"/>
    </w:p>
    <w:p w:rsidR="006C2032" w:rsidRPr="004A79EB" w:rsidRDefault="006C2032" w:rsidP="006C2032">
      <w:pPr>
        <w:pStyle w:val="a2"/>
        <w:rPr>
          <w:rtl/>
        </w:rPr>
      </w:pPr>
      <w:bookmarkStart w:id="11603" w:name="_Toc20310992"/>
      <w:bookmarkStart w:id="11604" w:name="_Toc20311164"/>
      <w:bookmarkStart w:id="11605" w:name="_Toc20315436"/>
      <w:bookmarkStart w:id="11606" w:name="_Toc20315870"/>
      <w:r>
        <w:rPr>
          <w:rFonts w:hint="cs"/>
          <w:rtl/>
        </w:rPr>
        <w:t>דברי הב"י דלהרשב"א והריב"ש א"צ שישים כנגד איסור מאוס שבדילים ממנו</w:t>
      </w:r>
      <w:bookmarkEnd w:id="11603"/>
      <w:bookmarkEnd w:id="11604"/>
      <w:bookmarkEnd w:id="11605"/>
      <w:bookmarkEnd w:id="11606"/>
    </w:p>
    <w:p w:rsidR="007D485E" w:rsidRDefault="006C2032" w:rsidP="009F44AF">
      <w:pPr>
        <w:pStyle w:val="a"/>
        <w:rPr>
          <w:rtl/>
        </w:rPr>
      </w:pPr>
      <w:bookmarkStart w:id="11607" w:name="_Ref20300769"/>
      <w:r>
        <w:rPr>
          <w:rFonts w:hint="cs"/>
          <w:rtl/>
        </w:rPr>
        <w:t xml:space="preserve">הביא </w:t>
      </w:r>
      <w:r w:rsidRPr="00C17C41">
        <w:rPr>
          <w:rStyle w:val="af8"/>
          <w:rFonts w:hint="cs"/>
          <w:rtl/>
        </w:rPr>
        <w:t>הב"י</w:t>
      </w:r>
      <w:r>
        <w:rPr>
          <w:rFonts w:hint="cs"/>
          <w:rtl/>
        </w:rPr>
        <w:t xml:space="preserve"> </w:t>
      </w:r>
      <w:r w:rsidRPr="00C17C41">
        <w:rPr>
          <w:rStyle w:val="af6"/>
          <w:rFonts w:eastAsia="Guttman Hodes" w:hint="cs"/>
          <w:rtl/>
        </w:rPr>
        <w:t>(סי' ק"ד ג' ד"ה וכתב בתשובות הרשב"א)</w:t>
      </w:r>
      <w:r>
        <w:rPr>
          <w:rFonts w:hint="cs"/>
          <w:rtl/>
        </w:rPr>
        <w:t xml:space="preserve"> את דברי ה</w:t>
      </w:r>
      <w:r w:rsidRPr="00C17C41">
        <w:rPr>
          <w:rStyle w:val="af8"/>
          <w:rFonts w:hint="cs"/>
          <w:rtl/>
        </w:rPr>
        <w:t>רשב"א בתשו'</w:t>
      </w:r>
      <w:r>
        <w:rPr>
          <w:rFonts w:hint="cs"/>
          <w:rtl/>
        </w:rPr>
        <w:t xml:space="preserve"> </w:t>
      </w:r>
      <w:r w:rsidRPr="00C17C41">
        <w:rPr>
          <w:rStyle w:val="af6"/>
          <w:rFonts w:eastAsia="Guttman Hodes" w:hint="cs"/>
          <w:rtl/>
        </w:rPr>
        <w:t>(ח"א סי' ק"א)</w:t>
      </w:r>
      <w:r>
        <w:rPr>
          <w:rFonts w:hint="cs"/>
          <w:rtl/>
        </w:rPr>
        <w:t xml:space="preserve"> </w:t>
      </w:r>
      <w:r w:rsidRPr="00C17C41">
        <w:rPr>
          <w:rStyle w:val="af8"/>
          <w:rFonts w:hint="cs"/>
          <w:rtl/>
        </w:rPr>
        <w:t>והריב"ש</w:t>
      </w:r>
      <w:r>
        <w:rPr>
          <w:rFonts w:hint="cs"/>
          <w:rtl/>
        </w:rPr>
        <w:t xml:space="preserve"> </w:t>
      </w:r>
      <w:r w:rsidRPr="00C17C41">
        <w:rPr>
          <w:rStyle w:val="af6"/>
          <w:rFonts w:eastAsia="Guttman Hodes" w:hint="cs"/>
          <w:rtl/>
        </w:rPr>
        <w:t>(סי' תמ"ט)</w:t>
      </w:r>
      <w:r>
        <w:rPr>
          <w:rFonts w:hint="cs"/>
          <w:rtl/>
        </w:rPr>
        <w:t xml:space="preserve"> דכתבו דאיסור שמאוס מעיקרו ובדילי אינשי מיניה, כזבובין ויתושין, אינו אוסר בנתינת טעם, כיון שטעמו פגום, והוא בטל ברוב וא"צ שישים כנגדו, והוסיף </w:t>
      </w:r>
      <w:r w:rsidRPr="004A79EB">
        <w:rPr>
          <w:rStyle w:val="af8"/>
          <w:rFonts w:hint="cs"/>
          <w:rtl/>
        </w:rPr>
        <w:t>הריב"ש</w:t>
      </w:r>
      <w:r>
        <w:rPr>
          <w:rFonts w:hint="cs"/>
          <w:rtl/>
        </w:rPr>
        <w:t xml:space="preserve"> דכ"מ דאסרה תורה איסור שמאוס מעיקרו, הוא רק כשהוא בעין ולא כשנתנו טעם בתערובת.</w:t>
      </w:r>
      <w:r w:rsidRPr="00543A88">
        <w:rPr>
          <w:rStyle w:val="afa"/>
          <w:rFonts w:hint="cs"/>
          <w:rtl/>
        </w:rPr>
        <w:t xml:space="preserve"> </w:t>
      </w:r>
      <w:r w:rsidRPr="00DB00D4">
        <w:rPr>
          <w:rStyle w:val="afa"/>
          <w:rFonts w:hint="cs"/>
          <w:rtl/>
        </w:rPr>
        <w:t>[</w:t>
      </w:r>
      <w:r w:rsidRPr="00B608F5">
        <w:rPr>
          <w:rStyle w:val="afa"/>
          <w:rFonts w:hint="cs"/>
          <w:rtl/>
        </w:rPr>
        <w:t xml:space="preserve">וכ"כ </w:t>
      </w:r>
      <w:r w:rsidRPr="00DB00D4">
        <w:rPr>
          <w:rStyle w:val="affa"/>
          <w:rFonts w:hint="cs"/>
          <w:rtl/>
        </w:rPr>
        <w:t>הרשב"א</w:t>
      </w:r>
      <w:r>
        <w:rPr>
          <w:rStyle w:val="affa"/>
          <w:rFonts w:hint="cs"/>
          <w:rtl/>
        </w:rPr>
        <w:t xml:space="preserve"> בתוה"ב</w:t>
      </w:r>
      <w:r w:rsidRPr="00DB00D4">
        <w:rPr>
          <w:rStyle w:val="afa"/>
          <w:rFonts w:hint="cs"/>
          <w:rtl/>
        </w:rPr>
        <w:t xml:space="preserve"> </w:t>
      </w:r>
      <w:r w:rsidRPr="00DB00D4">
        <w:rPr>
          <w:rStyle w:val="aff6"/>
          <w:rFonts w:hint="cs"/>
          <w:rtl/>
        </w:rPr>
        <w:t xml:space="preserve">(עי' אות </w:t>
      </w:r>
      <w:r w:rsidRPr="00DB00D4">
        <w:rPr>
          <w:rStyle w:val="aff6"/>
          <w:rtl/>
        </w:rPr>
        <w:fldChar w:fldCharType="begin"/>
      </w:r>
      <w:r w:rsidRPr="00DB00D4">
        <w:rPr>
          <w:rStyle w:val="aff6"/>
          <w:rtl/>
        </w:rPr>
        <w:instrText xml:space="preserve"> </w:instrText>
      </w:r>
      <w:r w:rsidRPr="00DB00D4">
        <w:rPr>
          <w:rStyle w:val="aff6"/>
          <w:rFonts w:hint="cs"/>
        </w:rPr>
        <w:instrText>REF</w:instrText>
      </w:r>
      <w:r w:rsidRPr="00DB00D4">
        <w:rPr>
          <w:rStyle w:val="aff6"/>
          <w:rFonts w:hint="cs"/>
          <w:rtl/>
        </w:rPr>
        <w:instrText xml:space="preserve"> _</w:instrText>
      </w:r>
      <w:r w:rsidRPr="00DB00D4">
        <w:rPr>
          <w:rStyle w:val="aff6"/>
          <w:rFonts w:hint="cs"/>
        </w:rPr>
        <w:instrText>Ref20068557 \r \h</w:instrText>
      </w:r>
      <w:r w:rsidRPr="00DB00D4">
        <w:rPr>
          <w:rStyle w:val="aff6"/>
          <w:rtl/>
        </w:rPr>
        <w:instrText xml:space="preserve"> </w:instrText>
      </w:r>
      <w:r w:rsidRPr="00DB00D4">
        <w:rPr>
          <w:rStyle w:val="aff6"/>
          <w:rtl/>
        </w:rPr>
      </w:r>
      <w:r w:rsidRPr="00DB00D4">
        <w:rPr>
          <w:rStyle w:val="aff6"/>
          <w:rtl/>
        </w:rPr>
        <w:fldChar w:fldCharType="separate"/>
      </w:r>
      <w:r w:rsidR="004D1C5B">
        <w:rPr>
          <w:rStyle w:val="aff6"/>
          <w:cs/>
        </w:rPr>
        <w:t>‎</w:t>
      </w:r>
      <w:r w:rsidR="004D1C5B">
        <w:rPr>
          <w:rStyle w:val="aff6"/>
          <w:rtl/>
        </w:rPr>
        <w:t>יט)</w:t>
      </w:r>
      <w:r w:rsidRPr="00DB00D4">
        <w:rPr>
          <w:rStyle w:val="aff6"/>
          <w:rtl/>
        </w:rPr>
        <w:fldChar w:fldCharType="end"/>
      </w:r>
      <w:r>
        <w:rPr>
          <w:rStyle w:val="aff6"/>
          <w:rFonts w:hint="cs"/>
          <w:rtl/>
        </w:rPr>
        <w:t xml:space="preserve"> </w:t>
      </w:r>
      <w:r>
        <w:rPr>
          <w:rStyle w:val="affa"/>
          <w:rFonts w:hint="cs"/>
          <w:rtl/>
        </w:rPr>
        <w:t>ו</w:t>
      </w:r>
      <w:r w:rsidRPr="00B608F5">
        <w:rPr>
          <w:rStyle w:val="affa"/>
          <w:rFonts w:hint="cs"/>
          <w:rtl/>
        </w:rPr>
        <w:t>הריטב"א</w:t>
      </w:r>
      <w:r w:rsidRPr="00B608F5">
        <w:rPr>
          <w:rStyle w:val="afa"/>
          <w:rFonts w:hint="cs"/>
          <w:rtl/>
        </w:rPr>
        <w:t xml:space="preserve"> </w:t>
      </w:r>
      <w:r w:rsidRPr="00B608F5">
        <w:rPr>
          <w:rStyle w:val="aff6"/>
          <w:rFonts w:hint="cs"/>
          <w:rtl/>
        </w:rPr>
        <w:t xml:space="preserve">(עי' אות </w:t>
      </w:r>
      <w:r w:rsidRPr="00B608F5">
        <w:rPr>
          <w:rStyle w:val="aff6"/>
          <w:rtl/>
        </w:rPr>
        <w:fldChar w:fldCharType="begin"/>
      </w:r>
      <w:r w:rsidRPr="00B608F5">
        <w:rPr>
          <w:rStyle w:val="aff6"/>
          <w:rtl/>
        </w:rPr>
        <w:instrText xml:space="preserve"> </w:instrText>
      </w:r>
      <w:r w:rsidRPr="00B608F5">
        <w:rPr>
          <w:rStyle w:val="aff6"/>
          <w:rFonts w:hint="cs"/>
        </w:rPr>
        <w:instrText>REF</w:instrText>
      </w:r>
      <w:r w:rsidRPr="00B608F5">
        <w:rPr>
          <w:rStyle w:val="aff6"/>
          <w:rFonts w:hint="cs"/>
          <w:rtl/>
        </w:rPr>
        <w:instrText xml:space="preserve"> _</w:instrText>
      </w:r>
      <w:r w:rsidRPr="00B608F5">
        <w:rPr>
          <w:rStyle w:val="aff6"/>
          <w:rFonts w:hint="cs"/>
        </w:rPr>
        <w:instrText>Ref20265593 \r \h</w:instrText>
      </w:r>
      <w:r w:rsidRPr="00B608F5">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B608F5">
        <w:rPr>
          <w:rStyle w:val="aff6"/>
          <w:rtl/>
        </w:rPr>
      </w:r>
      <w:r w:rsidRPr="00B608F5">
        <w:rPr>
          <w:rStyle w:val="aff6"/>
          <w:rtl/>
        </w:rPr>
        <w:fldChar w:fldCharType="separate"/>
      </w:r>
      <w:r w:rsidR="004D1C5B">
        <w:rPr>
          <w:rStyle w:val="aff6"/>
          <w:cs/>
        </w:rPr>
        <w:t>‎</w:t>
      </w:r>
      <w:r w:rsidR="004D1C5B">
        <w:rPr>
          <w:rStyle w:val="aff6"/>
          <w:rtl/>
        </w:rPr>
        <w:t>פ)</w:t>
      </w:r>
      <w:r w:rsidRPr="00B608F5">
        <w:rPr>
          <w:rStyle w:val="aff6"/>
          <w:rtl/>
        </w:rPr>
        <w:fldChar w:fldCharType="end"/>
      </w:r>
      <w:r w:rsidRPr="00B608F5">
        <w:rPr>
          <w:rStyle w:val="afa"/>
          <w:rFonts w:hint="cs"/>
          <w:rtl/>
        </w:rPr>
        <w:t xml:space="preserve"> ד</w:t>
      </w:r>
      <w:r>
        <w:rPr>
          <w:rStyle w:val="afa"/>
          <w:rFonts w:hint="cs"/>
          <w:rtl/>
        </w:rPr>
        <w:t>באיסור מאוס מותר אף ש</w:t>
      </w:r>
      <w:r w:rsidRPr="00B608F5">
        <w:rPr>
          <w:rStyle w:val="afa"/>
          <w:rFonts w:hint="cs"/>
          <w:rtl/>
        </w:rPr>
        <w:t>אין שישים כנגד האיסור]</w:t>
      </w:r>
      <w:r>
        <w:rPr>
          <w:rStyle w:val="afa"/>
          <w:rFonts w:hint="cs"/>
          <w:rtl/>
        </w:rPr>
        <w:t>.</w:t>
      </w:r>
      <w:bookmarkEnd w:id="11607"/>
    </w:p>
    <w:p w:rsidR="006C2032" w:rsidRDefault="006C2032" w:rsidP="006C2032">
      <w:pPr>
        <w:pStyle w:val="a2"/>
        <w:rPr>
          <w:rtl/>
        </w:rPr>
      </w:pPr>
      <w:bookmarkStart w:id="11608" w:name="_Toc20310993"/>
      <w:bookmarkStart w:id="11609" w:name="_Toc20311165"/>
      <w:bookmarkStart w:id="11610" w:name="_Toc20315437"/>
      <w:bookmarkStart w:id="11611" w:name="_Toc20315871"/>
      <w:r>
        <w:rPr>
          <w:rFonts w:hint="cs"/>
          <w:rtl/>
        </w:rPr>
        <w:t>דברי הב"י דלטור ולשערי דורא ורבינו ירוחם צריך שישים כנגד איסור המאוס</w:t>
      </w:r>
      <w:bookmarkEnd w:id="11608"/>
      <w:bookmarkEnd w:id="11609"/>
      <w:bookmarkEnd w:id="11610"/>
      <w:bookmarkEnd w:id="11611"/>
    </w:p>
    <w:p w:rsidR="006C2032" w:rsidRDefault="006C2032" w:rsidP="009F44AF">
      <w:pPr>
        <w:pStyle w:val="a"/>
        <w:rPr>
          <w:rtl/>
        </w:rPr>
      </w:pPr>
      <w:r>
        <w:rPr>
          <w:rFonts w:hint="cs"/>
          <w:rtl/>
        </w:rPr>
        <w:t xml:space="preserve">אך כתב </w:t>
      </w:r>
      <w:r w:rsidRPr="001E2A48">
        <w:rPr>
          <w:rStyle w:val="af8"/>
          <w:rFonts w:hint="cs"/>
          <w:rtl/>
        </w:rPr>
        <w:t>הב"י</w:t>
      </w:r>
      <w:r>
        <w:rPr>
          <w:rFonts w:hint="cs"/>
          <w:rtl/>
        </w:rPr>
        <w:t xml:space="preserve"> דמדברי </w:t>
      </w:r>
      <w:r w:rsidRPr="001E2A48">
        <w:rPr>
          <w:rStyle w:val="af8"/>
          <w:rFonts w:hint="cs"/>
          <w:rtl/>
        </w:rPr>
        <w:t>הטור</w:t>
      </w:r>
      <w:r>
        <w:rPr>
          <w:rFonts w:hint="cs"/>
          <w:rtl/>
        </w:rPr>
        <w:t xml:space="preserve"> </w:t>
      </w:r>
      <w:r w:rsidRPr="003400F3">
        <w:rPr>
          <w:rStyle w:val="af6"/>
          <w:rFonts w:eastAsia="Guttman Hodes" w:hint="cs"/>
          <w:rtl/>
        </w:rPr>
        <w:t>(סי' ק"ז)</w:t>
      </w:r>
      <w:r>
        <w:rPr>
          <w:rFonts w:hint="cs"/>
          <w:rtl/>
        </w:rPr>
        <w:t xml:space="preserve"> </w:t>
      </w:r>
      <w:r w:rsidRPr="001E2A48">
        <w:rPr>
          <w:rStyle w:val="af8"/>
          <w:rFonts w:hint="cs"/>
          <w:rtl/>
        </w:rPr>
        <w:t>והשערי דורא</w:t>
      </w:r>
      <w:r>
        <w:rPr>
          <w:rFonts w:hint="cs"/>
          <w:rtl/>
        </w:rPr>
        <w:t xml:space="preserve"> </w:t>
      </w:r>
      <w:r w:rsidRPr="003400F3">
        <w:rPr>
          <w:rStyle w:val="af6"/>
          <w:rFonts w:eastAsia="Guttman Hodes" w:hint="cs"/>
          <w:rtl/>
        </w:rPr>
        <w:t xml:space="preserve">(ליקוטים בסוף הל' טריפות אות ו', הועתק בקובץ שיטות קמאי חולין ח"ג עמ' </w:t>
      </w:r>
      <w:r w:rsidRPr="003400F3">
        <w:rPr>
          <w:rStyle w:val="af6"/>
          <w:rFonts w:eastAsia="Guttman Hodes"/>
          <w:rtl/>
        </w:rPr>
        <w:t>ב' אלף קי</w:t>
      </w:r>
      <w:r w:rsidRPr="003400F3">
        <w:rPr>
          <w:rStyle w:val="af6"/>
          <w:rFonts w:eastAsia="Guttman Hodes" w:hint="cs"/>
          <w:rtl/>
        </w:rPr>
        <w:t>"</w:t>
      </w:r>
      <w:r w:rsidRPr="003400F3">
        <w:rPr>
          <w:rStyle w:val="af6"/>
          <w:rFonts w:eastAsia="Guttman Hodes"/>
          <w:rtl/>
        </w:rPr>
        <w:t>ח</w:t>
      </w:r>
      <w:r w:rsidRPr="003400F3">
        <w:rPr>
          <w:rStyle w:val="af6"/>
          <w:rFonts w:eastAsia="Guttman Hodes" w:hint="cs"/>
          <w:rtl/>
        </w:rPr>
        <w:t>)</w:t>
      </w:r>
      <w:r>
        <w:rPr>
          <w:rFonts w:hint="cs"/>
          <w:rtl/>
        </w:rPr>
        <w:t xml:space="preserve"> </w:t>
      </w:r>
      <w:r w:rsidRPr="001E2A48">
        <w:rPr>
          <w:rStyle w:val="af8"/>
          <w:rFonts w:hint="cs"/>
          <w:rtl/>
        </w:rPr>
        <w:t>ורבינו ירוחם</w:t>
      </w:r>
      <w:r>
        <w:rPr>
          <w:rFonts w:hint="cs"/>
          <w:rtl/>
        </w:rPr>
        <w:t xml:space="preserve"> </w:t>
      </w:r>
      <w:r w:rsidRPr="003400F3">
        <w:rPr>
          <w:rStyle w:val="af6"/>
          <w:rFonts w:eastAsia="Guttman Hodes" w:hint="cs"/>
          <w:rtl/>
        </w:rPr>
        <w:t xml:space="preserve">(נתיב ט"ו אות כ"ט דף קמ:, הועתק בקובץ שיטות קמאי חולין ח"ג עמ' </w:t>
      </w:r>
      <w:r w:rsidRPr="003400F3">
        <w:rPr>
          <w:rStyle w:val="af6"/>
          <w:rFonts w:eastAsia="Guttman Hodes"/>
          <w:rtl/>
        </w:rPr>
        <w:t>ב' אלף ש</w:t>
      </w:r>
      <w:r w:rsidRPr="003400F3">
        <w:rPr>
          <w:rStyle w:val="af6"/>
          <w:rFonts w:eastAsia="Guttman Hodes" w:hint="cs"/>
          <w:rtl/>
        </w:rPr>
        <w:t>"מ)</w:t>
      </w:r>
      <w:r w:rsidRPr="009347CF">
        <w:rPr>
          <w:rFonts w:hint="cs"/>
          <w:rtl/>
        </w:rPr>
        <w:t xml:space="preserve"> </w:t>
      </w:r>
      <w:r>
        <w:rPr>
          <w:rFonts w:hint="cs"/>
          <w:rtl/>
        </w:rPr>
        <w:t>מבואר דזבוב שנפל לקדירה אוסר בשישים כדין שאר איסורים שאוסרים בנתינת טעם, ולא חילקו בין איסור שמאוס מעיקרו לשאר איסורין.</w:t>
      </w:r>
    </w:p>
    <w:p w:rsidR="006C2032" w:rsidRPr="00B100BF" w:rsidRDefault="006C2032" w:rsidP="006C2032">
      <w:pPr>
        <w:pStyle w:val="a2"/>
        <w:rPr>
          <w:rtl/>
        </w:rPr>
      </w:pPr>
      <w:bookmarkStart w:id="11612" w:name="_Toc20310994"/>
      <w:bookmarkStart w:id="11613" w:name="_Toc20311166"/>
      <w:bookmarkStart w:id="11614" w:name="_Toc20315438"/>
      <w:bookmarkStart w:id="11615" w:name="_Toc20315872"/>
      <w:r>
        <w:rPr>
          <w:rFonts w:hint="cs"/>
          <w:rtl/>
        </w:rPr>
        <w:t>קושית הב"י דמסתבר כרשב"א והר"ן דבכל איסור מאוס אין איסור בנתינת טעם כלל</w:t>
      </w:r>
      <w:bookmarkEnd w:id="11612"/>
      <w:bookmarkEnd w:id="11613"/>
      <w:bookmarkEnd w:id="11614"/>
      <w:bookmarkEnd w:id="11615"/>
    </w:p>
    <w:p w:rsidR="006C2032" w:rsidRPr="00F94523" w:rsidRDefault="006C2032" w:rsidP="009F44AF">
      <w:pPr>
        <w:pStyle w:val="a"/>
        <w:rPr>
          <w:rtl/>
        </w:rPr>
      </w:pPr>
      <w:r>
        <w:rPr>
          <w:rFonts w:hint="cs"/>
          <w:rtl/>
        </w:rPr>
        <w:t xml:space="preserve">ותמה </w:t>
      </w:r>
      <w:r w:rsidRPr="003400F3">
        <w:rPr>
          <w:rStyle w:val="af8"/>
          <w:rFonts w:hint="cs"/>
          <w:rtl/>
        </w:rPr>
        <w:t>הב"י</w:t>
      </w:r>
      <w:r>
        <w:rPr>
          <w:rFonts w:hint="cs"/>
          <w:rtl/>
        </w:rPr>
        <w:t xml:space="preserve"> דמסתבר כדברי </w:t>
      </w:r>
      <w:r w:rsidRPr="003400F3">
        <w:rPr>
          <w:rStyle w:val="af8"/>
          <w:rFonts w:hint="cs"/>
          <w:rtl/>
        </w:rPr>
        <w:t xml:space="preserve">הרשב"א </w:t>
      </w:r>
      <w:r w:rsidRPr="00E40D4D">
        <w:rPr>
          <w:rStyle w:val="af6"/>
          <w:rFonts w:eastAsia="Guttman Hodes" w:hint="cs"/>
          <w:rtl/>
        </w:rPr>
        <w:t xml:space="preserve">(עי' אות </w:t>
      </w:r>
      <w:r w:rsidRPr="00E40D4D">
        <w:rPr>
          <w:rStyle w:val="af6"/>
          <w:rFonts w:eastAsia="Guttman Hodes"/>
          <w:rtl/>
        </w:rPr>
        <w:fldChar w:fldCharType="begin"/>
      </w:r>
      <w:r w:rsidRPr="00E40D4D">
        <w:rPr>
          <w:rStyle w:val="af6"/>
          <w:rFonts w:eastAsia="Guttman Hodes"/>
          <w:rtl/>
        </w:rPr>
        <w:instrText xml:space="preserve"> </w:instrText>
      </w:r>
      <w:r w:rsidRPr="00E40D4D">
        <w:rPr>
          <w:rStyle w:val="af6"/>
          <w:rFonts w:eastAsia="Guttman Hodes" w:hint="cs"/>
        </w:rPr>
        <w:instrText>REF</w:instrText>
      </w:r>
      <w:r w:rsidRPr="00E40D4D">
        <w:rPr>
          <w:rStyle w:val="af6"/>
          <w:rFonts w:eastAsia="Guttman Hodes" w:hint="cs"/>
          <w:rtl/>
        </w:rPr>
        <w:instrText xml:space="preserve"> _</w:instrText>
      </w:r>
      <w:r w:rsidRPr="00E40D4D">
        <w:rPr>
          <w:rStyle w:val="af6"/>
          <w:rFonts w:eastAsia="Guttman Hodes" w:hint="cs"/>
        </w:rPr>
        <w:instrText>Ref20300977 \r \h</w:instrText>
      </w:r>
      <w:r w:rsidRPr="00E40D4D">
        <w:rPr>
          <w:rStyle w:val="af6"/>
          <w:rFonts w:eastAsia="Guttman Hodes"/>
          <w:rtl/>
        </w:rPr>
        <w:instrText xml:space="preserve"> </w:instrText>
      </w:r>
      <w:r w:rsidRPr="00E40D4D">
        <w:rPr>
          <w:rStyle w:val="af6"/>
          <w:rFonts w:eastAsia="Guttman Hodes"/>
          <w:rtl/>
        </w:rPr>
      </w:r>
      <w:r w:rsidRPr="00E40D4D">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E40D4D">
        <w:rPr>
          <w:rStyle w:val="af6"/>
          <w:rFonts w:eastAsia="Guttman Hodes"/>
          <w:rtl/>
        </w:rPr>
        <w:fldChar w:fldCharType="end"/>
      </w:r>
      <w:r>
        <w:rPr>
          <w:rStyle w:val="af8"/>
          <w:rFonts w:hint="cs"/>
          <w:rtl/>
        </w:rPr>
        <w:t xml:space="preserve"> </w:t>
      </w:r>
      <w:r w:rsidRPr="003400F3">
        <w:rPr>
          <w:rStyle w:val="af8"/>
          <w:rFonts w:hint="cs"/>
          <w:rtl/>
        </w:rPr>
        <w:t>והר"ן</w:t>
      </w:r>
      <w:r>
        <w:rPr>
          <w:rFonts w:hint="cs"/>
          <w:rtl/>
        </w:rPr>
        <w:t xml:space="preserve"> </w:t>
      </w:r>
      <w:r w:rsidRPr="00E40D4D">
        <w:rPr>
          <w:rStyle w:val="af6"/>
          <w:rFonts w:eastAsia="Guttman Hodes" w:hint="cs"/>
          <w:rtl/>
        </w:rPr>
        <w:t xml:space="preserve">(עי' אות </w:t>
      </w:r>
      <w:r w:rsidRPr="00E40D4D">
        <w:rPr>
          <w:rStyle w:val="af6"/>
          <w:rFonts w:eastAsia="Guttman Hodes"/>
          <w:rtl/>
        </w:rPr>
        <w:fldChar w:fldCharType="begin"/>
      </w:r>
      <w:r w:rsidRPr="00E40D4D">
        <w:rPr>
          <w:rStyle w:val="af6"/>
          <w:rFonts w:eastAsia="Guttman Hodes"/>
          <w:rtl/>
        </w:rPr>
        <w:instrText xml:space="preserve"> </w:instrText>
      </w:r>
      <w:r w:rsidRPr="00E40D4D">
        <w:rPr>
          <w:rStyle w:val="af6"/>
          <w:rFonts w:eastAsia="Guttman Hodes" w:hint="cs"/>
        </w:rPr>
        <w:instrText>REF</w:instrText>
      </w:r>
      <w:r w:rsidRPr="00E40D4D">
        <w:rPr>
          <w:rStyle w:val="af6"/>
          <w:rFonts w:eastAsia="Guttman Hodes" w:hint="cs"/>
          <w:rtl/>
        </w:rPr>
        <w:instrText xml:space="preserve"> _</w:instrText>
      </w:r>
      <w:r w:rsidRPr="00E40D4D">
        <w:rPr>
          <w:rStyle w:val="af6"/>
          <w:rFonts w:eastAsia="Guttman Hodes" w:hint="cs"/>
        </w:rPr>
        <w:instrText>Ref20304106 \r \h</w:instrText>
      </w:r>
      <w:r w:rsidRPr="00E40D4D">
        <w:rPr>
          <w:rStyle w:val="af6"/>
          <w:rFonts w:eastAsia="Guttman Hodes"/>
          <w:rtl/>
        </w:rPr>
        <w:instrText xml:space="preserve"> </w:instrText>
      </w:r>
      <w:r w:rsidRPr="00E40D4D">
        <w:rPr>
          <w:rStyle w:val="af6"/>
          <w:rFonts w:eastAsia="Guttman Hodes"/>
          <w:rtl/>
        </w:rPr>
      </w:r>
      <w:r w:rsidRPr="00E40D4D">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E40D4D">
        <w:rPr>
          <w:rStyle w:val="af6"/>
          <w:rFonts w:eastAsia="Guttman Hodes"/>
          <w:rtl/>
        </w:rPr>
        <w:fldChar w:fldCharType="end"/>
      </w:r>
      <w:r w:rsidRPr="00E40D4D">
        <w:rPr>
          <w:rStyle w:val="af6"/>
          <w:rFonts w:eastAsia="Guttman Hodes" w:hint="cs"/>
          <w:rtl/>
        </w:rPr>
        <w:t xml:space="preserve"> </w:t>
      </w:r>
      <w:r>
        <w:rPr>
          <w:rFonts w:hint="cs"/>
          <w:rtl/>
        </w:rPr>
        <w:t>דקיי"ל כרבא שאינם אוסרים בנתינת טעם כלל, ומשמע בגמ' דההיתר הוא בכל איסור מאוס שבדלין ממנו, ולא רק בעכבר.</w:t>
      </w:r>
    </w:p>
    <w:p w:rsidR="006C2032" w:rsidRDefault="006C2032" w:rsidP="00E669F8">
      <w:pPr>
        <w:pStyle w:val="afd"/>
        <w:rPr>
          <w:rtl/>
        </w:rPr>
      </w:pPr>
      <w:bookmarkStart w:id="11616" w:name="_Toc20315873"/>
      <w:r>
        <w:rPr>
          <w:rFonts w:hint="cs"/>
          <w:rtl/>
        </w:rPr>
        <w:t>בענין שרצים שהסריחו ואינם ראויים לגר</w:t>
      </w:r>
      <w:bookmarkEnd w:id="11594"/>
      <w:bookmarkEnd w:id="11595"/>
      <w:bookmarkEnd w:id="11596"/>
      <w:bookmarkEnd w:id="11597"/>
      <w:bookmarkEnd w:id="11598"/>
      <w:bookmarkEnd w:id="11599"/>
      <w:bookmarkEnd w:id="11600"/>
      <w:bookmarkEnd w:id="11601"/>
      <w:bookmarkEnd w:id="11616"/>
    </w:p>
    <w:p w:rsidR="006C2032" w:rsidRDefault="006C2032" w:rsidP="006C2032">
      <w:pPr>
        <w:pStyle w:val="1"/>
        <w:rPr>
          <w:rtl/>
        </w:rPr>
      </w:pPr>
      <w:bookmarkStart w:id="11617" w:name="_Toc20168404"/>
      <w:bookmarkStart w:id="11618" w:name="_Toc20170510"/>
      <w:bookmarkStart w:id="11619" w:name="_Toc20226710"/>
      <w:bookmarkStart w:id="11620" w:name="_Toc20256913"/>
      <w:bookmarkStart w:id="11621" w:name="_Toc20267169"/>
      <w:bookmarkStart w:id="11622" w:name="_Toc20311029"/>
      <w:bookmarkStart w:id="11623" w:name="_Toc20311201"/>
      <w:bookmarkStart w:id="11624" w:name="_Toc20315473"/>
      <w:bookmarkStart w:id="11625" w:name="_Toc20315874"/>
      <w:r>
        <w:rPr>
          <w:rFonts w:hint="cs"/>
          <w:rtl/>
        </w:rPr>
        <w:t>דברי הרמב"ם דהאוכל בריה חייב אף אם הסריחה</w:t>
      </w:r>
      <w:bookmarkEnd w:id="11617"/>
      <w:bookmarkEnd w:id="11618"/>
      <w:bookmarkEnd w:id="11619"/>
      <w:bookmarkEnd w:id="11620"/>
      <w:bookmarkEnd w:id="11621"/>
      <w:bookmarkEnd w:id="11622"/>
      <w:bookmarkEnd w:id="11623"/>
      <w:bookmarkEnd w:id="11624"/>
      <w:bookmarkEnd w:id="11625"/>
    </w:p>
    <w:p w:rsidR="006C2032" w:rsidRDefault="006C2032" w:rsidP="006C2032">
      <w:pPr>
        <w:pStyle w:val="a2"/>
        <w:rPr>
          <w:rtl/>
        </w:rPr>
      </w:pPr>
      <w:bookmarkStart w:id="11626" w:name="_Toc20168405"/>
      <w:bookmarkStart w:id="11627" w:name="_Toc20170511"/>
      <w:bookmarkStart w:id="11628" w:name="_Toc20226711"/>
      <w:bookmarkStart w:id="11629" w:name="_Toc20256914"/>
      <w:bookmarkStart w:id="11630" w:name="_Toc20267170"/>
      <w:bookmarkStart w:id="11631" w:name="_Toc20311030"/>
      <w:bookmarkStart w:id="11632" w:name="_Toc20311202"/>
      <w:bookmarkStart w:id="11633" w:name="_Toc20315474"/>
      <w:bookmarkStart w:id="11634" w:name="_Toc20315875"/>
      <w:r>
        <w:rPr>
          <w:rFonts w:hint="cs"/>
          <w:rtl/>
        </w:rPr>
        <w:t>דברי הרמב"ם דהאוכל בריה טמאה חייב אף אם הסריחה והשתנתה צורתה</w:t>
      </w:r>
      <w:bookmarkEnd w:id="11626"/>
      <w:bookmarkEnd w:id="11627"/>
      <w:bookmarkEnd w:id="11628"/>
      <w:bookmarkEnd w:id="11629"/>
      <w:bookmarkEnd w:id="11630"/>
      <w:bookmarkEnd w:id="11631"/>
      <w:bookmarkEnd w:id="11632"/>
      <w:bookmarkEnd w:id="11633"/>
      <w:bookmarkEnd w:id="11634"/>
    </w:p>
    <w:p w:rsidR="006C2032" w:rsidRDefault="006C2032" w:rsidP="009F44AF">
      <w:pPr>
        <w:pStyle w:val="a"/>
        <w:rPr>
          <w:rtl/>
        </w:rPr>
      </w:pPr>
      <w:bookmarkStart w:id="11635" w:name="_Ref20128511"/>
      <w:r>
        <w:rPr>
          <w:rFonts w:hint="cs"/>
          <w:rtl/>
        </w:rPr>
        <w:t xml:space="preserve">כתב </w:t>
      </w:r>
      <w:r w:rsidRPr="00515185">
        <w:rPr>
          <w:rStyle w:val="af8"/>
          <w:rFonts w:hint="cs"/>
          <w:rtl/>
        </w:rPr>
        <w:t>הרמב"ם</w:t>
      </w:r>
      <w:r>
        <w:rPr>
          <w:rFonts w:hint="cs"/>
          <w:rtl/>
        </w:rPr>
        <w:t xml:space="preserve"> </w:t>
      </w:r>
      <w:r w:rsidRPr="00515185">
        <w:rPr>
          <w:rStyle w:val="af6"/>
          <w:rFonts w:eastAsia="Guttman Hodes" w:hint="cs"/>
          <w:rtl/>
        </w:rPr>
        <w:t>(מאכ"א פ"ב הכ"א)</w:t>
      </w:r>
      <w:r>
        <w:rPr>
          <w:rFonts w:hint="cs"/>
          <w:rtl/>
        </w:rPr>
        <w:t xml:space="preserve"> דהאוכל בריה טמאה, אף אם היא פחותה אפילו מחרדל לוקה, כיון שאכל את כולה, והוסיף </w:t>
      </w:r>
      <w:r w:rsidRPr="0079486A">
        <w:rPr>
          <w:rStyle w:val="af8"/>
          <w:rFonts w:hint="cs"/>
          <w:rtl/>
        </w:rPr>
        <w:t>הרמב"ם</w:t>
      </w:r>
      <w:r>
        <w:rPr>
          <w:rFonts w:hint="cs"/>
          <w:rtl/>
        </w:rPr>
        <w:t xml:space="preserve"> דאף אם הסריחה הבריה והשתנתה צורתה, מ"מ כל שאכל את כולה לוקה.</w:t>
      </w:r>
      <w:bookmarkEnd w:id="11635"/>
    </w:p>
    <w:p w:rsidR="006C2032" w:rsidRPr="000C454A" w:rsidRDefault="006C2032" w:rsidP="006C2032">
      <w:pPr>
        <w:pStyle w:val="1"/>
        <w:rPr>
          <w:rtl/>
        </w:rPr>
      </w:pPr>
      <w:r>
        <w:rPr>
          <w:rFonts w:hint="cs"/>
          <w:rtl/>
        </w:rPr>
        <w:t>דברי המ"מ דהחיוב בבריה שהסריחה הוא רק בראוי לגר</w:t>
      </w:r>
    </w:p>
    <w:p w:rsidR="006C2032" w:rsidRPr="00F7094E" w:rsidRDefault="006C2032" w:rsidP="006C2032">
      <w:pPr>
        <w:pStyle w:val="a2"/>
        <w:rPr>
          <w:rtl/>
        </w:rPr>
      </w:pPr>
      <w:bookmarkStart w:id="11636" w:name="_Toc20168406"/>
      <w:bookmarkStart w:id="11637" w:name="_Toc20170512"/>
      <w:bookmarkStart w:id="11638" w:name="_Toc20226712"/>
      <w:bookmarkStart w:id="11639" w:name="_Toc20256915"/>
      <w:bookmarkStart w:id="11640" w:name="_Toc20267171"/>
      <w:bookmarkStart w:id="11641" w:name="_Toc20311031"/>
      <w:bookmarkStart w:id="11642" w:name="_Toc20311203"/>
      <w:bookmarkStart w:id="11643" w:name="_Toc20315475"/>
      <w:bookmarkStart w:id="11644" w:name="_Toc20315876"/>
      <w:r>
        <w:rPr>
          <w:rFonts w:hint="cs"/>
          <w:rtl/>
        </w:rPr>
        <w:t>ביאור המ"מ דהחיוב רק כשהיא עדיין ראויה לגר אבל באינה ראויה פטור דאינה קרויה נבילה</w:t>
      </w:r>
      <w:bookmarkEnd w:id="11636"/>
      <w:bookmarkEnd w:id="11637"/>
      <w:bookmarkEnd w:id="11638"/>
      <w:bookmarkEnd w:id="11639"/>
      <w:bookmarkEnd w:id="11640"/>
      <w:bookmarkEnd w:id="11641"/>
      <w:bookmarkEnd w:id="11642"/>
      <w:bookmarkEnd w:id="11643"/>
      <w:bookmarkEnd w:id="11644"/>
    </w:p>
    <w:p w:rsidR="006C2032" w:rsidRDefault="006C2032" w:rsidP="009F44AF">
      <w:pPr>
        <w:pStyle w:val="a"/>
        <w:rPr>
          <w:rtl/>
        </w:rPr>
      </w:pPr>
      <w:bookmarkStart w:id="11645" w:name="_Ref20128517"/>
      <w:r>
        <w:rPr>
          <w:rFonts w:hint="cs"/>
          <w:rtl/>
        </w:rPr>
        <w:t xml:space="preserve">וכתב </w:t>
      </w:r>
      <w:r w:rsidRPr="00515185">
        <w:rPr>
          <w:rStyle w:val="af8"/>
          <w:rFonts w:hint="cs"/>
          <w:rtl/>
        </w:rPr>
        <w:t>המ"מ</w:t>
      </w:r>
      <w:r>
        <w:rPr>
          <w:rFonts w:hint="cs"/>
          <w:rtl/>
        </w:rPr>
        <w:t xml:space="preserve"> </w:t>
      </w:r>
      <w:r w:rsidRPr="00515185">
        <w:rPr>
          <w:rStyle w:val="af6"/>
          <w:rFonts w:eastAsia="Guttman Hodes" w:hint="cs"/>
          <w:rtl/>
        </w:rPr>
        <w:t>(מאכ"א פ"ב הכ"א)</w:t>
      </w:r>
      <w:r>
        <w:rPr>
          <w:rFonts w:hint="cs"/>
          <w:rtl/>
        </w:rPr>
        <w:t xml:space="preserve"> דכוונת </w:t>
      </w:r>
      <w:r w:rsidRPr="00515185">
        <w:rPr>
          <w:rStyle w:val="af8"/>
          <w:rFonts w:hint="cs"/>
          <w:rtl/>
        </w:rPr>
        <w:t>הרמב"ם</w:t>
      </w:r>
      <w:r>
        <w:rPr>
          <w:rFonts w:hint="cs"/>
          <w:rtl/>
        </w:rPr>
        <w:t xml:space="preserve"> לומר דאף אם הסריחה חייב עליה כל שהיא ראויה לאכילת אדם, אבל אם הסריחה והבאישה עד שאינה ראויה לאכילת אדם, כבר כתב </w:t>
      </w:r>
      <w:r w:rsidRPr="005A7DB4">
        <w:rPr>
          <w:rStyle w:val="af8"/>
          <w:rFonts w:hint="cs"/>
          <w:rtl/>
        </w:rPr>
        <w:t>הרמב"ם</w:t>
      </w:r>
      <w:r>
        <w:rPr>
          <w:rFonts w:hint="cs"/>
          <w:rtl/>
        </w:rPr>
        <w:t xml:space="preserve"> </w:t>
      </w:r>
      <w:r w:rsidRPr="00395E6F">
        <w:rPr>
          <w:rStyle w:val="af6"/>
          <w:rFonts w:eastAsia="Guttman Hodes" w:hint="cs"/>
          <w:rtl/>
        </w:rPr>
        <w:t>(מאכ"א פי"ד הי"א</w:t>
      </w:r>
      <w:r>
        <w:rPr>
          <w:rStyle w:val="af6"/>
          <w:rFonts w:eastAsia="Guttman Hodes" w:hint="cs"/>
          <w:rtl/>
        </w:rPr>
        <w:t xml:space="preserve">, הובא לעיל סימן י"ג אות נ"ג) </w:t>
      </w:r>
      <w:r>
        <w:rPr>
          <w:rFonts w:hint="cs"/>
          <w:rtl/>
        </w:rPr>
        <w:t xml:space="preserve">דאכילה שאינה בדרך הנאה, כגון שאכל את האיסור לאחר שהסריח והבאיש ואינו ראוי לאכילת אדם, פטור, וכתב </w:t>
      </w:r>
      <w:r w:rsidRPr="00515185">
        <w:rPr>
          <w:rStyle w:val="af8"/>
          <w:rFonts w:hint="cs"/>
          <w:rtl/>
        </w:rPr>
        <w:t>המ"מ</w:t>
      </w:r>
      <w:r>
        <w:rPr>
          <w:rFonts w:hint="cs"/>
          <w:rtl/>
        </w:rPr>
        <w:t xml:space="preserve"> דכן הדין כיון דקיי"ל כר"ש </w:t>
      </w:r>
      <w:r w:rsidRPr="00515185">
        <w:rPr>
          <w:rStyle w:val="af6"/>
          <w:rFonts w:eastAsia="Guttman Hodes" w:hint="cs"/>
          <w:rtl/>
        </w:rPr>
        <w:t>(סז:)</w:t>
      </w:r>
      <w:r>
        <w:rPr>
          <w:rFonts w:hint="cs"/>
          <w:rtl/>
        </w:rPr>
        <w:t xml:space="preserve"> דהאוכל נבילה שאינה ראויה לגר, אינה קרויה נבילה, ואינו חייב עליה.</w:t>
      </w:r>
      <w:bookmarkEnd w:id="11645"/>
    </w:p>
    <w:p w:rsidR="006C2032" w:rsidRDefault="006C2032" w:rsidP="006C2032">
      <w:pPr>
        <w:pStyle w:val="a2"/>
        <w:rPr>
          <w:rtl/>
        </w:rPr>
      </w:pPr>
      <w:bookmarkStart w:id="11646" w:name="_Toc20267172"/>
      <w:bookmarkStart w:id="11647" w:name="_Toc20311032"/>
      <w:bookmarkStart w:id="11648" w:name="_Toc20311204"/>
      <w:bookmarkStart w:id="11649" w:name="_Toc20315476"/>
      <w:bookmarkStart w:id="11650" w:name="_Toc20315877"/>
      <w:r>
        <w:rPr>
          <w:rFonts w:hint="cs"/>
          <w:rtl/>
        </w:rPr>
        <w:t>דברי החקרי לב דברמב"ם מוכח דהחיוב באיסור מאוס הוא רק בדרך הנאתן ולא בסרוח</w:t>
      </w:r>
      <w:bookmarkEnd w:id="11646"/>
      <w:bookmarkEnd w:id="11647"/>
      <w:bookmarkEnd w:id="11648"/>
      <w:bookmarkEnd w:id="11649"/>
      <w:bookmarkEnd w:id="11650"/>
    </w:p>
    <w:p w:rsidR="007D485E" w:rsidRDefault="006C2032" w:rsidP="009F44AF">
      <w:pPr>
        <w:pStyle w:val="a"/>
        <w:rPr>
          <w:rtl/>
        </w:rPr>
      </w:pPr>
      <w:r>
        <w:rPr>
          <w:rFonts w:hint="cs"/>
          <w:rtl/>
        </w:rPr>
        <w:t xml:space="preserve">וכתב </w:t>
      </w:r>
      <w:r w:rsidRPr="00DC35FE">
        <w:rPr>
          <w:rStyle w:val="af8"/>
          <w:rFonts w:hint="cs"/>
          <w:rtl/>
        </w:rPr>
        <w:t>החקרי לב</w:t>
      </w:r>
      <w:r>
        <w:rPr>
          <w:rFonts w:hint="cs"/>
          <w:rtl/>
        </w:rPr>
        <w:t xml:space="preserve"> </w:t>
      </w:r>
      <w:r w:rsidRPr="004E3F42">
        <w:rPr>
          <w:rStyle w:val="af6"/>
          <w:rFonts w:eastAsia="Guttman Hodes" w:hint="cs"/>
          <w:rtl/>
        </w:rPr>
        <w:t>(יו"ד סי' ע"א ד"ה ואחר)</w:t>
      </w:r>
      <w:r>
        <w:rPr>
          <w:rFonts w:hint="cs"/>
          <w:rtl/>
        </w:rPr>
        <w:t xml:space="preserve"> דכדברי </w:t>
      </w:r>
      <w:r w:rsidRPr="00DC35FE">
        <w:rPr>
          <w:rStyle w:val="af8"/>
          <w:rFonts w:hint="cs"/>
          <w:rtl/>
        </w:rPr>
        <w:t>המ"מ</w:t>
      </w:r>
      <w:r>
        <w:rPr>
          <w:rFonts w:hint="cs"/>
          <w:rtl/>
        </w:rPr>
        <w:t xml:space="preserve"> מוכח מדברי  </w:t>
      </w:r>
      <w:r w:rsidRPr="005A7DB4">
        <w:rPr>
          <w:rStyle w:val="af8"/>
          <w:rFonts w:hint="cs"/>
          <w:rtl/>
        </w:rPr>
        <w:t>הרמב"ם</w:t>
      </w:r>
      <w:r>
        <w:rPr>
          <w:rFonts w:hint="cs"/>
          <w:rtl/>
        </w:rPr>
        <w:t xml:space="preserve"> </w:t>
      </w:r>
      <w:r w:rsidRPr="004E3F42">
        <w:rPr>
          <w:rStyle w:val="af6"/>
          <w:rFonts w:eastAsia="Guttman Hodes" w:hint="cs"/>
          <w:rtl/>
        </w:rPr>
        <w:t>(מאכ"א פי"ד הי"א)</w:t>
      </w:r>
      <w:r w:rsidRPr="00467C87">
        <w:rPr>
          <w:rtl/>
        </w:rPr>
        <w:t xml:space="preserve"> </w:t>
      </w:r>
      <w:r>
        <w:rPr>
          <w:rFonts w:hint="cs"/>
          <w:rtl/>
        </w:rPr>
        <w:t xml:space="preserve">דכתב דאין חיוב באכילה שלא כדרך הנאה, כגון שאכל רותח או מר או סרוח פטור, חוץ מבשר בחלב וכלאי הכרם שחייב עליהם אף בשלא כדרך אכילה, ולא הזכיר </w:t>
      </w:r>
      <w:r w:rsidRPr="00EC7B04">
        <w:rPr>
          <w:rStyle w:val="af8"/>
          <w:rFonts w:hint="cs"/>
          <w:rtl/>
        </w:rPr>
        <w:t>הרמב"ם</w:t>
      </w:r>
      <w:r>
        <w:rPr>
          <w:rFonts w:hint="cs"/>
          <w:rtl/>
        </w:rPr>
        <w:t xml:space="preserve"> כגון שאכל שרצים דג"כ חייב עליהם אף שהם סרוחים, אלא כתב </w:t>
      </w:r>
      <w:r w:rsidRPr="00DC35FE">
        <w:rPr>
          <w:rStyle w:val="af8"/>
          <w:rFonts w:hint="cs"/>
          <w:rtl/>
        </w:rPr>
        <w:t>החקרי לב</w:t>
      </w:r>
      <w:r>
        <w:rPr>
          <w:rFonts w:hint="cs"/>
          <w:rtl/>
        </w:rPr>
        <w:t xml:space="preserve"> דמוכח דדוקא בבשר בחלב וכלאי הכרם שלא נאמר בהם איסור אכילה, חייב עליהם אף בשלא כדרך הנאה, אבל באיסור שמאוס מעיקרו דאף שהחייבה תורה על אכילתו, מ"מ כיון דכתיב בו אכילה, אם אכלו שלא כדרך הנאתו, כגון שאכלו רותח או שעירב בו דבר מר, או שהסריח ואינו ראוי לאדם פטור עליו, ועיי"ש </w:t>
      </w:r>
      <w:r>
        <w:rPr>
          <w:rStyle w:val="af8"/>
          <w:rFonts w:hint="cs"/>
          <w:rtl/>
        </w:rPr>
        <w:t>ב</w:t>
      </w:r>
      <w:r w:rsidRPr="00DC35FE">
        <w:rPr>
          <w:rStyle w:val="af8"/>
          <w:rFonts w:hint="cs"/>
          <w:rtl/>
        </w:rPr>
        <w:t>חקרי לב</w:t>
      </w:r>
      <w:r>
        <w:rPr>
          <w:rFonts w:hint="cs"/>
          <w:rtl/>
        </w:rPr>
        <w:t xml:space="preserve"> במה שהאריך טובא בדברי </w:t>
      </w:r>
      <w:r w:rsidRPr="002A631D">
        <w:rPr>
          <w:rStyle w:val="af8"/>
          <w:rFonts w:hint="cs"/>
          <w:rtl/>
        </w:rPr>
        <w:t>המ"מ</w:t>
      </w:r>
      <w:r>
        <w:rPr>
          <w:rFonts w:hint="cs"/>
          <w:rtl/>
        </w:rPr>
        <w:t>.</w:t>
      </w:r>
    </w:p>
    <w:p w:rsidR="006C2032" w:rsidRDefault="006C2032" w:rsidP="006C2032">
      <w:pPr>
        <w:pStyle w:val="a2"/>
        <w:rPr>
          <w:rtl/>
        </w:rPr>
      </w:pPr>
      <w:bookmarkStart w:id="11651" w:name="_Toc20267173"/>
      <w:bookmarkStart w:id="11652" w:name="_Toc20311033"/>
      <w:bookmarkStart w:id="11653" w:name="_Toc20311205"/>
      <w:bookmarkStart w:id="11654" w:name="_Toc20315477"/>
      <w:bookmarkStart w:id="11655" w:name="_Toc20315878"/>
      <w:r>
        <w:rPr>
          <w:rFonts w:hint="cs"/>
          <w:rtl/>
        </w:rPr>
        <w:t>דברי האבנ"ז דכיון דכתיב בשרצים לשון אכילה חייב רק בדרך אכילתן ואינם כבב"ח וכלאים</w:t>
      </w:r>
      <w:bookmarkEnd w:id="11651"/>
      <w:bookmarkEnd w:id="11652"/>
      <w:bookmarkEnd w:id="11653"/>
      <w:bookmarkEnd w:id="11654"/>
      <w:bookmarkEnd w:id="11655"/>
    </w:p>
    <w:p w:rsidR="006C2032" w:rsidRDefault="006C2032" w:rsidP="009F44AF">
      <w:pPr>
        <w:pStyle w:val="a"/>
      </w:pPr>
      <w:r>
        <w:rPr>
          <w:rFonts w:hint="cs"/>
          <w:rtl/>
        </w:rPr>
        <w:t xml:space="preserve">וכ"כ </w:t>
      </w:r>
      <w:r w:rsidRPr="00583F55">
        <w:rPr>
          <w:rStyle w:val="af8"/>
          <w:rFonts w:hint="cs"/>
          <w:rtl/>
        </w:rPr>
        <w:t>האבנ"ז</w:t>
      </w:r>
      <w:r>
        <w:rPr>
          <w:rFonts w:hint="cs"/>
          <w:rtl/>
        </w:rPr>
        <w:t xml:space="preserve"> </w:t>
      </w:r>
      <w:r w:rsidRPr="000E4C89">
        <w:rPr>
          <w:rStyle w:val="af6"/>
          <w:rFonts w:eastAsia="Guttman Hodes" w:hint="cs"/>
          <w:rtl/>
        </w:rPr>
        <w:t>(יו"ד סי' פ"ב ב')</w:t>
      </w:r>
      <w:r>
        <w:rPr>
          <w:rFonts w:hint="cs"/>
          <w:rtl/>
        </w:rPr>
        <w:t xml:space="preserve"> דבשרצים נאמר בהם אכילה וחייב עליהם רק בכדרך אכילתן, ולכן נותן טעם לפגם מותר בהם, ואינם כבשר בחלב וכלאים, שלא נאמר בהם אכילה, [ולדעת </w:t>
      </w:r>
      <w:r w:rsidRPr="00D409FE">
        <w:rPr>
          <w:rStyle w:val="af8"/>
          <w:rFonts w:hint="cs"/>
          <w:rtl/>
        </w:rPr>
        <w:t>ה</w:t>
      </w:r>
      <w:r w:rsidR="00250230">
        <w:rPr>
          <w:rStyle w:val="af8"/>
          <w:rFonts w:hint="cs"/>
          <w:rtl/>
        </w:rPr>
        <w:t>פלתי</w:t>
      </w:r>
      <w:r w:rsidRPr="005920EB">
        <w:rPr>
          <w:rFonts w:hint="cs"/>
          <w:rtl/>
        </w:rPr>
        <w:t xml:space="preserve"> </w:t>
      </w:r>
      <w:r w:rsidRPr="005920EB">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פ</w:t>
      </w:r>
      <w:r>
        <w:rPr>
          <w:rStyle w:val="af6"/>
          <w:rFonts w:eastAsia="Guttman Hodes"/>
          <w:rtl/>
        </w:rPr>
        <w:t>"</w:t>
      </w:r>
      <w:r>
        <w:rPr>
          <w:rStyle w:val="af6"/>
          <w:rFonts w:eastAsia="Guttman Hodes" w:hint="cs"/>
          <w:rtl/>
        </w:rPr>
        <w:t>ז סקט</w:t>
      </w:r>
      <w:r w:rsidRPr="000E4C89">
        <w:rPr>
          <w:rStyle w:val="af6"/>
          <w:rFonts w:eastAsia="Guttman Hodes"/>
          <w:rtl/>
        </w:rPr>
        <w:t>"</w:t>
      </w:r>
      <w:r w:rsidRPr="000E4C89">
        <w:rPr>
          <w:rStyle w:val="af6"/>
          <w:rFonts w:eastAsia="Guttman Hodes" w:hint="cs"/>
          <w:rtl/>
        </w:rPr>
        <w:t>ו, הובא לעיל סימן י"ג אות נ"ט)</w:t>
      </w:r>
      <w:r>
        <w:rPr>
          <w:rFonts w:hint="cs"/>
          <w:rtl/>
        </w:rPr>
        <w:t xml:space="preserve"> אין בהם היתר נותן טעם לפגם],</w:t>
      </w:r>
      <w:r w:rsidRPr="00942336">
        <w:rPr>
          <w:rFonts w:hint="cs"/>
          <w:rtl/>
        </w:rPr>
        <w:t xml:space="preserve"> </w:t>
      </w:r>
      <w:r>
        <w:rPr>
          <w:rFonts w:hint="cs"/>
          <w:rtl/>
        </w:rPr>
        <w:t xml:space="preserve">ועי' במה שביאר </w:t>
      </w:r>
      <w:r w:rsidRPr="000E4C89">
        <w:rPr>
          <w:rStyle w:val="af8"/>
          <w:rFonts w:hint="cs"/>
          <w:rtl/>
        </w:rPr>
        <w:t>האבנ"ז</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Ref20338939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נח)</w:t>
      </w:r>
      <w:r>
        <w:rPr>
          <w:rStyle w:val="af6"/>
          <w:rFonts w:eastAsia="Guttman Hodes"/>
          <w:rtl/>
        </w:rPr>
        <w:fldChar w:fldCharType="end"/>
      </w:r>
      <w:r>
        <w:rPr>
          <w:rFonts w:hint="cs"/>
          <w:rtl/>
        </w:rPr>
        <w:t xml:space="preserve"> דהחיוב באכילת איסור מאוס, הוא כיון דאחשיבה באכילתו, וכשהוא בתערובת אינו מחשיבו, דרצונו לאכול רק את ההיתר.</w:t>
      </w:r>
    </w:p>
    <w:p w:rsidR="006C2032" w:rsidRPr="00CD383E" w:rsidRDefault="006C2032" w:rsidP="006C2032">
      <w:pPr>
        <w:pStyle w:val="1"/>
        <w:rPr>
          <w:rtl/>
        </w:rPr>
      </w:pPr>
      <w:bookmarkStart w:id="11656" w:name="_Toc20226713"/>
      <w:bookmarkStart w:id="11657" w:name="_Toc20256916"/>
      <w:bookmarkStart w:id="11658" w:name="_Toc20267174"/>
      <w:bookmarkStart w:id="11659" w:name="_Toc20311034"/>
      <w:bookmarkStart w:id="11660" w:name="_Toc20311206"/>
      <w:bookmarkStart w:id="11661" w:name="_Toc20315478"/>
      <w:bookmarkStart w:id="11662" w:name="_Toc20315879"/>
      <w:r>
        <w:rPr>
          <w:rFonts w:hint="cs"/>
          <w:rtl/>
        </w:rPr>
        <w:t>דעת הפר"ח</w:t>
      </w:r>
      <w:bookmarkEnd w:id="11656"/>
      <w:bookmarkEnd w:id="11657"/>
      <w:r>
        <w:rPr>
          <w:rFonts w:hint="cs"/>
          <w:rtl/>
        </w:rPr>
        <w:t xml:space="preserve"> דהחיוב באיסור מאוס הוא אף בסרוח</w:t>
      </w:r>
      <w:bookmarkEnd w:id="11658"/>
      <w:bookmarkEnd w:id="11659"/>
      <w:bookmarkEnd w:id="11660"/>
      <w:bookmarkEnd w:id="11661"/>
      <w:bookmarkEnd w:id="11662"/>
    </w:p>
    <w:p w:rsidR="006C2032" w:rsidRDefault="006C2032" w:rsidP="006C2032">
      <w:pPr>
        <w:pStyle w:val="a2"/>
        <w:rPr>
          <w:rtl/>
        </w:rPr>
      </w:pPr>
      <w:bookmarkStart w:id="11663" w:name="_Toc20168407"/>
      <w:bookmarkStart w:id="11664" w:name="_Toc20170513"/>
      <w:bookmarkStart w:id="11665" w:name="_Toc20226714"/>
      <w:bookmarkStart w:id="11666" w:name="_Toc20256917"/>
      <w:bookmarkStart w:id="11667" w:name="_Toc20267175"/>
      <w:bookmarkStart w:id="11668" w:name="_Toc20311035"/>
      <w:bookmarkStart w:id="11669" w:name="_Toc20311207"/>
      <w:bookmarkStart w:id="11670" w:name="_Toc20315479"/>
      <w:bookmarkStart w:id="11671" w:name="_Toc20315880"/>
      <w:r>
        <w:rPr>
          <w:rFonts w:hint="cs"/>
          <w:rtl/>
        </w:rPr>
        <w:t>דברי הפר"ח דאיסור שמאוס מעיקרו חייב עליו אף שהסריח דהוא סרוח מעיקרו ואפ"ה הוא אסור</w:t>
      </w:r>
      <w:bookmarkEnd w:id="11663"/>
      <w:bookmarkEnd w:id="11664"/>
      <w:bookmarkEnd w:id="11665"/>
      <w:bookmarkEnd w:id="11666"/>
      <w:bookmarkEnd w:id="11667"/>
      <w:bookmarkEnd w:id="11668"/>
      <w:bookmarkEnd w:id="11669"/>
      <w:bookmarkEnd w:id="11670"/>
      <w:bookmarkEnd w:id="11671"/>
    </w:p>
    <w:p w:rsidR="006C2032" w:rsidRDefault="006C2032" w:rsidP="009F44AF">
      <w:pPr>
        <w:pStyle w:val="a"/>
        <w:rPr>
          <w:rtl/>
        </w:rPr>
      </w:pPr>
      <w:r>
        <w:rPr>
          <w:rFonts w:hint="cs"/>
          <w:rtl/>
        </w:rPr>
        <w:t xml:space="preserve">אבל </w:t>
      </w:r>
      <w:r w:rsidRPr="00FE55DD">
        <w:rPr>
          <w:rStyle w:val="af8"/>
          <w:rFonts w:hint="cs"/>
          <w:rtl/>
        </w:rPr>
        <w:t>הפר"ח</w:t>
      </w:r>
      <w:r>
        <w:rPr>
          <w:rFonts w:hint="cs"/>
          <w:rtl/>
        </w:rPr>
        <w:t xml:space="preserve"> </w:t>
      </w:r>
      <w:r w:rsidRPr="00FE55DD">
        <w:rPr>
          <w:rStyle w:val="af6"/>
          <w:rFonts w:eastAsia="Guttman Hodes" w:hint="cs"/>
          <w:rtl/>
        </w:rPr>
        <w:t>(סי' ק"ג סק"א ד"ה ומיהו דברים)</w:t>
      </w:r>
      <w:r>
        <w:rPr>
          <w:rFonts w:hint="cs"/>
          <w:rtl/>
        </w:rPr>
        <w:t xml:space="preserve"> כתב דאיסור מאוס מעיקרו, הוא אסור אף שהסריח, וביאר </w:t>
      </w:r>
      <w:r w:rsidRPr="00FE55DD">
        <w:rPr>
          <w:rStyle w:val="af8"/>
          <w:rFonts w:hint="cs"/>
          <w:rtl/>
        </w:rPr>
        <w:t>הפר"ח</w:t>
      </w:r>
      <w:r>
        <w:rPr>
          <w:rFonts w:hint="cs"/>
          <w:rtl/>
        </w:rPr>
        <w:t xml:space="preserve"> דהוא חשיב כנבילה שסרוחה מעיקרא, וכיון דאסרתו תורה אף שהוא סרוח מעיקרו, א"כ אין כל חילוק במה שהוא סרוח מצד עצמו, למה שהסריח אח"כ, והוסיף </w:t>
      </w:r>
      <w:r w:rsidRPr="00FE55DD">
        <w:rPr>
          <w:rStyle w:val="af8"/>
          <w:rFonts w:hint="cs"/>
          <w:rtl/>
        </w:rPr>
        <w:t>הפר"ח</w:t>
      </w:r>
      <w:r>
        <w:rPr>
          <w:rFonts w:hint="cs"/>
          <w:rtl/>
        </w:rPr>
        <w:t xml:space="preserve"> דאף אם הסריח לגמרי, לא פקע שם איסור מהאיסור המאוס, ודינו כמו שהיה לפני שהסריח, ולוקין על אכילתו.</w:t>
      </w:r>
    </w:p>
    <w:p w:rsidR="006C2032" w:rsidRPr="00720772" w:rsidRDefault="006C2032" w:rsidP="006C2032">
      <w:pPr>
        <w:pStyle w:val="a2"/>
      </w:pPr>
      <w:bookmarkStart w:id="11672" w:name="_Toc20168408"/>
      <w:bookmarkStart w:id="11673" w:name="_Toc20170514"/>
      <w:bookmarkStart w:id="11674" w:name="_Toc20226715"/>
      <w:bookmarkStart w:id="11675" w:name="_Toc20256918"/>
      <w:bookmarkStart w:id="11676" w:name="_Toc20267176"/>
      <w:bookmarkStart w:id="11677" w:name="_Toc20311036"/>
      <w:bookmarkStart w:id="11678" w:name="_Toc20311208"/>
      <w:bookmarkStart w:id="11679" w:name="_Toc20315480"/>
      <w:bookmarkStart w:id="11680" w:name="_Toc20315881"/>
      <w:r>
        <w:rPr>
          <w:rFonts w:hint="cs"/>
          <w:rtl/>
        </w:rPr>
        <w:t>דברי הפר"ח דהא דנטל"פ מותר באיסור מאוס הוא כיון דאין איסור טעם כעיקר בטעם פגום</w:t>
      </w:r>
      <w:bookmarkEnd w:id="11672"/>
      <w:bookmarkEnd w:id="11673"/>
      <w:bookmarkEnd w:id="11674"/>
      <w:bookmarkEnd w:id="11675"/>
      <w:bookmarkEnd w:id="11676"/>
      <w:bookmarkEnd w:id="11677"/>
      <w:bookmarkEnd w:id="11678"/>
      <w:bookmarkEnd w:id="11679"/>
      <w:bookmarkEnd w:id="11680"/>
      <w:r>
        <w:rPr>
          <w:rFonts w:hint="cs"/>
          <w:rtl/>
        </w:rPr>
        <w:t xml:space="preserve"> </w:t>
      </w:r>
    </w:p>
    <w:p w:rsidR="006C2032" w:rsidRDefault="006C2032" w:rsidP="009F44AF">
      <w:pPr>
        <w:pStyle w:val="a"/>
        <w:rPr>
          <w:rtl/>
        </w:rPr>
      </w:pPr>
      <w:r>
        <w:rPr>
          <w:rFonts w:hint="cs"/>
          <w:rtl/>
        </w:rPr>
        <w:t xml:space="preserve">והוסיף </w:t>
      </w:r>
      <w:r w:rsidRPr="00720772">
        <w:rPr>
          <w:rStyle w:val="af8"/>
          <w:rFonts w:hint="cs"/>
          <w:rtl/>
        </w:rPr>
        <w:t xml:space="preserve">הפר"ח </w:t>
      </w:r>
      <w:r>
        <w:rPr>
          <w:rFonts w:hint="cs"/>
          <w:rtl/>
        </w:rPr>
        <w:t>דאעפ"י דקיי"ל דנותן טעם לפגם מותר אף באיסור מאוס שהתערב בהיתר ופגם אותו, ודלא כרב ששת דאסר, מ"מ זהו דוקא בטעם הפגום שנפלט מהאיסור המאוס, דכיון דבכל האיסורים הדין הוא שהטעם שנפלט מהם מותר בנותן טעם לפגם, כיון דטעם כעיקר דאו', וטעם פגום אינו נקרא טעם,  א"א ה"ה בטעם שנפלט מאיסור מאוס, דאיסורו הוא רק מדין טעם כעיקר, ולכן הטעם הפגום שלו אינו טעם ואינו אוסר, אבל האיסור המאוס עצמו, חשיב כסרוח מעיקרו, ואף אם הסריח לגמרי נשאר באיסורו.</w:t>
      </w:r>
    </w:p>
    <w:p w:rsidR="006C2032" w:rsidRDefault="006C2032" w:rsidP="006C2032">
      <w:pPr>
        <w:pStyle w:val="a2"/>
        <w:rPr>
          <w:rtl/>
        </w:rPr>
      </w:pPr>
      <w:bookmarkStart w:id="11681" w:name="_Toc20168409"/>
      <w:bookmarkStart w:id="11682" w:name="_Toc20170515"/>
      <w:bookmarkStart w:id="11683" w:name="_Toc20226716"/>
      <w:bookmarkStart w:id="11684" w:name="_Toc20256919"/>
      <w:bookmarkStart w:id="11685" w:name="_Toc20267177"/>
      <w:bookmarkStart w:id="11686" w:name="_Toc20311037"/>
      <w:bookmarkStart w:id="11687" w:name="_Toc20311209"/>
      <w:bookmarkStart w:id="11688" w:name="_Toc20315481"/>
      <w:bookmarkStart w:id="11689" w:name="_Toc20315882"/>
      <w:r>
        <w:rPr>
          <w:rFonts w:hint="cs"/>
          <w:rtl/>
        </w:rPr>
        <w:t>ביאור הפר"ח ברמב"ם בבריה שהסריחה דחייב עליה היינו באיסור שמאוס מעיקרו</w:t>
      </w:r>
      <w:bookmarkEnd w:id="11681"/>
      <w:bookmarkEnd w:id="11682"/>
      <w:bookmarkEnd w:id="11683"/>
      <w:bookmarkEnd w:id="11684"/>
      <w:bookmarkEnd w:id="11685"/>
      <w:bookmarkEnd w:id="11686"/>
      <w:bookmarkEnd w:id="11687"/>
      <w:bookmarkEnd w:id="11688"/>
      <w:bookmarkEnd w:id="11689"/>
    </w:p>
    <w:p w:rsidR="006C2032" w:rsidRDefault="006C2032" w:rsidP="009F44AF">
      <w:pPr>
        <w:pStyle w:val="a"/>
        <w:rPr>
          <w:rtl/>
        </w:rPr>
      </w:pPr>
      <w:r>
        <w:rPr>
          <w:rFonts w:hint="cs"/>
          <w:rtl/>
        </w:rPr>
        <w:t xml:space="preserve">וכתב </w:t>
      </w:r>
      <w:r w:rsidRPr="00FE55DD">
        <w:rPr>
          <w:rStyle w:val="af8"/>
          <w:rFonts w:hint="cs"/>
          <w:rtl/>
        </w:rPr>
        <w:t>הפר"ח</w:t>
      </w:r>
      <w:r>
        <w:rPr>
          <w:rFonts w:hint="cs"/>
          <w:rtl/>
        </w:rPr>
        <w:t xml:space="preserve"> דזו כוונת </w:t>
      </w:r>
      <w:r w:rsidRPr="00FE55DD">
        <w:rPr>
          <w:rStyle w:val="af8"/>
          <w:rFonts w:hint="cs"/>
          <w:rtl/>
        </w:rPr>
        <w:t>הרמב"ם</w:t>
      </w:r>
      <w:r>
        <w:rPr>
          <w:rFonts w:hint="cs"/>
          <w:rtl/>
        </w:rPr>
        <w:t xml:space="preserve"> </w:t>
      </w:r>
      <w:r w:rsidRPr="00FE55DD">
        <w:rPr>
          <w:rStyle w:val="af6"/>
          <w:rFonts w:eastAsia="Guttman Hodes" w:hint="cs"/>
          <w:rtl/>
        </w:rPr>
        <w:t xml:space="preserve">(עי' אות </w:t>
      </w:r>
      <w:r w:rsidRPr="00FE55DD">
        <w:rPr>
          <w:rStyle w:val="af6"/>
          <w:rFonts w:eastAsia="Guttman Hodes"/>
          <w:rtl/>
        </w:rPr>
        <w:fldChar w:fldCharType="begin"/>
      </w:r>
      <w:r w:rsidRPr="00FE55DD">
        <w:rPr>
          <w:rStyle w:val="af6"/>
          <w:rFonts w:eastAsia="Guttman Hodes"/>
          <w:rtl/>
        </w:rPr>
        <w:instrText xml:space="preserve"> </w:instrText>
      </w:r>
      <w:r w:rsidRPr="00FE55DD">
        <w:rPr>
          <w:rStyle w:val="af6"/>
          <w:rFonts w:eastAsia="Guttman Hodes" w:hint="cs"/>
        </w:rPr>
        <w:instrText>REF</w:instrText>
      </w:r>
      <w:r w:rsidRPr="00FE55DD">
        <w:rPr>
          <w:rStyle w:val="af6"/>
          <w:rFonts w:eastAsia="Guttman Hodes" w:hint="cs"/>
          <w:rtl/>
        </w:rPr>
        <w:instrText xml:space="preserve"> _</w:instrText>
      </w:r>
      <w:r w:rsidRPr="00FE55DD">
        <w:rPr>
          <w:rStyle w:val="af6"/>
          <w:rFonts w:eastAsia="Guttman Hodes" w:hint="cs"/>
        </w:rPr>
        <w:instrText>Ref20128511 \r \h</w:instrText>
      </w:r>
      <w:r w:rsidRPr="00FE55DD">
        <w:rPr>
          <w:rStyle w:val="af6"/>
          <w:rFonts w:eastAsia="Guttman Hodes"/>
          <w:rtl/>
        </w:rPr>
        <w:instrText xml:space="preserve"> </w:instrText>
      </w:r>
      <w:r w:rsidRPr="00FE55DD">
        <w:rPr>
          <w:rStyle w:val="af6"/>
          <w:rFonts w:eastAsia="Guttman Hodes"/>
          <w:rtl/>
        </w:rPr>
      </w:r>
      <w:r w:rsidRPr="00FE55DD">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sidRPr="00FE55DD">
        <w:rPr>
          <w:rStyle w:val="af6"/>
          <w:rFonts w:eastAsia="Guttman Hodes"/>
          <w:rtl/>
        </w:rPr>
        <w:fldChar w:fldCharType="end"/>
      </w:r>
      <w:r>
        <w:rPr>
          <w:rFonts w:hint="cs"/>
          <w:rtl/>
        </w:rPr>
        <w:t xml:space="preserve"> דכתב דהאוכל בריה טמאה, אף אם הסריחה הבריה והשתנתה צורתה, מ"מ כל שאכל את כולה לוקה, וביאר </w:t>
      </w:r>
      <w:r w:rsidRPr="00FE55DD">
        <w:rPr>
          <w:rStyle w:val="af8"/>
          <w:rFonts w:hint="cs"/>
          <w:rtl/>
        </w:rPr>
        <w:t>הפר"ח דהרמב"ם</w:t>
      </w:r>
      <w:r>
        <w:rPr>
          <w:rFonts w:hint="cs"/>
          <w:rtl/>
        </w:rPr>
        <w:t xml:space="preserve"> איירי באיסור שמאוס מעיקרו, ולכן כתב </w:t>
      </w:r>
      <w:r w:rsidRPr="00FE55DD">
        <w:rPr>
          <w:rStyle w:val="af8"/>
          <w:rFonts w:hint="cs"/>
          <w:rtl/>
        </w:rPr>
        <w:t>הרמב"ם</w:t>
      </w:r>
      <w:r>
        <w:rPr>
          <w:rFonts w:hint="cs"/>
          <w:rtl/>
        </w:rPr>
        <w:t xml:space="preserve"> דאף אם הסריחה ונפסלה מאכילת אדם לוקין עליה, ודלא </w:t>
      </w:r>
      <w:r w:rsidRPr="00FE55DD">
        <w:rPr>
          <w:rStyle w:val="af8"/>
          <w:rFonts w:hint="cs"/>
          <w:rtl/>
        </w:rPr>
        <w:t>כהמ"מ</w:t>
      </w:r>
      <w:r>
        <w:rPr>
          <w:rFonts w:hint="cs"/>
          <w:rtl/>
        </w:rPr>
        <w:t xml:space="preserve"> </w:t>
      </w:r>
      <w:r w:rsidRPr="00FE55DD">
        <w:rPr>
          <w:rStyle w:val="af6"/>
          <w:rFonts w:eastAsia="Guttman Hodes" w:hint="cs"/>
          <w:rtl/>
        </w:rPr>
        <w:t xml:space="preserve">(עי' אות </w:t>
      </w:r>
      <w:r w:rsidRPr="00FE55DD">
        <w:rPr>
          <w:rStyle w:val="af6"/>
          <w:rFonts w:eastAsia="Guttman Hodes"/>
          <w:rtl/>
        </w:rPr>
        <w:fldChar w:fldCharType="begin"/>
      </w:r>
      <w:r w:rsidRPr="00FE55DD">
        <w:rPr>
          <w:rStyle w:val="af6"/>
          <w:rFonts w:eastAsia="Guttman Hodes"/>
          <w:rtl/>
        </w:rPr>
        <w:instrText xml:space="preserve"> </w:instrText>
      </w:r>
      <w:r w:rsidRPr="00FE55DD">
        <w:rPr>
          <w:rStyle w:val="af6"/>
          <w:rFonts w:eastAsia="Guttman Hodes" w:hint="cs"/>
        </w:rPr>
        <w:instrText>REF</w:instrText>
      </w:r>
      <w:r w:rsidRPr="00FE55DD">
        <w:rPr>
          <w:rStyle w:val="af6"/>
          <w:rFonts w:eastAsia="Guttman Hodes" w:hint="cs"/>
          <w:rtl/>
        </w:rPr>
        <w:instrText xml:space="preserve"> _</w:instrText>
      </w:r>
      <w:r w:rsidRPr="00FE55DD">
        <w:rPr>
          <w:rStyle w:val="af6"/>
          <w:rFonts w:eastAsia="Guttman Hodes" w:hint="cs"/>
        </w:rPr>
        <w:instrText>Ref20128517 \r \h</w:instrText>
      </w:r>
      <w:r w:rsidRPr="00FE55DD">
        <w:rPr>
          <w:rStyle w:val="af6"/>
          <w:rFonts w:eastAsia="Guttman Hodes"/>
          <w:rtl/>
        </w:rPr>
        <w:instrText xml:space="preserve"> </w:instrText>
      </w:r>
      <w:r w:rsidRPr="00FE55DD">
        <w:rPr>
          <w:rStyle w:val="af6"/>
          <w:rFonts w:eastAsia="Guttman Hodes"/>
          <w:rtl/>
        </w:rPr>
      </w:r>
      <w:r w:rsidRPr="00FE55DD">
        <w:rPr>
          <w:rStyle w:val="af6"/>
          <w:rFonts w:eastAsia="Guttman Hodes"/>
          <w:rtl/>
        </w:rPr>
        <w:fldChar w:fldCharType="separate"/>
      </w:r>
      <w:r w:rsidR="004D1C5B">
        <w:rPr>
          <w:rStyle w:val="af6"/>
          <w:rFonts w:eastAsia="Guttman Hodes"/>
          <w:cs/>
        </w:rPr>
        <w:t>‎</w:t>
      </w:r>
      <w:r w:rsidR="004D1C5B">
        <w:rPr>
          <w:rStyle w:val="af6"/>
          <w:rFonts w:eastAsia="Guttman Hodes"/>
          <w:rtl/>
        </w:rPr>
        <w:t>פט)</w:t>
      </w:r>
      <w:r w:rsidRPr="00FE55DD">
        <w:rPr>
          <w:rStyle w:val="af6"/>
          <w:rFonts w:eastAsia="Guttman Hodes"/>
          <w:rtl/>
        </w:rPr>
        <w:fldChar w:fldCharType="end"/>
      </w:r>
      <w:r>
        <w:rPr>
          <w:rFonts w:hint="cs"/>
          <w:rtl/>
        </w:rPr>
        <w:t xml:space="preserve">, ועי' </w:t>
      </w:r>
      <w:r>
        <w:rPr>
          <w:rStyle w:val="af8"/>
          <w:rFonts w:hint="cs"/>
          <w:rtl/>
        </w:rPr>
        <w:t>ב</w:t>
      </w:r>
      <w:r w:rsidRPr="00DC35FE">
        <w:rPr>
          <w:rStyle w:val="af8"/>
          <w:rFonts w:hint="cs"/>
          <w:rtl/>
        </w:rPr>
        <w:t>חקרי לב</w:t>
      </w:r>
      <w:r>
        <w:rPr>
          <w:rFonts w:hint="cs"/>
          <w:rtl/>
        </w:rPr>
        <w:t xml:space="preserve"> </w:t>
      </w:r>
      <w:r w:rsidRPr="004E3F42">
        <w:rPr>
          <w:rStyle w:val="af6"/>
          <w:rFonts w:eastAsia="Guttman Hodes" w:hint="cs"/>
          <w:rtl/>
        </w:rPr>
        <w:t>(יו"ד סי' ע"א)</w:t>
      </w:r>
      <w:r w:rsidRPr="002A631D">
        <w:rPr>
          <w:rFonts w:hint="cs"/>
          <w:rtl/>
        </w:rPr>
        <w:t xml:space="preserve"> </w:t>
      </w:r>
      <w:r>
        <w:rPr>
          <w:rFonts w:hint="cs"/>
          <w:rtl/>
        </w:rPr>
        <w:t xml:space="preserve">במה שהאריך טובא בדברי </w:t>
      </w:r>
      <w:r w:rsidRPr="0042346A">
        <w:rPr>
          <w:rStyle w:val="af8"/>
          <w:rFonts w:hint="cs"/>
          <w:rtl/>
        </w:rPr>
        <w:t>הפר"ח</w:t>
      </w:r>
      <w:r>
        <w:rPr>
          <w:rFonts w:hint="cs"/>
          <w:rtl/>
        </w:rPr>
        <w:t>.</w:t>
      </w:r>
    </w:p>
    <w:p w:rsidR="006C2032" w:rsidRDefault="006C2032" w:rsidP="006C2032">
      <w:pPr>
        <w:pStyle w:val="a2"/>
        <w:rPr>
          <w:rtl/>
        </w:rPr>
      </w:pPr>
      <w:bookmarkStart w:id="11690" w:name="_Toc20168410"/>
      <w:bookmarkStart w:id="11691" w:name="_Toc20170516"/>
      <w:bookmarkStart w:id="11692" w:name="_Toc20226717"/>
      <w:bookmarkStart w:id="11693" w:name="_Toc20256921"/>
      <w:bookmarkStart w:id="11694" w:name="_Toc20267179"/>
      <w:bookmarkStart w:id="11695" w:name="_Toc20311039"/>
      <w:bookmarkStart w:id="11696" w:name="_Toc20311211"/>
      <w:bookmarkStart w:id="11697" w:name="_Toc20315483"/>
      <w:bookmarkStart w:id="11698" w:name="_Toc20315884"/>
      <w:bookmarkStart w:id="11699" w:name="_Toc20256920"/>
      <w:bookmarkStart w:id="11700" w:name="_Toc20267178"/>
      <w:bookmarkStart w:id="11701" w:name="_Toc20311038"/>
      <w:bookmarkStart w:id="11702" w:name="_Toc20311210"/>
      <w:bookmarkStart w:id="11703" w:name="_Toc20315482"/>
      <w:bookmarkStart w:id="11704" w:name="_Toc20315883"/>
      <w:r>
        <w:rPr>
          <w:rFonts w:hint="cs"/>
          <w:rtl/>
        </w:rPr>
        <w:t>דחיית</w:t>
      </w:r>
      <w:r>
        <w:rPr>
          <w:rtl/>
        </w:rPr>
        <w:t xml:space="preserve"> </w:t>
      </w:r>
      <w:r>
        <w:rPr>
          <w:rFonts w:hint="cs"/>
          <w:rtl/>
        </w:rPr>
        <w:t>החוו"ד דכיון דילפינן מנבילה דנטל"פ מותר במאוס מעיקרו ה"ה דמותר באינו ראוי לגר</w:t>
      </w:r>
      <w:bookmarkEnd w:id="11690"/>
      <w:bookmarkEnd w:id="11691"/>
      <w:bookmarkEnd w:id="11692"/>
      <w:bookmarkEnd w:id="11693"/>
      <w:bookmarkEnd w:id="11694"/>
      <w:bookmarkEnd w:id="11695"/>
      <w:bookmarkEnd w:id="11696"/>
      <w:bookmarkEnd w:id="11697"/>
      <w:bookmarkEnd w:id="11698"/>
    </w:p>
    <w:p w:rsidR="006C2032" w:rsidRDefault="006C2032" w:rsidP="009F44AF">
      <w:pPr>
        <w:pStyle w:val="a"/>
        <w:rPr>
          <w:rtl/>
        </w:rPr>
      </w:pPr>
      <w:r>
        <w:rPr>
          <w:rFonts w:hint="cs"/>
          <w:rtl/>
        </w:rPr>
        <w:t xml:space="preserve">אבל </w:t>
      </w:r>
      <w:r w:rsidRPr="00013F54">
        <w:rPr>
          <w:rStyle w:val="af8"/>
          <w:rFonts w:hint="cs"/>
          <w:rtl/>
        </w:rPr>
        <w:t>החוו"ד</w:t>
      </w:r>
      <w:r>
        <w:rPr>
          <w:rFonts w:hint="cs"/>
          <w:rtl/>
        </w:rPr>
        <w:t xml:space="preserve"> </w:t>
      </w:r>
      <w:r w:rsidRPr="00013F54">
        <w:rPr>
          <w:rStyle w:val="af6"/>
          <w:rFonts w:eastAsia="Guttman Hodes" w:hint="cs"/>
          <w:rtl/>
        </w:rPr>
        <w:t>(סי' ק"ג סק"ג)</w:t>
      </w:r>
      <w:r>
        <w:rPr>
          <w:rFonts w:hint="cs"/>
          <w:rtl/>
        </w:rPr>
        <w:t xml:space="preserve"> דחה את דברי </w:t>
      </w:r>
      <w:r w:rsidRPr="00013F54">
        <w:rPr>
          <w:rStyle w:val="af8"/>
          <w:rFonts w:hint="cs"/>
          <w:rtl/>
        </w:rPr>
        <w:t>הפר"ח</w:t>
      </w:r>
      <w:r>
        <w:rPr>
          <w:rFonts w:hint="cs"/>
          <w:rtl/>
        </w:rPr>
        <w:t xml:space="preserve"> וכתב דכיון דילפינן מנבילה שאינה ראויה לגר, דנותן טעם לפגם מותר באיסור שמאוס מעיקרו, א"כ אי נימא דההיתר בנבילה שאינה ראויה לגר, אינו מתיר באיסור מאוס מעיקרו שהסריח, א"כ אף היתר נותן טעם לפגם לא נאמר באיסור שמאוס מעיקרו, וכיון דמוכח בסוגיין דהוא מותר </w:t>
      </w:r>
      <w:r>
        <w:rPr>
          <w:rFonts w:hint="cs"/>
          <w:rtl/>
        </w:rPr>
        <w:lastRenderedPageBreak/>
        <w:t xml:space="preserve">בנותן טעם לפגם, א"כ ודאי דהוא מותר כשהסריח ואינו ראוי לגר, </w:t>
      </w:r>
      <w:r w:rsidRPr="002E20F7">
        <w:rPr>
          <w:rFonts w:hint="cs"/>
          <w:rtl/>
        </w:rPr>
        <w:t xml:space="preserve">וכדברי </w:t>
      </w:r>
      <w:r w:rsidRPr="002E20F7">
        <w:rPr>
          <w:rStyle w:val="af8"/>
          <w:rFonts w:hint="cs"/>
          <w:rtl/>
        </w:rPr>
        <w:t>המ"מ</w:t>
      </w:r>
      <w:r w:rsidRPr="002E20F7">
        <w:rPr>
          <w:rFonts w:hint="cs"/>
          <w:rtl/>
        </w:rPr>
        <w:t xml:space="preserve"> </w:t>
      </w:r>
      <w:r w:rsidRPr="002E20F7">
        <w:rPr>
          <w:rStyle w:val="af6"/>
          <w:rFonts w:eastAsia="Guttman Hodes" w:hint="cs"/>
          <w:rtl/>
        </w:rPr>
        <w:t xml:space="preserve">(עי' אות </w:t>
      </w:r>
      <w:r w:rsidRPr="002E20F7">
        <w:rPr>
          <w:rStyle w:val="af6"/>
          <w:rFonts w:eastAsia="Guttman Hodes"/>
          <w:rtl/>
        </w:rPr>
        <w:fldChar w:fldCharType="begin"/>
      </w:r>
      <w:r w:rsidRPr="002E20F7">
        <w:rPr>
          <w:rStyle w:val="af6"/>
          <w:rFonts w:eastAsia="Guttman Hodes"/>
          <w:rtl/>
        </w:rPr>
        <w:instrText xml:space="preserve"> </w:instrText>
      </w:r>
      <w:r w:rsidRPr="002E20F7">
        <w:rPr>
          <w:rStyle w:val="af6"/>
          <w:rFonts w:eastAsia="Guttman Hodes" w:hint="cs"/>
        </w:rPr>
        <w:instrText>REF</w:instrText>
      </w:r>
      <w:r w:rsidRPr="002E20F7">
        <w:rPr>
          <w:rStyle w:val="af6"/>
          <w:rFonts w:eastAsia="Guttman Hodes" w:hint="cs"/>
          <w:rtl/>
        </w:rPr>
        <w:instrText xml:space="preserve"> _</w:instrText>
      </w:r>
      <w:r w:rsidRPr="002E20F7">
        <w:rPr>
          <w:rStyle w:val="af6"/>
          <w:rFonts w:eastAsia="Guttman Hodes" w:hint="cs"/>
        </w:rPr>
        <w:instrText>Ref20128517 \r \h</w:instrText>
      </w:r>
      <w:r w:rsidRPr="002E20F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2E20F7">
        <w:rPr>
          <w:rStyle w:val="af6"/>
          <w:rFonts w:eastAsia="Guttman Hodes"/>
          <w:rtl/>
        </w:rPr>
      </w:r>
      <w:r w:rsidRPr="002E20F7">
        <w:rPr>
          <w:rStyle w:val="af6"/>
          <w:rFonts w:eastAsia="Guttman Hodes"/>
          <w:rtl/>
        </w:rPr>
        <w:fldChar w:fldCharType="separate"/>
      </w:r>
      <w:r w:rsidR="004D1C5B">
        <w:rPr>
          <w:rStyle w:val="af6"/>
          <w:rFonts w:eastAsia="Guttman Hodes"/>
          <w:cs/>
        </w:rPr>
        <w:t>‎</w:t>
      </w:r>
      <w:r w:rsidR="004D1C5B">
        <w:rPr>
          <w:rStyle w:val="af6"/>
          <w:rFonts w:eastAsia="Guttman Hodes"/>
          <w:rtl/>
        </w:rPr>
        <w:t>פט)</w:t>
      </w:r>
      <w:r w:rsidRPr="002E20F7">
        <w:rPr>
          <w:rStyle w:val="af6"/>
          <w:rFonts w:eastAsia="Guttman Hodes"/>
          <w:rtl/>
        </w:rPr>
        <w:fldChar w:fldCharType="end"/>
      </w:r>
      <w:r w:rsidRPr="002E20F7">
        <w:rPr>
          <w:rStyle w:val="af0"/>
          <w:rtl/>
        </w:rPr>
        <w:footnoteReference w:id="55"/>
      </w:r>
      <w:r>
        <w:rPr>
          <w:rFonts w:hint="cs"/>
          <w:rtl/>
        </w:rPr>
        <w:t>.</w:t>
      </w:r>
    </w:p>
    <w:p w:rsidR="006C2032" w:rsidRDefault="006C2032" w:rsidP="006C2032">
      <w:pPr>
        <w:pStyle w:val="a2"/>
        <w:rPr>
          <w:rtl/>
        </w:rPr>
      </w:pPr>
      <w:r>
        <w:rPr>
          <w:rFonts w:hint="cs"/>
          <w:rtl/>
        </w:rPr>
        <w:t>דברי הפרמ"ג דלדעת הפר"ח איסור מאוס שהסריח אוסר כל שאין כנגדו רוב היתר אסור</w:t>
      </w:r>
      <w:bookmarkEnd w:id="11699"/>
      <w:bookmarkEnd w:id="11700"/>
      <w:bookmarkEnd w:id="11701"/>
      <w:bookmarkEnd w:id="11702"/>
      <w:bookmarkEnd w:id="11703"/>
      <w:bookmarkEnd w:id="11704"/>
    </w:p>
    <w:p w:rsidR="006C2032" w:rsidRDefault="006C2032" w:rsidP="009F44AF">
      <w:pPr>
        <w:pStyle w:val="a"/>
        <w:rPr>
          <w:rtl/>
        </w:rPr>
      </w:pPr>
      <w:r w:rsidRPr="004D1D0E">
        <w:rPr>
          <w:rFonts w:hint="cs"/>
          <w:rtl/>
        </w:rPr>
        <w:t xml:space="preserve">וכתב </w:t>
      </w:r>
      <w:r w:rsidRPr="00491FBF">
        <w:rPr>
          <w:rStyle w:val="af8"/>
          <w:rFonts w:hint="cs"/>
          <w:rtl/>
        </w:rPr>
        <w:t>הפרמ"ג</w:t>
      </w:r>
      <w:r w:rsidRPr="004D1D0E">
        <w:rPr>
          <w:rFonts w:hint="cs"/>
          <w:rtl/>
        </w:rPr>
        <w:t xml:space="preserve"> </w:t>
      </w:r>
      <w:r>
        <w:rPr>
          <w:rStyle w:val="af6"/>
          <w:rFonts w:eastAsia="Guttman Rashi" w:hint="cs"/>
          <w:rtl/>
        </w:rPr>
        <w:t>(</w:t>
      </w:r>
      <w:r w:rsidRPr="004D1D0E">
        <w:rPr>
          <w:rStyle w:val="af6"/>
          <w:rFonts w:eastAsia="Guttman Rashi" w:hint="cs"/>
          <w:rtl/>
        </w:rPr>
        <w:t>פתיחה</w:t>
      </w:r>
      <w:r w:rsidRPr="004D1D0E">
        <w:rPr>
          <w:rStyle w:val="af6"/>
          <w:rFonts w:eastAsia="Guttman Rashi" w:hint="cs"/>
        </w:rPr>
        <w:t xml:space="preserve"> </w:t>
      </w:r>
      <w:r w:rsidRPr="004D1D0E">
        <w:rPr>
          <w:rStyle w:val="af6"/>
          <w:rFonts w:eastAsia="Guttman Rashi" w:hint="cs"/>
          <w:rtl/>
        </w:rPr>
        <w:t>לתערובות</w:t>
      </w:r>
      <w:r w:rsidRPr="004D1D0E">
        <w:rPr>
          <w:rStyle w:val="af6"/>
          <w:rFonts w:eastAsia="Guttman Rashi" w:hint="cs"/>
        </w:rPr>
        <w:t xml:space="preserve"> </w:t>
      </w:r>
      <w:r w:rsidRPr="004D1D0E">
        <w:rPr>
          <w:rStyle w:val="af6"/>
          <w:rFonts w:eastAsia="Guttman Rashi" w:hint="cs"/>
          <w:rtl/>
        </w:rPr>
        <w:t>ח</w:t>
      </w:r>
      <w:r w:rsidRPr="004D1D0E">
        <w:rPr>
          <w:rStyle w:val="af6"/>
          <w:rFonts w:eastAsia="Guttman Rashi" w:hint="cs"/>
        </w:rPr>
        <w:t>"</w:t>
      </w:r>
      <w:r w:rsidRPr="004D1D0E">
        <w:rPr>
          <w:rStyle w:val="af6"/>
          <w:rFonts w:eastAsia="Guttman Rashi" w:hint="cs"/>
          <w:rtl/>
        </w:rPr>
        <w:t>ג</w:t>
      </w:r>
      <w:r w:rsidRPr="004D1D0E">
        <w:rPr>
          <w:rStyle w:val="af6"/>
          <w:rFonts w:eastAsia="Guttman Rashi" w:hint="cs"/>
        </w:rPr>
        <w:t xml:space="preserve"> </w:t>
      </w:r>
      <w:r w:rsidRPr="004D1D0E">
        <w:rPr>
          <w:rStyle w:val="af6"/>
          <w:rFonts w:eastAsia="Guttman Rashi" w:hint="cs"/>
          <w:rtl/>
        </w:rPr>
        <w:t>פ</w:t>
      </w:r>
      <w:r w:rsidRPr="004D1D0E">
        <w:rPr>
          <w:rStyle w:val="af6"/>
          <w:rFonts w:eastAsia="Guttman Rashi" w:hint="cs"/>
        </w:rPr>
        <w:t>"</w:t>
      </w:r>
      <w:r w:rsidRPr="004D1D0E">
        <w:rPr>
          <w:rStyle w:val="af6"/>
          <w:rFonts w:eastAsia="Guttman Hodes" w:hint="cs"/>
          <w:rtl/>
        </w:rPr>
        <w:t>ו</w:t>
      </w:r>
      <w:r w:rsidRPr="004D1D0E">
        <w:rPr>
          <w:rStyle w:val="af6"/>
          <w:rFonts w:eastAsia="Guttman Hodes" w:hint="cs"/>
        </w:rPr>
        <w:t xml:space="preserve"> </w:t>
      </w:r>
      <w:r w:rsidRPr="004D1D0E">
        <w:rPr>
          <w:rStyle w:val="af6"/>
          <w:rFonts w:eastAsia="Guttman Hodes" w:hint="cs"/>
          <w:rtl/>
        </w:rPr>
        <w:t>ד</w:t>
      </w:r>
      <w:r w:rsidRPr="004D1D0E">
        <w:rPr>
          <w:rStyle w:val="af6"/>
          <w:rFonts w:eastAsia="Guttman Hodes" w:hint="cs"/>
        </w:rPr>
        <w:t>"</w:t>
      </w:r>
      <w:r w:rsidRPr="004D1D0E">
        <w:rPr>
          <w:rStyle w:val="af6"/>
          <w:rFonts w:eastAsia="Guttman Hodes" w:hint="cs"/>
          <w:rtl/>
        </w:rPr>
        <w:t>ה ודברים הפגומים)</w:t>
      </w:r>
      <w:r>
        <w:rPr>
          <w:rFonts w:hint="cs"/>
          <w:rtl/>
        </w:rPr>
        <w:t xml:space="preserve"> דלדעת </w:t>
      </w:r>
      <w:r w:rsidRPr="00491FBF">
        <w:rPr>
          <w:rStyle w:val="af8"/>
          <w:rFonts w:hint="cs"/>
          <w:rtl/>
        </w:rPr>
        <w:t>הפר"ח</w:t>
      </w:r>
      <w:r>
        <w:rPr>
          <w:rFonts w:hint="cs"/>
          <w:rtl/>
        </w:rPr>
        <w:t xml:space="preserve"> כיון שאיסור מאוס אסור אף כשהסריח, א"כ כל שאין כנגד האיסור המאוס רוב בהיתר, הוא אוסר את התערובת.</w:t>
      </w:r>
    </w:p>
    <w:p w:rsidR="006C2032" w:rsidRPr="000258EE" w:rsidRDefault="006C2032" w:rsidP="009F44AF">
      <w:pPr>
        <w:pStyle w:val="a"/>
        <w:rPr>
          <w:rtl/>
        </w:rPr>
        <w:sectPr w:rsidR="006C2032" w:rsidRPr="000258EE" w:rsidSect="005049E2">
          <w:type w:val="continuous"/>
          <w:pgSz w:w="11906" w:h="16838"/>
          <w:pgMar w:top="720" w:right="720" w:bottom="720" w:left="720" w:header="283" w:footer="283" w:gutter="0"/>
          <w:cols w:num="2" w:space="567"/>
          <w:titlePg/>
          <w:bidi/>
          <w:rtlGutter/>
          <w:docGrid w:linePitch="299"/>
        </w:sectPr>
      </w:pPr>
    </w:p>
    <w:p w:rsidR="006C2032" w:rsidRDefault="006C2032" w:rsidP="006C2032">
      <w:pPr>
        <w:tabs>
          <w:tab w:val="left" w:pos="1163"/>
        </w:tabs>
        <w:spacing w:after="120" w:line="240" w:lineRule="auto"/>
        <w:ind w:left="0"/>
        <w:rPr>
          <w:rFonts w:ascii="Guttman Hodes" w:eastAsia="Guttman Hodes" w:hAnsi="Guttman Hodes" w:cs="Guttman Hodes"/>
          <w:noProof/>
          <w:sz w:val="18"/>
          <w:szCs w:val="18"/>
        </w:rPr>
        <w:sectPr w:rsidR="006C2032" w:rsidSect="006C2032">
          <w:type w:val="continuous"/>
          <w:pgSz w:w="11906" w:h="16838"/>
          <w:pgMar w:top="720" w:right="720" w:bottom="720" w:left="720" w:header="283" w:footer="283" w:gutter="0"/>
          <w:cols w:space="567"/>
          <w:bidi/>
          <w:rtlGutter/>
          <w:docGrid w:linePitch="299"/>
        </w:sectPr>
      </w:pPr>
    </w:p>
    <w:p w:rsidR="006C2032" w:rsidRPr="00D47CE7" w:rsidRDefault="00651E3B" w:rsidP="006C2032">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3" type="#_x0000_t75" style="width:404.55pt;height:6.8pt" o:hrpct="0" o:hralign="center" o:hr="t">
            <v:imagedata r:id="rId48" o:title="BD14845_"/>
          </v:shape>
        </w:pict>
      </w:r>
      <w:r w:rsidR="006C2032" w:rsidRPr="00D47CE7">
        <w:rPr>
          <w:rFonts w:ascii="Guttman Hodes" w:eastAsia="Guttman Hodes" w:hAnsi="Guttman Hodes" w:cs="Guttman Hodes" w:hint="cs"/>
          <w:noProof/>
          <w:sz w:val="18"/>
          <w:szCs w:val="18"/>
          <w:rtl/>
        </w:rPr>
        <w:t xml:space="preserve"> </w:t>
      </w:r>
    </w:p>
    <w:p w:rsidR="006C2032" w:rsidRDefault="006C2032" w:rsidP="00E669F8">
      <w:pPr>
        <w:pStyle w:val="afd"/>
        <w:rPr>
          <w:rtl/>
        </w:rPr>
        <w:sectPr w:rsidR="006C2032" w:rsidSect="006C2032">
          <w:pgSz w:w="11906" w:h="16838"/>
          <w:pgMar w:top="720" w:right="720" w:bottom="720" w:left="720" w:header="283" w:footer="283" w:gutter="0"/>
          <w:cols w:space="567"/>
          <w:bidi/>
          <w:rtlGutter/>
          <w:docGrid w:linePitch="299"/>
        </w:sectPr>
      </w:pPr>
      <w:bookmarkStart w:id="11705" w:name="_Toc19092744"/>
      <w:bookmarkStart w:id="11706" w:name="_Toc19995385"/>
      <w:bookmarkStart w:id="11707" w:name="_Toc19995925"/>
      <w:bookmarkStart w:id="11708" w:name="_Toc20168425"/>
      <w:bookmarkStart w:id="11709" w:name="_Toc20170532"/>
      <w:bookmarkStart w:id="11710" w:name="_Toc20226733"/>
      <w:bookmarkStart w:id="11711" w:name="_Toc20256937"/>
      <w:bookmarkStart w:id="11712" w:name="_Toc20267195"/>
      <w:bookmarkStart w:id="11713" w:name="_Toc20311047"/>
      <w:bookmarkStart w:id="11714" w:name="_Toc20311219"/>
      <w:bookmarkStart w:id="11715" w:name="_Toc20315491"/>
      <w:bookmarkStart w:id="11716" w:name="_Toc20315885"/>
      <w:r w:rsidRPr="0081356D">
        <w:rPr>
          <w:rFonts w:hint="cs"/>
          <w:rtl/>
        </w:rPr>
        <w:t>ביאורי ראשי הישיבות</w:t>
      </w:r>
      <w:bookmarkEnd w:id="11705"/>
      <w:bookmarkEnd w:id="11706"/>
      <w:bookmarkEnd w:id="11707"/>
      <w:bookmarkEnd w:id="11708"/>
      <w:bookmarkEnd w:id="11709"/>
      <w:bookmarkEnd w:id="11710"/>
      <w:bookmarkEnd w:id="11711"/>
      <w:bookmarkEnd w:id="11712"/>
      <w:bookmarkEnd w:id="11713"/>
      <w:bookmarkEnd w:id="11714"/>
      <w:bookmarkEnd w:id="11715"/>
      <w:bookmarkEnd w:id="11716"/>
    </w:p>
    <w:p w:rsidR="006C2032" w:rsidRPr="005C6CA1" w:rsidRDefault="006C2032" w:rsidP="00E669F8">
      <w:pPr>
        <w:pStyle w:val="afd"/>
        <w:rPr>
          <w:rtl/>
        </w:rPr>
      </w:pPr>
      <w:bookmarkStart w:id="11717" w:name="_Toc20226734"/>
      <w:bookmarkStart w:id="11718" w:name="_Toc20256938"/>
      <w:bookmarkStart w:id="11719" w:name="_Toc20267196"/>
      <w:bookmarkStart w:id="11720" w:name="_Toc20311048"/>
      <w:bookmarkStart w:id="11721" w:name="_Toc20311220"/>
      <w:bookmarkStart w:id="11722" w:name="_Toc20315492"/>
      <w:bookmarkStart w:id="11723" w:name="_Toc20315886"/>
      <w:r>
        <w:rPr>
          <w:rFonts w:hint="cs"/>
          <w:rtl/>
        </w:rPr>
        <w:t>בביאור</w:t>
      </w:r>
      <w:bookmarkEnd w:id="11717"/>
      <w:bookmarkEnd w:id="11718"/>
      <w:r>
        <w:rPr>
          <w:rFonts w:hint="cs"/>
          <w:rtl/>
        </w:rPr>
        <w:t xml:space="preserve"> פלוגתת רב ששת </w:t>
      </w:r>
      <w:r w:rsidRPr="005C6CA1">
        <w:rPr>
          <w:rFonts w:hint="cs"/>
          <w:rtl/>
        </w:rPr>
        <w:t>ורבא</w:t>
      </w:r>
      <w:bookmarkEnd w:id="11719"/>
      <w:bookmarkEnd w:id="11720"/>
      <w:bookmarkEnd w:id="11721"/>
      <w:bookmarkEnd w:id="11722"/>
      <w:bookmarkEnd w:id="11723"/>
    </w:p>
    <w:p w:rsidR="006C2032" w:rsidRPr="005C6CA1" w:rsidRDefault="006C2032" w:rsidP="006C2032">
      <w:pPr>
        <w:pStyle w:val="1"/>
        <w:rPr>
          <w:rtl/>
        </w:rPr>
      </w:pPr>
      <w:bookmarkStart w:id="11724" w:name="_Toc20226735"/>
      <w:bookmarkStart w:id="11725" w:name="_Toc20256939"/>
      <w:bookmarkStart w:id="11726" w:name="_Toc20267197"/>
      <w:bookmarkStart w:id="11727" w:name="_Toc20311049"/>
      <w:bookmarkStart w:id="11728" w:name="_Toc20311221"/>
      <w:bookmarkStart w:id="11729" w:name="_Toc20315493"/>
      <w:bookmarkStart w:id="11730" w:name="_Toc20315887"/>
      <w:r w:rsidRPr="005C6CA1">
        <w:rPr>
          <w:rFonts w:hint="cs"/>
          <w:rtl/>
        </w:rPr>
        <w:t>דברי הקה"י</w:t>
      </w:r>
      <w:bookmarkEnd w:id="11724"/>
      <w:bookmarkEnd w:id="11725"/>
      <w:r w:rsidRPr="005C6CA1">
        <w:rPr>
          <w:rFonts w:hint="cs"/>
          <w:rtl/>
        </w:rPr>
        <w:t xml:space="preserve"> בדעת הרשב"א והר"ן בדין נטל"פ לרב ששת ורבא</w:t>
      </w:r>
      <w:bookmarkEnd w:id="11726"/>
      <w:bookmarkEnd w:id="11727"/>
      <w:bookmarkEnd w:id="11728"/>
      <w:bookmarkEnd w:id="11729"/>
      <w:bookmarkEnd w:id="11730"/>
    </w:p>
    <w:p w:rsidR="006C2032" w:rsidRPr="005C6CA1" w:rsidRDefault="006C2032" w:rsidP="006C2032">
      <w:pPr>
        <w:pStyle w:val="a2"/>
      </w:pPr>
      <w:bookmarkStart w:id="11731" w:name="_Toc20267198"/>
      <w:bookmarkStart w:id="11732" w:name="_Toc20311050"/>
      <w:bookmarkStart w:id="11733" w:name="_Toc20311222"/>
      <w:bookmarkStart w:id="11734" w:name="_Toc20315494"/>
      <w:bookmarkStart w:id="11735" w:name="_Toc20315888"/>
      <w:bookmarkStart w:id="11736" w:name="_Toc19995926"/>
      <w:bookmarkStart w:id="11737" w:name="_Toc20168426"/>
      <w:bookmarkStart w:id="11738" w:name="_Toc20170533"/>
      <w:bookmarkStart w:id="11739" w:name="_Toc20226736"/>
      <w:r w:rsidRPr="005C6CA1">
        <w:rPr>
          <w:rFonts w:hint="cs"/>
          <w:rtl/>
        </w:rPr>
        <w:t>דברי הקה"י דלהרשב"א דהיתר נטל"פ דאין טע"כ בפגום מבואר כרבא דנטל"פ מותר אף במאוס</w:t>
      </w:r>
      <w:bookmarkEnd w:id="11731"/>
      <w:bookmarkEnd w:id="11732"/>
      <w:bookmarkEnd w:id="11733"/>
      <w:bookmarkEnd w:id="11734"/>
      <w:bookmarkEnd w:id="11735"/>
    </w:p>
    <w:p w:rsidR="006C2032" w:rsidRPr="005C6CA1" w:rsidRDefault="006C2032" w:rsidP="009F44AF">
      <w:pPr>
        <w:pStyle w:val="a"/>
        <w:rPr>
          <w:rtl/>
        </w:rPr>
      </w:pPr>
      <w:r w:rsidRPr="005C6CA1">
        <w:rPr>
          <w:rFonts w:hint="cs"/>
          <w:rtl/>
        </w:rPr>
        <w:t xml:space="preserve">כתב </w:t>
      </w:r>
      <w:r w:rsidRPr="005C6CA1">
        <w:rPr>
          <w:rStyle w:val="af8"/>
          <w:rFonts w:hint="cs"/>
          <w:rtl/>
        </w:rPr>
        <w:t xml:space="preserve">הקה"י </w:t>
      </w:r>
      <w:r w:rsidRPr="005C6CA1">
        <w:rPr>
          <w:rStyle w:val="af6"/>
          <w:rFonts w:eastAsia="Guttman Hodes" w:hint="cs"/>
          <w:rtl/>
        </w:rPr>
        <w:t>(סי' כ"ה ז')</w:t>
      </w:r>
      <w:r w:rsidRPr="005C6CA1">
        <w:rPr>
          <w:rFonts w:hint="cs"/>
          <w:rtl/>
        </w:rPr>
        <w:t xml:space="preserve"> דלדעת </w:t>
      </w:r>
      <w:r w:rsidRPr="00D47CE7">
        <w:rPr>
          <w:rStyle w:val="af8"/>
          <w:rFonts w:hint="cs"/>
          <w:rtl/>
        </w:rPr>
        <w:t>הרשב"א בתוה"ב</w:t>
      </w:r>
      <w:r w:rsidRPr="00D47CE7">
        <w:rPr>
          <w:rFonts w:hint="cs"/>
          <w:rtl/>
        </w:rPr>
        <w:t xml:space="preserve"> </w:t>
      </w:r>
      <w:r w:rsidRPr="00D47CE7">
        <w:rPr>
          <w:rStyle w:val="af6"/>
          <w:rFonts w:eastAsia="Guttman Hodes" w:hint="cs"/>
          <w:rtl/>
        </w:rPr>
        <w:t>(ב"ד ש"א יט. מדה"ס ד"ה פגם</w:t>
      </w:r>
      <w:r>
        <w:rPr>
          <w:rStyle w:val="af6"/>
          <w:rFonts w:eastAsia="Guttman Hodes" w:hint="cs"/>
          <w:rtl/>
        </w:rPr>
        <w:t xml:space="preserve">, הובא לעיל סימן י"ב אות י"ז) </w:t>
      </w:r>
      <w:r w:rsidRPr="005C6CA1">
        <w:rPr>
          <w:rFonts w:hint="cs"/>
          <w:rtl/>
        </w:rPr>
        <w:t xml:space="preserve">דההיתר בנותן טעם לפגם הוא כיון שלא נאמר דין טעם כעיקר בטעם פגום, </w:t>
      </w:r>
      <w:r w:rsidRPr="005C4075">
        <w:rPr>
          <w:rStyle w:val="afa"/>
          <w:rFonts w:hint="cs"/>
          <w:rtl/>
        </w:rPr>
        <w:t xml:space="preserve">[וכדביארו </w:t>
      </w:r>
      <w:r w:rsidRPr="005C4075">
        <w:rPr>
          <w:rStyle w:val="affa"/>
          <w:rFonts w:hint="cs"/>
          <w:rtl/>
        </w:rPr>
        <w:t>הקה"י</w:t>
      </w:r>
      <w:r w:rsidRPr="005C4075">
        <w:rPr>
          <w:rStyle w:val="afa"/>
          <w:rFonts w:hint="cs"/>
          <w:rtl/>
        </w:rPr>
        <w:t xml:space="preserve"> </w:t>
      </w:r>
      <w:r w:rsidRPr="005C4075">
        <w:rPr>
          <w:rStyle w:val="aff6"/>
          <w:rFonts w:hint="cs"/>
          <w:rtl/>
        </w:rPr>
        <w:t xml:space="preserve">(סי' כ"ה ג', הובא </w:t>
      </w:r>
      <w:r>
        <w:rPr>
          <w:rStyle w:val="aff6"/>
          <w:rFonts w:hint="cs"/>
          <w:rtl/>
        </w:rPr>
        <w:t>לעיל</w:t>
      </w:r>
      <w:r w:rsidRPr="005C4075">
        <w:rPr>
          <w:rStyle w:val="aff6"/>
          <w:rFonts w:hint="cs"/>
          <w:rtl/>
        </w:rPr>
        <w:t xml:space="preserve"> סימן י"ב אות קכ"א</w:t>
      </w:r>
      <w:r>
        <w:rPr>
          <w:rStyle w:val="aff6"/>
          <w:rFonts w:hint="cs"/>
          <w:rtl/>
        </w:rPr>
        <w:t>)</w:t>
      </w:r>
      <w:r w:rsidRPr="005C4075">
        <w:rPr>
          <w:rStyle w:val="afa"/>
          <w:rFonts w:hint="cs"/>
          <w:rtl/>
        </w:rPr>
        <w:t xml:space="preserve">], </w:t>
      </w:r>
      <w:r w:rsidRPr="005C6CA1">
        <w:rPr>
          <w:rFonts w:hint="cs"/>
          <w:rtl/>
        </w:rPr>
        <w:t>א"כ מבוארת סברת רבא, דבאיסור שמאוס מעיקרו,</w:t>
      </w:r>
      <w:r>
        <w:rPr>
          <w:rFonts w:hint="cs"/>
          <w:rtl/>
        </w:rPr>
        <w:t xml:space="preserve"> </w:t>
      </w:r>
      <w:r w:rsidRPr="005C6CA1">
        <w:rPr>
          <w:rFonts w:hint="cs"/>
          <w:rtl/>
        </w:rPr>
        <w:t xml:space="preserve">דאף שהאיסור עצמו אסור, מ"מ יש בו היתר נותן טעם לפגם, דהא לדעת </w:t>
      </w:r>
      <w:r w:rsidRPr="005C6CA1">
        <w:rPr>
          <w:rStyle w:val="af8"/>
          <w:rFonts w:hint="cs"/>
          <w:rtl/>
        </w:rPr>
        <w:t>הרשב"א</w:t>
      </w:r>
      <w:r w:rsidRPr="005C6CA1">
        <w:rPr>
          <w:rFonts w:hint="cs"/>
          <w:rtl/>
        </w:rPr>
        <w:t xml:space="preserve"> אף שהוא עצמו אסור, מ"מ טעמו אינו אוסר, דלא אסרה תורה טעם פגום.</w:t>
      </w:r>
    </w:p>
    <w:p w:rsidR="006C2032" w:rsidRPr="005C6CA1" w:rsidRDefault="006C2032" w:rsidP="006C2032">
      <w:pPr>
        <w:pStyle w:val="a2"/>
        <w:rPr>
          <w:rtl/>
        </w:rPr>
      </w:pPr>
      <w:bookmarkStart w:id="11740" w:name="_Toc20267199"/>
      <w:bookmarkStart w:id="11741" w:name="_Toc20311051"/>
      <w:bookmarkStart w:id="11742" w:name="_Toc20311223"/>
      <w:bookmarkStart w:id="11743" w:name="_Toc20315495"/>
      <w:bookmarkStart w:id="11744" w:name="_Toc20315889"/>
      <w:r w:rsidRPr="005C6CA1">
        <w:rPr>
          <w:rFonts w:hint="cs"/>
          <w:rtl/>
        </w:rPr>
        <w:t>דברי הקה"י דלהר"ן דהיתר נטל"פ דאינו נהנה מבואר כרב ששת דבמאוס חייב אף שלא נהנה</w:t>
      </w:r>
      <w:bookmarkEnd w:id="11740"/>
      <w:bookmarkEnd w:id="11741"/>
      <w:bookmarkEnd w:id="11742"/>
      <w:bookmarkEnd w:id="11743"/>
      <w:bookmarkEnd w:id="11744"/>
    </w:p>
    <w:p w:rsidR="006C2032" w:rsidRPr="005C6CA1" w:rsidRDefault="006C2032" w:rsidP="009F44AF">
      <w:pPr>
        <w:pStyle w:val="a"/>
        <w:rPr>
          <w:rtl/>
        </w:rPr>
      </w:pPr>
      <w:r w:rsidRPr="005C6CA1">
        <w:rPr>
          <w:rFonts w:hint="cs"/>
          <w:rtl/>
        </w:rPr>
        <w:t xml:space="preserve">וכתב </w:t>
      </w:r>
      <w:r w:rsidRPr="005C6CA1">
        <w:rPr>
          <w:rStyle w:val="af8"/>
          <w:rFonts w:hint="cs"/>
          <w:rtl/>
        </w:rPr>
        <w:t>הקה"י</w:t>
      </w:r>
      <w:r w:rsidRPr="005C6CA1">
        <w:rPr>
          <w:rFonts w:hint="cs"/>
          <w:rtl/>
        </w:rPr>
        <w:t xml:space="preserve"> דלדעת </w:t>
      </w:r>
      <w:r w:rsidRPr="00D47CE7">
        <w:rPr>
          <w:rStyle w:val="af8"/>
          <w:rFonts w:hint="cs"/>
          <w:rtl/>
        </w:rPr>
        <w:t>הר"ן על הרי"ף</w:t>
      </w:r>
      <w:r>
        <w:rPr>
          <w:rStyle w:val="af8"/>
          <w:rFonts w:hint="cs"/>
          <w:rtl/>
        </w:rPr>
        <w:t xml:space="preserve"> </w:t>
      </w:r>
      <w:r w:rsidRPr="00D47CE7">
        <w:rPr>
          <w:rStyle w:val="af6"/>
          <w:rFonts w:eastAsia="Guttman Hodes" w:hint="cs"/>
          <w:rtl/>
        </w:rPr>
        <w:t>(</w:t>
      </w:r>
      <w:r>
        <w:rPr>
          <w:rStyle w:val="af6"/>
          <w:rFonts w:eastAsia="Guttman Hodes" w:hint="cs"/>
          <w:rtl/>
        </w:rPr>
        <w:t xml:space="preserve">סוף לב. מדפי הרי"ף ד"ה ודאמרינן, </w:t>
      </w:r>
      <w:r w:rsidRPr="00C17C41">
        <w:rPr>
          <w:rStyle w:val="af6"/>
          <w:rFonts w:eastAsia="Guttman Hodes" w:hint="cs"/>
          <w:rtl/>
        </w:rPr>
        <w:t xml:space="preserve">הובא לעיל סימן </w:t>
      </w:r>
      <w:r>
        <w:rPr>
          <w:rStyle w:val="af6"/>
          <w:rFonts w:eastAsia="Guttman Hodes" w:hint="cs"/>
          <w:rtl/>
        </w:rPr>
        <w:t>י"ב</w:t>
      </w:r>
      <w:r w:rsidRPr="00C17C41">
        <w:rPr>
          <w:rStyle w:val="af6"/>
          <w:rFonts w:eastAsia="Guttman Hodes" w:hint="cs"/>
          <w:rtl/>
        </w:rPr>
        <w:t xml:space="preserve"> אות </w:t>
      </w:r>
      <w:r>
        <w:rPr>
          <w:rStyle w:val="af6"/>
          <w:rFonts w:eastAsia="Guttman Hodes" w:hint="cs"/>
          <w:rtl/>
        </w:rPr>
        <w:t>מ"ו</w:t>
      </w:r>
      <w:r w:rsidRPr="00C17C41">
        <w:rPr>
          <w:rStyle w:val="af6"/>
          <w:rFonts w:eastAsia="Guttman Hodes" w:hint="cs"/>
          <w:rtl/>
        </w:rPr>
        <w:t>)</w:t>
      </w:r>
      <w:r>
        <w:rPr>
          <w:rFonts w:hint="cs"/>
          <w:rtl/>
        </w:rPr>
        <w:t xml:space="preserve"> </w:t>
      </w:r>
      <w:r w:rsidRPr="005C6CA1">
        <w:rPr>
          <w:rFonts w:hint="cs"/>
          <w:rtl/>
        </w:rPr>
        <w:t xml:space="preserve"> דס"ל דההיתר בנותן טעם לפגם הוא כיון שאינו נהנה מהטעם הפגום, </w:t>
      </w:r>
      <w:r w:rsidRPr="005C4075">
        <w:rPr>
          <w:rStyle w:val="afa"/>
          <w:rFonts w:hint="cs"/>
          <w:rtl/>
        </w:rPr>
        <w:t xml:space="preserve">[וכדביארו </w:t>
      </w:r>
      <w:r w:rsidRPr="005C4075">
        <w:rPr>
          <w:rStyle w:val="affa"/>
          <w:rFonts w:hint="cs"/>
          <w:rtl/>
        </w:rPr>
        <w:t>הקה"י</w:t>
      </w:r>
      <w:r w:rsidRPr="005C4075">
        <w:rPr>
          <w:rStyle w:val="afa"/>
          <w:rFonts w:hint="cs"/>
          <w:rtl/>
        </w:rPr>
        <w:t xml:space="preserve"> </w:t>
      </w:r>
      <w:r w:rsidRPr="005C4075">
        <w:rPr>
          <w:rStyle w:val="aff6"/>
          <w:rFonts w:hint="cs"/>
          <w:rtl/>
        </w:rPr>
        <w:t xml:space="preserve">(סי' כ"ה ג', הובא </w:t>
      </w:r>
      <w:r>
        <w:rPr>
          <w:rStyle w:val="aff6"/>
          <w:rFonts w:hint="cs"/>
          <w:rtl/>
        </w:rPr>
        <w:t>לעיל</w:t>
      </w:r>
      <w:r w:rsidRPr="005C4075">
        <w:rPr>
          <w:rStyle w:val="aff6"/>
          <w:rFonts w:hint="cs"/>
          <w:rtl/>
        </w:rPr>
        <w:t xml:space="preserve"> סימן י"ב אות קכ"</w:t>
      </w:r>
      <w:r>
        <w:rPr>
          <w:rStyle w:val="aff6"/>
          <w:rFonts w:hint="cs"/>
          <w:rtl/>
        </w:rPr>
        <w:t>ב)</w:t>
      </w:r>
      <w:r w:rsidRPr="005C4075">
        <w:rPr>
          <w:rStyle w:val="afa"/>
          <w:rFonts w:hint="cs"/>
          <w:rtl/>
        </w:rPr>
        <w:t xml:space="preserve">], </w:t>
      </w:r>
      <w:r w:rsidRPr="005C6CA1">
        <w:rPr>
          <w:rFonts w:hint="cs"/>
          <w:rtl/>
        </w:rPr>
        <w:t xml:space="preserve">א"כ מבוארת סברת רב ששת, דבאיסור מאוס מעיקרו, כיון שהוא חידוש דחייבה </w:t>
      </w:r>
      <w:r w:rsidRPr="005C6CA1">
        <w:rPr>
          <w:rFonts w:hint="cs"/>
          <w:rtl/>
        </w:rPr>
        <w:t xml:space="preserve">עליו תורה, א"כ אין בו היתר נותן טעם לפגם, דהא לסברת </w:t>
      </w:r>
      <w:r w:rsidRPr="005C6CA1">
        <w:rPr>
          <w:rStyle w:val="af8"/>
          <w:rFonts w:hint="cs"/>
          <w:rtl/>
        </w:rPr>
        <w:t>הר"ן</w:t>
      </w:r>
      <w:r w:rsidRPr="005C6CA1">
        <w:rPr>
          <w:rFonts w:hint="cs"/>
          <w:rtl/>
        </w:rPr>
        <w:t xml:space="preserve"> כיון שחייבה עליו תורה, אעפ"י שטעמו פגום ואינו ראוי לאכילת אדם, ואינו נהנה באכילתו, א"כ אף טעמו אסור, אעפ"י דבשאר האיסורין נותן טעם לפגם מותר, זהו דוקא כיון שהחיוב על אכילת איסור הוא באכילה שיש בה הנאה, אבל באיסור מאוס שחייבה תורה אף שאינו נהנה, א"כ אף טעמו אסור.</w:t>
      </w:r>
    </w:p>
    <w:p w:rsidR="006C2032" w:rsidRPr="005C6CA1" w:rsidRDefault="006C2032" w:rsidP="006C2032">
      <w:pPr>
        <w:pStyle w:val="a2"/>
        <w:rPr>
          <w:rtl/>
        </w:rPr>
      </w:pPr>
      <w:bookmarkStart w:id="11745" w:name="_Toc20267200"/>
      <w:bookmarkStart w:id="11746" w:name="_Toc20311052"/>
      <w:bookmarkStart w:id="11747" w:name="_Toc20311224"/>
      <w:bookmarkStart w:id="11748" w:name="_Toc20315496"/>
      <w:bookmarkStart w:id="11749" w:name="_Toc20315890"/>
      <w:r w:rsidRPr="005C6CA1">
        <w:rPr>
          <w:rFonts w:hint="cs"/>
          <w:rtl/>
        </w:rPr>
        <w:t>ביאור הקה"י ברשב"א דלרב ששת חידשה תורה דבאיסור מאוס חייב על טע"כ בפגום</w:t>
      </w:r>
      <w:bookmarkEnd w:id="11745"/>
      <w:bookmarkEnd w:id="11746"/>
      <w:bookmarkEnd w:id="11747"/>
      <w:bookmarkEnd w:id="11748"/>
      <w:bookmarkEnd w:id="11749"/>
    </w:p>
    <w:p w:rsidR="006C2032" w:rsidRPr="005C6CA1" w:rsidRDefault="006C2032" w:rsidP="009F44AF">
      <w:pPr>
        <w:pStyle w:val="a"/>
        <w:rPr>
          <w:rtl/>
        </w:rPr>
      </w:pPr>
      <w:r w:rsidRPr="005C6CA1">
        <w:rPr>
          <w:rFonts w:hint="cs"/>
          <w:rtl/>
        </w:rPr>
        <w:t xml:space="preserve">וביאר </w:t>
      </w:r>
      <w:r w:rsidRPr="005C6CA1">
        <w:rPr>
          <w:rStyle w:val="af8"/>
          <w:rFonts w:hint="cs"/>
          <w:rtl/>
        </w:rPr>
        <w:t>הקה"י</w:t>
      </w:r>
      <w:r w:rsidRPr="005C6CA1">
        <w:rPr>
          <w:rFonts w:hint="cs"/>
          <w:rtl/>
        </w:rPr>
        <w:t xml:space="preserve"> דאף לדעת </w:t>
      </w:r>
      <w:r w:rsidRPr="005C6CA1">
        <w:rPr>
          <w:rStyle w:val="af8"/>
          <w:rFonts w:hint="cs"/>
          <w:rtl/>
        </w:rPr>
        <w:t>הרשב"א</w:t>
      </w:r>
      <w:r w:rsidRPr="005C6CA1">
        <w:rPr>
          <w:rFonts w:hint="cs"/>
          <w:rtl/>
        </w:rPr>
        <w:t xml:space="preserve"> דהיתר נותן טעם לפגם, הוא בדין טעם כעיקר, דטעם פגום אינו טעם, מ"מ אפש"ל כסברת רב ששת, דאין באיסור מאוס מעיקרו היתר בנותן טעם לפגם, דכיון שאסרתו תורה אעפ"י שאינו ראוי לאכילת אדם, א"כ אפשר ללמוד דהאיסור שחידשה בו תורה, אינו רק לגופו, אלא אף לטעמו, דיש בו איסור בטעם כעיקר, אף כשהטעם הוא פגום.</w:t>
      </w:r>
    </w:p>
    <w:p w:rsidR="006C2032" w:rsidRPr="005C6CA1" w:rsidRDefault="006C2032" w:rsidP="006C2032">
      <w:pPr>
        <w:pStyle w:val="a2"/>
        <w:rPr>
          <w:rtl/>
        </w:rPr>
      </w:pPr>
      <w:bookmarkStart w:id="11750" w:name="_Toc20267201"/>
      <w:bookmarkStart w:id="11751" w:name="_Toc20311053"/>
      <w:bookmarkStart w:id="11752" w:name="_Toc20311225"/>
      <w:bookmarkStart w:id="11753" w:name="_Toc20315497"/>
      <w:bookmarkStart w:id="11754" w:name="_Toc20315891"/>
      <w:r w:rsidRPr="005C6CA1">
        <w:rPr>
          <w:rFonts w:hint="cs"/>
          <w:rtl/>
        </w:rPr>
        <w:t>ביאור הקה"י בר"ן דלרבא אסרה תורה במאוס רק באיסור עצמו אך טעמו כדין שאר איסורין</w:t>
      </w:r>
      <w:bookmarkEnd w:id="11750"/>
      <w:bookmarkEnd w:id="11751"/>
      <w:bookmarkEnd w:id="11752"/>
      <w:bookmarkEnd w:id="11753"/>
      <w:bookmarkEnd w:id="11754"/>
    </w:p>
    <w:p w:rsidR="007D485E" w:rsidRDefault="006C2032" w:rsidP="009F44AF">
      <w:pPr>
        <w:pStyle w:val="a"/>
        <w:rPr>
          <w:rtl/>
        </w:rPr>
        <w:sectPr w:rsidR="007D485E" w:rsidSect="006C2032">
          <w:type w:val="continuous"/>
          <w:pgSz w:w="11906" w:h="16838"/>
          <w:pgMar w:top="720" w:right="720" w:bottom="720" w:left="720" w:header="283" w:footer="283" w:gutter="0"/>
          <w:cols w:num="2" w:space="567"/>
          <w:bidi/>
          <w:rtlGutter/>
          <w:docGrid w:linePitch="299"/>
        </w:sectPr>
      </w:pPr>
      <w:r w:rsidRPr="005C6CA1">
        <w:rPr>
          <w:rFonts w:hint="cs"/>
          <w:rtl/>
        </w:rPr>
        <w:t xml:space="preserve">ובדעת </w:t>
      </w:r>
      <w:r w:rsidRPr="005C6CA1">
        <w:rPr>
          <w:rStyle w:val="af8"/>
          <w:rFonts w:hint="cs"/>
          <w:rtl/>
        </w:rPr>
        <w:t>הר"ן</w:t>
      </w:r>
      <w:r w:rsidRPr="005C6CA1">
        <w:rPr>
          <w:rFonts w:hint="cs"/>
          <w:rtl/>
        </w:rPr>
        <w:t xml:space="preserve"> ביאר </w:t>
      </w:r>
      <w:r w:rsidRPr="005C6CA1">
        <w:rPr>
          <w:rStyle w:val="af8"/>
          <w:rFonts w:hint="cs"/>
          <w:rtl/>
        </w:rPr>
        <w:t>הקה"</w:t>
      </w:r>
      <w:r w:rsidRPr="005C6CA1">
        <w:rPr>
          <w:rFonts w:hint="cs"/>
          <w:rtl/>
        </w:rPr>
        <w:t>י דאפש"ל אף כסברת רבא דאף שהאיסור עצמו אסור, מ"מ טעמו אינו אוסר, ויש בו היתר נותן טעם לפגם, דאף שבאיסור המאוס עצמו אסרה תורה אף שאין הנאה באכילתו, מ"מ אין לך בו אלא חידושו, דרק גוף האיסור אסור בלא הנאה, אבל בטעמו דינו כשאר האיסורים, דאסרה תורה רק טעם שנהנה באכילת</w:t>
      </w:r>
      <w:r>
        <w:rPr>
          <w:rFonts w:hint="cs"/>
          <w:rtl/>
        </w:rPr>
        <w:t>ו.</w:t>
      </w:r>
    </w:p>
    <w:p w:rsidR="006C2032" w:rsidRDefault="006C2032" w:rsidP="009F44AF">
      <w:pPr>
        <w:pStyle w:val="a"/>
        <w:rPr>
          <w:rtl/>
        </w:rPr>
        <w:sectPr w:rsidR="006C2032" w:rsidSect="006C2032">
          <w:type w:val="continuous"/>
          <w:pgSz w:w="11906" w:h="16838"/>
          <w:pgMar w:top="720" w:right="720" w:bottom="720" w:left="720" w:header="283" w:footer="283" w:gutter="0"/>
          <w:cols w:num="2" w:space="567"/>
          <w:bidi/>
          <w:rtlGutter/>
          <w:docGrid w:linePitch="299"/>
        </w:sectPr>
      </w:pPr>
    </w:p>
    <w:bookmarkEnd w:id="11736"/>
    <w:bookmarkEnd w:id="11737"/>
    <w:bookmarkEnd w:id="11738"/>
    <w:bookmarkEnd w:id="11739"/>
    <w:p w:rsidR="00693579" w:rsidRDefault="00693579" w:rsidP="009F44AF">
      <w:pPr>
        <w:pStyle w:val="a"/>
        <w:numPr>
          <w:ilvl w:val="0"/>
          <w:numId w:val="0"/>
        </w:numPr>
        <w:rPr>
          <w:rtl/>
        </w:rPr>
        <w:sectPr w:rsidR="00693579" w:rsidSect="00142AC6">
          <w:headerReference w:type="default" r:id="rId86"/>
          <w:type w:val="continuous"/>
          <w:pgSz w:w="11906" w:h="16838"/>
          <w:pgMar w:top="720" w:right="720" w:bottom="720" w:left="720" w:header="283" w:footer="283" w:gutter="0"/>
          <w:cols w:num="2" w:space="567"/>
          <w:bidi/>
          <w:rtlGutter/>
          <w:docGrid w:linePitch="299"/>
        </w:sectPr>
      </w:pPr>
    </w:p>
    <w:p w:rsidR="00F3032B" w:rsidRDefault="00F3032B" w:rsidP="00F3032B">
      <w:pPr>
        <w:ind w:left="0"/>
        <w:jc w:val="center"/>
        <w:rPr>
          <w:rFonts w:cs="Guttman Hodes"/>
          <w:sz w:val="32"/>
          <w:szCs w:val="32"/>
        </w:rPr>
      </w:pPr>
    </w:p>
    <w:p w:rsidR="00F3032B" w:rsidRDefault="00F3032B" w:rsidP="00F3032B">
      <w:pPr>
        <w:ind w:left="0"/>
        <w:jc w:val="center"/>
        <w:rPr>
          <w:rFonts w:cs="Guttman Hodes"/>
          <w:sz w:val="32"/>
          <w:szCs w:val="32"/>
          <w:rtl/>
        </w:rPr>
      </w:pPr>
      <w:r>
        <w:rPr>
          <w:rFonts w:hint="cs"/>
          <w:noProof/>
          <w:rtl/>
        </w:rPr>
        <mc:AlternateContent>
          <mc:Choice Requires="wps">
            <w:drawing>
              <wp:anchor distT="0" distB="0" distL="114300" distR="114300" simplePos="0" relativeHeight="251685888" behindDoc="1" locked="0" layoutInCell="1" allowOverlap="1">
                <wp:simplePos x="0" y="0"/>
                <wp:positionH relativeFrom="margin">
                  <wp:align>left</wp:align>
                </wp:positionH>
                <wp:positionV relativeFrom="paragraph">
                  <wp:posOffset>56515</wp:posOffset>
                </wp:positionV>
                <wp:extent cx="6686550" cy="3752215"/>
                <wp:effectExtent l="19050" t="19050" r="19050" b="19685"/>
                <wp:wrapNone/>
                <wp:docPr id="45" name="מלבן מעוגל 45"/>
                <wp:cNvGraphicFramePr/>
                <a:graphic xmlns:a="http://schemas.openxmlformats.org/drawingml/2006/main">
                  <a:graphicData uri="http://schemas.microsoft.com/office/word/2010/wordprocessingShape">
                    <wps:wsp>
                      <wps:cNvSpPr/>
                      <wps:spPr>
                        <a:xfrm>
                          <a:off x="0" y="0"/>
                          <a:ext cx="6686550" cy="3751580"/>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651E3B" w:rsidRDefault="00651E3B" w:rsidP="00F3032B">
                            <w:pPr>
                              <w:ind w:left="0"/>
                              <w:jc w:val="center"/>
                              <w:rPr>
                                <w:rFonts w:cs="Guttman Hodes"/>
                                <w:sz w:val="32"/>
                                <w:szCs w:val="32"/>
                              </w:rPr>
                            </w:pPr>
                          </w:p>
                          <w:p w:rsidR="00651E3B" w:rsidRDefault="00651E3B" w:rsidP="00F3032B">
                            <w:pPr>
                              <w:ind w:left="0"/>
                              <w:jc w:val="center"/>
                              <w:rPr>
                                <w:rFonts w:cs="Guttman Hodes"/>
                                <w:sz w:val="32"/>
                                <w:szCs w:val="32"/>
                              </w:rPr>
                            </w:pPr>
                          </w:p>
                          <w:p w:rsidR="00651E3B" w:rsidRDefault="00651E3B" w:rsidP="00F3032B">
                            <w:pPr>
                              <w:ind w:left="0"/>
                              <w:jc w:val="center"/>
                              <w:rPr>
                                <w:rFonts w:cs="Guttman Hodes"/>
                                <w:sz w:val="32"/>
                                <w:szCs w:val="32"/>
                                <w:rtl/>
                              </w:rPr>
                            </w:pPr>
                          </w:p>
                          <w:p w:rsidR="00651E3B" w:rsidRDefault="00651E3B" w:rsidP="00F3032B">
                            <w:pPr>
                              <w:pStyle w:val="a8"/>
                              <w:ind w:left="0"/>
                              <w:jc w:val="center"/>
                              <w:rPr>
                                <w:rFonts w:cs="Guttman Hodes"/>
                                <w:b/>
                                <w:bCs/>
                                <w:sz w:val="44"/>
                                <w:szCs w:val="44"/>
                                <w:rtl/>
                              </w:rPr>
                            </w:pPr>
                            <w:r>
                              <w:rPr>
                                <w:rFonts w:cs="Guttman Hodes" w:hint="cs"/>
                                <w:b/>
                                <w:bCs/>
                                <w:sz w:val="96"/>
                                <w:szCs w:val="96"/>
                                <w:rtl/>
                              </w:rPr>
                              <w:t xml:space="preserve">פרק בהמה המקשה </w:t>
                            </w:r>
                          </w:p>
                          <w:p w:rsidR="00651E3B" w:rsidRDefault="00651E3B" w:rsidP="00F3032B">
                            <w:pPr>
                              <w:ind w:left="0"/>
                              <w:jc w:val="center"/>
                              <w:rPr>
                                <w:rFonts w:cs="Guttman Hodes"/>
                                <w:b/>
                                <w:bCs/>
                                <w:sz w:val="44"/>
                                <w:szCs w:val="44"/>
                              </w:rPr>
                            </w:pPr>
                          </w:p>
                          <w:p w:rsidR="00651E3B" w:rsidRDefault="00651E3B" w:rsidP="00F3032B">
                            <w:pPr>
                              <w:ind w:left="0"/>
                              <w:rPr>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מלבן מעוגל 45" o:spid="_x0000_s1034" style="position:absolute;left:0;text-align:left;margin-left:0;margin-top:4.45pt;width:526.5pt;height:295.45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" filled="f" strokecolor="black [3213]" strokeweight="2.5pt">
                <v:stroke linestyle="thickBetweenThin" endcap="round"/>
                <v:textbox>
                  <w:txbxContent>
                    <w:p w:rsidR="00651E3B" w:rsidRDefault="00651E3B" w:rsidP="00F3032B">
                      <w:pPr>
                        <w:ind w:left="0"/>
                        <w:jc w:val="center"/>
                        <w:rPr>
                          <w:rFonts w:cs="Guttman Hodes"/>
                          <w:sz w:val="32"/>
                          <w:szCs w:val="32"/>
                        </w:rPr>
                      </w:pPr>
                    </w:p>
                    <w:p w:rsidR="00651E3B" w:rsidRDefault="00651E3B" w:rsidP="00F3032B">
                      <w:pPr>
                        <w:ind w:left="0"/>
                        <w:jc w:val="center"/>
                        <w:rPr>
                          <w:rFonts w:cs="Guttman Hodes"/>
                          <w:sz w:val="32"/>
                          <w:szCs w:val="32"/>
                        </w:rPr>
                      </w:pPr>
                    </w:p>
                    <w:p w:rsidR="00651E3B" w:rsidRDefault="00651E3B" w:rsidP="00F3032B">
                      <w:pPr>
                        <w:ind w:left="0"/>
                        <w:jc w:val="center"/>
                        <w:rPr>
                          <w:rFonts w:cs="Guttman Hodes"/>
                          <w:sz w:val="32"/>
                          <w:szCs w:val="32"/>
                          <w:rtl/>
                        </w:rPr>
                      </w:pPr>
                    </w:p>
                    <w:p w:rsidR="00651E3B" w:rsidRDefault="00651E3B" w:rsidP="00F3032B">
                      <w:pPr>
                        <w:pStyle w:val="a8"/>
                        <w:ind w:left="0"/>
                        <w:jc w:val="center"/>
                        <w:rPr>
                          <w:rFonts w:cs="Guttman Hodes"/>
                          <w:b/>
                          <w:bCs/>
                          <w:sz w:val="44"/>
                          <w:szCs w:val="44"/>
                          <w:rtl/>
                        </w:rPr>
                      </w:pPr>
                      <w:r>
                        <w:rPr>
                          <w:rFonts w:cs="Guttman Hodes" w:hint="cs"/>
                          <w:b/>
                          <w:bCs/>
                          <w:sz w:val="96"/>
                          <w:szCs w:val="96"/>
                          <w:rtl/>
                        </w:rPr>
                        <w:t xml:space="preserve">פרק בהמה המקשה </w:t>
                      </w:r>
                    </w:p>
                    <w:p w:rsidR="00651E3B" w:rsidRDefault="00651E3B" w:rsidP="00F3032B">
                      <w:pPr>
                        <w:ind w:left="0"/>
                        <w:jc w:val="center"/>
                        <w:rPr>
                          <w:rFonts w:cs="Guttman Hodes"/>
                          <w:b/>
                          <w:bCs/>
                          <w:sz w:val="44"/>
                          <w:szCs w:val="44"/>
                        </w:rPr>
                      </w:pPr>
                    </w:p>
                    <w:p w:rsidR="00651E3B" w:rsidRDefault="00651E3B" w:rsidP="00F3032B">
                      <w:pPr>
                        <w:ind w:left="0"/>
                        <w:rPr>
                          <w:rtl/>
                        </w:rPr>
                      </w:pPr>
                    </w:p>
                  </w:txbxContent>
                </v:textbox>
                <w10:wrap anchorx="margin"/>
              </v:roundrect>
            </w:pict>
          </mc:Fallback>
        </mc:AlternateContent>
      </w:r>
    </w:p>
    <w:p w:rsidR="00F3032B" w:rsidRDefault="00F3032B" w:rsidP="00F3032B">
      <w:pPr>
        <w:ind w:left="0"/>
        <w:jc w:val="center"/>
        <w:rPr>
          <w:rFonts w:cs="Guttman Hodes"/>
          <w:b/>
          <w:bCs/>
          <w:sz w:val="44"/>
          <w:szCs w:val="44"/>
          <w:rtl/>
        </w:rPr>
      </w:pPr>
      <w:r>
        <w:rPr>
          <w:rFonts w:cs="Guttman Hodes" w:hint="cs"/>
          <w:b/>
          <w:bCs/>
          <w:sz w:val="96"/>
          <w:szCs w:val="96"/>
          <w:rtl/>
        </w:rPr>
        <w:t>בענייני ביטול יבש ביבש וחוזר וניעור במסכתות חולין וע"ז</w:t>
      </w:r>
    </w:p>
    <w:p w:rsidR="00F3032B" w:rsidRDefault="00F3032B" w:rsidP="00F3032B">
      <w:pPr>
        <w:bidi w:val="0"/>
        <w:spacing w:line="240" w:lineRule="auto"/>
        <w:ind w:left="0"/>
        <w:jc w:val="left"/>
        <w:rPr>
          <w:rFonts w:ascii="Guttman Adii-Light" w:eastAsia="Guttman Adii-Light" w:hAnsi="Guttman Adii-Light" w:cs="Guttman Adii-Light"/>
          <w:b/>
          <w:bCs/>
          <w:noProof/>
          <w:szCs w:val="28"/>
          <w:rtl/>
        </w:rPr>
        <w:sectPr w:rsidR="00F3032B">
          <w:headerReference w:type="default" r:id="rId87"/>
          <w:pgSz w:w="11906" w:h="16838"/>
          <w:pgMar w:top="720" w:right="720" w:bottom="720" w:left="720" w:header="283" w:footer="283" w:gutter="0"/>
          <w:cols w:space="720"/>
          <w:bidi/>
          <w:rtlGutter/>
        </w:sectPr>
      </w:pPr>
    </w:p>
    <w:p w:rsidR="00F3032B" w:rsidRDefault="00F3032B" w:rsidP="00F3032B">
      <w:pPr>
        <w:bidi w:val="0"/>
        <w:spacing w:line="240" w:lineRule="auto"/>
        <w:ind w:left="0"/>
        <w:jc w:val="left"/>
        <w:rPr>
          <w:rFonts w:ascii="Guttman Adii-Light" w:eastAsia="Guttman Adii-Light" w:hAnsi="Guttman Adii-Light" w:cs="Guttman Adii-Light"/>
          <w:b/>
          <w:bCs/>
          <w:noProof/>
          <w:szCs w:val="28"/>
          <w:rtl/>
        </w:rPr>
        <w:sectPr w:rsidR="00F3032B">
          <w:pgSz w:w="11906" w:h="16838"/>
          <w:pgMar w:top="720" w:right="720" w:bottom="720" w:left="720" w:header="283" w:footer="283" w:gutter="0"/>
          <w:cols w:space="720"/>
          <w:bidi/>
          <w:rtlGutter/>
        </w:sectPr>
      </w:pPr>
    </w:p>
    <w:p w:rsidR="00F3032B" w:rsidRDefault="00F3032B" w:rsidP="00F3032B">
      <w:pPr>
        <w:bidi w:val="0"/>
        <w:spacing w:line="240" w:lineRule="auto"/>
        <w:ind w:left="0"/>
        <w:jc w:val="left"/>
        <w:rPr>
          <w:rFonts w:ascii="Guttman Hodes" w:eastAsia="Guttman Hodes" w:hAnsi="Guttman Hodes" w:cs="Guttman Hodes"/>
          <w:noProof/>
          <w:sz w:val="18"/>
          <w:szCs w:val="18"/>
          <w:rtl/>
        </w:rPr>
        <w:sectPr w:rsidR="00F3032B">
          <w:pgSz w:w="11906" w:h="16838"/>
          <w:pgMar w:top="720" w:right="720" w:bottom="720" w:left="720" w:header="283" w:footer="283" w:gutter="0"/>
          <w:cols w:num="2" w:space="567"/>
          <w:bidi/>
          <w:rtlGutter/>
        </w:sectPr>
      </w:pPr>
    </w:p>
    <w:p w:rsidR="00F3032B" w:rsidRDefault="00F3032B" w:rsidP="00F3032B">
      <w:pPr>
        <w:bidi w:val="0"/>
        <w:spacing w:line="240" w:lineRule="auto"/>
        <w:ind w:left="0"/>
        <w:jc w:val="left"/>
        <w:rPr>
          <w:rFonts w:ascii="Guttman Hodes" w:eastAsia="Guttman Hodes" w:hAnsi="Guttman Hodes" w:cs="Guttman Hodes"/>
          <w:noProof/>
          <w:sz w:val="18"/>
          <w:szCs w:val="18"/>
          <w:rtl/>
        </w:rPr>
        <w:sectPr w:rsidR="00F3032B">
          <w:type w:val="continuous"/>
          <w:pgSz w:w="11906" w:h="16838"/>
          <w:pgMar w:top="720" w:right="720" w:bottom="720" w:left="720" w:header="283" w:footer="283" w:gutter="0"/>
          <w:cols w:num="2" w:space="567"/>
          <w:bidi/>
          <w:rtlGutter/>
        </w:sectPr>
      </w:pPr>
    </w:p>
    <w:p w:rsidR="00F3032B" w:rsidRPr="00F3032B" w:rsidRDefault="00F3032B" w:rsidP="00F3032B">
      <w:pPr>
        <w:bidi w:val="0"/>
        <w:spacing w:line="240" w:lineRule="auto"/>
        <w:ind w:left="0"/>
        <w:jc w:val="left"/>
        <w:rPr>
          <w:rFonts w:eastAsia="Guttman Hodes" w:cs="Guttman Hodes"/>
          <w:noProof/>
          <w:sz w:val="18"/>
          <w:szCs w:val="18"/>
          <w:rtl/>
        </w:rPr>
        <w:sectPr w:rsidR="00F3032B" w:rsidRPr="00F3032B">
          <w:type w:val="continuous"/>
          <w:pgSz w:w="11906" w:h="16838"/>
          <w:pgMar w:top="720" w:right="720" w:bottom="720" w:left="720" w:header="283" w:footer="283" w:gutter="0"/>
          <w:cols w:num="2" w:space="567"/>
          <w:bidi/>
          <w:rtlGutter/>
        </w:sectPr>
      </w:pPr>
    </w:p>
    <w:p w:rsidR="00043E3E" w:rsidRDefault="00F3032B" w:rsidP="005B1A17">
      <w:pPr>
        <w:pStyle w:val="afc"/>
        <w:rPr>
          <w:rtl/>
        </w:rPr>
      </w:pPr>
      <w:r>
        <w:rPr>
          <w:rFonts w:hint="cs"/>
          <w:rtl/>
        </w:rPr>
        <w:lastRenderedPageBreak/>
        <w:t>סימן</w:t>
      </w:r>
      <w:r w:rsidR="00043E3E">
        <w:rPr>
          <w:rFonts w:hint="cs"/>
          <w:rtl/>
        </w:rPr>
        <w:t xml:space="preserve"> ט"ז</w:t>
      </w:r>
    </w:p>
    <w:p w:rsidR="00043E3E" w:rsidRDefault="00043E3E" w:rsidP="005B1A17">
      <w:pPr>
        <w:pStyle w:val="afc"/>
        <w:rPr>
          <w:rtl/>
        </w:rPr>
      </w:pPr>
      <w:r w:rsidRPr="00043E3E">
        <w:rPr>
          <w:rtl/>
        </w:rPr>
        <w:t xml:space="preserve">סוגית ביטול יבש ביבש (א') </w:t>
      </w:r>
    </w:p>
    <w:p w:rsidR="00043E3E" w:rsidRPr="00FB6B44" w:rsidRDefault="00043E3E" w:rsidP="005B1A17">
      <w:pPr>
        <w:pStyle w:val="afc"/>
        <w:rPr>
          <w:rtl/>
        </w:rPr>
      </w:pPr>
      <w:r w:rsidRPr="00043E3E">
        <w:rPr>
          <w:rtl/>
        </w:rPr>
        <w:t>בביטול ברוב ביבש ובלח במב"מ ובמבשא"מ ובמקור וגדר דין ביטול ברוב</w:t>
      </w:r>
    </w:p>
    <w:p w:rsidR="00043E3E" w:rsidRDefault="00043E3E" w:rsidP="00043E3E">
      <w:pPr>
        <w:pStyle w:val="2"/>
        <w:rPr>
          <w:noProof/>
          <w:rtl/>
        </w:rPr>
      </w:pPr>
      <w:r>
        <w:rPr>
          <w:rFonts w:hint="cs"/>
          <w:noProof/>
          <w:rtl/>
        </w:rPr>
        <w:t>מפתח הסוגיא</w:t>
      </w:r>
    </w:p>
    <w:p w:rsidR="00043E3E" w:rsidRDefault="00043E3E" w:rsidP="00043E3E">
      <w:pPr>
        <w:pStyle w:val="2"/>
        <w:rPr>
          <w:rtl/>
        </w:rPr>
        <w:sectPr w:rsidR="00043E3E" w:rsidSect="006C2032">
          <w:headerReference w:type="default" r:id="rId88"/>
          <w:headerReference w:type="first" r:id="rId89"/>
          <w:footerReference w:type="first" r:id="rId90"/>
          <w:pgSz w:w="11906" w:h="16838"/>
          <w:pgMar w:top="720" w:right="720" w:bottom="720" w:left="720" w:header="283" w:footer="283" w:gutter="0"/>
          <w:cols w:space="113"/>
          <w:bidi/>
          <w:rtlGutter/>
          <w:docGrid w:linePitch="299"/>
        </w:sectPr>
      </w:pPr>
    </w:p>
    <w:p w:rsidR="00D45705" w:rsidRDefault="00D45705" w:rsidP="00D45705">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p>
    <w:p w:rsidR="00D45705" w:rsidRDefault="00D45705" w:rsidP="00D45705">
      <w:pPr>
        <w:pStyle w:val="2"/>
        <w:rPr>
          <w:rFonts w:eastAsiaTheme="minorEastAsia" w:cstheme="minorBidi"/>
          <w:i/>
          <w:iCs/>
          <w:sz w:val="22"/>
          <w:szCs w:val="22"/>
          <w:rtl/>
        </w:rPr>
      </w:pPr>
      <w:r>
        <w:rPr>
          <w:rtl/>
        </w:rPr>
        <w:t>עיקרי דעות הראשונים בביטול ברוב</w:t>
      </w:r>
    </w:p>
    <w:p w:rsidR="00D45705" w:rsidRDefault="00D45705" w:rsidP="00D45705">
      <w:pPr>
        <w:pStyle w:val="aff4"/>
        <w:rPr>
          <w:rFonts w:eastAsiaTheme="minorEastAsia" w:cstheme="minorBidi"/>
          <w:i/>
          <w:iCs/>
          <w:noProof/>
          <w:sz w:val="22"/>
          <w:szCs w:val="22"/>
          <w:rtl/>
        </w:rPr>
      </w:pPr>
      <w:r>
        <w:rPr>
          <w:noProof/>
          <w:rtl/>
        </w:rPr>
        <w:t>עיקרי דברי הראשונים בביטול ביבש ביבש ובלח בלח</w:t>
      </w:r>
    </w:p>
    <w:p w:rsidR="00D45705" w:rsidRPr="004D1C5B" w:rsidRDefault="00D45705" w:rsidP="004D1C5B">
      <w:pPr>
        <w:pStyle w:val="TOC9"/>
        <w:numPr>
          <w:ilvl w:val="0"/>
          <w:numId w:val="31"/>
        </w:numPr>
        <w:rPr>
          <w:rFonts w:eastAsiaTheme="minorEastAsia" w:cstheme="minorBidi"/>
          <w:sz w:val="22"/>
          <w:szCs w:val="22"/>
          <w:rtl/>
        </w:rPr>
      </w:pPr>
      <w:r w:rsidRPr="00043E3E">
        <w:rPr>
          <w:rtl/>
        </w:rPr>
        <w:t>דברי הראשונים דמבואר בסוגיין דיבש ביבש במין במינו בטל בחד בתרי וא"צ ביטול בשישים</w:t>
      </w:r>
    </w:p>
    <w:p w:rsidR="00D45705" w:rsidRDefault="00D45705" w:rsidP="00D45705">
      <w:pPr>
        <w:pStyle w:val="aff2"/>
        <w:numPr>
          <w:ilvl w:val="0"/>
          <w:numId w:val="3"/>
        </w:numPr>
        <w:rPr>
          <w:rFonts w:eastAsiaTheme="minorEastAsia" w:cstheme="minorBidi"/>
          <w:sz w:val="22"/>
          <w:szCs w:val="22"/>
          <w:rtl/>
        </w:rPr>
      </w:pPr>
      <w:r>
        <w:rPr>
          <w:rtl/>
        </w:rPr>
        <w:t>דברי הטור דבמין בשאינו מינו ביבש ביבש לכאו' א"צ שישים ודברי הראשונים שצריך שישים</w:t>
      </w:r>
    </w:p>
    <w:p w:rsidR="00D45705" w:rsidRDefault="00D45705" w:rsidP="00D45705">
      <w:pPr>
        <w:pStyle w:val="aff2"/>
        <w:numPr>
          <w:ilvl w:val="0"/>
          <w:numId w:val="3"/>
        </w:numPr>
        <w:rPr>
          <w:rFonts w:eastAsiaTheme="minorEastAsia" w:cstheme="minorBidi"/>
          <w:sz w:val="22"/>
          <w:szCs w:val="22"/>
          <w:rtl/>
        </w:rPr>
      </w:pPr>
      <w:r>
        <w:rPr>
          <w:rtl/>
        </w:rPr>
        <w:t>דברי הראשונים דבלח בלח בין במין במינו ובין במין בשאינו מינו צריך שישים</w:t>
      </w:r>
    </w:p>
    <w:p w:rsidR="00D45705" w:rsidRDefault="00D45705" w:rsidP="00D45705">
      <w:pPr>
        <w:pStyle w:val="aff4"/>
        <w:rPr>
          <w:rFonts w:eastAsiaTheme="minorEastAsia" w:cstheme="minorBidi"/>
          <w:i/>
          <w:iCs/>
          <w:noProof/>
          <w:sz w:val="22"/>
          <w:szCs w:val="22"/>
          <w:rtl/>
        </w:rPr>
      </w:pPr>
      <w:r>
        <w:rPr>
          <w:noProof/>
          <w:rtl/>
        </w:rPr>
        <w:t>עיקרי פלוגתת הראשונים בהיתר ביטול רוב בחד בתרי ביבש</w:t>
      </w:r>
    </w:p>
    <w:p w:rsidR="00D45705" w:rsidRDefault="00D45705" w:rsidP="00D45705">
      <w:pPr>
        <w:pStyle w:val="aff2"/>
        <w:numPr>
          <w:ilvl w:val="0"/>
          <w:numId w:val="3"/>
        </w:numPr>
        <w:rPr>
          <w:rFonts w:eastAsiaTheme="minorEastAsia" w:cstheme="minorBidi"/>
          <w:sz w:val="22"/>
          <w:szCs w:val="22"/>
          <w:rtl/>
        </w:rPr>
      </w:pPr>
      <w:r>
        <w:rPr>
          <w:rtl/>
        </w:rPr>
        <w:t>דברי התוס' דאפש"ל דלאדם אחד אסור לאכול את כל התערובת ולהתורי"ד חייב חטאת</w:t>
      </w:r>
    </w:p>
    <w:p w:rsidR="00D45705" w:rsidRDefault="00D45705" w:rsidP="00BD4890">
      <w:pPr>
        <w:pStyle w:val="aff2"/>
        <w:numPr>
          <w:ilvl w:val="0"/>
          <w:numId w:val="3"/>
        </w:numPr>
        <w:rPr>
          <w:rFonts w:eastAsiaTheme="minorEastAsia" w:cstheme="minorBidi"/>
          <w:sz w:val="22"/>
          <w:szCs w:val="22"/>
          <w:rtl/>
        </w:rPr>
      </w:pPr>
      <w:r>
        <w:rPr>
          <w:rtl/>
        </w:rPr>
        <w:t>דעת הרשב"א דמותר לאדם אחד אך אסור לאכול את כל התערובת בבת אחת</w:t>
      </w:r>
    </w:p>
    <w:p w:rsidR="00D45705" w:rsidRDefault="00D45705" w:rsidP="00D45705">
      <w:pPr>
        <w:pStyle w:val="aff2"/>
        <w:numPr>
          <w:ilvl w:val="0"/>
          <w:numId w:val="3"/>
        </w:numPr>
        <w:rPr>
          <w:rFonts w:eastAsiaTheme="minorEastAsia" w:cstheme="minorBidi"/>
          <w:sz w:val="22"/>
          <w:szCs w:val="22"/>
          <w:rtl/>
        </w:rPr>
      </w:pPr>
      <w:r>
        <w:rPr>
          <w:rtl/>
        </w:rPr>
        <w:t>דעת הרא"ש דהאיסור נהפך להיתר מגזיה"כ ומותר לאדם אחד אף כשאוכל הכל בבת אחת</w:t>
      </w:r>
    </w:p>
    <w:p w:rsidR="00D45705" w:rsidRDefault="00D45705" w:rsidP="00D45705">
      <w:pPr>
        <w:pStyle w:val="aff2"/>
        <w:numPr>
          <w:ilvl w:val="0"/>
          <w:numId w:val="3"/>
        </w:numPr>
        <w:rPr>
          <w:rFonts w:eastAsiaTheme="minorEastAsia" w:cstheme="minorBidi"/>
          <w:sz w:val="22"/>
          <w:szCs w:val="22"/>
          <w:rtl/>
        </w:rPr>
      </w:pPr>
      <w:r>
        <w:rPr>
          <w:rtl/>
        </w:rPr>
        <w:t>דעת רש"י בע"ז דבביטול ברוב בחד בתרי צריך להשליך חתיכה אחת לכלבים</w:t>
      </w:r>
    </w:p>
    <w:p w:rsidR="00D45705" w:rsidRDefault="00D45705" w:rsidP="00D45705">
      <w:pPr>
        <w:pStyle w:val="aff2"/>
        <w:numPr>
          <w:ilvl w:val="0"/>
          <w:numId w:val="3"/>
        </w:numPr>
        <w:rPr>
          <w:rFonts w:eastAsiaTheme="minorEastAsia" w:cstheme="minorBidi"/>
          <w:sz w:val="22"/>
          <w:szCs w:val="22"/>
          <w:rtl/>
        </w:rPr>
      </w:pPr>
      <w:r>
        <w:rPr>
          <w:rtl/>
        </w:rPr>
        <w:t>דעת רש"י והרמב"ם והר"א אב"ד דאף ביבש ביבש במין במינו צריך ביטול בשישים</w:t>
      </w:r>
    </w:p>
    <w:p w:rsidR="00D45705" w:rsidRDefault="00D45705" w:rsidP="00D45705">
      <w:pPr>
        <w:pStyle w:val="2"/>
        <w:rPr>
          <w:rFonts w:eastAsiaTheme="minorEastAsia" w:cstheme="minorBidi"/>
          <w:i/>
          <w:iCs/>
          <w:sz w:val="22"/>
          <w:szCs w:val="22"/>
          <w:rtl/>
        </w:rPr>
      </w:pPr>
      <w:r>
        <w:rPr>
          <w:rtl/>
        </w:rPr>
        <w:t>במקור וגדר דין ביטול ברוב</w:t>
      </w:r>
    </w:p>
    <w:p w:rsidR="00D45705" w:rsidRDefault="00D45705" w:rsidP="00D45705">
      <w:pPr>
        <w:pStyle w:val="aff4"/>
        <w:rPr>
          <w:rFonts w:eastAsiaTheme="minorEastAsia" w:cstheme="minorBidi"/>
          <w:i/>
          <w:iCs/>
          <w:noProof/>
          <w:sz w:val="22"/>
          <w:szCs w:val="22"/>
          <w:rtl/>
        </w:rPr>
      </w:pPr>
      <w:r>
        <w:rPr>
          <w:noProof/>
          <w:rtl/>
        </w:rPr>
        <w:t>קושית האחרונים האיך ביטול ברוב נלמד מדיינים</w:t>
      </w:r>
    </w:p>
    <w:p w:rsidR="00D45705" w:rsidRDefault="00D45705" w:rsidP="00D45705">
      <w:pPr>
        <w:pStyle w:val="aff2"/>
        <w:numPr>
          <w:ilvl w:val="0"/>
          <w:numId w:val="3"/>
        </w:numPr>
        <w:rPr>
          <w:rFonts w:eastAsiaTheme="minorEastAsia" w:cstheme="minorBidi"/>
          <w:sz w:val="22"/>
          <w:szCs w:val="22"/>
          <w:rtl/>
        </w:rPr>
      </w:pPr>
      <w:r>
        <w:rPr>
          <w:rtl/>
        </w:rPr>
        <w:t>דברי הראשונים דביטול ברוב נלמד מאחרי רבים להטות וקושית האחרונים דלא דמי לדיינים</w:t>
      </w:r>
    </w:p>
    <w:p w:rsidR="00D45705" w:rsidRDefault="00D45705" w:rsidP="00D45705">
      <w:pPr>
        <w:pStyle w:val="2"/>
        <w:rPr>
          <w:rFonts w:eastAsiaTheme="minorEastAsia" w:cstheme="minorBidi"/>
          <w:i/>
          <w:iCs/>
          <w:sz w:val="22"/>
          <w:szCs w:val="22"/>
          <w:rtl/>
        </w:rPr>
      </w:pPr>
      <w:r>
        <w:rPr>
          <w:rtl/>
        </w:rPr>
        <w:t>דעות הראשונים בביטול ברוב ביבש</w:t>
      </w:r>
    </w:p>
    <w:p w:rsidR="00D45705" w:rsidRDefault="00D45705" w:rsidP="00D45705">
      <w:pPr>
        <w:pStyle w:val="aff4"/>
        <w:rPr>
          <w:rFonts w:eastAsiaTheme="minorEastAsia" w:cstheme="minorBidi"/>
          <w:i/>
          <w:iCs/>
          <w:noProof/>
          <w:sz w:val="22"/>
          <w:szCs w:val="22"/>
          <w:rtl/>
        </w:rPr>
      </w:pPr>
      <w:r>
        <w:rPr>
          <w:noProof/>
          <w:rtl/>
        </w:rPr>
        <w:t>דעת הראשונים דיבש ביבש במין במינו בטל ברוב בחד בתרי</w:t>
      </w:r>
    </w:p>
    <w:p w:rsidR="00D45705" w:rsidRDefault="00D45705" w:rsidP="00D45705">
      <w:pPr>
        <w:pStyle w:val="aff2"/>
        <w:numPr>
          <w:ilvl w:val="0"/>
          <w:numId w:val="3"/>
        </w:numPr>
        <w:rPr>
          <w:rFonts w:eastAsiaTheme="minorEastAsia" w:cstheme="minorBidi"/>
          <w:sz w:val="22"/>
          <w:szCs w:val="22"/>
          <w:rtl/>
        </w:rPr>
      </w:pPr>
      <w:r>
        <w:rPr>
          <w:rtl/>
        </w:rPr>
        <w:t>דברי הראשונים דמבואר בסוגיין דביבש ביבש במין במינו בכל האיסורים מהני ביטול בחד בתרי</w:t>
      </w:r>
    </w:p>
    <w:p w:rsidR="00D45705" w:rsidRDefault="00406197" w:rsidP="00D45705">
      <w:pPr>
        <w:pStyle w:val="aff2"/>
        <w:numPr>
          <w:ilvl w:val="0"/>
          <w:numId w:val="3"/>
        </w:numPr>
        <w:rPr>
          <w:rFonts w:eastAsiaTheme="minorEastAsia" w:cstheme="minorBidi"/>
          <w:sz w:val="22"/>
          <w:szCs w:val="22"/>
          <w:rtl/>
        </w:rPr>
      </w:pPr>
      <w:r>
        <w:rPr>
          <w:rFonts w:hint="cs"/>
          <w:rtl/>
        </w:rPr>
        <w:t xml:space="preserve">הוספת </w:t>
      </w:r>
      <w:r w:rsidR="00D45705">
        <w:rPr>
          <w:rtl/>
        </w:rPr>
        <w:t>הראשונים דמבואר בסוגיין דאף מדרבנן א"צ ביטול בשישים ביבש ביבש במין במינו</w:t>
      </w:r>
    </w:p>
    <w:p w:rsidR="00D45705" w:rsidRDefault="00D45705" w:rsidP="00D45705">
      <w:pPr>
        <w:pStyle w:val="aff2"/>
        <w:numPr>
          <w:ilvl w:val="0"/>
          <w:numId w:val="3"/>
        </w:numPr>
        <w:rPr>
          <w:rFonts w:eastAsiaTheme="minorEastAsia" w:cstheme="minorBidi"/>
          <w:sz w:val="22"/>
          <w:szCs w:val="22"/>
          <w:rtl/>
        </w:rPr>
      </w:pPr>
      <w:r>
        <w:rPr>
          <w:rtl/>
        </w:rPr>
        <w:t>דברי הרשב"א בתשו' דכן מבואר בגמ' בזבחים דברוב דחד בתרי סגי ביבש ביבש</w:t>
      </w:r>
    </w:p>
    <w:p w:rsidR="00D45705" w:rsidRDefault="00D45705" w:rsidP="00D45705">
      <w:pPr>
        <w:pStyle w:val="aff2"/>
        <w:numPr>
          <w:ilvl w:val="0"/>
          <w:numId w:val="3"/>
        </w:numPr>
        <w:rPr>
          <w:rFonts w:eastAsiaTheme="minorEastAsia" w:cstheme="minorBidi"/>
          <w:sz w:val="22"/>
          <w:szCs w:val="22"/>
          <w:rtl/>
        </w:rPr>
      </w:pPr>
      <w:r>
        <w:rPr>
          <w:rtl/>
        </w:rPr>
        <w:t>דעת הר"ש דאף ביבש ביבש בכזית בכדי אכילת פרס מדאו' לא מהני ביטול ברוב</w:t>
      </w:r>
    </w:p>
    <w:p w:rsidR="00D45705" w:rsidRDefault="00D45705" w:rsidP="00D45705">
      <w:pPr>
        <w:pStyle w:val="2"/>
        <w:rPr>
          <w:rFonts w:eastAsiaTheme="minorEastAsia" w:cstheme="minorBidi"/>
          <w:i/>
          <w:iCs/>
          <w:sz w:val="22"/>
          <w:szCs w:val="22"/>
          <w:rtl/>
        </w:rPr>
      </w:pPr>
      <w:r>
        <w:rPr>
          <w:rtl/>
        </w:rPr>
        <w:t>דעת הראשונים דאף ביבש צריך שישים</w:t>
      </w:r>
    </w:p>
    <w:p w:rsidR="00D45705" w:rsidRDefault="00D45705" w:rsidP="00D45705">
      <w:pPr>
        <w:pStyle w:val="aff4"/>
        <w:rPr>
          <w:rFonts w:eastAsiaTheme="minorEastAsia" w:cstheme="minorBidi"/>
          <w:i/>
          <w:iCs/>
          <w:noProof/>
          <w:sz w:val="22"/>
          <w:szCs w:val="22"/>
          <w:rtl/>
        </w:rPr>
      </w:pPr>
      <w:r>
        <w:rPr>
          <w:noProof/>
          <w:rtl/>
        </w:rPr>
        <w:t>דעת הר"א אב"ד דצריך שישים בין בלח ובין יבש ולא סגי ברוב</w:t>
      </w:r>
    </w:p>
    <w:p w:rsidR="00D45705" w:rsidRDefault="00D45705" w:rsidP="00D45705">
      <w:pPr>
        <w:pStyle w:val="aff2"/>
        <w:numPr>
          <w:ilvl w:val="0"/>
          <w:numId w:val="3"/>
        </w:numPr>
        <w:rPr>
          <w:rFonts w:eastAsiaTheme="minorEastAsia" w:cstheme="minorBidi"/>
          <w:sz w:val="22"/>
          <w:szCs w:val="22"/>
          <w:rtl/>
        </w:rPr>
      </w:pPr>
      <w:r>
        <w:rPr>
          <w:rtl/>
        </w:rPr>
        <w:t>דברי הרמב"ן והרשב"א בשם הר"א אב"ד דאף ביבש צריך שישים ואין חילוק בין לח ליבש</w:t>
      </w:r>
    </w:p>
    <w:p w:rsidR="00D45705" w:rsidRDefault="00D45705" w:rsidP="00D45705">
      <w:pPr>
        <w:pStyle w:val="aff2"/>
        <w:numPr>
          <w:ilvl w:val="0"/>
          <w:numId w:val="3"/>
        </w:numPr>
        <w:rPr>
          <w:rFonts w:eastAsiaTheme="minorEastAsia" w:cstheme="minorBidi"/>
          <w:sz w:val="22"/>
          <w:szCs w:val="22"/>
          <w:rtl/>
        </w:rPr>
      </w:pPr>
      <w:r>
        <w:rPr>
          <w:rtl/>
        </w:rPr>
        <w:t>ביאור הרמב"ן בר"א אב"ד דכיון ששיעור שישים הוא במחלוקת לא פירשה הגמ' שישים</w:t>
      </w:r>
    </w:p>
    <w:p w:rsidR="00D45705" w:rsidRDefault="00D45705" w:rsidP="00D45705">
      <w:pPr>
        <w:pStyle w:val="aff2"/>
        <w:numPr>
          <w:ilvl w:val="0"/>
          <w:numId w:val="3"/>
        </w:numPr>
        <w:rPr>
          <w:rFonts w:eastAsiaTheme="minorEastAsia" w:cstheme="minorBidi"/>
          <w:sz w:val="22"/>
          <w:szCs w:val="22"/>
          <w:rtl/>
        </w:rPr>
      </w:pPr>
      <w:r>
        <w:rPr>
          <w:rtl/>
        </w:rPr>
        <w:t>ביאור הרשב"א בר"א אב"ד דקושית הגמ' אמאי גיד אסור לעולם ואינו מתבטל בר</w:t>
      </w:r>
      <w:r w:rsidR="00BD4890">
        <w:rPr>
          <w:rFonts w:hint="cs"/>
          <w:rtl/>
        </w:rPr>
        <w:t>ב</w:t>
      </w:r>
      <w:r>
        <w:rPr>
          <w:rtl/>
        </w:rPr>
        <w:t>ייה</w:t>
      </w:r>
    </w:p>
    <w:p w:rsidR="00D45705" w:rsidRDefault="00D45705" w:rsidP="00BD4890">
      <w:pPr>
        <w:pStyle w:val="aff2"/>
        <w:numPr>
          <w:ilvl w:val="0"/>
          <w:numId w:val="3"/>
        </w:numPr>
        <w:rPr>
          <w:rFonts w:eastAsiaTheme="minorEastAsia" w:cstheme="minorBidi"/>
          <w:sz w:val="22"/>
          <w:szCs w:val="22"/>
          <w:rtl/>
        </w:rPr>
      </w:pPr>
      <w:r>
        <w:rPr>
          <w:rtl/>
        </w:rPr>
        <w:t xml:space="preserve">קושית הרשב"א על הר"א אב"ד דבגמ' </w:t>
      </w:r>
      <w:r w:rsidR="00BD4890">
        <w:rPr>
          <w:rFonts w:hint="cs"/>
          <w:rtl/>
        </w:rPr>
        <w:t xml:space="preserve">בזבחים </w:t>
      </w:r>
      <w:r>
        <w:rPr>
          <w:rtl/>
        </w:rPr>
        <w:t>מוכח דבמין במינו א"צ שישים וסגי ברוב</w:t>
      </w:r>
    </w:p>
    <w:p w:rsidR="00D45705" w:rsidRDefault="00D45705" w:rsidP="00D45705">
      <w:pPr>
        <w:pStyle w:val="aff2"/>
        <w:numPr>
          <w:ilvl w:val="0"/>
          <w:numId w:val="3"/>
        </w:numPr>
        <w:rPr>
          <w:rFonts w:eastAsiaTheme="minorEastAsia" w:cstheme="minorBidi"/>
          <w:sz w:val="22"/>
          <w:szCs w:val="22"/>
          <w:rtl/>
        </w:rPr>
      </w:pPr>
      <w:r>
        <w:rPr>
          <w:rtl/>
        </w:rPr>
        <w:t>קושית הרשב"א על הר"א אב"ד דבגמ' בב"מ מבואר דביבש ביבש סגי ברוב וא"צ שישים</w:t>
      </w:r>
    </w:p>
    <w:p w:rsidR="00D45705" w:rsidRDefault="00D45705" w:rsidP="00D45705">
      <w:pPr>
        <w:pStyle w:val="aff2"/>
        <w:numPr>
          <w:ilvl w:val="0"/>
          <w:numId w:val="3"/>
        </w:numPr>
        <w:rPr>
          <w:rFonts w:eastAsiaTheme="minorEastAsia" w:cstheme="minorBidi"/>
          <w:sz w:val="22"/>
          <w:szCs w:val="22"/>
          <w:rtl/>
        </w:rPr>
      </w:pPr>
      <w:r>
        <w:rPr>
          <w:rtl/>
        </w:rPr>
        <w:t>קושית הר"ן והרשב"א דבכל מקום לשון רוב היינו רוב ממש וכן הפשטות בסוגיין</w:t>
      </w:r>
    </w:p>
    <w:p w:rsidR="00D45705" w:rsidRDefault="00D45705" w:rsidP="00CB60BA">
      <w:pPr>
        <w:pStyle w:val="aff2"/>
        <w:numPr>
          <w:ilvl w:val="0"/>
          <w:numId w:val="3"/>
        </w:numPr>
        <w:rPr>
          <w:rFonts w:eastAsiaTheme="minorEastAsia" w:cstheme="minorBidi"/>
          <w:sz w:val="22"/>
          <w:szCs w:val="22"/>
          <w:rtl/>
        </w:rPr>
      </w:pPr>
      <w:r>
        <w:rPr>
          <w:rtl/>
        </w:rPr>
        <w:t xml:space="preserve">דברי הר"ן דבגמ' בב"מ מוכח </w:t>
      </w:r>
      <w:r w:rsidR="00CB60BA">
        <w:rPr>
          <w:rFonts w:hint="cs"/>
          <w:rtl/>
        </w:rPr>
        <w:t>ד</w:t>
      </w:r>
      <w:r w:rsidR="00CB60BA">
        <w:rPr>
          <w:rtl/>
        </w:rPr>
        <w:t xml:space="preserve">ביבש ביבש </w:t>
      </w:r>
      <w:r>
        <w:rPr>
          <w:rtl/>
        </w:rPr>
        <w:t>אף מדרבנן</w:t>
      </w:r>
      <w:r w:rsidR="00CB60BA">
        <w:rPr>
          <w:rFonts w:hint="cs"/>
          <w:rtl/>
        </w:rPr>
        <w:t xml:space="preserve"> </w:t>
      </w:r>
      <w:r>
        <w:rPr>
          <w:rtl/>
        </w:rPr>
        <w:t>מהני ביטול ברוב וא"צ שישים</w:t>
      </w:r>
    </w:p>
    <w:p w:rsidR="00D45705" w:rsidRDefault="00D45705" w:rsidP="00D45705">
      <w:pPr>
        <w:pStyle w:val="aff4"/>
        <w:rPr>
          <w:rFonts w:eastAsiaTheme="minorEastAsia" w:cstheme="minorBidi"/>
          <w:i/>
          <w:iCs/>
          <w:noProof/>
          <w:sz w:val="22"/>
          <w:szCs w:val="22"/>
          <w:rtl/>
        </w:rPr>
      </w:pPr>
      <w:r>
        <w:rPr>
          <w:noProof/>
          <w:rtl/>
        </w:rPr>
        <w:t>דברי הרשב"א והר"ן בדעת רש"י בב"מ דביבש צריך שישים</w:t>
      </w:r>
    </w:p>
    <w:p w:rsidR="00D45705" w:rsidRDefault="00D45705" w:rsidP="00D45705">
      <w:pPr>
        <w:pStyle w:val="aff2"/>
        <w:numPr>
          <w:ilvl w:val="0"/>
          <w:numId w:val="3"/>
        </w:numPr>
        <w:rPr>
          <w:rFonts w:eastAsiaTheme="minorEastAsia" w:cstheme="minorBidi"/>
          <w:sz w:val="22"/>
          <w:szCs w:val="22"/>
          <w:rtl/>
        </w:rPr>
      </w:pPr>
      <w:r>
        <w:rPr>
          <w:rtl/>
        </w:rPr>
        <w:t>דברי הרשב"א והר"ן דברש"י בב"מ משמע דביבש ביבש צריך שישים ולא סגי ברוב</w:t>
      </w:r>
    </w:p>
    <w:p w:rsidR="00D45705" w:rsidRDefault="00D45705" w:rsidP="00D45705">
      <w:pPr>
        <w:pStyle w:val="aff2"/>
        <w:numPr>
          <w:ilvl w:val="0"/>
          <w:numId w:val="3"/>
        </w:numPr>
        <w:rPr>
          <w:rFonts w:eastAsiaTheme="minorEastAsia" w:cstheme="minorBidi"/>
          <w:sz w:val="22"/>
          <w:szCs w:val="22"/>
          <w:rtl/>
        </w:rPr>
      </w:pPr>
      <w:r>
        <w:rPr>
          <w:rtl/>
        </w:rPr>
        <w:t>קושית הרשב"א והר"ן על רש"י דהיה לגמ' בב"מ לפרש להדיא דביבש צריך שישים</w:t>
      </w:r>
    </w:p>
    <w:p w:rsidR="00D45705" w:rsidRDefault="00D45705" w:rsidP="00D45705">
      <w:pPr>
        <w:pStyle w:val="aff2"/>
        <w:numPr>
          <w:ilvl w:val="0"/>
          <w:numId w:val="3"/>
        </w:numPr>
        <w:rPr>
          <w:rFonts w:eastAsiaTheme="minorEastAsia" w:cstheme="minorBidi"/>
          <w:sz w:val="22"/>
          <w:szCs w:val="22"/>
          <w:rtl/>
        </w:rPr>
      </w:pPr>
      <w:r>
        <w:rPr>
          <w:rtl/>
        </w:rPr>
        <w:t>קושית הרשב"א דאי כוונת הגמ' בב"מ דבטל ברב</w:t>
      </w:r>
      <w:r w:rsidR="00562640">
        <w:rPr>
          <w:rFonts w:hint="cs"/>
          <w:rtl/>
        </w:rPr>
        <w:t>י</w:t>
      </w:r>
      <w:r>
        <w:rPr>
          <w:rtl/>
        </w:rPr>
        <w:t>יה א"כ אף תרומה בטלה ברבייה של מאה</w:t>
      </w:r>
    </w:p>
    <w:p w:rsidR="00D45705" w:rsidRDefault="00D45705" w:rsidP="00D45705">
      <w:pPr>
        <w:pStyle w:val="aff2"/>
        <w:numPr>
          <w:ilvl w:val="0"/>
          <w:numId w:val="3"/>
        </w:numPr>
        <w:rPr>
          <w:rFonts w:eastAsiaTheme="minorEastAsia" w:cstheme="minorBidi"/>
          <w:sz w:val="22"/>
          <w:szCs w:val="22"/>
          <w:rtl/>
        </w:rPr>
      </w:pPr>
      <w:r>
        <w:rPr>
          <w:rtl/>
        </w:rPr>
        <w:t>דברי הרשב"א והר"ן דבסוגיין אפש"ל דכוונת הגמ' שיתבטל ברבייה אך בב"מ א"א לומר כן</w:t>
      </w:r>
    </w:p>
    <w:p w:rsidR="00D45705" w:rsidRDefault="00D45705" w:rsidP="00D45705">
      <w:pPr>
        <w:pStyle w:val="aff2"/>
        <w:numPr>
          <w:ilvl w:val="0"/>
          <w:numId w:val="3"/>
        </w:numPr>
        <w:rPr>
          <w:rFonts w:eastAsiaTheme="minorEastAsia" w:cstheme="minorBidi"/>
          <w:sz w:val="22"/>
          <w:szCs w:val="22"/>
          <w:rtl/>
        </w:rPr>
      </w:pPr>
      <w:r>
        <w:rPr>
          <w:rtl/>
        </w:rPr>
        <w:t>דברי הרשב"א דאפשר לדחוק דרק בשישים שייך לשון רבייה דהוא מבטל את הטעם ולא במאה</w:t>
      </w:r>
    </w:p>
    <w:p w:rsidR="00D45705" w:rsidRDefault="00D45705" w:rsidP="00D45705">
      <w:pPr>
        <w:pStyle w:val="aff4"/>
        <w:rPr>
          <w:rFonts w:eastAsiaTheme="minorEastAsia" w:cstheme="minorBidi"/>
          <w:i/>
          <w:iCs/>
          <w:noProof/>
          <w:sz w:val="22"/>
          <w:szCs w:val="22"/>
          <w:rtl/>
        </w:rPr>
      </w:pPr>
      <w:r>
        <w:rPr>
          <w:noProof/>
          <w:rtl/>
        </w:rPr>
        <w:t>ביאור הכס"מ בדעת הרמב"ם דביבש צריך שישים</w:t>
      </w:r>
    </w:p>
    <w:p w:rsidR="00D45705" w:rsidRDefault="00D45705" w:rsidP="00D45705">
      <w:pPr>
        <w:pStyle w:val="aff2"/>
        <w:numPr>
          <w:ilvl w:val="0"/>
          <w:numId w:val="3"/>
        </w:numPr>
        <w:rPr>
          <w:rFonts w:eastAsiaTheme="minorEastAsia" w:cstheme="minorBidi"/>
          <w:sz w:val="22"/>
          <w:szCs w:val="22"/>
          <w:rtl/>
        </w:rPr>
      </w:pPr>
      <w:r>
        <w:rPr>
          <w:rtl/>
        </w:rPr>
        <w:t>דברי הרמב"ם דחתיכת נבילה בטלה מדאו' בב' חתיכות שחוטות ומדרבנן צריך שישים</w:t>
      </w:r>
    </w:p>
    <w:p w:rsidR="00D45705" w:rsidRDefault="00D45705" w:rsidP="00D45705">
      <w:pPr>
        <w:pStyle w:val="aff2"/>
        <w:numPr>
          <w:ilvl w:val="0"/>
          <w:numId w:val="3"/>
        </w:numPr>
        <w:rPr>
          <w:rFonts w:eastAsiaTheme="minorEastAsia" w:cstheme="minorBidi"/>
          <w:sz w:val="22"/>
          <w:szCs w:val="22"/>
          <w:rtl/>
        </w:rPr>
      </w:pPr>
      <w:r>
        <w:rPr>
          <w:rtl/>
        </w:rPr>
        <w:t>ביאור הכס"מ ברמב"ם דס"ל כר"א אב"ד דכוונת הגמ' שיתבטל ברבייה בשישים ולא ברוב</w:t>
      </w:r>
    </w:p>
    <w:p w:rsidR="00D45705" w:rsidRDefault="00D45705" w:rsidP="00D45705">
      <w:pPr>
        <w:pStyle w:val="2"/>
        <w:rPr>
          <w:rFonts w:eastAsiaTheme="minorEastAsia" w:cstheme="minorBidi"/>
          <w:i/>
          <w:iCs/>
          <w:sz w:val="22"/>
          <w:szCs w:val="22"/>
          <w:rtl/>
        </w:rPr>
      </w:pPr>
      <w:r>
        <w:rPr>
          <w:rtl/>
        </w:rPr>
        <w:t>ביאורי האחרונים ברמב"ם בשישים ביבש</w:t>
      </w:r>
    </w:p>
    <w:p w:rsidR="00D45705" w:rsidRDefault="00D45705" w:rsidP="00D45705">
      <w:pPr>
        <w:pStyle w:val="aff4"/>
        <w:rPr>
          <w:rFonts w:eastAsiaTheme="minorEastAsia" w:cstheme="minorBidi"/>
          <w:i/>
          <w:iCs/>
          <w:noProof/>
          <w:sz w:val="22"/>
          <w:szCs w:val="22"/>
          <w:rtl/>
        </w:rPr>
      </w:pPr>
      <w:r>
        <w:rPr>
          <w:noProof/>
          <w:rtl/>
        </w:rPr>
        <w:t>פלוגתת הפרמ"ג והגרעק"א ברמב"ם אי שישים הוא מדין טעם</w:t>
      </w:r>
    </w:p>
    <w:p w:rsidR="00D45705" w:rsidRDefault="00D45705" w:rsidP="00D45705">
      <w:pPr>
        <w:pStyle w:val="aff2"/>
        <w:numPr>
          <w:ilvl w:val="0"/>
          <w:numId w:val="3"/>
        </w:numPr>
        <w:rPr>
          <w:rFonts w:eastAsiaTheme="minorEastAsia" w:cstheme="minorBidi"/>
          <w:sz w:val="22"/>
          <w:szCs w:val="22"/>
          <w:rtl/>
        </w:rPr>
      </w:pPr>
      <w:r>
        <w:rPr>
          <w:rtl/>
        </w:rPr>
        <w:t>דברי הפרמ"ג דלהרמב"ם ורש"י והר"א אב"ד דין שישים ביבש אינו מחשש שמא יבשל</w:t>
      </w:r>
    </w:p>
    <w:p w:rsidR="00D45705" w:rsidRDefault="00D45705" w:rsidP="00D45705">
      <w:pPr>
        <w:pStyle w:val="aff2"/>
        <w:numPr>
          <w:ilvl w:val="0"/>
          <w:numId w:val="3"/>
        </w:numPr>
        <w:rPr>
          <w:rFonts w:eastAsiaTheme="minorEastAsia" w:cstheme="minorBidi"/>
          <w:sz w:val="22"/>
          <w:szCs w:val="22"/>
          <w:rtl/>
        </w:rPr>
      </w:pPr>
      <w:r>
        <w:rPr>
          <w:rtl/>
        </w:rPr>
        <w:t>ביאור הפרמ"ג דלהרמב"ם ורש"י והר"א אב"ד שישים הוא חומרא דרבנן ואינו שייך לדין טעם</w:t>
      </w:r>
    </w:p>
    <w:p w:rsidR="00D45705" w:rsidRDefault="00D45705" w:rsidP="00D45705">
      <w:pPr>
        <w:pStyle w:val="aff2"/>
        <w:numPr>
          <w:ilvl w:val="0"/>
          <w:numId w:val="3"/>
        </w:numPr>
        <w:rPr>
          <w:rFonts w:eastAsiaTheme="minorEastAsia" w:cstheme="minorBidi"/>
          <w:sz w:val="22"/>
          <w:szCs w:val="22"/>
          <w:rtl/>
        </w:rPr>
      </w:pPr>
      <w:r>
        <w:rPr>
          <w:rtl/>
        </w:rPr>
        <w:t>דחיית הגרעק"א דאף ביבש במין במינו החמירו להצריך שישים מחמת שיש טעם באינו מינו</w:t>
      </w:r>
    </w:p>
    <w:p w:rsidR="00D45705" w:rsidRPr="003144D8" w:rsidRDefault="00D45705" w:rsidP="00D45705">
      <w:pPr>
        <w:pStyle w:val="aff2"/>
        <w:numPr>
          <w:ilvl w:val="0"/>
          <w:numId w:val="3"/>
        </w:numPr>
        <w:rPr>
          <w:rFonts w:eastAsiaTheme="minorEastAsia" w:cstheme="minorBidi"/>
          <w:sz w:val="22"/>
          <w:szCs w:val="22"/>
        </w:rPr>
      </w:pPr>
      <w:r>
        <w:rPr>
          <w:rtl/>
        </w:rPr>
        <w:t>דברי הגרעק"א דכן מוכח ברמב"ם דבמקום שאין טעם מותר בלח בלח אף בפחות משישים</w:t>
      </w:r>
    </w:p>
    <w:p w:rsidR="00D45705" w:rsidRDefault="00D45705" w:rsidP="00D45705">
      <w:pPr>
        <w:pStyle w:val="aff2"/>
        <w:numPr>
          <w:ilvl w:val="0"/>
          <w:numId w:val="3"/>
        </w:numPr>
        <w:rPr>
          <w:rFonts w:eastAsiaTheme="minorEastAsia" w:cstheme="minorBidi"/>
          <w:sz w:val="22"/>
          <w:szCs w:val="22"/>
          <w:rtl/>
        </w:rPr>
      </w:pPr>
      <w:r w:rsidRPr="003144D8">
        <w:rPr>
          <w:rtl/>
        </w:rPr>
        <w:t>ביאור היד יהודה ברמב"ם דשיעור שישים אינו מחמת טעם אלא דהוא שיעור מועט מאוד ובטל</w:t>
      </w:r>
    </w:p>
    <w:p w:rsidR="00D45705" w:rsidRDefault="00D45705" w:rsidP="00D45705">
      <w:pPr>
        <w:pStyle w:val="2"/>
        <w:rPr>
          <w:rFonts w:eastAsiaTheme="minorEastAsia" w:cstheme="minorBidi"/>
          <w:i/>
          <w:iCs/>
          <w:sz w:val="22"/>
          <w:szCs w:val="22"/>
          <w:rtl/>
        </w:rPr>
      </w:pPr>
      <w:r>
        <w:rPr>
          <w:rtl/>
        </w:rPr>
        <w:t>דעת הר"ש דבכא"פ ל"מ ביטול מדאו'</w:t>
      </w:r>
    </w:p>
    <w:p w:rsidR="00D45705" w:rsidRDefault="00D45705" w:rsidP="00D45705">
      <w:pPr>
        <w:pStyle w:val="aff4"/>
        <w:rPr>
          <w:rFonts w:eastAsiaTheme="minorEastAsia" w:cstheme="minorBidi"/>
          <w:i/>
          <w:iCs/>
          <w:noProof/>
          <w:sz w:val="22"/>
          <w:szCs w:val="22"/>
          <w:rtl/>
        </w:rPr>
      </w:pPr>
      <w:r>
        <w:rPr>
          <w:noProof/>
          <w:rtl/>
        </w:rPr>
        <w:t>דברי הר"ש דביבש ויש כזית בכא"פ ל"מ ביטול ברוב אף במינו</w:t>
      </w:r>
    </w:p>
    <w:p w:rsidR="00D45705" w:rsidRDefault="00D45705" w:rsidP="00D45705">
      <w:pPr>
        <w:pStyle w:val="aff2"/>
        <w:numPr>
          <w:ilvl w:val="0"/>
          <w:numId w:val="3"/>
        </w:numPr>
        <w:rPr>
          <w:rFonts w:eastAsiaTheme="minorEastAsia" w:cstheme="minorBidi"/>
          <w:sz w:val="22"/>
          <w:szCs w:val="22"/>
          <w:rtl/>
        </w:rPr>
      </w:pPr>
      <w:r>
        <w:rPr>
          <w:rtl/>
        </w:rPr>
        <w:t>דברי הר"ש דבדבר שמעורב זה בזה כקמח בקמח מהני ביטול ברוב אף בכזית בכא"פ</w:t>
      </w:r>
    </w:p>
    <w:p w:rsidR="00D45705" w:rsidRDefault="00D45705" w:rsidP="00D45705">
      <w:pPr>
        <w:pStyle w:val="aff2"/>
        <w:numPr>
          <w:ilvl w:val="0"/>
          <w:numId w:val="3"/>
        </w:numPr>
        <w:rPr>
          <w:rFonts w:eastAsiaTheme="minorEastAsia" w:cstheme="minorBidi"/>
          <w:sz w:val="22"/>
          <w:szCs w:val="22"/>
          <w:rtl/>
        </w:rPr>
      </w:pPr>
      <w:r>
        <w:rPr>
          <w:rtl/>
        </w:rPr>
        <w:t>דברי הר"ש דביבש בכזית אף במינו לא מהני ביטול ברוב בכא"פ ובסוגיין איירי בפחות מכא"פ</w:t>
      </w:r>
    </w:p>
    <w:p w:rsidR="00D45705" w:rsidRDefault="00D45705" w:rsidP="00D45705">
      <w:pPr>
        <w:pStyle w:val="aff2"/>
        <w:numPr>
          <w:ilvl w:val="0"/>
          <w:numId w:val="3"/>
        </w:numPr>
        <w:rPr>
          <w:rFonts w:eastAsiaTheme="minorEastAsia" w:cstheme="minorBidi"/>
          <w:sz w:val="22"/>
          <w:szCs w:val="22"/>
          <w:rtl/>
        </w:rPr>
      </w:pPr>
      <w:r>
        <w:rPr>
          <w:rtl/>
        </w:rPr>
        <w:t>קושית הקרן אורה דבסוגיין משמע דאף חתיכה אחת משניים שאינה פחות מכא"פ מותרת</w:t>
      </w:r>
    </w:p>
    <w:p w:rsidR="00D45705" w:rsidRDefault="00D45705" w:rsidP="00D45705">
      <w:pPr>
        <w:pStyle w:val="2"/>
        <w:rPr>
          <w:rFonts w:eastAsiaTheme="minorEastAsia" w:cstheme="minorBidi"/>
          <w:i/>
          <w:iCs/>
          <w:sz w:val="22"/>
          <w:szCs w:val="22"/>
          <w:rtl/>
        </w:rPr>
      </w:pPr>
      <w:r>
        <w:rPr>
          <w:rtl/>
        </w:rPr>
        <w:t>בביאור הראיה מסוגיין דיבש בטל ברוב</w:t>
      </w:r>
    </w:p>
    <w:p w:rsidR="00D45705" w:rsidRDefault="00D45705" w:rsidP="00D45705">
      <w:pPr>
        <w:pStyle w:val="aff4"/>
        <w:rPr>
          <w:rFonts w:eastAsiaTheme="minorEastAsia" w:cstheme="minorBidi"/>
          <w:i/>
          <w:iCs/>
          <w:noProof/>
          <w:sz w:val="22"/>
          <w:szCs w:val="22"/>
          <w:rtl/>
        </w:rPr>
      </w:pPr>
      <w:r>
        <w:rPr>
          <w:noProof/>
          <w:rtl/>
        </w:rPr>
        <w:t>דברי הראשונים דמבואר בסוגיין דביבש ביבש מהני ביטול ברוב</w:t>
      </w:r>
    </w:p>
    <w:p w:rsidR="00D45705" w:rsidRDefault="00D45705" w:rsidP="00D45705">
      <w:pPr>
        <w:pStyle w:val="aff2"/>
        <w:numPr>
          <w:ilvl w:val="0"/>
          <w:numId w:val="3"/>
        </w:numPr>
        <w:rPr>
          <w:rFonts w:eastAsiaTheme="minorEastAsia" w:cstheme="minorBidi"/>
          <w:sz w:val="22"/>
          <w:szCs w:val="22"/>
          <w:rtl/>
        </w:rPr>
      </w:pPr>
      <w:r>
        <w:rPr>
          <w:rtl/>
        </w:rPr>
        <w:t>דברי הראשונים דמבואר בסוגיין דיבש ביבש במין במינו בטל בחד בתרי וא"צ ביטול בשישים</w:t>
      </w:r>
    </w:p>
    <w:p w:rsidR="00D45705" w:rsidRDefault="00D45705" w:rsidP="009568A2">
      <w:pPr>
        <w:pStyle w:val="aff4"/>
        <w:rPr>
          <w:rFonts w:eastAsiaTheme="minorEastAsia" w:cstheme="minorBidi"/>
          <w:i/>
          <w:iCs/>
          <w:noProof/>
          <w:sz w:val="22"/>
          <w:szCs w:val="22"/>
          <w:rtl/>
        </w:rPr>
      </w:pPr>
      <w:r>
        <w:rPr>
          <w:noProof/>
          <w:rtl/>
        </w:rPr>
        <w:t xml:space="preserve">דברי הרמב"ן דקושית הגמ' דרק הרוטב בנו"ט </w:t>
      </w:r>
      <w:r w:rsidR="009568A2">
        <w:rPr>
          <w:rFonts w:hint="cs"/>
          <w:rtl/>
        </w:rPr>
        <w:t>והגיד ברוב</w:t>
      </w:r>
    </w:p>
    <w:p w:rsidR="00D45705" w:rsidRDefault="00D45705" w:rsidP="00D45705">
      <w:pPr>
        <w:pStyle w:val="aff2"/>
        <w:numPr>
          <w:ilvl w:val="0"/>
          <w:numId w:val="3"/>
        </w:numPr>
        <w:rPr>
          <w:rFonts w:eastAsiaTheme="minorEastAsia" w:cstheme="minorBidi"/>
          <w:sz w:val="22"/>
          <w:szCs w:val="22"/>
          <w:rtl/>
        </w:rPr>
      </w:pPr>
      <w:r>
        <w:rPr>
          <w:rtl/>
        </w:rPr>
        <w:t>דברי הרמב"ן בשם תוס' דקושית הגמ' דרק לרוטב צריך שישים אך לחתיכות סגי בביטול ברוב</w:t>
      </w:r>
    </w:p>
    <w:p w:rsidR="00D45705" w:rsidRDefault="00D45705" w:rsidP="00D45705">
      <w:pPr>
        <w:pStyle w:val="aff2"/>
        <w:numPr>
          <w:ilvl w:val="0"/>
          <w:numId w:val="3"/>
        </w:numPr>
        <w:rPr>
          <w:rFonts w:eastAsiaTheme="minorEastAsia" w:cstheme="minorBidi"/>
          <w:sz w:val="22"/>
          <w:szCs w:val="22"/>
          <w:rtl/>
        </w:rPr>
      </w:pPr>
      <w:r>
        <w:rPr>
          <w:rtl/>
        </w:rPr>
        <w:t>דברי הרשב"א דבחתיכה סגי ברוב דרק ברוטב שהוא לח תנן שישים</w:t>
      </w:r>
    </w:p>
    <w:p w:rsidR="00D45705" w:rsidRDefault="00D45705" w:rsidP="00D45705">
      <w:pPr>
        <w:pStyle w:val="aff4"/>
        <w:rPr>
          <w:rFonts w:eastAsiaTheme="minorEastAsia" w:cstheme="minorBidi"/>
          <w:i/>
          <w:iCs/>
          <w:noProof/>
          <w:sz w:val="22"/>
          <w:szCs w:val="22"/>
          <w:rtl/>
        </w:rPr>
      </w:pPr>
      <w:r>
        <w:rPr>
          <w:noProof/>
          <w:rtl/>
        </w:rPr>
        <w:t>קושית הרא"ה והריטב"א דס"ל לתנא דמתני' דיש טעם בגידין</w:t>
      </w:r>
    </w:p>
    <w:p w:rsidR="00D45705" w:rsidRDefault="00D45705" w:rsidP="00D45705">
      <w:pPr>
        <w:pStyle w:val="aff2"/>
        <w:numPr>
          <w:ilvl w:val="0"/>
          <w:numId w:val="3"/>
        </w:numPr>
        <w:rPr>
          <w:rFonts w:eastAsiaTheme="minorEastAsia" w:cstheme="minorBidi"/>
          <w:sz w:val="22"/>
          <w:szCs w:val="22"/>
          <w:rtl/>
        </w:rPr>
      </w:pPr>
      <w:r>
        <w:rPr>
          <w:rtl/>
        </w:rPr>
        <w:t>קושית הרא"ה והריטב"א דלתנא דמתני' יש טעם בגיד וע"י הבישול חשיב לח ולא יבש</w:t>
      </w:r>
    </w:p>
    <w:p w:rsidR="00D45705" w:rsidRDefault="00D45705" w:rsidP="00D45705">
      <w:pPr>
        <w:pStyle w:val="aff4"/>
        <w:rPr>
          <w:rFonts w:eastAsiaTheme="minorEastAsia" w:cstheme="minorBidi"/>
          <w:i/>
          <w:iCs/>
          <w:noProof/>
          <w:sz w:val="22"/>
          <w:szCs w:val="22"/>
          <w:rtl/>
        </w:rPr>
      </w:pPr>
      <w:r>
        <w:rPr>
          <w:noProof/>
          <w:rtl/>
        </w:rPr>
        <w:t>דברי הרא"ה והר"ן דמקשה הגמ' אמאי הגיד אסור כשאין טעם</w:t>
      </w:r>
    </w:p>
    <w:p w:rsidR="00D45705" w:rsidRDefault="00D45705" w:rsidP="00D45705">
      <w:pPr>
        <w:pStyle w:val="aff2"/>
        <w:numPr>
          <w:ilvl w:val="0"/>
          <w:numId w:val="3"/>
        </w:numPr>
        <w:rPr>
          <w:rFonts w:eastAsiaTheme="minorEastAsia" w:cstheme="minorBidi"/>
          <w:sz w:val="22"/>
          <w:szCs w:val="22"/>
          <w:rtl/>
        </w:rPr>
      </w:pPr>
      <w:r>
        <w:rPr>
          <w:rtl/>
        </w:rPr>
        <w:t>ביאור הרא"ה והריטב"א דקושית הגמ' היא מדיוק לשון מתני' דרק ברוטב תנן טעם ולא בגיד</w:t>
      </w:r>
    </w:p>
    <w:p w:rsidR="00D45705" w:rsidRDefault="00D45705" w:rsidP="00D45705">
      <w:pPr>
        <w:pStyle w:val="aff2"/>
        <w:numPr>
          <w:ilvl w:val="0"/>
          <w:numId w:val="3"/>
        </w:numPr>
        <w:rPr>
          <w:rFonts w:eastAsiaTheme="minorEastAsia" w:cstheme="minorBidi"/>
          <w:sz w:val="22"/>
          <w:szCs w:val="22"/>
          <w:rtl/>
        </w:rPr>
      </w:pPr>
      <w:r>
        <w:rPr>
          <w:rtl/>
        </w:rPr>
        <w:t>דברי הר"ן דקושית הגמ' דמשמע דהגיד אסור אף כשאין בו טעם אף דהוא כיבש ובטל ברוב</w:t>
      </w:r>
    </w:p>
    <w:p w:rsidR="00D45705" w:rsidRDefault="00D45705" w:rsidP="00D45705">
      <w:pPr>
        <w:pStyle w:val="aff4"/>
        <w:rPr>
          <w:rFonts w:eastAsiaTheme="minorEastAsia" w:cstheme="minorBidi"/>
          <w:i/>
          <w:iCs/>
          <w:noProof/>
          <w:sz w:val="22"/>
          <w:szCs w:val="22"/>
          <w:rtl/>
        </w:rPr>
      </w:pPr>
      <w:r>
        <w:rPr>
          <w:noProof/>
          <w:rtl/>
        </w:rPr>
        <w:t>דברי הראב"ד דגיד חשיב יבש דאינו נימוח</w:t>
      </w:r>
    </w:p>
    <w:p w:rsidR="00D45705" w:rsidRDefault="00D45705" w:rsidP="00D45705">
      <w:pPr>
        <w:pStyle w:val="aff2"/>
        <w:numPr>
          <w:ilvl w:val="0"/>
          <w:numId w:val="3"/>
        </w:numPr>
        <w:rPr>
          <w:rFonts w:eastAsiaTheme="minorEastAsia" w:cstheme="minorBidi"/>
          <w:sz w:val="22"/>
          <w:szCs w:val="22"/>
          <w:rtl/>
        </w:rPr>
      </w:pPr>
      <w:r>
        <w:rPr>
          <w:rtl/>
        </w:rPr>
        <w:t>דברי הראב"ד דגיד שהוא בעין ואינו נימוח בטל ברוב ורק באיסור נימוח צריך שישים מדרבנן</w:t>
      </w:r>
    </w:p>
    <w:p w:rsidR="00D45705" w:rsidRDefault="00D45705" w:rsidP="00D45705">
      <w:pPr>
        <w:pStyle w:val="aff2"/>
        <w:numPr>
          <w:ilvl w:val="0"/>
          <w:numId w:val="3"/>
        </w:numPr>
        <w:rPr>
          <w:rFonts w:eastAsiaTheme="minorEastAsia" w:cstheme="minorBidi"/>
          <w:sz w:val="22"/>
          <w:szCs w:val="22"/>
          <w:rtl/>
        </w:rPr>
      </w:pPr>
      <w:r>
        <w:rPr>
          <w:rtl/>
        </w:rPr>
        <w:t>ביאור הגר"א ברמ"א דבסוגיין מבואר דאף דבר שהתבשל כל שאינו בלול זה בזה הוי יבש ביבש</w:t>
      </w:r>
    </w:p>
    <w:p w:rsidR="00D45705" w:rsidRDefault="00D45705" w:rsidP="00D45705">
      <w:pPr>
        <w:pStyle w:val="2"/>
        <w:rPr>
          <w:rFonts w:eastAsiaTheme="minorEastAsia" w:cstheme="minorBidi"/>
          <w:i/>
          <w:iCs/>
          <w:sz w:val="22"/>
          <w:szCs w:val="22"/>
          <w:rtl/>
        </w:rPr>
      </w:pPr>
      <w:r>
        <w:rPr>
          <w:rtl/>
        </w:rPr>
        <w:t>ביאורי הראשונים בגדר ביטול רוב ביבש</w:t>
      </w:r>
    </w:p>
    <w:p w:rsidR="00D45705" w:rsidRDefault="00D45705" w:rsidP="00D45705">
      <w:pPr>
        <w:pStyle w:val="aff4"/>
        <w:rPr>
          <w:rFonts w:eastAsiaTheme="minorEastAsia" w:cstheme="minorBidi"/>
          <w:i/>
          <w:iCs/>
          <w:noProof/>
          <w:sz w:val="22"/>
          <w:szCs w:val="22"/>
          <w:rtl/>
        </w:rPr>
      </w:pPr>
      <w:r>
        <w:rPr>
          <w:noProof/>
          <w:rtl/>
        </w:rPr>
        <w:t>דעת הרא"ש דבביטול ברוב האיסור נהפך להיתר מגזיה"כ</w:t>
      </w:r>
    </w:p>
    <w:p w:rsidR="00D45705" w:rsidRDefault="00D45705" w:rsidP="00D45705">
      <w:pPr>
        <w:pStyle w:val="aff2"/>
        <w:numPr>
          <w:ilvl w:val="0"/>
          <w:numId w:val="3"/>
        </w:numPr>
        <w:rPr>
          <w:rFonts w:eastAsiaTheme="minorEastAsia" w:cstheme="minorBidi"/>
          <w:sz w:val="22"/>
          <w:szCs w:val="22"/>
          <w:rtl/>
        </w:rPr>
      </w:pPr>
      <w:r>
        <w:rPr>
          <w:rtl/>
        </w:rPr>
        <w:t>דברי הרא"ש דביבש ביבש בחד בתרי ילפינן מאחרי רבים להטות דהאיסור נהפך להיתר</w:t>
      </w:r>
    </w:p>
    <w:p w:rsidR="00D45705" w:rsidRDefault="00D45705" w:rsidP="00D45705">
      <w:pPr>
        <w:pStyle w:val="aff2"/>
        <w:numPr>
          <w:ilvl w:val="0"/>
          <w:numId w:val="3"/>
        </w:numPr>
        <w:rPr>
          <w:rFonts w:eastAsiaTheme="minorEastAsia" w:cstheme="minorBidi"/>
          <w:sz w:val="22"/>
          <w:szCs w:val="22"/>
          <w:rtl/>
        </w:rPr>
      </w:pPr>
      <w:r>
        <w:rPr>
          <w:rtl/>
        </w:rPr>
        <w:t>דברי הרא"ש דאף מדרבנן האיסור נהפך להיתר כל שנודע שנפל איסור לתערובת וא"צ שישים</w:t>
      </w:r>
    </w:p>
    <w:p w:rsidR="00D45705" w:rsidRDefault="00D45705" w:rsidP="00D45705">
      <w:pPr>
        <w:pStyle w:val="aff4"/>
        <w:rPr>
          <w:rFonts w:eastAsiaTheme="minorEastAsia" w:cstheme="minorBidi"/>
          <w:i/>
          <w:iCs/>
          <w:noProof/>
          <w:sz w:val="22"/>
          <w:szCs w:val="22"/>
          <w:rtl/>
        </w:rPr>
      </w:pPr>
      <w:r>
        <w:rPr>
          <w:noProof/>
          <w:rtl/>
        </w:rPr>
        <w:t>דעת הרשב"א דבביטול ברוב בכל חתיכה אמרינן שהיא מותרת</w:t>
      </w:r>
    </w:p>
    <w:p w:rsidR="00D45705" w:rsidRDefault="00D45705" w:rsidP="00D45705">
      <w:pPr>
        <w:pStyle w:val="aff2"/>
        <w:numPr>
          <w:ilvl w:val="0"/>
          <w:numId w:val="3"/>
        </w:numPr>
        <w:rPr>
          <w:rFonts w:eastAsiaTheme="minorEastAsia" w:cstheme="minorBidi"/>
          <w:sz w:val="22"/>
          <w:szCs w:val="22"/>
          <w:rtl/>
        </w:rPr>
      </w:pPr>
      <w:r>
        <w:rPr>
          <w:rtl/>
        </w:rPr>
        <w:t>דברי הרשב"א דכיון שהחתיכות עומדות בפנ"ע אמרינן בכל חתיכה שהיא המותרת</w:t>
      </w:r>
    </w:p>
    <w:p w:rsidR="00D45705" w:rsidRDefault="00D45705" w:rsidP="00D45705">
      <w:pPr>
        <w:pStyle w:val="aff2"/>
        <w:numPr>
          <w:ilvl w:val="0"/>
          <w:numId w:val="3"/>
        </w:numPr>
        <w:rPr>
          <w:rFonts w:eastAsiaTheme="minorEastAsia" w:cstheme="minorBidi"/>
          <w:sz w:val="22"/>
          <w:szCs w:val="22"/>
          <w:rtl/>
        </w:rPr>
      </w:pPr>
      <w:r>
        <w:rPr>
          <w:rtl/>
        </w:rPr>
        <w:t>דברי הרשב"א דכיון שיכול לומר שכל חתיכה מותרת לכן הקילו רבנן ולא הצריכו שישים</w:t>
      </w:r>
    </w:p>
    <w:p w:rsidR="00D45705" w:rsidRDefault="00D45705" w:rsidP="00D45705">
      <w:pPr>
        <w:pStyle w:val="aff2"/>
        <w:numPr>
          <w:ilvl w:val="0"/>
          <w:numId w:val="3"/>
        </w:numPr>
        <w:rPr>
          <w:rFonts w:eastAsiaTheme="minorEastAsia" w:cstheme="minorBidi"/>
          <w:sz w:val="22"/>
          <w:szCs w:val="22"/>
          <w:rtl/>
        </w:rPr>
      </w:pPr>
      <w:r>
        <w:rPr>
          <w:rtl/>
        </w:rPr>
        <w:t>דברי הרשב"א דביבש ברוב ובלח ביותר משישים העמידו על דין דאו' דבטל ברוב אף בהוחזק</w:t>
      </w:r>
    </w:p>
    <w:p w:rsidR="00D45705" w:rsidRDefault="00D45705" w:rsidP="00D45705">
      <w:pPr>
        <w:pStyle w:val="aff4"/>
        <w:rPr>
          <w:rFonts w:eastAsiaTheme="minorEastAsia" w:cstheme="minorBidi"/>
          <w:i/>
          <w:iCs/>
          <w:noProof/>
          <w:sz w:val="22"/>
          <w:szCs w:val="22"/>
          <w:rtl/>
        </w:rPr>
      </w:pPr>
      <w:r>
        <w:rPr>
          <w:noProof/>
          <w:rtl/>
        </w:rPr>
        <w:t>ביאור הרמב"ן בשם תוס' דכיון שאם יבשל אין טעם א"צ שישים</w:t>
      </w:r>
    </w:p>
    <w:p w:rsidR="00D45705" w:rsidRDefault="00D45705" w:rsidP="00D45705">
      <w:pPr>
        <w:pStyle w:val="aff2"/>
        <w:numPr>
          <w:ilvl w:val="0"/>
          <w:numId w:val="3"/>
        </w:numPr>
        <w:rPr>
          <w:rFonts w:eastAsiaTheme="minorEastAsia" w:cstheme="minorBidi"/>
          <w:sz w:val="22"/>
          <w:szCs w:val="22"/>
          <w:rtl/>
        </w:rPr>
      </w:pPr>
      <w:r>
        <w:rPr>
          <w:rtl/>
        </w:rPr>
        <w:t>דברי הרמב"ן והרשב"א בשם תוס' דביבש ביבש מהני ביטול ברוב ורק בלח בלח צריך שישים</w:t>
      </w:r>
    </w:p>
    <w:p w:rsidR="00D45705" w:rsidRDefault="00D45705" w:rsidP="00D45705">
      <w:pPr>
        <w:pStyle w:val="aff2"/>
        <w:numPr>
          <w:ilvl w:val="0"/>
          <w:numId w:val="3"/>
        </w:numPr>
        <w:rPr>
          <w:rFonts w:eastAsiaTheme="minorEastAsia" w:cstheme="minorBidi"/>
          <w:sz w:val="22"/>
          <w:szCs w:val="22"/>
          <w:rtl/>
        </w:rPr>
      </w:pPr>
      <w:r>
        <w:rPr>
          <w:rtl/>
        </w:rPr>
        <w:t>ביאור הרמב"ן בשם תוס' דבמין במינו שאף אם יבשל אין נתינת טעם א"צ שישים</w:t>
      </w:r>
    </w:p>
    <w:p w:rsidR="00D45705" w:rsidRDefault="00D45705" w:rsidP="00D45705">
      <w:pPr>
        <w:pStyle w:val="aff4"/>
        <w:rPr>
          <w:rFonts w:eastAsiaTheme="minorEastAsia" w:cstheme="minorBidi"/>
          <w:i/>
          <w:iCs/>
          <w:noProof/>
          <w:sz w:val="22"/>
          <w:szCs w:val="22"/>
          <w:rtl/>
        </w:rPr>
      </w:pPr>
      <w:r>
        <w:rPr>
          <w:noProof/>
          <w:rtl/>
        </w:rPr>
        <w:t>דעת הרא"ה והר"ן דבדבר שאין בו בליעת איסור אין דין שישים</w:t>
      </w:r>
    </w:p>
    <w:p w:rsidR="00D45705" w:rsidRDefault="00D45705" w:rsidP="00D45705">
      <w:pPr>
        <w:pStyle w:val="aff2"/>
        <w:numPr>
          <w:ilvl w:val="0"/>
          <w:numId w:val="3"/>
        </w:numPr>
        <w:rPr>
          <w:rFonts w:eastAsiaTheme="minorEastAsia" w:cstheme="minorBidi"/>
          <w:sz w:val="22"/>
          <w:szCs w:val="22"/>
          <w:rtl/>
        </w:rPr>
      </w:pPr>
      <w:r>
        <w:rPr>
          <w:rtl/>
        </w:rPr>
        <w:t>קושית הרא"ה על ביאור הרשב"א דכל חתיכה מותרת בפנ"ע דמ"מ יש חתיכה אחת שאסורה</w:t>
      </w:r>
    </w:p>
    <w:p w:rsidR="00D45705" w:rsidRDefault="00D45705" w:rsidP="00D45705">
      <w:pPr>
        <w:pStyle w:val="aff2"/>
        <w:numPr>
          <w:ilvl w:val="0"/>
          <w:numId w:val="3"/>
        </w:numPr>
        <w:rPr>
          <w:rFonts w:eastAsiaTheme="minorEastAsia" w:cstheme="minorBidi"/>
          <w:sz w:val="22"/>
          <w:szCs w:val="22"/>
          <w:rtl/>
        </w:rPr>
      </w:pPr>
      <w:r>
        <w:rPr>
          <w:rtl/>
        </w:rPr>
        <w:t>דברי הרא"ה דדין שישים הוא רק כשיש בליעת איסור וביבש שאין בליעה לא החמירו רבנן</w:t>
      </w:r>
    </w:p>
    <w:p w:rsidR="00D45705" w:rsidRDefault="00D45705" w:rsidP="00D45705">
      <w:pPr>
        <w:pStyle w:val="aff2"/>
        <w:numPr>
          <w:ilvl w:val="0"/>
          <w:numId w:val="3"/>
        </w:numPr>
        <w:rPr>
          <w:rFonts w:eastAsiaTheme="minorEastAsia" w:cstheme="minorBidi"/>
          <w:sz w:val="22"/>
          <w:szCs w:val="22"/>
          <w:rtl/>
        </w:rPr>
      </w:pPr>
      <w:r>
        <w:rPr>
          <w:rtl/>
        </w:rPr>
        <w:lastRenderedPageBreak/>
        <w:t>דברי הר"ן דדין שישים ביבש שייך רק במקום שאפשר לבא לאיסור דאו' בפחות משישים</w:t>
      </w:r>
    </w:p>
    <w:p w:rsidR="00D45705" w:rsidRDefault="00D45705" w:rsidP="00D45705">
      <w:pPr>
        <w:pStyle w:val="aff2"/>
        <w:numPr>
          <w:ilvl w:val="0"/>
          <w:numId w:val="3"/>
        </w:numPr>
        <w:rPr>
          <w:rFonts w:eastAsiaTheme="minorEastAsia" w:cstheme="minorBidi"/>
          <w:sz w:val="22"/>
          <w:szCs w:val="22"/>
          <w:rtl/>
        </w:rPr>
      </w:pPr>
      <w:r>
        <w:rPr>
          <w:rtl/>
        </w:rPr>
        <w:t>דברי סה"ת דביבש במין במינו שהטעם אינו יכול להיות ניכר ואינו נבלע בהיתר א"צ שישים</w:t>
      </w:r>
    </w:p>
    <w:p w:rsidR="00D45705" w:rsidRDefault="00D45705" w:rsidP="00D45705">
      <w:pPr>
        <w:pStyle w:val="aff2"/>
        <w:numPr>
          <w:ilvl w:val="0"/>
          <w:numId w:val="3"/>
        </w:numPr>
        <w:rPr>
          <w:rFonts w:eastAsiaTheme="minorEastAsia" w:cstheme="minorBidi"/>
          <w:sz w:val="22"/>
          <w:szCs w:val="22"/>
          <w:rtl/>
        </w:rPr>
      </w:pPr>
      <w:r>
        <w:rPr>
          <w:rtl/>
        </w:rPr>
        <w:t>קושית הרשב"א במשה"ב על הרא"ה דלא ביאר מה החילוק בדרבנן בין יבש ללח</w:t>
      </w:r>
    </w:p>
    <w:p w:rsidR="00D45705" w:rsidRDefault="00D45705" w:rsidP="00D45705">
      <w:pPr>
        <w:pStyle w:val="aff2"/>
        <w:numPr>
          <w:ilvl w:val="0"/>
          <w:numId w:val="3"/>
        </w:numPr>
        <w:rPr>
          <w:rFonts w:eastAsiaTheme="minorEastAsia" w:cstheme="minorBidi"/>
          <w:sz w:val="22"/>
          <w:szCs w:val="22"/>
          <w:rtl/>
        </w:rPr>
      </w:pPr>
      <w:r>
        <w:rPr>
          <w:rtl/>
        </w:rPr>
        <w:t>ביאור הרשב"א במשה"ב דרק במקום שמורגש הטעם וא"א לאכול כל חתיכה בפנ"ע צריך שישים</w:t>
      </w:r>
    </w:p>
    <w:p w:rsidR="00D45705" w:rsidRDefault="00D45705" w:rsidP="00D45705">
      <w:pPr>
        <w:pStyle w:val="aff4"/>
        <w:rPr>
          <w:rFonts w:eastAsiaTheme="minorEastAsia" w:cstheme="minorBidi"/>
          <w:i/>
          <w:iCs/>
          <w:noProof/>
          <w:sz w:val="22"/>
          <w:szCs w:val="22"/>
          <w:rtl/>
        </w:rPr>
      </w:pPr>
      <w:r>
        <w:rPr>
          <w:noProof/>
          <w:rtl/>
        </w:rPr>
        <w:t>שיטת התוס' רי"ד דביטול ברוב הוא מדין הלך אחר הרוב</w:t>
      </w:r>
    </w:p>
    <w:p w:rsidR="00D45705" w:rsidRDefault="00D45705" w:rsidP="00D45705">
      <w:pPr>
        <w:pStyle w:val="aff2"/>
        <w:numPr>
          <w:ilvl w:val="0"/>
          <w:numId w:val="3"/>
        </w:numPr>
        <w:rPr>
          <w:rFonts w:eastAsiaTheme="minorEastAsia" w:cstheme="minorBidi"/>
          <w:sz w:val="22"/>
          <w:szCs w:val="22"/>
          <w:rtl/>
        </w:rPr>
      </w:pPr>
      <w:r>
        <w:rPr>
          <w:rtl/>
        </w:rPr>
        <w:t>דברי הרי"ד בתשו' דבמין בשאינו מינו מדאו' מהני ביטול ברוב רק ביבש כיון שאינו נותן טעם</w:t>
      </w:r>
    </w:p>
    <w:p w:rsidR="00D45705" w:rsidRDefault="00D45705" w:rsidP="00D45705">
      <w:pPr>
        <w:pStyle w:val="aff2"/>
        <w:numPr>
          <w:ilvl w:val="0"/>
          <w:numId w:val="3"/>
        </w:numPr>
        <w:rPr>
          <w:rFonts w:eastAsiaTheme="minorEastAsia" w:cstheme="minorBidi"/>
          <w:sz w:val="22"/>
          <w:szCs w:val="22"/>
          <w:rtl/>
        </w:rPr>
      </w:pPr>
      <w:r>
        <w:rPr>
          <w:rtl/>
        </w:rPr>
        <w:t>ביאור הרי"ד דבמין במינו ביבש מותר לכתחילה דכל חתיכה היא מהרוב ואינו מדין ביטול ברוב</w:t>
      </w:r>
    </w:p>
    <w:p w:rsidR="00D45705" w:rsidRDefault="00D45705" w:rsidP="00D45705">
      <w:pPr>
        <w:pStyle w:val="aff2"/>
        <w:numPr>
          <w:ilvl w:val="0"/>
          <w:numId w:val="3"/>
        </w:numPr>
        <w:rPr>
          <w:rFonts w:eastAsiaTheme="minorEastAsia" w:cstheme="minorBidi"/>
          <w:sz w:val="22"/>
          <w:szCs w:val="22"/>
        </w:rPr>
      </w:pPr>
      <w:r>
        <w:rPr>
          <w:rtl/>
        </w:rPr>
        <w:t>דברי התוס' רי"ד דאדם אחד שאכל את כל החתיכות חייב חטאת כיון שודאי אכל איסור</w:t>
      </w:r>
    </w:p>
    <w:p w:rsidR="00D45705" w:rsidRDefault="00D45705" w:rsidP="00D45705">
      <w:pPr>
        <w:pStyle w:val="aff2"/>
        <w:numPr>
          <w:ilvl w:val="0"/>
          <w:numId w:val="3"/>
        </w:numPr>
        <w:rPr>
          <w:rFonts w:eastAsiaTheme="minorEastAsia" w:cstheme="minorBidi"/>
          <w:sz w:val="22"/>
          <w:szCs w:val="22"/>
          <w:rtl/>
        </w:rPr>
      </w:pPr>
      <w:r>
        <w:rPr>
          <w:rtl/>
        </w:rPr>
        <w:t>דברי התוס' רי"ד דביטול ברוב הוא כדין הלך אחר הרוב בט' חנויות דילפינן מאחרי רבים להטות</w:t>
      </w:r>
    </w:p>
    <w:p w:rsidR="00D45705" w:rsidRDefault="00D45705" w:rsidP="00D45705">
      <w:pPr>
        <w:pStyle w:val="aff2"/>
        <w:numPr>
          <w:ilvl w:val="0"/>
          <w:numId w:val="3"/>
        </w:numPr>
        <w:rPr>
          <w:rFonts w:eastAsiaTheme="minorEastAsia" w:cstheme="minorBidi"/>
          <w:sz w:val="22"/>
          <w:szCs w:val="22"/>
          <w:rtl/>
        </w:rPr>
      </w:pPr>
      <w:r>
        <w:rPr>
          <w:rtl/>
        </w:rPr>
        <w:t>דברי התוס' רי"ד דבחד בתרי האיסור בטל מדאו' ומותר לאכול כל חתיכה ולא חיישינן שאסורה</w:t>
      </w:r>
    </w:p>
    <w:p w:rsidR="00D45705" w:rsidRDefault="00D45705" w:rsidP="00D45705">
      <w:pPr>
        <w:pStyle w:val="2"/>
        <w:rPr>
          <w:rFonts w:eastAsiaTheme="minorEastAsia" w:cstheme="minorBidi"/>
          <w:i/>
          <w:iCs/>
          <w:sz w:val="22"/>
          <w:szCs w:val="22"/>
          <w:rtl/>
        </w:rPr>
      </w:pPr>
      <w:r>
        <w:rPr>
          <w:rtl/>
        </w:rPr>
        <w:t>בדין יבש ביבש במין בשאינו מינו</w:t>
      </w:r>
    </w:p>
    <w:p w:rsidR="00D45705" w:rsidRDefault="00D45705" w:rsidP="00D45705">
      <w:pPr>
        <w:pStyle w:val="aff4"/>
        <w:rPr>
          <w:rFonts w:eastAsiaTheme="minorEastAsia" w:cstheme="minorBidi"/>
          <w:i/>
          <w:iCs/>
          <w:noProof/>
          <w:sz w:val="22"/>
          <w:szCs w:val="22"/>
          <w:rtl/>
        </w:rPr>
      </w:pPr>
      <w:r>
        <w:rPr>
          <w:noProof/>
          <w:rtl/>
        </w:rPr>
        <w:t>דברי הטור דלכאו' מהני ביטול ברוב ביבש אף בשאינו מינו</w:t>
      </w:r>
    </w:p>
    <w:p w:rsidR="00D45705" w:rsidRDefault="00D45705" w:rsidP="00D45705">
      <w:pPr>
        <w:pStyle w:val="aff2"/>
        <w:numPr>
          <w:ilvl w:val="0"/>
          <w:numId w:val="3"/>
        </w:numPr>
        <w:rPr>
          <w:rFonts w:eastAsiaTheme="minorEastAsia" w:cstheme="minorBidi"/>
          <w:sz w:val="22"/>
          <w:szCs w:val="22"/>
          <w:rtl/>
        </w:rPr>
      </w:pPr>
      <w:r>
        <w:rPr>
          <w:rtl/>
        </w:rPr>
        <w:t>דברי הטור דלכאו' במין בשאינו מינו ביבש בחתיכות קטנות שלא ניכרות מהני ביטול דחד בתרי</w:t>
      </w:r>
    </w:p>
    <w:p w:rsidR="00D45705" w:rsidRDefault="00D45705" w:rsidP="00D45705">
      <w:pPr>
        <w:pStyle w:val="aff2"/>
        <w:numPr>
          <w:ilvl w:val="0"/>
          <w:numId w:val="3"/>
        </w:numPr>
        <w:rPr>
          <w:rFonts w:eastAsiaTheme="minorEastAsia" w:cstheme="minorBidi"/>
          <w:sz w:val="22"/>
          <w:szCs w:val="22"/>
          <w:rtl/>
        </w:rPr>
      </w:pPr>
      <w:r>
        <w:rPr>
          <w:rtl/>
        </w:rPr>
        <w:t>דברי החזו"א דכיון שכל חתיכה עומדת בפנ"ע הכל מותר מדין כל דפריש ואין איסור בכא"פ</w:t>
      </w:r>
    </w:p>
    <w:p w:rsidR="00D45705" w:rsidRDefault="00D45705" w:rsidP="00D45705">
      <w:pPr>
        <w:pStyle w:val="aff4"/>
        <w:rPr>
          <w:rFonts w:eastAsiaTheme="minorEastAsia" w:cstheme="minorBidi"/>
          <w:i/>
          <w:iCs/>
          <w:noProof/>
          <w:sz w:val="22"/>
          <w:szCs w:val="22"/>
          <w:rtl/>
        </w:rPr>
      </w:pPr>
      <w:r>
        <w:rPr>
          <w:noProof/>
          <w:rtl/>
        </w:rPr>
        <w:t>דעת הרשב"א וסה"ת והר"ן דבשאינו מינו צריך שישים אף ביבש</w:t>
      </w:r>
    </w:p>
    <w:p w:rsidR="00D45705" w:rsidRDefault="00D45705" w:rsidP="00D45705">
      <w:pPr>
        <w:pStyle w:val="aff2"/>
        <w:numPr>
          <w:ilvl w:val="0"/>
          <w:numId w:val="3"/>
        </w:numPr>
        <w:rPr>
          <w:rFonts w:eastAsiaTheme="minorEastAsia" w:cstheme="minorBidi"/>
          <w:sz w:val="22"/>
          <w:szCs w:val="22"/>
          <w:rtl/>
        </w:rPr>
      </w:pPr>
      <w:r>
        <w:rPr>
          <w:rtl/>
        </w:rPr>
        <w:t>דברי סה"ת והרמב"ן והרשב"א דבשאינו מינו צריך שישים ביבש דטעם האיסור ניכר אם יבשל</w:t>
      </w:r>
    </w:p>
    <w:p w:rsidR="00D45705" w:rsidRDefault="00D45705" w:rsidP="00D45705">
      <w:pPr>
        <w:pStyle w:val="aff2"/>
        <w:numPr>
          <w:ilvl w:val="0"/>
          <w:numId w:val="3"/>
        </w:numPr>
        <w:rPr>
          <w:rFonts w:eastAsiaTheme="minorEastAsia" w:cstheme="minorBidi"/>
          <w:sz w:val="22"/>
          <w:szCs w:val="22"/>
          <w:rtl/>
        </w:rPr>
      </w:pPr>
      <w:r>
        <w:rPr>
          <w:rtl/>
        </w:rPr>
        <w:t>דברי הרשב"א דמוכח בגמ' בזבחים דבמין בשאינו מינו צריך שישים אף ביבש ביבש</w:t>
      </w:r>
    </w:p>
    <w:p w:rsidR="00D45705" w:rsidRDefault="00D45705" w:rsidP="00D45705">
      <w:pPr>
        <w:pStyle w:val="aff2"/>
        <w:numPr>
          <w:ilvl w:val="0"/>
          <w:numId w:val="3"/>
        </w:numPr>
        <w:rPr>
          <w:rFonts w:eastAsiaTheme="minorEastAsia" w:cstheme="minorBidi"/>
          <w:sz w:val="22"/>
          <w:szCs w:val="22"/>
          <w:rtl/>
        </w:rPr>
      </w:pPr>
      <w:r>
        <w:rPr>
          <w:rtl/>
        </w:rPr>
        <w:t>דברי הר"ן דבשאינו מינו ביבש החמירו להצריך שישים כיון שיכול לבא לאיסור דאו' אם יבשל</w:t>
      </w:r>
    </w:p>
    <w:p w:rsidR="00D45705" w:rsidRDefault="00D45705" w:rsidP="00D45705">
      <w:pPr>
        <w:pStyle w:val="aff2"/>
        <w:numPr>
          <w:ilvl w:val="0"/>
          <w:numId w:val="3"/>
        </w:numPr>
        <w:rPr>
          <w:rFonts w:eastAsiaTheme="minorEastAsia" w:cstheme="minorBidi"/>
          <w:sz w:val="22"/>
          <w:szCs w:val="22"/>
          <w:rtl/>
        </w:rPr>
      </w:pPr>
      <w:r>
        <w:rPr>
          <w:rtl/>
        </w:rPr>
        <w:t>דברי החזו"א דלדעת ספר התרומה בפחות משישים אף חתיכה אחת אסורה ביבש באינו מינו</w:t>
      </w:r>
    </w:p>
    <w:p w:rsidR="00D45705" w:rsidRDefault="00D45705" w:rsidP="00D45705">
      <w:pPr>
        <w:pStyle w:val="aff4"/>
        <w:rPr>
          <w:rFonts w:eastAsiaTheme="minorEastAsia" w:cstheme="minorBidi"/>
          <w:i/>
          <w:iCs/>
          <w:noProof/>
          <w:sz w:val="22"/>
          <w:szCs w:val="22"/>
          <w:rtl/>
        </w:rPr>
      </w:pPr>
      <w:r>
        <w:rPr>
          <w:noProof/>
          <w:rtl/>
        </w:rPr>
        <w:t>דעת הג' שערי דורא דמדאו' בשאינו מינו צריך שישים אף ביבש</w:t>
      </w:r>
    </w:p>
    <w:p w:rsidR="00D45705" w:rsidRDefault="00D45705" w:rsidP="00D45705">
      <w:pPr>
        <w:pStyle w:val="aff2"/>
        <w:numPr>
          <w:ilvl w:val="0"/>
          <w:numId w:val="3"/>
        </w:numPr>
        <w:rPr>
          <w:rFonts w:eastAsiaTheme="minorEastAsia" w:cstheme="minorBidi"/>
          <w:sz w:val="22"/>
          <w:szCs w:val="22"/>
          <w:rtl/>
        </w:rPr>
      </w:pPr>
      <w:r>
        <w:rPr>
          <w:rtl/>
        </w:rPr>
        <w:t>דברי הג' שערי דורא דבתוס' מבואר דבמין בשאינו מינו ביבש ביבש צריך שישים מדאו'</w:t>
      </w:r>
    </w:p>
    <w:p w:rsidR="00D45705" w:rsidRDefault="00D45705" w:rsidP="00D45705">
      <w:pPr>
        <w:pStyle w:val="aff2"/>
        <w:numPr>
          <w:ilvl w:val="0"/>
          <w:numId w:val="3"/>
        </w:numPr>
        <w:rPr>
          <w:rFonts w:eastAsiaTheme="minorEastAsia" w:cstheme="minorBidi"/>
          <w:sz w:val="22"/>
          <w:szCs w:val="22"/>
          <w:rtl/>
        </w:rPr>
      </w:pPr>
      <w:r>
        <w:rPr>
          <w:rtl/>
        </w:rPr>
        <w:t>סתירת דברי האיסור והיתר הארוך אי צריך שישים מדאו' במין בשאינו מינו ביבש ביבש</w:t>
      </w:r>
    </w:p>
    <w:p w:rsidR="00D45705" w:rsidRDefault="00D45705" w:rsidP="00D45705">
      <w:pPr>
        <w:pStyle w:val="aff2"/>
        <w:numPr>
          <w:ilvl w:val="0"/>
          <w:numId w:val="3"/>
        </w:numPr>
        <w:rPr>
          <w:rFonts w:eastAsiaTheme="minorEastAsia" w:cstheme="minorBidi"/>
          <w:sz w:val="22"/>
          <w:szCs w:val="22"/>
          <w:rtl/>
        </w:rPr>
      </w:pPr>
      <w:r>
        <w:rPr>
          <w:rtl/>
        </w:rPr>
        <w:t>דברי היש"ש דא"א לומר דבקמח שהותר ביבש ואפאו וצריך שישים דאחר שהותר א"צ שישים</w:t>
      </w:r>
    </w:p>
    <w:p w:rsidR="00D45705" w:rsidRDefault="00D45705" w:rsidP="00D45705">
      <w:pPr>
        <w:pStyle w:val="aff4"/>
        <w:rPr>
          <w:rtl/>
        </w:rPr>
      </w:pPr>
      <w:r>
        <w:rPr>
          <w:rFonts w:hint="cs"/>
          <w:rtl/>
        </w:rPr>
        <w:t>דעת הש"ך דרק בקמח שהוא כלח בלח צריך שישים מדאו'</w:t>
      </w:r>
    </w:p>
    <w:p w:rsidR="00D45705" w:rsidRDefault="00D45705" w:rsidP="00D45705">
      <w:pPr>
        <w:pStyle w:val="aff2"/>
        <w:numPr>
          <w:ilvl w:val="0"/>
          <w:numId w:val="3"/>
        </w:numPr>
        <w:rPr>
          <w:rFonts w:eastAsiaTheme="minorEastAsia" w:cstheme="minorBidi"/>
          <w:sz w:val="22"/>
          <w:szCs w:val="22"/>
          <w:rtl/>
        </w:rPr>
      </w:pPr>
      <w:r>
        <w:rPr>
          <w:rtl/>
        </w:rPr>
        <w:t>דברי הש"ך דמוכח ברשב"א דדוקא בקמח שהוא כלח כתבו התוס' דמדאו' צריך שישים</w:t>
      </w:r>
    </w:p>
    <w:p w:rsidR="00D45705" w:rsidRPr="000A4F9E" w:rsidRDefault="00D45705" w:rsidP="00D45705">
      <w:pPr>
        <w:pStyle w:val="aff4"/>
        <w:rPr>
          <w:rtl/>
        </w:rPr>
      </w:pPr>
      <w:r>
        <w:rPr>
          <w:rFonts w:hint="cs"/>
          <w:rtl/>
        </w:rPr>
        <w:t>דעת החוו"ד דביבש שאוכל בב"א נותן טעם וצריך שישים מדאו'</w:t>
      </w:r>
    </w:p>
    <w:p w:rsidR="00D45705" w:rsidRDefault="00D45705" w:rsidP="00D45705">
      <w:pPr>
        <w:pStyle w:val="aff2"/>
        <w:numPr>
          <w:ilvl w:val="0"/>
          <w:numId w:val="3"/>
        </w:numPr>
        <w:rPr>
          <w:rFonts w:eastAsiaTheme="minorEastAsia" w:cstheme="minorBidi"/>
          <w:sz w:val="22"/>
          <w:szCs w:val="22"/>
          <w:rtl/>
        </w:rPr>
      </w:pPr>
      <w:r>
        <w:rPr>
          <w:rtl/>
        </w:rPr>
        <w:t>קושית החוו"ד דבקמח בקמח אין נתינת טעם מאחד לשני וא"א לומר דמדאו' הוא בשישים</w:t>
      </w:r>
    </w:p>
    <w:p w:rsidR="00D45705" w:rsidRDefault="00D45705" w:rsidP="00D45705">
      <w:pPr>
        <w:pStyle w:val="aff2"/>
        <w:numPr>
          <w:ilvl w:val="0"/>
          <w:numId w:val="3"/>
        </w:numPr>
        <w:rPr>
          <w:rFonts w:eastAsiaTheme="minorEastAsia" w:cstheme="minorBidi"/>
          <w:sz w:val="22"/>
          <w:szCs w:val="22"/>
          <w:rtl/>
        </w:rPr>
      </w:pPr>
      <w:r>
        <w:rPr>
          <w:rtl/>
        </w:rPr>
        <w:t>ביאור החוו"ד דבאוכל בבת אחת במין בשאינו מינו מדאו' צריך שישים אף ביבש ביבש</w:t>
      </w:r>
    </w:p>
    <w:p w:rsidR="00D45705" w:rsidRDefault="00D45705" w:rsidP="00D45705">
      <w:pPr>
        <w:pStyle w:val="aff2"/>
        <w:numPr>
          <w:ilvl w:val="0"/>
          <w:numId w:val="3"/>
        </w:numPr>
        <w:rPr>
          <w:rFonts w:eastAsiaTheme="minorEastAsia" w:cstheme="minorBidi"/>
          <w:sz w:val="22"/>
          <w:szCs w:val="22"/>
          <w:rtl/>
        </w:rPr>
      </w:pPr>
      <w:r>
        <w:rPr>
          <w:rtl/>
        </w:rPr>
        <w:t>ביאור החוו"ד דבאוכל בבת אחת יש נתינת טעם אף ביבש ואסור מדין טעם כעיקר דאו'</w:t>
      </w:r>
    </w:p>
    <w:p w:rsidR="00D45705" w:rsidRDefault="00D45705" w:rsidP="00F7292E">
      <w:pPr>
        <w:pStyle w:val="aff2"/>
        <w:numPr>
          <w:ilvl w:val="0"/>
          <w:numId w:val="3"/>
        </w:numPr>
        <w:rPr>
          <w:rFonts w:eastAsiaTheme="minorEastAsia" w:cstheme="minorBidi"/>
          <w:sz w:val="22"/>
          <w:szCs w:val="22"/>
          <w:rtl/>
        </w:rPr>
      </w:pPr>
      <w:r>
        <w:rPr>
          <w:rtl/>
        </w:rPr>
        <w:t xml:space="preserve">דברי החוו"ד דהטור איירי בזאח"ז ולכן רק </w:t>
      </w:r>
      <w:r w:rsidR="00F7292E">
        <w:rPr>
          <w:rtl/>
        </w:rPr>
        <w:t xml:space="preserve">מדרבנן </w:t>
      </w:r>
      <w:r>
        <w:rPr>
          <w:rtl/>
        </w:rPr>
        <w:t>צריך שישים ובתוס' איירי בב"א והוי דאו'</w:t>
      </w:r>
    </w:p>
    <w:p w:rsidR="00D45705" w:rsidRDefault="00D45705" w:rsidP="00D45705">
      <w:pPr>
        <w:pStyle w:val="2"/>
        <w:rPr>
          <w:rFonts w:eastAsiaTheme="minorEastAsia" w:cstheme="minorBidi"/>
          <w:i/>
          <w:iCs/>
          <w:sz w:val="22"/>
          <w:szCs w:val="22"/>
          <w:rtl/>
        </w:rPr>
      </w:pPr>
      <w:r>
        <w:rPr>
          <w:rtl/>
        </w:rPr>
        <w:t>ביאורי הראשונים בחילוק בין לח ליבש</w:t>
      </w:r>
    </w:p>
    <w:p w:rsidR="00D45705" w:rsidRDefault="00D45705" w:rsidP="00D45705">
      <w:pPr>
        <w:pStyle w:val="aff4"/>
        <w:rPr>
          <w:rFonts w:eastAsiaTheme="minorEastAsia" w:cstheme="minorBidi"/>
          <w:i/>
          <w:iCs/>
          <w:noProof/>
          <w:sz w:val="22"/>
          <w:szCs w:val="22"/>
          <w:rtl/>
        </w:rPr>
      </w:pPr>
      <w:r>
        <w:rPr>
          <w:noProof/>
          <w:rtl/>
        </w:rPr>
        <w:t>דברי הרמב"ן והרשב"א דבלח אינו עומד בפנ"ע וצריך שישים</w:t>
      </w:r>
    </w:p>
    <w:p w:rsidR="00D45705" w:rsidRDefault="00D45705" w:rsidP="00D45705">
      <w:pPr>
        <w:pStyle w:val="aff2"/>
        <w:numPr>
          <w:ilvl w:val="0"/>
          <w:numId w:val="3"/>
        </w:numPr>
        <w:rPr>
          <w:rFonts w:eastAsiaTheme="minorEastAsia" w:cstheme="minorBidi"/>
          <w:sz w:val="22"/>
          <w:szCs w:val="22"/>
          <w:rtl/>
        </w:rPr>
      </w:pPr>
      <w:r>
        <w:rPr>
          <w:rtl/>
        </w:rPr>
        <w:t>דברי הרמב"ן והרשב"א בשם תוס' דדין שישים הוא רק באיסור בלול או בלוע ולא בעומד בפנ"ע</w:t>
      </w:r>
    </w:p>
    <w:p w:rsidR="00D45705" w:rsidRDefault="00D45705" w:rsidP="00D45705">
      <w:pPr>
        <w:pStyle w:val="aff2"/>
        <w:numPr>
          <w:ilvl w:val="0"/>
          <w:numId w:val="3"/>
        </w:numPr>
        <w:rPr>
          <w:rFonts w:eastAsiaTheme="minorEastAsia" w:cstheme="minorBidi"/>
          <w:sz w:val="22"/>
          <w:szCs w:val="22"/>
          <w:rtl/>
        </w:rPr>
      </w:pPr>
      <w:r>
        <w:rPr>
          <w:rtl/>
        </w:rPr>
        <w:t>דברי הרמב"ן והרשב"א בשם תוס' דבדבר שאינו עומד בפנ"ע לא סגי ברוב וצריך שישים</w:t>
      </w:r>
    </w:p>
    <w:p w:rsidR="00D45705" w:rsidRDefault="00D45705" w:rsidP="00D45705">
      <w:pPr>
        <w:pStyle w:val="aff2"/>
        <w:numPr>
          <w:ilvl w:val="0"/>
          <w:numId w:val="3"/>
        </w:numPr>
        <w:rPr>
          <w:rFonts w:eastAsiaTheme="minorEastAsia" w:cstheme="minorBidi"/>
          <w:sz w:val="22"/>
          <w:szCs w:val="22"/>
          <w:rtl/>
        </w:rPr>
      </w:pPr>
      <w:r>
        <w:rPr>
          <w:rtl/>
        </w:rPr>
        <w:t>דברי ספר התרומה דבלוע או בלול ל"מ ביטול ברוב כיון שהאיסור וההיתר מעורבים זה בזה</w:t>
      </w:r>
    </w:p>
    <w:p w:rsidR="00D45705" w:rsidRDefault="00D45705" w:rsidP="00D45705">
      <w:pPr>
        <w:pStyle w:val="aff4"/>
        <w:rPr>
          <w:rFonts w:eastAsiaTheme="minorEastAsia" w:cstheme="minorBidi"/>
          <w:i/>
          <w:iCs/>
          <w:noProof/>
          <w:sz w:val="22"/>
          <w:szCs w:val="22"/>
          <w:rtl/>
        </w:rPr>
      </w:pPr>
      <w:r>
        <w:rPr>
          <w:noProof/>
          <w:rtl/>
        </w:rPr>
        <w:t>דברי הרשב"א דבמינו שהטעם לא מורגש אסור כמו באינו מינו</w:t>
      </w:r>
    </w:p>
    <w:p w:rsidR="00D45705" w:rsidRDefault="00D45705" w:rsidP="00D45705">
      <w:pPr>
        <w:pStyle w:val="aff2"/>
        <w:numPr>
          <w:ilvl w:val="0"/>
          <w:numId w:val="3"/>
        </w:numPr>
        <w:rPr>
          <w:rFonts w:eastAsiaTheme="minorEastAsia" w:cstheme="minorBidi"/>
          <w:sz w:val="22"/>
          <w:szCs w:val="22"/>
          <w:rtl/>
        </w:rPr>
      </w:pPr>
      <w:r>
        <w:rPr>
          <w:rtl/>
        </w:rPr>
        <w:t>דברי הרשב"א בתוה"ב דבלח באינו מינו ל"מ רוב כיון שטעם האיסור מורגש בפחות משישים</w:t>
      </w:r>
    </w:p>
    <w:p w:rsidR="00D45705" w:rsidRDefault="00D45705" w:rsidP="00D45705">
      <w:pPr>
        <w:pStyle w:val="aff2"/>
        <w:numPr>
          <w:ilvl w:val="0"/>
          <w:numId w:val="3"/>
        </w:numPr>
        <w:rPr>
          <w:rFonts w:eastAsiaTheme="minorEastAsia" w:cstheme="minorBidi"/>
          <w:sz w:val="22"/>
          <w:szCs w:val="22"/>
          <w:rtl/>
        </w:rPr>
      </w:pPr>
      <w:r>
        <w:rPr>
          <w:rtl/>
        </w:rPr>
        <w:t>דברי הרשב"א בתוה"ב דבלח במינו אף שהטעם לא מורגש מ"מ צריך שישים כמו באינו מינו</w:t>
      </w:r>
    </w:p>
    <w:p w:rsidR="00D45705" w:rsidRDefault="00D45705" w:rsidP="00D45705">
      <w:pPr>
        <w:pStyle w:val="aff4"/>
        <w:rPr>
          <w:rFonts w:eastAsiaTheme="minorEastAsia" w:cstheme="minorBidi"/>
          <w:i/>
          <w:iCs/>
          <w:noProof/>
          <w:sz w:val="22"/>
          <w:szCs w:val="22"/>
          <w:rtl/>
        </w:rPr>
      </w:pPr>
      <w:r>
        <w:rPr>
          <w:noProof/>
          <w:rtl/>
        </w:rPr>
        <w:t>דברי הר"ן דבלח הטעם מתפשט בכולו ואף במינו טועם איסור</w:t>
      </w:r>
    </w:p>
    <w:p w:rsidR="00D45705" w:rsidRDefault="00D45705" w:rsidP="00D45705">
      <w:pPr>
        <w:pStyle w:val="aff2"/>
        <w:numPr>
          <w:ilvl w:val="0"/>
          <w:numId w:val="3"/>
        </w:numPr>
        <w:rPr>
          <w:rFonts w:eastAsiaTheme="minorEastAsia" w:cstheme="minorBidi"/>
          <w:sz w:val="22"/>
          <w:szCs w:val="22"/>
          <w:rtl/>
        </w:rPr>
      </w:pPr>
      <w:r>
        <w:rPr>
          <w:rtl/>
        </w:rPr>
        <w:t>דברי הר"ן דאיסור בלוע או בלול שטעם האיסור מתפשט בכולו צריך שישים לבטל את הטעם</w:t>
      </w:r>
    </w:p>
    <w:p w:rsidR="00D45705" w:rsidRDefault="00D45705" w:rsidP="00D45705">
      <w:pPr>
        <w:pStyle w:val="aff2"/>
        <w:numPr>
          <w:ilvl w:val="0"/>
          <w:numId w:val="3"/>
        </w:numPr>
        <w:rPr>
          <w:rFonts w:eastAsiaTheme="minorEastAsia" w:cstheme="minorBidi"/>
          <w:sz w:val="22"/>
          <w:szCs w:val="22"/>
          <w:rtl/>
        </w:rPr>
      </w:pPr>
      <w:r>
        <w:rPr>
          <w:rtl/>
        </w:rPr>
        <w:t>דברי הר"ן דביבש ביבש דבטל בחד בתרי אסור לבשל יחד דהאיסור נותן טעם והוי כלח בלח</w:t>
      </w:r>
    </w:p>
    <w:p w:rsidR="00D45705" w:rsidRDefault="00D45705" w:rsidP="00D45705">
      <w:pPr>
        <w:pStyle w:val="aff2"/>
        <w:numPr>
          <w:ilvl w:val="0"/>
          <w:numId w:val="3"/>
        </w:numPr>
        <w:rPr>
          <w:rFonts w:eastAsiaTheme="minorEastAsia" w:cstheme="minorBidi"/>
          <w:sz w:val="22"/>
          <w:szCs w:val="22"/>
          <w:rtl/>
        </w:rPr>
      </w:pPr>
      <w:r>
        <w:rPr>
          <w:rtl/>
        </w:rPr>
        <w:t>דברי הר"ן בחי' דבמין במינו בלח אף שהטעם</w:t>
      </w:r>
      <w:r w:rsidR="00137690">
        <w:rPr>
          <w:rFonts w:hint="cs"/>
          <w:rtl/>
        </w:rPr>
        <w:t xml:space="preserve"> אינו</w:t>
      </w:r>
      <w:r>
        <w:rPr>
          <w:rtl/>
        </w:rPr>
        <w:t xml:space="preserve"> ניכר צריך שישים כיון שטועם את טעם האיסור</w:t>
      </w:r>
    </w:p>
    <w:p w:rsidR="00D45705" w:rsidRDefault="00D45705" w:rsidP="00D45705">
      <w:pPr>
        <w:pStyle w:val="aff4"/>
        <w:rPr>
          <w:rFonts w:eastAsiaTheme="minorEastAsia" w:cstheme="minorBidi"/>
          <w:i/>
          <w:iCs/>
          <w:noProof/>
          <w:sz w:val="22"/>
          <w:szCs w:val="22"/>
          <w:rtl/>
        </w:rPr>
      </w:pPr>
      <w:r>
        <w:rPr>
          <w:noProof/>
          <w:rtl/>
        </w:rPr>
        <w:t>דברי הרא"ה דהחמירו בלח במינו כיון דבאינו מינו נותן טעם</w:t>
      </w:r>
    </w:p>
    <w:p w:rsidR="00D45705" w:rsidRDefault="00D45705" w:rsidP="00D45705">
      <w:pPr>
        <w:pStyle w:val="aff2"/>
        <w:numPr>
          <w:ilvl w:val="0"/>
          <w:numId w:val="3"/>
        </w:numPr>
        <w:rPr>
          <w:rFonts w:eastAsiaTheme="minorEastAsia" w:cstheme="minorBidi"/>
          <w:sz w:val="22"/>
          <w:szCs w:val="22"/>
          <w:rtl/>
        </w:rPr>
      </w:pPr>
      <w:r>
        <w:rPr>
          <w:rtl/>
        </w:rPr>
        <w:t>דברי הרא"ה דבלח כיון שבאינו מינו טע"כ דאו' החמירו רבנן במינו אף שאינו נותן טעם</w:t>
      </w:r>
    </w:p>
    <w:p w:rsidR="00D45705" w:rsidRDefault="00D45705" w:rsidP="00D45705">
      <w:pPr>
        <w:pStyle w:val="aff4"/>
        <w:rPr>
          <w:rFonts w:eastAsiaTheme="minorEastAsia" w:cstheme="minorBidi"/>
          <w:i/>
          <w:iCs/>
          <w:noProof/>
          <w:sz w:val="22"/>
          <w:szCs w:val="22"/>
          <w:rtl/>
        </w:rPr>
      </w:pPr>
      <w:r>
        <w:rPr>
          <w:noProof/>
          <w:rtl/>
        </w:rPr>
        <w:t>דברי הרא"ש דגזרו מינו שלא הותר ואין בו טעם אטו שאינו מינו</w:t>
      </w:r>
    </w:p>
    <w:p w:rsidR="00D45705" w:rsidRDefault="00D45705" w:rsidP="00D45705">
      <w:pPr>
        <w:pStyle w:val="aff2"/>
        <w:numPr>
          <w:ilvl w:val="0"/>
          <w:numId w:val="3"/>
        </w:numPr>
        <w:rPr>
          <w:rFonts w:eastAsiaTheme="minorEastAsia" w:cstheme="minorBidi"/>
          <w:sz w:val="22"/>
          <w:szCs w:val="22"/>
          <w:rtl/>
        </w:rPr>
      </w:pPr>
      <w:r>
        <w:rPr>
          <w:rtl/>
        </w:rPr>
        <w:t>דברי הרא"ש דגזרו רבנן בלח במינו כשלא נקרא עליו שם היתר שאינו נותן טעם אטו שאינו מינו</w:t>
      </w:r>
    </w:p>
    <w:p w:rsidR="00D45705" w:rsidRDefault="00D45705" w:rsidP="00D45705">
      <w:pPr>
        <w:pStyle w:val="2"/>
        <w:rPr>
          <w:rFonts w:eastAsiaTheme="minorEastAsia" w:cstheme="minorBidi"/>
          <w:i/>
          <w:iCs/>
          <w:sz w:val="22"/>
          <w:szCs w:val="22"/>
          <w:rtl/>
        </w:rPr>
      </w:pPr>
      <w:r>
        <w:rPr>
          <w:rtl/>
        </w:rPr>
        <w:t>ביאורי האחרונים בחילוק בין לח ליבש</w:t>
      </w:r>
    </w:p>
    <w:p w:rsidR="00D45705" w:rsidRDefault="00D45705" w:rsidP="00D45705">
      <w:pPr>
        <w:pStyle w:val="aff4"/>
        <w:rPr>
          <w:rFonts w:eastAsiaTheme="minorEastAsia" w:cstheme="minorBidi"/>
          <w:i/>
          <w:iCs/>
          <w:noProof/>
          <w:sz w:val="22"/>
          <w:szCs w:val="22"/>
          <w:rtl/>
        </w:rPr>
      </w:pPr>
      <w:r>
        <w:rPr>
          <w:noProof/>
          <w:rtl/>
        </w:rPr>
        <w:t>ביאור המנחת כהן דבלח אוכל ודאי את האיסור וצריך שישים</w:t>
      </w:r>
    </w:p>
    <w:p w:rsidR="00D45705" w:rsidRDefault="00D45705" w:rsidP="00D45705">
      <w:pPr>
        <w:pStyle w:val="aff2"/>
        <w:numPr>
          <w:ilvl w:val="0"/>
          <w:numId w:val="3"/>
        </w:numPr>
        <w:rPr>
          <w:rFonts w:eastAsiaTheme="minorEastAsia" w:cstheme="minorBidi"/>
          <w:sz w:val="22"/>
          <w:szCs w:val="22"/>
          <w:rtl/>
        </w:rPr>
      </w:pPr>
      <w:r>
        <w:rPr>
          <w:rtl/>
        </w:rPr>
        <w:t>דברי המנחת כהן דביבש א"א לגזור אטו מין בשאינו מינו דהא מדאו' מהני בו ביטול ברוב</w:t>
      </w:r>
    </w:p>
    <w:p w:rsidR="00D45705" w:rsidRDefault="00D45705" w:rsidP="00D45705">
      <w:pPr>
        <w:pStyle w:val="aff2"/>
        <w:numPr>
          <w:ilvl w:val="0"/>
          <w:numId w:val="3"/>
        </w:numPr>
        <w:rPr>
          <w:rFonts w:eastAsiaTheme="minorEastAsia" w:cstheme="minorBidi"/>
          <w:sz w:val="22"/>
          <w:szCs w:val="22"/>
          <w:rtl/>
        </w:rPr>
      </w:pPr>
      <w:r>
        <w:rPr>
          <w:rtl/>
        </w:rPr>
        <w:t>דברי המנחת כהן דבלח שאוכל בודאי את האיסור החמירו להצריך שישים משא"כ ביבש</w:t>
      </w:r>
    </w:p>
    <w:p w:rsidR="00D45705" w:rsidRDefault="00D45705" w:rsidP="00D45705">
      <w:pPr>
        <w:pStyle w:val="aff4"/>
        <w:rPr>
          <w:rFonts w:eastAsiaTheme="minorEastAsia" w:cstheme="minorBidi"/>
          <w:i/>
          <w:iCs/>
          <w:noProof/>
          <w:sz w:val="22"/>
          <w:szCs w:val="22"/>
          <w:rtl/>
        </w:rPr>
      </w:pPr>
      <w:r>
        <w:rPr>
          <w:noProof/>
          <w:rtl/>
        </w:rPr>
        <w:t>ביאור הפרמ"ג ברשב"א דבלח אוכל ודאי איסור ואינו גזירה</w:t>
      </w:r>
    </w:p>
    <w:p w:rsidR="00D45705" w:rsidRDefault="00D45705" w:rsidP="00D45705">
      <w:pPr>
        <w:pStyle w:val="aff2"/>
        <w:numPr>
          <w:ilvl w:val="0"/>
          <w:numId w:val="3"/>
        </w:numPr>
        <w:rPr>
          <w:rFonts w:eastAsiaTheme="minorEastAsia" w:cstheme="minorBidi"/>
          <w:sz w:val="22"/>
          <w:szCs w:val="22"/>
          <w:rtl/>
        </w:rPr>
      </w:pPr>
      <w:r>
        <w:rPr>
          <w:rtl/>
        </w:rPr>
        <w:t>ביאור הפרמ"ג במנחת כהן דשישים בלח אינו גזירה אטו שאינו מינו אלא דאוכל ודאי איסור</w:t>
      </w:r>
    </w:p>
    <w:p w:rsidR="00D45705" w:rsidRDefault="00D45705" w:rsidP="001B4883">
      <w:pPr>
        <w:pStyle w:val="aff2"/>
        <w:numPr>
          <w:ilvl w:val="0"/>
          <w:numId w:val="3"/>
        </w:numPr>
        <w:rPr>
          <w:rFonts w:eastAsiaTheme="minorEastAsia" w:cstheme="minorBidi"/>
          <w:sz w:val="22"/>
          <w:szCs w:val="22"/>
          <w:rtl/>
        </w:rPr>
      </w:pPr>
      <w:r>
        <w:rPr>
          <w:rtl/>
        </w:rPr>
        <w:t xml:space="preserve">דברי הפרמ"ג דברשב"א </w:t>
      </w:r>
      <w:r w:rsidR="001B4883">
        <w:rPr>
          <w:rFonts w:hint="cs"/>
          <w:rtl/>
        </w:rPr>
        <w:t xml:space="preserve">שהתיר </w:t>
      </w:r>
      <w:r>
        <w:rPr>
          <w:rtl/>
        </w:rPr>
        <w:t>ביבש כל חתיכה בפנ"ע משמע כמנחת כהן דבלח אוכל ודאי איסור</w:t>
      </w:r>
    </w:p>
    <w:p w:rsidR="00D45705" w:rsidRDefault="00D45705" w:rsidP="00D45705">
      <w:pPr>
        <w:pStyle w:val="aff2"/>
        <w:numPr>
          <w:ilvl w:val="0"/>
          <w:numId w:val="3"/>
        </w:numPr>
        <w:rPr>
          <w:rFonts w:eastAsiaTheme="minorEastAsia" w:cstheme="minorBidi"/>
          <w:sz w:val="22"/>
          <w:szCs w:val="22"/>
          <w:rtl/>
        </w:rPr>
      </w:pPr>
      <w:r>
        <w:rPr>
          <w:rtl/>
        </w:rPr>
        <w:t>קושית הפרמ"ג דהא כתב הרשב"א דהחמירו בלח במינו אטו שאינו מינו ומוכח דהוא גזירה</w:t>
      </w:r>
    </w:p>
    <w:p w:rsidR="00D45705" w:rsidRDefault="00D45705" w:rsidP="00D45705">
      <w:pPr>
        <w:pStyle w:val="aff2"/>
        <w:numPr>
          <w:ilvl w:val="0"/>
          <w:numId w:val="3"/>
        </w:numPr>
        <w:rPr>
          <w:rFonts w:eastAsiaTheme="minorEastAsia" w:cstheme="minorBidi"/>
          <w:sz w:val="22"/>
          <w:szCs w:val="22"/>
          <w:rtl/>
        </w:rPr>
      </w:pPr>
      <w:r>
        <w:rPr>
          <w:rtl/>
        </w:rPr>
        <w:t>תירוץ הפרמ"ג ברשב"א דהתירו בלח ביותר משישים אף שאוכל ודאי איסור כדין שאינו מינו</w:t>
      </w:r>
    </w:p>
    <w:p w:rsidR="00D45705" w:rsidRDefault="00D45705" w:rsidP="00D45705">
      <w:pPr>
        <w:pStyle w:val="aff2"/>
        <w:numPr>
          <w:ilvl w:val="0"/>
          <w:numId w:val="3"/>
        </w:numPr>
        <w:rPr>
          <w:rFonts w:eastAsiaTheme="minorEastAsia" w:cstheme="minorBidi"/>
          <w:sz w:val="22"/>
          <w:szCs w:val="22"/>
          <w:rtl/>
        </w:rPr>
      </w:pPr>
      <w:r>
        <w:rPr>
          <w:rtl/>
        </w:rPr>
        <w:t>דברי הפרמ"ג דלדעת הרשב"א אסור לאכול יבש את כל התערובת בבת אחת אף כשיש שישים</w:t>
      </w:r>
    </w:p>
    <w:p w:rsidR="00D45705" w:rsidRDefault="00D45705" w:rsidP="00D45705">
      <w:pPr>
        <w:pStyle w:val="aff4"/>
        <w:rPr>
          <w:rFonts w:eastAsiaTheme="minorEastAsia" w:cstheme="minorBidi"/>
          <w:i/>
          <w:iCs/>
          <w:noProof/>
          <w:sz w:val="22"/>
          <w:szCs w:val="22"/>
          <w:rtl/>
        </w:rPr>
      </w:pPr>
      <w:r>
        <w:rPr>
          <w:noProof/>
          <w:rtl/>
        </w:rPr>
        <w:t>ביאור האבנ"מ ברשב"א דהחמירו בלח בשיעור הרגשת טעם</w:t>
      </w:r>
    </w:p>
    <w:p w:rsidR="00D45705" w:rsidRDefault="00D45705" w:rsidP="00D45705">
      <w:pPr>
        <w:pStyle w:val="aff2"/>
        <w:numPr>
          <w:ilvl w:val="0"/>
          <w:numId w:val="3"/>
        </w:numPr>
        <w:rPr>
          <w:rFonts w:eastAsiaTheme="minorEastAsia" w:cstheme="minorBidi"/>
          <w:sz w:val="22"/>
          <w:szCs w:val="22"/>
          <w:rtl/>
        </w:rPr>
      </w:pPr>
      <w:r>
        <w:rPr>
          <w:rtl/>
        </w:rPr>
        <w:t>דברי האבנ"מ דמשמע באחרונים דבלח גזרו במינו אטו שאינו מינו שצריך שישים</w:t>
      </w:r>
    </w:p>
    <w:p w:rsidR="00D45705" w:rsidRDefault="00D45705" w:rsidP="00D45705">
      <w:pPr>
        <w:pStyle w:val="aff2"/>
        <w:numPr>
          <w:ilvl w:val="0"/>
          <w:numId w:val="3"/>
        </w:numPr>
        <w:rPr>
          <w:rFonts w:eastAsiaTheme="minorEastAsia" w:cstheme="minorBidi"/>
          <w:sz w:val="22"/>
          <w:szCs w:val="22"/>
          <w:rtl/>
        </w:rPr>
      </w:pPr>
      <w:r>
        <w:rPr>
          <w:rtl/>
        </w:rPr>
        <w:t>דברי האבנ"מ ברשב"א דהחמירו בלח במינו דהוא שיעור הרגשת טעם באינו מינו ואינו גזירה</w:t>
      </w:r>
    </w:p>
    <w:p w:rsidR="00D45705" w:rsidRDefault="00D45705" w:rsidP="00D45705">
      <w:pPr>
        <w:pStyle w:val="2"/>
        <w:rPr>
          <w:rFonts w:eastAsiaTheme="minorEastAsia" w:cstheme="minorBidi"/>
          <w:i/>
          <w:iCs/>
          <w:sz w:val="22"/>
          <w:szCs w:val="22"/>
          <w:rtl/>
        </w:rPr>
      </w:pPr>
      <w:r>
        <w:rPr>
          <w:rtl/>
        </w:rPr>
        <w:t>במקור וגדר דין ביטול ברוב</w:t>
      </w:r>
    </w:p>
    <w:p w:rsidR="00D45705" w:rsidRDefault="00D45705" w:rsidP="00D45705">
      <w:pPr>
        <w:pStyle w:val="aff4"/>
        <w:rPr>
          <w:rFonts w:eastAsiaTheme="minorEastAsia" w:cstheme="minorBidi"/>
          <w:i/>
          <w:iCs/>
          <w:noProof/>
          <w:sz w:val="22"/>
          <w:szCs w:val="22"/>
          <w:rtl/>
        </w:rPr>
      </w:pPr>
      <w:r>
        <w:rPr>
          <w:noProof/>
          <w:rtl/>
        </w:rPr>
        <w:t>דברי הראשונים דדין ביטול ברוב נלמד מאחרי רבים להטות</w:t>
      </w:r>
    </w:p>
    <w:p w:rsidR="00D45705" w:rsidRDefault="00D45705" w:rsidP="00D45705">
      <w:pPr>
        <w:pStyle w:val="aff2"/>
        <w:numPr>
          <w:ilvl w:val="0"/>
          <w:numId w:val="3"/>
        </w:numPr>
        <w:rPr>
          <w:rFonts w:eastAsiaTheme="minorEastAsia" w:cstheme="minorBidi"/>
          <w:sz w:val="22"/>
          <w:szCs w:val="22"/>
          <w:rtl/>
        </w:rPr>
      </w:pPr>
      <w:r>
        <w:rPr>
          <w:rtl/>
        </w:rPr>
        <w:t>דברי רש"י ותוס' והרמב"ן דביטול ברוב בחד בתרי נלמד מאחרי רבים להטות</w:t>
      </w:r>
    </w:p>
    <w:p w:rsidR="00D45705" w:rsidRDefault="00D45705" w:rsidP="00D45705">
      <w:pPr>
        <w:pStyle w:val="aff2"/>
        <w:numPr>
          <w:ilvl w:val="0"/>
          <w:numId w:val="3"/>
        </w:numPr>
        <w:rPr>
          <w:rFonts w:eastAsiaTheme="minorEastAsia" w:cstheme="minorBidi"/>
          <w:sz w:val="22"/>
          <w:szCs w:val="22"/>
          <w:rtl/>
        </w:rPr>
      </w:pPr>
      <w:r>
        <w:rPr>
          <w:rtl/>
        </w:rPr>
        <w:t>דברי הרא"ש דביבש ביבש יש גזיה"כ מאחרי רבים להטות דהאיסור בטל ברוב ונהפך להיתר</w:t>
      </w:r>
    </w:p>
    <w:p w:rsidR="00D45705" w:rsidRDefault="00D45705" w:rsidP="00D45705">
      <w:pPr>
        <w:pStyle w:val="aff4"/>
        <w:rPr>
          <w:rFonts w:eastAsiaTheme="minorEastAsia" w:cstheme="minorBidi"/>
          <w:i/>
          <w:iCs/>
          <w:noProof/>
          <w:sz w:val="22"/>
          <w:szCs w:val="22"/>
          <w:rtl/>
        </w:rPr>
      </w:pPr>
      <w:r>
        <w:rPr>
          <w:noProof/>
          <w:rtl/>
        </w:rPr>
        <w:t>ביאורי האחרונים היאך נלמד ביטול ברוב מסנהדרין ובגדר הדין</w:t>
      </w:r>
    </w:p>
    <w:p w:rsidR="00D45705" w:rsidRDefault="00D45705" w:rsidP="00D45705">
      <w:pPr>
        <w:pStyle w:val="aff2"/>
        <w:numPr>
          <w:ilvl w:val="0"/>
          <w:numId w:val="3"/>
        </w:numPr>
        <w:rPr>
          <w:rFonts w:eastAsiaTheme="minorEastAsia" w:cstheme="minorBidi"/>
          <w:sz w:val="22"/>
          <w:szCs w:val="22"/>
          <w:rtl/>
        </w:rPr>
      </w:pPr>
      <w:r>
        <w:rPr>
          <w:rtl/>
        </w:rPr>
        <w:t>קושית הפרמ"ג דבסנהדרין בטלה דעת המיעוט ואילו בתערובת אוכל ודאי איסור</w:t>
      </w:r>
    </w:p>
    <w:p w:rsidR="00D45705" w:rsidRDefault="00D45705" w:rsidP="00D45705">
      <w:pPr>
        <w:pStyle w:val="aff2"/>
        <w:numPr>
          <w:ilvl w:val="0"/>
          <w:numId w:val="3"/>
        </w:numPr>
        <w:rPr>
          <w:rFonts w:eastAsiaTheme="minorEastAsia" w:cstheme="minorBidi"/>
          <w:sz w:val="22"/>
          <w:szCs w:val="22"/>
          <w:rtl/>
        </w:rPr>
      </w:pPr>
      <w:r>
        <w:rPr>
          <w:rtl/>
        </w:rPr>
        <w:t>דברי היד יהודה דלהפרמ"ג אף להרשב"א קשה דמודה דמדאו' מותר אף באוכל בבת אחת</w:t>
      </w:r>
    </w:p>
    <w:p w:rsidR="00D45705" w:rsidRDefault="00D45705" w:rsidP="00D45705">
      <w:pPr>
        <w:pStyle w:val="aff2"/>
        <w:numPr>
          <w:ilvl w:val="0"/>
          <w:numId w:val="3"/>
        </w:numPr>
        <w:rPr>
          <w:rFonts w:eastAsiaTheme="minorEastAsia" w:cstheme="minorBidi"/>
          <w:sz w:val="22"/>
          <w:szCs w:val="22"/>
          <w:rtl/>
        </w:rPr>
      </w:pPr>
      <w:r>
        <w:rPr>
          <w:rtl/>
        </w:rPr>
        <w:t>תירוץ היד יהודה דאף בסנהדרין הדין כרוב אף שהאמת היא כיחיד והוא כביטול ברוב</w:t>
      </w:r>
    </w:p>
    <w:p w:rsidR="00D45705" w:rsidRDefault="00D45705" w:rsidP="00D45705">
      <w:pPr>
        <w:pStyle w:val="aff2"/>
        <w:numPr>
          <w:ilvl w:val="0"/>
          <w:numId w:val="3"/>
        </w:numPr>
        <w:rPr>
          <w:rFonts w:eastAsiaTheme="minorEastAsia" w:cstheme="minorBidi"/>
          <w:sz w:val="22"/>
          <w:szCs w:val="22"/>
          <w:rtl/>
        </w:rPr>
      </w:pPr>
      <w:r>
        <w:rPr>
          <w:rtl/>
        </w:rPr>
        <w:t>קושית החי' הרי"ם דבהלך אחר הרוב יש סברא שהוא מותר משא"כ בביטול דיש ודאי איסור</w:t>
      </w:r>
    </w:p>
    <w:p w:rsidR="00D45705" w:rsidRDefault="00D45705" w:rsidP="00D45705">
      <w:pPr>
        <w:pStyle w:val="aff2"/>
        <w:numPr>
          <w:ilvl w:val="0"/>
          <w:numId w:val="3"/>
        </w:numPr>
        <w:rPr>
          <w:rFonts w:eastAsiaTheme="minorEastAsia" w:cstheme="minorBidi"/>
          <w:sz w:val="22"/>
          <w:szCs w:val="22"/>
          <w:rtl/>
        </w:rPr>
      </w:pPr>
      <w:r>
        <w:rPr>
          <w:rtl/>
        </w:rPr>
        <w:t>דברי החי' הרי"ם דכל התערובת מותרת מדין הלך אחר הרוב שיש על כל חתיכה בפנ"ע</w:t>
      </w:r>
    </w:p>
    <w:p w:rsidR="00D45705" w:rsidRDefault="00D45705" w:rsidP="00D45705">
      <w:pPr>
        <w:pStyle w:val="aff2"/>
        <w:numPr>
          <w:ilvl w:val="0"/>
          <w:numId w:val="3"/>
        </w:numPr>
        <w:rPr>
          <w:rFonts w:eastAsiaTheme="minorEastAsia" w:cstheme="minorBidi"/>
          <w:sz w:val="22"/>
          <w:szCs w:val="22"/>
          <w:rtl/>
        </w:rPr>
      </w:pPr>
      <w:r>
        <w:rPr>
          <w:rtl/>
        </w:rPr>
        <w:t>משמעות דברי החזו"א דההיתר בביטול ברוב הוא מדין הלך אחר הרוב בכל חתיכה בפנ"ע</w:t>
      </w:r>
    </w:p>
    <w:p w:rsidR="00D45705" w:rsidRDefault="00D45705" w:rsidP="00D45705">
      <w:pPr>
        <w:pStyle w:val="aff4"/>
        <w:rPr>
          <w:rFonts w:eastAsiaTheme="minorEastAsia" w:cstheme="minorBidi"/>
          <w:i/>
          <w:iCs/>
          <w:noProof/>
          <w:sz w:val="22"/>
          <w:szCs w:val="22"/>
          <w:rtl/>
        </w:rPr>
      </w:pPr>
      <w:r>
        <w:rPr>
          <w:noProof/>
          <w:rtl/>
        </w:rPr>
        <w:t>פלוגתת הלבוש והט"ז בילפותא לביטול ברוב מסנהדרין</w:t>
      </w:r>
    </w:p>
    <w:p w:rsidR="00D45705" w:rsidRDefault="00D45705" w:rsidP="00D45705">
      <w:pPr>
        <w:pStyle w:val="aff2"/>
        <w:numPr>
          <w:ilvl w:val="0"/>
          <w:numId w:val="3"/>
        </w:numPr>
        <w:rPr>
          <w:rFonts w:eastAsiaTheme="minorEastAsia" w:cstheme="minorBidi"/>
          <w:sz w:val="22"/>
          <w:szCs w:val="22"/>
          <w:rtl/>
        </w:rPr>
      </w:pPr>
      <w:r>
        <w:rPr>
          <w:rtl/>
        </w:rPr>
        <w:t>דברי הלבוש דילפינן מסנהדרין דביטול ברוב הוא אף באיסור ניכר ורק מדרבנן צריך להשליך א'</w:t>
      </w:r>
    </w:p>
    <w:p w:rsidR="00D45705" w:rsidRDefault="00D45705" w:rsidP="00D45705">
      <w:pPr>
        <w:pStyle w:val="aff2"/>
        <w:numPr>
          <w:ilvl w:val="0"/>
          <w:numId w:val="3"/>
        </w:numPr>
        <w:rPr>
          <w:rFonts w:eastAsiaTheme="minorEastAsia" w:cstheme="minorBidi"/>
          <w:sz w:val="22"/>
          <w:szCs w:val="22"/>
          <w:rtl/>
        </w:rPr>
      </w:pPr>
      <w:r>
        <w:rPr>
          <w:rtl/>
        </w:rPr>
        <w:t>תמיהת הט"ז והפרמ"ג דבאיסור ניכר לא שייך ביטול ברוב</w:t>
      </w:r>
    </w:p>
    <w:p w:rsidR="00D45705" w:rsidRDefault="00D45705" w:rsidP="00D45705">
      <w:pPr>
        <w:pStyle w:val="aff2"/>
        <w:numPr>
          <w:ilvl w:val="0"/>
          <w:numId w:val="3"/>
        </w:numPr>
        <w:rPr>
          <w:rFonts w:eastAsiaTheme="minorEastAsia" w:cstheme="minorBidi"/>
          <w:sz w:val="22"/>
          <w:szCs w:val="22"/>
          <w:rtl/>
        </w:rPr>
      </w:pPr>
      <w:r>
        <w:rPr>
          <w:rtl/>
        </w:rPr>
        <w:t>ביאור הט"ז דבסנהדרין בטלה דעת המיעוט ואילו בתערובת האיסור נהפך להיתר</w:t>
      </w:r>
    </w:p>
    <w:p w:rsidR="00D45705" w:rsidRDefault="00D45705" w:rsidP="00D45705">
      <w:pPr>
        <w:pStyle w:val="aff2"/>
        <w:numPr>
          <w:ilvl w:val="0"/>
          <w:numId w:val="3"/>
        </w:numPr>
        <w:rPr>
          <w:rFonts w:eastAsiaTheme="minorEastAsia" w:cstheme="minorBidi"/>
          <w:sz w:val="22"/>
          <w:szCs w:val="22"/>
          <w:rtl/>
        </w:rPr>
      </w:pPr>
      <w:r>
        <w:rPr>
          <w:rtl/>
        </w:rPr>
        <w:t>דברי הפרמ"ג דבסנהדרין שלא ידוע כמי האמת חשיב שהאיסור אינו ניכר</w:t>
      </w:r>
    </w:p>
    <w:p w:rsidR="00D45705" w:rsidRDefault="00D45705" w:rsidP="00D45705">
      <w:pPr>
        <w:pStyle w:val="aff4"/>
        <w:rPr>
          <w:rFonts w:eastAsiaTheme="minorEastAsia" w:cstheme="minorBidi"/>
          <w:i/>
          <w:iCs/>
          <w:noProof/>
          <w:sz w:val="22"/>
          <w:szCs w:val="22"/>
          <w:rtl/>
        </w:rPr>
      </w:pPr>
      <w:r>
        <w:rPr>
          <w:noProof/>
          <w:rtl/>
        </w:rPr>
        <w:t>בהא דאין בתערובת דין קבוע</w:t>
      </w:r>
    </w:p>
    <w:p w:rsidR="00D45705" w:rsidRDefault="00D45705" w:rsidP="00D45705">
      <w:pPr>
        <w:pStyle w:val="aff4"/>
        <w:rPr>
          <w:rFonts w:eastAsiaTheme="minorEastAsia" w:cstheme="minorBidi"/>
          <w:i/>
          <w:iCs/>
          <w:noProof/>
          <w:sz w:val="22"/>
          <w:szCs w:val="22"/>
          <w:rtl/>
        </w:rPr>
      </w:pPr>
      <w:r>
        <w:rPr>
          <w:noProof/>
          <w:rtl/>
        </w:rPr>
        <w:t>ביאורי הראשונים דאיסור בתערובת אין לו דין קבוע</w:t>
      </w:r>
    </w:p>
    <w:p w:rsidR="00D45705" w:rsidRDefault="00D45705" w:rsidP="00D45705">
      <w:pPr>
        <w:pStyle w:val="aff2"/>
        <w:numPr>
          <w:ilvl w:val="0"/>
          <w:numId w:val="3"/>
        </w:numPr>
        <w:rPr>
          <w:rFonts w:eastAsiaTheme="minorEastAsia" w:cstheme="minorBidi"/>
          <w:sz w:val="22"/>
          <w:szCs w:val="22"/>
          <w:rtl/>
        </w:rPr>
      </w:pPr>
      <w:r>
        <w:rPr>
          <w:rtl/>
        </w:rPr>
        <w:t>קושית הראשונים דכל תערובת איסור היא קבועה במקומה ואמאי אינה כמחצה על מחצה</w:t>
      </w:r>
    </w:p>
    <w:p w:rsidR="00D45705" w:rsidRDefault="00D45705" w:rsidP="00D45705">
      <w:pPr>
        <w:pStyle w:val="aff2"/>
        <w:numPr>
          <w:ilvl w:val="0"/>
          <w:numId w:val="3"/>
        </w:numPr>
        <w:rPr>
          <w:rFonts w:eastAsiaTheme="minorEastAsia" w:cstheme="minorBidi"/>
          <w:sz w:val="22"/>
          <w:szCs w:val="22"/>
          <w:rtl/>
        </w:rPr>
      </w:pPr>
      <w:r>
        <w:rPr>
          <w:rtl/>
        </w:rPr>
        <w:t>דברי התוס' והרמב"ן דדין קבוע נאמר רק באיסור שניכר במקומו או באיסור חשוב שלא בטל</w:t>
      </w:r>
    </w:p>
    <w:p w:rsidR="00D45705" w:rsidRDefault="00D45705" w:rsidP="00D45705">
      <w:pPr>
        <w:pStyle w:val="aff2"/>
        <w:numPr>
          <w:ilvl w:val="0"/>
          <w:numId w:val="3"/>
        </w:numPr>
        <w:rPr>
          <w:rFonts w:eastAsiaTheme="minorEastAsia" w:cstheme="minorBidi"/>
          <w:sz w:val="22"/>
          <w:szCs w:val="22"/>
          <w:rtl/>
        </w:rPr>
      </w:pPr>
      <w:r>
        <w:rPr>
          <w:rtl/>
        </w:rPr>
        <w:t>דברי הר"ן דאחר שהאיסור התבטל ברוב דאינו ניכר ואינו חשוב לא שייך לומר שהוא קבוע</w:t>
      </w:r>
    </w:p>
    <w:p w:rsidR="00D45705" w:rsidRDefault="00D45705" w:rsidP="00D45705">
      <w:pPr>
        <w:pStyle w:val="2"/>
        <w:rPr>
          <w:rFonts w:eastAsiaTheme="minorEastAsia" w:cstheme="minorBidi"/>
          <w:i/>
          <w:iCs/>
          <w:sz w:val="22"/>
          <w:szCs w:val="22"/>
          <w:rtl/>
        </w:rPr>
      </w:pPr>
      <w:r>
        <w:rPr>
          <w:rtl/>
        </w:rPr>
        <w:t>ביאורי ראשי הישיבות</w:t>
      </w:r>
    </w:p>
    <w:p w:rsidR="00D45705" w:rsidRDefault="00D45705" w:rsidP="00D45705">
      <w:pPr>
        <w:pStyle w:val="2"/>
        <w:rPr>
          <w:rFonts w:eastAsiaTheme="minorEastAsia" w:cstheme="minorBidi"/>
          <w:i/>
          <w:iCs/>
          <w:sz w:val="22"/>
          <w:szCs w:val="22"/>
          <w:rtl/>
        </w:rPr>
      </w:pPr>
      <w:r>
        <w:rPr>
          <w:rtl/>
        </w:rPr>
        <w:t>במקור וגדר דין ביטול ברוב</w:t>
      </w:r>
    </w:p>
    <w:p w:rsidR="00D45705" w:rsidRDefault="00D45705" w:rsidP="00D45705">
      <w:pPr>
        <w:pStyle w:val="aff4"/>
        <w:rPr>
          <w:rFonts w:eastAsiaTheme="minorEastAsia" w:cstheme="minorBidi"/>
          <w:i/>
          <w:iCs/>
          <w:noProof/>
          <w:sz w:val="22"/>
          <w:szCs w:val="22"/>
          <w:rtl/>
        </w:rPr>
      </w:pPr>
      <w:r>
        <w:rPr>
          <w:noProof/>
          <w:rtl/>
        </w:rPr>
        <w:t>קושית הגר"ח מהיכן ילפינן ביטול בלח בלח שאין בו ספק</w:t>
      </w:r>
    </w:p>
    <w:p w:rsidR="00D45705" w:rsidRDefault="00D45705" w:rsidP="00D45705">
      <w:pPr>
        <w:pStyle w:val="aff2"/>
        <w:numPr>
          <w:ilvl w:val="0"/>
          <w:numId w:val="3"/>
        </w:numPr>
        <w:rPr>
          <w:rFonts w:eastAsiaTheme="minorEastAsia" w:cstheme="minorBidi"/>
          <w:sz w:val="22"/>
          <w:szCs w:val="22"/>
          <w:rtl/>
        </w:rPr>
      </w:pPr>
      <w:r>
        <w:rPr>
          <w:rtl/>
        </w:rPr>
        <w:t>דברי הגר"ח דבהלך אחר הרוב הוא הכרעת ספק וביטול ברוב בלח בלח הוא רוב בלא כל ספק</w:t>
      </w:r>
    </w:p>
    <w:p w:rsidR="00D45705" w:rsidRDefault="00D45705" w:rsidP="00D45705">
      <w:pPr>
        <w:pStyle w:val="aff2"/>
        <w:numPr>
          <w:ilvl w:val="0"/>
          <w:numId w:val="3"/>
        </w:numPr>
        <w:rPr>
          <w:rFonts w:eastAsiaTheme="minorEastAsia" w:cstheme="minorBidi"/>
          <w:sz w:val="22"/>
          <w:szCs w:val="22"/>
          <w:rtl/>
        </w:rPr>
      </w:pPr>
      <w:r>
        <w:rPr>
          <w:rtl/>
        </w:rPr>
        <w:t>קושית הגר"ח מהיכן ילפינן את דין ביטול ברוב בלח בלח הרי אין מקור לרוב במקום שאין ספק</w:t>
      </w:r>
    </w:p>
    <w:p w:rsidR="00D45705" w:rsidRDefault="00D45705" w:rsidP="00D45705">
      <w:pPr>
        <w:pStyle w:val="aff4"/>
        <w:rPr>
          <w:rFonts w:eastAsiaTheme="minorEastAsia" w:cstheme="minorBidi"/>
          <w:i/>
          <w:iCs/>
          <w:noProof/>
          <w:sz w:val="22"/>
          <w:szCs w:val="22"/>
          <w:rtl/>
        </w:rPr>
      </w:pPr>
      <w:r>
        <w:rPr>
          <w:noProof/>
          <w:rtl/>
        </w:rPr>
        <w:t>תירוץ הגר"ח דבדיינים יש גם דין רובו ככולו וגם הכרעת ספק</w:t>
      </w:r>
    </w:p>
    <w:p w:rsidR="00D45705" w:rsidRDefault="00D45705" w:rsidP="00D45705">
      <w:pPr>
        <w:pStyle w:val="aff2"/>
        <w:numPr>
          <w:ilvl w:val="0"/>
          <w:numId w:val="3"/>
        </w:numPr>
        <w:rPr>
          <w:rFonts w:eastAsiaTheme="minorEastAsia" w:cstheme="minorBidi"/>
          <w:sz w:val="22"/>
          <w:szCs w:val="22"/>
          <w:rtl/>
        </w:rPr>
      </w:pPr>
      <w:r>
        <w:rPr>
          <w:rtl/>
        </w:rPr>
        <w:t>דברי הגר"ח דברוב דיינים מוכח שיש דין רובו ככולו כיון שהמיעוט מצטרף למניין הדיינים</w:t>
      </w:r>
    </w:p>
    <w:p w:rsidR="00D45705" w:rsidRDefault="00D45705" w:rsidP="00D45705">
      <w:pPr>
        <w:pStyle w:val="aff2"/>
        <w:numPr>
          <w:ilvl w:val="0"/>
          <w:numId w:val="3"/>
        </w:numPr>
        <w:rPr>
          <w:rFonts w:eastAsiaTheme="minorEastAsia" w:cstheme="minorBidi"/>
          <w:sz w:val="22"/>
          <w:szCs w:val="22"/>
          <w:rtl/>
        </w:rPr>
      </w:pPr>
      <w:r>
        <w:rPr>
          <w:rtl/>
        </w:rPr>
        <w:t>דברי הגר"ח דבכדי להכריע את הדין צריך שהב"ד יכוונו לאמת ומוכח דהרוב מכריע את הספק</w:t>
      </w:r>
    </w:p>
    <w:p w:rsidR="00D45705" w:rsidRDefault="00D45705" w:rsidP="00D45705">
      <w:pPr>
        <w:pStyle w:val="aff2"/>
        <w:numPr>
          <w:ilvl w:val="0"/>
          <w:numId w:val="3"/>
        </w:numPr>
        <w:rPr>
          <w:rFonts w:eastAsiaTheme="minorEastAsia" w:cstheme="minorBidi"/>
          <w:sz w:val="22"/>
          <w:szCs w:val="22"/>
          <w:rtl/>
        </w:rPr>
      </w:pPr>
      <w:r>
        <w:rPr>
          <w:rtl/>
        </w:rPr>
        <w:t>ביאור הגר"ח דע"י רובו ככולו א"א להכריע את הדין לאמתו וכן רובו ככולו שייך רק בהם עצמם</w:t>
      </w:r>
    </w:p>
    <w:p w:rsidR="00D45705" w:rsidRDefault="00D45705" w:rsidP="00D45705">
      <w:pPr>
        <w:pStyle w:val="aff2"/>
        <w:numPr>
          <w:ilvl w:val="0"/>
          <w:numId w:val="3"/>
        </w:numPr>
        <w:rPr>
          <w:rFonts w:eastAsiaTheme="minorEastAsia" w:cstheme="minorBidi"/>
          <w:sz w:val="22"/>
          <w:szCs w:val="22"/>
          <w:rtl/>
        </w:rPr>
      </w:pPr>
      <w:r>
        <w:rPr>
          <w:rtl/>
        </w:rPr>
        <w:t>דברי הגר"ח דמוכח מסנהדרין דאזלינן בתר רוב שמכריע את הספק ולא רק את דין רובו ככולו</w:t>
      </w:r>
    </w:p>
    <w:p w:rsidR="00D45705" w:rsidRDefault="00D45705" w:rsidP="00D45705">
      <w:pPr>
        <w:pStyle w:val="aff2"/>
        <w:numPr>
          <w:ilvl w:val="0"/>
          <w:numId w:val="3"/>
        </w:numPr>
        <w:rPr>
          <w:rFonts w:eastAsiaTheme="minorEastAsia" w:cstheme="minorBidi"/>
          <w:sz w:val="22"/>
          <w:szCs w:val="22"/>
          <w:rtl/>
        </w:rPr>
      </w:pPr>
      <w:r>
        <w:rPr>
          <w:rtl/>
        </w:rPr>
        <w:t>תירוץ הגר"ח דמסנהדרין ילפינן את רוב שמכריע את הספק וגם את ביטול ברוב שאין בו ספק</w:t>
      </w:r>
    </w:p>
    <w:p w:rsidR="00D45705" w:rsidRDefault="00D45705" w:rsidP="00D45705">
      <w:pPr>
        <w:pStyle w:val="aff4"/>
        <w:rPr>
          <w:rFonts w:eastAsiaTheme="minorEastAsia" w:cstheme="minorBidi"/>
          <w:i/>
          <w:iCs/>
          <w:noProof/>
          <w:sz w:val="22"/>
          <w:szCs w:val="22"/>
          <w:rtl/>
        </w:rPr>
      </w:pPr>
      <w:r>
        <w:rPr>
          <w:noProof/>
          <w:rtl/>
        </w:rPr>
        <w:t>ביאור הגרש"ר בגר"ח דבסנהדרין יש גם דין ביטול ברוב</w:t>
      </w:r>
    </w:p>
    <w:p w:rsidR="00D45705" w:rsidRDefault="00D45705" w:rsidP="00D45705">
      <w:pPr>
        <w:pStyle w:val="aff2"/>
        <w:numPr>
          <w:ilvl w:val="0"/>
          <w:numId w:val="3"/>
        </w:numPr>
        <w:rPr>
          <w:rFonts w:eastAsiaTheme="minorEastAsia" w:cstheme="minorBidi"/>
          <w:sz w:val="22"/>
          <w:szCs w:val="22"/>
          <w:rtl/>
        </w:rPr>
      </w:pPr>
      <w:r>
        <w:rPr>
          <w:rtl/>
        </w:rPr>
        <w:t>קושית הגרש"ר דאף לביאור הגר"ח קשה דמדין רובו ככולו א"א ללמוד את דין ביטול ברוב</w:t>
      </w:r>
    </w:p>
    <w:p w:rsidR="00D45705" w:rsidRDefault="00D45705" w:rsidP="00D45705">
      <w:pPr>
        <w:pStyle w:val="aff2"/>
        <w:numPr>
          <w:ilvl w:val="0"/>
          <w:numId w:val="3"/>
        </w:numPr>
        <w:rPr>
          <w:rFonts w:eastAsiaTheme="minorEastAsia" w:cstheme="minorBidi"/>
          <w:sz w:val="22"/>
          <w:szCs w:val="22"/>
          <w:rtl/>
        </w:rPr>
      </w:pPr>
      <w:r>
        <w:rPr>
          <w:rtl/>
        </w:rPr>
        <w:t>דברי הגרש"ר דרובו ככולו הוא במקום שהמיעוט לא מנוגד לרוב כמיעוט סימן שאינו שחוט</w:t>
      </w:r>
    </w:p>
    <w:p w:rsidR="00D45705" w:rsidRDefault="00D45705" w:rsidP="00D45705">
      <w:pPr>
        <w:pStyle w:val="aff2"/>
        <w:numPr>
          <w:ilvl w:val="0"/>
          <w:numId w:val="3"/>
        </w:numPr>
        <w:rPr>
          <w:rFonts w:eastAsiaTheme="minorEastAsia" w:cstheme="minorBidi"/>
          <w:sz w:val="22"/>
          <w:szCs w:val="22"/>
          <w:rtl/>
        </w:rPr>
      </w:pPr>
      <w:r>
        <w:rPr>
          <w:rtl/>
        </w:rPr>
        <w:t>דברי הגרש"ר דבדיינים המיעוט מתנגד לרוב ומוכח מדיינים שיש גם דין ביטול ברוב</w:t>
      </w:r>
    </w:p>
    <w:p w:rsidR="00D45705" w:rsidRDefault="00D45705" w:rsidP="00D45705">
      <w:pPr>
        <w:pStyle w:val="aff2"/>
        <w:numPr>
          <w:ilvl w:val="0"/>
          <w:numId w:val="3"/>
        </w:numPr>
        <w:rPr>
          <w:rFonts w:eastAsiaTheme="minorEastAsia" w:cstheme="minorBidi"/>
          <w:sz w:val="22"/>
          <w:szCs w:val="22"/>
          <w:rtl/>
        </w:rPr>
      </w:pPr>
      <w:r>
        <w:rPr>
          <w:rtl/>
        </w:rPr>
        <w:t>ביאור הגרש"ר דבדיינים צריך גם את דין רובו ככולו ולא סגי בדין הלך אחר הרוב וביטול ברוב</w:t>
      </w:r>
    </w:p>
    <w:p w:rsidR="00D45705" w:rsidRDefault="00D45705" w:rsidP="00D45705">
      <w:pPr>
        <w:pStyle w:val="aff4"/>
        <w:rPr>
          <w:rFonts w:eastAsiaTheme="minorEastAsia" w:cstheme="minorBidi"/>
          <w:i/>
          <w:iCs/>
          <w:noProof/>
          <w:sz w:val="22"/>
          <w:szCs w:val="22"/>
          <w:rtl/>
        </w:rPr>
      </w:pPr>
      <w:r>
        <w:rPr>
          <w:noProof/>
          <w:rtl/>
        </w:rPr>
        <w:t>ביאור הגר"ח דדין הלך אחר הרוב תלוי בדין ביטול ברוב</w:t>
      </w:r>
    </w:p>
    <w:p w:rsidR="00D45705" w:rsidRDefault="00D45705" w:rsidP="00D45705">
      <w:pPr>
        <w:pStyle w:val="aff2"/>
        <w:numPr>
          <w:ilvl w:val="0"/>
          <w:numId w:val="3"/>
        </w:numPr>
        <w:rPr>
          <w:rFonts w:eastAsiaTheme="minorEastAsia" w:cstheme="minorBidi"/>
          <w:sz w:val="22"/>
          <w:szCs w:val="22"/>
          <w:rtl/>
        </w:rPr>
      </w:pPr>
      <w:r>
        <w:rPr>
          <w:rtl/>
        </w:rPr>
        <w:t>דברי הגר"ח דהא דלר"י מין במינו לא בטל הוא רק בלח אבל ביבש מותר מדין הלך אחר הרוב</w:t>
      </w:r>
    </w:p>
    <w:p w:rsidR="00D45705" w:rsidRDefault="00D45705" w:rsidP="00D45705">
      <w:pPr>
        <w:pStyle w:val="aff2"/>
        <w:numPr>
          <w:ilvl w:val="0"/>
          <w:numId w:val="3"/>
        </w:numPr>
        <w:rPr>
          <w:rFonts w:eastAsiaTheme="minorEastAsia" w:cstheme="minorBidi"/>
          <w:sz w:val="22"/>
          <w:szCs w:val="22"/>
          <w:rtl/>
        </w:rPr>
      </w:pPr>
      <w:r>
        <w:rPr>
          <w:rtl/>
        </w:rPr>
        <w:t>דחיית הגר"ח דלר"י שאין ביטול ברוב במין במינו אין דין הלך אחר הרוב דהוא קבוע</w:t>
      </w:r>
    </w:p>
    <w:p w:rsidR="00D45705" w:rsidRDefault="00D45705" w:rsidP="00D45705">
      <w:pPr>
        <w:pStyle w:val="aff4"/>
        <w:rPr>
          <w:rFonts w:eastAsiaTheme="minorEastAsia" w:cstheme="minorBidi"/>
          <w:i/>
          <w:iCs/>
          <w:noProof/>
          <w:sz w:val="22"/>
          <w:szCs w:val="22"/>
          <w:rtl/>
        </w:rPr>
      </w:pPr>
      <w:r>
        <w:rPr>
          <w:noProof/>
          <w:rtl/>
        </w:rPr>
        <w:t>דברי השער"י דבדיינים מתחדש דין בגמ"ד וה"ה בנהפך להיתר</w:t>
      </w:r>
    </w:p>
    <w:p w:rsidR="00D45705" w:rsidRDefault="00D45705" w:rsidP="00D45705">
      <w:pPr>
        <w:pStyle w:val="aff2"/>
        <w:numPr>
          <w:ilvl w:val="0"/>
          <w:numId w:val="3"/>
        </w:numPr>
        <w:rPr>
          <w:rFonts w:eastAsiaTheme="minorEastAsia" w:cstheme="minorBidi"/>
          <w:sz w:val="22"/>
          <w:szCs w:val="22"/>
          <w:rtl/>
        </w:rPr>
      </w:pPr>
      <w:r>
        <w:rPr>
          <w:rtl/>
        </w:rPr>
        <w:t>קושית השער"י היאך ילפינן מדיינים דהאיסור מתהפך להיתר הרי דעת המיעוט אינה האמת</w:t>
      </w:r>
    </w:p>
    <w:p w:rsidR="00D45705" w:rsidRDefault="00D45705" w:rsidP="00D45705">
      <w:pPr>
        <w:pStyle w:val="aff2"/>
        <w:numPr>
          <w:ilvl w:val="0"/>
          <w:numId w:val="3"/>
        </w:numPr>
        <w:rPr>
          <w:rFonts w:eastAsiaTheme="minorEastAsia" w:cstheme="minorBidi"/>
          <w:sz w:val="22"/>
          <w:szCs w:val="22"/>
          <w:rtl/>
        </w:rPr>
      </w:pPr>
      <w:r>
        <w:rPr>
          <w:rtl/>
        </w:rPr>
        <w:t>דברי השער"י דאי בדיינים המיעוט מתבטל ברוב א"כ היאך ילפינן את דין הלך אחר הרוב</w:t>
      </w:r>
    </w:p>
    <w:p w:rsidR="00D45705" w:rsidRDefault="00D45705" w:rsidP="00D45705">
      <w:pPr>
        <w:pStyle w:val="aff2"/>
        <w:numPr>
          <w:ilvl w:val="0"/>
          <w:numId w:val="3"/>
        </w:numPr>
        <w:rPr>
          <w:rFonts w:eastAsiaTheme="minorEastAsia" w:cstheme="minorBidi"/>
          <w:sz w:val="22"/>
          <w:szCs w:val="22"/>
          <w:rtl/>
        </w:rPr>
      </w:pPr>
      <w:r>
        <w:rPr>
          <w:rtl/>
        </w:rPr>
        <w:t>דברי השער"י דמוכח דדין ביטול ברוב הוא מתיר במציאות ודין הלך אחר הרוב הוא הנהגה</w:t>
      </w:r>
    </w:p>
    <w:p w:rsidR="00D45705" w:rsidRDefault="00D45705" w:rsidP="00D45705">
      <w:pPr>
        <w:pStyle w:val="aff2"/>
        <w:numPr>
          <w:ilvl w:val="0"/>
          <w:numId w:val="3"/>
        </w:numPr>
        <w:rPr>
          <w:rFonts w:eastAsiaTheme="minorEastAsia" w:cstheme="minorBidi"/>
          <w:sz w:val="22"/>
          <w:szCs w:val="22"/>
          <w:rtl/>
        </w:rPr>
      </w:pPr>
      <w:r>
        <w:rPr>
          <w:rtl/>
        </w:rPr>
        <w:t>דברי השער"י דבדיינים יש ב' דינים הא' גילוי מילתא דהדין כרוב והב' חידוש דין ע"י הגמר דין</w:t>
      </w:r>
    </w:p>
    <w:p w:rsidR="00D45705" w:rsidRDefault="00D45705" w:rsidP="00D45705">
      <w:pPr>
        <w:pStyle w:val="aff2"/>
        <w:numPr>
          <w:ilvl w:val="0"/>
          <w:numId w:val="3"/>
        </w:numPr>
        <w:rPr>
          <w:rFonts w:eastAsiaTheme="minorEastAsia" w:cstheme="minorBidi"/>
          <w:sz w:val="22"/>
          <w:szCs w:val="22"/>
          <w:rtl/>
        </w:rPr>
      </w:pPr>
      <w:r>
        <w:rPr>
          <w:rtl/>
        </w:rPr>
        <w:t>דברי השער"י דמהא דבדיינים יש גילוי מילתא דהאמת כרוב ילפינן את דין הלך אחר הרוב</w:t>
      </w:r>
    </w:p>
    <w:p w:rsidR="00D45705" w:rsidRDefault="00D45705" w:rsidP="00D45705">
      <w:pPr>
        <w:pStyle w:val="aff2"/>
        <w:numPr>
          <w:ilvl w:val="0"/>
          <w:numId w:val="3"/>
        </w:numPr>
        <w:rPr>
          <w:rFonts w:eastAsiaTheme="minorEastAsia" w:cstheme="minorBidi"/>
          <w:sz w:val="22"/>
          <w:szCs w:val="22"/>
          <w:rtl/>
        </w:rPr>
      </w:pPr>
      <w:r>
        <w:rPr>
          <w:rtl/>
        </w:rPr>
        <w:t>דברי השער"י דמהא דבדיינים מתחדש דין ע"י הגמר דין ילפינן דבביטול ברוב נהפך להיתר</w:t>
      </w:r>
    </w:p>
    <w:p w:rsidR="00D45705" w:rsidRDefault="00D45705" w:rsidP="00D45705">
      <w:pPr>
        <w:pStyle w:val="2"/>
        <w:rPr>
          <w:rFonts w:eastAsiaTheme="minorEastAsia" w:cstheme="minorBidi"/>
          <w:i/>
          <w:iCs/>
          <w:sz w:val="22"/>
          <w:szCs w:val="22"/>
          <w:rtl/>
        </w:rPr>
      </w:pPr>
      <w:r>
        <w:rPr>
          <w:rtl/>
        </w:rPr>
        <w:lastRenderedPageBreak/>
        <w:t>בדעת התוס' רי"ד בגדר דין ביטול ברוב</w:t>
      </w:r>
    </w:p>
    <w:p w:rsidR="00D45705" w:rsidRDefault="00D45705" w:rsidP="00D45705">
      <w:pPr>
        <w:pStyle w:val="aff4"/>
        <w:rPr>
          <w:rFonts w:eastAsiaTheme="minorEastAsia" w:cstheme="minorBidi"/>
          <w:i/>
          <w:iCs/>
          <w:noProof/>
          <w:sz w:val="22"/>
          <w:szCs w:val="22"/>
          <w:rtl/>
        </w:rPr>
      </w:pPr>
      <w:r>
        <w:rPr>
          <w:noProof/>
          <w:rtl/>
        </w:rPr>
        <w:t>ביאור הקוב"ש בתורי"</w:t>
      </w:r>
      <w:r>
        <w:rPr>
          <w:rFonts w:hint="cs"/>
          <w:noProof/>
          <w:rtl/>
        </w:rPr>
        <w:t>ד</w:t>
      </w:r>
      <w:r>
        <w:rPr>
          <w:noProof/>
          <w:rtl/>
        </w:rPr>
        <w:t xml:space="preserve"> דביטול ברוב הוא מדין הלך אחר הרוב</w:t>
      </w:r>
    </w:p>
    <w:p w:rsidR="00D45705" w:rsidRDefault="00D45705" w:rsidP="00D45705">
      <w:pPr>
        <w:pStyle w:val="aff2"/>
        <w:numPr>
          <w:ilvl w:val="0"/>
          <w:numId w:val="3"/>
        </w:numPr>
        <w:rPr>
          <w:rFonts w:eastAsiaTheme="minorEastAsia" w:cstheme="minorBidi"/>
          <w:sz w:val="22"/>
          <w:szCs w:val="22"/>
          <w:rtl/>
        </w:rPr>
      </w:pPr>
      <w:r>
        <w:rPr>
          <w:rtl/>
        </w:rPr>
        <w:t>דברי הקוב"ש דמבואר בתורי"ד דאדם אחד שאכל ג' חתיכות אף בזה אחר זה חייב חטאת</w:t>
      </w:r>
    </w:p>
    <w:p w:rsidR="00D45705" w:rsidRDefault="00D45705" w:rsidP="00D45705">
      <w:pPr>
        <w:pStyle w:val="aff2"/>
        <w:numPr>
          <w:ilvl w:val="0"/>
          <w:numId w:val="3"/>
        </w:numPr>
        <w:rPr>
          <w:rFonts w:eastAsiaTheme="minorEastAsia" w:cstheme="minorBidi"/>
          <w:sz w:val="22"/>
          <w:szCs w:val="22"/>
          <w:rtl/>
        </w:rPr>
      </w:pPr>
      <w:r>
        <w:rPr>
          <w:rtl/>
        </w:rPr>
        <w:t xml:space="preserve">ביאור הקוב"ש בתורי"ד דביטול ברוב מותר מדין הלך אחר הרוב ואינו </w:t>
      </w:r>
      <w:r>
        <w:rPr>
          <w:rFonts w:hint="cs"/>
          <w:rtl/>
        </w:rPr>
        <w:t>ד</w:t>
      </w:r>
      <w:r>
        <w:rPr>
          <w:rtl/>
        </w:rPr>
        <w:t>ין בפנ"ע</w:t>
      </w:r>
    </w:p>
    <w:p w:rsidR="00D45705" w:rsidRDefault="00D45705" w:rsidP="00D45705">
      <w:pPr>
        <w:pStyle w:val="aff2"/>
        <w:numPr>
          <w:ilvl w:val="0"/>
          <w:numId w:val="3"/>
        </w:numPr>
        <w:rPr>
          <w:rFonts w:eastAsiaTheme="minorEastAsia" w:cstheme="minorBidi"/>
          <w:sz w:val="22"/>
          <w:szCs w:val="22"/>
          <w:rtl/>
        </w:rPr>
      </w:pPr>
      <w:r>
        <w:rPr>
          <w:rtl/>
        </w:rPr>
        <w:t>דברי הקוב"ש דבלח בלח דלא שייך הלך אחר הרוב מודה התורי"ד דהוא דין ביטול ברוב</w:t>
      </w:r>
    </w:p>
    <w:p w:rsidR="00D45705" w:rsidRDefault="00D45705" w:rsidP="00D45705">
      <w:pPr>
        <w:pStyle w:val="aff2"/>
        <w:numPr>
          <w:ilvl w:val="0"/>
          <w:numId w:val="3"/>
        </w:numPr>
        <w:rPr>
          <w:rFonts w:eastAsiaTheme="minorEastAsia" w:cstheme="minorBidi"/>
          <w:sz w:val="22"/>
          <w:szCs w:val="22"/>
          <w:rtl/>
        </w:rPr>
      </w:pPr>
      <w:r>
        <w:rPr>
          <w:rtl/>
        </w:rPr>
        <w:t>דברי הקוב"ש דהא דמבואר בבכורות דדין ביטול ברוב הוא דין בפנ"ע אפש"ל דהוא בלח בלח</w:t>
      </w:r>
    </w:p>
    <w:p w:rsidR="00D45705" w:rsidRDefault="00D45705" w:rsidP="00D45705">
      <w:pPr>
        <w:pStyle w:val="aff2"/>
        <w:numPr>
          <w:ilvl w:val="0"/>
          <w:numId w:val="3"/>
        </w:numPr>
        <w:rPr>
          <w:rFonts w:eastAsiaTheme="minorEastAsia" w:cstheme="minorBidi"/>
          <w:sz w:val="22"/>
          <w:szCs w:val="22"/>
          <w:rtl/>
        </w:rPr>
      </w:pPr>
      <w:r>
        <w:rPr>
          <w:rtl/>
        </w:rPr>
        <w:t>קושית הקוב"ש על התורי"ד דבגמ' בזבחים מוכח דדין הלך אחר הרוב וביטול ברוב הם ב' דינים</w:t>
      </w:r>
    </w:p>
    <w:p w:rsidR="00D45705" w:rsidRDefault="00D45705" w:rsidP="00D45705">
      <w:pPr>
        <w:pStyle w:val="aff2"/>
        <w:numPr>
          <w:ilvl w:val="0"/>
          <w:numId w:val="3"/>
        </w:numPr>
        <w:rPr>
          <w:rFonts w:eastAsiaTheme="minorEastAsia" w:cstheme="minorBidi"/>
          <w:sz w:val="22"/>
          <w:szCs w:val="22"/>
          <w:rtl/>
        </w:rPr>
      </w:pPr>
      <w:r>
        <w:rPr>
          <w:rtl/>
        </w:rPr>
        <w:t>קושית הקוב"ש על התורי"ד דבדבר חשוב של"מ ביטול ברוב ודאי דמהני הלך אחר הרוב</w:t>
      </w:r>
    </w:p>
    <w:p w:rsidR="00D45705" w:rsidRDefault="00D45705" w:rsidP="00D45705">
      <w:pPr>
        <w:pStyle w:val="aff4"/>
        <w:rPr>
          <w:rFonts w:eastAsiaTheme="minorEastAsia" w:cstheme="minorBidi"/>
          <w:i/>
          <w:iCs/>
          <w:noProof/>
          <w:sz w:val="22"/>
          <w:szCs w:val="22"/>
          <w:rtl/>
        </w:rPr>
      </w:pPr>
      <w:r>
        <w:rPr>
          <w:noProof/>
          <w:rtl/>
        </w:rPr>
        <w:t>דברי הקוב"ש דביטול ברוב שייך רק כשיש הלך אחר הרוב</w:t>
      </w:r>
    </w:p>
    <w:p w:rsidR="00D45705" w:rsidRDefault="00D45705" w:rsidP="00D45705">
      <w:pPr>
        <w:pStyle w:val="aff2"/>
        <w:numPr>
          <w:ilvl w:val="0"/>
          <w:numId w:val="3"/>
        </w:numPr>
        <w:rPr>
          <w:rFonts w:eastAsiaTheme="minorEastAsia" w:cstheme="minorBidi"/>
          <w:sz w:val="22"/>
          <w:szCs w:val="22"/>
          <w:rtl/>
        </w:rPr>
      </w:pPr>
      <w:r>
        <w:rPr>
          <w:rtl/>
        </w:rPr>
        <w:t>קושית הקוב"ש על התורא"ש דדין הלך אחר הרוב אינו אותו דין של ביטול ברוב</w:t>
      </w:r>
    </w:p>
    <w:p w:rsidR="00D45705" w:rsidRDefault="00D45705" w:rsidP="00D45705">
      <w:pPr>
        <w:pStyle w:val="aff2"/>
        <w:numPr>
          <w:ilvl w:val="0"/>
          <w:numId w:val="3"/>
        </w:numPr>
        <w:rPr>
          <w:rFonts w:eastAsiaTheme="minorEastAsia" w:cstheme="minorBidi"/>
          <w:sz w:val="22"/>
          <w:szCs w:val="22"/>
          <w:rtl/>
        </w:rPr>
        <w:sectPr w:rsidR="00D45705" w:rsidSect="00D45705">
          <w:headerReference w:type="default" r:id="rId91"/>
          <w:headerReference w:type="first" r:id="rId92"/>
          <w:footerReference w:type="first" r:id="rId93"/>
          <w:type w:val="continuous"/>
          <w:pgSz w:w="11906" w:h="16838"/>
          <w:pgMar w:top="720" w:right="720" w:bottom="720" w:left="720" w:header="283" w:footer="283" w:gutter="0"/>
          <w:cols w:num="2" w:space="113"/>
          <w:titlePg/>
          <w:bidi/>
          <w:rtlGutter/>
          <w:docGrid w:linePitch="299"/>
        </w:sectPr>
      </w:pPr>
      <w:r>
        <w:rPr>
          <w:rtl/>
        </w:rPr>
        <w:t>ביאור הקוב"ש בתורא"ש דביטול ברוב דהאיסור נהפך להיתר שייך רק כשיש דין הלך אחר הרו</w:t>
      </w:r>
      <w:r>
        <w:rPr>
          <w:rFonts w:hint="cs"/>
          <w:rtl/>
        </w:rPr>
        <w:t>ב</w:t>
      </w:r>
    </w:p>
    <w:p w:rsidR="00D45705" w:rsidRDefault="00D45705" w:rsidP="00D45705">
      <w:pPr>
        <w:pStyle w:val="2"/>
        <w:rPr>
          <w:rtl/>
        </w:rPr>
        <w:sectPr w:rsidR="00D45705" w:rsidSect="00D45705">
          <w:type w:val="continuous"/>
          <w:pgSz w:w="11906" w:h="16838"/>
          <w:pgMar w:top="720" w:right="720" w:bottom="720" w:left="720" w:header="283" w:footer="283" w:gutter="0"/>
          <w:cols w:num="2" w:space="113"/>
          <w:titlePg/>
          <w:bidi/>
          <w:rtlGutter/>
          <w:docGrid w:linePitch="299"/>
        </w:sectPr>
      </w:pPr>
      <w:r>
        <w:rPr>
          <w:rtl/>
        </w:rPr>
        <w:fldChar w:fldCharType="end"/>
      </w:r>
    </w:p>
    <w:p w:rsidR="00D45705" w:rsidRPr="0081356D" w:rsidRDefault="00D45705" w:rsidP="00E669F8">
      <w:pPr>
        <w:pStyle w:val="afd"/>
        <w:rPr>
          <w:rtl/>
        </w:rPr>
      </w:pPr>
      <w:bookmarkStart w:id="11778" w:name="_Toc20500695"/>
      <w:bookmarkStart w:id="11779" w:name="_Toc20603905"/>
      <w:bookmarkStart w:id="11780" w:name="_Toc21094835"/>
      <w:bookmarkStart w:id="11781" w:name="_Toc22250674"/>
      <w:bookmarkStart w:id="11782" w:name="_Toc22638856"/>
      <w:bookmarkStart w:id="11783" w:name="_Toc23224060"/>
      <w:bookmarkStart w:id="11784" w:name="_Toc23372429"/>
      <w:bookmarkStart w:id="11785" w:name="_Toc23419100"/>
      <w:bookmarkStart w:id="11786" w:name="_Toc23499362"/>
      <w:bookmarkStart w:id="11787" w:name="_Toc23663772"/>
      <w:bookmarkStart w:id="11788" w:name="_Toc23672413"/>
      <w:bookmarkStart w:id="11789" w:name="_Toc23672977"/>
      <w:r w:rsidRPr="0081356D">
        <w:rPr>
          <w:rFonts w:hint="cs"/>
          <w:rtl/>
        </w:rPr>
        <w:lastRenderedPageBreak/>
        <w:t>מראי מקומות וביאורים</w:t>
      </w:r>
      <w:bookmarkEnd w:id="11778"/>
      <w:bookmarkEnd w:id="11779"/>
      <w:bookmarkEnd w:id="11780"/>
      <w:bookmarkEnd w:id="11781"/>
      <w:bookmarkEnd w:id="11782"/>
      <w:bookmarkEnd w:id="11783"/>
      <w:bookmarkEnd w:id="11784"/>
      <w:bookmarkEnd w:id="11785"/>
      <w:bookmarkEnd w:id="11786"/>
      <w:bookmarkEnd w:id="11787"/>
      <w:bookmarkEnd w:id="11788"/>
      <w:bookmarkEnd w:id="11789"/>
    </w:p>
    <w:p w:rsidR="00D45705" w:rsidRPr="00406197" w:rsidRDefault="00D45705" w:rsidP="00D45705">
      <w:pPr>
        <w:pStyle w:val="2"/>
        <w:bidi w:val="0"/>
        <w:rPr>
          <w:rFonts w:asciiTheme="minorHAnsi" w:hAnsiTheme="minorHAnsi"/>
          <w:rtl/>
        </w:rPr>
        <w:sectPr w:rsidR="00D45705" w:rsidRPr="00406197" w:rsidSect="00445A6C">
          <w:pgSz w:w="11906" w:h="16838"/>
          <w:pgMar w:top="720" w:right="720" w:bottom="720" w:left="720" w:header="283" w:footer="283" w:gutter="0"/>
          <w:cols w:space="720"/>
          <w:bidi/>
          <w:rtlGutter/>
          <w:docGrid w:linePitch="299"/>
        </w:sectPr>
      </w:pPr>
    </w:p>
    <w:p w:rsidR="00D45705" w:rsidRDefault="00D45705" w:rsidP="00E669F8">
      <w:pPr>
        <w:pStyle w:val="afd"/>
        <w:rPr>
          <w:rtl/>
        </w:rPr>
      </w:pPr>
      <w:bookmarkStart w:id="11790" w:name="_Toc22638857"/>
      <w:bookmarkStart w:id="11791" w:name="_Toc23224061"/>
      <w:bookmarkStart w:id="11792" w:name="_Toc23372430"/>
      <w:bookmarkStart w:id="11793" w:name="_Toc23419101"/>
      <w:bookmarkStart w:id="11794" w:name="_Toc23499363"/>
      <w:bookmarkStart w:id="11795" w:name="_Toc23663773"/>
      <w:bookmarkStart w:id="11796" w:name="_Toc23672414"/>
      <w:bookmarkStart w:id="11797" w:name="_Toc23672978"/>
      <w:bookmarkStart w:id="11798" w:name="_Toc22250679"/>
      <w:bookmarkStart w:id="11799" w:name="_Toc22250675"/>
      <w:r>
        <w:rPr>
          <w:rFonts w:hint="cs"/>
          <w:rtl/>
        </w:rPr>
        <w:t>עיקרי דעות הראשונים בביטול ברוב</w:t>
      </w:r>
      <w:bookmarkEnd w:id="11790"/>
      <w:bookmarkEnd w:id="11791"/>
      <w:bookmarkEnd w:id="11792"/>
      <w:bookmarkEnd w:id="11793"/>
      <w:bookmarkEnd w:id="11794"/>
      <w:bookmarkEnd w:id="11795"/>
      <w:bookmarkEnd w:id="11796"/>
      <w:bookmarkEnd w:id="11797"/>
    </w:p>
    <w:p w:rsidR="00D45705" w:rsidRPr="008A444A" w:rsidRDefault="00D45705" w:rsidP="00D45705">
      <w:pPr>
        <w:pStyle w:val="1"/>
        <w:rPr>
          <w:rtl/>
        </w:rPr>
      </w:pPr>
      <w:bookmarkStart w:id="11800" w:name="_Toc23372431"/>
      <w:bookmarkStart w:id="11801" w:name="_Toc23419102"/>
      <w:bookmarkStart w:id="11802" w:name="_Toc23499364"/>
      <w:bookmarkStart w:id="11803" w:name="_Toc23663774"/>
      <w:bookmarkStart w:id="11804" w:name="_Toc23672415"/>
      <w:bookmarkStart w:id="11805" w:name="_Toc23672979"/>
      <w:r>
        <w:rPr>
          <w:rFonts w:hint="cs"/>
          <w:rtl/>
        </w:rPr>
        <w:t>עיקרי דברי הראשונים בביטול ביבש ביבש ובלח בלח</w:t>
      </w:r>
      <w:bookmarkEnd w:id="11800"/>
      <w:bookmarkEnd w:id="11801"/>
      <w:bookmarkEnd w:id="11802"/>
      <w:bookmarkEnd w:id="11803"/>
      <w:bookmarkEnd w:id="11804"/>
      <w:bookmarkEnd w:id="11805"/>
    </w:p>
    <w:p w:rsidR="00D45705" w:rsidRDefault="00D45705" w:rsidP="00D45705">
      <w:pPr>
        <w:pStyle w:val="a2"/>
        <w:rPr>
          <w:rtl/>
        </w:rPr>
      </w:pPr>
      <w:bookmarkStart w:id="11806" w:name="_Toc22638859"/>
      <w:bookmarkStart w:id="11807" w:name="_Toc23224063"/>
      <w:bookmarkStart w:id="11808" w:name="_Toc23372432"/>
      <w:bookmarkStart w:id="11809" w:name="_Toc23419103"/>
      <w:bookmarkStart w:id="11810" w:name="_Toc23499365"/>
      <w:bookmarkStart w:id="11811" w:name="_Toc23663775"/>
      <w:bookmarkStart w:id="11812" w:name="_Toc23672416"/>
      <w:bookmarkStart w:id="11813" w:name="_Toc23672980"/>
      <w:bookmarkEnd w:id="11798"/>
      <w:r>
        <w:rPr>
          <w:rFonts w:hint="cs"/>
          <w:rtl/>
        </w:rPr>
        <w:t>דברי הראשונים דמבואר בסוגיין דיבש ביבש במין במינו בטל בחד בתרי וא"צ ביטול בשישים</w:t>
      </w:r>
      <w:bookmarkEnd w:id="11806"/>
      <w:bookmarkEnd w:id="11807"/>
      <w:bookmarkEnd w:id="11808"/>
      <w:bookmarkEnd w:id="11809"/>
      <w:bookmarkEnd w:id="11810"/>
      <w:bookmarkEnd w:id="11811"/>
      <w:bookmarkEnd w:id="11812"/>
      <w:bookmarkEnd w:id="11813"/>
    </w:p>
    <w:p w:rsidR="00D45705" w:rsidRPr="009F44AF" w:rsidRDefault="00D45705" w:rsidP="009F44AF">
      <w:pPr>
        <w:pStyle w:val="a"/>
        <w:numPr>
          <w:ilvl w:val="0"/>
          <w:numId w:val="32"/>
        </w:numPr>
        <w:rPr>
          <w:sz w:val="10"/>
          <w:szCs w:val="14"/>
          <w:rtl/>
        </w:rPr>
      </w:pPr>
      <w:r>
        <w:rPr>
          <w:rFonts w:hint="cs"/>
          <w:rtl/>
        </w:rPr>
        <w:t xml:space="preserve">כתבו </w:t>
      </w:r>
      <w:r w:rsidRPr="006A419C">
        <w:rPr>
          <w:rStyle w:val="af8"/>
          <w:rFonts w:hint="cs"/>
          <w:rtl/>
        </w:rPr>
        <w:t>התוס'</w:t>
      </w:r>
      <w:r>
        <w:rPr>
          <w:rFonts w:hint="cs"/>
          <w:rtl/>
        </w:rPr>
        <w:t xml:space="preserve"> </w:t>
      </w:r>
      <w:r w:rsidRPr="00652671">
        <w:rPr>
          <w:rStyle w:val="af8"/>
          <w:rFonts w:hint="cs"/>
          <w:rtl/>
        </w:rPr>
        <w:t>וה</w:t>
      </w:r>
      <w:r w:rsidRPr="00C43C4E">
        <w:rPr>
          <w:rStyle w:val="af8"/>
          <w:rFonts w:hint="cs"/>
          <w:rtl/>
        </w:rPr>
        <w:t xml:space="preserve">רשב"א </w:t>
      </w:r>
      <w:r w:rsidRPr="00D57594">
        <w:rPr>
          <w:rStyle w:val="af8"/>
          <w:rFonts w:hint="cs"/>
          <w:rtl/>
        </w:rPr>
        <w:t xml:space="preserve">והרא"ש </w:t>
      </w:r>
      <w:r>
        <w:rPr>
          <w:rStyle w:val="af8"/>
          <w:rFonts w:hint="cs"/>
          <w:rtl/>
        </w:rPr>
        <w:t>ו</w:t>
      </w:r>
      <w:r w:rsidRPr="00925136">
        <w:rPr>
          <w:rStyle w:val="af8"/>
          <w:rFonts w:hint="cs"/>
          <w:rtl/>
        </w:rPr>
        <w:t>הר"ן</w:t>
      </w:r>
      <w:r>
        <w:rPr>
          <w:rFonts w:hint="cs"/>
          <w:rtl/>
        </w:rPr>
        <w:t xml:space="preserve"> </w:t>
      </w:r>
      <w:r w:rsidRPr="009F44AF">
        <w:rPr>
          <w:rStyle w:val="af6"/>
          <w:rFonts w:eastAsia="Guttman Hodes" w:hint="cs"/>
          <w:rtl/>
        </w:rPr>
        <w:t xml:space="preserve">(עי' אות </w:t>
      </w:r>
      <w:r w:rsidRPr="009F44AF">
        <w:rPr>
          <w:rStyle w:val="af6"/>
          <w:rFonts w:eastAsia="Guttman Hodes"/>
          <w:rtl/>
        </w:rPr>
        <w:fldChar w:fldCharType="begin"/>
      </w:r>
      <w:r w:rsidRPr="009F44AF">
        <w:rPr>
          <w:rStyle w:val="af6"/>
          <w:rFonts w:eastAsia="Guttman Hodes"/>
          <w:rtl/>
        </w:rPr>
        <w:instrText xml:space="preserve"> </w:instrText>
      </w:r>
      <w:r w:rsidRPr="009F44AF">
        <w:rPr>
          <w:rStyle w:val="af6"/>
          <w:rFonts w:eastAsia="Guttman Hodes" w:hint="cs"/>
        </w:rPr>
        <w:instrText>REF</w:instrText>
      </w:r>
      <w:r w:rsidRPr="009F44AF">
        <w:rPr>
          <w:rStyle w:val="af6"/>
          <w:rFonts w:eastAsia="Guttman Hodes" w:hint="cs"/>
          <w:rtl/>
        </w:rPr>
        <w:instrText xml:space="preserve"> _</w:instrText>
      </w:r>
      <w:r w:rsidRPr="009F44AF">
        <w:rPr>
          <w:rStyle w:val="af6"/>
          <w:rFonts w:eastAsia="Guttman Hodes" w:hint="cs"/>
        </w:rPr>
        <w:instrText>Ref22638180 \r \h</w:instrText>
      </w:r>
      <w:r w:rsidRPr="009F44AF">
        <w:rPr>
          <w:rStyle w:val="af6"/>
          <w:rFonts w:eastAsia="Guttman Hodes"/>
          <w:rtl/>
        </w:rPr>
        <w:instrText xml:space="preserve"> </w:instrText>
      </w:r>
      <w:r w:rsidRPr="009F44AF">
        <w:rPr>
          <w:rStyle w:val="af6"/>
          <w:rFonts w:eastAsia="Guttman Hodes"/>
          <w:rtl/>
        </w:rPr>
      </w:r>
      <w:r w:rsidRPr="009F44AF">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9F44AF">
        <w:rPr>
          <w:rStyle w:val="af6"/>
          <w:rFonts w:eastAsia="Guttman Hodes"/>
          <w:rtl/>
        </w:rPr>
        <w:fldChar w:fldCharType="end"/>
      </w:r>
      <w:r>
        <w:rPr>
          <w:rFonts w:hint="cs"/>
          <w:rtl/>
        </w:rPr>
        <w:t xml:space="preserve"> דמקושית הגמ' דגיד וחתיכה יתבטלו ברוב, מבואר דבתערובת יבש ביבש במין במינו, מהני ביטול בחד בתרי, ואף מדרבנן א"צ ביטול בשישים.</w:t>
      </w:r>
    </w:p>
    <w:p w:rsidR="00D45705" w:rsidRPr="002F4287" w:rsidRDefault="00D45705" w:rsidP="00D45705">
      <w:pPr>
        <w:pStyle w:val="a2"/>
      </w:pPr>
      <w:bookmarkStart w:id="11814" w:name="_Toc23372433"/>
      <w:bookmarkStart w:id="11815" w:name="_Toc23419104"/>
      <w:bookmarkStart w:id="11816" w:name="_Toc23499366"/>
      <w:bookmarkStart w:id="11817" w:name="_Toc23663776"/>
      <w:bookmarkStart w:id="11818" w:name="_Toc23672417"/>
      <w:bookmarkStart w:id="11819" w:name="_Toc23672981"/>
      <w:r>
        <w:rPr>
          <w:rFonts w:hint="cs"/>
          <w:rtl/>
        </w:rPr>
        <w:t>דברי הטור דבמין בשאינו מינו ביבש ביבש לכאו' א"צ שישים ודברי הראשונים שצריך שישים</w:t>
      </w:r>
      <w:bookmarkEnd w:id="11814"/>
      <w:bookmarkEnd w:id="11815"/>
      <w:bookmarkEnd w:id="11816"/>
      <w:bookmarkEnd w:id="11817"/>
      <w:bookmarkEnd w:id="11818"/>
      <w:bookmarkEnd w:id="11819"/>
    </w:p>
    <w:p w:rsidR="00D45705" w:rsidRPr="008D753B" w:rsidRDefault="00D45705" w:rsidP="009F44AF">
      <w:pPr>
        <w:pStyle w:val="a"/>
        <w:rPr>
          <w:rStyle w:val="afa"/>
          <w:rtl/>
        </w:rPr>
      </w:pPr>
      <w:r w:rsidRPr="002F4287">
        <w:rPr>
          <w:rFonts w:hint="cs"/>
          <w:rtl/>
        </w:rPr>
        <w:t>ובמין בשאינו מינו</w:t>
      </w:r>
      <w:r w:rsidRPr="006F02FC">
        <w:rPr>
          <w:rFonts w:hint="cs"/>
          <w:rtl/>
        </w:rPr>
        <w:t xml:space="preserve"> </w:t>
      </w:r>
      <w:r w:rsidRPr="002F4287">
        <w:rPr>
          <w:rFonts w:hint="cs"/>
          <w:rtl/>
        </w:rPr>
        <w:t xml:space="preserve">ביבש ביבש, כתב </w:t>
      </w:r>
      <w:r w:rsidRPr="008A444A">
        <w:rPr>
          <w:rStyle w:val="af8"/>
          <w:rFonts w:hint="cs"/>
          <w:rtl/>
        </w:rPr>
        <w:t>הטור</w:t>
      </w:r>
      <w:r w:rsidRPr="002F4287">
        <w:rPr>
          <w:rFonts w:hint="cs"/>
          <w:rtl/>
        </w:rPr>
        <w:t xml:space="preserve"> </w:t>
      </w:r>
      <w:r w:rsidRPr="008A444A">
        <w:rPr>
          <w:rStyle w:val="af6"/>
          <w:rFonts w:eastAsia="Guttman Rashi" w:hint="cs"/>
          <w:rtl/>
        </w:rPr>
        <w:t xml:space="preserve">(עי' אות </w:t>
      </w:r>
      <w:r w:rsidRPr="008A444A">
        <w:rPr>
          <w:rStyle w:val="af6"/>
          <w:rFonts w:eastAsia="Guttman Rashi"/>
          <w:rtl/>
        </w:rPr>
        <w:fldChar w:fldCharType="begin"/>
      </w:r>
      <w:r w:rsidRPr="008A444A">
        <w:rPr>
          <w:rStyle w:val="af6"/>
          <w:rFonts w:eastAsia="Guttman Rashi"/>
          <w:rtl/>
        </w:rPr>
        <w:instrText xml:space="preserve"> </w:instrText>
      </w:r>
      <w:r w:rsidRPr="008A444A">
        <w:rPr>
          <w:rStyle w:val="af6"/>
          <w:rFonts w:eastAsia="Guttman Rashi" w:hint="cs"/>
        </w:rPr>
        <w:instrText>REF</w:instrText>
      </w:r>
      <w:r w:rsidRPr="008A444A">
        <w:rPr>
          <w:rStyle w:val="af6"/>
          <w:rFonts w:eastAsia="Guttman Rashi" w:hint="cs"/>
          <w:rtl/>
        </w:rPr>
        <w:instrText xml:space="preserve"> _</w:instrText>
      </w:r>
      <w:r w:rsidRPr="008A444A">
        <w:rPr>
          <w:rStyle w:val="af6"/>
          <w:rFonts w:eastAsia="Guttman Rashi" w:hint="cs"/>
        </w:rPr>
        <w:instrText>Ref22206931 \r \h</w:instrText>
      </w:r>
      <w:r w:rsidRPr="008A444A">
        <w:rPr>
          <w:rStyle w:val="af6"/>
          <w:rFonts w:eastAsia="Guttman Rashi"/>
          <w:rtl/>
        </w:rPr>
        <w:instrText xml:space="preserve"> </w:instrText>
      </w:r>
      <w:r w:rsidRPr="008A444A">
        <w:rPr>
          <w:rStyle w:val="af6"/>
          <w:rFonts w:eastAsia="Guttman Rashi"/>
          <w:rtl/>
        </w:rPr>
      </w:r>
      <w:r w:rsidRPr="008A444A">
        <w:rPr>
          <w:rStyle w:val="af6"/>
          <w:rFonts w:eastAsia="Guttman Rashi"/>
          <w:rtl/>
        </w:rPr>
        <w:fldChar w:fldCharType="separate"/>
      </w:r>
      <w:r w:rsidR="004D1C5B">
        <w:rPr>
          <w:rStyle w:val="af6"/>
          <w:rFonts w:eastAsia="Guttman Rashi"/>
          <w:cs/>
        </w:rPr>
        <w:t>‎</w:t>
      </w:r>
      <w:r w:rsidR="004D1C5B">
        <w:rPr>
          <w:rStyle w:val="af6"/>
          <w:rFonts w:eastAsia="Guttman Rashi"/>
          <w:rtl/>
        </w:rPr>
        <w:t>סב)</w:t>
      </w:r>
      <w:r w:rsidRPr="008A444A">
        <w:rPr>
          <w:rStyle w:val="af6"/>
          <w:rFonts w:eastAsia="Guttman Rashi"/>
          <w:rtl/>
        </w:rPr>
        <w:fldChar w:fldCharType="end"/>
      </w:r>
      <w:r w:rsidRPr="002F4287">
        <w:rPr>
          <w:rFonts w:hint="cs"/>
          <w:rtl/>
        </w:rPr>
        <w:t xml:space="preserve"> דלכאו' מהני ביטול בחד בתרי, אך הביא </w:t>
      </w:r>
      <w:r w:rsidRPr="008A444A">
        <w:rPr>
          <w:rStyle w:val="af8"/>
          <w:rFonts w:hint="cs"/>
          <w:rtl/>
        </w:rPr>
        <w:t>הטור</w:t>
      </w:r>
      <w:r w:rsidRPr="002F4287">
        <w:rPr>
          <w:rFonts w:hint="cs"/>
          <w:rtl/>
        </w:rPr>
        <w:t xml:space="preserve"> את דעת </w:t>
      </w:r>
      <w:r w:rsidRPr="008A444A">
        <w:rPr>
          <w:rStyle w:val="af8"/>
          <w:rFonts w:hint="cs"/>
          <w:rtl/>
        </w:rPr>
        <w:t>ספר התרומה</w:t>
      </w:r>
      <w:r w:rsidRPr="002F4287">
        <w:rPr>
          <w:rFonts w:hint="cs"/>
          <w:rtl/>
        </w:rPr>
        <w:t xml:space="preserve"> </w:t>
      </w:r>
      <w:r w:rsidRPr="008A444A">
        <w:rPr>
          <w:rStyle w:val="af6"/>
          <w:rFonts w:eastAsia="Guttman Rashi" w:hint="cs"/>
          <w:rtl/>
        </w:rPr>
        <w:t xml:space="preserve">(עי' אות </w:t>
      </w:r>
      <w:r w:rsidRPr="008A444A">
        <w:rPr>
          <w:rStyle w:val="af6"/>
          <w:rFonts w:eastAsia="Guttman Rashi"/>
          <w:rtl/>
        </w:rPr>
        <w:fldChar w:fldCharType="begin"/>
      </w:r>
      <w:r w:rsidRPr="008A444A">
        <w:rPr>
          <w:rStyle w:val="af6"/>
          <w:rFonts w:eastAsia="Guttman Rashi"/>
          <w:rtl/>
        </w:rPr>
        <w:instrText xml:space="preserve"> </w:instrText>
      </w:r>
      <w:r w:rsidRPr="008A444A">
        <w:rPr>
          <w:rStyle w:val="af6"/>
          <w:rFonts w:eastAsia="Guttman Rashi" w:hint="cs"/>
        </w:rPr>
        <w:instrText>REF</w:instrText>
      </w:r>
      <w:r w:rsidRPr="008A444A">
        <w:rPr>
          <w:rStyle w:val="af6"/>
          <w:rFonts w:eastAsia="Guttman Rashi" w:hint="cs"/>
          <w:rtl/>
        </w:rPr>
        <w:instrText xml:space="preserve"> _</w:instrText>
      </w:r>
      <w:r w:rsidRPr="008A444A">
        <w:rPr>
          <w:rStyle w:val="af6"/>
          <w:rFonts w:eastAsia="Guttman Rashi" w:hint="cs"/>
        </w:rPr>
        <w:instrText>Ref22638241 \r \h</w:instrText>
      </w:r>
      <w:r w:rsidRPr="008A444A">
        <w:rPr>
          <w:rStyle w:val="af6"/>
          <w:rFonts w:eastAsia="Guttman Rashi"/>
          <w:rtl/>
        </w:rPr>
        <w:instrText xml:space="preserve"> </w:instrText>
      </w:r>
      <w:r w:rsidRPr="008A444A">
        <w:rPr>
          <w:rStyle w:val="af6"/>
          <w:rFonts w:eastAsia="Guttman Rashi"/>
          <w:rtl/>
        </w:rPr>
      </w:r>
      <w:r w:rsidRPr="008A444A">
        <w:rPr>
          <w:rStyle w:val="af6"/>
          <w:rFonts w:eastAsia="Guttman Rashi"/>
          <w:rtl/>
        </w:rPr>
        <w:fldChar w:fldCharType="separate"/>
      </w:r>
      <w:r w:rsidR="004D1C5B">
        <w:rPr>
          <w:rStyle w:val="af6"/>
          <w:rFonts w:eastAsia="Guttman Rashi"/>
          <w:cs/>
        </w:rPr>
        <w:t>‎</w:t>
      </w:r>
      <w:r w:rsidR="004D1C5B">
        <w:rPr>
          <w:rStyle w:val="af6"/>
          <w:rFonts w:eastAsia="Guttman Rashi"/>
          <w:rtl/>
        </w:rPr>
        <w:t>סד)</w:t>
      </w:r>
      <w:r w:rsidRPr="008A444A">
        <w:rPr>
          <w:rStyle w:val="af6"/>
          <w:rFonts w:eastAsia="Guttman Rashi"/>
          <w:rtl/>
        </w:rPr>
        <w:fldChar w:fldCharType="end"/>
      </w:r>
      <w:r w:rsidRPr="002F4287">
        <w:rPr>
          <w:rFonts w:hint="cs"/>
          <w:rtl/>
        </w:rPr>
        <w:t xml:space="preserve"> דבמין בשאינו מינו צריך שישים אף ביבש ביבש, וכ"כ </w:t>
      </w:r>
      <w:r>
        <w:rPr>
          <w:rStyle w:val="af8"/>
          <w:rFonts w:hint="cs"/>
          <w:rtl/>
        </w:rPr>
        <w:t>הרמב"ן ו</w:t>
      </w:r>
      <w:r w:rsidRPr="008A444A">
        <w:rPr>
          <w:rStyle w:val="af8"/>
          <w:rFonts w:hint="cs"/>
          <w:rtl/>
        </w:rPr>
        <w:t>הרשב"א והר"ן</w:t>
      </w:r>
      <w:r w:rsidRPr="002F4287">
        <w:rPr>
          <w:rFonts w:hint="cs"/>
          <w:rtl/>
        </w:rPr>
        <w:t xml:space="preserve"> </w:t>
      </w:r>
      <w:r w:rsidRPr="008A444A">
        <w:rPr>
          <w:rStyle w:val="af6"/>
          <w:rFonts w:eastAsia="Guttman Rashi" w:hint="cs"/>
          <w:rtl/>
        </w:rPr>
        <w:t xml:space="preserve">(עי' אות </w:t>
      </w:r>
      <w:r w:rsidRPr="008A444A">
        <w:rPr>
          <w:rStyle w:val="af6"/>
          <w:rFonts w:eastAsia="Guttman Rashi"/>
          <w:rtl/>
        </w:rPr>
        <w:fldChar w:fldCharType="begin"/>
      </w:r>
      <w:r w:rsidRPr="008A444A">
        <w:rPr>
          <w:rStyle w:val="af6"/>
          <w:rFonts w:eastAsia="Guttman Rashi"/>
          <w:rtl/>
        </w:rPr>
        <w:instrText xml:space="preserve"> </w:instrText>
      </w:r>
      <w:r w:rsidRPr="008A444A">
        <w:rPr>
          <w:rStyle w:val="af6"/>
          <w:rFonts w:eastAsia="Guttman Rashi" w:hint="cs"/>
        </w:rPr>
        <w:instrText>REF</w:instrText>
      </w:r>
      <w:r w:rsidRPr="008A444A">
        <w:rPr>
          <w:rStyle w:val="af6"/>
          <w:rFonts w:eastAsia="Guttman Rashi" w:hint="cs"/>
          <w:rtl/>
        </w:rPr>
        <w:instrText xml:space="preserve"> _</w:instrText>
      </w:r>
      <w:r w:rsidRPr="008A444A">
        <w:rPr>
          <w:rStyle w:val="af6"/>
          <w:rFonts w:eastAsia="Guttman Rashi" w:hint="cs"/>
        </w:rPr>
        <w:instrText>Ref22638230 \r \h</w:instrText>
      </w:r>
      <w:r w:rsidRPr="008A444A">
        <w:rPr>
          <w:rStyle w:val="af6"/>
          <w:rFonts w:eastAsia="Guttman Rashi"/>
          <w:rtl/>
        </w:rPr>
        <w:instrText xml:space="preserve"> </w:instrText>
      </w:r>
      <w:r w:rsidRPr="008A444A">
        <w:rPr>
          <w:rStyle w:val="af6"/>
          <w:rFonts w:eastAsia="Guttman Rashi"/>
          <w:rtl/>
        </w:rPr>
      </w:r>
      <w:r w:rsidRPr="008A444A">
        <w:rPr>
          <w:rStyle w:val="af6"/>
          <w:rFonts w:eastAsia="Guttman Rashi"/>
          <w:rtl/>
        </w:rPr>
        <w:fldChar w:fldCharType="separate"/>
      </w:r>
      <w:r w:rsidR="004D1C5B">
        <w:rPr>
          <w:rStyle w:val="af6"/>
          <w:rFonts w:eastAsia="Guttman Rashi"/>
          <w:cs/>
        </w:rPr>
        <w:t>‎</w:t>
      </w:r>
      <w:r w:rsidR="004D1C5B">
        <w:rPr>
          <w:rStyle w:val="af6"/>
          <w:rFonts w:eastAsia="Guttman Rashi"/>
          <w:rtl/>
        </w:rPr>
        <w:t>סה)</w:t>
      </w:r>
      <w:r w:rsidRPr="008A444A">
        <w:rPr>
          <w:rStyle w:val="af6"/>
          <w:rFonts w:eastAsia="Guttman Rashi"/>
          <w:rtl/>
        </w:rPr>
        <w:fldChar w:fldCharType="end"/>
      </w:r>
      <w:r w:rsidRPr="002F4287">
        <w:rPr>
          <w:rFonts w:hint="cs"/>
          <w:rtl/>
        </w:rPr>
        <w:t>.</w:t>
      </w:r>
    </w:p>
    <w:p w:rsidR="00D45705" w:rsidRPr="002F4287" w:rsidRDefault="00D45705" w:rsidP="00D45705">
      <w:pPr>
        <w:pStyle w:val="a2"/>
      </w:pPr>
      <w:bookmarkStart w:id="11820" w:name="_Toc23372434"/>
      <w:bookmarkStart w:id="11821" w:name="_Toc23419105"/>
      <w:bookmarkStart w:id="11822" w:name="_Toc23499367"/>
      <w:bookmarkStart w:id="11823" w:name="_Toc23663777"/>
      <w:bookmarkStart w:id="11824" w:name="_Toc23672418"/>
      <w:bookmarkStart w:id="11825" w:name="_Toc23672982"/>
      <w:r>
        <w:rPr>
          <w:rFonts w:hint="cs"/>
          <w:rtl/>
        </w:rPr>
        <w:t>דברי הראשונים דבלח בלח בין במין במינו ובין במין בשאינו מינו צריך שישים</w:t>
      </w:r>
      <w:bookmarkEnd w:id="11820"/>
      <w:bookmarkEnd w:id="11821"/>
      <w:bookmarkEnd w:id="11822"/>
      <w:bookmarkEnd w:id="11823"/>
      <w:bookmarkEnd w:id="11824"/>
      <w:bookmarkEnd w:id="11825"/>
      <w:r>
        <w:rPr>
          <w:rFonts w:hint="cs"/>
          <w:rtl/>
        </w:rPr>
        <w:t xml:space="preserve"> </w:t>
      </w:r>
    </w:p>
    <w:p w:rsidR="00D45705" w:rsidRPr="00945B52" w:rsidRDefault="00D45705" w:rsidP="009F44AF">
      <w:pPr>
        <w:pStyle w:val="a"/>
        <w:rPr>
          <w:rStyle w:val="afa"/>
          <w:rtl/>
        </w:rPr>
      </w:pPr>
      <w:r w:rsidRPr="00945B52">
        <w:rPr>
          <w:rFonts w:hint="cs"/>
          <w:rtl/>
        </w:rPr>
        <w:t xml:space="preserve">כתבו </w:t>
      </w:r>
      <w:r w:rsidRPr="00945B52">
        <w:rPr>
          <w:rStyle w:val="af8"/>
          <w:rFonts w:hint="cs"/>
          <w:rtl/>
        </w:rPr>
        <w:t>הראשונים</w:t>
      </w:r>
      <w:r w:rsidRPr="00945B52">
        <w:rPr>
          <w:rFonts w:hint="cs"/>
          <w:rtl/>
        </w:rPr>
        <w:t xml:space="preserve"> דבלח בלח אף במין במינו מדרבנן צריך ביטול בשישים, ובמין בשאינו מינו בלח בלח צריך שישים מדין טעם כעיקר</w:t>
      </w:r>
      <w:r>
        <w:rPr>
          <w:rFonts w:hint="cs"/>
          <w:rtl/>
        </w:rPr>
        <w:t xml:space="preserve">, ועי' במה שביארו </w:t>
      </w:r>
      <w:r w:rsidRPr="006A1E74">
        <w:rPr>
          <w:rStyle w:val="af8"/>
          <w:rFonts w:hint="cs"/>
          <w:rtl/>
        </w:rPr>
        <w:t xml:space="preserve">הרמב"ן </w:t>
      </w:r>
      <w:r w:rsidRPr="002C20B9">
        <w:rPr>
          <w:rStyle w:val="af6"/>
          <w:rFonts w:eastAsia="Guttman Hodes" w:hint="cs"/>
          <w:rtl/>
        </w:rPr>
        <w:t xml:space="preserve">(עי' אות </w:t>
      </w:r>
      <w:r w:rsidRPr="002C20B9">
        <w:rPr>
          <w:rStyle w:val="af6"/>
          <w:rFonts w:eastAsia="Guttman Hodes"/>
          <w:rtl/>
        </w:rPr>
        <w:fldChar w:fldCharType="begin"/>
      </w:r>
      <w:r w:rsidRPr="002C20B9">
        <w:rPr>
          <w:rStyle w:val="af6"/>
          <w:rFonts w:eastAsia="Guttman Hodes"/>
          <w:rtl/>
        </w:rPr>
        <w:instrText xml:space="preserve"> </w:instrText>
      </w:r>
      <w:r w:rsidRPr="002C20B9">
        <w:rPr>
          <w:rStyle w:val="af6"/>
          <w:rFonts w:eastAsia="Guttman Hodes" w:hint="cs"/>
        </w:rPr>
        <w:instrText>REF</w:instrText>
      </w:r>
      <w:r w:rsidRPr="002C20B9">
        <w:rPr>
          <w:rStyle w:val="af6"/>
          <w:rFonts w:eastAsia="Guttman Hodes" w:hint="cs"/>
          <w:rtl/>
        </w:rPr>
        <w:instrText xml:space="preserve"> _</w:instrText>
      </w:r>
      <w:r w:rsidRPr="002C20B9">
        <w:rPr>
          <w:rStyle w:val="af6"/>
          <w:rFonts w:eastAsia="Guttman Hodes" w:hint="cs"/>
        </w:rPr>
        <w:instrText>Ref23665877 \r \h</w:instrText>
      </w:r>
      <w:r w:rsidRPr="002C20B9">
        <w:rPr>
          <w:rStyle w:val="af6"/>
          <w:rFonts w:eastAsia="Guttman Hodes"/>
          <w:rtl/>
        </w:rPr>
        <w:instrText xml:space="preserve"> </w:instrText>
      </w:r>
      <w:r w:rsidRPr="002C20B9">
        <w:rPr>
          <w:rStyle w:val="af6"/>
          <w:rFonts w:eastAsia="Guttman Hodes"/>
          <w:rtl/>
        </w:rPr>
      </w:r>
      <w:r w:rsidRPr="002C20B9">
        <w:rPr>
          <w:rStyle w:val="af6"/>
          <w:rFonts w:eastAsia="Guttman Hodes"/>
          <w:rtl/>
        </w:rPr>
        <w:fldChar w:fldCharType="separate"/>
      </w:r>
      <w:r w:rsidR="004D1C5B">
        <w:rPr>
          <w:rStyle w:val="af6"/>
          <w:rFonts w:eastAsia="Guttman Hodes"/>
          <w:cs/>
        </w:rPr>
        <w:t>‎</w:t>
      </w:r>
      <w:r w:rsidR="004D1C5B">
        <w:rPr>
          <w:rStyle w:val="af6"/>
          <w:rFonts w:eastAsia="Guttman Hodes"/>
          <w:rtl/>
        </w:rPr>
        <w:t>עו)</w:t>
      </w:r>
      <w:r w:rsidRPr="002C20B9">
        <w:rPr>
          <w:rStyle w:val="af6"/>
          <w:rFonts w:eastAsia="Guttman Hodes"/>
          <w:rtl/>
        </w:rPr>
        <w:fldChar w:fldCharType="end"/>
      </w:r>
      <w:r>
        <w:rPr>
          <w:rStyle w:val="af6"/>
          <w:rFonts w:eastAsia="Guttman Hodes" w:hint="cs"/>
          <w:rtl/>
        </w:rPr>
        <w:t xml:space="preserve"> </w:t>
      </w:r>
      <w:r>
        <w:rPr>
          <w:rStyle w:val="af8"/>
          <w:rFonts w:hint="cs"/>
          <w:rtl/>
        </w:rPr>
        <w:t>והרשב"א</w:t>
      </w:r>
      <w:r w:rsidRPr="00C0054B">
        <w:rPr>
          <w:rStyle w:val="af6"/>
          <w:rFonts w:eastAsia="Guttman Hodes" w:hint="cs"/>
          <w:rtl/>
        </w:rPr>
        <w:t xml:space="preserve"> </w:t>
      </w:r>
      <w:r>
        <w:rPr>
          <w:rStyle w:val="af6"/>
          <w:rFonts w:eastAsia="Guttman Hodes" w:hint="cs"/>
          <w:rtl/>
        </w:rPr>
        <w:t xml:space="preserve">(עי' </w:t>
      </w:r>
      <w:r w:rsidRPr="00730EDE">
        <w:rPr>
          <w:rStyle w:val="af6"/>
          <w:rFonts w:eastAsia="Guttman Hodes" w:hint="cs"/>
          <w:rtl/>
        </w:rPr>
        <w:t xml:space="preserve">אות </w:t>
      </w:r>
      <w:r w:rsidRPr="00730EDE">
        <w:rPr>
          <w:rStyle w:val="af6"/>
          <w:rFonts w:eastAsia="Guttman Hodes"/>
          <w:rtl/>
        </w:rPr>
        <w:fldChar w:fldCharType="begin"/>
      </w:r>
      <w:r w:rsidRPr="00730EDE">
        <w:rPr>
          <w:rStyle w:val="af6"/>
          <w:rFonts w:eastAsia="Guttman Hodes"/>
          <w:rtl/>
        </w:rPr>
        <w:instrText xml:space="preserve"> </w:instrText>
      </w:r>
      <w:r w:rsidRPr="00730EDE">
        <w:rPr>
          <w:rStyle w:val="af6"/>
          <w:rFonts w:eastAsia="Guttman Hodes" w:hint="cs"/>
        </w:rPr>
        <w:instrText>REF</w:instrText>
      </w:r>
      <w:r w:rsidRPr="00730EDE">
        <w:rPr>
          <w:rStyle w:val="af6"/>
          <w:rFonts w:eastAsia="Guttman Hodes" w:hint="cs"/>
          <w:rtl/>
        </w:rPr>
        <w:instrText xml:space="preserve"> _</w:instrText>
      </w:r>
      <w:r w:rsidRPr="00730EDE">
        <w:rPr>
          <w:rStyle w:val="af6"/>
          <w:rFonts w:eastAsia="Guttman Hodes" w:hint="cs"/>
        </w:rPr>
        <w:instrText>Ref23666652 \r \h</w:instrText>
      </w:r>
      <w:r w:rsidRPr="00730EDE">
        <w:rPr>
          <w:rStyle w:val="af6"/>
          <w:rFonts w:eastAsia="Guttman Hodes"/>
          <w:rtl/>
        </w:rPr>
        <w:instrText xml:space="preserve"> </w:instrText>
      </w:r>
      <w:r w:rsidRPr="00730EDE">
        <w:rPr>
          <w:rStyle w:val="af6"/>
          <w:rFonts w:eastAsia="Guttman Hodes"/>
          <w:rtl/>
        </w:rPr>
      </w:r>
      <w:r w:rsidRPr="00730EDE">
        <w:rPr>
          <w:rStyle w:val="af6"/>
          <w:rFonts w:eastAsia="Guttman Hodes"/>
          <w:rtl/>
        </w:rPr>
        <w:fldChar w:fldCharType="separate"/>
      </w:r>
      <w:r w:rsidR="004D1C5B">
        <w:rPr>
          <w:rStyle w:val="af6"/>
          <w:rFonts w:eastAsia="Guttman Hodes"/>
          <w:cs/>
        </w:rPr>
        <w:t>‎</w:t>
      </w:r>
      <w:r w:rsidR="004D1C5B">
        <w:rPr>
          <w:rStyle w:val="af6"/>
          <w:rFonts w:eastAsia="Guttman Hodes"/>
          <w:rtl/>
        </w:rPr>
        <w:t>עט)</w:t>
      </w:r>
      <w:r w:rsidRPr="00730EDE">
        <w:rPr>
          <w:rStyle w:val="af6"/>
          <w:rFonts w:eastAsia="Guttman Hodes"/>
          <w:rtl/>
        </w:rPr>
        <w:fldChar w:fldCharType="end"/>
      </w:r>
      <w:r>
        <w:rPr>
          <w:rFonts w:hint="cs"/>
          <w:rtl/>
        </w:rPr>
        <w:t xml:space="preserve"> </w:t>
      </w:r>
      <w:r>
        <w:rPr>
          <w:rStyle w:val="af8"/>
          <w:rFonts w:hint="cs"/>
          <w:rtl/>
        </w:rPr>
        <w:t>ו</w:t>
      </w:r>
      <w:r w:rsidRPr="00925136">
        <w:rPr>
          <w:rStyle w:val="af8"/>
          <w:rFonts w:hint="cs"/>
          <w:rtl/>
        </w:rPr>
        <w:t>הר"ן</w:t>
      </w:r>
      <w:r>
        <w:rPr>
          <w:rFonts w:hint="cs"/>
          <w:rtl/>
        </w:rPr>
        <w:t xml:space="preserve"> </w:t>
      </w:r>
      <w:r w:rsidRPr="002C20B9">
        <w:rPr>
          <w:rStyle w:val="af6"/>
          <w:rFonts w:eastAsia="Guttman Hodes" w:hint="cs"/>
          <w:rtl/>
        </w:rPr>
        <w:t xml:space="preserve">(עי' אות </w:t>
      </w:r>
      <w:r w:rsidRPr="002C20B9">
        <w:rPr>
          <w:rStyle w:val="af6"/>
          <w:rFonts w:eastAsia="Guttman Hodes"/>
          <w:rtl/>
        </w:rPr>
        <w:fldChar w:fldCharType="begin"/>
      </w:r>
      <w:r w:rsidRPr="002C20B9">
        <w:rPr>
          <w:rStyle w:val="af6"/>
          <w:rFonts w:eastAsia="Guttman Hodes"/>
          <w:rtl/>
        </w:rPr>
        <w:instrText xml:space="preserve"> </w:instrText>
      </w:r>
      <w:r w:rsidRPr="002C20B9">
        <w:rPr>
          <w:rStyle w:val="af6"/>
          <w:rFonts w:eastAsia="Guttman Hodes" w:hint="cs"/>
        </w:rPr>
        <w:instrText>REF</w:instrText>
      </w:r>
      <w:r w:rsidRPr="002C20B9">
        <w:rPr>
          <w:rStyle w:val="af6"/>
          <w:rFonts w:eastAsia="Guttman Hodes" w:hint="cs"/>
          <w:rtl/>
        </w:rPr>
        <w:instrText xml:space="preserve"> _</w:instrText>
      </w:r>
      <w:r w:rsidRPr="002C20B9">
        <w:rPr>
          <w:rStyle w:val="af6"/>
          <w:rFonts w:eastAsia="Guttman Hodes" w:hint="cs"/>
        </w:rPr>
        <w:instrText>Ref23665979 \r \h</w:instrText>
      </w:r>
      <w:r w:rsidRPr="002C20B9">
        <w:rPr>
          <w:rStyle w:val="af6"/>
          <w:rFonts w:eastAsia="Guttman Hodes"/>
          <w:rtl/>
        </w:rPr>
        <w:instrText xml:space="preserve"> </w:instrText>
      </w:r>
      <w:r w:rsidRPr="002C20B9">
        <w:rPr>
          <w:rStyle w:val="af6"/>
          <w:rFonts w:eastAsia="Guttman Hodes"/>
          <w:rtl/>
        </w:rPr>
      </w:r>
      <w:r w:rsidRPr="002C20B9">
        <w:rPr>
          <w:rStyle w:val="af6"/>
          <w:rFonts w:eastAsia="Guttman Hodes"/>
          <w:rtl/>
        </w:rPr>
        <w:fldChar w:fldCharType="separate"/>
      </w:r>
      <w:r w:rsidR="004D1C5B">
        <w:rPr>
          <w:rStyle w:val="af6"/>
          <w:rFonts w:eastAsia="Guttman Hodes"/>
          <w:cs/>
        </w:rPr>
        <w:t>‎</w:t>
      </w:r>
      <w:r w:rsidR="004D1C5B">
        <w:rPr>
          <w:rStyle w:val="af6"/>
          <w:rFonts w:eastAsia="Guttman Hodes"/>
          <w:rtl/>
        </w:rPr>
        <w:t>פא)</w:t>
      </w:r>
      <w:r w:rsidRPr="002C20B9">
        <w:rPr>
          <w:rStyle w:val="af6"/>
          <w:rFonts w:eastAsia="Guttman Hodes"/>
          <w:rtl/>
        </w:rPr>
        <w:fldChar w:fldCharType="end"/>
      </w:r>
      <w:r>
        <w:rPr>
          <w:rFonts w:hint="cs"/>
          <w:rtl/>
        </w:rPr>
        <w:t xml:space="preserve"> </w:t>
      </w:r>
      <w:r w:rsidRPr="002C20B9">
        <w:rPr>
          <w:rStyle w:val="af8"/>
          <w:rFonts w:hint="cs"/>
          <w:rtl/>
        </w:rPr>
        <w:t>והרא"ה</w:t>
      </w:r>
      <w:r>
        <w:rPr>
          <w:rFonts w:hint="cs"/>
          <w:rtl/>
        </w:rPr>
        <w:t xml:space="preserve"> </w:t>
      </w:r>
      <w:r w:rsidRPr="002C20B9">
        <w:rPr>
          <w:rStyle w:val="af6"/>
          <w:rFonts w:eastAsia="Guttman Hodes" w:hint="cs"/>
          <w:rtl/>
        </w:rPr>
        <w:t xml:space="preserve">(עי' אות </w:t>
      </w:r>
      <w:r w:rsidRPr="002C20B9">
        <w:rPr>
          <w:rStyle w:val="af6"/>
          <w:rFonts w:eastAsia="Guttman Hodes"/>
          <w:rtl/>
        </w:rPr>
        <w:fldChar w:fldCharType="begin"/>
      </w:r>
      <w:r w:rsidRPr="002C20B9">
        <w:rPr>
          <w:rStyle w:val="af6"/>
          <w:rFonts w:eastAsia="Guttman Hodes"/>
          <w:rtl/>
        </w:rPr>
        <w:instrText xml:space="preserve"> </w:instrText>
      </w:r>
      <w:r w:rsidRPr="002C20B9">
        <w:rPr>
          <w:rStyle w:val="af6"/>
          <w:rFonts w:eastAsia="Guttman Hodes" w:hint="cs"/>
        </w:rPr>
        <w:instrText>REF</w:instrText>
      </w:r>
      <w:r w:rsidRPr="002C20B9">
        <w:rPr>
          <w:rStyle w:val="af6"/>
          <w:rFonts w:eastAsia="Guttman Hodes" w:hint="cs"/>
          <w:rtl/>
        </w:rPr>
        <w:instrText xml:space="preserve"> _</w:instrText>
      </w:r>
      <w:r w:rsidRPr="002C20B9">
        <w:rPr>
          <w:rStyle w:val="af6"/>
          <w:rFonts w:eastAsia="Guttman Hodes" w:hint="cs"/>
        </w:rPr>
        <w:instrText>Ref23666009 \r \h</w:instrText>
      </w:r>
      <w:r w:rsidRPr="002C20B9">
        <w:rPr>
          <w:rStyle w:val="af6"/>
          <w:rFonts w:eastAsia="Guttman Hodes"/>
          <w:rtl/>
        </w:rPr>
        <w:instrText xml:space="preserve"> </w:instrText>
      </w:r>
      <w:r w:rsidRPr="002C20B9">
        <w:rPr>
          <w:rStyle w:val="af6"/>
          <w:rFonts w:eastAsia="Guttman Hodes"/>
          <w:rtl/>
        </w:rPr>
      </w:r>
      <w:r w:rsidRPr="002C20B9">
        <w:rPr>
          <w:rStyle w:val="af6"/>
          <w:rFonts w:eastAsia="Guttman Hodes"/>
          <w:rtl/>
        </w:rPr>
        <w:fldChar w:fldCharType="separate"/>
      </w:r>
      <w:r w:rsidR="004D1C5B">
        <w:rPr>
          <w:rStyle w:val="af6"/>
          <w:rFonts w:eastAsia="Guttman Hodes"/>
          <w:cs/>
        </w:rPr>
        <w:t>‎</w:t>
      </w:r>
      <w:r w:rsidR="004D1C5B">
        <w:rPr>
          <w:rStyle w:val="af6"/>
          <w:rFonts w:eastAsia="Guttman Hodes"/>
          <w:rtl/>
        </w:rPr>
        <w:t>פד)</w:t>
      </w:r>
      <w:r w:rsidRPr="002C20B9">
        <w:rPr>
          <w:rStyle w:val="af6"/>
          <w:rFonts w:eastAsia="Guttman Hodes"/>
          <w:rtl/>
        </w:rPr>
        <w:fldChar w:fldCharType="end"/>
      </w:r>
      <w:r>
        <w:rPr>
          <w:rFonts w:hint="cs"/>
          <w:rtl/>
        </w:rPr>
        <w:t xml:space="preserve"> </w:t>
      </w:r>
      <w:r w:rsidRPr="002C20B9">
        <w:rPr>
          <w:rStyle w:val="af8"/>
          <w:rFonts w:hint="cs"/>
          <w:rtl/>
        </w:rPr>
        <w:t>והרא"ש</w:t>
      </w:r>
      <w:r>
        <w:rPr>
          <w:rFonts w:hint="cs"/>
          <w:rtl/>
        </w:rPr>
        <w:t xml:space="preserve"> </w:t>
      </w:r>
      <w:r w:rsidRPr="002C20B9">
        <w:rPr>
          <w:rStyle w:val="af6"/>
          <w:rFonts w:eastAsia="Guttman Hodes" w:hint="cs"/>
          <w:rtl/>
        </w:rPr>
        <w:t xml:space="preserve">(עי' אות </w:t>
      </w:r>
      <w:r w:rsidRPr="002C20B9">
        <w:rPr>
          <w:rStyle w:val="af6"/>
          <w:rFonts w:eastAsia="Guttman Hodes"/>
          <w:rtl/>
        </w:rPr>
        <w:fldChar w:fldCharType="begin"/>
      </w:r>
      <w:r w:rsidRPr="002C20B9">
        <w:rPr>
          <w:rStyle w:val="af6"/>
          <w:rFonts w:eastAsia="Guttman Hodes"/>
          <w:rtl/>
        </w:rPr>
        <w:instrText xml:space="preserve"> </w:instrText>
      </w:r>
      <w:r w:rsidRPr="002C20B9">
        <w:rPr>
          <w:rStyle w:val="af6"/>
          <w:rFonts w:eastAsia="Guttman Hodes" w:hint="cs"/>
        </w:rPr>
        <w:instrText>REF</w:instrText>
      </w:r>
      <w:r w:rsidRPr="002C20B9">
        <w:rPr>
          <w:rStyle w:val="af6"/>
          <w:rFonts w:eastAsia="Guttman Hodes" w:hint="cs"/>
          <w:rtl/>
        </w:rPr>
        <w:instrText xml:space="preserve"> _</w:instrText>
      </w:r>
      <w:r w:rsidRPr="002C20B9">
        <w:rPr>
          <w:rStyle w:val="af6"/>
          <w:rFonts w:eastAsia="Guttman Hodes" w:hint="cs"/>
        </w:rPr>
        <w:instrText>Ref23666016 \r \h</w:instrText>
      </w:r>
      <w:r w:rsidRPr="002C20B9">
        <w:rPr>
          <w:rStyle w:val="af6"/>
          <w:rFonts w:eastAsia="Guttman Hodes"/>
          <w:rtl/>
        </w:rPr>
        <w:instrText xml:space="preserve"> </w:instrText>
      </w:r>
      <w:r w:rsidRPr="002C20B9">
        <w:rPr>
          <w:rStyle w:val="af6"/>
          <w:rFonts w:eastAsia="Guttman Hodes"/>
          <w:rtl/>
        </w:rPr>
      </w:r>
      <w:r w:rsidRPr="002C20B9">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2C20B9">
        <w:rPr>
          <w:rStyle w:val="af6"/>
          <w:rFonts w:eastAsia="Guttman Hodes"/>
          <w:rtl/>
        </w:rPr>
        <w:fldChar w:fldCharType="end"/>
      </w:r>
      <w:r>
        <w:rPr>
          <w:rFonts w:hint="cs"/>
          <w:rtl/>
        </w:rPr>
        <w:t>, בהא דלא מהני ביטול ברוב בלח בלח</w:t>
      </w:r>
      <w:r w:rsidRPr="002C20B9">
        <w:rPr>
          <w:rFonts w:hint="cs"/>
          <w:rtl/>
        </w:rPr>
        <w:t xml:space="preserve"> </w:t>
      </w:r>
      <w:r>
        <w:rPr>
          <w:rFonts w:hint="cs"/>
          <w:rtl/>
        </w:rPr>
        <w:t>במין במינו</w:t>
      </w:r>
      <w:r w:rsidRPr="00945B52">
        <w:rPr>
          <w:rFonts w:hint="cs"/>
          <w:rtl/>
        </w:rPr>
        <w:t xml:space="preserve">. </w:t>
      </w:r>
      <w:r w:rsidRPr="00945B52">
        <w:rPr>
          <w:rStyle w:val="afa"/>
          <w:rFonts w:hint="cs"/>
          <w:rtl/>
        </w:rPr>
        <w:t>[ו</w:t>
      </w:r>
      <w:r>
        <w:rPr>
          <w:rStyle w:val="afa"/>
          <w:rFonts w:hint="cs"/>
          <w:rtl/>
        </w:rPr>
        <w:t>במין בשאינו מינו, עי' במה ש</w:t>
      </w:r>
      <w:r w:rsidRPr="00945B52">
        <w:rPr>
          <w:rStyle w:val="afa"/>
          <w:rFonts w:hint="cs"/>
          <w:rtl/>
        </w:rPr>
        <w:t xml:space="preserve">נחלקו </w:t>
      </w:r>
      <w:r w:rsidRPr="00945B52">
        <w:rPr>
          <w:rStyle w:val="affa"/>
          <w:rFonts w:hint="cs"/>
          <w:rtl/>
        </w:rPr>
        <w:t>הראשונים</w:t>
      </w:r>
      <w:r w:rsidRPr="00945B52">
        <w:rPr>
          <w:rStyle w:val="afa"/>
          <w:rFonts w:hint="cs"/>
          <w:rtl/>
        </w:rPr>
        <w:t xml:space="preserve"> </w:t>
      </w:r>
      <w:r w:rsidRPr="00945B52">
        <w:rPr>
          <w:rStyle w:val="aff6"/>
          <w:rFonts w:hint="cs"/>
          <w:rtl/>
        </w:rPr>
        <w:t>(</w:t>
      </w:r>
      <w:r w:rsidRPr="00D3196A">
        <w:rPr>
          <w:rStyle w:val="aff6"/>
          <w:rFonts w:hint="cs"/>
          <w:rtl/>
        </w:rPr>
        <w:t xml:space="preserve">הובא בסימן ח' אות </w:t>
      </w:r>
      <w:r w:rsidR="00D3196A" w:rsidRPr="00D3196A">
        <w:rPr>
          <w:rStyle w:val="aff6"/>
          <w:rtl/>
        </w:rPr>
        <w:fldChar w:fldCharType="begin"/>
      </w:r>
      <w:r w:rsidR="00D3196A" w:rsidRPr="00D3196A">
        <w:rPr>
          <w:rStyle w:val="aff6"/>
          <w:rtl/>
        </w:rPr>
        <w:instrText xml:space="preserve"> </w:instrText>
      </w:r>
      <w:r w:rsidR="00D3196A" w:rsidRPr="00D3196A">
        <w:rPr>
          <w:rStyle w:val="aff6"/>
          <w:rFonts w:hint="cs"/>
        </w:rPr>
        <w:instrText>REF</w:instrText>
      </w:r>
      <w:r w:rsidR="00D3196A" w:rsidRPr="00D3196A">
        <w:rPr>
          <w:rStyle w:val="aff6"/>
          <w:rFonts w:hint="cs"/>
          <w:rtl/>
        </w:rPr>
        <w:instrText xml:space="preserve"> _</w:instrText>
      </w:r>
      <w:r w:rsidR="00D3196A" w:rsidRPr="00D3196A">
        <w:rPr>
          <w:rStyle w:val="aff6"/>
          <w:rFonts w:hint="cs"/>
        </w:rPr>
        <w:instrText>Ref12390306 \r \h</w:instrText>
      </w:r>
      <w:r w:rsidR="00D3196A" w:rsidRPr="00D3196A">
        <w:rPr>
          <w:rStyle w:val="aff6"/>
          <w:rtl/>
        </w:rPr>
        <w:instrText xml:space="preserve"> </w:instrText>
      </w:r>
      <w:r w:rsidR="00D3196A" w:rsidRPr="00D3196A">
        <w:rPr>
          <w:rStyle w:val="aff6"/>
          <w:rtl/>
        </w:rPr>
      </w:r>
      <w:r w:rsidR="00D3196A" w:rsidRPr="00D3196A">
        <w:rPr>
          <w:rStyle w:val="aff6"/>
          <w:rtl/>
        </w:rPr>
        <w:fldChar w:fldCharType="separate"/>
      </w:r>
      <w:r w:rsidR="004D1C5B">
        <w:rPr>
          <w:rStyle w:val="aff6"/>
          <w:cs/>
        </w:rPr>
        <w:t>‎</w:t>
      </w:r>
      <w:r w:rsidR="004D1C5B">
        <w:rPr>
          <w:rStyle w:val="aff6"/>
          <w:rtl/>
        </w:rPr>
        <w:t>א)</w:t>
      </w:r>
      <w:r w:rsidR="00D3196A" w:rsidRPr="00D3196A">
        <w:rPr>
          <w:rStyle w:val="aff6"/>
          <w:rtl/>
        </w:rPr>
        <w:fldChar w:fldCharType="end"/>
      </w:r>
      <w:r w:rsidRPr="00945B52">
        <w:rPr>
          <w:rFonts w:hint="cs"/>
          <w:rtl/>
        </w:rPr>
        <w:t xml:space="preserve"> </w:t>
      </w:r>
      <w:r w:rsidRPr="00945B52">
        <w:rPr>
          <w:rStyle w:val="afa"/>
          <w:rFonts w:hint="cs"/>
          <w:rtl/>
        </w:rPr>
        <w:t>אי טעם כעיקר דאו', או דרבנן].</w:t>
      </w:r>
    </w:p>
    <w:p w:rsidR="00D45705" w:rsidRDefault="00D45705" w:rsidP="00D45705">
      <w:pPr>
        <w:pStyle w:val="1"/>
        <w:rPr>
          <w:rtl/>
        </w:rPr>
      </w:pPr>
      <w:bookmarkStart w:id="11826" w:name="_Toc22638858"/>
      <w:bookmarkStart w:id="11827" w:name="_Toc23224062"/>
      <w:bookmarkStart w:id="11828" w:name="_Toc23372435"/>
      <w:bookmarkStart w:id="11829" w:name="_Toc23419106"/>
      <w:bookmarkStart w:id="11830" w:name="_Toc23499368"/>
      <w:bookmarkStart w:id="11831" w:name="_Toc23663778"/>
      <w:bookmarkStart w:id="11832" w:name="_Toc23672419"/>
      <w:bookmarkStart w:id="11833" w:name="_Toc23672983"/>
      <w:bookmarkStart w:id="11834" w:name="_Toc22638860"/>
      <w:bookmarkStart w:id="11835" w:name="_Toc23224064"/>
      <w:r w:rsidRPr="00945B52">
        <w:rPr>
          <w:rFonts w:hint="cs"/>
          <w:rtl/>
        </w:rPr>
        <w:t>עיקרי פלוגתת</w:t>
      </w:r>
      <w:r>
        <w:rPr>
          <w:rFonts w:hint="cs"/>
          <w:rtl/>
        </w:rPr>
        <w:t xml:space="preserve"> הראשונים בהיתר ביטול רוב בחד בתרי ביבש</w:t>
      </w:r>
      <w:bookmarkEnd w:id="11826"/>
      <w:bookmarkEnd w:id="11827"/>
      <w:bookmarkEnd w:id="11828"/>
      <w:bookmarkEnd w:id="11829"/>
      <w:bookmarkEnd w:id="11830"/>
      <w:bookmarkEnd w:id="11831"/>
      <w:bookmarkEnd w:id="11832"/>
      <w:bookmarkEnd w:id="11833"/>
      <w:r>
        <w:rPr>
          <w:rFonts w:hint="cs"/>
          <w:rtl/>
        </w:rPr>
        <w:t xml:space="preserve"> </w:t>
      </w:r>
    </w:p>
    <w:p w:rsidR="00D45705" w:rsidRDefault="00D45705" w:rsidP="00D45705">
      <w:pPr>
        <w:pStyle w:val="a2"/>
        <w:rPr>
          <w:rtl/>
        </w:rPr>
      </w:pPr>
      <w:bookmarkStart w:id="11836" w:name="_Toc23372436"/>
      <w:bookmarkStart w:id="11837" w:name="_Toc23419107"/>
      <w:bookmarkStart w:id="11838" w:name="_Toc23499369"/>
      <w:bookmarkStart w:id="11839" w:name="_Toc23663779"/>
      <w:bookmarkStart w:id="11840" w:name="_Toc23672420"/>
      <w:bookmarkStart w:id="11841" w:name="_Toc23672984"/>
      <w:r>
        <w:rPr>
          <w:rFonts w:hint="cs"/>
          <w:rtl/>
        </w:rPr>
        <w:t>דברי התוס' דאפש"ל דלאדם אחד אסור לאכול את כל התערובת ולהתורי"ד חייב חטאת</w:t>
      </w:r>
      <w:bookmarkEnd w:id="11834"/>
      <w:bookmarkEnd w:id="11835"/>
      <w:bookmarkEnd w:id="11836"/>
      <w:bookmarkEnd w:id="11837"/>
      <w:bookmarkEnd w:id="11838"/>
      <w:bookmarkEnd w:id="11839"/>
      <w:bookmarkEnd w:id="11840"/>
      <w:bookmarkEnd w:id="11841"/>
    </w:p>
    <w:p w:rsidR="00D45705" w:rsidRDefault="00D45705" w:rsidP="009F44AF">
      <w:pPr>
        <w:pStyle w:val="a"/>
        <w:rPr>
          <w:rtl/>
        </w:rPr>
      </w:pPr>
      <w:r>
        <w:rPr>
          <w:rFonts w:hint="cs"/>
          <w:rtl/>
        </w:rPr>
        <w:t xml:space="preserve">כתבו </w:t>
      </w:r>
      <w:r w:rsidRPr="00696D5C">
        <w:rPr>
          <w:rStyle w:val="af8"/>
          <w:rFonts w:hint="cs"/>
          <w:rtl/>
        </w:rPr>
        <w:t>התוס'</w:t>
      </w:r>
      <w:r>
        <w:rPr>
          <w:rFonts w:hint="cs"/>
          <w:rtl/>
        </w:rPr>
        <w:t xml:space="preserve"> </w:t>
      </w:r>
      <w:r w:rsidRPr="00C279C6">
        <w:rPr>
          <w:rStyle w:val="af6"/>
          <w:rFonts w:eastAsia="Guttman Hodes" w:hint="cs"/>
          <w:rtl/>
        </w:rPr>
        <w:t>(</w:t>
      </w:r>
      <w:r>
        <w:rPr>
          <w:rStyle w:val="af6"/>
          <w:rFonts w:eastAsia="Guttman Hodes" w:hint="cs"/>
          <w:rtl/>
        </w:rPr>
        <w:t>ד"ה בריה, הובא בסימן י</w:t>
      </w:r>
      <w:r>
        <w:rPr>
          <w:rStyle w:val="af6"/>
          <w:rFonts w:eastAsia="Guttman Hodes"/>
          <w:rtl/>
        </w:rPr>
        <w:t>"</w:t>
      </w:r>
      <w:r>
        <w:rPr>
          <w:rStyle w:val="af6"/>
          <w:rFonts w:eastAsia="Guttman Hodes" w:hint="cs"/>
          <w:rtl/>
        </w:rPr>
        <w:t xml:space="preserve">ז </w:t>
      </w:r>
      <w:r w:rsidRPr="007A1B78">
        <w:rPr>
          <w:rStyle w:val="af6"/>
          <w:rFonts w:eastAsia="Guttman Hodes" w:hint="cs"/>
          <w:rtl/>
        </w:rPr>
        <w:t xml:space="preserve">אות </w:t>
      </w:r>
      <w:r w:rsidR="007A1B78" w:rsidRPr="007A1B78">
        <w:rPr>
          <w:rStyle w:val="af6"/>
          <w:rFonts w:eastAsia="Guttman Hodes"/>
          <w:rtl/>
        </w:rPr>
        <w:fldChar w:fldCharType="begin"/>
      </w:r>
      <w:r w:rsidR="007A1B78" w:rsidRPr="007A1B78">
        <w:rPr>
          <w:rStyle w:val="af6"/>
          <w:rFonts w:eastAsia="Guttman Hodes"/>
          <w:rtl/>
        </w:rPr>
        <w:instrText xml:space="preserve"> </w:instrText>
      </w:r>
      <w:r w:rsidR="007A1B78" w:rsidRPr="007A1B78">
        <w:rPr>
          <w:rStyle w:val="af6"/>
          <w:rFonts w:eastAsia="Guttman Hodes" w:hint="cs"/>
        </w:rPr>
        <w:instrText>REF</w:instrText>
      </w:r>
      <w:r w:rsidR="007A1B78" w:rsidRPr="007A1B78">
        <w:rPr>
          <w:rStyle w:val="af6"/>
          <w:rFonts w:eastAsia="Guttman Hodes" w:hint="cs"/>
          <w:rtl/>
        </w:rPr>
        <w:instrText xml:space="preserve"> _</w:instrText>
      </w:r>
      <w:r w:rsidR="007A1B78" w:rsidRPr="007A1B78">
        <w:rPr>
          <w:rStyle w:val="af6"/>
          <w:rFonts w:eastAsia="Guttman Hodes" w:hint="cs"/>
        </w:rPr>
        <w:instrText>Ref23708991 \r \h</w:instrText>
      </w:r>
      <w:r w:rsidR="007A1B78" w:rsidRPr="007A1B78">
        <w:rPr>
          <w:rStyle w:val="af6"/>
          <w:rFonts w:eastAsia="Guttman Hodes"/>
          <w:rtl/>
        </w:rPr>
        <w:instrText xml:space="preserve"> </w:instrText>
      </w:r>
      <w:r w:rsidR="007A1B78" w:rsidRPr="007A1B78">
        <w:rPr>
          <w:rStyle w:val="af6"/>
          <w:rFonts w:eastAsia="Guttman Hodes"/>
          <w:rtl/>
        </w:rPr>
      </w:r>
      <w:r w:rsidR="007A1B78" w:rsidRPr="007A1B78">
        <w:rPr>
          <w:rStyle w:val="af6"/>
          <w:rFonts w:eastAsia="Guttman Hodes"/>
          <w:rtl/>
        </w:rPr>
        <w:fldChar w:fldCharType="separate"/>
      </w:r>
      <w:r w:rsidR="004D1C5B">
        <w:rPr>
          <w:rStyle w:val="af6"/>
          <w:rFonts w:eastAsia="Guttman Hodes"/>
          <w:cs/>
        </w:rPr>
        <w:t>‎</w:t>
      </w:r>
      <w:r w:rsidR="004D1C5B">
        <w:rPr>
          <w:rStyle w:val="af6"/>
          <w:rFonts w:eastAsia="Guttman Hodes"/>
          <w:rtl/>
        </w:rPr>
        <w:t>ט)</w:t>
      </w:r>
      <w:r w:rsidR="007A1B78" w:rsidRPr="007A1B78">
        <w:rPr>
          <w:rStyle w:val="af6"/>
          <w:rFonts w:eastAsia="Guttman Hodes"/>
          <w:rtl/>
        </w:rPr>
        <w:fldChar w:fldCharType="end"/>
      </w:r>
      <w:r>
        <w:rPr>
          <w:rFonts w:hint="cs"/>
          <w:rtl/>
        </w:rPr>
        <w:t xml:space="preserve"> דביבש ביבש בחד בתרי, אפש"ל דרק לב' בנ"א מותר לאכול את כל התערובת, אך לאדם אחד אסור, </w:t>
      </w:r>
      <w:r w:rsidRPr="00696D5C">
        <w:rPr>
          <w:rStyle w:val="af8"/>
          <w:rFonts w:hint="cs"/>
          <w:rtl/>
        </w:rPr>
        <w:t>והתוס' רי"ד</w:t>
      </w:r>
      <w:r>
        <w:rPr>
          <w:rStyle w:val="af8"/>
          <w:rFonts w:hint="cs"/>
          <w:rtl/>
        </w:rPr>
        <w:t xml:space="preserve"> בב"ב</w:t>
      </w:r>
      <w:r>
        <w:rPr>
          <w:rFonts w:hint="cs"/>
          <w:rtl/>
        </w:rPr>
        <w:t xml:space="preserve"> </w:t>
      </w:r>
      <w:r>
        <w:rPr>
          <w:rStyle w:val="af6"/>
          <w:rFonts w:eastAsia="Guttman Hodes" w:hint="cs"/>
          <w:rtl/>
        </w:rPr>
        <w:t xml:space="preserve">(עי' </w:t>
      </w:r>
      <w:r w:rsidRPr="002A47B7">
        <w:rPr>
          <w:rStyle w:val="af6"/>
          <w:rFonts w:eastAsia="Guttman Hodes" w:hint="cs"/>
          <w:rtl/>
        </w:rPr>
        <w:t xml:space="preserve">אות </w:t>
      </w:r>
      <w:r w:rsidRPr="002A47B7">
        <w:rPr>
          <w:rStyle w:val="af6"/>
          <w:rFonts w:eastAsia="Guttman Hodes"/>
          <w:rtl/>
        </w:rPr>
        <w:fldChar w:fldCharType="begin"/>
      </w:r>
      <w:r w:rsidRPr="002A47B7">
        <w:rPr>
          <w:rStyle w:val="af6"/>
          <w:rFonts w:eastAsia="Guttman Hodes"/>
          <w:rtl/>
        </w:rPr>
        <w:instrText xml:space="preserve"> </w:instrText>
      </w:r>
      <w:r w:rsidRPr="002A47B7">
        <w:rPr>
          <w:rStyle w:val="af6"/>
          <w:rFonts w:eastAsia="Guttman Hodes" w:hint="cs"/>
        </w:rPr>
        <w:instrText>REF</w:instrText>
      </w:r>
      <w:r w:rsidRPr="002A47B7">
        <w:rPr>
          <w:rStyle w:val="af6"/>
          <w:rFonts w:eastAsia="Guttman Hodes" w:hint="cs"/>
          <w:rtl/>
        </w:rPr>
        <w:instrText xml:space="preserve"> _</w:instrText>
      </w:r>
      <w:r w:rsidRPr="002A47B7">
        <w:rPr>
          <w:rStyle w:val="af6"/>
          <w:rFonts w:eastAsia="Guttman Hodes" w:hint="cs"/>
        </w:rPr>
        <w:instrText>Ref23673188 \r \h</w:instrText>
      </w:r>
      <w:r w:rsidRPr="002A47B7">
        <w:rPr>
          <w:rStyle w:val="af6"/>
          <w:rFonts w:eastAsia="Guttman Hodes"/>
          <w:rtl/>
        </w:rPr>
        <w:instrText xml:space="preserve"> </w:instrText>
      </w:r>
      <w:r w:rsidRPr="002A47B7">
        <w:rPr>
          <w:rStyle w:val="af6"/>
          <w:rFonts w:eastAsia="Guttman Hodes"/>
          <w:rtl/>
        </w:rPr>
      </w:r>
      <w:r w:rsidRPr="002A47B7">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2A47B7">
        <w:rPr>
          <w:rStyle w:val="af6"/>
          <w:rFonts w:eastAsia="Guttman Hodes"/>
          <w:rtl/>
        </w:rPr>
        <w:fldChar w:fldCharType="end"/>
      </w:r>
      <w:r>
        <w:rPr>
          <w:rFonts w:hint="cs"/>
          <w:rtl/>
        </w:rPr>
        <w:t xml:space="preserve"> כתב דאדם אחד שאכל את כל התערובת חייב חטאת.</w:t>
      </w:r>
    </w:p>
    <w:p w:rsidR="00D45705" w:rsidRPr="00553AD7" w:rsidRDefault="00D45705" w:rsidP="00BD4890">
      <w:pPr>
        <w:pStyle w:val="a2"/>
      </w:pPr>
      <w:bookmarkStart w:id="11842" w:name="_Toc22638861"/>
      <w:bookmarkStart w:id="11843" w:name="_Toc23224065"/>
      <w:bookmarkStart w:id="11844" w:name="_Toc23372437"/>
      <w:bookmarkStart w:id="11845" w:name="_Toc23419108"/>
      <w:bookmarkStart w:id="11846" w:name="_Toc23499370"/>
      <w:bookmarkStart w:id="11847" w:name="_Toc23663780"/>
      <w:bookmarkStart w:id="11848" w:name="_Toc23672421"/>
      <w:bookmarkStart w:id="11849" w:name="_Toc23672985"/>
      <w:r>
        <w:rPr>
          <w:rFonts w:hint="cs"/>
          <w:rtl/>
        </w:rPr>
        <w:t>דעת הרשב"א דמותר לאדם אחד אך אסור לאכול את כל התערובת בבת אחת</w:t>
      </w:r>
      <w:bookmarkEnd w:id="11842"/>
      <w:bookmarkEnd w:id="11843"/>
      <w:bookmarkEnd w:id="11844"/>
      <w:bookmarkEnd w:id="11845"/>
      <w:bookmarkEnd w:id="11846"/>
      <w:bookmarkEnd w:id="11847"/>
      <w:bookmarkEnd w:id="11848"/>
      <w:bookmarkEnd w:id="11849"/>
    </w:p>
    <w:p w:rsidR="00D45705" w:rsidRPr="00666C92" w:rsidRDefault="00D45705" w:rsidP="009F44AF">
      <w:pPr>
        <w:pStyle w:val="a"/>
        <w:rPr>
          <w:rStyle w:val="afa"/>
          <w:rtl/>
        </w:rPr>
      </w:pPr>
      <w:bookmarkStart w:id="11850" w:name="_Ref23496533"/>
      <w:r>
        <w:rPr>
          <w:rFonts w:hint="cs"/>
          <w:rtl/>
        </w:rPr>
        <w:t xml:space="preserve">ודעת </w:t>
      </w:r>
      <w:r w:rsidRPr="00696D5C">
        <w:rPr>
          <w:rStyle w:val="af8"/>
          <w:rFonts w:hint="cs"/>
          <w:rtl/>
        </w:rPr>
        <w:t>הרשב"א</w:t>
      </w:r>
      <w:r>
        <w:rPr>
          <w:rFonts w:hint="cs"/>
          <w:rtl/>
        </w:rPr>
        <w:t xml:space="preserve"> </w:t>
      </w:r>
      <w:r w:rsidRPr="00C279C6">
        <w:rPr>
          <w:rStyle w:val="af6"/>
          <w:rFonts w:eastAsia="Guttman Hodes" w:hint="cs"/>
          <w:rtl/>
        </w:rPr>
        <w:t>(</w:t>
      </w:r>
      <w:r w:rsidRPr="00927358">
        <w:rPr>
          <w:rStyle w:val="af6"/>
          <w:rFonts w:eastAsia="Guttman Hodes" w:hint="cs"/>
          <w:rtl/>
        </w:rPr>
        <w:t>ב"ד ש"א יז. מדה"ס</w:t>
      </w:r>
      <w:r>
        <w:rPr>
          <w:rStyle w:val="af6"/>
          <w:rFonts w:eastAsia="Guttman Hodes" w:hint="cs"/>
          <w:rtl/>
        </w:rPr>
        <w:t>, הובא בסימן י</w:t>
      </w:r>
      <w:r>
        <w:rPr>
          <w:rStyle w:val="af6"/>
          <w:rFonts w:eastAsia="Guttman Hodes"/>
          <w:rtl/>
        </w:rPr>
        <w:t>"</w:t>
      </w:r>
      <w:r w:rsidRPr="007A1B78">
        <w:rPr>
          <w:rStyle w:val="af6"/>
          <w:rFonts w:eastAsia="Guttman Hodes" w:hint="cs"/>
          <w:rtl/>
        </w:rPr>
        <w:t xml:space="preserve">ז אות </w:t>
      </w:r>
      <w:r w:rsidR="007A1B78" w:rsidRPr="007A1B78">
        <w:rPr>
          <w:rStyle w:val="af6"/>
          <w:rFonts w:eastAsia="Guttman Hodes"/>
          <w:rtl/>
        </w:rPr>
        <w:fldChar w:fldCharType="begin"/>
      </w:r>
      <w:r w:rsidR="007A1B78" w:rsidRPr="007A1B78">
        <w:rPr>
          <w:rStyle w:val="af6"/>
          <w:rFonts w:eastAsia="Guttman Hodes"/>
          <w:rtl/>
        </w:rPr>
        <w:instrText xml:space="preserve"> </w:instrText>
      </w:r>
      <w:r w:rsidR="007A1B78" w:rsidRPr="007A1B78">
        <w:rPr>
          <w:rStyle w:val="af6"/>
          <w:rFonts w:eastAsia="Guttman Hodes" w:hint="cs"/>
        </w:rPr>
        <w:instrText>REF</w:instrText>
      </w:r>
      <w:r w:rsidR="007A1B78" w:rsidRPr="007A1B78">
        <w:rPr>
          <w:rStyle w:val="af6"/>
          <w:rFonts w:eastAsia="Guttman Hodes" w:hint="cs"/>
          <w:rtl/>
        </w:rPr>
        <w:instrText xml:space="preserve"> _</w:instrText>
      </w:r>
      <w:r w:rsidR="007A1B78" w:rsidRPr="007A1B78">
        <w:rPr>
          <w:rStyle w:val="af6"/>
          <w:rFonts w:eastAsia="Guttman Hodes" w:hint="cs"/>
        </w:rPr>
        <w:instrText>Ref23943555 \r \h</w:instrText>
      </w:r>
      <w:r w:rsidR="007A1B78" w:rsidRPr="007A1B78">
        <w:rPr>
          <w:rStyle w:val="af6"/>
          <w:rFonts w:eastAsia="Guttman Hodes"/>
          <w:rtl/>
        </w:rPr>
        <w:instrText xml:space="preserve"> </w:instrText>
      </w:r>
      <w:r w:rsidR="007A1B78" w:rsidRPr="007A1B78">
        <w:rPr>
          <w:rStyle w:val="af6"/>
          <w:rFonts w:eastAsia="Guttman Hodes"/>
          <w:rtl/>
        </w:rPr>
      </w:r>
      <w:r w:rsidR="007A1B78" w:rsidRPr="007A1B78">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007A1B78" w:rsidRPr="007A1B78">
        <w:rPr>
          <w:rStyle w:val="af6"/>
          <w:rFonts w:eastAsia="Guttman Hodes"/>
          <w:rtl/>
        </w:rPr>
        <w:fldChar w:fldCharType="end"/>
      </w:r>
      <w:r>
        <w:rPr>
          <w:rFonts w:hint="cs"/>
          <w:rtl/>
        </w:rPr>
        <w:t xml:space="preserve"> דביבש ביבש מותר אף לאדם אחד לאכול את כל התערובת, אך צריך לאכול כל חתיכה בפנ"ע, ואסור לאכול את כל התערובת בבת אחת, ונחלקו </w:t>
      </w:r>
      <w:r w:rsidRPr="00696D5C">
        <w:rPr>
          <w:rStyle w:val="af8"/>
          <w:rFonts w:hint="cs"/>
          <w:rtl/>
        </w:rPr>
        <w:t>האחרונים</w:t>
      </w:r>
      <w:r>
        <w:rPr>
          <w:rFonts w:hint="cs"/>
          <w:rtl/>
        </w:rPr>
        <w:t xml:space="preserve"> </w:t>
      </w:r>
      <w:r w:rsidRPr="00C279C6">
        <w:rPr>
          <w:rStyle w:val="af6"/>
          <w:rFonts w:eastAsia="Guttman Hodes" w:hint="cs"/>
          <w:rtl/>
        </w:rPr>
        <w:t>(</w:t>
      </w:r>
      <w:r>
        <w:rPr>
          <w:rStyle w:val="af6"/>
          <w:rFonts w:eastAsia="Guttman Hodes" w:hint="cs"/>
          <w:rtl/>
        </w:rPr>
        <w:t>הובא בסימן י</w:t>
      </w:r>
      <w:r>
        <w:rPr>
          <w:rStyle w:val="af6"/>
          <w:rFonts w:eastAsia="Guttman Hodes"/>
          <w:rtl/>
        </w:rPr>
        <w:t>"</w:t>
      </w:r>
      <w:r>
        <w:rPr>
          <w:rStyle w:val="af6"/>
          <w:rFonts w:eastAsia="Guttman Hodes" w:hint="cs"/>
          <w:rtl/>
        </w:rPr>
        <w:t xml:space="preserve">ז </w:t>
      </w:r>
      <w:r w:rsidRPr="007A1B78">
        <w:rPr>
          <w:rStyle w:val="af6"/>
          <w:rFonts w:eastAsia="Guttman Hodes" w:hint="cs"/>
          <w:rtl/>
        </w:rPr>
        <w:t xml:space="preserve">אות </w:t>
      </w:r>
      <w:r w:rsidR="007A1B78" w:rsidRPr="007A1B78">
        <w:rPr>
          <w:rStyle w:val="af6"/>
          <w:rFonts w:eastAsia="Guttman Hodes"/>
          <w:rtl/>
        </w:rPr>
        <w:fldChar w:fldCharType="begin"/>
      </w:r>
      <w:r w:rsidR="007A1B78" w:rsidRPr="007A1B78">
        <w:rPr>
          <w:rStyle w:val="af6"/>
          <w:rFonts w:eastAsia="Guttman Hodes"/>
          <w:rtl/>
        </w:rPr>
        <w:instrText xml:space="preserve"> </w:instrText>
      </w:r>
      <w:r w:rsidR="007A1B78" w:rsidRPr="007A1B78">
        <w:rPr>
          <w:rStyle w:val="af6"/>
          <w:rFonts w:eastAsia="Guttman Hodes" w:hint="cs"/>
        </w:rPr>
        <w:instrText>REF</w:instrText>
      </w:r>
      <w:r w:rsidR="007A1B78" w:rsidRPr="007A1B78">
        <w:rPr>
          <w:rStyle w:val="af6"/>
          <w:rFonts w:eastAsia="Guttman Hodes" w:hint="cs"/>
          <w:rtl/>
        </w:rPr>
        <w:instrText xml:space="preserve"> _</w:instrText>
      </w:r>
      <w:r w:rsidR="007A1B78" w:rsidRPr="007A1B78">
        <w:rPr>
          <w:rStyle w:val="af6"/>
          <w:rFonts w:eastAsia="Guttman Hodes" w:hint="cs"/>
        </w:rPr>
        <w:instrText>Ref25005435 \r \h</w:instrText>
      </w:r>
      <w:r w:rsidR="007A1B78" w:rsidRPr="007A1B78">
        <w:rPr>
          <w:rStyle w:val="af6"/>
          <w:rFonts w:eastAsia="Guttman Hodes"/>
          <w:rtl/>
        </w:rPr>
        <w:instrText xml:space="preserve"> </w:instrText>
      </w:r>
      <w:r w:rsidR="007A1B78" w:rsidRPr="007A1B78">
        <w:rPr>
          <w:rStyle w:val="af6"/>
          <w:rFonts w:eastAsia="Guttman Hodes"/>
          <w:rtl/>
        </w:rPr>
      </w:r>
      <w:r w:rsidR="007A1B78" w:rsidRPr="007A1B78">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007A1B78" w:rsidRPr="007A1B78">
        <w:rPr>
          <w:rStyle w:val="af6"/>
          <w:rFonts w:eastAsia="Guttman Hodes"/>
          <w:rtl/>
        </w:rPr>
        <w:fldChar w:fldCharType="end"/>
      </w:r>
      <w:r>
        <w:rPr>
          <w:rFonts w:hint="cs"/>
          <w:rtl/>
        </w:rPr>
        <w:t xml:space="preserve"> אי ס"ל </w:t>
      </w:r>
      <w:r w:rsidRPr="00105080">
        <w:rPr>
          <w:rStyle w:val="af8"/>
          <w:rFonts w:hint="cs"/>
          <w:rtl/>
        </w:rPr>
        <w:t>להרשב"א</w:t>
      </w:r>
      <w:r>
        <w:rPr>
          <w:rFonts w:hint="cs"/>
          <w:rtl/>
        </w:rPr>
        <w:t xml:space="preserve"> דהאיסור בבת אחת הוא מדאו', או דאסור רק מדרבנן. </w:t>
      </w:r>
      <w:r w:rsidRPr="00666C92">
        <w:rPr>
          <w:rStyle w:val="afa"/>
          <w:rFonts w:hint="cs"/>
          <w:rtl/>
        </w:rPr>
        <w:t>[ועי' ב</w:t>
      </w:r>
      <w:r>
        <w:rPr>
          <w:rStyle w:val="afa"/>
          <w:rFonts w:hint="cs"/>
          <w:rtl/>
        </w:rPr>
        <w:t>מה שנחלקו</w:t>
      </w:r>
      <w:r w:rsidRPr="00666C92">
        <w:rPr>
          <w:rStyle w:val="afa"/>
          <w:rFonts w:hint="cs"/>
          <w:rtl/>
        </w:rPr>
        <w:t xml:space="preserve"> </w:t>
      </w:r>
      <w:r w:rsidRPr="00105080">
        <w:rPr>
          <w:rStyle w:val="affa"/>
          <w:rFonts w:hint="cs"/>
          <w:rtl/>
        </w:rPr>
        <w:t>הש"ך</w:t>
      </w:r>
      <w:r w:rsidRPr="00666C92">
        <w:rPr>
          <w:rStyle w:val="afa"/>
          <w:rFonts w:hint="cs"/>
          <w:rtl/>
        </w:rPr>
        <w:t xml:space="preserve"> </w:t>
      </w:r>
      <w:r w:rsidRPr="00DE2907">
        <w:rPr>
          <w:rStyle w:val="aff6"/>
          <w:rFonts w:hint="cs"/>
          <w:rtl/>
        </w:rPr>
        <w:t>(</w:t>
      </w:r>
      <w:r w:rsidRPr="0063445F">
        <w:rPr>
          <w:rStyle w:val="aff6"/>
          <w:rtl/>
        </w:rPr>
        <w:t>סי' ק"ט סק"ז</w:t>
      </w:r>
      <w:r>
        <w:rPr>
          <w:rStyle w:val="aff6"/>
          <w:rFonts w:hint="cs"/>
          <w:rtl/>
        </w:rPr>
        <w:t>,</w:t>
      </w:r>
      <w:r w:rsidRPr="0063445F">
        <w:rPr>
          <w:rStyle w:val="aff6"/>
          <w:rtl/>
        </w:rPr>
        <w:t xml:space="preserve"> </w:t>
      </w:r>
      <w:r>
        <w:rPr>
          <w:rStyle w:val="aff6"/>
          <w:rFonts w:hint="cs"/>
          <w:rtl/>
        </w:rPr>
        <w:t>הובא בסימן י</w:t>
      </w:r>
      <w:r>
        <w:rPr>
          <w:rStyle w:val="aff6"/>
          <w:rtl/>
        </w:rPr>
        <w:t>"</w:t>
      </w:r>
      <w:r>
        <w:rPr>
          <w:rStyle w:val="aff6"/>
          <w:rFonts w:hint="cs"/>
          <w:rtl/>
        </w:rPr>
        <w:t>ז אות נ"ו</w:t>
      </w:r>
      <w:r w:rsidRPr="00DE2907">
        <w:rPr>
          <w:rStyle w:val="aff6"/>
          <w:rFonts w:hint="cs"/>
          <w:rtl/>
        </w:rPr>
        <w:t>)</w:t>
      </w:r>
      <w:r w:rsidRPr="00666C92">
        <w:rPr>
          <w:rStyle w:val="afa"/>
          <w:rFonts w:hint="cs"/>
          <w:rtl/>
        </w:rPr>
        <w:t xml:space="preserve"> </w:t>
      </w:r>
      <w:r w:rsidRPr="00DF6BA3">
        <w:rPr>
          <w:rStyle w:val="affa"/>
          <w:rFonts w:hint="cs"/>
          <w:rtl/>
        </w:rPr>
        <w:t>והפרי תואר</w:t>
      </w:r>
      <w:r w:rsidRPr="0063445F">
        <w:rPr>
          <w:rStyle w:val="aff6"/>
          <w:rFonts w:hint="cs"/>
          <w:rtl/>
        </w:rPr>
        <w:t xml:space="preserve"> (סי' ק"ט סק"ג, </w:t>
      </w:r>
      <w:r>
        <w:rPr>
          <w:rStyle w:val="aff6"/>
          <w:rFonts w:hint="cs"/>
          <w:rtl/>
        </w:rPr>
        <w:t>הובא בסימן י</w:t>
      </w:r>
      <w:r>
        <w:rPr>
          <w:rStyle w:val="aff6"/>
          <w:rtl/>
        </w:rPr>
        <w:t>"</w:t>
      </w:r>
      <w:r>
        <w:rPr>
          <w:rStyle w:val="aff6"/>
          <w:rFonts w:hint="cs"/>
          <w:rtl/>
        </w:rPr>
        <w:t>ז אות ס'</w:t>
      </w:r>
      <w:r w:rsidRPr="00DE2907">
        <w:rPr>
          <w:rStyle w:val="aff6"/>
          <w:rFonts w:hint="cs"/>
          <w:rtl/>
        </w:rPr>
        <w:t>)</w:t>
      </w:r>
      <w:r w:rsidRPr="00666C92">
        <w:rPr>
          <w:rStyle w:val="afa"/>
          <w:rFonts w:hint="cs"/>
          <w:rtl/>
        </w:rPr>
        <w:t xml:space="preserve"> </w:t>
      </w:r>
      <w:r>
        <w:rPr>
          <w:rStyle w:val="afa"/>
          <w:rFonts w:hint="cs"/>
          <w:rtl/>
        </w:rPr>
        <w:t xml:space="preserve">בדעת </w:t>
      </w:r>
      <w:r w:rsidRPr="0034031C">
        <w:rPr>
          <w:rStyle w:val="affa"/>
          <w:rFonts w:hint="cs"/>
          <w:rtl/>
        </w:rPr>
        <w:t>הרשב"א</w:t>
      </w:r>
      <w:r>
        <w:rPr>
          <w:rStyle w:val="afa"/>
          <w:rFonts w:hint="cs"/>
          <w:rtl/>
        </w:rPr>
        <w:t xml:space="preserve"> </w:t>
      </w:r>
      <w:r w:rsidRPr="00666C92">
        <w:rPr>
          <w:rStyle w:val="afa"/>
          <w:rFonts w:hint="cs"/>
          <w:rtl/>
        </w:rPr>
        <w:t>אם מותר לאכול ב' חתיכות].</w:t>
      </w:r>
      <w:bookmarkEnd w:id="11850"/>
    </w:p>
    <w:p w:rsidR="00D45705" w:rsidRDefault="00D45705" w:rsidP="00D45705">
      <w:pPr>
        <w:pStyle w:val="a2"/>
        <w:rPr>
          <w:rtl/>
        </w:rPr>
      </w:pPr>
      <w:bookmarkStart w:id="11851" w:name="_Toc22638862"/>
      <w:bookmarkStart w:id="11852" w:name="_Toc23224066"/>
      <w:bookmarkStart w:id="11853" w:name="_Toc23372438"/>
      <w:bookmarkStart w:id="11854" w:name="_Toc23419109"/>
      <w:bookmarkStart w:id="11855" w:name="_Toc23499371"/>
      <w:bookmarkStart w:id="11856" w:name="_Toc23663781"/>
      <w:bookmarkStart w:id="11857" w:name="_Toc23672422"/>
      <w:bookmarkStart w:id="11858" w:name="_Toc23672986"/>
      <w:r>
        <w:rPr>
          <w:rFonts w:hint="cs"/>
          <w:rtl/>
        </w:rPr>
        <w:t>דעת הרא"ש דהאיסור נהפך להיתר מגזיה"כ ומותר לאדם אחד אף כשאוכל הכל בבת אחת</w:t>
      </w:r>
      <w:bookmarkEnd w:id="11851"/>
      <w:bookmarkEnd w:id="11852"/>
      <w:bookmarkEnd w:id="11853"/>
      <w:bookmarkEnd w:id="11854"/>
      <w:bookmarkEnd w:id="11855"/>
      <w:bookmarkEnd w:id="11856"/>
      <w:bookmarkEnd w:id="11857"/>
      <w:bookmarkEnd w:id="11858"/>
    </w:p>
    <w:p w:rsidR="00D45705" w:rsidRPr="00553AD7" w:rsidRDefault="00D45705" w:rsidP="009F44AF">
      <w:pPr>
        <w:pStyle w:val="a"/>
        <w:rPr>
          <w:rtl/>
        </w:rPr>
      </w:pPr>
      <w:r>
        <w:rPr>
          <w:rFonts w:hint="cs"/>
          <w:rtl/>
        </w:rPr>
        <w:t xml:space="preserve">ודעת </w:t>
      </w:r>
      <w:r w:rsidRPr="00696D5C">
        <w:rPr>
          <w:rStyle w:val="af8"/>
          <w:rFonts w:hint="cs"/>
          <w:rtl/>
        </w:rPr>
        <w:t>הרא"ש</w:t>
      </w:r>
      <w:r>
        <w:rPr>
          <w:rFonts w:hint="cs"/>
          <w:rtl/>
        </w:rPr>
        <w:t xml:space="preserve"> </w:t>
      </w:r>
      <w:r w:rsidRPr="00C279C6">
        <w:rPr>
          <w:rStyle w:val="af6"/>
          <w:rFonts w:eastAsia="Guttman Hodes" w:hint="cs"/>
          <w:rtl/>
        </w:rPr>
        <w:t>(</w:t>
      </w:r>
      <w:r>
        <w:rPr>
          <w:rStyle w:val="af6"/>
          <w:rFonts w:eastAsia="Guttman Hodes" w:hint="cs"/>
          <w:rtl/>
        </w:rPr>
        <w:t>סי' ל"ז, הובא בסימן י</w:t>
      </w:r>
      <w:r>
        <w:rPr>
          <w:rStyle w:val="af6"/>
          <w:rFonts w:eastAsia="Guttman Hodes"/>
          <w:rtl/>
        </w:rPr>
        <w:t>"</w:t>
      </w:r>
      <w:r>
        <w:rPr>
          <w:rStyle w:val="af6"/>
          <w:rFonts w:eastAsia="Guttman Hodes" w:hint="cs"/>
          <w:rtl/>
        </w:rPr>
        <w:t>ז אות כ"ח</w:t>
      </w:r>
      <w:r w:rsidRPr="00C279C6">
        <w:rPr>
          <w:rStyle w:val="af6"/>
          <w:rFonts w:eastAsia="Guttman Hodes" w:hint="cs"/>
          <w:rtl/>
        </w:rPr>
        <w:t>)</w:t>
      </w:r>
      <w:r>
        <w:rPr>
          <w:rFonts w:hint="cs"/>
          <w:rtl/>
        </w:rPr>
        <w:t xml:space="preserve"> דיש גזיה"כ מאחרי רבים להטות, דביבש ביבש בחד בתרי האיסור נהפך להיתר, ולכן מותר לאדם אחד לאכול את כל התערובת בבת אחת.</w:t>
      </w:r>
    </w:p>
    <w:p w:rsidR="00D45705" w:rsidRDefault="00D45705" w:rsidP="00D45705">
      <w:pPr>
        <w:pStyle w:val="a2"/>
        <w:rPr>
          <w:rtl/>
        </w:rPr>
      </w:pPr>
      <w:bookmarkStart w:id="11859" w:name="_Toc22638863"/>
      <w:bookmarkStart w:id="11860" w:name="_Toc23224067"/>
      <w:bookmarkStart w:id="11861" w:name="_Toc23372439"/>
      <w:bookmarkStart w:id="11862" w:name="_Toc23419110"/>
      <w:bookmarkStart w:id="11863" w:name="_Toc23499372"/>
      <w:bookmarkStart w:id="11864" w:name="_Toc23663782"/>
      <w:bookmarkStart w:id="11865" w:name="_Toc23672423"/>
      <w:bookmarkStart w:id="11866" w:name="_Toc23672987"/>
      <w:r>
        <w:rPr>
          <w:rFonts w:hint="cs"/>
          <w:rtl/>
        </w:rPr>
        <w:t>דעת רש"י בע"ז דבביטול ברוב בחד בתרי צריך להשליך חתיכה אחת לכלבים</w:t>
      </w:r>
      <w:bookmarkEnd w:id="11859"/>
      <w:bookmarkEnd w:id="11860"/>
      <w:bookmarkEnd w:id="11861"/>
      <w:bookmarkEnd w:id="11862"/>
      <w:bookmarkEnd w:id="11863"/>
      <w:bookmarkEnd w:id="11864"/>
      <w:bookmarkEnd w:id="11865"/>
      <w:bookmarkEnd w:id="11866"/>
    </w:p>
    <w:p w:rsidR="00D45705" w:rsidRDefault="00D45705" w:rsidP="009F44AF">
      <w:pPr>
        <w:pStyle w:val="a"/>
        <w:rPr>
          <w:rtl/>
        </w:rPr>
      </w:pPr>
      <w:r>
        <w:rPr>
          <w:rFonts w:hint="cs"/>
          <w:rtl/>
        </w:rPr>
        <w:t xml:space="preserve">ודעת </w:t>
      </w:r>
      <w:r w:rsidRPr="00696D5C">
        <w:rPr>
          <w:rStyle w:val="af8"/>
          <w:rFonts w:hint="cs"/>
          <w:rtl/>
        </w:rPr>
        <w:t>רש"י בע"ז</w:t>
      </w:r>
      <w:r>
        <w:rPr>
          <w:rFonts w:hint="cs"/>
          <w:rtl/>
        </w:rPr>
        <w:t xml:space="preserve"> </w:t>
      </w:r>
      <w:r w:rsidRPr="00CD7292">
        <w:rPr>
          <w:rStyle w:val="af6"/>
          <w:rFonts w:eastAsia="Guttman Hodes" w:hint="cs"/>
          <w:rtl/>
        </w:rPr>
        <w:t>עד. ד"ה תרתי</w:t>
      </w:r>
      <w:r>
        <w:rPr>
          <w:rStyle w:val="af6"/>
          <w:rFonts w:eastAsia="Guttman Hodes" w:hint="cs"/>
          <w:rtl/>
        </w:rPr>
        <w:t>,</w:t>
      </w:r>
      <w:r>
        <w:rPr>
          <w:rFonts w:hint="cs"/>
          <w:rtl/>
        </w:rPr>
        <w:t xml:space="preserve"> </w:t>
      </w:r>
      <w:r>
        <w:rPr>
          <w:rStyle w:val="af6"/>
          <w:rFonts w:eastAsia="Guttman Hodes" w:hint="cs"/>
          <w:rtl/>
        </w:rPr>
        <w:t>הובא בסימן י</w:t>
      </w:r>
      <w:r>
        <w:rPr>
          <w:rStyle w:val="af6"/>
          <w:rFonts w:eastAsia="Guttman Hodes"/>
          <w:rtl/>
        </w:rPr>
        <w:t>"</w:t>
      </w:r>
      <w:r>
        <w:rPr>
          <w:rStyle w:val="af6"/>
          <w:rFonts w:eastAsia="Guttman Hodes" w:hint="cs"/>
          <w:rtl/>
        </w:rPr>
        <w:t>ז אות ג</w:t>
      </w:r>
      <w:r w:rsidRPr="00C279C6">
        <w:rPr>
          <w:rStyle w:val="af6"/>
          <w:rFonts w:eastAsia="Guttman Hodes" w:hint="cs"/>
          <w:rtl/>
        </w:rPr>
        <w:t>)</w:t>
      </w:r>
      <w:r>
        <w:rPr>
          <w:rFonts w:hint="cs"/>
          <w:rtl/>
        </w:rPr>
        <w:t xml:space="preserve"> דבביטול ברוב, צריך להשליך חתיכה אחת לכלבים.</w:t>
      </w:r>
    </w:p>
    <w:p w:rsidR="00D45705" w:rsidRDefault="00D45705" w:rsidP="00D45705">
      <w:pPr>
        <w:pStyle w:val="a2"/>
        <w:rPr>
          <w:rtl/>
        </w:rPr>
      </w:pPr>
      <w:bookmarkStart w:id="11867" w:name="_Toc22638864"/>
      <w:bookmarkStart w:id="11868" w:name="_Toc23224068"/>
      <w:bookmarkStart w:id="11869" w:name="_Toc23372440"/>
      <w:bookmarkStart w:id="11870" w:name="_Toc23419111"/>
      <w:bookmarkStart w:id="11871" w:name="_Toc23499373"/>
      <w:bookmarkStart w:id="11872" w:name="_Toc23663783"/>
      <w:bookmarkStart w:id="11873" w:name="_Toc23672424"/>
      <w:bookmarkStart w:id="11874" w:name="_Toc23672988"/>
      <w:r>
        <w:rPr>
          <w:rFonts w:hint="cs"/>
          <w:rtl/>
        </w:rPr>
        <w:t>דעת רש"י והרמב"ם והר"א אב"ד דאף ביבש ביבש במין במינו צריך ביטול בשישים</w:t>
      </w:r>
      <w:bookmarkEnd w:id="11867"/>
      <w:bookmarkEnd w:id="11868"/>
      <w:bookmarkEnd w:id="11869"/>
      <w:bookmarkEnd w:id="11870"/>
      <w:bookmarkEnd w:id="11871"/>
      <w:bookmarkEnd w:id="11872"/>
      <w:bookmarkEnd w:id="11873"/>
      <w:bookmarkEnd w:id="11874"/>
    </w:p>
    <w:p w:rsidR="00D45705" w:rsidRDefault="00D45705" w:rsidP="009F44AF">
      <w:pPr>
        <w:pStyle w:val="a"/>
        <w:rPr>
          <w:rtl/>
        </w:rPr>
      </w:pPr>
      <w:r>
        <w:rPr>
          <w:rFonts w:hint="cs"/>
          <w:rtl/>
        </w:rPr>
        <w:t xml:space="preserve">אך </w:t>
      </w:r>
      <w:r w:rsidRPr="003556C7">
        <w:rPr>
          <w:rFonts w:hint="cs"/>
          <w:rtl/>
        </w:rPr>
        <w:t xml:space="preserve">כתבו </w:t>
      </w:r>
      <w:r w:rsidRPr="003556C7">
        <w:rPr>
          <w:rStyle w:val="af8"/>
          <w:rFonts w:hint="cs"/>
          <w:rtl/>
        </w:rPr>
        <w:t>הרמב"ן</w:t>
      </w:r>
      <w:r w:rsidRPr="003556C7">
        <w:rPr>
          <w:rStyle w:val="af6"/>
          <w:rFonts w:eastAsia="Guttman Hodes" w:hint="cs"/>
          <w:rtl/>
        </w:rPr>
        <w:t xml:space="preserve"> </w:t>
      </w:r>
      <w:r w:rsidRPr="003556C7">
        <w:rPr>
          <w:rStyle w:val="af8"/>
          <w:rFonts w:hint="cs"/>
          <w:rtl/>
        </w:rPr>
        <w:t xml:space="preserve">והרשב"א </w:t>
      </w:r>
      <w:r w:rsidRPr="003556C7">
        <w:rPr>
          <w:rStyle w:val="af6"/>
          <w:rFonts w:eastAsia="Guttman Hodes" w:hint="cs"/>
          <w:rtl/>
        </w:rPr>
        <w:t xml:space="preserve">(עי' אות </w:t>
      </w:r>
      <w:r w:rsidRPr="003556C7">
        <w:rPr>
          <w:rStyle w:val="af6"/>
          <w:rFonts w:eastAsia="Guttman Hodes"/>
          <w:rtl/>
        </w:rPr>
        <w:fldChar w:fldCharType="begin"/>
      </w:r>
      <w:r w:rsidRPr="003556C7">
        <w:rPr>
          <w:rStyle w:val="af6"/>
          <w:rFonts w:eastAsia="Guttman Hodes"/>
          <w:rtl/>
        </w:rPr>
        <w:instrText xml:space="preserve"> </w:instrText>
      </w:r>
      <w:r w:rsidRPr="003556C7">
        <w:rPr>
          <w:rStyle w:val="af6"/>
          <w:rFonts w:eastAsia="Guttman Hodes" w:hint="cs"/>
        </w:rPr>
        <w:instrText>REF</w:instrText>
      </w:r>
      <w:r w:rsidRPr="003556C7">
        <w:rPr>
          <w:rStyle w:val="af6"/>
          <w:rFonts w:eastAsia="Guttman Hodes" w:hint="cs"/>
          <w:rtl/>
        </w:rPr>
        <w:instrText xml:space="preserve"> _</w:instrText>
      </w:r>
      <w:r w:rsidRPr="003556C7">
        <w:rPr>
          <w:rStyle w:val="af6"/>
          <w:rFonts w:eastAsia="Guttman Hodes" w:hint="cs"/>
        </w:rPr>
        <w:instrText>Ref20904531 \r \h</w:instrText>
      </w:r>
      <w:r w:rsidRPr="003556C7">
        <w:rPr>
          <w:rStyle w:val="af6"/>
          <w:rFonts w:eastAsia="Guttman Hodes"/>
          <w:rtl/>
        </w:rPr>
        <w:instrText xml:space="preserve">  \* </w:instrText>
      </w:r>
      <w:r w:rsidRPr="003556C7">
        <w:rPr>
          <w:rStyle w:val="af6"/>
          <w:rFonts w:eastAsia="Guttman Hodes"/>
        </w:rPr>
        <w:instrText>MERGEFORMAT</w:instrText>
      </w:r>
      <w:r w:rsidRPr="003556C7">
        <w:rPr>
          <w:rStyle w:val="af6"/>
          <w:rFonts w:eastAsia="Guttman Hodes"/>
          <w:rtl/>
        </w:rPr>
        <w:instrText xml:space="preserve"> </w:instrText>
      </w:r>
      <w:r w:rsidRPr="003556C7">
        <w:rPr>
          <w:rStyle w:val="af6"/>
          <w:rFonts w:eastAsia="Guttman Hodes"/>
          <w:rtl/>
        </w:rPr>
      </w:r>
      <w:r w:rsidRPr="003556C7">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3556C7">
        <w:rPr>
          <w:rStyle w:val="af6"/>
          <w:rFonts w:eastAsia="Guttman Hodes"/>
          <w:rtl/>
        </w:rPr>
        <w:fldChar w:fldCharType="end"/>
      </w:r>
      <w:r w:rsidRPr="003556C7">
        <w:rPr>
          <w:rStyle w:val="af6"/>
          <w:rFonts w:eastAsia="Guttman Hodes" w:hint="cs"/>
          <w:rtl/>
        </w:rPr>
        <w:t xml:space="preserve"> </w:t>
      </w:r>
      <w:r w:rsidRPr="003556C7">
        <w:rPr>
          <w:rFonts w:hint="cs"/>
          <w:rtl/>
        </w:rPr>
        <w:t xml:space="preserve">בשם </w:t>
      </w:r>
      <w:r w:rsidRPr="00227059">
        <w:rPr>
          <w:rStyle w:val="af8"/>
          <w:rFonts w:hint="cs"/>
          <w:rtl/>
        </w:rPr>
        <w:t>הר"א 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Pr>
          <w:rFonts w:hint="cs"/>
          <w:rtl/>
        </w:rPr>
        <w:t xml:space="preserve"> </w:t>
      </w:r>
      <w:r w:rsidRPr="003556C7">
        <w:rPr>
          <w:rFonts w:hint="cs"/>
          <w:rtl/>
        </w:rPr>
        <w:t>דאף במין ב</w:t>
      </w:r>
      <w:r>
        <w:rPr>
          <w:rFonts w:hint="cs"/>
          <w:rtl/>
        </w:rPr>
        <w:t xml:space="preserve">מינו ביבש ביבש מדרבנן צריך ביטול בשישים, וכתבו </w:t>
      </w:r>
      <w:r w:rsidRPr="001658B9">
        <w:rPr>
          <w:rStyle w:val="af8"/>
          <w:rFonts w:hint="cs"/>
          <w:rtl/>
        </w:rPr>
        <w:t>הרשב"א והר"ן בב"מ</w:t>
      </w:r>
      <w:r>
        <w:rPr>
          <w:rFonts w:hint="cs"/>
          <w:rtl/>
        </w:rPr>
        <w:t xml:space="preserve"> </w:t>
      </w:r>
      <w:r w:rsidRPr="007A5337">
        <w:rPr>
          <w:rStyle w:val="af6"/>
          <w:rFonts w:eastAsia="Guttman Hodes" w:hint="cs"/>
          <w:rtl/>
        </w:rPr>
        <w:t xml:space="preserve">(עי' אות </w:t>
      </w:r>
      <w:r w:rsidRPr="007A5337">
        <w:rPr>
          <w:rStyle w:val="af6"/>
          <w:rFonts w:eastAsia="Guttman Hodes"/>
          <w:rtl/>
        </w:rPr>
        <w:fldChar w:fldCharType="begin"/>
      </w:r>
      <w:r w:rsidRPr="007A5337">
        <w:rPr>
          <w:rStyle w:val="af6"/>
          <w:rFonts w:eastAsia="Guttman Hodes"/>
          <w:rtl/>
        </w:rPr>
        <w:instrText xml:space="preserve"> </w:instrText>
      </w:r>
      <w:r w:rsidRPr="007A5337">
        <w:rPr>
          <w:rStyle w:val="af6"/>
          <w:rFonts w:eastAsia="Guttman Hodes" w:hint="cs"/>
        </w:rPr>
        <w:instrText>REF</w:instrText>
      </w:r>
      <w:r w:rsidRPr="007A5337">
        <w:rPr>
          <w:rStyle w:val="af6"/>
          <w:rFonts w:eastAsia="Guttman Hodes" w:hint="cs"/>
          <w:rtl/>
        </w:rPr>
        <w:instrText xml:space="preserve"> _</w:instrText>
      </w:r>
      <w:r w:rsidRPr="007A5337">
        <w:rPr>
          <w:rStyle w:val="af6"/>
          <w:rFonts w:eastAsia="Guttman Hodes" w:hint="cs"/>
        </w:rPr>
        <w:instrText>Ref22638127 \r \h</w:instrText>
      </w:r>
      <w:r w:rsidRPr="007A5337">
        <w:rPr>
          <w:rStyle w:val="af6"/>
          <w:rFonts w:eastAsia="Guttman Hodes"/>
          <w:rtl/>
        </w:rPr>
        <w:instrText xml:space="preserve"> </w:instrText>
      </w:r>
      <w:r w:rsidRPr="007A5337">
        <w:rPr>
          <w:rStyle w:val="af6"/>
          <w:rFonts w:eastAsia="Guttman Hodes"/>
          <w:rtl/>
        </w:rPr>
      </w:r>
      <w:r w:rsidRPr="007A5337">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7A5337">
        <w:rPr>
          <w:rStyle w:val="af6"/>
          <w:rFonts w:eastAsia="Guttman Hodes"/>
          <w:rtl/>
        </w:rPr>
        <w:fldChar w:fldCharType="end"/>
      </w:r>
      <w:r>
        <w:rPr>
          <w:rFonts w:hint="cs"/>
          <w:rtl/>
        </w:rPr>
        <w:t xml:space="preserve"> דכן דעת </w:t>
      </w:r>
      <w:r w:rsidRPr="001658B9">
        <w:rPr>
          <w:rStyle w:val="af8"/>
          <w:rFonts w:hint="cs"/>
          <w:rtl/>
        </w:rPr>
        <w:t>רש"י בב"מ</w:t>
      </w:r>
      <w:r>
        <w:rPr>
          <w:rFonts w:hint="cs"/>
          <w:rtl/>
        </w:rPr>
        <w:t xml:space="preserve"> </w:t>
      </w:r>
      <w:r w:rsidRPr="007A5337">
        <w:rPr>
          <w:rStyle w:val="af6"/>
          <w:rFonts w:eastAsia="Guttman Hodes" w:hint="cs"/>
          <w:rtl/>
        </w:rPr>
        <w:t xml:space="preserve">(עי' אות </w:t>
      </w:r>
      <w:r w:rsidRPr="007A5337">
        <w:rPr>
          <w:rStyle w:val="af6"/>
          <w:rFonts w:eastAsia="Guttman Hodes"/>
          <w:rtl/>
        </w:rPr>
        <w:fldChar w:fldCharType="begin"/>
      </w:r>
      <w:r w:rsidRPr="007A5337">
        <w:rPr>
          <w:rStyle w:val="af6"/>
          <w:rFonts w:eastAsia="Guttman Hodes"/>
          <w:rtl/>
        </w:rPr>
        <w:instrText xml:space="preserve"> </w:instrText>
      </w:r>
      <w:r w:rsidRPr="007A5337">
        <w:rPr>
          <w:rStyle w:val="af6"/>
          <w:rFonts w:eastAsia="Guttman Hodes" w:hint="cs"/>
        </w:rPr>
        <w:instrText>REF</w:instrText>
      </w:r>
      <w:r w:rsidRPr="007A5337">
        <w:rPr>
          <w:rStyle w:val="af6"/>
          <w:rFonts w:eastAsia="Guttman Hodes" w:hint="cs"/>
          <w:rtl/>
        </w:rPr>
        <w:instrText xml:space="preserve"> _</w:instrText>
      </w:r>
      <w:r w:rsidRPr="007A5337">
        <w:rPr>
          <w:rStyle w:val="af6"/>
          <w:rFonts w:eastAsia="Guttman Hodes" w:hint="cs"/>
        </w:rPr>
        <w:instrText>Ref22638119 \r \h</w:instrText>
      </w:r>
      <w:r w:rsidRPr="007A5337">
        <w:rPr>
          <w:rStyle w:val="af6"/>
          <w:rFonts w:eastAsia="Guttman Hodes"/>
          <w:rtl/>
        </w:rPr>
        <w:instrText xml:space="preserve"> </w:instrText>
      </w:r>
      <w:r w:rsidRPr="007A5337">
        <w:rPr>
          <w:rStyle w:val="af6"/>
          <w:rFonts w:eastAsia="Guttman Hodes"/>
          <w:rtl/>
        </w:rPr>
      </w:r>
      <w:r w:rsidRPr="007A5337">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7A5337">
        <w:rPr>
          <w:rStyle w:val="af6"/>
          <w:rFonts w:eastAsia="Guttman Hodes"/>
          <w:rtl/>
        </w:rPr>
        <w:fldChar w:fldCharType="end"/>
      </w:r>
      <w:r>
        <w:rPr>
          <w:rFonts w:hint="cs"/>
          <w:rtl/>
        </w:rPr>
        <w:t xml:space="preserve">, וכתב </w:t>
      </w:r>
      <w:r w:rsidRPr="001658B9">
        <w:rPr>
          <w:rStyle w:val="af8"/>
          <w:rFonts w:hint="cs"/>
          <w:rtl/>
        </w:rPr>
        <w:t>הב"י</w:t>
      </w:r>
      <w:r>
        <w:rPr>
          <w:rFonts w:hint="cs"/>
          <w:rtl/>
        </w:rPr>
        <w:t xml:space="preserve"> </w:t>
      </w:r>
      <w:r w:rsidRPr="007A5337">
        <w:rPr>
          <w:rStyle w:val="af6"/>
          <w:rFonts w:eastAsia="Guttman Hodes" w:hint="cs"/>
          <w:rtl/>
        </w:rPr>
        <w:t xml:space="preserve">(עי' אות </w:t>
      </w:r>
      <w:r w:rsidRPr="007A5337">
        <w:rPr>
          <w:rStyle w:val="af6"/>
          <w:rFonts w:eastAsia="Guttman Hodes"/>
          <w:rtl/>
        </w:rPr>
        <w:fldChar w:fldCharType="begin"/>
      </w:r>
      <w:r w:rsidRPr="007A5337">
        <w:rPr>
          <w:rStyle w:val="af6"/>
          <w:rFonts w:eastAsia="Guttman Hodes"/>
          <w:rtl/>
        </w:rPr>
        <w:instrText xml:space="preserve"> </w:instrText>
      </w:r>
      <w:r w:rsidRPr="007A5337">
        <w:rPr>
          <w:rStyle w:val="af6"/>
          <w:rFonts w:eastAsia="Guttman Hodes" w:hint="cs"/>
        </w:rPr>
        <w:instrText>REF</w:instrText>
      </w:r>
      <w:r w:rsidRPr="007A5337">
        <w:rPr>
          <w:rStyle w:val="af6"/>
          <w:rFonts w:eastAsia="Guttman Hodes" w:hint="cs"/>
          <w:rtl/>
        </w:rPr>
        <w:instrText xml:space="preserve"> _</w:instrText>
      </w:r>
      <w:r w:rsidRPr="007A5337">
        <w:rPr>
          <w:rStyle w:val="af6"/>
          <w:rFonts w:eastAsia="Guttman Hodes" w:hint="cs"/>
        </w:rPr>
        <w:instrText>Ref22638093 \r \h</w:instrText>
      </w:r>
      <w:r w:rsidRPr="007A5337">
        <w:rPr>
          <w:rStyle w:val="af6"/>
          <w:rFonts w:eastAsia="Guttman Hodes"/>
          <w:rtl/>
        </w:rPr>
        <w:instrText xml:space="preserve"> </w:instrText>
      </w:r>
      <w:r w:rsidRPr="007A5337">
        <w:rPr>
          <w:rStyle w:val="af6"/>
          <w:rFonts w:eastAsia="Guttman Hodes"/>
          <w:rtl/>
        </w:rPr>
      </w:r>
      <w:r w:rsidRPr="007A5337">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7A5337">
        <w:rPr>
          <w:rStyle w:val="af6"/>
          <w:rFonts w:eastAsia="Guttman Hodes"/>
          <w:rtl/>
        </w:rPr>
        <w:fldChar w:fldCharType="end"/>
      </w:r>
      <w:r>
        <w:rPr>
          <w:rFonts w:hint="cs"/>
          <w:rtl/>
        </w:rPr>
        <w:t xml:space="preserve"> דכן דעת </w:t>
      </w:r>
      <w:r w:rsidRPr="001658B9">
        <w:rPr>
          <w:rStyle w:val="af8"/>
          <w:rFonts w:hint="cs"/>
          <w:rtl/>
        </w:rPr>
        <w:t>הרמב"ם</w:t>
      </w:r>
      <w:r>
        <w:rPr>
          <w:rFonts w:hint="cs"/>
          <w:rtl/>
        </w:rPr>
        <w:t xml:space="preserve"> </w:t>
      </w:r>
      <w:r w:rsidRPr="007A5337">
        <w:rPr>
          <w:rStyle w:val="af6"/>
          <w:rFonts w:eastAsia="Guttman Hodes" w:hint="cs"/>
          <w:rtl/>
        </w:rPr>
        <w:t xml:space="preserve">(עי' אות </w:t>
      </w:r>
      <w:r w:rsidRPr="007A5337">
        <w:rPr>
          <w:rStyle w:val="af6"/>
          <w:rFonts w:eastAsia="Guttman Hodes"/>
          <w:rtl/>
        </w:rPr>
        <w:fldChar w:fldCharType="begin"/>
      </w:r>
      <w:r w:rsidRPr="007A5337">
        <w:rPr>
          <w:rStyle w:val="af6"/>
          <w:rFonts w:eastAsia="Guttman Hodes"/>
          <w:rtl/>
        </w:rPr>
        <w:instrText xml:space="preserve"> </w:instrText>
      </w:r>
      <w:r w:rsidRPr="007A5337">
        <w:rPr>
          <w:rStyle w:val="af6"/>
          <w:rFonts w:eastAsia="Guttman Hodes" w:hint="cs"/>
        </w:rPr>
        <w:instrText>REF</w:instrText>
      </w:r>
      <w:r w:rsidRPr="007A5337">
        <w:rPr>
          <w:rStyle w:val="af6"/>
          <w:rFonts w:eastAsia="Guttman Hodes" w:hint="cs"/>
          <w:rtl/>
        </w:rPr>
        <w:instrText xml:space="preserve"> _</w:instrText>
      </w:r>
      <w:r w:rsidRPr="007A5337">
        <w:rPr>
          <w:rStyle w:val="af6"/>
          <w:rFonts w:eastAsia="Guttman Hodes" w:hint="cs"/>
        </w:rPr>
        <w:instrText>Ref22638102 \r \h</w:instrText>
      </w:r>
      <w:r w:rsidRPr="007A5337">
        <w:rPr>
          <w:rStyle w:val="af6"/>
          <w:rFonts w:eastAsia="Guttman Hodes"/>
          <w:rtl/>
        </w:rPr>
        <w:instrText xml:space="preserve"> </w:instrText>
      </w:r>
      <w:r w:rsidRPr="007A5337">
        <w:rPr>
          <w:rStyle w:val="af6"/>
          <w:rFonts w:eastAsia="Guttman Hodes"/>
          <w:rtl/>
        </w:rPr>
      </w:r>
      <w:r w:rsidRPr="007A5337">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7A5337">
        <w:rPr>
          <w:rStyle w:val="af6"/>
          <w:rFonts w:eastAsia="Guttman Hodes"/>
          <w:rtl/>
        </w:rPr>
        <w:fldChar w:fldCharType="end"/>
      </w:r>
      <w:r>
        <w:rPr>
          <w:rFonts w:hint="cs"/>
          <w:rtl/>
        </w:rPr>
        <w:t>.</w:t>
      </w:r>
    </w:p>
    <w:p w:rsidR="00D45705" w:rsidRDefault="00D45705" w:rsidP="00E669F8">
      <w:pPr>
        <w:pStyle w:val="afd"/>
        <w:rPr>
          <w:rtl/>
        </w:rPr>
      </w:pPr>
      <w:bookmarkStart w:id="11875" w:name="_Toc23224069"/>
      <w:bookmarkStart w:id="11876" w:name="_Toc23672425"/>
      <w:bookmarkStart w:id="11877" w:name="_Toc23672989"/>
      <w:bookmarkStart w:id="11878" w:name="_Toc22638874"/>
      <w:bookmarkStart w:id="11879" w:name="_Toc23224072"/>
      <w:bookmarkStart w:id="11880" w:name="_Toc23372445"/>
      <w:bookmarkStart w:id="11881" w:name="_Toc23419116"/>
      <w:bookmarkStart w:id="11882" w:name="_Toc23499378"/>
      <w:bookmarkStart w:id="11883" w:name="_Toc23663784"/>
      <w:bookmarkStart w:id="11884" w:name="_Toc22250681"/>
      <w:r>
        <w:rPr>
          <w:rFonts w:hint="cs"/>
          <w:rtl/>
        </w:rPr>
        <w:t>במקור וגדר דין ביטול ברוב</w:t>
      </w:r>
      <w:bookmarkEnd w:id="11875"/>
      <w:bookmarkEnd w:id="11876"/>
      <w:bookmarkEnd w:id="11877"/>
    </w:p>
    <w:p w:rsidR="00D45705" w:rsidRDefault="00D45705" w:rsidP="00D45705">
      <w:pPr>
        <w:pStyle w:val="1"/>
        <w:rPr>
          <w:rtl/>
        </w:rPr>
      </w:pPr>
      <w:bookmarkStart w:id="11885" w:name="_Toc23672426"/>
      <w:bookmarkStart w:id="11886" w:name="_Toc23672990"/>
      <w:r>
        <w:rPr>
          <w:rFonts w:hint="cs"/>
          <w:rtl/>
        </w:rPr>
        <w:t>קושית האחרונים האיך ביטול ברוב נלמד מדיינים</w:t>
      </w:r>
      <w:bookmarkEnd w:id="11885"/>
      <w:bookmarkEnd w:id="11886"/>
    </w:p>
    <w:p w:rsidR="00D45705" w:rsidRPr="00727363" w:rsidRDefault="00D45705" w:rsidP="00D45705">
      <w:pPr>
        <w:pStyle w:val="a2"/>
        <w:rPr>
          <w:rtl/>
        </w:rPr>
      </w:pPr>
      <w:bookmarkStart w:id="11887" w:name="_Toc23224071"/>
      <w:bookmarkStart w:id="11888" w:name="_Toc23672427"/>
      <w:bookmarkStart w:id="11889" w:name="_Toc23672991"/>
      <w:r>
        <w:rPr>
          <w:rFonts w:hint="cs"/>
          <w:rtl/>
        </w:rPr>
        <w:t>דברי הראשונים דביטול ברוב נלמד מאחרי רבים להטות</w:t>
      </w:r>
      <w:bookmarkEnd w:id="11887"/>
      <w:r>
        <w:rPr>
          <w:rFonts w:hint="cs"/>
          <w:rtl/>
        </w:rPr>
        <w:t xml:space="preserve"> וקושית האחרונים דלא דמי לדיינים</w:t>
      </w:r>
      <w:bookmarkEnd w:id="11888"/>
      <w:bookmarkEnd w:id="11889"/>
    </w:p>
    <w:p w:rsidR="00D45705" w:rsidRPr="00F65955" w:rsidRDefault="00D45705" w:rsidP="009F44AF">
      <w:pPr>
        <w:pStyle w:val="a"/>
        <w:rPr>
          <w:rtl/>
        </w:rPr>
      </w:pPr>
      <w:r>
        <w:rPr>
          <w:rFonts w:hint="cs"/>
          <w:rtl/>
        </w:rPr>
        <w:t xml:space="preserve">כתבו </w:t>
      </w:r>
      <w:r w:rsidRPr="005B157F">
        <w:rPr>
          <w:rStyle w:val="af8"/>
          <w:rFonts w:hint="cs"/>
          <w:rtl/>
        </w:rPr>
        <w:t xml:space="preserve">רש"י </w:t>
      </w:r>
      <w:r>
        <w:rPr>
          <w:rStyle w:val="af8"/>
          <w:rFonts w:hint="cs"/>
          <w:rtl/>
        </w:rPr>
        <w:t>לעיל ו</w:t>
      </w:r>
      <w:r w:rsidRPr="001812AF">
        <w:rPr>
          <w:rStyle w:val="af8"/>
          <w:rFonts w:hint="cs"/>
          <w:rtl/>
        </w:rPr>
        <w:t>התוס' בע"ז</w:t>
      </w:r>
      <w:r>
        <w:rPr>
          <w:rFonts w:hint="cs"/>
          <w:rtl/>
        </w:rPr>
        <w:t xml:space="preserve"> </w:t>
      </w:r>
      <w:r w:rsidRPr="0045356E">
        <w:rPr>
          <w:rStyle w:val="af8"/>
          <w:rFonts w:hint="cs"/>
          <w:rtl/>
        </w:rPr>
        <w:t>והרמב"ן לעיל</w:t>
      </w:r>
      <w:r w:rsidRPr="00F65955">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Ref23623666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צה)</w:t>
      </w:r>
      <w:r>
        <w:rPr>
          <w:rStyle w:val="af6"/>
          <w:rFonts w:eastAsia="Guttman Hodes"/>
          <w:rtl/>
        </w:rPr>
        <w:fldChar w:fldCharType="end"/>
      </w:r>
      <w:r>
        <w:rPr>
          <w:rStyle w:val="af6"/>
          <w:rFonts w:eastAsia="Guttman Hodes" w:hint="cs"/>
          <w:rtl/>
        </w:rPr>
        <w:t xml:space="preserve"> </w:t>
      </w:r>
      <w:r>
        <w:rPr>
          <w:rFonts w:hint="cs"/>
          <w:rtl/>
        </w:rPr>
        <w:t xml:space="preserve">דילפינן מדכתיב אחרי רבים להטות, דמדאו' </w:t>
      </w:r>
      <w:r w:rsidRPr="00F65955">
        <w:rPr>
          <w:rFonts w:hint="cs"/>
          <w:rtl/>
        </w:rPr>
        <w:t xml:space="preserve">חד בתרי בטיל, </w:t>
      </w:r>
      <w:r w:rsidRPr="00F65955">
        <w:rPr>
          <w:rStyle w:val="af8"/>
          <w:rFonts w:hint="cs"/>
          <w:rtl/>
        </w:rPr>
        <w:t>והרא"ש</w:t>
      </w:r>
      <w:r w:rsidRPr="00F65955">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Ref23624626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צו)</w:t>
      </w:r>
      <w:r>
        <w:rPr>
          <w:rStyle w:val="af6"/>
          <w:rFonts w:eastAsia="Guttman Hodes"/>
          <w:rtl/>
        </w:rPr>
        <w:fldChar w:fldCharType="end"/>
      </w:r>
      <w:r>
        <w:rPr>
          <w:rStyle w:val="af6"/>
          <w:rFonts w:eastAsia="Guttman Hodes" w:hint="cs"/>
          <w:rtl/>
        </w:rPr>
        <w:t xml:space="preserve"> </w:t>
      </w:r>
      <w:r w:rsidRPr="00F65955">
        <w:rPr>
          <w:rFonts w:hint="cs"/>
          <w:rtl/>
        </w:rPr>
        <w:t xml:space="preserve">כתב דביטול ברוב מותר מגזיה"כ דאחרי רבים להטות, דהאיסור נהפך להיות היתר, ועי' במה שהקשה </w:t>
      </w:r>
      <w:r w:rsidRPr="00F65955">
        <w:rPr>
          <w:rStyle w:val="af8"/>
          <w:rtl/>
        </w:rPr>
        <w:t>הפרמ"ג</w:t>
      </w:r>
      <w:r w:rsidRPr="00F65955">
        <w:rPr>
          <w:rFonts w:hint="cs"/>
          <w:rtl/>
        </w:rPr>
        <w:t xml:space="preserve"> </w:t>
      </w:r>
      <w:r w:rsidRPr="00D77327">
        <w:rPr>
          <w:rStyle w:val="af6"/>
          <w:rFonts w:eastAsia="Guttman Hodes" w:hint="cs"/>
          <w:rtl/>
        </w:rPr>
        <w:t xml:space="preserve">(עי' אות </w:t>
      </w:r>
      <w:r w:rsidRPr="00D77327">
        <w:rPr>
          <w:rStyle w:val="af6"/>
          <w:rFonts w:eastAsia="Guttman Hodes"/>
          <w:rtl/>
        </w:rPr>
        <w:fldChar w:fldCharType="begin"/>
      </w:r>
      <w:r w:rsidRPr="00D77327">
        <w:rPr>
          <w:rStyle w:val="af6"/>
          <w:rFonts w:eastAsia="Guttman Hodes"/>
          <w:rtl/>
        </w:rPr>
        <w:instrText xml:space="preserve"> </w:instrText>
      </w:r>
      <w:r w:rsidRPr="00D77327">
        <w:rPr>
          <w:rStyle w:val="af6"/>
          <w:rFonts w:eastAsia="Guttman Hodes" w:hint="cs"/>
        </w:rPr>
        <w:instrText>REF</w:instrText>
      </w:r>
      <w:r w:rsidRPr="00D77327">
        <w:rPr>
          <w:rStyle w:val="af6"/>
          <w:rFonts w:eastAsia="Guttman Hodes" w:hint="cs"/>
          <w:rtl/>
        </w:rPr>
        <w:instrText xml:space="preserve"> _</w:instrText>
      </w:r>
      <w:r w:rsidRPr="00D77327">
        <w:rPr>
          <w:rStyle w:val="af6"/>
          <w:rFonts w:eastAsia="Guttman Hodes" w:hint="cs"/>
        </w:rPr>
        <w:instrText>Ref23500879 \r \h</w:instrText>
      </w:r>
      <w:r w:rsidRPr="00D77327">
        <w:rPr>
          <w:rStyle w:val="af6"/>
          <w:rFonts w:eastAsia="Guttman Hodes"/>
          <w:rtl/>
        </w:rPr>
        <w:instrText xml:space="preserve"> </w:instrText>
      </w:r>
      <w:r w:rsidRPr="00D77327">
        <w:rPr>
          <w:rStyle w:val="af6"/>
          <w:rFonts w:eastAsia="Guttman Hodes"/>
          <w:rtl/>
        </w:rPr>
      </w:r>
      <w:r w:rsidRPr="00D77327">
        <w:rPr>
          <w:rStyle w:val="af6"/>
          <w:rFonts w:eastAsia="Guttman Hodes"/>
          <w:rtl/>
        </w:rPr>
        <w:fldChar w:fldCharType="separate"/>
      </w:r>
      <w:r w:rsidR="004D1C5B">
        <w:rPr>
          <w:rStyle w:val="af6"/>
          <w:rFonts w:eastAsia="Guttman Hodes"/>
          <w:cs/>
        </w:rPr>
        <w:t>‎</w:t>
      </w:r>
      <w:r w:rsidR="004D1C5B">
        <w:rPr>
          <w:rStyle w:val="af6"/>
          <w:rFonts w:eastAsia="Guttman Hodes"/>
          <w:rtl/>
        </w:rPr>
        <w:t>צז)</w:t>
      </w:r>
      <w:r w:rsidRPr="00D77327">
        <w:rPr>
          <w:rStyle w:val="af6"/>
          <w:rFonts w:eastAsia="Guttman Hodes"/>
          <w:rtl/>
        </w:rPr>
        <w:fldChar w:fldCharType="end"/>
      </w:r>
      <w:r w:rsidRPr="00F65955">
        <w:rPr>
          <w:rFonts w:hint="cs"/>
          <w:rtl/>
        </w:rPr>
        <w:t xml:space="preserve"> דביטול ברוב לא דמי לדין אחרי רבים להטות בסנהדרין, ובמה שהקשה </w:t>
      </w:r>
      <w:r w:rsidRPr="00F65955">
        <w:rPr>
          <w:rStyle w:val="af8"/>
          <w:rFonts w:hint="cs"/>
          <w:rtl/>
        </w:rPr>
        <w:t>השער"י</w:t>
      </w:r>
      <w:r w:rsidRPr="00F65955">
        <w:rPr>
          <w:rFonts w:hint="cs"/>
          <w:rtl/>
        </w:rPr>
        <w:t xml:space="preserve"> </w:t>
      </w:r>
      <w:r w:rsidRPr="00E669AD">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Ref23671238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קכג)</w:t>
      </w:r>
      <w:r>
        <w:rPr>
          <w:rStyle w:val="af6"/>
          <w:rFonts w:eastAsia="Guttman Hodes"/>
          <w:rtl/>
        </w:rPr>
        <w:fldChar w:fldCharType="end"/>
      </w:r>
      <w:r w:rsidRPr="00E669AD">
        <w:rPr>
          <w:rStyle w:val="af6"/>
          <w:rFonts w:eastAsia="Guttman Hodes" w:hint="cs"/>
          <w:rtl/>
        </w:rPr>
        <w:t xml:space="preserve"> </w:t>
      </w:r>
      <w:r w:rsidRPr="00F65955">
        <w:rPr>
          <w:rFonts w:hint="cs"/>
          <w:rtl/>
        </w:rPr>
        <w:t xml:space="preserve">דא"א ללמוד מסנהדרין גם את דין ביטול ברוב וגם את דין הלך אחר הרוב, ועי' במ"ש </w:t>
      </w:r>
      <w:r>
        <w:rPr>
          <w:rFonts w:hint="cs"/>
          <w:rtl/>
        </w:rPr>
        <w:t xml:space="preserve">בזה </w:t>
      </w:r>
      <w:r w:rsidRPr="00E669AD">
        <w:rPr>
          <w:rStyle w:val="af8"/>
          <w:rFonts w:hint="cs"/>
          <w:rtl/>
        </w:rPr>
        <w:t>הלבוש</w:t>
      </w:r>
      <w:r>
        <w:rPr>
          <w:rFonts w:hint="cs"/>
          <w:rtl/>
        </w:rPr>
        <w:t xml:space="preserve"> </w:t>
      </w:r>
      <w:r w:rsidRPr="00E669AD">
        <w:rPr>
          <w:rStyle w:val="af6"/>
          <w:rFonts w:eastAsia="Guttman Hodes" w:hint="cs"/>
          <w:rtl/>
        </w:rPr>
        <w:t xml:space="preserve">(עי' אות </w:t>
      </w:r>
      <w:r w:rsidRPr="00E669AD">
        <w:rPr>
          <w:rStyle w:val="af6"/>
          <w:rFonts w:eastAsia="Guttman Hodes"/>
          <w:rtl/>
        </w:rPr>
        <w:fldChar w:fldCharType="begin"/>
      </w:r>
      <w:r w:rsidRPr="00E669AD">
        <w:rPr>
          <w:rStyle w:val="af6"/>
          <w:rFonts w:eastAsia="Guttman Hodes"/>
          <w:rtl/>
        </w:rPr>
        <w:instrText xml:space="preserve"> </w:instrText>
      </w:r>
      <w:r w:rsidRPr="00E669AD">
        <w:rPr>
          <w:rStyle w:val="af6"/>
          <w:rFonts w:eastAsia="Guttman Hodes" w:hint="cs"/>
        </w:rPr>
        <w:instrText>REF</w:instrText>
      </w:r>
      <w:r w:rsidRPr="00E669AD">
        <w:rPr>
          <w:rStyle w:val="af6"/>
          <w:rFonts w:eastAsia="Guttman Hodes" w:hint="cs"/>
          <w:rtl/>
        </w:rPr>
        <w:instrText xml:space="preserve"> _</w:instrText>
      </w:r>
      <w:r w:rsidRPr="00E669AD">
        <w:rPr>
          <w:rStyle w:val="af6"/>
          <w:rFonts w:eastAsia="Guttman Hodes" w:hint="cs"/>
        </w:rPr>
        <w:instrText>Ref23671955 \r \h</w:instrText>
      </w:r>
      <w:r w:rsidRPr="00E669AD">
        <w:rPr>
          <w:rStyle w:val="af6"/>
          <w:rFonts w:eastAsia="Guttman Hodes"/>
          <w:rtl/>
        </w:rPr>
        <w:instrText xml:space="preserve"> </w:instrText>
      </w:r>
      <w:r w:rsidRPr="00E669AD">
        <w:rPr>
          <w:rStyle w:val="af6"/>
          <w:rFonts w:eastAsia="Guttman Hodes"/>
          <w:rtl/>
        </w:rPr>
      </w:r>
      <w:r w:rsidRPr="00E669AD">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E669AD">
        <w:rPr>
          <w:rStyle w:val="af6"/>
          <w:rFonts w:eastAsia="Guttman Hodes"/>
          <w:rtl/>
        </w:rPr>
        <w:fldChar w:fldCharType="end"/>
      </w:r>
      <w:r>
        <w:rPr>
          <w:rFonts w:hint="cs"/>
          <w:rtl/>
        </w:rPr>
        <w:t xml:space="preserve"> </w:t>
      </w:r>
      <w:r w:rsidRPr="00E669AD">
        <w:rPr>
          <w:rStyle w:val="af8"/>
          <w:rFonts w:hint="cs"/>
          <w:rtl/>
        </w:rPr>
        <w:t xml:space="preserve">והט"ז </w:t>
      </w:r>
      <w:r w:rsidRPr="00E669AD">
        <w:rPr>
          <w:rStyle w:val="af6"/>
          <w:rFonts w:eastAsia="Guttman Hodes" w:hint="cs"/>
          <w:rtl/>
        </w:rPr>
        <w:t xml:space="preserve">(עי' אות </w:t>
      </w:r>
      <w:r w:rsidRPr="00E669AD">
        <w:rPr>
          <w:rStyle w:val="af6"/>
          <w:rFonts w:eastAsia="Guttman Hodes"/>
          <w:rtl/>
        </w:rPr>
        <w:fldChar w:fldCharType="begin"/>
      </w:r>
      <w:r w:rsidRPr="00E669AD">
        <w:rPr>
          <w:rStyle w:val="af6"/>
          <w:rFonts w:eastAsia="Guttman Hodes"/>
          <w:rtl/>
        </w:rPr>
        <w:instrText xml:space="preserve"> </w:instrText>
      </w:r>
      <w:r w:rsidRPr="00E669AD">
        <w:rPr>
          <w:rStyle w:val="af6"/>
          <w:rFonts w:eastAsia="Guttman Hodes" w:hint="cs"/>
        </w:rPr>
        <w:instrText>REF</w:instrText>
      </w:r>
      <w:r w:rsidRPr="00E669AD">
        <w:rPr>
          <w:rStyle w:val="af6"/>
          <w:rFonts w:eastAsia="Guttman Hodes" w:hint="cs"/>
          <w:rtl/>
        </w:rPr>
        <w:instrText xml:space="preserve"> _</w:instrText>
      </w:r>
      <w:r w:rsidRPr="00E669AD">
        <w:rPr>
          <w:rStyle w:val="af6"/>
          <w:rFonts w:eastAsia="Guttman Hodes" w:hint="cs"/>
        </w:rPr>
        <w:instrText>Ref23671955 \r \h</w:instrText>
      </w:r>
      <w:r w:rsidRPr="00E669AD">
        <w:rPr>
          <w:rStyle w:val="af6"/>
          <w:rFonts w:eastAsia="Guttman Hodes"/>
          <w:rtl/>
        </w:rPr>
        <w:instrText xml:space="preserve"> </w:instrText>
      </w:r>
      <w:r w:rsidRPr="00E669AD">
        <w:rPr>
          <w:rStyle w:val="af6"/>
          <w:rFonts w:eastAsia="Guttman Hodes"/>
          <w:rtl/>
        </w:rPr>
      </w:r>
      <w:r w:rsidRPr="00E669AD">
        <w:rPr>
          <w:rStyle w:val="af6"/>
          <w:rFonts w:eastAsia="Guttman Hodes"/>
          <w:rtl/>
        </w:rPr>
        <w:fldChar w:fldCharType="separate"/>
      </w:r>
      <w:r w:rsidR="004D1C5B">
        <w:rPr>
          <w:rStyle w:val="af6"/>
          <w:rFonts w:eastAsia="Guttman Hodes"/>
          <w:cs/>
        </w:rPr>
        <w:t>‎</w:t>
      </w:r>
      <w:r w:rsidR="004D1C5B">
        <w:rPr>
          <w:rStyle w:val="af6"/>
          <w:rFonts w:eastAsia="Guttman Hodes"/>
          <w:rtl/>
        </w:rPr>
        <w:t>קג)</w:t>
      </w:r>
      <w:r w:rsidRPr="00E669AD">
        <w:rPr>
          <w:rStyle w:val="af6"/>
          <w:rFonts w:eastAsia="Guttman Hodes"/>
          <w:rtl/>
        </w:rPr>
        <w:fldChar w:fldCharType="end"/>
      </w:r>
      <w:r>
        <w:rPr>
          <w:rStyle w:val="af6"/>
          <w:rFonts w:eastAsia="Guttman Hodes" w:hint="cs"/>
          <w:rtl/>
        </w:rPr>
        <w:t xml:space="preserve"> </w:t>
      </w:r>
      <w:r>
        <w:rPr>
          <w:rFonts w:hint="cs"/>
          <w:rtl/>
        </w:rPr>
        <w:t xml:space="preserve">ובדברי </w:t>
      </w:r>
      <w:r w:rsidRPr="00E669AD">
        <w:rPr>
          <w:rStyle w:val="af8"/>
          <w:rFonts w:hint="cs"/>
          <w:rtl/>
        </w:rPr>
        <w:t xml:space="preserve">החי' הרי"ם </w:t>
      </w:r>
      <w:r w:rsidRPr="00E669AD">
        <w:rPr>
          <w:rStyle w:val="af6"/>
          <w:rFonts w:eastAsia="Guttman Hodes" w:hint="cs"/>
          <w:rtl/>
        </w:rPr>
        <w:t xml:space="preserve">(עי' אות </w:t>
      </w:r>
      <w:r w:rsidRPr="00E669AD">
        <w:rPr>
          <w:rStyle w:val="af6"/>
          <w:rFonts w:eastAsia="Guttman Hodes"/>
          <w:rtl/>
        </w:rPr>
        <w:fldChar w:fldCharType="begin"/>
      </w:r>
      <w:r w:rsidRPr="00E669AD">
        <w:rPr>
          <w:rStyle w:val="af6"/>
          <w:rFonts w:eastAsia="Guttman Hodes"/>
          <w:rtl/>
        </w:rPr>
        <w:instrText xml:space="preserve"> </w:instrText>
      </w:r>
      <w:r w:rsidRPr="00E669AD">
        <w:rPr>
          <w:rStyle w:val="af6"/>
          <w:rFonts w:eastAsia="Guttman Hodes" w:hint="cs"/>
        </w:rPr>
        <w:instrText>REF</w:instrText>
      </w:r>
      <w:r w:rsidRPr="00E669AD">
        <w:rPr>
          <w:rStyle w:val="af6"/>
          <w:rFonts w:eastAsia="Guttman Hodes" w:hint="cs"/>
          <w:rtl/>
        </w:rPr>
        <w:instrText xml:space="preserve"> _</w:instrText>
      </w:r>
      <w:r w:rsidRPr="00E669AD">
        <w:rPr>
          <w:rStyle w:val="af6"/>
          <w:rFonts w:eastAsia="Guttman Hodes" w:hint="cs"/>
        </w:rPr>
        <w:instrText>Ref23671971 \r \h</w:instrText>
      </w:r>
      <w:r w:rsidRPr="00E669AD">
        <w:rPr>
          <w:rStyle w:val="af6"/>
          <w:rFonts w:eastAsia="Guttman Hodes"/>
          <w:rtl/>
        </w:rPr>
        <w:instrText xml:space="preserve"> </w:instrText>
      </w:r>
      <w:r w:rsidRPr="00E669AD">
        <w:rPr>
          <w:rStyle w:val="af6"/>
          <w:rFonts w:eastAsia="Guttman Hodes"/>
          <w:rtl/>
        </w:rPr>
      </w:r>
      <w:r w:rsidRPr="00E669AD">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E669AD">
        <w:rPr>
          <w:rStyle w:val="af6"/>
          <w:rFonts w:eastAsia="Guttman Hodes"/>
          <w:rtl/>
        </w:rPr>
        <w:fldChar w:fldCharType="end"/>
      </w:r>
      <w:r>
        <w:rPr>
          <w:rFonts w:hint="cs"/>
          <w:rtl/>
        </w:rPr>
        <w:t xml:space="preserve">, וע"ע בדברי </w:t>
      </w:r>
      <w:r w:rsidRPr="00E669AD">
        <w:rPr>
          <w:rStyle w:val="af8"/>
          <w:rFonts w:hint="cs"/>
          <w:rtl/>
        </w:rPr>
        <w:t xml:space="preserve">התוס' רי"ד </w:t>
      </w:r>
      <w:r w:rsidRPr="00E669AD">
        <w:rPr>
          <w:rStyle w:val="af6"/>
          <w:rFonts w:eastAsia="Guttman Hodes" w:hint="cs"/>
          <w:rtl/>
        </w:rPr>
        <w:t xml:space="preserve">(עי' אות </w:t>
      </w:r>
      <w:r w:rsidRPr="00E669AD">
        <w:rPr>
          <w:rStyle w:val="af6"/>
          <w:rFonts w:eastAsia="Guttman Hodes"/>
          <w:rtl/>
        </w:rPr>
        <w:fldChar w:fldCharType="begin"/>
      </w:r>
      <w:r w:rsidRPr="00E669AD">
        <w:rPr>
          <w:rStyle w:val="af6"/>
          <w:rFonts w:eastAsia="Guttman Hodes"/>
          <w:rtl/>
        </w:rPr>
        <w:instrText xml:space="preserve"> </w:instrText>
      </w:r>
      <w:r w:rsidRPr="00E669AD">
        <w:rPr>
          <w:rStyle w:val="af6"/>
          <w:rFonts w:eastAsia="Guttman Hodes" w:hint="cs"/>
        </w:rPr>
        <w:instrText>REF</w:instrText>
      </w:r>
      <w:r w:rsidRPr="00E669AD">
        <w:rPr>
          <w:rStyle w:val="af6"/>
          <w:rFonts w:eastAsia="Guttman Hodes" w:hint="cs"/>
          <w:rtl/>
        </w:rPr>
        <w:instrText xml:space="preserve"> _</w:instrText>
      </w:r>
      <w:r w:rsidRPr="00E669AD">
        <w:rPr>
          <w:rStyle w:val="af6"/>
          <w:rFonts w:eastAsia="Guttman Hodes" w:hint="cs"/>
        </w:rPr>
        <w:instrText>Ref23672043 \r \h</w:instrText>
      </w:r>
      <w:r w:rsidRPr="00E669AD">
        <w:rPr>
          <w:rStyle w:val="af6"/>
          <w:rFonts w:eastAsia="Guttman Hodes"/>
          <w:rtl/>
        </w:rPr>
        <w:instrText xml:space="preserve"> </w:instrText>
      </w:r>
      <w:r w:rsidRPr="00E669AD">
        <w:rPr>
          <w:rStyle w:val="af6"/>
          <w:rFonts w:eastAsia="Guttman Hodes"/>
          <w:rtl/>
        </w:rPr>
      </w:r>
      <w:r w:rsidRPr="00E669AD">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E669AD">
        <w:rPr>
          <w:rStyle w:val="af6"/>
          <w:rFonts w:eastAsia="Guttman Hodes"/>
          <w:rtl/>
        </w:rPr>
        <w:fldChar w:fldCharType="end"/>
      </w:r>
      <w:r>
        <w:rPr>
          <w:rFonts w:hint="cs"/>
          <w:rtl/>
        </w:rPr>
        <w:t xml:space="preserve"> ובמה שביאר </w:t>
      </w:r>
      <w:r w:rsidRPr="005A11DC">
        <w:rPr>
          <w:rStyle w:val="af8"/>
          <w:rFonts w:hint="cs"/>
          <w:rtl/>
        </w:rPr>
        <w:t xml:space="preserve">הקוב"ש </w:t>
      </w:r>
      <w:r w:rsidRPr="00E52C8B">
        <w:rPr>
          <w:rStyle w:val="af6"/>
          <w:rFonts w:eastAsia="Guttman Hodes" w:hint="cs"/>
          <w:rtl/>
        </w:rPr>
        <w:t xml:space="preserve">(עי' אות </w:t>
      </w:r>
      <w:r w:rsidRPr="00E52C8B">
        <w:rPr>
          <w:rStyle w:val="af6"/>
          <w:rFonts w:eastAsia="Guttman Hodes"/>
          <w:rtl/>
        </w:rPr>
        <w:fldChar w:fldCharType="begin"/>
      </w:r>
      <w:r w:rsidRPr="00E52C8B">
        <w:rPr>
          <w:rStyle w:val="af6"/>
          <w:rFonts w:eastAsia="Guttman Hodes"/>
          <w:rtl/>
        </w:rPr>
        <w:instrText xml:space="preserve"> </w:instrText>
      </w:r>
      <w:r w:rsidRPr="00E52C8B">
        <w:rPr>
          <w:rStyle w:val="af6"/>
          <w:rFonts w:eastAsia="Guttman Hodes" w:hint="cs"/>
        </w:rPr>
        <w:instrText>REF</w:instrText>
      </w:r>
      <w:r w:rsidRPr="00E52C8B">
        <w:rPr>
          <w:rStyle w:val="af6"/>
          <w:rFonts w:eastAsia="Guttman Hodes" w:hint="cs"/>
          <w:rtl/>
        </w:rPr>
        <w:instrText xml:space="preserve"> _</w:instrText>
      </w:r>
      <w:r w:rsidRPr="00E52C8B">
        <w:rPr>
          <w:rStyle w:val="af6"/>
          <w:rFonts w:eastAsia="Guttman Hodes" w:hint="cs"/>
        </w:rPr>
        <w:instrText>Ref23328491 \r \h</w:instrText>
      </w:r>
      <w:r w:rsidRPr="00E52C8B">
        <w:rPr>
          <w:rStyle w:val="af6"/>
          <w:rFonts w:eastAsia="Guttman Hodes"/>
          <w:rtl/>
        </w:rPr>
        <w:instrText xml:space="preserve"> </w:instrText>
      </w:r>
      <w:r w:rsidRPr="00E52C8B">
        <w:rPr>
          <w:rStyle w:val="af6"/>
          <w:rFonts w:eastAsia="Guttman Hodes"/>
          <w:rtl/>
        </w:rPr>
      </w:r>
      <w:r w:rsidRPr="00E52C8B">
        <w:rPr>
          <w:rStyle w:val="af6"/>
          <w:rFonts w:eastAsia="Guttman Hodes"/>
          <w:rtl/>
        </w:rPr>
        <w:fldChar w:fldCharType="separate"/>
      </w:r>
      <w:r w:rsidR="004D1C5B">
        <w:rPr>
          <w:rStyle w:val="af6"/>
          <w:rFonts w:eastAsia="Guttman Hodes"/>
          <w:cs/>
        </w:rPr>
        <w:t>‎</w:t>
      </w:r>
      <w:r w:rsidR="004D1C5B">
        <w:rPr>
          <w:rStyle w:val="af6"/>
          <w:rFonts w:eastAsia="Guttman Hodes"/>
          <w:rtl/>
        </w:rPr>
        <w:t>קכט)</w:t>
      </w:r>
      <w:r w:rsidRPr="00E52C8B">
        <w:rPr>
          <w:rStyle w:val="af6"/>
          <w:rFonts w:eastAsia="Guttman Hodes"/>
          <w:rtl/>
        </w:rPr>
        <w:fldChar w:fldCharType="end"/>
      </w:r>
      <w:r>
        <w:rPr>
          <w:rFonts w:hint="cs"/>
          <w:rtl/>
        </w:rPr>
        <w:t xml:space="preserve"> בדבריו, ובמ"ש </w:t>
      </w:r>
      <w:r w:rsidRPr="00E669AD">
        <w:rPr>
          <w:rStyle w:val="af8"/>
          <w:rFonts w:hint="cs"/>
          <w:rtl/>
        </w:rPr>
        <w:t xml:space="preserve">במשנת ר"א </w:t>
      </w:r>
      <w:r w:rsidRPr="00E669AD">
        <w:rPr>
          <w:rStyle w:val="af6"/>
          <w:rFonts w:eastAsia="Guttman Hodes" w:hint="cs"/>
          <w:rtl/>
        </w:rPr>
        <w:t>(</w:t>
      </w:r>
      <w:r w:rsidRPr="00534AA0">
        <w:rPr>
          <w:rStyle w:val="af6"/>
          <w:rFonts w:eastAsia="Guttman Hodes"/>
          <w:rtl/>
        </w:rPr>
        <w:t>סי ז' אות א' ד"ה והנה בשו"ע</w:t>
      </w:r>
      <w:r>
        <w:rPr>
          <w:rStyle w:val="af6"/>
          <w:rFonts w:eastAsia="Guttman Hodes" w:hint="cs"/>
          <w:rtl/>
        </w:rPr>
        <w:t>,</w:t>
      </w:r>
      <w:r w:rsidRPr="00534AA0">
        <w:rPr>
          <w:rStyle w:val="af6"/>
          <w:rFonts w:eastAsia="Guttman Hodes" w:hint="cs"/>
          <w:rtl/>
        </w:rPr>
        <w:t xml:space="preserve"> </w:t>
      </w:r>
      <w:r>
        <w:rPr>
          <w:rStyle w:val="af6"/>
          <w:rFonts w:eastAsia="Guttman Hodes" w:hint="cs"/>
          <w:rtl/>
        </w:rPr>
        <w:t>הובא בסימן י</w:t>
      </w:r>
      <w:r>
        <w:rPr>
          <w:rStyle w:val="af6"/>
          <w:rFonts w:eastAsia="Guttman Hodes"/>
          <w:rtl/>
        </w:rPr>
        <w:t>"</w:t>
      </w:r>
      <w:r>
        <w:rPr>
          <w:rStyle w:val="af6"/>
          <w:rFonts w:eastAsia="Guttman Hodes" w:hint="cs"/>
          <w:rtl/>
        </w:rPr>
        <w:t>ז אות צ"א</w:t>
      </w:r>
      <w:r w:rsidRPr="00E669AD">
        <w:rPr>
          <w:rStyle w:val="af6"/>
          <w:rFonts w:eastAsia="Guttman Hodes" w:hint="cs"/>
          <w:rtl/>
        </w:rPr>
        <w:t xml:space="preserve">) </w:t>
      </w:r>
      <w:r w:rsidRPr="00E669AD">
        <w:rPr>
          <w:rStyle w:val="af8"/>
          <w:rFonts w:hint="cs"/>
          <w:rtl/>
        </w:rPr>
        <w:t xml:space="preserve">ובשער"י </w:t>
      </w:r>
      <w:r w:rsidRPr="00E669AD">
        <w:rPr>
          <w:rStyle w:val="af6"/>
          <w:rFonts w:eastAsia="Guttman Hodes" w:hint="cs"/>
          <w:rtl/>
        </w:rPr>
        <w:t>(</w:t>
      </w:r>
      <w:r w:rsidRPr="00D76966">
        <w:rPr>
          <w:rStyle w:val="af6"/>
          <w:rFonts w:eastAsia="Guttman Hodes" w:hint="cs"/>
          <w:rtl/>
        </w:rPr>
        <w:t>ש"ג פ"ט</w:t>
      </w:r>
      <w:r>
        <w:rPr>
          <w:rStyle w:val="af6"/>
          <w:rFonts w:eastAsia="Guttman Hodes" w:hint="cs"/>
          <w:rtl/>
        </w:rPr>
        <w:t>, הובא בסימן י</w:t>
      </w:r>
      <w:r>
        <w:rPr>
          <w:rStyle w:val="af6"/>
          <w:rFonts w:eastAsia="Guttman Hodes"/>
          <w:rtl/>
        </w:rPr>
        <w:t>"</w:t>
      </w:r>
      <w:r>
        <w:rPr>
          <w:rStyle w:val="af6"/>
          <w:rFonts w:eastAsia="Guttman Hodes" w:hint="cs"/>
          <w:rtl/>
        </w:rPr>
        <w:t>ז אות ק"י</w:t>
      </w:r>
      <w:r w:rsidRPr="00E669AD">
        <w:rPr>
          <w:rStyle w:val="af6"/>
          <w:rFonts w:eastAsia="Guttman Hodes" w:hint="cs"/>
          <w:rtl/>
        </w:rPr>
        <w:t>)</w:t>
      </w:r>
      <w:r>
        <w:rPr>
          <w:rFonts w:hint="cs"/>
          <w:rtl/>
        </w:rPr>
        <w:t>.</w:t>
      </w:r>
    </w:p>
    <w:p w:rsidR="00D45705" w:rsidRDefault="00D45705" w:rsidP="00E669F8">
      <w:pPr>
        <w:pStyle w:val="afd"/>
        <w:rPr>
          <w:rtl/>
        </w:rPr>
      </w:pPr>
      <w:bookmarkStart w:id="11890" w:name="_Toc23672428"/>
      <w:bookmarkStart w:id="11891" w:name="_Toc23672992"/>
      <w:r>
        <w:rPr>
          <w:rFonts w:hint="cs"/>
          <w:rtl/>
        </w:rPr>
        <w:t>דעות הראשונים בביטול ברוב ביבש</w:t>
      </w:r>
      <w:bookmarkEnd w:id="11878"/>
      <w:bookmarkEnd w:id="11879"/>
      <w:bookmarkEnd w:id="11880"/>
      <w:bookmarkEnd w:id="11881"/>
      <w:bookmarkEnd w:id="11882"/>
      <w:bookmarkEnd w:id="11883"/>
      <w:bookmarkEnd w:id="11890"/>
      <w:bookmarkEnd w:id="11891"/>
    </w:p>
    <w:p w:rsidR="00D45705" w:rsidRPr="008F2B5A" w:rsidRDefault="00D45705" w:rsidP="00D45705">
      <w:pPr>
        <w:pStyle w:val="1"/>
        <w:rPr>
          <w:rtl/>
        </w:rPr>
      </w:pPr>
      <w:bookmarkStart w:id="11892" w:name="_Toc22638875"/>
      <w:bookmarkStart w:id="11893" w:name="_Toc23224073"/>
      <w:bookmarkStart w:id="11894" w:name="_Toc23372446"/>
      <w:bookmarkStart w:id="11895" w:name="_Toc23419117"/>
      <w:bookmarkStart w:id="11896" w:name="_Toc23499379"/>
      <w:bookmarkStart w:id="11897" w:name="_Toc23663785"/>
      <w:bookmarkStart w:id="11898" w:name="_Toc23672429"/>
      <w:bookmarkStart w:id="11899" w:name="_Toc23672993"/>
      <w:r>
        <w:rPr>
          <w:rFonts w:hint="cs"/>
          <w:rtl/>
        </w:rPr>
        <w:t>דעת הראשונים</w:t>
      </w:r>
      <w:bookmarkEnd w:id="11892"/>
      <w:bookmarkEnd w:id="11893"/>
      <w:r>
        <w:rPr>
          <w:rFonts w:hint="cs"/>
          <w:rtl/>
        </w:rPr>
        <w:t xml:space="preserve"> דיבש ביבש במין במינו בטל ברוב בחד בתרי</w:t>
      </w:r>
      <w:bookmarkEnd w:id="11894"/>
      <w:bookmarkEnd w:id="11895"/>
      <w:bookmarkEnd w:id="11896"/>
      <w:bookmarkEnd w:id="11897"/>
      <w:bookmarkEnd w:id="11898"/>
      <w:bookmarkEnd w:id="11899"/>
      <w:r>
        <w:rPr>
          <w:rFonts w:hint="cs"/>
          <w:rtl/>
        </w:rPr>
        <w:t xml:space="preserve"> </w:t>
      </w:r>
    </w:p>
    <w:p w:rsidR="00D45705" w:rsidRDefault="00D45705" w:rsidP="00D45705">
      <w:pPr>
        <w:pStyle w:val="a2"/>
        <w:rPr>
          <w:rtl/>
        </w:rPr>
      </w:pPr>
      <w:bookmarkStart w:id="11900" w:name="_Toc22638876"/>
      <w:bookmarkStart w:id="11901" w:name="_Toc23224074"/>
      <w:bookmarkStart w:id="11902" w:name="_Toc23372447"/>
      <w:bookmarkStart w:id="11903" w:name="_Toc23419118"/>
      <w:bookmarkStart w:id="11904" w:name="_Toc23499380"/>
      <w:bookmarkStart w:id="11905" w:name="_Toc23663786"/>
      <w:bookmarkStart w:id="11906" w:name="_Toc23672430"/>
      <w:bookmarkStart w:id="11907" w:name="_Toc23672994"/>
      <w:r>
        <w:rPr>
          <w:rFonts w:hint="cs"/>
          <w:rtl/>
        </w:rPr>
        <w:t>דברי הראשונים דמבואר בסוגיין דביבש ביבש במין במינו בכל האיסורים מהני ביטול בחד בתרי</w:t>
      </w:r>
      <w:bookmarkEnd w:id="11900"/>
      <w:bookmarkEnd w:id="11901"/>
      <w:bookmarkEnd w:id="11902"/>
      <w:bookmarkEnd w:id="11903"/>
      <w:bookmarkEnd w:id="11904"/>
      <w:bookmarkEnd w:id="11905"/>
      <w:bookmarkEnd w:id="11906"/>
      <w:bookmarkEnd w:id="11907"/>
      <w:r>
        <w:rPr>
          <w:rFonts w:hint="cs"/>
          <w:rtl/>
        </w:rPr>
        <w:t xml:space="preserve"> </w:t>
      </w:r>
    </w:p>
    <w:p w:rsidR="00D45705" w:rsidRDefault="00D45705" w:rsidP="009F44AF">
      <w:pPr>
        <w:pStyle w:val="a"/>
        <w:rPr>
          <w:rtl/>
        </w:rPr>
      </w:pPr>
      <w:bookmarkStart w:id="11908" w:name="_Ref23672175"/>
      <w:r>
        <w:rPr>
          <w:rFonts w:hint="cs"/>
          <w:rtl/>
        </w:rPr>
        <w:t xml:space="preserve">כתבו </w:t>
      </w:r>
      <w:r w:rsidRPr="006A419C">
        <w:rPr>
          <w:rStyle w:val="af8"/>
          <w:rFonts w:hint="cs"/>
          <w:rtl/>
        </w:rPr>
        <w:t>התוס'</w:t>
      </w:r>
      <w:r>
        <w:rPr>
          <w:rFonts w:hint="cs"/>
          <w:rtl/>
        </w:rPr>
        <w:t xml:space="preserve"> </w:t>
      </w:r>
      <w:r w:rsidRPr="005C08EA">
        <w:rPr>
          <w:rStyle w:val="af6"/>
          <w:rFonts w:eastAsia="Guttman Hodes" w:hint="cs"/>
          <w:rtl/>
        </w:rPr>
        <w:t>(ד"ה בריה)</w:t>
      </w:r>
      <w:r w:rsidRPr="003D2A92">
        <w:rPr>
          <w:rStyle w:val="af8"/>
          <w:rFonts w:hint="cs"/>
          <w:rtl/>
        </w:rPr>
        <w:t xml:space="preserve"> </w:t>
      </w:r>
      <w:r>
        <w:rPr>
          <w:rStyle w:val="af8"/>
          <w:rFonts w:hint="cs"/>
          <w:rtl/>
        </w:rPr>
        <w:t>ו</w:t>
      </w:r>
      <w:r w:rsidRPr="006B4419">
        <w:rPr>
          <w:rStyle w:val="af8"/>
          <w:rFonts w:hint="cs"/>
          <w:rtl/>
        </w:rPr>
        <w:t>הרמב"ן לעיל</w:t>
      </w:r>
      <w:r w:rsidRPr="006B4419">
        <w:rPr>
          <w:rFonts w:hint="cs"/>
          <w:rtl/>
        </w:rPr>
        <w:t xml:space="preserve"> </w:t>
      </w:r>
      <w:r w:rsidRPr="006B4419">
        <w:rPr>
          <w:rStyle w:val="af6"/>
          <w:rFonts w:eastAsia="Guttman Hodes" w:hint="cs"/>
          <w:rtl/>
        </w:rPr>
        <w:t>(צז: ד"ה אלא שמצאתי)</w:t>
      </w:r>
      <w:r>
        <w:rPr>
          <w:rFonts w:hint="cs"/>
          <w:rtl/>
        </w:rPr>
        <w:t xml:space="preserve"> </w:t>
      </w:r>
      <w:r w:rsidRPr="00652671">
        <w:rPr>
          <w:rStyle w:val="af8"/>
          <w:rFonts w:hint="cs"/>
          <w:rtl/>
        </w:rPr>
        <w:t>וה</w:t>
      </w:r>
      <w:r w:rsidRPr="00C43C4E">
        <w:rPr>
          <w:rStyle w:val="af8"/>
          <w:rFonts w:hint="cs"/>
          <w:rtl/>
        </w:rPr>
        <w:t>רשב"א לעיל</w:t>
      </w:r>
      <w:r>
        <w:rPr>
          <w:rFonts w:hint="cs"/>
          <w:rtl/>
        </w:rPr>
        <w:t xml:space="preserve"> </w:t>
      </w:r>
      <w:r w:rsidRPr="00C0054B">
        <w:rPr>
          <w:rStyle w:val="af6"/>
          <w:rFonts w:eastAsia="Guttman Hodes" w:hint="cs"/>
          <w:rtl/>
        </w:rPr>
        <w:t xml:space="preserve">(צז: ד"ה א"ל) </w:t>
      </w:r>
      <w:r>
        <w:rPr>
          <w:rStyle w:val="af8"/>
          <w:rFonts w:hint="cs"/>
          <w:rtl/>
        </w:rPr>
        <w:t>ו</w:t>
      </w:r>
      <w:r w:rsidRPr="001E5B44">
        <w:rPr>
          <w:rStyle w:val="af8"/>
          <w:rFonts w:hint="cs"/>
          <w:rtl/>
        </w:rPr>
        <w:t>בתוה"ב</w:t>
      </w:r>
      <w:r>
        <w:rPr>
          <w:rFonts w:hint="cs"/>
          <w:rtl/>
        </w:rPr>
        <w:t xml:space="preserve"> </w:t>
      </w:r>
      <w:r w:rsidRPr="00927358">
        <w:rPr>
          <w:rStyle w:val="af6"/>
          <w:rFonts w:eastAsia="Guttman Hodes" w:hint="cs"/>
          <w:rtl/>
        </w:rPr>
        <w:t>(ב"ד ש"א יז. מדה"ס)</w:t>
      </w:r>
      <w:r>
        <w:rPr>
          <w:rFonts w:hint="cs"/>
          <w:rtl/>
        </w:rPr>
        <w:t xml:space="preserve"> </w:t>
      </w:r>
      <w:r w:rsidRPr="00D57594">
        <w:rPr>
          <w:rStyle w:val="af8"/>
          <w:rFonts w:hint="cs"/>
          <w:rtl/>
        </w:rPr>
        <w:t xml:space="preserve">והרא"ש </w:t>
      </w:r>
      <w:r w:rsidRPr="00D57594">
        <w:rPr>
          <w:rStyle w:val="af6"/>
          <w:rFonts w:eastAsia="Guttman Hodes" w:hint="cs"/>
          <w:rtl/>
        </w:rPr>
        <w:t>(סי' ל"ז)</w:t>
      </w:r>
      <w:r w:rsidRPr="00D57594">
        <w:rPr>
          <w:rFonts w:hint="cs"/>
          <w:rtl/>
        </w:rPr>
        <w:t xml:space="preserve"> </w:t>
      </w:r>
      <w:r>
        <w:rPr>
          <w:rStyle w:val="af8"/>
          <w:rFonts w:hint="cs"/>
          <w:rtl/>
        </w:rPr>
        <w:t>ו</w:t>
      </w:r>
      <w:r w:rsidRPr="00925136">
        <w:rPr>
          <w:rStyle w:val="af8"/>
          <w:rFonts w:hint="cs"/>
          <w:rtl/>
        </w:rPr>
        <w:t xml:space="preserve">הר"ן בחי' לעיל </w:t>
      </w:r>
      <w:r w:rsidRPr="00925136">
        <w:rPr>
          <w:rStyle w:val="af6"/>
          <w:rFonts w:eastAsia="Guttman Hodes" w:hint="cs"/>
          <w:rtl/>
        </w:rPr>
        <w:t>(צז: ד"ה והא)</w:t>
      </w:r>
      <w:r>
        <w:rPr>
          <w:rFonts w:hint="cs"/>
          <w:rtl/>
        </w:rPr>
        <w:t xml:space="preserve"> דמבואר בסוגיין דביבש ביבש במין במינו, מהני ביטול ברוב בחד בתרי, </w:t>
      </w:r>
      <w:r w:rsidRPr="00856C42">
        <w:rPr>
          <w:rStyle w:val="afa"/>
          <w:rFonts w:hint="cs"/>
          <w:rtl/>
        </w:rPr>
        <w:t>[בדבר שאינו בריה וחתיכה שאינה ראויה להתכבד],</w:t>
      </w:r>
      <w:r>
        <w:rPr>
          <w:rFonts w:hint="cs"/>
          <w:rtl/>
        </w:rPr>
        <w:t xml:space="preserve"> וה"ה בכל האיסורין בעלמא דיבש ביבש בטל ברוב, והוסיף </w:t>
      </w:r>
      <w:r w:rsidRPr="00C43C4E">
        <w:rPr>
          <w:rStyle w:val="af8"/>
          <w:rFonts w:hint="cs"/>
          <w:rtl/>
        </w:rPr>
        <w:t>הב"י</w:t>
      </w:r>
      <w:r>
        <w:rPr>
          <w:rFonts w:hint="cs"/>
          <w:rtl/>
        </w:rPr>
        <w:t xml:space="preserve"> </w:t>
      </w:r>
      <w:r>
        <w:rPr>
          <w:rStyle w:val="af6"/>
          <w:rFonts w:eastAsia="Guttman Hodes" w:hint="cs"/>
          <w:rtl/>
        </w:rPr>
        <w:t>(</w:t>
      </w:r>
      <w:r w:rsidRPr="00C77B9B">
        <w:rPr>
          <w:rStyle w:val="af6"/>
          <w:rFonts w:eastAsia="Guttman Hodes" w:hint="cs"/>
          <w:rtl/>
        </w:rPr>
        <w:t>סי' ק"ט א')</w:t>
      </w:r>
      <w:r>
        <w:rPr>
          <w:rFonts w:hint="cs"/>
          <w:rtl/>
        </w:rPr>
        <w:t xml:space="preserve"> דכן מבואר בגמ' בזבחים </w:t>
      </w:r>
      <w:r w:rsidRPr="00C0054B">
        <w:rPr>
          <w:rStyle w:val="af6"/>
          <w:rFonts w:eastAsia="Guttman Hodes" w:hint="cs"/>
          <w:rtl/>
        </w:rPr>
        <w:t xml:space="preserve">(עב.) </w:t>
      </w:r>
      <w:r>
        <w:rPr>
          <w:rFonts w:hint="cs"/>
          <w:rtl/>
        </w:rPr>
        <w:t xml:space="preserve">ובביצה </w:t>
      </w:r>
      <w:r w:rsidRPr="00C0054B">
        <w:rPr>
          <w:rStyle w:val="af6"/>
          <w:rFonts w:eastAsia="Guttman Hodes" w:hint="cs"/>
          <w:rtl/>
        </w:rPr>
        <w:t>(ג:)</w:t>
      </w:r>
      <w:r>
        <w:rPr>
          <w:rFonts w:hint="cs"/>
          <w:rtl/>
        </w:rPr>
        <w:t>.</w:t>
      </w:r>
      <w:bookmarkEnd w:id="11908"/>
    </w:p>
    <w:p w:rsidR="009D2C04" w:rsidRPr="00B56669" w:rsidRDefault="009D2C04" w:rsidP="009D2C04">
      <w:pPr>
        <w:pStyle w:val="a2"/>
        <w:rPr>
          <w:rtl/>
        </w:rPr>
      </w:pPr>
      <w:bookmarkStart w:id="11909" w:name="_Toc22638877"/>
      <w:bookmarkStart w:id="11910" w:name="_Toc23224075"/>
      <w:bookmarkStart w:id="11911" w:name="_Toc23372448"/>
      <w:bookmarkStart w:id="11912" w:name="_Toc23419119"/>
      <w:bookmarkStart w:id="11913" w:name="_Toc23499381"/>
      <w:bookmarkStart w:id="11914" w:name="_Toc23663787"/>
      <w:bookmarkStart w:id="11915" w:name="_Toc23672431"/>
      <w:bookmarkStart w:id="11916" w:name="_Toc23672995"/>
      <w:bookmarkStart w:id="11917" w:name="_Toc22638878"/>
      <w:bookmarkStart w:id="11918" w:name="_Toc23224076"/>
      <w:bookmarkStart w:id="11919" w:name="_Toc23372449"/>
      <w:bookmarkStart w:id="11920" w:name="_Toc23419120"/>
      <w:bookmarkStart w:id="11921" w:name="_Toc23499382"/>
      <w:bookmarkStart w:id="11922" w:name="_Toc23663788"/>
      <w:bookmarkStart w:id="11923" w:name="_Toc23672432"/>
      <w:bookmarkStart w:id="11924" w:name="_Toc23672996"/>
      <w:r>
        <w:rPr>
          <w:rFonts w:hint="cs"/>
          <w:rtl/>
        </w:rPr>
        <w:t xml:space="preserve">הוספת </w:t>
      </w:r>
      <w:r w:rsidRPr="00B56669">
        <w:rPr>
          <w:rFonts w:hint="cs"/>
          <w:rtl/>
        </w:rPr>
        <w:t>הראשונים דמבואר בסוגיין דאף מדרבנן א"צ ביטול בשישים ביבש ביבש במין במינו</w:t>
      </w:r>
      <w:bookmarkEnd w:id="11909"/>
      <w:bookmarkEnd w:id="11910"/>
      <w:bookmarkEnd w:id="11911"/>
      <w:bookmarkEnd w:id="11912"/>
      <w:bookmarkEnd w:id="11913"/>
      <w:bookmarkEnd w:id="11914"/>
      <w:bookmarkEnd w:id="11915"/>
      <w:bookmarkEnd w:id="11916"/>
    </w:p>
    <w:p w:rsidR="009D2C04" w:rsidRDefault="009D2C04" w:rsidP="009F44AF">
      <w:pPr>
        <w:pStyle w:val="a"/>
        <w:rPr>
          <w:rtl/>
        </w:rPr>
      </w:pPr>
      <w:bookmarkStart w:id="11925" w:name="_Ref22638180"/>
      <w:r>
        <w:rPr>
          <w:rFonts w:hint="cs"/>
          <w:rtl/>
        </w:rPr>
        <w:t>והוסיפ</w:t>
      </w:r>
      <w:r w:rsidRPr="00B56669">
        <w:rPr>
          <w:rFonts w:hint="cs"/>
          <w:rtl/>
        </w:rPr>
        <w:t xml:space="preserve">ו </w:t>
      </w:r>
      <w:r w:rsidRPr="00B56669">
        <w:rPr>
          <w:rStyle w:val="af8"/>
          <w:rFonts w:hint="cs"/>
          <w:rtl/>
        </w:rPr>
        <w:t xml:space="preserve">התוס' והרשב"א והרא"ש והר"ן </w:t>
      </w:r>
      <w:r w:rsidRPr="00B56669">
        <w:rPr>
          <w:rFonts w:hint="cs"/>
          <w:rtl/>
        </w:rPr>
        <w:t xml:space="preserve">דמבואר בגמ' </w:t>
      </w:r>
      <w:r>
        <w:rPr>
          <w:rFonts w:hint="cs"/>
          <w:rtl/>
        </w:rPr>
        <w:t>ד</w:t>
      </w:r>
      <w:r w:rsidRPr="00B56669">
        <w:rPr>
          <w:rFonts w:hint="cs"/>
          <w:rtl/>
        </w:rPr>
        <w:t xml:space="preserve">אף מדרבנן מהני ביטול בחד בתרי, ביבש ביבש במין במינו, וא"צ ביטול בשישים, וכ"כ </w:t>
      </w:r>
      <w:r w:rsidRPr="00B56669">
        <w:rPr>
          <w:rStyle w:val="af8"/>
          <w:rFonts w:hint="cs"/>
          <w:rtl/>
        </w:rPr>
        <w:t xml:space="preserve">הרמב"ן לעיל </w:t>
      </w:r>
      <w:r w:rsidRPr="00B56669">
        <w:rPr>
          <w:rStyle w:val="af6"/>
          <w:rFonts w:eastAsia="Guttman Hodes" w:hint="cs"/>
          <w:rtl/>
        </w:rPr>
        <w:t>(צז: סוד"ה אלא שמצאתי)</w:t>
      </w:r>
      <w:r w:rsidRPr="00B56669">
        <w:rPr>
          <w:rFonts w:hint="cs"/>
          <w:rtl/>
        </w:rPr>
        <w:t xml:space="preserve"> </w:t>
      </w:r>
      <w:r w:rsidRPr="00B56669">
        <w:rPr>
          <w:rStyle w:val="af8"/>
          <w:rFonts w:hint="cs"/>
          <w:rtl/>
        </w:rPr>
        <w:t>והרשב"א לעיל</w:t>
      </w:r>
      <w:r w:rsidRPr="00B56669">
        <w:rPr>
          <w:rFonts w:hint="cs"/>
          <w:rtl/>
        </w:rPr>
        <w:t xml:space="preserve"> </w:t>
      </w:r>
      <w:r w:rsidRPr="00B56669">
        <w:rPr>
          <w:rStyle w:val="af6"/>
          <w:rFonts w:eastAsia="Guttman Hodes" w:hint="cs"/>
          <w:rtl/>
        </w:rPr>
        <w:t xml:space="preserve">(צז: ד"ה א"ל) </w:t>
      </w:r>
      <w:r w:rsidRPr="00B56669">
        <w:rPr>
          <w:rFonts w:hint="cs"/>
          <w:rtl/>
        </w:rPr>
        <w:t xml:space="preserve">בשם </w:t>
      </w:r>
      <w:r w:rsidRPr="00B56669">
        <w:rPr>
          <w:rStyle w:val="af8"/>
          <w:rFonts w:hint="cs"/>
          <w:rtl/>
        </w:rPr>
        <w:t>הראב"ד באיסור משהו</w:t>
      </w:r>
      <w:r w:rsidRPr="00B56669">
        <w:rPr>
          <w:vertAlign w:val="superscript"/>
          <w:rtl/>
        </w:rPr>
        <w:fldChar w:fldCharType="begin"/>
      </w:r>
      <w:r w:rsidRPr="00B56669">
        <w:rPr>
          <w:vertAlign w:val="superscript"/>
          <w:rtl/>
        </w:rPr>
        <w:instrText xml:space="preserve"> </w:instrText>
      </w:r>
      <w:r w:rsidRPr="00B56669">
        <w:rPr>
          <w:rFonts w:hint="cs"/>
          <w:vertAlign w:val="superscript"/>
        </w:rPr>
        <w:instrText>NOTEREF</w:instrText>
      </w:r>
      <w:r w:rsidRPr="00B56669">
        <w:rPr>
          <w:rFonts w:hint="cs"/>
          <w:vertAlign w:val="superscript"/>
          <w:rtl/>
        </w:rPr>
        <w:instrText xml:space="preserve"> _</w:instrText>
      </w:r>
      <w:r w:rsidRPr="00B56669">
        <w:rPr>
          <w:rFonts w:hint="cs"/>
          <w:vertAlign w:val="superscript"/>
        </w:rPr>
        <w:instrText>Ref23672412 \h</w:instrText>
      </w:r>
      <w:r w:rsidRPr="00B56669">
        <w:rPr>
          <w:vertAlign w:val="superscript"/>
          <w:rtl/>
        </w:rPr>
        <w:instrText xml:space="preserve">  \* </w:instrText>
      </w:r>
      <w:r w:rsidRPr="00B56669">
        <w:rPr>
          <w:vertAlign w:val="superscript"/>
        </w:rPr>
        <w:instrText>MERGEFORMAT</w:instrText>
      </w:r>
      <w:r w:rsidRPr="00B56669">
        <w:rPr>
          <w:vertAlign w:val="superscript"/>
          <w:rtl/>
        </w:rPr>
        <w:instrText xml:space="preserve"> </w:instrText>
      </w:r>
      <w:r w:rsidRPr="00B56669">
        <w:rPr>
          <w:vertAlign w:val="superscript"/>
          <w:rtl/>
        </w:rPr>
      </w:r>
      <w:r w:rsidRPr="00B56669">
        <w:rPr>
          <w:vertAlign w:val="superscript"/>
          <w:rtl/>
        </w:rPr>
        <w:fldChar w:fldCharType="separate"/>
      </w:r>
      <w:r w:rsidR="004D1C5B">
        <w:rPr>
          <w:vertAlign w:val="superscript"/>
          <w:rtl/>
        </w:rPr>
        <w:t>56</w:t>
      </w:r>
      <w:r w:rsidRPr="00B56669">
        <w:rPr>
          <w:vertAlign w:val="superscript"/>
          <w:rtl/>
        </w:rPr>
        <w:fldChar w:fldCharType="end"/>
      </w:r>
      <w:r w:rsidRPr="00B56669">
        <w:rPr>
          <w:rFonts w:hint="cs"/>
          <w:rtl/>
        </w:rPr>
        <w:t xml:space="preserve"> </w:t>
      </w:r>
      <w:r w:rsidRPr="00B56669">
        <w:rPr>
          <w:rStyle w:val="af6"/>
          <w:rFonts w:eastAsia="Guttman Rashi" w:hint="cs"/>
          <w:rtl/>
        </w:rPr>
        <w:t xml:space="preserve">(עי' אות </w:t>
      </w:r>
      <w:r w:rsidRPr="00B56669">
        <w:rPr>
          <w:rStyle w:val="af6"/>
          <w:rFonts w:eastAsia="Guttman Rashi"/>
          <w:rtl/>
        </w:rPr>
        <w:fldChar w:fldCharType="begin"/>
      </w:r>
      <w:r w:rsidRPr="00B56669">
        <w:rPr>
          <w:rStyle w:val="af6"/>
          <w:rFonts w:eastAsia="Guttman Rashi"/>
          <w:rtl/>
        </w:rPr>
        <w:instrText xml:space="preserve"> </w:instrText>
      </w:r>
      <w:r w:rsidRPr="00B56669">
        <w:rPr>
          <w:rStyle w:val="af6"/>
          <w:rFonts w:eastAsia="Guttman Rashi" w:hint="cs"/>
        </w:rPr>
        <w:instrText>REF</w:instrText>
      </w:r>
      <w:r w:rsidRPr="00B56669">
        <w:rPr>
          <w:rStyle w:val="af6"/>
          <w:rFonts w:eastAsia="Guttman Rashi" w:hint="cs"/>
          <w:rtl/>
        </w:rPr>
        <w:instrText xml:space="preserve"> _</w:instrText>
      </w:r>
      <w:r w:rsidRPr="00B56669">
        <w:rPr>
          <w:rStyle w:val="af6"/>
          <w:rFonts w:eastAsia="Guttman Rashi" w:hint="cs"/>
        </w:rPr>
        <w:instrText>Ref20600133 \r \h</w:instrText>
      </w:r>
      <w:r w:rsidRPr="00B56669">
        <w:rPr>
          <w:rStyle w:val="af6"/>
          <w:rFonts w:eastAsia="Guttman Rashi"/>
          <w:rtl/>
        </w:rPr>
        <w:instrText xml:space="preserve">  \* </w:instrText>
      </w:r>
      <w:r w:rsidRPr="00B56669">
        <w:rPr>
          <w:rStyle w:val="af6"/>
          <w:rFonts w:eastAsia="Guttman Rashi"/>
        </w:rPr>
        <w:instrText>MERGEFORMAT</w:instrText>
      </w:r>
      <w:r w:rsidRPr="00B56669">
        <w:rPr>
          <w:rStyle w:val="af6"/>
          <w:rFonts w:eastAsia="Guttman Rashi"/>
          <w:rtl/>
        </w:rPr>
        <w:instrText xml:space="preserve"> </w:instrText>
      </w:r>
      <w:r w:rsidRPr="00B56669">
        <w:rPr>
          <w:rStyle w:val="af6"/>
          <w:rFonts w:eastAsia="Guttman Rashi"/>
          <w:rtl/>
        </w:rPr>
      </w:r>
      <w:r w:rsidRPr="00B56669">
        <w:rPr>
          <w:rStyle w:val="af6"/>
          <w:rFonts w:eastAsia="Guttman Rashi"/>
          <w:rtl/>
        </w:rPr>
        <w:fldChar w:fldCharType="separate"/>
      </w:r>
      <w:r w:rsidR="004D1C5B">
        <w:rPr>
          <w:rStyle w:val="af6"/>
          <w:rFonts w:eastAsia="Guttman Rashi"/>
          <w:cs/>
        </w:rPr>
        <w:t>‎</w:t>
      </w:r>
      <w:r w:rsidR="004D1C5B">
        <w:rPr>
          <w:rStyle w:val="af6"/>
          <w:rFonts w:eastAsia="Guttman Rashi"/>
          <w:rtl/>
        </w:rPr>
        <w:t>מב)</w:t>
      </w:r>
      <w:r w:rsidRPr="00B56669">
        <w:rPr>
          <w:rStyle w:val="af6"/>
          <w:rFonts w:eastAsia="Guttman Rashi"/>
          <w:rtl/>
        </w:rPr>
        <w:fldChar w:fldCharType="end"/>
      </w:r>
      <w:r w:rsidRPr="00B56669">
        <w:rPr>
          <w:rFonts w:hint="cs"/>
          <w:rtl/>
        </w:rPr>
        <w:t xml:space="preserve"> </w:t>
      </w:r>
      <w:r>
        <w:rPr>
          <w:rFonts w:hint="cs"/>
          <w:rtl/>
        </w:rPr>
        <w:t>ד</w:t>
      </w:r>
      <w:r w:rsidRPr="00B56669">
        <w:rPr>
          <w:rFonts w:hint="cs"/>
          <w:rtl/>
        </w:rPr>
        <w:t>אף מדרבנן מהני ביטול ברוב, במין במינו ביבש ביבש</w:t>
      </w:r>
      <w:r>
        <w:rPr>
          <w:rFonts w:hint="cs"/>
          <w:rtl/>
        </w:rPr>
        <w:t>,</w:t>
      </w:r>
      <w:r w:rsidRPr="00B56669">
        <w:rPr>
          <w:rFonts w:hint="cs"/>
          <w:rtl/>
        </w:rPr>
        <w:t xml:space="preserve"> </w:t>
      </w:r>
      <w:r w:rsidRPr="00B56669">
        <w:rPr>
          <w:rStyle w:val="afa"/>
          <w:rFonts w:hint="cs"/>
          <w:rtl/>
        </w:rPr>
        <w:t>[לרבנן דפליגי על ר"י במין במינו],</w:t>
      </w:r>
      <w:r w:rsidRPr="00B56669">
        <w:rPr>
          <w:rFonts w:hint="cs"/>
          <w:rtl/>
        </w:rPr>
        <w:t xml:space="preserve"> ורק בלח בלח מדאו' בטל ברוב, ומדרבנן צריך שישים, וכ"כ </w:t>
      </w:r>
      <w:r w:rsidRPr="00B56669">
        <w:rPr>
          <w:rStyle w:val="af8"/>
          <w:rFonts w:hint="cs"/>
          <w:rtl/>
        </w:rPr>
        <w:t>הראב"ד בהשג' על הבעה"מ בפסחים</w:t>
      </w:r>
      <w:r w:rsidRPr="00B56669">
        <w:rPr>
          <w:rFonts w:hint="cs"/>
          <w:rtl/>
        </w:rPr>
        <w:t xml:space="preserve"> </w:t>
      </w:r>
      <w:r w:rsidRPr="00B56669">
        <w:rPr>
          <w:rStyle w:val="af6"/>
          <w:rFonts w:eastAsia="Guttman Rashi" w:hint="cs"/>
          <w:rtl/>
        </w:rPr>
        <w:t>(עי'</w:t>
      </w:r>
      <w:r w:rsidRPr="003606D3">
        <w:rPr>
          <w:rStyle w:val="af6"/>
          <w:rFonts w:eastAsia="Guttman Rashi" w:hint="cs"/>
          <w:rtl/>
        </w:rPr>
        <w:t xml:space="preserve"> אות </w:t>
      </w:r>
      <w:r w:rsidRPr="003606D3">
        <w:rPr>
          <w:rStyle w:val="af6"/>
          <w:rFonts w:eastAsia="Guttman Rashi"/>
          <w:rtl/>
        </w:rPr>
        <w:fldChar w:fldCharType="begin"/>
      </w:r>
      <w:r w:rsidRPr="003606D3">
        <w:rPr>
          <w:rStyle w:val="af6"/>
          <w:rFonts w:eastAsia="Guttman Rashi"/>
          <w:rtl/>
        </w:rPr>
        <w:instrText xml:space="preserve"> </w:instrText>
      </w:r>
      <w:r w:rsidRPr="003606D3">
        <w:rPr>
          <w:rStyle w:val="af6"/>
          <w:rFonts w:eastAsia="Guttman Rashi" w:hint="cs"/>
        </w:rPr>
        <w:instrText>REF</w:instrText>
      </w:r>
      <w:r w:rsidRPr="003606D3">
        <w:rPr>
          <w:rStyle w:val="af6"/>
          <w:rFonts w:eastAsia="Guttman Rashi" w:hint="cs"/>
          <w:rtl/>
        </w:rPr>
        <w:instrText xml:space="preserve"> _</w:instrText>
      </w:r>
      <w:r w:rsidRPr="003606D3">
        <w:rPr>
          <w:rStyle w:val="af6"/>
          <w:rFonts w:eastAsia="Guttman Rashi" w:hint="cs"/>
        </w:rPr>
        <w:instrText>Ref20600133 \r \h</w:instrText>
      </w:r>
      <w:r w:rsidRPr="003606D3">
        <w:rPr>
          <w:rStyle w:val="af6"/>
          <w:rFonts w:eastAsia="Guttman Rashi"/>
          <w:rtl/>
        </w:rPr>
        <w:instrText xml:space="preserve"> </w:instrText>
      </w:r>
      <w:r w:rsidRPr="003606D3">
        <w:rPr>
          <w:rStyle w:val="af6"/>
          <w:rFonts w:eastAsia="Guttman Rashi"/>
          <w:rtl/>
        </w:rPr>
      </w:r>
      <w:r w:rsidRPr="003606D3">
        <w:rPr>
          <w:rStyle w:val="af6"/>
          <w:rFonts w:eastAsia="Guttman Rashi"/>
          <w:rtl/>
        </w:rPr>
        <w:fldChar w:fldCharType="separate"/>
      </w:r>
      <w:r w:rsidR="004D1C5B">
        <w:rPr>
          <w:rStyle w:val="af6"/>
          <w:rFonts w:eastAsia="Guttman Rashi"/>
          <w:cs/>
        </w:rPr>
        <w:t>‎</w:t>
      </w:r>
      <w:r w:rsidR="004D1C5B">
        <w:rPr>
          <w:rStyle w:val="af6"/>
          <w:rFonts w:eastAsia="Guttman Rashi"/>
          <w:rtl/>
        </w:rPr>
        <w:t>מב)</w:t>
      </w:r>
      <w:r w:rsidRPr="003606D3">
        <w:rPr>
          <w:rStyle w:val="af6"/>
          <w:rFonts w:eastAsia="Guttman Rashi"/>
          <w:rtl/>
        </w:rPr>
        <w:fldChar w:fldCharType="end"/>
      </w:r>
      <w:r>
        <w:rPr>
          <w:rFonts w:hint="cs"/>
          <w:rtl/>
        </w:rPr>
        <w:t>.</w:t>
      </w:r>
      <w:bookmarkEnd w:id="11925"/>
    </w:p>
    <w:p w:rsidR="00D45705" w:rsidRPr="00AC41A7" w:rsidRDefault="00D45705" w:rsidP="00D45705">
      <w:pPr>
        <w:pStyle w:val="a2"/>
      </w:pPr>
      <w:r>
        <w:rPr>
          <w:rFonts w:hint="cs"/>
          <w:rtl/>
        </w:rPr>
        <w:t>דברי הרשב"א בתשו' דכן מבואר בגמ' בזבחים דברוב דחד בתרי סגי ביבש ביבש</w:t>
      </w:r>
      <w:bookmarkEnd w:id="11917"/>
      <w:bookmarkEnd w:id="11918"/>
      <w:bookmarkEnd w:id="11919"/>
      <w:bookmarkEnd w:id="11920"/>
      <w:bookmarkEnd w:id="11921"/>
      <w:bookmarkEnd w:id="11922"/>
      <w:bookmarkEnd w:id="11923"/>
      <w:bookmarkEnd w:id="11924"/>
    </w:p>
    <w:p w:rsidR="00D45705" w:rsidRDefault="00D45705" w:rsidP="009F44AF">
      <w:pPr>
        <w:pStyle w:val="a"/>
        <w:rPr>
          <w:rtl/>
        </w:rPr>
      </w:pPr>
      <w:r>
        <w:rPr>
          <w:rFonts w:hint="cs"/>
          <w:rtl/>
        </w:rPr>
        <w:t xml:space="preserve">והוסיף </w:t>
      </w:r>
      <w:r w:rsidRPr="001E5B44">
        <w:rPr>
          <w:rStyle w:val="af8"/>
          <w:rFonts w:hint="cs"/>
          <w:rtl/>
        </w:rPr>
        <w:t>הרשב"א בתשו'</w:t>
      </w:r>
      <w:r>
        <w:rPr>
          <w:rFonts w:hint="cs"/>
          <w:rtl/>
        </w:rPr>
        <w:t xml:space="preserve"> </w:t>
      </w:r>
      <w:r w:rsidRPr="00927358">
        <w:rPr>
          <w:rStyle w:val="af6"/>
          <w:rFonts w:eastAsia="Guttman Hodes" w:hint="cs"/>
          <w:rtl/>
        </w:rPr>
        <w:t>(ח"א סי' ער"ב)</w:t>
      </w:r>
      <w:r>
        <w:rPr>
          <w:rFonts w:hint="cs"/>
          <w:rtl/>
        </w:rPr>
        <w:t xml:space="preserve"> דכן מבואר בגמ' בזבחים </w:t>
      </w:r>
      <w:r w:rsidRPr="00927358">
        <w:rPr>
          <w:rStyle w:val="af6"/>
          <w:rFonts w:eastAsia="Guttman Hodes" w:hint="cs"/>
          <w:rtl/>
        </w:rPr>
        <w:t>(עב.)</w:t>
      </w:r>
      <w:r>
        <w:rPr>
          <w:rFonts w:hint="cs"/>
          <w:rtl/>
        </w:rPr>
        <w:t xml:space="preserve"> דמקשה בהא דחטאות המתות שהתערבו בזבחים דכולם ימותו, ואמאי אינם בטלות ברוב, ותירצה הגמ' בזבחים </w:t>
      </w:r>
      <w:r w:rsidRPr="00927358">
        <w:rPr>
          <w:rStyle w:val="af6"/>
          <w:rFonts w:eastAsia="Guttman Hodes" w:hint="cs"/>
          <w:rtl/>
        </w:rPr>
        <w:t>(עג.)</w:t>
      </w:r>
      <w:r>
        <w:rPr>
          <w:rFonts w:hint="cs"/>
          <w:rtl/>
        </w:rPr>
        <w:t xml:space="preserve"> דבע"ח אינם בטלים, ומבואר דהא דלא מהני ביטול ברוב, הוא בבריה וחתיכה הראויה להתכבד, כדאיתא בסוגיין או בבע"ח, כדאיתא בגמ' בזבחים, אבל במקום דמהני ביטול ברוב, סגי ברוב של חד בתרי.</w:t>
      </w:r>
    </w:p>
    <w:p w:rsidR="00D45705" w:rsidRDefault="00D45705" w:rsidP="00D45705">
      <w:pPr>
        <w:pStyle w:val="a2"/>
        <w:rPr>
          <w:rtl/>
        </w:rPr>
      </w:pPr>
      <w:bookmarkStart w:id="11926" w:name="_Toc23672433"/>
      <w:bookmarkStart w:id="11927" w:name="_Toc23672997"/>
      <w:bookmarkStart w:id="11928" w:name="_Toc22638894"/>
      <w:bookmarkStart w:id="11929" w:name="_Toc23224092"/>
      <w:bookmarkStart w:id="11930" w:name="_Toc22638886"/>
      <w:bookmarkStart w:id="11931" w:name="_Toc23224084"/>
      <w:bookmarkStart w:id="11932" w:name="_Toc23372451"/>
      <w:bookmarkStart w:id="11933" w:name="_Toc23419122"/>
      <w:bookmarkStart w:id="11934" w:name="_Toc23499384"/>
      <w:bookmarkStart w:id="11935" w:name="_Toc23663790"/>
      <w:bookmarkStart w:id="11936" w:name="_Toc22638880"/>
      <w:bookmarkStart w:id="11937" w:name="_Toc23224078"/>
      <w:r>
        <w:rPr>
          <w:rFonts w:hint="cs"/>
          <w:rtl/>
        </w:rPr>
        <w:t>דעת הר"ש דאף ביבש ביבש בכזית בכדי אכילת פרס מדאו' לא מהני ביטול ברוב</w:t>
      </w:r>
      <w:bookmarkEnd w:id="11926"/>
      <w:bookmarkEnd w:id="11927"/>
      <w:r>
        <w:rPr>
          <w:rFonts w:hint="cs"/>
          <w:rtl/>
        </w:rPr>
        <w:t xml:space="preserve"> </w:t>
      </w:r>
    </w:p>
    <w:p w:rsidR="00D45705" w:rsidRDefault="00D45705" w:rsidP="009F44AF">
      <w:pPr>
        <w:pStyle w:val="a"/>
        <w:rPr>
          <w:rtl/>
        </w:rPr>
      </w:pPr>
      <w:r>
        <w:rPr>
          <w:rtl/>
        </w:rPr>
        <w:t>א</w:t>
      </w:r>
      <w:r>
        <w:rPr>
          <w:rFonts w:hint="cs"/>
          <w:rtl/>
        </w:rPr>
        <w:t>ך דעת</w:t>
      </w:r>
      <w:r>
        <w:rPr>
          <w:rtl/>
        </w:rPr>
        <w:t xml:space="preserve"> </w:t>
      </w:r>
      <w:r>
        <w:rPr>
          <w:rStyle w:val="af8"/>
          <w:rtl/>
        </w:rPr>
        <w:t>הר"ש בטבו"י</w:t>
      </w:r>
      <w:r>
        <w:rPr>
          <w:rtl/>
        </w:rPr>
        <w:t xml:space="preserve"> </w:t>
      </w:r>
      <w:r w:rsidRPr="007C1FB7">
        <w:rPr>
          <w:rStyle w:val="af6"/>
          <w:rFonts w:eastAsia="Guttman Hodes" w:hint="cs"/>
          <w:rtl/>
        </w:rPr>
        <w:t xml:space="preserve">(עי' אות </w:t>
      </w:r>
      <w:r w:rsidRPr="007C1FB7">
        <w:rPr>
          <w:rStyle w:val="af6"/>
          <w:rFonts w:eastAsia="Guttman Hodes"/>
          <w:rtl/>
        </w:rPr>
        <w:fldChar w:fldCharType="begin"/>
      </w:r>
      <w:r w:rsidRPr="007C1FB7">
        <w:rPr>
          <w:rStyle w:val="af6"/>
          <w:rFonts w:eastAsia="Guttman Hodes"/>
          <w:rtl/>
        </w:rPr>
        <w:instrText xml:space="preserve"> </w:instrText>
      </w:r>
      <w:r w:rsidRPr="007C1FB7">
        <w:rPr>
          <w:rStyle w:val="af6"/>
          <w:rFonts w:eastAsia="Guttman Hodes" w:hint="cs"/>
        </w:rPr>
        <w:instrText>REF</w:instrText>
      </w:r>
      <w:r w:rsidRPr="007C1FB7">
        <w:rPr>
          <w:rStyle w:val="af6"/>
          <w:rFonts w:eastAsia="Guttman Hodes" w:hint="cs"/>
          <w:rtl/>
        </w:rPr>
        <w:instrText xml:space="preserve"> _</w:instrText>
      </w:r>
      <w:r w:rsidRPr="007C1FB7">
        <w:rPr>
          <w:rStyle w:val="af6"/>
          <w:rFonts w:eastAsia="Guttman Hodes" w:hint="cs"/>
        </w:rPr>
        <w:instrText>Ref23241444 \r \h</w:instrText>
      </w:r>
      <w:r w:rsidRPr="007C1FB7">
        <w:rPr>
          <w:rStyle w:val="af6"/>
          <w:rFonts w:eastAsia="Guttman Hodes"/>
          <w:rtl/>
        </w:rPr>
        <w:instrText xml:space="preserve"> </w:instrText>
      </w:r>
      <w:r w:rsidRPr="007C1FB7">
        <w:rPr>
          <w:rStyle w:val="af6"/>
          <w:rFonts w:eastAsia="Guttman Hodes"/>
          <w:rtl/>
        </w:rPr>
      </w:r>
      <w:r w:rsidRPr="007C1FB7">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7C1FB7">
        <w:rPr>
          <w:rStyle w:val="af6"/>
          <w:rFonts w:eastAsia="Guttman Hodes"/>
          <w:rtl/>
        </w:rPr>
        <w:fldChar w:fldCharType="end"/>
      </w:r>
      <w:r>
        <w:rPr>
          <w:rFonts w:hint="cs"/>
          <w:rtl/>
        </w:rPr>
        <w:t xml:space="preserve"> ד</w:t>
      </w:r>
      <w:r>
        <w:rPr>
          <w:rtl/>
        </w:rPr>
        <w:t>ביבש ביבש כל שיש כזית בכדי אכילת פרס, מדאו' לא מהני ביטול ברוב, אף במין במינו, אף כשאינו ניכר</w:t>
      </w:r>
      <w:r>
        <w:rPr>
          <w:rFonts w:hint="cs"/>
          <w:rtl/>
        </w:rPr>
        <w:t>.</w:t>
      </w:r>
    </w:p>
    <w:p w:rsidR="00D45705" w:rsidRDefault="00D45705" w:rsidP="00E669F8">
      <w:pPr>
        <w:pStyle w:val="afd"/>
        <w:rPr>
          <w:rtl/>
        </w:rPr>
      </w:pPr>
      <w:bookmarkStart w:id="11938" w:name="_Toc23672434"/>
      <w:bookmarkStart w:id="11939" w:name="_Toc23672998"/>
      <w:r>
        <w:rPr>
          <w:rFonts w:hint="cs"/>
          <w:rtl/>
        </w:rPr>
        <w:lastRenderedPageBreak/>
        <w:t xml:space="preserve">דעת הראשונים </w:t>
      </w:r>
      <w:bookmarkEnd w:id="11928"/>
      <w:bookmarkEnd w:id="11929"/>
      <w:bookmarkEnd w:id="11930"/>
      <w:bookmarkEnd w:id="11931"/>
      <w:r>
        <w:rPr>
          <w:rFonts w:hint="cs"/>
          <w:rtl/>
        </w:rPr>
        <w:t>דאף ביבש צריך שישים</w:t>
      </w:r>
      <w:bookmarkEnd w:id="11932"/>
      <w:bookmarkEnd w:id="11933"/>
      <w:bookmarkEnd w:id="11934"/>
      <w:bookmarkEnd w:id="11935"/>
      <w:bookmarkEnd w:id="11938"/>
      <w:bookmarkEnd w:id="11939"/>
      <w:r>
        <w:rPr>
          <w:rFonts w:hint="cs"/>
          <w:rtl/>
        </w:rPr>
        <w:t xml:space="preserve"> </w:t>
      </w:r>
    </w:p>
    <w:p w:rsidR="00D45705" w:rsidRDefault="00D45705" w:rsidP="00D45705">
      <w:pPr>
        <w:pStyle w:val="1"/>
        <w:rPr>
          <w:rtl/>
        </w:rPr>
      </w:pPr>
      <w:bookmarkStart w:id="11940" w:name="_Toc21094846"/>
      <w:bookmarkStart w:id="11941" w:name="_Toc22250698"/>
      <w:bookmarkStart w:id="11942" w:name="_Toc22638897"/>
      <w:bookmarkStart w:id="11943" w:name="_Toc23224095"/>
      <w:bookmarkStart w:id="11944" w:name="_Toc23372452"/>
      <w:bookmarkStart w:id="11945" w:name="_Toc23419123"/>
      <w:bookmarkStart w:id="11946" w:name="_Toc23499385"/>
      <w:bookmarkStart w:id="11947" w:name="_Toc23663791"/>
      <w:bookmarkStart w:id="11948" w:name="_Toc23672435"/>
      <w:bookmarkStart w:id="11949" w:name="_Toc23672999"/>
      <w:bookmarkStart w:id="11950" w:name="_Toc21094844"/>
      <w:bookmarkStart w:id="11951" w:name="_Toc22250696"/>
      <w:bookmarkStart w:id="11952" w:name="_Toc22638895"/>
      <w:bookmarkStart w:id="11953" w:name="_Toc23224093"/>
      <w:r>
        <w:rPr>
          <w:rFonts w:hint="cs"/>
          <w:rtl/>
        </w:rPr>
        <w:t>דעת הר"א אב"ד</w:t>
      </w:r>
      <w:bookmarkEnd w:id="11940"/>
      <w:bookmarkEnd w:id="11941"/>
      <w:bookmarkEnd w:id="11942"/>
      <w:bookmarkEnd w:id="11943"/>
      <w:r>
        <w:rPr>
          <w:rFonts w:hint="cs"/>
          <w:rtl/>
        </w:rPr>
        <w:t xml:space="preserve"> דצריך שישים בין בלח ובין יבש ולא סגי ברוב</w:t>
      </w:r>
      <w:bookmarkEnd w:id="11944"/>
      <w:bookmarkEnd w:id="11945"/>
      <w:bookmarkEnd w:id="11946"/>
      <w:bookmarkEnd w:id="11947"/>
      <w:bookmarkEnd w:id="11948"/>
      <w:bookmarkEnd w:id="11949"/>
    </w:p>
    <w:p w:rsidR="00D45705" w:rsidRPr="00396233" w:rsidRDefault="00D45705" w:rsidP="00D45705">
      <w:pPr>
        <w:pStyle w:val="a2"/>
        <w:rPr>
          <w:rtl/>
        </w:rPr>
      </w:pPr>
      <w:bookmarkStart w:id="11954" w:name="_Toc23372453"/>
      <w:bookmarkStart w:id="11955" w:name="_Toc23419124"/>
      <w:bookmarkStart w:id="11956" w:name="_Toc23499386"/>
      <w:bookmarkStart w:id="11957" w:name="_Toc23663792"/>
      <w:bookmarkStart w:id="11958" w:name="_Toc23672436"/>
      <w:bookmarkStart w:id="11959" w:name="_Toc23673000"/>
      <w:r>
        <w:rPr>
          <w:rFonts w:hint="cs"/>
          <w:rtl/>
        </w:rPr>
        <w:t>דברי הרמב"ן והרשב"א בשם הר"א אב"ד דאף ביבש צריך שישים ואין חילוק בין לח ליבש</w:t>
      </w:r>
      <w:bookmarkEnd w:id="11954"/>
      <w:bookmarkEnd w:id="11955"/>
      <w:bookmarkEnd w:id="11956"/>
      <w:bookmarkEnd w:id="11957"/>
      <w:bookmarkEnd w:id="11958"/>
      <w:bookmarkEnd w:id="11959"/>
    </w:p>
    <w:p w:rsidR="00D45705" w:rsidRDefault="00D45705" w:rsidP="009F44AF">
      <w:pPr>
        <w:pStyle w:val="a"/>
        <w:rPr>
          <w:rtl/>
        </w:rPr>
      </w:pPr>
      <w:bookmarkStart w:id="11960" w:name="_Ref20904531"/>
      <w:bookmarkStart w:id="11961" w:name="_Ref23409765"/>
      <w:r>
        <w:rPr>
          <w:rFonts w:hint="cs"/>
          <w:rtl/>
        </w:rPr>
        <w:t xml:space="preserve">כתב </w:t>
      </w:r>
      <w:r w:rsidRPr="0021541D">
        <w:rPr>
          <w:rStyle w:val="af8"/>
          <w:rFonts w:hint="cs"/>
          <w:rtl/>
        </w:rPr>
        <w:t xml:space="preserve">הרמב"ן לעיל </w:t>
      </w:r>
      <w:r w:rsidRPr="00EF1B9E">
        <w:rPr>
          <w:rStyle w:val="af6"/>
          <w:rFonts w:eastAsia="Guttman Hodes" w:hint="cs"/>
          <w:rtl/>
        </w:rPr>
        <w:t>(צז: ד"ה והר"א אב"ד)</w:t>
      </w:r>
      <w:r>
        <w:rPr>
          <w:rFonts w:hint="cs"/>
          <w:rtl/>
        </w:rPr>
        <w:t xml:space="preserve"> בשם </w:t>
      </w:r>
      <w:r w:rsidRPr="003556C7">
        <w:rPr>
          <w:rStyle w:val="af8"/>
          <w:rFonts w:hint="cs"/>
          <w:rtl/>
        </w:rPr>
        <w:t>הר"א אב"ד</w:t>
      </w:r>
      <w:bookmarkStart w:id="11962" w:name="_Ref23672412"/>
      <w:r w:rsidRPr="003556C7">
        <w:rPr>
          <w:rStyle w:val="af0"/>
          <w:rtl/>
        </w:rPr>
        <w:footnoteReference w:id="56"/>
      </w:r>
      <w:bookmarkEnd w:id="11962"/>
      <w:r w:rsidRPr="003556C7">
        <w:rPr>
          <w:rFonts w:hint="cs"/>
          <w:rtl/>
        </w:rPr>
        <w:t xml:space="preserve"> </w:t>
      </w:r>
      <w:r>
        <w:rPr>
          <w:rFonts w:hint="cs"/>
          <w:rtl/>
        </w:rPr>
        <w:t xml:space="preserve">דבבריה לא מהני ביטול בשישים, והא דאיתא בגמ' לעיל </w:t>
      </w:r>
      <w:r w:rsidRPr="00EF1B9E">
        <w:rPr>
          <w:rStyle w:val="af6"/>
          <w:rFonts w:eastAsia="Guttman Hodes" w:hint="cs"/>
          <w:rtl/>
        </w:rPr>
        <w:t>(צז:)</w:t>
      </w:r>
      <w:r>
        <w:rPr>
          <w:rFonts w:hint="cs"/>
          <w:rtl/>
        </w:rPr>
        <w:t xml:space="preserve"> דמהני ביטול בשישים בגיד שהוא בריה, כוונת הגמ' לשמנונית של הגיד ולא לגיד עצמו, וכתב </w:t>
      </w:r>
      <w:r w:rsidRPr="0021541D">
        <w:rPr>
          <w:rStyle w:val="af8"/>
          <w:rFonts w:hint="cs"/>
          <w:rtl/>
        </w:rPr>
        <w:t xml:space="preserve">הרמב"ן לעיל </w:t>
      </w:r>
      <w:r w:rsidRPr="00EF1B9E">
        <w:rPr>
          <w:rStyle w:val="af6"/>
          <w:rFonts w:eastAsia="Guttman Hodes" w:hint="cs"/>
          <w:rtl/>
        </w:rPr>
        <w:t>(צז: ד"ה ומכלל)</w:t>
      </w:r>
      <w:r>
        <w:rPr>
          <w:rFonts w:hint="cs"/>
          <w:rtl/>
        </w:rPr>
        <w:t xml:space="preserve"> דמבואר מדברי </w:t>
      </w:r>
      <w:r w:rsidRPr="00C35A98">
        <w:rPr>
          <w:rStyle w:val="af8"/>
          <w:rFonts w:hint="cs"/>
          <w:rtl/>
        </w:rPr>
        <w:t>הר"א אב"ד</w:t>
      </w:r>
      <w:r>
        <w:rPr>
          <w:rFonts w:hint="cs"/>
          <w:rtl/>
        </w:rPr>
        <w:t xml:space="preserve"> דבדבר שאינו בריה דמהני בו </w:t>
      </w:r>
      <w:r w:rsidRPr="00F04214">
        <w:rPr>
          <w:rStyle w:val="afa"/>
          <w:rFonts w:hint="cs"/>
          <w:rtl/>
        </w:rPr>
        <w:t>[מדאו']</w:t>
      </w:r>
      <w:r>
        <w:rPr>
          <w:rFonts w:hint="cs"/>
          <w:rtl/>
        </w:rPr>
        <w:t xml:space="preserve"> ביטול ברוב, מ"מ צריך שישים </w:t>
      </w:r>
      <w:r w:rsidRPr="007A576F">
        <w:rPr>
          <w:rStyle w:val="afa"/>
          <w:rFonts w:hint="cs"/>
          <w:rtl/>
        </w:rPr>
        <w:t>[</w:t>
      </w:r>
      <w:r>
        <w:rPr>
          <w:rStyle w:val="afa"/>
          <w:rFonts w:hint="cs"/>
          <w:rtl/>
        </w:rPr>
        <w:t>מדרבנן</w:t>
      </w:r>
      <w:r w:rsidRPr="007A576F">
        <w:rPr>
          <w:rStyle w:val="afa"/>
          <w:rFonts w:hint="cs"/>
          <w:rtl/>
        </w:rPr>
        <w:t>]</w:t>
      </w:r>
      <w:r>
        <w:rPr>
          <w:rFonts w:hint="cs"/>
          <w:rtl/>
        </w:rPr>
        <w:t xml:space="preserve"> אף ביבש ביבש,</w:t>
      </w:r>
      <w:r w:rsidRPr="007A576F">
        <w:rPr>
          <w:rStyle w:val="afa"/>
          <w:rFonts w:hint="cs"/>
          <w:rtl/>
        </w:rPr>
        <w:t xml:space="preserve"> </w:t>
      </w:r>
      <w:bookmarkStart w:id="11963" w:name="_Ref20906939"/>
      <w:bookmarkEnd w:id="11960"/>
      <w:r>
        <w:rPr>
          <w:rFonts w:hint="cs"/>
          <w:rtl/>
        </w:rPr>
        <w:t xml:space="preserve">וכ"כ </w:t>
      </w:r>
      <w:r w:rsidRPr="00C43C4E">
        <w:rPr>
          <w:rStyle w:val="af8"/>
          <w:rFonts w:hint="cs"/>
          <w:rtl/>
        </w:rPr>
        <w:t>הרשב"א לעיל</w:t>
      </w:r>
      <w:r>
        <w:rPr>
          <w:rFonts w:hint="cs"/>
          <w:rtl/>
        </w:rPr>
        <w:t xml:space="preserve"> </w:t>
      </w:r>
      <w:r w:rsidRPr="00EF1B9E">
        <w:rPr>
          <w:rStyle w:val="af6"/>
          <w:rFonts w:eastAsia="Guttman Hodes" w:hint="cs"/>
          <w:rtl/>
        </w:rPr>
        <w:t xml:space="preserve">(צז: ד"ה א"ל) </w:t>
      </w:r>
      <w:r>
        <w:rPr>
          <w:rFonts w:hint="cs"/>
          <w:rtl/>
        </w:rPr>
        <w:t xml:space="preserve">בשם </w:t>
      </w:r>
      <w:r w:rsidRPr="005B157F">
        <w:rPr>
          <w:rStyle w:val="af8"/>
          <w:rFonts w:hint="cs"/>
          <w:rtl/>
        </w:rPr>
        <w:t>הר"א אב"ד</w:t>
      </w:r>
      <w:r>
        <w:rPr>
          <w:rFonts w:hint="cs"/>
          <w:rtl/>
        </w:rPr>
        <w:t xml:space="preserve"> והוסיף </w:t>
      </w:r>
      <w:r w:rsidRPr="00685625">
        <w:rPr>
          <w:rStyle w:val="af8"/>
          <w:rFonts w:hint="cs"/>
          <w:rtl/>
        </w:rPr>
        <w:t>הרשב"א בתוה"ב</w:t>
      </w:r>
      <w:r>
        <w:rPr>
          <w:rFonts w:hint="cs"/>
          <w:rtl/>
        </w:rPr>
        <w:t xml:space="preserve"> </w:t>
      </w:r>
      <w:r w:rsidRPr="00EF1B9E">
        <w:rPr>
          <w:rStyle w:val="af6"/>
          <w:rFonts w:eastAsia="Guttman Hodes" w:hint="cs"/>
          <w:rtl/>
        </w:rPr>
        <w:t>(ב"ד ש"א יז: מדה"ס)</w:t>
      </w:r>
      <w:r>
        <w:rPr>
          <w:rFonts w:hint="cs"/>
          <w:rtl/>
        </w:rPr>
        <w:t xml:space="preserve"> בשם </w:t>
      </w:r>
      <w:r w:rsidRPr="00685625">
        <w:rPr>
          <w:rStyle w:val="af8"/>
          <w:rFonts w:hint="cs"/>
          <w:rtl/>
        </w:rPr>
        <w:t>אחד מגדולי החכמים</w:t>
      </w:r>
      <w:r>
        <w:rPr>
          <w:rFonts w:hint="cs"/>
          <w:rtl/>
        </w:rPr>
        <w:t>, שאין חילוק בין יבש ביבש ללח בלח, ובשניהם מהני ביטול רק בשישים,</w:t>
      </w:r>
      <w:r w:rsidRPr="003556C7">
        <w:rPr>
          <w:rFonts w:hint="cs"/>
          <w:rtl/>
        </w:rPr>
        <w:t xml:space="preserve"> </w:t>
      </w:r>
      <w:r>
        <w:rPr>
          <w:rFonts w:hint="cs"/>
          <w:rtl/>
        </w:rPr>
        <w:t>וכ"כ</w:t>
      </w:r>
      <w:r w:rsidRPr="00066304">
        <w:rPr>
          <w:rFonts w:hint="cs"/>
          <w:rtl/>
        </w:rPr>
        <w:t xml:space="preserve"> </w:t>
      </w:r>
      <w:r w:rsidRPr="00E44877">
        <w:rPr>
          <w:rStyle w:val="af8"/>
          <w:rFonts w:hint="cs"/>
          <w:rtl/>
        </w:rPr>
        <w:t>הר"ן על הרי"ף</w:t>
      </w:r>
      <w:r w:rsidRPr="00066304">
        <w:rPr>
          <w:rFonts w:hint="cs"/>
          <w:rtl/>
        </w:rPr>
        <w:t xml:space="preserve"> </w:t>
      </w:r>
      <w:r w:rsidRPr="00227059">
        <w:rPr>
          <w:rStyle w:val="af6"/>
          <w:rFonts w:eastAsia="Guttman Hodes" w:hint="cs"/>
          <w:rtl/>
        </w:rPr>
        <w:t>(</w:t>
      </w:r>
      <w:r w:rsidRPr="008C6FA9">
        <w:rPr>
          <w:rStyle w:val="af6"/>
          <w:rFonts w:eastAsia="Guttman Hodes"/>
          <w:rtl/>
        </w:rPr>
        <w:t>ל</w:t>
      </w:r>
      <w:r>
        <w:rPr>
          <w:rStyle w:val="af6"/>
          <w:rFonts w:eastAsia="Guttman Hodes"/>
          <w:rtl/>
        </w:rPr>
        <w:t>ו. מדפי הרי"ף ד"ה גרסי'</w:t>
      </w:r>
      <w:r w:rsidRPr="00227059">
        <w:rPr>
          <w:rStyle w:val="af6"/>
          <w:rFonts w:eastAsia="Guttman Hodes" w:hint="cs"/>
          <w:rtl/>
        </w:rPr>
        <w:t>)</w:t>
      </w:r>
      <w:r w:rsidRPr="00066304">
        <w:rPr>
          <w:rFonts w:hint="cs"/>
          <w:rtl/>
        </w:rPr>
        <w:t xml:space="preserve"> בשם </w:t>
      </w:r>
      <w:r>
        <w:rPr>
          <w:rStyle w:val="af8"/>
          <w:rFonts w:hint="cs"/>
          <w:rtl/>
        </w:rPr>
        <w:t>הר</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Pr>
          <w:rFonts w:hint="cs"/>
          <w:rtl/>
        </w:rPr>
        <w:t>.</w:t>
      </w:r>
      <w:bookmarkEnd w:id="11961"/>
    </w:p>
    <w:p w:rsidR="00D45705" w:rsidRPr="00321C79" w:rsidRDefault="00D45705" w:rsidP="00D45705">
      <w:pPr>
        <w:pStyle w:val="a2"/>
      </w:pPr>
      <w:bookmarkStart w:id="11964" w:name="_Toc23372454"/>
      <w:bookmarkStart w:id="11965" w:name="_Toc23419125"/>
      <w:bookmarkStart w:id="11966" w:name="_Toc23499387"/>
      <w:bookmarkStart w:id="11967" w:name="_Toc23663793"/>
      <w:bookmarkStart w:id="11968" w:name="_Toc23672437"/>
      <w:bookmarkStart w:id="11969" w:name="_Toc23673001"/>
      <w:r>
        <w:rPr>
          <w:rFonts w:hint="cs"/>
          <w:rtl/>
        </w:rPr>
        <w:t>ביאור הרמב"ן בר"א אב"ד דכיון ששיעור שישים הוא במחלוקת לא פירשה הגמ' שישים</w:t>
      </w:r>
      <w:bookmarkEnd w:id="11964"/>
      <w:bookmarkEnd w:id="11965"/>
      <w:bookmarkEnd w:id="11966"/>
      <w:bookmarkEnd w:id="11967"/>
      <w:bookmarkEnd w:id="11968"/>
      <w:bookmarkEnd w:id="11969"/>
    </w:p>
    <w:p w:rsidR="00D45705" w:rsidRPr="00F0671F" w:rsidRDefault="00D45705" w:rsidP="009F44AF">
      <w:pPr>
        <w:pStyle w:val="a"/>
        <w:rPr>
          <w:rStyle w:val="afa"/>
          <w:rtl/>
        </w:rPr>
      </w:pPr>
      <w:r>
        <w:rPr>
          <w:rFonts w:hint="cs"/>
          <w:rtl/>
        </w:rPr>
        <w:t xml:space="preserve">וכתב </w:t>
      </w:r>
      <w:r w:rsidRPr="0021541D">
        <w:rPr>
          <w:rStyle w:val="af8"/>
          <w:rFonts w:hint="cs"/>
          <w:rtl/>
        </w:rPr>
        <w:t xml:space="preserve">הרמב"ן לעיל </w:t>
      </w:r>
      <w:r>
        <w:rPr>
          <w:rFonts w:hint="cs"/>
          <w:rtl/>
        </w:rPr>
        <w:t xml:space="preserve">דס"ל </w:t>
      </w:r>
      <w:r w:rsidRPr="00C43C4E">
        <w:rPr>
          <w:rStyle w:val="af8"/>
          <w:rFonts w:hint="cs"/>
          <w:rtl/>
        </w:rPr>
        <w:t>להר"א אב"ד</w:t>
      </w:r>
      <w:r>
        <w:rPr>
          <w:rFonts w:hint="cs"/>
          <w:rtl/>
        </w:rPr>
        <w:t xml:space="preserve"> דהא דמקשה הגמ' בסוגיין שיתבטל ברוב כוונתה שיתבטל בשישים, והא דלא פירשה הגמ' כן להדיא, הוא כיון דבמתני' תנן דהשיעור בגיד הוא בנותן טעם, ובגמ' לא נאמר השיעור בזה ויש בו מחלוקת, </w:t>
      </w:r>
      <w:r w:rsidRPr="0021541D">
        <w:rPr>
          <w:rStyle w:val="afa"/>
          <w:rFonts w:hint="cs"/>
          <w:rtl/>
        </w:rPr>
        <w:t>[אם הוא בשישים או במאה],</w:t>
      </w:r>
      <w:r>
        <w:rPr>
          <w:rFonts w:hint="cs"/>
          <w:rtl/>
        </w:rPr>
        <w:t xml:space="preserve"> לכן מקשה הגמ' דיועיל ביטול ברוב. </w:t>
      </w:r>
      <w:r w:rsidRPr="00F0671F">
        <w:rPr>
          <w:rStyle w:val="afa"/>
          <w:rFonts w:hint="cs"/>
          <w:rtl/>
        </w:rPr>
        <w:t xml:space="preserve">[והוסיף </w:t>
      </w:r>
      <w:r w:rsidRPr="00F0671F">
        <w:rPr>
          <w:rStyle w:val="affa"/>
          <w:rFonts w:hint="cs"/>
          <w:rtl/>
        </w:rPr>
        <w:t>הרמב"ן</w:t>
      </w:r>
      <w:r w:rsidRPr="00F0671F">
        <w:rPr>
          <w:rStyle w:val="afa"/>
          <w:rFonts w:hint="cs"/>
          <w:rtl/>
        </w:rPr>
        <w:t xml:space="preserve"> </w:t>
      </w:r>
      <w:r>
        <w:rPr>
          <w:rStyle w:val="afa"/>
          <w:rFonts w:hint="cs"/>
          <w:rtl/>
        </w:rPr>
        <w:t>דמקשה הגמ" שיתבטל ב</w:t>
      </w:r>
      <w:r w:rsidRPr="00F0671F">
        <w:rPr>
          <w:rStyle w:val="afa"/>
          <w:rFonts w:hint="cs"/>
          <w:rtl/>
        </w:rPr>
        <w:t xml:space="preserve">רוב </w:t>
      </w:r>
      <w:r>
        <w:rPr>
          <w:rStyle w:val="afa"/>
          <w:rFonts w:hint="cs"/>
          <w:rtl/>
        </w:rPr>
        <w:t>דמתני' ד</w:t>
      </w:r>
      <w:r w:rsidRPr="00F0671F">
        <w:rPr>
          <w:rStyle w:val="afa"/>
          <w:rFonts w:hint="cs"/>
          <w:rtl/>
        </w:rPr>
        <w:t>הוא יותר מנותן טעם, וצ"ב כוונתו].</w:t>
      </w:r>
      <w:bookmarkEnd w:id="11963"/>
    </w:p>
    <w:p w:rsidR="00D45705" w:rsidRPr="004112C1" w:rsidRDefault="00D45705" w:rsidP="00D45705">
      <w:pPr>
        <w:pStyle w:val="a2"/>
        <w:rPr>
          <w:rtl/>
        </w:rPr>
      </w:pPr>
      <w:bookmarkStart w:id="11970" w:name="_Toc23372455"/>
      <w:bookmarkStart w:id="11971" w:name="_Toc23419126"/>
      <w:bookmarkStart w:id="11972" w:name="_Toc23499388"/>
      <w:bookmarkStart w:id="11973" w:name="_Toc23663794"/>
      <w:bookmarkStart w:id="11974" w:name="_Toc23672438"/>
      <w:bookmarkStart w:id="11975" w:name="_Toc23673002"/>
      <w:r>
        <w:rPr>
          <w:rFonts w:hint="cs"/>
          <w:rtl/>
        </w:rPr>
        <w:t>ביאור הרשב"א בר"א אב"ד דקושית הגמ' אמאי גיד אסור לעולם ואינו מתבטל בר</w:t>
      </w:r>
      <w:r w:rsidR="00BD4890">
        <w:rPr>
          <w:rFonts w:hint="cs"/>
          <w:rtl/>
        </w:rPr>
        <w:t>ב</w:t>
      </w:r>
      <w:r>
        <w:rPr>
          <w:rFonts w:hint="cs"/>
          <w:rtl/>
        </w:rPr>
        <w:t>ייה</w:t>
      </w:r>
      <w:bookmarkEnd w:id="11970"/>
      <w:bookmarkEnd w:id="11971"/>
      <w:bookmarkEnd w:id="11972"/>
      <w:bookmarkEnd w:id="11973"/>
      <w:bookmarkEnd w:id="11974"/>
      <w:bookmarkEnd w:id="11975"/>
    </w:p>
    <w:p w:rsidR="00D45705" w:rsidRPr="00297DD3" w:rsidRDefault="00D45705" w:rsidP="009F44AF">
      <w:pPr>
        <w:pStyle w:val="a"/>
        <w:rPr>
          <w:rtl/>
        </w:rPr>
      </w:pPr>
      <w:bookmarkStart w:id="11976" w:name="_Ref23409455"/>
      <w:r>
        <w:rPr>
          <w:rFonts w:hint="cs"/>
          <w:rtl/>
        </w:rPr>
        <w:t xml:space="preserve">וביארו </w:t>
      </w:r>
      <w:r w:rsidRPr="003B2F5A">
        <w:rPr>
          <w:rStyle w:val="af8"/>
          <w:rFonts w:hint="cs"/>
          <w:rtl/>
        </w:rPr>
        <w:t>הרשב"א בתוה"ב</w:t>
      </w:r>
      <w:r>
        <w:rPr>
          <w:rFonts w:hint="cs"/>
          <w:rtl/>
        </w:rPr>
        <w:t xml:space="preserve"> </w:t>
      </w:r>
      <w:r>
        <w:rPr>
          <w:rStyle w:val="af8"/>
          <w:rFonts w:hint="cs"/>
          <w:rtl/>
        </w:rPr>
        <w:t>ו</w:t>
      </w:r>
      <w:r w:rsidRPr="00E44877">
        <w:rPr>
          <w:rStyle w:val="af8"/>
          <w:rFonts w:hint="cs"/>
          <w:rtl/>
        </w:rPr>
        <w:t>הר"ן על הרי"ף</w:t>
      </w:r>
      <w:r>
        <w:rPr>
          <w:rFonts w:hint="cs"/>
          <w:rtl/>
        </w:rPr>
        <w:t xml:space="preserve"> דס"ל </w:t>
      </w:r>
      <w:r w:rsidRPr="00C43C4E">
        <w:rPr>
          <w:rStyle w:val="af8"/>
          <w:rFonts w:hint="cs"/>
          <w:rtl/>
        </w:rPr>
        <w:t xml:space="preserve">להר"א </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Pr>
          <w:rFonts w:hint="cs"/>
          <w:rtl/>
        </w:rPr>
        <w:t xml:space="preserve"> דהא דמקשה הגמ' בסוגיין שיתבטל ברוב, כוונת הגמ' להקשות שיתבטל ברבייה, דהיינו בשישים,</w:t>
      </w:r>
      <w:r w:rsidRPr="00F0437E">
        <w:rPr>
          <w:rFonts w:hint="cs"/>
          <w:rtl/>
        </w:rPr>
        <w:t xml:space="preserve"> </w:t>
      </w:r>
      <w:r>
        <w:rPr>
          <w:rFonts w:hint="cs"/>
          <w:rtl/>
        </w:rPr>
        <w:t xml:space="preserve">אלא דכיון שבמתני' לעיל </w:t>
      </w:r>
      <w:r w:rsidRPr="00C77B9B">
        <w:rPr>
          <w:rStyle w:val="af6"/>
          <w:rFonts w:eastAsia="Guttman Hodes" w:hint="cs"/>
          <w:rtl/>
        </w:rPr>
        <w:t>(צו:)</w:t>
      </w:r>
      <w:r>
        <w:rPr>
          <w:rFonts w:hint="cs"/>
          <w:rtl/>
        </w:rPr>
        <w:t xml:space="preserve"> תנן דבגיד בין הגידים בזמן שאין מכירו כולם אסורים, לכן מקשה הגמ' שיתבטל ברוב, וכוונת הגמ' להקשות דאמאי אינו מתבטל לעולם, דהא כשההיתר מתרבה על האיסור בשישים צריך האיסור להתבטל.</w:t>
      </w:r>
      <w:bookmarkEnd w:id="11976"/>
    </w:p>
    <w:p w:rsidR="00D45705" w:rsidRDefault="00D45705" w:rsidP="00BD4890">
      <w:pPr>
        <w:pStyle w:val="a2"/>
        <w:rPr>
          <w:rtl/>
        </w:rPr>
      </w:pPr>
      <w:bookmarkStart w:id="11977" w:name="_Toc23372456"/>
      <w:bookmarkStart w:id="11978" w:name="_Toc23419127"/>
      <w:bookmarkStart w:id="11979" w:name="_Toc23499389"/>
      <w:bookmarkStart w:id="11980" w:name="_Toc23663795"/>
      <w:bookmarkStart w:id="11981" w:name="_Toc23672439"/>
      <w:bookmarkStart w:id="11982" w:name="_Toc23673003"/>
      <w:r>
        <w:rPr>
          <w:rFonts w:hint="cs"/>
          <w:rtl/>
        </w:rPr>
        <w:t xml:space="preserve">קושית הרשב"א על הר"א אב"ד דבגמ' </w:t>
      </w:r>
      <w:r w:rsidR="00BD4890">
        <w:rPr>
          <w:rFonts w:hint="cs"/>
          <w:rtl/>
        </w:rPr>
        <w:t>בזבחים</w:t>
      </w:r>
      <w:r>
        <w:rPr>
          <w:rFonts w:hint="cs"/>
          <w:rtl/>
        </w:rPr>
        <w:t xml:space="preserve"> מוכח דבמין במינו א"צ שישים וסגי ברוב</w:t>
      </w:r>
      <w:bookmarkEnd w:id="11977"/>
      <w:bookmarkEnd w:id="11978"/>
      <w:bookmarkEnd w:id="11979"/>
      <w:bookmarkEnd w:id="11980"/>
      <w:bookmarkEnd w:id="11981"/>
      <w:bookmarkEnd w:id="11982"/>
    </w:p>
    <w:p w:rsidR="00D45705" w:rsidRPr="00673362" w:rsidRDefault="00D45705" w:rsidP="009F44AF">
      <w:pPr>
        <w:pStyle w:val="a"/>
        <w:rPr>
          <w:rtl/>
        </w:rPr>
      </w:pPr>
      <w:r w:rsidRPr="00673362">
        <w:rPr>
          <w:rFonts w:hint="cs"/>
          <w:rtl/>
        </w:rPr>
        <w:t xml:space="preserve">אך הקשה </w:t>
      </w:r>
      <w:r w:rsidRPr="00673362">
        <w:rPr>
          <w:rStyle w:val="af8"/>
          <w:rFonts w:hint="cs"/>
          <w:rtl/>
        </w:rPr>
        <w:t>הרשב"א לעיל</w:t>
      </w:r>
      <w:r w:rsidRPr="00673362">
        <w:rPr>
          <w:rFonts w:hint="cs"/>
          <w:rtl/>
        </w:rPr>
        <w:t xml:space="preserve"> על דברי </w:t>
      </w:r>
      <w:r w:rsidRPr="00673362">
        <w:rPr>
          <w:rStyle w:val="af8"/>
          <w:rFonts w:hint="cs"/>
          <w:rtl/>
        </w:rPr>
        <w:t>הר"א אב"ד</w:t>
      </w:r>
      <w:r w:rsidRPr="00673362">
        <w:rPr>
          <w:rFonts w:hint="cs"/>
          <w:rtl/>
        </w:rPr>
        <w:t xml:space="preserve"> מהא </w:t>
      </w:r>
      <w:r>
        <w:rPr>
          <w:rFonts w:hint="cs"/>
          <w:rtl/>
        </w:rPr>
        <w:t xml:space="preserve">דאמר רבא בזבחים </w:t>
      </w:r>
      <w:r>
        <w:rPr>
          <w:rStyle w:val="af6"/>
          <w:rFonts w:eastAsia="Guttman Hodes" w:hint="cs"/>
          <w:rtl/>
        </w:rPr>
        <w:t>(עט.</w:t>
      </w:r>
      <w:r w:rsidRPr="00C0054B">
        <w:rPr>
          <w:rStyle w:val="af6"/>
          <w:rFonts w:eastAsia="Guttman Hodes" w:hint="cs"/>
          <w:rtl/>
        </w:rPr>
        <w:t xml:space="preserve">) </w:t>
      </w:r>
      <w:r w:rsidRPr="00673362">
        <w:rPr>
          <w:rFonts w:hint="cs"/>
          <w:rtl/>
        </w:rPr>
        <w:t xml:space="preserve">דאמור רבנן ברובא במין במינו, ואמור רבנן בשישים במין בשאינו מינו, ומבואר דבמין במינו מהני ביטול ברוב, וכתב </w:t>
      </w:r>
      <w:r w:rsidRPr="00673362">
        <w:rPr>
          <w:rStyle w:val="af8"/>
          <w:rFonts w:hint="cs"/>
          <w:rtl/>
        </w:rPr>
        <w:t>הרשב"א</w:t>
      </w:r>
      <w:r w:rsidRPr="00673362">
        <w:rPr>
          <w:rFonts w:hint="cs"/>
          <w:rtl/>
        </w:rPr>
        <w:t xml:space="preserve"> דאפשר לתרץ דמדאו' מהני ביטול ברוב, אבל מדרבנן אף במין במינו ביבש, לא מהני ביטול בפחות משישים, אך דחה </w:t>
      </w:r>
      <w:r w:rsidRPr="00673362">
        <w:rPr>
          <w:rStyle w:val="af8"/>
          <w:rFonts w:hint="cs"/>
          <w:rtl/>
        </w:rPr>
        <w:t>הרשב"א</w:t>
      </w:r>
      <w:r w:rsidRPr="00673362">
        <w:rPr>
          <w:rFonts w:hint="cs"/>
          <w:rtl/>
        </w:rPr>
        <w:t xml:space="preserve"> דא"א לומר דר</w:t>
      </w:r>
      <w:r>
        <w:rPr>
          <w:rFonts w:hint="cs"/>
          <w:rtl/>
        </w:rPr>
        <w:t xml:space="preserve">בא בזבחים </w:t>
      </w:r>
      <w:r w:rsidRPr="00673362">
        <w:rPr>
          <w:rFonts w:hint="cs"/>
          <w:rtl/>
        </w:rPr>
        <w:t xml:space="preserve">איירי בדאו', דהא מדאו' אף במין בשאינו מינו א"צ שישים, וכל שאין כזית בכדי אכילת פרס מותר. [ועי' במה שתירץ </w:t>
      </w:r>
      <w:r w:rsidRPr="00673362">
        <w:rPr>
          <w:rStyle w:val="af8"/>
          <w:rFonts w:hint="cs"/>
          <w:rtl/>
        </w:rPr>
        <w:t>הראש יוסף</w:t>
      </w:r>
      <w:r w:rsidRPr="00673362">
        <w:rPr>
          <w:rFonts w:hint="cs"/>
          <w:rtl/>
        </w:rPr>
        <w:t xml:space="preserve"> </w:t>
      </w:r>
      <w:r w:rsidRPr="00673362">
        <w:rPr>
          <w:rStyle w:val="af6"/>
          <w:rFonts w:eastAsia="Guttman Hodes" w:hint="cs"/>
          <w:rtl/>
        </w:rPr>
        <w:t>(ק. ד"ה גיד)</w:t>
      </w:r>
      <w:r w:rsidRPr="00673362">
        <w:rPr>
          <w:rFonts w:hint="cs"/>
          <w:rtl/>
        </w:rPr>
        <w:t xml:space="preserve"> את דברי </w:t>
      </w:r>
      <w:r w:rsidRPr="00673362">
        <w:rPr>
          <w:rStyle w:val="af8"/>
          <w:rFonts w:hint="cs"/>
          <w:rtl/>
        </w:rPr>
        <w:t>הר"א אב"ד</w:t>
      </w:r>
      <w:r w:rsidRPr="00673362">
        <w:rPr>
          <w:rFonts w:hint="cs"/>
          <w:rtl/>
        </w:rPr>
        <w:t>].</w:t>
      </w:r>
    </w:p>
    <w:p w:rsidR="00D45705" w:rsidRPr="00186675" w:rsidRDefault="00D45705" w:rsidP="00D45705">
      <w:pPr>
        <w:pStyle w:val="a2"/>
        <w:rPr>
          <w:rtl/>
        </w:rPr>
      </w:pPr>
      <w:bookmarkStart w:id="11983" w:name="_Toc23372457"/>
      <w:bookmarkStart w:id="11984" w:name="_Toc23419128"/>
      <w:bookmarkStart w:id="11985" w:name="_Toc23499390"/>
      <w:bookmarkStart w:id="11986" w:name="_Toc23663796"/>
      <w:bookmarkStart w:id="11987" w:name="_Toc23672440"/>
      <w:bookmarkStart w:id="11988" w:name="_Toc23673004"/>
      <w:r>
        <w:rPr>
          <w:rFonts w:hint="cs"/>
          <w:rtl/>
        </w:rPr>
        <w:t>קושית הרשב"א על הר"א אב"ד דבגמ' בב"מ מבואר דביבש ביבש סגי ברוב וא"צ שישים</w:t>
      </w:r>
      <w:bookmarkEnd w:id="11983"/>
      <w:bookmarkEnd w:id="11984"/>
      <w:bookmarkEnd w:id="11985"/>
      <w:bookmarkEnd w:id="11986"/>
      <w:bookmarkEnd w:id="11987"/>
      <w:bookmarkEnd w:id="11988"/>
    </w:p>
    <w:p w:rsidR="00D45705" w:rsidRDefault="00D45705" w:rsidP="009F44AF">
      <w:pPr>
        <w:pStyle w:val="a"/>
        <w:rPr>
          <w:rtl/>
        </w:rPr>
      </w:pPr>
      <w:r>
        <w:rPr>
          <w:rStyle w:val="af8"/>
          <w:rFonts w:hint="cs"/>
          <w:rtl/>
        </w:rPr>
        <w:t>ו</w:t>
      </w:r>
      <w:r w:rsidRPr="00186675">
        <w:rPr>
          <w:rStyle w:val="af8"/>
          <w:rFonts w:hint="cs"/>
          <w:rtl/>
        </w:rPr>
        <w:t xml:space="preserve">הרשב"א בתוה"ב </w:t>
      </w:r>
      <w:r w:rsidRPr="00116728">
        <w:rPr>
          <w:rFonts w:hint="cs"/>
          <w:rtl/>
        </w:rPr>
        <w:t>הקשה</w:t>
      </w:r>
      <w:r>
        <w:rPr>
          <w:rFonts w:hint="cs"/>
          <w:rtl/>
        </w:rPr>
        <w:t xml:space="preserve"> </w:t>
      </w:r>
      <w:r w:rsidRPr="00116728">
        <w:rPr>
          <w:rFonts w:hint="cs"/>
          <w:rtl/>
        </w:rPr>
        <w:t xml:space="preserve">על </w:t>
      </w:r>
      <w:r w:rsidRPr="00186675">
        <w:rPr>
          <w:rStyle w:val="af8"/>
          <w:rFonts w:hint="cs"/>
          <w:rtl/>
        </w:rPr>
        <w:t xml:space="preserve">הר"א אב"ד </w:t>
      </w:r>
      <w:r>
        <w:rPr>
          <w:rFonts w:hint="cs"/>
          <w:rtl/>
        </w:rPr>
        <w:t>מהא דאיתא בגמ' בב</w:t>
      </w:r>
      <w:r w:rsidRPr="00FD7C50">
        <w:rPr>
          <w:rFonts w:hint="cs"/>
          <w:rtl/>
        </w:rPr>
        <w:t>"מ</w:t>
      </w:r>
      <w:r w:rsidRPr="00186675">
        <w:rPr>
          <w:rStyle w:val="af6"/>
          <w:rFonts w:eastAsia="Guttman Hodes" w:hint="cs"/>
          <w:rtl/>
        </w:rPr>
        <w:t xml:space="preserve"> (נג.)</w:t>
      </w:r>
      <w:r>
        <w:rPr>
          <w:rFonts w:hint="cs"/>
          <w:rtl/>
        </w:rPr>
        <w:t xml:space="preserve"> דתרומה עולה באחד ומאה, ומעשר בטל ברוב, ומבואר דבמעשר ביבש ביבש בטל ברוב, וא"צ שישים, ודלא </w:t>
      </w:r>
      <w:r w:rsidRPr="00186675">
        <w:rPr>
          <w:rStyle w:val="af8"/>
          <w:rFonts w:hint="cs"/>
          <w:rtl/>
        </w:rPr>
        <w:t>כרש"י</w:t>
      </w:r>
      <w:r>
        <w:rPr>
          <w:rFonts w:hint="cs"/>
          <w:rtl/>
        </w:rPr>
        <w:t xml:space="preserve"> </w:t>
      </w:r>
      <w:r w:rsidRPr="00B760D5">
        <w:rPr>
          <w:rStyle w:val="af8"/>
          <w:rFonts w:hint="cs"/>
          <w:rtl/>
        </w:rPr>
        <w:t xml:space="preserve">בב"מ </w:t>
      </w:r>
      <w:r w:rsidRPr="00B760D5">
        <w:rPr>
          <w:rStyle w:val="af6"/>
          <w:rFonts w:eastAsia="Guttman Hodes" w:hint="cs"/>
          <w:rtl/>
        </w:rPr>
        <w:t xml:space="preserve">(עי' אות </w:t>
      </w:r>
      <w:r w:rsidRPr="00B760D5">
        <w:rPr>
          <w:rStyle w:val="af6"/>
          <w:rFonts w:eastAsia="Guttman Hodes"/>
          <w:rtl/>
        </w:rPr>
        <w:fldChar w:fldCharType="begin"/>
      </w:r>
      <w:r w:rsidRPr="00B760D5">
        <w:rPr>
          <w:rStyle w:val="af6"/>
          <w:rFonts w:eastAsia="Guttman Hodes"/>
          <w:rtl/>
        </w:rPr>
        <w:instrText xml:space="preserve"> </w:instrText>
      </w:r>
      <w:r w:rsidRPr="00B760D5">
        <w:rPr>
          <w:rStyle w:val="af6"/>
          <w:rFonts w:eastAsia="Guttman Hodes" w:hint="cs"/>
        </w:rPr>
        <w:instrText>REF</w:instrText>
      </w:r>
      <w:r w:rsidRPr="00B760D5">
        <w:rPr>
          <w:rStyle w:val="af6"/>
          <w:rFonts w:eastAsia="Guttman Hodes" w:hint="cs"/>
          <w:rtl/>
        </w:rPr>
        <w:instrText xml:space="preserve"> _</w:instrText>
      </w:r>
      <w:r w:rsidRPr="00B760D5">
        <w:rPr>
          <w:rStyle w:val="af6"/>
          <w:rFonts w:eastAsia="Guttman Hodes" w:hint="cs"/>
        </w:rPr>
        <w:instrText>Ref23366851 \r \h</w:instrText>
      </w:r>
      <w:r w:rsidRPr="00B760D5">
        <w:rPr>
          <w:rStyle w:val="af6"/>
          <w:rFonts w:eastAsia="Guttman Hodes"/>
          <w:rtl/>
        </w:rPr>
        <w:instrText xml:space="preserve"> </w:instrText>
      </w:r>
      <w:r w:rsidRPr="00B760D5">
        <w:rPr>
          <w:rStyle w:val="af6"/>
          <w:rFonts w:eastAsia="Guttman Hodes"/>
          <w:rtl/>
        </w:rPr>
      </w:r>
      <w:r w:rsidRPr="00B760D5">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B760D5">
        <w:rPr>
          <w:rStyle w:val="af6"/>
          <w:rFonts w:eastAsia="Guttman Hodes"/>
          <w:rtl/>
        </w:rPr>
        <w:fldChar w:fldCharType="end"/>
      </w:r>
      <w:r>
        <w:rPr>
          <w:rFonts w:hint="cs"/>
          <w:rtl/>
        </w:rPr>
        <w:t xml:space="preserve"> דפירש דכוונת הגמ' בשישים, וכ"כ </w:t>
      </w:r>
      <w:r w:rsidRPr="00C77E38">
        <w:rPr>
          <w:rStyle w:val="af8"/>
          <w:rFonts w:hint="cs"/>
          <w:rtl/>
        </w:rPr>
        <w:t>הרשב"א בב"מ</w:t>
      </w:r>
      <w:r>
        <w:rPr>
          <w:rFonts w:hint="cs"/>
          <w:rtl/>
        </w:rPr>
        <w:t xml:space="preserve"> </w:t>
      </w:r>
      <w:r w:rsidRPr="00FC3CF1">
        <w:rPr>
          <w:rStyle w:val="af6"/>
          <w:rFonts w:eastAsia="Guttman Hodes" w:hint="cs"/>
          <w:rtl/>
        </w:rPr>
        <w:t>(נג. ד"ה משא"כ)</w:t>
      </w:r>
      <w:r>
        <w:rPr>
          <w:rFonts w:hint="cs"/>
          <w:rtl/>
        </w:rPr>
        <w:t>.</w:t>
      </w:r>
    </w:p>
    <w:p w:rsidR="00D45705" w:rsidRDefault="00D45705" w:rsidP="00D45705">
      <w:pPr>
        <w:pStyle w:val="a2"/>
        <w:rPr>
          <w:rtl/>
        </w:rPr>
      </w:pPr>
      <w:bookmarkStart w:id="11989" w:name="_Toc23372458"/>
      <w:bookmarkStart w:id="11990" w:name="_Toc23419129"/>
      <w:bookmarkStart w:id="11991" w:name="_Toc23499391"/>
      <w:bookmarkStart w:id="11992" w:name="_Toc23663797"/>
      <w:bookmarkStart w:id="11993" w:name="_Toc23672441"/>
      <w:bookmarkStart w:id="11994" w:name="_Toc23673005"/>
      <w:r>
        <w:rPr>
          <w:rFonts w:hint="cs"/>
          <w:rtl/>
        </w:rPr>
        <w:t>קושית הר"ן והרשב"א דבכל מקום לשון רוב היינו רוב ממש וכן הפשטות בסוגיין</w:t>
      </w:r>
      <w:bookmarkEnd w:id="11989"/>
      <w:bookmarkEnd w:id="11990"/>
      <w:bookmarkEnd w:id="11991"/>
      <w:bookmarkEnd w:id="11992"/>
      <w:bookmarkEnd w:id="11993"/>
      <w:bookmarkEnd w:id="11994"/>
    </w:p>
    <w:p w:rsidR="00D45705" w:rsidRDefault="00D45705" w:rsidP="009F44AF">
      <w:pPr>
        <w:pStyle w:val="a"/>
        <w:rPr>
          <w:rtl/>
        </w:rPr>
      </w:pPr>
      <w:r>
        <w:rPr>
          <w:rStyle w:val="af8"/>
          <w:rFonts w:hint="cs"/>
          <w:rtl/>
        </w:rPr>
        <w:t>ו</w:t>
      </w:r>
      <w:r w:rsidRPr="00EA4E9C">
        <w:rPr>
          <w:rStyle w:val="af8"/>
          <w:rFonts w:hint="cs"/>
          <w:rtl/>
        </w:rPr>
        <w:t>הר"ן על הרי"ף</w:t>
      </w:r>
      <w:r>
        <w:rPr>
          <w:rFonts w:hint="cs"/>
          <w:rtl/>
        </w:rPr>
        <w:t xml:space="preserve"> </w:t>
      </w:r>
      <w:r w:rsidRPr="00227059">
        <w:rPr>
          <w:rStyle w:val="af6"/>
          <w:rFonts w:eastAsia="Guttman Hodes" w:hint="cs"/>
          <w:rtl/>
        </w:rPr>
        <w:t>(</w:t>
      </w:r>
      <w:r w:rsidRPr="008C6FA9">
        <w:rPr>
          <w:rStyle w:val="af6"/>
          <w:rFonts w:eastAsia="Guttman Hodes"/>
          <w:rtl/>
        </w:rPr>
        <w:t>ל</w:t>
      </w:r>
      <w:r>
        <w:rPr>
          <w:rStyle w:val="af6"/>
          <w:rFonts w:eastAsia="Guttman Hodes"/>
          <w:rtl/>
        </w:rPr>
        <w:t>ו. מדפי הרי"ף ד"ה גרסי'</w:t>
      </w:r>
      <w:r w:rsidRPr="00227059">
        <w:rPr>
          <w:rStyle w:val="af6"/>
          <w:rFonts w:eastAsia="Guttman Hodes" w:hint="cs"/>
          <w:rtl/>
        </w:rPr>
        <w:t>)</w:t>
      </w:r>
      <w:r w:rsidRPr="00066304">
        <w:rPr>
          <w:rFonts w:hint="cs"/>
          <w:rtl/>
        </w:rPr>
        <w:t xml:space="preserve"> </w:t>
      </w:r>
      <w:r>
        <w:rPr>
          <w:rFonts w:hint="cs"/>
          <w:rtl/>
        </w:rPr>
        <w:t xml:space="preserve">הקשה על </w:t>
      </w:r>
      <w:r>
        <w:rPr>
          <w:rStyle w:val="af8"/>
          <w:rFonts w:hint="cs"/>
          <w:rtl/>
        </w:rPr>
        <w:t>הר</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Pr>
          <w:rFonts w:hint="cs"/>
          <w:rtl/>
        </w:rPr>
        <w:t xml:space="preserve"> דבכל מקום דאמרינן בגמ' שיתבטל ברוב, היינו ברוב ממש, ומשמע דזו כוונת הגמ' הכא, וכן הקשה </w:t>
      </w:r>
      <w:r w:rsidRPr="001E5B44">
        <w:rPr>
          <w:rStyle w:val="af8"/>
          <w:rFonts w:hint="cs"/>
          <w:rtl/>
        </w:rPr>
        <w:t>הרשב"א בתשו'</w:t>
      </w:r>
      <w:r>
        <w:rPr>
          <w:rFonts w:hint="cs"/>
          <w:rtl/>
        </w:rPr>
        <w:t xml:space="preserve"> </w:t>
      </w:r>
      <w:r w:rsidRPr="00927358">
        <w:rPr>
          <w:rStyle w:val="af6"/>
          <w:rFonts w:eastAsia="Guttman Hodes" w:hint="cs"/>
          <w:rtl/>
        </w:rPr>
        <w:t>(ח"א סי' ער"ב)</w:t>
      </w:r>
      <w:r>
        <w:rPr>
          <w:rFonts w:hint="cs"/>
          <w:rtl/>
        </w:rPr>
        <w:t xml:space="preserve"> דמשמעות </w:t>
      </w:r>
      <w:r>
        <w:rPr>
          <w:rFonts w:hint="cs"/>
          <w:rtl/>
        </w:rPr>
        <w:t>קושית הגמ' בסוגיין שיועיל ביטול ברוב, דהכוונה היא לרוב ממש של חד בתרי.</w:t>
      </w:r>
    </w:p>
    <w:p w:rsidR="00D45705" w:rsidRPr="00C15DDA" w:rsidRDefault="00D45705" w:rsidP="00CB60BA">
      <w:pPr>
        <w:pStyle w:val="a2"/>
        <w:rPr>
          <w:rtl/>
        </w:rPr>
      </w:pPr>
      <w:bookmarkStart w:id="11995" w:name="_Toc23499392"/>
      <w:bookmarkStart w:id="11996" w:name="_Toc23663798"/>
      <w:bookmarkStart w:id="11997" w:name="_Toc23672442"/>
      <w:bookmarkStart w:id="11998" w:name="_Toc23673006"/>
      <w:r>
        <w:rPr>
          <w:rFonts w:hint="cs"/>
          <w:rtl/>
        </w:rPr>
        <w:t xml:space="preserve">דברי הר"ן דבגמ' בב"מ מוכח </w:t>
      </w:r>
      <w:r w:rsidR="00CB60BA">
        <w:rPr>
          <w:rFonts w:hint="cs"/>
          <w:rtl/>
        </w:rPr>
        <w:t xml:space="preserve">דביבש ביבש </w:t>
      </w:r>
      <w:r>
        <w:rPr>
          <w:rFonts w:hint="cs"/>
          <w:rtl/>
        </w:rPr>
        <w:t>אף מדרבנן מהני ביטול ברוב וא"צ שישים</w:t>
      </w:r>
      <w:bookmarkEnd w:id="11995"/>
      <w:bookmarkEnd w:id="11996"/>
      <w:bookmarkEnd w:id="11997"/>
      <w:bookmarkEnd w:id="11998"/>
    </w:p>
    <w:p w:rsidR="00D45705" w:rsidRDefault="00D45705" w:rsidP="009F44AF">
      <w:pPr>
        <w:pStyle w:val="a"/>
        <w:rPr>
          <w:rtl/>
        </w:rPr>
      </w:pPr>
      <w:bookmarkStart w:id="11999" w:name="_Toc23372459"/>
      <w:bookmarkStart w:id="12000" w:name="_Toc23419130"/>
      <w:r>
        <w:rPr>
          <w:rFonts w:hint="cs"/>
          <w:rtl/>
        </w:rPr>
        <w:t xml:space="preserve">והביא </w:t>
      </w:r>
      <w:r>
        <w:rPr>
          <w:rStyle w:val="af8"/>
          <w:rtl/>
        </w:rPr>
        <w:t>הר"ן על הרי"ף</w:t>
      </w:r>
      <w:r>
        <w:rPr>
          <w:rtl/>
        </w:rPr>
        <w:t xml:space="preserve"> </w:t>
      </w:r>
      <w:r>
        <w:rPr>
          <w:rFonts w:hint="cs"/>
          <w:rtl/>
        </w:rPr>
        <w:t xml:space="preserve">ראיה דמהני ביטול ביבש ביבש אפילו מדרבנן, מהא דאיתא בגמ' בב"מ </w:t>
      </w:r>
      <w:r w:rsidRPr="00227059">
        <w:rPr>
          <w:rStyle w:val="af6"/>
          <w:rFonts w:eastAsia="Guttman Hodes" w:hint="cs"/>
          <w:rtl/>
        </w:rPr>
        <w:t>(נג.)</w:t>
      </w:r>
      <w:r>
        <w:rPr>
          <w:rFonts w:hint="cs"/>
          <w:rtl/>
        </w:rPr>
        <w:t xml:space="preserve"> דתרומה וביכורים עולין באחד ומאה, ואילו מעשר בטל ברוב, וכתב </w:t>
      </w:r>
      <w:r w:rsidRPr="00EA4E9C">
        <w:rPr>
          <w:rStyle w:val="af8"/>
          <w:rFonts w:hint="cs"/>
          <w:rtl/>
        </w:rPr>
        <w:t>הר"ן</w:t>
      </w:r>
      <w:r>
        <w:rPr>
          <w:rFonts w:hint="cs"/>
          <w:rtl/>
        </w:rPr>
        <w:t xml:space="preserve"> דכוונת הגמ' בב"מ דאף מדרבנן בטל ברוב, דהא שיעור אחד ומאה בתרומה הוא ג"כ מדרבנן, ואיירי ביבש ביבש, דהא בלח בלח צריך שישים, ואפ"ה מבואר דבמעשר מהני ביטול ברוב דחד בתרי כמו שאר האיסורין, שלא החמירו בהם כמו שהחמירו בתרומה, ומבואר דבשאר האיסורין מהני ביטול ברוב בחד בתרי ביבש ביבש אף מדרבנן.</w:t>
      </w:r>
    </w:p>
    <w:p w:rsidR="00D45705" w:rsidRDefault="00D45705" w:rsidP="00D45705">
      <w:pPr>
        <w:pStyle w:val="1"/>
        <w:rPr>
          <w:rtl/>
        </w:rPr>
      </w:pPr>
      <w:bookmarkStart w:id="12001" w:name="_Toc23499393"/>
      <w:bookmarkStart w:id="12002" w:name="_Toc23663799"/>
      <w:bookmarkStart w:id="12003" w:name="_Toc23672443"/>
      <w:bookmarkStart w:id="12004" w:name="_Toc23673007"/>
      <w:r>
        <w:rPr>
          <w:rFonts w:hint="cs"/>
          <w:rtl/>
        </w:rPr>
        <w:t>דברי הרשב"א והר"ן בדעת רש"י בב"מ</w:t>
      </w:r>
      <w:bookmarkEnd w:id="11950"/>
      <w:bookmarkEnd w:id="11951"/>
      <w:bookmarkEnd w:id="11952"/>
      <w:bookmarkEnd w:id="11953"/>
      <w:r>
        <w:rPr>
          <w:rFonts w:hint="cs"/>
          <w:rtl/>
        </w:rPr>
        <w:t xml:space="preserve"> דביבש צריך שישים</w:t>
      </w:r>
      <w:bookmarkEnd w:id="11999"/>
      <w:bookmarkEnd w:id="12000"/>
      <w:bookmarkEnd w:id="12001"/>
      <w:bookmarkEnd w:id="12002"/>
      <w:bookmarkEnd w:id="12003"/>
      <w:bookmarkEnd w:id="12004"/>
    </w:p>
    <w:p w:rsidR="00D45705" w:rsidRDefault="00D45705" w:rsidP="00D45705">
      <w:pPr>
        <w:pStyle w:val="a2"/>
        <w:rPr>
          <w:rtl/>
        </w:rPr>
      </w:pPr>
      <w:bookmarkStart w:id="12005" w:name="_Toc23372460"/>
      <w:bookmarkStart w:id="12006" w:name="_Toc23419131"/>
      <w:bookmarkStart w:id="12007" w:name="_Toc23499394"/>
      <w:bookmarkStart w:id="12008" w:name="_Toc23663800"/>
      <w:bookmarkStart w:id="12009" w:name="_Toc23672444"/>
      <w:bookmarkStart w:id="12010" w:name="_Toc23673008"/>
      <w:r>
        <w:rPr>
          <w:rFonts w:hint="cs"/>
          <w:rtl/>
        </w:rPr>
        <w:t>דברי הרשב"א והר"ן דברש"י בב"מ משמע דביבש ביבש צריך שישים ולא סגי ברוב</w:t>
      </w:r>
      <w:bookmarkEnd w:id="12005"/>
      <w:bookmarkEnd w:id="12006"/>
      <w:bookmarkEnd w:id="12007"/>
      <w:bookmarkEnd w:id="12008"/>
      <w:bookmarkEnd w:id="12009"/>
      <w:bookmarkEnd w:id="12010"/>
    </w:p>
    <w:p w:rsidR="00D45705" w:rsidRDefault="00D45705" w:rsidP="009F44AF">
      <w:pPr>
        <w:pStyle w:val="a"/>
        <w:rPr>
          <w:rtl/>
        </w:rPr>
      </w:pPr>
      <w:bookmarkStart w:id="12011" w:name="_Ref22638119"/>
      <w:bookmarkStart w:id="12012" w:name="_Ref23366851"/>
      <w:r>
        <w:rPr>
          <w:rFonts w:hint="cs"/>
          <w:rtl/>
        </w:rPr>
        <w:t xml:space="preserve">בהא דאיתא בגמ' בב"מ </w:t>
      </w:r>
      <w:r w:rsidRPr="00FC3CF1">
        <w:rPr>
          <w:rStyle w:val="af6"/>
          <w:rFonts w:eastAsia="Guttman Hodes" w:hint="cs"/>
          <w:rtl/>
        </w:rPr>
        <w:t>(נג.)</w:t>
      </w:r>
      <w:r>
        <w:rPr>
          <w:rFonts w:hint="cs"/>
          <w:rtl/>
        </w:rPr>
        <w:t xml:space="preserve"> דתרומה עולה באחד במאה, משא"כ מעשר דבטל ברוב, ביאר </w:t>
      </w:r>
      <w:r w:rsidRPr="00927358">
        <w:rPr>
          <w:rStyle w:val="af8"/>
          <w:rFonts w:hint="cs"/>
          <w:rtl/>
        </w:rPr>
        <w:t>רש"י בב"מ</w:t>
      </w:r>
      <w:r>
        <w:rPr>
          <w:rFonts w:hint="cs"/>
          <w:rtl/>
        </w:rPr>
        <w:t xml:space="preserve"> </w:t>
      </w:r>
      <w:r w:rsidRPr="00FC3CF1">
        <w:rPr>
          <w:rStyle w:val="af6"/>
          <w:rFonts w:eastAsia="Guttman Hodes" w:hint="cs"/>
          <w:rtl/>
        </w:rPr>
        <w:t>(נג. ד"ה ועולין)</w:t>
      </w:r>
      <w:r>
        <w:rPr>
          <w:rFonts w:hint="cs"/>
          <w:rtl/>
        </w:rPr>
        <w:t xml:space="preserve"> דבתרומה צריך אחד ומאה לבטל, ולא מהני ביטול ברוב, ואילו מעשר בטל ברוב ואינו צריך ביטול באחד ומאה</w:t>
      </w:r>
      <w:bookmarkEnd w:id="12011"/>
      <w:r>
        <w:rPr>
          <w:rFonts w:hint="cs"/>
          <w:rtl/>
        </w:rPr>
        <w:t xml:space="preserve">, </w:t>
      </w:r>
      <w:bookmarkStart w:id="12013" w:name="_Ref22638127"/>
      <w:r>
        <w:rPr>
          <w:rFonts w:hint="cs"/>
          <w:rtl/>
        </w:rPr>
        <w:t xml:space="preserve">וכתבו </w:t>
      </w:r>
      <w:r w:rsidRPr="00C77E38">
        <w:rPr>
          <w:rStyle w:val="af8"/>
          <w:rFonts w:hint="cs"/>
          <w:rtl/>
        </w:rPr>
        <w:t>הרשב"א בב"מ</w:t>
      </w:r>
      <w:r>
        <w:rPr>
          <w:rFonts w:hint="cs"/>
          <w:rtl/>
        </w:rPr>
        <w:t xml:space="preserve"> </w:t>
      </w:r>
      <w:r w:rsidRPr="00FC3CF1">
        <w:rPr>
          <w:rStyle w:val="af6"/>
          <w:rFonts w:eastAsia="Guttman Hodes" w:hint="cs"/>
          <w:rtl/>
        </w:rPr>
        <w:t>(נג. ד"ה משא"כ)</w:t>
      </w:r>
      <w:r w:rsidRPr="00F1160F">
        <w:rPr>
          <w:rFonts w:hint="cs"/>
          <w:rtl/>
        </w:rPr>
        <w:t xml:space="preserve"> </w:t>
      </w:r>
      <w:r>
        <w:rPr>
          <w:rStyle w:val="af8"/>
          <w:rFonts w:hint="cs"/>
          <w:rtl/>
        </w:rPr>
        <w:t>ו</w:t>
      </w:r>
      <w:r w:rsidRPr="00685625">
        <w:rPr>
          <w:rStyle w:val="af8"/>
          <w:rFonts w:hint="cs"/>
          <w:rtl/>
        </w:rPr>
        <w:t>בתוה"ב</w:t>
      </w:r>
      <w:r>
        <w:rPr>
          <w:rFonts w:hint="cs"/>
          <w:rtl/>
        </w:rPr>
        <w:t xml:space="preserve"> </w:t>
      </w:r>
      <w:r w:rsidRPr="00FC3CF1">
        <w:rPr>
          <w:rStyle w:val="af6"/>
          <w:rFonts w:eastAsia="Guttman Hodes" w:hint="cs"/>
          <w:rtl/>
        </w:rPr>
        <w:t>(ב"ד ש"א יז: מדה"ס)</w:t>
      </w:r>
      <w:r>
        <w:rPr>
          <w:rFonts w:hint="cs"/>
          <w:rtl/>
        </w:rPr>
        <w:t xml:space="preserve"> </w:t>
      </w:r>
      <w:r w:rsidRPr="00C77E38">
        <w:rPr>
          <w:rStyle w:val="af8"/>
          <w:rFonts w:hint="cs"/>
          <w:rtl/>
        </w:rPr>
        <w:t>והר"ן בחי' בב"מ</w:t>
      </w:r>
      <w:r w:rsidRPr="00F1160F">
        <w:rPr>
          <w:rFonts w:hint="cs"/>
          <w:rtl/>
        </w:rPr>
        <w:t xml:space="preserve"> </w:t>
      </w:r>
      <w:r w:rsidRPr="00FC3CF1">
        <w:rPr>
          <w:rStyle w:val="af6"/>
          <w:rFonts w:eastAsia="Guttman Hodes" w:hint="cs"/>
          <w:rtl/>
        </w:rPr>
        <w:t>(נג. משא"כ)</w:t>
      </w:r>
      <w:r w:rsidRPr="00F1160F">
        <w:rPr>
          <w:rFonts w:hint="cs"/>
          <w:rtl/>
        </w:rPr>
        <w:t xml:space="preserve"> </w:t>
      </w:r>
      <w:r w:rsidRPr="00C77E38">
        <w:rPr>
          <w:rStyle w:val="af8"/>
          <w:rFonts w:hint="cs"/>
          <w:rtl/>
        </w:rPr>
        <w:t>והב"י</w:t>
      </w:r>
      <w:r>
        <w:rPr>
          <w:rFonts w:hint="cs"/>
          <w:rtl/>
        </w:rPr>
        <w:t xml:space="preserve"> </w:t>
      </w:r>
      <w:r w:rsidRPr="00FC3CF1">
        <w:rPr>
          <w:rStyle w:val="af6"/>
          <w:rFonts w:eastAsia="Guttman Hodes" w:hint="cs"/>
          <w:rtl/>
        </w:rPr>
        <w:t>(סי' ק"ט א')</w:t>
      </w:r>
      <w:r>
        <w:rPr>
          <w:rFonts w:hint="cs"/>
          <w:rtl/>
        </w:rPr>
        <w:t xml:space="preserve"> </w:t>
      </w:r>
      <w:r w:rsidRPr="00F1160F">
        <w:rPr>
          <w:rFonts w:hint="cs"/>
          <w:rtl/>
        </w:rPr>
        <w:t xml:space="preserve">דמשמע </w:t>
      </w:r>
      <w:r w:rsidRPr="00C77E38">
        <w:rPr>
          <w:rStyle w:val="af8"/>
          <w:rFonts w:hint="cs"/>
          <w:rtl/>
        </w:rPr>
        <w:t>מרש"י</w:t>
      </w:r>
      <w:r w:rsidRPr="00F1160F">
        <w:rPr>
          <w:rFonts w:hint="cs"/>
          <w:rtl/>
        </w:rPr>
        <w:t xml:space="preserve"> דבמעשר א"צ אחד ומאה, אך צריך שישים</w:t>
      </w:r>
      <w:r>
        <w:rPr>
          <w:rFonts w:hint="cs"/>
          <w:rtl/>
        </w:rPr>
        <w:t xml:space="preserve"> ולא סגי ברוב</w:t>
      </w:r>
      <w:r w:rsidRPr="00F1160F">
        <w:rPr>
          <w:rFonts w:hint="cs"/>
          <w:rtl/>
        </w:rPr>
        <w:t>, וביאר</w:t>
      </w:r>
      <w:r>
        <w:rPr>
          <w:rFonts w:hint="cs"/>
          <w:rtl/>
        </w:rPr>
        <w:t>ו</w:t>
      </w:r>
      <w:r w:rsidRPr="00F1160F">
        <w:rPr>
          <w:rFonts w:hint="cs"/>
          <w:rtl/>
        </w:rPr>
        <w:t xml:space="preserve"> </w:t>
      </w:r>
      <w:r w:rsidRPr="00C77E38">
        <w:rPr>
          <w:rStyle w:val="af8"/>
          <w:rFonts w:hint="cs"/>
          <w:rtl/>
        </w:rPr>
        <w:t>הרשב"א והר"ן והב"י</w:t>
      </w:r>
      <w:r>
        <w:rPr>
          <w:rFonts w:hint="cs"/>
          <w:rtl/>
        </w:rPr>
        <w:t xml:space="preserve"> דלדברי </w:t>
      </w:r>
      <w:r w:rsidRPr="00C77E38">
        <w:rPr>
          <w:rStyle w:val="af8"/>
          <w:rFonts w:hint="cs"/>
          <w:rtl/>
        </w:rPr>
        <w:t>רש"י</w:t>
      </w:r>
      <w:r>
        <w:rPr>
          <w:rFonts w:hint="cs"/>
          <w:rtl/>
        </w:rPr>
        <w:t xml:space="preserve"> כוונת הגמ' דבטל ברוב, היינו שבטל ברביית שישים, כשאר האיסורים שצריך רוב שישים בהיתר,</w:t>
      </w:r>
      <w:r w:rsidRPr="008B6BFB">
        <w:rPr>
          <w:rFonts w:hint="cs"/>
          <w:rtl/>
        </w:rPr>
        <w:t xml:space="preserve"> </w:t>
      </w:r>
      <w:r>
        <w:rPr>
          <w:rFonts w:hint="cs"/>
          <w:rtl/>
        </w:rPr>
        <w:t xml:space="preserve">והוסיף </w:t>
      </w:r>
      <w:r w:rsidRPr="00C77E38">
        <w:rPr>
          <w:rStyle w:val="af8"/>
          <w:rFonts w:hint="cs"/>
          <w:rtl/>
        </w:rPr>
        <w:t>הריטב"א בב"מ</w:t>
      </w:r>
      <w:r>
        <w:rPr>
          <w:rFonts w:hint="cs"/>
          <w:rtl/>
        </w:rPr>
        <w:t xml:space="preserve"> </w:t>
      </w:r>
      <w:r w:rsidRPr="00FC3CF1">
        <w:rPr>
          <w:rStyle w:val="af6"/>
          <w:rFonts w:eastAsia="Guttman Hodes" w:hint="cs"/>
          <w:rtl/>
        </w:rPr>
        <w:t>(נג. ד"ה ועולין)</w:t>
      </w:r>
      <w:r>
        <w:rPr>
          <w:rFonts w:hint="cs"/>
          <w:rtl/>
        </w:rPr>
        <w:t xml:space="preserve"> </w:t>
      </w:r>
      <w:r w:rsidRPr="008B6BFB">
        <w:rPr>
          <w:rStyle w:val="afa"/>
          <w:rFonts w:hint="cs"/>
          <w:rtl/>
        </w:rPr>
        <w:t xml:space="preserve">[בדעת </w:t>
      </w:r>
      <w:r w:rsidRPr="00C77E38">
        <w:rPr>
          <w:rStyle w:val="affa"/>
          <w:rFonts w:hint="cs"/>
          <w:rtl/>
        </w:rPr>
        <w:t>רש"י</w:t>
      </w:r>
      <w:r w:rsidRPr="008B6BFB">
        <w:rPr>
          <w:rStyle w:val="afa"/>
          <w:rFonts w:hint="cs"/>
          <w:rtl/>
        </w:rPr>
        <w:t>]</w:t>
      </w:r>
      <w:r>
        <w:rPr>
          <w:rFonts w:hint="cs"/>
          <w:rtl/>
        </w:rPr>
        <w:t xml:space="preserve"> דהגמ' בב"מ נקטה לשון רוב לומר שא"צ מאה ואחד, אף שצריך שישים. [אך יעוי' בדברי</w:t>
      </w:r>
      <w:r w:rsidRPr="003D3883">
        <w:rPr>
          <w:rFonts w:hint="cs"/>
          <w:rtl/>
        </w:rPr>
        <w:t xml:space="preserve"> </w:t>
      </w:r>
      <w:r w:rsidRPr="00044512">
        <w:rPr>
          <w:rStyle w:val="af8"/>
          <w:rFonts w:hint="cs"/>
          <w:rtl/>
        </w:rPr>
        <w:t>היד יהודה</w:t>
      </w:r>
      <w:r w:rsidRPr="003D3883">
        <w:rPr>
          <w:rFonts w:hint="cs"/>
          <w:rtl/>
        </w:rPr>
        <w:t xml:space="preserve"> </w:t>
      </w:r>
      <w:r w:rsidRPr="00044512">
        <w:rPr>
          <w:rStyle w:val="af6"/>
          <w:rFonts w:eastAsia="Guttman Hodes" w:hint="cs"/>
          <w:rtl/>
        </w:rPr>
        <w:t xml:space="preserve">(סי' ק"ט סק"ה ד"ה והנה </w:t>
      </w:r>
      <w:r>
        <w:rPr>
          <w:rStyle w:val="af6"/>
          <w:rFonts w:eastAsia="Guttman Hodes" w:hint="cs"/>
          <w:rtl/>
        </w:rPr>
        <w:t>הרשב"א ז"ל</w:t>
      </w:r>
      <w:r w:rsidRPr="00044512">
        <w:rPr>
          <w:rStyle w:val="af6"/>
          <w:rFonts w:eastAsia="Guttman Hodes" w:hint="cs"/>
          <w:rtl/>
        </w:rPr>
        <w:t>)</w:t>
      </w:r>
      <w:r w:rsidRPr="003D3883">
        <w:rPr>
          <w:rFonts w:hint="cs"/>
          <w:rtl/>
        </w:rPr>
        <w:t xml:space="preserve"> </w:t>
      </w:r>
      <w:r>
        <w:rPr>
          <w:rFonts w:hint="cs"/>
          <w:rtl/>
        </w:rPr>
        <w:t xml:space="preserve">דכתב דמדברי </w:t>
      </w:r>
      <w:r w:rsidRPr="00044512">
        <w:rPr>
          <w:rStyle w:val="af8"/>
          <w:rFonts w:hint="cs"/>
          <w:rtl/>
        </w:rPr>
        <w:t>רש"י</w:t>
      </w:r>
      <w:r>
        <w:rPr>
          <w:rFonts w:hint="cs"/>
          <w:rtl/>
        </w:rPr>
        <w:t xml:space="preserve"> בכמה מקומות משמע דס"ל דביבש ביבש סגי ברוב, וא"צ שישים].</w:t>
      </w:r>
      <w:bookmarkEnd w:id="12012"/>
      <w:bookmarkEnd w:id="12013"/>
    </w:p>
    <w:p w:rsidR="00D45705" w:rsidRDefault="00D45705" w:rsidP="00D45705">
      <w:pPr>
        <w:pStyle w:val="a2"/>
        <w:rPr>
          <w:rtl/>
        </w:rPr>
      </w:pPr>
      <w:bookmarkStart w:id="12014" w:name="_Toc23372461"/>
      <w:bookmarkStart w:id="12015" w:name="_Toc23419132"/>
      <w:bookmarkStart w:id="12016" w:name="_Toc23499395"/>
      <w:bookmarkStart w:id="12017" w:name="_Toc23663801"/>
      <w:bookmarkStart w:id="12018" w:name="_Toc23672445"/>
      <w:bookmarkStart w:id="12019" w:name="_Toc23673009"/>
      <w:r>
        <w:rPr>
          <w:rFonts w:hint="cs"/>
          <w:rtl/>
        </w:rPr>
        <w:t>קושית הרשב"א והר"ן על רש"י דהיה לגמ' בב"מ לפרש להדיא דביבש צריך שישים</w:t>
      </w:r>
      <w:bookmarkEnd w:id="12014"/>
      <w:bookmarkEnd w:id="12015"/>
      <w:bookmarkEnd w:id="12016"/>
      <w:bookmarkEnd w:id="12017"/>
      <w:bookmarkEnd w:id="12018"/>
      <w:bookmarkEnd w:id="12019"/>
    </w:p>
    <w:p w:rsidR="00D45705" w:rsidRDefault="00D45705" w:rsidP="009F44AF">
      <w:pPr>
        <w:pStyle w:val="a"/>
        <w:rPr>
          <w:rtl/>
        </w:rPr>
      </w:pPr>
      <w:r>
        <w:rPr>
          <w:rFonts w:hint="cs"/>
          <w:rtl/>
        </w:rPr>
        <w:t xml:space="preserve">והקשו </w:t>
      </w:r>
      <w:r w:rsidRPr="00C77E38">
        <w:rPr>
          <w:rStyle w:val="af8"/>
          <w:rFonts w:hint="cs"/>
          <w:rtl/>
        </w:rPr>
        <w:t>הרשב"א בב"מ והר"ן בב"מ</w:t>
      </w:r>
      <w:r>
        <w:rPr>
          <w:rFonts w:hint="cs"/>
          <w:rtl/>
        </w:rPr>
        <w:t xml:space="preserve"> על </w:t>
      </w:r>
      <w:r w:rsidRPr="00C77E38">
        <w:rPr>
          <w:rStyle w:val="af8"/>
          <w:rFonts w:hint="cs"/>
          <w:rtl/>
        </w:rPr>
        <w:t>רש"י בב"מ</w:t>
      </w:r>
      <w:r>
        <w:rPr>
          <w:rFonts w:hint="cs"/>
          <w:rtl/>
        </w:rPr>
        <w:t xml:space="preserve"> דאי במעשר צריך ביטול בשישים היה לגמ' לפרש כן להדיא, דבמעשר א"צ מאה ואחד וסגי בשישים, אלא כתבו </w:t>
      </w:r>
      <w:r w:rsidRPr="00B376C5">
        <w:rPr>
          <w:rStyle w:val="af8"/>
          <w:rFonts w:hint="cs"/>
          <w:rtl/>
        </w:rPr>
        <w:t xml:space="preserve">הרשב"א והר"ן </w:t>
      </w:r>
      <w:r w:rsidRPr="00C77E38">
        <w:rPr>
          <w:rStyle w:val="af8"/>
          <w:rFonts w:hint="cs"/>
          <w:rtl/>
        </w:rPr>
        <w:t>בב"מ</w:t>
      </w:r>
      <w:r>
        <w:rPr>
          <w:rFonts w:hint="cs"/>
          <w:rtl/>
        </w:rPr>
        <w:t xml:space="preserve"> דכוונת הגמ' לומר דבטל ברוב של חד בתרי.</w:t>
      </w:r>
    </w:p>
    <w:p w:rsidR="00D45705" w:rsidRDefault="00D45705" w:rsidP="00D45705">
      <w:pPr>
        <w:pStyle w:val="a2"/>
        <w:rPr>
          <w:rtl/>
        </w:rPr>
      </w:pPr>
      <w:bookmarkStart w:id="12020" w:name="_Toc23419133"/>
      <w:bookmarkStart w:id="12021" w:name="_Toc23499396"/>
      <w:bookmarkStart w:id="12022" w:name="_Toc23663802"/>
      <w:bookmarkStart w:id="12023" w:name="_Toc23672446"/>
      <w:bookmarkStart w:id="12024" w:name="_Toc23673010"/>
      <w:r>
        <w:rPr>
          <w:rFonts w:hint="cs"/>
          <w:rtl/>
        </w:rPr>
        <w:t>קושית הרשב"א דאי כוונת הגמ' בב"מ דבטל ברב</w:t>
      </w:r>
      <w:r w:rsidR="00562640">
        <w:rPr>
          <w:rFonts w:hint="cs"/>
          <w:rtl/>
        </w:rPr>
        <w:t>י</w:t>
      </w:r>
      <w:r>
        <w:rPr>
          <w:rFonts w:hint="cs"/>
          <w:rtl/>
        </w:rPr>
        <w:t>יה א"כ אף תרומה בטלה ברבייה של מאה</w:t>
      </w:r>
      <w:bookmarkEnd w:id="12020"/>
      <w:bookmarkEnd w:id="12021"/>
      <w:bookmarkEnd w:id="12022"/>
      <w:bookmarkEnd w:id="12023"/>
      <w:bookmarkEnd w:id="12024"/>
    </w:p>
    <w:p w:rsidR="00D45705" w:rsidRDefault="00D45705" w:rsidP="009F44AF">
      <w:pPr>
        <w:pStyle w:val="a"/>
        <w:rPr>
          <w:rtl/>
        </w:rPr>
      </w:pPr>
      <w:r>
        <w:rPr>
          <w:rFonts w:hint="cs"/>
          <w:rtl/>
        </w:rPr>
        <w:t xml:space="preserve">ועוד הקשה </w:t>
      </w:r>
      <w:r w:rsidRPr="008C6FA9">
        <w:rPr>
          <w:rStyle w:val="af8"/>
          <w:rFonts w:hint="cs"/>
          <w:rtl/>
        </w:rPr>
        <w:t xml:space="preserve">הרשב"א בתוה"ב </w:t>
      </w:r>
      <w:r>
        <w:rPr>
          <w:rFonts w:hint="cs"/>
          <w:rtl/>
        </w:rPr>
        <w:t xml:space="preserve">על </w:t>
      </w:r>
      <w:r w:rsidRPr="00C77E38">
        <w:rPr>
          <w:rStyle w:val="af8"/>
          <w:rFonts w:hint="cs"/>
          <w:rtl/>
        </w:rPr>
        <w:t>רש"י בב"מ</w:t>
      </w:r>
      <w:r>
        <w:rPr>
          <w:rFonts w:hint="cs"/>
          <w:rtl/>
        </w:rPr>
        <w:t xml:space="preserve"> דאי רוב היינו ברבייה וכוונת הגמ' דמעשר בטל בשישים, א"כ אף תרומה בטלה ברבייה, דהא כיון שהיא בטלה בשיעור של מאה ואחד, א"כ מהני בה ביטול בשיעור מועט כנגד שיעור מרובה.</w:t>
      </w:r>
    </w:p>
    <w:p w:rsidR="00D45705" w:rsidRPr="00BE4AF8" w:rsidRDefault="00D45705" w:rsidP="00D45705">
      <w:pPr>
        <w:pStyle w:val="a2"/>
      </w:pPr>
      <w:bookmarkStart w:id="12025" w:name="_Toc23419134"/>
      <w:bookmarkStart w:id="12026" w:name="_Toc23499397"/>
      <w:bookmarkStart w:id="12027" w:name="_Toc23663803"/>
      <w:bookmarkStart w:id="12028" w:name="_Toc23672447"/>
      <w:bookmarkStart w:id="12029" w:name="_Toc23673011"/>
      <w:r>
        <w:rPr>
          <w:rFonts w:hint="cs"/>
          <w:rtl/>
        </w:rPr>
        <w:t>דברי הרשב"א והר"ן דבסוגיין אפש"ל דכוונת הגמ' שיתבטל ברבייה אך בב"מ א"א לומר כן</w:t>
      </w:r>
      <w:bookmarkEnd w:id="12025"/>
      <w:bookmarkEnd w:id="12026"/>
      <w:bookmarkEnd w:id="12027"/>
      <w:bookmarkEnd w:id="12028"/>
      <w:bookmarkEnd w:id="12029"/>
    </w:p>
    <w:p w:rsidR="00D45705" w:rsidRDefault="00D45705" w:rsidP="009F44AF">
      <w:pPr>
        <w:pStyle w:val="a"/>
        <w:rPr>
          <w:rtl/>
        </w:rPr>
      </w:pPr>
      <w:r>
        <w:rPr>
          <w:rFonts w:hint="cs"/>
          <w:rtl/>
        </w:rPr>
        <w:t xml:space="preserve">והוסיפו להקשות </w:t>
      </w:r>
      <w:r w:rsidRPr="00C77E38">
        <w:rPr>
          <w:rStyle w:val="af8"/>
          <w:rFonts w:hint="cs"/>
          <w:rtl/>
        </w:rPr>
        <w:t>הרשב"א בתוה"ב</w:t>
      </w:r>
      <w:r>
        <w:rPr>
          <w:rFonts w:hint="cs"/>
          <w:rtl/>
        </w:rPr>
        <w:t xml:space="preserve"> </w:t>
      </w:r>
      <w:r w:rsidRPr="008C6FA9">
        <w:rPr>
          <w:rStyle w:val="af8"/>
          <w:rFonts w:hint="cs"/>
          <w:rtl/>
        </w:rPr>
        <w:t>והר</w:t>
      </w:r>
      <w:r w:rsidRPr="00E44877">
        <w:rPr>
          <w:rStyle w:val="af8"/>
          <w:rFonts w:hint="cs"/>
          <w:rtl/>
        </w:rPr>
        <w:t>"ן על הרי"ף</w:t>
      </w:r>
      <w:r w:rsidRPr="00066304">
        <w:rPr>
          <w:rFonts w:hint="cs"/>
          <w:rtl/>
        </w:rPr>
        <w:t xml:space="preserve"> </w:t>
      </w:r>
      <w:r w:rsidRPr="00227059">
        <w:rPr>
          <w:rStyle w:val="af6"/>
          <w:rFonts w:eastAsia="Guttman Hodes" w:hint="cs"/>
          <w:rtl/>
        </w:rPr>
        <w:t>(</w:t>
      </w:r>
      <w:r w:rsidRPr="008C6FA9">
        <w:rPr>
          <w:rStyle w:val="af6"/>
          <w:rFonts w:eastAsia="Guttman Hodes"/>
          <w:rtl/>
        </w:rPr>
        <w:t>ל</w:t>
      </w:r>
      <w:r>
        <w:rPr>
          <w:rStyle w:val="af6"/>
          <w:rFonts w:eastAsia="Guttman Hodes"/>
          <w:rtl/>
        </w:rPr>
        <w:t>ו. מדפי הרי"ף ד"ה גרסי'</w:t>
      </w:r>
      <w:r w:rsidRPr="00227059">
        <w:rPr>
          <w:rStyle w:val="af6"/>
          <w:rFonts w:eastAsia="Guttman Hodes" w:hint="cs"/>
          <w:rtl/>
        </w:rPr>
        <w:t>)</w:t>
      </w:r>
      <w:r>
        <w:rPr>
          <w:rFonts w:hint="cs"/>
          <w:rtl/>
        </w:rPr>
        <w:t xml:space="preserve"> דבשלמא בסוגיין אפשר לבאר כדברי </w:t>
      </w:r>
      <w:r w:rsidRPr="00C77E38">
        <w:rPr>
          <w:rStyle w:val="af8"/>
          <w:rFonts w:hint="cs"/>
          <w:rtl/>
        </w:rPr>
        <w:t>הר"א אב"ד</w:t>
      </w:r>
      <w:r>
        <w:rPr>
          <w:rFonts w:hint="cs"/>
          <w:rtl/>
        </w:rPr>
        <w:t xml:space="preserve"> </w:t>
      </w:r>
      <w:r w:rsidRPr="001D1050">
        <w:rPr>
          <w:rStyle w:val="af6"/>
          <w:rFonts w:eastAsia="Guttman Hodes" w:hint="cs"/>
          <w:rtl/>
        </w:rPr>
        <w:t xml:space="preserve">(עי' אות </w:t>
      </w:r>
      <w:r w:rsidRPr="001D1050">
        <w:rPr>
          <w:rStyle w:val="af6"/>
          <w:rFonts w:eastAsia="Guttman Hodes"/>
          <w:rtl/>
        </w:rPr>
        <w:fldChar w:fldCharType="begin"/>
      </w:r>
      <w:r w:rsidRPr="001D1050">
        <w:rPr>
          <w:rStyle w:val="af6"/>
          <w:rFonts w:eastAsia="Guttman Hodes"/>
          <w:rtl/>
        </w:rPr>
        <w:instrText xml:space="preserve"> </w:instrText>
      </w:r>
      <w:r w:rsidRPr="001D1050">
        <w:rPr>
          <w:rStyle w:val="af6"/>
          <w:rFonts w:eastAsia="Guttman Hodes" w:hint="cs"/>
        </w:rPr>
        <w:instrText>REF</w:instrText>
      </w:r>
      <w:r w:rsidRPr="001D1050">
        <w:rPr>
          <w:rStyle w:val="af6"/>
          <w:rFonts w:eastAsia="Guttman Hodes" w:hint="cs"/>
          <w:rtl/>
        </w:rPr>
        <w:instrText xml:space="preserve"> _</w:instrText>
      </w:r>
      <w:r w:rsidRPr="001D1050">
        <w:rPr>
          <w:rStyle w:val="af6"/>
          <w:rFonts w:eastAsia="Guttman Hodes" w:hint="cs"/>
        </w:rPr>
        <w:instrText>Ref23409455 \r \h</w:instrText>
      </w:r>
      <w:r w:rsidRPr="001D1050">
        <w:rPr>
          <w:rStyle w:val="af6"/>
          <w:rFonts w:eastAsia="Guttman Hodes"/>
          <w:rtl/>
        </w:rPr>
        <w:instrText xml:space="preserve"> </w:instrText>
      </w:r>
      <w:r w:rsidRPr="001D1050">
        <w:rPr>
          <w:rStyle w:val="af6"/>
          <w:rFonts w:eastAsia="Guttman Hodes"/>
          <w:rtl/>
        </w:rPr>
      </w:r>
      <w:r w:rsidRPr="001D1050">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1D1050">
        <w:rPr>
          <w:rStyle w:val="af6"/>
          <w:rFonts w:eastAsia="Guttman Hodes"/>
          <w:rtl/>
        </w:rPr>
        <w:fldChar w:fldCharType="end"/>
      </w:r>
      <w:r>
        <w:rPr>
          <w:rFonts w:hint="cs"/>
          <w:rtl/>
        </w:rPr>
        <w:t xml:space="preserve"> דכוונת הגמ' דבטל ברוב לביטול ברבייה, כיון דהגמ' מקשה על המשנה לעיל </w:t>
      </w:r>
      <w:r w:rsidRPr="00C77E38">
        <w:rPr>
          <w:rStyle w:val="af6"/>
          <w:rFonts w:eastAsia="Guttman Hodes" w:hint="cs"/>
          <w:rtl/>
        </w:rPr>
        <w:t>(צו:)</w:t>
      </w:r>
      <w:r>
        <w:rPr>
          <w:rFonts w:hint="cs"/>
          <w:rtl/>
        </w:rPr>
        <w:t xml:space="preserve"> דתנן דבגיד בין הגידים כולם אסורים, ואינו בטל אפילו באלף ולכן מקשה הגמ' דמהני בו ביטול בשישים דהיינו שיש שיעור לביטולו בריבוי, ואמאי תנן במתני' דאין לו שיעור ואינו בטל כלל, אבל בגמ' בב"מ לא שייך לומר דכוונת הגמ' לומר דמעשר בטל בריבוי של שישים ולא כתרומה דבטלה במאה, דהא כלפי שיעור של מאה, א"א לומר דשיעור שישים היינו רוב בסתמא, דאי רוב הוא ריבוי, א"כ אף תרומה בטלה בריבוי של מאה, והיה לגמ' לפרש </w:t>
      </w:r>
      <w:r>
        <w:rPr>
          <w:rFonts w:hint="cs"/>
          <w:rtl/>
        </w:rPr>
        <w:lastRenderedPageBreak/>
        <w:t>באיזה רוב מתבטל המעשר, ומדנקטה הגמ' בב"מ רוב בסתמא, מוכח דבטל ברוב וא"צ שיעור שישים.</w:t>
      </w:r>
    </w:p>
    <w:p w:rsidR="00D45705" w:rsidRPr="00FC415F" w:rsidRDefault="00D45705" w:rsidP="00D45705">
      <w:pPr>
        <w:pStyle w:val="a2"/>
        <w:rPr>
          <w:rtl/>
        </w:rPr>
      </w:pPr>
      <w:bookmarkStart w:id="12030" w:name="_Toc23419135"/>
      <w:bookmarkStart w:id="12031" w:name="_Toc23499398"/>
      <w:bookmarkStart w:id="12032" w:name="_Toc23663804"/>
      <w:bookmarkStart w:id="12033" w:name="_Toc23672448"/>
      <w:bookmarkStart w:id="12034" w:name="_Toc23673012"/>
      <w:r>
        <w:rPr>
          <w:rFonts w:hint="cs"/>
          <w:rtl/>
        </w:rPr>
        <w:t>דברי הרשב"א דאפשר לדחוק דרק בשישים שייך לשון רבייה דהוא מבטל את הטעם ולא במאה</w:t>
      </w:r>
      <w:bookmarkEnd w:id="12030"/>
      <w:bookmarkEnd w:id="12031"/>
      <w:bookmarkEnd w:id="12032"/>
      <w:bookmarkEnd w:id="12033"/>
      <w:bookmarkEnd w:id="12034"/>
    </w:p>
    <w:p w:rsidR="00D45705" w:rsidRDefault="00D45705" w:rsidP="009F44AF">
      <w:pPr>
        <w:pStyle w:val="a"/>
        <w:rPr>
          <w:rtl/>
        </w:rPr>
      </w:pPr>
      <w:r>
        <w:rPr>
          <w:rFonts w:hint="cs"/>
          <w:rtl/>
        </w:rPr>
        <w:t xml:space="preserve">וכתב </w:t>
      </w:r>
      <w:r w:rsidRPr="00C77E38">
        <w:rPr>
          <w:rStyle w:val="af8"/>
          <w:rFonts w:hint="cs"/>
          <w:rtl/>
        </w:rPr>
        <w:t>הרשב"א בתוה"ב</w:t>
      </w:r>
      <w:r>
        <w:rPr>
          <w:rFonts w:hint="cs"/>
          <w:rtl/>
        </w:rPr>
        <w:t xml:space="preserve"> דדוחק לומר דדוקא בשישים שייך לשון רוב, כיון שבמין בשאינו מינו בשיעור שישים, יש רוב בטעם של ההיתר כנגד הטעם של האיסור, ולא ניכר בו טעם האיסור, ולכן אף במין במינו קרינן לשישים רוב, ואילו בתרומה אף שיש רוב בטעם של ההיתר כנגד טעם האיסור ובטל טעם האיסור, עדיין היא אסורה עד שיעור מאה.</w:t>
      </w:r>
    </w:p>
    <w:p w:rsidR="00D45705" w:rsidRDefault="00D45705" w:rsidP="00D45705">
      <w:pPr>
        <w:pStyle w:val="1"/>
        <w:rPr>
          <w:rtl/>
        </w:rPr>
      </w:pPr>
      <w:bookmarkStart w:id="12035" w:name="_Toc23499399"/>
      <w:bookmarkStart w:id="12036" w:name="_Toc23663805"/>
      <w:bookmarkStart w:id="12037" w:name="_Toc23672449"/>
      <w:bookmarkStart w:id="12038" w:name="_Toc23673013"/>
      <w:r w:rsidRPr="00A70205">
        <w:rPr>
          <w:rtl/>
        </w:rPr>
        <w:t>ביאור הכס"מ בדעת הרמב"ם דביבש צריך שישים</w:t>
      </w:r>
      <w:bookmarkEnd w:id="12035"/>
      <w:bookmarkEnd w:id="12036"/>
      <w:bookmarkEnd w:id="12037"/>
      <w:bookmarkEnd w:id="12038"/>
    </w:p>
    <w:p w:rsidR="00D45705" w:rsidRPr="00E423DF" w:rsidRDefault="00D45705" w:rsidP="00D45705">
      <w:pPr>
        <w:pStyle w:val="a2"/>
        <w:rPr>
          <w:rtl/>
        </w:rPr>
      </w:pPr>
      <w:bookmarkStart w:id="12039" w:name="_Toc23419137"/>
      <w:bookmarkStart w:id="12040" w:name="_Toc23499400"/>
      <w:bookmarkStart w:id="12041" w:name="_Toc23663806"/>
      <w:bookmarkStart w:id="12042" w:name="_Toc23672450"/>
      <w:bookmarkStart w:id="12043" w:name="_Toc23673014"/>
      <w:r>
        <w:rPr>
          <w:rFonts w:hint="cs"/>
          <w:rtl/>
        </w:rPr>
        <w:t>דברי הרמב"ם דחתיכת נבילה בטלה מדאו' בב' חתיכות שחוטות ומדרבנן צריך שישים</w:t>
      </w:r>
      <w:bookmarkEnd w:id="12039"/>
      <w:bookmarkEnd w:id="12040"/>
      <w:bookmarkEnd w:id="12041"/>
      <w:bookmarkEnd w:id="12042"/>
      <w:bookmarkEnd w:id="12043"/>
    </w:p>
    <w:p w:rsidR="00D45705" w:rsidRPr="00C525A2" w:rsidRDefault="00D45705" w:rsidP="009F44AF">
      <w:pPr>
        <w:pStyle w:val="a"/>
        <w:rPr>
          <w:rStyle w:val="afa"/>
          <w:rtl/>
        </w:rPr>
      </w:pPr>
      <w:bookmarkStart w:id="12044" w:name="_Ref22638102"/>
      <w:r>
        <w:rPr>
          <w:rFonts w:hint="cs"/>
          <w:rtl/>
        </w:rPr>
        <w:t xml:space="preserve">כתב </w:t>
      </w:r>
      <w:r w:rsidRPr="00B029D9">
        <w:rPr>
          <w:rStyle w:val="af8"/>
          <w:rFonts w:hint="cs"/>
          <w:rtl/>
        </w:rPr>
        <w:t>הרמב"ם</w:t>
      </w:r>
      <w:r>
        <w:rPr>
          <w:rFonts w:hint="cs"/>
          <w:rtl/>
        </w:rPr>
        <w:t xml:space="preserve"> </w:t>
      </w:r>
      <w:r w:rsidRPr="00B029D9">
        <w:rPr>
          <w:rStyle w:val="af6"/>
          <w:rFonts w:eastAsia="Guttman Hodes" w:hint="cs"/>
          <w:rtl/>
        </w:rPr>
        <w:t xml:space="preserve">(מאכ"א פט"ו ה"ד) </w:t>
      </w:r>
      <w:r>
        <w:rPr>
          <w:rFonts w:hint="cs"/>
          <w:rtl/>
        </w:rPr>
        <w:t xml:space="preserve">דאם נפל </w:t>
      </w:r>
      <w:r>
        <w:rPr>
          <w:rtl/>
        </w:rPr>
        <w:t>חֵלֶב</w:t>
      </w:r>
      <w:r>
        <w:rPr>
          <w:rFonts w:hint="cs"/>
          <w:rtl/>
        </w:rPr>
        <w:t xml:space="preserve"> אסור לתוך </w:t>
      </w:r>
      <w:r>
        <w:rPr>
          <w:rtl/>
        </w:rPr>
        <w:t>חֵלֶב</w:t>
      </w:r>
      <w:r>
        <w:rPr>
          <w:rFonts w:hint="cs"/>
          <w:rtl/>
        </w:rPr>
        <w:t xml:space="preserve"> מותר והכל נימוח, דאם יש רוב של חד בתרי בהיתר כנגד האיסור, הכל מותר מדאו', והוסיף </w:t>
      </w:r>
      <w:r w:rsidRPr="00B029D9">
        <w:rPr>
          <w:rStyle w:val="af8"/>
          <w:rFonts w:hint="cs"/>
          <w:rtl/>
        </w:rPr>
        <w:t>הרמב"ם</w:t>
      </w:r>
      <w:r>
        <w:rPr>
          <w:rFonts w:hint="cs"/>
          <w:rtl/>
        </w:rPr>
        <w:t xml:space="preserve"> דאף חתיכה של נבילה שהתערבה בב' חתיכות של שחוטה, הכל מותר מדאו', אך כתב </w:t>
      </w:r>
      <w:r w:rsidRPr="00B029D9">
        <w:rPr>
          <w:rStyle w:val="af8"/>
          <w:rFonts w:hint="cs"/>
          <w:rtl/>
        </w:rPr>
        <w:t>הרמב"ם</w:t>
      </w:r>
      <w:r>
        <w:rPr>
          <w:rFonts w:hint="cs"/>
          <w:rtl/>
        </w:rPr>
        <w:t xml:space="preserve"> דמדרבנן הכל אסור עד שיאבד האיסור מעוצם מיעוטו, ולא יהיה כדבר חשוב שעומד בפנ"ע, וביאר </w:t>
      </w:r>
      <w:r w:rsidRPr="00B029D9">
        <w:rPr>
          <w:rStyle w:val="af8"/>
          <w:rFonts w:hint="cs"/>
          <w:rtl/>
        </w:rPr>
        <w:t>הרמב"ם</w:t>
      </w:r>
      <w:r w:rsidRPr="00227059">
        <w:rPr>
          <w:rStyle w:val="af6"/>
          <w:rFonts w:eastAsia="Guttman Hodes" w:hint="cs"/>
          <w:rtl/>
        </w:rPr>
        <w:t xml:space="preserve"> (מאכ"א פט"ו ה"ה) </w:t>
      </w:r>
      <w:r>
        <w:rPr>
          <w:rFonts w:hint="cs"/>
          <w:rtl/>
        </w:rPr>
        <w:t xml:space="preserve">דהשיעור בזה הוא בשישים. </w:t>
      </w:r>
      <w:r w:rsidRPr="00C525A2">
        <w:rPr>
          <w:rStyle w:val="afa"/>
          <w:rFonts w:hint="cs"/>
          <w:rtl/>
        </w:rPr>
        <w:t xml:space="preserve">[והוסיף </w:t>
      </w:r>
      <w:r w:rsidRPr="00B029D9">
        <w:rPr>
          <w:rStyle w:val="affa"/>
          <w:rFonts w:hint="cs"/>
          <w:rtl/>
        </w:rPr>
        <w:t>הרמב"ם</w:t>
      </w:r>
      <w:r w:rsidRPr="00C525A2">
        <w:rPr>
          <w:rStyle w:val="afa"/>
          <w:rFonts w:hint="cs"/>
          <w:rtl/>
        </w:rPr>
        <w:t xml:space="preserve"> </w:t>
      </w:r>
      <w:r w:rsidRPr="00B029D9">
        <w:rPr>
          <w:rStyle w:val="aff6"/>
          <w:rFonts w:hint="cs"/>
          <w:rtl/>
        </w:rPr>
        <w:t>(מאכ"א פט"ו ה"ה, הי"ג, הי"ד)</w:t>
      </w:r>
      <w:r w:rsidRPr="00C525A2">
        <w:rPr>
          <w:rStyle w:val="afa"/>
          <w:rFonts w:hint="cs"/>
          <w:rtl/>
        </w:rPr>
        <w:t xml:space="preserve"> דבתרומה השיעור </w:t>
      </w:r>
      <w:r>
        <w:rPr>
          <w:rStyle w:val="afa"/>
          <w:rFonts w:hint="cs"/>
          <w:rtl/>
        </w:rPr>
        <w:t xml:space="preserve">שיאבד בעוצם מיעוטו הוא </w:t>
      </w:r>
      <w:r w:rsidRPr="00C525A2">
        <w:rPr>
          <w:rStyle w:val="afa"/>
          <w:rFonts w:hint="cs"/>
          <w:rtl/>
        </w:rPr>
        <w:t>במאה, ובערלה במאתיים].</w:t>
      </w:r>
      <w:bookmarkEnd w:id="12044"/>
    </w:p>
    <w:p w:rsidR="00D45705" w:rsidRPr="00396233" w:rsidRDefault="00D45705" w:rsidP="00D45705">
      <w:pPr>
        <w:pStyle w:val="a2"/>
        <w:rPr>
          <w:rtl/>
        </w:rPr>
      </w:pPr>
      <w:bookmarkStart w:id="12045" w:name="_Toc23419138"/>
      <w:bookmarkStart w:id="12046" w:name="_Toc23499401"/>
      <w:bookmarkStart w:id="12047" w:name="_Toc23663807"/>
      <w:bookmarkStart w:id="12048" w:name="_Toc23672451"/>
      <w:bookmarkStart w:id="12049" w:name="_Toc23673015"/>
      <w:r>
        <w:rPr>
          <w:rFonts w:hint="cs"/>
          <w:rtl/>
        </w:rPr>
        <w:t>ביאור הכס"מ ברמב"ם דס"ל כר"א אב"ד דכוונת הגמ' שיתבטל ברבייה בשישים ולא ברוב</w:t>
      </w:r>
      <w:bookmarkEnd w:id="12045"/>
      <w:bookmarkEnd w:id="12046"/>
      <w:bookmarkEnd w:id="12047"/>
      <w:bookmarkEnd w:id="12048"/>
      <w:bookmarkEnd w:id="12049"/>
    </w:p>
    <w:p w:rsidR="00D45705" w:rsidRDefault="00D45705" w:rsidP="009F44AF">
      <w:pPr>
        <w:pStyle w:val="a"/>
        <w:rPr>
          <w:rtl/>
        </w:rPr>
      </w:pPr>
      <w:bookmarkStart w:id="12050" w:name="_Ref22638093"/>
      <w:r>
        <w:rPr>
          <w:rFonts w:hint="cs"/>
          <w:rtl/>
        </w:rPr>
        <w:t xml:space="preserve">וכתב </w:t>
      </w:r>
      <w:r w:rsidRPr="006A1E74">
        <w:rPr>
          <w:rStyle w:val="af8"/>
          <w:rFonts w:hint="cs"/>
          <w:rtl/>
        </w:rPr>
        <w:t xml:space="preserve">הכס"מ </w:t>
      </w:r>
      <w:r w:rsidRPr="00227059">
        <w:rPr>
          <w:rStyle w:val="af6"/>
          <w:rFonts w:eastAsia="Guttman Hodes" w:hint="cs"/>
          <w:rtl/>
        </w:rPr>
        <w:t xml:space="preserve">(מאכ"א פט"ו ה"ד) </w:t>
      </w:r>
      <w:r w:rsidRPr="006A1E74">
        <w:rPr>
          <w:rStyle w:val="af8"/>
          <w:rFonts w:hint="cs"/>
          <w:rtl/>
        </w:rPr>
        <w:t xml:space="preserve">והב"י </w:t>
      </w:r>
      <w:r w:rsidRPr="00227059">
        <w:rPr>
          <w:rStyle w:val="af6"/>
          <w:rFonts w:eastAsia="Guttman Hodes" w:hint="cs"/>
          <w:rtl/>
        </w:rPr>
        <w:t xml:space="preserve">(סי' ק"ט א') </w:t>
      </w:r>
      <w:r w:rsidRPr="006A1E74">
        <w:rPr>
          <w:rStyle w:val="af8"/>
          <w:rFonts w:hint="cs"/>
          <w:rtl/>
        </w:rPr>
        <w:t xml:space="preserve">דהרמב"ם </w:t>
      </w:r>
      <w:r>
        <w:rPr>
          <w:rFonts w:hint="cs"/>
          <w:rtl/>
        </w:rPr>
        <w:t xml:space="preserve">ס"ל כדעת </w:t>
      </w:r>
      <w:r w:rsidRPr="006A1E74">
        <w:rPr>
          <w:rStyle w:val="af8"/>
          <w:rFonts w:hint="cs"/>
          <w:rtl/>
        </w:rPr>
        <w:t xml:space="preserve">הרמב"ן והרשב"א </w:t>
      </w:r>
      <w:r w:rsidRPr="00B92393">
        <w:rPr>
          <w:rStyle w:val="af6"/>
          <w:rFonts w:eastAsia="Guttman Hodes" w:hint="cs"/>
          <w:rtl/>
        </w:rPr>
        <w:t xml:space="preserve">(עי' אות </w:t>
      </w:r>
      <w:r w:rsidRPr="00B92393">
        <w:rPr>
          <w:rStyle w:val="af6"/>
          <w:rFonts w:eastAsia="Guttman Hodes"/>
          <w:rtl/>
        </w:rPr>
        <w:fldChar w:fldCharType="begin"/>
      </w:r>
      <w:r w:rsidRPr="00B92393">
        <w:rPr>
          <w:rStyle w:val="af6"/>
          <w:rFonts w:eastAsia="Guttman Hodes"/>
          <w:rtl/>
        </w:rPr>
        <w:instrText xml:space="preserve"> </w:instrText>
      </w:r>
      <w:r w:rsidRPr="00B92393">
        <w:rPr>
          <w:rStyle w:val="af6"/>
          <w:rFonts w:eastAsia="Guttman Hodes" w:hint="cs"/>
        </w:rPr>
        <w:instrText>REF</w:instrText>
      </w:r>
      <w:r w:rsidRPr="00B92393">
        <w:rPr>
          <w:rStyle w:val="af6"/>
          <w:rFonts w:eastAsia="Guttman Hodes" w:hint="cs"/>
          <w:rtl/>
        </w:rPr>
        <w:instrText xml:space="preserve"> _</w:instrText>
      </w:r>
      <w:r w:rsidRPr="00B92393">
        <w:rPr>
          <w:rStyle w:val="af6"/>
          <w:rFonts w:eastAsia="Guttman Hodes" w:hint="cs"/>
        </w:rPr>
        <w:instrText>Ref23409765 \r \h</w:instrText>
      </w:r>
      <w:r w:rsidRPr="00B92393">
        <w:rPr>
          <w:rStyle w:val="af6"/>
          <w:rFonts w:eastAsia="Guttman Hodes"/>
          <w:rtl/>
        </w:rPr>
        <w:instrText xml:space="preserve"> </w:instrText>
      </w:r>
      <w:r w:rsidRPr="00B92393">
        <w:rPr>
          <w:rStyle w:val="af6"/>
          <w:rFonts w:eastAsia="Guttman Hodes"/>
          <w:rtl/>
        </w:rPr>
      </w:r>
      <w:r w:rsidRPr="00B92393">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B92393">
        <w:rPr>
          <w:rStyle w:val="af6"/>
          <w:rFonts w:eastAsia="Guttman Hodes"/>
          <w:rtl/>
        </w:rPr>
        <w:fldChar w:fldCharType="end"/>
      </w:r>
      <w:r>
        <w:rPr>
          <w:rFonts w:hint="cs"/>
          <w:rtl/>
        </w:rPr>
        <w:t xml:space="preserve"> בשם </w:t>
      </w:r>
      <w:r>
        <w:rPr>
          <w:rStyle w:val="af8"/>
          <w:rFonts w:hint="cs"/>
          <w:rtl/>
        </w:rPr>
        <w:t>הר</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sidRPr="00E73736">
        <w:rPr>
          <w:rFonts w:hint="cs"/>
          <w:rtl/>
        </w:rPr>
        <w:t xml:space="preserve"> </w:t>
      </w:r>
      <w:r>
        <w:rPr>
          <w:rFonts w:hint="cs"/>
          <w:rtl/>
        </w:rPr>
        <w:t xml:space="preserve">וכדעת </w:t>
      </w:r>
      <w:r w:rsidRPr="006A1E74">
        <w:rPr>
          <w:rStyle w:val="af8"/>
          <w:rFonts w:hint="cs"/>
          <w:rtl/>
        </w:rPr>
        <w:t xml:space="preserve">רש"י </w:t>
      </w:r>
      <w:r w:rsidRPr="00B92393">
        <w:rPr>
          <w:rStyle w:val="af6"/>
          <w:rFonts w:eastAsia="Guttman Hodes" w:hint="cs"/>
          <w:rtl/>
        </w:rPr>
        <w:t xml:space="preserve">(עי' אות </w:t>
      </w:r>
      <w:r w:rsidRPr="00B92393">
        <w:rPr>
          <w:rStyle w:val="af6"/>
          <w:rFonts w:eastAsia="Guttman Hodes"/>
          <w:rtl/>
        </w:rPr>
        <w:fldChar w:fldCharType="begin"/>
      </w:r>
      <w:r w:rsidRPr="00B92393">
        <w:rPr>
          <w:rStyle w:val="af6"/>
          <w:rFonts w:eastAsia="Guttman Hodes"/>
          <w:rtl/>
        </w:rPr>
        <w:instrText xml:space="preserve"> </w:instrText>
      </w:r>
      <w:r w:rsidRPr="00B92393">
        <w:rPr>
          <w:rStyle w:val="af6"/>
          <w:rFonts w:eastAsia="Guttman Hodes" w:hint="cs"/>
        </w:rPr>
        <w:instrText>REF</w:instrText>
      </w:r>
      <w:r w:rsidRPr="00B92393">
        <w:rPr>
          <w:rStyle w:val="af6"/>
          <w:rFonts w:eastAsia="Guttman Hodes" w:hint="cs"/>
          <w:rtl/>
        </w:rPr>
        <w:instrText xml:space="preserve"> _</w:instrText>
      </w:r>
      <w:r w:rsidRPr="00B92393">
        <w:rPr>
          <w:rStyle w:val="af6"/>
          <w:rFonts w:eastAsia="Guttman Hodes" w:hint="cs"/>
        </w:rPr>
        <w:instrText>Ref23366851 \r \h</w:instrText>
      </w:r>
      <w:r w:rsidRPr="00B92393">
        <w:rPr>
          <w:rStyle w:val="af6"/>
          <w:rFonts w:eastAsia="Guttman Hodes"/>
          <w:rtl/>
        </w:rPr>
        <w:instrText xml:space="preserve"> </w:instrText>
      </w:r>
      <w:r w:rsidRPr="00B92393">
        <w:rPr>
          <w:rStyle w:val="af6"/>
          <w:rFonts w:eastAsia="Guttman Hodes"/>
          <w:rtl/>
        </w:rPr>
      </w:r>
      <w:r w:rsidRPr="00B92393">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B92393">
        <w:rPr>
          <w:rStyle w:val="af6"/>
          <w:rFonts w:eastAsia="Guttman Hodes"/>
          <w:rtl/>
        </w:rPr>
        <w:fldChar w:fldCharType="end"/>
      </w:r>
      <w:r>
        <w:rPr>
          <w:rFonts w:hint="cs"/>
          <w:rtl/>
        </w:rPr>
        <w:t xml:space="preserve"> דאף ביבש ביבש צריך שישים מדרבנן, והא דמקשה הגמ' בסוגיין ו</w:t>
      </w:r>
      <w:r w:rsidRPr="008912DF">
        <w:rPr>
          <w:rFonts w:hint="cs"/>
          <w:rtl/>
        </w:rPr>
        <w:t xml:space="preserve">בגמ' </w:t>
      </w:r>
      <w:r>
        <w:rPr>
          <w:rFonts w:hint="cs"/>
          <w:rtl/>
        </w:rPr>
        <w:t xml:space="preserve">בזבחים </w:t>
      </w:r>
      <w:r w:rsidRPr="00C0054B">
        <w:rPr>
          <w:rStyle w:val="af6"/>
          <w:rFonts w:eastAsia="Guttman Hodes" w:hint="cs"/>
          <w:rtl/>
        </w:rPr>
        <w:t xml:space="preserve">(עב.) </w:t>
      </w:r>
      <w:r w:rsidRPr="008912DF">
        <w:rPr>
          <w:rFonts w:hint="cs"/>
          <w:rtl/>
        </w:rPr>
        <w:t xml:space="preserve">ובביצה </w:t>
      </w:r>
      <w:r w:rsidRPr="00227059">
        <w:rPr>
          <w:rStyle w:val="af6"/>
          <w:rFonts w:eastAsia="Guttman Hodes" w:hint="cs"/>
          <w:rtl/>
        </w:rPr>
        <w:t>(ג:)</w:t>
      </w:r>
      <w:r>
        <w:rPr>
          <w:rFonts w:hint="cs"/>
          <w:rtl/>
        </w:rPr>
        <w:t xml:space="preserve"> דיתבטל ברוב</w:t>
      </w:r>
      <w:r w:rsidRPr="008912DF">
        <w:rPr>
          <w:rFonts w:hint="cs"/>
          <w:rtl/>
        </w:rPr>
        <w:t xml:space="preserve">, כתב </w:t>
      </w:r>
      <w:r w:rsidRPr="006A1E74">
        <w:rPr>
          <w:rStyle w:val="af8"/>
          <w:rFonts w:hint="cs"/>
          <w:rtl/>
        </w:rPr>
        <w:t xml:space="preserve">הכס"מ </w:t>
      </w:r>
      <w:r w:rsidRPr="008912DF">
        <w:rPr>
          <w:rFonts w:hint="cs"/>
          <w:rtl/>
        </w:rPr>
        <w:t xml:space="preserve">דלדעת </w:t>
      </w:r>
      <w:r w:rsidRPr="006A1E74">
        <w:rPr>
          <w:rStyle w:val="af8"/>
          <w:rFonts w:hint="cs"/>
          <w:rtl/>
        </w:rPr>
        <w:t xml:space="preserve">הרמב"ם </w:t>
      </w:r>
      <w:r w:rsidRPr="008912DF">
        <w:rPr>
          <w:rFonts w:hint="cs"/>
          <w:rtl/>
        </w:rPr>
        <w:t xml:space="preserve">צ"ל כדביאר </w:t>
      </w:r>
      <w:r>
        <w:rPr>
          <w:rStyle w:val="af8"/>
          <w:rFonts w:hint="cs"/>
          <w:rtl/>
        </w:rPr>
        <w:t>הר</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sidRPr="00B92393">
        <w:rPr>
          <w:rStyle w:val="af6"/>
          <w:rFonts w:eastAsia="Guttman Hodes" w:hint="cs"/>
          <w:rtl/>
        </w:rPr>
        <w:t xml:space="preserve"> (עי' אות </w:t>
      </w:r>
      <w:r w:rsidRPr="00B92393">
        <w:rPr>
          <w:rStyle w:val="af6"/>
          <w:rFonts w:eastAsia="Guttman Hodes"/>
          <w:rtl/>
        </w:rPr>
        <w:fldChar w:fldCharType="begin"/>
      </w:r>
      <w:r w:rsidRPr="00B92393">
        <w:rPr>
          <w:rStyle w:val="af6"/>
          <w:rFonts w:eastAsia="Guttman Hodes"/>
          <w:rtl/>
        </w:rPr>
        <w:instrText xml:space="preserve"> </w:instrText>
      </w:r>
      <w:r w:rsidRPr="00B92393">
        <w:rPr>
          <w:rStyle w:val="af6"/>
          <w:rFonts w:eastAsia="Guttman Hodes" w:hint="cs"/>
        </w:rPr>
        <w:instrText>REF</w:instrText>
      </w:r>
      <w:r w:rsidRPr="00B92393">
        <w:rPr>
          <w:rStyle w:val="af6"/>
          <w:rFonts w:eastAsia="Guttman Hodes" w:hint="cs"/>
          <w:rtl/>
        </w:rPr>
        <w:instrText xml:space="preserve"> _</w:instrText>
      </w:r>
      <w:r w:rsidRPr="00B92393">
        <w:rPr>
          <w:rStyle w:val="af6"/>
          <w:rFonts w:eastAsia="Guttman Hodes" w:hint="cs"/>
        </w:rPr>
        <w:instrText>Ref23409455 \r \h</w:instrText>
      </w:r>
      <w:r w:rsidRPr="00B92393">
        <w:rPr>
          <w:rStyle w:val="af6"/>
          <w:rFonts w:eastAsia="Guttman Hodes"/>
          <w:rtl/>
        </w:rPr>
        <w:instrText xml:space="preserve"> </w:instrText>
      </w:r>
      <w:r w:rsidRPr="00B92393">
        <w:rPr>
          <w:rStyle w:val="af6"/>
          <w:rFonts w:eastAsia="Guttman Hodes"/>
          <w:rtl/>
        </w:rPr>
      </w:r>
      <w:r w:rsidRPr="00B92393">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B92393">
        <w:rPr>
          <w:rStyle w:val="af6"/>
          <w:rFonts w:eastAsia="Guttman Hodes"/>
          <w:rtl/>
        </w:rPr>
        <w:fldChar w:fldCharType="end"/>
      </w:r>
      <w:r w:rsidRPr="00B92393">
        <w:rPr>
          <w:rStyle w:val="af6"/>
          <w:rFonts w:eastAsia="Guttman Hodes" w:hint="cs"/>
          <w:rtl/>
        </w:rPr>
        <w:t xml:space="preserve"> </w:t>
      </w:r>
      <w:r>
        <w:rPr>
          <w:rFonts w:hint="cs"/>
          <w:rtl/>
        </w:rPr>
        <w:t xml:space="preserve">דאין </w:t>
      </w:r>
      <w:r w:rsidRPr="008912DF">
        <w:rPr>
          <w:rFonts w:hint="cs"/>
          <w:rtl/>
        </w:rPr>
        <w:t>כוונת הגמ' להקשות שיועיל ביטול ברוב של חד בתרי, דהא מדרבנן צריך שישים, אלא הכוונה בלשון ריבוי דהיינו בשישים.</w:t>
      </w:r>
      <w:bookmarkEnd w:id="12050"/>
    </w:p>
    <w:p w:rsidR="00D45705" w:rsidRPr="00730C79" w:rsidRDefault="00D45705" w:rsidP="00E669F8">
      <w:pPr>
        <w:pStyle w:val="afd"/>
        <w:rPr>
          <w:rtl/>
        </w:rPr>
      </w:pPr>
      <w:bookmarkStart w:id="12051" w:name="_Toc23672452"/>
      <w:bookmarkStart w:id="12052" w:name="_Toc23673016"/>
      <w:r>
        <w:rPr>
          <w:rFonts w:hint="cs"/>
          <w:rtl/>
        </w:rPr>
        <w:t>ביאורי האחרונים ברמב"ם בשישים ביבש</w:t>
      </w:r>
      <w:bookmarkEnd w:id="12051"/>
      <w:bookmarkEnd w:id="12052"/>
      <w:r>
        <w:rPr>
          <w:rFonts w:hint="cs"/>
          <w:rtl/>
        </w:rPr>
        <w:t xml:space="preserve"> </w:t>
      </w:r>
    </w:p>
    <w:p w:rsidR="00D45705" w:rsidRPr="000571BF" w:rsidRDefault="00D45705" w:rsidP="00D45705">
      <w:pPr>
        <w:pStyle w:val="1"/>
        <w:rPr>
          <w:rtl/>
        </w:rPr>
      </w:pPr>
      <w:bookmarkStart w:id="12053" w:name="_Toc23672453"/>
      <w:bookmarkStart w:id="12054" w:name="_Toc23673017"/>
      <w:bookmarkStart w:id="12055" w:name="_Toc23372464"/>
      <w:bookmarkStart w:id="12056" w:name="_Toc23419148"/>
      <w:bookmarkStart w:id="12057" w:name="_Toc23499402"/>
      <w:bookmarkStart w:id="12058" w:name="_Toc23663808"/>
      <w:bookmarkStart w:id="12059" w:name="_Toc22638900"/>
      <w:bookmarkStart w:id="12060" w:name="_Toc23224098"/>
      <w:bookmarkStart w:id="12061" w:name="_Toc23372466"/>
      <w:bookmarkStart w:id="12062" w:name="_Toc23419153"/>
      <w:bookmarkStart w:id="12063" w:name="_Toc22638891"/>
      <w:bookmarkStart w:id="12064" w:name="_Toc23224089"/>
      <w:bookmarkStart w:id="12065" w:name="_Toc23372463"/>
      <w:bookmarkStart w:id="12066" w:name="_Toc23419139"/>
      <w:r>
        <w:rPr>
          <w:rFonts w:hint="cs"/>
          <w:rtl/>
        </w:rPr>
        <w:t>פלוגתת הפרמ"ג והגרעק"א ברמב"ם אי שישים הוא מדין טעם</w:t>
      </w:r>
      <w:bookmarkEnd w:id="12053"/>
      <w:bookmarkEnd w:id="12054"/>
    </w:p>
    <w:p w:rsidR="00D45705" w:rsidRDefault="00D45705" w:rsidP="00D45705">
      <w:pPr>
        <w:pStyle w:val="a2"/>
        <w:rPr>
          <w:rtl/>
        </w:rPr>
      </w:pPr>
      <w:bookmarkStart w:id="12067" w:name="_Toc23672454"/>
      <w:bookmarkStart w:id="12068" w:name="_Toc23673018"/>
      <w:r>
        <w:rPr>
          <w:rFonts w:hint="cs"/>
          <w:rtl/>
        </w:rPr>
        <w:t>דברי הפרמ"ג דלהרמב"ם ורש"י והר"א אב"ד דין שישים ביבש אינו מחשש שמא יבשל</w:t>
      </w:r>
      <w:bookmarkEnd w:id="12067"/>
      <w:bookmarkEnd w:id="12068"/>
    </w:p>
    <w:p w:rsidR="00D45705" w:rsidRDefault="00D45705" w:rsidP="009F44AF">
      <w:pPr>
        <w:pStyle w:val="a"/>
        <w:rPr>
          <w:szCs w:val="14"/>
          <w:rtl/>
        </w:rPr>
      </w:pPr>
      <w:bookmarkStart w:id="12069" w:name="_Ref23669680"/>
      <w:r>
        <w:rPr>
          <w:rFonts w:hint="cs"/>
          <w:rtl/>
        </w:rPr>
        <w:t xml:space="preserve">כתב </w:t>
      </w:r>
      <w:r w:rsidRPr="00E708B7">
        <w:rPr>
          <w:rStyle w:val="af8"/>
          <w:rFonts w:eastAsia="Guttman Adii-Light"/>
          <w:rtl/>
        </w:rPr>
        <w:t>הפרמ"ג</w:t>
      </w:r>
      <w:r w:rsidRPr="0043600D">
        <w:rPr>
          <w:rtl/>
        </w:rPr>
        <w:t xml:space="preserve"> </w:t>
      </w:r>
      <w:r w:rsidRPr="00E708B7">
        <w:rPr>
          <w:rStyle w:val="af6"/>
          <w:rFonts w:eastAsia="Guttman Hodes"/>
          <w:rtl/>
        </w:rPr>
        <w:t>(פתיחה שער התערובות</w:t>
      </w:r>
      <w:r>
        <w:rPr>
          <w:rStyle w:val="af6"/>
          <w:rFonts w:eastAsia="Guttman Hodes" w:hint="cs"/>
          <w:rtl/>
        </w:rPr>
        <w:t xml:space="preserve"> ח"א פ"א ד"ה והנה יבש ביבש דבטל) </w:t>
      </w:r>
      <w:r w:rsidRPr="00EA0EB0">
        <w:rPr>
          <w:rFonts w:hint="cs"/>
          <w:rtl/>
        </w:rPr>
        <w:t xml:space="preserve">דלדעת </w:t>
      </w:r>
      <w:r w:rsidRPr="0024779A">
        <w:rPr>
          <w:rStyle w:val="af8"/>
          <w:rFonts w:hint="cs"/>
          <w:rtl/>
        </w:rPr>
        <w:t xml:space="preserve">רש"י </w:t>
      </w:r>
      <w:r w:rsidRPr="00396F2C">
        <w:rPr>
          <w:rStyle w:val="af6"/>
          <w:rFonts w:eastAsia="Guttman Hodes" w:hint="cs"/>
          <w:rtl/>
        </w:rPr>
        <w:t xml:space="preserve">(עי' אות </w:t>
      </w:r>
      <w:r w:rsidRPr="00396F2C">
        <w:rPr>
          <w:rStyle w:val="af6"/>
          <w:rFonts w:eastAsia="Guttman Hodes"/>
          <w:rtl/>
        </w:rPr>
        <w:fldChar w:fldCharType="begin"/>
      </w:r>
      <w:r w:rsidRPr="00396F2C">
        <w:rPr>
          <w:rStyle w:val="af6"/>
          <w:rFonts w:eastAsia="Guttman Hodes"/>
          <w:rtl/>
        </w:rPr>
        <w:instrText xml:space="preserve"> </w:instrText>
      </w:r>
      <w:r w:rsidRPr="00396F2C">
        <w:rPr>
          <w:rStyle w:val="af6"/>
          <w:rFonts w:eastAsia="Guttman Hodes" w:hint="cs"/>
        </w:rPr>
        <w:instrText>REF</w:instrText>
      </w:r>
      <w:r w:rsidRPr="00396F2C">
        <w:rPr>
          <w:rStyle w:val="af6"/>
          <w:rFonts w:eastAsia="Guttman Hodes" w:hint="cs"/>
          <w:rtl/>
        </w:rPr>
        <w:instrText xml:space="preserve"> _</w:instrText>
      </w:r>
      <w:r w:rsidRPr="00396F2C">
        <w:rPr>
          <w:rStyle w:val="af6"/>
          <w:rFonts w:eastAsia="Guttman Hodes" w:hint="cs"/>
        </w:rPr>
        <w:instrText>Ref23366851 \r \h</w:instrText>
      </w:r>
      <w:r w:rsidRPr="00396F2C">
        <w:rPr>
          <w:rStyle w:val="af6"/>
          <w:rFonts w:eastAsia="Guttman Hodes"/>
          <w:rtl/>
        </w:rPr>
        <w:instrText xml:space="preserve"> </w:instrText>
      </w:r>
      <w:r w:rsidRPr="00396F2C">
        <w:rPr>
          <w:rStyle w:val="af6"/>
          <w:rFonts w:eastAsia="Guttman Hodes"/>
          <w:rtl/>
        </w:rPr>
      </w:r>
      <w:r w:rsidRPr="00396F2C">
        <w:rPr>
          <w:rStyle w:val="af6"/>
          <w:rFonts w:eastAsia="Guttman Hodes"/>
          <w:rtl/>
        </w:rPr>
        <w:fldChar w:fldCharType="separate"/>
      </w:r>
      <w:r w:rsidR="004D1C5B">
        <w:rPr>
          <w:rStyle w:val="af6"/>
          <w:rFonts w:eastAsia="Guttman Hodes"/>
          <w:cs/>
        </w:rPr>
        <w:t>‎</w:t>
      </w:r>
      <w:r w:rsidR="004D1C5B">
        <w:rPr>
          <w:rStyle w:val="af6"/>
          <w:rFonts w:eastAsia="Guttman Hodes"/>
          <w:rtl/>
        </w:rPr>
        <w:t>כא)</w:t>
      </w:r>
      <w:r w:rsidRPr="00396F2C">
        <w:rPr>
          <w:rStyle w:val="af6"/>
          <w:rFonts w:eastAsia="Guttman Hodes"/>
          <w:rtl/>
        </w:rPr>
        <w:fldChar w:fldCharType="end"/>
      </w:r>
      <w:r>
        <w:rPr>
          <w:rStyle w:val="af8"/>
          <w:rFonts w:hint="cs"/>
          <w:rtl/>
        </w:rPr>
        <w:t xml:space="preserve"> </w:t>
      </w:r>
      <w:r w:rsidRPr="0024779A">
        <w:rPr>
          <w:rStyle w:val="af8"/>
          <w:rFonts w:hint="cs"/>
          <w:rtl/>
        </w:rPr>
        <w:t xml:space="preserve">והרמב"ם </w:t>
      </w:r>
      <w:r w:rsidRPr="00396F2C">
        <w:rPr>
          <w:rStyle w:val="af6"/>
          <w:rFonts w:eastAsia="Guttman Hodes" w:hint="cs"/>
          <w:rtl/>
        </w:rPr>
        <w:t xml:space="preserve">(עי' אות </w:t>
      </w:r>
      <w:r w:rsidRPr="00396F2C">
        <w:rPr>
          <w:rStyle w:val="af6"/>
          <w:rFonts w:eastAsia="Guttman Hodes"/>
          <w:rtl/>
        </w:rPr>
        <w:fldChar w:fldCharType="begin"/>
      </w:r>
      <w:r w:rsidRPr="00396F2C">
        <w:rPr>
          <w:rStyle w:val="af6"/>
          <w:rFonts w:eastAsia="Guttman Hodes"/>
          <w:rtl/>
        </w:rPr>
        <w:instrText xml:space="preserve"> </w:instrText>
      </w:r>
      <w:r w:rsidRPr="00396F2C">
        <w:rPr>
          <w:rStyle w:val="af6"/>
          <w:rFonts w:eastAsia="Guttman Hodes" w:hint="cs"/>
        </w:rPr>
        <w:instrText>REF</w:instrText>
      </w:r>
      <w:r w:rsidRPr="00396F2C">
        <w:rPr>
          <w:rStyle w:val="af6"/>
          <w:rFonts w:eastAsia="Guttman Hodes" w:hint="cs"/>
          <w:rtl/>
        </w:rPr>
        <w:instrText xml:space="preserve"> _</w:instrText>
      </w:r>
      <w:r w:rsidRPr="00396F2C">
        <w:rPr>
          <w:rStyle w:val="af6"/>
          <w:rFonts w:eastAsia="Guttman Hodes" w:hint="cs"/>
        </w:rPr>
        <w:instrText>Ref22638093 \r \h</w:instrText>
      </w:r>
      <w:r w:rsidRPr="00396F2C">
        <w:rPr>
          <w:rStyle w:val="af6"/>
          <w:rFonts w:eastAsia="Guttman Hodes"/>
          <w:rtl/>
        </w:rPr>
        <w:instrText xml:space="preserve"> </w:instrText>
      </w:r>
      <w:r w:rsidRPr="00396F2C">
        <w:rPr>
          <w:rStyle w:val="af6"/>
          <w:rFonts w:eastAsia="Guttman Hodes"/>
          <w:rtl/>
        </w:rPr>
      </w:r>
      <w:r w:rsidRPr="00396F2C">
        <w:rPr>
          <w:rStyle w:val="af6"/>
          <w:rFonts w:eastAsia="Guttman Hodes"/>
          <w:rtl/>
        </w:rPr>
        <w:fldChar w:fldCharType="separate"/>
      </w:r>
      <w:r w:rsidR="004D1C5B">
        <w:rPr>
          <w:rStyle w:val="af6"/>
          <w:rFonts w:eastAsia="Guttman Hodes"/>
          <w:cs/>
        </w:rPr>
        <w:t>‎</w:t>
      </w:r>
      <w:r w:rsidR="004D1C5B">
        <w:rPr>
          <w:rStyle w:val="af6"/>
          <w:rFonts w:eastAsia="Guttman Hodes"/>
          <w:rtl/>
        </w:rPr>
        <w:t>כז)</w:t>
      </w:r>
      <w:r w:rsidRPr="00396F2C">
        <w:rPr>
          <w:rStyle w:val="af6"/>
          <w:rFonts w:eastAsia="Guttman Hodes"/>
          <w:rtl/>
        </w:rPr>
        <w:fldChar w:fldCharType="end"/>
      </w:r>
      <w:r>
        <w:rPr>
          <w:rStyle w:val="af8"/>
          <w:rFonts w:hint="cs"/>
          <w:rtl/>
        </w:rPr>
        <w:t xml:space="preserve"> והר</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Pr>
          <w:rFonts w:hint="cs"/>
          <w:vertAlign w:val="superscript"/>
          <w:rtl/>
        </w:rPr>
        <w:t xml:space="preserve"> </w:t>
      </w:r>
      <w:r w:rsidRPr="00396F2C">
        <w:rPr>
          <w:rStyle w:val="af6"/>
          <w:rFonts w:eastAsia="Guttman Hodes" w:hint="cs"/>
          <w:rtl/>
        </w:rPr>
        <w:t xml:space="preserve">(עי' אות </w:t>
      </w:r>
      <w:r w:rsidRPr="00396F2C">
        <w:rPr>
          <w:rStyle w:val="af6"/>
          <w:rFonts w:eastAsia="Guttman Hodes"/>
          <w:rtl/>
        </w:rPr>
        <w:fldChar w:fldCharType="begin"/>
      </w:r>
      <w:r w:rsidRPr="00396F2C">
        <w:rPr>
          <w:rStyle w:val="af6"/>
          <w:rFonts w:eastAsia="Guttman Hodes"/>
          <w:rtl/>
        </w:rPr>
        <w:instrText xml:space="preserve"> </w:instrText>
      </w:r>
      <w:r w:rsidRPr="00396F2C">
        <w:rPr>
          <w:rStyle w:val="af6"/>
          <w:rFonts w:eastAsia="Guttman Hodes" w:hint="cs"/>
        </w:rPr>
        <w:instrText>REF</w:instrText>
      </w:r>
      <w:r w:rsidRPr="00396F2C">
        <w:rPr>
          <w:rStyle w:val="af6"/>
          <w:rFonts w:eastAsia="Guttman Hodes" w:hint="cs"/>
          <w:rtl/>
        </w:rPr>
        <w:instrText xml:space="preserve"> _</w:instrText>
      </w:r>
      <w:r w:rsidRPr="00396F2C">
        <w:rPr>
          <w:rStyle w:val="af6"/>
          <w:rFonts w:eastAsia="Guttman Hodes" w:hint="cs"/>
        </w:rPr>
        <w:instrText>Ref23409765 \r \h</w:instrText>
      </w:r>
      <w:r w:rsidRPr="00396F2C">
        <w:rPr>
          <w:rStyle w:val="af6"/>
          <w:rFonts w:eastAsia="Guttman Hodes"/>
          <w:rtl/>
        </w:rPr>
        <w:instrText xml:space="preserve"> </w:instrText>
      </w:r>
      <w:r w:rsidRPr="00396F2C">
        <w:rPr>
          <w:rStyle w:val="af6"/>
          <w:rFonts w:eastAsia="Guttman Hodes"/>
          <w:rtl/>
        </w:rPr>
      </w:r>
      <w:r w:rsidRPr="00396F2C">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396F2C">
        <w:rPr>
          <w:rStyle w:val="af6"/>
          <w:rFonts w:eastAsia="Guttman Hodes"/>
          <w:rtl/>
        </w:rPr>
        <w:fldChar w:fldCharType="end"/>
      </w:r>
      <w:r>
        <w:rPr>
          <w:rFonts w:hint="cs"/>
          <w:rtl/>
        </w:rPr>
        <w:t xml:space="preserve"> דאף במין במינו ביבש ביבש צריך שישים, מבואר דהא דהצריכו רבנן שישים ביבש ביבש במין בשאינו מינו, אינו מחמת החשש שמא יבשל את התערובת ויבא לידי איסור דאו', </w:t>
      </w:r>
      <w:r w:rsidRPr="00D611A0">
        <w:rPr>
          <w:rStyle w:val="afa"/>
          <w:rFonts w:hint="cs"/>
          <w:rtl/>
        </w:rPr>
        <w:t xml:space="preserve">[עי' בדברי </w:t>
      </w:r>
      <w:r w:rsidRPr="00D611A0">
        <w:rPr>
          <w:rStyle w:val="affa"/>
          <w:rFonts w:hint="cs"/>
          <w:rtl/>
        </w:rPr>
        <w:t>הרמב"ן והרשב"א</w:t>
      </w:r>
      <w:r w:rsidRPr="00D611A0">
        <w:rPr>
          <w:rStyle w:val="afa"/>
          <w:rFonts w:hint="cs"/>
          <w:rtl/>
        </w:rPr>
        <w:t xml:space="preserve"> </w:t>
      </w:r>
      <w:r w:rsidRPr="00D611A0">
        <w:rPr>
          <w:rStyle w:val="aff6"/>
          <w:rFonts w:hint="cs"/>
          <w:rtl/>
        </w:rPr>
        <w:t xml:space="preserve">(עי' אות </w:t>
      </w:r>
      <w:r w:rsidRPr="00D611A0">
        <w:rPr>
          <w:rStyle w:val="aff6"/>
          <w:rtl/>
        </w:rPr>
        <w:fldChar w:fldCharType="begin"/>
      </w:r>
      <w:r w:rsidRPr="00D611A0">
        <w:rPr>
          <w:rStyle w:val="aff6"/>
          <w:rtl/>
        </w:rPr>
        <w:instrText xml:space="preserve"> </w:instrText>
      </w:r>
      <w:r w:rsidRPr="00D611A0">
        <w:rPr>
          <w:rStyle w:val="aff6"/>
          <w:rFonts w:hint="cs"/>
        </w:rPr>
        <w:instrText>REF</w:instrText>
      </w:r>
      <w:r w:rsidRPr="00D611A0">
        <w:rPr>
          <w:rStyle w:val="aff6"/>
          <w:rFonts w:hint="cs"/>
          <w:rtl/>
        </w:rPr>
        <w:instrText xml:space="preserve"> _</w:instrText>
      </w:r>
      <w:r w:rsidRPr="00D611A0">
        <w:rPr>
          <w:rStyle w:val="aff6"/>
          <w:rFonts w:hint="cs"/>
        </w:rPr>
        <w:instrText>Ref23669703 \r \h</w:instrText>
      </w:r>
      <w:r w:rsidRPr="00D611A0">
        <w:rPr>
          <w:rStyle w:val="aff6"/>
          <w:rtl/>
        </w:rPr>
        <w:instrText xml:space="preserve"> </w:instrText>
      </w:r>
      <w:r w:rsidRPr="00D611A0">
        <w:rPr>
          <w:rStyle w:val="aff6"/>
          <w:rtl/>
        </w:rPr>
      </w:r>
      <w:r w:rsidRPr="00D611A0">
        <w:rPr>
          <w:rStyle w:val="aff6"/>
          <w:rtl/>
        </w:rPr>
        <w:fldChar w:fldCharType="separate"/>
      </w:r>
      <w:r w:rsidR="004D1C5B">
        <w:rPr>
          <w:rStyle w:val="aff6"/>
          <w:cs/>
        </w:rPr>
        <w:t>‎</w:t>
      </w:r>
      <w:r w:rsidR="004D1C5B">
        <w:rPr>
          <w:rStyle w:val="aff6"/>
          <w:rtl/>
        </w:rPr>
        <w:t>סד)</w:t>
      </w:r>
      <w:r w:rsidRPr="00D611A0">
        <w:rPr>
          <w:rStyle w:val="aff6"/>
          <w:rtl/>
        </w:rPr>
        <w:fldChar w:fldCharType="end"/>
      </w:r>
      <w:r w:rsidRPr="00D611A0">
        <w:rPr>
          <w:rStyle w:val="afa"/>
          <w:rFonts w:hint="cs"/>
          <w:rtl/>
        </w:rPr>
        <w:t xml:space="preserve">], </w:t>
      </w:r>
      <w:r>
        <w:rPr>
          <w:rFonts w:hint="cs"/>
          <w:rtl/>
        </w:rPr>
        <w:t>דהא במין במינו לא שייך חשש זה, ואפ"ה ס"ל דהצריכו רבנן שישים ביבש ולא מהני ביטול ברוב.</w:t>
      </w:r>
    </w:p>
    <w:p w:rsidR="00D45705" w:rsidRPr="000A299E" w:rsidRDefault="00D45705" w:rsidP="00D45705">
      <w:pPr>
        <w:pStyle w:val="a2"/>
      </w:pPr>
      <w:bookmarkStart w:id="12070" w:name="_Toc23672455"/>
      <w:bookmarkStart w:id="12071" w:name="_Toc23673019"/>
      <w:r>
        <w:rPr>
          <w:rFonts w:hint="cs"/>
          <w:rtl/>
        </w:rPr>
        <w:t>ביאור הפרמ"ג דלהרמב"ם ורש"י והר"א אב"ד שישים הוא חומרא דרבנן ואינו שייך לדין טעם</w:t>
      </w:r>
      <w:bookmarkEnd w:id="12070"/>
      <w:bookmarkEnd w:id="12071"/>
    </w:p>
    <w:p w:rsidR="00D45705" w:rsidRPr="007E58A5" w:rsidRDefault="00D45705" w:rsidP="009F44AF">
      <w:pPr>
        <w:pStyle w:val="a"/>
        <w:rPr>
          <w:rStyle w:val="afa"/>
          <w:rtl/>
        </w:rPr>
      </w:pPr>
      <w:r>
        <w:rPr>
          <w:rFonts w:hint="cs"/>
          <w:rtl/>
        </w:rPr>
        <w:t xml:space="preserve">אלא ביאר </w:t>
      </w:r>
      <w:r w:rsidRPr="0024779A">
        <w:rPr>
          <w:rStyle w:val="af8"/>
          <w:rFonts w:hint="cs"/>
          <w:rtl/>
        </w:rPr>
        <w:t>הפרמ"ג</w:t>
      </w:r>
      <w:r>
        <w:rPr>
          <w:rFonts w:hint="cs"/>
          <w:rtl/>
        </w:rPr>
        <w:t xml:space="preserve"> דס"ל </w:t>
      </w:r>
      <w:r w:rsidRPr="0024779A">
        <w:rPr>
          <w:rStyle w:val="af8"/>
          <w:rFonts w:hint="cs"/>
          <w:rtl/>
        </w:rPr>
        <w:t>לרש"י ולהרמב"ם ולהראב"ד</w:t>
      </w:r>
      <w:r>
        <w:rPr>
          <w:rFonts w:hint="cs"/>
          <w:rtl/>
        </w:rPr>
        <w:t xml:space="preserve">, דשיעור שישים הוא חומרא דרבנן, ואינו שייך לדין טעם, וכתב </w:t>
      </w:r>
      <w:r w:rsidRPr="0024779A">
        <w:rPr>
          <w:rStyle w:val="af8"/>
          <w:rFonts w:hint="cs"/>
          <w:rtl/>
        </w:rPr>
        <w:t>הפרמ"ג</w:t>
      </w:r>
      <w:r>
        <w:rPr>
          <w:rFonts w:hint="cs"/>
          <w:rtl/>
        </w:rPr>
        <w:t xml:space="preserve"> דא"כ ה"ה באיסורים אחרים שאין בהם טעם כגון כלאים, </w:t>
      </w:r>
      <w:r w:rsidRPr="00EA0EB0">
        <w:rPr>
          <w:rFonts w:hint="cs"/>
          <w:rtl/>
        </w:rPr>
        <w:t xml:space="preserve">דלדעת </w:t>
      </w:r>
      <w:r w:rsidRPr="0024779A">
        <w:rPr>
          <w:rStyle w:val="af8"/>
          <w:rFonts w:hint="cs"/>
          <w:rtl/>
        </w:rPr>
        <w:t>רש"י והרמב"ם והראב"ד</w:t>
      </w:r>
      <w:r w:rsidRPr="00EA0EB0">
        <w:rPr>
          <w:rFonts w:hint="cs"/>
          <w:rtl/>
        </w:rPr>
        <w:t xml:space="preserve"> </w:t>
      </w:r>
      <w:r>
        <w:rPr>
          <w:rFonts w:hint="cs"/>
          <w:rtl/>
        </w:rPr>
        <w:t>לא מהני בהם ביטול דחד בתרי.</w:t>
      </w:r>
      <w:bookmarkEnd w:id="12069"/>
      <w:r>
        <w:rPr>
          <w:rStyle w:val="afa"/>
          <w:rFonts w:hint="cs"/>
          <w:rtl/>
        </w:rPr>
        <w:t xml:space="preserve"> [וע"ע במ"ש </w:t>
      </w:r>
      <w:r w:rsidRPr="00663451">
        <w:rPr>
          <w:rStyle w:val="affa"/>
          <w:rtl/>
        </w:rPr>
        <w:t>הפרמ"ג</w:t>
      </w:r>
      <w:r w:rsidRPr="0043600D">
        <w:rPr>
          <w:rtl/>
        </w:rPr>
        <w:t xml:space="preserve"> </w:t>
      </w:r>
      <w:r w:rsidRPr="00663451">
        <w:rPr>
          <w:rStyle w:val="aff6"/>
          <w:rtl/>
        </w:rPr>
        <w:t>(פתיחה שער התערובות</w:t>
      </w:r>
      <w:r w:rsidRPr="00663451">
        <w:rPr>
          <w:rStyle w:val="aff6"/>
          <w:rFonts w:hint="cs"/>
          <w:rtl/>
        </w:rPr>
        <w:t xml:space="preserve"> ח"א פ"א ד"ה והנה יבש ביבש אפי' מדרבנן)</w:t>
      </w:r>
      <w:r>
        <w:rPr>
          <w:rStyle w:val="afa"/>
          <w:rFonts w:hint="cs"/>
          <w:rtl/>
        </w:rPr>
        <w:t xml:space="preserve"> בביאור דעת </w:t>
      </w:r>
      <w:r>
        <w:rPr>
          <w:rStyle w:val="affa"/>
          <w:rFonts w:hint="cs"/>
          <w:rtl/>
        </w:rPr>
        <w:t>הרמב"ם</w:t>
      </w:r>
      <w:r>
        <w:rPr>
          <w:rStyle w:val="afa"/>
          <w:rFonts w:hint="cs"/>
          <w:rtl/>
        </w:rPr>
        <w:t xml:space="preserve"> דס"ל דטעם כעיקר דרבנן וא"כ א"א לומר דהאיסור בלח בלח הוא אטו מין בשאינו מינו, דהא אף במין בשאינו מינו מהני ביטול מדאו', דטעם כעיקר דרבנן, וכתב </w:t>
      </w:r>
      <w:r w:rsidRPr="009A6365">
        <w:rPr>
          <w:rStyle w:val="affa"/>
          <w:rFonts w:hint="cs"/>
          <w:rtl/>
        </w:rPr>
        <w:t>הפרמ"ג</w:t>
      </w:r>
      <w:r>
        <w:rPr>
          <w:rStyle w:val="afa"/>
          <w:rFonts w:hint="cs"/>
          <w:rtl/>
        </w:rPr>
        <w:t xml:space="preserve"> דלכן ס"ל </w:t>
      </w:r>
      <w:r w:rsidRPr="009A6365">
        <w:rPr>
          <w:rStyle w:val="affa"/>
          <w:rFonts w:hint="cs"/>
          <w:rtl/>
        </w:rPr>
        <w:t>להרמב"ם</w:t>
      </w:r>
      <w:r>
        <w:rPr>
          <w:rStyle w:val="afa"/>
          <w:rFonts w:hint="cs"/>
          <w:rtl/>
        </w:rPr>
        <w:t xml:space="preserve"> דכיון דבלח בלח צריך שישים ה"ה ביבש ביבש].</w:t>
      </w:r>
    </w:p>
    <w:p w:rsidR="00D45705" w:rsidRDefault="00D45705" w:rsidP="00D45705">
      <w:pPr>
        <w:pStyle w:val="a2"/>
        <w:rPr>
          <w:rtl/>
        </w:rPr>
      </w:pPr>
      <w:bookmarkStart w:id="12072" w:name="_Toc23672456"/>
      <w:bookmarkStart w:id="12073" w:name="_Toc23673020"/>
      <w:r>
        <w:rPr>
          <w:rFonts w:hint="cs"/>
          <w:rtl/>
        </w:rPr>
        <w:t>דחיית הגרעק"א דאף ביבש במין במינו החמירו להצריך שישים מחמת שיש טעם באינו מינו</w:t>
      </w:r>
      <w:bookmarkEnd w:id="12072"/>
      <w:bookmarkEnd w:id="12073"/>
    </w:p>
    <w:p w:rsidR="00D45705" w:rsidRDefault="00D45705" w:rsidP="009F44AF">
      <w:pPr>
        <w:pStyle w:val="a"/>
        <w:rPr>
          <w:rtl/>
        </w:rPr>
      </w:pPr>
      <w:bookmarkStart w:id="12074" w:name="_Ref23670670"/>
      <w:r>
        <w:rPr>
          <w:rFonts w:hint="cs"/>
          <w:rtl/>
        </w:rPr>
        <w:t xml:space="preserve">ודחה </w:t>
      </w:r>
      <w:r w:rsidRPr="00E36EC4">
        <w:rPr>
          <w:rStyle w:val="af8"/>
          <w:rFonts w:hint="cs"/>
          <w:rtl/>
        </w:rPr>
        <w:t>הגרעק"א</w:t>
      </w:r>
      <w:r>
        <w:rPr>
          <w:rFonts w:hint="cs"/>
          <w:rtl/>
        </w:rPr>
        <w:t xml:space="preserve"> </w:t>
      </w:r>
      <w:r w:rsidRPr="00A279DE">
        <w:rPr>
          <w:rStyle w:val="af6"/>
          <w:rFonts w:eastAsia="Guttman Hodes" w:hint="cs"/>
          <w:rtl/>
        </w:rPr>
        <w:t>(בהג' על הפרמ"ג</w:t>
      </w:r>
      <w:r w:rsidRPr="00A279DE">
        <w:rPr>
          <w:rStyle w:val="af6"/>
          <w:rFonts w:eastAsia="Guttman Hodes"/>
          <w:rtl/>
        </w:rPr>
        <w:t xml:space="preserve"> פתיחה שער התערובות</w:t>
      </w:r>
      <w:r w:rsidRPr="00A279DE">
        <w:rPr>
          <w:rStyle w:val="af6"/>
          <w:rFonts w:eastAsia="Guttman Hodes" w:hint="cs"/>
          <w:rtl/>
        </w:rPr>
        <w:t xml:space="preserve"> ח"א פ"א ד"ה והנה, נד' במהדו' פרידמן וצורת הדף)</w:t>
      </w:r>
      <w:r>
        <w:rPr>
          <w:rFonts w:hint="cs"/>
          <w:rtl/>
        </w:rPr>
        <w:t xml:space="preserve"> דאף </w:t>
      </w:r>
      <w:r w:rsidRPr="00EA0EB0">
        <w:rPr>
          <w:rFonts w:hint="cs"/>
          <w:rtl/>
        </w:rPr>
        <w:t xml:space="preserve">לדעת </w:t>
      </w:r>
      <w:r w:rsidRPr="0024779A">
        <w:rPr>
          <w:rStyle w:val="af8"/>
          <w:rFonts w:hint="cs"/>
          <w:rtl/>
        </w:rPr>
        <w:t>רש"י והרמב"</w:t>
      </w:r>
      <w:r>
        <w:rPr>
          <w:rStyle w:val="af8"/>
          <w:rFonts w:hint="cs"/>
          <w:rtl/>
        </w:rPr>
        <w:t>ם ו</w:t>
      </w:r>
      <w:r w:rsidRPr="0024779A">
        <w:rPr>
          <w:rStyle w:val="af8"/>
          <w:rFonts w:hint="cs"/>
          <w:rtl/>
        </w:rPr>
        <w:t>הראב"ד</w:t>
      </w:r>
      <w:r>
        <w:rPr>
          <w:rFonts w:hint="cs"/>
          <w:rtl/>
        </w:rPr>
        <w:t xml:space="preserve"> כל מה שהחמירו במין </w:t>
      </w:r>
      <w:r>
        <w:rPr>
          <w:rFonts w:hint="cs"/>
          <w:rtl/>
        </w:rPr>
        <w:t xml:space="preserve">במינו ביבש ביבש, הוא גם מחמת הטעם, דכיון שכנגדו במין בשאינו מינו יש סברא לאסור בפחות משישים, דאם יבשל את התערובת יבא לידי איסור דאו', לכן החמירו רבנן שלא לחלק בין לח ליבש, אבל בשאר איסורים שאין בהם טעם כגון כלאים, ודאי דאף </w:t>
      </w:r>
      <w:r w:rsidRPr="00EA0EB0">
        <w:rPr>
          <w:rFonts w:hint="cs"/>
          <w:rtl/>
        </w:rPr>
        <w:t xml:space="preserve">לדעת </w:t>
      </w:r>
      <w:r w:rsidRPr="0024779A">
        <w:rPr>
          <w:rStyle w:val="af8"/>
          <w:rFonts w:hint="cs"/>
          <w:rtl/>
        </w:rPr>
        <w:t xml:space="preserve">רש"י והרמב"ם </w:t>
      </w:r>
      <w:r>
        <w:rPr>
          <w:rStyle w:val="af8"/>
          <w:rFonts w:hint="cs"/>
          <w:rtl/>
        </w:rPr>
        <w:t>ו</w:t>
      </w:r>
      <w:r w:rsidRPr="0024779A">
        <w:rPr>
          <w:rStyle w:val="af8"/>
          <w:rFonts w:hint="cs"/>
          <w:rtl/>
        </w:rPr>
        <w:t>הראב"ד</w:t>
      </w:r>
      <w:r>
        <w:rPr>
          <w:rFonts w:hint="cs"/>
          <w:rtl/>
        </w:rPr>
        <w:t>, מהני ביטול ברוב ביבש ביבש.</w:t>
      </w:r>
      <w:bookmarkEnd w:id="12074"/>
    </w:p>
    <w:p w:rsidR="00D45705" w:rsidRPr="009676DE" w:rsidRDefault="00D45705" w:rsidP="00D45705">
      <w:pPr>
        <w:pStyle w:val="a2"/>
        <w:rPr>
          <w:rtl/>
        </w:rPr>
      </w:pPr>
      <w:bookmarkStart w:id="12075" w:name="_Toc23672457"/>
      <w:bookmarkStart w:id="12076" w:name="_Toc23673021"/>
      <w:r>
        <w:rPr>
          <w:rFonts w:hint="cs"/>
          <w:rtl/>
        </w:rPr>
        <w:t>דברי הגרעק"א דכן מוכח ברמב"ם דבמקום שאין טעם מותר בלח בלח אף בפחות משישים</w:t>
      </w:r>
      <w:bookmarkEnd w:id="12075"/>
      <w:bookmarkEnd w:id="12076"/>
      <w:r>
        <w:rPr>
          <w:rFonts w:hint="cs"/>
          <w:rtl/>
        </w:rPr>
        <w:t xml:space="preserve"> </w:t>
      </w:r>
    </w:p>
    <w:p w:rsidR="00D45705" w:rsidRPr="008E29D3" w:rsidRDefault="00D45705" w:rsidP="009F44AF">
      <w:pPr>
        <w:pStyle w:val="a"/>
        <w:rPr>
          <w:rStyle w:val="afa"/>
          <w:rtl/>
        </w:rPr>
      </w:pPr>
      <w:r>
        <w:rPr>
          <w:rFonts w:hint="cs"/>
          <w:rtl/>
        </w:rPr>
        <w:t xml:space="preserve">וכתב </w:t>
      </w:r>
      <w:r w:rsidRPr="00E36EC4">
        <w:rPr>
          <w:rStyle w:val="af8"/>
          <w:rFonts w:hint="cs"/>
          <w:rtl/>
        </w:rPr>
        <w:t>הגרעק"א</w:t>
      </w:r>
      <w:r>
        <w:rPr>
          <w:rFonts w:hint="cs"/>
          <w:rtl/>
        </w:rPr>
        <w:t xml:space="preserve"> דכן מוכח מדברי </w:t>
      </w:r>
      <w:r w:rsidRPr="001414CF">
        <w:rPr>
          <w:rStyle w:val="af8"/>
          <w:rFonts w:hint="cs"/>
          <w:rtl/>
        </w:rPr>
        <w:t>הרמב"ם</w:t>
      </w:r>
      <w:r w:rsidRPr="00C85FE0">
        <w:rPr>
          <w:rFonts w:hint="cs"/>
          <w:rtl/>
        </w:rPr>
        <w:t xml:space="preserve"> </w:t>
      </w:r>
      <w:r w:rsidRPr="001414CF">
        <w:rPr>
          <w:rStyle w:val="af6"/>
          <w:rFonts w:eastAsia="Guttman Hodes" w:hint="cs"/>
          <w:rtl/>
        </w:rPr>
        <w:t>(מאכ"א פט"ו הכ"ב</w:t>
      </w:r>
      <w:r>
        <w:rPr>
          <w:rStyle w:val="af6"/>
          <w:rFonts w:eastAsia="Guttman Hodes" w:hint="cs"/>
          <w:rtl/>
        </w:rPr>
        <w:t>, הובא בסימן ב' אות פ"ג)</w:t>
      </w:r>
      <w:r w:rsidRPr="00AB6225">
        <w:rPr>
          <w:rFonts w:hint="cs"/>
          <w:rtl/>
        </w:rPr>
        <w:t xml:space="preserve"> </w:t>
      </w:r>
      <w:r>
        <w:rPr>
          <w:rFonts w:hint="cs"/>
          <w:rtl/>
        </w:rPr>
        <w:t xml:space="preserve">דס"ל דבמין בשאינו מינו אף בלח בלח במקום שטעם הקפילא ואמר שאין בו טעם איסור, מותר אף בפחות משישים, ומוכח שדין שישים אינו חומרא דרבנן בעלמא דגזרו שצריך שיעור שישים, אלא כתב </w:t>
      </w:r>
      <w:r w:rsidRPr="00E36EC4">
        <w:rPr>
          <w:rStyle w:val="af8"/>
          <w:rFonts w:hint="cs"/>
          <w:rtl/>
        </w:rPr>
        <w:t>הגרעק"א</w:t>
      </w:r>
      <w:r>
        <w:rPr>
          <w:rFonts w:hint="cs"/>
          <w:rtl/>
        </w:rPr>
        <w:t xml:space="preserve"> דמוכח דאף לדעת </w:t>
      </w:r>
      <w:r w:rsidRPr="001414CF">
        <w:rPr>
          <w:rStyle w:val="af8"/>
          <w:rFonts w:hint="cs"/>
          <w:rtl/>
        </w:rPr>
        <w:t>הרמב"ם</w:t>
      </w:r>
      <w:r w:rsidRPr="00C85FE0">
        <w:rPr>
          <w:rFonts w:hint="cs"/>
          <w:rtl/>
        </w:rPr>
        <w:t xml:space="preserve"> </w:t>
      </w:r>
      <w:r>
        <w:rPr>
          <w:rFonts w:hint="cs"/>
          <w:rtl/>
        </w:rPr>
        <w:t>כל דין שישים הוא מחמת הטעם, ולכן במקום שאמר הקפילא שאין טעם, אין דין שישים כלל.</w:t>
      </w:r>
      <w:r w:rsidR="009A7E8F">
        <w:rPr>
          <w:rFonts w:hint="cs"/>
          <w:rtl/>
        </w:rPr>
        <w:t xml:space="preserve"> </w:t>
      </w:r>
      <w:r w:rsidR="009A7E8F" w:rsidRPr="008E29D3">
        <w:rPr>
          <w:rStyle w:val="afa"/>
          <w:rFonts w:hint="cs"/>
          <w:rtl/>
        </w:rPr>
        <w:t>[וע"ע ב</w:t>
      </w:r>
      <w:r w:rsidR="008E29D3" w:rsidRPr="008E29D3">
        <w:rPr>
          <w:rStyle w:val="afa"/>
          <w:rFonts w:hint="cs"/>
          <w:rtl/>
        </w:rPr>
        <w:t>מ"ש</w:t>
      </w:r>
      <w:r w:rsidR="009A7E8F" w:rsidRPr="008E29D3">
        <w:rPr>
          <w:rStyle w:val="afa"/>
          <w:rFonts w:hint="cs"/>
          <w:rtl/>
        </w:rPr>
        <w:t xml:space="preserve"> </w:t>
      </w:r>
      <w:r w:rsidR="009A7E8F" w:rsidRPr="008E29D3">
        <w:rPr>
          <w:rStyle w:val="affa"/>
          <w:rFonts w:hint="cs"/>
          <w:rtl/>
        </w:rPr>
        <w:t>המעשה רוקח</w:t>
      </w:r>
      <w:r w:rsidR="009A7E8F" w:rsidRPr="008E29D3">
        <w:rPr>
          <w:rStyle w:val="afa"/>
          <w:rFonts w:hint="cs"/>
          <w:rtl/>
        </w:rPr>
        <w:t xml:space="preserve"> </w:t>
      </w:r>
      <w:r w:rsidR="009A7E8F" w:rsidRPr="008E29D3">
        <w:rPr>
          <w:rStyle w:val="aff6"/>
          <w:rFonts w:hint="cs"/>
          <w:rtl/>
        </w:rPr>
        <w:t>(</w:t>
      </w:r>
      <w:r w:rsidR="008E29D3" w:rsidRPr="008E29D3">
        <w:rPr>
          <w:rStyle w:val="aff6"/>
          <w:rFonts w:hint="cs"/>
          <w:rtl/>
        </w:rPr>
        <w:t>מאכלות אסורות פט"ו ה"א, נד' במפרשי ה"ד החזקה)</w:t>
      </w:r>
      <w:r w:rsidR="009A7E8F" w:rsidRPr="008E29D3">
        <w:rPr>
          <w:rStyle w:val="afa"/>
          <w:rFonts w:hint="cs"/>
          <w:rtl/>
        </w:rPr>
        <w:t>].</w:t>
      </w:r>
    </w:p>
    <w:p w:rsidR="00D45705" w:rsidRDefault="00D45705" w:rsidP="00D45705">
      <w:pPr>
        <w:pStyle w:val="a2"/>
        <w:rPr>
          <w:rtl/>
        </w:rPr>
      </w:pPr>
      <w:r>
        <w:rPr>
          <w:rFonts w:hint="cs"/>
          <w:rtl/>
        </w:rPr>
        <w:t>ביאור היד יהודה ברמב"ם דשיעור שישים אינו מחמת טעם אלא דהוא שיעור מועט מאוד ובטל</w:t>
      </w:r>
    </w:p>
    <w:p w:rsidR="00D45705" w:rsidRPr="00C3650A" w:rsidRDefault="00D45705" w:rsidP="009F44AF">
      <w:pPr>
        <w:pStyle w:val="a"/>
      </w:pPr>
      <w:bookmarkStart w:id="12077" w:name="_Toc23672458"/>
      <w:bookmarkStart w:id="12078" w:name="_Toc23673022"/>
      <w:r w:rsidRPr="003144D8">
        <w:rPr>
          <w:rStyle w:val="af8"/>
          <w:rFonts w:hint="cs"/>
          <w:rtl/>
        </w:rPr>
        <w:t>והיד יהודה</w:t>
      </w:r>
      <w:r w:rsidRPr="003D3883">
        <w:rPr>
          <w:rFonts w:hint="cs"/>
          <w:rtl/>
        </w:rPr>
        <w:t xml:space="preserve"> </w:t>
      </w:r>
      <w:r w:rsidRPr="003144D8">
        <w:rPr>
          <w:rStyle w:val="af6"/>
          <w:rFonts w:eastAsia="Guttman Hodes" w:hint="cs"/>
          <w:rtl/>
        </w:rPr>
        <w:t>(סי' ק"ט ריש סק"ה)</w:t>
      </w:r>
      <w:r>
        <w:rPr>
          <w:rFonts w:hint="cs"/>
          <w:rtl/>
        </w:rPr>
        <w:t xml:space="preserve"> כתב דס"ל </w:t>
      </w:r>
      <w:r w:rsidRPr="003144D8">
        <w:rPr>
          <w:rStyle w:val="af8"/>
          <w:rFonts w:hint="cs"/>
          <w:rtl/>
        </w:rPr>
        <w:t>להרמב"ם</w:t>
      </w:r>
      <w:r>
        <w:rPr>
          <w:rFonts w:hint="cs"/>
          <w:rtl/>
        </w:rPr>
        <w:t xml:space="preserve"> דשיעור שישים אינו מחמת ביטול </w:t>
      </w:r>
      <w:r w:rsidR="00660C9C">
        <w:rPr>
          <w:rFonts w:hint="cs"/>
          <w:rtl/>
        </w:rPr>
        <w:t>ה</w:t>
      </w:r>
      <w:r>
        <w:rPr>
          <w:rFonts w:hint="cs"/>
          <w:rtl/>
        </w:rPr>
        <w:t xml:space="preserve">טעם, אלא הוא שיעור שאמרו חז"ל שהשיעור לא יתבטל אא"כ הוא כ"כ מועט שהוא פחות משישים כנגד האיסור, וכתב </w:t>
      </w:r>
      <w:r w:rsidRPr="003144D8">
        <w:rPr>
          <w:rStyle w:val="af8"/>
          <w:rFonts w:hint="cs"/>
          <w:rtl/>
        </w:rPr>
        <w:t>היד יהודה</w:t>
      </w:r>
      <w:r>
        <w:rPr>
          <w:rFonts w:hint="cs"/>
          <w:rtl/>
        </w:rPr>
        <w:t xml:space="preserve"> דלכן ס"ל </w:t>
      </w:r>
      <w:r w:rsidRPr="003144D8">
        <w:rPr>
          <w:rStyle w:val="af8"/>
          <w:rFonts w:hint="cs"/>
          <w:rtl/>
        </w:rPr>
        <w:t>להרמב"ם</w:t>
      </w:r>
      <w:r>
        <w:rPr>
          <w:rFonts w:hint="cs"/>
          <w:rtl/>
        </w:rPr>
        <w:t xml:space="preserve"> דאף ביבש ביבש, מדרבנן צריך שישים ולא מהני ביטול ברוב, ופליג על רוב הראשונים </w:t>
      </w:r>
      <w:r w:rsidRPr="00C3650A">
        <w:rPr>
          <w:rtl/>
        </w:rPr>
        <w:t>דביארו דשיעור שישים הוא מחמת דבשישים בטל הטעם,</w:t>
      </w:r>
      <w:r>
        <w:rPr>
          <w:rFonts w:hint="cs"/>
          <w:rtl/>
        </w:rPr>
        <w:t xml:space="preserve"> וציין </w:t>
      </w:r>
      <w:r w:rsidRPr="003144D8">
        <w:rPr>
          <w:rStyle w:val="af8"/>
          <w:rFonts w:hint="cs"/>
          <w:rtl/>
        </w:rPr>
        <w:t>היד יהודה</w:t>
      </w:r>
      <w:r>
        <w:rPr>
          <w:rFonts w:hint="cs"/>
          <w:rtl/>
        </w:rPr>
        <w:t xml:space="preserve"> לדבריו </w:t>
      </w:r>
      <w:r w:rsidRPr="003144D8">
        <w:rPr>
          <w:rStyle w:val="af6"/>
          <w:rFonts w:eastAsia="Guttman Hodes"/>
          <w:rtl/>
        </w:rPr>
        <w:t>(סי' צ"ח סק"ג ד"ה אבל הרמב"ם, הובא בסימן ב' אות פ"ה)</w:t>
      </w:r>
      <w:r w:rsidRPr="00C3650A">
        <w:rPr>
          <w:rtl/>
        </w:rPr>
        <w:t xml:space="preserve"> דביאר </w:t>
      </w:r>
      <w:r>
        <w:rPr>
          <w:rFonts w:hint="cs"/>
          <w:rtl/>
        </w:rPr>
        <w:t>ד</w:t>
      </w:r>
      <w:r w:rsidRPr="00C3650A">
        <w:rPr>
          <w:rtl/>
        </w:rPr>
        <w:t xml:space="preserve">ס"ל </w:t>
      </w:r>
      <w:r w:rsidRPr="003144D8">
        <w:rPr>
          <w:rStyle w:val="af8"/>
          <w:rtl/>
        </w:rPr>
        <w:t>להרמב"ם</w:t>
      </w:r>
      <w:r w:rsidRPr="00C3650A">
        <w:rPr>
          <w:rtl/>
        </w:rPr>
        <w:t xml:space="preserve"> דאף בפחות משישים יתכן שמת</w:t>
      </w:r>
      <w:r>
        <w:rPr>
          <w:rFonts w:hint="cs"/>
          <w:rtl/>
        </w:rPr>
        <w:t>ב</w:t>
      </w:r>
      <w:r w:rsidRPr="00C3650A">
        <w:rPr>
          <w:rtl/>
        </w:rPr>
        <w:t>טל הטעם, אלא דגזרו רבנן, שכל האיסורים יתבטל</w:t>
      </w:r>
      <w:r>
        <w:rPr>
          <w:rFonts w:hint="cs"/>
          <w:rtl/>
        </w:rPr>
        <w:t>ו</w:t>
      </w:r>
      <w:r w:rsidRPr="00C3650A">
        <w:rPr>
          <w:rtl/>
        </w:rPr>
        <w:t xml:space="preserve"> בשיעור מועט של שישים, שמצאו לו חז"ל אסמכתא בזרוע בשילה, וכן מצאו אסמכתא בתרומה במאה, ובערלה במאתיים</w:t>
      </w:r>
      <w:r>
        <w:rPr>
          <w:rFonts w:hint="cs"/>
          <w:rtl/>
        </w:rPr>
        <w:t>.</w:t>
      </w:r>
    </w:p>
    <w:p w:rsidR="00D45705" w:rsidRDefault="00D45705" w:rsidP="00E669F8">
      <w:pPr>
        <w:pStyle w:val="afd"/>
        <w:rPr>
          <w:rtl/>
        </w:rPr>
      </w:pPr>
      <w:r>
        <w:rPr>
          <w:rFonts w:hint="cs"/>
          <w:rtl/>
        </w:rPr>
        <w:t>דעת הר"ש דבכא"פ ל"מ ביטול מדאו'</w:t>
      </w:r>
      <w:bookmarkEnd w:id="12055"/>
      <w:bookmarkEnd w:id="12056"/>
      <w:bookmarkEnd w:id="12057"/>
      <w:bookmarkEnd w:id="12058"/>
      <w:bookmarkEnd w:id="12077"/>
      <w:bookmarkEnd w:id="12078"/>
      <w:r>
        <w:rPr>
          <w:rFonts w:hint="cs"/>
          <w:rtl/>
        </w:rPr>
        <w:t xml:space="preserve"> </w:t>
      </w:r>
      <w:bookmarkEnd w:id="12059"/>
      <w:bookmarkEnd w:id="12060"/>
    </w:p>
    <w:p w:rsidR="00D45705" w:rsidRPr="008912DF" w:rsidRDefault="00D45705" w:rsidP="00D45705">
      <w:pPr>
        <w:pStyle w:val="1"/>
        <w:rPr>
          <w:rtl/>
        </w:rPr>
      </w:pPr>
      <w:bookmarkStart w:id="12079" w:name="_Toc22250701"/>
      <w:bookmarkStart w:id="12080" w:name="_Toc22638901"/>
      <w:bookmarkStart w:id="12081" w:name="_Toc23224099"/>
      <w:bookmarkStart w:id="12082" w:name="_Toc23372465"/>
      <w:bookmarkStart w:id="12083" w:name="_Toc23419149"/>
      <w:bookmarkStart w:id="12084" w:name="_Toc23499403"/>
      <w:bookmarkStart w:id="12085" w:name="_Toc23663809"/>
      <w:bookmarkStart w:id="12086" w:name="_Toc23672459"/>
      <w:bookmarkStart w:id="12087" w:name="_Toc23673023"/>
      <w:r w:rsidRPr="008912DF">
        <w:rPr>
          <w:rFonts w:hint="cs"/>
          <w:rtl/>
        </w:rPr>
        <w:t>דברי הר"ש</w:t>
      </w:r>
      <w:bookmarkEnd w:id="12079"/>
      <w:bookmarkEnd w:id="12080"/>
      <w:bookmarkEnd w:id="12081"/>
      <w:bookmarkEnd w:id="12082"/>
      <w:r>
        <w:rPr>
          <w:rFonts w:hint="cs"/>
          <w:rtl/>
        </w:rPr>
        <w:t xml:space="preserve"> דביבש ויש כזית בכא"פ ל"מ ביטול ברוב אף במינו</w:t>
      </w:r>
      <w:bookmarkEnd w:id="12083"/>
      <w:bookmarkEnd w:id="12084"/>
      <w:bookmarkEnd w:id="12085"/>
      <w:bookmarkEnd w:id="12086"/>
      <w:bookmarkEnd w:id="12087"/>
    </w:p>
    <w:p w:rsidR="00D45705" w:rsidRPr="008912DF" w:rsidRDefault="00D45705" w:rsidP="00D45705">
      <w:pPr>
        <w:pStyle w:val="a2"/>
        <w:rPr>
          <w:rtl/>
        </w:rPr>
      </w:pPr>
      <w:bookmarkStart w:id="12088" w:name="_Toc23419150"/>
      <w:bookmarkStart w:id="12089" w:name="_Toc23499404"/>
      <w:bookmarkStart w:id="12090" w:name="_Toc23663810"/>
      <w:bookmarkStart w:id="12091" w:name="_Toc23672460"/>
      <w:bookmarkStart w:id="12092" w:name="_Toc23673024"/>
      <w:r>
        <w:rPr>
          <w:rFonts w:hint="cs"/>
          <w:rtl/>
        </w:rPr>
        <w:t>דברי הר"ש דבדבר שמעורב זה בזה כקמח בקמח מהני ביטול ברוב אף בכזית בכא"פ</w:t>
      </w:r>
      <w:bookmarkEnd w:id="12088"/>
      <w:bookmarkEnd w:id="12089"/>
      <w:bookmarkEnd w:id="12090"/>
      <w:bookmarkEnd w:id="12091"/>
      <w:bookmarkEnd w:id="12092"/>
    </w:p>
    <w:p w:rsidR="00D45705" w:rsidRPr="008912DF" w:rsidRDefault="00D45705" w:rsidP="009F44AF">
      <w:pPr>
        <w:pStyle w:val="a"/>
        <w:rPr>
          <w:rtl/>
        </w:rPr>
      </w:pPr>
      <w:r w:rsidRPr="008912DF">
        <w:rPr>
          <w:rFonts w:hint="cs"/>
          <w:rtl/>
        </w:rPr>
        <w:t xml:space="preserve">כתב </w:t>
      </w:r>
      <w:r w:rsidRPr="006A1E74">
        <w:rPr>
          <w:rStyle w:val="af8"/>
          <w:rFonts w:hint="cs"/>
          <w:rtl/>
        </w:rPr>
        <w:t>הר"ש בטבו"י</w:t>
      </w:r>
      <w:r w:rsidRPr="008912DF">
        <w:rPr>
          <w:rFonts w:hint="cs"/>
          <w:rtl/>
        </w:rPr>
        <w:t xml:space="preserve"> </w:t>
      </w:r>
      <w:r w:rsidRPr="00227059">
        <w:rPr>
          <w:rStyle w:val="af6"/>
          <w:rFonts w:eastAsia="Guttman Hodes" w:hint="cs"/>
          <w:rtl/>
        </w:rPr>
        <w:t xml:space="preserve">(פ"ב מ"ג ד"ה ומיהו לפי' ר"ת) </w:t>
      </w:r>
      <w:r w:rsidRPr="008912DF">
        <w:rPr>
          <w:rFonts w:hint="cs"/>
          <w:rtl/>
        </w:rPr>
        <w:t>דדבר שמתערב ונימוח כגון קמח, שא"א להבדילם זה מזה, המיעוט מתבטל ברוב, אף כשיש כזית בכדי אכילת פרס.</w:t>
      </w:r>
    </w:p>
    <w:p w:rsidR="00D45705" w:rsidRPr="008912DF" w:rsidRDefault="00D45705" w:rsidP="00D45705">
      <w:pPr>
        <w:pStyle w:val="a2"/>
      </w:pPr>
      <w:bookmarkStart w:id="12093" w:name="_Toc23419151"/>
      <w:bookmarkStart w:id="12094" w:name="_Toc23499405"/>
      <w:bookmarkStart w:id="12095" w:name="_Toc23663811"/>
      <w:bookmarkStart w:id="12096" w:name="_Toc23672461"/>
      <w:bookmarkStart w:id="12097" w:name="_Toc23673025"/>
      <w:r>
        <w:rPr>
          <w:rFonts w:hint="cs"/>
          <w:rtl/>
        </w:rPr>
        <w:t>דברי הר"ש דביבש בכזית אף במינו לא מהני ביטול ברוב בכא"פ ובסוגיין איירי בפחות מכא"פ</w:t>
      </w:r>
      <w:bookmarkEnd w:id="12093"/>
      <w:bookmarkEnd w:id="12094"/>
      <w:bookmarkEnd w:id="12095"/>
      <w:bookmarkEnd w:id="12096"/>
      <w:bookmarkEnd w:id="12097"/>
    </w:p>
    <w:p w:rsidR="00D45705" w:rsidRPr="008912DF" w:rsidRDefault="00D45705" w:rsidP="009F44AF">
      <w:pPr>
        <w:pStyle w:val="a"/>
        <w:rPr>
          <w:rtl/>
        </w:rPr>
      </w:pPr>
      <w:bookmarkStart w:id="12098" w:name="_Ref23241444"/>
      <w:r w:rsidRPr="008912DF">
        <w:rPr>
          <w:rFonts w:hint="cs"/>
          <w:rtl/>
        </w:rPr>
        <w:t xml:space="preserve">אבל ביבש ביבש כתב </w:t>
      </w:r>
      <w:r w:rsidRPr="006A1E74">
        <w:rPr>
          <w:rStyle w:val="af8"/>
          <w:rFonts w:hint="cs"/>
          <w:rtl/>
        </w:rPr>
        <w:t>הר"ש בטבו"י</w:t>
      </w:r>
      <w:r w:rsidRPr="008912DF">
        <w:rPr>
          <w:rFonts w:hint="cs"/>
          <w:rtl/>
        </w:rPr>
        <w:t xml:space="preserve"> </w:t>
      </w:r>
      <w:r>
        <w:rPr>
          <w:rFonts w:hint="cs"/>
          <w:rtl/>
        </w:rPr>
        <w:t>ד</w:t>
      </w:r>
      <w:r w:rsidRPr="008912DF">
        <w:rPr>
          <w:rFonts w:hint="cs"/>
          <w:rtl/>
        </w:rPr>
        <w:t xml:space="preserve">כל שיש כזית בכדי אכילת פרס, מדאו' לא מהני ביטול ברוב, אף במין במינו, </w:t>
      </w:r>
      <w:r>
        <w:rPr>
          <w:rFonts w:hint="cs"/>
          <w:rtl/>
        </w:rPr>
        <w:t xml:space="preserve">אף כשאינו ניכר, </w:t>
      </w:r>
      <w:r w:rsidRPr="008912DF">
        <w:rPr>
          <w:rFonts w:hint="cs"/>
          <w:rtl/>
        </w:rPr>
        <w:t>ו</w:t>
      </w:r>
      <w:r>
        <w:rPr>
          <w:rFonts w:hint="cs"/>
          <w:rtl/>
        </w:rPr>
        <w:t xml:space="preserve">ביאר </w:t>
      </w:r>
      <w:r w:rsidRPr="006A1E74">
        <w:rPr>
          <w:rStyle w:val="af8"/>
          <w:rFonts w:hint="cs"/>
          <w:rtl/>
        </w:rPr>
        <w:t>הר"ש בטבו"י</w:t>
      </w:r>
      <w:r w:rsidRPr="008912DF">
        <w:rPr>
          <w:rFonts w:hint="cs"/>
          <w:rtl/>
        </w:rPr>
        <w:t xml:space="preserve"> </w:t>
      </w:r>
      <w:r>
        <w:rPr>
          <w:rFonts w:hint="cs"/>
          <w:rtl/>
        </w:rPr>
        <w:t>ד</w:t>
      </w:r>
      <w:r w:rsidRPr="008912DF">
        <w:rPr>
          <w:rFonts w:hint="cs"/>
          <w:rtl/>
        </w:rPr>
        <w:t xml:space="preserve">הא דמקשה הגמ' בסוגיין דגיד בין </w:t>
      </w:r>
      <w:r>
        <w:rPr>
          <w:rFonts w:hint="cs"/>
          <w:rtl/>
        </w:rPr>
        <w:t>הגידים</w:t>
      </w:r>
      <w:r w:rsidRPr="008912DF">
        <w:rPr>
          <w:rFonts w:hint="cs"/>
          <w:rtl/>
        </w:rPr>
        <w:t xml:space="preserve"> יתבטל ברוב, איירי שאין כזית בכדי אכילת פרס</w:t>
      </w:r>
      <w:bookmarkEnd w:id="12098"/>
      <w:r>
        <w:rPr>
          <w:rFonts w:hint="cs"/>
          <w:rtl/>
        </w:rPr>
        <w:t xml:space="preserve">, </w:t>
      </w:r>
      <w:r w:rsidRPr="008912DF">
        <w:rPr>
          <w:rFonts w:hint="cs"/>
          <w:rtl/>
        </w:rPr>
        <w:t xml:space="preserve">והא דאיתא בגמ' בזבחים </w:t>
      </w:r>
      <w:r w:rsidRPr="00D536A6">
        <w:rPr>
          <w:rStyle w:val="af6"/>
          <w:rFonts w:eastAsia="Guttman Hodes" w:hint="cs"/>
          <w:rtl/>
        </w:rPr>
        <w:t>(עט.)</w:t>
      </w:r>
      <w:r w:rsidRPr="008912DF">
        <w:rPr>
          <w:rFonts w:hint="cs"/>
          <w:rtl/>
        </w:rPr>
        <w:t xml:space="preserve"> דמדאו' מהני ביטול ברוב ונתינת טעם אינה מדאו', כתב </w:t>
      </w:r>
      <w:r w:rsidRPr="006A1E74">
        <w:rPr>
          <w:rStyle w:val="af8"/>
          <w:rFonts w:hint="cs"/>
          <w:rtl/>
        </w:rPr>
        <w:t>הר"ש בטבו"י</w:t>
      </w:r>
      <w:r w:rsidRPr="008912DF">
        <w:rPr>
          <w:rFonts w:hint="cs"/>
          <w:rtl/>
        </w:rPr>
        <w:t xml:space="preserve"> </w:t>
      </w:r>
      <w:r>
        <w:rPr>
          <w:rFonts w:hint="cs"/>
          <w:rtl/>
        </w:rPr>
        <w:t>ד</w:t>
      </w:r>
      <w:r w:rsidRPr="008912DF">
        <w:rPr>
          <w:rFonts w:hint="cs"/>
          <w:rtl/>
        </w:rPr>
        <w:t xml:space="preserve">היינו במקום </w:t>
      </w:r>
      <w:r>
        <w:rPr>
          <w:rFonts w:hint="cs"/>
          <w:rtl/>
        </w:rPr>
        <w:t xml:space="preserve">שהם </w:t>
      </w:r>
      <w:r w:rsidRPr="008912DF">
        <w:rPr>
          <w:rFonts w:hint="cs"/>
          <w:rtl/>
        </w:rPr>
        <w:t xml:space="preserve">מעורבים זה בזה, </w:t>
      </w:r>
      <w:r>
        <w:rPr>
          <w:rFonts w:hint="cs"/>
          <w:rtl/>
        </w:rPr>
        <w:t xml:space="preserve">ולכן חשיבי כלח בלח דמהני ביטול ברוב, אבל במקום </w:t>
      </w:r>
      <w:r w:rsidRPr="008912DF">
        <w:rPr>
          <w:rFonts w:hint="cs"/>
          <w:rtl/>
        </w:rPr>
        <w:t>שכ"א עומד בפנ"ע, כל שיש כזית בכדי אכילת פרס</w:t>
      </w:r>
      <w:r>
        <w:rPr>
          <w:rFonts w:hint="cs"/>
          <w:rtl/>
        </w:rPr>
        <w:t>,</w:t>
      </w:r>
      <w:r w:rsidRPr="008912DF">
        <w:rPr>
          <w:rFonts w:hint="cs"/>
          <w:rtl/>
        </w:rPr>
        <w:t xml:space="preserve"> מדאו'</w:t>
      </w:r>
      <w:r w:rsidR="00660C9C">
        <w:rPr>
          <w:rFonts w:hint="cs"/>
          <w:rtl/>
        </w:rPr>
        <w:t xml:space="preserve"> ו</w:t>
      </w:r>
      <w:r w:rsidRPr="008912DF">
        <w:rPr>
          <w:rFonts w:hint="cs"/>
          <w:rtl/>
        </w:rPr>
        <w:t>לא מהני ביטול.</w:t>
      </w:r>
    </w:p>
    <w:p w:rsidR="00D45705" w:rsidRDefault="00D45705" w:rsidP="00D45705">
      <w:pPr>
        <w:pStyle w:val="a2"/>
        <w:rPr>
          <w:rtl/>
        </w:rPr>
      </w:pPr>
      <w:bookmarkStart w:id="12099" w:name="_Toc23419152"/>
      <w:bookmarkStart w:id="12100" w:name="_Toc23499406"/>
      <w:bookmarkStart w:id="12101" w:name="_Toc23663812"/>
      <w:bookmarkStart w:id="12102" w:name="_Toc23672462"/>
      <w:bookmarkStart w:id="12103" w:name="_Toc23673026"/>
      <w:r>
        <w:rPr>
          <w:rFonts w:hint="cs"/>
          <w:rtl/>
        </w:rPr>
        <w:t>קושית הקרן אורה דבסוגיין משמע דאף חתיכה אחת משניים שאינה פחות מכא"פ מותרת</w:t>
      </w:r>
      <w:bookmarkEnd w:id="12099"/>
      <w:bookmarkEnd w:id="12100"/>
      <w:bookmarkEnd w:id="12101"/>
      <w:bookmarkEnd w:id="12102"/>
      <w:bookmarkEnd w:id="12103"/>
    </w:p>
    <w:p w:rsidR="00D45705" w:rsidRPr="00F13CCF" w:rsidRDefault="00D45705" w:rsidP="009F44AF">
      <w:pPr>
        <w:pStyle w:val="a"/>
        <w:rPr>
          <w:rStyle w:val="afa"/>
          <w:rtl/>
        </w:rPr>
      </w:pPr>
      <w:r>
        <w:rPr>
          <w:rFonts w:hint="cs"/>
          <w:rtl/>
        </w:rPr>
        <w:t xml:space="preserve">וכתב </w:t>
      </w:r>
      <w:r w:rsidRPr="00F13CCF">
        <w:rPr>
          <w:rStyle w:val="af8"/>
          <w:rFonts w:hint="cs"/>
          <w:rtl/>
        </w:rPr>
        <w:t>הקרן אורה</w:t>
      </w:r>
      <w:r>
        <w:rPr>
          <w:rFonts w:hint="cs"/>
          <w:rtl/>
        </w:rPr>
        <w:t xml:space="preserve"> </w:t>
      </w:r>
      <w:r w:rsidRPr="00F13CCF">
        <w:rPr>
          <w:rStyle w:val="af6"/>
          <w:rFonts w:eastAsia="Guttman Hodes" w:hint="cs"/>
          <w:rtl/>
        </w:rPr>
        <w:t>(נזיר לה: ד"ה ונבוא לביאור בתו"ד)</w:t>
      </w:r>
      <w:r>
        <w:rPr>
          <w:rFonts w:hint="cs"/>
          <w:rtl/>
        </w:rPr>
        <w:t xml:space="preserve"> דקצת קשה על </w:t>
      </w:r>
      <w:r w:rsidRPr="00F13CCF">
        <w:rPr>
          <w:rStyle w:val="af8"/>
          <w:rFonts w:hint="cs"/>
          <w:rtl/>
        </w:rPr>
        <w:t>הר"ש</w:t>
      </w:r>
      <w:r>
        <w:rPr>
          <w:rFonts w:hint="cs"/>
          <w:rtl/>
        </w:rPr>
        <w:t xml:space="preserve"> דהרי הגמ' בסוגיין מקשה גם מחתיכה בין החתיכות, ומשמע דאף חתיכה אחת שמעורבת בב' חתיכות מותר, </w:t>
      </w:r>
      <w:r w:rsidRPr="00F13CCF">
        <w:rPr>
          <w:rStyle w:val="afa"/>
          <w:rFonts w:hint="cs"/>
          <w:rtl/>
        </w:rPr>
        <w:t>[ולא משמע דהוא דוקא בפחות מכזית בכדי אכילת פרס]</w:t>
      </w:r>
      <w:r>
        <w:rPr>
          <w:rStyle w:val="afa"/>
          <w:rFonts w:hint="cs"/>
          <w:rtl/>
        </w:rPr>
        <w:t>,</w:t>
      </w:r>
      <w:r>
        <w:rPr>
          <w:rFonts w:hint="cs"/>
          <w:rtl/>
        </w:rPr>
        <w:t xml:space="preserve"> וע"ע במה שהקשה </w:t>
      </w:r>
      <w:r w:rsidRPr="002C37D9">
        <w:rPr>
          <w:rStyle w:val="af8"/>
          <w:rFonts w:hint="cs"/>
          <w:rtl/>
        </w:rPr>
        <w:t>ה</w:t>
      </w:r>
      <w:r w:rsidRPr="002C37D9">
        <w:rPr>
          <w:rStyle w:val="af8"/>
          <w:rtl/>
        </w:rPr>
        <w:t>חזו"א</w:t>
      </w:r>
      <w:r w:rsidRPr="002C37D9">
        <w:rPr>
          <w:rStyle w:val="af6"/>
          <w:rFonts w:eastAsia="Guttman Hodes"/>
          <w:rtl/>
        </w:rPr>
        <w:t xml:space="preserve"> </w:t>
      </w:r>
      <w:r w:rsidRPr="002C37D9">
        <w:rPr>
          <w:rStyle w:val="af6"/>
          <w:rFonts w:eastAsia="Guttman Hodes" w:hint="cs"/>
          <w:rtl/>
        </w:rPr>
        <w:t xml:space="preserve">(סי' </w:t>
      </w:r>
      <w:r w:rsidRPr="002C37D9">
        <w:rPr>
          <w:rStyle w:val="af6"/>
          <w:rFonts w:eastAsia="Guttman Hodes"/>
          <w:rtl/>
        </w:rPr>
        <w:t>כ</w:t>
      </w:r>
      <w:r w:rsidRPr="002C37D9">
        <w:rPr>
          <w:rStyle w:val="af6"/>
          <w:rFonts w:eastAsia="Guttman Hodes" w:hint="cs"/>
          <w:rtl/>
        </w:rPr>
        <w:t>"</w:t>
      </w:r>
      <w:r w:rsidRPr="002C37D9">
        <w:rPr>
          <w:rStyle w:val="af6"/>
          <w:rFonts w:eastAsia="Guttman Hodes"/>
          <w:rtl/>
        </w:rPr>
        <w:t xml:space="preserve">ד </w:t>
      </w:r>
      <w:r w:rsidRPr="002C37D9">
        <w:rPr>
          <w:rStyle w:val="af6"/>
          <w:rFonts w:eastAsia="Guttman Hodes" w:hint="cs"/>
          <w:rtl/>
        </w:rPr>
        <w:t>סק</w:t>
      </w:r>
      <w:r w:rsidRPr="002C37D9">
        <w:rPr>
          <w:rStyle w:val="af6"/>
          <w:rFonts w:eastAsia="Guttman Hodes"/>
          <w:rtl/>
        </w:rPr>
        <w:t>ט</w:t>
      </w:r>
      <w:r w:rsidRPr="002C37D9">
        <w:rPr>
          <w:rStyle w:val="af6"/>
          <w:rFonts w:eastAsia="Guttman Hodes" w:hint="cs"/>
          <w:rtl/>
        </w:rPr>
        <w:t>"</w:t>
      </w:r>
      <w:r w:rsidRPr="002C37D9">
        <w:rPr>
          <w:rStyle w:val="af6"/>
          <w:rFonts w:eastAsia="Guttman Hodes"/>
          <w:rtl/>
        </w:rPr>
        <w:t>ו</w:t>
      </w:r>
      <w:r w:rsidRPr="002C37D9">
        <w:rPr>
          <w:rStyle w:val="af6"/>
          <w:rFonts w:eastAsia="Guttman Hodes" w:hint="cs"/>
          <w:rtl/>
        </w:rPr>
        <w:t xml:space="preserve">) </w:t>
      </w:r>
      <w:r>
        <w:rPr>
          <w:rFonts w:hint="cs"/>
          <w:rtl/>
        </w:rPr>
        <w:t xml:space="preserve">על </w:t>
      </w:r>
      <w:r w:rsidRPr="002C37D9">
        <w:rPr>
          <w:rStyle w:val="af8"/>
          <w:rFonts w:hint="cs"/>
          <w:rtl/>
        </w:rPr>
        <w:t>הר"ש</w:t>
      </w:r>
      <w:r w:rsidRPr="00D45CD4">
        <w:rPr>
          <w:rFonts w:hint="cs"/>
          <w:rtl/>
        </w:rPr>
        <w:t>.</w:t>
      </w:r>
    </w:p>
    <w:p w:rsidR="00D45705" w:rsidRPr="00237D9A" w:rsidRDefault="00D45705" w:rsidP="00E669F8">
      <w:pPr>
        <w:pStyle w:val="afd"/>
        <w:rPr>
          <w:rtl/>
        </w:rPr>
      </w:pPr>
      <w:bookmarkStart w:id="12104" w:name="_Toc23499407"/>
      <w:bookmarkStart w:id="12105" w:name="_Toc23663813"/>
      <w:bookmarkStart w:id="12106" w:name="_Toc23672463"/>
      <w:bookmarkStart w:id="12107" w:name="_Toc23673027"/>
      <w:r>
        <w:rPr>
          <w:rFonts w:hint="cs"/>
          <w:rtl/>
        </w:rPr>
        <w:t>בביאור הראיה מסוגיין דיבש בטל ברוב</w:t>
      </w:r>
      <w:bookmarkEnd w:id="12104"/>
      <w:bookmarkEnd w:id="12105"/>
      <w:bookmarkEnd w:id="12106"/>
      <w:bookmarkEnd w:id="12107"/>
    </w:p>
    <w:p w:rsidR="00D45705" w:rsidRDefault="00D45705" w:rsidP="00D45705">
      <w:pPr>
        <w:pStyle w:val="1"/>
        <w:rPr>
          <w:rtl/>
        </w:rPr>
      </w:pPr>
      <w:bookmarkStart w:id="12108" w:name="_Toc23672464"/>
      <w:bookmarkStart w:id="12109" w:name="_Toc23673028"/>
      <w:bookmarkStart w:id="12110" w:name="_Toc23499408"/>
      <w:bookmarkStart w:id="12111" w:name="_Toc23663814"/>
      <w:r>
        <w:rPr>
          <w:rFonts w:hint="cs"/>
          <w:rtl/>
        </w:rPr>
        <w:lastRenderedPageBreak/>
        <w:t>דברי הראשונים דמבואר בסוגיין דביבש ביבש מהני ביטול ברוב</w:t>
      </w:r>
      <w:bookmarkEnd w:id="12108"/>
      <w:bookmarkEnd w:id="12109"/>
    </w:p>
    <w:p w:rsidR="00D45705" w:rsidRDefault="00D45705" w:rsidP="00D45705">
      <w:pPr>
        <w:pStyle w:val="a2"/>
        <w:rPr>
          <w:rtl/>
        </w:rPr>
      </w:pPr>
      <w:bookmarkStart w:id="12112" w:name="_Toc23672465"/>
      <w:bookmarkStart w:id="12113" w:name="_Toc23673029"/>
      <w:r>
        <w:rPr>
          <w:rFonts w:hint="cs"/>
          <w:rtl/>
        </w:rPr>
        <w:t>דברי הראשונים דמבואר בסוגיין דיבש ביבש במין במינו בטל בחד בתרי וא"צ ביטול בשישים</w:t>
      </w:r>
      <w:bookmarkEnd w:id="12112"/>
      <w:bookmarkEnd w:id="12113"/>
    </w:p>
    <w:p w:rsidR="00D45705" w:rsidRDefault="00D45705" w:rsidP="009F44AF">
      <w:pPr>
        <w:pStyle w:val="a"/>
        <w:rPr>
          <w:sz w:val="10"/>
          <w:szCs w:val="14"/>
          <w:rtl/>
        </w:rPr>
      </w:pPr>
      <w:r>
        <w:rPr>
          <w:rFonts w:hint="cs"/>
          <w:rtl/>
        </w:rPr>
        <w:t xml:space="preserve">כתבו </w:t>
      </w:r>
      <w:r w:rsidRPr="006A419C">
        <w:rPr>
          <w:rStyle w:val="af8"/>
          <w:rFonts w:hint="cs"/>
          <w:rtl/>
        </w:rPr>
        <w:t>התוס'</w:t>
      </w:r>
      <w:r>
        <w:rPr>
          <w:rFonts w:hint="cs"/>
          <w:rtl/>
        </w:rPr>
        <w:t xml:space="preserve"> </w:t>
      </w:r>
      <w:r w:rsidRPr="005C08EA">
        <w:rPr>
          <w:rStyle w:val="af6"/>
          <w:rFonts w:eastAsia="Guttman Hodes" w:hint="cs"/>
          <w:rtl/>
        </w:rPr>
        <w:t>(ד"ה בריה)</w:t>
      </w:r>
      <w:r w:rsidRPr="003D2A92">
        <w:rPr>
          <w:rStyle w:val="af8"/>
          <w:rFonts w:hint="cs"/>
          <w:rtl/>
        </w:rPr>
        <w:t xml:space="preserve"> </w:t>
      </w:r>
      <w:r>
        <w:rPr>
          <w:rStyle w:val="af8"/>
          <w:rFonts w:hint="cs"/>
          <w:rtl/>
        </w:rPr>
        <w:t>ו</w:t>
      </w:r>
      <w:r w:rsidRPr="006B4419">
        <w:rPr>
          <w:rStyle w:val="af8"/>
          <w:rFonts w:hint="cs"/>
          <w:rtl/>
        </w:rPr>
        <w:t>הרמב"ן לעיל</w:t>
      </w:r>
      <w:r w:rsidRPr="006B4419">
        <w:rPr>
          <w:rFonts w:hint="cs"/>
          <w:rtl/>
        </w:rPr>
        <w:t xml:space="preserve"> </w:t>
      </w:r>
      <w:r w:rsidRPr="006B4419">
        <w:rPr>
          <w:rStyle w:val="af6"/>
          <w:rFonts w:eastAsia="Guttman Hodes" w:hint="cs"/>
          <w:rtl/>
        </w:rPr>
        <w:t>(צז: ד"ה אלא שמצאתי)</w:t>
      </w:r>
      <w:r>
        <w:rPr>
          <w:rStyle w:val="af6"/>
          <w:rFonts w:eastAsia="Guttman Hodes" w:hint="cs"/>
          <w:rtl/>
        </w:rPr>
        <w:t xml:space="preserve"> </w:t>
      </w:r>
      <w:r w:rsidRPr="00652671">
        <w:rPr>
          <w:rStyle w:val="af8"/>
          <w:rFonts w:hint="cs"/>
          <w:rtl/>
        </w:rPr>
        <w:t>וה</w:t>
      </w:r>
      <w:r w:rsidRPr="00C43C4E">
        <w:rPr>
          <w:rStyle w:val="af8"/>
          <w:rFonts w:hint="cs"/>
          <w:rtl/>
        </w:rPr>
        <w:t>רשב"א לעיל</w:t>
      </w:r>
      <w:r>
        <w:rPr>
          <w:rFonts w:hint="cs"/>
          <w:rtl/>
        </w:rPr>
        <w:t xml:space="preserve"> </w:t>
      </w:r>
      <w:r w:rsidRPr="00C0054B">
        <w:rPr>
          <w:rStyle w:val="af6"/>
          <w:rFonts w:eastAsia="Guttman Hodes" w:hint="cs"/>
          <w:rtl/>
        </w:rPr>
        <w:t xml:space="preserve">(צז: ד"ה א"ל) </w:t>
      </w:r>
      <w:r>
        <w:rPr>
          <w:rStyle w:val="af8"/>
          <w:rFonts w:hint="cs"/>
          <w:rtl/>
        </w:rPr>
        <w:t>ו</w:t>
      </w:r>
      <w:r w:rsidRPr="001E5B44">
        <w:rPr>
          <w:rStyle w:val="af8"/>
          <w:rFonts w:hint="cs"/>
          <w:rtl/>
        </w:rPr>
        <w:t>בתוה"ב</w:t>
      </w:r>
      <w:r>
        <w:rPr>
          <w:rFonts w:hint="cs"/>
          <w:rtl/>
        </w:rPr>
        <w:t xml:space="preserve"> </w:t>
      </w:r>
      <w:r w:rsidRPr="00927358">
        <w:rPr>
          <w:rStyle w:val="af6"/>
          <w:rFonts w:eastAsia="Guttman Hodes" w:hint="cs"/>
          <w:rtl/>
        </w:rPr>
        <w:t>(ב"ד ש"א יז. מדה"ס)</w:t>
      </w:r>
      <w:r>
        <w:rPr>
          <w:rFonts w:hint="cs"/>
          <w:rtl/>
        </w:rPr>
        <w:t xml:space="preserve"> </w:t>
      </w:r>
      <w:r w:rsidRPr="00D57594">
        <w:rPr>
          <w:rStyle w:val="af8"/>
          <w:rFonts w:hint="cs"/>
          <w:rtl/>
        </w:rPr>
        <w:t xml:space="preserve">והרא"ש </w:t>
      </w:r>
      <w:r w:rsidRPr="00D57594">
        <w:rPr>
          <w:rStyle w:val="af6"/>
          <w:rFonts w:eastAsia="Guttman Hodes" w:hint="cs"/>
          <w:rtl/>
        </w:rPr>
        <w:t>(סי' ל"ז)</w:t>
      </w:r>
      <w:r w:rsidRPr="00D57594">
        <w:rPr>
          <w:rFonts w:hint="cs"/>
          <w:rtl/>
        </w:rPr>
        <w:t xml:space="preserve"> </w:t>
      </w:r>
      <w:r>
        <w:rPr>
          <w:rStyle w:val="af8"/>
          <w:rFonts w:hint="cs"/>
          <w:rtl/>
        </w:rPr>
        <w:t>ו</w:t>
      </w:r>
      <w:r w:rsidRPr="00925136">
        <w:rPr>
          <w:rStyle w:val="af8"/>
          <w:rFonts w:hint="cs"/>
          <w:rtl/>
        </w:rPr>
        <w:t xml:space="preserve">הר"ן בחי' לעיל </w:t>
      </w:r>
      <w:r w:rsidRPr="00925136">
        <w:rPr>
          <w:rStyle w:val="af6"/>
          <w:rFonts w:eastAsia="Guttman Hodes" w:hint="cs"/>
          <w:rtl/>
        </w:rPr>
        <w:t>(צז: ד"ה והא)</w:t>
      </w:r>
      <w:r>
        <w:rPr>
          <w:rFonts w:hint="cs"/>
          <w:rtl/>
        </w:rPr>
        <w:t xml:space="preserve"> דמקושית הגמ' דגיד וחתיכה יתבטלו ברוב, מבואר דבתערובת יבש ביבש במין במינו, מהני ביטול בחד בתרי, ואף מדרבנן א"צ ביטול בשישים.</w:t>
      </w:r>
    </w:p>
    <w:p w:rsidR="00D45705" w:rsidRDefault="00D45705" w:rsidP="009568A2">
      <w:pPr>
        <w:pStyle w:val="1"/>
        <w:rPr>
          <w:rtl/>
        </w:rPr>
      </w:pPr>
      <w:bookmarkStart w:id="12114" w:name="_Toc23672466"/>
      <w:bookmarkStart w:id="12115" w:name="_Toc23673030"/>
      <w:r>
        <w:rPr>
          <w:rFonts w:hint="cs"/>
          <w:rtl/>
        </w:rPr>
        <w:t>דברי הרמב"ן דקושית הגמ' דרק הרוטב בנו"ט והגיד</w:t>
      </w:r>
      <w:bookmarkEnd w:id="12110"/>
      <w:bookmarkEnd w:id="12111"/>
      <w:bookmarkEnd w:id="12114"/>
      <w:bookmarkEnd w:id="12115"/>
      <w:r>
        <w:rPr>
          <w:rFonts w:hint="cs"/>
          <w:rtl/>
        </w:rPr>
        <w:t xml:space="preserve"> </w:t>
      </w:r>
      <w:r w:rsidR="009568A2">
        <w:rPr>
          <w:rFonts w:hint="cs"/>
          <w:rtl/>
        </w:rPr>
        <w:t>ברוב</w:t>
      </w:r>
    </w:p>
    <w:p w:rsidR="00D45705" w:rsidRDefault="00D45705" w:rsidP="00D45705">
      <w:pPr>
        <w:pStyle w:val="a2"/>
        <w:rPr>
          <w:rtl/>
        </w:rPr>
      </w:pPr>
      <w:bookmarkStart w:id="12116" w:name="_Toc23499409"/>
      <w:bookmarkStart w:id="12117" w:name="_Toc23663815"/>
      <w:bookmarkStart w:id="12118" w:name="_Toc23672467"/>
      <w:bookmarkStart w:id="12119" w:name="_Toc23673031"/>
      <w:r>
        <w:rPr>
          <w:rFonts w:hint="cs"/>
          <w:rtl/>
        </w:rPr>
        <w:t>דברי הרמב"ן בשם תוס' דקושית הגמ' דרק לרוטב צריך שישים אך לחתיכות סגי בביטול ברוב</w:t>
      </w:r>
      <w:bookmarkEnd w:id="12116"/>
      <w:bookmarkEnd w:id="12117"/>
      <w:bookmarkEnd w:id="12118"/>
      <w:bookmarkEnd w:id="12119"/>
    </w:p>
    <w:p w:rsidR="00D45705" w:rsidRDefault="00D45705" w:rsidP="009F44AF">
      <w:pPr>
        <w:pStyle w:val="a"/>
        <w:rPr>
          <w:rtl/>
        </w:rPr>
      </w:pPr>
      <w:r>
        <w:rPr>
          <w:rFonts w:hint="cs"/>
          <w:rtl/>
        </w:rPr>
        <w:t>ו</w:t>
      </w:r>
      <w:r w:rsidRPr="006B4419">
        <w:rPr>
          <w:rFonts w:hint="cs"/>
          <w:rtl/>
        </w:rPr>
        <w:t xml:space="preserve">כתב </w:t>
      </w:r>
      <w:r w:rsidRPr="006B4419">
        <w:rPr>
          <w:rStyle w:val="af8"/>
          <w:rFonts w:hint="cs"/>
          <w:rtl/>
        </w:rPr>
        <w:t>הרמב"ן לעיל</w:t>
      </w:r>
      <w:r w:rsidRPr="006B4419">
        <w:rPr>
          <w:rFonts w:hint="cs"/>
          <w:rtl/>
        </w:rPr>
        <w:t xml:space="preserve"> </w:t>
      </w:r>
      <w:r w:rsidRPr="006B4419">
        <w:rPr>
          <w:rStyle w:val="af6"/>
          <w:rFonts w:eastAsia="Guttman Hodes" w:hint="cs"/>
          <w:rtl/>
        </w:rPr>
        <w:t xml:space="preserve">(צז: ד"ה אלא שמצאתי) </w:t>
      </w:r>
      <w:r w:rsidRPr="006B4419">
        <w:rPr>
          <w:rFonts w:hint="cs"/>
          <w:rtl/>
        </w:rPr>
        <w:t xml:space="preserve">בשם </w:t>
      </w:r>
      <w:r w:rsidRPr="006B4419">
        <w:rPr>
          <w:rStyle w:val="af8"/>
          <w:rFonts w:hint="cs"/>
          <w:rtl/>
        </w:rPr>
        <w:t>התוס'</w:t>
      </w:r>
      <w:r w:rsidRPr="006B4419">
        <w:rPr>
          <w:rFonts w:hint="cs"/>
          <w:rtl/>
        </w:rPr>
        <w:t xml:space="preserve"> </w:t>
      </w:r>
      <w:r>
        <w:rPr>
          <w:rFonts w:hint="cs"/>
          <w:rtl/>
        </w:rPr>
        <w:t>דביבש ביבש מהני ביטול בחד בתרי, ו</w:t>
      </w:r>
      <w:r w:rsidRPr="006B4419">
        <w:rPr>
          <w:rFonts w:hint="cs"/>
          <w:rtl/>
        </w:rPr>
        <w:t>אם בישל את החתיכות, צריך שישים בחתיכות וברוטב כנגד החתיכה של האיסור</w:t>
      </w:r>
      <w:r>
        <w:rPr>
          <w:rFonts w:hint="cs"/>
          <w:rtl/>
        </w:rPr>
        <w:t xml:space="preserve"> </w:t>
      </w:r>
      <w:r w:rsidRPr="006B4419">
        <w:rPr>
          <w:rFonts w:hint="cs"/>
          <w:rtl/>
        </w:rPr>
        <w:t>לבטלה, כיון שהרוטב שיוצא ממנה נבלע בחתיכות של ההיתר, ונעשה איסור בלוע שצריך בו שישים</w:t>
      </w:r>
      <w:r>
        <w:rPr>
          <w:rFonts w:hint="cs"/>
          <w:rtl/>
        </w:rPr>
        <w:t>, וכן מבואר בסוגיין,</w:t>
      </w:r>
      <w:r w:rsidRPr="006B4419">
        <w:rPr>
          <w:rFonts w:hint="cs"/>
          <w:rtl/>
        </w:rPr>
        <w:t xml:space="preserve"> דהא במתני' לעיל </w:t>
      </w:r>
      <w:r w:rsidRPr="006B4419">
        <w:rPr>
          <w:rStyle w:val="af6"/>
          <w:rFonts w:eastAsia="Guttman Hodes" w:hint="cs"/>
          <w:rtl/>
        </w:rPr>
        <w:t>(צו:)</w:t>
      </w:r>
      <w:r w:rsidRPr="006B4419">
        <w:rPr>
          <w:rFonts w:hint="cs"/>
          <w:rtl/>
        </w:rPr>
        <w:t xml:space="preserve"> תנן </w:t>
      </w:r>
      <w:r>
        <w:rPr>
          <w:rFonts w:hint="cs"/>
          <w:rtl/>
        </w:rPr>
        <w:t>ד</w:t>
      </w:r>
      <w:r w:rsidRPr="006B4419">
        <w:rPr>
          <w:rFonts w:hint="cs"/>
          <w:rtl/>
        </w:rPr>
        <w:t>חתיכה שנתבשלה עם החתיכות, דשיעורה בנותן טעם,</w:t>
      </w:r>
      <w:r>
        <w:rPr>
          <w:rFonts w:hint="cs"/>
          <w:rtl/>
        </w:rPr>
        <w:t xml:space="preserve"> </w:t>
      </w:r>
      <w:r w:rsidRPr="006B4419">
        <w:rPr>
          <w:rFonts w:hint="cs"/>
          <w:rtl/>
        </w:rPr>
        <w:t xml:space="preserve">ואפ"ה מקשה הגמ' דיועיל ביטול ברוב, </w:t>
      </w:r>
      <w:r>
        <w:rPr>
          <w:rFonts w:hint="cs"/>
          <w:rtl/>
        </w:rPr>
        <w:t>ו</w:t>
      </w:r>
      <w:r w:rsidRPr="006B4419">
        <w:rPr>
          <w:rFonts w:hint="cs"/>
          <w:rtl/>
        </w:rPr>
        <w:t xml:space="preserve">ביאר </w:t>
      </w:r>
      <w:r w:rsidRPr="006B4419">
        <w:rPr>
          <w:rStyle w:val="af8"/>
          <w:rFonts w:hint="cs"/>
          <w:rtl/>
        </w:rPr>
        <w:t>הרמב"ן</w:t>
      </w:r>
      <w:r w:rsidRPr="006B4419">
        <w:rPr>
          <w:rFonts w:hint="cs"/>
          <w:rtl/>
        </w:rPr>
        <w:t xml:space="preserve"> דכוונת הגמ' להקשות דאמאי תנן </w:t>
      </w:r>
      <w:r w:rsidR="00660C9C">
        <w:rPr>
          <w:rFonts w:hint="cs"/>
          <w:rtl/>
        </w:rPr>
        <w:t>שכל החתיכות אסורות,</w:t>
      </w:r>
      <w:r w:rsidRPr="006B4419">
        <w:rPr>
          <w:rFonts w:hint="cs"/>
          <w:rtl/>
        </w:rPr>
        <w:t xml:space="preserve"> והא ה</w:t>
      </w:r>
      <w:r w:rsidR="009568A2">
        <w:rPr>
          <w:rFonts w:hint="cs"/>
          <w:rtl/>
        </w:rPr>
        <w:t>חתיכה</w:t>
      </w:r>
      <w:r w:rsidRPr="006B4419">
        <w:rPr>
          <w:rFonts w:hint="cs"/>
          <w:rtl/>
        </w:rPr>
        <w:t xml:space="preserve"> עצמה בטלה ברוב דחד בתרי בטיל, ואעפ"י שצריך שישים לבטל את הרוטב, זהו מפורש בהמשך המשנה דהרוטב בנותן טעם.</w:t>
      </w:r>
    </w:p>
    <w:p w:rsidR="00D45705" w:rsidRPr="00E21BAA" w:rsidRDefault="00D45705" w:rsidP="00D45705">
      <w:pPr>
        <w:pStyle w:val="a2"/>
        <w:rPr>
          <w:rtl/>
        </w:rPr>
      </w:pPr>
      <w:bookmarkStart w:id="12120" w:name="_Toc23499410"/>
      <w:bookmarkStart w:id="12121" w:name="_Toc23663816"/>
      <w:bookmarkStart w:id="12122" w:name="_Toc23672468"/>
      <w:bookmarkStart w:id="12123" w:name="_Toc23673032"/>
      <w:r>
        <w:rPr>
          <w:rFonts w:hint="cs"/>
          <w:rtl/>
        </w:rPr>
        <w:t>דברי הרשב"א דבחתיכה סגי ברוב דרק ברוטב שהוא לח תנן שישים</w:t>
      </w:r>
      <w:bookmarkEnd w:id="12120"/>
      <w:bookmarkEnd w:id="12121"/>
      <w:bookmarkEnd w:id="12122"/>
      <w:bookmarkEnd w:id="12123"/>
      <w:r>
        <w:rPr>
          <w:rFonts w:hint="cs"/>
          <w:rtl/>
        </w:rPr>
        <w:t xml:space="preserve"> </w:t>
      </w:r>
    </w:p>
    <w:p w:rsidR="00D45705" w:rsidRDefault="00D45705" w:rsidP="009F44AF">
      <w:pPr>
        <w:pStyle w:val="a"/>
        <w:rPr>
          <w:rtl/>
        </w:rPr>
      </w:pPr>
      <w:bookmarkStart w:id="12124" w:name="_Ref23497768"/>
      <w:r>
        <w:rPr>
          <w:rFonts w:hint="cs"/>
          <w:rtl/>
        </w:rPr>
        <w:t xml:space="preserve">וכ"כ </w:t>
      </w:r>
      <w:r w:rsidRPr="0021541D">
        <w:rPr>
          <w:rStyle w:val="af8"/>
          <w:rFonts w:hint="cs"/>
          <w:rtl/>
        </w:rPr>
        <w:t xml:space="preserve">הרשב"א </w:t>
      </w:r>
      <w:r w:rsidRPr="00C43C4E">
        <w:rPr>
          <w:rStyle w:val="af8"/>
          <w:rFonts w:hint="cs"/>
          <w:rtl/>
        </w:rPr>
        <w:t>לעיל</w:t>
      </w:r>
      <w:r>
        <w:rPr>
          <w:rFonts w:hint="cs"/>
          <w:rtl/>
        </w:rPr>
        <w:t xml:space="preserve"> </w:t>
      </w:r>
      <w:r w:rsidRPr="00EF1B9E">
        <w:rPr>
          <w:rStyle w:val="af6"/>
          <w:rFonts w:eastAsia="Guttman Hodes" w:hint="cs"/>
          <w:rtl/>
        </w:rPr>
        <w:t xml:space="preserve">(צז: ד"ה א"ל) </w:t>
      </w:r>
      <w:r>
        <w:rPr>
          <w:rStyle w:val="af8"/>
          <w:rFonts w:hint="cs"/>
          <w:rtl/>
        </w:rPr>
        <w:t>ו</w:t>
      </w:r>
      <w:r w:rsidRPr="00925136">
        <w:rPr>
          <w:rStyle w:val="af8"/>
          <w:rFonts w:hint="cs"/>
          <w:rtl/>
        </w:rPr>
        <w:t xml:space="preserve">הר"ן בחי' לעיל </w:t>
      </w:r>
      <w:r w:rsidRPr="00925136">
        <w:rPr>
          <w:rStyle w:val="af6"/>
          <w:rFonts w:eastAsia="Guttman Hodes" w:hint="cs"/>
          <w:rtl/>
        </w:rPr>
        <w:t>(צז: ד"ה והא)</w:t>
      </w:r>
      <w:r>
        <w:rPr>
          <w:rFonts w:hint="cs"/>
          <w:rtl/>
        </w:rPr>
        <w:t xml:space="preserve"> בשם </w:t>
      </w:r>
      <w:r w:rsidRPr="0021541D">
        <w:rPr>
          <w:rStyle w:val="af8"/>
          <w:rFonts w:hint="cs"/>
          <w:rtl/>
        </w:rPr>
        <w:t>התוס'</w:t>
      </w:r>
      <w:r>
        <w:rPr>
          <w:rFonts w:hint="cs"/>
          <w:rtl/>
        </w:rPr>
        <w:t xml:space="preserve"> דמבואר בסוגיין דאף אם בישל את החתיכות יחד מהני ביטול ברוב אף מדרבנן, וא"צ שישים, ורק ברוטב שהוא לח שיעורו הוא בשישים, דהא רק ברוטב תנן במתני' לעיל </w:t>
      </w:r>
      <w:r w:rsidRPr="00227059">
        <w:rPr>
          <w:rStyle w:val="af6"/>
          <w:rFonts w:eastAsia="Guttman Hodes" w:hint="cs"/>
          <w:rtl/>
        </w:rPr>
        <w:t>(צו:)</w:t>
      </w:r>
      <w:r>
        <w:rPr>
          <w:rFonts w:hint="cs"/>
          <w:rtl/>
        </w:rPr>
        <w:t xml:space="preserve"> דהוא בנותן טעם.</w:t>
      </w:r>
    </w:p>
    <w:p w:rsidR="00D45705" w:rsidRDefault="00D45705" w:rsidP="00D45705">
      <w:pPr>
        <w:pStyle w:val="1"/>
        <w:rPr>
          <w:rtl/>
        </w:rPr>
      </w:pPr>
      <w:bookmarkStart w:id="12125" w:name="_Toc23499411"/>
      <w:bookmarkStart w:id="12126" w:name="_Toc23663817"/>
      <w:bookmarkStart w:id="12127" w:name="_Toc23672469"/>
      <w:bookmarkStart w:id="12128" w:name="_Toc23673033"/>
      <w:bookmarkEnd w:id="12124"/>
      <w:r>
        <w:rPr>
          <w:rFonts w:hint="cs"/>
          <w:rtl/>
        </w:rPr>
        <w:t>קושית הרא"ה והריטב"א דס"ל לתנא דמתני' דיש טעם בגידין</w:t>
      </w:r>
      <w:bookmarkEnd w:id="12125"/>
      <w:bookmarkEnd w:id="12126"/>
      <w:bookmarkEnd w:id="12127"/>
      <w:bookmarkEnd w:id="12128"/>
    </w:p>
    <w:p w:rsidR="00D45705" w:rsidRDefault="00D45705" w:rsidP="00D45705">
      <w:pPr>
        <w:pStyle w:val="a2"/>
      </w:pPr>
      <w:bookmarkStart w:id="12129" w:name="_Toc23499412"/>
      <w:bookmarkStart w:id="12130" w:name="_Toc23663818"/>
      <w:bookmarkStart w:id="12131" w:name="_Toc23672470"/>
      <w:bookmarkStart w:id="12132" w:name="_Toc23673034"/>
      <w:r>
        <w:rPr>
          <w:rFonts w:hint="cs"/>
          <w:rtl/>
        </w:rPr>
        <w:t>קושית הרא"ה והריטב"א דלתנא דמתני' יש טעם בגיד וע"י הבישול חשיב לח ולא יבש</w:t>
      </w:r>
      <w:bookmarkEnd w:id="12129"/>
      <w:bookmarkEnd w:id="12130"/>
      <w:bookmarkEnd w:id="12131"/>
      <w:bookmarkEnd w:id="12132"/>
    </w:p>
    <w:p w:rsidR="00D45705" w:rsidRDefault="00D45705" w:rsidP="009F44AF">
      <w:pPr>
        <w:pStyle w:val="a"/>
        <w:rPr>
          <w:sz w:val="10"/>
          <w:szCs w:val="14"/>
          <w:rtl/>
        </w:rPr>
      </w:pPr>
      <w:r>
        <w:rPr>
          <w:rFonts w:hint="cs"/>
          <w:rtl/>
        </w:rPr>
        <w:t xml:space="preserve">וכתבו </w:t>
      </w:r>
      <w:r w:rsidRPr="006B7C97">
        <w:rPr>
          <w:rStyle w:val="af8"/>
          <w:rFonts w:hint="cs"/>
          <w:rtl/>
        </w:rPr>
        <w:t>הרא"ה בבד"ה</w:t>
      </w:r>
      <w:r>
        <w:rPr>
          <w:rFonts w:hint="cs"/>
          <w:rtl/>
        </w:rPr>
        <w:t xml:space="preserve"> </w:t>
      </w:r>
      <w:r w:rsidRPr="006B7C97">
        <w:rPr>
          <w:rStyle w:val="af6"/>
          <w:rFonts w:eastAsia="Guttman Hodes" w:hint="cs"/>
          <w:rtl/>
        </w:rPr>
        <w:t>(ב"ד ש"א יז. מדה"ס ד"ה עוד כתב שיש)</w:t>
      </w:r>
      <w:r>
        <w:rPr>
          <w:rFonts w:hint="cs"/>
          <w:rtl/>
        </w:rPr>
        <w:t xml:space="preserve"> </w:t>
      </w:r>
      <w:r w:rsidRPr="006B7C97">
        <w:rPr>
          <w:rStyle w:val="af8"/>
          <w:rFonts w:hint="cs"/>
          <w:rtl/>
        </w:rPr>
        <w:t>ובחי'</w:t>
      </w:r>
      <w:r>
        <w:rPr>
          <w:rFonts w:hint="cs"/>
          <w:rtl/>
        </w:rPr>
        <w:t xml:space="preserve"> </w:t>
      </w:r>
      <w:r w:rsidRPr="006B7C97">
        <w:rPr>
          <w:rStyle w:val="af6"/>
          <w:rFonts w:eastAsia="Guttman Hodes" w:hint="cs"/>
          <w:rtl/>
        </w:rPr>
        <w:t>(ק. ד"ה מתני' גיד, ד"ה מתני' וכן)</w:t>
      </w:r>
      <w:r>
        <w:rPr>
          <w:rFonts w:hint="cs"/>
          <w:rtl/>
        </w:rPr>
        <w:t xml:space="preserve"> </w:t>
      </w:r>
      <w:r w:rsidRPr="006B7C97">
        <w:rPr>
          <w:rStyle w:val="af8"/>
          <w:rFonts w:hint="cs"/>
          <w:rtl/>
        </w:rPr>
        <w:t>והריטב"א</w:t>
      </w:r>
      <w:r>
        <w:rPr>
          <w:rFonts w:hint="cs"/>
          <w:rtl/>
        </w:rPr>
        <w:t xml:space="preserve"> </w:t>
      </w:r>
      <w:r w:rsidRPr="006B7C97">
        <w:rPr>
          <w:rStyle w:val="af6"/>
          <w:rFonts w:eastAsia="Guttman Hodes" w:hint="cs"/>
          <w:rtl/>
        </w:rPr>
        <w:t>(ד"ה וליבטול)</w:t>
      </w:r>
      <w:r>
        <w:rPr>
          <w:rFonts w:hint="cs"/>
          <w:rtl/>
        </w:rPr>
        <w:t xml:space="preserve"> דקושית הגמ' דגיד בין הגידים יתבטל ברוב, כדין יבש ביבש דמהני ביטול</w:t>
      </w:r>
      <w:r w:rsidRPr="00404D52">
        <w:rPr>
          <w:rFonts w:hint="cs"/>
          <w:rtl/>
        </w:rPr>
        <w:t xml:space="preserve"> </w:t>
      </w:r>
      <w:r>
        <w:rPr>
          <w:rFonts w:hint="cs"/>
          <w:rtl/>
        </w:rPr>
        <w:t xml:space="preserve">דחד בתרי אף מדרבנן, אך הקשו </w:t>
      </w:r>
      <w:r w:rsidRPr="006B7C97">
        <w:rPr>
          <w:rStyle w:val="af8"/>
          <w:rFonts w:hint="cs"/>
          <w:rtl/>
        </w:rPr>
        <w:t>הרא"ה בבד"ה והריטב"א</w:t>
      </w:r>
      <w:r>
        <w:rPr>
          <w:rFonts w:hint="cs"/>
          <w:rtl/>
        </w:rPr>
        <w:t xml:space="preserve"> </w:t>
      </w:r>
      <w:r w:rsidR="00244401">
        <w:rPr>
          <w:rFonts w:hint="cs"/>
          <w:rtl/>
        </w:rPr>
        <w:t>דהרי כ</w:t>
      </w:r>
      <w:r>
        <w:rPr>
          <w:rFonts w:hint="cs"/>
          <w:rtl/>
        </w:rPr>
        <w:t xml:space="preserve">ל הגידים התבשלו יחד והרי ס"ל לתנא דמתני' לעיל </w:t>
      </w:r>
      <w:r w:rsidRPr="006B7C97">
        <w:rPr>
          <w:rStyle w:val="af6"/>
          <w:rFonts w:eastAsia="Guttman Hodes" w:hint="cs"/>
          <w:rtl/>
        </w:rPr>
        <w:t>(צו:)</w:t>
      </w:r>
      <w:r>
        <w:rPr>
          <w:rFonts w:hint="cs"/>
          <w:rtl/>
        </w:rPr>
        <w:t xml:space="preserve"> דיש בגידים בנותן טעם, וא"כ ע"י הבי</w:t>
      </w:r>
      <w:r w:rsidR="00244401">
        <w:rPr>
          <w:rFonts w:hint="cs"/>
          <w:rtl/>
        </w:rPr>
        <w:t>ש</w:t>
      </w:r>
      <w:r>
        <w:rPr>
          <w:rFonts w:hint="cs"/>
          <w:rtl/>
        </w:rPr>
        <w:t>ול לא חשיב כיבש ביבש אלא כלח בלח.</w:t>
      </w:r>
    </w:p>
    <w:p w:rsidR="00D45705" w:rsidRDefault="00D45705" w:rsidP="00D45705">
      <w:pPr>
        <w:pStyle w:val="1"/>
        <w:rPr>
          <w:rtl/>
        </w:rPr>
      </w:pPr>
      <w:bookmarkStart w:id="12133" w:name="_Toc23499413"/>
      <w:bookmarkStart w:id="12134" w:name="_Toc23663819"/>
      <w:bookmarkStart w:id="12135" w:name="_Toc23672471"/>
      <w:bookmarkStart w:id="12136" w:name="_Toc23673035"/>
      <w:r>
        <w:rPr>
          <w:rFonts w:hint="cs"/>
          <w:rtl/>
        </w:rPr>
        <w:t>דברי הרא"ה והר"ן דמקשה הגמ' אמאי הגיד אסור כשאין טעם</w:t>
      </w:r>
      <w:bookmarkEnd w:id="12133"/>
      <w:bookmarkEnd w:id="12134"/>
      <w:bookmarkEnd w:id="12135"/>
      <w:bookmarkEnd w:id="12136"/>
    </w:p>
    <w:p w:rsidR="00D45705" w:rsidRPr="003C35BD" w:rsidRDefault="00D45705" w:rsidP="00D45705">
      <w:pPr>
        <w:pStyle w:val="a2"/>
      </w:pPr>
      <w:bookmarkStart w:id="12137" w:name="_Toc23499414"/>
      <w:bookmarkStart w:id="12138" w:name="_Toc23663820"/>
      <w:bookmarkStart w:id="12139" w:name="_Toc23672472"/>
      <w:bookmarkStart w:id="12140" w:name="_Toc23673036"/>
      <w:r>
        <w:rPr>
          <w:rFonts w:hint="cs"/>
          <w:rtl/>
        </w:rPr>
        <w:t>ביאור הרא"ה והריטב"א דקושית הגמ' היא מדיוק לשון מתני' דרק ברוטב תנן טעם ולא בגיד</w:t>
      </w:r>
      <w:bookmarkEnd w:id="12137"/>
      <w:bookmarkEnd w:id="12138"/>
      <w:bookmarkEnd w:id="12139"/>
      <w:bookmarkEnd w:id="12140"/>
    </w:p>
    <w:p w:rsidR="00D45705" w:rsidRDefault="00D45705" w:rsidP="009F44AF">
      <w:pPr>
        <w:pStyle w:val="a"/>
        <w:rPr>
          <w:rStyle w:val="afa"/>
          <w:rtl/>
        </w:rPr>
      </w:pPr>
      <w:r>
        <w:rPr>
          <w:rFonts w:hint="cs"/>
          <w:rtl/>
        </w:rPr>
        <w:t xml:space="preserve">אלא ביארו </w:t>
      </w:r>
      <w:r w:rsidRPr="006B7C97">
        <w:rPr>
          <w:rStyle w:val="af8"/>
          <w:rFonts w:hint="cs"/>
          <w:rtl/>
        </w:rPr>
        <w:t>הרא"ה בבד"ה</w:t>
      </w:r>
      <w:r>
        <w:rPr>
          <w:rFonts w:hint="cs"/>
          <w:rtl/>
        </w:rPr>
        <w:t xml:space="preserve"> </w:t>
      </w:r>
      <w:r w:rsidRPr="006B7C97">
        <w:rPr>
          <w:rStyle w:val="af8"/>
          <w:rFonts w:hint="cs"/>
          <w:rtl/>
        </w:rPr>
        <w:t>ובחי' והריטב"א</w:t>
      </w:r>
      <w:r>
        <w:rPr>
          <w:rFonts w:hint="cs"/>
          <w:rtl/>
        </w:rPr>
        <w:t xml:space="preserve"> דהגמ' דייקה כן מלשון המשנה, דרק ברוטב תני שהוא בנותן טעם, אבל בגיד תני רק דכולם אסורין, ומשמע דאף במקום שאין טעם כולם אסורין, והוסיף </w:t>
      </w:r>
      <w:r w:rsidRPr="006B7C97">
        <w:rPr>
          <w:rStyle w:val="af8"/>
          <w:rFonts w:hint="cs"/>
          <w:rtl/>
        </w:rPr>
        <w:t>הרא"ה</w:t>
      </w:r>
      <w:r>
        <w:rPr>
          <w:rFonts w:hint="cs"/>
          <w:rtl/>
        </w:rPr>
        <w:t xml:space="preserve"> דכן בחתיכות משמע דכולם אסורות, אף במקום שאין נתינת טעם, דהיינו ביבש ביבש, ולכן מקשה הגמ' דאמאי לא מהני ביטול </w:t>
      </w:r>
      <w:r w:rsidRPr="00120D13">
        <w:rPr>
          <w:rFonts w:hint="cs"/>
          <w:rtl/>
        </w:rPr>
        <w:t>ברוב</w:t>
      </w:r>
      <w:r>
        <w:rPr>
          <w:rFonts w:hint="cs"/>
          <w:rtl/>
        </w:rPr>
        <w:t>.</w:t>
      </w:r>
      <w:r w:rsidRPr="00120D13">
        <w:rPr>
          <w:rFonts w:hint="cs"/>
          <w:rtl/>
        </w:rPr>
        <w:t xml:space="preserve"> </w:t>
      </w:r>
      <w:r w:rsidRPr="003C35BD">
        <w:rPr>
          <w:rStyle w:val="afa"/>
          <w:rFonts w:hint="cs"/>
          <w:rtl/>
        </w:rPr>
        <w:t xml:space="preserve">[ועיי"ש </w:t>
      </w:r>
      <w:r w:rsidRPr="006B7C97">
        <w:rPr>
          <w:rStyle w:val="affa"/>
          <w:rFonts w:hint="cs"/>
          <w:rtl/>
        </w:rPr>
        <w:t>ברא"ה בבד"ה</w:t>
      </w:r>
      <w:r w:rsidRPr="003C35BD">
        <w:rPr>
          <w:rStyle w:val="afa"/>
          <w:rFonts w:hint="cs"/>
          <w:rtl/>
        </w:rPr>
        <w:t xml:space="preserve"> דכתב </w:t>
      </w:r>
      <w:r w:rsidRPr="006B7C97">
        <w:rPr>
          <w:rStyle w:val="affa"/>
          <w:rFonts w:hint="cs"/>
          <w:rtl/>
        </w:rPr>
        <w:t>דהרשב"א בתוה"ב</w:t>
      </w:r>
      <w:r w:rsidRPr="003C35BD">
        <w:rPr>
          <w:rStyle w:val="afa"/>
          <w:rFonts w:hint="cs"/>
          <w:rtl/>
        </w:rPr>
        <w:t xml:space="preserve"> </w:t>
      </w:r>
      <w:r w:rsidRPr="008B4640">
        <w:rPr>
          <w:rStyle w:val="aff6"/>
          <w:rFonts w:hint="cs"/>
          <w:rtl/>
        </w:rPr>
        <w:t xml:space="preserve">(עי' אות </w:t>
      </w:r>
      <w:r w:rsidRPr="008B4640">
        <w:rPr>
          <w:rStyle w:val="aff6"/>
          <w:rtl/>
        </w:rPr>
        <w:fldChar w:fldCharType="begin"/>
      </w:r>
      <w:r w:rsidRPr="008B4640">
        <w:rPr>
          <w:rStyle w:val="aff6"/>
          <w:rtl/>
        </w:rPr>
        <w:instrText xml:space="preserve"> </w:instrText>
      </w:r>
      <w:r w:rsidRPr="008B4640">
        <w:rPr>
          <w:rStyle w:val="aff6"/>
          <w:rFonts w:hint="cs"/>
        </w:rPr>
        <w:instrText>REF</w:instrText>
      </w:r>
      <w:r w:rsidRPr="008B4640">
        <w:rPr>
          <w:rStyle w:val="aff6"/>
          <w:rFonts w:hint="cs"/>
          <w:rtl/>
        </w:rPr>
        <w:instrText xml:space="preserve"> _</w:instrText>
      </w:r>
      <w:r w:rsidRPr="008B4640">
        <w:rPr>
          <w:rStyle w:val="aff6"/>
          <w:rFonts w:hint="cs"/>
        </w:rPr>
        <w:instrText>Ref23672175 \r \h</w:instrText>
      </w:r>
      <w:r w:rsidRPr="008B4640">
        <w:rPr>
          <w:rStyle w:val="aff6"/>
          <w:rtl/>
        </w:rPr>
        <w:instrText xml:space="preserve"> </w:instrText>
      </w:r>
      <w:r w:rsidRPr="008B4640">
        <w:rPr>
          <w:rStyle w:val="aff6"/>
          <w:rtl/>
        </w:rPr>
      </w:r>
      <w:r w:rsidRPr="008B4640">
        <w:rPr>
          <w:rStyle w:val="aff6"/>
          <w:rtl/>
        </w:rPr>
        <w:fldChar w:fldCharType="separate"/>
      </w:r>
      <w:r w:rsidR="004D1C5B">
        <w:rPr>
          <w:rStyle w:val="aff6"/>
          <w:cs/>
        </w:rPr>
        <w:t>‎</w:t>
      </w:r>
      <w:r w:rsidR="004D1C5B">
        <w:rPr>
          <w:rStyle w:val="aff6"/>
          <w:rtl/>
        </w:rPr>
        <w:t>י)</w:t>
      </w:r>
      <w:r w:rsidRPr="008B4640">
        <w:rPr>
          <w:rStyle w:val="aff6"/>
          <w:rtl/>
        </w:rPr>
        <w:fldChar w:fldCharType="end"/>
      </w:r>
      <w:r w:rsidRPr="003C35BD">
        <w:rPr>
          <w:rStyle w:val="afa"/>
          <w:rFonts w:hint="cs"/>
          <w:rtl/>
        </w:rPr>
        <w:t xml:space="preserve"> לא ביאר היאך מבואר מקושית הגמ' דגיד בין </w:t>
      </w:r>
      <w:r>
        <w:rPr>
          <w:rStyle w:val="afa"/>
          <w:rFonts w:hint="cs"/>
          <w:rtl/>
        </w:rPr>
        <w:t>הגידים</w:t>
      </w:r>
      <w:r w:rsidRPr="003C35BD">
        <w:rPr>
          <w:rStyle w:val="afa"/>
          <w:rFonts w:hint="cs"/>
          <w:rtl/>
        </w:rPr>
        <w:t xml:space="preserve"> יתבטל ברוב, דמהני ביטול ברוב ביבש ביבש, דהרי בגיד בין </w:t>
      </w:r>
      <w:r>
        <w:rPr>
          <w:rStyle w:val="afa"/>
          <w:rFonts w:hint="cs"/>
          <w:rtl/>
        </w:rPr>
        <w:t>הגידים</w:t>
      </w:r>
      <w:r w:rsidRPr="003C35BD">
        <w:rPr>
          <w:rStyle w:val="afa"/>
          <w:rFonts w:hint="cs"/>
          <w:rtl/>
        </w:rPr>
        <w:t xml:space="preserve"> איירי שבישלם יחד בקדירה, וכתב </w:t>
      </w:r>
      <w:r w:rsidRPr="006B7C97">
        <w:rPr>
          <w:rStyle w:val="affa"/>
          <w:rFonts w:hint="cs"/>
          <w:rtl/>
        </w:rPr>
        <w:t>הרשב"א במשה"ב</w:t>
      </w:r>
      <w:r w:rsidRPr="006B7C97">
        <w:rPr>
          <w:rStyle w:val="aff6"/>
          <w:rFonts w:hint="cs"/>
          <w:rtl/>
        </w:rPr>
        <w:t xml:space="preserve"> (ב"ד ש"א יז. מדה"ס) </w:t>
      </w:r>
      <w:r w:rsidRPr="003C35BD">
        <w:rPr>
          <w:rStyle w:val="afa"/>
          <w:rFonts w:hint="cs"/>
          <w:rtl/>
        </w:rPr>
        <w:t>דהוא כלול במה ש</w:t>
      </w:r>
      <w:r>
        <w:rPr>
          <w:rStyle w:val="afa"/>
          <w:rFonts w:hint="cs"/>
          <w:rtl/>
        </w:rPr>
        <w:t>העתיק</w:t>
      </w:r>
      <w:r w:rsidRPr="003C35BD">
        <w:rPr>
          <w:rStyle w:val="afa"/>
          <w:rFonts w:hint="cs"/>
          <w:rtl/>
        </w:rPr>
        <w:t xml:space="preserve"> </w:t>
      </w:r>
      <w:r w:rsidRPr="006B7C97">
        <w:rPr>
          <w:rStyle w:val="affa"/>
          <w:rFonts w:hint="cs"/>
          <w:rtl/>
        </w:rPr>
        <w:t>הרשב"א</w:t>
      </w:r>
      <w:r>
        <w:rPr>
          <w:rStyle w:val="affa"/>
          <w:rFonts w:hint="cs"/>
          <w:rtl/>
        </w:rPr>
        <w:t xml:space="preserve"> בתוה"ב</w:t>
      </w:r>
      <w:r w:rsidRPr="003C35BD">
        <w:rPr>
          <w:rStyle w:val="afa"/>
          <w:rFonts w:hint="cs"/>
          <w:rtl/>
        </w:rPr>
        <w:t xml:space="preserve"> </w:t>
      </w:r>
      <w:r>
        <w:rPr>
          <w:rStyle w:val="afa"/>
          <w:rFonts w:hint="cs"/>
          <w:rtl/>
        </w:rPr>
        <w:t xml:space="preserve">את </w:t>
      </w:r>
      <w:r w:rsidRPr="003C35BD">
        <w:rPr>
          <w:rStyle w:val="afa"/>
          <w:rFonts w:hint="cs"/>
          <w:rtl/>
        </w:rPr>
        <w:t>לשון המשנה דהרוטב בנותן טעם</w:t>
      </w:r>
      <w:r>
        <w:rPr>
          <w:rStyle w:val="afa"/>
          <w:rFonts w:hint="cs"/>
          <w:rtl/>
        </w:rPr>
        <w:t xml:space="preserve">, ועי' במה שביאר </w:t>
      </w:r>
      <w:r w:rsidRPr="00D23942">
        <w:rPr>
          <w:rStyle w:val="affa"/>
          <w:rFonts w:hint="cs"/>
          <w:rtl/>
        </w:rPr>
        <w:t>הרשב"א בחי'</w:t>
      </w:r>
      <w:r>
        <w:rPr>
          <w:rStyle w:val="afa"/>
          <w:rFonts w:hint="cs"/>
          <w:rtl/>
        </w:rPr>
        <w:t xml:space="preserve"> </w:t>
      </w:r>
      <w:r w:rsidRPr="00D23942">
        <w:rPr>
          <w:rStyle w:val="aff6"/>
          <w:rFonts w:hint="cs"/>
          <w:rtl/>
        </w:rPr>
        <w:t xml:space="preserve">(עי' אות </w:t>
      </w:r>
      <w:r w:rsidRPr="00D23942">
        <w:rPr>
          <w:rStyle w:val="aff6"/>
          <w:rtl/>
        </w:rPr>
        <w:fldChar w:fldCharType="begin"/>
      </w:r>
      <w:r w:rsidRPr="00D23942">
        <w:rPr>
          <w:rStyle w:val="aff6"/>
          <w:rtl/>
        </w:rPr>
        <w:instrText xml:space="preserve"> </w:instrText>
      </w:r>
      <w:r w:rsidRPr="00D23942">
        <w:rPr>
          <w:rStyle w:val="aff6"/>
          <w:rFonts w:hint="cs"/>
        </w:rPr>
        <w:instrText>REF</w:instrText>
      </w:r>
      <w:r w:rsidRPr="00D23942">
        <w:rPr>
          <w:rStyle w:val="aff6"/>
          <w:rFonts w:hint="cs"/>
          <w:rtl/>
        </w:rPr>
        <w:instrText xml:space="preserve"> _</w:instrText>
      </w:r>
      <w:r w:rsidRPr="00D23942">
        <w:rPr>
          <w:rStyle w:val="aff6"/>
          <w:rFonts w:hint="cs"/>
        </w:rPr>
        <w:instrText>Ref23497768 \r \h</w:instrText>
      </w:r>
      <w:r w:rsidRPr="00D23942">
        <w:rPr>
          <w:rStyle w:val="aff6"/>
          <w:rtl/>
        </w:rPr>
        <w:instrText xml:space="preserve"> </w:instrText>
      </w:r>
      <w:r w:rsidRPr="00D23942">
        <w:rPr>
          <w:rStyle w:val="aff6"/>
          <w:rtl/>
        </w:rPr>
      </w:r>
      <w:r w:rsidRPr="00D23942">
        <w:rPr>
          <w:rStyle w:val="aff6"/>
          <w:rtl/>
        </w:rPr>
        <w:fldChar w:fldCharType="separate"/>
      </w:r>
      <w:r w:rsidR="004D1C5B">
        <w:rPr>
          <w:rStyle w:val="aff6"/>
          <w:cs/>
        </w:rPr>
        <w:t>‎</w:t>
      </w:r>
      <w:r w:rsidR="004D1C5B">
        <w:rPr>
          <w:rStyle w:val="aff6"/>
          <w:rtl/>
        </w:rPr>
        <w:t>לח)</w:t>
      </w:r>
      <w:r w:rsidRPr="00D23942">
        <w:rPr>
          <w:rStyle w:val="aff6"/>
          <w:rtl/>
        </w:rPr>
        <w:fldChar w:fldCharType="end"/>
      </w:r>
      <w:r w:rsidRPr="003C35BD">
        <w:rPr>
          <w:rStyle w:val="afa"/>
          <w:rFonts w:hint="cs"/>
          <w:rtl/>
        </w:rPr>
        <w:t>].</w:t>
      </w:r>
    </w:p>
    <w:p w:rsidR="00D45705" w:rsidRPr="00627300" w:rsidRDefault="00D45705" w:rsidP="00D45705">
      <w:pPr>
        <w:pStyle w:val="a2"/>
      </w:pPr>
      <w:bookmarkStart w:id="12141" w:name="_Toc23499415"/>
      <w:bookmarkStart w:id="12142" w:name="_Toc23663821"/>
      <w:bookmarkStart w:id="12143" w:name="_Toc23672473"/>
      <w:bookmarkStart w:id="12144" w:name="_Toc23673037"/>
      <w:r>
        <w:rPr>
          <w:rFonts w:hint="cs"/>
          <w:rtl/>
        </w:rPr>
        <w:t>דברי הר"ן דקושית הגמ' דמשמע דהגיד אסור אף כשאין בו טעם אף דהוא כיבש ובטל ברוב</w:t>
      </w:r>
      <w:bookmarkEnd w:id="12141"/>
      <w:bookmarkEnd w:id="12142"/>
      <w:bookmarkEnd w:id="12143"/>
      <w:bookmarkEnd w:id="12144"/>
    </w:p>
    <w:p w:rsidR="00D45705" w:rsidRDefault="00D45705" w:rsidP="009F44AF">
      <w:pPr>
        <w:pStyle w:val="a"/>
        <w:rPr>
          <w:rtl/>
        </w:rPr>
      </w:pPr>
      <w:r>
        <w:rPr>
          <w:rFonts w:hint="cs"/>
          <w:rtl/>
        </w:rPr>
        <w:t xml:space="preserve">וכ"כ </w:t>
      </w:r>
      <w:r w:rsidRPr="00E44877">
        <w:rPr>
          <w:rStyle w:val="af8"/>
          <w:rFonts w:hint="cs"/>
          <w:rtl/>
        </w:rPr>
        <w:t>הר"ן על הרי"ף</w:t>
      </w:r>
      <w:r w:rsidRPr="00066304">
        <w:rPr>
          <w:rFonts w:hint="cs"/>
          <w:rtl/>
        </w:rPr>
        <w:t xml:space="preserve"> </w:t>
      </w:r>
      <w:r w:rsidRPr="00227059">
        <w:rPr>
          <w:rStyle w:val="af6"/>
          <w:rFonts w:eastAsia="Guttman Hodes" w:hint="cs"/>
          <w:rtl/>
        </w:rPr>
        <w:t>(</w:t>
      </w:r>
      <w:r w:rsidRPr="008C6FA9">
        <w:rPr>
          <w:rStyle w:val="af6"/>
          <w:rFonts w:eastAsia="Guttman Hodes"/>
          <w:rtl/>
        </w:rPr>
        <w:t>ל</w:t>
      </w:r>
      <w:r>
        <w:rPr>
          <w:rStyle w:val="af6"/>
          <w:rFonts w:eastAsia="Guttman Hodes"/>
          <w:rtl/>
        </w:rPr>
        <w:t>ו. מדפי הרי"ף ד"ה גרסי'</w:t>
      </w:r>
      <w:r w:rsidRPr="00227059">
        <w:rPr>
          <w:rStyle w:val="af6"/>
          <w:rFonts w:eastAsia="Guttman Hodes" w:hint="cs"/>
          <w:rtl/>
        </w:rPr>
        <w:t>)</w:t>
      </w:r>
      <w:r w:rsidRPr="00066304">
        <w:rPr>
          <w:rFonts w:hint="cs"/>
          <w:rtl/>
        </w:rPr>
        <w:t xml:space="preserve"> </w:t>
      </w:r>
      <w:r w:rsidRPr="009C34EA">
        <w:rPr>
          <w:rStyle w:val="af8"/>
          <w:rFonts w:hint="cs"/>
          <w:rtl/>
        </w:rPr>
        <w:t>ו</w:t>
      </w:r>
      <w:r w:rsidRPr="009C34EA">
        <w:rPr>
          <w:rStyle w:val="af8"/>
          <w:rtl/>
        </w:rPr>
        <w:t>הר</w:t>
      </w:r>
      <w:r>
        <w:rPr>
          <w:rStyle w:val="af8"/>
          <w:rtl/>
        </w:rPr>
        <w:t>"ן</w:t>
      </w:r>
      <w:r>
        <w:rPr>
          <w:rStyle w:val="af8"/>
          <w:rFonts w:hint="cs"/>
          <w:rtl/>
        </w:rPr>
        <w:t xml:space="preserve"> </w:t>
      </w:r>
      <w:r w:rsidRPr="00925136">
        <w:rPr>
          <w:rStyle w:val="af8"/>
          <w:rFonts w:hint="cs"/>
          <w:rtl/>
        </w:rPr>
        <w:t xml:space="preserve">בחי' לעיל </w:t>
      </w:r>
      <w:r w:rsidRPr="00925136">
        <w:rPr>
          <w:rStyle w:val="af6"/>
          <w:rFonts w:eastAsia="Guttman Hodes" w:hint="cs"/>
          <w:rtl/>
        </w:rPr>
        <w:t>(צז: ד"ה והא)</w:t>
      </w:r>
      <w:r>
        <w:rPr>
          <w:rFonts w:hint="cs"/>
          <w:rtl/>
        </w:rPr>
        <w:t xml:space="preserve"> דכל שאין ברוטב בנותן טעם, ממילא הגיד עצמו דינו כיבש ביבש, ולכן מקשה הגמ' דגיד בין הגידים יתבטל ברוב דחד בתרי, דהא תנן לעיל </w:t>
      </w:r>
      <w:r w:rsidRPr="00227059">
        <w:rPr>
          <w:rStyle w:val="af6"/>
          <w:rFonts w:eastAsia="Guttman Hodes" w:hint="cs"/>
          <w:rtl/>
        </w:rPr>
        <w:t>(צו:)</w:t>
      </w:r>
      <w:r>
        <w:rPr>
          <w:rFonts w:hint="cs"/>
          <w:rtl/>
        </w:rPr>
        <w:t xml:space="preserve"> דאם אינו מכיר את הגיד כולם אסורים, ומבואר שאף כ</w:t>
      </w:r>
      <w:r w:rsidR="00E3596B">
        <w:rPr>
          <w:rFonts w:hint="cs"/>
          <w:rtl/>
        </w:rPr>
        <w:t>ש</w:t>
      </w:r>
      <w:r>
        <w:rPr>
          <w:rFonts w:hint="cs"/>
          <w:rtl/>
        </w:rPr>
        <w:t xml:space="preserve">אין </w:t>
      </w:r>
      <w:r>
        <w:rPr>
          <w:rFonts w:hint="cs"/>
          <w:rtl/>
        </w:rPr>
        <w:t>בו בנותן טעם, מ"מ כל שאינו מכירו אסור, ומקשה הגמ', דהא כיון שאין בו טעם, א"כ הגיד הוא כיבש ביבש שמהני בו ביטול ברוב וא"צ שישים, וצריך להתבטל ברוב בחד בתרי.</w:t>
      </w:r>
    </w:p>
    <w:p w:rsidR="00D45705" w:rsidRDefault="00D45705" w:rsidP="00D45705">
      <w:pPr>
        <w:pStyle w:val="1"/>
        <w:rPr>
          <w:rtl/>
        </w:rPr>
      </w:pPr>
      <w:bookmarkStart w:id="12145" w:name="_Toc23499416"/>
      <w:bookmarkStart w:id="12146" w:name="_Toc23663822"/>
      <w:bookmarkStart w:id="12147" w:name="_Toc23672474"/>
      <w:bookmarkStart w:id="12148" w:name="_Toc23673038"/>
      <w:r>
        <w:rPr>
          <w:rFonts w:hint="cs"/>
          <w:rtl/>
        </w:rPr>
        <w:t>דברי הראב"ד דגיד חשיב יבש דאינו נימוח</w:t>
      </w:r>
      <w:bookmarkEnd w:id="12145"/>
      <w:bookmarkEnd w:id="12146"/>
      <w:bookmarkEnd w:id="12147"/>
      <w:bookmarkEnd w:id="12148"/>
    </w:p>
    <w:p w:rsidR="00D45705" w:rsidRPr="00CA28CC" w:rsidRDefault="00D45705" w:rsidP="00D45705">
      <w:pPr>
        <w:pStyle w:val="a2"/>
        <w:rPr>
          <w:rtl/>
        </w:rPr>
      </w:pPr>
      <w:bookmarkStart w:id="12149" w:name="_Toc23499417"/>
      <w:bookmarkStart w:id="12150" w:name="_Toc23663823"/>
      <w:bookmarkStart w:id="12151" w:name="_Toc23672475"/>
      <w:bookmarkStart w:id="12152" w:name="_Toc23673039"/>
      <w:r>
        <w:rPr>
          <w:rFonts w:hint="cs"/>
          <w:rtl/>
        </w:rPr>
        <w:t>דברי הראב"ד דגיד שהוא בעין ואינו נימוח בטל ברוב ורק באיסור נימוח צריך שישים מדרבנן</w:t>
      </w:r>
      <w:bookmarkEnd w:id="12149"/>
      <w:bookmarkEnd w:id="12150"/>
      <w:bookmarkEnd w:id="12151"/>
      <w:bookmarkEnd w:id="12152"/>
    </w:p>
    <w:p w:rsidR="00D45705" w:rsidRDefault="00D45705" w:rsidP="009F44AF">
      <w:pPr>
        <w:pStyle w:val="a"/>
        <w:rPr>
          <w:rtl/>
        </w:rPr>
      </w:pPr>
      <w:bookmarkStart w:id="12153" w:name="_Ref20600133"/>
      <w:bookmarkStart w:id="12154" w:name="_Ref23670965"/>
      <w:r w:rsidRPr="00882DFF">
        <w:rPr>
          <w:rFonts w:hint="cs"/>
          <w:rtl/>
        </w:rPr>
        <w:t xml:space="preserve">כתב </w:t>
      </w:r>
      <w:r w:rsidRPr="001502AE">
        <w:rPr>
          <w:rStyle w:val="af8"/>
          <w:rFonts w:hint="cs"/>
          <w:rtl/>
        </w:rPr>
        <w:t>הראב"ד באיסור משהו</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sidRPr="00E73736">
        <w:rPr>
          <w:rFonts w:hint="cs"/>
          <w:rtl/>
        </w:rPr>
        <w:t xml:space="preserve"> </w:t>
      </w:r>
      <w:r w:rsidRPr="00312C49">
        <w:rPr>
          <w:rStyle w:val="af6"/>
          <w:rFonts w:eastAsia="Guttman Hodes" w:hint="cs"/>
          <w:rtl/>
        </w:rPr>
        <w:t xml:space="preserve">(פ"ב ד"ה וה"מ לר"י, נד' בסוף תוה"ב) </w:t>
      </w:r>
      <w:r w:rsidRPr="00882DFF">
        <w:rPr>
          <w:rFonts w:hint="cs"/>
          <w:rtl/>
        </w:rPr>
        <w:t>דבמין במינו ביבש ביבש מהני ביטול ברוב,</w:t>
      </w:r>
      <w:r>
        <w:rPr>
          <w:rFonts w:hint="cs"/>
          <w:rtl/>
        </w:rPr>
        <w:t xml:space="preserve"> </w:t>
      </w:r>
      <w:r w:rsidRPr="00B429B8">
        <w:rPr>
          <w:rStyle w:val="afa"/>
          <w:rFonts w:hint="cs"/>
          <w:rtl/>
        </w:rPr>
        <w:t>[לרבנן דפליגי על ר"י במין במינו],</w:t>
      </w:r>
      <w:r w:rsidRPr="00882DFF">
        <w:rPr>
          <w:rFonts w:hint="cs"/>
          <w:rtl/>
        </w:rPr>
        <w:t xml:space="preserve"> ובלח </w:t>
      </w:r>
      <w:r>
        <w:rPr>
          <w:rFonts w:hint="cs"/>
          <w:rtl/>
        </w:rPr>
        <w:t xml:space="preserve">בלח </w:t>
      </w:r>
      <w:r w:rsidRPr="00882DFF">
        <w:rPr>
          <w:rFonts w:hint="cs"/>
          <w:rtl/>
        </w:rPr>
        <w:t>מדאו' מהני ביטול ברוב, ומדרבנן צריך שישים</w:t>
      </w:r>
      <w:r>
        <w:rPr>
          <w:rFonts w:hint="cs"/>
          <w:rtl/>
        </w:rPr>
        <w:t>,</w:t>
      </w:r>
      <w:r w:rsidRPr="00661B56">
        <w:rPr>
          <w:rStyle w:val="afa"/>
          <w:rFonts w:hint="cs"/>
          <w:rtl/>
        </w:rPr>
        <w:t xml:space="preserve"> </w:t>
      </w:r>
      <w:bookmarkEnd w:id="12153"/>
      <w:r>
        <w:rPr>
          <w:rFonts w:hint="cs"/>
          <w:rtl/>
        </w:rPr>
        <w:t>וכ"כ</w:t>
      </w:r>
      <w:r w:rsidRPr="00882DFF">
        <w:rPr>
          <w:rFonts w:hint="cs"/>
          <w:rtl/>
        </w:rPr>
        <w:t xml:space="preserve"> </w:t>
      </w:r>
      <w:r w:rsidRPr="005A5ACC">
        <w:rPr>
          <w:rStyle w:val="af8"/>
          <w:rFonts w:hint="cs"/>
          <w:rtl/>
        </w:rPr>
        <w:t xml:space="preserve">הראב"ד </w:t>
      </w:r>
      <w:r w:rsidRPr="002A67A0">
        <w:rPr>
          <w:rStyle w:val="af8"/>
          <w:rFonts w:hint="cs"/>
          <w:rtl/>
        </w:rPr>
        <w:t>בהשג' על הבעה"מ בפסחים</w:t>
      </w:r>
      <w:r w:rsidRPr="002A67A0">
        <w:rPr>
          <w:rFonts w:hint="cs"/>
          <w:rtl/>
        </w:rPr>
        <w:t xml:space="preserve"> </w:t>
      </w:r>
      <w:r w:rsidRPr="002A67A0">
        <w:rPr>
          <w:rStyle w:val="af6"/>
          <w:rFonts w:eastAsia="Guttman Hodes" w:hint="cs"/>
          <w:rtl/>
        </w:rPr>
        <w:t>(יג: מדפי הרי"ף ד"ה א"א גנוב הוא)</w:t>
      </w:r>
      <w:r w:rsidRPr="002A67A0">
        <w:rPr>
          <w:rFonts w:hint="cs"/>
          <w:rtl/>
        </w:rPr>
        <w:t xml:space="preserve"> דהא דאיתא בגמ' לעיל </w:t>
      </w:r>
      <w:r w:rsidRPr="002A67A0">
        <w:rPr>
          <w:rStyle w:val="af6"/>
          <w:rFonts w:eastAsia="Guttman Hodes" w:hint="cs"/>
          <w:rtl/>
        </w:rPr>
        <w:t>(צט.)</w:t>
      </w:r>
      <w:r w:rsidRPr="002A67A0">
        <w:rPr>
          <w:rFonts w:hint="cs"/>
          <w:rtl/>
        </w:rPr>
        <w:t xml:space="preserve"> דמין במינו ברובא, זהו הדין מדאו', אבל מדרבנן כל שהאיסור התערב ונימוח בהיתר, צריך שישים, אף במין במינו</w:t>
      </w:r>
      <w:r>
        <w:rPr>
          <w:rFonts w:hint="cs"/>
          <w:rtl/>
        </w:rPr>
        <w:t>,</w:t>
      </w:r>
      <w:r w:rsidR="00E3596B">
        <w:rPr>
          <w:rFonts w:hint="cs"/>
          <w:rtl/>
        </w:rPr>
        <w:t xml:space="preserve"> </w:t>
      </w:r>
      <w:r w:rsidRPr="002A67A0">
        <w:rPr>
          <w:rFonts w:hint="cs"/>
          <w:rtl/>
        </w:rPr>
        <w:t xml:space="preserve">והוסיף </w:t>
      </w:r>
      <w:r w:rsidRPr="002A67A0">
        <w:rPr>
          <w:rStyle w:val="af8"/>
          <w:rFonts w:hint="cs"/>
          <w:rtl/>
        </w:rPr>
        <w:t>הראב"ד בהשג' על הבעה"מ בפסחים</w:t>
      </w:r>
      <w:r w:rsidRPr="002A67A0">
        <w:rPr>
          <w:rFonts w:hint="cs"/>
          <w:rtl/>
        </w:rPr>
        <w:t xml:space="preserve"> דהא דמקשה הגמ' בסוגיין דגיד</w:t>
      </w:r>
      <w:r>
        <w:rPr>
          <w:rFonts w:hint="cs"/>
          <w:rtl/>
        </w:rPr>
        <w:t xml:space="preserve"> בין הגידים יתבטל ברוב, הוא כיון שהגיד הוא בעין ואינו נימוח, ולכן מהני ביטול ברוב להתיר במין במינו אף מדרבנן, אבל באיסור שנימוח, מדרבנן צריך שישים אף במין במינו.</w:t>
      </w:r>
      <w:bookmarkEnd w:id="12154"/>
    </w:p>
    <w:p w:rsidR="00D45705" w:rsidRDefault="00D45705" w:rsidP="00D45705">
      <w:pPr>
        <w:pStyle w:val="a2"/>
        <w:rPr>
          <w:rtl/>
        </w:rPr>
      </w:pPr>
      <w:bookmarkStart w:id="12155" w:name="_Toc23499418"/>
      <w:bookmarkStart w:id="12156" w:name="_Toc23663824"/>
      <w:bookmarkStart w:id="12157" w:name="_Toc23672476"/>
      <w:bookmarkStart w:id="12158" w:name="_Toc23673040"/>
      <w:r>
        <w:rPr>
          <w:rFonts w:hint="cs"/>
          <w:rtl/>
        </w:rPr>
        <w:t>ביאור הגר"א ברמ"א דבסוגיין מבואר דאף דבר שהתבשל כל שאינו בלול זה בזה הוי יבש ביבש</w:t>
      </w:r>
      <w:bookmarkEnd w:id="12155"/>
      <w:bookmarkEnd w:id="12156"/>
      <w:bookmarkEnd w:id="12157"/>
      <w:bookmarkEnd w:id="12158"/>
    </w:p>
    <w:p w:rsidR="00D45705" w:rsidRPr="00C16F09" w:rsidRDefault="00D45705" w:rsidP="009F44AF">
      <w:pPr>
        <w:pStyle w:val="a"/>
        <w:rPr>
          <w:rtl/>
        </w:rPr>
      </w:pPr>
      <w:r>
        <w:rPr>
          <w:rFonts w:hint="cs"/>
          <w:rtl/>
        </w:rPr>
        <w:t xml:space="preserve">וע"ע בדברי </w:t>
      </w:r>
      <w:r w:rsidRPr="00825242">
        <w:rPr>
          <w:rStyle w:val="af8"/>
          <w:rFonts w:hint="cs"/>
          <w:rtl/>
        </w:rPr>
        <w:t>הרמ"א</w:t>
      </w:r>
      <w:r>
        <w:rPr>
          <w:rFonts w:hint="cs"/>
          <w:rtl/>
        </w:rPr>
        <w:t xml:space="preserve"> </w:t>
      </w:r>
      <w:r w:rsidRPr="00825242">
        <w:rPr>
          <w:rStyle w:val="af6"/>
          <w:rFonts w:eastAsia="Guttman Hodes" w:hint="cs"/>
          <w:rtl/>
        </w:rPr>
        <w:t>(סי' ק"ט א')</w:t>
      </w:r>
      <w:r>
        <w:rPr>
          <w:rFonts w:hint="cs"/>
          <w:rtl/>
        </w:rPr>
        <w:t xml:space="preserve"> דכתב דיבש ביבש היינו שאינם נבללים זה בזה, והאיסור עומד בפנ"ע, אך אינו מכיר את האיסור, וביאר </w:t>
      </w:r>
      <w:r w:rsidRPr="00825242">
        <w:rPr>
          <w:rStyle w:val="af8"/>
          <w:rFonts w:hint="cs"/>
          <w:rtl/>
        </w:rPr>
        <w:t>הגר"א</w:t>
      </w:r>
      <w:r>
        <w:rPr>
          <w:rFonts w:hint="cs"/>
          <w:rtl/>
        </w:rPr>
        <w:t xml:space="preserve"> </w:t>
      </w:r>
      <w:r w:rsidRPr="00825242">
        <w:rPr>
          <w:rStyle w:val="af6"/>
          <w:rFonts w:eastAsia="Guttman Hodes" w:hint="cs"/>
          <w:rtl/>
        </w:rPr>
        <w:t>(סי' ק"ט סק"ג)</w:t>
      </w:r>
      <w:r>
        <w:rPr>
          <w:rFonts w:hint="cs"/>
          <w:rtl/>
        </w:rPr>
        <w:t xml:space="preserve"> דכוונת </w:t>
      </w:r>
      <w:r w:rsidRPr="00825242">
        <w:rPr>
          <w:rStyle w:val="af8"/>
          <w:rFonts w:hint="cs"/>
          <w:rtl/>
        </w:rPr>
        <w:t>הרמ"א</w:t>
      </w:r>
      <w:r>
        <w:rPr>
          <w:rFonts w:hint="cs"/>
          <w:rtl/>
        </w:rPr>
        <w:t xml:space="preserve"> לומר דיבש ביבש אינו דוקא יבש ממש, אלא דכל שאינו נבלל חשיב יבש, כדמוכח בסוגיין דמקשה הגמ' מגיד שהתבשל בין הגידים, וחתיכה שהתבשלה עם החתיכות, יתבטלו ברוב, דאעפ"י שהם התבשלו, מ"מ חשיבי כיבש ביבש, כיון שהאיסור עומד בפנ"ע, ואינו בלול בתוך ההיתר.</w:t>
      </w:r>
    </w:p>
    <w:p w:rsidR="00D45705" w:rsidRDefault="00D45705" w:rsidP="00E669F8">
      <w:pPr>
        <w:pStyle w:val="afd"/>
        <w:rPr>
          <w:rtl/>
        </w:rPr>
      </w:pPr>
      <w:bookmarkStart w:id="12159" w:name="_Toc23499419"/>
      <w:bookmarkStart w:id="12160" w:name="_Toc23663825"/>
      <w:bookmarkStart w:id="12161" w:name="_Toc23672477"/>
      <w:bookmarkStart w:id="12162" w:name="_Toc23673041"/>
      <w:r w:rsidRPr="00134671">
        <w:rPr>
          <w:rFonts w:hint="cs"/>
          <w:rtl/>
        </w:rPr>
        <w:t>ביאורי הראשונים בגדר ביטול רוב ביבש</w:t>
      </w:r>
      <w:bookmarkEnd w:id="12061"/>
      <w:bookmarkEnd w:id="12062"/>
      <w:bookmarkEnd w:id="12159"/>
      <w:bookmarkEnd w:id="12160"/>
      <w:bookmarkEnd w:id="12161"/>
      <w:bookmarkEnd w:id="12162"/>
      <w:r>
        <w:rPr>
          <w:rFonts w:hint="cs"/>
          <w:rtl/>
        </w:rPr>
        <w:t xml:space="preserve"> </w:t>
      </w:r>
    </w:p>
    <w:p w:rsidR="00D45705" w:rsidRDefault="00D45705" w:rsidP="00D45705">
      <w:pPr>
        <w:pStyle w:val="1"/>
        <w:rPr>
          <w:rtl/>
        </w:rPr>
      </w:pPr>
      <w:bookmarkStart w:id="12163" w:name="_Toc23499420"/>
      <w:bookmarkStart w:id="12164" w:name="_Toc23663826"/>
      <w:bookmarkStart w:id="12165" w:name="_Toc23672478"/>
      <w:bookmarkStart w:id="12166" w:name="_Toc23673042"/>
      <w:bookmarkStart w:id="12167" w:name="_Toc23372467"/>
      <w:bookmarkStart w:id="12168" w:name="_Toc23419154"/>
      <w:r>
        <w:rPr>
          <w:rFonts w:hint="cs"/>
          <w:rtl/>
        </w:rPr>
        <w:t>דעת הרא"ש דבביטול ברוב האיסור נהפך להיתר מגזיה"כ</w:t>
      </w:r>
      <w:bookmarkEnd w:id="12163"/>
      <w:bookmarkEnd w:id="12164"/>
      <w:bookmarkEnd w:id="12165"/>
      <w:bookmarkEnd w:id="12166"/>
    </w:p>
    <w:p w:rsidR="00D45705" w:rsidRPr="006D1E88" w:rsidRDefault="00D45705" w:rsidP="00D45705">
      <w:pPr>
        <w:pStyle w:val="a2"/>
        <w:rPr>
          <w:rtl/>
        </w:rPr>
      </w:pPr>
      <w:bookmarkStart w:id="12169" w:name="_Toc23372468"/>
      <w:bookmarkStart w:id="12170" w:name="_Toc23419155"/>
      <w:bookmarkStart w:id="12171" w:name="_Toc23499421"/>
      <w:bookmarkStart w:id="12172" w:name="_Toc23663827"/>
      <w:bookmarkStart w:id="12173" w:name="_Toc23672479"/>
      <w:bookmarkStart w:id="12174" w:name="_Toc23673043"/>
      <w:r>
        <w:rPr>
          <w:rFonts w:hint="cs"/>
          <w:rtl/>
        </w:rPr>
        <w:t>דברי הרא"ש דביבש ביבש בחד בתרי ילפינן מאחרי רבים להטות דהאיסור נהפך להיתר</w:t>
      </w:r>
      <w:bookmarkEnd w:id="12169"/>
      <w:bookmarkEnd w:id="12170"/>
      <w:bookmarkEnd w:id="12171"/>
      <w:bookmarkEnd w:id="12172"/>
      <w:bookmarkEnd w:id="12173"/>
      <w:bookmarkEnd w:id="12174"/>
    </w:p>
    <w:p w:rsidR="00D45705" w:rsidRDefault="00D45705" w:rsidP="009F44AF">
      <w:pPr>
        <w:pStyle w:val="a"/>
        <w:rPr>
          <w:rtl/>
        </w:rPr>
      </w:pPr>
      <w:r>
        <w:rPr>
          <w:rFonts w:hint="cs"/>
          <w:rtl/>
        </w:rPr>
        <w:t xml:space="preserve">כתב </w:t>
      </w:r>
      <w:r w:rsidRPr="001929A2">
        <w:rPr>
          <w:rStyle w:val="af8"/>
          <w:rFonts w:hint="cs"/>
          <w:rtl/>
        </w:rPr>
        <w:t>הרא</w:t>
      </w:r>
      <w:r w:rsidRPr="005C08EA">
        <w:rPr>
          <w:rStyle w:val="af8"/>
          <w:rFonts w:hint="cs"/>
          <w:rtl/>
        </w:rPr>
        <w:t>"ש</w:t>
      </w:r>
      <w:r w:rsidRPr="00665978">
        <w:rPr>
          <w:rStyle w:val="af6"/>
          <w:rFonts w:eastAsia="Guttman Hodes" w:hint="cs"/>
          <w:rtl/>
        </w:rPr>
        <w:t xml:space="preserve"> (סי' ל"ז) </w:t>
      </w:r>
      <w:r>
        <w:rPr>
          <w:rFonts w:hint="cs"/>
          <w:rtl/>
        </w:rPr>
        <w:t xml:space="preserve">דביבש ביבש מהני ביטול של חד בתרי מגזיה"כ דאחרי רבים להטות, והאיסור נהפך להיות היתר. [ועי' במ"ש </w:t>
      </w:r>
      <w:r w:rsidRPr="00696D5C">
        <w:rPr>
          <w:rStyle w:val="af8"/>
          <w:rFonts w:hint="cs"/>
          <w:rtl/>
        </w:rPr>
        <w:t>הרא"ש</w:t>
      </w:r>
      <w:r>
        <w:rPr>
          <w:rFonts w:hint="cs"/>
          <w:rtl/>
        </w:rPr>
        <w:t xml:space="preserve"> </w:t>
      </w:r>
      <w:r w:rsidRPr="00C279C6">
        <w:rPr>
          <w:rStyle w:val="af6"/>
          <w:rFonts w:eastAsia="Guttman Hodes" w:hint="cs"/>
          <w:rtl/>
        </w:rPr>
        <w:t>(</w:t>
      </w:r>
      <w:r>
        <w:rPr>
          <w:rStyle w:val="af6"/>
          <w:rFonts w:eastAsia="Guttman Hodes" w:hint="cs"/>
          <w:rtl/>
        </w:rPr>
        <w:t>סי' ל"ז, הובא בסימן י</w:t>
      </w:r>
      <w:r>
        <w:rPr>
          <w:rStyle w:val="af6"/>
          <w:rFonts w:eastAsia="Guttman Hodes"/>
          <w:rtl/>
        </w:rPr>
        <w:t>"</w:t>
      </w:r>
      <w:r>
        <w:rPr>
          <w:rStyle w:val="af6"/>
          <w:rFonts w:eastAsia="Guttman Hodes" w:hint="cs"/>
          <w:rtl/>
        </w:rPr>
        <w:t>ז אות כ"ח</w:t>
      </w:r>
      <w:r w:rsidRPr="00C279C6">
        <w:rPr>
          <w:rStyle w:val="af6"/>
          <w:rFonts w:eastAsia="Guttman Hodes" w:hint="cs"/>
          <w:rtl/>
        </w:rPr>
        <w:t>)</w:t>
      </w:r>
      <w:r>
        <w:rPr>
          <w:rFonts w:hint="cs"/>
          <w:rtl/>
        </w:rPr>
        <w:t xml:space="preserve"> דכיון שהאיסור נהפך להיתר, לכן מותר לאכול את כל התערובת בבת אחת].</w:t>
      </w:r>
    </w:p>
    <w:p w:rsidR="00D45705" w:rsidRPr="00F8506E" w:rsidRDefault="00D45705" w:rsidP="00D45705">
      <w:pPr>
        <w:pStyle w:val="a2"/>
      </w:pPr>
      <w:bookmarkStart w:id="12175" w:name="_Toc23372469"/>
      <w:bookmarkStart w:id="12176" w:name="_Toc23419156"/>
      <w:bookmarkStart w:id="12177" w:name="_Toc23499422"/>
      <w:bookmarkStart w:id="12178" w:name="_Toc23663828"/>
      <w:bookmarkStart w:id="12179" w:name="_Toc23672480"/>
      <w:bookmarkStart w:id="12180" w:name="_Toc23673044"/>
      <w:r>
        <w:rPr>
          <w:rFonts w:hint="cs"/>
          <w:rtl/>
        </w:rPr>
        <w:t>דברי הרא"ש דאף מדרבנן האיסור נהפך להיתר כל שנודע שנפל איסור לתערובת וא"צ שישים</w:t>
      </w:r>
      <w:bookmarkEnd w:id="12175"/>
      <w:bookmarkEnd w:id="12176"/>
      <w:bookmarkEnd w:id="12177"/>
      <w:bookmarkEnd w:id="12178"/>
      <w:bookmarkEnd w:id="12179"/>
      <w:bookmarkEnd w:id="12180"/>
    </w:p>
    <w:p w:rsidR="00D45705" w:rsidRDefault="00D45705" w:rsidP="009F44AF">
      <w:pPr>
        <w:pStyle w:val="a"/>
      </w:pPr>
      <w:r>
        <w:rPr>
          <w:rFonts w:hint="cs"/>
          <w:rtl/>
        </w:rPr>
        <w:t xml:space="preserve">וכתב </w:t>
      </w:r>
      <w:r w:rsidRPr="001929A2">
        <w:rPr>
          <w:rStyle w:val="af8"/>
          <w:rFonts w:hint="cs"/>
          <w:rtl/>
        </w:rPr>
        <w:t>הרא</w:t>
      </w:r>
      <w:r w:rsidRPr="005C08EA">
        <w:rPr>
          <w:rStyle w:val="af8"/>
          <w:rFonts w:hint="cs"/>
          <w:rtl/>
        </w:rPr>
        <w:t>"ש</w:t>
      </w:r>
      <w:r>
        <w:rPr>
          <w:rStyle w:val="af6"/>
          <w:rFonts w:eastAsia="Guttman Hodes" w:hint="cs"/>
          <w:rtl/>
        </w:rPr>
        <w:t xml:space="preserve"> </w:t>
      </w:r>
      <w:r>
        <w:rPr>
          <w:rFonts w:hint="cs"/>
          <w:rtl/>
        </w:rPr>
        <w:t>דאף מדרבנן מהני ביטול של חד בתרי, במין במינו ביבש ביבש, דכל שנודע לנו שנפל איסור לתערובת, הוא נעשה להיתר גמור אף מדרבנן, וא"צ שישים כלל, כיון שאף אם היה מתבשל אין בו נתינת טעם דהוא מין במינו.</w:t>
      </w:r>
    </w:p>
    <w:p w:rsidR="00D45705" w:rsidRPr="00C12C10" w:rsidRDefault="00D45705" w:rsidP="00D45705">
      <w:pPr>
        <w:pStyle w:val="1"/>
        <w:rPr>
          <w:rtl/>
        </w:rPr>
      </w:pPr>
      <w:bookmarkStart w:id="12181" w:name="_Toc23372470"/>
      <w:bookmarkStart w:id="12182" w:name="_Toc23419157"/>
      <w:bookmarkStart w:id="12183" w:name="_Toc23499423"/>
      <w:bookmarkStart w:id="12184" w:name="_Toc23663829"/>
      <w:bookmarkStart w:id="12185" w:name="_Toc23672481"/>
      <w:bookmarkStart w:id="12186" w:name="_Toc23673045"/>
      <w:r>
        <w:rPr>
          <w:rFonts w:hint="cs"/>
          <w:rtl/>
        </w:rPr>
        <w:t>דעת הרשב"א דבביטול ברוב בכל חתיכה אמרינן שהיא מותרת</w:t>
      </w:r>
      <w:bookmarkEnd w:id="12181"/>
      <w:bookmarkEnd w:id="12182"/>
      <w:bookmarkEnd w:id="12183"/>
      <w:bookmarkEnd w:id="12184"/>
      <w:bookmarkEnd w:id="12185"/>
      <w:bookmarkEnd w:id="12186"/>
    </w:p>
    <w:p w:rsidR="00D45705" w:rsidRPr="00390AEA" w:rsidRDefault="00D45705" w:rsidP="00D45705">
      <w:pPr>
        <w:pStyle w:val="a2"/>
      </w:pPr>
      <w:bookmarkStart w:id="12187" w:name="_Toc23372471"/>
      <w:bookmarkStart w:id="12188" w:name="_Toc23419158"/>
      <w:bookmarkStart w:id="12189" w:name="_Toc23499424"/>
      <w:bookmarkStart w:id="12190" w:name="_Toc23663830"/>
      <w:bookmarkStart w:id="12191" w:name="_Toc23672482"/>
      <w:bookmarkStart w:id="12192" w:name="_Toc23673046"/>
      <w:r>
        <w:rPr>
          <w:rFonts w:hint="cs"/>
          <w:rtl/>
        </w:rPr>
        <w:t>דברי הרשב"א דכיון שהחתיכות עומדות בפנ"ע אמרינן בכל חתיכה שהיא המותרת</w:t>
      </w:r>
      <w:bookmarkEnd w:id="12187"/>
      <w:bookmarkEnd w:id="12188"/>
      <w:bookmarkEnd w:id="12189"/>
      <w:bookmarkEnd w:id="12190"/>
      <w:bookmarkEnd w:id="12191"/>
      <w:bookmarkEnd w:id="12192"/>
    </w:p>
    <w:p w:rsidR="00D45705" w:rsidRPr="00231D14" w:rsidRDefault="00D45705" w:rsidP="009F44AF">
      <w:pPr>
        <w:pStyle w:val="a"/>
        <w:rPr>
          <w:rtl/>
        </w:rPr>
      </w:pPr>
      <w:bookmarkStart w:id="12193" w:name="_Ref23353287"/>
      <w:r>
        <w:rPr>
          <w:rFonts w:hint="cs"/>
          <w:rtl/>
        </w:rPr>
        <w:t xml:space="preserve">אבל </w:t>
      </w:r>
      <w:r w:rsidRPr="00927358">
        <w:rPr>
          <w:rStyle w:val="af8"/>
          <w:rFonts w:hint="cs"/>
          <w:rtl/>
        </w:rPr>
        <w:t>הרשב"א בתוה"ב</w:t>
      </w:r>
      <w:r w:rsidRPr="00B14BCD">
        <w:rPr>
          <w:rStyle w:val="af6"/>
          <w:rFonts w:eastAsia="Guttman Hodes" w:hint="cs"/>
          <w:rtl/>
        </w:rPr>
        <w:t xml:space="preserve"> </w:t>
      </w:r>
      <w:r>
        <w:rPr>
          <w:rStyle w:val="af6"/>
          <w:rFonts w:eastAsia="Guttman Hodes" w:hint="cs"/>
          <w:rtl/>
        </w:rPr>
        <w:t>(</w:t>
      </w:r>
      <w:r w:rsidRPr="00927358">
        <w:rPr>
          <w:rStyle w:val="af6"/>
          <w:rFonts w:eastAsia="Guttman Hodes" w:hint="cs"/>
          <w:rtl/>
        </w:rPr>
        <w:t>ב"ד ש"א יז. מדה"ס)</w:t>
      </w:r>
      <w:r>
        <w:rPr>
          <w:rFonts w:hint="cs"/>
          <w:rtl/>
        </w:rPr>
        <w:t xml:space="preserve"> ביאר דכיון שביבש ביבש הוא יכול לאכול כל חתיכה בפנ"ע, לכן כשאוכל כל אחת מהחתיכות, אומר שאינה החתיכה האסורה, ובחתיכה האחרונה אומר שהאיסור כבר נאכל, והאחרונה היא מותרת, וכתב </w:t>
      </w:r>
      <w:r w:rsidRPr="001E5B44">
        <w:rPr>
          <w:rStyle w:val="af8"/>
          <w:rFonts w:hint="cs"/>
          <w:rtl/>
        </w:rPr>
        <w:t>הרשב"א</w:t>
      </w:r>
      <w:r>
        <w:rPr>
          <w:rFonts w:hint="cs"/>
          <w:rtl/>
        </w:rPr>
        <w:t xml:space="preserve"> דלכן מותר לאכול לכתחילה כל חתיכה בפנ"ע.</w:t>
      </w:r>
      <w:r w:rsidRPr="005A2F1A">
        <w:rPr>
          <w:rFonts w:hint="cs"/>
          <w:rtl/>
        </w:rPr>
        <w:t xml:space="preserve"> </w:t>
      </w:r>
      <w:r>
        <w:rPr>
          <w:rFonts w:hint="cs"/>
          <w:rtl/>
        </w:rPr>
        <w:t xml:space="preserve">[ועי' במ"ש </w:t>
      </w:r>
      <w:r w:rsidRPr="00696D5C">
        <w:rPr>
          <w:rStyle w:val="af8"/>
          <w:rFonts w:hint="cs"/>
          <w:rtl/>
        </w:rPr>
        <w:t>הרשב"א</w:t>
      </w:r>
      <w:r>
        <w:rPr>
          <w:rFonts w:hint="cs"/>
          <w:rtl/>
        </w:rPr>
        <w:t xml:space="preserve"> </w:t>
      </w:r>
      <w:r w:rsidRPr="00C279C6">
        <w:rPr>
          <w:rStyle w:val="af6"/>
          <w:rFonts w:eastAsia="Guttman Hodes" w:hint="cs"/>
          <w:rtl/>
        </w:rPr>
        <w:t>(</w:t>
      </w:r>
      <w:r w:rsidRPr="005B20B9">
        <w:rPr>
          <w:rStyle w:val="af6"/>
          <w:rFonts w:eastAsia="Guttman Hodes"/>
          <w:rtl/>
        </w:rPr>
        <w:t>ב"ד ש"א יז. מדה"ס</w:t>
      </w:r>
      <w:r>
        <w:rPr>
          <w:rStyle w:val="af6"/>
          <w:rFonts w:eastAsia="Guttman Hodes" w:hint="cs"/>
          <w:rtl/>
        </w:rPr>
        <w:t>, הובא בסימן י</w:t>
      </w:r>
      <w:r>
        <w:rPr>
          <w:rStyle w:val="af6"/>
          <w:rFonts w:eastAsia="Guttman Hodes"/>
          <w:rtl/>
        </w:rPr>
        <w:t>"</w:t>
      </w:r>
      <w:r>
        <w:rPr>
          <w:rStyle w:val="af6"/>
          <w:rFonts w:eastAsia="Guttman Hodes" w:hint="cs"/>
          <w:rtl/>
        </w:rPr>
        <w:t>ז אות מ"ז</w:t>
      </w:r>
      <w:r w:rsidRPr="00C279C6">
        <w:rPr>
          <w:rStyle w:val="af6"/>
          <w:rFonts w:eastAsia="Guttman Hodes" w:hint="cs"/>
          <w:rtl/>
        </w:rPr>
        <w:t>)</w:t>
      </w:r>
      <w:r>
        <w:rPr>
          <w:rFonts w:hint="cs"/>
          <w:rtl/>
        </w:rPr>
        <w:t xml:space="preserve"> דלכן ההיתר ביבש ביבש הוא רק באוכל כל חתיכה בפנ"ע, אך אסור לאכול את כל התערובת בבת אחת, ועי' </w:t>
      </w:r>
      <w:r w:rsidRPr="00CB22D9">
        <w:rPr>
          <w:rStyle w:val="af8"/>
          <w:rFonts w:hint="cs"/>
          <w:rtl/>
        </w:rPr>
        <w:t>בקרן אורה</w:t>
      </w:r>
      <w:r>
        <w:rPr>
          <w:rFonts w:hint="cs"/>
          <w:rtl/>
        </w:rPr>
        <w:t xml:space="preserve"> </w:t>
      </w:r>
      <w:r w:rsidRPr="00C279C6">
        <w:rPr>
          <w:rStyle w:val="af6"/>
          <w:rFonts w:eastAsia="Guttman Hodes" w:hint="cs"/>
          <w:rtl/>
        </w:rPr>
        <w:t>(</w:t>
      </w:r>
      <w:r w:rsidRPr="000F6297">
        <w:rPr>
          <w:rStyle w:val="af6"/>
          <w:rFonts w:eastAsia="Guttman Hodes" w:hint="cs"/>
          <w:rtl/>
        </w:rPr>
        <w:t>נזיר לה: ד"ה ונבוא לביאור בתו"ד</w:t>
      </w:r>
      <w:r>
        <w:rPr>
          <w:rStyle w:val="af6"/>
          <w:rFonts w:eastAsia="Guttman Hodes" w:hint="cs"/>
          <w:rtl/>
        </w:rPr>
        <w:t>, הובא בסימן י</w:t>
      </w:r>
      <w:r>
        <w:rPr>
          <w:rStyle w:val="af6"/>
          <w:rFonts w:eastAsia="Guttman Hodes"/>
          <w:rtl/>
        </w:rPr>
        <w:t>"</w:t>
      </w:r>
      <w:r>
        <w:rPr>
          <w:rStyle w:val="af6"/>
          <w:rFonts w:eastAsia="Guttman Hodes" w:hint="cs"/>
          <w:rtl/>
        </w:rPr>
        <w:t>ז אות ס"א</w:t>
      </w:r>
      <w:r w:rsidRPr="00C279C6">
        <w:rPr>
          <w:rStyle w:val="af6"/>
          <w:rFonts w:eastAsia="Guttman Hodes" w:hint="cs"/>
          <w:rtl/>
        </w:rPr>
        <w:t>)</w:t>
      </w:r>
      <w:r>
        <w:rPr>
          <w:rFonts w:hint="cs"/>
          <w:rtl/>
        </w:rPr>
        <w:t xml:space="preserve"> דביאר דבבת אחת אסור מדאו', ועי' </w:t>
      </w:r>
      <w:r w:rsidRPr="00156EAF">
        <w:rPr>
          <w:rStyle w:val="af8"/>
          <w:rFonts w:hint="cs"/>
          <w:rtl/>
        </w:rPr>
        <w:t>בפרמ"ג</w:t>
      </w:r>
      <w:r>
        <w:rPr>
          <w:rFonts w:hint="cs"/>
          <w:rtl/>
        </w:rPr>
        <w:t xml:space="preserve"> </w:t>
      </w:r>
      <w:r w:rsidRPr="00C279C6">
        <w:rPr>
          <w:rStyle w:val="af6"/>
          <w:rFonts w:eastAsia="Guttman Hodes" w:hint="cs"/>
          <w:rtl/>
        </w:rPr>
        <w:t>(</w:t>
      </w:r>
      <w:r w:rsidRPr="00F2204F">
        <w:rPr>
          <w:rStyle w:val="af6"/>
          <w:rFonts w:eastAsia="Guttman Hodes" w:hint="cs"/>
          <w:rtl/>
        </w:rPr>
        <w:t>סי' ק"ט משב"ז סק"א,</w:t>
      </w:r>
      <w:r w:rsidRPr="00F2204F">
        <w:rPr>
          <w:rStyle w:val="af6"/>
          <w:rFonts w:eastAsia="Guttman Hodes"/>
          <w:rtl/>
        </w:rPr>
        <w:t xml:space="preserve"> פתיחה שער התערובות </w:t>
      </w:r>
      <w:r w:rsidRPr="00E708B7">
        <w:rPr>
          <w:rStyle w:val="af6"/>
          <w:rFonts w:eastAsia="Guttman Hodes"/>
          <w:rtl/>
        </w:rPr>
        <w:t>ח"</w:t>
      </w:r>
      <w:r>
        <w:rPr>
          <w:rStyle w:val="af6"/>
          <w:rFonts w:eastAsia="Guttman Rashi" w:hint="cs"/>
          <w:rtl/>
        </w:rPr>
        <w:t>א</w:t>
      </w:r>
      <w:r w:rsidRPr="00E708B7">
        <w:rPr>
          <w:rStyle w:val="af6"/>
          <w:rFonts w:eastAsia="Guttman Hodes"/>
          <w:rtl/>
        </w:rPr>
        <w:t xml:space="preserve"> פ"ג ד"ה </w:t>
      </w:r>
      <w:r>
        <w:rPr>
          <w:rStyle w:val="af6"/>
          <w:rFonts w:eastAsia="Guttman Rashi" w:hint="cs"/>
          <w:rtl/>
        </w:rPr>
        <w:t>והנה בסי' ק"ט</w:t>
      </w:r>
      <w:r>
        <w:rPr>
          <w:rStyle w:val="af6"/>
          <w:rFonts w:eastAsia="Guttman Hodes" w:hint="cs"/>
          <w:rtl/>
        </w:rPr>
        <w:t>, הובא בסימן י</w:t>
      </w:r>
      <w:r>
        <w:rPr>
          <w:rStyle w:val="af6"/>
          <w:rFonts w:eastAsia="Guttman Hodes"/>
          <w:rtl/>
        </w:rPr>
        <w:t>"</w:t>
      </w:r>
      <w:r>
        <w:rPr>
          <w:rStyle w:val="af6"/>
          <w:rFonts w:eastAsia="Guttman Hodes" w:hint="cs"/>
          <w:rtl/>
        </w:rPr>
        <w:t xml:space="preserve">ז אות </w:t>
      </w:r>
      <w:r w:rsidRPr="00272A4F">
        <w:rPr>
          <w:rStyle w:val="af6"/>
          <w:rFonts w:eastAsia="Guttman Hodes" w:hint="cs"/>
          <w:rtl/>
        </w:rPr>
        <w:t>ס"</w:t>
      </w:r>
      <w:r>
        <w:rPr>
          <w:rStyle w:val="af6"/>
          <w:rFonts w:eastAsia="Guttman Hodes" w:hint="cs"/>
          <w:rtl/>
        </w:rPr>
        <w:t>ז</w:t>
      </w:r>
      <w:r w:rsidRPr="00272A4F">
        <w:rPr>
          <w:rStyle w:val="af6"/>
          <w:rFonts w:eastAsia="Guttman Hodes" w:hint="cs"/>
          <w:rtl/>
        </w:rPr>
        <w:t>)</w:t>
      </w:r>
      <w:r>
        <w:rPr>
          <w:rFonts w:hint="cs"/>
          <w:rtl/>
        </w:rPr>
        <w:t xml:space="preserve"> דביאר דבבת אחת אסור מדרבנן].</w:t>
      </w:r>
      <w:bookmarkEnd w:id="12193"/>
    </w:p>
    <w:p w:rsidR="00D45705" w:rsidRDefault="00D45705" w:rsidP="00D45705">
      <w:pPr>
        <w:pStyle w:val="a2"/>
        <w:rPr>
          <w:rtl/>
        </w:rPr>
      </w:pPr>
      <w:bookmarkStart w:id="12194" w:name="_Toc23372472"/>
      <w:bookmarkStart w:id="12195" w:name="_Toc23419159"/>
      <w:bookmarkStart w:id="12196" w:name="_Toc23499425"/>
      <w:bookmarkStart w:id="12197" w:name="_Toc23663831"/>
      <w:bookmarkStart w:id="12198" w:name="_Toc23672483"/>
      <w:bookmarkStart w:id="12199" w:name="_Toc23673047"/>
      <w:r>
        <w:rPr>
          <w:rFonts w:hint="cs"/>
          <w:rtl/>
        </w:rPr>
        <w:lastRenderedPageBreak/>
        <w:t>דברי הרשב"א דכיון שיכול לומר שכל חתיכה מותרת לכן הקילו רבנן ולא הצריכו שישים</w:t>
      </w:r>
      <w:bookmarkEnd w:id="12194"/>
      <w:bookmarkEnd w:id="12195"/>
      <w:bookmarkEnd w:id="12196"/>
      <w:bookmarkEnd w:id="12197"/>
      <w:bookmarkEnd w:id="12198"/>
      <w:bookmarkEnd w:id="12199"/>
    </w:p>
    <w:p w:rsidR="00D45705" w:rsidRDefault="00D45705" w:rsidP="009F44AF">
      <w:pPr>
        <w:pStyle w:val="a"/>
        <w:rPr>
          <w:rtl/>
        </w:rPr>
      </w:pPr>
      <w:bookmarkStart w:id="12200" w:name="_Ref23243880"/>
      <w:r>
        <w:rPr>
          <w:rFonts w:hint="cs"/>
          <w:rtl/>
        </w:rPr>
        <w:t xml:space="preserve">וכתב </w:t>
      </w:r>
      <w:r w:rsidRPr="001E5B44">
        <w:rPr>
          <w:rStyle w:val="af8"/>
          <w:rFonts w:hint="cs"/>
          <w:rtl/>
        </w:rPr>
        <w:t>הרשב"א</w:t>
      </w:r>
      <w:r>
        <w:rPr>
          <w:rFonts w:hint="cs"/>
          <w:rtl/>
        </w:rPr>
        <w:t xml:space="preserve"> </w:t>
      </w:r>
      <w:r w:rsidRPr="00927358">
        <w:rPr>
          <w:rStyle w:val="af8"/>
          <w:rFonts w:hint="cs"/>
          <w:rtl/>
        </w:rPr>
        <w:t>בתוה"ב</w:t>
      </w:r>
      <w:r w:rsidRPr="00B14BCD">
        <w:rPr>
          <w:rFonts w:hint="cs"/>
          <w:rtl/>
        </w:rPr>
        <w:t xml:space="preserve"> </w:t>
      </w:r>
      <w:r w:rsidRPr="00582743">
        <w:rPr>
          <w:rStyle w:val="af6"/>
          <w:rFonts w:eastAsia="Guttman Hodes" w:hint="cs"/>
          <w:rtl/>
        </w:rPr>
        <w:t>(ב"ד ש"א יז. מדה"ס)</w:t>
      </w:r>
      <w:r w:rsidR="000757E3">
        <w:rPr>
          <w:rFonts w:hint="cs"/>
          <w:rtl/>
        </w:rPr>
        <w:t xml:space="preserve"> דהא דבמין במינו </w:t>
      </w:r>
      <w:r>
        <w:rPr>
          <w:rFonts w:hint="cs"/>
          <w:rtl/>
        </w:rPr>
        <w:t>ביבש ביבש אף מדרבנן א"צ שישים, הוא כיון דמדאו' חד בתרי בטיל, ובכל אחת שהוא אוכל יכול לומר שאינה החתיכה האסורה, לכן הקילו רבנן שא"צ שישים כמו בשאר האיסורין.</w:t>
      </w:r>
      <w:bookmarkEnd w:id="12200"/>
    </w:p>
    <w:p w:rsidR="00D45705" w:rsidRDefault="00D45705" w:rsidP="00D45705">
      <w:pPr>
        <w:pStyle w:val="a2"/>
        <w:rPr>
          <w:rtl/>
        </w:rPr>
      </w:pPr>
      <w:bookmarkStart w:id="12201" w:name="_Toc23419160"/>
      <w:bookmarkStart w:id="12202" w:name="_Toc23499426"/>
      <w:bookmarkStart w:id="12203" w:name="_Toc23663832"/>
      <w:bookmarkStart w:id="12204" w:name="_Toc23672484"/>
      <w:bookmarkStart w:id="12205" w:name="_Toc23673048"/>
      <w:r>
        <w:rPr>
          <w:rFonts w:hint="cs"/>
          <w:rtl/>
        </w:rPr>
        <w:t>דברי הרשב"א דביבש ברוב ובלח ביותר משישים העמידו על דין דאו' דבטל ברוב אף בהוחזק</w:t>
      </w:r>
      <w:bookmarkEnd w:id="12201"/>
      <w:bookmarkEnd w:id="12202"/>
      <w:bookmarkEnd w:id="12203"/>
      <w:bookmarkEnd w:id="12204"/>
      <w:bookmarkEnd w:id="12205"/>
    </w:p>
    <w:p w:rsidR="00D45705" w:rsidRDefault="00D45705" w:rsidP="009F44AF">
      <w:pPr>
        <w:pStyle w:val="a"/>
        <w:rPr>
          <w:rtl/>
        </w:rPr>
      </w:pPr>
      <w:r>
        <w:rPr>
          <w:rFonts w:hint="cs"/>
          <w:rtl/>
        </w:rPr>
        <w:t xml:space="preserve">הקשה </w:t>
      </w:r>
      <w:r w:rsidRPr="001E5B44">
        <w:rPr>
          <w:rStyle w:val="af8"/>
          <w:rFonts w:hint="cs"/>
          <w:rtl/>
        </w:rPr>
        <w:t>השואל בתשו' הרשב"א</w:t>
      </w:r>
      <w:r>
        <w:rPr>
          <w:rFonts w:hint="cs"/>
          <w:rtl/>
        </w:rPr>
        <w:t xml:space="preserve"> </w:t>
      </w:r>
      <w:r w:rsidRPr="001E5B44">
        <w:rPr>
          <w:rStyle w:val="af6"/>
          <w:rFonts w:eastAsia="Guttman Hodes" w:hint="cs"/>
          <w:rtl/>
        </w:rPr>
        <w:t>(ח"א סי' רע"ב)</w:t>
      </w:r>
      <w:r>
        <w:rPr>
          <w:rFonts w:hint="cs"/>
          <w:rtl/>
        </w:rPr>
        <w:t xml:space="preserve"> דהיאך מותר ביבש ביבש בפחות משישים, אחר שאיתחזק איסורא, ותירץ לו </w:t>
      </w:r>
      <w:r w:rsidRPr="001E5B44">
        <w:rPr>
          <w:rStyle w:val="af8"/>
          <w:rFonts w:hint="cs"/>
          <w:rtl/>
        </w:rPr>
        <w:t>הרשב"א</w:t>
      </w:r>
      <w:r>
        <w:rPr>
          <w:rFonts w:hint="cs"/>
          <w:rtl/>
        </w:rPr>
        <w:t xml:space="preserve"> דבכל שישים בלח בלח ג"כ מותר אף שאיתחזק איסורא, ואף במין במינו דהחמירו רבנן לאוסרו בשישים, מהני שישים להתיר אף שאיתחזק איסורא, ומוכח דביותר משישים העמידו רבנן על דינא דאו' דמותר, וא"כ אף ביבש ביבש אפש"ל דכיון דמדאו' מהני ביטול בחד בתרי, העמידו רבנן על הדין דאו'.</w:t>
      </w:r>
    </w:p>
    <w:p w:rsidR="00D45705" w:rsidRDefault="00D45705" w:rsidP="00D45705">
      <w:pPr>
        <w:pStyle w:val="1"/>
        <w:rPr>
          <w:rtl/>
        </w:rPr>
      </w:pPr>
      <w:bookmarkStart w:id="12206" w:name="_Toc23499427"/>
      <w:bookmarkStart w:id="12207" w:name="_Toc23663833"/>
      <w:bookmarkStart w:id="12208" w:name="_Toc23672485"/>
      <w:bookmarkStart w:id="12209" w:name="_Toc23673049"/>
      <w:r>
        <w:rPr>
          <w:rFonts w:hint="cs"/>
          <w:rtl/>
        </w:rPr>
        <w:t>ביאור הרמב"ן בשם תוס' דכיון שאם יבשל אין טעם א"צ שישים</w:t>
      </w:r>
      <w:bookmarkEnd w:id="12206"/>
      <w:bookmarkEnd w:id="12207"/>
      <w:bookmarkEnd w:id="12208"/>
      <w:bookmarkEnd w:id="12209"/>
    </w:p>
    <w:p w:rsidR="00D45705" w:rsidRPr="00443246" w:rsidRDefault="00D45705" w:rsidP="00D45705">
      <w:pPr>
        <w:pStyle w:val="a2"/>
        <w:rPr>
          <w:rtl/>
        </w:rPr>
      </w:pPr>
      <w:bookmarkStart w:id="12210" w:name="_Toc23499428"/>
      <w:bookmarkStart w:id="12211" w:name="_Toc23663834"/>
      <w:bookmarkStart w:id="12212" w:name="_Toc23672486"/>
      <w:bookmarkStart w:id="12213" w:name="_Toc23673050"/>
      <w:r>
        <w:rPr>
          <w:rFonts w:hint="cs"/>
          <w:rtl/>
        </w:rPr>
        <w:t>דברי הרמב"ן והרשב"א בשם תוס' דביבש ביבש מהני ביטול ברוב ורק בלח בלח צריך שישים</w:t>
      </w:r>
      <w:bookmarkEnd w:id="12210"/>
      <w:bookmarkEnd w:id="12211"/>
      <w:bookmarkEnd w:id="12212"/>
      <w:bookmarkEnd w:id="12213"/>
    </w:p>
    <w:p w:rsidR="00D45705" w:rsidRPr="003378C7" w:rsidRDefault="00D45705" w:rsidP="009F44AF">
      <w:pPr>
        <w:pStyle w:val="a"/>
        <w:rPr>
          <w:sz w:val="10"/>
          <w:szCs w:val="14"/>
          <w:rtl/>
        </w:rPr>
      </w:pPr>
      <w:r>
        <w:rPr>
          <w:rFonts w:hint="cs"/>
          <w:rtl/>
        </w:rPr>
        <w:t xml:space="preserve">כתבו </w:t>
      </w:r>
      <w:r w:rsidRPr="006A1E74">
        <w:rPr>
          <w:rStyle w:val="af8"/>
          <w:rFonts w:hint="cs"/>
          <w:rtl/>
        </w:rPr>
        <w:t xml:space="preserve">הרמב"ן לעיל </w:t>
      </w:r>
      <w:r w:rsidRPr="00D802E1">
        <w:rPr>
          <w:rStyle w:val="af6"/>
          <w:rFonts w:eastAsia="Guttman Hodes" w:hint="cs"/>
          <w:rtl/>
        </w:rPr>
        <w:t xml:space="preserve">(צז: ד"ה אלא שמצאתי) </w:t>
      </w:r>
      <w:r>
        <w:rPr>
          <w:rStyle w:val="af8"/>
          <w:rFonts w:hint="cs"/>
          <w:rtl/>
        </w:rPr>
        <w:t>ו</w:t>
      </w:r>
      <w:r w:rsidRPr="005B157F">
        <w:rPr>
          <w:rStyle w:val="af8"/>
          <w:rFonts w:hint="cs"/>
          <w:rtl/>
        </w:rPr>
        <w:t xml:space="preserve">הרשב"א </w:t>
      </w:r>
      <w:r w:rsidRPr="00C43C4E">
        <w:rPr>
          <w:rStyle w:val="af8"/>
          <w:rFonts w:hint="cs"/>
          <w:rtl/>
        </w:rPr>
        <w:t>לעיל</w:t>
      </w:r>
      <w:r>
        <w:rPr>
          <w:rFonts w:hint="cs"/>
          <w:rtl/>
        </w:rPr>
        <w:t xml:space="preserve"> </w:t>
      </w:r>
      <w:r w:rsidRPr="00C0054B">
        <w:rPr>
          <w:rStyle w:val="af6"/>
          <w:rFonts w:eastAsia="Guttman Hodes" w:hint="cs"/>
          <w:rtl/>
        </w:rPr>
        <w:t xml:space="preserve">(צז: ד"ה א"ל) </w:t>
      </w:r>
      <w:r>
        <w:rPr>
          <w:rFonts w:hint="cs"/>
          <w:rtl/>
        </w:rPr>
        <w:t xml:space="preserve">בשם </w:t>
      </w:r>
      <w:r w:rsidRPr="006A1E74">
        <w:rPr>
          <w:rStyle w:val="af8"/>
          <w:rFonts w:hint="cs"/>
          <w:rtl/>
        </w:rPr>
        <w:t xml:space="preserve">התוס' </w:t>
      </w:r>
      <w:r>
        <w:rPr>
          <w:rFonts w:hint="cs"/>
          <w:rtl/>
        </w:rPr>
        <w:t>דכל שיעור שישים, הוא רק בלח בלח, אבל ביבש ביבש במין במינו כשכ"א מהחתיכות עומדת בפנ"ע, מהני ביטול ברוב וא"צ שישים, ואם בישל כ"א מהם בפנ"ע, או שצלה אותם, שאין בזה נתינת טעם, מהני ביטול ברוב.</w:t>
      </w:r>
    </w:p>
    <w:p w:rsidR="00D45705" w:rsidRPr="00443246" w:rsidRDefault="00D45705" w:rsidP="00D45705">
      <w:pPr>
        <w:pStyle w:val="a2"/>
      </w:pPr>
      <w:bookmarkStart w:id="12214" w:name="_Toc23499429"/>
      <w:bookmarkStart w:id="12215" w:name="_Toc23663835"/>
      <w:bookmarkStart w:id="12216" w:name="_Toc23672487"/>
      <w:bookmarkStart w:id="12217" w:name="_Toc23673051"/>
      <w:r>
        <w:rPr>
          <w:rFonts w:hint="cs"/>
          <w:rtl/>
        </w:rPr>
        <w:t>ביאור הרמב"ן בשם תוס' דבמין במינו שאף אם יבשל אין נתינת טעם א"צ שישים</w:t>
      </w:r>
      <w:bookmarkEnd w:id="12214"/>
      <w:bookmarkEnd w:id="12215"/>
      <w:bookmarkEnd w:id="12216"/>
      <w:bookmarkEnd w:id="12217"/>
    </w:p>
    <w:p w:rsidR="00D45705" w:rsidRDefault="00D45705" w:rsidP="009F44AF">
      <w:pPr>
        <w:pStyle w:val="a"/>
        <w:rPr>
          <w:rtl/>
        </w:rPr>
      </w:pPr>
      <w:r>
        <w:rPr>
          <w:rFonts w:hint="cs"/>
          <w:rtl/>
        </w:rPr>
        <w:t xml:space="preserve">וביארו </w:t>
      </w:r>
      <w:r w:rsidRPr="006A1E74">
        <w:rPr>
          <w:rStyle w:val="af8"/>
          <w:rFonts w:hint="cs"/>
          <w:rtl/>
        </w:rPr>
        <w:t>הרמב"ן לעיל</w:t>
      </w:r>
      <w:r>
        <w:rPr>
          <w:rFonts w:hint="cs"/>
          <w:rtl/>
        </w:rPr>
        <w:t xml:space="preserve"> </w:t>
      </w:r>
      <w:r>
        <w:rPr>
          <w:rStyle w:val="af8"/>
          <w:rFonts w:hint="cs"/>
          <w:rtl/>
        </w:rPr>
        <w:t>ו</w:t>
      </w:r>
      <w:r w:rsidRPr="005B157F">
        <w:rPr>
          <w:rStyle w:val="af8"/>
          <w:rFonts w:hint="cs"/>
          <w:rtl/>
        </w:rPr>
        <w:t xml:space="preserve">הרשב"א </w:t>
      </w:r>
      <w:r w:rsidRPr="00C43C4E">
        <w:rPr>
          <w:rStyle w:val="af8"/>
          <w:rFonts w:hint="cs"/>
          <w:rtl/>
        </w:rPr>
        <w:t>לעיל</w:t>
      </w:r>
      <w:r>
        <w:rPr>
          <w:rFonts w:hint="cs"/>
          <w:rtl/>
        </w:rPr>
        <w:t xml:space="preserve"> בשם </w:t>
      </w:r>
      <w:r w:rsidRPr="006A1E74">
        <w:rPr>
          <w:rStyle w:val="af8"/>
          <w:rFonts w:hint="cs"/>
          <w:rtl/>
        </w:rPr>
        <w:t>התוס'</w:t>
      </w:r>
      <w:r>
        <w:rPr>
          <w:rFonts w:hint="cs"/>
          <w:rtl/>
        </w:rPr>
        <w:t xml:space="preserve"> דרוב מהני ביבש ביבש רק במין במינו, דכיון שאף אם יבשלם יחד, הטעם של האיסור לא ניכר בהיתר, ולכן סגי ברוב וא"צ שישים, אבל במין בשאינו מינו ואינו מכיר את האיסור, כתבו </w:t>
      </w:r>
      <w:r w:rsidRPr="00E44877">
        <w:rPr>
          <w:rStyle w:val="af8"/>
          <w:rFonts w:hint="cs"/>
          <w:rtl/>
        </w:rPr>
        <w:t>הרמב"ן לעיל</w:t>
      </w:r>
      <w:r>
        <w:rPr>
          <w:rFonts w:hint="cs"/>
          <w:rtl/>
        </w:rPr>
        <w:t xml:space="preserve"> </w:t>
      </w:r>
      <w:r>
        <w:rPr>
          <w:rStyle w:val="af8"/>
          <w:rFonts w:hint="cs"/>
          <w:rtl/>
        </w:rPr>
        <w:t>ו</w:t>
      </w:r>
      <w:r w:rsidRPr="005B157F">
        <w:rPr>
          <w:rStyle w:val="af8"/>
          <w:rFonts w:hint="cs"/>
          <w:rtl/>
        </w:rPr>
        <w:t xml:space="preserve">הרשב"א </w:t>
      </w:r>
      <w:r w:rsidRPr="00C43C4E">
        <w:rPr>
          <w:rStyle w:val="af8"/>
          <w:rFonts w:hint="cs"/>
          <w:rtl/>
        </w:rPr>
        <w:t>לעיל</w:t>
      </w:r>
      <w:r>
        <w:rPr>
          <w:rFonts w:hint="cs"/>
          <w:rtl/>
        </w:rPr>
        <w:t xml:space="preserve"> בשם </w:t>
      </w:r>
      <w:r w:rsidRPr="00E44877">
        <w:rPr>
          <w:rStyle w:val="af8"/>
          <w:rFonts w:hint="cs"/>
          <w:rtl/>
        </w:rPr>
        <w:t>התוס'</w:t>
      </w:r>
      <w:r>
        <w:rPr>
          <w:rFonts w:hint="cs"/>
          <w:rtl/>
        </w:rPr>
        <w:t xml:space="preserve"> צריך שישים אף ביבש ביבש, כיון שאם יבשלם אח"כ יחד, יהיה ניכר הטעם של האיסור בהיתר, ולכן אף ביבש צריך שישים לבטלו, והוסיפו </w:t>
      </w:r>
      <w:r w:rsidRPr="0021541D">
        <w:rPr>
          <w:rStyle w:val="af8"/>
          <w:rFonts w:hint="cs"/>
          <w:rtl/>
        </w:rPr>
        <w:t>הרמב"ן לעיל</w:t>
      </w:r>
      <w:r>
        <w:rPr>
          <w:rStyle w:val="af6"/>
          <w:rFonts w:eastAsia="Guttman Hodes" w:hint="cs"/>
          <w:rtl/>
        </w:rPr>
        <w:t xml:space="preserve"> </w:t>
      </w:r>
      <w:r>
        <w:rPr>
          <w:rStyle w:val="af8"/>
          <w:rFonts w:hint="cs"/>
          <w:rtl/>
        </w:rPr>
        <w:t>ו</w:t>
      </w:r>
      <w:r w:rsidRPr="005B157F">
        <w:rPr>
          <w:rStyle w:val="af8"/>
          <w:rFonts w:hint="cs"/>
          <w:rtl/>
        </w:rPr>
        <w:t xml:space="preserve">הרשב"א </w:t>
      </w:r>
      <w:r w:rsidRPr="00C43C4E">
        <w:rPr>
          <w:rStyle w:val="af8"/>
          <w:rFonts w:hint="cs"/>
          <w:rtl/>
        </w:rPr>
        <w:t>לעיל</w:t>
      </w:r>
      <w:r>
        <w:rPr>
          <w:rFonts w:hint="cs"/>
          <w:rtl/>
        </w:rPr>
        <w:t xml:space="preserve"> דכן כתב </w:t>
      </w:r>
      <w:r>
        <w:rPr>
          <w:rStyle w:val="af8"/>
          <w:rFonts w:hint="cs"/>
          <w:rtl/>
        </w:rPr>
        <w:t>הר</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sidRPr="0021541D">
        <w:rPr>
          <w:rStyle w:val="af8"/>
          <w:rFonts w:hint="cs"/>
          <w:rtl/>
        </w:rPr>
        <w:t xml:space="preserve"> </w:t>
      </w:r>
      <w:r w:rsidRPr="001B66F7">
        <w:rPr>
          <w:rStyle w:val="af6"/>
          <w:rFonts w:eastAsia="Guttman Hodes" w:hint="cs"/>
          <w:rtl/>
        </w:rPr>
        <w:t xml:space="preserve">(עי' אות </w:t>
      </w:r>
      <w:r w:rsidRPr="001B66F7">
        <w:rPr>
          <w:rStyle w:val="af6"/>
          <w:rFonts w:eastAsia="Guttman Hodes"/>
          <w:rtl/>
        </w:rPr>
        <w:fldChar w:fldCharType="begin"/>
      </w:r>
      <w:r w:rsidRPr="001B66F7">
        <w:rPr>
          <w:rStyle w:val="af6"/>
          <w:rFonts w:eastAsia="Guttman Hodes"/>
          <w:rtl/>
        </w:rPr>
        <w:instrText xml:space="preserve"> </w:instrText>
      </w:r>
      <w:r w:rsidRPr="001B66F7">
        <w:rPr>
          <w:rStyle w:val="af6"/>
          <w:rFonts w:eastAsia="Guttman Hodes" w:hint="cs"/>
        </w:rPr>
        <w:instrText>REF</w:instrText>
      </w:r>
      <w:r w:rsidRPr="001B66F7">
        <w:rPr>
          <w:rStyle w:val="af6"/>
          <w:rFonts w:eastAsia="Guttman Hodes" w:hint="cs"/>
          <w:rtl/>
        </w:rPr>
        <w:instrText xml:space="preserve"> _</w:instrText>
      </w:r>
      <w:r w:rsidRPr="001B66F7">
        <w:rPr>
          <w:rStyle w:val="af6"/>
          <w:rFonts w:eastAsia="Guttman Hodes" w:hint="cs"/>
        </w:rPr>
        <w:instrText>Ref23670965 \r \h</w:instrText>
      </w:r>
      <w:r w:rsidRPr="001B66F7">
        <w:rPr>
          <w:rStyle w:val="af6"/>
          <w:rFonts w:eastAsia="Guttman Hodes"/>
          <w:rtl/>
        </w:rPr>
        <w:instrText xml:space="preserve"> </w:instrText>
      </w:r>
      <w:r w:rsidRPr="001B66F7">
        <w:rPr>
          <w:rStyle w:val="af6"/>
          <w:rFonts w:eastAsia="Guttman Hodes"/>
          <w:rtl/>
        </w:rPr>
      </w:r>
      <w:r w:rsidRPr="001B66F7">
        <w:rPr>
          <w:rStyle w:val="af6"/>
          <w:rFonts w:eastAsia="Guttman Hodes"/>
          <w:rtl/>
        </w:rPr>
        <w:fldChar w:fldCharType="separate"/>
      </w:r>
      <w:r w:rsidR="004D1C5B">
        <w:rPr>
          <w:rStyle w:val="af6"/>
          <w:rFonts w:eastAsia="Guttman Hodes"/>
          <w:cs/>
        </w:rPr>
        <w:t>‎</w:t>
      </w:r>
      <w:r w:rsidR="004D1C5B">
        <w:rPr>
          <w:rStyle w:val="af6"/>
          <w:rFonts w:eastAsia="Guttman Hodes"/>
          <w:rtl/>
        </w:rPr>
        <w:t>מב)</w:t>
      </w:r>
      <w:r w:rsidRPr="001B66F7">
        <w:rPr>
          <w:rStyle w:val="af6"/>
          <w:rFonts w:eastAsia="Guttman Hodes"/>
          <w:rtl/>
        </w:rPr>
        <w:fldChar w:fldCharType="end"/>
      </w:r>
      <w:r>
        <w:rPr>
          <w:rFonts w:hint="cs"/>
          <w:rtl/>
        </w:rPr>
        <w:t xml:space="preserve"> דלרבנן מין במינו ביבש ביבש בטל ברוב, ובלח בלח מדאו' בטל ברוב, ומדרבנן צריך שישים, ודלא כדעת </w:t>
      </w:r>
      <w:r w:rsidRPr="00443246">
        <w:rPr>
          <w:rStyle w:val="af8"/>
          <w:rFonts w:hint="cs"/>
          <w:rtl/>
        </w:rPr>
        <w:t xml:space="preserve">הר"א </w:t>
      </w:r>
      <w:r w:rsidRPr="00227059">
        <w:rPr>
          <w:rStyle w:val="af8"/>
          <w:rFonts w:hint="cs"/>
          <w:rtl/>
        </w:rPr>
        <w:t>אב"ד</w:t>
      </w:r>
      <w:r w:rsidRPr="00D6558D">
        <w:rPr>
          <w:vertAlign w:val="superscript"/>
          <w:rtl/>
        </w:rPr>
        <w:fldChar w:fldCharType="begin"/>
      </w:r>
      <w:r w:rsidRPr="00D6558D">
        <w:rPr>
          <w:vertAlign w:val="superscript"/>
          <w:rtl/>
        </w:rPr>
        <w:instrText xml:space="preserve"> </w:instrText>
      </w:r>
      <w:r w:rsidRPr="00D6558D">
        <w:rPr>
          <w:rFonts w:hint="cs"/>
          <w:vertAlign w:val="superscript"/>
        </w:rPr>
        <w:instrText>NOTEREF</w:instrText>
      </w:r>
      <w:r w:rsidRPr="00D6558D">
        <w:rPr>
          <w:rFonts w:hint="cs"/>
          <w:vertAlign w:val="superscript"/>
          <w:rtl/>
        </w:rPr>
        <w:instrText xml:space="preserve"> _</w:instrText>
      </w:r>
      <w:r w:rsidRPr="00D6558D">
        <w:rPr>
          <w:rFonts w:hint="cs"/>
          <w:vertAlign w:val="superscript"/>
        </w:rPr>
        <w:instrText>Ref23672412 \h</w:instrText>
      </w:r>
      <w:r w:rsidRPr="00D6558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6558D">
        <w:rPr>
          <w:vertAlign w:val="superscript"/>
          <w:rtl/>
        </w:rPr>
      </w:r>
      <w:r w:rsidRPr="00D6558D">
        <w:rPr>
          <w:vertAlign w:val="superscript"/>
          <w:rtl/>
        </w:rPr>
        <w:fldChar w:fldCharType="separate"/>
      </w:r>
      <w:r w:rsidR="004D1C5B">
        <w:rPr>
          <w:vertAlign w:val="superscript"/>
          <w:rtl/>
        </w:rPr>
        <w:t>56</w:t>
      </w:r>
      <w:r w:rsidRPr="00D6558D">
        <w:rPr>
          <w:vertAlign w:val="superscript"/>
          <w:rtl/>
        </w:rPr>
        <w:fldChar w:fldCharType="end"/>
      </w:r>
      <w:r>
        <w:rPr>
          <w:rFonts w:hint="cs"/>
          <w:rtl/>
        </w:rPr>
        <w:t xml:space="preserve"> </w:t>
      </w:r>
      <w:r w:rsidRPr="00D611A0">
        <w:rPr>
          <w:rStyle w:val="af6"/>
          <w:rFonts w:eastAsia="Guttman Hodes" w:hint="cs"/>
          <w:rtl/>
        </w:rPr>
        <w:t xml:space="preserve">(עי' אות </w:t>
      </w:r>
      <w:r w:rsidRPr="00D611A0">
        <w:rPr>
          <w:rStyle w:val="af6"/>
          <w:rFonts w:eastAsia="Guttman Hodes"/>
          <w:rtl/>
        </w:rPr>
        <w:fldChar w:fldCharType="begin"/>
      </w:r>
      <w:r w:rsidRPr="00D611A0">
        <w:rPr>
          <w:rStyle w:val="af6"/>
          <w:rFonts w:eastAsia="Guttman Hodes"/>
          <w:rtl/>
        </w:rPr>
        <w:instrText xml:space="preserve"> </w:instrText>
      </w:r>
      <w:r w:rsidRPr="00D611A0">
        <w:rPr>
          <w:rStyle w:val="af6"/>
          <w:rFonts w:eastAsia="Guttman Hodes" w:hint="cs"/>
        </w:rPr>
        <w:instrText>REF</w:instrText>
      </w:r>
      <w:r w:rsidRPr="00D611A0">
        <w:rPr>
          <w:rStyle w:val="af6"/>
          <w:rFonts w:eastAsia="Guttman Hodes" w:hint="cs"/>
          <w:rtl/>
        </w:rPr>
        <w:instrText xml:space="preserve"> _</w:instrText>
      </w:r>
      <w:r w:rsidRPr="00D611A0">
        <w:rPr>
          <w:rStyle w:val="af6"/>
          <w:rFonts w:eastAsia="Guttman Hodes" w:hint="cs"/>
        </w:rPr>
        <w:instrText>Ref23409765 \r \h</w:instrText>
      </w:r>
      <w:r w:rsidRPr="00D611A0">
        <w:rPr>
          <w:rStyle w:val="af6"/>
          <w:rFonts w:eastAsia="Guttman Hodes"/>
          <w:rtl/>
        </w:rPr>
        <w:instrText xml:space="preserve"> </w:instrText>
      </w:r>
      <w:r w:rsidRPr="00D611A0">
        <w:rPr>
          <w:rStyle w:val="af6"/>
          <w:rFonts w:eastAsia="Guttman Hodes"/>
          <w:rtl/>
        </w:rPr>
      </w:r>
      <w:r w:rsidRPr="00D611A0">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D611A0">
        <w:rPr>
          <w:rStyle w:val="af6"/>
          <w:rFonts w:eastAsia="Guttman Hodes"/>
          <w:rtl/>
        </w:rPr>
        <w:fldChar w:fldCharType="end"/>
      </w:r>
      <w:r>
        <w:rPr>
          <w:rFonts w:hint="cs"/>
          <w:rtl/>
        </w:rPr>
        <w:t xml:space="preserve"> דס"ל דאף במין במינו ביבש ביבש צריך שישים.</w:t>
      </w:r>
      <w:r w:rsidRPr="00730C79">
        <w:rPr>
          <w:rStyle w:val="afa"/>
          <w:rFonts w:hint="cs"/>
          <w:rtl/>
        </w:rPr>
        <w:t xml:space="preserve"> </w:t>
      </w:r>
      <w:r w:rsidRPr="00D611A0">
        <w:rPr>
          <w:rStyle w:val="afa"/>
          <w:rFonts w:hint="cs"/>
          <w:rtl/>
        </w:rPr>
        <w:t xml:space="preserve">[ועי' במה שביאר </w:t>
      </w:r>
      <w:r w:rsidRPr="00D611A0">
        <w:rPr>
          <w:rStyle w:val="affa"/>
          <w:rFonts w:hint="cs"/>
          <w:rtl/>
        </w:rPr>
        <w:t>הפרמ"ג</w:t>
      </w:r>
      <w:r w:rsidRPr="00D611A0">
        <w:rPr>
          <w:rStyle w:val="afa"/>
          <w:rFonts w:hint="cs"/>
          <w:rtl/>
        </w:rPr>
        <w:t xml:space="preserve"> </w:t>
      </w:r>
      <w:r w:rsidRPr="00D611A0">
        <w:rPr>
          <w:rStyle w:val="aff6"/>
          <w:rFonts w:hint="cs"/>
          <w:rtl/>
        </w:rPr>
        <w:t xml:space="preserve">(עי' אות </w:t>
      </w:r>
      <w:r w:rsidRPr="00D611A0">
        <w:rPr>
          <w:rStyle w:val="aff6"/>
          <w:rtl/>
        </w:rPr>
        <w:fldChar w:fldCharType="begin"/>
      </w:r>
      <w:r w:rsidRPr="00D611A0">
        <w:rPr>
          <w:rStyle w:val="aff6"/>
          <w:rtl/>
        </w:rPr>
        <w:instrText xml:space="preserve"> </w:instrText>
      </w:r>
      <w:r w:rsidRPr="00D611A0">
        <w:rPr>
          <w:rStyle w:val="aff6"/>
          <w:rFonts w:hint="cs"/>
        </w:rPr>
        <w:instrText>REF</w:instrText>
      </w:r>
      <w:r w:rsidRPr="00D611A0">
        <w:rPr>
          <w:rStyle w:val="aff6"/>
          <w:rFonts w:hint="cs"/>
          <w:rtl/>
        </w:rPr>
        <w:instrText xml:space="preserve"> _</w:instrText>
      </w:r>
      <w:r w:rsidRPr="00D611A0">
        <w:rPr>
          <w:rStyle w:val="aff6"/>
          <w:rFonts w:hint="cs"/>
        </w:rPr>
        <w:instrText>Ref23669680 \r \h</w:instrText>
      </w:r>
      <w:r w:rsidRPr="00D611A0">
        <w:rPr>
          <w:rStyle w:val="aff6"/>
          <w:rtl/>
        </w:rPr>
        <w:instrText xml:space="preserve"> </w:instrText>
      </w:r>
      <w:r w:rsidRPr="00D611A0">
        <w:rPr>
          <w:rStyle w:val="aff6"/>
          <w:rtl/>
        </w:rPr>
      </w:r>
      <w:r w:rsidRPr="00D611A0">
        <w:rPr>
          <w:rStyle w:val="aff6"/>
          <w:rtl/>
        </w:rPr>
        <w:fldChar w:fldCharType="separate"/>
      </w:r>
      <w:r w:rsidR="004D1C5B">
        <w:rPr>
          <w:rStyle w:val="aff6"/>
          <w:cs/>
        </w:rPr>
        <w:t>‎</w:t>
      </w:r>
      <w:r w:rsidR="004D1C5B">
        <w:rPr>
          <w:rStyle w:val="aff6"/>
          <w:rtl/>
        </w:rPr>
        <w:t>כח)</w:t>
      </w:r>
      <w:r w:rsidRPr="00D611A0">
        <w:rPr>
          <w:rStyle w:val="aff6"/>
          <w:rtl/>
        </w:rPr>
        <w:fldChar w:fldCharType="end"/>
      </w:r>
      <w:r w:rsidRPr="00D611A0">
        <w:rPr>
          <w:rStyle w:val="afa"/>
          <w:rFonts w:hint="cs"/>
          <w:rtl/>
        </w:rPr>
        <w:t xml:space="preserve"> בדעת </w:t>
      </w:r>
      <w:r w:rsidRPr="00D611A0">
        <w:rPr>
          <w:rStyle w:val="affa"/>
          <w:rFonts w:hint="cs"/>
          <w:rtl/>
        </w:rPr>
        <w:t>הר"א אב"ד</w:t>
      </w:r>
      <w:r w:rsidRPr="00BE592E">
        <w:rPr>
          <w:rStyle w:val="afa"/>
          <w:rFonts w:hint="cs"/>
          <w:rtl/>
        </w:rPr>
        <w:t>, ובמה</w:t>
      </w:r>
      <w:r w:rsidRPr="00BD7EC4">
        <w:rPr>
          <w:rStyle w:val="afa"/>
          <w:rFonts w:hint="cs"/>
          <w:rtl/>
        </w:rPr>
        <w:t xml:space="preserve"> שביאר </w:t>
      </w:r>
      <w:r w:rsidRPr="00BD7EC4">
        <w:rPr>
          <w:rStyle w:val="affa"/>
          <w:rFonts w:hint="cs"/>
          <w:rtl/>
        </w:rPr>
        <w:t>הגרעק"א</w:t>
      </w:r>
      <w:r w:rsidRPr="00BD7EC4">
        <w:rPr>
          <w:rStyle w:val="afa"/>
          <w:rFonts w:hint="cs"/>
          <w:rtl/>
        </w:rPr>
        <w:t xml:space="preserve"> </w:t>
      </w:r>
      <w:r w:rsidRPr="00BD7EC4">
        <w:rPr>
          <w:rStyle w:val="aff6"/>
          <w:rFonts w:hint="cs"/>
          <w:rtl/>
        </w:rPr>
        <w:t xml:space="preserve">(עי' אות </w:t>
      </w:r>
      <w:r w:rsidRPr="00BD7EC4">
        <w:rPr>
          <w:rStyle w:val="aff6"/>
          <w:rtl/>
        </w:rPr>
        <w:fldChar w:fldCharType="begin"/>
      </w:r>
      <w:r w:rsidRPr="00BD7EC4">
        <w:rPr>
          <w:rStyle w:val="aff6"/>
          <w:rtl/>
        </w:rPr>
        <w:instrText xml:space="preserve"> </w:instrText>
      </w:r>
      <w:r w:rsidRPr="00BD7EC4">
        <w:rPr>
          <w:rStyle w:val="aff6"/>
          <w:rFonts w:hint="cs"/>
        </w:rPr>
        <w:instrText>REF</w:instrText>
      </w:r>
      <w:r w:rsidRPr="00BD7EC4">
        <w:rPr>
          <w:rStyle w:val="aff6"/>
          <w:rFonts w:hint="cs"/>
          <w:rtl/>
        </w:rPr>
        <w:instrText xml:space="preserve"> _</w:instrText>
      </w:r>
      <w:r w:rsidRPr="00BD7EC4">
        <w:rPr>
          <w:rStyle w:val="aff6"/>
          <w:rFonts w:hint="cs"/>
        </w:rPr>
        <w:instrText>Ref23670670 \r \h</w:instrText>
      </w:r>
      <w:r w:rsidRPr="00BD7EC4">
        <w:rPr>
          <w:rStyle w:val="aff6"/>
          <w:rtl/>
        </w:rPr>
        <w:instrText xml:space="preserve"> </w:instrText>
      </w:r>
      <w:r w:rsidRPr="00BD7EC4">
        <w:rPr>
          <w:rStyle w:val="aff6"/>
          <w:rtl/>
        </w:rPr>
      </w:r>
      <w:r w:rsidRPr="00BD7EC4">
        <w:rPr>
          <w:rStyle w:val="aff6"/>
          <w:rtl/>
        </w:rPr>
        <w:fldChar w:fldCharType="separate"/>
      </w:r>
      <w:r w:rsidR="004D1C5B">
        <w:rPr>
          <w:rStyle w:val="aff6"/>
          <w:cs/>
        </w:rPr>
        <w:t>‎</w:t>
      </w:r>
      <w:r w:rsidR="004D1C5B">
        <w:rPr>
          <w:rStyle w:val="aff6"/>
          <w:rtl/>
        </w:rPr>
        <w:t>ל)</w:t>
      </w:r>
      <w:r w:rsidRPr="00BD7EC4">
        <w:rPr>
          <w:rStyle w:val="aff6"/>
          <w:rtl/>
        </w:rPr>
        <w:fldChar w:fldCharType="end"/>
      </w:r>
      <w:r w:rsidRPr="00BD7EC4">
        <w:rPr>
          <w:rStyle w:val="aff6"/>
          <w:rFonts w:hint="cs"/>
          <w:rtl/>
        </w:rPr>
        <w:t xml:space="preserve"> </w:t>
      </w:r>
      <w:r w:rsidRPr="00BD7EC4">
        <w:rPr>
          <w:rStyle w:val="afa"/>
          <w:rFonts w:hint="cs"/>
          <w:rtl/>
        </w:rPr>
        <w:t>בזה</w:t>
      </w:r>
      <w:r w:rsidRPr="00D611A0">
        <w:rPr>
          <w:rStyle w:val="afa"/>
          <w:rFonts w:hint="cs"/>
          <w:rtl/>
        </w:rPr>
        <w:t>].</w:t>
      </w:r>
      <w:r>
        <w:rPr>
          <w:rFonts w:hint="cs"/>
          <w:rtl/>
        </w:rPr>
        <w:t xml:space="preserve"> </w:t>
      </w:r>
    </w:p>
    <w:p w:rsidR="00D45705" w:rsidRPr="002404F4" w:rsidRDefault="00D45705" w:rsidP="00D45705">
      <w:pPr>
        <w:pStyle w:val="1"/>
        <w:rPr>
          <w:rtl/>
        </w:rPr>
      </w:pPr>
      <w:bookmarkStart w:id="12218" w:name="_Toc23372473"/>
      <w:bookmarkStart w:id="12219" w:name="_Toc23419161"/>
      <w:bookmarkStart w:id="12220" w:name="_Toc23499430"/>
      <w:bookmarkStart w:id="12221" w:name="_Toc23663836"/>
      <w:bookmarkStart w:id="12222" w:name="_Toc23672488"/>
      <w:bookmarkStart w:id="12223" w:name="_Toc23673052"/>
      <w:bookmarkEnd w:id="12167"/>
      <w:bookmarkEnd w:id="12168"/>
      <w:r>
        <w:rPr>
          <w:rFonts w:hint="cs"/>
          <w:rtl/>
        </w:rPr>
        <w:t>דעת הרא"ה והר"ן דבדבר שאין בו בליעת איסור אין דין שישים</w:t>
      </w:r>
      <w:bookmarkEnd w:id="12218"/>
      <w:bookmarkEnd w:id="12219"/>
      <w:bookmarkEnd w:id="12220"/>
      <w:bookmarkEnd w:id="12221"/>
      <w:bookmarkEnd w:id="12222"/>
      <w:bookmarkEnd w:id="12223"/>
    </w:p>
    <w:p w:rsidR="00D45705" w:rsidRPr="00087B97" w:rsidRDefault="00D45705" w:rsidP="00D45705">
      <w:pPr>
        <w:pStyle w:val="a2"/>
        <w:rPr>
          <w:rtl/>
        </w:rPr>
      </w:pPr>
      <w:bookmarkStart w:id="12224" w:name="_Toc23372474"/>
      <w:bookmarkStart w:id="12225" w:name="_Toc23419162"/>
      <w:bookmarkStart w:id="12226" w:name="_Toc23499431"/>
      <w:bookmarkStart w:id="12227" w:name="_Toc23663837"/>
      <w:bookmarkStart w:id="12228" w:name="_Toc23672489"/>
      <w:bookmarkStart w:id="12229" w:name="_Toc23673053"/>
      <w:r>
        <w:rPr>
          <w:rFonts w:hint="cs"/>
          <w:rtl/>
        </w:rPr>
        <w:t>קושית הרא"ה על ביאור הרשב"א דכל חתיכה מותרת בפנ"ע דמ"מ יש חתיכה אחת שאסורה</w:t>
      </w:r>
      <w:bookmarkEnd w:id="12224"/>
      <w:bookmarkEnd w:id="12225"/>
      <w:bookmarkEnd w:id="12226"/>
      <w:bookmarkEnd w:id="12227"/>
      <w:bookmarkEnd w:id="12228"/>
      <w:bookmarkEnd w:id="12229"/>
    </w:p>
    <w:p w:rsidR="00D45705" w:rsidRDefault="00D45705" w:rsidP="009F44AF">
      <w:pPr>
        <w:pStyle w:val="a"/>
        <w:rPr>
          <w:rtl/>
        </w:rPr>
      </w:pPr>
      <w:r>
        <w:rPr>
          <w:rStyle w:val="af8"/>
          <w:rFonts w:hint="cs"/>
          <w:rtl/>
        </w:rPr>
        <w:t>ו</w:t>
      </w:r>
      <w:r w:rsidRPr="006B7C97">
        <w:rPr>
          <w:rStyle w:val="af8"/>
          <w:rFonts w:hint="cs"/>
          <w:rtl/>
        </w:rPr>
        <w:t>הרא"ה בבד"ה</w:t>
      </w:r>
      <w:r>
        <w:rPr>
          <w:rFonts w:hint="cs"/>
          <w:rtl/>
        </w:rPr>
        <w:t xml:space="preserve"> </w:t>
      </w:r>
      <w:r w:rsidRPr="001E5B44">
        <w:rPr>
          <w:rStyle w:val="af6"/>
          <w:rFonts w:eastAsia="Guttman Hodes" w:hint="cs"/>
          <w:rtl/>
        </w:rPr>
        <w:t xml:space="preserve">(ב"ד ש"א יז. מדה"ס ד"ה עוד כתב דטעמא) </w:t>
      </w:r>
      <w:r>
        <w:rPr>
          <w:rFonts w:hint="cs"/>
          <w:rtl/>
        </w:rPr>
        <w:t xml:space="preserve">דחה את דברי </w:t>
      </w:r>
      <w:r w:rsidRPr="006B7C97">
        <w:rPr>
          <w:rStyle w:val="af8"/>
          <w:rFonts w:hint="cs"/>
          <w:rtl/>
        </w:rPr>
        <w:t>הרשב"א בתוה"ב</w:t>
      </w:r>
      <w:r>
        <w:rPr>
          <w:rFonts w:hint="cs"/>
          <w:rtl/>
        </w:rPr>
        <w:t xml:space="preserve"> </w:t>
      </w:r>
      <w:r w:rsidRPr="00332950">
        <w:rPr>
          <w:rStyle w:val="af6"/>
          <w:rFonts w:eastAsia="Guttman Hodes" w:hint="cs"/>
          <w:rtl/>
        </w:rPr>
        <w:t xml:space="preserve">(עי' אות </w:t>
      </w:r>
      <w:r w:rsidRPr="00332950">
        <w:rPr>
          <w:rStyle w:val="af6"/>
          <w:rFonts w:eastAsia="Guttman Hodes"/>
          <w:rtl/>
        </w:rPr>
        <w:fldChar w:fldCharType="begin"/>
      </w:r>
      <w:r w:rsidRPr="00332950">
        <w:rPr>
          <w:rStyle w:val="af6"/>
          <w:rFonts w:eastAsia="Guttman Hodes"/>
          <w:rtl/>
        </w:rPr>
        <w:instrText xml:space="preserve"> </w:instrText>
      </w:r>
      <w:r w:rsidRPr="00332950">
        <w:rPr>
          <w:rStyle w:val="af6"/>
          <w:rFonts w:eastAsia="Guttman Hodes" w:hint="cs"/>
        </w:rPr>
        <w:instrText>REF</w:instrText>
      </w:r>
      <w:r w:rsidRPr="00332950">
        <w:rPr>
          <w:rStyle w:val="af6"/>
          <w:rFonts w:eastAsia="Guttman Hodes" w:hint="cs"/>
          <w:rtl/>
        </w:rPr>
        <w:instrText xml:space="preserve"> _</w:instrText>
      </w:r>
      <w:r w:rsidRPr="00332950">
        <w:rPr>
          <w:rStyle w:val="af6"/>
          <w:rFonts w:eastAsia="Guttman Hodes" w:hint="cs"/>
        </w:rPr>
        <w:instrText>Ref23353287 \r \h</w:instrText>
      </w:r>
      <w:r w:rsidRPr="00332950">
        <w:rPr>
          <w:rStyle w:val="af6"/>
          <w:rFonts w:eastAsia="Guttman Hodes"/>
          <w:rtl/>
        </w:rPr>
        <w:instrText xml:space="preserve"> </w:instrText>
      </w:r>
      <w:r w:rsidRPr="00332950">
        <w:rPr>
          <w:rStyle w:val="af6"/>
          <w:rFonts w:eastAsia="Guttman Hodes"/>
          <w:rtl/>
        </w:rPr>
      </w:r>
      <w:r w:rsidRPr="00332950">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sidRPr="00332950">
        <w:rPr>
          <w:rStyle w:val="af6"/>
          <w:rFonts w:eastAsia="Guttman Hodes"/>
          <w:rtl/>
        </w:rPr>
        <w:fldChar w:fldCharType="end"/>
      </w:r>
      <w:r>
        <w:rPr>
          <w:rFonts w:hint="cs"/>
          <w:rtl/>
        </w:rPr>
        <w:t xml:space="preserve"> דכתב </w:t>
      </w:r>
      <w:r w:rsidRPr="0019528C">
        <w:rPr>
          <w:rFonts w:hint="cs"/>
          <w:rtl/>
        </w:rPr>
        <w:t>ד</w:t>
      </w:r>
      <w:r>
        <w:rPr>
          <w:rFonts w:hint="cs"/>
          <w:rtl/>
        </w:rPr>
        <w:t>הביאור בביטול ברוב הוא, דבכל אחת מהחתיכות, אומר שאינה החתיכה האסורה, דמ"מ אי"ז מועיל להתיר בביטול ברוב, דהא ודאי שאחת מהחתיכות היא חתיכה אסורה.</w:t>
      </w:r>
    </w:p>
    <w:p w:rsidR="00D45705" w:rsidRPr="007E59EE" w:rsidRDefault="00D45705" w:rsidP="00D45705">
      <w:pPr>
        <w:pStyle w:val="a2"/>
        <w:rPr>
          <w:rtl/>
        </w:rPr>
      </w:pPr>
      <w:bookmarkStart w:id="12230" w:name="_Toc23372475"/>
      <w:bookmarkStart w:id="12231" w:name="_Toc23419163"/>
      <w:bookmarkStart w:id="12232" w:name="_Toc23499432"/>
      <w:bookmarkStart w:id="12233" w:name="_Toc23663838"/>
      <w:bookmarkStart w:id="12234" w:name="_Toc23672490"/>
      <w:bookmarkStart w:id="12235" w:name="_Toc23673054"/>
      <w:r>
        <w:rPr>
          <w:rFonts w:hint="cs"/>
          <w:rtl/>
        </w:rPr>
        <w:t>דברי הרא"ה דדין שישים הוא רק כשיש בליעת איסור וביבש שאין בליעה לא החמירו רבנן</w:t>
      </w:r>
      <w:bookmarkEnd w:id="12230"/>
      <w:bookmarkEnd w:id="12231"/>
      <w:bookmarkEnd w:id="12232"/>
      <w:bookmarkEnd w:id="12233"/>
      <w:bookmarkEnd w:id="12234"/>
      <w:bookmarkEnd w:id="12235"/>
    </w:p>
    <w:p w:rsidR="00D45705" w:rsidRDefault="00D45705" w:rsidP="009F44AF">
      <w:pPr>
        <w:pStyle w:val="a"/>
        <w:rPr>
          <w:rtl/>
        </w:rPr>
      </w:pPr>
      <w:bookmarkStart w:id="12236" w:name="_Ref23244629"/>
      <w:r>
        <w:rPr>
          <w:rFonts w:hint="cs"/>
          <w:rtl/>
        </w:rPr>
        <w:t xml:space="preserve">אלא כתב </w:t>
      </w:r>
      <w:r w:rsidRPr="001E5B44">
        <w:rPr>
          <w:rStyle w:val="af8"/>
          <w:rFonts w:hint="cs"/>
          <w:rtl/>
        </w:rPr>
        <w:t xml:space="preserve">הרא"ה </w:t>
      </w:r>
      <w:r w:rsidRPr="006B7C97">
        <w:rPr>
          <w:rStyle w:val="af8"/>
          <w:rFonts w:hint="cs"/>
          <w:rtl/>
        </w:rPr>
        <w:t>בבד"ה</w:t>
      </w:r>
      <w:r>
        <w:rPr>
          <w:rFonts w:hint="cs"/>
          <w:rtl/>
        </w:rPr>
        <w:t xml:space="preserve"> דכיון דבמקום שהאיסור אינו נותן טעם, יש גזיה"כ דמהני ביטול ברוב</w:t>
      </w:r>
      <w:r w:rsidRPr="00AC441A">
        <w:rPr>
          <w:rFonts w:hint="cs"/>
          <w:rtl/>
        </w:rPr>
        <w:t xml:space="preserve"> </w:t>
      </w:r>
      <w:r>
        <w:rPr>
          <w:rFonts w:hint="cs"/>
          <w:rtl/>
        </w:rPr>
        <w:t xml:space="preserve">מדאו', ולכן ביבש ביבש שאין בה בליעת איסור מדאו' מהני ביטול דחד בתרי, וכתב </w:t>
      </w:r>
      <w:r w:rsidRPr="001E5B44">
        <w:rPr>
          <w:rStyle w:val="af8"/>
          <w:rFonts w:hint="cs"/>
          <w:rtl/>
        </w:rPr>
        <w:t xml:space="preserve">הרא"ה </w:t>
      </w:r>
      <w:r w:rsidRPr="006B7C97">
        <w:rPr>
          <w:rStyle w:val="af8"/>
          <w:rFonts w:hint="cs"/>
          <w:rtl/>
        </w:rPr>
        <w:t>בבד"ה</w:t>
      </w:r>
      <w:r>
        <w:rPr>
          <w:rFonts w:hint="cs"/>
          <w:rtl/>
        </w:rPr>
        <w:t xml:space="preserve"> דאף מדרבנן א"צ שישים, דכל מה שהחמירו רבנן להצריך שישים הוא במקום שיש בליעת איסור, דכיון דבמין בשאינו מינו במקום שיש טעם אסור מדאו'</w:t>
      </w:r>
      <w:bookmarkStart w:id="12237" w:name="_Ref23763205"/>
      <w:r>
        <w:rPr>
          <w:rStyle w:val="af0"/>
          <w:rtl/>
        </w:rPr>
        <w:footnoteReference w:id="57"/>
      </w:r>
      <w:bookmarkEnd w:id="12237"/>
      <w:r>
        <w:rPr>
          <w:rFonts w:hint="cs"/>
          <w:rtl/>
        </w:rPr>
        <w:t xml:space="preserve">, לכן החמירו רבנן בכל מקום שיש בליעת איסור אף במין במינו שאין נתינת טעם, אבל ביבש ביבש במין במינו, </w:t>
      </w:r>
      <w:r>
        <w:rPr>
          <w:rFonts w:hint="cs"/>
          <w:rtl/>
        </w:rPr>
        <w:t>שאין בו בליעת איסור העמידו רבנן על הדין דאו', דמהני ביטול בחד בתרי.</w:t>
      </w:r>
      <w:bookmarkEnd w:id="12236"/>
      <w:r w:rsidRPr="002B2ADB">
        <w:rPr>
          <w:rStyle w:val="afa"/>
          <w:rFonts w:hint="cs"/>
          <w:rtl/>
        </w:rPr>
        <w:t xml:space="preserve"> </w:t>
      </w:r>
    </w:p>
    <w:p w:rsidR="00D45705" w:rsidRDefault="00D45705" w:rsidP="00D45705">
      <w:pPr>
        <w:pStyle w:val="a2"/>
        <w:rPr>
          <w:rtl/>
        </w:rPr>
      </w:pPr>
      <w:bookmarkStart w:id="12238" w:name="_Toc23372476"/>
      <w:bookmarkStart w:id="12239" w:name="_Toc23419164"/>
      <w:bookmarkStart w:id="12240" w:name="_Toc23499433"/>
      <w:bookmarkStart w:id="12241" w:name="_Toc23663839"/>
      <w:bookmarkStart w:id="12242" w:name="_Toc23672491"/>
      <w:bookmarkStart w:id="12243" w:name="_Toc23673055"/>
      <w:r>
        <w:rPr>
          <w:rFonts w:hint="cs"/>
          <w:rtl/>
        </w:rPr>
        <w:t>דברי הר"ן דדין שישים ביבש שייך רק במקום שאפשר לבא לאיסור דאו' בפחות משישים</w:t>
      </w:r>
      <w:bookmarkEnd w:id="12238"/>
      <w:bookmarkEnd w:id="12239"/>
      <w:bookmarkEnd w:id="12240"/>
      <w:bookmarkEnd w:id="12241"/>
      <w:bookmarkEnd w:id="12242"/>
      <w:bookmarkEnd w:id="12243"/>
    </w:p>
    <w:p w:rsidR="00D45705" w:rsidRDefault="00D45705" w:rsidP="009F44AF">
      <w:pPr>
        <w:pStyle w:val="a"/>
        <w:rPr>
          <w:rtl/>
        </w:rPr>
      </w:pPr>
      <w:r>
        <w:rPr>
          <w:rFonts w:hint="cs"/>
          <w:rtl/>
        </w:rPr>
        <w:t>וכ</w:t>
      </w:r>
      <w:r w:rsidRPr="008E69B5">
        <w:rPr>
          <w:rFonts w:hint="cs"/>
          <w:rtl/>
        </w:rPr>
        <w:t>"</w:t>
      </w:r>
      <w:r>
        <w:rPr>
          <w:rFonts w:hint="cs"/>
          <w:rtl/>
        </w:rPr>
        <w:t>כ</w:t>
      </w:r>
      <w:r w:rsidRPr="00066304">
        <w:rPr>
          <w:rFonts w:hint="cs"/>
          <w:rtl/>
        </w:rPr>
        <w:t xml:space="preserve"> </w:t>
      </w:r>
      <w:r w:rsidRPr="00E44877">
        <w:rPr>
          <w:rStyle w:val="af8"/>
          <w:rFonts w:hint="cs"/>
          <w:rtl/>
        </w:rPr>
        <w:t>הר"ן על הרי"ף</w:t>
      </w:r>
      <w:r w:rsidRPr="00066304">
        <w:rPr>
          <w:rFonts w:hint="cs"/>
          <w:rtl/>
        </w:rPr>
        <w:t xml:space="preserve"> </w:t>
      </w:r>
      <w:r w:rsidRPr="00635CC7">
        <w:rPr>
          <w:rStyle w:val="af6"/>
          <w:rFonts w:eastAsia="Guttman Hodes" w:hint="cs"/>
          <w:rtl/>
        </w:rPr>
        <w:t>(</w:t>
      </w:r>
      <w:r w:rsidRPr="00635CC7">
        <w:rPr>
          <w:rStyle w:val="af6"/>
          <w:rFonts w:eastAsia="Guttman Hodes"/>
          <w:rtl/>
        </w:rPr>
        <w:t>ל</w:t>
      </w:r>
      <w:r>
        <w:rPr>
          <w:rStyle w:val="af6"/>
          <w:rFonts w:eastAsia="Guttman Hodes"/>
          <w:rtl/>
        </w:rPr>
        <w:t>ו. מדפי הרי"ף ד"ה גרסי'</w:t>
      </w:r>
      <w:r w:rsidRPr="00635CC7">
        <w:rPr>
          <w:rStyle w:val="af6"/>
          <w:rFonts w:eastAsia="Guttman Hodes" w:hint="cs"/>
          <w:rtl/>
        </w:rPr>
        <w:t>)</w:t>
      </w:r>
      <w:r w:rsidRPr="00066304">
        <w:rPr>
          <w:rFonts w:hint="cs"/>
          <w:rtl/>
        </w:rPr>
        <w:t xml:space="preserve"> </w:t>
      </w:r>
      <w:r>
        <w:rPr>
          <w:rFonts w:hint="cs"/>
          <w:rtl/>
        </w:rPr>
        <w:t>דהא דהצריכו רבנן שישים במין במינו, היינו דוקא בדברים שנבללים או נבלעים, דכיון שהטעם של האיסור מתפשט בכל התערובת, צריך שישים לבטל את הטעם, אבל ביבש ביבש, שהאיסור עומד בפני עצמו, ומדאו' חד בתרי בטיל, אף מדרבנן מהני רוב, ולא שייך בזה שיעור שישים, דהרי אין ביבש ביבש ביטול טעם כלל, וכיון דבמין במינו, מדאו' אפילו בלח בלח מהני ביטול בחד בתרי, לכן לא החמירו רבנן ביבש ביבש, דאינו יכול לבא לידי חשש דאו', ורק במין בשאינו מינו דאם יבשל את התערובת יחד, יבא לידי איסור דאו'</w:t>
      </w:r>
      <w:r w:rsidRPr="00F129BB">
        <w:rPr>
          <w:vertAlign w:val="superscript"/>
          <w:rtl/>
        </w:rPr>
        <w:fldChar w:fldCharType="begin"/>
      </w:r>
      <w:r w:rsidRPr="00F129BB">
        <w:rPr>
          <w:vertAlign w:val="superscript"/>
          <w:rtl/>
        </w:rPr>
        <w:instrText xml:space="preserve"> </w:instrText>
      </w:r>
      <w:r w:rsidRPr="00F129BB">
        <w:rPr>
          <w:rFonts w:hint="cs"/>
          <w:vertAlign w:val="superscript"/>
        </w:rPr>
        <w:instrText>NOTEREF</w:instrText>
      </w:r>
      <w:r w:rsidRPr="00F129BB">
        <w:rPr>
          <w:rFonts w:hint="cs"/>
          <w:vertAlign w:val="superscript"/>
          <w:rtl/>
        </w:rPr>
        <w:instrText xml:space="preserve"> _</w:instrText>
      </w:r>
      <w:r w:rsidRPr="00F129BB">
        <w:rPr>
          <w:rFonts w:hint="cs"/>
          <w:vertAlign w:val="superscript"/>
        </w:rPr>
        <w:instrText>Ref23763205 \h</w:instrText>
      </w:r>
      <w:r w:rsidRPr="00F129BB">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F129BB">
        <w:rPr>
          <w:vertAlign w:val="superscript"/>
          <w:rtl/>
        </w:rPr>
      </w:r>
      <w:r w:rsidRPr="00F129BB">
        <w:rPr>
          <w:vertAlign w:val="superscript"/>
          <w:rtl/>
        </w:rPr>
        <w:fldChar w:fldCharType="separate"/>
      </w:r>
      <w:r w:rsidR="004D1C5B">
        <w:rPr>
          <w:vertAlign w:val="superscript"/>
          <w:rtl/>
        </w:rPr>
        <w:t>57</w:t>
      </w:r>
      <w:r w:rsidRPr="00F129BB">
        <w:rPr>
          <w:vertAlign w:val="superscript"/>
          <w:rtl/>
        </w:rPr>
        <w:fldChar w:fldCharType="end"/>
      </w:r>
      <w:r>
        <w:rPr>
          <w:rFonts w:hint="cs"/>
          <w:rtl/>
        </w:rPr>
        <w:t xml:space="preserve">, לכן החמירו רבנן דאף ביבש ביבש </w:t>
      </w:r>
      <w:r w:rsidRPr="00741538">
        <w:rPr>
          <w:rFonts w:hint="cs"/>
          <w:rtl/>
        </w:rPr>
        <w:t>צריך שישים</w:t>
      </w:r>
      <w:r>
        <w:rPr>
          <w:rFonts w:hint="cs"/>
          <w:rtl/>
        </w:rPr>
        <w:t>.</w:t>
      </w:r>
    </w:p>
    <w:p w:rsidR="00D45705" w:rsidRPr="00052453" w:rsidRDefault="00D45705" w:rsidP="00D45705">
      <w:pPr>
        <w:pStyle w:val="a2"/>
        <w:rPr>
          <w:rtl/>
        </w:rPr>
      </w:pPr>
      <w:bookmarkStart w:id="12244" w:name="_Toc23372477"/>
      <w:bookmarkStart w:id="12245" w:name="_Toc23419165"/>
      <w:bookmarkStart w:id="12246" w:name="_Toc23499434"/>
      <w:bookmarkStart w:id="12247" w:name="_Toc23663840"/>
      <w:bookmarkStart w:id="12248" w:name="_Toc23672492"/>
      <w:bookmarkStart w:id="12249" w:name="_Toc23673056"/>
      <w:r>
        <w:rPr>
          <w:rFonts w:hint="cs"/>
          <w:rtl/>
        </w:rPr>
        <w:t>דברי סה"ת דביבש במין במינו שהטעם אינו יכול להיות ניכר ואינו נבלע בהיתר א"צ שישים</w:t>
      </w:r>
      <w:bookmarkEnd w:id="12244"/>
      <w:bookmarkEnd w:id="12245"/>
      <w:bookmarkEnd w:id="12246"/>
      <w:bookmarkEnd w:id="12247"/>
      <w:bookmarkEnd w:id="12248"/>
      <w:bookmarkEnd w:id="12249"/>
    </w:p>
    <w:p w:rsidR="00D45705" w:rsidRDefault="00D45705" w:rsidP="009F44AF">
      <w:pPr>
        <w:pStyle w:val="a"/>
        <w:rPr>
          <w:rtl/>
        </w:rPr>
      </w:pPr>
      <w:r>
        <w:rPr>
          <w:rFonts w:hint="cs"/>
          <w:rtl/>
        </w:rPr>
        <w:t xml:space="preserve">וכעי"ז כתב </w:t>
      </w:r>
      <w:r w:rsidRPr="00456546">
        <w:rPr>
          <w:rStyle w:val="af8"/>
          <w:rFonts w:hint="cs"/>
          <w:rtl/>
        </w:rPr>
        <w:t>בספר התרומה</w:t>
      </w:r>
      <w:r>
        <w:rPr>
          <w:rFonts w:hint="cs"/>
          <w:rtl/>
        </w:rPr>
        <w:t xml:space="preserve"> </w:t>
      </w:r>
      <w:r w:rsidRPr="00470A89">
        <w:rPr>
          <w:rStyle w:val="af6"/>
          <w:rFonts w:eastAsia="Guttman Hodes" w:hint="cs"/>
          <w:rtl/>
        </w:rPr>
        <w:t>(הל' איסור והיתר סי' נ' ד"ה הלכך, הועתק בקובץ שיטות קמאי חולין ח"ג עמ'</w:t>
      </w:r>
      <w:r w:rsidRPr="00470A89">
        <w:rPr>
          <w:rStyle w:val="af6"/>
          <w:rFonts w:eastAsia="Guttman Hodes"/>
          <w:rtl/>
        </w:rPr>
        <w:t xml:space="preserve"> </w:t>
      </w:r>
      <w:r w:rsidRPr="00470A89">
        <w:rPr>
          <w:rStyle w:val="af6"/>
          <w:rFonts w:eastAsia="Guttman Hodes" w:hint="cs"/>
          <w:rtl/>
        </w:rPr>
        <w:t>ב</w:t>
      </w:r>
      <w:r w:rsidRPr="00470A89">
        <w:rPr>
          <w:rStyle w:val="af6"/>
          <w:rFonts w:eastAsia="Guttman Hodes"/>
          <w:rtl/>
        </w:rPr>
        <w:t>' אלף קע</w:t>
      </w:r>
      <w:r w:rsidRPr="00470A89">
        <w:rPr>
          <w:rStyle w:val="af6"/>
          <w:rFonts w:eastAsia="Guttman Hodes" w:hint="cs"/>
          <w:rtl/>
        </w:rPr>
        <w:t>"</w:t>
      </w:r>
      <w:r w:rsidRPr="00470A89">
        <w:rPr>
          <w:rStyle w:val="af6"/>
          <w:rFonts w:eastAsia="Guttman Hodes"/>
          <w:rtl/>
        </w:rPr>
        <w:t>א</w:t>
      </w:r>
      <w:r w:rsidRPr="00470A89">
        <w:rPr>
          <w:rStyle w:val="af6"/>
          <w:rFonts w:eastAsia="Guttman Hodes" w:hint="cs"/>
          <w:rtl/>
        </w:rPr>
        <w:t>)</w:t>
      </w:r>
      <w:r>
        <w:rPr>
          <w:rFonts w:hint="cs"/>
          <w:rtl/>
        </w:rPr>
        <w:t xml:space="preserve"> דבמין במינו ביבש ביבש בטל ברוב, וא"צ שישים אף מדרבנן, כיון שהטעם של האיסור אינו יכול להיות ניכר אף אם יחזור ויבשלם יחד, ולכן ביבש ביבש שהאיסור אינו נבלע בהיתר מהני ביטול ברוב, אפי' מדרבנן.</w:t>
      </w:r>
    </w:p>
    <w:p w:rsidR="00D45705" w:rsidRPr="00635CC7" w:rsidRDefault="00D45705" w:rsidP="00D45705">
      <w:pPr>
        <w:pStyle w:val="a2"/>
        <w:rPr>
          <w:rtl/>
        </w:rPr>
      </w:pPr>
      <w:bookmarkStart w:id="12250" w:name="_Toc23372478"/>
      <w:bookmarkStart w:id="12251" w:name="_Toc23419166"/>
      <w:bookmarkStart w:id="12252" w:name="_Toc23499435"/>
      <w:bookmarkStart w:id="12253" w:name="_Toc23663841"/>
      <w:bookmarkStart w:id="12254" w:name="_Toc23672493"/>
      <w:bookmarkStart w:id="12255" w:name="_Toc23673057"/>
      <w:r>
        <w:rPr>
          <w:rFonts w:hint="cs"/>
          <w:rtl/>
        </w:rPr>
        <w:t>קושית הרשב"א במשה"ב על הרא"ה דלא ביאר מה החילוק בדרבנן בין יבש ללח</w:t>
      </w:r>
      <w:bookmarkEnd w:id="12250"/>
      <w:bookmarkEnd w:id="12251"/>
      <w:bookmarkEnd w:id="12252"/>
      <w:bookmarkEnd w:id="12253"/>
      <w:bookmarkEnd w:id="12254"/>
      <w:bookmarkEnd w:id="12255"/>
    </w:p>
    <w:p w:rsidR="00D45705" w:rsidRDefault="00D45705" w:rsidP="009F44AF">
      <w:pPr>
        <w:pStyle w:val="a"/>
        <w:rPr>
          <w:rtl/>
        </w:rPr>
      </w:pPr>
      <w:bookmarkStart w:id="12256" w:name="_Toc22638882"/>
      <w:bookmarkStart w:id="12257" w:name="_Toc23224080"/>
      <w:r>
        <w:rPr>
          <w:rFonts w:hint="cs"/>
          <w:rtl/>
        </w:rPr>
        <w:t xml:space="preserve">וכתב </w:t>
      </w:r>
      <w:r w:rsidRPr="00505973">
        <w:rPr>
          <w:rStyle w:val="af8"/>
          <w:rFonts w:hint="cs"/>
          <w:rtl/>
        </w:rPr>
        <w:t>הרשב"א במשה"ב</w:t>
      </w:r>
      <w:r>
        <w:rPr>
          <w:rFonts w:hint="cs"/>
          <w:rtl/>
        </w:rPr>
        <w:t xml:space="preserve"> </w:t>
      </w:r>
      <w:r>
        <w:rPr>
          <w:rStyle w:val="af6"/>
          <w:rFonts w:eastAsia="Guttman Hodes" w:hint="cs"/>
          <w:rtl/>
        </w:rPr>
        <w:t>(</w:t>
      </w:r>
      <w:r w:rsidRPr="00927358">
        <w:rPr>
          <w:rStyle w:val="af6"/>
          <w:rFonts w:eastAsia="Guttman Hodes" w:hint="cs"/>
          <w:rtl/>
        </w:rPr>
        <w:t>ב"ד ש"א יז. מדה"ס</w:t>
      </w:r>
      <w:r>
        <w:rPr>
          <w:rStyle w:val="af6"/>
          <w:rFonts w:eastAsia="Guttman Hodes" w:hint="cs"/>
          <w:rtl/>
        </w:rPr>
        <w:t xml:space="preserve"> ד"ה דבריו במחתרת</w:t>
      </w:r>
      <w:r w:rsidRPr="00927358">
        <w:rPr>
          <w:rStyle w:val="af6"/>
          <w:rFonts w:eastAsia="Guttman Hodes" w:hint="cs"/>
          <w:rtl/>
        </w:rPr>
        <w:t>)</w:t>
      </w:r>
      <w:r>
        <w:rPr>
          <w:rFonts w:hint="cs"/>
          <w:rtl/>
        </w:rPr>
        <w:t xml:space="preserve"> דדברי </w:t>
      </w:r>
      <w:r w:rsidRPr="00C76D91">
        <w:rPr>
          <w:rStyle w:val="af8"/>
          <w:rFonts w:hint="cs"/>
          <w:rtl/>
        </w:rPr>
        <w:t>הרא"ה</w:t>
      </w:r>
      <w:r>
        <w:rPr>
          <w:rFonts w:hint="cs"/>
          <w:rtl/>
        </w:rPr>
        <w:t xml:space="preserve"> </w:t>
      </w:r>
      <w:r w:rsidRPr="00AA0B0D">
        <w:rPr>
          <w:rStyle w:val="af6"/>
          <w:rFonts w:eastAsia="Guttman Hodes" w:hint="cs"/>
          <w:rtl/>
        </w:rPr>
        <w:t xml:space="preserve">(עי' אות </w:t>
      </w:r>
      <w:r w:rsidRPr="00AA0B0D">
        <w:rPr>
          <w:rStyle w:val="af6"/>
          <w:rFonts w:eastAsia="Guttman Hodes"/>
          <w:rtl/>
        </w:rPr>
        <w:fldChar w:fldCharType="begin"/>
      </w:r>
      <w:r w:rsidRPr="00AA0B0D">
        <w:rPr>
          <w:rStyle w:val="af6"/>
          <w:rFonts w:eastAsia="Guttman Hodes"/>
          <w:rtl/>
        </w:rPr>
        <w:instrText xml:space="preserve"> </w:instrText>
      </w:r>
      <w:r w:rsidRPr="00AA0B0D">
        <w:rPr>
          <w:rStyle w:val="af6"/>
          <w:rFonts w:eastAsia="Guttman Hodes" w:hint="cs"/>
        </w:rPr>
        <w:instrText>REF</w:instrText>
      </w:r>
      <w:r w:rsidRPr="00AA0B0D">
        <w:rPr>
          <w:rStyle w:val="af6"/>
          <w:rFonts w:eastAsia="Guttman Hodes" w:hint="cs"/>
          <w:rtl/>
        </w:rPr>
        <w:instrText xml:space="preserve"> _</w:instrText>
      </w:r>
      <w:r w:rsidRPr="00AA0B0D">
        <w:rPr>
          <w:rStyle w:val="af6"/>
          <w:rFonts w:eastAsia="Guttman Hodes" w:hint="cs"/>
        </w:rPr>
        <w:instrText>Ref23244629 \r \h</w:instrText>
      </w:r>
      <w:r w:rsidRPr="00AA0B0D">
        <w:rPr>
          <w:rStyle w:val="af6"/>
          <w:rFonts w:eastAsia="Guttman Hodes"/>
          <w:rtl/>
        </w:rPr>
        <w:instrText xml:space="preserve"> </w:instrText>
      </w:r>
      <w:r w:rsidRPr="00AA0B0D">
        <w:rPr>
          <w:rStyle w:val="af6"/>
          <w:rFonts w:eastAsia="Guttman Hodes"/>
          <w:rtl/>
        </w:rPr>
      </w:r>
      <w:r w:rsidRPr="00AA0B0D">
        <w:rPr>
          <w:rStyle w:val="af6"/>
          <w:rFonts w:eastAsia="Guttman Hodes"/>
          <w:rtl/>
        </w:rPr>
        <w:fldChar w:fldCharType="separate"/>
      </w:r>
      <w:r w:rsidR="004D1C5B">
        <w:rPr>
          <w:rStyle w:val="af6"/>
          <w:rFonts w:eastAsia="Guttman Hodes"/>
          <w:cs/>
        </w:rPr>
        <w:t>‎</w:t>
      </w:r>
      <w:r w:rsidR="004D1C5B">
        <w:rPr>
          <w:rStyle w:val="af6"/>
          <w:rFonts w:eastAsia="Guttman Hodes"/>
          <w:rtl/>
        </w:rPr>
        <w:t>נב)</w:t>
      </w:r>
      <w:r w:rsidRPr="00AA0B0D">
        <w:rPr>
          <w:rStyle w:val="af6"/>
          <w:rFonts w:eastAsia="Guttman Hodes"/>
          <w:rtl/>
        </w:rPr>
        <w:fldChar w:fldCharType="end"/>
      </w:r>
      <w:r>
        <w:rPr>
          <w:rFonts w:hint="cs"/>
          <w:rtl/>
        </w:rPr>
        <w:t xml:space="preserve"> כלולים בדברי </w:t>
      </w:r>
      <w:r w:rsidRPr="00C76D91">
        <w:rPr>
          <w:rStyle w:val="af8"/>
          <w:rFonts w:hint="cs"/>
          <w:rtl/>
        </w:rPr>
        <w:t>הרשב"א בתוה"ב</w:t>
      </w:r>
      <w:r>
        <w:rPr>
          <w:rFonts w:hint="cs"/>
          <w:rtl/>
        </w:rPr>
        <w:t xml:space="preserve"> </w:t>
      </w:r>
      <w:r w:rsidRPr="00C76D91">
        <w:rPr>
          <w:rStyle w:val="af6"/>
          <w:rFonts w:eastAsia="Guttman Hodes" w:hint="cs"/>
          <w:rtl/>
        </w:rPr>
        <w:t xml:space="preserve">(עי' אות </w:t>
      </w:r>
      <w:r w:rsidRPr="00C76D91">
        <w:rPr>
          <w:rStyle w:val="af6"/>
          <w:rFonts w:eastAsia="Guttman Hodes"/>
          <w:rtl/>
        </w:rPr>
        <w:fldChar w:fldCharType="begin"/>
      </w:r>
      <w:r w:rsidRPr="00C76D91">
        <w:rPr>
          <w:rStyle w:val="af6"/>
          <w:rFonts w:eastAsia="Guttman Hodes"/>
          <w:rtl/>
        </w:rPr>
        <w:instrText xml:space="preserve"> </w:instrText>
      </w:r>
      <w:r w:rsidRPr="00C76D91">
        <w:rPr>
          <w:rStyle w:val="af6"/>
          <w:rFonts w:eastAsia="Guttman Hodes" w:hint="cs"/>
        </w:rPr>
        <w:instrText>REF</w:instrText>
      </w:r>
      <w:r w:rsidRPr="00C76D91">
        <w:rPr>
          <w:rStyle w:val="af6"/>
          <w:rFonts w:eastAsia="Guttman Hodes" w:hint="cs"/>
          <w:rtl/>
        </w:rPr>
        <w:instrText xml:space="preserve"> _</w:instrText>
      </w:r>
      <w:r w:rsidRPr="00C76D91">
        <w:rPr>
          <w:rStyle w:val="af6"/>
          <w:rFonts w:eastAsia="Guttman Hodes" w:hint="cs"/>
        </w:rPr>
        <w:instrText>Ref23243880 \r \h</w:instrText>
      </w:r>
      <w:r w:rsidRPr="00C76D91">
        <w:rPr>
          <w:rStyle w:val="af6"/>
          <w:rFonts w:eastAsia="Guttman Hodes"/>
          <w:rtl/>
        </w:rPr>
        <w:instrText xml:space="preserve"> </w:instrText>
      </w:r>
      <w:r w:rsidRPr="00C76D91">
        <w:rPr>
          <w:rStyle w:val="af6"/>
          <w:rFonts w:eastAsia="Guttman Hodes"/>
          <w:rtl/>
        </w:rPr>
      </w:r>
      <w:r w:rsidRPr="00C76D91">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C76D91">
        <w:rPr>
          <w:rStyle w:val="af6"/>
          <w:rFonts w:eastAsia="Guttman Hodes"/>
          <w:rtl/>
        </w:rPr>
        <w:fldChar w:fldCharType="end"/>
      </w:r>
      <w:r>
        <w:rPr>
          <w:rFonts w:hint="cs"/>
          <w:rtl/>
        </w:rPr>
        <w:t xml:space="preserve">, אלא דלא ביאר </w:t>
      </w:r>
      <w:r w:rsidRPr="00C76D91">
        <w:rPr>
          <w:rStyle w:val="af8"/>
          <w:rFonts w:hint="cs"/>
          <w:rtl/>
        </w:rPr>
        <w:t>הרא"ה</w:t>
      </w:r>
      <w:r>
        <w:rPr>
          <w:rFonts w:hint="cs"/>
          <w:rtl/>
        </w:rPr>
        <w:t xml:space="preserve"> מה החילוק בין לח בלח ליבש ביבש, דמדאו' מהני ביטול ברוב אף בלח בלח, ואפ"ה הצריכו רבנן שישים ולא העמידו על הדין דאו', כמו ביבש ביבש.</w:t>
      </w:r>
    </w:p>
    <w:p w:rsidR="00D45705" w:rsidRPr="005B7996" w:rsidRDefault="00D45705" w:rsidP="00D45705">
      <w:pPr>
        <w:pStyle w:val="a2"/>
        <w:rPr>
          <w:rtl/>
        </w:rPr>
      </w:pPr>
      <w:bookmarkStart w:id="12258" w:name="_Toc23372479"/>
      <w:bookmarkStart w:id="12259" w:name="_Toc23419167"/>
      <w:bookmarkStart w:id="12260" w:name="_Toc23499436"/>
      <w:bookmarkStart w:id="12261" w:name="_Toc23663842"/>
      <w:bookmarkStart w:id="12262" w:name="_Toc23672494"/>
      <w:bookmarkStart w:id="12263" w:name="_Toc23673058"/>
      <w:r>
        <w:rPr>
          <w:rFonts w:hint="cs"/>
          <w:rtl/>
        </w:rPr>
        <w:t>ביאור הרשב"א במשה"ב דרק במקום שמורגש הטעם וא"א לאכול כל חתיכה בפנ"ע צריך שישים</w:t>
      </w:r>
      <w:bookmarkEnd w:id="12258"/>
      <w:bookmarkEnd w:id="12259"/>
      <w:bookmarkEnd w:id="12260"/>
      <w:bookmarkEnd w:id="12261"/>
      <w:bookmarkEnd w:id="12262"/>
      <w:bookmarkEnd w:id="12263"/>
    </w:p>
    <w:p w:rsidR="00D45705" w:rsidRPr="00F76EF9" w:rsidRDefault="00D45705" w:rsidP="009F44AF">
      <w:pPr>
        <w:pStyle w:val="a"/>
        <w:rPr>
          <w:rtl/>
        </w:rPr>
      </w:pPr>
      <w:r>
        <w:rPr>
          <w:rFonts w:hint="cs"/>
          <w:rtl/>
        </w:rPr>
        <w:t xml:space="preserve">אלא כתב </w:t>
      </w:r>
      <w:r w:rsidRPr="00505973">
        <w:rPr>
          <w:rStyle w:val="af8"/>
          <w:rFonts w:hint="cs"/>
          <w:rtl/>
        </w:rPr>
        <w:t>הרשב"א במשה"ב</w:t>
      </w:r>
      <w:r>
        <w:rPr>
          <w:rFonts w:hint="cs"/>
          <w:rtl/>
        </w:rPr>
        <w:t xml:space="preserve"> דבלח בלח כיון שא"א להפריד כל חתיכה בפנ"ע, הצריכו רבנן שישים כיון שבפחות משישים מורגש הטעם של האיסור, ואף דבמין במינו לא מורגש הטעם, מ"מ כיון דבלח בלח במין בשאינו מינו מורגש הטעם, לכן אף במין במינו החמירו </w:t>
      </w:r>
      <w:r w:rsidRPr="000C0051">
        <w:rPr>
          <w:rFonts w:hint="cs"/>
          <w:rtl/>
        </w:rPr>
        <w:t xml:space="preserve">להצריך שישים, </w:t>
      </w:r>
      <w:r w:rsidRPr="000C0051">
        <w:rPr>
          <w:rStyle w:val="afa"/>
          <w:rFonts w:hint="cs"/>
          <w:rtl/>
        </w:rPr>
        <w:t xml:space="preserve">[כדכתב </w:t>
      </w:r>
      <w:r w:rsidRPr="000C0051">
        <w:rPr>
          <w:rStyle w:val="affa"/>
          <w:rFonts w:hint="cs"/>
          <w:rtl/>
        </w:rPr>
        <w:t>הרשב"א בתוה"ב</w:t>
      </w:r>
      <w:r w:rsidRPr="000C0051">
        <w:rPr>
          <w:rStyle w:val="afa"/>
          <w:rFonts w:hint="cs"/>
          <w:rtl/>
        </w:rPr>
        <w:t xml:space="preserve"> </w:t>
      </w:r>
      <w:r w:rsidRPr="000C0051">
        <w:rPr>
          <w:rStyle w:val="aff6"/>
          <w:rFonts w:hint="cs"/>
          <w:rtl/>
        </w:rPr>
        <w:t xml:space="preserve">(עי' אות </w:t>
      </w:r>
      <w:r w:rsidRPr="000C0051">
        <w:rPr>
          <w:rStyle w:val="aff6"/>
          <w:rtl/>
        </w:rPr>
        <w:fldChar w:fldCharType="begin"/>
      </w:r>
      <w:r w:rsidRPr="000C0051">
        <w:rPr>
          <w:rStyle w:val="aff6"/>
          <w:rtl/>
        </w:rPr>
        <w:instrText xml:space="preserve"> </w:instrText>
      </w:r>
      <w:r w:rsidRPr="000C0051">
        <w:rPr>
          <w:rStyle w:val="aff6"/>
          <w:rFonts w:hint="cs"/>
        </w:rPr>
        <w:instrText>REF</w:instrText>
      </w:r>
      <w:r w:rsidRPr="000C0051">
        <w:rPr>
          <w:rStyle w:val="aff6"/>
          <w:rFonts w:hint="cs"/>
          <w:rtl/>
        </w:rPr>
        <w:instrText xml:space="preserve"> _</w:instrText>
      </w:r>
      <w:r w:rsidRPr="000C0051">
        <w:rPr>
          <w:rStyle w:val="aff6"/>
          <w:rFonts w:hint="cs"/>
        </w:rPr>
        <w:instrText>Ref23243540 \r \h</w:instrText>
      </w:r>
      <w:r w:rsidRPr="000C0051">
        <w:rPr>
          <w:rStyle w:val="aff6"/>
          <w:rtl/>
        </w:rPr>
        <w:instrText xml:space="preserve">  \* </w:instrText>
      </w:r>
      <w:r w:rsidRPr="000C0051">
        <w:rPr>
          <w:rStyle w:val="aff6"/>
        </w:rPr>
        <w:instrText>MERGEFORMAT</w:instrText>
      </w:r>
      <w:r w:rsidRPr="000C0051">
        <w:rPr>
          <w:rStyle w:val="aff6"/>
          <w:rtl/>
        </w:rPr>
        <w:instrText xml:space="preserve"> </w:instrText>
      </w:r>
      <w:r w:rsidRPr="000C0051">
        <w:rPr>
          <w:rStyle w:val="aff6"/>
          <w:rtl/>
        </w:rPr>
      </w:r>
      <w:r w:rsidRPr="000C0051">
        <w:rPr>
          <w:rStyle w:val="aff6"/>
          <w:rtl/>
        </w:rPr>
        <w:fldChar w:fldCharType="separate"/>
      </w:r>
      <w:r w:rsidR="004D1C5B">
        <w:rPr>
          <w:rStyle w:val="aff6"/>
          <w:cs/>
        </w:rPr>
        <w:t>‎</w:t>
      </w:r>
      <w:r w:rsidR="004D1C5B">
        <w:rPr>
          <w:rStyle w:val="aff6"/>
          <w:rtl/>
        </w:rPr>
        <w:t>פ)</w:t>
      </w:r>
      <w:r w:rsidRPr="000C0051">
        <w:rPr>
          <w:rStyle w:val="aff6"/>
          <w:rtl/>
        </w:rPr>
        <w:fldChar w:fldCharType="end"/>
      </w:r>
      <w:r w:rsidRPr="000C0051">
        <w:rPr>
          <w:rStyle w:val="afa"/>
          <w:rFonts w:hint="cs"/>
          <w:rtl/>
        </w:rPr>
        <w:t>],</w:t>
      </w:r>
      <w:r w:rsidRPr="000C0051">
        <w:rPr>
          <w:rFonts w:hint="cs"/>
          <w:rtl/>
        </w:rPr>
        <w:t xml:space="preserve"> אבל ביבש ביבש שיכול לאכול כל חתיכה בפנ"ע, ולומר שהיא החתיכה המותרת</w:t>
      </w:r>
      <w:r>
        <w:rPr>
          <w:rFonts w:hint="cs"/>
          <w:rtl/>
        </w:rPr>
        <w:t>, לכן הקילו רבנן שלא להצריך שישים, כשיש בתערובת שיעור ביטול מדאו', דחד בתרי בטיל.</w:t>
      </w:r>
    </w:p>
    <w:p w:rsidR="00D45705" w:rsidRDefault="00D45705" w:rsidP="00D45705">
      <w:pPr>
        <w:pStyle w:val="1"/>
        <w:rPr>
          <w:rtl/>
        </w:rPr>
      </w:pPr>
      <w:bookmarkStart w:id="12264" w:name="_Toc23372480"/>
      <w:bookmarkStart w:id="12265" w:name="_Toc23419168"/>
      <w:bookmarkStart w:id="12266" w:name="_Toc23499437"/>
      <w:bookmarkStart w:id="12267" w:name="_Toc23663843"/>
      <w:bookmarkStart w:id="12268" w:name="_Toc23672495"/>
      <w:bookmarkStart w:id="12269" w:name="_Toc23673059"/>
      <w:r w:rsidRPr="002A3FC5">
        <w:rPr>
          <w:rFonts w:hint="cs"/>
          <w:rtl/>
        </w:rPr>
        <w:t>שיטת ה</w:t>
      </w:r>
      <w:r>
        <w:rPr>
          <w:rFonts w:hint="cs"/>
          <w:rtl/>
        </w:rPr>
        <w:t xml:space="preserve">תוס' </w:t>
      </w:r>
      <w:r w:rsidRPr="002A3FC5">
        <w:rPr>
          <w:rFonts w:hint="cs"/>
          <w:rtl/>
        </w:rPr>
        <w:t xml:space="preserve">רי"ד </w:t>
      </w:r>
      <w:r>
        <w:rPr>
          <w:rFonts w:hint="cs"/>
          <w:rtl/>
        </w:rPr>
        <w:t>דביטול ברוב הוא מדין הלך אחר הרוב</w:t>
      </w:r>
      <w:bookmarkEnd w:id="12264"/>
      <w:bookmarkEnd w:id="12265"/>
      <w:bookmarkEnd w:id="12266"/>
      <w:bookmarkEnd w:id="12267"/>
      <w:bookmarkEnd w:id="12268"/>
      <w:bookmarkEnd w:id="12269"/>
    </w:p>
    <w:p w:rsidR="00D45705" w:rsidRDefault="00D45705" w:rsidP="00D45705">
      <w:pPr>
        <w:pStyle w:val="a2"/>
        <w:rPr>
          <w:rtl/>
        </w:rPr>
      </w:pPr>
      <w:bookmarkStart w:id="12270" w:name="_Toc23372481"/>
      <w:bookmarkStart w:id="12271" w:name="_Toc23419169"/>
      <w:bookmarkStart w:id="12272" w:name="_Toc23499438"/>
      <w:bookmarkStart w:id="12273" w:name="_Toc23663844"/>
      <w:bookmarkStart w:id="12274" w:name="_Toc23672496"/>
      <w:bookmarkStart w:id="12275" w:name="_Toc23673060"/>
      <w:r>
        <w:rPr>
          <w:rFonts w:hint="cs"/>
          <w:rtl/>
        </w:rPr>
        <w:t>דברי הרי"ד בתשו' דבמין בשאינו מינו מדאו' מהני ביטול ברוב</w:t>
      </w:r>
      <w:r w:rsidRPr="00F43CFD">
        <w:rPr>
          <w:rFonts w:hint="cs"/>
          <w:rtl/>
        </w:rPr>
        <w:t xml:space="preserve"> </w:t>
      </w:r>
      <w:r>
        <w:rPr>
          <w:rFonts w:hint="cs"/>
          <w:rtl/>
        </w:rPr>
        <w:t>רק ביבש כיון שאינו נותן טעם</w:t>
      </w:r>
      <w:bookmarkEnd w:id="12270"/>
      <w:bookmarkEnd w:id="12271"/>
      <w:bookmarkEnd w:id="12272"/>
      <w:bookmarkEnd w:id="12273"/>
      <w:bookmarkEnd w:id="12274"/>
      <w:bookmarkEnd w:id="12275"/>
    </w:p>
    <w:p w:rsidR="00D45705" w:rsidRDefault="00D45705" w:rsidP="009F44AF">
      <w:pPr>
        <w:pStyle w:val="a"/>
        <w:rPr>
          <w:rtl/>
        </w:rPr>
      </w:pPr>
      <w:bookmarkStart w:id="12276" w:name="_Ref23672043"/>
      <w:r>
        <w:rPr>
          <w:rFonts w:hint="cs"/>
          <w:rtl/>
        </w:rPr>
        <w:t xml:space="preserve">כתב </w:t>
      </w:r>
      <w:r>
        <w:rPr>
          <w:rStyle w:val="af8"/>
          <w:rtl/>
        </w:rPr>
        <w:t>הרי"ד בתשו'</w:t>
      </w:r>
      <w:r>
        <w:rPr>
          <w:rFonts w:hint="cs"/>
          <w:rtl/>
        </w:rPr>
        <w:t xml:space="preserve"> </w:t>
      </w:r>
      <w:r w:rsidRPr="009C40AF">
        <w:rPr>
          <w:rStyle w:val="af6"/>
          <w:rFonts w:eastAsia="Guttman Hodes"/>
          <w:rtl/>
        </w:rPr>
        <w:t>(סי' א' ד"ה ובזה העלמתם)</w:t>
      </w:r>
      <w:r>
        <w:rPr>
          <w:rFonts w:hint="cs"/>
          <w:rtl/>
        </w:rPr>
        <w:t xml:space="preserve"> דבמין בשאינו מינו שהתבשלו יחד, כל שהאיסור נותן טעם בהיתר, מדאו' לא מהני ביטול אפילו במאה, וכ"מ דמדאו' מהני ביטול בחד בתרי, </w:t>
      </w:r>
      <w:r w:rsidRPr="00476038">
        <w:rPr>
          <w:rStyle w:val="afa"/>
          <w:rFonts w:hint="cs"/>
          <w:rtl/>
        </w:rPr>
        <w:t xml:space="preserve">[ובתרומה מדרבנן צריך מאה], </w:t>
      </w:r>
      <w:r>
        <w:rPr>
          <w:rFonts w:hint="cs"/>
          <w:rtl/>
        </w:rPr>
        <w:t>הוא דוקא ביבש ביבש שהאיסור אינו נותן טעם בהיתר</w:t>
      </w:r>
      <w:r w:rsidRPr="00476038">
        <w:rPr>
          <w:rStyle w:val="afa"/>
          <w:rFonts w:hint="cs"/>
          <w:rtl/>
        </w:rPr>
        <w:t xml:space="preserve">, </w:t>
      </w:r>
      <w:r>
        <w:rPr>
          <w:rFonts w:hint="cs"/>
          <w:rtl/>
        </w:rPr>
        <w:t>דכל שהאיסור אינו נותן טעם, ואינו מתערב עם ההיתר, על כל חתיכה אפש"ל שאינה החתיכה האסורה, ולכן מותר לאכול כל חתיכה וחתיכה, אבל בלח בלח שיש נתינת טעם א"א לומר שהוא אוכל את חתיכת ההיתר, כיון שהטעם של האיסור נבלע בכל ההיתר, ולכן בלח בלח במין בשאינו מינו, כל שיש נתינת טעם אסור מדאו'.</w:t>
      </w:r>
      <w:bookmarkEnd w:id="12276"/>
    </w:p>
    <w:p w:rsidR="00D45705" w:rsidRDefault="00D45705" w:rsidP="00D45705">
      <w:pPr>
        <w:pStyle w:val="a2"/>
        <w:rPr>
          <w:rtl/>
        </w:rPr>
      </w:pPr>
      <w:bookmarkStart w:id="12277" w:name="_Toc23372482"/>
      <w:bookmarkStart w:id="12278" w:name="_Toc23419170"/>
      <w:bookmarkStart w:id="12279" w:name="_Toc23499439"/>
      <w:bookmarkStart w:id="12280" w:name="_Toc23663845"/>
      <w:bookmarkStart w:id="12281" w:name="_Toc23672497"/>
      <w:bookmarkStart w:id="12282" w:name="_Toc23673061"/>
      <w:r>
        <w:rPr>
          <w:rFonts w:hint="cs"/>
          <w:rtl/>
        </w:rPr>
        <w:t>ביאור הרי"ד דבמין במינו ביבש מותר לכתחילה דכל חתיכה היא מהרוב ואינו מדין ביטול ברוב</w:t>
      </w:r>
      <w:bookmarkEnd w:id="12277"/>
      <w:bookmarkEnd w:id="12278"/>
      <w:bookmarkEnd w:id="12279"/>
      <w:bookmarkEnd w:id="12280"/>
      <w:bookmarkEnd w:id="12281"/>
      <w:bookmarkEnd w:id="12282"/>
    </w:p>
    <w:p w:rsidR="00D45705" w:rsidRDefault="00D45705" w:rsidP="009F44AF">
      <w:pPr>
        <w:pStyle w:val="a"/>
        <w:rPr>
          <w:rtl/>
        </w:rPr>
      </w:pPr>
      <w:bookmarkStart w:id="12283" w:name="_Ref23661567"/>
      <w:r>
        <w:rPr>
          <w:rFonts w:hint="cs"/>
          <w:rtl/>
        </w:rPr>
        <w:t xml:space="preserve">ולפי"ז ביאר </w:t>
      </w:r>
      <w:r>
        <w:rPr>
          <w:rStyle w:val="af8"/>
          <w:rtl/>
        </w:rPr>
        <w:t>הרי"ד בתשו'</w:t>
      </w:r>
      <w:r>
        <w:rPr>
          <w:rFonts w:hint="cs"/>
          <w:rtl/>
        </w:rPr>
        <w:t xml:space="preserve"> </w:t>
      </w:r>
      <w:r w:rsidRPr="00CF55D8">
        <w:rPr>
          <w:rStyle w:val="af6"/>
          <w:rFonts w:eastAsia="Guttman Hodes" w:hint="cs"/>
          <w:rtl/>
        </w:rPr>
        <w:t>(סי' א' ד"ה ועוד ארחיב)</w:t>
      </w:r>
      <w:r>
        <w:rPr>
          <w:rFonts w:hint="cs"/>
          <w:rtl/>
        </w:rPr>
        <w:t xml:space="preserve"> דבמין במינו ביבש ביבש</w:t>
      </w:r>
      <w:r w:rsidRPr="00982CEE">
        <w:rPr>
          <w:rFonts w:hint="cs"/>
          <w:rtl/>
        </w:rPr>
        <w:t xml:space="preserve"> </w:t>
      </w:r>
      <w:r>
        <w:rPr>
          <w:rFonts w:hint="cs"/>
          <w:rtl/>
        </w:rPr>
        <w:t xml:space="preserve">ההיתר בחד בתרי, אינו מדין ביטול ברוב, אלא אף לכתחילה מותר לאכול כל חתיכה מהתערובת, דאזלינן בתר רובא, ואמרינן </w:t>
      </w:r>
      <w:r>
        <w:rPr>
          <w:rFonts w:hint="cs"/>
          <w:rtl/>
        </w:rPr>
        <w:lastRenderedPageBreak/>
        <w:t>שהחתיכה שאוכל היא חתיכת ההיתר, כיון שכל חתיכה עומדת בפנ"ע.</w:t>
      </w:r>
      <w:bookmarkEnd w:id="12283"/>
      <w:r>
        <w:rPr>
          <w:rFonts w:hint="cs"/>
          <w:rtl/>
        </w:rPr>
        <w:t xml:space="preserve"> </w:t>
      </w:r>
    </w:p>
    <w:p w:rsidR="00D45705" w:rsidRPr="00CF55D8" w:rsidRDefault="00D45705" w:rsidP="00D45705">
      <w:pPr>
        <w:pStyle w:val="a2"/>
        <w:rPr>
          <w:rtl/>
        </w:rPr>
      </w:pPr>
      <w:bookmarkStart w:id="12284" w:name="_Toc23372483"/>
      <w:bookmarkStart w:id="12285" w:name="_Toc23419171"/>
      <w:bookmarkStart w:id="12286" w:name="_Toc23499440"/>
      <w:bookmarkStart w:id="12287" w:name="_Toc23663846"/>
      <w:bookmarkStart w:id="12288" w:name="_Toc23672498"/>
      <w:bookmarkStart w:id="12289" w:name="_Toc23673062"/>
      <w:r>
        <w:rPr>
          <w:rFonts w:hint="cs"/>
          <w:rtl/>
        </w:rPr>
        <w:t>דברי התוס' רי"ד דאדם אחד שאכל את כל החתיכות חייב חטאת כיון שודאי אכל איסור</w:t>
      </w:r>
      <w:bookmarkEnd w:id="12284"/>
      <w:bookmarkEnd w:id="12285"/>
      <w:bookmarkEnd w:id="12286"/>
      <w:bookmarkEnd w:id="12287"/>
      <w:bookmarkEnd w:id="12288"/>
      <w:bookmarkEnd w:id="12289"/>
    </w:p>
    <w:p w:rsidR="00D45705" w:rsidRDefault="00D45705" w:rsidP="009F44AF">
      <w:pPr>
        <w:pStyle w:val="a"/>
      </w:pPr>
      <w:bookmarkStart w:id="12290" w:name="_Ref23661533"/>
      <w:r>
        <w:rPr>
          <w:rFonts w:hint="cs"/>
          <w:rtl/>
        </w:rPr>
        <w:t xml:space="preserve">אבל באדם אחד שאכל את ג' החתיכות, כתב </w:t>
      </w:r>
      <w:r>
        <w:rPr>
          <w:rStyle w:val="af8"/>
          <w:rtl/>
        </w:rPr>
        <w:t>הרי"ד בתשו'</w:t>
      </w:r>
      <w:r>
        <w:rPr>
          <w:rFonts w:hint="cs"/>
          <w:rtl/>
        </w:rPr>
        <w:t xml:space="preserve"> </w:t>
      </w:r>
      <w:r>
        <w:rPr>
          <w:rStyle w:val="af8"/>
          <w:rFonts w:hint="cs"/>
          <w:rtl/>
        </w:rPr>
        <w:t>וב</w:t>
      </w:r>
      <w:r>
        <w:rPr>
          <w:rStyle w:val="af8"/>
          <w:rtl/>
        </w:rPr>
        <w:t>תוס' רי"ד בב"ב</w:t>
      </w:r>
      <w:r>
        <w:rPr>
          <w:rFonts w:hint="cs"/>
          <w:rtl/>
        </w:rPr>
        <w:t xml:space="preserve"> </w:t>
      </w:r>
      <w:r>
        <w:rPr>
          <w:rStyle w:val="af6"/>
          <w:rFonts w:eastAsia="Guttman Hodes" w:hint="cs"/>
          <w:rtl/>
        </w:rPr>
        <w:t>(לא: סוד"ה שתי, הובא בסימן י</w:t>
      </w:r>
      <w:r>
        <w:rPr>
          <w:rStyle w:val="af6"/>
          <w:rFonts w:eastAsia="Guttman Hodes"/>
          <w:rtl/>
        </w:rPr>
        <w:t>"</w:t>
      </w:r>
      <w:r>
        <w:rPr>
          <w:rStyle w:val="af6"/>
          <w:rFonts w:eastAsia="Guttman Hodes" w:hint="cs"/>
          <w:rtl/>
        </w:rPr>
        <w:t>ז אות כ"ג)</w:t>
      </w:r>
      <w:r>
        <w:rPr>
          <w:rFonts w:hint="cs"/>
          <w:rtl/>
        </w:rPr>
        <w:t xml:space="preserve"> </w:t>
      </w:r>
      <w:r>
        <w:rPr>
          <w:rStyle w:val="af8"/>
          <w:rtl/>
        </w:rPr>
        <w:t>ובפסקי הרי"ד בזבחים</w:t>
      </w:r>
      <w:r>
        <w:rPr>
          <w:rFonts w:hint="cs"/>
          <w:rtl/>
        </w:rPr>
        <w:t xml:space="preserve"> </w:t>
      </w:r>
      <w:r>
        <w:rPr>
          <w:rStyle w:val="af6"/>
          <w:rFonts w:eastAsia="Guttman Hodes" w:hint="cs"/>
          <w:rtl/>
        </w:rPr>
        <w:t xml:space="preserve">(עב. ד"ה ומקשה) </w:t>
      </w:r>
      <w:r>
        <w:rPr>
          <w:rFonts w:hint="cs"/>
          <w:rtl/>
        </w:rPr>
        <w:t>דכיון ש</w:t>
      </w:r>
      <w:r w:rsidR="00441868">
        <w:rPr>
          <w:rFonts w:hint="cs"/>
          <w:rtl/>
        </w:rPr>
        <w:t>ממה נפשך</w:t>
      </w:r>
      <w:r>
        <w:rPr>
          <w:rFonts w:hint="cs"/>
          <w:rtl/>
        </w:rPr>
        <w:t xml:space="preserve"> אכל איסור, הוא חייב חטאת, וא"א לומר דהאיסור בטל ברוב, דכל מה דמהני הביטול הוא רק כשאכל חתיכה אחת, דאמרינן דהוא אכל את חתיכת ההיתר, כיון שיש רוב היתר, אבל כשאכל את כולם, ודאי שאכל חתיכת איסור, א"כ האיסור עומד בעצמו ואינו מתבטל, ולכן חייב חטאת.</w:t>
      </w:r>
      <w:r w:rsidRPr="005A11DC">
        <w:rPr>
          <w:rFonts w:hint="cs"/>
          <w:rtl/>
        </w:rPr>
        <w:t xml:space="preserve"> </w:t>
      </w:r>
      <w:r>
        <w:rPr>
          <w:rFonts w:hint="cs"/>
          <w:rtl/>
        </w:rPr>
        <w:t xml:space="preserve">[וע"ע בדברי </w:t>
      </w:r>
      <w:r w:rsidRPr="00247BCD">
        <w:rPr>
          <w:rStyle w:val="af8"/>
          <w:rFonts w:hint="cs"/>
          <w:rtl/>
        </w:rPr>
        <w:t>התוס' רי"ד בב"ב</w:t>
      </w:r>
      <w:r>
        <w:rPr>
          <w:rFonts w:hint="cs"/>
          <w:rtl/>
        </w:rPr>
        <w:t xml:space="preserve"> </w:t>
      </w:r>
      <w:r w:rsidRPr="00247BCD">
        <w:rPr>
          <w:rStyle w:val="af6"/>
          <w:rFonts w:eastAsia="Guttman Hodes" w:hint="cs"/>
          <w:rtl/>
        </w:rPr>
        <w:t>(</w:t>
      </w:r>
      <w:r>
        <w:rPr>
          <w:rStyle w:val="af6"/>
          <w:rFonts w:eastAsia="Guttman Hodes" w:hint="cs"/>
          <w:rtl/>
        </w:rPr>
        <w:t>לא: סוד"ה שתי, הובא בסימן י</w:t>
      </w:r>
      <w:r>
        <w:rPr>
          <w:rStyle w:val="af6"/>
          <w:rFonts w:eastAsia="Guttman Hodes"/>
          <w:rtl/>
        </w:rPr>
        <w:t>"</w:t>
      </w:r>
      <w:r>
        <w:rPr>
          <w:rStyle w:val="af6"/>
          <w:rFonts w:eastAsia="Guttman Hodes" w:hint="cs"/>
          <w:rtl/>
        </w:rPr>
        <w:t>ז אות כ"ז</w:t>
      </w:r>
      <w:r w:rsidRPr="00247BCD">
        <w:rPr>
          <w:rStyle w:val="af6"/>
          <w:rFonts w:eastAsia="Guttman Hodes" w:hint="cs"/>
          <w:rtl/>
        </w:rPr>
        <w:t>)</w:t>
      </w:r>
      <w:r>
        <w:rPr>
          <w:rFonts w:hint="cs"/>
          <w:rtl/>
        </w:rPr>
        <w:t xml:space="preserve"> דכתב דדמי לדין ב' שבילין, וע"ע בדברי </w:t>
      </w:r>
      <w:r w:rsidRPr="00247BCD">
        <w:rPr>
          <w:rStyle w:val="af8"/>
          <w:rFonts w:hint="cs"/>
          <w:rtl/>
        </w:rPr>
        <w:t>הרשב"א</w:t>
      </w:r>
      <w:r>
        <w:rPr>
          <w:rFonts w:hint="cs"/>
          <w:rtl/>
        </w:rPr>
        <w:t xml:space="preserve"> דכתב דאסור לאכול את כל התערובת בבת אחת, ועי' במה שביאר </w:t>
      </w:r>
      <w:r w:rsidRPr="005A11DC">
        <w:rPr>
          <w:rStyle w:val="af8"/>
          <w:rFonts w:hint="cs"/>
          <w:rtl/>
        </w:rPr>
        <w:t xml:space="preserve">הקוב"ש </w:t>
      </w:r>
      <w:r w:rsidRPr="00E52C8B">
        <w:rPr>
          <w:rStyle w:val="af6"/>
          <w:rFonts w:eastAsia="Guttman Hodes" w:hint="cs"/>
          <w:rtl/>
        </w:rPr>
        <w:t xml:space="preserve">(עי' אות </w:t>
      </w:r>
      <w:r w:rsidRPr="00E52C8B">
        <w:rPr>
          <w:rStyle w:val="af6"/>
          <w:rFonts w:eastAsia="Guttman Hodes"/>
          <w:rtl/>
        </w:rPr>
        <w:fldChar w:fldCharType="begin"/>
      </w:r>
      <w:r w:rsidRPr="00E52C8B">
        <w:rPr>
          <w:rStyle w:val="af6"/>
          <w:rFonts w:eastAsia="Guttman Hodes"/>
          <w:rtl/>
        </w:rPr>
        <w:instrText xml:space="preserve"> </w:instrText>
      </w:r>
      <w:r w:rsidRPr="00E52C8B">
        <w:rPr>
          <w:rStyle w:val="af6"/>
          <w:rFonts w:eastAsia="Guttman Hodes" w:hint="cs"/>
        </w:rPr>
        <w:instrText>REF</w:instrText>
      </w:r>
      <w:r w:rsidRPr="00E52C8B">
        <w:rPr>
          <w:rStyle w:val="af6"/>
          <w:rFonts w:eastAsia="Guttman Hodes" w:hint="cs"/>
          <w:rtl/>
        </w:rPr>
        <w:instrText xml:space="preserve"> _</w:instrText>
      </w:r>
      <w:r w:rsidRPr="00E52C8B">
        <w:rPr>
          <w:rStyle w:val="af6"/>
          <w:rFonts w:eastAsia="Guttman Hodes" w:hint="cs"/>
        </w:rPr>
        <w:instrText>Ref23328491 \r \h</w:instrText>
      </w:r>
      <w:r w:rsidRPr="00E52C8B">
        <w:rPr>
          <w:rStyle w:val="af6"/>
          <w:rFonts w:eastAsia="Guttman Hodes"/>
          <w:rtl/>
        </w:rPr>
        <w:instrText xml:space="preserve"> </w:instrText>
      </w:r>
      <w:r w:rsidRPr="00E52C8B">
        <w:rPr>
          <w:rStyle w:val="af6"/>
          <w:rFonts w:eastAsia="Guttman Hodes"/>
          <w:rtl/>
        </w:rPr>
      </w:r>
      <w:r w:rsidRPr="00E52C8B">
        <w:rPr>
          <w:rStyle w:val="af6"/>
          <w:rFonts w:eastAsia="Guttman Hodes"/>
          <w:rtl/>
        </w:rPr>
        <w:fldChar w:fldCharType="separate"/>
      </w:r>
      <w:r w:rsidR="004D1C5B">
        <w:rPr>
          <w:rStyle w:val="af6"/>
          <w:rFonts w:eastAsia="Guttman Hodes"/>
          <w:cs/>
        </w:rPr>
        <w:t>‎</w:t>
      </w:r>
      <w:r w:rsidR="004D1C5B">
        <w:rPr>
          <w:rStyle w:val="af6"/>
          <w:rFonts w:eastAsia="Guttman Hodes"/>
          <w:rtl/>
        </w:rPr>
        <w:t>קכט)</w:t>
      </w:r>
      <w:r w:rsidRPr="00E52C8B">
        <w:rPr>
          <w:rStyle w:val="af6"/>
          <w:rFonts w:eastAsia="Guttman Hodes"/>
          <w:rtl/>
        </w:rPr>
        <w:fldChar w:fldCharType="end"/>
      </w:r>
      <w:r>
        <w:rPr>
          <w:rFonts w:hint="cs"/>
          <w:rtl/>
        </w:rPr>
        <w:t xml:space="preserve"> </w:t>
      </w:r>
      <w:r w:rsidRPr="00E52C8B">
        <w:rPr>
          <w:rStyle w:val="af8"/>
          <w:rFonts w:hint="cs"/>
          <w:rtl/>
        </w:rPr>
        <w:t>ו</w:t>
      </w:r>
      <w:r w:rsidRPr="005A11DC">
        <w:rPr>
          <w:rStyle w:val="af8"/>
          <w:rFonts w:hint="cs"/>
          <w:rtl/>
        </w:rPr>
        <w:t>הקו</w:t>
      </w:r>
      <w:r>
        <w:rPr>
          <w:rStyle w:val="af8"/>
          <w:rFonts w:hint="cs"/>
          <w:rtl/>
        </w:rPr>
        <w:t>ה</w:t>
      </w:r>
      <w:r w:rsidRPr="005A11DC">
        <w:rPr>
          <w:rStyle w:val="af8"/>
          <w:rFonts w:hint="cs"/>
          <w:rtl/>
        </w:rPr>
        <w:t>"</w:t>
      </w:r>
      <w:r>
        <w:rPr>
          <w:rStyle w:val="af8"/>
          <w:rFonts w:hint="cs"/>
          <w:rtl/>
        </w:rPr>
        <w:t>ע</w:t>
      </w:r>
      <w:r w:rsidRPr="005A11DC">
        <w:rPr>
          <w:rStyle w:val="af8"/>
          <w:rFonts w:hint="cs"/>
          <w:rtl/>
        </w:rPr>
        <w:t xml:space="preserve"> </w:t>
      </w:r>
      <w:r>
        <w:rPr>
          <w:rStyle w:val="af6"/>
          <w:rFonts w:eastAsia="Guttman Hodes" w:hint="cs"/>
          <w:rtl/>
        </w:rPr>
        <w:t>(</w:t>
      </w:r>
      <w:r w:rsidRPr="00405C9F">
        <w:rPr>
          <w:rStyle w:val="af6"/>
          <w:rFonts w:eastAsia="Guttman Hodes" w:hint="cs"/>
          <w:rtl/>
        </w:rPr>
        <w:t>סי' ע"א ה'</w:t>
      </w:r>
      <w:r>
        <w:rPr>
          <w:rStyle w:val="af6"/>
          <w:rFonts w:eastAsia="Guttman Hodes" w:hint="cs"/>
          <w:rtl/>
        </w:rPr>
        <w:t>, הובא בסימן י</w:t>
      </w:r>
      <w:r>
        <w:rPr>
          <w:rStyle w:val="af6"/>
          <w:rFonts w:eastAsia="Guttman Hodes"/>
          <w:rtl/>
        </w:rPr>
        <w:t>"</w:t>
      </w:r>
      <w:r>
        <w:rPr>
          <w:rStyle w:val="af6"/>
          <w:rFonts w:eastAsia="Guttman Hodes" w:hint="cs"/>
          <w:rtl/>
        </w:rPr>
        <w:t>ז אות קכ"ז)</w:t>
      </w:r>
      <w:r>
        <w:rPr>
          <w:rFonts w:hint="cs"/>
          <w:rtl/>
        </w:rPr>
        <w:t xml:space="preserve"> בדברי </w:t>
      </w:r>
      <w:r w:rsidRPr="005A11DC">
        <w:rPr>
          <w:rStyle w:val="af8"/>
          <w:rFonts w:hint="cs"/>
          <w:rtl/>
        </w:rPr>
        <w:t>התוס' רי"ד</w:t>
      </w:r>
      <w:r>
        <w:rPr>
          <w:rFonts w:hint="cs"/>
          <w:rtl/>
        </w:rPr>
        <w:t>].</w:t>
      </w:r>
      <w:bookmarkEnd w:id="12290"/>
    </w:p>
    <w:p w:rsidR="00D45705" w:rsidRDefault="00D45705" w:rsidP="00D45705">
      <w:pPr>
        <w:pStyle w:val="a2"/>
        <w:rPr>
          <w:rtl/>
        </w:rPr>
      </w:pPr>
      <w:bookmarkStart w:id="12291" w:name="_Toc23372484"/>
      <w:bookmarkStart w:id="12292" w:name="_Toc23419172"/>
      <w:bookmarkStart w:id="12293" w:name="_Toc23499441"/>
      <w:bookmarkStart w:id="12294" w:name="_Toc23663847"/>
      <w:bookmarkStart w:id="12295" w:name="_Toc23672499"/>
      <w:bookmarkStart w:id="12296" w:name="_Toc23673063"/>
      <w:r>
        <w:rPr>
          <w:rFonts w:hint="cs"/>
          <w:rtl/>
        </w:rPr>
        <w:t>דברי התוס' רי"ד דביטול ברוב הוא כדין הלך אחר הרוב בט' חנויות דילפינן מאחרי רבים להטות</w:t>
      </w:r>
      <w:bookmarkEnd w:id="12291"/>
      <w:bookmarkEnd w:id="12292"/>
      <w:bookmarkEnd w:id="12293"/>
      <w:bookmarkEnd w:id="12294"/>
      <w:bookmarkEnd w:id="12295"/>
      <w:bookmarkEnd w:id="12296"/>
    </w:p>
    <w:p w:rsidR="00D45705" w:rsidRDefault="00D45705" w:rsidP="009F44AF">
      <w:pPr>
        <w:pStyle w:val="a"/>
        <w:rPr>
          <w:sz w:val="10"/>
          <w:szCs w:val="14"/>
          <w:rtl/>
        </w:rPr>
      </w:pPr>
      <w:bookmarkStart w:id="12297" w:name="_Ref23673188"/>
      <w:r>
        <w:rPr>
          <w:rFonts w:hint="cs"/>
          <w:rtl/>
        </w:rPr>
        <w:t xml:space="preserve">וביאר </w:t>
      </w:r>
      <w:r>
        <w:rPr>
          <w:rStyle w:val="af8"/>
          <w:rtl/>
        </w:rPr>
        <w:t>התוס' רי"ד בב"ב</w:t>
      </w:r>
      <w:r>
        <w:rPr>
          <w:rFonts w:hint="cs"/>
          <w:rtl/>
        </w:rPr>
        <w:t xml:space="preserve"> </w:t>
      </w:r>
      <w:r>
        <w:rPr>
          <w:rStyle w:val="af6"/>
          <w:rFonts w:eastAsia="Guttman Hodes" w:hint="cs"/>
          <w:rtl/>
        </w:rPr>
        <w:t>(צב: ד"ה וניחזי)</w:t>
      </w:r>
      <w:r>
        <w:rPr>
          <w:rFonts w:hint="cs"/>
          <w:rtl/>
        </w:rPr>
        <w:t xml:space="preserve"> </w:t>
      </w:r>
      <w:r>
        <w:rPr>
          <w:rStyle w:val="af8"/>
          <w:rtl/>
        </w:rPr>
        <w:t>ובפסקי הרי"ד בב"ב</w:t>
      </w:r>
      <w:r>
        <w:rPr>
          <w:rFonts w:hint="cs"/>
          <w:rtl/>
        </w:rPr>
        <w:t xml:space="preserve"> </w:t>
      </w:r>
      <w:r>
        <w:rPr>
          <w:rStyle w:val="af6"/>
          <w:rFonts w:eastAsia="Guttman Hodes" w:hint="cs"/>
          <w:rtl/>
        </w:rPr>
        <w:t>(צב: ד"ה רב)</w:t>
      </w:r>
      <w:r>
        <w:rPr>
          <w:rFonts w:hint="cs"/>
          <w:rtl/>
        </w:rPr>
        <w:t xml:space="preserve"> דדין ביטול ברוב באיסורין, הוא כדין הלך אחר הרוב, כדין ט' חנויות דאזלינן בזה בתר רובא בין באיסורא ובין בממונא, וכדילפינן מאחרי רבים להטות. </w:t>
      </w:r>
      <w:r>
        <w:rPr>
          <w:rStyle w:val="afa"/>
          <w:rtl/>
        </w:rPr>
        <w:t>[ובממון דלא אזלינן בתר רוב היינו רק כשיש מוחזק]</w:t>
      </w:r>
      <w:r>
        <w:rPr>
          <w:rStyle w:val="afa"/>
          <w:rFonts w:hint="cs"/>
          <w:rtl/>
        </w:rPr>
        <w:t>.</w:t>
      </w:r>
      <w:bookmarkEnd w:id="12297"/>
    </w:p>
    <w:p w:rsidR="00D45705" w:rsidRPr="00D94FCA" w:rsidRDefault="00D45705" w:rsidP="00D45705">
      <w:pPr>
        <w:pStyle w:val="a2"/>
      </w:pPr>
      <w:bookmarkStart w:id="12298" w:name="_Toc23372485"/>
      <w:bookmarkStart w:id="12299" w:name="_Toc23419173"/>
      <w:bookmarkStart w:id="12300" w:name="_Toc23499442"/>
      <w:bookmarkStart w:id="12301" w:name="_Toc23663848"/>
      <w:bookmarkStart w:id="12302" w:name="_Toc23672500"/>
      <w:bookmarkStart w:id="12303" w:name="_Toc23673064"/>
      <w:r>
        <w:rPr>
          <w:rFonts w:hint="cs"/>
          <w:rtl/>
        </w:rPr>
        <w:t>דברי התוס' רי"ד דבחד בתרי האיסור בטל מדאו' ומותר לאכול כל חתיכה ולא חיישינן שאסורה</w:t>
      </w:r>
      <w:bookmarkEnd w:id="12298"/>
      <w:bookmarkEnd w:id="12299"/>
      <w:bookmarkEnd w:id="12300"/>
      <w:bookmarkEnd w:id="12301"/>
      <w:bookmarkEnd w:id="12302"/>
      <w:bookmarkEnd w:id="12303"/>
    </w:p>
    <w:p w:rsidR="00D45705" w:rsidRPr="00F00F75" w:rsidRDefault="00D45705" w:rsidP="009F44AF">
      <w:pPr>
        <w:pStyle w:val="a"/>
        <w:rPr>
          <w:sz w:val="10"/>
          <w:szCs w:val="14"/>
          <w:rtl/>
        </w:rPr>
      </w:pPr>
      <w:r>
        <w:rPr>
          <w:rFonts w:hint="cs"/>
          <w:rtl/>
        </w:rPr>
        <w:t xml:space="preserve">וביאר </w:t>
      </w:r>
      <w:r>
        <w:rPr>
          <w:rStyle w:val="af8"/>
          <w:rtl/>
        </w:rPr>
        <w:t>התוס' רי"ד בב"ב</w:t>
      </w:r>
      <w:r w:rsidRPr="00D94FCA">
        <w:rPr>
          <w:rFonts w:hint="cs"/>
          <w:rtl/>
        </w:rPr>
        <w:t xml:space="preserve"> </w:t>
      </w:r>
      <w:r>
        <w:rPr>
          <w:rStyle w:val="af8"/>
          <w:rtl/>
        </w:rPr>
        <w:t>ובפסקי הרי"ד בב"ב</w:t>
      </w:r>
      <w:r w:rsidRPr="00D94FCA">
        <w:rPr>
          <w:rFonts w:hint="cs"/>
          <w:rtl/>
        </w:rPr>
        <w:t xml:space="preserve"> </w:t>
      </w:r>
      <w:r>
        <w:rPr>
          <w:rFonts w:hint="cs"/>
          <w:rtl/>
        </w:rPr>
        <w:t>דלכן כשהתערבה חתיכה של נבילה עם ב' חתיכות של שחוטה, יכול לקחת כל חתיכה מתוכם ולאוכלה, ולא חיישינן שמא באה חתיכת האיסור לידו, וכן מותר לג' בנ"א יחד לאכול את ג' החתיכות, דהאיסור בטל ברוב</w:t>
      </w:r>
      <w:r w:rsidRPr="00CB3A6D">
        <w:rPr>
          <w:rFonts w:hint="cs"/>
          <w:rtl/>
        </w:rPr>
        <w:t xml:space="preserve"> </w:t>
      </w:r>
      <w:r>
        <w:rPr>
          <w:rFonts w:hint="cs"/>
          <w:rtl/>
        </w:rPr>
        <w:t>מדאו', אף שברור שיש כאן איסור, אך לאדם אחד אסור לאכול את שלושת החתיכות.</w:t>
      </w:r>
      <w:r w:rsidRPr="00F00F75">
        <w:rPr>
          <w:rStyle w:val="afa"/>
          <w:rFonts w:hint="cs"/>
          <w:rtl/>
        </w:rPr>
        <w:t xml:space="preserve"> </w:t>
      </w:r>
      <w:r w:rsidRPr="006D0C36">
        <w:rPr>
          <w:rStyle w:val="afa"/>
          <w:rFonts w:hint="cs"/>
          <w:rtl/>
        </w:rPr>
        <w:t>[וע"ע</w:t>
      </w:r>
      <w:r>
        <w:rPr>
          <w:rFonts w:hint="cs"/>
          <w:rtl/>
        </w:rPr>
        <w:t xml:space="preserve"> </w:t>
      </w:r>
      <w:r>
        <w:rPr>
          <w:rStyle w:val="affa"/>
          <w:rtl/>
        </w:rPr>
        <w:t>בתוס' רי"</w:t>
      </w:r>
      <w:r w:rsidRPr="00A16AB2">
        <w:rPr>
          <w:rStyle w:val="affa"/>
          <w:rtl/>
        </w:rPr>
        <w:t>ד</w:t>
      </w:r>
      <w:r w:rsidRPr="00A16AB2">
        <w:rPr>
          <w:rStyle w:val="affa"/>
          <w:rFonts w:hint="cs"/>
          <w:rtl/>
        </w:rPr>
        <w:t xml:space="preserve"> בנדרים</w:t>
      </w:r>
      <w:r>
        <w:rPr>
          <w:rFonts w:hint="cs"/>
          <w:rtl/>
        </w:rPr>
        <w:t xml:space="preserve"> </w:t>
      </w:r>
      <w:r w:rsidRPr="001C197D">
        <w:rPr>
          <w:rStyle w:val="af6"/>
          <w:rFonts w:eastAsia="Guttman Hodes" w:hint="cs"/>
          <w:rtl/>
        </w:rPr>
        <w:t>(עי' הערה</w:t>
      </w:r>
      <w:r>
        <w:rPr>
          <w:rStyle w:val="af0"/>
          <w:rtl/>
        </w:rPr>
        <w:footnoteReference w:id="58"/>
      </w:r>
      <w:r w:rsidRPr="001C197D">
        <w:rPr>
          <w:rStyle w:val="af6"/>
          <w:rFonts w:eastAsia="Guttman Hodes" w:hint="cs"/>
          <w:rtl/>
        </w:rPr>
        <w:t>)</w:t>
      </w:r>
      <w:r>
        <w:rPr>
          <w:rFonts w:hint="cs"/>
          <w:rtl/>
        </w:rPr>
        <w:t xml:space="preserve"> </w:t>
      </w:r>
      <w:r w:rsidRPr="006D0C36">
        <w:rPr>
          <w:rStyle w:val="afa"/>
          <w:rFonts w:hint="cs"/>
          <w:rtl/>
        </w:rPr>
        <w:t>דמבואר מדבריו דהביטול ביבש ביבש, הוא רק כיון שכ"א עומד בפנ"ע, אמנם יעוי' עוד בדברי</w:t>
      </w:r>
      <w:r>
        <w:rPr>
          <w:rFonts w:hint="cs"/>
          <w:rtl/>
        </w:rPr>
        <w:t xml:space="preserve"> </w:t>
      </w:r>
      <w:r>
        <w:rPr>
          <w:rStyle w:val="affa"/>
          <w:rtl/>
        </w:rPr>
        <w:t>התוס' רי"ד בע"ז</w:t>
      </w:r>
      <w:r>
        <w:rPr>
          <w:rFonts w:hint="cs"/>
          <w:rtl/>
        </w:rPr>
        <w:t xml:space="preserve"> </w:t>
      </w:r>
      <w:r w:rsidRPr="001C197D">
        <w:rPr>
          <w:rStyle w:val="af6"/>
          <w:rFonts w:eastAsia="Guttman Hodes" w:hint="cs"/>
          <w:rtl/>
        </w:rPr>
        <w:t>(</w:t>
      </w:r>
      <w:r>
        <w:rPr>
          <w:rStyle w:val="af6"/>
          <w:rFonts w:eastAsia="Guttman Hodes" w:hint="cs"/>
          <w:rtl/>
        </w:rPr>
        <w:t xml:space="preserve">עי' </w:t>
      </w:r>
      <w:r w:rsidRPr="001C197D">
        <w:rPr>
          <w:rStyle w:val="af6"/>
          <w:rFonts w:eastAsia="Guttman Hodes" w:hint="cs"/>
          <w:rtl/>
        </w:rPr>
        <w:t>הערה</w:t>
      </w:r>
      <w:r>
        <w:rPr>
          <w:rStyle w:val="af0"/>
          <w:rtl/>
        </w:rPr>
        <w:footnoteReference w:id="59"/>
      </w:r>
      <w:r w:rsidRPr="001C197D">
        <w:rPr>
          <w:rStyle w:val="af6"/>
          <w:rFonts w:eastAsia="Guttman Hodes" w:hint="cs"/>
          <w:rtl/>
        </w:rPr>
        <w:t>)</w:t>
      </w:r>
      <w:r>
        <w:rPr>
          <w:rFonts w:hint="cs"/>
          <w:rtl/>
        </w:rPr>
        <w:t xml:space="preserve"> </w:t>
      </w:r>
      <w:r w:rsidRPr="006D0C36">
        <w:rPr>
          <w:rStyle w:val="afa"/>
          <w:rFonts w:hint="cs"/>
          <w:rtl/>
        </w:rPr>
        <w:t>דמבואר מדבריו דאף בלח בלח</w:t>
      </w:r>
      <w:r>
        <w:rPr>
          <w:rStyle w:val="afa"/>
          <w:rFonts w:hint="cs"/>
          <w:rtl/>
        </w:rPr>
        <w:t>,</w:t>
      </w:r>
      <w:r w:rsidRPr="006D0C36">
        <w:rPr>
          <w:rStyle w:val="afa"/>
          <w:rFonts w:hint="cs"/>
          <w:rtl/>
        </w:rPr>
        <w:t xml:space="preserve"> ההיתר הוא מדין ביטול ברוב כיבש ביבש, ו</w:t>
      </w:r>
      <w:r w:rsidR="008C6FBA">
        <w:rPr>
          <w:rStyle w:val="afa"/>
          <w:rFonts w:hint="cs"/>
          <w:rtl/>
        </w:rPr>
        <w:t>מוכח דביטול ברוב ביבש אינו מ</w:t>
      </w:r>
      <w:r w:rsidRPr="006D0C36">
        <w:rPr>
          <w:rStyle w:val="afa"/>
          <w:rFonts w:hint="cs"/>
          <w:rtl/>
        </w:rPr>
        <w:t>דין הלך אחר הרוב].</w:t>
      </w:r>
      <w:r>
        <w:rPr>
          <w:rFonts w:hint="cs"/>
          <w:rtl/>
        </w:rPr>
        <w:t xml:space="preserve"> </w:t>
      </w:r>
    </w:p>
    <w:p w:rsidR="00D45705" w:rsidRPr="00901E73" w:rsidRDefault="00D45705" w:rsidP="00E669F8">
      <w:pPr>
        <w:pStyle w:val="afd"/>
        <w:rPr>
          <w:rtl/>
        </w:rPr>
      </w:pPr>
      <w:bookmarkStart w:id="12304" w:name="_Toc23499443"/>
      <w:bookmarkStart w:id="12305" w:name="_Toc23663849"/>
      <w:bookmarkStart w:id="12306" w:name="_Toc23672501"/>
      <w:bookmarkStart w:id="12307" w:name="_Toc23673065"/>
      <w:bookmarkEnd w:id="12256"/>
      <w:bookmarkEnd w:id="12257"/>
      <w:r>
        <w:rPr>
          <w:rFonts w:hint="cs"/>
          <w:rtl/>
        </w:rPr>
        <w:t>בדין יבש ביבש במין בשאינו מינו</w:t>
      </w:r>
      <w:bookmarkEnd w:id="12063"/>
      <w:bookmarkEnd w:id="12064"/>
      <w:bookmarkEnd w:id="12065"/>
      <w:bookmarkEnd w:id="12066"/>
      <w:bookmarkEnd w:id="12304"/>
      <w:bookmarkEnd w:id="12305"/>
      <w:bookmarkEnd w:id="12306"/>
      <w:bookmarkEnd w:id="12307"/>
    </w:p>
    <w:p w:rsidR="00D45705" w:rsidRDefault="00D45705" w:rsidP="00D45705">
      <w:pPr>
        <w:pStyle w:val="1"/>
        <w:rPr>
          <w:rtl/>
        </w:rPr>
      </w:pPr>
      <w:bookmarkStart w:id="12308" w:name="_Toc23419140"/>
      <w:bookmarkStart w:id="12309" w:name="_Toc23499444"/>
      <w:bookmarkStart w:id="12310" w:name="_Toc23663850"/>
      <w:bookmarkStart w:id="12311" w:name="_Toc23672502"/>
      <w:bookmarkStart w:id="12312" w:name="_Toc23673066"/>
      <w:r>
        <w:rPr>
          <w:rFonts w:hint="cs"/>
          <w:rtl/>
        </w:rPr>
        <w:t>דברי הטור דלכאו' מהני ביטול ברוב ביבש אף בשאינו מינו</w:t>
      </w:r>
      <w:bookmarkEnd w:id="12308"/>
      <w:bookmarkEnd w:id="12309"/>
      <w:bookmarkEnd w:id="12310"/>
      <w:bookmarkEnd w:id="12311"/>
      <w:bookmarkEnd w:id="12312"/>
    </w:p>
    <w:p w:rsidR="00D45705" w:rsidRDefault="00D45705" w:rsidP="00D45705">
      <w:pPr>
        <w:pStyle w:val="a2"/>
        <w:rPr>
          <w:rtl/>
        </w:rPr>
      </w:pPr>
      <w:bookmarkStart w:id="12313" w:name="_Toc23419141"/>
      <w:bookmarkStart w:id="12314" w:name="_Toc23499445"/>
      <w:bookmarkStart w:id="12315" w:name="_Toc23663851"/>
      <w:bookmarkStart w:id="12316" w:name="_Toc23672503"/>
      <w:bookmarkStart w:id="12317" w:name="_Toc23673067"/>
      <w:r>
        <w:rPr>
          <w:rFonts w:hint="cs"/>
          <w:rtl/>
        </w:rPr>
        <w:t>דברי הטור דלכאו' במין בשאינו מינו ביבש בחתיכות קטנות שלא ניכרות מהני ביטול דחד בתרי</w:t>
      </w:r>
      <w:bookmarkEnd w:id="12313"/>
      <w:bookmarkEnd w:id="12314"/>
      <w:bookmarkEnd w:id="12315"/>
      <w:bookmarkEnd w:id="12316"/>
      <w:bookmarkEnd w:id="12317"/>
      <w:r>
        <w:rPr>
          <w:rFonts w:hint="cs"/>
          <w:rtl/>
        </w:rPr>
        <w:t xml:space="preserve"> </w:t>
      </w:r>
    </w:p>
    <w:p w:rsidR="00D45705" w:rsidRDefault="00D45705" w:rsidP="009F44AF">
      <w:pPr>
        <w:pStyle w:val="a"/>
        <w:rPr>
          <w:rtl/>
        </w:rPr>
      </w:pPr>
      <w:bookmarkStart w:id="12318" w:name="_Ref22206931"/>
      <w:r>
        <w:rPr>
          <w:rFonts w:hint="cs"/>
          <w:rtl/>
        </w:rPr>
        <w:t xml:space="preserve">כתב </w:t>
      </w:r>
      <w:r w:rsidRPr="00F624B5">
        <w:rPr>
          <w:rStyle w:val="af8"/>
          <w:rFonts w:hint="cs"/>
          <w:rtl/>
        </w:rPr>
        <w:t>הטור</w:t>
      </w:r>
      <w:r>
        <w:rPr>
          <w:rFonts w:hint="cs"/>
          <w:rtl/>
        </w:rPr>
        <w:t xml:space="preserve"> </w:t>
      </w:r>
      <w:r w:rsidRPr="00F624B5">
        <w:rPr>
          <w:rStyle w:val="af6"/>
          <w:rFonts w:eastAsia="Guttman Hodes" w:hint="cs"/>
          <w:rtl/>
        </w:rPr>
        <w:t>(סי' ק"ט א')</w:t>
      </w:r>
      <w:r>
        <w:rPr>
          <w:rFonts w:hint="cs"/>
          <w:rtl/>
        </w:rPr>
        <w:t xml:space="preserve"> דלכאורה נראה דביבש ביבש מהני ביטול בחד בתרי בין במין במינו, ובין במין בשאינו מינו כשא"א להכיר כל מין בפנ"ע, כגון שנפרדו לחתיכות קטנות.</w:t>
      </w:r>
      <w:bookmarkEnd w:id="12318"/>
    </w:p>
    <w:p w:rsidR="00D45705" w:rsidRDefault="00D45705" w:rsidP="00D45705">
      <w:pPr>
        <w:pStyle w:val="a2"/>
      </w:pPr>
      <w:bookmarkStart w:id="12319" w:name="_Toc23419142"/>
      <w:bookmarkStart w:id="12320" w:name="_Toc23499446"/>
      <w:bookmarkStart w:id="12321" w:name="_Toc23663852"/>
      <w:bookmarkStart w:id="12322" w:name="_Toc23672504"/>
      <w:bookmarkStart w:id="12323" w:name="_Toc23673068"/>
      <w:r>
        <w:rPr>
          <w:rFonts w:hint="cs"/>
          <w:rtl/>
        </w:rPr>
        <w:t>דברי החזו"א דכיון שכל חתיכה עומדת בפנ"ע הכל מותר מדין כל דפריש ואין איסור בכא"פ</w:t>
      </w:r>
      <w:bookmarkEnd w:id="12319"/>
      <w:bookmarkEnd w:id="12320"/>
      <w:bookmarkEnd w:id="12321"/>
      <w:bookmarkEnd w:id="12322"/>
      <w:bookmarkEnd w:id="12323"/>
    </w:p>
    <w:p w:rsidR="00D45705" w:rsidRDefault="00D45705" w:rsidP="009F44AF">
      <w:pPr>
        <w:pStyle w:val="a"/>
      </w:pPr>
      <w:r>
        <w:rPr>
          <w:rFonts w:hint="cs"/>
          <w:rtl/>
        </w:rPr>
        <w:t xml:space="preserve">וכתב </w:t>
      </w:r>
      <w:r w:rsidRPr="00E243F3">
        <w:rPr>
          <w:rStyle w:val="af8"/>
          <w:rFonts w:hint="cs"/>
          <w:rtl/>
        </w:rPr>
        <w:t>החזו"א</w:t>
      </w:r>
      <w:r>
        <w:rPr>
          <w:rFonts w:hint="cs"/>
          <w:rtl/>
        </w:rPr>
        <w:t xml:space="preserve"> </w:t>
      </w:r>
      <w:r w:rsidRPr="00170014">
        <w:rPr>
          <w:rStyle w:val="af6"/>
          <w:rFonts w:eastAsia="Guttman Hodes" w:hint="cs"/>
          <w:rtl/>
        </w:rPr>
        <w:t>(יו"ד סי' ל"ו סק"ב)</w:t>
      </w:r>
      <w:r>
        <w:rPr>
          <w:rFonts w:hint="cs"/>
          <w:rtl/>
        </w:rPr>
        <w:t xml:space="preserve"> דכיון ד</w:t>
      </w:r>
      <w:r w:rsidRPr="00E243F3">
        <w:rPr>
          <w:rStyle w:val="af8"/>
          <w:rFonts w:hint="cs"/>
          <w:rtl/>
        </w:rPr>
        <w:t>הטור</w:t>
      </w:r>
      <w:r>
        <w:rPr>
          <w:rFonts w:hint="cs"/>
          <w:rtl/>
        </w:rPr>
        <w:t xml:space="preserve"> איירי שכל חתיכה היא נפרדת ועומדת בפנ"ע, לכן א"א לאסור מעיקר הדין מדין טעם כעיקר, ומדין כזית בכדי אכילת פרס, דבמין בשאינו מינו יש איסור מדין טעם כעיקר, ומדין כזית בכדי אכילת פרס, דהאיסור הוא דוקא כשהאיסור וההיתר מעורבים לגמרי זה בזה, אבל כשכל חתיכה היא נפרדת ועומדת בפנ"ע, ואם אוכל כל חתיכה בפנ"ע היא מותרת מדין כל דפריש מרובא פריש, ולכן ממילא אמרינן שכל התערובת מותרת</w:t>
      </w:r>
      <w:bookmarkStart w:id="12324" w:name="_Ref24369128"/>
      <w:r>
        <w:rPr>
          <w:rStyle w:val="af0"/>
          <w:rtl/>
        </w:rPr>
        <w:footnoteReference w:id="60"/>
      </w:r>
      <w:bookmarkEnd w:id="12324"/>
      <w:r>
        <w:rPr>
          <w:rFonts w:hint="cs"/>
          <w:rtl/>
        </w:rPr>
        <w:t xml:space="preserve">. </w:t>
      </w:r>
      <w:bookmarkStart w:id="12325" w:name="_Toc23419143"/>
      <w:bookmarkStart w:id="12326" w:name="_Toc23499447"/>
      <w:bookmarkStart w:id="12327" w:name="_Toc23663853"/>
    </w:p>
    <w:p w:rsidR="00D45705" w:rsidRDefault="00D45705" w:rsidP="00D45705">
      <w:pPr>
        <w:pStyle w:val="1"/>
        <w:rPr>
          <w:rtl/>
        </w:rPr>
      </w:pPr>
      <w:bookmarkStart w:id="12328" w:name="_Toc23672505"/>
      <w:bookmarkStart w:id="12329" w:name="_Toc23673069"/>
      <w:r>
        <w:rPr>
          <w:rFonts w:hint="cs"/>
          <w:rtl/>
        </w:rPr>
        <w:t>דעת הרשב"א וסה"ת והר"ן דבשאינו מינו צריך שישים אף ביבש</w:t>
      </w:r>
      <w:bookmarkEnd w:id="12325"/>
      <w:bookmarkEnd w:id="12326"/>
      <w:bookmarkEnd w:id="12327"/>
      <w:bookmarkEnd w:id="12328"/>
      <w:bookmarkEnd w:id="12329"/>
    </w:p>
    <w:p w:rsidR="00D45705" w:rsidRPr="00B56982" w:rsidRDefault="00D45705" w:rsidP="00D45705">
      <w:pPr>
        <w:pStyle w:val="a2"/>
      </w:pPr>
      <w:bookmarkStart w:id="12330" w:name="_Toc23419144"/>
      <w:bookmarkStart w:id="12331" w:name="_Toc23499448"/>
      <w:bookmarkStart w:id="12332" w:name="_Toc23663854"/>
      <w:bookmarkStart w:id="12333" w:name="_Toc23672506"/>
      <w:bookmarkStart w:id="12334" w:name="_Toc23673070"/>
      <w:r>
        <w:rPr>
          <w:rFonts w:hint="cs"/>
          <w:rtl/>
        </w:rPr>
        <w:t>דברי סה"ת והרמב"ן והרשב"א דבשאינו מינו צריך שישים ביבש דטעם האיסור ניכר</w:t>
      </w:r>
      <w:bookmarkEnd w:id="12330"/>
      <w:r w:rsidRPr="00190DBE">
        <w:rPr>
          <w:rFonts w:hint="cs"/>
          <w:rtl/>
        </w:rPr>
        <w:t xml:space="preserve"> </w:t>
      </w:r>
      <w:r>
        <w:rPr>
          <w:rFonts w:hint="cs"/>
          <w:rtl/>
        </w:rPr>
        <w:t>אם יבשל</w:t>
      </w:r>
      <w:bookmarkEnd w:id="12331"/>
      <w:bookmarkEnd w:id="12332"/>
      <w:bookmarkEnd w:id="12333"/>
      <w:bookmarkEnd w:id="12334"/>
    </w:p>
    <w:p w:rsidR="00D45705" w:rsidRDefault="00D45705" w:rsidP="009F44AF">
      <w:pPr>
        <w:pStyle w:val="a"/>
        <w:rPr>
          <w:rtl/>
        </w:rPr>
      </w:pPr>
      <w:bookmarkStart w:id="12335" w:name="_Ref22638241"/>
      <w:bookmarkStart w:id="12336" w:name="_Ref23669703"/>
      <w:r>
        <w:rPr>
          <w:rFonts w:hint="cs"/>
          <w:rtl/>
        </w:rPr>
        <w:t xml:space="preserve">אך הביא </w:t>
      </w:r>
      <w:r w:rsidRPr="00B56982">
        <w:rPr>
          <w:rStyle w:val="af8"/>
          <w:rFonts w:hint="cs"/>
          <w:rtl/>
        </w:rPr>
        <w:t xml:space="preserve">הטור </w:t>
      </w:r>
      <w:r>
        <w:rPr>
          <w:rFonts w:hint="cs"/>
          <w:rtl/>
        </w:rPr>
        <w:t xml:space="preserve">את דברי </w:t>
      </w:r>
      <w:r w:rsidRPr="00456546">
        <w:rPr>
          <w:rStyle w:val="af8"/>
          <w:rFonts w:hint="cs"/>
          <w:rtl/>
        </w:rPr>
        <w:t>ספר התרומה</w:t>
      </w:r>
      <w:r>
        <w:rPr>
          <w:rFonts w:hint="cs"/>
          <w:rtl/>
        </w:rPr>
        <w:t xml:space="preserve"> </w:t>
      </w:r>
      <w:r w:rsidRPr="00470A89">
        <w:rPr>
          <w:rStyle w:val="af6"/>
          <w:rFonts w:eastAsia="Guttman Hodes" w:hint="cs"/>
          <w:rtl/>
        </w:rPr>
        <w:t>(הל' איסור והיתר סי' נ' ד"ה הלכך, הועתק בקובץ שיטות קמאי חולין ח"ג עמ'</w:t>
      </w:r>
      <w:r w:rsidRPr="00470A89">
        <w:rPr>
          <w:rStyle w:val="af6"/>
          <w:rFonts w:eastAsia="Guttman Hodes"/>
          <w:rtl/>
        </w:rPr>
        <w:t xml:space="preserve"> </w:t>
      </w:r>
      <w:r w:rsidRPr="00470A89">
        <w:rPr>
          <w:rStyle w:val="af6"/>
          <w:rFonts w:eastAsia="Guttman Hodes" w:hint="cs"/>
          <w:rtl/>
        </w:rPr>
        <w:t>ב</w:t>
      </w:r>
      <w:r w:rsidRPr="00470A89">
        <w:rPr>
          <w:rStyle w:val="af6"/>
          <w:rFonts w:eastAsia="Guttman Hodes"/>
          <w:rtl/>
        </w:rPr>
        <w:t>' אלף קע</w:t>
      </w:r>
      <w:r w:rsidRPr="00470A89">
        <w:rPr>
          <w:rStyle w:val="af6"/>
          <w:rFonts w:eastAsia="Guttman Hodes" w:hint="cs"/>
          <w:rtl/>
        </w:rPr>
        <w:t>"</w:t>
      </w:r>
      <w:r w:rsidRPr="00470A89">
        <w:rPr>
          <w:rStyle w:val="af6"/>
          <w:rFonts w:eastAsia="Guttman Hodes"/>
          <w:rtl/>
        </w:rPr>
        <w:t>א</w:t>
      </w:r>
      <w:r w:rsidRPr="00470A89">
        <w:rPr>
          <w:rStyle w:val="af6"/>
          <w:rFonts w:eastAsia="Guttman Hodes" w:hint="cs"/>
          <w:rtl/>
        </w:rPr>
        <w:t>)</w:t>
      </w:r>
      <w:r>
        <w:rPr>
          <w:rFonts w:hint="cs"/>
          <w:rtl/>
        </w:rPr>
        <w:t xml:space="preserve"> דכתב דבמין בשאינו מינו אף ביבש ביבש צריך שישים להתיר, דכיון שאם יבשלם </w:t>
      </w:r>
      <w:bookmarkEnd w:id="12335"/>
      <w:r>
        <w:rPr>
          <w:rFonts w:hint="cs"/>
          <w:rtl/>
        </w:rPr>
        <w:t>אח"כ יתן האיסור טעם בהיתר,</w:t>
      </w:r>
      <w:r w:rsidRPr="005D05DD">
        <w:rPr>
          <w:rFonts w:hint="cs"/>
          <w:rtl/>
        </w:rPr>
        <w:t xml:space="preserve"> </w:t>
      </w:r>
      <w:r>
        <w:rPr>
          <w:rFonts w:hint="cs"/>
          <w:rtl/>
        </w:rPr>
        <w:t>לכן אף ביבש ביבש צריך ביטול בשישים</w:t>
      </w:r>
      <w:r w:rsidRPr="005D05DD">
        <w:rPr>
          <w:rFonts w:hint="cs"/>
          <w:rtl/>
        </w:rPr>
        <w:t xml:space="preserve"> </w:t>
      </w:r>
      <w:r>
        <w:rPr>
          <w:rFonts w:hint="cs"/>
          <w:rtl/>
        </w:rPr>
        <w:t>במין בשאינו מינו</w:t>
      </w:r>
      <w:r>
        <w:rPr>
          <w:rStyle w:val="af0"/>
          <w:rtl/>
        </w:rPr>
        <w:footnoteReference w:id="61"/>
      </w:r>
      <w:r>
        <w:rPr>
          <w:rFonts w:hint="cs"/>
          <w:rtl/>
        </w:rPr>
        <w:t>,</w:t>
      </w:r>
      <w:r w:rsidRPr="00CC5437">
        <w:rPr>
          <w:rFonts w:hint="cs"/>
          <w:rtl/>
        </w:rPr>
        <w:t xml:space="preserve"> </w:t>
      </w:r>
      <w:r>
        <w:rPr>
          <w:rFonts w:hint="cs"/>
          <w:rtl/>
        </w:rPr>
        <w:t xml:space="preserve">וכ"כ </w:t>
      </w:r>
      <w:r w:rsidRPr="006A1E74">
        <w:rPr>
          <w:rStyle w:val="af8"/>
          <w:rFonts w:hint="cs"/>
          <w:rtl/>
        </w:rPr>
        <w:t>הרמב"ן לעיל</w:t>
      </w:r>
      <w:r>
        <w:rPr>
          <w:rFonts w:hint="cs"/>
          <w:rtl/>
        </w:rPr>
        <w:t xml:space="preserve"> </w:t>
      </w:r>
      <w:r w:rsidRPr="00227059">
        <w:rPr>
          <w:rStyle w:val="af6"/>
          <w:rFonts w:eastAsia="Guttman Hodes" w:hint="cs"/>
          <w:rtl/>
        </w:rPr>
        <w:t xml:space="preserve">(צז: ד"ה אלא שמצאתי) </w:t>
      </w:r>
      <w:r>
        <w:rPr>
          <w:rStyle w:val="af8"/>
          <w:rFonts w:hint="cs"/>
          <w:rtl/>
        </w:rPr>
        <w:t>ו</w:t>
      </w:r>
      <w:r w:rsidRPr="005B157F">
        <w:rPr>
          <w:rStyle w:val="af8"/>
          <w:rFonts w:hint="cs"/>
          <w:rtl/>
        </w:rPr>
        <w:t xml:space="preserve">הרשב"א </w:t>
      </w:r>
      <w:r w:rsidRPr="00C43C4E">
        <w:rPr>
          <w:rStyle w:val="af8"/>
          <w:rFonts w:hint="cs"/>
          <w:rtl/>
        </w:rPr>
        <w:t>לעיל</w:t>
      </w:r>
      <w:r>
        <w:rPr>
          <w:rFonts w:hint="cs"/>
          <w:rtl/>
        </w:rPr>
        <w:t xml:space="preserve"> </w:t>
      </w:r>
      <w:r w:rsidRPr="00C0054B">
        <w:rPr>
          <w:rStyle w:val="af6"/>
          <w:rFonts w:eastAsia="Guttman Hodes" w:hint="cs"/>
          <w:rtl/>
        </w:rPr>
        <w:t xml:space="preserve">(צז: ד"ה א"ל) </w:t>
      </w:r>
      <w:r>
        <w:rPr>
          <w:rFonts w:hint="cs"/>
          <w:rtl/>
        </w:rPr>
        <w:t xml:space="preserve">בשם </w:t>
      </w:r>
      <w:r w:rsidRPr="005B157F">
        <w:rPr>
          <w:rStyle w:val="af8"/>
          <w:rFonts w:hint="cs"/>
          <w:rtl/>
        </w:rPr>
        <w:t>התוס'</w:t>
      </w:r>
      <w:r>
        <w:rPr>
          <w:rFonts w:hint="cs"/>
          <w:rtl/>
        </w:rPr>
        <w:t xml:space="preserve">, </w:t>
      </w:r>
      <w:r w:rsidRPr="008D3279">
        <w:rPr>
          <w:rFonts w:hint="cs"/>
          <w:rtl/>
        </w:rPr>
        <w:t xml:space="preserve">[ועי' במה שביאר </w:t>
      </w:r>
      <w:r w:rsidRPr="008D3279">
        <w:rPr>
          <w:rStyle w:val="af8"/>
          <w:rFonts w:hint="cs"/>
          <w:rtl/>
        </w:rPr>
        <w:t>הפרמ"ג</w:t>
      </w:r>
      <w:r w:rsidRPr="008D3279">
        <w:rPr>
          <w:rFonts w:hint="cs"/>
          <w:rtl/>
        </w:rPr>
        <w:t xml:space="preserve"> </w:t>
      </w:r>
      <w:r w:rsidRPr="008D3279">
        <w:rPr>
          <w:rStyle w:val="af6"/>
          <w:rFonts w:eastAsia="Guttman Hodes" w:hint="cs"/>
          <w:rtl/>
        </w:rPr>
        <w:t xml:space="preserve">(עי' אות </w:t>
      </w:r>
      <w:r w:rsidRPr="008D3279">
        <w:rPr>
          <w:rStyle w:val="af6"/>
          <w:rFonts w:eastAsia="Guttman Hodes"/>
          <w:rtl/>
        </w:rPr>
        <w:fldChar w:fldCharType="begin"/>
      </w:r>
      <w:r w:rsidRPr="008D3279">
        <w:rPr>
          <w:rStyle w:val="af6"/>
          <w:rFonts w:eastAsia="Guttman Hodes"/>
          <w:rtl/>
        </w:rPr>
        <w:instrText xml:space="preserve"> </w:instrText>
      </w:r>
      <w:r w:rsidRPr="008D3279">
        <w:rPr>
          <w:rStyle w:val="af6"/>
          <w:rFonts w:eastAsia="Guttman Hodes" w:hint="cs"/>
        </w:rPr>
        <w:instrText>REF</w:instrText>
      </w:r>
      <w:r w:rsidRPr="008D3279">
        <w:rPr>
          <w:rStyle w:val="af6"/>
          <w:rFonts w:eastAsia="Guttman Hodes" w:hint="cs"/>
          <w:rtl/>
        </w:rPr>
        <w:instrText xml:space="preserve"> _</w:instrText>
      </w:r>
      <w:r w:rsidRPr="008D3279">
        <w:rPr>
          <w:rStyle w:val="af6"/>
          <w:rFonts w:eastAsia="Guttman Hodes" w:hint="cs"/>
        </w:rPr>
        <w:instrText>Ref23669680 \r \h</w:instrText>
      </w:r>
      <w:r w:rsidRPr="008D3279">
        <w:rPr>
          <w:rStyle w:val="af6"/>
          <w:rFonts w:eastAsia="Guttman Hodes"/>
          <w:rtl/>
        </w:rPr>
        <w:instrText xml:space="preserve"> </w:instrText>
      </w:r>
      <w:r w:rsidRPr="008D3279">
        <w:rPr>
          <w:rStyle w:val="af6"/>
          <w:rFonts w:eastAsia="Guttman Hodes"/>
          <w:rtl/>
        </w:rPr>
      </w:r>
      <w:r w:rsidRPr="008D3279">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8D3279">
        <w:rPr>
          <w:rStyle w:val="af6"/>
          <w:rFonts w:eastAsia="Guttman Hodes"/>
          <w:rtl/>
        </w:rPr>
        <w:fldChar w:fldCharType="end"/>
      </w:r>
      <w:r w:rsidRPr="008D3279">
        <w:rPr>
          <w:rFonts w:hint="cs"/>
          <w:rtl/>
        </w:rPr>
        <w:t xml:space="preserve"> </w:t>
      </w:r>
      <w:r>
        <w:rPr>
          <w:rFonts w:hint="cs"/>
          <w:rtl/>
        </w:rPr>
        <w:t xml:space="preserve">בדעת </w:t>
      </w:r>
      <w:r w:rsidRPr="00443246">
        <w:rPr>
          <w:rStyle w:val="af8"/>
          <w:rFonts w:hint="cs"/>
          <w:rtl/>
        </w:rPr>
        <w:t>הר"א אב"ד</w:t>
      </w:r>
      <w:r w:rsidRPr="008D3279">
        <w:rPr>
          <w:rStyle w:val="af6"/>
          <w:rFonts w:eastAsia="Guttman Hodes" w:hint="cs"/>
          <w:rtl/>
        </w:rPr>
        <w:t xml:space="preserve"> (עי' אות </w:t>
      </w:r>
      <w:r w:rsidRPr="008D3279">
        <w:rPr>
          <w:rStyle w:val="af6"/>
          <w:rFonts w:eastAsia="Guttman Hodes"/>
          <w:rtl/>
        </w:rPr>
        <w:fldChar w:fldCharType="begin"/>
      </w:r>
      <w:r w:rsidRPr="008D3279">
        <w:rPr>
          <w:rStyle w:val="af6"/>
          <w:rFonts w:eastAsia="Guttman Hodes"/>
          <w:rtl/>
        </w:rPr>
        <w:instrText xml:space="preserve"> </w:instrText>
      </w:r>
      <w:r w:rsidRPr="008D3279">
        <w:rPr>
          <w:rStyle w:val="af6"/>
          <w:rFonts w:eastAsia="Guttman Hodes" w:hint="cs"/>
        </w:rPr>
        <w:instrText>REF</w:instrText>
      </w:r>
      <w:r w:rsidRPr="008D3279">
        <w:rPr>
          <w:rStyle w:val="af6"/>
          <w:rFonts w:eastAsia="Guttman Hodes" w:hint="cs"/>
          <w:rtl/>
        </w:rPr>
        <w:instrText xml:space="preserve"> _</w:instrText>
      </w:r>
      <w:r w:rsidRPr="008D3279">
        <w:rPr>
          <w:rStyle w:val="af6"/>
          <w:rFonts w:eastAsia="Guttman Hodes" w:hint="cs"/>
        </w:rPr>
        <w:instrText>Ref23409765 \r \h</w:instrText>
      </w:r>
      <w:r w:rsidRPr="008D3279">
        <w:rPr>
          <w:rStyle w:val="af6"/>
          <w:rFonts w:eastAsia="Guttman Hodes"/>
          <w:rtl/>
        </w:rPr>
        <w:instrText xml:space="preserve"> </w:instrText>
      </w:r>
      <w:r w:rsidRPr="008D3279">
        <w:rPr>
          <w:rStyle w:val="af6"/>
          <w:rFonts w:eastAsia="Guttman Hodes"/>
          <w:rtl/>
        </w:rPr>
      </w:r>
      <w:r w:rsidRPr="008D3279">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8D3279">
        <w:rPr>
          <w:rStyle w:val="af6"/>
          <w:rFonts w:eastAsia="Guttman Hodes"/>
          <w:rtl/>
        </w:rPr>
        <w:fldChar w:fldCharType="end"/>
      </w:r>
      <w:r w:rsidRPr="008D3279">
        <w:rPr>
          <w:rFonts w:hint="cs"/>
          <w:rtl/>
        </w:rPr>
        <w:t xml:space="preserve"> </w:t>
      </w:r>
      <w:r>
        <w:rPr>
          <w:rFonts w:hint="cs"/>
          <w:rtl/>
        </w:rPr>
        <w:t xml:space="preserve">דס"ל דאף ביבש ביבש צריך </w:t>
      </w:r>
      <w:r w:rsidRPr="008D3279">
        <w:rPr>
          <w:rFonts w:hint="cs"/>
          <w:rtl/>
        </w:rPr>
        <w:t>שישים</w:t>
      </w:r>
      <w:r>
        <w:rPr>
          <w:rFonts w:hint="cs"/>
          <w:rtl/>
        </w:rPr>
        <w:t xml:space="preserve">, ובמה שביאר </w:t>
      </w:r>
      <w:r w:rsidRPr="008D3279">
        <w:rPr>
          <w:rStyle w:val="af8"/>
          <w:rFonts w:hint="cs"/>
          <w:rtl/>
        </w:rPr>
        <w:t>הגרעק"א</w:t>
      </w:r>
      <w:r>
        <w:rPr>
          <w:rFonts w:hint="cs"/>
          <w:rtl/>
        </w:rPr>
        <w:t xml:space="preserve"> </w:t>
      </w:r>
      <w:r w:rsidRPr="008D3279">
        <w:rPr>
          <w:rStyle w:val="af6"/>
          <w:rFonts w:eastAsia="Guttman Hodes" w:hint="cs"/>
          <w:rtl/>
        </w:rPr>
        <w:t xml:space="preserve">(עי' אות </w:t>
      </w:r>
      <w:r w:rsidRPr="008D3279">
        <w:rPr>
          <w:rStyle w:val="af6"/>
          <w:rFonts w:eastAsia="Guttman Hodes"/>
          <w:rtl/>
        </w:rPr>
        <w:fldChar w:fldCharType="begin"/>
      </w:r>
      <w:r w:rsidRPr="008D3279">
        <w:rPr>
          <w:rStyle w:val="af6"/>
          <w:rFonts w:eastAsia="Guttman Hodes"/>
          <w:rtl/>
        </w:rPr>
        <w:instrText xml:space="preserve"> </w:instrText>
      </w:r>
      <w:r w:rsidRPr="008D3279">
        <w:rPr>
          <w:rStyle w:val="af6"/>
          <w:rFonts w:eastAsia="Guttman Hodes" w:hint="cs"/>
        </w:rPr>
        <w:instrText>REF</w:instrText>
      </w:r>
      <w:r w:rsidRPr="008D3279">
        <w:rPr>
          <w:rStyle w:val="af6"/>
          <w:rFonts w:eastAsia="Guttman Hodes" w:hint="cs"/>
          <w:rtl/>
        </w:rPr>
        <w:instrText xml:space="preserve"> _</w:instrText>
      </w:r>
      <w:r w:rsidRPr="008D3279">
        <w:rPr>
          <w:rStyle w:val="af6"/>
          <w:rFonts w:eastAsia="Guttman Hodes" w:hint="cs"/>
        </w:rPr>
        <w:instrText>Ref23670670 \r \h</w:instrText>
      </w:r>
      <w:r w:rsidRPr="008D3279">
        <w:rPr>
          <w:rStyle w:val="af6"/>
          <w:rFonts w:eastAsia="Guttman Hodes"/>
          <w:rtl/>
        </w:rPr>
        <w:instrText xml:space="preserve"> </w:instrText>
      </w:r>
      <w:r w:rsidRPr="008D3279">
        <w:rPr>
          <w:rStyle w:val="af6"/>
          <w:rFonts w:eastAsia="Guttman Hodes"/>
          <w:rtl/>
        </w:rPr>
      </w:r>
      <w:r w:rsidRPr="008D3279">
        <w:rPr>
          <w:rStyle w:val="af6"/>
          <w:rFonts w:eastAsia="Guttman Hodes"/>
          <w:rtl/>
        </w:rPr>
        <w:fldChar w:fldCharType="separate"/>
      </w:r>
      <w:r w:rsidR="004D1C5B">
        <w:rPr>
          <w:rStyle w:val="af6"/>
          <w:rFonts w:eastAsia="Guttman Hodes"/>
          <w:cs/>
        </w:rPr>
        <w:t>‎</w:t>
      </w:r>
      <w:r w:rsidR="004D1C5B">
        <w:rPr>
          <w:rStyle w:val="af6"/>
          <w:rFonts w:eastAsia="Guttman Hodes"/>
          <w:rtl/>
        </w:rPr>
        <w:t>ל)</w:t>
      </w:r>
      <w:r w:rsidRPr="008D3279">
        <w:rPr>
          <w:rStyle w:val="af6"/>
          <w:rFonts w:eastAsia="Guttman Hodes"/>
          <w:rtl/>
        </w:rPr>
        <w:fldChar w:fldCharType="end"/>
      </w:r>
      <w:r>
        <w:rPr>
          <w:rFonts w:hint="cs"/>
          <w:rtl/>
        </w:rPr>
        <w:t xml:space="preserve"> בזה</w:t>
      </w:r>
      <w:r w:rsidRPr="008D3279">
        <w:rPr>
          <w:rFonts w:hint="cs"/>
          <w:rtl/>
        </w:rPr>
        <w:t>].</w:t>
      </w:r>
      <w:bookmarkEnd w:id="12336"/>
    </w:p>
    <w:p w:rsidR="00D45705" w:rsidRPr="00F64DA3" w:rsidRDefault="00D45705" w:rsidP="00D45705">
      <w:pPr>
        <w:pStyle w:val="a2"/>
        <w:rPr>
          <w:rtl/>
        </w:rPr>
      </w:pPr>
      <w:bookmarkStart w:id="12337" w:name="_Toc23419145"/>
      <w:bookmarkStart w:id="12338" w:name="_Toc23499449"/>
      <w:bookmarkStart w:id="12339" w:name="_Toc23663855"/>
      <w:bookmarkStart w:id="12340" w:name="_Toc23672507"/>
      <w:bookmarkStart w:id="12341" w:name="_Toc23673071"/>
      <w:r>
        <w:rPr>
          <w:rFonts w:hint="cs"/>
          <w:rtl/>
        </w:rPr>
        <w:t>דברי הרשב"א דמוכח בגמ' בזבחים</w:t>
      </w:r>
      <w:bookmarkEnd w:id="12337"/>
      <w:r>
        <w:rPr>
          <w:rFonts w:hint="cs"/>
          <w:rtl/>
        </w:rPr>
        <w:t xml:space="preserve"> דבמין בשאינו מינו צריך שישים</w:t>
      </w:r>
      <w:r w:rsidRPr="00571FA3">
        <w:rPr>
          <w:rFonts w:hint="cs"/>
          <w:rtl/>
        </w:rPr>
        <w:t xml:space="preserve"> </w:t>
      </w:r>
      <w:r>
        <w:rPr>
          <w:rFonts w:hint="cs"/>
          <w:rtl/>
        </w:rPr>
        <w:t>אף ביבש ביבש</w:t>
      </w:r>
      <w:bookmarkEnd w:id="12338"/>
      <w:bookmarkEnd w:id="12339"/>
      <w:bookmarkEnd w:id="12340"/>
      <w:bookmarkEnd w:id="12341"/>
    </w:p>
    <w:p w:rsidR="00D45705" w:rsidRDefault="00D45705" w:rsidP="009F44AF">
      <w:pPr>
        <w:pStyle w:val="a"/>
      </w:pPr>
      <w:bookmarkStart w:id="12342" w:name="_Ref22638230"/>
      <w:r>
        <w:rPr>
          <w:rFonts w:hint="cs"/>
          <w:rtl/>
        </w:rPr>
        <w:t xml:space="preserve">והוסיף </w:t>
      </w:r>
      <w:r w:rsidRPr="005B157F">
        <w:rPr>
          <w:rStyle w:val="af8"/>
          <w:rFonts w:hint="cs"/>
          <w:rtl/>
        </w:rPr>
        <w:t xml:space="preserve">הרשב"א </w:t>
      </w:r>
      <w:r w:rsidRPr="00C43C4E">
        <w:rPr>
          <w:rStyle w:val="af8"/>
          <w:rFonts w:hint="cs"/>
          <w:rtl/>
        </w:rPr>
        <w:t>לעיל</w:t>
      </w:r>
      <w:r>
        <w:rPr>
          <w:rFonts w:hint="cs"/>
          <w:rtl/>
        </w:rPr>
        <w:t xml:space="preserve"> בשם </w:t>
      </w:r>
      <w:r w:rsidRPr="005B157F">
        <w:rPr>
          <w:rStyle w:val="af8"/>
          <w:rFonts w:hint="cs"/>
          <w:rtl/>
        </w:rPr>
        <w:t>התוס'</w:t>
      </w:r>
      <w:r>
        <w:rPr>
          <w:rFonts w:hint="cs"/>
          <w:rtl/>
        </w:rPr>
        <w:t xml:space="preserve"> דכן מבואר בדברי רבא בזבחים </w:t>
      </w:r>
      <w:r>
        <w:rPr>
          <w:rStyle w:val="af6"/>
          <w:rFonts w:eastAsia="Guttman Hodes" w:hint="cs"/>
          <w:rtl/>
        </w:rPr>
        <w:t>(עט.</w:t>
      </w:r>
      <w:r w:rsidRPr="00C0054B">
        <w:rPr>
          <w:rStyle w:val="af6"/>
          <w:rFonts w:eastAsia="Guttman Hodes" w:hint="cs"/>
          <w:rtl/>
        </w:rPr>
        <w:t xml:space="preserve">) </w:t>
      </w:r>
      <w:r>
        <w:rPr>
          <w:rFonts w:hint="cs"/>
          <w:rtl/>
        </w:rPr>
        <w:t>דאמר דאמור רבנן בשישים במין בשאינו מינו, וא"כ במין בשאינו מינו, אף ביבש ביבש צריך לבטל בשישים.</w:t>
      </w:r>
    </w:p>
    <w:p w:rsidR="00D45705" w:rsidRDefault="00D45705" w:rsidP="00D45705">
      <w:pPr>
        <w:pStyle w:val="a2"/>
        <w:rPr>
          <w:rtl/>
        </w:rPr>
      </w:pPr>
      <w:bookmarkStart w:id="12343" w:name="_Toc23419146"/>
      <w:bookmarkStart w:id="12344" w:name="_Toc23499450"/>
      <w:bookmarkStart w:id="12345" w:name="_Toc23663856"/>
      <w:bookmarkStart w:id="12346" w:name="_Toc23672508"/>
      <w:bookmarkStart w:id="12347" w:name="_Toc23673072"/>
      <w:bookmarkEnd w:id="12342"/>
      <w:r>
        <w:rPr>
          <w:rFonts w:hint="cs"/>
          <w:rtl/>
        </w:rPr>
        <w:t>דברי הר"ן דבשאינו מינו ביבש החמירו להצריך שישים כיון שיכול לבא לאיסור דאו' אם יבשל</w:t>
      </w:r>
      <w:bookmarkEnd w:id="12343"/>
      <w:bookmarkEnd w:id="12344"/>
      <w:bookmarkEnd w:id="12345"/>
      <w:bookmarkEnd w:id="12346"/>
      <w:bookmarkEnd w:id="12347"/>
    </w:p>
    <w:p w:rsidR="00D45705" w:rsidRDefault="00D45705" w:rsidP="009F44AF">
      <w:pPr>
        <w:pStyle w:val="a"/>
        <w:rPr>
          <w:rtl/>
        </w:rPr>
      </w:pPr>
      <w:bookmarkStart w:id="12348" w:name="_Ref24279334"/>
      <w:r>
        <w:rPr>
          <w:rStyle w:val="af8"/>
          <w:rFonts w:hint="cs"/>
          <w:rtl/>
        </w:rPr>
        <w:t>ו</w:t>
      </w:r>
      <w:r w:rsidRPr="00741538">
        <w:rPr>
          <w:rStyle w:val="af8"/>
          <w:rFonts w:hint="cs"/>
          <w:rtl/>
        </w:rPr>
        <w:t>הר"ן על הרי"ף</w:t>
      </w:r>
      <w:r w:rsidRPr="00741538">
        <w:rPr>
          <w:rFonts w:hint="cs"/>
          <w:rtl/>
        </w:rPr>
        <w:t xml:space="preserve"> </w:t>
      </w:r>
      <w:r w:rsidRPr="00741538">
        <w:rPr>
          <w:rStyle w:val="af6"/>
          <w:rFonts w:eastAsia="Guttman Hodes" w:hint="cs"/>
          <w:rtl/>
        </w:rPr>
        <w:t>(</w:t>
      </w:r>
      <w:r w:rsidRPr="00741538">
        <w:rPr>
          <w:rStyle w:val="af6"/>
          <w:rFonts w:eastAsia="Guttman Hodes"/>
          <w:rtl/>
        </w:rPr>
        <w:t>ל</w:t>
      </w:r>
      <w:r>
        <w:rPr>
          <w:rStyle w:val="af6"/>
          <w:rFonts w:eastAsia="Guttman Hodes"/>
          <w:rtl/>
        </w:rPr>
        <w:t>ו. מדפי הרי"ף ד"ה גרסי'</w:t>
      </w:r>
      <w:r w:rsidRPr="00741538">
        <w:rPr>
          <w:rStyle w:val="af6"/>
          <w:rFonts w:eastAsia="Guttman Hodes" w:hint="cs"/>
          <w:rtl/>
        </w:rPr>
        <w:t>)</w:t>
      </w:r>
      <w:r w:rsidRPr="00741538">
        <w:rPr>
          <w:rFonts w:hint="cs"/>
          <w:rtl/>
        </w:rPr>
        <w:t xml:space="preserve"> </w:t>
      </w:r>
      <w:r>
        <w:rPr>
          <w:rFonts w:hint="cs"/>
          <w:rtl/>
        </w:rPr>
        <w:t>כתב דהא ד</w:t>
      </w:r>
      <w:r w:rsidRPr="00741538">
        <w:rPr>
          <w:rFonts w:hint="cs"/>
          <w:rtl/>
        </w:rPr>
        <w:t xml:space="preserve">ביבש ביבש </w:t>
      </w:r>
      <w:r>
        <w:rPr>
          <w:rFonts w:hint="cs"/>
          <w:rtl/>
        </w:rPr>
        <w:t xml:space="preserve">מהני ביטול בחד בתרי אף מדרבנן, היינו דוקא במין במינו, דכיון דמדאו' אפילו בלח בלח מהני ביטול בחד בתרי, לכן אף דמדרבנן צריך שישים בלח בלח, מ"מ ביבש ביבש לא החמירו, כיון שאינו יכול לבא לידי חשש דאו', אבל במין בשאינו מינו, כתב </w:t>
      </w:r>
      <w:r w:rsidRPr="00741538">
        <w:rPr>
          <w:rStyle w:val="af8"/>
          <w:rFonts w:hint="cs"/>
          <w:rtl/>
        </w:rPr>
        <w:t>הר"ן על הרי"ף</w:t>
      </w:r>
      <w:r w:rsidRPr="00741538">
        <w:rPr>
          <w:rFonts w:hint="cs"/>
          <w:rtl/>
        </w:rPr>
        <w:t xml:space="preserve"> </w:t>
      </w:r>
      <w:r>
        <w:rPr>
          <w:rFonts w:hint="cs"/>
          <w:rtl/>
        </w:rPr>
        <w:t xml:space="preserve">דכיון דמדאו' בלח בלח צריך שישים ולא מהני ביטול ברוב, </w:t>
      </w:r>
      <w:r w:rsidRPr="00186675">
        <w:rPr>
          <w:rStyle w:val="afa"/>
          <w:rFonts w:hint="cs"/>
          <w:rtl/>
        </w:rPr>
        <w:t>[</w:t>
      </w:r>
      <w:r w:rsidR="00644929">
        <w:rPr>
          <w:rStyle w:val="afa"/>
          <w:rFonts w:hint="cs"/>
          <w:rtl/>
        </w:rPr>
        <w:t>וכדביאר ה</w:t>
      </w:r>
      <w:r w:rsidR="00644929" w:rsidRPr="00644929">
        <w:rPr>
          <w:rStyle w:val="affa"/>
          <w:rFonts w:hint="cs"/>
          <w:rtl/>
        </w:rPr>
        <w:t xml:space="preserve">מנחת כהן </w:t>
      </w:r>
      <w:r w:rsidR="00644929" w:rsidRPr="00644929">
        <w:rPr>
          <w:rStyle w:val="aff6"/>
          <w:rFonts w:hint="cs"/>
          <w:rtl/>
        </w:rPr>
        <w:t>(עי' הערה</w:t>
      </w:r>
      <w:r w:rsidR="00644929" w:rsidRPr="00644929">
        <w:rPr>
          <w:vertAlign w:val="superscript"/>
          <w:rtl/>
        </w:rPr>
        <w:fldChar w:fldCharType="begin"/>
      </w:r>
      <w:r w:rsidR="00644929" w:rsidRPr="00644929">
        <w:rPr>
          <w:vertAlign w:val="superscript"/>
          <w:rtl/>
        </w:rPr>
        <w:instrText xml:space="preserve"> </w:instrText>
      </w:r>
      <w:r w:rsidR="00644929" w:rsidRPr="00644929">
        <w:rPr>
          <w:rFonts w:hint="cs"/>
          <w:vertAlign w:val="superscript"/>
        </w:rPr>
        <w:instrText>NOTEREF</w:instrText>
      </w:r>
      <w:r w:rsidR="00644929" w:rsidRPr="00644929">
        <w:rPr>
          <w:rFonts w:hint="cs"/>
          <w:vertAlign w:val="superscript"/>
          <w:rtl/>
        </w:rPr>
        <w:instrText xml:space="preserve"> _</w:instrText>
      </w:r>
      <w:r w:rsidR="00644929" w:rsidRPr="00644929">
        <w:rPr>
          <w:rFonts w:hint="cs"/>
          <w:vertAlign w:val="superscript"/>
        </w:rPr>
        <w:instrText>Ref23763205 \h</w:instrText>
      </w:r>
      <w:r w:rsidR="00644929" w:rsidRPr="00644929">
        <w:rPr>
          <w:vertAlign w:val="superscript"/>
          <w:rtl/>
        </w:rPr>
        <w:instrText xml:space="preserve"> </w:instrText>
      </w:r>
      <w:r w:rsidR="00644929">
        <w:rPr>
          <w:vertAlign w:val="superscript"/>
          <w:rtl/>
        </w:rPr>
        <w:instrText xml:space="preserve"> \* </w:instrText>
      </w:r>
      <w:r w:rsidR="00644929">
        <w:rPr>
          <w:vertAlign w:val="superscript"/>
        </w:rPr>
        <w:instrText>MERGEFORMAT</w:instrText>
      </w:r>
      <w:r w:rsidR="00644929">
        <w:rPr>
          <w:vertAlign w:val="superscript"/>
          <w:rtl/>
        </w:rPr>
        <w:instrText xml:space="preserve"> </w:instrText>
      </w:r>
      <w:r w:rsidR="00644929" w:rsidRPr="00644929">
        <w:rPr>
          <w:vertAlign w:val="superscript"/>
          <w:rtl/>
        </w:rPr>
      </w:r>
      <w:r w:rsidR="00644929" w:rsidRPr="00644929">
        <w:rPr>
          <w:vertAlign w:val="superscript"/>
          <w:rtl/>
        </w:rPr>
        <w:fldChar w:fldCharType="separate"/>
      </w:r>
      <w:r w:rsidR="004D1C5B">
        <w:rPr>
          <w:vertAlign w:val="superscript"/>
          <w:rtl/>
        </w:rPr>
        <w:t>57</w:t>
      </w:r>
      <w:r w:rsidR="00644929" w:rsidRPr="00644929">
        <w:rPr>
          <w:vertAlign w:val="superscript"/>
          <w:rtl/>
        </w:rPr>
        <w:fldChar w:fldCharType="end"/>
      </w:r>
      <w:r w:rsidR="00644929" w:rsidRPr="00644929">
        <w:rPr>
          <w:rStyle w:val="aff6"/>
          <w:rFonts w:hint="cs"/>
          <w:rtl/>
        </w:rPr>
        <w:t>)</w:t>
      </w:r>
      <w:r w:rsidR="00644929" w:rsidRPr="00186675">
        <w:rPr>
          <w:rStyle w:val="afa"/>
          <w:rFonts w:hint="cs"/>
          <w:rtl/>
        </w:rPr>
        <w:t>]</w:t>
      </w:r>
      <w:r w:rsidR="00644929">
        <w:rPr>
          <w:rStyle w:val="afa"/>
          <w:rFonts w:hint="cs"/>
          <w:rtl/>
        </w:rPr>
        <w:t xml:space="preserve">, </w:t>
      </w:r>
      <w:r>
        <w:rPr>
          <w:rFonts w:hint="cs"/>
          <w:rtl/>
        </w:rPr>
        <w:t xml:space="preserve">לכן אף ביבש ביבש </w:t>
      </w:r>
      <w:r w:rsidRPr="00741538">
        <w:rPr>
          <w:rFonts w:hint="cs"/>
          <w:rtl/>
        </w:rPr>
        <w:t>צריך שישים מדרבנן</w:t>
      </w:r>
      <w:r>
        <w:rPr>
          <w:rFonts w:hint="cs"/>
          <w:rtl/>
        </w:rPr>
        <w:t>, כדי שלא יבא לידי איסור דאו', כשיבשל אח"כ את התערובת יחד, ויצטרך שישים מדאו'.</w:t>
      </w:r>
      <w:bookmarkEnd w:id="12348"/>
    </w:p>
    <w:p w:rsidR="00D45705" w:rsidRPr="004D46C8" w:rsidRDefault="00D45705" w:rsidP="00D45705">
      <w:pPr>
        <w:pStyle w:val="a2"/>
      </w:pPr>
      <w:bookmarkStart w:id="12349" w:name="_Toc23419147"/>
      <w:bookmarkStart w:id="12350" w:name="_Toc23499451"/>
      <w:bookmarkStart w:id="12351" w:name="_Toc23663857"/>
      <w:bookmarkStart w:id="12352" w:name="_Toc23672509"/>
      <w:bookmarkStart w:id="12353" w:name="_Toc23673073"/>
      <w:r>
        <w:rPr>
          <w:rFonts w:hint="cs"/>
          <w:rtl/>
        </w:rPr>
        <w:t>דברי החזו"א דלדעת ספר התרומה בפחות משישים אף חתיכה אחת אסורה</w:t>
      </w:r>
      <w:r w:rsidRPr="00387B9F">
        <w:rPr>
          <w:rFonts w:hint="cs"/>
          <w:rtl/>
        </w:rPr>
        <w:t xml:space="preserve"> </w:t>
      </w:r>
      <w:r>
        <w:rPr>
          <w:rFonts w:hint="cs"/>
          <w:rtl/>
        </w:rPr>
        <w:t>ביבש באינו מינו</w:t>
      </w:r>
      <w:bookmarkEnd w:id="12349"/>
      <w:bookmarkEnd w:id="12350"/>
      <w:bookmarkEnd w:id="12351"/>
      <w:bookmarkEnd w:id="12352"/>
      <w:bookmarkEnd w:id="12353"/>
    </w:p>
    <w:p w:rsidR="00D45705" w:rsidRDefault="00D45705" w:rsidP="009F44AF">
      <w:pPr>
        <w:pStyle w:val="a"/>
        <w:rPr>
          <w:rtl/>
        </w:rPr>
      </w:pPr>
      <w:r w:rsidRPr="00387B9F">
        <w:rPr>
          <w:rFonts w:hint="cs"/>
          <w:rtl/>
        </w:rPr>
        <w:t xml:space="preserve">וכתב </w:t>
      </w:r>
      <w:r w:rsidRPr="00387B9F">
        <w:rPr>
          <w:rStyle w:val="af8"/>
          <w:rFonts w:hint="cs"/>
          <w:rtl/>
        </w:rPr>
        <w:t>החזו"א</w:t>
      </w:r>
      <w:r w:rsidRPr="00387B9F">
        <w:rPr>
          <w:rFonts w:hint="cs"/>
          <w:rtl/>
        </w:rPr>
        <w:t xml:space="preserve"> </w:t>
      </w:r>
      <w:r w:rsidRPr="00387B9F">
        <w:rPr>
          <w:rStyle w:val="af6"/>
          <w:rFonts w:eastAsia="Guttman Hodes" w:hint="cs"/>
          <w:rtl/>
        </w:rPr>
        <w:t>(יו"ד סי' ל"ו סק"ב ד"ה מיהו)</w:t>
      </w:r>
      <w:r w:rsidRPr="00387B9F">
        <w:rPr>
          <w:rFonts w:hint="cs"/>
          <w:rtl/>
        </w:rPr>
        <w:t xml:space="preserve"> דלדעת </w:t>
      </w:r>
      <w:r w:rsidRPr="00134671">
        <w:rPr>
          <w:rStyle w:val="af8"/>
          <w:rFonts w:hint="cs"/>
          <w:rtl/>
        </w:rPr>
        <w:t>ספר התרומה</w:t>
      </w:r>
      <w:r w:rsidRPr="00387B9F">
        <w:rPr>
          <w:rFonts w:hint="cs"/>
          <w:rtl/>
        </w:rPr>
        <w:t xml:space="preserve"> </w:t>
      </w:r>
      <w:r>
        <w:rPr>
          <w:rFonts w:hint="cs"/>
          <w:rtl/>
        </w:rPr>
        <w:t xml:space="preserve">דבמין בשאינו מינו צריך שישים אף ביבש ביבש, כל שהוא </w:t>
      </w:r>
      <w:r w:rsidRPr="00387B9F">
        <w:rPr>
          <w:rFonts w:hint="cs"/>
          <w:rtl/>
        </w:rPr>
        <w:t>פחות משישים אסור לאכול אף חתיכה אחת מתוך התערובת.</w:t>
      </w:r>
    </w:p>
    <w:p w:rsidR="00D45705" w:rsidRDefault="00D45705" w:rsidP="00D45705">
      <w:pPr>
        <w:pStyle w:val="1"/>
        <w:rPr>
          <w:rtl/>
        </w:rPr>
      </w:pPr>
      <w:r>
        <w:rPr>
          <w:rFonts w:hint="cs"/>
          <w:rtl/>
        </w:rPr>
        <w:t>דעת הג' שערי דורא דמדאו' בשאינו מינו צריך שישים אף ביבש</w:t>
      </w:r>
    </w:p>
    <w:p w:rsidR="00D45705" w:rsidRDefault="00D45705" w:rsidP="00D45705">
      <w:pPr>
        <w:pStyle w:val="a2"/>
        <w:rPr>
          <w:rtl/>
        </w:rPr>
      </w:pPr>
      <w:r>
        <w:rPr>
          <w:rFonts w:hint="cs"/>
          <w:rtl/>
        </w:rPr>
        <w:t>דברי הג' שערי דורא דבתוס' מבואר דבמין בשאינו מינו ביבש ביבש צריך שישים מדאו'</w:t>
      </w:r>
    </w:p>
    <w:p w:rsidR="00D45705" w:rsidRPr="00D0327D" w:rsidRDefault="00D45705" w:rsidP="009F44AF">
      <w:pPr>
        <w:pStyle w:val="a"/>
        <w:rPr>
          <w:rStyle w:val="afa"/>
          <w:rtl/>
        </w:rPr>
      </w:pPr>
      <w:bookmarkStart w:id="12354" w:name="_Ref24279360"/>
      <w:r>
        <w:rPr>
          <w:rFonts w:hint="cs"/>
          <w:rtl/>
        </w:rPr>
        <w:lastRenderedPageBreak/>
        <w:t>הביא</w:t>
      </w:r>
      <w:r w:rsidRPr="00065DA7">
        <w:rPr>
          <w:rStyle w:val="af8"/>
          <w:rFonts w:hint="cs"/>
          <w:rtl/>
        </w:rPr>
        <w:t xml:space="preserve"> הדרכ"מ </w:t>
      </w:r>
      <w:r w:rsidRPr="00FB646D">
        <w:rPr>
          <w:rStyle w:val="af6"/>
          <w:rFonts w:eastAsia="Guttman Hodes" w:hint="cs"/>
          <w:rtl/>
        </w:rPr>
        <w:t>(סי' ק"ט א')</w:t>
      </w:r>
      <w:r>
        <w:rPr>
          <w:rFonts w:hint="cs"/>
          <w:rtl/>
        </w:rPr>
        <w:t xml:space="preserve"> את דברי </w:t>
      </w:r>
      <w:r w:rsidRPr="00065DA7">
        <w:rPr>
          <w:rStyle w:val="af8"/>
          <w:rFonts w:hint="cs"/>
          <w:rtl/>
        </w:rPr>
        <w:t>המהרא"י בהג' שערי דורא</w:t>
      </w:r>
      <w:r>
        <w:rPr>
          <w:rFonts w:hint="cs"/>
          <w:rtl/>
        </w:rPr>
        <w:t xml:space="preserve"> </w:t>
      </w:r>
      <w:r w:rsidRPr="00F5472D">
        <w:rPr>
          <w:rStyle w:val="af6"/>
          <w:rFonts w:eastAsia="Guttman Hodes" w:hint="cs"/>
          <w:rtl/>
        </w:rPr>
        <w:t>(הל' איסור והיתר סי' ל"ט אות ד', הועתק בקובץ שיטות קמאי חולין ח"ג עמ' ב' אלף שמג)</w:t>
      </w:r>
      <w:r>
        <w:rPr>
          <w:rFonts w:hint="cs"/>
          <w:rtl/>
        </w:rPr>
        <w:t xml:space="preserve"> דכתב על מ"ש </w:t>
      </w:r>
      <w:r w:rsidRPr="00065DA7">
        <w:rPr>
          <w:rStyle w:val="af8"/>
          <w:rFonts w:hint="cs"/>
          <w:rtl/>
        </w:rPr>
        <w:t>הטור</w:t>
      </w:r>
      <w:r>
        <w:rPr>
          <w:rFonts w:hint="cs"/>
          <w:rtl/>
        </w:rPr>
        <w:t xml:space="preserve"> </w:t>
      </w:r>
      <w:r w:rsidRPr="00FB646D">
        <w:rPr>
          <w:rStyle w:val="af6"/>
          <w:rFonts w:eastAsia="Guttman Hodes" w:hint="cs"/>
          <w:rtl/>
        </w:rPr>
        <w:t xml:space="preserve">(עי' אות </w:t>
      </w:r>
      <w:r w:rsidRPr="00FB646D">
        <w:rPr>
          <w:rStyle w:val="af6"/>
          <w:rFonts w:eastAsia="Guttman Hodes"/>
          <w:rtl/>
        </w:rPr>
        <w:fldChar w:fldCharType="begin"/>
      </w:r>
      <w:r w:rsidRPr="00FB646D">
        <w:rPr>
          <w:rStyle w:val="af6"/>
          <w:rFonts w:eastAsia="Guttman Hodes"/>
          <w:rtl/>
        </w:rPr>
        <w:instrText xml:space="preserve"> </w:instrText>
      </w:r>
      <w:r w:rsidRPr="00FB646D">
        <w:rPr>
          <w:rStyle w:val="af6"/>
          <w:rFonts w:eastAsia="Guttman Hodes" w:hint="cs"/>
        </w:rPr>
        <w:instrText>REF</w:instrText>
      </w:r>
      <w:r w:rsidRPr="00FB646D">
        <w:rPr>
          <w:rStyle w:val="af6"/>
          <w:rFonts w:eastAsia="Guttman Hodes" w:hint="cs"/>
          <w:rtl/>
        </w:rPr>
        <w:instrText xml:space="preserve"> _</w:instrText>
      </w:r>
      <w:r w:rsidRPr="00FB646D">
        <w:rPr>
          <w:rStyle w:val="af6"/>
          <w:rFonts w:eastAsia="Guttman Hodes" w:hint="cs"/>
        </w:rPr>
        <w:instrText>Ref22206931 \r \h</w:instrText>
      </w:r>
      <w:r w:rsidRPr="00FB646D">
        <w:rPr>
          <w:rStyle w:val="af6"/>
          <w:rFonts w:eastAsia="Guttman Hodes"/>
          <w:rtl/>
        </w:rPr>
        <w:instrText xml:space="preserve"> </w:instrText>
      </w:r>
      <w:r w:rsidRPr="00FB646D">
        <w:rPr>
          <w:rStyle w:val="af6"/>
          <w:rFonts w:eastAsia="Guttman Hodes"/>
          <w:rtl/>
        </w:rPr>
      </w:r>
      <w:r w:rsidRPr="00FB646D">
        <w:rPr>
          <w:rStyle w:val="af6"/>
          <w:rFonts w:eastAsia="Guttman Hodes"/>
          <w:rtl/>
        </w:rPr>
        <w:fldChar w:fldCharType="separate"/>
      </w:r>
      <w:r w:rsidR="004D1C5B">
        <w:rPr>
          <w:rStyle w:val="af6"/>
          <w:rFonts w:eastAsia="Guttman Hodes"/>
          <w:cs/>
        </w:rPr>
        <w:t>‎</w:t>
      </w:r>
      <w:r w:rsidR="004D1C5B">
        <w:rPr>
          <w:rStyle w:val="af6"/>
          <w:rFonts w:eastAsia="Guttman Hodes"/>
          <w:rtl/>
        </w:rPr>
        <w:t>סב)</w:t>
      </w:r>
      <w:r w:rsidRPr="00FB646D">
        <w:rPr>
          <w:rStyle w:val="af6"/>
          <w:rFonts w:eastAsia="Guttman Hodes"/>
          <w:rtl/>
        </w:rPr>
        <w:fldChar w:fldCharType="end"/>
      </w:r>
      <w:r>
        <w:rPr>
          <w:rFonts w:hint="cs"/>
          <w:rtl/>
        </w:rPr>
        <w:t xml:space="preserve"> דלכאו' משמע דבמין בשאינו מינו ביבש ביבש א"צ שישים ובטל ברוב, דהא </w:t>
      </w:r>
      <w:r w:rsidRPr="00065DA7">
        <w:rPr>
          <w:rStyle w:val="af8"/>
          <w:rFonts w:hint="cs"/>
          <w:rtl/>
        </w:rPr>
        <w:t xml:space="preserve">בתוס' בפסחים </w:t>
      </w:r>
      <w:r w:rsidRPr="00DE27A5">
        <w:rPr>
          <w:rStyle w:val="af6"/>
          <w:rFonts w:eastAsia="Guttman Hodes" w:hint="cs"/>
          <w:rtl/>
        </w:rPr>
        <w:t>(מד. ד"ה איתיביה)</w:t>
      </w:r>
      <w:r>
        <w:rPr>
          <w:rFonts w:hint="cs"/>
          <w:rtl/>
        </w:rPr>
        <w:t xml:space="preserve"> </w:t>
      </w:r>
      <w:r w:rsidRPr="00065DA7">
        <w:rPr>
          <w:rStyle w:val="af8"/>
          <w:rFonts w:hint="cs"/>
          <w:rtl/>
        </w:rPr>
        <w:t xml:space="preserve">ובתוס' לעיל </w:t>
      </w:r>
      <w:r w:rsidRPr="00FB646D">
        <w:rPr>
          <w:rStyle w:val="af6"/>
          <w:rFonts w:eastAsia="Guttman Hodes" w:hint="cs"/>
          <w:rtl/>
        </w:rPr>
        <w:t>(צח: סוד"ה אמר רבא)</w:t>
      </w:r>
      <w:r>
        <w:rPr>
          <w:rFonts w:hint="cs"/>
          <w:rtl/>
        </w:rPr>
        <w:t xml:space="preserve"> משמע דבמין בשאינו מינו בקמח חיטין ושעורין דאינו ניכר, מדאו' לא מהני ביטול ברוב אף ביבש ביבש, והניח </w:t>
      </w:r>
      <w:r w:rsidRPr="00065DA7">
        <w:rPr>
          <w:rStyle w:val="af8"/>
          <w:rFonts w:hint="cs"/>
          <w:rtl/>
        </w:rPr>
        <w:t xml:space="preserve">ההג' שערי דורא </w:t>
      </w:r>
      <w:r>
        <w:rPr>
          <w:rFonts w:hint="cs"/>
          <w:rtl/>
        </w:rPr>
        <w:t>בצ"ע.</w:t>
      </w:r>
      <w:r w:rsidRPr="00D0327D">
        <w:rPr>
          <w:rFonts w:hint="cs"/>
          <w:rtl/>
        </w:rPr>
        <w:t xml:space="preserve"> </w:t>
      </w:r>
      <w:r w:rsidRPr="00D0327D">
        <w:rPr>
          <w:rStyle w:val="afa"/>
          <w:rFonts w:hint="cs"/>
          <w:rtl/>
        </w:rPr>
        <w:t xml:space="preserve">[ועיי"ש במ"ש </w:t>
      </w:r>
      <w:r w:rsidRPr="00D0327D">
        <w:rPr>
          <w:rStyle w:val="affa"/>
          <w:rFonts w:hint="cs"/>
          <w:rtl/>
        </w:rPr>
        <w:t>ההג' שערי דורא</w:t>
      </w:r>
      <w:r w:rsidRPr="00D0327D">
        <w:rPr>
          <w:rStyle w:val="afa"/>
          <w:rFonts w:hint="cs"/>
          <w:rtl/>
        </w:rPr>
        <w:t xml:space="preserve"> דהוא נ"מ להלכה, </w:t>
      </w:r>
      <w:r w:rsidR="00056694">
        <w:rPr>
          <w:rStyle w:val="afa"/>
          <w:rFonts w:hint="cs"/>
          <w:rtl/>
        </w:rPr>
        <w:t>בב' מינים ששווין במראה וחלוקים ב</w:t>
      </w:r>
      <w:r w:rsidRPr="00D0327D">
        <w:rPr>
          <w:rStyle w:val="afa"/>
          <w:rFonts w:hint="cs"/>
          <w:rtl/>
        </w:rPr>
        <w:t>שמם דהוא ספק דאו' ולא ספק דרבנן].</w:t>
      </w:r>
      <w:bookmarkEnd w:id="12354"/>
    </w:p>
    <w:p w:rsidR="00D45705" w:rsidRPr="00310339" w:rsidRDefault="00D45705" w:rsidP="00D45705">
      <w:pPr>
        <w:pStyle w:val="a2"/>
      </w:pPr>
      <w:r>
        <w:rPr>
          <w:rFonts w:hint="cs"/>
          <w:rtl/>
        </w:rPr>
        <w:t>סתירת דברי האיסור והיתר הארוך אי צריך שישים מדאו' במין בשאינו מינו ביבש ביבש</w:t>
      </w:r>
    </w:p>
    <w:p w:rsidR="00D45705" w:rsidRDefault="00D45705" w:rsidP="009F44AF">
      <w:pPr>
        <w:pStyle w:val="a"/>
        <w:rPr>
          <w:rtl/>
        </w:rPr>
      </w:pPr>
      <w:r>
        <w:rPr>
          <w:rFonts w:hint="cs"/>
          <w:rtl/>
        </w:rPr>
        <w:t xml:space="preserve">אך הביא </w:t>
      </w:r>
      <w:r w:rsidRPr="00065DA7">
        <w:rPr>
          <w:rStyle w:val="af8"/>
          <w:rFonts w:hint="cs"/>
          <w:rtl/>
        </w:rPr>
        <w:t xml:space="preserve">הדרכ"מ דבאיסור והיתר הארוך </w:t>
      </w:r>
      <w:r w:rsidRPr="000A4F9E">
        <w:rPr>
          <w:rStyle w:val="af6"/>
          <w:rFonts w:eastAsia="Guttman Hodes" w:hint="cs"/>
          <w:rtl/>
        </w:rPr>
        <w:t>(כ</w:t>
      </w:r>
      <w:r w:rsidRPr="00DE27A5">
        <w:rPr>
          <w:rStyle w:val="af6"/>
          <w:rFonts w:eastAsia="Guttman Hodes" w:hint="cs"/>
          <w:rtl/>
        </w:rPr>
        <w:t>לל כ"ו י"א)</w:t>
      </w:r>
      <w:r>
        <w:rPr>
          <w:rFonts w:hint="cs"/>
          <w:rtl/>
        </w:rPr>
        <w:t xml:space="preserve"> כתב דהוא דרבנן, אבל </w:t>
      </w:r>
      <w:r w:rsidRPr="00065DA7">
        <w:rPr>
          <w:rStyle w:val="af8"/>
          <w:rFonts w:hint="cs"/>
          <w:rtl/>
        </w:rPr>
        <w:t xml:space="preserve">בהג' מבוא שערים על השערי דורא </w:t>
      </w:r>
      <w:r>
        <w:rPr>
          <w:rFonts w:hint="cs"/>
          <w:rtl/>
        </w:rPr>
        <w:t xml:space="preserve">הביא </w:t>
      </w:r>
      <w:r w:rsidRPr="00065DA7">
        <w:rPr>
          <w:rStyle w:val="af8"/>
          <w:rFonts w:hint="cs"/>
          <w:rtl/>
        </w:rPr>
        <w:t xml:space="preserve">דבאיסור והיתר הארוך </w:t>
      </w:r>
      <w:r w:rsidRPr="00DE27A5">
        <w:rPr>
          <w:rStyle w:val="af6"/>
          <w:rFonts w:eastAsia="Guttman Hodes" w:hint="cs"/>
          <w:rtl/>
        </w:rPr>
        <w:t>(כלל כ"ג ח')</w:t>
      </w:r>
      <w:r>
        <w:rPr>
          <w:rFonts w:hint="cs"/>
          <w:rtl/>
        </w:rPr>
        <w:t xml:space="preserve"> כתב דבמין בשאינו מינו מדאו' צריך שישים אף ביבש ביבש.</w:t>
      </w:r>
    </w:p>
    <w:p w:rsidR="00D45705" w:rsidRPr="00F5472D" w:rsidRDefault="00D45705" w:rsidP="00D45705">
      <w:pPr>
        <w:pStyle w:val="a2"/>
        <w:rPr>
          <w:rtl/>
        </w:rPr>
      </w:pPr>
      <w:r>
        <w:rPr>
          <w:rFonts w:hint="cs"/>
          <w:rtl/>
        </w:rPr>
        <w:t>דברי היש"ש דא"א לומר דבקמח שהותר ביבש ואפאו וצריך שישים דאחר שהותר א"צ שישים</w:t>
      </w:r>
    </w:p>
    <w:p w:rsidR="00D45705" w:rsidRPr="00056694" w:rsidRDefault="00D45705" w:rsidP="009F44AF">
      <w:pPr>
        <w:pStyle w:val="a"/>
        <w:rPr>
          <w:rtl/>
        </w:rPr>
      </w:pPr>
      <w:r>
        <w:rPr>
          <w:rFonts w:hint="cs"/>
          <w:rtl/>
        </w:rPr>
        <w:t xml:space="preserve">ופסק </w:t>
      </w:r>
      <w:r w:rsidRPr="00065DA7">
        <w:rPr>
          <w:rStyle w:val="af8"/>
          <w:rFonts w:hint="cs"/>
          <w:rtl/>
        </w:rPr>
        <w:t xml:space="preserve">היש"ש </w:t>
      </w:r>
      <w:r w:rsidRPr="00DE27A5">
        <w:rPr>
          <w:rStyle w:val="af6"/>
          <w:rFonts w:eastAsia="Guttman Hodes" w:hint="cs"/>
          <w:rtl/>
        </w:rPr>
        <w:t>(בפירקין סי' מ"ז ד"ה וכל מ"ש דוקא)</w:t>
      </w:r>
      <w:r>
        <w:rPr>
          <w:rFonts w:hint="cs"/>
          <w:rtl/>
        </w:rPr>
        <w:t xml:space="preserve"> כדברי </w:t>
      </w:r>
      <w:r w:rsidRPr="00065DA7">
        <w:rPr>
          <w:rStyle w:val="af8"/>
          <w:rFonts w:hint="cs"/>
          <w:rtl/>
        </w:rPr>
        <w:t xml:space="preserve">הג' שערי דורא </w:t>
      </w:r>
      <w:r>
        <w:rPr>
          <w:rFonts w:hint="cs"/>
          <w:rtl/>
        </w:rPr>
        <w:t xml:space="preserve">דמדאו' לא מהני ביטול, וכתב </w:t>
      </w:r>
      <w:r w:rsidRPr="00065DA7">
        <w:rPr>
          <w:rStyle w:val="af8"/>
          <w:rFonts w:hint="cs"/>
          <w:rtl/>
        </w:rPr>
        <w:t xml:space="preserve">היש"ש </w:t>
      </w:r>
      <w:r>
        <w:rPr>
          <w:rFonts w:hint="cs"/>
          <w:rtl/>
        </w:rPr>
        <w:t xml:space="preserve">דא"א לדחות את דברי </w:t>
      </w:r>
      <w:r w:rsidRPr="00065DA7">
        <w:rPr>
          <w:rStyle w:val="af8"/>
          <w:rFonts w:hint="cs"/>
          <w:rtl/>
        </w:rPr>
        <w:t>ההג' שערי דורא</w:t>
      </w:r>
      <w:r>
        <w:rPr>
          <w:rFonts w:hint="cs"/>
          <w:rtl/>
        </w:rPr>
        <w:t xml:space="preserve">, </w:t>
      </w:r>
      <w:r w:rsidRPr="00065DA7">
        <w:rPr>
          <w:rStyle w:val="af8"/>
          <w:rFonts w:hint="cs"/>
          <w:rtl/>
        </w:rPr>
        <w:t xml:space="preserve">דבתוס' </w:t>
      </w:r>
      <w:r>
        <w:rPr>
          <w:rFonts w:hint="cs"/>
          <w:rtl/>
        </w:rPr>
        <w:t xml:space="preserve">איירי בקמח שא"א לאוכלו ביבש וצריך לאפותו, וממילא יש בו נתינת טעם ומדאו' לא מהני ביטול ברוב, דטעם כעיקר דאו', דהרי כיון שנודעה התערובת כשהיה יבש, א"כ כבר הותר בביטול ברוב, וכתב </w:t>
      </w:r>
      <w:r w:rsidRPr="00696D5C">
        <w:rPr>
          <w:rStyle w:val="af8"/>
          <w:rFonts w:hint="cs"/>
          <w:rtl/>
        </w:rPr>
        <w:t>הרא"ש</w:t>
      </w:r>
      <w:r>
        <w:rPr>
          <w:rFonts w:hint="cs"/>
          <w:rtl/>
        </w:rPr>
        <w:t xml:space="preserve"> </w:t>
      </w:r>
      <w:r w:rsidRPr="00C279C6">
        <w:rPr>
          <w:rStyle w:val="af6"/>
          <w:rFonts w:eastAsia="Guttman Hodes" w:hint="cs"/>
          <w:rtl/>
        </w:rPr>
        <w:t>(</w:t>
      </w:r>
      <w:r>
        <w:rPr>
          <w:rStyle w:val="af6"/>
          <w:rFonts w:eastAsia="Guttman Hodes" w:hint="cs"/>
          <w:rtl/>
        </w:rPr>
        <w:t>סי' ל"ז, הובא בסימן י</w:t>
      </w:r>
      <w:r>
        <w:rPr>
          <w:rStyle w:val="af6"/>
          <w:rFonts w:eastAsia="Guttman Hodes"/>
          <w:rtl/>
        </w:rPr>
        <w:t>"</w:t>
      </w:r>
      <w:r>
        <w:rPr>
          <w:rStyle w:val="af6"/>
          <w:rFonts w:eastAsia="Guttman Hodes" w:hint="cs"/>
          <w:rtl/>
        </w:rPr>
        <w:t>ז אות מ"ג</w:t>
      </w:r>
      <w:r w:rsidRPr="00C279C6">
        <w:rPr>
          <w:rStyle w:val="af6"/>
          <w:rFonts w:eastAsia="Guttman Hodes" w:hint="cs"/>
          <w:rtl/>
        </w:rPr>
        <w:t>)</w:t>
      </w:r>
      <w:r>
        <w:rPr>
          <w:rFonts w:hint="cs"/>
          <w:rtl/>
        </w:rPr>
        <w:t xml:space="preserve"> דדבר שהתבטל ברוב אינו נאסר כשחזר ובישלו</w:t>
      </w:r>
      <w:r w:rsidR="00056694">
        <w:rPr>
          <w:rFonts w:hint="cs"/>
          <w:rtl/>
        </w:rPr>
        <w:t>,</w:t>
      </w:r>
      <w:r>
        <w:rPr>
          <w:rFonts w:hint="cs"/>
          <w:rtl/>
        </w:rPr>
        <w:t xml:space="preserve"> </w:t>
      </w:r>
      <w:r w:rsidRPr="001366FC">
        <w:rPr>
          <w:rStyle w:val="afa"/>
          <w:rFonts w:hint="cs"/>
          <w:rtl/>
        </w:rPr>
        <w:t xml:space="preserve">[והוסיף </w:t>
      </w:r>
      <w:r w:rsidRPr="001366FC">
        <w:rPr>
          <w:rStyle w:val="affa"/>
          <w:rFonts w:hint="cs"/>
          <w:rtl/>
        </w:rPr>
        <w:t>היש"ש</w:t>
      </w:r>
      <w:r w:rsidRPr="001366FC">
        <w:rPr>
          <w:rStyle w:val="afa"/>
          <w:rFonts w:hint="cs"/>
          <w:rtl/>
        </w:rPr>
        <w:t xml:space="preserve"> </w:t>
      </w:r>
      <w:r w:rsidRPr="001366FC">
        <w:rPr>
          <w:rStyle w:val="aff6"/>
          <w:rFonts w:hint="cs"/>
          <w:rtl/>
        </w:rPr>
        <w:t>(יובא בע"ה בסימן י"ח)</w:t>
      </w:r>
      <w:r w:rsidRPr="001366FC">
        <w:rPr>
          <w:rStyle w:val="afa"/>
          <w:rFonts w:hint="cs"/>
          <w:rtl/>
        </w:rPr>
        <w:t xml:space="preserve"> דאף דהוא פליג על </w:t>
      </w:r>
      <w:r w:rsidRPr="001366FC">
        <w:rPr>
          <w:rStyle w:val="affa"/>
          <w:rFonts w:hint="cs"/>
          <w:rtl/>
        </w:rPr>
        <w:t>הרא"ש</w:t>
      </w:r>
      <w:r w:rsidRPr="001366FC">
        <w:rPr>
          <w:rStyle w:val="afa"/>
          <w:rFonts w:hint="cs"/>
          <w:rtl/>
        </w:rPr>
        <w:t xml:space="preserve"> וס"ל דהוא נאסר, מ"מ היינו דאסור מדרבנן, אבל מדאו' הוא נשאר בהיתרו]</w:t>
      </w:r>
      <w:r w:rsidR="00056694">
        <w:rPr>
          <w:rStyle w:val="afa"/>
          <w:rFonts w:hint="cs"/>
          <w:rtl/>
        </w:rPr>
        <w:t xml:space="preserve">, </w:t>
      </w:r>
      <w:r w:rsidR="00056694" w:rsidRPr="00056694">
        <w:rPr>
          <w:rFonts w:hint="cs"/>
          <w:rtl/>
        </w:rPr>
        <w:t xml:space="preserve">וע"ע בדברי </w:t>
      </w:r>
      <w:r w:rsidR="00056694" w:rsidRPr="00056694">
        <w:rPr>
          <w:rStyle w:val="af8"/>
          <w:rFonts w:hint="cs"/>
          <w:rtl/>
        </w:rPr>
        <w:t>הש"ך</w:t>
      </w:r>
      <w:r w:rsidR="00056694" w:rsidRPr="00056694">
        <w:rPr>
          <w:rFonts w:hint="cs"/>
          <w:rtl/>
        </w:rPr>
        <w:t xml:space="preserve"> </w:t>
      </w:r>
      <w:r w:rsidR="00056694" w:rsidRPr="00056694">
        <w:rPr>
          <w:rStyle w:val="af6"/>
          <w:rFonts w:eastAsia="Guttman Hodes" w:hint="cs"/>
          <w:rtl/>
        </w:rPr>
        <w:t>(סי' צ"ח סק"ו)</w:t>
      </w:r>
      <w:r w:rsidR="00056694" w:rsidRPr="00056694">
        <w:rPr>
          <w:rFonts w:hint="cs"/>
          <w:rtl/>
        </w:rPr>
        <w:t>.</w:t>
      </w:r>
    </w:p>
    <w:p w:rsidR="00D45705" w:rsidRPr="000A4F9E" w:rsidRDefault="00D45705" w:rsidP="00D45705">
      <w:pPr>
        <w:pStyle w:val="1"/>
        <w:rPr>
          <w:rtl/>
        </w:rPr>
      </w:pPr>
      <w:r>
        <w:rPr>
          <w:rFonts w:hint="cs"/>
          <w:rtl/>
        </w:rPr>
        <w:t>דעת הש"ך דרק בקמח שהוא כלח בלח צריך שישים מדאו'</w:t>
      </w:r>
    </w:p>
    <w:p w:rsidR="00D45705" w:rsidRDefault="00D45705" w:rsidP="00D45705">
      <w:pPr>
        <w:pStyle w:val="a2"/>
        <w:rPr>
          <w:rtl/>
        </w:rPr>
      </w:pPr>
      <w:r>
        <w:rPr>
          <w:rFonts w:hint="cs"/>
          <w:rtl/>
        </w:rPr>
        <w:t xml:space="preserve">דברי הש"ך דמוכח ברשב"א דדוקא בקמח שהוא כלח כתבו התוס' דמדאו' צריך שישים </w:t>
      </w:r>
    </w:p>
    <w:p w:rsidR="00D45705" w:rsidRDefault="00D45705" w:rsidP="009F44AF">
      <w:pPr>
        <w:pStyle w:val="a"/>
        <w:rPr>
          <w:rtl/>
        </w:rPr>
      </w:pPr>
      <w:r>
        <w:rPr>
          <w:rFonts w:hint="cs"/>
          <w:rtl/>
        </w:rPr>
        <w:t xml:space="preserve">אבל </w:t>
      </w:r>
      <w:r w:rsidRPr="00065DA7">
        <w:rPr>
          <w:rStyle w:val="af8"/>
          <w:rFonts w:hint="cs"/>
          <w:rtl/>
        </w:rPr>
        <w:t xml:space="preserve">הש"ך </w:t>
      </w:r>
      <w:r w:rsidRPr="00DE27A5">
        <w:rPr>
          <w:rStyle w:val="af6"/>
          <w:rFonts w:eastAsia="Guttman Hodes" w:hint="cs"/>
          <w:rtl/>
        </w:rPr>
        <w:t>(סי' ק"ט סק"י)</w:t>
      </w:r>
      <w:r>
        <w:rPr>
          <w:rFonts w:hint="cs"/>
          <w:rtl/>
        </w:rPr>
        <w:t xml:space="preserve"> דחה את דברי </w:t>
      </w:r>
      <w:r w:rsidRPr="00065DA7">
        <w:rPr>
          <w:rStyle w:val="af8"/>
          <w:rFonts w:hint="cs"/>
          <w:rtl/>
        </w:rPr>
        <w:t>היש"ש</w:t>
      </w:r>
      <w:r>
        <w:rPr>
          <w:rFonts w:hint="cs"/>
          <w:rtl/>
        </w:rPr>
        <w:t xml:space="preserve">, וכתב דמדברי </w:t>
      </w:r>
      <w:r w:rsidRPr="00065DA7">
        <w:rPr>
          <w:rStyle w:val="af8"/>
          <w:rFonts w:hint="cs"/>
          <w:rtl/>
        </w:rPr>
        <w:t>הטו</w:t>
      </w:r>
      <w:r>
        <w:rPr>
          <w:rFonts w:hint="cs"/>
          <w:rtl/>
        </w:rPr>
        <w:t xml:space="preserve">ר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Ref23669703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DE27A5">
        <w:rPr>
          <w:rStyle w:val="af6"/>
          <w:rFonts w:eastAsia="Guttman Hodes"/>
          <w:rtl/>
        </w:rPr>
        <w:fldChar w:fldCharType="end"/>
      </w:r>
      <w:r>
        <w:rPr>
          <w:rFonts w:hint="cs"/>
          <w:rtl/>
        </w:rPr>
        <w:t xml:space="preserve"> בשם </w:t>
      </w:r>
      <w:r w:rsidRPr="00065DA7">
        <w:rPr>
          <w:rStyle w:val="af8"/>
          <w:rFonts w:hint="cs"/>
          <w:rtl/>
        </w:rPr>
        <w:t xml:space="preserve">ספר התרומה </w:t>
      </w:r>
      <w:r>
        <w:rPr>
          <w:rFonts w:hint="cs"/>
          <w:rtl/>
        </w:rPr>
        <w:t xml:space="preserve">ומדברי </w:t>
      </w:r>
      <w:r w:rsidRPr="00065DA7">
        <w:rPr>
          <w:rStyle w:val="af8"/>
          <w:rFonts w:hint="cs"/>
          <w:rtl/>
        </w:rPr>
        <w:t xml:space="preserve">הר"ן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Ref24279334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סו)</w:t>
      </w:r>
      <w:r w:rsidRPr="00DE27A5">
        <w:rPr>
          <w:rStyle w:val="af6"/>
          <w:rFonts w:eastAsia="Guttman Hodes"/>
          <w:rtl/>
        </w:rPr>
        <w:fldChar w:fldCharType="end"/>
      </w:r>
      <w:r>
        <w:rPr>
          <w:rFonts w:hint="cs"/>
          <w:rtl/>
        </w:rPr>
        <w:t xml:space="preserve"> מבואר דרק מדרבנן צריך שישים, וכתב </w:t>
      </w:r>
      <w:r w:rsidRPr="00065DA7">
        <w:rPr>
          <w:rStyle w:val="af8"/>
          <w:rFonts w:hint="cs"/>
          <w:rtl/>
        </w:rPr>
        <w:t xml:space="preserve">הש"ך </w:t>
      </w:r>
      <w:r>
        <w:rPr>
          <w:rFonts w:hint="cs"/>
          <w:rtl/>
        </w:rPr>
        <w:t xml:space="preserve">דמדברי </w:t>
      </w:r>
      <w:r w:rsidRPr="00065DA7">
        <w:rPr>
          <w:rStyle w:val="af8"/>
          <w:rFonts w:hint="cs"/>
          <w:rtl/>
        </w:rPr>
        <w:t>התוס'</w:t>
      </w:r>
      <w:r>
        <w:rPr>
          <w:rFonts w:hint="cs"/>
          <w:rtl/>
        </w:rPr>
        <w:t xml:space="preserve">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Ref24279360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סח)</w:t>
      </w:r>
      <w:r w:rsidRPr="00DE27A5">
        <w:rPr>
          <w:rStyle w:val="af6"/>
          <w:rFonts w:eastAsia="Guttman Hodes"/>
          <w:rtl/>
        </w:rPr>
        <w:fldChar w:fldCharType="end"/>
      </w:r>
      <w:r>
        <w:rPr>
          <w:rFonts w:hint="cs"/>
          <w:rtl/>
        </w:rPr>
        <w:t xml:space="preserve"> שהביא </w:t>
      </w:r>
      <w:r w:rsidRPr="00065DA7">
        <w:rPr>
          <w:rStyle w:val="af8"/>
          <w:rFonts w:hint="cs"/>
          <w:rtl/>
        </w:rPr>
        <w:t xml:space="preserve">ההג' שערי דורא אין </w:t>
      </w:r>
      <w:r>
        <w:rPr>
          <w:rFonts w:hint="cs"/>
          <w:rtl/>
        </w:rPr>
        <w:t xml:space="preserve">ראיה, </w:t>
      </w:r>
      <w:r w:rsidRPr="00065DA7">
        <w:rPr>
          <w:rStyle w:val="af8"/>
          <w:rFonts w:hint="cs"/>
          <w:rtl/>
        </w:rPr>
        <w:t>דהתוס'</w:t>
      </w:r>
      <w:r>
        <w:rPr>
          <w:rFonts w:hint="cs"/>
          <w:rtl/>
        </w:rPr>
        <w:t xml:space="preserve"> איירי בקמח בקמח שהוא כלח בלח, </w:t>
      </w:r>
      <w:r w:rsidRPr="000A4F9E">
        <w:rPr>
          <w:rStyle w:val="afa"/>
          <w:rFonts w:hint="cs"/>
          <w:rtl/>
        </w:rPr>
        <w:t xml:space="preserve">[כדביאר </w:t>
      </w:r>
      <w:r w:rsidRPr="000A4F9E">
        <w:rPr>
          <w:rStyle w:val="affa"/>
          <w:rFonts w:hint="cs"/>
          <w:rtl/>
        </w:rPr>
        <w:t>הש"ך</w:t>
      </w:r>
      <w:r w:rsidRPr="000A4F9E">
        <w:rPr>
          <w:rStyle w:val="afa"/>
          <w:rFonts w:hint="cs"/>
          <w:rtl/>
        </w:rPr>
        <w:t xml:space="preserve"> </w:t>
      </w:r>
      <w:r w:rsidRPr="000A4F9E">
        <w:rPr>
          <w:rStyle w:val="aff6"/>
          <w:rFonts w:hint="cs"/>
          <w:rtl/>
        </w:rPr>
        <w:t>(סי' ק"ט סק"ג</w:t>
      </w:r>
      <w:r>
        <w:rPr>
          <w:rStyle w:val="aff6"/>
          <w:rFonts w:hint="cs"/>
          <w:rtl/>
        </w:rPr>
        <w:t>)</w:t>
      </w:r>
      <w:r w:rsidRPr="000A4F9E">
        <w:rPr>
          <w:rStyle w:val="afa"/>
          <w:rFonts w:hint="cs"/>
          <w:rtl/>
        </w:rPr>
        <w:t>],</w:t>
      </w:r>
      <w:r>
        <w:rPr>
          <w:rFonts w:hint="cs"/>
          <w:rtl/>
        </w:rPr>
        <w:t xml:space="preserve"> והוסיף </w:t>
      </w:r>
      <w:r w:rsidRPr="00065DA7">
        <w:rPr>
          <w:rStyle w:val="af8"/>
          <w:rFonts w:hint="cs"/>
          <w:rtl/>
        </w:rPr>
        <w:t xml:space="preserve">הש"ך </w:t>
      </w:r>
      <w:r>
        <w:rPr>
          <w:rFonts w:hint="cs"/>
          <w:rtl/>
        </w:rPr>
        <w:t xml:space="preserve">דכן מוכח מדברי </w:t>
      </w:r>
      <w:r w:rsidRPr="003251B4">
        <w:rPr>
          <w:rStyle w:val="af8"/>
          <w:rFonts w:hint="cs"/>
          <w:rtl/>
        </w:rPr>
        <w:t xml:space="preserve">מהרא"י </w:t>
      </w:r>
      <w:r>
        <w:rPr>
          <w:rFonts w:hint="cs"/>
          <w:rtl/>
        </w:rPr>
        <w:t xml:space="preserve">עצמו שכתב </w:t>
      </w:r>
      <w:r w:rsidRPr="003251B4">
        <w:rPr>
          <w:rStyle w:val="af8"/>
          <w:rFonts w:hint="cs"/>
          <w:rtl/>
        </w:rPr>
        <w:t xml:space="preserve">בתרוה"ד </w:t>
      </w:r>
      <w:r w:rsidRPr="00DE27A5">
        <w:rPr>
          <w:rStyle w:val="af6"/>
          <w:rFonts w:eastAsia="Guttman Hodes" w:hint="cs"/>
          <w:rtl/>
        </w:rPr>
        <w:t>(ריש סי' קי"ד)</w:t>
      </w:r>
      <w:r>
        <w:rPr>
          <w:rFonts w:hint="cs"/>
          <w:rtl/>
        </w:rPr>
        <w:t xml:space="preserve"> דבגמ' בפסחים איירי בקמח דהוא כלח בלח, וכתב </w:t>
      </w:r>
      <w:r w:rsidRPr="003251B4">
        <w:rPr>
          <w:rStyle w:val="af8"/>
          <w:rFonts w:hint="cs"/>
          <w:rtl/>
        </w:rPr>
        <w:t xml:space="preserve">הש"ך </w:t>
      </w:r>
      <w:r>
        <w:rPr>
          <w:rFonts w:hint="cs"/>
          <w:rtl/>
        </w:rPr>
        <w:t xml:space="preserve">דכן מוכח מדברי </w:t>
      </w:r>
      <w:r w:rsidRPr="003251B4">
        <w:rPr>
          <w:rStyle w:val="af8"/>
          <w:rFonts w:hint="cs"/>
          <w:rtl/>
        </w:rPr>
        <w:t xml:space="preserve">הרשב"א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Ref23669703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DE27A5">
        <w:rPr>
          <w:rStyle w:val="af6"/>
          <w:rFonts w:eastAsia="Guttman Hodes"/>
          <w:rtl/>
        </w:rPr>
        <w:fldChar w:fldCharType="end"/>
      </w:r>
      <w:r>
        <w:rPr>
          <w:rFonts w:hint="cs"/>
          <w:rtl/>
        </w:rPr>
        <w:t xml:space="preserve"> דכתב דביבש ביבש רק מדרבנן צריך שישים, ואפ"ה הביא </w:t>
      </w:r>
      <w:r w:rsidRPr="003251B4">
        <w:rPr>
          <w:rStyle w:val="af8"/>
          <w:rFonts w:hint="cs"/>
          <w:rtl/>
        </w:rPr>
        <w:t xml:space="preserve">הרשב"א בחי' לעיל </w:t>
      </w:r>
      <w:r w:rsidRPr="00DE27A5">
        <w:rPr>
          <w:rStyle w:val="af6"/>
          <w:rFonts w:eastAsia="Guttman Hodes" w:hint="cs"/>
          <w:rtl/>
        </w:rPr>
        <w:t>(צח: ד"ה אי הכי, הובא בסימן י"א אות ל"ז)</w:t>
      </w:r>
      <w:r>
        <w:rPr>
          <w:rFonts w:hint="cs"/>
          <w:rtl/>
        </w:rPr>
        <w:t xml:space="preserve"> </w:t>
      </w:r>
      <w:r w:rsidRPr="003251B4">
        <w:rPr>
          <w:rStyle w:val="af8"/>
          <w:rFonts w:hint="cs"/>
          <w:rtl/>
        </w:rPr>
        <w:t xml:space="preserve">ובתוה"ב </w:t>
      </w:r>
      <w:r w:rsidRPr="00DE27A5">
        <w:rPr>
          <w:rStyle w:val="af6"/>
          <w:rFonts w:eastAsia="Guttman Hodes" w:hint="cs"/>
          <w:rtl/>
        </w:rPr>
        <w:t>(ב"</w:t>
      </w:r>
      <w:r>
        <w:rPr>
          <w:rStyle w:val="af6"/>
          <w:rFonts w:eastAsia="Guttman Hodes" w:hint="cs"/>
          <w:rtl/>
        </w:rPr>
        <w:t>ד</w:t>
      </w:r>
      <w:r w:rsidRPr="00DE27A5">
        <w:rPr>
          <w:rStyle w:val="af6"/>
          <w:rFonts w:eastAsia="Guttman Hodes" w:hint="cs"/>
          <w:rtl/>
        </w:rPr>
        <w:t xml:space="preserve"> ש"א יא. מדה"ס)</w:t>
      </w:r>
      <w:r>
        <w:rPr>
          <w:rFonts w:hint="cs"/>
          <w:rtl/>
        </w:rPr>
        <w:t xml:space="preserve"> את דברי </w:t>
      </w:r>
      <w:r w:rsidRPr="003251B4">
        <w:rPr>
          <w:rStyle w:val="af8"/>
          <w:rFonts w:hint="cs"/>
          <w:rtl/>
        </w:rPr>
        <w:t xml:space="preserve">התוס' בפסחים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Ref24279360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סח)</w:t>
      </w:r>
      <w:r w:rsidRPr="00DE27A5">
        <w:rPr>
          <w:rStyle w:val="af6"/>
          <w:rFonts w:eastAsia="Guttman Hodes"/>
          <w:rtl/>
        </w:rPr>
        <w:fldChar w:fldCharType="end"/>
      </w:r>
      <w:r>
        <w:rPr>
          <w:rFonts w:hint="cs"/>
          <w:rtl/>
        </w:rPr>
        <w:t xml:space="preserve">, ומוכח דס"ל </w:t>
      </w:r>
      <w:r w:rsidRPr="003251B4">
        <w:rPr>
          <w:rStyle w:val="af8"/>
          <w:rFonts w:hint="cs"/>
          <w:rtl/>
        </w:rPr>
        <w:t xml:space="preserve">להרשב"א </w:t>
      </w:r>
      <w:r>
        <w:rPr>
          <w:rFonts w:hint="cs"/>
          <w:rtl/>
        </w:rPr>
        <w:t>דכ"מ דכתבו ה</w:t>
      </w:r>
      <w:r w:rsidRPr="003251B4">
        <w:rPr>
          <w:rStyle w:val="af8"/>
          <w:rFonts w:hint="cs"/>
          <w:rtl/>
        </w:rPr>
        <w:t>תוס'</w:t>
      </w:r>
      <w:r>
        <w:rPr>
          <w:rFonts w:hint="cs"/>
          <w:rtl/>
        </w:rPr>
        <w:t xml:space="preserve"> דמדאו' לא מהני ביטול ברוב, היינו דוקא בקמח שהוא כלח בלח ולא ביבש ביבש.</w:t>
      </w:r>
    </w:p>
    <w:p w:rsidR="00D45705" w:rsidRPr="000A4F9E" w:rsidRDefault="00D45705" w:rsidP="00D45705">
      <w:pPr>
        <w:pStyle w:val="1"/>
        <w:rPr>
          <w:rtl/>
        </w:rPr>
      </w:pPr>
      <w:r>
        <w:rPr>
          <w:rFonts w:hint="cs"/>
          <w:rtl/>
        </w:rPr>
        <w:t>דעת החוו"ד דביבש שאוכל בב"א נותן טעם וצריך שישים מדאו'</w:t>
      </w:r>
    </w:p>
    <w:p w:rsidR="00D45705" w:rsidRPr="00B63169" w:rsidRDefault="00D45705" w:rsidP="00D45705">
      <w:pPr>
        <w:pStyle w:val="a2"/>
        <w:rPr>
          <w:rtl/>
        </w:rPr>
      </w:pPr>
      <w:r>
        <w:rPr>
          <w:rFonts w:hint="cs"/>
          <w:rtl/>
        </w:rPr>
        <w:t>קושית החוו"ד דבקמח בקמח אין נתינת טעם מאחד לשני וא"א לומר דמדאו' הוא בשישים</w:t>
      </w:r>
    </w:p>
    <w:p w:rsidR="00D45705" w:rsidRDefault="00D45705" w:rsidP="009F44AF">
      <w:pPr>
        <w:pStyle w:val="a"/>
        <w:rPr>
          <w:rtl/>
        </w:rPr>
      </w:pPr>
      <w:r>
        <w:rPr>
          <w:rFonts w:hint="cs"/>
          <w:rtl/>
        </w:rPr>
        <w:t xml:space="preserve">והקשה </w:t>
      </w:r>
      <w:r w:rsidRPr="003251B4">
        <w:rPr>
          <w:rStyle w:val="af8"/>
          <w:rFonts w:hint="cs"/>
          <w:rtl/>
        </w:rPr>
        <w:t xml:space="preserve">החוו"ד </w:t>
      </w:r>
      <w:r w:rsidRPr="00DE27A5">
        <w:rPr>
          <w:rStyle w:val="af6"/>
          <w:rFonts w:eastAsia="Guttman Hodes" w:hint="cs"/>
          <w:rtl/>
        </w:rPr>
        <w:t>(סי' ק"ט סק"ה)</w:t>
      </w:r>
      <w:r>
        <w:rPr>
          <w:rFonts w:hint="cs"/>
          <w:rtl/>
        </w:rPr>
        <w:t xml:space="preserve"> על </w:t>
      </w:r>
      <w:r w:rsidRPr="003251B4">
        <w:rPr>
          <w:rStyle w:val="af8"/>
          <w:rFonts w:hint="cs"/>
          <w:rtl/>
        </w:rPr>
        <w:t xml:space="preserve">הש"ך </w:t>
      </w:r>
      <w:r>
        <w:rPr>
          <w:rFonts w:hint="cs"/>
          <w:rtl/>
        </w:rPr>
        <w:t>דא"א לומר דקמח בקמח דינו כלח דטעם כעיקר דאו', דהא הקמח אינו מקבל טעם מקמח אחר, ולא שייך בזה שיעור שישים מדאו' מדין טעם כעיקר.</w:t>
      </w:r>
    </w:p>
    <w:p w:rsidR="00D45705" w:rsidRDefault="00D45705" w:rsidP="00D45705">
      <w:pPr>
        <w:pStyle w:val="a2"/>
        <w:rPr>
          <w:rtl/>
        </w:rPr>
      </w:pPr>
      <w:r>
        <w:rPr>
          <w:rFonts w:hint="cs"/>
          <w:rtl/>
        </w:rPr>
        <w:t>ביאור החוו"ד דבאוכל בבת אחת במין בשאינו מינו מדאו' צריך שישים אף ביבש ביבש</w:t>
      </w:r>
    </w:p>
    <w:p w:rsidR="00D45705" w:rsidRDefault="00D45705" w:rsidP="009F44AF">
      <w:pPr>
        <w:pStyle w:val="a"/>
        <w:rPr>
          <w:rtl/>
        </w:rPr>
      </w:pPr>
      <w:r>
        <w:rPr>
          <w:rFonts w:hint="cs"/>
          <w:rtl/>
        </w:rPr>
        <w:t xml:space="preserve">אלא כתב </w:t>
      </w:r>
      <w:r w:rsidRPr="003251B4">
        <w:rPr>
          <w:rStyle w:val="af8"/>
          <w:rFonts w:hint="cs"/>
          <w:rtl/>
        </w:rPr>
        <w:t xml:space="preserve">החוו"ד דבתוס' בפסחים </w:t>
      </w:r>
      <w:r>
        <w:rPr>
          <w:rFonts w:hint="cs"/>
          <w:rtl/>
        </w:rPr>
        <w:t xml:space="preserve">איירי שאוכל את כל התערובת, ובכה"ג לכו"ע הוי דאו' במין בשאינו מינו אף ביבש ביבש, וכתב </w:t>
      </w:r>
      <w:r w:rsidRPr="003251B4">
        <w:rPr>
          <w:rStyle w:val="af8"/>
          <w:rFonts w:hint="cs"/>
          <w:rtl/>
        </w:rPr>
        <w:t xml:space="preserve">החוו"ד </w:t>
      </w:r>
      <w:r>
        <w:rPr>
          <w:rFonts w:hint="cs"/>
          <w:rtl/>
        </w:rPr>
        <w:t xml:space="preserve">דכן מוכח מהא דאיתא בגמ' בזבחים </w:t>
      </w:r>
      <w:r w:rsidRPr="00DE27A5">
        <w:rPr>
          <w:rStyle w:val="af6"/>
          <w:rFonts w:eastAsia="Guttman Hodes" w:hint="cs"/>
          <w:rtl/>
        </w:rPr>
        <w:t>(עח.)</w:t>
      </w:r>
      <w:r>
        <w:rPr>
          <w:rFonts w:hint="cs"/>
          <w:rtl/>
        </w:rPr>
        <w:t xml:space="preserve"> דפיגול ונותר וטמא שבללן זה בזה, במין בשאינו מינו מדאו' השיעור הוא בנותן טעם ולוקין עליו, ועוד הביא </w:t>
      </w:r>
      <w:r w:rsidRPr="003251B4">
        <w:rPr>
          <w:rStyle w:val="af8"/>
          <w:rFonts w:hint="cs"/>
          <w:rtl/>
        </w:rPr>
        <w:t xml:space="preserve">החוו"ד </w:t>
      </w:r>
      <w:r>
        <w:rPr>
          <w:rFonts w:hint="cs"/>
          <w:rtl/>
        </w:rPr>
        <w:t xml:space="preserve">דכן מוכח </w:t>
      </w:r>
      <w:r w:rsidRPr="003251B4">
        <w:rPr>
          <w:rStyle w:val="af8"/>
          <w:rFonts w:hint="cs"/>
          <w:rtl/>
        </w:rPr>
        <w:t xml:space="preserve">בתוס' במנחות </w:t>
      </w:r>
      <w:r w:rsidRPr="00DE27A5">
        <w:rPr>
          <w:rStyle w:val="af6"/>
          <w:rFonts w:eastAsia="Guttman Hodes" w:hint="cs"/>
          <w:rtl/>
        </w:rPr>
        <w:t>(כג: ד"ה אלא)</w:t>
      </w:r>
      <w:r>
        <w:rPr>
          <w:rFonts w:hint="cs"/>
          <w:rtl/>
        </w:rPr>
        <w:t xml:space="preserve"> דבכורך מצה ומרור יחד חשיב טעם כעיקר דאו', אעפ"י שהוא יבש ביבש.</w:t>
      </w:r>
    </w:p>
    <w:p w:rsidR="00D45705" w:rsidRPr="004648DD" w:rsidRDefault="00D45705" w:rsidP="00D45705">
      <w:pPr>
        <w:pStyle w:val="a2"/>
        <w:rPr>
          <w:rtl/>
        </w:rPr>
      </w:pPr>
      <w:r>
        <w:rPr>
          <w:rFonts w:hint="cs"/>
          <w:rtl/>
        </w:rPr>
        <w:t>ביאור החוו"ד דבאוכל בבת אחת יש נתינת טעם אף ביבש ואסור מדין טעם כעיקר דאו'</w:t>
      </w:r>
    </w:p>
    <w:p w:rsidR="00D45705" w:rsidRPr="000A4F9E" w:rsidRDefault="00D45705" w:rsidP="009F44AF">
      <w:pPr>
        <w:pStyle w:val="a"/>
        <w:rPr>
          <w:rtl/>
        </w:rPr>
      </w:pPr>
      <w:r>
        <w:rPr>
          <w:rFonts w:hint="cs"/>
          <w:rtl/>
        </w:rPr>
        <w:t xml:space="preserve">וביאר </w:t>
      </w:r>
      <w:r w:rsidRPr="003251B4">
        <w:rPr>
          <w:rStyle w:val="af8"/>
          <w:rFonts w:hint="cs"/>
          <w:rtl/>
        </w:rPr>
        <w:t xml:space="preserve">החוו"ד </w:t>
      </w:r>
      <w:r>
        <w:rPr>
          <w:rFonts w:hint="cs"/>
          <w:rtl/>
        </w:rPr>
        <w:t xml:space="preserve">דבאוכל את כל התערובת יחד, חשיב טעם כעיקר דאו' אף שהוא יבש ביבש, כיון שהוא מרגיש את הטעם בפיו, והוסיף החוו"ד דכן מסתבר דהחוש מוכיח דכשהוא לועס את כל התערובת של האיסור וההיתר יחד מרגיש את טעם האיסור בפיו, ולכן מדאו' צריך שישים, דבכה"ג </w:t>
      </w:r>
      <w:r w:rsidRPr="000A4F9E">
        <w:rPr>
          <w:rFonts w:hint="cs"/>
          <w:rtl/>
        </w:rPr>
        <w:t xml:space="preserve">בטל הטעם ואינו מרגישו בפה, והוסיף </w:t>
      </w:r>
      <w:r w:rsidRPr="000A4F9E">
        <w:rPr>
          <w:rStyle w:val="af8"/>
          <w:rFonts w:hint="cs"/>
          <w:rtl/>
        </w:rPr>
        <w:t xml:space="preserve">החוו"ד </w:t>
      </w:r>
      <w:r w:rsidRPr="000A4F9E">
        <w:rPr>
          <w:rFonts w:hint="cs"/>
          <w:rtl/>
        </w:rPr>
        <w:t xml:space="preserve">דזהו הטעם של </w:t>
      </w:r>
      <w:r w:rsidRPr="000A4F9E">
        <w:rPr>
          <w:rStyle w:val="af8"/>
          <w:rFonts w:hint="cs"/>
          <w:rtl/>
        </w:rPr>
        <w:t xml:space="preserve">הרשב"א </w:t>
      </w:r>
      <w:r w:rsidRPr="000A4F9E">
        <w:rPr>
          <w:rStyle w:val="af6"/>
          <w:rFonts w:eastAsia="Guttman Hodes" w:hint="cs"/>
          <w:rtl/>
        </w:rPr>
        <w:t xml:space="preserve">(עי' אות </w:t>
      </w:r>
      <w:r w:rsidRPr="000A4F9E">
        <w:rPr>
          <w:rStyle w:val="af6"/>
          <w:rFonts w:eastAsia="Guttman Hodes"/>
          <w:rtl/>
        </w:rPr>
        <w:fldChar w:fldCharType="begin"/>
      </w:r>
      <w:r w:rsidRPr="000A4F9E">
        <w:rPr>
          <w:rStyle w:val="af6"/>
          <w:rFonts w:eastAsia="Guttman Hodes"/>
          <w:rtl/>
        </w:rPr>
        <w:instrText xml:space="preserve"> </w:instrText>
      </w:r>
      <w:r w:rsidRPr="000A4F9E">
        <w:rPr>
          <w:rStyle w:val="af6"/>
          <w:rFonts w:eastAsia="Guttman Hodes" w:hint="cs"/>
        </w:rPr>
        <w:instrText>REF</w:instrText>
      </w:r>
      <w:r w:rsidRPr="000A4F9E">
        <w:rPr>
          <w:rStyle w:val="af6"/>
          <w:rFonts w:eastAsia="Guttman Hodes" w:hint="cs"/>
          <w:rtl/>
        </w:rPr>
        <w:instrText xml:space="preserve"> _</w:instrText>
      </w:r>
      <w:r w:rsidRPr="000A4F9E">
        <w:rPr>
          <w:rStyle w:val="af6"/>
          <w:rFonts w:eastAsia="Guttman Hodes" w:hint="cs"/>
        </w:rPr>
        <w:instrText>Ref23496533 \r \h</w:instrText>
      </w:r>
      <w:r w:rsidRPr="000A4F9E">
        <w:rPr>
          <w:rStyle w:val="af6"/>
          <w:rFonts w:eastAsia="Guttman Hodes"/>
          <w:rtl/>
        </w:rPr>
        <w:instrText xml:space="preserve"> </w:instrText>
      </w:r>
      <w:r w:rsidRPr="000A4F9E">
        <w:rPr>
          <w:rStyle w:val="af6"/>
          <w:rFonts w:eastAsia="Guttman Hodes"/>
          <w:rtl/>
        </w:rPr>
      </w:r>
      <w:r w:rsidRPr="000A4F9E">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0A4F9E">
        <w:rPr>
          <w:rStyle w:val="af6"/>
          <w:rFonts w:eastAsia="Guttman Hodes"/>
          <w:rtl/>
        </w:rPr>
        <w:fldChar w:fldCharType="end"/>
      </w:r>
      <w:r w:rsidRPr="000A4F9E">
        <w:rPr>
          <w:rFonts w:hint="cs"/>
          <w:rtl/>
        </w:rPr>
        <w:t xml:space="preserve"> שאוסר לאכול במין במינו את כל התערובת יחד, דכיון שבמין בשאינו מינו אסור מדאו', לכן במין במינו אסור מדרבנן</w:t>
      </w:r>
      <w:r>
        <w:rPr>
          <w:rFonts w:hint="cs"/>
          <w:rtl/>
        </w:rPr>
        <w:t>, וכעי"ז כתב</w:t>
      </w:r>
      <w:r w:rsidRPr="00B6612A">
        <w:rPr>
          <w:rStyle w:val="af8"/>
          <w:rFonts w:hint="cs"/>
          <w:rtl/>
        </w:rPr>
        <w:t xml:space="preserve"> </w:t>
      </w:r>
      <w:r w:rsidRPr="00E243F3">
        <w:rPr>
          <w:rStyle w:val="af8"/>
          <w:rFonts w:hint="cs"/>
          <w:rtl/>
        </w:rPr>
        <w:t>החזו"א</w:t>
      </w:r>
      <w:r>
        <w:rPr>
          <w:rFonts w:hint="cs"/>
          <w:rtl/>
        </w:rPr>
        <w:t xml:space="preserve"> </w:t>
      </w:r>
      <w:r w:rsidRPr="00101FEE">
        <w:rPr>
          <w:rStyle w:val="af6"/>
          <w:rFonts w:eastAsia="Guttman Hodes" w:hint="cs"/>
          <w:rtl/>
        </w:rPr>
        <w:t>(יסי' ל"ו סק"ב</w:t>
      </w:r>
      <w:r>
        <w:rPr>
          <w:rStyle w:val="af6"/>
          <w:rFonts w:eastAsia="Guttman Hodes" w:hint="cs"/>
          <w:rtl/>
        </w:rPr>
        <w:t>)</w:t>
      </w:r>
      <w:r w:rsidRPr="000A4F9E">
        <w:rPr>
          <w:rFonts w:hint="cs"/>
          <w:rtl/>
        </w:rPr>
        <w:t>,</w:t>
      </w:r>
      <w:r>
        <w:rPr>
          <w:rFonts w:hint="cs"/>
          <w:rtl/>
        </w:rPr>
        <w:t xml:space="preserve"> </w:t>
      </w:r>
      <w:r w:rsidRPr="000A4F9E">
        <w:rPr>
          <w:rFonts w:hint="cs"/>
          <w:rtl/>
        </w:rPr>
        <w:t xml:space="preserve">וכתב </w:t>
      </w:r>
      <w:r w:rsidRPr="000A4F9E">
        <w:rPr>
          <w:rStyle w:val="af8"/>
          <w:rFonts w:hint="cs"/>
          <w:rtl/>
        </w:rPr>
        <w:t xml:space="preserve">החוו"ד </w:t>
      </w:r>
      <w:r w:rsidRPr="000A4F9E">
        <w:rPr>
          <w:rFonts w:hint="cs"/>
          <w:rtl/>
        </w:rPr>
        <w:t>דא"כ במקום שיש שישים, מותר לאכול את כל התערובת יחד</w:t>
      </w:r>
      <w:r>
        <w:rPr>
          <w:rFonts w:hint="cs"/>
          <w:rtl/>
        </w:rPr>
        <w:t xml:space="preserve">. </w:t>
      </w:r>
      <w:r w:rsidRPr="00BE40B3">
        <w:rPr>
          <w:rStyle w:val="afa"/>
          <w:rFonts w:hint="cs"/>
          <w:rtl/>
        </w:rPr>
        <w:t xml:space="preserve">[וע"ע במ"ש </w:t>
      </w:r>
      <w:r w:rsidRPr="00BE40B3">
        <w:rPr>
          <w:rStyle w:val="affa"/>
          <w:rFonts w:hint="cs"/>
          <w:rtl/>
        </w:rPr>
        <w:t>החזו"א</w:t>
      </w:r>
      <w:r w:rsidRPr="00BE40B3">
        <w:rPr>
          <w:rStyle w:val="afa"/>
          <w:rFonts w:hint="cs"/>
          <w:rtl/>
        </w:rPr>
        <w:t xml:space="preserve"> </w:t>
      </w:r>
      <w:r w:rsidRPr="00BE40B3">
        <w:rPr>
          <w:rStyle w:val="aff6"/>
          <w:rFonts w:hint="cs"/>
          <w:rtl/>
        </w:rPr>
        <w:t>(עי' הערה</w:t>
      </w:r>
      <w:r w:rsidRPr="00BE40B3">
        <w:rPr>
          <w:vertAlign w:val="superscript"/>
          <w:rtl/>
        </w:rPr>
        <w:fldChar w:fldCharType="begin"/>
      </w:r>
      <w:r w:rsidRPr="00BE40B3">
        <w:rPr>
          <w:vertAlign w:val="superscript"/>
          <w:rtl/>
        </w:rPr>
        <w:instrText xml:space="preserve"> </w:instrText>
      </w:r>
      <w:r w:rsidRPr="00BE40B3">
        <w:rPr>
          <w:rFonts w:hint="cs"/>
          <w:vertAlign w:val="superscript"/>
        </w:rPr>
        <w:instrText>NOTEREF</w:instrText>
      </w:r>
      <w:r w:rsidRPr="00BE40B3">
        <w:rPr>
          <w:rFonts w:hint="cs"/>
          <w:vertAlign w:val="superscript"/>
          <w:rtl/>
        </w:rPr>
        <w:instrText xml:space="preserve"> _</w:instrText>
      </w:r>
      <w:r w:rsidRPr="00BE40B3">
        <w:rPr>
          <w:rFonts w:hint="cs"/>
          <w:vertAlign w:val="superscript"/>
        </w:rPr>
        <w:instrText>Ref24369128 \h</w:instrText>
      </w:r>
      <w:r w:rsidRPr="00BE40B3">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E40B3">
        <w:rPr>
          <w:vertAlign w:val="superscript"/>
          <w:rtl/>
        </w:rPr>
      </w:r>
      <w:r w:rsidRPr="00BE40B3">
        <w:rPr>
          <w:vertAlign w:val="superscript"/>
          <w:rtl/>
        </w:rPr>
        <w:fldChar w:fldCharType="separate"/>
      </w:r>
      <w:r w:rsidR="004D1C5B">
        <w:rPr>
          <w:vertAlign w:val="superscript"/>
          <w:rtl/>
        </w:rPr>
        <w:t>60</w:t>
      </w:r>
      <w:r w:rsidRPr="00BE40B3">
        <w:rPr>
          <w:vertAlign w:val="superscript"/>
          <w:rtl/>
        </w:rPr>
        <w:fldChar w:fldCharType="end"/>
      </w:r>
      <w:r w:rsidRPr="00BE40B3">
        <w:rPr>
          <w:rStyle w:val="aff6"/>
          <w:rFonts w:hint="cs"/>
          <w:rtl/>
        </w:rPr>
        <w:t>)</w:t>
      </w:r>
      <w:r w:rsidRPr="00BE40B3">
        <w:rPr>
          <w:rStyle w:val="afa"/>
          <w:rFonts w:hint="cs"/>
          <w:rtl/>
        </w:rPr>
        <w:t>].</w:t>
      </w:r>
    </w:p>
    <w:p w:rsidR="00D45705" w:rsidRPr="00897F36" w:rsidRDefault="00D45705" w:rsidP="00F7292E">
      <w:pPr>
        <w:pStyle w:val="a2"/>
        <w:rPr>
          <w:rtl/>
        </w:rPr>
      </w:pPr>
      <w:r w:rsidRPr="000A4F9E">
        <w:rPr>
          <w:rFonts w:hint="cs"/>
          <w:rtl/>
        </w:rPr>
        <w:t xml:space="preserve">דברי החוו"ד דהטור איירי בזאח"ז ולכן רק </w:t>
      </w:r>
      <w:r w:rsidR="00F7292E" w:rsidRPr="000A4F9E">
        <w:rPr>
          <w:rFonts w:hint="cs"/>
          <w:rtl/>
        </w:rPr>
        <w:t xml:space="preserve">מדרבנן </w:t>
      </w:r>
      <w:r w:rsidRPr="000A4F9E">
        <w:rPr>
          <w:rFonts w:hint="cs"/>
          <w:rtl/>
        </w:rPr>
        <w:t>צריך שישים ובתוס' איירי</w:t>
      </w:r>
      <w:r>
        <w:rPr>
          <w:rFonts w:hint="cs"/>
          <w:rtl/>
        </w:rPr>
        <w:t xml:space="preserve"> בב"א והוי דאו'</w:t>
      </w:r>
    </w:p>
    <w:p w:rsidR="00D45705" w:rsidRPr="00FC3B31" w:rsidRDefault="00D45705" w:rsidP="009F44AF">
      <w:pPr>
        <w:pStyle w:val="a"/>
      </w:pPr>
      <w:r>
        <w:rPr>
          <w:rFonts w:hint="cs"/>
          <w:rtl/>
        </w:rPr>
        <w:t xml:space="preserve">וכתב </w:t>
      </w:r>
      <w:r w:rsidRPr="003251B4">
        <w:rPr>
          <w:rStyle w:val="af8"/>
          <w:rFonts w:hint="cs"/>
          <w:rtl/>
        </w:rPr>
        <w:t xml:space="preserve">החוו"ד </w:t>
      </w:r>
      <w:r>
        <w:rPr>
          <w:rFonts w:hint="cs"/>
          <w:rtl/>
        </w:rPr>
        <w:t>דלפי"ז אפש"ל דאין כל מחלוקת בין</w:t>
      </w:r>
      <w:r w:rsidRPr="00466E99">
        <w:rPr>
          <w:rStyle w:val="af8"/>
          <w:rFonts w:hint="cs"/>
          <w:rtl/>
        </w:rPr>
        <w:t xml:space="preserve"> הטור</w:t>
      </w:r>
      <w:r>
        <w:rPr>
          <w:rFonts w:hint="cs"/>
          <w:rtl/>
        </w:rPr>
        <w:t xml:space="preserve">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Ref23669703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DE27A5">
        <w:rPr>
          <w:rStyle w:val="af6"/>
          <w:rFonts w:eastAsia="Guttman Hodes"/>
          <w:rtl/>
        </w:rPr>
        <w:fldChar w:fldCharType="end"/>
      </w:r>
      <w:r>
        <w:rPr>
          <w:rFonts w:hint="cs"/>
          <w:rtl/>
        </w:rPr>
        <w:t xml:space="preserve"> בשם </w:t>
      </w:r>
      <w:r w:rsidRPr="00DE27A5">
        <w:rPr>
          <w:rStyle w:val="af8"/>
          <w:rFonts w:hint="cs"/>
          <w:rtl/>
        </w:rPr>
        <w:t>ספר התרומה</w:t>
      </w:r>
      <w:r>
        <w:rPr>
          <w:rFonts w:hint="cs"/>
          <w:rtl/>
        </w:rPr>
        <w:t xml:space="preserve"> דמשמע דס"ל דביבש ביבש במין בשאינו מינו צריך שישים מדרבנן, לדברי </w:t>
      </w:r>
      <w:r w:rsidRPr="003251B4">
        <w:rPr>
          <w:rStyle w:val="af8"/>
          <w:rFonts w:hint="cs"/>
          <w:rtl/>
        </w:rPr>
        <w:t xml:space="preserve">הג' שערי דורא </w:t>
      </w:r>
      <w:r>
        <w:rPr>
          <w:rFonts w:hint="cs"/>
          <w:rtl/>
        </w:rPr>
        <w:t xml:space="preserve">בשם </w:t>
      </w:r>
      <w:r w:rsidRPr="003251B4">
        <w:rPr>
          <w:rStyle w:val="af8"/>
          <w:rFonts w:hint="cs"/>
          <w:rtl/>
        </w:rPr>
        <w:t>התוס'</w:t>
      </w:r>
      <w:r>
        <w:rPr>
          <w:rFonts w:hint="cs"/>
          <w:rtl/>
        </w:rPr>
        <w:t xml:space="preserve"> </w:t>
      </w:r>
      <w:r w:rsidRPr="00DE27A5">
        <w:rPr>
          <w:rStyle w:val="af6"/>
          <w:rFonts w:eastAsia="Guttman Hodes" w:hint="cs"/>
          <w:rtl/>
        </w:rPr>
        <w:t xml:space="preserve">(עי' אות </w:t>
      </w:r>
      <w:r w:rsidRPr="00DE27A5">
        <w:rPr>
          <w:rStyle w:val="af6"/>
          <w:rFonts w:eastAsia="Guttman Hodes"/>
          <w:rtl/>
        </w:rPr>
        <w:fldChar w:fldCharType="begin"/>
      </w:r>
      <w:r w:rsidRPr="00DE27A5">
        <w:rPr>
          <w:rStyle w:val="af6"/>
          <w:rFonts w:eastAsia="Guttman Hodes"/>
          <w:rtl/>
        </w:rPr>
        <w:instrText xml:space="preserve"> </w:instrText>
      </w:r>
      <w:r w:rsidRPr="00DE27A5">
        <w:rPr>
          <w:rStyle w:val="af6"/>
          <w:rFonts w:eastAsia="Guttman Hodes" w:hint="cs"/>
        </w:rPr>
        <w:instrText>REF</w:instrText>
      </w:r>
      <w:r w:rsidRPr="00DE27A5">
        <w:rPr>
          <w:rStyle w:val="af6"/>
          <w:rFonts w:eastAsia="Guttman Hodes" w:hint="cs"/>
          <w:rtl/>
        </w:rPr>
        <w:instrText xml:space="preserve"> _</w:instrText>
      </w:r>
      <w:r w:rsidRPr="00DE27A5">
        <w:rPr>
          <w:rStyle w:val="af6"/>
          <w:rFonts w:eastAsia="Guttman Hodes" w:hint="cs"/>
        </w:rPr>
        <w:instrText>Ref24279360 \r \h</w:instrText>
      </w:r>
      <w:r w:rsidRPr="00DE27A5">
        <w:rPr>
          <w:rStyle w:val="af6"/>
          <w:rFonts w:eastAsia="Guttman Hodes"/>
          <w:rtl/>
        </w:rPr>
        <w:instrText xml:space="preserve"> </w:instrText>
      </w:r>
      <w:r w:rsidRPr="00DE27A5">
        <w:rPr>
          <w:rStyle w:val="af6"/>
          <w:rFonts w:eastAsia="Guttman Hodes"/>
          <w:rtl/>
        </w:rPr>
      </w:r>
      <w:r w:rsidRPr="00DE27A5">
        <w:rPr>
          <w:rStyle w:val="af6"/>
          <w:rFonts w:eastAsia="Guttman Hodes"/>
          <w:rtl/>
        </w:rPr>
        <w:fldChar w:fldCharType="separate"/>
      </w:r>
      <w:r w:rsidR="004D1C5B">
        <w:rPr>
          <w:rStyle w:val="af6"/>
          <w:rFonts w:eastAsia="Guttman Hodes"/>
          <w:cs/>
        </w:rPr>
        <w:t>‎</w:t>
      </w:r>
      <w:r w:rsidR="004D1C5B">
        <w:rPr>
          <w:rStyle w:val="af6"/>
          <w:rFonts w:eastAsia="Guttman Hodes"/>
          <w:rtl/>
        </w:rPr>
        <w:t>סח)</w:t>
      </w:r>
      <w:r w:rsidRPr="00DE27A5">
        <w:rPr>
          <w:rStyle w:val="af6"/>
          <w:rFonts w:eastAsia="Guttman Hodes"/>
          <w:rtl/>
        </w:rPr>
        <w:fldChar w:fldCharType="end"/>
      </w:r>
      <w:r>
        <w:rPr>
          <w:rFonts w:hint="cs"/>
          <w:rtl/>
        </w:rPr>
        <w:t xml:space="preserve"> דמדאו' צריך שישים, </w:t>
      </w:r>
      <w:r w:rsidRPr="00466E99">
        <w:rPr>
          <w:rStyle w:val="af8"/>
          <w:rFonts w:hint="cs"/>
          <w:rtl/>
        </w:rPr>
        <w:t>דהטור</w:t>
      </w:r>
      <w:r>
        <w:rPr>
          <w:rFonts w:hint="cs"/>
          <w:rtl/>
        </w:rPr>
        <w:t xml:space="preserve"> בשם </w:t>
      </w:r>
      <w:r w:rsidRPr="00DE27A5">
        <w:rPr>
          <w:rStyle w:val="af8"/>
          <w:rFonts w:hint="cs"/>
          <w:rtl/>
        </w:rPr>
        <w:t>ספר התרומה</w:t>
      </w:r>
      <w:r>
        <w:rPr>
          <w:rFonts w:hint="cs"/>
          <w:rtl/>
        </w:rPr>
        <w:t xml:space="preserve"> איירי כשאוכל כל חתיכה בפנ"ע, דבכה"ג לכו"ע מדאו' מהני ביטול ברוב, דעל כל חתיכה </w:t>
      </w:r>
      <w:r w:rsidRPr="00DE27A5">
        <w:rPr>
          <w:rFonts w:hint="cs"/>
          <w:rtl/>
        </w:rPr>
        <w:t xml:space="preserve">אמרינן שהיא מהרוב, כדכתב </w:t>
      </w:r>
      <w:r w:rsidRPr="00DE27A5">
        <w:rPr>
          <w:rStyle w:val="af8"/>
          <w:rFonts w:hint="cs"/>
          <w:rtl/>
        </w:rPr>
        <w:t xml:space="preserve">הש"ך </w:t>
      </w:r>
      <w:r w:rsidRPr="00DE27A5">
        <w:rPr>
          <w:rStyle w:val="af6"/>
          <w:rFonts w:eastAsia="Guttman Hodes" w:hint="cs"/>
          <w:rtl/>
        </w:rPr>
        <w:t>(סי' ק"ט סק"ז, הובא בסימן י"ז אות נ"ו)</w:t>
      </w:r>
      <w:r w:rsidRPr="00DE27A5">
        <w:rPr>
          <w:rFonts w:hint="cs"/>
          <w:rtl/>
        </w:rPr>
        <w:t xml:space="preserve"> לענין</w:t>
      </w:r>
      <w:r>
        <w:rPr>
          <w:rFonts w:hint="cs"/>
          <w:rtl/>
        </w:rPr>
        <w:t xml:space="preserve"> מין במינו, וכתב </w:t>
      </w:r>
      <w:r w:rsidRPr="003251B4">
        <w:rPr>
          <w:rStyle w:val="af8"/>
          <w:rFonts w:hint="cs"/>
          <w:rtl/>
        </w:rPr>
        <w:t xml:space="preserve">החוו"ד </w:t>
      </w:r>
      <w:r>
        <w:rPr>
          <w:rFonts w:hint="cs"/>
          <w:rtl/>
        </w:rPr>
        <w:t xml:space="preserve">דה"ה במין בשאינו מינו, ורק מדרבנן צריך שישים, שמא יבא לבשלם או לאוכלם בבת אחת, </w:t>
      </w:r>
      <w:r w:rsidRPr="003251B4">
        <w:rPr>
          <w:rStyle w:val="af8"/>
          <w:rFonts w:hint="cs"/>
          <w:rtl/>
        </w:rPr>
        <w:t xml:space="preserve">והתוס' בפסחים </w:t>
      </w:r>
      <w:r>
        <w:rPr>
          <w:rFonts w:hint="cs"/>
          <w:rtl/>
        </w:rPr>
        <w:t>דס"ל דאסור מדאו', איירי באוכלן בבת אחת, דבכה"ג האיסור נותן טעם בהיתר, ואסור מדאו' דטעם כעיקר.</w:t>
      </w:r>
    </w:p>
    <w:p w:rsidR="00D45705" w:rsidRDefault="00D45705" w:rsidP="00E669F8">
      <w:pPr>
        <w:pStyle w:val="afd"/>
        <w:rPr>
          <w:rtl/>
        </w:rPr>
      </w:pPr>
      <w:bookmarkStart w:id="12355" w:name="_Toc23499452"/>
      <w:bookmarkStart w:id="12356" w:name="_Toc23663858"/>
      <w:bookmarkStart w:id="12357" w:name="_Toc23672510"/>
      <w:bookmarkStart w:id="12358" w:name="_Toc23673074"/>
      <w:bookmarkStart w:id="12359" w:name="_Toc22638883"/>
      <w:bookmarkStart w:id="12360" w:name="_Toc23224081"/>
      <w:bookmarkStart w:id="12361" w:name="_Toc23372489"/>
      <w:bookmarkEnd w:id="11936"/>
      <w:bookmarkEnd w:id="11937"/>
      <w:r>
        <w:rPr>
          <w:rFonts w:hint="cs"/>
          <w:rtl/>
        </w:rPr>
        <w:t>ביאורי הראשונים בחילוק בין לח</w:t>
      </w:r>
      <w:r w:rsidRPr="00E07705">
        <w:rPr>
          <w:rFonts w:hint="cs"/>
          <w:rtl/>
        </w:rPr>
        <w:t xml:space="preserve"> </w:t>
      </w:r>
      <w:r>
        <w:rPr>
          <w:rFonts w:hint="cs"/>
          <w:rtl/>
        </w:rPr>
        <w:t>ליבש</w:t>
      </w:r>
      <w:bookmarkEnd w:id="12355"/>
      <w:bookmarkEnd w:id="12356"/>
      <w:bookmarkEnd w:id="12357"/>
      <w:bookmarkEnd w:id="12358"/>
    </w:p>
    <w:p w:rsidR="00D45705" w:rsidRPr="00646C45" w:rsidRDefault="00D45705" w:rsidP="00D45705">
      <w:pPr>
        <w:pStyle w:val="1"/>
        <w:rPr>
          <w:rtl/>
        </w:rPr>
      </w:pPr>
      <w:bookmarkStart w:id="12362" w:name="_Toc23499453"/>
      <w:bookmarkStart w:id="12363" w:name="_Toc23663859"/>
      <w:bookmarkStart w:id="12364" w:name="_Toc23672511"/>
      <w:bookmarkStart w:id="12365" w:name="_Toc23673075"/>
      <w:r w:rsidRPr="00663B4B">
        <w:rPr>
          <w:rFonts w:hint="cs"/>
          <w:rtl/>
        </w:rPr>
        <w:t xml:space="preserve">דברי </w:t>
      </w:r>
      <w:r>
        <w:rPr>
          <w:rFonts w:hint="cs"/>
          <w:rtl/>
        </w:rPr>
        <w:t>הרמב"ן והרשב"א דבלח אינו עומד בפנ"ע וצריך שישים</w:t>
      </w:r>
      <w:bookmarkEnd w:id="12362"/>
      <w:bookmarkEnd w:id="12363"/>
      <w:bookmarkEnd w:id="12364"/>
      <w:bookmarkEnd w:id="12365"/>
    </w:p>
    <w:p w:rsidR="00D45705" w:rsidRDefault="00D45705" w:rsidP="00D45705">
      <w:pPr>
        <w:pStyle w:val="a2"/>
        <w:rPr>
          <w:rtl/>
        </w:rPr>
      </w:pPr>
      <w:bookmarkStart w:id="12366" w:name="_Toc23499454"/>
      <w:bookmarkStart w:id="12367" w:name="_Toc23663860"/>
      <w:bookmarkStart w:id="12368" w:name="_Toc23672512"/>
      <w:bookmarkStart w:id="12369" w:name="_Toc23673076"/>
      <w:r>
        <w:rPr>
          <w:rFonts w:hint="cs"/>
          <w:rtl/>
        </w:rPr>
        <w:t>דברי הרמב"ן והרשב"א בשם תוס' דדין שישים הוא רק באיסור בלול או בלוע ולא בעומד בפנ"ע</w:t>
      </w:r>
      <w:bookmarkEnd w:id="12366"/>
      <w:bookmarkEnd w:id="12367"/>
      <w:bookmarkEnd w:id="12368"/>
      <w:bookmarkEnd w:id="12369"/>
    </w:p>
    <w:p w:rsidR="00D45705" w:rsidRDefault="00D45705" w:rsidP="009F44AF">
      <w:pPr>
        <w:pStyle w:val="a"/>
        <w:rPr>
          <w:rtl/>
        </w:rPr>
      </w:pPr>
      <w:bookmarkStart w:id="12370" w:name="_Ref23665877"/>
      <w:r>
        <w:rPr>
          <w:rFonts w:hint="cs"/>
          <w:rtl/>
        </w:rPr>
        <w:t xml:space="preserve">כתבו </w:t>
      </w:r>
      <w:r w:rsidRPr="006A1E74">
        <w:rPr>
          <w:rStyle w:val="af8"/>
          <w:rFonts w:hint="cs"/>
          <w:rtl/>
        </w:rPr>
        <w:t xml:space="preserve">הרמב"ן לעיל </w:t>
      </w:r>
      <w:r w:rsidRPr="00D802E1">
        <w:rPr>
          <w:rStyle w:val="af6"/>
          <w:rFonts w:eastAsia="Guttman Hodes" w:hint="cs"/>
          <w:rtl/>
        </w:rPr>
        <w:t xml:space="preserve">(צז: ד"ה אלא שמצאתי) </w:t>
      </w:r>
      <w:r>
        <w:rPr>
          <w:rStyle w:val="af8"/>
          <w:rFonts w:hint="cs"/>
          <w:rtl/>
        </w:rPr>
        <w:t>ו</w:t>
      </w:r>
      <w:r w:rsidRPr="005B157F">
        <w:rPr>
          <w:rStyle w:val="af8"/>
          <w:rFonts w:hint="cs"/>
          <w:rtl/>
        </w:rPr>
        <w:t xml:space="preserve">הרשב"א </w:t>
      </w:r>
      <w:r w:rsidRPr="00C43C4E">
        <w:rPr>
          <w:rStyle w:val="af8"/>
          <w:rFonts w:hint="cs"/>
          <w:rtl/>
        </w:rPr>
        <w:t>לעיל</w:t>
      </w:r>
      <w:r>
        <w:rPr>
          <w:rFonts w:hint="cs"/>
          <w:rtl/>
        </w:rPr>
        <w:t xml:space="preserve"> </w:t>
      </w:r>
      <w:r w:rsidRPr="00C0054B">
        <w:rPr>
          <w:rStyle w:val="af6"/>
          <w:rFonts w:eastAsia="Guttman Hodes" w:hint="cs"/>
          <w:rtl/>
        </w:rPr>
        <w:t xml:space="preserve">(צז: ד"ה א"ל) </w:t>
      </w:r>
      <w:r>
        <w:rPr>
          <w:rStyle w:val="af8"/>
          <w:rFonts w:hint="cs"/>
          <w:rtl/>
        </w:rPr>
        <w:t>ו</w:t>
      </w:r>
      <w:r w:rsidRPr="00925136">
        <w:rPr>
          <w:rStyle w:val="af8"/>
          <w:rFonts w:hint="cs"/>
          <w:rtl/>
        </w:rPr>
        <w:t xml:space="preserve">הר"ן בחי' לעיל </w:t>
      </w:r>
      <w:r w:rsidRPr="00925136">
        <w:rPr>
          <w:rStyle w:val="af6"/>
          <w:rFonts w:eastAsia="Guttman Hodes" w:hint="cs"/>
          <w:rtl/>
        </w:rPr>
        <w:t>(צז: ד"ה והא)</w:t>
      </w:r>
      <w:r>
        <w:rPr>
          <w:rFonts w:hint="cs"/>
          <w:rtl/>
        </w:rPr>
        <w:t xml:space="preserve"> בשם</w:t>
      </w:r>
      <w:r w:rsidRPr="00C43C4E">
        <w:rPr>
          <w:rStyle w:val="af8"/>
          <w:rFonts w:hint="cs"/>
          <w:rtl/>
        </w:rPr>
        <w:t xml:space="preserve"> התוס'</w:t>
      </w:r>
      <w:r>
        <w:rPr>
          <w:rFonts w:hint="cs"/>
          <w:rtl/>
        </w:rPr>
        <w:t xml:space="preserve"> דהא דהצריכו רבנן ביטול בשישים, הוא רק באיסור בלוע, כגון </w:t>
      </w:r>
      <w:r>
        <w:rPr>
          <w:rtl/>
        </w:rPr>
        <w:t>חָלָב</w:t>
      </w:r>
      <w:r>
        <w:rPr>
          <w:rFonts w:hint="cs"/>
          <w:rtl/>
        </w:rPr>
        <w:t xml:space="preserve"> של איסור שהתערב ב</w:t>
      </w:r>
      <w:r>
        <w:rPr>
          <w:rtl/>
        </w:rPr>
        <w:t>חָלָב</w:t>
      </w:r>
      <w:r>
        <w:rPr>
          <w:rFonts w:hint="cs"/>
          <w:rtl/>
        </w:rPr>
        <w:t xml:space="preserve"> מותר, או יין במים ומים ביין, וכן בכל דבר שנבלל כמו קמח וכדומה, אבל ביבש ביבש כשכ"א מהחתיכות עומדת בפנ"ע, מהני ביטול ברוב וא"צ שישים, ואם בישל כ"א מהם בפנ"ע, או שצלה אותם, שאין בזה נתינת טעם, מהני ביטול ברוב.</w:t>
      </w:r>
      <w:bookmarkEnd w:id="12370"/>
    </w:p>
    <w:p w:rsidR="00D45705" w:rsidRDefault="00D45705" w:rsidP="00D45705">
      <w:pPr>
        <w:pStyle w:val="a2"/>
        <w:rPr>
          <w:rtl/>
        </w:rPr>
      </w:pPr>
      <w:bookmarkStart w:id="12371" w:name="_Toc23499455"/>
      <w:bookmarkStart w:id="12372" w:name="_Toc23663861"/>
      <w:bookmarkStart w:id="12373" w:name="_Toc23672513"/>
      <w:bookmarkStart w:id="12374" w:name="_Toc23673077"/>
      <w:r>
        <w:rPr>
          <w:rFonts w:hint="cs"/>
          <w:rtl/>
        </w:rPr>
        <w:t>דברי הרמב"ן והרשב"א בשם תוס' דבדבר שאינו עומד בפנ"ע לא סגי ברוב וצריך שישים</w:t>
      </w:r>
      <w:bookmarkEnd w:id="12371"/>
      <w:bookmarkEnd w:id="12372"/>
      <w:bookmarkEnd w:id="12373"/>
      <w:bookmarkEnd w:id="12374"/>
    </w:p>
    <w:p w:rsidR="00D45705" w:rsidRDefault="00D45705" w:rsidP="009F44AF">
      <w:pPr>
        <w:pStyle w:val="a"/>
        <w:rPr>
          <w:rtl/>
        </w:rPr>
      </w:pPr>
      <w:r>
        <w:rPr>
          <w:rFonts w:hint="cs"/>
          <w:rtl/>
        </w:rPr>
        <w:t xml:space="preserve">וכתבו </w:t>
      </w:r>
      <w:r w:rsidRPr="00E12F24">
        <w:rPr>
          <w:rStyle w:val="af8"/>
          <w:rFonts w:hint="cs"/>
          <w:rtl/>
        </w:rPr>
        <w:t xml:space="preserve">הרמב"ן לעיל והרשב"א לעיל </w:t>
      </w:r>
      <w:r>
        <w:rPr>
          <w:rFonts w:hint="cs"/>
          <w:rtl/>
        </w:rPr>
        <w:t xml:space="preserve">בשם </w:t>
      </w:r>
      <w:r w:rsidRPr="00E12F24">
        <w:rPr>
          <w:rStyle w:val="af8"/>
          <w:rFonts w:hint="cs"/>
          <w:rtl/>
        </w:rPr>
        <w:t>התוס'</w:t>
      </w:r>
      <w:r>
        <w:rPr>
          <w:rFonts w:hint="cs"/>
          <w:rtl/>
        </w:rPr>
        <w:t xml:space="preserve"> דבתערובת יבש ביבש אם בישל את החתיכות יחד, צריך שישים בחתיכות וברוטב כנגד החתיכה של האיסור לבטלה, כיון שהרוטב שיוצא ממנה נבלע בחתיכות של ההיתר, ונעשה איסור בלוע שצריך בו שישים, וכתב </w:t>
      </w:r>
      <w:r w:rsidRPr="00E12F24">
        <w:rPr>
          <w:rStyle w:val="af8"/>
          <w:rFonts w:hint="cs"/>
          <w:rtl/>
        </w:rPr>
        <w:t xml:space="preserve">הרשב"א לעיל </w:t>
      </w:r>
      <w:r>
        <w:rPr>
          <w:rFonts w:hint="cs"/>
          <w:rtl/>
        </w:rPr>
        <w:t>דבדבר בלול שאינו עומד בפנ"ע הצריכו רבנן שישים.</w:t>
      </w:r>
    </w:p>
    <w:p w:rsidR="00D45705" w:rsidRPr="007E59EE" w:rsidRDefault="00D45705" w:rsidP="00D45705">
      <w:pPr>
        <w:pStyle w:val="a2"/>
        <w:rPr>
          <w:rtl/>
        </w:rPr>
      </w:pPr>
      <w:bookmarkStart w:id="12375" w:name="_Toc23499456"/>
      <w:bookmarkStart w:id="12376" w:name="_Toc23663862"/>
      <w:bookmarkStart w:id="12377" w:name="_Toc23672514"/>
      <w:bookmarkStart w:id="12378" w:name="_Toc23673078"/>
      <w:bookmarkStart w:id="12379" w:name="_Toc22638898"/>
      <w:bookmarkStart w:id="12380" w:name="_Toc23224096"/>
      <w:bookmarkStart w:id="12381" w:name="_Toc23372496"/>
      <w:bookmarkStart w:id="12382" w:name="_Toc23419178"/>
      <w:r>
        <w:rPr>
          <w:rFonts w:hint="cs"/>
          <w:rtl/>
        </w:rPr>
        <w:t>דברי ספר התרומה דבלוע או בלול ל"מ ביטול ברוב כיון שהאיסור וההיתר מעורבים זה בזה</w:t>
      </w:r>
      <w:bookmarkEnd w:id="12375"/>
      <w:bookmarkEnd w:id="12376"/>
      <w:bookmarkEnd w:id="12377"/>
      <w:bookmarkEnd w:id="12378"/>
    </w:p>
    <w:p w:rsidR="00D45705" w:rsidRDefault="00D45705" w:rsidP="009F44AF">
      <w:pPr>
        <w:pStyle w:val="a"/>
        <w:rPr>
          <w:rtl/>
        </w:rPr>
      </w:pPr>
      <w:r>
        <w:rPr>
          <w:rFonts w:hint="cs"/>
          <w:rtl/>
        </w:rPr>
        <w:t xml:space="preserve">וכ"כ </w:t>
      </w:r>
      <w:r w:rsidRPr="00456546">
        <w:rPr>
          <w:rStyle w:val="af8"/>
          <w:rFonts w:hint="cs"/>
          <w:rtl/>
        </w:rPr>
        <w:t>בספר התרומה</w:t>
      </w:r>
      <w:r>
        <w:rPr>
          <w:rFonts w:hint="cs"/>
          <w:rtl/>
        </w:rPr>
        <w:t xml:space="preserve"> </w:t>
      </w:r>
      <w:r w:rsidRPr="00470A89">
        <w:rPr>
          <w:rStyle w:val="af6"/>
          <w:rFonts w:eastAsia="Guttman Hodes" w:hint="cs"/>
          <w:rtl/>
        </w:rPr>
        <w:t>(הל' איסור והיתר סי' נ' ד"ה הלכך, הועתק בקובץ שיטות קמאי חולין ח"ג עמ'</w:t>
      </w:r>
      <w:r w:rsidRPr="00470A89">
        <w:rPr>
          <w:rStyle w:val="af6"/>
          <w:rFonts w:eastAsia="Guttman Hodes"/>
          <w:rtl/>
        </w:rPr>
        <w:t xml:space="preserve"> </w:t>
      </w:r>
      <w:r w:rsidRPr="00470A89">
        <w:rPr>
          <w:rStyle w:val="af6"/>
          <w:rFonts w:eastAsia="Guttman Hodes" w:hint="cs"/>
          <w:rtl/>
        </w:rPr>
        <w:t>ב</w:t>
      </w:r>
      <w:r w:rsidRPr="00470A89">
        <w:rPr>
          <w:rStyle w:val="af6"/>
          <w:rFonts w:eastAsia="Guttman Hodes"/>
          <w:rtl/>
        </w:rPr>
        <w:t>' אלף קע</w:t>
      </w:r>
      <w:r w:rsidRPr="00470A89">
        <w:rPr>
          <w:rStyle w:val="af6"/>
          <w:rFonts w:eastAsia="Guttman Hodes" w:hint="cs"/>
          <w:rtl/>
        </w:rPr>
        <w:t>"</w:t>
      </w:r>
      <w:r w:rsidRPr="00470A89">
        <w:rPr>
          <w:rStyle w:val="af6"/>
          <w:rFonts w:eastAsia="Guttman Hodes"/>
          <w:rtl/>
        </w:rPr>
        <w:t>א</w:t>
      </w:r>
      <w:r w:rsidRPr="00470A89">
        <w:rPr>
          <w:rStyle w:val="af6"/>
          <w:rFonts w:eastAsia="Guttman Hodes" w:hint="cs"/>
          <w:rtl/>
        </w:rPr>
        <w:t>)</w:t>
      </w:r>
      <w:r>
        <w:rPr>
          <w:rFonts w:hint="cs"/>
          <w:rtl/>
        </w:rPr>
        <w:t xml:space="preserve"> דדבר שנבלע בהיתר אינו מתבטל ברוב, וכן </w:t>
      </w:r>
      <w:r>
        <w:rPr>
          <w:rtl/>
        </w:rPr>
        <w:t>חָלָב</w:t>
      </w:r>
      <w:r>
        <w:rPr>
          <w:rFonts w:hint="cs"/>
          <w:rtl/>
        </w:rPr>
        <w:t xml:space="preserve"> של איסור שהתערב עם </w:t>
      </w:r>
      <w:r>
        <w:rPr>
          <w:rtl/>
        </w:rPr>
        <w:t>חָלָב</w:t>
      </w:r>
      <w:r>
        <w:rPr>
          <w:rFonts w:hint="cs"/>
          <w:rtl/>
        </w:rPr>
        <w:t xml:space="preserve"> של היתר וכן יין ביין, דצריך שישים לבטלו, כיון שהם מעורבים זה בזה ולא סגי בביטול ברוב.</w:t>
      </w:r>
    </w:p>
    <w:p w:rsidR="00D45705" w:rsidRPr="00554E2F" w:rsidRDefault="00D45705" w:rsidP="00D45705">
      <w:pPr>
        <w:pStyle w:val="1"/>
        <w:rPr>
          <w:rtl/>
        </w:rPr>
      </w:pPr>
      <w:bookmarkStart w:id="12383" w:name="_Toc23499457"/>
      <w:bookmarkStart w:id="12384" w:name="_Toc23663863"/>
      <w:bookmarkStart w:id="12385" w:name="_Toc23672515"/>
      <w:bookmarkStart w:id="12386" w:name="_Toc23673079"/>
      <w:r>
        <w:rPr>
          <w:rFonts w:hint="cs"/>
          <w:rtl/>
        </w:rPr>
        <w:t>דברי הרשב"א דבמינו שהטעם לא מורגש אסור כמו באינו מינו</w:t>
      </w:r>
      <w:bookmarkEnd w:id="12383"/>
      <w:bookmarkEnd w:id="12384"/>
      <w:bookmarkEnd w:id="12385"/>
      <w:bookmarkEnd w:id="12386"/>
    </w:p>
    <w:p w:rsidR="00D45705" w:rsidRDefault="00D45705" w:rsidP="00D45705">
      <w:pPr>
        <w:pStyle w:val="a2"/>
        <w:rPr>
          <w:rtl/>
        </w:rPr>
      </w:pPr>
      <w:bookmarkStart w:id="12387" w:name="_Toc23672516"/>
      <w:bookmarkStart w:id="12388" w:name="_Toc23673080"/>
      <w:bookmarkStart w:id="12389" w:name="_Toc23499458"/>
      <w:bookmarkStart w:id="12390" w:name="_Toc23663864"/>
      <w:r>
        <w:rPr>
          <w:rFonts w:hint="cs"/>
          <w:rtl/>
        </w:rPr>
        <w:t>דברי הרשב"א בתוה"ב דבלח באינו מינו ל"מ רוב כיון שטעם האיסור מורגש בפחות משישים</w:t>
      </w:r>
      <w:bookmarkEnd w:id="12387"/>
      <w:bookmarkEnd w:id="12388"/>
    </w:p>
    <w:p w:rsidR="00D45705" w:rsidRDefault="00D45705" w:rsidP="009F44AF">
      <w:pPr>
        <w:pStyle w:val="a"/>
        <w:rPr>
          <w:rtl/>
        </w:rPr>
      </w:pPr>
      <w:bookmarkStart w:id="12391" w:name="_Ref23666652"/>
      <w:r>
        <w:rPr>
          <w:rFonts w:hint="cs"/>
          <w:rtl/>
        </w:rPr>
        <w:t xml:space="preserve">כתב </w:t>
      </w:r>
      <w:r w:rsidRPr="001E5B44">
        <w:rPr>
          <w:rStyle w:val="af8"/>
          <w:rFonts w:hint="cs"/>
          <w:rtl/>
        </w:rPr>
        <w:t>הרשב"א בתוה"ב</w:t>
      </w:r>
      <w:r>
        <w:rPr>
          <w:rFonts w:hint="cs"/>
          <w:rtl/>
        </w:rPr>
        <w:t xml:space="preserve"> </w:t>
      </w:r>
      <w:r w:rsidRPr="00CA6CDE">
        <w:rPr>
          <w:rStyle w:val="af6"/>
          <w:rFonts w:eastAsia="Guttman Hodes" w:hint="cs"/>
          <w:rtl/>
        </w:rPr>
        <w:t>(ב"ד ש"א יז. מדה"ס)</w:t>
      </w:r>
      <w:r>
        <w:rPr>
          <w:rFonts w:hint="cs"/>
          <w:rtl/>
        </w:rPr>
        <w:t xml:space="preserve"> </w:t>
      </w:r>
      <w:bookmarkStart w:id="12392" w:name="_Ref21375789"/>
      <w:bookmarkStart w:id="12393" w:name="_Ref22035527"/>
      <w:r>
        <w:rPr>
          <w:rFonts w:hint="cs"/>
          <w:rtl/>
        </w:rPr>
        <w:t xml:space="preserve">דהא דבלח בלח צריך שישים ולא מהני ביטול ברוב, הוא כיון דרוב מהני רק ביבש ביבש שיכול לאכול כל חתיכה בפנ"ע, ובכל חתיכה אומר שאינה החתיכה האסורה, </w:t>
      </w:r>
      <w:bookmarkEnd w:id="12392"/>
      <w:bookmarkEnd w:id="12393"/>
      <w:r>
        <w:rPr>
          <w:rFonts w:hint="cs"/>
          <w:rtl/>
        </w:rPr>
        <w:t xml:space="preserve">אבל בלח בלח לא מהני רוב דחד בתרי, כיון שא"א להפריד </w:t>
      </w:r>
      <w:r>
        <w:rPr>
          <w:rFonts w:hint="cs"/>
          <w:rtl/>
        </w:rPr>
        <w:lastRenderedPageBreak/>
        <w:t>את החתיכות, ולאכול כל חתיכה בפנ"ע, ובמין בשאינו מינו בפחות משישים, מורגש הטעם של האיסור בכל התערובת.</w:t>
      </w:r>
      <w:bookmarkEnd w:id="12391"/>
    </w:p>
    <w:p w:rsidR="00D45705" w:rsidRPr="00B01BEB" w:rsidRDefault="00D45705" w:rsidP="00D45705">
      <w:pPr>
        <w:pStyle w:val="a2"/>
        <w:rPr>
          <w:rtl/>
        </w:rPr>
      </w:pPr>
      <w:bookmarkStart w:id="12394" w:name="_Toc23672517"/>
      <w:bookmarkStart w:id="12395" w:name="_Toc23673081"/>
      <w:r>
        <w:rPr>
          <w:rFonts w:hint="cs"/>
          <w:rtl/>
        </w:rPr>
        <w:t>דברי הרשב"א בתוה"ב דבלח במינו אף שהטעם לא מורגש מ"מ צריך שישים כמו באינו מינו</w:t>
      </w:r>
      <w:bookmarkEnd w:id="12389"/>
      <w:bookmarkEnd w:id="12390"/>
      <w:bookmarkEnd w:id="12394"/>
      <w:bookmarkEnd w:id="12395"/>
    </w:p>
    <w:p w:rsidR="00D45705" w:rsidRPr="00BB14D9" w:rsidRDefault="00D45705" w:rsidP="009F44AF">
      <w:pPr>
        <w:pStyle w:val="a"/>
        <w:rPr>
          <w:rtl/>
        </w:rPr>
      </w:pPr>
      <w:bookmarkStart w:id="12396" w:name="_Ref23243540"/>
      <w:r>
        <w:rPr>
          <w:rFonts w:hint="cs"/>
          <w:rtl/>
        </w:rPr>
        <w:t xml:space="preserve">והוסיף </w:t>
      </w:r>
      <w:r w:rsidRPr="00927358">
        <w:rPr>
          <w:rStyle w:val="af8"/>
          <w:rFonts w:hint="cs"/>
          <w:rtl/>
        </w:rPr>
        <w:t>הרשב"א בתוה"ב</w:t>
      </w:r>
      <w:r>
        <w:rPr>
          <w:rFonts w:hint="cs"/>
          <w:rtl/>
        </w:rPr>
        <w:t xml:space="preserve"> דהא דבלח בלח צריך שישים אף במין במינו</w:t>
      </w:r>
      <w:r w:rsidRPr="00BB14D9">
        <w:rPr>
          <w:rFonts w:hint="cs"/>
          <w:rtl/>
        </w:rPr>
        <w:t xml:space="preserve">, אעפ"י שטעם האיסור אינו מורגש בו, </w:t>
      </w:r>
      <w:r>
        <w:rPr>
          <w:rFonts w:hint="cs"/>
          <w:rtl/>
        </w:rPr>
        <w:t>ד</w:t>
      </w:r>
      <w:r w:rsidRPr="00BB14D9">
        <w:rPr>
          <w:rFonts w:hint="cs"/>
          <w:rtl/>
        </w:rPr>
        <w:t xml:space="preserve">מ"מ החמירו רבנן ואסרוהו בפחות משישים, </w:t>
      </w:r>
      <w:r>
        <w:rPr>
          <w:rFonts w:hint="cs"/>
          <w:rtl/>
        </w:rPr>
        <w:t>כיון שבכנגדו</w:t>
      </w:r>
      <w:r w:rsidRPr="00BB14D9">
        <w:rPr>
          <w:rFonts w:hint="cs"/>
          <w:rtl/>
        </w:rPr>
        <w:t xml:space="preserve"> </w:t>
      </w:r>
      <w:r>
        <w:rPr>
          <w:rFonts w:hint="cs"/>
          <w:rtl/>
        </w:rPr>
        <w:t>ב</w:t>
      </w:r>
      <w:r w:rsidRPr="00BB14D9">
        <w:rPr>
          <w:rFonts w:hint="cs"/>
          <w:rtl/>
        </w:rPr>
        <w:t>לח בלח במין בשאינו מינו הטעם מורגש בו, ועי' במה שביאר</w:t>
      </w:r>
      <w:r>
        <w:rPr>
          <w:rFonts w:hint="cs"/>
          <w:rtl/>
        </w:rPr>
        <w:t xml:space="preserve">ו </w:t>
      </w:r>
      <w:r w:rsidRPr="00156EAF">
        <w:rPr>
          <w:rStyle w:val="af8"/>
          <w:rFonts w:hint="cs"/>
          <w:rtl/>
        </w:rPr>
        <w:t xml:space="preserve">הפרמ"ג </w:t>
      </w:r>
      <w:r w:rsidRPr="00156EAF">
        <w:rPr>
          <w:rStyle w:val="af6"/>
          <w:rFonts w:eastAsia="Guttman Hodes" w:hint="cs"/>
          <w:rtl/>
        </w:rPr>
        <w:t xml:space="preserve">(עי' אות </w:t>
      </w:r>
      <w:r w:rsidRPr="00156EAF">
        <w:rPr>
          <w:rStyle w:val="af6"/>
          <w:rFonts w:eastAsia="Guttman Hodes"/>
          <w:rtl/>
        </w:rPr>
        <w:fldChar w:fldCharType="begin"/>
      </w:r>
      <w:r w:rsidRPr="00156EAF">
        <w:rPr>
          <w:rStyle w:val="af6"/>
          <w:rFonts w:eastAsia="Guttman Hodes"/>
          <w:rtl/>
        </w:rPr>
        <w:instrText xml:space="preserve"> </w:instrText>
      </w:r>
      <w:r w:rsidRPr="00156EAF">
        <w:rPr>
          <w:rStyle w:val="af6"/>
          <w:rFonts w:eastAsia="Guttman Hodes" w:hint="cs"/>
        </w:rPr>
        <w:instrText>REF</w:instrText>
      </w:r>
      <w:r w:rsidRPr="00156EAF">
        <w:rPr>
          <w:rStyle w:val="af6"/>
          <w:rFonts w:eastAsia="Guttman Hodes" w:hint="cs"/>
          <w:rtl/>
        </w:rPr>
        <w:instrText xml:space="preserve"> _</w:instrText>
      </w:r>
      <w:r w:rsidRPr="00156EAF">
        <w:rPr>
          <w:rStyle w:val="af6"/>
          <w:rFonts w:eastAsia="Guttman Hodes" w:hint="cs"/>
        </w:rPr>
        <w:instrText>Ref23496215 \r \h</w:instrText>
      </w:r>
      <w:r w:rsidRPr="00156EAF">
        <w:rPr>
          <w:rStyle w:val="af6"/>
          <w:rFonts w:eastAsia="Guttman Hodes"/>
          <w:rtl/>
        </w:rPr>
        <w:instrText xml:space="preserve"> </w:instrText>
      </w:r>
      <w:r w:rsidRPr="00156EAF">
        <w:rPr>
          <w:rStyle w:val="af6"/>
          <w:rFonts w:eastAsia="Guttman Hodes"/>
          <w:rtl/>
        </w:rPr>
      </w:r>
      <w:r w:rsidRPr="00156EAF">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156EAF">
        <w:rPr>
          <w:rStyle w:val="af6"/>
          <w:rFonts w:eastAsia="Guttman Hodes"/>
          <w:rtl/>
        </w:rPr>
        <w:fldChar w:fldCharType="end"/>
      </w:r>
      <w:r>
        <w:rPr>
          <w:rFonts w:hint="cs"/>
          <w:rtl/>
        </w:rPr>
        <w:t xml:space="preserve"> </w:t>
      </w:r>
      <w:r w:rsidRPr="00156EAF">
        <w:rPr>
          <w:rStyle w:val="af8"/>
          <w:rFonts w:hint="cs"/>
          <w:rtl/>
        </w:rPr>
        <w:t>ו</w:t>
      </w:r>
      <w:r w:rsidRPr="00BB14D9">
        <w:rPr>
          <w:rStyle w:val="af8"/>
          <w:rFonts w:hint="cs"/>
          <w:rtl/>
        </w:rPr>
        <w:t>האבנ"מ</w:t>
      </w:r>
      <w:r w:rsidRPr="00BB14D9">
        <w:rPr>
          <w:rFonts w:hint="cs"/>
          <w:rtl/>
        </w:rPr>
        <w:t xml:space="preserve"> </w:t>
      </w:r>
      <w:r w:rsidRPr="00BB14D9">
        <w:rPr>
          <w:rStyle w:val="af6"/>
          <w:rFonts w:eastAsia="Guttman Hodes" w:hint="cs"/>
          <w:rtl/>
        </w:rPr>
        <w:t xml:space="preserve">(עי' אות </w:t>
      </w:r>
      <w:r w:rsidRPr="00BB14D9">
        <w:rPr>
          <w:rStyle w:val="af6"/>
          <w:rFonts w:eastAsia="Guttman Hodes"/>
          <w:rtl/>
        </w:rPr>
        <w:fldChar w:fldCharType="begin"/>
      </w:r>
      <w:r w:rsidRPr="00BB14D9">
        <w:rPr>
          <w:rStyle w:val="af6"/>
          <w:rFonts w:eastAsia="Guttman Hodes"/>
          <w:rtl/>
        </w:rPr>
        <w:instrText xml:space="preserve"> </w:instrText>
      </w:r>
      <w:r w:rsidRPr="00BB14D9">
        <w:rPr>
          <w:rStyle w:val="af6"/>
          <w:rFonts w:eastAsia="Guttman Hodes" w:hint="cs"/>
        </w:rPr>
        <w:instrText>REF</w:instrText>
      </w:r>
      <w:r w:rsidRPr="00BB14D9">
        <w:rPr>
          <w:rStyle w:val="af6"/>
          <w:rFonts w:eastAsia="Guttman Hodes" w:hint="cs"/>
          <w:rtl/>
        </w:rPr>
        <w:instrText xml:space="preserve"> _</w:instrText>
      </w:r>
      <w:r w:rsidRPr="00BB14D9">
        <w:rPr>
          <w:rStyle w:val="af6"/>
          <w:rFonts w:eastAsia="Guttman Hodes" w:hint="cs"/>
        </w:rPr>
        <w:instrText>Ref23418985 \r \h</w:instrText>
      </w:r>
      <w:r w:rsidRPr="00BB14D9">
        <w:rPr>
          <w:rStyle w:val="af6"/>
          <w:rFonts w:eastAsia="Guttman Hodes"/>
          <w:rtl/>
        </w:rPr>
        <w:instrText xml:space="preserve">  \* </w:instrText>
      </w:r>
      <w:r w:rsidRPr="00BB14D9">
        <w:rPr>
          <w:rStyle w:val="af6"/>
          <w:rFonts w:eastAsia="Guttman Hodes"/>
        </w:rPr>
        <w:instrText>MERGEFORMAT</w:instrText>
      </w:r>
      <w:r w:rsidRPr="00BB14D9">
        <w:rPr>
          <w:rStyle w:val="af6"/>
          <w:rFonts w:eastAsia="Guttman Hodes"/>
          <w:rtl/>
        </w:rPr>
        <w:instrText xml:space="preserve"> </w:instrText>
      </w:r>
      <w:r w:rsidRPr="00BB14D9">
        <w:rPr>
          <w:rStyle w:val="af6"/>
          <w:rFonts w:eastAsia="Guttman Hodes"/>
          <w:rtl/>
        </w:rPr>
      </w:r>
      <w:r w:rsidRPr="00BB14D9">
        <w:rPr>
          <w:rStyle w:val="af6"/>
          <w:rFonts w:eastAsia="Guttman Hodes"/>
          <w:rtl/>
        </w:rPr>
        <w:fldChar w:fldCharType="separate"/>
      </w:r>
      <w:r w:rsidR="004D1C5B">
        <w:rPr>
          <w:rStyle w:val="af6"/>
          <w:rFonts w:eastAsia="Guttman Hodes"/>
          <w:cs/>
        </w:rPr>
        <w:t>‎</w:t>
      </w:r>
      <w:r w:rsidR="004D1C5B">
        <w:rPr>
          <w:rStyle w:val="af6"/>
          <w:rFonts w:eastAsia="Guttman Hodes"/>
          <w:rtl/>
        </w:rPr>
        <w:t>צג)</w:t>
      </w:r>
      <w:r w:rsidRPr="00BB14D9">
        <w:rPr>
          <w:rStyle w:val="af6"/>
          <w:rFonts w:eastAsia="Guttman Hodes"/>
          <w:rtl/>
        </w:rPr>
        <w:fldChar w:fldCharType="end"/>
      </w:r>
      <w:r w:rsidRPr="00BB14D9">
        <w:rPr>
          <w:rFonts w:hint="cs"/>
          <w:rtl/>
        </w:rPr>
        <w:t xml:space="preserve"> בדברי </w:t>
      </w:r>
      <w:r w:rsidRPr="00156EAF">
        <w:rPr>
          <w:rStyle w:val="af8"/>
          <w:rFonts w:hint="cs"/>
          <w:rtl/>
        </w:rPr>
        <w:t>הרשב"א.</w:t>
      </w:r>
      <w:bookmarkEnd w:id="12396"/>
    </w:p>
    <w:p w:rsidR="00D45705" w:rsidRDefault="00D45705" w:rsidP="00D45705">
      <w:pPr>
        <w:pStyle w:val="1"/>
        <w:rPr>
          <w:rtl/>
        </w:rPr>
      </w:pPr>
      <w:bookmarkStart w:id="12397" w:name="_Toc23499459"/>
      <w:bookmarkStart w:id="12398" w:name="_Toc23663865"/>
      <w:bookmarkStart w:id="12399" w:name="_Toc23672518"/>
      <w:bookmarkStart w:id="12400" w:name="_Toc23673082"/>
      <w:bookmarkEnd w:id="12379"/>
      <w:bookmarkEnd w:id="12380"/>
      <w:bookmarkEnd w:id="12381"/>
      <w:bookmarkEnd w:id="12382"/>
      <w:r>
        <w:rPr>
          <w:rFonts w:hint="cs"/>
          <w:rtl/>
        </w:rPr>
        <w:t>דברי הר"ן דבלח הטעם מתפשט בכולו ואף במינו טועם איסור</w:t>
      </w:r>
      <w:bookmarkEnd w:id="12397"/>
      <w:bookmarkEnd w:id="12398"/>
      <w:bookmarkEnd w:id="12399"/>
      <w:bookmarkEnd w:id="12400"/>
    </w:p>
    <w:p w:rsidR="00D45705" w:rsidRPr="002252F2" w:rsidRDefault="00D45705" w:rsidP="00D45705">
      <w:pPr>
        <w:pStyle w:val="a2"/>
        <w:rPr>
          <w:rtl/>
        </w:rPr>
      </w:pPr>
      <w:bookmarkStart w:id="12401" w:name="_Toc23499460"/>
      <w:bookmarkStart w:id="12402" w:name="_Toc23663866"/>
      <w:bookmarkStart w:id="12403" w:name="_Toc23672519"/>
      <w:bookmarkStart w:id="12404" w:name="_Toc23673083"/>
      <w:r>
        <w:rPr>
          <w:rFonts w:hint="cs"/>
          <w:rtl/>
        </w:rPr>
        <w:t>דברי הר"ן דאיסור בלוע או בלול שטעם האיסור מתפשט בכולו צריך שישים לבטל את הטעם</w:t>
      </w:r>
      <w:bookmarkEnd w:id="12401"/>
      <w:bookmarkEnd w:id="12402"/>
      <w:bookmarkEnd w:id="12403"/>
      <w:bookmarkEnd w:id="12404"/>
    </w:p>
    <w:p w:rsidR="00D45705" w:rsidRDefault="00D45705" w:rsidP="009F44AF">
      <w:pPr>
        <w:pStyle w:val="a"/>
        <w:rPr>
          <w:rtl/>
        </w:rPr>
      </w:pPr>
      <w:bookmarkStart w:id="12405" w:name="_Ref23665979"/>
      <w:r>
        <w:rPr>
          <w:rFonts w:hint="cs"/>
          <w:rtl/>
        </w:rPr>
        <w:t xml:space="preserve">כתב </w:t>
      </w:r>
      <w:r w:rsidRPr="00F35B5D">
        <w:rPr>
          <w:rStyle w:val="af8"/>
          <w:rFonts w:hint="cs"/>
          <w:rtl/>
        </w:rPr>
        <w:t>הר"ן</w:t>
      </w:r>
      <w:r w:rsidRPr="00EA4E9C">
        <w:rPr>
          <w:rStyle w:val="af8"/>
          <w:rFonts w:hint="cs"/>
          <w:rtl/>
        </w:rPr>
        <w:t xml:space="preserve"> על הרי"ף</w:t>
      </w:r>
      <w:r>
        <w:rPr>
          <w:rFonts w:hint="cs"/>
          <w:rtl/>
        </w:rPr>
        <w:t xml:space="preserve"> </w:t>
      </w:r>
      <w:r w:rsidRPr="00227059">
        <w:rPr>
          <w:rStyle w:val="af6"/>
          <w:rFonts w:eastAsia="Guttman Hodes" w:hint="cs"/>
          <w:rtl/>
        </w:rPr>
        <w:t>(</w:t>
      </w:r>
      <w:r w:rsidRPr="008C6FA9">
        <w:rPr>
          <w:rStyle w:val="af6"/>
          <w:rFonts w:eastAsia="Guttman Hodes"/>
          <w:rtl/>
        </w:rPr>
        <w:t>ל</w:t>
      </w:r>
      <w:r>
        <w:rPr>
          <w:rStyle w:val="af6"/>
          <w:rFonts w:eastAsia="Guttman Hodes"/>
          <w:rtl/>
        </w:rPr>
        <w:t>ו. מדפי הרי"ף ד"ה גרסי'</w:t>
      </w:r>
      <w:r w:rsidRPr="00227059">
        <w:rPr>
          <w:rStyle w:val="af6"/>
          <w:rFonts w:eastAsia="Guttman Hodes" w:hint="cs"/>
          <w:rtl/>
        </w:rPr>
        <w:t>)</w:t>
      </w:r>
      <w:r w:rsidRPr="00066304">
        <w:rPr>
          <w:rFonts w:hint="cs"/>
          <w:rtl/>
        </w:rPr>
        <w:t xml:space="preserve"> </w:t>
      </w:r>
      <w:r>
        <w:rPr>
          <w:rFonts w:hint="cs"/>
          <w:rtl/>
        </w:rPr>
        <w:t>דהא דהצריכו רבנן שישים במין במינו, היינו דוקא בדברים שנבללים או נבלעים, דכיון שהטעם של האיסור מתפשט בכל התערובת, צריך שישים לבטל את הטעם, אבל ביבש ביבש, שהאיסור עומד בפני עצמו, ומדאו' חד בתרי בטיל, אף מדרבנן מהני רוב, ולא שייך בזה שיעור שישים, דהרי אין ביבש ביבש ביטול טעם כלל.</w:t>
      </w:r>
      <w:bookmarkEnd w:id="12405"/>
      <w:r>
        <w:rPr>
          <w:rFonts w:hint="cs"/>
          <w:rtl/>
        </w:rPr>
        <w:t xml:space="preserve"> </w:t>
      </w:r>
    </w:p>
    <w:p w:rsidR="00D45705" w:rsidRDefault="00D45705" w:rsidP="00D45705">
      <w:pPr>
        <w:pStyle w:val="a2"/>
        <w:rPr>
          <w:rtl/>
        </w:rPr>
      </w:pPr>
      <w:bookmarkStart w:id="12406" w:name="_Toc23499461"/>
      <w:bookmarkStart w:id="12407" w:name="_Toc23663867"/>
      <w:bookmarkStart w:id="12408" w:name="_Toc23672520"/>
      <w:bookmarkStart w:id="12409" w:name="_Toc23673084"/>
      <w:r>
        <w:rPr>
          <w:rFonts w:hint="cs"/>
          <w:rtl/>
        </w:rPr>
        <w:t>דברי הר"ן דביבש ביבש דבטל בחד בתרי אסור לבשל יחד דהאיסור נותן טעם והוי כלח בלח</w:t>
      </w:r>
      <w:bookmarkEnd w:id="12406"/>
      <w:bookmarkEnd w:id="12407"/>
      <w:bookmarkEnd w:id="12408"/>
      <w:bookmarkEnd w:id="12409"/>
    </w:p>
    <w:p w:rsidR="00D45705" w:rsidRDefault="00D45705" w:rsidP="009F44AF">
      <w:pPr>
        <w:pStyle w:val="a"/>
        <w:rPr>
          <w:rtl/>
        </w:rPr>
      </w:pPr>
      <w:r>
        <w:rPr>
          <w:rFonts w:hint="cs"/>
          <w:rtl/>
        </w:rPr>
        <w:t xml:space="preserve">והוסיף </w:t>
      </w:r>
      <w:r w:rsidRPr="00741538">
        <w:rPr>
          <w:rStyle w:val="af8"/>
          <w:rFonts w:hint="cs"/>
          <w:rtl/>
        </w:rPr>
        <w:t>הר"ן על הרי"ף</w:t>
      </w:r>
      <w:r>
        <w:rPr>
          <w:rFonts w:hint="cs"/>
          <w:rtl/>
        </w:rPr>
        <w:t xml:space="preserve"> דאף במין במינו דמהני ביבש ביבש ביטול דחד בתרי, היינו דוקא כשאוכלם כ"א ואחד בפנ"ע, אבל אסור לבשל את כולם יחד, כשיש פחות משישים בהיתר כנגד האיסור, דכיון דבלח בלח הצריכו רבנן שישים אף במין במינו, א"כ כשמבשלם יחד האיסור נותן טעם בהיתר ואסור בפחות משישים.</w:t>
      </w:r>
    </w:p>
    <w:p w:rsidR="00D45705" w:rsidRPr="00D82109" w:rsidRDefault="00D45705" w:rsidP="00D45705">
      <w:pPr>
        <w:pStyle w:val="a2"/>
        <w:rPr>
          <w:rtl/>
        </w:rPr>
      </w:pPr>
      <w:bookmarkStart w:id="12410" w:name="_Toc23499462"/>
      <w:bookmarkStart w:id="12411" w:name="_Toc23663868"/>
      <w:bookmarkStart w:id="12412" w:name="_Toc23672521"/>
      <w:bookmarkStart w:id="12413" w:name="_Toc23673085"/>
      <w:r>
        <w:rPr>
          <w:rFonts w:hint="cs"/>
          <w:rtl/>
        </w:rPr>
        <w:t>דברי הר"ן בחי' דבמין במינו בלח אף שהטעם</w:t>
      </w:r>
      <w:r w:rsidR="00137690">
        <w:rPr>
          <w:rFonts w:hint="cs"/>
          <w:rtl/>
        </w:rPr>
        <w:t xml:space="preserve"> אינו</w:t>
      </w:r>
      <w:r>
        <w:rPr>
          <w:rFonts w:hint="cs"/>
          <w:rtl/>
        </w:rPr>
        <w:t xml:space="preserve"> ניכר צריך שישים כיון שטועם את טעם האיסור</w:t>
      </w:r>
      <w:bookmarkEnd w:id="12410"/>
      <w:bookmarkEnd w:id="12411"/>
      <w:bookmarkEnd w:id="12412"/>
      <w:bookmarkEnd w:id="12413"/>
    </w:p>
    <w:p w:rsidR="00D45705" w:rsidRDefault="00D45705" w:rsidP="009F44AF">
      <w:pPr>
        <w:pStyle w:val="a"/>
        <w:rPr>
          <w:rtl/>
        </w:rPr>
      </w:pPr>
      <w:r>
        <w:rPr>
          <w:rStyle w:val="af8"/>
          <w:rFonts w:hint="cs"/>
          <w:rtl/>
        </w:rPr>
        <w:t>ו</w:t>
      </w:r>
      <w:r>
        <w:rPr>
          <w:rStyle w:val="af8"/>
          <w:rtl/>
        </w:rPr>
        <w:t xml:space="preserve">הר"ן </w:t>
      </w:r>
      <w:r w:rsidRPr="00925136">
        <w:rPr>
          <w:rStyle w:val="af8"/>
          <w:rFonts w:hint="cs"/>
          <w:rtl/>
        </w:rPr>
        <w:t xml:space="preserve">בחי' לעיל </w:t>
      </w:r>
      <w:r w:rsidRPr="00925136">
        <w:rPr>
          <w:rStyle w:val="af6"/>
          <w:rFonts w:eastAsia="Guttman Hodes" w:hint="cs"/>
          <w:rtl/>
        </w:rPr>
        <w:t>(צז: ד"ה והא)</w:t>
      </w:r>
      <w:r>
        <w:rPr>
          <w:rFonts w:hint="cs"/>
          <w:rtl/>
        </w:rPr>
        <w:t xml:space="preserve"> כתב בשם </w:t>
      </w:r>
      <w:r w:rsidRPr="005B157F">
        <w:rPr>
          <w:rStyle w:val="af8"/>
          <w:rFonts w:hint="cs"/>
          <w:rtl/>
        </w:rPr>
        <w:t>התוס'</w:t>
      </w:r>
      <w:r>
        <w:rPr>
          <w:rFonts w:hint="cs"/>
          <w:rtl/>
        </w:rPr>
        <w:t xml:space="preserve"> דאף דבלח בלח </w:t>
      </w:r>
      <w:r w:rsidR="00137690">
        <w:rPr>
          <w:rFonts w:hint="cs"/>
          <w:rtl/>
        </w:rPr>
        <w:t>ש</w:t>
      </w:r>
      <w:r>
        <w:rPr>
          <w:rFonts w:hint="cs"/>
          <w:rtl/>
        </w:rPr>
        <w:t>הטעם אינו ניכר</w:t>
      </w:r>
      <w:r w:rsidRPr="00DB1A22">
        <w:rPr>
          <w:rFonts w:hint="cs"/>
          <w:rtl/>
        </w:rPr>
        <w:t xml:space="preserve"> </w:t>
      </w:r>
      <w:r>
        <w:rPr>
          <w:rFonts w:hint="cs"/>
          <w:rtl/>
        </w:rPr>
        <w:t>במין במינו, מ"מ צריך שישים מדרבנן, כיון שהוא טועם את טעם האיסור, ורק ביבש ביבש שאינו טועם את טעם האיסור מהני ביטול ברוב.</w:t>
      </w:r>
    </w:p>
    <w:p w:rsidR="00D45705" w:rsidRDefault="00D45705" w:rsidP="00D45705">
      <w:pPr>
        <w:pStyle w:val="1"/>
        <w:rPr>
          <w:rtl/>
        </w:rPr>
      </w:pPr>
      <w:bookmarkStart w:id="12414" w:name="_Toc23499463"/>
      <w:bookmarkStart w:id="12415" w:name="_Toc23663869"/>
      <w:bookmarkStart w:id="12416" w:name="_Toc23672522"/>
      <w:bookmarkStart w:id="12417" w:name="_Toc23673086"/>
      <w:r>
        <w:rPr>
          <w:rFonts w:hint="cs"/>
          <w:rtl/>
        </w:rPr>
        <w:t>דברי הרא"ה דהחמירו בלח במינו כיון דבאינו מינו נותן טעם</w:t>
      </w:r>
      <w:bookmarkEnd w:id="12414"/>
      <w:bookmarkEnd w:id="12415"/>
      <w:bookmarkEnd w:id="12416"/>
      <w:bookmarkEnd w:id="12417"/>
    </w:p>
    <w:p w:rsidR="00D45705" w:rsidRPr="007E59EE" w:rsidRDefault="00D45705" w:rsidP="00D45705">
      <w:pPr>
        <w:pStyle w:val="a2"/>
        <w:rPr>
          <w:rtl/>
        </w:rPr>
      </w:pPr>
      <w:bookmarkStart w:id="12418" w:name="_Toc23499464"/>
      <w:bookmarkStart w:id="12419" w:name="_Toc23663870"/>
      <w:bookmarkStart w:id="12420" w:name="_Toc23672523"/>
      <w:bookmarkStart w:id="12421" w:name="_Toc23673087"/>
      <w:r>
        <w:rPr>
          <w:rFonts w:hint="cs"/>
          <w:rtl/>
        </w:rPr>
        <w:t>דברי הרא"ה דבלח כיון שבאינו מינו טע"כ דאו' החמירו רבנן במינו אף שאינו נותן טעם</w:t>
      </w:r>
      <w:bookmarkEnd w:id="12418"/>
      <w:bookmarkEnd w:id="12419"/>
      <w:bookmarkEnd w:id="12420"/>
      <w:bookmarkEnd w:id="12421"/>
    </w:p>
    <w:p w:rsidR="00D45705" w:rsidRDefault="00D45705" w:rsidP="009F44AF">
      <w:pPr>
        <w:pStyle w:val="a"/>
      </w:pPr>
      <w:bookmarkStart w:id="12422" w:name="_Ref23666009"/>
      <w:r>
        <w:rPr>
          <w:rFonts w:hint="cs"/>
          <w:rtl/>
        </w:rPr>
        <w:t xml:space="preserve">כתב </w:t>
      </w:r>
      <w:r w:rsidRPr="00661FD0">
        <w:rPr>
          <w:rStyle w:val="af8"/>
          <w:rFonts w:hint="cs"/>
          <w:rtl/>
        </w:rPr>
        <w:t xml:space="preserve">הרא"ה </w:t>
      </w:r>
      <w:r w:rsidRPr="006B7C97">
        <w:rPr>
          <w:rStyle w:val="af8"/>
          <w:rFonts w:hint="cs"/>
          <w:rtl/>
        </w:rPr>
        <w:t>בבד"ה</w:t>
      </w:r>
      <w:r>
        <w:rPr>
          <w:rFonts w:hint="cs"/>
          <w:rtl/>
        </w:rPr>
        <w:t xml:space="preserve"> </w:t>
      </w:r>
      <w:r w:rsidRPr="00646C45">
        <w:rPr>
          <w:rStyle w:val="af6"/>
          <w:rFonts w:eastAsia="Guttman Hodes" w:hint="cs"/>
          <w:rtl/>
        </w:rPr>
        <w:t>(ב"ד ש"א יז. מדה"ס ד"ה עוד כתב דטעמא)</w:t>
      </w:r>
      <w:r>
        <w:rPr>
          <w:rFonts w:hint="cs"/>
          <w:rtl/>
        </w:rPr>
        <w:t xml:space="preserve"> דבמין במינו כיון שאין בו נתינת טעם, אף בלח בלח מהני בו ביטול ברוב מדאו', אלא דכיון דבמין בשאינו מינו, שיש נתינת טעם צריך שישים מדאו' בלח בלח,</w:t>
      </w:r>
      <w:r w:rsidRPr="001E5B44">
        <w:rPr>
          <w:rStyle w:val="afa"/>
          <w:rFonts w:hint="cs"/>
          <w:rtl/>
        </w:rPr>
        <w:t xml:space="preserve"> </w:t>
      </w:r>
      <w:r w:rsidR="00644929" w:rsidRPr="00186675">
        <w:rPr>
          <w:rStyle w:val="afa"/>
          <w:rFonts w:hint="cs"/>
          <w:rtl/>
        </w:rPr>
        <w:t>[</w:t>
      </w:r>
      <w:r w:rsidR="00644929">
        <w:rPr>
          <w:rStyle w:val="afa"/>
          <w:rFonts w:hint="cs"/>
          <w:rtl/>
        </w:rPr>
        <w:t>וכדביאר ה</w:t>
      </w:r>
      <w:r w:rsidR="00644929" w:rsidRPr="00644929">
        <w:rPr>
          <w:rStyle w:val="affa"/>
          <w:rFonts w:hint="cs"/>
          <w:rtl/>
        </w:rPr>
        <w:t xml:space="preserve">מנחת כהן </w:t>
      </w:r>
      <w:r w:rsidR="00644929" w:rsidRPr="00644929">
        <w:rPr>
          <w:rStyle w:val="aff6"/>
          <w:rFonts w:hint="cs"/>
          <w:rtl/>
        </w:rPr>
        <w:t>(עי' הערה</w:t>
      </w:r>
      <w:r w:rsidR="00644929" w:rsidRPr="00644929">
        <w:rPr>
          <w:vertAlign w:val="superscript"/>
          <w:rtl/>
        </w:rPr>
        <w:fldChar w:fldCharType="begin"/>
      </w:r>
      <w:r w:rsidR="00644929" w:rsidRPr="00644929">
        <w:rPr>
          <w:vertAlign w:val="superscript"/>
          <w:rtl/>
        </w:rPr>
        <w:instrText xml:space="preserve"> </w:instrText>
      </w:r>
      <w:r w:rsidR="00644929" w:rsidRPr="00644929">
        <w:rPr>
          <w:rFonts w:hint="cs"/>
          <w:vertAlign w:val="superscript"/>
        </w:rPr>
        <w:instrText>NOTEREF</w:instrText>
      </w:r>
      <w:r w:rsidR="00644929" w:rsidRPr="00644929">
        <w:rPr>
          <w:rFonts w:hint="cs"/>
          <w:vertAlign w:val="superscript"/>
          <w:rtl/>
        </w:rPr>
        <w:instrText xml:space="preserve"> _</w:instrText>
      </w:r>
      <w:r w:rsidR="00644929" w:rsidRPr="00644929">
        <w:rPr>
          <w:rFonts w:hint="cs"/>
          <w:vertAlign w:val="superscript"/>
        </w:rPr>
        <w:instrText>Ref23763205 \h</w:instrText>
      </w:r>
      <w:r w:rsidR="00644929" w:rsidRPr="00644929">
        <w:rPr>
          <w:vertAlign w:val="superscript"/>
          <w:rtl/>
        </w:rPr>
        <w:instrText xml:space="preserve"> </w:instrText>
      </w:r>
      <w:r w:rsidR="00644929">
        <w:rPr>
          <w:vertAlign w:val="superscript"/>
          <w:rtl/>
        </w:rPr>
        <w:instrText xml:space="preserve"> \* </w:instrText>
      </w:r>
      <w:r w:rsidR="00644929">
        <w:rPr>
          <w:vertAlign w:val="superscript"/>
        </w:rPr>
        <w:instrText>MERGEFORMAT</w:instrText>
      </w:r>
      <w:r w:rsidR="00644929">
        <w:rPr>
          <w:vertAlign w:val="superscript"/>
          <w:rtl/>
        </w:rPr>
        <w:instrText xml:space="preserve"> </w:instrText>
      </w:r>
      <w:r w:rsidR="00644929" w:rsidRPr="00644929">
        <w:rPr>
          <w:vertAlign w:val="superscript"/>
          <w:rtl/>
        </w:rPr>
      </w:r>
      <w:r w:rsidR="00644929" w:rsidRPr="00644929">
        <w:rPr>
          <w:vertAlign w:val="superscript"/>
          <w:rtl/>
        </w:rPr>
        <w:fldChar w:fldCharType="separate"/>
      </w:r>
      <w:r w:rsidR="004D1C5B">
        <w:rPr>
          <w:vertAlign w:val="superscript"/>
          <w:rtl/>
        </w:rPr>
        <w:t>57</w:t>
      </w:r>
      <w:r w:rsidR="00644929" w:rsidRPr="00644929">
        <w:rPr>
          <w:vertAlign w:val="superscript"/>
          <w:rtl/>
        </w:rPr>
        <w:fldChar w:fldCharType="end"/>
      </w:r>
      <w:r w:rsidR="00644929" w:rsidRPr="00644929">
        <w:rPr>
          <w:rStyle w:val="aff6"/>
          <w:rFonts w:hint="cs"/>
          <w:rtl/>
        </w:rPr>
        <w:t>)</w:t>
      </w:r>
      <w:r w:rsidR="00644929" w:rsidRPr="00186675">
        <w:rPr>
          <w:rStyle w:val="afa"/>
          <w:rFonts w:hint="cs"/>
          <w:rtl/>
        </w:rPr>
        <w:t>]</w:t>
      </w:r>
      <w:r w:rsidR="00644929">
        <w:rPr>
          <w:rStyle w:val="afa"/>
          <w:rFonts w:hint="cs"/>
          <w:rtl/>
        </w:rPr>
        <w:t>,</w:t>
      </w:r>
      <w:r>
        <w:rPr>
          <w:rFonts w:hint="cs"/>
          <w:rtl/>
        </w:rPr>
        <w:t>לכן</w:t>
      </w:r>
      <w:r w:rsidRPr="00E7742C">
        <w:rPr>
          <w:rFonts w:hint="cs"/>
          <w:rtl/>
        </w:rPr>
        <w:t xml:space="preserve"> </w:t>
      </w:r>
      <w:r>
        <w:rPr>
          <w:rFonts w:hint="cs"/>
          <w:rtl/>
        </w:rPr>
        <w:t>החמירו רבנן בלח בלח, אף במין במינו שצריך שישים, אבל ביבש ביבש העמידו רבנן על הדין דאו'.</w:t>
      </w:r>
      <w:bookmarkEnd w:id="12422"/>
      <w:r w:rsidRPr="00B51ADF">
        <w:rPr>
          <w:rFonts w:hint="cs"/>
          <w:rtl/>
        </w:rPr>
        <w:t xml:space="preserve"> </w:t>
      </w:r>
    </w:p>
    <w:p w:rsidR="00D45705" w:rsidRDefault="00D45705" w:rsidP="00D45705">
      <w:pPr>
        <w:pStyle w:val="1"/>
        <w:rPr>
          <w:rtl/>
        </w:rPr>
      </w:pPr>
      <w:bookmarkStart w:id="12423" w:name="_Toc23499465"/>
      <w:bookmarkStart w:id="12424" w:name="_Toc23663871"/>
      <w:bookmarkStart w:id="12425" w:name="_Toc23672524"/>
      <w:bookmarkStart w:id="12426" w:name="_Toc23673088"/>
      <w:r>
        <w:rPr>
          <w:rFonts w:hint="cs"/>
          <w:rtl/>
        </w:rPr>
        <w:t>דברי הרא"ש דגזרו מינו שלא הותר ואין בו טעם אטו שאינו מינו</w:t>
      </w:r>
      <w:bookmarkEnd w:id="12423"/>
      <w:bookmarkEnd w:id="12424"/>
      <w:bookmarkEnd w:id="12425"/>
      <w:bookmarkEnd w:id="12426"/>
    </w:p>
    <w:p w:rsidR="00D45705" w:rsidRPr="004512EA" w:rsidRDefault="00D45705" w:rsidP="00D45705">
      <w:pPr>
        <w:pStyle w:val="a2"/>
      </w:pPr>
      <w:bookmarkStart w:id="12427" w:name="_Toc23499466"/>
      <w:bookmarkStart w:id="12428" w:name="_Toc23663872"/>
      <w:bookmarkStart w:id="12429" w:name="_Toc23672525"/>
      <w:bookmarkStart w:id="12430" w:name="_Toc23673089"/>
      <w:r>
        <w:rPr>
          <w:rFonts w:hint="cs"/>
          <w:rtl/>
        </w:rPr>
        <w:t>דברי הרא"ש דגזרו רבנן בלח במינו כשלא נקרא עליו שם היתר שאינו נותן טעם אטו שאינו מינו</w:t>
      </w:r>
      <w:bookmarkEnd w:id="12427"/>
      <w:bookmarkEnd w:id="12428"/>
      <w:bookmarkEnd w:id="12429"/>
      <w:bookmarkEnd w:id="12430"/>
    </w:p>
    <w:p w:rsidR="00D45705" w:rsidRDefault="00D45705" w:rsidP="009F44AF">
      <w:pPr>
        <w:pStyle w:val="a"/>
        <w:rPr>
          <w:rtl/>
        </w:rPr>
      </w:pPr>
      <w:bookmarkStart w:id="12431" w:name="_Ref23666016"/>
      <w:r>
        <w:rPr>
          <w:rFonts w:hint="cs"/>
          <w:rtl/>
        </w:rPr>
        <w:t xml:space="preserve">כתב </w:t>
      </w:r>
      <w:r w:rsidRPr="001929A2">
        <w:rPr>
          <w:rStyle w:val="af8"/>
          <w:rFonts w:hint="cs"/>
          <w:rtl/>
        </w:rPr>
        <w:t>הרא</w:t>
      </w:r>
      <w:r w:rsidRPr="005C08EA">
        <w:rPr>
          <w:rStyle w:val="af8"/>
          <w:rFonts w:hint="cs"/>
          <w:rtl/>
        </w:rPr>
        <w:t>"ש</w:t>
      </w:r>
      <w:r w:rsidRPr="00665978">
        <w:rPr>
          <w:rStyle w:val="af6"/>
          <w:rFonts w:eastAsia="Guttman Hodes" w:hint="cs"/>
          <w:rtl/>
        </w:rPr>
        <w:t xml:space="preserve"> (סי' ל"ז) </w:t>
      </w:r>
      <w:r>
        <w:rPr>
          <w:rFonts w:hint="cs"/>
          <w:rtl/>
        </w:rPr>
        <w:t>דהחמירו רבנן במין במינו בלח, כשהתבשלו יחד לפני שנודע שנפל איסור לתערובת, ולא נקרא עליו שם היתר ע"י שהתבטל ברוב, דגזרו רבנן שצריך שישים להתירו, אעפ"י שמין במינו אינו נותן טעם, מ"מ אסור גזירה אטו מין בשאינו מינו.</w:t>
      </w:r>
      <w:bookmarkEnd w:id="12431"/>
    </w:p>
    <w:p w:rsidR="00D45705" w:rsidRDefault="00D45705" w:rsidP="00E669F8">
      <w:pPr>
        <w:pStyle w:val="afd"/>
        <w:rPr>
          <w:rtl/>
        </w:rPr>
      </w:pPr>
      <w:bookmarkStart w:id="12432" w:name="_Toc23499467"/>
      <w:bookmarkStart w:id="12433" w:name="_Toc23663873"/>
      <w:bookmarkStart w:id="12434" w:name="_Toc23672526"/>
      <w:bookmarkStart w:id="12435" w:name="_Toc23673090"/>
      <w:bookmarkStart w:id="12436" w:name="_Toc22250704"/>
      <w:bookmarkStart w:id="12437" w:name="_Toc22638919"/>
      <w:bookmarkStart w:id="12438" w:name="_Toc23223998"/>
      <w:bookmarkStart w:id="12439" w:name="_Toc23372635"/>
      <w:bookmarkStart w:id="12440" w:name="_Toc23419180"/>
      <w:bookmarkStart w:id="12441" w:name="_Toc22250692"/>
      <w:bookmarkStart w:id="12442" w:name="_Toc22638893"/>
      <w:bookmarkStart w:id="12443" w:name="_Toc23224091"/>
      <w:bookmarkStart w:id="12444" w:name="_Toc23372488"/>
      <w:bookmarkStart w:id="12445" w:name="_Toc22250695"/>
      <w:bookmarkStart w:id="12446" w:name="_Toc21094843"/>
      <w:r>
        <w:rPr>
          <w:rFonts w:hint="cs"/>
          <w:rtl/>
        </w:rPr>
        <w:t>ביאורי האחרונים בחילוק בין לח</w:t>
      </w:r>
      <w:r w:rsidRPr="00E07705">
        <w:rPr>
          <w:rFonts w:hint="cs"/>
          <w:rtl/>
        </w:rPr>
        <w:t xml:space="preserve"> </w:t>
      </w:r>
      <w:r>
        <w:rPr>
          <w:rFonts w:hint="cs"/>
          <w:rtl/>
        </w:rPr>
        <w:t>ליבש</w:t>
      </w:r>
      <w:bookmarkEnd w:id="12432"/>
      <w:bookmarkEnd w:id="12433"/>
      <w:bookmarkEnd w:id="12434"/>
      <w:bookmarkEnd w:id="12435"/>
    </w:p>
    <w:p w:rsidR="00D45705" w:rsidRDefault="00D45705" w:rsidP="00D45705">
      <w:pPr>
        <w:pStyle w:val="1"/>
        <w:rPr>
          <w:rtl/>
        </w:rPr>
      </w:pPr>
      <w:bookmarkStart w:id="12447" w:name="_Toc23499468"/>
      <w:bookmarkStart w:id="12448" w:name="_Toc23663874"/>
      <w:bookmarkStart w:id="12449" w:name="_Toc23672527"/>
      <w:bookmarkStart w:id="12450" w:name="_Toc23673091"/>
      <w:r>
        <w:rPr>
          <w:rFonts w:hint="cs"/>
          <w:rtl/>
        </w:rPr>
        <w:t>ביאור המנחת כהן</w:t>
      </w:r>
      <w:bookmarkEnd w:id="12436"/>
      <w:bookmarkEnd w:id="12437"/>
      <w:bookmarkEnd w:id="12438"/>
      <w:bookmarkEnd w:id="12439"/>
      <w:bookmarkEnd w:id="12440"/>
      <w:r>
        <w:rPr>
          <w:rFonts w:hint="cs"/>
          <w:rtl/>
        </w:rPr>
        <w:t xml:space="preserve"> דבלח אוכל ודאי את האיסור וצריך שישים</w:t>
      </w:r>
      <w:bookmarkEnd w:id="12447"/>
      <w:bookmarkEnd w:id="12448"/>
      <w:bookmarkEnd w:id="12449"/>
      <w:bookmarkEnd w:id="12450"/>
    </w:p>
    <w:p w:rsidR="00D45705" w:rsidRDefault="00D45705" w:rsidP="00D45705">
      <w:pPr>
        <w:pStyle w:val="a2"/>
        <w:rPr>
          <w:rtl/>
        </w:rPr>
      </w:pPr>
      <w:bookmarkStart w:id="12451" w:name="_Toc23419181"/>
      <w:bookmarkStart w:id="12452" w:name="_Toc23499469"/>
      <w:bookmarkStart w:id="12453" w:name="_Toc23663875"/>
      <w:bookmarkStart w:id="12454" w:name="_Toc23672528"/>
      <w:bookmarkStart w:id="12455" w:name="_Toc23673092"/>
      <w:r>
        <w:rPr>
          <w:rFonts w:hint="cs"/>
          <w:rtl/>
        </w:rPr>
        <w:t>דברי המנחת כהן דביבש א"א לגזור אטו מין בשאינו מינו דהא מדאו' מהני בו ביטול ברוב</w:t>
      </w:r>
      <w:bookmarkEnd w:id="12451"/>
      <w:bookmarkEnd w:id="12452"/>
      <w:bookmarkEnd w:id="12453"/>
      <w:bookmarkEnd w:id="12454"/>
      <w:bookmarkEnd w:id="12455"/>
    </w:p>
    <w:p w:rsidR="00D45705" w:rsidRDefault="00D45705" w:rsidP="009F44AF">
      <w:pPr>
        <w:pStyle w:val="a"/>
        <w:rPr>
          <w:rtl/>
        </w:rPr>
      </w:pPr>
      <w:bookmarkStart w:id="12456" w:name="_Ref23762215"/>
      <w:r>
        <w:rPr>
          <w:rFonts w:hint="cs"/>
          <w:rtl/>
        </w:rPr>
        <w:t xml:space="preserve">כתב </w:t>
      </w:r>
      <w:r>
        <w:rPr>
          <w:rStyle w:val="af8"/>
          <w:rtl/>
        </w:rPr>
        <w:t xml:space="preserve">המנחת כהן </w:t>
      </w:r>
      <w:r>
        <w:rPr>
          <w:rStyle w:val="af6"/>
          <w:rFonts w:eastAsia="Guttman Hodes" w:hint="cs"/>
          <w:rtl/>
        </w:rPr>
        <w:t xml:space="preserve">(ס' </w:t>
      </w:r>
      <w:r w:rsidRPr="00D47B4B">
        <w:rPr>
          <w:rStyle w:val="af6"/>
          <w:rFonts w:eastAsia="Guttman Hodes" w:hint="cs"/>
          <w:rtl/>
        </w:rPr>
        <w:t>התערובות ח"ב פ"א ד"ה אמנם)</w:t>
      </w:r>
      <w:r>
        <w:rPr>
          <w:rFonts w:hint="cs"/>
          <w:rtl/>
        </w:rPr>
        <w:t xml:space="preserve"> דהא דאסרו רבנן במין במינו בלח בלח, הוא אטו מין בשאינו מינו, דאסור מדאו' למ"ד טעם כעיקר דאו', </w:t>
      </w:r>
      <w:r w:rsidRPr="00C157CA">
        <w:rPr>
          <w:rStyle w:val="afa"/>
          <w:rFonts w:hint="cs"/>
          <w:rtl/>
        </w:rPr>
        <w:t xml:space="preserve">[והוסיף </w:t>
      </w:r>
      <w:r w:rsidRPr="00C157CA">
        <w:rPr>
          <w:rStyle w:val="affa"/>
          <w:rFonts w:hint="cs"/>
          <w:rtl/>
        </w:rPr>
        <w:t>המנחת כהן</w:t>
      </w:r>
      <w:r w:rsidRPr="00C157CA">
        <w:rPr>
          <w:rStyle w:val="afa"/>
          <w:rFonts w:hint="cs"/>
          <w:rtl/>
        </w:rPr>
        <w:t xml:space="preserve"> דאף למ"ד דטעם כעיקר דרבנן, מ"מ במקום שיש כזית איסור בכדי אכילת פרס, יש איסור דאו' ולא מהני ביטול ברוב, במין בשאינו מינו, כדביאר </w:t>
      </w:r>
      <w:r w:rsidRPr="00C157CA">
        <w:rPr>
          <w:rStyle w:val="affa"/>
          <w:rtl/>
        </w:rPr>
        <w:t>המנחת כהן</w:t>
      </w:r>
      <w:r w:rsidRPr="00C157CA">
        <w:rPr>
          <w:rStyle w:val="afa"/>
          <w:rtl/>
        </w:rPr>
        <w:t xml:space="preserve"> </w:t>
      </w:r>
      <w:r w:rsidRPr="00C157CA">
        <w:rPr>
          <w:rStyle w:val="aff6"/>
          <w:rFonts w:hint="cs"/>
          <w:rtl/>
        </w:rPr>
        <w:t>(ס' התערובות ח"א פ"ה)</w:t>
      </w:r>
      <w:r w:rsidRPr="00C157CA">
        <w:rPr>
          <w:rStyle w:val="afa"/>
          <w:rFonts w:hint="cs"/>
          <w:rtl/>
        </w:rPr>
        <w:t>]</w:t>
      </w:r>
      <w:r>
        <w:rPr>
          <w:rStyle w:val="afa"/>
          <w:rFonts w:hint="cs"/>
          <w:rtl/>
        </w:rPr>
        <w:t>,</w:t>
      </w:r>
      <w:r w:rsidRPr="00C157CA">
        <w:rPr>
          <w:rStyle w:val="afa"/>
          <w:rFonts w:hint="cs"/>
          <w:rtl/>
        </w:rPr>
        <w:t xml:space="preserve"> </w:t>
      </w:r>
      <w:r>
        <w:rPr>
          <w:rFonts w:hint="cs"/>
          <w:rtl/>
        </w:rPr>
        <w:t xml:space="preserve">ולכן גזרו רבנן אף במין במינו אטו מין בשאינו מינו, והא דהתירו רבנן ביבש ביבש בחד בתרי, הוא כיון שא"א לגזור בו אטו מין בשאינו מינו, דהא ביבש ביבש מהני ביטול ברוב מדאו', </w:t>
      </w:r>
      <w:r w:rsidRPr="0098748E">
        <w:rPr>
          <w:rStyle w:val="afa"/>
          <w:rFonts w:hint="cs"/>
          <w:rtl/>
        </w:rPr>
        <w:t xml:space="preserve">[והוסיף </w:t>
      </w:r>
      <w:r w:rsidRPr="00BA20EF">
        <w:rPr>
          <w:rStyle w:val="affa"/>
          <w:rtl/>
        </w:rPr>
        <w:t>המנחת כהן</w:t>
      </w:r>
      <w:r w:rsidRPr="0098748E">
        <w:rPr>
          <w:rStyle w:val="afa"/>
          <w:rtl/>
        </w:rPr>
        <w:t xml:space="preserve"> </w:t>
      </w:r>
      <w:r w:rsidRPr="0098748E">
        <w:rPr>
          <w:rStyle w:val="afa"/>
          <w:rFonts w:hint="cs"/>
          <w:rtl/>
        </w:rPr>
        <w:t>דכן א"א לגזור ביבש ביבש במין במינו אטו לח בלח, דהא במין במינו אף בלח בלח מותר מדאו', ולא שייך לגזור ביבש במין במינו, אטו לח בלח במין בשאינו מינו],</w:t>
      </w:r>
      <w:r>
        <w:rPr>
          <w:rFonts w:hint="cs"/>
          <w:rtl/>
        </w:rPr>
        <w:t xml:space="preserve"> וכתב </w:t>
      </w:r>
      <w:r>
        <w:rPr>
          <w:rStyle w:val="af8"/>
          <w:rtl/>
        </w:rPr>
        <w:t xml:space="preserve">המנחת כהן </w:t>
      </w:r>
      <w:r>
        <w:rPr>
          <w:rFonts w:hint="cs"/>
          <w:rtl/>
        </w:rPr>
        <w:t>דלכן העמידו רבנן את דין יבש ביבש במין במינו, על הדין דאו' דבטל ברוב.</w:t>
      </w:r>
      <w:bookmarkEnd w:id="12456"/>
    </w:p>
    <w:p w:rsidR="00D45705" w:rsidRDefault="00D45705" w:rsidP="00D45705">
      <w:pPr>
        <w:pStyle w:val="a2"/>
        <w:rPr>
          <w:rtl/>
        </w:rPr>
      </w:pPr>
      <w:bookmarkStart w:id="12457" w:name="_Toc23419182"/>
      <w:bookmarkStart w:id="12458" w:name="_Toc23499470"/>
      <w:bookmarkStart w:id="12459" w:name="_Toc23663876"/>
      <w:bookmarkStart w:id="12460" w:name="_Toc23672529"/>
      <w:bookmarkStart w:id="12461" w:name="_Toc23673093"/>
      <w:r>
        <w:rPr>
          <w:rFonts w:hint="cs"/>
          <w:rtl/>
        </w:rPr>
        <w:t xml:space="preserve">דברי המנחת כהן דבלח שאוכל בודאי את האיסור החמירו להצריך שישים </w:t>
      </w:r>
      <w:bookmarkEnd w:id="12457"/>
      <w:r>
        <w:rPr>
          <w:rFonts w:hint="cs"/>
          <w:rtl/>
        </w:rPr>
        <w:t>משא"כ ביבש</w:t>
      </w:r>
      <w:bookmarkEnd w:id="12458"/>
      <w:bookmarkEnd w:id="12459"/>
      <w:bookmarkEnd w:id="12460"/>
      <w:bookmarkEnd w:id="12461"/>
    </w:p>
    <w:p w:rsidR="00D45705" w:rsidRPr="009452E1" w:rsidRDefault="00D45705" w:rsidP="009F44AF">
      <w:pPr>
        <w:pStyle w:val="a"/>
        <w:rPr>
          <w:rStyle w:val="afa"/>
          <w:rtl/>
        </w:rPr>
      </w:pPr>
      <w:bookmarkStart w:id="12462" w:name="_Ref22035511"/>
      <w:r>
        <w:rPr>
          <w:rFonts w:hint="cs"/>
          <w:rtl/>
        </w:rPr>
        <w:t>ועוד</w:t>
      </w:r>
      <w:r w:rsidRPr="00BD2CB0">
        <w:rPr>
          <w:rFonts w:hint="cs"/>
          <w:rtl/>
        </w:rPr>
        <w:t xml:space="preserve"> כתב </w:t>
      </w:r>
      <w:r w:rsidRPr="00BD2CB0">
        <w:rPr>
          <w:rStyle w:val="af8"/>
          <w:rtl/>
        </w:rPr>
        <w:t xml:space="preserve">המנחת כהן </w:t>
      </w:r>
      <w:r w:rsidRPr="00BD2CB0">
        <w:rPr>
          <w:rStyle w:val="af6"/>
          <w:rFonts w:eastAsia="Guttman Hodes" w:hint="cs"/>
          <w:rtl/>
        </w:rPr>
        <w:t>(ס' התערובות ח"ב פ"א ד"ה אמנם הרשב"א)</w:t>
      </w:r>
      <w:r>
        <w:rPr>
          <w:rFonts w:hint="cs"/>
          <w:rtl/>
        </w:rPr>
        <w:t xml:space="preserve"> בדעת </w:t>
      </w:r>
      <w:r w:rsidRPr="00431FB6">
        <w:rPr>
          <w:rStyle w:val="af8"/>
          <w:rFonts w:hint="cs"/>
          <w:rtl/>
        </w:rPr>
        <w:t>הרשב"א</w:t>
      </w:r>
      <w:r w:rsidRPr="00BD2CB0">
        <w:rPr>
          <w:rFonts w:hint="cs"/>
          <w:rtl/>
        </w:rPr>
        <w:t xml:space="preserve"> </w:t>
      </w:r>
      <w:r w:rsidRPr="008B4640">
        <w:rPr>
          <w:rStyle w:val="af6"/>
          <w:rFonts w:eastAsia="Guttman Hodes" w:hint="cs"/>
          <w:rtl/>
        </w:rPr>
        <w:t xml:space="preserve">(עי' אות </w:t>
      </w:r>
      <w:r w:rsidRPr="008B4640">
        <w:rPr>
          <w:rStyle w:val="af6"/>
          <w:rFonts w:eastAsia="Guttman Hodes"/>
          <w:rtl/>
        </w:rPr>
        <w:fldChar w:fldCharType="begin"/>
      </w:r>
      <w:r w:rsidRPr="008B4640">
        <w:rPr>
          <w:rStyle w:val="af6"/>
          <w:rFonts w:eastAsia="Guttman Hodes"/>
          <w:rtl/>
        </w:rPr>
        <w:instrText xml:space="preserve"> </w:instrText>
      </w:r>
      <w:r w:rsidRPr="008B4640">
        <w:rPr>
          <w:rStyle w:val="af6"/>
          <w:rFonts w:eastAsia="Guttman Hodes" w:hint="cs"/>
        </w:rPr>
        <w:instrText>REF</w:instrText>
      </w:r>
      <w:r w:rsidRPr="008B4640">
        <w:rPr>
          <w:rStyle w:val="af6"/>
          <w:rFonts w:eastAsia="Guttman Hodes" w:hint="cs"/>
          <w:rtl/>
        </w:rPr>
        <w:instrText xml:space="preserve"> _</w:instrText>
      </w:r>
      <w:r w:rsidRPr="008B4640">
        <w:rPr>
          <w:rStyle w:val="af6"/>
          <w:rFonts w:eastAsia="Guttman Hodes" w:hint="cs"/>
        </w:rPr>
        <w:instrText>Ref23496533 \r \h</w:instrText>
      </w:r>
      <w:r w:rsidRPr="008B4640">
        <w:rPr>
          <w:rStyle w:val="af6"/>
          <w:rFonts w:eastAsia="Guttman Hodes"/>
          <w:rtl/>
        </w:rPr>
        <w:instrText xml:space="preserve"> </w:instrText>
      </w:r>
      <w:r w:rsidRPr="008B4640">
        <w:rPr>
          <w:rStyle w:val="af6"/>
          <w:rFonts w:eastAsia="Guttman Hodes"/>
          <w:rtl/>
        </w:rPr>
      </w:r>
      <w:r w:rsidRPr="008B4640">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8B4640">
        <w:rPr>
          <w:rStyle w:val="af6"/>
          <w:rFonts w:eastAsia="Guttman Hodes"/>
          <w:rtl/>
        </w:rPr>
        <w:fldChar w:fldCharType="end"/>
      </w:r>
      <w:r w:rsidRPr="00BD2CB0">
        <w:rPr>
          <w:rFonts w:hint="cs"/>
          <w:rtl/>
        </w:rPr>
        <w:t xml:space="preserve"> </w:t>
      </w:r>
      <w:r w:rsidRPr="00E17451">
        <w:rPr>
          <w:rStyle w:val="afa"/>
          <w:rFonts w:hint="cs"/>
          <w:rtl/>
        </w:rPr>
        <w:t>[ד</w:t>
      </w:r>
      <w:r>
        <w:rPr>
          <w:rStyle w:val="afa"/>
          <w:rFonts w:hint="cs"/>
          <w:rtl/>
        </w:rPr>
        <w:t xml:space="preserve">כתב </w:t>
      </w:r>
      <w:r w:rsidRPr="00E17451">
        <w:rPr>
          <w:rStyle w:val="afa"/>
          <w:rFonts w:hint="cs"/>
          <w:rtl/>
        </w:rPr>
        <w:t>ביבש ביבש אסור לאכול את כל התערובת בבת אחת],</w:t>
      </w:r>
      <w:r>
        <w:rPr>
          <w:rFonts w:hint="cs"/>
          <w:rtl/>
        </w:rPr>
        <w:t xml:space="preserve"> דהא דבלח בלח לא מהני ביטול בחד בתרי וצריך שישים, הוא כיון שבלח בלח צריך להחמיר יותר מאשר </w:t>
      </w:r>
      <w:r w:rsidRPr="00873CB9">
        <w:rPr>
          <w:rFonts w:hint="cs"/>
          <w:rtl/>
        </w:rPr>
        <w:t xml:space="preserve">ביבש ביבש, כיון שבלח בלח בכל חלק מהתערובת יש קצת ממשות או טעם של האיסור, </w:t>
      </w:r>
      <w:r>
        <w:rPr>
          <w:rFonts w:hint="cs"/>
          <w:rtl/>
        </w:rPr>
        <w:t>ו</w:t>
      </w:r>
      <w:r w:rsidRPr="00873CB9">
        <w:rPr>
          <w:rFonts w:hint="cs"/>
          <w:rtl/>
        </w:rPr>
        <w:t xml:space="preserve">הוא אוכל בודאי את האיסור, משא"כ ביבש ביבש שההיתר עומד בפנ"ע, ובכל חתיכה יכול לומר שהיא מותרת. </w:t>
      </w:r>
      <w:r w:rsidRPr="009452E1">
        <w:rPr>
          <w:rStyle w:val="afa"/>
          <w:rFonts w:hint="cs"/>
          <w:rtl/>
        </w:rPr>
        <w:t xml:space="preserve">[וכתב </w:t>
      </w:r>
      <w:r w:rsidRPr="009452E1">
        <w:rPr>
          <w:rStyle w:val="affa"/>
          <w:rFonts w:hint="cs"/>
          <w:rtl/>
        </w:rPr>
        <w:t>המנחת כהן</w:t>
      </w:r>
      <w:r w:rsidRPr="009452E1">
        <w:rPr>
          <w:rStyle w:val="afa"/>
          <w:rFonts w:hint="cs"/>
          <w:rtl/>
        </w:rPr>
        <w:t xml:space="preserve"> דלכן ס"ל </w:t>
      </w:r>
      <w:r w:rsidRPr="009452E1">
        <w:rPr>
          <w:rStyle w:val="affa"/>
          <w:rFonts w:hint="cs"/>
          <w:rtl/>
        </w:rPr>
        <w:t>להרשב"א</w:t>
      </w:r>
      <w:r w:rsidRPr="009452E1">
        <w:rPr>
          <w:rStyle w:val="afa"/>
          <w:rFonts w:hint="cs"/>
          <w:rtl/>
        </w:rPr>
        <w:t xml:space="preserve"> </w:t>
      </w:r>
      <w:r w:rsidRPr="008B4640">
        <w:rPr>
          <w:rStyle w:val="aff6"/>
          <w:rFonts w:hint="cs"/>
          <w:rtl/>
        </w:rPr>
        <w:t xml:space="preserve">(עי' אות </w:t>
      </w:r>
      <w:r w:rsidRPr="008B4640">
        <w:rPr>
          <w:rStyle w:val="aff6"/>
          <w:rtl/>
        </w:rPr>
        <w:fldChar w:fldCharType="begin"/>
      </w:r>
      <w:r w:rsidRPr="008B4640">
        <w:rPr>
          <w:rStyle w:val="aff6"/>
          <w:rtl/>
        </w:rPr>
        <w:instrText xml:space="preserve"> </w:instrText>
      </w:r>
      <w:r w:rsidRPr="008B4640">
        <w:rPr>
          <w:rStyle w:val="aff6"/>
          <w:rFonts w:hint="cs"/>
        </w:rPr>
        <w:instrText>REF</w:instrText>
      </w:r>
      <w:r w:rsidRPr="008B4640">
        <w:rPr>
          <w:rStyle w:val="aff6"/>
          <w:rFonts w:hint="cs"/>
          <w:rtl/>
        </w:rPr>
        <w:instrText xml:space="preserve"> _</w:instrText>
      </w:r>
      <w:r w:rsidRPr="008B4640">
        <w:rPr>
          <w:rStyle w:val="aff6"/>
          <w:rFonts w:hint="cs"/>
        </w:rPr>
        <w:instrText>Ref23496533 \r \h</w:instrText>
      </w:r>
      <w:r w:rsidRPr="008B4640">
        <w:rPr>
          <w:rStyle w:val="aff6"/>
          <w:rtl/>
        </w:rPr>
        <w:instrText xml:space="preserve"> </w:instrText>
      </w:r>
      <w:r w:rsidRPr="008B4640">
        <w:rPr>
          <w:rStyle w:val="aff6"/>
          <w:rtl/>
        </w:rPr>
      </w:r>
      <w:r w:rsidRPr="008B4640">
        <w:rPr>
          <w:rStyle w:val="aff6"/>
          <w:rtl/>
        </w:rPr>
        <w:fldChar w:fldCharType="separate"/>
      </w:r>
      <w:r w:rsidR="004D1C5B">
        <w:rPr>
          <w:rStyle w:val="aff6"/>
          <w:cs/>
        </w:rPr>
        <w:t>‎</w:t>
      </w:r>
      <w:r w:rsidR="004D1C5B">
        <w:rPr>
          <w:rStyle w:val="aff6"/>
          <w:rtl/>
        </w:rPr>
        <w:t>ה)</w:t>
      </w:r>
      <w:r w:rsidRPr="008B4640">
        <w:rPr>
          <w:rStyle w:val="aff6"/>
          <w:rtl/>
        </w:rPr>
        <w:fldChar w:fldCharType="end"/>
      </w:r>
      <w:r>
        <w:rPr>
          <w:rStyle w:val="afa"/>
          <w:rFonts w:hint="cs"/>
          <w:rtl/>
        </w:rPr>
        <w:t xml:space="preserve"> </w:t>
      </w:r>
      <w:r w:rsidRPr="009452E1">
        <w:rPr>
          <w:rStyle w:val="afa"/>
          <w:rFonts w:hint="cs"/>
          <w:rtl/>
        </w:rPr>
        <w:t>דביבש ביבש אסרו רבנן לאכול את כל התערובת בבת אחת, דבכה"ג הוא אוכל בודאי את האיסור, ונעשה כמו לח בלח].</w:t>
      </w:r>
      <w:bookmarkEnd w:id="12462"/>
    </w:p>
    <w:p w:rsidR="00D45705" w:rsidRDefault="00D45705" w:rsidP="00D45705">
      <w:pPr>
        <w:pStyle w:val="1"/>
        <w:rPr>
          <w:rtl/>
        </w:rPr>
      </w:pPr>
      <w:bookmarkStart w:id="12463" w:name="_Toc23499471"/>
      <w:bookmarkStart w:id="12464" w:name="_Toc23663877"/>
      <w:bookmarkStart w:id="12465" w:name="_Toc23672530"/>
      <w:bookmarkStart w:id="12466" w:name="_Toc23673094"/>
      <w:bookmarkEnd w:id="12441"/>
      <w:bookmarkEnd w:id="12442"/>
      <w:bookmarkEnd w:id="12443"/>
      <w:bookmarkEnd w:id="12444"/>
      <w:r>
        <w:rPr>
          <w:rFonts w:hint="cs"/>
          <w:rtl/>
        </w:rPr>
        <w:t>ביאור הפרמ"ג ברשב"א דבלח אוכל ודאי איסור ואינו גזירה</w:t>
      </w:r>
      <w:bookmarkEnd w:id="12463"/>
      <w:bookmarkEnd w:id="12464"/>
      <w:bookmarkEnd w:id="12465"/>
      <w:bookmarkEnd w:id="12466"/>
    </w:p>
    <w:p w:rsidR="00D45705" w:rsidRDefault="00D45705" w:rsidP="00D45705">
      <w:pPr>
        <w:pStyle w:val="a2"/>
        <w:rPr>
          <w:rtl/>
        </w:rPr>
      </w:pPr>
      <w:bookmarkStart w:id="12467" w:name="_Toc23499472"/>
      <w:bookmarkStart w:id="12468" w:name="_Toc23663878"/>
      <w:bookmarkStart w:id="12469" w:name="_Toc23672531"/>
      <w:bookmarkStart w:id="12470" w:name="_Toc23673095"/>
      <w:r>
        <w:rPr>
          <w:rFonts w:hint="cs"/>
          <w:rtl/>
        </w:rPr>
        <w:t>ביאור הפרמ"ג במנחת כהן דשישים בלח אינו גזירה אטו שאינו מינו אלא דאוכל ודאי איסור</w:t>
      </w:r>
      <w:bookmarkEnd w:id="12467"/>
      <w:bookmarkEnd w:id="12468"/>
      <w:bookmarkEnd w:id="12469"/>
      <w:bookmarkEnd w:id="12470"/>
    </w:p>
    <w:p w:rsidR="00D45705" w:rsidRDefault="00D45705" w:rsidP="009F44AF">
      <w:pPr>
        <w:pStyle w:val="a"/>
        <w:rPr>
          <w:rtl/>
        </w:rPr>
      </w:pPr>
      <w:bookmarkStart w:id="12471" w:name="_Ref22035677"/>
      <w:r>
        <w:rPr>
          <w:rFonts w:hint="cs"/>
          <w:rtl/>
        </w:rPr>
        <w:t>וביאר</w:t>
      </w:r>
      <w:r w:rsidRPr="00E708B7">
        <w:rPr>
          <w:rFonts w:hint="cs"/>
          <w:rtl/>
        </w:rPr>
        <w:t xml:space="preserve"> </w:t>
      </w:r>
      <w:r w:rsidRPr="00E708B7">
        <w:rPr>
          <w:rStyle w:val="af8"/>
          <w:rFonts w:eastAsia="Guttman Adii-Light"/>
          <w:rtl/>
        </w:rPr>
        <w:t>הפרמ"ג</w:t>
      </w:r>
      <w:r w:rsidRPr="0043600D">
        <w:rPr>
          <w:rtl/>
        </w:rPr>
        <w:t xml:space="preserve"> </w:t>
      </w:r>
      <w:r w:rsidRPr="00E708B7">
        <w:rPr>
          <w:rStyle w:val="af6"/>
          <w:rFonts w:eastAsia="Guttman Hodes"/>
          <w:rtl/>
        </w:rPr>
        <w:t>(פתיחה שער התערובות ח"ג פ"</w:t>
      </w:r>
      <w:r>
        <w:rPr>
          <w:rStyle w:val="af6"/>
          <w:rFonts w:eastAsia="Guttman Rashi" w:hint="cs"/>
          <w:rtl/>
        </w:rPr>
        <w:t>ה</w:t>
      </w:r>
      <w:r w:rsidRPr="00E708B7">
        <w:rPr>
          <w:rStyle w:val="af6"/>
          <w:rFonts w:eastAsia="Guttman Hodes"/>
          <w:rtl/>
        </w:rPr>
        <w:t xml:space="preserve"> ד"ה </w:t>
      </w:r>
      <w:r>
        <w:rPr>
          <w:rStyle w:val="af6"/>
          <w:rFonts w:eastAsia="Guttman Rashi" w:hint="cs"/>
          <w:rtl/>
        </w:rPr>
        <w:t>ואחר העיון</w:t>
      </w:r>
      <w:r w:rsidRPr="00E708B7">
        <w:rPr>
          <w:rStyle w:val="af6"/>
          <w:rFonts w:eastAsia="Guttman Hodes"/>
          <w:rtl/>
        </w:rPr>
        <w:t>)</w:t>
      </w:r>
      <w:r>
        <w:rPr>
          <w:rFonts w:hint="cs"/>
          <w:rtl/>
        </w:rPr>
        <w:t xml:space="preserve"> את דברי </w:t>
      </w:r>
      <w:r w:rsidRPr="00BD2CB0">
        <w:rPr>
          <w:rStyle w:val="af8"/>
          <w:rtl/>
        </w:rPr>
        <w:t xml:space="preserve">המנחת כהן </w:t>
      </w:r>
      <w:r w:rsidRPr="0020555E">
        <w:rPr>
          <w:rStyle w:val="af6"/>
          <w:rFonts w:eastAsia="Guttman Hodes" w:hint="cs"/>
          <w:rtl/>
        </w:rPr>
        <w:t xml:space="preserve">(עי' אות </w:t>
      </w:r>
      <w:r w:rsidRPr="0020555E">
        <w:rPr>
          <w:rStyle w:val="af6"/>
          <w:rFonts w:eastAsia="Guttman Hodes"/>
          <w:rtl/>
        </w:rPr>
        <w:fldChar w:fldCharType="begin"/>
      </w:r>
      <w:r w:rsidRPr="0020555E">
        <w:rPr>
          <w:rStyle w:val="af6"/>
          <w:rFonts w:eastAsia="Guttman Hodes"/>
          <w:rtl/>
        </w:rPr>
        <w:instrText xml:space="preserve"> </w:instrText>
      </w:r>
      <w:r w:rsidRPr="0020555E">
        <w:rPr>
          <w:rStyle w:val="af6"/>
          <w:rFonts w:eastAsia="Guttman Hodes" w:hint="cs"/>
        </w:rPr>
        <w:instrText>REF</w:instrText>
      </w:r>
      <w:r w:rsidRPr="0020555E">
        <w:rPr>
          <w:rStyle w:val="af6"/>
          <w:rFonts w:eastAsia="Guttman Hodes" w:hint="cs"/>
          <w:rtl/>
        </w:rPr>
        <w:instrText xml:space="preserve"> _</w:instrText>
      </w:r>
      <w:r w:rsidRPr="0020555E">
        <w:rPr>
          <w:rStyle w:val="af6"/>
          <w:rFonts w:eastAsia="Guttman Hodes" w:hint="cs"/>
        </w:rPr>
        <w:instrText>Ref22035511 \r \h</w:instrText>
      </w:r>
      <w:r w:rsidRPr="0020555E">
        <w:rPr>
          <w:rStyle w:val="af6"/>
          <w:rFonts w:eastAsia="Guttman Hodes"/>
          <w:rtl/>
        </w:rPr>
        <w:instrText xml:space="preserve"> </w:instrText>
      </w:r>
      <w:r w:rsidRPr="0020555E">
        <w:rPr>
          <w:rStyle w:val="af6"/>
          <w:rFonts w:eastAsia="Guttman Hodes"/>
          <w:rtl/>
        </w:rPr>
      </w:r>
      <w:r w:rsidRPr="0020555E">
        <w:rPr>
          <w:rStyle w:val="af6"/>
          <w:rFonts w:eastAsia="Guttman Hodes"/>
          <w:rtl/>
        </w:rPr>
        <w:fldChar w:fldCharType="separate"/>
      </w:r>
      <w:r w:rsidR="004D1C5B">
        <w:rPr>
          <w:rStyle w:val="af6"/>
          <w:rFonts w:eastAsia="Guttman Hodes"/>
          <w:cs/>
        </w:rPr>
        <w:t>‎</w:t>
      </w:r>
      <w:r w:rsidR="004D1C5B">
        <w:rPr>
          <w:rStyle w:val="af6"/>
          <w:rFonts w:eastAsia="Guttman Hodes"/>
          <w:rtl/>
        </w:rPr>
        <w:t>פז)</w:t>
      </w:r>
      <w:r w:rsidRPr="0020555E">
        <w:rPr>
          <w:rStyle w:val="af6"/>
          <w:rFonts w:eastAsia="Guttman Hodes"/>
          <w:rtl/>
        </w:rPr>
        <w:fldChar w:fldCharType="end"/>
      </w:r>
      <w:r>
        <w:rPr>
          <w:rFonts w:hint="cs"/>
          <w:rtl/>
        </w:rPr>
        <w:t xml:space="preserve"> דהא </w:t>
      </w:r>
      <w:r w:rsidRPr="00CD4674">
        <w:rPr>
          <w:rStyle w:val="af8"/>
          <w:rFonts w:hint="cs"/>
          <w:rtl/>
        </w:rPr>
        <w:t>דלהרשב"א</w:t>
      </w:r>
      <w:r>
        <w:rPr>
          <w:rFonts w:hint="cs"/>
          <w:rtl/>
        </w:rPr>
        <w:t xml:space="preserve"> צריך שישים בלח בלח במין במינו, אינו מגזירה דאטו מין בשאינו מינו, אלא דלח בלח הוא כאוכל את כל התערובת יחד ביבש ביבש, דס"ל </w:t>
      </w:r>
      <w:r w:rsidRPr="005C492F">
        <w:rPr>
          <w:rStyle w:val="af8"/>
          <w:rFonts w:hint="cs"/>
          <w:rtl/>
        </w:rPr>
        <w:t>להרשב"א</w:t>
      </w:r>
      <w:r>
        <w:rPr>
          <w:rFonts w:hint="cs"/>
          <w:rtl/>
        </w:rPr>
        <w:t xml:space="preserve"> </w:t>
      </w:r>
      <w:r w:rsidRPr="003B28D1">
        <w:rPr>
          <w:rStyle w:val="af6"/>
          <w:rFonts w:eastAsia="Guttman Hodes" w:hint="cs"/>
          <w:rtl/>
        </w:rPr>
        <w:t xml:space="preserve">(עי' אות </w:t>
      </w:r>
      <w:r w:rsidRPr="003B28D1">
        <w:rPr>
          <w:rStyle w:val="af6"/>
          <w:rFonts w:eastAsia="Guttman Hodes"/>
          <w:rtl/>
        </w:rPr>
        <w:fldChar w:fldCharType="begin"/>
      </w:r>
      <w:r w:rsidRPr="003B28D1">
        <w:rPr>
          <w:rStyle w:val="af6"/>
          <w:rFonts w:eastAsia="Guttman Hodes"/>
          <w:rtl/>
        </w:rPr>
        <w:instrText xml:space="preserve"> </w:instrText>
      </w:r>
      <w:r w:rsidRPr="003B28D1">
        <w:rPr>
          <w:rStyle w:val="af6"/>
          <w:rFonts w:eastAsia="Guttman Hodes" w:hint="cs"/>
        </w:rPr>
        <w:instrText>REF</w:instrText>
      </w:r>
      <w:r w:rsidRPr="003B28D1">
        <w:rPr>
          <w:rStyle w:val="af6"/>
          <w:rFonts w:eastAsia="Guttman Hodes" w:hint="cs"/>
          <w:rtl/>
        </w:rPr>
        <w:instrText xml:space="preserve"> _</w:instrText>
      </w:r>
      <w:r w:rsidRPr="003B28D1">
        <w:rPr>
          <w:rStyle w:val="af6"/>
          <w:rFonts w:eastAsia="Guttman Hodes" w:hint="cs"/>
        </w:rPr>
        <w:instrText>Ref23496533 \r \h</w:instrText>
      </w:r>
      <w:r w:rsidRPr="003B28D1">
        <w:rPr>
          <w:rStyle w:val="af6"/>
          <w:rFonts w:eastAsia="Guttman Hodes"/>
          <w:rtl/>
        </w:rPr>
        <w:instrText xml:space="preserve"> </w:instrText>
      </w:r>
      <w:r w:rsidRPr="003B28D1">
        <w:rPr>
          <w:rStyle w:val="af6"/>
          <w:rFonts w:eastAsia="Guttman Hodes"/>
          <w:rtl/>
        </w:rPr>
      </w:r>
      <w:r w:rsidRPr="003B28D1">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3B28D1">
        <w:rPr>
          <w:rStyle w:val="af6"/>
          <w:rFonts w:eastAsia="Guttman Hodes"/>
          <w:rtl/>
        </w:rPr>
        <w:fldChar w:fldCharType="end"/>
      </w:r>
      <w:r>
        <w:rPr>
          <w:rFonts w:hint="cs"/>
          <w:rtl/>
        </w:rPr>
        <w:t xml:space="preserve"> דאסור, כיון שודאי אוכל את האיסור.</w:t>
      </w:r>
      <w:bookmarkEnd w:id="12471"/>
    </w:p>
    <w:p w:rsidR="00D45705" w:rsidRDefault="00D45705" w:rsidP="001B4883">
      <w:pPr>
        <w:pStyle w:val="a2"/>
        <w:rPr>
          <w:rtl/>
        </w:rPr>
      </w:pPr>
      <w:bookmarkStart w:id="12472" w:name="_Toc23499473"/>
      <w:bookmarkStart w:id="12473" w:name="_Toc23663879"/>
      <w:bookmarkStart w:id="12474" w:name="_Toc23672532"/>
      <w:bookmarkStart w:id="12475" w:name="_Toc23673096"/>
      <w:r>
        <w:rPr>
          <w:rFonts w:hint="cs"/>
          <w:rtl/>
        </w:rPr>
        <w:t>דב</w:t>
      </w:r>
      <w:r w:rsidR="00BB240B">
        <w:rPr>
          <w:rFonts w:hint="cs"/>
          <w:rtl/>
        </w:rPr>
        <w:t xml:space="preserve">רי הפרמ"ג </w:t>
      </w:r>
      <w:r w:rsidR="001B4883">
        <w:rPr>
          <w:rFonts w:hint="cs"/>
          <w:rtl/>
        </w:rPr>
        <w:t>ד</w:t>
      </w:r>
      <w:r>
        <w:rPr>
          <w:rFonts w:hint="cs"/>
          <w:rtl/>
        </w:rPr>
        <w:t xml:space="preserve">ברשב"א </w:t>
      </w:r>
      <w:r w:rsidR="001B4883">
        <w:rPr>
          <w:rFonts w:hint="cs"/>
          <w:rtl/>
        </w:rPr>
        <w:t xml:space="preserve">שהתיר </w:t>
      </w:r>
      <w:r>
        <w:rPr>
          <w:rFonts w:hint="cs"/>
          <w:rtl/>
        </w:rPr>
        <w:t>ביבש כל חתיכה בפנ"ע משמע כמנחת כהן דבלח אוכל ודאי איסור</w:t>
      </w:r>
      <w:bookmarkEnd w:id="12472"/>
      <w:bookmarkEnd w:id="12473"/>
      <w:bookmarkEnd w:id="12474"/>
      <w:bookmarkEnd w:id="12475"/>
    </w:p>
    <w:p w:rsidR="00D45705" w:rsidRDefault="00D45705" w:rsidP="009F44AF">
      <w:pPr>
        <w:pStyle w:val="a"/>
        <w:rPr>
          <w:rtl/>
        </w:rPr>
      </w:pPr>
      <w:r>
        <w:rPr>
          <w:rFonts w:hint="cs"/>
          <w:rtl/>
        </w:rPr>
        <w:t xml:space="preserve">וכתב </w:t>
      </w:r>
      <w:r w:rsidRPr="00CD4674">
        <w:rPr>
          <w:rStyle w:val="af8"/>
          <w:rFonts w:hint="cs"/>
          <w:rtl/>
        </w:rPr>
        <w:t>הפרמ"ג</w:t>
      </w:r>
      <w:r>
        <w:rPr>
          <w:rFonts w:hint="cs"/>
          <w:rtl/>
        </w:rPr>
        <w:t xml:space="preserve"> דכן מבואר מתחילת דברי </w:t>
      </w:r>
      <w:r w:rsidRPr="00CD4674">
        <w:rPr>
          <w:rStyle w:val="af8"/>
          <w:rFonts w:hint="cs"/>
          <w:rtl/>
        </w:rPr>
        <w:t>הרשב"א בתוה"ב</w:t>
      </w:r>
      <w:r>
        <w:rPr>
          <w:rFonts w:hint="cs"/>
          <w:rtl/>
        </w:rPr>
        <w:t xml:space="preserve"> </w:t>
      </w:r>
      <w:r w:rsidRPr="0020555E">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Ref23243880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Pr>
          <w:rStyle w:val="af6"/>
          <w:rFonts w:eastAsia="Guttman Hodes"/>
          <w:rtl/>
        </w:rPr>
        <w:fldChar w:fldCharType="end"/>
      </w:r>
      <w:r>
        <w:rPr>
          <w:rStyle w:val="af6"/>
          <w:rFonts w:eastAsia="Guttman Hodes" w:hint="cs"/>
          <w:rtl/>
        </w:rPr>
        <w:t xml:space="preserve"> </w:t>
      </w:r>
      <w:r>
        <w:rPr>
          <w:rFonts w:hint="cs"/>
          <w:rtl/>
        </w:rPr>
        <w:t>דכתב דההיתר לאכול ביבש ביבש כל חתיכה בפנ"ע, הוא כיון שאומר שאינה החתיכה האסורה, וא"כ משמע דהאיסור במין במינו בלח בלח בפחות משישים, הוא כיון שאוכל את כל האיסור יחד, דהאיסור מעורב בכל ההיתר ואינו יכול לומר שמה שאוכל עכשיו הוא מותר, ואינו מחמת שגזרו במין במינו אטו מין בשאינו מינו.</w:t>
      </w:r>
    </w:p>
    <w:p w:rsidR="00D45705" w:rsidRPr="00C517D6" w:rsidRDefault="00D45705" w:rsidP="00D45705">
      <w:pPr>
        <w:pStyle w:val="a2"/>
        <w:rPr>
          <w:rtl/>
        </w:rPr>
      </w:pPr>
      <w:bookmarkStart w:id="12476" w:name="_Toc23499474"/>
      <w:bookmarkStart w:id="12477" w:name="_Toc23663880"/>
      <w:bookmarkStart w:id="12478" w:name="_Toc23672533"/>
      <w:bookmarkStart w:id="12479" w:name="_Toc23673097"/>
      <w:r>
        <w:rPr>
          <w:rFonts w:hint="cs"/>
          <w:rtl/>
        </w:rPr>
        <w:t>קושית הפרמ"ג דהא כתב הרשב"א דהחמירו בלח במינו אטו שאינו מינו ומוכח דהוא גזירה</w:t>
      </w:r>
      <w:bookmarkEnd w:id="12476"/>
      <w:bookmarkEnd w:id="12477"/>
      <w:bookmarkEnd w:id="12478"/>
      <w:bookmarkEnd w:id="12479"/>
    </w:p>
    <w:p w:rsidR="00D45705" w:rsidRDefault="00D45705" w:rsidP="009F44AF">
      <w:pPr>
        <w:pStyle w:val="a"/>
        <w:rPr>
          <w:rtl/>
        </w:rPr>
      </w:pPr>
      <w:bookmarkStart w:id="12480" w:name="_Ref23496215"/>
      <w:r>
        <w:rPr>
          <w:rFonts w:hint="cs"/>
          <w:rtl/>
        </w:rPr>
        <w:t xml:space="preserve">אך הקשה </w:t>
      </w:r>
      <w:r w:rsidRPr="00CD4674">
        <w:rPr>
          <w:rStyle w:val="af8"/>
          <w:rFonts w:hint="cs"/>
          <w:rtl/>
        </w:rPr>
        <w:t>הפרמ"ג</w:t>
      </w:r>
      <w:r>
        <w:rPr>
          <w:rFonts w:hint="cs"/>
          <w:rtl/>
        </w:rPr>
        <w:t xml:space="preserve"> דמהא דבהמשך דבריו כתב </w:t>
      </w:r>
      <w:r w:rsidRPr="00CD4674">
        <w:rPr>
          <w:rStyle w:val="af8"/>
          <w:rFonts w:hint="cs"/>
          <w:rtl/>
        </w:rPr>
        <w:t>הרשב"א בתוה"ב</w:t>
      </w:r>
      <w:r>
        <w:rPr>
          <w:rFonts w:hint="cs"/>
          <w:rtl/>
        </w:rPr>
        <w:t xml:space="preserve"> </w:t>
      </w:r>
      <w:r>
        <w:rPr>
          <w:rStyle w:val="af6"/>
          <w:rFonts w:eastAsia="Guttman Hodes" w:hint="cs"/>
          <w:rtl/>
        </w:rPr>
        <w:t>(עי'</w:t>
      </w:r>
      <w:r w:rsidRPr="00156EAF">
        <w:rPr>
          <w:rStyle w:val="af6"/>
          <w:rFonts w:eastAsia="Guttman Hodes" w:hint="cs"/>
          <w:rtl/>
        </w:rPr>
        <w:t xml:space="preserve"> אות </w:t>
      </w:r>
      <w:r w:rsidRPr="00156EAF">
        <w:rPr>
          <w:rStyle w:val="af6"/>
          <w:rFonts w:eastAsia="Guttman Hodes"/>
          <w:rtl/>
        </w:rPr>
        <w:fldChar w:fldCharType="begin"/>
      </w:r>
      <w:r w:rsidRPr="00156EAF">
        <w:rPr>
          <w:rStyle w:val="af6"/>
          <w:rFonts w:eastAsia="Guttman Hodes"/>
          <w:rtl/>
        </w:rPr>
        <w:instrText xml:space="preserve"> </w:instrText>
      </w:r>
      <w:r w:rsidRPr="00156EAF">
        <w:rPr>
          <w:rStyle w:val="af6"/>
          <w:rFonts w:eastAsia="Guttman Hodes" w:hint="cs"/>
        </w:rPr>
        <w:instrText>REF</w:instrText>
      </w:r>
      <w:r w:rsidRPr="00156EAF">
        <w:rPr>
          <w:rStyle w:val="af6"/>
          <w:rFonts w:eastAsia="Guttman Hodes" w:hint="cs"/>
          <w:rtl/>
        </w:rPr>
        <w:instrText xml:space="preserve"> _</w:instrText>
      </w:r>
      <w:r w:rsidRPr="00156EAF">
        <w:rPr>
          <w:rStyle w:val="af6"/>
          <w:rFonts w:eastAsia="Guttman Hodes" w:hint="cs"/>
        </w:rPr>
        <w:instrText>Ref23243540 \r \h</w:instrText>
      </w:r>
      <w:r w:rsidRPr="00156EAF">
        <w:rPr>
          <w:rStyle w:val="af6"/>
          <w:rFonts w:eastAsia="Guttman Hodes"/>
          <w:rtl/>
        </w:rPr>
        <w:instrText xml:space="preserve"> </w:instrText>
      </w:r>
      <w:r w:rsidRPr="00156EAF">
        <w:rPr>
          <w:rStyle w:val="af6"/>
          <w:rFonts w:eastAsia="Guttman Hodes"/>
          <w:rtl/>
        </w:rPr>
      </w:r>
      <w:r w:rsidRPr="00156EAF">
        <w:rPr>
          <w:rStyle w:val="af6"/>
          <w:rFonts w:eastAsia="Guttman Hodes"/>
          <w:rtl/>
        </w:rPr>
        <w:fldChar w:fldCharType="separate"/>
      </w:r>
      <w:r w:rsidR="004D1C5B">
        <w:rPr>
          <w:rStyle w:val="af6"/>
          <w:rFonts w:eastAsia="Guttman Hodes"/>
          <w:cs/>
        </w:rPr>
        <w:t>‎</w:t>
      </w:r>
      <w:r w:rsidR="004D1C5B">
        <w:rPr>
          <w:rStyle w:val="af6"/>
          <w:rFonts w:eastAsia="Guttman Hodes"/>
          <w:rtl/>
        </w:rPr>
        <w:t>פ)</w:t>
      </w:r>
      <w:r w:rsidRPr="00156EAF">
        <w:rPr>
          <w:rStyle w:val="af6"/>
          <w:rFonts w:eastAsia="Guttman Hodes"/>
          <w:rtl/>
        </w:rPr>
        <w:fldChar w:fldCharType="end"/>
      </w:r>
      <w:r>
        <w:rPr>
          <w:rFonts w:hint="cs"/>
          <w:rtl/>
        </w:rPr>
        <w:t xml:space="preserve"> דהא דבלח בלח צריך שישים אף במין במינו, דאעפ"י שאין בו טעם, מ"מ החמירו רבנן ואסרוהו בפחות משישים, אטו לח בלח במין בשאינו מינו שצריך שישים, א"כ משמע דהא דבמין במינו בלח בלח צריך שישים, הוא דגזרו מין במינו אטו מין בשאינו מינו, ולא מחמת דחשיב שאוכל את כל התערובת יחד.</w:t>
      </w:r>
      <w:bookmarkEnd w:id="12480"/>
    </w:p>
    <w:p w:rsidR="00D45705" w:rsidRDefault="00D45705" w:rsidP="00D45705">
      <w:pPr>
        <w:pStyle w:val="a2"/>
        <w:rPr>
          <w:rtl/>
        </w:rPr>
      </w:pPr>
      <w:bookmarkStart w:id="12481" w:name="_Toc23499475"/>
      <w:bookmarkStart w:id="12482" w:name="_Toc23663881"/>
      <w:bookmarkStart w:id="12483" w:name="_Toc23672534"/>
      <w:bookmarkStart w:id="12484" w:name="_Toc23673098"/>
      <w:r>
        <w:rPr>
          <w:rFonts w:hint="cs"/>
          <w:rtl/>
        </w:rPr>
        <w:t>תירוץ הפרמ"ג ברשב"א דהתירו בלח ביותר משישים אף שאוכל ודאי איסור כדין שאינו מינו</w:t>
      </w:r>
      <w:bookmarkEnd w:id="12481"/>
      <w:bookmarkEnd w:id="12482"/>
      <w:bookmarkEnd w:id="12483"/>
      <w:bookmarkEnd w:id="12484"/>
    </w:p>
    <w:p w:rsidR="00D45705" w:rsidRPr="00AC7C10" w:rsidRDefault="00D45705" w:rsidP="009F44AF">
      <w:pPr>
        <w:pStyle w:val="a"/>
        <w:rPr>
          <w:rStyle w:val="afa"/>
          <w:rtl/>
        </w:rPr>
      </w:pPr>
      <w:r>
        <w:rPr>
          <w:rFonts w:hint="cs"/>
          <w:rtl/>
        </w:rPr>
        <w:t xml:space="preserve">ותירץ </w:t>
      </w:r>
      <w:r w:rsidRPr="00CD4674">
        <w:rPr>
          <w:rStyle w:val="af8"/>
          <w:rFonts w:hint="cs"/>
          <w:rtl/>
        </w:rPr>
        <w:t>הפרמ"ג</w:t>
      </w:r>
      <w:r>
        <w:rPr>
          <w:rFonts w:hint="cs"/>
          <w:rtl/>
        </w:rPr>
        <w:t xml:space="preserve"> דכוונת </w:t>
      </w:r>
      <w:r w:rsidRPr="00CD4674">
        <w:rPr>
          <w:rStyle w:val="af8"/>
          <w:rFonts w:hint="cs"/>
          <w:rtl/>
        </w:rPr>
        <w:t>הרשב"א</w:t>
      </w:r>
      <w:r>
        <w:rPr>
          <w:rFonts w:hint="cs"/>
          <w:rtl/>
        </w:rPr>
        <w:t xml:space="preserve"> לומר דהא דהתירו רבנן ביותר משישים בלח בלח במין במינו, אעפ"י דחשיב שאוכל את כל התערובת יחד, הוא כיון שטעם האיסור נאבד מעוצם מיעוטו בתוך השישים של ההיתר, ולכן לא גזרו בו רבנן אף שאוכל את כל התערובת יחד, וכתב </w:t>
      </w:r>
      <w:r w:rsidRPr="00CD4674">
        <w:rPr>
          <w:rStyle w:val="af8"/>
          <w:rFonts w:hint="cs"/>
          <w:rtl/>
        </w:rPr>
        <w:t>הפרמ"ג</w:t>
      </w:r>
      <w:r>
        <w:rPr>
          <w:rFonts w:hint="cs"/>
          <w:rtl/>
        </w:rPr>
        <w:t xml:space="preserve"> דלכן כתב </w:t>
      </w:r>
      <w:r w:rsidRPr="00CD4674">
        <w:rPr>
          <w:rStyle w:val="af8"/>
          <w:rFonts w:hint="cs"/>
          <w:rtl/>
        </w:rPr>
        <w:t>הרשב"א</w:t>
      </w:r>
      <w:r>
        <w:rPr>
          <w:rFonts w:hint="cs"/>
          <w:rtl/>
        </w:rPr>
        <w:t xml:space="preserve"> דבמין במינו אסור רק בפחות משישים, כיון שבכה"ג האיסור נותן טעם במין בשאינו מינו, אבל ביותר משישים דאף במין בשאינו מינו אינו נותן טעם לא גזרו רבנן אף במין במינו, אעפ"י דחשיב שאוכל את כל התערובת יחד. </w:t>
      </w:r>
      <w:r w:rsidRPr="00AC7C10">
        <w:rPr>
          <w:rStyle w:val="afa"/>
          <w:rFonts w:hint="cs"/>
          <w:rtl/>
        </w:rPr>
        <w:t xml:space="preserve">[ועי' במה שהקשה </w:t>
      </w:r>
      <w:r w:rsidRPr="00AC7C10">
        <w:rPr>
          <w:rStyle w:val="affa"/>
          <w:rFonts w:hint="cs"/>
          <w:rtl/>
        </w:rPr>
        <w:t>השער"י</w:t>
      </w:r>
      <w:r w:rsidRPr="00AC7C10">
        <w:rPr>
          <w:rStyle w:val="afa"/>
          <w:rFonts w:hint="cs"/>
          <w:rtl/>
        </w:rPr>
        <w:t xml:space="preserve"> </w:t>
      </w:r>
      <w:r w:rsidRPr="00AC7C10">
        <w:rPr>
          <w:rStyle w:val="aff6"/>
          <w:rFonts w:hint="cs"/>
          <w:rtl/>
        </w:rPr>
        <w:t xml:space="preserve">(ש"ג ריש פ"ט, </w:t>
      </w:r>
      <w:r>
        <w:rPr>
          <w:rStyle w:val="aff6"/>
          <w:rFonts w:hint="cs"/>
          <w:rtl/>
        </w:rPr>
        <w:t>הובא בסימן י</w:t>
      </w:r>
      <w:r>
        <w:rPr>
          <w:rStyle w:val="aff6"/>
          <w:rtl/>
        </w:rPr>
        <w:t>"</w:t>
      </w:r>
      <w:r>
        <w:rPr>
          <w:rStyle w:val="aff6"/>
          <w:rFonts w:hint="cs"/>
          <w:rtl/>
        </w:rPr>
        <w:t>ז אות ק"ח</w:t>
      </w:r>
      <w:r w:rsidRPr="00AC7C10">
        <w:rPr>
          <w:rStyle w:val="aff6"/>
          <w:rFonts w:hint="cs"/>
          <w:rtl/>
        </w:rPr>
        <w:t>)</w:t>
      </w:r>
      <w:r w:rsidRPr="00AC7C10">
        <w:rPr>
          <w:rStyle w:val="afa"/>
          <w:rFonts w:hint="cs"/>
          <w:rtl/>
        </w:rPr>
        <w:t xml:space="preserve"> על </w:t>
      </w:r>
      <w:r w:rsidRPr="00AC7C10">
        <w:rPr>
          <w:rStyle w:val="affa"/>
          <w:rFonts w:hint="cs"/>
          <w:rtl/>
        </w:rPr>
        <w:t>הפרמ"ג</w:t>
      </w:r>
      <w:r w:rsidRPr="00AC7C10">
        <w:rPr>
          <w:rStyle w:val="afa"/>
          <w:rFonts w:hint="cs"/>
          <w:rtl/>
        </w:rPr>
        <w:t xml:space="preserve">, וביאר </w:t>
      </w:r>
      <w:r w:rsidRPr="00AC7C10">
        <w:rPr>
          <w:rStyle w:val="affa"/>
          <w:rFonts w:hint="cs"/>
          <w:rtl/>
        </w:rPr>
        <w:t>השער"י</w:t>
      </w:r>
      <w:r w:rsidRPr="00AC7C10">
        <w:rPr>
          <w:rStyle w:val="afa"/>
          <w:rFonts w:hint="cs"/>
          <w:rtl/>
        </w:rPr>
        <w:t xml:space="preserve"> </w:t>
      </w:r>
      <w:r w:rsidRPr="00AC7C10">
        <w:rPr>
          <w:rStyle w:val="aff6"/>
          <w:rFonts w:hint="cs"/>
          <w:rtl/>
        </w:rPr>
        <w:t xml:space="preserve">(ש"ג פ"ט ד"ה וע"כ נלענ"ד, </w:t>
      </w:r>
      <w:r>
        <w:rPr>
          <w:rStyle w:val="aff6"/>
          <w:rFonts w:hint="cs"/>
          <w:rtl/>
        </w:rPr>
        <w:t>הובא בסימן י</w:t>
      </w:r>
      <w:r>
        <w:rPr>
          <w:rStyle w:val="aff6"/>
          <w:rtl/>
        </w:rPr>
        <w:t>"</w:t>
      </w:r>
      <w:r>
        <w:rPr>
          <w:rStyle w:val="aff6"/>
          <w:rFonts w:hint="cs"/>
          <w:rtl/>
        </w:rPr>
        <w:t>ז אות ק"י</w:t>
      </w:r>
      <w:r w:rsidRPr="00AC7C10">
        <w:rPr>
          <w:rStyle w:val="aff6"/>
          <w:rFonts w:hint="cs"/>
          <w:rtl/>
        </w:rPr>
        <w:t>)</w:t>
      </w:r>
      <w:r w:rsidRPr="00AC7C10">
        <w:rPr>
          <w:rStyle w:val="afa"/>
          <w:rFonts w:hint="cs"/>
          <w:rtl/>
        </w:rPr>
        <w:t xml:space="preserve"> דאף </w:t>
      </w:r>
      <w:r w:rsidRPr="00AC7C10">
        <w:rPr>
          <w:rStyle w:val="affa"/>
          <w:rFonts w:hint="cs"/>
          <w:rtl/>
        </w:rPr>
        <w:t>הרשב"א</w:t>
      </w:r>
      <w:r w:rsidR="0004214E">
        <w:rPr>
          <w:rStyle w:val="afa"/>
          <w:rFonts w:hint="cs"/>
          <w:rtl/>
        </w:rPr>
        <w:t xml:space="preserve"> מודה </w:t>
      </w:r>
      <w:r w:rsidRPr="00AC7C10">
        <w:rPr>
          <w:rStyle w:val="afa"/>
          <w:rFonts w:hint="cs"/>
          <w:rtl/>
        </w:rPr>
        <w:t>דגזרו במין במינו אטו מין בשאינו מינו, ולכן ביבש ביבש מותר כיון שלא שייך לגזור בו אטו מין בשאינו מינו, דמהני בו ביטול ברוב מדאו'].</w:t>
      </w:r>
    </w:p>
    <w:p w:rsidR="00D45705" w:rsidRDefault="00D45705" w:rsidP="00D45705">
      <w:pPr>
        <w:pStyle w:val="a2"/>
        <w:rPr>
          <w:rtl/>
        </w:rPr>
      </w:pPr>
      <w:bookmarkStart w:id="12485" w:name="_Toc23499476"/>
      <w:bookmarkStart w:id="12486" w:name="_Toc23663882"/>
      <w:bookmarkStart w:id="12487" w:name="_Toc23672535"/>
      <w:bookmarkStart w:id="12488" w:name="_Toc23673099"/>
      <w:r>
        <w:rPr>
          <w:rFonts w:hint="cs"/>
          <w:rtl/>
        </w:rPr>
        <w:t>דברי הפרמ"ג דלדעת הרשב"א אסור לאכול יבש את כל התערובת בבת אחת אף כשיש שישים</w:t>
      </w:r>
      <w:bookmarkEnd w:id="12485"/>
      <w:bookmarkEnd w:id="12486"/>
      <w:bookmarkEnd w:id="12487"/>
      <w:bookmarkEnd w:id="12488"/>
    </w:p>
    <w:p w:rsidR="00D45705" w:rsidRDefault="00D45705" w:rsidP="009F44AF">
      <w:pPr>
        <w:pStyle w:val="a"/>
        <w:rPr>
          <w:rtl/>
        </w:rPr>
      </w:pPr>
      <w:r>
        <w:rPr>
          <w:rFonts w:hint="cs"/>
          <w:rtl/>
        </w:rPr>
        <w:lastRenderedPageBreak/>
        <w:t xml:space="preserve">וכתב </w:t>
      </w:r>
      <w:r w:rsidRPr="00CD4674">
        <w:rPr>
          <w:rStyle w:val="af8"/>
          <w:rFonts w:hint="cs"/>
          <w:rtl/>
        </w:rPr>
        <w:t>הפרמ"ג</w:t>
      </w:r>
      <w:r>
        <w:rPr>
          <w:rFonts w:hint="cs"/>
          <w:rtl/>
        </w:rPr>
        <w:t xml:space="preserve"> דלפי"ז </w:t>
      </w:r>
      <w:r w:rsidR="0004214E">
        <w:rPr>
          <w:rFonts w:hint="cs"/>
          <w:rtl/>
        </w:rPr>
        <w:t>אפש"ל ד</w:t>
      </w:r>
      <w:r>
        <w:rPr>
          <w:rFonts w:hint="cs"/>
          <w:rtl/>
        </w:rPr>
        <w:t>ביבש ביבש אסור לאכול את כל התערובת בבת אחת, אף כשיש שישים בהיתר כנגד האיסור, דדוקא בלח בלח כשאיסור מעורב בהיתר, וכל משהו מהאיסור הוא מעורב בתוך ההיתר, לכן לא גזרו רבנן כיון שהאיסו</w:t>
      </w:r>
      <w:r w:rsidR="000768B7">
        <w:rPr>
          <w:rFonts w:hint="cs"/>
          <w:rtl/>
        </w:rPr>
        <w:t>ר</w:t>
      </w:r>
      <w:r>
        <w:rPr>
          <w:rFonts w:hint="cs"/>
          <w:rtl/>
        </w:rPr>
        <w:t xml:space="preserve"> אבד בעוצם מיעוטו, אבל ביבש ביבש שהאיסור אינו מעורב בכל ההיתר, אפש"ל דגזרו רבנן דאסור לאכול את כל התערובת בבת אחת, אף שיש שישים בהיתר כנגד האיסור.</w:t>
      </w:r>
    </w:p>
    <w:p w:rsidR="00D45705" w:rsidRPr="00AD7929" w:rsidRDefault="00D45705" w:rsidP="00D45705">
      <w:pPr>
        <w:pStyle w:val="1"/>
        <w:rPr>
          <w:rtl/>
        </w:rPr>
      </w:pPr>
      <w:bookmarkStart w:id="12489" w:name="_Toc23499477"/>
      <w:bookmarkStart w:id="12490" w:name="_Toc23663883"/>
      <w:bookmarkStart w:id="12491" w:name="_Toc23672536"/>
      <w:bookmarkStart w:id="12492" w:name="_Toc23673100"/>
      <w:r>
        <w:rPr>
          <w:rFonts w:hint="cs"/>
          <w:rtl/>
        </w:rPr>
        <w:t>ביאור האבנ"מ ברשב"א דהחמירו בלח בשיעור הרגשת טעם</w:t>
      </w:r>
      <w:bookmarkEnd w:id="12489"/>
      <w:bookmarkEnd w:id="12490"/>
      <w:bookmarkEnd w:id="12491"/>
      <w:bookmarkEnd w:id="12492"/>
    </w:p>
    <w:p w:rsidR="00D45705" w:rsidRDefault="00D45705" w:rsidP="00D45705">
      <w:pPr>
        <w:pStyle w:val="a2"/>
        <w:rPr>
          <w:rtl/>
        </w:rPr>
      </w:pPr>
      <w:bookmarkStart w:id="12493" w:name="_Toc23499478"/>
      <w:bookmarkStart w:id="12494" w:name="_Toc23663884"/>
      <w:bookmarkStart w:id="12495" w:name="_Toc23672537"/>
      <w:bookmarkStart w:id="12496" w:name="_Toc23673101"/>
      <w:r>
        <w:rPr>
          <w:rFonts w:hint="cs"/>
          <w:rtl/>
        </w:rPr>
        <w:t>דברי האבנ"מ דמשמע באחרונים דבלח גזרו במינו אטו שאינו מינו שצריך שישים</w:t>
      </w:r>
      <w:bookmarkEnd w:id="12493"/>
      <w:bookmarkEnd w:id="12494"/>
      <w:bookmarkEnd w:id="12495"/>
      <w:bookmarkEnd w:id="12496"/>
    </w:p>
    <w:p w:rsidR="00D45705" w:rsidRDefault="00D45705" w:rsidP="009F44AF">
      <w:pPr>
        <w:pStyle w:val="a"/>
        <w:rPr>
          <w:rtl/>
        </w:rPr>
      </w:pPr>
      <w:bookmarkStart w:id="12497" w:name="_Ref23418985"/>
      <w:r>
        <w:rPr>
          <w:rFonts w:hint="cs"/>
          <w:rtl/>
        </w:rPr>
        <w:t xml:space="preserve">כתב </w:t>
      </w:r>
      <w:r w:rsidRPr="00AD7929">
        <w:rPr>
          <w:rStyle w:val="af8"/>
          <w:rFonts w:hint="cs"/>
          <w:rtl/>
        </w:rPr>
        <w:t>האבנ"מ</w:t>
      </w:r>
      <w:r>
        <w:rPr>
          <w:rFonts w:hint="cs"/>
          <w:rtl/>
        </w:rPr>
        <w:t xml:space="preserve"> </w:t>
      </w:r>
      <w:r w:rsidRPr="00AD7929">
        <w:rPr>
          <w:rStyle w:val="af6"/>
          <w:rFonts w:eastAsia="Guttman Hodes" w:hint="cs"/>
          <w:rtl/>
        </w:rPr>
        <w:t>(שו"ת סי' ד' ד"ה אמנם לענ"ד)</w:t>
      </w:r>
      <w:r>
        <w:rPr>
          <w:rFonts w:hint="cs"/>
          <w:rtl/>
        </w:rPr>
        <w:t xml:space="preserve"> דמשמע מדברי ה</w:t>
      </w:r>
      <w:r w:rsidRPr="00AD7929">
        <w:rPr>
          <w:rStyle w:val="af8"/>
          <w:rFonts w:hint="cs"/>
          <w:rtl/>
        </w:rPr>
        <w:t>אחרונים</w:t>
      </w:r>
      <w:r>
        <w:rPr>
          <w:rFonts w:hint="cs"/>
          <w:rtl/>
        </w:rPr>
        <w:t xml:space="preserve"> דהא דבמין במינו בלח בלח צריך שישים, הוא מגזירה אטו מין בשאינו מינו.</w:t>
      </w:r>
    </w:p>
    <w:p w:rsidR="00D45705" w:rsidRPr="00AD7929" w:rsidRDefault="00D45705" w:rsidP="00D45705">
      <w:pPr>
        <w:pStyle w:val="a2"/>
      </w:pPr>
      <w:bookmarkStart w:id="12498" w:name="_Toc23499479"/>
      <w:bookmarkStart w:id="12499" w:name="_Toc23663885"/>
      <w:bookmarkStart w:id="12500" w:name="_Toc23672538"/>
      <w:bookmarkStart w:id="12501" w:name="_Toc23673102"/>
      <w:r>
        <w:rPr>
          <w:rFonts w:hint="cs"/>
          <w:rtl/>
        </w:rPr>
        <w:t>דברי האבנ"מ ברשב"א דהחמירו בלח במינו דהוא שיעור הרגשת טעם באינו מינו ואינו גזירה</w:t>
      </w:r>
      <w:bookmarkEnd w:id="12498"/>
      <w:bookmarkEnd w:id="12499"/>
      <w:bookmarkEnd w:id="12500"/>
      <w:bookmarkEnd w:id="12501"/>
    </w:p>
    <w:p w:rsidR="00D45705" w:rsidRPr="00582D55" w:rsidRDefault="00D45705" w:rsidP="009F44AF">
      <w:pPr>
        <w:pStyle w:val="a"/>
        <w:rPr>
          <w:rtl/>
        </w:rPr>
      </w:pPr>
      <w:r>
        <w:rPr>
          <w:rFonts w:hint="cs"/>
          <w:rtl/>
        </w:rPr>
        <w:t xml:space="preserve">אך הביא </w:t>
      </w:r>
      <w:r w:rsidRPr="00AD7929">
        <w:rPr>
          <w:rStyle w:val="af8"/>
          <w:rFonts w:hint="cs"/>
          <w:rtl/>
        </w:rPr>
        <w:t>האבנ"מ</w:t>
      </w:r>
      <w:r>
        <w:rPr>
          <w:rFonts w:hint="cs"/>
          <w:rtl/>
        </w:rPr>
        <w:t xml:space="preserve"> את דברי </w:t>
      </w:r>
      <w:r w:rsidRPr="00927358">
        <w:rPr>
          <w:rStyle w:val="af8"/>
          <w:rFonts w:hint="cs"/>
          <w:rtl/>
        </w:rPr>
        <w:t>הרשב"א בתוה"ב</w:t>
      </w:r>
      <w:r>
        <w:rPr>
          <w:rFonts w:hint="cs"/>
          <w:rtl/>
        </w:rPr>
        <w:t xml:space="preserve"> </w:t>
      </w:r>
      <w:r w:rsidRPr="009D295E">
        <w:rPr>
          <w:rStyle w:val="af6"/>
          <w:rFonts w:eastAsia="Guttman Hodes" w:hint="cs"/>
          <w:rtl/>
        </w:rPr>
        <w:t xml:space="preserve">(עי' אות </w:t>
      </w:r>
      <w:r w:rsidRPr="009D295E">
        <w:rPr>
          <w:rStyle w:val="af6"/>
          <w:rFonts w:eastAsia="Guttman Hodes"/>
          <w:rtl/>
        </w:rPr>
        <w:fldChar w:fldCharType="begin"/>
      </w:r>
      <w:r w:rsidRPr="009D295E">
        <w:rPr>
          <w:rStyle w:val="af6"/>
          <w:rFonts w:eastAsia="Guttman Hodes"/>
          <w:rtl/>
        </w:rPr>
        <w:instrText xml:space="preserve"> </w:instrText>
      </w:r>
      <w:r w:rsidRPr="009D295E">
        <w:rPr>
          <w:rStyle w:val="af6"/>
          <w:rFonts w:eastAsia="Guttman Hodes" w:hint="cs"/>
        </w:rPr>
        <w:instrText>REF</w:instrText>
      </w:r>
      <w:r w:rsidRPr="009D295E">
        <w:rPr>
          <w:rStyle w:val="af6"/>
          <w:rFonts w:eastAsia="Guttman Hodes" w:hint="cs"/>
          <w:rtl/>
        </w:rPr>
        <w:instrText xml:space="preserve"> _</w:instrText>
      </w:r>
      <w:r w:rsidRPr="009D295E">
        <w:rPr>
          <w:rStyle w:val="af6"/>
          <w:rFonts w:eastAsia="Guttman Hodes" w:hint="cs"/>
        </w:rPr>
        <w:instrText>Ref23243540 \r \h</w:instrText>
      </w:r>
      <w:r w:rsidRPr="009D295E">
        <w:rPr>
          <w:rStyle w:val="af6"/>
          <w:rFonts w:eastAsia="Guttman Hodes"/>
          <w:rtl/>
        </w:rPr>
        <w:instrText xml:space="preserve"> </w:instrText>
      </w:r>
      <w:r w:rsidRPr="009D295E">
        <w:rPr>
          <w:rStyle w:val="af6"/>
          <w:rFonts w:eastAsia="Guttman Hodes"/>
          <w:rtl/>
        </w:rPr>
      </w:r>
      <w:r w:rsidRPr="009D295E">
        <w:rPr>
          <w:rStyle w:val="af6"/>
          <w:rFonts w:eastAsia="Guttman Hodes"/>
          <w:rtl/>
        </w:rPr>
        <w:fldChar w:fldCharType="separate"/>
      </w:r>
      <w:r w:rsidR="004D1C5B">
        <w:rPr>
          <w:rStyle w:val="af6"/>
          <w:rFonts w:eastAsia="Guttman Hodes"/>
          <w:cs/>
        </w:rPr>
        <w:t>‎</w:t>
      </w:r>
      <w:r w:rsidR="004D1C5B">
        <w:rPr>
          <w:rStyle w:val="af6"/>
          <w:rFonts w:eastAsia="Guttman Hodes"/>
          <w:rtl/>
        </w:rPr>
        <w:t>פ)</w:t>
      </w:r>
      <w:r w:rsidRPr="009D295E">
        <w:rPr>
          <w:rStyle w:val="af6"/>
          <w:rFonts w:eastAsia="Guttman Hodes"/>
          <w:rtl/>
        </w:rPr>
        <w:fldChar w:fldCharType="end"/>
      </w:r>
      <w:r>
        <w:rPr>
          <w:rFonts w:hint="cs"/>
          <w:rtl/>
        </w:rPr>
        <w:t xml:space="preserve"> דכתב דבלח בלח צריך שישים דאף שלא מורגש בו הטעם מ"מ החמירו רבנן כיון שבמין בשאינו מינו מורגש בו הטעם, וכתב </w:t>
      </w:r>
      <w:r w:rsidRPr="00AD7929">
        <w:rPr>
          <w:rStyle w:val="af8"/>
          <w:rFonts w:hint="cs"/>
          <w:rtl/>
        </w:rPr>
        <w:t>האבנ"מ</w:t>
      </w:r>
      <w:r>
        <w:rPr>
          <w:rFonts w:hint="cs"/>
          <w:rtl/>
        </w:rPr>
        <w:t xml:space="preserve"> דמבואר מדברי </w:t>
      </w:r>
      <w:r w:rsidRPr="00AD7929">
        <w:rPr>
          <w:rStyle w:val="af8"/>
          <w:rFonts w:hint="cs"/>
          <w:rtl/>
        </w:rPr>
        <w:t>הרשב"א</w:t>
      </w:r>
      <w:r>
        <w:rPr>
          <w:rFonts w:hint="cs"/>
          <w:rtl/>
        </w:rPr>
        <w:t xml:space="preserve"> דהאיסור בלח בלח אינו מדין גזירה אטו מין בשאינו מינו, אלא הוא חומרא דרבנן כיון שבפחות משישים מורגש הטעם, ולכן אף שהוא מין במינו וטעם האיסור אינו מורגש, מ"מ כיון שיש בו שיעור הרגשת טעם החמירו בו ואסרוהו מדרבנן.</w:t>
      </w:r>
      <w:bookmarkEnd w:id="12497"/>
    </w:p>
    <w:p w:rsidR="00D45705" w:rsidRDefault="00D45705" w:rsidP="00E669F8">
      <w:pPr>
        <w:pStyle w:val="afd"/>
        <w:rPr>
          <w:rtl/>
        </w:rPr>
      </w:pPr>
      <w:bookmarkStart w:id="12502" w:name="_Toc22638865"/>
      <w:bookmarkStart w:id="12503" w:name="_Toc23224100"/>
      <w:bookmarkStart w:id="12504" w:name="_Toc23372497"/>
      <w:bookmarkStart w:id="12505" w:name="_Toc23419187"/>
      <w:bookmarkStart w:id="12506" w:name="_Toc23499480"/>
      <w:bookmarkStart w:id="12507" w:name="_Toc23663886"/>
      <w:bookmarkStart w:id="12508" w:name="_Toc23672539"/>
      <w:bookmarkStart w:id="12509" w:name="_Toc23673103"/>
      <w:bookmarkStart w:id="12510" w:name="_Toc22250680"/>
      <w:bookmarkStart w:id="12511" w:name="_Toc22638902"/>
      <w:bookmarkEnd w:id="12359"/>
      <w:bookmarkEnd w:id="12360"/>
      <w:bookmarkEnd w:id="12361"/>
      <w:bookmarkEnd w:id="12445"/>
      <w:bookmarkEnd w:id="12446"/>
      <w:r>
        <w:rPr>
          <w:rFonts w:hint="cs"/>
          <w:rtl/>
        </w:rPr>
        <w:t>במקור וגדר דין ביטול ברוב</w:t>
      </w:r>
      <w:bookmarkEnd w:id="12502"/>
      <w:bookmarkEnd w:id="12503"/>
      <w:bookmarkEnd w:id="12504"/>
      <w:bookmarkEnd w:id="12505"/>
      <w:bookmarkEnd w:id="12506"/>
      <w:bookmarkEnd w:id="12507"/>
      <w:bookmarkEnd w:id="12508"/>
      <w:bookmarkEnd w:id="12509"/>
    </w:p>
    <w:p w:rsidR="00D45705" w:rsidRDefault="00D45705" w:rsidP="00D45705">
      <w:pPr>
        <w:pStyle w:val="1"/>
        <w:rPr>
          <w:rtl/>
        </w:rPr>
      </w:pPr>
      <w:bookmarkStart w:id="12512" w:name="_Toc22638866"/>
      <w:bookmarkStart w:id="12513" w:name="_Toc23224101"/>
      <w:bookmarkStart w:id="12514" w:name="_Toc23372498"/>
      <w:bookmarkStart w:id="12515" w:name="_Toc23419188"/>
      <w:bookmarkStart w:id="12516" w:name="_Toc23499481"/>
      <w:bookmarkStart w:id="12517" w:name="_Toc23663887"/>
      <w:bookmarkStart w:id="12518" w:name="_Toc23672540"/>
      <w:bookmarkStart w:id="12519" w:name="_Toc23673104"/>
      <w:r>
        <w:rPr>
          <w:rFonts w:hint="cs"/>
          <w:rtl/>
        </w:rPr>
        <w:t>דברי הראשונים דדין ביטול ברוב נלמד מאחרי רבים להטות</w:t>
      </w:r>
      <w:bookmarkEnd w:id="12510"/>
      <w:bookmarkEnd w:id="12512"/>
      <w:bookmarkEnd w:id="12513"/>
      <w:bookmarkEnd w:id="12514"/>
      <w:bookmarkEnd w:id="12515"/>
      <w:bookmarkEnd w:id="12516"/>
      <w:bookmarkEnd w:id="12517"/>
      <w:bookmarkEnd w:id="12518"/>
      <w:bookmarkEnd w:id="12519"/>
    </w:p>
    <w:p w:rsidR="00D45705" w:rsidRPr="00727363" w:rsidRDefault="00D45705" w:rsidP="00D45705">
      <w:pPr>
        <w:pStyle w:val="a2"/>
        <w:rPr>
          <w:rtl/>
        </w:rPr>
      </w:pPr>
      <w:bookmarkStart w:id="12520" w:name="_Toc22638867"/>
      <w:bookmarkStart w:id="12521" w:name="_Toc23224102"/>
      <w:bookmarkStart w:id="12522" w:name="_Toc23372499"/>
      <w:bookmarkStart w:id="12523" w:name="_Toc23419189"/>
      <w:bookmarkStart w:id="12524" w:name="_Toc23499482"/>
      <w:bookmarkStart w:id="12525" w:name="_Toc23663888"/>
      <w:bookmarkStart w:id="12526" w:name="_Toc23672541"/>
      <w:bookmarkStart w:id="12527" w:name="_Toc23673105"/>
      <w:r>
        <w:rPr>
          <w:rFonts w:hint="cs"/>
          <w:rtl/>
        </w:rPr>
        <w:t>דברי רש"י ותוס' והרמב"ן דביטול ברוב בחד בתרי נלמד מאחרי רבים להטות</w:t>
      </w:r>
      <w:bookmarkEnd w:id="12520"/>
      <w:bookmarkEnd w:id="12521"/>
      <w:bookmarkEnd w:id="12522"/>
      <w:bookmarkEnd w:id="12523"/>
      <w:bookmarkEnd w:id="12524"/>
      <w:bookmarkEnd w:id="12525"/>
      <w:bookmarkEnd w:id="12526"/>
      <w:bookmarkEnd w:id="12527"/>
    </w:p>
    <w:p w:rsidR="00D45705" w:rsidRDefault="00D45705" w:rsidP="009F44AF">
      <w:pPr>
        <w:pStyle w:val="a"/>
        <w:rPr>
          <w:rtl/>
        </w:rPr>
      </w:pPr>
      <w:bookmarkStart w:id="12528" w:name="_Ref23623666"/>
      <w:r>
        <w:rPr>
          <w:rFonts w:hint="cs"/>
          <w:rtl/>
        </w:rPr>
        <w:t xml:space="preserve">כתב </w:t>
      </w:r>
      <w:r w:rsidRPr="005B157F">
        <w:rPr>
          <w:rStyle w:val="af8"/>
          <w:rFonts w:hint="cs"/>
          <w:rtl/>
        </w:rPr>
        <w:t xml:space="preserve">רש"י </w:t>
      </w:r>
      <w:r>
        <w:rPr>
          <w:rStyle w:val="af8"/>
          <w:rFonts w:hint="cs"/>
          <w:rtl/>
        </w:rPr>
        <w:t xml:space="preserve">לעיל </w:t>
      </w:r>
      <w:r w:rsidRPr="0045356E">
        <w:rPr>
          <w:rStyle w:val="af6"/>
          <w:rFonts w:eastAsia="Guttman Hodes" w:hint="cs"/>
          <w:rtl/>
        </w:rPr>
        <w:t>(צח: ד"ה דמדאו', ד"ה לטעם)</w:t>
      </w:r>
      <w:r>
        <w:rPr>
          <w:rStyle w:val="af8"/>
          <w:rFonts w:hint="cs"/>
          <w:rtl/>
        </w:rPr>
        <w:t xml:space="preserve"> ו</w:t>
      </w:r>
      <w:r w:rsidRPr="005B157F">
        <w:rPr>
          <w:rStyle w:val="af8"/>
          <w:rFonts w:hint="cs"/>
          <w:rtl/>
        </w:rPr>
        <w:t>בביצה</w:t>
      </w:r>
      <w:r>
        <w:rPr>
          <w:rFonts w:hint="cs"/>
          <w:rtl/>
        </w:rPr>
        <w:t xml:space="preserve"> </w:t>
      </w:r>
      <w:r w:rsidRPr="0045356E">
        <w:rPr>
          <w:rStyle w:val="af6"/>
          <w:rFonts w:eastAsia="Guttman Hodes" w:hint="cs"/>
          <w:rtl/>
        </w:rPr>
        <w:t xml:space="preserve">(ג: ד"ה אפילו) </w:t>
      </w:r>
      <w:r>
        <w:rPr>
          <w:rStyle w:val="af8"/>
          <w:rFonts w:hint="cs"/>
          <w:rtl/>
        </w:rPr>
        <w:t xml:space="preserve">ובזבחים </w:t>
      </w:r>
      <w:r w:rsidRPr="0045356E">
        <w:rPr>
          <w:rStyle w:val="af6"/>
          <w:rFonts w:eastAsia="Guttman Hodes" w:hint="cs"/>
          <w:rtl/>
        </w:rPr>
        <w:t xml:space="preserve">(עב. ד"ה ופרכינן) </w:t>
      </w:r>
      <w:r w:rsidRPr="008951FC">
        <w:rPr>
          <w:rStyle w:val="af8"/>
          <w:rFonts w:hint="cs"/>
          <w:rtl/>
        </w:rPr>
        <w:t xml:space="preserve">ובגיטין </w:t>
      </w:r>
      <w:r w:rsidRPr="0045356E">
        <w:rPr>
          <w:rStyle w:val="af6"/>
          <w:rFonts w:eastAsia="Guttman Hodes" w:hint="cs"/>
          <w:rtl/>
        </w:rPr>
        <w:t xml:space="preserve">(נד: ד"ה לא יעלו) </w:t>
      </w:r>
      <w:r>
        <w:rPr>
          <w:rFonts w:hint="cs"/>
          <w:rtl/>
        </w:rPr>
        <w:t xml:space="preserve">דילפינן מדכתיב אחרי רבים להטות, דמדאו' חד בתרי בטיל, וכ"כ </w:t>
      </w:r>
      <w:r w:rsidRPr="001812AF">
        <w:rPr>
          <w:rStyle w:val="af8"/>
          <w:rFonts w:hint="cs"/>
          <w:rtl/>
        </w:rPr>
        <w:t>התוס' בע"ז</w:t>
      </w:r>
      <w:r>
        <w:rPr>
          <w:rFonts w:hint="cs"/>
          <w:rtl/>
        </w:rPr>
        <w:t xml:space="preserve"> </w:t>
      </w:r>
      <w:r w:rsidRPr="0045356E">
        <w:rPr>
          <w:rStyle w:val="af6"/>
          <w:rFonts w:eastAsia="Guttman Hodes" w:hint="cs"/>
          <w:rtl/>
        </w:rPr>
        <w:t>(סז. ד"ה אריו"ח בתו"ד)</w:t>
      </w:r>
      <w:r w:rsidRPr="0045356E">
        <w:rPr>
          <w:rFonts w:hint="cs"/>
          <w:rtl/>
        </w:rPr>
        <w:t xml:space="preserve"> </w:t>
      </w:r>
      <w:r w:rsidRPr="0045356E">
        <w:rPr>
          <w:rStyle w:val="af8"/>
          <w:rFonts w:hint="cs"/>
          <w:rtl/>
        </w:rPr>
        <w:t>והרמב"ן לעיל</w:t>
      </w:r>
      <w:r>
        <w:rPr>
          <w:rFonts w:hint="cs"/>
          <w:rtl/>
        </w:rPr>
        <w:t xml:space="preserve"> </w:t>
      </w:r>
      <w:r w:rsidRPr="0045356E">
        <w:rPr>
          <w:rStyle w:val="af6"/>
          <w:rFonts w:eastAsia="Guttman Hodes" w:hint="cs"/>
          <w:rtl/>
        </w:rPr>
        <w:t>(צח: ד"ה וליגמר)</w:t>
      </w:r>
      <w:r>
        <w:rPr>
          <w:rFonts w:hint="cs"/>
          <w:rtl/>
        </w:rPr>
        <w:t>.</w:t>
      </w:r>
      <w:bookmarkEnd w:id="12528"/>
      <w:r w:rsidRPr="00454AA2">
        <w:rPr>
          <w:rFonts w:hint="cs"/>
          <w:rtl/>
        </w:rPr>
        <w:t xml:space="preserve"> </w:t>
      </w:r>
    </w:p>
    <w:p w:rsidR="00D45705" w:rsidRPr="00454AA2" w:rsidRDefault="00D45705" w:rsidP="00D45705">
      <w:pPr>
        <w:pStyle w:val="a2"/>
      </w:pPr>
      <w:bookmarkStart w:id="12529" w:name="_Toc22638868"/>
      <w:bookmarkStart w:id="12530" w:name="_Toc23224103"/>
      <w:bookmarkStart w:id="12531" w:name="_Toc23372500"/>
      <w:bookmarkStart w:id="12532" w:name="_Toc23419190"/>
      <w:bookmarkStart w:id="12533" w:name="_Toc23499483"/>
      <w:bookmarkStart w:id="12534" w:name="_Toc23663889"/>
      <w:bookmarkStart w:id="12535" w:name="_Toc23672542"/>
      <w:bookmarkStart w:id="12536" w:name="_Toc23673106"/>
      <w:r>
        <w:rPr>
          <w:rFonts w:hint="cs"/>
          <w:rtl/>
        </w:rPr>
        <w:t>דברי הרא"ש דביבש ביבש יש גזיה"כ מאחרי רבים להטות דהאיסור בטל ברוב ונהפך להיתר</w:t>
      </w:r>
      <w:bookmarkEnd w:id="12529"/>
      <w:bookmarkEnd w:id="12530"/>
      <w:bookmarkEnd w:id="12531"/>
      <w:bookmarkEnd w:id="12532"/>
      <w:bookmarkEnd w:id="12533"/>
      <w:bookmarkEnd w:id="12534"/>
      <w:bookmarkEnd w:id="12535"/>
      <w:bookmarkEnd w:id="12536"/>
    </w:p>
    <w:p w:rsidR="00D45705" w:rsidRDefault="00D45705" w:rsidP="009F44AF">
      <w:pPr>
        <w:pStyle w:val="a"/>
        <w:rPr>
          <w:rtl/>
        </w:rPr>
      </w:pPr>
      <w:bookmarkStart w:id="12537" w:name="_Ref23624626"/>
      <w:r>
        <w:rPr>
          <w:rFonts w:hint="cs"/>
          <w:rtl/>
        </w:rPr>
        <w:t xml:space="preserve">וכתב </w:t>
      </w:r>
      <w:r w:rsidRPr="001929A2">
        <w:rPr>
          <w:rStyle w:val="af8"/>
          <w:rFonts w:hint="cs"/>
          <w:rtl/>
        </w:rPr>
        <w:t>הרא</w:t>
      </w:r>
      <w:r w:rsidRPr="005C08EA">
        <w:rPr>
          <w:rStyle w:val="af8"/>
          <w:rFonts w:hint="cs"/>
          <w:rtl/>
        </w:rPr>
        <w:t>"ש</w:t>
      </w:r>
      <w:r w:rsidRPr="005C08EA">
        <w:rPr>
          <w:rStyle w:val="af6"/>
          <w:rFonts w:eastAsia="Guttman Hodes" w:hint="cs"/>
          <w:rtl/>
        </w:rPr>
        <w:t xml:space="preserve"> (סי' ל"ז)</w:t>
      </w:r>
      <w:r>
        <w:rPr>
          <w:rFonts w:hint="cs"/>
          <w:rtl/>
        </w:rPr>
        <w:t xml:space="preserve"> דביטול ברוב מותר</w:t>
      </w:r>
      <w:r w:rsidRPr="00104215">
        <w:rPr>
          <w:rFonts w:hint="cs"/>
          <w:rtl/>
        </w:rPr>
        <w:t xml:space="preserve"> </w:t>
      </w:r>
      <w:r>
        <w:rPr>
          <w:rFonts w:hint="cs"/>
          <w:rtl/>
        </w:rPr>
        <w:t xml:space="preserve">מגזיה"כ דאחרי רבים להטות, דכל </w:t>
      </w:r>
      <w:r w:rsidRPr="00553C95">
        <w:rPr>
          <w:rFonts w:hint="cs"/>
          <w:rtl/>
        </w:rPr>
        <w:t xml:space="preserve">שיש בתערובת חד בתרי האיסור נהפך להיות היתר, ועי' במה שהאריך בזה </w:t>
      </w:r>
      <w:r w:rsidRPr="00696D5C">
        <w:rPr>
          <w:rStyle w:val="af8"/>
          <w:rFonts w:hint="cs"/>
          <w:rtl/>
        </w:rPr>
        <w:t>הרא"ש</w:t>
      </w:r>
      <w:r>
        <w:rPr>
          <w:rFonts w:hint="cs"/>
          <w:rtl/>
        </w:rPr>
        <w:t xml:space="preserve"> </w:t>
      </w:r>
      <w:r w:rsidRPr="00C279C6">
        <w:rPr>
          <w:rStyle w:val="af6"/>
          <w:rFonts w:eastAsia="Guttman Hodes" w:hint="cs"/>
          <w:rtl/>
        </w:rPr>
        <w:t>(</w:t>
      </w:r>
      <w:r>
        <w:rPr>
          <w:rStyle w:val="af6"/>
          <w:rFonts w:eastAsia="Guttman Hodes" w:hint="cs"/>
          <w:rtl/>
        </w:rPr>
        <w:t>סי' ל"ז, הובא בסימן י</w:t>
      </w:r>
      <w:r>
        <w:rPr>
          <w:rStyle w:val="af6"/>
          <w:rFonts w:eastAsia="Guttman Hodes"/>
          <w:rtl/>
        </w:rPr>
        <w:t>"</w:t>
      </w:r>
      <w:r>
        <w:rPr>
          <w:rStyle w:val="af6"/>
          <w:rFonts w:eastAsia="Guttman Hodes" w:hint="cs"/>
          <w:rtl/>
        </w:rPr>
        <w:t>ז אות כ"ח</w:t>
      </w:r>
      <w:r w:rsidRPr="00C279C6">
        <w:rPr>
          <w:rStyle w:val="af6"/>
          <w:rFonts w:eastAsia="Guttman Hodes" w:hint="cs"/>
          <w:rtl/>
        </w:rPr>
        <w:t>)</w:t>
      </w:r>
      <w:r>
        <w:rPr>
          <w:rStyle w:val="af8"/>
          <w:rFonts w:hint="cs"/>
          <w:rtl/>
        </w:rPr>
        <w:t xml:space="preserve">, </w:t>
      </w:r>
      <w:r w:rsidRPr="00553C95">
        <w:rPr>
          <w:rFonts w:hint="cs"/>
          <w:rtl/>
        </w:rPr>
        <w:t xml:space="preserve">ובמה שנחלק עליו </w:t>
      </w:r>
      <w:r w:rsidRPr="00696D5C">
        <w:rPr>
          <w:rStyle w:val="af8"/>
          <w:rFonts w:hint="cs"/>
          <w:rtl/>
        </w:rPr>
        <w:t>הרשב"א</w:t>
      </w:r>
      <w:r>
        <w:rPr>
          <w:rFonts w:hint="cs"/>
          <w:rtl/>
        </w:rPr>
        <w:t xml:space="preserve"> </w:t>
      </w:r>
      <w:r w:rsidRPr="00C279C6">
        <w:rPr>
          <w:rStyle w:val="af6"/>
          <w:rFonts w:eastAsia="Guttman Hodes" w:hint="cs"/>
          <w:rtl/>
        </w:rPr>
        <w:t>(</w:t>
      </w:r>
      <w:r w:rsidRPr="00927358">
        <w:rPr>
          <w:rStyle w:val="af6"/>
          <w:rFonts w:eastAsia="Guttman Hodes" w:hint="cs"/>
          <w:rtl/>
        </w:rPr>
        <w:t>ב"ד ש"א יז. מדה"ס</w:t>
      </w:r>
      <w:r>
        <w:rPr>
          <w:rStyle w:val="af6"/>
          <w:rFonts w:eastAsia="Guttman Hodes" w:hint="cs"/>
          <w:rtl/>
        </w:rPr>
        <w:t>, הובא בסימן י</w:t>
      </w:r>
      <w:r>
        <w:rPr>
          <w:rStyle w:val="af6"/>
          <w:rFonts w:eastAsia="Guttman Hodes"/>
          <w:rtl/>
        </w:rPr>
        <w:t>"</w:t>
      </w:r>
      <w:r>
        <w:rPr>
          <w:rStyle w:val="af6"/>
          <w:rFonts w:eastAsia="Guttman Hodes" w:hint="cs"/>
          <w:rtl/>
        </w:rPr>
        <w:t>ז אות מ"ו</w:t>
      </w:r>
      <w:r w:rsidRPr="00C279C6">
        <w:rPr>
          <w:rStyle w:val="af6"/>
          <w:rFonts w:eastAsia="Guttman Hodes" w:hint="cs"/>
          <w:rtl/>
        </w:rPr>
        <w:t>)</w:t>
      </w:r>
      <w:r>
        <w:rPr>
          <w:rFonts w:hint="cs"/>
          <w:rtl/>
        </w:rPr>
        <w:t>.</w:t>
      </w:r>
      <w:bookmarkEnd w:id="12537"/>
    </w:p>
    <w:p w:rsidR="00D45705" w:rsidRPr="00C97133" w:rsidRDefault="00D45705" w:rsidP="00D45705">
      <w:pPr>
        <w:pStyle w:val="1"/>
        <w:rPr>
          <w:rtl/>
        </w:rPr>
      </w:pPr>
      <w:bookmarkStart w:id="12538" w:name="_Toc23224104"/>
      <w:bookmarkStart w:id="12539" w:name="_Toc23372501"/>
      <w:bookmarkStart w:id="12540" w:name="_Toc23419191"/>
      <w:bookmarkStart w:id="12541" w:name="_Toc23499484"/>
      <w:bookmarkStart w:id="12542" w:name="_Toc23663890"/>
      <w:bookmarkStart w:id="12543" w:name="_Toc23672543"/>
      <w:bookmarkStart w:id="12544" w:name="_Toc23673107"/>
      <w:r>
        <w:rPr>
          <w:rFonts w:hint="cs"/>
          <w:rtl/>
        </w:rPr>
        <w:t>ביאורי האחרונים היאך נלמד ביטול ברוב מסנהדרין</w:t>
      </w:r>
      <w:bookmarkEnd w:id="12538"/>
      <w:bookmarkEnd w:id="12539"/>
      <w:bookmarkEnd w:id="12540"/>
      <w:bookmarkEnd w:id="12541"/>
      <w:r>
        <w:rPr>
          <w:rFonts w:hint="cs"/>
          <w:rtl/>
        </w:rPr>
        <w:t xml:space="preserve"> ובגדר הדין</w:t>
      </w:r>
      <w:bookmarkEnd w:id="12542"/>
      <w:bookmarkEnd w:id="12543"/>
      <w:bookmarkEnd w:id="12544"/>
    </w:p>
    <w:p w:rsidR="00D45705" w:rsidRDefault="00D45705" w:rsidP="00D45705">
      <w:pPr>
        <w:pStyle w:val="a2"/>
        <w:rPr>
          <w:rtl/>
        </w:rPr>
      </w:pPr>
      <w:bookmarkStart w:id="12545" w:name="_Toc22638869"/>
      <w:bookmarkStart w:id="12546" w:name="_Toc23224105"/>
      <w:bookmarkStart w:id="12547" w:name="_Toc23372502"/>
      <w:bookmarkStart w:id="12548" w:name="_Toc23419192"/>
      <w:bookmarkStart w:id="12549" w:name="_Toc23499485"/>
      <w:bookmarkStart w:id="12550" w:name="_Toc23663891"/>
      <w:bookmarkStart w:id="12551" w:name="_Toc23672544"/>
      <w:bookmarkStart w:id="12552" w:name="_Toc23673108"/>
      <w:r w:rsidRPr="00A3551E">
        <w:rPr>
          <w:rFonts w:hint="cs"/>
          <w:rtl/>
        </w:rPr>
        <w:t>קושית הפרמ"ג דבסנהדרין בטלה דעת המיעוט</w:t>
      </w:r>
      <w:bookmarkEnd w:id="12545"/>
      <w:r>
        <w:rPr>
          <w:rFonts w:hint="cs"/>
          <w:rtl/>
        </w:rPr>
        <w:t xml:space="preserve"> ואילו בתערובת אוכל ודאי איסור</w:t>
      </w:r>
      <w:bookmarkEnd w:id="12546"/>
      <w:bookmarkEnd w:id="12547"/>
      <w:bookmarkEnd w:id="12548"/>
      <w:bookmarkEnd w:id="12549"/>
      <w:bookmarkEnd w:id="12550"/>
      <w:bookmarkEnd w:id="12551"/>
      <w:bookmarkEnd w:id="12552"/>
    </w:p>
    <w:p w:rsidR="00D45705" w:rsidRDefault="00D45705" w:rsidP="009F44AF">
      <w:pPr>
        <w:pStyle w:val="a"/>
        <w:rPr>
          <w:rtl/>
        </w:rPr>
      </w:pPr>
      <w:bookmarkStart w:id="12553" w:name="_Ref23500879"/>
      <w:r>
        <w:rPr>
          <w:rFonts w:hint="cs"/>
          <w:rtl/>
        </w:rPr>
        <w:t xml:space="preserve">והקשה </w:t>
      </w:r>
      <w:r>
        <w:rPr>
          <w:rStyle w:val="af8"/>
          <w:rtl/>
        </w:rPr>
        <w:t>הפרמ"ג</w:t>
      </w:r>
      <w:r>
        <w:rPr>
          <w:rFonts w:hint="cs"/>
          <w:rtl/>
        </w:rPr>
        <w:t xml:space="preserve"> </w:t>
      </w:r>
      <w:r>
        <w:rPr>
          <w:rStyle w:val="af6"/>
          <w:rFonts w:eastAsia="Guttman Hodes" w:hint="cs"/>
          <w:rtl/>
        </w:rPr>
        <w:t>(פתיחה שער התערובות ריש פ"א במוסגר)</w:t>
      </w:r>
      <w:r>
        <w:rPr>
          <w:rFonts w:hint="cs"/>
          <w:rtl/>
        </w:rPr>
        <w:t xml:space="preserve"> על דברי </w:t>
      </w:r>
      <w:r w:rsidRPr="004E4F4C">
        <w:rPr>
          <w:rStyle w:val="af8"/>
          <w:rFonts w:hint="cs"/>
          <w:rtl/>
        </w:rPr>
        <w:t>רש"י</w:t>
      </w:r>
      <w:r>
        <w:rPr>
          <w:rFonts w:hint="cs"/>
          <w:rtl/>
        </w:rPr>
        <w:t xml:space="preserve"> דהא ביטול ברוב לא דמי לדין אחרי רבים להטות בסנהדרין, דהרי בסנהדרין </w:t>
      </w:r>
      <w:r w:rsidRPr="00E830AB">
        <w:rPr>
          <w:rFonts w:hint="cs"/>
          <w:rtl/>
        </w:rPr>
        <w:t xml:space="preserve">כששנים מזכים ואחד מחייב, בטלה דעת המחייב, אבל בביטול בחד בתרי, </w:t>
      </w:r>
      <w:r>
        <w:rPr>
          <w:rFonts w:hint="cs"/>
          <w:rtl/>
        </w:rPr>
        <w:t>ד</w:t>
      </w:r>
      <w:r w:rsidRPr="00E830AB">
        <w:rPr>
          <w:rFonts w:hint="cs"/>
          <w:rtl/>
        </w:rPr>
        <w:t xml:space="preserve">כתב </w:t>
      </w:r>
      <w:r w:rsidRPr="00E830AB">
        <w:rPr>
          <w:rStyle w:val="af8"/>
          <w:rFonts w:hint="cs"/>
          <w:rtl/>
        </w:rPr>
        <w:t>הרא"ש</w:t>
      </w:r>
      <w:r w:rsidRPr="00E830AB">
        <w:rPr>
          <w:rFonts w:hint="cs"/>
          <w:rtl/>
        </w:rPr>
        <w:t xml:space="preserve"> </w:t>
      </w:r>
      <w:r w:rsidRPr="00553C95">
        <w:rPr>
          <w:rStyle w:val="af6"/>
          <w:rFonts w:eastAsia="Guttman Hodes" w:hint="cs"/>
          <w:rtl/>
        </w:rPr>
        <w:t xml:space="preserve">(עי' אות </w:t>
      </w:r>
      <w:r w:rsidRPr="00553C95">
        <w:rPr>
          <w:rStyle w:val="af6"/>
          <w:rFonts w:eastAsia="Guttman Hodes"/>
          <w:rtl/>
        </w:rPr>
        <w:fldChar w:fldCharType="begin"/>
      </w:r>
      <w:r w:rsidRPr="00553C95">
        <w:rPr>
          <w:rStyle w:val="af6"/>
          <w:rFonts w:eastAsia="Guttman Hodes"/>
          <w:rtl/>
        </w:rPr>
        <w:instrText xml:space="preserve"> </w:instrText>
      </w:r>
      <w:r w:rsidRPr="00553C95">
        <w:rPr>
          <w:rStyle w:val="af6"/>
          <w:rFonts w:eastAsia="Guttman Hodes" w:hint="cs"/>
        </w:rPr>
        <w:instrText>REF</w:instrText>
      </w:r>
      <w:r w:rsidRPr="00553C95">
        <w:rPr>
          <w:rStyle w:val="af6"/>
          <w:rFonts w:eastAsia="Guttman Hodes" w:hint="cs"/>
          <w:rtl/>
        </w:rPr>
        <w:instrText xml:space="preserve"> _</w:instrText>
      </w:r>
      <w:r w:rsidRPr="00553C95">
        <w:rPr>
          <w:rStyle w:val="af6"/>
          <w:rFonts w:eastAsia="Guttman Hodes" w:hint="cs"/>
        </w:rPr>
        <w:instrText>Ref23624626 \r \h</w:instrText>
      </w:r>
      <w:r w:rsidRPr="00553C95">
        <w:rPr>
          <w:rStyle w:val="af6"/>
          <w:rFonts w:eastAsia="Guttman Hodes"/>
          <w:rtl/>
        </w:rPr>
        <w:instrText xml:space="preserve"> </w:instrText>
      </w:r>
      <w:r w:rsidRPr="00553C95">
        <w:rPr>
          <w:rStyle w:val="af6"/>
          <w:rFonts w:eastAsia="Guttman Hodes"/>
          <w:rtl/>
        </w:rPr>
      </w:r>
      <w:r w:rsidRPr="00553C95">
        <w:rPr>
          <w:rStyle w:val="af6"/>
          <w:rFonts w:eastAsia="Guttman Hodes"/>
          <w:rtl/>
        </w:rPr>
        <w:fldChar w:fldCharType="separate"/>
      </w:r>
      <w:r w:rsidR="004D1C5B">
        <w:rPr>
          <w:rStyle w:val="af6"/>
          <w:rFonts w:eastAsia="Guttman Hodes"/>
          <w:cs/>
        </w:rPr>
        <w:t>‎</w:t>
      </w:r>
      <w:r w:rsidR="004D1C5B">
        <w:rPr>
          <w:rStyle w:val="af6"/>
          <w:rFonts w:eastAsia="Guttman Hodes"/>
          <w:rtl/>
        </w:rPr>
        <w:t>צו)</w:t>
      </w:r>
      <w:r w:rsidRPr="00553C95">
        <w:rPr>
          <w:rStyle w:val="af6"/>
          <w:rFonts w:eastAsia="Guttman Hodes"/>
          <w:rtl/>
        </w:rPr>
        <w:fldChar w:fldCharType="end"/>
      </w:r>
      <w:r w:rsidRPr="00E830AB">
        <w:rPr>
          <w:rFonts w:hint="cs"/>
          <w:rtl/>
        </w:rPr>
        <w:t xml:space="preserve"> </w:t>
      </w:r>
      <w:r>
        <w:rPr>
          <w:rFonts w:hint="cs"/>
          <w:rtl/>
        </w:rPr>
        <w:t>דמותר</w:t>
      </w:r>
      <w:r w:rsidRPr="00E830AB">
        <w:rPr>
          <w:rFonts w:hint="cs"/>
          <w:rtl/>
        </w:rPr>
        <w:t xml:space="preserve"> לאכול את שלושתם יחד</w:t>
      </w:r>
      <w:r>
        <w:rPr>
          <w:rFonts w:hint="cs"/>
          <w:rtl/>
        </w:rPr>
        <w:t xml:space="preserve"> דאף דאוכל ודאי איסור, מ"מ האיסור נהפך להיתר, </w:t>
      </w:r>
      <w:r w:rsidRPr="00A3551E">
        <w:rPr>
          <w:rStyle w:val="afa"/>
          <w:rFonts w:hint="cs"/>
          <w:rtl/>
        </w:rPr>
        <w:t>[והיאך ילפינן דין זה מסנהדרין, הרי בסנהדרין בטלה דעת המיעוט, ואילו בתערובת יש ודאי איסור]</w:t>
      </w:r>
      <w:r>
        <w:rPr>
          <w:rStyle w:val="afa"/>
          <w:rFonts w:hint="cs"/>
          <w:rtl/>
        </w:rPr>
        <w:t>,</w:t>
      </w:r>
      <w:r w:rsidRPr="006277DB">
        <w:rPr>
          <w:rFonts w:hint="cs"/>
          <w:rtl/>
        </w:rPr>
        <w:t xml:space="preserve"> </w:t>
      </w:r>
      <w:r w:rsidRPr="00863345">
        <w:rPr>
          <w:rFonts w:hint="cs"/>
          <w:rtl/>
        </w:rPr>
        <w:t>ו</w:t>
      </w:r>
      <w:r>
        <w:rPr>
          <w:rFonts w:hint="cs"/>
          <w:rtl/>
        </w:rPr>
        <w:t xml:space="preserve">כעי"ז הקשה </w:t>
      </w:r>
      <w:r w:rsidRPr="00553C95">
        <w:rPr>
          <w:rStyle w:val="af8"/>
          <w:rFonts w:hint="cs"/>
          <w:rtl/>
        </w:rPr>
        <w:t xml:space="preserve">הגר"ח </w:t>
      </w:r>
      <w:r w:rsidRPr="00553C95">
        <w:rPr>
          <w:rStyle w:val="af6"/>
          <w:rFonts w:eastAsia="Guttman Hodes" w:hint="cs"/>
          <w:rtl/>
        </w:rPr>
        <w:t xml:space="preserve">(עי' אות </w:t>
      </w:r>
      <w:r w:rsidRPr="00553C95">
        <w:rPr>
          <w:rStyle w:val="af6"/>
          <w:rFonts w:eastAsia="Guttman Hodes"/>
          <w:rtl/>
        </w:rPr>
        <w:fldChar w:fldCharType="begin"/>
      </w:r>
      <w:r w:rsidRPr="00553C95">
        <w:rPr>
          <w:rStyle w:val="af6"/>
          <w:rFonts w:eastAsia="Guttman Hodes"/>
          <w:rtl/>
        </w:rPr>
        <w:instrText xml:space="preserve"> </w:instrText>
      </w:r>
      <w:r w:rsidRPr="00553C95">
        <w:rPr>
          <w:rStyle w:val="af6"/>
          <w:rFonts w:eastAsia="Guttman Hodes" w:hint="cs"/>
        </w:rPr>
        <w:instrText>REF</w:instrText>
      </w:r>
      <w:r w:rsidRPr="00553C95">
        <w:rPr>
          <w:rStyle w:val="af6"/>
          <w:rFonts w:eastAsia="Guttman Hodes" w:hint="cs"/>
          <w:rtl/>
        </w:rPr>
        <w:instrText xml:space="preserve"> _</w:instrText>
      </w:r>
      <w:r w:rsidRPr="00553C95">
        <w:rPr>
          <w:rStyle w:val="af6"/>
          <w:rFonts w:eastAsia="Guttman Hodes" w:hint="cs"/>
        </w:rPr>
        <w:instrText>Ref23414780 \r \h</w:instrText>
      </w:r>
      <w:r w:rsidRPr="00553C95">
        <w:rPr>
          <w:rStyle w:val="af6"/>
          <w:rFonts w:eastAsia="Guttman Hodes"/>
          <w:rtl/>
        </w:rPr>
        <w:instrText xml:space="preserve"> </w:instrText>
      </w:r>
      <w:r w:rsidRPr="00553C95">
        <w:rPr>
          <w:rStyle w:val="af6"/>
          <w:rFonts w:eastAsia="Guttman Hodes"/>
          <w:rtl/>
        </w:rPr>
      </w:r>
      <w:r w:rsidRPr="00553C95">
        <w:rPr>
          <w:rStyle w:val="af6"/>
          <w:rFonts w:eastAsia="Guttman Hodes"/>
          <w:rtl/>
        </w:rPr>
        <w:fldChar w:fldCharType="separate"/>
      </w:r>
      <w:r w:rsidR="004D1C5B">
        <w:rPr>
          <w:rStyle w:val="af6"/>
          <w:rFonts w:eastAsia="Guttman Hodes"/>
          <w:cs/>
        </w:rPr>
        <w:t>‎</w:t>
      </w:r>
      <w:r w:rsidR="004D1C5B">
        <w:rPr>
          <w:rStyle w:val="af6"/>
          <w:rFonts w:eastAsia="Guttman Hodes"/>
          <w:rtl/>
        </w:rPr>
        <w:t>קיא)</w:t>
      </w:r>
      <w:r w:rsidRPr="00553C95">
        <w:rPr>
          <w:rStyle w:val="af6"/>
          <w:rFonts w:eastAsia="Guttman Hodes"/>
          <w:rtl/>
        </w:rPr>
        <w:fldChar w:fldCharType="end"/>
      </w:r>
      <w:r>
        <w:rPr>
          <w:rFonts w:hint="cs"/>
          <w:rtl/>
        </w:rPr>
        <w:t xml:space="preserve"> ועי' במ"ש </w:t>
      </w:r>
      <w:r w:rsidRPr="00863345">
        <w:rPr>
          <w:rStyle w:val="af8"/>
          <w:rFonts w:hint="cs"/>
          <w:rtl/>
        </w:rPr>
        <w:t>השער"י</w:t>
      </w:r>
      <w:r w:rsidRPr="00863345">
        <w:rPr>
          <w:rFonts w:hint="cs"/>
          <w:rtl/>
        </w:rPr>
        <w:t xml:space="preserve"> </w:t>
      </w:r>
      <w:r w:rsidRPr="00553C95">
        <w:rPr>
          <w:rStyle w:val="af6"/>
          <w:rFonts w:eastAsia="Guttman Hodes" w:hint="cs"/>
          <w:rtl/>
        </w:rPr>
        <w:t xml:space="preserve">(עי' אות </w:t>
      </w:r>
      <w:r w:rsidRPr="00553C95">
        <w:rPr>
          <w:rStyle w:val="af6"/>
          <w:rFonts w:eastAsia="Guttman Hodes"/>
          <w:rtl/>
        </w:rPr>
        <w:fldChar w:fldCharType="begin"/>
      </w:r>
      <w:r w:rsidRPr="00553C95">
        <w:rPr>
          <w:rStyle w:val="af6"/>
          <w:rFonts w:eastAsia="Guttman Hodes"/>
          <w:rtl/>
        </w:rPr>
        <w:instrText xml:space="preserve"> </w:instrText>
      </w:r>
      <w:r w:rsidRPr="00553C95">
        <w:rPr>
          <w:rStyle w:val="af6"/>
          <w:rFonts w:eastAsia="Guttman Hodes" w:hint="cs"/>
        </w:rPr>
        <w:instrText>REF</w:instrText>
      </w:r>
      <w:r w:rsidRPr="00553C95">
        <w:rPr>
          <w:rStyle w:val="af6"/>
          <w:rFonts w:eastAsia="Guttman Hodes" w:hint="cs"/>
          <w:rtl/>
        </w:rPr>
        <w:instrText xml:space="preserve"> _</w:instrText>
      </w:r>
      <w:r w:rsidRPr="00553C95">
        <w:rPr>
          <w:rStyle w:val="af6"/>
          <w:rFonts w:eastAsia="Guttman Hodes" w:hint="cs"/>
        </w:rPr>
        <w:instrText>Ref23671238 \r \h</w:instrText>
      </w:r>
      <w:r w:rsidRPr="00553C95">
        <w:rPr>
          <w:rStyle w:val="af6"/>
          <w:rFonts w:eastAsia="Guttman Hodes"/>
          <w:rtl/>
        </w:rPr>
        <w:instrText xml:space="preserve"> </w:instrText>
      </w:r>
      <w:r w:rsidRPr="00553C95">
        <w:rPr>
          <w:rStyle w:val="af6"/>
          <w:rFonts w:eastAsia="Guttman Hodes"/>
          <w:rtl/>
        </w:rPr>
      </w:r>
      <w:r w:rsidRPr="00553C95">
        <w:rPr>
          <w:rStyle w:val="af6"/>
          <w:rFonts w:eastAsia="Guttman Hodes"/>
          <w:rtl/>
        </w:rPr>
        <w:fldChar w:fldCharType="separate"/>
      </w:r>
      <w:r w:rsidR="004D1C5B">
        <w:rPr>
          <w:rStyle w:val="af6"/>
          <w:rFonts w:eastAsia="Guttman Hodes"/>
          <w:cs/>
        </w:rPr>
        <w:t>‎</w:t>
      </w:r>
      <w:r w:rsidR="004D1C5B">
        <w:rPr>
          <w:rStyle w:val="af6"/>
          <w:rFonts w:eastAsia="Guttman Hodes"/>
          <w:rtl/>
        </w:rPr>
        <w:t>קכג)</w:t>
      </w:r>
      <w:r w:rsidRPr="00553C95">
        <w:rPr>
          <w:rStyle w:val="af6"/>
          <w:rFonts w:eastAsia="Guttman Hodes"/>
          <w:rtl/>
        </w:rPr>
        <w:fldChar w:fldCharType="end"/>
      </w:r>
      <w:r>
        <w:rPr>
          <w:rFonts w:hint="cs"/>
          <w:rtl/>
        </w:rPr>
        <w:t>.</w:t>
      </w:r>
      <w:bookmarkEnd w:id="12553"/>
    </w:p>
    <w:p w:rsidR="00D45705" w:rsidRPr="006277DB" w:rsidRDefault="00D45705" w:rsidP="00D45705">
      <w:pPr>
        <w:pStyle w:val="a2"/>
      </w:pPr>
      <w:bookmarkStart w:id="12554" w:name="_Toc23663892"/>
      <w:bookmarkStart w:id="12555" w:name="_Toc23672545"/>
      <w:bookmarkStart w:id="12556" w:name="_Toc23673109"/>
      <w:r>
        <w:rPr>
          <w:rFonts w:hint="cs"/>
          <w:rtl/>
        </w:rPr>
        <w:t>דברי היד יהודה דלהפרמ"ג אף להרשב"א קשה דמודה דמדאו' מותר אף באוכל בבת אחת</w:t>
      </w:r>
      <w:bookmarkEnd w:id="12554"/>
      <w:bookmarkEnd w:id="12555"/>
      <w:bookmarkEnd w:id="12556"/>
    </w:p>
    <w:p w:rsidR="00D45705" w:rsidRDefault="00D45705" w:rsidP="009F44AF">
      <w:pPr>
        <w:pStyle w:val="a"/>
        <w:rPr>
          <w:rtl/>
        </w:rPr>
      </w:pPr>
      <w:bookmarkStart w:id="12557" w:name="_Ref23671739"/>
      <w:r>
        <w:rPr>
          <w:rFonts w:hint="cs"/>
          <w:rtl/>
        </w:rPr>
        <w:t xml:space="preserve">והוסיף </w:t>
      </w:r>
      <w:r w:rsidRPr="00020D07">
        <w:rPr>
          <w:rStyle w:val="af8"/>
          <w:rFonts w:hint="cs"/>
          <w:rtl/>
        </w:rPr>
        <w:t>היד יהודה</w:t>
      </w:r>
      <w:r>
        <w:rPr>
          <w:rFonts w:hint="cs"/>
          <w:rtl/>
        </w:rPr>
        <w:t xml:space="preserve"> </w:t>
      </w:r>
      <w:r w:rsidRPr="00532F67">
        <w:rPr>
          <w:rStyle w:val="af6"/>
          <w:rFonts w:eastAsia="Guttman Hodes" w:hint="cs"/>
          <w:rtl/>
        </w:rPr>
        <w:t>(ס</w:t>
      </w:r>
      <w:r w:rsidRPr="00020D07">
        <w:rPr>
          <w:rStyle w:val="af6"/>
          <w:rFonts w:eastAsia="Guttman Hodes" w:hint="cs"/>
          <w:rtl/>
        </w:rPr>
        <w:t>י' ס"ט סוס"ק ס"א)</w:t>
      </w:r>
      <w:r>
        <w:rPr>
          <w:rFonts w:hint="cs"/>
          <w:rtl/>
        </w:rPr>
        <w:t xml:space="preserve"> דלביאור </w:t>
      </w:r>
      <w:r>
        <w:rPr>
          <w:rStyle w:val="af8"/>
          <w:rFonts w:hint="cs"/>
          <w:rtl/>
        </w:rPr>
        <w:t>ב</w:t>
      </w:r>
      <w:r w:rsidRPr="00156EAF">
        <w:rPr>
          <w:rStyle w:val="af8"/>
          <w:rFonts w:hint="cs"/>
          <w:rtl/>
        </w:rPr>
        <w:t>פרמ"ג</w:t>
      </w:r>
      <w:r>
        <w:rPr>
          <w:rFonts w:hint="cs"/>
          <w:rtl/>
        </w:rPr>
        <w:t xml:space="preserve"> </w:t>
      </w:r>
      <w:r w:rsidRPr="00C279C6">
        <w:rPr>
          <w:rStyle w:val="af6"/>
          <w:rFonts w:eastAsia="Guttman Hodes" w:hint="cs"/>
          <w:rtl/>
        </w:rPr>
        <w:t>(</w:t>
      </w:r>
      <w:r w:rsidRPr="00F2204F">
        <w:rPr>
          <w:rStyle w:val="af6"/>
          <w:rFonts w:eastAsia="Guttman Hodes" w:hint="cs"/>
          <w:rtl/>
        </w:rPr>
        <w:t>סי' ק"ט משב"ז סק"א,</w:t>
      </w:r>
      <w:r w:rsidRPr="00F2204F">
        <w:rPr>
          <w:rStyle w:val="af6"/>
          <w:rFonts w:eastAsia="Guttman Hodes"/>
          <w:rtl/>
        </w:rPr>
        <w:t xml:space="preserve"> פתיחה שער התערובות </w:t>
      </w:r>
      <w:r w:rsidRPr="00E708B7">
        <w:rPr>
          <w:rStyle w:val="af6"/>
          <w:rFonts w:eastAsia="Guttman Hodes"/>
          <w:rtl/>
        </w:rPr>
        <w:t>ח"</w:t>
      </w:r>
      <w:r>
        <w:rPr>
          <w:rStyle w:val="af6"/>
          <w:rFonts w:eastAsia="Guttman Rashi" w:hint="cs"/>
          <w:rtl/>
        </w:rPr>
        <w:t>א</w:t>
      </w:r>
      <w:r w:rsidRPr="00E708B7">
        <w:rPr>
          <w:rStyle w:val="af6"/>
          <w:rFonts w:eastAsia="Guttman Hodes"/>
          <w:rtl/>
        </w:rPr>
        <w:t xml:space="preserve"> פ"ג ד"ה </w:t>
      </w:r>
      <w:r>
        <w:rPr>
          <w:rStyle w:val="af6"/>
          <w:rFonts w:eastAsia="Guttman Rashi" w:hint="cs"/>
          <w:rtl/>
        </w:rPr>
        <w:t>והנה בסי' ק"ט</w:t>
      </w:r>
      <w:r>
        <w:rPr>
          <w:rStyle w:val="af6"/>
          <w:rFonts w:eastAsia="Guttman Hodes" w:hint="cs"/>
          <w:rtl/>
        </w:rPr>
        <w:t>, הובא בסימן י</w:t>
      </w:r>
      <w:r>
        <w:rPr>
          <w:rStyle w:val="af6"/>
          <w:rFonts w:eastAsia="Guttman Hodes"/>
          <w:rtl/>
        </w:rPr>
        <w:t>"</w:t>
      </w:r>
      <w:r>
        <w:rPr>
          <w:rStyle w:val="af6"/>
          <w:rFonts w:eastAsia="Guttman Hodes" w:hint="cs"/>
          <w:rtl/>
        </w:rPr>
        <w:t>ז אות ס"ז)</w:t>
      </w:r>
      <w:r>
        <w:rPr>
          <w:rFonts w:hint="cs"/>
          <w:rtl/>
        </w:rPr>
        <w:t xml:space="preserve"> דביאר דבבת אחת אסור מדרבנן</w:t>
      </w:r>
      <w:r w:rsidRPr="00863345">
        <w:rPr>
          <w:rFonts w:hint="cs"/>
          <w:rtl/>
        </w:rPr>
        <w:t xml:space="preserve"> דאף לדעת </w:t>
      </w:r>
      <w:r w:rsidRPr="00020D07">
        <w:rPr>
          <w:rStyle w:val="af8"/>
          <w:rFonts w:hint="cs"/>
          <w:rtl/>
        </w:rPr>
        <w:t>הרשב"א</w:t>
      </w:r>
      <w:r w:rsidRPr="00863345">
        <w:rPr>
          <w:rFonts w:hint="cs"/>
          <w:rtl/>
        </w:rPr>
        <w:t xml:space="preserve"> מדאו' מהני ביטול ברוב אף </w:t>
      </w:r>
      <w:r w:rsidR="000768B7" w:rsidRPr="00863345">
        <w:rPr>
          <w:rFonts w:hint="cs"/>
          <w:rtl/>
        </w:rPr>
        <w:t>כ</w:t>
      </w:r>
      <w:r w:rsidRPr="00863345">
        <w:rPr>
          <w:rFonts w:hint="cs"/>
          <w:rtl/>
        </w:rPr>
        <w:t>שאוכל בבת אחת,</w:t>
      </w:r>
      <w:r>
        <w:rPr>
          <w:rFonts w:hint="cs"/>
          <w:rtl/>
        </w:rPr>
        <w:t xml:space="preserve"> כדמוכח מהא דמותר לאכול לח בלח אף שהוא כאוכל בבת אחת,</w:t>
      </w:r>
      <w:r w:rsidRPr="00863345">
        <w:rPr>
          <w:rFonts w:hint="cs"/>
          <w:rtl/>
        </w:rPr>
        <w:t xml:space="preserve"> א"כ גם לדעת </w:t>
      </w:r>
      <w:r w:rsidRPr="00020D07">
        <w:rPr>
          <w:rStyle w:val="af8"/>
          <w:rFonts w:hint="cs"/>
          <w:rtl/>
        </w:rPr>
        <w:t>הרשב"א</w:t>
      </w:r>
      <w:r w:rsidRPr="00863345">
        <w:rPr>
          <w:rFonts w:hint="cs"/>
          <w:rtl/>
        </w:rPr>
        <w:t xml:space="preserve"> קשה, דהוא אוכל ודאי איסור, וכן הקשה </w:t>
      </w:r>
      <w:r w:rsidRPr="00020D07">
        <w:rPr>
          <w:rStyle w:val="af8"/>
          <w:rFonts w:hint="cs"/>
          <w:rtl/>
        </w:rPr>
        <w:t>בשערי תורה</w:t>
      </w:r>
      <w:r w:rsidRPr="00863345">
        <w:rPr>
          <w:rFonts w:hint="cs"/>
          <w:rtl/>
        </w:rPr>
        <w:t xml:space="preserve"> </w:t>
      </w:r>
      <w:r w:rsidRPr="00020D07">
        <w:rPr>
          <w:rStyle w:val="af6"/>
          <w:rFonts w:eastAsia="Guttman Hodes" w:hint="cs"/>
          <w:rtl/>
        </w:rPr>
        <w:t>(ח"ג כלל ב' דין רובא באיסורא פרט ז')</w:t>
      </w:r>
      <w:r>
        <w:rPr>
          <w:rFonts w:hint="cs"/>
          <w:rtl/>
        </w:rPr>
        <w:t xml:space="preserve"> עיי"ש </w:t>
      </w:r>
      <w:r w:rsidRPr="00E830AB">
        <w:rPr>
          <w:rFonts w:hint="cs"/>
          <w:rtl/>
        </w:rPr>
        <w:t>במה שהאריך בזה.</w:t>
      </w:r>
      <w:bookmarkEnd w:id="12557"/>
    </w:p>
    <w:p w:rsidR="00D45705" w:rsidRDefault="00D45705" w:rsidP="00D45705">
      <w:pPr>
        <w:pStyle w:val="a2"/>
        <w:rPr>
          <w:rtl/>
        </w:rPr>
      </w:pPr>
      <w:bookmarkStart w:id="12558" w:name="_Toc23663893"/>
      <w:bookmarkStart w:id="12559" w:name="_Toc23672546"/>
      <w:bookmarkStart w:id="12560" w:name="_Toc23673110"/>
      <w:r>
        <w:rPr>
          <w:rFonts w:hint="cs"/>
          <w:rtl/>
        </w:rPr>
        <w:t>תירוץ היד יהודה דאף בסנהדרין הדין כרוב אף שהאמת היא כיחיד והוא כביטול ברוב</w:t>
      </w:r>
      <w:bookmarkEnd w:id="12558"/>
      <w:bookmarkEnd w:id="12559"/>
      <w:bookmarkEnd w:id="12560"/>
    </w:p>
    <w:p w:rsidR="00D45705" w:rsidRDefault="00D45705" w:rsidP="009F44AF">
      <w:pPr>
        <w:pStyle w:val="a"/>
        <w:rPr>
          <w:rtl/>
        </w:rPr>
      </w:pPr>
      <w:r>
        <w:rPr>
          <w:rFonts w:hint="cs"/>
          <w:rtl/>
        </w:rPr>
        <w:t xml:space="preserve">ותירץ </w:t>
      </w:r>
      <w:r w:rsidRPr="00020D07">
        <w:rPr>
          <w:rStyle w:val="af8"/>
          <w:rFonts w:hint="cs"/>
          <w:rtl/>
        </w:rPr>
        <w:t>היד יהודה</w:t>
      </w:r>
      <w:r>
        <w:rPr>
          <w:rFonts w:hint="cs"/>
          <w:rtl/>
        </w:rPr>
        <w:t xml:space="preserve"> דאף בסנהדרין גדר הדין דאחרי רבים להטות הוא דאמרה תורה לעשות כפי דעת הרוב אף אם האמת נוטה יותר לדעת היחיד, </w:t>
      </w:r>
      <w:r w:rsidRPr="00632383">
        <w:rPr>
          <w:rStyle w:val="afa"/>
          <w:rFonts w:hint="cs"/>
          <w:rtl/>
        </w:rPr>
        <w:t xml:space="preserve">[עיי"ש במה שהביא היד יהודה דכ"כ </w:t>
      </w:r>
      <w:r w:rsidRPr="00632383">
        <w:rPr>
          <w:rStyle w:val="affa"/>
          <w:rFonts w:hint="cs"/>
          <w:rtl/>
        </w:rPr>
        <w:t xml:space="preserve">בספר </w:t>
      </w:r>
      <w:r w:rsidRPr="00632383">
        <w:rPr>
          <w:rStyle w:val="aff6"/>
          <w:rFonts w:hint="cs"/>
          <w:rtl/>
        </w:rPr>
        <w:t xml:space="preserve">העיקרים (מאמר שלישי פכ"ג עמ' קכ"ה) </w:t>
      </w:r>
      <w:r w:rsidRPr="00632383">
        <w:rPr>
          <w:rStyle w:val="afa"/>
          <w:rFonts w:hint="cs"/>
          <w:rtl/>
        </w:rPr>
        <w:t xml:space="preserve">בביאור </w:t>
      </w:r>
      <w:r>
        <w:rPr>
          <w:rStyle w:val="afa"/>
          <w:rFonts w:hint="cs"/>
          <w:rtl/>
        </w:rPr>
        <w:t>אחרי רבים להטות</w:t>
      </w:r>
      <w:r w:rsidRPr="00632383">
        <w:rPr>
          <w:rStyle w:val="afa"/>
          <w:rFonts w:hint="cs"/>
          <w:rtl/>
        </w:rPr>
        <w:t xml:space="preserve"> בסנהדרין],</w:t>
      </w:r>
      <w:r>
        <w:rPr>
          <w:rFonts w:hint="cs"/>
          <w:rtl/>
        </w:rPr>
        <w:t xml:space="preserve"> וא"כ אפשר ללמוד מזה דאף בתערובת איסור, אמרה תורה דהאיסור נהפך להיתר.</w:t>
      </w:r>
    </w:p>
    <w:p w:rsidR="00D45705" w:rsidRPr="008F3129" w:rsidRDefault="00D45705" w:rsidP="00D45705">
      <w:pPr>
        <w:pStyle w:val="a2"/>
        <w:rPr>
          <w:rtl/>
        </w:rPr>
      </w:pPr>
      <w:bookmarkStart w:id="12561" w:name="_Toc23663894"/>
      <w:bookmarkStart w:id="12562" w:name="_Toc23672547"/>
      <w:bookmarkStart w:id="12563" w:name="_Toc23673111"/>
      <w:r>
        <w:rPr>
          <w:rFonts w:hint="cs"/>
          <w:rtl/>
        </w:rPr>
        <w:t>קושית החי' הרי"ם דבהלך אחר הרוב יש סברא שהוא מותר משא"כ בביטול דיש ודאי איסור</w:t>
      </w:r>
      <w:bookmarkEnd w:id="12561"/>
      <w:bookmarkEnd w:id="12562"/>
      <w:bookmarkEnd w:id="12563"/>
    </w:p>
    <w:p w:rsidR="00D45705" w:rsidRDefault="00D45705" w:rsidP="009F44AF">
      <w:pPr>
        <w:pStyle w:val="a"/>
        <w:rPr>
          <w:rtl/>
        </w:rPr>
      </w:pPr>
      <w:bookmarkStart w:id="12564" w:name="_Ref23671971"/>
      <w:r>
        <w:rPr>
          <w:rFonts w:hint="cs"/>
          <w:rtl/>
        </w:rPr>
        <w:t xml:space="preserve">הביא </w:t>
      </w:r>
      <w:r w:rsidRPr="00C45BB6">
        <w:rPr>
          <w:rStyle w:val="af8"/>
          <w:rFonts w:hint="cs"/>
          <w:rtl/>
        </w:rPr>
        <w:t>בחי' הרי"ם</w:t>
      </w:r>
      <w:r>
        <w:rPr>
          <w:rFonts w:hint="cs"/>
          <w:rtl/>
        </w:rPr>
        <w:t xml:space="preserve"> </w:t>
      </w:r>
      <w:r w:rsidRPr="00C45BB6">
        <w:rPr>
          <w:rStyle w:val="af6"/>
          <w:rFonts w:eastAsia="Guttman Hodes" w:hint="cs"/>
          <w:rtl/>
        </w:rPr>
        <w:t>(שו"ת יו"ד סי' ט')</w:t>
      </w:r>
      <w:r>
        <w:rPr>
          <w:rFonts w:hint="cs"/>
          <w:rtl/>
        </w:rPr>
        <w:t xml:space="preserve"> את קושית </w:t>
      </w:r>
      <w:r w:rsidRPr="00C45BB6">
        <w:rPr>
          <w:rStyle w:val="af8"/>
          <w:rFonts w:hint="cs"/>
          <w:rtl/>
        </w:rPr>
        <w:t>הפרמ"ג</w:t>
      </w:r>
      <w:r>
        <w:rPr>
          <w:rFonts w:hint="cs"/>
          <w:rtl/>
        </w:rPr>
        <w:t xml:space="preserve"> </w:t>
      </w:r>
      <w:r w:rsidRPr="00C45BB6">
        <w:rPr>
          <w:rStyle w:val="af6"/>
          <w:rFonts w:eastAsia="Guttman Hodes" w:hint="cs"/>
          <w:rtl/>
        </w:rPr>
        <w:t xml:space="preserve">(עי' אות </w:t>
      </w:r>
      <w:r w:rsidRPr="00C45BB6">
        <w:rPr>
          <w:rStyle w:val="af6"/>
          <w:rFonts w:eastAsia="Guttman Hodes"/>
          <w:rtl/>
        </w:rPr>
        <w:fldChar w:fldCharType="begin"/>
      </w:r>
      <w:r w:rsidRPr="00C45BB6">
        <w:rPr>
          <w:rStyle w:val="af6"/>
          <w:rFonts w:eastAsia="Guttman Hodes"/>
          <w:rtl/>
        </w:rPr>
        <w:instrText xml:space="preserve"> </w:instrText>
      </w:r>
      <w:r w:rsidRPr="00C45BB6">
        <w:rPr>
          <w:rStyle w:val="af6"/>
          <w:rFonts w:eastAsia="Guttman Hodes" w:hint="cs"/>
        </w:rPr>
        <w:instrText>REF</w:instrText>
      </w:r>
      <w:r w:rsidRPr="00C45BB6">
        <w:rPr>
          <w:rStyle w:val="af6"/>
          <w:rFonts w:eastAsia="Guttman Hodes" w:hint="cs"/>
          <w:rtl/>
        </w:rPr>
        <w:instrText xml:space="preserve"> _</w:instrText>
      </w:r>
      <w:r w:rsidRPr="00C45BB6">
        <w:rPr>
          <w:rStyle w:val="af6"/>
          <w:rFonts w:eastAsia="Guttman Hodes" w:hint="cs"/>
        </w:rPr>
        <w:instrText>Ref23500879 \r \h</w:instrText>
      </w:r>
      <w:r w:rsidRPr="00C45BB6">
        <w:rPr>
          <w:rStyle w:val="af6"/>
          <w:rFonts w:eastAsia="Guttman Hodes"/>
          <w:rtl/>
        </w:rPr>
        <w:instrText xml:space="preserve"> </w:instrText>
      </w:r>
      <w:r w:rsidRPr="00C45BB6">
        <w:rPr>
          <w:rStyle w:val="af6"/>
          <w:rFonts w:eastAsia="Guttman Hodes"/>
          <w:rtl/>
        </w:rPr>
      </w:r>
      <w:r w:rsidRPr="00C45BB6">
        <w:rPr>
          <w:rStyle w:val="af6"/>
          <w:rFonts w:eastAsia="Guttman Hodes"/>
          <w:rtl/>
        </w:rPr>
        <w:fldChar w:fldCharType="separate"/>
      </w:r>
      <w:r w:rsidR="004D1C5B">
        <w:rPr>
          <w:rStyle w:val="af6"/>
          <w:rFonts w:eastAsia="Guttman Hodes"/>
          <w:cs/>
        </w:rPr>
        <w:t>‎</w:t>
      </w:r>
      <w:r w:rsidR="004D1C5B">
        <w:rPr>
          <w:rStyle w:val="af6"/>
          <w:rFonts w:eastAsia="Guttman Hodes"/>
          <w:rtl/>
        </w:rPr>
        <w:t>צז)</w:t>
      </w:r>
      <w:r w:rsidRPr="00C45BB6">
        <w:rPr>
          <w:rStyle w:val="af6"/>
          <w:rFonts w:eastAsia="Guttman Hodes"/>
          <w:rtl/>
        </w:rPr>
        <w:fldChar w:fldCharType="end"/>
      </w:r>
      <w:r>
        <w:rPr>
          <w:rFonts w:hint="cs"/>
          <w:rtl/>
        </w:rPr>
        <w:t xml:space="preserve"> היאך ילפינן את דין ביטול ברוב מאחרי רבים להטות, והוסיף </w:t>
      </w:r>
      <w:r w:rsidRPr="00C45BB6">
        <w:rPr>
          <w:rStyle w:val="af8"/>
          <w:rFonts w:hint="cs"/>
          <w:rtl/>
        </w:rPr>
        <w:t>בחי' הרי"ם</w:t>
      </w:r>
      <w:r>
        <w:rPr>
          <w:rFonts w:hint="cs"/>
          <w:rtl/>
        </w:rPr>
        <w:t xml:space="preserve"> דבכל רוב כט' חנויות יש סברא לומר שמסתמא הדבר המסופק פירש מהרוב, וא"כ אין כאן איסור לפנינו, וזה נלמד מאחרי רבים להטות דמכריעים שהאמת היא כדעת הרוב, אבל בביטול ברוב שיש ודאי איסור היאך אפשר ללומדו מאחרי רבים להטות.</w:t>
      </w:r>
      <w:bookmarkEnd w:id="12564"/>
    </w:p>
    <w:p w:rsidR="00D45705" w:rsidRPr="0010169E" w:rsidRDefault="00D45705" w:rsidP="00D45705">
      <w:pPr>
        <w:pStyle w:val="a2"/>
        <w:rPr>
          <w:rtl/>
        </w:rPr>
      </w:pPr>
      <w:bookmarkStart w:id="12565" w:name="_Toc23663895"/>
      <w:bookmarkStart w:id="12566" w:name="_Toc23672548"/>
      <w:bookmarkStart w:id="12567" w:name="_Toc23673112"/>
      <w:r>
        <w:rPr>
          <w:rFonts w:hint="cs"/>
          <w:rtl/>
        </w:rPr>
        <w:t>דברי החי' הרי"ם דכל התערובת מותרת מדין הלך אחר הרוב שיש על כל חתיכה בפנ"ע</w:t>
      </w:r>
      <w:bookmarkEnd w:id="12565"/>
      <w:bookmarkEnd w:id="12566"/>
      <w:bookmarkEnd w:id="12567"/>
    </w:p>
    <w:p w:rsidR="00D45705" w:rsidRPr="009A5EC5" w:rsidRDefault="00D45705" w:rsidP="009F44AF">
      <w:pPr>
        <w:pStyle w:val="a"/>
        <w:rPr>
          <w:rtl/>
        </w:rPr>
      </w:pPr>
      <w:r>
        <w:rPr>
          <w:rFonts w:hint="cs"/>
          <w:rtl/>
        </w:rPr>
        <w:t xml:space="preserve">וכתב </w:t>
      </w:r>
      <w:r w:rsidRPr="00020D07">
        <w:rPr>
          <w:rStyle w:val="af8"/>
          <w:rFonts w:hint="cs"/>
          <w:rtl/>
        </w:rPr>
        <w:t>בחי' הרי"ם</w:t>
      </w:r>
      <w:r>
        <w:rPr>
          <w:rFonts w:hint="cs"/>
          <w:rtl/>
        </w:rPr>
        <w:t xml:space="preserve"> </w:t>
      </w:r>
      <w:r w:rsidRPr="009D671F">
        <w:rPr>
          <w:rStyle w:val="af6"/>
          <w:rFonts w:eastAsia="Guttman Hodes" w:hint="cs"/>
          <w:rtl/>
        </w:rPr>
        <w:t>(שו"ת יו"ד סי' ט' ד"ה והנה אי נימא)</w:t>
      </w:r>
      <w:r>
        <w:rPr>
          <w:rFonts w:hint="cs"/>
          <w:rtl/>
        </w:rPr>
        <w:t xml:space="preserve"> דאפשר לבאר לפי דעת </w:t>
      </w:r>
      <w:r w:rsidRPr="00020D07">
        <w:rPr>
          <w:rStyle w:val="af8"/>
          <w:rFonts w:hint="cs"/>
          <w:rtl/>
        </w:rPr>
        <w:t>התוס' לעיל</w:t>
      </w:r>
      <w:r w:rsidRPr="00D762D0">
        <w:rPr>
          <w:rStyle w:val="af6"/>
          <w:rFonts w:eastAsia="Guttman Hodes" w:hint="cs"/>
          <w:rtl/>
        </w:rPr>
        <w:t xml:space="preserve"> (עי' אות </w:t>
      </w:r>
      <w:r w:rsidRPr="00D762D0">
        <w:rPr>
          <w:rStyle w:val="af6"/>
          <w:rFonts w:eastAsia="Guttman Hodes"/>
          <w:rtl/>
        </w:rPr>
        <w:fldChar w:fldCharType="begin"/>
      </w:r>
      <w:r w:rsidRPr="00D762D0">
        <w:rPr>
          <w:rStyle w:val="af6"/>
          <w:rFonts w:eastAsia="Guttman Hodes"/>
          <w:rtl/>
        </w:rPr>
        <w:instrText xml:space="preserve"> </w:instrText>
      </w:r>
      <w:r w:rsidRPr="00D762D0">
        <w:rPr>
          <w:rStyle w:val="af6"/>
          <w:rFonts w:eastAsia="Guttman Hodes" w:hint="cs"/>
        </w:rPr>
        <w:instrText>REF</w:instrText>
      </w:r>
      <w:r w:rsidRPr="00D762D0">
        <w:rPr>
          <w:rStyle w:val="af6"/>
          <w:rFonts w:eastAsia="Guttman Hodes" w:hint="cs"/>
          <w:rtl/>
        </w:rPr>
        <w:instrText xml:space="preserve"> _</w:instrText>
      </w:r>
      <w:r w:rsidRPr="00D762D0">
        <w:rPr>
          <w:rStyle w:val="af6"/>
          <w:rFonts w:eastAsia="Guttman Hodes" w:hint="cs"/>
        </w:rPr>
        <w:instrText>Ref23620097 \r \h</w:instrText>
      </w:r>
      <w:r w:rsidRPr="00D762D0">
        <w:rPr>
          <w:rStyle w:val="af6"/>
          <w:rFonts w:eastAsia="Guttman Hodes"/>
          <w:rtl/>
        </w:rPr>
        <w:instrText xml:space="preserve"> </w:instrText>
      </w:r>
      <w:r w:rsidRPr="00D762D0">
        <w:rPr>
          <w:rStyle w:val="af6"/>
          <w:rFonts w:eastAsia="Guttman Hodes"/>
          <w:rtl/>
        </w:rPr>
      </w:r>
      <w:r w:rsidRPr="00D762D0">
        <w:rPr>
          <w:rStyle w:val="af6"/>
          <w:rFonts w:eastAsia="Guttman Hodes"/>
          <w:rtl/>
        </w:rPr>
        <w:fldChar w:fldCharType="separate"/>
      </w:r>
      <w:r w:rsidR="004D1C5B">
        <w:rPr>
          <w:rStyle w:val="af6"/>
          <w:rFonts w:eastAsia="Guttman Hodes"/>
          <w:cs/>
        </w:rPr>
        <w:t>‎</w:t>
      </w:r>
      <w:r w:rsidR="004D1C5B">
        <w:rPr>
          <w:rStyle w:val="af6"/>
          <w:rFonts w:eastAsia="Guttman Hodes"/>
          <w:rtl/>
        </w:rPr>
        <w:t>קח)</w:t>
      </w:r>
      <w:r w:rsidRPr="00D762D0">
        <w:rPr>
          <w:rStyle w:val="af6"/>
          <w:rFonts w:eastAsia="Guttman Hodes"/>
          <w:rtl/>
        </w:rPr>
        <w:fldChar w:fldCharType="end"/>
      </w:r>
      <w:r>
        <w:rPr>
          <w:rFonts w:hint="cs"/>
          <w:rtl/>
        </w:rPr>
        <w:t xml:space="preserve"> דס"ל דבתערובת שהאיסור אינו ניכר אין דין קבוע, אף בלא דין ביטול ברוב, [ודלא </w:t>
      </w:r>
      <w:r w:rsidRPr="00020D07">
        <w:rPr>
          <w:rStyle w:val="af8"/>
          <w:rFonts w:hint="cs"/>
          <w:rtl/>
        </w:rPr>
        <w:t>כהר"ן לעיל</w:t>
      </w:r>
      <w:r>
        <w:rPr>
          <w:rFonts w:hint="cs"/>
          <w:rtl/>
        </w:rPr>
        <w:t xml:space="preserve"> </w:t>
      </w:r>
      <w:r w:rsidRPr="00D762D0">
        <w:rPr>
          <w:rStyle w:val="af6"/>
          <w:rFonts w:eastAsia="Guttman Hodes" w:hint="cs"/>
          <w:rtl/>
        </w:rPr>
        <w:t xml:space="preserve">(עי' אות </w:t>
      </w:r>
      <w:r w:rsidRPr="00D762D0">
        <w:rPr>
          <w:rStyle w:val="af6"/>
          <w:rFonts w:eastAsia="Guttman Hodes"/>
          <w:rtl/>
        </w:rPr>
        <w:fldChar w:fldCharType="begin"/>
      </w:r>
      <w:r w:rsidRPr="00D762D0">
        <w:rPr>
          <w:rStyle w:val="af6"/>
          <w:rFonts w:eastAsia="Guttman Hodes"/>
          <w:rtl/>
        </w:rPr>
        <w:instrText xml:space="preserve"> </w:instrText>
      </w:r>
      <w:r w:rsidRPr="00D762D0">
        <w:rPr>
          <w:rStyle w:val="af6"/>
          <w:rFonts w:eastAsia="Guttman Hodes" w:hint="cs"/>
        </w:rPr>
        <w:instrText>REF</w:instrText>
      </w:r>
      <w:r w:rsidRPr="00D762D0">
        <w:rPr>
          <w:rStyle w:val="af6"/>
          <w:rFonts w:eastAsia="Guttman Hodes" w:hint="cs"/>
          <w:rtl/>
        </w:rPr>
        <w:instrText xml:space="preserve"> _</w:instrText>
      </w:r>
      <w:r w:rsidRPr="00D762D0">
        <w:rPr>
          <w:rStyle w:val="af6"/>
          <w:rFonts w:eastAsia="Guttman Hodes" w:hint="cs"/>
        </w:rPr>
        <w:instrText>Ref23620105 \r \h</w:instrText>
      </w:r>
      <w:r w:rsidRPr="00D762D0">
        <w:rPr>
          <w:rStyle w:val="af6"/>
          <w:rFonts w:eastAsia="Guttman Hodes"/>
          <w:rtl/>
        </w:rPr>
        <w:instrText xml:space="preserve"> </w:instrText>
      </w:r>
      <w:r w:rsidRPr="00D762D0">
        <w:rPr>
          <w:rStyle w:val="af6"/>
          <w:rFonts w:eastAsia="Guttman Hodes"/>
          <w:rtl/>
        </w:rPr>
      </w:r>
      <w:r w:rsidRPr="00D762D0">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D762D0">
        <w:rPr>
          <w:rStyle w:val="af6"/>
          <w:rFonts w:eastAsia="Guttman Hodes"/>
          <w:rtl/>
        </w:rPr>
        <w:fldChar w:fldCharType="end"/>
      </w:r>
      <w:r>
        <w:rPr>
          <w:rFonts w:hint="cs"/>
          <w:rtl/>
        </w:rPr>
        <w:t xml:space="preserve">], וא"כ בכל חד בתרי על כל חתיכה, יש היתר מדין כל דפריש מרובא פריש, וכדין הלך אחר הרוב בט' חנויות, וכתב </w:t>
      </w:r>
      <w:r w:rsidRPr="00020D07">
        <w:rPr>
          <w:rStyle w:val="af8"/>
          <w:rFonts w:hint="cs"/>
          <w:rtl/>
        </w:rPr>
        <w:t>בחי' הרי"ם</w:t>
      </w:r>
      <w:r>
        <w:rPr>
          <w:rFonts w:hint="cs"/>
          <w:rtl/>
        </w:rPr>
        <w:t xml:space="preserve"> דא"כ אפש"ל דכל התערובת מותרת מדין רוב, כשאוכל כל חתיכה בפנ"ע מותרת, דעל כל חתיכה יש רוב שהיא המותרת, ואעפ"י שכשאכל את כולם הוא תרתי דסתרי לומר שכולם מותרות, מ"מ מותר כדין ב' שבילין דבבאו בזה </w:t>
      </w:r>
      <w:r w:rsidRPr="009A5EC5">
        <w:rPr>
          <w:rFonts w:hint="cs"/>
          <w:rtl/>
        </w:rPr>
        <w:t xml:space="preserve">אחר זה, מעמידים כ"א על חזקתו, עיי"ש בדברי </w:t>
      </w:r>
      <w:r w:rsidRPr="009A5EC5">
        <w:rPr>
          <w:rStyle w:val="af8"/>
          <w:rFonts w:hint="cs"/>
          <w:rtl/>
        </w:rPr>
        <w:t>החי' הרי"ם</w:t>
      </w:r>
      <w:r w:rsidRPr="009A5EC5">
        <w:rPr>
          <w:rFonts w:hint="cs"/>
          <w:rtl/>
        </w:rPr>
        <w:t xml:space="preserve">, ובמה שהאריך עוד לבאר את הילפותא אף לדעת </w:t>
      </w:r>
      <w:r w:rsidRPr="009A5EC5">
        <w:rPr>
          <w:rStyle w:val="af8"/>
          <w:rFonts w:hint="cs"/>
          <w:rtl/>
        </w:rPr>
        <w:t>הר"ן</w:t>
      </w:r>
      <w:r w:rsidRPr="009A5EC5">
        <w:rPr>
          <w:rFonts w:hint="cs"/>
          <w:rtl/>
        </w:rPr>
        <w:t>.</w:t>
      </w:r>
    </w:p>
    <w:p w:rsidR="00D45705" w:rsidRPr="009A5EC5" w:rsidRDefault="00D45705" w:rsidP="00D45705">
      <w:pPr>
        <w:pStyle w:val="a2"/>
        <w:rPr>
          <w:rtl/>
        </w:rPr>
      </w:pPr>
      <w:bookmarkStart w:id="12568" w:name="_Toc23663896"/>
      <w:bookmarkStart w:id="12569" w:name="_Toc23672549"/>
      <w:bookmarkStart w:id="12570" w:name="_Toc23673113"/>
      <w:r w:rsidRPr="009A5EC5">
        <w:rPr>
          <w:rFonts w:hint="cs"/>
          <w:rtl/>
        </w:rPr>
        <w:t>משמעות דברי החזו"א דההיתר בביטול ברוב הוא מדין הלך אחר הרוב בכל חתיכה בפנ"ע</w:t>
      </w:r>
      <w:bookmarkEnd w:id="12568"/>
      <w:bookmarkEnd w:id="12569"/>
      <w:bookmarkEnd w:id="12570"/>
    </w:p>
    <w:p w:rsidR="00D45705" w:rsidRDefault="00D45705" w:rsidP="009F44AF">
      <w:pPr>
        <w:pStyle w:val="a"/>
        <w:rPr>
          <w:rStyle w:val="afa"/>
          <w:rtl/>
        </w:rPr>
      </w:pPr>
      <w:r w:rsidRPr="009A5EC5">
        <w:rPr>
          <w:rFonts w:hint="cs"/>
          <w:rtl/>
        </w:rPr>
        <w:t xml:space="preserve">וע"ע בדברי </w:t>
      </w:r>
      <w:r w:rsidRPr="009A5EC5">
        <w:rPr>
          <w:rStyle w:val="af8"/>
          <w:rFonts w:hint="cs"/>
          <w:rtl/>
        </w:rPr>
        <w:t>החזו"א</w:t>
      </w:r>
      <w:r w:rsidRPr="009A5EC5">
        <w:rPr>
          <w:rFonts w:hint="cs"/>
          <w:rtl/>
        </w:rPr>
        <w:t xml:space="preserve"> </w:t>
      </w:r>
      <w:r w:rsidRPr="009A5EC5">
        <w:rPr>
          <w:rStyle w:val="af6"/>
          <w:rFonts w:eastAsia="Guttman Hodes" w:hint="cs"/>
          <w:rtl/>
        </w:rPr>
        <w:t>(יו"ד סי' ל"ו סק"ב)</w:t>
      </w:r>
      <w:r w:rsidRPr="009A5EC5">
        <w:rPr>
          <w:rFonts w:hint="cs"/>
          <w:rtl/>
        </w:rPr>
        <w:t xml:space="preserve"> דכתב דביבש ביבש שכל חתיכה היא נפרדת ועומדת בפנ"ע, כשאוכל כל חתיכה בפנ"ע היא מותרת מדין כל דפריש מרובא פריש, ולכן ממילא אמרינן שכל התערובת מותרת</w:t>
      </w:r>
      <w:r>
        <w:rPr>
          <w:rFonts w:hint="cs"/>
          <w:rtl/>
        </w:rPr>
        <w:t>,</w:t>
      </w:r>
      <w:r w:rsidRPr="009A5EC5">
        <w:rPr>
          <w:rFonts w:hint="cs"/>
          <w:rtl/>
        </w:rPr>
        <w:t xml:space="preserve"> </w:t>
      </w:r>
      <w:r w:rsidRPr="009A5EC5">
        <w:rPr>
          <w:rStyle w:val="afa"/>
          <w:rFonts w:hint="cs"/>
          <w:rtl/>
        </w:rPr>
        <w:t xml:space="preserve">[ומשמע מדברי </w:t>
      </w:r>
      <w:r w:rsidRPr="009A5EC5">
        <w:rPr>
          <w:rStyle w:val="affa"/>
          <w:rFonts w:hint="cs"/>
          <w:rtl/>
        </w:rPr>
        <w:t>החזו"א</w:t>
      </w:r>
      <w:r w:rsidRPr="009A5EC5">
        <w:rPr>
          <w:rStyle w:val="afa"/>
          <w:rFonts w:hint="cs"/>
          <w:rtl/>
        </w:rPr>
        <w:t xml:space="preserve"> דההיתר בביטול ברוב הוא מדין כל דפריש]</w:t>
      </w:r>
      <w:r>
        <w:rPr>
          <w:rStyle w:val="afa"/>
          <w:rFonts w:hint="cs"/>
          <w:rtl/>
        </w:rPr>
        <w:t>,</w:t>
      </w:r>
      <w:r>
        <w:rPr>
          <w:rFonts w:hint="cs"/>
          <w:rtl/>
        </w:rPr>
        <w:t xml:space="preserve"> </w:t>
      </w:r>
      <w:r w:rsidRPr="009A5EC5">
        <w:rPr>
          <w:rFonts w:hint="cs"/>
          <w:rtl/>
        </w:rPr>
        <w:t xml:space="preserve">ועי' בדברי </w:t>
      </w:r>
      <w:r w:rsidRPr="009A5EC5">
        <w:rPr>
          <w:rStyle w:val="af8"/>
          <w:rFonts w:hint="cs"/>
          <w:rtl/>
        </w:rPr>
        <w:t xml:space="preserve">הקוב"ש </w:t>
      </w:r>
      <w:r w:rsidRPr="009A5EC5">
        <w:rPr>
          <w:rStyle w:val="af6"/>
          <w:rFonts w:eastAsia="Guttman Hodes" w:hint="cs"/>
          <w:rtl/>
        </w:rPr>
        <w:t xml:space="preserve">(עי' אות </w:t>
      </w:r>
      <w:r w:rsidRPr="009A5EC5">
        <w:rPr>
          <w:rStyle w:val="af6"/>
          <w:rFonts w:eastAsia="Guttman Hodes"/>
          <w:rtl/>
        </w:rPr>
        <w:fldChar w:fldCharType="begin"/>
      </w:r>
      <w:r w:rsidRPr="009A5EC5">
        <w:rPr>
          <w:rStyle w:val="af6"/>
          <w:rFonts w:eastAsia="Guttman Hodes"/>
          <w:rtl/>
        </w:rPr>
        <w:instrText xml:space="preserve"> </w:instrText>
      </w:r>
      <w:r w:rsidRPr="009A5EC5">
        <w:rPr>
          <w:rStyle w:val="af6"/>
          <w:rFonts w:eastAsia="Guttman Hodes" w:hint="cs"/>
        </w:rPr>
        <w:instrText>REF</w:instrText>
      </w:r>
      <w:r w:rsidRPr="009A5EC5">
        <w:rPr>
          <w:rStyle w:val="af6"/>
          <w:rFonts w:eastAsia="Guttman Hodes" w:hint="cs"/>
          <w:rtl/>
        </w:rPr>
        <w:instrText xml:space="preserve"> _</w:instrText>
      </w:r>
      <w:r w:rsidRPr="009A5EC5">
        <w:rPr>
          <w:rStyle w:val="af6"/>
          <w:rFonts w:eastAsia="Guttman Hodes" w:hint="cs"/>
        </w:rPr>
        <w:instrText>Ref23328491 \r \h</w:instrText>
      </w:r>
      <w:r w:rsidRPr="009A5EC5">
        <w:rPr>
          <w:rStyle w:val="af6"/>
          <w:rFonts w:eastAsia="Guttman Hodes"/>
          <w:rtl/>
        </w:rPr>
        <w:instrText xml:space="preserve"> </w:instrText>
      </w:r>
      <w:r w:rsidRPr="009A5EC5">
        <w:rPr>
          <w:rStyle w:val="af6"/>
          <w:rFonts w:eastAsia="Guttman Hodes"/>
          <w:rtl/>
        </w:rPr>
      </w:r>
      <w:r w:rsidRPr="009A5EC5">
        <w:rPr>
          <w:rStyle w:val="af6"/>
          <w:rFonts w:eastAsia="Guttman Hodes"/>
          <w:rtl/>
        </w:rPr>
        <w:fldChar w:fldCharType="separate"/>
      </w:r>
      <w:r w:rsidR="004D1C5B">
        <w:rPr>
          <w:rStyle w:val="af6"/>
          <w:rFonts w:eastAsia="Guttman Hodes"/>
          <w:cs/>
        </w:rPr>
        <w:t>‎</w:t>
      </w:r>
      <w:r w:rsidR="004D1C5B">
        <w:rPr>
          <w:rStyle w:val="af6"/>
          <w:rFonts w:eastAsia="Guttman Hodes"/>
          <w:rtl/>
        </w:rPr>
        <w:t>קכט)</w:t>
      </w:r>
      <w:r w:rsidRPr="009A5EC5">
        <w:rPr>
          <w:rStyle w:val="af6"/>
          <w:rFonts w:eastAsia="Guttman Hodes"/>
          <w:rtl/>
        </w:rPr>
        <w:fldChar w:fldCharType="end"/>
      </w:r>
      <w:r>
        <w:rPr>
          <w:rFonts w:hint="cs"/>
          <w:rtl/>
        </w:rPr>
        <w:t xml:space="preserve"> דכתב </w:t>
      </w:r>
      <w:r w:rsidRPr="009A5EC5">
        <w:rPr>
          <w:rFonts w:hint="cs"/>
          <w:rtl/>
        </w:rPr>
        <w:t xml:space="preserve">בדעת </w:t>
      </w:r>
      <w:r w:rsidRPr="006B74C2">
        <w:rPr>
          <w:rStyle w:val="af8"/>
          <w:rFonts w:hint="cs"/>
          <w:rtl/>
        </w:rPr>
        <w:t>התוס' רי"</w:t>
      </w:r>
      <w:r w:rsidRPr="009A5EC5">
        <w:rPr>
          <w:rStyle w:val="af8"/>
          <w:rFonts w:hint="cs"/>
          <w:rtl/>
        </w:rPr>
        <w:t>ד</w:t>
      </w:r>
      <w:r w:rsidRPr="004B6C0D">
        <w:rPr>
          <w:rStyle w:val="af6"/>
          <w:rFonts w:eastAsia="Guttman Hodes" w:hint="cs"/>
          <w:rtl/>
        </w:rPr>
        <w:t xml:space="preserve"> (עי' אות </w:t>
      </w:r>
      <w:r w:rsidRPr="004B6C0D">
        <w:rPr>
          <w:rStyle w:val="af6"/>
          <w:rFonts w:eastAsia="Guttman Hodes"/>
          <w:rtl/>
        </w:rPr>
        <w:fldChar w:fldCharType="begin"/>
      </w:r>
      <w:r w:rsidRPr="004B6C0D">
        <w:rPr>
          <w:rStyle w:val="af6"/>
          <w:rFonts w:eastAsia="Guttman Hodes"/>
          <w:rtl/>
        </w:rPr>
        <w:instrText xml:space="preserve"> </w:instrText>
      </w:r>
      <w:r w:rsidRPr="004B6C0D">
        <w:rPr>
          <w:rStyle w:val="af6"/>
          <w:rFonts w:eastAsia="Guttman Hodes" w:hint="cs"/>
        </w:rPr>
        <w:instrText>REF</w:instrText>
      </w:r>
      <w:r w:rsidRPr="004B6C0D">
        <w:rPr>
          <w:rStyle w:val="af6"/>
          <w:rFonts w:eastAsia="Guttman Hodes" w:hint="cs"/>
          <w:rtl/>
        </w:rPr>
        <w:instrText xml:space="preserve"> _</w:instrText>
      </w:r>
      <w:r w:rsidRPr="004B6C0D">
        <w:rPr>
          <w:rStyle w:val="af6"/>
          <w:rFonts w:eastAsia="Guttman Hodes" w:hint="cs"/>
        </w:rPr>
        <w:instrText>Ref23661533 \r \h</w:instrText>
      </w:r>
      <w:r w:rsidRPr="004B6C0D">
        <w:rPr>
          <w:rStyle w:val="af6"/>
          <w:rFonts w:eastAsia="Guttman Hodes"/>
          <w:rtl/>
        </w:rPr>
        <w:instrText xml:space="preserve"> </w:instrText>
      </w:r>
      <w:r w:rsidRPr="004B6C0D">
        <w:rPr>
          <w:rStyle w:val="af6"/>
          <w:rFonts w:eastAsia="Guttman Hodes"/>
          <w:rtl/>
        </w:rPr>
      </w:r>
      <w:r w:rsidRPr="004B6C0D">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4B6C0D">
        <w:rPr>
          <w:rStyle w:val="af6"/>
          <w:rFonts w:eastAsia="Guttman Hodes"/>
          <w:rtl/>
        </w:rPr>
        <w:fldChar w:fldCharType="end"/>
      </w:r>
      <w:r>
        <w:rPr>
          <w:rStyle w:val="af8"/>
          <w:rFonts w:hint="cs"/>
          <w:rtl/>
        </w:rPr>
        <w:t xml:space="preserve"> </w:t>
      </w:r>
      <w:r w:rsidRPr="009A5EC5">
        <w:rPr>
          <w:rFonts w:hint="cs"/>
          <w:rtl/>
        </w:rPr>
        <w:t>דביטול ברוב הוא מדין כל דפריש, וע"ע במ"ש</w:t>
      </w:r>
      <w:r>
        <w:rPr>
          <w:rStyle w:val="af8"/>
          <w:rFonts w:hint="cs"/>
          <w:rtl/>
        </w:rPr>
        <w:t xml:space="preserve"> </w:t>
      </w:r>
      <w:r w:rsidRPr="009A5EC5">
        <w:rPr>
          <w:rStyle w:val="af8"/>
          <w:rFonts w:hint="cs"/>
          <w:rtl/>
        </w:rPr>
        <w:t xml:space="preserve">בשער"י </w:t>
      </w:r>
      <w:r w:rsidRPr="009A5EC5">
        <w:rPr>
          <w:rStyle w:val="af6"/>
          <w:rFonts w:eastAsia="Guttman Hodes" w:hint="cs"/>
          <w:rtl/>
        </w:rPr>
        <w:t xml:space="preserve">(עי' אות </w:t>
      </w:r>
      <w:r w:rsidRPr="009A5EC5">
        <w:rPr>
          <w:rStyle w:val="af6"/>
          <w:rFonts w:eastAsia="Guttman Hodes"/>
          <w:rtl/>
        </w:rPr>
        <w:fldChar w:fldCharType="begin"/>
      </w:r>
      <w:r w:rsidRPr="009A5EC5">
        <w:rPr>
          <w:rStyle w:val="af6"/>
          <w:rFonts w:eastAsia="Guttman Hodes"/>
          <w:rtl/>
        </w:rPr>
        <w:instrText xml:space="preserve"> </w:instrText>
      </w:r>
      <w:r w:rsidRPr="009A5EC5">
        <w:rPr>
          <w:rStyle w:val="af6"/>
          <w:rFonts w:eastAsia="Guttman Hodes" w:hint="cs"/>
        </w:rPr>
        <w:instrText>REF</w:instrText>
      </w:r>
      <w:r w:rsidRPr="009A5EC5">
        <w:rPr>
          <w:rStyle w:val="af6"/>
          <w:rFonts w:eastAsia="Guttman Hodes" w:hint="cs"/>
          <w:rtl/>
        </w:rPr>
        <w:instrText xml:space="preserve"> _</w:instrText>
      </w:r>
      <w:r w:rsidRPr="009A5EC5">
        <w:rPr>
          <w:rStyle w:val="af6"/>
          <w:rFonts w:eastAsia="Guttman Hodes" w:hint="cs"/>
        </w:rPr>
        <w:instrText>Ref23671410 \r \h</w:instrText>
      </w:r>
      <w:r w:rsidRPr="009A5EC5">
        <w:rPr>
          <w:rStyle w:val="af6"/>
          <w:rFonts w:eastAsia="Guttman Hodes"/>
          <w:rtl/>
        </w:rPr>
        <w:instrText xml:space="preserve"> </w:instrText>
      </w:r>
      <w:r w:rsidRPr="009A5EC5">
        <w:rPr>
          <w:rStyle w:val="af6"/>
          <w:rFonts w:eastAsia="Guttman Hodes"/>
          <w:rtl/>
        </w:rPr>
      </w:r>
      <w:r w:rsidRPr="009A5EC5">
        <w:rPr>
          <w:rStyle w:val="af6"/>
          <w:rFonts w:eastAsia="Guttman Hodes"/>
          <w:rtl/>
        </w:rPr>
        <w:fldChar w:fldCharType="separate"/>
      </w:r>
      <w:r w:rsidR="004D1C5B">
        <w:rPr>
          <w:rStyle w:val="af6"/>
          <w:rFonts w:eastAsia="Guttman Hodes"/>
          <w:cs/>
        </w:rPr>
        <w:t>‎</w:t>
      </w:r>
      <w:r w:rsidR="004D1C5B">
        <w:rPr>
          <w:rStyle w:val="af6"/>
          <w:rFonts w:eastAsia="Guttman Hodes"/>
          <w:rtl/>
        </w:rPr>
        <w:t>קכה)</w:t>
      </w:r>
      <w:r w:rsidRPr="009A5EC5">
        <w:rPr>
          <w:rStyle w:val="af6"/>
          <w:rFonts w:eastAsia="Guttman Hodes"/>
          <w:rtl/>
        </w:rPr>
        <w:fldChar w:fldCharType="end"/>
      </w:r>
      <w:r>
        <w:rPr>
          <w:rStyle w:val="afa"/>
          <w:rFonts w:hint="cs"/>
          <w:rtl/>
        </w:rPr>
        <w:t xml:space="preserve"> בזה.</w:t>
      </w:r>
    </w:p>
    <w:p w:rsidR="00D45705" w:rsidRPr="009A5EC5" w:rsidRDefault="00D45705" w:rsidP="00D45705">
      <w:pPr>
        <w:pStyle w:val="1"/>
        <w:rPr>
          <w:rtl/>
        </w:rPr>
      </w:pPr>
      <w:bookmarkStart w:id="12571" w:name="_Toc23663897"/>
      <w:bookmarkStart w:id="12572" w:name="_Toc23672550"/>
      <w:bookmarkStart w:id="12573" w:name="_Toc23673114"/>
      <w:r w:rsidRPr="009A5EC5">
        <w:rPr>
          <w:rFonts w:hint="cs"/>
          <w:rtl/>
        </w:rPr>
        <w:t>פלוגתת הלבוש והט"ז בילפותא לביטול ברוב מסנהדרין</w:t>
      </w:r>
      <w:bookmarkEnd w:id="12571"/>
      <w:bookmarkEnd w:id="12572"/>
      <w:bookmarkEnd w:id="12573"/>
    </w:p>
    <w:p w:rsidR="00D45705" w:rsidRPr="00E830AB" w:rsidRDefault="00D45705" w:rsidP="00D45705">
      <w:pPr>
        <w:pStyle w:val="a2"/>
        <w:rPr>
          <w:rtl/>
        </w:rPr>
      </w:pPr>
      <w:bookmarkStart w:id="12574" w:name="_Toc22638870"/>
      <w:bookmarkStart w:id="12575" w:name="_Toc23224106"/>
      <w:bookmarkStart w:id="12576" w:name="_Toc23372503"/>
      <w:bookmarkStart w:id="12577" w:name="_Toc23419193"/>
      <w:bookmarkStart w:id="12578" w:name="_Toc23499486"/>
      <w:bookmarkStart w:id="12579" w:name="_Toc23663898"/>
      <w:bookmarkStart w:id="12580" w:name="_Toc23672551"/>
      <w:bookmarkStart w:id="12581" w:name="_Toc23673115"/>
      <w:r w:rsidRPr="009A5EC5">
        <w:rPr>
          <w:rFonts w:hint="cs"/>
          <w:rtl/>
        </w:rPr>
        <w:t>דברי הלבוש דילפינן מסנהדרין דביטול ברוב</w:t>
      </w:r>
      <w:r w:rsidRPr="00E830AB">
        <w:rPr>
          <w:rFonts w:hint="cs"/>
          <w:rtl/>
        </w:rPr>
        <w:t xml:space="preserve"> הוא אף באיסור ניכר ורק מדרבנן צריך להשליך א'</w:t>
      </w:r>
      <w:bookmarkEnd w:id="12574"/>
      <w:bookmarkEnd w:id="12575"/>
      <w:bookmarkEnd w:id="12576"/>
      <w:bookmarkEnd w:id="12577"/>
      <w:bookmarkEnd w:id="12578"/>
      <w:bookmarkEnd w:id="12579"/>
      <w:bookmarkEnd w:id="12580"/>
      <w:bookmarkEnd w:id="12581"/>
    </w:p>
    <w:p w:rsidR="00D45705" w:rsidRDefault="00D45705" w:rsidP="009F44AF">
      <w:pPr>
        <w:pStyle w:val="a"/>
        <w:rPr>
          <w:rtl/>
        </w:rPr>
      </w:pPr>
      <w:bookmarkStart w:id="12582" w:name="_Ref23671955"/>
      <w:bookmarkStart w:id="12583" w:name="_Toc20603908"/>
      <w:bookmarkStart w:id="12584" w:name="_Toc21094838"/>
      <w:bookmarkStart w:id="12585" w:name="_Toc22250682"/>
      <w:r w:rsidRPr="00E830AB">
        <w:rPr>
          <w:rFonts w:hint="cs"/>
          <w:rtl/>
        </w:rPr>
        <w:t xml:space="preserve">כתב </w:t>
      </w:r>
      <w:r w:rsidRPr="00E830AB">
        <w:rPr>
          <w:rStyle w:val="af8"/>
          <w:rFonts w:hint="cs"/>
          <w:rtl/>
        </w:rPr>
        <w:t>הלבוש</w:t>
      </w:r>
      <w:r w:rsidRPr="00E830AB">
        <w:rPr>
          <w:rFonts w:hint="cs"/>
          <w:rtl/>
        </w:rPr>
        <w:t xml:space="preserve"> </w:t>
      </w:r>
      <w:r w:rsidRPr="00E830AB">
        <w:rPr>
          <w:rStyle w:val="af6"/>
          <w:rFonts w:eastAsia="Guttman Hodes" w:hint="cs"/>
          <w:rtl/>
        </w:rPr>
        <w:t>(או"ח סי' תרל</w:t>
      </w:r>
      <w:r w:rsidRPr="006E4855">
        <w:rPr>
          <w:rStyle w:val="af6"/>
          <w:rFonts w:eastAsia="Guttman Hodes" w:hint="cs"/>
          <w:rtl/>
        </w:rPr>
        <w:t>"ב א')</w:t>
      </w:r>
      <w:r>
        <w:rPr>
          <w:rFonts w:hint="cs"/>
          <w:rtl/>
        </w:rPr>
        <w:t xml:space="preserve"> דכיון דביטול ברוב נלמד מסנהדרין, ובסנהדרין ניכר מיהו המזכה ומיהו המחייב, ואפ"ה אמרה תורה דאזלינן בתר רובא, א"כ מוכח דאף במקום שניכר האיסור אזלינן בתר רובא, </w:t>
      </w:r>
      <w:r w:rsidRPr="006E4855">
        <w:rPr>
          <w:rStyle w:val="afa"/>
          <w:rFonts w:hint="cs"/>
          <w:rtl/>
        </w:rPr>
        <w:t>[וכתב הלבוש דזהו הטעם דמעט סכך פסול מותר לישון תחתיו, דהוא בטל בכשר ונהפך להיתר],</w:t>
      </w:r>
      <w:r>
        <w:rPr>
          <w:rFonts w:hint="cs"/>
          <w:rtl/>
        </w:rPr>
        <w:t xml:space="preserve"> והוסיף </w:t>
      </w:r>
      <w:r w:rsidRPr="006E4855">
        <w:rPr>
          <w:rStyle w:val="af8"/>
          <w:rFonts w:hint="cs"/>
          <w:rtl/>
        </w:rPr>
        <w:t>הלבוש</w:t>
      </w:r>
      <w:r>
        <w:rPr>
          <w:rFonts w:hint="cs"/>
          <w:rtl/>
        </w:rPr>
        <w:t xml:space="preserve"> דהא דבביטול ברוב באיסורין צריך להשליך, זהו רק מדרבנן אבל מדאו' א"צ להשליך דהאיסור בטל לגמרי.</w:t>
      </w:r>
      <w:bookmarkEnd w:id="12582"/>
    </w:p>
    <w:p w:rsidR="00D45705" w:rsidRPr="00C70C58" w:rsidRDefault="00D45705" w:rsidP="00D45705">
      <w:pPr>
        <w:pStyle w:val="a2"/>
        <w:rPr>
          <w:rtl/>
        </w:rPr>
      </w:pPr>
      <w:bookmarkStart w:id="12586" w:name="_Toc22638871"/>
      <w:bookmarkStart w:id="12587" w:name="_Toc23224107"/>
      <w:bookmarkStart w:id="12588" w:name="_Toc23372504"/>
      <w:bookmarkStart w:id="12589" w:name="_Toc23419194"/>
      <w:bookmarkStart w:id="12590" w:name="_Toc23499487"/>
      <w:bookmarkStart w:id="12591" w:name="_Toc23663899"/>
      <w:bookmarkStart w:id="12592" w:name="_Toc23672552"/>
      <w:bookmarkStart w:id="12593" w:name="_Toc23673116"/>
      <w:r>
        <w:rPr>
          <w:rFonts w:hint="cs"/>
          <w:rtl/>
        </w:rPr>
        <w:t>תמיהת הט"ז והפרמ"ג דבאיסור ניכר לא שייך ביטול ברוב</w:t>
      </w:r>
      <w:bookmarkEnd w:id="12586"/>
      <w:bookmarkEnd w:id="12587"/>
      <w:bookmarkEnd w:id="12588"/>
      <w:bookmarkEnd w:id="12589"/>
      <w:bookmarkEnd w:id="12590"/>
      <w:bookmarkEnd w:id="12591"/>
      <w:bookmarkEnd w:id="12592"/>
      <w:bookmarkEnd w:id="12593"/>
    </w:p>
    <w:p w:rsidR="00D45705" w:rsidRDefault="00D45705" w:rsidP="009F44AF">
      <w:pPr>
        <w:pStyle w:val="a"/>
        <w:rPr>
          <w:rtl/>
        </w:rPr>
      </w:pPr>
      <w:r>
        <w:rPr>
          <w:rFonts w:hint="cs"/>
          <w:rtl/>
        </w:rPr>
        <w:t xml:space="preserve">ותמה </w:t>
      </w:r>
      <w:r w:rsidRPr="006E4855">
        <w:rPr>
          <w:rStyle w:val="af8"/>
          <w:rFonts w:hint="cs"/>
          <w:rtl/>
        </w:rPr>
        <w:t>הט"ז</w:t>
      </w:r>
      <w:r>
        <w:rPr>
          <w:rFonts w:hint="cs"/>
          <w:rtl/>
        </w:rPr>
        <w:t xml:space="preserve"> </w:t>
      </w:r>
      <w:r>
        <w:rPr>
          <w:rStyle w:val="af6"/>
          <w:rFonts w:eastAsia="Guttman Hodes" w:hint="cs"/>
          <w:rtl/>
        </w:rPr>
        <w:t>(או"ח סי' תר</w:t>
      </w:r>
      <w:r w:rsidRPr="006E4855">
        <w:rPr>
          <w:rStyle w:val="af6"/>
          <w:rFonts w:eastAsia="Guttman Hodes" w:hint="cs"/>
          <w:rtl/>
        </w:rPr>
        <w:t>ל"ב סק"ג)</w:t>
      </w:r>
      <w:r>
        <w:rPr>
          <w:rFonts w:hint="cs"/>
          <w:rtl/>
        </w:rPr>
        <w:t xml:space="preserve"> על</w:t>
      </w:r>
      <w:r w:rsidRPr="006E4855">
        <w:rPr>
          <w:rStyle w:val="af8"/>
          <w:rFonts w:hint="cs"/>
          <w:rtl/>
        </w:rPr>
        <w:t xml:space="preserve"> הלבוש</w:t>
      </w:r>
      <w:r>
        <w:rPr>
          <w:rFonts w:hint="cs"/>
          <w:rtl/>
        </w:rPr>
        <w:t xml:space="preserve"> דהיכא דמכיר את האיסור ודאי דמדאו' צריך להשליכו, וכ"כ להדיא </w:t>
      </w:r>
      <w:r w:rsidRPr="006E4855">
        <w:rPr>
          <w:rStyle w:val="af8"/>
          <w:rFonts w:hint="cs"/>
          <w:rtl/>
        </w:rPr>
        <w:t>התוס' לעיל</w:t>
      </w:r>
      <w:r>
        <w:rPr>
          <w:rFonts w:hint="cs"/>
          <w:rtl/>
        </w:rPr>
        <w:t xml:space="preserve"> </w:t>
      </w:r>
      <w:r w:rsidRPr="006E4855">
        <w:rPr>
          <w:rStyle w:val="af6"/>
          <w:rFonts w:eastAsia="Guttman Hodes" w:hint="cs"/>
          <w:rtl/>
        </w:rPr>
        <w:t>(צה. ד"ה ספקו)</w:t>
      </w:r>
      <w:r>
        <w:rPr>
          <w:rFonts w:hint="cs"/>
          <w:rtl/>
        </w:rPr>
        <w:t xml:space="preserve"> דרק איסור שאינו ניכר מתבטל בהיתר, ועוד הקשה </w:t>
      </w:r>
      <w:r w:rsidRPr="006E4855">
        <w:rPr>
          <w:rStyle w:val="af8"/>
          <w:rFonts w:hint="cs"/>
          <w:rtl/>
        </w:rPr>
        <w:t>הפרמ"ג</w:t>
      </w:r>
      <w:r>
        <w:rPr>
          <w:rFonts w:hint="cs"/>
          <w:rtl/>
        </w:rPr>
        <w:t xml:space="preserve"> </w:t>
      </w:r>
      <w:r w:rsidRPr="006E4855">
        <w:rPr>
          <w:rStyle w:val="af6"/>
          <w:rFonts w:eastAsia="Guttman Hodes" w:hint="cs"/>
          <w:rtl/>
        </w:rPr>
        <w:t>(סי' תרל"ב משב"ז סק"ג)</w:t>
      </w:r>
      <w:r>
        <w:rPr>
          <w:rFonts w:hint="cs"/>
          <w:rtl/>
        </w:rPr>
        <w:t xml:space="preserve"> דא"כ אי מדאו' מבטלין איסור לכתחילה, א"כ אפשר להתיר את כל האיסורין, דיערב חתיכת נבילה בב' חתיכות שחוטה, ויתהפך האיסור להיתר, אף שהוא ניכר.</w:t>
      </w:r>
    </w:p>
    <w:p w:rsidR="00D45705" w:rsidRDefault="00D45705" w:rsidP="00D45705">
      <w:pPr>
        <w:pStyle w:val="a2"/>
        <w:rPr>
          <w:rtl/>
        </w:rPr>
      </w:pPr>
      <w:bookmarkStart w:id="12594" w:name="_Toc22638872"/>
      <w:bookmarkStart w:id="12595" w:name="_Toc23224108"/>
      <w:bookmarkStart w:id="12596" w:name="_Toc23372505"/>
      <w:bookmarkStart w:id="12597" w:name="_Toc23419195"/>
      <w:bookmarkStart w:id="12598" w:name="_Toc23499488"/>
      <w:bookmarkStart w:id="12599" w:name="_Toc23663900"/>
      <w:bookmarkStart w:id="12600" w:name="_Toc23672553"/>
      <w:bookmarkStart w:id="12601" w:name="_Toc23673117"/>
      <w:r>
        <w:rPr>
          <w:rFonts w:hint="cs"/>
          <w:rtl/>
        </w:rPr>
        <w:t>ביאור הט"ז דבסנהדרין בטלה דעת המיעוט ואילו בתערובת האיסור נהפך להיתר</w:t>
      </w:r>
      <w:bookmarkEnd w:id="12594"/>
      <w:bookmarkEnd w:id="12595"/>
      <w:bookmarkEnd w:id="12596"/>
      <w:bookmarkEnd w:id="12597"/>
      <w:bookmarkEnd w:id="12598"/>
      <w:bookmarkEnd w:id="12599"/>
      <w:bookmarkEnd w:id="12600"/>
      <w:bookmarkEnd w:id="12601"/>
    </w:p>
    <w:p w:rsidR="00D45705" w:rsidRPr="006E4855" w:rsidRDefault="00D45705" w:rsidP="009F44AF">
      <w:pPr>
        <w:pStyle w:val="a"/>
        <w:rPr>
          <w:rStyle w:val="afa"/>
          <w:rtl/>
        </w:rPr>
      </w:pPr>
      <w:r>
        <w:rPr>
          <w:rFonts w:hint="cs"/>
          <w:rtl/>
        </w:rPr>
        <w:lastRenderedPageBreak/>
        <w:t xml:space="preserve">ובמה שהביא </w:t>
      </w:r>
      <w:r w:rsidRPr="006E4855">
        <w:rPr>
          <w:rStyle w:val="af8"/>
          <w:rFonts w:hint="cs"/>
          <w:rtl/>
        </w:rPr>
        <w:t>הלבוש</w:t>
      </w:r>
      <w:r>
        <w:rPr>
          <w:rFonts w:hint="cs"/>
          <w:rtl/>
        </w:rPr>
        <w:t xml:space="preserve"> ראיה מהילפותא מסנהדרין, דחה </w:t>
      </w:r>
      <w:r w:rsidRPr="006E4855">
        <w:rPr>
          <w:rStyle w:val="af8"/>
          <w:rFonts w:hint="cs"/>
          <w:rtl/>
        </w:rPr>
        <w:t>הט"ז</w:t>
      </w:r>
      <w:r>
        <w:rPr>
          <w:rFonts w:hint="cs"/>
          <w:rtl/>
        </w:rPr>
        <w:t xml:space="preserve"> דבסנהדרין דין רוב אינו כדין רוב בתערובת, דאמרה תורה דאזלינן בתר רובא, אלא דהתורה ביטלה את דעת המיעוט, ולא שייך בסהנדרין לומר שהמיעוט נהפך לרוב, כדין ביטול ברוב בתערובת דהאיסור נהפך להיתר</w:t>
      </w:r>
      <w:r w:rsidR="00FF13EB">
        <w:rPr>
          <w:rFonts w:hint="cs"/>
          <w:rtl/>
        </w:rPr>
        <w:t>,</w:t>
      </w:r>
      <w:r>
        <w:rPr>
          <w:rFonts w:hint="cs"/>
          <w:rtl/>
        </w:rPr>
        <w:t xml:space="preserve"> </w:t>
      </w:r>
      <w:r w:rsidRPr="006E4855">
        <w:rPr>
          <w:rStyle w:val="afa"/>
          <w:rFonts w:hint="cs"/>
          <w:rtl/>
        </w:rPr>
        <w:t xml:space="preserve">[וכתב </w:t>
      </w:r>
      <w:r w:rsidRPr="003977E9">
        <w:rPr>
          <w:rStyle w:val="affa"/>
          <w:rFonts w:hint="cs"/>
          <w:rtl/>
        </w:rPr>
        <w:t>הט"ז</w:t>
      </w:r>
      <w:r w:rsidRPr="006E4855">
        <w:rPr>
          <w:rStyle w:val="afa"/>
          <w:rFonts w:hint="cs"/>
          <w:rtl/>
        </w:rPr>
        <w:t xml:space="preserve"> דה"ה בסוכה דהסכך המועט הפסול בטל והוא כמאן דליתיה]</w:t>
      </w:r>
      <w:r w:rsidR="00FF13EB">
        <w:rPr>
          <w:rStyle w:val="afa"/>
          <w:rFonts w:hint="cs"/>
          <w:rtl/>
        </w:rPr>
        <w:t xml:space="preserve">, </w:t>
      </w:r>
      <w:r w:rsidR="00174259">
        <w:rPr>
          <w:rFonts w:hint="cs"/>
          <w:rtl/>
        </w:rPr>
        <w:t>וע"ע</w:t>
      </w:r>
      <w:r w:rsidR="00FF13EB" w:rsidRPr="00FF13EB">
        <w:rPr>
          <w:rFonts w:hint="cs"/>
          <w:rtl/>
        </w:rPr>
        <w:t xml:space="preserve"> במ"ש </w:t>
      </w:r>
      <w:r w:rsidR="00FF13EB" w:rsidRPr="00FF13EB">
        <w:rPr>
          <w:rStyle w:val="af8"/>
          <w:rFonts w:hint="cs"/>
          <w:rtl/>
        </w:rPr>
        <w:t>השער"י</w:t>
      </w:r>
      <w:r w:rsidR="00FF13EB">
        <w:rPr>
          <w:rStyle w:val="afa"/>
          <w:rFonts w:hint="cs"/>
          <w:rtl/>
        </w:rPr>
        <w:t xml:space="preserve"> </w:t>
      </w:r>
      <w:r w:rsidR="00FF13EB" w:rsidRPr="00FF13EB">
        <w:rPr>
          <w:rStyle w:val="af6"/>
          <w:rFonts w:eastAsia="Guttman Hodes" w:hint="cs"/>
          <w:rtl/>
        </w:rPr>
        <w:t>(ש"ג פט"ו ד"ה ונתבאר לנו)</w:t>
      </w:r>
      <w:r w:rsidR="00FF13EB" w:rsidRPr="00FF13EB">
        <w:rPr>
          <w:rFonts w:hint="cs"/>
          <w:rtl/>
        </w:rPr>
        <w:t>.</w:t>
      </w:r>
    </w:p>
    <w:p w:rsidR="00D45705" w:rsidRDefault="00D45705" w:rsidP="00D45705">
      <w:pPr>
        <w:pStyle w:val="a2"/>
        <w:rPr>
          <w:rtl/>
        </w:rPr>
      </w:pPr>
      <w:bookmarkStart w:id="12602" w:name="_Toc22638873"/>
      <w:bookmarkStart w:id="12603" w:name="_Toc23224109"/>
      <w:bookmarkStart w:id="12604" w:name="_Toc23372506"/>
      <w:bookmarkStart w:id="12605" w:name="_Toc23419196"/>
      <w:bookmarkStart w:id="12606" w:name="_Toc23499489"/>
      <w:bookmarkStart w:id="12607" w:name="_Toc23663901"/>
      <w:bookmarkStart w:id="12608" w:name="_Toc23672554"/>
      <w:bookmarkStart w:id="12609" w:name="_Toc23673118"/>
      <w:r>
        <w:rPr>
          <w:rFonts w:hint="cs"/>
          <w:rtl/>
        </w:rPr>
        <w:t>דברי הפרמ"ג דבסנהדרין שלא ידוע כמי האמת חשיב שהאיסור אינו ניכר</w:t>
      </w:r>
      <w:bookmarkEnd w:id="12602"/>
      <w:bookmarkEnd w:id="12603"/>
      <w:bookmarkEnd w:id="12604"/>
      <w:bookmarkEnd w:id="12605"/>
      <w:bookmarkEnd w:id="12606"/>
      <w:bookmarkEnd w:id="12607"/>
      <w:bookmarkEnd w:id="12608"/>
      <w:bookmarkEnd w:id="12609"/>
    </w:p>
    <w:p w:rsidR="00D45705" w:rsidRDefault="00D45705" w:rsidP="009F44AF">
      <w:pPr>
        <w:pStyle w:val="a"/>
        <w:rPr>
          <w:rtl/>
        </w:rPr>
      </w:pPr>
      <w:r>
        <w:rPr>
          <w:rFonts w:hint="cs"/>
          <w:rtl/>
        </w:rPr>
        <w:t xml:space="preserve">ועוד תירץ </w:t>
      </w:r>
      <w:r w:rsidRPr="006E4855">
        <w:rPr>
          <w:rStyle w:val="af8"/>
          <w:rFonts w:hint="cs"/>
          <w:rtl/>
        </w:rPr>
        <w:t>הפרמ"ג</w:t>
      </w:r>
      <w:r>
        <w:rPr>
          <w:rFonts w:hint="cs"/>
          <w:rtl/>
        </w:rPr>
        <w:t xml:space="preserve"> דבסנהדרין כיון שלא ידוע האם דעת הרוב היא הנכונה, או שדעת המיעוט היא הנכונה, לכן חשיב שהאיסור אינו ניכר.</w:t>
      </w:r>
    </w:p>
    <w:p w:rsidR="00D45705" w:rsidRDefault="00D45705" w:rsidP="00E669F8">
      <w:pPr>
        <w:pStyle w:val="afd"/>
        <w:rPr>
          <w:rtl/>
        </w:rPr>
      </w:pPr>
      <w:bookmarkStart w:id="12610" w:name="_Toc23224110"/>
      <w:bookmarkStart w:id="12611" w:name="_Toc23372507"/>
      <w:bookmarkStart w:id="12612" w:name="_Toc23419197"/>
      <w:bookmarkStart w:id="12613" w:name="_Toc23499490"/>
      <w:bookmarkStart w:id="12614" w:name="_Toc23663902"/>
      <w:bookmarkStart w:id="12615" w:name="_Toc23672555"/>
      <w:bookmarkStart w:id="12616" w:name="_Toc23673119"/>
      <w:bookmarkEnd w:id="12583"/>
      <w:bookmarkEnd w:id="12584"/>
      <w:bookmarkEnd w:id="12585"/>
      <w:r>
        <w:rPr>
          <w:rFonts w:hint="cs"/>
          <w:rtl/>
        </w:rPr>
        <w:t>בהא דאין בתערובת דין קבוע</w:t>
      </w:r>
      <w:bookmarkEnd w:id="12610"/>
      <w:bookmarkEnd w:id="12611"/>
      <w:bookmarkEnd w:id="12612"/>
      <w:bookmarkEnd w:id="12613"/>
      <w:bookmarkEnd w:id="12614"/>
      <w:bookmarkEnd w:id="12615"/>
      <w:bookmarkEnd w:id="12616"/>
    </w:p>
    <w:p w:rsidR="00D45705" w:rsidRDefault="00D45705" w:rsidP="00D45705">
      <w:pPr>
        <w:pStyle w:val="1"/>
        <w:rPr>
          <w:rtl/>
        </w:rPr>
      </w:pPr>
      <w:bookmarkStart w:id="12617" w:name="_Toc23224111"/>
      <w:bookmarkStart w:id="12618" w:name="_Toc23372508"/>
      <w:bookmarkStart w:id="12619" w:name="_Toc23419198"/>
      <w:bookmarkStart w:id="12620" w:name="_Toc23499491"/>
      <w:bookmarkStart w:id="12621" w:name="_Toc23663903"/>
      <w:bookmarkStart w:id="12622" w:name="_Toc23672556"/>
      <w:bookmarkStart w:id="12623" w:name="_Toc23673120"/>
      <w:r>
        <w:rPr>
          <w:rFonts w:hint="cs"/>
          <w:rtl/>
        </w:rPr>
        <w:t>ביאורי הראשונים דאיסור בתערובת אין לו דין קבוע</w:t>
      </w:r>
      <w:bookmarkEnd w:id="12617"/>
      <w:bookmarkEnd w:id="12618"/>
      <w:bookmarkEnd w:id="12619"/>
      <w:bookmarkEnd w:id="12620"/>
      <w:bookmarkEnd w:id="12621"/>
      <w:bookmarkEnd w:id="12622"/>
      <w:bookmarkEnd w:id="12623"/>
    </w:p>
    <w:p w:rsidR="00D45705" w:rsidRDefault="00D45705" w:rsidP="00D45705">
      <w:pPr>
        <w:pStyle w:val="a2"/>
        <w:rPr>
          <w:rtl/>
        </w:rPr>
      </w:pPr>
      <w:bookmarkStart w:id="12624" w:name="_Toc23224112"/>
      <w:bookmarkStart w:id="12625" w:name="_Toc23372509"/>
      <w:bookmarkStart w:id="12626" w:name="_Toc23419199"/>
      <w:bookmarkStart w:id="12627" w:name="_Toc23499492"/>
      <w:bookmarkStart w:id="12628" w:name="_Toc23663904"/>
      <w:bookmarkStart w:id="12629" w:name="_Toc23672557"/>
      <w:bookmarkStart w:id="12630" w:name="_Toc23673121"/>
      <w:r>
        <w:rPr>
          <w:rFonts w:hint="cs"/>
          <w:rtl/>
        </w:rPr>
        <w:t>קושית הראשונים דכל תערובת איסור היא קבועה במקומה ואמאי אינה כמחצה על מחצה</w:t>
      </w:r>
      <w:bookmarkEnd w:id="12624"/>
      <w:bookmarkEnd w:id="12625"/>
      <w:bookmarkEnd w:id="12626"/>
      <w:bookmarkEnd w:id="12627"/>
      <w:bookmarkEnd w:id="12628"/>
      <w:bookmarkEnd w:id="12629"/>
      <w:bookmarkEnd w:id="12630"/>
    </w:p>
    <w:p w:rsidR="00D45705" w:rsidRPr="00B93449" w:rsidRDefault="00D45705" w:rsidP="009F44AF">
      <w:pPr>
        <w:pStyle w:val="a"/>
        <w:rPr>
          <w:rtl/>
        </w:rPr>
      </w:pPr>
      <w:r>
        <w:rPr>
          <w:rFonts w:hint="cs"/>
          <w:rtl/>
        </w:rPr>
        <w:t xml:space="preserve">הקשו </w:t>
      </w:r>
      <w:r w:rsidRPr="007E5E94">
        <w:rPr>
          <w:rStyle w:val="af8"/>
          <w:rFonts w:hint="cs"/>
          <w:rtl/>
        </w:rPr>
        <w:t>התוס' לעיל</w:t>
      </w:r>
      <w:r>
        <w:rPr>
          <w:rFonts w:hint="cs"/>
          <w:rtl/>
        </w:rPr>
        <w:t xml:space="preserve"> </w:t>
      </w:r>
      <w:r w:rsidRPr="003F5F02">
        <w:rPr>
          <w:rStyle w:val="af6"/>
          <w:rFonts w:eastAsia="Guttman Hodes" w:hint="cs"/>
          <w:rtl/>
        </w:rPr>
        <w:t>(צה. ד"ה ספקו)</w:t>
      </w:r>
      <w:r>
        <w:rPr>
          <w:rFonts w:hint="cs"/>
          <w:rtl/>
        </w:rPr>
        <w:t xml:space="preserve"> </w:t>
      </w:r>
      <w:r w:rsidRPr="007E5E94">
        <w:rPr>
          <w:rStyle w:val="af8"/>
          <w:rFonts w:hint="cs"/>
          <w:rtl/>
        </w:rPr>
        <w:t>והמאירי לעיל</w:t>
      </w:r>
      <w:r>
        <w:rPr>
          <w:rFonts w:hint="cs"/>
          <w:rtl/>
        </w:rPr>
        <w:t xml:space="preserve"> </w:t>
      </w:r>
      <w:r w:rsidRPr="007E5E94">
        <w:rPr>
          <w:rStyle w:val="af6"/>
          <w:rFonts w:eastAsia="Guttman Hodes" w:hint="cs"/>
          <w:rtl/>
        </w:rPr>
        <w:t>(צה: ד"ה יש)</w:t>
      </w:r>
      <w:r>
        <w:rPr>
          <w:rFonts w:hint="cs"/>
          <w:rtl/>
        </w:rPr>
        <w:t xml:space="preserve"> האיך מהני ביטול ברוב בתערובת, הא כיון שהתערובת קבועה א"כ יש בה דין כל קבוע כמחצה על מחצה דמי.</w:t>
      </w:r>
      <w:bookmarkStart w:id="12631" w:name="_Toc23224113"/>
      <w:bookmarkStart w:id="12632" w:name="_Toc23372510"/>
      <w:r w:rsidRPr="00D641EE">
        <w:t xml:space="preserve"> </w:t>
      </w:r>
      <w:bookmarkEnd w:id="12631"/>
      <w:bookmarkEnd w:id="12632"/>
    </w:p>
    <w:p w:rsidR="00D45705" w:rsidRDefault="00D45705" w:rsidP="00D45705">
      <w:pPr>
        <w:pStyle w:val="a2"/>
        <w:rPr>
          <w:rtl/>
        </w:rPr>
      </w:pPr>
      <w:bookmarkStart w:id="12633" w:name="_Toc23224114"/>
      <w:bookmarkStart w:id="12634" w:name="_Toc23372511"/>
      <w:bookmarkStart w:id="12635" w:name="_Toc23419200"/>
      <w:bookmarkStart w:id="12636" w:name="_Toc23499493"/>
      <w:bookmarkStart w:id="12637" w:name="_Toc23663905"/>
      <w:bookmarkStart w:id="12638" w:name="_Toc23672558"/>
      <w:bookmarkStart w:id="12639" w:name="_Toc23673122"/>
      <w:r>
        <w:rPr>
          <w:rFonts w:hint="cs"/>
          <w:rtl/>
        </w:rPr>
        <w:t>דברי התוס' והרמב"ן דדין קבוע נאמר רק באיסור שניכר במקומו או באיסור חשוב שלא בטל</w:t>
      </w:r>
      <w:bookmarkEnd w:id="12633"/>
      <w:bookmarkEnd w:id="12634"/>
      <w:bookmarkEnd w:id="12635"/>
      <w:bookmarkEnd w:id="12636"/>
      <w:bookmarkEnd w:id="12637"/>
      <w:bookmarkEnd w:id="12638"/>
      <w:bookmarkEnd w:id="12639"/>
      <w:r>
        <w:rPr>
          <w:rFonts w:hint="cs"/>
          <w:rtl/>
        </w:rPr>
        <w:t xml:space="preserve"> </w:t>
      </w:r>
    </w:p>
    <w:p w:rsidR="00D45705" w:rsidRPr="00C84918" w:rsidRDefault="00D45705" w:rsidP="009F44AF">
      <w:pPr>
        <w:pStyle w:val="a"/>
        <w:rPr>
          <w:rStyle w:val="af8"/>
          <w:b w:val="0"/>
          <w:bCs w:val="0"/>
        </w:rPr>
      </w:pPr>
      <w:bookmarkStart w:id="12640" w:name="_Ref23620097"/>
      <w:r>
        <w:rPr>
          <w:rFonts w:hint="cs"/>
          <w:rtl/>
        </w:rPr>
        <w:t xml:space="preserve">ותירצו </w:t>
      </w:r>
      <w:r w:rsidRPr="007E5E94">
        <w:rPr>
          <w:rStyle w:val="af8"/>
          <w:rFonts w:hint="cs"/>
          <w:rtl/>
        </w:rPr>
        <w:t>התוס' לעיל</w:t>
      </w:r>
      <w:r>
        <w:rPr>
          <w:rFonts w:hint="cs"/>
          <w:rtl/>
        </w:rPr>
        <w:t xml:space="preserve"> דהא דמדאו' חד בתרי בטל, הוא בתערובת שהאיסור אינו ניכר, ולכן האיסור מתבטל בהיתר ודין קבוע נאמר רק במקום שהאיסור ידוע במקומו כחנות שמוכרת בשר נבילה, והא דאיתא בגמ' בזבחים </w:t>
      </w:r>
      <w:r w:rsidRPr="003F5F02">
        <w:rPr>
          <w:rStyle w:val="af6"/>
          <w:rFonts w:eastAsia="Guttman Hodes" w:hint="cs"/>
          <w:rtl/>
        </w:rPr>
        <w:t>(עג:)</w:t>
      </w:r>
      <w:r>
        <w:rPr>
          <w:rFonts w:hint="cs"/>
          <w:rtl/>
        </w:rPr>
        <w:t xml:space="preserve"> דשור הנסקל שהתערב בשאר שוורים, דינו כקבוע כיון דבע"ח אינם בטלים, כתבו </w:t>
      </w:r>
      <w:r w:rsidRPr="003F5F02">
        <w:rPr>
          <w:rStyle w:val="af8"/>
          <w:rFonts w:hint="cs"/>
          <w:rtl/>
        </w:rPr>
        <w:t xml:space="preserve">התוס' </w:t>
      </w:r>
      <w:r>
        <w:rPr>
          <w:rFonts w:hint="cs"/>
          <w:rtl/>
        </w:rPr>
        <w:t xml:space="preserve">דעיקר הטעם אינו מדין קבוע, אלא הוא מחמת דבע"ח הם דבר חשוב ואינם בטלים, כדבר </w:t>
      </w:r>
      <w:r w:rsidRPr="00C84918">
        <w:rPr>
          <w:rFonts w:hint="cs"/>
          <w:rtl/>
        </w:rPr>
        <w:t>שדרכו</w:t>
      </w:r>
      <w:r>
        <w:rPr>
          <w:rFonts w:hint="cs"/>
          <w:rtl/>
        </w:rPr>
        <w:t xml:space="preserve"> </w:t>
      </w:r>
      <w:r w:rsidRPr="00C84918">
        <w:rPr>
          <w:rFonts w:hint="cs"/>
          <w:rtl/>
        </w:rPr>
        <w:t xml:space="preserve">לימנות. ועי' בדברי </w:t>
      </w:r>
      <w:r w:rsidRPr="00C84918">
        <w:rPr>
          <w:rStyle w:val="af8"/>
          <w:rFonts w:hint="cs"/>
          <w:rtl/>
        </w:rPr>
        <w:t>התורת זרעים</w:t>
      </w:r>
      <w:r w:rsidRPr="00C84918">
        <w:rPr>
          <w:rFonts w:hint="cs"/>
          <w:rtl/>
        </w:rPr>
        <w:t xml:space="preserve"> </w:t>
      </w:r>
      <w:r w:rsidRPr="00C84918">
        <w:rPr>
          <w:rStyle w:val="af6"/>
          <w:rFonts w:eastAsia="Guttman Hodes" w:hint="cs"/>
          <w:rtl/>
        </w:rPr>
        <w:t>(</w:t>
      </w:r>
      <w:r w:rsidRPr="00901C75">
        <w:rPr>
          <w:rStyle w:val="af6"/>
          <w:rFonts w:eastAsia="Guttman Hodes"/>
          <w:rtl/>
        </w:rPr>
        <w:t>תרומות פ"ה מ"ו</w:t>
      </w:r>
      <w:r>
        <w:rPr>
          <w:rStyle w:val="af6"/>
          <w:rFonts w:eastAsia="Guttman Hodes" w:hint="cs"/>
          <w:rtl/>
        </w:rPr>
        <w:t>,</w:t>
      </w:r>
      <w:r w:rsidRPr="00901C75">
        <w:rPr>
          <w:rStyle w:val="af6"/>
          <w:rFonts w:eastAsia="Guttman Hodes" w:hint="cs"/>
          <w:rtl/>
        </w:rPr>
        <w:t xml:space="preserve"> </w:t>
      </w:r>
      <w:r>
        <w:rPr>
          <w:rStyle w:val="af6"/>
          <w:rFonts w:eastAsia="Guttman Hodes" w:hint="cs"/>
          <w:rtl/>
        </w:rPr>
        <w:t>הובא בסימן י</w:t>
      </w:r>
      <w:r>
        <w:rPr>
          <w:rStyle w:val="af6"/>
          <w:rFonts w:eastAsia="Guttman Hodes"/>
          <w:rtl/>
        </w:rPr>
        <w:t>"</w:t>
      </w:r>
      <w:r>
        <w:rPr>
          <w:rStyle w:val="af6"/>
          <w:rFonts w:eastAsia="Guttman Hodes" w:hint="cs"/>
          <w:rtl/>
        </w:rPr>
        <w:t>ז אות ק"ו</w:t>
      </w:r>
      <w:r w:rsidRPr="00C84918">
        <w:rPr>
          <w:rStyle w:val="af6"/>
          <w:rFonts w:eastAsia="Guttman Hodes" w:hint="cs"/>
          <w:rtl/>
        </w:rPr>
        <w:t>)</w:t>
      </w:r>
      <w:r>
        <w:rPr>
          <w:rFonts w:hint="cs"/>
          <w:rtl/>
        </w:rPr>
        <w:t xml:space="preserve"> </w:t>
      </w:r>
      <w:r w:rsidRPr="00C84918">
        <w:rPr>
          <w:rFonts w:hint="cs"/>
          <w:rtl/>
        </w:rPr>
        <w:t xml:space="preserve">בשם </w:t>
      </w:r>
      <w:r w:rsidRPr="00C84918">
        <w:rPr>
          <w:rStyle w:val="af8"/>
          <w:rFonts w:hint="cs"/>
          <w:rtl/>
        </w:rPr>
        <w:t>הגרי"ז</w:t>
      </w:r>
      <w:bookmarkEnd w:id="12640"/>
      <w:r>
        <w:rPr>
          <w:rFonts w:hint="cs"/>
          <w:rtl/>
        </w:rPr>
        <w:t>.</w:t>
      </w:r>
    </w:p>
    <w:p w:rsidR="00D45705" w:rsidRPr="00C84918" w:rsidRDefault="00D45705" w:rsidP="00D45705">
      <w:pPr>
        <w:pStyle w:val="a2"/>
      </w:pPr>
      <w:bookmarkStart w:id="12641" w:name="_Toc23224115"/>
      <w:bookmarkStart w:id="12642" w:name="_Toc23372512"/>
      <w:bookmarkStart w:id="12643" w:name="_Toc23419201"/>
      <w:bookmarkStart w:id="12644" w:name="_Toc23499494"/>
      <w:bookmarkStart w:id="12645" w:name="_Toc23663906"/>
      <w:bookmarkStart w:id="12646" w:name="_Toc23672559"/>
      <w:bookmarkStart w:id="12647" w:name="_Toc23673123"/>
      <w:r w:rsidRPr="00C84918">
        <w:rPr>
          <w:rFonts w:hint="cs"/>
          <w:rtl/>
        </w:rPr>
        <w:t>דברי הר"ן דאחר שהאיסור התבטל ברוב דאינו ניכר ואינו חשוב לא שייך לומר שהוא קבוע</w:t>
      </w:r>
      <w:bookmarkEnd w:id="12641"/>
      <w:bookmarkEnd w:id="12642"/>
      <w:bookmarkEnd w:id="12643"/>
      <w:bookmarkEnd w:id="12644"/>
      <w:bookmarkEnd w:id="12645"/>
      <w:bookmarkEnd w:id="12646"/>
      <w:bookmarkEnd w:id="12647"/>
    </w:p>
    <w:p w:rsidR="00D45705" w:rsidRDefault="00D45705" w:rsidP="009F44AF">
      <w:pPr>
        <w:pStyle w:val="a"/>
        <w:rPr>
          <w:rtl/>
        </w:rPr>
        <w:sectPr w:rsidR="00D45705" w:rsidSect="005049E2">
          <w:type w:val="continuous"/>
          <w:pgSz w:w="11906" w:h="16838"/>
          <w:pgMar w:top="720" w:right="720" w:bottom="720" w:left="720" w:header="283" w:footer="283" w:gutter="0"/>
          <w:cols w:num="2" w:space="567"/>
          <w:titlePg/>
          <w:bidi/>
          <w:rtlGutter/>
          <w:docGrid w:linePitch="299"/>
        </w:sectPr>
      </w:pPr>
      <w:bookmarkStart w:id="12648" w:name="_Ref23620105"/>
      <w:r w:rsidRPr="00C84918">
        <w:rPr>
          <w:rStyle w:val="af8"/>
          <w:rFonts w:hint="cs"/>
          <w:rtl/>
        </w:rPr>
        <w:t>והר"ן על</w:t>
      </w:r>
      <w:r w:rsidRPr="007E5E94">
        <w:rPr>
          <w:rStyle w:val="af8"/>
          <w:rFonts w:hint="cs"/>
          <w:rtl/>
        </w:rPr>
        <w:t xml:space="preserve"> הרי"ף</w:t>
      </w:r>
      <w:r>
        <w:rPr>
          <w:rFonts w:hint="cs"/>
          <w:rtl/>
        </w:rPr>
        <w:t xml:space="preserve"> </w:t>
      </w:r>
      <w:r w:rsidRPr="007E5E94">
        <w:rPr>
          <w:rStyle w:val="af6"/>
          <w:rFonts w:eastAsia="Guttman Hodes" w:hint="cs"/>
          <w:rtl/>
        </w:rPr>
        <w:t>(לג: מדפי הרי"ף סוד"ה ובנמצא)</w:t>
      </w:r>
      <w:r>
        <w:rPr>
          <w:rFonts w:hint="cs"/>
          <w:rtl/>
        </w:rPr>
        <w:t xml:space="preserve"> </w:t>
      </w:r>
      <w:r w:rsidRPr="005171FD">
        <w:rPr>
          <w:rFonts w:hint="cs"/>
          <w:rtl/>
        </w:rPr>
        <w:t>תירץ דבאיסור שאינו ניכר ואינו ידוע, לא שייך בו דין קבוע, דכיון שאינו ניכר הוא מתבטל, ואחר שהתבטל לא שייך לומר שהוא קבוע, אבל בע"</w:t>
      </w:r>
      <w:r>
        <w:rPr>
          <w:rFonts w:hint="cs"/>
          <w:rtl/>
        </w:rPr>
        <w:t xml:space="preserve">ח שהם חשובים אינם בטלים, וכיון שאינם בטלים ממילא הם כקבועים, וע"ע במ"ש </w:t>
      </w:r>
      <w:r w:rsidRPr="005D0CBF">
        <w:rPr>
          <w:rStyle w:val="af8"/>
          <w:rFonts w:hint="cs"/>
          <w:rtl/>
        </w:rPr>
        <w:t>הרמב"ן לעיל</w:t>
      </w:r>
      <w:r w:rsidRPr="005D0CBF">
        <w:rPr>
          <w:rFonts w:hint="cs"/>
          <w:rtl/>
        </w:rPr>
        <w:t xml:space="preserve"> </w:t>
      </w:r>
      <w:r w:rsidRPr="005D0CBF">
        <w:rPr>
          <w:rStyle w:val="af6"/>
          <w:rFonts w:eastAsia="Guttman Hodes" w:hint="cs"/>
          <w:rtl/>
        </w:rPr>
        <w:t>(צה. ד"ה והוי)</w:t>
      </w:r>
      <w:r w:rsidRPr="005D0CBF">
        <w:rPr>
          <w:rFonts w:hint="cs"/>
          <w:rtl/>
        </w:rPr>
        <w:t xml:space="preserve"> </w:t>
      </w:r>
      <w:r w:rsidRPr="005D0CBF">
        <w:rPr>
          <w:rStyle w:val="af8"/>
          <w:rFonts w:hint="cs"/>
          <w:rtl/>
        </w:rPr>
        <w:t>והרשב"א לעיל</w:t>
      </w:r>
      <w:r w:rsidRPr="005D0CBF">
        <w:rPr>
          <w:rFonts w:hint="cs"/>
          <w:rtl/>
        </w:rPr>
        <w:t xml:space="preserve"> </w:t>
      </w:r>
      <w:r w:rsidRPr="005D0CBF">
        <w:rPr>
          <w:rStyle w:val="af6"/>
          <w:rFonts w:eastAsia="Guttman Hodes" w:hint="cs"/>
          <w:rtl/>
        </w:rPr>
        <w:t>(צה. סוד"ה ונמצא)</w:t>
      </w:r>
      <w:r w:rsidRPr="005D0CBF">
        <w:rPr>
          <w:rFonts w:hint="cs"/>
          <w:rtl/>
        </w:rPr>
        <w:t xml:space="preserve"> </w:t>
      </w:r>
      <w:r w:rsidRPr="005D0CBF">
        <w:rPr>
          <w:rStyle w:val="af8"/>
          <w:rFonts w:hint="cs"/>
          <w:rtl/>
        </w:rPr>
        <w:t xml:space="preserve">המאירי לעיל </w:t>
      </w:r>
      <w:r w:rsidRPr="005D0CBF">
        <w:rPr>
          <w:rStyle w:val="af6"/>
          <w:rFonts w:eastAsia="Guttman Hodes" w:hint="cs"/>
          <w:rtl/>
        </w:rPr>
        <w:t>(צה: ד"ה יש)</w:t>
      </w:r>
      <w:bookmarkEnd w:id="11799"/>
      <w:bookmarkEnd w:id="11884"/>
      <w:bookmarkEnd w:id="12511"/>
      <w:r>
        <w:rPr>
          <w:rFonts w:hint="cs"/>
          <w:rtl/>
        </w:rPr>
        <w:t xml:space="preserve"> </w:t>
      </w:r>
      <w:r w:rsidRPr="005D0CBF">
        <w:rPr>
          <w:rFonts w:hint="cs"/>
          <w:rtl/>
        </w:rPr>
        <w:t xml:space="preserve">ועי' במ"ש </w:t>
      </w:r>
      <w:r w:rsidRPr="005D0CBF">
        <w:rPr>
          <w:rStyle w:val="af8"/>
          <w:rFonts w:hint="cs"/>
          <w:rtl/>
        </w:rPr>
        <w:t xml:space="preserve">הגר"ח </w:t>
      </w:r>
      <w:r w:rsidRPr="0046322E">
        <w:rPr>
          <w:rStyle w:val="af6"/>
          <w:rFonts w:eastAsia="Guttman Hodes" w:hint="cs"/>
          <w:rtl/>
        </w:rPr>
        <w:t xml:space="preserve">(עי' אות </w:t>
      </w:r>
      <w:r w:rsidRPr="0046322E">
        <w:rPr>
          <w:rStyle w:val="af6"/>
          <w:rFonts w:eastAsia="Guttman Hodes"/>
          <w:rtl/>
        </w:rPr>
        <w:fldChar w:fldCharType="begin"/>
      </w:r>
      <w:r w:rsidRPr="0046322E">
        <w:rPr>
          <w:rStyle w:val="af6"/>
          <w:rFonts w:eastAsia="Guttman Hodes"/>
          <w:rtl/>
        </w:rPr>
        <w:instrText xml:space="preserve"> </w:instrText>
      </w:r>
      <w:r w:rsidRPr="0046322E">
        <w:rPr>
          <w:rStyle w:val="af6"/>
          <w:rFonts w:eastAsia="Guttman Hodes" w:hint="cs"/>
        </w:rPr>
        <w:instrText>REF</w:instrText>
      </w:r>
      <w:r w:rsidRPr="0046322E">
        <w:rPr>
          <w:rStyle w:val="af6"/>
          <w:rFonts w:eastAsia="Guttman Hodes" w:hint="cs"/>
          <w:rtl/>
        </w:rPr>
        <w:instrText xml:space="preserve"> _</w:instrText>
      </w:r>
      <w:r w:rsidRPr="0046322E">
        <w:rPr>
          <w:rStyle w:val="af6"/>
          <w:rFonts w:eastAsia="Guttman Hodes" w:hint="cs"/>
        </w:rPr>
        <w:instrText>Ref23625060 \r \h</w:instrText>
      </w:r>
      <w:r w:rsidRPr="0046322E">
        <w:rPr>
          <w:rStyle w:val="af6"/>
          <w:rFonts w:eastAsia="Guttman Hodes"/>
          <w:rtl/>
        </w:rPr>
        <w:instrText xml:space="preserve">  \* </w:instrText>
      </w:r>
      <w:r w:rsidRPr="0046322E">
        <w:rPr>
          <w:rStyle w:val="af6"/>
          <w:rFonts w:eastAsia="Guttman Hodes"/>
        </w:rPr>
        <w:instrText>MERGEFORMAT</w:instrText>
      </w:r>
      <w:r w:rsidRPr="0046322E">
        <w:rPr>
          <w:rStyle w:val="af6"/>
          <w:rFonts w:eastAsia="Guttman Hodes"/>
          <w:rtl/>
        </w:rPr>
        <w:instrText xml:space="preserve"> </w:instrText>
      </w:r>
      <w:r w:rsidRPr="0046322E">
        <w:rPr>
          <w:rStyle w:val="af6"/>
          <w:rFonts w:eastAsia="Guttman Hodes"/>
          <w:rtl/>
        </w:rPr>
      </w:r>
      <w:r w:rsidRPr="0046322E">
        <w:rPr>
          <w:rStyle w:val="af6"/>
          <w:rFonts w:eastAsia="Guttman Hodes"/>
          <w:rtl/>
        </w:rPr>
        <w:fldChar w:fldCharType="separate"/>
      </w:r>
      <w:r w:rsidR="004D1C5B">
        <w:rPr>
          <w:rStyle w:val="af6"/>
          <w:rFonts w:eastAsia="Guttman Hodes"/>
          <w:cs/>
        </w:rPr>
        <w:t>‎</w:t>
      </w:r>
      <w:r w:rsidR="004D1C5B">
        <w:rPr>
          <w:rStyle w:val="af6"/>
          <w:rFonts w:eastAsia="Guttman Hodes"/>
          <w:rtl/>
        </w:rPr>
        <w:t>קכב)</w:t>
      </w:r>
      <w:r w:rsidRPr="0046322E">
        <w:rPr>
          <w:rStyle w:val="af6"/>
          <w:rFonts w:eastAsia="Guttman Hodes"/>
          <w:rtl/>
        </w:rPr>
        <w:fldChar w:fldCharType="end"/>
      </w:r>
      <w:bookmarkEnd w:id="12648"/>
      <w:r>
        <w:rPr>
          <w:rFonts w:hint="cs"/>
          <w:rtl/>
        </w:rPr>
        <w:t>.</w:t>
      </w:r>
    </w:p>
    <w:p w:rsidR="00D45705" w:rsidRPr="00D47CE7" w:rsidRDefault="00651E3B" w:rsidP="00D4570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v:shape id="_x0000_i1034" type="#_x0000_t75" style="width:404.55pt;height:6.8pt" o:hrpct="0" o:hralign="center" o:hr="t">
            <v:imagedata r:id="rId48" o:title="BD14845_"/>
          </v:shape>
        </w:pict>
      </w:r>
      <w:r w:rsidR="00D45705" w:rsidRPr="00D47CE7">
        <w:rPr>
          <w:rFonts w:ascii="Guttman Hodes" w:eastAsia="Guttman Hodes" w:hAnsi="Guttman Hodes" w:cs="Guttman Hodes" w:hint="cs"/>
          <w:noProof/>
          <w:sz w:val="18"/>
          <w:szCs w:val="18"/>
          <w:rtl/>
        </w:rPr>
        <w:t xml:space="preserve"> </w:t>
      </w:r>
    </w:p>
    <w:p w:rsidR="00D45705" w:rsidRPr="0081356D" w:rsidRDefault="00D45705" w:rsidP="00E669F8">
      <w:pPr>
        <w:pStyle w:val="afd"/>
        <w:rPr>
          <w:rtl/>
        </w:rPr>
        <w:sectPr w:rsidR="00D45705" w:rsidRPr="0081356D" w:rsidSect="00D45705">
          <w:type w:val="continuous"/>
          <w:pgSz w:w="11906" w:h="16838"/>
          <w:pgMar w:top="720" w:right="720" w:bottom="720" w:left="720" w:header="283" w:footer="283" w:gutter="0"/>
          <w:cols w:space="567"/>
          <w:bidi/>
          <w:rtlGutter/>
          <w:docGrid w:linePitch="299"/>
        </w:sectPr>
      </w:pPr>
      <w:bookmarkStart w:id="12649" w:name="_Toc20500701"/>
      <w:bookmarkStart w:id="12650" w:name="_Toc20603915"/>
      <w:bookmarkStart w:id="12651" w:name="_Toc21094851"/>
      <w:bookmarkStart w:id="12652" w:name="_Toc22250705"/>
      <w:bookmarkStart w:id="12653" w:name="_Toc22638920"/>
      <w:bookmarkStart w:id="12654" w:name="_Toc23224118"/>
      <w:bookmarkStart w:id="12655" w:name="_Toc23372515"/>
      <w:bookmarkStart w:id="12656" w:name="_Toc23419204"/>
      <w:bookmarkStart w:id="12657" w:name="_Toc23499497"/>
      <w:bookmarkStart w:id="12658" w:name="_Toc23663907"/>
      <w:bookmarkStart w:id="12659" w:name="_Toc23672560"/>
      <w:bookmarkStart w:id="12660" w:name="_Toc23673124"/>
      <w:r w:rsidRPr="0081356D">
        <w:rPr>
          <w:rFonts w:hint="cs"/>
          <w:rtl/>
        </w:rPr>
        <w:t>ביאורי ראשי הישיבות</w:t>
      </w:r>
      <w:bookmarkEnd w:id="12649"/>
      <w:bookmarkEnd w:id="12650"/>
      <w:bookmarkEnd w:id="12651"/>
      <w:bookmarkEnd w:id="12652"/>
      <w:bookmarkEnd w:id="12653"/>
      <w:bookmarkEnd w:id="12654"/>
      <w:bookmarkEnd w:id="12655"/>
      <w:bookmarkEnd w:id="12656"/>
      <w:bookmarkEnd w:id="12657"/>
      <w:bookmarkEnd w:id="12658"/>
      <w:bookmarkEnd w:id="12659"/>
      <w:bookmarkEnd w:id="12660"/>
      <w:r w:rsidRPr="0081356D">
        <w:rPr>
          <w:rFonts w:hint="cs"/>
          <w:rtl/>
        </w:rPr>
        <w:t xml:space="preserve"> </w:t>
      </w:r>
    </w:p>
    <w:p w:rsidR="00D45705" w:rsidRDefault="00D45705" w:rsidP="00E669F8">
      <w:pPr>
        <w:pStyle w:val="afd"/>
        <w:rPr>
          <w:rtl/>
        </w:rPr>
      </w:pPr>
      <w:r>
        <w:rPr>
          <w:rFonts w:hint="cs"/>
          <w:rtl/>
        </w:rPr>
        <w:t xml:space="preserve"> </w:t>
      </w:r>
      <w:bookmarkStart w:id="12661" w:name="_Toc22638921"/>
      <w:bookmarkStart w:id="12662" w:name="_Toc23224119"/>
      <w:bookmarkStart w:id="12663" w:name="_Toc23372516"/>
      <w:bookmarkStart w:id="12664" w:name="_Toc23419205"/>
      <w:bookmarkStart w:id="12665" w:name="_Toc23499498"/>
      <w:bookmarkStart w:id="12666" w:name="_Toc23663908"/>
      <w:bookmarkStart w:id="12667" w:name="_Toc23672561"/>
      <w:bookmarkStart w:id="12668" w:name="_Toc23673125"/>
      <w:bookmarkStart w:id="12669" w:name="_Toc22250706"/>
      <w:r>
        <w:rPr>
          <w:rFonts w:hint="cs"/>
          <w:rtl/>
        </w:rPr>
        <w:t>במקור וגדר דין ביטול ברוב</w:t>
      </w:r>
      <w:bookmarkEnd w:id="12661"/>
      <w:bookmarkEnd w:id="12662"/>
      <w:bookmarkEnd w:id="12663"/>
      <w:bookmarkEnd w:id="12664"/>
      <w:bookmarkEnd w:id="12665"/>
      <w:bookmarkEnd w:id="12666"/>
      <w:bookmarkEnd w:id="12667"/>
      <w:bookmarkEnd w:id="12668"/>
    </w:p>
    <w:p w:rsidR="00D45705" w:rsidRDefault="00D45705" w:rsidP="00D45705">
      <w:pPr>
        <w:pStyle w:val="1"/>
        <w:rPr>
          <w:rtl/>
        </w:rPr>
      </w:pPr>
      <w:bookmarkStart w:id="12670" w:name="_Toc23663909"/>
      <w:bookmarkStart w:id="12671" w:name="_Toc23672562"/>
      <w:bookmarkStart w:id="12672" w:name="_Toc23673126"/>
      <w:r>
        <w:rPr>
          <w:rFonts w:hint="cs"/>
          <w:rtl/>
        </w:rPr>
        <w:t>קושית הגר"ח מהיכן ילפינן ביטול בלח בלח שאין בו ספק</w:t>
      </w:r>
      <w:bookmarkEnd w:id="12670"/>
      <w:bookmarkEnd w:id="12671"/>
      <w:bookmarkEnd w:id="12672"/>
    </w:p>
    <w:p w:rsidR="00D45705" w:rsidRDefault="00D45705" w:rsidP="00D45705">
      <w:pPr>
        <w:pStyle w:val="a2"/>
        <w:rPr>
          <w:rtl/>
        </w:rPr>
      </w:pPr>
      <w:bookmarkStart w:id="12673" w:name="_Toc23663910"/>
      <w:bookmarkStart w:id="12674" w:name="_Toc23672563"/>
      <w:bookmarkStart w:id="12675" w:name="_Toc23673127"/>
      <w:r>
        <w:rPr>
          <w:rFonts w:hint="cs"/>
          <w:rtl/>
        </w:rPr>
        <w:t>דברי הגר"ח דבהלך אחר הרוב הוא הכרעת ספק וביטול ברוב בלח בלח הוא רוב בלא כל ספק</w:t>
      </w:r>
      <w:bookmarkEnd w:id="12673"/>
      <w:bookmarkEnd w:id="12674"/>
      <w:bookmarkEnd w:id="12675"/>
    </w:p>
    <w:p w:rsidR="00D45705" w:rsidRDefault="00D45705" w:rsidP="009F44AF">
      <w:pPr>
        <w:pStyle w:val="a"/>
        <w:rPr>
          <w:rtl/>
        </w:rPr>
      </w:pPr>
      <w:bookmarkStart w:id="12676" w:name="_Toc22638922"/>
      <w:bookmarkStart w:id="12677" w:name="_Toc23224120"/>
      <w:r>
        <w:rPr>
          <w:rFonts w:hint="cs"/>
          <w:rtl/>
        </w:rPr>
        <w:t xml:space="preserve">כתב </w:t>
      </w:r>
      <w:r w:rsidRPr="00E47B66">
        <w:rPr>
          <w:rStyle w:val="af8"/>
          <w:rFonts w:hint="cs"/>
          <w:rtl/>
        </w:rPr>
        <w:t>בחי' הגר"ח על הש"ס</w:t>
      </w:r>
      <w:r>
        <w:rPr>
          <w:rFonts w:hint="cs"/>
          <w:rtl/>
        </w:rPr>
        <w:t xml:space="preserve"> </w:t>
      </w:r>
      <w:r w:rsidRPr="00E47B66">
        <w:rPr>
          <w:rStyle w:val="af6"/>
          <w:rFonts w:eastAsia="Guttman Hodes" w:hint="cs"/>
          <w:rtl/>
        </w:rPr>
        <w:t>(רכט, ב"ק כז: ד"ה וביאור)</w:t>
      </w:r>
      <w:r>
        <w:rPr>
          <w:rFonts w:hint="cs"/>
          <w:rtl/>
        </w:rPr>
        <w:t xml:space="preserve"> דיש ב' דינים ברוב, הא' רוב שמברר ומכריע את הספק, והב' במקום שאין ספק כלל, כדין רובו ככולו בשחיטת רוב סימנים, דודאי שלא נחתכו כל הסימנים, ובלח בלח דמדאו' מהני ביטול ברוב, אעפ"י דודאי שיש בתערובת מיעוט של איסור, ואין כל ספק לפנינו.</w:t>
      </w:r>
    </w:p>
    <w:p w:rsidR="00D45705" w:rsidRPr="007E2A0A" w:rsidRDefault="00D45705" w:rsidP="00D45705">
      <w:pPr>
        <w:pStyle w:val="a2"/>
        <w:rPr>
          <w:rtl/>
        </w:rPr>
      </w:pPr>
      <w:bookmarkStart w:id="12678" w:name="_Toc23663911"/>
      <w:bookmarkStart w:id="12679" w:name="_Toc23672564"/>
      <w:bookmarkStart w:id="12680" w:name="_Toc23673128"/>
      <w:r>
        <w:rPr>
          <w:rFonts w:hint="cs"/>
          <w:rtl/>
        </w:rPr>
        <w:t>קושית הגר"ח מהיכן ילפינן את דין ביטול ברוב בלח בלח הרי אין מקור לרוב במקום שאין ספק</w:t>
      </w:r>
      <w:bookmarkEnd w:id="12678"/>
      <w:bookmarkEnd w:id="12679"/>
      <w:bookmarkEnd w:id="12680"/>
    </w:p>
    <w:p w:rsidR="00D45705" w:rsidRDefault="00D45705" w:rsidP="009F44AF">
      <w:pPr>
        <w:pStyle w:val="a"/>
        <w:rPr>
          <w:rtl/>
        </w:rPr>
      </w:pPr>
      <w:bookmarkStart w:id="12681" w:name="_Ref23414780"/>
      <w:r>
        <w:rPr>
          <w:rFonts w:hint="cs"/>
          <w:rtl/>
        </w:rPr>
        <w:t xml:space="preserve">והקשה </w:t>
      </w:r>
      <w:r w:rsidRPr="00E47B66">
        <w:rPr>
          <w:rStyle w:val="af8"/>
          <w:rFonts w:hint="cs"/>
          <w:rtl/>
        </w:rPr>
        <w:t>בחי' הגר"ח</w:t>
      </w:r>
      <w:r>
        <w:rPr>
          <w:rFonts w:hint="cs"/>
          <w:rtl/>
        </w:rPr>
        <w:t xml:space="preserve"> </w:t>
      </w:r>
      <w:r w:rsidRPr="00E47B66">
        <w:rPr>
          <w:rStyle w:val="af8"/>
          <w:rFonts w:hint="cs"/>
          <w:rtl/>
        </w:rPr>
        <w:t>על הש"ס</w:t>
      </w:r>
      <w:r>
        <w:rPr>
          <w:rFonts w:hint="cs"/>
          <w:rtl/>
        </w:rPr>
        <w:t xml:space="preserve"> מהיכן ילפינן את דין רוב בביטול בתערובת בלח בלח, </w:t>
      </w:r>
      <w:r w:rsidRPr="00B76AE8">
        <w:rPr>
          <w:rStyle w:val="afa"/>
          <w:rFonts w:hint="cs"/>
          <w:rtl/>
        </w:rPr>
        <w:t>[ד</w:t>
      </w:r>
      <w:r>
        <w:rPr>
          <w:rStyle w:val="afa"/>
          <w:rFonts w:hint="cs"/>
          <w:rtl/>
        </w:rPr>
        <w:t xml:space="preserve">במין במינו </w:t>
      </w:r>
      <w:r w:rsidRPr="00B76AE8">
        <w:rPr>
          <w:rStyle w:val="afa"/>
          <w:rFonts w:hint="cs"/>
          <w:rtl/>
        </w:rPr>
        <w:t>מדאו' בטל ברוב</w:t>
      </w:r>
      <w:r>
        <w:rPr>
          <w:rStyle w:val="afa"/>
          <w:rFonts w:hint="cs"/>
          <w:rtl/>
        </w:rPr>
        <w:t>,</w:t>
      </w:r>
      <w:r w:rsidRPr="00B76AE8">
        <w:rPr>
          <w:rStyle w:val="afa"/>
          <w:rFonts w:hint="cs"/>
          <w:rtl/>
        </w:rPr>
        <w:t xml:space="preserve"> ו</w:t>
      </w:r>
      <w:r>
        <w:rPr>
          <w:rStyle w:val="afa"/>
          <w:rFonts w:hint="cs"/>
          <w:rtl/>
        </w:rPr>
        <w:t xml:space="preserve">רק </w:t>
      </w:r>
      <w:r w:rsidRPr="00B76AE8">
        <w:rPr>
          <w:rStyle w:val="afa"/>
          <w:rFonts w:hint="cs"/>
          <w:rtl/>
        </w:rPr>
        <w:t>מדרבנן צריך שישים],</w:t>
      </w:r>
      <w:r>
        <w:rPr>
          <w:rFonts w:hint="cs"/>
          <w:rtl/>
        </w:rPr>
        <w:t xml:space="preserve"> וכן מהיכן ילפינן את דין רובו ככולו, הא לא מצינו מקור לרוב שאין בו ספק</w:t>
      </w:r>
      <w:r>
        <w:rPr>
          <w:rStyle w:val="af0"/>
          <w:rtl/>
        </w:rPr>
        <w:footnoteReference w:id="62"/>
      </w:r>
      <w:r>
        <w:rPr>
          <w:rFonts w:hint="cs"/>
          <w:rtl/>
        </w:rPr>
        <w:t>.</w:t>
      </w:r>
      <w:bookmarkEnd w:id="12681"/>
    </w:p>
    <w:p w:rsidR="00D45705" w:rsidRPr="00C84918" w:rsidRDefault="00D45705" w:rsidP="00D45705">
      <w:pPr>
        <w:pStyle w:val="1"/>
        <w:rPr>
          <w:rtl/>
        </w:rPr>
      </w:pPr>
      <w:bookmarkStart w:id="12682" w:name="_Toc23663912"/>
      <w:bookmarkStart w:id="12683" w:name="_Toc23672565"/>
      <w:bookmarkStart w:id="12684" w:name="_Toc23673129"/>
      <w:r>
        <w:rPr>
          <w:rFonts w:hint="cs"/>
          <w:rtl/>
        </w:rPr>
        <w:t xml:space="preserve">תירוץ הגר"ח </w:t>
      </w:r>
      <w:r w:rsidRPr="00C84918">
        <w:rPr>
          <w:rFonts w:hint="cs"/>
          <w:rtl/>
        </w:rPr>
        <w:t>דבדיינים יש גם דין רובו ככולו וגם הכרעת ספק</w:t>
      </w:r>
      <w:bookmarkEnd w:id="12682"/>
      <w:bookmarkEnd w:id="12683"/>
      <w:bookmarkEnd w:id="12684"/>
    </w:p>
    <w:p w:rsidR="00D45705" w:rsidRPr="00C84918" w:rsidRDefault="00D45705" w:rsidP="00D45705">
      <w:pPr>
        <w:pStyle w:val="a2"/>
        <w:rPr>
          <w:rtl/>
        </w:rPr>
      </w:pPr>
      <w:bookmarkStart w:id="12685" w:name="_Toc23663913"/>
      <w:bookmarkStart w:id="12686" w:name="_Toc23672566"/>
      <w:bookmarkStart w:id="12687" w:name="_Toc23673130"/>
      <w:r w:rsidRPr="00C84918">
        <w:rPr>
          <w:rFonts w:hint="cs"/>
          <w:rtl/>
        </w:rPr>
        <w:t>דברי הגר"ח דברוב דיינים מוכח שיש דין רובו ככולו כיון שהמיעוט מצטרף למניין הדיינים</w:t>
      </w:r>
      <w:bookmarkEnd w:id="12685"/>
      <w:bookmarkEnd w:id="12686"/>
      <w:bookmarkEnd w:id="12687"/>
    </w:p>
    <w:p w:rsidR="00D45705" w:rsidRPr="00C84918" w:rsidRDefault="00D45705" w:rsidP="009F44AF">
      <w:pPr>
        <w:pStyle w:val="a"/>
        <w:rPr>
          <w:rtl/>
        </w:rPr>
      </w:pPr>
      <w:r w:rsidRPr="00C84918">
        <w:rPr>
          <w:rFonts w:hint="cs"/>
          <w:rtl/>
        </w:rPr>
        <w:t xml:space="preserve">ותירץ </w:t>
      </w:r>
      <w:r w:rsidRPr="00C84918">
        <w:rPr>
          <w:rStyle w:val="af8"/>
          <w:rFonts w:hint="cs"/>
          <w:rtl/>
        </w:rPr>
        <w:t>בחי' הגר"ח על הש"ס</w:t>
      </w:r>
      <w:r w:rsidRPr="00C84918">
        <w:rPr>
          <w:rFonts w:hint="cs"/>
          <w:rtl/>
        </w:rPr>
        <w:t xml:space="preserve"> דב' הדינים ברוב נלמדים מאחרי רבים להטות, וביאר </w:t>
      </w:r>
      <w:r w:rsidRPr="00C84918">
        <w:rPr>
          <w:rStyle w:val="af8"/>
          <w:rFonts w:hint="cs"/>
          <w:rtl/>
        </w:rPr>
        <w:t>הגר"ח</w:t>
      </w:r>
      <w:r w:rsidRPr="00C84918">
        <w:rPr>
          <w:rFonts w:hint="cs"/>
          <w:rtl/>
        </w:rPr>
        <w:t xml:space="preserve"> דברוב בדיינים מוכח שיש דין רובו </w:t>
      </w:r>
      <w:r w:rsidRPr="00C84918">
        <w:rPr>
          <w:rFonts w:hint="cs"/>
          <w:rtl/>
        </w:rPr>
        <w:t xml:space="preserve">ככולו, כיון שצריך ב"ד של ג' לממונות, וכ"ג לנפשות, וא"א להכריע רק עפ"י רוב הדיינים, ומוכח דרוב הדיינים ככל הדיינים, ואף המיעוט מתהפך ונעשה כמו הרוב, אך מ"מ אף בדיינים צריך את דין רוב שמכריע את הספק, כיון שצריך הכרעה של הב"ד דכן הוא הדין אליבא דאמת, ובזה לא מהני רובו ככולו דאינו מברר את הספק. </w:t>
      </w:r>
      <w:r>
        <w:rPr>
          <w:rFonts w:hint="cs"/>
          <w:rtl/>
        </w:rPr>
        <w:t xml:space="preserve">וע"ע במ"ש </w:t>
      </w:r>
      <w:r w:rsidRPr="00020D07">
        <w:rPr>
          <w:rStyle w:val="af8"/>
          <w:rFonts w:hint="cs"/>
          <w:rtl/>
        </w:rPr>
        <w:t>בחי' הרי"ם</w:t>
      </w:r>
      <w:r>
        <w:rPr>
          <w:rFonts w:hint="cs"/>
          <w:rtl/>
        </w:rPr>
        <w:t xml:space="preserve"> </w:t>
      </w:r>
      <w:r w:rsidRPr="009D671F">
        <w:rPr>
          <w:rStyle w:val="af6"/>
          <w:rFonts w:eastAsia="Guttman Hodes" w:hint="cs"/>
          <w:rtl/>
        </w:rPr>
        <w:t>(שו"ת יו"ד סי' ט')</w:t>
      </w:r>
      <w:r w:rsidRPr="00C84918">
        <w:rPr>
          <w:rFonts w:hint="cs"/>
          <w:rtl/>
        </w:rPr>
        <w:t>.</w:t>
      </w:r>
    </w:p>
    <w:p w:rsidR="00D45705" w:rsidRPr="00032A88" w:rsidRDefault="00D45705" w:rsidP="00D45705">
      <w:pPr>
        <w:pStyle w:val="a2"/>
        <w:rPr>
          <w:rtl/>
        </w:rPr>
      </w:pPr>
      <w:bookmarkStart w:id="12688" w:name="_Toc23663914"/>
      <w:bookmarkStart w:id="12689" w:name="_Toc23672567"/>
      <w:bookmarkStart w:id="12690" w:name="_Toc23673131"/>
      <w:r w:rsidRPr="00C84918">
        <w:rPr>
          <w:rFonts w:hint="cs"/>
          <w:rtl/>
        </w:rPr>
        <w:t>דברי הגר"ח דבכדי להכריע את הדין צריך</w:t>
      </w:r>
      <w:r>
        <w:rPr>
          <w:rFonts w:hint="cs"/>
          <w:rtl/>
        </w:rPr>
        <w:t xml:space="preserve"> שהב"ד יכוונו לאמת ומוכח דהרוב מכריע את הספק</w:t>
      </w:r>
      <w:bookmarkEnd w:id="12688"/>
      <w:bookmarkEnd w:id="12689"/>
      <w:bookmarkEnd w:id="12690"/>
    </w:p>
    <w:p w:rsidR="00D45705" w:rsidRDefault="00D45705" w:rsidP="009F44AF">
      <w:pPr>
        <w:pStyle w:val="a"/>
        <w:rPr>
          <w:rtl/>
        </w:rPr>
      </w:pPr>
      <w:r>
        <w:rPr>
          <w:rFonts w:hint="cs"/>
          <w:rtl/>
        </w:rPr>
        <w:t xml:space="preserve">וכתב </w:t>
      </w:r>
      <w:r w:rsidRPr="000E18C9">
        <w:rPr>
          <w:rStyle w:val="af8"/>
          <w:rFonts w:hint="cs"/>
          <w:rtl/>
        </w:rPr>
        <w:t>בחי' הגר"ח על הש"ס</w:t>
      </w:r>
      <w:r>
        <w:rPr>
          <w:rFonts w:hint="cs"/>
          <w:rtl/>
        </w:rPr>
        <w:t xml:space="preserve"> דפשיטא דהכרעת הדין כמו הרוב, אינה תלויה בדעת הב"ד, אלא צריך שהב"ד יכוונו את הדין אליבא דאמת, וא"כ מוכח בדין אחרי רבים להטות, דאזלינן בתר רובא כשהרוב מכריע את הספק.</w:t>
      </w:r>
    </w:p>
    <w:p w:rsidR="00D45705" w:rsidRPr="00032A88" w:rsidRDefault="00D45705" w:rsidP="00D45705">
      <w:pPr>
        <w:pStyle w:val="a2"/>
      </w:pPr>
      <w:bookmarkStart w:id="12691" w:name="_Toc23663915"/>
      <w:bookmarkStart w:id="12692" w:name="_Toc23672568"/>
      <w:bookmarkStart w:id="12693" w:name="_Toc23673132"/>
      <w:r>
        <w:rPr>
          <w:rFonts w:hint="cs"/>
          <w:rtl/>
        </w:rPr>
        <w:t>ביאור הגר"ח דע"י רובו ככולו א"א להכריע את הדין לאמתו וכן רובו ככולו שייך רק בהם עצמם</w:t>
      </w:r>
      <w:bookmarkEnd w:id="12691"/>
      <w:bookmarkEnd w:id="12692"/>
      <w:bookmarkEnd w:id="12693"/>
    </w:p>
    <w:p w:rsidR="00D45705" w:rsidRDefault="00D45705" w:rsidP="009F44AF">
      <w:pPr>
        <w:pStyle w:val="a"/>
        <w:rPr>
          <w:rtl/>
        </w:rPr>
      </w:pPr>
      <w:r>
        <w:rPr>
          <w:rFonts w:hint="cs"/>
          <w:rtl/>
        </w:rPr>
        <w:t xml:space="preserve">וביאר </w:t>
      </w:r>
      <w:r w:rsidRPr="000E18C9">
        <w:rPr>
          <w:rStyle w:val="af8"/>
          <w:rFonts w:hint="cs"/>
          <w:rtl/>
        </w:rPr>
        <w:t>בחי' הגר"ח על הש"ס</w:t>
      </w:r>
      <w:r>
        <w:rPr>
          <w:rFonts w:hint="cs"/>
          <w:rtl/>
        </w:rPr>
        <w:t xml:space="preserve"> דבכדי להכריע את הספק, לא סגי רק בדין רובו ככולו, דאעפ"י שבצירוף המיעוט לרוב מדין רובו ככולו, יש לב"ד כח של ב"ד של כ"ג, מ"מ בכדי לחתוך את הדין לאמתו, צריך הכרעה שכך הוא הדין אליבא דאמת, ולולא הגזיה"כ דאחרי רבים להטות, והוסיף </w:t>
      </w:r>
      <w:r w:rsidRPr="000768B7">
        <w:rPr>
          <w:rStyle w:val="af8"/>
          <w:rFonts w:hint="cs"/>
          <w:rtl/>
        </w:rPr>
        <w:t>הגר"ח</w:t>
      </w:r>
      <w:r>
        <w:rPr>
          <w:rFonts w:hint="cs"/>
          <w:rtl/>
        </w:rPr>
        <w:t xml:space="preserve"> דדין רובו כ</w:t>
      </w:r>
      <w:r w:rsidR="000768B7">
        <w:rPr>
          <w:rFonts w:hint="cs"/>
          <w:rtl/>
        </w:rPr>
        <w:t>כ</w:t>
      </w:r>
      <w:r>
        <w:rPr>
          <w:rFonts w:hint="cs"/>
          <w:rtl/>
        </w:rPr>
        <w:t>ולו נאמר רק בגוף הסנהדרין וא"כ דין רובו ככולו שיש בסנהדרין עצמם, אינו שייך כלל בבירור הדין דאינו בגוף הסנהדרין.</w:t>
      </w:r>
    </w:p>
    <w:p w:rsidR="00D45705" w:rsidRPr="006C3527" w:rsidRDefault="00D45705" w:rsidP="00D45705">
      <w:pPr>
        <w:pStyle w:val="a2"/>
      </w:pPr>
      <w:bookmarkStart w:id="12694" w:name="_Toc23663916"/>
      <w:bookmarkStart w:id="12695" w:name="_Toc23672569"/>
      <w:bookmarkStart w:id="12696" w:name="_Toc23673133"/>
      <w:r>
        <w:rPr>
          <w:rFonts w:hint="cs"/>
          <w:rtl/>
        </w:rPr>
        <w:t>דברי הגר"ח דמוכח מסנהדרין דאזלינן בתר רוב שמכריע את הספק ולא רק את דין רובו ככולו</w:t>
      </w:r>
      <w:bookmarkEnd w:id="12694"/>
      <w:bookmarkEnd w:id="12695"/>
      <w:bookmarkEnd w:id="12696"/>
    </w:p>
    <w:p w:rsidR="00D45705" w:rsidRDefault="00D45705" w:rsidP="009F44AF">
      <w:pPr>
        <w:pStyle w:val="a"/>
        <w:rPr>
          <w:rtl/>
        </w:rPr>
      </w:pPr>
      <w:r>
        <w:rPr>
          <w:rFonts w:hint="cs"/>
          <w:rtl/>
        </w:rPr>
        <w:t xml:space="preserve">אלא כתב </w:t>
      </w:r>
      <w:r w:rsidRPr="000E18C9">
        <w:rPr>
          <w:rStyle w:val="af8"/>
          <w:rFonts w:hint="cs"/>
          <w:rtl/>
        </w:rPr>
        <w:t>בחי' הגר"ח על הש"ס</w:t>
      </w:r>
      <w:r>
        <w:rPr>
          <w:rFonts w:hint="cs"/>
          <w:rtl/>
        </w:rPr>
        <w:t xml:space="preserve"> דא"כ מוכח דנאמר בדין אחרי רבים להטות, גם את דין הרוב שמכריע את הספק, דאזלינן בתר רוב, לא רק לענין רובו ככולו אלא גם ברוב שמכריע את הספק.</w:t>
      </w:r>
    </w:p>
    <w:p w:rsidR="00D45705" w:rsidRDefault="00D45705" w:rsidP="00D45705">
      <w:pPr>
        <w:pStyle w:val="a2"/>
        <w:rPr>
          <w:rtl/>
        </w:rPr>
      </w:pPr>
      <w:bookmarkStart w:id="12697" w:name="_Toc23663917"/>
      <w:bookmarkStart w:id="12698" w:name="_Toc23672570"/>
      <w:bookmarkStart w:id="12699" w:name="_Toc23673134"/>
      <w:r>
        <w:rPr>
          <w:rFonts w:hint="cs"/>
          <w:rtl/>
        </w:rPr>
        <w:t>תירוץ הגר"ח דמסנהדרין ילפינן את רוב שמכריע את הספק וגם את ביטול ברוב שאין בו ספק</w:t>
      </w:r>
      <w:bookmarkEnd w:id="12697"/>
      <w:bookmarkEnd w:id="12698"/>
      <w:bookmarkEnd w:id="12699"/>
    </w:p>
    <w:p w:rsidR="00D45705" w:rsidRDefault="00D45705" w:rsidP="009F44AF">
      <w:pPr>
        <w:pStyle w:val="a"/>
        <w:rPr>
          <w:rtl/>
        </w:rPr>
      </w:pPr>
      <w:r>
        <w:rPr>
          <w:rFonts w:hint="cs"/>
          <w:rtl/>
        </w:rPr>
        <w:lastRenderedPageBreak/>
        <w:t xml:space="preserve">וכתב </w:t>
      </w:r>
      <w:r w:rsidRPr="000E18C9">
        <w:rPr>
          <w:rStyle w:val="af8"/>
          <w:rFonts w:hint="cs"/>
          <w:rtl/>
        </w:rPr>
        <w:t>בחי' הגר"ח על הש"ס</w:t>
      </w:r>
      <w:r>
        <w:rPr>
          <w:rFonts w:hint="cs"/>
          <w:rtl/>
        </w:rPr>
        <w:t xml:space="preserve"> דלכן אפשר ללמוד מהרוב בדיינים גם את דין הרוב שמכריע את הספק, דהיינו דין הלך אחר הרוב, וגם את דין רוב במקום שאין ספק, כרובו ככולו, וכביטול ברוב בתערובת, עיי"ש במ"ש </w:t>
      </w:r>
      <w:r w:rsidRPr="006C3527">
        <w:rPr>
          <w:rStyle w:val="af8"/>
          <w:rFonts w:hint="cs"/>
          <w:rtl/>
        </w:rPr>
        <w:t>הגר"ח</w:t>
      </w:r>
      <w:r>
        <w:rPr>
          <w:rFonts w:hint="cs"/>
          <w:rtl/>
        </w:rPr>
        <w:t xml:space="preserve"> בזה.</w:t>
      </w:r>
    </w:p>
    <w:p w:rsidR="00D45705" w:rsidRPr="006C3527" w:rsidRDefault="00D45705" w:rsidP="00D45705">
      <w:pPr>
        <w:pStyle w:val="1"/>
        <w:rPr>
          <w:rtl/>
        </w:rPr>
      </w:pPr>
      <w:bookmarkStart w:id="12700" w:name="_Toc23663918"/>
      <w:bookmarkStart w:id="12701" w:name="_Toc23672571"/>
      <w:bookmarkStart w:id="12702" w:name="_Toc23673135"/>
      <w:r>
        <w:rPr>
          <w:rFonts w:hint="cs"/>
          <w:rtl/>
        </w:rPr>
        <w:t>ביאור הגרש"ר בגר"ח דבסנהדרין יש גם דין ביטול ברוב</w:t>
      </w:r>
      <w:bookmarkEnd w:id="12700"/>
      <w:bookmarkEnd w:id="12701"/>
      <w:bookmarkEnd w:id="12702"/>
    </w:p>
    <w:p w:rsidR="00D45705" w:rsidRDefault="00D45705" w:rsidP="00D45705">
      <w:pPr>
        <w:pStyle w:val="a2"/>
        <w:rPr>
          <w:rtl/>
        </w:rPr>
      </w:pPr>
      <w:bookmarkStart w:id="12703" w:name="_Toc23663919"/>
      <w:bookmarkStart w:id="12704" w:name="_Toc23672572"/>
      <w:bookmarkStart w:id="12705" w:name="_Toc23673136"/>
      <w:r>
        <w:rPr>
          <w:rFonts w:hint="cs"/>
          <w:rtl/>
        </w:rPr>
        <w:t>קושית הגרש"ר דאף לביאור הגר"ח קשה דמדין רובו ככולו א"א ללמוד את דין ביטול ברוב</w:t>
      </w:r>
      <w:bookmarkEnd w:id="12703"/>
      <w:bookmarkEnd w:id="12704"/>
      <w:bookmarkEnd w:id="12705"/>
    </w:p>
    <w:p w:rsidR="00D45705" w:rsidRDefault="00D45705" w:rsidP="009F44AF">
      <w:pPr>
        <w:pStyle w:val="a"/>
        <w:rPr>
          <w:rtl/>
        </w:rPr>
      </w:pPr>
      <w:r w:rsidRPr="006953E5">
        <w:rPr>
          <w:rStyle w:val="af8"/>
          <w:rFonts w:hint="cs"/>
          <w:rtl/>
        </w:rPr>
        <w:t xml:space="preserve">ובשיעורי </w:t>
      </w:r>
      <w:r w:rsidRPr="000E18C9">
        <w:rPr>
          <w:rStyle w:val="af8"/>
          <w:rFonts w:hint="cs"/>
          <w:rtl/>
        </w:rPr>
        <w:t>רבי שמואל</w:t>
      </w:r>
      <w:r>
        <w:rPr>
          <w:rFonts w:hint="cs"/>
          <w:rtl/>
        </w:rPr>
        <w:t xml:space="preserve"> </w:t>
      </w:r>
      <w:r w:rsidRPr="000E18C9">
        <w:rPr>
          <w:rStyle w:val="af6"/>
          <w:rFonts w:eastAsia="Guttman Hodes" w:hint="cs"/>
          <w:rtl/>
        </w:rPr>
        <w:t>(סנהדרין ג: אות מ"ב)</w:t>
      </w:r>
      <w:r>
        <w:rPr>
          <w:rFonts w:hint="cs"/>
          <w:rtl/>
        </w:rPr>
        <w:t xml:space="preserve"> הביא את קושית </w:t>
      </w:r>
      <w:r w:rsidRPr="000E18C9">
        <w:rPr>
          <w:rStyle w:val="af8"/>
          <w:rFonts w:hint="cs"/>
          <w:rtl/>
        </w:rPr>
        <w:t>הפרמ"ג</w:t>
      </w:r>
      <w:r>
        <w:rPr>
          <w:rFonts w:hint="cs"/>
          <w:rtl/>
        </w:rPr>
        <w:t xml:space="preserve"> </w:t>
      </w:r>
      <w:r w:rsidRPr="00BF313C">
        <w:rPr>
          <w:rStyle w:val="af6"/>
          <w:rFonts w:eastAsia="Guttman Hodes" w:hint="cs"/>
          <w:rtl/>
        </w:rPr>
        <w:t xml:space="preserve">(עי' אות </w:t>
      </w:r>
      <w:r w:rsidRPr="00BF313C">
        <w:rPr>
          <w:rStyle w:val="af6"/>
          <w:rFonts w:eastAsia="Guttman Hodes"/>
          <w:rtl/>
        </w:rPr>
        <w:fldChar w:fldCharType="begin"/>
      </w:r>
      <w:r w:rsidRPr="00BF313C">
        <w:rPr>
          <w:rStyle w:val="af6"/>
          <w:rFonts w:eastAsia="Guttman Hodes"/>
          <w:rtl/>
        </w:rPr>
        <w:instrText xml:space="preserve"> </w:instrText>
      </w:r>
      <w:r w:rsidRPr="00BF313C">
        <w:rPr>
          <w:rStyle w:val="af6"/>
          <w:rFonts w:eastAsia="Guttman Hodes" w:hint="cs"/>
        </w:rPr>
        <w:instrText>REF</w:instrText>
      </w:r>
      <w:r w:rsidRPr="00BF313C">
        <w:rPr>
          <w:rStyle w:val="af6"/>
          <w:rFonts w:eastAsia="Guttman Hodes" w:hint="cs"/>
          <w:rtl/>
        </w:rPr>
        <w:instrText xml:space="preserve"> _</w:instrText>
      </w:r>
      <w:r w:rsidRPr="00BF313C">
        <w:rPr>
          <w:rStyle w:val="af6"/>
          <w:rFonts w:eastAsia="Guttman Hodes" w:hint="cs"/>
        </w:rPr>
        <w:instrText>Ref23500879 \r \h</w:instrText>
      </w:r>
      <w:r w:rsidRPr="00BF313C">
        <w:rPr>
          <w:rStyle w:val="af6"/>
          <w:rFonts w:eastAsia="Guttman Hodes"/>
          <w:rtl/>
        </w:rPr>
        <w:instrText xml:space="preserve"> </w:instrText>
      </w:r>
      <w:r w:rsidRPr="00BF313C">
        <w:rPr>
          <w:rStyle w:val="af6"/>
          <w:rFonts w:eastAsia="Guttman Hodes"/>
          <w:rtl/>
        </w:rPr>
      </w:r>
      <w:r w:rsidRPr="00BF313C">
        <w:rPr>
          <w:rStyle w:val="af6"/>
          <w:rFonts w:eastAsia="Guttman Hodes"/>
          <w:rtl/>
        </w:rPr>
        <w:fldChar w:fldCharType="separate"/>
      </w:r>
      <w:r w:rsidR="004D1C5B">
        <w:rPr>
          <w:rStyle w:val="af6"/>
          <w:rFonts w:eastAsia="Guttman Hodes"/>
          <w:cs/>
        </w:rPr>
        <w:t>‎</w:t>
      </w:r>
      <w:r w:rsidR="004D1C5B">
        <w:rPr>
          <w:rStyle w:val="af6"/>
          <w:rFonts w:eastAsia="Guttman Hodes"/>
          <w:rtl/>
        </w:rPr>
        <w:t>צז)</w:t>
      </w:r>
      <w:r w:rsidRPr="00BF313C">
        <w:rPr>
          <w:rStyle w:val="af6"/>
          <w:rFonts w:eastAsia="Guttman Hodes"/>
          <w:rtl/>
        </w:rPr>
        <w:fldChar w:fldCharType="end"/>
      </w:r>
      <w:r>
        <w:rPr>
          <w:rFonts w:hint="cs"/>
          <w:rtl/>
        </w:rPr>
        <w:t xml:space="preserve"> על </w:t>
      </w:r>
      <w:r w:rsidRPr="000E18C9">
        <w:rPr>
          <w:rStyle w:val="af8"/>
          <w:rFonts w:hint="cs"/>
          <w:rtl/>
        </w:rPr>
        <w:t>רש"י</w:t>
      </w:r>
      <w:r>
        <w:rPr>
          <w:rFonts w:hint="cs"/>
          <w:rtl/>
        </w:rPr>
        <w:t xml:space="preserve"> </w:t>
      </w:r>
      <w:r w:rsidRPr="00BF313C">
        <w:rPr>
          <w:rStyle w:val="af6"/>
          <w:rFonts w:eastAsia="Guttman Hodes" w:hint="cs"/>
          <w:rtl/>
        </w:rPr>
        <w:t xml:space="preserve">(עי' אות </w:t>
      </w:r>
      <w:r w:rsidRPr="00BF313C">
        <w:rPr>
          <w:rStyle w:val="af6"/>
          <w:rFonts w:eastAsia="Guttman Hodes"/>
          <w:rtl/>
        </w:rPr>
        <w:fldChar w:fldCharType="begin"/>
      </w:r>
      <w:r w:rsidRPr="00BF313C">
        <w:rPr>
          <w:rStyle w:val="af6"/>
          <w:rFonts w:eastAsia="Guttman Hodes"/>
          <w:rtl/>
        </w:rPr>
        <w:instrText xml:space="preserve"> </w:instrText>
      </w:r>
      <w:r w:rsidRPr="00BF313C">
        <w:rPr>
          <w:rStyle w:val="af6"/>
          <w:rFonts w:eastAsia="Guttman Hodes" w:hint="cs"/>
        </w:rPr>
        <w:instrText>REF</w:instrText>
      </w:r>
      <w:r w:rsidRPr="00BF313C">
        <w:rPr>
          <w:rStyle w:val="af6"/>
          <w:rFonts w:eastAsia="Guttman Hodes" w:hint="cs"/>
          <w:rtl/>
        </w:rPr>
        <w:instrText xml:space="preserve"> _</w:instrText>
      </w:r>
      <w:r w:rsidRPr="00BF313C">
        <w:rPr>
          <w:rStyle w:val="af6"/>
          <w:rFonts w:eastAsia="Guttman Hodes" w:hint="cs"/>
        </w:rPr>
        <w:instrText>Ref23623666 \r \h</w:instrText>
      </w:r>
      <w:r w:rsidRPr="00BF313C">
        <w:rPr>
          <w:rStyle w:val="af6"/>
          <w:rFonts w:eastAsia="Guttman Hodes"/>
          <w:rtl/>
        </w:rPr>
        <w:instrText xml:space="preserve"> </w:instrText>
      </w:r>
      <w:r w:rsidRPr="00BF313C">
        <w:rPr>
          <w:rStyle w:val="af6"/>
          <w:rFonts w:eastAsia="Guttman Hodes"/>
          <w:rtl/>
        </w:rPr>
      </w:r>
      <w:r w:rsidRPr="00BF313C">
        <w:rPr>
          <w:rStyle w:val="af6"/>
          <w:rFonts w:eastAsia="Guttman Hodes"/>
          <w:rtl/>
        </w:rPr>
        <w:fldChar w:fldCharType="separate"/>
      </w:r>
      <w:r w:rsidR="004D1C5B">
        <w:rPr>
          <w:rStyle w:val="af6"/>
          <w:rFonts w:eastAsia="Guttman Hodes"/>
          <w:cs/>
        </w:rPr>
        <w:t>‎</w:t>
      </w:r>
      <w:r w:rsidR="004D1C5B">
        <w:rPr>
          <w:rStyle w:val="af6"/>
          <w:rFonts w:eastAsia="Guttman Hodes"/>
          <w:rtl/>
        </w:rPr>
        <w:t>צה)</w:t>
      </w:r>
      <w:r w:rsidRPr="00BF313C">
        <w:rPr>
          <w:rStyle w:val="af6"/>
          <w:rFonts w:eastAsia="Guttman Hodes"/>
          <w:rtl/>
        </w:rPr>
        <w:fldChar w:fldCharType="end"/>
      </w:r>
      <w:r>
        <w:rPr>
          <w:rFonts w:hint="cs"/>
          <w:rtl/>
        </w:rPr>
        <w:t xml:space="preserve"> דכתב דדין ביטול ברוב נלמד מאחרי רבים להטות, דהיאך ילפינן מרוב בדיינים את דין ביטול ברוב דהאיסור נהפך להיתר, הרי בדיינים אף דאנו פוסקים כמו הרוב, מ"מ אין המיעוט נהפך לרוב, וכתב </w:t>
      </w:r>
      <w:r w:rsidRPr="000E18C9">
        <w:rPr>
          <w:rStyle w:val="af8"/>
          <w:rFonts w:hint="cs"/>
          <w:rtl/>
        </w:rPr>
        <w:t>בשיעורי רבי שמואל</w:t>
      </w:r>
      <w:r>
        <w:rPr>
          <w:rFonts w:hint="cs"/>
          <w:rtl/>
        </w:rPr>
        <w:t xml:space="preserve"> דאף לפי ביאור </w:t>
      </w:r>
      <w:r w:rsidRPr="000E18C9">
        <w:rPr>
          <w:rStyle w:val="af8"/>
          <w:rFonts w:hint="cs"/>
          <w:rtl/>
        </w:rPr>
        <w:t>הגר"ח</w:t>
      </w:r>
      <w:r>
        <w:rPr>
          <w:rFonts w:hint="cs"/>
          <w:rtl/>
        </w:rPr>
        <w:t xml:space="preserve"> שיש בדיינים דין רובו ככולו עדיין קשה, דדין רובו ככולו הוא דנחשב שכל הב"ד פסקו כמו הרוב, אך דעת המיעוט לא התבטלה, אלא דחשיב כאילו המיעוט הוא דעה שמחוץ לב"ד, וא"כ היאך ילפינן מדיינים את דין ביטול ברוב.</w:t>
      </w:r>
    </w:p>
    <w:p w:rsidR="00D45705" w:rsidRDefault="00D45705" w:rsidP="00D45705">
      <w:pPr>
        <w:pStyle w:val="a2"/>
        <w:rPr>
          <w:rtl/>
        </w:rPr>
      </w:pPr>
      <w:bookmarkStart w:id="12706" w:name="_Toc23663920"/>
      <w:bookmarkStart w:id="12707" w:name="_Toc23672573"/>
      <w:bookmarkStart w:id="12708" w:name="_Toc23673137"/>
      <w:r>
        <w:rPr>
          <w:rFonts w:hint="cs"/>
          <w:rtl/>
        </w:rPr>
        <w:t>דברי הגרש"ר דרובו ככולו הוא במקום שהמיעוט לא מנוגד לרוב כמיעוט סימן שאינו שחוט</w:t>
      </w:r>
      <w:bookmarkEnd w:id="12706"/>
      <w:bookmarkEnd w:id="12707"/>
      <w:bookmarkEnd w:id="12708"/>
    </w:p>
    <w:p w:rsidR="00D45705" w:rsidRDefault="00D45705" w:rsidP="009F44AF">
      <w:pPr>
        <w:pStyle w:val="a"/>
        <w:rPr>
          <w:rtl/>
        </w:rPr>
      </w:pPr>
      <w:r>
        <w:rPr>
          <w:rFonts w:hint="cs"/>
          <w:rtl/>
        </w:rPr>
        <w:t xml:space="preserve">ותירץ </w:t>
      </w:r>
      <w:r w:rsidRPr="00E47B66">
        <w:rPr>
          <w:rStyle w:val="af8"/>
          <w:rFonts w:hint="cs"/>
          <w:rtl/>
        </w:rPr>
        <w:t>בשיעורי רבי שמואל</w:t>
      </w:r>
      <w:r>
        <w:rPr>
          <w:rFonts w:hint="cs"/>
          <w:rtl/>
        </w:rPr>
        <w:t xml:space="preserve"> דכל דין רובו ככולו שייך רק במקום שהמיעוט אינו מתנגד לרוב, כשחיטת רוב סימנים, דהמיעוט שאינו שחוט אינו סותר כלל את הרוב השחוט.</w:t>
      </w:r>
    </w:p>
    <w:p w:rsidR="00D45705" w:rsidRPr="00131F39" w:rsidRDefault="00D45705" w:rsidP="00D45705">
      <w:pPr>
        <w:pStyle w:val="a2"/>
      </w:pPr>
      <w:bookmarkStart w:id="12709" w:name="_Toc23663921"/>
      <w:bookmarkStart w:id="12710" w:name="_Toc23672574"/>
      <w:bookmarkStart w:id="12711" w:name="_Toc23673138"/>
      <w:r>
        <w:rPr>
          <w:rFonts w:hint="cs"/>
          <w:rtl/>
        </w:rPr>
        <w:t>דברי הגרש"ר דבדיינים המיעוט מתנגד לרוב ומוכח מדיינים שיש גם דין ביטול ברוב</w:t>
      </w:r>
      <w:bookmarkEnd w:id="12709"/>
      <w:bookmarkEnd w:id="12710"/>
      <w:bookmarkEnd w:id="12711"/>
    </w:p>
    <w:p w:rsidR="00D45705" w:rsidRDefault="00D45705" w:rsidP="009F44AF">
      <w:pPr>
        <w:pStyle w:val="a"/>
        <w:rPr>
          <w:rtl/>
        </w:rPr>
      </w:pPr>
      <w:r>
        <w:rPr>
          <w:rFonts w:hint="cs"/>
          <w:rtl/>
        </w:rPr>
        <w:t xml:space="preserve">אבל בדיינים כתב </w:t>
      </w:r>
      <w:r w:rsidRPr="00E47B66">
        <w:rPr>
          <w:rStyle w:val="af8"/>
          <w:rFonts w:hint="cs"/>
          <w:rtl/>
        </w:rPr>
        <w:t>בשיעורי רבי שמואל</w:t>
      </w:r>
      <w:r>
        <w:rPr>
          <w:rFonts w:hint="cs"/>
          <w:rtl/>
        </w:rPr>
        <w:t xml:space="preserve"> דלא רק שהמיעוט לא פוסק כמו הרוב, אלא הוא אף מתנגד לפסק הרוב, א"כ לא שייך לומר רובו ככולו, אלא מוכח דבדיינים נאמר שהמיעוט מתבטל ברוב, וחשיב כאילו המיעוט אינו מתנגד לרוב.</w:t>
      </w:r>
    </w:p>
    <w:p w:rsidR="00D45705" w:rsidRPr="00C81F9B" w:rsidRDefault="00D45705" w:rsidP="00D45705">
      <w:pPr>
        <w:pStyle w:val="a2"/>
        <w:rPr>
          <w:rtl/>
        </w:rPr>
      </w:pPr>
      <w:bookmarkStart w:id="12712" w:name="_Toc23663922"/>
      <w:bookmarkStart w:id="12713" w:name="_Toc23672575"/>
      <w:bookmarkStart w:id="12714" w:name="_Toc23673139"/>
      <w:r>
        <w:rPr>
          <w:rFonts w:hint="cs"/>
          <w:rtl/>
        </w:rPr>
        <w:t>ביאור הגרש"ר דבדיינים צריך גם את דין רובו ככולו ולא סגי בדין הלך אחר הרוב וביטול ברוב</w:t>
      </w:r>
      <w:bookmarkEnd w:id="12712"/>
      <w:bookmarkEnd w:id="12713"/>
      <w:bookmarkEnd w:id="12714"/>
    </w:p>
    <w:p w:rsidR="00D45705" w:rsidRDefault="00D45705" w:rsidP="009F44AF">
      <w:pPr>
        <w:pStyle w:val="a"/>
        <w:rPr>
          <w:rtl/>
        </w:rPr>
      </w:pPr>
      <w:r>
        <w:rPr>
          <w:rFonts w:hint="cs"/>
          <w:rtl/>
        </w:rPr>
        <w:t xml:space="preserve">אך כתב </w:t>
      </w:r>
      <w:r w:rsidRPr="00E47B66">
        <w:rPr>
          <w:rStyle w:val="af8"/>
          <w:rFonts w:hint="cs"/>
          <w:rtl/>
        </w:rPr>
        <w:t>בשיעורי רבי שמואל</w:t>
      </w:r>
      <w:r>
        <w:rPr>
          <w:rFonts w:hint="cs"/>
          <w:rtl/>
        </w:rPr>
        <w:t xml:space="preserve"> דבדיינים לא סגי בדין הלך אחר הרוב, ובדין ביטול ברוב, ועדיין צריך את דין רובו ככולו, דאף שהמיעוט אינו מתנגד לרוב, מ"מ א"א לומר ע"י ביטול ברוב דחשיב שהמיעוט יש לו את המעלה של הרוב, דהמיעוט ג"כ פוסק את הפסק של הרוב, דביטול ברוב הוא רק מוריד את דין המיעוט, אך אינו נותן למיעוט דין נוסף כמו הרוב, </w:t>
      </w:r>
      <w:r w:rsidRPr="00E47B66">
        <w:rPr>
          <w:rStyle w:val="afa"/>
          <w:rFonts w:hint="cs"/>
          <w:rtl/>
        </w:rPr>
        <w:t xml:space="preserve">[והביא </w:t>
      </w:r>
      <w:r w:rsidRPr="00E47B66">
        <w:rPr>
          <w:rStyle w:val="affa"/>
          <w:rFonts w:hint="cs"/>
          <w:rtl/>
        </w:rPr>
        <w:t>בשיעורי רבי שמואל</w:t>
      </w:r>
      <w:r w:rsidRPr="00E47B66">
        <w:rPr>
          <w:rStyle w:val="afa"/>
          <w:rFonts w:hint="cs"/>
          <w:rtl/>
        </w:rPr>
        <w:t xml:space="preserve"> דכן מבואר בדברי </w:t>
      </w:r>
      <w:r w:rsidRPr="00E47B66">
        <w:rPr>
          <w:rStyle w:val="affa"/>
          <w:rFonts w:hint="cs"/>
          <w:rtl/>
        </w:rPr>
        <w:t>העונג יו"ט</w:t>
      </w:r>
      <w:r w:rsidRPr="00E47B66">
        <w:rPr>
          <w:rStyle w:val="afa"/>
          <w:rFonts w:hint="cs"/>
          <w:rtl/>
        </w:rPr>
        <w:t xml:space="preserve"> </w:t>
      </w:r>
      <w:r w:rsidRPr="00E47B66">
        <w:rPr>
          <w:rStyle w:val="aff6"/>
          <w:rFonts w:hint="cs"/>
          <w:rtl/>
        </w:rPr>
        <w:t>(סי' ד')</w:t>
      </w:r>
      <w:r w:rsidRPr="00E47B66">
        <w:rPr>
          <w:rStyle w:val="afa"/>
          <w:rFonts w:hint="cs"/>
          <w:rtl/>
        </w:rPr>
        <w:t xml:space="preserve"> דכתב דא"א לומר דחוט של ציצית שנטווה שלא לשמה, יהיה לו דין לשמה ע"י ביטול ברוב החוטין שנטוו לשמה],</w:t>
      </w:r>
      <w:r>
        <w:rPr>
          <w:rFonts w:hint="cs"/>
          <w:rtl/>
        </w:rPr>
        <w:t xml:space="preserve"> וא"כ מוכח שיש בדיינים גם את דין רובו ככולו, דחשיב שהמיעוט פוסק כמו הרוב.</w:t>
      </w:r>
    </w:p>
    <w:p w:rsidR="00D45705" w:rsidRDefault="00D45705" w:rsidP="00D45705">
      <w:pPr>
        <w:pStyle w:val="1"/>
        <w:rPr>
          <w:rtl/>
        </w:rPr>
      </w:pPr>
      <w:bookmarkStart w:id="12715" w:name="_Toc23663923"/>
      <w:bookmarkStart w:id="12716" w:name="_Toc23672576"/>
      <w:bookmarkStart w:id="12717" w:name="_Toc23673140"/>
      <w:r>
        <w:rPr>
          <w:rFonts w:hint="cs"/>
          <w:rtl/>
        </w:rPr>
        <w:t>ביאור הגר"ח דדין הלך אחר הרוב תלוי בדין ביטול ברוב</w:t>
      </w:r>
      <w:bookmarkEnd w:id="12715"/>
      <w:bookmarkEnd w:id="12716"/>
      <w:bookmarkEnd w:id="12717"/>
    </w:p>
    <w:p w:rsidR="00D45705" w:rsidRPr="00CA39F5" w:rsidRDefault="00D45705" w:rsidP="00D45705">
      <w:pPr>
        <w:pStyle w:val="a2"/>
        <w:rPr>
          <w:rtl/>
        </w:rPr>
      </w:pPr>
      <w:bookmarkStart w:id="12718" w:name="_Toc23663924"/>
      <w:bookmarkStart w:id="12719" w:name="_Toc23672577"/>
      <w:bookmarkStart w:id="12720" w:name="_Toc23673141"/>
      <w:r>
        <w:rPr>
          <w:rFonts w:hint="cs"/>
          <w:rtl/>
        </w:rPr>
        <w:t>דברי הגר"ח דהא דלר"י מין במינו לא בטל הוא רק בלח אבל ביבש מותר מדין הלך אחר הרוב</w:t>
      </w:r>
      <w:bookmarkEnd w:id="12718"/>
      <w:bookmarkEnd w:id="12719"/>
      <w:bookmarkEnd w:id="12720"/>
    </w:p>
    <w:p w:rsidR="00D45705" w:rsidRDefault="00D45705" w:rsidP="009F44AF">
      <w:pPr>
        <w:pStyle w:val="a"/>
        <w:rPr>
          <w:rtl/>
        </w:rPr>
      </w:pPr>
      <w:bookmarkStart w:id="12721" w:name="_Toc23372518"/>
      <w:bookmarkStart w:id="12722" w:name="_Toc23419207"/>
      <w:bookmarkStart w:id="12723" w:name="_Toc23499500"/>
      <w:r w:rsidRPr="00B712F6">
        <w:rPr>
          <w:rFonts w:hint="cs"/>
          <w:rtl/>
        </w:rPr>
        <w:t xml:space="preserve">כתב </w:t>
      </w:r>
      <w:r w:rsidRPr="00CA39F5">
        <w:rPr>
          <w:rStyle w:val="af8"/>
          <w:rtl/>
        </w:rPr>
        <w:t>הגר"ח</w:t>
      </w:r>
      <w:r w:rsidRPr="00B712F6">
        <w:rPr>
          <w:rFonts w:hint="cs"/>
          <w:rtl/>
        </w:rPr>
        <w:t xml:space="preserve"> </w:t>
      </w:r>
      <w:r w:rsidRPr="00CA39F5">
        <w:rPr>
          <w:rStyle w:val="af6"/>
          <w:rFonts w:eastAsia="Guttman Rashi"/>
          <w:rtl/>
        </w:rPr>
        <w:t>(גנזי הגר"ח סי' קט"ז)</w:t>
      </w:r>
      <w:r w:rsidRPr="00B712F6">
        <w:rPr>
          <w:rFonts w:hint="cs"/>
          <w:rtl/>
        </w:rPr>
        <w:t xml:space="preserve"> דבפשטות הנדון בדעת ר"י דמין במינו לא בטל, הוא רק</w:t>
      </w:r>
      <w:r>
        <w:rPr>
          <w:rFonts w:hint="cs"/>
          <w:rtl/>
        </w:rPr>
        <w:t xml:space="preserve"> בלח בלח, אבל ביבש ביבש אף אי לא מהני ביטול ברוב, מ"מ מותר דעל כל חתיכה אפש"ל דהלך אחר הרוב שהיא מותרת, ורק בלח בלח שבכל משהוא יש ודאי איסור, לכן לר"י דמין במינו לא בטל אסור.</w:t>
      </w:r>
    </w:p>
    <w:p w:rsidR="00D45705" w:rsidRPr="00B712F6" w:rsidRDefault="00D45705" w:rsidP="00D45705">
      <w:pPr>
        <w:pStyle w:val="a2"/>
      </w:pPr>
      <w:bookmarkStart w:id="12724" w:name="_Toc23663925"/>
      <w:bookmarkStart w:id="12725" w:name="_Toc23672578"/>
      <w:bookmarkStart w:id="12726" w:name="_Toc23673142"/>
      <w:r>
        <w:rPr>
          <w:rFonts w:hint="cs"/>
          <w:rtl/>
        </w:rPr>
        <w:t>דחיית הגר"ח דלר"י שאין ביטול ברוב במין במינו אין דין הלך אחר הרוב דהוא קבוע</w:t>
      </w:r>
      <w:bookmarkEnd w:id="12724"/>
      <w:bookmarkEnd w:id="12725"/>
      <w:bookmarkEnd w:id="12726"/>
    </w:p>
    <w:p w:rsidR="00D45705" w:rsidRDefault="00D45705" w:rsidP="009F44AF">
      <w:pPr>
        <w:pStyle w:val="a"/>
        <w:rPr>
          <w:rtl/>
        </w:rPr>
      </w:pPr>
      <w:bookmarkStart w:id="12727" w:name="_Ref23625060"/>
      <w:r>
        <w:rPr>
          <w:rFonts w:hint="cs"/>
          <w:rtl/>
        </w:rPr>
        <w:t xml:space="preserve">אך </w:t>
      </w:r>
      <w:r w:rsidRPr="00B712F6">
        <w:rPr>
          <w:rFonts w:hint="cs"/>
          <w:rtl/>
        </w:rPr>
        <w:t xml:space="preserve">דחה </w:t>
      </w:r>
      <w:r w:rsidRPr="00387F15">
        <w:rPr>
          <w:rStyle w:val="af8"/>
          <w:rtl/>
        </w:rPr>
        <w:t>הגר"ח</w:t>
      </w:r>
      <w:r w:rsidRPr="00B712F6">
        <w:rPr>
          <w:rFonts w:hint="cs"/>
          <w:rtl/>
        </w:rPr>
        <w:t xml:space="preserve"> ד</w:t>
      </w:r>
      <w:r w:rsidR="00C84535">
        <w:rPr>
          <w:rFonts w:hint="cs"/>
          <w:rtl/>
        </w:rPr>
        <w:t>אי אמרינן ד</w:t>
      </w:r>
      <w:r w:rsidRPr="00B712F6">
        <w:rPr>
          <w:rFonts w:hint="cs"/>
          <w:rtl/>
        </w:rPr>
        <w:t>לדעת ר"י</w:t>
      </w:r>
      <w:r w:rsidR="00C84535">
        <w:rPr>
          <w:rFonts w:hint="cs"/>
          <w:rtl/>
        </w:rPr>
        <w:t xml:space="preserve"> </w:t>
      </w:r>
      <w:r w:rsidRPr="00B712F6">
        <w:rPr>
          <w:rFonts w:hint="cs"/>
          <w:rtl/>
        </w:rPr>
        <w:t>לא אמרינן ביטול ברוב</w:t>
      </w:r>
      <w:r w:rsidR="00C84535" w:rsidRPr="00C84535">
        <w:rPr>
          <w:rFonts w:hint="cs"/>
          <w:rtl/>
        </w:rPr>
        <w:t xml:space="preserve"> </w:t>
      </w:r>
      <w:r w:rsidR="00C84535" w:rsidRPr="00B712F6">
        <w:rPr>
          <w:rFonts w:hint="cs"/>
          <w:rtl/>
        </w:rPr>
        <w:t>ביבש ביבש</w:t>
      </w:r>
      <w:r w:rsidRPr="00B712F6">
        <w:rPr>
          <w:rFonts w:hint="cs"/>
          <w:rtl/>
        </w:rPr>
        <w:t xml:space="preserve">, א"כ </w:t>
      </w:r>
      <w:r w:rsidR="00C84535" w:rsidRPr="00B712F6">
        <w:rPr>
          <w:rFonts w:hint="cs"/>
          <w:rtl/>
        </w:rPr>
        <w:t xml:space="preserve">אף הלך אחר הרוב </w:t>
      </w:r>
      <w:r w:rsidRPr="00B712F6">
        <w:rPr>
          <w:rFonts w:hint="cs"/>
          <w:rtl/>
        </w:rPr>
        <w:t xml:space="preserve">לא אמרינן </w:t>
      </w:r>
      <w:r w:rsidR="00C84535">
        <w:rPr>
          <w:rFonts w:hint="cs"/>
          <w:rtl/>
        </w:rPr>
        <w:t xml:space="preserve">ביבש, </w:t>
      </w:r>
      <w:r w:rsidRPr="00B712F6">
        <w:rPr>
          <w:rFonts w:hint="cs"/>
          <w:rtl/>
        </w:rPr>
        <w:t>כיון שהוא קבוע, ורק במקום שע"י דין ביטול ברוב אין לו דין קבוע, אפש"ל הלך אחר</w:t>
      </w:r>
      <w:r>
        <w:rPr>
          <w:rFonts w:hint="cs"/>
          <w:rtl/>
        </w:rPr>
        <w:t xml:space="preserve"> הרוב, </w:t>
      </w:r>
      <w:r w:rsidRPr="005D0CBF">
        <w:rPr>
          <w:rStyle w:val="afa"/>
          <w:rFonts w:hint="cs"/>
          <w:rtl/>
        </w:rPr>
        <w:t>[ועי</w:t>
      </w:r>
      <w:r>
        <w:rPr>
          <w:rStyle w:val="afa"/>
          <w:rFonts w:hint="cs"/>
          <w:rtl/>
        </w:rPr>
        <w:t>'</w:t>
      </w:r>
      <w:r w:rsidRPr="005D0CBF">
        <w:rPr>
          <w:rStyle w:val="afa"/>
          <w:rFonts w:hint="cs"/>
          <w:rtl/>
        </w:rPr>
        <w:t xml:space="preserve"> בדברי </w:t>
      </w:r>
      <w:r w:rsidRPr="005D0CBF">
        <w:rPr>
          <w:rStyle w:val="affa"/>
          <w:rFonts w:hint="cs"/>
          <w:rtl/>
        </w:rPr>
        <w:t>הר"ן לעיל</w:t>
      </w:r>
      <w:r w:rsidRPr="005D0CBF">
        <w:rPr>
          <w:rStyle w:val="afa"/>
          <w:rFonts w:hint="cs"/>
          <w:rtl/>
        </w:rPr>
        <w:t xml:space="preserve"> </w:t>
      </w:r>
      <w:r w:rsidRPr="005D0CBF">
        <w:rPr>
          <w:rStyle w:val="aff6"/>
          <w:rFonts w:hint="cs"/>
          <w:rtl/>
        </w:rPr>
        <w:t xml:space="preserve">(עי' אות </w:t>
      </w:r>
      <w:r w:rsidRPr="005D0CBF">
        <w:rPr>
          <w:rStyle w:val="aff6"/>
          <w:rtl/>
        </w:rPr>
        <w:fldChar w:fldCharType="begin"/>
      </w:r>
      <w:r w:rsidRPr="005D0CBF">
        <w:rPr>
          <w:rStyle w:val="aff6"/>
          <w:rtl/>
        </w:rPr>
        <w:instrText xml:space="preserve"> </w:instrText>
      </w:r>
      <w:r w:rsidRPr="005D0CBF">
        <w:rPr>
          <w:rStyle w:val="aff6"/>
          <w:rFonts w:hint="cs"/>
        </w:rPr>
        <w:instrText>REF</w:instrText>
      </w:r>
      <w:r w:rsidRPr="005D0CBF">
        <w:rPr>
          <w:rStyle w:val="aff6"/>
          <w:rFonts w:hint="cs"/>
          <w:rtl/>
        </w:rPr>
        <w:instrText xml:space="preserve"> _</w:instrText>
      </w:r>
      <w:r w:rsidRPr="005D0CBF">
        <w:rPr>
          <w:rStyle w:val="aff6"/>
          <w:rFonts w:hint="cs"/>
        </w:rPr>
        <w:instrText>Ref23620105 \r \h</w:instrText>
      </w:r>
      <w:r w:rsidRPr="005D0CBF">
        <w:rPr>
          <w:rStyle w:val="aff6"/>
          <w:rtl/>
        </w:rPr>
        <w:instrText xml:space="preserve"> </w:instrText>
      </w:r>
      <w:r w:rsidRPr="005D0CBF">
        <w:rPr>
          <w:rStyle w:val="aff6"/>
          <w:rtl/>
        </w:rPr>
      </w:r>
      <w:r w:rsidRPr="005D0CBF">
        <w:rPr>
          <w:rStyle w:val="aff6"/>
          <w:rtl/>
        </w:rPr>
        <w:fldChar w:fldCharType="separate"/>
      </w:r>
      <w:r w:rsidR="004D1C5B">
        <w:rPr>
          <w:rStyle w:val="aff6"/>
          <w:cs/>
        </w:rPr>
        <w:t>‎</w:t>
      </w:r>
      <w:r w:rsidR="004D1C5B">
        <w:rPr>
          <w:rStyle w:val="aff6"/>
          <w:rtl/>
        </w:rPr>
        <w:t>קט)</w:t>
      </w:r>
      <w:r w:rsidRPr="005D0CBF">
        <w:rPr>
          <w:rStyle w:val="aff6"/>
          <w:rtl/>
        </w:rPr>
        <w:fldChar w:fldCharType="end"/>
      </w:r>
      <w:r>
        <w:rPr>
          <w:rStyle w:val="afa"/>
          <w:rFonts w:hint="cs"/>
          <w:rtl/>
        </w:rPr>
        <w:t xml:space="preserve"> דכתב דהא דאין דין קבוע בתערובת הוא כיון שהתבטלה ברוב</w:t>
      </w:r>
      <w:r w:rsidRPr="005D0CBF">
        <w:rPr>
          <w:rStyle w:val="afa"/>
          <w:rFonts w:hint="cs"/>
          <w:rtl/>
        </w:rPr>
        <w:t>],</w:t>
      </w:r>
      <w:r>
        <w:rPr>
          <w:rFonts w:hint="cs"/>
          <w:rtl/>
        </w:rPr>
        <w:t xml:space="preserve"> וע"ע במ"ש </w:t>
      </w:r>
      <w:r w:rsidRPr="001A3C12">
        <w:rPr>
          <w:rStyle w:val="af8"/>
          <w:rFonts w:hint="cs"/>
          <w:rtl/>
        </w:rPr>
        <w:t>בתורת</w:t>
      </w:r>
      <w:r>
        <w:rPr>
          <w:rFonts w:hint="cs"/>
          <w:rtl/>
        </w:rPr>
        <w:t xml:space="preserve"> </w:t>
      </w:r>
      <w:r w:rsidRPr="001A3C12">
        <w:rPr>
          <w:rStyle w:val="af8"/>
          <w:rFonts w:hint="cs"/>
          <w:rtl/>
        </w:rPr>
        <w:t>זרעים</w:t>
      </w:r>
      <w:r>
        <w:rPr>
          <w:rFonts w:hint="cs"/>
          <w:rtl/>
        </w:rPr>
        <w:t xml:space="preserve"> </w:t>
      </w:r>
      <w:r w:rsidRPr="001A3C12">
        <w:rPr>
          <w:rStyle w:val="af6"/>
          <w:rFonts w:eastAsia="Guttman Hodes" w:hint="cs"/>
          <w:rtl/>
        </w:rPr>
        <w:t>(</w:t>
      </w:r>
      <w:r w:rsidRPr="001A3C12">
        <w:rPr>
          <w:rStyle w:val="af6"/>
          <w:rFonts w:eastAsia="Guttman Hodes"/>
          <w:rtl/>
        </w:rPr>
        <w:t>תרומות פ"ה מ"ו</w:t>
      </w:r>
      <w:r w:rsidRPr="001A3C12">
        <w:rPr>
          <w:rStyle w:val="af6"/>
          <w:rFonts w:eastAsia="Guttman Hodes" w:hint="cs"/>
          <w:rtl/>
        </w:rPr>
        <w:t xml:space="preserve"> </w:t>
      </w:r>
      <w:r>
        <w:rPr>
          <w:rStyle w:val="af6"/>
          <w:rFonts w:eastAsia="Guttman Hodes" w:hint="cs"/>
          <w:rtl/>
        </w:rPr>
        <w:t>הובא בסימן י</w:t>
      </w:r>
      <w:r>
        <w:rPr>
          <w:rStyle w:val="af6"/>
          <w:rFonts w:eastAsia="Guttman Hodes"/>
          <w:rtl/>
        </w:rPr>
        <w:t>"</w:t>
      </w:r>
      <w:r>
        <w:rPr>
          <w:rStyle w:val="af6"/>
          <w:rFonts w:eastAsia="Guttman Hodes" w:hint="cs"/>
          <w:rtl/>
        </w:rPr>
        <w:t>ז אות ק"ו</w:t>
      </w:r>
      <w:r w:rsidRPr="001A3C12">
        <w:rPr>
          <w:rStyle w:val="af6"/>
          <w:rFonts w:eastAsia="Guttman Hodes" w:hint="cs"/>
          <w:rtl/>
        </w:rPr>
        <w:t xml:space="preserve">) </w:t>
      </w:r>
      <w:r>
        <w:rPr>
          <w:rFonts w:hint="cs"/>
          <w:rtl/>
        </w:rPr>
        <w:t xml:space="preserve">בשם </w:t>
      </w:r>
      <w:r w:rsidRPr="001A3C12">
        <w:rPr>
          <w:rStyle w:val="af8"/>
          <w:rFonts w:hint="cs"/>
          <w:rtl/>
        </w:rPr>
        <w:t>הגרי"ז</w:t>
      </w:r>
      <w:r>
        <w:rPr>
          <w:rFonts w:hint="cs"/>
          <w:rtl/>
        </w:rPr>
        <w:t>.</w:t>
      </w:r>
      <w:bookmarkEnd w:id="12727"/>
    </w:p>
    <w:p w:rsidR="00D45705" w:rsidRDefault="00D45705" w:rsidP="00D45705">
      <w:pPr>
        <w:pStyle w:val="1"/>
        <w:rPr>
          <w:rtl/>
        </w:rPr>
      </w:pPr>
      <w:bookmarkStart w:id="12728" w:name="_Toc23663926"/>
      <w:bookmarkStart w:id="12729" w:name="_Toc23672579"/>
      <w:bookmarkStart w:id="12730" w:name="_Toc23673143"/>
      <w:r>
        <w:rPr>
          <w:rFonts w:hint="cs"/>
          <w:rtl/>
        </w:rPr>
        <w:t>דברי השער"י</w:t>
      </w:r>
      <w:bookmarkEnd w:id="12676"/>
      <w:bookmarkEnd w:id="12677"/>
      <w:bookmarkEnd w:id="12721"/>
      <w:bookmarkEnd w:id="12722"/>
      <w:bookmarkEnd w:id="12723"/>
      <w:r>
        <w:rPr>
          <w:rFonts w:hint="cs"/>
          <w:rtl/>
        </w:rPr>
        <w:t xml:space="preserve"> דבדיינים מתחדש דין בגמ"ד וה"ה בנהפך להיתר</w:t>
      </w:r>
      <w:bookmarkEnd w:id="12728"/>
      <w:bookmarkEnd w:id="12729"/>
      <w:bookmarkEnd w:id="12730"/>
    </w:p>
    <w:p w:rsidR="00D45705" w:rsidRPr="00801519" w:rsidRDefault="00D45705" w:rsidP="00D45705">
      <w:pPr>
        <w:pStyle w:val="a2"/>
        <w:rPr>
          <w:rtl/>
        </w:rPr>
      </w:pPr>
      <w:bookmarkStart w:id="12731" w:name="_Toc23663927"/>
      <w:bookmarkStart w:id="12732" w:name="_Toc23672580"/>
      <w:bookmarkStart w:id="12733" w:name="_Toc23673144"/>
      <w:r>
        <w:rPr>
          <w:rFonts w:hint="cs"/>
          <w:rtl/>
        </w:rPr>
        <w:t>קושית השער"י היאך ילפינן מדיינים דהאיסור מתהפך להיתר הרי דעת המיעוט אינה האמת</w:t>
      </w:r>
      <w:bookmarkEnd w:id="12731"/>
      <w:bookmarkEnd w:id="12732"/>
      <w:bookmarkEnd w:id="12733"/>
    </w:p>
    <w:p w:rsidR="00D45705" w:rsidRDefault="00D45705" w:rsidP="009F44AF">
      <w:pPr>
        <w:pStyle w:val="a"/>
        <w:rPr>
          <w:rtl/>
        </w:rPr>
      </w:pPr>
      <w:bookmarkStart w:id="12734" w:name="_Ref23671238"/>
      <w:r>
        <w:rPr>
          <w:rFonts w:hint="cs"/>
          <w:rtl/>
        </w:rPr>
        <w:t xml:space="preserve">הביא </w:t>
      </w:r>
      <w:r w:rsidRPr="000E18C9">
        <w:rPr>
          <w:rStyle w:val="af8"/>
          <w:rFonts w:hint="cs"/>
          <w:rtl/>
        </w:rPr>
        <w:t>השער"י</w:t>
      </w:r>
      <w:r>
        <w:rPr>
          <w:rFonts w:hint="cs"/>
          <w:rtl/>
        </w:rPr>
        <w:t xml:space="preserve"> </w:t>
      </w:r>
      <w:r w:rsidRPr="000E18C9">
        <w:rPr>
          <w:rStyle w:val="af6"/>
          <w:rFonts w:eastAsia="Guttman Hodes" w:hint="cs"/>
          <w:rtl/>
        </w:rPr>
        <w:t>(ש"ג פ"ד)</w:t>
      </w:r>
      <w:r>
        <w:rPr>
          <w:rFonts w:hint="cs"/>
          <w:rtl/>
        </w:rPr>
        <w:t xml:space="preserve"> את דברי </w:t>
      </w:r>
      <w:r w:rsidRPr="000E18C9">
        <w:rPr>
          <w:rStyle w:val="af8"/>
          <w:rFonts w:hint="cs"/>
          <w:rtl/>
        </w:rPr>
        <w:t>רש"י</w:t>
      </w:r>
      <w:r>
        <w:rPr>
          <w:rFonts w:hint="cs"/>
          <w:rtl/>
        </w:rPr>
        <w:t xml:space="preserve"> </w:t>
      </w:r>
      <w:r w:rsidRPr="000E18C9">
        <w:rPr>
          <w:rStyle w:val="af8"/>
          <w:rFonts w:hint="cs"/>
          <w:rtl/>
        </w:rPr>
        <w:t>רש"י</w:t>
      </w:r>
      <w:r>
        <w:rPr>
          <w:rFonts w:hint="cs"/>
          <w:rtl/>
        </w:rPr>
        <w:t xml:space="preserve"> </w:t>
      </w:r>
      <w:r w:rsidRPr="00BF313C">
        <w:rPr>
          <w:rStyle w:val="af6"/>
          <w:rFonts w:eastAsia="Guttman Hodes" w:hint="cs"/>
          <w:rtl/>
        </w:rPr>
        <w:t xml:space="preserve">(עי' אות </w:t>
      </w:r>
      <w:r w:rsidRPr="00BF313C">
        <w:rPr>
          <w:rStyle w:val="af6"/>
          <w:rFonts w:eastAsia="Guttman Hodes"/>
          <w:rtl/>
        </w:rPr>
        <w:fldChar w:fldCharType="begin"/>
      </w:r>
      <w:r w:rsidRPr="00BF313C">
        <w:rPr>
          <w:rStyle w:val="af6"/>
          <w:rFonts w:eastAsia="Guttman Hodes"/>
          <w:rtl/>
        </w:rPr>
        <w:instrText xml:space="preserve"> </w:instrText>
      </w:r>
      <w:r w:rsidRPr="00BF313C">
        <w:rPr>
          <w:rStyle w:val="af6"/>
          <w:rFonts w:eastAsia="Guttman Hodes" w:hint="cs"/>
        </w:rPr>
        <w:instrText>REF</w:instrText>
      </w:r>
      <w:r w:rsidRPr="00BF313C">
        <w:rPr>
          <w:rStyle w:val="af6"/>
          <w:rFonts w:eastAsia="Guttman Hodes" w:hint="cs"/>
          <w:rtl/>
        </w:rPr>
        <w:instrText xml:space="preserve"> _</w:instrText>
      </w:r>
      <w:r w:rsidRPr="00BF313C">
        <w:rPr>
          <w:rStyle w:val="af6"/>
          <w:rFonts w:eastAsia="Guttman Hodes" w:hint="cs"/>
        </w:rPr>
        <w:instrText>Ref23623666 \r \h</w:instrText>
      </w:r>
      <w:r w:rsidRPr="00BF313C">
        <w:rPr>
          <w:rStyle w:val="af6"/>
          <w:rFonts w:eastAsia="Guttman Hodes"/>
          <w:rtl/>
        </w:rPr>
        <w:instrText xml:space="preserve"> </w:instrText>
      </w:r>
      <w:r w:rsidRPr="00BF313C">
        <w:rPr>
          <w:rStyle w:val="af6"/>
          <w:rFonts w:eastAsia="Guttman Hodes"/>
          <w:rtl/>
        </w:rPr>
      </w:r>
      <w:r w:rsidRPr="00BF313C">
        <w:rPr>
          <w:rStyle w:val="af6"/>
          <w:rFonts w:eastAsia="Guttman Hodes"/>
          <w:rtl/>
        </w:rPr>
        <w:fldChar w:fldCharType="separate"/>
      </w:r>
      <w:r w:rsidR="004D1C5B">
        <w:rPr>
          <w:rStyle w:val="af6"/>
          <w:rFonts w:eastAsia="Guttman Hodes"/>
          <w:cs/>
        </w:rPr>
        <w:t>‎</w:t>
      </w:r>
      <w:r w:rsidR="004D1C5B">
        <w:rPr>
          <w:rStyle w:val="af6"/>
          <w:rFonts w:eastAsia="Guttman Hodes"/>
          <w:rtl/>
        </w:rPr>
        <w:t>צה)</w:t>
      </w:r>
      <w:r w:rsidRPr="00BF313C">
        <w:rPr>
          <w:rStyle w:val="af6"/>
          <w:rFonts w:eastAsia="Guttman Hodes"/>
          <w:rtl/>
        </w:rPr>
        <w:fldChar w:fldCharType="end"/>
      </w:r>
      <w:r>
        <w:rPr>
          <w:rFonts w:hint="cs"/>
          <w:rtl/>
        </w:rPr>
        <w:t xml:space="preserve"> דביטול ברוב נלמד מאחרי רבים להטות, ואת דברי </w:t>
      </w:r>
      <w:r w:rsidRPr="000E18C9">
        <w:rPr>
          <w:rStyle w:val="af8"/>
          <w:rFonts w:hint="cs"/>
          <w:rtl/>
        </w:rPr>
        <w:t>הרא"ש</w:t>
      </w:r>
      <w:r>
        <w:rPr>
          <w:rFonts w:hint="cs"/>
          <w:rtl/>
        </w:rPr>
        <w:t xml:space="preserve"> </w:t>
      </w:r>
      <w:r w:rsidRPr="003D03D6">
        <w:rPr>
          <w:rStyle w:val="af6"/>
          <w:rFonts w:eastAsia="Guttman Hodes" w:hint="cs"/>
          <w:rtl/>
        </w:rPr>
        <w:t xml:space="preserve">(עי' אות </w:t>
      </w:r>
      <w:r w:rsidRPr="003D03D6">
        <w:rPr>
          <w:rStyle w:val="af6"/>
          <w:rFonts w:eastAsia="Guttman Hodes"/>
          <w:rtl/>
        </w:rPr>
        <w:fldChar w:fldCharType="begin"/>
      </w:r>
      <w:r w:rsidRPr="003D03D6">
        <w:rPr>
          <w:rStyle w:val="af6"/>
          <w:rFonts w:eastAsia="Guttman Hodes"/>
          <w:rtl/>
        </w:rPr>
        <w:instrText xml:space="preserve"> </w:instrText>
      </w:r>
      <w:r w:rsidRPr="003D03D6">
        <w:rPr>
          <w:rStyle w:val="af6"/>
          <w:rFonts w:eastAsia="Guttman Hodes" w:hint="cs"/>
        </w:rPr>
        <w:instrText>REF</w:instrText>
      </w:r>
      <w:r w:rsidRPr="003D03D6">
        <w:rPr>
          <w:rStyle w:val="af6"/>
          <w:rFonts w:eastAsia="Guttman Hodes" w:hint="cs"/>
          <w:rtl/>
        </w:rPr>
        <w:instrText xml:space="preserve"> _</w:instrText>
      </w:r>
      <w:r w:rsidRPr="003D03D6">
        <w:rPr>
          <w:rStyle w:val="af6"/>
          <w:rFonts w:eastAsia="Guttman Hodes" w:hint="cs"/>
        </w:rPr>
        <w:instrText>Ref23624626 \r \h</w:instrText>
      </w:r>
      <w:r w:rsidRPr="003D03D6">
        <w:rPr>
          <w:rStyle w:val="af6"/>
          <w:rFonts w:eastAsia="Guttman Hodes"/>
          <w:rtl/>
        </w:rPr>
        <w:instrText xml:space="preserve"> </w:instrText>
      </w:r>
      <w:r w:rsidRPr="003D03D6">
        <w:rPr>
          <w:rStyle w:val="af6"/>
          <w:rFonts w:eastAsia="Guttman Hodes"/>
          <w:rtl/>
        </w:rPr>
      </w:r>
      <w:r w:rsidRPr="003D03D6">
        <w:rPr>
          <w:rStyle w:val="af6"/>
          <w:rFonts w:eastAsia="Guttman Hodes"/>
          <w:rtl/>
        </w:rPr>
        <w:fldChar w:fldCharType="separate"/>
      </w:r>
      <w:r w:rsidR="004D1C5B">
        <w:rPr>
          <w:rStyle w:val="af6"/>
          <w:rFonts w:eastAsia="Guttman Hodes"/>
          <w:cs/>
        </w:rPr>
        <w:t>‎</w:t>
      </w:r>
      <w:r w:rsidR="004D1C5B">
        <w:rPr>
          <w:rStyle w:val="af6"/>
          <w:rFonts w:eastAsia="Guttman Hodes"/>
          <w:rtl/>
        </w:rPr>
        <w:t>צו)</w:t>
      </w:r>
      <w:r w:rsidRPr="003D03D6">
        <w:rPr>
          <w:rStyle w:val="af6"/>
          <w:rFonts w:eastAsia="Guttman Hodes"/>
          <w:rtl/>
        </w:rPr>
        <w:fldChar w:fldCharType="end"/>
      </w:r>
      <w:r>
        <w:rPr>
          <w:rFonts w:hint="cs"/>
          <w:rtl/>
        </w:rPr>
        <w:t xml:space="preserve"> דילפינן דהאיסור נהפך להיתר, והקשה </w:t>
      </w:r>
      <w:r w:rsidRPr="000E18C9">
        <w:rPr>
          <w:rStyle w:val="af8"/>
          <w:rFonts w:hint="cs"/>
          <w:rtl/>
        </w:rPr>
        <w:t>השער"י</w:t>
      </w:r>
      <w:r>
        <w:rPr>
          <w:rFonts w:hint="cs"/>
          <w:rtl/>
        </w:rPr>
        <w:t xml:space="preserve"> היאך ילפינן מסהנדרין דהאיסור מתהפך להיתר, דהרי הדין דאחרי רבים להטות נאמר בדיינים, ובדיינים יש אמת אחת או כהרוב או כהמיעוט, ואמרה תורה להחזיק שהאמת היא כמו הרוב, וממילא הדעה של המיעוט היא שקר ואינה אמת, וא"כ לא שייך כלל לומר שהמיעוט מתהפך לרוב, דנילף דהאיסור מתהפך להיתר, וציין </w:t>
      </w:r>
      <w:r w:rsidRPr="000E18C9">
        <w:rPr>
          <w:rStyle w:val="af8"/>
          <w:rFonts w:hint="cs"/>
          <w:rtl/>
        </w:rPr>
        <w:t>השער"י</w:t>
      </w:r>
      <w:r>
        <w:rPr>
          <w:rFonts w:hint="cs"/>
          <w:rtl/>
        </w:rPr>
        <w:t xml:space="preserve"> לדברי </w:t>
      </w:r>
      <w:r w:rsidRPr="000E18C9">
        <w:rPr>
          <w:rStyle w:val="af8"/>
          <w:rFonts w:hint="cs"/>
          <w:rtl/>
        </w:rPr>
        <w:t>הפרמ"ג</w:t>
      </w:r>
      <w:r>
        <w:rPr>
          <w:rFonts w:hint="cs"/>
          <w:rtl/>
        </w:rPr>
        <w:t xml:space="preserve"> </w:t>
      </w:r>
      <w:r w:rsidRPr="000E18C9">
        <w:rPr>
          <w:rStyle w:val="af6"/>
          <w:rFonts w:eastAsia="Guttman Hodes" w:hint="cs"/>
          <w:rtl/>
        </w:rPr>
        <w:t xml:space="preserve">(עי' אות </w:t>
      </w:r>
      <w:r w:rsidRPr="000E18C9">
        <w:rPr>
          <w:rStyle w:val="af6"/>
          <w:rFonts w:eastAsia="Guttman Hodes"/>
          <w:rtl/>
        </w:rPr>
        <w:fldChar w:fldCharType="begin"/>
      </w:r>
      <w:r w:rsidRPr="000E18C9">
        <w:rPr>
          <w:rStyle w:val="af6"/>
          <w:rFonts w:eastAsia="Guttman Hodes"/>
          <w:rtl/>
        </w:rPr>
        <w:instrText xml:space="preserve"> </w:instrText>
      </w:r>
      <w:r w:rsidRPr="000E18C9">
        <w:rPr>
          <w:rStyle w:val="af6"/>
          <w:rFonts w:eastAsia="Guttman Hodes" w:hint="cs"/>
        </w:rPr>
        <w:instrText>REF</w:instrText>
      </w:r>
      <w:r w:rsidRPr="000E18C9">
        <w:rPr>
          <w:rStyle w:val="af6"/>
          <w:rFonts w:eastAsia="Guttman Hodes" w:hint="cs"/>
          <w:rtl/>
        </w:rPr>
        <w:instrText xml:space="preserve"> _</w:instrText>
      </w:r>
      <w:r w:rsidRPr="000E18C9">
        <w:rPr>
          <w:rStyle w:val="af6"/>
          <w:rFonts w:eastAsia="Guttman Hodes" w:hint="cs"/>
        </w:rPr>
        <w:instrText>Ref23500879 \r \h</w:instrText>
      </w:r>
      <w:r w:rsidRPr="000E18C9">
        <w:rPr>
          <w:rStyle w:val="af6"/>
          <w:rFonts w:eastAsia="Guttman Hodes"/>
          <w:rtl/>
        </w:rPr>
        <w:instrText xml:space="preserve"> </w:instrText>
      </w:r>
      <w:r w:rsidRPr="000E18C9">
        <w:rPr>
          <w:rStyle w:val="af6"/>
          <w:rFonts w:eastAsia="Guttman Hodes"/>
          <w:rtl/>
        </w:rPr>
      </w:r>
      <w:r w:rsidRPr="000E18C9">
        <w:rPr>
          <w:rStyle w:val="af6"/>
          <w:rFonts w:eastAsia="Guttman Hodes"/>
          <w:rtl/>
        </w:rPr>
        <w:fldChar w:fldCharType="separate"/>
      </w:r>
      <w:r w:rsidR="004D1C5B">
        <w:rPr>
          <w:rStyle w:val="af6"/>
          <w:rFonts w:eastAsia="Guttman Hodes"/>
          <w:cs/>
        </w:rPr>
        <w:t>‎</w:t>
      </w:r>
      <w:r w:rsidR="004D1C5B">
        <w:rPr>
          <w:rStyle w:val="af6"/>
          <w:rFonts w:eastAsia="Guttman Hodes"/>
          <w:rtl/>
        </w:rPr>
        <w:t>צז)</w:t>
      </w:r>
      <w:r w:rsidRPr="000E18C9">
        <w:rPr>
          <w:rStyle w:val="af6"/>
          <w:rFonts w:eastAsia="Guttman Hodes"/>
          <w:rtl/>
        </w:rPr>
        <w:fldChar w:fldCharType="end"/>
      </w:r>
      <w:r>
        <w:rPr>
          <w:rFonts w:hint="cs"/>
          <w:rtl/>
        </w:rPr>
        <w:t xml:space="preserve"> דעמד בקושיה זו.</w:t>
      </w:r>
      <w:bookmarkEnd w:id="12734"/>
    </w:p>
    <w:p w:rsidR="00D45705" w:rsidRDefault="00D45705" w:rsidP="00D45705">
      <w:pPr>
        <w:pStyle w:val="a2"/>
        <w:rPr>
          <w:rtl/>
        </w:rPr>
      </w:pPr>
      <w:bookmarkStart w:id="12735" w:name="_Toc23663928"/>
      <w:bookmarkStart w:id="12736" w:name="_Toc23672581"/>
      <w:bookmarkStart w:id="12737" w:name="_Toc23673145"/>
      <w:r>
        <w:rPr>
          <w:rFonts w:hint="cs"/>
          <w:rtl/>
        </w:rPr>
        <w:t>דברי השער"י דאי בדיינים המיעוט מתבטל ברוב א"כ היאך ילפינן את דין הלך אחר הרוב</w:t>
      </w:r>
      <w:bookmarkEnd w:id="12735"/>
      <w:bookmarkEnd w:id="12736"/>
      <w:bookmarkEnd w:id="12737"/>
    </w:p>
    <w:p w:rsidR="00D45705" w:rsidRDefault="00D45705" w:rsidP="009F44AF">
      <w:pPr>
        <w:pStyle w:val="a"/>
        <w:rPr>
          <w:rtl/>
        </w:rPr>
      </w:pPr>
      <w:r>
        <w:rPr>
          <w:rFonts w:hint="cs"/>
          <w:rtl/>
        </w:rPr>
        <w:t xml:space="preserve">וכתב </w:t>
      </w:r>
      <w:r w:rsidRPr="000E18C9">
        <w:rPr>
          <w:rStyle w:val="af8"/>
          <w:rFonts w:hint="cs"/>
          <w:rtl/>
        </w:rPr>
        <w:t>השער"י</w:t>
      </w:r>
      <w:r>
        <w:rPr>
          <w:rFonts w:hint="cs"/>
          <w:rtl/>
        </w:rPr>
        <w:t xml:space="preserve"> דאי נימא דאף בדיינים אמרה תורה שהמיעוט מתבטל ברוב, והיינו שדין אחרי רבים להטות, אינו הכרעה דהאמת היא כמו המרובים, אלא דדעת המועטים מתבטלת בדעת המרובים, א"כ קשה היאך ילפינן מדיינים את כל דפריש מרובא פריש, ברובא דאיתא קמן, ומ"מ קשה האיך אפשר ללמוד מדיינים את ב' הדינים גם את דין ביטול ברוב, וגם את דין הלך אחר הרוב דכל דפריש מרובא פריש, דהרי בדיינים א"א לומר שיש את ב' הדינים, דאי המיעוט מתבטל, א"כ א"א ללמוד את דין הלך אחר הרוב, כיון שאין בדיינים מיעוט כלל, ואי בדיינים הדין הוא דהולכים אחר הרוב, א"כ א"א ללמוד את דין ביטול ברוב.</w:t>
      </w:r>
    </w:p>
    <w:p w:rsidR="00D45705" w:rsidRDefault="00D45705" w:rsidP="00D45705">
      <w:pPr>
        <w:pStyle w:val="a2"/>
        <w:rPr>
          <w:rtl/>
        </w:rPr>
      </w:pPr>
      <w:bookmarkStart w:id="12738" w:name="_Toc23663929"/>
      <w:bookmarkStart w:id="12739" w:name="_Toc23672582"/>
      <w:bookmarkStart w:id="12740" w:name="_Toc23673146"/>
      <w:r>
        <w:rPr>
          <w:rFonts w:hint="cs"/>
          <w:rtl/>
        </w:rPr>
        <w:t>דברי השער"י דמוכח דדין ביטול ברוב הוא מתיר במציאות ודין הלך אחר הרוב הוא הנהגה</w:t>
      </w:r>
      <w:bookmarkEnd w:id="12738"/>
      <w:bookmarkEnd w:id="12739"/>
      <w:bookmarkEnd w:id="12740"/>
    </w:p>
    <w:p w:rsidR="00D45705" w:rsidRDefault="00D45705" w:rsidP="009F44AF">
      <w:pPr>
        <w:pStyle w:val="a"/>
        <w:rPr>
          <w:rtl/>
        </w:rPr>
      </w:pPr>
      <w:bookmarkStart w:id="12741" w:name="_Ref23671410"/>
      <w:r>
        <w:rPr>
          <w:rFonts w:hint="cs"/>
          <w:rtl/>
        </w:rPr>
        <w:t xml:space="preserve">ועיי"ש במה שהאריך </w:t>
      </w:r>
      <w:r w:rsidRPr="000E18C9">
        <w:rPr>
          <w:rStyle w:val="af8"/>
          <w:rFonts w:hint="cs"/>
          <w:rtl/>
        </w:rPr>
        <w:t>השער"י</w:t>
      </w:r>
      <w:r>
        <w:rPr>
          <w:rFonts w:hint="cs"/>
          <w:rtl/>
        </w:rPr>
        <w:t xml:space="preserve"> </w:t>
      </w:r>
      <w:r w:rsidRPr="000E18C9">
        <w:rPr>
          <w:rStyle w:val="af6"/>
          <w:rFonts w:eastAsia="Guttman Hodes" w:hint="cs"/>
          <w:rtl/>
        </w:rPr>
        <w:t>(ש"ג פ"ד ד"ה והנה בפשטות)</w:t>
      </w:r>
      <w:r>
        <w:rPr>
          <w:rFonts w:hint="cs"/>
          <w:rtl/>
        </w:rPr>
        <w:t xml:space="preserve"> לדון אי דין הלך אחר הרוב, ודין ביטול ברוב, הם ב' דינים נפרדים, או שהם דין אחד, ובמסקנת דבריו כתב </w:t>
      </w:r>
      <w:r w:rsidRPr="000E18C9">
        <w:rPr>
          <w:rStyle w:val="af8"/>
          <w:rFonts w:hint="cs"/>
          <w:rtl/>
        </w:rPr>
        <w:t>השער"י</w:t>
      </w:r>
      <w:r>
        <w:rPr>
          <w:rFonts w:hint="cs"/>
          <w:rtl/>
        </w:rPr>
        <w:t xml:space="preserve"> </w:t>
      </w:r>
      <w:r w:rsidRPr="000E18C9">
        <w:rPr>
          <w:rStyle w:val="af6"/>
          <w:rFonts w:eastAsia="Guttman Hodes" w:hint="cs"/>
          <w:rtl/>
        </w:rPr>
        <w:t>(ש"ג פ"ד ד"ה ולכן נראה)</w:t>
      </w:r>
      <w:r>
        <w:rPr>
          <w:rFonts w:hint="cs"/>
          <w:rtl/>
        </w:rPr>
        <w:t xml:space="preserve"> דודאי דהם ב' דינים נפרדים, דבביטול ברוב האיסור מתהפך להיתר, ובהלך אחר הרוב, הוא הנהגה דאזלינן בתר רוב, אך אינו מתיר את האיסור במציאות, ואם יוודע אח"כ שאכל איסור צריך כפרה, [ועיי"ש במה שביאר </w:t>
      </w:r>
      <w:r w:rsidRPr="000E18C9">
        <w:rPr>
          <w:rStyle w:val="af8"/>
          <w:rFonts w:hint="cs"/>
          <w:rtl/>
        </w:rPr>
        <w:t>השער"י</w:t>
      </w:r>
      <w:r>
        <w:rPr>
          <w:rFonts w:hint="cs"/>
          <w:rtl/>
        </w:rPr>
        <w:t xml:space="preserve"> בזה את דברי</w:t>
      </w:r>
      <w:r w:rsidRPr="000E18C9">
        <w:rPr>
          <w:rStyle w:val="af8"/>
          <w:rFonts w:hint="cs"/>
          <w:rtl/>
        </w:rPr>
        <w:t xml:space="preserve"> התוס' הרא"ש בב"מ </w:t>
      </w:r>
      <w:r w:rsidRPr="00B9266E">
        <w:rPr>
          <w:rStyle w:val="af6"/>
          <w:rFonts w:eastAsia="Guttman Hodes" w:hint="cs"/>
          <w:rtl/>
        </w:rPr>
        <w:t xml:space="preserve">(עי' אות </w:t>
      </w:r>
      <w:r w:rsidRPr="00B9266E">
        <w:rPr>
          <w:rStyle w:val="af6"/>
          <w:rFonts w:eastAsia="Guttman Hodes"/>
          <w:rtl/>
        </w:rPr>
        <w:fldChar w:fldCharType="begin"/>
      </w:r>
      <w:r w:rsidRPr="00B9266E">
        <w:rPr>
          <w:rStyle w:val="af6"/>
          <w:rFonts w:eastAsia="Guttman Hodes"/>
          <w:rtl/>
        </w:rPr>
        <w:instrText xml:space="preserve"> </w:instrText>
      </w:r>
      <w:r w:rsidRPr="00B9266E">
        <w:rPr>
          <w:rStyle w:val="af6"/>
          <w:rFonts w:eastAsia="Guttman Hodes" w:hint="cs"/>
        </w:rPr>
        <w:instrText>REF</w:instrText>
      </w:r>
      <w:r w:rsidRPr="00B9266E">
        <w:rPr>
          <w:rStyle w:val="af6"/>
          <w:rFonts w:eastAsia="Guttman Hodes" w:hint="cs"/>
          <w:rtl/>
        </w:rPr>
        <w:instrText xml:space="preserve"> _</w:instrText>
      </w:r>
      <w:r w:rsidRPr="00B9266E">
        <w:rPr>
          <w:rStyle w:val="af6"/>
          <w:rFonts w:eastAsia="Guttman Hodes" w:hint="cs"/>
        </w:rPr>
        <w:instrText>Ref23624868 \r \h</w:instrText>
      </w:r>
      <w:r w:rsidRPr="00B9266E">
        <w:rPr>
          <w:rStyle w:val="af6"/>
          <w:rFonts w:eastAsia="Guttman Hodes"/>
          <w:rtl/>
        </w:rPr>
        <w:instrText xml:space="preserve"> </w:instrText>
      </w:r>
      <w:r w:rsidRPr="00B9266E">
        <w:rPr>
          <w:rStyle w:val="af6"/>
          <w:rFonts w:eastAsia="Guttman Hodes"/>
          <w:rtl/>
        </w:rPr>
      </w:r>
      <w:r w:rsidRPr="00B9266E">
        <w:rPr>
          <w:rStyle w:val="af6"/>
          <w:rFonts w:eastAsia="Guttman Hodes"/>
          <w:rtl/>
        </w:rPr>
        <w:fldChar w:fldCharType="separate"/>
      </w:r>
      <w:r w:rsidR="004D1C5B">
        <w:rPr>
          <w:rStyle w:val="af6"/>
          <w:rFonts w:eastAsia="Guttman Hodes"/>
          <w:cs/>
        </w:rPr>
        <w:t>‎</w:t>
      </w:r>
      <w:r w:rsidR="004D1C5B">
        <w:rPr>
          <w:rStyle w:val="af6"/>
          <w:rFonts w:eastAsia="Guttman Hodes"/>
          <w:rtl/>
        </w:rPr>
        <w:t>קלה)</w:t>
      </w:r>
      <w:r w:rsidRPr="00B9266E">
        <w:rPr>
          <w:rStyle w:val="af6"/>
          <w:rFonts w:eastAsia="Guttman Hodes"/>
          <w:rtl/>
        </w:rPr>
        <w:fldChar w:fldCharType="end"/>
      </w:r>
      <w:r>
        <w:rPr>
          <w:rFonts w:hint="cs"/>
          <w:rtl/>
        </w:rPr>
        <w:t>].</w:t>
      </w:r>
      <w:bookmarkEnd w:id="12741"/>
    </w:p>
    <w:p w:rsidR="00D45705" w:rsidRDefault="00D45705" w:rsidP="00D45705">
      <w:pPr>
        <w:pStyle w:val="a2"/>
        <w:rPr>
          <w:rtl/>
        </w:rPr>
      </w:pPr>
      <w:bookmarkStart w:id="12742" w:name="_Toc23663930"/>
      <w:bookmarkStart w:id="12743" w:name="_Toc23672583"/>
      <w:bookmarkStart w:id="12744" w:name="_Toc23673147"/>
      <w:r>
        <w:rPr>
          <w:rFonts w:hint="cs"/>
          <w:rtl/>
        </w:rPr>
        <w:t>דברי השער"י דבדיינים יש ב' דינים הא' גילוי מילתא דהדין כרוב והב' חידוש דין ע"י הגמר דין</w:t>
      </w:r>
      <w:bookmarkEnd w:id="12742"/>
      <w:bookmarkEnd w:id="12743"/>
      <w:bookmarkEnd w:id="12744"/>
    </w:p>
    <w:p w:rsidR="00D45705" w:rsidRDefault="00D45705" w:rsidP="009F44AF">
      <w:pPr>
        <w:pStyle w:val="a"/>
        <w:rPr>
          <w:rtl/>
        </w:rPr>
      </w:pPr>
      <w:r>
        <w:rPr>
          <w:rFonts w:hint="cs"/>
          <w:rtl/>
        </w:rPr>
        <w:t xml:space="preserve">וכתב </w:t>
      </w:r>
      <w:r w:rsidRPr="000E18C9">
        <w:rPr>
          <w:rStyle w:val="af8"/>
          <w:rFonts w:hint="cs"/>
          <w:rtl/>
        </w:rPr>
        <w:t xml:space="preserve">השער"י </w:t>
      </w:r>
      <w:r w:rsidRPr="000E18C9">
        <w:rPr>
          <w:rStyle w:val="af6"/>
          <w:rFonts w:eastAsia="Guttman Hodes" w:hint="cs"/>
          <w:rtl/>
        </w:rPr>
        <w:t>(ש"ג פ"ד ד"ה ועתה עלינו)</w:t>
      </w:r>
      <w:r>
        <w:rPr>
          <w:rFonts w:hint="cs"/>
          <w:rtl/>
        </w:rPr>
        <w:t xml:space="preserve"> דאת ב' הדינים ילפינן מרוב בדיינים, דבדין רוב בדיינים יש ב' דינים, הא' הוא גילוי מילתא בעלמא, דדין התורה הוא כדעת הרוב, ואין הדיינים מחדשים בזה כל דין, והב' דע"י הגמר דין של הב"ד מתחדש דין, כדיני נפשות וקנסות, דרק ע"י הגמר דין של הב"ד חל הדין.</w:t>
      </w:r>
    </w:p>
    <w:p w:rsidR="00D45705" w:rsidRPr="00D35520" w:rsidRDefault="00D45705" w:rsidP="00D45705">
      <w:pPr>
        <w:pStyle w:val="a2"/>
      </w:pPr>
      <w:bookmarkStart w:id="12745" w:name="_Toc23663931"/>
      <w:bookmarkStart w:id="12746" w:name="_Toc23672584"/>
      <w:bookmarkStart w:id="12747" w:name="_Toc23673148"/>
      <w:r>
        <w:rPr>
          <w:rFonts w:hint="cs"/>
          <w:rtl/>
        </w:rPr>
        <w:t>דברי השער"י דמהא דבדיינים יש גילוי מילתא דהאמת כרוב ילפינן את דין הלך אחר הרוב</w:t>
      </w:r>
      <w:bookmarkEnd w:id="12745"/>
      <w:bookmarkEnd w:id="12746"/>
      <w:bookmarkEnd w:id="12747"/>
    </w:p>
    <w:p w:rsidR="00D45705" w:rsidRDefault="00D45705" w:rsidP="009F44AF">
      <w:pPr>
        <w:pStyle w:val="a"/>
        <w:rPr>
          <w:rtl/>
        </w:rPr>
      </w:pPr>
      <w:r>
        <w:rPr>
          <w:rFonts w:hint="cs"/>
          <w:rtl/>
        </w:rPr>
        <w:t xml:space="preserve">וכתב </w:t>
      </w:r>
      <w:r w:rsidRPr="009019B0">
        <w:rPr>
          <w:rStyle w:val="af8"/>
          <w:rFonts w:hint="cs"/>
          <w:rtl/>
        </w:rPr>
        <w:t>השער"י</w:t>
      </w:r>
      <w:r>
        <w:rPr>
          <w:rFonts w:hint="cs"/>
          <w:rtl/>
        </w:rPr>
        <w:t xml:space="preserve"> דמהדין הראשון ילפינן את דין הלך אחר הרוב, דאין כל שינוי במציאות, דאף שאין לנו כל בירור שהדיינים כיוונו לאמת, מ"מ יש הנהגה לפסוק כמו הרוב, ואם התברר שטעו צריך כפרה, וה"ה בהלך אחר הרוב, דהוא הנהגה דאזלינן בתר רובא.</w:t>
      </w:r>
    </w:p>
    <w:p w:rsidR="00D45705" w:rsidRPr="0021021B" w:rsidRDefault="00D45705" w:rsidP="00D45705">
      <w:pPr>
        <w:pStyle w:val="a2"/>
      </w:pPr>
      <w:bookmarkStart w:id="12748" w:name="_Toc23663932"/>
      <w:bookmarkStart w:id="12749" w:name="_Toc23672585"/>
      <w:bookmarkStart w:id="12750" w:name="_Toc23673149"/>
      <w:r>
        <w:rPr>
          <w:rFonts w:hint="cs"/>
          <w:rtl/>
        </w:rPr>
        <w:t>דברי השער"י דמהא</w:t>
      </w:r>
      <w:r w:rsidRPr="007A45C4">
        <w:rPr>
          <w:rFonts w:hint="cs"/>
          <w:rtl/>
        </w:rPr>
        <w:t xml:space="preserve"> </w:t>
      </w:r>
      <w:r>
        <w:rPr>
          <w:rFonts w:hint="cs"/>
          <w:rtl/>
        </w:rPr>
        <w:t>דבדיינים מתחדש דין ע"י הגמר דין ילפינן דבביטול ברוב נהפך להיתר</w:t>
      </w:r>
      <w:bookmarkEnd w:id="12748"/>
      <w:bookmarkEnd w:id="12749"/>
      <w:bookmarkEnd w:id="12750"/>
    </w:p>
    <w:p w:rsidR="00D45705" w:rsidRPr="001A3C12" w:rsidRDefault="00D45705" w:rsidP="009F44AF">
      <w:pPr>
        <w:pStyle w:val="a"/>
        <w:rPr>
          <w:rtl/>
        </w:rPr>
      </w:pPr>
      <w:r>
        <w:rPr>
          <w:rFonts w:hint="cs"/>
          <w:rtl/>
        </w:rPr>
        <w:t xml:space="preserve"> וכתב </w:t>
      </w:r>
      <w:r w:rsidRPr="009019B0">
        <w:rPr>
          <w:rStyle w:val="af8"/>
          <w:rFonts w:hint="cs"/>
          <w:rtl/>
        </w:rPr>
        <w:t>השער"י</w:t>
      </w:r>
      <w:r>
        <w:rPr>
          <w:rFonts w:hint="cs"/>
          <w:rtl/>
        </w:rPr>
        <w:t xml:space="preserve"> דמהדין השני בדיינים, דחל ע"י פסק הב"ד דין חדש, ילפינן את דין ביטול ברוב, דהאיסור מתהפך להיתר, דהא בדיינים א"א לומר דהגמר דין נעשה רק ע"י רוב הדיינים, כיון שאין גמר דין כנגד הפסק של המיעוט, אלא מוכח דדעת רוב הדיינים מבטלת את דעת </w:t>
      </w:r>
      <w:r w:rsidRPr="001A3C12">
        <w:rPr>
          <w:rFonts w:hint="cs"/>
          <w:rtl/>
        </w:rPr>
        <w:t>מיעוט</w:t>
      </w:r>
      <w:r w:rsidR="00E669F8">
        <w:rPr>
          <w:rFonts w:hint="cs"/>
          <w:rtl/>
        </w:rPr>
        <w:t xml:space="preserve"> </w:t>
      </w:r>
      <w:r w:rsidR="00E669F8" w:rsidRPr="001A3C12">
        <w:rPr>
          <w:rFonts w:hint="cs"/>
          <w:rtl/>
        </w:rPr>
        <w:t>ה</w:t>
      </w:r>
      <w:r w:rsidR="00E669F8">
        <w:rPr>
          <w:rFonts w:hint="cs"/>
          <w:rtl/>
        </w:rPr>
        <w:t>דיינים</w:t>
      </w:r>
      <w:r w:rsidRPr="001A3C12">
        <w:rPr>
          <w:rFonts w:hint="cs"/>
          <w:rtl/>
        </w:rPr>
        <w:t xml:space="preserve">, והפסק של המיעוט מתבטל במציאות, או דהמיעוט כמאן דליתא, או שהוא מתהפך להיות כמו הרוב, ומזה למדו חז"ל את דין ביטול ברוב תערובת, דבמציאות האיסור מתהפך להיתר, וע"ע במה שהוסיף </w:t>
      </w:r>
      <w:r w:rsidRPr="001A3C12">
        <w:rPr>
          <w:rStyle w:val="af8"/>
          <w:rFonts w:hint="cs"/>
          <w:rtl/>
        </w:rPr>
        <w:t>השער"י</w:t>
      </w:r>
      <w:r w:rsidRPr="001A3C12">
        <w:rPr>
          <w:rFonts w:hint="cs"/>
          <w:rtl/>
        </w:rPr>
        <w:t xml:space="preserve"> </w:t>
      </w:r>
      <w:r w:rsidRPr="001A3C12">
        <w:rPr>
          <w:rStyle w:val="af6"/>
          <w:rFonts w:eastAsia="Guttman Hodes" w:hint="cs"/>
          <w:rtl/>
        </w:rPr>
        <w:t xml:space="preserve">(ש"ג פ"ה) </w:t>
      </w:r>
      <w:r>
        <w:rPr>
          <w:rFonts w:hint="cs"/>
          <w:rtl/>
        </w:rPr>
        <w:t xml:space="preserve">לבאר </w:t>
      </w:r>
      <w:r w:rsidRPr="001A3C12">
        <w:rPr>
          <w:rFonts w:hint="cs"/>
          <w:rtl/>
        </w:rPr>
        <w:t>בגדר דין ביטול ברוב, ובאיזה אופן נאמר דין הביטול.</w:t>
      </w:r>
    </w:p>
    <w:p w:rsidR="00D45705" w:rsidRDefault="00D45705" w:rsidP="00E669F8">
      <w:pPr>
        <w:pStyle w:val="afd"/>
        <w:rPr>
          <w:rtl/>
        </w:rPr>
      </w:pPr>
      <w:bookmarkStart w:id="12751" w:name="_Toc23372519"/>
      <w:bookmarkStart w:id="12752" w:name="_Toc23419208"/>
      <w:bookmarkStart w:id="12753" w:name="_Toc23499501"/>
      <w:bookmarkStart w:id="12754" w:name="_Toc23663933"/>
      <w:bookmarkStart w:id="12755" w:name="_Toc23672586"/>
      <w:bookmarkStart w:id="12756" w:name="_Toc23673150"/>
      <w:bookmarkStart w:id="12757" w:name="_Toc22638923"/>
      <w:bookmarkStart w:id="12758" w:name="_Toc23224121"/>
      <w:r w:rsidRPr="001A3C12">
        <w:rPr>
          <w:rFonts w:hint="cs"/>
          <w:rtl/>
        </w:rPr>
        <w:t>ב</w:t>
      </w:r>
      <w:r>
        <w:rPr>
          <w:rFonts w:hint="cs"/>
          <w:rtl/>
        </w:rPr>
        <w:t>דעת התוס' רי"ד ב</w:t>
      </w:r>
      <w:r w:rsidRPr="001A3C12">
        <w:rPr>
          <w:rFonts w:hint="cs"/>
          <w:rtl/>
        </w:rPr>
        <w:t>גדר דין ביטול</w:t>
      </w:r>
      <w:r>
        <w:rPr>
          <w:rFonts w:hint="cs"/>
          <w:rtl/>
        </w:rPr>
        <w:t xml:space="preserve"> ברוב</w:t>
      </w:r>
      <w:bookmarkEnd w:id="12751"/>
      <w:bookmarkEnd w:id="12752"/>
      <w:bookmarkEnd w:id="12753"/>
      <w:bookmarkEnd w:id="12754"/>
      <w:bookmarkEnd w:id="12755"/>
      <w:bookmarkEnd w:id="12756"/>
    </w:p>
    <w:p w:rsidR="00D45705" w:rsidRDefault="00D45705" w:rsidP="00D45705">
      <w:pPr>
        <w:pStyle w:val="1"/>
        <w:rPr>
          <w:rtl/>
        </w:rPr>
      </w:pPr>
      <w:bookmarkStart w:id="12759" w:name="_Toc23672587"/>
      <w:bookmarkStart w:id="12760" w:name="_Toc23673151"/>
      <w:r>
        <w:rPr>
          <w:rFonts w:hint="cs"/>
          <w:rtl/>
        </w:rPr>
        <w:lastRenderedPageBreak/>
        <w:t>ביאור הקוב"ש בתורי"ד דביטול ברוב הוא מדין הלך אחר הרוב</w:t>
      </w:r>
      <w:bookmarkEnd w:id="12759"/>
      <w:bookmarkEnd w:id="12760"/>
    </w:p>
    <w:p w:rsidR="00D45705" w:rsidRDefault="00D45705" w:rsidP="00D45705">
      <w:pPr>
        <w:pStyle w:val="a2"/>
        <w:rPr>
          <w:rtl/>
        </w:rPr>
      </w:pPr>
      <w:bookmarkStart w:id="12761" w:name="_Toc23663935"/>
      <w:bookmarkStart w:id="12762" w:name="_Toc23672588"/>
      <w:bookmarkStart w:id="12763" w:name="_Toc23673152"/>
      <w:r>
        <w:rPr>
          <w:rFonts w:hint="cs"/>
          <w:rtl/>
        </w:rPr>
        <w:t>דברי הקוב"ש דמבואר בתורי"ד דאדם אחד שאכל ג' חתיכות אף בזה אחר זה חייב חטאת</w:t>
      </w:r>
      <w:bookmarkEnd w:id="12761"/>
      <w:bookmarkEnd w:id="12762"/>
      <w:bookmarkEnd w:id="12763"/>
    </w:p>
    <w:p w:rsidR="00D45705" w:rsidRDefault="00D45705" w:rsidP="009F44AF">
      <w:pPr>
        <w:pStyle w:val="a"/>
        <w:rPr>
          <w:rtl/>
        </w:rPr>
      </w:pPr>
      <w:bookmarkStart w:id="12764" w:name="_Ref23328491"/>
      <w:r>
        <w:rPr>
          <w:rFonts w:hint="cs"/>
          <w:rtl/>
        </w:rPr>
        <w:t xml:space="preserve">הביא </w:t>
      </w:r>
      <w:r w:rsidRPr="006B74C2">
        <w:rPr>
          <w:rStyle w:val="af8"/>
          <w:rFonts w:hint="cs"/>
          <w:rtl/>
        </w:rPr>
        <w:t>הקוב"ש</w:t>
      </w:r>
      <w:r>
        <w:rPr>
          <w:rFonts w:hint="cs"/>
          <w:rtl/>
        </w:rPr>
        <w:t xml:space="preserve"> </w:t>
      </w:r>
      <w:r w:rsidRPr="007C6226">
        <w:rPr>
          <w:rStyle w:val="af6"/>
          <w:rFonts w:eastAsia="Guttman Hodes" w:hint="cs"/>
          <w:rtl/>
        </w:rPr>
        <w:t>(ב"ב קכ"ז)</w:t>
      </w:r>
      <w:r>
        <w:rPr>
          <w:rFonts w:hint="cs"/>
          <w:rtl/>
        </w:rPr>
        <w:t xml:space="preserve"> את דברי </w:t>
      </w:r>
      <w:r w:rsidRPr="006B74C2">
        <w:rPr>
          <w:rStyle w:val="af8"/>
          <w:rFonts w:hint="cs"/>
          <w:rtl/>
        </w:rPr>
        <w:t>התוס' רי"</w:t>
      </w:r>
      <w:r w:rsidRPr="009A5EC5">
        <w:rPr>
          <w:rStyle w:val="af8"/>
          <w:rFonts w:hint="cs"/>
          <w:rtl/>
        </w:rPr>
        <w:t>ד</w:t>
      </w:r>
      <w:r w:rsidRPr="004B6C0D">
        <w:rPr>
          <w:rStyle w:val="af6"/>
          <w:rFonts w:eastAsia="Guttman Hodes" w:hint="cs"/>
          <w:rtl/>
        </w:rPr>
        <w:t xml:space="preserve"> (עי' אות </w:t>
      </w:r>
      <w:r w:rsidRPr="004B6C0D">
        <w:rPr>
          <w:rStyle w:val="af6"/>
          <w:rFonts w:eastAsia="Guttman Hodes"/>
          <w:rtl/>
        </w:rPr>
        <w:fldChar w:fldCharType="begin"/>
      </w:r>
      <w:r w:rsidRPr="004B6C0D">
        <w:rPr>
          <w:rStyle w:val="af6"/>
          <w:rFonts w:eastAsia="Guttman Hodes"/>
          <w:rtl/>
        </w:rPr>
        <w:instrText xml:space="preserve"> </w:instrText>
      </w:r>
      <w:r w:rsidRPr="004B6C0D">
        <w:rPr>
          <w:rStyle w:val="af6"/>
          <w:rFonts w:eastAsia="Guttman Hodes" w:hint="cs"/>
        </w:rPr>
        <w:instrText>REF</w:instrText>
      </w:r>
      <w:r w:rsidRPr="004B6C0D">
        <w:rPr>
          <w:rStyle w:val="af6"/>
          <w:rFonts w:eastAsia="Guttman Hodes" w:hint="cs"/>
          <w:rtl/>
        </w:rPr>
        <w:instrText xml:space="preserve"> _</w:instrText>
      </w:r>
      <w:r w:rsidRPr="004B6C0D">
        <w:rPr>
          <w:rStyle w:val="af6"/>
          <w:rFonts w:eastAsia="Guttman Hodes" w:hint="cs"/>
        </w:rPr>
        <w:instrText>Ref23661533 \r \h</w:instrText>
      </w:r>
      <w:r w:rsidRPr="004B6C0D">
        <w:rPr>
          <w:rStyle w:val="af6"/>
          <w:rFonts w:eastAsia="Guttman Hodes"/>
          <w:rtl/>
        </w:rPr>
        <w:instrText xml:space="preserve"> </w:instrText>
      </w:r>
      <w:r w:rsidRPr="004B6C0D">
        <w:rPr>
          <w:rStyle w:val="af6"/>
          <w:rFonts w:eastAsia="Guttman Hodes"/>
          <w:rtl/>
        </w:rPr>
      </w:r>
      <w:r w:rsidRPr="004B6C0D">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4B6C0D">
        <w:rPr>
          <w:rStyle w:val="af6"/>
          <w:rFonts w:eastAsia="Guttman Hodes"/>
          <w:rtl/>
        </w:rPr>
        <w:fldChar w:fldCharType="end"/>
      </w:r>
      <w:r>
        <w:rPr>
          <w:rFonts w:hint="cs"/>
          <w:rtl/>
        </w:rPr>
        <w:t xml:space="preserve"> דכתב דחתיכה של </w:t>
      </w:r>
      <w:r>
        <w:rPr>
          <w:rtl/>
        </w:rPr>
        <w:t>חֵלֶב</w:t>
      </w:r>
      <w:r>
        <w:rPr>
          <w:rFonts w:hint="cs"/>
          <w:rtl/>
        </w:rPr>
        <w:t xml:space="preserve"> שהתערבה בב' חתיכות של שומן, מותר לג' בנ"א מותר לאכול את שלושתם, אך אדם אחד אכל א</w:t>
      </w:r>
      <w:r w:rsidR="00CA2098">
        <w:rPr>
          <w:rFonts w:hint="cs"/>
          <w:rtl/>
        </w:rPr>
        <w:t xml:space="preserve">ת שלושתם חייב חטאת, כיון שודאי </w:t>
      </w:r>
      <w:r>
        <w:rPr>
          <w:rFonts w:hint="cs"/>
          <w:rtl/>
        </w:rPr>
        <w:t xml:space="preserve">אכל חתיכה של </w:t>
      </w:r>
      <w:r>
        <w:rPr>
          <w:rtl/>
        </w:rPr>
        <w:t>חֵלֶב</w:t>
      </w:r>
      <w:r>
        <w:rPr>
          <w:rFonts w:hint="cs"/>
          <w:rtl/>
        </w:rPr>
        <w:t xml:space="preserve">, וכתב </w:t>
      </w:r>
      <w:r w:rsidRPr="006B74C2">
        <w:rPr>
          <w:rStyle w:val="af8"/>
          <w:rFonts w:hint="cs"/>
          <w:rtl/>
        </w:rPr>
        <w:t>הקוב"ש</w:t>
      </w:r>
      <w:r>
        <w:rPr>
          <w:rFonts w:hint="cs"/>
          <w:rtl/>
        </w:rPr>
        <w:t xml:space="preserve"> דמבואר מדברי </w:t>
      </w:r>
      <w:r w:rsidRPr="006B74C2">
        <w:rPr>
          <w:rStyle w:val="af8"/>
          <w:rFonts w:hint="cs"/>
          <w:rtl/>
        </w:rPr>
        <w:t>התוס' רי"ד</w:t>
      </w:r>
      <w:r>
        <w:rPr>
          <w:rFonts w:hint="cs"/>
          <w:rtl/>
        </w:rPr>
        <w:t xml:space="preserve"> דבאדם אחד שאכל את כל החתיכות אף אם אכלם בזה אחר זה, הוא חייב חטאת דהא דימה </w:t>
      </w:r>
      <w:r w:rsidRPr="006B74C2">
        <w:rPr>
          <w:rStyle w:val="af8"/>
          <w:rFonts w:hint="cs"/>
          <w:rtl/>
        </w:rPr>
        <w:t>התוס' רי"ד</w:t>
      </w:r>
      <w:r>
        <w:rPr>
          <w:rFonts w:hint="cs"/>
          <w:rtl/>
        </w:rPr>
        <w:t xml:space="preserve"> את החיוב באדם אחד, להיתר בג' בנ"א דמסתמא לא אכלו בבת אחת, וא"כ אם התרו בו שלא יאכל את שלושתם ואכלם בזה אחר זה לוקה.</w:t>
      </w:r>
      <w:bookmarkEnd w:id="12764"/>
    </w:p>
    <w:p w:rsidR="00D45705" w:rsidRPr="00813EB4" w:rsidRDefault="00D45705" w:rsidP="00D45705">
      <w:pPr>
        <w:pStyle w:val="a2"/>
        <w:rPr>
          <w:rtl/>
        </w:rPr>
      </w:pPr>
      <w:bookmarkStart w:id="12765" w:name="_Toc23663936"/>
      <w:bookmarkStart w:id="12766" w:name="_Toc23672589"/>
      <w:bookmarkStart w:id="12767" w:name="_Toc23673153"/>
      <w:r w:rsidRPr="00813EB4">
        <w:rPr>
          <w:rFonts w:hint="cs"/>
          <w:rtl/>
        </w:rPr>
        <w:t xml:space="preserve">ביאור </w:t>
      </w:r>
      <w:r>
        <w:rPr>
          <w:rFonts w:hint="cs"/>
          <w:rtl/>
        </w:rPr>
        <w:t>הקוב"ש בתורי"ד דביטול ברוב מותר מדין הלך אחר הרוב ואינו דין בפנ"ע</w:t>
      </w:r>
      <w:bookmarkEnd w:id="12765"/>
      <w:bookmarkEnd w:id="12766"/>
      <w:bookmarkEnd w:id="12767"/>
    </w:p>
    <w:p w:rsidR="00D45705" w:rsidRPr="00BE7425" w:rsidRDefault="00D45705" w:rsidP="009F44AF">
      <w:pPr>
        <w:pStyle w:val="a"/>
        <w:rPr>
          <w:rStyle w:val="afa"/>
          <w:rtl/>
        </w:rPr>
      </w:pPr>
      <w:r>
        <w:rPr>
          <w:rFonts w:hint="cs"/>
          <w:rtl/>
        </w:rPr>
        <w:t xml:space="preserve">וביאר </w:t>
      </w:r>
      <w:r w:rsidRPr="000E18C9">
        <w:rPr>
          <w:rStyle w:val="af8"/>
          <w:rFonts w:hint="cs"/>
          <w:rtl/>
        </w:rPr>
        <w:t xml:space="preserve">הקוב"ש </w:t>
      </w:r>
      <w:r>
        <w:rPr>
          <w:rFonts w:hint="cs"/>
          <w:rtl/>
        </w:rPr>
        <w:t xml:space="preserve">דס"ל </w:t>
      </w:r>
      <w:r w:rsidRPr="000E18C9">
        <w:rPr>
          <w:rStyle w:val="af8"/>
          <w:rFonts w:hint="cs"/>
          <w:rtl/>
        </w:rPr>
        <w:t xml:space="preserve">להתוס' רי"ד </w:t>
      </w:r>
      <w:r>
        <w:rPr>
          <w:rFonts w:hint="cs"/>
          <w:rtl/>
        </w:rPr>
        <w:t xml:space="preserve">דאין דין מיוחד של ביטול ברוב בתערובת, אלא דבכל חתיכה מהתערובת יש היתר מדין הלך הלך הרוב, כמו במקום שהאיסור ניכר, ויש ספק על כל חתיכה אם היא האיסור, </w:t>
      </w:r>
      <w:r w:rsidRPr="000E18C9">
        <w:rPr>
          <w:rStyle w:val="afa"/>
          <w:rFonts w:hint="cs"/>
          <w:rtl/>
        </w:rPr>
        <w:t xml:space="preserve">[וכן מבואר בדברי </w:t>
      </w:r>
      <w:r w:rsidRPr="000E18C9">
        <w:rPr>
          <w:rStyle w:val="affa"/>
          <w:rFonts w:hint="cs"/>
          <w:rtl/>
        </w:rPr>
        <w:t>הרי"ד</w:t>
      </w:r>
      <w:r>
        <w:rPr>
          <w:rStyle w:val="affa"/>
          <w:rFonts w:hint="cs"/>
          <w:rtl/>
        </w:rPr>
        <w:t xml:space="preserve"> בתשו'</w:t>
      </w:r>
      <w:r w:rsidRPr="000E18C9">
        <w:rPr>
          <w:rStyle w:val="afa"/>
          <w:rFonts w:hint="cs"/>
          <w:rtl/>
        </w:rPr>
        <w:t xml:space="preserve"> </w:t>
      </w:r>
      <w:r w:rsidRPr="00BE7425">
        <w:rPr>
          <w:rStyle w:val="aff6"/>
          <w:rFonts w:hint="cs"/>
          <w:rtl/>
        </w:rPr>
        <w:t xml:space="preserve">(עי' אות </w:t>
      </w:r>
      <w:r w:rsidRPr="00BE7425">
        <w:rPr>
          <w:rStyle w:val="aff6"/>
          <w:rtl/>
        </w:rPr>
        <w:fldChar w:fldCharType="begin"/>
      </w:r>
      <w:r w:rsidRPr="00BE7425">
        <w:rPr>
          <w:rStyle w:val="aff6"/>
          <w:rtl/>
        </w:rPr>
        <w:instrText xml:space="preserve"> </w:instrText>
      </w:r>
      <w:r w:rsidRPr="00BE7425">
        <w:rPr>
          <w:rStyle w:val="aff6"/>
          <w:rFonts w:hint="cs"/>
        </w:rPr>
        <w:instrText>REF</w:instrText>
      </w:r>
      <w:r w:rsidRPr="00BE7425">
        <w:rPr>
          <w:rStyle w:val="aff6"/>
          <w:rFonts w:hint="cs"/>
          <w:rtl/>
        </w:rPr>
        <w:instrText xml:space="preserve"> _</w:instrText>
      </w:r>
      <w:r w:rsidRPr="00BE7425">
        <w:rPr>
          <w:rStyle w:val="aff6"/>
          <w:rFonts w:hint="cs"/>
        </w:rPr>
        <w:instrText>Ref23661567 \r \h</w:instrText>
      </w:r>
      <w:r w:rsidRPr="00BE7425">
        <w:rPr>
          <w:rStyle w:val="aff6"/>
          <w:rtl/>
        </w:rPr>
        <w:instrText xml:space="preserve"> </w:instrText>
      </w:r>
      <w:r w:rsidRPr="00BE7425">
        <w:rPr>
          <w:rStyle w:val="aff6"/>
          <w:rtl/>
        </w:rPr>
      </w:r>
      <w:r w:rsidRPr="00BE7425">
        <w:rPr>
          <w:rStyle w:val="aff6"/>
          <w:rtl/>
        </w:rPr>
        <w:fldChar w:fldCharType="separate"/>
      </w:r>
      <w:r w:rsidR="004D1C5B">
        <w:rPr>
          <w:rStyle w:val="aff6"/>
          <w:cs/>
        </w:rPr>
        <w:t>‎</w:t>
      </w:r>
      <w:r w:rsidR="004D1C5B">
        <w:rPr>
          <w:rStyle w:val="aff6"/>
          <w:rtl/>
        </w:rPr>
        <w:t>נח)</w:t>
      </w:r>
      <w:r w:rsidRPr="00BE7425">
        <w:rPr>
          <w:rStyle w:val="aff6"/>
          <w:rtl/>
        </w:rPr>
        <w:fldChar w:fldCharType="end"/>
      </w:r>
      <w:r w:rsidRPr="000E18C9">
        <w:rPr>
          <w:rStyle w:val="afa"/>
          <w:rFonts w:hint="cs"/>
          <w:rtl/>
        </w:rPr>
        <w:t>],</w:t>
      </w:r>
      <w:r>
        <w:rPr>
          <w:rFonts w:hint="cs"/>
          <w:rtl/>
        </w:rPr>
        <w:t xml:space="preserve"> וכתב </w:t>
      </w:r>
      <w:r w:rsidRPr="000E18C9">
        <w:rPr>
          <w:rStyle w:val="af8"/>
          <w:rFonts w:hint="cs"/>
          <w:rtl/>
        </w:rPr>
        <w:t xml:space="preserve">הקוב"ש </w:t>
      </w:r>
      <w:r>
        <w:rPr>
          <w:rFonts w:hint="cs"/>
          <w:rtl/>
        </w:rPr>
        <w:t xml:space="preserve">דהא דאין על התערובת דין קבוע, הוא כיון דבמקום שהאיסור אינו ניכר אין דין קבוע, אף בלי דין ביטול ברוב. </w:t>
      </w:r>
      <w:r w:rsidRPr="00BE7425">
        <w:rPr>
          <w:rStyle w:val="afa"/>
          <w:rFonts w:hint="cs"/>
          <w:rtl/>
        </w:rPr>
        <w:t xml:space="preserve">[עי' בדברי </w:t>
      </w:r>
      <w:r w:rsidRPr="00BE7425">
        <w:rPr>
          <w:rStyle w:val="affa"/>
          <w:rFonts w:hint="cs"/>
          <w:rtl/>
        </w:rPr>
        <w:t>התוס' לעיל</w:t>
      </w:r>
      <w:r w:rsidRPr="00BE7425">
        <w:rPr>
          <w:rStyle w:val="afa"/>
          <w:rFonts w:hint="cs"/>
          <w:rtl/>
        </w:rPr>
        <w:t xml:space="preserve"> </w:t>
      </w:r>
      <w:r w:rsidRPr="00BE7425">
        <w:rPr>
          <w:rStyle w:val="aff6"/>
          <w:rFonts w:hint="cs"/>
          <w:rtl/>
        </w:rPr>
        <w:t xml:space="preserve">(עי' אות </w:t>
      </w:r>
      <w:r w:rsidRPr="00BE7425">
        <w:rPr>
          <w:rStyle w:val="aff6"/>
          <w:rtl/>
        </w:rPr>
        <w:fldChar w:fldCharType="begin"/>
      </w:r>
      <w:r w:rsidRPr="00BE7425">
        <w:rPr>
          <w:rStyle w:val="aff6"/>
          <w:rtl/>
        </w:rPr>
        <w:instrText xml:space="preserve"> </w:instrText>
      </w:r>
      <w:r w:rsidRPr="00BE7425">
        <w:rPr>
          <w:rStyle w:val="aff6"/>
          <w:rFonts w:hint="cs"/>
        </w:rPr>
        <w:instrText>REF</w:instrText>
      </w:r>
      <w:r w:rsidRPr="00BE7425">
        <w:rPr>
          <w:rStyle w:val="aff6"/>
          <w:rFonts w:hint="cs"/>
          <w:rtl/>
        </w:rPr>
        <w:instrText xml:space="preserve"> _</w:instrText>
      </w:r>
      <w:r w:rsidRPr="00BE7425">
        <w:rPr>
          <w:rStyle w:val="aff6"/>
          <w:rFonts w:hint="cs"/>
        </w:rPr>
        <w:instrText>Ref23620097 \r \h</w:instrText>
      </w:r>
      <w:r w:rsidRPr="00BE7425">
        <w:rPr>
          <w:rStyle w:val="aff6"/>
          <w:rtl/>
        </w:rPr>
        <w:instrText xml:space="preserve"> </w:instrText>
      </w:r>
      <w:r w:rsidRPr="00BE7425">
        <w:rPr>
          <w:rStyle w:val="aff6"/>
          <w:rtl/>
        </w:rPr>
      </w:r>
      <w:r w:rsidRPr="00BE7425">
        <w:rPr>
          <w:rStyle w:val="aff6"/>
          <w:rtl/>
        </w:rPr>
        <w:fldChar w:fldCharType="separate"/>
      </w:r>
      <w:r w:rsidR="004D1C5B">
        <w:rPr>
          <w:rStyle w:val="aff6"/>
          <w:cs/>
        </w:rPr>
        <w:t>‎</w:t>
      </w:r>
      <w:r w:rsidR="004D1C5B">
        <w:rPr>
          <w:rStyle w:val="aff6"/>
          <w:rtl/>
        </w:rPr>
        <w:t>קח)</w:t>
      </w:r>
      <w:r w:rsidRPr="00BE7425">
        <w:rPr>
          <w:rStyle w:val="aff6"/>
          <w:rtl/>
        </w:rPr>
        <w:fldChar w:fldCharType="end"/>
      </w:r>
      <w:r w:rsidRPr="00BE7425">
        <w:rPr>
          <w:rStyle w:val="afa"/>
          <w:rFonts w:hint="cs"/>
          <w:rtl/>
        </w:rPr>
        <w:t>].</w:t>
      </w:r>
    </w:p>
    <w:p w:rsidR="00D45705" w:rsidRDefault="00D45705" w:rsidP="00D45705">
      <w:pPr>
        <w:pStyle w:val="a2"/>
        <w:rPr>
          <w:rtl/>
        </w:rPr>
      </w:pPr>
      <w:bookmarkStart w:id="12768" w:name="_Toc23663937"/>
      <w:bookmarkStart w:id="12769" w:name="_Toc23672590"/>
      <w:bookmarkStart w:id="12770" w:name="_Toc23673154"/>
      <w:r>
        <w:rPr>
          <w:rFonts w:hint="cs"/>
          <w:rtl/>
        </w:rPr>
        <w:t>דברי הקוב"ש דבלח בלח דלא שייך הלך אחר הרוב מודה התורי"ד דהוא דין ביטול ברוב</w:t>
      </w:r>
      <w:bookmarkEnd w:id="12768"/>
      <w:bookmarkEnd w:id="12769"/>
      <w:bookmarkEnd w:id="12770"/>
      <w:r>
        <w:rPr>
          <w:rFonts w:hint="cs"/>
          <w:rtl/>
        </w:rPr>
        <w:t xml:space="preserve"> </w:t>
      </w:r>
    </w:p>
    <w:p w:rsidR="00D45705" w:rsidRPr="006771A8" w:rsidRDefault="00D45705" w:rsidP="009F44AF">
      <w:pPr>
        <w:pStyle w:val="a"/>
        <w:rPr>
          <w:rStyle w:val="afa"/>
          <w:rtl/>
        </w:rPr>
      </w:pPr>
      <w:r>
        <w:rPr>
          <w:rFonts w:hint="cs"/>
          <w:rtl/>
        </w:rPr>
        <w:t xml:space="preserve">אך כתב </w:t>
      </w:r>
      <w:r w:rsidRPr="000E18C9">
        <w:rPr>
          <w:rStyle w:val="af8"/>
          <w:rFonts w:hint="cs"/>
          <w:rtl/>
        </w:rPr>
        <w:t xml:space="preserve">הקוב"ש </w:t>
      </w:r>
      <w:r>
        <w:rPr>
          <w:rFonts w:hint="cs"/>
          <w:rtl/>
        </w:rPr>
        <w:t xml:space="preserve">דרק ביבש ביבש ס"ל </w:t>
      </w:r>
      <w:r w:rsidRPr="000E18C9">
        <w:rPr>
          <w:rStyle w:val="af8"/>
          <w:rFonts w:hint="cs"/>
          <w:rtl/>
        </w:rPr>
        <w:t xml:space="preserve">להתוס' רי"ד </w:t>
      </w:r>
      <w:r>
        <w:rPr>
          <w:rFonts w:hint="cs"/>
          <w:rtl/>
        </w:rPr>
        <w:t xml:space="preserve">דאין דין ביטול ברוב, כיון שכל חתיכה עומדת בפנ"ע, אבל בלח בלח אף </w:t>
      </w:r>
      <w:r w:rsidRPr="009019B0">
        <w:rPr>
          <w:rStyle w:val="af8"/>
          <w:rFonts w:hint="cs"/>
          <w:rtl/>
        </w:rPr>
        <w:t>להתוס' רי"ד</w:t>
      </w:r>
      <w:r>
        <w:rPr>
          <w:rFonts w:hint="cs"/>
          <w:rtl/>
        </w:rPr>
        <w:t xml:space="preserve"> יש דין ביטול ברוב, דהא כיון שבכל התערובת יש משהו מהאיסור</w:t>
      </w:r>
      <w:r>
        <w:rPr>
          <w:rStyle w:val="af0"/>
          <w:rtl/>
        </w:rPr>
        <w:footnoteReference w:id="63"/>
      </w:r>
      <w:r>
        <w:rPr>
          <w:rFonts w:hint="cs"/>
          <w:rtl/>
        </w:rPr>
        <w:t>.</w:t>
      </w:r>
      <w:r w:rsidRPr="006771A8">
        <w:rPr>
          <w:rFonts w:hint="cs"/>
          <w:rtl/>
        </w:rPr>
        <w:t xml:space="preserve"> </w:t>
      </w:r>
      <w:r w:rsidRPr="006771A8">
        <w:rPr>
          <w:rStyle w:val="afa"/>
          <w:rFonts w:hint="cs"/>
          <w:rtl/>
        </w:rPr>
        <w:t>[ו</w:t>
      </w:r>
      <w:r>
        <w:rPr>
          <w:rStyle w:val="afa"/>
          <w:rFonts w:hint="cs"/>
          <w:rtl/>
        </w:rPr>
        <w:t xml:space="preserve">היינו דא"כ </w:t>
      </w:r>
      <w:r w:rsidRPr="006771A8">
        <w:rPr>
          <w:rStyle w:val="afa"/>
          <w:rFonts w:hint="cs"/>
          <w:rtl/>
        </w:rPr>
        <w:t>לא שייך דין הלך אחר הרוב]</w:t>
      </w:r>
      <w:r>
        <w:rPr>
          <w:rStyle w:val="afa"/>
          <w:rFonts w:hint="cs"/>
          <w:rtl/>
        </w:rPr>
        <w:t>.</w:t>
      </w:r>
    </w:p>
    <w:p w:rsidR="00D45705" w:rsidRDefault="00D45705" w:rsidP="00D45705">
      <w:pPr>
        <w:pStyle w:val="a2"/>
        <w:rPr>
          <w:rtl/>
        </w:rPr>
      </w:pPr>
      <w:bookmarkStart w:id="12771" w:name="_Toc23663938"/>
      <w:bookmarkStart w:id="12772" w:name="_Toc23672591"/>
      <w:bookmarkStart w:id="12773" w:name="_Toc23673155"/>
      <w:r>
        <w:rPr>
          <w:rFonts w:hint="cs"/>
          <w:rtl/>
        </w:rPr>
        <w:t>דברי הקוב"ש דהא דמבואר בבכורות דדין ביטול ברוב הוא דין בפנ"ע אפש"ל דהוא בלח בלח</w:t>
      </w:r>
      <w:bookmarkEnd w:id="12771"/>
      <w:bookmarkEnd w:id="12772"/>
      <w:bookmarkEnd w:id="12773"/>
    </w:p>
    <w:p w:rsidR="00D45705" w:rsidRDefault="00D45705" w:rsidP="009F44AF">
      <w:pPr>
        <w:pStyle w:val="a"/>
        <w:rPr>
          <w:rtl/>
        </w:rPr>
      </w:pPr>
      <w:bookmarkStart w:id="12774" w:name="_Ref21685591"/>
      <w:r>
        <w:rPr>
          <w:rFonts w:hint="cs"/>
          <w:rtl/>
        </w:rPr>
        <w:t xml:space="preserve">אך הקשה </w:t>
      </w:r>
      <w:r w:rsidRPr="009019B0">
        <w:rPr>
          <w:rStyle w:val="af8"/>
          <w:rFonts w:hint="cs"/>
          <w:rtl/>
        </w:rPr>
        <w:t>הקוב"ש</w:t>
      </w:r>
      <w:r>
        <w:rPr>
          <w:rFonts w:hint="cs"/>
          <w:rtl/>
        </w:rPr>
        <w:t xml:space="preserve"> על </w:t>
      </w:r>
      <w:r w:rsidRPr="009019B0">
        <w:rPr>
          <w:rStyle w:val="af8"/>
          <w:rFonts w:hint="cs"/>
          <w:rtl/>
        </w:rPr>
        <w:t>התוס' רי"ד</w:t>
      </w:r>
      <w:r>
        <w:rPr>
          <w:rFonts w:hint="cs"/>
          <w:rtl/>
        </w:rPr>
        <w:t xml:space="preserve"> דהיאך אפש"ל שלא נאמר דין ביטול ברוב, הרי בגמ' בבכורות </w:t>
      </w:r>
      <w:r w:rsidRPr="009019B0">
        <w:rPr>
          <w:rStyle w:val="af6"/>
          <w:rFonts w:eastAsia="Guttman Hodes" w:hint="cs"/>
          <w:rtl/>
        </w:rPr>
        <w:t>(כג:)</w:t>
      </w:r>
      <w:r>
        <w:rPr>
          <w:rFonts w:hint="cs"/>
          <w:rtl/>
        </w:rPr>
        <w:t xml:space="preserve"> נחלקו ראב"י ורבי חייא בטומאה בדין ביטול ברוב,</w:t>
      </w:r>
      <w:r w:rsidRPr="00835482">
        <w:rPr>
          <w:rFonts w:hint="cs"/>
          <w:rtl/>
        </w:rPr>
        <w:t xml:space="preserve"> </w:t>
      </w:r>
      <w:r>
        <w:rPr>
          <w:rFonts w:hint="cs"/>
          <w:rtl/>
        </w:rPr>
        <w:t xml:space="preserve">ותירץ </w:t>
      </w:r>
      <w:r w:rsidRPr="009019B0">
        <w:rPr>
          <w:rStyle w:val="af8"/>
          <w:rFonts w:hint="cs"/>
          <w:rtl/>
        </w:rPr>
        <w:t>הקוב"ש</w:t>
      </w:r>
      <w:r>
        <w:rPr>
          <w:rFonts w:hint="cs"/>
          <w:rtl/>
        </w:rPr>
        <w:t xml:space="preserve"> דאפש"ל דאיירי בטומאה שנימוחה דהיא כלח בלח.</w:t>
      </w:r>
    </w:p>
    <w:p w:rsidR="00D45705" w:rsidRPr="00BE7425" w:rsidRDefault="00D45705" w:rsidP="00D45705">
      <w:pPr>
        <w:pStyle w:val="a2"/>
      </w:pPr>
      <w:bookmarkStart w:id="12775" w:name="_Toc23663939"/>
      <w:bookmarkStart w:id="12776" w:name="_Toc23672592"/>
      <w:bookmarkStart w:id="12777" w:name="_Toc23673156"/>
      <w:r>
        <w:rPr>
          <w:rFonts w:hint="cs"/>
          <w:rtl/>
        </w:rPr>
        <w:t>קושית הקוב"ש על התורי"ד דבגמ' בזבחים מוכח דדין הלך אחר הרוב וביטול ברוב הם ב' דינים</w:t>
      </w:r>
      <w:bookmarkEnd w:id="12775"/>
      <w:bookmarkEnd w:id="12776"/>
      <w:bookmarkEnd w:id="12777"/>
    </w:p>
    <w:p w:rsidR="00D45705" w:rsidRDefault="00D45705" w:rsidP="009F44AF">
      <w:pPr>
        <w:pStyle w:val="a"/>
        <w:rPr>
          <w:rtl/>
        </w:rPr>
      </w:pPr>
      <w:r>
        <w:rPr>
          <w:rFonts w:hint="cs"/>
          <w:rtl/>
        </w:rPr>
        <w:t xml:space="preserve">אך עוד הקשה </w:t>
      </w:r>
      <w:r w:rsidRPr="009019B0">
        <w:rPr>
          <w:rStyle w:val="af8"/>
          <w:rFonts w:hint="cs"/>
          <w:rtl/>
        </w:rPr>
        <w:t>הקוב"ש</w:t>
      </w:r>
      <w:r>
        <w:rPr>
          <w:rFonts w:hint="cs"/>
          <w:rtl/>
        </w:rPr>
        <w:t xml:space="preserve"> דהא בדין קרבנות שהתערבו בהם פסולים, מקשה הגמ' בזבחים בזבחים</w:t>
      </w:r>
      <w:r w:rsidRPr="001A2E4B">
        <w:rPr>
          <w:rStyle w:val="afa"/>
          <w:rFonts w:hint="cs"/>
          <w:rtl/>
        </w:rPr>
        <w:t xml:space="preserve"> </w:t>
      </w:r>
      <w:r>
        <w:rPr>
          <w:rStyle w:val="af6"/>
          <w:rFonts w:eastAsia="Guttman Hodes" w:hint="cs"/>
          <w:rtl/>
        </w:rPr>
        <w:t>(</w:t>
      </w:r>
      <w:r w:rsidRPr="00D76966">
        <w:rPr>
          <w:rStyle w:val="af6"/>
          <w:rFonts w:eastAsia="Guttman Hodes" w:hint="cs"/>
          <w:rtl/>
        </w:rPr>
        <w:t>עב.)</w:t>
      </w:r>
      <w:r>
        <w:rPr>
          <w:rFonts w:hint="cs"/>
          <w:rtl/>
        </w:rPr>
        <w:t xml:space="preserve"> דהפסולים יתבטלו ברוב, ותירצה דבע"ח חשיבי ולא בטלי, ושוב מקשה הגמ' דימשוך אחת מהם ונאמר דכל דפריש מרובא פריש, ומוכח דדין הלך אחר הרוב, אינו אותו הדין דביטול ברוב, ומוכח דדין ביטול ברוב אינו אותו הדין דהלך אחר הרוב.</w:t>
      </w:r>
    </w:p>
    <w:p w:rsidR="00D45705" w:rsidRPr="00835482" w:rsidRDefault="00D45705" w:rsidP="00D45705">
      <w:pPr>
        <w:pStyle w:val="a2"/>
      </w:pPr>
      <w:bookmarkStart w:id="12778" w:name="_Toc23663940"/>
      <w:bookmarkStart w:id="12779" w:name="_Toc23672593"/>
      <w:bookmarkStart w:id="12780" w:name="_Toc23673157"/>
      <w:r>
        <w:rPr>
          <w:rFonts w:hint="cs"/>
          <w:rtl/>
        </w:rPr>
        <w:t>קושית הקוב"ש על התורי"ד דבדבר חשוב של"מ ביטול ברוב ודאי דמהני הלך אחר הרוב</w:t>
      </w:r>
      <w:bookmarkEnd w:id="12778"/>
      <w:bookmarkEnd w:id="12779"/>
      <w:bookmarkEnd w:id="12780"/>
    </w:p>
    <w:p w:rsidR="00D45705" w:rsidRPr="001A18CF" w:rsidRDefault="00D45705" w:rsidP="009F44AF">
      <w:pPr>
        <w:pStyle w:val="a"/>
        <w:rPr>
          <w:rtl/>
        </w:rPr>
      </w:pPr>
      <w:r>
        <w:rPr>
          <w:rFonts w:hint="cs"/>
          <w:rtl/>
        </w:rPr>
        <w:t xml:space="preserve">ועוד הקשה </w:t>
      </w:r>
      <w:r w:rsidRPr="009019B0">
        <w:rPr>
          <w:rStyle w:val="af8"/>
          <w:rFonts w:hint="cs"/>
          <w:rtl/>
        </w:rPr>
        <w:t>הקוב"ש</w:t>
      </w:r>
      <w:r>
        <w:rPr>
          <w:rFonts w:hint="cs"/>
          <w:rtl/>
        </w:rPr>
        <w:t xml:space="preserve"> דהרי בדבר חשוב שלא מהני בו ביטול ברוב, ודאי דאמרינן בו הלך אחר הרוב, וא"כ האיך אפש"ל דדין ביטול ברוב אינו דין בפנ"ע, ומותר מדין הלך אחר הרוב. [ועי' במה שהקשה </w:t>
      </w:r>
      <w:r w:rsidRPr="00EE1ECF">
        <w:rPr>
          <w:rStyle w:val="af8"/>
          <w:rFonts w:hint="cs"/>
          <w:rtl/>
        </w:rPr>
        <w:t>בשיעורי רבי אלחנן</w:t>
      </w:r>
      <w:r>
        <w:rPr>
          <w:rFonts w:hint="cs"/>
          <w:rtl/>
        </w:rPr>
        <w:t xml:space="preserve"> </w:t>
      </w:r>
      <w:r w:rsidRPr="00D805D1">
        <w:rPr>
          <w:rStyle w:val="af6"/>
          <w:rFonts w:eastAsia="Guttman Hodes" w:hint="cs"/>
          <w:rtl/>
        </w:rPr>
        <w:t>(</w:t>
      </w:r>
      <w:r w:rsidRPr="00D76966">
        <w:rPr>
          <w:rStyle w:val="af6"/>
          <w:rFonts w:eastAsia="Guttman Hodes" w:hint="cs"/>
          <w:rtl/>
        </w:rPr>
        <w:t xml:space="preserve">חולין </w:t>
      </w:r>
      <w:r w:rsidRPr="008F33FD">
        <w:rPr>
          <w:rStyle w:val="af6"/>
          <w:rFonts w:eastAsia="Guttman Hodes" w:hint="cs"/>
          <w:rtl/>
        </w:rPr>
        <w:t xml:space="preserve">סי' י"ח, </w:t>
      </w:r>
      <w:r>
        <w:rPr>
          <w:rStyle w:val="af6"/>
          <w:rFonts w:eastAsia="Guttman Hodes" w:hint="cs"/>
          <w:rtl/>
        </w:rPr>
        <w:t>הובא בסימן י</w:t>
      </w:r>
      <w:r>
        <w:rPr>
          <w:rStyle w:val="af6"/>
          <w:rFonts w:eastAsia="Guttman Hodes"/>
          <w:rtl/>
        </w:rPr>
        <w:t>"</w:t>
      </w:r>
      <w:r>
        <w:rPr>
          <w:rStyle w:val="af6"/>
          <w:rFonts w:eastAsia="Guttman Hodes" w:hint="cs"/>
          <w:rtl/>
        </w:rPr>
        <w:t>ז אות קל"ד</w:t>
      </w:r>
      <w:r w:rsidRPr="00D805D1">
        <w:rPr>
          <w:rStyle w:val="af6"/>
          <w:rFonts w:eastAsia="Guttman Hodes" w:hint="cs"/>
          <w:rtl/>
        </w:rPr>
        <w:t xml:space="preserve">) </w:t>
      </w:r>
      <w:r>
        <w:rPr>
          <w:rFonts w:hint="cs"/>
          <w:rtl/>
        </w:rPr>
        <w:t xml:space="preserve">על </w:t>
      </w:r>
      <w:r w:rsidRPr="00EE1ECF">
        <w:rPr>
          <w:rStyle w:val="af8"/>
          <w:rFonts w:hint="cs"/>
          <w:rtl/>
        </w:rPr>
        <w:t>הרשב"א</w:t>
      </w:r>
      <w:r>
        <w:rPr>
          <w:rFonts w:hint="cs"/>
          <w:rtl/>
        </w:rPr>
        <w:t>].</w:t>
      </w:r>
      <w:bookmarkEnd w:id="12774"/>
    </w:p>
    <w:p w:rsidR="00D45705" w:rsidRDefault="00D45705" w:rsidP="00D45705">
      <w:pPr>
        <w:pStyle w:val="1"/>
        <w:rPr>
          <w:rtl/>
        </w:rPr>
      </w:pPr>
      <w:bookmarkStart w:id="12781" w:name="_Toc23372521"/>
      <w:bookmarkStart w:id="12782" w:name="_Toc23419210"/>
      <w:bookmarkStart w:id="12783" w:name="_Toc23499503"/>
      <w:bookmarkStart w:id="12784" w:name="_Toc23663941"/>
      <w:bookmarkStart w:id="12785" w:name="_Toc23672594"/>
      <w:bookmarkStart w:id="12786" w:name="_Toc23673158"/>
      <w:r>
        <w:rPr>
          <w:rFonts w:hint="cs"/>
          <w:rtl/>
        </w:rPr>
        <w:t>דברי הקוב"ש</w:t>
      </w:r>
      <w:bookmarkEnd w:id="12781"/>
      <w:bookmarkEnd w:id="12782"/>
      <w:bookmarkEnd w:id="12783"/>
      <w:bookmarkEnd w:id="12784"/>
      <w:r>
        <w:rPr>
          <w:rFonts w:hint="cs"/>
          <w:rtl/>
        </w:rPr>
        <w:t xml:space="preserve"> דביטול ברוב שייך רק כשיש הלך אחר הרוב</w:t>
      </w:r>
      <w:bookmarkEnd w:id="12785"/>
      <w:bookmarkEnd w:id="12786"/>
    </w:p>
    <w:p w:rsidR="00D45705" w:rsidRPr="002E7B33" w:rsidRDefault="00D45705" w:rsidP="00D45705">
      <w:pPr>
        <w:pStyle w:val="a2"/>
        <w:rPr>
          <w:rtl/>
        </w:rPr>
      </w:pPr>
      <w:bookmarkStart w:id="12787" w:name="_Toc23663942"/>
      <w:bookmarkStart w:id="12788" w:name="_Toc23672595"/>
      <w:bookmarkStart w:id="12789" w:name="_Toc23673159"/>
      <w:r>
        <w:rPr>
          <w:rFonts w:hint="cs"/>
          <w:rtl/>
        </w:rPr>
        <w:t>קושית הקוב"ש על התורא"ש דדין הלך אחר הרוב אינו אותו דין של ביטול ברוב</w:t>
      </w:r>
      <w:bookmarkEnd w:id="12787"/>
      <w:bookmarkEnd w:id="12788"/>
      <w:bookmarkEnd w:id="12789"/>
    </w:p>
    <w:p w:rsidR="00D45705" w:rsidRDefault="00D45705" w:rsidP="009F44AF">
      <w:pPr>
        <w:pStyle w:val="a"/>
      </w:pPr>
      <w:bookmarkStart w:id="12790" w:name="_Ref23624868"/>
      <w:r>
        <w:rPr>
          <w:rFonts w:hint="cs"/>
          <w:rtl/>
        </w:rPr>
        <w:t xml:space="preserve">הביא </w:t>
      </w:r>
      <w:r w:rsidRPr="00695663">
        <w:rPr>
          <w:rStyle w:val="af8"/>
          <w:rFonts w:hint="cs"/>
          <w:rtl/>
        </w:rPr>
        <w:t>הקוב"ש</w:t>
      </w:r>
      <w:r>
        <w:rPr>
          <w:rFonts w:hint="cs"/>
          <w:rtl/>
        </w:rPr>
        <w:t xml:space="preserve"> </w:t>
      </w:r>
      <w:r w:rsidRPr="007C6226">
        <w:rPr>
          <w:rStyle w:val="af6"/>
          <w:rFonts w:eastAsia="Guttman Hodes" w:hint="cs"/>
          <w:rtl/>
        </w:rPr>
        <w:t>(ח"ב קונ' דברי סופרים סי' ה' כ"ז)</w:t>
      </w:r>
      <w:r>
        <w:rPr>
          <w:rFonts w:hint="cs"/>
          <w:rtl/>
        </w:rPr>
        <w:t xml:space="preserve"> את דברי </w:t>
      </w:r>
      <w:r w:rsidRPr="006B74C2">
        <w:rPr>
          <w:rStyle w:val="af8"/>
          <w:rFonts w:hint="cs"/>
          <w:rtl/>
        </w:rPr>
        <w:t>התוס' בב"מ</w:t>
      </w:r>
      <w:r>
        <w:rPr>
          <w:rFonts w:hint="cs"/>
          <w:rtl/>
        </w:rPr>
        <w:t xml:space="preserve"> </w:t>
      </w:r>
      <w:r w:rsidRPr="007C6226">
        <w:rPr>
          <w:rStyle w:val="af6"/>
          <w:rFonts w:eastAsia="Guttman Hodes" w:hint="cs"/>
          <w:rtl/>
        </w:rPr>
        <w:t>(ו. ד"ה קפץ</w:t>
      </w:r>
      <w:r>
        <w:rPr>
          <w:rStyle w:val="af6"/>
          <w:rFonts w:eastAsia="Guttman Hodes" w:hint="cs"/>
          <w:rtl/>
        </w:rPr>
        <w:t>)</w:t>
      </w:r>
      <w:r>
        <w:rPr>
          <w:rFonts w:hint="cs"/>
          <w:rtl/>
        </w:rPr>
        <w:t xml:space="preserve"> בדין מעשר בהמה, דבקפץ אחד מן המנויים לתוך הדיר, כולם פטורים, והקשו התוס' דהמנוי יתבטל ברוב שאינם מנויים ויתחייבו כולם במעשר, </w:t>
      </w:r>
      <w:r w:rsidRPr="007C6226">
        <w:rPr>
          <w:rStyle w:val="afa"/>
          <w:rFonts w:hint="cs"/>
          <w:rtl/>
        </w:rPr>
        <w:t xml:space="preserve">[וכתבו </w:t>
      </w:r>
      <w:r w:rsidRPr="007C6226">
        <w:rPr>
          <w:rStyle w:val="affa"/>
          <w:rFonts w:hint="cs"/>
          <w:rtl/>
        </w:rPr>
        <w:t>התוס' בב"מ</w:t>
      </w:r>
      <w:r w:rsidRPr="007C6226">
        <w:rPr>
          <w:rStyle w:val="afa"/>
          <w:rFonts w:hint="cs"/>
          <w:rtl/>
        </w:rPr>
        <w:t xml:space="preserve"> דא"א לומר דבע"ח אינם בטלים, דמדאו' אף בע"ח בטלים],</w:t>
      </w:r>
      <w:r>
        <w:rPr>
          <w:rFonts w:hint="cs"/>
          <w:rtl/>
        </w:rPr>
        <w:t xml:space="preserve"> והביא </w:t>
      </w:r>
      <w:r w:rsidRPr="006B74C2">
        <w:rPr>
          <w:rStyle w:val="af8"/>
          <w:rFonts w:hint="cs"/>
          <w:rtl/>
        </w:rPr>
        <w:t>הקוב"ש</w:t>
      </w:r>
      <w:r>
        <w:rPr>
          <w:rFonts w:hint="cs"/>
          <w:rtl/>
        </w:rPr>
        <w:t xml:space="preserve"> את דברי </w:t>
      </w:r>
      <w:r w:rsidRPr="006B74C2">
        <w:rPr>
          <w:rStyle w:val="af8"/>
          <w:rFonts w:hint="cs"/>
          <w:rtl/>
        </w:rPr>
        <w:t>התוס' רא"ש בב"מ</w:t>
      </w:r>
      <w:r>
        <w:rPr>
          <w:rFonts w:hint="cs"/>
          <w:rtl/>
        </w:rPr>
        <w:t xml:space="preserve"> </w:t>
      </w:r>
      <w:r w:rsidRPr="007C6226">
        <w:rPr>
          <w:rStyle w:val="af6"/>
          <w:rFonts w:eastAsia="Guttman Hodes" w:hint="cs"/>
          <w:rtl/>
        </w:rPr>
        <w:t>(ו. ד"ה קפץ</w:t>
      </w:r>
      <w:r>
        <w:rPr>
          <w:rStyle w:val="af6"/>
          <w:rFonts w:eastAsia="Guttman Hodes" w:hint="cs"/>
          <w:rtl/>
        </w:rPr>
        <w:t>)</w:t>
      </w:r>
      <w:r>
        <w:rPr>
          <w:rFonts w:hint="cs"/>
          <w:rtl/>
        </w:rPr>
        <w:t xml:space="preserve"> דתירץ דכיון דבמעשר בהמה החיוב הוא רק בעשירי ודאי ולא בעשירי ספק, א"כ אף אי אמרינן כל דפריש מרובא פריש, מ"מ אינו נחשב עשירי ודאי, ורק באיסורין התירה התורה ספק, דכתיב אחרי רבים להטות והאיסור נהפך להיות היתר, אבל במעשר בהמה עדיין הוא לא יצא מכלל ספק עשירי, והקשה </w:t>
      </w:r>
      <w:r w:rsidRPr="006B74C2">
        <w:rPr>
          <w:rStyle w:val="af8"/>
          <w:rFonts w:hint="cs"/>
          <w:rtl/>
        </w:rPr>
        <w:t>הקוב"ש</w:t>
      </w:r>
      <w:r>
        <w:rPr>
          <w:rFonts w:hint="cs"/>
          <w:rtl/>
        </w:rPr>
        <w:t xml:space="preserve"> על </w:t>
      </w:r>
      <w:r w:rsidRPr="006B74C2">
        <w:rPr>
          <w:rStyle w:val="af8"/>
          <w:rFonts w:hint="cs"/>
          <w:rtl/>
        </w:rPr>
        <w:t>התוס' רא"ש</w:t>
      </w:r>
      <w:r>
        <w:rPr>
          <w:rFonts w:hint="cs"/>
          <w:rtl/>
        </w:rPr>
        <w:t xml:space="preserve"> בב"מ דהרי קושית </w:t>
      </w:r>
      <w:r w:rsidRPr="006B74C2">
        <w:rPr>
          <w:rStyle w:val="af8"/>
          <w:rFonts w:hint="cs"/>
          <w:rtl/>
        </w:rPr>
        <w:t>התוס' בב"מ</w:t>
      </w:r>
      <w:r>
        <w:rPr>
          <w:rFonts w:hint="cs"/>
          <w:rtl/>
        </w:rPr>
        <w:t xml:space="preserve"> היא דהמנוי יתבטל ברוב שאינם מנויים, וביטול ברוב הוא דין ודאי, ומה תירץ </w:t>
      </w:r>
      <w:r w:rsidRPr="006B74C2">
        <w:rPr>
          <w:rStyle w:val="af8"/>
          <w:rFonts w:hint="cs"/>
          <w:rtl/>
        </w:rPr>
        <w:t>התוס' הרא"ש</w:t>
      </w:r>
      <w:r>
        <w:rPr>
          <w:rFonts w:hint="cs"/>
          <w:rtl/>
        </w:rPr>
        <w:t xml:space="preserve"> דבדין הלך אחר הרוב, אינו דין ודאי. </w:t>
      </w:r>
      <w:r w:rsidRPr="00E53C87">
        <w:rPr>
          <w:rStyle w:val="afa"/>
          <w:rFonts w:hint="cs"/>
          <w:rtl/>
        </w:rPr>
        <w:t xml:space="preserve">[וע"ע בדברי </w:t>
      </w:r>
      <w:r w:rsidRPr="00E53C87">
        <w:rPr>
          <w:rStyle w:val="affa"/>
          <w:rFonts w:hint="cs"/>
          <w:rtl/>
        </w:rPr>
        <w:t>הריטב"א בב"מ</w:t>
      </w:r>
      <w:r>
        <w:rPr>
          <w:rFonts w:hint="cs"/>
          <w:rtl/>
        </w:rPr>
        <w:t xml:space="preserve"> </w:t>
      </w:r>
      <w:r w:rsidRPr="00E53C87">
        <w:rPr>
          <w:rStyle w:val="aff6"/>
          <w:rFonts w:hint="cs"/>
          <w:rtl/>
        </w:rPr>
        <w:t>(עי' הערה</w:t>
      </w:r>
      <w:r>
        <w:rPr>
          <w:rStyle w:val="af0"/>
          <w:rtl/>
        </w:rPr>
        <w:footnoteReference w:id="64"/>
      </w:r>
      <w:r w:rsidRPr="00E53C87">
        <w:rPr>
          <w:rStyle w:val="aff6"/>
          <w:rFonts w:hint="cs"/>
          <w:rtl/>
        </w:rPr>
        <w:t>)</w:t>
      </w:r>
      <w:r w:rsidRPr="00E53C87">
        <w:rPr>
          <w:rStyle w:val="afa"/>
          <w:rFonts w:hint="cs"/>
          <w:rtl/>
        </w:rPr>
        <w:t>].</w:t>
      </w:r>
      <w:bookmarkEnd w:id="12790"/>
    </w:p>
    <w:p w:rsidR="00D45705" w:rsidRDefault="00D45705" w:rsidP="00D45705">
      <w:pPr>
        <w:pStyle w:val="a2"/>
        <w:rPr>
          <w:rtl/>
        </w:rPr>
      </w:pPr>
      <w:bookmarkStart w:id="12791" w:name="_Toc23663943"/>
      <w:bookmarkStart w:id="12792" w:name="_Toc23672596"/>
      <w:bookmarkStart w:id="12793" w:name="_Toc23673160"/>
      <w:r>
        <w:rPr>
          <w:rFonts w:hint="cs"/>
          <w:rtl/>
        </w:rPr>
        <w:t>ביאור הקוב"ש בתורא"ש דביטול ברוב דהאיסור נהפך להיתר שייך רק כשיש דין הלך אחר הרוב</w:t>
      </w:r>
      <w:bookmarkEnd w:id="12791"/>
      <w:bookmarkEnd w:id="12792"/>
      <w:bookmarkEnd w:id="12793"/>
    </w:p>
    <w:p w:rsidR="00D45705" w:rsidRDefault="00D45705" w:rsidP="009F44AF">
      <w:pPr>
        <w:pStyle w:val="a"/>
        <w:rPr>
          <w:rtl/>
        </w:rPr>
      </w:pPr>
      <w:r>
        <w:rPr>
          <w:rFonts w:hint="cs"/>
          <w:rtl/>
        </w:rPr>
        <w:t xml:space="preserve">אלא כתב </w:t>
      </w:r>
      <w:r w:rsidRPr="006B74C2">
        <w:rPr>
          <w:rStyle w:val="af8"/>
          <w:rFonts w:hint="cs"/>
          <w:rtl/>
        </w:rPr>
        <w:t>הקוב"ש</w:t>
      </w:r>
      <w:r>
        <w:rPr>
          <w:rFonts w:hint="cs"/>
          <w:rtl/>
        </w:rPr>
        <w:t xml:space="preserve"> </w:t>
      </w:r>
      <w:r w:rsidRPr="007C6226">
        <w:rPr>
          <w:rStyle w:val="af6"/>
          <w:rFonts w:eastAsia="Guttman Hodes"/>
          <w:rtl/>
        </w:rPr>
        <w:t>(ח"ב קונ' דברי סופרים סי' ה' כ"</w:t>
      </w:r>
      <w:r w:rsidRPr="007C6226">
        <w:rPr>
          <w:rStyle w:val="af6"/>
          <w:rFonts w:eastAsia="Guttman Hodes" w:hint="cs"/>
          <w:rtl/>
        </w:rPr>
        <w:t>ח</w:t>
      </w:r>
      <w:r w:rsidRPr="007C6226">
        <w:rPr>
          <w:rStyle w:val="af6"/>
          <w:rFonts w:eastAsia="Guttman Hodes"/>
          <w:rtl/>
        </w:rPr>
        <w:t>)</w:t>
      </w:r>
      <w:r w:rsidRPr="00CF7470">
        <w:rPr>
          <w:rtl/>
        </w:rPr>
        <w:t xml:space="preserve"> </w:t>
      </w:r>
      <w:r>
        <w:rPr>
          <w:rFonts w:hint="cs"/>
          <w:rtl/>
        </w:rPr>
        <w:t xml:space="preserve">דמבואר מדברי </w:t>
      </w:r>
      <w:r w:rsidRPr="006B74C2">
        <w:rPr>
          <w:rStyle w:val="af8"/>
          <w:rFonts w:hint="cs"/>
          <w:rtl/>
        </w:rPr>
        <w:t>התוס' הרא"ש בב"מ</w:t>
      </w:r>
      <w:r>
        <w:rPr>
          <w:rFonts w:hint="cs"/>
          <w:rtl/>
        </w:rPr>
        <w:t xml:space="preserve"> דכל דין ביטול ברוב, דהמיעוט הוא כמי שאינו ומתהפך להיתר, נאמר דוקא במקום שיש דין הלך אחר הרוב, וכדביאר </w:t>
      </w:r>
      <w:r w:rsidRPr="006B74C2">
        <w:rPr>
          <w:rStyle w:val="af8"/>
          <w:rFonts w:hint="cs"/>
          <w:rtl/>
        </w:rPr>
        <w:t>הקוב"ש</w:t>
      </w:r>
      <w:r>
        <w:rPr>
          <w:rFonts w:hint="cs"/>
          <w:rtl/>
        </w:rPr>
        <w:t xml:space="preserve"> </w:t>
      </w:r>
      <w:r w:rsidRPr="0098449D">
        <w:rPr>
          <w:rStyle w:val="af6"/>
          <w:rFonts w:eastAsia="Guttman Hodes" w:hint="cs"/>
          <w:rtl/>
        </w:rPr>
        <w:t>(עי' בהערה</w:t>
      </w:r>
      <w:r>
        <w:rPr>
          <w:rStyle w:val="af0"/>
          <w:rtl/>
        </w:rPr>
        <w:footnoteReference w:id="65"/>
      </w:r>
      <w:r w:rsidRPr="0098449D">
        <w:rPr>
          <w:rStyle w:val="af6"/>
          <w:rFonts w:eastAsia="Guttman Hodes" w:hint="cs"/>
          <w:rtl/>
        </w:rPr>
        <w:t>)</w:t>
      </w:r>
      <w:r>
        <w:rPr>
          <w:rFonts w:hint="cs"/>
          <w:rtl/>
        </w:rPr>
        <w:t xml:space="preserve"> דכל הדין רוב בדיינים דהמיעוט נחשב כמי שאינו, הוא שייך רק כיון שיש דין הלך אחר הרוב, וה"ה בביטול ברוב, דאף שההיתר בביטול ברוב הוא היתר בפנ"ע דהאיסור מתהפך להיתר, ואינו מדין הלך אחר הרוב דאמרינן על כל חתיכה שהיא מהמיעוט, מ"מ רק במקום שיש דין הלך אחר הרוב, אם היה האיסור ניכר, בכה"ג יש דין ביטול ברוב כשהאיסור אינו ניכר, ובזה ביאר </w:t>
      </w:r>
      <w:r w:rsidRPr="009B19E7">
        <w:rPr>
          <w:rStyle w:val="af8"/>
          <w:rFonts w:hint="cs"/>
          <w:rtl/>
        </w:rPr>
        <w:t>הקוב"ש</w:t>
      </w:r>
      <w:r>
        <w:rPr>
          <w:rFonts w:hint="cs"/>
          <w:rtl/>
        </w:rPr>
        <w:t xml:space="preserve"> את דברי </w:t>
      </w:r>
      <w:r w:rsidRPr="009B19E7">
        <w:rPr>
          <w:rStyle w:val="af8"/>
          <w:rFonts w:hint="cs"/>
          <w:rtl/>
        </w:rPr>
        <w:t>התוס' הרא"ש בב"מ</w:t>
      </w:r>
      <w:r>
        <w:rPr>
          <w:rFonts w:hint="cs"/>
          <w:rtl/>
        </w:rPr>
        <w:t xml:space="preserve"> דבמעשר בהמה שאין בו דין הלך אחר הרוב, כיון שכל בהמה ניכרת בפנ"ע, ממילא לא שייך דין ביטול ברוב, וע"ע במה שביאר </w:t>
      </w:r>
      <w:r w:rsidRPr="000E18C9">
        <w:rPr>
          <w:rStyle w:val="af8"/>
          <w:rFonts w:hint="cs"/>
          <w:rtl/>
        </w:rPr>
        <w:t>השער"י</w:t>
      </w:r>
      <w:r>
        <w:rPr>
          <w:rFonts w:hint="cs"/>
          <w:rtl/>
        </w:rPr>
        <w:t xml:space="preserve"> </w:t>
      </w:r>
      <w:r w:rsidRPr="000E18C9">
        <w:rPr>
          <w:rStyle w:val="af6"/>
          <w:rFonts w:eastAsia="Guttman Hodes" w:hint="cs"/>
          <w:rtl/>
        </w:rPr>
        <w:t>(ש"ג פ"ד ד"ה ולכן נראה)</w:t>
      </w:r>
      <w:r>
        <w:rPr>
          <w:rFonts w:hint="cs"/>
          <w:rtl/>
        </w:rPr>
        <w:t xml:space="preserve"> בדברי</w:t>
      </w:r>
      <w:r w:rsidRPr="000E18C9">
        <w:rPr>
          <w:rStyle w:val="af8"/>
          <w:rFonts w:hint="cs"/>
          <w:rtl/>
        </w:rPr>
        <w:t xml:space="preserve"> התוס' הרא"ש בב"מ</w:t>
      </w:r>
      <w:r>
        <w:rPr>
          <w:rFonts w:hint="cs"/>
          <w:rtl/>
        </w:rPr>
        <w:t xml:space="preserve">, וע"ע במ"ש </w:t>
      </w:r>
      <w:r w:rsidRPr="001A3C12">
        <w:rPr>
          <w:rStyle w:val="af8"/>
          <w:rFonts w:hint="cs"/>
          <w:rtl/>
        </w:rPr>
        <w:t xml:space="preserve">השער"י </w:t>
      </w:r>
      <w:r w:rsidRPr="001A3C12">
        <w:rPr>
          <w:rStyle w:val="af6"/>
          <w:rFonts w:eastAsia="Guttman Hodes" w:hint="cs"/>
          <w:rtl/>
        </w:rPr>
        <w:t>(</w:t>
      </w:r>
      <w:r>
        <w:rPr>
          <w:rStyle w:val="af6"/>
          <w:rFonts w:eastAsia="Guttman Hodes" w:hint="cs"/>
          <w:rtl/>
        </w:rPr>
        <w:t>ש"ג פ"ט, הובא בסימן י</w:t>
      </w:r>
      <w:r>
        <w:rPr>
          <w:rStyle w:val="af6"/>
          <w:rFonts w:eastAsia="Guttman Hodes"/>
          <w:rtl/>
        </w:rPr>
        <w:t>"</w:t>
      </w:r>
      <w:r>
        <w:rPr>
          <w:rStyle w:val="af6"/>
          <w:rFonts w:eastAsia="Guttman Hodes" w:hint="cs"/>
          <w:rtl/>
        </w:rPr>
        <w:t>ז אות ק"י</w:t>
      </w:r>
      <w:r w:rsidRPr="001A3C12">
        <w:rPr>
          <w:rStyle w:val="af6"/>
          <w:rFonts w:eastAsia="Guttman Hodes" w:hint="cs"/>
          <w:rtl/>
        </w:rPr>
        <w:t xml:space="preserve">) </w:t>
      </w:r>
      <w:r w:rsidRPr="001A3C12">
        <w:rPr>
          <w:rStyle w:val="af8"/>
          <w:rFonts w:hint="cs"/>
          <w:rtl/>
        </w:rPr>
        <w:t>והמשנת ר"א</w:t>
      </w:r>
      <w:r>
        <w:rPr>
          <w:rStyle w:val="af6"/>
          <w:rFonts w:eastAsia="Guttman Hodes" w:hint="cs"/>
          <w:rtl/>
        </w:rPr>
        <w:t xml:space="preserve"> (סי ז' אות א' ד"ה והנה בשו"ע, הובא בסימן י</w:t>
      </w:r>
      <w:r>
        <w:rPr>
          <w:rStyle w:val="af6"/>
          <w:rFonts w:eastAsia="Guttman Hodes"/>
          <w:rtl/>
        </w:rPr>
        <w:t>"</w:t>
      </w:r>
      <w:r>
        <w:rPr>
          <w:rStyle w:val="af6"/>
          <w:rFonts w:eastAsia="Guttman Hodes" w:hint="cs"/>
          <w:rtl/>
        </w:rPr>
        <w:t>ז אות צ"ו)</w:t>
      </w:r>
      <w:r>
        <w:rPr>
          <w:rFonts w:hint="cs"/>
          <w:rtl/>
        </w:rPr>
        <w:t>.</w:t>
      </w:r>
      <w:bookmarkEnd w:id="12669"/>
      <w:bookmarkEnd w:id="12757"/>
      <w:bookmarkEnd w:id="12758"/>
    </w:p>
    <w:p w:rsidR="00D45705" w:rsidRPr="001A19DD" w:rsidRDefault="00D45705" w:rsidP="009F44AF">
      <w:pPr>
        <w:pStyle w:val="a"/>
        <w:numPr>
          <w:ilvl w:val="0"/>
          <w:numId w:val="0"/>
        </w:numPr>
        <w:rPr>
          <w:rtl/>
        </w:rPr>
        <w:sectPr w:rsidR="00D45705" w:rsidRPr="001A19DD" w:rsidSect="005049E2">
          <w:type w:val="continuous"/>
          <w:pgSz w:w="11906" w:h="16838"/>
          <w:pgMar w:top="720" w:right="720" w:bottom="720" w:left="720" w:header="283" w:footer="283" w:gutter="0"/>
          <w:cols w:num="2" w:space="567"/>
          <w:titlePg/>
          <w:bidi/>
          <w:rtlGutter/>
          <w:docGrid w:linePitch="299"/>
        </w:sectPr>
      </w:pPr>
    </w:p>
    <w:p w:rsidR="00D45705" w:rsidRDefault="00D45705" w:rsidP="00D45705">
      <w:pPr>
        <w:tabs>
          <w:tab w:val="left" w:pos="1163"/>
        </w:tabs>
        <w:spacing w:after="120" w:line="240" w:lineRule="auto"/>
        <w:ind w:left="0"/>
        <w:rPr>
          <w:rFonts w:ascii="Guttman Hodes" w:eastAsia="Guttman Hodes" w:hAnsi="Guttman Hodes" w:cs="Guttman Hodes"/>
          <w:noProof/>
          <w:sz w:val="18"/>
          <w:szCs w:val="18"/>
        </w:rPr>
        <w:sectPr w:rsidR="00D45705" w:rsidSect="00D45705">
          <w:type w:val="continuous"/>
          <w:pgSz w:w="11906" w:h="16838"/>
          <w:pgMar w:top="720" w:right="720" w:bottom="720" w:left="720" w:header="283" w:footer="283" w:gutter="0"/>
          <w:cols w:space="567"/>
          <w:bidi/>
          <w:rtlGutter/>
          <w:docGrid w:linePitch="299"/>
        </w:sectPr>
      </w:pPr>
    </w:p>
    <w:p w:rsidR="00F65CF8" w:rsidRDefault="00F65CF8" w:rsidP="0028438A">
      <w:pPr>
        <w:spacing w:before="120"/>
        <w:ind w:left="0"/>
        <w:jc w:val="center"/>
        <w:outlineLvl w:val="1"/>
        <w:rPr>
          <w:rFonts w:ascii="Guttman Adii-Light" w:eastAsia="Guttman Adii-Light" w:hAnsi="Guttman Adii-Light" w:cs="Guttman Hodes"/>
          <w:bCs/>
          <w:sz w:val="20"/>
          <w:szCs w:val="24"/>
          <w:rtl/>
        </w:rPr>
        <w:sectPr w:rsidR="00F65CF8" w:rsidSect="0028438A">
          <w:type w:val="continuous"/>
          <w:pgSz w:w="11906" w:h="16838"/>
          <w:pgMar w:top="720" w:right="720" w:bottom="720" w:left="720" w:header="283" w:footer="283" w:gutter="0"/>
          <w:cols w:space="720"/>
          <w:bidi/>
          <w:rtlGutter/>
        </w:sectPr>
      </w:pPr>
    </w:p>
    <w:p w:rsidR="00B90637" w:rsidRDefault="00F6039C" w:rsidP="005B1A17">
      <w:pPr>
        <w:pStyle w:val="afc"/>
        <w:rPr>
          <w:rtl/>
        </w:rPr>
      </w:pPr>
      <w:r>
        <w:rPr>
          <w:rFonts w:hint="cs"/>
          <w:rtl/>
        </w:rPr>
        <w:lastRenderedPageBreak/>
        <w:t>סימן י"</w:t>
      </w:r>
      <w:r w:rsidR="00B90637">
        <w:rPr>
          <w:rFonts w:hint="cs"/>
          <w:rtl/>
        </w:rPr>
        <w:t>ז</w:t>
      </w:r>
    </w:p>
    <w:p w:rsidR="00B90637" w:rsidRDefault="00B90637" w:rsidP="005B1A17">
      <w:pPr>
        <w:pStyle w:val="afc"/>
        <w:rPr>
          <w:rtl/>
        </w:rPr>
      </w:pPr>
      <w:r w:rsidRPr="00043E3E">
        <w:rPr>
          <w:rtl/>
        </w:rPr>
        <w:t>סוגית ביטול יבש ביבש (</w:t>
      </w:r>
      <w:r>
        <w:rPr>
          <w:rFonts w:hint="cs"/>
          <w:rtl/>
        </w:rPr>
        <w:t>ב</w:t>
      </w:r>
      <w:r w:rsidRPr="00043E3E">
        <w:rPr>
          <w:rtl/>
        </w:rPr>
        <w:t xml:space="preserve">') </w:t>
      </w:r>
    </w:p>
    <w:p w:rsidR="00B90637" w:rsidRPr="00FB6B44" w:rsidRDefault="00B90637" w:rsidP="005B1A17">
      <w:pPr>
        <w:pStyle w:val="afc"/>
        <w:rPr>
          <w:rtl/>
        </w:rPr>
      </w:pPr>
      <w:r w:rsidRPr="00B90637">
        <w:rPr>
          <w:rtl/>
        </w:rPr>
        <w:t>בפלוגתת הראשונים באופני היתר אכילת התערובת בביטול ברוב</w:t>
      </w:r>
    </w:p>
    <w:p w:rsidR="00B90637" w:rsidRDefault="00B90637" w:rsidP="00B90637">
      <w:pPr>
        <w:pStyle w:val="2"/>
        <w:rPr>
          <w:noProof/>
          <w:rtl/>
        </w:rPr>
      </w:pPr>
      <w:r>
        <w:rPr>
          <w:rFonts w:hint="cs"/>
          <w:noProof/>
          <w:rtl/>
        </w:rPr>
        <w:t>מפתח הסוגיא</w:t>
      </w:r>
    </w:p>
    <w:p w:rsidR="00B90637" w:rsidRDefault="00B90637" w:rsidP="00B90637">
      <w:pPr>
        <w:pStyle w:val="2"/>
        <w:rPr>
          <w:rtl/>
        </w:rPr>
        <w:sectPr w:rsidR="00B90637" w:rsidSect="006C2032">
          <w:headerReference w:type="default" r:id="rId94"/>
          <w:headerReference w:type="first" r:id="rId95"/>
          <w:footerReference w:type="first" r:id="rId96"/>
          <w:pgSz w:w="11906" w:h="16838"/>
          <w:pgMar w:top="720" w:right="720" w:bottom="720" w:left="720" w:header="283" w:footer="283" w:gutter="0"/>
          <w:cols w:space="113"/>
          <w:bidi/>
          <w:rtlGutter/>
          <w:docGrid w:linePitch="299"/>
        </w:sectPr>
      </w:pPr>
    </w:p>
    <w:p w:rsidR="0028438A" w:rsidRDefault="0028438A" w:rsidP="0028438A">
      <w:pPr>
        <w:pStyle w:val="2"/>
        <w:rPr>
          <w:rFonts w:ascii="FrankRuehl" w:eastAsiaTheme="minorEastAsia" w:hAnsi="FrankRuehl" w:cstheme="minorBidi"/>
          <w:b/>
          <w:bCs/>
          <w:i/>
          <w:iCs/>
          <w:noProof/>
          <w:sz w:val="22"/>
          <w:szCs w:val="22"/>
          <w:rtl/>
        </w:rPr>
      </w:pPr>
      <w:r>
        <w:rPr>
          <w:rtl/>
        </w:rPr>
        <w:fldChar w:fldCharType="begin"/>
      </w:r>
      <w:r>
        <w:rPr>
          <w:rFonts w:hint="cs"/>
          <w:rtl/>
        </w:rPr>
        <w:instrText xml:space="preserve"> </w:instrText>
      </w:r>
      <w:r>
        <w:instrText>TOC</w:instrText>
      </w:r>
      <w:r>
        <w:rPr>
          <w:rFonts w:hint="cs"/>
          <w:rtl/>
        </w:rPr>
        <w:instrText xml:space="preserve"> \</w:instrText>
      </w:r>
      <w:r>
        <w:instrText>o "1-9" \n \p " " \z \t</w:instrText>
      </w:r>
      <w:r>
        <w:rPr>
          <w:rFonts w:hint="cs"/>
          <w:rtl/>
        </w:rPr>
        <w:instrText xml:space="preserve"> "כותרת 1,2,כות קט,3,כות מקטע,1" </w:instrText>
      </w:r>
      <w:r>
        <w:rPr>
          <w:rtl/>
        </w:rPr>
        <w:fldChar w:fldCharType="separate"/>
      </w:r>
      <w:r>
        <w:rPr>
          <w:rFonts w:hint="cs"/>
          <w:rtl/>
        </w:rPr>
        <w:t>מראי מקומות וביאורים</w:t>
      </w:r>
    </w:p>
    <w:p w:rsidR="0028438A" w:rsidRDefault="0028438A" w:rsidP="0028438A">
      <w:pPr>
        <w:pStyle w:val="2"/>
        <w:rPr>
          <w:rFonts w:eastAsiaTheme="minorEastAsia" w:cstheme="minorBidi"/>
          <w:i/>
          <w:iCs/>
          <w:sz w:val="22"/>
          <w:szCs w:val="22"/>
          <w:rtl/>
        </w:rPr>
      </w:pPr>
      <w:r>
        <w:rPr>
          <w:rFonts w:hint="cs"/>
          <w:rtl/>
        </w:rPr>
        <w:t>דעות הראשונים בהיתר התערובת ביבש</w:t>
      </w:r>
    </w:p>
    <w:p w:rsidR="0028438A" w:rsidRDefault="0028438A" w:rsidP="0028438A">
      <w:pPr>
        <w:pStyle w:val="aff4"/>
        <w:rPr>
          <w:rFonts w:eastAsiaTheme="minorEastAsia" w:cstheme="minorBidi"/>
          <w:sz w:val="22"/>
          <w:szCs w:val="22"/>
          <w:rtl/>
        </w:rPr>
      </w:pPr>
      <w:r>
        <w:rPr>
          <w:rFonts w:hint="cs"/>
          <w:rtl/>
        </w:rPr>
        <w:t>פלוגתת הראשונים אי נהפך להיתר או דיש אופנים שאסור</w:t>
      </w:r>
    </w:p>
    <w:p w:rsidR="0028438A" w:rsidRDefault="0028438A" w:rsidP="001B56A8">
      <w:pPr>
        <w:pStyle w:val="aff2"/>
        <w:numPr>
          <w:ilvl w:val="0"/>
          <w:numId w:val="33"/>
        </w:numPr>
        <w:rPr>
          <w:rFonts w:eastAsiaTheme="minorEastAsia" w:cstheme="minorBidi"/>
          <w:sz w:val="22"/>
          <w:szCs w:val="22"/>
        </w:rPr>
      </w:pPr>
      <w:r>
        <w:rPr>
          <w:rFonts w:hint="cs"/>
          <w:rtl/>
        </w:rPr>
        <w:t>דעת הרא"ש דהאיסור נהפך להיתר והתערובת מותרת בכל האופנים ואף אם חזר ובישלה</w:t>
      </w:r>
    </w:p>
    <w:p w:rsidR="0028438A" w:rsidRDefault="0028438A" w:rsidP="001B56A8">
      <w:pPr>
        <w:pStyle w:val="aff2"/>
        <w:numPr>
          <w:ilvl w:val="0"/>
          <w:numId w:val="33"/>
        </w:numPr>
        <w:rPr>
          <w:rFonts w:eastAsiaTheme="minorEastAsia" w:cstheme="minorBidi"/>
          <w:sz w:val="22"/>
          <w:szCs w:val="22"/>
          <w:rtl/>
        </w:rPr>
      </w:pPr>
      <w:r>
        <w:rPr>
          <w:rFonts w:hint="cs"/>
          <w:rtl/>
        </w:rPr>
        <w:t>דעות רש"י ותוס' והרשב"א והתוס' רי"ד דהיתר התערובת שהבטלה ברוב אינו בכל האופנים</w:t>
      </w:r>
    </w:p>
    <w:p w:rsidR="0028438A" w:rsidRDefault="0028438A" w:rsidP="0028438A">
      <w:pPr>
        <w:pStyle w:val="2"/>
        <w:rPr>
          <w:rFonts w:eastAsiaTheme="minorEastAsia" w:cstheme="minorBidi"/>
          <w:i/>
          <w:iCs/>
          <w:sz w:val="22"/>
          <w:szCs w:val="22"/>
          <w:rtl/>
        </w:rPr>
      </w:pPr>
      <w:r>
        <w:rPr>
          <w:rFonts w:hint="cs"/>
          <w:rtl/>
        </w:rPr>
        <w:t>דעת רש"י בע"ז דמשליך חתיכה אחת</w:t>
      </w:r>
    </w:p>
    <w:p w:rsidR="0028438A" w:rsidRDefault="0028438A" w:rsidP="0028438A">
      <w:pPr>
        <w:pStyle w:val="aff4"/>
        <w:rPr>
          <w:rFonts w:eastAsiaTheme="minorEastAsia" w:cstheme="minorBidi"/>
          <w:i/>
          <w:iCs/>
          <w:noProof/>
          <w:sz w:val="22"/>
          <w:szCs w:val="22"/>
          <w:rtl/>
        </w:rPr>
      </w:pPr>
      <w:r>
        <w:rPr>
          <w:rFonts w:hint="cs"/>
          <w:noProof/>
          <w:rtl/>
        </w:rPr>
        <w:t>דברי רש"י דחתיכת נבילה שבטלה ברוב צריך להשליך אחת</w:t>
      </w:r>
    </w:p>
    <w:p w:rsidR="0028438A" w:rsidRDefault="0028438A" w:rsidP="001B56A8">
      <w:pPr>
        <w:pStyle w:val="aff2"/>
        <w:numPr>
          <w:ilvl w:val="0"/>
          <w:numId w:val="33"/>
        </w:numPr>
        <w:rPr>
          <w:rFonts w:eastAsiaTheme="minorEastAsia" w:cstheme="minorBidi"/>
          <w:noProof/>
          <w:sz w:val="22"/>
          <w:szCs w:val="22"/>
          <w:rtl/>
        </w:rPr>
      </w:pPr>
      <w:r>
        <w:rPr>
          <w:rFonts w:hint="cs"/>
          <w:rtl/>
        </w:rPr>
        <w:t>דברי רש"י בע"ז ור"ת דחתיכת נבילה שבטלה ברוב משליך אחת לכלבים והשאר מותרות</w:t>
      </w:r>
    </w:p>
    <w:p w:rsidR="0028438A" w:rsidRDefault="0028438A" w:rsidP="001B56A8">
      <w:pPr>
        <w:pStyle w:val="aff2"/>
        <w:numPr>
          <w:ilvl w:val="0"/>
          <w:numId w:val="33"/>
        </w:numPr>
        <w:rPr>
          <w:rFonts w:eastAsiaTheme="minorEastAsia" w:cstheme="minorBidi"/>
          <w:sz w:val="22"/>
          <w:szCs w:val="22"/>
          <w:rtl/>
        </w:rPr>
      </w:pPr>
      <w:r>
        <w:rPr>
          <w:rFonts w:hint="cs"/>
          <w:rtl/>
        </w:rPr>
        <w:t>קושית הראשונים על רש"י דרק בגזל השבט צריך להרים אחד אבל בביטול ברוב הכל מותר</w:t>
      </w:r>
    </w:p>
    <w:p w:rsidR="0028438A" w:rsidRDefault="0028438A" w:rsidP="001B56A8">
      <w:pPr>
        <w:pStyle w:val="aff2"/>
        <w:numPr>
          <w:ilvl w:val="0"/>
          <w:numId w:val="33"/>
        </w:numPr>
        <w:rPr>
          <w:rFonts w:eastAsiaTheme="minorEastAsia" w:cstheme="minorBidi"/>
          <w:sz w:val="22"/>
          <w:szCs w:val="22"/>
          <w:rtl/>
        </w:rPr>
      </w:pPr>
      <w:r>
        <w:rPr>
          <w:rFonts w:hint="cs"/>
          <w:rtl/>
        </w:rPr>
        <w:t>תירוץ המרדכי דבלח שאינו אוכל כ"א בפנ"ע מותר וביבש שאוכל את האיסור לבדו משליך א'</w:t>
      </w:r>
    </w:p>
    <w:p w:rsidR="0028438A" w:rsidRDefault="0028438A" w:rsidP="0028438A">
      <w:pPr>
        <w:pStyle w:val="aff4"/>
        <w:rPr>
          <w:rFonts w:eastAsiaTheme="minorEastAsia" w:cstheme="minorBidi"/>
          <w:i/>
          <w:iCs/>
          <w:noProof/>
          <w:sz w:val="22"/>
          <w:szCs w:val="22"/>
          <w:rtl/>
        </w:rPr>
      </w:pPr>
      <w:r>
        <w:rPr>
          <w:rFonts w:hint="cs"/>
          <w:noProof/>
          <w:rtl/>
        </w:rPr>
        <w:t>ביאור היד יהודה ברש"י דביבש שהאיסור בפנ"ע צריך להשליך</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היד יהודה דביבש שהוא בפנ"ע ויכול לומר שהשליכו צריך להשליך ולא באיסור מעורב</w:t>
      </w:r>
    </w:p>
    <w:p w:rsidR="0028438A" w:rsidRDefault="0028438A" w:rsidP="001B56A8">
      <w:pPr>
        <w:pStyle w:val="aff2"/>
        <w:numPr>
          <w:ilvl w:val="0"/>
          <w:numId w:val="33"/>
        </w:numPr>
        <w:rPr>
          <w:rFonts w:eastAsiaTheme="minorEastAsia" w:cstheme="minorBidi"/>
          <w:sz w:val="22"/>
          <w:szCs w:val="22"/>
          <w:rtl/>
        </w:rPr>
      </w:pPr>
      <w:r>
        <w:rPr>
          <w:rFonts w:hint="cs"/>
          <w:rtl/>
        </w:rPr>
        <w:t>דברי היד יהודה דברש"י בבכורות מוכח דבלח בלח רק מחמת ממון השבט צריך לתת אחת</w:t>
      </w:r>
    </w:p>
    <w:p w:rsidR="0028438A" w:rsidRDefault="0028438A" w:rsidP="001B56A8">
      <w:pPr>
        <w:pStyle w:val="aff2"/>
        <w:numPr>
          <w:ilvl w:val="0"/>
          <w:numId w:val="33"/>
        </w:numPr>
        <w:rPr>
          <w:rFonts w:eastAsiaTheme="minorEastAsia" w:cstheme="minorBidi"/>
          <w:sz w:val="22"/>
          <w:szCs w:val="22"/>
          <w:rtl/>
        </w:rPr>
      </w:pPr>
      <w:r>
        <w:rPr>
          <w:rFonts w:hint="cs"/>
          <w:rtl/>
        </w:rPr>
        <w:t>דברי היד יהודה דלרש"י אסור לבשל יחד ויל"ע בעבר ובישל אם מותר או שצריך שישים</w:t>
      </w:r>
    </w:p>
    <w:p w:rsidR="0028438A" w:rsidRDefault="0028438A" w:rsidP="0028438A">
      <w:pPr>
        <w:pStyle w:val="2"/>
        <w:rPr>
          <w:rFonts w:eastAsiaTheme="minorEastAsia" w:cstheme="minorBidi"/>
          <w:i/>
          <w:iCs/>
          <w:sz w:val="22"/>
          <w:szCs w:val="22"/>
          <w:rtl/>
        </w:rPr>
      </w:pPr>
      <w:r>
        <w:rPr>
          <w:rFonts w:hint="cs"/>
          <w:rtl/>
        </w:rPr>
        <w:t>דעת התוס' והסמ"ג דאסור לאדם אחד</w:t>
      </w:r>
    </w:p>
    <w:p w:rsidR="0028438A" w:rsidRDefault="0028438A" w:rsidP="0028438A">
      <w:pPr>
        <w:pStyle w:val="aff4"/>
        <w:rPr>
          <w:rFonts w:eastAsiaTheme="minorEastAsia" w:cstheme="minorBidi"/>
          <w:i/>
          <w:iCs/>
          <w:noProof/>
          <w:sz w:val="22"/>
          <w:szCs w:val="22"/>
          <w:rtl/>
        </w:rPr>
      </w:pPr>
      <w:r>
        <w:rPr>
          <w:rFonts w:hint="cs"/>
          <w:noProof/>
          <w:rtl/>
        </w:rPr>
        <w:t>דברי התוס' דאפש"ל דלאדם אחד אסור לאכול את כל החתיכות</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התוס' דאף דמהני ביטול בחד בתרי מ"מ שמא אסור לאדם אחד לאכול את כל התערובת</w:t>
      </w:r>
    </w:p>
    <w:p w:rsidR="0028438A" w:rsidRDefault="0028438A" w:rsidP="001B56A8">
      <w:pPr>
        <w:pStyle w:val="aff2"/>
        <w:numPr>
          <w:ilvl w:val="0"/>
          <w:numId w:val="33"/>
        </w:numPr>
        <w:rPr>
          <w:rFonts w:eastAsiaTheme="minorEastAsia" w:cstheme="minorBidi"/>
          <w:sz w:val="22"/>
          <w:szCs w:val="22"/>
          <w:rtl/>
        </w:rPr>
      </w:pPr>
      <w:r>
        <w:rPr>
          <w:rFonts w:hint="cs"/>
          <w:rtl/>
        </w:rPr>
        <w:t>דברי הסמ"ג דמדרבנן יבש ביבש מהני רק לב' בנ"א ולא לאדם אחד כיון שיש בה ודאי איסור</w:t>
      </w:r>
    </w:p>
    <w:p w:rsidR="0028438A" w:rsidRDefault="0028438A" w:rsidP="0028438A">
      <w:pPr>
        <w:pStyle w:val="aff4"/>
        <w:rPr>
          <w:rFonts w:eastAsiaTheme="minorEastAsia" w:cstheme="minorBidi"/>
          <w:i/>
          <w:iCs/>
          <w:noProof/>
          <w:sz w:val="22"/>
          <w:szCs w:val="22"/>
          <w:rtl/>
        </w:rPr>
      </w:pPr>
      <w:r>
        <w:rPr>
          <w:rFonts w:hint="cs"/>
          <w:noProof/>
          <w:rtl/>
        </w:rPr>
        <w:t>דעת הרא"ש ור"ת דמותר אף לאדם אחד לאכול את התערובת</w:t>
      </w:r>
    </w:p>
    <w:p w:rsidR="0028438A" w:rsidRDefault="0028438A" w:rsidP="001B56A8">
      <w:pPr>
        <w:pStyle w:val="aff2"/>
        <w:numPr>
          <w:ilvl w:val="0"/>
          <w:numId w:val="33"/>
        </w:numPr>
        <w:rPr>
          <w:rFonts w:eastAsiaTheme="minorEastAsia" w:cstheme="minorBidi"/>
          <w:noProof/>
          <w:sz w:val="22"/>
          <w:szCs w:val="22"/>
          <w:rtl/>
        </w:rPr>
      </w:pPr>
      <w:r>
        <w:rPr>
          <w:rFonts w:hint="cs"/>
          <w:rtl/>
        </w:rPr>
        <w:t>דעת הרא"ש ור"ת והרשב"א דמותר אף לאדם אחד לאכול את כל התערובת</w:t>
      </w:r>
    </w:p>
    <w:p w:rsidR="0028438A" w:rsidRDefault="0028438A" w:rsidP="001B56A8">
      <w:pPr>
        <w:pStyle w:val="aff2"/>
        <w:numPr>
          <w:ilvl w:val="0"/>
          <w:numId w:val="33"/>
        </w:numPr>
        <w:rPr>
          <w:rFonts w:eastAsiaTheme="minorEastAsia" w:cstheme="minorBidi"/>
          <w:sz w:val="22"/>
          <w:szCs w:val="22"/>
          <w:rtl/>
        </w:rPr>
      </w:pPr>
      <w:r>
        <w:rPr>
          <w:rFonts w:hint="cs"/>
          <w:rtl/>
        </w:rPr>
        <w:t>דברי הגר"א דבמשנה בתרומות מבואר כדברי התוס' דאסור לאדם אחד</w:t>
      </w:r>
    </w:p>
    <w:p w:rsidR="0028438A" w:rsidRDefault="0028438A" w:rsidP="001B56A8">
      <w:pPr>
        <w:pStyle w:val="aff2"/>
        <w:numPr>
          <w:ilvl w:val="0"/>
          <w:numId w:val="33"/>
        </w:numPr>
        <w:rPr>
          <w:rFonts w:eastAsiaTheme="minorEastAsia" w:cstheme="minorBidi"/>
          <w:sz w:val="22"/>
          <w:szCs w:val="22"/>
          <w:rtl/>
        </w:rPr>
      </w:pPr>
      <w:r>
        <w:rPr>
          <w:rFonts w:hint="cs"/>
          <w:rtl/>
        </w:rPr>
        <w:t>דברי הג' שערי דורא דלהסמ"ג דהאיסור אינו נהפך להיתר אם בישל אסור אף לב' בנ"א</w:t>
      </w:r>
    </w:p>
    <w:p w:rsidR="0028438A" w:rsidRDefault="0028438A" w:rsidP="0028438A">
      <w:pPr>
        <w:pStyle w:val="aff4"/>
        <w:rPr>
          <w:rFonts w:eastAsiaTheme="minorEastAsia" w:cstheme="minorBidi"/>
          <w:i/>
          <w:iCs/>
          <w:noProof/>
          <w:sz w:val="22"/>
          <w:szCs w:val="22"/>
          <w:rtl/>
        </w:rPr>
      </w:pPr>
      <w:r>
        <w:rPr>
          <w:rFonts w:hint="cs"/>
          <w:noProof/>
          <w:rtl/>
        </w:rPr>
        <w:t>ביאור היד יהודה בתוס' דכיון דבלח יאסר לא הותר לגמרי ביבש</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היד יהודה בתוס' דאם יבשל יאסר ולא הותר לגמרי ואסור לאדם א' לאכול ודאי איסור</w:t>
      </w:r>
    </w:p>
    <w:p w:rsidR="0028438A" w:rsidRDefault="0028438A" w:rsidP="001B56A8">
      <w:pPr>
        <w:pStyle w:val="aff2"/>
        <w:numPr>
          <w:ilvl w:val="0"/>
          <w:numId w:val="33"/>
        </w:numPr>
        <w:rPr>
          <w:rFonts w:eastAsiaTheme="minorEastAsia" w:cstheme="minorBidi"/>
          <w:sz w:val="22"/>
          <w:szCs w:val="22"/>
          <w:rtl/>
        </w:rPr>
      </w:pPr>
      <w:r>
        <w:rPr>
          <w:rFonts w:hint="cs"/>
          <w:rtl/>
        </w:rPr>
        <w:t>ביאור היד יהודה דלתוס' כיון שבלח יאסר לא הותר לגמרי ביבש ודלא כרא"ה שהותר ביבש</w:t>
      </w:r>
    </w:p>
    <w:p w:rsidR="0028438A" w:rsidRDefault="0028438A" w:rsidP="0028438A">
      <w:pPr>
        <w:pStyle w:val="aff4"/>
        <w:rPr>
          <w:rtl/>
        </w:rPr>
      </w:pPr>
      <w:r>
        <w:rPr>
          <w:rFonts w:hint="cs"/>
          <w:rtl/>
        </w:rPr>
        <w:t>ביאור הגרעק"א בתוס' דביבש חמור יותר דחשיב אפשר לברר</w:t>
      </w:r>
    </w:p>
    <w:p w:rsidR="0028438A" w:rsidRDefault="0028438A" w:rsidP="001B56A8">
      <w:pPr>
        <w:pStyle w:val="aff2"/>
        <w:numPr>
          <w:ilvl w:val="0"/>
          <w:numId w:val="33"/>
        </w:numPr>
        <w:rPr>
          <w:rtl/>
        </w:rPr>
      </w:pPr>
      <w:r>
        <w:rPr>
          <w:rFonts w:hint="cs"/>
          <w:rtl/>
        </w:rPr>
        <w:t>ביאור הגרעק"א בתוס' דביבש חשיב שאפשר לברר ולכן הוא חמור יותר מביטול בשישים</w:t>
      </w:r>
    </w:p>
    <w:p w:rsidR="0028438A" w:rsidRDefault="0028438A" w:rsidP="0028438A">
      <w:pPr>
        <w:pStyle w:val="aff4"/>
        <w:rPr>
          <w:rFonts w:eastAsiaTheme="minorEastAsia" w:cstheme="minorBidi"/>
          <w:i/>
          <w:iCs/>
          <w:noProof/>
          <w:sz w:val="22"/>
          <w:szCs w:val="22"/>
        </w:rPr>
      </w:pPr>
      <w:r>
        <w:rPr>
          <w:rFonts w:hint="cs"/>
          <w:noProof/>
          <w:rtl/>
        </w:rPr>
        <w:t>דעת המשל"מ דהתוס' אסרו לאדם אחד מדאו'</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המשל"מ דלתוס' דאוסר באדם אחד ה"ה דאסור לאכול טהרות של ב' שבילין</w:t>
      </w:r>
    </w:p>
    <w:p w:rsidR="0028438A" w:rsidRDefault="0028438A" w:rsidP="001B56A8">
      <w:pPr>
        <w:pStyle w:val="aff2"/>
        <w:numPr>
          <w:ilvl w:val="0"/>
          <w:numId w:val="33"/>
        </w:numPr>
        <w:rPr>
          <w:rtl/>
        </w:rPr>
      </w:pPr>
      <w:r>
        <w:rPr>
          <w:rFonts w:hint="cs"/>
          <w:rtl/>
        </w:rPr>
        <w:t xml:space="preserve">דברי המשל"מ דלהרשב"א שמותר לאדם א' אף שאוכל ודאי איסור ה"ה בטהרות דב' שבילין </w:t>
      </w:r>
    </w:p>
    <w:p w:rsidR="0028438A" w:rsidRDefault="0028438A" w:rsidP="0028438A">
      <w:pPr>
        <w:pStyle w:val="aff4"/>
        <w:rPr>
          <w:rFonts w:eastAsiaTheme="minorEastAsia" w:cstheme="minorBidi"/>
          <w:i/>
          <w:iCs/>
          <w:noProof/>
          <w:sz w:val="22"/>
          <w:szCs w:val="22"/>
          <w:rtl/>
        </w:rPr>
      </w:pPr>
      <w:r>
        <w:rPr>
          <w:rFonts w:hint="cs"/>
          <w:noProof/>
          <w:rtl/>
        </w:rPr>
        <w:t>דעת הפרמ"ג דמדאו' מותר לאדם אחד והתוס' אסרו מדרבנן</w:t>
      </w:r>
    </w:p>
    <w:p w:rsidR="0028438A" w:rsidRDefault="0028438A" w:rsidP="001B56A8">
      <w:pPr>
        <w:pStyle w:val="aff2"/>
        <w:numPr>
          <w:ilvl w:val="0"/>
          <w:numId w:val="33"/>
        </w:numPr>
        <w:rPr>
          <w:rFonts w:eastAsiaTheme="minorEastAsia" w:cstheme="minorBidi"/>
          <w:noProof/>
          <w:sz w:val="22"/>
          <w:szCs w:val="22"/>
          <w:rtl/>
        </w:rPr>
      </w:pPr>
      <w:r>
        <w:rPr>
          <w:rFonts w:hint="cs"/>
          <w:rtl/>
        </w:rPr>
        <w:t>קושית הפרמ"ג דברוב האיסור נהפך להיתר ואילו בב' שבילין כשיש ודאי טומאה אסור מדאו'</w:t>
      </w:r>
    </w:p>
    <w:p w:rsidR="0028438A" w:rsidRDefault="0028438A" w:rsidP="001B56A8">
      <w:pPr>
        <w:pStyle w:val="aff2"/>
        <w:numPr>
          <w:ilvl w:val="0"/>
          <w:numId w:val="33"/>
        </w:numPr>
        <w:rPr>
          <w:rFonts w:eastAsiaTheme="minorEastAsia" w:cstheme="minorBidi"/>
          <w:sz w:val="22"/>
          <w:szCs w:val="22"/>
          <w:rtl/>
        </w:rPr>
      </w:pPr>
      <w:r>
        <w:rPr>
          <w:rFonts w:hint="cs"/>
          <w:rtl/>
        </w:rPr>
        <w:t>קושית המלבושי יו"ט דהתוס' אסרו רק מדרבנן ואף הרשב"א דאסר בבת אחת הוא רק מדרבנן</w:t>
      </w:r>
    </w:p>
    <w:p w:rsidR="0028438A" w:rsidRDefault="0028438A" w:rsidP="001B56A8">
      <w:pPr>
        <w:pStyle w:val="aff2"/>
        <w:numPr>
          <w:ilvl w:val="0"/>
          <w:numId w:val="33"/>
        </w:numPr>
        <w:rPr>
          <w:rFonts w:eastAsiaTheme="minorEastAsia" w:cstheme="minorBidi"/>
          <w:sz w:val="22"/>
          <w:szCs w:val="22"/>
          <w:rtl/>
        </w:rPr>
      </w:pPr>
      <w:r>
        <w:rPr>
          <w:rFonts w:hint="cs"/>
          <w:rtl/>
        </w:rPr>
        <w:t>ביאור המלבושי יו"ט דאף לתוס' האיסור נהפך להיתר ואסור רק מדרבנן משא"כ בב' שבילין</w:t>
      </w:r>
    </w:p>
    <w:p w:rsidR="0028438A" w:rsidRDefault="0028438A" w:rsidP="0028438A">
      <w:pPr>
        <w:pStyle w:val="2"/>
        <w:rPr>
          <w:rFonts w:eastAsiaTheme="minorEastAsia" w:cstheme="minorBidi"/>
          <w:i/>
          <w:iCs/>
          <w:sz w:val="22"/>
          <w:szCs w:val="22"/>
          <w:rtl/>
        </w:rPr>
      </w:pPr>
      <w:r>
        <w:rPr>
          <w:rFonts w:hint="cs"/>
          <w:rtl/>
        </w:rPr>
        <w:t>שיטת הרי"ד דאחד שאכל הכל בחטאת</w:t>
      </w:r>
    </w:p>
    <w:p w:rsidR="0028438A" w:rsidRDefault="0028438A" w:rsidP="0028438A">
      <w:pPr>
        <w:pStyle w:val="aff4"/>
        <w:rPr>
          <w:rFonts w:eastAsiaTheme="minorEastAsia" w:cstheme="minorBidi"/>
          <w:i/>
          <w:iCs/>
          <w:noProof/>
          <w:sz w:val="22"/>
          <w:szCs w:val="22"/>
          <w:rtl/>
        </w:rPr>
      </w:pPr>
      <w:r>
        <w:rPr>
          <w:rFonts w:hint="cs"/>
          <w:noProof/>
          <w:rtl/>
        </w:rPr>
        <w:t>דברי התורי"ד דאדם אחד שאכל את כל התערובת חייב חטאת</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התורי"ד דלאדם אחד מותר לאכול חתיכה אחת ולג' בנ"א מותר לאכול את כל החתיכות</w:t>
      </w:r>
    </w:p>
    <w:p w:rsidR="0028438A" w:rsidRDefault="0028438A" w:rsidP="001B56A8">
      <w:pPr>
        <w:pStyle w:val="aff2"/>
        <w:numPr>
          <w:ilvl w:val="0"/>
          <w:numId w:val="33"/>
        </w:numPr>
        <w:rPr>
          <w:rFonts w:eastAsiaTheme="minorEastAsia" w:cstheme="minorBidi"/>
          <w:sz w:val="22"/>
          <w:szCs w:val="22"/>
          <w:rtl/>
        </w:rPr>
      </w:pPr>
      <w:r>
        <w:rPr>
          <w:rFonts w:hint="cs"/>
          <w:rtl/>
        </w:rPr>
        <w:t>דברי התורי"ד דאדם אחת שאכל את כל החתיכות חייב חטאת ואם אכל א' מתוך ב' באשם תלוי</w:t>
      </w:r>
    </w:p>
    <w:p w:rsidR="0028438A" w:rsidRDefault="0028438A" w:rsidP="0028438A">
      <w:pPr>
        <w:pStyle w:val="aff4"/>
        <w:rPr>
          <w:rFonts w:eastAsiaTheme="minorEastAsia" w:cstheme="minorBidi"/>
          <w:i/>
          <w:iCs/>
          <w:noProof/>
          <w:sz w:val="22"/>
          <w:szCs w:val="22"/>
          <w:rtl/>
        </w:rPr>
      </w:pPr>
      <w:r>
        <w:rPr>
          <w:rFonts w:hint="cs"/>
          <w:noProof/>
          <w:rtl/>
        </w:rPr>
        <w:t>ביאור הרי"ד דבחתיכה אחת בפנ"ע אזלינן בתר רוב דמותרת</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הרי"ד דמותר לכתחילה לאכול כ"א מהחתיכות דאזלינן בתר רובא ואינו מדין 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ביאור הרי"ד דבאכל את כל החתיכות דודאי שאכל איסור ואינו מתבטל וחייב חטאת</w:t>
      </w:r>
    </w:p>
    <w:p w:rsidR="0028438A" w:rsidRDefault="0028438A" w:rsidP="001B56A8">
      <w:pPr>
        <w:pStyle w:val="aff2"/>
        <w:numPr>
          <w:ilvl w:val="0"/>
          <w:numId w:val="33"/>
        </w:numPr>
        <w:rPr>
          <w:rFonts w:eastAsiaTheme="minorEastAsia" w:cstheme="minorBidi"/>
          <w:sz w:val="22"/>
          <w:szCs w:val="22"/>
          <w:rtl/>
        </w:rPr>
      </w:pPr>
      <w:r>
        <w:rPr>
          <w:rFonts w:hint="cs"/>
          <w:rtl/>
        </w:rPr>
        <w:t>דברי התורי"ד דלאדם אחד מותר לאכול כ"א מהחתיכות כדין רוב בט' חנויות דילפינן מסנהדרין</w:t>
      </w:r>
    </w:p>
    <w:p w:rsidR="0028438A" w:rsidRDefault="0028438A" w:rsidP="0028438A">
      <w:pPr>
        <w:pStyle w:val="aff4"/>
        <w:rPr>
          <w:rFonts w:eastAsiaTheme="minorEastAsia" w:cstheme="minorBidi"/>
          <w:i/>
          <w:iCs/>
          <w:noProof/>
          <w:sz w:val="22"/>
          <w:szCs w:val="22"/>
          <w:rtl/>
        </w:rPr>
      </w:pPr>
      <w:r>
        <w:rPr>
          <w:rFonts w:hint="cs"/>
          <w:noProof/>
          <w:rtl/>
        </w:rPr>
        <w:t>דברי התורי"ד דבאכל הכל דמי לטהרות דב' שבילין דנגעו זב"ז</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התורי"ד דאכל הכל הוא כב' שבילין דהטהרות של כ"א בפנ"ע מותרות ובנגעו זב"ז טמאות</w:t>
      </w:r>
    </w:p>
    <w:p w:rsidR="0028438A" w:rsidRDefault="0028438A" w:rsidP="0028438A">
      <w:pPr>
        <w:pStyle w:val="2"/>
        <w:rPr>
          <w:rFonts w:eastAsiaTheme="minorEastAsia" w:cstheme="minorBidi"/>
          <w:i/>
          <w:iCs/>
          <w:sz w:val="22"/>
          <w:szCs w:val="22"/>
          <w:rtl/>
        </w:rPr>
      </w:pPr>
      <w:r>
        <w:rPr>
          <w:rFonts w:hint="cs"/>
          <w:rtl/>
        </w:rPr>
        <w:t>דעת הרא"ש דהאיסור בטל ונהפך להיתר</w:t>
      </w:r>
    </w:p>
    <w:p w:rsidR="0028438A" w:rsidRDefault="0028438A" w:rsidP="0028438A">
      <w:pPr>
        <w:pStyle w:val="aff4"/>
        <w:rPr>
          <w:rFonts w:eastAsiaTheme="minorEastAsia" w:cstheme="minorBidi"/>
          <w:i/>
          <w:iCs/>
          <w:noProof/>
          <w:sz w:val="22"/>
          <w:szCs w:val="22"/>
          <w:rtl/>
        </w:rPr>
      </w:pPr>
      <w:r>
        <w:rPr>
          <w:rFonts w:hint="cs"/>
          <w:noProof/>
          <w:rtl/>
        </w:rPr>
        <w:t>דברי הרא"ש דיש גזיה"כ דהאיסור נהפך להיתר ומותר אף בב"א</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הרא"ש דבביטול ברוב האיסור נהפך להיתר ולכן מותר לאכול את כל התערובת בבת אחת</w:t>
      </w:r>
    </w:p>
    <w:p w:rsidR="0028438A" w:rsidRDefault="0028438A" w:rsidP="0028438A">
      <w:pPr>
        <w:pStyle w:val="aff4"/>
        <w:rPr>
          <w:rFonts w:eastAsiaTheme="minorEastAsia" w:cstheme="minorBidi"/>
          <w:i/>
          <w:iCs/>
          <w:noProof/>
          <w:sz w:val="22"/>
          <w:szCs w:val="22"/>
          <w:rtl/>
        </w:rPr>
      </w:pPr>
      <w:r>
        <w:rPr>
          <w:rFonts w:hint="cs"/>
          <w:noProof/>
          <w:rtl/>
        </w:rPr>
        <w:t>חילוק הרא"ש בין דין ביטול ברוב להיתר ספק ספיקא בתערובת</w:t>
      </w:r>
    </w:p>
    <w:p w:rsidR="0028438A" w:rsidRDefault="0028438A" w:rsidP="001B56A8">
      <w:pPr>
        <w:pStyle w:val="aff2"/>
        <w:numPr>
          <w:ilvl w:val="0"/>
          <w:numId w:val="33"/>
        </w:numPr>
        <w:rPr>
          <w:rFonts w:eastAsiaTheme="minorEastAsia" w:cstheme="minorBidi"/>
          <w:noProof/>
          <w:sz w:val="22"/>
          <w:szCs w:val="22"/>
          <w:rtl/>
        </w:rPr>
      </w:pPr>
      <w:r>
        <w:rPr>
          <w:rFonts w:hint="cs"/>
          <w:rtl/>
        </w:rPr>
        <w:t>קושית הרא"ש דבדין רימוני בדן מצינו שיש אופנים שאסור לאכול את כל התערובת בבת אחת</w:t>
      </w:r>
    </w:p>
    <w:p w:rsidR="0028438A" w:rsidRDefault="0028438A" w:rsidP="001B56A8">
      <w:pPr>
        <w:pStyle w:val="aff2"/>
        <w:numPr>
          <w:ilvl w:val="0"/>
          <w:numId w:val="33"/>
        </w:numPr>
        <w:rPr>
          <w:rFonts w:eastAsiaTheme="minorEastAsia" w:cstheme="minorBidi"/>
          <w:sz w:val="22"/>
          <w:szCs w:val="22"/>
          <w:rtl/>
        </w:rPr>
      </w:pPr>
      <w:r>
        <w:rPr>
          <w:rFonts w:hint="cs"/>
          <w:rtl/>
        </w:rPr>
        <w:t>דברי הרא"ש דבתערובת השניה ברימוני בדן ההיתר הוא מדין ספק ספיקא ולא מדין 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דברי הרא"ש דאסור לאכול את כל התערובת השניה בב"א דיש רק ספק אחד ואין ספק ספיקא</w:t>
      </w:r>
    </w:p>
    <w:p w:rsidR="0028438A" w:rsidRDefault="0028438A" w:rsidP="001B56A8">
      <w:pPr>
        <w:pStyle w:val="aff2"/>
        <w:numPr>
          <w:ilvl w:val="0"/>
          <w:numId w:val="33"/>
        </w:numPr>
        <w:rPr>
          <w:rFonts w:eastAsiaTheme="minorEastAsia" w:cstheme="minorBidi"/>
          <w:sz w:val="22"/>
          <w:szCs w:val="22"/>
          <w:rtl/>
        </w:rPr>
      </w:pPr>
      <w:r>
        <w:rPr>
          <w:rFonts w:hint="cs"/>
          <w:rtl/>
        </w:rPr>
        <w:t>דברי הרא"ש דבחד בתרי יש רק ספק אחד וספק דאו' לחומרא אלא מותר מגזיה"כ דנהפך להיתר</w:t>
      </w:r>
    </w:p>
    <w:p w:rsidR="0028438A" w:rsidRDefault="0028438A" w:rsidP="0028438A">
      <w:pPr>
        <w:pStyle w:val="aff4"/>
        <w:rPr>
          <w:rFonts w:eastAsiaTheme="minorEastAsia" w:cstheme="minorBidi"/>
          <w:i/>
          <w:iCs/>
          <w:noProof/>
          <w:sz w:val="22"/>
          <w:szCs w:val="22"/>
          <w:rtl/>
        </w:rPr>
      </w:pPr>
      <w:r>
        <w:rPr>
          <w:rFonts w:hint="cs"/>
          <w:noProof/>
          <w:rtl/>
        </w:rPr>
        <w:t>ביאור הרא"ש דיבש ולא נודעה התערובת והתבשל צריך שישים</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הרא"ש דבמינו ביבש כל שנודעה התערובת נעשה היתר גמור אף מדרבנן דאין בו טעם</w:t>
      </w:r>
    </w:p>
    <w:p w:rsidR="0028438A" w:rsidRDefault="0028438A" w:rsidP="001B56A8">
      <w:pPr>
        <w:pStyle w:val="aff2"/>
        <w:numPr>
          <w:ilvl w:val="0"/>
          <w:numId w:val="33"/>
        </w:numPr>
        <w:rPr>
          <w:rFonts w:eastAsiaTheme="minorEastAsia" w:cstheme="minorBidi"/>
          <w:sz w:val="22"/>
          <w:szCs w:val="22"/>
          <w:rtl/>
        </w:rPr>
      </w:pPr>
      <w:r>
        <w:rPr>
          <w:rFonts w:hint="cs"/>
          <w:rtl/>
        </w:rPr>
        <w:t>דברי הרא"ש דבלח במינו ולא נודעה התערובת כשהיה יבש צריך שישים דגזרו אטו אינו מינו</w:t>
      </w:r>
    </w:p>
    <w:p w:rsidR="0028438A" w:rsidRDefault="0028438A" w:rsidP="0028438A">
      <w:pPr>
        <w:pStyle w:val="aff4"/>
        <w:rPr>
          <w:rFonts w:eastAsiaTheme="minorEastAsia" w:cstheme="minorBidi"/>
          <w:i/>
          <w:iCs/>
          <w:noProof/>
          <w:sz w:val="22"/>
          <w:szCs w:val="22"/>
          <w:rtl/>
        </w:rPr>
      </w:pPr>
      <w:r>
        <w:rPr>
          <w:rFonts w:hint="cs"/>
          <w:noProof/>
          <w:rtl/>
        </w:rPr>
        <w:t>חילוק הרא"ש בין דין ביטול ברוב להיתר נפל אחד מהתערובת</w:t>
      </w:r>
    </w:p>
    <w:p w:rsidR="0028438A" w:rsidRDefault="0028438A" w:rsidP="001B56A8">
      <w:pPr>
        <w:pStyle w:val="aff2"/>
        <w:numPr>
          <w:ilvl w:val="0"/>
          <w:numId w:val="33"/>
        </w:numPr>
        <w:rPr>
          <w:rFonts w:eastAsiaTheme="minorEastAsia" w:cstheme="minorBidi"/>
          <w:noProof/>
          <w:sz w:val="22"/>
          <w:szCs w:val="22"/>
          <w:rtl/>
        </w:rPr>
      </w:pPr>
      <w:r>
        <w:rPr>
          <w:rFonts w:hint="cs"/>
          <w:rtl/>
        </w:rPr>
        <w:t>קושית הרא"ש דבתערובת טבעות ע"ז ואברי בעלי מומין יש איסור בכל התערובת בבת אחת</w:t>
      </w:r>
    </w:p>
    <w:p w:rsidR="0028438A" w:rsidRDefault="0028438A" w:rsidP="001B56A8">
      <w:pPr>
        <w:pStyle w:val="aff2"/>
        <w:numPr>
          <w:ilvl w:val="0"/>
          <w:numId w:val="33"/>
        </w:numPr>
        <w:rPr>
          <w:rFonts w:eastAsiaTheme="minorEastAsia" w:cstheme="minorBidi"/>
          <w:sz w:val="22"/>
          <w:szCs w:val="22"/>
          <w:rtl/>
        </w:rPr>
      </w:pPr>
      <w:r>
        <w:rPr>
          <w:rFonts w:hint="cs"/>
          <w:rtl/>
        </w:rPr>
        <w:t>קושית הרא"ש דבאברי בעלי מומין מותר להקריב רק שנים שנים ואסור להקריב כ"א בפנ"ע</w:t>
      </w:r>
    </w:p>
    <w:p w:rsidR="0028438A" w:rsidRDefault="0028438A" w:rsidP="001B56A8">
      <w:pPr>
        <w:pStyle w:val="aff2"/>
        <w:numPr>
          <w:ilvl w:val="0"/>
          <w:numId w:val="33"/>
        </w:numPr>
        <w:rPr>
          <w:rFonts w:eastAsiaTheme="minorEastAsia" w:cstheme="minorBidi"/>
          <w:sz w:val="22"/>
          <w:szCs w:val="22"/>
          <w:rtl/>
        </w:rPr>
      </w:pPr>
      <w:r>
        <w:rPr>
          <w:rFonts w:hint="cs"/>
          <w:rtl/>
        </w:rPr>
        <w:t>תירוץ הרא"ש דבטבעות ואברים כשפירש אחד ההיתר הוא מדין ספק ספיקא ולא מביטול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דברי הרא"ש דבביטול ברוב ההיתר הוא מגזיה"כ דנהפך להיתר ולא מדין ספק ספיקא כטבעות</w:t>
      </w:r>
    </w:p>
    <w:p w:rsidR="0028438A" w:rsidRDefault="0028438A" w:rsidP="001B56A8">
      <w:pPr>
        <w:pStyle w:val="aff2"/>
        <w:numPr>
          <w:ilvl w:val="0"/>
          <w:numId w:val="33"/>
        </w:numPr>
        <w:rPr>
          <w:rFonts w:eastAsiaTheme="minorEastAsia" w:cstheme="minorBidi"/>
          <w:sz w:val="22"/>
          <w:szCs w:val="22"/>
          <w:rtl/>
        </w:rPr>
      </w:pPr>
      <w:r>
        <w:rPr>
          <w:rFonts w:hint="cs"/>
          <w:rtl/>
        </w:rPr>
        <w:t>תירוץ הרא"ש דבאברי בעלי מומין שכולם נאסרו ההיתר הוא רק בשנים אבל בביטול הכל מותר</w:t>
      </w:r>
    </w:p>
    <w:p w:rsidR="0028438A" w:rsidRDefault="0028438A" w:rsidP="0028438A">
      <w:pPr>
        <w:pStyle w:val="aff4"/>
        <w:rPr>
          <w:rFonts w:eastAsiaTheme="minorEastAsia" w:cstheme="minorBidi"/>
          <w:i/>
          <w:iCs/>
          <w:noProof/>
          <w:sz w:val="22"/>
          <w:szCs w:val="22"/>
          <w:rtl/>
        </w:rPr>
      </w:pPr>
      <w:r>
        <w:rPr>
          <w:rFonts w:hint="cs"/>
          <w:noProof/>
          <w:rtl/>
        </w:rPr>
        <w:t>דברי הרא"ש דא"א לומר דברוב ההיתר בספק אחד ובב"א אסור</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הרא"ש דהיה אפש"ל דבחתיכה שאינה ראויה להתכבד אסרו בספק אחד כרימוני בדן</w:t>
      </w:r>
    </w:p>
    <w:p w:rsidR="0028438A" w:rsidRDefault="0028438A" w:rsidP="001B56A8">
      <w:pPr>
        <w:pStyle w:val="aff2"/>
        <w:numPr>
          <w:ilvl w:val="0"/>
          <w:numId w:val="33"/>
        </w:numPr>
        <w:rPr>
          <w:rFonts w:eastAsiaTheme="minorEastAsia" w:cstheme="minorBidi"/>
          <w:sz w:val="22"/>
          <w:szCs w:val="22"/>
          <w:rtl/>
        </w:rPr>
      </w:pPr>
      <w:r>
        <w:rPr>
          <w:rFonts w:hint="cs"/>
          <w:rtl/>
        </w:rPr>
        <w:t>דברי הרא"ש דהיה אפש"ל דבחתיכה הראויה להתכבד התירו ספק אחד ואסרו בבת אחת</w:t>
      </w:r>
    </w:p>
    <w:p w:rsidR="0028438A" w:rsidRDefault="0028438A" w:rsidP="001B56A8">
      <w:pPr>
        <w:pStyle w:val="aff2"/>
        <w:numPr>
          <w:ilvl w:val="0"/>
          <w:numId w:val="33"/>
        </w:numPr>
        <w:rPr>
          <w:rFonts w:eastAsiaTheme="minorEastAsia" w:cstheme="minorBidi"/>
          <w:sz w:val="22"/>
          <w:szCs w:val="22"/>
          <w:rtl/>
        </w:rPr>
      </w:pPr>
      <w:r>
        <w:rPr>
          <w:rFonts w:hint="cs"/>
          <w:rtl/>
        </w:rPr>
        <w:t>דחיית הרא"ש דבגמ' מבואר דחתיכה שאינה ראויה להתכבד מותרת ברוב לגמרי ולא מספק</w:t>
      </w:r>
    </w:p>
    <w:p w:rsidR="0028438A" w:rsidRDefault="0028438A" w:rsidP="0028438A">
      <w:pPr>
        <w:pStyle w:val="aff4"/>
        <w:rPr>
          <w:rFonts w:eastAsiaTheme="minorEastAsia" w:cstheme="minorBidi"/>
          <w:i/>
          <w:iCs/>
          <w:noProof/>
          <w:sz w:val="22"/>
          <w:szCs w:val="22"/>
          <w:rtl/>
        </w:rPr>
      </w:pPr>
      <w:r>
        <w:rPr>
          <w:rFonts w:hint="cs"/>
          <w:noProof/>
          <w:rtl/>
        </w:rPr>
        <w:t>דברי הרא"ש דתערובת שהותרה וחזר ובישלה יחד מותר</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הרא"ש דאחר שהותרה התערובת אם חזר ובישלה מותר אף שהאיסור נתן טעם בהיתר</w:t>
      </w:r>
    </w:p>
    <w:p w:rsidR="0028438A" w:rsidRDefault="0028438A" w:rsidP="001B56A8">
      <w:pPr>
        <w:pStyle w:val="aff2"/>
        <w:numPr>
          <w:ilvl w:val="0"/>
          <w:numId w:val="33"/>
        </w:numPr>
        <w:rPr>
          <w:rFonts w:eastAsiaTheme="minorEastAsia" w:cstheme="minorBidi"/>
          <w:sz w:val="22"/>
          <w:szCs w:val="22"/>
          <w:rtl/>
        </w:rPr>
      </w:pPr>
      <w:r>
        <w:rPr>
          <w:rFonts w:hint="cs"/>
          <w:rtl/>
        </w:rPr>
        <w:t>הוכחת הרא"ש דלא מצינו דבר שהוא מותר וצירו אסור ואדרבה בדג טמא מצינו להיפך</w:t>
      </w:r>
    </w:p>
    <w:p w:rsidR="0028438A" w:rsidRDefault="0028438A" w:rsidP="0028438A">
      <w:pPr>
        <w:pStyle w:val="aff4"/>
        <w:rPr>
          <w:rFonts w:eastAsiaTheme="minorEastAsia" w:cstheme="minorBidi"/>
          <w:i/>
          <w:iCs/>
          <w:noProof/>
          <w:sz w:val="22"/>
          <w:szCs w:val="22"/>
          <w:rtl/>
        </w:rPr>
      </w:pPr>
      <w:r>
        <w:rPr>
          <w:rFonts w:hint="cs"/>
          <w:noProof/>
          <w:rtl/>
        </w:rPr>
        <w:t>ביאור היד יהודה ברא"ש דשישים לא נאמר ביבש והותר לגמרי</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היד יהודה ברא"ש דביבש אין דין שישים כלל והותר לגמרי אף אם חזר ובישל ונעשה לח</w:t>
      </w:r>
    </w:p>
    <w:p w:rsidR="0028438A" w:rsidRDefault="0028438A" w:rsidP="0028438A">
      <w:pPr>
        <w:pStyle w:val="2"/>
        <w:rPr>
          <w:rFonts w:eastAsiaTheme="minorEastAsia" w:cstheme="minorBidi"/>
          <w:i/>
          <w:iCs/>
          <w:sz w:val="22"/>
          <w:szCs w:val="22"/>
          <w:rtl/>
        </w:rPr>
      </w:pPr>
      <w:r>
        <w:rPr>
          <w:rFonts w:hint="cs"/>
          <w:rtl/>
        </w:rPr>
        <w:t>דברי הרשב"א דאסור לאכול בבת אחת</w:t>
      </w:r>
    </w:p>
    <w:p w:rsidR="0028438A" w:rsidRDefault="0028438A" w:rsidP="0028438A">
      <w:pPr>
        <w:pStyle w:val="aff4"/>
        <w:rPr>
          <w:rFonts w:eastAsiaTheme="minorEastAsia" w:cstheme="minorBidi"/>
          <w:i/>
          <w:iCs/>
          <w:noProof/>
          <w:sz w:val="22"/>
          <w:szCs w:val="22"/>
          <w:rtl/>
        </w:rPr>
      </w:pPr>
      <w:r>
        <w:rPr>
          <w:rFonts w:hint="cs"/>
          <w:noProof/>
          <w:rtl/>
        </w:rPr>
        <w:t>דברי הרשב"א דהיתר יבש רק בכ"א בפנ"ע דאינה ודאי איסור</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הרשב"א דרק בלח שא"א להפריד את החתיכות צריך שישים אף במינו שאין טעם איסור</w:t>
      </w:r>
    </w:p>
    <w:p w:rsidR="0028438A" w:rsidRDefault="0028438A" w:rsidP="001B56A8">
      <w:pPr>
        <w:pStyle w:val="aff2"/>
        <w:numPr>
          <w:ilvl w:val="0"/>
          <w:numId w:val="33"/>
        </w:numPr>
        <w:rPr>
          <w:rFonts w:eastAsiaTheme="minorEastAsia" w:cstheme="minorBidi"/>
          <w:sz w:val="22"/>
          <w:szCs w:val="22"/>
          <w:rtl/>
        </w:rPr>
      </w:pPr>
      <w:r>
        <w:rPr>
          <w:rFonts w:hint="cs"/>
          <w:rtl/>
        </w:rPr>
        <w:t>דברי הרשב"א דביבש שאוכל כ"א בפנ"ע אומר שאינה האיסור ולכן א"צ שישים ובטל ברוב</w:t>
      </w:r>
    </w:p>
    <w:p w:rsidR="0028438A" w:rsidRDefault="0028438A" w:rsidP="001B56A8">
      <w:pPr>
        <w:pStyle w:val="aff2"/>
        <w:numPr>
          <w:ilvl w:val="0"/>
          <w:numId w:val="33"/>
        </w:numPr>
        <w:rPr>
          <w:rFonts w:eastAsiaTheme="minorEastAsia" w:cstheme="minorBidi"/>
          <w:sz w:val="22"/>
          <w:szCs w:val="22"/>
          <w:rtl/>
        </w:rPr>
      </w:pPr>
      <w:r>
        <w:rPr>
          <w:rFonts w:hint="cs"/>
          <w:rtl/>
        </w:rPr>
        <w:t>דברי הרשב"א דמותר לאכול רק כל חתיכה בפנ"ע ואסור לבשל דנעשה כלח דצריך שישים</w:t>
      </w:r>
    </w:p>
    <w:p w:rsidR="0028438A" w:rsidRDefault="0028438A" w:rsidP="001B56A8">
      <w:pPr>
        <w:pStyle w:val="aff2"/>
        <w:numPr>
          <w:ilvl w:val="0"/>
          <w:numId w:val="33"/>
        </w:numPr>
        <w:rPr>
          <w:rFonts w:eastAsiaTheme="minorEastAsia" w:cstheme="minorBidi"/>
          <w:sz w:val="22"/>
          <w:szCs w:val="22"/>
          <w:rtl/>
        </w:rPr>
      </w:pPr>
      <w:r>
        <w:rPr>
          <w:rFonts w:hint="cs"/>
          <w:rtl/>
        </w:rPr>
        <w:t>ביאור הרשב"א במשה"ב דרק במקום שמורגש הטעם וא"א לאכול כל חתיכה בפנ"ע צריך שישים</w:t>
      </w:r>
    </w:p>
    <w:p w:rsidR="0028438A" w:rsidRDefault="0028438A" w:rsidP="001B56A8">
      <w:pPr>
        <w:pStyle w:val="aff2"/>
        <w:numPr>
          <w:ilvl w:val="0"/>
          <w:numId w:val="33"/>
        </w:numPr>
        <w:rPr>
          <w:rFonts w:eastAsiaTheme="minorEastAsia" w:cstheme="minorBidi"/>
          <w:sz w:val="22"/>
          <w:szCs w:val="22"/>
          <w:rtl/>
        </w:rPr>
      </w:pPr>
      <w:r>
        <w:rPr>
          <w:rFonts w:hint="cs"/>
          <w:rtl/>
        </w:rPr>
        <w:t>דברי הרשב"א דאם לא בישל את הכל יחד מותר דאין ודאי איסור אך אסור לחזור ולערבם יחד</w:t>
      </w:r>
    </w:p>
    <w:p w:rsidR="0028438A" w:rsidRDefault="0028438A" w:rsidP="0028438A">
      <w:pPr>
        <w:pStyle w:val="2"/>
        <w:rPr>
          <w:rFonts w:eastAsiaTheme="minorEastAsia" w:cstheme="minorBidi"/>
          <w:i/>
          <w:iCs/>
          <w:sz w:val="22"/>
          <w:szCs w:val="22"/>
          <w:rtl/>
        </w:rPr>
      </w:pPr>
      <w:r>
        <w:rPr>
          <w:rFonts w:hint="cs"/>
          <w:rtl/>
        </w:rPr>
        <w:t>דעת הרא"ה והר"ן דאסור לאכול בב"א</w:t>
      </w:r>
    </w:p>
    <w:p w:rsidR="0028438A" w:rsidRDefault="0028438A" w:rsidP="0028438A">
      <w:pPr>
        <w:pStyle w:val="aff4"/>
        <w:rPr>
          <w:rFonts w:eastAsiaTheme="minorEastAsia" w:cstheme="minorBidi"/>
          <w:i/>
          <w:iCs/>
          <w:noProof/>
          <w:sz w:val="22"/>
          <w:szCs w:val="22"/>
          <w:rtl/>
        </w:rPr>
      </w:pPr>
      <w:r>
        <w:rPr>
          <w:rFonts w:hint="cs"/>
          <w:noProof/>
          <w:rtl/>
        </w:rPr>
        <w:t>דברי הרא"ה והר"ן דביבש לא שייך דין שישים ומותר בזאח"ז</w:t>
      </w:r>
    </w:p>
    <w:p w:rsidR="0028438A" w:rsidRDefault="0028438A" w:rsidP="001B56A8">
      <w:pPr>
        <w:pStyle w:val="aff2"/>
        <w:numPr>
          <w:ilvl w:val="0"/>
          <w:numId w:val="33"/>
        </w:numPr>
        <w:rPr>
          <w:rFonts w:eastAsiaTheme="minorEastAsia" w:cstheme="minorBidi"/>
          <w:noProof/>
          <w:sz w:val="22"/>
          <w:szCs w:val="22"/>
          <w:rtl/>
        </w:rPr>
      </w:pPr>
      <w:r>
        <w:rPr>
          <w:rFonts w:hint="cs"/>
          <w:rtl/>
        </w:rPr>
        <w:t>קושית הרא"ה על הרשב"א דאף שבכ"א בפנ"ע אפש"ל דמותר מ"מ חתיכה אחת אסורה בודאי</w:t>
      </w:r>
    </w:p>
    <w:p w:rsidR="0028438A" w:rsidRDefault="0028438A" w:rsidP="001B56A8">
      <w:pPr>
        <w:pStyle w:val="aff2"/>
        <w:numPr>
          <w:ilvl w:val="0"/>
          <w:numId w:val="33"/>
        </w:numPr>
        <w:rPr>
          <w:rFonts w:eastAsiaTheme="minorEastAsia" w:cstheme="minorBidi"/>
          <w:sz w:val="22"/>
          <w:szCs w:val="22"/>
          <w:rtl/>
        </w:rPr>
      </w:pPr>
      <w:r>
        <w:rPr>
          <w:rFonts w:hint="cs"/>
          <w:rtl/>
        </w:rPr>
        <w:lastRenderedPageBreak/>
        <w:t>דברי הרא"ה והר"ן דשישים הוא רק כשיש בליעת איסור וביבש שאין בליעה לא שייך שישים</w:t>
      </w:r>
    </w:p>
    <w:p w:rsidR="0028438A" w:rsidRDefault="0028438A" w:rsidP="001B56A8">
      <w:pPr>
        <w:pStyle w:val="aff2"/>
        <w:numPr>
          <w:ilvl w:val="0"/>
          <w:numId w:val="33"/>
        </w:numPr>
        <w:rPr>
          <w:rFonts w:eastAsiaTheme="minorEastAsia" w:cstheme="minorBidi"/>
          <w:sz w:val="22"/>
          <w:szCs w:val="22"/>
          <w:rtl/>
        </w:rPr>
      </w:pPr>
      <w:r>
        <w:rPr>
          <w:rFonts w:hint="cs"/>
          <w:rtl/>
        </w:rPr>
        <w:t>דברי הרא"ה והר"ן דביבש כ"א מותר בפנ"ע וראוי שלא לבשלם יחד דיש טעם בפחות משישים</w:t>
      </w:r>
    </w:p>
    <w:p w:rsidR="0028438A" w:rsidRDefault="0028438A" w:rsidP="001B56A8">
      <w:pPr>
        <w:pStyle w:val="aff2"/>
        <w:numPr>
          <w:ilvl w:val="0"/>
          <w:numId w:val="33"/>
        </w:numPr>
        <w:rPr>
          <w:rFonts w:eastAsiaTheme="minorEastAsia" w:cstheme="minorBidi"/>
          <w:sz w:val="22"/>
          <w:szCs w:val="22"/>
        </w:rPr>
      </w:pPr>
      <w:r>
        <w:rPr>
          <w:rFonts w:hint="cs"/>
          <w:rtl/>
        </w:rPr>
        <w:t>דברי הרא"ה והר"ן דמותר להוסיף ביבש יותר משישים ולבשל דהוא מותר ואי"ז ביטול איסור</w:t>
      </w:r>
    </w:p>
    <w:p w:rsidR="0028438A" w:rsidRDefault="0028438A" w:rsidP="001B56A8">
      <w:pPr>
        <w:pStyle w:val="aff2"/>
        <w:numPr>
          <w:ilvl w:val="0"/>
          <w:numId w:val="33"/>
        </w:numPr>
        <w:rPr>
          <w:rFonts w:eastAsiaTheme="minorEastAsia" w:cstheme="minorBidi"/>
          <w:sz w:val="22"/>
          <w:szCs w:val="22"/>
          <w:rtl/>
        </w:rPr>
      </w:pPr>
      <w:r>
        <w:rPr>
          <w:rFonts w:hint="cs"/>
          <w:rtl/>
        </w:rPr>
        <w:t>דברי היד יהודה דמבואר ברא"ה ובר"ן דאסור לאכול את כל התערובת בבת אחת</w:t>
      </w:r>
    </w:p>
    <w:p w:rsidR="0028438A" w:rsidRDefault="0028438A" w:rsidP="0028438A">
      <w:pPr>
        <w:pStyle w:val="2"/>
        <w:rPr>
          <w:rFonts w:eastAsiaTheme="minorEastAsia" w:cstheme="minorBidi"/>
          <w:i/>
          <w:iCs/>
          <w:sz w:val="22"/>
          <w:szCs w:val="22"/>
          <w:rtl/>
        </w:rPr>
      </w:pPr>
      <w:r>
        <w:rPr>
          <w:rFonts w:hint="cs"/>
          <w:rtl/>
        </w:rPr>
        <w:t>בדעת הרשב"א באוכל ב' חתיכות יחד</w:t>
      </w:r>
    </w:p>
    <w:p w:rsidR="0028438A" w:rsidRDefault="0028438A" w:rsidP="0028438A">
      <w:pPr>
        <w:pStyle w:val="aff4"/>
        <w:rPr>
          <w:rFonts w:eastAsiaTheme="minorEastAsia" w:cstheme="minorBidi"/>
          <w:i/>
          <w:iCs/>
          <w:noProof/>
          <w:sz w:val="22"/>
          <w:szCs w:val="22"/>
          <w:rtl/>
        </w:rPr>
      </w:pPr>
      <w:r>
        <w:rPr>
          <w:rFonts w:hint="cs"/>
          <w:noProof/>
          <w:rtl/>
        </w:rPr>
        <w:t>דברי הש"ך דלהרשב"א מותר לאכול ב' חתיכות יחד מתוך ג'</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הש"ך דלהרשב"א מותר לאכול יחד ב' חתיכות מתוך ג' דאפש"ל ששניהם מותרות</w:t>
      </w:r>
    </w:p>
    <w:p w:rsidR="0028438A" w:rsidRDefault="0028438A" w:rsidP="001B56A8">
      <w:pPr>
        <w:pStyle w:val="aff2"/>
        <w:numPr>
          <w:ilvl w:val="0"/>
          <w:numId w:val="33"/>
        </w:numPr>
        <w:rPr>
          <w:rFonts w:eastAsiaTheme="minorEastAsia" w:cstheme="minorBidi"/>
          <w:sz w:val="22"/>
          <w:szCs w:val="22"/>
          <w:rtl/>
        </w:rPr>
      </w:pPr>
      <w:r>
        <w:rPr>
          <w:rFonts w:hint="cs"/>
          <w:rtl/>
        </w:rPr>
        <w:t>דברי החזו"א דכל חתיכה בפנ"ע מותרת מדין כל דפריש ובב' חתיכות מתוך ג' אין כל דפריש</w:t>
      </w:r>
    </w:p>
    <w:p w:rsidR="0028438A" w:rsidRDefault="0028438A" w:rsidP="001B56A8">
      <w:pPr>
        <w:pStyle w:val="aff2"/>
        <w:numPr>
          <w:ilvl w:val="0"/>
          <w:numId w:val="33"/>
        </w:numPr>
        <w:rPr>
          <w:rFonts w:eastAsiaTheme="minorEastAsia" w:cstheme="minorBidi"/>
          <w:sz w:val="22"/>
          <w:szCs w:val="22"/>
          <w:rtl/>
        </w:rPr>
      </w:pPr>
      <w:r>
        <w:rPr>
          <w:rFonts w:hint="cs"/>
          <w:rtl/>
        </w:rPr>
        <w:t>ביאור החזו"א בש"ך דכיון שכ"א מותרת א"כ חשיב שאין כאן איסור ואף ב' מותרות מדין ביטול</w:t>
      </w:r>
    </w:p>
    <w:p w:rsidR="0028438A" w:rsidRDefault="0028438A" w:rsidP="0028438A">
      <w:pPr>
        <w:pStyle w:val="aff4"/>
        <w:rPr>
          <w:rFonts w:eastAsiaTheme="minorEastAsia" w:cstheme="minorBidi"/>
          <w:i/>
          <w:iCs/>
          <w:noProof/>
          <w:sz w:val="22"/>
          <w:szCs w:val="22"/>
          <w:rtl/>
        </w:rPr>
      </w:pPr>
      <w:r>
        <w:rPr>
          <w:rFonts w:hint="cs"/>
          <w:noProof/>
          <w:rtl/>
        </w:rPr>
        <w:t>דברי השיטמ"ק והפרי תואר דאסור לאכול ב' חתיכות מתוך ג'</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השיטמ"ק דבאוכל ב' חתיכות שהוא רוב התערובת אסור וחשיב כב' שבילין בבאו בב"א</w:t>
      </w:r>
    </w:p>
    <w:p w:rsidR="0028438A" w:rsidRDefault="0028438A" w:rsidP="001B56A8">
      <w:pPr>
        <w:pStyle w:val="aff2"/>
        <w:numPr>
          <w:ilvl w:val="0"/>
          <w:numId w:val="33"/>
        </w:numPr>
        <w:rPr>
          <w:rFonts w:eastAsiaTheme="minorEastAsia" w:cstheme="minorBidi"/>
          <w:sz w:val="22"/>
          <w:szCs w:val="22"/>
          <w:rtl/>
        </w:rPr>
      </w:pPr>
      <w:r>
        <w:rPr>
          <w:rFonts w:hint="cs"/>
          <w:rtl/>
        </w:rPr>
        <w:t>דברי הפרי תואר דלהרשב"א דאוסר בב"א כ"ש בב' חתיכות דמדין רוב אוכל איסור בלא ביטול</w:t>
      </w:r>
    </w:p>
    <w:p w:rsidR="0028438A" w:rsidRDefault="0028438A" w:rsidP="0028438A">
      <w:pPr>
        <w:pStyle w:val="2"/>
        <w:rPr>
          <w:rFonts w:eastAsiaTheme="minorEastAsia" w:cstheme="minorBidi"/>
          <w:i/>
          <w:iCs/>
          <w:sz w:val="22"/>
          <w:szCs w:val="22"/>
          <w:rtl/>
        </w:rPr>
      </w:pPr>
      <w:r>
        <w:rPr>
          <w:rFonts w:hint="cs"/>
          <w:rtl/>
        </w:rPr>
        <w:t>דעת הסוברים דהרשב"א אסר מדאו'</w:t>
      </w:r>
    </w:p>
    <w:p w:rsidR="0028438A" w:rsidRDefault="0028438A" w:rsidP="0028438A">
      <w:pPr>
        <w:pStyle w:val="aff4"/>
        <w:rPr>
          <w:rFonts w:eastAsiaTheme="minorEastAsia" w:cstheme="minorBidi"/>
          <w:i/>
          <w:iCs/>
          <w:noProof/>
          <w:sz w:val="22"/>
          <w:szCs w:val="22"/>
          <w:rtl/>
        </w:rPr>
      </w:pPr>
      <w:r>
        <w:rPr>
          <w:rFonts w:hint="cs"/>
          <w:noProof/>
          <w:rtl/>
        </w:rPr>
        <w:t>ביאור הקרן אורה ברשב"א דמדאו' אסור לאכול בב"א</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הקרן אורה דלהרשב"א אסור מדאו' אך בב' בנ"א ודאי דמדאו' מהני 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דברי הגרש"ש דבב"י מבואר דהרא"ש והרשב"א נחלקו בהיתר אכילה בב"א מדאו'</w:t>
      </w:r>
    </w:p>
    <w:p w:rsidR="0028438A" w:rsidRDefault="0028438A" w:rsidP="001B56A8">
      <w:pPr>
        <w:pStyle w:val="aff2"/>
        <w:numPr>
          <w:ilvl w:val="0"/>
          <w:numId w:val="33"/>
        </w:numPr>
        <w:rPr>
          <w:rFonts w:eastAsiaTheme="minorEastAsia" w:cstheme="minorBidi"/>
          <w:sz w:val="22"/>
          <w:szCs w:val="22"/>
          <w:rtl/>
        </w:rPr>
      </w:pPr>
      <w:r>
        <w:rPr>
          <w:rFonts w:hint="cs"/>
          <w:rtl/>
        </w:rPr>
        <w:t>דברי החזו"א דאף אי להרשב"א אסור מדאו' היינו דחשיב ניכר אך מודה דהאיסור נהפך להיתר</w:t>
      </w:r>
    </w:p>
    <w:p w:rsidR="0028438A" w:rsidRDefault="0028438A" w:rsidP="0028438A">
      <w:pPr>
        <w:pStyle w:val="aff4"/>
        <w:rPr>
          <w:rFonts w:eastAsiaTheme="minorEastAsia" w:cstheme="minorBidi"/>
          <w:i/>
          <w:iCs/>
          <w:noProof/>
          <w:sz w:val="22"/>
          <w:szCs w:val="22"/>
          <w:rtl/>
        </w:rPr>
      </w:pPr>
      <w:r>
        <w:rPr>
          <w:rFonts w:hint="cs"/>
          <w:noProof/>
          <w:rtl/>
        </w:rPr>
        <w:t>דברי הגר"א דבב"א ל"מ ביטול ודמי לב' שבילין בבאו בב"א</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הגר"א ברשב"א דבב"א לא מהני ביטול ברוב דא"א לומר דאוכל את החתיכה המותרת</w:t>
      </w:r>
    </w:p>
    <w:p w:rsidR="0028438A" w:rsidRDefault="0028438A" w:rsidP="001B56A8">
      <w:pPr>
        <w:pStyle w:val="aff2"/>
        <w:numPr>
          <w:ilvl w:val="0"/>
          <w:numId w:val="33"/>
        </w:numPr>
        <w:rPr>
          <w:rFonts w:eastAsiaTheme="minorEastAsia" w:cstheme="minorBidi"/>
          <w:sz w:val="22"/>
          <w:szCs w:val="22"/>
          <w:rtl/>
        </w:rPr>
      </w:pPr>
      <w:r>
        <w:rPr>
          <w:rFonts w:hint="cs"/>
          <w:rtl/>
        </w:rPr>
        <w:t>דברי הגר"א דהאיסור באוכל בב"א דמי לנהנה מתערובת ע"ז בב"א ולב' שבילין בנשאלו בב"א</w:t>
      </w:r>
    </w:p>
    <w:p w:rsidR="0028438A" w:rsidRDefault="0028438A" w:rsidP="0028438A">
      <w:pPr>
        <w:pStyle w:val="2"/>
        <w:rPr>
          <w:rFonts w:eastAsiaTheme="minorEastAsia" w:cstheme="minorBidi"/>
          <w:i/>
          <w:iCs/>
          <w:sz w:val="22"/>
          <w:szCs w:val="22"/>
          <w:rtl/>
        </w:rPr>
      </w:pPr>
      <w:r>
        <w:rPr>
          <w:rFonts w:hint="cs"/>
          <w:rtl/>
        </w:rPr>
        <w:t>דעת הסוברים דהרשב"א אסר מדרבנן</w:t>
      </w:r>
    </w:p>
    <w:p w:rsidR="0028438A" w:rsidRDefault="0028438A" w:rsidP="0028438A">
      <w:pPr>
        <w:pStyle w:val="aff4"/>
        <w:rPr>
          <w:rFonts w:eastAsiaTheme="minorEastAsia" w:cstheme="minorBidi"/>
          <w:i/>
          <w:iCs/>
          <w:noProof/>
          <w:sz w:val="22"/>
          <w:szCs w:val="22"/>
          <w:rtl/>
        </w:rPr>
      </w:pPr>
      <w:r>
        <w:rPr>
          <w:rFonts w:hint="cs"/>
          <w:noProof/>
          <w:rtl/>
        </w:rPr>
        <w:t>ביאור הט"ז והפרמ"ג ברשב"א דבב"א אסור דאוכל ודאי איסור</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הט"ז דהחמירו רבנן שלא יאכל בבת אחת כיון ש</w:t>
      </w:r>
      <w:r w:rsidR="00441868">
        <w:rPr>
          <w:rFonts w:hint="cs"/>
          <w:rtl/>
        </w:rPr>
        <w:t>ממה נפשך</w:t>
      </w:r>
      <w:r>
        <w:rPr>
          <w:rFonts w:hint="cs"/>
          <w:rtl/>
        </w:rPr>
        <w:t xml:space="preserve"> אוכל את האיסור באותה אכילה</w:t>
      </w:r>
    </w:p>
    <w:p w:rsidR="0028438A" w:rsidRDefault="0028438A" w:rsidP="001B56A8">
      <w:pPr>
        <w:pStyle w:val="aff2"/>
        <w:numPr>
          <w:ilvl w:val="0"/>
          <w:numId w:val="33"/>
        </w:numPr>
        <w:rPr>
          <w:rFonts w:eastAsiaTheme="minorEastAsia" w:cstheme="minorBidi"/>
          <w:sz w:val="22"/>
          <w:szCs w:val="22"/>
          <w:rtl/>
        </w:rPr>
      </w:pPr>
      <w:r>
        <w:rPr>
          <w:rFonts w:hint="cs"/>
          <w:rtl/>
        </w:rPr>
        <w:t>דברי הפרמ"ג והחוו"ד דמלח בלח מוכח דאף להרשב"א מדאו' מותר בב"א ואסור מדרבנן</w:t>
      </w:r>
    </w:p>
    <w:p w:rsidR="0028438A" w:rsidRDefault="0028438A" w:rsidP="0028438A">
      <w:pPr>
        <w:pStyle w:val="aff4"/>
      </w:pPr>
      <w:r>
        <w:rPr>
          <w:rFonts w:hint="cs"/>
          <w:rtl/>
        </w:rPr>
        <w:t>ביאור החוו"ד דבב"א יש טעם ובא"מ אסור מדאו' ובמינו מדרבנן</w:t>
      </w:r>
    </w:p>
    <w:p w:rsidR="0028438A" w:rsidRDefault="0028438A" w:rsidP="001B56A8">
      <w:pPr>
        <w:pStyle w:val="aff2"/>
        <w:numPr>
          <w:ilvl w:val="0"/>
          <w:numId w:val="33"/>
        </w:numPr>
        <w:rPr>
          <w:rFonts w:eastAsiaTheme="minorEastAsia" w:cstheme="minorBidi"/>
          <w:sz w:val="22"/>
          <w:szCs w:val="22"/>
        </w:rPr>
      </w:pPr>
      <w:r>
        <w:rPr>
          <w:rFonts w:hint="cs"/>
          <w:rtl/>
        </w:rPr>
        <w:t>דברי השיטמ"ק והחוו"ד דבאוכל בב"א יש נתינת טעם ובאינו מינו אסור מדאו' ובמינו מדרבנן</w:t>
      </w:r>
    </w:p>
    <w:p w:rsidR="0028438A" w:rsidRDefault="0028438A" w:rsidP="001B56A8">
      <w:pPr>
        <w:pStyle w:val="aff2"/>
        <w:numPr>
          <w:ilvl w:val="0"/>
          <w:numId w:val="33"/>
        </w:numPr>
      </w:pPr>
      <w:r>
        <w:rPr>
          <w:rFonts w:hint="cs"/>
          <w:rtl/>
        </w:rPr>
        <w:t>דברי החוו"ד דבמקום שיש שישים אף להרשב"א מותר לאכול את כל התערובת בבת אחת</w:t>
      </w:r>
    </w:p>
    <w:p w:rsidR="0028438A" w:rsidRDefault="0028438A" w:rsidP="0028438A">
      <w:pPr>
        <w:pStyle w:val="aff4"/>
        <w:rPr>
          <w:rFonts w:eastAsiaTheme="minorEastAsia" w:cstheme="minorBidi"/>
          <w:i/>
          <w:iCs/>
          <w:noProof/>
          <w:sz w:val="22"/>
          <w:szCs w:val="22"/>
          <w:rtl/>
        </w:rPr>
      </w:pPr>
      <w:r>
        <w:rPr>
          <w:rFonts w:hint="cs"/>
          <w:noProof/>
          <w:rtl/>
        </w:rPr>
        <w:t>ביאור המנחת כהן והפרמ"ג דבב"א אוכל ודאי איסור</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המנחת כהן דבב"א שאוכל בודאי את האיסור הוא כלח דהחמירו להצריך בו שישים</w:t>
      </w:r>
    </w:p>
    <w:p w:rsidR="0028438A" w:rsidRDefault="0028438A" w:rsidP="001B56A8">
      <w:pPr>
        <w:pStyle w:val="aff2"/>
        <w:numPr>
          <w:ilvl w:val="0"/>
          <w:numId w:val="33"/>
        </w:numPr>
        <w:rPr>
          <w:rFonts w:eastAsiaTheme="minorEastAsia" w:cstheme="minorBidi"/>
          <w:sz w:val="22"/>
          <w:szCs w:val="22"/>
          <w:rtl/>
        </w:rPr>
      </w:pPr>
      <w:r>
        <w:rPr>
          <w:rFonts w:hint="cs"/>
          <w:rtl/>
        </w:rPr>
        <w:t>תירוץ הפרמ"ג ברשב"א דהתירו בלח ביותר משישים אף שאוכל ודאי איסור כדין שאינו מינו</w:t>
      </w:r>
    </w:p>
    <w:p w:rsidR="0028438A" w:rsidRDefault="0028438A" w:rsidP="001B56A8">
      <w:pPr>
        <w:pStyle w:val="aff2"/>
        <w:numPr>
          <w:ilvl w:val="0"/>
          <w:numId w:val="33"/>
        </w:numPr>
        <w:rPr>
          <w:rFonts w:eastAsiaTheme="minorEastAsia" w:cstheme="minorBidi"/>
          <w:sz w:val="22"/>
          <w:szCs w:val="22"/>
          <w:rtl/>
        </w:rPr>
      </w:pPr>
      <w:r>
        <w:rPr>
          <w:rFonts w:hint="cs"/>
          <w:rtl/>
        </w:rPr>
        <w:t>דברי הפרמ"ג דלדעת הרשב"א אסור לאכול יבש את כל התערובת בבת אחת אף כשיש שישים</w:t>
      </w:r>
    </w:p>
    <w:p w:rsidR="0028438A" w:rsidRDefault="0028438A" w:rsidP="001B56A8">
      <w:pPr>
        <w:pStyle w:val="aff2"/>
        <w:numPr>
          <w:ilvl w:val="0"/>
          <w:numId w:val="33"/>
        </w:numPr>
        <w:rPr>
          <w:rFonts w:eastAsiaTheme="minorEastAsia" w:cstheme="minorBidi"/>
          <w:sz w:val="22"/>
          <w:szCs w:val="22"/>
          <w:rtl/>
        </w:rPr>
      </w:pPr>
      <w:r>
        <w:rPr>
          <w:rFonts w:hint="cs"/>
          <w:rtl/>
        </w:rPr>
        <w:t>דברי המלבושי יו"ט ברשב"א דמדאו' נהפך להיתר והחמירו ביבש בב"א שהוא כמו לח דאסור</w:t>
      </w:r>
    </w:p>
    <w:p w:rsidR="0028438A" w:rsidRDefault="0028438A" w:rsidP="0028438A">
      <w:pPr>
        <w:pStyle w:val="aff4"/>
        <w:rPr>
          <w:rFonts w:eastAsiaTheme="minorEastAsia" w:cstheme="minorBidi"/>
          <w:i/>
          <w:iCs/>
          <w:noProof/>
          <w:sz w:val="22"/>
          <w:szCs w:val="22"/>
          <w:rtl/>
        </w:rPr>
      </w:pPr>
      <w:r>
        <w:rPr>
          <w:rFonts w:hint="cs"/>
          <w:noProof/>
          <w:rtl/>
        </w:rPr>
        <w:t>ביאור היד יהודה ברשב"א דביבש לא הותר לגמרי ושייך שישים</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היד יהודה ברשב"א דביבש לא הותר האיסור לגמרי וההיתר רק בכל חתיכה בפנ"ע</w:t>
      </w:r>
    </w:p>
    <w:p w:rsidR="0028438A" w:rsidRDefault="0028438A" w:rsidP="001B56A8">
      <w:pPr>
        <w:pStyle w:val="aff2"/>
        <w:numPr>
          <w:ilvl w:val="0"/>
          <w:numId w:val="33"/>
        </w:numPr>
        <w:rPr>
          <w:rFonts w:eastAsiaTheme="minorEastAsia" w:cstheme="minorBidi"/>
          <w:sz w:val="22"/>
          <w:szCs w:val="22"/>
          <w:rtl/>
        </w:rPr>
      </w:pPr>
      <w:r>
        <w:rPr>
          <w:rFonts w:hint="cs"/>
          <w:rtl/>
        </w:rPr>
        <w:t>ביאור היד יהודה ברשב"א דשישים הוא אף ביבש באוכל כ"א בפנ"ע מהני ביטול כמו שישים</w:t>
      </w:r>
    </w:p>
    <w:p w:rsidR="0028438A" w:rsidRDefault="0028438A" w:rsidP="001B56A8">
      <w:pPr>
        <w:pStyle w:val="aff2"/>
        <w:numPr>
          <w:ilvl w:val="0"/>
          <w:numId w:val="33"/>
        </w:numPr>
        <w:rPr>
          <w:rFonts w:eastAsiaTheme="minorEastAsia" w:cstheme="minorBidi"/>
          <w:sz w:val="22"/>
          <w:szCs w:val="22"/>
          <w:rtl/>
        </w:rPr>
      </w:pPr>
      <w:r>
        <w:rPr>
          <w:rFonts w:hint="cs"/>
          <w:rtl/>
        </w:rPr>
        <w:t>ביאור היד יהודה ברשב"א דבב"א שודאי אוכל איסור אין ביטול ואף ביבש יש בכה"ג דין שישים</w:t>
      </w:r>
    </w:p>
    <w:p w:rsidR="0028438A" w:rsidRDefault="0028438A" w:rsidP="001B56A8">
      <w:pPr>
        <w:pStyle w:val="aff2"/>
        <w:numPr>
          <w:ilvl w:val="0"/>
          <w:numId w:val="33"/>
        </w:numPr>
        <w:rPr>
          <w:rFonts w:eastAsiaTheme="minorEastAsia" w:cstheme="minorBidi"/>
          <w:sz w:val="22"/>
          <w:szCs w:val="22"/>
          <w:rtl/>
        </w:rPr>
      </w:pPr>
      <w:r>
        <w:rPr>
          <w:rFonts w:hint="cs"/>
          <w:rtl/>
        </w:rPr>
        <w:t>דברי היד יהודה דלדעת הרשב"א אין היתר גמור ביבש ואסור להרבות איסור ולבשלו יחד</w:t>
      </w:r>
    </w:p>
    <w:p w:rsidR="0028438A" w:rsidRDefault="0028438A" w:rsidP="001B56A8">
      <w:pPr>
        <w:pStyle w:val="aff2"/>
        <w:numPr>
          <w:ilvl w:val="0"/>
          <w:numId w:val="33"/>
        </w:numPr>
      </w:pPr>
      <w:r>
        <w:rPr>
          <w:rFonts w:hint="cs"/>
          <w:rtl/>
        </w:rPr>
        <w:t>דברי היש"ש דהר"ן התיר להוסיף ביבש יותר משישים ולבשל לדעת הרשב"א דאסר בב"א</w:t>
      </w:r>
    </w:p>
    <w:p w:rsidR="0028438A" w:rsidRDefault="0028438A" w:rsidP="0028438A">
      <w:pPr>
        <w:pStyle w:val="aff4"/>
        <w:rPr>
          <w:noProof/>
          <w:rtl/>
        </w:rPr>
      </w:pPr>
      <w:r>
        <w:rPr>
          <w:rFonts w:hint="cs"/>
          <w:noProof/>
          <w:rtl/>
        </w:rPr>
        <w:t>ביאור היד יהודה בר"ן וברא"ה דביבש אין שישים ובב"א כלח</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היד יהודה ברא"ה ובר"ן ביבש אין שישים והאיסור מותר לגמרי ובנעשה לח יש שישים</w:t>
      </w:r>
    </w:p>
    <w:p w:rsidR="0028438A" w:rsidRDefault="0028438A" w:rsidP="001B56A8">
      <w:pPr>
        <w:pStyle w:val="aff2"/>
        <w:numPr>
          <w:ilvl w:val="0"/>
          <w:numId w:val="33"/>
        </w:numPr>
        <w:rPr>
          <w:rFonts w:eastAsiaTheme="minorEastAsia" w:cstheme="minorBidi"/>
          <w:sz w:val="22"/>
          <w:szCs w:val="22"/>
          <w:rtl/>
        </w:rPr>
      </w:pPr>
      <w:r>
        <w:rPr>
          <w:rFonts w:hint="cs"/>
          <w:rtl/>
        </w:rPr>
        <w:t>ביאור היד יהודה ברא"ה ובר"ן דבבת אחת נעשה כלח ונותן טעם ויש בו דין שישים</w:t>
      </w:r>
    </w:p>
    <w:p w:rsidR="0028438A" w:rsidRDefault="0028438A" w:rsidP="001B56A8">
      <w:pPr>
        <w:pStyle w:val="aff2"/>
        <w:numPr>
          <w:ilvl w:val="0"/>
          <w:numId w:val="33"/>
        </w:numPr>
        <w:rPr>
          <w:rFonts w:eastAsiaTheme="minorEastAsia" w:cstheme="minorBidi"/>
          <w:sz w:val="22"/>
          <w:szCs w:val="22"/>
          <w:rtl/>
        </w:rPr>
      </w:pPr>
      <w:r>
        <w:rPr>
          <w:rFonts w:hint="cs"/>
          <w:rtl/>
        </w:rPr>
        <w:t>ביאור היד יהודה ברא"ה ובר"ן דביבש מותר אף באוכל ודאי איסור אלא דבב"א נעשה כלח</w:t>
      </w:r>
    </w:p>
    <w:p w:rsidR="0028438A" w:rsidRDefault="0028438A" w:rsidP="001B56A8">
      <w:pPr>
        <w:pStyle w:val="aff2"/>
        <w:numPr>
          <w:ilvl w:val="0"/>
          <w:numId w:val="33"/>
        </w:numPr>
        <w:rPr>
          <w:rFonts w:eastAsiaTheme="minorEastAsia" w:cstheme="minorBidi"/>
          <w:sz w:val="22"/>
          <w:szCs w:val="22"/>
          <w:rtl/>
        </w:rPr>
      </w:pPr>
      <w:r>
        <w:rPr>
          <w:rFonts w:hint="cs"/>
          <w:rtl/>
        </w:rPr>
        <w:t>דברי היד יהודה דלרא"ה והר"ן איסור יבש בבת אחת כלול בדין שישים בלח שמפורש בגמ'</w:t>
      </w:r>
    </w:p>
    <w:p w:rsidR="0028438A" w:rsidRDefault="0028438A" w:rsidP="0028438A">
      <w:pPr>
        <w:pStyle w:val="2"/>
        <w:rPr>
          <w:rFonts w:eastAsiaTheme="minorEastAsia" w:cstheme="minorBidi"/>
          <w:i/>
          <w:iCs/>
          <w:sz w:val="22"/>
          <w:szCs w:val="22"/>
          <w:rtl/>
        </w:rPr>
      </w:pPr>
      <w:r>
        <w:rPr>
          <w:rFonts w:hint="cs"/>
          <w:rtl/>
        </w:rPr>
        <w:t>ביאורי ראשי הישיבות</w:t>
      </w:r>
    </w:p>
    <w:p w:rsidR="0028438A" w:rsidRDefault="0028438A" w:rsidP="0028438A">
      <w:pPr>
        <w:pStyle w:val="2"/>
        <w:rPr>
          <w:rFonts w:eastAsiaTheme="minorEastAsia" w:cstheme="minorBidi"/>
          <w:i/>
          <w:iCs/>
          <w:sz w:val="22"/>
          <w:szCs w:val="22"/>
          <w:rtl/>
        </w:rPr>
      </w:pPr>
      <w:r>
        <w:rPr>
          <w:rFonts w:hint="cs"/>
          <w:rtl/>
        </w:rPr>
        <w:t>בביאור הסוברים דהרשב"א אסר מדאו'</w:t>
      </w:r>
    </w:p>
    <w:p w:rsidR="0028438A" w:rsidRDefault="0028438A" w:rsidP="0028438A">
      <w:pPr>
        <w:pStyle w:val="aff4"/>
        <w:rPr>
          <w:rFonts w:eastAsiaTheme="minorEastAsia" w:cstheme="minorBidi"/>
          <w:i/>
          <w:iCs/>
          <w:noProof/>
          <w:sz w:val="22"/>
          <w:szCs w:val="22"/>
          <w:rtl/>
        </w:rPr>
      </w:pPr>
      <w:r>
        <w:rPr>
          <w:rFonts w:hint="cs"/>
          <w:noProof/>
          <w:rtl/>
        </w:rPr>
        <w:t>ביאור הגרש"ש בדעת הב"י ברשב"א דבב"א אסור מדאו'</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הגרש"ש דא"א לומר כב"י דהרשב"א אסר מדאו' דהא ודאי דביטול ברוב הוא דין בפנ"ע</w:t>
      </w:r>
    </w:p>
    <w:p w:rsidR="0028438A" w:rsidRDefault="0028438A" w:rsidP="001B56A8">
      <w:pPr>
        <w:pStyle w:val="aff2"/>
        <w:numPr>
          <w:ilvl w:val="0"/>
          <w:numId w:val="33"/>
        </w:numPr>
        <w:rPr>
          <w:rFonts w:eastAsiaTheme="minorEastAsia" w:cstheme="minorBidi"/>
          <w:sz w:val="22"/>
          <w:szCs w:val="22"/>
          <w:rtl/>
        </w:rPr>
      </w:pPr>
      <w:r>
        <w:rPr>
          <w:rFonts w:hint="cs"/>
          <w:rtl/>
        </w:rPr>
        <w:t>ביאור הגרש"ש ברשב"א דבמקום שיש היתר רוב על כל חתיכה בפנ"ע הכל מותר בביטול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ביאור הגרש"ש דבב"א אין היתר מדין הלך אחר הרוב וא"כ אין גם היתר מדין 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ביאור הגרש"ש ברא"ש דכיון שבכל חתיכה בפנ"ע יש רוב והותרו כולם מהני ביטול אף בב"א</w:t>
      </w:r>
    </w:p>
    <w:p w:rsidR="0028438A" w:rsidRDefault="0028438A" w:rsidP="001B56A8">
      <w:pPr>
        <w:pStyle w:val="aff2"/>
        <w:numPr>
          <w:ilvl w:val="0"/>
          <w:numId w:val="33"/>
        </w:numPr>
        <w:rPr>
          <w:rFonts w:eastAsiaTheme="minorEastAsia" w:cstheme="minorBidi"/>
          <w:sz w:val="22"/>
          <w:szCs w:val="22"/>
          <w:rtl/>
        </w:rPr>
      </w:pPr>
      <w:r>
        <w:rPr>
          <w:rFonts w:hint="cs"/>
          <w:rtl/>
        </w:rPr>
        <w:t>דחיית הגרש"ש דא"א לומר דבב"א אסור מדאו' דא"כ אף בלח דאין הלך אחר הרוב יאסר</w:t>
      </w:r>
    </w:p>
    <w:p w:rsidR="0028438A" w:rsidRDefault="0028438A" w:rsidP="001B56A8">
      <w:pPr>
        <w:pStyle w:val="aff2"/>
        <w:numPr>
          <w:ilvl w:val="0"/>
          <w:numId w:val="33"/>
        </w:numPr>
        <w:rPr>
          <w:rFonts w:eastAsiaTheme="minorEastAsia" w:cstheme="minorBidi"/>
          <w:sz w:val="22"/>
          <w:szCs w:val="22"/>
          <w:rtl/>
        </w:rPr>
      </w:pPr>
      <w:r>
        <w:rPr>
          <w:rFonts w:hint="cs"/>
          <w:rtl/>
        </w:rPr>
        <w:t>מסקנת הגרש"ש דמוכח דהרשב"א אסר בב"א רק מדרבנן ומדאו' מודה דמותר</w:t>
      </w:r>
    </w:p>
    <w:p w:rsidR="0028438A" w:rsidRDefault="0028438A" w:rsidP="0028438A">
      <w:pPr>
        <w:pStyle w:val="aff4"/>
        <w:rPr>
          <w:rFonts w:eastAsiaTheme="minorEastAsia" w:cstheme="minorBidi"/>
          <w:i/>
          <w:iCs/>
          <w:noProof/>
          <w:sz w:val="22"/>
          <w:szCs w:val="22"/>
          <w:rtl/>
        </w:rPr>
      </w:pPr>
      <w:r>
        <w:rPr>
          <w:rFonts w:hint="cs"/>
          <w:noProof/>
          <w:rtl/>
        </w:rPr>
        <w:t>ביאור האחרונים ברשב"א דלח בטל ומותר ורק יבש אסור בב"א</w:t>
      </w:r>
    </w:p>
    <w:p w:rsidR="0028438A" w:rsidRDefault="0028438A" w:rsidP="001B56A8">
      <w:pPr>
        <w:pStyle w:val="aff2"/>
        <w:numPr>
          <w:ilvl w:val="0"/>
          <w:numId w:val="33"/>
        </w:numPr>
        <w:rPr>
          <w:rFonts w:eastAsiaTheme="minorEastAsia" w:cstheme="minorBidi"/>
          <w:noProof/>
          <w:sz w:val="22"/>
          <w:szCs w:val="22"/>
          <w:rtl/>
        </w:rPr>
      </w:pPr>
      <w:r>
        <w:rPr>
          <w:rFonts w:hint="cs"/>
          <w:rtl/>
        </w:rPr>
        <w:t>קושית הקוב"ש על הרשב"א היאך אסר בב"א והרי בלח הוי כאוכל בב"א ואפ"ה מותר</w:t>
      </w:r>
    </w:p>
    <w:p w:rsidR="0028438A" w:rsidRDefault="0028438A" w:rsidP="001B56A8">
      <w:pPr>
        <w:pStyle w:val="aff2"/>
        <w:numPr>
          <w:ilvl w:val="0"/>
          <w:numId w:val="33"/>
        </w:numPr>
        <w:rPr>
          <w:rFonts w:eastAsiaTheme="minorEastAsia" w:cstheme="minorBidi"/>
          <w:sz w:val="22"/>
          <w:szCs w:val="22"/>
          <w:rtl/>
        </w:rPr>
      </w:pPr>
      <w:r>
        <w:rPr>
          <w:rFonts w:hint="cs"/>
          <w:rtl/>
        </w:rPr>
        <w:t>ביאור הקוב"ש דרק בב"א ביבש החמיר הרשב"א לאסור אבל ביבש מותר בב"א דבטל במציאות</w:t>
      </w:r>
    </w:p>
    <w:p w:rsidR="0028438A" w:rsidRDefault="0028438A" w:rsidP="001B56A8">
      <w:pPr>
        <w:pStyle w:val="aff2"/>
        <w:numPr>
          <w:ilvl w:val="0"/>
          <w:numId w:val="33"/>
        </w:numPr>
        <w:rPr>
          <w:rFonts w:eastAsiaTheme="minorEastAsia" w:cstheme="minorBidi"/>
          <w:sz w:val="22"/>
          <w:szCs w:val="22"/>
          <w:rtl/>
        </w:rPr>
      </w:pPr>
      <w:r>
        <w:rPr>
          <w:rFonts w:hint="cs"/>
          <w:rtl/>
        </w:rPr>
        <w:t>ביאור הבאר יצחק והזכר יצחק דביבש מותר מדין כל דפריש ובלח האיסור נהפך להיתר</w:t>
      </w:r>
    </w:p>
    <w:p w:rsidR="0028438A" w:rsidRDefault="0028438A" w:rsidP="001B56A8">
      <w:pPr>
        <w:pStyle w:val="aff2"/>
        <w:numPr>
          <w:ilvl w:val="0"/>
          <w:numId w:val="33"/>
        </w:numPr>
        <w:rPr>
          <w:rFonts w:eastAsiaTheme="minorEastAsia" w:cstheme="minorBidi"/>
          <w:sz w:val="22"/>
          <w:szCs w:val="22"/>
          <w:rtl/>
        </w:rPr>
      </w:pPr>
      <w:r>
        <w:rPr>
          <w:rFonts w:hint="cs"/>
          <w:rtl/>
        </w:rPr>
        <w:t>דברי הקוב"ש והזכר יצחק דכ"כ הכס"מ בשם המהריק"ו דלח בטל לגמרי ויבש עומד בפנ"ע</w:t>
      </w:r>
    </w:p>
    <w:p w:rsidR="0028438A" w:rsidRDefault="0028438A" w:rsidP="0028438A">
      <w:pPr>
        <w:pStyle w:val="aff4"/>
        <w:rPr>
          <w:rFonts w:eastAsiaTheme="minorEastAsia" w:cstheme="minorBidi"/>
          <w:i/>
          <w:iCs/>
          <w:noProof/>
          <w:sz w:val="22"/>
          <w:szCs w:val="22"/>
          <w:rtl/>
        </w:rPr>
      </w:pPr>
      <w:r>
        <w:rPr>
          <w:rFonts w:hint="cs"/>
          <w:noProof/>
          <w:rtl/>
        </w:rPr>
        <w:t>דברי המשנת ר"א בביאור הגר"א ברשב"א דבב"א אסור מדאו'</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המשנת ר"א דמבואר בגר"א דהרשב"א והרא"ש נחלקו אי מדאו' האיסור נהפך להיתר</w:t>
      </w:r>
    </w:p>
    <w:p w:rsidR="0028438A" w:rsidRDefault="0028438A" w:rsidP="001B56A8">
      <w:pPr>
        <w:pStyle w:val="aff2"/>
        <w:numPr>
          <w:ilvl w:val="0"/>
          <w:numId w:val="33"/>
        </w:numPr>
        <w:rPr>
          <w:rFonts w:eastAsiaTheme="minorEastAsia" w:cstheme="minorBidi"/>
          <w:sz w:val="22"/>
          <w:szCs w:val="22"/>
          <w:rtl/>
        </w:rPr>
      </w:pPr>
      <w:r>
        <w:rPr>
          <w:rFonts w:hint="cs"/>
          <w:rtl/>
        </w:rPr>
        <w:t>ביאור המשנת ר"א בגר"א דלהרשב"א מהני ביטול ברוב רק כשהנדון על כל חתיכה בפנ"ע</w:t>
      </w:r>
    </w:p>
    <w:p w:rsidR="0028438A" w:rsidRDefault="0028438A" w:rsidP="001B56A8">
      <w:pPr>
        <w:pStyle w:val="aff2"/>
        <w:numPr>
          <w:ilvl w:val="0"/>
          <w:numId w:val="33"/>
        </w:numPr>
        <w:rPr>
          <w:rFonts w:eastAsiaTheme="minorEastAsia" w:cstheme="minorBidi"/>
          <w:sz w:val="22"/>
          <w:szCs w:val="22"/>
          <w:rtl/>
        </w:rPr>
      </w:pPr>
      <w:r>
        <w:rPr>
          <w:rFonts w:hint="cs"/>
          <w:rtl/>
        </w:rPr>
        <w:t>דברי המשנת ר"א דקשה על ביאור הגר"א ברשב"א קושית הפרמ"ג דאמאי מותר בלח</w:t>
      </w:r>
    </w:p>
    <w:p w:rsidR="0028438A" w:rsidRDefault="0028438A" w:rsidP="0028438A">
      <w:pPr>
        <w:pStyle w:val="aff4"/>
        <w:rPr>
          <w:rFonts w:eastAsiaTheme="minorEastAsia" w:cstheme="minorBidi"/>
          <w:i/>
          <w:iCs/>
          <w:noProof/>
          <w:sz w:val="22"/>
          <w:szCs w:val="22"/>
          <w:rtl/>
        </w:rPr>
      </w:pPr>
      <w:r>
        <w:rPr>
          <w:rFonts w:hint="cs"/>
          <w:noProof/>
          <w:rtl/>
        </w:rPr>
        <w:t>ביאור המשנת ר"א ברשב"א דבביטול ברוב האיסור נהפך להיתר</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המשנת ר"א דאף לרשב"א האיסור נהפך להיתר אחר שכל חתיכה בפנ"ע מותרת ברוב</w:t>
      </w:r>
    </w:p>
    <w:p w:rsidR="0028438A" w:rsidRDefault="0028438A" w:rsidP="001B56A8">
      <w:pPr>
        <w:pStyle w:val="aff2"/>
        <w:numPr>
          <w:ilvl w:val="0"/>
          <w:numId w:val="33"/>
        </w:numPr>
        <w:rPr>
          <w:rFonts w:eastAsiaTheme="minorEastAsia" w:cstheme="minorBidi"/>
          <w:sz w:val="22"/>
          <w:szCs w:val="22"/>
          <w:rtl/>
        </w:rPr>
      </w:pPr>
      <w:r>
        <w:rPr>
          <w:rFonts w:hint="cs"/>
          <w:rtl/>
        </w:rPr>
        <w:t>ביאור המשנת ר"א דכיון שכ"א מותרת הותרו כולם בודאי דאי הוא ספק א"כ אסור אף בזאח"ז</w:t>
      </w:r>
    </w:p>
    <w:p w:rsidR="0028438A" w:rsidRDefault="0028438A" w:rsidP="0028438A">
      <w:pPr>
        <w:pStyle w:val="aff4"/>
        <w:rPr>
          <w:rFonts w:eastAsiaTheme="minorEastAsia" w:cstheme="minorBidi"/>
          <w:i/>
          <w:iCs/>
          <w:noProof/>
          <w:sz w:val="22"/>
          <w:szCs w:val="22"/>
          <w:rtl/>
        </w:rPr>
      </w:pPr>
      <w:r>
        <w:rPr>
          <w:rFonts w:hint="cs"/>
          <w:noProof/>
          <w:rtl/>
        </w:rPr>
        <w:t>ביאור המשנת ר"א דביטול ברוב הוא רק כשהמיעוט סותר לרוב</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המשנת ר"א דכיון דדין המיעוט סותר לדין הרוב לכן נהפך המיעוט איסור להיתר</w:t>
      </w:r>
    </w:p>
    <w:p w:rsidR="0028438A" w:rsidRDefault="0028438A" w:rsidP="001B56A8">
      <w:pPr>
        <w:pStyle w:val="aff2"/>
        <w:numPr>
          <w:ilvl w:val="0"/>
          <w:numId w:val="33"/>
        </w:numPr>
        <w:rPr>
          <w:rFonts w:eastAsiaTheme="minorEastAsia" w:cstheme="minorBidi"/>
          <w:sz w:val="22"/>
          <w:szCs w:val="22"/>
          <w:rtl/>
        </w:rPr>
      </w:pPr>
      <w:r>
        <w:rPr>
          <w:rFonts w:hint="cs"/>
          <w:rtl/>
        </w:rPr>
        <w:t>ביאור המשנת ר"א דבמקום שדין המיעוט אינו סותר לרוב כ"א מותר ברוב והמיעוט נשאר אסור</w:t>
      </w:r>
    </w:p>
    <w:p w:rsidR="0028438A" w:rsidRDefault="0028438A" w:rsidP="0028438A">
      <w:pPr>
        <w:pStyle w:val="aff4"/>
        <w:rPr>
          <w:rFonts w:eastAsiaTheme="minorEastAsia" w:cstheme="minorBidi"/>
          <w:i/>
          <w:iCs/>
          <w:noProof/>
          <w:sz w:val="22"/>
          <w:szCs w:val="22"/>
          <w:rtl/>
        </w:rPr>
      </w:pPr>
      <w:r>
        <w:rPr>
          <w:rFonts w:hint="cs"/>
          <w:noProof/>
          <w:rtl/>
        </w:rPr>
        <w:t>ביאור המשנת ר"א דביבש א"צ להתיר בביטול וסגי בכל דפריש</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המשנת ר"א דביבש המיעוט אינו סותר לרוב דאפשר לאכול כ"א בפנ"ע מדין כל דפריש</w:t>
      </w:r>
    </w:p>
    <w:p w:rsidR="0028438A" w:rsidRDefault="0028438A" w:rsidP="001B56A8">
      <w:pPr>
        <w:pStyle w:val="aff2"/>
        <w:numPr>
          <w:ilvl w:val="0"/>
          <w:numId w:val="33"/>
        </w:numPr>
        <w:rPr>
          <w:rFonts w:eastAsiaTheme="minorEastAsia" w:cstheme="minorBidi"/>
          <w:sz w:val="22"/>
          <w:szCs w:val="22"/>
          <w:rtl/>
        </w:rPr>
      </w:pPr>
      <w:r>
        <w:rPr>
          <w:rFonts w:hint="cs"/>
          <w:rtl/>
        </w:rPr>
        <w:t>דברי המשנת ר"א דא"א לאסור אחת יותר מאחרת וכולם מותרות וא"צ להתיר מדין ביטול ברוב</w:t>
      </w:r>
    </w:p>
    <w:p w:rsidR="0028438A" w:rsidRDefault="0028438A" w:rsidP="001B56A8">
      <w:pPr>
        <w:pStyle w:val="aff2"/>
        <w:numPr>
          <w:ilvl w:val="0"/>
          <w:numId w:val="33"/>
        </w:numPr>
        <w:rPr>
          <w:rFonts w:eastAsiaTheme="minorEastAsia" w:cstheme="minorBidi"/>
          <w:sz w:val="22"/>
          <w:szCs w:val="22"/>
          <w:rtl/>
        </w:rPr>
      </w:pPr>
      <w:r>
        <w:rPr>
          <w:rFonts w:hint="cs"/>
          <w:rtl/>
        </w:rPr>
        <w:t>ביאור המשנת ר"א דביבש שאפשר לקיים את דין הלך אחר הרוב בלי ביטול ברוב אינו מתבטל</w:t>
      </w:r>
    </w:p>
    <w:p w:rsidR="0028438A" w:rsidRDefault="0028438A" w:rsidP="001B56A8">
      <w:pPr>
        <w:pStyle w:val="aff2"/>
        <w:numPr>
          <w:ilvl w:val="0"/>
          <w:numId w:val="33"/>
        </w:numPr>
        <w:rPr>
          <w:rFonts w:eastAsiaTheme="minorEastAsia" w:cstheme="minorBidi"/>
          <w:sz w:val="22"/>
          <w:szCs w:val="22"/>
          <w:rtl/>
        </w:rPr>
      </w:pPr>
      <w:r>
        <w:rPr>
          <w:rFonts w:hint="cs"/>
          <w:rtl/>
        </w:rPr>
        <w:t>ביאור המשנת ר"א דבב"א אין דין הלך אחר הרוב וממילא לא שייך ביטול ברוב ואסור מדאו'</w:t>
      </w:r>
    </w:p>
    <w:p w:rsidR="0028438A" w:rsidRDefault="0028438A" w:rsidP="0028438A">
      <w:pPr>
        <w:pStyle w:val="aff4"/>
        <w:rPr>
          <w:rFonts w:eastAsiaTheme="minorEastAsia" w:cstheme="minorBidi"/>
          <w:i/>
          <w:iCs/>
          <w:noProof/>
          <w:sz w:val="22"/>
          <w:szCs w:val="22"/>
          <w:rtl/>
        </w:rPr>
      </w:pPr>
      <w:r>
        <w:rPr>
          <w:rFonts w:hint="cs"/>
          <w:noProof/>
          <w:rtl/>
        </w:rPr>
        <w:t>תירוץ המשנת ר"א על קושית הפרמ"ג דבלח נהפך להיתר</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המשנת ר"א דבלח בלא ביטול ברוב המיעוט סותר לרוב ולכן נאמר בו ביטול ונהפך להיתר</w:t>
      </w:r>
    </w:p>
    <w:p w:rsidR="0028438A" w:rsidRDefault="0028438A" w:rsidP="001B56A8">
      <w:pPr>
        <w:pStyle w:val="aff2"/>
        <w:numPr>
          <w:ilvl w:val="0"/>
          <w:numId w:val="33"/>
        </w:numPr>
        <w:rPr>
          <w:rFonts w:eastAsiaTheme="minorEastAsia" w:cstheme="minorBidi"/>
          <w:sz w:val="22"/>
          <w:szCs w:val="22"/>
          <w:rtl/>
        </w:rPr>
      </w:pPr>
      <w:r>
        <w:rPr>
          <w:rFonts w:hint="cs"/>
          <w:rtl/>
        </w:rPr>
        <w:t>ביאור המשנת ר"א דבכל חלק בלח אפש"ל דהוא מהרוב אך המיעוט המעורב בו סותר לדין הרוב</w:t>
      </w:r>
    </w:p>
    <w:p w:rsidR="0028438A" w:rsidRDefault="0028438A" w:rsidP="0028438A">
      <w:pPr>
        <w:pStyle w:val="aff4"/>
        <w:rPr>
          <w:rFonts w:eastAsiaTheme="minorEastAsia" w:cstheme="minorBidi"/>
          <w:i/>
          <w:iCs/>
          <w:noProof/>
          <w:sz w:val="22"/>
          <w:szCs w:val="22"/>
          <w:rtl/>
        </w:rPr>
      </w:pPr>
      <w:r>
        <w:rPr>
          <w:rFonts w:hint="cs"/>
          <w:noProof/>
          <w:rtl/>
        </w:rPr>
        <w:t>ביאור הדברי יחזקאל ברשב"א דמדאו' האיסור עומד באיסורו</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הדברי יחזקאל דברוב מדאו' האיסור נשאר באיסורו ולכן באוכל בב"א אין היתר רוב</w:t>
      </w:r>
    </w:p>
    <w:p w:rsidR="0028438A" w:rsidRDefault="0028438A" w:rsidP="0028438A">
      <w:pPr>
        <w:pStyle w:val="aff4"/>
        <w:rPr>
          <w:rFonts w:eastAsiaTheme="minorEastAsia" w:cstheme="minorBidi"/>
          <w:i/>
          <w:iCs/>
          <w:noProof/>
          <w:sz w:val="22"/>
          <w:szCs w:val="22"/>
          <w:rtl/>
        </w:rPr>
      </w:pPr>
      <w:r>
        <w:rPr>
          <w:rFonts w:hint="cs"/>
          <w:noProof/>
          <w:rtl/>
        </w:rPr>
        <w:t>ביאור הגרי"ז ברשב"א דהאיסור נשאר באיסורו ואוסר בב"א</w:t>
      </w:r>
    </w:p>
    <w:p w:rsidR="0028438A" w:rsidRDefault="0028438A" w:rsidP="001B56A8">
      <w:pPr>
        <w:pStyle w:val="aff2"/>
        <w:numPr>
          <w:ilvl w:val="0"/>
          <w:numId w:val="33"/>
        </w:numPr>
        <w:rPr>
          <w:rFonts w:eastAsiaTheme="minorEastAsia" w:cstheme="minorBidi"/>
          <w:noProof/>
          <w:sz w:val="22"/>
          <w:szCs w:val="22"/>
          <w:rtl/>
        </w:rPr>
      </w:pPr>
      <w:r>
        <w:rPr>
          <w:rFonts w:hint="cs"/>
          <w:rtl/>
        </w:rPr>
        <w:t xml:space="preserve">דברי הגרי"ז דלהרשב"א מדאו' אסור לאכול את כל התערובת בבת אחת </w:t>
      </w:r>
    </w:p>
    <w:p w:rsidR="0028438A" w:rsidRDefault="0028438A" w:rsidP="001B56A8">
      <w:pPr>
        <w:pStyle w:val="aff2"/>
        <w:numPr>
          <w:ilvl w:val="0"/>
          <w:numId w:val="33"/>
        </w:numPr>
        <w:rPr>
          <w:rFonts w:eastAsiaTheme="minorEastAsia" w:cstheme="minorBidi"/>
          <w:sz w:val="22"/>
          <w:szCs w:val="22"/>
          <w:rtl/>
        </w:rPr>
      </w:pPr>
      <w:r>
        <w:rPr>
          <w:rFonts w:hint="cs"/>
          <w:rtl/>
        </w:rPr>
        <w:t>ביאור הגרי"ז דביבש האיסור עצמו לא בטל ויש היתר לכל חתיכה מדין הלך אחר הרוב</w:t>
      </w:r>
    </w:p>
    <w:p w:rsidR="0028438A" w:rsidRDefault="0028438A" w:rsidP="001B56A8">
      <w:pPr>
        <w:pStyle w:val="aff2"/>
        <w:numPr>
          <w:ilvl w:val="0"/>
          <w:numId w:val="33"/>
        </w:numPr>
        <w:rPr>
          <w:rFonts w:eastAsiaTheme="minorEastAsia" w:cstheme="minorBidi"/>
          <w:sz w:val="22"/>
          <w:szCs w:val="22"/>
          <w:rtl/>
        </w:rPr>
      </w:pPr>
      <w:r>
        <w:rPr>
          <w:rFonts w:hint="cs"/>
          <w:rtl/>
        </w:rPr>
        <w:t>ביאור הגרי"ז דבבישל אוסר הרשב"א א"א להתיר מדין הלך אחר הרוב וממילא הכל נאסר</w:t>
      </w:r>
    </w:p>
    <w:p w:rsidR="0028438A" w:rsidRDefault="0028438A" w:rsidP="0028438A">
      <w:pPr>
        <w:pStyle w:val="2"/>
        <w:rPr>
          <w:rFonts w:eastAsiaTheme="minorEastAsia" w:cstheme="minorBidi"/>
          <w:i/>
          <w:iCs/>
          <w:sz w:val="22"/>
          <w:szCs w:val="22"/>
          <w:rtl/>
        </w:rPr>
      </w:pPr>
      <w:r>
        <w:rPr>
          <w:rFonts w:hint="cs"/>
          <w:rtl/>
        </w:rPr>
        <w:t>בביאור הסוברים דהרשב"א אסר מדרבנן</w:t>
      </w:r>
    </w:p>
    <w:p w:rsidR="0028438A" w:rsidRDefault="0028438A" w:rsidP="0028438A">
      <w:pPr>
        <w:pStyle w:val="aff4"/>
        <w:rPr>
          <w:rFonts w:eastAsiaTheme="minorEastAsia" w:cstheme="minorBidi"/>
          <w:i/>
          <w:iCs/>
          <w:noProof/>
          <w:sz w:val="22"/>
          <w:szCs w:val="22"/>
          <w:rtl/>
        </w:rPr>
      </w:pPr>
      <w:r>
        <w:rPr>
          <w:rFonts w:hint="cs"/>
          <w:noProof/>
          <w:rtl/>
        </w:rPr>
        <w:t>ביאור השער"י בר</w:t>
      </w:r>
      <w:r>
        <w:rPr>
          <w:rFonts w:hint="cs"/>
          <w:rtl/>
        </w:rPr>
        <w:t xml:space="preserve">שב"א דאי הותר לגמרי הוי חוכא דיאסר בלח </w:t>
      </w:r>
    </w:p>
    <w:p w:rsidR="0028438A" w:rsidRDefault="0028438A" w:rsidP="001B56A8">
      <w:pPr>
        <w:pStyle w:val="aff2"/>
        <w:numPr>
          <w:ilvl w:val="0"/>
          <w:numId w:val="33"/>
        </w:numPr>
        <w:rPr>
          <w:rFonts w:eastAsiaTheme="minorEastAsia" w:cstheme="minorBidi"/>
          <w:noProof/>
          <w:sz w:val="22"/>
          <w:szCs w:val="22"/>
          <w:rtl/>
        </w:rPr>
      </w:pPr>
      <w:bookmarkStart w:id="12794" w:name="_Ref23986628"/>
      <w:r>
        <w:rPr>
          <w:rFonts w:hint="cs"/>
          <w:rtl/>
        </w:rPr>
        <w:t>קושית השער"י על הפרמ"ג דלדבריו עיקר החידוש ברשב"א דודאי איסור מותר בשישים</w:t>
      </w:r>
      <w:bookmarkEnd w:id="12794"/>
    </w:p>
    <w:p w:rsidR="0028438A" w:rsidRDefault="0028438A" w:rsidP="001B56A8">
      <w:pPr>
        <w:pStyle w:val="aff2"/>
        <w:numPr>
          <w:ilvl w:val="0"/>
          <w:numId w:val="33"/>
        </w:numPr>
        <w:rPr>
          <w:rFonts w:eastAsiaTheme="minorEastAsia" w:cstheme="minorBidi"/>
          <w:sz w:val="22"/>
          <w:szCs w:val="22"/>
          <w:rtl/>
        </w:rPr>
      </w:pPr>
      <w:r>
        <w:rPr>
          <w:rFonts w:hint="cs"/>
          <w:rtl/>
        </w:rPr>
        <w:t>קושיות השער"י דלא משמע ברשב"א דבמקום שאוכל ודאי איסור לא מהני ביטול</w:t>
      </w:r>
    </w:p>
    <w:p w:rsidR="0028438A" w:rsidRDefault="0028438A" w:rsidP="001B56A8">
      <w:pPr>
        <w:pStyle w:val="aff2"/>
        <w:numPr>
          <w:ilvl w:val="0"/>
          <w:numId w:val="33"/>
        </w:numPr>
        <w:rPr>
          <w:rFonts w:eastAsiaTheme="minorEastAsia" w:cstheme="minorBidi"/>
          <w:sz w:val="22"/>
          <w:szCs w:val="22"/>
          <w:rtl/>
        </w:rPr>
      </w:pPr>
      <w:r>
        <w:rPr>
          <w:rFonts w:hint="cs"/>
          <w:rtl/>
        </w:rPr>
        <w:t>ביאור השער"י ברשב"א דהאיסור בלח במינו וביבש באוכל בב"א הוא מגזירה אטו אינו מינו</w:t>
      </w:r>
    </w:p>
    <w:p w:rsidR="0028438A" w:rsidRDefault="0028438A" w:rsidP="001B56A8">
      <w:pPr>
        <w:pStyle w:val="aff2"/>
        <w:numPr>
          <w:ilvl w:val="0"/>
          <w:numId w:val="33"/>
        </w:numPr>
        <w:rPr>
          <w:rFonts w:eastAsiaTheme="minorEastAsia" w:cstheme="minorBidi"/>
          <w:sz w:val="22"/>
          <w:szCs w:val="22"/>
          <w:rtl/>
        </w:rPr>
      </w:pPr>
      <w:r>
        <w:rPr>
          <w:rFonts w:hint="cs"/>
          <w:rtl/>
        </w:rPr>
        <w:t>ביאור השער"י דהוקשה לרשב"א קושית הרא"ש דהוא חוכא להתיר ביבש ולאסור כשיתבשל</w:t>
      </w:r>
    </w:p>
    <w:p w:rsidR="0028438A" w:rsidRDefault="0028438A" w:rsidP="001B56A8">
      <w:pPr>
        <w:pStyle w:val="aff2"/>
        <w:numPr>
          <w:ilvl w:val="0"/>
          <w:numId w:val="33"/>
        </w:numPr>
        <w:rPr>
          <w:rFonts w:eastAsiaTheme="minorEastAsia" w:cstheme="minorBidi"/>
          <w:sz w:val="22"/>
          <w:szCs w:val="22"/>
          <w:rtl/>
        </w:rPr>
      </w:pPr>
      <w:r>
        <w:rPr>
          <w:rFonts w:hint="cs"/>
          <w:rtl/>
        </w:rPr>
        <w:t>דברי השער"י דהרשב"א מיאן בתירוץ הרא"ש דמותר אף בבישל דצריך לגזור אטו אינו מינו</w:t>
      </w:r>
    </w:p>
    <w:p w:rsidR="0028438A" w:rsidRDefault="0028438A" w:rsidP="001B56A8">
      <w:pPr>
        <w:pStyle w:val="aff2"/>
        <w:numPr>
          <w:ilvl w:val="0"/>
          <w:numId w:val="33"/>
        </w:numPr>
        <w:rPr>
          <w:rFonts w:eastAsiaTheme="minorEastAsia" w:cstheme="minorBidi"/>
          <w:sz w:val="22"/>
          <w:szCs w:val="22"/>
          <w:rtl/>
        </w:rPr>
      </w:pPr>
      <w:r>
        <w:rPr>
          <w:rFonts w:hint="cs"/>
          <w:rtl/>
        </w:rPr>
        <w:t>ביאור השער"י דחידש הרשב"א דאף ביבש אינו מותר לגמרי דאסור בב"א ושייך לאסור בבישל</w:t>
      </w:r>
    </w:p>
    <w:p w:rsidR="0028438A" w:rsidRDefault="0028438A" w:rsidP="001B56A8">
      <w:pPr>
        <w:pStyle w:val="aff2"/>
        <w:numPr>
          <w:ilvl w:val="0"/>
          <w:numId w:val="33"/>
        </w:numPr>
        <w:rPr>
          <w:rFonts w:eastAsiaTheme="minorEastAsia" w:cstheme="minorBidi"/>
          <w:sz w:val="22"/>
          <w:szCs w:val="22"/>
          <w:rtl/>
        </w:rPr>
      </w:pPr>
      <w:r>
        <w:rPr>
          <w:rFonts w:hint="cs"/>
          <w:rtl/>
        </w:rPr>
        <w:t>ביאור השער"י דההיתר בכ"א בפנ"ע דאינה אסורה בודאי ואי"ז חוכא לאסור בבישל דודאי אסור</w:t>
      </w:r>
    </w:p>
    <w:p w:rsidR="0028438A" w:rsidRDefault="0028438A" w:rsidP="001B56A8">
      <w:pPr>
        <w:pStyle w:val="aff2"/>
        <w:numPr>
          <w:ilvl w:val="0"/>
          <w:numId w:val="33"/>
        </w:numPr>
        <w:rPr>
          <w:rFonts w:eastAsiaTheme="minorEastAsia" w:cstheme="minorBidi"/>
          <w:sz w:val="22"/>
          <w:szCs w:val="22"/>
          <w:rtl/>
        </w:rPr>
      </w:pPr>
      <w:r>
        <w:rPr>
          <w:rFonts w:hint="cs"/>
          <w:rtl/>
        </w:rPr>
        <w:t>דברי השער"י ברשב"א דבבישל בב' קדירות מותר דכ"א היא ספק איסור ולא גזרו אטו אינו מינו</w:t>
      </w:r>
    </w:p>
    <w:p w:rsidR="0028438A" w:rsidRDefault="0028438A" w:rsidP="001B56A8">
      <w:pPr>
        <w:pStyle w:val="aff2"/>
        <w:numPr>
          <w:ilvl w:val="0"/>
          <w:numId w:val="33"/>
        </w:numPr>
        <w:rPr>
          <w:rFonts w:eastAsiaTheme="minorEastAsia" w:cstheme="minorBidi"/>
          <w:sz w:val="22"/>
          <w:szCs w:val="22"/>
          <w:rtl/>
        </w:rPr>
      </w:pPr>
      <w:r>
        <w:rPr>
          <w:rFonts w:hint="cs"/>
          <w:rtl/>
        </w:rPr>
        <w:t>דברי השער"י דהרשב"א מקיל בב' קדירות בלא נודע התערובת והרא"ש מחמיר ואוסר</w:t>
      </w:r>
    </w:p>
    <w:p w:rsidR="0028438A" w:rsidRDefault="0028438A" w:rsidP="0028438A">
      <w:pPr>
        <w:pStyle w:val="aff4"/>
        <w:rPr>
          <w:rFonts w:eastAsiaTheme="minorEastAsia" w:cstheme="minorBidi"/>
          <w:i/>
          <w:iCs/>
          <w:noProof/>
          <w:sz w:val="22"/>
          <w:szCs w:val="22"/>
          <w:rtl/>
        </w:rPr>
      </w:pPr>
      <w:r>
        <w:rPr>
          <w:rFonts w:hint="cs"/>
          <w:noProof/>
          <w:rtl/>
        </w:rPr>
        <w:t>ביאור השער"י בדברי הגר"א ברש</w:t>
      </w:r>
      <w:r>
        <w:rPr>
          <w:rFonts w:hint="cs"/>
          <w:rtl/>
        </w:rPr>
        <w:t>ב"א דבב"א אסור מדרבנן</w:t>
      </w:r>
    </w:p>
    <w:p w:rsidR="0028438A" w:rsidRDefault="0028438A" w:rsidP="001B56A8">
      <w:pPr>
        <w:pStyle w:val="aff2"/>
        <w:numPr>
          <w:ilvl w:val="0"/>
          <w:numId w:val="33"/>
        </w:numPr>
        <w:rPr>
          <w:rFonts w:eastAsiaTheme="minorEastAsia" w:cstheme="minorBidi"/>
          <w:noProof/>
          <w:sz w:val="22"/>
          <w:szCs w:val="22"/>
          <w:rtl/>
        </w:rPr>
      </w:pPr>
      <w:r>
        <w:rPr>
          <w:rFonts w:hint="cs"/>
          <w:rtl/>
        </w:rPr>
        <w:t>קושית השער"י דבגר"א משמע דלהרשב"א בב"א אסור מדאו' אך הביא ראיה מדינים דרבנן</w:t>
      </w:r>
    </w:p>
    <w:p w:rsidR="0028438A" w:rsidRDefault="0028438A" w:rsidP="001B56A8">
      <w:pPr>
        <w:pStyle w:val="aff2"/>
        <w:numPr>
          <w:ilvl w:val="0"/>
          <w:numId w:val="33"/>
        </w:numPr>
        <w:rPr>
          <w:rFonts w:eastAsiaTheme="minorEastAsia" w:cstheme="minorBidi"/>
          <w:sz w:val="22"/>
          <w:szCs w:val="22"/>
          <w:rtl/>
        </w:rPr>
      </w:pPr>
      <w:r>
        <w:rPr>
          <w:rFonts w:hint="cs"/>
          <w:rtl/>
        </w:rPr>
        <w:t>דברי השער"י בגר"א דמדרבנן לא נהפך ההיתר לאיסור לגמרי וב' שבילין הוא לדמיון בעלמא</w:t>
      </w:r>
    </w:p>
    <w:p w:rsidR="0028438A" w:rsidRDefault="0028438A" w:rsidP="0028438A">
      <w:pPr>
        <w:pStyle w:val="aff4"/>
        <w:rPr>
          <w:rFonts w:eastAsiaTheme="minorEastAsia" w:cstheme="minorBidi"/>
          <w:i/>
          <w:iCs/>
          <w:noProof/>
          <w:sz w:val="22"/>
          <w:szCs w:val="22"/>
          <w:rtl/>
        </w:rPr>
      </w:pPr>
      <w:r>
        <w:rPr>
          <w:rFonts w:hint="cs"/>
          <w:noProof/>
          <w:rtl/>
        </w:rPr>
        <w:t>ביאור השער"י ברא"ש דא"א להתיר ביבש ולאסור כשיתבשל</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השער"י בקושית הרא"ש דאי ביבש מותר ובבישול אסור אטו אינו מינו הוי חוכא</w:t>
      </w:r>
    </w:p>
    <w:p w:rsidR="0028438A" w:rsidRDefault="0028438A" w:rsidP="001B56A8">
      <w:pPr>
        <w:pStyle w:val="aff2"/>
        <w:numPr>
          <w:ilvl w:val="0"/>
          <w:numId w:val="33"/>
        </w:numPr>
        <w:rPr>
          <w:rFonts w:eastAsiaTheme="minorEastAsia" w:cstheme="minorBidi"/>
          <w:sz w:val="22"/>
          <w:szCs w:val="22"/>
          <w:rtl/>
        </w:rPr>
      </w:pPr>
      <w:r>
        <w:rPr>
          <w:rFonts w:hint="cs"/>
          <w:rtl/>
        </w:rPr>
        <w:t>ביאור השער"י דבחזר ובישל לא גזרו אטו אינו מינו דהשוו מידותיהם דאף פליטתו מותרת לגמרי</w:t>
      </w:r>
    </w:p>
    <w:p w:rsidR="0028438A" w:rsidRDefault="0028438A" w:rsidP="0028438A">
      <w:pPr>
        <w:pStyle w:val="2"/>
        <w:rPr>
          <w:rFonts w:eastAsiaTheme="minorEastAsia" w:cstheme="minorBidi"/>
          <w:i/>
          <w:iCs/>
          <w:sz w:val="22"/>
          <w:szCs w:val="22"/>
          <w:rtl/>
        </w:rPr>
      </w:pPr>
      <w:r>
        <w:rPr>
          <w:rFonts w:hint="cs"/>
          <w:rtl/>
        </w:rPr>
        <w:t>בדעת התורי"ד דא' שאכל הכל בחטאת</w:t>
      </w:r>
    </w:p>
    <w:p w:rsidR="0028438A" w:rsidRDefault="0028438A" w:rsidP="0028438A">
      <w:pPr>
        <w:pStyle w:val="aff4"/>
        <w:rPr>
          <w:rFonts w:eastAsiaTheme="minorEastAsia" w:cstheme="minorBidi"/>
          <w:i/>
          <w:iCs/>
          <w:noProof/>
          <w:sz w:val="22"/>
          <w:szCs w:val="22"/>
          <w:rtl/>
        </w:rPr>
      </w:pPr>
      <w:r>
        <w:rPr>
          <w:rFonts w:hint="cs"/>
          <w:noProof/>
          <w:rtl/>
        </w:rPr>
        <w:t>ביאור הקוב"ש בתורי"ד דביטול ברוב הוא מדין הלך אחר הרוב</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הקוב"ש דמבואר בתורי"ד דאדם אחד שאכל ג' חתיכות אף בזה אחר זה חייב חטאת</w:t>
      </w:r>
    </w:p>
    <w:p w:rsidR="0028438A" w:rsidRDefault="0028438A" w:rsidP="001B56A8">
      <w:pPr>
        <w:pStyle w:val="aff2"/>
        <w:numPr>
          <w:ilvl w:val="0"/>
          <w:numId w:val="33"/>
        </w:numPr>
        <w:rPr>
          <w:rFonts w:eastAsiaTheme="minorEastAsia" w:cstheme="minorBidi"/>
          <w:sz w:val="22"/>
          <w:szCs w:val="22"/>
          <w:rtl/>
        </w:rPr>
      </w:pPr>
      <w:r>
        <w:rPr>
          <w:rFonts w:hint="cs"/>
          <w:rtl/>
        </w:rPr>
        <w:t>ביאור הקוב"ש בתורי"ד דביטול ברוב ביבש הוא מדין הלך אחר הרוב ובלח הוא דין בפנ"ע</w:t>
      </w:r>
    </w:p>
    <w:p w:rsidR="0028438A" w:rsidRDefault="0028438A" w:rsidP="0028438A">
      <w:pPr>
        <w:pStyle w:val="2"/>
        <w:rPr>
          <w:rFonts w:eastAsiaTheme="minorEastAsia" w:cstheme="minorBidi"/>
          <w:i/>
          <w:iCs/>
          <w:sz w:val="22"/>
          <w:szCs w:val="22"/>
          <w:rtl/>
        </w:rPr>
      </w:pPr>
      <w:r>
        <w:rPr>
          <w:rFonts w:hint="cs"/>
          <w:rtl/>
        </w:rPr>
        <w:t>בדעת התוס' דאסור לאדם אחד</w:t>
      </w:r>
    </w:p>
    <w:p w:rsidR="0028438A" w:rsidRDefault="0028438A" w:rsidP="0028438A">
      <w:pPr>
        <w:pStyle w:val="aff4"/>
        <w:rPr>
          <w:rFonts w:eastAsiaTheme="minorEastAsia" w:cstheme="minorBidi"/>
          <w:i/>
          <w:iCs/>
          <w:noProof/>
          <w:sz w:val="22"/>
          <w:szCs w:val="22"/>
          <w:rtl/>
        </w:rPr>
      </w:pPr>
      <w:r>
        <w:rPr>
          <w:rFonts w:hint="cs"/>
          <w:noProof/>
          <w:rtl/>
        </w:rPr>
        <w:t>דברי הקוב"ש דתוס' אסרו מדרבנן ולא דמי לחזקה דב' שבילין</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הקוב"ש דהמשל"מ דימה את דין ביטול ברוב לדין ב' שבילין דהוא מדין חזקה</w:t>
      </w:r>
    </w:p>
    <w:p w:rsidR="0028438A" w:rsidRDefault="0028438A" w:rsidP="001B56A8">
      <w:pPr>
        <w:pStyle w:val="aff2"/>
        <w:numPr>
          <w:ilvl w:val="0"/>
          <w:numId w:val="33"/>
        </w:numPr>
        <w:rPr>
          <w:rFonts w:eastAsiaTheme="minorEastAsia" w:cstheme="minorBidi"/>
          <w:sz w:val="22"/>
          <w:szCs w:val="22"/>
          <w:rtl/>
        </w:rPr>
      </w:pPr>
      <w:r>
        <w:rPr>
          <w:rFonts w:hint="cs"/>
          <w:rtl/>
        </w:rPr>
        <w:t>קושית הקוב"ש דברוב האיסור נהפך להיתר ואילו בב' שבילין החזקת טהור לא משנה את הדין</w:t>
      </w:r>
    </w:p>
    <w:p w:rsidR="0028438A" w:rsidRDefault="0028438A" w:rsidP="001B56A8">
      <w:pPr>
        <w:pStyle w:val="aff2"/>
        <w:numPr>
          <w:ilvl w:val="0"/>
          <w:numId w:val="33"/>
        </w:numPr>
        <w:rPr>
          <w:rFonts w:eastAsiaTheme="minorEastAsia" w:cstheme="minorBidi"/>
          <w:sz w:val="22"/>
          <w:szCs w:val="22"/>
          <w:rtl/>
        </w:rPr>
      </w:pPr>
      <w:r>
        <w:rPr>
          <w:rFonts w:hint="cs"/>
          <w:rtl/>
        </w:rPr>
        <w:t>דברי התוס' בכתובות דאסור לאכול טהרות מב' שבילין ודברי המהרש"ל דהוא כחוזר וניעור</w:t>
      </w:r>
    </w:p>
    <w:p w:rsidR="0028438A" w:rsidRDefault="0028438A" w:rsidP="001B56A8">
      <w:pPr>
        <w:pStyle w:val="aff2"/>
        <w:numPr>
          <w:ilvl w:val="0"/>
          <w:numId w:val="33"/>
        </w:numPr>
        <w:rPr>
          <w:rFonts w:eastAsiaTheme="minorEastAsia" w:cstheme="minorBidi"/>
          <w:sz w:val="22"/>
          <w:szCs w:val="22"/>
          <w:rtl/>
        </w:rPr>
      </w:pPr>
      <w:r>
        <w:rPr>
          <w:rFonts w:hint="cs"/>
          <w:rtl/>
        </w:rPr>
        <w:lastRenderedPageBreak/>
        <w:t>דברי הקוע"ה דהתוס' בכתובות ס"ל דבביטול ברוב נהפך להיתר ולא דמי לחזקה דהוא הנהגה</w:t>
      </w:r>
    </w:p>
    <w:p w:rsidR="0028438A" w:rsidRDefault="0028438A" w:rsidP="0028438A">
      <w:pPr>
        <w:pStyle w:val="aff4"/>
        <w:rPr>
          <w:rFonts w:eastAsiaTheme="minorEastAsia" w:cstheme="minorBidi"/>
          <w:i/>
          <w:iCs/>
          <w:noProof/>
          <w:sz w:val="22"/>
          <w:szCs w:val="22"/>
          <w:rtl/>
        </w:rPr>
      </w:pPr>
      <w:r>
        <w:rPr>
          <w:rFonts w:hint="cs"/>
          <w:noProof/>
          <w:rtl/>
        </w:rPr>
        <w:t>ביאור הקוה"ע בתורי"ד דביטול ברוב הוא הנהגה כחזקה</w:t>
      </w:r>
    </w:p>
    <w:p w:rsidR="0028438A" w:rsidRDefault="0028438A" w:rsidP="001B56A8">
      <w:pPr>
        <w:pStyle w:val="aff2"/>
        <w:numPr>
          <w:ilvl w:val="0"/>
          <w:numId w:val="33"/>
        </w:numPr>
        <w:rPr>
          <w:rFonts w:eastAsiaTheme="minorEastAsia" w:cstheme="minorBidi"/>
          <w:noProof/>
          <w:sz w:val="22"/>
          <w:szCs w:val="22"/>
          <w:rtl/>
        </w:rPr>
      </w:pPr>
      <w:r>
        <w:rPr>
          <w:rFonts w:hint="cs"/>
          <w:rtl/>
        </w:rPr>
        <w:t>דברי הקוה"ע דהתורי"ד ס"ל כמהרש"ל דביטול ברוב הוא כדין חזקה והאיסור לא נהפך להיתר</w:t>
      </w:r>
    </w:p>
    <w:p w:rsidR="0028438A" w:rsidRDefault="0028438A" w:rsidP="0028438A">
      <w:pPr>
        <w:pStyle w:val="2"/>
        <w:rPr>
          <w:rFonts w:eastAsiaTheme="minorEastAsia" w:cstheme="minorBidi"/>
          <w:i/>
          <w:iCs/>
          <w:sz w:val="22"/>
          <w:szCs w:val="22"/>
          <w:rtl/>
        </w:rPr>
      </w:pPr>
      <w:r>
        <w:rPr>
          <w:rFonts w:hint="cs"/>
          <w:rtl/>
        </w:rPr>
        <w:t>בדעת הרא"ש דהאיסור נהפך להיתר</w:t>
      </w:r>
    </w:p>
    <w:p w:rsidR="0028438A" w:rsidRDefault="0028438A" w:rsidP="0028438A">
      <w:pPr>
        <w:pStyle w:val="aff4"/>
        <w:rPr>
          <w:rFonts w:eastAsiaTheme="minorEastAsia" w:cstheme="minorBidi"/>
          <w:i/>
          <w:iCs/>
          <w:noProof/>
          <w:sz w:val="22"/>
          <w:szCs w:val="22"/>
          <w:rtl/>
        </w:rPr>
      </w:pPr>
      <w:r>
        <w:rPr>
          <w:rFonts w:hint="cs"/>
          <w:noProof/>
          <w:rtl/>
        </w:rPr>
        <w:t>ביאור הקה"</w:t>
      </w:r>
      <w:r>
        <w:rPr>
          <w:rFonts w:hint="cs"/>
          <w:rtl/>
        </w:rPr>
        <w:t>י ברא"ש דאי יש ודאי איסור א"א להתיר כלל</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הקה"י ברא"ש דבודאי איסור א"א להתיר כלל דחלות ההיתר היא על הכל בב"א</w:t>
      </w:r>
    </w:p>
    <w:p w:rsidR="0028438A" w:rsidRDefault="0028438A" w:rsidP="001B56A8">
      <w:pPr>
        <w:pStyle w:val="aff2"/>
        <w:numPr>
          <w:ilvl w:val="0"/>
          <w:numId w:val="33"/>
        </w:numPr>
        <w:rPr>
          <w:rFonts w:eastAsiaTheme="minorEastAsia" w:cstheme="minorBidi"/>
          <w:sz w:val="22"/>
          <w:szCs w:val="22"/>
          <w:rtl/>
        </w:rPr>
      </w:pPr>
      <w:r>
        <w:rPr>
          <w:rFonts w:hint="cs"/>
          <w:rtl/>
        </w:rPr>
        <w:t>דברי הקה"י דאי יש איסור בב"א האיסור כמאן דאיתיה ואף בזאח"ז אסור ומוכח דהכל מותר</w:t>
      </w:r>
    </w:p>
    <w:p w:rsidR="0028438A" w:rsidRDefault="0028438A" w:rsidP="0028438A">
      <w:pPr>
        <w:pStyle w:val="aff4"/>
        <w:rPr>
          <w:rFonts w:eastAsiaTheme="minorEastAsia" w:cstheme="minorBidi"/>
          <w:i/>
          <w:iCs/>
          <w:noProof/>
          <w:sz w:val="22"/>
          <w:szCs w:val="22"/>
          <w:rtl/>
        </w:rPr>
      </w:pPr>
      <w:r>
        <w:rPr>
          <w:rFonts w:hint="cs"/>
          <w:noProof/>
          <w:rtl/>
        </w:rPr>
        <w:t>ביאור שיעורי רבי אלחנן בדעת הרא"ש והרשב"א</w:t>
      </w:r>
    </w:p>
    <w:p w:rsidR="0028438A" w:rsidRDefault="0028438A" w:rsidP="001B56A8">
      <w:pPr>
        <w:pStyle w:val="aff2"/>
        <w:numPr>
          <w:ilvl w:val="0"/>
          <w:numId w:val="33"/>
        </w:numPr>
        <w:rPr>
          <w:rFonts w:eastAsiaTheme="minorEastAsia" w:cstheme="minorBidi"/>
          <w:noProof/>
          <w:sz w:val="22"/>
          <w:szCs w:val="22"/>
          <w:rtl/>
        </w:rPr>
      </w:pPr>
      <w:r>
        <w:rPr>
          <w:rFonts w:hint="cs"/>
          <w:rtl/>
        </w:rPr>
        <w:t>ביאור הגרא"ו ברא"ש דבהלך אחר הרוב סומכים שהספק מותר ובביטול המיעוט בטל לגמרי</w:t>
      </w:r>
    </w:p>
    <w:p w:rsidR="0028438A" w:rsidRDefault="0028438A" w:rsidP="001B56A8">
      <w:pPr>
        <w:pStyle w:val="aff2"/>
        <w:numPr>
          <w:ilvl w:val="0"/>
          <w:numId w:val="33"/>
        </w:numPr>
        <w:rPr>
          <w:rFonts w:eastAsiaTheme="minorEastAsia" w:cstheme="minorBidi"/>
          <w:sz w:val="22"/>
          <w:szCs w:val="22"/>
          <w:rtl/>
        </w:rPr>
      </w:pPr>
      <w:r>
        <w:rPr>
          <w:rFonts w:hint="cs"/>
          <w:rtl/>
        </w:rPr>
        <w:t>דברי הגרא"ו ברשב"א דמכוח בגמ' א"א לומר דביטול ברוב הוא מדין הלך אחר הרוב</w:t>
      </w:r>
    </w:p>
    <w:p w:rsidR="0028438A" w:rsidRDefault="0028438A" w:rsidP="001B56A8">
      <w:pPr>
        <w:pStyle w:val="aff2"/>
        <w:numPr>
          <w:ilvl w:val="0"/>
          <w:numId w:val="33"/>
        </w:numPr>
        <w:rPr>
          <w:rFonts w:eastAsiaTheme="minorEastAsia" w:cstheme="minorBidi"/>
          <w:sz w:val="22"/>
          <w:szCs w:val="22"/>
          <w:rtl/>
        </w:rPr>
      </w:pPr>
      <w:r>
        <w:rPr>
          <w:rFonts w:hint="cs"/>
          <w:rtl/>
        </w:rPr>
        <w:t>דברי הגרא"ו דמוכח דהרשב"א אסר לאכול את כל התערובת בב"א רק מדרבנן ולא מדאו'</w:t>
      </w:r>
    </w:p>
    <w:p w:rsidR="0028438A" w:rsidRDefault="0028438A" w:rsidP="0028438A">
      <w:pPr>
        <w:pStyle w:val="2"/>
        <w:rPr>
          <w:rFonts w:cs="Guttman Hodes"/>
          <w:rtl/>
        </w:rPr>
      </w:pPr>
      <w:r>
        <w:rPr>
          <w:rtl/>
        </w:rPr>
        <w:fldChar w:fldCharType="end"/>
      </w:r>
    </w:p>
    <w:p w:rsidR="0028438A" w:rsidRDefault="0028438A" w:rsidP="0028438A">
      <w:pPr>
        <w:bidi w:val="0"/>
        <w:ind w:left="0"/>
        <w:jc w:val="left"/>
        <w:rPr>
          <w:rFonts w:ascii="FrankRuehl" w:eastAsia="Guttman Adii-Light" w:hAnsi="FrankRuehl" w:cs="Guttman Hodes"/>
          <w:b/>
          <w:bCs/>
          <w:noProof/>
          <w:sz w:val="24"/>
          <w:szCs w:val="24"/>
          <w:rtl/>
        </w:rPr>
        <w:sectPr w:rsidR="0028438A">
          <w:headerReference w:type="default" r:id="rId97"/>
          <w:type w:val="continuous"/>
          <w:pgSz w:w="11906" w:h="16838"/>
          <w:pgMar w:top="720" w:right="720" w:bottom="720" w:left="720" w:header="283" w:footer="283" w:gutter="0"/>
          <w:cols w:num="2" w:space="113"/>
          <w:bidi/>
          <w:rtlGutter/>
        </w:sectPr>
      </w:pPr>
    </w:p>
    <w:p w:rsidR="0028438A" w:rsidRDefault="0028438A" w:rsidP="00E669F8">
      <w:pPr>
        <w:pStyle w:val="afd"/>
        <w:rPr>
          <w:rtl/>
        </w:rPr>
      </w:pPr>
      <w:bookmarkStart w:id="12795" w:name="_Toc23984216"/>
      <w:bookmarkStart w:id="12796" w:name="_Toc23972051"/>
      <w:bookmarkStart w:id="12797" w:name="_Toc23960237"/>
      <w:bookmarkStart w:id="12798" w:name="_Toc23945644"/>
      <w:bookmarkStart w:id="12799" w:name="_Toc23887291"/>
      <w:bookmarkStart w:id="12800" w:name="_Toc23850405"/>
      <w:bookmarkStart w:id="12801" w:name="_Toc23799228"/>
      <w:bookmarkStart w:id="12802" w:name="_Toc23712641"/>
      <w:bookmarkStart w:id="12803" w:name="_Toc23372615"/>
      <w:bookmarkStart w:id="12804" w:name="_Toc23223980"/>
      <w:r>
        <w:rPr>
          <w:rFonts w:hint="cs"/>
          <w:rtl/>
        </w:rPr>
        <w:lastRenderedPageBreak/>
        <w:t>מראי מקומות וביאורים</w:t>
      </w:r>
      <w:bookmarkEnd w:id="12795"/>
      <w:bookmarkEnd w:id="12796"/>
      <w:bookmarkEnd w:id="12797"/>
      <w:bookmarkEnd w:id="12798"/>
      <w:bookmarkEnd w:id="12799"/>
      <w:bookmarkEnd w:id="12800"/>
      <w:bookmarkEnd w:id="12801"/>
      <w:bookmarkEnd w:id="12802"/>
      <w:bookmarkEnd w:id="12803"/>
      <w:bookmarkEnd w:id="12804"/>
    </w:p>
    <w:p w:rsidR="0028438A" w:rsidRDefault="0028438A" w:rsidP="0028438A">
      <w:pPr>
        <w:bidi w:val="0"/>
        <w:ind w:left="0"/>
        <w:jc w:val="left"/>
        <w:rPr>
          <w:rFonts w:ascii="Guttman Adii-Light" w:eastAsia="Guttman Adii-Light" w:hAnsi="Guttman Adii-Light" w:cs="Guttman Hodes"/>
          <w:bCs/>
          <w:sz w:val="18"/>
          <w:szCs w:val="28"/>
          <w:rtl/>
        </w:rPr>
        <w:sectPr w:rsidR="0028438A" w:rsidSect="00445A6C">
          <w:pgSz w:w="11906" w:h="16838"/>
          <w:pgMar w:top="720" w:right="720" w:bottom="720" w:left="720" w:header="283" w:footer="283" w:gutter="0"/>
          <w:cols w:space="720"/>
          <w:bidi/>
          <w:rtlGutter/>
        </w:sectPr>
      </w:pPr>
    </w:p>
    <w:p w:rsidR="0028438A" w:rsidRDefault="0028438A" w:rsidP="00E669F8">
      <w:pPr>
        <w:pStyle w:val="afd"/>
        <w:rPr>
          <w:rtl/>
        </w:rPr>
      </w:pPr>
      <w:bookmarkStart w:id="12805" w:name="_Toc23984217"/>
      <w:bookmarkStart w:id="12806" w:name="_Toc23972052"/>
      <w:bookmarkStart w:id="12807" w:name="_Toc23960238"/>
      <w:bookmarkStart w:id="12808" w:name="_Toc23945645"/>
      <w:bookmarkStart w:id="12809" w:name="_Toc23887292"/>
      <w:bookmarkStart w:id="12810" w:name="_Toc23223981"/>
      <w:bookmarkStart w:id="12811" w:name="_Toc23850406"/>
      <w:bookmarkStart w:id="12812" w:name="_Toc23799229"/>
      <w:bookmarkStart w:id="12813" w:name="_Toc23712642"/>
      <w:r>
        <w:rPr>
          <w:rFonts w:hint="cs"/>
          <w:rtl/>
        </w:rPr>
        <w:t>דעות הראשונים בהיתר התערובת ביבש</w:t>
      </w:r>
      <w:bookmarkEnd w:id="12805"/>
      <w:bookmarkEnd w:id="12806"/>
      <w:bookmarkEnd w:id="12807"/>
      <w:bookmarkEnd w:id="12808"/>
      <w:bookmarkEnd w:id="12809"/>
    </w:p>
    <w:p w:rsidR="0028438A" w:rsidRDefault="0028438A" w:rsidP="00DA6853">
      <w:pPr>
        <w:pStyle w:val="1"/>
        <w:rPr>
          <w:rtl/>
        </w:rPr>
      </w:pPr>
      <w:r>
        <w:rPr>
          <w:rFonts w:hint="cs"/>
          <w:rtl/>
        </w:rPr>
        <w:t>פלוגתת הראשונים אי נהפך להיתר או דיש אופנים שאסור</w:t>
      </w:r>
    </w:p>
    <w:p w:rsidR="0028438A" w:rsidRDefault="0028438A" w:rsidP="0028438A">
      <w:pPr>
        <w:pStyle w:val="a2"/>
        <w:rPr>
          <w:b/>
          <w:bCs/>
          <w:rtl/>
        </w:rPr>
      </w:pPr>
      <w:bookmarkStart w:id="12814" w:name="_Toc23984219"/>
      <w:bookmarkStart w:id="12815" w:name="_Toc23972054"/>
      <w:bookmarkStart w:id="12816" w:name="_Toc23960240"/>
      <w:bookmarkStart w:id="12817" w:name="_Toc23945647"/>
      <w:r>
        <w:rPr>
          <w:rFonts w:hint="cs"/>
          <w:rtl/>
        </w:rPr>
        <w:t>דעת הרא"ש דהאיסור נהפך להיתר והתערובת מותרת בכל האופנים ואף אם חזר ובישלה</w:t>
      </w:r>
      <w:bookmarkEnd w:id="12814"/>
      <w:bookmarkEnd w:id="12815"/>
      <w:bookmarkEnd w:id="12816"/>
      <w:bookmarkEnd w:id="12817"/>
    </w:p>
    <w:p w:rsidR="0028438A" w:rsidRDefault="0028438A" w:rsidP="009F44AF">
      <w:pPr>
        <w:pStyle w:val="a"/>
        <w:numPr>
          <w:ilvl w:val="0"/>
          <w:numId w:val="34"/>
        </w:numPr>
        <w:rPr>
          <w:rtl/>
        </w:rPr>
      </w:pPr>
      <w:r>
        <w:rPr>
          <w:rFonts w:hint="cs"/>
          <w:rtl/>
        </w:rPr>
        <w:t xml:space="preserve">דעת </w:t>
      </w:r>
      <w:r>
        <w:rPr>
          <w:rStyle w:val="af8"/>
          <w:rtl/>
        </w:rPr>
        <w:t xml:space="preserve">הרא"ש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דבמין במינו ביבש ביבש דבטל בחד בתרי, האיסור נהפך להיתר, ומותר לאדם אחד לאכול את כל התערובת אף בבת אחת, והוסיף </w:t>
      </w:r>
      <w:r>
        <w:rPr>
          <w:rStyle w:val="af8"/>
          <w:rtl/>
        </w:rPr>
        <w:t xml:space="preserve">הרא"ש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Ref23930562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מג</w:t>
      </w:r>
      <w:r w:rsidR="004D1C5B">
        <w:rPr>
          <w:rStyle w:val="af6"/>
          <w:rFonts w:eastAsia="Guttman Hodes"/>
          <w:rtl/>
        </w:rPr>
        <w:t>)</w:t>
      </w:r>
      <w:r>
        <w:rPr>
          <w:rFonts w:hint="cs"/>
          <w:rtl/>
        </w:rPr>
        <w:fldChar w:fldCharType="end"/>
      </w:r>
      <w:r>
        <w:rPr>
          <w:rFonts w:hint="cs"/>
          <w:rtl/>
        </w:rPr>
        <w:t xml:space="preserve"> דאף אם חזר ובישל את התערובת מותר, וא"צ שישים, דאעפ"י שנעשה לח בלח, מ"מ הותר האיסור כשהיה יבש.</w:t>
      </w:r>
    </w:p>
    <w:p w:rsidR="0028438A" w:rsidRDefault="0028438A" w:rsidP="0028438A">
      <w:pPr>
        <w:pStyle w:val="a2"/>
        <w:rPr>
          <w:rtl/>
        </w:rPr>
      </w:pPr>
      <w:bookmarkStart w:id="12818" w:name="_Toc23984221"/>
      <w:bookmarkStart w:id="12819" w:name="_Toc23972056"/>
      <w:bookmarkStart w:id="12820" w:name="_Toc23960242"/>
      <w:bookmarkStart w:id="12821" w:name="_Toc23945649"/>
      <w:r>
        <w:rPr>
          <w:rFonts w:hint="cs"/>
          <w:rtl/>
        </w:rPr>
        <w:t>דעות רש"י ותוס' והרשב"א והתוס' רי"ד דהיתר התערובת שהבטלה ברוב אינו בכל האופנים</w:t>
      </w:r>
      <w:bookmarkEnd w:id="12818"/>
      <w:bookmarkEnd w:id="12819"/>
      <w:bookmarkEnd w:id="12820"/>
      <w:bookmarkEnd w:id="12821"/>
    </w:p>
    <w:p w:rsidR="0028438A" w:rsidRDefault="0028438A" w:rsidP="009F44AF">
      <w:pPr>
        <w:pStyle w:val="a"/>
        <w:numPr>
          <w:ilvl w:val="0"/>
          <w:numId w:val="17"/>
        </w:numPr>
        <w:rPr>
          <w:rtl/>
        </w:rPr>
      </w:pPr>
      <w:r>
        <w:rPr>
          <w:rFonts w:hint="cs"/>
          <w:rtl/>
        </w:rPr>
        <w:t xml:space="preserve">ודעת </w:t>
      </w:r>
      <w:r>
        <w:rPr>
          <w:rStyle w:val="af8"/>
          <w:rtl/>
        </w:rPr>
        <w:t xml:space="preserve">רש"י בע"ז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Ref23930403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שצריך להשליך חתיכה אחת מהתערובת לכלבים, ודעת </w:t>
      </w:r>
      <w:r>
        <w:rPr>
          <w:rStyle w:val="af8"/>
          <w:rtl/>
        </w:rPr>
        <w:t xml:space="preserve">התוס'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Ref23708991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דאסור לאדם אחד לאכול את כל התערובת, ודעת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דמותר לאדם אחד לאכול את כל התערובת רק בזה אחר זה, אך אסור לאוכלה בבת אחת, וכתב </w:t>
      </w:r>
      <w:r>
        <w:rPr>
          <w:rStyle w:val="af8"/>
          <w:rtl/>
        </w:rPr>
        <w:t>הרשב"א</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Ref23930681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מח</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דאם בישל את התערובת צריך שישים, ודעת </w:t>
      </w:r>
      <w:r>
        <w:rPr>
          <w:rStyle w:val="af8"/>
          <w:rtl/>
        </w:rPr>
        <w:t>התוס' רי"ד</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Ref23930467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כב</w:t>
      </w:r>
      <w:r w:rsidR="004D1C5B">
        <w:rPr>
          <w:rStyle w:val="af6"/>
          <w:rFonts w:eastAsia="Guttman Hodes"/>
          <w:rtl/>
        </w:rPr>
        <w:t>)</w:t>
      </w:r>
      <w:r>
        <w:rPr>
          <w:rFonts w:hint="cs"/>
          <w:rtl/>
        </w:rPr>
        <w:fldChar w:fldCharType="end"/>
      </w:r>
      <w:r>
        <w:rPr>
          <w:rFonts w:hint="cs"/>
          <w:rtl/>
        </w:rPr>
        <w:t xml:space="preserve"> דאדם אחד שאכל את כל התערובת חייב חטאת.</w:t>
      </w:r>
    </w:p>
    <w:p w:rsidR="0028438A" w:rsidRDefault="0028438A" w:rsidP="00E669F8">
      <w:pPr>
        <w:pStyle w:val="afd"/>
        <w:rPr>
          <w:rtl/>
        </w:rPr>
      </w:pPr>
      <w:bookmarkStart w:id="12822" w:name="_Toc23984222"/>
      <w:bookmarkStart w:id="12823" w:name="_Toc23972057"/>
      <w:bookmarkStart w:id="12824" w:name="_Toc23960243"/>
      <w:bookmarkStart w:id="12825" w:name="_Toc23945650"/>
      <w:bookmarkStart w:id="12826" w:name="_Toc23887293"/>
      <w:r>
        <w:rPr>
          <w:rFonts w:hint="cs"/>
          <w:rtl/>
        </w:rPr>
        <w:t>דעת רש"י בע"ז</w:t>
      </w:r>
      <w:bookmarkEnd w:id="12810"/>
      <w:r>
        <w:rPr>
          <w:rFonts w:hint="cs"/>
          <w:rtl/>
        </w:rPr>
        <w:t xml:space="preserve"> דמשליך חתיכה אחת</w:t>
      </w:r>
      <w:bookmarkEnd w:id="12811"/>
      <w:bookmarkEnd w:id="12812"/>
      <w:bookmarkEnd w:id="12813"/>
      <w:bookmarkEnd w:id="12822"/>
      <w:bookmarkEnd w:id="12823"/>
      <w:bookmarkEnd w:id="12824"/>
      <w:bookmarkEnd w:id="12825"/>
      <w:bookmarkEnd w:id="12826"/>
    </w:p>
    <w:p w:rsidR="0028438A" w:rsidRDefault="0028438A" w:rsidP="00DA6853">
      <w:pPr>
        <w:pStyle w:val="1"/>
        <w:rPr>
          <w:rtl/>
        </w:rPr>
      </w:pPr>
      <w:bookmarkStart w:id="12827" w:name="_Toc23984223"/>
      <w:bookmarkStart w:id="12828" w:name="_Toc23972058"/>
      <w:bookmarkStart w:id="12829" w:name="_Toc23960244"/>
      <w:bookmarkStart w:id="12830" w:name="_Toc23945651"/>
      <w:bookmarkStart w:id="12831" w:name="_Toc23887294"/>
      <w:bookmarkStart w:id="12832" w:name="_Toc23850407"/>
      <w:bookmarkStart w:id="12833" w:name="_Toc23799230"/>
      <w:bookmarkStart w:id="12834" w:name="_Toc23712643"/>
      <w:r>
        <w:rPr>
          <w:rFonts w:hint="cs"/>
          <w:rtl/>
        </w:rPr>
        <w:t>דברי רש"י דחתיכת נבילה שבטלה ברוב צריך להשליך אחת</w:t>
      </w:r>
      <w:bookmarkEnd w:id="12827"/>
      <w:bookmarkEnd w:id="12828"/>
      <w:bookmarkEnd w:id="12829"/>
      <w:bookmarkEnd w:id="12830"/>
      <w:bookmarkEnd w:id="12831"/>
      <w:bookmarkEnd w:id="12832"/>
      <w:bookmarkEnd w:id="12833"/>
    </w:p>
    <w:p w:rsidR="0028438A" w:rsidRDefault="0028438A" w:rsidP="0028438A">
      <w:pPr>
        <w:pStyle w:val="a2"/>
        <w:rPr>
          <w:b/>
          <w:bCs/>
          <w:rtl/>
        </w:rPr>
      </w:pPr>
      <w:bookmarkStart w:id="12835" w:name="_Toc23984224"/>
      <w:bookmarkStart w:id="12836" w:name="_Toc23972059"/>
      <w:bookmarkStart w:id="12837" w:name="_Toc23960245"/>
      <w:bookmarkStart w:id="12838" w:name="_Toc23945652"/>
      <w:bookmarkStart w:id="12839" w:name="_Toc23887295"/>
      <w:bookmarkStart w:id="12840" w:name="_Toc23850408"/>
      <w:bookmarkStart w:id="12841" w:name="_Toc23799231"/>
      <w:r>
        <w:rPr>
          <w:rFonts w:hint="cs"/>
          <w:rtl/>
        </w:rPr>
        <w:t>דברי רש"י בע"ז ור"ת דחתיכת נבילה שבטלה ברוב משליך אחת לכלבים והשאר מותרות</w:t>
      </w:r>
      <w:bookmarkEnd w:id="12834"/>
      <w:bookmarkEnd w:id="12835"/>
      <w:bookmarkEnd w:id="12836"/>
      <w:bookmarkEnd w:id="12837"/>
      <w:bookmarkEnd w:id="12838"/>
      <w:bookmarkEnd w:id="12839"/>
      <w:bookmarkEnd w:id="12840"/>
      <w:bookmarkEnd w:id="12841"/>
    </w:p>
    <w:p w:rsidR="0028438A" w:rsidRDefault="0028438A" w:rsidP="009F44AF">
      <w:pPr>
        <w:pStyle w:val="a"/>
        <w:numPr>
          <w:ilvl w:val="0"/>
          <w:numId w:val="17"/>
        </w:numPr>
        <w:rPr>
          <w:rStyle w:val="afa"/>
          <w:rtl/>
        </w:rPr>
      </w:pPr>
      <w:bookmarkStart w:id="12842" w:name="_Ref23930403"/>
      <w:bookmarkStart w:id="12843" w:name="_Ref24360736"/>
      <w:r>
        <w:rPr>
          <w:rFonts w:hint="cs"/>
          <w:rtl/>
        </w:rPr>
        <w:t xml:space="preserve">כתב </w:t>
      </w:r>
      <w:r>
        <w:rPr>
          <w:rStyle w:val="af8"/>
          <w:rtl/>
        </w:rPr>
        <w:t>רש"י בע"ז</w:t>
      </w:r>
      <w:r>
        <w:rPr>
          <w:rFonts w:hint="cs"/>
          <w:rtl/>
        </w:rPr>
        <w:t xml:space="preserve"> </w:t>
      </w:r>
      <w:r w:rsidRPr="009F44AF">
        <w:rPr>
          <w:rStyle w:val="af6"/>
          <w:rFonts w:eastAsia="Guttman Hodes" w:hint="cs"/>
          <w:rtl/>
        </w:rPr>
        <w:t>(עד. ד"ה תרתי)</w:t>
      </w:r>
      <w:r>
        <w:rPr>
          <w:rFonts w:hint="cs"/>
          <w:rtl/>
        </w:rPr>
        <w:t xml:space="preserve"> דחתיכת נבילה שבטלה ברובא, משליך חתיכה אחת לכלבים, ושאר החתיכות מותרות באכילה, והוסיף </w:t>
      </w:r>
      <w:r>
        <w:rPr>
          <w:rStyle w:val="af8"/>
          <w:rtl/>
        </w:rPr>
        <w:t>הגר"א</w:t>
      </w:r>
      <w:r>
        <w:rPr>
          <w:rFonts w:hint="cs"/>
          <w:rtl/>
        </w:rPr>
        <w:t xml:space="preserve"> </w:t>
      </w:r>
      <w:r w:rsidRPr="009F44AF">
        <w:rPr>
          <w:rStyle w:val="af6"/>
          <w:rFonts w:eastAsia="Guttman Hodes" w:hint="cs"/>
          <w:rtl/>
        </w:rPr>
        <w:t>(סי' ק"ט סק"ז)</w:t>
      </w:r>
      <w:r>
        <w:rPr>
          <w:rFonts w:hint="cs"/>
          <w:rtl/>
        </w:rPr>
        <w:t xml:space="preserve"> דכן מבואר </w:t>
      </w:r>
      <w:r>
        <w:rPr>
          <w:rStyle w:val="af8"/>
          <w:rtl/>
        </w:rPr>
        <w:t>ברש"י בביצה</w:t>
      </w:r>
      <w:r>
        <w:rPr>
          <w:rFonts w:hint="cs"/>
          <w:rtl/>
        </w:rPr>
        <w:t xml:space="preserve"> </w:t>
      </w:r>
      <w:r w:rsidRPr="009F44AF">
        <w:rPr>
          <w:rStyle w:val="af6"/>
          <w:rFonts w:eastAsia="Guttman Hodes" w:hint="cs"/>
          <w:rtl/>
        </w:rPr>
        <w:t>(ג: ד"ה יעלו)</w:t>
      </w:r>
      <w:r>
        <w:rPr>
          <w:rFonts w:hint="cs"/>
          <w:rtl/>
        </w:rPr>
        <w:t xml:space="preserve">, </w:t>
      </w:r>
      <w:r>
        <w:rPr>
          <w:rStyle w:val="afa"/>
          <w:rtl/>
        </w:rPr>
        <w:t xml:space="preserve">[וביאר </w:t>
      </w:r>
      <w:r>
        <w:rPr>
          <w:rStyle w:val="affa"/>
          <w:rtl/>
        </w:rPr>
        <w:t>רש"י בע"ז</w:t>
      </w:r>
      <w:r>
        <w:rPr>
          <w:rStyle w:val="afa"/>
          <w:rtl/>
        </w:rPr>
        <w:t xml:space="preserve"> דס"ל לתנא דמתני' בע"ז </w:t>
      </w:r>
      <w:r>
        <w:rPr>
          <w:rStyle w:val="aff6"/>
          <w:rtl/>
        </w:rPr>
        <w:t>(עד.)</w:t>
      </w:r>
      <w:r>
        <w:rPr>
          <w:rStyle w:val="afa"/>
          <w:rtl/>
        </w:rPr>
        <w:t xml:space="preserve"> דהא דמהני ביטול ברוב, הוא רק בדבר שאינו במנין ואינו איסור הנאה, ולכן ס"ל לתנא דמתני' דחתיכת נבילה בטלה ברוב דאף כשהיא דבר שבמנין, מ"מ אינה איסור הנאה</w:t>
      </w:r>
      <w:r>
        <w:rPr>
          <w:rStyle w:val="af0"/>
          <w:rtl/>
        </w:rPr>
        <w:footnoteReference w:id="66"/>
      </w:r>
      <w:r>
        <w:rPr>
          <w:rStyle w:val="afa"/>
          <w:rtl/>
        </w:rPr>
        <w:t xml:space="preserve">, וכתב </w:t>
      </w:r>
      <w:r>
        <w:rPr>
          <w:rStyle w:val="affa"/>
          <w:rtl/>
        </w:rPr>
        <w:t>רש"י בע"ז</w:t>
      </w:r>
      <w:r>
        <w:rPr>
          <w:rStyle w:val="afa"/>
          <w:rtl/>
        </w:rPr>
        <w:t xml:space="preserve"> דמשליך אחת לכלבים והשאר מותר. ובפרוסת חמץ שהתערבה בפרוסות מצות, כתב </w:t>
      </w:r>
      <w:r>
        <w:rPr>
          <w:rStyle w:val="affa"/>
          <w:rtl/>
        </w:rPr>
        <w:t>רש"י בע"ז</w:t>
      </w:r>
      <w:r>
        <w:rPr>
          <w:rStyle w:val="afa"/>
          <w:rtl/>
        </w:rPr>
        <w:t xml:space="preserve"> דס"ל לתנא דמתני' דאף שחמץ הוא איסור הנאה מ"מ הפרוסה אינה דבר שבמנין ובטלה ברוב, וכתב </w:t>
      </w:r>
      <w:r>
        <w:rPr>
          <w:rStyle w:val="affa"/>
          <w:rtl/>
        </w:rPr>
        <w:t>רש"י בע"ז</w:t>
      </w:r>
      <w:r>
        <w:rPr>
          <w:rStyle w:val="afa"/>
          <w:rtl/>
        </w:rPr>
        <w:t xml:space="preserve"> דמשליך אחת לנהר, והשאר מותר לתת לכלבו</w:t>
      </w:r>
      <w:r>
        <w:rPr>
          <w:rStyle w:val="af0"/>
          <w:rtl/>
        </w:rPr>
        <w:footnoteReference w:id="67"/>
      </w:r>
      <w:r>
        <w:rPr>
          <w:rStyle w:val="afa"/>
          <w:rtl/>
        </w:rPr>
        <w:t>]</w:t>
      </w:r>
      <w:bookmarkEnd w:id="12842"/>
      <w:r>
        <w:rPr>
          <w:rStyle w:val="afa"/>
          <w:rtl/>
        </w:rPr>
        <w:t xml:space="preserve">, </w:t>
      </w:r>
      <w:r>
        <w:rPr>
          <w:rFonts w:hint="cs"/>
          <w:rtl/>
        </w:rPr>
        <w:t>וכ"כ</w:t>
      </w:r>
      <w:r>
        <w:rPr>
          <w:rStyle w:val="af8"/>
          <w:rtl/>
        </w:rPr>
        <w:t xml:space="preserve"> המרדכי בביצה</w:t>
      </w:r>
      <w:r>
        <w:rPr>
          <w:rFonts w:hint="cs"/>
          <w:rtl/>
        </w:rPr>
        <w:t xml:space="preserve"> </w:t>
      </w:r>
      <w:r w:rsidRPr="009F44AF">
        <w:rPr>
          <w:rStyle w:val="af6"/>
          <w:rFonts w:eastAsia="Guttman Hodes" w:hint="cs"/>
          <w:rtl/>
        </w:rPr>
        <w:t>(רמז תרמ"ז)</w:t>
      </w:r>
      <w:r>
        <w:rPr>
          <w:rFonts w:hint="cs"/>
          <w:rtl/>
        </w:rPr>
        <w:t xml:space="preserve"> בשם </w:t>
      </w:r>
      <w:r>
        <w:rPr>
          <w:rStyle w:val="af8"/>
          <w:rtl/>
        </w:rPr>
        <w:t>ר"ת</w:t>
      </w:r>
      <w:r>
        <w:rPr>
          <w:rFonts w:hint="cs"/>
          <w:rtl/>
        </w:rPr>
        <w:t xml:space="preserve"> דחתיכת נבילה שאינה ראויה להתכבד שהתערבה בחתיכות שחוטות, דמשליך אחת, והשאר מותרות, כדאיתא בירושלמי בערלה </w:t>
      </w:r>
      <w:r w:rsidRPr="009F44AF">
        <w:rPr>
          <w:rStyle w:val="af6"/>
          <w:rFonts w:eastAsia="Guttman Hodes" w:hint="cs"/>
          <w:rtl/>
        </w:rPr>
        <w:t>(פ"ב ה"א, י:)</w:t>
      </w:r>
      <w:r>
        <w:rPr>
          <w:rStyle w:val="afa"/>
          <w:rtl/>
        </w:rPr>
        <w:t xml:space="preserve"> </w:t>
      </w:r>
      <w:r>
        <w:rPr>
          <w:rFonts w:hint="cs"/>
          <w:rtl/>
        </w:rPr>
        <w:t xml:space="preserve">דחולין שהתערבו בתרומה, צריך להעלות אחת מפני גזל ממון השבט. </w:t>
      </w:r>
      <w:r>
        <w:rPr>
          <w:rStyle w:val="afa"/>
          <w:rtl/>
        </w:rPr>
        <w:t xml:space="preserve">[ועי' בדברי </w:t>
      </w:r>
      <w:r>
        <w:rPr>
          <w:rStyle w:val="affa"/>
          <w:rtl/>
        </w:rPr>
        <w:t>השערי דורא</w:t>
      </w:r>
      <w:r>
        <w:rPr>
          <w:rFonts w:hint="cs"/>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Ref23782398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יא)</w:t>
      </w:r>
      <w:r>
        <w:rPr>
          <w:rFonts w:hint="cs"/>
          <w:rtl/>
        </w:rPr>
        <w:fldChar w:fldCharType="end"/>
      </w:r>
      <w:r>
        <w:rPr>
          <w:rFonts w:hint="cs"/>
          <w:rtl/>
        </w:rPr>
        <w:t xml:space="preserve"> </w:t>
      </w:r>
      <w:r>
        <w:rPr>
          <w:rStyle w:val="afa"/>
          <w:rtl/>
        </w:rPr>
        <w:t xml:space="preserve">בשם </w:t>
      </w:r>
      <w:r>
        <w:rPr>
          <w:rStyle w:val="affa"/>
          <w:rtl/>
        </w:rPr>
        <w:t>ר"ת</w:t>
      </w:r>
      <w:r>
        <w:rPr>
          <w:rStyle w:val="afa"/>
          <w:rtl/>
        </w:rPr>
        <w:t xml:space="preserve">, ובמ"ש </w:t>
      </w:r>
      <w:r>
        <w:rPr>
          <w:rStyle w:val="affa"/>
          <w:rtl/>
        </w:rPr>
        <w:t>בהג' שערי דורא</w:t>
      </w:r>
      <w:r>
        <w:rPr>
          <w:rFonts w:hint="cs"/>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Ref23709756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68</w:t>
      </w:r>
      <w:r>
        <w:rPr>
          <w:rFonts w:hint="cs"/>
          <w:rtl/>
        </w:rPr>
        <w:fldChar w:fldCharType="end"/>
      </w:r>
      <w:r>
        <w:rPr>
          <w:rStyle w:val="aff6"/>
          <w:rtl/>
        </w:rPr>
        <w:t>)</w:t>
      </w:r>
      <w:r>
        <w:rPr>
          <w:rFonts w:hint="cs"/>
          <w:rtl/>
        </w:rPr>
        <w:t xml:space="preserve"> </w:t>
      </w:r>
      <w:r>
        <w:rPr>
          <w:rStyle w:val="afa"/>
          <w:rtl/>
        </w:rPr>
        <w:t>להלכה].</w:t>
      </w:r>
      <w:bookmarkEnd w:id="12843"/>
    </w:p>
    <w:p w:rsidR="0028438A" w:rsidRDefault="0028438A" w:rsidP="0028438A">
      <w:pPr>
        <w:pStyle w:val="a2"/>
        <w:rPr>
          <w:rtl/>
        </w:rPr>
      </w:pPr>
      <w:bookmarkStart w:id="12844" w:name="_Toc23984225"/>
      <w:bookmarkStart w:id="12845" w:name="_Toc23972060"/>
      <w:bookmarkStart w:id="12846" w:name="_Toc23960246"/>
      <w:bookmarkStart w:id="12847" w:name="_Toc23945653"/>
      <w:bookmarkStart w:id="12848" w:name="_Toc23887296"/>
      <w:bookmarkStart w:id="12849" w:name="_Toc23850409"/>
      <w:bookmarkStart w:id="12850" w:name="_Toc23799232"/>
      <w:bookmarkStart w:id="12851" w:name="_Toc23712644"/>
      <w:r>
        <w:rPr>
          <w:rFonts w:hint="cs"/>
          <w:rtl/>
        </w:rPr>
        <w:t>קושית הראשונים על רש"י דרק בגזל השבט צריך להרים אחד אבל בביטול ברוב הכל מותר</w:t>
      </w:r>
      <w:bookmarkEnd w:id="12844"/>
      <w:bookmarkEnd w:id="12845"/>
      <w:bookmarkEnd w:id="12846"/>
      <w:bookmarkEnd w:id="12847"/>
      <w:bookmarkEnd w:id="12848"/>
      <w:bookmarkEnd w:id="12849"/>
      <w:bookmarkEnd w:id="12850"/>
      <w:bookmarkEnd w:id="12851"/>
    </w:p>
    <w:p w:rsidR="0028438A" w:rsidRDefault="0028438A" w:rsidP="009F44AF">
      <w:pPr>
        <w:pStyle w:val="a"/>
        <w:numPr>
          <w:ilvl w:val="0"/>
          <w:numId w:val="17"/>
        </w:numPr>
        <w:rPr>
          <w:rtl/>
        </w:rPr>
      </w:pPr>
      <w:r>
        <w:rPr>
          <w:rFonts w:hint="cs"/>
          <w:rtl/>
        </w:rPr>
        <w:t xml:space="preserve">והקשו </w:t>
      </w:r>
      <w:r>
        <w:rPr>
          <w:rStyle w:val="af8"/>
          <w:rtl/>
        </w:rPr>
        <w:t>הרמב"ן בע"ז</w:t>
      </w:r>
      <w:r>
        <w:rPr>
          <w:rFonts w:hint="cs"/>
          <w:rtl/>
        </w:rPr>
        <w:t xml:space="preserve"> </w:t>
      </w:r>
      <w:r w:rsidRPr="009F44AF">
        <w:rPr>
          <w:rStyle w:val="af6"/>
          <w:rFonts w:eastAsia="Guttman Hodes" w:hint="cs"/>
          <w:rtl/>
        </w:rPr>
        <w:t xml:space="preserve">(עד. ד"ה ומה) </w:t>
      </w:r>
      <w:r>
        <w:rPr>
          <w:rStyle w:val="af8"/>
          <w:rtl/>
        </w:rPr>
        <w:t>והרשב"א בע"ז</w:t>
      </w:r>
      <w:r>
        <w:rPr>
          <w:rFonts w:hint="cs"/>
          <w:rtl/>
        </w:rPr>
        <w:t xml:space="preserve"> </w:t>
      </w:r>
      <w:r w:rsidRPr="009F44AF">
        <w:rPr>
          <w:rStyle w:val="af6"/>
          <w:rFonts w:eastAsia="Guttman Hodes" w:hint="cs"/>
          <w:rtl/>
        </w:rPr>
        <w:t xml:space="preserve">(עד. ד"ה גם) </w:t>
      </w:r>
      <w:r>
        <w:rPr>
          <w:rStyle w:val="af8"/>
          <w:rtl/>
        </w:rPr>
        <w:t>והרא"ש בע"ז</w:t>
      </w:r>
      <w:r>
        <w:rPr>
          <w:rFonts w:hint="cs"/>
          <w:rtl/>
        </w:rPr>
        <w:t xml:space="preserve"> </w:t>
      </w:r>
      <w:r w:rsidRPr="009F44AF">
        <w:rPr>
          <w:rStyle w:val="af6"/>
          <w:rFonts w:eastAsia="Guttman Hodes" w:hint="cs"/>
          <w:rtl/>
        </w:rPr>
        <w:t xml:space="preserve">(פ"ה סי' ל') </w:t>
      </w:r>
      <w:r>
        <w:rPr>
          <w:rFonts w:hint="cs"/>
          <w:rtl/>
        </w:rPr>
        <w:t xml:space="preserve">על דברי </w:t>
      </w:r>
      <w:r>
        <w:rPr>
          <w:rStyle w:val="af8"/>
          <w:rtl/>
        </w:rPr>
        <w:t>רש"י בע"ז</w:t>
      </w:r>
      <w:r>
        <w:rPr>
          <w:rFonts w:hint="cs"/>
          <w:rtl/>
        </w:rPr>
        <w:t xml:space="preserve"> דהא מבואר במתני' בערלה </w:t>
      </w:r>
      <w:r w:rsidRPr="009F44AF">
        <w:rPr>
          <w:rStyle w:val="af6"/>
          <w:rFonts w:eastAsia="Guttman Hodes" w:hint="cs"/>
          <w:rtl/>
        </w:rPr>
        <w:t xml:space="preserve">(פ"ב מ"א) </w:t>
      </w:r>
      <w:r>
        <w:rPr>
          <w:rFonts w:hint="cs"/>
          <w:rtl/>
        </w:rPr>
        <w:t xml:space="preserve">דבכל איסור שבטל ברוב, א"צ להשליך חתיכה אחת מהתערובת, ורק במתנות כהונה כתרומה וחלה, צריך להרים אחד מהתערובת, וביאר הירושלמי בערלה </w:t>
      </w:r>
      <w:r w:rsidRPr="009F44AF">
        <w:rPr>
          <w:rStyle w:val="af6"/>
          <w:rFonts w:eastAsia="Guttman Hodes" w:hint="cs"/>
          <w:rtl/>
        </w:rPr>
        <w:t xml:space="preserve">(פ"ב ה"א, י:) </w:t>
      </w:r>
      <w:r>
        <w:rPr>
          <w:rFonts w:hint="cs"/>
          <w:rtl/>
        </w:rPr>
        <w:t xml:space="preserve">דאי"ז מחמת האיסור המעורב, אלא מחמת גזל ממון השבט, אבל באיסור שהתבטל בהיתר, כתב </w:t>
      </w:r>
      <w:r>
        <w:rPr>
          <w:rStyle w:val="af8"/>
          <w:rtl/>
        </w:rPr>
        <w:t>הרשב"א בע"ז</w:t>
      </w:r>
      <w:r>
        <w:rPr>
          <w:rFonts w:hint="cs"/>
          <w:rtl/>
        </w:rPr>
        <w:t xml:space="preserve"> דכיון שאין כל נדון של גזל אם הם של אדם אחד, א"צ להרים אחד מהתערובת</w:t>
      </w:r>
      <w:bookmarkStart w:id="12852" w:name="_Ref23709756"/>
      <w:r>
        <w:rPr>
          <w:rStyle w:val="af0"/>
          <w:rtl/>
        </w:rPr>
        <w:footnoteReference w:id="68"/>
      </w:r>
      <w:bookmarkEnd w:id="12852"/>
      <w:r>
        <w:rPr>
          <w:rFonts w:hint="cs"/>
          <w:rtl/>
        </w:rPr>
        <w:t>.</w:t>
      </w:r>
    </w:p>
    <w:p w:rsidR="0028438A" w:rsidRDefault="0028438A" w:rsidP="0028438A">
      <w:pPr>
        <w:pStyle w:val="a2"/>
        <w:rPr>
          <w:rtl/>
        </w:rPr>
      </w:pPr>
      <w:bookmarkStart w:id="12853" w:name="_Toc23984226"/>
      <w:bookmarkStart w:id="12854" w:name="_Toc23972061"/>
      <w:bookmarkStart w:id="12855" w:name="_Toc23960247"/>
      <w:bookmarkStart w:id="12856" w:name="_Toc23945654"/>
      <w:bookmarkStart w:id="12857" w:name="_Toc23887297"/>
      <w:bookmarkStart w:id="12858" w:name="_Toc23850410"/>
      <w:bookmarkStart w:id="12859" w:name="_Toc23799233"/>
      <w:bookmarkStart w:id="12860" w:name="_Toc23712645"/>
      <w:r>
        <w:rPr>
          <w:rFonts w:hint="cs"/>
          <w:rtl/>
        </w:rPr>
        <w:t>תירוץ המרדכי דבלח שאינו אוכל כ"א בפנ"ע מותר וביבש שאוכל את האיסור לבדו משליך א'</w:t>
      </w:r>
      <w:bookmarkEnd w:id="12853"/>
      <w:bookmarkEnd w:id="12854"/>
      <w:bookmarkEnd w:id="12855"/>
      <w:bookmarkEnd w:id="12856"/>
      <w:bookmarkEnd w:id="12857"/>
      <w:bookmarkEnd w:id="12858"/>
      <w:bookmarkEnd w:id="12859"/>
      <w:bookmarkEnd w:id="12860"/>
    </w:p>
    <w:p w:rsidR="0028438A" w:rsidRDefault="0028438A" w:rsidP="009F44AF">
      <w:pPr>
        <w:pStyle w:val="a"/>
        <w:numPr>
          <w:ilvl w:val="0"/>
          <w:numId w:val="17"/>
        </w:numPr>
        <w:rPr>
          <w:rtl/>
        </w:rPr>
      </w:pPr>
      <w:bookmarkStart w:id="12861" w:name="_Ref23885740"/>
      <w:r>
        <w:rPr>
          <w:rFonts w:hint="cs"/>
          <w:rtl/>
        </w:rPr>
        <w:t xml:space="preserve">והביאו </w:t>
      </w:r>
      <w:r>
        <w:rPr>
          <w:rStyle w:val="af8"/>
          <w:rtl/>
        </w:rPr>
        <w:t>הגר"א</w:t>
      </w:r>
      <w:r>
        <w:rPr>
          <w:rFonts w:hint="cs"/>
          <w:rtl/>
        </w:rPr>
        <w:t xml:space="preserve"> </w:t>
      </w:r>
      <w:r w:rsidRPr="009F44AF">
        <w:rPr>
          <w:rStyle w:val="af6"/>
          <w:rFonts w:eastAsia="Guttman Hodes" w:hint="cs"/>
          <w:rtl/>
        </w:rPr>
        <w:t>(סי' ק"ט סק"ז)</w:t>
      </w:r>
      <w:r>
        <w:rPr>
          <w:rFonts w:hint="cs"/>
          <w:rtl/>
        </w:rPr>
        <w:t xml:space="preserve"> </w:t>
      </w:r>
      <w:r>
        <w:rPr>
          <w:rStyle w:val="af8"/>
          <w:rtl/>
        </w:rPr>
        <w:t>והיד יהודה</w:t>
      </w:r>
      <w:r>
        <w:rPr>
          <w:rFonts w:hint="cs"/>
          <w:rtl/>
        </w:rPr>
        <w:t xml:space="preserve"> </w:t>
      </w:r>
      <w:r w:rsidRPr="009F44AF">
        <w:rPr>
          <w:rStyle w:val="af6"/>
          <w:rFonts w:eastAsia="Guttman Hodes" w:hint="cs"/>
          <w:rtl/>
        </w:rPr>
        <w:t>(סי' ק"ט סק"ג ד"ה והנה כל הפוסקים)</w:t>
      </w:r>
      <w:r>
        <w:rPr>
          <w:rFonts w:hint="cs"/>
          <w:rtl/>
        </w:rPr>
        <w:t xml:space="preserve"> את דברי </w:t>
      </w:r>
      <w:r>
        <w:rPr>
          <w:rStyle w:val="af8"/>
          <w:rtl/>
        </w:rPr>
        <w:t>המרדכי בביצה</w:t>
      </w:r>
      <w:r>
        <w:rPr>
          <w:rFonts w:hint="cs"/>
          <w:rtl/>
        </w:rPr>
        <w:t xml:space="preserve"> </w:t>
      </w:r>
      <w:r w:rsidRPr="009F44AF">
        <w:rPr>
          <w:rStyle w:val="af6"/>
          <w:rFonts w:eastAsia="Guttman Hodes" w:hint="cs"/>
          <w:rtl/>
        </w:rPr>
        <w:t>(רמז תרמ"ז)</w:t>
      </w:r>
      <w:r>
        <w:rPr>
          <w:rFonts w:hint="cs"/>
          <w:rtl/>
        </w:rPr>
        <w:t xml:space="preserve"> דתירץ את קושית </w:t>
      </w:r>
      <w:r>
        <w:rPr>
          <w:rStyle w:val="af8"/>
          <w:rtl/>
        </w:rPr>
        <w:t>הראשונים</w:t>
      </w:r>
      <w:r>
        <w:rPr>
          <w:rFonts w:hint="cs"/>
          <w:rtl/>
        </w:rPr>
        <w:t xml:space="preserve"> על </w:t>
      </w:r>
      <w:r>
        <w:rPr>
          <w:rStyle w:val="af8"/>
          <w:rtl/>
        </w:rPr>
        <w:t>רש"י בע"ז</w:t>
      </w:r>
      <w:r>
        <w:rPr>
          <w:rFonts w:hint="cs"/>
          <w:rtl/>
        </w:rPr>
        <w:t>, דהא דמבואר בירושלמי בערלה דרק מחמת גזל ממון השבט צריך להעלות אחד, זהו דוקא בתערובת שא"א לאכול את האיסור בפנ"ע דהכל מעורב יחד, אבל ביבש ביבש שיכול לאכול את האיסור לבדו, צריך להשליך חתיכה אחת.</w:t>
      </w:r>
      <w:bookmarkEnd w:id="12861"/>
    </w:p>
    <w:p w:rsidR="0028438A" w:rsidRDefault="0028438A" w:rsidP="00DA6853">
      <w:pPr>
        <w:pStyle w:val="1"/>
        <w:rPr>
          <w:rtl/>
        </w:rPr>
      </w:pPr>
      <w:bookmarkStart w:id="12862" w:name="_Toc23945655"/>
      <w:bookmarkStart w:id="12863" w:name="_Toc23887298"/>
      <w:bookmarkStart w:id="12864" w:name="_Toc23984227"/>
      <w:bookmarkStart w:id="12865" w:name="_Toc23972062"/>
      <w:bookmarkStart w:id="12866" w:name="_Toc23960248"/>
      <w:r>
        <w:rPr>
          <w:rFonts w:hint="cs"/>
          <w:rtl/>
        </w:rPr>
        <w:t>ביאור היד יהודה ברש"י</w:t>
      </w:r>
      <w:bookmarkEnd w:id="12862"/>
      <w:bookmarkEnd w:id="12863"/>
      <w:r>
        <w:rPr>
          <w:rFonts w:hint="cs"/>
          <w:rtl/>
        </w:rPr>
        <w:t xml:space="preserve"> דביבש שהאיסור בפנ"ע צריך להשליך</w:t>
      </w:r>
      <w:bookmarkEnd w:id="12864"/>
      <w:bookmarkEnd w:id="12865"/>
      <w:bookmarkEnd w:id="12866"/>
      <w:r>
        <w:rPr>
          <w:rFonts w:hint="cs"/>
          <w:rtl/>
        </w:rPr>
        <w:t xml:space="preserve"> </w:t>
      </w:r>
    </w:p>
    <w:p w:rsidR="0028438A" w:rsidRDefault="0028438A" w:rsidP="0028438A">
      <w:pPr>
        <w:pStyle w:val="a2"/>
        <w:rPr>
          <w:b/>
          <w:bCs/>
          <w:rtl/>
        </w:rPr>
      </w:pPr>
      <w:bookmarkStart w:id="12867" w:name="_Toc23984228"/>
      <w:bookmarkStart w:id="12868" w:name="_Toc23972063"/>
      <w:bookmarkStart w:id="12869" w:name="_Toc23960249"/>
      <w:bookmarkStart w:id="12870" w:name="_Toc23945656"/>
      <w:r>
        <w:rPr>
          <w:rFonts w:hint="cs"/>
          <w:rtl/>
        </w:rPr>
        <w:t>ביאור היד יהודה דביבש שהוא בפנ"ע ויכול לומר שהשליכו צריך להשליך ולא באיסור מעורב</w:t>
      </w:r>
      <w:bookmarkEnd w:id="12867"/>
      <w:bookmarkEnd w:id="12868"/>
      <w:bookmarkEnd w:id="12869"/>
      <w:bookmarkEnd w:id="12870"/>
    </w:p>
    <w:p w:rsidR="0028438A" w:rsidRDefault="0028438A" w:rsidP="009F44AF">
      <w:pPr>
        <w:pStyle w:val="a"/>
        <w:numPr>
          <w:ilvl w:val="0"/>
          <w:numId w:val="17"/>
        </w:numPr>
        <w:rPr>
          <w:rtl/>
        </w:rPr>
      </w:pPr>
      <w:bookmarkStart w:id="12871" w:name="_Toc23850411"/>
      <w:bookmarkStart w:id="12872" w:name="_Toc23799234"/>
      <w:bookmarkStart w:id="12873" w:name="_Toc23712646"/>
      <w:bookmarkStart w:id="12874" w:name="_Toc23223982"/>
      <w:bookmarkStart w:id="12875" w:name="_Toc22638903"/>
      <w:r>
        <w:rPr>
          <w:rFonts w:hint="cs"/>
          <w:rtl/>
        </w:rPr>
        <w:t xml:space="preserve">וביאר </w:t>
      </w:r>
      <w:r>
        <w:rPr>
          <w:rStyle w:val="af8"/>
          <w:rtl/>
        </w:rPr>
        <w:t>היד יהודה</w:t>
      </w:r>
      <w:r>
        <w:rPr>
          <w:rFonts w:hint="cs"/>
          <w:rtl/>
        </w:rPr>
        <w:t xml:space="preserve"> </w:t>
      </w:r>
      <w:r w:rsidRPr="009F44AF">
        <w:rPr>
          <w:rStyle w:val="af6"/>
          <w:rFonts w:eastAsia="Guttman Hodes" w:hint="cs"/>
          <w:rtl/>
        </w:rPr>
        <w:t>(סי' ק"ט סק"ג ד"ה והנה כל הפוסקים)</w:t>
      </w:r>
      <w:r>
        <w:rPr>
          <w:rFonts w:hint="cs"/>
          <w:rtl/>
        </w:rPr>
        <w:t xml:space="preserve"> את תירוץ </w:t>
      </w:r>
      <w:r>
        <w:rPr>
          <w:rStyle w:val="af8"/>
          <w:rtl/>
        </w:rPr>
        <w:t>המרדכי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Ref23885740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ה</w:t>
      </w:r>
      <w:r w:rsidR="004D1C5B">
        <w:rPr>
          <w:rStyle w:val="af6"/>
          <w:rFonts w:eastAsia="Guttman Hodes"/>
          <w:rtl/>
        </w:rPr>
        <w:t>)</w:t>
      </w:r>
      <w:r>
        <w:rPr>
          <w:rFonts w:hint="cs"/>
          <w:rtl/>
        </w:rPr>
        <w:fldChar w:fldCharType="end"/>
      </w:r>
      <w:r>
        <w:rPr>
          <w:rFonts w:hint="cs"/>
          <w:rtl/>
        </w:rPr>
        <w:t xml:space="preserve"> דביבש כשמשליך אחד יכול לומר שזרק את האיסור, אבל אם לא השליך אחד, יכול להיות שיהנה מהאיסור לבדו, כשיאכלו בפנ"ע ולא בתערובת, אבל בלח בלח, כתב </w:t>
      </w:r>
      <w:r>
        <w:rPr>
          <w:rStyle w:val="af8"/>
          <w:rtl/>
        </w:rPr>
        <w:t>היד יהודה</w:t>
      </w:r>
      <w:r>
        <w:rPr>
          <w:rFonts w:hint="cs"/>
          <w:rtl/>
        </w:rPr>
        <w:t xml:space="preserve"> דמודה </w:t>
      </w:r>
      <w:r>
        <w:rPr>
          <w:rStyle w:val="af8"/>
          <w:rtl/>
        </w:rPr>
        <w:t>רש"י</w:t>
      </w:r>
      <w:r>
        <w:rPr>
          <w:rFonts w:hint="cs"/>
          <w:rtl/>
        </w:rPr>
        <w:t xml:space="preserve"> דא"צ להשליך אחד, כיון שאינו יכול לאכול את האיסור בפנ"ע, דתמיד הוא מעורב עם ההיתר, וכתב </w:t>
      </w:r>
      <w:r>
        <w:rPr>
          <w:rStyle w:val="af8"/>
          <w:rtl/>
        </w:rPr>
        <w:t>היד יהודה</w:t>
      </w:r>
      <w:r>
        <w:rPr>
          <w:rFonts w:hint="cs"/>
          <w:rtl/>
        </w:rPr>
        <w:t xml:space="preserve"> דלאו דוקא בלח בלח, אלא כל דבר שאינו עומד בפנ"ע, כתבואה וכיו"ב דא"צ להשליך, ולכן תנן בערלה דרק מחמת גזל השבט, צריך להעלות אחד.</w:t>
      </w:r>
    </w:p>
    <w:p w:rsidR="0028438A" w:rsidRDefault="0028438A" w:rsidP="0028438A">
      <w:pPr>
        <w:pStyle w:val="a2"/>
      </w:pPr>
      <w:bookmarkStart w:id="12876" w:name="_Toc23984229"/>
      <w:bookmarkStart w:id="12877" w:name="_Toc23972064"/>
      <w:bookmarkStart w:id="12878" w:name="_Toc23960250"/>
      <w:bookmarkStart w:id="12879" w:name="_Toc23945657"/>
      <w:bookmarkStart w:id="12880" w:name="_Toc23887299"/>
      <w:r>
        <w:rPr>
          <w:rFonts w:hint="cs"/>
          <w:rtl/>
        </w:rPr>
        <w:t>דברי היד יהודה דברש"י בבכורות מוכח דבלח בלח רק מחמת ממון השבט צריך לתת אחת</w:t>
      </w:r>
      <w:bookmarkEnd w:id="12871"/>
      <w:bookmarkEnd w:id="12872"/>
      <w:bookmarkEnd w:id="12873"/>
      <w:bookmarkEnd w:id="12876"/>
      <w:bookmarkEnd w:id="12877"/>
      <w:bookmarkEnd w:id="12878"/>
      <w:bookmarkEnd w:id="12879"/>
      <w:bookmarkEnd w:id="12880"/>
    </w:p>
    <w:p w:rsidR="0028438A" w:rsidRDefault="0028438A" w:rsidP="009F44AF">
      <w:pPr>
        <w:pStyle w:val="a"/>
        <w:numPr>
          <w:ilvl w:val="0"/>
          <w:numId w:val="17"/>
        </w:numPr>
        <w:rPr>
          <w:rtl/>
        </w:rPr>
      </w:pPr>
      <w:r>
        <w:rPr>
          <w:rFonts w:hint="cs"/>
          <w:rtl/>
        </w:rPr>
        <w:t xml:space="preserve">והוסיף </w:t>
      </w:r>
      <w:r>
        <w:rPr>
          <w:rStyle w:val="af8"/>
          <w:rtl/>
        </w:rPr>
        <w:t>היד יהודה</w:t>
      </w:r>
      <w:r>
        <w:rPr>
          <w:rFonts w:hint="cs"/>
          <w:rtl/>
        </w:rPr>
        <w:t xml:space="preserve"> דודאי דס"ל </w:t>
      </w:r>
      <w:r>
        <w:rPr>
          <w:rStyle w:val="af8"/>
          <w:rtl/>
        </w:rPr>
        <w:t>לרש"י</w:t>
      </w:r>
      <w:r>
        <w:rPr>
          <w:rFonts w:hint="cs"/>
          <w:rtl/>
        </w:rPr>
        <w:t xml:space="preserve"> כתירוץ </w:t>
      </w:r>
      <w:r>
        <w:rPr>
          <w:rStyle w:val="af8"/>
          <w:rtl/>
        </w:rPr>
        <w:t>המרדכי</w:t>
      </w:r>
      <w:r>
        <w:rPr>
          <w:rFonts w:hint="cs"/>
          <w:rtl/>
        </w:rPr>
        <w:t xml:space="preserve">, דהא </w:t>
      </w:r>
      <w:r>
        <w:rPr>
          <w:rStyle w:val="af8"/>
          <w:rtl/>
        </w:rPr>
        <w:t>המהר"ם מרוטנבורג בתשו'</w:t>
      </w:r>
      <w:r>
        <w:rPr>
          <w:rFonts w:hint="cs"/>
          <w:rtl/>
        </w:rPr>
        <w:t xml:space="preserve"> </w:t>
      </w:r>
      <w:r w:rsidRPr="009F44AF">
        <w:rPr>
          <w:rStyle w:val="af6"/>
          <w:rFonts w:eastAsia="Guttman Hodes" w:hint="cs"/>
          <w:rtl/>
        </w:rPr>
        <w:t>(הובאה בשו"ת הרשב"א ח"א סי' תש"ל ד"ה ואע"ג שמותר)</w:t>
      </w:r>
      <w:r>
        <w:rPr>
          <w:rFonts w:hint="cs"/>
          <w:rtl/>
        </w:rPr>
        <w:t xml:space="preserve"> הביא את דברי </w:t>
      </w:r>
      <w:r>
        <w:rPr>
          <w:rStyle w:val="af8"/>
          <w:rtl/>
        </w:rPr>
        <w:t>רש"י בבכורות</w:t>
      </w:r>
      <w:r>
        <w:rPr>
          <w:rFonts w:hint="cs"/>
          <w:rtl/>
        </w:rPr>
        <w:t xml:space="preserve"> </w:t>
      </w:r>
      <w:r w:rsidRPr="009F44AF">
        <w:rPr>
          <w:rStyle w:val="af6"/>
          <w:rFonts w:eastAsia="Guttman Hodes" w:hint="cs"/>
          <w:rtl/>
        </w:rPr>
        <w:t>(כב: ד"ה תעלה)</w:t>
      </w:r>
      <w:r>
        <w:rPr>
          <w:rFonts w:hint="cs"/>
          <w:rtl/>
        </w:rPr>
        <w:t xml:space="preserve"> דכתב להדיא דבתרומה א"צ לתת אחת לכהן, וסגי לתת את דמי התרומה לכהן, ומוכח דמודה </w:t>
      </w:r>
      <w:r>
        <w:rPr>
          <w:rStyle w:val="af8"/>
          <w:rtl/>
        </w:rPr>
        <w:t>רש"י</w:t>
      </w:r>
      <w:r>
        <w:rPr>
          <w:rFonts w:hint="cs"/>
          <w:rtl/>
        </w:rPr>
        <w:t xml:space="preserve"> לדברי </w:t>
      </w:r>
      <w:r>
        <w:rPr>
          <w:rStyle w:val="af8"/>
          <w:rtl/>
        </w:rPr>
        <w:t>הראשונים</w:t>
      </w:r>
      <w:r>
        <w:rPr>
          <w:rFonts w:hint="cs"/>
          <w:rtl/>
        </w:rPr>
        <w:t xml:space="preserve"> דצריך לתת אחד לכהן רק מדין ממון השבט, ולא מחמת האיסור, אלא כתב </w:t>
      </w:r>
      <w:r>
        <w:rPr>
          <w:rStyle w:val="af8"/>
          <w:rtl/>
        </w:rPr>
        <w:t>היד יהודה</w:t>
      </w:r>
      <w:r>
        <w:rPr>
          <w:rFonts w:hint="cs"/>
          <w:rtl/>
        </w:rPr>
        <w:t xml:space="preserve"> דדאי דכ"מ דכתב </w:t>
      </w:r>
      <w:r>
        <w:rPr>
          <w:rStyle w:val="af8"/>
          <w:rtl/>
        </w:rPr>
        <w:t>רש"י בע"ז</w:t>
      </w:r>
      <w:r>
        <w:rPr>
          <w:rFonts w:hint="cs"/>
          <w:rtl/>
        </w:rPr>
        <w:t xml:space="preserve"> שצריך להשליך אחת הוא ביבש ביבש כדביאר </w:t>
      </w:r>
      <w:r>
        <w:rPr>
          <w:rStyle w:val="af8"/>
          <w:rtl/>
        </w:rPr>
        <w:t>המרדכי</w:t>
      </w:r>
      <w:r>
        <w:rPr>
          <w:rFonts w:hint="cs"/>
          <w:rtl/>
        </w:rPr>
        <w:t>.</w:t>
      </w:r>
    </w:p>
    <w:p w:rsidR="0028438A" w:rsidRDefault="0028438A" w:rsidP="0028438A">
      <w:pPr>
        <w:pStyle w:val="a2"/>
        <w:rPr>
          <w:rtl/>
        </w:rPr>
      </w:pPr>
      <w:bookmarkStart w:id="12881" w:name="_Toc23984230"/>
      <w:bookmarkStart w:id="12882" w:name="_Toc23972065"/>
      <w:bookmarkStart w:id="12883" w:name="_Toc23960251"/>
      <w:bookmarkStart w:id="12884" w:name="_Toc23945658"/>
      <w:bookmarkStart w:id="12885" w:name="_Toc23850412"/>
      <w:bookmarkStart w:id="12886" w:name="_Toc23799235"/>
      <w:bookmarkStart w:id="12887" w:name="_Toc23712647"/>
      <w:r>
        <w:rPr>
          <w:rFonts w:hint="cs"/>
          <w:rtl/>
        </w:rPr>
        <w:t>דברי היד יהודה דלרש"י אסור לבשל יחד ויל"ע בעבר ובישל אם מותר או שצריך שישים</w:t>
      </w:r>
      <w:bookmarkEnd w:id="12881"/>
      <w:bookmarkEnd w:id="12882"/>
      <w:bookmarkEnd w:id="12883"/>
      <w:bookmarkEnd w:id="12884"/>
    </w:p>
    <w:p w:rsidR="0028438A" w:rsidRDefault="0028438A" w:rsidP="009F44AF">
      <w:pPr>
        <w:pStyle w:val="a"/>
        <w:numPr>
          <w:ilvl w:val="0"/>
          <w:numId w:val="17"/>
        </w:numPr>
      </w:pPr>
      <w:r>
        <w:rPr>
          <w:rFonts w:hint="cs"/>
          <w:rtl/>
        </w:rPr>
        <w:t>והוסיף</w:t>
      </w:r>
      <w:r>
        <w:rPr>
          <w:rStyle w:val="af8"/>
          <w:rtl/>
        </w:rPr>
        <w:t xml:space="preserve"> היד יהודה</w:t>
      </w:r>
      <w:r>
        <w:rPr>
          <w:rFonts w:hint="cs"/>
          <w:rtl/>
        </w:rPr>
        <w:t xml:space="preserve"> </w:t>
      </w:r>
      <w:r w:rsidRPr="009F44AF">
        <w:rPr>
          <w:rStyle w:val="af6"/>
          <w:rFonts w:eastAsia="Guttman Hodes" w:hint="cs"/>
          <w:rtl/>
        </w:rPr>
        <w:t>(סי' ק"ט סק"ג ד"ה והנה גם לרש"י)</w:t>
      </w:r>
      <w:r>
        <w:rPr>
          <w:rFonts w:hint="cs"/>
          <w:rtl/>
        </w:rPr>
        <w:t xml:space="preserve"> דכיון דס"ל </w:t>
      </w:r>
      <w:r>
        <w:rPr>
          <w:rStyle w:val="af8"/>
          <w:rtl/>
        </w:rPr>
        <w:t>לרש"י</w:t>
      </w:r>
      <w:r>
        <w:rPr>
          <w:rFonts w:hint="cs"/>
          <w:rtl/>
        </w:rPr>
        <w:t xml:space="preserve"> דצריך להשליך אחד, א"כ ודאי דאסור לבשל את כל התערובת יחד, אך כתב </w:t>
      </w:r>
      <w:r>
        <w:rPr>
          <w:rStyle w:val="af8"/>
          <w:rtl/>
        </w:rPr>
        <w:t>היד יהודה</w:t>
      </w:r>
      <w:r>
        <w:rPr>
          <w:rFonts w:hint="cs"/>
          <w:rtl/>
        </w:rPr>
        <w:t xml:space="preserve"> דאם עבר ובישל יש לעיין אי ס"ל </w:t>
      </w:r>
      <w:r>
        <w:rPr>
          <w:rStyle w:val="af8"/>
          <w:rtl/>
        </w:rPr>
        <w:t>לרש"י</w:t>
      </w:r>
      <w:r>
        <w:rPr>
          <w:rFonts w:hint="cs"/>
          <w:rtl/>
        </w:rPr>
        <w:t xml:space="preserve"> דצריך שישים, </w:t>
      </w:r>
      <w:r>
        <w:rPr>
          <w:rStyle w:val="afa"/>
          <w:rtl/>
        </w:rPr>
        <w:t xml:space="preserve">[כדעת </w:t>
      </w:r>
      <w:r>
        <w:rPr>
          <w:rStyle w:val="affa"/>
          <w:rtl/>
        </w:rPr>
        <w:t xml:space="preserve">הרשב"א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Ref23930681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מח)</w:t>
      </w:r>
      <w:r>
        <w:rPr>
          <w:rFonts w:hint="cs"/>
          <w:rtl/>
        </w:rPr>
        <w:fldChar w:fldCharType="end"/>
      </w:r>
      <w:r>
        <w:rPr>
          <w:rStyle w:val="afa"/>
          <w:rtl/>
        </w:rPr>
        <w:t xml:space="preserve">],  </w:t>
      </w:r>
      <w:r>
        <w:rPr>
          <w:rFonts w:hint="cs"/>
          <w:rtl/>
        </w:rPr>
        <w:t xml:space="preserve">או שא"צ שישים, </w:t>
      </w:r>
      <w:r>
        <w:rPr>
          <w:rStyle w:val="afa"/>
          <w:rtl/>
        </w:rPr>
        <w:t xml:space="preserve">[כדעת </w:t>
      </w:r>
      <w:r>
        <w:rPr>
          <w:rStyle w:val="affa"/>
          <w:rtl/>
        </w:rPr>
        <w:t xml:space="preserve">הרא"ש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Ref23930562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מג)</w:t>
      </w:r>
      <w:r>
        <w:rPr>
          <w:rFonts w:hint="cs"/>
          <w:rtl/>
        </w:rPr>
        <w:fldChar w:fldCharType="end"/>
      </w:r>
      <w:r>
        <w:rPr>
          <w:rStyle w:val="afa"/>
          <w:rtl/>
        </w:rPr>
        <w:t xml:space="preserve">], </w:t>
      </w:r>
      <w:r>
        <w:rPr>
          <w:rFonts w:hint="cs"/>
          <w:rtl/>
        </w:rPr>
        <w:t xml:space="preserve">דכיון דמה שצריך להשליך אחד אינו מחמת דהאיסור אינו מתבטל לגמרי, וחוזר ונאסר כשנעשה לח, </w:t>
      </w:r>
      <w:r>
        <w:rPr>
          <w:rStyle w:val="afa"/>
          <w:rtl/>
        </w:rPr>
        <w:t xml:space="preserve">[כדביאר </w:t>
      </w:r>
      <w:r>
        <w:rPr>
          <w:rStyle w:val="affa"/>
          <w:rtl/>
        </w:rPr>
        <w:t>היד יהודה</w:t>
      </w:r>
      <w:r>
        <w:rPr>
          <w:rStyle w:val="aff6"/>
          <w:rtl/>
        </w:rPr>
        <w:t xml:space="preserve"> (עי'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Ref23935613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יד)</w:t>
      </w:r>
      <w:r>
        <w:rPr>
          <w:rFonts w:hint="cs"/>
          <w:rtl/>
        </w:rPr>
        <w:fldChar w:fldCharType="end"/>
      </w:r>
      <w:r>
        <w:rPr>
          <w:rStyle w:val="afa"/>
          <w:rtl/>
        </w:rPr>
        <w:t xml:space="preserve"> בדעת </w:t>
      </w:r>
      <w:r>
        <w:rPr>
          <w:rStyle w:val="affa"/>
          <w:rtl/>
        </w:rPr>
        <w:t>התוס'</w:t>
      </w:r>
      <w:r>
        <w:rPr>
          <w:rStyle w:val="afa"/>
          <w:rtl/>
        </w:rPr>
        <w:t xml:space="preserve">], </w:t>
      </w:r>
      <w:r>
        <w:rPr>
          <w:rFonts w:hint="cs"/>
          <w:rtl/>
        </w:rPr>
        <w:t xml:space="preserve">דהרי לדעת </w:t>
      </w:r>
      <w:r>
        <w:rPr>
          <w:rStyle w:val="af8"/>
          <w:rtl/>
        </w:rPr>
        <w:t>רש"י</w:t>
      </w:r>
      <w:r>
        <w:rPr>
          <w:rFonts w:hint="cs"/>
          <w:rtl/>
        </w:rPr>
        <w:t xml:space="preserve"> צריך להשליך אחד גם כשיש שיעור שישים שהוא </w:t>
      </w:r>
      <w:r>
        <w:rPr>
          <w:rFonts w:hint="cs"/>
          <w:rtl/>
        </w:rPr>
        <w:lastRenderedPageBreak/>
        <w:t>שיעור ביטול בלח, וא"כ אף בעבר ובישל סגי בביטול ברוב וא"צ שישים.</w:t>
      </w:r>
    </w:p>
    <w:p w:rsidR="0028438A" w:rsidRDefault="0028438A" w:rsidP="0028438A">
      <w:pPr>
        <w:pStyle w:val="a2"/>
        <w:rPr>
          <w:rtl/>
        </w:rPr>
      </w:pPr>
    </w:p>
    <w:p w:rsidR="0028438A" w:rsidRDefault="0028438A" w:rsidP="0028438A">
      <w:pPr>
        <w:pStyle w:val="a2"/>
        <w:rPr>
          <w:rtl/>
        </w:rPr>
      </w:pPr>
    </w:p>
    <w:p w:rsidR="0028438A" w:rsidRDefault="0028438A" w:rsidP="00E669F8">
      <w:pPr>
        <w:pStyle w:val="afd"/>
        <w:rPr>
          <w:rtl/>
        </w:rPr>
      </w:pPr>
      <w:bookmarkStart w:id="12888" w:name="_Toc23984231"/>
      <w:bookmarkStart w:id="12889" w:name="_Toc23972066"/>
      <w:bookmarkStart w:id="12890" w:name="_Toc23960252"/>
      <w:bookmarkStart w:id="12891" w:name="_Toc23945659"/>
      <w:bookmarkStart w:id="12892" w:name="_Toc23887300"/>
      <w:r>
        <w:rPr>
          <w:rFonts w:hint="cs"/>
          <w:rtl/>
        </w:rPr>
        <w:t>דעת התוס' והסמ"ג דאסור לאדם אחד</w:t>
      </w:r>
      <w:bookmarkEnd w:id="12874"/>
      <w:bookmarkEnd w:id="12875"/>
      <w:bookmarkEnd w:id="12885"/>
      <w:bookmarkEnd w:id="12886"/>
      <w:bookmarkEnd w:id="12887"/>
      <w:bookmarkEnd w:id="12888"/>
      <w:bookmarkEnd w:id="12889"/>
      <w:bookmarkEnd w:id="12890"/>
      <w:bookmarkEnd w:id="12891"/>
      <w:bookmarkEnd w:id="12892"/>
      <w:r>
        <w:rPr>
          <w:rFonts w:hint="cs"/>
          <w:rtl/>
        </w:rPr>
        <w:t xml:space="preserve"> </w:t>
      </w:r>
    </w:p>
    <w:p w:rsidR="0028438A" w:rsidRDefault="0028438A" w:rsidP="00DA6853">
      <w:pPr>
        <w:pStyle w:val="1"/>
        <w:rPr>
          <w:rtl/>
        </w:rPr>
      </w:pPr>
      <w:bookmarkStart w:id="12893" w:name="_Toc23223983"/>
      <w:bookmarkStart w:id="12894" w:name="_Toc22638904"/>
      <w:bookmarkStart w:id="12895" w:name="_Toc22250676"/>
      <w:bookmarkStart w:id="12896" w:name="_Toc23984232"/>
      <w:bookmarkStart w:id="12897" w:name="_Toc23972067"/>
      <w:bookmarkStart w:id="12898" w:name="_Toc23960253"/>
      <w:bookmarkStart w:id="12899" w:name="_Toc23945660"/>
      <w:bookmarkStart w:id="12900" w:name="_Toc23887301"/>
      <w:bookmarkStart w:id="12901" w:name="_Toc23850413"/>
      <w:bookmarkStart w:id="12902" w:name="_Toc23799236"/>
      <w:bookmarkStart w:id="12903" w:name="_Toc23712648"/>
      <w:r>
        <w:rPr>
          <w:rFonts w:hint="cs"/>
          <w:rtl/>
        </w:rPr>
        <w:t>דברי התוס'</w:t>
      </w:r>
      <w:bookmarkEnd w:id="12893"/>
      <w:bookmarkEnd w:id="12894"/>
      <w:bookmarkEnd w:id="12895"/>
      <w:r>
        <w:rPr>
          <w:rFonts w:hint="cs"/>
          <w:rtl/>
        </w:rPr>
        <w:t xml:space="preserve"> דאפש"ל דלאדם אחד אסור לאכול את כל החתיכות</w:t>
      </w:r>
      <w:bookmarkEnd w:id="12896"/>
      <w:bookmarkEnd w:id="12897"/>
      <w:bookmarkEnd w:id="12898"/>
      <w:bookmarkEnd w:id="12899"/>
      <w:bookmarkEnd w:id="12900"/>
      <w:bookmarkEnd w:id="12901"/>
      <w:bookmarkEnd w:id="12902"/>
      <w:bookmarkEnd w:id="12903"/>
    </w:p>
    <w:p w:rsidR="0028438A" w:rsidRDefault="0028438A" w:rsidP="0028438A">
      <w:pPr>
        <w:pStyle w:val="a2"/>
        <w:rPr>
          <w:b/>
          <w:bCs/>
          <w:rtl/>
        </w:rPr>
      </w:pPr>
      <w:bookmarkStart w:id="12904" w:name="_Toc23984233"/>
      <w:bookmarkStart w:id="12905" w:name="_Toc23972068"/>
      <w:bookmarkStart w:id="12906" w:name="_Toc23960254"/>
      <w:bookmarkStart w:id="12907" w:name="_Toc23945661"/>
      <w:bookmarkStart w:id="12908" w:name="_Toc23887302"/>
      <w:bookmarkStart w:id="12909" w:name="_Toc23850414"/>
      <w:bookmarkStart w:id="12910" w:name="_Toc23799237"/>
      <w:bookmarkStart w:id="12911" w:name="_Toc23712649"/>
      <w:r>
        <w:rPr>
          <w:rFonts w:hint="cs"/>
          <w:rtl/>
        </w:rPr>
        <w:t>דברי התוס' דאף דמהני ביטול בחד בתרי מ"מ שמא אסור לאדם אחד לאכול את כל התערובת</w:t>
      </w:r>
      <w:bookmarkEnd w:id="12904"/>
      <w:bookmarkEnd w:id="12905"/>
      <w:bookmarkEnd w:id="12906"/>
      <w:bookmarkEnd w:id="12907"/>
      <w:bookmarkEnd w:id="12908"/>
      <w:bookmarkEnd w:id="12909"/>
      <w:bookmarkEnd w:id="12910"/>
      <w:bookmarkEnd w:id="12911"/>
    </w:p>
    <w:p w:rsidR="0028438A" w:rsidRDefault="0028438A" w:rsidP="009F44AF">
      <w:pPr>
        <w:pStyle w:val="a"/>
        <w:numPr>
          <w:ilvl w:val="0"/>
          <w:numId w:val="17"/>
        </w:numPr>
        <w:rPr>
          <w:rtl/>
        </w:rPr>
      </w:pPr>
      <w:bookmarkStart w:id="12912" w:name="_Ref23708991"/>
      <w:r>
        <w:rPr>
          <w:rFonts w:hint="cs"/>
          <w:rtl/>
        </w:rPr>
        <w:t xml:space="preserve">כתבו </w:t>
      </w:r>
      <w:r>
        <w:rPr>
          <w:rStyle w:val="af8"/>
          <w:rtl/>
        </w:rPr>
        <w:t>התוס'</w:t>
      </w:r>
      <w:r>
        <w:rPr>
          <w:rFonts w:hint="cs"/>
          <w:rtl/>
        </w:rPr>
        <w:t xml:space="preserve"> </w:t>
      </w:r>
      <w:r w:rsidRPr="009F44AF">
        <w:rPr>
          <w:rStyle w:val="af6"/>
          <w:rFonts w:eastAsia="Guttman Hodes" w:hint="cs"/>
          <w:rtl/>
        </w:rPr>
        <w:t>(ד"ה בריה)</w:t>
      </w:r>
      <w:r>
        <w:rPr>
          <w:rFonts w:hint="cs"/>
          <w:rtl/>
        </w:rPr>
        <w:t xml:space="preserve"> דמקושית הגמ' דגיד וחתיכה יתבטלו ברוב, מבואר דבתערובת יבש ביבש במין במינו, מהני ביטול בחד בתרי, דכל שאינו בריה או חתיכה הראויה להתכבד, הוא בטל ברוב, ואף מדרבנן א"צ ביטול בשישים ואין בו כל איסור, אך כתבו </w:t>
      </w:r>
      <w:r>
        <w:rPr>
          <w:rStyle w:val="af8"/>
          <w:rtl/>
        </w:rPr>
        <w:t xml:space="preserve">התוס' </w:t>
      </w:r>
      <w:r>
        <w:rPr>
          <w:rFonts w:hint="cs"/>
          <w:rtl/>
        </w:rPr>
        <w:t>דיתכן שלאותו אדם הוא אסור.</w:t>
      </w:r>
      <w:bookmarkEnd w:id="12912"/>
    </w:p>
    <w:p w:rsidR="0028438A" w:rsidRDefault="0028438A" w:rsidP="0028438A">
      <w:pPr>
        <w:pStyle w:val="a2"/>
        <w:rPr>
          <w:rtl/>
        </w:rPr>
      </w:pPr>
      <w:bookmarkStart w:id="12913" w:name="_Toc23984234"/>
      <w:bookmarkStart w:id="12914" w:name="_Toc23972069"/>
      <w:bookmarkStart w:id="12915" w:name="_Toc23960255"/>
      <w:bookmarkStart w:id="12916" w:name="_Toc23945662"/>
      <w:bookmarkStart w:id="12917" w:name="_Toc23887303"/>
      <w:bookmarkStart w:id="12918" w:name="_Toc23850415"/>
      <w:bookmarkStart w:id="12919" w:name="_Toc23799238"/>
      <w:bookmarkStart w:id="12920" w:name="_Toc23712650"/>
      <w:r>
        <w:rPr>
          <w:rFonts w:hint="cs"/>
          <w:rtl/>
        </w:rPr>
        <w:t>דברי הסמ"ג דמדרבנן יבש ביבש מהני רק לב' בנ"א ולא לאדם אחד כיון שיש בה ודאי איסור</w:t>
      </w:r>
      <w:bookmarkEnd w:id="12913"/>
      <w:bookmarkEnd w:id="12914"/>
      <w:bookmarkEnd w:id="12915"/>
      <w:bookmarkEnd w:id="12916"/>
      <w:bookmarkEnd w:id="12917"/>
      <w:bookmarkEnd w:id="12918"/>
      <w:bookmarkEnd w:id="12919"/>
      <w:bookmarkEnd w:id="12920"/>
    </w:p>
    <w:p w:rsidR="0028438A" w:rsidRDefault="0028438A" w:rsidP="009F44AF">
      <w:pPr>
        <w:pStyle w:val="a"/>
        <w:numPr>
          <w:ilvl w:val="0"/>
          <w:numId w:val="17"/>
        </w:numPr>
        <w:rPr>
          <w:rtl/>
        </w:rPr>
      </w:pPr>
      <w:bookmarkStart w:id="12921" w:name="_Ref23936632"/>
      <w:r>
        <w:rPr>
          <w:rFonts w:hint="cs"/>
          <w:rtl/>
        </w:rPr>
        <w:t xml:space="preserve">וכ"כ </w:t>
      </w:r>
      <w:r>
        <w:rPr>
          <w:rStyle w:val="af8"/>
          <w:rtl/>
        </w:rPr>
        <w:t>הסמ"ג</w:t>
      </w:r>
      <w:r>
        <w:rPr>
          <w:rFonts w:hint="cs"/>
          <w:rtl/>
        </w:rPr>
        <w:t xml:space="preserve"> </w:t>
      </w:r>
      <w:r w:rsidRPr="009F44AF">
        <w:rPr>
          <w:rStyle w:val="af6"/>
          <w:rFonts w:eastAsia="Guttman Hodes" w:hint="cs"/>
          <w:rtl/>
        </w:rPr>
        <w:t xml:space="preserve">(לאוין ק"מ קמ"א ד"ה שנינו בפרק, הועתק בקובץ שיטות קמאי חולין ח"ג עמ' ב' אלף ש"ס) </w:t>
      </w:r>
      <w:r>
        <w:rPr>
          <w:rFonts w:hint="cs"/>
          <w:rtl/>
        </w:rPr>
        <w:t>דהא דביבש ביבש מהני ביטול ברוב אף מדרבנן, היינו דוקא לב' בנ"א, אבל יש להחמיר לאסור לאדם אחד לאכול את כל התערובת, כיון שיש בה ודאי איסור.</w:t>
      </w:r>
      <w:bookmarkEnd w:id="12921"/>
    </w:p>
    <w:p w:rsidR="0028438A" w:rsidRDefault="0028438A" w:rsidP="00DA6853">
      <w:pPr>
        <w:pStyle w:val="1"/>
        <w:rPr>
          <w:rtl/>
        </w:rPr>
      </w:pPr>
      <w:bookmarkStart w:id="12922" w:name="_Toc23984235"/>
      <w:bookmarkStart w:id="12923" w:name="_Toc23972070"/>
      <w:bookmarkStart w:id="12924" w:name="_Toc23960256"/>
      <w:bookmarkStart w:id="12925" w:name="_Toc23945663"/>
      <w:bookmarkStart w:id="12926" w:name="_Toc23887309"/>
      <w:bookmarkStart w:id="12927" w:name="_Toc23850418"/>
      <w:bookmarkStart w:id="12928" w:name="_Toc23799241"/>
      <w:bookmarkStart w:id="12929" w:name="_Toc23712653"/>
      <w:bookmarkStart w:id="12930" w:name="_Toc23887304"/>
      <w:r>
        <w:rPr>
          <w:rFonts w:hint="cs"/>
          <w:rtl/>
        </w:rPr>
        <w:t>דעת הרא"ש ור"ת דמותר אף לאדם אחד לאכול את התערובת</w:t>
      </w:r>
      <w:bookmarkEnd w:id="12922"/>
      <w:bookmarkEnd w:id="12923"/>
      <w:bookmarkEnd w:id="12924"/>
      <w:bookmarkEnd w:id="12925"/>
      <w:bookmarkEnd w:id="12926"/>
      <w:bookmarkEnd w:id="12927"/>
      <w:bookmarkEnd w:id="12928"/>
      <w:bookmarkEnd w:id="12929"/>
    </w:p>
    <w:p w:rsidR="0028438A" w:rsidRDefault="0028438A" w:rsidP="0028438A">
      <w:pPr>
        <w:pStyle w:val="a2"/>
        <w:rPr>
          <w:b/>
          <w:bCs/>
          <w:rtl/>
        </w:rPr>
      </w:pPr>
      <w:bookmarkStart w:id="12931" w:name="_Toc23984236"/>
      <w:bookmarkStart w:id="12932" w:name="_Toc23972071"/>
      <w:bookmarkStart w:id="12933" w:name="_Toc23960257"/>
      <w:bookmarkStart w:id="12934" w:name="_Toc23945664"/>
      <w:bookmarkStart w:id="12935" w:name="_Toc23887310"/>
      <w:bookmarkStart w:id="12936" w:name="_Toc23850419"/>
      <w:bookmarkStart w:id="12937" w:name="_Toc23799242"/>
      <w:bookmarkStart w:id="12938" w:name="_Toc23712654"/>
      <w:r>
        <w:rPr>
          <w:rFonts w:hint="cs"/>
          <w:rtl/>
        </w:rPr>
        <w:t>דעת הרא"ש ור"ת והרשב"א דמותר אף לאדם אחד לאכול את כל התערובת</w:t>
      </w:r>
      <w:bookmarkEnd w:id="12931"/>
      <w:bookmarkEnd w:id="12932"/>
      <w:bookmarkEnd w:id="12933"/>
      <w:bookmarkEnd w:id="12934"/>
      <w:bookmarkEnd w:id="12935"/>
      <w:bookmarkEnd w:id="12936"/>
      <w:bookmarkEnd w:id="12937"/>
      <w:bookmarkEnd w:id="12938"/>
    </w:p>
    <w:p w:rsidR="0028438A" w:rsidRDefault="0028438A" w:rsidP="009F44AF">
      <w:pPr>
        <w:pStyle w:val="a"/>
        <w:numPr>
          <w:ilvl w:val="0"/>
          <w:numId w:val="17"/>
        </w:numPr>
        <w:rPr>
          <w:rStyle w:val="afa"/>
        </w:rPr>
      </w:pPr>
      <w:bookmarkStart w:id="12939" w:name="_Ref23782398"/>
      <w:r>
        <w:rPr>
          <w:rFonts w:hint="cs"/>
          <w:rtl/>
        </w:rPr>
        <w:t xml:space="preserve">אבל </w:t>
      </w:r>
      <w:r>
        <w:rPr>
          <w:rStyle w:val="af8"/>
          <w:rtl/>
        </w:rPr>
        <w:t xml:space="preserve">התוס' הרא"ש </w:t>
      </w:r>
      <w:r w:rsidRPr="009F44AF">
        <w:rPr>
          <w:rStyle w:val="af6"/>
          <w:rFonts w:eastAsia="Guttman Hodes" w:hint="cs"/>
          <w:rtl/>
        </w:rPr>
        <w:t>(ד"ה שאני)</w:t>
      </w:r>
      <w:r>
        <w:rPr>
          <w:rFonts w:hint="cs"/>
          <w:rtl/>
        </w:rPr>
        <w:t xml:space="preserve"> ציין לדבריו </w:t>
      </w:r>
      <w:r>
        <w:rPr>
          <w:rStyle w:val="af8"/>
          <w:rtl/>
        </w:rPr>
        <w:t>בתשו'</w:t>
      </w:r>
      <w:r>
        <w:rPr>
          <w:rFonts w:hint="cs"/>
          <w:rtl/>
        </w:rPr>
        <w:t xml:space="preserve"> [עי' בדברי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Ref23782579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לב</w:t>
      </w:r>
      <w:r w:rsidR="004D1C5B">
        <w:rPr>
          <w:rStyle w:val="af6"/>
          <w:rFonts w:eastAsia="Guttman Hodes"/>
          <w:rtl/>
        </w:rPr>
        <w:t>)</w:t>
      </w:r>
      <w:r>
        <w:rPr>
          <w:rFonts w:hint="cs"/>
          <w:rtl/>
        </w:rPr>
        <w:fldChar w:fldCharType="end"/>
      </w:r>
      <w:r>
        <w:rPr>
          <w:rFonts w:hint="cs"/>
          <w:rtl/>
        </w:rPr>
        <w:t xml:space="preserve">] דביאר דאף באדם אחד מותר, וכדכתב </w:t>
      </w:r>
      <w:r>
        <w:rPr>
          <w:rStyle w:val="af8"/>
          <w:rtl/>
        </w:rPr>
        <w:t>הרא"ש</w:t>
      </w:r>
      <w:r>
        <w:rPr>
          <w:rFonts w:hint="cs"/>
          <w:rtl/>
        </w:rPr>
        <w:t xml:space="preserve"> דהאיסור נהפך להיתר, וע"ע בדברי </w:t>
      </w:r>
      <w:r>
        <w:rPr>
          <w:rStyle w:val="af8"/>
          <w:rtl/>
        </w:rPr>
        <w:t>השערי דורא</w:t>
      </w:r>
      <w:r>
        <w:rPr>
          <w:rFonts w:hint="cs"/>
          <w:rtl/>
        </w:rPr>
        <w:t xml:space="preserve"> </w:t>
      </w:r>
      <w:r w:rsidRPr="009F44AF">
        <w:rPr>
          <w:rStyle w:val="af6"/>
          <w:rFonts w:eastAsia="Guttman Hodes" w:hint="cs"/>
          <w:rtl/>
        </w:rPr>
        <w:t xml:space="preserve">(הל' איסור והיתר סי' ל"ט, הועתק בקובץ שיטות קמאי חולין ח"ג עמ' ב' אלף שמב) </w:t>
      </w:r>
      <w:r>
        <w:rPr>
          <w:rFonts w:hint="cs"/>
          <w:rtl/>
        </w:rPr>
        <w:t xml:space="preserve">דהביא בשם </w:t>
      </w:r>
      <w:r>
        <w:rPr>
          <w:rStyle w:val="af8"/>
          <w:rtl/>
        </w:rPr>
        <w:t>ר"ת</w:t>
      </w:r>
      <w:r>
        <w:rPr>
          <w:rFonts w:hint="cs"/>
          <w:rtl/>
        </w:rPr>
        <w:t xml:space="preserve"> דהתיר אף לאדם אחד, </w:t>
      </w:r>
      <w:r>
        <w:rPr>
          <w:rStyle w:val="afa"/>
          <w:rtl/>
        </w:rPr>
        <w:t xml:space="preserve">[ועי' במ"ש </w:t>
      </w:r>
      <w:r>
        <w:rPr>
          <w:rStyle w:val="affa"/>
          <w:rtl/>
        </w:rPr>
        <w:t>המרדכי</w:t>
      </w:r>
      <w:r>
        <w:rPr>
          <w:rStyle w:val="aff6"/>
          <w:rtl/>
        </w:rPr>
        <w:t xml:space="preserve"> (עי'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Ref24360736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ג)</w:t>
      </w:r>
      <w:r>
        <w:rPr>
          <w:rFonts w:hint="cs"/>
          <w:rtl/>
        </w:rPr>
        <w:fldChar w:fldCharType="end"/>
      </w:r>
      <w:r>
        <w:rPr>
          <w:rStyle w:val="afa"/>
          <w:rtl/>
        </w:rPr>
        <w:t xml:space="preserve"> בשם </w:t>
      </w:r>
      <w:r>
        <w:rPr>
          <w:rStyle w:val="affa"/>
          <w:rtl/>
        </w:rPr>
        <w:t>ר"ת</w:t>
      </w:r>
      <w:r>
        <w:rPr>
          <w:rStyle w:val="afa"/>
          <w:rtl/>
        </w:rPr>
        <w:t>],</w:t>
      </w:r>
      <w:r>
        <w:rPr>
          <w:rFonts w:hint="cs"/>
          <w:rtl/>
        </w:rPr>
        <w:t xml:space="preserve"> וכן דעת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דמותר לאדם אחד לאכול את כל התערובת. </w:t>
      </w:r>
      <w:r>
        <w:rPr>
          <w:rStyle w:val="afa"/>
          <w:rtl/>
        </w:rPr>
        <w:t xml:space="preserve">[אך כתב </w:t>
      </w:r>
      <w:r>
        <w:rPr>
          <w:rStyle w:val="affa"/>
          <w:rtl/>
        </w:rPr>
        <w:t>הרשב"א</w:t>
      </w:r>
      <w:r>
        <w:rPr>
          <w:rStyle w:val="afa"/>
          <w:rtl/>
        </w:rPr>
        <w:t xml:space="preserve"> דרק כשאוכל כל חתיכה בפנ"ע מותר, אך אסור לאכול את כל התערובת בבת אחת].</w:t>
      </w:r>
      <w:bookmarkEnd w:id="12939"/>
    </w:p>
    <w:p w:rsidR="0028438A" w:rsidRDefault="0028438A" w:rsidP="0028438A">
      <w:pPr>
        <w:pStyle w:val="a2"/>
        <w:rPr>
          <w:rtl/>
        </w:rPr>
      </w:pPr>
      <w:bookmarkStart w:id="12940" w:name="_Toc23984237"/>
      <w:bookmarkStart w:id="12941" w:name="_Toc23972072"/>
      <w:bookmarkStart w:id="12942" w:name="_Toc23960258"/>
      <w:bookmarkStart w:id="12943" w:name="_Toc23945665"/>
      <w:bookmarkStart w:id="12944" w:name="_Toc23887311"/>
      <w:bookmarkStart w:id="12945" w:name="_Toc23850420"/>
      <w:bookmarkStart w:id="12946" w:name="_Toc23799243"/>
      <w:bookmarkStart w:id="12947" w:name="_Toc23712656"/>
      <w:r>
        <w:rPr>
          <w:rFonts w:hint="cs"/>
          <w:rtl/>
        </w:rPr>
        <w:t>דברי הגר"א דבמשנה בתרומות מבואר כדברי התוס' דאסור לאדם אחד</w:t>
      </w:r>
      <w:bookmarkEnd w:id="12940"/>
      <w:bookmarkEnd w:id="12941"/>
      <w:bookmarkEnd w:id="12942"/>
      <w:bookmarkEnd w:id="12943"/>
      <w:bookmarkEnd w:id="12944"/>
      <w:bookmarkEnd w:id="12945"/>
      <w:bookmarkEnd w:id="12946"/>
      <w:bookmarkEnd w:id="12947"/>
    </w:p>
    <w:p w:rsidR="0028438A" w:rsidRDefault="0028438A" w:rsidP="009F44AF">
      <w:pPr>
        <w:pStyle w:val="a"/>
        <w:numPr>
          <w:ilvl w:val="0"/>
          <w:numId w:val="17"/>
        </w:numPr>
      </w:pPr>
      <w:r>
        <w:rPr>
          <w:rFonts w:hint="cs"/>
          <w:rtl/>
        </w:rPr>
        <w:t xml:space="preserve">והביא </w:t>
      </w:r>
      <w:r>
        <w:rPr>
          <w:rStyle w:val="af8"/>
          <w:rtl/>
        </w:rPr>
        <w:t>השו"ע</w:t>
      </w:r>
      <w:r w:rsidRPr="009F44AF">
        <w:rPr>
          <w:rStyle w:val="af6"/>
          <w:rFonts w:eastAsia="Guttman Hodes" w:hint="cs"/>
          <w:rtl/>
        </w:rPr>
        <w:t xml:space="preserve"> (סי' ק"ט א')</w:t>
      </w:r>
      <w:r>
        <w:rPr>
          <w:rStyle w:val="af8"/>
          <w:rtl/>
        </w:rPr>
        <w:t xml:space="preserve"> דיש מי שאוסר</w:t>
      </w:r>
      <w:r>
        <w:rPr>
          <w:rFonts w:hint="cs"/>
          <w:rtl/>
        </w:rPr>
        <w:t xml:space="preserve"> לאדם אחד לאוכלם, וכתב </w:t>
      </w:r>
      <w:r>
        <w:rPr>
          <w:rStyle w:val="af8"/>
          <w:rtl/>
        </w:rPr>
        <w:t>הרמ"א</w:t>
      </w:r>
      <w:r>
        <w:rPr>
          <w:rFonts w:hint="cs"/>
          <w:rtl/>
        </w:rPr>
        <w:t xml:space="preserve"> דכן יש לנהוג לכתחילה, </w:t>
      </w:r>
      <w:r>
        <w:rPr>
          <w:rStyle w:val="afa"/>
          <w:rtl/>
        </w:rPr>
        <w:t xml:space="preserve">[ועי' בדברי </w:t>
      </w:r>
      <w:r>
        <w:rPr>
          <w:rStyle w:val="affa"/>
          <w:rtl/>
        </w:rPr>
        <w:t>ההג' שערי דורא</w:t>
      </w:r>
      <w:r>
        <w:rPr>
          <w:rStyle w:val="afa"/>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Ref23709756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68</w:t>
      </w:r>
      <w:r>
        <w:rPr>
          <w:rFonts w:hint="cs"/>
          <w:rtl/>
        </w:rPr>
        <w:fldChar w:fldCharType="end"/>
      </w:r>
      <w:r>
        <w:rPr>
          <w:rStyle w:val="aff6"/>
          <w:rtl/>
        </w:rPr>
        <w:t>)</w:t>
      </w:r>
      <w:r>
        <w:rPr>
          <w:rStyle w:val="afa"/>
          <w:rtl/>
        </w:rPr>
        <w:t xml:space="preserve">], </w:t>
      </w:r>
      <w:r>
        <w:rPr>
          <w:rFonts w:hint="cs"/>
          <w:rtl/>
        </w:rPr>
        <w:t xml:space="preserve">וביאר </w:t>
      </w:r>
      <w:r>
        <w:rPr>
          <w:rStyle w:val="af8"/>
          <w:rtl/>
        </w:rPr>
        <w:t>הגר"א</w:t>
      </w:r>
      <w:r>
        <w:rPr>
          <w:rFonts w:hint="cs"/>
          <w:rtl/>
        </w:rPr>
        <w:t xml:space="preserve"> </w:t>
      </w:r>
      <w:r w:rsidRPr="009F44AF">
        <w:rPr>
          <w:rStyle w:val="af6"/>
          <w:rFonts w:eastAsia="Guttman Hodes" w:hint="cs"/>
          <w:rtl/>
        </w:rPr>
        <w:t>(סי' ק"ט סק"ו)</w:t>
      </w:r>
      <w:r>
        <w:rPr>
          <w:rFonts w:hint="cs"/>
          <w:rtl/>
        </w:rPr>
        <w:t xml:space="preserve"> דדברי</w:t>
      </w:r>
      <w:r>
        <w:rPr>
          <w:rStyle w:val="af8"/>
          <w:rtl/>
        </w:rPr>
        <w:t xml:space="preserve"> הרמ"א </w:t>
      </w:r>
      <w:r>
        <w:rPr>
          <w:rFonts w:hint="cs"/>
          <w:rtl/>
        </w:rPr>
        <w:t xml:space="preserve">הוא כדעת </w:t>
      </w:r>
      <w:r>
        <w:rPr>
          <w:rStyle w:val="af8"/>
          <w:rtl/>
        </w:rPr>
        <w:t>התוס' בסוגיין</w:t>
      </w:r>
      <w:r>
        <w:rPr>
          <w:rFonts w:hint="cs"/>
          <w:rtl/>
        </w:rPr>
        <w:t xml:space="preserve">, וכתב </w:t>
      </w:r>
      <w:r>
        <w:rPr>
          <w:rStyle w:val="af8"/>
          <w:rtl/>
        </w:rPr>
        <w:t>הגר"א</w:t>
      </w:r>
      <w:r>
        <w:rPr>
          <w:rFonts w:hint="cs"/>
          <w:rtl/>
        </w:rPr>
        <w:t xml:space="preserve"> שכן מבואר במשנה בתרומות</w:t>
      </w:r>
      <w:r w:rsidRPr="009F44AF">
        <w:rPr>
          <w:rStyle w:val="af6"/>
          <w:rFonts w:eastAsia="Guttman Hodes" w:hint="cs"/>
          <w:rtl/>
        </w:rPr>
        <w:t xml:space="preserve"> (פ"ז מ"ה)</w:t>
      </w:r>
      <w:r>
        <w:rPr>
          <w:rFonts w:hint="cs"/>
          <w:rtl/>
        </w:rPr>
        <w:t xml:space="preserve"> דב' קופות של תרומה ושל חולין, שנפלה סאה של תרומה לתוך אחת מהם, ולא ידוע לאיזה מהם נפלה, דאמר רבי יוסי שאם ב' בנ"א אכלו כ"א מהם הם פטורים, ואם אדם אחד אכל את שניהם, חייב לשלם לכהנים כקטנה שביניהם.</w:t>
      </w:r>
    </w:p>
    <w:p w:rsidR="0028438A" w:rsidRDefault="0028438A" w:rsidP="0028438A">
      <w:pPr>
        <w:pStyle w:val="a2"/>
        <w:rPr>
          <w:rtl/>
        </w:rPr>
      </w:pPr>
      <w:bookmarkStart w:id="12948" w:name="_Toc23984239"/>
      <w:bookmarkStart w:id="12949" w:name="_Toc23972074"/>
      <w:bookmarkStart w:id="12950" w:name="_Toc23960260"/>
      <w:bookmarkStart w:id="12951" w:name="_Toc23945667"/>
      <w:bookmarkStart w:id="12952" w:name="_Toc23850416"/>
      <w:bookmarkStart w:id="12953" w:name="_Toc23799239"/>
      <w:bookmarkStart w:id="12954" w:name="_Toc23712651"/>
      <w:bookmarkEnd w:id="12930"/>
      <w:r>
        <w:rPr>
          <w:rFonts w:hint="cs"/>
          <w:rtl/>
        </w:rPr>
        <w:t>דברי הג' שערי דורא דלהסמ"ג דהאיסור אינו נהפך להיתר אם בישל אסור אף לב' בנ"א</w:t>
      </w:r>
      <w:bookmarkEnd w:id="12948"/>
      <w:bookmarkEnd w:id="12949"/>
      <w:bookmarkEnd w:id="12950"/>
      <w:bookmarkEnd w:id="12951"/>
    </w:p>
    <w:p w:rsidR="0028438A" w:rsidRDefault="0028438A" w:rsidP="009F44AF">
      <w:pPr>
        <w:pStyle w:val="a"/>
        <w:numPr>
          <w:ilvl w:val="0"/>
          <w:numId w:val="17"/>
        </w:numPr>
        <w:rPr>
          <w:rStyle w:val="afa"/>
        </w:rPr>
      </w:pPr>
      <w:r>
        <w:rPr>
          <w:rFonts w:hint="cs"/>
          <w:rtl/>
        </w:rPr>
        <w:t>וכתב</w:t>
      </w:r>
      <w:r>
        <w:rPr>
          <w:rStyle w:val="af8"/>
          <w:rtl/>
        </w:rPr>
        <w:t xml:space="preserve"> </w:t>
      </w:r>
      <w:r w:rsidRPr="009F44AF">
        <w:rPr>
          <w:rStyle w:val="af8"/>
          <w:rFonts w:eastAsia="Guttman Adii-Light"/>
          <w:rtl/>
        </w:rPr>
        <w:t>בהג' שערי דורא</w:t>
      </w:r>
      <w:r w:rsidRPr="009F44AF">
        <w:rPr>
          <w:rStyle w:val="af6"/>
          <w:rFonts w:eastAsia="Guttman Hodes" w:hint="cs"/>
          <w:rtl/>
        </w:rPr>
        <w:t xml:space="preserve"> (הל' איסור והיתר סי' ל"ט אות ו', הועתק בקובץ שיטות קמאי חולין ח"ג עמ' ב' אלף שמג) </w:t>
      </w:r>
      <w:r>
        <w:rPr>
          <w:rFonts w:hint="cs"/>
          <w:rtl/>
        </w:rPr>
        <w:t xml:space="preserve">דכיון דס"ל </w:t>
      </w:r>
      <w:r>
        <w:rPr>
          <w:rStyle w:val="af8"/>
          <w:rtl/>
        </w:rPr>
        <w:t>להסמ"ג</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Ref23936632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w:t>
      </w:r>
      <w:r w:rsidR="004D1C5B">
        <w:rPr>
          <w:rStyle w:val="af6"/>
          <w:rFonts w:eastAsia="Guttman Hodes"/>
          <w:rtl/>
        </w:rPr>
        <w:t>)</w:t>
      </w:r>
      <w:r>
        <w:rPr>
          <w:rFonts w:hint="cs"/>
          <w:rtl/>
        </w:rPr>
        <w:fldChar w:fldCharType="end"/>
      </w:r>
      <w:r>
        <w:rPr>
          <w:rFonts w:hint="cs"/>
          <w:rtl/>
        </w:rPr>
        <w:t xml:space="preserve"> דאסור לאדם אחד לאכול את כל התערובת, כיון שיש בה ודאי איסור, א"כ אם בישל את כל התערובת בקדירה, אסור אף לב' בנ"א, דכיון דס"ל </w:t>
      </w:r>
      <w:r>
        <w:rPr>
          <w:rStyle w:val="af8"/>
          <w:rtl/>
        </w:rPr>
        <w:t>להסמ"ג</w:t>
      </w:r>
      <w:r>
        <w:rPr>
          <w:rFonts w:hint="cs"/>
          <w:rtl/>
        </w:rPr>
        <w:t xml:space="preserve"> דלאדם אחד אסור, א"כ מבואר דהאיסור אינו נהפך להיתר, וכשבישל את כל התערובת, הרוטב אסור מדאו' </w:t>
      </w:r>
      <w:r>
        <w:rPr>
          <w:rStyle w:val="afa"/>
          <w:rtl/>
        </w:rPr>
        <w:t>[במין בשאינו מינו]</w:t>
      </w:r>
      <w:r>
        <w:rPr>
          <w:rFonts w:hint="cs"/>
          <w:rtl/>
        </w:rPr>
        <w:t xml:space="preserve">, דהא טעם כעיקר דאו', וצריך שישים לבטל את הטעם. </w:t>
      </w:r>
      <w:r>
        <w:rPr>
          <w:rStyle w:val="afa"/>
          <w:rtl/>
        </w:rPr>
        <w:t>[וא"כ מדרבנן צריך שישים אף במין במינו].</w:t>
      </w:r>
    </w:p>
    <w:p w:rsidR="0028438A" w:rsidRDefault="0028438A" w:rsidP="00DA6853">
      <w:pPr>
        <w:pStyle w:val="1"/>
        <w:rPr>
          <w:rtl/>
        </w:rPr>
      </w:pPr>
      <w:bookmarkStart w:id="12955" w:name="_Toc23887305"/>
      <w:bookmarkStart w:id="12956" w:name="_Toc23984240"/>
      <w:bookmarkStart w:id="12957" w:name="_Toc23972075"/>
      <w:bookmarkStart w:id="12958" w:name="_Toc23960261"/>
      <w:bookmarkStart w:id="12959" w:name="_Toc23945668"/>
      <w:r>
        <w:rPr>
          <w:rFonts w:hint="cs"/>
          <w:rtl/>
        </w:rPr>
        <w:t>ביאור היד יהודה בתוס'</w:t>
      </w:r>
      <w:bookmarkEnd w:id="12955"/>
      <w:r>
        <w:rPr>
          <w:rFonts w:hint="cs"/>
          <w:rtl/>
        </w:rPr>
        <w:t xml:space="preserve"> דכיון דבלח יאסר לא הותר לגמרי ביבש</w:t>
      </w:r>
      <w:bookmarkEnd w:id="12956"/>
      <w:bookmarkEnd w:id="12957"/>
      <w:bookmarkEnd w:id="12958"/>
      <w:bookmarkEnd w:id="12959"/>
    </w:p>
    <w:p w:rsidR="0028438A" w:rsidRDefault="0028438A" w:rsidP="0028438A">
      <w:pPr>
        <w:pStyle w:val="a2"/>
        <w:rPr>
          <w:b/>
          <w:bCs/>
          <w:rtl/>
        </w:rPr>
      </w:pPr>
      <w:bookmarkStart w:id="12960" w:name="_Toc23984241"/>
      <w:bookmarkStart w:id="12961" w:name="_Toc23972076"/>
      <w:bookmarkStart w:id="12962" w:name="_Toc23960262"/>
      <w:bookmarkStart w:id="12963" w:name="_Toc23945669"/>
      <w:r>
        <w:rPr>
          <w:rFonts w:hint="cs"/>
          <w:rtl/>
        </w:rPr>
        <w:t>ביאור היד יהודה בתוס' דאם יבשל יאסר ולא הותר לגמרי ואסור לאדם א' לאכול ודאי איסור</w:t>
      </w:r>
      <w:bookmarkEnd w:id="12960"/>
      <w:bookmarkEnd w:id="12961"/>
      <w:bookmarkEnd w:id="12962"/>
      <w:bookmarkEnd w:id="12963"/>
    </w:p>
    <w:p w:rsidR="0028438A" w:rsidRDefault="0028438A" w:rsidP="009F44AF">
      <w:pPr>
        <w:pStyle w:val="a"/>
        <w:numPr>
          <w:ilvl w:val="0"/>
          <w:numId w:val="17"/>
        </w:numPr>
      </w:pPr>
      <w:bookmarkStart w:id="12964" w:name="_Ref23935613"/>
      <w:r>
        <w:rPr>
          <w:rFonts w:hint="cs"/>
          <w:rtl/>
        </w:rPr>
        <w:t xml:space="preserve">וביאר </w:t>
      </w:r>
      <w:r>
        <w:rPr>
          <w:rStyle w:val="af8"/>
          <w:rtl/>
        </w:rPr>
        <w:t>היד יהודה</w:t>
      </w:r>
      <w:r>
        <w:rPr>
          <w:rFonts w:hint="cs"/>
          <w:rtl/>
        </w:rPr>
        <w:t xml:space="preserve"> </w:t>
      </w:r>
      <w:r w:rsidRPr="009F44AF">
        <w:rPr>
          <w:rStyle w:val="af6"/>
          <w:rFonts w:eastAsia="Guttman Hodes" w:hint="cs"/>
          <w:rtl/>
        </w:rPr>
        <w:t>(סי' ק"ט סק"ג ד"ה והנה ואולי זה)</w:t>
      </w:r>
      <w:r>
        <w:rPr>
          <w:rFonts w:hint="cs"/>
          <w:rtl/>
        </w:rPr>
        <w:t xml:space="preserve"> דכוונת </w:t>
      </w:r>
      <w:r>
        <w:rPr>
          <w:rStyle w:val="af8"/>
          <w:rtl/>
        </w:rPr>
        <w:t>ההג' שערי דורא</w:t>
      </w:r>
      <w:r>
        <w:rPr>
          <w:rFonts w:hint="cs"/>
          <w:rtl/>
        </w:rPr>
        <w:t xml:space="preserve"> לומר דהא דאסרו </w:t>
      </w:r>
      <w:r>
        <w:rPr>
          <w:rStyle w:val="af8"/>
          <w:rtl/>
        </w:rPr>
        <w:t>התוס' והסמ"ג</w:t>
      </w:r>
      <w:r>
        <w:rPr>
          <w:rFonts w:hint="cs"/>
          <w:rtl/>
        </w:rPr>
        <w:t xml:space="preserve"> לאדם אחד לאכול את התערובת, הוא כיון דס"ל דאם בישל את התערובת וחזרה ונעשית לח בלח אסור בפחות משישים, וא"כ מוכח דהאיסור אינו נהפך להיתר, ולכן ס"ל </w:t>
      </w:r>
      <w:r>
        <w:rPr>
          <w:rStyle w:val="af8"/>
          <w:rtl/>
        </w:rPr>
        <w:t>להתוס' והסמ"ג</w:t>
      </w:r>
      <w:r>
        <w:rPr>
          <w:rFonts w:hint="cs"/>
          <w:rtl/>
        </w:rPr>
        <w:t xml:space="preserve"> דאינו ראוי שאדם אחד יאכל את כל התערובת, אפילו בזה אחר זה, דבכה"ג אכל ודאי איסור, דלא נהפך האיסור להיתר.</w:t>
      </w:r>
      <w:bookmarkEnd w:id="12964"/>
    </w:p>
    <w:p w:rsidR="0028438A" w:rsidRDefault="0028438A" w:rsidP="0028438A">
      <w:pPr>
        <w:pStyle w:val="a2"/>
        <w:rPr>
          <w:rtl/>
        </w:rPr>
      </w:pPr>
      <w:bookmarkStart w:id="12965" w:name="_Toc23984242"/>
      <w:bookmarkStart w:id="12966" w:name="_Toc23972077"/>
      <w:bookmarkStart w:id="12967" w:name="_Toc23960263"/>
      <w:bookmarkStart w:id="12968" w:name="_Toc23945670"/>
      <w:r>
        <w:rPr>
          <w:rFonts w:hint="cs"/>
          <w:rtl/>
        </w:rPr>
        <w:t>ביאור היד יהודה דלתוס' כיון שבלח יאסר לא הותר לגמרי ביבש ודלא כרא"ה שהותר ביבש</w:t>
      </w:r>
      <w:bookmarkEnd w:id="12965"/>
      <w:bookmarkEnd w:id="12966"/>
      <w:bookmarkEnd w:id="12967"/>
      <w:bookmarkEnd w:id="12968"/>
    </w:p>
    <w:p w:rsidR="0028438A" w:rsidRDefault="0028438A" w:rsidP="009F44AF">
      <w:pPr>
        <w:pStyle w:val="a"/>
        <w:numPr>
          <w:ilvl w:val="0"/>
          <w:numId w:val="17"/>
        </w:numPr>
        <w:rPr>
          <w:rtl/>
        </w:rPr>
      </w:pPr>
      <w:r>
        <w:rPr>
          <w:rFonts w:hint="cs"/>
          <w:rtl/>
        </w:rPr>
        <w:t xml:space="preserve">והוסיף </w:t>
      </w:r>
      <w:r>
        <w:rPr>
          <w:rStyle w:val="af8"/>
          <w:rtl/>
        </w:rPr>
        <w:t>היד יהודה</w:t>
      </w:r>
      <w:r>
        <w:rPr>
          <w:rFonts w:hint="cs"/>
          <w:rtl/>
        </w:rPr>
        <w:t xml:space="preserve"> דכן הקשה </w:t>
      </w:r>
      <w:r>
        <w:rPr>
          <w:rStyle w:val="af8"/>
          <w:rtl/>
        </w:rPr>
        <w:t>הרא"ה</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Ref23936053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נא</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על </w:t>
      </w:r>
      <w:r>
        <w:rPr>
          <w:rStyle w:val="af8"/>
          <w:rtl/>
        </w:rPr>
        <w:t>הרשב"א</w:t>
      </w:r>
      <w:r>
        <w:rPr>
          <w:rFonts w:hint="cs"/>
          <w:rtl/>
        </w:rPr>
        <w:t xml:space="preserve"> דאף באוכל בזה אחר זה אכל ודאי איסור, אך כתב </w:t>
      </w:r>
      <w:r>
        <w:rPr>
          <w:rStyle w:val="af8"/>
          <w:rtl/>
        </w:rPr>
        <w:t>היד יהודה</w:t>
      </w:r>
      <w:r>
        <w:rPr>
          <w:rFonts w:hint="cs"/>
          <w:rtl/>
        </w:rPr>
        <w:t xml:space="preserve"> </w:t>
      </w:r>
      <w:r>
        <w:rPr>
          <w:rStyle w:val="af8"/>
          <w:rtl/>
        </w:rPr>
        <w:t>דהרא"ה</w:t>
      </w:r>
      <w:r>
        <w:rPr>
          <w:rFonts w:hint="cs"/>
          <w:rtl/>
        </w:rPr>
        <w:t xml:space="preserve"> ס"ל </w:t>
      </w:r>
      <w:r>
        <w:rPr>
          <w:rStyle w:val="afa"/>
          <w:rtl/>
        </w:rPr>
        <w:t xml:space="preserve">[כדביאר </w:t>
      </w:r>
      <w:r>
        <w:rPr>
          <w:rStyle w:val="affa"/>
          <w:rtl/>
        </w:rPr>
        <w:t>היד יהודה</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Ref23957674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עט)</w:t>
      </w:r>
      <w:r>
        <w:rPr>
          <w:rFonts w:hint="cs"/>
          <w:rtl/>
        </w:rPr>
        <w:fldChar w:fldCharType="end"/>
      </w:r>
      <w:r>
        <w:rPr>
          <w:rStyle w:val="afa"/>
          <w:rtl/>
        </w:rPr>
        <w:t xml:space="preserve"> בדבריו], </w:t>
      </w:r>
      <w:r>
        <w:rPr>
          <w:rFonts w:hint="cs"/>
          <w:rtl/>
        </w:rPr>
        <w:t xml:space="preserve">דאף שאם חזר ונעשה לח בלח אסור וצריך שישים, מ"מ כ"ז שהוא עדיין יבש ביבש בטל האיסור לגמרי, ולכן ס"ל </w:t>
      </w:r>
      <w:r>
        <w:rPr>
          <w:rStyle w:val="af8"/>
          <w:rtl/>
        </w:rPr>
        <w:t>להרא"ה</w:t>
      </w:r>
      <w:r>
        <w:rPr>
          <w:rFonts w:hint="cs"/>
          <w:rtl/>
        </w:rPr>
        <w:t xml:space="preserve"> דבאוכל בזה אחר זה מותר אף לאדם אחד, ורק בבת אחת ס"ל </w:t>
      </w:r>
      <w:r>
        <w:rPr>
          <w:rStyle w:val="af8"/>
          <w:rtl/>
        </w:rPr>
        <w:t>להרא"ה</w:t>
      </w:r>
      <w:r>
        <w:rPr>
          <w:rFonts w:hint="cs"/>
          <w:rtl/>
        </w:rPr>
        <w:t xml:space="preserve"> דאסור, דחשיב שנעשה לח בלח, </w:t>
      </w:r>
      <w:r>
        <w:rPr>
          <w:rStyle w:val="afa"/>
          <w:rtl/>
        </w:rPr>
        <w:t xml:space="preserve">[כדביאר </w:t>
      </w:r>
      <w:r>
        <w:rPr>
          <w:rStyle w:val="affa"/>
          <w:rtl/>
        </w:rPr>
        <w:t>היד יהודה</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Ref23984422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w:t>
      </w:r>
      <w:r>
        <w:rPr>
          <w:rFonts w:hint="cs"/>
          <w:rtl/>
        </w:rPr>
        <w:fldChar w:fldCharType="end"/>
      </w:r>
      <w:r>
        <w:rPr>
          <w:rStyle w:val="afa"/>
          <w:rtl/>
        </w:rPr>
        <w:t xml:space="preserve"> בדבריו], </w:t>
      </w:r>
      <w:r>
        <w:rPr>
          <w:rFonts w:hint="cs"/>
          <w:rtl/>
        </w:rPr>
        <w:t xml:space="preserve">אבל בדעת </w:t>
      </w:r>
      <w:r>
        <w:rPr>
          <w:rStyle w:val="af8"/>
          <w:rtl/>
        </w:rPr>
        <w:t>התוס' והסמ"ג</w:t>
      </w:r>
      <w:r>
        <w:rPr>
          <w:rFonts w:hint="cs"/>
          <w:rtl/>
        </w:rPr>
        <w:t xml:space="preserve"> כתב </w:t>
      </w:r>
      <w:r>
        <w:rPr>
          <w:rStyle w:val="af8"/>
          <w:rtl/>
        </w:rPr>
        <w:t>היד יהודה</w:t>
      </w:r>
      <w:r>
        <w:rPr>
          <w:rFonts w:hint="cs"/>
          <w:rtl/>
        </w:rPr>
        <w:t xml:space="preserve"> דס"ל דכיון שאם יחזור ויהיה לח, יהיה אסור, לכן אף כשהוא יבש אי"ז ראוי שיתבטל האיסור לגמרי, ולכן אסור לאדם אחד לאכול את כל התערובת.</w:t>
      </w:r>
    </w:p>
    <w:p w:rsidR="0028438A" w:rsidRDefault="0028438A" w:rsidP="00DA6853">
      <w:pPr>
        <w:pStyle w:val="1"/>
      </w:pPr>
      <w:bookmarkStart w:id="12969" w:name="_Toc23887306"/>
      <w:bookmarkStart w:id="12970" w:name="_Toc23984243"/>
      <w:bookmarkStart w:id="12971" w:name="_Toc23972078"/>
      <w:bookmarkStart w:id="12972" w:name="_Toc23960264"/>
      <w:bookmarkStart w:id="12973" w:name="_Toc23945671"/>
      <w:r>
        <w:rPr>
          <w:rFonts w:hint="cs"/>
          <w:rtl/>
        </w:rPr>
        <w:t>ביאור הגרעק"א בתוס'</w:t>
      </w:r>
      <w:bookmarkEnd w:id="12969"/>
      <w:r>
        <w:rPr>
          <w:rFonts w:hint="cs"/>
          <w:rtl/>
        </w:rPr>
        <w:t xml:space="preserve"> דביבש חמור יותר דחשיב אפשר לברר</w:t>
      </w:r>
      <w:bookmarkEnd w:id="12970"/>
      <w:bookmarkEnd w:id="12971"/>
      <w:bookmarkEnd w:id="12972"/>
      <w:bookmarkEnd w:id="12973"/>
    </w:p>
    <w:p w:rsidR="0028438A" w:rsidRDefault="0028438A" w:rsidP="0028438A">
      <w:pPr>
        <w:pStyle w:val="a2"/>
        <w:rPr>
          <w:b/>
          <w:bCs/>
          <w:rtl/>
        </w:rPr>
      </w:pPr>
      <w:bookmarkStart w:id="12974" w:name="_Toc23984244"/>
      <w:bookmarkStart w:id="12975" w:name="_Toc23972079"/>
      <w:bookmarkStart w:id="12976" w:name="_Toc23960265"/>
      <w:bookmarkStart w:id="12977" w:name="_Toc23945672"/>
      <w:bookmarkStart w:id="12978" w:name="_Toc23887308"/>
      <w:bookmarkStart w:id="12979" w:name="_Toc23850417"/>
      <w:bookmarkStart w:id="12980" w:name="_Toc23799240"/>
      <w:bookmarkStart w:id="12981" w:name="_Toc23712652"/>
      <w:bookmarkEnd w:id="12952"/>
      <w:bookmarkEnd w:id="12953"/>
      <w:bookmarkEnd w:id="12954"/>
      <w:r>
        <w:rPr>
          <w:rFonts w:hint="cs"/>
          <w:rtl/>
        </w:rPr>
        <w:t>ביאור הגרעק"א בתוס' דביבש חשיב שאפשר לברר ולכן הוא חמור יותר מביטול בשישים</w:t>
      </w:r>
      <w:bookmarkEnd w:id="12974"/>
      <w:bookmarkEnd w:id="12975"/>
      <w:bookmarkEnd w:id="12976"/>
      <w:bookmarkEnd w:id="12977"/>
      <w:bookmarkEnd w:id="12978"/>
      <w:bookmarkEnd w:id="12979"/>
      <w:bookmarkEnd w:id="12980"/>
      <w:bookmarkEnd w:id="12981"/>
    </w:p>
    <w:p w:rsidR="0028438A" w:rsidRDefault="0028438A" w:rsidP="009F44AF">
      <w:pPr>
        <w:pStyle w:val="a"/>
        <w:numPr>
          <w:ilvl w:val="0"/>
          <w:numId w:val="17"/>
        </w:numPr>
      </w:pPr>
      <w:r>
        <w:rPr>
          <w:rFonts w:hint="cs"/>
          <w:rtl/>
        </w:rPr>
        <w:t xml:space="preserve">הקשה </w:t>
      </w:r>
      <w:r>
        <w:rPr>
          <w:rStyle w:val="af8"/>
          <w:rtl/>
        </w:rPr>
        <w:t>הגרעק"א</w:t>
      </w:r>
      <w:r>
        <w:rPr>
          <w:rFonts w:hint="cs"/>
          <w:rtl/>
        </w:rPr>
        <w:t xml:space="preserve"> </w:t>
      </w:r>
      <w:r w:rsidRPr="009F44AF">
        <w:rPr>
          <w:rStyle w:val="af6"/>
          <w:rFonts w:eastAsia="Guttman Hodes" w:hint="cs"/>
          <w:rtl/>
        </w:rPr>
        <w:t>(על תוד"ה בריה)</w:t>
      </w:r>
      <w:r>
        <w:rPr>
          <w:rFonts w:hint="cs"/>
          <w:rtl/>
        </w:rPr>
        <w:t xml:space="preserve"> על </w:t>
      </w:r>
      <w:r>
        <w:rPr>
          <w:rStyle w:val="af8"/>
          <w:rtl/>
        </w:rPr>
        <w:t>התוס'</w:t>
      </w:r>
      <w:r>
        <w:rPr>
          <w:rFonts w:hint="cs"/>
          <w:rtl/>
        </w:rPr>
        <w:t xml:space="preserve"> דמ"ש ביטול ברוב משאר הביטולים, ומה החילוק בין ביטול ברוב שיש צד לאסור לאדם אחד, מביטול בשישים דמותר, וכתב </w:t>
      </w:r>
      <w:r>
        <w:rPr>
          <w:rStyle w:val="af8"/>
          <w:rtl/>
        </w:rPr>
        <w:t>הגרעק"א</w:t>
      </w:r>
      <w:r>
        <w:rPr>
          <w:rFonts w:hint="cs"/>
          <w:rtl/>
        </w:rPr>
        <w:t xml:space="preserve"> דאפש"ל דביבש ביבש חשיב שאפשר לברר היכן נמצא האיסור, ולכן אף אסור בו לאדם אחד, אף דבשאר ביטולים כביטול בשישים מותר.</w:t>
      </w:r>
    </w:p>
    <w:p w:rsidR="0028438A" w:rsidRDefault="0028438A" w:rsidP="00DA6853">
      <w:pPr>
        <w:pStyle w:val="1"/>
        <w:rPr>
          <w:rtl/>
        </w:rPr>
      </w:pPr>
      <w:bookmarkStart w:id="12982" w:name="_Toc23984245"/>
      <w:bookmarkStart w:id="12983" w:name="_Toc23972080"/>
      <w:bookmarkStart w:id="12984" w:name="_Toc23960266"/>
      <w:bookmarkStart w:id="12985" w:name="_Toc23945673"/>
      <w:bookmarkStart w:id="12986" w:name="_Toc23887312"/>
      <w:bookmarkStart w:id="12987" w:name="_Toc23850421"/>
      <w:bookmarkStart w:id="12988" w:name="_Toc23799244"/>
      <w:r>
        <w:rPr>
          <w:rFonts w:hint="cs"/>
          <w:rtl/>
        </w:rPr>
        <w:t>דעת המשל"מ דהתוס' אסרו לאדם אחד מדאו'</w:t>
      </w:r>
      <w:bookmarkEnd w:id="12982"/>
      <w:bookmarkEnd w:id="12983"/>
      <w:bookmarkEnd w:id="12984"/>
      <w:bookmarkEnd w:id="12985"/>
      <w:bookmarkEnd w:id="12986"/>
      <w:bookmarkEnd w:id="12987"/>
      <w:bookmarkEnd w:id="12988"/>
    </w:p>
    <w:p w:rsidR="0028438A" w:rsidRDefault="0028438A" w:rsidP="0028438A">
      <w:pPr>
        <w:pStyle w:val="a2"/>
        <w:rPr>
          <w:b/>
          <w:bCs/>
          <w:rtl/>
        </w:rPr>
      </w:pPr>
      <w:bookmarkStart w:id="12989" w:name="_Toc23984246"/>
      <w:bookmarkStart w:id="12990" w:name="_Toc23972081"/>
      <w:bookmarkStart w:id="12991" w:name="_Toc23960267"/>
      <w:bookmarkStart w:id="12992" w:name="_Toc23945674"/>
      <w:bookmarkStart w:id="12993" w:name="_Toc23887313"/>
      <w:bookmarkStart w:id="12994" w:name="_Toc23850422"/>
      <w:bookmarkStart w:id="12995" w:name="_Toc23799245"/>
      <w:r>
        <w:rPr>
          <w:rFonts w:hint="cs"/>
          <w:rtl/>
        </w:rPr>
        <w:t>דברי המשל"מ דלתוס' דאוסר באדם אחד ה"ה דאסור לאכול טהרות של ב' שבילין</w:t>
      </w:r>
      <w:bookmarkEnd w:id="12989"/>
      <w:bookmarkEnd w:id="12990"/>
      <w:bookmarkEnd w:id="12991"/>
      <w:bookmarkEnd w:id="12992"/>
      <w:bookmarkEnd w:id="12993"/>
      <w:bookmarkEnd w:id="12994"/>
      <w:bookmarkEnd w:id="12995"/>
    </w:p>
    <w:p w:rsidR="0028438A" w:rsidRDefault="0028438A" w:rsidP="009F44AF">
      <w:pPr>
        <w:pStyle w:val="a"/>
        <w:numPr>
          <w:ilvl w:val="0"/>
          <w:numId w:val="17"/>
        </w:numPr>
        <w:rPr>
          <w:rtl/>
        </w:rPr>
      </w:pPr>
      <w:bookmarkStart w:id="12996" w:name="_Ref23063538"/>
      <w:bookmarkStart w:id="12997" w:name="_Ref23794512"/>
      <w:r>
        <w:rPr>
          <w:rFonts w:hint="cs"/>
          <w:rtl/>
        </w:rPr>
        <w:t xml:space="preserve">והביא </w:t>
      </w:r>
      <w:r>
        <w:rPr>
          <w:rStyle w:val="af8"/>
          <w:rtl/>
        </w:rPr>
        <w:t>המשל"מ</w:t>
      </w:r>
      <w:r>
        <w:rPr>
          <w:rFonts w:hint="cs"/>
          <w:rtl/>
        </w:rPr>
        <w:t xml:space="preserve"> </w:t>
      </w:r>
      <w:r w:rsidRPr="009F44AF">
        <w:rPr>
          <w:rStyle w:val="af6"/>
          <w:rFonts w:eastAsia="Guttman Hodes" w:hint="cs"/>
          <w:rtl/>
        </w:rPr>
        <w:t>(אבות הטומאות פי"ט ה"ב ד"ה עוד כתבו התוס')</w:t>
      </w:r>
      <w:r>
        <w:rPr>
          <w:rFonts w:hint="cs"/>
          <w:rtl/>
        </w:rPr>
        <w:t xml:space="preserve"> את דברי </w:t>
      </w:r>
      <w:r>
        <w:rPr>
          <w:rStyle w:val="af8"/>
          <w:rtl/>
        </w:rPr>
        <w:t>התוס' בכתובות</w:t>
      </w:r>
      <w:r>
        <w:rPr>
          <w:rFonts w:hint="cs"/>
          <w:rtl/>
        </w:rPr>
        <w:t xml:space="preserve"> </w:t>
      </w:r>
      <w:r w:rsidRPr="009F44AF">
        <w:rPr>
          <w:rStyle w:val="af6"/>
          <w:rFonts w:eastAsia="Guttman Hodes" w:hint="cs"/>
          <w:rtl/>
        </w:rPr>
        <w:t>(כז. ד"ה ואם)</w:t>
      </w:r>
      <w:r>
        <w:rPr>
          <w:rFonts w:hint="cs"/>
          <w:rtl/>
        </w:rPr>
        <w:t xml:space="preserve"> דכתבו דשניים שהלכו בב' שבילין ונשאלו בזה אחר זה, דאף שהטהרות מותרות מ"מ אסור לאדם אחד לאוכלם, דא"כ הוא אוכל טומאה בודאי והוא כאדם אחד שהלך בב' השבילין, דאיתא בגמ' בשבועות </w:t>
      </w:r>
      <w:r w:rsidRPr="009F44AF">
        <w:rPr>
          <w:rStyle w:val="af6"/>
          <w:rFonts w:eastAsiaTheme="minorEastAsia" w:hint="cs"/>
          <w:rtl/>
        </w:rPr>
        <w:t>(יט.)</w:t>
      </w:r>
      <w:r>
        <w:rPr>
          <w:rFonts w:hint="cs"/>
          <w:rtl/>
        </w:rPr>
        <w:t xml:space="preserve"> דהוא טמא </w:t>
      </w:r>
      <w:r w:rsidR="00441868">
        <w:rPr>
          <w:rFonts w:hint="cs"/>
          <w:rtl/>
        </w:rPr>
        <w:t>ממה נפשך</w:t>
      </w:r>
      <w:r>
        <w:rPr>
          <w:rFonts w:hint="cs"/>
          <w:rtl/>
        </w:rPr>
        <w:t xml:space="preserve">, </w:t>
      </w:r>
      <w:r>
        <w:rPr>
          <w:rStyle w:val="afa"/>
          <w:rtl/>
        </w:rPr>
        <w:t xml:space="preserve">[וכעי"ז כתב </w:t>
      </w:r>
      <w:r>
        <w:rPr>
          <w:rStyle w:val="affa"/>
          <w:rtl/>
        </w:rPr>
        <w:t>התוס' רי"ד</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Ref23760201 \n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כז)</w:t>
      </w:r>
      <w:r>
        <w:rPr>
          <w:rFonts w:hint="cs"/>
          <w:rtl/>
        </w:rPr>
        <w:fldChar w:fldCharType="end"/>
      </w:r>
      <w:r>
        <w:rPr>
          <w:rStyle w:val="afa"/>
          <w:rtl/>
        </w:rPr>
        <w:t xml:space="preserve">], </w:t>
      </w:r>
      <w:r>
        <w:rPr>
          <w:rFonts w:hint="cs"/>
          <w:rtl/>
        </w:rPr>
        <w:t xml:space="preserve">וכתב </w:t>
      </w:r>
      <w:r>
        <w:rPr>
          <w:rStyle w:val="af8"/>
          <w:rtl/>
        </w:rPr>
        <w:t>המשל"מ</w:t>
      </w:r>
      <w:r>
        <w:rPr>
          <w:rFonts w:hint="cs"/>
          <w:rtl/>
        </w:rPr>
        <w:t xml:space="preserve"> דהוא תלוי בפלוגתת </w:t>
      </w:r>
      <w:r>
        <w:rPr>
          <w:rStyle w:val="af8"/>
          <w:rtl/>
        </w:rPr>
        <w:t xml:space="preserve">התוס'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Ref23708991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Pr>
          <w:rStyle w:val="af8"/>
          <w:rtl/>
        </w:rPr>
        <w:t xml:space="preserve">  והרשב"א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 בסוגיין, דלדעת </w:t>
      </w:r>
      <w:r>
        <w:rPr>
          <w:rStyle w:val="af8"/>
          <w:rtl/>
        </w:rPr>
        <w:t>התוס'</w:t>
      </w:r>
      <w:r>
        <w:rPr>
          <w:rFonts w:hint="cs"/>
          <w:rtl/>
        </w:rPr>
        <w:t xml:space="preserve"> דלאדם אחת אסור לאכול את כל התערובת, ה"ה בדין ב' שבילין.</w:t>
      </w:r>
      <w:bookmarkEnd w:id="12996"/>
      <w:r>
        <w:rPr>
          <w:rFonts w:hint="cs"/>
          <w:rtl/>
        </w:rPr>
        <w:t xml:space="preserve"> [ועי' </w:t>
      </w:r>
      <w:r>
        <w:rPr>
          <w:rStyle w:val="af8"/>
          <w:rtl/>
        </w:rPr>
        <w:t>בקוה"ע</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Ref23787133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קכז</w:t>
      </w:r>
      <w:r w:rsidR="004D1C5B">
        <w:rPr>
          <w:rStyle w:val="af6"/>
          <w:rFonts w:eastAsia="Guttman Hodes"/>
          <w:rtl/>
        </w:rPr>
        <w:t>)</w:t>
      </w:r>
      <w:r>
        <w:rPr>
          <w:rFonts w:hint="cs"/>
          <w:rtl/>
        </w:rPr>
        <w:fldChar w:fldCharType="end"/>
      </w:r>
      <w:r>
        <w:rPr>
          <w:rFonts w:hint="cs"/>
          <w:rtl/>
        </w:rPr>
        <w:t xml:space="preserve"> שהביא את ביאור </w:t>
      </w:r>
      <w:r>
        <w:rPr>
          <w:rStyle w:val="af8"/>
          <w:rtl/>
        </w:rPr>
        <w:t xml:space="preserve">המהרש"ל </w:t>
      </w:r>
      <w:r>
        <w:rPr>
          <w:rFonts w:hint="cs"/>
          <w:rtl/>
        </w:rPr>
        <w:t xml:space="preserve">בדברי </w:t>
      </w:r>
      <w:r>
        <w:rPr>
          <w:rStyle w:val="af8"/>
          <w:rtl/>
        </w:rPr>
        <w:t>התוס' בכתובות</w:t>
      </w:r>
      <w:r>
        <w:rPr>
          <w:rFonts w:hint="cs"/>
          <w:rtl/>
        </w:rPr>
        <w:t xml:space="preserve">, ובמ"ש </w:t>
      </w:r>
      <w:r>
        <w:rPr>
          <w:rStyle w:val="af8"/>
          <w:rtl/>
        </w:rPr>
        <w:t>הקוה"ע</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Ref23787841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קכח</w:t>
      </w:r>
      <w:r w:rsidR="004D1C5B">
        <w:rPr>
          <w:rStyle w:val="af6"/>
          <w:rFonts w:eastAsia="Guttman Hodes"/>
          <w:rtl/>
        </w:rPr>
        <w:t>)</w:t>
      </w:r>
      <w:r>
        <w:rPr>
          <w:rFonts w:hint="cs"/>
          <w:rtl/>
        </w:rPr>
        <w:fldChar w:fldCharType="end"/>
      </w:r>
      <w:r>
        <w:rPr>
          <w:rFonts w:hint="cs"/>
          <w:rtl/>
        </w:rPr>
        <w:t xml:space="preserve"> בביאור דברי </w:t>
      </w:r>
      <w:r>
        <w:rPr>
          <w:rStyle w:val="af8"/>
          <w:rtl/>
        </w:rPr>
        <w:t>התוס' בכתובות</w:t>
      </w:r>
      <w:r>
        <w:rPr>
          <w:rFonts w:hint="cs"/>
          <w:rtl/>
        </w:rPr>
        <w:t>].</w:t>
      </w:r>
      <w:bookmarkEnd w:id="12997"/>
    </w:p>
    <w:p w:rsidR="0028438A" w:rsidRDefault="0028438A" w:rsidP="0028438A">
      <w:pPr>
        <w:pStyle w:val="a2"/>
        <w:rPr>
          <w:rtl/>
        </w:rPr>
      </w:pPr>
      <w:r>
        <w:rPr>
          <w:rFonts w:hint="cs"/>
          <w:rtl/>
        </w:rPr>
        <w:t>דברי המשל"מ דלהרשב"א שמותר לאדם א' אף שאוכל ודאי איסור ה"ה בטהרות דב' שבילין</w:t>
      </w:r>
    </w:p>
    <w:p w:rsidR="0028438A" w:rsidRDefault="0028438A" w:rsidP="009F44AF">
      <w:pPr>
        <w:pStyle w:val="a"/>
        <w:numPr>
          <w:ilvl w:val="0"/>
          <w:numId w:val="17"/>
        </w:numPr>
      </w:pPr>
      <w:r>
        <w:rPr>
          <w:rFonts w:hint="cs"/>
          <w:rtl/>
        </w:rPr>
        <w:t xml:space="preserve">אבל לדעת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דס"ל דמותר לאדם אחד לאכול את כל התערובת, אעפ"י שאוכל ודאי איסור, כתב </w:t>
      </w:r>
      <w:r>
        <w:rPr>
          <w:rStyle w:val="af8"/>
          <w:rtl/>
        </w:rPr>
        <w:t>המשל"מ</w:t>
      </w:r>
      <w:r>
        <w:rPr>
          <w:rFonts w:hint="cs"/>
          <w:rtl/>
        </w:rPr>
        <w:t xml:space="preserve"> דה"ה בב' שבילין דמותר לאדם אחד לאכול את הטהרות של ב' הבנ"א שהלכו בב' השבילין, דמדינא כל הטהרות טהורות. </w:t>
      </w:r>
      <w:r>
        <w:rPr>
          <w:rStyle w:val="afa"/>
          <w:rtl/>
        </w:rPr>
        <w:t xml:space="preserve">[וכדכתב </w:t>
      </w:r>
      <w:r>
        <w:rPr>
          <w:rStyle w:val="affa"/>
          <w:rtl/>
        </w:rPr>
        <w:t>הרשב"א</w:t>
      </w:r>
      <w:r>
        <w:rPr>
          <w:rStyle w:val="afa"/>
          <w:rtl/>
        </w:rPr>
        <w:t xml:space="preserve"> דההיתר לאכול את כל התערובת הוא רק בזה אחר זה, אבל בבת אחת אסור דאוכל ודאי איסור, ודמי לדין ב' שבילין דבבאו לישאל בבת אחת טמאים, ובזה אחר זה שניהם טהורים, אף כשאדם אחד אוכל את הטהרות של שניהם].</w:t>
      </w:r>
    </w:p>
    <w:p w:rsidR="0028438A" w:rsidRDefault="0028438A" w:rsidP="00DA6853">
      <w:pPr>
        <w:pStyle w:val="1"/>
        <w:rPr>
          <w:rtl/>
        </w:rPr>
      </w:pPr>
      <w:bookmarkStart w:id="12998" w:name="_Toc23984248"/>
      <w:bookmarkStart w:id="12999" w:name="_Toc23972083"/>
      <w:bookmarkStart w:id="13000" w:name="_Toc23960269"/>
      <w:bookmarkStart w:id="13001" w:name="_Toc23945676"/>
      <w:bookmarkStart w:id="13002" w:name="_Toc23887315"/>
      <w:bookmarkStart w:id="13003" w:name="_Toc23850424"/>
      <w:bookmarkStart w:id="13004" w:name="_Toc23799247"/>
      <w:r>
        <w:rPr>
          <w:rFonts w:hint="cs"/>
          <w:rtl/>
        </w:rPr>
        <w:t>דעת הפרמ"ג דמדאו' מותר לאדם אחד והתוס' אסרו מדרבנן</w:t>
      </w:r>
      <w:bookmarkEnd w:id="12998"/>
      <w:bookmarkEnd w:id="12999"/>
      <w:bookmarkEnd w:id="13000"/>
      <w:bookmarkEnd w:id="13001"/>
      <w:bookmarkEnd w:id="13002"/>
      <w:bookmarkEnd w:id="13003"/>
      <w:bookmarkEnd w:id="13004"/>
      <w:r>
        <w:rPr>
          <w:rFonts w:hint="cs"/>
          <w:rtl/>
        </w:rPr>
        <w:t xml:space="preserve"> </w:t>
      </w:r>
    </w:p>
    <w:p w:rsidR="0028438A" w:rsidRDefault="0028438A" w:rsidP="0028438A">
      <w:pPr>
        <w:pStyle w:val="a2"/>
        <w:rPr>
          <w:b/>
          <w:bCs/>
          <w:rtl/>
        </w:rPr>
      </w:pPr>
      <w:bookmarkStart w:id="13005" w:name="_Toc23984249"/>
      <w:bookmarkStart w:id="13006" w:name="_Toc23972084"/>
      <w:bookmarkStart w:id="13007" w:name="_Toc23960270"/>
      <w:bookmarkStart w:id="13008" w:name="_Toc23945677"/>
      <w:bookmarkStart w:id="13009" w:name="_Toc23887316"/>
      <w:bookmarkStart w:id="13010" w:name="_Toc23850425"/>
      <w:bookmarkStart w:id="13011" w:name="_Toc23799248"/>
      <w:r>
        <w:rPr>
          <w:rFonts w:hint="cs"/>
          <w:rtl/>
        </w:rPr>
        <w:t>קושית הפרמ"ג דברוב האיסור נהפך להיתר ואילו בב' שבילין כשיש ודאי טומאה אסור מדאו'</w:t>
      </w:r>
      <w:bookmarkEnd w:id="13005"/>
      <w:bookmarkEnd w:id="13006"/>
      <w:bookmarkEnd w:id="13007"/>
      <w:bookmarkEnd w:id="13008"/>
      <w:bookmarkEnd w:id="13009"/>
      <w:bookmarkEnd w:id="13010"/>
      <w:bookmarkEnd w:id="13011"/>
    </w:p>
    <w:p w:rsidR="0028438A" w:rsidRDefault="0028438A" w:rsidP="009F44AF">
      <w:pPr>
        <w:pStyle w:val="a"/>
        <w:numPr>
          <w:ilvl w:val="0"/>
          <w:numId w:val="17"/>
        </w:numPr>
        <w:rPr>
          <w:rtl/>
        </w:rPr>
      </w:pPr>
      <w:bookmarkStart w:id="13012" w:name="_Ref23794477"/>
      <w:r>
        <w:rPr>
          <w:rFonts w:hint="cs"/>
          <w:rtl/>
        </w:rPr>
        <w:lastRenderedPageBreak/>
        <w:t xml:space="preserve">והקשה </w:t>
      </w:r>
      <w:r>
        <w:rPr>
          <w:rStyle w:val="af8"/>
          <w:rtl/>
        </w:rPr>
        <w:t>הפרמ"ג בשושנת העמקים</w:t>
      </w:r>
      <w:r>
        <w:rPr>
          <w:rFonts w:hint="cs"/>
          <w:rtl/>
        </w:rPr>
        <w:t xml:space="preserve"> </w:t>
      </w:r>
      <w:r w:rsidRPr="009F44AF">
        <w:rPr>
          <w:rStyle w:val="af6"/>
          <w:rFonts w:eastAsia="Guttman Hodes" w:hint="cs"/>
          <w:rtl/>
        </w:rPr>
        <w:t>(כלל י"ג ד"ה וראיתי להמשל"מ)</w:t>
      </w:r>
      <w:r>
        <w:rPr>
          <w:rFonts w:hint="cs"/>
          <w:rtl/>
        </w:rPr>
        <w:t xml:space="preserve"> על </w:t>
      </w:r>
      <w:r>
        <w:rPr>
          <w:rStyle w:val="af8"/>
          <w:rtl/>
        </w:rPr>
        <w:t>המשל"מ</w:t>
      </w:r>
      <w:r>
        <w:rPr>
          <w:rFonts w:hint="cs"/>
          <w:rtl/>
        </w:rPr>
        <w:t xml:space="preserve"> דבב' שבילין ההיתר הוא מדין ספק טומאה ברה"ר, ולכן במקום שיש ודאי איסור כתבו </w:t>
      </w:r>
      <w:r>
        <w:rPr>
          <w:rStyle w:val="af8"/>
          <w:rtl/>
        </w:rPr>
        <w:t>התוס' בכתובות</w:t>
      </w:r>
      <w:r>
        <w:rPr>
          <w:rFonts w:hint="cs"/>
          <w:rtl/>
        </w:rPr>
        <w:t xml:space="preserve"> דאסור מדאו', דאינו בכלל היתר ספק טומאה ברה"ר, אבל בביטול ביבש ביבש, דהאיסור בטל ברוב ונעשה כולו היתר, לא שייך לומר דמדאו' אסור לאדם אחד, כיון שיש ודאי איסור, וכעי"ז הקשה </w:t>
      </w:r>
      <w:r>
        <w:rPr>
          <w:rStyle w:val="af8"/>
          <w:rtl/>
        </w:rPr>
        <w:t>הקוב"ש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Ref23794398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קכו</w:t>
      </w:r>
      <w:r w:rsidR="004D1C5B">
        <w:rPr>
          <w:rStyle w:val="af6"/>
          <w:rFonts w:eastAsia="Guttman Hodes"/>
          <w:rtl/>
        </w:rPr>
        <w:t>)</w:t>
      </w:r>
      <w:r>
        <w:rPr>
          <w:rFonts w:hint="cs"/>
          <w:rtl/>
        </w:rPr>
        <w:fldChar w:fldCharType="end"/>
      </w:r>
      <w:r>
        <w:rPr>
          <w:rFonts w:hint="cs"/>
          <w:rtl/>
        </w:rPr>
        <w:t>.</w:t>
      </w:r>
      <w:bookmarkEnd w:id="13012"/>
    </w:p>
    <w:p w:rsidR="0028438A" w:rsidRDefault="0028438A" w:rsidP="0028438A">
      <w:pPr>
        <w:pStyle w:val="a2"/>
        <w:rPr>
          <w:rtl/>
        </w:rPr>
      </w:pPr>
      <w:bookmarkStart w:id="13013" w:name="_Toc23984250"/>
      <w:bookmarkStart w:id="13014" w:name="_Toc23972085"/>
      <w:bookmarkStart w:id="13015" w:name="_Toc23960271"/>
      <w:bookmarkStart w:id="13016" w:name="_Toc23945678"/>
      <w:bookmarkStart w:id="13017" w:name="_Toc23887317"/>
      <w:bookmarkStart w:id="13018" w:name="_Toc23850426"/>
      <w:bookmarkStart w:id="13019" w:name="_Toc23799249"/>
      <w:r>
        <w:rPr>
          <w:rFonts w:hint="cs"/>
          <w:rtl/>
        </w:rPr>
        <w:t>קושית המלבושי יו"ט דהתוס' אסרו רק מדרבנן ואף הרשב"א דאסר בבת אחת הוא רק מדרבנן</w:t>
      </w:r>
      <w:bookmarkEnd w:id="13013"/>
      <w:bookmarkEnd w:id="13014"/>
      <w:bookmarkEnd w:id="13015"/>
      <w:bookmarkEnd w:id="13016"/>
      <w:bookmarkEnd w:id="13017"/>
      <w:bookmarkEnd w:id="13018"/>
      <w:bookmarkEnd w:id="13019"/>
    </w:p>
    <w:p w:rsidR="0028438A" w:rsidRDefault="0028438A" w:rsidP="009F44AF">
      <w:pPr>
        <w:pStyle w:val="a"/>
        <w:numPr>
          <w:ilvl w:val="0"/>
          <w:numId w:val="17"/>
        </w:numPr>
        <w:rPr>
          <w:rtl/>
        </w:rPr>
      </w:pPr>
      <w:bookmarkStart w:id="13020" w:name="_Ref23794486"/>
      <w:r>
        <w:rPr>
          <w:rFonts w:hint="cs"/>
          <w:rtl/>
        </w:rPr>
        <w:t xml:space="preserve">וכעי"ז הקשה </w:t>
      </w:r>
      <w:r>
        <w:rPr>
          <w:rStyle w:val="af8"/>
          <w:rtl/>
        </w:rPr>
        <w:t xml:space="preserve">המלבושי יו"ט </w:t>
      </w:r>
      <w:r w:rsidRPr="009F44AF">
        <w:rPr>
          <w:rStyle w:val="af6"/>
          <w:rFonts w:eastAsia="Guttman Hodes" w:hint="cs"/>
          <w:rtl/>
        </w:rPr>
        <w:t>(ח"א דיני ברירה סי' י"ד ד"ה אולם)</w:t>
      </w:r>
      <w:r>
        <w:rPr>
          <w:rFonts w:hint="cs"/>
          <w:rtl/>
        </w:rPr>
        <w:t xml:space="preserve"> על </w:t>
      </w:r>
      <w:r>
        <w:rPr>
          <w:rStyle w:val="af8"/>
          <w:rtl/>
        </w:rPr>
        <w:t xml:space="preserve">המשל"מ </w:t>
      </w:r>
      <w:r>
        <w:rPr>
          <w:rFonts w:hint="cs"/>
          <w:rtl/>
        </w:rPr>
        <w:t>דהא כ"מ דכתבו</w:t>
      </w:r>
      <w:r>
        <w:rPr>
          <w:rStyle w:val="af8"/>
          <w:rtl/>
        </w:rPr>
        <w:t xml:space="preserve"> התוס' </w:t>
      </w:r>
      <w:r>
        <w:rPr>
          <w:rFonts w:hint="cs"/>
          <w:rtl/>
        </w:rPr>
        <w:t xml:space="preserve">דאסור לאדם אחד לאוכלם, הוא רק מדרבנן, אבל מדאו' לכו"ע מותר לאדם אחד לאכול את כל התערובת, כיון שהתבטל ברוב, והוסיף </w:t>
      </w:r>
      <w:r>
        <w:rPr>
          <w:rStyle w:val="af8"/>
          <w:rtl/>
        </w:rPr>
        <w:t xml:space="preserve">המלבושי יו"ט </w:t>
      </w:r>
      <w:r>
        <w:rPr>
          <w:rFonts w:hint="cs"/>
          <w:rtl/>
        </w:rPr>
        <w:t xml:space="preserve">דאף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Ref23953535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עג</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דאסר לאכול את כל התערובת בבת אחת, הוא רק מדרבנן, אבל מדאו' לכו"ע מותר כיון שהתבטל ברוב, ועיי"ש במה שביאר </w:t>
      </w:r>
      <w:r>
        <w:rPr>
          <w:rStyle w:val="af8"/>
          <w:rtl/>
        </w:rPr>
        <w:t xml:space="preserve">המלבושי יו"ט </w:t>
      </w:r>
      <w:r>
        <w:rPr>
          <w:rFonts w:hint="cs"/>
          <w:rtl/>
        </w:rPr>
        <w:t xml:space="preserve">בדברי </w:t>
      </w:r>
      <w:r>
        <w:rPr>
          <w:rStyle w:val="af8"/>
          <w:rtl/>
        </w:rPr>
        <w:t>הרשב"א</w:t>
      </w:r>
      <w:r>
        <w:rPr>
          <w:rFonts w:hint="cs"/>
          <w:rtl/>
        </w:rPr>
        <w:t>.</w:t>
      </w:r>
      <w:bookmarkEnd w:id="13020"/>
    </w:p>
    <w:p w:rsidR="0028438A" w:rsidRDefault="0028438A" w:rsidP="0028438A">
      <w:pPr>
        <w:pStyle w:val="a2"/>
        <w:rPr>
          <w:rtl/>
        </w:rPr>
      </w:pPr>
      <w:bookmarkStart w:id="13021" w:name="_Toc23984251"/>
      <w:bookmarkStart w:id="13022" w:name="_Toc23972086"/>
      <w:bookmarkStart w:id="13023" w:name="_Toc23960272"/>
      <w:bookmarkStart w:id="13024" w:name="_Toc23945679"/>
      <w:bookmarkStart w:id="13025" w:name="_Toc23887318"/>
      <w:bookmarkStart w:id="13026" w:name="_Toc23850427"/>
      <w:bookmarkStart w:id="13027" w:name="_Toc23799250"/>
      <w:r>
        <w:rPr>
          <w:rFonts w:hint="cs"/>
          <w:rtl/>
        </w:rPr>
        <w:t>ביאור המלבושי יו"ט דאף לתוס' האיסור נהפך להיתר ואסור רק מדרבנן משא"כ בב' שבילין</w:t>
      </w:r>
      <w:bookmarkEnd w:id="13021"/>
      <w:bookmarkEnd w:id="13022"/>
      <w:bookmarkEnd w:id="13023"/>
      <w:bookmarkEnd w:id="13024"/>
      <w:bookmarkEnd w:id="13025"/>
      <w:bookmarkEnd w:id="13026"/>
      <w:bookmarkEnd w:id="13027"/>
    </w:p>
    <w:p w:rsidR="0028438A" w:rsidRDefault="0028438A" w:rsidP="009F44AF">
      <w:pPr>
        <w:pStyle w:val="a"/>
        <w:numPr>
          <w:ilvl w:val="0"/>
          <w:numId w:val="17"/>
        </w:numPr>
        <w:rPr>
          <w:rtl/>
        </w:rPr>
      </w:pPr>
      <w:bookmarkStart w:id="13028" w:name="_Ref23953501"/>
      <w:r>
        <w:rPr>
          <w:rFonts w:hint="cs"/>
          <w:rtl/>
        </w:rPr>
        <w:t xml:space="preserve">אלא כתב </w:t>
      </w:r>
      <w:r>
        <w:rPr>
          <w:rStyle w:val="af8"/>
          <w:rtl/>
        </w:rPr>
        <w:t xml:space="preserve">המלבושי יו"ט דהתוס' </w:t>
      </w:r>
      <w:r>
        <w:rPr>
          <w:rFonts w:hint="cs"/>
          <w:rtl/>
        </w:rPr>
        <w:t xml:space="preserve">החמירו מדרבנן אף יותר </w:t>
      </w:r>
      <w:r>
        <w:rPr>
          <w:rStyle w:val="af8"/>
          <w:rtl/>
        </w:rPr>
        <w:t>מהרשב"א</w:t>
      </w:r>
      <w:r>
        <w:rPr>
          <w:rFonts w:hint="cs"/>
          <w:rtl/>
        </w:rPr>
        <w:t xml:space="preserve">, </w:t>
      </w:r>
      <w:r>
        <w:rPr>
          <w:rStyle w:val="af8"/>
          <w:rtl/>
        </w:rPr>
        <w:t xml:space="preserve">דלהרשב"א </w:t>
      </w:r>
      <w:r>
        <w:rPr>
          <w:rFonts w:hint="cs"/>
          <w:rtl/>
        </w:rPr>
        <w:t xml:space="preserve">מותר לאדם אחד, אך אסור בבת אחת, ואילו </w:t>
      </w:r>
      <w:r>
        <w:rPr>
          <w:rStyle w:val="af8"/>
          <w:rtl/>
        </w:rPr>
        <w:t>להתוס'</w:t>
      </w:r>
      <w:r>
        <w:rPr>
          <w:rFonts w:hint="cs"/>
          <w:rtl/>
        </w:rPr>
        <w:t xml:space="preserve"> החמירו רבנן דאסור אף לאדם אחד, וביאר </w:t>
      </w:r>
      <w:r>
        <w:rPr>
          <w:rStyle w:val="af8"/>
          <w:rtl/>
        </w:rPr>
        <w:t>המלבושי יו"ט</w:t>
      </w:r>
      <w:r>
        <w:rPr>
          <w:rFonts w:hint="cs"/>
          <w:rtl/>
        </w:rPr>
        <w:t xml:space="preserve">, דאף דמודו </w:t>
      </w:r>
      <w:r>
        <w:rPr>
          <w:rStyle w:val="af8"/>
          <w:rtl/>
        </w:rPr>
        <w:t xml:space="preserve">התוס' </w:t>
      </w:r>
      <w:r>
        <w:rPr>
          <w:rFonts w:hint="cs"/>
          <w:rtl/>
        </w:rPr>
        <w:t xml:space="preserve">לדברי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Ref23782579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לב</w:t>
      </w:r>
      <w:r w:rsidR="004D1C5B">
        <w:rPr>
          <w:rStyle w:val="af6"/>
          <w:rFonts w:eastAsia="Guttman Hodes"/>
          <w:rtl/>
        </w:rPr>
        <w:t>)</w:t>
      </w:r>
      <w:r>
        <w:rPr>
          <w:rFonts w:hint="cs"/>
          <w:rtl/>
        </w:rPr>
        <w:fldChar w:fldCharType="end"/>
      </w:r>
      <w:r>
        <w:rPr>
          <w:rFonts w:hint="cs"/>
          <w:rtl/>
        </w:rPr>
        <w:t xml:space="preserve"> דמדאו' האיסור נהפך להיתר, מ"מ אסרו רבנן לאדם אחד לאוכלם, אבל לענין דין שני שבילין שהוא ספק טומאה דאו', ס"ל </w:t>
      </w:r>
      <w:r>
        <w:rPr>
          <w:rStyle w:val="af8"/>
          <w:rtl/>
        </w:rPr>
        <w:t>להתוס' בכתובות</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Ref23063538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דמדאו' אסור לאדם אחד לאכול את הטהרות, של השניים שנשאלו בזה אחר זה, דאף כשאוכלם בזה אחר זה, </w:t>
      </w:r>
      <w:r>
        <w:rPr>
          <w:rStyle w:val="afa"/>
          <w:rtl/>
        </w:rPr>
        <w:t xml:space="preserve">[כדביאר </w:t>
      </w:r>
      <w:r>
        <w:rPr>
          <w:rStyle w:val="affa"/>
          <w:rtl/>
        </w:rPr>
        <w:t>המהרש"א בכתובות</w:t>
      </w:r>
      <w:r>
        <w:rPr>
          <w:rStyle w:val="afa"/>
          <w:rtl/>
        </w:rPr>
        <w:t xml:space="preserve"> </w:t>
      </w:r>
      <w:r>
        <w:rPr>
          <w:rStyle w:val="aff6"/>
          <w:rtl/>
        </w:rPr>
        <w:t>(כז. ד"ה על תוד"ה ואם)</w:t>
      </w:r>
      <w:r>
        <w:rPr>
          <w:rStyle w:val="afa"/>
          <w:rtl/>
        </w:rPr>
        <w:t xml:space="preserve"> בדברי </w:t>
      </w:r>
      <w:r>
        <w:rPr>
          <w:rStyle w:val="affa"/>
          <w:rtl/>
        </w:rPr>
        <w:t>התוס' בכתובות</w:t>
      </w:r>
      <w:r>
        <w:rPr>
          <w:rStyle w:val="afa"/>
          <w:rtl/>
        </w:rPr>
        <w:t xml:space="preserve">], </w:t>
      </w:r>
      <w:r>
        <w:rPr>
          <w:rFonts w:hint="cs"/>
          <w:rtl/>
        </w:rPr>
        <w:t>דאף שכל אכילה בפנ"ע היא מותרת, מ"מ כיון ש</w:t>
      </w:r>
      <w:r w:rsidR="00441868">
        <w:rPr>
          <w:rFonts w:hint="cs"/>
          <w:rtl/>
        </w:rPr>
        <w:t>ממה נפשך</w:t>
      </w:r>
      <w:r>
        <w:rPr>
          <w:rFonts w:hint="cs"/>
          <w:rtl/>
        </w:rPr>
        <w:t xml:space="preserve"> עשה איסור חייב קרבן, וכן מוכח מהא דההולך בשביל אחד ונכנס למקדש והלך בשביל השני ונכנס למקדש, דחייב קרבן, אעפ"י שכל כניסה בפנ"ע מותרת, מ"מ בצירוף ב' הכניסות חייב.</w:t>
      </w:r>
      <w:bookmarkEnd w:id="13028"/>
    </w:p>
    <w:p w:rsidR="0028438A" w:rsidRDefault="0028438A" w:rsidP="00E669F8">
      <w:pPr>
        <w:pStyle w:val="afd"/>
        <w:rPr>
          <w:rtl/>
        </w:rPr>
      </w:pPr>
      <w:bookmarkStart w:id="13029" w:name="_Toc23799251"/>
      <w:bookmarkStart w:id="13030" w:name="_Toc23712657"/>
      <w:bookmarkStart w:id="13031" w:name="_Toc23372619"/>
      <w:bookmarkStart w:id="13032" w:name="_Toc23224097"/>
      <w:bookmarkStart w:id="13033" w:name="_Toc22638899"/>
      <w:bookmarkStart w:id="13034" w:name="_Toc22250703"/>
      <w:bookmarkStart w:id="13035" w:name="_Toc23984252"/>
      <w:bookmarkStart w:id="13036" w:name="_Toc23972087"/>
      <w:bookmarkStart w:id="13037" w:name="_Toc23960273"/>
      <w:bookmarkStart w:id="13038" w:name="_Toc23945680"/>
      <w:bookmarkStart w:id="13039" w:name="_Toc23887319"/>
      <w:bookmarkStart w:id="13040" w:name="_Toc23850428"/>
      <w:bookmarkStart w:id="13041" w:name="_Toc23223984"/>
      <w:bookmarkStart w:id="13042" w:name="_Toc22638905"/>
      <w:bookmarkStart w:id="13043" w:name="_Toc22250677"/>
      <w:bookmarkStart w:id="13044" w:name="_Toc21094836"/>
      <w:bookmarkStart w:id="13045" w:name="_Toc20603906"/>
      <w:r>
        <w:rPr>
          <w:rFonts w:hint="cs"/>
          <w:rtl/>
        </w:rPr>
        <w:t>שיטת הרי"ד</w:t>
      </w:r>
      <w:bookmarkEnd w:id="13029"/>
      <w:bookmarkEnd w:id="13030"/>
      <w:bookmarkEnd w:id="13031"/>
      <w:bookmarkEnd w:id="13032"/>
      <w:bookmarkEnd w:id="13033"/>
      <w:bookmarkEnd w:id="13034"/>
      <w:r>
        <w:rPr>
          <w:rFonts w:hint="cs"/>
          <w:rtl/>
        </w:rPr>
        <w:t xml:space="preserve"> דאחד שאכל הכל בחטאת</w:t>
      </w:r>
      <w:bookmarkEnd w:id="13035"/>
      <w:bookmarkEnd w:id="13036"/>
      <w:bookmarkEnd w:id="13037"/>
      <w:bookmarkEnd w:id="13038"/>
      <w:bookmarkEnd w:id="13039"/>
      <w:bookmarkEnd w:id="13040"/>
    </w:p>
    <w:p w:rsidR="0028438A" w:rsidRDefault="0028438A" w:rsidP="00DA6853">
      <w:pPr>
        <w:pStyle w:val="1"/>
        <w:rPr>
          <w:rtl/>
        </w:rPr>
      </w:pPr>
      <w:bookmarkStart w:id="13046" w:name="_Toc23799252"/>
      <w:bookmarkStart w:id="13047" w:name="_Toc23984253"/>
      <w:bookmarkStart w:id="13048" w:name="_Toc23972088"/>
      <w:bookmarkStart w:id="13049" w:name="_Toc23960274"/>
      <w:bookmarkStart w:id="13050" w:name="_Toc23945681"/>
      <w:bookmarkStart w:id="13051" w:name="_Toc23887320"/>
      <w:bookmarkStart w:id="13052" w:name="_Toc23850429"/>
      <w:r>
        <w:rPr>
          <w:rFonts w:hint="cs"/>
          <w:rtl/>
        </w:rPr>
        <w:t>דברי</w:t>
      </w:r>
      <w:bookmarkEnd w:id="13046"/>
      <w:r>
        <w:rPr>
          <w:rFonts w:hint="cs"/>
          <w:rtl/>
        </w:rPr>
        <w:t xml:space="preserve"> התורי"ד דאדם אחד שאכל את כל התערובת חייב חטאת</w:t>
      </w:r>
      <w:bookmarkEnd w:id="13047"/>
      <w:bookmarkEnd w:id="13048"/>
      <w:bookmarkEnd w:id="13049"/>
      <w:bookmarkEnd w:id="13050"/>
      <w:bookmarkEnd w:id="13051"/>
      <w:bookmarkEnd w:id="13052"/>
    </w:p>
    <w:p w:rsidR="0028438A" w:rsidRDefault="0028438A" w:rsidP="0028438A">
      <w:pPr>
        <w:pStyle w:val="a2"/>
        <w:rPr>
          <w:b/>
          <w:bCs/>
          <w:rtl/>
        </w:rPr>
      </w:pPr>
      <w:bookmarkStart w:id="13053" w:name="_Toc23984254"/>
      <w:bookmarkStart w:id="13054" w:name="_Toc23972089"/>
      <w:bookmarkStart w:id="13055" w:name="_Toc23960275"/>
      <w:bookmarkStart w:id="13056" w:name="_Toc23945682"/>
      <w:bookmarkStart w:id="13057" w:name="_Toc23887321"/>
      <w:bookmarkStart w:id="13058" w:name="_Toc23850430"/>
      <w:bookmarkStart w:id="13059" w:name="_Toc23799253"/>
      <w:r>
        <w:rPr>
          <w:rFonts w:hint="cs"/>
          <w:rtl/>
        </w:rPr>
        <w:t>דברי התורי"ד דלאדם אחד מותר לאכול חתיכה אחת ולג' בנ"א מותר לאכול את כל החתיכות</w:t>
      </w:r>
      <w:bookmarkEnd w:id="13053"/>
      <w:bookmarkEnd w:id="13054"/>
      <w:bookmarkEnd w:id="13055"/>
      <w:bookmarkEnd w:id="13056"/>
      <w:bookmarkEnd w:id="13057"/>
      <w:bookmarkEnd w:id="13058"/>
      <w:bookmarkEnd w:id="13059"/>
    </w:p>
    <w:p w:rsidR="0028438A" w:rsidRDefault="0028438A" w:rsidP="009F44AF">
      <w:pPr>
        <w:pStyle w:val="a"/>
        <w:numPr>
          <w:ilvl w:val="0"/>
          <w:numId w:val="17"/>
        </w:numPr>
        <w:rPr>
          <w:rtl/>
        </w:rPr>
      </w:pPr>
      <w:bookmarkStart w:id="13060" w:name="_Ref23930467"/>
      <w:r>
        <w:rPr>
          <w:rFonts w:hint="cs"/>
          <w:rtl/>
        </w:rPr>
        <w:t xml:space="preserve">כתב </w:t>
      </w:r>
      <w:r>
        <w:rPr>
          <w:rStyle w:val="af8"/>
          <w:rtl/>
        </w:rPr>
        <w:t>התוס' רי"ד בב"ב</w:t>
      </w:r>
      <w:r>
        <w:rPr>
          <w:rFonts w:hint="cs"/>
          <w:rtl/>
        </w:rPr>
        <w:t xml:space="preserve"> </w:t>
      </w:r>
      <w:r w:rsidRPr="009F44AF">
        <w:rPr>
          <w:rStyle w:val="af6"/>
          <w:rFonts w:eastAsia="Guttman Hodes" w:hint="cs"/>
          <w:rtl/>
        </w:rPr>
        <w:t>(לא: סוד"ה שתי, צב: ד"ה וניחזי)</w:t>
      </w:r>
      <w:r>
        <w:rPr>
          <w:rFonts w:hint="cs"/>
          <w:rtl/>
        </w:rPr>
        <w:t xml:space="preserve"> </w:t>
      </w:r>
      <w:r>
        <w:rPr>
          <w:rStyle w:val="af8"/>
          <w:rtl/>
        </w:rPr>
        <w:t>ובפסקי הרי"ד בזבחים</w:t>
      </w:r>
      <w:r>
        <w:rPr>
          <w:rFonts w:hint="cs"/>
          <w:rtl/>
        </w:rPr>
        <w:t xml:space="preserve"> </w:t>
      </w:r>
      <w:r w:rsidRPr="009F44AF">
        <w:rPr>
          <w:rStyle w:val="af6"/>
          <w:rFonts w:eastAsia="Guttman Hodes" w:hint="cs"/>
          <w:rtl/>
        </w:rPr>
        <w:t xml:space="preserve">(עב. ד"ה ומקשה) </w:t>
      </w:r>
      <w:r>
        <w:rPr>
          <w:rStyle w:val="af8"/>
          <w:rtl/>
        </w:rPr>
        <w:t>ובתשו' הרי"ד</w:t>
      </w:r>
      <w:r w:rsidRPr="009F44AF">
        <w:rPr>
          <w:rStyle w:val="af6"/>
          <w:rFonts w:eastAsia="Guttman Hodes" w:hint="cs"/>
          <w:rtl/>
        </w:rPr>
        <w:t xml:space="preserve"> (סי' א' ד"ה ועוד ארחיב) </w:t>
      </w:r>
      <w:r>
        <w:rPr>
          <w:rFonts w:hint="cs"/>
          <w:rtl/>
        </w:rPr>
        <w:t>דחתיכה של חֵלֶב שהתערבה בב' חתיכות של שומן, מותר לאדם אחד לאכול את אחת מהם, וא"צ לחוש שמא היא חתיכת האיסור, כיון דאזלינן בתר רובא, ולג' בנ"א מותר לאכול את שלושת החתיכות.</w:t>
      </w:r>
      <w:bookmarkEnd w:id="13060"/>
    </w:p>
    <w:p w:rsidR="0028438A" w:rsidRDefault="0028438A" w:rsidP="0028438A">
      <w:pPr>
        <w:pStyle w:val="a2"/>
        <w:rPr>
          <w:rtl/>
        </w:rPr>
      </w:pPr>
      <w:bookmarkStart w:id="13061" w:name="_Toc23984255"/>
      <w:bookmarkStart w:id="13062" w:name="_Toc23972090"/>
      <w:bookmarkStart w:id="13063" w:name="_Toc23960276"/>
      <w:bookmarkStart w:id="13064" w:name="_Toc23945683"/>
      <w:bookmarkStart w:id="13065" w:name="_Toc23887322"/>
      <w:bookmarkStart w:id="13066" w:name="_Toc23850431"/>
      <w:bookmarkStart w:id="13067" w:name="_Toc23799254"/>
      <w:r>
        <w:rPr>
          <w:rFonts w:hint="cs"/>
          <w:rtl/>
        </w:rPr>
        <w:t>דברי התורי"ד דאדם אחת שאכל את כל החתיכות חייב חטאת ואם אכל א' מתוך ב' באשם תלוי</w:t>
      </w:r>
      <w:bookmarkEnd w:id="13061"/>
      <w:bookmarkEnd w:id="13062"/>
      <w:bookmarkEnd w:id="13063"/>
      <w:bookmarkEnd w:id="13064"/>
      <w:bookmarkEnd w:id="13065"/>
      <w:bookmarkEnd w:id="13066"/>
      <w:bookmarkEnd w:id="13067"/>
    </w:p>
    <w:p w:rsidR="0028438A" w:rsidRDefault="0028438A" w:rsidP="009F44AF">
      <w:pPr>
        <w:pStyle w:val="a"/>
        <w:numPr>
          <w:ilvl w:val="0"/>
          <w:numId w:val="17"/>
        </w:numPr>
      </w:pPr>
      <w:bookmarkStart w:id="13068" w:name="_Ref23841809"/>
      <w:r>
        <w:rPr>
          <w:rFonts w:hint="cs"/>
          <w:rtl/>
        </w:rPr>
        <w:t xml:space="preserve">אך כתב </w:t>
      </w:r>
      <w:r>
        <w:rPr>
          <w:rStyle w:val="af8"/>
          <w:rtl/>
        </w:rPr>
        <w:t>התוס' רי"ד בב"ב</w:t>
      </w:r>
      <w:r>
        <w:rPr>
          <w:rFonts w:hint="cs"/>
          <w:rtl/>
        </w:rPr>
        <w:t xml:space="preserve"> </w:t>
      </w:r>
      <w:r>
        <w:rPr>
          <w:rStyle w:val="af8"/>
          <w:rtl/>
        </w:rPr>
        <w:t>ובפסקי הרי"ד בזבחים</w:t>
      </w:r>
      <w:r>
        <w:rPr>
          <w:rFonts w:hint="cs"/>
          <w:rtl/>
        </w:rPr>
        <w:t xml:space="preserve"> </w:t>
      </w:r>
      <w:r w:rsidRPr="009F44AF">
        <w:rPr>
          <w:rStyle w:val="af6"/>
          <w:rFonts w:eastAsia="Guttman Hodes" w:hint="cs"/>
          <w:rtl/>
        </w:rPr>
        <w:t xml:space="preserve"> </w:t>
      </w:r>
      <w:r>
        <w:rPr>
          <w:rStyle w:val="af8"/>
          <w:rtl/>
        </w:rPr>
        <w:t>ובתשו' הרי"ד</w:t>
      </w:r>
      <w:r w:rsidRPr="009F44AF">
        <w:rPr>
          <w:rStyle w:val="af6"/>
          <w:rFonts w:eastAsia="Guttman Hodes" w:hint="cs"/>
          <w:rtl/>
        </w:rPr>
        <w:t xml:space="preserve"> </w:t>
      </w:r>
      <w:r>
        <w:rPr>
          <w:rFonts w:hint="cs"/>
          <w:rtl/>
        </w:rPr>
        <w:t xml:space="preserve">דאם אדם אחד אכל את שלושת החתיכות, הוא חייב חטאת, כיון שודאי שאכל חתיכה של חֵלֶב, ואם היו ב' חתיכות אחת של חֵלֶב ואחת של שומן, ואכל את אחת מהם הוא חייב אשם תלוי, וביאר </w:t>
      </w:r>
      <w:r>
        <w:rPr>
          <w:rStyle w:val="af8"/>
          <w:rtl/>
        </w:rPr>
        <w:t>בפסקי הרי"ד בזבחים</w:t>
      </w:r>
      <w:r>
        <w:rPr>
          <w:rFonts w:hint="cs"/>
          <w:rtl/>
        </w:rPr>
        <w:t xml:space="preserve"> </w:t>
      </w:r>
      <w:r w:rsidRPr="009F44AF">
        <w:rPr>
          <w:rStyle w:val="af6"/>
          <w:rFonts w:eastAsia="Guttman Hodes" w:hint="cs"/>
          <w:rtl/>
        </w:rPr>
        <w:t xml:space="preserve"> </w:t>
      </w:r>
      <w:r>
        <w:rPr>
          <w:rFonts w:hint="cs"/>
          <w:rtl/>
        </w:rPr>
        <w:t xml:space="preserve">דכיון שאין רוב להיתר ואין כח בהיתר לבטל את האיסור, אבל לב' חתיכות היתר, יש כח לבטל חתיכה אחת של איסור. [ועי' במה שביאר </w:t>
      </w:r>
      <w:r>
        <w:rPr>
          <w:rStyle w:val="af8"/>
          <w:rtl/>
        </w:rPr>
        <w:t xml:space="preserve">הקוב"ש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Ref23985240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קכד</w:t>
      </w:r>
      <w:r w:rsidR="004D1C5B">
        <w:rPr>
          <w:rStyle w:val="af6"/>
          <w:rFonts w:eastAsia="Guttman Hodes"/>
          <w:rtl/>
        </w:rPr>
        <w:t>)</w:t>
      </w:r>
      <w:r>
        <w:rPr>
          <w:rFonts w:hint="cs"/>
          <w:rtl/>
        </w:rPr>
        <w:fldChar w:fldCharType="end"/>
      </w:r>
      <w:r>
        <w:rPr>
          <w:rFonts w:hint="cs"/>
          <w:rtl/>
        </w:rPr>
        <w:t xml:space="preserve"> </w:t>
      </w:r>
      <w:r>
        <w:rPr>
          <w:rStyle w:val="af8"/>
          <w:rtl/>
        </w:rPr>
        <w:t xml:space="preserve">והקוה"ע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Ref23985277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קכט</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בדברי </w:t>
      </w:r>
      <w:r>
        <w:rPr>
          <w:rStyle w:val="af8"/>
          <w:rtl/>
        </w:rPr>
        <w:t>התוס' רי"ד</w:t>
      </w:r>
      <w:r>
        <w:rPr>
          <w:rFonts w:hint="cs"/>
          <w:rtl/>
        </w:rPr>
        <w:t>].</w:t>
      </w:r>
      <w:bookmarkEnd w:id="13068"/>
    </w:p>
    <w:p w:rsidR="0028438A" w:rsidRDefault="0028438A" w:rsidP="00DA6853">
      <w:pPr>
        <w:pStyle w:val="1"/>
        <w:rPr>
          <w:rtl/>
        </w:rPr>
      </w:pPr>
      <w:bookmarkStart w:id="13069" w:name="_Toc23984256"/>
      <w:bookmarkStart w:id="13070" w:name="_Toc23972091"/>
      <w:bookmarkStart w:id="13071" w:name="_Toc23960277"/>
      <w:bookmarkStart w:id="13072" w:name="_Toc23945684"/>
      <w:bookmarkStart w:id="13073" w:name="_Toc23887323"/>
      <w:bookmarkStart w:id="13074" w:name="_Toc23850432"/>
      <w:r>
        <w:rPr>
          <w:rFonts w:hint="cs"/>
          <w:rtl/>
        </w:rPr>
        <w:t>ביאור הרי"ד דבחתיכה אחת בפנ"ע אזלינן בתר רוב דמותרת</w:t>
      </w:r>
      <w:bookmarkEnd w:id="13069"/>
      <w:bookmarkEnd w:id="13070"/>
      <w:bookmarkEnd w:id="13071"/>
      <w:bookmarkEnd w:id="13072"/>
      <w:bookmarkEnd w:id="13073"/>
      <w:bookmarkEnd w:id="13074"/>
    </w:p>
    <w:p w:rsidR="0028438A" w:rsidRDefault="0028438A" w:rsidP="0028438A">
      <w:pPr>
        <w:pStyle w:val="a2"/>
        <w:rPr>
          <w:b/>
          <w:bCs/>
          <w:rtl/>
        </w:rPr>
      </w:pPr>
      <w:bookmarkStart w:id="13075" w:name="_Toc23984257"/>
      <w:bookmarkStart w:id="13076" w:name="_Toc23972092"/>
      <w:bookmarkStart w:id="13077" w:name="_Toc23960278"/>
      <w:bookmarkStart w:id="13078" w:name="_Toc23945685"/>
      <w:bookmarkStart w:id="13079" w:name="_Toc23887324"/>
      <w:bookmarkStart w:id="13080" w:name="_Toc23850433"/>
      <w:bookmarkStart w:id="13081" w:name="_Toc23799255"/>
      <w:r>
        <w:rPr>
          <w:rFonts w:hint="cs"/>
          <w:rtl/>
        </w:rPr>
        <w:t>ביאור הרי"ד דמותר לכתחילה לאכול כ"א מהחתיכות דאזלינן בתר רובא ואינו מדין ביטול ברוב</w:t>
      </w:r>
      <w:bookmarkEnd w:id="13075"/>
      <w:bookmarkEnd w:id="13076"/>
      <w:bookmarkEnd w:id="13077"/>
      <w:bookmarkEnd w:id="13078"/>
      <w:bookmarkEnd w:id="13079"/>
      <w:bookmarkEnd w:id="13080"/>
      <w:bookmarkEnd w:id="13081"/>
    </w:p>
    <w:p w:rsidR="0028438A" w:rsidRDefault="0028438A" w:rsidP="009F44AF">
      <w:pPr>
        <w:pStyle w:val="a"/>
        <w:numPr>
          <w:ilvl w:val="0"/>
          <w:numId w:val="17"/>
        </w:numPr>
        <w:rPr>
          <w:rStyle w:val="afa"/>
          <w:rtl/>
        </w:rPr>
      </w:pPr>
      <w:r>
        <w:rPr>
          <w:rFonts w:hint="cs"/>
          <w:rtl/>
        </w:rPr>
        <w:t xml:space="preserve">וביאר </w:t>
      </w:r>
      <w:r>
        <w:rPr>
          <w:rStyle w:val="af8"/>
          <w:rtl/>
        </w:rPr>
        <w:t>הרי"ד בתשו'</w:t>
      </w:r>
      <w:r>
        <w:rPr>
          <w:rFonts w:hint="cs"/>
          <w:rtl/>
        </w:rPr>
        <w:t xml:space="preserve"> דההיתר בחד בתרי במין במינו ביבש ביבש, אינו מדין ביטול ברוב, אלא אף לכתחילה מותר לאכול כל חתיכה מהתערובת, דאזלינן בתר רובא, ואמרינן שהחתיכה שאוכל היא חתיכת ההיתר, כיון שכל חתיכה עומדת בפנ"ע. </w:t>
      </w:r>
      <w:r>
        <w:rPr>
          <w:rStyle w:val="afa"/>
          <w:rtl/>
        </w:rPr>
        <w:t xml:space="preserve">[וע"ע במה שביאר </w:t>
      </w:r>
      <w:r>
        <w:rPr>
          <w:rStyle w:val="affa"/>
          <w:rtl/>
        </w:rPr>
        <w:t>הרי"ד בתשו'</w:t>
      </w:r>
      <w:r>
        <w:rPr>
          <w:rStyle w:val="afa"/>
          <w:rtl/>
        </w:rPr>
        <w:t xml:space="preserve"> </w:t>
      </w:r>
      <w:r>
        <w:rPr>
          <w:rStyle w:val="aff6"/>
          <w:rtl/>
        </w:rPr>
        <w:t>(</w:t>
      </w:r>
      <w:r w:rsidR="00D3196A">
        <w:rPr>
          <w:rStyle w:val="aff6"/>
          <w:rtl/>
        </w:rPr>
        <w:t>הובא בסימן</w:t>
      </w:r>
      <w:r>
        <w:rPr>
          <w:rStyle w:val="aff6"/>
          <w:rtl/>
        </w:rPr>
        <w:t xml:space="preserve"> ט"ז אות נ"ו)</w:t>
      </w:r>
      <w:r>
        <w:rPr>
          <w:rStyle w:val="afa"/>
          <w:rtl/>
        </w:rPr>
        <w:t xml:space="preserve"> בדין מין בשאינו מינו בלח בלח וביבש ביבש].</w:t>
      </w:r>
    </w:p>
    <w:p w:rsidR="0028438A" w:rsidRDefault="0028438A" w:rsidP="0028438A">
      <w:pPr>
        <w:pStyle w:val="a2"/>
        <w:rPr>
          <w:rtl/>
        </w:rPr>
      </w:pPr>
      <w:bookmarkStart w:id="13082" w:name="_Toc23984258"/>
      <w:bookmarkStart w:id="13083" w:name="_Toc23972093"/>
      <w:bookmarkStart w:id="13084" w:name="_Toc23960279"/>
      <w:bookmarkStart w:id="13085" w:name="_Toc23945686"/>
      <w:bookmarkStart w:id="13086" w:name="_Toc23887325"/>
      <w:bookmarkStart w:id="13087" w:name="_Toc23850434"/>
      <w:bookmarkStart w:id="13088" w:name="_Toc23799256"/>
      <w:r>
        <w:rPr>
          <w:rFonts w:hint="cs"/>
          <w:rtl/>
        </w:rPr>
        <w:t>ביאור הרי"ד דבאכל את כל החתיכות דודאי שאכל איסור ואינו מתבטל וחייב חטאת</w:t>
      </w:r>
      <w:bookmarkEnd w:id="13082"/>
      <w:bookmarkEnd w:id="13083"/>
      <w:bookmarkEnd w:id="13084"/>
      <w:bookmarkEnd w:id="13085"/>
      <w:bookmarkEnd w:id="13086"/>
      <w:bookmarkEnd w:id="13087"/>
      <w:bookmarkEnd w:id="13088"/>
    </w:p>
    <w:p w:rsidR="0028438A" w:rsidRDefault="0028438A" w:rsidP="009F44AF">
      <w:pPr>
        <w:pStyle w:val="a"/>
        <w:numPr>
          <w:ilvl w:val="0"/>
          <w:numId w:val="17"/>
        </w:numPr>
        <w:rPr>
          <w:rtl/>
        </w:rPr>
      </w:pPr>
      <w:r>
        <w:rPr>
          <w:rFonts w:hint="cs"/>
          <w:rtl/>
        </w:rPr>
        <w:t xml:space="preserve">אבל באדם אחד שאכל את ג' החתיכות, ביאר </w:t>
      </w:r>
      <w:r>
        <w:rPr>
          <w:rStyle w:val="af8"/>
          <w:rtl/>
        </w:rPr>
        <w:t>הרי"ד בתשו'</w:t>
      </w:r>
      <w:r>
        <w:rPr>
          <w:rFonts w:hint="cs"/>
          <w:rtl/>
        </w:rPr>
        <w:t xml:space="preserve"> דהוא חייב חטאת, כיון ש</w:t>
      </w:r>
      <w:r w:rsidR="00441868">
        <w:rPr>
          <w:rFonts w:hint="cs"/>
          <w:rtl/>
        </w:rPr>
        <w:t>ממה נפשך</w:t>
      </w:r>
      <w:r>
        <w:rPr>
          <w:rFonts w:hint="cs"/>
          <w:rtl/>
        </w:rPr>
        <w:t xml:space="preserve"> אכל איסור, וא"א לומר דהאיסור בטל ברוב, דכיון שאכל את כולם, א"כ ודאי שאכל חתיכת איסור, ולכן האיסור אינו מתבטל, וחייב חטאת.</w:t>
      </w:r>
    </w:p>
    <w:p w:rsidR="0028438A" w:rsidRDefault="0028438A" w:rsidP="0028438A">
      <w:pPr>
        <w:pStyle w:val="a2"/>
        <w:rPr>
          <w:rtl/>
        </w:rPr>
      </w:pPr>
    </w:p>
    <w:p w:rsidR="0028438A" w:rsidRDefault="0028438A" w:rsidP="0028438A">
      <w:pPr>
        <w:pStyle w:val="a2"/>
        <w:rPr>
          <w:rtl/>
        </w:rPr>
      </w:pPr>
      <w:bookmarkStart w:id="13089" w:name="_Toc23984259"/>
      <w:bookmarkStart w:id="13090" w:name="_Toc23972094"/>
      <w:bookmarkStart w:id="13091" w:name="_Toc23960280"/>
      <w:bookmarkStart w:id="13092" w:name="_Toc23945687"/>
      <w:bookmarkStart w:id="13093" w:name="_Toc23887326"/>
      <w:bookmarkStart w:id="13094" w:name="_Toc23850435"/>
      <w:bookmarkStart w:id="13095" w:name="_Toc23799257"/>
      <w:r>
        <w:rPr>
          <w:rFonts w:hint="cs"/>
          <w:rtl/>
        </w:rPr>
        <w:t>דברי התורי"ד דלאדם אחד מותר לאכול כ"א מהחתיכות כדין רוב בט' חנויות דילפינן מסנהדרין</w:t>
      </w:r>
      <w:bookmarkEnd w:id="13089"/>
      <w:bookmarkEnd w:id="13090"/>
      <w:bookmarkEnd w:id="13091"/>
      <w:bookmarkEnd w:id="13092"/>
      <w:bookmarkEnd w:id="13093"/>
      <w:bookmarkEnd w:id="13094"/>
      <w:bookmarkEnd w:id="13095"/>
    </w:p>
    <w:p w:rsidR="0028438A" w:rsidRPr="009F44AF" w:rsidRDefault="0028438A" w:rsidP="009F44AF">
      <w:pPr>
        <w:pStyle w:val="a"/>
        <w:numPr>
          <w:ilvl w:val="0"/>
          <w:numId w:val="17"/>
        </w:numPr>
        <w:rPr>
          <w:sz w:val="10"/>
          <w:szCs w:val="14"/>
          <w:rtl/>
        </w:rPr>
      </w:pPr>
      <w:r>
        <w:rPr>
          <w:rFonts w:hint="cs"/>
          <w:rtl/>
        </w:rPr>
        <w:t xml:space="preserve">וביאר </w:t>
      </w:r>
      <w:r>
        <w:rPr>
          <w:rStyle w:val="af8"/>
          <w:rtl/>
        </w:rPr>
        <w:t>התוס' רי"ד בב"ב</w:t>
      </w:r>
      <w:r>
        <w:rPr>
          <w:rFonts w:hint="cs"/>
          <w:rtl/>
        </w:rPr>
        <w:t xml:space="preserve"> </w:t>
      </w:r>
      <w:r w:rsidRPr="009F44AF">
        <w:rPr>
          <w:rStyle w:val="af6"/>
          <w:rFonts w:eastAsia="Guttman Hodes" w:hint="cs"/>
          <w:rtl/>
        </w:rPr>
        <w:t>(צב: ד"ה וניחזי)</w:t>
      </w:r>
      <w:r>
        <w:rPr>
          <w:rFonts w:hint="cs"/>
          <w:rtl/>
        </w:rPr>
        <w:t xml:space="preserve"> </w:t>
      </w:r>
      <w:r>
        <w:rPr>
          <w:rStyle w:val="af8"/>
          <w:rtl/>
        </w:rPr>
        <w:t>ובפסקי הרי"ד בב"ב</w:t>
      </w:r>
      <w:r>
        <w:rPr>
          <w:rFonts w:hint="cs"/>
          <w:rtl/>
        </w:rPr>
        <w:t xml:space="preserve"> </w:t>
      </w:r>
      <w:r w:rsidRPr="009F44AF">
        <w:rPr>
          <w:rStyle w:val="af6"/>
          <w:rFonts w:eastAsia="Guttman Hodes" w:hint="cs"/>
          <w:rtl/>
        </w:rPr>
        <w:t>(צב: ד"ה רב)</w:t>
      </w:r>
      <w:r>
        <w:rPr>
          <w:rFonts w:hint="cs"/>
          <w:rtl/>
        </w:rPr>
        <w:t xml:space="preserve"> דדין ביטול ברוב באיסורין, הוא כדין הלך אחר הרוב, כדין ט' חנויות דאזלינן בזה בתר רובא בין באיסורא ובין בממונא, וכדילפינן מאחרי רבים להטות, </w:t>
      </w:r>
      <w:r>
        <w:rPr>
          <w:rStyle w:val="afa"/>
          <w:rtl/>
        </w:rPr>
        <w:t>[ובממון דלא אזלינן בתר רוב היינו רק כשיש מוחזק],</w:t>
      </w:r>
      <w:r>
        <w:rPr>
          <w:rFonts w:hint="cs"/>
          <w:rtl/>
        </w:rPr>
        <w:t xml:space="preserve"> ולכן כשהתערבה חתיכה של נבילה עם ב' חתיכות של שחוטה, יכול לקחת כל חתיכה מתוכם ולאוכלה, ולא חיישינן שמא באה חתיכת האיסור לידו, וכן מותר לג' בנ"א יחד לאכול את ג' החתיכות, כיון דמדאו' האיסור בטל ברוב, אף שברור שיש כאן איסור, אך לאדם אחד אסור לאכול את שלושת החתיכות</w:t>
      </w:r>
      <w:r>
        <w:rPr>
          <w:rStyle w:val="af0"/>
          <w:rtl/>
        </w:rPr>
        <w:footnoteReference w:id="69"/>
      </w:r>
      <w:r>
        <w:rPr>
          <w:rFonts w:hint="cs"/>
          <w:rtl/>
        </w:rPr>
        <w:t>.</w:t>
      </w:r>
    </w:p>
    <w:p w:rsidR="0028438A" w:rsidRDefault="0028438A" w:rsidP="00DA6853">
      <w:pPr>
        <w:pStyle w:val="1"/>
        <w:rPr>
          <w:rtl/>
        </w:rPr>
      </w:pPr>
      <w:bookmarkStart w:id="13096" w:name="_Toc23984260"/>
      <w:bookmarkStart w:id="13097" w:name="_Toc23972095"/>
      <w:bookmarkStart w:id="13098" w:name="_Toc23960281"/>
      <w:bookmarkStart w:id="13099" w:name="_Toc23945688"/>
      <w:bookmarkStart w:id="13100" w:name="_Toc23887327"/>
      <w:bookmarkStart w:id="13101" w:name="_Toc23850436"/>
      <w:r>
        <w:rPr>
          <w:rFonts w:hint="cs"/>
          <w:rtl/>
        </w:rPr>
        <w:t>דברי התורי"ד דבאכל הכל דמי לטהרות דב' שבילין דנגעו זב"ז</w:t>
      </w:r>
      <w:bookmarkEnd w:id="13096"/>
      <w:bookmarkEnd w:id="13097"/>
      <w:bookmarkEnd w:id="13098"/>
      <w:bookmarkEnd w:id="13099"/>
      <w:bookmarkEnd w:id="13100"/>
      <w:bookmarkEnd w:id="13101"/>
    </w:p>
    <w:p w:rsidR="0028438A" w:rsidRDefault="0028438A" w:rsidP="0028438A">
      <w:pPr>
        <w:pStyle w:val="a2"/>
        <w:rPr>
          <w:b/>
          <w:bCs/>
          <w:rtl/>
        </w:rPr>
      </w:pPr>
      <w:bookmarkStart w:id="13102" w:name="_Toc23712658"/>
      <w:bookmarkStart w:id="13103" w:name="_Toc23372620"/>
      <w:bookmarkStart w:id="13104" w:name="_Toc23984261"/>
      <w:bookmarkStart w:id="13105" w:name="_Toc23972096"/>
      <w:bookmarkStart w:id="13106" w:name="_Toc23960282"/>
      <w:bookmarkStart w:id="13107" w:name="_Toc23945689"/>
      <w:bookmarkStart w:id="13108" w:name="_Toc23887328"/>
      <w:bookmarkStart w:id="13109" w:name="_Toc23850437"/>
      <w:bookmarkStart w:id="13110" w:name="_Toc23799258"/>
      <w:r>
        <w:rPr>
          <w:rFonts w:hint="cs"/>
          <w:rtl/>
        </w:rPr>
        <w:t xml:space="preserve">דברי התורי"ד דאכל הכל הוא כב' שבילין דהטהרות של כ"א בפנ"ע מותרות </w:t>
      </w:r>
      <w:bookmarkEnd w:id="13102"/>
      <w:bookmarkEnd w:id="13103"/>
      <w:r>
        <w:rPr>
          <w:rFonts w:hint="cs"/>
          <w:rtl/>
        </w:rPr>
        <w:t>ובנגעו זב"ז טמאות</w:t>
      </w:r>
      <w:bookmarkEnd w:id="13104"/>
      <w:bookmarkEnd w:id="13105"/>
      <w:bookmarkEnd w:id="13106"/>
      <w:bookmarkEnd w:id="13107"/>
      <w:bookmarkEnd w:id="13108"/>
      <w:bookmarkEnd w:id="13109"/>
      <w:bookmarkEnd w:id="13110"/>
    </w:p>
    <w:p w:rsidR="0028438A" w:rsidRDefault="0028438A" w:rsidP="009F44AF">
      <w:pPr>
        <w:pStyle w:val="a"/>
        <w:numPr>
          <w:ilvl w:val="0"/>
          <w:numId w:val="17"/>
        </w:numPr>
        <w:rPr>
          <w:rtl/>
        </w:rPr>
      </w:pPr>
      <w:bookmarkStart w:id="13111" w:name="_Ref23760201"/>
      <w:r>
        <w:rPr>
          <w:rFonts w:hint="cs"/>
          <w:rtl/>
        </w:rPr>
        <w:t xml:space="preserve">והוסיף </w:t>
      </w:r>
      <w:r>
        <w:rPr>
          <w:rStyle w:val="af8"/>
          <w:rtl/>
        </w:rPr>
        <w:t>התוס' רי"ד בב"ב</w:t>
      </w:r>
      <w:r>
        <w:rPr>
          <w:rFonts w:hint="cs"/>
          <w:rtl/>
        </w:rPr>
        <w:t xml:space="preserve"> </w:t>
      </w:r>
      <w:r w:rsidRPr="009F44AF">
        <w:rPr>
          <w:rStyle w:val="af6"/>
          <w:rFonts w:eastAsia="Guttman Hodes" w:hint="cs"/>
          <w:rtl/>
        </w:rPr>
        <w:t>(לא: ד"ה שתי)</w:t>
      </w:r>
      <w:r>
        <w:rPr>
          <w:rFonts w:hint="cs"/>
          <w:rtl/>
        </w:rPr>
        <w:t xml:space="preserve"> דדין ביטול חד בתרי, דמי לדין שנים שהלכו בב' שבילין, דהטהרות של כ"א מהם טהורות, אך כתב </w:t>
      </w:r>
      <w:r>
        <w:rPr>
          <w:rStyle w:val="af8"/>
          <w:rtl/>
        </w:rPr>
        <w:t>התוס' רי"ד</w:t>
      </w:r>
      <w:r>
        <w:rPr>
          <w:rFonts w:hint="cs"/>
          <w:rtl/>
        </w:rPr>
        <w:t xml:space="preserve"> דאם נגעו הטהרות אלו באלו, ד</w:t>
      </w:r>
      <w:r w:rsidR="00441868">
        <w:rPr>
          <w:rFonts w:hint="cs"/>
          <w:rtl/>
        </w:rPr>
        <w:t>ממה נפשך</w:t>
      </w:r>
      <w:r>
        <w:rPr>
          <w:rFonts w:hint="cs"/>
          <w:rtl/>
        </w:rPr>
        <w:t xml:space="preserve"> יש בהם טומאה, הם טמאות, וכן באדם אחד שאכל את ג' החתיכות חייב חטאת דודאי אכל איסור. [ועי' בדברי </w:t>
      </w:r>
      <w:r>
        <w:rPr>
          <w:rStyle w:val="af8"/>
          <w:rtl/>
        </w:rPr>
        <w:t>המשל"מ</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Ref23794512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יז</w:t>
      </w:r>
      <w:r w:rsidR="004D1C5B">
        <w:rPr>
          <w:rStyle w:val="af6"/>
          <w:rFonts w:eastAsia="Guttman Hodes"/>
          <w:rtl/>
        </w:rPr>
        <w:t>)</w:t>
      </w:r>
      <w:r>
        <w:rPr>
          <w:rFonts w:hint="cs"/>
          <w:rtl/>
        </w:rPr>
        <w:fldChar w:fldCharType="end"/>
      </w:r>
      <w:r>
        <w:rPr>
          <w:rFonts w:hint="cs"/>
          <w:rtl/>
        </w:rPr>
        <w:t xml:space="preserve"> במה שדימה את דין ביטול ברוב לב' שבילין, ובמה שהקשו עליו</w:t>
      </w:r>
      <w:r>
        <w:rPr>
          <w:rStyle w:val="af8"/>
          <w:rtl/>
        </w:rPr>
        <w:t xml:space="preserve"> הפרמ"ג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Ref23794477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יט</w:t>
      </w:r>
      <w:r w:rsidR="004D1C5B">
        <w:rPr>
          <w:rStyle w:val="af6"/>
          <w:rFonts w:eastAsia="Guttman Hodes"/>
          <w:rtl/>
        </w:rPr>
        <w:t>)</w:t>
      </w:r>
      <w:r>
        <w:rPr>
          <w:rFonts w:hint="cs"/>
          <w:rtl/>
        </w:rPr>
        <w:fldChar w:fldCharType="end"/>
      </w:r>
      <w:r>
        <w:rPr>
          <w:rStyle w:val="af8"/>
          <w:rtl/>
        </w:rPr>
        <w:t xml:space="preserve"> והמלבושי יו"ט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Ref23794486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w:t>
      </w:r>
      <w:r w:rsidR="004D1C5B">
        <w:rPr>
          <w:rStyle w:val="af6"/>
          <w:rFonts w:eastAsia="Guttman Hodes"/>
          <w:rtl/>
        </w:rPr>
        <w:t>)</w:t>
      </w:r>
      <w:r>
        <w:rPr>
          <w:rFonts w:hint="cs"/>
          <w:rtl/>
        </w:rPr>
        <w:fldChar w:fldCharType="end"/>
      </w:r>
      <w:r>
        <w:rPr>
          <w:rStyle w:val="af8"/>
          <w:rtl/>
        </w:rPr>
        <w:t xml:space="preserve"> והקוב"ש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Ref23841697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קכו</w:t>
      </w:r>
      <w:r w:rsidR="004D1C5B">
        <w:rPr>
          <w:rStyle w:val="af6"/>
          <w:rFonts w:eastAsia="Guttman Hodes"/>
          <w:rtl/>
        </w:rPr>
        <w:t>)</w:t>
      </w:r>
      <w:r>
        <w:rPr>
          <w:rFonts w:hint="cs"/>
          <w:rtl/>
        </w:rPr>
        <w:fldChar w:fldCharType="end"/>
      </w:r>
      <w:r>
        <w:rPr>
          <w:rFonts w:hint="cs"/>
          <w:rtl/>
        </w:rPr>
        <w:t xml:space="preserve"> ובמה שביאר </w:t>
      </w:r>
      <w:r>
        <w:rPr>
          <w:rStyle w:val="af8"/>
          <w:rtl/>
        </w:rPr>
        <w:t>הקוה"ע</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Ref23328479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קכט</w:t>
      </w:r>
      <w:r w:rsidR="004D1C5B">
        <w:rPr>
          <w:rStyle w:val="af6"/>
          <w:rFonts w:eastAsia="Guttman Hodes"/>
          <w:rtl/>
        </w:rPr>
        <w:t>)</w:t>
      </w:r>
      <w:r>
        <w:rPr>
          <w:rFonts w:hint="cs"/>
          <w:rtl/>
        </w:rPr>
        <w:fldChar w:fldCharType="end"/>
      </w:r>
      <w:r>
        <w:rPr>
          <w:rFonts w:hint="cs"/>
          <w:rtl/>
        </w:rPr>
        <w:t xml:space="preserve"> בדברי </w:t>
      </w:r>
      <w:r>
        <w:rPr>
          <w:rStyle w:val="af8"/>
          <w:rtl/>
        </w:rPr>
        <w:t>התוס' רי"ד</w:t>
      </w:r>
      <w:r>
        <w:rPr>
          <w:rFonts w:hint="cs"/>
          <w:rtl/>
        </w:rPr>
        <w:t>].</w:t>
      </w:r>
      <w:bookmarkEnd w:id="13111"/>
    </w:p>
    <w:p w:rsidR="0028438A" w:rsidRDefault="0028438A" w:rsidP="00E669F8">
      <w:pPr>
        <w:pStyle w:val="afd"/>
        <w:rPr>
          <w:rtl/>
        </w:rPr>
      </w:pPr>
      <w:bookmarkStart w:id="13112" w:name="_Toc23799259"/>
      <w:bookmarkStart w:id="13113" w:name="_Toc23712659"/>
      <w:bookmarkStart w:id="13114" w:name="_Toc23372621"/>
      <w:bookmarkStart w:id="13115" w:name="_Toc23984262"/>
      <w:bookmarkStart w:id="13116" w:name="_Toc23972097"/>
      <w:bookmarkStart w:id="13117" w:name="_Toc23960283"/>
      <w:bookmarkStart w:id="13118" w:name="_Toc23945690"/>
      <w:bookmarkStart w:id="13119" w:name="_Toc23887329"/>
      <w:bookmarkStart w:id="13120" w:name="_Toc23850438"/>
      <w:r>
        <w:rPr>
          <w:rFonts w:hint="cs"/>
          <w:rtl/>
        </w:rPr>
        <w:t>דעת הרא"ש</w:t>
      </w:r>
      <w:bookmarkEnd w:id="13041"/>
      <w:bookmarkEnd w:id="13042"/>
      <w:bookmarkEnd w:id="13043"/>
      <w:bookmarkEnd w:id="13044"/>
      <w:bookmarkEnd w:id="13045"/>
      <w:bookmarkEnd w:id="13112"/>
      <w:bookmarkEnd w:id="13113"/>
      <w:bookmarkEnd w:id="13114"/>
      <w:r>
        <w:rPr>
          <w:rFonts w:hint="cs"/>
          <w:rtl/>
        </w:rPr>
        <w:t xml:space="preserve"> דהאיסור בטל ונהפך להיתר</w:t>
      </w:r>
      <w:bookmarkEnd w:id="13115"/>
      <w:bookmarkEnd w:id="13116"/>
      <w:bookmarkEnd w:id="13117"/>
      <w:bookmarkEnd w:id="13118"/>
      <w:bookmarkEnd w:id="13119"/>
      <w:bookmarkEnd w:id="13120"/>
    </w:p>
    <w:p w:rsidR="0028438A" w:rsidRDefault="0028438A" w:rsidP="00DA6853">
      <w:pPr>
        <w:pStyle w:val="1"/>
        <w:rPr>
          <w:rtl/>
        </w:rPr>
      </w:pPr>
      <w:bookmarkStart w:id="13121" w:name="_Toc23799260"/>
      <w:bookmarkStart w:id="13122" w:name="_Toc23712660"/>
      <w:bookmarkStart w:id="13123" w:name="_Toc23372622"/>
      <w:bookmarkStart w:id="13124" w:name="_Toc23223985"/>
      <w:bookmarkStart w:id="13125" w:name="_Toc22638906"/>
      <w:bookmarkStart w:id="13126" w:name="_Toc22250678"/>
      <w:bookmarkStart w:id="13127" w:name="_Toc23984263"/>
      <w:bookmarkStart w:id="13128" w:name="_Toc23972098"/>
      <w:bookmarkStart w:id="13129" w:name="_Toc23960284"/>
      <w:bookmarkStart w:id="13130" w:name="_Toc23945691"/>
      <w:bookmarkStart w:id="13131" w:name="_Toc23887330"/>
      <w:bookmarkStart w:id="13132" w:name="_Toc23850439"/>
      <w:r>
        <w:rPr>
          <w:rFonts w:hint="cs"/>
          <w:rtl/>
        </w:rPr>
        <w:t>דברי הרא"ש</w:t>
      </w:r>
      <w:bookmarkEnd w:id="13121"/>
      <w:bookmarkEnd w:id="13122"/>
      <w:bookmarkEnd w:id="13123"/>
      <w:bookmarkEnd w:id="13124"/>
      <w:bookmarkEnd w:id="13125"/>
      <w:bookmarkEnd w:id="13126"/>
      <w:r>
        <w:rPr>
          <w:rFonts w:hint="cs"/>
          <w:rtl/>
        </w:rPr>
        <w:t xml:space="preserve"> דיש גזיה"כ דהאיסור נהפך להיתר ומותר אף בב"א</w:t>
      </w:r>
      <w:bookmarkEnd w:id="13127"/>
      <w:bookmarkEnd w:id="13128"/>
      <w:bookmarkEnd w:id="13129"/>
      <w:bookmarkEnd w:id="13130"/>
      <w:bookmarkEnd w:id="13131"/>
      <w:bookmarkEnd w:id="13132"/>
    </w:p>
    <w:p w:rsidR="0028438A" w:rsidRDefault="0028438A" w:rsidP="0028438A">
      <w:pPr>
        <w:pStyle w:val="a2"/>
        <w:rPr>
          <w:b/>
          <w:bCs/>
          <w:rtl/>
        </w:rPr>
      </w:pPr>
      <w:bookmarkStart w:id="13133" w:name="_Toc23984264"/>
      <w:bookmarkStart w:id="13134" w:name="_Toc23972099"/>
      <w:bookmarkStart w:id="13135" w:name="_Toc23960285"/>
      <w:bookmarkStart w:id="13136" w:name="_Toc23945692"/>
      <w:bookmarkStart w:id="13137" w:name="_Toc23887331"/>
      <w:bookmarkStart w:id="13138" w:name="_Toc23850440"/>
      <w:r>
        <w:rPr>
          <w:rFonts w:hint="cs"/>
          <w:rtl/>
        </w:rPr>
        <w:t>דברי הרא"ש דבביטול ברוב האיסור נהפך להיתר ולכן מותר לאכול את כל התערובת בבת אחת</w:t>
      </w:r>
      <w:bookmarkEnd w:id="13133"/>
      <w:bookmarkEnd w:id="13134"/>
      <w:bookmarkEnd w:id="13135"/>
      <w:bookmarkEnd w:id="13136"/>
      <w:bookmarkEnd w:id="13137"/>
      <w:bookmarkEnd w:id="13138"/>
    </w:p>
    <w:p w:rsidR="0028438A" w:rsidRDefault="0028438A" w:rsidP="009F44AF">
      <w:pPr>
        <w:pStyle w:val="a"/>
        <w:numPr>
          <w:ilvl w:val="0"/>
          <w:numId w:val="17"/>
        </w:numPr>
        <w:rPr>
          <w:rtl/>
        </w:rPr>
      </w:pPr>
      <w:bookmarkStart w:id="13139" w:name="_Ref23930494"/>
      <w:r>
        <w:rPr>
          <w:rFonts w:hint="cs"/>
          <w:rtl/>
        </w:rPr>
        <w:t xml:space="preserve">כתב </w:t>
      </w:r>
      <w:r>
        <w:rPr>
          <w:rStyle w:val="af8"/>
          <w:rtl/>
        </w:rPr>
        <w:t>הרא"ש</w:t>
      </w:r>
      <w:r w:rsidRPr="009F44AF">
        <w:rPr>
          <w:rStyle w:val="af6"/>
          <w:rFonts w:eastAsia="Guttman Hodes" w:hint="cs"/>
          <w:rtl/>
        </w:rPr>
        <w:t xml:space="preserve"> (סי' ל"ז)</w:t>
      </w:r>
      <w:r>
        <w:rPr>
          <w:rFonts w:hint="cs"/>
          <w:rtl/>
        </w:rPr>
        <w:t xml:space="preserve"> דדבר שבטל ברוב, משמע בסוגיין שאין בו אפילו איסור דרבנן, ומותר לאוכלם בבת אחת, וביאר </w:t>
      </w:r>
      <w:r>
        <w:rPr>
          <w:rStyle w:val="af8"/>
          <w:rtl/>
        </w:rPr>
        <w:t>הרא"ש</w:t>
      </w:r>
      <w:r w:rsidRPr="009F44AF">
        <w:rPr>
          <w:rStyle w:val="af6"/>
          <w:rFonts w:eastAsia="Guttman Hodes" w:hint="cs"/>
          <w:rtl/>
        </w:rPr>
        <w:t xml:space="preserve"> </w:t>
      </w:r>
      <w:r>
        <w:rPr>
          <w:rFonts w:hint="cs"/>
          <w:rtl/>
        </w:rPr>
        <w:t xml:space="preserve">דביטול ברוב ביבש ביבש מותר מותר מגזיה"כ דאחרי רבים להטות, דכל שיש בתערובת חד בתרי האיסור נהפך להיות היתר, וכתב </w:t>
      </w:r>
      <w:r>
        <w:rPr>
          <w:rStyle w:val="af8"/>
          <w:rtl/>
        </w:rPr>
        <w:t>הרא"ש</w:t>
      </w:r>
      <w:r>
        <w:rPr>
          <w:rFonts w:hint="cs"/>
          <w:rtl/>
        </w:rPr>
        <w:t xml:space="preserve"> דלכן מותר לאכול את כל התערובת בבת אחת, דאין כאן איסור כלל.</w:t>
      </w:r>
      <w:bookmarkEnd w:id="13139"/>
    </w:p>
    <w:p w:rsidR="0028438A" w:rsidRDefault="0028438A" w:rsidP="00DA6853">
      <w:pPr>
        <w:pStyle w:val="1"/>
        <w:rPr>
          <w:rtl/>
        </w:rPr>
      </w:pPr>
      <w:bookmarkStart w:id="13140" w:name="_Toc23984265"/>
      <w:bookmarkStart w:id="13141" w:name="_Toc23972100"/>
      <w:bookmarkStart w:id="13142" w:name="_Toc23960286"/>
      <w:bookmarkStart w:id="13143" w:name="_Toc23945693"/>
      <w:bookmarkStart w:id="13144" w:name="_Toc23887332"/>
      <w:bookmarkStart w:id="13145" w:name="_Toc23850441"/>
      <w:r>
        <w:rPr>
          <w:rFonts w:hint="cs"/>
          <w:rtl/>
        </w:rPr>
        <w:lastRenderedPageBreak/>
        <w:t>חילוק הרא"ש בין דין ביטול ברוב להיתר ספק ספיקא בתערובת</w:t>
      </w:r>
      <w:bookmarkEnd w:id="13140"/>
      <w:bookmarkEnd w:id="13141"/>
      <w:bookmarkEnd w:id="13142"/>
      <w:bookmarkEnd w:id="13143"/>
      <w:bookmarkEnd w:id="13144"/>
      <w:bookmarkEnd w:id="13145"/>
      <w:r>
        <w:rPr>
          <w:rFonts w:hint="cs"/>
          <w:rtl/>
        </w:rPr>
        <w:t xml:space="preserve"> </w:t>
      </w:r>
    </w:p>
    <w:p w:rsidR="0028438A" w:rsidRDefault="0028438A" w:rsidP="0028438A">
      <w:pPr>
        <w:pStyle w:val="a2"/>
        <w:rPr>
          <w:b/>
          <w:bCs/>
          <w:rtl/>
        </w:rPr>
      </w:pPr>
      <w:bookmarkStart w:id="13146" w:name="_Toc23984266"/>
      <w:bookmarkStart w:id="13147" w:name="_Toc23972101"/>
      <w:bookmarkStart w:id="13148" w:name="_Toc23960287"/>
      <w:bookmarkStart w:id="13149" w:name="_Toc23945694"/>
      <w:bookmarkStart w:id="13150" w:name="_Toc23887333"/>
      <w:bookmarkStart w:id="13151" w:name="_Toc23850442"/>
      <w:r>
        <w:rPr>
          <w:rFonts w:hint="cs"/>
          <w:rtl/>
        </w:rPr>
        <w:t>קושית הרא"ש דבדין רימוני בדן מצינו שיש אופנים שאסור לאכול את כל התערובת בבת אחת</w:t>
      </w:r>
      <w:bookmarkEnd w:id="13146"/>
      <w:bookmarkEnd w:id="13147"/>
      <w:bookmarkEnd w:id="13148"/>
      <w:bookmarkEnd w:id="13149"/>
      <w:bookmarkEnd w:id="13150"/>
      <w:bookmarkEnd w:id="13151"/>
    </w:p>
    <w:p w:rsidR="0028438A" w:rsidRDefault="0028438A" w:rsidP="009F44AF">
      <w:pPr>
        <w:pStyle w:val="a"/>
        <w:numPr>
          <w:ilvl w:val="0"/>
          <w:numId w:val="17"/>
        </w:numPr>
        <w:rPr>
          <w:rtl/>
        </w:rPr>
      </w:pPr>
      <w:bookmarkStart w:id="13152" w:name="_Ref23953121"/>
      <w:bookmarkStart w:id="13153" w:name="_Toc23712661"/>
      <w:bookmarkStart w:id="13154" w:name="_Toc23372623"/>
      <w:bookmarkStart w:id="13155" w:name="_Toc23223986"/>
      <w:bookmarkStart w:id="13156" w:name="_Toc22638907"/>
      <w:r>
        <w:rPr>
          <w:rFonts w:hint="cs"/>
          <w:rtl/>
        </w:rPr>
        <w:t xml:space="preserve">אך הקשה </w:t>
      </w:r>
      <w:r>
        <w:rPr>
          <w:rStyle w:val="af8"/>
          <w:rtl/>
        </w:rPr>
        <w:t xml:space="preserve">הרא"ש </w:t>
      </w:r>
      <w:r>
        <w:rPr>
          <w:rFonts w:hint="cs"/>
          <w:rtl/>
        </w:rPr>
        <w:t>דהא אמרינן בגמ' בזבחים</w:t>
      </w:r>
      <w:r w:rsidRPr="009F44AF">
        <w:rPr>
          <w:rStyle w:val="af6"/>
          <w:rFonts w:eastAsia="Guttman Hodes" w:hint="cs"/>
          <w:rtl/>
        </w:rPr>
        <w:t xml:space="preserve"> (עד.)</w:t>
      </w:r>
      <w:r>
        <w:rPr>
          <w:rFonts w:hint="cs"/>
          <w:rtl/>
        </w:rPr>
        <w:t xml:space="preserve"> דרימוני בדן שלא מהני בהם ביטול ברוב, ואוסרים בכל שהו, ובנפלו לתערובת אסור ואם מתוך התערובת נפלו למק"א מותר, וממנה למק"א מותר, והוסיף </w:t>
      </w:r>
      <w:r>
        <w:rPr>
          <w:rStyle w:val="af8"/>
          <w:rtl/>
        </w:rPr>
        <w:t>המהר"ם מרוטנבורג בתשו'</w:t>
      </w:r>
      <w:r>
        <w:rPr>
          <w:rFonts w:hint="cs"/>
          <w:rtl/>
        </w:rPr>
        <w:t xml:space="preserve"> </w:t>
      </w:r>
      <w:r w:rsidRPr="009F44AF">
        <w:rPr>
          <w:rStyle w:val="af6"/>
          <w:rFonts w:eastAsia="Guttman Hodes" w:hint="cs"/>
          <w:rtl/>
        </w:rPr>
        <w:t>(הובאה בשו"ת הרשב"א ח"א סי' תש"ל)</w:t>
      </w:r>
      <w:r>
        <w:rPr>
          <w:rFonts w:hint="cs"/>
          <w:rtl/>
        </w:rPr>
        <w:t xml:space="preserve"> בשם </w:t>
      </w:r>
      <w:r>
        <w:rPr>
          <w:rStyle w:val="af8"/>
          <w:rtl/>
        </w:rPr>
        <w:t>ר"ת</w:t>
      </w:r>
      <w:r>
        <w:rPr>
          <w:rFonts w:hint="cs"/>
          <w:rtl/>
        </w:rPr>
        <w:t xml:space="preserve"> דיש להקשות אמאי נקט ר"ש שלוש מינים של תערובות ולא נקט בפשיטות דאף שהוא ספק ספיקא מ"מ אסור לעולם, וביאר </w:t>
      </w:r>
      <w:r>
        <w:rPr>
          <w:rStyle w:val="af8"/>
          <w:rtl/>
        </w:rPr>
        <w:t>הרא"ש</w:t>
      </w:r>
      <w:r>
        <w:rPr>
          <w:rFonts w:hint="cs"/>
          <w:rtl/>
        </w:rPr>
        <w:t xml:space="preserve"> בשם </w:t>
      </w:r>
      <w:r>
        <w:rPr>
          <w:rStyle w:val="af8"/>
          <w:rtl/>
        </w:rPr>
        <w:t>ר"י</w:t>
      </w:r>
      <w:r>
        <w:rPr>
          <w:rFonts w:hint="cs"/>
          <w:rtl/>
        </w:rPr>
        <w:t xml:space="preserve"> דכוונת ר"ש לומר דבתערובת השניה אסור לאוכלם כאחת, ובתערובת השלישית מותר אף בבת אחת, כיון שהם מותרים מספק ספיקא. </w:t>
      </w:r>
      <w:r>
        <w:rPr>
          <w:rStyle w:val="afa"/>
          <w:rtl/>
        </w:rPr>
        <w:t xml:space="preserve">[וכ"כ </w:t>
      </w:r>
      <w:r>
        <w:rPr>
          <w:rStyle w:val="affa"/>
          <w:rtl/>
        </w:rPr>
        <w:t>התוס' בזבחים</w:t>
      </w:r>
      <w:r>
        <w:rPr>
          <w:rStyle w:val="afa"/>
          <w:rtl/>
        </w:rPr>
        <w:t xml:space="preserve"> </w:t>
      </w:r>
      <w:r>
        <w:rPr>
          <w:rStyle w:val="aff6"/>
          <w:rtl/>
        </w:rPr>
        <w:t>(עד. ד"ה פירש)</w:t>
      </w:r>
      <w:r>
        <w:rPr>
          <w:rStyle w:val="afa"/>
          <w:rtl/>
        </w:rPr>
        <w:t>].</w:t>
      </w:r>
      <w:bookmarkEnd w:id="13152"/>
    </w:p>
    <w:p w:rsidR="0028438A" w:rsidRDefault="0028438A" w:rsidP="0028438A">
      <w:pPr>
        <w:pStyle w:val="a2"/>
        <w:rPr>
          <w:rtl/>
        </w:rPr>
      </w:pPr>
      <w:bookmarkStart w:id="13157" w:name="_Toc23984267"/>
      <w:bookmarkStart w:id="13158" w:name="_Toc23972102"/>
      <w:bookmarkStart w:id="13159" w:name="_Toc23960288"/>
      <w:bookmarkStart w:id="13160" w:name="_Toc23945695"/>
      <w:bookmarkStart w:id="13161" w:name="_Toc23887334"/>
      <w:bookmarkStart w:id="13162" w:name="_Toc23850443"/>
      <w:r>
        <w:rPr>
          <w:rFonts w:hint="cs"/>
          <w:rtl/>
        </w:rPr>
        <w:t>דברי הרא"ש דבתערובת השניה ברימוני בדן ההיתר הוא מדין ספק ספיקא ולא מדין ביטול ברוב</w:t>
      </w:r>
      <w:bookmarkEnd w:id="13157"/>
      <w:bookmarkEnd w:id="13158"/>
      <w:bookmarkEnd w:id="13159"/>
      <w:bookmarkEnd w:id="13160"/>
      <w:bookmarkEnd w:id="13161"/>
      <w:bookmarkEnd w:id="13162"/>
    </w:p>
    <w:p w:rsidR="0028438A" w:rsidRDefault="0028438A" w:rsidP="009F44AF">
      <w:pPr>
        <w:pStyle w:val="a"/>
        <w:numPr>
          <w:ilvl w:val="0"/>
          <w:numId w:val="17"/>
        </w:numPr>
      </w:pPr>
      <w:r>
        <w:rPr>
          <w:rFonts w:hint="cs"/>
          <w:rtl/>
        </w:rPr>
        <w:t xml:space="preserve">ותירץ </w:t>
      </w:r>
      <w:r>
        <w:rPr>
          <w:rStyle w:val="af8"/>
          <w:rtl/>
        </w:rPr>
        <w:t xml:space="preserve">הרא"ש </w:t>
      </w:r>
      <w:r>
        <w:rPr>
          <w:rFonts w:hint="cs"/>
          <w:rtl/>
        </w:rPr>
        <w:t>דברימוני בדן ההיתר אינו מדין ביטול ברוב, דהא רימוני בדן לא בטלי ברוב, אלא ההיתר הוא מדין ספק ספיקא, דשמא האיסור שמעורב בתערובת הראשונה, לא נפל לתערובת השניה, ואף אם נפל  האיסור לתערובת השניה, מ"מ על כל אחד מהתערובת השניה אמרינן שהוא מותר.</w:t>
      </w:r>
    </w:p>
    <w:p w:rsidR="0028438A" w:rsidRDefault="0028438A" w:rsidP="0028438A">
      <w:pPr>
        <w:pStyle w:val="a2"/>
        <w:rPr>
          <w:rtl/>
        </w:rPr>
      </w:pPr>
      <w:bookmarkStart w:id="13163" w:name="_Toc23984268"/>
      <w:bookmarkStart w:id="13164" w:name="_Toc23972103"/>
      <w:bookmarkStart w:id="13165" w:name="_Toc23960289"/>
      <w:bookmarkStart w:id="13166" w:name="_Toc23945696"/>
      <w:bookmarkStart w:id="13167" w:name="_Toc23887335"/>
      <w:bookmarkStart w:id="13168" w:name="_Toc23850444"/>
      <w:r>
        <w:rPr>
          <w:rFonts w:hint="cs"/>
          <w:rtl/>
        </w:rPr>
        <w:t>דברי הרא"ש דאסור לאכול את כל התערובת השניה בב"א דיש רק ספק אחד ואין ספק ספיקא</w:t>
      </w:r>
      <w:bookmarkEnd w:id="13163"/>
      <w:bookmarkEnd w:id="13164"/>
      <w:bookmarkEnd w:id="13165"/>
      <w:bookmarkEnd w:id="13166"/>
      <w:bookmarkEnd w:id="13167"/>
      <w:bookmarkEnd w:id="13168"/>
      <w:r>
        <w:rPr>
          <w:rFonts w:hint="cs"/>
          <w:rtl/>
        </w:rPr>
        <w:t xml:space="preserve"> </w:t>
      </w:r>
    </w:p>
    <w:p w:rsidR="0028438A" w:rsidRDefault="0028438A" w:rsidP="009F44AF">
      <w:pPr>
        <w:pStyle w:val="a"/>
        <w:numPr>
          <w:ilvl w:val="0"/>
          <w:numId w:val="17"/>
        </w:numPr>
        <w:rPr>
          <w:rStyle w:val="afa"/>
        </w:rPr>
      </w:pPr>
      <w:bookmarkStart w:id="13169" w:name="_Ref23850381"/>
      <w:r>
        <w:rPr>
          <w:rFonts w:hint="cs"/>
          <w:rtl/>
        </w:rPr>
        <w:t xml:space="preserve">אבל כשאוכל את כל התערובת השניה בבת אחת, כתב </w:t>
      </w:r>
      <w:r>
        <w:rPr>
          <w:rStyle w:val="af8"/>
          <w:rtl/>
        </w:rPr>
        <w:t>הרא"ש</w:t>
      </w:r>
      <w:r w:rsidRPr="009F44AF">
        <w:rPr>
          <w:rStyle w:val="af6"/>
          <w:rFonts w:eastAsia="Guttman Hodes" w:hint="cs"/>
          <w:rtl/>
        </w:rPr>
        <w:t xml:space="preserve"> </w:t>
      </w:r>
      <w:r>
        <w:rPr>
          <w:rFonts w:hint="cs"/>
          <w:rtl/>
        </w:rPr>
        <w:t xml:space="preserve">דודאי אכל רימון אחד מהתערובת הראשונה, ויש רק ספק אחד, האם האיסור נפל לתערובת השניה, או שהוא נשאר בתערובת הראשונה, ולכן אסור לאכול את כל התערובת השניה בבת אחת. </w:t>
      </w:r>
      <w:r>
        <w:rPr>
          <w:rStyle w:val="afa"/>
          <w:rtl/>
        </w:rPr>
        <w:t>[אבל בתערובת השלישית לעולם יש ספק ספיקא, דשמא האיסור נשאר בתערובת הראשונה, ואף אם נפל לתערובת השניה, שמא לא נפל לשלישית, ואף כשאוכל את כל התערובת השלישית בבת אחת, אינו ודאי שאכל רימון אחד מהתערובת הראשונה].</w:t>
      </w:r>
      <w:bookmarkEnd w:id="13169"/>
    </w:p>
    <w:p w:rsidR="0028438A" w:rsidRDefault="0028438A" w:rsidP="0028438A">
      <w:pPr>
        <w:pStyle w:val="a2"/>
      </w:pPr>
      <w:bookmarkStart w:id="13170" w:name="_Toc23984269"/>
      <w:bookmarkStart w:id="13171" w:name="_Toc23972104"/>
      <w:bookmarkStart w:id="13172" w:name="_Toc23960290"/>
      <w:bookmarkStart w:id="13173" w:name="_Toc23945697"/>
      <w:bookmarkStart w:id="13174" w:name="_Toc23887336"/>
      <w:bookmarkStart w:id="13175" w:name="_Toc23850445"/>
      <w:bookmarkEnd w:id="13153"/>
      <w:bookmarkEnd w:id="13154"/>
      <w:bookmarkEnd w:id="13155"/>
      <w:bookmarkEnd w:id="13156"/>
      <w:r>
        <w:rPr>
          <w:rFonts w:hint="cs"/>
          <w:rtl/>
        </w:rPr>
        <w:t>דברי הרא"ש דבחד בתרי יש רק ספק אחד וספק דאו' לחומרא אלא מותר מגזיה"כ דנהפך להיתר</w:t>
      </w:r>
      <w:bookmarkEnd w:id="13170"/>
      <w:bookmarkEnd w:id="13171"/>
      <w:bookmarkEnd w:id="13172"/>
      <w:bookmarkEnd w:id="13173"/>
      <w:bookmarkEnd w:id="13174"/>
      <w:bookmarkEnd w:id="13175"/>
    </w:p>
    <w:p w:rsidR="0028438A" w:rsidRDefault="0028438A" w:rsidP="009F44AF">
      <w:pPr>
        <w:pStyle w:val="a"/>
        <w:numPr>
          <w:ilvl w:val="0"/>
          <w:numId w:val="17"/>
        </w:numPr>
        <w:rPr>
          <w:rtl/>
        </w:rPr>
      </w:pPr>
      <w:bookmarkStart w:id="13176" w:name="_Ref23782579"/>
      <w:r>
        <w:rPr>
          <w:rFonts w:hint="cs"/>
          <w:rtl/>
        </w:rPr>
        <w:t xml:space="preserve">אבל בביטול של חד בתרי ביבש ביבש, כתב </w:t>
      </w:r>
      <w:r>
        <w:rPr>
          <w:rStyle w:val="af8"/>
          <w:rtl/>
        </w:rPr>
        <w:t>הרא"ש</w:t>
      </w:r>
      <w:r w:rsidRPr="009F44AF">
        <w:rPr>
          <w:rStyle w:val="af6"/>
          <w:rFonts w:eastAsia="Guttman Hodes" w:hint="cs"/>
          <w:rtl/>
        </w:rPr>
        <w:t xml:space="preserve"> </w:t>
      </w:r>
      <w:r>
        <w:rPr>
          <w:rFonts w:hint="cs"/>
          <w:rtl/>
        </w:rPr>
        <w:t xml:space="preserve">דא"א לומר שההיתר הוא מדין ספק, דהא אף אם אוכלם אחד אחד, יש רק ספק אחד ואין ספק ספיקא, וצריך להיות אסור מדין ספק דאו' לחומרא, ומוכח דההיתר ביבש ביבש אינו מדין ספק כלל, אלא כתב </w:t>
      </w:r>
      <w:r>
        <w:rPr>
          <w:rStyle w:val="af8"/>
          <w:rtl/>
        </w:rPr>
        <w:t>הרא"ש</w:t>
      </w:r>
      <w:r w:rsidRPr="009F44AF">
        <w:rPr>
          <w:rStyle w:val="af6"/>
          <w:rFonts w:eastAsia="Guttman Hodes" w:hint="cs"/>
          <w:rtl/>
        </w:rPr>
        <w:t xml:space="preserve"> </w:t>
      </w:r>
      <w:r>
        <w:rPr>
          <w:rFonts w:hint="cs"/>
          <w:rtl/>
        </w:rPr>
        <w:t>דההיתר הוא מגזיה"כ דאחרי רבים להטות, דכל שיש בתערובת חד בתרי האיסור נהפך להיות היתר, ולכן מותר לאכול את כל התערובת בבת אחת.</w:t>
      </w:r>
      <w:bookmarkEnd w:id="13176"/>
    </w:p>
    <w:p w:rsidR="0028438A" w:rsidRDefault="0028438A" w:rsidP="00DA6853">
      <w:pPr>
        <w:pStyle w:val="1"/>
        <w:rPr>
          <w:rtl/>
        </w:rPr>
      </w:pPr>
      <w:bookmarkStart w:id="13177" w:name="_Toc23984270"/>
      <w:bookmarkStart w:id="13178" w:name="_Toc23972105"/>
      <w:bookmarkStart w:id="13179" w:name="_Toc23960291"/>
      <w:bookmarkStart w:id="13180" w:name="_Toc23945698"/>
      <w:bookmarkStart w:id="13181" w:name="_Toc23887337"/>
      <w:bookmarkStart w:id="13182" w:name="_Toc23850446"/>
      <w:r>
        <w:rPr>
          <w:rFonts w:hint="cs"/>
          <w:rtl/>
        </w:rPr>
        <w:t>ביאור הרא"ש דיבש ולא נודעה התערובת והתבשל צריך שישים</w:t>
      </w:r>
      <w:bookmarkEnd w:id="13177"/>
      <w:bookmarkEnd w:id="13178"/>
      <w:bookmarkEnd w:id="13179"/>
      <w:bookmarkEnd w:id="13180"/>
      <w:bookmarkEnd w:id="13181"/>
      <w:bookmarkEnd w:id="13182"/>
    </w:p>
    <w:p w:rsidR="0028438A" w:rsidRDefault="0028438A" w:rsidP="0028438A">
      <w:pPr>
        <w:pStyle w:val="a2"/>
        <w:rPr>
          <w:b/>
          <w:bCs/>
          <w:rtl/>
        </w:rPr>
      </w:pPr>
      <w:bookmarkStart w:id="13183" w:name="_Toc23984271"/>
      <w:bookmarkStart w:id="13184" w:name="_Toc23972106"/>
      <w:bookmarkStart w:id="13185" w:name="_Toc23960292"/>
      <w:bookmarkStart w:id="13186" w:name="_Toc23945699"/>
      <w:bookmarkStart w:id="13187" w:name="_Toc23887338"/>
      <w:bookmarkStart w:id="13188" w:name="_Toc23850447"/>
      <w:r>
        <w:rPr>
          <w:rFonts w:hint="cs"/>
          <w:rtl/>
        </w:rPr>
        <w:t>דברי הרא"ש דבמינו ביבש כל שנודעה התערובת נעשה היתר גמור אף מדרבנן דאין בו טעם</w:t>
      </w:r>
      <w:bookmarkEnd w:id="13183"/>
      <w:bookmarkEnd w:id="13184"/>
      <w:bookmarkEnd w:id="13185"/>
      <w:bookmarkEnd w:id="13186"/>
      <w:bookmarkEnd w:id="13187"/>
      <w:bookmarkEnd w:id="13188"/>
    </w:p>
    <w:p w:rsidR="0028438A" w:rsidRDefault="0028438A" w:rsidP="009F44AF">
      <w:pPr>
        <w:pStyle w:val="a"/>
        <w:numPr>
          <w:ilvl w:val="0"/>
          <w:numId w:val="17"/>
        </w:numPr>
        <w:rPr>
          <w:rtl/>
        </w:rPr>
      </w:pPr>
      <w:r>
        <w:rPr>
          <w:rFonts w:hint="cs"/>
          <w:rtl/>
        </w:rPr>
        <w:t xml:space="preserve">וכתב </w:t>
      </w:r>
      <w:r>
        <w:rPr>
          <w:rStyle w:val="af8"/>
          <w:rtl/>
        </w:rPr>
        <w:t>הרא"ש</w:t>
      </w:r>
      <w:r>
        <w:rPr>
          <w:rFonts w:hint="cs"/>
          <w:rtl/>
        </w:rPr>
        <w:t xml:space="preserve"> דבמין במינו בדבר יבש, אם נודע לנו שנפל איסור לתערובת, הוא נעשה להיתר גמור אף מדרבנן, וא"צ שישים כלל, כיון שאף אם היה מתבשל אין בו נתינת טעם דהוא מין במינו.</w:t>
      </w:r>
    </w:p>
    <w:p w:rsidR="0028438A" w:rsidRDefault="0028438A" w:rsidP="0028438A">
      <w:pPr>
        <w:pStyle w:val="a2"/>
        <w:rPr>
          <w:rtl/>
        </w:rPr>
      </w:pPr>
      <w:bookmarkStart w:id="13189" w:name="_Toc23984272"/>
      <w:bookmarkStart w:id="13190" w:name="_Toc23972107"/>
      <w:bookmarkStart w:id="13191" w:name="_Toc23960293"/>
      <w:bookmarkStart w:id="13192" w:name="_Toc23945700"/>
      <w:bookmarkStart w:id="13193" w:name="_Toc23887339"/>
      <w:bookmarkStart w:id="13194" w:name="_Toc23850448"/>
      <w:r>
        <w:rPr>
          <w:rFonts w:hint="cs"/>
          <w:rtl/>
        </w:rPr>
        <w:t>דברי הרא"ש דבלח במינו ולא נודעה התערובת כשהיה יבש צריך שישים דגזרו אטו אינו מינו</w:t>
      </w:r>
      <w:bookmarkEnd w:id="13189"/>
      <w:bookmarkEnd w:id="13190"/>
      <w:bookmarkEnd w:id="13191"/>
      <w:bookmarkEnd w:id="13192"/>
      <w:bookmarkEnd w:id="13193"/>
      <w:bookmarkEnd w:id="13194"/>
    </w:p>
    <w:p w:rsidR="0028438A" w:rsidRDefault="0028438A" w:rsidP="009F44AF">
      <w:pPr>
        <w:pStyle w:val="a"/>
        <w:numPr>
          <w:ilvl w:val="0"/>
          <w:numId w:val="17"/>
        </w:numPr>
        <w:rPr>
          <w:rtl/>
        </w:rPr>
      </w:pPr>
      <w:bookmarkStart w:id="13195" w:name="_Ref23968974"/>
      <w:r>
        <w:rPr>
          <w:rFonts w:hint="cs"/>
          <w:rtl/>
        </w:rPr>
        <w:t xml:space="preserve">וכתב </w:t>
      </w:r>
      <w:r>
        <w:rPr>
          <w:rStyle w:val="af8"/>
          <w:rtl/>
        </w:rPr>
        <w:t>הרא"ש</w:t>
      </w:r>
      <w:r>
        <w:rPr>
          <w:rFonts w:hint="cs"/>
          <w:rtl/>
        </w:rPr>
        <w:t xml:space="preserve"> דהא דבלח בלח לא מהני ביטול ברוב במין במינו, הוא כיון דבמקום שההיתר והאיסור התבשלו יחד לפני שנודע שנפל איסור לתערובת, ועדיין לא נקרא עליו שם היתר ע"י שהתבטל ברוב, החמירו רבנן שצריך שישים להתירו, אעפ"י שמין במינו אינו נותן טעם, מ"מ גזרו רבנן אטו מין בשאינו מינו.</w:t>
      </w:r>
      <w:bookmarkEnd w:id="13195"/>
    </w:p>
    <w:p w:rsidR="0028438A" w:rsidRDefault="0028438A" w:rsidP="00DA6853">
      <w:pPr>
        <w:pStyle w:val="1"/>
        <w:rPr>
          <w:rtl/>
        </w:rPr>
      </w:pPr>
      <w:bookmarkStart w:id="13196" w:name="_Toc23984273"/>
      <w:bookmarkStart w:id="13197" w:name="_Toc23972108"/>
      <w:bookmarkStart w:id="13198" w:name="_Toc23960294"/>
      <w:bookmarkStart w:id="13199" w:name="_Toc23945701"/>
      <w:bookmarkStart w:id="13200" w:name="_Toc23887340"/>
      <w:bookmarkStart w:id="13201" w:name="_Toc23850449"/>
      <w:r>
        <w:rPr>
          <w:rFonts w:hint="cs"/>
          <w:rtl/>
        </w:rPr>
        <w:t>חילוק הרא"ש בין דין ביטול ברוב להיתר נפל אחד מהתערובת</w:t>
      </w:r>
      <w:bookmarkEnd w:id="13196"/>
      <w:bookmarkEnd w:id="13197"/>
      <w:bookmarkEnd w:id="13198"/>
      <w:bookmarkEnd w:id="13199"/>
      <w:bookmarkEnd w:id="13200"/>
      <w:bookmarkEnd w:id="13201"/>
    </w:p>
    <w:p w:rsidR="0028438A" w:rsidRDefault="0028438A" w:rsidP="0028438A">
      <w:pPr>
        <w:pStyle w:val="a2"/>
        <w:rPr>
          <w:b/>
          <w:bCs/>
          <w:rtl/>
        </w:rPr>
      </w:pPr>
      <w:bookmarkStart w:id="13202" w:name="_Toc23984274"/>
      <w:bookmarkStart w:id="13203" w:name="_Toc23972109"/>
      <w:bookmarkStart w:id="13204" w:name="_Toc23960295"/>
      <w:bookmarkStart w:id="13205" w:name="_Toc23945702"/>
      <w:bookmarkStart w:id="13206" w:name="_Toc23887341"/>
      <w:bookmarkStart w:id="13207" w:name="_Toc23850450"/>
      <w:r>
        <w:rPr>
          <w:rFonts w:hint="cs"/>
          <w:rtl/>
        </w:rPr>
        <w:t>קושית הרא"ש דבתערובת טבעות ע"ז ואברי בעלי מומין יש איסור בכל התערובת בבת אחת</w:t>
      </w:r>
      <w:bookmarkEnd w:id="13202"/>
      <w:bookmarkEnd w:id="13203"/>
      <w:bookmarkEnd w:id="13204"/>
      <w:bookmarkEnd w:id="13205"/>
      <w:bookmarkEnd w:id="13206"/>
      <w:bookmarkEnd w:id="13207"/>
    </w:p>
    <w:p w:rsidR="0028438A" w:rsidRDefault="0028438A" w:rsidP="009F44AF">
      <w:pPr>
        <w:pStyle w:val="a"/>
        <w:numPr>
          <w:ilvl w:val="0"/>
          <w:numId w:val="17"/>
        </w:numPr>
        <w:rPr>
          <w:rtl/>
        </w:rPr>
      </w:pPr>
      <w:r>
        <w:rPr>
          <w:rFonts w:hint="cs"/>
          <w:rtl/>
        </w:rPr>
        <w:t xml:space="preserve">אך הקשה </w:t>
      </w:r>
      <w:r>
        <w:rPr>
          <w:rStyle w:val="af8"/>
          <w:rtl/>
        </w:rPr>
        <w:t xml:space="preserve">הרא"ש </w:t>
      </w:r>
      <w:r>
        <w:rPr>
          <w:rFonts w:hint="cs"/>
          <w:rtl/>
        </w:rPr>
        <w:t>דהא אמרינן בגמ' בזבחים</w:t>
      </w:r>
      <w:r w:rsidRPr="009F44AF">
        <w:rPr>
          <w:rStyle w:val="af6"/>
          <w:rFonts w:eastAsia="Guttman Hodes" w:hint="cs"/>
          <w:rtl/>
        </w:rPr>
        <w:t xml:space="preserve"> (עד.)</w:t>
      </w:r>
      <w:r>
        <w:rPr>
          <w:rFonts w:hint="cs"/>
          <w:rtl/>
        </w:rPr>
        <w:t xml:space="preserve"> דאם התערבה טבעת ע"ז במאה טבעות של היתר, ונפלה אחת מהתערובת לים, הותרו כולם, דאמרינן דהטבעת האסורה נפלה, וביאר </w:t>
      </w:r>
      <w:r>
        <w:rPr>
          <w:rStyle w:val="af8"/>
          <w:rtl/>
        </w:rPr>
        <w:t>ר"י</w:t>
      </w:r>
      <w:r>
        <w:rPr>
          <w:rFonts w:hint="cs"/>
          <w:rtl/>
        </w:rPr>
        <w:t xml:space="preserve"> שאסור להנות מכל הטבעות יחד, וכן הקשה </w:t>
      </w:r>
      <w:r>
        <w:rPr>
          <w:rStyle w:val="af8"/>
          <w:rtl/>
        </w:rPr>
        <w:t xml:space="preserve">הרא"ש </w:t>
      </w:r>
      <w:r>
        <w:rPr>
          <w:rFonts w:hint="cs"/>
          <w:rtl/>
        </w:rPr>
        <w:t xml:space="preserve">מהא דאיתא בגמ' בזבחים </w:t>
      </w:r>
      <w:r w:rsidRPr="009F44AF">
        <w:rPr>
          <w:rStyle w:val="af6"/>
          <w:rFonts w:eastAsia="Guttman Hodes" w:hint="cs"/>
          <w:rtl/>
        </w:rPr>
        <w:t>(עד.)</w:t>
      </w:r>
      <w:r>
        <w:rPr>
          <w:rFonts w:hint="cs"/>
          <w:rtl/>
        </w:rPr>
        <w:t xml:space="preserve"> דאברי תמימים שהתערבו באברי בעלי מומין, דכולם </w:t>
      </w:r>
      <w:r>
        <w:rPr>
          <w:rFonts w:hint="cs"/>
          <w:rtl/>
        </w:rPr>
        <w:t xml:space="preserve">אסורין, ואם קרב ראשו של אחד מהם יקרבו כל הראשים, ואמרינן בגמ' דמותר להקריב רק שני ראשים יחד, אך אסור להקריב אחד אחד, וביאר </w:t>
      </w:r>
      <w:r>
        <w:rPr>
          <w:rStyle w:val="af8"/>
          <w:rtl/>
        </w:rPr>
        <w:t>ר"י</w:t>
      </w:r>
      <w:r>
        <w:rPr>
          <w:rFonts w:hint="cs"/>
          <w:rtl/>
        </w:rPr>
        <w:t xml:space="preserve"> דאסור גם להקריב את כולם יחד, וא"כ אף בביטול ברוב בחד בתרי, צריך לאסור לאכול את כל התערובת בבת אחת.</w:t>
      </w:r>
    </w:p>
    <w:p w:rsidR="0028438A" w:rsidRDefault="0028438A" w:rsidP="0028438A">
      <w:pPr>
        <w:pStyle w:val="a2"/>
        <w:rPr>
          <w:rtl/>
        </w:rPr>
      </w:pPr>
      <w:bookmarkStart w:id="13208" w:name="_Toc23984275"/>
      <w:bookmarkStart w:id="13209" w:name="_Toc23972110"/>
      <w:bookmarkStart w:id="13210" w:name="_Toc23960296"/>
      <w:bookmarkStart w:id="13211" w:name="_Toc23945703"/>
      <w:bookmarkStart w:id="13212" w:name="_Toc23887342"/>
      <w:bookmarkStart w:id="13213" w:name="_Toc23850451"/>
      <w:r>
        <w:rPr>
          <w:rFonts w:hint="cs"/>
          <w:rtl/>
        </w:rPr>
        <w:t>קושית הרא"ש דבאברי בעלי מומין מותר להקריב רק שנים שנים ואסור להקריב כ"א בפנ"ע</w:t>
      </w:r>
      <w:bookmarkEnd w:id="13208"/>
      <w:bookmarkEnd w:id="13209"/>
      <w:bookmarkEnd w:id="13210"/>
      <w:bookmarkEnd w:id="13211"/>
      <w:bookmarkEnd w:id="13212"/>
      <w:bookmarkEnd w:id="13213"/>
    </w:p>
    <w:p w:rsidR="0028438A" w:rsidRDefault="0028438A" w:rsidP="009F44AF">
      <w:pPr>
        <w:pStyle w:val="a"/>
        <w:numPr>
          <w:ilvl w:val="0"/>
          <w:numId w:val="17"/>
        </w:numPr>
        <w:rPr>
          <w:rtl/>
        </w:rPr>
      </w:pPr>
      <w:r>
        <w:rPr>
          <w:rFonts w:hint="cs"/>
          <w:rtl/>
        </w:rPr>
        <w:t xml:space="preserve">ועוד הקשה </w:t>
      </w:r>
      <w:r>
        <w:rPr>
          <w:rStyle w:val="af8"/>
          <w:rtl/>
        </w:rPr>
        <w:t xml:space="preserve">הרא"ש </w:t>
      </w:r>
      <w:r>
        <w:rPr>
          <w:rFonts w:hint="cs"/>
          <w:rtl/>
        </w:rPr>
        <w:t xml:space="preserve">דהא אמר ר"א בגמ' בזבחים </w:t>
      </w:r>
      <w:r w:rsidRPr="009F44AF">
        <w:rPr>
          <w:rStyle w:val="af6"/>
          <w:rFonts w:eastAsia="Guttman Hodes" w:hint="cs"/>
          <w:rtl/>
        </w:rPr>
        <w:t>(עד.)</w:t>
      </w:r>
      <w:r>
        <w:rPr>
          <w:rFonts w:hint="cs"/>
          <w:rtl/>
        </w:rPr>
        <w:t xml:space="preserve"> דאבר בעל מום שהתערב באברי תמימים והוקרב אחד מהתערובת, דאסור להקריב כל אבר בפנ"ע, ומותר להקריב רק שנים שנים יחד, כיון שאחד מהם הוא ודאי מותר, ויש בו היתר או מצות הקרבה, וא"כ היאך בביטול ברוב מותר הכל יחד.</w:t>
      </w:r>
    </w:p>
    <w:p w:rsidR="0028438A" w:rsidRDefault="0028438A" w:rsidP="0028438A">
      <w:pPr>
        <w:pStyle w:val="a2"/>
        <w:rPr>
          <w:rtl/>
        </w:rPr>
      </w:pPr>
      <w:bookmarkStart w:id="13214" w:name="_Toc23984276"/>
      <w:bookmarkStart w:id="13215" w:name="_Toc23972111"/>
      <w:bookmarkStart w:id="13216" w:name="_Toc23960297"/>
      <w:bookmarkStart w:id="13217" w:name="_Toc23945704"/>
      <w:bookmarkStart w:id="13218" w:name="_Toc23887343"/>
      <w:bookmarkStart w:id="13219" w:name="_Toc23850452"/>
      <w:r>
        <w:rPr>
          <w:rFonts w:hint="cs"/>
          <w:rtl/>
        </w:rPr>
        <w:t>תירוץ הרא"ש דבטבעות ואברים כשפירש אחד ההיתר הוא מדין ספק ספיקא ולא מביטול ברוב</w:t>
      </w:r>
      <w:bookmarkEnd w:id="13214"/>
      <w:bookmarkEnd w:id="13215"/>
      <w:bookmarkEnd w:id="13216"/>
      <w:bookmarkEnd w:id="13217"/>
      <w:bookmarkEnd w:id="13218"/>
      <w:bookmarkEnd w:id="13219"/>
    </w:p>
    <w:p w:rsidR="0028438A" w:rsidRDefault="0028438A" w:rsidP="009F44AF">
      <w:pPr>
        <w:pStyle w:val="a"/>
        <w:numPr>
          <w:ilvl w:val="0"/>
          <w:numId w:val="17"/>
        </w:numPr>
        <w:rPr>
          <w:rtl/>
        </w:rPr>
      </w:pPr>
      <w:r>
        <w:rPr>
          <w:rFonts w:hint="cs"/>
          <w:rtl/>
        </w:rPr>
        <w:t xml:space="preserve">ותירץ </w:t>
      </w:r>
      <w:r>
        <w:rPr>
          <w:rStyle w:val="af8"/>
          <w:rtl/>
        </w:rPr>
        <w:t xml:space="preserve">הרא"ש </w:t>
      </w:r>
      <w:r>
        <w:rPr>
          <w:rFonts w:hint="cs"/>
          <w:rtl/>
        </w:rPr>
        <w:t xml:space="preserve">דבטבעות ע"ז ואברי בעלי מומין שהתערבו באחרים כולם נאסרו, דלא מהני בהו ביטול ברוב, אלא דבמקום שאפשר לתלות שהאיסור נפל לים או הוקרב כבר, הקילו לתלות שמה שפירש מהתערובת הוא האיסור, </w:t>
      </w:r>
      <w:r>
        <w:rPr>
          <w:rStyle w:val="afa"/>
          <w:rtl/>
        </w:rPr>
        <w:t xml:space="preserve">[והוסיפו </w:t>
      </w:r>
      <w:r>
        <w:rPr>
          <w:rStyle w:val="affa"/>
          <w:rtl/>
        </w:rPr>
        <w:t>התוס' בזבחים</w:t>
      </w:r>
      <w:r>
        <w:rPr>
          <w:rStyle w:val="afa"/>
          <w:rtl/>
        </w:rPr>
        <w:t xml:space="preserve"> </w:t>
      </w:r>
      <w:r>
        <w:rPr>
          <w:rStyle w:val="aff6"/>
          <w:rtl/>
        </w:rPr>
        <w:t>(עד. ד"ה ונפלה)</w:t>
      </w:r>
      <w:r>
        <w:rPr>
          <w:rStyle w:val="afa"/>
          <w:rtl/>
        </w:rPr>
        <w:t xml:space="preserve"> דכיון דמדאו' מהני ביטול ברוב, לכן בנפלה אחת הקילו רבנן לתלות שהאיסור נפל],</w:t>
      </w:r>
      <w:r>
        <w:rPr>
          <w:rFonts w:hint="cs"/>
          <w:rtl/>
        </w:rPr>
        <w:t xml:space="preserve"> אך בלא נפלה אחת כתב </w:t>
      </w:r>
      <w:r>
        <w:rPr>
          <w:rStyle w:val="af8"/>
          <w:rtl/>
        </w:rPr>
        <w:t>הרא"ש</w:t>
      </w:r>
      <w:r>
        <w:rPr>
          <w:rFonts w:hint="cs"/>
          <w:rtl/>
        </w:rPr>
        <w:t xml:space="preserve"> דכיון שכולם נאסרו לא התירו את כולם יחד, דכל מה ששייך להתיר הוא רק מדין ספק ספיקא, שמא האיסור פירש, ואף אם האיסור לא פירש, כיון שאינו נהנה או אינו מקריב את כולם יחד תלינן שהאיסור נשאר בתערובת.</w:t>
      </w:r>
    </w:p>
    <w:p w:rsidR="0028438A" w:rsidRDefault="0028438A" w:rsidP="0028438A">
      <w:pPr>
        <w:pStyle w:val="a2"/>
        <w:rPr>
          <w:rtl/>
        </w:rPr>
      </w:pPr>
      <w:bookmarkStart w:id="13220" w:name="_Toc23984277"/>
      <w:bookmarkStart w:id="13221" w:name="_Toc23972112"/>
      <w:bookmarkStart w:id="13222" w:name="_Toc23960298"/>
      <w:bookmarkStart w:id="13223" w:name="_Toc23945705"/>
      <w:bookmarkStart w:id="13224" w:name="_Toc23887344"/>
      <w:bookmarkStart w:id="13225" w:name="_Toc23850453"/>
      <w:bookmarkStart w:id="13226" w:name="_Ref20603769"/>
      <w:r>
        <w:rPr>
          <w:rFonts w:hint="cs"/>
          <w:rtl/>
        </w:rPr>
        <w:t>דברי הרא"ש דבביטול ברוב ההיתר הוא מגזיה"כ דנהפך להיתר ולא מדין ספק ספיקא כטבעות</w:t>
      </w:r>
      <w:bookmarkEnd w:id="13220"/>
      <w:bookmarkEnd w:id="13221"/>
      <w:bookmarkEnd w:id="13222"/>
      <w:bookmarkEnd w:id="13223"/>
      <w:bookmarkEnd w:id="13224"/>
      <w:bookmarkEnd w:id="13225"/>
    </w:p>
    <w:p w:rsidR="0028438A" w:rsidRDefault="0028438A" w:rsidP="009F44AF">
      <w:pPr>
        <w:pStyle w:val="a"/>
        <w:numPr>
          <w:ilvl w:val="0"/>
          <w:numId w:val="17"/>
        </w:numPr>
        <w:rPr>
          <w:rtl/>
        </w:rPr>
      </w:pPr>
      <w:r>
        <w:rPr>
          <w:rFonts w:hint="cs"/>
          <w:rtl/>
        </w:rPr>
        <w:t xml:space="preserve">אבל בתערובת ביבש ביבש הא דמהני ביטול בחד בתרי, כתב </w:t>
      </w:r>
      <w:r>
        <w:rPr>
          <w:rStyle w:val="af8"/>
          <w:rtl/>
        </w:rPr>
        <w:t xml:space="preserve">הרא"ש </w:t>
      </w:r>
      <w:r>
        <w:rPr>
          <w:rFonts w:hint="cs"/>
          <w:rtl/>
        </w:rPr>
        <w:t>דאינו מדין ספק ספיקא, אלא ההיתר הוא מגזיה"כ דאחרי רבים להטות, דכל שיש בתערובת חד בתרי האיסור נהפך להיות היתר, ולכן מותר לאכול את כל התערובת בבת אחת, ולא דמי לטבעת ע"ז ולאברי בעלי מומין, שמותרים רק בנפל אחד שיש ספק ספיקא.</w:t>
      </w:r>
      <w:bookmarkEnd w:id="13226"/>
    </w:p>
    <w:p w:rsidR="0028438A" w:rsidRDefault="0028438A" w:rsidP="0028438A">
      <w:pPr>
        <w:pStyle w:val="a2"/>
        <w:rPr>
          <w:rtl/>
        </w:rPr>
      </w:pPr>
      <w:bookmarkStart w:id="13227" w:name="_Toc23984278"/>
      <w:bookmarkStart w:id="13228" w:name="_Toc23972113"/>
      <w:bookmarkStart w:id="13229" w:name="_Toc23960299"/>
      <w:bookmarkStart w:id="13230" w:name="_Toc23945706"/>
      <w:bookmarkStart w:id="13231" w:name="_Toc23887345"/>
      <w:bookmarkStart w:id="13232" w:name="_Toc23850454"/>
      <w:r>
        <w:rPr>
          <w:rFonts w:hint="cs"/>
          <w:rtl/>
        </w:rPr>
        <w:t>תירוץ הרא"ש דבאברי בעלי מומין שכולם נאסרו ההיתר הוא רק בשנים אבל בביטול הכל מותר</w:t>
      </w:r>
      <w:bookmarkEnd w:id="13227"/>
      <w:bookmarkEnd w:id="13228"/>
      <w:bookmarkEnd w:id="13229"/>
      <w:bookmarkEnd w:id="13230"/>
      <w:bookmarkEnd w:id="13231"/>
      <w:bookmarkEnd w:id="13232"/>
    </w:p>
    <w:p w:rsidR="0028438A" w:rsidRDefault="0028438A" w:rsidP="009F44AF">
      <w:pPr>
        <w:pStyle w:val="a"/>
        <w:numPr>
          <w:ilvl w:val="0"/>
          <w:numId w:val="17"/>
        </w:numPr>
        <w:rPr>
          <w:rtl/>
        </w:rPr>
      </w:pPr>
      <w:r>
        <w:rPr>
          <w:rFonts w:hint="cs"/>
          <w:rtl/>
        </w:rPr>
        <w:t xml:space="preserve">והוסיף </w:t>
      </w:r>
      <w:r>
        <w:rPr>
          <w:rStyle w:val="af8"/>
          <w:rtl/>
        </w:rPr>
        <w:t xml:space="preserve">הרא"ש </w:t>
      </w:r>
      <w:r>
        <w:rPr>
          <w:rFonts w:hint="cs"/>
          <w:rtl/>
        </w:rPr>
        <w:t>דלכן א"צ ביבש ביבש לאכול שנים שנים, כמו באברי בעלי מומין דמותרים רק שנים שנים, כיון שבאברי בעלי מומין כולם נאסרו, והקילו לתלות שהאיסור פירש מהתערובת, ולכן ההיתר הוא רק בשנים שנים, דאחד מהם הוא ודאי מותר, ויש בו מצות הקרבה,</w:t>
      </w:r>
      <w:r>
        <w:rPr>
          <w:rStyle w:val="afa"/>
          <w:rtl/>
        </w:rPr>
        <w:t xml:space="preserve">[וביאר </w:t>
      </w:r>
      <w:r>
        <w:rPr>
          <w:rStyle w:val="affa"/>
          <w:rtl/>
        </w:rPr>
        <w:t>רש"י בזבחים</w:t>
      </w:r>
      <w:r>
        <w:rPr>
          <w:rStyle w:val="afa"/>
          <w:rtl/>
        </w:rPr>
        <w:t xml:space="preserve"> </w:t>
      </w:r>
      <w:r>
        <w:rPr>
          <w:rStyle w:val="aff6"/>
          <w:rtl/>
        </w:rPr>
        <w:t>(עד. ד"ה והא)</w:t>
      </w:r>
      <w:r>
        <w:rPr>
          <w:rStyle w:val="afa"/>
          <w:rtl/>
        </w:rPr>
        <w:t xml:space="preserve"> דכיון שהתערב רק אבר אחד, לכן כשמקריב שנים אמרינן דכמו שאחד מהם ודאי מותר, ה"ה השני של היתר, והאיסור כבר קרב בהקרבה הראשונה, אבל כשמקריב רק אחד, על כל אחד יש ספק שמא הוא האסור],</w:t>
      </w:r>
      <w:r>
        <w:rPr>
          <w:rFonts w:hint="cs"/>
          <w:rtl/>
        </w:rPr>
        <w:t xml:space="preserve"> אבל ביבש ביבש כתב </w:t>
      </w:r>
      <w:r>
        <w:rPr>
          <w:rStyle w:val="af8"/>
          <w:rtl/>
        </w:rPr>
        <w:t>הרא"ש</w:t>
      </w:r>
      <w:r>
        <w:rPr>
          <w:rFonts w:hint="cs"/>
          <w:rtl/>
        </w:rPr>
        <w:t xml:space="preserve"> דהתערובת לא נאסרה כלל, דמתחחילת התערובת האיסור נהפך להיתר, לכן מותר לאכול כל חתיכה בפנ"ע וא"צ לאכול שנים שנים.</w:t>
      </w:r>
    </w:p>
    <w:p w:rsidR="0028438A" w:rsidRDefault="0028438A" w:rsidP="00DA6853">
      <w:pPr>
        <w:pStyle w:val="1"/>
      </w:pPr>
      <w:bookmarkStart w:id="13233" w:name="_Toc23984279"/>
      <w:bookmarkStart w:id="13234" w:name="_Toc23972114"/>
      <w:bookmarkStart w:id="13235" w:name="_Toc23960300"/>
      <w:bookmarkStart w:id="13236" w:name="_Toc23945707"/>
      <w:bookmarkStart w:id="13237" w:name="_Toc23887346"/>
      <w:bookmarkStart w:id="13238" w:name="_Toc23850455"/>
      <w:r>
        <w:rPr>
          <w:rFonts w:hint="cs"/>
          <w:rtl/>
        </w:rPr>
        <w:t>דברי הרא"ש דא"א לומר דברוב ההיתר בספק אחד ובב"א אסור</w:t>
      </w:r>
      <w:bookmarkEnd w:id="13233"/>
      <w:bookmarkEnd w:id="13234"/>
      <w:bookmarkEnd w:id="13235"/>
      <w:bookmarkEnd w:id="13236"/>
      <w:bookmarkEnd w:id="13237"/>
      <w:bookmarkEnd w:id="13238"/>
    </w:p>
    <w:p w:rsidR="0028438A" w:rsidRDefault="0028438A" w:rsidP="0028438A">
      <w:pPr>
        <w:pStyle w:val="a2"/>
        <w:rPr>
          <w:b/>
          <w:bCs/>
          <w:rtl/>
        </w:rPr>
      </w:pPr>
      <w:bookmarkStart w:id="13239" w:name="_Toc23984280"/>
      <w:bookmarkStart w:id="13240" w:name="_Toc23972115"/>
      <w:bookmarkStart w:id="13241" w:name="_Toc23960301"/>
      <w:bookmarkStart w:id="13242" w:name="_Toc23945708"/>
      <w:bookmarkStart w:id="13243" w:name="_Toc23887347"/>
      <w:bookmarkStart w:id="13244" w:name="_Toc23850456"/>
      <w:r>
        <w:rPr>
          <w:rFonts w:hint="cs"/>
          <w:rtl/>
        </w:rPr>
        <w:t>דברי הרא"ש דהיה אפש"ל דבחתיכה שאינה ראויה להתכבד אסרו בספק אחד כרימוני בדן</w:t>
      </w:r>
      <w:bookmarkEnd w:id="13239"/>
      <w:bookmarkEnd w:id="13240"/>
      <w:bookmarkEnd w:id="13241"/>
      <w:bookmarkEnd w:id="13242"/>
      <w:bookmarkEnd w:id="13243"/>
      <w:bookmarkEnd w:id="13244"/>
    </w:p>
    <w:p w:rsidR="0028438A" w:rsidRDefault="0028438A" w:rsidP="009F44AF">
      <w:pPr>
        <w:pStyle w:val="a"/>
        <w:numPr>
          <w:ilvl w:val="0"/>
          <w:numId w:val="17"/>
        </w:numPr>
        <w:rPr>
          <w:rtl/>
        </w:rPr>
      </w:pPr>
      <w:r>
        <w:rPr>
          <w:rFonts w:hint="cs"/>
          <w:rtl/>
        </w:rPr>
        <w:t xml:space="preserve">וכתב </w:t>
      </w:r>
      <w:r>
        <w:rPr>
          <w:rStyle w:val="af8"/>
          <w:rtl/>
        </w:rPr>
        <w:t xml:space="preserve">הרא"ש </w:t>
      </w:r>
      <w:r>
        <w:rPr>
          <w:rFonts w:hint="cs"/>
          <w:rtl/>
        </w:rPr>
        <w:t xml:space="preserve">דא"א לומר דבחתיכה הראויה להתכבד, דכל מה דמדרבנן לא מהני ביטול ברוב הוא רק בספק אחד, דהיינו בתערובת הראשונה כשאוכלם אחד אחד, אך בתערובת השניה שהוא ספק ספיקא מותר לאוכלם שנים שנים ואסור לאכול את כולם כאחד, וביאר </w:t>
      </w:r>
      <w:r>
        <w:rPr>
          <w:rStyle w:val="af8"/>
          <w:rtl/>
        </w:rPr>
        <w:t>המהר"ם מרוטנבורג בתשו'</w:t>
      </w:r>
      <w:r>
        <w:rPr>
          <w:rFonts w:hint="cs"/>
          <w:rtl/>
        </w:rPr>
        <w:t xml:space="preserve"> </w:t>
      </w:r>
      <w:r w:rsidRPr="009F44AF">
        <w:rPr>
          <w:rStyle w:val="af6"/>
          <w:rFonts w:eastAsia="Guttman Hodes" w:hint="cs"/>
          <w:rtl/>
        </w:rPr>
        <w:t>(הובאה בשו"ת הרשב"א ח"א סי' תש"ל)</w:t>
      </w:r>
      <w:r>
        <w:rPr>
          <w:rFonts w:hint="cs"/>
          <w:rtl/>
        </w:rPr>
        <w:t xml:space="preserve"> דכן מצינו ברימוני בדן דמדרבנן לא מהני ביטול ברוב, ובתערובת השניה אסור לאכול את כולם יחד, [כדביאר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Ref23850381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לא</w:t>
      </w:r>
      <w:r w:rsidR="004D1C5B">
        <w:rPr>
          <w:rStyle w:val="af6"/>
          <w:rFonts w:eastAsia="Guttman Hodes"/>
          <w:rtl/>
        </w:rPr>
        <w:t>)</w:t>
      </w:r>
      <w:r>
        <w:rPr>
          <w:rFonts w:hint="cs"/>
          <w:rtl/>
        </w:rPr>
        <w:fldChar w:fldCharType="end"/>
      </w:r>
      <w:r>
        <w:rPr>
          <w:rFonts w:hint="cs"/>
          <w:rtl/>
        </w:rPr>
        <w:t xml:space="preserve"> דבאוכל הכל יחד יש רק ספק אחד], ורק בתערובת השלישית שתמיד יש ספק ספיקא מותר לאכול את כל התערובת יחד, וה"ה בחתיכה הראויה להתכבד נאמר דאסרו רבנן בספק אחד והתירו בספק ספיקא.</w:t>
      </w:r>
    </w:p>
    <w:p w:rsidR="0028438A" w:rsidRDefault="0028438A" w:rsidP="0028438A">
      <w:pPr>
        <w:pStyle w:val="a2"/>
        <w:rPr>
          <w:rtl/>
        </w:rPr>
      </w:pPr>
      <w:bookmarkStart w:id="13245" w:name="_Toc23984281"/>
      <w:bookmarkStart w:id="13246" w:name="_Toc23972116"/>
      <w:bookmarkStart w:id="13247" w:name="_Toc23960302"/>
      <w:bookmarkStart w:id="13248" w:name="_Toc23945709"/>
      <w:bookmarkStart w:id="13249" w:name="_Toc23887348"/>
      <w:bookmarkStart w:id="13250" w:name="_Toc23850457"/>
      <w:r>
        <w:rPr>
          <w:rFonts w:hint="cs"/>
          <w:rtl/>
        </w:rPr>
        <w:t>דברי הרא"ש דהיה אפש"ל דבחתיכה הראויה להתכבד התירו ספק אחד ואסרו בבת אחת</w:t>
      </w:r>
      <w:bookmarkEnd w:id="13245"/>
      <w:bookmarkEnd w:id="13246"/>
      <w:bookmarkEnd w:id="13247"/>
      <w:bookmarkEnd w:id="13248"/>
      <w:bookmarkEnd w:id="13249"/>
      <w:bookmarkEnd w:id="13250"/>
    </w:p>
    <w:p w:rsidR="0028438A" w:rsidRDefault="0028438A" w:rsidP="009F44AF">
      <w:pPr>
        <w:pStyle w:val="a"/>
        <w:numPr>
          <w:ilvl w:val="0"/>
          <w:numId w:val="17"/>
        </w:numPr>
      </w:pPr>
      <w:bookmarkStart w:id="13251" w:name="_Ref23984673"/>
      <w:r>
        <w:rPr>
          <w:rFonts w:hint="cs"/>
          <w:rtl/>
        </w:rPr>
        <w:t xml:space="preserve">וכתב </w:t>
      </w:r>
      <w:r>
        <w:rPr>
          <w:rStyle w:val="af8"/>
          <w:rtl/>
        </w:rPr>
        <w:t>הרא"ש</w:t>
      </w:r>
      <w:r>
        <w:rPr>
          <w:rFonts w:hint="cs"/>
          <w:rtl/>
        </w:rPr>
        <w:t xml:space="preserve"> דלפי"ז היה אפש"ל בחתיכה שאינה ראויה להתכבד דמהני ביטול ברוב אף מדרבנן, כל ההיתר הוא דהתירו רבנן אפילו בספק אחד שהוא התערובת הראשונה, אך מ"מ ההיתר הוא דוקא כשאוכלם אחת אחת, אבל אסור לאכול את כולם יחד.</w:t>
      </w:r>
      <w:bookmarkEnd w:id="13251"/>
    </w:p>
    <w:p w:rsidR="0028438A" w:rsidRDefault="0028438A" w:rsidP="0028438A">
      <w:pPr>
        <w:pStyle w:val="a2"/>
        <w:rPr>
          <w:rtl/>
        </w:rPr>
      </w:pPr>
      <w:bookmarkStart w:id="13252" w:name="_Toc23984282"/>
      <w:bookmarkStart w:id="13253" w:name="_Toc23972117"/>
      <w:bookmarkStart w:id="13254" w:name="_Toc23960303"/>
      <w:bookmarkStart w:id="13255" w:name="_Toc23945710"/>
      <w:bookmarkStart w:id="13256" w:name="_Toc23887349"/>
      <w:bookmarkStart w:id="13257" w:name="_Toc23850458"/>
      <w:r>
        <w:rPr>
          <w:rFonts w:hint="cs"/>
          <w:rtl/>
        </w:rPr>
        <w:lastRenderedPageBreak/>
        <w:t>דחיית הרא"ש דבגמ' מבואר דחתיכה שאינה ראויה להתכבד מותרת ברוב לגמרי ולא מספק</w:t>
      </w:r>
      <w:bookmarkEnd w:id="13252"/>
      <w:bookmarkEnd w:id="13253"/>
      <w:bookmarkEnd w:id="13254"/>
      <w:bookmarkEnd w:id="13255"/>
      <w:bookmarkEnd w:id="13256"/>
      <w:bookmarkEnd w:id="13257"/>
    </w:p>
    <w:p w:rsidR="0028438A" w:rsidRDefault="0028438A" w:rsidP="009F44AF">
      <w:pPr>
        <w:pStyle w:val="a"/>
        <w:numPr>
          <w:ilvl w:val="0"/>
          <w:numId w:val="17"/>
        </w:numPr>
        <w:rPr>
          <w:rtl/>
        </w:rPr>
      </w:pPr>
      <w:bookmarkStart w:id="13258" w:name="_Ref23882342"/>
      <w:r>
        <w:rPr>
          <w:rFonts w:hint="cs"/>
          <w:rtl/>
        </w:rPr>
        <w:t xml:space="preserve">וביאר </w:t>
      </w:r>
      <w:r>
        <w:rPr>
          <w:rStyle w:val="af8"/>
          <w:rtl/>
        </w:rPr>
        <w:t xml:space="preserve">הרא"ש </w:t>
      </w:r>
      <w:r>
        <w:rPr>
          <w:rFonts w:hint="cs"/>
          <w:rtl/>
        </w:rPr>
        <w:t xml:space="preserve">דא"א לומר כן, דהא היה לגמ' לפרש באיזה מקום, שיש איסור בחתיכה שאינה ראויה להתכבד, כמו שפירשה הגמ' שיש איסור ברימוני בדן ובכוס של ע"ז בתערובת הראשונה, ויש היתר בתערובת השניה, וכן היה לגמ'  לפרש דבחתיכה שאינה ראויה להתכבד מותר לאוכלם כל אחת בפנ"ע דהוא מותר מספק, ואסור לאוכלם יחד דודאי אוכל את האיסור, וכתב </w:t>
      </w:r>
      <w:r>
        <w:rPr>
          <w:rStyle w:val="af8"/>
          <w:rtl/>
        </w:rPr>
        <w:t>הרא"ש</w:t>
      </w:r>
      <w:r>
        <w:rPr>
          <w:rFonts w:hint="cs"/>
          <w:rtl/>
        </w:rPr>
        <w:t xml:space="preserve"> דכיון דגם בגמ' בסוגיין וגם בגמ' בזבחים </w:t>
      </w:r>
      <w:r w:rsidRPr="009F44AF">
        <w:rPr>
          <w:rStyle w:val="af6"/>
          <w:rFonts w:eastAsia="Guttman Hodes" w:hint="cs"/>
          <w:rtl/>
        </w:rPr>
        <w:t>(עב.)</w:t>
      </w:r>
      <w:r>
        <w:rPr>
          <w:rFonts w:hint="cs"/>
          <w:rtl/>
        </w:rPr>
        <w:t xml:space="preserve"> מקשה שיועיל ביטול ברוב, מבואר דבמקום שמהני ביטול דהיינו בחתיכה שאינה ראויה להתכבד, הוא מותר לגמרי, דלשון ביטול משמע היתר גמור, כמו איסור שהתבטל בשישים או במאה.</w:t>
      </w:r>
      <w:bookmarkEnd w:id="13258"/>
      <w:r>
        <w:rPr>
          <w:rFonts w:hint="cs"/>
          <w:rtl/>
        </w:rPr>
        <w:t xml:space="preserve"> [ועי' במ"ש </w:t>
      </w:r>
      <w:r>
        <w:rPr>
          <w:rStyle w:val="af8"/>
          <w:rtl/>
        </w:rPr>
        <w:t>היד יהודה</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Ref23958106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פב</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 דלדעת </w:t>
      </w:r>
      <w:r>
        <w:rPr>
          <w:rStyle w:val="af8"/>
          <w:rtl/>
        </w:rPr>
        <w:t>הרא"ה והר"ן</w:t>
      </w:r>
      <w:r>
        <w:rPr>
          <w:rFonts w:hint="cs"/>
          <w:rtl/>
        </w:rPr>
        <w:t xml:space="preserve"> מתורצת קושית </w:t>
      </w:r>
      <w:r>
        <w:rPr>
          <w:rStyle w:val="af8"/>
          <w:rtl/>
        </w:rPr>
        <w:t>הרא"ש</w:t>
      </w:r>
      <w:r>
        <w:rPr>
          <w:rFonts w:hint="cs"/>
          <w:rtl/>
        </w:rPr>
        <w:t xml:space="preserve"> על </w:t>
      </w:r>
      <w:r>
        <w:rPr>
          <w:rStyle w:val="af8"/>
          <w:rtl/>
        </w:rPr>
        <w:t>הרשב"א</w:t>
      </w:r>
      <w:r>
        <w:rPr>
          <w:rFonts w:hint="cs"/>
          <w:rtl/>
        </w:rPr>
        <w:t>].</w:t>
      </w:r>
    </w:p>
    <w:p w:rsidR="0028438A" w:rsidRDefault="0028438A" w:rsidP="00DA6853">
      <w:pPr>
        <w:pStyle w:val="1"/>
        <w:rPr>
          <w:rtl/>
        </w:rPr>
      </w:pPr>
      <w:bookmarkStart w:id="13259" w:name="_Toc23984283"/>
      <w:bookmarkStart w:id="13260" w:name="_Toc23972118"/>
      <w:bookmarkStart w:id="13261" w:name="_Toc23960304"/>
      <w:bookmarkStart w:id="13262" w:name="_Toc23945711"/>
      <w:bookmarkStart w:id="13263" w:name="_Toc23887350"/>
      <w:bookmarkStart w:id="13264" w:name="_Toc23850459"/>
      <w:r>
        <w:rPr>
          <w:rFonts w:hint="cs"/>
          <w:rtl/>
        </w:rPr>
        <w:t>דברי הרא"ש דתערובת שהותרה וחזר ובישלה יחד מותר</w:t>
      </w:r>
      <w:bookmarkEnd w:id="13259"/>
      <w:bookmarkEnd w:id="13260"/>
      <w:bookmarkEnd w:id="13261"/>
      <w:bookmarkEnd w:id="13262"/>
      <w:bookmarkEnd w:id="13263"/>
      <w:bookmarkEnd w:id="13264"/>
      <w:r>
        <w:rPr>
          <w:rFonts w:hint="cs"/>
          <w:rtl/>
        </w:rPr>
        <w:t xml:space="preserve"> </w:t>
      </w:r>
    </w:p>
    <w:p w:rsidR="0028438A" w:rsidRDefault="0028438A" w:rsidP="0028438A">
      <w:pPr>
        <w:pStyle w:val="a2"/>
        <w:rPr>
          <w:b/>
          <w:bCs/>
          <w:rtl/>
        </w:rPr>
      </w:pPr>
      <w:bookmarkStart w:id="13265" w:name="_Toc23984284"/>
      <w:bookmarkStart w:id="13266" w:name="_Toc23972119"/>
      <w:bookmarkStart w:id="13267" w:name="_Toc23960305"/>
      <w:bookmarkStart w:id="13268" w:name="_Toc23945712"/>
      <w:bookmarkStart w:id="13269" w:name="_Toc23887351"/>
      <w:bookmarkStart w:id="13270" w:name="_Toc23850460"/>
      <w:r>
        <w:rPr>
          <w:rFonts w:hint="cs"/>
          <w:rtl/>
        </w:rPr>
        <w:t>דברי הרא"ש דאחר שהותרה התערובת אם חזר ובישלה מותר אף שהאיסור נתן טעם בהיתר</w:t>
      </w:r>
      <w:bookmarkEnd w:id="13265"/>
      <w:bookmarkEnd w:id="13266"/>
      <w:bookmarkEnd w:id="13267"/>
      <w:bookmarkEnd w:id="13268"/>
      <w:bookmarkEnd w:id="13269"/>
      <w:bookmarkEnd w:id="13270"/>
    </w:p>
    <w:p w:rsidR="0028438A" w:rsidRDefault="0028438A" w:rsidP="009F44AF">
      <w:pPr>
        <w:pStyle w:val="a"/>
        <w:numPr>
          <w:ilvl w:val="0"/>
          <w:numId w:val="17"/>
        </w:numPr>
      </w:pPr>
      <w:bookmarkStart w:id="13271" w:name="_Ref23930562"/>
      <w:r>
        <w:rPr>
          <w:rFonts w:hint="cs"/>
          <w:rtl/>
        </w:rPr>
        <w:t xml:space="preserve">וכתב </w:t>
      </w:r>
      <w:r>
        <w:rPr>
          <w:rStyle w:val="af8"/>
          <w:rtl/>
        </w:rPr>
        <w:t>הרא"ש</w:t>
      </w:r>
      <w:r>
        <w:rPr>
          <w:rFonts w:hint="cs"/>
          <w:rtl/>
        </w:rPr>
        <w:t xml:space="preserve"> דאם לאחר שהותרה התערובת ביבש ביבש לגמרי, חזר ובישל את כל החתיכות יחד או שבישל את החתיכות של התערובות עם חתיכות אחרות של היתר, דהכל מותר, ולא אמרינן דכל ההיתר הוא רק ביבש ביבש, אבל אחר שבישלם פלט האיסור טעם בהיתר ואסר את כל התערובת, וצריך שישים להתיר, אלא אף אחר הבישול הכל מותר.</w:t>
      </w:r>
      <w:bookmarkEnd w:id="13271"/>
    </w:p>
    <w:p w:rsidR="0028438A" w:rsidRDefault="0028438A" w:rsidP="0028438A">
      <w:pPr>
        <w:pStyle w:val="a2"/>
        <w:rPr>
          <w:rtl/>
        </w:rPr>
      </w:pPr>
      <w:bookmarkStart w:id="13272" w:name="_Toc23984285"/>
      <w:bookmarkStart w:id="13273" w:name="_Toc23972120"/>
      <w:bookmarkStart w:id="13274" w:name="_Toc23960306"/>
      <w:bookmarkStart w:id="13275" w:name="_Toc23945713"/>
      <w:bookmarkStart w:id="13276" w:name="_Toc23887352"/>
      <w:bookmarkStart w:id="13277" w:name="_Toc23850461"/>
      <w:r>
        <w:rPr>
          <w:rFonts w:hint="cs"/>
          <w:rtl/>
        </w:rPr>
        <w:t>הוכחת הרא"ש דלא מצינו דבר שהוא מותר וצירו אסור ואדרבה בדג טמא מצינו להיפך</w:t>
      </w:r>
      <w:bookmarkEnd w:id="13272"/>
      <w:bookmarkEnd w:id="13273"/>
      <w:bookmarkEnd w:id="13274"/>
      <w:bookmarkEnd w:id="13275"/>
      <w:bookmarkEnd w:id="13276"/>
      <w:bookmarkEnd w:id="13277"/>
    </w:p>
    <w:p w:rsidR="0028438A" w:rsidRDefault="0028438A" w:rsidP="009F44AF">
      <w:pPr>
        <w:pStyle w:val="a"/>
        <w:numPr>
          <w:ilvl w:val="0"/>
          <w:numId w:val="17"/>
        </w:numPr>
        <w:rPr>
          <w:rtl/>
        </w:rPr>
      </w:pPr>
      <w:bookmarkStart w:id="13278" w:name="_Ref23959069"/>
      <w:r>
        <w:rPr>
          <w:rFonts w:hint="cs"/>
          <w:rtl/>
        </w:rPr>
        <w:t xml:space="preserve">וכתב </w:t>
      </w:r>
      <w:r>
        <w:rPr>
          <w:rStyle w:val="af8"/>
          <w:rtl/>
        </w:rPr>
        <w:t>הרא"ש</w:t>
      </w:r>
      <w:r>
        <w:rPr>
          <w:rFonts w:hint="cs"/>
          <w:rtl/>
        </w:rPr>
        <w:t xml:space="preserve"> דכן מוכח דהא לא מצינו דבר שמותר לאוכלו, ואסור לאכול את הציר שלו, ולהיפך מצינו בגמ' בע"ז </w:t>
      </w:r>
      <w:r w:rsidRPr="009F44AF">
        <w:rPr>
          <w:rStyle w:val="af6"/>
          <w:rFonts w:eastAsia="Guttman Hodes" w:hint="cs"/>
          <w:rtl/>
        </w:rPr>
        <w:t>(מ:)</w:t>
      </w:r>
      <w:r>
        <w:rPr>
          <w:rFonts w:hint="cs"/>
          <w:rtl/>
        </w:rPr>
        <w:t xml:space="preserve"> בדג טמא שהוא אסור וצירו מותר מדאו', אך לא יתכן שדבר שהוא מותר, הפליטה שלו אוסרת.</w:t>
      </w:r>
      <w:bookmarkEnd w:id="13278"/>
      <w:r>
        <w:rPr>
          <w:rFonts w:hint="cs"/>
          <w:rtl/>
        </w:rPr>
        <w:t xml:space="preserve"> [ועי' במה שהקשה </w:t>
      </w:r>
      <w:r>
        <w:rPr>
          <w:rStyle w:val="af8"/>
          <w:rtl/>
        </w:rPr>
        <w:t>היש"ש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Ref21598737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קכב</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על </w:t>
      </w:r>
      <w:r>
        <w:rPr>
          <w:rStyle w:val="af8"/>
          <w:rtl/>
        </w:rPr>
        <w:t>הרא"ש</w:t>
      </w:r>
      <w:r>
        <w:rPr>
          <w:rFonts w:hint="cs"/>
          <w:rtl/>
        </w:rPr>
        <w:t xml:space="preserve"> דבחזר ובישל עדיין צריך לגזור ולאסור מחמת הגזירה דאטו מין בשאינו מינו, ובמה שביאר </w:t>
      </w:r>
      <w:r>
        <w:rPr>
          <w:rStyle w:val="af8"/>
          <w:rtl/>
        </w:rPr>
        <w:t>השער"י</w:t>
      </w:r>
      <w:r>
        <w:rPr>
          <w:rFonts w:hint="cs"/>
          <w:rtl/>
        </w:rPr>
        <w:t xml:space="preserve"> בדברי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Ref23959130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קכא</w:t>
      </w:r>
      <w:r w:rsidR="004D1C5B">
        <w:rPr>
          <w:rStyle w:val="af6"/>
          <w:rFonts w:eastAsia="Guttman Hodes"/>
          <w:rtl/>
        </w:rPr>
        <w:t>)</w:t>
      </w:r>
      <w:r>
        <w:rPr>
          <w:rFonts w:hint="cs"/>
          <w:rtl/>
        </w:rPr>
        <w:fldChar w:fldCharType="end"/>
      </w:r>
      <w:r>
        <w:rPr>
          <w:rFonts w:hint="cs"/>
          <w:rtl/>
        </w:rPr>
        <w:t>].</w:t>
      </w:r>
    </w:p>
    <w:p w:rsidR="0028438A" w:rsidRDefault="0028438A" w:rsidP="00DA6853">
      <w:pPr>
        <w:pStyle w:val="1"/>
        <w:rPr>
          <w:rtl/>
        </w:rPr>
      </w:pPr>
      <w:bookmarkStart w:id="13279" w:name="_Toc23984286"/>
      <w:bookmarkStart w:id="13280" w:name="_Toc23972121"/>
      <w:bookmarkStart w:id="13281" w:name="_Toc23960307"/>
      <w:bookmarkStart w:id="13282" w:name="_Toc23945714"/>
      <w:r>
        <w:rPr>
          <w:rFonts w:hint="cs"/>
          <w:rtl/>
        </w:rPr>
        <w:t>ביאור היד יהודה ברא"ש דשישים לא נאמר ביבש והותר לגמרי</w:t>
      </w:r>
      <w:bookmarkEnd w:id="13279"/>
      <w:bookmarkEnd w:id="13280"/>
      <w:bookmarkEnd w:id="13281"/>
      <w:bookmarkEnd w:id="13282"/>
    </w:p>
    <w:p w:rsidR="0028438A" w:rsidRDefault="0028438A" w:rsidP="0028438A">
      <w:pPr>
        <w:pStyle w:val="a2"/>
        <w:rPr>
          <w:b/>
          <w:bCs/>
          <w:rtl/>
        </w:rPr>
      </w:pPr>
      <w:bookmarkStart w:id="13283" w:name="_Toc23984287"/>
      <w:bookmarkStart w:id="13284" w:name="_Toc23972122"/>
      <w:bookmarkStart w:id="13285" w:name="_Toc23960308"/>
      <w:bookmarkStart w:id="13286" w:name="_Toc23945715"/>
      <w:bookmarkStart w:id="13287" w:name="_Toc23887353"/>
      <w:bookmarkStart w:id="13288" w:name="_Toc23850462"/>
      <w:bookmarkStart w:id="13289" w:name="_Toc23799262"/>
      <w:bookmarkStart w:id="13290" w:name="_Toc23712664"/>
      <w:bookmarkStart w:id="13291" w:name="_Toc23372626"/>
      <w:bookmarkStart w:id="13292" w:name="_Toc23223989"/>
      <w:bookmarkStart w:id="13293" w:name="_Toc22638910"/>
      <w:bookmarkStart w:id="13294" w:name="_Toc22250684"/>
      <w:bookmarkStart w:id="13295" w:name="_Toc21094840"/>
      <w:bookmarkStart w:id="13296" w:name="_Toc20603910"/>
      <w:bookmarkStart w:id="13297" w:name="_Toc20500697"/>
      <w:r>
        <w:rPr>
          <w:rFonts w:hint="cs"/>
          <w:rtl/>
        </w:rPr>
        <w:t>ביאור היד יהודה ברא"ש דביבש אין דין שישים כלל והותר לגמרי אף אם חזר ובישל ונעשה לח</w:t>
      </w:r>
      <w:bookmarkEnd w:id="13283"/>
      <w:bookmarkEnd w:id="13284"/>
      <w:bookmarkEnd w:id="13285"/>
      <w:bookmarkEnd w:id="13286"/>
    </w:p>
    <w:p w:rsidR="0028438A" w:rsidRDefault="0028438A" w:rsidP="009F44AF">
      <w:pPr>
        <w:pStyle w:val="a"/>
        <w:numPr>
          <w:ilvl w:val="0"/>
          <w:numId w:val="17"/>
        </w:numPr>
        <w:rPr>
          <w:rStyle w:val="afa"/>
        </w:rPr>
      </w:pPr>
      <w:bookmarkStart w:id="13298" w:name="_Ref23984697"/>
      <w:r>
        <w:rPr>
          <w:rFonts w:hint="cs"/>
          <w:rtl/>
        </w:rPr>
        <w:t xml:space="preserve">וביאר </w:t>
      </w:r>
      <w:r>
        <w:rPr>
          <w:rStyle w:val="af8"/>
          <w:rtl/>
        </w:rPr>
        <w:t>היד יהודה</w:t>
      </w:r>
      <w:r>
        <w:rPr>
          <w:rFonts w:hint="cs"/>
          <w:rtl/>
        </w:rPr>
        <w:t xml:space="preserve"> </w:t>
      </w:r>
      <w:r w:rsidRPr="009F44AF">
        <w:rPr>
          <w:rStyle w:val="af6"/>
          <w:rFonts w:eastAsia="Guttman Hodes" w:hint="cs"/>
          <w:rtl/>
        </w:rPr>
        <w:t>(סי' ק"ט סוס"ק ה', סי' ס"ט ס"ק ס"א ד"ה אבל הר"ם)</w:t>
      </w:r>
      <w:r>
        <w:rPr>
          <w:rFonts w:hint="cs"/>
          <w:rtl/>
        </w:rPr>
        <w:t xml:space="preserve"> דס"ל </w:t>
      </w:r>
      <w:r>
        <w:rPr>
          <w:rStyle w:val="af8"/>
          <w:rtl/>
        </w:rPr>
        <w:t>להרא"ש</w:t>
      </w:r>
      <w:r>
        <w:rPr>
          <w:rFonts w:hint="cs"/>
          <w:rtl/>
        </w:rPr>
        <w:t xml:space="preserve"> דרבנן לא גזרו גזירת שישים ביבש כלל, והעמידוהו על דין תורה דבטל בחד בתרי, ורק בלח נאמר דין שישים, כיון שבמין בשאינו מינו יש בו נתינת טעם, ולכן אף כשבישל את היבש ונעשה לח, לא שייך בו דין שישים דנבטל והותר לגמרי, ומותר אף לחזור ולבשלו לכתחילה. </w:t>
      </w:r>
      <w:r>
        <w:rPr>
          <w:rStyle w:val="afa"/>
          <w:rtl/>
        </w:rPr>
        <w:t xml:space="preserve">[ועי' במה שביאר </w:t>
      </w:r>
      <w:r>
        <w:rPr>
          <w:rStyle w:val="affa"/>
          <w:rtl/>
        </w:rPr>
        <w:t>היד יהודה</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Ref23956571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עד)</w:t>
      </w:r>
      <w:r>
        <w:rPr>
          <w:rFonts w:hint="cs"/>
          <w:rtl/>
        </w:rPr>
        <w:fldChar w:fldCharType="end"/>
      </w:r>
      <w:r>
        <w:rPr>
          <w:rStyle w:val="afa"/>
          <w:rtl/>
        </w:rPr>
        <w:t xml:space="preserve"> בדעת </w:t>
      </w:r>
      <w:r>
        <w:rPr>
          <w:rStyle w:val="affa"/>
          <w:rtl/>
        </w:rPr>
        <w:t>הרשב"א</w:t>
      </w:r>
      <w:r>
        <w:rPr>
          <w:rStyle w:val="afa"/>
          <w:rtl/>
        </w:rPr>
        <w:t xml:space="preserve">, ובדעת </w:t>
      </w:r>
      <w:r>
        <w:rPr>
          <w:rStyle w:val="affa"/>
          <w:rtl/>
        </w:rPr>
        <w:t>הרא"ה</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Ref23957674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עט)</w:t>
      </w:r>
      <w:r>
        <w:rPr>
          <w:rFonts w:hint="cs"/>
          <w:rtl/>
        </w:rPr>
        <w:fldChar w:fldCharType="end"/>
      </w:r>
      <w:r>
        <w:rPr>
          <w:rStyle w:val="afa"/>
          <w:rtl/>
        </w:rPr>
        <w:t>].</w:t>
      </w:r>
      <w:bookmarkEnd w:id="13298"/>
    </w:p>
    <w:p w:rsidR="0028438A" w:rsidRDefault="0028438A" w:rsidP="00E669F8">
      <w:pPr>
        <w:pStyle w:val="afd"/>
        <w:rPr>
          <w:noProof w:val="0"/>
          <w:sz w:val="18"/>
        </w:rPr>
      </w:pPr>
      <w:bookmarkStart w:id="13299" w:name="_Toc23984288"/>
      <w:bookmarkStart w:id="13300" w:name="_Toc23972123"/>
      <w:bookmarkStart w:id="13301" w:name="_Toc23960309"/>
      <w:bookmarkStart w:id="13302" w:name="_Toc23945716"/>
      <w:r>
        <w:rPr>
          <w:rFonts w:hint="cs"/>
          <w:rtl/>
        </w:rPr>
        <w:t>דברי הרשב"א</w:t>
      </w:r>
      <w:bookmarkEnd w:id="13287"/>
      <w:bookmarkEnd w:id="13288"/>
      <w:bookmarkEnd w:id="13289"/>
      <w:bookmarkEnd w:id="13290"/>
      <w:bookmarkEnd w:id="13291"/>
      <w:bookmarkEnd w:id="13292"/>
      <w:bookmarkEnd w:id="13293"/>
      <w:bookmarkEnd w:id="13294"/>
      <w:bookmarkEnd w:id="13295"/>
      <w:r>
        <w:rPr>
          <w:rFonts w:hint="cs"/>
          <w:rtl/>
        </w:rPr>
        <w:t xml:space="preserve"> דאסור לאכול בבת אחת</w:t>
      </w:r>
      <w:bookmarkEnd w:id="13299"/>
      <w:bookmarkEnd w:id="13300"/>
      <w:bookmarkEnd w:id="13301"/>
      <w:bookmarkEnd w:id="13302"/>
    </w:p>
    <w:p w:rsidR="0028438A" w:rsidRDefault="0028438A" w:rsidP="00DA6853">
      <w:pPr>
        <w:pStyle w:val="1"/>
        <w:rPr>
          <w:rtl/>
        </w:rPr>
      </w:pPr>
      <w:bookmarkStart w:id="13303" w:name="_Toc23984289"/>
      <w:bookmarkStart w:id="13304" w:name="_Toc23972124"/>
      <w:bookmarkStart w:id="13305" w:name="_Toc23960310"/>
      <w:bookmarkStart w:id="13306" w:name="_Toc23945717"/>
      <w:r>
        <w:rPr>
          <w:rFonts w:hint="cs"/>
          <w:rtl/>
        </w:rPr>
        <w:t>דברי הרשב"א דהיתר יבש רק בכ"א בפנ"ע דאינה ודאי איסור</w:t>
      </w:r>
      <w:bookmarkEnd w:id="13303"/>
      <w:bookmarkEnd w:id="13304"/>
      <w:bookmarkEnd w:id="13305"/>
      <w:bookmarkEnd w:id="13306"/>
    </w:p>
    <w:p w:rsidR="0028438A" w:rsidRDefault="0028438A" w:rsidP="0028438A">
      <w:pPr>
        <w:pStyle w:val="a2"/>
        <w:rPr>
          <w:b/>
          <w:bCs/>
          <w:rtl/>
        </w:rPr>
      </w:pPr>
      <w:bookmarkStart w:id="13307" w:name="_Toc23984290"/>
      <w:bookmarkStart w:id="13308" w:name="_Toc23972125"/>
      <w:bookmarkStart w:id="13309" w:name="_Toc23960311"/>
      <w:bookmarkStart w:id="13310" w:name="_Toc23945718"/>
      <w:r>
        <w:rPr>
          <w:rFonts w:hint="cs"/>
          <w:rtl/>
        </w:rPr>
        <w:t>דברי הרשב"א דרק בלח שא"א להפריד את החתיכות צריך שישים אף במינו שאין טעם איסור</w:t>
      </w:r>
      <w:bookmarkEnd w:id="13307"/>
      <w:bookmarkEnd w:id="13308"/>
      <w:bookmarkEnd w:id="13309"/>
      <w:bookmarkEnd w:id="13310"/>
    </w:p>
    <w:p w:rsidR="0028438A" w:rsidRDefault="0028438A" w:rsidP="009F44AF">
      <w:pPr>
        <w:pStyle w:val="a"/>
        <w:numPr>
          <w:ilvl w:val="0"/>
          <w:numId w:val="17"/>
        </w:numPr>
        <w:rPr>
          <w:rStyle w:val="afa"/>
          <w:rtl/>
        </w:rPr>
      </w:pPr>
      <w:bookmarkStart w:id="13311" w:name="_Ref23930604"/>
      <w:r>
        <w:rPr>
          <w:rFonts w:hint="cs"/>
          <w:rtl/>
        </w:rPr>
        <w:t xml:space="preserve">כתב </w:t>
      </w:r>
      <w:r>
        <w:rPr>
          <w:rStyle w:val="af8"/>
          <w:rtl/>
        </w:rPr>
        <w:t>הרשב"א בתוה"ב</w:t>
      </w:r>
      <w:r>
        <w:rPr>
          <w:rFonts w:hint="cs"/>
          <w:rtl/>
        </w:rPr>
        <w:t xml:space="preserve"> </w:t>
      </w:r>
      <w:r w:rsidRPr="009F44AF">
        <w:rPr>
          <w:rStyle w:val="af6"/>
          <w:rFonts w:eastAsia="Guttman Hodes" w:hint="cs"/>
          <w:rtl/>
        </w:rPr>
        <w:t>(ב"ד ש"א יז. מדה"ס)</w:t>
      </w:r>
      <w:r>
        <w:rPr>
          <w:rFonts w:hint="cs"/>
          <w:rtl/>
        </w:rPr>
        <w:t xml:space="preserve"> דמבואר בסוגיין דבמין במינו ביבש ביבש מהני ביטול בחד בתרי ואף מדרבנן א"צ שישים, וביאר </w:t>
      </w:r>
      <w:r>
        <w:rPr>
          <w:rStyle w:val="af8"/>
          <w:rtl/>
        </w:rPr>
        <w:t>הרשב"א בתוה"ב</w:t>
      </w:r>
      <w:r>
        <w:rPr>
          <w:rFonts w:hint="cs"/>
          <w:rtl/>
        </w:rPr>
        <w:t xml:space="preserve"> דהא דהצריכו רבנן שישים בלח בלח, הוא כיון שא"א להפריד את החתיכות ולאכול כל חתיכה בפנ"ע, ובפחות משישים הטעם של האיסור מורגש בכל התערובת, והא דבלח בלח הצריכו רבנן שישים אף במין במינו, אעפ"י שטעם האיסור אינו מורגש בו, דמ"מ החמירו רבנן ואסרוהו בפחות משישים, כיון שבכנגדו בלח בלח במין בשאינו מינו הטעם מורגש בו. </w:t>
      </w:r>
      <w:r>
        <w:rPr>
          <w:rStyle w:val="afa"/>
          <w:rtl/>
        </w:rPr>
        <w:t xml:space="preserve">[ועי' במה שביארו </w:t>
      </w:r>
      <w:r>
        <w:rPr>
          <w:rStyle w:val="affa"/>
          <w:rtl/>
        </w:rPr>
        <w:t>הפרמ"ג</w:t>
      </w:r>
      <w:r>
        <w:rPr>
          <w:rStyle w:val="afa"/>
          <w:rtl/>
        </w:rPr>
        <w:t xml:space="preserve"> </w:t>
      </w:r>
      <w:r>
        <w:rPr>
          <w:rStyle w:val="aff6"/>
          <w:rtl/>
        </w:rPr>
        <w:t>(</w:t>
      </w:r>
      <w:r w:rsidR="00D3196A">
        <w:rPr>
          <w:rStyle w:val="aff6"/>
          <w:rtl/>
        </w:rPr>
        <w:t>הובא בסימן</w:t>
      </w:r>
      <w:r>
        <w:rPr>
          <w:rStyle w:val="aff6"/>
          <w:rtl/>
        </w:rPr>
        <w:t xml:space="preserve"> ט"ז אות פ"א)</w:t>
      </w:r>
      <w:r>
        <w:rPr>
          <w:rStyle w:val="afa"/>
          <w:rtl/>
        </w:rPr>
        <w:t xml:space="preserve"> </w:t>
      </w:r>
      <w:r>
        <w:rPr>
          <w:rStyle w:val="affa"/>
          <w:rtl/>
        </w:rPr>
        <w:t>והאבנ"מ</w:t>
      </w:r>
      <w:r>
        <w:rPr>
          <w:rStyle w:val="afa"/>
          <w:rtl/>
        </w:rPr>
        <w:t xml:space="preserve"> </w:t>
      </w:r>
      <w:r>
        <w:rPr>
          <w:rStyle w:val="aff6"/>
          <w:rtl/>
        </w:rPr>
        <w:t>(</w:t>
      </w:r>
      <w:r w:rsidR="00D3196A">
        <w:rPr>
          <w:rStyle w:val="aff6"/>
          <w:rtl/>
        </w:rPr>
        <w:t>הובא בסימן</w:t>
      </w:r>
      <w:r>
        <w:rPr>
          <w:rStyle w:val="aff6"/>
          <w:rtl/>
        </w:rPr>
        <w:t xml:space="preserve"> ט"ז אות פ"ד)</w:t>
      </w:r>
      <w:r>
        <w:rPr>
          <w:rStyle w:val="afa"/>
          <w:rtl/>
        </w:rPr>
        <w:t xml:space="preserve"> בדברי </w:t>
      </w:r>
      <w:r>
        <w:rPr>
          <w:rStyle w:val="affa"/>
          <w:rtl/>
        </w:rPr>
        <w:t>הרשב"א</w:t>
      </w:r>
      <w:r>
        <w:rPr>
          <w:rStyle w:val="afa"/>
          <w:rtl/>
        </w:rPr>
        <w:t>].</w:t>
      </w:r>
      <w:bookmarkEnd w:id="13311"/>
    </w:p>
    <w:p w:rsidR="0028438A" w:rsidRDefault="0028438A" w:rsidP="0028438A">
      <w:pPr>
        <w:pStyle w:val="a2"/>
        <w:rPr>
          <w:rtl/>
        </w:rPr>
      </w:pPr>
      <w:bookmarkStart w:id="13312" w:name="_Toc23984291"/>
      <w:bookmarkStart w:id="13313" w:name="_Toc23972126"/>
      <w:bookmarkStart w:id="13314" w:name="_Toc23960312"/>
      <w:bookmarkStart w:id="13315" w:name="_Toc23945719"/>
      <w:r>
        <w:rPr>
          <w:rFonts w:hint="cs"/>
          <w:rtl/>
        </w:rPr>
        <w:t>דברי הרשב"א דביבש שאוכל כ"א בפנ"ע אומר שאינה האיסור ולכן א"צ שישים ובטל ברוב</w:t>
      </w:r>
      <w:bookmarkEnd w:id="13312"/>
      <w:bookmarkEnd w:id="13313"/>
      <w:bookmarkEnd w:id="13314"/>
      <w:bookmarkEnd w:id="13315"/>
    </w:p>
    <w:p w:rsidR="0028438A" w:rsidRDefault="0028438A" w:rsidP="009F44AF">
      <w:pPr>
        <w:pStyle w:val="a"/>
        <w:numPr>
          <w:ilvl w:val="0"/>
          <w:numId w:val="17"/>
        </w:numPr>
      </w:pPr>
      <w:bookmarkStart w:id="13316" w:name="_Ref23943555"/>
      <w:r>
        <w:rPr>
          <w:rFonts w:hint="cs"/>
          <w:rtl/>
        </w:rPr>
        <w:t xml:space="preserve">אבל ביבש ביבש, ביאר </w:t>
      </w:r>
      <w:r>
        <w:rPr>
          <w:rStyle w:val="af8"/>
          <w:rtl/>
        </w:rPr>
        <w:t>הרשב"א בתוה"ב</w:t>
      </w:r>
      <w:r>
        <w:rPr>
          <w:rFonts w:hint="cs"/>
          <w:rtl/>
        </w:rPr>
        <w:t xml:space="preserve"> דכיון שהוא יכול לאכול כל חתיכה בפנ"ע, לכן כשאוכל כל אחת מהחתיכות, אומר שאינה החתיכה האסורה, ובחתיכה האחרונה אומר שהאיסור כבר נאכל, והאחרונה היא מותרת, וכתב </w:t>
      </w:r>
      <w:r>
        <w:rPr>
          <w:rStyle w:val="af8"/>
          <w:rtl/>
        </w:rPr>
        <w:t>הרשב"א בתוה"ב</w:t>
      </w:r>
      <w:r>
        <w:rPr>
          <w:rFonts w:hint="cs"/>
          <w:rtl/>
        </w:rPr>
        <w:t xml:space="preserve"> דלכן מותר לאכול לכתחילה כל חתיכה בפנ"ע, וכיון דמדאו' חד בתרי בטיל, ובכל אחת שהוא אוכל יכול לומר שאינה החתיכה האסורה, לכן הקילו רבנן שא"צ שישים כמו בשאר האיסורין, וכ"כ </w:t>
      </w:r>
      <w:r>
        <w:rPr>
          <w:rStyle w:val="af8"/>
          <w:rtl/>
        </w:rPr>
        <w:t>הרשב"א לעיל</w:t>
      </w:r>
      <w:r>
        <w:rPr>
          <w:rFonts w:hint="cs"/>
          <w:rtl/>
        </w:rPr>
        <w:t xml:space="preserve"> </w:t>
      </w:r>
      <w:r w:rsidRPr="009F44AF">
        <w:rPr>
          <w:rStyle w:val="af6"/>
          <w:rFonts w:eastAsia="Guttman Hodes" w:hint="cs"/>
          <w:rtl/>
        </w:rPr>
        <w:t xml:space="preserve">(צז: ד"ה א"ל) </w:t>
      </w:r>
      <w:r>
        <w:rPr>
          <w:rFonts w:hint="cs"/>
          <w:rtl/>
        </w:rPr>
        <w:t>בשם</w:t>
      </w:r>
      <w:r>
        <w:rPr>
          <w:rStyle w:val="af8"/>
          <w:rtl/>
        </w:rPr>
        <w:t xml:space="preserve"> התוס'</w:t>
      </w:r>
      <w:r>
        <w:rPr>
          <w:rFonts w:hint="cs"/>
          <w:rtl/>
        </w:rPr>
        <w:t xml:space="preserve"> דכשאוכל כל חתיכה בפנ"ע היא מותרת שהתבטלה ברוב, ועי' במה שביאר </w:t>
      </w:r>
      <w:r>
        <w:rPr>
          <w:rStyle w:val="af8"/>
          <w:rtl/>
        </w:rPr>
        <w:t>השער"י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Ref23967832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קיב</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Style w:val="af8"/>
          <w:rtl/>
        </w:rPr>
        <w:t>ובחי' הגרש"ש בב"מ</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Ref23970444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פד</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בדעת </w:t>
      </w:r>
      <w:r>
        <w:rPr>
          <w:rStyle w:val="af8"/>
          <w:rtl/>
        </w:rPr>
        <w:t>הרשב"א</w:t>
      </w:r>
      <w:r>
        <w:rPr>
          <w:rFonts w:hint="cs"/>
          <w:rtl/>
        </w:rPr>
        <w:t xml:space="preserve">. [ועי' במה שהקשה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Ref23882342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מב</w:t>
      </w:r>
      <w:r w:rsidR="004D1C5B">
        <w:rPr>
          <w:rStyle w:val="af6"/>
          <w:rFonts w:eastAsia="Guttman Hodes"/>
          <w:rtl/>
        </w:rPr>
        <w:t>)</w:t>
      </w:r>
      <w:r>
        <w:rPr>
          <w:rFonts w:hint="cs"/>
          <w:rtl/>
        </w:rPr>
        <w:fldChar w:fldCharType="end"/>
      </w:r>
      <w:r>
        <w:rPr>
          <w:rFonts w:hint="cs"/>
          <w:rtl/>
        </w:rPr>
        <w:t xml:space="preserve"> דלא מצינו בגמ' שיש איסור לאכול את כל התערובת בבת אחת].</w:t>
      </w:r>
      <w:bookmarkEnd w:id="13316"/>
    </w:p>
    <w:p w:rsidR="0028438A" w:rsidRDefault="0028438A" w:rsidP="0028438A">
      <w:pPr>
        <w:pStyle w:val="a2"/>
        <w:rPr>
          <w:rtl/>
        </w:rPr>
      </w:pPr>
      <w:bookmarkStart w:id="13317" w:name="_Toc23984292"/>
      <w:bookmarkStart w:id="13318" w:name="_Toc23972127"/>
      <w:bookmarkStart w:id="13319" w:name="_Toc23960313"/>
      <w:bookmarkStart w:id="13320" w:name="_Toc23945720"/>
      <w:r>
        <w:rPr>
          <w:rFonts w:hint="cs"/>
          <w:rtl/>
        </w:rPr>
        <w:t>דברי הרשב"א דמותר לאכול רק כל חתיכה בפנ"ע ואסור לבשל דנעשה כלח דצריך שישים</w:t>
      </w:r>
      <w:bookmarkEnd w:id="13317"/>
      <w:bookmarkEnd w:id="13318"/>
      <w:bookmarkEnd w:id="13319"/>
      <w:bookmarkEnd w:id="13320"/>
    </w:p>
    <w:p w:rsidR="0028438A" w:rsidRDefault="0028438A" w:rsidP="009F44AF">
      <w:pPr>
        <w:pStyle w:val="a"/>
        <w:numPr>
          <w:ilvl w:val="0"/>
          <w:numId w:val="17"/>
        </w:numPr>
        <w:rPr>
          <w:rtl/>
        </w:rPr>
      </w:pPr>
      <w:bookmarkStart w:id="13321" w:name="_Ref23930681"/>
      <w:r>
        <w:rPr>
          <w:rFonts w:hint="cs"/>
          <w:rtl/>
        </w:rPr>
        <w:t xml:space="preserve">אך כתב </w:t>
      </w:r>
      <w:r>
        <w:rPr>
          <w:rStyle w:val="af8"/>
          <w:rtl/>
        </w:rPr>
        <w:t>הרשב"א בתוה"ב</w:t>
      </w:r>
      <w:r>
        <w:rPr>
          <w:rFonts w:hint="cs"/>
          <w:rtl/>
        </w:rPr>
        <w:t xml:space="preserve"> דהא דביבש ביבש מותר לאכול כל חתיכה בפנ"ע וא"צ שישים, היינו דוקא כשלא חזר ובישלם יחד, אבל אם בישלם יחד אסור, כיון שע"י הבישול התערב האיסור עם ההיתר, ודינו כשאר האיסורין בלח בלח שצריך שישים, וביאר </w:t>
      </w:r>
      <w:r>
        <w:rPr>
          <w:rStyle w:val="af8"/>
          <w:rtl/>
        </w:rPr>
        <w:t>הרשב"א</w:t>
      </w:r>
      <w:r>
        <w:rPr>
          <w:rFonts w:hint="cs"/>
          <w:rtl/>
        </w:rPr>
        <w:t xml:space="preserve"> </w:t>
      </w:r>
      <w:r>
        <w:rPr>
          <w:rStyle w:val="af8"/>
          <w:rtl/>
        </w:rPr>
        <w:t>לעיל</w:t>
      </w:r>
      <w:r>
        <w:rPr>
          <w:rFonts w:hint="cs"/>
          <w:rtl/>
        </w:rPr>
        <w:t xml:space="preserve"> דצריך שישים בכדי לבטל את מה שנימוח מחתיכת האיסור בבישול, ונבלל בתוך רוב ההיתר ונבלע בחתיכות ההיתר, וכיון שמה שנימוח הוא דבר בלול ובלוע, שאינו עומד בפנ"ע, לכן הצריכו רבנן שישים בכדי לבטלו.</w:t>
      </w:r>
      <w:bookmarkEnd w:id="13321"/>
    </w:p>
    <w:p w:rsidR="0028438A" w:rsidRDefault="0028438A" w:rsidP="0028438A">
      <w:pPr>
        <w:pStyle w:val="a2"/>
        <w:rPr>
          <w:rtl/>
        </w:rPr>
      </w:pPr>
      <w:bookmarkStart w:id="13322" w:name="_Toc23984293"/>
      <w:bookmarkStart w:id="13323" w:name="_Toc23972128"/>
      <w:bookmarkStart w:id="13324" w:name="_Toc23960314"/>
      <w:bookmarkStart w:id="13325" w:name="_Toc23945727"/>
      <w:bookmarkStart w:id="13326" w:name="_Toc23945721"/>
      <w:bookmarkStart w:id="13327" w:name="_Toc23887354"/>
      <w:r>
        <w:rPr>
          <w:rFonts w:hint="cs"/>
          <w:rtl/>
        </w:rPr>
        <w:t>ביאור הרשב"א במשה"ב דרק במקום שמורגש הטעם וא"א לאכול כל חתיכה בפנ"ע צריך שישים</w:t>
      </w:r>
      <w:bookmarkEnd w:id="13322"/>
      <w:bookmarkEnd w:id="13323"/>
      <w:bookmarkEnd w:id="13324"/>
      <w:bookmarkEnd w:id="13325"/>
    </w:p>
    <w:p w:rsidR="0028438A" w:rsidRDefault="0028438A" w:rsidP="009F44AF">
      <w:pPr>
        <w:pStyle w:val="a"/>
        <w:numPr>
          <w:ilvl w:val="0"/>
          <w:numId w:val="17"/>
        </w:numPr>
        <w:rPr>
          <w:rtl/>
        </w:rPr>
      </w:pPr>
      <w:bookmarkStart w:id="13328" w:name="_Ref23953328"/>
      <w:r>
        <w:rPr>
          <w:rFonts w:hint="cs"/>
          <w:rtl/>
        </w:rPr>
        <w:t xml:space="preserve">וכתב </w:t>
      </w:r>
      <w:r>
        <w:rPr>
          <w:rStyle w:val="af8"/>
          <w:rtl/>
        </w:rPr>
        <w:t>הרשב"א במשה"ב</w:t>
      </w:r>
      <w:r>
        <w:rPr>
          <w:rFonts w:hint="cs"/>
          <w:rtl/>
        </w:rPr>
        <w:t xml:space="preserve"> </w:t>
      </w:r>
      <w:r w:rsidRPr="009F44AF">
        <w:rPr>
          <w:rStyle w:val="af6"/>
          <w:rFonts w:eastAsia="Guttman Hodes" w:hint="cs"/>
          <w:rtl/>
        </w:rPr>
        <w:t>(ב"ד ש"א יז. מדה"ס ד"ה דבריו במחתרת)</w:t>
      </w:r>
      <w:r>
        <w:rPr>
          <w:rFonts w:hint="cs"/>
          <w:rtl/>
        </w:rPr>
        <w:t xml:space="preserve"> דבלח בלח כיון שא"א להפריד כל חתיכה בפנ"ע, הצריכו רבנן שישים כיון שבפחות משישים מורגש הטעם של האיסור, ואף דבמין במינו לא מורגש הטעם, מ"מ כיון דבלח בלח במין בשאינו מינו מורגש הטעם, לכן אף במין במינו החמירו להצריך שישים, אבל ביבש ביבש שיכול לאכול כל חתיכה בפנ"ע, ולומר שהיא החתיכה המותרת, לכן הקילו רבנן שלא להצריך שישים, כשיש בתערובת שיעור ביטול מדאו', דחד בתרי בטיל.</w:t>
      </w:r>
      <w:bookmarkEnd w:id="13328"/>
    </w:p>
    <w:p w:rsidR="0028438A" w:rsidRDefault="0028438A" w:rsidP="0028438A">
      <w:pPr>
        <w:pStyle w:val="a2"/>
        <w:rPr>
          <w:rtl/>
        </w:rPr>
      </w:pPr>
      <w:bookmarkStart w:id="13329" w:name="_Toc23984295"/>
      <w:bookmarkStart w:id="13330" w:name="_Toc23972130"/>
      <w:bookmarkStart w:id="13331" w:name="_Toc23960316"/>
      <w:bookmarkStart w:id="13332" w:name="_Toc23945722"/>
      <w:bookmarkEnd w:id="13326"/>
      <w:bookmarkEnd w:id="13327"/>
      <w:r>
        <w:rPr>
          <w:rFonts w:hint="cs"/>
          <w:rtl/>
        </w:rPr>
        <w:t>דברי הרשב"א דאם לא בישל את הכל יחד מותר דאין ודאי איסור אך אסור לחזור ולערבם יחד</w:t>
      </w:r>
      <w:bookmarkEnd w:id="13329"/>
      <w:bookmarkEnd w:id="13330"/>
      <w:bookmarkEnd w:id="13331"/>
      <w:bookmarkEnd w:id="13332"/>
    </w:p>
    <w:p w:rsidR="0028438A" w:rsidRDefault="0028438A" w:rsidP="009F44AF">
      <w:pPr>
        <w:pStyle w:val="a"/>
        <w:numPr>
          <w:ilvl w:val="0"/>
          <w:numId w:val="17"/>
        </w:numPr>
        <w:rPr>
          <w:rtl/>
        </w:rPr>
      </w:pPr>
      <w:bookmarkStart w:id="13333" w:name="_Ref23943584"/>
      <w:r>
        <w:rPr>
          <w:rFonts w:hint="cs"/>
          <w:rtl/>
        </w:rPr>
        <w:t xml:space="preserve">אך כתב </w:t>
      </w:r>
      <w:r>
        <w:rPr>
          <w:rStyle w:val="af8"/>
          <w:rtl/>
        </w:rPr>
        <w:t>הרשב"א בתוה"ב</w:t>
      </w:r>
      <w:r>
        <w:rPr>
          <w:rFonts w:hint="cs"/>
          <w:rtl/>
        </w:rPr>
        <w:t xml:space="preserve"> דביבש ביבש אם בישל את התערובת, כשמקצתה בצד אחד ומקצתה בצד אחר, </w:t>
      </w:r>
      <w:r w:rsidR="004E017E" w:rsidRPr="00B53A1C">
        <w:rPr>
          <w:rStyle w:val="afa"/>
          <w:rFonts w:hint="cs"/>
          <w:rtl/>
        </w:rPr>
        <w:t>[דהיינו בב' קדירות],</w:t>
      </w:r>
      <w:r w:rsidR="004E017E" w:rsidRPr="003D6DFB">
        <w:rPr>
          <w:rFonts w:hint="cs"/>
          <w:rtl/>
        </w:rPr>
        <w:t xml:space="preserve"> </w:t>
      </w:r>
      <w:r>
        <w:rPr>
          <w:rFonts w:hint="cs"/>
          <w:rtl/>
        </w:rPr>
        <w:t xml:space="preserve">דאפש"ל שכל התערובת מותרת, דהוא כדביאר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בכל יבש ביבש לפני הבישול, דבכל חתיכה יכול לומר שאינה החתיכה האסורה, וא"כ אף כשבישלם כ"א בצד אחר, שכשאוכל את מקצת התערובת שנתבשלה בצד אחד, יכול לומר שהאיסור הוא במקצת התערובת שבצד השני, וכן כשאוכל את המקצת שבצד השני אומר שהאיסור כבר נאכל במקצת שבצד הראשון, אך לחזור ולערבם אחר הבישול ולאכול הכל יחד אסור.</w:t>
      </w:r>
      <w:bookmarkEnd w:id="13333"/>
    </w:p>
    <w:p w:rsidR="0028438A" w:rsidRDefault="0028438A" w:rsidP="00E669F8">
      <w:pPr>
        <w:pStyle w:val="afd"/>
        <w:rPr>
          <w:rtl/>
        </w:rPr>
      </w:pPr>
      <w:bookmarkStart w:id="13334" w:name="_Toc23984296"/>
      <w:bookmarkStart w:id="13335" w:name="_Toc23972131"/>
      <w:bookmarkStart w:id="13336" w:name="_Toc23960317"/>
      <w:bookmarkStart w:id="13337" w:name="_Toc23945723"/>
      <w:bookmarkStart w:id="13338" w:name="_Toc23712665"/>
      <w:bookmarkStart w:id="13339" w:name="_Toc23372627"/>
      <w:bookmarkStart w:id="13340" w:name="_Toc23223990"/>
      <w:bookmarkStart w:id="13341" w:name="_Toc22638911"/>
      <w:bookmarkStart w:id="13342" w:name="_Toc22250685"/>
      <w:r>
        <w:rPr>
          <w:rFonts w:hint="cs"/>
          <w:rtl/>
        </w:rPr>
        <w:t>דעת הרא"ה והר"ן דאסור לאכול בב"א</w:t>
      </w:r>
      <w:bookmarkEnd w:id="13334"/>
      <w:bookmarkEnd w:id="13335"/>
      <w:bookmarkEnd w:id="13336"/>
    </w:p>
    <w:p w:rsidR="0028438A" w:rsidRDefault="0028438A" w:rsidP="00DA6853">
      <w:pPr>
        <w:pStyle w:val="1"/>
        <w:rPr>
          <w:rtl/>
        </w:rPr>
      </w:pPr>
      <w:bookmarkStart w:id="13343" w:name="_Toc23984298"/>
      <w:bookmarkStart w:id="13344" w:name="_Toc23972133"/>
      <w:bookmarkStart w:id="13345" w:name="_Toc23960319"/>
      <w:bookmarkStart w:id="13346" w:name="_Toc23945724"/>
      <w:bookmarkEnd w:id="13337"/>
      <w:r>
        <w:rPr>
          <w:rFonts w:hint="cs"/>
          <w:rtl/>
        </w:rPr>
        <w:t>דברי הרא"ה והר"ן דביבש לא שייך דין שישים ומותר בזאח"ז</w:t>
      </w:r>
    </w:p>
    <w:p w:rsidR="0028438A" w:rsidRDefault="0028438A" w:rsidP="0028438A">
      <w:pPr>
        <w:pStyle w:val="a2"/>
        <w:rPr>
          <w:b/>
          <w:bCs/>
          <w:rtl/>
        </w:rPr>
      </w:pPr>
      <w:r>
        <w:rPr>
          <w:rFonts w:hint="cs"/>
          <w:rtl/>
        </w:rPr>
        <w:t>קושית הרא"ה על הרשב"א דאף שבכ"א בפנ"ע אפש"ל דמותר מ"מ חתיכה אחת אסורה בודאי</w:t>
      </w:r>
      <w:bookmarkEnd w:id="13343"/>
      <w:bookmarkEnd w:id="13344"/>
      <w:bookmarkEnd w:id="13345"/>
      <w:bookmarkEnd w:id="13346"/>
    </w:p>
    <w:p w:rsidR="0028438A" w:rsidRDefault="0028438A" w:rsidP="009F44AF">
      <w:pPr>
        <w:pStyle w:val="a"/>
        <w:numPr>
          <w:ilvl w:val="0"/>
          <w:numId w:val="17"/>
        </w:numPr>
        <w:rPr>
          <w:rtl/>
        </w:rPr>
      </w:pPr>
      <w:bookmarkStart w:id="13347" w:name="_Ref23936053"/>
      <w:r>
        <w:rPr>
          <w:rFonts w:hint="cs"/>
          <w:rtl/>
        </w:rPr>
        <w:t xml:space="preserve">במ"ש </w:t>
      </w:r>
      <w:r>
        <w:rPr>
          <w:rStyle w:val="af8"/>
          <w:rtl/>
        </w:rPr>
        <w:t>הרשב"א בתוה"ב</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Ref21375789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דהביאור בביטול ברוב הוא, דבכל אחת מהחתיכות, אומר שאינה החתיכה האסורה, ובחתיכה האחרונה אומר שהאיסור כבר נאכל, דחה </w:t>
      </w:r>
      <w:r>
        <w:rPr>
          <w:rStyle w:val="af8"/>
          <w:rtl/>
        </w:rPr>
        <w:t>הרא"ה בבד"ה</w:t>
      </w:r>
      <w:r>
        <w:rPr>
          <w:rFonts w:hint="cs"/>
          <w:rtl/>
        </w:rPr>
        <w:t xml:space="preserve"> </w:t>
      </w:r>
      <w:r w:rsidRPr="009F44AF">
        <w:rPr>
          <w:rStyle w:val="af6"/>
          <w:rFonts w:eastAsia="Guttman Hodes" w:hint="cs"/>
          <w:rtl/>
        </w:rPr>
        <w:t xml:space="preserve">(ב"ד ש"א יז. מדה"ס ד"ה עוד כתב דטעמא) </w:t>
      </w:r>
      <w:r>
        <w:rPr>
          <w:rFonts w:hint="cs"/>
          <w:rtl/>
        </w:rPr>
        <w:t>דאי"ז מועיל להתיר, דהא מ"מ ודאי שאחת מהחתיכות היא חתיכה אסורה.</w:t>
      </w:r>
      <w:bookmarkEnd w:id="13347"/>
    </w:p>
    <w:p w:rsidR="0028438A" w:rsidRDefault="0028438A" w:rsidP="0028438A">
      <w:pPr>
        <w:pStyle w:val="a2"/>
        <w:rPr>
          <w:rtl/>
        </w:rPr>
      </w:pPr>
      <w:bookmarkStart w:id="13348" w:name="_Toc23945725"/>
      <w:bookmarkStart w:id="13349" w:name="_Toc23984299"/>
      <w:bookmarkStart w:id="13350" w:name="_Toc23972134"/>
      <w:bookmarkStart w:id="13351" w:name="_Toc23960320"/>
      <w:r>
        <w:rPr>
          <w:rFonts w:hint="cs"/>
          <w:rtl/>
        </w:rPr>
        <w:t xml:space="preserve">דברי הרא"ה והר"ן דשישים הוא רק כשיש בליעת איסור וביבש שאין בליעה לא </w:t>
      </w:r>
      <w:bookmarkEnd w:id="13348"/>
      <w:r>
        <w:rPr>
          <w:rFonts w:hint="cs"/>
          <w:rtl/>
        </w:rPr>
        <w:t>שייך שישים</w:t>
      </w:r>
      <w:bookmarkEnd w:id="13349"/>
      <w:bookmarkEnd w:id="13350"/>
      <w:bookmarkEnd w:id="13351"/>
    </w:p>
    <w:p w:rsidR="0028438A" w:rsidRDefault="0028438A" w:rsidP="009F44AF">
      <w:pPr>
        <w:pStyle w:val="a"/>
        <w:numPr>
          <w:ilvl w:val="0"/>
          <w:numId w:val="17"/>
        </w:numPr>
        <w:rPr>
          <w:rtl/>
        </w:rPr>
      </w:pPr>
      <w:bookmarkStart w:id="13352" w:name="_Ref23957629"/>
      <w:r>
        <w:rPr>
          <w:rFonts w:hint="cs"/>
          <w:rtl/>
        </w:rPr>
        <w:t xml:space="preserve">אלא כתבו </w:t>
      </w:r>
      <w:r>
        <w:rPr>
          <w:rStyle w:val="af8"/>
          <w:rtl/>
        </w:rPr>
        <w:t>הרא"ה בבד"ה</w:t>
      </w:r>
      <w:r>
        <w:rPr>
          <w:rFonts w:hint="cs"/>
          <w:rtl/>
        </w:rPr>
        <w:t xml:space="preserve"> </w:t>
      </w:r>
      <w:r>
        <w:rPr>
          <w:rStyle w:val="af8"/>
          <w:rtl/>
        </w:rPr>
        <w:t>והר"ן על הרי"ף</w:t>
      </w:r>
      <w:r>
        <w:rPr>
          <w:rFonts w:hint="cs"/>
          <w:rtl/>
        </w:rPr>
        <w:t xml:space="preserve"> </w:t>
      </w:r>
      <w:r w:rsidRPr="009F44AF">
        <w:rPr>
          <w:rStyle w:val="af6"/>
          <w:rFonts w:eastAsia="Guttman Hodes" w:hint="cs"/>
          <w:rtl/>
        </w:rPr>
        <w:t>(לו. מדפי הרי"ף ד"ה גרסי')</w:t>
      </w:r>
      <w:r>
        <w:rPr>
          <w:rFonts w:hint="cs"/>
          <w:rtl/>
        </w:rPr>
        <w:t xml:space="preserve"> דכיון דבמקום שהאיסור אינו נותן טעם, יש גזיה"כ דמהני ביטול ברוב מדאו', ולכן ביבש ביבש שאין בה בליעת איסור מדאו' מהני </w:t>
      </w:r>
      <w:r>
        <w:rPr>
          <w:rFonts w:hint="cs"/>
          <w:rtl/>
        </w:rPr>
        <w:lastRenderedPageBreak/>
        <w:t xml:space="preserve">ביטול דחד בתרי, כתבו </w:t>
      </w:r>
      <w:r>
        <w:rPr>
          <w:rStyle w:val="af8"/>
          <w:rtl/>
        </w:rPr>
        <w:t xml:space="preserve">הרא"ה והר"ן </w:t>
      </w:r>
      <w:r>
        <w:rPr>
          <w:rFonts w:hint="cs"/>
          <w:rtl/>
        </w:rPr>
        <w:t xml:space="preserve">דאף מדרבנן א"צ שישים, דכל מה שהחמירו רבנן להצריך שישים הוא במקום שיש בליעת איסור, כיון שהטעם של האיסור מתפשט בכל התערובת, צריך שישים לבטל את הטעם, אבל ביבש ביבש במין במינו, שהאיסור עומד בפני עצמו, ואין בו בליעת איסור העמידו רבנן על הדין דאו', דמהני ביטול בחד בתרי, ולא שייך בזה שיעור שישים, דהרי אין ביבש ביבש ביטול טעם כלל. [ועי' במה שביאר </w:t>
      </w:r>
      <w:r>
        <w:rPr>
          <w:rStyle w:val="af8"/>
          <w:rtl/>
        </w:rPr>
        <w:t>היד</w:t>
      </w:r>
      <w:r>
        <w:rPr>
          <w:rFonts w:hint="cs"/>
          <w:rtl/>
        </w:rPr>
        <w:t xml:space="preserve"> </w:t>
      </w:r>
      <w:r>
        <w:rPr>
          <w:rStyle w:val="af8"/>
          <w:rtl/>
        </w:rPr>
        <w:t>יהודה</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Ref23957674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Fonts w:hint="cs"/>
          <w:rtl/>
        </w:rPr>
        <w:t xml:space="preserve"> בדעת </w:t>
      </w:r>
      <w:r>
        <w:rPr>
          <w:rStyle w:val="af8"/>
          <w:rtl/>
        </w:rPr>
        <w:t>הרא"ה והר"ן</w:t>
      </w:r>
      <w:r>
        <w:rPr>
          <w:rFonts w:hint="cs"/>
          <w:rtl/>
        </w:rPr>
        <w:t xml:space="preserve">, ובמ"ש </w:t>
      </w:r>
      <w:r>
        <w:rPr>
          <w:rStyle w:val="af8"/>
          <w:rtl/>
        </w:rPr>
        <w:t>השער"י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Ref23968643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קיא</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דלביאור </w:t>
      </w:r>
      <w:r>
        <w:rPr>
          <w:rStyle w:val="af8"/>
          <w:rtl/>
        </w:rPr>
        <w:t>הפרמ"ג</w:t>
      </w:r>
      <w:r>
        <w:rPr>
          <w:rFonts w:hint="cs"/>
          <w:rtl/>
        </w:rPr>
        <w:t xml:space="preserve"> </w:t>
      </w:r>
      <w:r>
        <w:rPr>
          <w:rStyle w:val="af8"/>
          <w:rtl/>
        </w:rPr>
        <w:t>הרשב"א</w:t>
      </w:r>
      <w:r>
        <w:rPr>
          <w:rFonts w:hint="cs"/>
          <w:rtl/>
        </w:rPr>
        <w:t xml:space="preserve"> פליג על סברת </w:t>
      </w:r>
      <w:r>
        <w:rPr>
          <w:rStyle w:val="af8"/>
          <w:rtl/>
        </w:rPr>
        <w:t>הרא"ה</w:t>
      </w:r>
      <w:r>
        <w:rPr>
          <w:rFonts w:hint="cs"/>
          <w:rtl/>
        </w:rPr>
        <w:t>].</w:t>
      </w:r>
      <w:bookmarkEnd w:id="13352"/>
    </w:p>
    <w:p w:rsidR="0028438A" w:rsidRDefault="0028438A" w:rsidP="0028438A">
      <w:pPr>
        <w:pStyle w:val="a2"/>
        <w:rPr>
          <w:rtl/>
        </w:rPr>
      </w:pPr>
      <w:bookmarkStart w:id="13353" w:name="_Toc23984300"/>
      <w:bookmarkStart w:id="13354" w:name="_Toc23972135"/>
      <w:bookmarkStart w:id="13355" w:name="_Toc23960321"/>
      <w:r>
        <w:rPr>
          <w:rFonts w:hint="cs"/>
          <w:rtl/>
        </w:rPr>
        <w:t>דברי הרא"ה והר"ן דביבש כ"א מותר בפנ"ע וראוי שלא לבשלם יחד דיש טעם בפחות משישים</w:t>
      </w:r>
    </w:p>
    <w:p w:rsidR="0028438A" w:rsidRDefault="0028438A" w:rsidP="009F44AF">
      <w:pPr>
        <w:pStyle w:val="a"/>
        <w:numPr>
          <w:ilvl w:val="0"/>
          <w:numId w:val="17"/>
        </w:numPr>
      </w:pPr>
      <w:bookmarkStart w:id="13356" w:name="_Ref24283182"/>
      <w:r>
        <w:rPr>
          <w:rFonts w:hint="cs"/>
          <w:rtl/>
        </w:rPr>
        <w:t>וכתב</w:t>
      </w:r>
      <w:r>
        <w:rPr>
          <w:rStyle w:val="af8"/>
          <w:rtl/>
        </w:rPr>
        <w:t xml:space="preserve"> בפסקי הרא"ה לחולין</w:t>
      </w:r>
      <w:r>
        <w:rPr>
          <w:rFonts w:hint="cs"/>
          <w:rtl/>
        </w:rPr>
        <w:t xml:space="preserve"> </w:t>
      </w:r>
      <w:r w:rsidRPr="009F44AF">
        <w:rPr>
          <w:rStyle w:val="af6"/>
          <w:rFonts w:eastAsia="Guttman Hodes" w:hint="cs"/>
          <w:rtl/>
        </w:rPr>
        <w:t>(אות מ"ז, נד' בחי' הרא"ה בסוף הפרק)</w:t>
      </w:r>
      <w:r>
        <w:rPr>
          <w:rFonts w:hint="cs"/>
          <w:rtl/>
        </w:rPr>
        <w:t xml:space="preserve"> דיבש ביבש בטל בחד בתרי הכל מותר,  אך ראוי שלא לבשל את כל התערובת יחד, כיון שבבישול האיסור נותן טעם בפחות משישים, ורק כל חתיכה בפנ"ע מותר, והוסיף </w:t>
      </w:r>
      <w:r>
        <w:rPr>
          <w:rStyle w:val="af8"/>
          <w:rtl/>
        </w:rPr>
        <w:t>הרא"ה בבד"ה</w:t>
      </w:r>
      <w:r>
        <w:rPr>
          <w:rFonts w:hint="cs"/>
          <w:rtl/>
        </w:rPr>
        <w:t xml:space="preserve"> </w:t>
      </w:r>
      <w:r w:rsidRPr="009F44AF">
        <w:rPr>
          <w:rStyle w:val="af6"/>
          <w:rFonts w:eastAsia="Guttman Hodes" w:hint="cs"/>
          <w:rtl/>
        </w:rPr>
        <w:t>(ב"ד ש"ב כו: מדה"ס בתו"ד)</w:t>
      </w:r>
      <w:r>
        <w:rPr>
          <w:rFonts w:hint="cs"/>
          <w:rtl/>
        </w:rPr>
        <w:t xml:space="preserve"> דההיתר הוא רק לאוכלן כ"א בפנ"ע, ואסור לאוכלם יחד, וכ"כ</w:t>
      </w:r>
      <w:r>
        <w:rPr>
          <w:rStyle w:val="af8"/>
          <w:rtl/>
        </w:rPr>
        <w:t xml:space="preserve"> בר"ן על הרי"ף</w:t>
      </w:r>
      <w:r>
        <w:rPr>
          <w:rFonts w:hint="cs"/>
          <w:rtl/>
        </w:rPr>
        <w:t xml:space="preserve"> </w:t>
      </w:r>
      <w:r w:rsidRPr="009F44AF">
        <w:rPr>
          <w:rStyle w:val="af6"/>
          <w:rFonts w:eastAsia="Guttman Hodes" w:hint="cs"/>
          <w:rtl/>
        </w:rPr>
        <w:t>(לו. מדפי הרי"ף ד"ה גרסי')</w:t>
      </w:r>
      <w:r>
        <w:rPr>
          <w:rFonts w:hint="cs"/>
          <w:rtl/>
        </w:rPr>
        <w:t xml:space="preserve"> </w:t>
      </w:r>
      <w:r>
        <w:rPr>
          <w:rStyle w:val="af8"/>
          <w:rtl/>
        </w:rPr>
        <w:t>ובחי' לעיל</w:t>
      </w:r>
      <w:r>
        <w:rPr>
          <w:rFonts w:hint="cs"/>
          <w:rtl/>
        </w:rPr>
        <w:t xml:space="preserve"> </w:t>
      </w:r>
      <w:r w:rsidRPr="009F44AF">
        <w:rPr>
          <w:rStyle w:val="af6"/>
          <w:rFonts w:eastAsia="Guttman Hodes" w:hint="cs"/>
          <w:rtl/>
        </w:rPr>
        <w:t>(צז: ד"ה והא)</w:t>
      </w:r>
      <w:r>
        <w:rPr>
          <w:rFonts w:hint="cs"/>
          <w:rtl/>
        </w:rPr>
        <w:t xml:space="preserve"> דההיתר ביבש ביבש במין במינו הוא רק לאכול כל חתיכה בפנ"ע, אך אסור לבשל יחד את כל החתיכות בפחות משישים, דכשמבשלם יחד האיסור נותן טעם בהיתר.</w:t>
      </w:r>
      <w:bookmarkEnd w:id="13356"/>
    </w:p>
    <w:p w:rsidR="0028438A" w:rsidRDefault="0028438A" w:rsidP="0028438A">
      <w:pPr>
        <w:pStyle w:val="a2"/>
        <w:rPr>
          <w:rtl/>
        </w:rPr>
      </w:pPr>
      <w:bookmarkStart w:id="13357" w:name="_Toc23984301"/>
      <w:bookmarkStart w:id="13358" w:name="_Toc23972136"/>
      <w:bookmarkStart w:id="13359" w:name="_Toc23960322"/>
      <w:bookmarkEnd w:id="13353"/>
      <w:bookmarkEnd w:id="13354"/>
      <w:bookmarkEnd w:id="13355"/>
      <w:r>
        <w:rPr>
          <w:rFonts w:hint="cs"/>
          <w:rtl/>
        </w:rPr>
        <w:t>דברי הרא"ה והר"ן דמותר להוסיף ביבש יותר משישים ולבשל דהוא מותר ואי"ז ביטול איסור</w:t>
      </w:r>
      <w:bookmarkEnd w:id="13357"/>
      <w:bookmarkEnd w:id="13358"/>
      <w:bookmarkEnd w:id="13359"/>
    </w:p>
    <w:p w:rsidR="0028438A" w:rsidRDefault="0028438A" w:rsidP="009F44AF">
      <w:pPr>
        <w:pStyle w:val="a"/>
        <w:numPr>
          <w:ilvl w:val="0"/>
          <w:numId w:val="17"/>
        </w:numPr>
        <w:rPr>
          <w:rtl/>
        </w:rPr>
      </w:pPr>
      <w:bookmarkStart w:id="13360" w:name="_Ref23957048"/>
      <w:bookmarkStart w:id="13361" w:name="_Toc23945726"/>
      <w:r>
        <w:rPr>
          <w:rFonts w:hint="cs"/>
          <w:rtl/>
        </w:rPr>
        <w:t xml:space="preserve">וכתב </w:t>
      </w:r>
      <w:r>
        <w:rPr>
          <w:rStyle w:val="af8"/>
          <w:rtl/>
        </w:rPr>
        <w:t>בפסקי הרא"ה לחולין</w:t>
      </w:r>
      <w:r>
        <w:rPr>
          <w:rFonts w:hint="cs"/>
          <w:rtl/>
        </w:rPr>
        <w:t xml:space="preserve"> דאחר שהאיסור התבטל בחד בתרי, ורוצה לבשל את התערובת יחד, יכול להוסיף עליו היתר בשיעור שישים כנגד האיסור, ומותר לבשל לכתחילה, דאין בזה איסור ביטול איסור לכתחילה, כיון שכל אחד בפנ"ע מותר באכילה, ורק אנו חוששים שיאסור בנתינת טעם אם יתבשלו יחד, וכיון שאין בו טעם מותר לבטלו לכתחילה, </w:t>
      </w:r>
      <w:r>
        <w:rPr>
          <w:rStyle w:val="afa"/>
          <w:rtl/>
        </w:rPr>
        <w:t xml:space="preserve">[ועיי"ש בלשון </w:t>
      </w:r>
      <w:r>
        <w:rPr>
          <w:rStyle w:val="affa"/>
          <w:rtl/>
        </w:rPr>
        <w:t>פסקי הרא"ה</w:t>
      </w:r>
      <w:r>
        <w:rPr>
          <w:rStyle w:val="afa"/>
          <w:rtl/>
        </w:rPr>
        <w:t xml:space="preserve"> דכתב דאין בו טעם שנתנו בו אנשים, וצ"ב כוונתו],</w:t>
      </w:r>
      <w:r>
        <w:rPr>
          <w:rFonts w:hint="cs"/>
          <w:rtl/>
        </w:rPr>
        <w:t xml:space="preserve"> וכ"כ </w:t>
      </w:r>
      <w:r>
        <w:rPr>
          <w:rStyle w:val="af8"/>
          <w:rtl/>
        </w:rPr>
        <w:t>הר"ן על הרי"ף</w:t>
      </w:r>
      <w:r>
        <w:rPr>
          <w:rFonts w:hint="cs"/>
          <w:rtl/>
        </w:rPr>
        <w:t xml:space="preserve"> בשם </w:t>
      </w:r>
      <w:r>
        <w:rPr>
          <w:rStyle w:val="af8"/>
          <w:rtl/>
        </w:rPr>
        <w:t>הרא"ה</w:t>
      </w:r>
      <w:r>
        <w:rPr>
          <w:rFonts w:hint="cs"/>
          <w:rtl/>
        </w:rPr>
        <w:t>.</w:t>
      </w:r>
      <w:bookmarkEnd w:id="13360"/>
    </w:p>
    <w:p w:rsidR="0028438A" w:rsidRDefault="0028438A" w:rsidP="0028438A">
      <w:pPr>
        <w:pStyle w:val="a2"/>
        <w:rPr>
          <w:rtl/>
        </w:rPr>
      </w:pPr>
      <w:bookmarkStart w:id="13362" w:name="_Toc23984302"/>
      <w:bookmarkStart w:id="13363" w:name="_Toc23972137"/>
      <w:bookmarkStart w:id="13364" w:name="_Toc23960323"/>
      <w:bookmarkStart w:id="13365" w:name="_Toc23945728"/>
      <w:bookmarkStart w:id="13366" w:name="_Toc23887356"/>
      <w:bookmarkStart w:id="13367" w:name="_Toc23850464"/>
      <w:bookmarkStart w:id="13368" w:name="_Toc23799264"/>
      <w:bookmarkEnd w:id="13361"/>
      <w:r>
        <w:rPr>
          <w:rFonts w:hint="cs"/>
          <w:rtl/>
        </w:rPr>
        <w:t>דברי היד יהודה דמבואר ברא"ה ובר"ן דאסור לאכול את כל התערובת בבת אחת</w:t>
      </w:r>
      <w:bookmarkEnd w:id="13362"/>
      <w:bookmarkEnd w:id="13363"/>
      <w:bookmarkEnd w:id="13364"/>
      <w:bookmarkEnd w:id="13365"/>
    </w:p>
    <w:p w:rsidR="0028438A" w:rsidRDefault="0028438A" w:rsidP="009F44AF">
      <w:pPr>
        <w:pStyle w:val="a"/>
        <w:numPr>
          <w:ilvl w:val="0"/>
          <w:numId w:val="17"/>
        </w:numPr>
        <w:rPr>
          <w:rtl/>
        </w:rPr>
      </w:pPr>
      <w:r>
        <w:rPr>
          <w:rFonts w:hint="cs"/>
          <w:rtl/>
        </w:rPr>
        <w:t xml:space="preserve">כתב </w:t>
      </w:r>
      <w:r>
        <w:rPr>
          <w:rStyle w:val="af8"/>
          <w:rtl/>
        </w:rPr>
        <w:t>היד יהודה</w:t>
      </w:r>
      <w:r>
        <w:rPr>
          <w:rFonts w:hint="cs"/>
          <w:rtl/>
        </w:rPr>
        <w:t xml:space="preserve"> </w:t>
      </w:r>
      <w:r w:rsidRPr="009F44AF">
        <w:rPr>
          <w:rStyle w:val="af6"/>
          <w:rFonts w:eastAsia="Guttman Hodes" w:hint="cs"/>
          <w:rtl/>
        </w:rPr>
        <w:t>(סי' ס"ט ס"ק ס"א ד"ה והנה ראיתי, ק"ט סק"ג ד"ה והנה יבש ביבש)</w:t>
      </w:r>
      <w:r>
        <w:rPr>
          <w:rFonts w:hint="cs"/>
          <w:rtl/>
        </w:rPr>
        <w:t xml:space="preserve"> דמבואר מדברי </w:t>
      </w:r>
      <w:r>
        <w:rPr>
          <w:rStyle w:val="af8"/>
          <w:rtl/>
        </w:rPr>
        <w:t xml:space="preserve">הר"ן </w:t>
      </w:r>
      <w:r>
        <w:rPr>
          <w:rFonts w:hint="cs"/>
          <w:rtl/>
        </w:rPr>
        <w:t xml:space="preserve">בשם </w:t>
      </w:r>
      <w:r>
        <w:rPr>
          <w:rStyle w:val="af8"/>
          <w:rtl/>
        </w:rPr>
        <w:t xml:space="preserve">הרא"ה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Ref23957048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Fonts w:hint="cs"/>
          <w:rtl/>
        </w:rPr>
        <w:fldChar w:fldCharType="end"/>
      </w:r>
      <w:r>
        <w:rPr>
          <w:rStyle w:val="af8"/>
          <w:rtl/>
        </w:rPr>
        <w:t xml:space="preserve"> </w:t>
      </w:r>
      <w:r>
        <w:rPr>
          <w:rFonts w:hint="cs"/>
          <w:rtl/>
        </w:rPr>
        <w:t xml:space="preserve">ומדברי </w:t>
      </w:r>
      <w:r>
        <w:rPr>
          <w:rStyle w:val="af8"/>
          <w:rtl/>
        </w:rPr>
        <w:t xml:space="preserve">הרא"ה בבד"ה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Ref24283182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נג</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דס"ל </w:t>
      </w:r>
      <w:r>
        <w:rPr>
          <w:rStyle w:val="af8"/>
          <w:rtl/>
        </w:rPr>
        <w:t xml:space="preserve">כהרשב"א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דאסור לאכול את התערובת בבת אחת, וכתב היד יהודה דכן מבואר להדיא בדברי הרא"ה בבד"ה אך יעוי' במה שביאר </w:t>
      </w:r>
      <w:r>
        <w:rPr>
          <w:rStyle w:val="af8"/>
          <w:rtl/>
        </w:rPr>
        <w:t>היד יהודה</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Ref23984422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w:t>
      </w:r>
      <w:r w:rsidR="004D1C5B">
        <w:rPr>
          <w:rStyle w:val="af6"/>
          <w:rFonts w:eastAsia="Guttman Hodes"/>
          <w:rtl/>
        </w:rPr>
        <w:t>)</w:t>
      </w:r>
      <w:r>
        <w:rPr>
          <w:rFonts w:hint="cs"/>
          <w:rtl/>
        </w:rPr>
        <w:fldChar w:fldCharType="end"/>
      </w:r>
      <w:r>
        <w:rPr>
          <w:rFonts w:hint="cs"/>
          <w:rtl/>
        </w:rPr>
        <w:t xml:space="preserve"> </w:t>
      </w:r>
      <w:r>
        <w:rPr>
          <w:rStyle w:val="af8"/>
          <w:rtl/>
        </w:rPr>
        <w:t xml:space="preserve">דלהרא"ה והר"ן </w:t>
      </w:r>
      <w:r>
        <w:rPr>
          <w:rFonts w:hint="cs"/>
          <w:rtl/>
        </w:rPr>
        <w:t xml:space="preserve">ההאיסור באוכל בבת אחת הוא מחמת דחשיב כלח, ולא ס"ל </w:t>
      </w:r>
      <w:r>
        <w:rPr>
          <w:rStyle w:val="af8"/>
          <w:rtl/>
        </w:rPr>
        <w:t>להרא"ה והר"ן</w:t>
      </w:r>
      <w:r>
        <w:rPr>
          <w:rFonts w:hint="cs"/>
          <w:rtl/>
        </w:rPr>
        <w:t xml:space="preserve"> כטעם </w:t>
      </w:r>
      <w:r>
        <w:rPr>
          <w:rStyle w:val="af8"/>
          <w:rtl/>
        </w:rPr>
        <w:t xml:space="preserve">הרשב"א </w:t>
      </w:r>
      <w:r>
        <w:rPr>
          <w:rFonts w:hint="cs"/>
          <w:rtl/>
        </w:rPr>
        <w:t xml:space="preserve">דההיתר הוא רק בזה אחר זה, כיון שעל כל חתיכה יכול לומר שהיא המותרת, וכתב </w:t>
      </w:r>
      <w:r>
        <w:rPr>
          <w:rStyle w:val="af8"/>
          <w:rtl/>
        </w:rPr>
        <w:t>היד יהודה</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Ref23957089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דלדעת </w:t>
      </w:r>
      <w:r>
        <w:rPr>
          <w:rStyle w:val="af8"/>
          <w:rtl/>
        </w:rPr>
        <w:t>הרשב"א</w:t>
      </w:r>
      <w:r>
        <w:rPr>
          <w:rFonts w:hint="cs"/>
          <w:rtl/>
        </w:rPr>
        <w:t xml:space="preserve"> אסור להוסיף היתר על האיסור ולבשלו אח"כ.</w:t>
      </w:r>
    </w:p>
    <w:p w:rsidR="0028438A" w:rsidRDefault="0028438A" w:rsidP="00E669F8">
      <w:pPr>
        <w:pStyle w:val="afd"/>
        <w:rPr>
          <w:rtl/>
        </w:rPr>
      </w:pPr>
      <w:bookmarkStart w:id="13369" w:name="_Toc23984303"/>
      <w:bookmarkStart w:id="13370" w:name="_Toc23972138"/>
      <w:bookmarkStart w:id="13371" w:name="_Toc23960324"/>
      <w:bookmarkStart w:id="13372" w:name="_Toc23945729"/>
      <w:r>
        <w:rPr>
          <w:rFonts w:hint="cs"/>
          <w:rtl/>
        </w:rPr>
        <w:t>בדעת הרשב"א באוכל ב' חתיכות יחד</w:t>
      </w:r>
      <w:bookmarkEnd w:id="13369"/>
      <w:bookmarkEnd w:id="13370"/>
      <w:bookmarkEnd w:id="13371"/>
      <w:bookmarkEnd w:id="13372"/>
    </w:p>
    <w:p w:rsidR="0028438A" w:rsidRDefault="0028438A" w:rsidP="00DA6853">
      <w:pPr>
        <w:pStyle w:val="1"/>
        <w:rPr>
          <w:rtl/>
        </w:rPr>
      </w:pPr>
      <w:bookmarkStart w:id="13373" w:name="_Toc23984304"/>
      <w:bookmarkStart w:id="13374" w:name="_Toc23972139"/>
      <w:bookmarkStart w:id="13375" w:name="_Toc23960325"/>
      <w:bookmarkStart w:id="13376" w:name="_Toc23945730"/>
      <w:r>
        <w:rPr>
          <w:rFonts w:hint="cs"/>
          <w:rtl/>
        </w:rPr>
        <w:t>דברי הש"ך</w:t>
      </w:r>
      <w:bookmarkEnd w:id="13338"/>
      <w:bookmarkEnd w:id="13339"/>
      <w:bookmarkEnd w:id="13340"/>
      <w:bookmarkEnd w:id="13341"/>
      <w:bookmarkEnd w:id="13342"/>
      <w:bookmarkEnd w:id="13366"/>
      <w:bookmarkEnd w:id="13367"/>
      <w:bookmarkEnd w:id="13368"/>
      <w:r>
        <w:rPr>
          <w:rFonts w:hint="cs"/>
          <w:rtl/>
        </w:rPr>
        <w:t xml:space="preserve"> דלהרשב"א מותר לאכול ב' חתיכות יחד מתוך ג'</w:t>
      </w:r>
      <w:bookmarkEnd w:id="13373"/>
      <w:bookmarkEnd w:id="13374"/>
      <w:bookmarkEnd w:id="13375"/>
      <w:bookmarkEnd w:id="13376"/>
    </w:p>
    <w:p w:rsidR="0028438A" w:rsidRDefault="0028438A" w:rsidP="0028438A">
      <w:pPr>
        <w:pStyle w:val="a2"/>
        <w:rPr>
          <w:b/>
          <w:bCs/>
          <w:rtl/>
        </w:rPr>
      </w:pPr>
      <w:bookmarkStart w:id="13377" w:name="_Toc23984305"/>
      <w:bookmarkStart w:id="13378" w:name="_Toc23972140"/>
      <w:bookmarkStart w:id="13379" w:name="_Toc23960326"/>
      <w:bookmarkStart w:id="13380" w:name="_Toc23945731"/>
      <w:r>
        <w:rPr>
          <w:rFonts w:hint="cs"/>
          <w:rtl/>
        </w:rPr>
        <w:t>דברי הש"ך דלהרשב"א מותר לאכול יחד ב' חתיכות מתוך ג' דאפש"ל ששניהם מותרות</w:t>
      </w:r>
      <w:bookmarkEnd w:id="13377"/>
      <w:bookmarkEnd w:id="13378"/>
      <w:bookmarkEnd w:id="13379"/>
      <w:bookmarkEnd w:id="13380"/>
    </w:p>
    <w:p w:rsidR="0028438A" w:rsidRDefault="0028438A" w:rsidP="009F44AF">
      <w:pPr>
        <w:pStyle w:val="a"/>
        <w:numPr>
          <w:ilvl w:val="0"/>
          <w:numId w:val="17"/>
        </w:numPr>
        <w:rPr>
          <w:rtl/>
        </w:rPr>
      </w:pPr>
      <w:r>
        <w:rPr>
          <w:rFonts w:hint="cs"/>
          <w:rtl/>
        </w:rPr>
        <w:t xml:space="preserve">כתב </w:t>
      </w:r>
      <w:r>
        <w:rPr>
          <w:rStyle w:val="af8"/>
          <w:rtl/>
        </w:rPr>
        <w:t>הש"ך</w:t>
      </w:r>
      <w:r>
        <w:rPr>
          <w:rFonts w:hint="cs"/>
          <w:rtl/>
        </w:rPr>
        <w:t xml:space="preserve"> </w:t>
      </w:r>
      <w:r w:rsidRPr="009F44AF">
        <w:rPr>
          <w:rStyle w:val="af6"/>
          <w:rFonts w:eastAsia="Guttman Hodes" w:hint="cs"/>
          <w:rtl/>
        </w:rPr>
        <w:t>(סי' ק"ט סק"ז)</w:t>
      </w:r>
      <w:r>
        <w:rPr>
          <w:rFonts w:hint="cs"/>
          <w:rtl/>
        </w:rPr>
        <w:t xml:space="preserve"> דכיון דכתב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Pr>
          <w:rFonts w:hint="cs"/>
          <w:rtl/>
        </w:rPr>
        <w:t xml:space="preserve"> דההיתר ביבש ביבש הוא כיון דעל כל חתיכה יכול לומר שהיא החתיכה המותרת, משא"כ בלח בלח שא"א לומר כן, וכתב </w:t>
      </w:r>
      <w:r>
        <w:rPr>
          <w:rStyle w:val="af8"/>
          <w:rtl/>
        </w:rPr>
        <w:t>הש"ך</w:t>
      </w:r>
      <w:r>
        <w:rPr>
          <w:rFonts w:hint="cs"/>
          <w:rtl/>
        </w:rPr>
        <w:t xml:space="preserve"> דכיון דלכן אסר </w:t>
      </w:r>
      <w:r>
        <w:rPr>
          <w:rStyle w:val="af8"/>
          <w:rtl/>
        </w:rPr>
        <w:t>הרשב"א</w:t>
      </w:r>
      <w:r>
        <w:rPr>
          <w:rFonts w:hint="cs"/>
          <w:rtl/>
        </w:rPr>
        <w:t xml:space="preserve"> לאכול בבת אחת, א"כ מבואר דמותר לאכול ב' חתיכות מתוך הג' חתיכות שבתערובת, ורק את שלושתן כאחד אסור לאכול, וכתב </w:t>
      </w:r>
      <w:r>
        <w:rPr>
          <w:rStyle w:val="af8"/>
          <w:rtl/>
        </w:rPr>
        <w:t>הש"ך</w:t>
      </w:r>
      <w:r>
        <w:rPr>
          <w:rFonts w:hint="cs"/>
          <w:rtl/>
        </w:rPr>
        <w:t xml:space="preserve"> דכן משמע מדברי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Ref23943584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w:t>
      </w:r>
      <w:r w:rsidR="004D1C5B">
        <w:rPr>
          <w:rStyle w:val="af6"/>
          <w:rFonts w:eastAsia="Guttman Hodes"/>
          <w:rtl/>
        </w:rPr>
        <w:t>)</w:t>
      </w:r>
      <w:r>
        <w:rPr>
          <w:rFonts w:hint="cs"/>
          <w:rtl/>
        </w:rPr>
        <w:fldChar w:fldCharType="end"/>
      </w:r>
      <w:r>
        <w:rPr>
          <w:rFonts w:hint="cs"/>
          <w:rtl/>
        </w:rPr>
        <w:t xml:space="preserve"> דהתיר לבשל את התערובת בב' קדירות.</w:t>
      </w:r>
    </w:p>
    <w:p w:rsidR="0028438A" w:rsidRDefault="0028438A" w:rsidP="0028438A">
      <w:pPr>
        <w:pStyle w:val="a2"/>
        <w:rPr>
          <w:rtl/>
        </w:rPr>
      </w:pPr>
      <w:bookmarkStart w:id="13381" w:name="_Toc23984306"/>
      <w:bookmarkStart w:id="13382" w:name="_Toc23972141"/>
      <w:bookmarkStart w:id="13383" w:name="_Toc23960327"/>
      <w:bookmarkStart w:id="13384" w:name="_Toc23945732"/>
      <w:r>
        <w:rPr>
          <w:rFonts w:hint="cs"/>
          <w:rtl/>
        </w:rPr>
        <w:t>דברי החזו"א דכל חתיכה בפנ"ע מותרת מדין כל דפריש ובב' חתיכות מתוך ג' אין כל דפריש</w:t>
      </w:r>
      <w:bookmarkEnd w:id="13381"/>
      <w:bookmarkEnd w:id="13382"/>
      <w:bookmarkEnd w:id="13383"/>
      <w:bookmarkEnd w:id="13384"/>
    </w:p>
    <w:p w:rsidR="0028438A" w:rsidRDefault="0028438A" w:rsidP="009F44AF">
      <w:pPr>
        <w:pStyle w:val="a"/>
        <w:numPr>
          <w:ilvl w:val="0"/>
          <w:numId w:val="17"/>
        </w:numPr>
      </w:pPr>
      <w:r>
        <w:rPr>
          <w:rFonts w:hint="cs"/>
          <w:rtl/>
        </w:rPr>
        <w:t xml:space="preserve">וביאר </w:t>
      </w:r>
      <w:r>
        <w:rPr>
          <w:rStyle w:val="af8"/>
          <w:rtl/>
        </w:rPr>
        <w:t>החזו"א</w:t>
      </w:r>
      <w:r>
        <w:rPr>
          <w:rFonts w:hint="cs"/>
          <w:rtl/>
        </w:rPr>
        <w:t xml:space="preserve"> </w:t>
      </w:r>
      <w:r w:rsidRPr="009F44AF">
        <w:rPr>
          <w:rStyle w:val="af6"/>
          <w:rFonts w:eastAsia="Guttman Hodes" w:hint="cs"/>
          <w:rtl/>
        </w:rPr>
        <w:t>(ערלה סי' ג' סק"ב ד"ה ה"ז)</w:t>
      </w:r>
      <w:r>
        <w:rPr>
          <w:rFonts w:hint="cs"/>
          <w:rtl/>
        </w:rPr>
        <w:t xml:space="preserve"> את דברי </w:t>
      </w:r>
      <w:r>
        <w:rPr>
          <w:rStyle w:val="af8"/>
          <w:rtl/>
        </w:rPr>
        <w:t>הש"ך</w:t>
      </w:r>
      <w:r>
        <w:rPr>
          <w:rFonts w:hint="cs"/>
          <w:rtl/>
        </w:rPr>
        <w:t xml:space="preserve"> דכשאוכל חתיכה אחת מתוך התערובת, היא מותרת מדין כל דפריש מרובא פריש, וכשנוטל ב' חתיכות מתוך הג' חתיכות שבתערובת, אעפ"י שא"א </w:t>
      </w:r>
      <w:r>
        <w:rPr>
          <w:rFonts w:hint="cs"/>
          <w:rtl/>
        </w:rPr>
        <w:t>לומר שהם מותרות מדין כל דפריש, דאדרבה הרוב פרש מהתערובת ומדין כל דפריש האיסור הוא בב' החתיכות שנטל.</w:t>
      </w:r>
    </w:p>
    <w:p w:rsidR="0028438A" w:rsidRDefault="0028438A" w:rsidP="0028438A">
      <w:pPr>
        <w:pStyle w:val="a2"/>
        <w:rPr>
          <w:rtl/>
        </w:rPr>
      </w:pPr>
      <w:bookmarkStart w:id="13385" w:name="_Toc23984307"/>
      <w:bookmarkStart w:id="13386" w:name="_Toc23972142"/>
      <w:bookmarkStart w:id="13387" w:name="_Toc23960328"/>
      <w:bookmarkStart w:id="13388" w:name="_Toc23945733"/>
      <w:r>
        <w:rPr>
          <w:rFonts w:hint="cs"/>
          <w:rtl/>
        </w:rPr>
        <w:t>ביאור החזו"א בש"ך דכיון שכ"א מותרת א"כ חשיב שאין כאן איסור ואף ב' מותרות מדין ביטול</w:t>
      </w:r>
      <w:bookmarkEnd w:id="13385"/>
      <w:bookmarkEnd w:id="13386"/>
      <w:bookmarkEnd w:id="13387"/>
      <w:bookmarkEnd w:id="13388"/>
    </w:p>
    <w:p w:rsidR="0028438A" w:rsidRDefault="0028438A" w:rsidP="009F44AF">
      <w:pPr>
        <w:pStyle w:val="a"/>
        <w:numPr>
          <w:ilvl w:val="0"/>
          <w:numId w:val="17"/>
        </w:numPr>
      </w:pPr>
      <w:r>
        <w:rPr>
          <w:rFonts w:hint="cs"/>
          <w:rtl/>
        </w:rPr>
        <w:t xml:space="preserve">וביאר </w:t>
      </w:r>
      <w:r>
        <w:rPr>
          <w:rStyle w:val="af8"/>
          <w:rtl/>
        </w:rPr>
        <w:t>החזו"א</w:t>
      </w:r>
      <w:r>
        <w:rPr>
          <w:rFonts w:hint="cs"/>
          <w:rtl/>
        </w:rPr>
        <w:t xml:space="preserve"> דס"ל </w:t>
      </w:r>
      <w:r>
        <w:rPr>
          <w:rStyle w:val="af8"/>
          <w:rtl/>
        </w:rPr>
        <w:t>להש"ך</w:t>
      </w:r>
      <w:r>
        <w:rPr>
          <w:rFonts w:hint="cs"/>
          <w:rtl/>
        </w:rPr>
        <w:t xml:space="preserve"> דאף שאין בב' חתיכות היתר מדין כל דפריש, מ"מ מותר דכיון שמותר לו לקחת ולאכול כל חתיכה בפנ"ע, ואמרה תורה שהאיסור יתבטל ברוב, א"כ חשיב כמו שאין כאן איסור, אך מ"מ ס"ל </w:t>
      </w:r>
      <w:r>
        <w:rPr>
          <w:rStyle w:val="af8"/>
          <w:rtl/>
        </w:rPr>
        <w:t>להרשב"א</w:t>
      </w:r>
      <w:r>
        <w:rPr>
          <w:rFonts w:hint="cs"/>
          <w:rtl/>
        </w:rPr>
        <w:t xml:space="preserve"> דלאכול את כל התערובת בבת אחת אסור.</w:t>
      </w:r>
    </w:p>
    <w:p w:rsidR="0028438A" w:rsidRDefault="0028438A" w:rsidP="00DA6853">
      <w:pPr>
        <w:pStyle w:val="1"/>
        <w:rPr>
          <w:rtl/>
        </w:rPr>
      </w:pPr>
      <w:bookmarkStart w:id="13389" w:name="_Toc23945734"/>
      <w:bookmarkStart w:id="13390" w:name="_Toc23984308"/>
      <w:bookmarkStart w:id="13391" w:name="_Toc23972143"/>
      <w:bookmarkStart w:id="13392" w:name="_Toc23960329"/>
      <w:r>
        <w:rPr>
          <w:rFonts w:hint="cs"/>
          <w:rtl/>
        </w:rPr>
        <w:t>דברי השיטמ"ק והפרי תואר</w:t>
      </w:r>
      <w:bookmarkEnd w:id="13389"/>
      <w:r>
        <w:rPr>
          <w:rFonts w:hint="cs"/>
          <w:rtl/>
        </w:rPr>
        <w:t xml:space="preserve"> דאסור לאכול ב' חתיכות מתוך ג'</w:t>
      </w:r>
      <w:bookmarkEnd w:id="13390"/>
      <w:bookmarkEnd w:id="13391"/>
      <w:bookmarkEnd w:id="13392"/>
    </w:p>
    <w:p w:rsidR="0028438A" w:rsidRDefault="0028438A" w:rsidP="0028438A">
      <w:pPr>
        <w:pStyle w:val="a2"/>
        <w:rPr>
          <w:b/>
          <w:bCs/>
          <w:rtl/>
        </w:rPr>
      </w:pPr>
      <w:bookmarkStart w:id="13393" w:name="_Toc23984309"/>
      <w:bookmarkStart w:id="13394" w:name="_Toc23972144"/>
      <w:bookmarkStart w:id="13395" w:name="_Toc23960330"/>
      <w:r>
        <w:rPr>
          <w:rFonts w:hint="cs"/>
          <w:rtl/>
        </w:rPr>
        <w:t>דברי השיטמ"ק דבאוכל ב' חתיכות שהוא רוב התערובת אסור וחשיב כב' שבילין בבאו בב"א</w:t>
      </w:r>
      <w:bookmarkEnd w:id="13393"/>
      <w:bookmarkEnd w:id="13394"/>
      <w:bookmarkEnd w:id="13395"/>
    </w:p>
    <w:p w:rsidR="0028438A" w:rsidRDefault="0028438A" w:rsidP="009F44AF">
      <w:pPr>
        <w:pStyle w:val="a"/>
        <w:numPr>
          <w:ilvl w:val="0"/>
          <w:numId w:val="17"/>
        </w:numPr>
        <w:rPr>
          <w:rtl/>
        </w:rPr>
      </w:pPr>
      <w:bookmarkStart w:id="13396" w:name="_Ref23957936"/>
      <w:r>
        <w:rPr>
          <w:rFonts w:hint="cs"/>
          <w:rtl/>
        </w:rPr>
        <w:t xml:space="preserve">אבל </w:t>
      </w:r>
      <w:r>
        <w:rPr>
          <w:rStyle w:val="af8"/>
          <w:rtl/>
        </w:rPr>
        <w:t xml:space="preserve">השיטמ"ק בביצה </w:t>
      </w:r>
      <w:r w:rsidRPr="009F44AF">
        <w:rPr>
          <w:rStyle w:val="af6"/>
          <w:rFonts w:eastAsia="Guttman Hodes" w:hint="cs"/>
          <w:rtl/>
        </w:rPr>
        <w:t>(ג: ד"ה וכתב מורי)</w:t>
      </w:r>
      <w:r>
        <w:rPr>
          <w:rFonts w:hint="cs"/>
          <w:rtl/>
        </w:rPr>
        <w:t xml:space="preserve"> כתב בשם </w:t>
      </w:r>
      <w:r>
        <w:rPr>
          <w:rStyle w:val="af8"/>
          <w:rtl/>
        </w:rPr>
        <w:t xml:space="preserve">רבו [הרדב"ז] </w:t>
      </w:r>
      <w:r>
        <w:rPr>
          <w:rFonts w:hint="cs"/>
          <w:rtl/>
        </w:rPr>
        <w:t xml:space="preserve">דההיתר ביבש ביבש הוא רק לאכול כל חתיכה בפנ"ע, אבל אסור לאכול ב' חתיכות יחד, </w:t>
      </w:r>
      <w:r>
        <w:rPr>
          <w:rStyle w:val="afa"/>
          <w:rtl/>
        </w:rPr>
        <w:t xml:space="preserve">[בתערובת של ב' חתיכות היתר וחתיכה אחת של איסור], </w:t>
      </w:r>
      <w:r>
        <w:rPr>
          <w:rFonts w:hint="cs"/>
          <w:rtl/>
        </w:rPr>
        <w:t xml:space="preserve">דכיון שאוכל ב' חתיכות א"כ הוא אוכל את רוב התערובת יחד, ודמי לב' שבילין בבאו לישאל בבת אחת, ועוד הוסיף </w:t>
      </w:r>
      <w:r>
        <w:rPr>
          <w:rStyle w:val="af8"/>
          <w:rtl/>
        </w:rPr>
        <w:t xml:space="preserve">השיטמ"ק בביצה </w:t>
      </w:r>
      <w:r w:rsidRPr="009F44AF">
        <w:rPr>
          <w:rStyle w:val="af6"/>
          <w:rFonts w:eastAsia="Guttman Hodes" w:hint="cs"/>
          <w:rtl/>
        </w:rPr>
        <w:t>(ג: ד"ה הא דאקשינן)</w:t>
      </w:r>
      <w:r>
        <w:rPr>
          <w:rFonts w:hint="cs"/>
          <w:rtl/>
        </w:rPr>
        <w:t xml:space="preserve"> בשם </w:t>
      </w:r>
      <w:r>
        <w:rPr>
          <w:rStyle w:val="af8"/>
          <w:rtl/>
        </w:rPr>
        <w:t xml:space="preserve">רבו [הרדב"ז] </w:t>
      </w:r>
      <w:r>
        <w:rPr>
          <w:rFonts w:hint="cs"/>
          <w:rtl/>
        </w:rPr>
        <w:t>שיש טעם נוסף דצריך לאכול כל חתיכה בפנ"ע, כדי שלא יתנו טעם זה בזה.</w:t>
      </w:r>
      <w:bookmarkEnd w:id="13396"/>
    </w:p>
    <w:p w:rsidR="0028438A" w:rsidRDefault="0028438A" w:rsidP="0028438A">
      <w:pPr>
        <w:pStyle w:val="a2"/>
        <w:rPr>
          <w:rtl/>
        </w:rPr>
      </w:pPr>
      <w:bookmarkStart w:id="13397" w:name="_Toc23984310"/>
      <w:bookmarkStart w:id="13398" w:name="_Toc23972145"/>
      <w:bookmarkStart w:id="13399" w:name="_Toc23960331"/>
      <w:r>
        <w:rPr>
          <w:rFonts w:hint="cs"/>
          <w:rtl/>
        </w:rPr>
        <w:t>דברי הפרי תואר דלהרשב"א דאוסר בב"א כ"ש בב' חתיכות דמדין רוב אוכל איסור בלא ביטול</w:t>
      </w:r>
      <w:bookmarkEnd w:id="13397"/>
      <w:bookmarkEnd w:id="13398"/>
      <w:bookmarkEnd w:id="13399"/>
    </w:p>
    <w:p w:rsidR="0028438A" w:rsidRDefault="0028438A" w:rsidP="009F44AF">
      <w:pPr>
        <w:pStyle w:val="a"/>
        <w:numPr>
          <w:ilvl w:val="0"/>
          <w:numId w:val="17"/>
        </w:numPr>
        <w:rPr>
          <w:rtl/>
        </w:rPr>
      </w:pPr>
      <w:r>
        <w:rPr>
          <w:rFonts w:hint="cs"/>
          <w:rtl/>
        </w:rPr>
        <w:t xml:space="preserve">וכעי"ז כתב </w:t>
      </w:r>
      <w:r>
        <w:rPr>
          <w:rStyle w:val="af8"/>
          <w:rtl/>
        </w:rPr>
        <w:t xml:space="preserve">הפרי תואר </w:t>
      </w:r>
      <w:r w:rsidRPr="009F44AF">
        <w:rPr>
          <w:rStyle w:val="af6"/>
          <w:rFonts w:eastAsia="Guttman Hodes" w:hint="cs"/>
          <w:rtl/>
        </w:rPr>
        <w:t>(סי' ק"ט סק"ג)</w:t>
      </w:r>
      <w:r>
        <w:rPr>
          <w:rFonts w:hint="cs"/>
          <w:rtl/>
        </w:rPr>
        <w:t xml:space="preserve"> דלדעת </w:t>
      </w:r>
      <w:r>
        <w:rPr>
          <w:rStyle w:val="af8"/>
          <w:rtl/>
        </w:rPr>
        <w:t xml:space="preserve">הרשב"א </w:t>
      </w:r>
      <w:bookmarkStart w:id="13400" w:name="_Toc23945735"/>
      <w:bookmarkStart w:id="13401" w:name="_Toc23887357"/>
      <w:bookmarkStart w:id="13402" w:name="_Toc23850465"/>
      <w:bookmarkStart w:id="13403" w:name="_Toc23799265"/>
      <w:bookmarkStart w:id="13404" w:name="_Toc23712666"/>
      <w:bookmarkStart w:id="13405" w:name="_Toc23372628"/>
      <w:bookmarkStart w:id="13406" w:name="_Toc23223991"/>
      <w:bookmarkStart w:id="13407" w:name="_Toc22638912"/>
      <w:bookmarkStart w:id="13408" w:name="_Toc22250686"/>
      <w:r>
        <w:rPr>
          <w:rFonts w:hint="cs"/>
          <w:rtl/>
        </w:rPr>
        <w:t xml:space="preserve">כיון שאסור לאכול את כל התערובת בבת אחת, א"כ כ"ש דאסור לאכול ב' חתיכות יחד, דכיון דאזלינן בתר הרוב, א"כ נחשב שהאיסור הוא בתוך ב' החתיכות שאוכל יחד, ואין האיסור מתבטל, וחשיב כאילו אכל את האיסור בעין, ורק כשאוכל את שלושתם יחד אף שהאיסור הוא ודאי בעין מ"מ הרי מדאו' מהני בו ביטול ולא גזרו רבנן להצריך שישים ביבש, עיי"ש במה שהאריך בזה. </w:t>
      </w:r>
    </w:p>
    <w:p w:rsidR="0028438A" w:rsidRDefault="0028438A" w:rsidP="00E669F8">
      <w:pPr>
        <w:pStyle w:val="afd"/>
        <w:rPr>
          <w:rtl/>
        </w:rPr>
      </w:pPr>
      <w:bookmarkStart w:id="13409" w:name="_Toc23984311"/>
      <w:bookmarkStart w:id="13410" w:name="_Toc23972146"/>
      <w:bookmarkStart w:id="13411" w:name="_Toc23960332"/>
      <w:r>
        <w:rPr>
          <w:rFonts w:hint="cs"/>
          <w:rtl/>
        </w:rPr>
        <w:t>דעת הסוברים דהרשב"א אסר מדאו'</w:t>
      </w:r>
      <w:bookmarkEnd w:id="13400"/>
      <w:bookmarkEnd w:id="13401"/>
      <w:bookmarkEnd w:id="13402"/>
      <w:bookmarkEnd w:id="13403"/>
      <w:bookmarkEnd w:id="13404"/>
      <w:bookmarkEnd w:id="13405"/>
      <w:bookmarkEnd w:id="13406"/>
      <w:bookmarkEnd w:id="13407"/>
      <w:bookmarkEnd w:id="13408"/>
      <w:bookmarkEnd w:id="13409"/>
      <w:bookmarkEnd w:id="13410"/>
      <w:bookmarkEnd w:id="13411"/>
    </w:p>
    <w:p w:rsidR="0028438A" w:rsidRDefault="0028438A" w:rsidP="00DA6853">
      <w:pPr>
        <w:pStyle w:val="1"/>
        <w:rPr>
          <w:rtl/>
        </w:rPr>
      </w:pPr>
      <w:bookmarkStart w:id="13412" w:name="_Toc23945736"/>
      <w:bookmarkStart w:id="13413" w:name="_Toc23887358"/>
      <w:bookmarkStart w:id="13414" w:name="_Toc23850466"/>
      <w:bookmarkStart w:id="13415" w:name="_Toc23799266"/>
      <w:bookmarkStart w:id="13416" w:name="_Toc23712667"/>
      <w:bookmarkStart w:id="13417" w:name="_Toc23372629"/>
      <w:bookmarkStart w:id="13418" w:name="_Toc23223992"/>
      <w:bookmarkStart w:id="13419" w:name="_Toc22638913"/>
      <w:bookmarkStart w:id="13420" w:name="_Toc22250688"/>
      <w:bookmarkStart w:id="13421" w:name="_Toc23984312"/>
      <w:bookmarkStart w:id="13422" w:name="_Toc23972147"/>
      <w:bookmarkStart w:id="13423" w:name="_Toc23960333"/>
      <w:bookmarkStart w:id="13424" w:name="_Toc22250687"/>
      <w:r>
        <w:rPr>
          <w:rFonts w:hint="cs"/>
          <w:rtl/>
        </w:rPr>
        <w:t>ביאור הקרן אורה ברשב"א</w:t>
      </w:r>
      <w:bookmarkEnd w:id="13412"/>
      <w:bookmarkEnd w:id="13413"/>
      <w:bookmarkEnd w:id="13414"/>
      <w:bookmarkEnd w:id="13415"/>
      <w:bookmarkEnd w:id="13416"/>
      <w:bookmarkEnd w:id="13417"/>
      <w:bookmarkEnd w:id="13418"/>
      <w:bookmarkEnd w:id="13419"/>
      <w:bookmarkEnd w:id="13420"/>
      <w:r>
        <w:rPr>
          <w:rFonts w:hint="cs"/>
          <w:rtl/>
        </w:rPr>
        <w:t xml:space="preserve"> דמדאו' אסור לאכול בב"א</w:t>
      </w:r>
      <w:bookmarkEnd w:id="13421"/>
      <w:bookmarkEnd w:id="13422"/>
      <w:bookmarkEnd w:id="13423"/>
    </w:p>
    <w:p w:rsidR="0028438A" w:rsidRDefault="0028438A" w:rsidP="0028438A">
      <w:pPr>
        <w:pStyle w:val="a2"/>
        <w:rPr>
          <w:b/>
          <w:bCs/>
          <w:rtl/>
        </w:rPr>
      </w:pPr>
      <w:bookmarkStart w:id="13425" w:name="_Toc23984313"/>
      <w:bookmarkStart w:id="13426" w:name="_Toc23972148"/>
      <w:bookmarkStart w:id="13427" w:name="_Toc23960334"/>
      <w:r>
        <w:rPr>
          <w:rFonts w:hint="cs"/>
          <w:rtl/>
        </w:rPr>
        <w:t>דברי הקרן אורה דלהרשב"א אסור מדאו' אך בב' בנ"א ודאי דמדאו' מהני ביטול ברוב</w:t>
      </w:r>
      <w:bookmarkEnd w:id="13425"/>
      <w:bookmarkEnd w:id="13426"/>
      <w:bookmarkEnd w:id="13427"/>
    </w:p>
    <w:p w:rsidR="0028438A" w:rsidRDefault="0028438A" w:rsidP="009F44AF">
      <w:pPr>
        <w:pStyle w:val="a"/>
        <w:numPr>
          <w:ilvl w:val="0"/>
          <w:numId w:val="17"/>
        </w:numPr>
        <w:rPr>
          <w:rStyle w:val="afa"/>
          <w:rtl/>
        </w:rPr>
      </w:pPr>
      <w:bookmarkStart w:id="13428" w:name="_Ref25005435"/>
      <w:bookmarkStart w:id="13429" w:name="_Ref22109097"/>
      <w:r>
        <w:rPr>
          <w:rFonts w:hint="cs"/>
          <w:rtl/>
        </w:rPr>
        <w:t xml:space="preserve">כתב </w:t>
      </w:r>
      <w:r>
        <w:rPr>
          <w:rStyle w:val="af8"/>
          <w:rtl/>
        </w:rPr>
        <w:t>הקרן אורה</w:t>
      </w:r>
      <w:r>
        <w:rPr>
          <w:rFonts w:hint="cs"/>
          <w:rtl/>
        </w:rPr>
        <w:t xml:space="preserve"> </w:t>
      </w:r>
      <w:r w:rsidRPr="009F44AF">
        <w:rPr>
          <w:rStyle w:val="af6"/>
          <w:rFonts w:eastAsia="Guttman Hodes" w:hint="cs"/>
          <w:rtl/>
        </w:rPr>
        <w:t>(נזיר לה: ד"ה ונבוא לביאור בתו"ד)</w:t>
      </w:r>
      <w:r>
        <w:rPr>
          <w:rFonts w:hint="cs"/>
          <w:rtl/>
        </w:rPr>
        <w:t xml:space="preserve"> </w:t>
      </w:r>
      <w:r>
        <w:rPr>
          <w:rStyle w:val="af8"/>
          <w:rtl/>
        </w:rPr>
        <w:t>דהרשב"א</w:t>
      </w:r>
      <w:r>
        <w:rPr>
          <w:rFonts w:hint="cs"/>
          <w:rtl/>
        </w:rPr>
        <w:t xml:space="preserve"> ס"ל דבביטול בחד בתרי האיסור כמאן דאיתיה אף מדאו', ולכן אסור לאכול את כל התערובת בבת אחת מדאו', </w:t>
      </w:r>
      <w:r>
        <w:rPr>
          <w:rStyle w:val="afa"/>
          <w:rtl/>
        </w:rPr>
        <w:t xml:space="preserve">[והוסיף </w:t>
      </w:r>
      <w:r>
        <w:rPr>
          <w:rStyle w:val="affa"/>
          <w:rtl/>
        </w:rPr>
        <w:t>הקרן אורה</w:t>
      </w:r>
      <w:r>
        <w:rPr>
          <w:rStyle w:val="afa"/>
          <w:rtl/>
        </w:rPr>
        <w:t xml:space="preserve"> דאף אי טעם כעיקר דרבנן, מ"מ יתחייב כשאוכל כזית בכדי אכילת פרס, וכדברי </w:t>
      </w:r>
      <w:r>
        <w:rPr>
          <w:rStyle w:val="affa"/>
          <w:rtl/>
        </w:rPr>
        <w:t>הר"ש בטבו"י</w:t>
      </w:r>
      <w:r>
        <w:rPr>
          <w:rStyle w:val="afa"/>
          <w:rtl/>
        </w:rPr>
        <w:t xml:space="preserve"> </w:t>
      </w:r>
      <w:r>
        <w:rPr>
          <w:rStyle w:val="aff6"/>
          <w:rtl/>
        </w:rPr>
        <w:t>(</w:t>
      </w:r>
      <w:r w:rsidR="00D3196A">
        <w:rPr>
          <w:rStyle w:val="aff6"/>
          <w:rtl/>
        </w:rPr>
        <w:t>הובא בסימן</w:t>
      </w:r>
      <w:r>
        <w:rPr>
          <w:rStyle w:val="aff6"/>
          <w:rtl/>
        </w:rPr>
        <w:t xml:space="preserve"> ט"ז אות ל"ד) </w:t>
      </w:r>
      <w:r>
        <w:rPr>
          <w:rStyle w:val="afa"/>
          <w:rtl/>
        </w:rPr>
        <w:t xml:space="preserve">דחייב בכזית בכדי אכילת פרס מדאו'], </w:t>
      </w:r>
      <w:r>
        <w:rPr>
          <w:rFonts w:hint="cs"/>
          <w:rtl/>
        </w:rPr>
        <w:t xml:space="preserve">אך כתב </w:t>
      </w:r>
      <w:r>
        <w:rPr>
          <w:rStyle w:val="af8"/>
          <w:rtl/>
        </w:rPr>
        <w:t>הקרן אורה</w:t>
      </w:r>
      <w:r>
        <w:rPr>
          <w:rFonts w:hint="cs"/>
          <w:rtl/>
        </w:rPr>
        <w:t xml:space="preserve"> דרק לאדם אחד אינו מתבטל מדאו', אך כמה בנ"א פשיטא דמותרים לאוכלם בבת אחת, דבטל ברוב מדאו', </w:t>
      </w:r>
      <w:r>
        <w:rPr>
          <w:rStyle w:val="afa"/>
          <w:rtl/>
        </w:rPr>
        <w:t xml:space="preserve">[וצ"ב </w:t>
      </w:r>
      <w:r>
        <w:rPr>
          <w:rStyle w:val="affa"/>
          <w:rtl/>
        </w:rPr>
        <w:t>דברשב"א</w:t>
      </w:r>
      <w:r>
        <w:rPr>
          <w:rStyle w:val="afa"/>
          <w:rtl/>
        </w:rPr>
        <w:t xml:space="preserve"> לא הוזכר כלל חילוק בין אדם אחד לכמה בנ"א, ועי' </w:t>
      </w:r>
      <w:r>
        <w:rPr>
          <w:rStyle w:val="affa"/>
          <w:rtl/>
        </w:rPr>
        <w:t>בדרכ"מ</w:t>
      </w:r>
      <w:r>
        <w:rPr>
          <w:rStyle w:val="afa"/>
          <w:rtl/>
        </w:rPr>
        <w:t xml:space="preserve"> </w:t>
      </w:r>
      <w:r>
        <w:rPr>
          <w:rStyle w:val="aff6"/>
          <w:rtl/>
        </w:rPr>
        <w:t>(סי' ק"ט ד')</w:t>
      </w:r>
      <w:r>
        <w:rPr>
          <w:rStyle w:val="afa"/>
          <w:rtl/>
        </w:rPr>
        <w:t xml:space="preserve"> דכ"כ בדעת </w:t>
      </w:r>
      <w:r>
        <w:rPr>
          <w:rStyle w:val="affa"/>
          <w:rtl/>
        </w:rPr>
        <w:t>הרשב"א</w:t>
      </w:r>
      <w:r>
        <w:rPr>
          <w:rStyle w:val="afa"/>
          <w:rtl/>
        </w:rPr>
        <w:t xml:space="preserve">, ובמה שתמה עליו </w:t>
      </w:r>
      <w:r>
        <w:rPr>
          <w:rStyle w:val="affa"/>
          <w:rtl/>
        </w:rPr>
        <w:t>היד יהודה</w:t>
      </w:r>
      <w:r>
        <w:rPr>
          <w:rStyle w:val="afa"/>
          <w:rtl/>
        </w:rPr>
        <w:t xml:space="preserve"> </w:t>
      </w:r>
      <w:r>
        <w:rPr>
          <w:rStyle w:val="aff6"/>
          <w:rtl/>
        </w:rPr>
        <w:t>(סי' ק"ט סקי"ב)</w:t>
      </w:r>
      <w:r>
        <w:rPr>
          <w:rStyle w:val="afa"/>
          <w:rtl/>
        </w:rPr>
        <w:t>].</w:t>
      </w:r>
      <w:bookmarkEnd w:id="13428"/>
    </w:p>
    <w:p w:rsidR="0028438A" w:rsidRDefault="0028438A" w:rsidP="0028438A">
      <w:pPr>
        <w:pStyle w:val="a2"/>
      </w:pPr>
      <w:bookmarkStart w:id="13430" w:name="_Toc23984314"/>
      <w:bookmarkStart w:id="13431" w:name="_Toc23972149"/>
      <w:r>
        <w:rPr>
          <w:rFonts w:hint="cs"/>
          <w:rtl/>
        </w:rPr>
        <w:t>דברי הגרש"ש דבב"י מבואר דהרא"ש והרשב"א נחלקו בהיתר אכילה בב"א מדאו'</w:t>
      </w:r>
      <w:bookmarkEnd w:id="13430"/>
      <w:bookmarkEnd w:id="13431"/>
      <w:r>
        <w:rPr>
          <w:rFonts w:hint="cs"/>
          <w:rtl/>
        </w:rPr>
        <w:t xml:space="preserve"> </w:t>
      </w:r>
    </w:p>
    <w:p w:rsidR="0028438A" w:rsidRDefault="0028438A" w:rsidP="009F44AF">
      <w:pPr>
        <w:pStyle w:val="a"/>
        <w:numPr>
          <w:ilvl w:val="0"/>
          <w:numId w:val="17"/>
        </w:numPr>
      </w:pPr>
      <w:r>
        <w:rPr>
          <w:rFonts w:hint="cs"/>
          <w:rtl/>
        </w:rPr>
        <w:t xml:space="preserve">כתב </w:t>
      </w:r>
      <w:r>
        <w:rPr>
          <w:rStyle w:val="af8"/>
          <w:rtl/>
        </w:rPr>
        <w:t>בחי' הגרש"ש בב"מ</w:t>
      </w:r>
      <w:r>
        <w:rPr>
          <w:rFonts w:hint="cs"/>
          <w:rtl/>
        </w:rPr>
        <w:t xml:space="preserve"> </w:t>
      </w:r>
      <w:r w:rsidRPr="009F44AF">
        <w:rPr>
          <w:rStyle w:val="af6"/>
          <w:rFonts w:eastAsia="Guttman Hodes" w:hint="cs"/>
          <w:rtl/>
        </w:rPr>
        <w:t>(סי' ז' [מהדו' חד' סי' ח'] אות ד')</w:t>
      </w:r>
      <w:r>
        <w:rPr>
          <w:rFonts w:hint="cs"/>
          <w:rtl/>
        </w:rPr>
        <w:t xml:space="preserve"> דמדברי </w:t>
      </w:r>
      <w:r>
        <w:rPr>
          <w:rStyle w:val="af8"/>
          <w:rtl/>
        </w:rPr>
        <w:t>הב"י</w:t>
      </w:r>
      <w:r>
        <w:rPr>
          <w:rFonts w:hint="cs"/>
          <w:rtl/>
        </w:rPr>
        <w:t xml:space="preserve"> </w:t>
      </w:r>
      <w:r w:rsidRPr="009F44AF">
        <w:rPr>
          <w:rStyle w:val="af6"/>
          <w:rFonts w:eastAsia="Guttman Hodes" w:hint="cs"/>
          <w:rtl/>
        </w:rPr>
        <w:t>(סי' ק"ט א')</w:t>
      </w:r>
      <w:r>
        <w:rPr>
          <w:rFonts w:hint="cs"/>
          <w:rtl/>
        </w:rPr>
        <w:t xml:space="preserve"> משמע </w:t>
      </w:r>
      <w:r>
        <w:rPr>
          <w:rStyle w:val="af8"/>
          <w:rtl/>
        </w:rPr>
        <w:t xml:space="preserve">דהרשב"א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Style w:val="af8"/>
          <w:rtl/>
        </w:rPr>
        <w:t>והרא"ש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נחלקו אי מהני ביטול ברוב מדאו', , ועי' במה שביאר בזה</w:t>
      </w:r>
      <w:r>
        <w:rPr>
          <w:rStyle w:val="af8"/>
          <w:rtl/>
        </w:rPr>
        <w:t xml:space="preserve"> הגרש"ש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Ref23970444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פד</w:t>
      </w:r>
      <w:r w:rsidR="004D1C5B">
        <w:rPr>
          <w:rStyle w:val="af6"/>
          <w:rFonts w:eastAsia="Guttman Hodes"/>
          <w:rtl/>
        </w:rPr>
        <w:t>)</w:t>
      </w:r>
      <w:r>
        <w:rPr>
          <w:rFonts w:hint="cs"/>
          <w:rtl/>
        </w:rPr>
        <w:fldChar w:fldCharType="end"/>
      </w:r>
      <w:r>
        <w:rPr>
          <w:rFonts w:hint="cs"/>
          <w:rtl/>
        </w:rPr>
        <w:t xml:space="preserve">, וכ"כ </w:t>
      </w:r>
      <w:r>
        <w:rPr>
          <w:rStyle w:val="af8"/>
          <w:rtl/>
        </w:rPr>
        <w:t>בחי' הגרי"ז</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Ref22109135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Style w:val="af8"/>
          <w:rtl/>
        </w:rPr>
        <w:t>ובדברי יחזקאל</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Ref23984577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קו</w:t>
      </w:r>
      <w:r w:rsidR="004D1C5B">
        <w:rPr>
          <w:rStyle w:val="af6"/>
          <w:rFonts w:eastAsia="Guttman Hodes"/>
          <w:rtl/>
        </w:rPr>
        <w:t>)</w:t>
      </w:r>
      <w:r>
        <w:rPr>
          <w:rFonts w:hint="cs"/>
          <w:rtl/>
        </w:rPr>
        <w:fldChar w:fldCharType="end"/>
      </w:r>
      <w:r>
        <w:rPr>
          <w:rFonts w:hint="cs"/>
          <w:rtl/>
        </w:rPr>
        <w:t xml:space="preserve"> דהא </w:t>
      </w:r>
      <w:r>
        <w:rPr>
          <w:rStyle w:val="af8"/>
          <w:rtl/>
        </w:rPr>
        <w:t>דלהרשב"א</w:t>
      </w:r>
      <w:r>
        <w:rPr>
          <w:rFonts w:hint="cs"/>
          <w:rtl/>
        </w:rPr>
        <w:t xml:space="preserve"> אסור לאכול את כל התערובת בבת אחת, הוא מדאו'. [ועי' במה שדחו </w:t>
      </w:r>
      <w:r>
        <w:rPr>
          <w:rStyle w:val="af8"/>
          <w:rtl/>
        </w:rPr>
        <w:t>הגרש"ש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Ref23971044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Style w:val="af8"/>
          <w:rtl/>
        </w:rPr>
        <w:t>ובשיעורי רבי אלחנן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Ref21685548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קלג</w:t>
      </w:r>
      <w:r w:rsidR="004D1C5B">
        <w:rPr>
          <w:rStyle w:val="af6"/>
          <w:rFonts w:eastAsia="Guttman Hodes"/>
          <w:rtl/>
        </w:rPr>
        <w:t>)</w:t>
      </w:r>
      <w:r>
        <w:rPr>
          <w:rFonts w:hint="cs"/>
          <w:rtl/>
        </w:rPr>
        <w:fldChar w:fldCharType="end"/>
      </w:r>
      <w:r>
        <w:rPr>
          <w:rFonts w:hint="cs"/>
          <w:rtl/>
        </w:rPr>
        <w:t xml:space="preserve"> דא"א לומר דהוא מדאו'].</w:t>
      </w:r>
      <w:bookmarkEnd w:id="13429"/>
    </w:p>
    <w:p w:rsidR="0028438A" w:rsidRDefault="0028438A" w:rsidP="0028438A">
      <w:pPr>
        <w:pStyle w:val="a2"/>
        <w:rPr>
          <w:rtl/>
        </w:rPr>
      </w:pPr>
      <w:bookmarkStart w:id="13432" w:name="_Toc23984315"/>
      <w:bookmarkStart w:id="13433" w:name="_Toc23972150"/>
      <w:bookmarkStart w:id="13434" w:name="_Toc23960335"/>
      <w:bookmarkStart w:id="13435" w:name="_Toc23945737"/>
      <w:bookmarkStart w:id="13436" w:name="_Toc23887359"/>
      <w:bookmarkStart w:id="13437" w:name="_Toc23850467"/>
      <w:bookmarkStart w:id="13438" w:name="_Toc23799267"/>
      <w:bookmarkStart w:id="13439" w:name="_Toc23712668"/>
      <w:bookmarkStart w:id="13440" w:name="_Toc23372630"/>
      <w:bookmarkStart w:id="13441" w:name="_Toc23223993"/>
      <w:bookmarkStart w:id="13442" w:name="_Toc22638914"/>
      <w:r>
        <w:rPr>
          <w:rFonts w:hint="cs"/>
          <w:rtl/>
        </w:rPr>
        <w:t>דברי החזו"א דאף אי להרשב"א אסור מדאו' היינו דחשיב ניכר אך מודה דהאיסור נהפך להיתר</w:t>
      </w:r>
      <w:bookmarkEnd w:id="13432"/>
      <w:bookmarkEnd w:id="13433"/>
      <w:bookmarkEnd w:id="13434"/>
      <w:bookmarkEnd w:id="13435"/>
      <w:bookmarkEnd w:id="13436"/>
      <w:bookmarkEnd w:id="13437"/>
      <w:bookmarkEnd w:id="13438"/>
      <w:bookmarkEnd w:id="13439"/>
      <w:bookmarkEnd w:id="13440"/>
      <w:bookmarkEnd w:id="13441"/>
      <w:bookmarkEnd w:id="13442"/>
    </w:p>
    <w:p w:rsidR="0028438A" w:rsidRDefault="0028438A" w:rsidP="009F44AF">
      <w:pPr>
        <w:pStyle w:val="a"/>
        <w:numPr>
          <w:ilvl w:val="0"/>
          <w:numId w:val="17"/>
        </w:numPr>
        <w:rPr>
          <w:rtl/>
        </w:rPr>
      </w:pPr>
      <w:bookmarkStart w:id="13443" w:name="_Ref22236287"/>
      <w:r>
        <w:rPr>
          <w:rFonts w:hint="cs"/>
          <w:rtl/>
        </w:rPr>
        <w:t xml:space="preserve">כתב </w:t>
      </w:r>
      <w:r>
        <w:rPr>
          <w:rStyle w:val="af8"/>
          <w:rtl/>
        </w:rPr>
        <w:t>החזו"א</w:t>
      </w:r>
      <w:r>
        <w:rPr>
          <w:rFonts w:hint="cs"/>
          <w:rtl/>
        </w:rPr>
        <w:t xml:space="preserve"> </w:t>
      </w:r>
      <w:r w:rsidRPr="009F44AF">
        <w:rPr>
          <w:rStyle w:val="af6"/>
          <w:rFonts w:eastAsia="Guttman Hodes" w:hint="cs"/>
          <w:rtl/>
        </w:rPr>
        <w:t>(סי' ר"ב סק"ב, מעשרות סי' ז' סק"ז ד"ה ונראה)</w:t>
      </w:r>
      <w:r>
        <w:rPr>
          <w:rFonts w:hint="cs"/>
          <w:rtl/>
        </w:rPr>
        <w:t xml:space="preserve"> </w:t>
      </w:r>
      <w:r>
        <w:rPr>
          <w:rStyle w:val="af8"/>
          <w:rtl/>
        </w:rPr>
        <w:t>דהרשב"א</w:t>
      </w:r>
      <w:r>
        <w:rPr>
          <w:rFonts w:hint="cs"/>
          <w:rtl/>
        </w:rPr>
        <w:t xml:space="preserve"> אוסר לאכול בבת אחת, רק מדרבנן, וכתב </w:t>
      </w:r>
      <w:r>
        <w:rPr>
          <w:rStyle w:val="af8"/>
          <w:rtl/>
        </w:rPr>
        <w:t>החזו"א</w:t>
      </w:r>
      <w:r>
        <w:rPr>
          <w:rFonts w:hint="cs"/>
          <w:rtl/>
        </w:rPr>
        <w:t xml:space="preserve"> דאף אי נימא </w:t>
      </w:r>
      <w:r>
        <w:rPr>
          <w:rStyle w:val="af8"/>
          <w:rtl/>
        </w:rPr>
        <w:t>דהרשב"א</w:t>
      </w:r>
      <w:r>
        <w:rPr>
          <w:rFonts w:hint="cs"/>
          <w:rtl/>
        </w:rPr>
        <w:t xml:space="preserve"> אוסר מדאו', הוא כיון דכשאכל בבת אחת חשיב שהוכר </w:t>
      </w:r>
      <w:r>
        <w:rPr>
          <w:rFonts w:hint="cs"/>
          <w:rtl/>
        </w:rPr>
        <w:lastRenderedPageBreak/>
        <w:t xml:space="preserve">האיסור, אבל כשאוכל כל חתיכה בפנ"ע, מודה </w:t>
      </w:r>
      <w:r>
        <w:rPr>
          <w:rStyle w:val="af8"/>
          <w:rtl/>
        </w:rPr>
        <w:t>הרשב"א</w:t>
      </w:r>
      <w:r>
        <w:rPr>
          <w:rFonts w:hint="cs"/>
          <w:rtl/>
        </w:rPr>
        <w:t xml:space="preserve"> דהאיסור נהפך להיתר.</w:t>
      </w:r>
      <w:bookmarkEnd w:id="13443"/>
    </w:p>
    <w:p w:rsidR="0028438A" w:rsidRDefault="0028438A" w:rsidP="00DA6853">
      <w:pPr>
        <w:pStyle w:val="1"/>
        <w:rPr>
          <w:rtl/>
        </w:rPr>
      </w:pPr>
      <w:bookmarkStart w:id="13444" w:name="_Toc23945738"/>
      <w:bookmarkStart w:id="13445" w:name="_Toc23887360"/>
      <w:bookmarkStart w:id="13446" w:name="_Toc23850468"/>
      <w:bookmarkStart w:id="13447" w:name="_Toc23799268"/>
      <w:bookmarkStart w:id="13448" w:name="_Toc23712669"/>
      <w:bookmarkStart w:id="13449" w:name="_Toc23372631"/>
      <w:bookmarkStart w:id="13450" w:name="_Toc23223994"/>
      <w:bookmarkStart w:id="13451" w:name="_Toc22638915"/>
      <w:bookmarkStart w:id="13452" w:name="_Toc23984316"/>
      <w:bookmarkStart w:id="13453" w:name="_Toc23972151"/>
      <w:bookmarkStart w:id="13454" w:name="_Toc23960336"/>
      <w:r>
        <w:rPr>
          <w:rFonts w:hint="cs"/>
          <w:rtl/>
        </w:rPr>
        <w:t>דברי הגר"א</w:t>
      </w:r>
      <w:bookmarkEnd w:id="13424"/>
      <w:bookmarkEnd w:id="13444"/>
      <w:bookmarkEnd w:id="13445"/>
      <w:bookmarkEnd w:id="13446"/>
      <w:bookmarkEnd w:id="13447"/>
      <w:bookmarkEnd w:id="13448"/>
      <w:bookmarkEnd w:id="13449"/>
      <w:bookmarkEnd w:id="13450"/>
      <w:bookmarkEnd w:id="13451"/>
      <w:r>
        <w:rPr>
          <w:rFonts w:hint="cs"/>
          <w:rtl/>
        </w:rPr>
        <w:t xml:space="preserve"> דבב"א ל"מ ביטול ודמי לב' שבילין בבאו בב"א</w:t>
      </w:r>
      <w:bookmarkEnd w:id="13452"/>
      <w:bookmarkEnd w:id="13453"/>
      <w:bookmarkEnd w:id="13454"/>
    </w:p>
    <w:p w:rsidR="0028438A" w:rsidRDefault="0028438A" w:rsidP="0028438A">
      <w:pPr>
        <w:pStyle w:val="a2"/>
        <w:rPr>
          <w:b/>
          <w:bCs/>
          <w:rtl/>
        </w:rPr>
      </w:pPr>
      <w:bookmarkStart w:id="13455" w:name="_Toc23984317"/>
      <w:bookmarkStart w:id="13456" w:name="_Toc23972152"/>
      <w:bookmarkStart w:id="13457" w:name="_Toc23960337"/>
      <w:r>
        <w:rPr>
          <w:rFonts w:hint="cs"/>
          <w:rtl/>
        </w:rPr>
        <w:t>ביאור הגר"א ברשב"א דבב"א לא מהני ביטול ברוב דא"א לומר דאוכל את החתיכה המותרת</w:t>
      </w:r>
      <w:bookmarkEnd w:id="13455"/>
      <w:bookmarkEnd w:id="13456"/>
      <w:bookmarkEnd w:id="13457"/>
    </w:p>
    <w:p w:rsidR="0028438A" w:rsidRDefault="0028438A" w:rsidP="009F44AF">
      <w:pPr>
        <w:pStyle w:val="a"/>
        <w:numPr>
          <w:ilvl w:val="0"/>
          <w:numId w:val="17"/>
        </w:numPr>
        <w:rPr>
          <w:rtl/>
        </w:rPr>
      </w:pPr>
      <w:bookmarkStart w:id="13458" w:name="_Ref22111406"/>
      <w:r>
        <w:rPr>
          <w:rFonts w:hint="cs"/>
          <w:rtl/>
        </w:rPr>
        <w:t xml:space="preserve">ובהא דפסק </w:t>
      </w:r>
      <w:r>
        <w:rPr>
          <w:rStyle w:val="af8"/>
          <w:rtl/>
        </w:rPr>
        <w:t>השו"ע</w:t>
      </w:r>
      <w:r>
        <w:rPr>
          <w:rFonts w:hint="cs"/>
          <w:rtl/>
        </w:rPr>
        <w:t xml:space="preserve"> </w:t>
      </w:r>
      <w:r w:rsidRPr="009F44AF">
        <w:rPr>
          <w:rStyle w:val="af6"/>
          <w:rFonts w:eastAsia="Guttman Hodes" w:hint="cs"/>
          <w:rtl/>
        </w:rPr>
        <w:t>(סי' ק"ט א')</w:t>
      </w:r>
      <w:r>
        <w:rPr>
          <w:rFonts w:hint="cs"/>
          <w:rtl/>
        </w:rPr>
        <w:t xml:space="preserve"> כדעת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Pr>
          <w:rFonts w:hint="cs"/>
          <w:rtl/>
        </w:rPr>
        <w:t xml:space="preserve"> דלאדם אחד מותר לאכול את כל התערובת בזה אחר זה, אך אסור לאכול את כל התערובת בבת אחת, ביאר </w:t>
      </w:r>
      <w:r>
        <w:rPr>
          <w:rStyle w:val="af8"/>
          <w:rtl/>
        </w:rPr>
        <w:t>הגר"א</w:t>
      </w:r>
      <w:r>
        <w:rPr>
          <w:rFonts w:hint="cs"/>
          <w:rtl/>
        </w:rPr>
        <w:t xml:space="preserve"> </w:t>
      </w:r>
      <w:r w:rsidRPr="009F44AF">
        <w:rPr>
          <w:rStyle w:val="af6"/>
          <w:rFonts w:eastAsia="Guttman Hodes" w:hint="cs"/>
          <w:rtl/>
        </w:rPr>
        <w:t>(סי' ק"ט סק"ה)</w:t>
      </w:r>
      <w:r>
        <w:rPr>
          <w:rFonts w:hint="cs"/>
          <w:rtl/>
        </w:rPr>
        <w:t xml:space="preserve"> דהטעם דמהני ביטול ברוב, הוא כיון שעל כל חתיכה בפנ"ע אומר שהיא המותרת, </w:t>
      </w:r>
      <w:r>
        <w:rPr>
          <w:rStyle w:val="afa"/>
          <w:rtl/>
        </w:rPr>
        <w:t xml:space="preserve">[כדכתב </w:t>
      </w:r>
      <w:r>
        <w:rPr>
          <w:rStyle w:val="affa"/>
          <w:rtl/>
        </w:rPr>
        <w:t>הרשב"א</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Ref23943555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מז)</w:t>
      </w:r>
      <w:r>
        <w:rPr>
          <w:rFonts w:hint="cs"/>
          <w:rtl/>
        </w:rPr>
        <w:fldChar w:fldCharType="end"/>
      </w:r>
      <w:r>
        <w:rPr>
          <w:rStyle w:val="afa"/>
          <w:rtl/>
        </w:rPr>
        <w:t>],</w:t>
      </w:r>
      <w:r>
        <w:rPr>
          <w:rFonts w:hint="cs"/>
          <w:rtl/>
        </w:rPr>
        <w:t xml:space="preserve"> אבל בבת אחת שא"א לומר כן אין דין ביטול ברוב. [ועי' </w:t>
      </w:r>
      <w:r>
        <w:rPr>
          <w:rStyle w:val="af8"/>
          <w:rtl/>
        </w:rPr>
        <w:t>במשנת 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Ref22294368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צג</w:t>
      </w:r>
      <w:r w:rsidR="004D1C5B">
        <w:rPr>
          <w:rStyle w:val="af6"/>
          <w:rFonts w:eastAsia="Guttman Hodes"/>
          <w:rtl/>
        </w:rPr>
        <w:t>)</w:t>
      </w:r>
      <w:r>
        <w:rPr>
          <w:rFonts w:hint="cs"/>
          <w:rtl/>
        </w:rPr>
        <w:fldChar w:fldCharType="end"/>
      </w:r>
      <w:r>
        <w:rPr>
          <w:rFonts w:hint="cs"/>
          <w:rtl/>
        </w:rPr>
        <w:t xml:space="preserve"> דביאר דכוונת </w:t>
      </w:r>
      <w:r>
        <w:rPr>
          <w:rStyle w:val="af8"/>
          <w:rtl/>
        </w:rPr>
        <w:t>הגר"א</w:t>
      </w:r>
      <w:r>
        <w:rPr>
          <w:rFonts w:hint="cs"/>
          <w:rtl/>
        </w:rPr>
        <w:t xml:space="preserve"> לומר דבבת אחת מדאו' אין דין ביטול ברוב כשאוכל בבת אחת, אבל </w:t>
      </w:r>
      <w:r>
        <w:rPr>
          <w:rStyle w:val="af8"/>
          <w:rtl/>
        </w:rPr>
        <w:t>בשער"י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Ref22111381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קיט</w:t>
      </w:r>
      <w:r w:rsidR="004D1C5B">
        <w:rPr>
          <w:rStyle w:val="af6"/>
          <w:rFonts w:eastAsia="Guttman Hodes"/>
          <w:rtl/>
        </w:rPr>
        <w:t>)</w:t>
      </w:r>
      <w:r>
        <w:rPr>
          <w:rFonts w:hint="cs"/>
          <w:rtl/>
        </w:rPr>
        <w:fldChar w:fldCharType="end"/>
      </w:r>
      <w:r>
        <w:rPr>
          <w:rFonts w:hint="cs"/>
          <w:rtl/>
        </w:rPr>
        <w:t xml:space="preserve"> ביאר דכוונת </w:t>
      </w:r>
      <w:r>
        <w:rPr>
          <w:rStyle w:val="af8"/>
          <w:rtl/>
        </w:rPr>
        <w:t>הגר"א</w:t>
      </w:r>
      <w:r>
        <w:rPr>
          <w:rFonts w:hint="cs"/>
          <w:rtl/>
        </w:rPr>
        <w:t xml:space="preserve"> לומר דמדרבנן לא מהני ביטול ברוב].</w:t>
      </w:r>
      <w:bookmarkEnd w:id="13458"/>
    </w:p>
    <w:p w:rsidR="0028438A" w:rsidRDefault="0028438A" w:rsidP="0028438A">
      <w:pPr>
        <w:pStyle w:val="a2"/>
        <w:rPr>
          <w:rtl/>
        </w:rPr>
      </w:pPr>
      <w:bookmarkStart w:id="13459" w:name="_Toc23984318"/>
      <w:bookmarkStart w:id="13460" w:name="_Toc23972153"/>
      <w:bookmarkStart w:id="13461" w:name="_Toc23960338"/>
      <w:r>
        <w:rPr>
          <w:rFonts w:hint="cs"/>
          <w:rtl/>
        </w:rPr>
        <w:t>דברי הגר"א דהאיסור באוכל בב"א דמי לנהנה מתערובת ע"ז בב"א ולב' שבילין בנשאלו בב"א</w:t>
      </w:r>
      <w:bookmarkEnd w:id="13459"/>
      <w:bookmarkEnd w:id="13460"/>
      <w:bookmarkEnd w:id="13461"/>
    </w:p>
    <w:p w:rsidR="0028438A" w:rsidRDefault="0028438A" w:rsidP="009F44AF">
      <w:pPr>
        <w:pStyle w:val="a"/>
        <w:numPr>
          <w:ilvl w:val="0"/>
          <w:numId w:val="17"/>
        </w:numPr>
        <w:rPr>
          <w:rStyle w:val="afa"/>
          <w:rtl/>
        </w:rPr>
      </w:pPr>
      <w:r>
        <w:rPr>
          <w:rFonts w:hint="cs"/>
          <w:rtl/>
        </w:rPr>
        <w:t xml:space="preserve">וציין </w:t>
      </w:r>
      <w:r>
        <w:rPr>
          <w:rStyle w:val="af8"/>
          <w:rtl/>
        </w:rPr>
        <w:t>הגר"א</w:t>
      </w:r>
      <w:r>
        <w:rPr>
          <w:rFonts w:hint="cs"/>
          <w:rtl/>
        </w:rPr>
        <w:t xml:space="preserve"> לדברי </w:t>
      </w:r>
      <w:r>
        <w:rPr>
          <w:rStyle w:val="af8"/>
          <w:rtl/>
        </w:rPr>
        <w:t>התוס' בזבחים</w:t>
      </w:r>
      <w:r>
        <w:rPr>
          <w:rFonts w:hint="cs"/>
          <w:rtl/>
        </w:rPr>
        <w:t xml:space="preserve"> </w:t>
      </w:r>
      <w:r w:rsidRPr="009F44AF">
        <w:rPr>
          <w:rStyle w:val="af6"/>
          <w:rFonts w:eastAsia="Guttman Hodes" w:hint="cs"/>
          <w:rtl/>
        </w:rPr>
        <w:t>(עד. ד"ה פירש)</w:t>
      </w:r>
      <w:r>
        <w:rPr>
          <w:rFonts w:hint="cs"/>
          <w:rtl/>
        </w:rPr>
        <w:t xml:space="preserve"> דבהא דאיתא בגמ' בזבחים </w:t>
      </w:r>
      <w:r w:rsidRPr="009F44AF">
        <w:rPr>
          <w:rStyle w:val="af6"/>
          <w:rFonts w:eastAsia="Guttman Hodes" w:hint="cs"/>
          <w:rtl/>
        </w:rPr>
        <w:t>(עד.)</w:t>
      </w:r>
      <w:r>
        <w:rPr>
          <w:rFonts w:hint="cs"/>
          <w:rtl/>
        </w:rPr>
        <w:t xml:space="preserve"> דכוס של ע"ז שהתערבה בהרבה כוסות, ונפלה אחת מהכוסות לריבוא, ומהריבוא נפלה כוס אחת לריבוא אחר דכולם מותרים, כתבו </w:t>
      </w:r>
      <w:r>
        <w:rPr>
          <w:rStyle w:val="af8"/>
          <w:rtl/>
        </w:rPr>
        <w:t>התוס' בזבחים</w:t>
      </w:r>
      <w:r>
        <w:rPr>
          <w:rFonts w:hint="cs"/>
          <w:rtl/>
        </w:rPr>
        <w:t xml:space="preserve"> [</w:t>
      </w:r>
      <w:r>
        <w:rPr>
          <w:rStyle w:val="af8"/>
          <w:rtl/>
        </w:rPr>
        <w:t>בתירוצם הב'</w:t>
      </w:r>
      <w:r>
        <w:rPr>
          <w:rFonts w:hint="cs"/>
          <w:rtl/>
        </w:rPr>
        <w:t xml:space="preserve">] דבריבוא הראשון אסור להנות בכל הכוסות בבת אחת, כיון שהוא נהנה מספק אחד, </w:t>
      </w:r>
      <w:r>
        <w:rPr>
          <w:rStyle w:val="afa"/>
          <w:rtl/>
        </w:rPr>
        <w:t xml:space="preserve">[דכיון שנהנה מכולם בב"א, א"כ ודאי שנהנה מכוס שהייתה בתערובת הראשונה, שעליה יש רק ספק אחד אם היא הכוס של הע"ז], </w:t>
      </w:r>
      <w:r>
        <w:rPr>
          <w:rFonts w:hint="cs"/>
          <w:rtl/>
        </w:rPr>
        <w:t xml:space="preserve">אבל מהריבוא השני מותר להנות אף בבת אחת, דהוא ספק ספיקא, </w:t>
      </w:r>
      <w:r>
        <w:rPr>
          <w:rStyle w:val="afa"/>
          <w:rtl/>
        </w:rPr>
        <w:t xml:space="preserve">[שמא הכוס שנהנה ממנה עכשיו אינה מהתערובת הראשונה, ואף אם היא מהתערובת הראשונה שמא אינה הכוס של הע"ז], </w:t>
      </w:r>
      <w:r>
        <w:rPr>
          <w:rFonts w:hint="cs"/>
          <w:rtl/>
        </w:rPr>
        <w:t xml:space="preserve">ועוד ציין </w:t>
      </w:r>
      <w:r>
        <w:rPr>
          <w:rStyle w:val="af8"/>
          <w:rtl/>
        </w:rPr>
        <w:t>הגר"א</w:t>
      </w:r>
      <w:r>
        <w:rPr>
          <w:rFonts w:hint="cs"/>
          <w:rtl/>
        </w:rPr>
        <w:t xml:space="preserve"> לגמ' בפסחים </w:t>
      </w:r>
      <w:r w:rsidRPr="009F44AF">
        <w:rPr>
          <w:rStyle w:val="af6"/>
          <w:rFonts w:eastAsia="Guttman Hodes" w:hint="cs"/>
          <w:rtl/>
        </w:rPr>
        <w:t>(י.)</w:t>
      </w:r>
      <w:r>
        <w:rPr>
          <w:rFonts w:hint="cs"/>
          <w:rtl/>
        </w:rPr>
        <w:t xml:space="preserve"> ולגמ' בכתובות </w:t>
      </w:r>
      <w:r w:rsidRPr="009F44AF">
        <w:rPr>
          <w:rStyle w:val="af6"/>
          <w:rFonts w:eastAsia="Guttman Hodes" w:hint="cs"/>
          <w:rtl/>
        </w:rPr>
        <w:t>(כז.)</w:t>
      </w:r>
      <w:r>
        <w:rPr>
          <w:rFonts w:hint="cs"/>
          <w:rtl/>
        </w:rPr>
        <w:t xml:space="preserve"> לדין שנים שהלכו בב' שבילין שיש בהם ספק טומאה, דבנשאלו בזה אחר זה טהורין, ובנשאלו בבת אחת טמאים, ועי' במה שביאר </w:t>
      </w:r>
      <w:r>
        <w:rPr>
          <w:rStyle w:val="af8"/>
          <w:rtl/>
        </w:rPr>
        <w:t>השער"י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Ref22111389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w:t>
      </w:r>
      <w:r w:rsidR="004D1C5B">
        <w:rPr>
          <w:rStyle w:val="af6"/>
          <w:rFonts w:eastAsia="Guttman Hodes"/>
          <w:rtl/>
        </w:rPr>
        <w:t>)</w:t>
      </w:r>
      <w:r>
        <w:rPr>
          <w:rFonts w:hint="cs"/>
          <w:rtl/>
        </w:rPr>
        <w:fldChar w:fldCharType="end"/>
      </w:r>
      <w:r>
        <w:rPr>
          <w:rFonts w:hint="cs"/>
          <w:rtl/>
        </w:rPr>
        <w:t xml:space="preserve"> בדברי </w:t>
      </w:r>
      <w:r>
        <w:rPr>
          <w:rStyle w:val="af8"/>
          <w:rtl/>
        </w:rPr>
        <w:t>הגר"א</w:t>
      </w:r>
      <w:r>
        <w:rPr>
          <w:rFonts w:hint="cs"/>
          <w:rtl/>
        </w:rPr>
        <w:t xml:space="preserve">. </w:t>
      </w:r>
      <w:r>
        <w:rPr>
          <w:rStyle w:val="afa"/>
          <w:rtl/>
        </w:rPr>
        <w:t xml:space="preserve">[וע"ע בדברי </w:t>
      </w:r>
      <w:r>
        <w:rPr>
          <w:rStyle w:val="affa"/>
          <w:rtl/>
        </w:rPr>
        <w:t>הרא"ש</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Ref23953121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כט)</w:t>
      </w:r>
      <w:r>
        <w:rPr>
          <w:rFonts w:hint="cs"/>
          <w:rtl/>
        </w:rPr>
        <w:fldChar w:fldCharType="end"/>
      </w:r>
      <w:r>
        <w:rPr>
          <w:rStyle w:val="aff6"/>
          <w:rtl/>
        </w:rPr>
        <w:t xml:space="preserve"> </w:t>
      </w:r>
      <w:r>
        <w:rPr>
          <w:rStyle w:val="afa"/>
          <w:rtl/>
        </w:rPr>
        <w:t xml:space="preserve">דכתב </w:t>
      </w:r>
      <w:r>
        <w:rPr>
          <w:rStyle w:val="affa"/>
          <w:rtl/>
        </w:rPr>
        <w:t>כהתוס' בזבחים</w:t>
      </w:r>
      <w:r>
        <w:rPr>
          <w:rStyle w:val="afa"/>
          <w:rtl/>
        </w:rPr>
        <w:t xml:space="preserve">, אך ס"ל דמותר לאכול בבת אחת, וצ"ב כוונת </w:t>
      </w:r>
      <w:r>
        <w:rPr>
          <w:rStyle w:val="affa"/>
          <w:rtl/>
        </w:rPr>
        <w:t>הגר"א</w:t>
      </w:r>
      <w:r>
        <w:rPr>
          <w:rStyle w:val="afa"/>
          <w:rtl/>
        </w:rPr>
        <w:t>].</w:t>
      </w:r>
    </w:p>
    <w:p w:rsidR="0028438A" w:rsidRDefault="0028438A" w:rsidP="00E669F8">
      <w:pPr>
        <w:pStyle w:val="afd"/>
        <w:rPr>
          <w:noProof w:val="0"/>
          <w:sz w:val="18"/>
          <w:rtl/>
        </w:rPr>
      </w:pPr>
      <w:bookmarkStart w:id="13462" w:name="_Toc23984319"/>
      <w:bookmarkStart w:id="13463" w:name="_Toc23972154"/>
      <w:bookmarkStart w:id="13464" w:name="_Toc23960339"/>
      <w:bookmarkStart w:id="13465" w:name="_Toc23945739"/>
      <w:bookmarkStart w:id="13466" w:name="_Toc23887361"/>
      <w:bookmarkStart w:id="13467" w:name="_Toc23850469"/>
      <w:bookmarkStart w:id="13468" w:name="_Toc23799269"/>
      <w:bookmarkStart w:id="13469" w:name="_Toc23712670"/>
      <w:bookmarkStart w:id="13470" w:name="_Toc23372632"/>
      <w:bookmarkStart w:id="13471" w:name="_Toc23223995"/>
      <w:bookmarkStart w:id="13472" w:name="_Toc22638916"/>
      <w:bookmarkStart w:id="13473" w:name="_Toc22250689"/>
      <w:r>
        <w:rPr>
          <w:rFonts w:hint="cs"/>
          <w:rtl/>
        </w:rPr>
        <w:t>דעת הסוברים דהרשב"א אסר מדרבנן</w:t>
      </w:r>
      <w:bookmarkEnd w:id="13462"/>
      <w:bookmarkEnd w:id="13463"/>
      <w:bookmarkEnd w:id="13464"/>
      <w:bookmarkEnd w:id="13465"/>
      <w:bookmarkEnd w:id="13466"/>
      <w:bookmarkEnd w:id="13467"/>
      <w:bookmarkEnd w:id="13468"/>
      <w:bookmarkEnd w:id="13469"/>
      <w:bookmarkEnd w:id="13470"/>
      <w:bookmarkEnd w:id="13471"/>
      <w:bookmarkEnd w:id="13472"/>
      <w:bookmarkEnd w:id="13473"/>
    </w:p>
    <w:p w:rsidR="0028438A" w:rsidRDefault="0028438A" w:rsidP="00DA6853">
      <w:pPr>
        <w:pStyle w:val="1"/>
        <w:rPr>
          <w:rtl/>
        </w:rPr>
      </w:pPr>
      <w:bookmarkStart w:id="13474" w:name="_Toc23945740"/>
      <w:bookmarkStart w:id="13475" w:name="_Toc23887362"/>
      <w:bookmarkStart w:id="13476" w:name="_Toc23850470"/>
      <w:bookmarkStart w:id="13477" w:name="_Toc23799270"/>
      <w:bookmarkStart w:id="13478" w:name="_Toc23712671"/>
      <w:bookmarkStart w:id="13479" w:name="_Toc23372633"/>
      <w:bookmarkStart w:id="13480" w:name="_Toc23223996"/>
      <w:bookmarkStart w:id="13481" w:name="_Toc22638917"/>
      <w:bookmarkStart w:id="13482" w:name="_Toc22250690"/>
      <w:bookmarkStart w:id="13483" w:name="_Toc23984320"/>
      <w:bookmarkStart w:id="13484" w:name="_Toc23972155"/>
      <w:bookmarkStart w:id="13485" w:name="_Toc23960340"/>
      <w:r>
        <w:rPr>
          <w:rFonts w:hint="cs"/>
          <w:rtl/>
        </w:rPr>
        <w:t>ביאור הט"ז והפרמ"ג ברשב"א</w:t>
      </w:r>
      <w:bookmarkEnd w:id="13474"/>
      <w:bookmarkEnd w:id="13475"/>
      <w:bookmarkEnd w:id="13476"/>
      <w:bookmarkEnd w:id="13477"/>
      <w:bookmarkEnd w:id="13478"/>
      <w:bookmarkEnd w:id="13479"/>
      <w:bookmarkEnd w:id="13480"/>
      <w:bookmarkEnd w:id="13481"/>
      <w:bookmarkEnd w:id="13482"/>
      <w:r>
        <w:rPr>
          <w:rFonts w:hint="cs"/>
          <w:rtl/>
        </w:rPr>
        <w:t xml:space="preserve"> דבב"א אסור דאוכל ודאי איסור</w:t>
      </w:r>
      <w:bookmarkEnd w:id="13483"/>
      <w:bookmarkEnd w:id="13484"/>
      <w:bookmarkEnd w:id="13485"/>
    </w:p>
    <w:p w:rsidR="0028438A" w:rsidRDefault="0028438A" w:rsidP="0028438A">
      <w:pPr>
        <w:pStyle w:val="a2"/>
        <w:rPr>
          <w:b/>
          <w:bCs/>
          <w:rtl/>
        </w:rPr>
      </w:pPr>
      <w:bookmarkStart w:id="13486" w:name="_Toc23984321"/>
      <w:bookmarkStart w:id="13487" w:name="_Toc23972156"/>
      <w:bookmarkStart w:id="13488" w:name="_Toc23960341"/>
      <w:bookmarkStart w:id="13489" w:name="_Toc23945741"/>
      <w:bookmarkStart w:id="13490" w:name="_Toc23887363"/>
      <w:bookmarkStart w:id="13491" w:name="_Toc23850471"/>
      <w:bookmarkStart w:id="13492" w:name="_Toc23799271"/>
      <w:bookmarkStart w:id="13493" w:name="_Toc23712672"/>
      <w:bookmarkStart w:id="13494" w:name="_Toc23372634"/>
      <w:bookmarkStart w:id="13495" w:name="_Toc23223997"/>
      <w:bookmarkStart w:id="13496" w:name="_Toc22638918"/>
      <w:bookmarkStart w:id="13497" w:name="_Toc22250691"/>
      <w:r>
        <w:rPr>
          <w:rFonts w:hint="cs"/>
          <w:rtl/>
        </w:rPr>
        <w:t>דברי הט"ז דהחמירו רבנן שלא יאכל בבת אחת כיון ש</w:t>
      </w:r>
      <w:r w:rsidR="00441868">
        <w:rPr>
          <w:rFonts w:hint="cs"/>
          <w:rtl/>
        </w:rPr>
        <w:t>ממה נפשך</w:t>
      </w:r>
      <w:r>
        <w:rPr>
          <w:rFonts w:hint="cs"/>
          <w:rtl/>
        </w:rPr>
        <w:t xml:space="preserve"> אוכל את האיסור באותה אכילה</w:t>
      </w:r>
      <w:bookmarkEnd w:id="13486"/>
      <w:bookmarkEnd w:id="13487"/>
      <w:bookmarkEnd w:id="13488"/>
      <w:bookmarkEnd w:id="13489"/>
      <w:bookmarkEnd w:id="13490"/>
      <w:bookmarkEnd w:id="13491"/>
      <w:bookmarkEnd w:id="13492"/>
      <w:bookmarkEnd w:id="13493"/>
      <w:bookmarkEnd w:id="13494"/>
      <w:bookmarkEnd w:id="13495"/>
      <w:bookmarkEnd w:id="13496"/>
      <w:bookmarkEnd w:id="13497"/>
    </w:p>
    <w:p w:rsidR="0028438A" w:rsidRDefault="0028438A" w:rsidP="009F44AF">
      <w:pPr>
        <w:pStyle w:val="a"/>
        <w:numPr>
          <w:ilvl w:val="0"/>
          <w:numId w:val="17"/>
        </w:numPr>
        <w:rPr>
          <w:rtl/>
        </w:rPr>
      </w:pPr>
      <w:r>
        <w:rPr>
          <w:rFonts w:hint="cs"/>
          <w:rtl/>
        </w:rPr>
        <w:t xml:space="preserve">כתב </w:t>
      </w:r>
      <w:r>
        <w:rPr>
          <w:rStyle w:val="af8"/>
          <w:rtl/>
        </w:rPr>
        <w:t>הט"ז</w:t>
      </w:r>
      <w:r>
        <w:rPr>
          <w:rFonts w:hint="cs"/>
          <w:rtl/>
        </w:rPr>
        <w:t xml:space="preserve"> </w:t>
      </w:r>
      <w:r w:rsidRPr="009F44AF">
        <w:rPr>
          <w:rStyle w:val="af6"/>
          <w:rFonts w:eastAsia="Guttman Hodes" w:hint="cs"/>
          <w:rtl/>
        </w:rPr>
        <w:t>(סי' ק"ט סק"א)</w:t>
      </w:r>
      <w:r>
        <w:rPr>
          <w:rFonts w:hint="cs"/>
          <w:rtl/>
        </w:rPr>
        <w:t xml:space="preserve"> דהא דחד בתרי בטיל ילפינן מאחרי רבים להטות, ולא החמירו רבנן להצריך שישים בחתיכה שאינה ראויה להתכבד, אלא דהחמירו שלא יאכל את כל ג' החתיכות יחד כיון ש</w:t>
      </w:r>
      <w:r w:rsidR="00441868">
        <w:rPr>
          <w:rFonts w:hint="cs"/>
          <w:rtl/>
        </w:rPr>
        <w:t>ממה נפשך</w:t>
      </w:r>
      <w:r>
        <w:rPr>
          <w:rFonts w:hint="cs"/>
          <w:rtl/>
        </w:rPr>
        <w:t xml:space="preserve"> הוא אוכל את האיסור באכילה אחת, וכתב </w:t>
      </w:r>
      <w:r>
        <w:rPr>
          <w:rStyle w:val="af8"/>
          <w:rtl/>
        </w:rPr>
        <w:t>הדרכי תשובה</w:t>
      </w:r>
      <w:r>
        <w:rPr>
          <w:rFonts w:hint="cs"/>
          <w:rtl/>
        </w:rPr>
        <w:t xml:space="preserve"> </w:t>
      </w:r>
      <w:r w:rsidRPr="009F44AF">
        <w:rPr>
          <w:rStyle w:val="af6"/>
          <w:rFonts w:eastAsia="Guttman Hodes" w:hint="cs"/>
          <w:rtl/>
        </w:rPr>
        <w:t>(סי' ק"ט סקכ"ז)</w:t>
      </w:r>
      <w:r>
        <w:rPr>
          <w:rFonts w:hint="cs"/>
          <w:rtl/>
        </w:rPr>
        <w:t xml:space="preserve"> דמבואר מדברי </w:t>
      </w:r>
      <w:r>
        <w:rPr>
          <w:rStyle w:val="af8"/>
          <w:rtl/>
        </w:rPr>
        <w:t>הט"ז</w:t>
      </w:r>
      <w:r>
        <w:rPr>
          <w:rFonts w:hint="cs"/>
          <w:rtl/>
        </w:rPr>
        <w:t xml:space="preserve"> דאף לדעת </w:t>
      </w:r>
      <w:r>
        <w:rPr>
          <w:rStyle w:val="af8"/>
          <w:rtl/>
        </w:rPr>
        <w:t>הרשב"א</w:t>
      </w:r>
      <w:r>
        <w:rPr>
          <w:rFonts w:hint="cs"/>
          <w:rtl/>
        </w:rPr>
        <w:t xml:space="preserve"> מדאו' מותר לאכול את כל שלושתן בבת אחת, ורק מדרבנן החמירו שלא יאכל את שלושתן בבת אחת, וכ"כ </w:t>
      </w:r>
      <w:r>
        <w:rPr>
          <w:rStyle w:val="af8"/>
          <w:rtl/>
        </w:rPr>
        <w:t>השעה"צ</w:t>
      </w:r>
      <w:r>
        <w:rPr>
          <w:rFonts w:hint="cs"/>
          <w:rtl/>
        </w:rPr>
        <w:t xml:space="preserve"> </w:t>
      </w:r>
      <w:r w:rsidRPr="009F44AF">
        <w:rPr>
          <w:rStyle w:val="af6"/>
          <w:rFonts w:eastAsia="Guttman Hodes" w:hint="cs"/>
          <w:rtl/>
        </w:rPr>
        <w:t>(סי' תמ"ז סק"ל)</w:t>
      </w:r>
      <w:r>
        <w:rPr>
          <w:rStyle w:val="af8"/>
          <w:rtl/>
        </w:rPr>
        <w:t xml:space="preserve"> והחזו"א</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Ref22236287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סג</w:t>
      </w:r>
      <w:r w:rsidR="004D1C5B">
        <w:rPr>
          <w:rStyle w:val="af6"/>
          <w:rFonts w:eastAsia="Guttman Hodes"/>
          <w:rtl/>
        </w:rPr>
        <w:t>)</w:t>
      </w:r>
      <w:r>
        <w:rPr>
          <w:rFonts w:hint="cs"/>
          <w:rtl/>
        </w:rPr>
        <w:fldChar w:fldCharType="end"/>
      </w:r>
      <w:r>
        <w:rPr>
          <w:rFonts w:hint="cs"/>
          <w:rtl/>
        </w:rPr>
        <w:t xml:space="preserve"> </w:t>
      </w:r>
      <w:r>
        <w:rPr>
          <w:rStyle w:val="af8"/>
          <w:rtl/>
        </w:rPr>
        <w:t>דהרשב"א</w:t>
      </w:r>
      <w:r>
        <w:rPr>
          <w:rFonts w:hint="cs"/>
          <w:rtl/>
        </w:rPr>
        <w:t xml:space="preserve"> אסר רק מדרבנן.</w:t>
      </w:r>
    </w:p>
    <w:p w:rsidR="0028438A" w:rsidRDefault="0028438A" w:rsidP="0028438A">
      <w:pPr>
        <w:pStyle w:val="a2"/>
        <w:rPr>
          <w:rtl/>
        </w:rPr>
      </w:pPr>
      <w:bookmarkStart w:id="13498" w:name="_Toc23984322"/>
      <w:bookmarkStart w:id="13499" w:name="_Toc23972157"/>
      <w:bookmarkStart w:id="13500" w:name="_Toc23960342"/>
      <w:r>
        <w:rPr>
          <w:rFonts w:hint="cs"/>
          <w:rtl/>
        </w:rPr>
        <w:t>דברי הפרמ"ג והחוו"ד דמלח בלח מוכח דאף להרשב"א מדאו' מותר בב"א ואסור מדרבנן</w:t>
      </w:r>
      <w:bookmarkEnd w:id="13498"/>
      <w:bookmarkEnd w:id="13499"/>
      <w:bookmarkEnd w:id="13500"/>
    </w:p>
    <w:p w:rsidR="0028438A" w:rsidRDefault="0028438A" w:rsidP="009F44AF">
      <w:pPr>
        <w:pStyle w:val="a"/>
        <w:numPr>
          <w:ilvl w:val="0"/>
          <w:numId w:val="17"/>
        </w:numPr>
        <w:rPr>
          <w:rtl/>
        </w:rPr>
      </w:pPr>
      <w:bookmarkStart w:id="13501" w:name="_Ref22106820"/>
      <w:bookmarkStart w:id="13502" w:name="_Ref22204912"/>
      <w:r>
        <w:rPr>
          <w:rFonts w:hint="cs"/>
          <w:rtl/>
        </w:rPr>
        <w:t xml:space="preserve">וכ"כ </w:t>
      </w:r>
      <w:r>
        <w:rPr>
          <w:rStyle w:val="af8"/>
          <w:rtl/>
        </w:rPr>
        <w:t>הפרמ"ג</w:t>
      </w:r>
      <w:r w:rsidRPr="009F44AF">
        <w:rPr>
          <w:rStyle w:val="af6"/>
          <w:rFonts w:eastAsia="Guttman Hodes" w:hint="cs"/>
          <w:rtl/>
        </w:rPr>
        <w:t xml:space="preserve"> (סי' ק"ט משב"ז סק"א, פתיחה שער התערובות ח"</w:t>
      </w:r>
      <w:r w:rsidRPr="009F44AF">
        <w:rPr>
          <w:rStyle w:val="af6"/>
          <w:rFonts w:eastAsia="Guttman Rashi" w:hint="cs"/>
          <w:rtl/>
        </w:rPr>
        <w:t>א</w:t>
      </w:r>
      <w:r w:rsidRPr="009F44AF">
        <w:rPr>
          <w:rStyle w:val="af6"/>
          <w:rFonts w:eastAsia="Guttman Hodes" w:hint="cs"/>
          <w:rtl/>
        </w:rPr>
        <w:t xml:space="preserve"> פ"ג ד"ה </w:t>
      </w:r>
      <w:r w:rsidRPr="009F44AF">
        <w:rPr>
          <w:rStyle w:val="af6"/>
          <w:rFonts w:eastAsia="Guttman Rashi" w:hint="cs"/>
          <w:rtl/>
        </w:rPr>
        <w:t>והנה בסי' ק"ט</w:t>
      </w:r>
      <w:r w:rsidRPr="009F44AF">
        <w:rPr>
          <w:rStyle w:val="af6"/>
          <w:rFonts w:eastAsia="Guttman Hodes" w:hint="cs"/>
          <w:rtl/>
        </w:rPr>
        <w:t xml:space="preserve">) </w:t>
      </w:r>
      <w:r>
        <w:rPr>
          <w:rStyle w:val="af8"/>
          <w:rtl/>
        </w:rPr>
        <w:t>והחוו"ד</w:t>
      </w:r>
      <w:r>
        <w:rPr>
          <w:rFonts w:hint="cs"/>
          <w:rtl/>
        </w:rPr>
        <w:t xml:space="preserve"> </w:t>
      </w:r>
      <w:r w:rsidRPr="009F44AF">
        <w:rPr>
          <w:rStyle w:val="af6"/>
          <w:rFonts w:eastAsia="Guttman Hodes" w:hint="cs"/>
          <w:rtl/>
        </w:rPr>
        <w:t xml:space="preserve">(סי' צ"ח סק"ד) </w:t>
      </w:r>
      <w:r>
        <w:rPr>
          <w:rFonts w:hint="cs"/>
          <w:rtl/>
        </w:rPr>
        <w:t xml:space="preserve">דאף </w:t>
      </w:r>
      <w:r>
        <w:rPr>
          <w:rStyle w:val="af8"/>
          <w:rtl/>
        </w:rPr>
        <w:t>הרשב"א</w:t>
      </w:r>
      <w:r>
        <w:rPr>
          <w:rFonts w:hint="cs"/>
          <w:rtl/>
        </w:rPr>
        <w:t xml:space="preserve"> מודה דמדאו' מותר לאכול את כל התערובת בבת אחת, כדילפינן מאחרי רבים להטות, ורק מדרבנן אסור, וכתב </w:t>
      </w:r>
      <w:r>
        <w:rPr>
          <w:rStyle w:val="af8"/>
          <w:rtl/>
        </w:rPr>
        <w:t>הפרמ"ג</w:t>
      </w:r>
      <w:r>
        <w:rPr>
          <w:rFonts w:hint="cs"/>
          <w:rtl/>
        </w:rPr>
        <w:t xml:space="preserve"> דכן משמע מדברי </w:t>
      </w:r>
      <w:r>
        <w:rPr>
          <w:rStyle w:val="af8"/>
          <w:rtl/>
        </w:rPr>
        <w:t>הרשב"א בתוה"ב</w:t>
      </w:r>
      <w:r>
        <w:rPr>
          <w:rFonts w:hint="cs"/>
          <w:rtl/>
        </w:rPr>
        <w:t xml:space="preserve">, </w:t>
      </w:r>
      <w:r>
        <w:rPr>
          <w:rStyle w:val="afa"/>
          <w:rtl/>
        </w:rPr>
        <w:t xml:space="preserve">[וכן מבואר מדברי </w:t>
      </w:r>
      <w:r>
        <w:rPr>
          <w:rStyle w:val="affa"/>
          <w:rtl/>
        </w:rPr>
        <w:t>הרשב"א במשה"ב</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Ref23953328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מט)</w:t>
      </w:r>
      <w:r>
        <w:rPr>
          <w:rFonts w:hint="cs"/>
          <w:rtl/>
        </w:rPr>
        <w:fldChar w:fldCharType="end"/>
      </w:r>
      <w:r>
        <w:rPr>
          <w:rStyle w:val="afa"/>
          <w:rtl/>
        </w:rPr>
        <w:t xml:space="preserve">], </w:t>
      </w:r>
      <w:r>
        <w:rPr>
          <w:rFonts w:hint="cs"/>
          <w:rtl/>
        </w:rPr>
        <w:t xml:space="preserve">והביאו </w:t>
      </w:r>
      <w:r>
        <w:rPr>
          <w:rStyle w:val="af8"/>
          <w:rtl/>
        </w:rPr>
        <w:t>הפרמ"ג</w:t>
      </w:r>
      <w:r>
        <w:rPr>
          <w:rFonts w:hint="cs"/>
          <w:rtl/>
        </w:rPr>
        <w:t xml:space="preserve"> </w:t>
      </w:r>
      <w:r>
        <w:rPr>
          <w:rStyle w:val="af8"/>
          <w:rtl/>
        </w:rPr>
        <w:t>והחוו"ד</w:t>
      </w:r>
      <w:r>
        <w:rPr>
          <w:rFonts w:hint="cs"/>
          <w:rtl/>
        </w:rPr>
        <w:t xml:space="preserve"> </w:t>
      </w:r>
      <w:r w:rsidRPr="009F44AF">
        <w:rPr>
          <w:rStyle w:val="af6"/>
          <w:rFonts w:eastAsia="Guttman Hodes" w:hint="cs"/>
          <w:rtl/>
        </w:rPr>
        <w:t xml:space="preserve">(סי' צ"ח סק"ח) </w:t>
      </w:r>
      <w:r>
        <w:rPr>
          <w:rFonts w:hint="cs"/>
          <w:rtl/>
        </w:rPr>
        <w:t xml:space="preserve">ראיה דאף לדעת </w:t>
      </w:r>
      <w:r>
        <w:rPr>
          <w:rStyle w:val="af8"/>
          <w:rtl/>
        </w:rPr>
        <w:t>הרשב"א</w:t>
      </w:r>
      <w:r>
        <w:rPr>
          <w:rFonts w:hint="cs"/>
          <w:rtl/>
        </w:rPr>
        <w:t xml:space="preserve"> מותר מדאו'. מהא דבלח בלח לכו"ע מותר מדאו' בחד בתרי, ורק מדרבנן צריך שישים, אעפ"י שהוא אוכל ושותה את האיסור בתוך התערובת, דהוא נבלל בכולה.</w:t>
      </w:r>
      <w:bookmarkEnd w:id="13501"/>
      <w:r>
        <w:rPr>
          <w:rFonts w:hint="cs"/>
          <w:rtl/>
        </w:rPr>
        <w:t xml:space="preserve"> [ועי' במה שביאר </w:t>
      </w:r>
      <w:r>
        <w:rPr>
          <w:rStyle w:val="af8"/>
          <w:rtl/>
        </w:rPr>
        <w:t>הקוב"ש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Ref22250649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sidRPr="004D1C5B">
        <w:rPr>
          <w:rStyle w:val="af6"/>
          <w:rFonts w:eastAsia="Guttman Hodes" w:hint="eastAsia"/>
          <w:b/>
          <w:bCs/>
          <w:cs/>
        </w:rPr>
        <w:t>‎</w:t>
      </w:r>
      <w:r w:rsidR="004D1C5B" w:rsidRPr="004D1C5B">
        <w:rPr>
          <w:rStyle w:val="af6"/>
          <w:rFonts w:eastAsia="Guttman Hodes" w:hint="eastAsia"/>
          <w:b/>
          <w:bCs/>
          <w:rtl/>
        </w:rPr>
        <w:t>צב</w:t>
      </w:r>
      <w:r w:rsidR="004D1C5B" w:rsidRPr="004D1C5B">
        <w:rPr>
          <w:rStyle w:val="af6"/>
          <w:rFonts w:eastAsia="Guttman Hodes"/>
          <w:b/>
          <w:bCs/>
          <w:rtl/>
        </w:rPr>
        <w:t>)</w:t>
      </w:r>
      <w:r>
        <w:rPr>
          <w:rFonts w:hint="cs"/>
          <w:rtl/>
        </w:rPr>
        <w:fldChar w:fldCharType="end"/>
      </w:r>
      <w:r>
        <w:rPr>
          <w:rFonts w:hint="cs"/>
          <w:rtl/>
        </w:rPr>
        <w:t xml:space="preserve"> בדעת </w:t>
      </w:r>
      <w:r>
        <w:rPr>
          <w:rStyle w:val="af8"/>
          <w:rtl/>
        </w:rPr>
        <w:t>הרשב"א</w:t>
      </w:r>
      <w:r>
        <w:rPr>
          <w:rFonts w:hint="cs"/>
          <w:rtl/>
        </w:rPr>
        <w:t xml:space="preserve"> בלח בלח עפי"ד </w:t>
      </w:r>
      <w:r>
        <w:rPr>
          <w:rStyle w:val="af8"/>
          <w:rtl/>
        </w:rPr>
        <w:t>הכס"מ</w:t>
      </w:r>
      <w:r>
        <w:rPr>
          <w:rFonts w:hint="cs"/>
          <w:rtl/>
        </w:rPr>
        <w:t xml:space="preserve">, ובמ"ש </w:t>
      </w:r>
      <w:r>
        <w:rPr>
          <w:rStyle w:val="af8"/>
          <w:rtl/>
        </w:rPr>
        <w:t>הבאר יצחק והזכר יצחק</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Ref22205097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צא</w:t>
      </w:r>
      <w:r w:rsidR="004D1C5B">
        <w:rPr>
          <w:rStyle w:val="af6"/>
          <w:rFonts w:eastAsia="Guttman Hodes"/>
          <w:rtl/>
        </w:rPr>
        <w:t>)</w:t>
      </w:r>
      <w:r>
        <w:rPr>
          <w:rFonts w:hint="cs"/>
          <w:rtl/>
        </w:rPr>
        <w:fldChar w:fldCharType="end"/>
      </w:r>
      <w:r>
        <w:rPr>
          <w:rFonts w:hint="cs"/>
          <w:rtl/>
        </w:rPr>
        <w:t xml:space="preserve">, ובמה שדחה </w:t>
      </w:r>
      <w:r>
        <w:rPr>
          <w:rStyle w:val="af8"/>
          <w:rtl/>
        </w:rPr>
        <w:t>המשנת 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Ref22106894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קד</w:t>
      </w:r>
      <w:r w:rsidR="004D1C5B">
        <w:rPr>
          <w:rStyle w:val="af6"/>
          <w:rFonts w:eastAsia="Guttman Hodes"/>
          <w:rtl/>
        </w:rPr>
        <w:t>)</w:t>
      </w:r>
      <w:r>
        <w:rPr>
          <w:rFonts w:hint="cs"/>
          <w:rtl/>
        </w:rPr>
        <w:fldChar w:fldCharType="end"/>
      </w:r>
      <w:r>
        <w:rPr>
          <w:rFonts w:hint="cs"/>
          <w:rtl/>
        </w:rPr>
        <w:t xml:space="preserve"> את הוכחת </w:t>
      </w:r>
      <w:r>
        <w:rPr>
          <w:rStyle w:val="af8"/>
          <w:rtl/>
        </w:rPr>
        <w:t>הפרמ"ג</w:t>
      </w:r>
      <w:r>
        <w:rPr>
          <w:rFonts w:hint="cs"/>
          <w:rtl/>
        </w:rPr>
        <w:t xml:space="preserve"> מדין לח בלח].</w:t>
      </w:r>
      <w:bookmarkEnd w:id="13502"/>
    </w:p>
    <w:p w:rsidR="0028438A" w:rsidRDefault="0028438A" w:rsidP="00DA6853">
      <w:pPr>
        <w:pStyle w:val="1"/>
        <w:rPr>
          <w:rtl/>
        </w:rPr>
      </w:pPr>
      <w:r>
        <w:rPr>
          <w:rFonts w:hint="cs"/>
          <w:rtl/>
        </w:rPr>
        <w:t>ביאור החוו"ד דבב"א יש טעם ובא"מ אסור מדאו' ובמינו מדרבנן</w:t>
      </w:r>
    </w:p>
    <w:p w:rsidR="0028438A" w:rsidRDefault="0028438A" w:rsidP="0028438A">
      <w:pPr>
        <w:pStyle w:val="a2"/>
        <w:rPr>
          <w:b/>
          <w:bCs/>
          <w:rtl/>
        </w:rPr>
      </w:pPr>
      <w:r>
        <w:rPr>
          <w:rFonts w:hint="cs"/>
          <w:rtl/>
        </w:rPr>
        <w:t>דברי השיטמ"ק והחוו"ד דבאוכל בב"א יש נתינת טעם ובאינו מינו אסור מדאו' ובמינו מדרבנן</w:t>
      </w:r>
    </w:p>
    <w:p w:rsidR="0028438A" w:rsidRDefault="0028438A" w:rsidP="009F44AF">
      <w:pPr>
        <w:pStyle w:val="a"/>
        <w:numPr>
          <w:ilvl w:val="0"/>
          <w:numId w:val="17"/>
        </w:numPr>
        <w:rPr>
          <w:rtl/>
        </w:rPr>
      </w:pPr>
      <w:bookmarkStart w:id="13503" w:name="_Ref24283543"/>
      <w:r>
        <w:rPr>
          <w:rFonts w:hint="cs"/>
          <w:rtl/>
        </w:rPr>
        <w:t xml:space="preserve">וע"ע במה שביאר </w:t>
      </w:r>
      <w:r>
        <w:rPr>
          <w:rStyle w:val="af8"/>
          <w:rtl/>
        </w:rPr>
        <w:t xml:space="preserve">החוו"ד </w:t>
      </w:r>
      <w:r w:rsidRPr="009F44AF">
        <w:rPr>
          <w:rStyle w:val="af6"/>
          <w:rFonts w:eastAsia="Guttman Hodes" w:hint="cs"/>
          <w:rtl/>
        </w:rPr>
        <w:t xml:space="preserve">(סי' ק"ט סק"ה, </w:t>
      </w:r>
      <w:r w:rsidR="00D3196A" w:rsidRPr="009F44AF">
        <w:rPr>
          <w:rStyle w:val="af6"/>
          <w:rFonts w:eastAsia="Guttman Hodes" w:hint="cs"/>
          <w:rtl/>
        </w:rPr>
        <w:t>הובא בסימן</w:t>
      </w:r>
      <w:r w:rsidRPr="009F44AF">
        <w:rPr>
          <w:rStyle w:val="af6"/>
          <w:rFonts w:eastAsia="Guttman Hodes" w:hint="cs"/>
          <w:rtl/>
        </w:rPr>
        <w:t xml:space="preserve"> ט"ז אות ע"ג)</w:t>
      </w:r>
      <w:r>
        <w:rPr>
          <w:rFonts w:hint="cs"/>
          <w:rtl/>
        </w:rPr>
        <w:t xml:space="preserve"> דהא </w:t>
      </w:r>
      <w:r>
        <w:rPr>
          <w:rStyle w:val="af8"/>
          <w:rtl/>
        </w:rPr>
        <w:t xml:space="preserve">דהרשב"א </w:t>
      </w:r>
      <w:r>
        <w:rPr>
          <w:rFonts w:hint="cs"/>
          <w:rtl/>
        </w:rPr>
        <w:t xml:space="preserve">אוסר במין במינו לאכול את כל התערובת בבת אחת, הוא כיון שבמין בשאינו מינו אסור מדאו', דכשאוכל הכל יחד האיסור נותן טעם בהיתר, ואסור מדין טעם כעיקר דאו', ולכן במין במינו אסור מדרבנן, אטו מין בשאינו מינו, וכ"כ </w:t>
      </w:r>
      <w:r>
        <w:rPr>
          <w:rStyle w:val="af8"/>
          <w:rtl/>
        </w:rPr>
        <w:t xml:space="preserve">השיטמ"ק בביצה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Ref23957936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נט</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בשם </w:t>
      </w:r>
      <w:r>
        <w:rPr>
          <w:rStyle w:val="af8"/>
          <w:rtl/>
        </w:rPr>
        <w:t xml:space="preserve">רבו [הרדב"ז] </w:t>
      </w:r>
      <w:r>
        <w:rPr>
          <w:rFonts w:hint="cs"/>
          <w:rtl/>
        </w:rPr>
        <w:t xml:space="preserve">שצריך לאכול כל חתיכה בפנ"ע, כדי שלא יתנו טעם זה בזה. [וע"ע בדברי </w:t>
      </w:r>
      <w:r>
        <w:rPr>
          <w:rStyle w:val="af8"/>
          <w:rtl/>
        </w:rPr>
        <w:t>היד יהודה</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Ref23984422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w:t>
      </w:r>
      <w:r w:rsidR="004D1C5B">
        <w:rPr>
          <w:rStyle w:val="af6"/>
          <w:rFonts w:eastAsia="Guttman Hodes"/>
          <w:rtl/>
        </w:rPr>
        <w:t>)</w:t>
      </w:r>
      <w:r>
        <w:rPr>
          <w:rFonts w:hint="cs"/>
          <w:rtl/>
        </w:rPr>
        <w:fldChar w:fldCharType="end"/>
      </w:r>
      <w:r>
        <w:rPr>
          <w:rFonts w:hint="cs"/>
          <w:rtl/>
        </w:rPr>
        <w:t xml:space="preserve"> דכתב בדעת </w:t>
      </w:r>
      <w:r>
        <w:rPr>
          <w:rStyle w:val="af8"/>
          <w:rtl/>
        </w:rPr>
        <w:t>הרא"ה והר"ן</w:t>
      </w:r>
      <w:r>
        <w:rPr>
          <w:rFonts w:hint="cs"/>
          <w:rtl/>
        </w:rPr>
        <w:t xml:space="preserve"> דבאוכל בבת אחת, יש נתינת טעם טעם וחשיב כלח בלח].</w:t>
      </w:r>
    </w:p>
    <w:p w:rsidR="0028438A" w:rsidRDefault="0028438A" w:rsidP="0028438A">
      <w:pPr>
        <w:pStyle w:val="a2"/>
        <w:rPr>
          <w:rtl/>
        </w:rPr>
      </w:pPr>
      <w:r>
        <w:rPr>
          <w:rFonts w:hint="cs"/>
          <w:rtl/>
        </w:rPr>
        <w:t>דברי החוו"ד דבמקום שיש שישים אף להרשב"א מותר לאכול את כל התערובת בבת אחת</w:t>
      </w:r>
    </w:p>
    <w:p w:rsidR="0028438A" w:rsidRDefault="0028438A" w:rsidP="009F44AF">
      <w:pPr>
        <w:pStyle w:val="a"/>
        <w:numPr>
          <w:ilvl w:val="0"/>
          <w:numId w:val="17"/>
        </w:numPr>
      </w:pPr>
      <w:r>
        <w:rPr>
          <w:rFonts w:hint="cs"/>
          <w:rtl/>
        </w:rPr>
        <w:t xml:space="preserve">וכתב </w:t>
      </w:r>
      <w:r>
        <w:rPr>
          <w:rStyle w:val="af8"/>
          <w:rtl/>
        </w:rPr>
        <w:t xml:space="preserve">החוו"ד </w:t>
      </w:r>
      <w:r>
        <w:rPr>
          <w:rFonts w:hint="cs"/>
          <w:rtl/>
        </w:rPr>
        <w:t xml:space="preserve">דכיון דהאיסור באוכל בבת אחת, הוא מחמת שהאיסור נותן טעם בהיתר, א"כ במקום שיש שישים, אף לדעת </w:t>
      </w:r>
      <w:r>
        <w:rPr>
          <w:rStyle w:val="af8"/>
          <w:rtl/>
        </w:rPr>
        <w:t>הרשב"א</w:t>
      </w:r>
      <w:r>
        <w:rPr>
          <w:rFonts w:hint="cs"/>
          <w:rtl/>
        </w:rPr>
        <w:t xml:space="preserve"> מותר לאכול את כל התערובת יחד.</w:t>
      </w:r>
      <w:bookmarkEnd w:id="13503"/>
      <w:r>
        <w:rPr>
          <w:rFonts w:hint="cs"/>
          <w:rtl/>
        </w:rPr>
        <w:t xml:space="preserve"> </w:t>
      </w:r>
    </w:p>
    <w:p w:rsidR="0028438A" w:rsidRDefault="0028438A" w:rsidP="00DA6853">
      <w:pPr>
        <w:pStyle w:val="1"/>
        <w:rPr>
          <w:rtl/>
        </w:rPr>
      </w:pPr>
      <w:bookmarkStart w:id="13504" w:name="_Toc23984323"/>
      <w:bookmarkStart w:id="13505" w:name="_Toc23972158"/>
      <w:bookmarkStart w:id="13506" w:name="_Toc23960343"/>
      <w:bookmarkStart w:id="13507" w:name="_Toc23945745"/>
      <w:bookmarkStart w:id="13508" w:name="_Toc23887367"/>
      <w:bookmarkStart w:id="13509" w:name="_Toc23850474"/>
      <w:bookmarkStart w:id="13510" w:name="_Toc23799274"/>
      <w:bookmarkStart w:id="13511" w:name="_Toc23945742"/>
      <w:bookmarkStart w:id="13512" w:name="_Toc23887364"/>
      <w:r>
        <w:rPr>
          <w:rFonts w:hint="cs"/>
          <w:rtl/>
        </w:rPr>
        <w:t>ביאור המנחת כהן והפרמ"ג דבב"א אוכל ודאי איסור</w:t>
      </w:r>
      <w:bookmarkEnd w:id="13504"/>
      <w:bookmarkEnd w:id="13505"/>
      <w:bookmarkEnd w:id="13506"/>
      <w:bookmarkEnd w:id="13507"/>
      <w:bookmarkEnd w:id="13508"/>
      <w:bookmarkEnd w:id="13509"/>
      <w:bookmarkEnd w:id="13510"/>
    </w:p>
    <w:p w:rsidR="0028438A" w:rsidRDefault="0028438A" w:rsidP="0028438A">
      <w:pPr>
        <w:pStyle w:val="a2"/>
        <w:rPr>
          <w:b/>
          <w:bCs/>
          <w:rtl/>
        </w:rPr>
      </w:pPr>
      <w:bookmarkStart w:id="13513" w:name="_Toc23984324"/>
      <w:bookmarkStart w:id="13514" w:name="_Toc23972159"/>
      <w:bookmarkStart w:id="13515" w:name="_Toc23960344"/>
      <w:bookmarkStart w:id="13516" w:name="_Toc23945747"/>
      <w:bookmarkStart w:id="13517" w:name="_Toc23887369"/>
      <w:bookmarkStart w:id="13518" w:name="_Toc23850476"/>
      <w:bookmarkStart w:id="13519" w:name="_Toc23799276"/>
      <w:r>
        <w:rPr>
          <w:rFonts w:hint="cs"/>
          <w:rtl/>
        </w:rPr>
        <w:t>דברי המנחת כהן דבב"א שאוכל בודאי את האיסור הוא כלח דהחמירו להצריך בו שישים</w:t>
      </w:r>
      <w:bookmarkEnd w:id="13513"/>
      <w:bookmarkEnd w:id="13514"/>
      <w:bookmarkEnd w:id="13515"/>
      <w:bookmarkEnd w:id="13516"/>
      <w:bookmarkEnd w:id="13517"/>
      <w:bookmarkEnd w:id="13518"/>
      <w:bookmarkEnd w:id="13519"/>
    </w:p>
    <w:p w:rsidR="0028438A" w:rsidRDefault="0028438A" w:rsidP="009F44AF">
      <w:pPr>
        <w:pStyle w:val="a"/>
        <w:numPr>
          <w:ilvl w:val="0"/>
          <w:numId w:val="17"/>
        </w:numPr>
        <w:rPr>
          <w:rtl/>
        </w:rPr>
      </w:pPr>
      <w:r>
        <w:rPr>
          <w:rFonts w:hint="cs"/>
          <w:rtl/>
        </w:rPr>
        <w:t xml:space="preserve">כתב </w:t>
      </w:r>
      <w:r>
        <w:rPr>
          <w:rStyle w:val="af8"/>
          <w:rtl/>
        </w:rPr>
        <w:t xml:space="preserve">המנחת כהן </w:t>
      </w:r>
      <w:r w:rsidRPr="009F44AF">
        <w:rPr>
          <w:rStyle w:val="af6"/>
          <w:rFonts w:eastAsia="Guttman Hodes" w:hint="cs"/>
          <w:rtl/>
        </w:rPr>
        <w:t>(ס' התערובות ח"ב פ"א ד"ה אמנם הרשב"א)</w:t>
      </w:r>
      <w:r>
        <w:rPr>
          <w:rFonts w:hint="cs"/>
          <w:rtl/>
        </w:rPr>
        <w:t xml:space="preserve"> בביאור דברי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דאוסר לאכול את כל התערובת בבת אחת, דבלח בלח צריך להחמיר יותר, כיון שבכל חלק מהתערובת יש קצת ממשות או טעם של האיסור, משא"כ ביבש ביבש שההיתר עומד בפנ"ע, ובכל חתיכה יכול לומר שהיא מותרת ולכן ס"ל </w:t>
      </w:r>
      <w:r>
        <w:rPr>
          <w:rStyle w:val="af8"/>
          <w:rtl/>
        </w:rPr>
        <w:t>להרשב"א</w:t>
      </w:r>
      <w:r>
        <w:rPr>
          <w:rFonts w:hint="cs"/>
          <w:rtl/>
        </w:rPr>
        <w:t xml:space="preserve"> דבבת אחת אסרו רבנן  לאכול את כל התערובת, דבכה"ג הוא אוכל בודאי את האיסור, ונעשה כמו לח בלח, וביאר </w:t>
      </w:r>
      <w:r w:rsidRPr="009F44AF">
        <w:rPr>
          <w:rStyle w:val="af8"/>
          <w:rFonts w:eastAsia="Guttman Adii-Light"/>
          <w:rtl/>
        </w:rPr>
        <w:t>הפרמ"ג</w:t>
      </w:r>
      <w:r>
        <w:rPr>
          <w:rFonts w:hint="cs"/>
          <w:rtl/>
        </w:rPr>
        <w:t xml:space="preserve"> </w:t>
      </w:r>
      <w:r w:rsidRPr="009F44AF">
        <w:rPr>
          <w:rStyle w:val="af6"/>
          <w:rFonts w:eastAsia="Guttman Hodes" w:hint="cs"/>
          <w:rtl/>
        </w:rPr>
        <w:t>(פתיחה שער התערובות ח"ג פ"</w:t>
      </w:r>
      <w:r w:rsidRPr="009F44AF">
        <w:rPr>
          <w:rStyle w:val="af6"/>
          <w:rFonts w:eastAsia="Guttman Rashi" w:hint="cs"/>
          <w:rtl/>
        </w:rPr>
        <w:t>ה</w:t>
      </w:r>
      <w:r w:rsidRPr="009F44AF">
        <w:rPr>
          <w:rStyle w:val="af6"/>
          <w:rFonts w:eastAsia="Guttman Hodes" w:hint="cs"/>
          <w:rtl/>
        </w:rPr>
        <w:t xml:space="preserve"> ד"ה </w:t>
      </w:r>
      <w:r w:rsidRPr="009F44AF">
        <w:rPr>
          <w:rStyle w:val="af6"/>
          <w:rFonts w:eastAsia="Guttman Rashi" w:hint="cs"/>
          <w:rtl/>
        </w:rPr>
        <w:t>ואחר העיון</w:t>
      </w:r>
      <w:r w:rsidRPr="009F44AF">
        <w:rPr>
          <w:rStyle w:val="af6"/>
          <w:rFonts w:eastAsia="Guttman Hodes" w:hint="cs"/>
          <w:rtl/>
        </w:rPr>
        <w:t>)</w:t>
      </w:r>
      <w:r>
        <w:rPr>
          <w:rFonts w:hint="cs"/>
          <w:rtl/>
        </w:rPr>
        <w:t xml:space="preserve"> את דברי </w:t>
      </w:r>
      <w:r>
        <w:rPr>
          <w:rStyle w:val="af8"/>
          <w:rtl/>
        </w:rPr>
        <w:t xml:space="preserve">המנחת כהן </w:t>
      </w:r>
      <w:r>
        <w:rPr>
          <w:rFonts w:hint="cs"/>
          <w:rtl/>
        </w:rPr>
        <w:t xml:space="preserve">דהא </w:t>
      </w:r>
      <w:r>
        <w:rPr>
          <w:rStyle w:val="af8"/>
          <w:rtl/>
        </w:rPr>
        <w:t>דלהרשב"א</w:t>
      </w:r>
      <w:r>
        <w:rPr>
          <w:rFonts w:hint="cs"/>
          <w:rtl/>
        </w:rPr>
        <w:t xml:space="preserve"> צריך שישים בלח בלח במין במינו, אינו מגזירה דאטו מין בשאינו מינו, אלא דלח בלח הוא כאוכל את כל התערובת יחד ביבש ביבש, דאסור</w:t>
      </w:r>
      <w:r>
        <w:rPr>
          <w:rStyle w:val="af8"/>
          <w:rtl/>
        </w:rPr>
        <w:t xml:space="preserve"> להרשב"א</w:t>
      </w:r>
      <w:r>
        <w:rPr>
          <w:rFonts w:hint="cs"/>
          <w:rtl/>
        </w:rPr>
        <w:t>, כיון שודאי אוכל את האיסור.</w:t>
      </w:r>
    </w:p>
    <w:p w:rsidR="0028438A" w:rsidRDefault="0028438A" w:rsidP="0028438A">
      <w:pPr>
        <w:pStyle w:val="a2"/>
        <w:rPr>
          <w:rtl/>
        </w:rPr>
      </w:pPr>
      <w:bookmarkStart w:id="13520" w:name="_Toc23984325"/>
      <w:bookmarkStart w:id="13521" w:name="_Toc23972160"/>
      <w:bookmarkStart w:id="13522" w:name="_Toc23960345"/>
      <w:bookmarkStart w:id="13523" w:name="_Toc23945752"/>
      <w:bookmarkStart w:id="13524" w:name="_Toc23887374"/>
      <w:bookmarkStart w:id="13525" w:name="_Toc23850481"/>
      <w:bookmarkStart w:id="13526" w:name="_Toc23799281"/>
      <w:r>
        <w:rPr>
          <w:rFonts w:hint="cs"/>
          <w:rtl/>
        </w:rPr>
        <w:t>תירוץ הפרמ"ג ברשב"א דהתירו בלח ביותר משישים אף שאוכל ודאי איסור כדין שאינו מינו</w:t>
      </w:r>
      <w:bookmarkEnd w:id="13520"/>
      <w:bookmarkEnd w:id="13521"/>
      <w:bookmarkEnd w:id="13522"/>
      <w:bookmarkEnd w:id="13523"/>
      <w:bookmarkEnd w:id="13524"/>
      <w:bookmarkEnd w:id="13525"/>
      <w:bookmarkEnd w:id="13526"/>
    </w:p>
    <w:p w:rsidR="0028438A" w:rsidRDefault="0028438A" w:rsidP="009F44AF">
      <w:pPr>
        <w:pStyle w:val="a"/>
        <w:numPr>
          <w:ilvl w:val="0"/>
          <w:numId w:val="17"/>
        </w:numPr>
        <w:rPr>
          <w:rStyle w:val="afa"/>
          <w:rtl/>
        </w:rPr>
      </w:pPr>
      <w:bookmarkStart w:id="13527" w:name="_Ref23967262"/>
      <w:r>
        <w:rPr>
          <w:rFonts w:hint="cs"/>
          <w:rtl/>
        </w:rPr>
        <w:t xml:space="preserve">ועיי"ש בדברי </w:t>
      </w:r>
      <w:r>
        <w:rPr>
          <w:rStyle w:val="af8"/>
          <w:rtl/>
        </w:rPr>
        <w:t>הפרמ"ג</w:t>
      </w:r>
      <w:r>
        <w:rPr>
          <w:rFonts w:hint="cs"/>
          <w:rtl/>
        </w:rPr>
        <w:t xml:space="preserve"> </w:t>
      </w:r>
      <w:r w:rsidRPr="009F44AF">
        <w:rPr>
          <w:rStyle w:val="af6"/>
          <w:rFonts w:eastAsia="Guttman Hodes" w:hint="cs"/>
          <w:rtl/>
        </w:rPr>
        <w:t>(</w:t>
      </w:r>
      <w:r w:rsidR="00D3196A" w:rsidRPr="009F44AF">
        <w:rPr>
          <w:rStyle w:val="af6"/>
          <w:rFonts w:eastAsia="Guttman Hodes" w:hint="cs"/>
          <w:rtl/>
        </w:rPr>
        <w:t>הובא בסימן</w:t>
      </w:r>
      <w:r w:rsidRPr="009F44AF">
        <w:rPr>
          <w:rStyle w:val="af6"/>
          <w:rFonts w:eastAsia="Guttman Hodes" w:hint="cs"/>
          <w:rtl/>
        </w:rPr>
        <w:t xml:space="preserve"> ט"ז אות פ"א)</w:t>
      </w:r>
      <w:r>
        <w:rPr>
          <w:rFonts w:hint="cs"/>
          <w:rtl/>
        </w:rPr>
        <w:t xml:space="preserve"> במה שהקשה בסתירת דברי </w:t>
      </w:r>
      <w:r>
        <w:rPr>
          <w:rStyle w:val="af8"/>
          <w:rtl/>
        </w:rPr>
        <w:t>הרשב"א</w:t>
      </w:r>
      <w:r>
        <w:rPr>
          <w:rFonts w:hint="cs"/>
          <w:rtl/>
        </w:rPr>
        <w:t xml:space="preserve"> בלח בלח, וביאר </w:t>
      </w:r>
      <w:r>
        <w:rPr>
          <w:rStyle w:val="af8"/>
          <w:rtl/>
        </w:rPr>
        <w:t>הפרמ"ג</w:t>
      </w:r>
      <w:r>
        <w:rPr>
          <w:rFonts w:hint="cs"/>
          <w:rtl/>
        </w:rPr>
        <w:t xml:space="preserve"> דכוונת </w:t>
      </w:r>
      <w:r>
        <w:rPr>
          <w:rStyle w:val="af8"/>
          <w:rtl/>
        </w:rPr>
        <w:t>הרשב"א</w:t>
      </w:r>
      <w:r>
        <w:rPr>
          <w:rFonts w:hint="cs"/>
          <w:rtl/>
        </w:rPr>
        <w:t xml:space="preserve"> לומר דהא דהתירו רבנן ביותר משישים בלח בלח במין במינו, אעפ"י דחשיב שאוכל את כל התערובת יחד, הוא כיון שטעם האיסור נאבד מעוצם מיעוטו בתוך השישים של ההיתר, ולכן לא גזרו בו רבנן אף שאוכל את כל התערובת יחד, וכתב </w:t>
      </w:r>
      <w:r>
        <w:rPr>
          <w:rStyle w:val="af8"/>
          <w:rtl/>
        </w:rPr>
        <w:t>הפרמ"ג</w:t>
      </w:r>
      <w:r>
        <w:rPr>
          <w:rFonts w:hint="cs"/>
          <w:rtl/>
        </w:rPr>
        <w:t xml:space="preserve"> דלכן כתב </w:t>
      </w:r>
      <w:r>
        <w:rPr>
          <w:rStyle w:val="af8"/>
          <w:rtl/>
        </w:rPr>
        <w:t>הרשב"א</w:t>
      </w:r>
      <w:r>
        <w:rPr>
          <w:rFonts w:hint="cs"/>
          <w:rtl/>
        </w:rPr>
        <w:t xml:space="preserve"> דבמין במינו אסור רק בפחות משישים, כיון שבכה"ג האיסור נותן טעם במין בשאינו מינו, אבל ביותר משישים דאף במין בשאינו מינו אינו נותן טעם לא גזרו רבנן אף במין במינו, אעפ"י דחשיב שאוכל את כל התערובת יחד. [ועי' במה שהקשה </w:t>
      </w:r>
      <w:r>
        <w:rPr>
          <w:rStyle w:val="af8"/>
          <w:rtl/>
        </w:rPr>
        <w:t>השער"י</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Ref23986628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על </w:t>
      </w:r>
      <w:r>
        <w:rPr>
          <w:rStyle w:val="af8"/>
          <w:rtl/>
        </w:rPr>
        <w:t>הפרמ"ג</w:t>
      </w:r>
      <w:r>
        <w:rPr>
          <w:rFonts w:hint="cs"/>
          <w:rtl/>
        </w:rPr>
        <w:t>].</w:t>
      </w:r>
      <w:bookmarkEnd w:id="13527"/>
    </w:p>
    <w:p w:rsidR="0028438A" w:rsidRDefault="0028438A" w:rsidP="0028438A">
      <w:pPr>
        <w:pStyle w:val="a2"/>
        <w:rPr>
          <w:rtl/>
        </w:rPr>
      </w:pPr>
      <w:bookmarkStart w:id="13528" w:name="_Toc23984326"/>
      <w:bookmarkStart w:id="13529" w:name="_Toc23972161"/>
      <w:bookmarkStart w:id="13530" w:name="_Toc23960346"/>
      <w:bookmarkStart w:id="13531" w:name="_Toc23945753"/>
      <w:bookmarkStart w:id="13532" w:name="_Toc23887375"/>
      <w:bookmarkStart w:id="13533" w:name="_Toc23850482"/>
      <w:bookmarkStart w:id="13534" w:name="_Toc23799282"/>
      <w:r>
        <w:rPr>
          <w:rFonts w:hint="cs"/>
          <w:rtl/>
        </w:rPr>
        <w:t>דברי הפרמ"ג דלדעת הרשב"א אסור לאכול יבש את כל התערובת בבת אחת אף כשיש שישים</w:t>
      </w:r>
      <w:bookmarkEnd w:id="13528"/>
      <w:bookmarkEnd w:id="13529"/>
      <w:bookmarkEnd w:id="13530"/>
      <w:bookmarkEnd w:id="13531"/>
      <w:bookmarkEnd w:id="13532"/>
      <w:bookmarkEnd w:id="13533"/>
      <w:bookmarkEnd w:id="13534"/>
    </w:p>
    <w:p w:rsidR="0028438A" w:rsidRDefault="0028438A" w:rsidP="009F44AF">
      <w:pPr>
        <w:pStyle w:val="a"/>
        <w:numPr>
          <w:ilvl w:val="0"/>
          <w:numId w:val="17"/>
        </w:numPr>
        <w:rPr>
          <w:rtl/>
        </w:rPr>
      </w:pPr>
      <w:r>
        <w:rPr>
          <w:rFonts w:hint="cs"/>
          <w:rtl/>
        </w:rPr>
        <w:t xml:space="preserve">וכתב </w:t>
      </w:r>
      <w:r>
        <w:rPr>
          <w:rStyle w:val="af8"/>
          <w:rtl/>
        </w:rPr>
        <w:t>הפרמ"ג</w:t>
      </w:r>
      <w:r>
        <w:rPr>
          <w:rFonts w:hint="cs"/>
          <w:rtl/>
        </w:rPr>
        <w:t xml:space="preserve"> דלפי"ז ביבש ביבש אסור לאכול את כל התערובת בבת אחת, אף כשיש שישים בהיתר כנגד האיסור, דדוקא בלח בלח כשאיסור מעורב בהיתר, וכל משהו מהאיסור הוא מעורב בתוך ההיתר, לכן לא גזרו רבנן כיון שהאיסור אבד בעוצם מיעוטו, אבל ביבש ביבש שהאיסור אינו מעורב בכל ההיתר, אפש"ל דגזרו רבנן דאסור לאכול את כל התערובת בבת אחת, אף שיש שישים בהיתר כנגד האיסור.</w:t>
      </w:r>
    </w:p>
    <w:p w:rsidR="0028438A" w:rsidRDefault="0028438A" w:rsidP="0028438A">
      <w:pPr>
        <w:pStyle w:val="a2"/>
        <w:rPr>
          <w:rtl/>
        </w:rPr>
      </w:pPr>
      <w:bookmarkStart w:id="13535" w:name="_Toc23984327"/>
      <w:bookmarkStart w:id="13536" w:name="_Toc23972162"/>
      <w:bookmarkStart w:id="13537" w:name="_Toc23960347"/>
      <w:r>
        <w:rPr>
          <w:rFonts w:hint="cs"/>
          <w:rtl/>
        </w:rPr>
        <w:t>דברי המלבושי יו"ט ברשב"א דמדאו' נהפך להיתר והחמירו ביבש בב"א שהוא כמו לח דאסור</w:t>
      </w:r>
      <w:bookmarkEnd w:id="13535"/>
      <w:bookmarkEnd w:id="13536"/>
      <w:bookmarkEnd w:id="13537"/>
    </w:p>
    <w:p w:rsidR="0028438A" w:rsidRDefault="0028438A" w:rsidP="009F44AF">
      <w:pPr>
        <w:pStyle w:val="a"/>
        <w:numPr>
          <w:ilvl w:val="0"/>
          <w:numId w:val="17"/>
        </w:numPr>
      </w:pPr>
      <w:bookmarkStart w:id="13538" w:name="_Ref23953535"/>
      <w:r>
        <w:rPr>
          <w:rFonts w:hint="cs"/>
          <w:rtl/>
        </w:rPr>
        <w:t xml:space="preserve">כתב </w:t>
      </w:r>
      <w:r>
        <w:rPr>
          <w:rStyle w:val="af8"/>
          <w:rtl/>
        </w:rPr>
        <w:t xml:space="preserve">המלבושי יו"ט </w:t>
      </w:r>
      <w:r w:rsidRPr="009F44AF">
        <w:rPr>
          <w:rStyle w:val="af6"/>
          <w:rFonts w:eastAsia="Guttman Hodes" w:hint="cs"/>
          <w:rtl/>
        </w:rPr>
        <w:t xml:space="preserve">(ח"א דיני ברירה סי' י"ד ד"ה אולם) </w:t>
      </w:r>
      <w:r>
        <w:rPr>
          <w:rStyle w:val="af8"/>
          <w:rtl/>
        </w:rPr>
        <w:t xml:space="preserve">דהרשב"א </w:t>
      </w:r>
      <w:r>
        <w:rPr>
          <w:rFonts w:hint="cs"/>
          <w:rtl/>
        </w:rPr>
        <w:t xml:space="preserve">אסר לאכול את כל התערובת יחד, רק מדרבנן אבל מדאו' לכו"ע מותר לאכול את כל התערובת בבת אחת, כיון שהתבטל ברוב, וכתב </w:t>
      </w:r>
      <w:r>
        <w:rPr>
          <w:rStyle w:val="af8"/>
          <w:rtl/>
        </w:rPr>
        <w:t xml:space="preserve">המלבושי יו"ט </w:t>
      </w:r>
      <w:r>
        <w:rPr>
          <w:rFonts w:hint="cs"/>
          <w:rtl/>
        </w:rPr>
        <w:t xml:space="preserve">דכן מבואר להדיא מדברי </w:t>
      </w:r>
      <w:r>
        <w:rPr>
          <w:rStyle w:val="af8"/>
          <w:rtl/>
        </w:rPr>
        <w:t>הרשב"א בתוה"ב</w:t>
      </w:r>
      <w:r>
        <w:rPr>
          <w:rFonts w:hint="cs"/>
          <w:rtl/>
        </w:rPr>
        <w:t xml:space="preserve">, וביאר </w:t>
      </w:r>
      <w:r>
        <w:rPr>
          <w:rStyle w:val="af8"/>
          <w:rtl/>
        </w:rPr>
        <w:t xml:space="preserve">המלבושי </w:t>
      </w:r>
      <w:r>
        <w:rPr>
          <w:rStyle w:val="af8"/>
          <w:rtl/>
        </w:rPr>
        <w:lastRenderedPageBreak/>
        <w:t xml:space="preserve">יו"ט </w:t>
      </w:r>
      <w:r>
        <w:rPr>
          <w:rFonts w:hint="cs"/>
          <w:rtl/>
        </w:rPr>
        <w:t xml:space="preserve">דאף </w:t>
      </w:r>
      <w:r>
        <w:rPr>
          <w:rStyle w:val="af8"/>
          <w:rtl/>
        </w:rPr>
        <w:t xml:space="preserve">הרשב"א </w:t>
      </w:r>
      <w:r>
        <w:rPr>
          <w:rFonts w:hint="cs"/>
          <w:rtl/>
        </w:rPr>
        <w:t xml:space="preserve">מודה לדברי </w:t>
      </w:r>
      <w:r>
        <w:rPr>
          <w:rStyle w:val="af8"/>
          <w:rtl/>
        </w:rPr>
        <w:t xml:space="preserve">הרא"ש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דמדאו' האיסור נהפך להיתר, אלא דס"ל דכיון שהחמירו רבנן בלח בלח שצריך שישים לכן א"א לומר דביבש ביבש האיסור נהפך להיתר, דא"כ אמאי החמירו בלח בלח, ולכן אמרו רבנן דאף ביבש ביבש לא אמרינן דהאיסור נהפך להיתר, וכל מה שהקילו ביבש ביבש הוא כיון שאוכל כל חתיכה בפנ"ע, אבל בלח בלח שאוכל את כל התערובת יחד לא הקילו והצריכו ביטול בשישים, ועי' במ"ש </w:t>
      </w:r>
      <w:r>
        <w:rPr>
          <w:rStyle w:val="af8"/>
          <w:rtl/>
        </w:rPr>
        <w:t xml:space="preserve">המלבושי יו"ט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Ref23953501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כא</w:t>
      </w:r>
      <w:r w:rsidR="004D1C5B">
        <w:rPr>
          <w:rStyle w:val="af6"/>
          <w:rFonts w:eastAsia="Guttman Hodes"/>
          <w:rtl/>
        </w:rPr>
        <w:t>)</w:t>
      </w:r>
      <w:r>
        <w:rPr>
          <w:rFonts w:hint="cs"/>
          <w:rtl/>
        </w:rPr>
        <w:fldChar w:fldCharType="end"/>
      </w:r>
      <w:r>
        <w:rPr>
          <w:rFonts w:hint="cs"/>
          <w:rtl/>
        </w:rPr>
        <w:t xml:space="preserve"> </w:t>
      </w:r>
      <w:r>
        <w:rPr>
          <w:rStyle w:val="af8"/>
          <w:rtl/>
        </w:rPr>
        <w:t>דהתוס'</w:t>
      </w:r>
      <w:r>
        <w:rPr>
          <w:rFonts w:hint="cs"/>
          <w:rtl/>
        </w:rPr>
        <w:t xml:space="preserve"> החמירו יותר </w:t>
      </w:r>
      <w:r>
        <w:rPr>
          <w:rStyle w:val="af8"/>
          <w:rtl/>
        </w:rPr>
        <w:t>מהרשב"א</w:t>
      </w:r>
      <w:r>
        <w:rPr>
          <w:rFonts w:hint="cs"/>
          <w:rtl/>
        </w:rPr>
        <w:t>.</w:t>
      </w:r>
      <w:bookmarkEnd w:id="13538"/>
    </w:p>
    <w:p w:rsidR="0028438A" w:rsidRDefault="0028438A" w:rsidP="00DA6853">
      <w:pPr>
        <w:pStyle w:val="1"/>
        <w:rPr>
          <w:rtl/>
        </w:rPr>
      </w:pPr>
      <w:bookmarkStart w:id="13539" w:name="_Toc23984328"/>
      <w:bookmarkStart w:id="13540" w:name="_Toc23972163"/>
      <w:bookmarkStart w:id="13541" w:name="_Toc23960348"/>
      <w:r>
        <w:rPr>
          <w:rFonts w:hint="cs"/>
          <w:rtl/>
        </w:rPr>
        <w:t>ביאור היד יהודה ברשב"א</w:t>
      </w:r>
      <w:bookmarkEnd w:id="13511"/>
      <w:bookmarkEnd w:id="13512"/>
      <w:r>
        <w:rPr>
          <w:rFonts w:hint="cs"/>
          <w:rtl/>
        </w:rPr>
        <w:t xml:space="preserve"> דביבש לא הותר לגמרי ושייך שישים</w:t>
      </w:r>
      <w:bookmarkEnd w:id="13539"/>
      <w:bookmarkEnd w:id="13540"/>
      <w:bookmarkEnd w:id="13541"/>
    </w:p>
    <w:p w:rsidR="0028438A" w:rsidRDefault="0028438A" w:rsidP="0028438A">
      <w:pPr>
        <w:pStyle w:val="a2"/>
        <w:rPr>
          <w:b/>
          <w:bCs/>
          <w:rtl/>
        </w:rPr>
      </w:pPr>
      <w:bookmarkStart w:id="13542" w:name="_Toc23984329"/>
      <w:bookmarkStart w:id="13543" w:name="_Toc23972164"/>
      <w:bookmarkStart w:id="13544" w:name="_Toc23960349"/>
      <w:r>
        <w:rPr>
          <w:rFonts w:hint="cs"/>
          <w:rtl/>
        </w:rPr>
        <w:t>ביאור היד יהודה ברשב"א דביבש לא הותר האיסור לגמרי וההיתר רק בכל חתיכה בפנ"ע</w:t>
      </w:r>
      <w:bookmarkEnd w:id="13542"/>
      <w:bookmarkEnd w:id="13543"/>
      <w:bookmarkEnd w:id="13544"/>
    </w:p>
    <w:p w:rsidR="0028438A" w:rsidRDefault="0028438A" w:rsidP="009F44AF">
      <w:pPr>
        <w:pStyle w:val="a"/>
        <w:numPr>
          <w:ilvl w:val="0"/>
          <w:numId w:val="17"/>
        </w:numPr>
        <w:rPr>
          <w:rtl/>
        </w:rPr>
      </w:pPr>
      <w:bookmarkStart w:id="13545" w:name="_Ref23956571"/>
      <w:r>
        <w:rPr>
          <w:rFonts w:hint="cs"/>
          <w:rtl/>
        </w:rPr>
        <w:t xml:space="preserve">כתב </w:t>
      </w:r>
      <w:r>
        <w:rPr>
          <w:rStyle w:val="af8"/>
          <w:rtl/>
        </w:rPr>
        <w:t>היד יהודה</w:t>
      </w:r>
      <w:r>
        <w:rPr>
          <w:rFonts w:hint="cs"/>
          <w:rtl/>
        </w:rPr>
        <w:t xml:space="preserve"> </w:t>
      </w:r>
      <w:r w:rsidRPr="009F44AF">
        <w:rPr>
          <w:rStyle w:val="af6"/>
          <w:rFonts w:eastAsia="Guttman Hodes" w:hint="cs"/>
          <w:rtl/>
        </w:rPr>
        <w:t xml:space="preserve">(סי' ס"ט ס"ק ס"א ד"ה ונ"מ בין) </w:t>
      </w:r>
      <w:r>
        <w:rPr>
          <w:rFonts w:hint="cs"/>
          <w:rtl/>
        </w:rPr>
        <w:t xml:space="preserve">דלדעת </w:t>
      </w:r>
      <w:r>
        <w:rPr>
          <w:rStyle w:val="af8"/>
          <w:rtl/>
        </w:rPr>
        <w:t>הרשב"א</w:t>
      </w:r>
      <w:r>
        <w:rPr>
          <w:rFonts w:hint="cs"/>
          <w:rtl/>
        </w:rPr>
        <w:t xml:space="preserve"> אף דמהני ביטול בחד בתרי ביבש ביבש, מ"מ מדרבנן האיסור אינו מותר לגמרי, ויש ודאי איסור בתוך התערובת, אלא דעל כל חתיכה יכול לומר שאינה החתיכה האסורה והיא מותרת, אבל כשאוכל בבת אחת, ואינו יכול לומר שאינו אוכל את האיסור, ממילא הוא בכלל דין שישים, כיון שיש בו ודאי איסור.</w:t>
      </w:r>
      <w:bookmarkEnd w:id="13545"/>
    </w:p>
    <w:p w:rsidR="0028438A" w:rsidRDefault="0028438A" w:rsidP="0028438A">
      <w:pPr>
        <w:pStyle w:val="a2"/>
        <w:rPr>
          <w:rtl/>
        </w:rPr>
      </w:pPr>
    </w:p>
    <w:p w:rsidR="0028438A" w:rsidRDefault="0028438A" w:rsidP="0028438A">
      <w:pPr>
        <w:pStyle w:val="a2"/>
        <w:rPr>
          <w:rtl/>
        </w:rPr>
      </w:pPr>
      <w:bookmarkStart w:id="13546" w:name="_Toc23984330"/>
      <w:bookmarkStart w:id="13547" w:name="_Toc23972165"/>
      <w:bookmarkStart w:id="13548" w:name="_Toc23960350"/>
      <w:r>
        <w:rPr>
          <w:rFonts w:hint="cs"/>
          <w:rtl/>
        </w:rPr>
        <w:t>ביאור היד יהודה ברשב"א דשישים הוא אף ביבש באוכל כ"א בפנ"ע מהני ביטול כמו שישים</w:t>
      </w:r>
      <w:bookmarkEnd w:id="13546"/>
      <w:bookmarkEnd w:id="13547"/>
      <w:bookmarkEnd w:id="13548"/>
    </w:p>
    <w:p w:rsidR="0028438A" w:rsidRDefault="0028438A" w:rsidP="009F44AF">
      <w:pPr>
        <w:pStyle w:val="a"/>
        <w:numPr>
          <w:ilvl w:val="0"/>
          <w:numId w:val="17"/>
        </w:numPr>
        <w:rPr>
          <w:rtl/>
        </w:rPr>
      </w:pPr>
      <w:bookmarkStart w:id="13549" w:name="_Toc23850472"/>
      <w:bookmarkStart w:id="13550" w:name="_Toc23799272"/>
      <w:bookmarkStart w:id="13551" w:name="_Toc23712673"/>
      <w:bookmarkEnd w:id="13296"/>
      <w:bookmarkEnd w:id="13297"/>
      <w:r>
        <w:rPr>
          <w:rFonts w:hint="cs"/>
          <w:rtl/>
        </w:rPr>
        <w:t xml:space="preserve">וביאר </w:t>
      </w:r>
      <w:r>
        <w:rPr>
          <w:rStyle w:val="af8"/>
          <w:rtl/>
        </w:rPr>
        <w:t>היד יהודה</w:t>
      </w:r>
      <w:r>
        <w:rPr>
          <w:rFonts w:hint="cs"/>
          <w:rtl/>
        </w:rPr>
        <w:t xml:space="preserve"> </w:t>
      </w:r>
      <w:r w:rsidRPr="009F44AF">
        <w:rPr>
          <w:rStyle w:val="af6"/>
          <w:rFonts w:eastAsia="Guttman Hodes" w:hint="cs"/>
          <w:rtl/>
        </w:rPr>
        <w:t>(סי' ק"ט סק"ז, סק"ג ד"ה והנה יבש ביבש)</w:t>
      </w:r>
      <w:r>
        <w:rPr>
          <w:rFonts w:hint="cs"/>
          <w:rtl/>
        </w:rPr>
        <w:t xml:space="preserve"> דלדעת </w:t>
      </w:r>
      <w:r>
        <w:rPr>
          <w:rStyle w:val="af8"/>
          <w:rtl/>
        </w:rPr>
        <w:t>הרשב"א</w:t>
      </w:r>
      <w:r>
        <w:rPr>
          <w:rFonts w:hint="cs"/>
          <w:rtl/>
        </w:rPr>
        <w:t xml:space="preserve"> ההיתר באוכל בבת אחת אינו מחמת דהוא ספק דרבנן, </w:t>
      </w:r>
      <w:r>
        <w:rPr>
          <w:rStyle w:val="afa"/>
          <w:rtl/>
        </w:rPr>
        <w:t xml:space="preserve">[כדכתב </w:t>
      </w:r>
      <w:r>
        <w:rPr>
          <w:rStyle w:val="affa"/>
          <w:rtl/>
        </w:rPr>
        <w:t xml:space="preserve">הרא"ש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Ref23984673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מא)</w:t>
      </w:r>
      <w:r>
        <w:rPr>
          <w:rFonts w:hint="cs"/>
          <w:rtl/>
        </w:rPr>
        <w:fldChar w:fldCharType="end"/>
      </w:r>
      <w:r>
        <w:rPr>
          <w:rStyle w:val="afa"/>
          <w:rtl/>
        </w:rPr>
        <w:t xml:space="preserve"> דהוא הסברא לאסור בבת אחת], </w:t>
      </w:r>
      <w:r>
        <w:rPr>
          <w:rFonts w:hint="cs"/>
          <w:rtl/>
        </w:rPr>
        <w:t xml:space="preserve">דכיון שודאי אוכל את האיסור אי"ז ספק כלל, אלא ביאר </w:t>
      </w:r>
      <w:r>
        <w:rPr>
          <w:rStyle w:val="af8"/>
          <w:rtl/>
        </w:rPr>
        <w:t>היד יהודה</w:t>
      </w:r>
      <w:r>
        <w:rPr>
          <w:rFonts w:hint="cs"/>
          <w:rtl/>
        </w:rPr>
        <w:t xml:space="preserve"> דס"ל </w:t>
      </w:r>
      <w:r>
        <w:rPr>
          <w:rStyle w:val="af8"/>
          <w:rtl/>
        </w:rPr>
        <w:t>להרשב"א</w:t>
      </w:r>
      <w:r>
        <w:rPr>
          <w:rFonts w:hint="cs"/>
          <w:rtl/>
        </w:rPr>
        <w:t xml:space="preserve"> דדין שישים נאמר אף ביבש ביבש, אלא דכל שאוכל כל חתיכה בפנ"ע, כיון שבכל חתיכה יכול לומר שאינה החתיכה האסורה, לכן האיסור מתבטל לגמרי אף בחד בתרי, כמו שמתבטל טעם בשישים.</w:t>
      </w:r>
    </w:p>
    <w:p w:rsidR="0028438A" w:rsidRDefault="0028438A" w:rsidP="0028438A">
      <w:pPr>
        <w:pStyle w:val="a2"/>
        <w:rPr>
          <w:rtl/>
        </w:rPr>
      </w:pPr>
      <w:bookmarkStart w:id="13552" w:name="_Toc23984331"/>
      <w:bookmarkStart w:id="13553" w:name="_Toc23972166"/>
      <w:bookmarkStart w:id="13554" w:name="_Toc23960351"/>
      <w:r>
        <w:rPr>
          <w:rFonts w:hint="cs"/>
          <w:rtl/>
        </w:rPr>
        <w:t>ביאור היד יהודה ברשב"א דבב"א שודאי אוכל איסור אין ביטול ואף ביבש יש בכה"ג דין שישים</w:t>
      </w:r>
      <w:bookmarkEnd w:id="13552"/>
      <w:bookmarkEnd w:id="13553"/>
      <w:bookmarkEnd w:id="13554"/>
    </w:p>
    <w:p w:rsidR="0028438A" w:rsidRDefault="0028438A" w:rsidP="009F44AF">
      <w:pPr>
        <w:pStyle w:val="a"/>
        <w:numPr>
          <w:ilvl w:val="0"/>
          <w:numId w:val="17"/>
        </w:numPr>
      </w:pPr>
      <w:r>
        <w:rPr>
          <w:rFonts w:hint="cs"/>
          <w:rtl/>
        </w:rPr>
        <w:t xml:space="preserve">אבל כשאוכל את כל התערובת בבת אחת, ביאר </w:t>
      </w:r>
      <w:r>
        <w:rPr>
          <w:rStyle w:val="af8"/>
          <w:rtl/>
        </w:rPr>
        <w:t>היד יהודה</w:t>
      </w:r>
      <w:r>
        <w:rPr>
          <w:rFonts w:hint="cs"/>
          <w:rtl/>
        </w:rPr>
        <w:t xml:space="preserve"> דס"ל </w:t>
      </w:r>
      <w:r>
        <w:rPr>
          <w:rStyle w:val="af8"/>
          <w:rtl/>
        </w:rPr>
        <w:t>להרשב"א</w:t>
      </w:r>
      <w:r>
        <w:rPr>
          <w:rFonts w:hint="cs"/>
          <w:rtl/>
        </w:rPr>
        <w:t xml:space="preserve"> דהאיסור לא התבטל, כיון שאוכל ודאי את האיסור, ואינו יכול לומר שבמה שאוכל אין איסור, א"כ אף ביבש יש בכה"ג את גזירת שישים, ודלא </w:t>
      </w:r>
      <w:r>
        <w:rPr>
          <w:rStyle w:val="af8"/>
          <w:rtl/>
        </w:rPr>
        <w:t>כהרא"ש</w:t>
      </w:r>
      <w:r>
        <w:rPr>
          <w:rFonts w:hint="cs"/>
          <w:rtl/>
        </w:rPr>
        <w:t xml:space="preserve"> </w:t>
      </w:r>
      <w:r>
        <w:rPr>
          <w:rStyle w:val="afa"/>
          <w:rtl/>
        </w:rPr>
        <w:t xml:space="preserve">[כדביאר </w:t>
      </w:r>
      <w:r>
        <w:rPr>
          <w:rStyle w:val="affa"/>
          <w:rtl/>
        </w:rPr>
        <w:t xml:space="preserve">היד יהודה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Ref23984697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מה)</w:t>
      </w:r>
      <w:r>
        <w:rPr>
          <w:rFonts w:hint="cs"/>
          <w:rtl/>
        </w:rPr>
        <w:fldChar w:fldCharType="end"/>
      </w:r>
      <w:r>
        <w:rPr>
          <w:rStyle w:val="afa"/>
          <w:rtl/>
        </w:rPr>
        <w:t xml:space="preserve"> בדעת </w:t>
      </w:r>
      <w:r>
        <w:rPr>
          <w:rStyle w:val="affa"/>
          <w:rtl/>
        </w:rPr>
        <w:t>הרא"ש</w:t>
      </w:r>
      <w:r>
        <w:rPr>
          <w:rStyle w:val="afa"/>
          <w:rtl/>
        </w:rPr>
        <w:t>]</w:t>
      </w:r>
      <w:r>
        <w:rPr>
          <w:rFonts w:hint="cs"/>
          <w:rtl/>
        </w:rPr>
        <w:t xml:space="preserve"> דס"ל דביבש אין שישים כלל, אף אם חזר ונעשה לח.</w:t>
      </w:r>
      <w:r>
        <w:rPr>
          <w:rStyle w:val="afa"/>
          <w:rtl/>
        </w:rPr>
        <w:t xml:space="preserve"> </w:t>
      </w:r>
      <w:r>
        <w:rPr>
          <w:rFonts w:hint="cs"/>
          <w:rtl/>
        </w:rPr>
        <w:t xml:space="preserve">[ועי' במה שהוסיף </w:t>
      </w:r>
      <w:r>
        <w:rPr>
          <w:rStyle w:val="af8"/>
          <w:rtl/>
        </w:rPr>
        <w:t xml:space="preserve">היד יהודה </w:t>
      </w:r>
      <w:r w:rsidRPr="009F44AF">
        <w:rPr>
          <w:rStyle w:val="af6"/>
          <w:rFonts w:eastAsia="Guttman Hodes" w:hint="cs"/>
          <w:rtl/>
        </w:rPr>
        <w:t>(עי' הערה</w:t>
      </w:r>
      <w:r>
        <w:rPr>
          <w:rStyle w:val="af0"/>
          <w:rtl/>
        </w:rPr>
        <w:footnoteReference w:id="70"/>
      </w:r>
      <w:r w:rsidRPr="009F44AF">
        <w:rPr>
          <w:rStyle w:val="af6"/>
          <w:rFonts w:eastAsia="Guttman Hodes" w:hint="cs"/>
          <w:rtl/>
        </w:rPr>
        <w:t>)</w:t>
      </w:r>
      <w:r>
        <w:rPr>
          <w:rFonts w:hint="cs"/>
          <w:rtl/>
        </w:rPr>
        <w:t xml:space="preserve"> </w:t>
      </w:r>
      <w:r>
        <w:rPr>
          <w:rStyle w:val="af8"/>
          <w:rtl/>
        </w:rPr>
        <w:t>דהרשב"א</w:t>
      </w:r>
      <w:r>
        <w:rPr>
          <w:rFonts w:hint="cs"/>
          <w:rtl/>
        </w:rPr>
        <w:t xml:space="preserve"> מודה לסברת </w:t>
      </w:r>
      <w:r>
        <w:rPr>
          <w:rStyle w:val="af8"/>
          <w:rtl/>
        </w:rPr>
        <w:t>הרא"ה</w:t>
      </w:r>
      <w:r>
        <w:rPr>
          <w:rFonts w:hint="cs"/>
          <w:rtl/>
        </w:rPr>
        <w:t xml:space="preserve"> דעיקר האיסור לבשל הוא כיון שחוזר ונעשה לח].</w:t>
      </w:r>
      <w:r>
        <w:rPr>
          <w:rStyle w:val="afa"/>
          <w:rtl/>
        </w:rPr>
        <w:t xml:space="preserve"> </w:t>
      </w:r>
    </w:p>
    <w:p w:rsidR="0028438A" w:rsidRDefault="0028438A" w:rsidP="0028438A">
      <w:pPr>
        <w:pStyle w:val="a2"/>
        <w:rPr>
          <w:rtl/>
        </w:rPr>
      </w:pPr>
      <w:bookmarkStart w:id="13555" w:name="_Toc23984332"/>
      <w:bookmarkStart w:id="13556" w:name="_Toc23972167"/>
      <w:bookmarkStart w:id="13557" w:name="_Toc23960352"/>
      <w:r>
        <w:rPr>
          <w:rFonts w:hint="cs"/>
          <w:rtl/>
        </w:rPr>
        <w:t>דברי היד יהודה דלדעת הרשב"א אין היתר גמור ביבש ואסור להרבות איסור ולבשלו יחד</w:t>
      </w:r>
      <w:bookmarkEnd w:id="13555"/>
      <w:bookmarkEnd w:id="13556"/>
      <w:bookmarkEnd w:id="13557"/>
    </w:p>
    <w:p w:rsidR="0028438A" w:rsidRDefault="0028438A" w:rsidP="009F44AF">
      <w:pPr>
        <w:pStyle w:val="a"/>
        <w:numPr>
          <w:ilvl w:val="0"/>
          <w:numId w:val="17"/>
        </w:numPr>
        <w:rPr>
          <w:rtl/>
        </w:rPr>
      </w:pPr>
      <w:bookmarkStart w:id="13558" w:name="_Ref23957089"/>
      <w:r>
        <w:rPr>
          <w:rFonts w:hint="cs"/>
          <w:rtl/>
        </w:rPr>
        <w:t xml:space="preserve">וכתב </w:t>
      </w:r>
      <w:r>
        <w:rPr>
          <w:rStyle w:val="af8"/>
          <w:rtl/>
        </w:rPr>
        <w:t xml:space="preserve">היד יהודה </w:t>
      </w:r>
      <w:r w:rsidRPr="009F44AF">
        <w:rPr>
          <w:rStyle w:val="af6"/>
          <w:rFonts w:eastAsia="Guttman Hodes" w:hint="cs"/>
          <w:rtl/>
        </w:rPr>
        <w:t xml:space="preserve">(סי' ס"ט ס"ק ס"א ד"ה מעתה נ"ל ברור) </w:t>
      </w:r>
      <w:r>
        <w:rPr>
          <w:rFonts w:hint="cs"/>
          <w:rtl/>
        </w:rPr>
        <w:t xml:space="preserve">דכ"מ דכתב </w:t>
      </w:r>
      <w:r>
        <w:rPr>
          <w:rStyle w:val="af8"/>
          <w:rtl/>
        </w:rPr>
        <w:t xml:space="preserve">הר"ן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Ref23957048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בשם </w:t>
      </w:r>
      <w:r>
        <w:rPr>
          <w:rStyle w:val="af8"/>
          <w:rtl/>
        </w:rPr>
        <w:t>הרא"ה</w:t>
      </w:r>
      <w:r>
        <w:rPr>
          <w:rFonts w:hint="cs"/>
          <w:rtl/>
        </w:rPr>
        <w:t xml:space="preserve"> דמותר להרבות היתר על האיסור בשיעור שישים ואח"כ מותר לבשלם יחד, דזהו דוקא לשיטת </w:t>
      </w:r>
      <w:r>
        <w:rPr>
          <w:rStyle w:val="af8"/>
          <w:rtl/>
        </w:rPr>
        <w:t xml:space="preserve">הרא"ה והר"ן </w:t>
      </w:r>
      <w:r>
        <w:rPr>
          <w:rFonts w:hint="cs"/>
          <w:rtl/>
        </w:rPr>
        <w:t>דבזמן שהוא יבש ביבש מותר לגמרי,</w:t>
      </w:r>
      <w:r>
        <w:rPr>
          <w:rStyle w:val="afa"/>
          <w:rtl/>
        </w:rPr>
        <w:t xml:space="preserve"> [כדביאר </w:t>
      </w:r>
      <w:r>
        <w:rPr>
          <w:rStyle w:val="affa"/>
          <w:rtl/>
        </w:rPr>
        <w:t>היד יהודה</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Ref23957674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עט)</w:t>
      </w:r>
      <w:r>
        <w:rPr>
          <w:rFonts w:hint="cs"/>
          <w:rtl/>
        </w:rPr>
        <w:fldChar w:fldCharType="end"/>
      </w:r>
      <w:r>
        <w:rPr>
          <w:rStyle w:val="afa"/>
          <w:rtl/>
        </w:rPr>
        <w:t xml:space="preserve"> </w:t>
      </w:r>
      <w:r>
        <w:rPr>
          <w:rStyle w:val="affa"/>
          <w:rtl/>
        </w:rPr>
        <w:t>ברא"ה</w:t>
      </w:r>
      <w:r>
        <w:rPr>
          <w:rStyle w:val="afa"/>
          <w:rtl/>
        </w:rPr>
        <w:t xml:space="preserve">], </w:t>
      </w:r>
      <w:r>
        <w:rPr>
          <w:rFonts w:hint="cs"/>
          <w:rtl/>
        </w:rPr>
        <w:t>ולכן כשמוסיף עוד היתר, אי"ז נחשב ביטול איסור כלל,</w:t>
      </w:r>
      <w:r>
        <w:rPr>
          <w:rStyle w:val="afa"/>
          <w:rtl/>
        </w:rPr>
        <w:t xml:space="preserve"> </w:t>
      </w:r>
      <w:r>
        <w:rPr>
          <w:rFonts w:hint="cs"/>
          <w:rtl/>
        </w:rPr>
        <w:t xml:space="preserve">אבל לדעת </w:t>
      </w:r>
      <w:r>
        <w:rPr>
          <w:rStyle w:val="af8"/>
          <w:rtl/>
        </w:rPr>
        <w:t xml:space="preserve">הרשב"א </w:t>
      </w:r>
      <w:r>
        <w:rPr>
          <w:rFonts w:hint="cs"/>
          <w:rtl/>
        </w:rPr>
        <w:t>דאף כשהוא יבש עדיין אינו היתר גמור ושייך בו דין שישים, ומותר רק כיון דעל כל חתיכה יכול לומר שהיא המותרת, א"כ אסור להרבות עליהם היתר, דחשיב כמבטל איסור.</w:t>
      </w:r>
      <w:bookmarkEnd w:id="13558"/>
    </w:p>
    <w:p w:rsidR="0028438A" w:rsidRDefault="0028438A" w:rsidP="0028438A">
      <w:pPr>
        <w:pStyle w:val="a2"/>
        <w:rPr>
          <w:rtl/>
        </w:rPr>
      </w:pPr>
      <w:r>
        <w:rPr>
          <w:rFonts w:hint="cs"/>
          <w:rtl/>
        </w:rPr>
        <w:t>דברי היש"ש דהר"ן התיר להוסיף ביבש יותר משישים ולבשל לדעת הרשב"א דאסר בב"א</w:t>
      </w:r>
    </w:p>
    <w:p w:rsidR="0028438A" w:rsidRDefault="0028438A" w:rsidP="009F44AF">
      <w:pPr>
        <w:pStyle w:val="a"/>
        <w:numPr>
          <w:ilvl w:val="0"/>
          <w:numId w:val="17"/>
        </w:numPr>
        <w:rPr>
          <w:rtl/>
        </w:rPr>
      </w:pPr>
      <w:r>
        <w:rPr>
          <w:rFonts w:hint="cs"/>
          <w:rtl/>
        </w:rPr>
        <w:t xml:space="preserve">אבל </w:t>
      </w:r>
      <w:r>
        <w:rPr>
          <w:rStyle w:val="af8"/>
          <w:rtl/>
        </w:rPr>
        <w:t>היש"ש</w:t>
      </w:r>
      <w:r>
        <w:rPr>
          <w:rFonts w:hint="cs"/>
          <w:rtl/>
        </w:rPr>
        <w:t xml:space="preserve"> </w:t>
      </w:r>
      <w:r w:rsidRPr="009F44AF">
        <w:rPr>
          <w:rStyle w:val="af6"/>
          <w:rFonts w:eastAsia="Guttman Hodes" w:hint="cs"/>
          <w:rtl/>
        </w:rPr>
        <w:t>(בפירקין סי' מ"ז ד"ה והיה נראה)</w:t>
      </w:r>
      <w:r>
        <w:rPr>
          <w:rFonts w:hint="cs"/>
          <w:rtl/>
        </w:rPr>
        <w:t xml:space="preserve"> כתב דהא דכתב </w:t>
      </w:r>
      <w:r>
        <w:rPr>
          <w:rStyle w:val="af8"/>
          <w:rtl/>
        </w:rPr>
        <w:t xml:space="preserve">הר"ן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Ref23957048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נד</w:t>
      </w:r>
      <w:r w:rsidR="004D1C5B">
        <w:rPr>
          <w:rStyle w:val="af6"/>
          <w:rFonts w:eastAsia="Guttman Hodes"/>
          <w:rtl/>
        </w:rPr>
        <w:t>)</w:t>
      </w:r>
      <w:r>
        <w:rPr>
          <w:rFonts w:hint="cs"/>
          <w:rtl/>
        </w:rPr>
        <w:fldChar w:fldCharType="end"/>
      </w:r>
      <w:r>
        <w:rPr>
          <w:rFonts w:hint="cs"/>
          <w:rtl/>
        </w:rPr>
        <w:t xml:space="preserve"> דמותר להרבות היתר על האיסור בשיעור שישים ואח"כ מותר לבשלם יחד, הוא לדעת </w:t>
      </w:r>
      <w:r>
        <w:rPr>
          <w:rStyle w:val="af8"/>
          <w:rtl/>
        </w:rPr>
        <w:t>הרשב"א</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Pr>
          <w:rFonts w:hint="cs"/>
          <w:rtl/>
        </w:rPr>
        <w:t xml:space="preserve"> דאוסר לאכול את כל התערובת בבת אחת.</w:t>
      </w:r>
    </w:p>
    <w:p w:rsidR="0028438A" w:rsidRDefault="0028438A" w:rsidP="00DA6853">
      <w:pPr>
        <w:pStyle w:val="1"/>
      </w:pPr>
      <w:bookmarkStart w:id="13559" w:name="_Toc23984334"/>
      <w:bookmarkStart w:id="13560" w:name="_Toc23972169"/>
      <w:bookmarkStart w:id="13561" w:name="_Toc23960354"/>
      <w:r>
        <w:rPr>
          <w:rFonts w:hint="cs"/>
          <w:rtl/>
        </w:rPr>
        <w:t xml:space="preserve">ביאור היד יהודה בר"ן וברא"ה דביבש אין שישים ובב"א כלח </w:t>
      </w:r>
    </w:p>
    <w:p w:rsidR="0028438A" w:rsidRDefault="0028438A" w:rsidP="0028438A">
      <w:pPr>
        <w:pStyle w:val="a2"/>
        <w:rPr>
          <w:b/>
          <w:bCs/>
          <w:rtl/>
        </w:rPr>
      </w:pPr>
      <w:r>
        <w:rPr>
          <w:rFonts w:hint="cs"/>
          <w:rtl/>
        </w:rPr>
        <w:t>ביאור היד יהודה ברא"ה ובר"ן ביבש אין שישים והאיסור מותר לגמרי ובנעשה לח יש שישים</w:t>
      </w:r>
      <w:bookmarkEnd w:id="13559"/>
      <w:bookmarkEnd w:id="13560"/>
      <w:bookmarkEnd w:id="13561"/>
    </w:p>
    <w:p w:rsidR="0028438A" w:rsidRDefault="0028438A" w:rsidP="009F44AF">
      <w:pPr>
        <w:pStyle w:val="a"/>
        <w:numPr>
          <w:ilvl w:val="0"/>
          <w:numId w:val="17"/>
        </w:numPr>
      </w:pPr>
      <w:bookmarkStart w:id="13562" w:name="_Ref23957674"/>
      <w:r>
        <w:rPr>
          <w:rFonts w:hint="cs"/>
          <w:rtl/>
        </w:rPr>
        <w:t xml:space="preserve">כתב </w:t>
      </w:r>
      <w:r>
        <w:rPr>
          <w:rStyle w:val="af8"/>
          <w:rtl/>
        </w:rPr>
        <w:t>היד</w:t>
      </w:r>
      <w:r>
        <w:rPr>
          <w:rFonts w:hint="cs"/>
          <w:rtl/>
        </w:rPr>
        <w:t xml:space="preserve"> </w:t>
      </w:r>
      <w:r>
        <w:rPr>
          <w:rStyle w:val="af8"/>
          <w:rtl/>
        </w:rPr>
        <w:t>יהודה</w:t>
      </w:r>
      <w:r w:rsidRPr="009F44AF">
        <w:rPr>
          <w:rStyle w:val="af6"/>
          <w:rFonts w:eastAsia="Guttman Hodes" w:hint="cs"/>
          <w:rtl/>
        </w:rPr>
        <w:t xml:space="preserve"> (סי' ק"ט סק"ג ד"ה והנה יבש ביבש, סק"ז)</w:t>
      </w:r>
      <w:r>
        <w:rPr>
          <w:rFonts w:hint="cs"/>
          <w:rtl/>
        </w:rPr>
        <w:t xml:space="preserve"> דלדעת </w:t>
      </w:r>
      <w:r>
        <w:rPr>
          <w:rStyle w:val="af8"/>
          <w:rtl/>
        </w:rPr>
        <w:t>הרא"ה והר"ן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Ref23957629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נב</w:t>
      </w:r>
      <w:r w:rsidR="004D1C5B">
        <w:rPr>
          <w:rStyle w:val="af6"/>
          <w:rFonts w:eastAsia="Guttman Hodes"/>
          <w:rtl/>
        </w:rPr>
        <w:t>)</w:t>
      </w:r>
      <w:r>
        <w:rPr>
          <w:rFonts w:hint="cs"/>
          <w:rtl/>
        </w:rPr>
        <w:fldChar w:fldCharType="end"/>
      </w:r>
      <w:r>
        <w:rPr>
          <w:rFonts w:hint="cs"/>
          <w:rtl/>
        </w:rPr>
        <w:t xml:space="preserve"> רק יבש שנעשה לח יש בו דין שישים, אבל כ"ז שהוא יבש לא שייך בו דין שישים, ומדרבנן האיסור מותר לגמרי, דשיעור שישים הוא רק במקום שיש נתינת טעם, ולכן העמידוהו רבנן על הדין דאו' דבטל בחד בתרי, אך כיון שאם חזר ובישל ונעשה לח שיש בו נתינת טעם, יש בו דין שישים.</w:t>
      </w:r>
      <w:bookmarkEnd w:id="13562"/>
    </w:p>
    <w:p w:rsidR="0028438A" w:rsidRDefault="0028438A" w:rsidP="0028438A">
      <w:pPr>
        <w:pStyle w:val="a2"/>
        <w:rPr>
          <w:rtl/>
        </w:rPr>
      </w:pPr>
      <w:bookmarkStart w:id="13563" w:name="_Toc23984335"/>
      <w:bookmarkStart w:id="13564" w:name="_Toc23972170"/>
      <w:bookmarkStart w:id="13565" w:name="_Toc23960355"/>
      <w:r>
        <w:rPr>
          <w:rFonts w:hint="cs"/>
          <w:rtl/>
        </w:rPr>
        <w:t>ביאור היד יהודה ברא"ה ובר"ן דבבת אחת נעשה כלח ונותן טעם ויש בו דין שישים</w:t>
      </w:r>
      <w:bookmarkEnd w:id="13563"/>
      <w:bookmarkEnd w:id="13564"/>
      <w:bookmarkEnd w:id="13565"/>
      <w:r>
        <w:rPr>
          <w:rFonts w:hint="cs"/>
          <w:rtl/>
        </w:rPr>
        <w:t xml:space="preserve"> </w:t>
      </w:r>
    </w:p>
    <w:p w:rsidR="0028438A" w:rsidRDefault="0028438A" w:rsidP="009F44AF">
      <w:pPr>
        <w:pStyle w:val="a"/>
        <w:numPr>
          <w:ilvl w:val="0"/>
          <w:numId w:val="17"/>
        </w:numPr>
      </w:pPr>
      <w:bookmarkStart w:id="13566" w:name="_Ref23984422"/>
      <w:r>
        <w:rPr>
          <w:rFonts w:hint="cs"/>
          <w:rtl/>
        </w:rPr>
        <w:t xml:space="preserve">וביאר </w:t>
      </w:r>
      <w:r>
        <w:rPr>
          <w:rStyle w:val="af8"/>
          <w:rtl/>
        </w:rPr>
        <w:t>היד</w:t>
      </w:r>
      <w:r>
        <w:rPr>
          <w:rFonts w:hint="cs"/>
          <w:rtl/>
        </w:rPr>
        <w:t xml:space="preserve"> </w:t>
      </w:r>
      <w:r>
        <w:rPr>
          <w:rStyle w:val="af8"/>
          <w:rtl/>
        </w:rPr>
        <w:t>יהודה</w:t>
      </w:r>
      <w:r w:rsidRPr="009F44AF">
        <w:rPr>
          <w:rStyle w:val="af6"/>
          <w:rFonts w:eastAsia="Guttman Hodes" w:hint="cs"/>
          <w:rtl/>
        </w:rPr>
        <w:t xml:space="preserve"> </w:t>
      </w:r>
      <w:r>
        <w:rPr>
          <w:rFonts w:hint="cs"/>
          <w:rtl/>
        </w:rPr>
        <w:t xml:space="preserve">דלכן ס"ל </w:t>
      </w:r>
      <w:r>
        <w:rPr>
          <w:rStyle w:val="af8"/>
          <w:rtl/>
        </w:rPr>
        <w:t>להרא"ה והר"ן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Ref24283182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נג</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דאף כשהוא יבש אסור לאוכלו בבת אחת, דכל שאוכל בבת אחת או שבישלם ביחד, האיסור נותן טעם בהיתר, והוא נעשה כלח בלח, וממילא הוא חוזר לדין שישים שנאמר בכל מקום שיש נתינת טעם, ודלא </w:t>
      </w:r>
      <w:r>
        <w:rPr>
          <w:rStyle w:val="af8"/>
          <w:rtl/>
        </w:rPr>
        <w:t>כהרא"ש</w:t>
      </w:r>
      <w:r>
        <w:rPr>
          <w:rFonts w:hint="cs"/>
          <w:rtl/>
        </w:rPr>
        <w:t xml:space="preserve"> דס"ל דביבש אין שישים כלל, אף אם חזר ונעשה לח, והוסיף </w:t>
      </w:r>
      <w:r>
        <w:rPr>
          <w:rStyle w:val="af8"/>
          <w:rtl/>
        </w:rPr>
        <w:t>היד יהודה</w:t>
      </w:r>
      <w:r>
        <w:rPr>
          <w:rFonts w:hint="cs"/>
          <w:rtl/>
        </w:rPr>
        <w:t xml:space="preserve"> </w:t>
      </w:r>
      <w:r w:rsidRPr="009F44AF">
        <w:rPr>
          <w:rStyle w:val="af6"/>
          <w:rFonts w:eastAsia="Guttman Hodes" w:hint="cs"/>
          <w:rtl/>
        </w:rPr>
        <w:t>(סי' ס"ט ס"ק ס"א ד"ה והנה מבואר)</w:t>
      </w:r>
      <w:r>
        <w:rPr>
          <w:rFonts w:hint="cs"/>
          <w:rtl/>
        </w:rPr>
        <w:t xml:space="preserve"> לבאר דלדעת </w:t>
      </w:r>
      <w:r>
        <w:rPr>
          <w:rStyle w:val="af8"/>
          <w:rtl/>
        </w:rPr>
        <w:t>הרא"ה והר"ן</w:t>
      </w:r>
      <w:r>
        <w:rPr>
          <w:rFonts w:hint="cs"/>
          <w:rtl/>
        </w:rPr>
        <w:t xml:space="preserve"> דאסור לבשל את כל התערובת בבת אחת, א"כ א"א להתיר לאכול את כל התערובת בבת אחת, דהוי כחוכא, ועוד כתב </w:t>
      </w:r>
      <w:r>
        <w:rPr>
          <w:rStyle w:val="af8"/>
          <w:rtl/>
        </w:rPr>
        <w:t>היד יהודה</w:t>
      </w:r>
      <w:r>
        <w:rPr>
          <w:rFonts w:hint="cs"/>
          <w:rtl/>
        </w:rPr>
        <w:t xml:space="preserve"> דכשאוכל בבת אחת, ע"י האכילה החתיכות מתערבות, ונותנים טעם זה בזה, וממילא שייך בזה דין שישים לדעת </w:t>
      </w:r>
      <w:r>
        <w:rPr>
          <w:rStyle w:val="af8"/>
          <w:rtl/>
        </w:rPr>
        <w:t>הרא"ה והר"ן</w:t>
      </w:r>
      <w:r>
        <w:rPr>
          <w:rFonts w:hint="cs"/>
          <w:rtl/>
        </w:rPr>
        <w:t xml:space="preserve">. [וע"ע בדברי </w:t>
      </w:r>
      <w:r>
        <w:rPr>
          <w:rStyle w:val="af8"/>
          <w:rtl/>
        </w:rPr>
        <w:t>השיטמ"ק והחוו"ד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Ref24283543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סח</w:t>
      </w:r>
      <w:r w:rsidR="004D1C5B">
        <w:rPr>
          <w:rStyle w:val="af6"/>
          <w:rFonts w:eastAsia="Guttman Hodes"/>
          <w:rtl/>
        </w:rPr>
        <w:t>)</w:t>
      </w:r>
      <w:r>
        <w:rPr>
          <w:rFonts w:hint="cs"/>
          <w:rtl/>
        </w:rPr>
        <w:fldChar w:fldCharType="end"/>
      </w:r>
      <w:r>
        <w:rPr>
          <w:rFonts w:hint="cs"/>
          <w:rtl/>
        </w:rPr>
        <w:t xml:space="preserve"> דכתבו דבאוכל בבת אחת יש נתינת טעם].</w:t>
      </w:r>
      <w:bookmarkEnd w:id="13566"/>
    </w:p>
    <w:p w:rsidR="0028438A" w:rsidRDefault="0028438A" w:rsidP="0028438A">
      <w:pPr>
        <w:pStyle w:val="a2"/>
        <w:rPr>
          <w:rtl/>
        </w:rPr>
      </w:pPr>
      <w:bookmarkStart w:id="13567" w:name="_Toc23984337"/>
      <w:bookmarkStart w:id="13568" w:name="_Toc23972172"/>
      <w:bookmarkStart w:id="13569" w:name="_Toc23960357"/>
      <w:r>
        <w:rPr>
          <w:rFonts w:hint="cs"/>
          <w:rtl/>
        </w:rPr>
        <w:t>ביאור היד יהודה ברא"ה ובר"ן דביבש מותר אף באוכל ודאי איסור אלא דבב"א נעשה כלח</w:t>
      </w:r>
      <w:bookmarkEnd w:id="13567"/>
      <w:bookmarkEnd w:id="13568"/>
      <w:bookmarkEnd w:id="13569"/>
    </w:p>
    <w:p w:rsidR="0028438A" w:rsidRDefault="0028438A" w:rsidP="009F44AF">
      <w:pPr>
        <w:pStyle w:val="a"/>
        <w:numPr>
          <w:ilvl w:val="0"/>
          <w:numId w:val="17"/>
        </w:numPr>
      </w:pPr>
      <w:r>
        <w:rPr>
          <w:rFonts w:hint="cs"/>
          <w:rtl/>
        </w:rPr>
        <w:t xml:space="preserve">וביאר </w:t>
      </w:r>
      <w:r>
        <w:rPr>
          <w:rStyle w:val="af8"/>
          <w:rtl/>
        </w:rPr>
        <w:t xml:space="preserve">היד יהודה </w:t>
      </w:r>
      <w:r w:rsidRPr="009F44AF">
        <w:rPr>
          <w:rStyle w:val="af6"/>
          <w:rFonts w:eastAsia="Guttman Hodes" w:hint="cs"/>
          <w:rtl/>
        </w:rPr>
        <w:t xml:space="preserve">(סי' ס"ט ס"ק ס"א ד"ה מעתה נ"ל ברור) </w:t>
      </w:r>
      <w:r>
        <w:rPr>
          <w:rFonts w:hint="cs"/>
          <w:rtl/>
        </w:rPr>
        <w:t xml:space="preserve">דביבש לגמרי מותר לאכול אף אם אוכל ודאי איסור, אלא דס"ל </w:t>
      </w:r>
      <w:r>
        <w:rPr>
          <w:rStyle w:val="af8"/>
          <w:rtl/>
        </w:rPr>
        <w:t xml:space="preserve">להרא"ה והר"ן </w:t>
      </w:r>
      <w:r>
        <w:rPr>
          <w:rFonts w:hint="cs"/>
          <w:rtl/>
        </w:rPr>
        <w:t xml:space="preserve">דבאוכל בבת אחת חשיב שהאיסור חוזר וניעור דהוא נותן טעם, ולכן אסור בבת אחת, ולא מסברת </w:t>
      </w:r>
      <w:r>
        <w:rPr>
          <w:rStyle w:val="af8"/>
          <w:rtl/>
        </w:rPr>
        <w:t>הרשב"א</w:t>
      </w:r>
      <w:r>
        <w:rPr>
          <w:rFonts w:hint="cs"/>
          <w:rtl/>
        </w:rPr>
        <w:t xml:space="preserve"> דאוכל ודאי איסור, וביאר </w:t>
      </w:r>
      <w:r>
        <w:rPr>
          <w:rStyle w:val="af8"/>
          <w:rtl/>
        </w:rPr>
        <w:t xml:space="preserve">היד יהודה </w:t>
      </w:r>
      <w:r>
        <w:rPr>
          <w:rFonts w:hint="cs"/>
          <w:rtl/>
        </w:rPr>
        <w:t xml:space="preserve">דס"ל </w:t>
      </w:r>
      <w:r>
        <w:rPr>
          <w:rStyle w:val="af8"/>
          <w:rtl/>
        </w:rPr>
        <w:t>להר"ן והרא"ה</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Ref23957629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נב</w:t>
      </w:r>
      <w:r w:rsidR="004D1C5B">
        <w:rPr>
          <w:rStyle w:val="af6"/>
          <w:rFonts w:eastAsia="Guttman Hodes"/>
          <w:rtl/>
        </w:rPr>
        <w:t>)</w:t>
      </w:r>
      <w:r>
        <w:rPr>
          <w:rFonts w:hint="cs"/>
          <w:rtl/>
        </w:rPr>
        <w:fldChar w:fldCharType="end"/>
      </w:r>
      <w:r>
        <w:rPr>
          <w:rFonts w:hint="cs"/>
          <w:rtl/>
        </w:rPr>
        <w:t xml:space="preserve"> דדין שישים לא שייך ביבש כלל, כיון שאין בו נתינת טעם, ובמקום ששייך שיעור שישים, לא מהני ביטול דחד בתרי, ולכן לדעת </w:t>
      </w:r>
      <w:r>
        <w:rPr>
          <w:rStyle w:val="af8"/>
          <w:rtl/>
        </w:rPr>
        <w:t>הרא"ה והר"ן</w:t>
      </w:r>
      <w:r>
        <w:rPr>
          <w:rFonts w:hint="cs"/>
          <w:rtl/>
        </w:rPr>
        <w:t xml:space="preserve"> היה צריך להיות מותר לאכול בבת אחת, דכ"ז שאינו לח אין בו דין שישים אף כשאוכל הכל יחד, אלא דמ"מ ס"ל דכשאוכל הכל יחד חשיב שנעשה לח, ולכן הוא בכלל דין שישים דלח בלח, ולכן מודו </w:t>
      </w:r>
      <w:r>
        <w:rPr>
          <w:rStyle w:val="af8"/>
          <w:rtl/>
        </w:rPr>
        <w:t>הרא"ה והר"ן לרשב"א</w:t>
      </w:r>
      <w:r>
        <w:rPr>
          <w:rFonts w:hint="cs"/>
          <w:rtl/>
        </w:rPr>
        <w:t xml:space="preserve"> דאסור לאכול את כל התערובת בבת אחת.</w:t>
      </w:r>
    </w:p>
    <w:p w:rsidR="0028438A" w:rsidRDefault="0028438A" w:rsidP="0028438A">
      <w:pPr>
        <w:pStyle w:val="a2"/>
      </w:pPr>
      <w:bookmarkStart w:id="13570" w:name="_Toc23984338"/>
      <w:bookmarkStart w:id="13571" w:name="_Toc23972173"/>
      <w:bookmarkStart w:id="13572" w:name="_Toc23960358"/>
      <w:r>
        <w:rPr>
          <w:rFonts w:hint="cs"/>
          <w:rtl/>
        </w:rPr>
        <w:t>דברי היד יהודה דלרא"ה והר"ן איסור יבש בבת אחת כלול בדין שישים בלח שמפורש בגמ'</w:t>
      </w:r>
      <w:bookmarkEnd w:id="13570"/>
      <w:bookmarkEnd w:id="13571"/>
      <w:bookmarkEnd w:id="13572"/>
    </w:p>
    <w:p w:rsidR="0028438A" w:rsidRDefault="0028438A" w:rsidP="009F44AF">
      <w:pPr>
        <w:pStyle w:val="a"/>
        <w:numPr>
          <w:ilvl w:val="0"/>
          <w:numId w:val="17"/>
        </w:numPr>
        <w:rPr>
          <w:rtl/>
        </w:rPr>
      </w:pPr>
      <w:bookmarkStart w:id="13573" w:name="_Ref23958106"/>
      <w:r>
        <w:rPr>
          <w:rFonts w:hint="cs"/>
          <w:rtl/>
        </w:rPr>
        <w:t xml:space="preserve">וכתב </w:t>
      </w:r>
      <w:r>
        <w:rPr>
          <w:rStyle w:val="af8"/>
          <w:rtl/>
        </w:rPr>
        <w:t>היד יהודה</w:t>
      </w:r>
      <w:r w:rsidRPr="009F44AF">
        <w:rPr>
          <w:rStyle w:val="af6"/>
          <w:rFonts w:eastAsia="Guttman Hodes" w:hint="cs"/>
          <w:rtl/>
        </w:rPr>
        <w:t xml:space="preserve"> (סי' ק"ט סק"ג ד"ה והנה באמת)</w:t>
      </w:r>
      <w:r>
        <w:rPr>
          <w:rFonts w:hint="cs"/>
          <w:rtl/>
        </w:rPr>
        <w:t xml:space="preserve"> דלדעת </w:t>
      </w:r>
      <w:r>
        <w:rPr>
          <w:rStyle w:val="af8"/>
          <w:rtl/>
        </w:rPr>
        <w:t>הרא"ה והר"ן</w:t>
      </w:r>
      <w:r>
        <w:rPr>
          <w:rFonts w:hint="cs"/>
          <w:rtl/>
        </w:rPr>
        <w:t xml:space="preserve"> מתורצת קושית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Ref23882342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מב</w:t>
      </w:r>
      <w:r w:rsidR="004D1C5B">
        <w:rPr>
          <w:rStyle w:val="af6"/>
          <w:rFonts w:eastAsia="Guttman Hodes"/>
          <w:rtl/>
        </w:rPr>
        <w:t>)</w:t>
      </w:r>
      <w:r>
        <w:rPr>
          <w:rFonts w:hint="cs"/>
          <w:rtl/>
        </w:rPr>
        <w:fldChar w:fldCharType="end"/>
      </w:r>
      <w:r>
        <w:rPr>
          <w:rFonts w:hint="cs"/>
          <w:rtl/>
        </w:rPr>
        <w:t xml:space="preserve"> דלא מצינו בגמ' שיש איסור לאכול את כל התערובת בבת אחת, דכשאוכל או מבשל את התערובת בבת אחת, חשיב שחזרה התערובת ונעשית כלח בלח, וממילא הוא כלול במה שמפורש בגמ' בדין לח בלח שהצריכו רבנן שישים</w:t>
      </w:r>
      <w:bookmarkEnd w:id="13549"/>
      <w:bookmarkEnd w:id="13550"/>
      <w:bookmarkEnd w:id="13551"/>
      <w:bookmarkEnd w:id="13573"/>
      <w:r>
        <w:rPr>
          <w:rFonts w:hint="cs"/>
          <w:rtl/>
        </w:rPr>
        <w:t>.</w:t>
      </w:r>
    </w:p>
    <w:p w:rsidR="0028438A" w:rsidRDefault="0028438A" w:rsidP="0028438A">
      <w:pPr>
        <w:bidi w:val="0"/>
        <w:spacing w:line="240" w:lineRule="auto"/>
        <w:ind w:left="0"/>
        <w:jc w:val="left"/>
        <w:rPr>
          <w:rFonts w:ascii="Guttman Hodes" w:eastAsia="Guttman Hodes" w:hAnsi="Guttman Hodes" w:cs="Guttman Hodes"/>
          <w:noProof/>
          <w:sz w:val="18"/>
          <w:szCs w:val="18"/>
        </w:rPr>
        <w:sectPr w:rsidR="0028438A">
          <w:type w:val="continuous"/>
          <w:pgSz w:w="11906" w:h="16838"/>
          <w:pgMar w:top="720" w:right="720" w:bottom="720" w:left="720" w:header="283" w:footer="283" w:gutter="0"/>
          <w:cols w:num="2" w:space="567"/>
          <w:bidi/>
          <w:rtlGutter/>
        </w:sectPr>
      </w:pPr>
    </w:p>
    <w:p w:rsidR="0028438A" w:rsidRDefault="0028438A" w:rsidP="009F44AF">
      <w:pPr>
        <w:pStyle w:val="a"/>
        <w:numPr>
          <w:ilvl w:val="0"/>
          <w:numId w:val="0"/>
        </w:numPr>
      </w:pPr>
    </w:p>
    <w:p w:rsidR="0028438A" w:rsidRDefault="0028438A" w:rsidP="0028438A">
      <w:pPr>
        <w:bidi w:val="0"/>
        <w:spacing w:line="240" w:lineRule="auto"/>
        <w:ind w:left="0"/>
        <w:jc w:val="left"/>
        <w:rPr>
          <w:rFonts w:ascii="Guttman Hodes" w:eastAsia="Guttman Hodes" w:hAnsi="Guttman Hodes" w:cs="Guttman Hodes"/>
          <w:noProof/>
          <w:sz w:val="18"/>
          <w:szCs w:val="18"/>
          <w:rtl/>
        </w:rPr>
        <w:sectPr w:rsidR="0028438A">
          <w:type w:val="continuous"/>
          <w:pgSz w:w="11906" w:h="16838"/>
          <w:pgMar w:top="720" w:right="720" w:bottom="720" w:left="720" w:header="283" w:footer="283" w:gutter="0"/>
          <w:cols w:num="2" w:space="567"/>
          <w:bidi/>
          <w:rtlGutter/>
        </w:sectPr>
      </w:pPr>
    </w:p>
    <w:p w:rsidR="0028438A" w:rsidRDefault="0028438A" w:rsidP="0028438A">
      <w:pPr>
        <w:bidi w:val="0"/>
        <w:spacing w:line="240" w:lineRule="auto"/>
        <w:ind w:left="0"/>
        <w:jc w:val="left"/>
        <w:rPr>
          <w:rFonts w:ascii="Guttman Hodes" w:eastAsia="Guttman Hodes" w:hAnsi="Guttman Hodes" w:cs="Guttman Hodes"/>
          <w:noProof/>
          <w:sz w:val="18"/>
          <w:szCs w:val="18"/>
        </w:rPr>
        <w:sectPr w:rsidR="0028438A">
          <w:type w:val="continuous"/>
          <w:pgSz w:w="11906" w:h="16838"/>
          <w:pgMar w:top="720" w:right="720" w:bottom="720" w:left="720" w:header="283" w:footer="283" w:gutter="0"/>
          <w:cols w:space="720"/>
          <w:bidi/>
          <w:rtlGutter/>
        </w:sectPr>
      </w:pPr>
    </w:p>
    <w:p w:rsidR="0028438A" w:rsidRDefault="00651E3B" w:rsidP="0028438A">
      <w:pPr>
        <w:tabs>
          <w:tab w:val="left" w:pos="1163"/>
        </w:tabs>
        <w:spacing w:line="240" w:lineRule="auto"/>
        <w:ind w:left="0"/>
        <w:jc w:val="center"/>
      </w:pPr>
      <w:r>
        <w:rPr>
          <w:rFonts w:ascii="Guttman Hodes" w:eastAsia="Guttman Hodes" w:hAnsi="Guttman Hodes" w:cs="Guttman Hodes"/>
          <w:noProof/>
          <w:sz w:val="18"/>
          <w:szCs w:val="18"/>
        </w:rPr>
        <w:lastRenderedPageBreak/>
        <w:pict>
          <v:shape id="_x0000_i1035" type="#_x0000_t75" style="width:404.55pt;height:6.8pt" o:hrpct="0" o:hralign="center" o:hr="t">
            <v:imagedata r:id="rId48" o:title="BD14845_"/>
          </v:shape>
        </w:pict>
      </w:r>
    </w:p>
    <w:p w:rsidR="0028438A" w:rsidRDefault="0028438A" w:rsidP="0028438A">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28438A" w:rsidRDefault="0028438A" w:rsidP="00E669F8">
      <w:pPr>
        <w:pStyle w:val="afd"/>
        <w:rPr>
          <w:rFonts w:cs="Guttman Hodes"/>
          <w:noProof w:val="0"/>
          <w:sz w:val="18"/>
          <w:rtl/>
        </w:rPr>
      </w:pPr>
      <w:bookmarkStart w:id="13574" w:name="_Toc23984339"/>
      <w:bookmarkStart w:id="13575" w:name="_Toc23972174"/>
      <w:bookmarkStart w:id="13576" w:name="_Toc23960359"/>
      <w:bookmarkStart w:id="13577" w:name="_Toc23945757"/>
      <w:bookmarkStart w:id="13578" w:name="_Toc23887379"/>
      <w:bookmarkStart w:id="13579" w:name="_Toc23850486"/>
      <w:bookmarkStart w:id="13580" w:name="_Toc23799286"/>
      <w:bookmarkStart w:id="13581" w:name="_Toc23712674"/>
      <w:bookmarkStart w:id="13582" w:name="_Toc23372639"/>
      <w:bookmarkStart w:id="13583" w:name="_Toc23224002"/>
      <w:r>
        <w:rPr>
          <w:rFonts w:hint="cs"/>
          <w:rtl/>
        </w:rPr>
        <w:t>ביאורי ראשי הישיבות</w:t>
      </w:r>
      <w:bookmarkEnd w:id="13574"/>
      <w:bookmarkEnd w:id="13575"/>
      <w:bookmarkEnd w:id="13576"/>
      <w:bookmarkEnd w:id="13577"/>
      <w:bookmarkEnd w:id="13578"/>
      <w:bookmarkEnd w:id="13579"/>
      <w:bookmarkEnd w:id="13580"/>
      <w:bookmarkEnd w:id="13581"/>
      <w:bookmarkEnd w:id="13582"/>
      <w:bookmarkEnd w:id="13583"/>
      <w:r>
        <w:rPr>
          <w:rFonts w:hint="cs"/>
          <w:rtl/>
        </w:rPr>
        <w:t xml:space="preserve"> </w:t>
      </w:r>
    </w:p>
    <w:p w:rsidR="0028438A" w:rsidRDefault="0028438A" w:rsidP="0028438A">
      <w:pPr>
        <w:bidi w:val="0"/>
        <w:ind w:left="0"/>
        <w:jc w:val="left"/>
        <w:rPr>
          <w:rFonts w:ascii="Guttman Adii-Light" w:eastAsia="Guttman Adii-Light" w:hAnsi="Guttman Adii-Light" w:cs="Guttman Hodes"/>
          <w:bCs/>
          <w:sz w:val="18"/>
          <w:szCs w:val="28"/>
          <w:rtl/>
        </w:rPr>
        <w:sectPr w:rsidR="0028438A">
          <w:pgSz w:w="11906" w:h="16838"/>
          <w:pgMar w:top="720" w:right="720" w:bottom="720" w:left="720" w:header="283" w:footer="283" w:gutter="0"/>
          <w:cols w:space="720"/>
          <w:bidi/>
          <w:rtlGutter/>
        </w:sectPr>
      </w:pPr>
    </w:p>
    <w:p w:rsidR="0028438A" w:rsidRDefault="0028438A" w:rsidP="00E669F8">
      <w:pPr>
        <w:pStyle w:val="afd"/>
        <w:rPr>
          <w:rtl/>
        </w:rPr>
      </w:pPr>
      <w:bookmarkStart w:id="13584" w:name="_Toc23984340"/>
      <w:bookmarkStart w:id="13585" w:name="_Toc23972175"/>
      <w:bookmarkStart w:id="13586" w:name="_Toc23960360"/>
      <w:bookmarkStart w:id="13587" w:name="_Toc23945758"/>
      <w:bookmarkStart w:id="13588" w:name="_Toc23887380"/>
      <w:bookmarkStart w:id="13589" w:name="_Toc23850487"/>
      <w:bookmarkStart w:id="13590" w:name="_Toc23799287"/>
      <w:bookmarkStart w:id="13591" w:name="_Toc23712675"/>
      <w:bookmarkStart w:id="13592" w:name="_Toc23372640"/>
      <w:r>
        <w:rPr>
          <w:rFonts w:hint="cs"/>
          <w:rtl/>
        </w:rPr>
        <w:t>בביאור הסוברים דהרשב"א אסר מדאו'</w:t>
      </w:r>
      <w:bookmarkEnd w:id="13584"/>
      <w:bookmarkEnd w:id="13585"/>
    </w:p>
    <w:p w:rsidR="0028438A" w:rsidRDefault="0028438A" w:rsidP="00DA6853">
      <w:pPr>
        <w:pStyle w:val="1"/>
        <w:rPr>
          <w:rtl/>
        </w:rPr>
      </w:pPr>
      <w:bookmarkStart w:id="13593" w:name="_Toc23984341"/>
      <w:bookmarkStart w:id="13594" w:name="_Toc23972176"/>
      <w:r>
        <w:rPr>
          <w:rFonts w:hint="cs"/>
          <w:rtl/>
        </w:rPr>
        <w:t>ביאור הגרש"ש בדעת הב"י ברשב"א דבב"א אסור מדאו'</w:t>
      </w:r>
      <w:bookmarkEnd w:id="13593"/>
      <w:bookmarkEnd w:id="13594"/>
    </w:p>
    <w:p w:rsidR="0028438A" w:rsidRDefault="0028438A" w:rsidP="0028438A">
      <w:pPr>
        <w:pStyle w:val="a2"/>
        <w:rPr>
          <w:b/>
          <w:bCs/>
          <w:rtl/>
        </w:rPr>
      </w:pPr>
      <w:bookmarkStart w:id="13595" w:name="_Toc23984342"/>
      <w:bookmarkStart w:id="13596" w:name="_Toc23972177"/>
      <w:r>
        <w:rPr>
          <w:rFonts w:hint="cs"/>
          <w:rtl/>
        </w:rPr>
        <w:t>דברי הגרש"ש דא"א לומר כב"י דהרשב"א אסר מדאו' דהא ודאי דביטול ברוב הוא דין בפנ"ע</w:t>
      </w:r>
      <w:bookmarkEnd w:id="13595"/>
      <w:bookmarkEnd w:id="13596"/>
    </w:p>
    <w:p w:rsidR="0028438A" w:rsidRDefault="0028438A" w:rsidP="009F44AF">
      <w:pPr>
        <w:pStyle w:val="a"/>
        <w:numPr>
          <w:ilvl w:val="0"/>
          <w:numId w:val="17"/>
        </w:numPr>
        <w:rPr>
          <w:rtl/>
        </w:rPr>
      </w:pPr>
      <w:bookmarkStart w:id="13597" w:name="_Ref21679627"/>
      <w:r>
        <w:rPr>
          <w:rFonts w:hint="cs"/>
          <w:rtl/>
        </w:rPr>
        <w:t xml:space="preserve">כתב </w:t>
      </w:r>
      <w:r>
        <w:rPr>
          <w:rStyle w:val="af8"/>
          <w:rtl/>
        </w:rPr>
        <w:t>בחי' הגרש"ש בב"מ</w:t>
      </w:r>
      <w:r>
        <w:rPr>
          <w:rFonts w:hint="cs"/>
          <w:rtl/>
        </w:rPr>
        <w:t xml:space="preserve"> </w:t>
      </w:r>
      <w:r w:rsidRPr="009F44AF">
        <w:rPr>
          <w:rStyle w:val="af6"/>
          <w:rFonts w:eastAsia="Guttman Hodes" w:hint="cs"/>
          <w:rtl/>
        </w:rPr>
        <w:t>(סי' ז' [מהדו' חד' סי' ח'] אות ד')</w:t>
      </w:r>
      <w:r>
        <w:rPr>
          <w:rFonts w:hint="cs"/>
          <w:rtl/>
        </w:rPr>
        <w:t xml:space="preserve"> דמדברי </w:t>
      </w:r>
      <w:r>
        <w:rPr>
          <w:rStyle w:val="af8"/>
          <w:rtl/>
        </w:rPr>
        <w:t>הב"י</w:t>
      </w:r>
      <w:r>
        <w:rPr>
          <w:rFonts w:hint="cs"/>
          <w:rtl/>
        </w:rPr>
        <w:t xml:space="preserve"> </w:t>
      </w:r>
      <w:r w:rsidRPr="009F44AF">
        <w:rPr>
          <w:rStyle w:val="af6"/>
          <w:rFonts w:eastAsia="Guttman Hodes" w:hint="cs"/>
          <w:rtl/>
        </w:rPr>
        <w:t>(סי' ק"ט א')</w:t>
      </w:r>
      <w:r>
        <w:rPr>
          <w:rFonts w:hint="cs"/>
          <w:rtl/>
        </w:rPr>
        <w:t xml:space="preserve"> משמע </w:t>
      </w:r>
      <w:r>
        <w:rPr>
          <w:rStyle w:val="af8"/>
          <w:rtl/>
        </w:rPr>
        <w:t>דהרשב"א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Style w:val="af8"/>
          <w:rtl/>
        </w:rPr>
        <w:t xml:space="preserve"> והרא"ש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נחלקו אי מהני ביטול ברוב מדאו', כשאוכל את כל התערובת בבת אחת, ועיי"ש במ"ש </w:t>
      </w:r>
      <w:r>
        <w:rPr>
          <w:rStyle w:val="af8"/>
          <w:rtl/>
        </w:rPr>
        <w:t>הגרש"ש</w:t>
      </w:r>
      <w:r>
        <w:rPr>
          <w:rFonts w:hint="cs"/>
          <w:rtl/>
        </w:rPr>
        <w:t xml:space="preserve"> באריכות להוכיח דדין ביטול ברוב הוא דין בפנ"ע, ואינו רק מדין הלך אחר הרוב דכל דפריש מרובא פריש, וא"כ א"א לומר </w:t>
      </w:r>
      <w:r>
        <w:rPr>
          <w:rStyle w:val="af8"/>
          <w:rtl/>
        </w:rPr>
        <w:t>דהרשב"א</w:t>
      </w:r>
      <w:r>
        <w:rPr>
          <w:rFonts w:hint="cs"/>
          <w:rtl/>
        </w:rPr>
        <w:t xml:space="preserve"> ס"ל דכל ההיתר בביטול ברוב הוא רק מדינא דהלך אחר הרוב.</w:t>
      </w:r>
      <w:bookmarkEnd w:id="13597"/>
    </w:p>
    <w:p w:rsidR="0028438A" w:rsidRDefault="0028438A" w:rsidP="0028438A">
      <w:pPr>
        <w:pStyle w:val="a2"/>
        <w:rPr>
          <w:rtl/>
        </w:rPr>
      </w:pPr>
      <w:bookmarkStart w:id="13598" w:name="_Toc23984343"/>
      <w:bookmarkStart w:id="13599" w:name="_Toc23972178"/>
      <w:r>
        <w:rPr>
          <w:rFonts w:hint="cs"/>
          <w:rtl/>
        </w:rPr>
        <w:t>ביאור הגרש"ש ברשב"א דבמקום שיש היתר רוב על כל חתיכה בפנ"ע הכל מותר בביטול ברוב</w:t>
      </w:r>
      <w:bookmarkEnd w:id="13598"/>
      <w:bookmarkEnd w:id="13599"/>
    </w:p>
    <w:p w:rsidR="0028438A" w:rsidRDefault="0028438A" w:rsidP="009F44AF">
      <w:pPr>
        <w:pStyle w:val="a"/>
        <w:numPr>
          <w:ilvl w:val="0"/>
          <w:numId w:val="17"/>
        </w:numPr>
        <w:rPr>
          <w:rtl/>
        </w:rPr>
      </w:pPr>
      <w:bookmarkStart w:id="13600" w:name="_Ref23970444"/>
      <w:r>
        <w:rPr>
          <w:rFonts w:hint="cs"/>
          <w:rtl/>
        </w:rPr>
        <w:t xml:space="preserve">אלא ביאר </w:t>
      </w:r>
      <w:r>
        <w:rPr>
          <w:rStyle w:val="af8"/>
          <w:rtl/>
        </w:rPr>
        <w:t>בחי' הגרש"ש בב"מ</w:t>
      </w:r>
      <w:r>
        <w:rPr>
          <w:rFonts w:hint="cs"/>
          <w:rtl/>
        </w:rPr>
        <w:t xml:space="preserve"> דמודה </w:t>
      </w:r>
      <w:r>
        <w:rPr>
          <w:rStyle w:val="af8"/>
          <w:rtl/>
        </w:rPr>
        <w:t>הרשב"א</w:t>
      </w:r>
      <w:r>
        <w:rPr>
          <w:rFonts w:hint="cs"/>
          <w:rtl/>
        </w:rPr>
        <w:t xml:space="preserve"> לסברת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דמדאו' בביטול ברוב האיסור נהפך להיות היתר, אלא דההיתר מועיל רק במקום שבשעת האכילה יש היתר על כל חתיכה וחתיכה מדין הלך אחר הרוב, דכיון שכ"א בפנ"ע מותרת מדין רוב, ממילא כולם מותרות מדין ביטול ברוב, וכתב </w:t>
      </w:r>
      <w:r>
        <w:rPr>
          <w:rStyle w:val="af8"/>
          <w:rtl/>
        </w:rPr>
        <w:t>הגרש"ש</w:t>
      </w:r>
      <w:r>
        <w:rPr>
          <w:rFonts w:hint="cs"/>
          <w:rtl/>
        </w:rPr>
        <w:t xml:space="preserve"> דלכן אחר שהותרו כולם מדין ביטול ברוב, מותר לאכול את כל החתיכות כשאוכל כ"א בפנ"ע, דאעפ"י ש</w:t>
      </w:r>
      <w:r w:rsidR="00441868">
        <w:rPr>
          <w:rFonts w:hint="cs"/>
          <w:rtl/>
        </w:rPr>
        <w:t>ממה נפשך</w:t>
      </w:r>
      <w:r>
        <w:rPr>
          <w:rFonts w:hint="cs"/>
          <w:rtl/>
        </w:rPr>
        <w:t xml:space="preserve"> אכל חתיכת איסור, ומדין הלך אחר הרוב הוא צריך ללקות, </w:t>
      </w:r>
      <w:r>
        <w:rPr>
          <w:rStyle w:val="afa"/>
          <w:rtl/>
        </w:rPr>
        <w:t>[כדין מכה אביו, בספק בן ז' לראשון, ספק בן ט' לאחרון, שהכה את שניהם, דלוקה ד</w:t>
      </w:r>
      <w:r w:rsidR="00441868">
        <w:rPr>
          <w:rStyle w:val="afa"/>
          <w:rtl/>
        </w:rPr>
        <w:t>ממה נפשך</w:t>
      </w:r>
      <w:r>
        <w:rPr>
          <w:rStyle w:val="afa"/>
          <w:rtl/>
        </w:rPr>
        <w:t xml:space="preserve"> הכה את אביו], </w:t>
      </w:r>
      <w:r>
        <w:rPr>
          <w:rFonts w:hint="cs"/>
          <w:rtl/>
        </w:rPr>
        <w:t>אלא דכיון שכשאוכל כל חתיכה בפנ"ע יש היתר מדין הלך אחר הרוב, כולם מותרות מדין ביטול ברוב, והאיסור נהפך להיות היתר וא"כ לא אכל כל איסור.</w:t>
      </w:r>
      <w:bookmarkEnd w:id="13600"/>
    </w:p>
    <w:p w:rsidR="0028438A" w:rsidRDefault="0028438A" w:rsidP="0028438A">
      <w:pPr>
        <w:pStyle w:val="a2"/>
        <w:rPr>
          <w:rtl/>
        </w:rPr>
      </w:pPr>
      <w:bookmarkStart w:id="13601" w:name="_Toc23984344"/>
      <w:bookmarkStart w:id="13602" w:name="_Toc23972179"/>
      <w:r>
        <w:rPr>
          <w:rFonts w:hint="cs"/>
          <w:rtl/>
        </w:rPr>
        <w:t>ביאור הגרש"ש דבב"א אין היתר מדין הלך אחר הרוב וא"כ אין גם היתר מדין ביטול ברוב</w:t>
      </w:r>
      <w:bookmarkEnd w:id="13601"/>
      <w:bookmarkEnd w:id="13602"/>
    </w:p>
    <w:p w:rsidR="0028438A" w:rsidRDefault="0028438A" w:rsidP="009F44AF">
      <w:pPr>
        <w:pStyle w:val="a"/>
        <w:numPr>
          <w:ilvl w:val="0"/>
          <w:numId w:val="17"/>
        </w:numPr>
        <w:rPr>
          <w:rtl/>
        </w:rPr>
      </w:pPr>
      <w:r>
        <w:rPr>
          <w:rFonts w:hint="cs"/>
          <w:rtl/>
        </w:rPr>
        <w:t xml:space="preserve">אבל כשאכל את כל התערובת בבת אחת, ביאר </w:t>
      </w:r>
      <w:r>
        <w:rPr>
          <w:rStyle w:val="af8"/>
          <w:rtl/>
        </w:rPr>
        <w:t>בחי' הגרש"ש בב"מ</w:t>
      </w:r>
      <w:r>
        <w:rPr>
          <w:rFonts w:hint="cs"/>
          <w:rtl/>
        </w:rPr>
        <w:t xml:space="preserve"> דס"ל </w:t>
      </w:r>
      <w:r>
        <w:rPr>
          <w:rStyle w:val="af8"/>
          <w:rtl/>
        </w:rPr>
        <w:t>להרשב"א</w:t>
      </w:r>
      <w:r>
        <w:rPr>
          <w:rFonts w:hint="cs"/>
          <w:rtl/>
        </w:rPr>
        <w:t xml:space="preserve"> דכיון שכשאוכל את כל התערובת אין היתר מדין הלך אחר הרוב, א"כ בכה"ג אין גם את ההיתר מדין ביטול ברוב, ולכן כתב </w:t>
      </w:r>
      <w:r>
        <w:rPr>
          <w:rStyle w:val="af8"/>
          <w:rtl/>
        </w:rPr>
        <w:t xml:space="preserve">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Ref23943555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דאסור לאכול את כל התערובת בבת אחת.</w:t>
      </w:r>
    </w:p>
    <w:p w:rsidR="0028438A" w:rsidRDefault="0028438A" w:rsidP="0028438A">
      <w:pPr>
        <w:pStyle w:val="a2"/>
        <w:rPr>
          <w:rtl/>
        </w:rPr>
      </w:pPr>
      <w:bookmarkStart w:id="13603" w:name="_Toc23984345"/>
      <w:bookmarkStart w:id="13604" w:name="_Toc23972180"/>
      <w:r>
        <w:rPr>
          <w:rFonts w:hint="cs"/>
          <w:rtl/>
        </w:rPr>
        <w:t>ביאור הגרש"ש ברא"ש דכיון שבכל חתיכה בפנ"ע יש רוב והותרו כולם מהני ביטול אף בב"א</w:t>
      </w:r>
      <w:bookmarkEnd w:id="13603"/>
      <w:bookmarkEnd w:id="13604"/>
    </w:p>
    <w:p w:rsidR="0028438A" w:rsidRDefault="0028438A" w:rsidP="009F44AF">
      <w:pPr>
        <w:pStyle w:val="a"/>
        <w:numPr>
          <w:ilvl w:val="0"/>
          <w:numId w:val="17"/>
        </w:numPr>
        <w:rPr>
          <w:rtl/>
        </w:rPr>
      </w:pPr>
      <w:bookmarkStart w:id="13605" w:name="_Ref21679605"/>
      <w:r>
        <w:rPr>
          <w:rFonts w:hint="cs"/>
          <w:rtl/>
        </w:rPr>
        <w:t xml:space="preserve">ובדעת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דס"ל לדאף כשאוכל את כל התערובת יש היתר מדין ביטול ברוב, ביאר </w:t>
      </w:r>
      <w:r>
        <w:rPr>
          <w:rStyle w:val="af8"/>
          <w:rtl/>
        </w:rPr>
        <w:t>בחי' הגרש"ש בב"מ</w:t>
      </w:r>
      <w:r>
        <w:rPr>
          <w:rFonts w:hint="cs"/>
          <w:rtl/>
        </w:rPr>
        <w:t xml:space="preserve"> דס"ל </w:t>
      </w:r>
      <w:r>
        <w:rPr>
          <w:rStyle w:val="af8"/>
          <w:rtl/>
        </w:rPr>
        <w:t>להרא"ש</w:t>
      </w:r>
      <w:r>
        <w:rPr>
          <w:rFonts w:hint="cs"/>
          <w:rtl/>
        </w:rPr>
        <w:t xml:space="preserve"> דאף שההיתר בביטול ברוב הוא רק כמו שהותר בדין הלך אחר הרוב, מ"מ כיון שאם היה נדון על כל חתיכה בפנ"ע יש את ההיתר מדין הלך אחר הרוב, לכן יש בכל החתיכות את ההיתר מדין ביטול ברוב.</w:t>
      </w:r>
      <w:bookmarkEnd w:id="13605"/>
    </w:p>
    <w:p w:rsidR="0028438A" w:rsidRDefault="0028438A" w:rsidP="0028438A">
      <w:pPr>
        <w:pStyle w:val="a2"/>
        <w:rPr>
          <w:rtl/>
        </w:rPr>
      </w:pPr>
      <w:bookmarkStart w:id="13606" w:name="_Toc23984347"/>
      <w:bookmarkStart w:id="13607" w:name="_Toc23972182"/>
      <w:r>
        <w:rPr>
          <w:rFonts w:hint="cs"/>
          <w:rtl/>
        </w:rPr>
        <w:t>דחיית הגרש"ש דא"א לומר דבב"א אסור מדאו' דא"כ אף בלח דאין הלך אחר הרוב יאסר</w:t>
      </w:r>
      <w:bookmarkEnd w:id="13606"/>
      <w:bookmarkEnd w:id="13607"/>
    </w:p>
    <w:p w:rsidR="0028438A" w:rsidRDefault="0028438A" w:rsidP="009F44AF">
      <w:pPr>
        <w:pStyle w:val="a"/>
        <w:numPr>
          <w:ilvl w:val="0"/>
          <w:numId w:val="17"/>
        </w:numPr>
        <w:rPr>
          <w:rtl/>
        </w:rPr>
      </w:pPr>
      <w:bookmarkStart w:id="13608" w:name="_Ref23971044"/>
      <w:r>
        <w:rPr>
          <w:rFonts w:hint="cs"/>
          <w:rtl/>
        </w:rPr>
        <w:t xml:space="preserve">אך דחה </w:t>
      </w:r>
      <w:r>
        <w:rPr>
          <w:rStyle w:val="af8"/>
          <w:rtl/>
        </w:rPr>
        <w:t>בחי' הגרש"ש בב"מ</w:t>
      </w:r>
      <w:r>
        <w:rPr>
          <w:rFonts w:hint="cs"/>
          <w:rtl/>
        </w:rPr>
        <w:t xml:space="preserve"> דמ"מ א"א לומר דס"ל </w:t>
      </w:r>
      <w:r>
        <w:rPr>
          <w:rStyle w:val="af8"/>
          <w:rtl/>
        </w:rPr>
        <w:t>להרשב"א</w:t>
      </w:r>
      <w:r>
        <w:rPr>
          <w:rFonts w:hint="cs"/>
          <w:rtl/>
        </w:rPr>
        <w:t xml:space="preserve"> דמדאו' לא מהני ביטול ברוב, כשאוכל את כל התערובת, </w:t>
      </w:r>
      <w:r>
        <w:rPr>
          <w:rStyle w:val="afa"/>
          <w:rtl/>
        </w:rPr>
        <w:t xml:space="preserve">[כמבואר </w:t>
      </w:r>
      <w:r>
        <w:rPr>
          <w:rStyle w:val="affa"/>
          <w:rtl/>
        </w:rPr>
        <w:t>בב"י</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Ref21679627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פג)</w:t>
      </w:r>
      <w:r>
        <w:rPr>
          <w:rFonts w:hint="cs"/>
          <w:rtl/>
        </w:rPr>
        <w:fldChar w:fldCharType="end"/>
      </w:r>
      <w:r>
        <w:rPr>
          <w:rStyle w:val="afa"/>
          <w:rtl/>
        </w:rPr>
        <w:t xml:space="preserve">], </w:t>
      </w:r>
      <w:r>
        <w:rPr>
          <w:rFonts w:hint="cs"/>
          <w:rtl/>
        </w:rPr>
        <w:t xml:space="preserve">דא"כ היאך מהני ביטול בשישים בלח בלח, הרי כיון שהכל בלול א"כ יש בכל התערובת משהו מהאיסור ולא שייך בזה דין הלך אחר הרוב, וא"כ אין גם היתר ביטול ברוב, וא"כ אף שהטעם של האיסור אינו מורגש כשיש שישים, </w:t>
      </w:r>
      <w:r>
        <w:rPr>
          <w:rStyle w:val="afa"/>
          <w:rtl/>
        </w:rPr>
        <w:t xml:space="preserve">[ואין בזה איסור מדין טעם כעיקר], </w:t>
      </w:r>
      <w:r>
        <w:rPr>
          <w:rFonts w:hint="cs"/>
          <w:rtl/>
        </w:rPr>
        <w:t>מ"מ עדיין גוף האיסור מעורב בתערובת, וא"א להתירו מדין ביטול ברוב.</w:t>
      </w:r>
      <w:bookmarkEnd w:id="13608"/>
      <w:r>
        <w:rPr>
          <w:rFonts w:hint="cs"/>
          <w:rtl/>
        </w:rPr>
        <w:t xml:space="preserve"> [ועי' בדברי </w:t>
      </w:r>
      <w:r>
        <w:rPr>
          <w:rStyle w:val="af8"/>
          <w:rtl/>
        </w:rPr>
        <w:t>הפרמ"ג והחוו"ד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Ref22204912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Pr>
          <w:rFonts w:hint="cs"/>
          <w:rtl/>
        </w:rPr>
        <w:fldChar w:fldCharType="end"/>
      </w:r>
      <w:r>
        <w:rPr>
          <w:rFonts w:hint="cs"/>
          <w:rtl/>
        </w:rPr>
        <w:t xml:space="preserve"> דהוכיחו מלח בלח </w:t>
      </w:r>
      <w:r>
        <w:rPr>
          <w:rStyle w:val="af8"/>
          <w:rtl/>
        </w:rPr>
        <w:t>דהרשב"א</w:t>
      </w:r>
      <w:r>
        <w:rPr>
          <w:rFonts w:hint="cs"/>
          <w:rtl/>
        </w:rPr>
        <w:t xml:space="preserve"> אסר מדרבנן].</w:t>
      </w:r>
    </w:p>
    <w:p w:rsidR="0028438A" w:rsidRDefault="0028438A" w:rsidP="0028438A">
      <w:pPr>
        <w:pStyle w:val="a2"/>
        <w:rPr>
          <w:rtl/>
        </w:rPr>
      </w:pPr>
    </w:p>
    <w:p w:rsidR="0028438A" w:rsidRDefault="0028438A" w:rsidP="0028438A">
      <w:pPr>
        <w:pStyle w:val="a2"/>
        <w:rPr>
          <w:rtl/>
        </w:rPr>
      </w:pPr>
    </w:p>
    <w:p w:rsidR="0028438A" w:rsidRDefault="0028438A" w:rsidP="0028438A">
      <w:pPr>
        <w:pStyle w:val="a2"/>
        <w:rPr>
          <w:rtl/>
        </w:rPr>
      </w:pPr>
      <w:bookmarkStart w:id="13609" w:name="_Toc23984348"/>
      <w:r>
        <w:rPr>
          <w:rFonts w:hint="cs"/>
          <w:rtl/>
        </w:rPr>
        <w:t>מסקנת הגרש"ש דמוכח דהרשב"א אסר בב"א רק מדרבנן ומדאו' מודה דמותר</w:t>
      </w:r>
      <w:bookmarkEnd w:id="13609"/>
    </w:p>
    <w:p w:rsidR="0028438A" w:rsidRDefault="0028438A" w:rsidP="009F44AF">
      <w:pPr>
        <w:pStyle w:val="a"/>
        <w:numPr>
          <w:ilvl w:val="0"/>
          <w:numId w:val="17"/>
        </w:numPr>
        <w:rPr>
          <w:rtl/>
        </w:rPr>
      </w:pPr>
      <w:r>
        <w:rPr>
          <w:rFonts w:hint="cs"/>
          <w:rtl/>
        </w:rPr>
        <w:t xml:space="preserve">אלא כתב </w:t>
      </w:r>
      <w:r>
        <w:rPr>
          <w:rStyle w:val="af8"/>
          <w:rtl/>
        </w:rPr>
        <w:t>בחי' הגרש"ש בב"מ</w:t>
      </w:r>
      <w:r>
        <w:rPr>
          <w:rFonts w:hint="cs"/>
          <w:rtl/>
        </w:rPr>
        <w:t xml:space="preserve"> דצ"ל דהא דס"ל </w:t>
      </w:r>
      <w:r>
        <w:rPr>
          <w:rStyle w:val="af8"/>
          <w:rtl/>
        </w:rPr>
        <w:t>להרשב"א</w:t>
      </w:r>
      <w:r>
        <w:rPr>
          <w:rFonts w:hint="cs"/>
          <w:rtl/>
        </w:rPr>
        <w:t xml:space="preserve"> דאסור לאכול את כל התערובת בבת אחת אינו מדאו', אלא מדרבנן. </w:t>
      </w:r>
      <w:r>
        <w:rPr>
          <w:rStyle w:val="afa"/>
          <w:rtl/>
        </w:rPr>
        <w:t xml:space="preserve">[דהיינו דאף דמדאו' מהני ביטול ברוב, כדביאר </w:t>
      </w:r>
      <w:r>
        <w:rPr>
          <w:rStyle w:val="affa"/>
          <w:rtl/>
        </w:rPr>
        <w:t>בחי' הגרש"ש בב"מ</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Ref21679605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פו)</w:t>
      </w:r>
      <w:r>
        <w:rPr>
          <w:rFonts w:hint="cs"/>
          <w:rtl/>
        </w:rPr>
        <w:fldChar w:fldCharType="end"/>
      </w:r>
      <w:r>
        <w:rPr>
          <w:rStyle w:val="afa"/>
          <w:rtl/>
        </w:rPr>
        <w:t xml:space="preserve"> בדעת </w:t>
      </w:r>
      <w:r>
        <w:rPr>
          <w:rStyle w:val="affa"/>
          <w:rtl/>
        </w:rPr>
        <w:t>הרא"ש</w:t>
      </w:r>
      <w:r>
        <w:rPr>
          <w:rStyle w:val="afa"/>
          <w:rtl/>
        </w:rPr>
        <w:t xml:space="preserve">, מ"מ מדרבנן אסור לאכול את כל התערובת יחד, וכדביאר </w:t>
      </w:r>
      <w:r>
        <w:rPr>
          <w:rStyle w:val="affa"/>
          <w:rtl/>
        </w:rPr>
        <w:t>בשער"י</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Ref21679582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קיב)</w:t>
      </w:r>
      <w:r>
        <w:rPr>
          <w:rFonts w:hint="cs"/>
          <w:rtl/>
        </w:rPr>
        <w:fldChar w:fldCharType="end"/>
      </w:r>
      <w:r>
        <w:rPr>
          <w:rStyle w:val="afa"/>
          <w:rtl/>
        </w:rPr>
        <w:t>].</w:t>
      </w:r>
    </w:p>
    <w:p w:rsidR="0028438A" w:rsidRDefault="0028438A" w:rsidP="00DA6853">
      <w:pPr>
        <w:pStyle w:val="1"/>
        <w:rPr>
          <w:rtl/>
        </w:rPr>
      </w:pPr>
      <w:bookmarkStart w:id="13610" w:name="_Toc23960367"/>
      <w:bookmarkStart w:id="13611" w:name="_Toc23945765"/>
      <w:bookmarkStart w:id="13612" w:name="_Toc23887387"/>
      <w:bookmarkStart w:id="13613" w:name="_Toc23850494"/>
      <w:bookmarkStart w:id="13614" w:name="_Toc23799294"/>
      <w:bookmarkStart w:id="13615" w:name="_Toc23712682"/>
      <w:bookmarkStart w:id="13616" w:name="_Toc23372647"/>
      <w:bookmarkStart w:id="13617" w:name="_Toc23224128"/>
      <w:bookmarkStart w:id="13618" w:name="_Toc22638930"/>
      <w:bookmarkStart w:id="13619" w:name="_Toc22250717"/>
      <w:bookmarkStart w:id="13620" w:name="_Toc23984349"/>
      <w:bookmarkStart w:id="13621" w:name="_Toc23972183"/>
      <w:bookmarkStart w:id="13622" w:name="_Toc23960366"/>
      <w:bookmarkStart w:id="13623" w:name="_Toc23945764"/>
      <w:bookmarkStart w:id="13624" w:name="_Toc23887386"/>
      <w:bookmarkStart w:id="13625" w:name="_Toc23850493"/>
      <w:bookmarkStart w:id="13626" w:name="_Toc23799293"/>
      <w:bookmarkStart w:id="13627" w:name="_Toc23712681"/>
      <w:bookmarkStart w:id="13628" w:name="_Toc23372646"/>
      <w:bookmarkStart w:id="13629" w:name="_Toc23224127"/>
      <w:bookmarkStart w:id="13630" w:name="_Toc22638929"/>
      <w:bookmarkStart w:id="13631" w:name="_Toc22250712"/>
      <w:bookmarkEnd w:id="13586"/>
      <w:bookmarkEnd w:id="13587"/>
      <w:bookmarkEnd w:id="13588"/>
      <w:bookmarkEnd w:id="13589"/>
      <w:bookmarkEnd w:id="13590"/>
      <w:bookmarkEnd w:id="13591"/>
      <w:bookmarkEnd w:id="13592"/>
      <w:r>
        <w:rPr>
          <w:rFonts w:hint="cs"/>
          <w:rtl/>
        </w:rPr>
        <w:t xml:space="preserve">ביאור האחרונים </w:t>
      </w:r>
      <w:bookmarkEnd w:id="13610"/>
      <w:bookmarkEnd w:id="13611"/>
      <w:bookmarkEnd w:id="13612"/>
      <w:bookmarkEnd w:id="13613"/>
      <w:bookmarkEnd w:id="13614"/>
      <w:bookmarkEnd w:id="13615"/>
      <w:bookmarkEnd w:id="13616"/>
      <w:bookmarkEnd w:id="13617"/>
      <w:bookmarkEnd w:id="13618"/>
      <w:bookmarkEnd w:id="13619"/>
      <w:r>
        <w:rPr>
          <w:rFonts w:hint="cs"/>
          <w:rtl/>
        </w:rPr>
        <w:t>ברשב"א דלח בטל ומותר ורק יבש אסור בב"א</w:t>
      </w:r>
      <w:bookmarkEnd w:id="13620"/>
      <w:r>
        <w:rPr>
          <w:rFonts w:hint="cs"/>
          <w:rtl/>
        </w:rPr>
        <w:t xml:space="preserve"> </w:t>
      </w:r>
      <w:bookmarkEnd w:id="13621"/>
    </w:p>
    <w:p w:rsidR="0028438A" w:rsidRDefault="0028438A" w:rsidP="0028438A">
      <w:pPr>
        <w:pStyle w:val="a2"/>
        <w:rPr>
          <w:b/>
          <w:bCs/>
          <w:rtl/>
        </w:rPr>
      </w:pPr>
      <w:bookmarkStart w:id="13632" w:name="_Toc23984350"/>
      <w:bookmarkStart w:id="13633" w:name="_Toc23972184"/>
      <w:r>
        <w:rPr>
          <w:rFonts w:hint="cs"/>
          <w:rtl/>
        </w:rPr>
        <w:t>קושית הקוב"ש על הרשב"א היאך אסר בב"א והרי בלח הוי כאוכל בב"א ואפ"ה מותר</w:t>
      </w:r>
      <w:bookmarkEnd w:id="13632"/>
      <w:bookmarkEnd w:id="13633"/>
    </w:p>
    <w:p w:rsidR="0028438A" w:rsidRDefault="0028438A" w:rsidP="009F44AF">
      <w:pPr>
        <w:pStyle w:val="a"/>
        <w:numPr>
          <w:ilvl w:val="0"/>
          <w:numId w:val="17"/>
        </w:numPr>
        <w:rPr>
          <w:rtl/>
        </w:rPr>
      </w:pPr>
      <w:r>
        <w:rPr>
          <w:rFonts w:hint="cs"/>
          <w:rtl/>
        </w:rPr>
        <w:t xml:space="preserve">הקשה </w:t>
      </w:r>
      <w:r>
        <w:rPr>
          <w:rStyle w:val="af8"/>
          <w:rtl/>
        </w:rPr>
        <w:t>הקוב"ש</w:t>
      </w:r>
      <w:r>
        <w:rPr>
          <w:rFonts w:hint="cs"/>
          <w:rtl/>
        </w:rPr>
        <w:t xml:space="preserve"> </w:t>
      </w:r>
      <w:r w:rsidRPr="009F44AF">
        <w:rPr>
          <w:rStyle w:val="af6"/>
          <w:rFonts w:eastAsia="Guttman Hodes" w:hint="cs"/>
          <w:rtl/>
        </w:rPr>
        <w:t xml:space="preserve">(ח"ב קובץ שמועות חולין אות ל"ז) </w:t>
      </w:r>
      <w:r>
        <w:rPr>
          <w:rFonts w:hint="cs"/>
          <w:rtl/>
        </w:rPr>
        <w:t xml:space="preserve">על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Fonts w:hint="cs"/>
          <w:rtl/>
        </w:rPr>
        <w:t xml:space="preserve"> דאסר לאכול את כל התערובת בבת אחת, דא"כ היאך מותר לאכול לח בלח, דאף שאוכל בזה אחר זה, חשיב כאוכל בבת אחת, דבכל משהו מהתערובת מעורב איסור. [ועי' </w:t>
      </w:r>
      <w:r>
        <w:rPr>
          <w:rStyle w:val="af8"/>
          <w:rtl/>
        </w:rPr>
        <w:t>בפרמ"ג ובחוו"ד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Ref22204912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דהוכיחו מזה </w:t>
      </w:r>
      <w:r>
        <w:rPr>
          <w:rStyle w:val="af8"/>
          <w:rtl/>
        </w:rPr>
        <w:t>דהרשב"א</w:t>
      </w:r>
      <w:r>
        <w:rPr>
          <w:rFonts w:hint="cs"/>
          <w:rtl/>
        </w:rPr>
        <w:t xml:space="preserve"> אוסר רק מדרבנן].</w:t>
      </w:r>
    </w:p>
    <w:p w:rsidR="0028438A" w:rsidRDefault="0028438A" w:rsidP="0028438A">
      <w:pPr>
        <w:pStyle w:val="a2"/>
        <w:rPr>
          <w:rtl/>
        </w:rPr>
      </w:pPr>
      <w:bookmarkStart w:id="13634" w:name="_Toc23972185"/>
      <w:bookmarkStart w:id="13635" w:name="_Toc23984351"/>
      <w:r>
        <w:rPr>
          <w:rFonts w:hint="cs"/>
          <w:rtl/>
        </w:rPr>
        <w:t>ביאור הקוב"ש</w:t>
      </w:r>
      <w:bookmarkEnd w:id="13634"/>
      <w:r>
        <w:rPr>
          <w:rFonts w:hint="cs"/>
          <w:rtl/>
        </w:rPr>
        <w:t xml:space="preserve"> דרק בב"א ביבש החמיר הרשב"א לאסור אבל ביבש מותר בב"א דבטל במציאות</w:t>
      </w:r>
      <w:bookmarkEnd w:id="13635"/>
    </w:p>
    <w:bookmarkEnd w:id="13622"/>
    <w:bookmarkEnd w:id="13623"/>
    <w:bookmarkEnd w:id="13624"/>
    <w:bookmarkEnd w:id="13625"/>
    <w:bookmarkEnd w:id="13626"/>
    <w:bookmarkEnd w:id="13627"/>
    <w:bookmarkEnd w:id="13628"/>
    <w:bookmarkEnd w:id="13629"/>
    <w:bookmarkEnd w:id="13630"/>
    <w:bookmarkEnd w:id="13631"/>
    <w:p w:rsidR="0028438A" w:rsidRDefault="0028438A" w:rsidP="009F44AF">
      <w:pPr>
        <w:pStyle w:val="a"/>
        <w:numPr>
          <w:ilvl w:val="0"/>
          <w:numId w:val="17"/>
        </w:numPr>
        <w:rPr>
          <w:rtl/>
        </w:rPr>
      </w:pPr>
      <w:r>
        <w:rPr>
          <w:rFonts w:hint="cs"/>
          <w:rtl/>
        </w:rPr>
        <w:t xml:space="preserve">ותירץ </w:t>
      </w:r>
      <w:r>
        <w:rPr>
          <w:rStyle w:val="af8"/>
          <w:rtl/>
        </w:rPr>
        <w:t>הקוב"ש דהרשב"א</w:t>
      </w:r>
      <w:r>
        <w:rPr>
          <w:rFonts w:hint="cs"/>
          <w:rtl/>
        </w:rPr>
        <w:t xml:space="preserve"> החמיר לאסור לאכול את כל התערובת בבת אחת רק ביבש ביבש, כיון שהאיסור אינו מתבטל במציאות, אבל בלח בלח מותר לאכול בבת אחת כיון שהאיסור מתבטל במציאות.</w:t>
      </w:r>
    </w:p>
    <w:p w:rsidR="0028438A" w:rsidRDefault="0028438A" w:rsidP="0028438A">
      <w:pPr>
        <w:pStyle w:val="a2"/>
        <w:rPr>
          <w:rtl/>
        </w:rPr>
      </w:pPr>
      <w:bookmarkStart w:id="13636" w:name="_Toc23984352"/>
      <w:r>
        <w:rPr>
          <w:rFonts w:hint="cs"/>
          <w:rtl/>
        </w:rPr>
        <w:t>ביאור הבאר יצחק והזכר יצחק דביבש מותר מדין כל דפריש ובלח האיסור נהפך להיתר</w:t>
      </w:r>
      <w:bookmarkEnd w:id="13636"/>
    </w:p>
    <w:p w:rsidR="0028438A" w:rsidRDefault="0028438A" w:rsidP="009F44AF">
      <w:pPr>
        <w:pStyle w:val="a"/>
        <w:numPr>
          <w:ilvl w:val="0"/>
          <w:numId w:val="17"/>
        </w:numPr>
      </w:pPr>
      <w:bookmarkStart w:id="13637" w:name="_Ref22205097"/>
      <w:r>
        <w:rPr>
          <w:rFonts w:hint="cs"/>
          <w:rtl/>
        </w:rPr>
        <w:t xml:space="preserve">וכעי"ז כתבו </w:t>
      </w:r>
      <w:r>
        <w:rPr>
          <w:rStyle w:val="af8"/>
          <w:rtl/>
        </w:rPr>
        <w:t>הבאר יצחק</w:t>
      </w:r>
      <w:r>
        <w:rPr>
          <w:rFonts w:hint="cs"/>
          <w:rtl/>
        </w:rPr>
        <w:t xml:space="preserve"> </w:t>
      </w:r>
      <w:r w:rsidRPr="009F44AF">
        <w:rPr>
          <w:rStyle w:val="af6"/>
          <w:rFonts w:eastAsia="Guttman Hodes" w:hint="cs"/>
          <w:rtl/>
        </w:rPr>
        <w:t>(שו"ת יו"ד סי' י' סוד"ה הנני)</w:t>
      </w:r>
      <w:r>
        <w:rPr>
          <w:rFonts w:hint="cs"/>
          <w:rtl/>
        </w:rPr>
        <w:t xml:space="preserve"> </w:t>
      </w:r>
      <w:r>
        <w:rPr>
          <w:rStyle w:val="af8"/>
          <w:rtl/>
        </w:rPr>
        <w:t>והזכר יצחק</w:t>
      </w:r>
      <w:r>
        <w:rPr>
          <w:rFonts w:hint="cs"/>
          <w:rtl/>
        </w:rPr>
        <w:t xml:space="preserve"> </w:t>
      </w:r>
      <w:r w:rsidRPr="009F44AF">
        <w:rPr>
          <w:rStyle w:val="af6"/>
          <w:rFonts w:eastAsia="Guttman Hodes" w:hint="cs"/>
          <w:rtl/>
        </w:rPr>
        <w:t xml:space="preserve">(ח"ב סי' מ"ו ג' ד"ה והנה) </w:t>
      </w:r>
      <w:r>
        <w:rPr>
          <w:rFonts w:hint="cs"/>
          <w:rtl/>
        </w:rPr>
        <w:t xml:space="preserve">דלדעת </w:t>
      </w:r>
      <w:r>
        <w:rPr>
          <w:rStyle w:val="af8"/>
          <w:rtl/>
        </w:rPr>
        <w:t>הרשב"א</w:t>
      </w:r>
      <w:r>
        <w:rPr>
          <w:rFonts w:hint="cs"/>
          <w:rtl/>
        </w:rPr>
        <w:t xml:space="preserve"> ביבש האיסור אינו מתהפך להיתר, וההיתר הוא רק מדין כל דפריש, דבחתיכות הראשונות אמרינן שהאיסור נשאר בתערובת, ובחתיכות האחרונות אמרינן שהאיסור כבר נאכל, אך כתבו </w:t>
      </w:r>
      <w:r>
        <w:rPr>
          <w:rStyle w:val="af8"/>
          <w:rtl/>
        </w:rPr>
        <w:t>הבאר יצחק</w:t>
      </w:r>
      <w:r>
        <w:rPr>
          <w:rFonts w:hint="cs"/>
          <w:rtl/>
        </w:rPr>
        <w:t xml:space="preserve"> </w:t>
      </w:r>
      <w:r w:rsidRPr="009F44AF">
        <w:rPr>
          <w:rStyle w:val="af6"/>
          <w:rFonts w:eastAsia="Guttman Hodes" w:hint="cs"/>
          <w:rtl/>
        </w:rPr>
        <w:t>(שו"ת יו"ד סי' י' ד"ה והנה הרמב"ם)</w:t>
      </w:r>
      <w:r>
        <w:rPr>
          <w:rStyle w:val="af8"/>
          <w:rtl/>
        </w:rPr>
        <w:t xml:space="preserve"> והזכר יצחק</w:t>
      </w:r>
      <w:r>
        <w:rPr>
          <w:rFonts w:hint="cs"/>
          <w:rtl/>
        </w:rPr>
        <w:t xml:space="preserve"> דבלח בלח אף לדעת </w:t>
      </w:r>
      <w:r>
        <w:rPr>
          <w:rStyle w:val="af8"/>
          <w:rtl/>
        </w:rPr>
        <w:t>הרשב"א</w:t>
      </w:r>
      <w:r>
        <w:rPr>
          <w:rFonts w:hint="cs"/>
          <w:rtl/>
        </w:rPr>
        <w:t xml:space="preserve"> האיסור נהפך להיתר וכמאן דליתא דמי.</w:t>
      </w:r>
      <w:bookmarkEnd w:id="13637"/>
    </w:p>
    <w:p w:rsidR="0028438A" w:rsidRDefault="0028438A" w:rsidP="0028438A">
      <w:pPr>
        <w:pStyle w:val="a2"/>
        <w:rPr>
          <w:rtl/>
        </w:rPr>
      </w:pPr>
      <w:bookmarkStart w:id="13638" w:name="_Toc23984353"/>
      <w:r>
        <w:rPr>
          <w:rFonts w:hint="cs"/>
          <w:rtl/>
        </w:rPr>
        <w:t>דברי הקוב"ש והזכר יצחק דכ"כ הכס"מ בשם המהריק"ו דלח בטל לגמרי ויבש עומד בפנ"ע</w:t>
      </w:r>
      <w:bookmarkEnd w:id="13638"/>
    </w:p>
    <w:p w:rsidR="0028438A" w:rsidRDefault="0028438A" w:rsidP="009F44AF">
      <w:pPr>
        <w:pStyle w:val="a"/>
        <w:numPr>
          <w:ilvl w:val="0"/>
          <w:numId w:val="17"/>
        </w:numPr>
        <w:rPr>
          <w:rStyle w:val="afa"/>
        </w:rPr>
      </w:pPr>
      <w:r>
        <w:rPr>
          <w:rFonts w:hint="cs"/>
          <w:rtl/>
        </w:rPr>
        <w:t xml:space="preserve">והביאו </w:t>
      </w:r>
      <w:r>
        <w:rPr>
          <w:rStyle w:val="af8"/>
          <w:rtl/>
        </w:rPr>
        <w:t>הקוב"ש</w:t>
      </w:r>
      <w:r>
        <w:rPr>
          <w:rFonts w:hint="cs"/>
          <w:rtl/>
        </w:rPr>
        <w:t xml:space="preserve"> </w:t>
      </w:r>
      <w:r>
        <w:rPr>
          <w:rStyle w:val="af8"/>
          <w:rtl/>
        </w:rPr>
        <w:t>והזכר יצחק</w:t>
      </w:r>
      <w:r>
        <w:rPr>
          <w:rFonts w:hint="cs"/>
          <w:rtl/>
        </w:rPr>
        <w:t xml:space="preserve"> את דברי </w:t>
      </w:r>
      <w:r>
        <w:rPr>
          <w:rStyle w:val="af8"/>
          <w:rtl/>
        </w:rPr>
        <w:t>הכס"מ</w:t>
      </w:r>
      <w:r w:rsidRPr="009F44AF">
        <w:rPr>
          <w:rStyle w:val="af6"/>
          <w:rFonts w:eastAsia="Guttman Hodes" w:hint="cs"/>
          <w:rtl/>
        </w:rPr>
        <w:t xml:space="preserve"> (אבות הטומאות פ"א סוף הי"ז) </w:t>
      </w:r>
      <w:r>
        <w:rPr>
          <w:rFonts w:hint="cs"/>
          <w:rtl/>
        </w:rPr>
        <w:t xml:space="preserve">דכתב בשם </w:t>
      </w:r>
      <w:r>
        <w:rPr>
          <w:rStyle w:val="af8"/>
          <w:rtl/>
        </w:rPr>
        <w:t>המהר"י</w:t>
      </w:r>
      <w:r>
        <w:rPr>
          <w:rFonts w:hint="cs"/>
          <w:rtl/>
        </w:rPr>
        <w:t xml:space="preserve"> </w:t>
      </w:r>
      <w:r>
        <w:rPr>
          <w:rStyle w:val="af8"/>
          <w:rtl/>
        </w:rPr>
        <w:t>קורקוס</w:t>
      </w:r>
      <w:r>
        <w:rPr>
          <w:rFonts w:hint="cs"/>
          <w:rtl/>
        </w:rPr>
        <w:t xml:space="preserve"> דלענין טומאת משא יש חילוק בין ביטול בלח בלח, דוטמאה שנימוחה בדם חשיב הכל כדם, ואין כאן דבר שיטמא, אבל ביבש ביבש חשיב שהטומאה עומדת בפנ"ע ואינה מעורבת בתוך הטהרות, אלא שהיא מתבטלת כיון שאינה ניכרת.</w:t>
      </w:r>
      <w:bookmarkStart w:id="13639" w:name="_Ref22250649"/>
      <w:bookmarkStart w:id="13640" w:name="_Toc22250713"/>
      <w:r>
        <w:rPr>
          <w:rFonts w:hint="cs"/>
          <w:rtl/>
        </w:rPr>
        <w:t xml:space="preserve"> </w:t>
      </w:r>
      <w:r>
        <w:rPr>
          <w:rStyle w:val="afa"/>
          <w:rtl/>
        </w:rPr>
        <w:t xml:space="preserve">[אך כתב </w:t>
      </w:r>
      <w:r>
        <w:rPr>
          <w:rStyle w:val="affa"/>
          <w:rtl/>
        </w:rPr>
        <w:t>הקוב"ש</w:t>
      </w:r>
      <w:r>
        <w:rPr>
          <w:rStyle w:val="afa"/>
          <w:rtl/>
        </w:rPr>
        <w:t xml:space="preserve"> דמדברי </w:t>
      </w:r>
      <w:r>
        <w:rPr>
          <w:rStyle w:val="affa"/>
          <w:rtl/>
        </w:rPr>
        <w:t>התוס' בבכורות</w:t>
      </w:r>
      <w:r>
        <w:rPr>
          <w:rStyle w:val="afa"/>
          <w:rtl/>
        </w:rPr>
        <w:t xml:space="preserve"> </w:t>
      </w:r>
      <w:r>
        <w:rPr>
          <w:rStyle w:val="aff6"/>
          <w:rtl/>
        </w:rPr>
        <w:t>(כג. ד"ה נבילה)</w:t>
      </w:r>
      <w:r>
        <w:rPr>
          <w:rStyle w:val="afa"/>
          <w:rtl/>
        </w:rPr>
        <w:t xml:space="preserve"> מבואר דאף בלח בלח אין טומאת מגע ולא רק ביבש ביבש, וא"כ לפי"ז עדיין קשה על </w:t>
      </w:r>
      <w:r>
        <w:rPr>
          <w:rStyle w:val="affa"/>
          <w:rtl/>
        </w:rPr>
        <w:t>הרשב"א</w:t>
      </w:r>
      <w:r>
        <w:rPr>
          <w:rStyle w:val="afa"/>
          <w:rtl/>
        </w:rPr>
        <w:t xml:space="preserve"> היאך אסר בב"א ביבש והתיר בלח, והניח </w:t>
      </w:r>
      <w:r>
        <w:rPr>
          <w:rStyle w:val="affa"/>
          <w:rtl/>
        </w:rPr>
        <w:t>הקוב"ש</w:t>
      </w:r>
      <w:r>
        <w:rPr>
          <w:rStyle w:val="afa"/>
          <w:rtl/>
        </w:rPr>
        <w:t xml:space="preserve"> בצ"ע].</w:t>
      </w:r>
      <w:bookmarkEnd w:id="13639"/>
    </w:p>
    <w:p w:rsidR="0028438A" w:rsidRDefault="0028438A" w:rsidP="00DA6853">
      <w:pPr>
        <w:pStyle w:val="1"/>
        <w:rPr>
          <w:rtl/>
        </w:rPr>
      </w:pPr>
      <w:bookmarkStart w:id="13641" w:name="_Toc23972186"/>
      <w:bookmarkStart w:id="13642" w:name="_Toc23960368"/>
      <w:bookmarkStart w:id="13643" w:name="_Toc23945766"/>
      <w:bookmarkStart w:id="13644" w:name="_Toc23887388"/>
      <w:bookmarkStart w:id="13645" w:name="_Toc23850495"/>
      <w:bookmarkStart w:id="13646" w:name="_Toc23799295"/>
      <w:bookmarkStart w:id="13647" w:name="_Toc23712683"/>
      <w:bookmarkStart w:id="13648" w:name="_Toc23372648"/>
      <w:bookmarkStart w:id="13649" w:name="_Toc23224129"/>
      <w:bookmarkStart w:id="13650" w:name="_Toc22638931"/>
      <w:bookmarkStart w:id="13651" w:name="_Toc23984354"/>
      <w:r>
        <w:rPr>
          <w:rFonts w:hint="cs"/>
          <w:rtl/>
        </w:rPr>
        <w:t>דברי המשנת ר"א בביאור הגר"א ברשב"א</w:t>
      </w:r>
      <w:bookmarkEnd w:id="13640"/>
      <w:bookmarkEnd w:id="13641"/>
      <w:bookmarkEnd w:id="13642"/>
      <w:bookmarkEnd w:id="13643"/>
      <w:bookmarkEnd w:id="13644"/>
      <w:bookmarkEnd w:id="13645"/>
      <w:bookmarkEnd w:id="13646"/>
      <w:bookmarkEnd w:id="13647"/>
      <w:bookmarkEnd w:id="13648"/>
      <w:bookmarkEnd w:id="13649"/>
      <w:bookmarkEnd w:id="13650"/>
      <w:r>
        <w:rPr>
          <w:rFonts w:hint="cs"/>
          <w:rtl/>
        </w:rPr>
        <w:t xml:space="preserve"> דבב"א אסור מדאו'</w:t>
      </w:r>
      <w:bookmarkEnd w:id="13651"/>
    </w:p>
    <w:p w:rsidR="0028438A" w:rsidRDefault="0028438A" w:rsidP="0028438A">
      <w:pPr>
        <w:pStyle w:val="a2"/>
        <w:rPr>
          <w:b/>
          <w:bCs/>
          <w:rtl/>
        </w:rPr>
      </w:pPr>
      <w:bookmarkStart w:id="13652" w:name="_Toc23984355"/>
      <w:r>
        <w:rPr>
          <w:rFonts w:hint="cs"/>
          <w:rtl/>
        </w:rPr>
        <w:t>דברי המשנת ר"א דמבואר בגר"א דהרשב"א והרא"ש נחלקו אי מדאו' האיסור נהפך להיתר</w:t>
      </w:r>
      <w:bookmarkEnd w:id="13652"/>
    </w:p>
    <w:p w:rsidR="0028438A" w:rsidRDefault="0028438A" w:rsidP="009F44AF">
      <w:pPr>
        <w:pStyle w:val="a"/>
        <w:numPr>
          <w:ilvl w:val="0"/>
          <w:numId w:val="17"/>
        </w:numPr>
      </w:pPr>
      <w:bookmarkStart w:id="13653" w:name="_Ref22294368"/>
      <w:r>
        <w:rPr>
          <w:rFonts w:hint="cs"/>
          <w:rtl/>
        </w:rPr>
        <w:t xml:space="preserve">כתב </w:t>
      </w:r>
      <w:r>
        <w:rPr>
          <w:rStyle w:val="af8"/>
          <w:rtl/>
        </w:rPr>
        <w:t>במשנת ר"א</w:t>
      </w:r>
      <w:r>
        <w:rPr>
          <w:rFonts w:hint="cs"/>
          <w:rtl/>
        </w:rPr>
        <w:t xml:space="preserve"> </w:t>
      </w:r>
      <w:r w:rsidRPr="009F44AF">
        <w:rPr>
          <w:rStyle w:val="af6"/>
          <w:rFonts w:eastAsia="Guttman Hodes" w:hint="cs"/>
          <w:rtl/>
        </w:rPr>
        <w:t>(סי ז' אות א' ד"ה והנה בשו"ע)</w:t>
      </w:r>
      <w:r>
        <w:rPr>
          <w:rFonts w:hint="cs"/>
          <w:rtl/>
        </w:rPr>
        <w:t xml:space="preserve"> דמדברי </w:t>
      </w:r>
      <w:r>
        <w:rPr>
          <w:rStyle w:val="af8"/>
          <w:rtl/>
        </w:rPr>
        <w:t>הגר"א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Ref22111406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סד</w:t>
      </w:r>
      <w:r w:rsidR="004D1C5B">
        <w:rPr>
          <w:rStyle w:val="af6"/>
          <w:rFonts w:eastAsia="Guttman Hodes"/>
          <w:rtl/>
        </w:rPr>
        <w:t>)</w:t>
      </w:r>
      <w:r>
        <w:rPr>
          <w:rFonts w:hint="cs"/>
          <w:rtl/>
        </w:rPr>
        <w:fldChar w:fldCharType="end"/>
      </w:r>
      <w:r>
        <w:rPr>
          <w:rFonts w:hint="cs"/>
          <w:rtl/>
        </w:rPr>
        <w:t xml:space="preserve"> משמע משמע </w:t>
      </w:r>
      <w:r>
        <w:rPr>
          <w:rStyle w:val="af8"/>
          <w:rtl/>
        </w:rPr>
        <w:t>דהרשב"א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Style w:val="af8"/>
          <w:rtl/>
        </w:rPr>
        <w:t xml:space="preserve"> והרא"ש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נחלקו אי מדאו' מהני ביטול באוכל בבת אחת, </w:t>
      </w:r>
      <w:r>
        <w:rPr>
          <w:rStyle w:val="af8"/>
          <w:rtl/>
        </w:rPr>
        <w:t>דלהרא"ש</w:t>
      </w:r>
      <w:r>
        <w:rPr>
          <w:rFonts w:hint="cs"/>
          <w:rtl/>
        </w:rPr>
        <w:t xml:space="preserve"> מדאו' האיסור נהפך להיתר, והוא דין מיוחד בביטול ברוב, וכדילפינן מאחרי רבים להטות.</w:t>
      </w:r>
      <w:bookmarkEnd w:id="13653"/>
    </w:p>
    <w:p w:rsidR="0028438A" w:rsidRDefault="0028438A" w:rsidP="0028438A">
      <w:pPr>
        <w:pStyle w:val="a2"/>
        <w:rPr>
          <w:rtl/>
        </w:rPr>
      </w:pPr>
      <w:bookmarkStart w:id="13654" w:name="_Toc23984356"/>
      <w:r>
        <w:rPr>
          <w:rFonts w:hint="cs"/>
          <w:rtl/>
        </w:rPr>
        <w:t>ביאור המשנת ר"א בגר"א דלהרשב"א מהני ביטול ברוב רק כשהנדון על כל חתיכה בפנ"ע</w:t>
      </w:r>
      <w:bookmarkEnd w:id="13654"/>
    </w:p>
    <w:p w:rsidR="0028438A" w:rsidRDefault="0028438A" w:rsidP="009F44AF">
      <w:pPr>
        <w:pStyle w:val="a"/>
        <w:numPr>
          <w:ilvl w:val="0"/>
          <w:numId w:val="17"/>
        </w:numPr>
        <w:rPr>
          <w:rtl/>
        </w:rPr>
      </w:pPr>
      <w:bookmarkStart w:id="13655" w:name="_Ref22106775"/>
      <w:r>
        <w:rPr>
          <w:rFonts w:hint="cs"/>
          <w:rtl/>
        </w:rPr>
        <w:lastRenderedPageBreak/>
        <w:t xml:space="preserve">וכתב </w:t>
      </w:r>
      <w:r>
        <w:rPr>
          <w:rStyle w:val="af8"/>
          <w:rtl/>
        </w:rPr>
        <w:t>במשנת ר"א</w:t>
      </w:r>
      <w:r>
        <w:rPr>
          <w:rFonts w:hint="cs"/>
          <w:rtl/>
        </w:rPr>
        <w:t xml:space="preserve"> דמשמע מדברי </w:t>
      </w:r>
      <w:r>
        <w:rPr>
          <w:rStyle w:val="af8"/>
          <w:rtl/>
        </w:rPr>
        <w:t>הגר"א</w:t>
      </w:r>
      <w:r>
        <w:rPr>
          <w:rFonts w:hint="cs"/>
          <w:rtl/>
        </w:rPr>
        <w:t xml:space="preserve"> דביאר בדעת </w:t>
      </w:r>
      <w:r>
        <w:rPr>
          <w:rStyle w:val="af8"/>
          <w:rtl/>
        </w:rPr>
        <w:t>הרשב"א</w:t>
      </w:r>
      <w:r>
        <w:rPr>
          <w:rFonts w:hint="cs"/>
          <w:rtl/>
        </w:rPr>
        <w:t xml:space="preserve"> דהא דמהני ביטול ברוב מדאו', הוא רק כשאוכל כל חתיכה בפנ"ע, דמדאו' אזלינן בתר רובא, ואנו דנים שכל חתיכה שאוכל היא מותרת, אבל באוכל בבת אחת, אף מדאו' לא מהני ביטול ברוב</w:t>
      </w:r>
      <w:bookmarkEnd w:id="13655"/>
      <w:r>
        <w:rPr>
          <w:rStyle w:val="af0"/>
          <w:rtl/>
        </w:rPr>
        <w:footnoteReference w:id="71"/>
      </w:r>
      <w:r>
        <w:rPr>
          <w:rFonts w:hint="cs"/>
          <w:rtl/>
        </w:rPr>
        <w:t xml:space="preserve">. [אמנם </w:t>
      </w:r>
      <w:r>
        <w:rPr>
          <w:rStyle w:val="af8"/>
          <w:rtl/>
        </w:rPr>
        <w:t>בשער"י</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Ref22111381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קיט</w:t>
      </w:r>
      <w:r w:rsidR="004D1C5B">
        <w:rPr>
          <w:rStyle w:val="af6"/>
          <w:rFonts w:eastAsia="Guttman Hodes"/>
          <w:rtl/>
        </w:rPr>
        <w:t>)</w:t>
      </w:r>
      <w:r w:rsidRPr="009F44AF">
        <w:rPr>
          <w:rStyle w:val="af6"/>
          <w:rFonts w:eastAsia="Guttman Hodes" w:hint="cs"/>
          <w:rtl/>
        </w:rPr>
        <w:fldChar w:fldCharType="end"/>
      </w:r>
      <w:r>
        <w:rPr>
          <w:rFonts w:hint="cs"/>
          <w:rtl/>
        </w:rPr>
        <w:t xml:space="preserve"> ביאר דכוונת </w:t>
      </w:r>
      <w:r>
        <w:rPr>
          <w:rStyle w:val="af8"/>
          <w:rtl/>
        </w:rPr>
        <w:t>הגר"א</w:t>
      </w:r>
      <w:r>
        <w:rPr>
          <w:rFonts w:hint="cs"/>
          <w:rtl/>
        </w:rPr>
        <w:t xml:space="preserve"> לומר דמדרבנן לא מהני ביטול ברוב כשאוכל בבת אחת].</w:t>
      </w:r>
    </w:p>
    <w:p w:rsidR="0028438A" w:rsidRDefault="0028438A" w:rsidP="0028438A">
      <w:pPr>
        <w:pStyle w:val="a2"/>
        <w:rPr>
          <w:rtl/>
        </w:rPr>
      </w:pPr>
      <w:bookmarkStart w:id="13656" w:name="_Toc23984357"/>
      <w:r>
        <w:rPr>
          <w:rFonts w:hint="cs"/>
          <w:rtl/>
        </w:rPr>
        <w:t>דברי המשנת ר"א דקשה על ביאור הגר"א ברשב"א קושית הפרמ"ג דאמאי מותר בלח</w:t>
      </w:r>
      <w:bookmarkEnd w:id="13656"/>
    </w:p>
    <w:p w:rsidR="0028438A" w:rsidRDefault="0028438A" w:rsidP="009F44AF">
      <w:pPr>
        <w:pStyle w:val="a"/>
        <w:numPr>
          <w:ilvl w:val="0"/>
          <w:numId w:val="17"/>
        </w:numPr>
      </w:pPr>
      <w:r>
        <w:rPr>
          <w:rFonts w:hint="cs"/>
          <w:rtl/>
        </w:rPr>
        <w:t xml:space="preserve">אך כתב </w:t>
      </w:r>
      <w:r>
        <w:rPr>
          <w:rStyle w:val="af8"/>
          <w:rtl/>
        </w:rPr>
        <w:t>המשנת ר"א</w:t>
      </w:r>
      <w:r>
        <w:rPr>
          <w:rFonts w:hint="cs"/>
          <w:rtl/>
        </w:rPr>
        <w:t xml:space="preserve"> </w:t>
      </w:r>
      <w:r w:rsidRPr="009F44AF">
        <w:rPr>
          <w:rStyle w:val="af6"/>
          <w:rFonts w:eastAsia="Guttman Hodes" w:hint="cs"/>
          <w:rtl/>
        </w:rPr>
        <w:t>(סי' ז' אות ג' ד"ה והנה בשיטת)</w:t>
      </w:r>
      <w:r>
        <w:rPr>
          <w:rFonts w:hint="cs"/>
          <w:rtl/>
        </w:rPr>
        <w:t xml:space="preserve"> דלביאור </w:t>
      </w:r>
      <w:r>
        <w:rPr>
          <w:rStyle w:val="af8"/>
          <w:rtl/>
        </w:rPr>
        <w:t>הגר"א ברשב"א</w:t>
      </w:r>
      <w:r>
        <w:rPr>
          <w:rFonts w:hint="cs"/>
          <w:rtl/>
        </w:rPr>
        <w:t xml:space="preserve"> דמדאו' לא מהני ביטול ברוב כשאוכל בבת אחת, א"כ קשה על </w:t>
      </w:r>
      <w:r>
        <w:rPr>
          <w:rStyle w:val="af8"/>
          <w:rtl/>
        </w:rPr>
        <w:t>הרשב"א</w:t>
      </w:r>
      <w:r>
        <w:rPr>
          <w:rFonts w:hint="cs"/>
          <w:rtl/>
        </w:rPr>
        <w:t xml:space="preserve"> מהוכחת </w:t>
      </w:r>
      <w:r>
        <w:rPr>
          <w:rStyle w:val="af8"/>
          <w:rtl/>
        </w:rPr>
        <w:t>הפרמ"ג</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Ref22106820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sidRPr="009F44AF">
        <w:rPr>
          <w:rStyle w:val="af6"/>
          <w:rFonts w:eastAsia="Guttman Hodes" w:hint="cs"/>
          <w:rtl/>
        </w:rPr>
        <w:fldChar w:fldCharType="end"/>
      </w:r>
      <w:r>
        <w:rPr>
          <w:rFonts w:hint="cs"/>
          <w:rtl/>
        </w:rPr>
        <w:t xml:space="preserve"> מדין לח בלח דמהני ביטול ברוב, אעפ"י שאוכל את כל התערובת יחד. [ועוד הקשה </w:t>
      </w:r>
      <w:r>
        <w:rPr>
          <w:rStyle w:val="af8"/>
          <w:rtl/>
        </w:rPr>
        <w:t>במשנת ר"א</w:t>
      </w:r>
      <w:r>
        <w:rPr>
          <w:rFonts w:hint="cs"/>
          <w:rtl/>
        </w:rPr>
        <w:t xml:space="preserve"> מדין ביטול ברוב בחמץ לענין איסור אכילה ולענין בל יראה, עיי"ש בדבריו], ועי' במה שתירץ </w:t>
      </w:r>
      <w:r>
        <w:rPr>
          <w:rStyle w:val="af8"/>
          <w:rtl/>
        </w:rPr>
        <w:t>המשנת ר"א</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Ref22106894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קד</w:t>
      </w:r>
      <w:r w:rsidR="004D1C5B">
        <w:rPr>
          <w:rStyle w:val="af6"/>
          <w:rFonts w:eastAsia="Guttman Hodes"/>
          <w:rtl/>
        </w:rPr>
        <w:t>)</w:t>
      </w:r>
      <w:r w:rsidRPr="009F44AF">
        <w:rPr>
          <w:rStyle w:val="af6"/>
          <w:rFonts w:eastAsia="Guttman Hodes" w:hint="cs"/>
          <w:rtl/>
        </w:rPr>
        <w:fldChar w:fldCharType="end"/>
      </w:r>
      <w:r>
        <w:rPr>
          <w:rFonts w:hint="cs"/>
          <w:rtl/>
        </w:rPr>
        <w:t>.</w:t>
      </w:r>
    </w:p>
    <w:p w:rsidR="0028438A" w:rsidRDefault="0028438A" w:rsidP="00DA6853">
      <w:pPr>
        <w:pStyle w:val="1"/>
        <w:rPr>
          <w:rtl/>
        </w:rPr>
      </w:pPr>
      <w:bookmarkStart w:id="13657" w:name="_Toc23984358"/>
      <w:bookmarkStart w:id="13658" w:name="_Toc23972187"/>
      <w:bookmarkStart w:id="13659" w:name="_Toc23960369"/>
      <w:bookmarkStart w:id="13660" w:name="_Toc23945767"/>
      <w:bookmarkStart w:id="13661" w:name="_Toc23887389"/>
      <w:bookmarkStart w:id="13662" w:name="_Toc23850496"/>
      <w:bookmarkStart w:id="13663" w:name="_Toc23799296"/>
      <w:bookmarkStart w:id="13664" w:name="_Toc23712684"/>
      <w:bookmarkStart w:id="13665" w:name="_Toc23372649"/>
      <w:bookmarkStart w:id="13666" w:name="_Toc23224130"/>
      <w:bookmarkStart w:id="13667" w:name="_Toc22638932"/>
      <w:bookmarkStart w:id="13668" w:name="_Toc22250714"/>
      <w:r>
        <w:rPr>
          <w:rFonts w:hint="cs"/>
          <w:rtl/>
        </w:rPr>
        <w:t>ביאור המשנת ר"א ברשב"א דבביטול ברוב האיסור נהפך להיתר</w:t>
      </w:r>
      <w:bookmarkEnd w:id="13657"/>
      <w:bookmarkEnd w:id="13658"/>
      <w:bookmarkEnd w:id="13659"/>
      <w:bookmarkEnd w:id="13660"/>
      <w:bookmarkEnd w:id="13661"/>
      <w:bookmarkEnd w:id="13662"/>
      <w:bookmarkEnd w:id="13663"/>
      <w:bookmarkEnd w:id="13664"/>
      <w:bookmarkEnd w:id="13665"/>
      <w:bookmarkEnd w:id="13666"/>
      <w:bookmarkEnd w:id="13667"/>
      <w:bookmarkEnd w:id="13668"/>
    </w:p>
    <w:p w:rsidR="0028438A" w:rsidRDefault="0028438A" w:rsidP="0028438A">
      <w:pPr>
        <w:pStyle w:val="a2"/>
        <w:rPr>
          <w:b/>
          <w:bCs/>
          <w:rtl/>
        </w:rPr>
      </w:pPr>
      <w:bookmarkStart w:id="13669" w:name="_Toc23984359"/>
      <w:r>
        <w:rPr>
          <w:rFonts w:hint="cs"/>
          <w:rtl/>
        </w:rPr>
        <w:t>ביאור המשנת ר"א דאף לרשב"א האיסור נהפך להיתר אחר שכל חתיכה בפנ"ע מותרת ברוב</w:t>
      </w:r>
      <w:bookmarkEnd w:id="13669"/>
    </w:p>
    <w:p w:rsidR="0028438A" w:rsidRDefault="0028438A" w:rsidP="009F44AF">
      <w:pPr>
        <w:pStyle w:val="a"/>
        <w:numPr>
          <w:ilvl w:val="0"/>
          <w:numId w:val="17"/>
        </w:numPr>
        <w:rPr>
          <w:rtl/>
        </w:rPr>
      </w:pPr>
      <w:r>
        <w:rPr>
          <w:rFonts w:hint="cs"/>
          <w:rtl/>
        </w:rPr>
        <w:t xml:space="preserve">וביאר </w:t>
      </w:r>
      <w:r>
        <w:rPr>
          <w:rStyle w:val="af8"/>
          <w:rtl/>
        </w:rPr>
        <w:t>המשנת ר"א</w:t>
      </w:r>
      <w:r>
        <w:rPr>
          <w:rFonts w:hint="cs"/>
          <w:rtl/>
        </w:rPr>
        <w:t xml:space="preserve"> דאף </w:t>
      </w:r>
      <w:r>
        <w:rPr>
          <w:rStyle w:val="af8"/>
          <w:rtl/>
        </w:rPr>
        <w:t>הרשב"א</w:t>
      </w:r>
      <w:r>
        <w:rPr>
          <w:rFonts w:hint="cs"/>
          <w:rtl/>
        </w:rPr>
        <w:t xml:space="preserve"> מודה </w:t>
      </w:r>
      <w:r>
        <w:rPr>
          <w:rStyle w:val="af8"/>
          <w:rtl/>
        </w:rPr>
        <w:t>להרא"ש</w:t>
      </w:r>
      <w:r>
        <w:rPr>
          <w:rFonts w:hint="cs"/>
          <w:rtl/>
        </w:rPr>
        <w:t xml:space="preserve"> בעיקר דין ביטול ברוב, דמדאו' האיסור נהפך להיות מותר, אלא דכ"מ מה דמהני הביטול להפוך את האיסור להיתר, הוא רק כיון שאנו דנים על כל חתיכה שהיא מהרוב והיא מותרת, דאחר שלכל החתיכות יש דין היתר, ממילא נהפך האיסור להיתר.</w:t>
      </w:r>
    </w:p>
    <w:p w:rsidR="0028438A" w:rsidRDefault="0028438A" w:rsidP="0028438A">
      <w:pPr>
        <w:pStyle w:val="a2"/>
      </w:pPr>
      <w:bookmarkStart w:id="13670" w:name="_Toc23984360"/>
      <w:r>
        <w:rPr>
          <w:rFonts w:hint="cs"/>
          <w:rtl/>
        </w:rPr>
        <w:t>ביאור המשנת ר"א דכיון שכ"א מותרת הותרו כולם בודאי דאי הוא ספק א"כ אסור אף בזאח"ז</w:t>
      </w:r>
      <w:bookmarkEnd w:id="13670"/>
    </w:p>
    <w:p w:rsidR="0028438A" w:rsidRDefault="0028438A" w:rsidP="009F44AF">
      <w:pPr>
        <w:pStyle w:val="a"/>
        <w:numPr>
          <w:ilvl w:val="0"/>
          <w:numId w:val="17"/>
        </w:numPr>
      </w:pPr>
      <w:r>
        <w:rPr>
          <w:rFonts w:hint="cs"/>
          <w:rtl/>
        </w:rPr>
        <w:t xml:space="preserve">וביאר </w:t>
      </w:r>
      <w:r>
        <w:rPr>
          <w:rStyle w:val="af8"/>
          <w:rtl/>
        </w:rPr>
        <w:t>המשנת ר"א</w:t>
      </w:r>
      <w:r>
        <w:rPr>
          <w:rFonts w:hint="cs"/>
          <w:rtl/>
        </w:rPr>
        <w:t xml:space="preserve"> דאחר שכל חתיכה בפנ"ע הותרה, ממילא הותרו כל החתיכות בתורת ודאי, דהאיסור נהפך להיתר, דהא אי נימא דכל חתיכה בפנ"ע הותרה רק מדין ספק, א"כ אסור לאכול אף את כל החתיכות בזה אחר זה, דהא חשיב כאילו הוא אוכל את כל התערובת בבת אחת, דהא עדיין הוא אוכל את האיסור, דהאיסור עצמו לא הותר, וכ"א היא ספק האיסור, וא"כ כשאוכל את כל החתיכות בזה אחר זה, ודאי שאכל את האיסור עצמו.</w:t>
      </w:r>
    </w:p>
    <w:p w:rsidR="0028438A" w:rsidRDefault="0028438A" w:rsidP="00DA6853">
      <w:pPr>
        <w:pStyle w:val="1"/>
        <w:rPr>
          <w:rtl/>
        </w:rPr>
      </w:pPr>
      <w:bookmarkStart w:id="13671" w:name="_Toc23984361"/>
      <w:bookmarkStart w:id="13672" w:name="_Toc23972188"/>
      <w:bookmarkStart w:id="13673" w:name="_Toc23960370"/>
      <w:bookmarkStart w:id="13674" w:name="_Toc23945768"/>
      <w:bookmarkStart w:id="13675" w:name="_Toc23887390"/>
      <w:bookmarkStart w:id="13676" w:name="_Toc23850497"/>
      <w:bookmarkStart w:id="13677" w:name="_Toc23799297"/>
      <w:bookmarkStart w:id="13678" w:name="_Toc23712685"/>
      <w:bookmarkStart w:id="13679" w:name="_Toc23372650"/>
      <w:bookmarkStart w:id="13680" w:name="_Toc23224131"/>
      <w:bookmarkStart w:id="13681" w:name="_Toc22638933"/>
      <w:bookmarkStart w:id="13682" w:name="_Toc22250715"/>
      <w:r>
        <w:rPr>
          <w:rFonts w:hint="cs"/>
          <w:rtl/>
        </w:rPr>
        <w:t>ביאור המשנת ר"א דביטול ברוב הוא רק כשהמיעוט סותר לרוב</w:t>
      </w:r>
      <w:bookmarkEnd w:id="13671"/>
      <w:bookmarkEnd w:id="13672"/>
      <w:bookmarkEnd w:id="13673"/>
      <w:bookmarkEnd w:id="13674"/>
      <w:bookmarkEnd w:id="13675"/>
      <w:bookmarkEnd w:id="13676"/>
      <w:bookmarkEnd w:id="13677"/>
      <w:bookmarkEnd w:id="13678"/>
      <w:bookmarkEnd w:id="13679"/>
      <w:bookmarkEnd w:id="13680"/>
      <w:bookmarkEnd w:id="13681"/>
      <w:bookmarkEnd w:id="13682"/>
    </w:p>
    <w:p w:rsidR="0028438A" w:rsidRDefault="0028438A" w:rsidP="0028438A">
      <w:pPr>
        <w:pStyle w:val="a2"/>
        <w:rPr>
          <w:b/>
          <w:bCs/>
          <w:rtl/>
        </w:rPr>
      </w:pPr>
      <w:bookmarkStart w:id="13683" w:name="_Toc23984362"/>
      <w:r>
        <w:rPr>
          <w:rFonts w:hint="cs"/>
          <w:rtl/>
        </w:rPr>
        <w:t>ביאור המשנת ר"א דכיון דדין המיעוט סותר לדין הרוב לכן נהפך המיעוט איסור להיתר</w:t>
      </w:r>
      <w:bookmarkEnd w:id="13683"/>
    </w:p>
    <w:p w:rsidR="0028438A" w:rsidRDefault="0028438A" w:rsidP="009F44AF">
      <w:pPr>
        <w:pStyle w:val="a"/>
        <w:numPr>
          <w:ilvl w:val="0"/>
          <w:numId w:val="17"/>
        </w:numPr>
        <w:rPr>
          <w:rStyle w:val="afa"/>
          <w:rtl/>
        </w:rPr>
      </w:pPr>
      <w:r>
        <w:rPr>
          <w:rFonts w:hint="cs"/>
          <w:rtl/>
        </w:rPr>
        <w:t xml:space="preserve">אך כתב </w:t>
      </w:r>
      <w:r>
        <w:rPr>
          <w:rStyle w:val="af8"/>
          <w:rtl/>
        </w:rPr>
        <w:t>המשנת ר"א</w:t>
      </w:r>
      <w:r>
        <w:rPr>
          <w:rFonts w:hint="cs"/>
          <w:rtl/>
        </w:rPr>
        <w:t xml:space="preserve"> דהא דאמרינן דהאיסור נהפך להיתר, זהו דוקא במקום שדין הרוב סותר לדין של המיעוט, דאם לא יתהפך הדין של המיעוט לדין של הרוב, נצטרך לנהוג ברוב כמו הדין של המיעוט. </w:t>
      </w:r>
      <w:r>
        <w:rPr>
          <w:rStyle w:val="afa"/>
          <w:rtl/>
        </w:rPr>
        <w:t>[דהיינו דאם המיעוט ישאר באיסורו, ולא יתהפך להיתר, א"כ לא יהיה אפשר להתיר את כל הרוב, ויהיה בו איסור מחמת המיעוט המעורב בו].</w:t>
      </w:r>
    </w:p>
    <w:p w:rsidR="0028438A" w:rsidRDefault="0028438A" w:rsidP="0028438A">
      <w:pPr>
        <w:pStyle w:val="a2"/>
        <w:rPr>
          <w:rtl/>
        </w:rPr>
      </w:pPr>
      <w:bookmarkStart w:id="13684" w:name="_Toc23984363"/>
      <w:r>
        <w:rPr>
          <w:rFonts w:hint="cs"/>
          <w:rtl/>
        </w:rPr>
        <w:t>ביאור המשנת ר"א דבמקום שדין המיעוט אינו סותר לרוב כ"א מותר ברוב והמיעוט נשאר אסור</w:t>
      </w:r>
      <w:bookmarkEnd w:id="13684"/>
    </w:p>
    <w:p w:rsidR="0028438A" w:rsidRDefault="0028438A" w:rsidP="009F44AF">
      <w:pPr>
        <w:pStyle w:val="a"/>
        <w:numPr>
          <w:ilvl w:val="0"/>
          <w:numId w:val="17"/>
        </w:numPr>
        <w:rPr>
          <w:rStyle w:val="afa"/>
        </w:rPr>
      </w:pPr>
      <w:r>
        <w:rPr>
          <w:rFonts w:hint="cs"/>
          <w:rtl/>
        </w:rPr>
        <w:t xml:space="preserve">אבל במקום שהדין של המיעוט אינו סותר לדין של הרוב, כתב </w:t>
      </w:r>
      <w:r>
        <w:rPr>
          <w:rStyle w:val="af8"/>
          <w:rtl/>
        </w:rPr>
        <w:t>המשנת ר"א</w:t>
      </w:r>
      <w:r>
        <w:rPr>
          <w:rFonts w:hint="cs"/>
          <w:rtl/>
        </w:rPr>
        <w:t xml:space="preserve"> דאף שעל כל אחת מהחתיכות יש דין הלך אחר הרוב, דדנים שהיא מהרוב ומותרת, מ"מ על כל התערובת לא אמרינן את הדין ביטול ברוב, ולא נהפך המיעוט להיתר. </w:t>
      </w:r>
      <w:r>
        <w:rPr>
          <w:rStyle w:val="afa"/>
          <w:rtl/>
        </w:rPr>
        <w:t xml:space="preserve">[ועיי"ש במה שביאר בזה </w:t>
      </w:r>
      <w:r>
        <w:rPr>
          <w:rStyle w:val="affa"/>
          <w:rtl/>
        </w:rPr>
        <w:t>המשנת ר"א</w:t>
      </w:r>
      <w:r>
        <w:rPr>
          <w:rStyle w:val="afa"/>
          <w:rtl/>
        </w:rPr>
        <w:t xml:space="preserve"> בדין בל יראה, ובדין טומאת משא, בביטול ברוב, ובמ"ש </w:t>
      </w:r>
      <w:r>
        <w:rPr>
          <w:rStyle w:val="affa"/>
          <w:rtl/>
        </w:rPr>
        <w:t>המשנת ר"א</w:t>
      </w:r>
      <w:r>
        <w:rPr>
          <w:rStyle w:val="afa"/>
          <w:rtl/>
        </w:rPr>
        <w:t xml:space="preserve"> </w:t>
      </w:r>
      <w:r>
        <w:rPr>
          <w:rStyle w:val="aff6"/>
          <w:rtl/>
        </w:rPr>
        <w:t xml:space="preserve">(סי' ז' אות ג' ד"ה וראיה ברורה) </w:t>
      </w:r>
      <w:r>
        <w:rPr>
          <w:rStyle w:val="afa"/>
          <w:rtl/>
        </w:rPr>
        <w:t xml:space="preserve">דכן מוכח בגמ' בבכורות </w:t>
      </w:r>
      <w:r>
        <w:rPr>
          <w:rStyle w:val="aff6"/>
          <w:rtl/>
        </w:rPr>
        <w:t>(כג:)</w:t>
      </w:r>
      <w:r>
        <w:rPr>
          <w:rStyle w:val="afa"/>
          <w:rtl/>
        </w:rPr>
        <w:t>].</w:t>
      </w:r>
    </w:p>
    <w:p w:rsidR="0028438A" w:rsidRDefault="0028438A" w:rsidP="00DA6853">
      <w:pPr>
        <w:pStyle w:val="1"/>
        <w:rPr>
          <w:rtl/>
        </w:rPr>
      </w:pPr>
      <w:bookmarkStart w:id="13685" w:name="_Toc23984364"/>
      <w:r>
        <w:rPr>
          <w:rFonts w:hint="cs"/>
          <w:rtl/>
        </w:rPr>
        <w:t>ביאור המשנת ר"א דביבש א"צ להתיר בביטול וסגי בכל דפריש</w:t>
      </w:r>
      <w:bookmarkEnd w:id="13685"/>
    </w:p>
    <w:p w:rsidR="0028438A" w:rsidRDefault="0028438A" w:rsidP="0028438A">
      <w:pPr>
        <w:pStyle w:val="a2"/>
        <w:rPr>
          <w:b/>
          <w:bCs/>
          <w:rtl/>
        </w:rPr>
      </w:pPr>
      <w:bookmarkStart w:id="13686" w:name="_Toc23984365"/>
      <w:r>
        <w:rPr>
          <w:rFonts w:hint="cs"/>
          <w:rtl/>
        </w:rPr>
        <w:t>ביאור המשנת ר"א דביבש המיעוט אינו סותר לרוב דאפשר לאכול כ"א בפנ"ע מדין כל דפריש</w:t>
      </w:r>
      <w:bookmarkEnd w:id="13686"/>
    </w:p>
    <w:p w:rsidR="0028438A" w:rsidRDefault="0028438A" w:rsidP="009F44AF">
      <w:pPr>
        <w:pStyle w:val="a"/>
        <w:numPr>
          <w:ilvl w:val="0"/>
          <w:numId w:val="17"/>
        </w:numPr>
      </w:pPr>
      <w:r>
        <w:rPr>
          <w:rFonts w:hint="cs"/>
          <w:rtl/>
        </w:rPr>
        <w:t xml:space="preserve">וכתב </w:t>
      </w:r>
      <w:r>
        <w:rPr>
          <w:rStyle w:val="af8"/>
          <w:rtl/>
        </w:rPr>
        <w:t>המשנת ר"א</w:t>
      </w:r>
      <w:r>
        <w:rPr>
          <w:rFonts w:hint="cs"/>
          <w:rtl/>
        </w:rPr>
        <w:t xml:space="preserve"> דזהו הביאור בדברי </w:t>
      </w:r>
      <w:r>
        <w:rPr>
          <w:rStyle w:val="af8"/>
          <w:rtl/>
        </w:rPr>
        <w:t>הרשב"א</w:t>
      </w:r>
      <w:r>
        <w:rPr>
          <w:rFonts w:hint="cs"/>
          <w:rtl/>
        </w:rPr>
        <w:t xml:space="preserve"> דמותר לאכול את כל החתיכות רק בזה אחר זה, דכל חתיכה בפנ"ע מותרת מדין הלך אחר הרוב, ומה שהמיעוט נשאר אסור, אי"ז סותר את ההיתר של הרוב, ולכן סגי במה שכל חתיכה מותרת.</w:t>
      </w:r>
    </w:p>
    <w:p w:rsidR="0028438A" w:rsidRDefault="0028438A" w:rsidP="0028438A">
      <w:pPr>
        <w:pStyle w:val="a2"/>
        <w:rPr>
          <w:rtl/>
        </w:rPr>
      </w:pPr>
    </w:p>
    <w:p w:rsidR="0028438A" w:rsidRDefault="0028438A" w:rsidP="0028438A">
      <w:pPr>
        <w:pStyle w:val="a2"/>
        <w:rPr>
          <w:rtl/>
        </w:rPr>
      </w:pPr>
      <w:bookmarkStart w:id="13687" w:name="_Toc23984366"/>
      <w:r>
        <w:rPr>
          <w:rFonts w:hint="cs"/>
          <w:rtl/>
        </w:rPr>
        <w:t>דברי המשנת ר"א דא"א לאסור אחת יותר מאחרת וכולם מותרות וא"צ להתיר מדין ביטול ברוב</w:t>
      </w:r>
      <w:bookmarkEnd w:id="13687"/>
    </w:p>
    <w:p w:rsidR="0028438A" w:rsidRDefault="0028438A" w:rsidP="009F44AF">
      <w:pPr>
        <w:pStyle w:val="a"/>
        <w:numPr>
          <w:ilvl w:val="0"/>
          <w:numId w:val="17"/>
        </w:numPr>
      </w:pPr>
      <w:r>
        <w:rPr>
          <w:rFonts w:hint="cs"/>
          <w:rtl/>
        </w:rPr>
        <w:t xml:space="preserve">וכתב </w:t>
      </w:r>
      <w:r>
        <w:rPr>
          <w:rStyle w:val="af8"/>
          <w:rtl/>
        </w:rPr>
        <w:t>המשנת ר"א</w:t>
      </w:r>
      <w:r>
        <w:rPr>
          <w:rFonts w:hint="cs"/>
          <w:rtl/>
        </w:rPr>
        <w:t xml:space="preserve"> דא"צ להתיר את כל התערובת מדין ביטול ברוב, כיון שכל חתיכה וחתיכה מהתערובת  מותרת ויש לכולם דין אחד, דא"א לאסור חתיכה אחת יותר מחתיכה אחרת, וא"כ כשאוכל את כל החתיכות בזה אחר זה, ודאי דהותרו כל החתיכות, דעל כל חתיכה יש דין הלך אחר הרוב.</w:t>
      </w:r>
    </w:p>
    <w:p w:rsidR="0028438A" w:rsidRDefault="0028438A" w:rsidP="0028438A">
      <w:pPr>
        <w:pStyle w:val="a2"/>
        <w:rPr>
          <w:rtl/>
        </w:rPr>
      </w:pPr>
      <w:bookmarkStart w:id="13688" w:name="_Toc23984367"/>
      <w:r>
        <w:rPr>
          <w:rFonts w:hint="cs"/>
          <w:rtl/>
        </w:rPr>
        <w:t>ביאור המשנת ר"א דביבש שאפשר לקיים את דין הלך אחר הרוב בלי ביטול ברוב אינו מתבטל</w:t>
      </w:r>
      <w:bookmarkEnd w:id="13688"/>
    </w:p>
    <w:p w:rsidR="0028438A" w:rsidRDefault="0028438A" w:rsidP="009F44AF">
      <w:pPr>
        <w:pStyle w:val="a"/>
        <w:numPr>
          <w:ilvl w:val="0"/>
          <w:numId w:val="17"/>
        </w:numPr>
        <w:rPr>
          <w:rtl/>
        </w:rPr>
      </w:pPr>
      <w:r>
        <w:rPr>
          <w:rFonts w:hint="cs"/>
          <w:rtl/>
        </w:rPr>
        <w:t xml:space="preserve">וכתב </w:t>
      </w:r>
      <w:r>
        <w:rPr>
          <w:rStyle w:val="af8"/>
          <w:rtl/>
        </w:rPr>
        <w:t>המשנת ר"א</w:t>
      </w:r>
      <w:r>
        <w:rPr>
          <w:rFonts w:hint="cs"/>
          <w:rtl/>
        </w:rPr>
        <w:t xml:space="preserve"> דלכן ביבש ביבש סגי בדין הלך אחר הרוב, וא"צ להתיר את כל התערובת מדין ביטול ברוב, דכל מה דאמרינן דין ביטול ברוב, הוא רק כיון שבכדי לקיים את היתר הרוב, צריך גם להתיר את המיעוט, דאי המיעוט ישאר אסור, ממילא הדין של הרוב יהיה כמו הדין של המיעוט, דהרוב יהיה אסור, ולכן כיון שעל כל חתיכה יש היתר מדין הלך אחר הרוב, אמרינן ביטול ברוב, אבל במקום שהמיעוט אינו סותר לרוב א"צ לומר ביטול ברוב כלל. </w:t>
      </w:r>
      <w:bookmarkStart w:id="13689" w:name="_Toc23984368"/>
    </w:p>
    <w:p w:rsidR="0028438A" w:rsidRDefault="0028438A" w:rsidP="0028438A">
      <w:pPr>
        <w:pStyle w:val="a2"/>
      </w:pPr>
      <w:r>
        <w:rPr>
          <w:rFonts w:hint="cs"/>
          <w:rtl/>
        </w:rPr>
        <w:t>ביאור המשנת ר"א דבב"א אין דין הלך אחר הרוב וממילא לא שייך ביטול ברוב ואסור מדאו'</w:t>
      </w:r>
      <w:bookmarkEnd w:id="13689"/>
    </w:p>
    <w:p w:rsidR="0028438A" w:rsidRDefault="0028438A" w:rsidP="009F44AF">
      <w:pPr>
        <w:pStyle w:val="a"/>
        <w:numPr>
          <w:ilvl w:val="0"/>
          <w:numId w:val="17"/>
        </w:numPr>
        <w:rPr>
          <w:rtl/>
        </w:rPr>
      </w:pPr>
      <w:r>
        <w:rPr>
          <w:rFonts w:hint="cs"/>
          <w:rtl/>
        </w:rPr>
        <w:t xml:space="preserve">אבל כשאוכל את כל התערובת בבת אחת, כתב </w:t>
      </w:r>
      <w:r>
        <w:rPr>
          <w:rStyle w:val="af8"/>
          <w:rtl/>
        </w:rPr>
        <w:t>המשנת ר"א</w:t>
      </w:r>
      <w:r>
        <w:rPr>
          <w:rFonts w:hint="cs"/>
          <w:rtl/>
        </w:rPr>
        <w:t xml:space="preserve"> דס"ל </w:t>
      </w:r>
      <w:r>
        <w:rPr>
          <w:rStyle w:val="af8"/>
          <w:rtl/>
        </w:rPr>
        <w:t>להרשב"א</w:t>
      </w:r>
      <w:r>
        <w:rPr>
          <w:rFonts w:hint="cs"/>
          <w:rtl/>
        </w:rPr>
        <w:t xml:space="preserve"> דא"א לומר שעל כל חתיכה וחתיכה יש היתר מדין הלך אחר הרוב, דהא הוא אוכל את כל החתיכות, ויש רק ב' חתיכות מותרות וחתיכה אחת אסורה, וכיון דאין דין הלך אחר הרוב, ממילא לא שייך דין ביטול ברוב, ולא אמרינן דהאיסור נהפך להיתר, דכל מה דאמרינן דין ביטול ברוב, הוא רק בכדי לקיים את היתר הרוב מדין הלך אחר הרוב, וכשאוכל בבת אחת שאין על כל חתיכה היתר מדין הלך אחר הרוב, ממילא אין דין ביטול ברוב.</w:t>
      </w:r>
    </w:p>
    <w:p w:rsidR="0028438A" w:rsidRDefault="0028438A" w:rsidP="00DA6853">
      <w:pPr>
        <w:pStyle w:val="1"/>
      </w:pPr>
      <w:bookmarkStart w:id="13690" w:name="_Toc23972189"/>
      <w:bookmarkStart w:id="13691" w:name="_Toc23960371"/>
      <w:bookmarkStart w:id="13692" w:name="_Toc23945769"/>
      <w:bookmarkStart w:id="13693" w:name="_Toc23887391"/>
      <w:bookmarkStart w:id="13694" w:name="_Toc23850498"/>
      <w:bookmarkStart w:id="13695" w:name="_Toc23799298"/>
      <w:bookmarkStart w:id="13696" w:name="_Toc23712686"/>
      <w:bookmarkStart w:id="13697" w:name="_Toc23372651"/>
      <w:bookmarkStart w:id="13698" w:name="_Toc23224132"/>
      <w:bookmarkStart w:id="13699" w:name="_Toc22638934"/>
      <w:bookmarkStart w:id="13700" w:name="_Toc22250716"/>
      <w:bookmarkStart w:id="13701" w:name="_Toc23984369"/>
      <w:r>
        <w:rPr>
          <w:rFonts w:hint="cs"/>
          <w:rtl/>
        </w:rPr>
        <w:t>תירוץ המשנת ר"א על קושית הפרמ"ג דבלח</w:t>
      </w:r>
      <w:bookmarkEnd w:id="13690"/>
      <w:bookmarkEnd w:id="13691"/>
      <w:bookmarkEnd w:id="13692"/>
      <w:bookmarkEnd w:id="13693"/>
      <w:bookmarkEnd w:id="13694"/>
      <w:bookmarkEnd w:id="13695"/>
      <w:bookmarkEnd w:id="13696"/>
      <w:bookmarkEnd w:id="13697"/>
      <w:bookmarkEnd w:id="13698"/>
      <w:bookmarkEnd w:id="13699"/>
      <w:bookmarkEnd w:id="13700"/>
      <w:r>
        <w:rPr>
          <w:rFonts w:hint="cs"/>
          <w:rtl/>
        </w:rPr>
        <w:t xml:space="preserve"> נהפך להיתר</w:t>
      </w:r>
      <w:bookmarkEnd w:id="13701"/>
    </w:p>
    <w:p w:rsidR="0028438A" w:rsidRDefault="0028438A" w:rsidP="0028438A">
      <w:pPr>
        <w:pStyle w:val="a2"/>
        <w:rPr>
          <w:b/>
          <w:bCs/>
          <w:rtl/>
        </w:rPr>
      </w:pPr>
      <w:bookmarkStart w:id="13702" w:name="_Toc23984370"/>
      <w:r>
        <w:rPr>
          <w:rFonts w:hint="cs"/>
          <w:rtl/>
        </w:rPr>
        <w:t>ביאור המשנת ר"א דבלח בלא ביטול ברוב המיעוט סותר לרוב ולכן נאמר בו ביטול ונהפך להיתר</w:t>
      </w:r>
      <w:bookmarkEnd w:id="13702"/>
    </w:p>
    <w:p w:rsidR="0028438A" w:rsidRDefault="0028438A" w:rsidP="009F44AF">
      <w:pPr>
        <w:pStyle w:val="a"/>
        <w:numPr>
          <w:ilvl w:val="0"/>
          <w:numId w:val="17"/>
        </w:numPr>
      </w:pPr>
      <w:bookmarkStart w:id="13703" w:name="_Ref22106894"/>
      <w:r>
        <w:rPr>
          <w:rFonts w:hint="cs"/>
          <w:rtl/>
        </w:rPr>
        <w:t xml:space="preserve">ובזה ישב </w:t>
      </w:r>
      <w:r>
        <w:rPr>
          <w:rStyle w:val="af8"/>
          <w:rtl/>
        </w:rPr>
        <w:t>המשנת ר"א</w:t>
      </w:r>
      <w:r>
        <w:rPr>
          <w:rFonts w:hint="cs"/>
          <w:rtl/>
        </w:rPr>
        <w:t xml:space="preserve"> </w:t>
      </w:r>
      <w:r w:rsidRPr="009F44AF">
        <w:rPr>
          <w:rStyle w:val="af6"/>
          <w:rFonts w:eastAsia="Guttman Hodes" w:hint="cs"/>
          <w:rtl/>
        </w:rPr>
        <w:t>(סי' ז' אות ג' ד"ה ולפי"ז)</w:t>
      </w:r>
      <w:r>
        <w:rPr>
          <w:rFonts w:hint="cs"/>
          <w:rtl/>
        </w:rPr>
        <w:t xml:space="preserve"> את דעת </w:t>
      </w:r>
      <w:r>
        <w:rPr>
          <w:rStyle w:val="af8"/>
          <w:rtl/>
        </w:rPr>
        <w:t>הגר"א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Ref22106775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צד</w:t>
      </w:r>
      <w:r w:rsidR="004D1C5B">
        <w:rPr>
          <w:rStyle w:val="af6"/>
          <w:rFonts w:eastAsia="Guttman Hodes"/>
          <w:rtl/>
        </w:rPr>
        <w:t>)</w:t>
      </w:r>
      <w:r>
        <w:rPr>
          <w:rFonts w:hint="cs"/>
          <w:rtl/>
        </w:rPr>
        <w:fldChar w:fldCharType="end"/>
      </w:r>
      <w:r>
        <w:rPr>
          <w:rFonts w:hint="cs"/>
          <w:rtl/>
        </w:rPr>
        <w:t xml:space="preserve"> </w:t>
      </w:r>
      <w:r>
        <w:rPr>
          <w:rStyle w:val="af8"/>
          <w:rtl/>
        </w:rPr>
        <w:t>דלהרשב"א</w:t>
      </w:r>
      <w:r>
        <w:rPr>
          <w:rFonts w:hint="cs"/>
          <w:rtl/>
        </w:rPr>
        <w:t xml:space="preserve"> אף מדאו' אסור לאכול את כל התערובת בבת אחת, ממה שהקשה </w:t>
      </w:r>
      <w:r>
        <w:rPr>
          <w:rStyle w:val="af8"/>
          <w:rtl/>
        </w:rPr>
        <w:t>הפרמ"ג</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Ref22106820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Pr>
          <w:rFonts w:hint="cs"/>
          <w:rtl/>
        </w:rPr>
        <w:fldChar w:fldCharType="end"/>
      </w:r>
      <w:r>
        <w:rPr>
          <w:rFonts w:hint="cs"/>
          <w:rtl/>
        </w:rPr>
        <w:t xml:space="preserve"> מהא דבלח בלח, מותר לאכול את כל התערובת בבת אחת, והוכיח דמדאו' מהני ביטול ברוב, וביאר </w:t>
      </w:r>
      <w:r>
        <w:rPr>
          <w:rStyle w:val="af8"/>
          <w:rtl/>
        </w:rPr>
        <w:t>המשנת ר"א</w:t>
      </w:r>
      <w:r>
        <w:rPr>
          <w:rFonts w:hint="cs"/>
          <w:rtl/>
        </w:rPr>
        <w:t xml:space="preserve"> דבלח בלח אף שא"א לומר על כל חלק מהתערובת שמדין הלך אחר הרוב היא מותרת, כיון שהאיסור מעורב בכל התערובת, אך מ"מ אם לא יהיה על התערובת דין ביטול ברוב, א"כ ממילא הדין של הרוב יהיה כמו הדין של המיעוט, דכל התערובת תהיה אסורה באכילה, ולכן אמרינן דמדין ביטול ברוב מתהפך האיסור להיתר.</w:t>
      </w:r>
      <w:bookmarkEnd w:id="13703"/>
    </w:p>
    <w:p w:rsidR="0028438A" w:rsidRDefault="0028438A" w:rsidP="0028438A">
      <w:pPr>
        <w:pStyle w:val="a2"/>
      </w:pPr>
      <w:bookmarkStart w:id="13704" w:name="_Toc23984371"/>
      <w:r>
        <w:rPr>
          <w:rFonts w:hint="cs"/>
          <w:rtl/>
        </w:rPr>
        <w:t>ביאור המשנת ר"א דבכל חלק בלח אפש"ל דהוא מהרוב אך המיעוט המעורב בו סותר לדין הרוב</w:t>
      </w:r>
      <w:bookmarkEnd w:id="13704"/>
    </w:p>
    <w:p w:rsidR="0028438A" w:rsidRDefault="0028438A" w:rsidP="009F44AF">
      <w:pPr>
        <w:pStyle w:val="a"/>
        <w:numPr>
          <w:ilvl w:val="0"/>
          <w:numId w:val="17"/>
        </w:numPr>
        <w:rPr>
          <w:rtl/>
        </w:rPr>
      </w:pPr>
      <w:r>
        <w:rPr>
          <w:rFonts w:hint="cs"/>
          <w:rtl/>
        </w:rPr>
        <w:t xml:space="preserve">והוסיף </w:t>
      </w:r>
      <w:r>
        <w:rPr>
          <w:rStyle w:val="af8"/>
          <w:rtl/>
        </w:rPr>
        <w:t>המשנת ר"א</w:t>
      </w:r>
      <w:r>
        <w:rPr>
          <w:rFonts w:hint="cs"/>
          <w:rtl/>
        </w:rPr>
        <w:t xml:space="preserve"> דכיון שעל כל חלק מהתערובת אפש"ל שהיא מהרוב, וא"כ יש היתר מדין הלך אחר הרוב, אלא דכיון שבכל חלק מהתערובת מעורב גם חלק של האיסור, והאיסור של המיעוט סותר להיתר של הרוב, לכן בכדי לקיים את ההיתר של הרוב, יש דין ביטול ברוב דהאיסור נהפך להיתר, שאם לא נתיר בלח בלח את כל התערובת מדין ביטול ברוב, א"כ אף הרוב יהיה אסור מחמת המיעוט שאסור ומעורב בו, ואחר שהאיסור נהפך להיתר ממילא מותר לאכול את כל התערובת בבת אחת. </w:t>
      </w:r>
    </w:p>
    <w:p w:rsidR="0028438A" w:rsidRDefault="0028438A" w:rsidP="00DA6853">
      <w:pPr>
        <w:pStyle w:val="1"/>
      </w:pPr>
      <w:bookmarkStart w:id="13705" w:name="_Toc23972190"/>
      <w:bookmarkStart w:id="13706" w:name="_Toc23960377"/>
      <w:bookmarkStart w:id="13707" w:name="_Toc23945772"/>
      <w:bookmarkStart w:id="13708" w:name="_Toc23887394"/>
      <w:bookmarkStart w:id="13709" w:name="_Toc23850501"/>
      <w:bookmarkStart w:id="13710" w:name="_Toc23799301"/>
      <w:bookmarkStart w:id="13711" w:name="_Toc23712689"/>
      <w:bookmarkStart w:id="13712" w:name="_Toc23372654"/>
      <w:bookmarkStart w:id="13713" w:name="_Toc23224135"/>
      <w:bookmarkStart w:id="13714" w:name="_Toc23984372"/>
      <w:r>
        <w:rPr>
          <w:rFonts w:hint="cs"/>
          <w:rtl/>
        </w:rPr>
        <w:lastRenderedPageBreak/>
        <w:t>ביאור הדברי יחזקאל ברשב"א</w:t>
      </w:r>
      <w:bookmarkEnd w:id="13705"/>
      <w:bookmarkEnd w:id="13706"/>
      <w:bookmarkEnd w:id="13707"/>
      <w:bookmarkEnd w:id="13708"/>
      <w:bookmarkEnd w:id="13709"/>
      <w:bookmarkEnd w:id="13710"/>
      <w:bookmarkEnd w:id="13711"/>
      <w:bookmarkEnd w:id="13712"/>
      <w:bookmarkEnd w:id="13713"/>
      <w:r>
        <w:rPr>
          <w:rFonts w:hint="cs"/>
          <w:rtl/>
        </w:rPr>
        <w:t xml:space="preserve"> דמדאו' האיסור עומד באיסורו</w:t>
      </w:r>
      <w:bookmarkEnd w:id="13714"/>
    </w:p>
    <w:p w:rsidR="0028438A" w:rsidRDefault="0028438A" w:rsidP="0028438A">
      <w:pPr>
        <w:pStyle w:val="a2"/>
        <w:rPr>
          <w:b/>
          <w:bCs/>
          <w:rtl/>
        </w:rPr>
      </w:pPr>
      <w:bookmarkStart w:id="13715" w:name="_Toc23984373"/>
      <w:r>
        <w:rPr>
          <w:rFonts w:hint="cs"/>
          <w:rtl/>
        </w:rPr>
        <w:t>ביאור הדברי יחזקאל דברוב מדאו' האיסור נשאר באיסורו ולכן באוכל בב"א אין היתר רוב</w:t>
      </w:r>
      <w:bookmarkEnd w:id="13715"/>
    </w:p>
    <w:p w:rsidR="0028438A" w:rsidRDefault="0028438A" w:rsidP="009F44AF">
      <w:pPr>
        <w:pStyle w:val="a"/>
        <w:numPr>
          <w:ilvl w:val="0"/>
          <w:numId w:val="17"/>
        </w:numPr>
      </w:pPr>
      <w:bookmarkStart w:id="13716" w:name="_Ref23984577"/>
      <w:r>
        <w:rPr>
          <w:rFonts w:hint="cs"/>
          <w:rtl/>
        </w:rPr>
        <w:t xml:space="preserve">בביאור דברי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Fonts w:hint="cs"/>
          <w:rtl/>
        </w:rPr>
        <w:t xml:space="preserve"> דביבש ביבש אסור לאכול את כל התערובת בבת אחת, כתב </w:t>
      </w:r>
      <w:r>
        <w:rPr>
          <w:rStyle w:val="af8"/>
          <w:rtl/>
        </w:rPr>
        <w:t>הדברי יחזקאל</w:t>
      </w:r>
      <w:r>
        <w:rPr>
          <w:rFonts w:hint="cs"/>
          <w:rtl/>
        </w:rPr>
        <w:t xml:space="preserve"> </w:t>
      </w:r>
      <w:r w:rsidRPr="009F44AF">
        <w:rPr>
          <w:rStyle w:val="af6"/>
          <w:rFonts w:eastAsia="Guttman Hodes" w:hint="cs"/>
          <w:rtl/>
        </w:rPr>
        <w:t xml:space="preserve">(סי' ט"ו אות כ"ג ד"ה אמנם נראה) </w:t>
      </w:r>
      <w:r>
        <w:rPr>
          <w:rFonts w:hint="cs"/>
          <w:rtl/>
        </w:rPr>
        <w:t xml:space="preserve">דס"ל </w:t>
      </w:r>
      <w:r>
        <w:rPr>
          <w:rStyle w:val="af8"/>
          <w:rtl/>
        </w:rPr>
        <w:t>להרשב"א</w:t>
      </w:r>
      <w:r>
        <w:rPr>
          <w:rFonts w:hint="cs"/>
          <w:rtl/>
        </w:rPr>
        <w:t xml:space="preserve"> דהגדר בביטול ברוב מדאו' הוא דאף שהאיסור שהתבטל נשאר אסור, מ"מ יש גזיה"כ דמותר לנהוג בו היתר, דעל כל חתיכה מהתערובת יש היתר מדין כל דפריש מרובא פריש, אבל כשאוכל בבת אחת אסור מדאו', כיון שהאיסור נשאר באיסורו.</w:t>
      </w:r>
      <w:bookmarkEnd w:id="13716"/>
    </w:p>
    <w:p w:rsidR="0028438A" w:rsidRDefault="0028438A" w:rsidP="00DA6853">
      <w:pPr>
        <w:pStyle w:val="1"/>
      </w:pPr>
      <w:bookmarkStart w:id="13717" w:name="_Toc23972191"/>
      <w:bookmarkStart w:id="13718" w:name="_Toc23960378"/>
      <w:bookmarkStart w:id="13719" w:name="_Toc23945773"/>
      <w:bookmarkStart w:id="13720" w:name="_Toc23887395"/>
      <w:bookmarkStart w:id="13721" w:name="_Toc23850502"/>
      <w:bookmarkStart w:id="13722" w:name="_Toc23799302"/>
      <w:bookmarkStart w:id="13723" w:name="_Toc23712690"/>
      <w:bookmarkStart w:id="13724" w:name="_Toc23372655"/>
      <w:bookmarkStart w:id="13725" w:name="_Toc23224136"/>
      <w:bookmarkStart w:id="13726" w:name="_Toc22638937"/>
      <w:bookmarkStart w:id="13727" w:name="_Toc22250720"/>
      <w:bookmarkStart w:id="13728" w:name="_Toc23984374"/>
      <w:r>
        <w:rPr>
          <w:rFonts w:hint="cs"/>
          <w:rtl/>
        </w:rPr>
        <w:t>ביאור הגרי"ז ברשב"א</w:t>
      </w:r>
      <w:bookmarkEnd w:id="13717"/>
      <w:bookmarkEnd w:id="13718"/>
      <w:bookmarkEnd w:id="13719"/>
      <w:bookmarkEnd w:id="13720"/>
      <w:bookmarkEnd w:id="13721"/>
      <w:bookmarkEnd w:id="13722"/>
      <w:bookmarkEnd w:id="13723"/>
      <w:bookmarkEnd w:id="13724"/>
      <w:bookmarkEnd w:id="13725"/>
      <w:bookmarkEnd w:id="13726"/>
      <w:bookmarkEnd w:id="13727"/>
      <w:r>
        <w:rPr>
          <w:rFonts w:hint="cs"/>
          <w:rtl/>
        </w:rPr>
        <w:t xml:space="preserve"> דהאיסור נשאר באיסורו ואוסר בב"א</w:t>
      </w:r>
      <w:bookmarkEnd w:id="13728"/>
    </w:p>
    <w:p w:rsidR="0028438A" w:rsidRDefault="0028438A" w:rsidP="0028438A">
      <w:pPr>
        <w:pStyle w:val="a2"/>
        <w:rPr>
          <w:b/>
          <w:bCs/>
          <w:rtl/>
        </w:rPr>
      </w:pPr>
      <w:bookmarkStart w:id="13729" w:name="_Toc23984375"/>
      <w:r>
        <w:rPr>
          <w:rFonts w:hint="cs"/>
          <w:rtl/>
        </w:rPr>
        <w:t xml:space="preserve">דברי </w:t>
      </w:r>
      <w:bookmarkEnd w:id="13729"/>
      <w:r>
        <w:rPr>
          <w:rFonts w:hint="cs"/>
          <w:rtl/>
        </w:rPr>
        <w:t>הגרי"ז דלהרשב"א מדאו' אסור לאכול את כל התערובת בבת אחת</w:t>
      </w:r>
    </w:p>
    <w:p w:rsidR="0028438A" w:rsidRDefault="0028438A" w:rsidP="009F44AF">
      <w:pPr>
        <w:pStyle w:val="a"/>
        <w:numPr>
          <w:ilvl w:val="0"/>
          <w:numId w:val="17"/>
        </w:numPr>
        <w:rPr>
          <w:rtl/>
        </w:rPr>
      </w:pPr>
      <w:bookmarkStart w:id="13730" w:name="_Ref22109135"/>
      <w:r>
        <w:rPr>
          <w:rFonts w:hint="cs"/>
          <w:rtl/>
        </w:rPr>
        <w:t xml:space="preserve">בביאור דברי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Fonts w:hint="cs"/>
          <w:rtl/>
        </w:rPr>
        <w:t xml:space="preserve"> דביבש ביבש אסור לאכול את כל התערובת בבת אחת, כתב </w:t>
      </w:r>
      <w:r>
        <w:rPr>
          <w:rStyle w:val="af8"/>
          <w:rtl/>
        </w:rPr>
        <w:t>בחי' הגרי"ז</w:t>
      </w:r>
      <w:r>
        <w:rPr>
          <w:rFonts w:hint="cs"/>
          <w:rtl/>
        </w:rPr>
        <w:t xml:space="preserve"> </w:t>
      </w:r>
      <w:r w:rsidRPr="009F44AF">
        <w:rPr>
          <w:rStyle w:val="af6"/>
          <w:rFonts w:eastAsia="Guttman Hodes" w:hint="cs"/>
          <w:rtl/>
        </w:rPr>
        <w:t>(זבחים עד. על תוד"ה רב בתו"ד)</w:t>
      </w:r>
      <w:r>
        <w:rPr>
          <w:rFonts w:hint="cs"/>
          <w:rtl/>
        </w:rPr>
        <w:t xml:space="preserve"> דמדאו' אסור לאכול את כל התערובת בבת אחת, וכדעת </w:t>
      </w:r>
      <w:r>
        <w:rPr>
          <w:rStyle w:val="af8"/>
          <w:rtl/>
        </w:rPr>
        <w:t>הקרן אורה</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Ref22109097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סא</w:t>
      </w:r>
      <w:r w:rsidR="004D1C5B">
        <w:rPr>
          <w:rStyle w:val="af6"/>
          <w:rFonts w:eastAsia="Guttman Hodes"/>
          <w:rtl/>
        </w:rPr>
        <w:t>)</w:t>
      </w:r>
      <w:r>
        <w:rPr>
          <w:rFonts w:hint="cs"/>
          <w:rtl/>
        </w:rPr>
        <w:fldChar w:fldCharType="end"/>
      </w:r>
      <w:r>
        <w:rPr>
          <w:rFonts w:hint="cs"/>
          <w:rtl/>
        </w:rPr>
        <w:t xml:space="preserve">, וכן ביארו </w:t>
      </w:r>
      <w:r>
        <w:rPr>
          <w:rStyle w:val="af8"/>
          <w:rtl/>
        </w:rPr>
        <w:t>הגרש"ש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Ref21679627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פג</w:t>
      </w:r>
      <w:r w:rsidR="004D1C5B">
        <w:rPr>
          <w:rStyle w:val="af6"/>
          <w:rFonts w:eastAsia="Guttman Hodes"/>
          <w:rtl/>
        </w:rPr>
        <w:t>)</w:t>
      </w:r>
      <w:r>
        <w:rPr>
          <w:rFonts w:hint="cs"/>
          <w:rtl/>
        </w:rPr>
        <w:fldChar w:fldCharType="end"/>
      </w:r>
      <w:r>
        <w:rPr>
          <w:rFonts w:hint="cs"/>
          <w:rtl/>
        </w:rPr>
        <w:t xml:space="preserve"> בדעת </w:t>
      </w:r>
      <w:r>
        <w:rPr>
          <w:rStyle w:val="af8"/>
          <w:rtl/>
        </w:rPr>
        <w:t>הב"י</w:t>
      </w:r>
      <w:r>
        <w:rPr>
          <w:rFonts w:hint="cs"/>
          <w:rtl/>
        </w:rPr>
        <w:t xml:space="preserve"> </w:t>
      </w:r>
      <w:r>
        <w:rPr>
          <w:rStyle w:val="af8"/>
          <w:rtl/>
        </w:rPr>
        <w:t>והמשנת 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Ref22294368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צג</w:t>
      </w:r>
      <w:r w:rsidR="004D1C5B">
        <w:rPr>
          <w:rStyle w:val="af6"/>
          <w:rFonts w:eastAsia="Guttman Hodes"/>
          <w:rtl/>
        </w:rPr>
        <w:t>)</w:t>
      </w:r>
      <w:r>
        <w:rPr>
          <w:rFonts w:hint="cs"/>
          <w:rtl/>
        </w:rPr>
        <w:fldChar w:fldCharType="end"/>
      </w:r>
      <w:r>
        <w:rPr>
          <w:rFonts w:hint="cs"/>
          <w:rtl/>
        </w:rPr>
        <w:t xml:space="preserve"> בדעת </w:t>
      </w:r>
      <w:r>
        <w:rPr>
          <w:rStyle w:val="af8"/>
          <w:rtl/>
        </w:rPr>
        <w:t>הגר"א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Ref22111406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סד</w:t>
      </w:r>
      <w:r w:rsidR="004D1C5B">
        <w:rPr>
          <w:rStyle w:val="af6"/>
          <w:rFonts w:eastAsia="Guttman Hodes"/>
          <w:rtl/>
        </w:rPr>
        <w:t>)</w:t>
      </w:r>
      <w:r>
        <w:rPr>
          <w:rFonts w:hint="cs"/>
          <w:rtl/>
        </w:rPr>
        <w:fldChar w:fldCharType="end"/>
      </w:r>
      <w:r>
        <w:rPr>
          <w:rFonts w:hint="cs"/>
          <w:rtl/>
        </w:rPr>
        <w:t>.</w:t>
      </w:r>
      <w:bookmarkEnd w:id="13730"/>
    </w:p>
    <w:p w:rsidR="0028438A" w:rsidRDefault="0028438A" w:rsidP="0028438A">
      <w:pPr>
        <w:pStyle w:val="a2"/>
        <w:rPr>
          <w:rtl/>
        </w:rPr>
      </w:pPr>
      <w:bookmarkStart w:id="13731" w:name="_Toc23984376"/>
      <w:r>
        <w:rPr>
          <w:rFonts w:hint="cs"/>
          <w:rtl/>
        </w:rPr>
        <w:t>ביאור הגרי"ז דביבש האיסור עצמו לא בטל ויש היתר לכל חתיכה מדין הלך אחר הרוב</w:t>
      </w:r>
      <w:bookmarkEnd w:id="13731"/>
    </w:p>
    <w:p w:rsidR="0028438A" w:rsidRDefault="0028438A" w:rsidP="009F44AF">
      <w:pPr>
        <w:pStyle w:val="a"/>
        <w:numPr>
          <w:ilvl w:val="0"/>
          <w:numId w:val="17"/>
        </w:numPr>
      </w:pPr>
      <w:r>
        <w:rPr>
          <w:rFonts w:hint="cs"/>
          <w:rtl/>
        </w:rPr>
        <w:t xml:space="preserve">והביא </w:t>
      </w:r>
      <w:r>
        <w:rPr>
          <w:rStyle w:val="af8"/>
          <w:rtl/>
        </w:rPr>
        <w:t>בתורת זרעים</w:t>
      </w:r>
      <w:r>
        <w:rPr>
          <w:rFonts w:hint="cs"/>
          <w:rtl/>
        </w:rPr>
        <w:t xml:space="preserve"> </w:t>
      </w:r>
      <w:r w:rsidRPr="009F44AF">
        <w:rPr>
          <w:rStyle w:val="af6"/>
          <w:rFonts w:eastAsia="Guttman Hodes" w:hint="cs"/>
          <w:rtl/>
        </w:rPr>
        <w:t>(תרומות פ"ה מ"ו)</w:t>
      </w:r>
      <w:r>
        <w:rPr>
          <w:rFonts w:hint="cs"/>
          <w:rtl/>
        </w:rPr>
        <w:t xml:space="preserve"> בשם </w:t>
      </w:r>
      <w:r>
        <w:rPr>
          <w:rStyle w:val="af8"/>
          <w:rtl/>
        </w:rPr>
        <w:t>הגרי"ז</w:t>
      </w:r>
      <w:r>
        <w:rPr>
          <w:rFonts w:hint="cs"/>
          <w:rtl/>
        </w:rPr>
        <w:t xml:space="preserve"> דביאר דכיון דביבש ביבש האיסור עומד בפנ"ע, ואינו מעורב עם ההיתר, א"כ על עצם האיסור אין דין ביטול, והאיסור עצמו לא בטל כלל, אלא דבכל חתיכה יש היתר מדין הלך אחר הרוב, וכל מה שמהני דין ביטול הוא בכדי שלא נאמר דיש לתערובת דין קבוע, דע"י דין ביטול אמרינן דין הלך אחר הרוב, ולכן כל ההיתר הוא רק כשאוכל כל חתיכה בפנ"ע, אבל כשאוכל את כל התערובת בבת אחת, ממילא אין דין הלך אחר הרוב.</w:t>
      </w:r>
    </w:p>
    <w:p w:rsidR="0028438A" w:rsidRDefault="0028438A" w:rsidP="0028438A">
      <w:pPr>
        <w:pStyle w:val="a2"/>
        <w:rPr>
          <w:rtl/>
        </w:rPr>
      </w:pPr>
      <w:bookmarkStart w:id="13732" w:name="_Toc23984377"/>
      <w:r>
        <w:rPr>
          <w:rFonts w:hint="cs"/>
          <w:rtl/>
        </w:rPr>
        <w:t>ביאור הגרי"ז דבבישל אוסר הרשב"א א"א להתיר מדין הלך אחר הרוב וממילא הכל נאסר</w:t>
      </w:r>
      <w:bookmarkEnd w:id="13732"/>
    </w:p>
    <w:p w:rsidR="0028438A" w:rsidRDefault="0028438A" w:rsidP="009F44AF">
      <w:pPr>
        <w:pStyle w:val="a"/>
        <w:numPr>
          <w:ilvl w:val="0"/>
          <w:numId w:val="17"/>
        </w:numPr>
        <w:rPr>
          <w:rtl/>
        </w:rPr>
      </w:pPr>
      <w:r>
        <w:rPr>
          <w:rFonts w:hint="cs"/>
          <w:rtl/>
        </w:rPr>
        <w:t xml:space="preserve">ובמ"ש </w:t>
      </w:r>
      <w:r>
        <w:rPr>
          <w:rStyle w:val="af8"/>
          <w:rtl/>
        </w:rPr>
        <w:t>הרשב"א</w:t>
      </w:r>
      <w:r w:rsidRPr="009F44AF">
        <w:rPr>
          <w:rStyle w:val="af6"/>
          <w:rFonts w:eastAsia="Guttman Hodes" w:hint="cs"/>
          <w:rtl/>
        </w:rPr>
        <w:t xml:space="preserve"> (עי'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Ref23943584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w:t>
      </w:r>
      <w:r w:rsidR="004D1C5B">
        <w:rPr>
          <w:rStyle w:val="af6"/>
          <w:rFonts w:eastAsia="Guttman Hodes"/>
          <w:rtl/>
        </w:rPr>
        <w:t>)</w:t>
      </w:r>
      <w:r w:rsidRPr="009F44AF">
        <w:rPr>
          <w:rStyle w:val="af6"/>
          <w:rFonts w:eastAsia="Guttman Hodes" w:hint="cs"/>
          <w:rtl/>
        </w:rPr>
        <w:fldChar w:fldCharType="end"/>
      </w:r>
      <w:r w:rsidRPr="009F44AF">
        <w:rPr>
          <w:rStyle w:val="af6"/>
          <w:rFonts w:eastAsia="Guttman Hodes" w:hint="cs"/>
          <w:rtl/>
        </w:rPr>
        <w:t xml:space="preserve"> </w:t>
      </w:r>
      <w:r>
        <w:rPr>
          <w:rFonts w:hint="cs"/>
          <w:rtl/>
        </w:rPr>
        <w:t xml:space="preserve">דאם בישלם יחד אסור, כיון שע"י הבישול התערב האיסור עם ההיתר, ודינו כשאר האיסורין בלח בלח, הביא </w:t>
      </w:r>
      <w:r>
        <w:rPr>
          <w:rStyle w:val="af8"/>
          <w:rtl/>
        </w:rPr>
        <w:t>בתורת זרעים</w:t>
      </w:r>
      <w:r>
        <w:rPr>
          <w:rFonts w:hint="cs"/>
          <w:rtl/>
        </w:rPr>
        <w:t xml:space="preserve"> בשם </w:t>
      </w:r>
      <w:r>
        <w:rPr>
          <w:rStyle w:val="af8"/>
          <w:rtl/>
        </w:rPr>
        <w:t>הגרי"ז</w:t>
      </w:r>
      <w:r>
        <w:rPr>
          <w:rFonts w:hint="cs"/>
          <w:rtl/>
        </w:rPr>
        <w:t xml:space="preserve"> דביאר דכשחזר ובישל את התערובת יחד, אין היתר מדין הלך אחר הרוב, דכיון שהאיסור עצמו לא התבטל כלל, ממילא הוא אוסר את כל התערובת מדין טעם כעיקר.</w:t>
      </w:r>
    </w:p>
    <w:p w:rsidR="0028438A" w:rsidRDefault="0028438A" w:rsidP="00E669F8">
      <w:pPr>
        <w:pStyle w:val="afd"/>
      </w:pPr>
      <w:bookmarkStart w:id="13733" w:name="_Toc23984378"/>
      <w:bookmarkStart w:id="13734" w:name="_Toc23972193"/>
      <w:r>
        <w:rPr>
          <w:rFonts w:hint="cs"/>
          <w:rtl/>
        </w:rPr>
        <w:t>בביאור הסוברים דהרשב"א אסר מדרבנן</w:t>
      </w:r>
      <w:bookmarkEnd w:id="13733"/>
      <w:bookmarkEnd w:id="13734"/>
    </w:p>
    <w:p w:rsidR="0028438A" w:rsidRDefault="0028438A" w:rsidP="0028438A">
      <w:pPr>
        <w:pStyle w:val="a2"/>
        <w:rPr>
          <w:rtl/>
        </w:rPr>
      </w:pPr>
      <w:bookmarkStart w:id="13735" w:name="_Toc23984380"/>
      <w:bookmarkStart w:id="13736" w:name="_Toc23972195"/>
      <w:r w:rsidRPr="004F18F9">
        <w:rPr>
          <w:rStyle w:val="10"/>
          <w:rFonts w:hint="cs"/>
          <w:rtl/>
        </w:rPr>
        <w:t xml:space="preserve">ביאור השער"י ברשב"א דאי הותר לגמרי הוי חוכא דיאסר בלח </w:t>
      </w:r>
      <w:r>
        <w:rPr>
          <w:rFonts w:hint="cs"/>
          <w:rtl/>
        </w:rPr>
        <w:t>קושית השער"י על הפרמ"ג דלדבריו עיקר החידוש ברשב"א דודאי איסור מותר בשישים</w:t>
      </w:r>
      <w:bookmarkEnd w:id="13735"/>
      <w:bookmarkEnd w:id="13736"/>
    </w:p>
    <w:p w:rsidR="0028438A" w:rsidRDefault="0028438A" w:rsidP="009F44AF">
      <w:pPr>
        <w:pStyle w:val="a"/>
        <w:numPr>
          <w:ilvl w:val="0"/>
          <w:numId w:val="17"/>
        </w:numPr>
        <w:rPr>
          <w:rtl/>
        </w:rPr>
      </w:pPr>
      <w:bookmarkStart w:id="13737" w:name="_Ref22035552"/>
      <w:r>
        <w:rPr>
          <w:rFonts w:hint="cs"/>
          <w:rtl/>
        </w:rPr>
        <w:t xml:space="preserve">הביא </w:t>
      </w:r>
      <w:r>
        <w:rPr>
          <w:rStyle w:val="af8"/>
          <w:rtl/>
        </w:rPr>
        <w:t>השער"י</w:t>
      </w:r>
      <w:r>
        <w:rPr>
          <w:rFonts w:hint="cs"/>
          <w:rtl/>
        </w:rPr>
        <w:t xml:space="preserve"> </w:t>
      </w:r>
      <w:r w:rsidRPr="009F44AF">
        <w:rPr>
          <w:rStyle w:val="af6"/>
          <w:rFonts w:eastAsia="Guttman Hodes" w:hint="cs"/>
          <w:rtl/>
        </w:rPr>
        <w:t>(ש"ג ריש פ"ט)</w:t>
      </w:r>
      <w:r>
        <w:rPr>
          <w:rFonts w:hint="cs"/>
          <w:rtl/>
        </w:rPr>
        <w:t xml:space="preserve"> את דברי </w:t>
      </w:r>
      <w:r>
        <w:rPr>
          <w:rStyle w:val="af8"/>
          <w:rtl/>
        </w:rPr>
        <w:t xml:space="preserve">הפרמ"ג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Ref22035511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פז</w:t>
      </w:r>
      <w:r w:rsidR="004D1C5B">
        <w:rPr>
          <w:rStyle w:val="af6"/>
          <w:rFonts w:eastAsia="Guttman Hodes"/>
          <w:rtl/>
        </w:rPr>
        <w:t>)</w:t>
      </w:r>
      <w:r>
        <w:rPr>
          <w:rFonts w:hint="cs"/>
          <w:rtl/>
        </w:rPr>
        <w:fldChar w:fldCharType="end"/>
      </w:r>
      <w:r>
        <w:rPr>
          <w:rFonts w:hint="cs"/>
          <w:rtl/>
        </w:rPr>
        <w:t xml:space="preserve"> דביאר דלדעת </w:t>
      </w:r>
      <w:r>
        <w:rPr>
          <w:rStyle w:val="af8"/>
          <w:rtl/>
        </w:rPr>
        <w:t>הרשב"א</w:t>
      </w:r>
      <w:r>
        <w:rPr>
          <w:rFonts w:hint="cs"/>
          <w:rtl/>
        </w:rPr>
        <w:t xml:space="preserve"> אסור לאכול את כל התערובת בבת אחת, כיון דמדרבנן לא מהני ביטול במקום שודאי אוכל את האיסור, ורק במקום שיש שישים, כתב </w:t>
      </w:r>
      <w:r>
        <w:rPr>
          <w:rStyle w:val="af8"/>
          <w:rtl/>
        </w:rPr>
        <w:t>הפרמ"ג</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Ref23967262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עא</w:t>
      </w:r>
      <w:r w:rsidR="004D1C5B">
        <w:rPr>
          <w:rStyle w:val="af6"/>
          <w:rFonts w:eastAsia="Guttman Hodes"/>
          <w:rtl/>
        </w:rPr>
        <w:t>)</w:t>
      </w:r>
      <w:r>
        <w:rPr>
          <w:rFonts w:hint="cs"/>
          <w:rtl/>
        </w:rPr>
        <w:fldChar w:fldCharType="end"/>
      </w:r>
      <w:r>
        <w:rPr>
          <w:rFonts w:hint="cs"/>
          <w:rtl/>
        </w:rPr>
        <w:t xml:space="preserve"> דאף שאוכל ודאי איסור מ"מ מותר כיון שהוא שיעור קטן כ"כ ולא גזרו בו רבנן, וכתב </w:t>
      </w:r>
      <w:r>
        <w:rPr>
          <w:rStyle w:val="af8"/>
          <w:rtl/>
        </w:rPr>
        <w:t>השער"י</w:t>
      </w:r>
      <w:r>
        <w:rPr>
          <w:rFonts w:hint="cs"/>
          <w:rtl/>
        </w:rPr>
        <w:t xml:space="preserve"> דדוחק לומר דזו כוונת </w:t>
      </w:r>
      <w:r>
        <w:rPr>
          <w:rStyle w:val="af8"/>
          <w:rtl/>
        </w:rPr>
        <w:t>הרשב"א</w:t>
      </w:r>
      <w:r>
        <w:rPr>
          <w:rFonts w:hint="cs"/>
          <w:rtl/>
        </w:rPr>
        <w:t xml:space="preserve">, דא"כ העיקר חסר מן הספר, דלדברי </w:t>
      </w:r>
      <w:r>
        <w:rPr>
          <w:rStyle w:val="af8"/>
          <w:rtl/>
        </w:rPr>
        <w:t>הפרמ"ג הרשב"א</w:t>
      </w:r>
      <w:r>
        <w:rPr>
          <w:rFonts w:hint="cs"/>
          <w:rtl/>
        </w:rPr>
        <w:t xml:space="preserve"> צריך לבאר למה התירו בין במין במינו ובין במין בשאינו מינו ביותר משישים, דאף שודאי אוכל את האיסור, מ"מ מותר כיון דשיעור האיסור קטן מאוד, ולא הזכיר </w:t>
      </w:r>
      <w:r>
        <w:rPr>
          <w:rStyle w:val="af8"/>
          <w:rtl/>
        </w:rPr>
        <w:t>הרשב"א</w:t>
      </w:r>
      <w:r>
        <w:rPr>
          <w:rFonts w:hint="cs"/>
          <w:rtl/>
        </w:rPr>
        <w:t xml:space="preserve"> סברא זו כלל.</w:t>
      </w:r>
      <w:bookmarkEnd w:id="13737"/>
    </w:p>
    <w:p w:rsidR="0028438A" w:rsidRDefault="0028438A" w:rsidP="0028438A">
      <w:pPr>
        <w:pStyle w:val="a2"/>
        <w:rPr>
          <w:rtl/>
        </w:rPr>
      </w:pPr>
      <w:bookmarkStart w:id="13738" w:name="_Toc23984381"/>
      <w:bookmarkStart w:id="13739" w:name="_Toc23972196"/>
      <w:r>
        <w:rPr>
          <w:rFonts w:hint="cs"/>
          <w:rtl/>
        </w:rPr>
        <w:t>קושיות השער"י דלא משמע ברשב"א דבמקום שאוכל ודאי איסור לא מהני ביטול</w:t>
      </w:r>
      <w:bookmarkEnd w:id="13738"/>
      <w:bookmarkEnd w:id="13739"/>
    </w:p>
    <w:p w:rsidR="0028438A" w:rsidRDefault="0028438A" w:rsidP="009F44AF">
      <w:pPr>
        <w:pStyle w:val="a"/>
        <w:numPr>
          <w:ilvl w:val="0"/>
          <w:numId w:val="17"/>
        </w:numPr>
        <w:rPr>
          <w:rtl/>
        </w:rPr>
      </w:pPr>
      <w:bookmarkStart w:id="13740" w:name="_Ref23968643"/>
      <w:r>
        <w:rPr>
          <w:rFonts w:hint="cs"/>
          <w:rtl/>
        </w:rPr>
        <w:t xml:space="preserve">ועוד הקשה </w:t>
      </w:r>
      <w:r>
        <w:rPr>
          <w:rStyle w:val="af8"/>
          <w:rtl/>
        </w:rPr>
        <w:t>השער"י דהרשב"א</w:t>
      </w:r>
      <w:r>
        <w:rPr>
          <w:rFonts w:hint="cs"/>
          <w:rtl/>
        </w:rPr>
        <w:t xml:space="preserve"> </w:t>
      </w:r>
      <w:r w:rsidRPr="009F44AF">
        <w:rPr>
          <w:rStyle w:val="af6"/>
          <w:rFonts w:eastAsia="Guttman Hodes" w:hint="cs"/>
          <w:rtl/>
        </w:rPr>
        <w:t>(</w:t>
      </w:r>
      <w:r w:rsidR="00D3196A" w:rsidRPr="009F44AF">
        <w:rPr>
          <w:rStyle w:val="af6"/>
          <w:rFonts w:eastAsia="Guttman Hodes" w:hint="cs"/>
          <w:rtl/>
        </w:rPr>
        <w:t>הובא בסימן</w:t>
      </w:r>
      <w:r w:rsidRPr="009F44AF">
        <w:rPr>
          <w:rStyle w:val="af6"/>
          <w:rFonts w:eastAsia="Guttman Hodes" w:hint="cs"/>
          <w:rtl/>
        </w:rPr>
        <w:t xml:space="preserve"> ט"ז אות ע"ב)</w:t>
      </w:r>
      <w:r>
        <w:rPr>
          <w:rFonts w:hint="cs"/>
          <w:rtl/>
        </w:rPr>
        <w:t xml:space="preserve"> כתב לבאר דבמין במינו בלח בלח בפחות משישים, אסרו רבנן אטו מין בשאינו מינו, ואילו לפי ביאור </w:t>
      </w:r>
      <w:r>
        <w:rPr>
          <w:rStyle w:val="af8"/>
          <w:rtl/>
        </w:rPr>
        <w:t>הפרמ"ג</w:t>
      </w:r>
      <w:r>
        <w:rPr>
          <w:rFonts w:hint="cs"/>
          <w:rtl/>
        </w:rPr>
        <w:t xml:space="preserve"> הוא דבר פשוט דכיון שאוכל את כל התערובת יחד וודאי שאוכל את האיסור ומסברא אסור, ועוד הקשה </w:t>
      </w:r>
      <w:r>
        <w:rPr>
          <w:rStyle w:val="af8"/>
          <w:rtl/>
        </w:rPr>
        <w:t>השער"י</w:t>
      </w:r>
      <w:r>
        <w:rPr>
          <w:rFonts w:hint="cs"/>
          <w:rtl/>
        </w:rPr>
        <w:t xml:space="preserve"> דהא </w:t>
      </w:r>
      <w:r>
        <w:rPr>
          <w:rStyle w:val="af8"/>
          <w:rtl/>
        </w:rPr>
        <w:t>הרשב"א במשה"ב</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Ref23953328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מט</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הסכים לדברי </w:t>
      </w:r>
      <w:r>
        <w:rPr>
          <w:rStyle w:val="af8"/>
          <w:rtl/>
        </w:rPr>
        <w:t xml:space="preserve">הרא"ה </w:t>
      </w:r>
      <w:r>
        <w:rPr>
          <w:rStyle w:val="af8"/>
          <w:rtl/>
        </w:rPr>
        <w:t>בבד"ה</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Ref23957629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נב</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דבדבר שאין בו בליעת איסור לא שייך לגזור כלל להצריך שישים, ואילו לביאור </w:t>
      </w:r>
      <w:r>
        <w:rPr>
          <w:rStyle w:val="af8"/>
          <w:rtl/>
        </w:rPr>
        <w:t>הפרמ"ג</w:t>
      </w:r>
      <w:r>
        <w:rPr>
          <w:rFonts w:hint="cs"/>
          <w:rtl/>
        </w:rPr>
        <w:t xml:space="preserve"> </w:t>
      </w:r>
      <w:r>
        <w:rPr>
          <w:rStyle w:val="af8"/>
          <w:rtl/>
        </w:rPr>
        <w:t>ברשב"א</w:t>
      </w:r>
      <w:r>
        <w:rPr>
          <w:rFonts w:hint="cs"/>
          <w:rtl/>
        </w:rPr>
        <w:t xml:space="preserve"> סברת </w:t>
      </w:r>
      <w:r>
        <w:rPr>
          <w:rStyle w:val="af8"/>
          <w:rtl/>
        </w:rPr>
        <w:t>הרא"ה</w:t>
      </w:r>
      <w:r>
        <w:rPr>
          <w:rFonts w:hint="cs"/>
          <w:rtl/>
        </w:rPr>
        <w:t xml:space="preserve"> לא דמי כלל לסברת </w:t>
      </w:r>
      <w:r>
        <w:rPr>
          <w:rStyle w:val="af8"/>
          <w:rtl/>
        </w:rPr>
        <w:t>הרשב"א</w:t>
      </w:r>
      <w:r>
        <w:rPr>
          <w:rFonts w:hint="cs"/>
          <w:rtl/>
        </w:rPr>
        <w:t xml:space="preserve">, דהא </w:t>
      </w:r>
      <w:r>
        <w:rPr>
          <w:rStyle w:val="af8"/>
          <w:rtl/>
        </w:rPr>
        <w:t>להרשב"א</w:t>
      </w:r>
      <w:r>
        <w:rPr>
          <w:rFonts w:hint="cs"/>
          <w:rtl/>
        </w:rPr>
        <w:t xml:space="preserve"> האיסור תלוי אם אוכל את הכל יחד, ולא מחמת שאין האיסור נבלע בהיתר.</w:t>
      </w:r>
      <w:bookmarkEnd w:id="13740"/>
    </w:p>
    <w:p w:rsidR="0028438A" w:rsidRDefault="0028438A" w:rsidP="0028438A">
      <w:pPr>
        <w:pStyle w:val="a2"/>
        <w:rPr>
          <w:rtl/>
        </w:rPr>
      </w:pPr>
      <w:bookmarkStart w:id="13741" w:name="_Toc23984383"/>
      <w:bookmarkStart w:id="13742" w:name="_Toc23972198"/>
      <w:r>
        <w:rPr>
          <w:rFonts w:hint="cs"/>
          <w:rtl/>
        </w:rPr>
        <w:t>ביאור השער"י ברשב"א דהאיסור בלח במינו וביבש באוכל בב"א הוא מגזירה אטו אינו מינו</w:t>
      </w:r>
      <w:bookmarkEnd w:id="13741"/>
      <w:bookmarkEnd w:id="13742"/>
    </w:p>
    <w:p w:rsidR="0028438A" w:rsidRDefault="0028438A" w:rsidP="009F44AF">
      <w:pPr>
        <w:pStyle w:val="a"/>
        <w:numPr>
          <w:ilvl w:val="0"/>
          <w:numId w:val="17"/>
        </w:numPr>
        <w:rPr>
          <w:rtl/>
        </w:rPr>
      </w:pPr>
      <w:bookmarkStart w:id="13743" w:name="_Ref23967832"/>
      <w:r>
        <w:rPr>
          <w:rFonts w:hint="cs"/>
          <w:rtl/>
        </w:rPr>
        <w:t xml:space="preserve">וכתב </w:t>
      </w:r>
      <w:r>
        <w:rPr>
          <w:rStyle w:val="af8"/>
          <w:rtl/>
        </w:rPr>
        <w:t>השער"י</w:t>
      </w:r>
      <w:r>
        <w:rPr>
          <w:rFonts w:hint="cs"/>
          <w:rtl/>
        </w:rPr>
        <w:t xml:space="preserve"> </w:t>
      </w:r>
      <w:r w:rsidRPr="009F44AF">
        <w:rPr>
          <w:rStyle w:val="af6"/>
          <w:rFonts w:eastAsia="Guttman Hodes" w:hint="cs"/>
          <w:rtl/>
        </w:rPr>
        <w:t>(ש"ג פ"ט ד"ה וע"כ נלענ"ד)</w:t>
      </w:r>
      <w:r>
        <w:rPr>
          <w:rFonts w:hint="cs"/>
          <w:rtl/>
        </w:rPr>
        <w:t xml:space="preserve"> דבעיקר איסור לח בלח במין במינו בפחות משישים, מודה </w:t>
      </w:r>
      <w:r>
        <w:rPr>
          <w:rStyle w:val="af8"/>
          <w:rtl/>
        </w:rPr>
        <w:t>הרשב"א</w:t>
      </w:r>
      <w:r>
        <w:rPr>
          <w:rFonts w:hint="cs"/>
          <w:rtl/>
        </w:rPr>
        <w:t xml:space="preserve"> לסברת דגזרו במין במינו אטו מין בשאינו מינו, </w:t>
      </w:r>
      <w:r>
        <w:rPr>
          <w:rStyle w:val="afa"/>
          <w:rtl/>
        </w:rPr>
        <w:t xml:space="preserve">[ולא כדכתב </w:t>
      </w:r>
      <w:r>
        <w:rPr>
          <w:rStyle w:val="affa"/>
          <w:rtl/>
        </w:rPr>
        <w:t>הפרמ"ג</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Ref22035511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פז)</w:t>
      </w:r>
      <w:r>
        <w:rPr>
          <w:rFonts w:hint="cs"/>
          <w:rtl/>
        </w:rPr>
        <w:fldChar w:fldCharType="end"/>
      </w:r>
      <w:r>
        <w:rPr>
          <w:rStyle w:val="afa"/>
          <w:rtl/>
        </w:rPr>
        <w:t xml:space="preserve"> דהוא מחמת שאוכל ודאי איסור],</w:t>
      </w:r>
      <w:r>
        <w:rPr>
          <w:rFonts w:hint="cs"/>
          <w:rtl/>
        </w:rPr>
        <w:t xml:space="preserve"> ולכן ביבש ביבש מותר כיון שלא שייך לגזור בו אטו מין בשאינו מינו, דמהני בו ביטול ברוב מדאו', </w:t>
      </w:r>
      <w:bookmarkStart w:id="13744" w:name="_Ref21679582"/>
      <w:r>
        <w:rPr>
          <w:rFonts w:hint="cs"/>
          <w:rtl/>
        </w:rPr>
        <w:t xml:space="preserve">והא דס"ל </w:t>
      </w:r>
      <w:r>
        <w:rPr>
          <w:rStyle w:val="af8"/>
          <w:rtl/>
        </w:rPr>
        <w:t xml:space="preserve">להרשב"א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Ref23930604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מו</w:t>
      </w:r>
      <w:r w:rsidR="004D1C5B">
        <w:rPr>
          <w:rStyle w:val="af6"/>
          <w:rFonts w:eastAsia="Guttman Hodes"/>
          <w:rtl/>
        </w:rPr>
        <w:t>)</w:t>
      </w:r>
      <w:r>
        <w:rPr>
          <w:rFonts w:hint="cs"/>
          <w:rtl/>
        </w:rPr>
        <w:fldChar w:fldCharType="end"/>
      </w:r>
      <w:r>
        <w:rPr>
          <w:rFonts w:hint="cs"/>
          <w:rtl/>
        </w:rPr>
        <w:t xml:space="preserve"> דביבש ביבש אסור לאכול את כל החתיכות יחד, כתב </w:t>
      </w:r>
      <w:r>
        <w:rPr>
          <w:rStyle w:val="af8"/>
          <w:rtl/>
        </w:rPr>
        <w:t>השער"י</w:t>
      </w:r>
      <w:r>
        <w:rPr>
          <w:rFonts w:hint="cs"/>
          <w:rtl/>
        </w:rPr>
        <w:t xml:space="preserve"> דאף דין זה הוא מחמת הגזירה אטו מין בשאינו מינו בלח בלח.</w:t>
      </w:r>
      <w:bookmarkEnd w:id="13743"/>
    </w:p>
    <w:p w:rsidR="0028438A" w:rsidRDefault="0028438A" w:rsidP="0028438A">
      <w:pPr>
        <w:pStyle w:val="a2"/>
        <w:rPr>
          <w:rtl/>
        </w:rPr>
      </w:pPr>
      <w:bookmarkStart w:id="13745" w:name="_Toc23984384"/>
      <w:bookmarkStart w:id="13746" w:name="_Toc23972199"/>
      <w:r>
        <w:rPr>
          <w:rFonts w:hint="cs"/>
          <w:rtl/>
        </w:rPr>
        <w:t>ביאור השער"י דהוקשה לרשב"א קושית הרא"ש דהוא חוכא להתיר ביבש ולאסור כשיתבשל</w:t>
      </w:r>
      <w:bookmarkEnd w:id="13745"/>
      <w:bookmarkEnd w:id="13746"/>
    </w:p>
    <w:p w:rsidR="0028438A" w:rsidRDefault="0028438A" w:rsidP="009F44AF">
      <w:pPr>
        <w:pStyle w:val="a"/>
        <w:numPr>
          <w:ilvl w:val="0"/>
          <w:numId w:val="17"/>
        </w:numPr>
      </w:pPr>
      <w:r>
        <w:rPr>
          <w:rFonts w:hint="cs"/>
          <w:rtl/>
        </w:rPr>
        <w:t xml:space="preserve">וביאר </w:t>
      </w:r>
      <w:r>
        <w:rPr>
          <w:rStyle w:val="af8"/>
          <w:rtl/>
        </w:rPr>
        <w:t>השער"י</w:t>
      </w:r>
      <w:r>
        <w:rPr>
          <w:rFonts w:hint="cs"/>
          <w:rtl/>
        </w:rPr>
        <w:t xml:space="preserve"> דהוקשה </w:t>
      </w:r>
      <w:r>
        <w:rPr>
          <w:rStyle w:val="af8"/>
          <w:rtl/>
        </w:rPr>
        <w:t>להרשב"א</w:t>
      </w:r>
      <w:r>
        <w:rPr>
          <w:rFonts w:hint="cs"/>
          <w:rtl/>
        </w:rPr>
        <w:t xml:space="preserve"> קושית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Ref23959069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מד</w:t>
      </w:r>
      <w:r w:rsidR="004D1C5B">
        <w:rPr>
          <w:rStyle w:val="af6"/>
          <w:rFonts w:eastAsia="Guttman Hodes"/>
          <w:rtl/>
        </w:rPr>
        <w:t>)</w:t>
      </w:r>
      <w:r>
        <w:rPr>
          <w:rFonts w:hint="cs"/>
          <w:rtl/>
        </w:rPr>
        <w:fldChar w:fldCharType="end"/>
      </w:r>
      <w:r>
        <w:rPr>
          <w:rFonts w:hint="cs"/>
          <w:rtl/>
        </w:rPr>
        <w:t xml:space="preserve"> דלא מצינו דבר שמותר לאוכלו וצירו יהיה אסור, דכיון דיבש ביבש מותר ברוב דחד בתרי, וא"כ כשיחזור ויבשל את התערובת, ותעשה התערובת ללח בלח היא תאסר מחמת הגזירה למין בשאינו מינו, א"כ לא שייך להתיר אף ביבש ביבש דיהיו דברי חכמים כחוכא דאחר שהתבטל האיסור והותר, הוא חוזר ונאסר.</w:t>
      </w:r>
    </w:p>
    <w:p w:rsidR="0028438A" w:rsidRDefault="0028438A" w:rsidP="0028438A">
      <w:pPr>
        <w:pStyle w:val="a2"/>
        <w:rPr>
          <w:rtl/>
        </w:rPr>
      </w:pPr>
      <w:bookmarkStart w:id="13747" w:name="_Toc23984385"/>
      <w:bookmarkStart w:id="13748" w:name="_Toc23972200"/>
      <w:r>
        <w:rPr>
          <w:rFonts w:hint="cs"/>
          <w:rtl/>
        </w:rPr>
        <w:t>דברי השער"י דהרשב"א מיאן בתירוץ הרא"ש דמותר אף בבישל דצריך לגזור אטו אינו מינו</w:t>
      </w:r>
      <w:bookmarkEnd w:id="13747"/>
      <w:bookmarkEnd w:id="13748"/>
    </w:p>
    <w:p w:rsidR="0028438A" w:rsidRDefault="0028438A" w:rsidP="009F44AF">
      <w:pPr>
        <w:pStyle w:val="a"/>
        <w:numPr>
          <w:ilvl w:val="0"/>
          <w:numId w:val="17"/>
        </w:numPr>
      </w:pPr>
      <w:r>
        <w:rPr>
          <w:rFonts w:hint="cs"/>
          <w:rtl/>
        </w:rPr>
        <w:t xml:space="preserve">וכתב </w:t>
      </w:r>
      <w:r>
        <w:rPr>
          <w:rStyle w:val="af8"/>
          <w:rtl/>
        </w:rPr>
        <w:t>השער"י</w:t>
      </w:r>
      <w:r>
        <w:rPr>
          <w:rFonts w:hint="cs"/>
          <w:rtl/>
        </w:rPr>
        <w:t xml:space="preserve"> דאף </w:t>
      </w:r>
      <w:r>
        <w:rPr>
          <w:rStyle w:val="af8"/>
          <w:rtl/>
        </w:rPr>
        <w:t>שהרא"ש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תירץ דבאמת אף כשחזר ובישל מותר, מ"מ עדיין הוקשה </w:t>
      </w:r>
      <w:r>
        <w:rPr>
          <w:rStyle w:val="af8"/>
          <w:rtl/>
        </w:rPr>
        <w:t>להרשב"א</w:t>
      </w:r>
      <w:r>
        <w:rPr>
          <w:rFonts w:hint="cs"/>
          <w:rtl/>
        </w:rPr>
        <w:t xml:space="preserve"> קושית </w:t>
      </w:r>
      <w:r>
        <w:rPr>
          <w:rStyle w:val="af8"/>
          <w:rtl/>
        </w:rPr>
        <w:t>היש"ש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Ref21598737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קכב</w:t>
      </w:r>
      <w:r w:rsidR="004D1C5B">
        <w:rPr>
          <w:rStyle w:val="af6"/>
          <w:rFonts w:eastAsia="Guttman Hodes"/>
          <w:rtl/>
        </w:rPr>
        <w:t>)</w:t>
      </w:r>
      <w:r>
        <w:rPr>
          <w:rFonts w:hint="cs"/>
          <w:rtl/>
        </w:rPr>
        <w:fldChar w:fldCharType="end"/>
      </w:r>
      <w:r>
        <w:rPr>
          <w:rFonts w:hint="cs"/>
          <w:rtl/>
        </w:rPr>
        <w:t xml:space="preserve"> דבחזר ובישל עדיין צריך לגזור ולאסור מחמת הגזירה דאטו מין בשאינו מינו, ועי' במה שביאר </w:t>
      </w:r>
      <w:r>
        <w:rPr>
          <w:rStyle w:val="af8"/>
          <w:rtl/>
        </w:rPr>
        <w:t>השער"י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Ref21598737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קכב</w:t>
      </w:r>
      <w:r w:rsidR="004D1C5B">
        <w:rPr>
          <w:rStyle w:val="af6"/>
          <w:rFonts w:eastAsia="Guttman Hodes"/>
          <w:rtl/>
        </w:rPr>
        <w:t>)</w:t>
      </w:r>
      <w:r>
        <w:rPr>
          <w:rFonts w:hint="cs"/>
          <w:rtl/>
        </w:rPr>
        <w:fldChar w:fldCharType="end"/>
      </w:r>
      <w:r>
        <w:rPr>
          <w:rFonts w:hint="cs"/>
          <w:rtl/>
        </w:rPr>
        <w:t xml:space="preserve"> בישוב קושית </w:t>
      </w:r>
      <w:r>
        <w:rPr>
          <w:rStyle w:val="af8"/>
          <w:rtl/>
        </w:rPr>
        <w:t>היש"ש</w:t>
      </w:r>
      <w:r>
        <w:rPr>
          <w:rFonts w:hint="cs"/>
          <w:rtl/>
        </w:rPr>
        <w:t xml:space="preserve"> לדעת </w:t>
      </w:r>
      <w:r>
        <w:rPr>
          <w:rStyle w:val="af8"/>
          <w:rtl/>
        </w:rPr>
        <w:t>הרא"ש</w:t>
      </w:r>
      <w:r>
        <w:rPr>
          <w:rFonts w:hint="cs"/>
          <w:rtl/>
        </w:rPr>
        <w:t>.</w:t>
      </w:r>
      <w:bookmarkEnd w:id="13744"/>
    </w:p>
    <w:p w:rsidR="0028438A" w:rsidRDefault="0028438A" w:rsidP="0028438A">
      <w:pPr>
        <w:pStyle w:val="a2"/>
        <w:rPr>
          <w:rtl/>
        </w:rPr>
      </w:pPr>
      <w:bookmarkStart w:id="13749" w:name="_Toc23984386"/>
      <w:bookmarkStart w:id="13750" w:name="_Toc23972201"/>
      <w:r>
        <w:rPr>
          <w:rFonts w:hint="cs"/>
          <w:rtl/>
        </w:rPr>
        <w:t>ביאור השער"י דחידש הרשב"א דאף ביבש אינו מותר לגמרי דאסור בב"א ושייך לאסור בבישל</w:t>
      </w:r>
      <w:bookmarkEnd w:id="13749"/>
      <w:bookmarkEnd w:id="13750"/>
    </w:p>
    <w:p w:rsidR="0028438A" w:rsidRDefault="0028438A" w:rsidP="009F44AF">
      <w:pPr>
        <w:pStyle w:val="a"/>
        <w:numPr>
          <w:ilvl w:val="0"/>
          <w:numId w:val="17"/>
        </w:numPr>
        <w:rPr>
          <w:rtl/>
        </w:rPr>
      </w:pPr>
      <w:bookmarkStart w:id="13751" w:name="_Ref23969204"/>
      <w:r>
        <w:rPr>
          <w:rFonts w:hint="cs"/>
          <w:rtl/>
        </w:rPr>
        <w:t xml:space="preserve">וכתב </w:t>
      </w:r>
      <w:r>
        <w:rPr>
          <w:rStyle w:val="af8"/>
          <w:rtl/>
        </w:rPr>
        <w:t>השער"י</w:t>
      </w:r>
      <w:r>
        <w:rPr>
          <w:rFonts w:hint="cs"/>
          <w:rtl/>
        </w:rPr>
        <w:t xml:space="preserve"> דמחמת קושית </w:t>
      </w:r>
      <w:r>
        <w:rPr>
          <w:rStyle w:val="af8"/>
          <w:rtl/>
        </w:rPr>
        <w:t>הרא"ש</w:t>
      </w:r>
      <w:r>
        <w:rPr>
          <w:rFonts w:hint="cs"/>
          <w:rtl/>
        </w:rPr>
        <w:t xml:space="preserve">, חידש </w:t>
      </w:r>
      <w:r>
        <w:rPr>
          <w:rStyle w:val="af8"/>
          <w:rtl/>
        </w:rPr>
        <w:t>הרשב"א</w:t>
      </w:r>
      <w:r>
        <w:rPr>
          <w:rFonts w:hint="cs"/>
          <w:rtl/>
        </w:rPr>
        <w:t xml:space="preserve"> דכיון שאסרו רבנן במין במינו אטו מין בשאינו מינו, א"כ אף ביבש ביבש כשעדיין לא התבשלה התערובת, לא התירוהו רבנן לגמרי, ולא אמרו שהאיסור נהפך להיות היתר, אלא התירו רק לאכול כל חתיכה בפנ"ע.</w:t>
      </w:r>
      <w:bookmarkEnd w:id="13751"/>
    </w:p>
    <w:p w:rsidR="0028438A" w:rsidRDefault="0028438A" w:rsidP="0028438A">
      <w:pPr>
        <w:pStyle w:val="a2"/>
        <w:rPr>
          <w:rtl/>
        </w:rPr>
      </w:pPr>
      <w:bookmarkStart w:id="13752" w:name="_Toc23984387"/>
      <w:bookmarkStart w:id="13753" w:name="_Toc23972202"/>
      <w:r>
        <w:rPr>
          <w:rFonts w:hint="cs"/>
          <w:rtl/>
        </w:rPr>
        <w:t>ביאור השער"י דההיתר בכ"א בפנ"ע דאינה אסורה בודאי ואי"ז חוכא לאסור בבישל דודאי אסור</w:t>
      </w:r>
      <w:bookmarkEnd w:id="13752"/>
      <w:bookmarkEnd w:id="13753"/>
    </w:p>
    <w:p w:rsidR="0028438A" w:rsidRDefault="0028438A" w:rsidP="009F44AF">
      <w:pPr>
        <w:pStyle w:val="a"/>
        <w:numPr>
          <w:ilvl w:val="0"/>
          <w:numId w:val="17"/>
        </w:numPr>
      </w:pPr>
      <w:r>
        <w:rPr>
          <w:rFonts w:hint="cs"/>
          <w:rtl/>
        </w:rPr>
        <w:t xml:space="preserve">וביאר </w:t>
      </w:r>
      <w:r>
        <w:rPr>
          <w:rStyle w:val="af8"/>
          <w:rtl/>
        </w:rPr>
        <w:t>השער"י</w:t>
      </w:r>
      <w:r>
        <w:rPr>
          <w:rFonts w:hint="cs"/>
          <w:rtl/>
        </w:rPr>
        <w:t xml:space="preserve"> דכשאוכל את כל החתיכות בזה אחר זה, כל חתיכה היא ספק איסור כיון שרוב התערובת היא היתר, ורק במקום שודאי אוכל את האיסור הצריכו רבנן שישים, וא"כ אין כל חוכא בגזירה אטו מין בשאינו מינו, דכשבישל את התערובת, אין ההיתר חוזר ונאסר, אלא דממילא הוא אסור כיון שאינו יכול לאכול כל חתיכה בפנ"ע, כמו שהיה אסור אף לפני שבישל כשאוכל את כל התערובת, וכתב </w:t>
      </w:r>
      <w:r>
        <w:rPr>
          <w:rStyle w:val="af8"/>
          <w:rtl/>
        </w:rPr>
        <w:t>השער"י</w:t>
      </w:r>
      <w:r>
        <w:rPr>
          <w:rFonts w:hint="cs"/>
          <w:rtl/>
        </w:rPr>
        <w:t xml:space="preserve"> דא"כ עיקר האיסור במין במינו, הוא מחמת הגזירה דאטו מין בשאינו מינו, שלא יבואו להתיר איסור דאו', בלח בלח בפחות משישים.</w:t>
      </w:r>
    </w:p>
    <w:p w:rsidR="0028438A" w:rsidRDefault="0028438A" w:rsidP="0028438A">
      <w:pPr>
        <w:pStyle w:val="a2"/>
        <w:rPr>
          <w:rtl/>
        </w:rPr>
      </w:pPr>
      <w:bookmarkStart w:id="13754" w:name="_Toc23984388"/>
      <w:bookmarkStart w:id="13755" w:name="_Toc23972203"/>
      <w:r>
        <w:rPr>
          <w:rFonts w:hint="cs"/>
          <w:rtl/>
        </w:rPr>
        <w:t>דברי השער"י ברשב"א דבבישל בב' קדירות מותר דכ"א היא ספק איסור ולא גזרו אטו אינו מינו</w:t>
      </w:r>
      <w:bookmarkEnd w:id="13754"/>
      <w:bookmarkEnd w:id="13755"/>
    </w:p>
    <w:p w:rsidR="0028438A" w:rsidRDefault="0028438A" w:rsidP="009F44AF">
      <w:pPr>
        <w:pStyle w:val="a"/>
        <w:numPr>
          <w:ilvl w:val="0"/>
          <w:numId w:val="17"/>
        </w:numPr>
        <w:rPr>
          <w:rtl/>
        </w:rPr>
      </w:pPr>
      <w:r>
        <w:rPr>
          <w:rFonts w:hint="cs"/>
          <w:rtl/>
        </w:rPr>
        <w:t xml:space="preserve">וכתב </w:t>
      </w:r>
      <w:r>
        <w:rPr>
          <w:rStyle w:val="af8"/>
          <w:rtl/>
        </w:rPr>
        <w:t>השער"י</w:t>
      </w:r>
      <w:r>
        <w:rPr>
          <w:rFonts w:hint="cs"/>
          <w:rtl/>
        </w:rPr>
        <w:t xml:space="preserve"> דזה הביאור בדברי </w:t>
      </w:r>
      <w:r>
        <w:rPr>
          <w:rStyle w:val="af8"/>
          <w:rtl/>
        </w:rPr>
        <w:t>הרשב"א</w:t>
      </w:r>
      <w:r w:rsidRPr="009F44AF">
        <w:rPr>
          <w:rStyle w:val="af6"/>
          <w:rFonts w:eastAsia="Guttman Hodes" w:hint="cs"/>
          <w:rtl/>
        </w:rPr>
        <w:t xml:space="preserve"> (עי'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Ref23943584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w:t>
      </w:r>
      <w:r w:rsidR="004D1C5B">
        <w:rPr>
          <w:rStyle w:val="af6"/>
          <w:rFonts w:eastAsia="Guttman Hodes"/>
          <w:rtl/>
        </w:rPr>
        <w:t>)</w:t>
      </w:r>
      <w:r w:rsidRPr="009F44AF">
        <w:rPr>
          <w:rStyle w:val="af6"/>
          <w:rFonts w:eastAsia="Guttman Hodes" w:hint="cs"/>
          <w:rtl/>
        </w:rPr>
        <w:fldChar w:fldCharType="end"/>
      </w:r>
      <w:r>
        <w:rPr>
          <w:rFonts w:hint="cs"/>
          <w:rtl/>
        </w:rPr>
        <w:t xml:space="preserve"> דהתיר במין במינו כשבישל בב' קדירות, דאף ששייך לגזור בזה אטו מין בשאינו מינו, שאחת מהקדירות אסורה מדאו', ושני הקדירות אסורות מספק דאו', מ"מ כיון שביבש ביבש התירו רבנן במין במינו, אף כשיש ספק שאוכל את האיסור, במקום שיש רוב היתר ואינו אוכל ודאי איסור, דבכל חתיכה אומר שהיא המותרת, לכן גם כשבישל בב' קדירות התירו מכח סברא זו, דעל כ"א מהם יכול לומר שאין בה את האיסור, אעפ"י דשייך לגזור בזה אטו מין בשאינו מינו בדאו'.</w:t>
      </w:r>
    </w:p>
    <w:p w:rsidR="0028438A" w:rsidRDefault="0028438A" w:rsidP="0028438A">
      <w:pPr>
        <w:pStyle w:val="a2"/>
        <w:rPr>
          <w:rtl/>
        </w:rPr>
      </w:pPr>
      <w:bookmarkStart w:id="13756" w:name="_Toc23984389"/>
      <w:bookmarkStart w:id="13757" w:name="_Toc23972204"/>
      <w:r>
        <w:rPr>
          <w:rFonts w:hint="cs"/>
          <w:rtl/>
        </w:rPr>
        <w:t>דברי השער"י דהרשב"א מקיל בב' קדירות בלא נודע התערובת והרא"ש מחמיר ואוסר</w:t>
      </w:r>
      <w:bookmarkEnd w:id="13756"/>
      <w:bookmarkEnd w:id="13757"/>
    </w:p>
    <w:p w:rsidR="0028438A" w:rsidRDefault="0028438A" w:rsidP="009F44AF">
      <w:pPr>
        <w:pStyle w:val="a"/>
        <w:numPr>
          <w:ilvl w:val="0"/>
          <w:numId w:val="17"/>
        </w:numPr>
        <w:rPr>
          <w:rtl/>
        </w:rPr>
      </w:pPr>
      <w:r>
        <w:rPr>
          <w:rFonts w:hint="cs"/>
          <w:rtl/>
        </w:rPr>
        <w:t xml:space="preserve">והוסיף </w:t>
      </w:r>
      <w:r>
        <w:rPr>
          <w:rStyle w:val="af8"/>
          <w:rtl/>
        </w:rPr>
        <w:t>השער"י</w:t>
      </w:r>
      <w:r>
        <w:rPr>
          <w:rFonts w:hint="cs"/>
          <w:rtl/>
        </w:rPr>
        <w:t xml:space="preserve"> דלפי"ז בדין ב' קדירות יש קולא לדעת </w:t>
      </w:r>
      <w:r>
        <w:rPr>
          <w:rStyle w:val="af8"/>
          <w:rtl/>
        </w:rPr>
        <w:t>הרשב"א</w:t>
      </w:r>
      <w:r>
        <w:rPr>
          <w:rFonts w:hint="cs"/>
          <w:rtl/>
        </w:rPr>
        <w:t xml:space="preserve"> וחומרא לדעת </w:t>
      </w:r>
      <w:r>
        <w:rPr>
          <w:rStyle w:val="af8"/>
          <w:rtl/>
        </w:rPr>
        <w:t>הרא"ש</w:t>
      </w:r>
      <w:r>
        <w:rPr>
          <w:rFonts w:hint="cs"/>
          <w:rtl/>
        </w:rPr>
        <w:t xml:space="preserve">, דלדעת </w:t>
      </w:r>
      <w:r>
        <w:rPr>
          <w:rStyle w:val="af8"/>
          <w:rtl/>
        </w:rPr>
        <w:t>הרשב"א</w:t>
      </w:r>
      <w:r>
        <w:rPr>
          <w:rFonts w:hint="cs"/>
          <w:rtl/>
        </w:rPr>
        <w:t xml:space="preserve"> מותר לאכול כ"א בפנ"ע, ולדעת </w:t>
      </w:r>
      <w:r>
        <w:rPr>
          <w:rStyle w:val="af8"/>
          <w:rtl/>
        </w:rPr>
        <w:t>הרא"ש</w:t>
      </w:r>
      <w:r>
        <w:rPr>
          <w:rFonts w:hint="cs"/>
          <w:rtl/>
        </w:rPr>
        <w:t xml:space="preserve"> אסור, דהא כתב </w:t>
      </w:r>
      <w:r>
        <w:rPr>
          <w:rStyle w:val="af8"/>
          <w:rtl/>
        </w:rPr>
        <w:t>הרא"ש</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Ref23968974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לד</w:t>
      </w:r>
      <w:r w:rsidR="004D1C5B">
        <w:rPr>
          <w:rStyle w:val="af6"/>
          <w:rFonts w:eastAsia="Guttman Hodes"/>
          <w:rtl/>
        </w:rPr>
        <w:t>)</w:t>
      </w:r>
      <w:r w:rsidRPr="009F44AF">
        <w:rPr>
          <w:rStyle w:val="af6"/>
          <w:rFonts w:eastAsia="Guttman Hodes" w:hint="cs"/>
          <w:rtl/>
        </w:rPr>
        <w:fldChar w:fldCharType="end"/>
      </w:r>
      <w:r w:rsidRPr="009F44AF">
        <w:rPr>
          <w:rStyle w:val="af6"/>
          <w:rFonts w:eastAsia="Guttman Hodes" w:hint="cs"/>
          <w:rtl/>
        </w:rPr>
        <w:t xml:space="preserve"> </w:t>
      </w:r>
      <w:r>
        <w:rPr>
          <w:rFonts w:hint="cs"/>
          <w:rtl/>
        </w:rPr>
        <w:t xml:space="preserve">דאם לא נודע שנפל איסור לתוך התערובת לפני שבישלה, היא אסורה, </w:t>
      </w:r>
      <w:r>
        <w:rPr>
          <w:rFonts w:hint="cs"/>
          <w:rtl/>
        </w:rPr>
        <w:lastRenderedPageBreak/>
        <w:t xml:space="preserve">ואילו </w:t>
      </w:r>
      <w:r>
        <w:rPr>
          <w:rStyle w:val="af8"/>
          <w:rtl/>
        </w:rPr>
        <w:t>להרשב"א</w:t>
      </w:r>
      <w:r>
        <w:rPr>
          <w:rFonts w:hint="cs"/>
          <w:rtl/>
        </w:rPr>
        <w:t xml:space="preserve"> כתב </w:t>
      </w:r>
      <w:r>
        <w:rPr>
          <w:rStyle w:val="af8"/>
          <w:rtl/>
        </w:rPr>
        <w:t>הב"ח</w:t>
      </w:r>
      <w:r>
        <w:rPr>
          <w:rFonts w:hint="cs"/>
          <w:rtl/>
        </w:rPr>
        <w:t xml:space="preserve"> </w:t>
      </w:r>
      <w:r w:rsidRPr="009F44AF">
        <w:rPr>
          <w:rStyle w:val="af6"/>
          <w:rFonts w:eastAsia="Guttman Hodes" w:hint="cs"/>
          <w:rtl/>
        </w:rPr>
        <w:t>(סי' ק"ט ז')</w:t>
      </w:r>
      <w:r>
        <w:rPr>
          <w:rFonts w:hint="cs"/>
          <w:rtl/>
        </w:rPr>
        <w:t xml:space="preserve"> דמותר בב' קדירות אף שרק אחר הבישול נודע שנפל האיסור</w:t>
      </w:r>
      <w:r>
        <w:rPr>
          <w:rStyle w:val="af0"/>
          <w:rtl/>
        </w:rPr>
        <w:footnoteReference w:id="72"/>
      </w:r>
      <w:r>
        <w:rPr>
          <w:rFonts w:hint="cs"/>
          <w:rtl/>
        </w:rPr>
        <w:t>.</w:t>
      </w:r>
    </w:p>
    <w:p w:rsidR="0028438A" w:rsidRDefault="0028438A" w:rsidP="00DA6853">
      <w:pPr>
        <w:pStyle w:val="1"/>
        <w:rPr>
          <w:rtl/>
        </w:rPr>
      </w:pPr>
      <w:bookmarkStart w:id="13758" w:name="_Toc23984391"/>
      <w:bookmarkStart w:id="13759" w:name="_Toc23972206"/>
      <w:bookmarkStart w:id="13760" w:name="_Ref21600107"/>
      <w:r>
        <w:rPr>
          <w:rFonts w:hint="cs"/>
          <w:rtl/>
        </w:rPr>
        <w:t>ביאור השער"י בדברי הגר"א ברשב"א דבב"א אסור מדרבנן</w:t>
      </w:r>
    </w:p>
    <w:p w:rsidR="0028438A" w:rsidRDefault="0028438A" w:rsidP="0028438A">
      <w:pPr>
        <w:pStyle w:val="a2"/>
        <w:rPr>
          <w:b/>
          <w:bCs/>
          <w:rtl/>
        </w:rPr>
      </w:pPr>
      <w:r>
        <w:rPr>
          <w:rFonts w:hint="cs"/>
          <w:rtl/>
        </w:rPr>
        <w:t>קושית השער"י דבגר"א משמע דלהרשב"א בב"א אסור מדאו' אך הביא ראיה מדינים דרבנן</w:t>
      </w:r>
      <w:bookmarkEnd w:id="13758"/>
      <w:bookmarkEnd w:id="13759"/>
    </w:p>
    <w:p w:rsidR="0028438A" w:rsidRDefault="0028438A" w:rsidP="009F44AF">
      <w:pPr>
        <w:pStyle w:val="a"/>
        <w:numPr>
          <w:ilvl w:val="0"/>
          <w:numId w:val="17"/>
        </w:numPr>
        <w:rPr>
          <w:rtl/>
        </w:rPr>
      </w:pPr>
      <w:bookmarkStart w:id="13761" w:name="_Ref22111381"/>
      <w:r>
        <w:rPr>
          <w:rFonts w:hint="cs"/>
          <w:rtl/>
        </w:rPr>
        <w:t xml:space="preserve">כתב </w:t>
      </w:r>
      <w:r>
        <w:rPr>
          <w:rStyle w:val="af8"/>
          <w:rtl/>
        </w:rPr>
        <w:t>השער"י</w:t>
      </w:r>
      <w:r>
        <w:rPr>
          <w:rFonts w:hint="cs"/>
          <w:rtl/>
        </w:rPr>
        <w:t xml:space="preserve"> </w:t>
      </w:r>
      <w:r w:rsidRPr="009F44AF">
        <w:rPr>
          <w:rStyle w:val="af6"/>
          <w:rFonts w:eastAsia="Guttman Hodes" w:hint="cs"/>
          <w:rtl/>
        </w:rPr>
        <w:t>(ש"ג ריש פ"ט)</w:t>
      </w:r>
      <w:r>
        <w:rPr>
          <w:rFonts w:hint="cs"/>
          <w:rtl/>
        </w:rPr>
        <w:t xml:space="preserve"> דמדברי </w:t>
      </w:r>
      <w:r>
        <w:rPr>
          <w:rStyle w:val="af8"/>
          <w:rtl/>
        </w:rPr>
        <w:t>הגר"א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Ref22111406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סד</w:t>
      </w:r>
      <w:r w:rsidR="004D1C5B">
        <w:rPr>
          <w:rStyle w:val="af6"/>
          <w:rFonts w:eastAsia="Guttman Hodes"/>
          <w:rtl/>
        </w:rPr>
        <w:t>)</w:t>
      </w:r>
      <w:r>
        <w:rPr>
          <w:rFonts w:hint="cs"/>
          <w:rtl/>
        </w:rPr>
        <w:fldChar w:fldCharType="end"/>
      </w:r>
      <w:r>
        <w:rPr>
          <w:rFonts w:hint="cs"/>
          <w:rtl/>
        </w:rPr>
        <w:t xml:space="preserve"> משמע דלדעת </w:t>
      </w:r>
      <w:r>
        <w:rPr>
          <w:rStyle w:val="af8"/>
          <w:rtl/>
        </w:rPr>
        <w:t>הרשב"א</w:t>
      </w:r>
      <w:r>
        <w:rPr>
          <w:rFonts w:hint="cs"/>
          <w:rtl/>
        </w:rPr>
        <w:t xml:space="preserve"> כשאוכל את התערובת בבת אחת, אין דין ביטול ברוב כלל, </w:t>
      </w:r>
      <w:r>
        <w:rPr>
          <w:rStyle w:val="afa"/>
          <w:rtl/>
        </w:rPr>
        <w:t>[דהיינו דמדאו' לא מהני ביטול ברוב כשאוכל את כל התערובת],</w:t>
      </w:r>
      <w:r>
        <w:rPr>
          <w:rFonts w:hint="cs"/>
          <w:rtl/>
        </w:rPr>
        <w:t xml:space="preserve"> אך מדהביא </w:t>
      </w:r>
      <w:r>
        <w:rPr>
          <w:rStyle w:val="af8"/>
          <w:rtl/>
        </w:rPr>
        <w:t>הגר"א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Ref22109097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סא</w:t>
      </w:r>
      <w:r w:rsidR="004D1C5B">
        <w:rPr>
          <w:rStyle w:val="af6"/>
          <w:rFonts w:eastAsia="Guttman Hodes"/>
          <w:rtl/>
        </w:rPr>
        <w:t>)</w:t>
      </w:r>
      <w:r>
        <w:rPr>
          <w:rFonts w:hint="cs"/>
          <w:rtl/>
        </w:rPr>
        <w:fldChar w:fldCharType="end"/>
      </w:r>
      <w:r>
        <w:rPr>
          <w:rFonts w:hint="cs"/>
          <w:rtl/>
        </w:rPr>
        <w:t xml:space="preserve"> ראיה לדברי</w:t>
      </w:r>
      <w:r>
        <w:rPr>
          <w:rStyle w:val="af8"/>
          <w:rtl/>
        </w:rPr>
        <w:t xml:space="preserve"> הרשב"א מהתוס' בזבחים</w:t>
      </w:r>
      <w:r>
        <w:rPr>
          <w:rFonts w:hint="cs"/>
          <w:rtl/>
        </w:rPr>
        <w:t xml:space="preserve">, ומדין שני שבילין, משמע דהאיסור באוכל בבת אחת הוא רק מדרבנן, דהא </w:t>
      </w:r>
      <w:r>
        <w:rPr>
          <w:rStyle w:val="af8"/>
          <w:rtl/>
        </w:rPr>
        <w:t xml:space="preserve">התוס' בזבחים </w:t>
      </w:r>
      <w:r>
        <w:rPr>
          <w:rFonts w:hint="cs"/>
          <w:rtl/>
        </w:rPr>
        <w:t>איירי באיסור דרבנן.</w:t>
      </w:r>
      <w:bookmarkEnd w:id="13760"/>
      <w:bookmarkEnd w:id="13761"/>
      <w:r>
        <w:rPr>
          <w:rFonts w:hint="cs"/>
          <w:rtl/>
        </w:rPr>
        <w:t xml:space="preserve"> [אמנם </w:t>
      </w:r>
      <w:r>
        <w:rPr>
          <w:rStyle w:val="af8"/>
          <w:rtl/>
        </w:rPr>
        <w:t xml:space="preserve">במשנת ר"א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Ref22294368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צג</w:t>
      </w:r>
      <w:r w:rsidR="004D1C5B">
        <w:rPr>
          <w:rStyle w:val="af6"/>
          <w:rFonts w:eastAsia="Guttman Hodes"/>
          <w:rtl/>
        </w:rPr>
        <w:t>)</w:t>
      </w:r>
      <w:r w:rsidRPr="009F44AF">
        <w:rPr>
          <w:rStyle w:val="af6"/>
          <w:rFonts w:eastAsia="Guttman Hodes" w:hint="cs"/>
          <w:rtl/>
        </w:rPr>
        <w:fldChar w:fldCharType="end"/>
      </w:r>
      <w:r>
        <w:rPr>
          <w:rFonts w:hint="cs"/>
          <w:rtl/>
        </w:rPr>
        <w:t xml:space="preserve"> ביאר דכוונת </w:t>
      </w:r>
      <w:r>
        <w:rPr>
          <w:rStyle w:val="af8"/>
          <w:rtl/>
        </w:rPr>
        <w:t>הגר"א</w:t>
      </w:r>
      <w:r>
        <w:rPr>
          <w:rFonts w:hint="cs"/>
          <w:rtl/>
        </w:rPr>
        <w:t xml:space="preserve"> לומר דמדאו' לא מהני ביטול ברוב כשאוכל בבת אחת].</w:t>
      </w:r>
    </w:p>
    <w:p w:rsidR="0028438A" w:rsidRDefault="0028438A" w:rsidP="0028438A">
      <w:pPr>
        <w:pStyle w:val="a2"/>
        <w:rPr>
          <w:rtl/>
        </w:rPr>
      </w:pPr>
      <w:bookmarkStart w:id="13762" w:name="_Toc23984392"/>
      <w:bookmarkStart w:id="13763" w:name="_Toc23972207"/>
      <w:r>
        <w:rPr>
          <w:rFonts w:hint="cs"/>
          <w:rtl/>
        </w:rPr>
        <w:t>דברי השער"י בגר"א דמדרבנן לא נהפך ההיתר לאיסור לגמרי וב' שבילין הוא לדמיון בעלמא</w:t>
      </w:r>
      <w:bookmarkEnd w:id="13762"/>
      <w:bookmarkEnd w:id="13763"/>
    </w:p>
    <w:p w:rsidR="0028438A" w:rsidRDefault="0028438A" w:rsidP="009F44AF">
      <w:pPr>
        <w:pStyle w:val="a"/>
        <w:numPr>
          <w:ilvl w:val="0"/>
          <w:numId w:val="17"/>
        </w:numPr>
        <w:rPr>
          <w:rtl/>
        </w:rPr>
      </w:pPr>
      <w:bookmarkStart w:id="13764" w:name="_Ref22111389"/>
      <w:r>
        <w:rPr>
          <w:rFonts w:hint="cs"/>
          <w:rtl/>
        </w:rPr>
        <w:t xml:space="preserve">וכתב </w:t>
      </w:r>
      <w:r>
        <w:rPr>
          <w:rStyle w:val="af8"/>
          <w:rtl/>
        </w:rPr>
        <w:t>השער"י</w:t>
      </w:r>
      <w:r>
        <w:rPr>
          <w:rFonts w:hint="cs"/>
          <w:rtl/>
        </w:rPr>
        <w:t xml:space="preserve"> </w:t>
      </w:r>
      <w:r w:rsidRPr="009F44AF">
        <w:rPr>
          <w:rStyle w:val="af6"/>
          <w:rFonts w:eastAsia="Guttman Hodes" w:hint="cs"/>
          <w:rtl/>
        </w:rPr>
        <w:t>(ש"ג פ"ט ד"ה וע"כ נלענ"ד בתו"ד)</w:t>
      </w:r>
      <w:r>
        <w:rPr>
          <w:rFonts w:hint="cs"/>
          <w:rtl/>
        </w:rPr>
        <w:t xml:space="preserve"> דלפי דבריו דביאר בדעת הרשב"א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Ref23969204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קטו</w:t>
      </w:r>
      <w:r w:rsidR="004D1C5B">
        <w:rPr>
          <w:rStyle w:val="af6"/>
          <w:rFonts w:eastAsia="Guttman Hodes"/>
          <w:rtl/>
        </w:rPr>
        <w:t>)</w:t>
      </w:r>
      <w:r>
        <w:rPr>
          <w:rFonts w:hint="cs"/>
          <w:rtl/>
        </w:rPr>
        <w:fldChar w:fldCharType="end"/>
      </w:r>
      <w:r>
        <w:rPr>
          <w:rFonts w:hint="cs"/>
          <w:rtl/>
        </w:rPr>
        <w:t xml:space="preserve"> דאף ביבש לא היתרו רבנן את האיסור לגמרי, א"כ מבוארים דברי </w:t>
      </w:r>
      <w:r>
        <w:rPr>
          <w:rStyle w:val="af8"/>
          <w:rtl/>
        </w:rPr>
        <w:t>הגר"א</w:t>
      </w:r>
      <w:r>
        <w:rPr>
          <w:rFonts w:hint="cs"/>
          <w:rtl/>
        </w:rPr>
        <w:t xml:space="preserve"> דכשאוכל את כל התערובת יחד אין בו ביטול ברוב, דמדרבנן לא נהפך האיסור להיתר כלל, </w:t>
      </w:r>
      <w:r>
        <w:rPr>
          <w:rStyle w:val="afa"/>
          <w:rtl/>
        </w:rPr>
        <w:t>[ואין כוונתו לומר דמדאו' אין ביטול ברוב כשאוכל את כל התערובת],</w:t>
      </w:r>
      <w:r>
        <w:rPr>
          <w:rFonts w:hint="cs"/>
          <w:rtl/>
        </w:rPr>
        <w:t xml:space="preserve"> וכתב </w:t>
      </w:r>
      <w:r>
        <w:rPr>
          <w:rStyle w:val="af8"/>
          <w:rtl/>
        </w:rPr>
        <w:t>השער"י</w:t>
      </w:r>
      <w:r>
        <w:rPr>
          <w:rFonts w:hint="cs"/>
          <w:rtl/>
        </w:rPr>
        <w:t xml:space="preserve"> דמה שדימה </w:t>
      </w:r>
      <w:r>
        <w:rPr>
          <w:rStyle w:val="af8"/>
          <w:rtl/>
        </w:rPr>
        <w:t>הגר"א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Ref22109097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סא</w:t>
      </w:r>
      <w:r w:rsidR="004D1C5B">
        <w:rPr>
          <w:rStyle w:val="af6"/>
          <w:rFonts w:eastAsia="Guttman Hodes"/>
          <w:rtl/>
        </w:rPr>
        <w:t>)</w:t>
      </w:r>
      <w:r>
        <w:rPr>
          <w:rFonts w:hint="cs"/>
          <w:rtl/>
        </w:rPr>
        <w:fldChar w:fldCharType="end"/>
      </w:r>
      <w:r>
        <w:rPr>
          <w:rFonts w:hint="cs"/>
          <w:rtl/>
        </w:rPr>
        <w:t xml:space="preserve"> דין זה לדין ב' שבילין, כתב </w:t>
      </w:r>
      <w:r>
        <w:rPr>
          <w:rStyle w:val="af8"/>
          <w:rtl/>
        </w:rPr>
        <w:t>הגר"א</w:t>
      </w:r>
      <w:r>
        <w:rPr>
          <w:rFonts w:hint="cs"/>
          <w:rtl/>
        </w:rPr>
        <w:t xml:space="preserve"> כן לדמיון בעלמא, דהרי בב' שבילין מותר רק לב' בנ"א, ואילו הכא </w:t>
      </w:r>
      <w:r>
        <w:rPr>
          <w:rStyle w:val="afa"/>
          <w:rtl/>
        </w:rPr>
        <w:t xml:space="preserve">[לדעת </w:t>
      </w:r>
      <w:r>
        <w:rPr>
          <w:rStyle w:val="affa"/>
          <w:rtl/>
        </w:rPr>
        <w:t>הרשב"א</w:t>
      </w:r>
      <w:r>
        <w:rPr>
          <w:rStyle w:val="afa"/>
          <w:rtl/>
        </w:rPr>
        <w:t>]</w:t>
      </w:r>
      <w:r>
        <w:rPr>
          <w:rFonts w:hint="cs"/>
          <w:rtl/>
        </w:rPr>
        <w:t xml:space="preserve"> מותר לאדם אחד לאכול את כל התערובת.</w:t>
      </w:r>
      <w:bookmarkEnd w:id="13764"/>
    </w:p>
    <w:p w:rsidR="0028438A" w:rsidRDefault="0028438A" w:rsidP="00DA6853">
      <w:pPr>
        <w:pStyle w:val="1"/>
        <w:rPr>
          <w:rtl/>
        </w:rPr>
      </w:pPr>
      <w:bookmarkStart w:id="13765" w:name="_Toc23960361"/>
      <w:bookmarkStart w:id="13766" w:name="_Toc23945759"/>
      <w:bookmarkStart w:id="13767" w:name="_Toc23887381"/>
      <w:bookmarkStart w:id="13768" w:name="_Toc23850488"/>
      <w:bookmarkStart w:id="13769" w:name="_Toc23799288"/>
      <w:bookmarkStart w:id="13770" w:name="_Toc23712676"/>
      <w:bookmarkStart w:id="13771" w:name="_Toc23372641"/>
      <w:bookmarkStart w:id="13772" w:name="_Toc23224122"/>
      <w:bookmarkStart w:id="13773" w:name="_Toc22638924"/>
      <w:bookmarkStart w:id="13774" w:name="_Toc22250707"/>
      <w:bookmarkStart w:id="13775" w:name="_Toc23984393"/>
      <w:bookmarkStart w:id="13776" w:name="_Toc23972208"/>
      <w:bookmarkStart w:id="13777" w:name="_Toc23960365"/>
      <w:bookmarkStart w:id="13778" w:name="_Toc23945763"/>
      <w:bookmarkStart w:id="13779" w:name="_Toc23887385"/>
      <w:bookmarkStart w:id="13780" w:name="_Toc23850492"/>
      <w:bookmarkStart w:id="13781" w:name="_Toc23799292"/>
      <w:bookmarkStart w:id="13782" w:name="_Toc23712680"/>
      <w:bookmarkStart w:id="13783" w:name="_Toc23372645"/>
      <w:bookmarkStart w:id="13784" w:name="_Toc23224126"/>
      <w:bookmarkStart w:id="13785" w:name="_Toc22638928"/>
      <w:bookmarkStart w:id="13786" w:name="_Toc22250711"/>
      <w:r>
        <w:rPr>
          <w:rFonts w:hint="cs"/>
          <w:rtl/>
        </w:rPr>
        <w:t>ביאור השער"י ברא"ש</w:t>
      </w:r>
      <w:bookmarkEnd w:id="13765"/>
      <w:bookmarkEnd w:id="13766"/>
      <w:bookmarkEnd w:id="13767"/>
      <w:bookmarkEnd w:id="13768"/>
      <w:bookmarkEnd w:id="13769"/>
      <w:bookmarkEnd w:id="13770"/>
      <w:bookmarkEnd w:id="13771"/>
      <w:bookmarkEnd w:id="13772"/>
      <w:bookmarkEnd w:id="13773"/>
      <w:bookmarkEnd w:id="13774"/>
      <w:r>
        <w:rPr>
          <w:rFonts w:hint="cs"/>
          <w:rtl/>
        </w:rPr>
        <w:t xml:space="preserve"> דא"א להתיר ביבש ולאסור כשיתבשל</w:t>
      </w:r>
      <w:bookmarkEnd w:id="13775"/>
      <w:bookmarkEnd w:id="13776"/>
    </w:p>
    <w:p w:rsidR="0028438A" w:rsidRDefault="0028438A" w:rsidP="0028438A">
      <w:pPr>
        <w:pStyle w:val="a2"/>
        <w:rPr>
          <w:b/>
          <w:bCs/>
          <w:rtl/>
        </w:rPr>
      </w:pPr>
      <w:bookmarkStart w:id="13787" w:name="_Toc23984394"/>
      <w:bookmarkStart w:id="13788" w:name="_Toc23972209"/>
      <w:r>
        <w:rPr>
          <w:rFonts w:hint="cs"/>
          <w:rtl/>
        </w:rPr>
        <w:t>ביאור השער"י בקושית הרא"ש דאי ביבש מותר ובבישול אסור אטו אינו מינו הוי חוכא</w:t>
      </w:r>
      <w:bookmarkEnd w:id="13787"/>
      <w:bookmarkEnd w:id="13788"/>
    </w:p>
    <w:p w:rsidR="0028438A" w:rsidRDefault="0028438A" w:rsidP="009F44AF">
      <w:pPr>
        <w:pStyle w:val="a"/>
        <w:numPr>
          <w:ilvl w:val="0"/>
          <w:numId w:val="17"/>
        </w:numPr>
        <w:rPr>
          <w:rtl/>
        </w:rPr>
      </w:pPr>
      <w:bookmarkStart w:id="13789" w:name="_Ref23959130"/>
      <w:r>
        <w:rPr>
          <w:rFonts w:hint="cs"/>
          <w:rtl/>
        </w:rPr>
        <w:t xml:space="preserve">ובדעת </w:t>
      </w:r>
      <w:r>
        <w:rPr>
          <w:rStyle w:val="af8"/>
          <w:rtl/>
        </w:rPr>
        <w:t>הרא"ש</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Ref23959069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מד</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שהקשה על </w:t>
      </w:r>
      <w:r>
        <w:rPr>
          <w:rStyle w:val="af8"/>
          <w:rtl/>
        </w:rPr>
        <w:t>הרשב"א</w:t>
      </w:r>
      <w:r>
        <w:rPr>
          <w:rFonts w:hint="cs"/>
          <w:rtl/>
        </w:rPr>
        <w:t xml:space="preserve"> דלא יתכן להתיר ביבש ולאסור כשיתבשל אח"כ, דלא מצינו דבר שמותר לאוכלו וצירו יהיה אסור, ביאר </w:t>
      </w:r>
      <w:r>
        <w:rPr>
          <w:rStyle w:val="af8"/>
          <w:rtl/>
        </w:rPr>
        <w:t>השער"י</w:t>
      </w:r>
      <w:r>
        <w:rPr>
          <w:rFonts w:hint="cs"/>
          <w:rtl/>
        </w:rPr>
        <w:t xml:space="preserve"> </w:t>
      </w:r>
      <w:r w:rsidRPr="009F44AF">
        <w:rPr>
          <w:rStyle w:val="af6"/>
          <w:rFonts w:eastAsia="Guttman Hodes" w:hint="cs"/>
          <w:rtl/>
        </w:rPr>
        <w:t>(ש"ג פ"ט ד"ה וע"כ נלענ"ד)</w:t>
      </w:r>
      <w:r>
        <w:rPr>
          <w:rFonts w:hint="cs"/>
          <w:rtl/>
        </w:rPr>
        <w:t xml:space="preserve"> דכיון דיבש ביבש מותר ברוב דחד בתרי, וא"כ כשיחזור ויבשל את התערובת, ותעשה התערובת ללח בלח היא תאסר מחמת הגזירה למין בשאינו מינו, א"כ לא שייך להתיר אף ביבש ביבש דיהיו דברי חכמים כחוכא דאחר שהתבטל האיסור והותר, הוא חוזר ונאסר, ולכן הוצרך </w:t>
      </w:r>
      <w:r>
        <w:rPr>
          <w:rStyle w:val="af8"/>
          <w:rtl/>
        </w:rPr>
        <w:t>הרא"ש</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Pr>
          <w:rFonts w:hint="cs"/>
          <w:rtl/>
        </w:rPr>
        <w:fldChar w:fldCharType="end"/>
      </w:r>
      <w:r>
        <w:rPr>
          <w:rFonts w:hint="cs"/>
          <w:rtl/>
        </w:rPr>
        <w:t xml:space="preserve"> לבאר דבאמת אף כשחזר ובישל מותר.</w:t>
      </w:r>
      <w:bookmarkEnd w:id="13789"/>
    </w:p>
    <w:p w:rsidR="0028438A" w:rsidRDefault="0028438A" w:rsidP="0028438A">
      <w:pPr>
        <w:pStyle w:val="a2"/>
        <w:rPr>
          <w:rtl/>
        </w:rPr>
      </w:pPr>
      <w:bookmarkStart w:id="13790" w:name="_Toc23984395"/>
      <w:bookmarkStart w:id="13791" w:name="_Toc23972210"/>
      <w:r>
        <w:rPr>
          <w:rFonts w:hint="cs"/>
          <w:rtl/>
        </w:rPr>
        <w:t>ביאור השער"י דבחזר ובישל לא גזרו אטו אינו מינו דהשוו מידותיהם דאף פליטתו מותרת לגמרי</w:t>
      </w:r>
      <w:bookmarkEnd w:id="13790"/>
      <w:bookmarkEnd w:id="13791"/>
    </w:p>
    <w:p w:rsidR="0028438A" w:rsidRDefault="0028438A" w:rsidP="009F44AF">
      <w:pPr>
        <w:pStyle w:val="a"/>
        <w:numPr>
          <w:ilvl w:val="0"/>
          <w:numId w:val="17"/>
        </w:numPr>
      </w:pPr>
      <w:bookmarkStart w:id="13792" w:name="_Ref21598737"/>
      <w:r>
        <w:rPr>
          <w:rFonts w:hint="cs"/>
          <w:rtl/>
        </w:rPr>
        <w:t xml:space="preserve">והביא </w:t>
      </w:r>
      <w:r>
        <w:rPr>
          <w:rStyle w:val="af8"/>
          <w:rtl/>
        </w:rPr>
        <w:t>השער"י</w:t>
      </w:r>
      <w:r>
        <w:rPr>
          <w:rFonts w:hint="cs"/>
          <w:rtl/>
        </w:rPr>
        <w:t xml:space="preserve"> את דברי </w:t>
      </w:r>
      <w:r>
        <w:rPr>
          <w:rStyle w:val="af8"/>
          <w:rtl/>
        </w:rPr>
        <w:t>היש"ש</w:t>
      </w:r>
      <w:r>
        <w:rPr>
          <w:rFonts w:hint="cs"/>
          <w:rtl/>
        </w:rPr>
        <w:t xml:space="preserve"> </w:t>
      </w:r>
      <w:r w:rsidRPr="009F44AF">
        <w:rPr>
          <w:rStyle w:val="af6"/>
          <w:rFonts w:eastAsia="Guttman Hodes" w:hint="cs"/>
          <w:rtl/>
        </w:rPr>
        <w:t xml:space="preserve">(בפירקין סי' מ"ז) </w:t>
      </w:r>
      <w:r>
        <w:rPr>
          <w:rFonts w:hint="cs"/>
          <w:rtl/>
        </w:rPr>
        <w:t xml:space="preserve">שהקשה על </w:t>
      </w:r>
      <w:r>
        <w:rPr>
          <w:rStyle w:val="af8"/>
          <w:rtl/>
        </w:rPr>
        <w:t>הרא"ש</w:t>
      </w:r>
      <w:r>
        <w:rPr>
          <w:rFonts w:hint="cs"/>
          <w:rtl/>
        </w:rPr>
        <w:t xml:space="preserve"> דבחזר ובישל עדיין צריך לגזור ולאסור מחמת הגזירה דאטו מין בשאינו מינו, ביאר </w:t>
      </w:r>
      <w:r>
        <w:rPr>
          <w:rStyle w:val="af8"/>
          <w:rtl/>
        </w:rPr>
        <w:t>השער"י</w:t>
      </w:r>
      <w:r>
        <w:rPr>
          <w:rFonts w:hint="cs"/>
          <w:rtl/>
        </w:rPr>
        <w:t xml:space="preserve"> דס"ל </w:t>
      </w:r>
      <w:r>
        <w:rPr>
          <w:rStyle w:val="af8"/>
          <w:rtl/>
        </w:rPr>
        <w:t>להרא"ש</w:t>
      </w:r>
      <w:r>
        <w:rPr>
          <w:rFonts w:hint="cs"/>
          <w:rtl/>
        </w:rPr>
        <w:t xml:space="preserve"> דמ"מ השוו חכמים מידותיהם, כדי שלא יהיו דבריהם כחוכא, ולכן החשיבו רבנן את הביטול ביבש ביבש, כאילו האיסור הוא מותר לגמרי, שהאיסור נהפך להיות היתר, ולכן אף כשחזר ובישלו אינו חוזר ונאסר, דאף פליטת האיסור מותרת.</w:t>
      </w:r>
      <w:bookmarkEnd w:id="13792"/>
    </w:p>
    <w:p w:rsidR="0028438A" w:rsidRDefault="0028438A" w:rsidP="00E669F8">
      <w:pPr>
        <w:pStyle w:val="afd"/>
        <w:rPr>
          <w:rtl/>
        </w:rPr>
      </w:pPr>
      <w:bookmarkStart w:id="13793" w:name="_Toc23984396"/>
      <w:bookmarkStart w:id="13794" w:name="_Toc23972211"/>
      <w:bookmarkStart w:id="13795" w:name="_Toc23960372"/>
      <w:bookmarkStart w:id="13796" w:name="_Toc23945770"/>
      <w:bookmarkStart w:id="13797" w:name="_Toc23887392"/>
      <w:bookmarkStart w:id="13798" w:name="_Toc23850499"/>
      <w:bookmarkStart w:id="13799" w:name="_Toc23799299"/>
      <w:bookmarkStart w:id="13800" w:name="_Toc23712687"/>
      <w:bookmarkStart w:id="13801" w:name="_Toc23372652"/>
      <w:bookmarkStart w:id="13802" w:name="_Toc23224133"/>
      <w:bookmarkStart w:id="13803" w:name="_Toc22638935"/>
      <w:bookmarkStart w:id="13804" w:name="_Toc22250718"/>
      <w:bookmarkEnd w:id="13777"/>
      <w:bookmarkEnd w:id="13778"/>
      <w:bookmarkEnd w:id="13779"/>
      <w:bookmarkEnd w:id="13780"/>
      <w:bookmarkEnd w:id="13781"/>
      <w:bookmarkEnd w:id="13782"/>
      <w:bookmarkEnd w:id="13783"/>
      <w:bookmarkEnd w:id="13784"/>
      <w:bookmarkEnd w:id="13785"/>
      <w:bookmarkEnd w:id="13786"/>
      <w:r>
        <w:rPr>
          <w:rFonts w:hint="cs"/>
          <w:rtl/>
        </w:rPr>
        <w:t>דעת התורי"ד דא' שאכל הכל בחטאת</w:t>
      </w:r>
      <w:bookmarkEnd w:id="13793"/>
      <w:bookmarkEnd w:id="13794"/>
      <w:bookmarkEnd w:id="13795"/>
    </w:p>
    <w:p w:rsidR="0028438A" w:rsidRDefault="0028438A" w:rsidP="00DA6853">
      <w:pPr>
        <w:pStyle w:val="1"/>
        <w:rPr>
          <w:rtl/>
        </w:rPr>
      </w:pPr>
      <w:bookmarkStart w:id="13805" w:name="_Toc23984397"/>
      <w:bookmarkStart w:id="13806" w:name="_Toc23972212"/>
      <w:bookmarkStart w:id="13807" w:name="_Toc23960373"/>
      <w:r>
        <w:rPr>
          <w:rFonts w:hint="cs"/>
          <w:rtl/>
        </w:rPr>
        <w:t>ביאור הקוב"ש בתורי"ד דביטול ברוב הוא מדין הלך אחר הרוב</w:t>
      </w:r>
      <w:bookmarkEnd w:id="13805"/>
      <w:bookmarkEnd w:id="13806"/>
      <w:bookmarkEnd w:id="13807"/>
    </w:p>
    <w:p w:rsidR="0028438A" w:rsidRDefault="0028438A" w:rsidP="0028438A">
      <w:pPr>
        <w:pStyle w:val="a2"/>
        <w:rPr>
          <w:b/>
          <w:bCs/>
          <w:rtl/>
        </w:rPr>
      </w:pPr>
      <w:bookmarkStart w:id="13808" w:name="_Toc23984398"/>
      <w:bookmarkStart w:id="13809" w:name="_Toc23972213"/>
      <w:bookmarkStart w:id="13810" w:name="_Toc23960374"/>
      <w:r>
        <w:rPr>
          <w:rFonts w:hint="cs"/>
          <w:rtl/>
        </w:rPr>
        <w:t>דברי הקוב"ש דמבואר בתורי"ד דאדם אחד שאכל ג' חתיכות אף בזה אחר זה חייב חטאת</w:t>
      </w:r>
      <w:bookmarkEnd w:id="13808"/>
      <w:bookmarkEnd w:id="13809"/>
      <w:bookmarkEnd w:id="13810"/>
    </w:p>
    <w:p w:rsidR="0028438A" w:rsidRDefault="0028438A" w:rsidP="009F44AF">
      <w:pPr>
        <w:pStyle w:val="a"/>
        <w:numPr>
          <w:ilvl w:val="0"/>
          <w:numId w:val="17"/>
        </w:numPr>
        <w:rPr>
          <w:rtl/>
        </w:rPr>
      </w:pPr>
      <w:r>
        <w:rPr>
          <w:rFonts w:hint="cs"/>
          <w:rtl/>
        </w:rPr>
        <w:t xml:space="preserve">הביא </w:t>
      </w:r>
      <w:r>
        <w:rPr>
          <w:rStyle w:val="af8"/>
          <w:rtl/>
        </w:rPr>
        <w:t>הקוב"ש</w:t>
      </w:r>
      <w:r>
        <w:rPr>
          <w:rFonts w:hint="cs"/>
          <w:rtl/>
        </w:rPr>
        <w:t xml:space="preserve"> </w:t>
      </w:r>
      <w:r w:rsidRPr="009F44AF">
        <w:rPr>
          <w:rStyle w:val="af6"/>
          <w:rFonts w:eastAsia="Guttman Hodes" w:hint="cs"/>
          <w:rtl/>
        </w:rPr>
        <w:t>(ב"ב קכ"ז)</w:t>
      </w:r>
      <w:r>
        <w:rPr>
          <w:rFonts w:hint="cs"/>
          <w:rtl/>
        </w:rPr>
        <w:t xml:space="preserve"> את דברי </w:t>
      </w:r>
      <w:r>
        <w:rPr>
          <w:rStyle w:val="af8"/>
          <w:rtl/>
        </w:rPr>
        <w:t>התוס' רי"ד</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Ref23930467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כב</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דכתב דחתיכה של חֵלֶב שהתערבה בב' חתיכות של שומן, מותר לג' בנ"א מותר לאכול את שלושתם, אך אדם אחד אכל את שלושתם חייב חטאת, כיון שודאי שאכל חתיכה של חֵלֶב, וכתב </w:t>
      </w:r>
      <w:r>
        <w:rPr>
          <w:rStyle w:val="af8"/>
          <w:rtl/>
        </w:rPr>
        <w:t>הקוב"ש</w:t>
      </w:r>
      <w:r>
        <w:rPr>
          <w:rFonts w:hint="cs"/>
          <w:rtl/>
        </w:rPr>
        <w:t xml:space="preserve"> דמבואר מדברי </w:t>
      </w:r>
      <w:r>
        <w:rPr>
          <w:rStyle w:val="af8"/>
          <w:rtl/>
        </w:rPr>
        <w:t>התוס' רי"ד</w:t>
      </w:r>
      <w:r>
        <w:rPr>
          <w:rFonts w:hint="cs"/>
          <w:rtl/>
        </w:rPr>
        <w:t xml:space="preserve"> דבאדם אחד שאכל את כל החתיכות אף אם אכלם בזה אחר זה, הוא חייב חטאת, דהא דימה </w:t>
      </w:r>
      <w:r>
        <w:rPr>
          <w:rStyle w:val="af8"/>
          <w:rtl/>
        </w:rPr>
        <w:t>התוס' רי"ד</w:t>
      </w:r>
      <w:r>
        <w:rPr>
          <w:rFonts w:hint="cs"/>
          <w:rtl/>
        </w:rPr>
        <w:t xml:space="preserve"> את החיוב באדם אחד, להיתר בג' בנ"א דמסתמא לא אכלו בבת אחת, וא"כ אם התרו בו שלא יאכל את שלושתם ואכלם בזה אחר זה לוקה.</w:t>
      </w:r>
    </w:p>
    <w:p w:rsidR="0028438A" w:rsidRDefault="0028438A" w:rsidP="0028438A">
      <w:pPr>
        <w:pStyle w:val="a2"/>
        <w:rPr>
          <w:rtl/>
        </w:rPr>
      </w:pPr>
      <w:bookmarkStart w:id="13811" w:name="_Toc23960375"/>
      <w:bookmarkStart w:id="13812" w:name="_Toc23972214"/>
      <w:bookmarkStart w:id="13813" w:name="_Toc23984399"/>
      <w:r>
        <w:rPr>
          <w:rFonts w:hint="cs"/>
          <w:rtl/>
        </w:rPr>
        <w:t>ביאור הקוב"ש בתורי"ד דביטול ברוב ביבש הוא מדין הלך אחר הרוב ובלח הוא דין בפנ"ע</w:t>
      </w:r>
      <w:bookmarkEnd w:id="13811"/>
      <w:bookmarkEnd w:id="13812"/>
      <w:bookmarkEnd w:id="13813"/>
      <w:r>
        <w:rPr>
          <w:rFonts w:hint="cs"/>
          <w:rtl/>
        </w:rPr>
        <w:t xml:space="preserve"> </w:t>
      </w:r>
    </w:p>
    <w:p w:rsidR="0028438A" w:rsidRDefault="0028438A" w:rsidP="009F44AF">
      <w:pPr>
        <w:pStyle w:val="a"/>
        <w:numPr>
          <w:ilvl w:val="0"/>
          <w:numId w:val="17"/>
        </w:numPr>
        <w:rPr>
          <w:rtl/>
        </w:rPr>
      </w:pPr>
      <w:bookmarkStart w:id="13814" w:name="_Ref23985240"/>
      <w:r>
        <w:rPr>
          <w:rFonts w:hint="cs"/>
          <w:rtl/>
        </w:rPr>
        <w:t xml:space="preserve">וביאר </w:t>
      </w:r>
      <w:r>
        <w:rPr>
          <w:rStyle w:val="af8"/>
          <w:rtl/>
        </w:rPr>
        <w:t xml:space="preserve">הקוב"ש </w:t>
      </w:r>
      <w:r>
        <w:rPr>
          <w:rFonts w:hint="cs"/>
          <w:rtl/>
        </w:rPr>
        <w:t xml:space="preserve">דס"ל </w:t>
      </w:r>
      <w:r>
        <w:rPr>
          <w:rStyle w:val="af8"/>
          <w:rtl/>
        </w:rPr>
        <w:t xml:space="preserve">להתוס' רי"ד </w:t>
      </w:r>
      <w:r>
        <w:rPr>
          <w:rFonts w:hint="cs"/>
          <w:rtl/>
        </w:rPr>
        <w:t xml:space="preserve">דאין דין מיוחד של ביטול ברוב בתערובת, אלא דבכל חתיכה מהתערובת יש היתר מדין הלך הלך הרוב, כמו במקום שהאיסור ניכר, ויש ספק על כל חתיכה אם היא האיסור, </w:t>
      </w:r>
      <w:r>
        <w:rPr>
          <w:rStyle w:val="afa"/>
          <w:rtl/>
        </w:rPr>
        <w:t xml:space="preserve">[וכן מבואר בדברי </w:t>
      </w:r>
      <w:r>
        <w:rPr>
          <w:rStyle w:val="affa"/>
          <w:rtl/>
        </w:rPr>
        <w:t>הרי"ד בתשו'</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Ref23661567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נח)</w:t>
      </w:r>
      <w:r>
        <w:rPr>
          <w:rFonts w:hint="cs"/>
          <w:rtl/>
        </w:rPr>
        <w:fldChar w:fldCharType="end"/>
      </w:r>
      <w:r>
        <w:rPr>
          <w:rStyle w:val="afa"/>
          <w:rtl/>
        </w:rPr>
        <w:t>],</w:t>
      </w:r>
      <w:r>
        <w:rPr>
          <w:rFonts w:hint="cs"/>
          <w:rtl/>
        </w:rPr>
        <w:t xml:space="preserve"> אך כתב </w:t>
      </w:r>
      <w:r>
        <w:rPr>
          <w:rStyle w:val="af8"/>
          <w:rtl/>
        </w:rPr>
        <w:t xml:space="preserve">הקוב"ש </w:t>
      </w:r>
      <w:r>
        <w:rPr>
          <w:rFonts w:hint="cs"/>
          <w:rtl/>
        </w:rPr>
        <w:t xml:space="preserve">דרק ביבש ביבש ס"ל </w:t>
      </w:r>
      <w:r>
        <w:rPr>
          <w:rStyle w:val="af8"/>
          <w:rtl/>
        </w:rPr>
        <w:t xml:space="preserve">להתוס' רי"ד </w:t>
      </w:r>
      <w:r>
        <w:rPr>
          <w:rFonts w:hint="cs"/>
          <w:rtl/>
        </w:rPr>
        <w:t xml:space="preserve">דאין דין ביטול ברוב, כיון שכל חתיכה עומדת בפנ"ע, אבל בלח בלח אף </w:t>
      </w:r>
      <w:r>
        <w:rPr>
          <w:rStyle w:val="af8"/>
          <w:rtl/>
        </w:rPr>
        <w:t>להתוס' רי"ד</w:t>
      </w:r>
      <w:r>
        <w:rPr>
          <w:rFonts w:hint="cs"/>
          <w:rtl/>
        </w:rPr>
        <w:t xml:space="preserve"> יש דין ביטול ברוב, דהא כיון שבכל התערובת יש משהו מהאיסור, ולא שייך דין הלך אחר הרוב</w:t>
      </w:r>
      <w:r>
        <w:rPr>
          <w:rStyle w:val="af0"/>
          <w:rtl/>
        </w:rPr>
        <w:footnoteReference w:id="73"/>
      </w:r>
      <w:r>
        <w:rPr>
          <w:rFonts w:hint="cs"/>
          <w:rtl/>
        </w:rPr>
        <w:t xml:space="preserve">. [ועי' במה שהקשה </w:t>
      </w:r>
      <w:r>
        <w:rPr>
          <w:rStyle w:val="af8"/>
          <w:rtl/>
        </w:rPr>
        <w:t>הקוב"ש</w:t>
      </w:r>
      <w:r>
        <w:rPr>
          <w:rFonts w:hint="cs"/>
          <w:rtl/>
        </w:rPr>
        <w:t xml:space="preserve"> </w:t>
      </w:r>
      <w:r w:rsidRPr="009F44AF">
        <w:rPr>
          <w:rStyle w:val="af6"/>
          <w:rFonts w:eastAsia="Guttman Hodes" w:hint="cs"/>
          <w:rtl/>
        </w:rPr>
        <w:t>(</w:t>
      </w:r>
      <w:r w:rsidR="00D3196A" w:rsidRPr="009F44AF">
        <w:rPr>
          <w:rStyle w:val="af6"/>
          <w:rFonts w:eastAsia="Guttman Hodes" w:hint="cs"/>
          <w:rtl/>
        </w:rPr>
        <w:t>הובא בסימן</w:t>
      </w:r>
      <w:r w:rsidRPr="009F44AF">
        <w:rPr>
          <w:rStyle w:val="af6"/>
          <w:rFonts w:eastAsia="Guttman Hodes" w:hint="cs"/>
          <w:rtl/>
        </w:rPr>
        <w:t xml:space="preserve"> ט"ז אות קכ"ד)</w:t>
      </w:r>
      <w:r>
        <w:rPr>
          <w:rFonts w:hint="cs"/>
          <w:rtl/>
        </w:rPr>
        <w:t xml:space="preserve"> על </w:t>
      </w:r>
      <w:r>
        <w:rPr>
          <w:rStyle w:val="af8"/>
          <w:rtl/>
        </w:rPr>
        <w:t>התוס' רי"ד</w:t>
      </w:r>
      <w:r>
        <w:rPr>
          <w:rFonts w:hint="cs"/>
          <w:rtl/>
        </w:rPr>
        <w:t xml:space="preserve"> דא"א לומר דדין ביטול ברוב הוא מדין הלך אחר הרוב, ואינו דין בפנ"ע, וכעי"ז הקשה </w:t>
      </w:r>
      <w:r>
        <w:rPr>
          <w:rStyle w:val="af8"/>
          <w:rtl/>
        </w:rPr>
        <w:t>בשיעורי רבי אלחנן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Ref23983604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קלג</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על </w:t>
      </w:r>
      <w:r>
        <w:rPr>
          <w:rStyle w:val="af8"/>
          <w:rtl/>
        </w:rPr>
        <w:t>הרשב"א</w:t>
      </w:r>
      <w:r>
        <w:rPr>
          <w:rFonts w:hint="cs"/>
          <w:rtl/>
        </w:rPr>
        <w:t>].</w:t>
      </w:r>
      <w:bookmarkEnd w:id="13814"/>
    </w:p>
    <w:p w:rsidR="0028438A" w:rsidRDefault="0028438A" w:rsidP="00E669F8">
      <w:pPr>
        <w:pStyle w:val="afd"/>
        <w:rPr>
          <w:rtl/>
        </w:rPr>
      </w:pPr>
      <w:bookmarkStart w:id="13815" w:name="_Toc23972215"/>
      <w:bookmarkStart w:id="13816" w:name="_Toc23984400"/>
      <w:bookmarkStart w:id="13817" w:name="_Toc23960379"/>
      <w:bookmarkStart w:id="13818" w:name="_Toc23945774"/>
      <w:bookmarkStart w:id="13819" w:name="_Toc23887396"/>
      <w:bookmarkStart w:id="13820" w:name="_Toc23850503"/>
      <w:bookmarkStart w:id="13821" w:name="_Toc23799303"/>
      <w:bookmarkStart w:id="13822" w:name="_Toc23712691"/>
      <w:bookmarkEnd w:id="13796"/>
      <w:bookmarkEnd w:id="13797"/>
      <w:bookmarkEnd w:id="13798"/>
      <w:bookmarkEnd w:id="13799"/>
      <w:bookmarkEnd w:id="13800"/>
      <w:bookmarkEnd w:id="13801"/>
      <w:bookmarkEnd w:id="13802"/>
      <w:bookmarkEnd w:id="13803"/>
      <w:bookmarkEnd w:id="13804"/>
      <w:r>
        <w:rPr>
          <w:rFonts w:hint="cs"/>
          <w:rtl/>
        </w:rPr>
        <w:t>בדעת התוס'</w:t>
      </w:r>
      <w:bookmarkEnd w:id="13815"/>
      <w:r>
        <w:rPr>
          <w:rFonts w:hint="cs"/>
          <w:rtl/>
        </w:rPr>
        <w:t xml:space="preserve"> דאסור לאדם אחד</w:t>
      </w:r>
      <w:bookmarkEnd w:id="13816"/>
    </w:p>
    <w:p w:rsidR="0028438A" w:rsidRDefault="0028438A" w:rsidP="00DA6853">
      <w:pPr>
        <w:pStyle w:val="1"/>
        <w:rPr>
          <w:rtl/>
        </w:rPr>
      </w:pPr>
      <w:bookmarkStart w:id="13823" w:name="_Toc23972216"/>
      <w:bookmarkStart w:id="13824" w:name="_Toc23984401"/>
      <w:r>
        <w:rPr>
          <w:rFonts w:hint="cs"/>
          <w:rtl/>
        </w:rPr>
        <w:t>דברי הקוב"ש</w:t>
      </w:r>
      <w:bookmarkEnd w:id="13817"/>
      <w:bookmarkEnd w:id="13818"/>
      <w:bookmarkEnd w:id="13819"/>
      <w:bookmarkEnd w:id="13820"/>
      <w:bookmarkEnd w:id="13821"/>
      <w:bookmarkEnd w:id="13823"/>
      <w:r>
        <w:rPr>
          <w:rFonts w:hint="cs"/>
          <w:rtl/>
        </w:rPr>
        <w:t xml:space="preserve"> דתוס' אסרו מדרבנן ולא דמי לחזקה דב' שבילין</w:t>
      </w:r>
      <w:bookmarkEnd w:id="13824"/>
    </w:p>
    <w:p w:rsidR="0028438A" w:rsidRDefault="0028438A" w:rsidP="0028438A">
      <w:pPr>
        <w:pStyle w:val="a2"/>
        <w:rPr>
          <w:b/>
          <w:bCs/>
          <w:rtl/>
        </w:rPr>
      </w:pPr>
      <w:bookmarkStart w:id="13825" w:name="_Toc23984402"/>
      <w:bookmarkStart w:id="13826" w:name="_Toc23972217"/>
      <w:bookmarkStart w:id="13827" w:name="_Toc23960380"/>
      <w:bookmarkStart w:id="13828" w:name="_Toc23945775"/>
      <w:bookmarkStart w:id="13829" w:name="_Toc23887397"/>
      <w:bookmarkStart w:id="13830" w:name="_Toc23850504"/>
      <w:bookmarkStart w:id="13831" w:name="_Toc23799304"/>
      <w:r>
        <w:rPr>
          <w:rFonts w:hint="cs"/>
          <w:rtl/>
        </w:rPr>
        <w:t>דברי הקוב"ש דהמשל"מ דימה את דין ביטול ברוב לדין ב' שבילין דהוא מדין חזקה</w:t>
      </w:r>
      <w:bookmarkEnd w:id="13825"/>
      <w:bookmarkEnd w:id="13826"/>
      <w:bookmarkEnd w:id="13827"/>
      <w:bookmarkEnd w:id="13828"/>
      <w:bookmarkEnd w:id="13829"/>
      <w:bookmarkEnd w:id="13830"/>
      <w:bookmarkEnd w:id="13831"/>
    </w:p>
    <w:p w:rsidR="0028438A" w:rsidRDefault="0028438A" w:rsidP="009F44AF">
      <w:pPr>
        <w:pStyle w:val="a"/>
        <w:numPr>
          <w:ilvl w:val="0"/>
          <w:numId w:val="17"/>
        </w:numPr>
        <w:rPr>
          <w:rtl/>
        </w:rPr>
      </w:pPr>
      <w:r>
        <w:rPr>
          <w:rFonts w:hint="cs"/>
          <w:rtl/>
        </w:rPr>
        <w:t xml:space="preserve">הביא </w:t>
      </w:r>
      <w:r>
        <w:rPr>
          <w:rStyle w:val="af8"/>
          <w:rtl/>
        </w:rPr>
        <w:t xml:space="preserve">הקוב"ש </w:t>
      </w:r>
      <w:r w:rsidRPr="009F44AF">
        <w:rPr>
          <w:rStyle w:val="af6"/>
          <w:rFonts w:eastAsia="Guttman Hodes" w:hint="cs"/>
          <w:rtl/>
        </w:rPr>
        <w:t>(ח"ב סי' מ"ה אות ז')</w:t>
      </w:r>
      <w:r>
        <w:rPr>
          <w:rFonts w:hint="cs"/>
          <w:rtl/>
        </w:rPr>
        <w:t xml:space="preserve"> את דברי </w:t>
      </w:r>
      <w:r>
        <w:rPr>
          <w:rStyle w:val="af8"/>
          <w:rtl/>
        </w:rPr>
        <w:t>המשל"מ</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Ref23794512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יז</w:t>
      </w:r>
      <w:r w:rsidR="004D1C5B">
        <w:rPr>
          <w:rStyle w:val="af6"/>
          <w:rFonts w:eastAsia="Guttman Hodes"/>
          <w:rtl/>
        </w:rPr>
        <w:t>)</w:t>
      </w:r>
      <w:r>
        <w:rPr>
          <w:rFonts w:hint="cs"/>
          <w:rtl/>
        </w:rPr>
        <w:fldChar w:fldCharType="end"/>
      </w:r>
      <w:r>
        <w:rPr>
          <w:rFonts w:hint="cs"/>
          <w:rtl/>
        </w:rPr>
        <w:t xml:space="preserve"> דביאר בדברי </w:t>
      </w:r>
      <w:r>
        <w:rPr>
          <w:rStyle w:val="af8"/>
          <w:rtl/>
        </w:rPr>
        <w:t>התוס' בכתובות</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Ref23794512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יז</w:t>
      </w:r>
      <w:r w:rsidR="004D1C5B">
        <w:rPr>
          <w:rStyle w:val="af6"/>
          <w:rFonts w:eastAsia="Guttman Hodes"/>
          <w:rtl/>
        </w:rPr>
        <w:t>)</w:t>
      </w:r>
      <w:r>
        <w:rPr>
          <w:rFonts w:hint="cs"/>
          <w:rtl/>
        </w:rPr>
        <w:fldChar w:fldCharType="end"/>
      </w:r>
      <w:r>
        <w:rPr>
          <w:rFonts w:hint="cs"/>
          <w:rtl/>
        </w:rPr>
        <w:t xml:space="preserve"> דכתבו דשניים שהלכו בב' שבילין ונשאלו בזה אחר זה, דאף שהטהרות מותרות מ"מ אסור לאדם אחד לאוכלם, דא"כ הוא אוכל טומאה בודאי והוא כאדם אחד שהלך בב' השבילין, וכתב </w:t>
      </w:r>
      <w:r>
        <w:rPr>
          <w:rStyle w:val="af8"/>
          <w:rtl/>
        </w:rPr>
        <w:t>המשל"מ</w:t>
      </w:r>
      <w:r>
        <w:rPr>
          <w:rFonts w:hint="cs"/>
          <w:rtl/>
        </w:rPr>
        <w:t xml:space="preserve"> </w:t>
      </w:r>
      <w:r>
        <w:rPr>
          <w:rStyle w:val="af8"/>
          <w:rtl/>
        </w:rPr>
        <w:t xml:space="preserve">דהתוס' בכתובות </w:t>
      </w:r>
      <w:r>
        <w:rPr>
          <w:rFonts w:hint="cs"/>
          <w:rtl/>
        </w:rPr>
        <w:t xml:space="preserve">הם לשיטתם בביטול ברוב, דכתבו </w:t>
      </w:r>
      <w:r>
        <w:rPr>
          <w:rStyle w:val="af8"/>
          <w:rtl/>
        </w:rPr>
        <w:t>התוס' בסוגיין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Ref23708991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Pr>
          <w:rStyle w:val="af8"/>
          <w:rtl/>
        </w:rPr>
        <w:t xml:space="preserve"> </w:t>
      </w:r>
      <w:r>
        <w:rPr>
          <w:rFonts w:hint="cs"/>
          <w:rtl/>
        </w:rPr>
        <w:t xml:space="preserve">דלאדם אחת אסור לאכול את כל התערובת, וכתב </w:t>
      </w:r>
      <w:r>
        <w:rPr>
          <w:rStyle w:val="af8"/>
          <w:rtl/>
        </w:rPr>
        <w:t>הקוב"ש</w:t>
      </w:r>
      <w:r>
        <w:rPr>
          <w:rFonts w:hint="cs"/>
          <w:rtl/>
        </w:rPr>
        <w:t xml:space="preserve"> דמבואר מדברי </w:t>
      </w:r>
      <w:r>
        <w:rPr>
          <w:rStyle w:val="af8"/>
          <w:rtl/>
        </w:rPr>
        <w:t>המשל"מ</w:t>
      </w:r>
      <w:r>
        <w:rPr>
          <w:rFonts w:hint="cs"/>
          <w:rtl/>
        </w:rPr>
        <w:t xml:space="preserve"> דס"ל דדין ביטול ברוב דמי לדין העמד דבר על חזקתו, דבב' שבילין מעמידים כ"א מהם על חזקתו שהוא טהור.</w:t>
      </w:r>
    </w:p>
    <w:p w:rsidR="0028438A" w:rsidRDefault="0028438A" w:rsidP="0028438A">
      <w:pPr>
        <w:pStyle w:val="a2"/>
        <w:rPr>
          <w:rtl/>
        </w:rPr>
      </w:pPr>
      <w:bookmarkStart w:id="13832" w:name="_Toc23984403"/>
      <w:bookmarkStart w:id="13833" w:name="_Toc23972218"/>
      <w:bookmarkStart w:id="13834" w:name="_Toc23960381"/>
      <w:bookmarkStart w:id="13835" w:name="_Toc23945776"/>
      <w:bookmarkStart w:id="13836" w:name="_Toc23887398"/>
      <w:bookmarkStart w:id="13837" w:name="_Toc23850505"/>
      <w:bookmarkStart w:id="13838" w:name="_Toc23799305"/>
      <w:r>
        <w:rPr>
          <w:rFonts w:hint="cs"/>
          <w:rtl/>
        </w:rPr>
        <w:t>קושית הקוב"ש דברוב האיסור נהפך להיתר ואילו בב' שבילין החזקת טהור לא משנה את הדין</w:t>
      </w:r>
      <w:bookmarkEnd w:id="13832"/>
      <w:bookmarkEnd w:id="13833"/>
      <w:bookmarkEnd w:id="13834"/>
      <w:bookmarkEnd w:id="13835"/>
      <w:bookmarkEnd w:id="13836"/>
      <w:bookmarkEnd w:id="13837"/>
      <w:bookmarkEnd w:id="13838"/>
    </w:p>
    <w:p w:rsidR="0028438A" w:rsidRDefault="0028438A" w:rsidP="009F44AF">
      <w:pPr>
        <w:pStyle w:val="a"/>
        <w:numPr>
          <w:ilvl w:val="0"/>
          <w:numId w:val="17"/>
        </w:numPr>
        <w:rPr>
          <w:rtl/>
        </w:rPr>
      </w:pPr>
      <w:bookmarkStart w:id="13839" w:name="_Ref23794398"/>
      <w:bookmarkStart w:id="13840" w:name="_Ref23841697"/>
      <w:r>
        <w:rPr>
          <w:rFonts w:hint="cs"/>
          <w:rtl/>
        </w:rPr>
        <w:t xml:space="preserve">והקשה </w:t>
      </w:r>
      <w:r>
        <w:rPr>
          <w:rStyle w:val="af8"/>
          <w:rtl/>
        </w:rPr>
        <w:t xml:space="preserve">הקוב"ש </w:t>
      </w:r>
      <w:r>
        <w:rPr>
          <w:rFonts w:hint="cs"/>
          <w:rtl/>
        </w:rPr>
        <w:t xml:space="preserve">על </w:t>
      </w:r>
      <w:r>
        <w:rPr>
          <w:rStyle w:val="af8"/>
          <w:rtl/>
        </w:rPr>
        <w:t>המשל"מ</w:t>
      </w:r>
      <w:r>
        <w:rPr>
          <w:rFonts w:hint="cs"/>
          <w:rtl/>
        </w:rPr>
        <w:t xml:space="preserve"> דבביטול ברוב האיסור נהפך להיתר, </w:t>
      </w:r>
      <w:r>
        <w:rPr>
          <w:rStyle w:val="af8"/>
          <w:rtl/>
        </w:rPr>
        <w:t>והתוס'</w:t>
      </w:r>
      <w:r>
        <w:rPr>
          <w:rFonts w:hint="cs"/>
          <w:rtl/>
        </w:rPr>
        <w:t xml:space="preserve"> דאסרו לאדם אחד הוא רק מדרבנן, משא"כ בב' שבילין דההיתר מדין חזקה אינו משנה את הדין, אלא דאנחנו לא צריכים לחשוש על הטהור שהלך בשביל שהשתנה מחזקתו ונטמא.</w:t>
      </w:r>
      <w:bookmarkEnd w:id="13839"/>
      <w:r>
        <w:rPr>
          <w:rFonts w:hint="cs"/>
          <w:rtl/>
        </w:rPr>
        <w:t xml:space="preserve"> [וכעי"ז הקשו </w:t>
      </w:r>
      <w:r>
        <w:rPr>
          <w:rStyle w:val="af8"/>
          <w:rtl/>
        </w:rPr>
        <w:t>הפרמ"ג בשושנת העמקים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Ref23794477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יט</w:t>
      </w:r>
      <w:r w:rsidR="004D1C5B">
        <w:rPr>
          <w:rStyle w:val="af6"/>
          <w:rFonts w:eastAsia="Guttman Hodes"/>
          <w:rtl/>
        </w:rPr>
        <w:t>)</w:t>
      </w:r>
      <w:r>
        <w:rPr>
          <w:rFonts w:hint="cs"/>
          <w:rtl/>
        </w:rPr>
        <w:fldChar w:fldCharType="end"/>
      </w:r>
      <w:r>
        <w:rPr>
          <w:rStyle w:val="af8"/>
          <w:rtl/>
        </w:rPr>
        <w:t xml:space="preserve"> והמלבושי יו"ט</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Ref23794486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w:t>
      </w:r>
      <w:r w:rsidR="004D1C5B">
        <w:rPr>
          <w:rStyle w:val="af6"/>
          <w:rFonts w:eastAsia="Guttman Hodes"/>
          <w:rtl/>
        </w:rPr>
        <w:t>)</w:t>
      </w:r>
      <w:r>
        <w:rPr>
          <w:rFonts w:hint="cs"/>
          <w:rtl/>
        </w:rPr>
        <w:fldChar w:fldCharType="end"/>
      </w:r>
      <w:r>
        <w:rPr>
          <w:rFonts w:hint="cs"/>
          <w:rtl/>
        </w:rPr>
        <w:t>].</w:t>
      </w:r>
      <w:bookmarkEnd w:id="13840"/>
    </w:p>
    <w:p w:rsidR="0028438A" w:rsidRDefault="0028438A" w:rsidP="0028438A">
      <w:pPr>
        <w:pStyle w:val="a2"/>
        <w:rPr>
          <w:rtl/>
        </w:rPr>
      </w:pPr>
      <w:bookmarkStart w:id="13841" w:name="_Toc23984405"/>
      <w:bookmarkStart w:id="13842" w:name="_Toc23972220"/>
      <w:bookmarkStart w:id="13843" w:name="_Toc23960383"/>
      <w:bookmarkStart w:id="13844" w:name="_Toc23945778"/>
      <w:bookmarkStart w:id="13845" w:name="_Toc23887400"/>
      <w:bookmarkStart w:id="13846" w:name="_Toc23850507"/>
      <w:bookmarkStart w:id="13847" w:name="_Toc23799307"/>
      <w:bookmarkStart w:id="13848" w:name="_Toc23712692"/>
      <w:bookmarkEnd w:id="13822"/>
      <w:r>
        <w:rPr>
          <w:rFonts w:hint="cs"/>
          <w:rtl/>
        </w:rPr>
        <w:t>דברי התוס' בכתובות דאסור לאכול טהרות מב' שבילין ודברי המהרש"ל דהוא כחוזר וניעור</w:t>
      </w:r>
      <w:bookmarkEnd w:id="13841"/>
      <w:bookmarkEnd w:id="13842"/>
      <w:bookmarkEnd w:id="13843"/>
      <w:bookmarkEnd w:id="13844"/>
      <w:bookmarkEnd w:id="13845"/>
      <w:bookmarkEnd w:id="13846"/>
      <w:bookmarkEnd w:id="13847"/>
      <w:bookmarkEnd w:id="13848"/>
    </w:p>
    <w:p w:rsidR="0028438A" w:rsidRDefault="0028438A" w:rsidP="009F44AF">
      <w:pPr>
        <w:pStyle w:val="a"/>
        <w:numPr>
          <w:ilvl w:val="0"/>
          <w:numId w:val="17"/>
        </w:numPr>
        <w:rPr>
          <w:rtl/>
        </w:rPr>
      </w:pPr>
      <w:bookmarkStart w:id="13849" w:name="_Ref23787133"/>
      <w:r>
        <w:rPr>
          <w:rStyle w:val="af8"/>
          <w:rtl/>
        </w:rPr>
        <w:lastRenderedPageBreak/>
        <w:t>ובקוה"ע</w:t>
      </w:r>
      <w:r>
        <w:rPr>
          <w:rFonts w:hint="cs"/>
          <w:rtl/>
        </w:rPr>
        <w:t xml:space="preserve"> </w:t>
      </w:r>
      <w:r w:rsidRPr="009F44AF">
        <w:rPr>
          <w:rStyle w:val="af6"/>
          <w:rFonts w:eastAsia="Guttman Hodes" w:hint="cs"/>
          <w:rtl/>
        </w:rPr>
        <w:t>(סי' ע"א ה')</w:t>
      </w:r>
      <w:r>
        <w:rPr>
          <w:rFonts w:hint="cs"/>
          <w:rtl/>
        </w:rPr>
        <w:t xml:space="preserve"> כתב דבדברי </w:t>
      </w:r>
      <w:r>
        <w:rPr>
          <w:rStyle w:val="af8"/>
          <w:rtl/>
        </w:rPr>
        <w:t>התוס' בכתובות</w:t>
      </w:r>
      <w:r>
        <w:rPr>
          <w:rFonts w:hint="cs"/>
          <w:rtl/>
        </w:rPr>
        <w:t xml:space="preserve"> </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Ref23794512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יז</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דכתבו דשניים שהלכו בב' שבילין דאסור לאדם אחד לאכול את הטהרות של שניהם, ביאר </w:t>
      </w:r>
      <w:r>
        <w:rPr>
          <w:rStyle w:val="af8"/>
          <w:rtl/>
        </w:rPr>
        <w:t>המהרש"ל בכתובות</w:t>
      </w:r>
      <w:r>
        <w:rPr>
          <w:rFonts w:hint="cs"/>
          <w:rtl/>
        </w:rPr>
        <w:t xml:space="preserve"> </w:t>
      </w:r>
      <w:r w:rsidRPr="009F44AF">
        <w:rPr>
          <w:rStyle w:val="af6"/>
          <w:rFonts w:eastAsia="Guttman Hodes" w:hint="cs"/>
          <w:rtl/>
        </w:rPr>
        <w:t>(כז. על תוד"ה ואם)</w:t>
      </w:r>
      <w:r>
        <w:rPr>
          <w:rFonts w:hint="cs"/>
          <w:rtl/>
        </w:rPr>
        <w:t xml:space="preserve"> דכוונת </w:t>
      </w:r>
      <w:r>
        <w:rPr>
          <w:rStyle w:val="af8"/>
          <w:rtl/>
        </w:rPr>
        <w:t>התוס' בכתובות</w:t>
      </w:r>
      <w:r>
        <w:rPr>
          <w:rFonts w:hint="cs"/>
          <w:rtl/>
        </w:rPr>
        <w:t xml:space="preserve"> לומר דלא אמרינן דכיון שהטהרות של כ"א מהם הותרו אין הטומאה והאיסור שלהם חוזר וניעור, ולכן אדם אחד שאכל את הטהרות של שניהם אכל ודאי טומאה, והביא </w:t>
      </w:r>
      <w:r>
        <w:rPr>
          <w:rStyle w:val="af8"/>
          <w:rtl/>
        </w:rPr>
        <w:t>המהרש"ל</w:t>
      </w:r>
      <w:r>
        <w:rPr>
          <w:rFonts w:hint="cs"/>
          <w:rtl/>
        </w:rPr>
        <w:t xml:space="preserve"> ראיה מדין ביטול ברוב ביבש ביבש, דאם חזר ובישל את התערובת, האיסור חוזר וניעור.</w:t>
      </w:r>
      <w:bookmarkEnd w:id="13849"/>
    </w:p>
    <w:p w:rsidR="0028438A" w:rsidRDefault="0028438A" w:rsidP="0028438A">
      <w:pPr>
        <w:pStyle w:val="a2"/>
        <w:rPr>
          <w:rtl/>
        </w:rPr>
      </w:pPr>
      <w:bookmarkStart w:id="13850" w:name="_Toc23984406"/>
      <w:r>
        <w:rPr>
          <w:rFonts w:hint="cs"/>
          <w:rtl/>
        </w:rPr>
        <w:t>דברי הקוע"ה דהתוס' בכתובות ס"ל דבביטול ברוב נהפך להיתר ולא דמי לחזקה דהוא הנהגה</w:t>
      </w:r>
      <w:bookmarkEnd w:id="13850"/>
    </w:p>
    <w:p w:rsidR="0028438A" w:rsidRDefault="0028438A" w:rsidP="009F44AF">
      <w:pPr>
        <w:pStyle w:val="a"/>
        <w:numPr>
          <w:ilvl w:val="0"/>
          <w:numId w:val="17"/>
        </w:numPr>
        <w:rPr>
          <w:rtl/>
        </w:rPr>
      </w:pPr>
      <w:bookmarkStart w:id="13851" w:name="_Ref23787841"/>
      <w:r>
        <w:rPr>
          <w:rFonts w:hint="cs"/>
          <w:rtl/>
        </w:rPr>
        <w:t xml:space="preserve">וכתב </w:t>
      </w:r>
      <w:r>
        <w:rPr>
          <w:rStyle w:val="af8"/>
          <w:rtl/>
        </w:rPr>
        <w:t>הקוה"ע דהתוס' בכתובות</w:t>
      </w:r>
      <w:r>
        <w:rPr>
          <w:rFonts w:hint="cs"/>
          <w:rtl/>
        </w:rPr>
        <w:t xml:space="preserve"> לא הביאו ראיה מדין ביטול ברוב, אלא הביאו ראיה מהא דאיתא בגמ' בשבועות </w:t>
      </w:r>
      <w:r w:rsidRPr="009F44AF">
        <w:rPr>
          <w:rStyle w:val="af6"/>
          <w:rFonts w:eastAsia="Guttman Hodes" w:hint="cs"/>
          <w:rtl/>
        </w:rPr>
        <w:t>(יט.)</w:t>
      </w:r>
      <w:r>
        <w:rPr>
          <w:rFonts w:hint="cs"/>
          <w:rtl/>
        </w:rPr>
        <w:t xml:space="preserve"> דאדם אחד שהלך בב' השבילין, דטמא </w:t>
      </w:r>
      <w:r w:rsidR="00441868">
        <w:rPr>
          <w:rFonts w:hint="cs"/>
          <w:rtl/>
        </w:rPr>
        <w:t>ממה נפשך</w:t>
      </w:r>
      <w:r>
        <w:rPr>
          <w:rFonts w:hint="cs"/>
          <w:rtl/>
        </w:rPr>
        <w:t xml:space="preserve">, וביאר </w:t>
      </w:r>
      <w:r>
        <w:rPr>
          <w:rStyle w:val="af8"/>
          <w:rtl/>
        </w:rPr>
        <w:t xml:space="preserve">הקוה"ע </w:t>
      </w:r>
      <w:r>
        <w:rPr>
          <w:rFonts w:hint="cs"/>
          <w:rtl/>
        </w:rPr>
        <w:t>דס"ל ל</w:t>
      </w:r>
      <w:r>
        <w:rPr>
          <w:rStyle w:val="af8"/>
          <w:rtl/>
        </w:rPr>
        <w:t>התוס' בכתובות</w:t>
      </w:r>
      <w:r>
        <w:rPr>
          <w:rFonts w:hint="cs"/>
          <w:rtl/>
        </w:rPr>
        <w:t xml:space="preserve"> דא"א להביא ראיה לדין ב' שבילין מביטול ברוב, כיון דבביטול ברוב האיסור מתהפך להיות היתר, משא"כ בחזקה דב' שבילין דאינה מבררת את המעשה כלל, אלא שיש גזיה"כ להעמיד את כ"א מהם על החזקת טהרה שלו, ולא ס"ל </w:t>
      </w:r>
      <w:r>
        <w:rPr>
          <w:rStyle w:val="af8"/>
          <w:rtl/>
        </w:rPr>
        <w:t xml:space="preserve">להתוס' בכתובות כמהרש"ל </w:t>
      </w:r>
      <w:r>
        <w:rPr>
          <w:rFonts w:hint="cs"/>
          <w:rtl/>
        </w:rPr>
        <w:t>דדין ביטול ברוב הוא כדין חזקה.</w:t>
      </w:r>
      <w:bookmarkEnd w:id="13851"/>
    </w:p>
    <w:p w:rsidR="0028438A" w:rsidRDefault="0028438A" w:rsidP="00DA6853">
      <w:pPr>
        <w:pStyle w:val="1"/>
        <w:rPr>
          <w:rtl/>
        </w:rPr>
      </w:pPr>
      <w:bookmarkStart w:id="13852" w:name="_Toc23984407"/>
      <w:r>
        <w:rPr>
          <w:rFonts w:hint="cs"/>
          <w:rtl/>
        </w:rPr>
        <w:t>ביאור הקוה"ע בתורי"ד דביטול ברוב הוא הנהגה כחזקה</w:t>
      </w:r>
      <w:bookmarkEnd w:id="13852"/>
    </w:p>
    <w:p w:rsidR="0028438A" w:rsidRDefault="0028438A" w:rsidP="0028438A">
      <w:pPr>
        <w:pStyle w:val="a2"/>
        <w:rPr>
          <w:b/>
          <w:bCs/>
          <w:rtl/>
        </w:rPr>
      </w:pPr>
      <w:bookmarkStart w:id="13853" w:name="_Toc23984408"/>
      <w:r>
        <w:rPr>
          <w:rFonts w:hint="cs"/>
          <w:rtl/>
        </w:rPr>
        <w:t>דברי הקוה"ע דהתורי"ד ס"ל כמהרש"ל דביטול ברוב הוא כדין חזקה והאיסור לא נהפך להיתר</w:t>
      </w:r>
      <w:bookmarkEnd w:id="13853"/>
    </w:p>
    <w:p w:rsidR="0028438A" w:rsidRDefault="0028438A" w:rsidP="009F44AF">
      <w:pPr>
        <w:pStyle w:val="a"/>
        <w:numPr>
          <w:ilvl w:val="0"/>
          <w:numId w:val="17"/>
        </w:numPr>
        <w:rPr>
          <w:rtl/>
        </w:rPr>
      </w:pPr>
      <w:bookmarkStart w:id="13854" w:name="_Ref23328479"/>
      <w:bookmarkStart w:id="13855" w:name="_Ref23985277"/>
      <w:r>
        <w:rPr>
          <w:rFonts w:hint="cs"/>
          <w:rtl/>
        </w:rPr>
        <w:t xml:space="preserve">אך כתב </w:t>
      </w:r>
      <w:r>
        <w:rPr>
          <w:rStyle w:val="af8"/>
          <w:rtl/>
        </w:rPr>
        <w:t>הקוה"ע</w:t>
      </w:r>
      <w:r>
        <w:rPr>
          <w:rFonts w:hint="cs"/>
          <w:rtl/>
        </w:rPr>
        <w:t xml:space="preserve"> דבדברי </w:t>
      </w:r>
      <w:r>
        <w:rPr>
          <w:rStyle w:val="af8"/>
          <w:rtl/>
        </w:rPr>
        <w:t>התוס' רי"ד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Ref23841809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כג</w:t>
      </w:r>
      <w:r w:rsidR="004D1C5B">
        <w:rPr>
          <w:rStyle w:val="af6"/>
          <w:rFonts w:eastAsia="Guttman Hodes"/>
          <w:rtl/>
        </w:rPr>
        <w:t>)</w:t>
      </w:r>
      <w:r>
        <w:rPr>
          <w:rFonts w:hint="cs"/>
          <w:rtl/>
        </w:rPr>
        <w:fldChar w:fldCharType="end"/>
      </w:r>
      <w:r>
        <w:rPr>
          <w:rFonts w:hint="cs"/>
          <w:rtl/>
        </w:rPr>
        <w:t xml:space="preserve"> דכתב דאדם אחד שאכל את כל התערובת חייב חטאת, מבואר דלא </w:t>
      </w:r>
      <w:r>
        <w:rPr>
          <w:rStyle w:val="af8"/>
          <w:rtl/>
        </w:rPr>
        <w:t>כהתוס' בכתובות</w:t>
      </w:r>
      <w:r>
        <w:rPr>
          <w:rFonts w:hint="cs"/>
          <w:rtl/>
        </w:rPr>
        <w:t xml:space="preserve"> אלא כדברי </w:t>
      </w:r>
      <w:r>
        <w:rPr>
          <w:rStyle w:val="af8"/>
          <w:rtl/>
        </w:rPr>
        <w:t>המהרש"ל בכתובות</w:t>
      </w:r>
      <w:r>
        <w:rPr>
          <w:rFonts w:hint="cs"/>
          <w:rtl/>
        </w:rPr>
        <w:t xml:space="preserve">, דדין ביטול ברוב, הוא כדין חזקה,  </w:t>
      </w:r>
      <w:r>
        <w:rPr>
          <w:rStyle w:val="afa"/>
          <w:rtl/>
        </w:rPr>
        <w:t>[דבביטול ברוב האיסור אינו מתהפך להיתר, אלא שיש גזיה"כ דהאיסור מתבטל בהיתר, ולכן כשאדם אחד אכל את כל החתיכות יש חיוב חטאת, וה"ה בב' שבילין כשאדם אחד אכל את הטהרות של שניהם]</w:t>
      </w:r>
      <w:bookmarkEnd w:id="13854"/>
      <w:r>
        <w:rPr>
          <w:rStyle w:val="afa"/>
          <w:rtl/>
        </w:rPr>
        <w:t xml:space="preserve">, </w:t>
      </w:r>
      <w:r>
        <w:rPr>
          <w:rFonts w:hint="cs"/>
          <w:rtl/>
        </w:rPr>
        <w:t xml:space="preserve">[ועי' בדברי </w:t>
      </w:r>
      <w:r>
        <w:rPr>
          <w:rStyle w:val="af8"/>
          <w:rtl/>
        </w:rPr>
        <w:t>התוס' רי"ד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Ref23760201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כז</w:t>
      </w:r>
      <w:r w:rsidR="004D1C5B">
        <w:rPr>
          <w:rStyle w:val="af6"/>
          <w:rFonts w:eastAsia="Guttman Hodes"/>
          <w:rtl/>
        </w:rPr>
        <w:t>)</w:t>
      </w:r>
      <w:r>
        <w:rPr>
          <w:rFonts w:hint="cs"/>
          <w:rtl/>
        </w:rPr>
        <w:fldChar w:fldCharType="end"/>
      </w:r>
      <w:r>
        <w:rPr>
          <w:rFonts w:hint="cs"/>
          <w:rtl/>
        </w:rPr>
        <w:t xml:space="preserve"> דכתב דדמי לטהרות דב' שבילין שנגעו זה בזה].</w:t>
      </w:r>
      <w:bookmarkEnd w:id="13855"/>
    </w:p>
    <w:p w:rsidR="0028438A" w:rsidRDefault="0028438A" w:rsidP="00E669F8">
      <w:pPr>
        <w:pStyle w:val="afd"/>
        <w:rPr>
          <w:rFonts w:eastAsiaTheme="minorEastAsia" w:cstheme="minorBidi"/>
          <w:i/>
          <w:iCs/>
          <w:szCs w:val="22"/>
          <w:rtl/>
        </w:rPr>
      </w:pPr>
      <w:bookmarkStart w:id="13856" w:name="_Toc23984414"/>
      <w:r>
        <w:rPr>
          <w:rFonts w:hint="cs"/>
          <w:rtl/>
        </w:rPr>
        <w:t xml:space="preserve">בדעת הרא"ש דהאיסור נהפך להיתר </w:t>
      </w:r>
    </w:p>
    <w:p w:rsidR="0028438A" w:rsidRDefault="0028438A" w:rsidP="00DA6853">
      <w:pPr>
        <w:pStyle w:val="1"/>
        <w:rPr>
          <w:rtl/>
        </w:rPr>
      </w:pPr>
      <w:r>
        <w:rPr>
          <w:rFonts w:hint="cs"/>
          <w:noProof/>
          <w:rtl/>
        </w:rPr>
        <w:t>ביאור הקה"</w:t>
      </w:r>
      <w:r>
        <w:rPr>
          <w:rFonts w:hint="cs"/>
          <w:rtl/>
        </w:rPr>
        <w:t>י ברא"ש דאי יש ודאי איסור א"א להתיר כלל</w:t>
      </w:r>
    </w:p>
    <w:p w:rsidR="0028438A" w:rsidRDefault="0028438A" w:rsidP="0028438A">
      <w:pPr>
        <w:pStyle w:val="a2"/>
        <w:rPr>
          <w:b/>
          <w:bCs/>
          <w:rtl/>
        </w:rPr>
      </w:pPr>
      <w:r>
        <w:rPr>
          <w:rFonts w:hint="cs"/>
          <w:rtl/>
        </w:rPr>
        <w:t>ביאור הקה"י ברא"ש דבודאי איסור א"א להתיר כלל דחלות ההיתר היא על הכל בב"א</w:t>
      </w:r>
      <w:bookmarkEnd w:id="13856"/>
    </w:p>
    <w:p w:rsidR="0028438A" w:rsidRDefault="0028438A" w:rsidP="009F44AF">
      <w:pPr>
        <w:pStyle w:val="a"/>
        <w:numPr>
          <w:ilvl w:val="0"/>
          <w:numId w:val="17"/>
        </w:numPr>
        <w:rPr>
          <w:rtl/>
        </w:rPr>
      </w:pPr>
      <w:r>
        <w:rPr>
          <w:rFonts w:hint="cs"/>
          <w:rtl/>
        </w:rPr>
        <w:t xml:space="preserve">בביאור דברי </w:t>
      </w:r>
      <w:r>
        <w:rPr>
          <w:rStyle w:val="af8"/>
          <w:rtl/>
        </w:rPr>
        <w:t xml:space="preserve">הרא"ש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sidRPr="009F44AF">
        <w:rPr>
          <w:rStyle w:val="af6"/>
          <w:rFonts w:eastAsia="Guttman Hodes" w:hint="cs"/>
          <w:rtl/>
        </w:rPr>
        <w:fldChar w:fldCharType="end"/>
      </w:r>
      <w:r>
        <w:rPr>
          <w:rFonts w:hint="cs"/>
          <w:rtl/>
        </w:rPr>
        <w:t xml:space="preserve"> דהאיסור נהפך להיתר ומותר לאכול את כל התערובת בבת אחת, כתב </w:t>
      </w:r>
      <w:r>
        <w:rPr>
          <w:rStyle w:val="af8"/>
          <w:rtl/>
        </w:rPr>
        <w:t>הקה"י בבכורות</w:t>
      </w:r>
      <w:r>
        <w:rPr>
          <w:rFonts w:hint="cs"/>
          <w:rtl/>
        </w:rPr>
        <w:t xml:space="preserve"> </w:t>
      </w:r>
      <w:r w:rsidRPr="009F44AF">
        <w:rPr>
          <w:rStyle w:val="af6"/>
          <w:rFonts w:eastAsia="Guttman Hodes" w:hint="cs"/>
          <w:rtl/>
        </w:rPr>
        <w:t xml:space="preserve">(סי' כ"ד ד"ה ונראה בביאור) </w:t>
      </w:r>
      <w:r>
        <w:rPr>
          <w:rFonts w:hint="cs"/>
          <w:rtl/>
        </w:rPr>
        <w:t xml:space="preserve">דס"ל </w:t>
      </w:r>
      <w:r>
        <w:rPr>
          <w:rStyle w:val="af8"/>
          <w:rtl/>
        </w:rPr>
        <w:t>להרא"ש</w:t>
      </w:r>
      <w:r>
        <w:rPr>
          <w:rFonts w:hint="cs"/>
          <w:rtl/>
        </w:rPr>
        <w:t xml:space="preserve"> דאי בבת אחת אסור, א"כ לא שייך להתיר אף בזה אחר זה, דכן מצינו דבדין דב' שבילין בבאו לישאל בב"א </w:t>
      </w:r>
      <w:r>
        <w:rPr>
          <w:rFonts w:hint="cs"/>
          <w:rtl/>
        </w:rPr>
        <w:t xml:space="preserve">שניהם אסורים, אבל בב' מקוואות שאחד מהם ודאי פסול, וטבלו בהם שנים דשניהם פסולים, וכתב </w:t>
      </w:r>
      <w:r>
        <w:rPr>
          <w:rStyle w:val="af8"/>
          <w:rtl/>
        </w:rPr>
        <w:t>הקה"י</w:t>
      </w:r>
      <w:r>
        <w:rPr>
          <w:rFonts w:hint="cs"/>
          <w:rtl/>
        </w:rPr>
        <w:t xml:space="preserve"> דמוכח דבכל מקום שאחד ודאי אסור, א"כ שניהם אסורים וא"א להתיר אחד מהם, וס"ל </w:t>
      </w:r>
      <w:r>
        <w:rPr>
          <w:rStyle w:val="af8"/>
          <w:rtl/>
        </w:rPr>
        <w:t>להרא"ש</w:t>
      </w:r>
      <w:r>
        <w:rPr>
          <w:rFonts w:hint="cs"/>
          <w:rtl/>
        </w:rPr>
        <w:t xml:space="preserve"> דא"כ אי נימא דבתערובת אסור בבת אחת, א"כ אסור גם בזה אחר זה, וביאר </w:t>
      </w:r>
      <w:r>
        <w:rPr>
          <w:rStyle w:val="af8"/>
          <w:rtl/>
        </w:rPr>
        <w:t>הקה"י</w:t>
      </w:r>
      <w:r>
        <w:rPr>
          <w:rFonts w:hint="cs"/>
          <w:rtl/>
        </w:rPr>
        <w:t xml:space="preserve"> דחלות ההיתר אינו בשעת האכילה, אלא הוא חל בבת אחת על כל התערובת, וכיון דמדין ביטול ברוב מותר לאכול כ"א בפנ"ע, א"כ ה"ה דמותר לאכול בבת אחת.</w:t>
      </w:r>
    </w:p>
    <w:p w:rsidR="0028438A" w:rsidRDefault="0028438A" w:rsidP="0028438A">
      <w:pPr>
        <w:pStyle w:val="a2"/>
      </w:pPr>
      <w:bookmarkStart w:id="13857" w:name="_Toc23984415"/>
      <w:r>
        <w:rPr>
          <w:rFonts w:hint="cs"/>
          <w:rtl/>
        </w:rPr>
        <w:t>דברי הקה"י דאי יש איסור בב"א האיסור כמאן דאיתיה ואף בזאח"ז אסור ומוכח דהכל מותר</w:t>
      </w:r>
      <w:bookmarkEnd w:id="13857"/>
    </w:p>
    <w:p w:rsidR="0028438A" w:rsidRDefault="0028438A" w:rsidP="009F44AF">
      <w:pPr>
        <w:pStyle w:val="a"/>
        <w:numPr>
          <w:ilvl w:val="0"/>
          <w:numId w:val="17"/>
        </w:numPr>
        <w:rPr>
          <w:rtl/>
        </w:rPr>
      </w:pPr>
      <w:r>
        <w:rPr>
          <w:rFonts w:hint="cs"/>
          <w:rtl/>
        </w:rPr>
        <w:t xml:space="preserve">והוסיף </w:t>
      </w:r>
      <w:r>
        <w:rPr>
          <w:rStyle w:val="af8"/>
          <w:rtl/>
        </w:rPr>
        <w:t>הקה"י</w:t>
      </w:r>
      <w:r>
        <w:rPr>
          <w:rFonts w:hint="cs"/>
          <w:rtl/>
        </w:rPr>
        <w:t xml:space="preserve"> דאי בבת אחת אסור, א"כ חשיב דהאיסור כמאן דאיתיה, וממילא א"א להחיל חלות היתר על התערובת, דהא החלות חלה בבת אחת, ומהא דהתירה התורה ביטול ברוב, מוכח דחלות ההיתר היא שאין איסור כלל והוא כמאן דליתיה.</w:t>
      </w:r>
    </w:p>
    <w:p w:rsidR="0028438A" w:rsidRDefault="0028438A" w:rsidP="00DA6853">
      <w:pPr>
        <w:pStyle w:val="1"/>
        <w:rPr>
          <w:rtl/>
        </w:rPr>
      </w:pPr>
      <w:bookmarkStart w:id="13858" w:name="_Toc23984416"/>
      <w:bookmarkStart w:id="13859" w:name="_Toc23972192"/>
      <w:bookmarkStart w:id="13860" w:name="_Toc23960376"/>
      <w:bookmarkStart w:id="13861" w:name="_Toc23945771"/>
      <w:bookmarkStart w:id="13862" w:name="_Toc23887393"/>
      <w:bookmarkStart w:id="13863" w:name="_Toc23850500"/>
      <w:bookmarkStart w:id="13864" w:name="_Toc23799300"/>
      <w:bookmarkStart w:id="13865" w:name="_Toc23712688"/>
      <w:bookmarkStart w:id="13866" w:name="_Toc23372653"/>
      <w:bookmarkStart w:id="13867" w:name="_Toc23224134"/>
      <w:bookmarkStart w:id="13868" w:name="_Toc22638936"/>
      <w:bookmarkStart w:id="13869" w:name="_Toc22250719"/>
      <w:r>
        <w:rPr>
          <w:rFonts w:hint="cs"/>
          <w:rtl/>
        </w:rPr>
        <w:t>ביאור שיעורי רבי אלחנן בדעת הרא"ש והרשב"א</w:t>
      </w:r>
      <w:bookmarkEnd w:id="13858"/>
      <w:bookmarkEnd w:id="13859"/>
      <w:bookmarkEnd w:id="13860"/>
      <w:bookmarkEnd w:id="13861"/>
      <w:bookmarkEnd w:id="13862"/>
      <w:bookmarkEnd w:id="13863"/>
      <w:bookmarkEnd w:id="13864"/>
      <w:bookmarkEnd w:id="13865"/>
      <w:bookmarkEnd w:id="13866"/>
      <w:bookmarkEnd w:id="13867"/>
      <w:bookmarkEnd w:id="13868"/>
      <w:bookmarkEnd w:id="13869"/>
    </w:p>
    <w:p w:rsidR="0028438A" w:rsidRDefault="0028438A" w:rsidP="0028438A">
      <w:pPr>
        <w:pStyle w:val="a2"/>
        <w:rPr>
          <w:b/>
          <w:bCs/>
          <w:rtl/>
        </w:rPr>
      </w:pPr>
      <w:bookmarkStart w:id="13870" w:name="_Toc23984417"/>
      <w:r>
        <w:rPr>
          <w:rFonts w:hint="cs"/>
          <w:rtl/>
        </w:rPr>
        <w:t>ביאור הגרא"ו ברא"ש דבהלך אחר הרוב סומכים שהספק מותר ובביטול המיעוט בטל לגמרי</w:t>
      </w:r>
      <w:bookmarkEnd w:id="13870"/>
    </w:p>
    <w:p w:rsidR="0028438A" w:rsidRDefault="0028438A" w:rsidP="009F44AF">
      <w:pPr>
        <w:pStyle w:val="a"/>
        <w:numPr>
          <w:ilvl w:val="0"/>
          <w:numId w:val="17"/>
        </w:numPr>
      </w:pPr>
      <w:r>
        <w:rPr>
          <w:rFonts w:hint="cs"/>
          <w:rtl/>
        </w:rPr>
        <w:t xml:space="preserve">בדעת </w:t>
      </w:r>
      <w:r>
        <w:rPr>
          <w:rStyle w:val="af8"/>
          <w:rtl/>
        </w:rPr>
        <w:t>הרא"ש</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Ref23930494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כח</w:t>
      </w:r>
      <w:r w:rsidR="004D1C5B">
        <w:rPr>
          <w:rStyle w:val="af6"/>
          <w:rFonts w:eastAsia="Guttman Hodes"/>
          <w:rtl/>
        </w:rPr>
        <w:t>)</w:t>
      </w:r>
      <w:r w:rsidRPr="009F44AF">
        <w:rPr>
          <w:rStyle w:val="af6"/>
          <w:rFonts w:eastAsia="Guttman Hodes" w:hint="cs"/>
          <w:rtl/>
        </w:rPr>
        <w:fldChar w:fldCharType="end"/>
      </w:r>
      <w:r>
        <w:rPr>
          <w:rFonts w:hint="cs"/>
          <w:rtl/>
        </w:rPr>
        <w:t xml:space="preserve"> דהתיר לאכול את כל התערובת בבת אחת, ביאר </w:t>
      </w:r>
      <w:r>
        <w:rPr>
          <w:rStyle w:val="af8"/>
          <w:rtl/>
        </w:rPr>
        <w:t>בשיעורי רבי אלחנן</w:t>
      </w:r>
      <w:r>
        <w:rPr>
          <w:rFonts w:hint="cs"/>
          <w:rtl/>
        </w:rPr>
        <w:t xml:space="preserve"> </w:t>
      </w:r>
      <w:r w:rsidRPr="009F44AF">
        <w:rPr>
          <w:rStyle w:val="af6"/>
          <w:rFonts w:eastAsia="Guttman Hodes" w:hint="cs"/>
          <w:rtl/>
        </w:rPr>
        <w:t>(חולין סי' י"ח)</w:t>
      </w:r>
      <w:r>
        <w:rPr>
          <w:rFonts w:hint="cs"/>
          <w:rtl/>
        </w:rPr>
        <w:t xml:space="preserve"> דדין ביטול ברוב אינו כדין הלך אחר הרוב, דאנו סומכין על הרוב ותולים שהדבר המסופק הוא מהרוב, דא"כ לא שייך להתיר את כל התערובת בבת אחת, אלא דכל איסור שהתערב ברוב היתר, הוא מתבטל לגמרי לרוב, והדין של האיסור הוא כמו הדין של רוב ההיתר.</w:t>
      </w:r>
    </w:p>
    <w:p w:rsidR="0028438A" w:rsidRDefault="0028438A" w:rsidP="0028438A">
      <w:pPr>
        <w:pStyle w:val="a2"/>
      </w:pPr>
      <w:bookmarkStart w:id="13871" w:name="_Toc23984418"/>
      <w:r>
        <w:rPr>
          <w:rFonts w:hint="cs"/>
          <w:rtl/>
        </w:rPr>
        <w:t>דברי הגרא"ו ברשב"א דמכוח בגמ' א"א לומר דביטול ברוב הוא מדין הלך אחר הרוב</w:t>
      </w:r>
      <w:bookmarkEnd w:id="13871"/>
    </w:p>
    <w:p w:rsidR="0028438A" w:rsidRDefault="0028438A" w:rsidP="009F44AF">
      <w:pPr>
        <w:pStyle w:val="a"/>
        <w:numPr>
          <w:ilvl w:val="0"/>
          <w:numId w:val="17"/>
        </w:numPr>
        <w:rPr>
          <w:rtl/>
        </w:rPr>
      </w:pPr>
      <w:bookmarkStart w:id="13872" w:name="_Ref23983604"/>
      <w:bookmarkStart w:id="13873" w:name="_Ref21685548"/>
      <w:r>
        <w:rPr>
          <w:rFonts w:hint="cs"/>
          <w:rtl/>
        </w:rPr>
        <w:t xml:space="preserve">ובדעת </w:t>
      </w:r>
      <w:r>
        <w:rPr>
          <w:rStyle w:val="af8"/>
          <w:rtl/>
        </w:rPr>
        <w:t>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Ref22035527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עט</w:t>
      </w:r>
      <w:r w:rsidR="004D1C5B">
        <w:rPr>
          <w:rStyle w:val="af6"/>
          <w:rFonts w:eastAsia="Guttman Hodes"/>
          <w:rtl/>
        </w:rPr>
        <w:t>)</w:t>
      </w:r>
      <w:r>
        <w:rPr>
          <w:rFonts w:hint="cs"/>
          <w:rtl/>
        </w:rPr>
        <w:fldChar w:fldCharType="end"/>
      </w:r>
      <w:r>
        <w:rPr>
          <w:rFonts w:hint="cs"/>
          <w:rtl/>
        </w:rPr>
        <w:t xml:space="preserve"> דאסר לאכול את כל התערובת בבת אחת, כתב </w:t>
      </w:r>
      <w:r>
        <w:rPr>
          <w:rStyle w:val="af8"/>
          <w:rtl/>
        </w:rPr>
        <w:t>בשיעורי רבי אלחנן</w:t>
      </w:r>
      <w:r>
        <w:rPr>
          <w:rFonts w:hint="cs"/>
          <w:rtl/>
        </w:rPr>
        <w:t xml:space="preserve"> דא"א לומר דס"ל </w:t>
      </w:r>
      <w:r>
        <w:rPr>
          <w:rStyle w:val="af8"/>
          <w:rtl/>
        </w:rPr>
        <w:t xml:space="preserve">להרשב"א </w:t>
      </w:r>
      <w:r>
        <w:rPr>
          <w:rFonts w:hint="cs"/>
          <w:rtl/>
        </w:rPr>
        <w:t xml:space="preserve">דדין ביטול ברוב הוא מדין הלך אחר הרוב, ולכן מותר רק בזה אחר זה ולא בבת אחת, דהא בדין קרבנות שהתערבו בהם פסולים, מקשה הגמ' בזבחים </w:t>
      </w:r>
      <w:r w:rsidRPr="009F44AF">
        <w:rPr>
          <w:rStyle w:val="af6"/>
          <w:rFonts w:eastAsia="Guttman Hodes" w:hint="cs"/>
          <w:rtl/>
        </w:rPr>
        <w:t>(עב.)</w:t>
      </w:r>
      <w:r>
        <w:rPr>
          <w:rFonts w:hint="cs"/>
          <w:rtl/>
        </w:rPr>
        <w:t xml:space="preserve"> דהפסולים יתבטלו ברוב, ותירצה דבע"ח חשיבי ולא בטלי, ושוב מקשה הגמ' דימשוך אחת מהם ונאמר דכל דפריש מרובא פריש, ומוכח דדין הלך אחר הרוב, אינו אותו הדין דביטול ברוב, וא"כ א"א לומר דס"ל </w:t>
      </w:r>
      <w:r>
        <w:rPr>
          <w:rStyle w:val="af8"/>
          <w:rtl/>
        </w:rPr>
        <w:t>להרשב"א</w:t>
      </w:r>
      <w:r>
        <w:rPr>
          <w:rFonts w:hint="cs"/>
          <w:rtl/>
        </w:rPr>
        <w:t xml:space="preserve"> דבביטול ברוב אסור לאכול את הכל בבת אחת, כיון שהוא מדין הלך אחר הרוב. </w:t>
      </w:r>
      <w:r>
        <w:rPr>
          <w:rStyle w:val="afa"/>
          <w:rtl/>
        </w:rPr>
        <w:t xml:space="preserve">[ועיי"ש עוד במה שהביא </w:t>
      </w:r>
      <w:r>
        <w:rPr>
          <w:rStyle w:val="affa"/>
          <w:rtl/>
        </w:rPr>
        <w:t>בשיעורי רבי אלחנן</w:t>
      </w:r>
      <w:r>
        <w:rPr>
          <w:rStyle w:val="afa"/>
          <w:rtl/>
        </w:rPr>
        <w:t xml:space="preserve"> ראיה מהגמ' בבכורות </w:t>
      </w:r>
      <w:r>
        <w:rPr>
          <w:rStyle w:val="aff6"/>
          <w:rtl/>
        </w:rPr>
        <w:t>(כג:)</w:t>
      </w:r>
      <w:r>
        <w:rPr>
          <w:rStyle w:val="afa"/>
          <w:rtl/>
        </w:rPr>
        <w:t xml:space="preserve"> דדין ביטול ברוב אינו מדין הלך אחר הרוב].</w:t>
      </w:r>
      <w:bookmarkEnd w:id="13872"/>
      <w:bookmarkEnd w:id="13873"/>
    </w:p>
    <w:p w:rsidR="0028438A" w:rsidRDefault="0028438A" w:rsidP="0028438A">
      <w:pPr>
        <w:pStyle w:val="a2"/>
      </w:pPr>
      <w:bookmarkStart w:id="13874" w:name="_Toc23984419"/>
      <w:r>
        <w:rPr>
          <w:rFonts w:hint="cs"/>
          <w:rtl/>
        </w:rPr>
        <w:t>דברי הגרא"ו דמוכח דהרשב"א אסר לאכול את כל התערובת בב"א רק מדרבנן ולא מדאו'</w:t>
      </w:r>
      <w:bookmarkEnd w:id="13874"/>
    </w:p>
    <w:p w:rsidR="0028438A" w:rsidRDefault="0028438A" w:rsidP="009F44AF">
      <w:pPr>
        <w:pStyle w:val="a"/>
        <w:numPr>
          <w:ilvl w:val="0"/>
          <w:numId w:val="17"/>
        </w:numPr>
        <w:rPr>
          <w:rtl/>
        </w:rPr>
      </w:pPr>
      <w:r>
        <w:rPr>
          <w:rFonts w:hint="cs"/>
          <w:rtl/>
        </w:rPr>
        <w:t xml:space="preserve">אלא כתב </w:t>
      </w:r>
      <w:r>
        <w:rPr>
          <w:rStyle w:val="af8"/>
          <w:rtl/>
        </w:rPr>
        <w:t>בשיעור רבי אלחנן</w:t>
      </w:r>
      <w:r>
        <w:rPr>
          <w:rFonts w:hint="cs"/>
          <w:rtl/>
        </w:rPr>
        <w:t xml:space="preserve"> דמוכח דלדעת </w:t>
      </w:r>
      <w:r>
        <w:rPr>
          <w:rStyle w:val="af8"/>
          <w:rtl/>
        </w:rPr>
        <w:t>הרשב"א</w:t>
      </w:r>
      <w:r>
        <w:rPr>
          <w:rFonts w:hint="cs"/>
          <w:rtl/>
        </w:rPr>
        <w:t xml:space="preserve"> הא דאסור לאכול את כל התערובת בבת אחת, הוא איסור דרבנן, וכדביאר </w:t>
      </w:r>
      <w:r>
        <w:rPr>
          <w:rStyle w:val="af8"/>
          <w:rtl/>
        </w:rPr>
        <w:t>הפרמ"ג</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Ref22204912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sidRPr="009F44AF">
        <w:rPr>
          <w:rStyle w:val="af6"/>
          <w:rFonts w:eastAsia="Guttman Hodes" w:hint="cs"/>
          <w:rtl/>
        </w:rPr>
        <w:fldChar w:fldCharType="end"/>
      </w:r>
      <w:r>
        <w:rPr>
          <w:rFonts w:hint="cs"/>
          <w:rtl/>
        </w:rPr>
        <w:t>.</w:t>
      </w:r>
    </w:p>
    <w:p w:rsidR="00BE3E38" w:rsidRDefault="00BE3E38" w:rsidP="0028438A">
      <w:pPr>
        <w:bidi w:val="0"/>
        <w:spacing w:line="240" w:lineRule="auto"/>
        <w:ind w:left="0"/>
        <w:jc w:val="left"/>
        <w:rPr>
          <w:rFonts w:eastAsia="Guttman Hodes" w:cs="Guttman Hodes"/>
          <w:noProof/>
          <w:sz w:val="18"/>
          <w:szCs w:val="18"/>
        </w:rPr>
        <w:sectPr w:rsidR="00BE3E38">
          <w:type w:val="continuous"/>
          <w:pgSz w:w="11906" w:h="16838"/>
          <w:pgMar w:top="720" w:right="720" w:bottom="720" w:left="720" w:header="283" w:footer="283" w:gutter="0"/>
          <w:cols w:num="2" w:space="567"/>
          <w:bidi/>
          <w:rtlGutter/>
        </w:sectPr>
      </w:pPr>
    </w:p>
    <w:p w:rsidR="00BE3E38" w:rsidRDefault="00BE3E38" w:rsidP="0028438A">
      <w:pPr>
        <w:bidi w:val="0"/>
        <w:spacing w:line="240" w:lineRule="auto"/>
        <w:ind w:left="0"/>
        <w:jc w:val="left"/>
        <w:rPr>
          <w:rFonts w:eastAsia="Guttman Hodes" w:cs="Guttman Hodes"/>
          <w:noProof/>
          <w:sz w:val="18"/>
          <w:szCs w:val="18"/>
        </w:rPr>
        <w:sectPr w:rsidR="00BE3E38">
          <w:type w:val="continuous"/>
          <w:pgSz w:w="11906" w:h="16838"/>
          <w:pgMar w:top="720" w:right="720" w:bottom="720" w:left="720" w:header="283" w:footer="283" w:gutter="0"/>
          <w:cols w:num="2" w:space="567"/>
          <w:bidi/>
          <w:rtlGutter/>
        </w:sectPr>
      </w:pPr>
    </w:p>
    <w:p w:rsidR="0028438A" w:rsidRPr="0028438A" w:rsidRDefault="0028438A" w:rsidP="0028438A">
      <w:pPr>
        <w:bidi w:val="0"/>
        <w:spacing w:line="240" w:lineRule="auto"/>
        <w:ind w:left="0"/>
        <w:jc w:val="left"/>
        <w:rPr>
          <w:rFonts w:eastAsia="Guttman Hodes" w:cs="Guttman Hodes"/>
          <w:noProof/>
          <w:sz w:val="18"/>
          <w:szCs w:val="18"/>
          <w:rtl/>
        </w:rPr>
        <w:sectPr w:rsidR="0028438A" w:rsidRPr="0028438A" w:rsidSect="00BE3E38">
          <w:headerReference w:type="default" r:id="rId98"/>
          <w:pgSz w:w="11906" w:h="16838"/>
          <w:pgMar w:top="720" w:right="720" w:bottom="720" w:left="720" w:header="283" w:footer="283" w:gutter="0"/>
          <w:cols w:num="2" w:space="567"/>
          <w:bidi/>
          <w:rtlGutter/>
        </w:sectPr>
      </w:pPr>
    </w:p>
    <w:p w:rsidR="002C72F0" w:rsidRDefault="002C72F0" w:rsidP="005B1A17">
      <w:pPr>
        <w:pStyle w:val="afc"/>
      </w:pPr>
      <w:r>
        <w:rPr>
          <w:rFonts w:hint="cs"/>
          <w:rtl/>
        </w:rPr>
        <w:t>סימן  י"ח</w:t>
      </w:r>
    </w:p>
    <w:p w:rsidR="002C72F0" w:rsidRDefault="002C72F0" w:rsidP="005B1A17">
      <w:pPr>
        <w:pStyle w:val="afc"/>
        <w:rPr>
          <w:rtl/>
        </w:rPr>
      </w:pPr>
      <w:r>
        <w:rPr>
          <w:rFonts w:hint="cs"/>
          <w:rtl/>
        </w:rPr>
        <w:t xml:space="preserve">סוגית ביטול יבש ביבש (ג') </w:t>
      </w:r>
    </w:p>
    <w:p w:rsidR="002C72F0" w:rsidRDefault="002C72F0" w:rsidP="002C72F0">
      <w:pPr>
        <w:pStyle w:val="2"/>
        <w:rPr>
          <w:b/>
          <w:bCs/>
          <w:noProof/>
          <w:sz w:val="22"/>
          <w:szCs w:val="28"/>
          <w:rtl/>
        </w:rPr>
      </w:pPr>
      <w:r w:rsidRPr="002C72F0">
        <w:rPr>
          <w:b/>
          <w:bCs/>
          <w:noProof/>
          <w:sz w:val="22"/>
          <w:szCs w:val="28"/>
          <w:rtl/>
        </w:rPr>
        <w:t>בתערובת יבש ביבש שבישלה יחד במינו ובאינו מינו ובדין נודעה התערובת</w:t>
      </w:r>
    </w:p>
    <w:p w:rsidR="002C72F0" w:rsidRDefault="002C72F0" w:rsidP="002C72F0">
      <w:pPr>
        <w:pStyle w:val="2"/>
        <w:rPr>
          <w:noProof/>
          <w:rtl/>
        </w:rPr>
      </w:pPr>
      <w:r>
        <w:rPr>
          <w:rFonts w:hint="cs"/>
          <w:noProof/>
          <w:rtl/>
        </w:rPr>
        <w:t>מפתח הסוגיא</w:t>
      </w:r>
    </w:p>
    <w:p w:rsidR="002C72F0" w:rsidRDefault="002C72F0" w:rsidP="002C72F0">
      <w:pPr>
        <w:bidi w:val="0"/>
        <w:ind w:left="0"/>
        <w:jc w:val="left"/>
        <w:rPr>
          <w:rFonts w:ascii="Guttman Adii-Light" w:eastAsia="Guttman Adii-Light" w:hAnsi="Guttman Adii-Light" w:cs="Guttman Adii-Light"/>
          <w:sz w:val="24"/>
          <w:szCs w:val="24"/>
          <w:rtl/>
        </w:rPr>
        <w:sectPr w:rsidR="002C72F0" w:rsidSect="002C72F0">
          <w:type w:val="continuous"/>
          <w:pgSz w:w="11906" w:h="16838"/>
          <w:pgMar w:top="720" w:right="720" w:bottom="720" w:left="720" w:header="283" w:footer="283" w:gutter="0"/>
          <w:cols w:space="720"/>
          <w:bidi/>
          <w:rtlGutter/>
        </w:sectPr>
      </w:pPr>
    </w:p>
    <w:p w:rsidR="00F13472" w:rsidRDefault="00F13472" w:rsidP="002C72F0">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p>
    <w:p w:rsidR="00F13472" w:rsidRDefault="00F13472" w:rsidP="008F2D29">
      <w:pPr>
        <w:pStyle w:val="2"/>
        <w:rPr>
          <w:rFonts w:eastAsiaTheme="minorEastAsia" w:cstheme="minorBidi"/>
          <w:i/>
          <w:iCs/>
          <w:sz w:val="22"/>
          <w:szCs w:val="22"/>
          <w:rtl/>
        </w:rPr>
      </w:pPr>
      <w:r>
        <w:rPr>
          <w:rtl/>
        </w:rPr>
        <w:t>דעת הרשב"א דיבש שהתבשל דינו כלח</w:t>
      </w:r>
    </w:p>
    <w:p w:rsidR="00F13472" w:rsidRDefault="00F13472" w:rsidP="00F13472">
      <w:pPr>
        <w:pStyle w:val="aff4"/>
        <w:rPr>
          <w:rFonts w:eastAsiaTheme="minorEastAsia" w:cstheme="minorBidi"/>
          <w:i/>
          <w:iCs/>
          <w:noProof/>
          <w:sz w:val="22"/>
          <w:szCs w:val="22"/>
          <w:rtl/>
        </w:rPr>
      </w:pPr>
      <w:r>
        <w:rPr>
          <w:noProof/>
          <w:rtl/>
        </w:rPr>
        <w:t>דברי הרשב"א דביטול ברוב ביבש הוא רק בכל חתיכה בפנ"ע</w:t>
      </w:r>
    </w:p>
    <w:p w:rsidR="00F13472" w:rsidRPr="00F6039C" w:rsidRDefault="00F13472" w:rsidP="004D1C5B">
      <w:pPr>
        <w:pStyle w:val="TOC9"/>
        <w:numPr>
          <w:ilvl w:val="0"/>
          <w:numId w:val="36"/>
        </w:numPr>
        <w:rPr>
          <w:rtl/>
        </w:rPr>
      </w:pPr>
      <w:r w:rsidRPr="00F6039C">
        <w:rPr>
          <w:rtl/>
        </w:rPr>
        <w:t>דברי הרשב"א דביבש שאוכל כ"א בפנ"ע אומר שאינה האיסור ולכן א"צ שישים ובטל ברוב</w:t>
      </w:r>
    </w:p>
    <w:p w:rsidR="00F13472" w:rsidRDefault="00F13472" w:rsidP="00F13472">
      <w:pPr>
        <w:pStyle w:val="aff4"/>
        <w:rPr>
          <w:rFonts w:eastAsiaTheme="minorEastAsia" w:cstheme="minorBidi"/>
          <w:i/>
          <w:iCs/>
          <w:noProof/>
          <w:sz w:val="22"/>
          <w:szCs w:val="22"/>
          <w:rtl/>
        </w:rPr>
      </w:pPr>
      <w:r>
        <w:rPr>
          <w:noProof/>
          <w:rtl/>
        </w:rPr>
        <w:t>דברי הרשב"א דבחזר ובישל את התערובת יחד אסור דהוי לח</w:t>
      </w:r>
    </w:p>
    <w:p w:rsidR="00F13472" w:rsidRDefault="00F13472" w:rsidP="00F13472">
      <w:pPr>
        <w:pStyle w:val="aff2"/>
        <w:numPr>
          <w:ilvl w:val="0"/>
          <w:numId w:val="3"/>
        </w:numPr>
        <w:rPr>
          <w:rFonts w:eastAsiaTheme="minorEastAsia" w:cstheme="minorBidi"/>
          <w:sz w:val="22"/>
          <w:szCs w:val="22"/>
          <w:rtl/>
        </w:rPr>
      </w:pPr>
      <w:r>
        <w:rPr>
          <w:rtl/>
        </w:rPr>
        <w:t>דברי הרשב"א דמותר לאכול רק כל חתיכה בפנ"ע ואסור לבשל דנעשה כלח דצריך שישים</w:t>
      </w:r>
    </w:p>
    <w:p w:rsidR="00F13472" w:rsidRDefault="00F13472" w:rsidP="00F13472">
      <w:pPr>
        <w:pStyle w:val="aff2"/>
        <w:numPr>
          <w:ilvl w:val="0"/>
          <w:numId w:val="3"/>
        </w:numPr>
        <w:rPr>
          <w:rFonts w:eastAsiaTheme="minorEastAsia" w:cstheme="minorBidi"/>
          <w:sz w:val="22"/>
          <w:szCs w:val="22"/>
          <w:rtl/>
        </w:rPr>
      </w:pPr>
      <w:r>
        <w:rPr>
          <w:rtl/>
        </w:rPr>
        <w:t>ביאור הרשב"א דצריך שישים לבטל את מה שנימוח מהאיסור ונבלע בהיתר דהוא לח ולא יבש</w:t>
      </w:r>
    </w:p>
    <w:p w:rsidR="00F13472" w:rsidRDefault="00F13472" w:rsidP="00F13472">
      <w:pPr>
        <w:pStyle w:val="aff4"/>
        <w:rPr>
          <w:rFonts w:eastAsiaTheme="minorEastAsia" w:cstheme="minorBidi"/>
          <w:i/>
          <w:iCs/>
          <w:noProof/>
          <w:sz w:val="22"/>
          <w:szCs w:val="22"/>
          <w:rtl/>
        </w:rPr>
      </w:pPr>
      <w:r>
        <w:rPr>
          <w:noProof/>
          <w:rtl/>
        </w:rPr>
        <w:t>דברי הרשב"א דבבישל את התערובת בב' קדירות מותר</w:t>
      </w:r>
    </w:p>
    <w:p w:rsidR="00F13472" w:rsidRDefault="00F13472" w:rsidP="00F13472">
      <w:pPr>
        <w:pStyle w:val="aff2"/>
        <w:numPr>
          <w:ilvl w:val="0"/>
          <w:numId w:val="3"/>
        </w:numPr>
        <w:rPr>
          <w:rFonts w:eastAsiaTheme="minorEastAsia" w:cstheme="minorBidi"/>
          <w:sz w:val="22"/>
          <w:szCs w:val="22"/>
          <w:rtl/>
        </w:rPr>
      </w:pPr>
      <w:r>
        <w:rPr>
          <w:rtl/>
        </w:rPr>
        <w:t>דברי הרשב"א דאם לא בישל את הכל יחד מותר דאין ודאי איסור אך אסור לחזור ולערבם יחד</w:t>
      </w:r>
    </w:p>
    <w:p w:rsidR="00F13472" w:rsidRDefault="00F13472" w:rsidP="00F13472">
      <w:pPr>
        <w:pStyle w:val="2"/>
        <w:rPr>
          <w:rFonts w:eastAsiaTheme="minorEastAsia" w:cstheme="minorBidi"/>
          <w:i/>
          <w:iCs/>
          <w:sz w:val="22"/>
          <w:szCs w:val="22"/>
          <w:rtl/>
        </w:rPr>
      </w:pPr>
      <w:r>
        <w:rPr>
          <w:rtl/>
        </w:rPr>
        <w:t>ביאורי האחרונים בדעת הרשב"א</w:t>
      </w:r>
    </w:p>
    <w:p w:rsidR="00F13472" w:rsidRDefault="00F13472" w:rsidP="00F13472">
      <w:pPr>
        <w:pStyle w:val="aff4"/>
        <w:rPr>
          <w:rFonts w:eastAsiaTheme="minorEastAsia" w:cstheme="minorBidi"/>
          <w:i/>
          <w:iCs/>
          <w:noProof/>
          <w:sz w:val="22"/>
          <w:szCs w:val="22"/>
          <w:rtl/>
        </w:rPr>
      </w:pPr>
      <w:r>
        <w:rPr>
          <w:noProof/>
          <w:rtl/>
        </w:rPr>
        <w:t>ביאור הדרכ"מ והגר"א ברשב"א דבבישל אסור כאוכל בב"א</w:t>
      </w:r>
    </w:p>
    <w:p w:rsidR="00F13472" w:rsidRDefault="00F13472" w:rsidP="00F13472">
      <w:pPr>
        <w:pStyle w:val="aff2"/>
        <w:numPr>
          <w:ilvl w:val="0"/>
          <w:numId w:val="3"/>
        </w:numPr>
        <w:rPr>
          <w:rFonts w:eastAsiaTheme="minorEastAsia" w:cstheme="minorBidi"/>
          <w:sz w:val="22"/>
          <w:szCs w:val="22"/>
          <w:rtl/>
        </w:rPr>
      </w:pPr>
      <w:r>
        <w:rPr>
          <w:rtl/>
        </w:rPr>
        <w:t>דברי הדרכ"מ והגר"א דהרשב"א אוסר בבישל דא"א לומר דאוכל היתר וכשיטתו דאוסר בב"א</w:t>
      </w:r>
    </w:p>
    <w:p w:rsidR="00F13472" w:rsidRDefault="00F13472" w:rsidP="00F13472">
      <w:pPr>
        <w:pStyle w:val="aff2"/>
        <w:numPr>
          <w:ilvl w:val="0"/>
          <w:numId w:val="3"/>
        </w:numPr>
        <w:rPr>
          <w:rFonts w:eastAsiaTheme="minorEastAsia" w:cstheme="minorBidi"/>
          <w:sz w:val="22"/>
          <w:szCs w:val="22"/>
          <w:rtl/>
        </w:rPr>
      </w:pPr>
      <w:r>
        <w:rPr>
          <w:rtl/>
        </w:rPr>
        <w:t>ביאור הדרכ"מ ברשב"א דלא נהפך להיתר וההיתר ביבש מספק דיכול לומר שאוכל היתר</w:t>
      </w:r>
    </w:p>
    <w:p w:rsidR="00F13472" w:rsidRDefault="00F13472" w:rsidP="00F13472">
      <w:pPr>
        <w:pStyle w:val="aff2"/>
        <w:numPr>
          <w:ilvl w:val="0"/>
          <w:numId w:val="3"/>
        </w:numPr>
        <w:rPr>
          <w:rFonts w:eastAsiaTheme="minorEastAsia" w:cstheme="minorBidi"/>
          <w:sz w:val="22"/>
          <w:szCs w:val="22"/>
          <w:rtl/>
        </w:rPr>
      </w:pPr>
      <w:r>
        <w:rPr>
          <w:rtl/>
        </w:rPr>
        <w:t>דברי הגר"א דמבואר בתוס' דדבר שהתבטל ביבש וחזר ואפאו נעשה לח ואינו בטל</w:t>
      </w:r>
    </w:p>
    <w:p w:rsidR="00F13472" w:rsidRDefault="00F13472" w:rsidP="00F13472">
      <w:pPr>
        <w:pStyle w:val="aff4"/>
        <w:rPr>
          <w:rFonts w:eastAsiaTheme="minorEastAsia" w:cstheme="minorBidi"/>
          <w:i/>
          <w:iCs/>
          <w:noProof/>
          <w:sz w:val="22"/>
          <w:szCs w:val="22"/>
          <w:rtl/>
        </w:rPr>
      </w:pPr>
      <w:r>
        <w:rPr>
          <w:noProof/>
          <w:rtl/>
        </w:rPr>
        <w:t>ביאור היד יהודה ברשב"א דביבש לא הותר לגמרי ושייך שישים</w:t>
      </w:r>
    </w:p>
    <w:p w:rsidR="00F13472" w:rsidRDefault="00F13472" w:rsidP="00F13472">
      <w:pPr>
        <w:pStyle w:val="aff2"/>
        <w:numPr>
          <w:ilvl w:val="0"/>
          <w:numId w:val="3"/>
        </w:numPr>
        <w:rPr>
          <w:rFonts w:eastAsiaTheme="minorEastAsia" w:cstheme="minorBidi"/>
          <w:sz w:val="22"/>
          <w:szCs w:val="22"/>
          <w:rtl/>
        </w:rPr>
      </w:pPr>
      <w:r>
        <w:rPr>
          <w:rtl/>
        </w:rPr>
        <w:t>ביאור היד יהודה ברשב"א דביבש לא הותר האיסור לגמרי וההיתר רק בכל חתיכה בפנ"ע</w:t>
      </w:r>
    </w:p>
    <w:p w:rsidR="00F13472" w:rsidRDefault="00F13472" w:rsidP="00F13472">
      <w:pPr>
        <w:pStyle w:val="aff2"/>
        <w:numPr>
          <w:ilvl w:val="0"/>
          <w:numId w:val="3"/>
        </w:numPr>
        <w:rPr>
          <w:rFonts w:eastAsiaTheme="minorEastAsia" w:cstheme="minorBidi"/>
          <w:sz w:val="22"/>
          <w:szCs w:val="22"/>
          <w:rtl/>
        </w:rPr>
      </w:pPr>
      <w:r>
        <w:rPr>
          <w:rtl/>
        </w:rPr>
        <w:t>ביאור היד יהודה ברשב"א דשישים הוא אף ביבש ובאוכל ובישל בב"א יש ודאי איסור ולא בטל</w:t>
      </w:r>
    </w:p>
    <w:p w:rsidR="00F13472" w:rsidRDefault="00F13472" w:rsidP="00F13472">
      <w:pPr>
        <w:pStyle w:val="aff4"/>
        <w:rPr>
          <w:rFonts w:eastAsiaTheme="minorEastAsia" w:cstheme="minorBidi"/>
          <w:i/>
          <w:iCs/>
          <w:noProof/>
          <w:sz w:val="22"/>
          <w:szCs w:val="22"/>
          <w:rtl/>
        </w:rPr>
      </w:pPr>
      <w:r>
        <w:rPr>
          <w:noProof/>
          <w:rtl/>
        </w:rPr>
        <w:t>דברי היד יהודה בדעת הרשב"א בהוסיף היתר ביבש וחזר ובישל</w:t>
      </w:r>
    </w:p>
    <w:p w:rsidR="00F13472" w:rsidRDefault="00F13472" w:rsidP="00F13472">
      <w:pPr>
        <w:pStyle w:val="aff2"/>
        <w:numPr>
          <w:ilvl w:val="0"/>
          <w:numId w:val="3"/>
        </w:numPr>
        <w:rPr>
          <w:rFonts w:eastAsiaTheme="minorEastAsia" w:cstheme="minorBidi"/>
          <w:sz w:val="22"/>
          <w:szCs w:val="22"/>
          <w:rtl/>
        </w:rPr>
      </w:pPr>
      <w:r>
        <w:rPr>
          <w:rtl/>
        </w:rPr>
        <w:t>דברי היד יהודה דלדעת הרשב"א אין היתר גמור ביבש ואסור להרבות איסור ולבשלו יחד</w:t>
      </w:r>
    </w:p>
    <w:p w:rsidR="00F13472" w:rsidRDefault="00F13472" w:rsidP="00F13472">
      <w:pPr>
        <w:pStyle w:val="aff2"/>
        <w:numPr>
          <w:ilvl w:val="0"/>
          <w:numId w:val="3"/>
        </w:numPr>
        <w:rPr>
          <w:rFonts w:eastAsiaTheme="minorEastAsia" w:cstheme="minorBidi"/>
          <w:sz w:val="22"/>
          <w:szCs w:val="22"/>
          <w:rtl/>
        </w:rPr>
      </w:pPr>
      <w:r>
        <w:rPr>
          <w:rtl/>
        </w:rPr>
        <w:t>דברי היש"ש דהר"ן התיר להוסיף ביבש יותר משישים ולבשל לדעת הרשב"א דאסר בב"א</w:t>
      </w:r>
    </w:p>
    <w:p w:rsidR="00F13472" w:rsidRDefault="00F13472" w:rsidP="00F13472">
      <w:pPr>
        <w:pStyle w:val="2"/>
        <w:rPr>
          <w:rFonts w:eastAsiaTheme="minorEastAsia" w:cstheme="minorBidi"/>
          <w:i/>
          <w:iCs/>
          <w:sz w:val="22"/>
          <w:szCs w:val="22"/>
          <w:rtl/>
        </w:rPr>
      </w:pPr>
      <w:r>
        <w:rPr>
          <w:rtl/>
        </w:rPr>
        <w:t>ביאור הרשב"א בתשו' באיסור בבישל</w:t>
      </w:r>
    </w:p>
    <w:p w:rsidR="00F13472" w:rsidRDefault="00F13472" w:rsidP="00F13472">
      <w:pPr>
        <w:pStyle w:val="aff4"/>
        <w:rPr>
          <w:rFonts w:eastAsiaTheme="minorEastAsia" w:cstheme="minorBidi"/>
          <w:i/>
          <w:iCs/>
          <w:noProof/>
          <w:sz w:val="22"/>
          <w:szCs w:val="22"/>
          <w:rtl/>
        </w:rPr>
      </w:pPr>
      <w:r>
        <w:rPr>
          <w:noProof/>
          <w:rtl/>
        </w:rPr>
        <w:t>דברי השואל בתשו' הרשב"א דהאיסור הותר לגמרי</w:t>
      </w:r>
    </w:p>
    <w:p w:rsidR="00F13472" w:rsidRDefault="00F13472" w:rsidP="00F13472">
      <w:pPr>
        <w:pStyle w:val="aff2"/>
        <w:numPr>
          <w:ilvl w:val="0"/>
          <w:numId w:val="3"/>
        </w:numPr>
        <w:rPr>
          <w:rFonts w:eastAsiaTheme="minorEastAsia" w:cstheme="minorBidi"/>
          <w:sz w:val="22"/>
          <w:szCs w:val="22"/>
          <w:rtl/>
        </w:rPr>
      </w:pPr>
      <w:r>
        <w:rPr>
          <w:rtl/>
        </w:rPr>
        <w:t>דברי השואל בתשו' הרשב"א דמוכח בגמ' בזבחים דברוב האיסור מתבטל לגמרי ונעשה מותר</w:t>
      </w:r>
    </w:p>
    <w:p w:rsidR="00F13472" w:rsidRDefault="00F13472" w:rsidP="00F13472">
      <w:pPr>
        <w:pStyle w:val="aff4"/>
        <w:rPr>
          <w:rFonts w:eastAsiaTheme="minorEastAsia" w:cstheme="minorBidi"/>
          <w:i/>
          <w:iCs/>
          <w:noProof/>
          <w:sz w:val="22"/>
          <w:szCs w:val="22"/>
          <w:rtl/>
        </w:rPr>
      </w:pPr>
      <w:r>
        <w:rPr>
          <w:noProof/>
          <w:rtl/>
        </w:rPr>
        <w:t>דברי הרשב"א בתשו' דבבישל הרוטב אוסר את כל התערובת</w:t>
      </w:r>
    </w:p>
    <w:p w:rsidR="00F13472" w:rsidRDefault="00F13472" w:rsidP="00F13472">
      <w:pPr>
        <w:pStyle w:val="aff2"/>
        <w:numPr>
          <w:ilvl w:val="0"/>
          <w:numId w:val="3"/>
        </w:numPr>
        <w:rPr>
          <w:rFonts w:eastAsiaTheme="minorEastAsia" w:cstheme="minorBidi"/>
          <w:sz w:val="22"/>
          <w:szCs w:val="22"/>
          <w:rtl/>
        </w:rPr>
      </w:pPr>
      <w:r>
        <w:rPr>
          <w:rtl/>
        </w:rPr>
        <w:t>דחיית הרשב"א דהביטול מהני רק ביבש אבל כשבישל הרוטב נבלע בחתיכות ואוסר הכל</w:t>
      </w:r>
    </w:p>
    <w:p w:rsidR="00F13472" w:rsidRDefault="00F13472" w:rsidP="00F13472">
      <w:pPr>
        <w:pStyle w:val="aff2"/>
        <w:numPr>
          <w:ilvl w:val="0"/>
          <w:numId w:val="3"/>
        </w:numPr>
        <w:rPr>
          <w:rFonts w:eastAsiaTheme="minorEastAsia" w:cstheme="minorBidi"/>
          <w:sz w:val="22"/>
          <w:szCs w:val="22"/>
          <w:rtl/>
        </w:rPr>
      </w:pPr>
      <w:r>
        <w:rPr>
          <w:rtl/>
        </w:rPr>
        <w:t>דברי הרשב"א דמהא דלא מקשה הגמ' אמאי הרוטב בנו"ט מוכח דיבש שהתבשל הרוטב אסור</w:t>
      </w:r>
    </w:p>
    <w:p w:rsidR="00F13472" w:rsidRDefault="00F13472" w:rsidP="00F13472">
      <w:pPr>
        <w:pStyle w:val="aff2"/>
        <w:numPr>
          <w:ilvl w:val="0"/>
          <w:numId w:val="3"/>
        </w:numPr>
        <w:rPr>
          <w:rFonts w:eastAsiaTheme="minorEastAsia" w:cstheme="minorBidi"/>
          <w:sz w:val="22"/>
          <w:szCs w:val="22"/>
          <w:rtl/>
        </w:rPr>
      </w:pPr>
      <w:r>
        <w:rPr>
          <w:rtl/>
        </w:rPr>
        <w:t>הוכחת הרשב"א בתשו' דאיסור שהותר אסור לבשלו מהא דכחל עצמו אסור אף שהחלב בטל</w:t>
      </w:r>
    </w:p>
    <w:p w:rsidR="00F13472" w:rsidRDefault="00F13472" w:rsidP="00F13472">
      <w:pPr>
        <w:pStyle w:val="aff2"/>
        <w:numPr>
          <w:ilvl w:val="0"/>
          <w:numId w:val="3"/>
        </w:numPr>
        <w:rPr>
          <w:rFonts w:eastAsiaTheme="minorEastAsia" w:cstheme="minorBidi"/>
          <w:sz w:val="22"/>
          <w:szCs w:val="22"/>
          <w:rtl/>
        </w:rPr>
      </w:pPr>
      <w:r>
        <w:rPr>
          <w:rtl/>
        </w:rPr>
        <w:t>הוכחת הרשב"א בתשו' מתרומה דאיסור שבטל ופחת שיעורו אסור דאזלינן בתר סופו שאינו בטל</w:t>
      </w:r>
    </w:p>
    <w:p w:rsidR="00F13472" w:rsidRDefault="00F13472" w:rsidP="00F13472">
      <w:pPr>
        <w:pStyle w:val="aff2"/>
        <w:numPr>
          <w:ilvl w:val="0"/>
          <w:numId w:val="3"/>
        </w:numPr>
        <w:rPr>
          <w:rFonts w:eastAsiaTheme="minorEastAsia" w:cstheme="minorBidi"/>
          <w:sz w:val="22"/>
          <w:szCs w:val="22"/>
          <w:rtl/>
        </w:rPr>
      </w:pPr>
      <w:r>
        <w:rPr>
          <w:rtl/>
        </w:rPr>
        <w:t>קושית החזו"א על הרשב"א דטעם האיסור אסר את החתיכות עצמם ולא רק הרוטב הבלוע אסור</w:t>
      </w:r>
    </w:p>
    <w:p w:rsidR="00F13472" w:rsidRDefault="00F13472" w:rsidP="00F13472">
      <w:pPr>
        <w:pStyle w:val="aff4"/>
        <w:rPr>
          <w:rFonts w:eastAsiaTheme="minorEastAsia" w:cstheme="minorBidi"/>
          <w:i/>
          <w:iCs/>
          <w:noProof/>
          <w:sz w:val="22"/>
          <w:szCs w:val="22"/>
          <w:rtl/>
        </w:rPr>
      </w:pPr>
      <w:r>
        <w:rPr>
          <w:noProof/>
          <w:rtl/>
        </w:rPr>
        <w:t>ביאור היד יהודה בדברי הרשב"א בתשו' דבבישל חוזר וניעור</w:t>
      </w:r>
    </w:p>
    <w:p w:rsidR="00F13472" w:rsidRDefault="00F13472" w:rsidP="00F13472">
      <w:pPr>
        <w:pStyle w:val="aff2"/>
        <w:numPr>
          <w:ilvl w:val="0"/>
          <w:numId w:val="3"/>
        </w:numPr>
        <w:rPr>
          <w:rFonts w:eastAsiaTheme="minorEastAsia" w:cstheme="minorBidi"/>
          <w:sz w:val="22"/>
          <w:szCs w:val="22"/>
          <w:rtl/>
        </w:rPr>
      </w:pPr>
      <w:r>
        <w:rPr>
          <w:rtl/>
        </w:rPr>
        <w:t>דברי היד יהודה דברשב"א בתשו' מבואר דאף שהאיסור הותר בחזר ובישל האיסור חוזר וניעור</w:t>
      </w:r>
    </w:p>
    <w:p w:rsidR="00F13472" w:rsidRDefault="00F13472" w:rsidP="00F13472">
      <w:pPr>
        <w:pStyle w:val="aff2"/>
        <w:numPr>
          <w:ilvl w:val="0"/>
          <w:numId w:val="3"/>
        </w:numPr>
        <w:rPr>
          <w:rFonts w:eastAsiaTheme="minorEastAsia" w:cstheme="minorBidi"/>
          <w:sz w:val="22"/>
          <w:szCs w:val="22"/>
          <w:rtl/>
        </w:rPr>
      </w:pPr>
      <w:r>
        <w:rPr>
          <w:rtl/>
        </w:rPr>
        <w:t>קושית היד יהודה על הרשב"א בתשו' דלהרשב"א האיסור לא הותר ואינו היתר שחוזר וניעור</w:t>
      </w:r>
    </w:p>
    <w:p w:rsidR="00F13472" w:rsidRDefault="00F13472" w:rsidP="00F13472">
      <w:pPr>
        <w:pStyle w:val="aff2"/>
        <w:numPr>
          <w:ilvl w:val="0"/>
          <w:numId w:val="3"/>
        </w:numPr>
        <w:rPr>
          <w:rFonts w:eastAsiaTheme="minorEastAsia" w:cstheme="minorBidi"/>
          <w:sz w:val="22"/>
          <w:szCs w:val="22"/>
          <w:rtl/>
        </w:rPr>
      </w:pPr>
      <w:r>
        <w:rPr>
          <w:rtl/>
        </w:rPr>
        <w:t>דברי היד יהודה ברשב"א בתשו' דאף להשואל שהותר האיסור בחזר ובישל הוא חוזר וניעור</w:t>
      </w:r>
    </w:p>
    <w:p w:rsidR="00F13472" w:rsidRDefault="00F13472" w:rsidP="00F13472">
      <w:pPr>
        <w:pStyle w:val="aff2"/>
        <w:numPr>
          <w:ilvl w:val="0"/>
          <w:numId w:val="3"/>
        </w:numPr>
        <w:rPr>
          <w:rFonts w:eastAsiaTheme="minorEastAsia" w:cstheme="minorBidi"/>
          <w:sz w:val="22"/>
          <w:szCs w:val="22"/>
          <w:rtl/>
        </w:rPr>
      </w:pPr>
      <w:r>
        <w:rPr>
          <w:rtl/>
        </w:rPr>
        <w:t>מסקנת היד יהודה דאף להרשב"א עיקר האיסור בחזר ובישל הוא כיון שנעשה לח וחוזר וניעור</w:t>
      </w:r>
    </w:p>
    <w:p w:rsidR="00F13472" w:rsidRDefault="00F13472" w:rsidP="00F13472">
      <w:pPr>
        <w:pStyle w:val="2"/>
        <w:rPr>
          <w:rFonts w:eastAsiaTheme="minorEastAsia" w:cstheme="minorBidi"/>
          <w:i/>
          <w:iCs/>
          <w:sz w:val="22"/>
          <w:szCs w:val="22"/>
          <w:rtl/>
        </w:rPr>
      </w:pPr>
      <w:r>
        <w:rPr>
          <w:rtl/>
        </w:rPr>
        <w:t>דעת הרא"ש דנהפך להיתר ומותר בבישל</w:t>
      </w:r>
    </w:p>
    <w:p w:rsidR="00F13472" w:rsidRDefault="00F13472" w:rsidP="00F13472">
      <w:pPr>
        <w:pStyle w:val="aff4"/>
        <w:rPr>
          <w:rFonts w:eastAsiaTheme="minorEastAsia" w:cstheme="minorBidi"/>
          <w:i/>
          <w:iCs/>
          <w:noProof/>
          <w:sz w:val="22"/>
          <w:szCs w:val="22"/>
          <w:rtl/>
        </w:rPr>
      </w:pPr>
      <w:r>
        <w:rPr>
          <w:noProof/>
          <w:rtl/>
        </w:rPr>
        <w:t>דברי הרא"ש דהאיסור נהפך להיתר ומותר לאכול בב"א</w:t>
      </w:r>
    </w:p>
    <w:p w:rsidR="00F13472" w:rsidRDefault="00F13472" w:rsidP="00F13472">
      <w:pPr>
        <w:pStyle w:val="aff2"/>
        <w:numPr>
          <w:ilvl w:val="0"/>
          <w:numId w:val="3"/>
        </w:numPr>
        <w:rPr>
          <w:rFonts w:eastAsiaTheme="minorEastAsia" w:cstheme="minorBidi"/>
          <w:sz w:val="22"/>
          <w:szCs w:val="22"/>
          <w:rtl/>
        </w:rPr>
      </w:pPr>
      <w:r>
        <w:rPr>
          <w:rtl/>
        </w:rPr>
        <w:t>דברי הרא"ש דבביטול ברוב האיסור נהפך להיתר ולכן מותר לאכול את כל התערובת בב"א</w:t>
      </w:r>
    </w:p>
    <w:p w:rsidR="00F13472" w:rsidRDefault="00F13472" w:rsidP="00F13472">
      <w:pPr>
        <w:pStyle w:val="aff4"/>
        <w:rPr>
          <w:rFonts w:eastAsiaTheme="minorEastAsia" w:cstheme="minorBidi"/>
          <w:i/>
          <w:iCs/>
          <w:noProof/>
          <w:sz w:val="22"/>
          <w:szCs w:val="22"/>
          <w:rtl/>
        </w:rPr>
      </w:pPr>
      <w:r>
        <w:rPr>
          <w:noProof/>
          <w:rtl/>
        </w:rPr>
        <w:t>דברי הרא"ש דתערובת יבש שהותרה וחזר ובישלה יחד מותר</w:t>
      </w:r>
    </w:p>
    <w:p w:rsidR="00F13472" w:rsidRDefault="00F13472" w:rsidP="00F13472">
      <w:pPr>
        <w:pStyle w:val="aff2"/>
        <w:numPr>
          <w:ilvl w:val="0"/>
          <w:numId w:val="3"/>
        </w:numPr>
        <w:rPr>
          <w:rFonts w:eastAsiaTheme="minorEastAsia" w:cstheme="minorBidi"/>
          <w:sz w:val="22"/>
          <w:szCs w:val="22"/>
          <w:rtl/>
        </w:rPr>
      </w:pPr>
      <w:r>
        <w:rPr>
          <w:rtl/>
        </w:rPr>
        <w:t>דברי הרא"ש דאחר שהותרה התערובת אם חזר ובישלה מותר אף שהאיסור נתן טעם בהיתר</w:t>
      </w:r>
    </w:p>
    <w:p w:rsidR="00F13472" w:rsidRDefault="00F13472" w:rsidP="00F13472">
      <w:pPr>
        <w:pStyle w:val="aff2"/>
        <w:numPr>
          <w:ilvl w:val="0"/>
          <w:numId w:val="3"/>
        </w:numPr>
        <w:rPr>
          <w:rFonts w:eastAsiaTheme="minorEastAsia" w:cstheme="minorBidi"/>
          <w:sz w:val="22"/>
          <w:szCs w:val="22"/>
          <w:rtl/>
        </w:rPr>
      </w:pPr>
      <w:r>
        <w:rPr>
          <w:rtl/>
        </w:rPr>
        <w:t>הוכחת הרא"ש דלא מצינו דבר שהוא מותר וצירו אסור ואדרבה בדג טמא מצינו להיפך</w:t>
      </w:r>
    </w:p>
    <w:p w:rsidR="00F13472" w:rsidRDefault="00F13472" w:rsidP="00F13472">
      <w:pPr>
        <w:pStyle w:val="aff2"/>
        <w:numPr>
          <w:ilvl w:val="0"/>
          <w:numId w:val="3"/>
        </w:numPr>
        <w:rPr>
          <w:rFonts w:eastAsiaTheme="minorEastAsia" w:cstheme="minorBidi"/>
          <w:sz w:val="22"/>
          <w:szCs w:val="22"/>
          <w:rtl/>
        </w:rPr>
      </w:pPr>
      <w:r>
        <w:rPr>
          <w:rtl/>
        </w:rPr>
        <w:t>ראיית הרא"ש דדבר שהותר בכל דפריש אינו נאסר כשנעשה קבוע וה"ה ביבש שנעשה לח</w:t>
      </w:r>
    </w:p>
    <w:p w:rsidR="00F13472" w:rsidRDefault="00F13472" w:rsidP="00F13472">
      <w:pPr>
        <w:pStyle w:val="aff4"/>
        <w:rPr>
          <w:rFonts w:eastAsiaTheme="minorEastAsia" w:cstheme="minorBidi"/>
          <w:i/>
          <w:iCs/>
          <w:noProof/>
          <w:sz w:val="22"/>
          <w:szCs w:val="22"/>
          <w:rtl/>
        </w:rPr>
      </w:pPr>
      <w:r>
        <w:rPr>
          <w:noProof/>
          <w:rtl/>
        </w:rPr>
        <w:t>דברי הרא"ש דבמינו בלח צריך שישים רק בלא נודעה התערובת</w:t>
      </w:r>
    </w:p>
    <w:p w:rsidR="00F13472" w:rsidRDefault="00F13472" w:rsidP="00F13472">
      <w:pPr>
        <w:pStyle w:val="aff2"/>
        <w:numPr>
          <w:ilvl w:val="0"/>
          <w:numId w:val="3"/>
        </w:numPr>
        <w:rPr>
          <w:rFonts w:eastAsiaTheme="minorEastAsia" w:cstheme="minorBidi"/>
          <w:sz w:val="22"/>
          <w:szCs w:val="22"/>
          <w:rtl/>
        </w:rPr>
      </w:pPr>
      <w:r>
        <w:rPr>
          <w:rtl/>
        </w:rPr>
        <w:t>דברי הרא"ש דהא דבמין במינו צריך שישים בלח היינו לפני שנודעה התערובת אטו אינו מינו</w:t>
      </w:r>
    </w:p>
    <w:p w:rsidR="00F13472" w:rsidRDefault="00F13472" w:rsidP="00F13472">
      <w:pPr>
        <w:pStyle w:val="aff2"/>
        <w:numPr>
          <w:ilvl w:val="0"/>
          <w:numId w:val="3"/>
        </w:numPr>
        <w:rPr>
          <w:rFonts w:eastAsiaTheme="minorEastAsia" w:cstheme="minorBidi"/>
          <w:sz w:val="22"/>
          <w:szCs w:val="22"/>
          <w:rtl/>
        </w:rPr>
      </w:pPr>
      <w:r>
        <w:rPr>
          <w:rtl/>
        </w:rPr>
        <w:t>דברי הרא"ש דבנודעה התערובת ביבש נהפך האיסור להיתר וא"א לומר דכשיצא טעם יאסור</w:t>
      </w:r>
    </w:p>
    <w:p w:rsidR="00F13472" w:rsidRDefault="00F13472" w:rsidP="00F13472">
      <w:pPr>
        <w:pStyle w:val="aff4"/>
        <w:rPr>
          <w:rFonts w:eastAsiaTheme="minorEastAsia" w:cstheme="minorBidi"/>
          <w:i/>
          <w:iCs/>
          <w:noProof/>
          <w:sz w:val="22"/>
          <w:szCs w:val="22"/>
          <w:rtl/>
        </w:rPr>
      </w:pPr>
      <w:r>
        <w:rPr>
          <w:noProof/>
          <w:rtl/>
        </w:rPr>
        <w:t>קושית המהר"ם מרוטנבורג דבסוגיין משמע דהרוטב אסור</w:t>
      </w:r>
    </w:p>
    <w:p w:rsidR="00F13472" w:rsidRDefault="00F13472" w:rsidP="00F13472">
      <w:pPr>
        <w:pStyle w:val="aff2"/>
        <w:numPr>
          <w:ilvl w:val="0"/>
          <w:numId w:val="3"/>
        </w:numPr>
        <w:rPr>
          <w:rFonts w:eastAsiaTheme="minorEastAsia" w:cstheme="minorBidi"/>
          <w:sz w:val="22"/>
          <w:szCs w:val="22"/>
          <w:rtl/>
        </w:rPr>
      </w:pPr>
      <w:r>
        <w:rPr>
          <w:rtl/>
        </w:rPr>
        <w:t>קושית המהר"ם מרוטנבורג דבקושית הגמ' משמע דיבש שבטל ברוב וחזר ובישל הרוטב אסור</w:t>
      </w:r>
    </w:p>
    <w:p w:rsidR="00F13472" w:rsidRDefault="00F13472" w:rsidP="00F13472">
      <w:pPr>
        <w:pStyle w:val="aff2"/>
        <w:numPr>
          <w:ilvl w:val="0"/>
          <w:numId w:val="3"/>
        </w:numPr>
        <w:rPr>
          <w:rFonts w:eastAsiaTheme="minorEastAsia" w:cstheme="minorBidi"/>
          <w:sz w:val="22"/>
          <w:szCs w:val="22"/>
          <w:rtl/>
        </w:rPr>
      </w:pPr>
      <w:r>
        <w:rPr>
          <w:rtl/>
        </w:rPr>
        <w:t>התי' הא' במהר"ם מרוטבורג ובתורא"ש דקושית הגמ' דאף הרוטב מותר דהאיסור התבטל ביבש</w:t>
      </w:r>
    </w:p>
    <w:p w:rsidR="00F13472" w:rsidRDefault="00F13472" w:rsidP="00F13472">
      <w:pPr>
        <w:pStyle w:val="aff2"/>
        <w:numPr>
          <w:ilvl w:val="0"/>
          <w:numId w:val="3"/>
        </w:numPr>
        <w:rPr>
          <w:rFonts w:eastAsiaTheme="minorEastAsia" w:cstheme="minorBidi"/>
          <w:sz w:val="22"/>
          <w:szCs w:val="22"/>
          <w:rtl/>
        </w:rPr>
      </w:pPr>
      <w:r>
        <w:rPr>
          <w:rtl/>
        </w:rPr>
        <w:t>התי' הב' במהר"ם מרוטנבורג ובתוס' הרא"ש דההיתר בחזר ובישל הוא רק בנודעה התערובת</w:t>
      </w:r>
    </w:p>
    <w:p w:rsidR="00F13472" w:rsidRDefault="00F13472" w:rsidP="00F13472">
      <w:pPr>
        <w:pStyle w:val="aff2"/>
        <w:numPr>
          <w:ilvl w:val="0"/>
          <w:numId w:val="3"/>
        </w:numPr>
        <w:rPr>
          <w:rFonts w:eastAsiaTheme="minorEastAsia" w:cstheme="minorBidi"/>
          <w:sz w:val="22"/>
          <w:szCs w:val="22"/>
          <w:rtl/>
        </w:rPr>
      </w:pPr>
      <w:r>
        <w:rPr>
          <w:rtl/>
        </w:rPr>
        <w:t>דברי התוס' הרא"ש דבהוציא את החתיכות אחר הבישול ונודעה התערובת הם בטלות ברוב</w:t>
      </w:r>
    </w:p>
    <w:p w:rsidR="00F13472" w:rsidRDefault="00F13472" w:rsidP="00F13472">
      <w:pPr>
        <w:pStyle w:val="aff4"/>
        <w:rPr>
          <w:rFonts w:eastAsiaTheme="minorEastAsia" w:cstheme="minorBidi"/>
          <w:i/>
          <w:iCs/>
          <w:noProof/>
          <w:sz w:val="22"/>
          <w:szCs w:val="22"/>
          <w:rtl/>
        </w:rPr>
      </w:pPr>
      <w:r>
        <w:rPr>
          <w:noProof/>
          <w:rtl/>
        </w:rPr>
        <w:t>הוכחת הרא"ש מהמשנה בתרומות דהידיעה גורמת את ההיתר</w:t>
      </w:r>
    </w:p>
    <w:p w:rsidR="00F13472" w:rsidRDefault="00F13472" w:rsidP="00F13472">
      <w:pPr>
        <w:pStyle w:val="aff2"/>
        <w:numPr>
          <w:ilvl w:val="0"/>
          <w:numId w:val="3"/>
        </w:numPr>
        <w:rPr>
          <w:rFonts w:eastAsiaTheme="minorEastAsia" w:cstheme="minorBidi"/>
          <w:sz w:val="22"/>
          <w:szCs w:val="22"/>
          <w:rtl/>
        </w:rPr>
      </w:pPr>
      <w:r>
        <w:rPr>
          <w:rtl/>
        </w:rPr>
        <w:t>דברי הרא"ש דבתרומה רק בנודעה התערובת ס"ל לר"ש חשיב שהתרומה כבר הורמה</w:t>
      </w:r>
    </w:p>
    <w:p w:rsidR="00F13472" w:rsidRDefault="00F13472" w:rsidP="00F13472">
      <w:pPr>
        <w:pStyle w:val="aff2"/>
        <w:numPr>
          <w:ilvl w:val="0"/>
          <w:numId w:val="3"/>
        </w:numPr>
        <w:rPr>
          <w:rFonts w:eastAsiaTheme="minorEastAsia" w:cstheme="minorBidi"/>
          <w:sz w:val="22"/>
          <w:szCs w:val="22"/>
          <w:rtl/>
        </w:rPr>
      </w:pPr>
      <w:r>
        <w:rPr>
          <w:rtl/>
        </w:rPr>
        <w:t>דברי הרא"ש דמבואר בר"ש שהידיעה שנפלה תרומה לחולין היא גורמת היתר דחשיב שהורמה</w:t>
      </w:r>
    </w:p>
    <w:p w:rsidR="00F13472" w:rsidRDefault="00F13472" w:rsidP="00F13472">
      <w:pPr>
        <w:pStyle w:val="aff2"/>
        <w:numPr>
          <w:ilvl w:val="0"/>
          <w:numId w:val="3"/>
        </w:numPr>
        <w:rPr>
          <w:rFonts w:eastAsiaTheme="minorEastAsia" w:cstheme="minorBidi"/>
          <w:sz w:val="22"/>
          <w:szCs w:val="22"/>
          <w:rtl/>
        </w:rPr>
      </w:pPr>
      <w:r>
        <w:rPr>
          <w:rtl/>
        </w:rPr>
        <w:t>דברי הרא"ש דמר"ש בתרומה שצריכה הרמה נלמד לשאר איסורים דהידיעה גורמת היתר ביטול</w:t>
      </w:r>
    </w:p>
    <w:p w:rsidR="00F13472" w:rsidRDefault="00F13472" w:rsidP="00F13472">
      <w:pPr>
        <w:pStyle w:val="aff4"/>
        <w:rPr>
          <w:rFonts w:eastAsiaTheme="minorEastAsia" w:cstheme="minorBidi"/>
          <w:i/>
          <w:iCs/>
          <w:noProof/>
          <w:sz w:val="22"/>
          <w:szCs w:val="22"/>
          <w:rtl/>
        </w:rPr>
      </w:pPr>
      <w:r>
        <w:rPr>
          <w:noProof/>
          <w:rtl/>
        </w:rPr>
        <w:t>ראית הרא"ש מהגמ' בזבחים דידיעת הפסול גורמת היתר ואיסור</w:t>
      </w:r>
    </w:p>
    <w:p w:rsidR="00F13472" w:rsidRDefault="00F13472" w:rsidP="00F13472">
      <w:pPr>
        <w:pStyle w:val="aff2"/>
        <w:numPr>
          <w:ilvl w:val="0"/>
          <w:numId w:val="3"/>
        </w:numPr>
        <w:rPr>
          <w:rFonts w:eastAsiaTheme="minorEastAsia" w:cstheme="minorBidi"/>
          <w:sz w:val="22"/>
          <w:szCs w:val="22"/>
          <w:rtl/>
        </w:rPr>
      </w:pPr>
      <w:r>
        <w:rPr>
          <w:rtl/>
        </w:rPr>
        <w:t>דברי הרא"ש דמבואר בזבחים דידיעת הפסול בקרבן היא הגורמת את האיסור אף שנפסל קודם</w:t>
      </w:r>
    </w:p>
    <w:p w:rsidR="00F13472" w:rsidRDefault="00F13472" w:rsidP="00F13472">
      <w:pPr>
        <w:pStyle w:val="2"/>
        <w:rPr>
          <w:rFonts w:eastAsiaTheme="minorEastAsia" w:cstheme="minorBidi"/>
          <w:i/>
          <w:iCs/>
          <w:sz w:val="22"/>
          <w:szCs w:val="22"/>
          <w:rtl/>
        </w:rPr>
      </w:pPr>
      <w:r>
        <w:rPr>
          <w:rtl/>
        </w:rPr>
        <w:t>ביאורי האחרונים בדעת הרא"ש</w:t>
      </w:r>
    </w:p>
    <w:p w:rsidR="00F13472" w:rsidRDefault="00F13472" w:rsidP="00F13472">
      <w:pPr>
        <w:pStyle w:val="aff4"/>
        <w:rPr>
          <w:rFonts w:eastAsiaTheme="minorEastAsia" w:cstheme="minorBidi"/>
          <w:i/>
          <w:iCs/>
          <w:noProof/>
          <w:sz w:val="22"/>
          <w:szCs w:val="22"/>
          <w:rtl/>
        </w:rPr>
      </w:pPr>
      <w:r>
        <w:rPr>
          <w:noProof/>
          <w:rtl/>
        </w:rPr>
        <w:t>דברי הדרכ"מ והגר"א דהרא"ש לשיטתו דהתיר לאכול בב"א</w:t>
      </w:r>
    </w:p>
    <w:p w:rsidR="00F13472" w:rsidRDefault="00F13472" w:rsidP="00F13472">
      <w:pPr>
        <w:pStyle w:val="aff2"/>
        <w:numPr>
          <w:ilvl w:val="0"/>
          <w:numId w:val="3"/>
        </w:numPr>
        <w:rPr>
          <w:rFonts w:eastAsiaTheme="minorEastAsia" w:cstheme="minorBidi"/>
          <w:sz w:val="22"/>
          <w:szCs w:val="22"/>
          <w:rtl/>
        </w:rPr>
      </w:pPr>
      <w:r>
        <w:rPr>
          <w:rtl/>
        </w:rPr>
        <w:t>דברי הדרכ"מ והגר"א דהרא"ש שמתיר בחזר ובישל הוא לשיטתו דנהפך להיתר ומותר בב"א</w:t>
      </w:r>
    </w:p>
    <w:p w:rsidR="00F13472" w:rsidRDefault="00F13472" w:rsidP="00F13472">
      <w:pPr>
        <w:pStyle w:val="aff4"/>
        <w:rPr>
          <w:rFonts w:eastAsiaTheme="minorEastAsia" w:cstheme="minorBidi"/>
          <w:i/>
          <w:iCs/>
          <w:noProof/>
          <w:sz w:val="22"/>
          <w:szCs w:val="22"/>
          <w:rtl/>
        </w:rPr>
      </w:pPr>
      <w:r>
        <w:rPr>
          <w:noProof/>
          <w:rtl/>
        </w:rPr>
        <w:t>ביאור הגר"א ברא"ש דבשיעור דרבנן אין חוזר וניעור בנודעה</w:t>
      </w:r>
    </w:p>
    <w:p w:rsidR="00F13472" w:rsidRDefault="00F13472" w:rsidP="00F13472">
      <w:pPr>
        <w:pStyle w:val="aff2"/>
        <w:numPr>
          <w:ilvl w:val="0"/>
          <w:numId w:val="3"/>
        </w:numPr>
        <w:rPr>
          <w:rFonts w:eastAsiaTheme="minorEastAsia" w:cstheme="minorBidi"/>
          <w:sz w:val="22"/>
          <w:szCs w:val="22"/>
          <w:rtl/>
        </w:rPr>
      </w:pPr>
      <w:r>
        <w:rPr>
          <w:rtl/>
        </w:rPr>
        <w:t>ביאור הגר"א ברא"ש דבנודעה התערובת אסור מדרבנן ובדרבנן לא אמרינן חוזר ונעיור</w:t>
      </w:r>
    </w:p>
    <w:p w:rsidR="00F13472" w:rsidRDefault="00F13472" w:rsidP="00F13472">
      <w:pPr>
        <w:pStyle w:val="aff4"/>
        <w:rPr>
          <w:rFonts w:eastAsiaTheme="minorEastAsia" w:cstheme="minorBidi"/>
          <w:i/>
          <w:iCs/>
          <w:noProof/>
          <w:sz w:val="22"/>
          <w:szCs w:val="22"/>
          <w:rtl/>
        </w:rPr>
      </w:pPr>
      <w:r>
        <w:rPr>
          <w:noProof/>
          <w:rtl/>
        </w:rPr>
        <w:t>ביאור היד יהודה ברא"ש דשישים לא נאמר ביבש והותר לגמרי</w:t>
      </w:r>
    </w:p>
    <w:p w:rsidR="00F13472" w:rsidRDefault="00F13472" w:rsidP="00F13472">
      <w:pPr>
        <w:pStyle w:val="aff2"/>
        <w:numPr>
          <w:ilvl w:val="0"/>
          <w:numId w:val="3"/>
        </w:numPr>
        <w:rPr>
          <w:rFonts w:eastAsiaTheme="minorEastAsia" w:cstheme="minorBidi"/>
          <w:sz w:val="22"/>
          <w:szCs w:val="22"/>
          <w:rtl/>
        </w:rPr>
      </w:pPr>
      <w:r>
        <w:rPr>
          <w:rtl/>
        </w:rPr>
        <w:t>ביאור היד יהודה ברא"ש דביבש אין דין שישים כלל והותר לגמרי אף אם חזר ובישל ונעשה לח</w:t>
      </w:r>
    </w:p>
    <w:p w:rsidR="00F13472" w:rsidRDefault="00F13472" w:rsidP="00F13472">
      <w:pPr>
        <w:pStyle w:val="aff4"/>
        <w:rPr>
          <w:rFonts w:eastAsiaTheme="minorEastAsia" w:cstheme="minorBidi"/>
          <w:i/>
          <w:iCs/>
          <w:noProof/>
          <w:sz w:val="22"/>
          <w:szCs w:val="22"/>
          <w:rtl/>
        </w:rPr>
      </w:pPr>
      <w:r>
        <w:rPr>
          <w:noProof/>
          <w:rtl/>
        </w:rPr>
        <w:t>ביאור היד יהודה ברא"ש דבבישל ולא הוסיף אין חוזר וניעור</w:t>
      </w:r>
    </w:p>
    <w:p w:rsidR="00F13472" w:rsidRDefault="00F13472" w:rsidP="00F13472">
      <w:pPr>
        <w:pStyle w:val="aff2"/>
        <w:numPr>
          <w:ilvl w:val="0"/>
          <w:numId w:val="3"/>
        </w:numPr>
        <w:rPr>
          <w:rFonts w:eastAsiaTheme="minorEastAsia" w:cstheme="minorBidi"/>
          <w:sz w:val="22"/>
          <w:szCs w:val="22"/>
          <w:rtl/>
        </w:rPr>
      </w:pPr>
      <w:r>
        <w:rPr>
          <w:rtl/>
        </w:rPr>
        <w:t>דברי היד יהודה דלהרא"ש בהוסיף איסור האיסור חוזר וניעור ומ"מ בבישל שלא הוסיף מותר</w:t>
      </w:r>
    </w:p>
    <w:p w:rsidR="00F13472" w:rsidRDefault="00F13472" w:rsidP="00F13472">
      <w:pPr>
        <w:pStyle w:val="aff2"/>
        <w:numPr>
          <w:ilvl w:val="0"/>
          <w:numId w:val="3"/>
        </w:numPr>
        <w:rPr>
          <w:rFonts w:eastAsiaTheme="minorEastAsia" w:cstheme="minorBidi"/>
          <w:sz w:val="22"/>
          <w:szCs w:val="22"/>
          <w:rtl/>
        </w:rPr>
      </w:pPr>
      <w:r>
        <w:rPr>
          <w:rtl/>
        </w:rPr>
        <w:t>דברי היד יהודה דהרשב"א בתשו' כתב דאף להשואל דהאיסור הותר בחזר ובישל חוזר וניעור</w:t>
      </w:r>
    </w:p>
    <w:p w:rsidR="00F13472" w:rsidRDefault="00F13472" w:rsidP="00F13472">
      <w:pPr>
        <w:pStyle w:val="aff4"/>
        <w:rPr>
          <w:rFonts w:eastAsiaTheme="minorEastAsia" w:cstheme="minorBidi"/>
          <w:i/>
          <w:iCs/>
          <w:noProof/>
          <w:sz w:val="22"/>
          <w:szCs w:val="22"/>
          <w:rtl/>
        </w:rPr>
      </w:pPr>
      <w:r>
        <w:rPr>
          <w:noProof/>
          <w:rtl/>
        </w:rPr>
        <w:t>דעת היש"ש דמותר בב"א אך אסור בבישל אטו לח באינו מינו</w:t>
      </w:r>
    </w:p>
    <w:p w:rsidR="00F13472" w:rsidRDefault="00F13472" w:rsidP="00F13472">
      <w:pPr>
        <w:pStyle w:val="aff2"/>
        <w:numPr>
          <w:ilvl w:val="0"/>
          <w:numId w:val="3"/>
        </w:numPr>
        <w:rPr>
          <w:rFonts w:eastAsiaTheme="minorEastAsia" w:cstheme="minorBidi"/>
          <w:sz w:val="22"/>
          <w:szCs w:val="22"/>
          <w:rtl/>
        </w:rPr>
      </w:pPr>
      <w:r>
        <w:rPr>
          <w:rtl/>
        </w:rPr>
        <w:t>קושית היש"ש על הרא"ש דאף שהותר ביבש מ"מ אחר הבישול הוא בכלל הגזירה אטו אינו מינו</w:t>
      </w:r>
    </w:p>
    <w:p w:rsidR="00F13472" w:rsidRDefault="00F13472" w:rsidP="00F13472">
      <w:pPr>
        <w:pStyle w:val="aff2"/>
        <w:numPr>
          <w:ilvl w:val="0"/>
          <w:numId w:val="3"/>
        </w:numPr>
        <w:rPr>
          <w:rFonts w:eastAsiaTheme="minorEastAsia" w:cstheme="minorBidi"/>
          <w:sz w:val="22"/>
          <w:szCs w:val="22"/>
          <w:rtl/>
        </w:rPr>
      </w:pPr>
      <w:r>
        <w:rPr>
          <w:rtl/>
        </w:rPr>
        <w:t>דברי היש"ש דאף דמסתבר כהרא"ש דהאיסור נהפך להיתר מ"מ בחזר ובישלו אסור</w:t>
      </w:r>
    </w:p>
    <w:p w:rsidR="00F13472" w:rsidRDefault="00F13472" w:rsidP="00F13472">
      <w:pPr>
        <w:pStyle w:val="aff2"/>
        <w:numPr>
          <w:ilvl w:val="0"/>
          <w:numId w:val="3"/>
        </w:numPr>
        <w:rPr>
          <w:rFonts w:eastAsiaTheme="minorEastAsia" w:cstheme="minorBidi"/>
          <w:sz w:val="22"/>
          <w:szCs w:val="22"/>
          <w:rtl/>
        </w:rPr>
      </w:pPr>
      <w:r>
        <w:rPr>
          <w:rtl/>
        </w:rPr>
        <w:t>דברי היש"ש דאף דאסור בחזר ובישל מ"מ מותר לאכול את כל התערובת בב"א דהתבטל ברוב</w:t>
      </w:r>
    </w:p>
    <w:p w:rsidR="00F13472" w:rsidRDefault="00F13472" w:rsidP="00F13472">
      <w:pPr>
        <w:pStyle w:val="aff2"/>
        <w:numPr>
          <w:ilvl w:val="0"/>
          <w:numId w:val="3"/>
        </w:numPr>
        <w:rPr>
          <w:rFonts w:eastAsiaTheme="minorEastAsia" w:cstheme="minorBidi"/>
          <w:sz w:val="22"/>
          <w:szCs w:val="22"/>
          <w:rtl/>
        </w:rPr>
      </w:pPr>
      <w:r>
        <w:rPr>
          <w:rtl/>
        </w:rPr>
        <w:t>דברי היד יהודה דלהחוו"ד דבב"א יש נתינת טעם אין כל חילוק בין בישל לאכל יבש בבת אחת</w:t>
      </w:r>
    </w:p>
    <w:p w:rsidR="00F13472" w:rsidRDefault="00F13472" w:rsidP="00F13472">
      <w:pPr>
        <w:pStyle w:val="aff4"/>
        <w:rPr>
          <w:rFonts w:eastAsiaTheme="minorEastAsia" w:cstheme="minorBidi"/>
          <w:i/>
          <w:iCs/>
          <w:noProof/>
          <w:sz w:val="22"/>
          <w:szCs w:val="22"/>
          <w:rtl/>
        </w:rPr>
      </w:pPr>
      <w:r>
        <w:rPr>
          <w:noProof/>
          <w:rtl/>
        </w:rPr>
        <w:t>ביאור החזו"א ברא"ש דבבישל במינו לא חשיב שהוכר האיסור</w:t>
      </w:r>
    </w:p>
    <w:p w:rsidR="00F13472" w:rsidRDefault="00F13472" w:rsidP="00F13472">
      <w:pPr>
        <w:pStyle w:val="aff2"/>
        <w:numPr>
          <w:ilvl w:val="0"/>
          <w:numId w:val="3"/>
        </w:numPr>
        <w:rPr>
          <w:rFonts w:eastAsiaTheme="minorEastAsia" w:cstheme="minorBidi"/>
          <w:sz w:val="22"/>
          <w:szCs w:val="22"/>
          <w:rtl/>
        </w:rPr>
      </w:pPr>
      <w:r>
        <w:rPr>
          <w:rtl/>
        </w:rPr>
        <w:t>דברי החזו"א דבבישל במין במינו שלא חל עליו שם איסור לא הוכר האיסור ונשאר בטל ברוב</w:t>
      </w:r>
    </w:p>
    <w:p w:rsidR="00F13472" w:rsidRDefault="00F13472" w:rsidP="00F13472">
      <w:pPr>
        <w:pStyle w:val="aff2"/>
        <w:numPr>
          <w:ilvl w:val="0"/>
          <w:numId w:val="3"/>
        </w:numPr>
        <w:rPr>
          <w:rFonts w:eastAsiaTheme="minorEastAsia" w:cstheme="minorBidi"/>
          <w:sz w:val="22"/>
          <w:szCs w:val="22"/>
          <w:rtl/>
        </w:rPr>
      </w:pPr>
      <w:r>
        <w:rPr>
          <w:rtl/>
        </w:rPr>
        <w:t>דברי החזו"א דברא"ש משמע דמותר לבשל לכתחילה אך בטור משמע דלהרא"ש מותר בדיעבד</w:t>
      </w:r>
    </w:p>
    <w:p w:rsidR="00F13472" w:rsidRDefault="00F13472" w:rsidP="00F13472">
      <w:pPr>
        <w:pStyle w:val="aff2"/>
        <w:numPr>
          <w:ilvl w:val="0"/>
          <w:numId w:val="3"/>
        </w:numPr>
        <w:rPr>
          <w:rFonts w:eastAsiaTheme="minorEastAsia" w:cstheme="minorBidi"/>
          <w:sz w:val="22"/>
          <w:szCs w:val="22"/>
          <w:rtl/>
        </w:rPr>
      </w:pPr>
      <w:r>
        <w:rPr>
          <w:rtl/>
        </w:rPr>
        <w:t>דברי החזו"א דמדהתיר הרא"ש אכילה בב"א לכתחילה ולא כתב כן בבישל משמע דהוא דיעבד</w:t>
      </w:r>
    </w:p>
    <w:p w:rsidR="00F13472" w:rsidRDefault="00F13472" w:rsidP="00F13472">
      <w:pPr>
        <w:pStyle w:val="2"/>
        <w:rPr>
          <w:rFonts w:eastAsiaTheme="minorEastAsia" w:cstheme="minorBidi"/>
          <w:i/>
          <w:iCs/>
          <w:sz w:val="22"/>
          <w:szCs w:val="22"/>
          <w:rtl/>
        </w:rPr>
      </w:pPr>
      <w:r>
        <w:rPr>
          <w:rtl/>
        </w:rPr>
        <w:t>בנודעה התערובת לדעת הרשב"א</w:t>
      </w:r>
    </w:p>
    <w:p w:rsidR="00F13472" w:rsidRDefault="00F13472" w:rsidP="00F13472">
      <w:pPr>
        <w:pStyle w:val="aff4"/>
        <w:rPr>
          <w:rFonts w:eastAsiaTheme="minorEastAsia" w:cstheme="minorBidi"/>
          <w:i/>
          <w:iCs/>
          <w:noProof/>
          <w:sz w:val="22"/>
          <w:szCs w:val="22"/>
          <w:rtl/>
        </w:rPr>
      </w:pPr>
      <w:r>
        <w:rPr>
          <w:noProof/>
          <w:rtl/>
        </w:rPr>
        <w:t>דברי הב"ח דהיתר ב' קדירות הוא אף בלא נודעה התערובת</w:t>
      </w:r>
    </w:p>
    <w:p w:rsidR="00F13472" w:rsidRDefault="00F13472" w:rsidP="00F13472">
      <w:pPr>
        <w:pStyle w:val="aff2"/>
        <w:numPr>
          <w:ilvl w:val="0"/>
          <w:numId w:val="3"/>
        </w:numPr>
        <w:rPr>
          <w:rFonts w:eastAsiaTheme="minorEastAsia" w:cstheme="minorBidi"/>
          <w:sz w:val="22"/>
          <w:szCs w:val="22"/>
          <w:rtl/>
        </w:rPr>
      </w:pPr>
      <w:r>
        <w:rPr>
          <w:rtl/>
        </w:rPr>
        <w:t>דברי הב"ח דלהרשב"א ההיתר בבישל בב' קדירות הוא אף כשבישל לפני שנודעה התערובת</w:t>
      </w:r>
    </w:p>
    <w:p w:rsidR="00F13472" w:rsidRDefault="00F13472" w:rsidP="00F13472">
      <w:pPr>
        <w:pStyle w:val="aff4"/>
        <w:rPr>
          <w:rFonts w:eastAsiaTheme="minorEastAsia" w:cstheme="minorBidi"/>
          <w:i/>
          <w:iCs/>
          <w:noProof/>
          <w:sz w:val="22"/>
          <w:szCs w:val="22"/>
          <w:rtl/>
        </w:rPr>
      </w:pPr>
      <w:r>
        <w:rPr>
          <w:noProof/>
          <w:rtl/>
        </w:rPr>
        <w:t>דברי הש"ך דהרשב"א התיר בב' קדירות רק בנודעה התערובת</w:t>
      </w:r>
    </w:p>
    <w:p w:rsidR="00F13472" w:rsidRDefault="00F13472" w:rsidP="00F13472">
      <w:pPr>
        <w:pStyle w:val="aff2"/>
        <w:numPr>
          <w:ilvl w:val="0"/>
          <w:numId w:val="3"/>
        </w:numPr>
        <w:rPr>
          <w:rFonts w:eastAsiaTheme="minorEastAsia" w:cstheme="minorBidi"/>
          <w:sz w:val="22"/>
          <w:szCs w:val="22"/>
          <w:rtl/>
        </w:rPr>
      </w:pPr>
      <w:r>
        <w:rPr>
          <w:rtl/>
        </w:rPr>
        <w:lastRenderedPageBreak/>
        <w:t>דברי הש"ך דלהרשב"א רק בנודעה התערובת ביבש והתבטל ברוב מותר בבישל בב' קדירות</w:t>
      </w:r>
    </w:p>
    <w:p w:rsidR="00F13472" w:rsidRDefault="00F13472" w:rsidP="00F13472">
      <w:pPr>
        <w:pStyle w:val="aff2"/>
        <w:numPr>
          <w:ilvl w:val="0"/>
          <w:numId w:val="3"/>
        </w:numPr>
        <w:rPr>
          <w:rFonts w:eastAsiaTheme="minorEastAsia" w:cstheme="minorBidi"/>
          <w:sz w:val="22"/>
          <w:szCs w:val="22"/>
          <w:rtl/>
        </w:rPr>
      </w:pPr>
      <w:r>
        <w:rPr>
          <w:rtl/>
        </w:rPr>
        <w:t>ביאור הש"ך דרק בנודעה התערובת והתבטל האיסור אינו נאסר בב' קדירות דאין ודאי איסור</w:t>
      </w:r>
    </w:p>
    <w:p w:rsidR="00F13472" w:rsidRDefault="00F13472" w:rsidP="00F13472">
      <w:pPr>
        <w:pStyle w:val="aff2"/>
        <w:numPr>
          <w:ilvl w:val="0"/>
          <w:numId w:val="3"/>
        </w:numPr>
        <w:rPr>
          <w:rFonts w:eastAsiaTheme="minorEastAsia" w:cstheme="minorBidi"/>
          <w:sz w:val="22"/>
          <w:szCs w:val="22"/>
          <w:rtl/>
        </w:rPr>
      </w:pPr>
      <w:r>
        <w:rPr>
          <w:rtl/>
        </w:rPr>
        <w:t>דברי הש"ך דבב' קדירות הוא ספק דרבנן לקולא או דבכה"ג לא גזרו רבנן שישים ומותר לגמרי</w:t>
      </w:r>
    </w:p>
    <w:p w:rsidR="00F13472" w:rsidRDefault="00F13472" w:rsidP="00F13472">
      <w:pPr>
        <w:pStyle w:val="aff4"/>
        <w:rPr>
          <w:rFonts w:eastAsiaTheme="minorEastAsia" w:cstheme="minorBidi"/>
          <w:i/>
          <w:iCs/>
          <w:noProof/>
          <w:sz w:val="22"/>
          <w:szCs w:val="22"/>
          <w:rtl/>
        </w:rPr>
      </w:pPr>
      <w:r>
        <w:rPr>
          <w:noProof/>
          <w:rtl/>
        </w:rPr>
        <w:t>דברי הש"ך דבב' קדירות ולא נודעה התערובת הוא ספק דאו'</w:t>
      </w:r>
    </w:p>
    <w:p w:rsidR="00F13472" w:rsidRDefault="00F13472" w:rsidP="00F13472">
      <w:pPr>
        <w:pStyle w:val="aff2"/>
        <w:numPr>
          <w:ilvl w:val="0"/>
          <w:numId w:val="3"/>
        </w:numPr>
        <w:rPr>
          <w:rFonts w:eastAsiaTheme="minorEastAsia" w:cstheme="minorBidi"/>
          <w:sz w:val="22"/>
          <w:szCs w:val="22"/>
          <w:rtl/>
        </w:rPr>
      </w:pPr>
      <w:r>
        <w:rPr>
          <w:rtl/>
        </w:rPr>
        <w:t>דברי הש"ך ברשב"א דבלא נודעה התערובת אסור ובב' קדירות אסור מספק</w:t>
      </w:r>
    </w:p>
    <w:p w:rsidR="00F13472" w:rsidRDefault="00F13472" w:rsidP="00F13472">
      <w:pPr>
        <w:pStyle w:val="aff2"/>
        <w:numPr>
          <w:ilvl w:val="0"/>
          <w:numId w:val="3"/>
        </w:numPr>
        <w:rPr>
          <w:rFonts w:eastAsiaTheme="minorEastAsia" w:cstheme="minorBidi"/>
          <w:sz w:val="22"/>
          <w:szCs w:val="22"/>
          <w:rtl/>
        </w:rPr>
      </w:pPr>
      <w:r>
        <w:rPr>
          <w:rtl/>
        </w:rPr>
        <w:t>דברי הפר"ח דהידיעה היא הגורמת את ההיתר ובלא נודעה לא התבטל האיסור</w:t>
      </w:r>
    </w:p>
    <w:p w:rsidR="00F13472" w:rsidRDefault="00F13472" w:rsidP="00F13472">
      <w:pPr>
        <w:pStyle w:val="aff2"/>
        <w:numPr>
          <w:ilvl w:val="0"/>
          <w:numId w:val="3"/>
        </w:numPr>
        <w:rPr>
          <w:rFonts w:eastAsiaTheme="minorEastAsia" w:cstheme="minorBidi"/>
          <w:sz w:val="22"/>
          <w:szCs w:val="22"/>
          <w:rtl/>
        </w:rPr>
      </w:pPr>
      <w:r>
        <w:rPr>
          <w:rtl/>
        </w:rPr>
        <w:t>דברי הפר"ח דבב' קדירות בלא נודעה התערובת לא התבטל ואחר הבישול הוא ספק דאו'</w:t>
      </w:r>
    </w:p>
    <w:p w:rsidR="00F13472" w:rsidRDefault="00F13472" w:rsidP="00F13472">
      <w:pPr>
        <w:pStyle w:val="2"/>
        <w:rPr>
          <w:rFonts w:eastAsiaTheme="minorEastAsia" w:cstheme="minorBidi"/>
          <w:i/>
          <w:iCs/>
          <w:sz w:val="22"/>
          <w:szCs w:val="22"/>
          <w:rtl/>
        </w:rPr>
      </w:pPr>
      <w:r>
        <w:rPr>
          <w:rtl/>
        </w:rPr>
        <w:t>בביטול מדאו' בלא נודעה התערובת</w:t>
      </w:r>
    </w:p>
    <w:p w:rsidR="00F13472" w:rsidRDefault="00F13472" w:rsidP="00F13472">
      <w:pPr>
        <w:pStyle w:val="aff4"/>
        <w:rPr>
          <w:rFonts w:eastAsiaTheme="minorEastAsia" w:cstheme="minorBidi"/>
          <w:i/>
          <w:iCs/>
          <w:noProof/>
          <w:sz w:val="22"/>
          <w:szCs w:val="22"/>
          <w:rtl/>
        </w:rPr>
      </w:pPr>
      <w:r>
        <w:rPr>
          <w:noProof/>
          <w:rtl/>
        </w:rPr>
        <w:t>דברי הש"ך דבלא נודעה התערובת לא התבטל ואסור מדאו'</w:t>
      </w:r>
    </w:p>
    <w:p w:rsidR="00F13472" w:rsidRDefault="00F13472" w:rsidP="00F13472">
      <w:pPr>
        <w:pStyle w:val="aff2"/>
        <w:numPr>
          <w:ilvl w:val="0"/>
          <w:numId w:val="3"/>
        </w:numPr>
        <w:rPr>
          <w:rFonts w:eastAsiaTheme="minorEastAsia" w:cstheme="minorBidi"/>
          <w:sz w:val="22"/>
          <w:szCs w:val="22"/>
          <w:rtl/>
        </w:rPr>
      </w:pPr>
      <w:r>
        <w:rPr>
          <w:rtl/>
        </w:rPr>
        <w:t>דברי הש"ך דבלא נודעה התערובת מדאו' לא התבטל האיסור ובב' קדירות אסור מספק דאו'</w:t>
      </w:r>
    </w:p>
    <w:p w:rsidR="00F13472" w:rsidRDefault="00F13472" w:rsidP="00F13472">
      <w:pPr>
        <w:pStyle w:val="aff4"/>
        <w:rPr>
          <w:rFonts w:eastAsiaTheme="minorEastAsia" w:cstheme="minorBidi"/>
          <w:i/>
          <w:iCs/>
          <w:noProof/>
          <w:sz w:val="22"/>
          <w:szCs w:val="22"/>
          <w:rtl/>
        </w:rPr>
      </w:pPr>
      <w:r>
        <w:rPr>
          <w:noProof/>
          <w:rtl/>
        </w:rPr>
        <w:t>דברי המנחת יעקב דבלא נודעה התערובת אסור מדרבנן</w:t>
      </w:r>
    </w:p>
    <w:p w:rsidR="00F13472" w:rsidRDefault="00F13472" w:rsidP="00F13472">
      <w:pPr>
        <w:pStyle w:val="aff2"/>
        <w:numPr>
          <w:ilvl w:val="0"/>
          <w:numId w:val="3"/>
        </w:numPr>
        <w:rPr>
          <w:rFonts w:eastAsiaTheme="minorEastAsia" w:cstheme="minorBidi"/>
          <w:sz w:val="22"/>
          <w:szCs w:val="22"/>
          <w:rtl/>
        </w:rPr>
      </w:pPr>
      <w:r>
        <w:rPr>
          <w:rtl/>
        </w:rPr>
        <w:t>קושית המנחת יעקב דבלא נודעה התערובת מדאו' בטל ואסור רק מדרבנן דלא נקרא שם היתר</w:t>
      </w:r>
    </w:p>
    <w:p w:rsidR="00F13472" w:rsidRDefault="00F13472" w:rsidP="00F13472">
      <w:pPr>
        <w:pStyle w:val="aff2"/>
        <w:numPr>
          <w:ilvl w:val="0"/>
          <w:numId w:val="3"/>
        </w:numPr>
        <w:rPr>
          <w:rFonts w:eastAsiaTheme="minorEastAsia" w:cstheme="minorBidi"/>
          <w:sz w:val="22"/>
          <w:szCs w:val="22"/>
          <w:rtl/>
        </w:rPr>
      </w:pPr>
      <w:r>
        <w:rPr>
          <w:rtl/>
        </w:rPr>
        <w:t>דברי המנחת יעקב דבב' קדירות שכ"א עומדת בפנ"ע דינו כיבש ביבש ומהני ביטול ברוב</w:t>
      </w:r>
    </w:p>
    <w:p w:rsidR="00F13472" w:rsidRDefault="00F13472" w:rsidP="00F13472">
      <w:pPr>
        <w:pStyle w:val="aff2"/>
        <w:numPr>
          <w:ilvl w:val="0"/>
          <w:numId w:val="3"/>
        </w:numPr>
        <w:rPr>
          <w:rFonts w:eastAsiaTheme="minorEastAsia" w:cstheme="minorBidi"/>
          <w:sz w:val="22"/>
          <w:szCs w:val="22"/>
          <w:rtl/>
        </w:rPr>
      </w:pPr>
      <w:r>
        <w:rPr>
          <w:rtl/>
        </w:rPr>
        <w:t>ביאור המנחת יעקב דבלא התבשלה כל התערובת יחד אף לאחר הבישול החתיכות דינם כיבש</w:t>
      </w:r>
    </w:p>
    <w:p w:rsidR="00F13472" w:rsidRDefault="00F13472" w:rsidP="00F13472">
      <w:pPr>
        <w:pStyle w:val="aff2"/>
        <w:numPr>
          <w:ilvl w:val="0"/>
          <w:numId w:val="3"/>
        </w:numPr>
        <w:rPr>
          <w:rFonts w:eastAsiaTheme="minorEastAsia" w:cstheme="minorBidi"/>
          <w:sz w:val="22"/>
          <w:szCs w:val="22"/>
          <w:rtl/>
        </w:rPr>
      </w:pPr>
      <w:r>
        <w:rPr>
          <w:rtl/>
        </w:rPr>
        <w:t>ביאור הפרמ"ג דהמנחת יעקב הקשה דכיון שעכשיו נודעה התערובת דינו כיבש אף בב' קדירות</w:t>
      </w:r>
    </w:p>
    <w:p w:rsidR="00F13472" w:rsidRDefault="00F13472" w:rsidP="00F13472">
      <w:pPr>
        <w:pStyle w:val="aff2"/>
        <w:numPr>
          <w:ilvl w:val="0"/>
          <w:numId w:val="3"/>
        </w:numPr>
        <w:rPr>
          <w:rFonts w:eastAsiaTheme="minorEastAsia" w:cstheme="minorBidi"/>
          <w:sz w:val="22"/>
          <w:szCs w:val="22"/>
          <w:rtl/>
        </w:rPr>
      </w:pPr>
      <w:r>
        <w:rPr>
          <w:rtl/>
        </w:rPr>
        <w:t>דברי המנחת יעקב דלא דמי לאיסור שנפל לקדירות דאסור מספק והכא אסור מחמת התערובת</w:t>
      </w:r>
    </w:p>
    <w:p w:rsidR="00F13472" w:rsidRDefault="00F13472" w:rsidP="00F13472">
      <w:pPr>
        <w:pStyle w:val="aff2"/>
        <w:numPr>
          <w:ilvl w:val="0"/>
          <w:numId w:val="3"/>
        </w:numPr>
        <w:rPr>
          <w:rFonts w:eastAsiaTheme="minorEastAsia" w:cstheme="minorBidi"/>
          <w:sz w:val="22"/>
          <w:szCs w:val="22"/>
          <w:rtl/>
        </w:rPr>
      </w:pPr>
      <w:r>
        <w:rPr>
          <w:rtl/>
        </w:rPr>
        <w:t>קושית המנחת יעקב על הש"ך דאינו ספק דאו' דמבו' ברא"ש דבלא נודעה אסור מדרבנן</w:t>
      </w:r>
    </w:p>
    <w:p w:rsidR="00F13472" w:rsidRDefault="00F13472" w:rsidP="00F13472">
      <w:pPr>
        <w:pStyle w:val="aff2"/>
        <w:numPr>
          <w:ilvl w:val="0"/>
          <w:numId w:val="3"/>
        </w:numPr>
        <w:rPr>
          <w:rFonts w:eastAsiaTheme="minorEastAsia" w:cstheme="minorBidi"/>
          <w:sz w:val="22"/>
          <w:szCs w:val="22"/>
          <w:rtl/>
        </w:rPr>
      </w:pPr>
      <w:r>
        <w:rPr>
          <w:rtl/>
        </w:rPr>
        <w:t>ביאור הפרמ"ג דהמנחת יעקב הקשה דמבואר ברא"ש דבלא נודעה אסור מדרבנן ולא מדאו'</w:t>
      </w:r>
    </w:p>
    <w:p w:rsidR="00F13472" w:rsidRDefault="00F13472" w:rsidP="00F13472">
      <w:pPr>
        <w:pStyle w:val="aff2"/>
        <w:numPr>
          <w:ilvl w:val="0"/>
          <w:numId w:val="3"/>
        </w:numPr>
        <w:rPr>
          <w:rFonts w:eastAsiaTheme="minorEastAsia" w:cstheme="minorBidi"/>
          <w:sz w:val="22"/>
          <w:szCs w:val="22"/>
          <w:rtl/>
        </w:rPr>
      </w:pPr>
      <w:r>
        <w:rPr>
          <w:rtl/>
        </w:rPr>
        <w:t>דברי המנחת יעקב דבב' קדירות מותר להרשב"א אף בלא נודעה מדין ביטול או מדין ספק דרבנן</w:t>
      </w:r>
    </w:p>
    <w:p w:rsidR="00F13472" w:rsidRDefault="00F13472" w:rsidP="00F13472">
      <w:pPr>
        <w:pStyle w:val="aff4"/>
        <w:rPr>
          <w:rFonts w:eastAsiaTheme="minorEastAsia" w:cstheme="minorBidi"/>
          <w:i/>
          <w:iCs/>
          <w:noProof/>
          <w:sz w:val="22"/>
          <w:szCs w:val="22"/>
          <w:rtl/>
        </w:rPr>
      </w:pPr>
      <w:r>
        <w:rPr>
          <w:noProof/>
          <w:rtl/>
        </w:rPr>
        <w:t>דברי הפרמ"ג דלש"ך דלא נודע דאו' א"כ הרוטב אוסר הכל</w:t>
      </w:r>
    </w:p>
    <w:p w:rsidR="00F13472" w:rsidRDefault="00F13472" w:rsidP="00F13472">
      <w:pPr>
        <w:pStyle w:val="aff2"/>
        <w:numPr>
          <w:ilvl w:val="0"/>
          <w:numId w:val="3"/>
        </w:numPr>
        <w:rPr>
          <w:rFonts w:eastAsiaTheme="minorEastAsia" w:cstheme="minorBidi"/>
          <w:sz w:val="22"/>
          <w:szCs w:val="22"/>
          <w:rtl/>
        </w:rPr>
      </w:pPr>
      <w:r>
        <w:rPr>
          <w:rtl/>
        </w:rPr>
        <w:t>דברי הפרמ"ג דלהש"ך בלא נודעה התערובת לא בטל מדאו' כלל</w:t>
      </w:r>
    </w:p>
    <w:p w:rsidR="00F13472" w:rsidRDefault="00F13472" w:rsidP="00F13472">
      <w:pPr>
        <w:pStyle w:val="aff2"/>
        <w:numPr>
          <w:ilvl w:val="0"/>
          <w:numId w:val="3"/>
        </w:numPr>
        <w:rPr>
          <w:rFonts w:eastAsiaTheme="minorEastAsia" w:cstheme="minorBidi"/>
          <w:sz w:val="22"/>
          <w:szCs w:val="22"/>
          <w:rtl/>
        </w:rPr>
      </w:pPr>
      <w:r>
        <w:rPr>
          <w:rtl/>
        </w:rPr>
        <w:t>דברי הפרמ"ג דלהש"ך דלא בטל מדאו' א"כ לאחר הבישול הרוטב נבלע בחתיכות ואוסרם</w:t>
      </w:r>
    </w:p>
    <w:p w:rsidR="00F13472" w:rsidRDefault="00F13472" w:rsidP="00F13472">
      <w:pPr>
        <w:pStyle w:val="aff4"/>
        <w:rPr>
          <w:rFonts w:eastAsiaTheme="minorEastAsia" w:cstheme="minorBidi"/>
          <w:i/>
          <w:iCs/>
          <w:noProof/>
          <w:sz w:val="22"/>
          <w:szCs w:val="22"/>
          <w:rtl/>
        </w:rPr>
      </w:pPr>
      <w:r>
        <w:rPr>
          <w:noProof/>
          <w:rtl/>
        </w:rPr>
        <w:t>דברי היד יהודה והחכמ"א דאין ראיה מהרא"ש דהוא דרבנן</w:t>
      </w:r>
    </w:p>
    <w:p w:rsidR="00F13472" w:rsidRDefault="00F13472" w:rsidP="00F13472">
      <w:pPr>
        <w:pStyle w:val="aff2"/>
        <w:numPr>
          <w:ilvl w:val="0"/>
          <w:numId w:val="3"/>
        </w:numPr>
        <w:rPr>
          <w:rFonts w:eastAsiaTheme="minorEastAsia" w:cstheme="minorBidi"/>
          <w:sz w:val="22"/>
          <w:szCs w:val="22"/>
          <w:rtl/>
        </w:rPr>
      </w:pPr>
      <w:r>
        <w:rPr>
          <w:rtl/>
        </w:rPr>
        <w:t>דברי היד יהודה דרק במין במינו כתב הרא"ש דהוא דרבנן אבל באינו מינו משמע דהוא דאו'</w:t>
      </w:r>
    </w:p>
    <w:p w:rsidR="00F13472" w:rsidRDefault="00F13472" w:rsidP="00F13472">
      <w:pPr>
        <w:pStyle w:val="aff2"/>
        <w:numPr>
          <w:ilvl w:val="0"/>
          <w:numId w:val="3"/>
        </w:numPr>
        <w:rPr>
          <w:rFonts w:eastAsiaTheme="minorEastAsia" w:cstheme="minorBidi"/>
          <w:sz w:val="22"/>
          <w:szCs w:val="22"/>
          <w:rtl/>
        </w:rPr>
      </w:pPr>
      <w:r>
        <w:rPr>
          <w:rtl/>
        </w:rPr>
        <w:t>דברי החכמ"א דאין כוונת הרא"ש כמנחת יעקב דכל לא נודע הוא דרבנן דרק במינו הוא דרבנן</w:t>
      </w:r>
    </w:p>
    <w:p w:rsidR="00F13472" w:rsidRDefault="00F13472" w:rsidP="00F13472">
      <w:pPr>
        <w:pStyle w:val="aff4"/>
        <w:rPr>
          <w:rFonts w:eastAsiaTheme="minorEastAsia" w:cstheme="minorBidi"/>
          <w:i/>
          <w:iCs/>
          <w:noProof/>
          <w:sz w:val="22"/>
          <w:szCs w:val="22"/>
          <w:rtl/>
        </w:rPr>
      </w:pPr>
      <w:r>
        <w:rPr>
          <w:noProof/>
          <w:rtl/>
        </w:rPr>
        <w:t>דברי הנפש חיה דדין נודעה התערובת הוא רק ביבש ולא בלח</w:t>
      </w:r>
    </w:p>
    <w:p w:rsidR="00F13472" w:rsidRDefault="00F13472" w:rsidP="00F13472">
      <w:pPr>
        <w:pStyle w:val="aff2"/>
        <w:numPr>
          <w:ilvl w:val="0"/>
          <w:numId w:val="3"/>
        </w:numPr>
        <w:rPr>
          <w:rFonts w:eastAsiaTheme="minorEastAsia" w:cstheme="minorBidi"/>
          <w:sz w:val="22"/>
          <w:szCs w:val="22"/>
          <w:rtl/>
        </w:rPr>
      </w:pPr>
      <w:r>
        <w:rPr>
          <w:rtl/>
        </w:rPr>
        <w:t>דברי הנפש חיה דביבש שההיתר הוא על כל חתיכה ואח"כ על כל התערובת הוא דוקא בנודעה</w:t>
      </w:r>
    </w:p>
    <w:p w:rsidR="00F13472" w:rsidRDefault="00F13472" w:rsidP="00F13472">
      <w:pPr>
        <w:pStyle w:val="aff2"/>
        <w:numPr>
          <w:ilvl w:val="0"/>
          <w:numId w:val="3"/>
        </w:numPr>
        <w:rPr>
          <w:rFonts w:eastAsiaTheme="minorEastAsia" w:cstheme="minorBidi"/>
          <w:sz w:val="22"/>
          <w:szCs w:val="22"/>
          <w:rtl/>
        </w:rPr>
      </w:pPr>
      <w:r>
        <w:rPr>
          <w:rtl/>
        </w:rPr>
        <w:t>דברי הנפש חיה דביבש בלא נודעה התערובת לא הותרה כל חתיכה בפנ"ע ולא הותר הכל</w:t>
      </w:r>
    </w:p>
    <w:p w:rsidR="00F13472" w:rsidRDefault="00F13472" w:rsidP="00F13472">
      <w:pPr>
        <w:pStyle w:val="aff2"/>
        <w:numPr>
          <w:ilvl w:val="0"/>
          <w:numId w:val="3"/>
        </w:numPr>
        <w:rPr>
          <w:rFonts w:eastAsiaTheme="minorEastAsia" w:cstheme="minorBidi"/>
          <w:sz w:val="22"/>
          <w:szCs w:val="22"/>
          <w:rtl/>
        </w:rPr>
      </w:pPr>
      <w:r>
        <w:rPr>
          <w:rtl/>
        </w:rPr>
        <w:t>דברי הנפש חיה דבלח שבמציאות האיסור בלול בהיתר אף בלא נודעה התערובת האיסור בטל</w:t>
      </w:r>
    </w:p>
    <w:p w:rsidR="00F13472" w:rsidRDefault="00F13472" w:rsidP="00F13472">
      <w:pPr>
        <w:pStyle w:val="2"/>
        <w:rPr>
          <w:rFonts w:eastAsiaTheme="minorEastAsia" w:cstheme="minorBidi"/>
          <w:i/>
          <w:iCs/>
          <w:sz w:val="22"/>
          <w:szCs w:val="22"/>
          <w:rtl/>
        </w:rPr>
      </w:pPr>
      <w:r>
        <w:rPr>
          <w:rtl/>
        </w:rPr>
        <w:t>במין בשאינו מינו שחזר ובישלו</w:t>
      </w:r>
    </w:p>
    <w:p w:rsidR="00F13472" w:rsidRDefault="00F13472" w:rsidP="00F13472">
      <w:pPr>
        <w:pStyle w:val="aff4"/>
        <w:rPr>
          <w:rFonts w:eastAsiaTheme="minorEastAsia" w:cstheme="minorBidi"/>
          <w:i/>
          <w:iCs/>
          <w:noProof/>
          <w:sz w:val="22"/>
          <w:szCs w:val="22"/>
          <w:rtl/>
        </w:rPr>
      </w:pPr>
      <w:r>
        <w:rPr>
          <w:noProof/>
          <w:rtl/>
        </w:rPr>
        <w:t>דברי האיסור והיתר דבנודעה התערובת באינו מינו מותר בבישל</w:t>
      </w:r>
    </w:p>
    <w:p w:rsidR="00F13472" w:rsidRDefault="00F13472" w:rsidP="00F13472">
      <w:pPr>
        <w:pStyle w:val="aff2"/>
        <w:numPr>
          <w:ilvl w:val="0"/>
          <w:numId w:val="3"/>
        </w:numPr>
        <w:rPr>
          <w:rFonts w:eastAsiaTheme="minorEastAsia" w:cstheme="minorBidi"/>
          <w:sz w:val="22"/>
          <w:szCs w:val="22"/>
          <w:rtl/>
        </w:rPr>
      </w:pPr>
      <w:r>
        <w:rPr>
          <w:rtl/>
        </w:rPr>
        <w:t>דברי ספר התרומה דבמין בשאינו מינו ביבש צריך שישים שאם יבשל אסור מדאו'</w:t>
      </w:r>
    </w:p>
    <w:p w:rsidR="00F13472" w:rsidRDefault="00F13472" w:rsidP="00F13472">
      <w:pPr>
        <w:pStyle w:val="aff2"/>
        <w:numPr>
          <w:ilvl w:val="0"/>
          <w:numId w:val="3"/>
        </w:numPr>
        <w:rPr>
          <w:rFonts w:eastAsiaTheme="minorEastAsia" w:cstheme="minorBidi"/>
          <w:sz w:val="22"/>
          <w:szCs w:val="22"/>
          <w:rtl/>
        </w:rPr>
      </w:pPr>
      <w:r>
        <w:rPr>
          <w:rtl/>
        </w:rPr>
        <w:t>דחיית האיסור והיתר דבנודעה התערובת ביבש מותר לכתחילה לבשל אף במין בשאינו מינו</w:t>
      </w:r>
    </w:p>
    <w:p w:rsidR="00F13472" w:rsidRDefault="00F13472" w:rsidP="00F13472">
      <w:pPr>
        <w:pStyle w:val="aff2"/>
        <w:numPr>
          <w:ilvl w:val="0"/>
          <w:numId w:val="3"/>
        </w:numPr>
        <w:rPr>
          <w:rFonts w:eastAsiaTheme="minorEastAsia" w:cstheme="minorBidi"/>
          <w:sz w:val="22"/>
          <w:szCs w:val="22"/>
          <w:rtl/>
        </w:rPr>
      </w:pPr>
      <w:r>
        <w:rPr>
          <w:rtl/>
        </w:rPr>
        <w:t>ביאור האיסור והיתר דבמין בשאינו מינו ביבש צריך שישים כיון שאפשר להכיר את האיסור</w:t>
      </w:r>
    </w:p>
    <w:p w:rsidR="00F13472" w:rsidRDefault="00F13472" w:rsidP="00F13472">
      <w:pPr>
        <w:pStyle w:val="aff4"/>
        <w:rPr>
          <w:rFonts w:eastAsiaTheme="minorEastAsia" w:cstheme="minorBidi"/>
          <w:i/>
          <w:iCs/>
          <w:noProof/>
          <w:sz w:val="22"/>
          <w:szCs w:val="22"/>
          <w:rtl/>
        </w:rPr>
      </w:pPr>
      <w:r>
        <w:rPr>
          <w:noProof/>
          <w:rtl/>
        </w:rPr>
        <w:t>דברי החוו"ד דלאיסור והיתר לא נודעה התערובת אסור מדרבנן</w:t>
      </w:r>
    </w:p>
    <w:p w:rsidR="00F13472" w:rsidRDefault="00F13472" w:rsidP="00F13472">
      <w:pPr>
        <w:pStyle w:val="aff2"/>
        <w:numPr>
          <w:ilvl w:val="0"/>
          <w:numId w:val="3"/>
        </w:numPr>
        <w:rPr>
          <w:rFonts w:eastAsiaTheme="minorEastAsia" w:cstheme="minorBidi"/>
          <w:sz w:val="22"/>
          <w:szCs w:val="22"/>
          <w:rtl/>
        </w:rPr>
      </w:pPr>
      <w:r>
        <w:rPr>
          <w:rtl/>
        </w:rPr>
        <w:t>דברי החוו"ד דלאיסור והיתר דאף בלא נודעה התערובת מותר מדאו' והאיסור הוא רק מדרבנן</w:t>
      </w:r>
    </w:p>
    <w:p w:rsidR="00F13472" w:rsidRDefault="00F13472" w:rsidP="00F13472">
      <w:pPr>
        <w:pStyle w:val="aff4"/>
        <w:rPr>
          <w:rFonts w:eastAsiaTheme="minorEastAsia" w:cstheme="minorBidi"/>
          <w:i/>
          <w:iCs/>
          <w:noProof/>
          <w:sz w:val="22"/>
          <w:szCs w:val="22"/>
          <w:rtl/>
        </w:rPr>
      </w:pPr>
      <w:r>
        <w:rPr>
          <w:noProof/>
          <w:rtl/>
        </w:rPr>
        <w:t>דברי הש"ך דבמין בשאינו מינו אף בנודעה בבישל אסור מדאו'</w:t>
      </w:r>
    </w:p>
    <w:p w:rsidR="00F13472" w:rsidRDefault="00F13472" w:rsidP="00F13472">
      <w:pPr>
        <w:pStyle w:val="aff2"/>
        <w:numPr>
          <w:ilvl w:val="0"/>
          <w:numId w:val="3"/>
        </w:numPr>
        <w:rPr>
          <w:rFonts w:eastAsiaTheme="minorEastAsia" w:cstheme="minorBidi"/>
          <w:sz w:val="22"/>
          <w:szCs w:val="22"/>
          <w:rtl/>
        </w:rPr>
      </w:pPr>
      <w:r>
        <w:rPr>
          <w:rtl/>
        </w:rPr>
        <w:t>דחיית הש"ך דאף בנודעה התערובת במין בשאינו מינו אסור מדאו' בבישל שנותן טעם</w:t>
      </w:r>
    </w:p>
    <w:p w:rsidR="00F13472" w:rsidRDefault="00F13472" w:rsidP="00F13472">
      <w:pPr>
        <w:pStyle w:val="aff4"/>
        <w:rPr>
          <w:rFonts w:eastAsiaTheme="minorEastAsia" w:cstheme="minorBidi"/>
          <w:i/>
          <w:iCs/>
          <w:noProof/>
          <w:sz w:val="22"/>
          <w:szCs w:val="22"/>
          <w:rtl/>
        </w:rPr>
      </w:pPr>
      <w:r>
        <w:rPr>
          <w:noProof/>
          <w:rtl/>
        </w:rPr>
        <w:t>קושיות הט"ז והפרמ"ג דבאינו מינו הותר האיסור ואין חשש דאו'</w:t>
      </w:r>
    </w:p>
    <w:p w:rsidR="00F13472" w:rsidRDefault="00F13472" w:rsidP="00F13472">
      <w:pPr>
        <w:pStyle w:val="aff2"/>
        <w:numPr>
          <w:ilvl w:val="0"/>
          <w:numId w:val="3"/>
        </w:numPr>
        <w:rPr>
          <w:rFonts w:eastAsiaTheme="minorEastAsia" w:cstheme="minorBidi"/>
          <w:sz w:val="22"/>
          <w:szCs w:val="22"/>
          <w:rtl/>
        </w:rPr>
      </w:pPr>
      <w:r>
        <w:rPr>
          <w:rtl/>
        </w:rPr>
        <w:t>דברי הט"ז והפרמ"ג דמהא דצריך שישים באינו מינו ביבש מבואר דבבישל אסור מדאו'</w:t>
      </w:r>
    </w:p>
    <w:p w:rsidR="00F13472" w:rsidRDefault="00F13472" w:rsidP="00F13472">
      <w:pPr>
        <w:pStyle w:val="aff2"/>
        <w:numPr>
          <w:ilvl w:val="0"/>
          <w:numId w:val="3"/>
        </w:numPr>
        <w:rPr>
          <w:rFonts w:eastAsiaTheme="minorEastAsia" w:cstheme="minorBidi"/>
          <w:sz w:val="22"/>
          <w:szCs w:val="22"/>
          <w:rtl/>
        </w:rPr>
      </w:pPr>
      <w:r>
        <w:rPr>
          <w:rtl/>
        </w:rPr>
        <w:t>קושית הט"ז והפרמ"ג דבמין בשאינו מינו שהאיסור התבטל ביבש היאך נאסר מדאו' בבישל</w:t>
      </w:r>
    </w:p>
    <w:p w:rsidR="00F13472" w:rsidRDefault="00F13472" w:rsidP="00F13472">
      <w:pPr>
        <w:pStyle w:val="aff2"/>
        <w:numPr>
          <w:ilvl w:val="0"/>
          <w:numId w:val="3"/>
        </w:numPr>
        <w:rPr>
          <w:rFonts w:eastAsiaTheme="minorEastAsia" w:cstheme="minorBidi"/>
          <w:sz w:val="22"/>
          <w:szCs w:val="22"/>
          <w:rtl/>
        </w:rPr>
      </w:pPr>
      <w:r>
        <w:rPr>
          <w:rtl/>
        </w:rPr>
        <w:t>קושית הפרמ"ג דלהרא"ש דבמינו נהפך להיתר ומותר לבשל אף באינו מינו בבישל מותר מדאו'</w:t>
      </w:r>
    </w:p>
    <w:p w:rsidR="00F13472" w:rsidRDefault="00F13472" w:rsidP="00F13472">
      <w:pPr>
        <w:pStyle w:val="aff2"/>
        <w:numPr>
          <w:ilvl w:val="0"/>
          <w:numId w:val="3"/>
        </w:numPr>
        <w:rPr>
          <w:rFonts w:eastAsiaTheme="minorEastAsia" w:cstheme="minorBidi"/>
          <w:sz w:val="22"/>
          <w:szCs w:val="22"/>
          <w:rtl/>
        </w:rPr>
      </w:pPr>
      <w:r>
        <w:rPr>
          <w:rtl/>
        </w:rPr>
        <w:t>קושית הט"ז דמבואר דדבר שהתבטל ברוב היתר אינו חוזר ונאסר אף כשאין רוב היתר</w:t>
      </w:r>
    </w:p>
    <w:p w:rsidR="00F13472" w:rsidRDefault="00F13472" w:rsidP="00F13472">
      <w:pPr>
        <w:pStyle w:val="aff2"/>
        <w:numPr>
          <w:ilvl w:val="0"/>
          <w:numId w:val="3"/>
        </w:numPr>
        <w:rPr>
          <w:rFonts w:eastAsiaTheme="minorEastAsia" w:cstheme="minorBidi"/>
          <w:sz w:val="22"/>
          <w:szCs w:val="22"/>
          <w:rtl/>
        </w:rPr>
      </w:pPr>
      <w:r>
        <w:rPr>
          <w:rtl/>
        </w:rPr>
        <w:t>דברי הט"ז דבמין בשאינו מינו שהטעם ניכר אחר הבישול אסור מדאו' אף שהותר כשהיה יבש</w:t>
      </w:r>
    </w:p>
    <w:p w:rsidR="00F13472" w:rsidRDefault="00F13472" w:rsidP="00F13472">
      <w:pPr>
        <w:pStyle w:val="aff4"/>
        <w:rPr>
          <w:rFonts w:eastAsiaTheme="minorEastAsia" w:cstheme="minorBidi"/>
          <w:i/>
          <w:iCs/>
          <w:noProof/>
          <w:sz w:val="22"/>
          <w:szCs w:val="22"/>
          <w:rtl/>
        </w:rPr>
      </w:pPr>
      <w:r>
        <w:rPr>
          <w:noProof/>
          <w:rtl/>
        </w:rPr>
        <w:t>דברי  הב"ח והמנחת כהן דלהרא"ש מותר בבישל אף באינו מינו</w:t>
      </w:r>
    </w:p>
    <w:p w:rsidR="00F13472" w:rsidRDefault="00F13472" w:rsidP="00F13472">
      <w:pPr>
        <w:pStyle w:val="aff2"/>
        <w:numPr>
          <w:ilvl w:val="0"/>
          <w:numId w:val="3"/>
        </w:numPr>
        <w:rPr>
          <w:rFonts w:eastAsiaTheme="minorEastAsia" w:cstheme="minorBidi"/>
          <w:sz w:val="22"/>
          <w:szCs w:val="22"/>
          <w:rtl/>
        </w:rPr>
      </w:pPr>
      <w:r>
        <w:rPr>
          <w:rtl/>
        </w:rPr>
        <w:t>ביאור המנחת כהן באיסור והיתר הארוך דמותר בבישל באינו מינו כדעת הרא"ש דנהפך להיתר</w:t>
      </w:r>
    </w:p>
    <w:p w:rsidR="00F13472" w:rsidRDefault="00F13472" w:rsidP="00F13472">
      <w:pPr>
        <w:pStyle w:val="aff2"/>
        <w:numPr>
          <w:ilvl w:val="0"/>
          <w:numId w:val="3"/>
        </w:numPr>
        <w:rPr>
          <w:rFonts w:eastAsiaTheme="minorEastAsia" w:cstheme="minorBidi"/>
          <w:sz w:val="22"/>
          <w:szCs w:val="22"/>
          <w:rtl/>
        </w:rPr>
      </w:pPr>
      <w:r>
        <w:rPr>
          <w:rtl/>
        </w:rPr>
        <w:t>דברי הפרמ"ג דמבואר בב"ח דלהרא"ש מותר בחזר ובישל אף באינו מינו כשהתבטל ביבש</w:t>
      </w:r>
    </w:p>
    <w:p w:rsidR="00F13472" w:rsidRDefault="00F13472" w:rsidP="00F13472">
      <w:pPr>
        <w:pStyle w:val="aff4"/>
        <w:rPr>
          <w:rFonts w:eastAsiaTheme="minorEastAsia" w:cstheme="minorBidi"/>
          <w:i/>
          <w:iCs/>
          <w:noProof/>
          <w:sz w:val="22"/>
          <w:szCs w:val="22"/>
          <w:rtl/>
        </w:rPr>
      </w:pPr>
      <w:r>
        <w:rPr>
          <w:noProof/>
          <w:rtl/>
        </w:rPr>
        <w:t>דברי הפרמ"ג דהרא"ש התיר בנודעה התערובת רק במין במינו</w:t>
      </w:r>
    </w:p>
    <w:p w:rsidR="00F13472" w:rsidRDefault="00F13472" w:rsidP="00F13472">
      <w:pPr>
        <w:pStyle w:val="aff2"/>
        <w:numPr>
          <w:ilvl w:val="0"/>
          <w:numId w:val="3"/>
        </w:numPr>
        <w:rPr>
          <w:rFonts w:eastAsiaTheme="minorEastAsia" w:cstheme="minorBidi"/>
          <w:sz w:val="22"/>
          <w:szCs w:val="22"/>
          <w:rtl/>
        </w:rPr>
      </w:pPr>
      <w:r>
        <w:rPr>
          <w:rtl/>
        </w:rPr>
        <w:t>דברי הפרמ"ג דהרא"ש התיר בחזר ובישל רק במין במינו בנודעה התערובת ולא באינו מינו</w:t>
      </w:r>
    </w:p>
    <w:p w:rsidR="00F13472" w:rsidRDefault="00F13472" w:rsidP="00F13472">
      <w:pPr>
        <w:pStyle w:val="aff2"/>
        <w:numPr>
          <w:ilvl w:val="0"/>
          <w:numId w:val="3"/>
        </w:numPr>
        <w:rPr>
          <w:rFonts w:eastAsiaTheme="minorEastAsia" w:cstheme="minorBidi"/>
          <w:sz w:val="22"/>
          <w:szCs w:val="22"/>
          <w:rtl/>
        </w:rPr>
      </w:pPr>
      <w:r>
        <w:rPr>
          <w:rtl/>
        </w:rPr>
        <w:t>דברי הפרמ"ג דבטור מוכח דאף להרא"ש אסור בחזר ובישל במין בשאינו מינו שיש נתינת טעם</w:t>
      </w:r>
    </w:p>
    <w:p w:rsidR="00F13472" w:rsidRDefault="00F13472" w:rsidP="00F13472">
      <w:pPr>
        <w:pStyle w:val="aff4"/>
        <w:rPr>
          <w:rFonts w:eastAsiaTheme="minorEastAsia" w:cstheme="minorBidi"/>
          <w:i/>
          <w:iCs/>
          <w:noProof/>
          <w:sz w:val="22"/>
          <w:szCs w:val="22"/>
          <w:rtl/>
        </w:rPr>
      </w:pPr>
      <w:r>
        <w:rPr>
          <w:noProof/>
          <w:rtl/>
        </w:rPr>
        <w:t>דברי הפרמ"ג דבאינו מינו אסור מדאו' בבישל דטע"כ דאו'</w:t>
      </w:r>
    </w:p>
    <w:p w:rsidR="00F13472" w:rsidRDefault="00F13472" w:rsidP="00F13472">
      <w:pPr>
        <w:pStyle w:val="aff2"/>
        <w:numPr>
          <w:ilvl w:val="0"/>
          <w:numId w:val="3"/>
        </w:numPr>
        <w:rPr>
          <w:rFonts w:eastAsiaTheme="minorEastAsia" w:cstheme="minorBidi"/>
          <w:sz w:val="22"/>
          <w:szCs w:val="22"/>
          <w:rtl/>
        </w:rPr>
      </w:pPr>
      <w:r>
        <w:rPr>
          <w:rtl/>
        </w:rPr>
        <w:t>דברי הפרמ"ג דהרא"ש התיר במין במינו בבישל דמותר בב"א אבל באינו מינו אסור דטע"כ דאו'</w:t>
      </w:r>
    </w:p>
    <w:p w:rsidR="00F13472" w:rsidRDefault="00F13472" w:rsidP="00F13472">
      <w:pPr>
        <w:pStyle w:val="aff2"/>
        <w:numPr>
          <w:ilvl w:val="0"/>
          <w:numId w:val="3"/>
        </w:numPr>
        <w:rPr>
          <w:rFonts w:eastAsiaTheme="minorEastAsia" w:cstheme="minorBidi"/>
          <w:sz w:val="22"/>
          <w:szCs w:val="22"/>
          <w:rtl/>
        </w:rPr>
      </w:pPr>
      <w:r>
        <w:rPr>
          <w:rtl/>
        </w:rPr>
        <w:t>קושית הפרמ"ג על הב"ח דכיון שהטעם אינו מתבטל הוכר האיסור ולהרא"ש הוא חוזר וניעור</w:t>
      </w:r>
    </w:p>
    <w:p w:rsidR="00F13472" w:rsidRDefault="00F13472" w:rsidP="00F13472">
      <w:pPr>
        <w:pStyle w:val="aff2"/>
        <w:numPr>
          <w:ilvl w:val="0"/>
          <w:numId w:val="3"/>
        </w:numPr>
        <w:rPr>
          <w:rFonts w:eastAsiaTheme="minorEastAsia" w:cstheme="minorBidi"/>
          <w:sz w:val="22"/>
          <w:szCs w:val="22"/>
          <w:rtl/>
        </w:rPr>
      </w:pPr>
      <w:r>
        <w:rPr>
          <w:rtl/>
        </w:rPr>
        <w:t>דברי הפרמ"ג דבמין בשאינו מינו שהתבטל ביבש ובישלו אסור מדאו' כמפורש בדברי הר"ן</w:t>
      </w:r>
    </w:p>
    <w:p w:rsidR="00F13472" w:rsidRDefault="00F13472" w:rsidP="00F13472">
      <w:pPr>
        <w:pStyle w:val="aff4"/>
        <w:rPr>
          <w:rFonts w:eastAsiaTheme="minorEastAsia" w:cstheme="minorBidi"/>
          <w:i/>
          <w:iCs/>
          <w:noProof/>
          <w:sz w:val="22"/>
          <w:szCs w:val="22"/>
          <w:rtl/>
        </w:rPr>
      </w:pPr>
      <w:r>
        <w:rPr>
          <w:noProof/>
          <w:rtl/>
        </w:rPr>
        <w:t>דברי הפרמ"ג דבבישל באינו מינו הטעם ניכר בחיך ואינו בטל</w:t>
      </w:r>
    </w:p>
    <w:p w:rsidR="00F13472" w:rsidRDefault="00F13472" w:rsidP="00F13472">
      <w:pPr>
        <w:pStyle w:val="aff2"/>
        <w:numPr>
          <w:ilvl w:val="0"/>
          <w:numId w:val="3"/>
        </w:numPr>
        <w:rPr>
          <w:rFonts w:eastAsiaTheme="minorEastAsia" w:cstheme="minorBidi"/>
          <w:sz w:val="22"/>
          <w:szCs w:val="22"/>
          <w:rtl/>
        </w:rPr>
      </w:pPr>
      <w:r>
        <w:rPr>
          <w:rtl/>
        </w:rPr>
        <w:t>ביאור הפרמ"ג דבבישל מין בשאינו מינו חשיב שהוכר האיסור בטעימתו בחיך</w:t>
      </w:r>
    </w:p>
    <w:p w:rsidR="00F13472" w:rsidRDefault="00F13472" w:rsidP="00F13472">
      <w:pPr>
        <w:pStyle w:val="aff4"/>
        <w:rPr>
          <w:rFonts w:eastAsiaTheme="minorEastAsia" w:cstheme="minorBidi"/>
          <w:i/>
          <w:iCs/>
          <w:noProof/>
          <w:sz w:val="22"/>
          <w:szCs w:val="22"/>
          <w:rtl/>
        </w:rPr>
      </w:pPr>
      <w:r>
        <w:rPr>
          <w:noProof/>
          <w:rtl/>
        </w:rPr>
        <w:t>דברי החזו"א דבבישל באינו מינו דטע"כ דאו' חשיב איסור ניכר</w:t>
      </w:r>
    </w:p>
    <w:p w:rsidR="00F13472" w:rsidRDefault="00F13472" w:rsidP="00F13472">
      <w:pPr>
        <w:pStyle w:val="aff2"/>
        <w:numPr>
          <w:ilvl w:val="0"/>
          <w:numId w:val="3"/>
        </w:numPr>
        <w:rPr>
          <w:rFonts w:eastAsiaTheme="minorEastAsia" w:cstheme="minorBidi"/>
          <w:sz w:val="22"/>
          <w:szCs w:val="22"/>
          <w:rtl/>
        </w:rPr>
      </w:pPr>
      <w:r>
        <w:rPr>
          <w:rtl/>
        </w:rPr>
        <w:t>קושית החזו"א דלהרא"ש שהאיסור נהפך להיתר צריך להתיר אף במין בשאינו מינו בחזר ובישל</w:t>
      </w:r>
    </w:p>
    <w:p w:rsidR="00F13472" w:rsidRDefault="00F13472" w:rsidP="00F13472">
      <w:pPr>
        <w:pStyle w:val="aff2"/>
        <w:numPr>
          <w:ilvl w:val="0"/>
          <w:numId w:val="3"/>
        </w:numPr>
        <w:rPr>
          <w:rFonts w:eastAsiaTheme="minorEastAsia" w:cstheme="minorBidi"/>
          <w:sz w:val="22"/>
          <w:szCs w:val="22"/>
          <w:rtl/>
        </w:rPr>
      </w:pPr>
      <w:r>
        <w:rPr>
          <w:rtl/>
        </w:rPr>
        <w:t>תירוץ החזו"א בבישל באינו מינו דהאיסור נותן טעם וטעם כעיקר דאו' חשיב שהוכר האיסור</w:t>
      </w:r>
    </w:p>
    <w:p w:rsidR="00F13472" w:rsidRDefault="00F13472" w:rsidP="00F13472">
      <w:pPr>
        <w:pStyle w:val="aff4"/>
        <w:rPr>
          <w:rFonts w:eastAsiaTheme="minorEastAsia" w:cstheme="minorBidi"/>
          <w:i/>
          <w:iCs/>
          <w:noProof/>
          <w:sz w:val="22"/>
          <w:szCs w:val="22"/>
          <w:rtl/>
        </w:rPr>
      </w:pPr>
      <w:r>
        <w:rPr>
          <w:noProof/>
          <w:rtl/>
        </w:rPr>
        <w:t>ספק הנפש חיה בדעת הרא"ש בחזר ובישל במין בשאינו מינו</w:t>
      </w:r>
    </w:p>
    <w:p w:rsidR="00F13472" w:rsidRDefault="00F13472" w:rsidP="00F13472">
      <w:pPr>
        <w:pStyle w:val="aff2"/>
        <w:numPr>
          <w:ilvl w:val="0"/>
          <w:numId w:val="3"/>
        </w:numPr>
        <w:rPr>
          <w:rFonts w:eastAsiaTheme="minorEastAsia" w:cstheme="minorBidi"/>
          <w:sz w:val="22"/>
          <w:szCs w:val="22"/>
          <w:rtl/>
        </w:rPr>
      </w:pPr>
      <w:r>
        <w:rPr>
          <w:rtl/>
        </w:rPr>
        <w:t>ספק הנפש חיה אי להרא"ש באינו מינו אסור בחזר ובישלו כיון שהוכר האיסור ע"י הטעם</w:t>
      </w:r>
    </w:p>
    <w:p w:rsidR="00F13472" w:rsidRDefault="00F13472" w:rsidP="00F13472">
      <w:pPr>
        <w:pStyle w:val="aff2"/>
        <w:numPr>
          <w:ilvl w:val="0"/>
          <w:numId w:val="3"/>
        </w:numPr>
        <w:rPr>
          <w:rFonts w:eastAsiaTheme="minorEastAsia" w:cstheme="minorBidi"/>
          <w:sz w:val="22"/>
          <w:szCs w:val="22"/>
          <w:rtl/>
        </w:rPr>
      </w:pPr>
      <w:r>
        <w:rPr>
          <w:rtl/>
        </w:rPr>
        <w:t>ספק הנפשר חיה אי להרא"ש בבישל מותר באינו מינו דאיסור שהותר ולא נוסף אינו חוזר וניעור</w:t>
      </w:r>
    </w:p>
    <w:p w:rsidR="00F13472" w:rsidRDefault="00F13472" w:rsidP="00F13472">
      <w:pPr>
        <w:pStyle w:val="aff4"/>
        <w:rPr>
          <w:rFonts w:eastAsiaTheme="minorEastAsia" w:cstheme="minorBidi"/>
          <w:i/>
          <w:iCs/>
          <w:noProof/>
          <w:sz w:val="22"/>
          <w:szCs w:val="22"/>
          <w:rtl/>
        </w:rPr>
      </w:pPr>
      <w:r>
        <w:rPr>
          <w:noProof/>
          <w:rtl/>
        </w:rPr>
        <w:t>ביאור הנפש חיה בפלוגתת הב"ח והפרמ"ג בלא נודע באינו מינו</w:t>
      </w:r>
    </w:p>
    <w:p w:rsidR="00F13472" w:rsidRDefault="00F13472" w:rsidP="00F13472">
      <w:pPr>
        <w:pStyle w:val="aff2"/>
        <w:numPr>
          <w:ilvl w:val="0"/>
          <w:numId w:val="3"/>
        </w:numPr>
        <w:rPr>
          <w:rFonts w:eastAsiaTheme="minorEastAsia" w:cstheme="minorBidi"/>
          <w:sz w:val="22"/>
          <w:szCs w:val="22"/>
          <w:rtl/>
        </w:rPr>
      </w:pPr>
      <w:r>
        <w:rPr>
          <w:rtl/>
        </w:rPr>
        <w:t>קושית הנפש חיה על הפרמ"ג דבאינו מינו הוכר האיסור דאף במינו צריך לגזור אטו אינו מינו</w:t>
      </w:r>
    </w:p>
    <w:p w:rsidR="00F13472" w:rsidRDefault="00F13472" w:rsidP="00F13472">
      <w:pPr>
        <w:pStyle w:val="aff2"/>
        <w:numPr>
          <w:ilvl w:val="0"/>
          <w:numId w:val="3"/>
        </w:numPr>
        <w:rPr>
          <w:rFonts w:eastAsiaTheme="minorEastAsia" w:cstheme="minorBidi"/>
          <w:sz w:val="22"/>
          <w:szCs w:val="22"/>
          <w:rtl/>
        </w:rPr>
      </w:pPr>
      <w:r>
        <w:rPr>
          <w:rtl/>
        </w:rPr>
        <w:t>תירוץ הנפש חיה דרק באינו מינו שהוכר הוא כדבר חדש ושייך לחזור ולאוסרו אף שכבר הותר</w:t>
      </w:r>
    </w:p>
    <w:p w:rsidR="00F13472" w:rsidRDefault="00F13472" w:rsidP="00F13472">
      <w:pPr>
        <w:pStyle w:val="aff2"/>
        <w:numPr>
          <w:ilvl w:val="0"/>
          <w:numId w:val="3"/>
        </w:numPr>
        <w:rPr>
          <w:rFonts w:eastAsiaTheme="minorEastAsia" w:cstheme="minorBidi"/>
          <w:sz w:val="22"/>
          <w:szCs w:val="22"/>
          <w:rtl/>
        </w:rPr>
      </w:pPr>
      <w:r>
        <w:rPr>
          <w:rtl/>
        </w:rPr>
        <w:t>קושית הנפש חיה על הב"ח דבאינו מינו שבישלו מותר מדאו' דאמאי צריך שישים ביבש</w:t>
      </w:r>
    </w:p>
    <w:p w:rsidR="00F13472" w:rsidRDefault="00F13472" w:rsidP="00F13472">
      <w:pPr>
        <w:pStyle w:val="aff2"/>
        <w:numPr>
          <w:ilvl w:val="0"/>
          <w:numId w:val="3"/>
        </w:numPr>
        <w:rPr>
          <w:rFonts w:eastAsiaTheme="minorEastAsia" w:cstheme="minorBidi"/>
          <w:sz w:val="22"/>
          <w:szCs w:val="22"/>
          <w:rtl/>
        </w:rPr>
      </w:pPr>
      <w:r>
        <w:rPr>
          <w:rtl/>
        </w:rPr>
        <w:t>תירוץ הנפש חיה דגזרו שישים ביבש באינו מינו דשייך דאו' אם יבשל לפני שנודעה התערובת</w:t>
      </w:r>
    </w:p>
    <w:p w:rsidR="00F13472" w:rsidRDefault="00F13472" w:rsidP="00F13472">
      <w:pPr>
        <w:pStyle w:val="aff2"/>
        <w:numPr>
          <w:ilvl w:val="0"/>
          <w:numId w:val="3"/>
        </w:numPr>
        <w:rPr>
          <w:rFonts w:eastAsiaTheme="minorEastAsia" w:cstheme="minorBidi"/>
          <w:sz w:val="22"/>
          <w:szCs w:val="22"/>
          <w:rtl/>
        </w:rPr>
      </w:pPr>
      <w:r>
        <w:rPr>
          <w:rtl/>
        </w:rPr>
        <w:t>דברי הנפש חיה דרק באיסור שנוסף שייך חוזר וניעור דאיסור מעורר איסור ולא באיסור שהותר</w:t>
      </w:r>
    </w:p>
    <w:p w:rsidR="00F13472" w:rsidRDefault="00F13472" w:rsidP="00F13472">
      <w:pPr>
        <w:pStyle w:val="aff2"/>
        <w:numPr>
          <w:ilvl w:val="0"/>
          <w:numId w:val="3"/>
        </w:numPr>
        <w:rPr>
          <w:rFonts w:eastAsiaTheme="minorEastAsia" w:cstheme="minorBidi"/>
          <w:sz w:val="22"/>
          <w:szCs w:val="22"/>
          <w:rtl/>
        </w:rPr>
      </w:pPr>
      <w:r>
        <w:rPr>
          <w:rtl/>
        </w:rPr>
        <w:t>דברי הנפש חיה דהא דבאינו מינו חוזר וניעור הטעם היינו דהטעם הנוסף ניכר ע"י הטעם שהותר</w:t>
      </w:r>
    </w:p>
    <w:p w:rsidR="00F13472" w:rsidRDefault="00F13472" w:rsidP="00F13472">
      <w:pPr>
        <w:pStyle w:val="2"/>
        <w:rPr>
          <w:rFonts w:eastAsiaTheme="minorEastAsia" w:cstheme="minorBidi"/>
          <w:i/>
          <w:iCs/>
          <w:sz w:val="22"/>
          <w:szCs w:val="22"/>
          <w:rtl/>
        </w:rPr>
      </w:pPr>
      <w:r>
        <w:rPr>
          <w:rtl/>
        </w:rPr>
        <w:t>ביאור היד יהודה בבישל להרא"ה והר"ן</w:t>
      </w:r>
    </w:p>
    <w:p w:rsidR="00F13472" w:rsidRDefault="00F13472" w:rsidP="00F13472">
      <w:pPr>
        <w:pStyle w:val="aff4"/>
        <w:rPr>
          <w:rFonts w:eastAsiaTheme="minorEastAsia" w:cstheme="minorBidi"/>
          <w:i/>
          <w:iCs/>
          <w:noProof/>
          <w:sz w:val="22"/>
          <w:szCs w:val="22"/>
          <w:rtl/>
        </w:rPr>
      </w:pPr>
      <w:r>
        <w:rPr>
          <w:noProof/>
          <w:rtl/>
        </w:rPr>
        <w:t>דברי הרא"ה והר"ן דאסור לבשל את כל התערובת יחד</w:t>
      </w:r>
    </w:p>
    <w:p w:rsidR="00F13472" w:rsidRDefault="00F13472" w:rsidP="00F13472">
      <w:pPr>
        <w:pStyle w:val="aff2"/>
        <w:numPr>
          <w:ilvl w:val="0"/>
          <w:numId w:val="3"/>
        </w:numPr>
        <w:rPr>
          <w:rFonts w:eastAsiaTheme="minorEastAsia" w:cstheme="minorBidi"/>
          <w:sz w:val="22"/>
          <w:szCs w:val="22"/>
          <w:rtl/>
        </w:rPr>
      </w:pPr>
      <w:r>
        <w:rPr>
          <w:rtl/>
        </w:rPr>
        <w:t>דברי הרא"ה והר"ן דביבש כ"א מותר בפנ"ע וראוי שלא לבשלם יחד דיש טעם בפחות משישים</w:t>
      </w:r>
    </w:p>
    <w:p w:rsidR="00F13472" w:rsidRDefault="00F13472" w:rsidP="00F13472">
      <w:pPr>
        <w:pStyle w:val="aff2"/>
        <w:numPr>
          <w:ilvl w:val="0"/>
          <w:numId w:val="3"/>
        </w:numPr>
        <w:rPr>
          <w:rFonts w:eastAsiaTheme="minorEastAsia" w:cstheme="minorBidi"/>
          <w:sz w:val="22"/>
          <w:szCs w:val="22"/>
          <w:rtl/>
        </w:rPr>
      </w:pPr>
      <w:r>
        <w:rPr>
          <w:rtl/>
        </w:rPr>
        <w:t>דברי הרא"ה והר"ן דשישים הוא רק כשיש בליעת איסור וביבש שאין בליעה לא שייך שישים</w:t>
      </w:r>
    </w:p>
    <w:p w:rsidR="00F13472" w:rsidRDefault="00F13472" w:rsidP="00F13472">
      <w:pPr>
        <w:pStyle w:val="aff4"/>
        <w:rPr>
          <w:rFonts w:eastAsiaTheme="minorEastAsia" w:cstheme="minorBidi"/>
          <w:i/>
          <w:iCs/>
          <w:noProof/>
          <w:sz w:val="22"/>
          <w:szCs w:val="22"/>
          <w:rtl/>
        </w:rPr>
      </w:pPr>
      <w:r>
        <w:rPr>
          <w:noProof/>
          <w:rtl/>
        </w:rPr>
        <w:t>ביאור היד יהודה ברא"ה ובר"ן דבבישל האיסור חוזר וניעור</w:t>
      </w:r>
    </w:p>
    <w:p w:rsidR="00F13472" w:rsidRDefault="00F13472" w:rsidP="00F13472">
      <w:pPr>
        <w:pStyle w:val="aff2"/>
        <w:numPr>
          <w:ilvl w:val="0"/>
          <w:numId w:val="3"/>
        </w:numPr>
        <w:rPr>
          <w:rFonts w:eastAsiaTheme="minorEastAsia" w:cstheme="minorBidi"/>
          <w:sz w:val="22"/>
          <w:szCs w:val="22"/>
          <w:rtl/>
        </w:rPr>
      </w:pPr>
      <w:r>
        <w:rPr>
          <w:rtl/>
        </w:rPr>
        <w:t>דברי היד יהודה דלהרא"ה והר"ן בבישל אמרינן דהאיסור חוזר וניעור ודמי להוסיף איסור</w:t>
      </w:r>
    </w:p>
    <w:p w:rsidR="00F13472" w:rsidRDefault="00F13472" w:rsidP="00F13472">
      <w:pPr>
        <w:pStyle w:val="aff4"/>
        <w:rPr>
          <w:rFonts w:eastAsiaTheme="minorEastAsia" w:cstheme="minorBidi"/>
          <w:i/>
          <w:iCs/>
          <w:noProof/>
          <w:sz w:val="22"/>
          <w:szCs w:val="22"/>
          <w:rtl/>
        </w:rPr>
      </w:pPr>
      <w:r>
        <w:rPr>
          <w:noProof/>
          <w:rtl/>
        </w:rPr>
        <w:t>דברי הר"ן והרא"ה דמותר להוסיף היתר ביבש ולבשל</w:t>
      </w:r>
    </w:p>
    <w:p w:rsidR="00F13472" w:rsidRDefault="00F13472" w:rsidP="00F13472">
      <w:pPr>
        <w:pStyle w:val="aff2"/>
        <w:numPr>
          <w:ilvl w:val="0"/>
          <w:numId w:val="3"/>
        </w:numPr>
        <w:rPr>
          <w:rFonts w:eastAsiaTheme="minorEastAsia" w:cstheme="minorBidi"/>
          <w:sz w:val="22"/>
          <w:szCs w:val="22"/>
          <w:rtl/>
        </w:rPr>
      </w:pPr>
      <w:r>
        <w:rPr>
          <w:rtl/>
        </w:rPr>
        <w:t>דברי הרא"ה והר"ן דמותר להוסיף ביבש יותר משישים ולבשל דהוא מותר ואי"ז ביטול איסור</w:t>
      </w:r>
    </w:p>
    <w:p w:rsidR="00F13472" w:rsidRDefault="00F13472" w:rsidP="00F13472">
      <w:pPr>
        <w:pStyle w:val="aff2"/>
        <w:numPr>
          <w:ilvl w:val="0"/>
          <w:numId w:val="3"/>
        </w:numPr>
        <w:rPr>
          <w:rFonts w:eastAsiaTheme="minorEastAsia" w:cstheme="minorBidi"/>
          <w:sz w:val="22"/>
          <w:szCs w:val="22"/>
          <w:rtl/>
        </w:rPr>
      </w:pPr>
      <w:r>
        <w:rPr>
          <w:rtl/>
        </w:rPr>
        <w:t>דברי הגר"א דהא דהתיר הרא"ה להוסיף היתר ביבש הוא כיון שהתערובת מותרת ע"י הרוב</w:t>
      </w:r>
    </w:p>
    <w:p w:rsidR="00F13472" w:rsidRDefault="00F13472" w:rsidP="00F13472">
      <w:pPr>
        <w:pStyle w:val="2"/>
        <w:rPr>
          <w:rFonts w:eastAsiaTheme="minorEastAsia" w:cstheme="minorBidi"/>
          <w:i/>
          <w:iCs/>
          <w:sz w:val="22"/>
          <w:szCs w:val="22"/>
          <w:rtl/>
        </w:rPr>
      </w:pPr>
      <w:r>
        <w:rPr>
          <w:rtl/>
        </w:rPr>
        <w:t>ביאור היד יהודה ברש"י בחזר ובישל</w:t>
      </w:r>
    </w:p>
    <w:p w:rsidR="00F13472" w:rsidRDefault="00F13472" w:rsidP="00F13472">
      <w:pPr>
        <w:pStyle w:val="aff4"/>
        <w:rPr>
          <w:rFonts w:eastAsiaTheme="minorEastAsia" w:cstheme="minorBidi"/>
          <w:i/>
          <w:iCs/>
          <w:noProof/>
          <w:sz w:val="22"/>
          <w:szCs w:val="22"/>
          <w:rtl/>
        </w:rPr>
      </w:pPr>
      <w:r>
        <w:rPr>
          <w:noProof/>
          <w:rtl/>
        </w:rPr>
        <w:t>דברי רש"י דחתיכת נבילה שבטלה ברוב צריך להשליך אחת</w:t>
      </w:r>
    </w:p>
    <w:p w:rsidR="00F13472" w:rsidRDefault="00F13472" w:rsidP="00F13472">
      <w:pPr>
        <w:pStyle w:val="aff2"/>
        <w:numPr>
          <w:ilvl w:val="0"/>
          <w:numId w:val="3"/>
        </w:numPr>
        <w:rPr>
          <w:rFonts w:eastAsiaTheme="minorEastAsia" w:cstheme="minorBidi"/>
          <w:sz w:val="22"/>
          <w:szCs w:val="22"/>
          <w:rtl/>
        </w:rPr>
      </w:pPr>
      <w:r>
        <w:rPr>
          <w:rtl/>
        </w:rPr>
        <w:t>דברי רש"י בע"ז דחתיכת נבילה שבטלה ברוב, משליך אחת לכלבים והשאר מותרות</w:t>
      </w:r>
    </w:p>
    <w:p w:rsidR="00F13472" w:rsidRDefault="00F13472" w:rsidP="00F13472">
      <w:pPr>
        <w:pStyle w:val="aff2"/>
        <w:numPr>
          <w:ilvl w:val="0"/>
          <w:numId w:val="3"/>
        </w:numPr>
        <w:rPr>
          <w:rFonts w:eastAsiaTheme="minorEastAsia" w:cstheme="minorBidi"/>
          <w:sz w:val="22"/>
          <w:szCs w:val="22"/>
          <w:rtl/>
        </w:rPr>
      </w:pPr>
      <w:r>
        <w:rPr>
          <w:rtl/>
        </w:rPr>
        <w:t>דברי היד יהודה דלרש"י אסור לבשל יחד ויל"ע בעבר ובישל אם מותר או שצריך שישים.</w:t>
      </w:r>
    </w:p>
    <w:p w:rsidR="00F13472" w:rsidRDefault="00F13472" w:rsidP="00F13472">
      <w:pPr>
        <w:pStyle w:val="2"/>
        <w:rPr>
          <w:rFonts w:eastAsiaTheme="minorEastAsia" w:cstheme="minorBidi"/>
          <w:i/>
          <w:iCs/>
          <w:sz w:val="22"/>
          <w:szCs w:val="22"/>
          <w:rtl/>
        </w:rPr>
      </w:pPr>
      <w:r>
        <w:rPr>
          <w:rtl/>
        </w:rPr>
        <w:t>ביאור היד יהודה בתוס' בחזר ובישל</w:t>
      </w:r>
    </w:p>
    <w:p w:rsidR="00F13472" w:rsidRDefault="00F13472" w:rsidP="00F13472">
      <w:pPr>
        <w:pStyle w:val="aff4"/>
        <w:rPr>
          <w:rFonts w:eastAsiaTheme="minorEastAsia" w:cstheme="minorBidi"/>
          <w:i/>
          <w:iCs/>
          <w:noProof/>
          <w:sz w:val="22"/>
          <w:szCs w:val="22"/>
          <w:rtl/>
        </w:rPr>
      </w:pPr>
      <w:r>
        <w:rPr>
          <w:noProof/>
          <w:rtl/>
        </w:rPr>
        <w:t>דברי הג' שע"ד דלהתוס' דאסר לאדם אחד ה"ה דבבישל אסור</w:t>
      </w:r>
    </w:p>
    <w:p w:rsidR="00F13472" w:rsidRDefault="00F13472" w:rsidP="00F13472">
      <w:pPr>
        <w:pStyle w:val="aff2"/>
        <w:numPr>
          <w:ilvl w:val="0"/>
          <w:numId w:val="3"/>
        </w:numPr>
        <w:rPr>
          <w:rFonts w:eastAsiaTheme="minorEastAsia" w:cstheme="minorBidi"/>
          <w:sz w:val="22"/>
          <w:szCs w:val="22"/>
          <w:rtl/>
        </w:rPr>
      </w:pPr>
      <w:r>
        <w:rPr>
          <w:rtl/>
        </w:rPr>
        <w:t>דברי התוס' והסמ"ג דאף דמהני ביטול בחד בתרי מ"מ אסור לאדם אחד לאכול את כל התערובת</w:t>
      </w:r>
    </w:p>
    <w:p w:rsidR="00F13472" w:rsidRDefault="00F13472" w:rsidP="00F13472">
      <w:pPr>
        <w:pStyle w:val="aff2"/>
        <w:numPr>
          <w:ilvl w:val="0"/>
          <w:numId w:val="3"/>
        </w:numPr>
        <w:rPr>
          <w:rFonts w:eastAsiaTheme="minorEastAsia" w:cstheme="minorBidi"/>
          <w:sz w:val="22"/>
          <w:szCs w:val="22"/>
          <w:rtl/>
        </w:rPr>
      </w:pPr>
      <w:r>
        <w:rPr>
          <w:rtl/>
        </w:rPr>
        <w:t>דברי הג' שערי דורא דלהסמ"ג דהאיסור אינו נהפך להיתר אם בישל אסור אף לב' בנ"א</w:t>
      </w:r>
    </w:p>
    <w:p w:rsidR="00F13472" w:rsidRDefault="00F13472" w:rsidP="00F13472">
      <w:pPr>
        <w:pStyle w:val="aff4"/>
        <w:rPr>
          <w:rFonts w:eastAsiaTheme="minorEastAsia" w:cstheme="minorBidi"/>
          <w:i/>
          <w:iCs/>
          <w:noProof/>
          <w:sz w:val="22"/>
          <w:szCs w:val="22"/>
          <w:rtl/>
        </w:rPr>
      </w:pPr>
      <w:r>
        <w:rPr>
          <w:noProof/>
          <w:rtl/>
        </w:rPr>
        <w:t>ביאור היד יהודה בתוס' דכיון דבלח יאסר לא הותר לגמרי ביבש</w:t>
      </w:r>
    </w:p>
    <w:p w:rsidR="00F13472" w:rsidRDefault="00F13472" w:rsidP="00F13472">
      <w:pPr>
        <w:pStyle w:val="aff2"/>
        <w:numPr>
          <w:ilvl w:val="0"/>
          <w:numId w:val="3"/>
        </w:numPr>
        <w:rPr>
          <w:rFonts w:eastAsiaTheme="minorEastAsia" w:cstheme="minorBidi"/>
          <w:sz w:val="22"/>
          <w:szCs w:val="22"/>
          <w:rtl/>
        </w:rPr>
      </w:pPr>
      <w:r>
        <w:rPr>
          <w:rtl/>
        </w:rPr>
        <w:t>ביאור היד יהודה בתוס' דאם יבשל יאסר ולא הותר לגמרי ואסור לאדם א' לאכול ודאי איסור</w:t>
      </w:r>
    </w:p>
    <w:p w:rsidR="00F13472" w:rsidRDefault="00F13472" w:rsidP="00F13472">
      <w:pPr>
        <w:pStyle w:val="2"/>
        <w:rPr>
          <w:rFonts w:eastAsiaTheme="minorEastAsia" w:cstheme="minorBidi"/>
          <w:i/>
          <w:iCs/>
          <w:sz w:val="22"/>
          <w:szCs w:val="22"/>
          <w:rtl/>
        </w:rPr>
      </w:pPr>
      <w:r>
        <w:rPr>
          <w:rtl/>
        </w:rPr>
        <w:t>דעת הרא"ש בחוזר וניעור</w:t>
      </w:r>
    </w:p>
    <w:p w:rsidR="00F13472" w:rsidRDefault="00F13472" w:rsidP="00F13472">
      <w:pPr>
        <w:pStyle w:val="aff4"/>
        <w:rPr>
          <w:rFonts w:eastAsiaTheme="minorEastAsia" w:cstheme="minorBidi"/>
          <w:i/>
          <w:iCs/>
          <w:noProof/>
          <w:sz w:val="22"/>
          <w:szCs w:val="22"/>
          <w:rtl/>
        </w:rPr>
      </w:pPr>
      <w:r>
        <w:rPr>
          <w:noProof/>
          <w:rtl/>
        </w:rPr>
        <w:t>דברי הרא"ש דיבש שבטל ברוב והוסיף איסור דחוזר וניעור</w:t>
      </w:r>
    </w:p>
    <w:p w:rsidR="00F13472" w:rsidRDefault="00F13472" w:rsidP="00F13472">
      <w:pPr>
        <w:pStyle w:val="aff2"/>
        <w:numPr>
          <w:ilvl w:val="0"/>
          <w:numId w:val="3"/>
        </w:numPr>
        <w:rPr>
          <w:rFonts w:eastAsiaTheme="minorEastAsia" w:cstheme="minorBidi"/>
          <w:sz w:val="22"/>
          <w:szCs w:val="22"/>
          <w:rtl/>
        </w:rPr>
      </w:pPr>
      <w:r>
        <w:rPr>
          <w:rtl/>
        </w:rPr>
        <w:t>דברי הרא"ש דאף דהאיסור נהפך להיתר אם הוסיף איסור האיסור חוזר וניעור והכל אסור</w:t>
      </w:r>
    </w:p>
    <w:p w:rsidR="00F13472" w:rsidRDefault="00F13472" w:rsidP="00F13472">
      <w:pPr>
        <w:pStyle w:val="aff2"/>
        <w:numPr>
          <w:ilvl w:val="0"/>
          <w:numId w:val="3"/>
        </w:numPr>
        <w:rPr>
          <w:rFonts w:eastAsiaTheme="minorEastAsia" w:cstheme="minorBidi"/>
          <w:sz w:val="22"/>
          <w:szCs w:val="22"/>
          <w:rtl/>
        </w:rPr>
      </w:pPr>
      <w:r>
        <w:rPr>
          <w:rtl/>
        </w:rPr>
        <w:t>דברי הרא"ש דבאינו מינו פשיטא דחוזר וניעור כיון שטעם האיסורים מצטרף ונותנים טעם בהיתר</w:t>
      </w:r>
    </w:p>
    <w:p w:rsidR="00F13472" w:rsidRDefault="00F13472" w:rsidP="00F13472">
      <w:pPr>
        <w:pStyle w:val="aff2"/>
        <w:numPr>
          <w:ilvl w:val="0"/>
          <w:numId w:val="3"/>
        </w:numPr>
        <w:rPr>
          <w:rFonts w:eastAsiaTheme="minorEastAsia" w:cstheme="minorBidi"/>
          <w:sz w:val="22"/>
          <w:szCs w:val="22"/>
          <w:rtl/>
        </w:rPr>
      </w:pPr>
      <w:r>
        <w:rPr>
          <w:rtl/>
        </w:rPr>
        <w:t>דברי הרא"ש דבמין במינו בלח ודאי דחוזר וניעור דהוא בכלל הגזירה אטו מין בשאינו מינו</w:t>
      </w:r>
    </w:p>
    <w:p w:rsidR="00F13472" w:rsidRDefault="00F13472" w:rsidP="00F13472">
      <w:pPr>
        <w:pStyle w:val="aff2"/>
        <w:numPr>
          <w:ilvl w:val="0"/>
          <w:numId w:val="3"/>
        </w:numPr>
        <w:rPr>
          <w:rFonts w:eastAsiaTheme="minorEastAsia" w:cstheme="minorBidi"/>
          <w:sz w:val="22"/>
          <w:szCs w:val="22"/>
          <w:rtl/>
        </w:rPr>
      </w:pPr>
      <w:r>
        <w:rPr>
          <w:rtl/>
        </w:rPr>
        <w:t>דברי הרא"ש דאף ביבש שמהני חד בתרי אף מדרבנן אם נוסף איסור האיסור חוזר וניעור</w:t>
      </w:r>
    </w:p>
    <w:p w:rsidR="00F13472" w:rsidRDefault="00F13472" w:rsidP="00F13472">
      <w:pPr>
        <w:pStyle w:val="2"/>
        <w:rPr>
          <w:rFonts w:eastAsiaTheme="minorEastAsia" w:cstheme="minorBidi"/>
          <w:i/>
          <w:iCs/>
          <w:sz w:val="22"/>
          <w:szCs w:val="22"/>
          <w:rtl/>
        </w:rPr>
      </w:pPr>
      <w:r>
        <w:rPr>
          <w:rtl/>
        </w:rPr>
        <w:t>ביאורי ראשי הישיבות</w:t>
      </w:r>
    </w:p>
    <w:p w:rsidR="00F13472" w:rsidRDefault="00F13472" w:rsidP="00F13472">
      <w:pPr>
        <w:pStyle w:val="2"/>
        <w:rPr>
          <w:rFonts w:eastAsiaTheme="minorEastAsia" w:cstheme="minorBidi"/>
          <w:i/>
          <w:iCs/>
          <w:sz w:val="22"/>
          <w:szCs w:val="22"/>
          <w:rtl/>
        </w:rPr>
      </w:pPr>
      <w:r>
        <w:rPr>
          <w:rtl/>
        </w:rPr>
        <w:t>בדעת הרשב"א בהיתר ב' קדירות</w:t>
      </w:r>
    </w:p>
    <w:p w:rsidR="00F13472" w:rsidRDefault="00F13472" w:rsidP="00F13472">
      <w:pPr>
        <w:pStyle w:val="aff4"/>
        <w:rPr>
          <w:rFonts w:eastAsiaTheme="minorEastAsia" w:cstheme="minorBidi"/>
          <w:i/>
          <w:iCs/>
          <w:noProof/>
          <w:sz w:val="22"/>
          <w:szCs w:val="22"/>
          <w:rtl/>
        </w:rPr>
      </w:pPr>
      <w:r>
        <w:rPr>
          <w:noProof/>
          <w:rtl/>
        </w:rPr>
        <w:t>דברי השער"י דלא גזרו בב' קדירות כיון שכ"א אפש"ל דמותרת</w:t>
      </w:r>
    </w:p>
    <w:p w:rsidR="00F13472" w:rsidRDefault="00F13472" w:rsidP="00F13472">
      <w:pPr>
        <w:pStyle w:val="aff2"/>
        <w:numPr>
          <w:ilvl w:val="0"/>
          <w:numId w:val="3"/>
        </w:numPr>
        <w:rPr>
          <w:rFonts w:eastAsiaTheme="minorEastAsia" w:cstheme="minorBidi"/>
          <w:sz w:val="22"/>
          <w:szCs w:val="22"/>
          <w:rtl/>
        </w:rPr>
      </w:pPr>
      <w:r>
        <w:rPr>
          <w:rtl/>
        </w:rPr>
        <w:t>דברי השער"י ברשב"א דבבישל בב' קדירות מותר דכ"א היא ספק איסור ולא גזרו אטו אינו מינו</w:t>
      </w:r>
    </w:p>
    <w:p w:rsidR="00F13472" w:rsidRDefault="00F13472" w:rsidP="00F13472">
      <w:pPr>
        <w:pStyle w:val="aff2"/>
        <w:numPr>
          <w:ilvl w:val="0"/>
          <w:numId w:val="3"/>
        </w:numPr>
        <w:rPr>
          <w:rFonts w:eastAsiaTheme="minorEastAsia" w:cstheme="minorBidi"/>
          <w:sz w:val="22"/>
          <w:szCs w:val="22"/>
          <w:rtl/>
        </w:rPr>
      </w:pPr>
      <w:r>
        <w:rPr>
          <w:rtl/>
        </w:rPr>
        <w:t>דברי השער"י דלהב"ח הרשב"א מקיל בב' קדירות בלא נודע התערובת והרא"ש מחמיר ואוסר</w:t>
      </w:r>
    </w:p>
    <w:p w:rsidR="00F13472" w:rsidRDefault="00F13472" w:rsidP="00F13472">
      <w:pPr>
        <w:pStyle w:val="aff2"/>
        <w:numPr>
          <w:ilvl w:val="0"/>
          <w:numId w:val="3"/>
        </w:numPr>
        <w:rPr>
          <w:rFonts w:eastAsiaTheme="minorEastAsia" w:cstheme="minorBidi"/>
          <w:sz w:val="22"/>
          <w:szCs w:val="22"/>
          <w:rtl/>
        </w:rPr>
      </w:pPr>
      <w:r w:rsidRPr="00F66DD2">
        <w:rPr>
          <w:b/>
          <w:bCs/>
          <w:sz w:val="18"/>
          <w:szCs w:val="18"/>
          <w:rtl/>
        </w:rPr>
        <w:t xml:space="preserve">דברי הגרי"ז ברשב"א דבבישל אין היתר מדין הלך אחר הרוב </w:t>
      </w:r>
      <w:r>
        <w:rPr>
          <w:rtl/>
        </w:rPr>
        <w:t>ביאור הגרי"ז דבבישל אוסר הרשב"א א"א להתיר מדין הלך אחר הרוב וממילא הכל נאסר</w:t>
      </w:r>
    </w:p>
    <w:p w:rsidR="00F13472" w:rsidRDefault="00F13472" w:rsidP="00F13472">
      <w:pPr>
        <w:pStyle w:val="2"/>
        <w:rPr>
          <w:rFonts w:eastAsiaTheme="minorEastAsia" w:cstheme="minorBidi"/>
          <w:i/>
          <w:iCs/>
          <w:sz w:val="22"/>
          <w:szCs w:val="22"/>
          <w:rtl/>
        </w:rPr>
      </w:pPr>
      <w:r>
        <w:rPr>
          <w:rtl/>
        </w:rPr>
        <w:t>בדעת הרא"ש דבחזר ובישל מותר</w:t>
      </w:r>
    </w:p>
    <w:p w:rsidR="00F13472" w:rsidRDefault="00F13472" w:rsidP="00F13472">
      <w:pPr>
        <w:pStyle w:val="aff4"/>
        <w:rPr>
          <w:rFonts w:eastAsiaTheme="minorEastAsia" w:cstheme="minorBidi"/>
          <w:i/>
          <w:iCs/>
          <w:noProof/>
          <w:sz w:val="22"/>
          <w:szCs w:val="22"/>
          <w:rtl/>
        </w:rPr>
      </w:pPr>
      <w:r>
        <w:rPr>
          <w:noProof/>
          <w:rtl/>
        </w:rPr>
        <w:t>ביאור השער"י ברא"ש דא"א להתיר ביבש ולאסור כשיתבשל</w:t>
      </w:r>
    </w:p>
    <w:p w:rsidR="00F13472" w:rsidRDefault="00F13472" w:rsidP="00F13472">
      <w:pPr>
        <w:pStyle w:val="aff2"/>
        <w:numPr>
          <w:ilvl w:val="0"/>
          <w:numId w:val="3"/>
        </w:numPr>
        <w:rPr>
          <w:rFonts w:eastAsiaTheme="minorEastAsia" w:cstheme="minorBidi"/>
          <w:sz w:val="22"/>
          <w:szCs w:val="22"/>
          <w:rtl/>
        </w:rPr>
      </w:pPr>
      <w:r>
        <w:rPr>
          <w:rtl/>
        </w:rPr>
        <w:lastRenderedPageBreak/>
        <w:t>ביאור השער"י בקושית הרא"ש דאי ביבש מותר ובבישול אסור אטו אינו מינו הוי חוכא</w:t>
      </w:r>
    </w:p>
    <w:p w:rsidR="00F13472" w:rsidRDefault="00F13472" w:rsidP="00F13472">
      <w:pPr>
        <w:pStyle w:val="aff2"/>
        <w:numPr>
          <w:ilvl w:val="0"/>
          <w:numId w:val="3"/>
        </w:numPr>
        <w:rPr>
          <w:rFonts w:eastAsiaTheme="minorEastAsia" w:cstheme="minorBidi"/>
          <w:sz w:val="22"/>
          <w:szCs w:val="22"/>
          <w:rtl/>
        </w:rPr>
      </w:pPr>
      <w:r>
        <w:rPr>
          <w:rtl/>
        </w:rPr>
        <w:t>ביאור השער"י דבחזר ובישל לא גזרו אטו אינו מינו דהשוו מידותיהם דאף פליטתו מותרת לגמרי</w:t>
      </w:r>
    </w:p>
    <w:p w:rsidR="00F13472" w:rsidRDefault="00F13472" w:rsidP="00F13472">
      <w:pPr>
        <w:pStyle w:val="2"/>
        <w:rPr>
          <w:rtl/>
        </w:rPr>
      </w:pPr>
      <w:r>
        <w:rPr>
          <w:rFonts w:hint="cs"/>
          <w:rtl/>
        </w:rPr>
        <w:t>בביאור דין לא נודעה התערובת</w:t>
      </w:r>
    </w:p>
    <w:p w:rsidR="00F13472" w:rsidRDefault="00F13472" w:rsidP="00F13472">
      <w:pPr>
        <w:pStyle w:val="aff4"/>
        <w:rPr>
          <w:rtl/>
        </w:rPr>
      </w:pPr>
      <w:r>
        <w:rPr>
          <w:rFonts w:hint="cs"/>
          <w:rtl/>
        </w:rPr>
        <w:t>דברי השער"י דהיה אפש"ל דבלא נודעה לא חשיב תערובת</w:t>
      </w:r>
    </w:p>
    <w:p w:rsidR="00F13472" w:rsidRDefault="00F13472" w:rsidP="00F13472">
      <w:pPr>
        <w:pStyle w:val="aff2"/>
        <w:numPr>
          <w:ilvl w:val="0"/>
          <w:numId w:val="3"/>
        </w:numPr>
        <w:rPr>
          <w:rFonts w:eastAsiaTheme="minorEastAsia" w:cstheme="minorBidi"/>
          <w:sz w:val="22"/>
          <w:szCs w:val="22"/>
          <w:rtl/>
        </w:rPr>
      </w:pPr>
      <w:r>
        <w:rPr>
          <w:rtl/>
        </w:rPr>
        <w:t>דברי השער"י דדין ביטול ברוב הוא דדין הרוב של ההיתר מבטל את דין המיעוט של האיסור</w:t>
      </w:r>
    </w:p>
    <w:p w:rsidR="00F13472" w:rsidRDefault="00F13472" w:rsidP="00F13472">
      <w:pPr>
        <w:pStyle w:val="aff2"/>
        <w:numPr>
          <w:ilvl w:val="0"/>
          <w:numId w:val="3"/>
        </w:numPr>
        <w:rPr>
          <w:rFonts w:eastAsiaTheme="minorEastAsia" w:cstheme="minorBidi"/>
          <w:sz w:val="22"/>
          <w:szCs w:val="22"/>
          <w:rtl/>
        </w:rPr>
      </w:pPr>
      <w:r>
        <w:rPr>
          <w:rtl/>
        </w:rPr>
        <w:t>דברי השער"י דביבש אפש"ל דלפני שנודעה התערובת לא חשיבא תערובת ולכן אין ביטול ברוב</w:t>
      </w:r>
    </w:p>
    <w:p w:rsidR="00F13472" w:rsidRDefault="00F13472" w:rsidP="00F13472">
      <w:pPr>
        <w:pStyle w:val="aff2"/>
        <w:numPr>
          <w:ilvl w:val="0"/>
          <w:numId w:val="3"/>
        </w:numPr>
        <w:rPr>
          <w:rFonts w:eastAsiaTheme="minorEastAsia" w:cstheme="minorBidi"/>
          <w:sz w:val="22"/>
          <w:szCs w:val="22"/>
          <w:rtl/>
        </w:rPr>
      </w:pPr>
      <w:r>
        <w:rPr>
          <w:rtl/>
        </w:rPr>
        <w:t>דחיית השער"י דבלח יש תערובת לפני שנודעה התערובת ואפ"ה אין בה ביטול בלא נודעה</w:t>
      </w:r>
    </w:p>
    <w:p w:rsidR="00F13472" w:rsidRDefault="00F13472" w:rsidP="00F13472">
      <w:pPr>
        <w:pStyle w:val="aff4"/>
        <w:rPr>
          <w:rtl/>
        </w:rPr>
      </w:pPr>
      <w:r>
        <w:rPr>
          <w:rFonts w:hint="cs"/>
          <w:rtl/>
        </w:rPr>
        <w:t>ביאור השער"י דבלא נודעה המיעוט לא מתנגד לרוב ולא בטל</w:t>
      </w:r>
    </w:p>
    <w:p w:rsidR="00F13472" w:rsidRDefault="00F13472" w:rsidP="00F13472">
      <w:pPr>
        <w:pStyle w:val="aff2"/>
        <w:numPr>
          <w:ilvl w:val="0"/>
          <w:numId w:val="3"/>
        </w:numPr>
        <w:rPr>
          <w:rFonts w:eastAsiaTheme="minorEastAsia" w:cstheme="minorBidi"/>
          <w:sz w:val="22"/>
          <w:szCs w:val="22"/>
          <w:rtl/>
        </w:rPr>
      </w:pPr>
      <w:r>
        <w:rPr>
          <w:rtl/>
        </w:rPr>
        <w:t>ביאור השער"י דבלא נודעה התערובת שדין האיסור לא מתנגד לדין רוב ההיתר ואין ביטול</w:t>
      </w:r>
    </w:p>
    <w:p w:rsidR="00F13472" w:rsidRDefault="00F13472" w:rsidP="00F13472">
      <w:pPr>
        <w:pStyle w:val="aff4"/>
        <w:rPr>
          <w:rFonts w:eastAsiaTheme="minorEastAsia" w:cstheme="minorBidi"/>
          <w:i/>
          <w:iCs/>
          <w:noProof/>
          <w:sz w:val="22"/>
          <w:szCs w:val="22"/>
          <w:rtl/>
        </w:rPr>
      </w:pPr>
      <w:r>
        <w:rPr>
          <w:noProof/>
          <w:rtl/>
        </w:rPr>
        <w:t>דברי הקוה"ע דביטול יבש ביבש הוא רק ע"י הספק</w:t>
      </w:r>
    </w:p>
    <w:p w:rsidR="00F13472" w:rsidRDefault="00F13472" w:rsidP="00F13472">
      <w:pPr>
        <w:pStyle w:val="aff2"/>
        <w:numPr>
          <w:ilvl w:val="0"/>
          <w:numId w:val="3"/>
        </w:numPr>
        <w:rPr>
          <w:rFonts w:eastAsiaTheme="minorEastAsia" w:cstheme="minorBidi"/>
          <w:sz w:val="22"/>
          <w:szCs w:val="22"/>
          <w:rtl/>
        </w:rPr>
      </w:pPr>
      <w:r>
        <w:rPr>
          <w:rtl/>
        </w:rPr>
        <w:t>קושית הקוב"ש מה הסברא בלא נודעה התערובת הא היה רוב ומ"ש מטובל ולא ידע שנטמא</w:t>
      </w:r>
    </w:p>
    <w:p w:rsidR="00F13472" w:rsidRDefault="00F13472" w:rsidP="00F13472">
      <w:pPr>
        <w:pStyle w:val="aff2"/>
        <w:numPr>
          <w:ilvl w:val="0"/>
          <w:numId w:val="3"/>
        </w:numPr>
        <w:rPr>
          <w:rFonts w:eastAsiaTheme="minorEastAsia" w:cstheme="minorBidi"/>
          <w:sz w:val="22"/>
          <w:szCs w:val="22"/>
          <w:rtl/>
        </w:rPr>
      </w:pPr>
      <w:r>
        <w:rPr>
          <w:rtl/>
        </w:rPr>
        <w:t>קושית הקוה"ע דכיון דביטול הוא בודאי אמאי דין ביטול הוא רק אחר שנודעה התערובת</w:t>
      </w:r>
    </w:p>
    <w:p w:rsidR="00F13472" w:rsidRDefault="00F13472" w:rsidP="00F13472">
      <w:pPr>
        <w:pStyle w:val="aff2"/>
        <w:numPr>
          <w:ilvl w:val="0"/>
          <w:numId w:val="3"/>
        </w:numPr>
        <w:rPr>
          <w:rFonts w:eastAsiaTheme="minorEastAsia" w:cstheme="minorBidi"/>
          <w:sz w:val="22"/>
          <w:szCs w:val="22"/>
          <w:rtl/>
        </w:rPr>
      </w:pPr>
      <w:r>
        <w:rPr>
          <w:rtl/>
        </w:rPr>
        <w:t>תירוץ הקוע"ה דביבש אין שינוי באיסור ומותר מחמת ספק ולכן ההיתר רק כשיש ספק</w:t>
      </w:r>
    </w:p>
    <w:p w:rsidR="00F13472" w:rsidRDefault="00F13472" w:rsidP="00F13472">
      <w:pPr>
        <w:pStyle w:val="aff2"/>
        <w:numPr>
          <w:ilvl w:val="0"/>
          <w:numId w:val="3"/>
        </w:numPr>
        <w:rPr>
          <w:rFonts w:eastAsiaTheme="minorEastAsia" w:cstheme="minorBidi"/>
          <w:sz w:val="22"/>
          <w:szCs w:val="22"/>
          <w:rtl/>
        </w:rPr>
      </w:pPr>
      <w:r>
        <w:rPr>
          <w:rtl/>
        </w:rPr>
        <w:t>ביאור הקוב"ש דביטול ברוב דנהפך להיתר הוא חידוש ואין לך בו אלא חידושו ול"מ למפרע</w:t>
      </w:r>
    </w:p>
    <w:p w:rsidR="00F13472" w:rsidRDefault="00F13472" w:rsidP="00F13472">
      <w:pPr>
        <w:pStyle w:val="2"/>
        <w:rPr>
          <w:rtl/>
        </w:rPr>
        <w:sectPr w:rsidR="00F13472" w:rsidSect="00F13472">
          <w:headerReference w:type="default" r:id="rId99"/>
          <w:type w:val="continuous"/>
          <w:pgSz w:w="11906" w:h="16838"/>
          <w:pgMar w:top="720" w:right="720" w:bottom="720" w:left="720" w:header="283" w:footer="283" w:gutter="0"/>
          <w:cols w:num="2" w:space="113"/>
          <w:bidi/>
          <w:rtlGutter/>
          <w:docGrid w:linePitch="299"/>
        </w:sectPr>
      </w:pPr>
      <w:r>
        <w:rPr>
          <w:rtl/>
        </w:rPr>
        <w:fldChar w:fldCharType="end"/>
      </w:r>
    </w:p>
    <w:p w:rsidR="00F13472" w:rsidRPr="00B21444" w:rsidRDefault="00F13472" w:rsidP="00F13472">
      <w:pPr>
        <w:pStyle w:val="afd"/>
        <w:rPr>
          <w:rtl/>
        </w:rPr>
        <w:sectPr w:rsidR="00F13472" w:rsidRPr="00B21444" w:rsidSect="00996763">
          <w:pgSz w:w="11906" w:h="16838"/>
          <w:pgMar w:top="720" w:right="720" w:bottom="720" w:left="720" w:header="283" w:footer="283" w:gutter="0"/>
          <w:cols w:space="720"/>
          <w:bidi/>
          <w:rtlGutter/>
          <w:docGrid w:linePitch="299"/>
        </w:sectPr>
      </w:pPr>
      <w:bookmarkStart w:id="13875" w:name="_Toc24403366"/>
      <w:bookmarkStart w:id="13876" w:name="_Toc24455833"/>
      <w:bookmarkStart w:id="13877" w:name="_Toc24576790"/>
      <w:bookmarkStart w:id="13878" w:name="_Toc24709346"/>
      <w:bookmarkStart w:id="13879" w:name="_Toc24838938"/>
      <w:bookmarkStart w:id="13880" w:name="_Toc24918023"/>
      <w:bookmarkStart w:id="13881" w:name="_Toc24918231"/>
      <w:r w:rsidRPr="0081356D">
        <w:rPr>
          <w:rFonts w:hint="cs"/>
          <w:rtl/>
        </w:rPr>
        <w:lastRenderedPageBreak/>
        <w:t>מראי מקומות וביאורים</w:t>
      </w:r>
      <w:bookmarkEnd w:id="13875"/>
      <w:bookmarkEnd w:id="13876"/>
      <w:bookmarkEnd w:id="13877"/>
      <w:bookmarkEnd w:id="13878"/>
      <w:bookmarkEnd w:id="13879"/>
      <w:bookmarkEnd w:id="13880"/>
      <w:bookmarkEnd w:id="13881"/>
    </w:p>
    <w:p w:rsidR="00F13472" w:rsidRPr="003D6DFB" w:rsidRDefault="00F13472" w:rsidP="00F13472">
      <w:pPr>
        <w:pStyle w:val="afd"/>
        <w:rPr>
          <w:rtl/>
        </w:rPr>
      </w:pPr>
      <w:bookmarkStart w:id="13882" w:name="_Toc24403378"/>
      <w:bookmarkStart w:id="13883" w:name="_Toc24455845"/>
      <w:bookmarkStart w:id="13884" w:name="_Toc24576791"/>
      <w:bookmarkStart w:id="13885" w:name="_Toc24709347"/>
      <w:bookmarkStart w:id="13886" w:name="_Toc24838939"/>
      <w:bookmarkStart w:id="13887" w:name="_Toc24918024"/>
      <w:bookmarkStart w:id="13888" w:name="_Toc24918232"/>
      <w:bookmarkStart w:id="13889" w:name="_Toc24403367"/>
      <w:bookmarkStart w:id="13890" w:name="_Toc24455834"/>
      <w:r w:rsidRPr="003D6DFB">
        <w:rPr>
          <w:rFonts w:hint="cs"/>
          <w:rtl/>
        </w:rPr>
        <w:t>דעת הרשב"א</w:t>
      </w:r>
      <w:bookmarkEnd w:id="13882"/>
      <w:bookmarkEnd w:id="13883"/>
      <w:r w:rsidRPr="003D6DFB">
        <w:rPr>
          <w:rFonts w:hint="cs"/>
          <w:rtl/>
        </w:rPr>
        <w:t xml:space="preserve"> </w:t>
      </w:r>
      <w:r>
        <w:rPr>
          <w:rFonts w:hint="cs"/>
          <w:rtl/>
        </w:rPr>
        <w:t>דיבש שהתבשל דינו כלח</w:t>
      </w:r>
      <w:bookmarkEnd w:id="13884"/>
      <w:bookmarkEnd w:id="13885"/>
      <w:bookmarkEnd w:id="13886"/>
      <w:bookmarkEnd w:id="13887"/>
      <w:bookmarkEnd w:id="13888"/>
    </w:p>
    <w:p w:rsidR="00F13472" w:rsidRPr="002137F7" w:rsidRDefault="00F13472" w:rsidP="00F13472">
      <w:pPr>
        <w:pStyle w:val="1"/>
        <w:rPr>
          <w:rtl/>
        </w:rPr>
      </w:pPr>
      <w:bookmarkStart w:id="13891" w:name="_Toc24576792"/>
      <w:bookmarkStart w:id="13892" w:name="_Toc24709348"/>
      <w:bookmarkStart w:id="13893" w:name="_Toc24838940"/>
      <w:bookmarkStart w:id="13894" w:name="_Toc24918025"/>
      <w:bookmarkStart w:id="13895" w:name="_Toc24918233"/>
      <w:bookmarkStart w:id="13896" w:name="_Toc24403379"/>
      <w:bookmarkStart w:id="13897" w:name="_Toc24455846"/>
      <w:r>
        <w:rPr>
          <w:rFonts w:hint="cs"/>
          <w:rtl/>
        </w:rPr>
        <w:t>דברי הרשב"א דביטול ברוב ביבש הוא רק בכל חתיכה בפנ"ע</w:t>
      </w:r>
      <w:bookmarkEnd w:id="13891"/>
      <w:bookmarkEnd w:id="13892"/>
      <w:bookmarkEnd w:id="13893"/>
      <w:bookmarkEnd w:id="13894"/>
      <w:bookmarkEnd w:id="13895"/>
      <w:r>
        <w:rPr>
          <w:rFonts w:hint="cs"/>
          <w:rtl/>
        </w:rPr>
        <w:t xml:space="preserve"> </w:t>
      </w:r>
    </w:p>
    <w:p w:rsidR="00F13472" w:rsidRPr="0089458F" w:rsidRDefault="00F13472" w:rsidP="00F13472">
      <w:pPr>
        <w:pStyle w:val="a2"/>
      </w:pPr>
      <w:bookmarkStart w:id="13898" w:name="_Toc24576793"/>
      <w:bookmarkStart w:id="13899" w:name="_Toc24709349"/>
      <w:bookmarkStart w:id="13900" w:name="_Toc24838941"/>
      <w:bookmarkStart w:id="13901" w:name="_Toc24918026"/>
      <w:bookmarkStart w:id="13902" w:name="_Toc24918234"/>
      <w:r>
        <w:rPr>
          <w:rFonts w:hint="cs"/>
          <w:rtl/>
        </w:rPr>
        <w:t>דברי הרשב"א דביבש שאוכל כ"א בפנ"ע אומר שאינה האיסור ולכן א"צ שישים ובטל ברוב</w:t>
      </w:r>
      <w:bookmarkEnd w:id="13898"/>
      <w:bookmarkEnd w:id="13899"/>
      <w:bookmarkEnd w:id="13900"/>
      <w:bookmarkEnd w:id="13901"/>
      <w:bookmarkEnd w:id="13902"/>
    </w:p>
    <w:p w:rsidR="00F13472" w:rsidRPr="00507E59" w:rsidRDefault="00F13472" w:rsidP="009F44AF">
      <w:pPr>
        <w:pStyle w:val="a"/>
        <w:numPr>
          <w:ilvl w:val="0"/>
          <w:numId w:val="37"/>
        </w:numPr>
        <w:rPr>
          <w:rStyle w:val="afa"/>
          <w:rtl/>
        </w:rPr>
      </w:pPr>
      <w:bookmarkStart w:id="13903" w:name="_Ref24501484"/>
      <w:r>
        <w:rPr>
          <w:rFonts w:hint="cs"/>
          <w:rtl/>
        </w:rPr>
        <w:t xml:space="preserve">כתב </w:t>
      </w:r>
      <w:r w:rsidRPr="001E5B44">
        <w:rPr>
          <w:rStyle w:val="af8"/>
          <w:rFonts w:hint="cs"/>
          <w:rtl/>
        </w:rPr>
        <w:t>הרשב"א בתוה"ב</w:t>
      </w:r>
      <w:r>
        <w:rPr>
          <w:rFonts w:hint="cs"/>
          <w:rtl/>
        </w:rPr>
        <w:t xml:space="preserve"> </w:t>
      </w:r>
      <w:r w:rsidRPr="009F44AF">
        <w:rPr>
          <w:rStyle w:val="af6"/>
          <w:rFonts w:eastAsia="Guttman Hodes" w:hint="cs"/>
          <w:rtl/>
        </w:rPr>
        <w:t>(ב"ד ש"א יז. מדה"ס)</w:t>
      </w:r>
      <w:r>
        <w:rPr>
          <w:rFonts w:hint="cs"/>
          <w:rtl/>
        </w:rPr>
        <w:t xml:space="preserve"> דמבואר בסוגיין דבמין במינו ביבש ביבש מהני ביטול בחד בתרי ואף מדרבנן א"צ שישים, וביאר </w:t>
      </w:r>
      <w:r w:rsidRPr="00927358">
        <w:rPr>
          <w:rStyle w:val="af8"/>
          <w:rFonts w:hint="cs"/>
          <w:rtl/>
        </w:rPr>
        <w:t>הרשב"א בתוה"ב</w:t>
      </w:r>
      <w:r>
        <w:rPr>
          <w:rFonts w:hint="cs"/>
          <w:rtl/>
        </w:rPr>
        <w:t xml:space="preserve"> דביבש ביבש, כיון שהוא יכול לאכול כל חתיכה בפנ"ע, לכן כשאוכל כל אחת מהחתיכות, אומר שאינה החתיכה האסורה, ובחתיכה האחרונה אומר שהאיסור כבר נאכל, והאחרונה היא מותרת, אך אסור לאכול את כל התערובת יחד. </w:t>
      </w:r>
      <w:r w:rsidRPr="00507E59">
        <w:rPr>
          <w:rStyle w:val="afa"/>
          <w:rFonts w:hint="cs"/>
          <w:rtl/>
        </w:rPr>
        <w:t xml:space="preserve">[ועי' במה שביאר בזה </w:t>
      </w:r>
      <w:r w:rsidRPr="00507E59">
        <w:rPr>
          <w:rStyle w:val="affa"/>
          <w:rFonts w:hint="cs"/>
          <w:rtl/>
        </w:rPr>
        <w:t>הרשב"א</w:t>
      </w:r>
      <w:r w:rsidRPr="00507E59">
        <w:rPr>
          <w:rStyle w:val="afa"/>
          <w:rFonts w:hint="cs"/>
          <w:rtl/>
        </w:rPr>
        <w:t xml:space="preserve"> </w:t>
      </w:r>
      <w:r w:rsidRPr="00507E59">
        <w:rPr>
          <w:rStyle w:val="aff6"/>
          <w:rFonts w:hint="cs"/>
          <w:rtl/>
        </w:rPr>
        <w:t>(הובא בסימן י"ז אות מ"ו)</w:t>
      </w:r>
      <w:r w:rsidRPr="00507E59">
        <w:rPr>
          <w:rStyle w:val="afa"/>
          <w:rFonts w:hint="cs"/>
          <w:rtl/>
        </w:rPr>
        <w:t>].</w:t>
      </w:r>
      <w:bookmarkEnd w:id="13903"/>
    </w:p>
    <w:p w:rsidR="00F13472" w:rsidRPr="003D6DFB" w:rsidRDefault="00F13472" w:rsidP="00F13472">
      <w:pPr>
        <w:pStyle w:val="1"/>
        <w:rPr>
          <w:rtl/>
        </w:rPr>
      </w:pPr>
      <w:bookmarkStart w:id="13904" w:name="_Toc24576794"/>
      <w:bookmarkStart w:id="13905" w:name="_Toc24709350"/>
      <w:bookmarkStart w:id="13906" w:name="_Toc24838942"/>
      <w:bookmarkStart w:id="13907" w:name="_Toc24918027"/>
      <w:bookmarkStart w:id="13908" w:name="_Toc24918235"/>
      <w:r w:rsidRPr="003D6DFB">
        <w:rPr>
          <w:rFonts w:hint="cs"/>
          <w:rtl/>
        </w:rPr>
        <w:t>דברי הרשב"א</w:t>
      </w:r>
      <w:bookmarkEnd w:id="13896"/>
      <w:bookmarkEnd w:id="13897"/>
      <w:r>
        <w:rPr>
          <w:rFonts w:hint="cs"/>
          <w:rtl/>
        </w:rPr>
        <w:t xml:space="preserve"> דבחזר ובישל את התערובת יחד אסור דהוי לח</w:t>
      </w:r>
      <w:bookmarkEnd w:id="13904"/>
      <w:bookmarkEnd w:id="13905"/>
      <w:bookmarkEnd w:id="13906"/>
      <w:bookmarkEnd w:id="13907"/>
      <w:bookmarkEnd w:id="13908"/>
    </w:p>
    <w:p w:rsidR="00F13472" w:rsidRPr="003D6DFB" w:rsidRDefault="00F13472" w:rsidP="00F13472">
      <w:pPr>
        <w:pStyle w:val="a2"/>
        <w:rPr>
          <w:rtl/>
        </w:rPr>
      </w:pPr>
      <w:bookmarkStart w:id="13909" w:name="_Toc24403380"/>
      <w:bookmarkStart w:id="13910" w:name="_Toc24455847"/>
      <w:bookmarkStart w:id="13911" w:name="_Toc24576795"/>
      <w:bookmarkStart w:id="13912" w:name="_Toc24709351"/>
      <w:bookmarkStart w:id="13913" w:name="_Toc24838943"/>
      <w:bookmarkStart w:id="13914" w:name="_Toc24918028"/>
      <w:bookmarkStart w:id="13915" w:name="_Toc24918236"/>
      <w:r w:rsidRPr="003D6DFB">
        <w:rPr>
          <w:rFonts w:hint="cs"/>
          <w:rtl/>
        </w:rPr>
        <w:t>דברי הרשב"א דמותר לאכול רק כל חתיכה בפנ"ע ואסור לבשל דנעשה כלח דצריך שישים</w:t>
      </w:r>
      <w:bookmarkEnd w:id="13909"/>
      <w:bookmarkEnd w:id="13910"/>
      <w:bookmarkEnd w:id="13911"/>
      <w:bookmarkEnd w:id="13912"/>
      <w:bookmarkEnd w:id="13913"/>
      <w:bookmarkEnd w:id="13914"/>
      <w:bookmarkEnd w:id="13915"/>
    </w:p>
    <w:p w:rsidR="00F13472" w:rsidRDefault="00F13472" w:rsidP="009F44AF">
      <w:pPr>
        <w:pStyle w:val="a"/>
        <w:rPr>
          <w:rtl/>
        </w:rPr>
      </w:pPr>
      <w:bookmarkStart w:id="13916" w:name="_Ref24904091"/>
      <w:r>
        <w:rPr>
          <w:rFonts w:hint="cs"/>
          <w:rtl/>
        </w:rPr>
        <w:t xml:space="preserve">אך </w:t>
      </w:r>
      <w:r w:rsidRPr="003D6DFB">
        <w:rPr>
          <w:rFonts w:hint="cs"/>
          <w:rtl/>
        </w:rPr>
        <w:t xml:space="preserve">כתב </w:t>
      </w:r>
      <w:r w:rsidRPr="003D6DFB">
        <w:rPr>
          <w:rStyle w:val="af8"/>
          <w:rFonts w:hint="cs"/>
          <w:rtl/>
        </w:rPr>
        <w:t>הרשב"א בתוה"ב</w:t>
      </w:r>
      <w:r w:rsidRPr="003D6DFB">
        <w:rPr>
          <w:rFonts w:hint="cs"/>
          <w:rtl/>
        </w:rPr>
        <w:t xml:space="preserve"> </w:t>
      </w:r>
      <w:r w:rsidRPr="003D6DFB">
        <w:rPr>
          <w:rStyle w:val="af6"/>
          <w:rFonts w:eastAsia="Guttman Hodes" w:hint="cs"/>
          <w:rtl/>
        </w:rPr>
        <w:t>(ב"ד ש"א יז. מדה"ס)</w:t>
      </w:r>
      <w:r w:rsidRPr="003D6DFB">
        <w:rPr>
          <w:rFonts w:hint="cs"/>
          <w:rtl/>
        </w:rPr>
        <w:t xml:space="preserve"> דהא דביבש ביבש </w:t>
      </w:r>
      <w:r>
        <w:rPr>
          <w:rFonts w:hint="cs"/>
          <w:rtl/>
        </w:rPr>
        <w:t>מהני ביטול בחד בתרי</w:t>
      </w:r>
      <w:r w:rsidRPr="00CF4A22">
        <w:rPr>
          <w:rFonts w:hint="cs"/>
          <w:rtl/>
        </w:rPr>
        <w:t xml:space="preserve"> </w:t>
      </w:r>
      <w:r w:rsidRPr="003D6DFB">
        <w:rPr>
          <w:rFonts w:hint="cs"/>
          <w:rtl/>
        </w:rPr>
        <w:t>וא"צ שישים</w:t>
      </w:r>
      <w:r>
        <w:rPr>
          <w:rFonts w:hint="cs"/>
          <w:rtl/>
        </w:rPr>
        <w:t xml:space="preserve">, </w:t>
      </w:r>
      <w:r w:rsidRPr="003D6DFB">
        <w:rPr>
          <w:rFonts w:hint="cs"/>
          <w:rtl/>
        </w:rPr>
        <w:t>היינו דוקא כשלא חזר ובישלם יחד, אבל אם בישלם יחד אסור, כיון שע"י הבישול התערב האיסור עם ההיתר, ודינו כשאר האיסורין בלח בלח שצריך שישים</w:t>
      </w:r>
      <w:r>
        <w:rPr>
          <w:rFonts w:hint="cs"/>
          <w:rtl/>
        </w:rPr>
        <w:t>.</w:t>
      </w:r>
      <w:bookmarkEnd w:id="13916"/>
      <w:r>
        <w:rPr>
          <w:rFonts w:hint="cs"/>
          <w:rtl/>
        </w:rPr>
        <w:t xml:space="preserve"> [ועי' במה שביאר </w:t>
      </w:r>
      <w:r w:rsidRPr="000D0DAD">
        <w:rPr>
          <w:rStyle w:val="af8"/>
          <w:rFonts w:hint="cs"/>
          <w:rtl/>
        </w:rPr>
        <w:t>הגרי"ז</w:t>
      </w:r>
      <w:r>
        <w:rPr>
          <w:rFonts w:hint="cs"/>
          <w:rtl/>
        </w:rPr>
        <w:t xml:space="preserve"> </w:t>
      </w:r>
      <w:r w:rsidRPr="000D0DAD">
        <w:rPr>
          <w:rStyle w:val="af6"/>
          <w:rFonts w:eastAsia="Guttman Hodes" w:hint="cs"/>
          <w:rtl/>
        </w:rPr>
        <w:t xml:space="preserve">(עי' אות </w:t>
      </w:r>
      <w:r w:rsidRPr="000D0DAD">
        <w:rPr>
          <w:rStyle w:val="af6"/>
          <w:rFonts w:eastAsia="Guttman Hodes"/>
          <w:rtl/>
        </w:rPr>
        <w:fldChar w:fldCharType="begin"/>
      </w:r>
      <w:r w:rsidRPr="000D0DAD">
        <w:rPr>
          <w:rStyle w:val="af6"/>
          <w:rFonts w:eastAsia="Guttman Hodes"/>
          <w:rtl/>
        </w:rPr>
        <w:instrText xml:space="preserve"> </w:instrText>
      </w:r>
      <w:r w:rsidRPr="000D0DAD">
        <w:rPr>
          <w:rStyle w:val="af6"/>
          <w:rFonts w:eastAsia="Guttman Hodes" w:hint="cs"/>
        </w:rPr>
        <w:instrText>REF</w:instrText>
      </w:r>
      <w:r w:rsidRPr="000D0DAD">
        <w:rPr>
          <w:rStyle w:val="af6"/>
          <w:rFonts w:eastAsia="Guttman Hodes" w:hint="cs"/>
          <w:rtl/>
        </w:rPr>
        <w:instrText xml:space="preserve"> _</w:instrText>
      </w:r>
      <w:r w:rsidRPr="000D0DAD">
        <w:rPr>
          <w:rStyle w:val="af6"/>
          <w:rFonts w:eastAsia="Guttman Hodes" w:hint="cs"/>
        </w:rPr>
        <w:instrText>Ref24919207 \r \h</w:instrText>
      </w:r>
      <w:r w:rsidRPr="000D0DAD">
        <w:rPr>
          <w:rStyle w:val="af6"/>
          <w:rFonts w:eastAsia="Guttman Hodes"/>
          <w:rtl/>
        </w:rPr>
        <w:instrText xml:space="preserve"> </w:instrText>
      </w:r>
      <w:r w:rsidRPr="000D0DAD">
        <w:rPr>
          <w:rStyle w:val="af6"/>
          <w:rFonts w:eastAsia="Guttman Hodes"/>
          <w:rtl/>
        </w:rPr>
      </w:r>
      <w:r w:rsidRPr="000D0DAD">
        <w:rPr>
          <w:rStyle w:val="af6"/>
          <w:rFonts w:eastAsia="Guttman Hodes"/>
          <w:rtl/>
        </w:rPr>
        <w:fldChar w:fldCharType="separate"/>
      </w:r>
      <w:r w:rsidR="004D1C5B">
        <w:rPr>
          <w:rStyle w:val="af6"/>
          <w:rFonts w:eastAsia="Guttman Hodes"/>
          <w:cs/>
        </w:rPr>
        <w:t>‎</w:t>
      </w:r>
      <w:r w:rsidR="004D1C5B">
        <w:rPr>
          <w:rStyle w:val="af6"/>
          <w:rFonts w:eastAsia="Guttman Hodes"/>
          <w:rtl/>
        </w:rPr>
        <w:t>קטו)</w:t>
      </w:r>
      <w:r w:rsidRPr="000D0DAD">
        <w:rPr>
          <w:rStyle w:val="af6"/>
          <w:rFonts w:eastAsia="Guttman Hodes"/>
          <w:rtl/>
        </w:rPr>
        <w:fldChar w:fldCharType="end"/>
      </w:r>
      <w:r>
        <w:rPr>
          <w:rFonts w:hint="cs"/>
          <w:rtl/>
        </w:rPr>
        <w:t xml:space="preserve"> בדברי </w:t>
      </w:r>
      <w:r w:rsidRPr="000D0DAD">
        <w:rPr>
          <w:rStyle w:val="af8"/>
          <w:rFonts w:hint="cs"/>
          <w:rtl/>
        </w:rPr>
        <w:t>הרשב"א</w:t>
      </w:r>
      <w:r>
        <w:rPr>
          <w:rFonts w:hint="cs"/>
          <w:rtl/>
        </w:rPr>
        <w:t>].</w:t>
      </w:r>
    </w:p>
    <w:p w:rsidR="00F13472" w:rsidRPr="003D6DFB" w:rsidRDefault="00F13472" w:rsidP="00F13472">
      <w:pPr>
        <w:pStyle w:val="a2"/>
      </w:pPr>
      <w:bookmarkStart w:id="13917" w:name="_Toc24576796"/>
      <w:bookmarkStart w:id="13918" w:name="_Toc24709352"/>
      <w:bookmarkStart w:id="13919" w:name="_Toc24838944"/>
      <w:bookmarkStart w:id="13920" w:name="_Toc24918029"/>
      <w:bookmarkStart w:id="13921" w:name="_Toc24918237"/>
      <w:r>
        <w:rPr>
          <w:rFonts w:hint="cs"/>
          <w:rtl/>
        </w:rPr>
        <w:t>ביאור הרשב"א דצריך שישים לבטל את מה שנימוח מהאיסור ונבלע בהיתר דהוא לח ולא יבש</w:t>
      </w:r>
      <w:bookmarkEnd w:id="13917"/>
      <w:bookmarkEnd w:id="13918"/>
      <w:bookmarkEnd w:id="13919"/>
      <w:bookmarkEnd w:id="13920"/>
      <w:bookmarkEnd w:id="13921"/>
    </w:p>
    <w:p w:rsidR="00F13472" w:rsidRPr="003D6DFB" w:rsidRDefault="00F13472" w:rsidP="009F44AF">
      <w:pPr>
        <w:pStyle w:val="a"/>
        <w:rPr>
          <w:rtl/>
        </w:rPr>
      </w:pPr>
      <w:bookmarkStart w:id="13922" w:name="_Ref24563540"/>
      <w:r w:rsidRPr="003D6DFB">
        <w:rPr>
          <w:rFonts w:hint="cs"/>
          <w:rtl/>
        </w:rPr>
        <w:t xml:space="preserve">וביאר </w:t>
      </w:r>
      <w:r w:rsidRPr="003D6DFB">
        <w:rPr>
          <w:rStyle w:val="af8"/>
          <w:rFonts w:hint="cs"/>
          <w:rtl/>
        </w:rPr>
        <w:t>הרשב"א</w:t>
      </w:r>
      <w:r w:rsidRPr="003D6DFB">
        <w:rPr>
          <w:rFonts w:hint="cs"/>
          <w:rtl/>
        </w:rPr>
        <w:t xml:space="preserve"> </w:t>
      </w:r>
      <w:r w:rsidRPr="003D6DFB">
        <w:rPr>
          <w:rStyle w:val="af8"/>
          <w:rFonts w:hint="cs"/>
          <w:rtl/>
        </w:rPr>
        <w:t>לעיל</w:t>
      </w:r>
      <w:r w:rsidRPr="003D6DFB">
        <w:rPr>
          <w:rFonts w:hint="cs"/>
          <w:rtl/>
        </w:rPr>
        <w:t xml:space="preserve"> </w:t>
      </w:r>
      <w:r w:rsidRPr="00E012FA">
        <w:rPr>
          <w:rStyle w:val="af6"/>
          <w:rFonts w:eastAsia="Guttman Hodes" w:hint="cs"/>
          <w:rtl/>
        </w:rPr>
        <w:t xml:space="preserve">(צז: ד"ה א"ל) </w:t>
      </w:r>
      <w:r>
        <w:rPr>
          <w:rFonts w:hint="cs"/>
          <w:rtl/>
        </w:rPr>
        <w:t>בשם</w:t>
      </w:r>
      <w:r w:rsidRPr="00C43C4E">
        <w:rPr>
          <w:rStyle w:val="af8"/>
          <w:rFonts w:hint="cs"/>
          <w:rtl/>
        </w:rPr>
        <w:t xml:space="preserve"> התוס'</w:t>
      </w:r>
      <w:r>
        <w:rPr>
          <w:rFonts w:hint="cs"/>
          <w:rtl/>
        </w:rPr>
        <w:t xml:space="preserve"> </w:t>
      </w:r>
      <w:r w:rsidRPr="003D6DFB">
        <w:rPr>
          <w:rFonts w:hint="cs"/>
          <w:rtl/>
        </w:rPr>
        <w:t>דצריך שישים בכדי לבטל את מה שנימוח מחתיכת האיסור בבישול, ונבלל בתוך רוב ההיתר ונבלע בחתיכות ההיתר, וכיון שמה שנימוח הוא דבר בלול ובלוע, שאינו עומד בפנ"ע, לכן הצריכו רבנן שישים בכדי לבטלו.</w:t>
      </w:r>
      <w:bookmarkEnd w:id="13922"/>
    </w:p>
    <w:p w:rsidR="00F13472" w:rsidRDefault="00F13472" w:rsidP="00F13472">
      <w:pPr>
        <w:pStyle w:val="1"/>
        <w:rPr>
          <w:rtl/>
        </w:rPr>
      </w:pPr>
      <w:bookmarkStart w:id="13923" w:name="_Toc24576797"/>
      <w:bookmarkStart w:id="13924" w:name="_Toc24709353"/>
      <w:bookmarkStart w:id="13925" w:name="_Toc24838945"/>
      <w:bookmarkStart w:id="13926" w:name="_Toc24918030"/>
      <w:bookmarkStart w:id="13927" w:name="_Toc24918238"/>
      <w:bookmarkStart w:id="13928" w:name="_Toc24403382"/>
      <w:bookmarkStart w:id="13929" w:name="_Toc24455849"/>
      <w:r>
        <w:rPr>
          <w:rFonts w:hint="cs"/>
          <w:rtl/>
        </w:rPr>
        <w:t>דברי הרשב"א דבבישל את התערובת בב</w:t>
      </w:r>
      <w:r>
        <w:rPr>
          <w:rtl/>
        </w:rPr>
        <w:t>'</w:t>
      </w:r>
      <w:r>
        <w:rPr>
          <w:rFonts w:hint="cs"/>
          <w:rtl/>
        </w:rPr>
        <w:t xml:space="preserve"> קדירות מותר</w:t>
      </w:r>
      <w:bookmarkEnd w:id="13923"/>
      <w:bookmarkEnd w:id="13924"/>
      <w:bookmarkEnd w:id="13925"/>
      <w:bookmarkEnd w:id="13926"/>
      <w:bookmarkEnd w:id="13927"/>
    </w:p>
    <w:p w:rsidR="00F13472" w:rsidRPr="003D6DFB" w:rsidRDefault="00F13472" w:rsidP="00F13472">
      <w:pPr>
        <w:pStyle w:val="a2"/>
        <w:rPr>
          <w:rtl/>
        </w:rPr>
      </w:pPr>
      <w:bookmarkStart w:id="13930" w:name="_Toc24576798"/>
      <w:bookmarkStart w:id="13931" w:name="_Toc24709354"/>
      <w:bookmarkStart w:id="13932" w:name="_Toc24838946"/>
      <w:bookmarkStart w:id="13933" w:name="_Toc24918031"/>
      <w:bookmarkStart w:id="13934" w:name="_Toc24918239"/>
      <w:r w:rsidRPr="003D6DFB">
        <w:rPr>
          <w:rFonts w:hint="cs"/>
          <w:rtl/>
        </w:rPr>
        <w:t>דברי הרשב"א דאם לא בישל את הכל יחד מותר דאין ודאי איסור אך אסור לחזור ולערבם יחד</w:t>
      </w:r>
      <w:bookmarkEnd w:id="13928"/>
      <w:bookmarkEnd w:id="13929"/>
      <w:bookmarkEnd w:id="13930"/>
      <w:bookmarkEnd w:id="13931"/>
      <w:bookmarkEnd w:id="13932"/>
      <w:bookmarkEnd w:id="13933"/>
      <w:bookmarkEnd w:id="13934"/>
    </w:p>
    <w:p w:rsidR="00F13472" w:rsidRPr="003D6DFB" w:rsidRDefault="00F13472" w:rsidP="009F44AF">
      <w:pPr>
        <w:pStyle w:val="a"/>
        <w:rPr>
          <w:rtl/>
        </w:rPr>
      </w:pPr>
      <w:r w:rsidRPr="003D6DFB">
        <w:rPr>
          <w:rFonts w:hint="cs"/>
          <w:rtl/>
        </w:rPr>
        <w:t xml:space="preserve">אך כתב </w:t>
      </w:r>
      <w:r w:rsidRPr="003D6DFB">
        <w:rPr>
          <w:rStyle w:val="af8"/>
          <w:rFonts w:hint="cs"/>
          <w:rtl/>
        </w:rPr>
        <w:t>הרשב"א בתוה"ב</w:t>
      </w:r>
      <w:r w:rsidRPr="003D6DFB">
        <w:rPr>
          <w:rFonts w:hint="cs"/>
          <w:rtl/>
        </w:rPr>
        <w:t xml:space="preserve"> דביבש ביבש אם בישל את התערובת, כשמקצתה בצד אחד ומקצתה בצד אחר,</w:t>
      </w:r>
      <w:r>
        <w:rPr>
          <w:rFonts w:hint="cs"/>
          <w:rtl/>
        </w:rPr>
        <w:t xml:space="preserve"> </w:t>
      </w:r>
      <w:r w:rsidRPr="00B53A1C">
        <w:rPr>
          <w:rStyle w:val="afa"/>
          <w:rFonts w:hint="cs"/>
          <w:rtl/>
        </w:rPr>
        <w:t>[דהיינו בב' קדירות],</w:t>
      </w:r>
      <w:r w:rsidRPr="003D6DFB">
        <w:rPr>
          <w:rFonts w:hint="cs"/>
          <w:rtl/>
        </w:rPr>
        <w:t xml:space="preserve"> דאפש"ל שכל התערובת מותרת, דהוא כדביאר </w:t>
      </w:r>
      <w:r w:rsidRPr="003D6DFB">
        <w:rPr>
          <w:rStyle w:val="af8"/>
          <w:rFonts w:hint="cs"/>
          <w:rtl/>
        </w:rPr>
        <w:t>הרשב"א</w:t>
      </w:r>
      <w:r w:rsidRPr="000E17FF">
        <w:rPr>
          <w:rStyle w:val="af8"/>
          <w:rFonts w:hint="cs"/>
          <w:rtl/>
        </w:rPr>
        <w:t xml:space="preserve"> </w:t>
      </w:r>
      <w:r w:rsidRPr="003D6DFB">
        <w:rPr>
          <w:rStyle w:val="af8"/>
          <w:rFonts w:hint="cs"/>
          <w:rtl/>
        </w:rPr>
        <w:t xml:space="preserve">בתוה"ב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Ref24501484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א)</w:t>
      </w:r>
      <w:r>
        <w:rPr>
          <w:rStyle w:val="af6"/>
          <w:rFonts w:eastAsia="Guttman Hodes"/>
          <w:rtl/>
        </w:rPr>
        <w:fldChar w:fldCharType="end"/>
      </w:r>
      <w:r>
        <w:rPr>
          <w:rStyle w:val="af6"/>
          <w:rFonts w:eastAsia="Guttman Hodes" w:hint="cs"/>
          <w:rtl/>
        </w:rPr>
        <w:t xml:space="preserve"> </w:t>
      </w:r>
      <w:r w:rsidRPr="003D6DFB">
        <w:rPr>
          <w:rFonts w:hint="cs"/>
          <w:rtl/>
        </w:rPr>
        <w:t>בכל יבש ביבש לפני הבישול, דבכל חתיכה יכול לומר שאינה החתיכה האסורה, וא"כ אף כשבישלם כ"א בצד אחר, שכשאוכל את מקצת התערובת שנתבשלה בצד אחד, יכול לומר שהאיסור הוא במקצת התערובת שבצד השני, וכן כשאוכל את המקצת שבצד השני אומר שהאיסור כבר נאכל במקצת שבצד הראשון, אך לחזור ולערבם אחר הבישול ולאכול הכל יחד אסור.</w:t>
      </w:r>
      <w:r>
        <w:rPr>
          <w:rFonts w:hint="cs"/>
          <w:rtl/>
        </w:rPr>
        <w:t xml:space="preserve"> [ועי'</w:t>
      </w:r>
      <w:r w:rsidRPr="006712B3">
        <w:rPr>
          <w:rFonts w:hint="cs"/>
          <w:rtl/>
        </w:rPr>
        <w:t xml:space="preserve"> </w:t>
      </w:r>
      <w:r>
        <w:rPr>
          <w:rFonts w:hint="cs"/>
          <w:rtl/>
        </w:rPr>
        <w:t>במה שביאר</w:t>
      </w:r>
      <w:r w:rsidRPr="006712B3">
        <w:rPr>
          <w:rFonts w:hint="cs"/>
          <w:rtl/>
        </w:rPr>
        <w:t xml:space="preserve"> </w:t>
      </w:r>
      <w:r w:rsidRPr="006712B3">
        <w:rPr>
          <w:rStyle w:val="af8"/>
          <w:rFonts w:hint="cs"/>
          <w:rtl/>
        </w:rPr>
        <w:t>השער"י</w:t>
      </w:r>
      <w:r w:rsidRPr="006712B3">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Ref24919094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קיג)</w:t>
      </w:r>
      <w:r>
        <w:rPr>
          <w:rStyle w:val="af6"/>
          <w:rFonts w:eastAsia="Guttman Hodes"/>
          <w:rtl/>
        </w:rPr>
        <w:fldChar w:fldCharType="end"/>
      </w:r>
      <w:r>
        <w:rPr>
          <w:rStyle w:val="af6"/>
          <w:rFonts w:eastAsia="Guttman Hodes" w:hint="cs"/>
          <w:rtl/>
        </w:rPr>
        <w:t xml:space="preserve"> </w:t>
      </w:r>
      <w:r w:rsidRPr="006712B3">
        <w:rPr>
          <w:rFonts w:hint="cs"/>
          <w:rtl/>
        </w:rPr>
        <w:t xml:space="preserve">בדברי </w:t>
      </w:r>
      <w:r w:rsidRPr="006712B3">
        <w:rPr>
          <w:rStyle w:val="af8"/>
          <w:rFonts w:hint="cs"/>
          <w:rtl/>
        </w:rPr>
        <w:t>הרשב"א</w:t>
      </w:r>
      <w:r>
        <w:rPr>
          <w:rFonts w:hint="cs"/>
          <w:rtl/>
        </w:rPr>
        <w:t>].</w:t>
      </w:r>
    </w:p>
    <w:p w:rsidR="00F13472" w:rsidRPr="00817C94" w:rsidRDefault="00F13472" w:rsidP="00F13472">
      <w:pPr>
        <w:pStyle w:val="afd"/>
        <w:rPr>
          <w:rtl/>
        </w:rPr>
      </w:pPr>
      <w:bookmarkStart w:id="13935" w:name="_Toc24576804"/>
      <w:bookmarkStart w:id="13936" w:name="_Toc24709366"/>
      <w:bookmarkStart w:id="13937" w:name="_Toc24838958"/>
      <w:bookmarkStart w:id="13938" w:name="_Toc24918049"/>
      <w:bookmarkStart w:id="13939" w:name="_Toc24918260"/>
      <w:bookmarkStart w:id="13940" w:name="_Toc24403384"/>
      <w:bookmarkStart w:id="13941" w:name="_Toc24455851"/>
      <w:bookmarkStart w:id="13942" w:name="_Toc24918032"/>
      <w:bookmarkStart w:id="13943" w:name="_Toc24918240"/>
      <w:bookmarkStart w:id="13944" w:name="_Toc24403383"/>
      <w:bookmarkStart w:id="13945" w:name="_Toc24455850"/>
      <w:bookmarkStart w:id="13946" w:name="_Toc24576799"/>
      <w:bookmarkStart w:id="13947" w:name="_Toc24709355"/>
      <w:bookmarkStart w:id="13948" w:name="_Toc24838947"/>
      <w:r>
        <w:rPr>
          <w:rFonts w:hint="cs"/>
          <w:rtl/>
        </w:rPr>
        <w:t>ביאורי האחרונים בדעת הרשב"א</w:t>
      </w:r>
      <w:bookmarkEnd w:id="13935"/>
      <w:bookmarkEnd w:id="13936"/>
      <w:bookmarkEnd w:id="13937"/>
      <w:bookmarkEnd w:id="13938"/>
      <w:bookmarkEnd w:id="13939"/>
    </w:p>
    <w:p w:rsidR="00F13472" w:rsidRDefault="00F13472" w:rsidP="00F13472">
      <w:pPr>
        <w:pStyle w:val="1"/>
        <w:rPr>
          <w:rtl/>
        </w:rPr>
      </w:pPr>
      <w:bookmarkStart w:id="13949" w:name="_Toc24576805"/>
      <w:bookmarkStart w:id="13950" w:name="_Toc24709367"/>
      <w:bookmarkStart w:id="13951" w:name="_Toc24838959"/>
      <w:bookmarkStart w:id="13952" w:name="_Toc24918050"/>
      <w:bookmarkStart w:id="13953" w:name="_Toc24918261"/>
      <w:r>
        <w:rPr>
          <w:rFonts w:hint="cs"/>
          <w:rtl/>
        </w:rPr>
        <w:t xml:space="preserve">ביאור הדרכ"מ והגר"א </w:t>
      </w:r>
      <w:bookmarkEnd w:id="13940"/>
      <w:bookmarkEnd w:id="13941"/>
      <w:r>
        <w:rPr>
          <w:rFonts w:hint="cs"/>
          <w:rtl/>
        </w:rPr>
        <w:t xml:space="preserve">ברשב"א דבבישל אסור </w:t>
      </w:r>
      <w:bookmarkEnd w:id="13949"/>
      <w:bookmarkEnd w:id="13950"/>
      <w:bookmarkEnd w:id="13951"/>
      <w:r>
        <w:rPr>
          <w:rFonts w:hint="cs"/>
          <w:rtl/>
        </w:rPr>
        <w:t>כאוכל בב"א</w:t>
      </w:r>
      <w:bookmarkEnd w:id="13952"/>
      <w:bookmarkEnd w:id="13953"/>
    </w:p>
    <w:p w:rsidR="00F13472" w:rsidRPr="00D60B69" w:rsidRDefault="00F13472" w:rsidP="00F13472">
      <w:pPr>
        <w:pStyle w:val="a2"/>
        <w:rPr>
          <w:rtl/>
        </w:rPr>
      </w:pPr>
      <w:bookmarkStart w:id="13954" w:name="_Toc24918051"/>
      <w:bookmarkStart w:id="13955" w:name="_Toc24918262"/>
      <w:bookmarkStart w:id="13956" w:name="_Toc24576806"/>
      <w:bookmarkStart w:id="13957" w:name="_Toc24709368"/>
      <w:bookmarkStart w:id="13958" w:name="_Toc24838960"/>
      <w:r>
        <w:rPr>
          <w:rFonts w:hint="cs"/>
          <w:rtl/>
        </w:rPr>
        <w:t>דברי הדרכ"מ והגר"א דהרשב"א אוסר בבישל דא"א לומר דאוכל היתר וכשיטתו דאוסר בב"א</w:t>
      </w:r>
      <w:bookmarkEnd w:id="13954"/>
      <w:bookmarkEnd w:id="13955"/>
      <w:r>
        <w:rPr>
          <w:rFonts w:hint="cs"/>
          <w:rtl/>
        </w:rPr>
        <w:t xml:space="preserve"> </w:t>
      </w:r>
      <w:bookmarkEnd w:id="13956"/>
      <w:bookmarkEnd w:id="13957"/>
      <w:bookmarkEnd w:id="13958"/>
    </w:p>
    <w:p w:rsidR="00F13472" w:rsidRPr="00B7453E" w:rsidRDefault="00F13472" w:rsidP="009F44AF">
      <w:pPr>
        <w:pStyle w:val="a"/>
        <w:rPr>
          <w:rtl/>
        </w:rPr>
      </w:pPr>
      <w:r>
        <w:rPr>
          <w:rFonts w:hint="cs"/>
          <w:rtl/>
        </w:rPr>
        <w:t xml:space="preserve">כתבו </w:t>
      </w:r>
      <w:r w:rsidRPr="0004358F">
        <w:rPr>
          <w:rStyle w:val="af8"/>
          <w:rFonts w:hint="cs"/>
          <w:rtl/>
        </w:rPr>
        <w:t>הדרכ"מ</w:t>
      </w:r>
      <w:r>
        <w:rPr>
          <w:rFonts w:hint="cs"/>
          <w:rtl/>
        </w:rPr>
        <w:t xml:space="preserve"> </w:t>
      </w:r>
      <w:r w:rsidRPr="008F7DC9">
        <w:rPr>
          <w:rStyle w:val="af6"/>
          <w:rFonts w:eastAsia="Guttman Hodes" w:hint="cs"/>
          <w:rtl/>
        </w:rPr>
        <w:t>(סי' ק"ט ד')</w:t>
      </w:r>
      <w:r>
        <w:rPr>
          <w:rFonts w:hint="cs"/>
          <w:rtl/>
        </w:rPr>
        <w:t xml:space="preserve"> </w:t>
      </w:r>
      <w:r>
        <w:rPr>
          <w:rStyle w:val="af8"/>
          <w:rFonts w:hint="cs"/>
          <w:rtl/>
        </w:rPr>
        <w:t>ו</w:t>
      </w:r>
      <w:r w:rsidRPr="007F1302">
        <w:rPr>
          <w:rStyle w:val="af8"/>
          <w:rFonts w:hint="cs"/>
          <w:rtl/>
        </w:rPr>
        <w:t>הגר"א</w:t>
      </w:r>
      <w:r>
        <w:rPr>
          <w:rFonts w:hint="cs"/>
          <w:rtl/>
        </w:rPr>
        <w:t xml:space="preserve"> </w:t>
      </w:r>
      <w:r w:rsidRPr="008F7DC9">
        <w:rPr>
          <w:rStyle w:val="af6"/>
          <w:rFonts w:eastAsia="Guttman Hodes" w:hint="cs"/>
          <w:rtl/>
        </w:rPr>
        <w:t>(סי' ק"ט סק"ט)</w:t>
      </w:r>
      <w:r>
        <w:rPr>
          <w:rFonts w:hint="cs"/>
          <w:rtl/>
        </w:rPr>
        <w:t xml:space="preserve"> </w:t>
      </w:r>
      <w:r w:rsidRPr="0004358F">
        <w:rPr>
          <w:rStyle w:val="af8"/>
          <w:rFonts w:hint="cs"/>
          <w:rtl/>
        </w:rPr>
        <w:t>דהרשב"א</w:t>
      </w:r>
      <w:r>
        <w:rPr>
          <w:rFonts w:hint="cs"/>
          <w:rtl/>
        </w:rPr>
        <w:t xml:space="preserve"> דאוסר בחזר ובישל, הוא כשיטתו דס"ל </w:t>
      </w:r>
      <w:r w:rsidRPr="0004358F">
        <w:rPr>
          <w:rStyle w:val="af8"/>
          <w:rFonts w:hint="cs"/>
          <w:rtl/>
        </w:rPr>
        <w:t>להרשב"א</w:t>
      </w:r>
      <w:r>
        <w:rPr>
          <w:rFonts w:hint="cs"/>
          <w:rtl/>
        </w:rPr>
        <w:t xml:space="preserve"> </w:t>
      </w:r>
      <w:r w:rsidRPr="001C6BEA">
        <w:rPr>
          <w:rStyle w:val="af6"/>
          <w:rFonts w:eastAsia="Guttman Hodes" w:hint="cs"/>
          <w:rtl/>
        </w:rPr>
        <w:t xml:space="preserve">(עי' אות </w:t>
      </w:r>
      <w:r w:rsidRPr="001C6BEA">
        <w:rPr>
          <w:rStyle w:val="af6"/>
          <w:rFonts w:eastAsia="Guttman Hodes"/>
          <w:rtl/>
        </w:rPr>
        <w:fldChar w:fldCharType="begin"/>
      </w:r>
      <w:r w:rsidRPr="001C6BEA">
        <w:rPr>
          <w:rStyle w:val="af6"/>
          <w:rFonts w:eastAsia="Guttman Hodes"/>
          <w:rtl/>
        </w:rPr>
        <w:instrText xml:space="preserve"> </w:instrText>
      </w:r>
      <w:r w:rsidRPr="001C6BEA">
        <w:rPr>
          <w:rStyle w:val="af6"/>
          <w:rFonts w:eastAsia="Guttman Hodes" w:hint="cs"/>
        </w:rPr>
        <w:instrText>REF</w:instrText>
      </w:r>
      <w:r w:rsidRPr="001C6BEA">
        <w:rPr>
          <w:rStyle w:val="af6"/>
          <w:rFonts w:eastAsia="Guttman Hodes" w:hint="cs"/>
          <w:rtl/>
        </w:rPr>
        <w:instrText xml:space="preserve"> _</w:instrText>
      </w:r>
      <w:r w:rsidRPr="001C6BEA">
        <w:rPr>
          <w:rStyle w:val="af6"/>
          <w:rFonts w:eastAsia="Guttman Hodes" w:hint="cs"/>
        </w:rPr>
        <w:instrText>Ref24501484 \r \h</w:instrText>
      </w:r>
      <w:r w:rsidRPr="001C6BEA">
        <w:rPr>
          <w:rStyle w:val="af6"/>
          <w:rFonts w:eastAsia="Guttman Hodes"/>
          <w:rtl/>
        </w:rPr>
        <w:instrText xml:space="preserve"> </w:instrText>
      </w:r>
      <w:r w:rsidRPr="001C6BEA">
        <w:rPr>
          <w:rStyle w:val="af6"/>
          <w:rFonts w:eastAsia="Guttman Hodes"/>
          <w:rtl/>
        </w:rPr>
      </w:r>
      <w:r w:rsidRPr="001C6BEA">
        <w:rPr>
          <w:rStyle w:val="af6"/>
          <w:rFonts w:eastAsia="Guttman Hodes"/>
          <w:rtl/>
        </w:rPr>
        <w:fldChar w:fldCharType="separate"/>
      </w:r>
      <w:r w:rsidR="004D1C5B">
        <w:rPr>
          <w:rStyle w:val="af6"/>
          <w:rFonts w:eastAsia="Guttman Hodes"/>
          <w:cs/>
        </w:rPr>
        <w:t>‎</w:t>
      </w:r>
      <w:r w:rsidR="004D1C5B">
        <w:rPr>
          <w:rStyle w:val="af6"/>
          <w:rFonts w:eastAsia="Guttman Hodes"/>
          <w:rtl/>
        </w:rPr>
        <w:t>א)</w:t>
      </w:r>
      <w:r w:rsidRPr="001C6BEA">
        <w:rPr>
          <w:rStyle w:val="af6"/>
          <w:rFonts w:eastAsia="Guttman Hodes"/>
          <w:rtl/>
        </w:rPr>
        <w:fldChar w:fldCharType="end"/>
      </w:r>
      <w:r>
        <w:rPr>
          <w:rFonts w:hint="cs"/>
          <w:rtl/>
        </w:rPr>
        <w:t xml:space="preserve"> דההיתר ביבש ביבש הוא רק כשאוכל כל חתיכה בפנ"ע, כיון דעל כל חתיכה בפנ"ע יכול לומר שהיא המותרת, ואסור לאכול את כל התערובת יחד, ולכן כשבישל והאיסור נתן טעם בהיתר, לכן אף במין במינו צריך שישים, דאינו יכול לומר על כל חתיכה שאוכל שהיא מותרת.</w:t>
      </w:r>
    </w:p>
    <w:p w:rsidR="00F13472" w:rsidRPr="00A16E20" w:rsidRDefault="00F13472" w:rsidP="00F13472">
      <w:pPr>
        <w:pStyle w:val="a2"/>
      </w:pPr>
      <w:bookmarkStart w:id="13959" w:name="_Toc24918052"/>
      <w:bookmarkStart w:id="13960" w:name="_Toc24918263"/>
      <w:r>
        <w:rPr>
          <w:rFonts w:hint="cs"/>
          <w:rtl/>
        </w:rPr>
        <w:t>ביאור הדרכ"מ ברשב"א דלא נהפך להיתר וההיתר ביבש מספק דיכול לומר שאוכל היתר</w:t>
      </w:r>
      <w:bookmarkEnd w:id="13959"/>
      <w:bookmarkEnd w:id="13960"/>
    </w:p>
    <w:p w:rsidR="00F13472" w:rsidRPr="00B7453E" w:rsidRDefault="00F13472" w:rsidP="009F44AF">
      <w:pPr>
        <w:pStyle w:val="a"/>
        <w:rPr>
          <w:rtl/>
        </w:rPr>
      </w:pPr>
      <w:r>
        <w:rPr>
          <w:rFonts w:hint="cs"/>
          <w:rtl/>
        </w:rPr>
        <w:t xml:space="preserve">וכתב </w:t>
      </w:r>
      <w:r w:rsidRPr="0004358F">
        <w:rPr>
          <w:rStyle w:val="af8"/>
          <w:rFonts w:hint="cs"/>
          <w:rtl/>
        </w:rPr>
        <w:t>הדרכ"מ</w:t>
      </w:r>
      <w:r>
        <w:rPr>
          <w:rFonts w:hint="cs"/>
          <w:rtl/>
        </w:rPr>
        <w:t xml:space="preserve"> דא"כ מבואר דס"ל </w:t>
      </w:r>
      <w:r w:rsidRPr="0004358F">
        <w:rPr>
          <w:rStyle w:val="af8"/>
          <w:rFonts w:hint="cs"/>
          <w:rtl/>
        </w:rPr>
        <w:t>להרשב"א</w:t>
      </w:r>
      <w:r w:rsidRPr="00057136">
        <w:rPr>
          <w:rFonts w:hint="cs"/>
          <w:rtl/>
        </w:rPr>
        <w:t xml:space="preserve"> דהאיסור לא נהפך להיות היתר, אלא </w:t>
      </w:r>
      <w:r>
        <w:rPr>
          <w:rFonts w:hint="cs"/>
          <w:rtl/>
        </w:rPr>
        <w:t xml:space="preserve">דביבש ביבש </w:t>
      </w:r>
      <w:r w:rsidRPr="00057136">
        <w:rPr>
          <w:rFonts w:hint="cs"/>
          <w:rtl/>
        </w:rPr>
        <w:t>מותר לב' בנ"א לאכול את כל התערובת כיון דכ"א יכול לומר שהוא אוכל את ההיתר, ומותר מדין ספק</w:t>
      </w:r>
      <w:r>
        <w:rPr>
          <w:rFonts w:hint="cs"/>
          <w:rtl/>
        </w:rPr>
        <w:t>.</w:t>
      </w:r>
      <w:r w:rsidRPr="00057136">
        <w:rPr>
          <w:rFonts w:hint="cs"/>
          <w:rtl/>
        </w:rPr>
        <w:t xml:space="preserve"> [</w:t>
      </w:r>
      <w:r>
        <w:rPr>
          <w:rFonts w:hint="cs"/>
          <w:rtl/>
        </w:rPr>
        <w:t xml:space="preserve">ועי' </w:t>
      </w:r>
      <w:r w:rsidRPr="0004358F">
        <w:rPr>
          <w:rStyle w:val="af8"/>
          <w:rFonts w:hint="cs"/>
          <w:rtl/>
        </w:rPr>
        <w:t>ביד יהודה</w:t>
      </w:r>
      <w:r>
        <w:rPr>
          <w:rFonts w:hint="cs"/>
          <w:rtl/>
        </w:rPr>
        <w:t xml:space="preserve"> </w:t>
      </w:r>
      <w:r w:rsidRPr="0004358F">
        <w:rPr>
          <w:rStyle w:val="af6"/>
          <w:rFonts w:eastAsia="Guttman Hodes" w:hint="cs"/>
          <w:rtl/>
        </w:rPr>
        <w:t>(סי' ק"ט סקי"ב)</w:t>
      </w:r>
      <w:r>
        <w:rPr>
          <w:rFonts w:hint="cs"/>
          <w:rtl/>
        </w:rPr>
        <w:t xml:space="preserve"> דתמה על </w:t>
      </w:r>
      <w:r w:rsidRPr="0004358F">
        <w:rPr>
          <w:rStyle w:val="af8"/>
          <w:rFonts w:hint="cs"/>
          <w:rtl/>
        </w:rPr>
        <w:t>הדרכ"מ</w:t>
      </w:r>
      <w:r>
        <w:rPr>
          <w:rFonts w:hint="cs"/>
          <w:rtl/>
        </w:rPr>
        <w:t xml:space="preserve"> דהא </w:t>
      </w:r>
      <w:r w:rsidRPr="0004358F">
        <w:rPr>
          <w:rStyle w:val="af8"/>
          <w:rFonts w:hint="cs"/>
          <w:rtl/>
        </w:rPr>
        <w:t>הרשב"א</w:t>
      </w:r>
      <w:r w:rsidRPr="00057136">
        <w:rPr>
          <w:rFonts w:hint="cs"/>
          <w:rtl/>
        </w:rPr>
        <w:t xml:space="preserve"> התיר אף לאדם אחד בזאח"ז</w:t>
      </w:r>
      <w:r>
        <w:rPr>
          <w:rFonts w:hint="cs"/>
          <w:rtl/>
        </w:rPr>
        <w:t xml:space="preserve">, ולא רק לב' בנ"א, וההיתר אינו מחמת הספק, אלא כדביאר </w:t>
      </w:r>
      <w:r w:rsidRPr="0004358F">
        <w:rPr>
          <w:rStyle w:val="af8"/>
          <w:rFonts w:hint="cs"/>
          <w:rtl/>
        </w:rPr>
        <w:t>הרשב"א</w:t>
      </w:r>
      <w:r>
        <w:rPr>
          <w:rFonts w:hint="cs"/>
          <w:rtl/>
        </w:rPr>
        <w:t xml:space="preserve"> דעל כל חתיכה אפש"ל שהיא המותרת, וע"ע </w:t>
      </w:r>
      <w:r w:rsidRPr="0004358F">
        <w:rPr>
          <w:rStyle w:val="af8"/>
          <w:rFonts w:hint="cs"/>
          <w:rtl/>
        </w:rPr>
        <w:t xml:space="preserve">בדרכ"מ </w:t>
      </w:r>
      <w:r w:rsidRPr="00B7453E">
        <w:rPr>
          <w:rStyle w:val="af8"/>
          <w:rFonts w:hint="cs"/>
          <w:rtl/>
        </w:rPr>
        <w:t>הארוך</w:t>
      </w:r>
      <w:r w:rsidRPr="00B7453E">
        <w:rPr>
          <w:rFonts w:hint="cs"/>
          <w:rtl/>
        </w:rPr>
        <w:t xml:space="preserve"> </w:t>
      </w:r>
      <w:r w:rsidRPr="00B7453E">
        <w:rPr>
          <w:rStyle w:val="af6"/>
          <w:rFonts w:eastAsia="Guttman Hodes" w:hint="cs"/>
          <w:rtl/>
        </w:rPr>
        <w:t>(סי' ק"ט ד')</w:t>
      </w:r>
      <w:r w:rsidRPr="00B7453E">
        <w:rPr>
          <w:rFonts w:hint="cs"/>
          <w:rtl/>
        </w:rPr>
        <w:t>].</w:t>
      </w:r>
    </w:p>
    <w:p w:rsidR="00F13472" w:rsidRDefault="00F13472" w:rsidP="00F13472">
      <w:pPr>
        <w:pStyle w:val="a2"/>
        <w:rPr>
          <w:rtl/>
        </w:rPr>
      </w:pPr>
      <w:bookmarkStart w:id="13961" w:name="_Toc24918053"/>
      <w:bookmarkStart w:id="13962" w:name="_Toc24918264"/>
      <w:r>
        <w:rPr>
          <w:rFonts w:hint="cs"/>
          <w:rtl/>
        </w:rPr>
        <w:t>דברי הגר"א דמבואר בתוס' דדבר שהתבטל ביבש וחזר ואפאו נעשה לח ואינו בטל</w:t>
      </w:r>
      <w:bookmarkEnd w:id="13961"/>
      <w:bookmarkEnd w:id="13962"/>
    </w:p>
    <w:p w:rsidR="00F13472" w:rsidRDefault="00F13472" w:rsidP="009F44AF">
      <w:pPr>
        <w:pStyle w:val="a"/>
        <w:rPr>
          <w:rtl/>
        </w:rPr>
      </w:pPr>
      <w:r w:rsidRPr="00B7453E">
        <w:rPr>
          <w:rFonts w:hint="cs"/>
          <w:rtl/>
        </w:rPr>
        <w:t xml:space="preserve">והוסיף </w:t>
      </w:r>
      <w:r w:rsidRPr="00B7453E">
        <w:rPr>
          <w:rStyle w:val="af8"/>
          <w:rFonts w:hint="cs"/>
          <w:rtl/>
        </w:rPr>
        <w:t>הגר"א</w:t>
      </w:r>
      <w:r w:rsidRPr="00B7453E">
        <w:rPr>
          <w:rFonts w:hint="cs"/>
          <w:rtl/>
        </w:rPr>
        <w:t xml:space="preserve"> דהמקור לדין זה הוא כ</w:t>
      </w:r>
      <w:r>
        <w:rPr>
          <w:rFonts w:hint="cs"/>
          <w:rtl/>
        </w:rPr>
        <w:t xml:space="preserve">דהוכיח </w:t>
      </w:r>
      <w:r w:rsidRPr="00B7453E">
        <w:rPr>
          <w:rStyle w:val="af8"/>
          <w:rFonts w:hint="cs"/>
          <w:rtl/>
        </w:rPr>
        <w:t>הרשב"א בתשו'</w:t>
      </w:r>
      <w:r w:rsidRPr="00B7453E">
        <w:rPr>
          <w:rFonts w:hint="cs"/>
          <w:rtl/>
        </w:rPr>
        <w:t xml:space="preserve"> </w:t>
      </w:r>
      <w:r w:rsidRPr="0095376F">
        <w:rPr>
          <w:rStyle w:val="af6"/>
          <w:rFonts w:eastAsia="Guttman Hodes" w:hint="cs"/>
          <w:rtl/>
        </w:rPr>
        <w:t xml:space="preserve">(עי' אות </w:t>
      </w:r>
      <w:r w:rsidRPr="0095376F">
        <w:rPr>
          <w:rStyle w:val="af6"/>
          <w:rFonts w:eastAsia="Guttman Hodes"/>
          <w:rtl/>
        </w:rPr>
        <w:fldChar w:fldCharType="begin"/>
      </w:r>
      <w:r w:rsidRPr="0095376F">
        <w:rPr>
          <w:rStyle w:val="af6"/>
          <w:rFonts w:eastAsia="Guttman Hodes"/>
          <w:rtl/>
        </w:rPr>
        <w:instrText xml:space="preserve"> </w:instrText>
      </w:r>
      <w:r w:rsidRPr="0095376F">
        <w:rPr>
          <w:rStyle w:val="af6"/>
          <w:rFonts w:eastAsia="Guttman Hodes" w:hint="cs"/>
        </w:rPr>
        <w:instrText>REF</w:instrText>
      </w:r>
      <w:r w:rsidRPr="0095376F">
        <w:rPr>
          <w:rStyle w:val="af6"/>
          <w:rFonts w:eastAsia="Guttman Hodes" w:hint="cs"/>
          <w:rtl/>
        </w:rPr>
        <w:instrText xml:space="preserve"> _</w:instrText>
      </w:r>
      <w:r w:rsidRPr="0095376F">
        <w:rPr>
          <w:rStyle w:val="af6"/>
          <w:rFonts w:eastAsia="Guttman Hodes" w:hint="cs"/>
        </w:rPr>
        <w:instrText>Ref24881944 \r \h</w:instrText>
      </w:r>
      <w:r w:rsidRPr="0095376F">
        <w:rPr>
          <w:rStyle w:val="af6"/>
          <w:rFonts w:eastAsia="Guttman Hodes"/>
          <w:rtl/>
        </w:rPr>
        <w:instrText xml:space="preserve"> </w:instrText>
      </w:r>
      <w:r w:rsidRPr="0095376F">
        <w:rPr>
          <w:rStyle w:val="af6"/>
          <w:rFonts w:eastAsia="Guttman Hodes"/>
          <w:rtl/>
        </w:rPr>
      </w:r>
      <w:r w:rsidRPr="0095376F">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95376F">
        <w:rPr>
          <w:rStyle w:val="af6"/>
          <w:rFonts w:eastAsia="Guttman Hodes"/>
          <w:rtl/>
        </w:rPr>
        <w:fldChar w:fldCharType="end"/>
      </w:r>
      <w:r w:rsidRPr="00B7453E">
        <w:rPr>
          <w:rFonts w:hint="cs"/>
          <w:rtl/>
        </w:rPr>
        <w:t xml:space="preserve"> מהמשנה </w:t>
      </w:r>
      <w:r>
        <w:rPr>
          <w:rFonts w:hint="cs"/>
          <w:rtl/>
        </w:rPr>
        <w:t xml:space="preserve">בתרומות, ועוד ציין </w:t>
      </w:r>
      <w:r w:rsidRPr="00B110B3">
        <w:rPr>
          <w:rStyle w:val="af8"/>
          <w:rFonts w:hint="cs"/>
          <w:rtl/>
        </w:rPr>
        <w:t>הגר"</w:t>
      </w:r>
      <w:r>
        <w:rPr>
          <w:rFonts w:hint="cs"/>
          <w:rtl/>
        </w:rPr>
        <w:t xml:space="preserve">א לדברי </w:t>
      </w:r>
      <w:r w:rsidRPr="00B110B3">
        <w:rPr>
          <w:rStyle w:val="af8"/>
          <w:rFonts w:hint="cs"/>
          <w:rtl/>
        </w:rPr>
        <w:t>התוס' ביבמות</w:t>
      </w:r>
      <w:r>
        <w:rPr>
          <w:rFonts w:hint="cs"/>
          <w:rtl/>
        </w:rPr>
        <w:t xml:space="preserve"> </w:t>
      </w:r>
      <w:r w:rsidRPr="00ED293F">
        <w:rPr>
          <w:rStyle w:val="af6"/>
          <w:rFonts w:eastAsia="Guttman Hodes" w:hint="cs"/>
          <w:rtl/>
        </w:rPr>
        <w:t xml:space="preserve">(פב. ד"ה ר"י) </w:t>
      </w:r>
      <w:r>
        <w:rPr>
          <w:rFonts w:hint="cs"/>
          <w:rtl/>
        </w:rPr>
        <w:t xml:space="preserve">דכתבו דהא דלר"י מין במינו לא בטל היינו רק בלח אבל בדבר יבש בטל, והא דאיתא בגמ' במנחות </w:t>
      </w:r>
      <w:r w:rsidRPr="00107EDD">
        <w:rPr>
          <w:rStyle w:val="af6"/>
          <w:rFonts w:eastAsia="Guttman Hodes" w:hint="cs"/>
          <w:rtl/>
        </w:rPr>
        <w:t>(כג.)</w:t>
      </w:r>
      <w:r>
        <w:rPr>
          <w:rFonts w:hint="cs"/>
          <w:rtl/>
        </w:rPr>
        <w:t xml:space="preserve"> דמנחות שהתערבו זה בזה לא בטלי לר"י,</w:t>
      </w:r>
      <w:r w:rsidRPr="00607437">
        <w:rPr>
          <w:rFonts w:hint="cs"/>
          <w:rtl/>
        </w:rPr>
        <w:t xml:space="preserve"> </w:t>
      </w:r>
      <w:r>
        <w:rPr>
          <w:rFonts w:hint="cs"/>
          <w:rtl/>
        </w:rPr>
        <w:t xml:space="preserve">כתבו </w:t>
      </w:r>
      <w:r w:rsidRPr="00B8186A">
        <w:rPr>
          <w:rStyle w:val="af8"/>
          <w:rFonts w:hint="cs"/>
          <w:rtl/>
        </w:rPr>
        <w:t>התוס' ביבמות בתירוצם הב'</w:t>
      </w:r>
      <w:r>
        <w:rPr>
          <w:rFonts w:hint="cs"/>
          <w:rtl/>
        </w:rPr>
        <w:t xml:space="preserve"> דכוונת הגמ' דאם אפה אותם יחד ונתנו טעם זה בזה, אינם בטלים לר"י, ומבואר דאף דבדבר יבש מודה ר"י דמהני ביטול, מ"מ אם לאחר שהתערב ובטל, אפאן יחד ונעשו לח, לא מהני בהו ביטול.</w:t>
      </w:r>
    </w:p>
    <w:p w:rsidR="00F13472" w:rsidRDefault="00F13472" w:rsidP="00F13472">
      <w:pPr>
        <w:pStyle w:val="1"/>
        <w:rPr>
          <w:rtl/>
        </w:rPr>
      </w:pPr>
      <w:r>
        <w:rPr>
          <w:rFonts w:hint="cs"/>
          <w:rtl/>
        </w:rPr>
        <w:t>ביאור היד יהודה ברשב"א דביבש לא הותר לגמרי ושייך שישים</w:t>
      </w:r>
      <w:bookmarkEnd w:id="13942"/>
      <w:bookmarkEnd w:id="13943"/>
    </w:p>
    <w:p w:rsidR="00F13472" w:rsidRDefault="00F13472" w:rsidP="00F13472">
      <w:pPr>
        <w:pStyle w:val="a2"/>
        <w:rPr>
          <w:rtl/>
        </w:rPr>
      </w:pPr>
      <w:bookmarkStart w:id="13963" w:name="_Toc24918033"/>
      <w:bookmarkStart w:id="13964" w:name="_Toc24918241"/>
      <w:r>
        <w:rPr>
          <w:rFonts w:hint="cs"/>
          <w:rtl/>
        </w:rPr>
        <w:t>ביאור היד יהודה ברשב"א דביבש לא הותר האיסור לגמרי וההיתר רק בכל חתיכה בפנ"ע</w:t>
      </w:r>
      <w:bookmarkEnd w:id="13963"/>
      <w:bookmarkEnd w:id="13964"/>
    </w:p>
    <w:p w:rsidR="00F13472" w:rsidRDefault="00F13472" w:rsidP="009F44AF">
      <w:pPr>
        <w:pStyle w:val="a"/>
        <w:rPr>
          <w:rtl/>
        </w:rPr>
      </w:pPr>
      <w:r>
        <w:rPr>
          <w:rFonts w:hint="cs"/>
          <w:rtl/>
        </w:rPr>
        <w:t xml:space="preserve">כתב </w:t>
      </w:r>
      <w:r w:rsidRPr="00AB1E24">
        <w:rPr>
          <w:rStyle w:val="af8"/>
          <w:rFonts w:hint="cs"/>
          <w:rtl/>
        </w:rPr>
        <w:t>היד יהודה</w:t>
      </w:r>
      <w:r>
        <w:rPr>
          <w:rFonts w:hint="cs"/>
          <w:rtl/>
        </w:rPr>
        <w:t xml:space="preserve"> </w:t>
      </w:r>
      <w:r w:rsidRPr="00627302">
        <w:rPr>
          <w:rStyle w:val="af6"/>
          <w:rFonts w:eastAsia="Guttman Hodes" w:hint="cs"/>
          <w:rtl/>
        </w:rPr>
        <w:t xml:space="preserve">(סי' ס"ט ס"ק ס"א ד"ה ונ"מ בין) </w:t>
      </w:r>
      <w:r w:rsidRPr="00627302">
        <w:rPr>
          <w:rFonts w:hint="cs"/>
          <w:rtl/>
        </w:rPr>
        <w:t>דלדעת</w:t>
      </w:r>
      <w:r>
        <w:rPr>
          <w:rFonts w:hint="cs"/>
          <w:rtl/>
        </w:rPr>
        <w:t xml:space="preserve"> </w:t>
      </w:r>
      <w:r w:rsidRPr="00AB1E24">
        <w:rPr>
          <w:rStyle w:val="af8"/>
          <w:rFonts w:hint="cs"/>
          <w:rtl/>
        </w:rPr>
        <w:t>הרשב"א</w:t>
      </w:r>
      <w:r>
        <w:rPr>
          <w:rFonts w:hint="cs"/>
          <w:rtl/>
        </w:rPr>
        <w:t xml:space="preserve"> אף דמהני ביטול בחד בתרי ביבש ביבש, מ"מ מדרבנן האיסור אינו מותר לגמרי, ויש ודאי איסור בתוך התערובת, אלא דעל כל חתיכה יכול לומר שאינה החתיכה האסורה והיא מותרת, אבל כשאוכל בבת אחת, וכן כשבישל את כל התערובת יחד, ואינו יכול לומר שאינו אוכל את האיסור, ממילא הוא בכלל דין שישים, כיון שיש בו ודאי איסור.</w:t>
      </w:r>
    </w:p>
    <w:p w:rsidR="00F13472" w:rsidRDefault="00F13472" w:rsidP="00F13472">
      <w:pPr>
        <w:pStyle w:val="a2"/>
        <w:rPr>
          <w:rtl/>
        </w:rPr>
      </w:pPr>
      <w:bookmarkStart w:id="13965" w:name="_Toc24918034"/>
      <w:bookmarkStart w:id="13966" w:name="_Toc24918242"/>
      <w:r>
        <w:rPr>
          <w:rFonts w:hint="cs"/>
          <w:rtl/>
        </w:rPr>
        <w:t>ביאור היד יהודה ברשב"א דשישים הוא אף ביבש ובאוכל ובישל</w:t>
      </w:r>
      <w:r w:rsidRPr="00FD0B84">
        <w:rPr>
          <w:rFonts w:hint="cs"/>
          <w:rtl/>
        </w:rPr>
        <w:t xml:space="preserve"> </w:t>
      </w:r>
      <w:r>
        <w:rPr>
          <w:rFonts w:hint="cs"/>
          <w:rtl/>
        </w:rPr>
        <w:t>בב"א יש ודאי איסור ולא בטל</w:t>
      </w:r>
      <w:bookmarkEnd w:id="13965"/>
      <w:bookmarkEnd w:id="13966"/>
    </w:p>
    <w:p w:rsidR="00F13472" w:rsidRDefault="00F13472" w:rsidP="009F44AF">
      <w:pPr>
        <w:pStyle w:val="a"/>
        <w:rPr>
          <w:rtl/>
        </w:rPr>
      </w:pPr>
      <w:r>
        <w:rPr>
          <w:rFonts w:hint="cs"/>
          <w:rtl/>
        </w:rPr>
        <w:t xml:space="preserve">וביאר </w:t>
      </w:r>
      <w:r w:rsidRPr="00480573">
        <w:rPr>
          <w:rStyle w:val="af8"/>
          <w:rFonts w:hint="cs"/>
          <w:rtl/>
        </w:rPr>
        <w:t>היד יהודה</w:t>
      </w:r>
      <w:r>
        <w:rPr>
          <w:rFonts w:hint="cs"/>
          <w:rtl/>
        </w:rPr>
        <w:t xml:space="preserve"> </w:t>
      </w:r>
      <w:r w:rsidRPr="00FD0B84">
        <w:rPr>
          <w:rStyle w:val="af6"/>
          <w:rFonts w:eastAsia="Guttman Hodes" w:hint="cs"/>
          <w:rtl/>
        </w:rPr>
        <w:t>(סי' ק"ט סק"ז, סק</w:t>
      </w:r>
      <w:r w:rsidRPr="00FD0B84">
        <w:rPr>
          <w:rStyle w:val="af6"/>
          <w:rFonts w:eastAsia="Guttman Hodes"/>
          <w:rtl/>
        </w:rPr>
        <w:t>"</w:t>
      </w:r>
      <w:r w:rsidRPr="00FD0B84">
        <w:rPr>
          <w:rStyle w:val="af6"/>
          <w:rFonts w:eastAsia="Guttman Hodes" w:hint="cs"/>
          <w:rtl/>
        </w:rPr>
        <w:t>ג ד</w:t>
      </w:r>
      <w:r w:rsidRPr="00FD0B84">
        <w:rPr>
          <w:rStyle w:val="af6"/>
          <w:rFonts w:eastAsia="Guttman Hodes"/>
          <w:rtl/>
        </w:rPr>
        <w:t>"</w:t>
      </w:r>
      <w:r w:rsidRPr="00FD0B84">
        <w:rPr>
          <w:rStyle w:val="af6"/>
          <w:rFonts w:eastAsia="Guttman Hodes" w:hint="cs"/>
          <w:rtl/>
        </w:rPr>
        <w:t>ה והנה יבש ביבש)</w:t>
      </w:r>
      <w:r>
        <w:rPr>
          <w:rFonts w:hint="cs"/>
          <w:rtl/>
        </w:rPr>
        <w:t xml:space="preserve"> דס"ל </w:t>
      </w:r>
      <w:r w:rsidRPr="00627302">
        <w:rPr>
          <w:rStyle w:val="af8"/>
          <w:rFonts w:hint="cs"/>
          <w:rtl/>
        </w:rPr>
        <w:t>להרשב"א</w:t>
      </w:r>
      <w:r>
        <w:rPr>
          <w:rFonts w:hint="cs"/>
          <w:rtl/>
        </w:rPr>
        <w:t xml:space="preserve"> דדין שישים נאמר אף ביבש ביבש, אלא דכל שאוכל כל חתיכה בפנ"ע, כיון שבכל חתיכה יכול לומר שאינה החתיכה האסורה, לכן האיסור מתבטל לגמרי אף בחד בתרי, כמו שמתבטל טעם בשישים, אבל כשאוכל את כל התערובת בבת אחת,</w:t>
      </w:r>
      <w:r w:rsidRPr="00F1146D">
        <w:rPr>
          <w:rFonts w:hint="cs"/>
          <w:rtl/>
        </w:rPr>
        <w:t xml:space="preserve"> </w:t>
      </w:r>
      <w:r>
        <w:rPr>
          <w:rFonts w:hint="cs"/>
          <w:rtl/>
        </w:rPr>
        <w:t xml:space="preserve">וכן בבישל את כל התערובת יחד, ביאר </w:t>
      </w:r>
      <w:r w:rsidRPr="00627302">
        <w:rPr>
          <w:rStyle w:val="af8"/>
          <w:rFonts w:hint="cs"/>
          <w:rtl/>
        </w:rPr>
        <w:t>היד יהודה</w:t>
      </w:r>
      <w:r>
        <w:rPr>
          <w:rFonts w:hint="cs"/>
          <w:rtl/>
        </w:rPr>
        <w:t xml:space="preserve"> דס"ל </w:t>
      </w:r>
      <w:r w:rsidRPr="00627302">
        <w:rPr>
          <w:rStyle w:val="af8"/>
          <w:rFonts w:hint="cs"/>
          <w:rtl/>
        </w:rPr>
        <w:t>להרשב"א</w:t>
      </w:r>
      <w:r>
        <w:rPr>
          <w:rFonts w:hint="cs"/>
          <w:rtl/>
        </w:rPr>
        <w:t xml:space="preserve"> דהאיסור לא התבטל, כיון שאוכל ודאי את האיסור, ואינו יכול לומר שבמה שאוכל אין איסור, א"כ אף ביבש יש בכה"ג את גזירת שישים. [ועי' במה שביאר </w:t>
      </w:r>
      <w:r w:rsidRPr="00D16582">
        <w:rPr>
          <w:rStyle w:val="af8"/>
          <w:rFonts w:hint="cs"/>
          <w:rtl/>
        </w:rPr>
        <w:t>היד יהודה</w:t>
      </w:r>
      <w:r>
        <w:rPr>
          <w:rFonts w:hint="cs"/>
          <w:rtl/>
        </w:rPr>
        <w:t xml:space="preserve"> </w:t>
      </w:r>
      <w:r w:rsidRPr="00D16582">
        <w:rPr>
          <w:rStyle w:val="af6"/>
          <w:rFonts w:eastAsia="Guttman Hodes" w:hint="cs"/>
          <w:rtl/>
        </w:rPr>
        <w:t xml:space="preserve">(עי' אות </w:t>
      </w:r>
      <w:r w:rsidRPr="00D16582">
        <w:rPr>
          <w:rStyle w:val="af6"/>
          <w:rFonts w:eastAsia="Guttman Hodes"/>
          <w:rtl/>
        </w:rPr>
        <w:fldChar w:fldCharType="begin"/>
      </w:r>
      <w:r w:rsidRPr="00D16582">
        <w:rPr>
          <w:rStyle w:val="af6"/>
          <w:rFonts w:eastAsia="Guttman Hodes"/>
          <w:rtl/>
        </w:rPr>
        <w:instrText xml:space="preserve"> </w:instrText>
      </w:r>
      <w:r w:rsidRPr="00D16582">
        <w:rPr>
          <w:rStyle w:val="af6"/>
          <w:rFonts w:eastAsia="Guttman Hodes" w:hint="cs"/>
        </w:rPr>
        <w:instrText>REF</w:instrText>
      </w:r>
      <w:r w:rsidRPr="00D16582">
        <w:rPr>
          <w:rStyle w:val="af6"/>
          <w:rFonts w:eastAsia="Guttman Hodes" w:hint="cs"/>
          <w:rtl/>
        </w:rPr>
        <w:instrText xml:space="preserve"> _</w:instrText>
      </w:r>
      <w:r w:rsidRPr="00D16582">
        <w:rPr>
          <w:rStyle w:val="af6"/>
          <w:rFonts w:eastAsia="Guttman Hodes" w:hint="cs"/>
        </w:rPr>
        <w:instrText>Ref24916420 \r \h</w:instrText>
      </w:r>
      <w:r w:rsidRPr="00D16582">
        <w:rPr>
          <w:rStyle w:val="af6"/>
          <w:rFonts w:eastAsia="Guttman Hodes"/>
          <w:rtl/>
        </w:rPr>
        <w:instrText xml:space="preserve"> </w:instrText>
      </w:r>
      <w:r w:rsidRPr="00D16582">
        <w:rPr>
          <w:rStyle w:val="af6"/>
          <w:rFonts w:eastAsia="Guttman Hodes"/>
          <w:rtl/>
        </w:rPr>
      </w:r>
      <w:r w:rsidRPr="00D16582">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D16582">
        <w:rPr>
          <w:rStyle w:val="af6"/>
          <w:rFonts w:eastAsia="Guttman Hodes"/>
          <w:rtl/>
        </w:rPr>
        <w:fldChar w:fldCharType="end"/>
      </w:r>
      <w:r>
        <w:rPr>
          <w:rFonts w:hint="cs"/>
          <w:rtl/>
        </w:rPr>
        <w:t xml:space="preserve"> בדברי </w:t>
      </w:r>
      <w:r w:rsidRPr="00D16582">
        <w:rPr>
          <w:rStyle w:val="af8"/>
          <w:rFonts w:hint="cs"/>
          <w:rtl/>
        </w:rPr>
        <w:t>הרשב"א בתשו'</w:t>
      </w:r>
      <w:r>
        <w:rPr>
          <w:rFonts w:hint="cs"/>
          <w:rtl/>
        </w:rPr>
        <w:t>].</w:t>
      </w:r>
      <w:r w:rsidRPr="00627302">
        <w:rPr>
          <w:rStyle w:val="afa"/>
          <w:rFonts w:hint="cs"/>
          <w:rtl/>
        </w:rPr>
        <w:t xml:space="preserve"> </w:t>
      </w:r>
    </w:p>
    <w:p w:rsidR="00F13472" w:rsidRPr="00DE4AE1" w:rsidRDefault="00F13472" w:rsidP="00F13472">
      <w:pPr>
        <w:pStyle w:val="1"/>
        <w:rPr>
          <w:rtl/>
        </w:rPr>
      </w:pPr>
      <w:bookmarkStart w:id="13967" w:name="_Toc24918175"/>
      <w:bookmarkStart w:id="13968" w:name="_Toc24918243"/>
      <w:bookmarkStart w:id="13969" w:name="_Toc24918035"/>
      <w:r>
        <w:rPr>
          <w:rFonts w:hint="cs"/>
          <w:rtl/>
        </w:rPr>
        <w:t>דברי היד יהודה בדעת הרשב"א בהוסיף היתר ביבש וחזר ובישל</w:t>
      </w:r>
      <w:bookmarkEnd w:id="13967"/>
      <w:bookmarkEnd w:id="13968"/>
    </w:p>
    <w:p w:rsidR="00F13472" w:rsidRDefault="00F13472" w:rsidP="00F13472">
      <w:pPr>
        <w:pStyle w:val="a2"/>
        <w:rPr>
          <w:rtl/>
        </w:rPr>
      </w:pPr>
      <w:bookmarkStart w:id="13970" w:name="_Toc24918176"/>
      <w:bookmarkStart w:id="13971" w:name="_Toc24918244"/>
      <w:r>
        <w:rPr>
          <w:rFonts w:hint="cs"/>
          <w:rtl/>
        </w:rPr>
        <w:t>דברי היד יהודה דלדעת הרשב"א אין היתר גמור ביבש ואסור להרבות איסור ולבשלו יחד</w:t>
      </w:r>
      <w:bookmarkEnd w:id="13970"/>
      <w:bookmarkEnd w:id="13971"/>
    </w:p>
    <w:p w:rsidR="007A5AFC" w:rsidRDefault="00F13472" w:rsidP="009F44AF">
      <w:pPr>
        <w:pStyle w:val="a"/>
        <w:rPr>
          <w:rtl/>
        </w:rPr>
      </w:pPr>
      <w:r>
        <w:rPr>
          <w:rFonts w:hint="cs"/>
          <w:rtl/>
        </w:rPr>
        <w:t xml:space="preserve">וכתב </w:t>
      </w:r>
      <w:r w:rsidRPr="008168E0">
        <w:rPr>
          <w:rStyle w:val="af8"/>
          <w:rFonts w:hint="cs"/>
          <w:rtl/>
        </w:rPr>
        <w:t>היד יהודה</w:t>
      </w:r>
      <w:r>
        <w:rPr>
          <w:rStyle w:val="af8"/>
          <w:rFonts w:hint="cs"/>
          <w:rtl/>
        </w:rPr>
        <w:t xml:space="preserve"> </w:t>
      </w:r>
      <w:r w:rsidRPr="008D6ED2">
        <w:rPr>
          <w:rStyle w:val="af6"/>
          <w:rFonts w:eastAsia="Guttman Hodes" w:hint="cs"/>
          <w:rtl/>
        </w:rPr>
        <w:t xml:space="preserve">(סי' ס"ט ס"ק ס"א ד"ה מעתה נ"ל ברור) </w:t>
      </w:r>
      <w:r>
        <w:rPr>
          <w:rFonts w:hint="cs"/>
          <w:rtl/>
        </w:rPr>
        <w:t xml:space="preserve">דכ"מ דכתב </w:t>
      </w:r>
      <w:r w:rsidRPr="008168E0">
        <w:rPr>
          <w:rStyle w:val="af8"/>
          <w:rFonts w:hint="cs"/>
          <w:rtl/>
        </w:rPr>
        <w:t xml:space="preserve">הר"ן </w:t>
      </w:r>
      <w:r w:rsidRPr="00F7498C">
        <w:rPr>
          <w:rStyle w:val="af6"/>
          <w:rFonts w:eastAsia="Guttman Hodes" w:hint="cs"/>
          <w:rtl/>
        </w:rPr>
        <w:t xml:space="preserve">(עי' אות </w:t>
      </w:r>
      <w:r w:rsidRPr="00F7498C">
        <w:rPr>
          <w:rStyle w:val="af6"/>
          <w:rFonts w:eastAsia="Guttman Hodes"/>
          <w:rtl/>
        </w:rPr>
        <w:fldChar w:fldCharType="begin"/>
      </w:r>
      <w:r w:rsidRPr="00F7498C">
        <w:rPr>
          <w:rStyle w:val="af6"/>
          <w:rFonts w:eastAsia="Guttman Hodes"/>
          <w:rtl/>
        </w:rPr>
        <w:instrText xml:space="preserve"> </w:instrText>
      </w:r>
      <w:r w:rsidRPr="00F7498C">
        <w:rPr>
          <w:rStyle w:val="af6"/>
          <w:rFonts w:eastAsia="Guttman Hodes" w:hint="cs"/>
        </w:rPr>
        <w:instrText>REF</w:instrText>
      </w:r>
      <w:r w:rsidRPr="00F7498C">
        <w:rPr>
          <w:rStyle w:val="af6"/>
          <w:rFonts w:eastAsia="Guttman Hodes" w:hint="cs"/>
          <w:rtl/>
        </w:rPr>
        <w:instrText xml:space="preserve"> _</w:instrText>
      </w:r>
      <w:r w:rsidRPr="00F7498C">
        <w:rPr>
          <w:rStyle w:val="af6"/>
          <w:rFonts w:eastAsia="Guttman Hodes" w:hint="cs"/>
        </w:rPr>
        <w:instrText>Ref23957048 \r \h</w:instrText>
      </w:r>
      <w:r w:rsidRPr="00F7498C">
        <w:rPr>
          <w:rStyle w:val="af6"/>
          <w:rFonts w:eastAsia="Guttman Hodes"/>
          <w:rtl/>
        </w:rPr>
        <w:instrText xml:space="preserve"> </w:instrText>
      </w:r>
      <w:r w:rsidRPr="00F7498C">
        <w:rPr>
          <w:rStyle w:val="af6"/>
          <w:rFonts w:eastAsia="Guttman Hodes"/>
          <w:rtl/>
        </w:rPr>
      </w:r>
      <w:r w:rsidRPr="00F7498C">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F7498C">
        <w:rPr>
          <w:rStyle w:val="af6"/>
          <w:rFonts w:eastAsia="Guttman Hodes"/>
          <w:rtl/>
        </w:rPr>
        <w:fldChar w:fldCharType="end"/>
      </w:r>
      <w:r w:rsidRPr="00F7498C">
        <w:rPr>
          <w:rStyle w:val="af6"/>
          <w:rFonts w:eastAsia="Guttman Hodes" w:hint="cs"/>
          <w:rtl/>
        </w:rPr>
        <w:t xml:space="preserve"> </w:t>
      </w:r>
      <w:r>
        <w:rPr>
          <w:rFonts w:hint="cs"/>
          <w:rtl/>
        </w:rPr>
        <w:t xml:space="preserve">בשם </w:t>
      </w:r>
      <w:r w:rsidRPr="00F7498C">
        <w:rPr>
          <w:rStyle w:val="af8"/>
          <w:rFonts w:hint="cs"/>
          <w:rtl/>
        </w:rPr>
        <w:t>הרא"ה</w:t>
      </w:r>
      <w:r>
        <w:rPr>
          <w:rFonts w:hint="cs"/>
          <w:rtl/>
        </w:rPr>
        <w:t xml:space="preserve"> דמותר להרבות היתר על האיסור בשיעור שישים ואח"כ מותר לבשלם יחד, דזהו דוקא לשיטת </w:t>
      </w:r>
      <w:r w:rsidRPr="008168E0">
        <w:rPr>
          <w:rStyle w:val="af8"/>
          <w:rFonts w:hint="cs"/>
          <w:rtl/>
        </w:rPr>
        <w:t xml:space="preserve">הרא"ה והר"ן </w:t>
      </w:r>
      <w:r>
        <w:rPr>
          <w:rFonts w:hint="cs"/>
          <w:rtl/>
        </w:rPr>
        <w:t>דבזמן שהוא יבש ביבש מותר לגמרי,</w:t>
      </w:r>
      <w:r>
        <w:rPr>
          <w:rStyle w:val="afa"/>
          <w:rFonts w:hint="cs"/>
          <w:rtl/>
        </w:rPr>
        <w:t xml:space="preserve"> </w:t>
      </w:r>
      <w:r w:rsidRPr="005A660A">
        <w:rPr>
          <w:rStyle w:val="afa"/>
          <w:rFonts w:hint="cs"/>
          <w:rtl/>
        </w:rPr>
        <w:t xml:space="preserve">[כדביאר </w:t>
      </w:r>
      <w:r w:rsidRPr="005A660A">
        <w:rPr>
          <w:rStyle w:val="affa"/>
          <w:rFonts w:hint="cs"/>
          <w:rtl/>
        </w:rPr>
        <w:t>היד יהודה</w:t>
      </w:r>
      <w:r w:rsidRPr="005A660A">
        <w:rPr>
          <w:rStyle w:val="afa"/>
          <w:rFonts w:hint="cs"/>
          <w:rtl/>
        </w:rPr>
        <w:t xml:space="preserve"> </w:t>
      </w:r>
      <w:r w:rsidRPr="008F2049">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Ref24904582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קא)</w:t>
      </w:r>
      <w:r>
        <w:rPr>
          <w:rStyle w:val="aff6"/>
          <w:rtl/>
        </w:rPr>
        <w:fldChar w:fldCharType="end"/>
      </w:r>
      <w:r w:rsidRPr="008F2049">
        <w:rPr>
          <w:rStyle w:val="aff6"/>
          <w:rFonts w:hint="cs"/>
          <w:rtl/>
        </w:rPr>
        <w:t xml:space="preserve"> </w:t>
      </w:r>
      <w:r>
        <w:rPr>
          <w:rStyle w:val="affa"/>
          <w:rFonts w:hint="cs"/>
          <w:rtl/>
        </w:rPr>
        <w:t>ברא"ה</w:t>
      </w:r>
      <w:r w:rsidRPr="005A660A">
        <w:rPr>
          <w:rStyle w:val="afa"/>
          <w:rFonts w:hint="cs"/>
          <w:rtl/>
        </w:rPr>
        <w:t xml:space="preserve">], </w:t>
      </w:r>
      <w:r>
        <w:rPr>
          <w:rFonts w:hint="cs"/>
          <w:rtl/>
        </w:rPr>
        <w:t>ולכן כשמוסיף עוד היתר, אי"ז נחשב ביטול איסור כלל,</w:t>
      </w:r>
      <w:r w:rsidRPr="00E20FE8">
        <w:rPr>
          <w:rStyle w:val="afa"/>
          <w:rFonts w:hint="cs"/>
          <w:rtl/>
        </w:rPr>
        <w:t xml:space="preserve"> </w:t>
      </w:r>
      <w:r>
        <w:rPr>
          <w:rFonts w:hint="cs"/>
          <w:rtl/>
        </w:rPr>
        <w:t xml:space="preserve">אבל לדעת </w:t>
      </w:r>
      <w:r w:rsidRPr="008168E0">
        <w:rPr>
          <w:rStyle w:val="af8"/>
          <w:rFonts w:hint="cs"/>
          <w:rtl/>
        </w:rPr>
        <w:lastRenderedPageBreak/>
        <w:t xml:space="preserve">הרשב"א </w:t>
      </w:r>
      <w:r>
        <w:rPr>
          <w:rFonts w:hint="cs"/>
          <w:rtl/>
        </w:rPr>
        <w:t>דאף כשהוא יבש עדיין אינו היתר גמור ושייך בו דין שישים, ומותר רק כיון דעל כל חתיכה יכול לומר שהיא המותרת, א"כ אסור להרבות עליהם היתר, דחשיב כמבטל איסור.</w:t>
      </w:r>
    </w:p>
    <w:p w:rsidR="00F13472" w:rsidRDefault="00F13472" w:rsidP="00F13472">
      <w:pPr>
        <w:pStyle w:val="a2"/>
        <w:rPr>
          <w:rtl/>
        </w:rPr>
      </w:pPr>
      <w:bookmarkStart w:id="13972" w:name="_Toc24918177"/>
      <w:bookmarkStart w:id="13973" w:name="_Toc24918245"/>
      <w:r>
        <w:rPr>
          <w:rFonts w:hint="cs"/>
          <w:rtl/>
        </w:rPr>
        <w:t xml:space="preserve">דברי היש"ש דהר"ן התיר </w:t>
      </w:r>
      <w:r w:rsidRPr="00C064FC">
        <w:rPr>
          <w:rtl/>
        </w:rPr>
        <w:t xml:space="preserve">להוסיף ביבש יותר משישים ולבשל </w:t>
      </w:r>
      <w:r>
        <w:rPr>
          <w:rFonts w:hint="cs"/>
          <w:rtl/>
        </w:rPr>
        <w:t>לדעת הרשב"א דאסר בב"א</w:t>
      </w:r>
      <w:bookmarkEnd w:id="13972"/>
      <w:bookmarkEnd w:id="13973"/>
    </w:p>
    <w:p w:rsidR="00F13472" w:rsidRDefault="00F13472" w:rsidP="009F44AF">
      <w:pPr>
        <w:pStyle w:val="a"/>
        <w:rPr>
          <w:rtl/>
        </w:rPr>
      </w:pPr>
      <w:r>
        <w:rPr>
          <w:rFonts w:hint="cs"/>
          <w:rtl/>
        </w:rPr>
        <w:t xml:space="preserve">אבל </w:t>
      </w:r>
      <w:r w:rsidRPr="002C48DB">
        <w:rPr>
          <w:rStyle w:val="af8"/>
          <w:rFonts w:hint="cs"/>
          <w:rtl/>
        </w:rPr>
        <w:t>היש"ש</w:t>
      </w:r>
      <w:r>
        <w:rPr>
          <w:rFonts w:hint="cs"/>
          <w:rtl/>
        </w:rPr>
        <w:t xml:space="preserve"> </w:t>
      </w:r>
      <w:r w:rsidRPr="002C48DB">
        <w:rPr>
          <w:rStyle w:val="af6"/>
          <w:rFonts w:eastAsia="Guttman Hodes" w:hint="cs"/>
          <w:rtl/>
        </w:rPr>
        <w:t>(בפירקין סי' מ"ז ד"ה והיה נראה)</w:t>
      </w:r>
      <w:r>
        <w:rPr>
          <w:rFonts w:hint="cs"/>
          <w:rtl/>
        </w:rPr>
        <w:t xml:space="preserve"> כתב דהא דכתב </w:t>
      </w:r>
      <w:r w:rsidRPr="008168E0">
        <w:rPr>
          <w:rStyle w:val="af8"/>
          <w:rFonts w:hint="cs"/>
          <w:rtl/>
        </w:rPr>
        <w:t xml:space="preserve">הר"ן </w:t>
      </w:r>
      <w:r w:rsidRPr="00F7498C">
        <w:rPr>
          <w:rStyle w:val="af6"/>
          <w:rFonts w:eastAsia="Guttman Hodes" w:hint="cs"/>
          <w:rtl/>
        </w:rPr>
        <w:t xml:space="preserve">(עי' אות </w:t>
      </w:r>
      <w:r w:rsidRPr="00F7498C">
        <w:rPr>
          <w:rStyle w:val="af6"/>
          <w:rFonts w:eastAsia="Guttman Hodes"/>
          <w:rtl/>
        </w:rPr>
        <w:fldChar w:fldCharType="begin"/>
      </w:r>
      <w:r w:rsidRPr="00F7498C">
        <w:rPr>
          <w:rStyle w:val="af6"/>
          <w:rFonts w:eastAsia="Guttman Hodes"/>
          <w:rtl/>
        </w:rPr>
        <w:instrText xml:space="preserve"> </w:instrText>
      </w:r>
      <w:r w:rsidRPr="00F7498C">
        <w:rPr>
          <w:rStyle w:val="af6"/>
          <w:rFonts w:eastAsia="Guttman Hodes" w:hint="cs"/>
        </w:rPr>
        <w:instrText>REF</w:instrText>
      </w:r>
      <w:r w:rsidRPr="00F7498C">
        <w:rPr>
          <w:rStyle w:val="af6"/>
          <w:rFonts w:eastAsia="Guttman Hodes" w:hint="cs"/>
          <w:rtl/>
        </w:rPr>
        <w:instrText xml:space="preserve"> _</w:instrText>
      </w:r>
      <w:r w:rsidRPr="00F7498C">
        <w:rPr>
          <w:rStyle w:val="af6"/>
          <w:rFonts w:eastAsia="Guttman Hodes" w:hint="cs"/>
        </w:rPr>
        <w:instrText>Ref23957048 \r \h</w:instrText>
      </w:r>
      <w:r w:rsidRPr="00F7498C">
        <w:rPr>
          <w:rStyle w:val="af6"/>
          <w:rFonts w:eastAsia="Guttman Hodes"/>
          <w:rtl/>
        </w:rPr>
        <w:instrText xml:space="preserve"> </w:instrText>
      </w:r>
      <w:r w:rsidRPr="00F7498C">
        <w:rPr>
          <w:rStyle w:val="af6"/>
          <w:rFonts w:eastAsia="Guttman Hodes"/>
          <w:rtl/>
        </w:rPr>
      </w:r>
      <w:r w:rsidRPr="00F7498C">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F7498C">
        <w:rPr>
          <w:rStyle w:val="af6"/>
          <w:rFonts w:eastAsia="Guttman Hodes"/>
          <w:rtl/>
        </w:rPr>
        <w:fldChar w:fldCharType="end"/>
      </w:r>
      <w:r>
        <w:rPr>
          <w:rFonts w:hint="cs"/>
          <w:rtl/>
        </w:rPr>
        <w:t xml:space="preserve"> דמותר להרבות היתר על האיסור בשיעור שישים ואח"כ מותר לבשלם יחד, הוא לדעת </w:t>
      </w:r>
      <w:r w:rsidRPr="002C48DB">
        <w:rPr>
          <w:rStyle w:val="af8"/>
          <w:rFonts w:hint="cs"/>
          <w:rtl/>
        </w:rPr>
        <w:t>הרשב"א</w:t>
      </w:r>
      <w:r w:rsidRPr="002C48DB">
        <w:rPr>
          <w:rStyle w:val="af6"/>
          <w:rFonts w:eastAsia="Guttman Hodes" w:hint="cs"/>
          <w:rtl/>
        </w:rPr>
        <w:t xml:space="preserve"> (עי' אות </w:t>
      </w:r>
      <w:r w:rsidRPr="002C48DB">
        <w:rPr>
          <w:rStyle w:val="af6"/>
          <w:rFonts w:eastAsia="Guttman Hodes"/>
          <w:rtl/>
        </w:rPr>
        <w:fldChar w:fldCharType="begin"/>
      </w:r>
      <w:r w:rsidRPr="002C48DB">
        <w:rPr>
          <w:rStyle w:val="af6"/>
          <w:rFonts w:eastAsia="Guttman Hodes"/>
          <w:rtl/>
        </w:rPr>
        <w:instrText xml:space="preserve"> </w:instrText>
      </w:r>
      <w:r w:rsidRPr="002C48DB">
        <w:rPr>
          <w:rStyle w:val="af6"/>
          <w:rFonts w:eastAsia="Guttman Hodes" w:hint="cs"/>
        </w:rPr>
        <w:instrText>REF</w:instrText>
      </w:r>
      <w:r w:rsidRPr="002C48DB">
        <w:rPr>
          <w:rStyle w:val="af6"/>
          <w:rFonts w:eastAsia="Guttman Hodes" w:hint="cs"/>
          <w:rtl/>
        </w:rPr>
        <w:instrText xml:space="preserve"> _</w:instrText>
      </w:r>
      <w:r w:rsidRPr="002C48DB">
        <w:rPr>
          <w:rStyle w:val="af6"/>
          <w:rFonts w:eastAsia="Guttman Hodes" w:hint="cs"/>
        </w:rPr>
        <w:instrText>Ref23943555 \r \h</w:instrText>
      </w:r>
      <w:r w:rsidRPr="002C48DB">
        <w:rPr>
          <w:rStyle w:val="af6"/>
          <w:rFonts w:eastAsia="Guttman Hodes"/>
          <w:rtl/>
        </w:rPr>
        <w:instrText xml:space="preserve"> </w:instrText>
      </w:r>
      <w:r w:rsidRPr="002C48DB">
        <w:rPr>
          <w:rStyle w:val="af6"/>
          <w:rFonts w:eastAsia="Guttman Hodes"/>
          <w:rtl/>
        </w:rPr>
      </w:r>
      <w:r w:rsidRPr="002C48DB">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2C48DB">
        <w:rPr>
          <w:rStyle w:val="af6"/>
          <w:rFonts w:eastAsia="Guttman Hodes"/>
          <w:rtl/>
        </w:rPr>
        <w:fldChar w:fldCharType="end"/>
      </w:r>
      <w:r>
        <w:rPr>
          <w:rFonts w:hint="cs"/>
          <w:rtl/>
        </w:rPr>
        <w:t xml:space="preserve"> דאוסר לאכול את כל התערובת בבת אחת.</w:t>
      </w:r>
    </w:p>
    <w:p w:rsidR="00F13472" w:rsidRDefault="00F13472" w:rsidP="00F13472">
      <w:pPr>
        <w:pStyle w:val="afd"/>
        <w:rPr>
          <w:rtl/>
        </w:rPr>
      </w:pPr>
      <w:bookmarkStart w:id="13974" w:name="_Toc24918246"/>
      <w:r>
        <w:rPr>
          <w:rFonts w:hint="cs"/>
          <w:rtl/>
        </w:rPr>
        <w:t>ביאור הרשב"א בתשו' באיסור בבישל</w:t>
      </w:r>
      <w:bookmarkEnd w:id="13969"/>
      <w:bookmarkEnd w:id="13974"/>
    </w:p>
    <w:p w:rsidR="00F13472" w:rsidRDefault="00F13472" w:rsidP="00F13472">
      <w:pPr>
        <w:pStyle w:val="1"/>
        <w:rPr>
          <w:rtl/>
        </w:rPr>
      </w:pPr>
      <w:bookmarkStart w:id="13975" w:name="_Toc24918036"/>
      <w:bookmarkStart w:id="13976" w:name="_Toc24918247"/>
      <w:r w:rsidRPr="003D6DFB">
        <w:rPr>
          <w:rFonts w:hint="cs"/>
          <w:rtl/>
        </w:rPr>
        <w:t xml:space="preserve">דברי </w:t>
      </w:r>
      <w:r>
        <w:rPr>
          <w:rFonts w:hint="cs"/>
          <w:rtl/>
        </w:rPr>
        <w:t xml:space="preserve">השואל </w:t>
      </w:r>
      <w:r w:rsidRPr="003D6DFB">
        <w:rPr>
          <w:rFonts w:hint="cs"/>
          <w:rtl/>
        </w:rPr>
        <w:t>בתשו'</w:t>
      </w:r>
      <w:bookmarkEnd w:id="13944"/>
      <w:bookmarkEnd w:id="13945"/>
      <w:r w:rsidRPr="00E3451E">
        <w:rPr>
          <w:rFonts w:hint="cs"/>
          <w:rtl/>
        </w:rPr>
        <w:t xml:space="preserve"> </w:t>
      </w:r>
      <w:r w:rsidRPr="003D6DFB">
        <w:rPr>
          <w:rFonts w:hint="cs"/>
          <w:rtl/>
        </w:rPr>
        <w:t>הרשב"א</w:t>
      </w:r>
      <w:r>
        <w:rPr>
          <w:rFonts w:hint="cs"/>
          <w:rtl/>
        </w:rPr>
        <w:t xml:space="preserve"> דהאיסור הותר לגמרי</w:t>
      </w:r>
      <w:bookmarkEnd w:id="13946"/>
      <w:bookmarkEnd w:id="13947"/>
      <w:bookmarkEnd w:id="13948"/>
      <w:bookmarkEnd w:id="13975"/>
      <w:bookmarkEnd w:id="13976"/>
    </w:p>
    <w:p w:rsidR="00F13472" w:rsidRDefault="00F13472" w:rsidP="00F13472">
      <w:pPr>
        <w:pStyle w:val="a2"/>
        <w:rPr>
          <w:rtl/>
        </w:rPr>
      </w:pPr>
      <w:bookmarkStart w:id="13977" w:name="_Toc24576800"/>
      <w:bookmarkStart w:id="13978" w:name="_Toc24709356"/>
      <w:bookmarkStart w:id="13979" w:name="_Toc24838948"/>
      <w:bookmarkStart w:id="13980" w:name="_Toc24918037"/>
      <w:bookmarkStart w:id="13981" w:name="_Toc24918248"/>
      <w:r>
        <w:rPr>
          <w:rFonts w:hint="cs"/>
          <w:rtl/>
        </w:rPr>
        <w:t>דברי השואל בתשו' הרשב"א דמוכח בגמ' בזבחים דברוב האיסור מתבטל לגמרי ונעשה מותר</w:t>
      </w:r>
      <w:bookmarkEnd w:id="13977"/>
      <w:bookmarkEnd w:id="13978"/>
      <w:bookmarkEnd w:id="13979"/>
      <w:bookmarkEnd w:id="13980"/>
      <w:bookmarkEnd w:id="13981"/>
    </w:p>
    <w:p w:rsidR="00F13472" w:rsidRDefault="00F13472" w:rsidP="009F44AF">
      <w:pPr>
        <w:pStyle w:val="a"/>
        <w:rPr>
          <w:rtl/>
        </w:rPr>
      </w:pPr>
      <w:bookmarkStart w:id="13982" w:name="_Ref24916513"/>
      <w:r>
        <w:rPr>
          <w:rFonts w:hint="cs"/>
          <w:rtl/>
        </w:rPr>
        <w:t xml:space="preserve">כתב </w:t>
      </w:r>
      <w:r w:rsidRPr="009014DD">
        <w:rPr>
          <w:rStyle w:val="af8"/>
          <w:rFonts w:hint="cs"/>
          <w:rtl/>
        </w:rPr>
        <w:t>השואל בתשו' הרשב"א</w:t>
      </w:r>
      <w:r>
        <w:rPr>
          <w:rFonts w:hint="cs"/>
          <w:rtl/>
        </w:rPr>
        <w:t xml:space="preserve"> </w:t>
      </w:r>
      <w:r w:rsidRPr="00361C20">
        <w:rPr>
          <w:rStyle w:val="af6"/>
          <w:rFonts w:eastAsia="Guttman Hodes" w:hint="cs"/>
          <w:rtl/>
        </w:rPr>
        <w:t xml:space="preserve">(ח"א סי' תכ"ה) </w:t>
      </w:r>
      <w:r>
        <w:rPr>
          <w:rFonts w:hint="cs"/>
          <w:rtl/>
        </w:rPr>
        <w:t>דתערובת יבש ביבש שהתבטלה בחד בתרי, מותר לאכול את כל התערובת בקדירה אחת דכיון שהאיסור התבטל הוא נעשה מותר, כדילפינן מאחרי רבים להטות,</w:t>
      </w:r>
      <w:r w:rsidRPr="009014DD">
        <w:rPr>
          <w:rStyle w:val="afa"/>
          <w:rFonts w:hint="cs"/>
          <w:rtl/>
        </w:rPr>
        <w:t xml:space="preserve"> [כדעת </w:t>
      </w:r>
      <w:r w:rsidRPr="00361C20">
        <w:rPr>
          <w:rStyle w:val="affa"/>
          <w:rFonts w:hint="cs"/>
          <w:rtl/>
        </w:rPr>
        <w:t>הרא"ש</w:t>
      </w:r>
      <w:r w:rsidRPr="009014DD">
        <w:rPr>
          <w:rStyle w:val="afa"/>
          <w:rFonts w:hint="cs"/>
          <w:rtl/>
        </w:rPr>
        <w:t xml:space="preserve"> </w:t>
      </w:r>
      <w:r w:rsidRPr="00A200F3">
        <w:rPr>
          <w:rStyle w:val="aff6"/>
          <w:rFonts w:hint="cs"/>
          <w:rtl/>
        </w:rPr>
        <w:t xml:space="preserve">(עי' אות </w:t>
      </w:r>
      <w:r w:rsidRPr="00A200F3">
        <w:rPr>
          <w:rStyle w:val="aff6"/>
          <w:rtl/>
        </w:rPr>
        <w:fldChar w:fldCharType="begin"/>
      </w:r>
      <w:r w:rsidRPr="00A200F3">
        <w:rPr>
          <w:rStyle w:val="aff6"/>
          <w:rtl/>
        </w:rPr>
        <w:instrText xml:space="preserve"> </w:instrText>
      </w:r>
      <w:r w:rsidRPr="00A200F3">
        <w:rPr>
          <w:rStyle w:val="aff6"/>
          <w:rFonts w:hint="cs"/>
        </w:rPr>
        <w:instrText>REF</w:instrText>
      </w:r>
      <w:r w:rsidRPr="00A200F3">
        <w:rPr>
          <w:rStyle w:val="aff6"/>
          <w:rFonts w:hint="cs"/>
          <w:rtl/>
        </w:rPr>
        <w:instrText xml:space="preserve"> _</w:instrText>
      </w:r>
      <w:r w:rsidRPr="00A200F3">
        <w:rPr>
          <w:rStyle w:val="aff6"/>
          <w:rFonts w:hint="cs"/>
        </w:rPr>
        <w:instrText>Ref24564844 \r \h</w:instrText>
      </w:r>
      <w:r w:rsidRPr="00A200F3">
        <w:rPr>
          <w:rStyle w:val="aff6"/>
          <w:rtl/>
        </w:rPr>
        <w:instrText xml:space="preserve"> </w:instrText>
      </w:r>
      <w:r w:rsidRPr="00A200F3">
        <w:rPr>
          <w:rStyle w:val="aff6"/>
          <w:rtl/>
        </w:rPr>
      </w:r>
      <w:r w:rsidRPr="00A200F3">
        <w:rPr>
          <w:rStyle w:val="aff6"/>
          <w:rtl/>
        </w:rPr>
        <w:fldChar w:fldCharType="separate"/>
      </w:r>
      <w:r w:rsidR="004D1C5B">
        <w:rPr>
          <w:rStyle w:val="aff6"/>
          <w:cs/>
        </w:rPr>
        <w:t>‎</w:t>
      </w:r>
      <w:r w:rsidR="004D1C5B">
        <w:rPr>
          <w:rStyle w:val="aff6"/>
          <w:rtl/>
        </w:rPr>
        <w:t>כב)</w:t>
      </w:r>
      <w:r w:rsidRPr="00A200F3">
        <w:rPr>
          <w:rStyle w:val="aff6"/>
          <w:rtl/>
        </w:rPr>
        <w:fldChar w:fldCharType="end"/>
      </w:r>
      <w:r w:rsidRPr="009014DD">
        <w:rPr>
          <w:rStyle w:val="afa"/>
          <w:rFonts w:hint="cs"/>
          <w:rtl/>
        </w:rPr>
        <w:t>],</w:t>
      </w:r>
      <w:r>
        <w:rPr>
          <w:rFonts w:hint="cs"/>
          <w:rtl/>
        </w:rPr>
        <w:t xml:space="preserve"> והביא </w:t>
      </w:r>
      <w:r w:rsidRPr="009014DD">
        <w:rPr>
          <w:rStyle w:val="af8"/>
          <w:rFonts w:hint="cs"/>
          <w:rtl/>
        </w:rPr>
        <w:t>השואל בתשו' הרשב"א</w:t>
      </w:r>
      <w:r>
        <w:rPr>
          <w:rFonts w:hint="cs"/>
          <w:rtl/>
        </w:rPr>
        <w:t xml:space="preserve"> ראיה מהגמ' בזבחים </w:t>
      </w:r>
      <w:r w:rsidRPr="00361C20">
        <w:rPr>
          <w:rStyle w:val="af6"/>
          <w:rFonts w:eastAsia="Guttman Hodes" w:hint="cs"/>
          <w:rtl/>
        </w:rPr>
        <w:t xml:space="preserve">(עט.) </w:t>
      </w:r>
      <w:r>
        <w:rPr>
          <w:rFonts w:hint="cs"/>
          <w:rtl/>
        </w:rPr>
        <w:t xml:space="preserve">דמין במינו ברובא ומין בשאינו מינו בטעמא, וצ"ל דבמין במינו איירי ביבש, דא"א לומר דאיירי בלח בלח, והרי קיי"ל דבלח בין במין במינו ובין במין בשאינו מינו השיעור הוא בנותן טעם, וכתב </w:t>
      </w:r>
      <w:r w:rsidRPr="009014DD">
        <w:rPr>
          <w:rStyle w:val="af8"/>
          <w:rFonts w:hint="cs"/>
          <w:rtl/>
        </w:rPr>
        <w:t xml:space="preserve">השואל בתשו' הרשב"א </w:t>
      </w:r>
      <w:r>
        <w:rPr>
          <w:rFonts w:hint="cs"/>
          <w:rtl/>
        </w:rPr>
        <w:t>דכיון דהגמ' בזבחים מדמה את ביטול מין בשאינו מינו דבטעמא, למין במינו דבטל ברוב, א"כ מוכח דכמו דבביטול בשישים מותר לכתחילה, ה"ה בביטול ברוב ביבש ביבש דמותר לכתחילה.</w:t>
      </w:r>
      <w:bookmarkEnd w:id="13982"/>
    </w:p>
    <w:p w:rsidR="00F13472" w:rsidRDefault="00F13472" w:rsidP="00F13472">
      <w:pPr>
        <w:pStyle w:val="1"/>
        <w:rPr>
          <w:rtl/>
        </w:rPr>
      </w:pPr>
      <w:bookmarkStart w:id="13983" w:name="_Toc24576801"/>
      <w:bookmarkStart w:id="13984" w:name="_Toc24709357"/>
      <w:bookmarkStart w:id="13985" w:name="_Toc24838949"/>
      <w:bookmarkStart w:id="13986" w:name="_Toc24918038"/>
      <w:bookmarkStart w:id="13987" w:name="_Toc24918249"/>
      <w:r w:rsidRPr="003D6DFB">
        <w:rPr>
          <w:rFonts w:hint="cs"/>
          <w:rtl/>
        </w:rPr>
        <w:t>דברי הרשב"א בתשו'</w:t>
      </w:r>
      <w:bookmarkEnd w:id="13983"/>
      <w:bookmarkEnd w:id="13984"/>
      <w:r>
        <w:rPr>
          <w:rFonts w:hint="cs"/>
          <w:rtl/>
        </w:rPr>
        <w:t xml:space="preserve"> דבבישל הרוטב אוסר את כל התערובת</w:t>
      </w:r>
      <w:bookmarkEnd w:id="13985"/>
      <w:bookmarkEnd w:id="13986"/>
      <w:bookmarkEnd w:id="13987"/>
    </w:p>
    <w:p w:rsidR="00F13472" w:rsidRDefault="00F13472" w:rsidP="00F13472">
      <w:pPr>
        <w:pStyle w:val="a2"/>
        <w:rPr>
          <w:rtl/>
        </w:rPr>
      </w:pPr>
      <w:bookmarkStart w:id="13988" w:name="_Toc24576802"/>
      <w:bookmarkStart w:id="13989" w:name="_Toc24709358"/>
      <w:bookmarkStart w:id="13990" w:name="_Toc24838950"/>
      <w:bookmarkStart w:id="13991" w:name="_Toc24918039"/>
      <w:bookmarkStart w:id="13992" w:name="_Toc24918250"/>
      <w:r>
        <w:rPr>
          <w:rFonts w:hint="cs"/>
          <w:rtl/>
        </w:rPr>
        <w:t>דחיית הרשב"א דהביטול מהני רק ביבש אבל כשבישל הרוטב נבלע בחתיכות ואוסר הכל</w:t>
      </w:r>
      <w:bookmarkEnd w:id="13988"/>
      <w:bookmarkEnd w:id="13989"/>
      <w:bookmarkEnd w:id="13990"/>
      <w:bookmarkEnd w:id="13991"/>
      <w:bookmarkEnd w:id="13992"/>
    </w:p>
    <w:p w:rsidR="00F13472" w:rsidRDefault="00F13472" w:rsidP="009F44AF">
      <w:pPr>
        <w:pStyle w:val="a"/>
        <w:rPr>
          <w:rtl/>
        </w:rPr>
      </w:pPr>
      <w:bookmarkStart w:id="13993" w:name="_Ref24707269"/>
      <w:r>
        <w:rPr>
          <w:rFonts w:hint="cs"/>
          <w:rtl/>
        </w:rPr>
        <w:t xml:space="preserve">ודחה </w:t>
      </w:r>
      <w:r w:rsidRPr="00361C20">
        <w:rPr>
          <w:rStyle w:val="af8"/>
          <w:rFonts w:hint="cs"/>
          <w:rtl/>
        </w:rPr>
        <w:t>הרשב"א בתשו'</w:t>
      </w:r>
      <w:r>
        <w:rPr>
          <w:rFonts w:hint="cs"/>
          <w:rtl/>
        </w:rPr>
        <w:t xml:space="preserve"> </w:t>
      </w:r>
      <w:r w:rsidRPr="00361C20">
        <w:rPr>
          <w:rStyle w:val="af6"/>
          <w:rFonts w:eastAsia="Guttman Hodes" w:hint="cs"/>
          <w:rtl/>
        </w:rPr>
        <w:t xml:space="preserve">(ח"א סי' תכ"ה) </w:t>
      </w:r>
      <w:r>
        <w:rPr>
          <w:rFonts w:hint="cs"/>
          <w:rtl/>
        </w:rPr>
        <w:t>את דברי</w:t>
      </w:r>
      <w:r w:rsidRPr="00361C20">
        <w:rPr>
          <w:rStyle w:val="af8"/>
          <w:rFonts w:hint="cs"/>
          <w:rtl/>
        </w:rPr>
        <w:t xml:space="preserve"> השואל</w:t>
      </w:r>
      <w:r>
        <w:rPr>
          <w:rFonts w:hint="cs"/>
          <w:rtl/>
        </w:rPr>
        <w:t xml:space="preserve"> דכל מה דמהני ביטול ברוב, הוא רק כשהתערובת עדיין יבשה, אבל אם אח"כ בישל את כל התערובת יחד, האיסור חוזר וניעור, וכל התערובת אסורה, וביאר </w:t>
      </w:r>
      <w:r w:rsidRPr="000B5CCC">
        <w:rPr>
          <w:rStyle w:val="af8"/>
          <w:rFonts w:hint="cs"/>
          <w:rtl/>
        </w:rPr>
        <w:t>הרשב"א בתשו'</w:t>
      </w:r>
      <w:r>
        <w:rPr>
          <w:rFonts w:hint="cs"/>
          <w:rtl/>
        </w:rPr>
        <w:t xml:space="preserve"> דאף שהחתיכות עצמם כ"ז שלא נימוחו, יש להם עדיין דין יבש ביבש, מ"מ האיסור חוזר וניעור מחמת הרוטב שנפלט מהאיסור ונבלע בכל הקדירה.</w:t>
      </w:r>
      <w:bookmarkEnd w:id="13993"/>
    </w:p>
    <w:p w:rsidR="00F13472" w:rsidRDefault="00F13472" w:rsidP="00F13472">
      <w:pPr>
        <w:pStyle w:val="a2"/>
        <w:rPr>
          <w:rtl/>
        </w:rPr>
      </w:pPr>
      <w:bookmarkStart w:id="13994" w:name="_Toc24576803"/>
      <w:bookmarkStart w:id="13995" w:name="_Toc24709359"/>
      <w:bookmarkStart w:id="13996" w:name="_Toc24838951"/>
      <w:bookmarkStart w:id="13997" w:name="_Toc24918040"/>
      <w:bookmarkStart w:id="13998" w:name="_Toc24918251"/>
      <w:r>
        <w:rPr>
          <w:rFonts w:hint="cs"/>
          <w:rtl/>
        </w:rPr>
        <w:t>דברי הרשב"א דמהא דלא מקשה הגמ' אמאי הרוטב בנו"ט מוכח דיבש שהתבשל הרוטב אסור</w:t>
      </w:r>
      <w:bookmarkEnd w:id="13994"/>
      <w:bookmarkEnd w:id="13995"/>
      <w:bookmarkEnd w:id="13996"/>
      <w:bookmarkEnd w:id="13997"/>
      <w:bookmarkEnd w:id="13998"/>
    </w:p>
    <w:p w:rsidR="00F13472" w:rsidRDefault="00F13472" w:rsidP="009F44AF">
      <w:pPr>
        <w:pStyle w:val="a"/>
        <w:rPr>
          <w:rStyle w:val="afa"/>
          <w:rtl/>
        </w:rPr>
      </w:pPr>
      <w:bookmarkStart w:id="13999" w:name="_Ref24562737"/>
      <w:r>
        <w:rPr>
          <w:rFonts w:hint="cs"/>
          <w:rtl/>
        </w:rPr>
        <w:t xml:space="preserve">וכתב </w:t>
      </w:r>
      <w:r w:rsidRPr="00361C20">
        <w:rPr>
          <w:rStyle w:val="af8"/>
          <w:rFonts w:hint="cs"/>
          <w:rtl/>
        </w:rPr>
        <w:t>הרשב"א בתשו'</w:t>
      </w:r>
      <w:r>
        <w:rPr>
          <w:rFonts w:hint="cs"/>
          <w:rtl/>
        </w:rPr>
        <w:t xml:space="preserve"> דזהו הביאור בקושית הגמ' בסוגיין דגיד בין הגידין יתבטל ברוב, אעפ"י דב</w:t>
      </w:r>
      <w:r w:rsidRPr="006B4419">
        <w:rPr>
          <w:rFonts w:hint="cs"/>
          <w:rtl/>
        </w:rPr>
        <w:t xml:space="preserve">מתני' לעיל </w:t>
      </w:r>
      <w:r w:rsidRPr="006B4419">
        <w:rPr>
          <w:rStyle w:val="af6"/>
          <w:rFonts w:eastAsia="Guttman Hodes" w:hint="cs"/>
          <w:rtl/>
        </w:rPr>
        <w:t>(צו:)</w:t>
      </w:r>
      <w:r w:rsidRPr="006B4419">
        <w:rPr>
          <w:rFonts w:hint="cs"/>
          <w:rtl/>
        </w:rPr>
        <w:t xml:space="preserve"> </w:t>
      </w:r>
      <w:r>
        <w:rPr>
          <w:rFonts w:hint="cs"/>
          <w:rtl/>
        </w:rPr>
        <w:t xml:space="preserve">איירי שהגיד התבשל עם שאר הגידין, דמ"מ הגיד עצמו עדיין חשיב כיבש ביבש, וקושית הגמ' אמאי תנן דכל הגידין אסורין, אך לא הוקשה לגמ' המשך המשנה דהרוטב בנותן טעם, אף לפי ההו"א של הגמ' דמהני בגיד ביטול ברוב, </w:t>
      </w:r>
      <w:r w:rsidRPr="00361C20">
        <w:rPr>
          <w:rStyle w:val="afa"/>
          <w:rFonts w:hint="cs"/>
          <w:rtl/>
        </w:rPr>
        <w:t>[אף שהוא בריה],</w:t>
      </w:r>
      <w:r>
        <w:rPr>
          <w:rFonts w:hint="cs"/>
          <w:rtl/>
        </w:rPr>
        <w:t xml:space="preserve"> ומבואר דהסיפא של המשנה דהרוטב בנותן טעם, היא פשיטא לגמ' דכיון שהגידין התשלו ופלטו רוטב, לא מהני בהם ביטול ברוב, ושיעורם בנותן טעם, ולא אמרינן דכיון שהגיד התבטל בין שאר הגידין לפני הבישול כדין יבש ביבש דבטל בחד בתרי, דאף לאחר הבישול הרוטב מותר, אלא מוכח דאף שהותר מתחילה מ"מ אם חזר ובישל את כל התערובת יחד האיסור חוזר וניעור ע"י הרוטב, ועיי"ש בדברי </w:t>
      </w:r>
      <w:r w:rsidRPr="00824FC4">
        <w:rPr>
          <w:rStyle w:val="af8"/>
          <w:rFonts w:hint="cs"/>
          <w:rtl/>
        </w:rPr>
        <w:t>הרשב"א בתשו'</w:t>
      </w:r>
      <w:r>
        <w:rPr>
          <w:rFonts w:hint="cs"/>
          <w:rtl/>
        </w:rPr>
        <w:t xml:space="preserve"> במה שהביא ראיות לדבריו מדין כחל ומתרומה. </w:t>
      </w:r>
      <w:r w:rsidRPr="00110A1D">
        <w:rPr>
          <w:rStyle w:val="afa"/>
          <w:rFonts w:hint="cs"/>
          <w:rtl/>
        </w:rPr>
        <w:t xml:space="preserve">[ועי' בדברי </w:t>
      </w:r>
      <w:r w:rsidRPr="00110A1D">
        <w:rPr>
          <w:rStyle w:val="affa"/>
          <w:rFonts w:hint="cs"/>
          <w:rtl/>
        </w:rPr>
        <w:t xml:space="preserve">המהר"ם </w:t>
      </w:r>
      <w:r w:rsidRPr="00761600">
        <w:rPr>
          <w:rStyle w:val="affa"/>
          <w:rFonts w:hint="cs"/>
          <w:rtl/>
        </w:rPr>
        <w:t>מרוטנבורג והתוס' הרא"ש</w:t>
      </w:r>
      <w:r w:rsidRPr="00110A1D">
        <w:rPr>
          <w:rStyle w:val="afa"/>
          <w:rFonts w:hint="cs"/>
          <w:rtl/>
        </w:rPr>
        <w:t xml:space="preserve"> </w:t>
      </w:r>
      <w:r w:rsidRPr="00507ABD">
        <w:rPr>
          <w:rStyle w:val="aff6"/>
          <w:rFonts w:hint="cs"/>
          <w:rtl/>
        </w:rPr>
        <w:t xml:space="preserve">(עי' אות </w:t>
      </w:r>
      <w:r w:rsidRPr="00507ABD">
        <w:rPr>
          <w:rStyle w:val="aff6"/>
          <w:rtl/>
        </w:rPr>
        <w:fldChar w:fldCharType="begin"/>
      </w:r>
      <w:r w:rsidRPr="00507ABD">
        <w:rPr>
          <w:rStyle w:val="aff6"/>
          <w:rtl/>
        </w:rPr>
        <w:instrText xml:space="preserve"> </w:instrText>
      </w:r>
      <w:r w:rsidRPr="00507ABD">
        <w:rPr>
          <w:rStyle w:val="aff6"/>
          <w:rFonts w:hint="cs"/>
        </w:rPr>
        <w:instrText>REF</w:instrText>
      </w:r>
      <w:r w:rsidRPr="00507ABD">
        <w:rPr>
          <w:rStyle w:val="aff6"/>
          <w:rFonts w:hint="cs"/>
          <w:rtl/>
        </w:rPr>
        <w:instrText xml:space="preserve"> _</w:instrText>
      </w:r>
      <w:r w:rsidRPr="00507ABD">
        <w:rPr>
          <w:rStyle w:val="aff6"/>
          <w:rFonts w:hint="cs"/>
        </w:rPr>
        <w:instrText>Ref24562752 \r \h</w:instrText>
      </w:r>
      <w:r w:rsidRPr="00507ABD">
        <w:rPr>
          <w:rStyle w:val="aff6"/>
          <w:rtl/>
        </w:rPr>
        <w:instrText xml:space="preserve"> </w:instrText>
      </w:r>
      <w:r w:rsidRPr="00507ABD">
        <w:rPr>
          <w:rStyle w:val="aff6"/>
          <w:rtl/>
        </w:rPr>
      </w:r>
      <w:r w:rsidRPr="00507ABD">
        <w:rPr>
          <w:rStyle w:val="aff6"/>
          <w:rtl/>
        </w:rPr>
        <w:fldChar w:fldCharType="separate"/>
      </w:r>
      <w:r w:rsidR="004D1C5B">
        <w:rPr>
          <w:rStyle w:val="aff6"/>
          <w:cs/>
        </w:rPr>
        <w:t>‎</w:t>
      </w:r>
      <w:r w:rsidR="004D1C5B">
        <w:rPr>
          <w:rStyle w:val="aff6"/>
          <w:rtl/>
        </w:rPr>
        <w:t>כט)</w:t>
      </w:r>
      <w:r w:rsidRPr="00507ABD">
        <w:rPr>
          <w:rStyle w:val="aff6"/>
          <w:rtl/>
        </w:rPr>
        <w:fldChar w:fldCharType="end"/>
      </w:r>
      <w:r w:rsidRPr="00507ABD">
        <w:rPr>
          <w:rStyle w:val="aff6"/>
          <w:rFonts w:hint="cs"/>
          <w:rtl/>
        </w:rPr>
        <w:t xml:space="preserve"> </w:t>
      </w:r>
      <w:r w:rsidRPr="00110A1D">
        <w:rPr>
          <w:rStyle w:val="afa"/>
          <w:rFonts w:hint="cs"/>
          <w:rtl/>
        </w:rPr>
        <w:t>דס"ל דהאיסור נהפך להיתר, במה שביאר</w:t>
      </w:r>
      <w:r>
        <w:rPr>
          <w:rStyle w:val="afa"/>
          <w:rFonts w:hint="cs"/>
          <w:rtl/>
        </w:rPr>
        <w:t>ו</w:t>
      </w:r>
      <w:r w:rsidRPr="00110A1D">
        <w:rPr>
          <w:rStyle w:val="afa"/>
          <w:rFonts w:hint="cs"/>
          <w:rtl/>
        </w:rPr>
        <w:t xml:space="preserve"> בקושית הגמ'].</w:t>
      </w:r>
      <w:bookmarkEnd w:id="13999"/>
    </w:p>
    <w:p w:rsidR="00F13472" w:rsidRDefault="00F13472" w:rsidP="00F13472">
      <w:pPr>
        <w:pStyle w:val="a2"/>
        <w:rPr>
          <w:rtl/>
        </w:rPr>
      </w:pPr>
      <w:bookmarkStart w:id="14000" w:name="_Toc24918041"/>
      <w:bookmarkStart w:id="14001" w:name="_Toc24918252"/>
      <w:r>
        <w:rPr>
          <w:rFonts w:hint="cs"/>
          <w:rtl/>
        </w:rPr>
        <w:t>הוכחת הרשב"א בתשו' דאיסור שהותר אסור לבשלו מהא דכחל עצמו אסור אף שהחלב בטל</w:t>
      </w:r>
      <w:bookmarkEnd w:id="14000"/>
      <w:bookmarkEnd w:id="14001"/>
    </w:p>
    <w:p w:rsidR="007A5AFC" w:rsidRDefault="00F13472" w:rsidP="009F44AF">
      <w:pPr>
        <w:pStyle w:val="a"/>
        <w:rPr>
          <w:rtl/>
        </w:rPr>
      </w:pPr>
      <w:bookmarkStart w:id="14002" w:name="_Ref24917570"/>
      <w:bookmarkStart w:id="14003" w:name="_Toc24709360"/>
      <w:bookmarkStart w:id="14004" w:name="_Toc24838952"/>
      <w:r>
        <w:rPr>
          <w:rFonts w:hint="cs"/>
          <w:rtl/>
        </w:rPr>
        <w:t xml:space="preserve">וכתב </w:t>
      </w:r>
      <w:r w:rsidRPr="00E15C1A">
        <w:rPr>
          <w:rStyle w:val="af8"/>
          <w:rFonts w:hint="cs"/>
          <w:rtl/>
        </w:rPr>
        <w:t>הרשב"א בתשו'</w:t>
      </w:r>
      <w:r>
        <w:rPr>
          <w:rFonts w:hint="cs"/>
          <w:rtl/>
        </w:rPr>
        <w:t xml:space="preserve"> דמוכח דאיסור מועט שנפל לתוך רוב היתר ביבש, אינו מותר לבשלם יחד לכתחילה, מהא דאיתא בגמ' לעיל </w:t>
      </w:r>
      <w:r w:rsidRPr="0095376F">
        <w:rPr>
          <w:rStyle w:val="af6"/>
          <w:rFonts w:eastAsia="Guttman Hodes" w:hint="cs"/>
          <w:rtl/>
        </w:rPr>
        <w:t>(צז:)</w:t>
      </w:r>
      <w:r>
        <w:rPr>
          <w:rFonts w:hint="cs"/>
          <w:rtl/>
        </w:rPr>
        <w:t xml:space="preserve"> בדין כחל דאף שמדרבנן הוא צריך שישים, והכחל עצמו מצטרף למנין שישים, אך מ"מ הכחל עצמו אסור, </w:t>
      </w:r>
      <w:r w:rsidRPr="00F55286">
        <w:rPr>
          <w:rStyle w:val="afa"/>
          <w:rFonts w:hint="cs"/>
          <w:rtl/>
        </w:rPr>
        <w:t xml:space="preserve">[וכדביאר </w:t>
      </w:r>
      <w:r w:rsidRPr="00E15C1A">
        <w:rPr>
          <w:rStyle w:val="affa"/>
          <w:rFonts w:hint="cs"/>
          <w:rtl/>
        </w:rPr>
        <w:t xml:space="preserve">הרשב"א </w:t>
      </w:r>
      <w:r w:rsidRPr="00E15C1A">
        <w:rPr>
          <w:rStyle w:val="affa"/>
          <w:rFonts w:hint="cs"/>
          <w:rtl/>
        </w:rPr>
        <w:t>לעיל</w:t>
      </w:r>
      <w:r w:rsidRPr="00F55286">
        <w:rPr>
          <w:rStyle w:val="afa"/>
          <w:rFonts w:hint="cs"/>
          <w:rtl/>
        </w:rPr>
        <w:t xml:space="preserve"> </w:t>
      </w:r>
      <w:r w:rsidRPr="00E15C1A">
        <w:rPr>
          <w:rStyle w:val="aff6"/>
          <w:rFonts w:hint="cs"/>
          <w:rtl/>
        </w:rPr>
        <w:t>(צז: ד"ה כחל, הובא בסימן ד' אות מ"ח)</w:t>
      </w:r>
      <w:r w:rsidRPr="00F55286">
        <w:rPr>
          <w:rStyle w:val="afa"/>
          <w:rFonts w:hint="cs"/>
          <w:rtl/>
        </w:rPr>
        <w:t xml:space="preserve"> דהכחל בעצמו הוא בשר מותר, ולכן הוא מצטרף לשאר הבשר לבטל את החלב שבתוכו],</w:t>
      </w:r>
      <w:r>
        <w:rPr>
          <w:rStyle w:val="afa"/>
          <w:rFonts w:hint="cs"/>
          <w:rtl/>
        </w:rPr>
        <w:t xml:space="preserve"> </w:t>
      </w:r>
      <w:r w:rsidRPr="00700090">
        <w:rPr>
          <w:rFonts w:hint="cs"/>
          <w:rtl/>
        </w:rPr>
        <w:t xml:space="preserve">וכתב </w:t>
      </w:r>
      <w:r w:rsidRPr="00E15C1A">
        <w:rPr>
          <w:rStyle w:val="af8"/>
          <w:rFonts w:hint="cs"/>
          <w:rtl/>
        </w:rPr>
        <w:t>הרשב"א</w:t>
      </w:r>
      <w:r>
        <w:rPr>
          <w:rFonts w:hint="cs"/>
          <w:rtl/>
        </w:rPr>
        <w:t xml:space="preserve"> דלא אמרינן דהחלב הבלוע בכחל התבטל והכחל מותר בבישול.</w:t>
      </w:r>
      <w:bookmarkEnd w:id="14002"/>
    </w:p>
    <w:p w:rsidR="00F13472" w:rsidRPr="00E15C1A" w:rsidRDefault="00F13472" w:rsidP="00F13472">
      <w:pPr>
        <w:pStyle w:val="a2"/>
      </w:pPr>
      <w:bookmarkStart w:id="14005" w:name="_Toc24918042"/>
      <w:bookmarkStart w:id="14006" w:name="_Toc24918253"/>
      <w:r>
        <w:rPr>
          <w:rFonts w:hint="cs"/>
          <w:rtl/>
        </w:rPr>
        <w:t>הוכחת הרשב"א בתשו' מתרומה דאיסור שבטל ופחת שיעורו אסור דאזלינן בתר סופו שאינו בטל</w:t>
      </w:r>
      <w:bookmarkEnd w:id="14005"/>
      <w:bookmarkEnd w:id="14006"/>
    </w:p>
    <w:p w:rsidR="00F13472" w:rsidRDefault="00F13472" w:rsidP="009F44AF">
      <w:pPr>
        <w:pStyle w:val="a"/>
      </w:pPr>
      <w:bookmarkStart w:id="14007" w:name="_Ref24917691"/>
      <w:bookmarkStart w:id="14008" w:name="_Ref24881944"/>
      <w:r>
        <w:rPr>
          <w:rFonts w:hint="cs"/>
          <w:rtl/>
        </w:rPr>
        <w:t xml:space="preserve">ועוד הביא </w:t>
      </w:r>
      <w:r w:rsidRPr="00E15C1A">
        <w:rPr>
          <w:rStyle w:val="af8"/>
          <w:rFonts w:hint="cs"/>
          <w:rtl/>
        </w:rPr>
        <w:t>הרשב"א בתשו'</w:t>
      </w:r>
      <w:r>
        <w:rPr>
          <w:rFonts w:hint="cs"/>
          <w:rtl/>
        </w:rPr>
        <w:t xml:space="preserve"> ראיה מהמשנה בתרומות </w:t>
      </w:r>
      <w:r w:rsidRPr="00766895">
        <w:rPr>
          <w:rStyle w:val="af6"/>
          <w:rFonts w:eastAsia="Guttman Hodes" w:hint="cs"/>
          <w:rtl/>
        </w:rPr>
        <w:t>(פ"ה מ"ט)</w:t>
      </w:r>
      <w:r>
        <w:rPr>
          <w:rFonts w:hint="cs"/>
          <w:rtl/>
        </w:rPr>
        <w:t xml:space="preserve"> דסאה תרומה </w:t>
      </w:r>
      <w:r w:rsidRPr="00951318">
        <w:rPr>
          <w:rFonts w:hint="cs"/>
          <w:rtl/>
        </w:rPr>
        <w:t>שנפלה למאה חולין</w:t>
      </w:r>
      <w:r>
        <w:rPr>
          <w:rFonts w:hint="cs"/>
          <w:rtl/>
        </w:rPr>
        <w:t xml:space="preserve"> וטחנם יחד ופחתו, דאמרינן דכשם שפיחתו החולין כך פיחתה התרומה, ולא אמרינן דאף במקום שלא פיחתה התרומה מותר, דכיון שהותרה התרומה הותרה אלא אזלינן בתר בסוף. וביאר </w:t>
      </w:r>
      <w:r w:rsidRPr="00766895">
        <w:rPr>
          <w:rStyle w:val="af8"/>
          <w:rFonts w:hint="cs"/>
          <w:rtl/>
        </w:rPr>
        <w:t>הגר"א</w:t>
      </w:r>
      <w:r>
        <w:rPr>
          <w:rFonts w:hint="cs"/>
          <w:rtl/>
        </w:rPr>
        <w:t xml:space="preserve"> </w:t>
      </w:r>
      <w:r w:rsidRPr="007F1302">
        <w:rPr>
          <w:rStyle w:val="af6"/>
          <w:rFonts w:eastAsia="Guttman Hodes" w:hint="cs"/>
          <w:rtl/>
        </w:rPr>
        <w:t>(סי' ק"ט סק"ט)</w:t>
      </w:r>
      <w:r>
        <w:rPr>
          <w:rFonts w:hint="cs"/>
          <w:rtl/>
        </w:rPr>
        <w:t xml:space="preserve"> דכוונת </w:t>
      </w:r>
      <w:r w:rsidRPr="00766895">
        <w:rPr>
          <w:rStyle w:val="af8"/>
          <w:rFonts w:hint="cs"/>
          <w:rtl/>
        </w:rPr>
        <w:t>הרשב"א בתשו'</w:t>
      </w:r>
      <w:r>
        <w:rPr>
          <w:rFonts w:hint="cs"/>
          <w:rtl/>
        </w:rPr>
        <w:t xml:space="preserve"> לומר דמוכח שאם החולין פחתו יותר</w:t>
      </w:r>
      <w:r w:rsidRPr="003D1F24">
        <w:rPr>
          <w:rFonts w:hint="cs"/>
          <w:rtl/>
        </w:rPr>
        <w:t xml:space="preserve"> </w:t>
      </w:r>
      <w:r>
        <w:rPr>
          <w:rFonts w:hint="cs"/>
          <w:rtl/>
        </w:rPr>
        <w:t xml:space="preserve">מהתרומה, </w:t>
      </w:r>
      <w:r w:rsidRPr="00766895">
        <w:rPr>
          <w:rStyle w:val="afa"/>
          <w:rFonts w:hint="cs"/>
          <w:rtl/>
        </w:rPr>
        <w:t>[דידוע דהחיטין של התרומה יפות מהחולין, עיי"ש במתני'],</w:t>
      </w:r>
      <w:r>
        <w:rPr>
          <w:rFonts w:hint="cs"/>
          <w:rtl/>
        </w:rPr>
        <w:t xml:space="preserve"> וא"כ אחר שטחנם יחד יש פחות ממאה בחולין כנגד התרומה אסור, ואף שהתרומה התבטלה כבר ביבש, מ"מ כיון שעכשיו אין שיעור ביטול אסור. ועיי"ש במה שהאריך </w:t>
      </w:r>
      <w:r w:rsidRPr="0095376F">
        <w:rPr>
          <w:rStyle w:val="af8"/>
          <w:rFonts w:hint="cs"/>
          <w:rtl/>
        </w:rPr>
        <w:t>הרשב"א בתשו'</w:t>
      </w:r>
      <w:r>
        <w:rPr>
          <w:rFonts w:hint="cs"/>
          <w:rtl/>
        </w:rPr>
        <w:t xml:space="preserve"> בזה.</w:t>
      </w:r>
      <w:bookmarkEnd w:id="14007"/>
      <w:r>
        <w:rPr>
          <w:rFonts w:hint="cs"/>
          <w:rtl/>
        </w:rPr>
        <w:t xml:space="preserve"> </w:t>
      </w:r>
      <w:bookmarkEnd w:id="14008"/>
    </w:p>
    <w:p w:rsidR="00F13472" w:rsidRDefault="00F13472" w:rsidP="00F13472">
      <w:pPr>
        <w:pStyle w:val="a2"/>
        <w:rPr>
          <w:rtl/>
        </w:rPr>
      </w:pPr>
      <w:bookmarkStart w:id="14009" w:name="_Toc24918043"/>
      <w:bookmarkStart w:id="14010" w:name="_Toc24918254"/>
      <w:r>
        <w:rPr>
          <w:rFonts w:hint="cs"/>
          <w:rtl/>
        </w:rPr>
        <w:t>קושית החזו"א על הרשב"א דטעם האיסור אסר את החתיכות עצמם ולא רק הרוטב הבלוע אסור</w:t>
      </w:r>
      <w:bookmarkEnd w:id="14003"/>
      <w:bookmarkEnd w:id="14004"/>
      <w:bookmarkEnd w:id="14009"/>
      <w:bookmarkEnd w:id="14010"/>
    </w:p>
    <w:p w:rsidR="00F13472" w:rsidRPr="0074458A" w:rsidRDefault="00F13472" w:rsidP="009F44AF">
      <w:pPr>
        <w:pStyle w:val="a"/>
        <w:rPr>
          <w:rtl/>
        </w:rPr>
      </w:pPr>
      <w:r>
        <w:rPr>
          <w:rFonts w:hint="cs"/>
          <w:rtl/>
        </w:rPr>
        <w:t>והקשה</w:t>
      </w:r>
      <w:r w:rsidRPr="00802175">
        <w:rPr>
          <w:rFonts w:hint="cs"/>
          <w:rtl/>
        </w:rPr>
        <w:t xml:space="preserve"> </w:t>
      </w:r>
      <w:r w:rsidRPr="00802175">
        <w:rPr>
          <w:rStyle w:val="af8"/>
          <w:rFonts w:hint="cs"/>
          <w:rtl/>
        </w:rPr>
        <w:t>החזו"א</w:t>
      </w:r>
      <w:r w:rsidRPr="00802175">
        <w:rPr>
          <w:rStyle w:val="af6"/>
          <w:rFonts w:eastAsia="Guttman Hodes" w:hint="cs"/>
          <w:rtl/>
        </w:rPr>
        <w:t xml:space="preserve"> (יו"ד סי' ל"ו סק"ב</w:t>
      </w:r>
      <w:r>
        <w:rPr>
          <w:rStyle w:val="af6"/>
          <w:rFonts w:eastAsia="Guttman Hodes" w:hint="cs"/>
          <w:rtl/>
        </w:rPr>
        <w:t xml:space="preserve"> ד"ה בב"י) </w:t>
      </w:r>
      <w:r>
        <w:rPr>
          <w:rFonts w:hint="cs"/>
          <w:rtl/>
        </w:rPr>
        <w:t xml:space="preserve">דאמאי כתב </w:t>
      </w:r>
      <w:r w:rsidRPr="0074458A">
        <w:rPr>
          <w:rStyle w:val="af8"/>
          <w:rFonts w:hint="cs"/>
          <w:rtl/>
        </w:rPr>
        <w:t>הרשב"א בתשו'</w:t>
      </w:r>
      <w:r>
        <w:rPr>
          <w:rFonts w:hint="cs"/>
          <w:rtl/>
        </w:rPr>
        <w:t xml:space="preserve"> </w:t>
      </w:r>
      <w:r w:rsidRPr="0074458A">
        <w:rPr>
          <w:rStyle w:val="af6"/>
          <w:rFonts w:eastAsia="Guttman Hodes" w:hint="cs"/>
          <w:rtl/>
        </w:rPr>
        <w:t xml:space="preserve">(עי' אות </w:t>
      </w:r>
      <w:r w:rsidRPr="0074458A">
        <w:rPr>
          <w:rStyle w:val="af6"/>
          <w:rFonts w:eastAsia="Guttman Hodes"/>
          <w:rtl/>
        </w:rPr>
        <w:fldChar w:fldCharType="begin"/>
      </w:r>
      <w:r w:rsidRPr="0074458A">
        <w:rPr>
          <w:rStyle w:val="af6"/>
          <w:rFonts w:eastAsia="Guttman Hodes"/>
          <w:rtl/>
        </w:rPr>
        <w:instrText xml:space="preserve"> </w:instrText>
      </w:r>
      <w:r w:rsidRPr="0074458A">
        <w:rPr>
          <w:rStyle w:val="af6"/>
          <w:rFonts w:eastAsia="Guttman Hodes" w:hint="cs"/>
        </w:rPr>
        <w:instrText>REF</w:instrText>
      </w:r>
      <w:r w:rsidRPr="0074458A">
        <w:rPr>
          <w:rStyle w:val="af6"/>
          <w:rFonts w:eastAsia="Guttman Hodes" w:hint="cs"/>
          <w:rtl/>
        </w:rPr>
        <w:instrText xml:space="preserve"> _</w:instrText>
      </w:r>
      <w:r w:rsidRPr="0074458A">
        <w:rPr>
          <w:rStyle w:val="af6"/>
          <w:rFonts w:eastAsia="Guttman Hodes" w:hint="cs"/>
        </w:rPr>
        <w:instrText>Ref24707269 \r \h</w:instrText>
      </w:r>
      <w:r w:rsidRPr="0074458A">
        <w:rPr>
          <w:rStyle w:val="af6"/>
          <w:rFonts w:eastAsia="Guttman Hodes"/>
          <w:rtl/>
        </w:rPr>
        <w:instrText xml:space="preserve"> </w:instrText>
      </w:r>
      <w:r w:rsidRPr="0074458A">
        <w:rPr>
          <w:rStyle w:val="af6"/>
          <w:rFonts w:eastAsia="Guttman Hodes"/>
          <w:rtl/>
        </w:rPr>
      </w:r>
      <w:r w:rsidRPr="0074458A">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74458A">
        <w:rPr>
          <w:rStyle w:val="af6"/>
          <w:rFonts w:eastAsia="Guttman Hodes"/>
          <w:rtl/>
        </w:rPr>
        <w:fldChar w:fldCharType="end"/>
      </w:r>
      <w:r>
        <w:rPr>
          <w:rFonts w:hint="cs"/>
          <w:rtl/>
        </w:rPr>
        <w:t xml:space="preserve"> דהרוטב נותן טעם והוא נבלע בחתיכות, והא לא רק הרוטב הבלוע בחתיכות אסור, אלא אף חתיכות ההיתר עצמם נאסרו כיון שיש בהם טעם של איסור.</w:t>
      </w:r>
    </w:p>
    <w:p w:rsidR="00F13472" w:rsidRDefault="00F13472" w:rsidP="00F13472">
      <w:pPr>
        <w:pStyle w:val="1"/>
        <w:rPr>
          <w:rtl/>
        </w:rPr>
      </w:pPr>
      <w:bookmarkStart w:id="14011" w:name="_Toc24709361"/>
      <w:bookmarkStart w:id="14012" w:name="_Toc24838953"/>
      <w:bookmarkStart w:id="14013" w:name="_Toc24918044"/>
      <w:bookmarkStart w:id="14014" w:name="_Toc24918255"/>
      <w:r>
        <w:rPr>
          <w:rFonts w:hint="cs"/>
          <w:rtl/>
        </w:rPr>
        <w:t>ביאור היד יהודה בדברי הרשב"א בתשו' דבבישל חוזר וניעור</w:t>
      </w:r>
      <w:bookmarkEnd w:id="14011"/>
      <w:bookmarkEnd w:id="14012"/>
      <w:bookmarkEnd w:id="14013"/>
      <w:bookmarkEnd w:id="14014"/>
    </w:p>
    <w:p w:rsidR="00F13472" w:rsidRPr="00165D6B" w:rsidRDefault="00F13472" w:rsidP="00F13472">
      <w:pPr>
        <w:pStyle w:val="a2"/>
        <w:rPr>
          <w:rtl/>
        </w:rPr>
      </w:pPr>
      <w:bookmarkStart w:id="14015" w:name="_Toc24709362"/>
      <w:bookmarkStart w:id="14016" w:name="_Toc24838954"/>
      <w:bookmarkStart w:id="14017" w:name="_Toc24918045"/>
      <w:bookmarkStart w:id="14018" w:name="_Toc24918256"/>
      <w:r>
        <w:rPr>
          <w:rFonts w:hint="cs"/>
          <w:rtl/>
        </w:rPr>
        <w:t>דברי היד יהודה דברשב"א בתשו' מבואר דאף שהאיסור הותר בחזר ובישל האיסור חוזר וניעור</w:t>
      </w:r>
      <w:bookmarkEnd w:id="14015"/>
      <w:bookmarkEnd w:id="14016"/>
      <w:bookmarkEnd w:id="14017"/>
      <w:bookmarkEnd w:id="14018"/>
    </w:p>
    <w:p w:rsidR="00F13472" w:rsidRDefault="00F13472" w:rsidP="009F44AF">
      <w:pPr>
        <w:pStyle w:val="a"/>
      </w:pPr>
      <w:bookmarkStart w:id="14019" w:name="_Ref24916420"/>
      <w:r>
        <w:rPr>
          <w:rFonts w:hint="cs"/>
          <w:rtl/>
        </w:rPr>
        <w:t xml:space="preserve">כתב </w:t>
      </w:r>
      <w:r w:rsidRPr="00AF4F6F">
        <w:rPr>
          <w:rStyle w:val="af8"/>
          <w:rFonts w:hint="cs"/>
          <w:rtl/>
        </w:rPr>
        <w:t>היד יהודה</w:t>
      </w:r>
      <w:r>
        <w:rPr>
          <w:rFonts w:hint="cs"/>
          <w:rtl/>
        </w:rPr>
        <w:t xml:space="preserve"> </w:t>
      </w:r>
      <w:r w:rsidRPr="00C857FA">
        <w:rPr>
          <w:rStyle w:val="af6"/>
          <w:rFonts w:eastAsia="Guttman Hodes" w:hint="cs"/>
          <w:rtl/>
        </w:rPr>
        <w:t>(סי' ס"ט ס"ק ס"א ד"ה והנה ראיתי)</w:t>
      </w:r>
      <w:r>
        <w:rPr>
          <w:rFonts w:hint="cs"/>
          <w:rtl/>
        </w:rPr>
        <w:t xml:space="preserve"> דמדברי </w:t>
      </w:r>
      <w:r w:rsidRPr="00AF4F6F">
        <w:rPr>
          <w:rStyle w:val="af8"/>
          <w:rFonts w:hint="cs"/>
          <w:rtl/>
        </w:rPr>
        <w:t>הרשב"א בתשו'</w:t>
      </w:r>
      <w:r>
        <w:rPr>
          <w:rFonts w:hint="cs"/>
          <w:rtl/>
        </w:rPr>
        <w:t xml:space="preserve"> </w:t>
      </w:r>
      <w:r w:rsidRPr="00A200F3">
        <w:rPr>
          <w:rStyle w:val="af6"/>
          <w:rFonts w:eastAsia="Guttman Hodes" w:hint="cs"/>
          <w:rtl/>
        </w:rPr>
        <w:t xml:space="preserve">(עי' אות </w:t>
      </w:r>
      <w:r w:rsidRPr="00A200F3">
        <w:rPr>
          <w:rStyle w:val="af6"/>
          <w:rFonts w:eastAsia="Guttman Hodes"/>
          <w:rtl/>
        </w:rPr>
        <w:fldChar w:fldCharType="begin"/>
      </w:r>
      <w:r w:rsidRPr="00A200F3">
        <w:rPr>
          <w:rStyle w:val="af6"/>
          <w:rFonts w:eastAsia="Guttman Hodes"/>
          <w:rtl/>
        </w:rPr>
        <w:instrText xml:space="preserve"> </w:instrText>
      </w:r>
      <w:r w:rsidRPr="00A200F3">
        <w:rPr>
          <w:rStyle w:val="af6"/>
          <w:rFonts w:eastAsia="Guttman Hodes" w:hint="cs"/>
        </w:rPr>
        <w:instrText>REF</w:instrText>
      </w:r>
      <w:r w:rsidRPr="00A200F3">
        <w:rPr>
          <w:rStyle w:val="af6"/>
          <w:rFonts w:eastAsia="Guttman Hodes" w:hint="cs"/>
          <w:rtl/>
        </w:rPr>
        <w:instrText xml:space="preserve"> _</w:instrText>
      </w:r>
      <w:r w:rsidRPr="00A200F3">
        <w:rPr>
          <w:rStyle w:val="af6"/>
          <w:rFonts w:eastAsia="Guttman Hodes" w:hint="cs"/>
        </w:rPr>
        <w:instrText>Ref24707269 \r \h</w:instrText>
      </w:r>
      <w:r w:rsidRPr="00A200F3">
        <w:rPr>
          <w:rStyle w:val="af6"/>
          <w:rFonts w:eastAsia="Guttman Hodes"/>
          <w:rtl/>
        </w:rPr>
        <w:instrText xml:space="preserve"> </w:instrText>
      </w:r>
      <w:r w:rsidRPr="00A200F3">
        <w:rPr>
          <w:rStyle w:val="af6"/>
          <w:rFonts w:eastAsia="Guttman Hodes"/>
          <w:rtl/>
        </w:rPr>
      </w:r>
      <w:r w:rsidRPr="00A200F3">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A200F3">
        <w:rPr>
          <w:rStyle w:val="af6"/>
          <w:rFonts w:eastAsia="Guttman Hodes"/>
          <w:rtl/>
        </w:rPr>
        <w:fldChar w:fldCharType="end"/>
      </w:r>
      <w:r>
        <w:rPr>
          <w:rFonts w:hint="cs"/>
          <w:rtl/>
        </w:rPr>
        <w:t xml:space="preserve"> מבואר דאף שההותר האיסור ביבש ביבש, מ"מ בחזר ובישל האיסור חוזר וניעור ואסור, כיון שהאיסור נותן טעם בהיתר וצריך שישים, וכדביאר </w:t>
      </w:r>
      <w:r w:rsidRPr="00AF4F6F">
        <w:rPr>
          <w:rStyle w:val="af8"/>
          <w:rFonts w:hint="cs"/>
          <w:rtl/>
        </w:rPr>
        <w:t>הרשב"א בתשו'</w:t>
      </w:r>
      <w:r>
        <w:rPr>
          <w:rFonts w:hint="cs"/>
          <w:rtl/>
        </w:rPr>
        <w:t xml:space="preserve"> דבתר בסוף אזלינן.</w:t>
      </w:r>
      <w:bookmarkEnd w:id="14019"/>
    </w:p>
    <w:p w:rsidR="00F13472" w:rsidRDefault="00F13472" w:rsidP="00F13472">
      <w:pPr>
        <w:pStyle w:val="a2"/>
        <w:rPr>
          <w:rtl/>
        </w:rPr>
      </w:pPr>
      <w:bookmarkStart w:id="14020" w:name="_Toc24709363"/>
      <w:bookmarkStart w:id="14021" w:name="_Toc24838955"/>
      <w:bookmarkStart w:id="14022" w:name="_Toc24918046"/>
      <w:bookmarkStart w:id="14023" w:name="_Toc24918257"/>
      <w:r>
        <w:rPr>
          <w:rFonts w:hint="cs"/>
          <w:rtl/>
        </w:rPr>
        <w:t>קושית היד יהודה על הרשב"א בתשו' דלהרשב"א האיסור לא הותר ואינו היתר שחוזר וניעור</w:t>
      </w:r>
      <w:bookmarkEnd w:id="14020"/>
      <w:bookmarkEnd w:id="14021"/>
      <w:bookmarkEnd w:id="14022"/>
      <w:bookmarkEnd w:id="14023"/>
    </w:p>
    <w:p w:rsidR="00F13472" w:rsidRDefault="00F13472" w:rsidP="009F44AF">
      <w:pPr>
        <w:pStyle w:val="a"/>
        <w:rPr>
          <w:rtl/>
        </w:rPr>
      </w:pPr>
      <w:r>
        <w:rPr>
          <w:rFonts w:hint="cs"/>
          <w:rtl/>
        </w:rPr>
        <w:t>והקשה</w:t>
      </w:r>
      <w:r w:rsidRPr="00AF4F6F">
        <w:rPr>
          <w:rStyle w:val="af8"/>
          <w:rFonts w:hint="cs"/>
          <w:rtl/>
        </w:rPr>
        <w:t xml:space="preserve"> היד יהודה</w:t>
      </w:r>
      <w:r>
        <w:rPr>
          <w:rFonts w:hint="cs"/>
          <w:rtl/>
        </w:rPr>
        <w:t xml:space="preserve"> </w:t>
      </w:r>
      <w:r w:rsidRPr="00C857FA">
        <w:rPr>
          <w:rStyle w:val="af6"/>
          <w:rFonts w:eastAsia="Guttman Hodes" w:hint="cs"/>
          <w:rtl/>
        </w:rPr>
        <w:t>(סי' ס"ט ס"ק ס"א ד"ה ועי' בשו"ת)</w:t>
      </w:r>
      <w:r>
        <w:rPr>
          <w:rFonts w:hint="cs"/>
          <w:rtl/>
        </w:rPr>
        <w:t xml:space="preserve"> על דברי </w:t>
      </w:r>
      <w:r w:rsidRPr="00AF4F6F">
        <w:rPr>
          <w:rStyle w:val="af8"/>
          <w:rFonts w:hint="cs"/>
          <w:rtl/>
        </w:rPr>
        <w:t>הרשב"א בתשו'</w:t>
      </w:r>
      <w:r>
        <w:rPr>
          <w:rFonts w:hint="cs"/>
          <w:rtl/>
        </w:rPr>
        <w:t xml:space="preserve"> </w:t>
      </w:r>
      <w:r w:rsidRPr="00A200F3">
        <w:rPr>
          <w:rStyle w:val="af6"/>
          <w:rFonts w:eastAsia="Guttman Hodes" w:hint="cs"/>
          <w:rtl/>
        </w:rPr>
        <w:t xml:space="preserve">(עי' אות </w:t>
      </w:r>
      <w:r w:rsidRPr="00A200F3">
        <w:rPr>
          <w:rStyle w:val="af6"/>
          <w:rFonts w:eastAsia="Guttman Hodes"/>
          <w:rtl/>
        </w:rPr>
        <w:fldChar w:fldCharType="begin"/>
      </w:r>
      <w:r w:rsidRPr="00A200F3">
        <w:rPr>
          <w:rStyle w:val="af6"/>
          <w:rFonts w:eastAsia="Guttman Hodes"/>
          <w:rtl/>
        </w:rPr>
        <w:instrText xml:space="preserve"> </w:instrText>
      </w:r>
      <w:r w:rsidRPr="00A200F3">
        <w:rPr>
          <w:rStyle w:val="af6"/>
          <w:rFonts w:eastAsia="Guttman Hodes" w:hint="cs"/>
        </w:rPr>
        <w:instrText>REF</w:instrText>
      </w:r>
      <w:r w:rsidRPr="00A200F3">
        <w:rPr>
          <w:rStyle w:val="af6"/>
          <w:rFonts w:eastAsia="Guttman Hodes" w:hint="cs"/>
          <w:rtl/>
        </w:rPr>
        <w:instrText xml:space="preserve"> _</w:instrText>
      </w:r>
      <w:r w:rsidRPr="00A200F3">
        <w:rPr>
          <w:rStyle w:val="af6"/>
          <w:rFonts w:eastAsia="Guttman Hodes" w:hint="cs"/>
        </w:rPr>
        <w:instrText>Ref24707269 \r \h</w:instrText>
      </w:r>
      <w:r w:rsidRPr="00A200F3">
        <w:rPr>
          <w:rStyle w:val="af6"/>
          <w:rFonts w:eastAsia="Guttman Hodes"/>
          <w:rtl/>
        </w:rPr>
        <w:instrText xml:space="preserve"> </w:instrText>
      </w:r>
      <w:r w:rsidRPr="00A200F3">
        <w:rPr>
          <w:rStyle w:val="af6"/>
          <w:rFonts w:eastAsia="Guttman Hodes"/>
          <w:rtl/>
        </w:rPr>
      </w:r>
      <w:r w:rsidRPr="00A200F3">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A200F3">
        <w:rPr>
          <w:rStyle w:val="af6"/>
          <w:rFonts w:eastAsia="Guttman Hodes"/>
          <w:rtl/>
        </w:rPr>
        <w:fldChar w:fldCharType="end"/>
      </w:r>
      <w:r>
        <w:rPr>
          <w:rFonts w:hint="cs"/>
          <w:rtl/>
        </w:rPr>
        <w:t xml:space="preserve"> דאמאי הוצרך </w:t>
      </w:r>
      <w:r w:rsidRPr="00AF4F6F">
        <w:rPr>
          <w:rStyle w:val="af8"/>
          <w:rFonts w:hint="cs"/>
          <w:rtl/>
        </w:rPr>
        <w:t>הרשב"א</w:t>
      </w:r>
      <w:r>
        <w:rPr>
          <w:rFonts w:hint="cs"/>
          <w:rtl/>
        </w:rPr>
        <w:t xml:space="preserve"> לומר דהאיסור חוזר וניעור, ואמאי הוצרך </w:t>
      </w:r>
      <w:r w:rsidRPr="00AF4F6F">
        <w:rPr>
          <w:rStyle w:val="af8"/>
          <w:rFonts w:hint="cs"/>
          <w:rtl/>
        </w:rPr>
        <w:t>הרשב"א בתשו'</w:t>
      </w:r>
      <w:r>
        <w:rPr>
          <w:rFonts w:hint="cs"/>
          <w:rtl/>
        </w:rPr>
        <w:t xml:space="preserve"> </w:t>
      </w:r>
      <w:r w:rsidRPr="00A200F3">
        <w:rPr>
          <w:rStyle w:val="af6"/>
          <w:rFonts w:eastAsia="Guttman Hodes" w:hint="cs"/>
          <w:rtl/>
        </w:rPr>
        <w:t>(</w:t>
      </w:r>
      <w:r w:rsidRPr="001C6BEA">
        <w:rPr>
          <w:rStyle w:val="af6"/>
          <w:rFonts w:eastAsia="Guttman Hodes" w:hint="cs"/>
          <w:rtl/>
        </w:rPr>
        <w:t xml:space="preserve">עי' אות </w:t>
      </w:r>
      <w:r w:rsidRPr="001C6BEA">
        <w:rPr>
          <w:rStyle w:val="af6"/>
          <w:rFonts w:eastAsia="Guttman Hodes"/>
          <w:rtl/>
        </w:rPr>
        <w:fldChar w:fldCharType="begin"/>
      </w:r>
      <w:r w:rsidRPr="001C6BEA">
        <w:rPr>
          <w:rStyle w:val="af6"/>
          <w:rFonts w:eastAsia="Guttman Hodes"/>
          <w:rtl/>
        </w:rPr>
        <w:instrText xml:space="preserve"> </w:instrText>
      </w:r>
      <w:r w:rsidRPr="001C6BEA">
        <w:rPr>
          <w:rStyle w:val="af6"/>
          <w:rFonts w:eastAsia="Guttman Hodes" w:hint="cs"/>
        </w:rPr>
        <w:instrText>REF</w:instrText>
      </w:r>
      <w:r w:rsidRPr="001C6BEA">
        <w:rPr>
          <w:rStyle w:val="af6"/>
          <w:rFonts w:eastAsia="Guttman Hodes" w:hint="cs"/>
          <w:rtl/>
        </w:rPr>
        <w:instrText xml:space="preserve"> _</w:instrText>
      </w:r>
      <w:r w:rsidRPr="001C6BEA">
        <w:rPr>
          <w:rStyle w:val="af6"/>
          <w:rFonts w:eastAsia="Guttman Hodes" w:hint="cs"/>
        </w:rPr>
        <w:instrText>Ref24562737 \r \h</w:instrText>
      </w:r>
      <w:r w:rsidRPr="001C6BE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1C6BEA">
        <w:rPr>
          <w:rStyle w:val="af6"/>
          <w:rFonts w:eastAsia="Guttman Hodes"/>
          <w:rtl/>
        </w:rPr>
      </w:r>
      <w:r w:rsidRPr="001C6BEA">
        <w:rPr>
          <w:rStyle w:val="af6"/>
          <w:rFonts w:eastAsia="Guttman Hodes"/>
          <w:rtl/>
        </w:rPr>
        <w:fldChar w:fldCharType="separate"/>
      </w:r>
      <w:r w:rsidR="004D1C5B">
        <w:rPr>
          <w:rStyle w:val="af6"/>
          <w:rFonts w:eastAsia="Guttman Hodes"/>
          <w:cs/>
        </w:rPr>
        <w:t>‎</w:t>
      </w:r>
      <w:r w:rsidR="004D1C5B">
        <w:rPr>
          <w:rStyle w:val="af6"/>
          <w:rFonts w:eastAsia="Guttman Hodes"/>
          <w:rtl/>
        </w:rPr>
        <w:t>יד)</w:t>
      </w:r>
      <w:r w:rsidRPr="001C6BEA">
        <w:rPr>
          <w:rStyle w:val="af6"/>
          <w:rFonts w:eastAsia="Guttman Hodes"/>
          <w:rtl/>
        </w:rPr>
        <w:fldChar w:fldCharType="end"/>
      </w:r>
      <w:r w:rsidRPr="001C6BEA">
        <w:rPr>
          <w:rFonts w:hint="cs"/>
          <w:rtl/>
        </w:rPr>
        <w:t xml:space="preserve"> להביא ראיה מקושית הגמ' דהרוטב בנותן טעם, הא ס"ל </w:t>
      </w:r>
      <w:r w:rsidRPr="001C6BEA">
        <w:rPr>
          <w:rStyle w:val="af8"/>
          <w:rFonts w:hint="cs"/>
          <w:rtl/>
        </w:rPr>
        <w:t>להרשב"א</w:t>
      </w:r>
      <w:r w:rsidRPr="001C6BEA">
        <w:rPr>
          <w:rFonts w:hint="cs"/>
          <w:rtl/>
        </w:rPr>
        <w:t xml:space="preserve"> </w:t>
      </w:r>
      <w:r w:rsidRPr="001C6BEA">
        <w:rPr>
          <w:rStyle w:val="afa"/>
          <w:rFonts w:hint="cs"/>
          <w:rtl/>
        </w:rPr>
        <w:t xml:space="preserve">[כדביאר </w:t>
      </w:r>
      <w:r w:rsidRPr="001C6BEA">
        <w:rPr>
          <w:rStyle w:val="affa"/>
          <w:rFonts w:hint="cs"/>
          <w:rtl/>
        </w:rPr>
        <w:t>היד יהודה</w:t>
      </w:r>
      <w:r w:rsidRPr="001C6BEA">
        <w:rPr>
          <w:rStyle w:val="afa"/>
          <w:rFonts w:hint="cs"/>
          <w:rtl/>
        </w:rPr>
        <w:t xml:space="preserve"> </w:t>
      </w:r>
      <w:r w:rsidRPr="001C6BEA">
        <w:rPr>
          <w:rStyle w:val="aff6"/>
          <w:rFonts w:hint="cs"/>
          <w:rtl/>
        </w:rPr>
        <w:t xml:space="preserve">(עי' אות </w:t>
      </w:r>
      <w:r w:rsidRPr="001C6BEA">
        <w:rPr>
          <w:rStyle w:val="aff6"/>
          <w:rtl/>
        </w:rPr>
        <w:fldChar w:fldCharType="begin"/>
      </w:r>
      <w:r w:rsidRPr="001C6BEA">
        <w:rPr>
          <w:rStyle w:val="aff6"/>
          <w:rtl/>
        </w:rPr>
        <w:instrText xml:space="preserve"> </w:instrText>
      </w:r>
      <w:r w:rsidRPr="001C6BEA">
        <w:rPr>
          <w:rStyle w:val="aff6"/>
          <w:rFonts w:hint="cs"/>
        </w:rPr>
        <w:instrText>REF</w:instrText>
      </w:r>
      <w:r w:rsidRPr="001C6BEA">
        <w:rPr>
          <w:rStyle w:val="aff6"/>
          <w:rFonts w:hint="cs"/>
          <w:rtl/>
        </w:rPr>
        <w:instrText xml:space="preserve"> _</w:instrText>
      </w:r>
      <w:r w:rsidRPr="001C6BEA">
        <w:rPr>
          <w:rStyle w:val="aff6"/>
          <w:rFonts w:hint="cs"/>
        </w:rPr>
        <w:instrText>Ref23956571 \r \h</w:instrText>
      </w:r>
      <w:r w:rsidRPr="001C6BEA">
        <w:rPr>
          <w:rStyle w:val="aff6"/>
          <w:rtl/>
        </w:rPr>
        <w:instrText xml:space="preserve"> </w:instrText>
      </w:r>
      <w:r w:rsidRPr="001C6BEA">
        <w:rPr>
          <w:rStyle w:val="aff6"/>
          <w:rtl/>
        </w:rPr>
      </w:r>
      <w:r w:rsidRPr="001C6BEA">
        <w:rPr>
          <w:rStyle w:val="aff6"/>
          <w:rtl/>
        </w:rPr>
        <w:fldChar w:fldCharType="separate"/>
      </w:r>
      <w:r w:rsidR="004D1C5B">
        <w:rPr>
          <w:rStyle w:val="aff6"/>
          <w:cs/>
        </w:rPr>
        <w:t>‎</w:t>
      </w:r>
      <w:r w:rsidR="004D1C5B">
        <w:rPr>
          <w:rStyle w:val="aff6"/>
          <w:rtl/>
        </w:rPr>
        <w:t>עד)</w:t>
      </w:r>
      <w:r w:rsidRPr="001C6BEA">
        <w:rPr>
          <w:rStyle w:val="aff6"/>
          <w:rtl/>
        </w:rPr>
        <w:fldChar w:fldCharType="end"/>
      </w:r>
      <w:r w:rsidRPr="001C6BEA">
        <w:rPr>
          <w:rStyle w:val="afa"/>
          <w:rFonts w:hint="cs"/>
          <w:rtl/>
        </w:rPr>
        <w:t xml:space="preserve"> בדעת </w:t>
      </w:r>
      <w:r w:rsidRPr="001C6BEA">
        <w:rPr>
          <w:rStyle w:val="affa"/>
          <w:rFonts w:hint="cs"/>
          <w:rtl/>
        </w:rPr>
        <w:t>הרשב"</w:t>
      </w:r>
      <w:r>
        <w:rPr>
          <w:rStyle w:val="affa"/>
          <w:rFonts w:hint="cs"/>
          <w:rtl/>
        </w:rPr>
        <w:t>א</w:t>
      </w:r>
      <w:r w:rsidRPr="001C6BEA">
        <w:rPr>
          <w:rStyle w:val="afa"/>
          <w:rFonts w:hint="cs"/>
          <w:rtl/>
        </w:rPr>
        <w:t xml:space="preserve">], </w:t>
      </w:r>
      <w:r w:rsidRPr="001C6BEA">
        <w:rPr>
          <w:rFonts w:hint="cs"/>
          <w:rtl/>
        </w:rPr>
        <w:t xml:space="preserve">דביבש ביבש האיסור לא הותר לגמרי, ולדעת </w:t>
      </w:r>
      <w:r w:rsidRPr="001C6BEA">
        <w:rPr>
          <w:rStyle w:val="af8"/>
          <w:rFonts w:hint="cs"/>
          <w:rtl/>
        </w:rPr>
        <w:t>הרשב"א</w:t>
      </w:r>
      <w:r w:rsidRPr="001C6BEA">
        <w:rPr>
          <w:rFonts w:hint="cs"/>
          <w:rtl/>
        </w:rPr>
        <w:t xml:space="preserve"> אין כל חילוק אם נודעה התערובת כשהיה יבש, או לא נודעה התערובת, וההיתר בחד בתרי</w:t>
      </w:r>
      <w:r>
        <w:rPr>
          <w:rFonts w:hint="cs"/>
          <w:rtl/>
        </w:rPr>
        <w:t xml:space="preserve"> הוא רק כשאוכל כל חתיכה בפנ"ע, ולא בבת אחת ולא בחזר ובישל, וא"כ אינו שייך כלל לדין חוזר וניעור, דלענין חזר ובישל לא הותר האיסור כלל, כיון שאינו אוכל כל חתיכה בפנ"ע.</w:t>
      </w:r>
    </w:p>
    <w:p w:rsidR="00F13472" w:rsidRDefault="00F13472" w:rsidP="00F13472">
      <w:pPr>
        <w:pStyle w:val="a2"/>
        <w:rPr>
          <w:rtl/>
        </w:rPr>
      </w:pPr>
      <w:bookmarkStart w:id="14024" w:name="_Toc24709364"/>
      <w:bookmarkStart w:id="14025" w:name="_Toc24838956"/>
      <w:bookmarkStart w:id="14026" w:name="_Toc24918047"/>
      <w:bookmarkStart w:id="14027" w:name="_Toc24918258"/>
      <w:r>
        <w:rPr>
          <w:rFonts w:hint="cs"/>
          <w:rtl/>
        </w:rPr>
        <w:t>דברי היד יהודה ברשב"א בתשו' דאף להשואל שהותר האיסור בחזר ובישל הוא חוזר וניעור</w:t>
      </w:r>
      <w:bookmarkEnd w:id="14024"/>
      <w:bookmarkEnd w:id="14025"/>
      <w:bookmarkEnd w:id="14026"/>
      <w:bookmarkEnd w:id="14027"/>
    </w:p>
    <w:p w:rsidR="00F13472" w:rsidRDefault="00F13472" w:rsidP="009F44AF">
      <w:pPr>
        <w:pStyle w:val="a"/>
        <w:rPr>
          <w:rtl/>
        </w:rPr>
      </w:pPr>
      <w:bookmarkStart w:id="14028" w:name="_Ref24917707"/>
      <w:r>
        <w:rPr>
          <w:rFonts w:hint="cs"/>
          <w:rtl/>
        </w:rPr>
        <w:t xml:space="preserve">ותירץ </w:t>
      </w:r>
      <w:r w:rsidRPr="00C857FA">
        <w:rPr>
          <w:rStyle w:val="af8"/>
          <w:rFonts w:hint="cs"/>
          <w:rtl/>
        </w:rPr>
        <w:t>היד יהודה</w:t>
      </w:r>
      <w:r>
        <w:rPr>
          <w:rFonts w:hint="cs"/>
          <w:rtl/>
        </w:rPr>
        <w:t xml:space="preserve"> דכל דברי </w:t>
      </w:r>
      <w:r w:rsidRPr="00C857FA">
        <w:rPr>
          <w:rStyle w:val="af8"/>
          <w:rFonts w:hint="cs"/>
          <w:rtl/>
        </w:rPr>
        <w:t>הרשב"א בתשו'</w:t>
      </w:r>
      <w:r>
        <w:rPr>
          <w:rFonts w:hint="cs"/>
          <w:rtl/>
        </w:rPr>
        <w:t xml:space="preserve"> הם להבנת </w:t>
      </w:r>
      <w:r w:rsidRPr="00C857FA">
        <w:rPr>
          <w:rStyle w:val="af8"/>
          <w:rFonts w:hint="cs"/>
          <w:rtl/>
        </w:rPr>
        <w:t>השואל</w:t>
      </w:r>
      <w:r>
        <w:rPr>
          <w:rFonts w:hint="cs"/>
          <w:rtl/>
        </w:rPr>
        <w:t xml:space="preserve"> </w:t>
      </w:r>
      <w:r w:rsidRPr="00C857FA">
        <w:rPr>
          <w:rStyle w:val="af8"/>
          <w:rFonts w:hint="cs"/>
          <w:rtl/>
        </w:rPr>
        <w:t>בתשו' הרשב"א</w:t>
      </w:r>
      <w:r>
        <w:rPr>
          <w:rFonts w:hint="cs"/>
          <w:rtl/>
        </w:rPr>
        <w:t xml:space="preserve"> </w:t>
      </w:r>
      <w:r w:rsidRPr="001C6BEA">
        <w:rPr>
          <w:rStyle w:val="af6"/>
          <w:rFonts w:eastAsia="Guttman Hodes" w:hint="cs"/>
          <w:rtl/>
        </w:rPr>
        <w:t xml:space="preserve">(עי' אות </w:t>
      </w:r>
      <w:r w:rsidRPr="001C6BEA">
        <w:rPr>
          <w:rStyle w:val="af6"/>
          <w:rFonts w:eastAsia="Guttman Hodes"/>
          <w:rtl/>
        </w:rPr>
        <w:fldChar w:fldCharType="begin"/>
      </w:r>
      <w:r w:rsidRPr="001C6BEA">
        <w:rPr>
          <w:rStyle w:val="af6"/>
          <w:rFonts w:eastAsia="Guttman Hodes"/>
          <w:rtl/>
        </w:rPr>
        <w:instrText xml:space="preserve"> </w:instrText>
      </w:r>
      <w:r w:rsidRPr="001C6BEA">
        <w:rPr>
          <w:rStyle w:val="af6"/>
          <w:rFonts w:eastAsia="Guttman Hodes" w:hint="cs"/>
        </w:rPr>
        <w:instrText>REF</w:instrText>
      </w:r>
      <w:r w:rsidRPr="001C6BEA">
        <w:rPr>
          <w:rStyle w:val="af6"/>
          <w:rFonts w:eastAsia="Guttman Hodes" w:hint="cs"/>
          <w:rtl/>
        </w:rPr>
        <w:instrText xml:space="preserve"> _</w:instrText>
      </w:r>
      <w:r w:rsidRPr="001C6BEA">
        <w:rPr>
          <w:rStyle w:val="af6"/>
          <w:rFonts w:eastAsia="Guttman Hodes" w:hint="cs"/>
        </w:rPr>
        <w:instrText>Ref24916513 \r \h</w:instrText>
      </w:r>
      <w:r w:rsidRPr="001C6BEA">
        <w:rPr>
          <w:rStyle w:val="af6"/>
          <w:rFonts w:eastAsia="Guttman Hodes"/>
          <w:rtl/>
        </w:rPr>
        <w:instrText xml:space="preserve"> </w:instrText>
      </w:r>
      <w:r w:rsidRPr="001C6BEA">
        <w:rPr>
          <w:rStyle w:val="af6"/>
          <w:rFonts w:eastAsia="Guttman Hodes"/>
          <w:rtl/>
        </w:rPr>
      </w:r>
      <w:r w:rsidRPr="001C6BEA">
        <w:rPr>
          <w:rStyle w:val="af6"/>
          <w:rFonts w:eastAsia="Guttman Hodes"/>
          <w:rtl/>
        </w:rPr>
        <w:fldChar w:fldCharType="separate"/>
      </w:r>
      <w:r w:rsidR="004D1C5B">
        <w:rPr>
          <w:rStyle w:val="af6"/>
          <w:rFonts w:eastAsia="Guttman Hodes"/>
          <w:cs/>
        </w:rPr>
        <w:t>‎</w:t>
      </w:r>
      <w:r w:rsidR="004D1C5B">
        <w:rPr>
          <w:rStyle w:val="af6"/>
          <w:rFonts w:eastAsia="Guttman Hodes"/>
          <w:rtl/>
        </w:rPr>
        <w:t>יב)</w:t>
      </w:r>
      <w:r w:rsidRPr="001C6BEA">
        <w:rPr>
          <w:rStyle w:val="af6"/>
          <w:rFonts w:eastAsia="Guttman Hodes"/>
          <w:rtl/>
        </w:rPr>
        <w:fldChar w:fldCharType="end"/>
      </w:r>
      <w:r>
        <w:rPr>
          <w:rFonts w:hint="cs"/>
          <w:rtl/>
        </w:rPr>
        <w:t xml:space="preserve">, דהאיסור נהפך להיתר, וע"ז השיב לו </w:t>
      </w:r>
      <w:r w:rsidRPr="00C857FA">
        <w:rPr>
          <w:rStyle w:val="af8"/>
          <w:rFonts w:hint="cs"/>
          <w:rtl/>
        </w:rPr>
        <w:t>הרשב"א</w:t>
      </w:r>
      <w:r>
        <w:rPr>
          <w:rFonts w:hint="cs"/>
          <w:rtl/>
        </w:rPr>
        <w:t xml:space="preserve"> דאף לדבריו אסור בחזר ובישל דהאיסור נותן טעם בהיתר והוא חוזר וניעור, אך כתב </w:t>
      </w:r>
      <w:r w:rsidRPr="00C857FA">
        <w:rPr>
          <w:rStyle w:val="af8"/>
          <w:rFonts w:hint="cs"/>
          <w:rtl/>
        </w:rPr>
        <w:t>היד יהודה דהרשב"א</w:t>
      </w:r>
      <w:r>
        <w:rPr>
          <w:rFonts w:hint="cs"/>
          <w:rtl/>
        </w:rPr>
        <w:t xml:space="preserve"> עצמו סבר, שהאיסור לא הותר לגמרי, ואינו שייך לדין חוזר וניעור.</w:t>
      </w:r>
      <w:bookmarkEnd w:id="14028"/>
    </w:p>
    <w:p w:rsidR="00F13472" w:rsidRDefault="00F13472" w:rsidP="00F13472">
      <w:pPr>
        <w:pStyle w:val="a2"/>
        <w:rPr>
          <w:rtl/>
        </w:rPr>
      </w:pPr>
      <w:bookmarkStart w:id="14029" w:name="_Toc24709365"/>
      <w:bookmarkStart w:id="14030" w:name="_Toc24838957"/>
      <w:bookmarkStart w:id="14031" w:name="_Toc24918048"/>
      <w:bookmarkStart w:id="14032" w:name="_Toc24918259"/>
      <w:r>
        <w:rPr>
          <w:rFonts w:hint="cs"/>
          <w:rtl/>
        </w:rPr>
        <w:t>מסקנת היד יהודה דאף להרשב"א עיקר האיסור בחזר ובישל הוא כיון שנעשה לח וחוזר וניעור</w:t>
      </w:r>
      <w:bookmarkEnd w:id="14029"/>
      <w:bookmarkEnd w:id="14030"/>
      <w:bookmarkEnd w:id="14031"/>
      <w:bookmarkEnd w:id="14032"/>
    </w:p>
    <w:p w:rsidR="007A5AFC" w:rsidRDefault="00F13472" w:rsidP="009F44AF">
      <w:pPr>
        <w:pStyle w:val="a"/>
      </w:pPr>
      <w:r>
        <w:rPr>
          <w:rFonts w:hint="cs"/>
          <w:rtl/>
        </w:rPr>
        <w:t xml:space="preserve">אך חזר בו </w:t>
      </w:r>
      <w:r w:rsidRPr="00C857FA">
        <w:rPr>
          <w:rStyle w:val="af8"/>
          <w:rFonts w:hint="cs"/>
          <w:rtl/>
        </w:rPr>
        <w:t>היד יהודה</w:t>
      </w:r>
      <w:r>
        <w:rPr>
          <w:rFonts w:hint="cs"/>
          <w:rtl/>
        </w:rPr>
        <w:t xml:space="preserve"> </w:t>
      </w:r>
      <w:r w:rsidRPr="00C857FA">
        <w:rPr>
          <w:rStyle w:val="af6"/>
          <w:rFonts w:eastAsia="Guttman Hodes" w:hint="cs"/>
          <w:rtl/>
        </w:rPr>
        <w:t xml:space="preserve">(סי' ק"ט סק"ז) </w:t>
      </w:r>
      <w:r>
        <w:rPr>
          <w:rFonts w:hint="cs"/>
          <w:rtl/>
        </w:rPr>
        <w:t xml:space="preserve">וכתב דמדברי </w:t>
      </w:r>
      <w:r w:rsidRPr="00C857FA">
        <w:rPr>
          <w:rStyle w:val="af8"/>
          <w:rFonts w:hint="cs"/>
          <w:rtl/>
        </w:rPr>
        <w:t>הרשב"א בתשו'</w:t>
      </w:r>
      <w:r>
        <w:rPr>
          <w:rFonts w:hint="cs"/>
          <w:rtl/>
        </w:rPr>
        <w:t xml:space="preserve"> </w:t>
      </w:r>
      <w:r w:rsidRPr="001C6BEA">
        <w:rPr>
          <w:rStyle w:val="af6"/>
          <w:rFonts w:eastAsia="Guttman Hodes" w:hint="cs"/>
          <w:rtl/>
        </w:rPr>
        <w:t xml:space="preserve">(עי' אות </w:t>
      </w:r>
      <w:r w:rsidRPr="001C6BEA">
        <w:rPr>
          <w:rStyle w:val="af6"/>
          <w:rFonts w:eastAsia="Guttman Hodes"/>
          <w:rtl/>
        </w:rPr>
        <w:fldChar w:fldCharType="begin"/>
      </w:r>
      <w:r w:rsidRPr="001C6BEA">
        <w:rPr>
          <w:rStyle w:val="af6"/>
          <w:rFonts w:eastAsia="Guttman Hodes"/>
          <w:rtl/>
        </w:rPr>
        <w:instrText xml:space="preserve"> </w:instrText>
      </w:r>
      <w:r w:rsidRPr="001C6BEA">
        <w:rPr>
          <w:rStyle w:val="af6"/>
          <w:rFonts w:eastAsia="Guttman Hodes" w:hint="cs"/>
        </w:rPr>
        <w:instrText>REF</w:instrText>
      </w:r>
      <w:r w:rsidRPr="001C6BEA">
        <w:rPr>
          <w:rStyle w:val="af6"/>
          <w:rFonts w:eastAsia="Guttman Hodes" w:hint="cs"/>
          <w:rtl/>
        </w:rPr>
        <w:instrText xml:space="preserve"> _</w:instrText>
      </w:r>
      <w:r w:rsidRPr="001C6BEA">
        <w:rPr>
          <w:rStyle w:val="af6"/>
          <w:rFonts w:eastAsia="Guttman Hodes" w:hint="cs"/>
        </w:rPr>
        <w:instrText>Ref24707269 \r \h</w:instrText>
      </w:r>
      <w:r w:rsidRPr="001C6BEA">
        <w:rPr>
          <w:rStyle w:val="af6"/>
          <w:rFonts w:eastAsia="Guttman Hodes"/>
          <w:rtl/>
        </w:rPr>
        <w:instrText xml:space="preserve"> </w:instrText>
      </w:r>
      <w:r w:rsidRPr="001C6BEA">
        <w:rPr>
          <w:rStyle w:val="af6"/>
          <w:rFonts w:eastAsia="Guttman Hodes"/>
          <w:rtl/>
        </w:rPr>
      </w:r>
      <w:r w:rsidRPr="001C6BEA">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1C6BEA">
        <w:rPr>
          <w:rStyle w:val="af6"/>
          <w:rFonts w:eastAsia="Guttman Hodes"/>
          <w:rtl/>
        </w:rPr>
        <w:fldChar w:fldCharType="end"/>
      </w:r>
      <w:r>
        <w:rPr>
          <w:rFonts w:hint="cs"/>
          <w:rtl/>
        </w:rPr>
        <w:t xml:space="preserve"> מבואר דהוא מודה דעיקר האיסור לחזור ולבשל את התערובת, הוא כיון דעי"ז חוזר ונעשה לח, והאיסור חוזר וניעור </w:t>
      </w:r>
      <w:r w:rsidRPr="00AA4ECD">
        <w:rPr>
          <w:rStyle w:val="afa"/>
          <w:rFonts w:hint="cs"/>
          <w:rtl/>
        </w:rPr>
        <w:t xml:space="preserve">[כדביאר </w:t>
      </w:r>
      <w:r w:rsidRPr="00AF4F6F">
        <w:rPr>
          <w:rStyle w:val="affa"/>
          <w:rFonts w:hint="cs"/>
          <w:rtl/>
        </w:rPr>
        <w:t>היד יהודה</w:t>
      </w:r>
      <w:r w:rsidRPr="00AA4ECD">
        <w:rPr>
          <w:rStyle w:val="afa"/>
          <w:rFonts w:hint="cs"/>
          <w:rtl/>
        </w:rPr>
        <w:t xml:space="preserve"> </w:t>
      </w:r>
      <w:r w:rsidRPr="001C6BEA">
        <w:rPr>
          <w:rStyle w:val="aff6"/>
          <w:rFonts w:hint="cs"/>
          <w:rtl/>
        </w:rPr>
        <w:t xml:space="preserve">(עי' אות </w:t>
      </w:r>
      <w:r w:rsidRPr="001C6BEA">
        <w:rPr>
          <w:rStyle w:val="aff6"/>
          <w:rtl/>
        </w:rPr>
        <w:fldChar w:fldCharType="begin"/>
      </w:r>
      <w:r w:rsidRPr="001C6BEA">
        <w:rPr>
          <w:rStyle w:val="aff6"/>
          <w:rtl/>
        </w:rPr>
        <w:instrText xml:space="preserve"> </w:instrText>
      </w:r>
      <w:r w:rsidRPr="001C6BEA">
        <w:rPr>
          <w:rStyle w:val="aff6"/>
          <w:rFonts w:hint="cs"/>
        </w:rPr>
        <w:instrText>REF</w:instrText>
      </w:r>
      <w:r w:rsidRPr="001C6BEA">
        <w:rPr>
          <w:rStyle w:val="aff6"/>
          <w:rFonts w:hint="cs"/>
          <w:rtl/>
        </w:rPr>
        <w:instrText xml:space="preserve"> _</w:instrText>
      </w:r>
      <w:r w:rsidRPr="001C6BEA">
        <w:rPr>
          <w:rStyle w:val="aff6"/>
          <w:rFonts w:hint="cs"/>
        </w:rPr>
        <w:instrText>Ref24904582 \r \h</w:instrText>
      </w:r>
      <w:r w:rsidRPr="001C6BEA">
        <w:rPr>
          <w:rStyle w:val="aff6"/>
          <w:rtl/>
        </w:rPr>
        <w:instrText xml:space="preserve"> </w:instrText>
      </w:r>
      <w:r w:rsidRPr="001C6BEA">
        <w:rPr>
          <w:rStyle w:val="aff6"/>
          <w:rtl/>
        </w:rPr>
      </w:r>
      <w:r w:rsidRPr="001C6BEA">
        <w:rPr>
          <w:rStyle w:val="aff6"/>
          <w:rtl/>
        </w:rPr>
        <w:fldChar w:fldCharType="separate"/>
      </w:r>
      <w:r w:rsidR="004D1C5B">
        <w:rPr>
          <w:rStyle w:val="aff6"/>
          <w:cs/>
        </w:rPr>
        <w:t>‎</w:t>
      </w:r>
      <w:r w:rsidR="004D1C5B">
        <w:rPr>
          <w:rStyle w:val="aff6"/>
          <w:rtl/>
        </w:rPr>
        <w:t>קא)</w:t>
      </w:r>
      <w:r w:rsidRPr="001C6BEA">
        <w:rPr>
          <w:rStyle w:val="aff6"/>
          <w:rtl/>
        </w:rPr>
        <w:fldChar w:fldCharType="end"/>
      </w:r>
      <w:r w:rsidRPr="00AA4ECD">
        <w:rPr>
          <w:rStyle w:val="afa"/>
          <w:rFonts w:hint="cs"/>
          <w:rtl/>
        </w:rPr>
        <w:t xml:space="preserve"> בדעת </w:t>
      </w:r>
      <w:r w:rsidRPr="00AF4F6F">
        <w:rPr>
          <w:rStyle w:val="affa"/>
          <w:rFonts w:hint="cs"/>
          <w:rtl/>
        </w:rPr>
        <w:t>הרא"ה והר"ן</w:t>
      </w:r>
      <w:r w:rsidRPr="00AA4ECD">
        <w:rPr>
          <w:rStyle w:val="afa"/>
          <w:rFonts w:hint="cs"/>
          <w:rtl/>
        </w:rPr>
        <w:t xml:space="preserve">], </w:t>
      </w:r>
      <w:r>
        <w:rPr>
          <w:rFonts w:hint="cs"/>
          <w:rtl/>
        </w:rPr>
        <w:t xml:space="preserve">אלא דס"ל שדין שישים שייך אף ביבש ולא רק במקום שיש נתינת טעם, אך מ"מ לא גזרו רבנן שישים ביבש, כיון דממילא אסור לאכול את כל החתיכות יחד, דבכה"ג נעשה כלח, </w:t>
      </w:r>
      <w:r w:rsidRPr="00AA4ECD">
        <w:rPr>
          <w:rStyle w:val="afa"/>
          <w:rFonts w:hint="cs"/>
          <w:rtl/>
        </w:rPr>
        <w:t xml:space="preserve">[כדביאר </w:t>
      </w:r>
      <w:r w:rsidRPr="00AF4F6F">
        <w:rPr>
          <w:rStyle w:val="affa"/>
          <w:rFonts w:hint="cs"/>
          <w:rtl/>
        </w:rPr>
        <w:t>היד יהודה</w:t>
      </w:r>
      <w:r w:rsidRPr="00AA4ECD">
        <w:rPr>
          <w:rStyle w:val="afa"/>
          <w:rFonts w:hint="cs"/>
          <w:rtl/>
        </w:rPr>
        <w:t xml:space="preserve"> </w:t>
      </w:r>
      <w:r w:rsidRPr="001C6BEA">
        <w:rPr>
          <w:rStyle w:val="aff6"/>
          <w:rFonts w:hint="cs"/>
          <w:rtl/>
        </w:rPr>
        <w:t xml:space="preserve">(עי' אות </w:t>
      </w:r>
      <w:r w:rsidRPr="001C6BEA">
        <w:rPr>
          <w:rStyle w:val="aff6"/>
          <w:rtl/>
        </w:rPr>
        <w:fldChar w:fldCharType="begin"/>
      </w:r>
      <w:r w:rsidRPr="001C6BEA">
        <w:rPr>
          <w:rStyle w:val="aff6"/>
          <w:rtl/>
        </w:rPr>
        <w:instrText xml:space="preserve"> </w:instrText>
      </w:r>
      <w:r w:rsidRPr="001C6BEA">
        <w:rPr>
          <w:rStyle w:val="aff6"/>
          <w:rFonts w:hint="cs"/>
        </w:rPr>
        <w:instrText>REF</w:instrText>
      </w:r>
      <w:r w:rsidRPr="001C6BEA">
        <w:rPr>
          <w:rStyle w:val="aff6"/>
          <w:rFonts w:hint="cs"/>
          <w:rtl/>
        </w:rPr>
        <w:instrText xml:space="preserve"> _</w:instrText>
      </w:r>
      <w:r w:rsidRPr="001C6BEA">
        <w:rPr>
          <w:rStyle w:val="aff6"/>
          <w:rFonts w:hint="cs"/>
        </w:rPr>
        <w:instrText>Ref24904582 \r \h</w:instrText>
      </w:r>
      <w:r w:rsidRPr="001C6BEA">
        <w:rPr>
          <w:rStyle w:val="aff6"/>
          <w:rtl/>
        </w:rPr>
        <w:instrText xml:space="preserve"> </w:instrText>
      </w:r>
      <w:r w:rsidRPr="001C6BEA">
        <w:rPr>
          <w:rStyle w:val="aff6"/>
          <w:rtl/>
        </w:rPr>
      </w:r>
      <w:r w:rsidRPr="001C6BEA">
        <w:rPr>
          <w:rStyle w:val="aff6"/>
          <w:rtl/>
        </w:rPr>
        <w:fldChar w:fldCharType="separate"/>
      </w:r>
      <w:r w:rsidR="004D1C5B">
        <w:rPr>
          <w:rStyle w:val="aff6"/>
          <w:cs/>
        </w:rPr>
        <w:t>‎</w:t>
      </w:r>
      <w:r w:rsidR="004D1C5B">
        <w:rPr>
          <w:rStyle w:val="aff6"/>
          <w:rtl/>
        </w:rPr>
        <w:t>קא)</w:t>
      </w:r>
      <w:r w:rsidRPr="001C6BEA">
        <w:rPr>
          <w:rStyle w:val="aff6"/>
          <w:rtl/>
        </w:rPr>
        <w:fldChar w:fldCharType="end"/>
      </w:r>
      <w:r w:rsidRPr="00AA4ECD">
        <w:rPr>
          <w:rStyle w:val="afa"/>
          <w:rFonts w:hint="cs"/>
          <w:rtl/>
        </w:rPr>
        <w:t xml:space="preserve">בדעת </w:t>
      </w:r>
      <w:r w:rsidRPr="00AF4F6F">
        <w:rPr>
          <w:rStyle w:val="affa"/>
          <w:rFonts w:hint="cs"/>
          <w:rtl/>
        </w:rPr>
        <w:t>הרא"ה והר"ן</w:t>
      </w:r>
      <w:r w:rsidRPr="00AA4ECD">
        <w:rPr>
          <w:rStyle w:val="afa"/>
          <w:rFonts w:hint="cs"/>
          <w:rtl/>
        </w:rPr>
        <w:t xml:space="preserve">], </w:t>
      </w:r>
      <w:r>
        <w:rPr>
          <w:rFonts w:hint="cs"/>
          <w:rtl/>
        </w:rPr>
        <w:t xml:space="preserve">ולכן ס"ל </w:t>
      </w:r>
      <w:r w:rsidRPr="00C857FA">
        <w:rPr>
          <w:rStyle w:val="af8"/>
          <w:rFonts w:hint="cs"/>
          <w:rtl/>
        </w:rPr>
        <w:t>להרשב"א</w:t>
      </w:r>
      <w:r>
        <w:rPr>
          <w:rFonts w:hint="cs"/>
          <w:rtl/>
        </w:rPr>
        <w:t xml:space="preserve"> דלא גזרו דין שישים ביבש, דחד בתרי ביבש הוא כמו שיעור שישים במקום שצריך לבטל את הטעם.</w:t>
      </w:r>
    </w:p>
    <w:p w:rsidR="00F13472" w:rsidRDefault="00F13472" w:rsidP="00F13472">
      <w:pPr>
        <w:pStyle w:val="afd"/>
        <w:rPr>
          <w:rtl/>
        </w:rPr>
      </w:pPr>
      <w:bookmarkStart w:id="14033" w:name="_Toc24576807"/>
      <w:bookmarkStart w:id="14034" w:name="_Toc24709369"/>
      <w:bookmarkStart w:id="14035" w:name="_Toc24838961"/>
      <w:bookmarkStart w:id="14036" w:name="_Toc24918054"/>
      <w:bookmarkStart w:id="14037" w:name="_Toc24918265"/>
      <w:r>
        <w:rPr>
          <w:rFonts w:hint="cs"/>
          <w:rtl/>
        </w:rPr>
        <w:lastRenderedPageBreak/>
        <w:t>דעת הרא"ש</w:t>
      </w:r>
      <w:bookmarkEnd w:id="13889"/>
      <w:bookmarkEnd w:id="13890"/>
      <w:r>
        <w:rPr>
          <w:rFonts w:hint="cs"/>
          <w:rtl/>
        </w:rPr>
        <w:t xml:space="preserve"> דנהפך להיתר ומותר בבישל</w:t>
      </w:r>
      <w:bookmarkEnd w:id="14033"/>
      <w:bookmarkEnd w:id="14034"/>
      <w:bookmarkEnd w:id="14035"/>
      <w:bookmarkEnd w:id="14036"/>
      <w:bookmarkEnd w:id="14037"/>
    </w:p>
    <w:p w:rsidR="00F13472" w:rsidRPr="00C83AE5" w:rsidRDefault="00F13472" w:rsidP="00F13472">
      <w:pPr>
        <w:pStyle w:val="1"/>
        <w:rPr>
          <w:rtl/>
        </w:rPr>
      </w:pPr>
      <w:bookmarkStart w:id="14038" w:name="_Toc24403368"/>
      <w:bookmarkStart w:id="14039" w:name="_Toc24455835"/>
      <w:bookmarkStart w:id="14040" w:name="_Toc24576808"/>
      <w:bookmarkStart w:id="14041" w:name="_Toc24709370"/>
      <w:bookmarkStart w:id="14042" w:name="_Toc24838962"/>
      <w:bookmarkStart w:id="14043" w:name="_Toc24918055"/>
      <w:bookmarkStart w:id="14044" w:name="_Toc24918266"/>
      <w:r w:rsidRPr="00C83AE5">
        <w:rPr>
          <w:rFonts w:hint="cs"/>
          <w:rtl/>
        </w:rPr>
        <w:t>דברי הרא"ש</w:t>
      </w:r>
      <w:bookmarkEnd w:id="14038"/>
      <w:bookmarkEnd w:id="14039"/>
      <w:r>
        <w:rPr>
          <w:rFonts w:hint="cs"/>
          <w:rtl/>
        </w:rPr>
        <w:t xml:space="preserve"> דהאיסור נהפך להיתר ומותר לאכול בב"א</w:t>
      </w:r>
      <w:bookmarkEnd w:id="14040"/>
      <w:bookmarkEnd w:id="14041"/>
      <w:bookmarkEnd w:id="14042"/>
      <w:bookmarkEnd w:id="14043"/>
      <w:bookmarkEnd w:id="14044"/>
    </w:p>
    <w:p w:rsidR="00F13472" w:rsidRPr="00C83AE5" w:rsidRDefault="00F13472" w:rsidP="00F13472">
      <w:pPr>
        <w:pStyle w:val="a2"/>
        <w:rPr>
          <w:rtl/>
        </w:rPr>
      </w:pPr>
      <w:r w:rsidRPr="00C83AE5">
        <w:rPr>
          <w:rFonts w:hint="cs"/>
          <w:rtl/>
        </w:rPr>
        <w:t xml:space="preserve"> </w:t>
      </w:r>
      <w:bookmarkStart w:id="14045" w:name="_Toc24403369"/>
      <w:bookmarkStart w:id="14046" w:name="_Toc24455836"/>
      <w:bookmarkStart w:id="14047" w:name="_Toc24576809"/>
      <w:bookmarkStart w:id="14048" w:name="_Toc24709371"/>
      <w:bookmarkStart w:id="14049" w:name="_Toc24838963"/>
      <w:bookmarkStart w:id="14050" w:name="_Toc24918056"/>
      <w:bookmarkStart w:id="14051" w:name="_Toc24918267"/>
      <w:r w:rsidRPr="00C83AE5">
        <w:rPr>
          <w:rFonts w:hint="cs"/>
          <w:rtl/>
        </w:rPr>
        <w:t>דברי הרא"ש דבביטול ברוב האיסור נהפך להיתר ולכן מותר לאכול את כל התערובת בב"א</w:t>
      </w:r>
      <w:bookmarkEnd w:id="14045"/>
      <w:bookmarkEnd w:id="14046"/>
      <w:bookmarkEnd w:id="14047"/>
      <w:bookmarkEnd w:id="14048"/>
      <w:bookmarkEnd w:id="14049"/>
      <w:bookmarkEnd w:id="14050"/>
      <w:bookmarkEnd w:id="14051"/>
    </w:p>
    <w:p w:rsidR="00F13472" w:rsidRPr="00C83AE5" w:rsidRDefault="00F13472" w:rsidP="009F44AF">
      <w:pPr>
        <w:pStyle w:val="a"/>
        <w:rPr>
          <w:rStyle w:val="afa"/>
          <w:rtl/>
        </w:rPr>
      </w:pPr>
      <w:bookmarkStart w:id="14052" w:name="_Ref24564844"/>
      <w:r w:rsidRPr="00C83AE5">
        <w:rPr>
          <w:rFonts w:hint="cs"/>
          <w:rtl/>
        </w:rPr>
        <w:t xml:space="preserve">כתב </w:t>
      </w:r>
      <w:r w:rsidRPr="00C83AE5">
        <w:rPr>
          <w:rStyle w:val="af8"/>
          <w:rFonts w:hint="cs"/>
          <w:rtl/>
        </w:rPr>
        <w:t>הרא"ש</w:t>
      </w:r>
      <w:r w:rsidRPr="00C83AE5">
        <w:rPr>
          <w:rStyle w:val="af6"/>
          <w:rFonts w:eastAsia="Guttman Hodes" w:hint="cs"/>
          <w:rtl/>
        </w:rPr>
        <w:t xml:space="preserve"> (סי' ל"ז)</w:t>
      </w:r>
      <w:r w:rsidRPr="00C83AE5">
        <w:rPr>
          <w:rFonts w:hint="cs"/>
          <w:rtl/>
        </w:rPr>
        <w:t xml:space="preserve"> דדבר שבטל ברוב, משמע בסוגיין שאין בו אפילו איסור דרבנן, וביאר </w:t>
      </w:r>
      <w:r w:rsidRPr="00C83AE5">
        <w:rPr>
          <w:rStyle w:val="af8"/>
          <w:rFonts w:hint="cs"/>
          <w:rtl/>
        </w:rPr>
        <w:t>הרא"ש</w:t>
      </w:r>
      <w:r w:rsidRPr="00C83AE5">
        <w:rPr>
          <w:rStyle w:val="af6"/>
          <w:rFonts w:eastAsia="Guttman Hodes" w:hint="cs"/>
          <w:rtl/>
        </w:rPr>
        <w:t xml:space="preserve"> </w:t>
      </w:r>
      <w:r w:rsidRPr="00C83AE5">
        <w:rPr>
          <w:rFonts w:hint="cs"/>
          <w:rtl/>
        </w:rPr>
        <w:t xml:space="preserve">דביטול ברוב ביבש ביבש מותר מותר מגזיה"כ דאחרי רבים להטות, דכל שיש בתערובת חד בתרי האיסור נהפך להיות היתר, וכתב </w:t>
      </w:r>
      <w:r w:rsidRPr="00C83AE5">
        <w:rPr>
          <w:rStyle w:val="af8"/>
          <w:rFonts w:hint="cs"/>
          <w:rtl/>
        </w:rPr>
        <w:t>הרא"ש</w:t>
      </w:r>
      <w:r w:rsidRPr="00C83AE5">
        <w:rPr>
          <w:rFonts w:hint="cs"/>
          <w:rtl/>
        </w:rPr>
        <w:t xml:space="preserve"> דלכן מותר לאכול את כל התערובת בבת אחת, דאין כאן איסור כלל. </w:t>
      </w:r>
      <w:r w:rsidRPr="00C83AE5">
        <w:rPr>
          <w:rStyle w:val="afa"/>
          <w:rFonts w:hint="cs"/>
          <w:rtl/>
        </w:rPr>
        <w:t xml:space="preserve">[ועיי"ש במה שהאריך </w:t>
      </w:r>
      <w:r w:rsidRPr="00B04AF0">
        <w:rPr>
          <w:rStyle w:val="affa"/>
          <w:rFonts w:hint="cs"/>
          <w:rtl/>
        </w:rPr>
        <w:t>הרא"ש</w:t>
      </w:r>
      <w:r w:rsidRPr="00C83AE5">
        <w:rPr>
          <w:rStyle w:val="afa"/>
          <w:rFonts w:hint="cs"/>
          <w:rtl/>
        </w:rPr>
        <w:t xml:space="preserve"> </w:t>
      </w:r>
      <w:r w:rsidRPr="00C83AE5">
        <w:rPr>
          <w:rStyle w:val="aff6"/>
          <w:rFonts w:hint="cs"/>
          <w:rtl/>
        </w:rPr>
        <w:t>(הובא בסימן י"ז אות כט)</w:t>
      </w:r>
      <w:r w:rsidRPr="00C83AE5">
        <w:rPr>
          <w:rStyle w:val="afa"/>
          <w:rFonts w:hint="cs"/>
          <w:rtl/>
        </w:rPr>
        <w:t xml:space="preserve"> להוכיח כן].</w:t>
      </w:r>
      <w:bookmarkEnd w:id="14052"/>
    </w:p>
    <w:p w:rsidR="00F13472" w:rsidRPr="00F00203" w:rsidRDefault="00F13472" w:rsidP="00F13472">
      <w:pPr>
        <w:pStyle w:val="1"/>
        <w:rPr>
          <w:rtl/>
        </w:rPr>
      </w:pPr>
      <w:bookmarkStart w:id="14053" w:name="_Toc24403370"/>
      <w:bookmarkStart w:id="14054" w:name="_Toc24455837"/>
      <w:bookmarkStart w:id="14055" w:name="_Toc24576810"/>
      <w:bookmarkStart w:id="14056" w:name="_Toc24709372"/>
      <w:bookmarkStart w:id="14057" w:name="_Toc24838964"/>
      <w:bookmarkStart w:id="14058" w:name="_Toc24918057"/>
      <w:bookmarkStart w:id="14059" w:name="_Toc24918268"/>
      <w:r w:rsidRPr="00F00203">
        <w:rPr>
          <w:rFonts w:hint="cs"/>
          <w:rtl/>
        </w:rPr>
        <w:t>דברי הרא"ש דתערובת יבש שהותרה וחזר ובישלה יחד מותר</w:t>
      </w:r>
      <w:bookmarkEnd w:id="14053"/>
      <w:bookmarkEnd w:id="14054"/>
      <w:bookmarkEnd w:id="14055"/>
      <w:bookmarkEnd w:id="14056"/>
      <w:bookmarkEnd w:id="14057"/>
      <w:bookmarkEnd w:id="14058"/>
      <w:bookmarkEnd w:id="14059"/>
      <w:r w:rsidRPr="00F00203">
        <w:rPr>
          <w:rFonts w:hint="cs"/>
          <w:rtl/>
        </w:rPr>
        <w:t xml:space="preserve"> </w:t>
      </w:r>
    </w:p>
    <w:p w:rsidR="00F13472" w:rsidRPr="00F00203" w:rsidRDefault="00F13472" w:rsidP="00F13472">
      <w:pPr>
        <w:pStyle w:val="a2"/>
      </w:pPr>
      <w:bookmarkStart w:id="14060" w:name="_Toc24403371"/>
      <w:bookmarkStart w:id="14061" w:name="_Toc24455838"/>
      <w:bookmarkStart w:id="14062" w:name="_Toc24576811"/>
      <w:bookmarkStart w:id="14063" w:name="_Toc24709373"/>
      <w:bookmarkStart w:id="14064" w:name="_Toc24838965"/>
      <w:bookmarkStart w:id="14065" w:name="_Toc24918058"/>
      <w:bookmarkStart w:id="14066" w:name="_Toc24918269"/>
      <w:r w:rsidRPr="00F00203">
        <w:rPr>
          <w:rFonts w:hint="cs"/>
          <w:rtl/>
        </w:rPr>
        <w:t>דברי הרא"ש דאחר שהותרה התערובת אם חזר ובישלה מותר אף שהאיסור נתן טעם בהיתר</w:t>
      </w:r>
      <w:bookmarkEnd w:id="14060"/>
      <w:bookmarkEnd w:id="14061"/>
      <w:bookmarkEnd w:id="14062"/>
      <w:bookmarkEnd w:id="14063"/>
      <w:bookmarkEnd w:id="14064"/>
      <w:bookmarkEnd w:id="14065"/>
      <w:bookmarkEnd w:id="14066"/>
    </w:p>
    <w:p w:rsidR="00F13472" w:rsidRPr="00F00203" w:rsidRDefault="00F13472" w:rsidP="009F44AF">
      <w:pPr>
        <w:pStyle w:val="a"/>
        <w:rPr>
          <w:rtl/>
        </w:rPr>
      </w:pPr>
      <w:r w:rsidRPr="00F00203">
        <w:rPr>
          <w:rFonts w:hint="cs"/>
          <w:rtl/>
        </w:rPr>
        <w:t xml:space="preserve">וכתב </w:t>
      </w:r>
      <w:r w:rsidRPr="00F00203">
        <w:rPr>
          <w:rStyle w:val="af8"/>
          <w:rFonts w:hint="cs"/>
          <w:rtl/>
        </w:rPr>
        <w:t>הרא"ש</w:t>
      </w:r>
      <w:r w:rsidRPr="00F00203">
        <w:rPr>
          <w:rFonts w:hint="cs"/>
          <w:rtl/>
        </w:rPr>
        <w:t xml:space="preserve"> דאם לאחר שהותרה התערובת ביבש ביבש לגמרי, חזר ובישל את כל החתיכות יחד או שבישל את החתיכות של התערובות עם חתיכות אחרות של היתר, דהכל מותר, ולא אמרינן דכל ההיתר הוא רק ביבש ביבש, אבל אחר שבישלם פלט האיסור טעם בהיתר ואסר את כל התערובת, וצריך שישים להתיר, אלא אף אחר הבישול הכל מותר</w:t>
      </w:r>
      <w:r>
        <w:rPr>
          <w:rFonts w:hint="cs"/>
          <w:rtl/>
        </w:rPr>
        <w:t xml:space="preserve">, וכ"כ </w:t>
      </w:r>
      <w:r w:rsidRPr="004B4DDF">
        <w:rPr>
          <w:rStyle w:val="af8"/>
          <w:rFonts w:hint="cs"/>
          <w:rtl/>
        </w:rPr>
        <w:t>המהר"ם מרוטנבורג בתשו'</w:t>
      </w:r>
      <w:r w:rsidRPr="004B4DDF">
        <w:rPr>
          <w:rFonts w:hint="cs"/>
          <w:rtl/>
        </w:rPr>
        <w:t xml:space="preserve"> </w:t>
      </w:r>
      <w:r w:rsidRPr="004B4DDF">
        <w:rPr>
          <w:rStyle w:val="af6"/>
          <w:rFonts w:eastAsia="Guttman Hodes" w:hint="cs"/>
          <w:rtl/>
        </w:rPr>
        <w:t xml:space="preserve">(הובאה בשו"ת הרשב"א ח"א סי' תש"ל ד"ה </w:t>
      </w:r>
      <w:r>
        <w:rPr>
          <w:rStyle w:val="af6"/>
          <w:rFonts w:eastAsia="Guttman Hodes" w:hint="cs"/>
          <w:rtl/>
        </w:rPr>
        <w:t>הלכך נראה)</w:t>
      </w:r>
      <w:r w:rsidRPr="00F00203">
        <w:rPr>
          <w:rFonts w:hint="cs"/>
          <w:rtl/>
        </w:rPr>
        <w:t>.</w:t>
      </w:r>
    </w:p>
    <w:p w:rsidR="00F13472" w:rsidRPr="00F00203" w:rsidRDefault="00F13472" w:rsidP="00F13472">
      <w:pPr>
        <w:pStyle w:val="a2"/>
        <w:rPr>
          <w:rtl/>
        </w:rPr>
      </w:pPr>
      <w:bookmarkStart w:id="14067" w:name="_Toc24403372"/>
      <w:bookmarkStart w:id="14068" w:name="_Toc24455839"/>
      <w:bookmarkStart w:id="14069" w:name="_Toc24576812"/>
      <w:bookmarkStart w:id="14070" w:name="_Toc24709374"/>
      <w:bookmarkStart w:id="14071" w:name="_Toc24838966"/>
      <w:bookmarkStart w:id="14072" w:name="_Toc24918059"/>
      <w:bookmarkStart w:id="14073" w:name="_Toc24918270"/>
      <w:r w:rsidRPr="00F00203">
        <w:rPr>
          <w:rFonts w:hint="cs"/>
          <w:rtl/>
        </w:rPr>
        <w:t>הוכחת הרא"ש דלא מצינו דבר שהוא מותר וצירו אסור ואדרבה בדג טמא מצינו להיפך</w:t>
      </w:r>
      <w:bookmarkEnd w:id="14067"/>
      <w:bookmarkEnd w:id="14068"/>
      <w:bookmarkEnd w:id="14069"/>
      <w:bookmarkEnd w:id="14070"/>
      <w:bookmarkEnd w:id="14071"/>
      <w:bookmarkEnd w:id="14072"/>
      <w:bookmarkEnd w:id="14073"/>
    </w:p>
    <w:p w:rsidR="00F13472" w:rsidRDefault="00F13472" w:rsidP="009F44AF">
      <w:pPr>
        <w:pStyle w:val="a"/>
      </w:pPr>
      <w:bookmarkStart w:id="14074" w:name="_Ref25784664"/>
      <w:r w:rsidRPr="00F00203">
        <w:rPr>
          <w:rFonts w:hint="cs"/>
          <w:rtl/>
        </w:rPr>
        <w:t xml:space="preserve">וכתב </w:t>
      </w:r>
      <w:r w:rsidRPr="00F00203">
        <w:rPr>
          <w:rStyle w:val="af8"/>
          <w:rFonts w:hint="cs"/>
          <w:rtl/>
        </w:rPr>
        <w:t>הרא"ש</w:t>
      </w:r>
      <w:r w:rsidRPr="00F00203">
        <w:rPr>
          <w:rFonts w:hint="cs"/>
          <w:rtl/>
        </w:rPr>
        <w:t xml:space="preserve"> דכן מוכח דהא לא מצינו דבר שמותר לאוכלו, ואסור לאכול את הציר שלו, ולהיפך מצינו בגמ' בע"ז </w:t>
      </w:r>
      <w:r w:rsidRPr="00F00203">
        <w:rPr>
          <w:rStyle w:val="af6"/>
          <w:rFonts w:eastAsia="Guttman Hodes" w:hint="cs"/>
          <w:rtl/>
        </w:rPr>
        <w:t>(מ:)</w:t>
      </w:r>
      <w:r w:rsidRPr="00F00203">
        <w:rPr>
          <w:rFonts w:hint="cs"/>
          <w:rtl/>
        </w:rPr>
        <w:t xml:space="preserve"> בדג טמא שהוא אסור וצירו מותר מדאו', אך לא יתכן שדבר שהוא מותר, הפליטה שלו אוסרת.</w:t>
      </w:r>
      <w:r>
        <w:rPr>
          <w:rFonts w:hint="cs"/>
          <w:rtl/>
        </w:rPr>
        <w:t xml:space="preserve"> [ועי' במה שתירץ </w:t>
      </w:r>
      <w:r w:rsidRPr="000D0DAD">
        <w:rPr>
          <w:rStyle w:val="af8"/>
          <w:rFonts w:hint="cs"/>
          <w:rtl/>
        </w:rPr>
        <w:t>השער"י</w:t>
      </w:r>
      <w:r>
        <w:rPr>
          <w:rFonts w:hint="cs"/>
          <w:rtl/>
        </w:rPr>
        <w:t xml:space="preserve"> </w:t>
      </w:r>
      <w:r w:rsidRPr="00D20C58">
        <w:rPr>
          <w:rStyle w:val="af6"/>
          <w:rFonts w:eastAsia="Guttman Hodes" w:hint="cs"/>
          <w:rtl/>
        </w:rPr>
        <w:t xml:space="preserve">(עי' אות </w:t>
      </w:r>
      <w:r w:rsidRPr="00D20C58">
        <w:rPr>
          <w:rStyle w:val="af6"/>
          <w:rFonts w:eastAsia="Guttman Hodes"/>
          <w:rtl/>
        </w:rPr>
        <w:fldChar w:fldCharType="begin"/>
      </w:r>
      <w:r w:rsidRPr="00D20C58">
        <w:rPr>
          <w:rStyle w:val="af6"/>
          <w:rFonts w:eastAsia="Guttman Hodes"/>
          <w:rtl/>
        </w:rPr>
        <w:instrText xml:space="preserve"> </w:instrText>
      </w:r>
      <w:r w:rsidRPr="00D20C58">
        <w:rPr>
          <w:rStyle w:val="af6"/>
          <w:rFonts w:eastAsia="Guttman Hodes" w:hint="cs"/>
        </w:rPr>
        <w:instrText>REF</w:instrText>
      </w:r>
      <w:r w:rsidRPr="00D20C58">
        <w:rPr>
          <w:rStyle w:val="af6"/>
          <w:rFonts w:eastAsia="Guttman Hodes" w:hint="cs"/>
          <w:rtl/>
        </w:rPr>
        <w:instrText xml:space="preserve"> _</w:instrText>
      </w:r>
      <w:r w:rsidRPr="00D20C58">
        <w:rPr>
          <w:rStyle w:val="af6"/>
          <w:rFonts w:eastAsia="Guttman Hodes" w:hint="cs"/>
        </w:rPr>
        <w:instrText>Ref23959130 \r \h</w:instrText>
      </w:r>
      <w:r w:rsidRPr="00D20C58">
        <w:rPr>
          <w:rStyle w:val="af6"/>
          <w:rFonts w:eastAsia="Guttman Hodes"/>
          <w:rtl/>
        </w:rPr>
        <w:instrText xml:space="preserve"> </w:instrText>
      </w:r>
      <w:r w:rsidRPr="00D20C58">
        <w:rPr>
          <w:rStyle w:val="af6"/>
          <w:rFonts w:eastAsia="Guttman Hodes"/>
          <w:rtl/>
        </w:rPr>
      </w:r>
      <w:r w:rsidRPr="00D20C58">
        <w:rPr>
          <w:rStyle w:val="af6"/>
          <w:rFonts w:eastAsia="Guttman Hodes"/>
          <w:rtl/>
        </w:rPr>
        <w:fldChar w:fldCharType="separate"/>
      </w:r>
      <w:r w:rsidR="004D1C5B">
        <w:rPr>
          <w:rStyle w:val="af6"/>
          <w:rFonts w:eastAsia="Guttman Hodes"/>
          <w:cs/>
        </w:rPr>
        <w:t>‎</w:t>
      </w:r>
      <w:r w:rsidR="004D1C5B">
        <w:rPr>
          <w:rStyle w:val="af6"/>
          <w:rFonts w:eastAsia="Guttman Hodes"/>
          <w:rtl/>
        </w:rPr>
        <w:t>קכא)</w:t>
      </w:r>
      <w:r w:rsidRPr="00D20C58">
        <w:rPr>
          <w:rStyle w:val="af6"/>
          <w:rFonts w:eastAsia="Guttman Hodes"/>
          <w:rtl/>
        </w:rPr>
        <w:fldChar w:fldCharType="end"/>
      </w:r>
      <w:r>
        <w:rPr>
          <w:rFonts w:hint="cs"/>
          <w:rtl/>
        </w:rPr>
        <w:t xml:space="preserve"> את קושית </w:t>
      </w:r>
      <w:r w:rsidRPr="000D0DAD">
        <w:rPr>
          <w:rStyle w:val="af8"/>
          <w:rFonts w:hint="cs"/>
          <w:rtl/>
        </w:rPr>
        <w:t>הרא"ש</w:t>
      </w:r>
      <w:r>
        <w:rPr>
          <w:rFonts w:hint="cs"/>
          <w:rtl/>
        </w:rPr>
        <w:t xml:space="preserve"> לדעת </w:t>
      </w:r>
      <w:r w:rsidRPr="000D0DAD">
        <w:rPr>
          <w:rStyle w:val="af8"/>
          <w:rFonts w:hint="cs"/>
          <w:rtl/>
        </w:rPr>
        <w:t>הרשב"א</w:t>
      </w:r>
      <w:r>
        <w:rPr>
          <w:rFonts w:hint="cs"/>
          <w:rtl/>
        </w:rPr>
        <w:t>].</w:t>
      </w:r>
      <w:bookmarkEnd w:id="14074"/>
    </w:p>
    <w:p w:rsidR="00F13472" w:rsidRPr="001B219F" w:rsidRDefault="00F13472" w:rsidP="00F13472">
      <w:pPr>
        <w:pStyle w:val="a2"/>
        <w:rPr>
          <w:rtl/>
        </w:rPr>
      </w:pPr>
      <w:bookmarkStart w:id="14075" w:name="_Toc24576813"/>
      <w:bookmarkStart w:id="14076" w:name="_Toc24709375"/>
      <w:bookmarkStart w:id="14077" w:name="_Toc24838967"/>
      <w:bookmarkStart w:id="14078" w:name="_Toc24918060"/>
      <w:bookmarkStart w:id="14079" w:name="_Toc24918271"/>
      <w:r>
        <w:rPr>
          <w:rFonts w:hint="cs"/>
          <w:rtl/>
        </w:rPr>
        <w:t>ראיית הרא"ש דדבר שהותר בכל דפריש אינו נאסר כשנעשה קבוע וה"ה ביבש שנעשה לח</w:t>
      </w:r>
      <w:bookmarkEnd w:id="14075"/>
      <w:bookmarkEnd w:id="14076"/>
      <w:bookmarkEnd w:id="14077"/>
      <w:bookmarkEnd w:id="14078"/>
      <w:bookmarkEnd w:id="14079"/>
    </w:p>
    <w:p w:rsidR="00F13472" w:rsidRDefault="00F13472" w:rsidP="009F44AF">
      <w:pPr>
        <w:pStyle w:val="a"/>
        <w:rPr>
          <w:rtl/>
        </w:rPr>
      </w:pPr>
      <w:bookmarkStart w:id="14080" w:name="_Ref24879763"/>
      <w:r>
        <w:rPr>
          <w:rFonts w:hint="cs"/>
          <w:rtl/>
        </w:rPr>
        <w:t xml:space="preserve">והביא </w:t>
      </w:r>
      <w:r w:rsidRPr="006A6FE4">
        <w:rPr>
          <w:rStyle w:val="af8"/>
          <w:rFonts w:hint="cs"/>
          <w:rtl/>
        </w:rPr>
        <w:t>הרא"ש</w:t>
      </w:r>
      <w:r>
        <w:rPr>
          <w:rFonts w:hint="cs"/>
          <w:rtl/>
        </w:rPr>
        <w:t xml:space="preserve"> ראיה דדבר שהתבטל ברוב והותר אינו חוזר ונאסר, מהא דאיתא בגמ' בזבחים</w:t>
      </w:r>
      <w:r>
        <w:rPr>
          <w:rStyle w:val="af0"/>
          <w:rtl/>
        </w:rPr>
        <w:footnoteReference w:id="74"/>
      </w:r>
      <w:r>
        <w:rPr>
          <w:rFonts w:hint="cs"/>
          <w:rtl/>
        </w:rPr>
        <w:t xml:space="preserve"> </w:t>
      </w:r>
      <w:r w:rsidRPr="009014DD">
        <w:rPr>
          <w:rStyle w:val="af6"/>
          <w:rFonts w:eastAsia="Guttman Hodes" w:hint="cs"/>
          <w:rtl/>
        </w:rPr>
        <w:t xml:space="preserve">(עג:) </w:t>
      </w:r>
      <w:r>
        <w:rPr>
          <w:rFonts w:hint="cs"/>
          <w:rtl/>
        </w:rPr>
        <w:t xml:space="preserve">דחטאות המתות שהתערבו בזבחים, ופירשו דהם מותרים מדין הלך אחר הרוב, דמותר להקריבם ודמם אינו נאסר כשתערב יחד במגיס ונעשו קבוע, וכתב </w:t>
      </w:r>
      <w:r w:rsidRPr="006A6FE4">
        <w:rPr>
          <w:rStyle w:val="af8"/>
          <w:rFonts w:hint="cs"/>
          <w:rtl/>
        </w:rPr>
        <w:t>הרא"ש</w:t>
      </w:r>
      <w:r>
        <w:rPr>
          <w:rFonts w:hint="cs"/>
          <w:rtl/>
        </w:rPr>
        <w:t xml:space="preserve"> דמבואר דכיון שכבר הותרו מדין כל דפריש אין האיסור חוזר וניעור, אף שחזרו ונעשו קבוע, וה"ה ביבש בחד בתרי דהאיסור נהפך להיתר, דאינו חוזר ונאסר כשהתבשל ונעשה לח.</w:t>
      </w:r>
      <w:bookmarkEnd w:id="14080"/>
    </w:p>
    <w:p w:rsidR="00F13472" w:rsidRPr="0079076B" w:rsidRDefault="00F13472" w:rsidP="00F13472">
      <w:pPr>
        <w:pStyle w:val="1"/>
        <w:rPr>
          <w:rtl/>
        </w:rPr>
      </w:pPr>
      <w:bookmarkStart w:id="14081" w:name="_Toc24576814"/>
      <w:bookmarkStart w:id="14082" w:name="_Toc24709376"/>
      <w:bookmarkStart w:id="14083" w:name="_Toc24838968"/>
      <w:bookmarkStart w:id="14084" w:name="_Toc24918061"/>
      <w:bookmarkStart w:id="14085" w:name="_Toc24918272"/>
      <w:r>
        <w:rPr>
          <w:rFonts w:hint="cs"/>
          <w:rtl/>
        </w:rPr>
        <w:t>דברי הרא"ש דבמינו בלח צריך שישים רק בלא נודעה התערובת</w:t>
      </w:r>
      <w:bookmarkEnd w:id="14081"/>
      <w:bookmarkEnd w:id="14082"/>
      <w:bookmarkEnd w:id="14083"/>
      <w:bookmarkEnd w:id="14084"/>
      <w:bookmarkEnd w:id="14085"/>
    </w:p>
    <w:p w:rsidR="00F13472" w:rsidRDefault="00F13472" w:rsidP="00F13472">
      <w:pPr>
        <w:pStyle w:val="a2"/>
        <w:rPr>
          <w:rtl/>
        </w:rPr>
      </w:pPr>
      <w:bookmarkStart w:id="14086" w:name="_Toc24576815"/>
      <w:bookmarkStart w:id="14087" w:name="_Toc24709377"/>
      <w:bookmarkStart w:id="14088" w:name="_Toc24838969"/>
      <w:bookmarkStart w:id="14089" w:name="_Toc24918062"/>
      <w:bookmarkStart w:id="14090" w:name="_Toc24918273"/>
      <w:r>
        <w:rPr>
          <w:rFonts w:hint="cs"/>
          <w:rtl/>
        </w:rPr>
        <w:t>דברי הרא"ש דהא דבמין במינו צריך שישים בלח היינו לפני שנודעה התערובת אטו אינו מינו</w:t>
      </w:r>
      <w:bookmarkEnd w:id="14086"/>
      <w:bookmarkEnd w:id="14087"/>
      <w:bookmarkEnd w:id="14088"/>
      <w:bookmarkEnd w:id="14089"/>
      <w:bookmarkEnd w:id="14090"/>
    </w:p>
    <w:p w:rsidR="00F13472" w:rsidRDefault="00F13472" w:rsidP="009F44AF">
      <w:pPr>
        <w:pStyle w:val="a"/>
        <w:rPr>
          <w:rtl/>
        </w:rPr>
      </w:pPr>
      <w:bookmarkStart w:id="14091" w:name="_Ref24879522"/>
      <w:r>
        <w:rPr>
          <w:rFonts w:hint="cs"/>
          <w:rtl/>
        </w:rPr>
        <w:t xml:space="preserve">וכתב </w:t>
      </w:r>
      <w:r w:rsidRPr="006A6FE4">
        <w:rPr>
          <w:rStyle w:val="af8"/>
          <w:rFonts w:hint="cs"/>
          <w:rtl/>
        </w:rPr>
        <w:t>הרא"ש</w:t>
      </w:r>
      <w:r>
        <w:rPr>
          <w:rFonts w:hint="cs"/>
          <w:rtl/>
        </w:rPr>
        <w:t xml:space="preserve"> דאף דבלח בלח צריך שישים אף במין במינו, זהו דוקא כשהוא לח לפני שנודעה התערובת, דבכה"ג גזרו רבנן שצריך ביטול בשישים, אף שאינו נותן טעם אטו מין בשאינו מינו שנותן טעם.</w:t>
      </w:r>
      <w:bookmarkEnd w:id="14091"/>
    </w:p>
    <w:p w:rsidR="00F13472" w:rsidRPr="0079076B" w:rsidRDefault="00F13472" w:rsidP="00F13472">
      <w:pPr>
        <w:pStyle w:val="a2"/>
      </w:pPr>
      <w:bookmarkStart w:id="14092" w:name="_Toc24576816"/>
      <w:bookmarkStart w:id="14093" w:name="_Toc24709378"/>
      <w:bookmarkStart w:id="14094" w:name="_Toc24838970"/>
      <w:bookmarkStart w:id="14095" w:name="_Toc24918063"/>
      <w:bookmarkStart w:id="14096" w:name="_Toc24918274"/>
      <w:r>
        <w:rPr>
          <w:rFonts w:hint="cs"/>
          <w:rtl/>
        </w:rPr>
        <w:t>דברי הרא"ש דבנודעה התערובת ביבש נהפך האיסור להיתר וא"א לומר דכשיצא טעם יאסור</w:t>
      </w:r>
      <w:bookmarkEnd w:id="14092"/>
      <w:bookmarkEnd w:id="14093"/>
      <w:bookmarkEnd w:id="14094"/>
      <w:bookmarkEnd w:id="14095"/>
      <w:bookmarkEnd w:id="14096"/>
    </w:p>
    <w:p w:rsidR="00F13472" w:rsidRDefault="00F13472" w:rsidP="009F44AF">
      <w:pPr>
        <w:pStyle w:val="a"/>
        <w:rPr>
          <w:rtl/>
        </w:rPr>
      </w:pPr>
      <w:r>
        <w:rPr>
          <w:rFonts w:hint="cs"/>
          <w:rtl/>
        </w:rPr>
        <w:t xml:space="preserve">אבל כשנודעה התערובת כשהיה יבש, כתב </w:t>
      </w:r>
      <w:r w:rsidRPr="006A6FE4">
        <w:rPr>
          <w:rStyle w:val="af8"/>
          <w:rFonts w:hint="cs"/>
          <w:rtl/>
        </w:rPr>
        <w:t>הרא"ש</w:t>
      </w:r>
      <w:r>
        <w:rPr>
          <w:rFonts w:hint="cs"/>
          <w:rtl/>
        </w:rPr>
        <w:t xml:space="preserve"> דע"י שהתבטל ברוב דחד בתרי,</w:t>
      </w:r>
      <w:r w:rsidRPr="00384E3B">
        <w:rPr>
          <w:rFonts w:hint="cs"/>
          <w:rtl/>
        </w:rPr>
        <w:t xml:space="preserve"> </w:t>
      </w:r>
      <w:r>
        <w:rPr>
          <w:rFonts w:hint="cs"/>
          <w:rtl/>
        </w:rPr>
        <w:t>נהפך האיסור להיתר וכולו מותר ויכול לאכול את כל התערובת בבת אחת, לא יתכן לומר שכשפולט האיסור טעם הוא יחזור ויאסור.</w:t>
      </w:r>
    </w:p>
    <w:p w:rsidR="00F13472" w:rsidRPr="0079076B" w:rsidRDefault="00F13472" w:rsidP="00F13472">
      <w:pPr>
        <w:pStyle w:val="1"/>
        <w:rPr>
          <w:rtl/>
        </w:rPr>
      </w:pPr>
      <w:bookmarkStart w:id="14097" w:name="_Toc24576817"/>
      <w:bookmarkStart w:id="14098" w:name="_Toc24709379"/>
      <w:bookmarkStart w:id="14099" w:name="_Toc24838971"/>
      <w:bookmarkStart w:id="14100" w:name="_Toc24918064"/>
      <w:bookmarkStart w:id="14101" w:name="_Toc24918275"/>
      <w:r>
        <w:rPr>
          <w:rFonts w:hint="cs"/>
          <w:rtl/>
        </w:rPr>
        <w:t>קושית המהר"ם מרוטנבורג דבסוגיין משמע דהרוטב אסור</w:t>
      </w:r>
      <w:bookmarkEnd w:id="14097"/>
      <w:bookmarkEnd w:id="14098"/>
      <w:bookmarkEnd w:id="14099"/>
      <w:bookmarkEnd w:id="14100"/>
      <w:bookmarkEnd w:id="14101"/>
    </w:p>
    <w:p w:rsidR="00F13472" w:rsidRPr="004B4DDF" w:rsidRDefault="00F13472" w:rsidP="00F13472">
      <w:pPr>
        <w:pStyle w:val="a2"/>
        <w:rPr>
          <w:rtl/>
        </w:rPr>
      </w:pPr>
      <w:bookmarkStart w:id="14102" w:name="_Toc24576818"/>
      <w:bookmarkStart w:id="14103" w:name="_Toc24709380"/>
      <w:bookmarkStart w:id="14104" w:name="_Toc24838972"/>
      <w:bookmarkStart w:id="14105" w:name="_Toc24918065"/>
      <w:bookmarkStart w:id="14106" w:name="_Toc24918276"/>
      <w:r>
        <w:rPr>
          <w:rFonts w:hint="cs"/>
          <w:rtl/>
        </w:rPr>
        <w:t xml:space="preserve">קושית </w:t>
      </w:r>
      <w:r w:rsidRPr="004B4DDF">
        <w:rPr>
          <w:rtl/>
        </w:rPr>
        <w:t>המהר"ם מרוטנבורג</w:t>
      </w:r>
      <w:r>
        <w:rPr>
          <w:rFonts w:hint="cs"/>
          <w:rtl/>
        </w:rPr>
        <w:t xml:space="preserve"> דבקושית הגמ' משמע דיבש שבטל ברוב וחזר ובישל הרוטב אסור</w:t>
      </w:r>
      <w:bookmarkEnd w:id="14102"/>
      <w:bookmarkEnd w:id="14103"/>
      <w:bookmarkEnd w:id="14104"/>
      <w:bookmarkEnd w:id="14105"/>
      <w:bookmarkEnd w:id="14106"/>
      <w:r>
        <w:rPr>
          <w:rFonts w:hint="cs"/>
          <w:rtl/>
        </w:rPr>
        <w:t xml:space="preserve"> </w:t>
      </w:r>
    </w:p>
    <w:p w:rsidR="00F13472" w:rsidRPr="00507ABD" w:rsidRDefault="00F13472" w:rsidP="009F44AF">
      <w:pPr>
        <w:pStyle w:val="a"/>
        <w:rPr>
          <w:rStyle w:val="afa"/>
          <w:rtl/>
        </w:rPr>
      </w:pPr>
      <w:r>
        <w:rPr>
          <w:rFonts w:hint="cs"/>
          <w:rtl/>
        </w:rPr>
        <w:t xml:space="preserve">אך הקשה </w:t>
      </w:r>
      <w:r w:rsidRPr="004B4DDF">
        <w:rPr>
          <w:rStyle w:val="af8"/>
          <w:rFonts w:hint="cs"/>
          <w:rtl/>
        </w:rPr>
        <w:t>המהר"ם מרוטנבורג בתשו'</w:t>
      </w:r>
      <w:r w:rsidRPr="004B4DDF">
        <w:rPr>
          <w:rFonts w:hint="cs"/>
          <w:rtl/>
        </w:rPr>
        <w:t xml:space="preserve"> </w:t>
      </w:r>
      <w:r w:rsidRPr="004B4DDF">
        <w:rPr>
          <w:rStyle w:val="af6"/>
          <w:rFonts w:eastAsia="Guttman Hodes" w:hint="cs"/>
          <w:rtl/>
        </w:rPr>
        <w:t xml:space="preserve">(הובאה בשו"ת הרשב"א ח"א סי' תש"ל ד"ה </w:t>
      </w:r>
      <w:r>
        <w:rPr>
          <w:rStyle w:val="af6"/>
          <w:rFonts w:eastAsia="Guttman Hodes" w:hint="cs"/>
          <w:rtl/>
        </w:rPr>
        <w:t>והא דתנן</w:t>
      </w:r>
      <w:r w:rsidRPr="004B4DDF">
        <w:rPr>
          <w:rStyle w:val="af6"/>
          <w:rFonts w:eastAsia="Guttman Hodes" w:hint="cs"/>
          <w:rtl/>
        </w:rPr>
        <w:t xml:space="preserve">) </w:t>
      </w:r>
      <w:r w:rsidRPr="004B4DDF">
        <w:rPr>
          <w:rFonts w:hint="cs"/>
          <w:rtl/>
        </w:rPr>
        <w:t xml:space="preserve">דמהא דמקשה הגמ' בסוגיין דחתיכה של שהתבשלה עם החתיכות, דיתבטלו ברוב, ומשמע בגמ' דהקושיה היא רק על החתיכות, אבל על הסיפא דמתני' דהרוטב בנותן טעם לא מקשה הגמ', וכתב </w:t>
      </w:r>
      <w:r w:rsidRPr="00551A3E">
        <w:rPr>
          <w:rStyle w:val="af8"/>
          <w:rFonts w:hint="cs"/>
          <w:rtl/>
        </w:rPr>
        <w:t>המהר"ם מרוטנבורג</w:t>
      </w:r>
      <w:r>
        <w:rPr>
          <w:rFonts w:hint="cs"/>
          <w:rtl/>
        </w:rPr>
        <w:t xml:space="preserve"> דמשמע דאף שהחתיכות מותרות מ"מ הרוטב </w:t>
      </w:r>
      <w:r w:rsidRPr="006777CD">
        <w:rPr>
          <w:rFonts w:hint="cs"/>
          <w:rtl/>
        </w:rPr>
        <w:t xml:space="preserve">אסור. </w:t>
      </w:r>
      <w:r w:rsidRPr="00507ABD">
        <w:rPr>
          <w:rStyle w:val="afa"/>
          <w:rFonts w:hint="cs"/>
          <w:rtl/>
        </w:rPr>
        <w:t xml:space="preserve">[ועי' בדברי </w:t>
      </w:r>
      <w:r w:rsidRPr="00507ABD">
        <w:rPr>
          <w:rStyle w:val="affa"/>
          <w:rFonts w:hint="cs"/>
          <w:rtl/>
        </w:rPr>
        <w:t>הרשב"א בתשו'</w:t>
      </w:r>
      <w:r w:rsidRPr="00507ABD">
        <w:rPr>
          <w:rStyle w:val="afa"/>
          <w:rFonts w:hint="cs"/>
          <w:rtl/>
        </w:rPr>
        <w:t xml:space="preserve"> </w:t>
      </w:r>
      <w:r w:rsidRPr="00507ABD">
        <w:rPr>
          <w:rStyle w:val="aff6"/>
          <w:rFonts w:hint="cs"/>
          <w:rtl/>
        </w:rPr>
        <w:t xml:space="preserve">(עי' אות </w:t>
      </w:r>
      <w:r w:rsidRPr="00761600">
        <w:rPr>
          <w:rStyle w:val="aff6"/>
          <w:rtl/>
        </w:rPr>
        <w:fldChar w:fldCharType="begin"/>
      </w:r>
      <w:r w:rsidRPr="00761600">
        <w:rPr>
          <w:rStyle w:val="aff6"/>
          <w:rtl/>
        </w:rPr>
        <w:instrText xml:space="preserve"> </w:instrText>
      </w:r>
      <w:r w:rsidRPr="00761600">
        <w:rPr>
          <w:rStyle w:val="aff6"/>
          <w:rFonts w:hint="cs"/>
        </w:rPr>
        <w:instrText>REF</w:instrText>
      </w:r>
      <w:r w:rsidRPr="00761600">
        <w:rPr>
          <w:rStyle w:val="aff6"/>
          <w:rFonts w:hint="cs"/>
          <w:rtl/>
        </w:rPr>
        <w:instrText xml:space="preserve"> _</w:instrText>
      </w:r>
      <w:r w:rsidRPr="00761600">
        <w:rPr>
          <w:rStyle w:val="aff6"/>
          <w:rFonts w:hint="cs"/>
        </w:rPr>
        <w:instrText>Ref24562737 \r \h</w:instrText>
      </w:r>
      <w:r w:rsidRPr="00761600">
        <w:rPr>
          <w:rStyle w:val="aff6"/>
          <w:rtl/>
        </w:rPr>
        <w:instrText xml:space="preserve"> </w:instrText>
      </w:r>
      <w:r w:rsidRPr="00761600">
        <w:rPr>
          <w:rStyle w:val="aff6"/>
          <w:rtl/>
        </w:rPr>
      </w:r>
      <w:r w:rsidRPr="00761600">
        <w:rPr>
          <w:rStyle w:val="aff6"/>
          <w:rtl/>
        </w:rPr>
        <w:fldChar w:fldCharType="separate"/>
      </w:r>
      <w:r w:rsidR="004D1C5B">
        <w:rPr>
          <w:rStyle w:val="aff6"/>
          <w:cs/>
        </w:rPr>
        <w:t>‎</w:t>
      </w:r>
      <w:r w:rsidR="004D1C5B">
        <w:rPr>
          <w:rStyle w:val="aff6"/>
          <w:rtl/>
        </w:rPr>
        <w:t>יד)</w:t>
      </w:r>
      <w:r w:rsidRPr="00761600">
        <w:rPr>
          <w:rStyle w:val="aff6"/>
          <w:rtl/>
        </w:rPr>
        <w:fldChar w:fldCharType="end"/>
      </w:r>
      <w:r w:rsidRPr="00507ABD">
        <w:rPr>
          <w:rStyle w:val="afa"/>
          <w:rFonts w:hint="cs"/>
          <w:rtl/>
        </w:rPr>
        <w:t xml:space="preserve"> דהוכיח מקושית הגמ' דבחזר ובישל אסור, וא"א לומר שהאיסור נהפך להיתר].</w:t>
      </w:r>
    </w:p>
    <w:p w:rsidR="00F13472" w:rsidRPr="00160726" w:rsidRDefault="00F13472" w:rsidP="00F13472">
      <w:pPr>
        <w:pStyle w:val="a2"/>
        <w:rPr>
          <w:rtl/>
        </w:rPr>
      </w:pPr>
      <w:bookmarkStart w:id="14107" w:name="_Toc24576819"/>
      <w:bookmarkStart w:id="14108" w:name="_Toc24709381"/>
      <w:bookmarkStart w:id="14109" w:name="_Toc24838973"/>
      <w:bookmarkStart w:id="14110" w:name="_Toc24918066"/>
      <w:bookmarkStart w:id="14111" w:name="_Toc24918277"/>
      <w:r>
        <w:rPr>
          <w:rFonts w:hint="cs"/>
          <w:rtl/>
        </w:rPr>
        <w:t>התי' הא' במהר"ם מרוטבורג ובתורא"ש דקושית הגמ' דאף הרוטב מותר דהאיסור התבטל ביבש</w:t>
      </w:r>
      <w:bookmarkEnd w:id="14107"/>
      <w:bookmarkEnd w:id="14108"/>
      <w:bookmarkEnd w:id="14109"/>
      <w:bookmarkEnd w:id="14110"/>
      <w:bookmarkEnd w:id="14111"/>
    </w:p>
    <w:p w:rsidR="00F13472" w:rsidRDefault="00F13472" w:rsidP="009F44AF">
      <w:pPr>
        <w:pStyle w:val="a"/>
        <w:rPr>
          <w:rtl/>
        </w:rPr>
      </w:pPr>
      <w:bookmarkStart w:id="14112" w:name="_Ref24562752"/>
      <w:r>
        <w:rPr>
          <w:rFonts w:hint="cs"/>
          <w:rtl/>
        </w:rPr>
        <w:t xml:space="preserve">ותירצו </w:t>
      </w:r>
      <w:r w:rsidRPr="00073F0A">
        <w:rPr>
          <w:rStyle w:val="af8"/>
          <w:rFonts w:hint="cs"/>
          <w:rtl/>
        </w:rPr>
        <w:t>המהר"ם מרוטנבורג בתשו'</w:t>
      </w:r>
      <w:r>
        <w:rPr>
          <w:rStyle w:val="af8"/>
          <w:rFonts w:hint="cs"/>
          <w:rtl/>
        </w:rPr>
        <w:t xml:space="preserve"> והתוס' הרא"ש </w:t>
      </w:r>
      <w:r w:rsidRPr="00FA5C07">
        <w:rPr>
          <w:rStyle w:val="af6"/>
          <w:rFonts w:eastAsia="Guttman Hodes" w:hint="cs"/>
          <w:rtl/>
        </w:rPr>
        <w:t xml:space="preserve">(ד"ה וליבטליה) </w:t>
      </w:r>
      <w:r>
        <w:rPr>
          <w:rFonts w:hint="cs"/>
          <w:rtl/>
        </w:rPr>
        <w:t>דאפש"ל דהגמ' באמת מקשה גם על הסיפא, דאמאי החתיכות אינם מותרות, וכן היאך הם אוסרות את הרוטב, אחר שהותרו בביטול ברוב, והאיסור נהפך להיתר, ומותר באכילה ופליטתו אינה אוסרת.</w:t>
      </w:r>
      <w:bookmarkEnd w:id="14112"/>
    </w:p>
    <w:p w:rsidR="00F13472" w:rsidRPr="00507ABD" w:rsidRDefault="00F13472" w:rsidP="00F13472">
      <w:pPr>
        <w:pStyle w:val="a2"/>
        <w:rPr>
          <w:rtl/>
        </w:rPr>
      </w:pPr>
      <w:bookmarkStart w:id="14113" w:name="_Toc24576820"/>
      <w:bookmarkStart w:id="14114" w:name="_Toc24709382"/>
      <w:bookmarkStart w:id="14115" w:name="_Toc24838974"/>
      <w:bookmarkStart w:id="14116" w:name="_Toc24918067"/>
      <w:bookmarkStart w:id="14117" w:name="_Toc24918278"/>
      <w:r>
        <w:rPr>
          <w:rFonts w:hint="cs"/>
          <w:rtl/>
        </w:rPr>
        <w:t>התי' הב' במהר"ם מרוטנבורג ובתוס' הרא"ש דההיתר בחזר ובישל הוא רק בנודעה התערובת</w:t>
      </w:r>
      <w:bookmarkEnd w:id="14113"/>
      <w:bookmarkEnd w:id="14114"/>
      <w:bookmarkEnd w:id="14115"/>
      <w:bookmarkEnd w:id="14116"/>
      <w:bookmarkEnd w:id="14117"/>
    </w:p>
    <w:p w:rsidR="00F13472" w:rsidRPr="00E95782" w:rsidRDefault="00F13472" w:rsidP="009F44AF">
      <w:pPr>
        <w:pStyle w:val="a"/>
        <w:rPr>
          <w:rStyle w:val="afa"/>
          <w:rtl/>
        </w:rPr>
      </w:pPr>
      <w:r>
        <w:rPr>
          <w:rFonts w:hint="cs"/>
          <w:rtl/>
        </w:rPr>
        <w:t xml:space="preserve">ועוד תירצו </w:t>
      </w:r>
      <w:r w:rsidRPr="00073F0A">
        <w:rPr>
          <w:rStyle w:val="af8"/>
          <w:rFonts w:hint="cs"/>
          <w:rtl/>
        </w:rPr>
        <w:t>המהר"ם מרוטנבורג בתשו'</w:t>
      </w:r>
      <w:r>
        <w:rPr>
          <w:rStyle w:val="af8"/>
          <w:rFonts w:hint="cs"/>
          <w:rtl/>
        </w:rPr>
        <w:t xml:space="preserve"> והתוס' הרא"ש </w:t>
      </w:r>
      <w:r>
        <w:rPr>
          <w:rFonts w:hint="cs"/>
          <w:rtl/>
        </w:rPr>
        <w:t xml:space="preserve">דדוקא במקום שנודעה התערובת לפני שחזר ובישלה, אינו חוזר ונאסר בבישול, דכיון שנקרא עליו שם היתר והאיסור מותר לאכילה, אינו חוזר ונאסר בבישול, אבל במקום שלא נודעה התערובת, לפני שבישלו פליטת האיסור אוסרתו, דמין במינו בלח בשישים. </w:t>
      </w:r>
      <w:r w:rsidRPr="00E95782">
        <w:rPr>
          <w:rStyle w:val="afa"/>
          <w:rFonts w:hint="cs"/>
          <w:rtl/>
        </w:rPr>
        <w:t>[וא"כ קושית הגמ' היא באופן שלא נודעה התערובת, דבכה"ג הרוטב אסור, וקשה רק על החתיכות].</w:t>
      </w:r>
    </w:p>
    <w:p w:rsidR="00F13472" w:rsidRPr="00E95782" w:rsidRDefault="00F13472" w:rsidP="00F13472">
      <w:pPr>
        <w:pStyle w:val="a2"/>
        <w:rPr>
          <w:rtl/>
        </w:rPr>
      </w:pPr>
      <w:bookmarkStart w:id="14118" w:name="_Toc24576821"/>
      <w:bookmarkStart w:id="14119" w:name="_Toc24709383"/>
      <w:bookmarkStart w:id="14120" w:name="_Toc24838975"/>
      <w:bookmarkStart w:id="14121" w:name="_Toc24918068"/>
      <w:bookmarkStart w:id="14122" w:name="_Toc24918279"/>
      <w:r>
        <w:rPr>
          <w:rFonts w:hint="cs"/>
          <w:rtl/>
        </w:rPr>
        <w:t xml:space="preserve">דברי </w:t>
      </w:r>
      <w:r w:rsidRPr="00E95782">
        <w:rPr>
          <w:rtl/>
        </w:rPr>
        <w:t>התוס' הרא"ש</w:t>
      </w:r>
      <w:r>
        <w:rPr>
          <w:rFonts w:hint="cs"/>
          <w:rtl/>
        </w:rPr>
        <w:t xml:space="preserve"> דבהוציא את החתיכות אחר הבישול ונודעה התערובת הם בטלות ברוב</w:t>
      </w:r>
      <w:bookmarkEnd w:id="14118"/>
      <w:bookmarkEnd w:id="14119"/>
      <w:bookmarkEnd w:id="14120"/>
      <w:bookmarkEnd w:id="14121"/>
      <w:bookmarkEnd w:id="14122"/>
    </w:p>
    <w:p w:rsidR="00F13472" w:rsidRDefault="00F13472" w:rsidP="009F44AF">
      <w:pPr>
        <w:pStyle w:val="a"/>
        <w:rPr>
          <w:rStyle w:val="afa"/>
          <w:rtl/>
        </w:rPr>
      </w:pPr>
      <w:r>
        <w:rPr>
          <w:rFonts w:hint="cs"/>
          <w:rtl/>
        </w:rPr>
        <w:t xml:space="preserve">והוסיפו </w:t>
      </w:r>
      <w:r w:rsidRPr="00073F0A">
        <w:rPr>
          <w:rStyle w:val="af8"/>
          <w:rFonts w:hint="cs"/>
          <w:rtl/>
        </w:rPr>
        <w:t>המהר"ם מרוטנבורג בתשו'</w:t>
      </w:r>
      <w:r>
        <w:rPr>
          <w:rStyle w:val="af8"/>
          <w:rFonts w:hint="cs"/>
          <w:rtl/>
        </w:rPr>
        <w:t xml:space="preserve"> והתוס' הרא"ש </w:t>
      </w:r>
      <w:r>
        <w:rPr>
          <w:rFonts w:hint="cs"/>
          <w:rtl/>
        </w:rPr>
        <w:t xml:space="preserve">דבלא נודעה התערובת לפני שבישלה, ואחר הבישול הוציא את החתיכות מהרוטב, ונודעה התערובת, דהרוטב שנאסר ישאר באיסורו, אבל החתיכות בטלות ברוב. </w:t>
      </w:r>
      <w:r w:rsidRPr="00ED3152">
        <w:rPr>
          <w:rStyle w:val="afa"/>
          <w:rFonts w:hint="cs"/>
          <w:rtl/>
        </w:rPr>
        <w:t xml:space="preserve">[ועי' </w:t>
      </w:r>
      <w:r w:rsidRPr="0015225B">
        <w:rPr>
          <w:rStyle w:val="affa"/>
          <w:rFonts w:hint="cs"/>
          <w:rtl/>
        </w:rPr>
        <w:t>במהר"ם מרוטנבורג</w:t>
      </w:r>
      <w:r w:rsidRPr="0015225B">
        <w:rPr>
          <w:rStyle w:val="afa"/>
          <w:rFonts w:hint="cs"/>
          <w:rtl/>
        </w:rPr>
        <w:t xml:space="preserve"> </w:t>
      </w:r>
      <w:r>
        <w:rPr>
          <w:rStyle w:val="afa"/>
          <w:rFonts w:hint="cs"/>
          <w:rtl/>
        </w:rPr>
        <w:t>דכתב</w:t>
      </w:r>
      <w:r w:rsidRPr="0015225B">
        <w:rPr>
          <w:rStyle w:val="afa"/>
          <w:rFonts w:hint="cs"/>
          <w:rtl/>
        </w:rPr>
        <w:t xml:space="preserve"> </w:t>
      </w:r>
      <w:r>
        <w:rPr>
          <w:rStyle w:val="afa"/>
          <w:rFonts w:hint="cs"/>
          <w:rtl/>
        </w:rPr>
        <w:t>שהחתיכות י</w:t>
      </w:r>
      <w:r w:rsidRPr="0015225B">
        <w:rPr>
          <w:rStyle w:val="afa"/>
          <w:rFonts w:hint="cs"/>
          <w:rtl/>
        </w:rPr>
        <w:t>תבטל</w:t>
      </w:r>
      <w:r>
        <w:rPr>
          <w:rStyle w:val="afa"/>
          <w:rFonts w:hint="cs"/>
          <w:rtl/>
        </w:rPr>
        <w:t>ו</w:t>
      </w:r>
      <w:r w:rsidRPr="0015225B">
        <w:rPr>
          <w:rStyle w:val="afa"/>
          <w:rFonts w:hint="cs"/>
          <w:rtl/>
        </w:rPr>
        <w:t xml:space="preserve"> בשישים, וצ"ב כוונתו</w:t>
      </w:r>
      <w:r>
        <w:rPr>
          <w:rStyle w:val="afa"/>
          <w:rFonts w:hint="cs"/>
          <w:rtl/>
        </w:rPr>
        <w:t>, ועי'</w:t>
      </w:r>
      <w:r w:rsidRPr="00ED3152">
        <w:rPr>
          <w:rStyle w:val="afa"/>
          <w:rFonts w:hint="cs"/>
          <w:rtl/>
        </w:rPr>
        <w:t xml:space="preserve"> במ"ש </w:t>
      </w:r>
      <w:r w:rsidRPr="00ED3152">
        <w:rPr>
          <w:rStyle w:val="affa"/>
          <w:rFonts w:hint="cs"/>
          <w:rtl/>
        </w:rPr>
        <w:t>הרשב"א בחי'</w:t>
      </w:r>
      <w:r w:rsidRPr="00ED3152">
        <w:rPr>
          <w:rStyle w:val="afa"/>
          <w:rFonts w:hint="cs"/>
          <w:rtl/>
        </w:rPr>
        <w:t xml:space="preserve"> </w:t>
      </w:r>
      <w:r w:rsidRPr="00ED3152">
        <w:rPr>
          <w:rStyle w:val="aff6"/>
          <w:rFonts w:hint="cs"/>
          <w:rtl/>
        </w:rPr>
        <w:t xml:space="preserve">(עי' אות </w:t>
      </w:r>
      <w:r w:rsidRPr="00ED3152">
        <w:rPr>
          <w:rStyle w:val="aff6"/>
          <w:rtl/>
        </w:rPr>
        <w:fldChar w:fldCharType="begin"/>
      </w:r>
      <w:r w:rsidRPr="00ED3152">
        <w:rPr>
          <w:rStyle w:val="aff6"/>
          <w:rtl/>
        </w:rPr>
        <w:instrText xml:space="preserve"> </w:instrText>
      </w:r>
      <w:r w:rsidRPr="00ED3152">
        <w:rPr>
          <w:rStyle w:val="aff6"/>
          <w:rFonts w:hint="cs"/>
        </w:rPr>
        <w:instrText>REF</w:instrText>
      </w:r>
      <w:r w:rsidRPr="00ED3152">
        <w:rPr>
          <w:rStyle w:val="aff6"/>
          <w:rFonts w:hint="cs"/>
          <w:rtl/>
        </w:rPr>
        <w:instrText xml:space="preserve"> _</w:instrText>
      </w:r>
      <w:r w:rsidRPr="00ED3152">
        <w:rPr>
          <w:rStyle w:val="aff6"/>
          <w:rFonts w:hint="cs"/>
        </w:rPr>
        <w:instrText>Ref24563540 \r \h</w:instrText>
      </w:r>
      <w:r w:rsidRPr="00ED3152">
        <w:rPr>
          <w:rStyle w:val="aff6"/>
          <w:rtl/>
        </w:rPr>
        <w:instrText xml:space="preserve"> </w:instrText>
      </w:r>
      <w:r w:rsidRPr="00ED3152">
        <w:rPr>
          <w:rStyle w:val="aff6"/>
          <w:rtl/>
        </w:rPr>
      </w:r>
      <w:r w:rsidRPr="00ED3152">
        <w:rPr>
          <w:rStyle w:val="aff6"/>
          <w:rtl/>
        </w:rPr>
        <w:fldChar w:fldCharType="separate"/>
      </w:r>
      <w:r w:rsidR="004D1C5B">
        <w:rPr>
          <w:rStyle w:val="aff6"/>
          <w:cs/>
        </w:rPr>
        <w:t>‎</w:t>
      </w:r>
      <w:r w:rsidR="004D1C5B">
        <w:rPr>
          <w:rStyle w:val="aff6"/>
          <w:rtl/>
        </w:rPr>
        <w:t>ג)</w:t>
      </w:r>
      <w:r w:rsidRPr="00ED3152">
        <w:rPr>
          <w:rStyle w:val="aff6"/>
          <w:rtl/>
        </w:rPr>
        <w:fldChar w:fldCharType="end"/>
      </w:r>
      <w:r w:rsidRPr="00ED3152">
        <w:rPr>
          <w:rStyle w:val="afa"/>
          <w:rFonts w:hint="cs"/>
          <w:rtl/>
        </w:rPr>
        <w:t xml:space="preserve"> </w:t>
      </w:r>
      <w:r w:rsidRPr="00ED3152">
        <w:rPr>
          <w:rStyle w:val="affa"/>
          <w:rFonts w:hint="cs"/>
          <w:rtl/>
        </w:rPr>
        <w:t>ובתשו'</w:t>
      </w:r>
      <w:r w:rsidRPr="00ED3152">
        <w:rPr>
          <w:rStyle w:val="afa"/>
          <w:rFonts w:hint="cs"/>
          <w:rtl/>
        </w:rPr>
        <w:t xml:space="preserve"> </w:t>
      </w:r>
      <w:r w:rsidRPr="00ED3152">
        <w:rPr>
          <w:rStyle w:val="aff6"/>
          <w:rFonts w:hint="cs"/>
          <w:rtl/>
        </w:rPr>
        <w:t xml:space="preserve">(עי' אות </w:t>
      </w:r>
      <w:r w:rsidRPr="00ED3152">
        <w:rPr>
          <w:rStyle w:val="aff6"/>
          <w:rtl/>
        </w:rPr>
        <w:fldChar w:fldCharType="begin"/>
      </w:r>
      <w:r w:rsidRPr="00ED3152">
        <w:rPr>
          <w:rStyle w:val="aff6"/>
          <w:rtl/>
        </w:rPr>
        <w:instrText xml:space="preserve"> </w:instrText>
      </w:r>
      <w:r w:rsidRPr="00ED3152">
        <w:rPr>
          <w:rStyle w:val="aff6"/>
          <w:rFonts w:hint="cs"/>
        </w:rPr>
        <w:instrText>REF</w:instrText>
      </w:r>
      <w:r w:rsidRPr="00ED3152">
        <w:rPr>
          <w:rStyle w:val="aff6"/>
          <w:rFonts w:hint="cs"/>
          <w:rtl/>
        </w:rPr>
        <w:instrText xml:space="preserve"> _</w:instrText>
      </w:r>
      <w:r w:rsidRPr="00ED3152">
        <w:rPr>
          <w:rStyle w:val="aff6"/>
          <w:rFonts w:hint="cs"/>
        </w:rPr>
        <w:instrText>Ref24562737 \r \h</w:instrText>
      </w:r>
      <w:r w:rsidRPr="00ED3152">
        <w:rPr>
          <w:rStyle w:val="aff6"/>
          <w:rtl/>
        </w:rPr>
        <w:instrText xml:space="preserve"> </w:instrText>
      </w:r>
      <w:r w:rsidRPr="00ED3152">
        <w:rPr>
          <w:rStyle w:val="aff6"/>
          <w:rtl/>
        </w:rPr>
      </w:r>
      <w:r w:rsidRPr="00ED3152">
        <w:rPr>
          <w:rStyle w:val="aff6"/>
          <w:rtl/>
        </w:rPr>
        <w:fldChar w:fldCharType="separate"/>
      </w:r>
      <w:r w:rsidR="004D1C5B">
        <w:rPr>
          <w:rStyle w:val="aff6"/>
          <w:cs/>
        </w:rPr>
        <w:t>‎</w:t>
      </w:r>
      <w:r w:rsidR="004D1C5B">
        <w:rPr>
          <w:rStyle w:val="aff6"/>
          <w:rtl/>
        </w:rPr>
        <w:t>יד)</w:t>
      </w:r>
      <w:r w:rsidRPr="00ED3152">
        <w:rPr>
          <w:rStyle w:val="aff6"/>
          <w:rtl/>
        </w:rPr>
        <w:fldChar w:fldCharType="end"/>
      </w:r>
      <w:r w:rsidRPr="00ED3152">
        <w:rPr>
          <w:rStyle w:val="afa"/>
          <w:rFonts w:hint="cs"/>
          <w:rtl/>
        </w:rPr>
        <w:t xml:space="preserve"> דאף החתיכות נאסרו</w:t>
      </w:r>
      <w:r>
        <w:rPr>
          <w:rStyle w:val="afa"/>
          <w:rFonts w:hint="cs"/>
          <w:rtl/>
        </w:rPr>
        <w:t>,</w:t>
      </w:r>
      <w:r w:rsidRPr="00ED3152">
        <w:rPr>
          <w:rStyle w:val="afa"/>
          <w:rFonts w:hint="cs"/>
          <w:rtl/>
        </w:rPr>
        <w:t xml:space="preserve"> מחמת הרוטב והמיחוי של חתיכת האיסור שנבלע בהם].</w:t>
      </w:r>
    </w:p>
    <w:p w:rsidR="00F13472" w:rsidRPr="00E316A6" w:rsidRDefault="00F13472" w:rsidP="00F13472">
      <w:pPr>
        <w:pStyle w:val="1"/>
        <w:rPr>
          <w:rtl/>
        </w:rPr>
      </w:pPr>
      <w:bookmarkStart w:id="14123" w:name="_Toc24576822"/>
      <w:bookmarkStart w:id="14124" w:name="_Toc24709384"/>
      <w:bookmarkStart w:id="14125" w:name="_Toc24838976"/>
      <w:bookmarkStart w:id="14126" w:name="_Toc24918069"/>
      <w:bookmarkStart w:id="14127" w:name="_Toc24918280"/>
      <w:r>
        <w:rPr>
          <w:rFonts w:hint="cs"/>
          <w:rtl/>
        </w:rPr>
        <w:t>הוכחת הרא"ש מהמשנה בתרומות דהידיעה גורמת את ההיתר</w:t>
      </w:r>
      <w:bookmarkEnd w:id="14123"/>
      <w:bookmarkEnd w:id="14124"/>
      <w:bookmarkEnd w:id="14125"/>
      <w:bookmarkEnd w:id="14126"/>
      <w:bookmarkEnd w:id="14127"/>
    </w:p>
    <w:p w:rsidR="00F13472" w:rsidRDefault="00F13472" w:rsidP="00F13472">
      <w:pPr>
        <w:pStyle w:val="a2"/>
        <w:rPr>
          <w:rtl/>
        </w:rPr>
      </w:pPr>
      <w:bookmarkStart w:id="14128" w:name="_Toc24576823"/>
      <w:bookmarkStart w:id="14129" w:name="_Toc24709385"/>
      <w:bookmarkStart w:id="14130" w:name="_Toc24838977"/>
      <w:bookmarkStart w:id="14131" w:name="_Toc24918070"/>
      <w:bookmarkStart w:id="14132" w:name="_Toc24918281"/>
      <w:r>
        <w:rPr>
          <w:rFonts w:hint="cs"/>
          <w:rtl/>
        </w:rPr>
        <w:t>דברי הרא"ש דבתרומה רק בנודעה התערובת ס"ל לר"ש חשיב שהתרומה כבר הורמה</w:t>
      </w:r>
      <w:bookmarkEnd w:id="14128"/>
      <w:bookmarkEnd w:id="14129"/>
      <w:bookmarkEnd w:id="14130"/>
      <w:bookmarkEnd w:id="14131"/>
      <w:bookmarkEnd w:id="14132"/>
    </w:p>
    <w:p w:rsidR="00F13472" w:rsidRDefault="00F13472" w:rsidP="009F44AF">
      <w:pPr>
        <w:pStyle w:val="a"/>
        <w:rPr>
          <w:sz w:val="10"/>
          <w:szCs w:val="14"/>
          <w:rtl/>
        </w:rPr>
      </w:pPr>
      <w:r>
        <w:rPr>
          <w:rFonts w:hint="cs"/>
          <w:rtl/>
        </w:rPr>
        <w:t xml:space="preserve">והביא </w:t>
      </w:r>
      <w:r w:rsidRPr="006A6FE4">
        <w:rPr>
          <w:rStyle w:val="af8"/>
          <w:rFonts w:hint="cs"/>
          <w:rtl/>
        </w:rPr>
        <w:t>הרא"ש</w:t>
      </w:r>
      <w:r>
        <w:rPr>
          <w:rFonts w:hint="cs"/>
          <w:rtl/>
        </w:rPr>
        <w:t xml:space="preserve"> ראיה שיש חילוק בין אם נודעה התערובת לפני הביטול, לנודעה לאחר הביטול, מהמשנה בתרומות </w:t>
      </w:r>
      <w:r w:rsidRPr="0005211C">
        <w:rPr>
          <w:rStyle w:val="af6"/>
          <w:rFonts w:eastAsia="Guttman Hodes" w:hint="cs"/>
          <w:rtl/>
        </w:rPr>
        <w:t>(פ"ה מ"ח)</w:t>
      </w:r>
      <w:r>
        <w:rPr>
          <w:rFonts w:hint="cs"/>
          <w:rtl/>
        </w:rPr>
        <w:t xml:space="preserve"> דסאה של תרומה שנפלה לתוך מאה, ולא הספיק להגביה סאה מתוך התערובת, ונפלה סאה נוספת לתערובת, דהיא אסורה, </w:t>
      </w:r>
      <w:r w:rsidRPr="00063E9F">
        <w:rPr>
          <w:rStyle w:val="afa"/>
          <w:rFonts w:hint="cs"/>
          <w:rtl/>
        </w:rPr>
        <w:t xml:space="preserve">[ופירש </w:t>
      </w:r>
      <w:r w:rsidRPr="00063E9F">
        <w:rPr>
          <w:rStyle w:val="affa"/>
          <w:rFonts w:hint="cs"/>
          <w:rtl/>
        </w:rPr>
        <w:t>הרע"ב</w:t>
      </w:r>
      <w:r w:rsidRPr="00063E9F">
        <w:rPr>
          <w:rStyle w:val="afa"/>
          <w:rFonts w:hint="cs"/>
          <w:rtl/>
        </w:rPr>
        <w:t xml:space="preserve"> דחשיב שנפלו שניהם בבת אחת, ויש פחות ממאה בחולין],</w:t>
      </w:r>
      <w:r>
        <w:rPr>
          <w:rFonts w:hint="cs"/>
          <w:rtl/>
        </w:rPr>
        <w:t xml:space="preserve"> ור"ש מתיר, והביא </w:t>
      </w:r>
      <w:r w:rsidRPr="00967CA9">
        <w:rPr>
          <w:rStyle w:val="af8"/>
          <w:rFonts w:hint="cs"/>
          <w:rtl/>
        </w:rPr>
        <w:t>הרא"ש</w:t>
      </w:r>
      <w:r>
        <w:rPr>
          <w:rFonts w:hint="cs"/>
          <w:rtl/>
        </w:rPr>
        <w:t xml:space="preserve"> את ביאור הירושלמי בתרומות </w:t>
      </w:r>
      <w:r w:rsidRPr="006A6FE4">
        <w:rPr>
          <w:rStyle w:val="af6"/>
          <w:rFonts w:eastAsia="Guttman Hodes" w:hint="cs"/>
          <w:rtl/>
        </w:rPr>
        <w:t xml:space="preserve">(פ"ה ה"ב, כט:) </w:t>
      </w:r>
      <w:r>
        <w:rPr>
          <w:rFonts w:hint="cs"/>
          <w:rtl/>
        </w:rPr>
        <w:t xml:space="preserve">דר"ש אומר דידיעתה מקדשתה, ורבנן אמרי דהרמתה מקדשתה, וביאר </w:t>
      </w:r>
      <w:r w:rsidRPr="009014DD">
        <w:rPr>
          <w:rStyle w:val="af8"/>
          <w:rFonts w:hint="cs"/>
          <w:rtl/>
        </w:rPr>
        <w:t>הרא"ש</w:t>
      </w:r>
      <w:r>
        <w:rPr>
          <w:rFonts w:hint="cs"/>
          <w:rtl/>
        </w:rPr>
        <w:t xml:space="preserve"> דרבנן ס"ל דלא אמרינן דסופו להרים כמי שהרים דמי, ולכן ב' הסאות מצטרפות יחד, וחשיב שנפלו יחד לתוך המאה, ובדעת ר"ש ביאר </w:t>
      </w:r>
      <w:r w:rsidRPr="009014DD">
        <w:rPr>
          <w:rStyle w:val="af8"/>
          <w:rFonts w:hint="cs"/>
          <w:rtl/>
        </w:rPr>
        <w:t>הרא"ש</w:t>
      </w:r>
      <w:r>
        <w:rPr>
          <w:rFonts w:hint="cs"/>
          <w:rtl/>
        </w:rPr>
        <w:t xml:space="preserve"> דכל שלא נודע לו שנפלה הסאה הראשונה לפני שנפלה הסאה השניה אסור, אבל אם נודע לו כשנפלה הראשונה, ואח"כ נפלה השניה מותר, דכיון שנודע לו וסופו להרים סאה מתוך התערובת, חשיב כמי שהרים ומותר. </w:t>
      </w:r>
      <w:r w:rsidRPr="00CD6D5F">
        <w:rPr>
          <w:rStyle w:val="afa"/>
          <w:rFonts w:hint="cs"/>
          <w:rtl/>
        </w:rPr>
        <w:t>[דר"ש לטעמיה דכל העומד ליזרק כזרוק דמי]</w:t>
      </w:r>
      <w:r>
        <w:rPr>
          <w:rStyle w:val="afa"/>
          <w:rFonts w:hint="cs"/>
          <w:rtl/>
        </w:rPr>
        <w:t>.</w:t>
      </w:r>
    </w:p>
    <w:p w:rsidR="00F13472" w:rsidRPr="003E1D74" w:rsidRDefault="00F13472" w:rsidP="00F13472">
      <w:pPr>
        <w:pStyle w:val="a2"/>
      </w:pPr>
      <w:bookmarkStart w:id="14133" w:name="_Toc24576824"/>
      <w:bookmarkStart w:id="14134" w:name="_Toc24709386"/>
      <w:bookmarkStart w:id="14135" w:name="_Toc24838978"/>
      <w:bookmarkStart w:id="14136" w:name="_Toc24918071"/>
      <w:bookmarkStart w:id="14137" w:name="_Toc24918282"/>
      <w:r>
        <w:rPr>
          <w:rFonts w:hint="cs"/>
          <w:rtl/>
        </w:rPr>
        <w:t>דברי הרא"ש דמבואר בר"ש שהידיעה שנפלה תרומה לחולין היא גורמת היתר דחשיב שהורמה</w:t>
      </w:r>
      <w:bookmarkEnd w:id="14133"/>
      <w:bookmarkEnd w:id="14134"/>
      <w:bookmarkEnd w:id="14135"/>
      <w:bookmarkEnd w:id="14136"/>
      <w:bookmarkEnd w:id="14137"/>
    </w:p>
    <w:p w:rsidR="007A5AFC" w:rsidRDefault="00F13472" w:rsidP="009F44AF">
      <w:pPr>
        <w:pStyle w:val="a"/>
        <w:rPr>
          <w:rStyle w:val="afa"/>
          <w:rtl/>
        </w:rPr>
      </w:pPr>
      <w:r>
        <w:rPr>
          <w:rFonts w:hint="cs"/>
          <w:rtl/>
        </w:rPr>
        <w:t xml:space="preserve">וכתב </w:t>
      </w:r>
      <w:r w:rsidRPr="009014DD">
        <w:rPr>
          <w:rStyle w:val="af8"/>
          <w:rFonts w:hint="cs"/>
          <w:rtl/>
        </w:rPr>
        <w:t>הרא"ש</w:t>
      </w:r>
      <w:r>
        <w:rPr>
          <w:rFonts w:hint="cs"/>
          <w:rtl/>
        </w:rPr>
        <w:t xml:space="preserve"> דמדברי ר"ש מבואר דכיון שנודע לו שנפלה הסאה הראשונה חשיב שהרימה מתוך המאה והכל מותר, אבל לפני שנודעה לו שנפלה הסאה לא התיר ר"ש. </w:t>
      </w:r>
      <w:r w:rsidRPr="009014DD">
        <w:rPr>
          <w:rStyle w:val="afa"/>
          <w:rFonts w:hint="cs"/>
          <w:rtl/>
        </w:rPr>
        <w:t>[ולא אמרינן דכיון שהתערבה סאה של תרומה במאה חולין, וסופו להרים כשיוודע לו שנפלה, דחשיב כמי שהורמה</w:t>
      </w:r>
      <w:r>
        <w:rPr>
          <w:rStyle w:val="afa"/>
          <w:rFonts w:hint="cs"/>
          <w:rtl/>
        </w:rPr>
        <w:t xml:space="preserve">, אף לפני </w:t>
      </w:r>
      <w:r w:rsidRPr="007D1590">
        <w:rPr>
          <w:rStyle w:val="afa"/>
          <w:rFonts w:hint="cs"/>
          <w:rtl/>
        </w:rPr>
        <w:t>שנודע לו].</w:t>
      </w:r>
    </w:p>
    <w:p w:rsidR="00F13472" w:rsidRPr="007D1590" w:rsidRDefault="00F13472" w:rsidP="00F13472">
      <w:pPr>
        <w:pStyle w:val="a2"/>
      </w:pPr>
      <w:bookmarkStart w:id="14138" w:name="_Toc24576825"/>
      <w:bookmarkStart w:id="14139" w:name="_Toc24709387"/>
      <w:bookmarkStart w:id="14140" w:name="_Toc24838979"/>
      <w:bookmarkStart w:id="14141" w:name="_Toc24918072"/>
      <w:bookmarkStart w:id="14142" w:name="_Toc24918283"/>
      <w:r w:rsidRPr="007D1590">
        <w:rPr>
          <w:rFonts w:hint="cs"/>
          <w:rtl/>
        </w:rPr>
        <w:lastRenderedPageBreak/>
        <w:t>דברי הרא"ש דמר"ש בתרומה שצריכה הרמה נלמד לשאר איסורים דהידיעה גורמת היתר ביטול</w:t>
      </w:r>
      <w:bookmarkEnd w:id="14138"/>
      <w:bookmarkEnd w:id="14139"/>
      <w:bookmarkEnd w:id="14140"/>
      <w:bookmarkEnd w:id="14141"/>
      <w:bookmarkEnd w:id="14142"/>
    </w:p>
    <w:p w:rsidR="00F13472" w:rsidRPr="007D1590" w:rsidRDefault="00F13472" w:rsidP="009F44AF">
      <w:pPr>
        <w:pStyle w:val="a"/>
        <w:rPr>
          <w:rtl/>
        </w:rPr>
      </w:pPr>
      <w:r w:rsidRPr="007D1590">
        <w:rPr>
          <w:rFonts w:hint="cs"/>
          <w:rtl/>
        </w:rPr>
        <w:t xml:space="preserve">וכתב </w:t>
      </w:r>
      <w:r w:rsidRPr="007D1590">
        <w:rPr>
          <w:rStyle w:val="af8"/>
          <w:rFonts w:hint="cs"/>
          <w:rtl/>
        </w:rPr>
        <w:t>הרא"ש</w:t>
      </w:r>
      <w:r w:rsidRPr="007D1590">
        <w:rPr>
          <w:rFonts w:hint="cs"/>
          <w:rtl/>
        </w:rPr>
        <w:t xml:space="preserve"> דמדברי ר"ש בתרומה שצריך להרים את הסאה שנפלה, </w:t>
      </w:r>
      <w:r w:rsidRPr="007D1590">
        <w:rPr>
          <w:rStyle w:val="afa"/>
          <w:rFonts w:hint="cs"/>
          <w:rtl/>
        </w:rPr>
        <w:t>[מחמת גזל ממון השבט],</w:t>
      </w:r>
      <w:r w:rsidRPr="007D1590">
        <w:rPr>
          <w:rFonts w:hint="cs"/>
          <w:rtl/>
        </w:rPr>
        <w:t xml:space="preserve"> נלמד לדעת רבנן בשאר איסורים שא"צ להרים את האיסור, שהידיעה על נפילת האיסור להיתר היא גורמת את ההיתר, בביטול ברוב. [ועי' במה שהקשו </w:t>
      </w:r>
      <w:r w:rsidRPr="007D1590">
        <w:rPr>
          <w:rStyle w:val="af8"/>
          <w:rFonts w:hint="cs"/>
          <w:rtl/>
        </w:rPr>
        <w:t>ה</w:t>
      </w:r>
      <w:r w:rsidR="00250230">
        <w:rPr>
          <w:rStyle w:val="af8"/>
          <w:rFonts w:hint="cs"/>
          <w:rtl/>
        </w:rPr>
        <w:t>פלתי</w:t>
      </w:r>
      <w:r w:rsidRPr="007D1590">
        <w:rPr>
          <w:rStyle w:val="af8"/>
          <w:rFonts w:hint="cs"/>
          <w:rtl/>
        </w:rPr>
        <w:t xml:space="preserve"> והשער"י והמשנת ר"א</w:t>
      </w:r>
      <w:r w:rsidRPr="007D1590">
        <w:rPr>
          <w:rFonts w:hint="cs"/>
          <w:rtl/>
        </w:rPr>
        <w:t xml:space="preserve"> </w:t>
      </w:r>
      <w:r w:rsidRPr="007D1590">
        <w:rPr>
          <w:rStyle w:val="af6"/>
          <w:rFonts w:eastAsia="Guttman Hodes" w:hint="cs"/>
          <w:rtl/>
        </w:rPr>
        <w:t xml:space="preserve">(יובאו אי"ה בסימן י"ט) </w:t>
      </w:r>
      <w:r w:rsidRPr="007D1590">
        <w:rPr>
          <w:rFonts w:hint="cs"/>
          <w:rtl/>
        </w:rPr>
        <w:t xml:space="preserve">בסתירת דברי </w:t>
      </w:r>
      <w:r w:rsidRPr="007D1590">
        <w:rPr>
          <w:rStyle w:val="af8"/>
          <w:rFonts w:hint="cs"/>
          <w:rtl/>
        </w:rPr>
        <w:t>הרא"ש</w:t>
      </w:r>
      <w:r w:rsidRPr="007D1590">
        <w:rPr>
          <w:rFonts w:hint="cs"/>
          <w:rtl/>
        </w:rPr>
        <w:t xml:space="preserve"> בביאור דברי ר"ש].</w:t>
      </w:r>
    </w:p>
    <w:p w:rsidR="00F13472" w:rsidRPr="008C2744" w:rsidRDefault="00F13472" w:rsidP="00F13472">
      <w:pPr>
        <w:pStyle w:val="1"/>
        <w:rPr>
          <w:rtl/>
        </w:rPr>
      </w:pPr>
      <w:bookmarkStart w:id="14143" w:name="_Toc24576826"/>
      <w:bookmarkStart w:id="14144" w:name="_Toc24709388"/>
      <w:bookmarkStart w:id="14145" w:name="_Toc24838980"/>
      <w:bookmarkStart w:id="14146" w:name="_Toc24918073"/>
      <w:bookmarkStart w:id="14147" w:name="_Toc24918284"/>
      <w:r w:rsidRPr="007D1590">
        <w:rPr>
          <w:rFonts w:hint="cs"/>
          <w:rtl/>
        </w:rPr>
        <w:t>ראית הרא"ש מהגמ' בזבחים</w:t>
      </w:r>
      <w:r w:rsidRPr="008C2744">
        <w:rPr>
          <w:rFonts w:hint="cs"/>
          <w:rtl/>
        </w:rPr>
        <w:t xml:space="preserve"> דידיעת הפסול גורמת היתר ואיסור</w:t>
      </w:r>
      <w:bookmarkEnd w:id="14143"/>
      <w:bookmarkEnd w:id="14144"/>
      <w:bookmarkEnd w:id="14145"/>
      <w:bookmarkEnd w:id="14146"/>
      <w:bookmarkEnd w:id="14147"/>
    </w:p>
    <w:p w:rsidR="00F13472" w:rsidRPr="008C2744" w:rsidRDefault="00F13472" w:rsidP="00F13472">
      <w:pPr>
        <w:pStyle w:val="a2"/>
        <w:rPr>
          <w:rtl/>
        </w:rPr>
      </w:pPr>
      <w:bookmarkStart w:id="14148" w:name="_Toc24576827"/>
      <w:bookmarkStart w:id="14149" w:name="_Toc24709389"/>
      <w:bookmarkStart w:id="14150" w:name="_Toc24838981"/>
      <w:bookmarkStart w:id="14151" w:name="_Toc24918074"/>
      <w:bookmarkStart w:id="14152" w:name="_Toc24918285"/>
      <w:r>
        <w:rPr>
          <w:rFonts w:hint="cs"/>
          <w:rtl/>
        </w:rPr>
        <w:t>דברי הרא"ש דמבואר בזבחים דידיעת הפסול בקרבן היא הגורמת את האיסור אף שנפסל קודם</w:t>
      </w:r>
      <w:bookmarkEnd w:id="14148"/>
      <w:bookmarkEnd w:id="14149"/>
      <w:bookmarkEnd w:id="14150"/>
      <w:bookmarkEnd w:id="14151"/>
      <w:bookmarkEnd w:id="14152"/>
    </w:p>
    <w:p w:rsidR="00F13472" w:rsidRDefault="00F13472" w:rsidP="009F44AF">
      <w:pPr>
        <w:pStyle w:val="a"/>
        <w:rPr>
          <w:rtl/>
        </w:rPr>
      </w:pPr>
      <w:r w:rsidRPr="008C2744">
        <w:rPr>
          <w:rFonts w:hint="cs"/>
          <w:rtl/>
        </w:rPr>
        <w:t>ועוד הביא</w:t>
      </w:r>
      <w:r>
        <w:rPr>
          <w:rFonts w:hint="cs"/>
          <w:rtl/>
        </w:rPr>
        <w:t xml:space="preserve"> </w:t>
      </w:r>
      <w:r w:rsidRPr="00457BB1">
        <w:rPr>
          <w:rStyle w:val="af8"/>
          <w:rFonts w:hint="cs"/>
          <w:rtl/>
        </w:rPr>
        <w:t>הרא"ש</w:t>
      </w:r>
      <w:r>
        <w:rPr>
          <w:rFonts w:hint="cs"/>
          <w:rtl/>
        </w:rPr>
        <w:t xml:space="preserve"> ראיה מהגמ' בזבחים </w:t>
      </w:r>
      <w:r w:rsidRPr="00457BB1">
        <w:rPr>
          <w:rStyle w:val="af6"/>
          <w:rFonts w:eastAsia="Guttman Hodes" w:hint="cs"/>
          <w:rtl/>
        </w:rPr>
        <w:t>(קד.)</w:t>
      </w:r>
      <w:r>
        <w:rPr>
          <w:rFonts w:hint="cs"/>
          <w:rtl/>
        </w:rPr>
        <w:t xml:space="preserve"> דקרבן שנמצא בו טריפה בבני מעיים אחר שהופשט העור ואחר שנזרק דמו, דלדעת רבי הדם מרצה על העור בפנ"ע, כיון שלא נודע לנו הפסול עד לאחר הזריקה, אף שהפסול היה לפני ההפשט ולפני הזריקה, וכתב </w:t>
      </w:r>
      <w:r w:rsidRPr="00457BB1">
        <w:rPr>
          <w:rStyle w:val="af8"/>
          <w:rFonts w:hint="cs"/>
          <w:rtl/>
        </w:rPr>
        <w:t>הרא"ש</w:t>
      </w:r>
      <w:r>
        <w:rPr>
          <w:rFonts w:hint="cs"/>
          <w:rtl/>
        </w:rPr>
        <w:t xml:space="preserve"> דמבואר דידיעת הפסול היא הגורמת את האיסור וההיתר.</w:t>
      </w:r>
    </w:p>
    <w:p w:rsidR="00F13472" w:rsidRPr="00817C94" w:rsidRDefault="00F13472" w:rsidP="00F13472">
      <w:pPr>
        <w:pStyle w:val="afd"/>
        <w:rPr>
          <w:rtl/>
        </w:rPr>
      </w:pPr>
      <w:bookmarkStart w:id="14153" w:name="_Toc24576828"/>
      <w:bookmarkStart w:id="14154" w:name="_Toc24709390"/>
      <w:bookmarkStart w:id="14155" w:name="_Toc24838982"/>
      <w:bookmarkStart w:id="14156" w:name="_Toc24918075"/>
      <w:bookmarkStart w:id="14157" w:name="_Toc24918286"/>
      <w:r>
        <w:rPr>
          <w:rFonts w:hint="cs"/>
          <w:rtl/>
        </w:rPr>
        <w:t>ביאורי האחרונים בדעת הרא"ש</w:t>
      </w:r>
      <w:bookmarkEnd w:id="14153"/>
      <w:bookmarkEnd w:id="14154"/>
      <w:bookmarkEnd w:id="14155"/>
      <w:bookmarkEnd w:id="14156"/>
      <w:bookmarkEnd w:id="14157"/>
    </w:p>
    <w:p w:rsidR="00F13472" w:rsidRPr="00817C94" w:rsidRDefault="00F13472" w:rsidP="00F13472">
      <w:pPr>
        <w:pStyle w:val="1"/>
        <w:rPr>
          <w:rtl/>
        </w:rPr>
      </w:pPr>
      <w:bookmarkStart w:id="14158" w:name="_Toc24576829"/>
      <w:bookmarkStart w:id="14159" w:name="_Toc24709391"/>
      <w:bookmarkStart w:id="14160" w:name="_Toc24838983"/>
      <w:bookmarkStart w:id="14161" w:name="_Toc24918076"/>
      <w:bookmarkStart w:id="14162" w:name="_Toc24918287"/>
      <w:r>
        <w:rPr>
          <w:rFonts w:hint="cs"/>
          <w:rtl/>
        </w:rPr>
        <w:t>דברי הדרכ"מ והגר"א דהרא"ש לשיטתו דהתיר לאכול בב"א</w:t>
      </w:r>
      <w:bookmarkEnd w:id="14158"/>
      <w:bookmarkEnd w:id="14159"/>
      <w:bookmarkEnd w:id="14160"/>
      <w:bookmarkEnd w:id="14161"/>
      <w:bookmarkEnd w:id="14162"/>
    </w:p>
    <w:p w:rsidR="00F13472" w:rsidRPr="006A3111" w:rsidRDefault="00F13472" w:rsidP="00F13472">
      <w:pPr>
        <w:pStyle w:val="a2"/>
        <w:rPr>
          <w:rtl/>
        </w:rPr>
      </w:pPr>
      <w:bookmarkStart w:id="14163" w:name="_Toc24576830"/>
      <w:bookmarkStart w:id="14164" w:name="_Toc24709392"/>
      <w:bookmarkStart w:id="14165" w:name="_Toc24838984"/>
      <w:bookmarkStart w:id="14166" w:name="_Toc24918077"/>
      <w:bookmarkStart w:id="14167" w:name="_Toc24918288"/>
      <w:bookmarkStart w:id="14168" w:name="_Toc24403373"/>
      <w:bookmarkStart w:id="14169" w:name="_Toc24455840"/>
      <w:r>
        <w:rPr>
          <w:rFonts w:hint="cs"/>
          <w:rtl/>
        </w:rPr>
        <w:t>דברי הדרכ"מ והגר"א דהרא"ש שמתיר בחזר ובישל הוא לשיטתו דנהפך להיתר ומותר בב"א</w:t>
      </w:r>
      <w:bookmarkEnd w:id="14163"/>
      <w:bookmarkEnd w:id="14164"/>
      <w:bookmarkEnd w:id="14165"/>
      <w:bookmarkEnd w:id="14166"/>
      <w:bookmarkEnd w:id="14167"/>
    </w:p>
    <w:p w:rsidR="00F13472" w:rsidRPr="00AC5409" w:rsidRDefault="00F13472" w:rsidP="009F44AF">
      <w:pPr>
        <w:pStyle w:val="a"/>
        <w:rPr>
          <w:rStyle w:val="afa"/>
          <w:rtl/>
        </w:rPr>
      </w:pPr>
      <w:bookmarkStart w:id="14170" w:name="_Ref24572968"/>
      <w:r>
        <w:rPr>
          <w:rFonts w:hint="cs"/>
          <w:rtl/>
        </w:rPr>
        <w:t xml:space="preserve">וכתבו </w:t>
      </w:r>
      <w:r w:rsidRPr="0004358F">
        <w:rPr>
          <w:rStyle w:val="af8"/>
          <w:rFonts w:hint="cs"/>
          <w:rtl/>
        </w:rPr>
        <w:t>הדרכ"מ</w:t>
      </w:r>
      <w:r>
        <w:rPr>
          <w:rFonts w:hint="cs"/>
          <w:rtl/>
        </w:rPr>
        <w:t xml:space="preserve"> </w:t>
      </w:r>
      <w:r w:rsidRPr="00E7534C">
        <w:rPr>
          <w:rStyle w:val="af6"/>
          <w:rFonts w:eastAsia="Guttman Hodes" w:hint="cs"/>
          <w:rtl/>
        </w:rPr>
        <w:t>(סי' ק"ט ד')</w:t>
      </w:r>
      <w:r>
        <w:rPr>
          <w:rFonts w:hint="cs"/>
          <w:rtl/>
        </w:rPr>
        <w:t xml:space="preserve"> </w:t>
      </w:r>
      <w:r>
        <w:rPr>
          <w:rStyle w:val="af8"/>
          <w:rFonts w:hint="cs"/>
          <w:rtl/>
        </w:rPr>
        <w:t>ו</w:t>
      </w:r>
      <w:r w:rsidRPr="006A6FE4">
        <w:rPr>
          <w:rStyle w:val="af8"/>
          <w:rFonts w:hint="cs"/>
          <w:rtl/>
        </w:rPr>
        <w:t>הגר"א</w:t>
      </w:r>
      <w:r>
        <w:rPr>
          <w:rFonts w:hint="cs"/>
          <w:rtl/>
        </w:rPr>
        <w:t xml:space="preserve"> </w:t>
      </w:r>
      <w:r w:rsidRPr="00E7534C">
        <w:rPr>
          <w:rStyle w:val="af6"/>
          <w:rFonts w:eastAsia="Guttman Hodes" w:hint="cs"/>
          <w:rtl/>
        </w:rPr>
        <w:t xml:space="preserve">(סי' ק"ט סקי"א) </w:t>
      </w:r>
      <w:r>
        <w:rPr>
          <w:rFonts w:hint="cs"/>
          <w:rtl/>
        </w:rPr>
        <w:t xml:space="preserve">דמ"ש </w:t>
      </w:r>
      <w:r w:rsidRPr="006A6FE4">
        <w:rPr>
          <w:rStyle w:val="af8"/>
          <w:rFonts w:hint="cs"/>
          <w:rtl/>
        </w:rPr>
        <w:t>הרא"ש</w:t>
      </w:r>
      <w:r>
        <w:rPr>
          <w:rFonts w:hint="cs"/>
          <w:rtl/>
        </w:rPr>
        <w:t xml:space="preserve"> </w:t>
      </w:r>
      <w:r w:rsidRPr="00E7534C">
        <w:rPr>
          <w:rStyle w:val="af6"/>
          <w:rFonts w:eastAsia="Guttman Hodes" w:hint="cs"/>
          <w:rtl/>
        </w:rPr>
        <w:t xml:space="preserve">(עי' אות </w:t>
      </w:r>
      <w:r w:rsidRPr="00E7534C">
        <w:rPr>
          <w:rStyle w:val="af6"/>
          <w:rFonts w:eastAsia="Guttman Hodes"/>
          <w:rtl/>
        </w:rPr>
        <w:fldChar w:fldCharType="begin"/>
      </w:r>
      <w:r w:rsidRPr="00E7534C">
        <w:rPr>
          <w:rStyle w:val="af6"/>
          <w:rFonts w:eastAsia="Guttman Hodes"/>
          <w:rtl/>
        </w:rPr>
        <w:instrText xml:space="preserve"> </w:instrText>
      </w:r>
      <w:r w:rsidRPr="00E7534C">
        <w:rPr>
          <w:rStyle w:val="af6"/>
          <w:rFonts w:eastAsia="Guttman Hodes" w:hint="cs"/>
        </w:rPr>
        <w:instrText>REF</w:instrText>
      </w:r>
      <w:r w:rsidRPr="00E7534C">
        <w:rPr>
          <w:rStyle w:val="af6"/>
          <w:rFonts w:eastAsia="Guttman Hodes" w:hint="cs"/>
          <w:rtl/>
        </w:rPr>
        <w:instrText xml:space="preserve"> _</w:instrText>
      </w:r>
      <w:r w:rsidRPr="00E7534C">
        <w:rPr>
          <w:rStyle w:val="af6"/>
          <w:rFonts w:eastAsia="Guttman Hodes" w:hint="cs"/>
        </w:rPr>
        <w:instrText>Ref23959069 \r \h</w:instrText>
      </w:r>
      <w:r w:rsidRPr="00E7534C">
        <w:rPr>
          <w:rStyle w:val="af6"/>
          <w:rFonts w:eastAsia="Guttman Hodes"/>
          <w:rtl/>
        </w:rPr>
        <w:instrText xml:space="preserve"> </w:instrText>
      </w:r>
      <w:r w:rsidRPr="00E7534C">
        <w:rPr>
          <w:rStyle w:val="af6"/>
          <w:rFonts w:eastAsia="Guttman Hodes"/>
          <w:rtl/>
        </w:rPr>
      </w:r>
      <w:r w:rsidRPr="00E7534C">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E7534C">
        <w:rPr>
          <w:rStyle w:val="af6"/>
          <w:rFonts w:eastAsia="Guttman Hodes"/>
          <w:rtl/>
        </w:rPr>
        <w:fldChar w:fldCharType="end"/>
      </w:r>
      <w:r>
        <w:rPr>
          <w:rFonts w:hint="cs"/>
          <w:rtl/>
        </w:rPr>
        <w:t xml:space="preserve"> </w:t>
      </w:r>
      <w:r w:rsidRPr="002339E2">
        <w:rPr>
          <w:rFonts w:hint="eastAsia"/>
          <w:rtl/>
        </w:rPr>
        <w:t>דלאחר</w:t>
      </w:r>
      <w:r w:rsidRPr="002339E2">
        <w:rPr>
          <w:rtl/>
        </w:rPr>
        <w:t xml:space="preserve"> </w:t>
      </w:r>
      <w:r w:rsidRPr="002339E2">
        <w:rPr>
          <w:rFonts w:hint="eastAsia"/>
          <w:rtl/>
        </w:rPr>
        <w:t>שהותרה</w:t>
      </w:r>
      <w:r w:rsidRPr="002339E2">
        <w:rPr>
          <w:rtl/>
        </w:rPr>
        <w:t xml:space="preserve"> </w:t>
      </w:r>
      <w:r w:rsidRPr="002339E2">
        <w:rPr>
          <w:rFonts w:hint="eastAsia"/>
          <w:rtl/>
        </w:rPr>
        <w:t>התערובת</w:t>
      </w:r>
      <w:r w:rsidRPr="002339E2">
        <w:rPr>
          <w:rtl/>
        </w:rPr>
        <w:t xml:space="preserve"> </w:t>
      </w:r>
      <w:r w:rsidRPr="002339E2">
        <w:rPr>
          <w:rFonts w:hint="eastAsia"/>
          <w:rtl/>
        </w:rPr>
        <w:t>ביבש</w:t>
      </w:r>
      <w:r w:rsidRPr="002339E2">
        <w:rPr>
          <w:rtl/>
        </w:rPr>
        <w:t xml:space="preserve"> </w:t>
      </w:r>
      <w:r w:rsidRPr="002339E2">
        <w:rPr>
          <w:rFonts w:hint="eastAsia"/>
          <w:rtl/>
        </w:rPr>
        <w:t>ביבש</w:t>
      </w:r>
      <w:r w:rsidRPr="002339E2">
        <w:rPr>
          <w:rtl/>
        </w:rPr>
        <w:t xml:space="preserve"> </w:t>
      </w:r>
      <w:r w:rsidRPr="002339E2">
        <w:rPr>
          <w:rFonts w:hint="eastAsia"/>
          <w:rtl/>
        </w:rPr>
        <w:t>לגמרי</w:t>
      </w:r>
      <w:r w:rsidRPr="002339E2">
        <w:rPr>
          <w:rtl/>
        </w:rPr>
        <w:t xml:space="preserve">, </w:t>
      </w:r>
      <w:r w:rsidRPr="002339E2">
        <w:rPr>
          <w:rFonts w:hint="eastAsia"/>
          <w:rtl/>
        </w:rPr>
        <w:t>חזר</w:t>
      </w:r>
      <w:r w:rsidRPr="002339E2">
        <w:rPr>
          <w:rtl/>
        </w:rPr>
        <w:t xml:space="preserve"> </w:t>
      </w:r>
      <w:r w:rsidRPr="002339E2">
        <w:rPr>
          <w:rFonts w:hint="eastAsia"/>
          <w:rtl/>
        </w:rPr>
        <w:t>ובישל</w:t>
      </w:r>
      <w:r w:rsidRPr="002339E2">
        <w:rPr>
          <w:rtl/>
        </w:rPr>
        <w:t xml:space="preserve"> </w:t>
      </w:r>
      <w:r w:rsidRPr="002339E2">
        <w:rPr>
          <w:rFonts w:hint="eastAsia"/>
          <w:rtl/>
        </w:rPr>
        <w:t>את</w:t>
      </w:r>
      <w:r w:rsidRPr="002339E2">
        <w:rPr>
          <w:rtl/>
        </w:rPr>
        <w:t xml:space="preserve"> </w:t>
      </w:r>
      <w:r w:rsidRPr="002339E2">
        <w:rPr>
          <w:rFonts w:hint="eastAsia"/>
          <w:rtl/>
        </w:rPr>
        <w:t>כל</w:t>
      </w:r>
      <w:r w:rsidRPr="002339E2">
        <w:rPr>
          <w:rtl/>
        </w:rPr>
        <w:t xml:space="preserve"> </w:t>
      </w:r>
      <w:r w:rsidRPr="002339E2">
        <w:rPr>
          <w:rFonts w:hint="eastAsia"/>
          <w:rtl/>
        </w:rPr>
        <w:t>החתיכות</w:t>
      </w:r>
      <w:r w:rsidRPr="002339E2">
        <w:rPr>
          <w:rtl/>
        </w:rPr>
        <w:t xml:space="preserve"> </w:t>
      </w:r>
      <w:r w:rsidRPr="002339E2">
        <w:rPr>
          <w:rFonts w:hint="eastAsia"/>
          <w:rtl/>
        </w:rPr>
        <w:t>יחד</w:t>
      </w:r>
      <w:r w:rsidRPr="002339E2">
        <w:rPr>
          <w:rtl/>
        </w:rPr>
        <w:t xml:space="preserve"> </w:t>
      </w:r>
      <w:r w:rsidRPr="002339E2">
        <w:rPr>
          <w:rFonts w:hint="eastAsia"/>
          <w:rtl/>
        </w:rPr>
        <w:t>מותר</w:t>
      </w:r>
      <w:r>
        <w:rPr>
          <w:rFonts w:hint="cs"/>
          <w:rtl/>
        </w:rPr>
        <w:t xml:space="preserve">, הוא כשיטתו דכתב </w:t>
      </w:r>
      <w:r w:rsidRPr="006A6FE4">
        <w:rPr>
          <w:rStyle w:val="af8"/>
          <w:rFonts w:hint="cs"/>
          <w:rtl/>
        </w:rPr>
        <w:t>הרא"ש</w:t>
      </w:r>
      <w:r w:rsidRPr="00E7534C">
        <w:rPr>
          <w:rStyle w:val="af6"/>
          <w:rFonts w:eastAsia="Guttman Hodes" w:hint="cs"/>
          <w:rtl/>
        </w:rPr>
        <w:t xml:space="preserve"> (עי' אות </w:t>
      </w:r>
      <w:r w:rsidRPr="00E7534C">
        <w:rPr>
          <w:rStyle w:val="af6"/>
          <w:rFonts w:eastAsia="Guttman Hodes"/>
          <w:rtl/>
        </w:rPr>
        <w:fldChar w:fldCharType="begin"/>
      </w:r>
      <w:r w:rsidRPr="00E7534C">
        <w:rPr>
          <w:rStyle w:val="af6"/>
          <w:rFonts w:eastAsia="Guttman Hodes"/>
          <w:rtl/>
        </w:rPr>
        <w:instrText xml:space="preserve"> </w:instrText>
      </w:r>
      <w:r w:rsidRPr="00E7534C">
        <w:rPr>
          <w:rStyle w:val="af6"/>
          <w:rFonts w:eastAsia="Guttman Hodes" w:hint="cs"/>
        </w:rPr>
        <w:instrText>REF</w:instrText>
      </w:r>
      <w:r w:rsidRPr="00E7534C">
        <w:rPr>
          <w:rStyle w:val="af6"/>
          <w:rFonts w:eastAsia="Guttman Hodes" w:hint="cs"/>
          <w:rtl/>
        </w:rPr>
        <w:instrText xml:space="preserve"> _</w:instrText>
      </w:r>
      <w:r w:rsidRPr="00E7534C">
        <w:rPr>
          <w:rStyle w:val="af6"/>
          <w:rFonts w:eastAsia="Guttman Hodes" w:hint="cs"/>
        </w:rPr>
        <w:instrText>Ref24564844 \r \h</w:instrText>
      </w:r>
      <w:r w:rsidRPr="00E7534C">
        <w:rPr>
          <w:rStyle w:val="af6"/>
          <w:rFonts w:eastAsia="Guttman Hodes"/>
          <w:rtl/>
        </w:rPr>
        <w:instrText xml:space="preserve"> </w:instrText>
      </w:r>
      <w:r w:rsidRPr="00E7534C">
        <w:rPr>
          <w:rStyle w:val="af6"/>
          <w:rFonts w:eastAsia="Guttman Hodes"/>
          <w:rtl/>
        </w:rPr>
      </w:r>
      <w:r w:rsidRPr="00E7534C">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E7534C">
        <w:rPr>
          <w:rStyle w:val="af6"/>
          <w:rFonts w:eastAsia="Guttman Hodes"/>
          <w:rtl/>
        </w:rPr>
        <w:fldChar w:fldCharType="end"/>
      </w:r>
      <w:r w:rsidRPr="00E7534C">
        <w:rPr>
          <w:rStyle w:val="af6"/>
          <w:rFonts w:eastAsia="Guttman Hodes" w:hint="cs"/>
          <w:rtl/>
        </w:rPr>
        <w:t xml:space="preserve"> </w:t>
      </w:r>
      <w:r>
        <w:rPr>
          <w:rFonts w:hint="cs"/>
          <w:rtl/>
        </w:rPr>
        <w:t xml:space="preserve">דהאיסור נהפך להיתר לגמרי, ומותר לאכול את כל התערובת בבת אחת, ולכן אף כשחזר ובישל מותר, וכתב </w:t>
      </w:r>
      <w:r w:rsidRPr="006A6FE4">
        <w:rPr>
          <w:rStyle w:val="af8"/>
          <w:rFonts w:hint="cs"/>
          <w:rtl/>
        </w:rPr>
        <w:t>הגר"א</w:t>
      </w:r>
      <w:r>
        <w:rPr>
          <w:rFonts w:hint="cs"/>
          <w:rtl/>
        </w:rPr>
        <w:t xml:space="preserve"> דכן הוכיח </w:t>
      </w:r>
      <w:r w:rsidRPr="006A6FE4">
        <w:rPr>
          <w:rStyle w:val="af8"/>
          <w:rFonts w:hint="cs"/>
          <w:rtl/>
        </w:rPr>
        <w:t>הרא"ש</w:t>
      </w:r>
      <w:r>
        <w:rPr>
          <w:rFonts w:hint="cs"/>
          <w:rtl/>
        </w:rPr>
        <w:t xml:space="preserve"> </w:t>
      </w:r>
      <w:r w:rsidRPr="00214B41">
        <w:rPr>
          <w:rStyle w:val="af6"/>
          <w:rFonts w:eastAsia="Guttman Hodes" w:hint="cs"/>
          <w:rtl/>
        </w:rPr>
        <w:t xml:space="preserve">(עי' אות </w:t>
      </w:r>
      <w:r w:rsidRPr="00214B41">
        <w:rPr>
          <w:rStyle w:val="af6"/>
          <w:rFonts w:eastAsia="Guttman Hodes"/>
          <w:rtl/>
        </w:rPr>
        <w:fldChar w:fldCharType="begin"/>
      </w:r>
      <w:r w:rsidRPr="00214B41">
        <w:rPr>
          <w:rStyle w:val="af6"/>
          <w:rFonts w:eastAsia="Guttman Hodes"/>
          <w:rtl/>
        </w:rPr>
        <w:instrText xml:space="preserve"> </w:instrText>
      </w:r>
      <w:r w:rsidRPr="00214B41">
        <w:rPr>
          <w:rStyle w:val="af6"/>
          <w:rFonts w:eastAsia="Guttman Hodes" w:hint="cs"/>
        </w:rPr>
        <w:instrText>REF</w:instrText>
      </w:r>
      <w:r w:rsidRPr="00214B41">
        <w:rPr>
          <w:rStyle w:val="af6"/>
          <w:rFonts w:eastAsia="Guttman Hodes" w:hint="cs"/>
          <w:rtl/>
        </w:rPr>
        <w:instrText xml:space="preserve"> _</w:instrText>
      </w:r>
      <w:r w:rsidRPr="00214B41">
        <w:rPr>
          <w:rStyle w:val="af6"/>
          <w:rFonts w:eastAsia="Guttman Hodes" w:hint="cs"/>
        </w:rPr>
        <w:instrText>Ref24879763 \r \h</w:instrText>
      </w:r>
      <w:r w:rsidRPr="00214B41">
        <w:rPr>
          <w:rStyle w:val="af6"/>
          <w:rFonts w:eastAsia="Guttman Hodes"/>
          <w:rtl/>
        </w:rPr>
        <w:instrText xml:space="preserve"> </w:instrText>
      </w:r>
      <w:r w:rsidRPr="00214B41">
        <w:rPr>
          <w:rStyle w:val="af6"/>
          <w:rFonts w:eastAsia="Guttman Hodes"/>
          <w:rtl/>
        </w:rPr>
      </w:r>
      <w:r w:rsidRPr="00214B41">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214B41">
        <w:rPr>
          <w:rStyle w:val="af6"/>
          <w:rFonts w:eastAsia="Guttman Hodes"/>
          <w:rtl/>
        </w:rPr>
        <w:fldChar w:fldCharType="end"/>
      </w:r>
      <w:r>
        <w:rPr>
          <w:rFonts w:hint="cs"/>
          <w:rtl/>
        </w:rPr>
        <w:t xml:space="preserve"> מהגמ' בזבחים. </w:t>
      </w:r>
      <w:r w:rsidRPr="00AC5409">
        <w:rPr>
          <w:rStyle w:val="afa"/>
          <w:rFonts w:hint="cs"/>
          <w:rtl/>
        </w:rPr>
        <w:t xml:space="preserve">[ועי' בדברי </w:t>
      </w:r>
      <w:r w:rsidRPr="00AC5409">
        <w:rPr>
          <w:rStyle w:val="affa"/>
          <w:rFonts w:hint="cs"/>
          <w:rtl/>
        </w:rPr>
        <w:t>היש"ש</w:t>
      </w:r>
      <w:r w:rsidRPr="00AC5409">
        <w:rPr>
          <w:rStyle w:val="afa"/>
          <w:rFonts w:hint="cs"/>
          <w:rtl/>
        </w:rPr>
        <w:t xml:space="preserve"> </w:t>
      </w:r>
      <w:r w:rsidRPr="00AC5409">
        <w:rPr>
          <w:rStyle w:val="aff6"/>
          <w:rFonts w:hint="cs"/>
          <w:rtl/>
        </w:rPr>
        <w:t xml:space="preserve">(עי' אות </w:t>
      </w:r>
      <w:r w:rsidRPr="00AC5409">
        <w:rPr>
          <w:rStyle w:val="aff6"/>
          <w:rtl/>
        </w:rPr>
        <w:fldChar w:fldCharType="begin"/>
      </w:r>
      <w:r w:rsidRPr="00AC5409">
        <w:rPr>
          <w:rStyle w:val="aff6"/>
          <w:rtl/>
        </w:rPr>
        <w:instrText xml:space="preserve"> </w:instrText>
      </w:r>
      <w:r w:rsidRPr="00AC5409">
        <w:rPr>
          <w:rStyle w:val="aff6"/>
          <w:rFonts w:hint="cs"/>
        </w:rPr>
        <w:instrText>REF</w:instrText>
      </w:r>
      <w:r w:rsidRPr="00AC5409">
        <w:rPr>
          <w:rStyle w:val="aff6"/>
          <w:rFonts w:hint="cs"/>
          <w:rtl/>
        </w:rPr>
        <w:instrText xml:space="preserve"> _</w:instrText>
      </w:r>
      <w:r w:rsidRPr="00AC5409">
        <w:rPr>
          <w:rStyle w:val="aff6"/>
          <w:rFonts w:hint="cs"/>
        </w:rPr>
        <w:instrText>Ref24572869 \r \h</w:instrText>
      </w:r>
      <w:r w:rsidRPr="00AC5409">
        <w:rPr>
          <w:rStyle w:val="aff6"/>
          <w:rtl/>
        </w:rPr>
        <w:instrText xml:space="preserve"> </w:instrText>
      </w:r>
      <w:r w:rsidRPr="00AC5409">
        <w:rPr>
          <w:rStyle w:val="aff6"/>
          <w:rtl/>
        </w:rPr>
      </w:r>
      <w:r w:rsidRPr="00AC5409">
        <w:rPr>
          <w:rStyle w:val="aff6"/>
          <w:rtl/>
        </w:rPr>
        <w:fldChar w:fldCharType="separate"/>
      </w:r>
      <w:r w:rsidR="004D1C5B">
        <w:rPr>
          <w:rStyle w:val="aff6"/>
          <w:cs/>
        </w:rPr>
        <w:t>‎</w:t>
      </w:r>
      <w:r w:rsidR="004D1C5B">
        <w:rPr>
          <w:rStyle w:val="aff6"/>
          <w:rtl/>
        </w:rPr>
        <w:t>מג)</w:t>
      </w:r>
      <w:r w:rsidRPr="00AC5409">
        <w:rPr>
          <w:rStyle w:val="aff6"/>
          <w:rtl/>
        </w:rPr>
        <w:fldChar w:fldCharType="end"/>
      </w:r>
      <w:r>
        <w:rPr>
          <w:rStyle w:val="afa"/>
          <w:rFonts w:hint="cs"/>
          <w:rtl/>
        </w:rPr>
        <w:t xml:space="preserve"> </w:t>
      </w:r>
      <w:r w:rsidRPr="00AC5409">
        <w:rPr>
          <w:rStyle w:val="afa"/>
          <w:rFonts w:hint="cs"/>
          <w:rtl/>
        </w:rPr>
        <w:t>דהתיר לאכול בבת אחת, ואסר בחזר ובישל, דכיון שנעשה לח הוא בכלל הגזירה אטו מין בשאינו מינו].</w:t>
      </w:r>
      <w:bookmarkEnd w:id="14170"/>
    </w:p>
    <w:p w:rsidR="00F13472" w:rsidRDefault="00F13472" w:rsidP="00F13472">
      <w:pPr>
        <w:pStyle w:val="1"/>
        <w:rPr>
          <w:rtl/>
        </w:rPr>
      </w:pPr>
      <w:bookmarkStart w:id="14171" w:name="_Toc24918078"/>
      <w:bookmarkStart w:id="14172" w:name="_Toc24918289"/>
      <w:r>
        <w:rPr>
          <w:rFonts w:hint="cs"/>
          <w:rtl/>
        </w:rPr>
        <w:t>ביאור הגר"א ברא"ש דבשיעור דרבנן אין חוזר וניעור בנודעה</w:t>
      </w:r>
      <w:bookmarkEnd w:id="14171"/>
      <w:bookmarkEnd w:id="14172"/>
    </w:p>
    <w:p w:rsidR="00F13472" w:rsidRPr="00A17E7A" w:rsidRDefault="00F13472" w:rsidP="00F13472">
      <w:pPr>
        <w:pStyle w:val="a2"/>
      </w:pPr>
      <w:bookmarkStart w:id="14173" w:name="_Toc24918079"/>
      <w:bookmarkStart w:id="14174" w:name="_Toc24918290"/>
      <w:r>
        <w:rPr>
          <w:rFonts w:hint="cs"/>
          <w:rtl/>
        </w:rPr>
        <w:t>ביאור הגר"א ברא"ש דבנודעה התערובת אסור מדרבנן ובדרבנן לא אמרינן חוזר ונעיור</w:t>
      </w:r>
      <w:bookmarkEnd w:id="14173"/>
      <w:bookmarkEnd w:id="14174"/>
    </w:p>
    <w:p w:rsidR="00F13472" w:rsidRPr="009D71D9" w:rsidRDefault="00F13472" w:rsidP="009F44AF">
      <w:pPr>
        <w:pStyle w:val="a"/>
        <w:rPr>
          <w:rStyle w:val="afa"/>
          <w:rtl/>
        </w:rPr>
      </w:pPr>
      <w:r>
        <w:rPr>
          <w:rFonts w:hint="cs"/>
          <w:rtl/>
        </w:rPr>
        <w:t xml:space="preserve">והוסיף </w:t>
      </w:r>
      <w:r w:rsidRPr="006A6FE4">
        <w:rPr>
          <w:rStyle w:val="af8"/>
          <w:rFonts w:hint="cs"/>
          <w:rtl/>
        </w:rPr>
        <w:t>הגר"א</w:t>
      </w:r>
      <w:r>
        <w:rPr>
          <w:rFonts w:hint="cs"/>
          <w:rtl/>
        </w:rPr>
        <w:t xml:space="preserve"> דס"ל </w:t>
      </w:r>
      <w:r w:rsidRPr="006A6FE4">
        <w:rPr>
          <w:rStyle w:val="af8"/>
          <w:rFonts w:hint="cs"/>
          <w:rtl/>
        </w:rPr>
        <w:t>להרא"ש</w:t>
      </w:r>
      <w:r>
        <w:rPr>
          <w:rFonts w:hint="cs"/>
          <w:rtl/>
        </w:rPr>
        <w:t xml:space="preserve"> דאחר שנודעה התערובת אינה חוזרת ונאסרת, דכיון דמדאו' כבר מהני ביטול בחד בתרי, א"כ כשבישלם יחד וצריך מדרבנן שישים, לא אמרינן דהאיסור חוזר וניעור, כיון דמדאו' הוא בטל כשנודעה התערובת, והאיסור הוא רק מדרבנן, וציין </w:t>
      </w:r>
      <w:r w:rsidRPr="006A6FE4">
        <w:rPr>
          <w:rStyle w:val="af8"/>
          <w:rFonts w:hint="cs"/>
          <w:rtl/>
        </w:rPr>
        <w:t>הגר"א</w:t>
      </w:r>
      <w:r>
        <w:rPr>
          <w:rFonts w:hint="cs"/>
          <w:rtl/>
        </w:rPr>
        <w:t xml:space="preserve"> לדבריו </w:t>
      </w:r>
      <w:r w:rsidRPr="006A6FE4">
        <w:rPr>
          <w:rStyle w:val="af6"/>
          <w:rFonts w:eastAsia="Guttman Hodes" w:hint="cs"/>
          <w:rtl/>
        </w:rPr>
        <w:t>(סי' צ"ט סקט"ו)</w:t>
      </w:r>
      <w:r>
        <w:rPr>
          <w:rFonts w:hint="cs"/>
          <w:rtl/>
        </w:rPr>
        <w:t xml:space="preserve"> דרק באיסור דאו' אמרינן חוזר וניעור ולא באיסור דרבנן, ולכן במין בשאינו מינו דטעם כעיקר דאו', אמרינן חוזר וניעור, אבל במין במינו רק כשפחת מרוב דהוא דאו' אמרינן חוזר וניעור, אבל בפחת משישים שהוא שיעור דרבנן, בנודעה התערובת ביבש לא אמרינן חוזר וניעור. </w:t>
      </w:r>
      <w:r w:rsidRPr="009D71D9">
        <w:rPr>
          <w:rStyle w:val="afa"/>
          <w:rFonts w:hint="cs"/>
          <w:rtl/>
        </w:rPr>
        <w:t>[ולכן בחזר ובישל בנודעה התערובת שמדאו' בטל ברוב ביבש, ורק מדרבנן צריך שישים כשנעשה לח, לא אמרינן חוזר וניעור].</w:t>
      </w:r>
    </w:p>
    <w:p w:rsidR="00F13472" w:rsidRPr="00C44616" w:rsidRDefault="00F13472" w:rsidP="00F13472">
      <w:pPr>
        <w:pStyle w:val="1"/>
        <w:rPr>
          <w:rtl/>
        </w:rPr>
      </w:pPr>
      <w:bookmarkStart w:id="14175" w:name="_Toc24576831"/>
      <w:bookmarkStart w:id="14176" w:name="_Toc24709393"/>
      <w:bookmarkStart w:id="14177" w:name="_Toc24838985"/>
      <w:bookmarkStart w:id="14178" w:name="_Toc24918080"/>
      <w:bookmarkStart w:id="14179" w:name="_Toc24918291"/>
      <w:r w:rsidRPr="00C44616">
        <w:rPr>
          <w:rFonts w:hint="cs"/>
          <w:rtl/>
        </w:rPr>
        <w:t>ביאור היד יהודה ברא"ש דשישים לא נאמר ביבש והותר לגמרי</w:t>
      </w:r>
      <w:bookmarkEnd w:id="14175"/>
      <w:bookmarkEnd w:id="14176"/>
      <w:bookmarkEnd w:id="14177"/>
      <w:bookmarkEnd w:id="14178"/>
      <w:bookmarkEnd w:id="14179"/>
    </w:p>
    <w:p w:rsidR="00F13472" w:rsidRPr="00C44616" w:rsidRDefault="00F13472" w:rsidP="00F13472">
      <w:pPr>
        <w:pStyle w:val="a2"/>
      </w:pPr>
      <w:bookmarkStart w:id="14180" w:name="_Toc24403374"/>
      <w:bookmarkStart w:id="14181" w:name="_Toc24455841"/>
      <w:bookmarkStart w:id="14182" w:name="_Toc24576832"/>
      <w:bookmarkStart w:id="14183" w:name="_Toc24709394"/>
      <w:bookmarkStart w:id="14184" w:name="_Toc24838986"/>
      <w:bookmarkStart w:id="14185" w:name="_Toc24918081"/>
      <w:bookmarkStart w:id="14186" w:name="_Toc24918292"/>
      <w:r w:rsidRPr="00C44616">
        <w:rPr>
          <w:rFonts w:hint="cs"/>
          <w:rtl/>
        </w:rPr>
        <w:t>ביאור היד יהודה ברא"ש דביבש אין דין שישים כלל והותר לגמרי אף אם חזר ובישל ונעשה לח</w:t>
      </w:r>
      <w:bookmarkEnd w:id="14180"/>
      <w:bookmarkEnd w:id="14181"/>
      <w:bookmarkEnd w:id="14182"/>
      <w:bookmarkEnd w:id="14183"/>
      <w:bookmarkEnd w:id="14184"/>
      <w:bookmarkEnd w:id="14185"/>
      <w:bookmarkEnd w:id="14186"/>
    </w:p>
    <w:p w:rsidR="00F13472" w:rsidRPr="00C44616" w:rsidRDefault="00F13472" w:rsidP="009F44AF">
      <w:pPr>
        <w:pStyle w:val="a"/>
        <w:rPr>
          <w:rStyle w:val="afa"/>
          <w:rtl/>
        </w:rPr>
      </w:pPr>
      <w:r>
        <w:rPr>
          <w:rFonts w:hint="cs"/>
          <w:rtl/>
        </w:rPr>
        <w:t xml:space="preserve">כתב </w:t>
      </w:r>
      <w:r w:rsidRPr="00C44616">
        <w:rPr>
          <w:rStyle w:val="af8"/>
          <w:rFonts w:hint="cs"/>
          <w:rtl/>
        </w:rPr>
        <w:t>היד יהודה</w:t>
      </w:r>
      <w:r w:rsidRPr="00C44616">
        <w:rPr>
          <w:rFonts w:hint="cs"/>
          <w:rtl/>
        </w:rPr>
        <w:t xml:space="preserve"> </w:t>
      </w:r>
      <w:r w:rsidRPr="00C44616">
        <w:rPr>
          <w:rStyle w:val="af6"/>
          <w:rFonts w:eastAsia="Guttman Hodes" w:hint="cs"/>
          <w:rtl/>
        </w:rPr>
        <w:t>(סי' ק"ט סוס"ק ה'</w:t>
      </w:r>
      <w:r w:rsidRPr="00C44616">
        <w:rPr>
          <w:rStyle w:val="af6"/>
          <w:rFonts w:eastAsia="Guttman Hodes"/>
          <w:rtl/>
        </w:rPr>
        <w:t>,</w:t>
      </w:r>
      <w:r w:rsidRPr="00C44616">
        <w:rPr>
          <w:rStyle w:val="af6"/>
          <w:rFonts w:eastAsia="Guttman Hodes" w:hint="cs"/>
          <w:rtl/>
        </w:rPr>
        <w:t xml:space="preserve"> </w:t>
      </w:r>
      <w:r w:rsidRPr="00C44616">
        <w:rPr>
          <w:rStyle w:val="af6"/>
          <w:rFonts w:eastAsia="Guttman Hodes"/>
          <w:rtl/>
        </w:rPr>
        <w:t>סי' ס"ט ס"ק ס"א ד"ה אבל הר"ם</w:t>
      </w:r>
      <w:r w:rsidRPr="00C44616">
        <w:rPr>
          <w:rStyle w:val="af6"/>
          <w:rFonts w:eastAsia="Guttman Hodes" w:hint="cs"/>
          <w:rtl/>
        </w:rPr>
        <w:t>)</w:t>
      </w:r>
      <w:r w:rsidRPr="00C44616">
        <w:rPr>
          <w:rFonts w:hint="cs"/>
          <w:rtl/>
        </w:rPr>
        <w:t xml:space="preserve"> דס"ל </w:t>
      </w:r>
      <w:r w:rsidRPr="00C44616">
        <w:rPr>
          <w:rStyle w:val="af8"/>
          <w:rFonts w:hint="cs"/>
          <w:rtl/>
        </w:rPr>
        <w:t>להרא"ש</w:t>
      </w:r>
      <w:r w:rsidRPr="00C44616">
        <w:rPr>
          <w:rFonts w:hint="cs"/>
          <w:rtl/>
        </w:rPr>
        <w:t xml:space="preserve"> דרבנן לא גזרו גזירת שישים ביבש כלל, והעמידוהו על דין תורה דבטל בחד בתרי, ורק בלח נאמר דין שישים, כיון שבמין בשאינו מינו יש בו נתינת טעם, ולכן אף כשבישל את היבש ונעשה לח, לא שייך בו דין שישים דנבטל והותר לגמרי, ומותר אף לחזור ולבשלו לכתחילה. </w:t>
      </w:r>
      <w:r w:rsidRPr="00C44616">
        <w:rPr>
          <w:rStyle w:val="afa"/>
          <w:rFonts w:hint="cs"/>
          <w:rtl/>
        </w:rPr>
        <w:t xml:space="preserve">[ועי' במה שביאר </w:t>
      </w:r>
      <w:r w:rsidRPr="00C44616">
        <w:rPr>
          <w:rStyle w:val="affa"/>
          <w:rFonts w:hint="cs"/>
          <w:rtl/>
        </w:rPr>
        <w:t>היד יהודה</w:t>
      </w:r>
      <w:r w:rsidRPr="00C44616">
        <w:rPr>
          <w:rStyle w:val="afa"/>
          <w:rFonts w:hint="cs"/>
          <w:rtl/>
        </w:rPr>
        <w:t xml:space="preserve"> </w:t>
      </w:r>
      <w:r w:rsidRPr="00C44616">
        <w:rPr>
          <w:rStyle w:val="aff6"/>
          <w:rFonts w:hint="cs"/>
          <w:rtl/>
        </w:rPr>
        <w:t>(עי' או</w:t>
      </w:r>
      <w:r>
        <w:rPr>
          <w:rStyle w:val="aff6"/>
          <w:rFonts w:hint="cs"/>
          <w:rtl/>
        </w:rPr>
        <w:t xml:space="preserve">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Ref23956571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עד)</w:t>
      </w:r>
      <w:r>
        <w:rPr>
          <w:rStyle w:val="aff6"/>
          <w:rtl/>
        </w:rPr>
        <w:fldChar w:fldCharType="end"/>
      </w:r>
      <w:r>
        <w:rPr>
          <w:rStyle w:val="aff6"/>
          <w:rFonts w:hint="cs"/>
          <w:rtl/>
        </w:rPr>
        <w:t xml:space="preserve"> </w:t>
      </w:r>
      <w:r w:rsidRPr="00C44616">
        <w:rPr>
          <w:rStyle w:val="afa"/>
          <w:rFonts w:hint="cs"/>
          <w:rtl/>
        </w:rPr>
        <w:t xml:space="preserve">בדעת </w:t>
      </w:r>
      <w:r w:rsidRPr="00C44616">
        <w:rPr>
          <w:rStyle w:val="affa"/>
          <w:rFonts w:hint="cs"/>
          <w:rtl/>
        </w:rPr>
        <w:t>הרשב"א</w:t>
      </w:r>
      <w:r w:rsidRPr="00C44616">
        <w:rPr>
          <w:rStyle w:val="afa"/>
          <w:rFonts w:hint="cs"/>
          <w:rtl/>
        </w:rPr>
        <w:t xml:space="preserve">, ובדעת </w:t>
      </w:r>
      <w:r w:rsidRPr="00C44616">
        <w:rPr>
          <w:rStyle w:val="affa"/>
          <w:rFonts w:hint="cs"/>
          <w:rtl/>
        </w:rPr>
        <w:t>הרא"ה</w:t>
      </w:r>
      <w:r w:rsidRPr="00C44616">
        <w:rPr>
          <w:rStyle w:val="afa"/>
          <w:rFonts w:hint="cs"/>
          <w:rtl/>
        </w:rPr>
        <w:t xml:space="preserve"> </w:t>
      </w:r>
      <w:r w:rsidRPr="00C44616">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Ref24904582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קא)</w:t>
      </w:r>
      <w:r>
        <w:rPr>
          <w:rStyle w:val="aff6"/>
          <w:rtl/>
        </w:rPr>
        <w:fldChar w:fldCharType="end"/>
      </w:r>
      <w:r w:rsidRPr="00C44616">
        <w:rPr>
          <w:rStyle w:val="afa"/>
          <w:rFonts w:hint="cs"/>
          <w:rtl/>
        </w:rPr>
        <w:t>].</w:t>
      </w:r>
    </w:p>
    <w:p w:rsidR="00F13472" w:rsidRDefault="00F13472" w:rsidP="00F13472">
      <w:pPr>
        <w:pStyle w:val="1"/>
        <w:rPr>
          <w:rtl/>
        </w:rPr>
      </w:pPr>
      <w:bookmarkStart w:id="14187" w:name="_Toc24709395"/>
      <w:bookmarkStart w:id="14188" w:name="_Toc24838987"/>
      <w:bookmarkStart w:id="14189" w:name="_Toc24918082"/>
      <w:bookmarkStart w:id="14190" w:name="_Toc24918293"/>
      <w:r>
        <w:rPr>
          <w:rFonts w:hint="cs"/>
          <w:rtl/>
        </w:rPr>
        <w:t>ביאור היד יהודה ברא"ש דבבישל ולא הוסיף אין חוזר וניעור</w:t>
      </w:r>
      <w:bookmarkEnd w:id="14187"/>
      <w:bookmarkEnd w:id="14188"/>
      <w:bookmarkEnd w:id="14189"/>
      <w:bookmarkEnd w:id="14190"/>
    </w:p>
    <w:p w:rsidR="00F13472" w:rsidRDefault="00F13472" w:rsidP="00F13472">
      <w:pPr>
        <w:pStyle w:val="a2"/>
        <w:rPr>
          <w:rtl/>
        </w:rPr>
      </w:pPr>
      <w:bookmarkStart w:id="14191" w:name="_Toc24709396"/>
      <w:bookmarkStart w:id="14192" w:name="_Toc24838988"/>
      <w:bookmarkStart w:id="14193" w:name="_Toc24918083"/>
      <w:bookmarkStart w:id="14194" w:name="_Toc24918294"/>
      <w:r>
        <w:rPr>
          <w:rFonts w:hint="cs"/>
          <w:rtl/>
        </w:rPr>
        <w:t>דברי היד יהודה דלהרא"ש בהוסיף איסור האיסור חוזר וניעור ומ"מ בבישל שלא הוסיף מותר</w:t>
      </w:r>
      <w:bookmarkEnd w:id="14191"/>
      <w:bookmarkEnd w:id="14192"/>
      <w:bookmarkEnd w:id="14193"/>
      <w:bookmarkEnd w:id="14194"/>
    </w:p>
    <w:p w:rsidR="00F13472" w:rsidRDefault="00F13472" w:rsidP="009F44AF">
      <w:pPr>
        <w:pStyle w:val="a"/>
        <w:rPr>
          <w:rtl/>
        </w:rPr>
      </w:pPr>
      <w:r>
        <w:rPr>
          <w:rFonts w:hint="cs"/>
          <w:rtl/>
        </w:rPr>
        <w:t xml:space="preserve">כתב </w:t>
      </w:r>
      <w:r w:rsidRPr="00217757">
        <w:rPr>
          <w:rStyle w:val="af8"/>
          <w:rFonts w:hint="cs"/>
          <w:rtl/>
        </w:rPr>
        <w:t xml:space="preserve">היד יהודה </w:t>
      </w:r>
      <w:r w:rsidRPr="00217757">
        <w:rPr>
          <w:rStyle w:val="af6"/>
          <w:rFonts w:eastAsia="Guttman Hodes" w:hint="cs"/>
          <w:rtl/>
        </w:rPr>
        <w:t>(סי' ס"ט ס"ק ס"א ד"ה והנה ראיתי)</w:t>
      </w:r>
      <w:r>
        <w:rPr>
          <w:rFonts w:hint="cs"/>
          <w:rtl/>
        </w:rPr>
        <w:t xml:space="preserve"> דאעפ"י דס"ל </w:t>
      </w:r>
      <w:r w:rsidRPr="00217757">
        <w:rPr>
          <w:rStyle w:val="af8"/>
          <w:rFonts w:hint="cs"/>
          <w:rtl/>
        </w:rPr>
        <w:t xml:space="preserve">להרא"ש </w:t>
      </w:r>
      <w:r w:rsidRPr="00285071">
        <w:rPr>
          <w:rStyle w:val="af6"/>
          <w:rFonts w:eastAsia="Guttman Hodes" w:hint="cs"/>
          <w:rtl/>
        </w:rPr>
        <w:t xml:space="preserve">(עי' אות </w:t>
      </w:r>
      <w:r w:rsidRPr="00285071">
        <w:rPr>
          <w:rStyle w:val="af6"/>
          <w:rFonts w:eastAsia="Guttman Hodes"/>
          <w:rtl/>
        </w:rPr>
        <w:fldChar w:fldCharType="begin"/>
      </w:r>
      <w:r w:rsidRPr="00285071">
        <w:rPr>
          <w:rStyle w:val="af6"/>
          <w:rFonts w:eastAsia="Guttman Hodes"/>
          <w:rtl/>
        </w:rPr>
        <w:instrText xml:space="preserve"> </w:instrText>
      </w:r>
      <w:r w:rsidRPr="00285071">
        <w:rPr>
          <w:rStyle w:val="af6"/>
          <w:rFonts w:eastAsia="Guttman Hodes" w:hint="cs"/>
        </w:rPr>
        <w:instrText>REF</w:instrText>
      </w:r>
      <w:r w:rsidRPr="00285071">
        <w:rPr>
          <w:rStyle w:val="af6"/>
          <w:rFonts w:eastAsia="Guttman Hodes" w:hint="cs"/>
          <w:rtl/>
        </w:rPr>
        <w:instrText xml:space="preserve"> _</w:instrText>
      </w:r>
      <w:r w:rsidRPr="00285071">
        <w:rPr>
          <w:rStyle w:val="af6"/>
          <w:rFonts w:eastAsia="Guttman Hodes" w:hint="cs"/>
        </w:rPr>
        <w:instrText>Ref24917500 \r \h</w:instrText>
      </w:r>
      <w:r w:rsidRPr="00285071">
        <w:rPr>
          <w:rStyle w:val="af6"/>
          <w:rFonts w:eastAsia="Guttman Hodes"/>
          <w:rtl/>
        </w:rPr>
        <w:instrText xml:space="preserve"> </w:instrText>
      </w:r>
      <w:r w:rsidRPr="00285071">
        <w:rPr>
          <w:rStyle w:val="af6"/>
          <w:rFonts w:eastAsia="Guttman Hodes"/>
          <w:rtl/>
        </w:rPr>
      </w:r>
      <w:r w:rsidRPr="00285071">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285071">
        <w:rPr>
          <w:rStyle w:val="af6"/>
          <w:rFonts w:eastAsia="Guttman Hodes"/>
          <w:rtl/>
        </w:rPr>
        <w:fldChar w:fldCharType="end"/>
      </w:r>
      <w:r>
        <w:rPr>
          <w:rFonts w:hint="cs"/>
          <w:rtl/>
        </w:rPr>
        <w:t xml:space="preserve"> דאמרינן חוזר וניעור, כשהוסיף איסור על התערובת, לאחר שהאיסור בטל ברוב, עד שיש רוב באיסור כנגד ההיתר, דחשיב שניכר האיסור וחוזר וניעור ואסור, מ"מ ס"ל </w:t>
      </w:r>
      <w:r w:rsidRPr="00217757">
        <w:rPr>
          <w:rStyle w:val="af8"/>
          <w:rFonts w:hint="cs"/>
          <w:rtl/>
        </w:rPr>
        <w:t xml:space="preserve">להרא"ש </w:t>
      </w:r>
      <w:r>
        <w:rPr>
          <w:rFonts w:hint="cs"/>
          <w:rtl/>
        </w:rPr>
        <w:t xml:space="preserve">דבחזר ובישל מותר, דכיון שהאיסור נהפך להיתר, כשנודעה התערובת ביבש ביבש, וביאר </w:t>
      </w:r>
      <w:r w:rsidRPr="00283A0A">
        <w:rPr>
          <w:rStyle w:val="af8"/>
          <w:rFonts w:hint="cs"/>
          <w:rtl/>
        </w:rPr>
        <w:t>היד יהודה</w:t>
      </w:r>
      <w:r>
        <w:rPr>
          <w:rFonts w:hint="cs"/>
          <w:rtl/>
        </w:rPr>
        <w:t xml:space="preserve"> דס"ל </w:t>
      </w:r>
      <w:r w:rsidRPr="00283A0A">
        <w:rPr>
          <w:rStyle w:val="af8"/>
          <w:rFonts w:hint="cs"/>
          <w:rtl/>
        </w:rPr>
        <w:t>להרא"ש</w:t>
      </w:r>
      <w:r>
        <w:rPr>
          <w:rFonts w:hint="cs"/>
          <w:rtl/>
        </w:rPr>
        <w:t xml:space="preserve"> דכיון שלא נוסף איסור בתערובת,</w:t>
      </w:r>
      <w:r w:rsidRPr="008858FC">
        <w:rPr>
          <w:rFonts w:hint="cs"/>
          <w:rtl/>
        </w:rPr>
        <w:t xml:space="preserve"> </w:t>
      </w:r>
      <w:r>
        <w:rPr>
          <w:rFonts w:hint="cs"/>
          <w:rtl/>
        </w:rPr>
        <w:t>לא אמרינן דהאיסור חוזר וניעור.</w:t>
      </w:r>
    </w:p>
    <w:p w:rsidR="00F13472" w:rsidRDefault="00F13472" w:rsidP="00F13472">
      <w:pPr>
        <w:pStyle w:val="a2"/>
        <w:rPr>
          <w:rtl/>
        </w:rPr>
      </w:pPr>
      <w:bookmarkStart w:id="14195" w:name="_Toc24709397"/>
      <w:bookmarkStart w:id="14196" w:name="_Toc24838989"/>
      <w:bookmarkStart w:id="14197" w:name="_Toc24918084"/>
      <w:bookmarkStart w:id="14198" w:name="_Toc24918295"/>
      <w:r>
        <w:rPr>
          <w:rFonts w:hint="cs"/>
          <w:rtl/>
        </w:rPr>
        <w:t>דברי היד יהודה דהרשב"א בתשו' כתב דאף להשואל דהאיסור הותר בחזר ובישל חוזר וניעור</w:t>
      </w:r>
      <w:bookmarkEnd w:id="14195"/>
      <w:bookmarkEnd w:id="14196"/>
      <w:bookmarkEnd w:id="14197"/>
      <w:bookmarkEnd w:id="14198"/>
    </w:p>
    <w:p w:rsidR="00F13472" w:rsidRPr="00262748" w:rsidRDefault="00F13472" w:rsidP="009F44AF">
      <w:pPr>
        <w:pStyle w:val="a"/>
        <w:rPr>
          <w:rtl/>
        </w:rPr>
      </w:pPr>
      <w:r>
        <w:rPr>
          <w:rFonts w:hint="cs"/>
          <w:rtl/>
        </w:rPr>
        <w:t xml:space="preserve">אך הביא </w:t>
      </w:r>
      <w:r w:rsidRPr="00217757">
        <w:rPr>
          <w:rStyle w:val="af8"/>
          <w:rFonts w:hint="cs"/>
          <w:rtl/>
        </w:rPr>
        <w:t xml:space="preserve">היד יהודה </w:t>
      </w:r>
      <w:r>
        <w:rPr>
          <w:rFonts w:hint="cs"/>
          <w:rtl/>
        </w:rPr>
        <w:t xml:space="preserve">את דברי </w:t>
      </w:r>
      <w:r w:rsidRPr="00217757">
        <w:rPr>
          <w:rStyle w:val="af8"/>
          <w:rFonts w:hint="cs"/>
          <w:rtl/>
        </w:rPr>
        <w:t xml:space="preserve">הרשב"א בתשו' </w:t>
      </w:r>
      <w:r w:rsidRPr="00285071">
        <w:rPr>
          <w:rStyle w:val="af6"/>
          <w:rFonts w:eastAsia="Guttman Hodes" w:hint="cs"/>
          <w:rtl/>
        </w:rPr>
        <w:t xml:space="preserve">(עי' אות </w:t>
      </w:r>
      <w:r w:rsidRPr="00285071">
        <w:rPr>
          <w:rStyle w:val="af6"/>
          <w:rFonts w:eastAsia="Guttman Hodes"/>
          <w:rtl/>
        </w:rPr>
        <w:fldChar w:fldCharType="begin"/>
      </w:r>
      <w:r w:rsidRPr="00285071">
        <w:rPr>
          <w:rStyle w:val="af6"/>
          <w:rFonts w:eastAsia="Guttman Hodes"/>
          <w:rtl/>
        </w:rPr>
        <w:instrText xml:space="preserve"> </w:instrText>
      </w:r>
      <w:r w:rsidRPr="00285071">
        <w:rPr>
          <w:rStyle w:val="af6"/>
          <w:rFonts w:eastAsia="Guttman Hodes" w:hint="cs"/>
        </w:rPr>
        <w:instrText>REF</w:instrText>
      </w:r>
      <w:r w:rsidRPr="00285071">
        <w:rPr>
          <w:rStyle w:val="af6"/>
          <w:rFonts w:eastAsia="Guttman Hodes" w:hint="cs"/>
          <w:rtl/>
        </w:rPr>
        <w:instrText xml:space="preserve"> _</w:instrText>
      </w:r>
      <w:r w:rsidRPr="00285071">
        <w:rPr>
          <w:rStyle w:val="af6"/>
          <w:rFonts w:eastAsia="Guttman Hodes" w:hint="cs"/>
        </w:rPr>
        <w:instrText>Ref24707269 \r \h</w:instrText>
      </w:r>
      <w:r w:rsidRPr="00285071">
        <w:rPr>
          <w:rStyle w:val="af6"/>
          <w:rFonts w:eastAsia="Guttman Hodes"/>
          <w:rtl/>
        </w:rPr>
        <w:instrText xml:space="preserve"> </w:instrText>
      </w:r>
      <w:r w:rsidRPr="00285071">
        <w:rPr>
          <w:rStyle w:val="af6"/>
          <w:rFonts w:eastAsia="Guttman Hodes"/>
          <w:rtl/>
        </w:rPr>
      </w:r>
      <w:r w:rsidRPr="00285071">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285071">
        <w:rPr>
          <w:rStyle w:val="af6"/>
          <w:rFonts w:eastAsia="Guttman Hodes"/>
          <w:rtl/>
        </w:rPr>
        <w:fldChar w:fldCharType="end"/>
      </w:r>
      <w:r>
        <w:rPr>
          <w:rFonts w:hint="cs"/>
          <w:rtl/>
        </w:rPr>
        <w:t xml:space="preserve"> דכתב דאף שההותר האיסור ביבש ביבש, מ"מ בחזר ובישל אסור, כיון שהאיסור נותן טעם בהיתר וצריך שישים, וכדביאר </w:t>
      </w:r>
      <w:r w:rsidRPr="00217757">
        <w:rPr>
          <w:rStyle w:val="af8"/>
          <w:rFonts w:hint="cs"/>
          <w:rtl/>
        </w:rPr>
        <w:t xml:space="preserve">הרשב"א בתשו' </w:t>
      </w:r>
      <w:r w:rsidRPr="00285071">
        <w:rPr>
          <w:rStyle w:val="af6"/>
          <w:rFonts w:eastAsia="Guttman Hodes" w:hint="cs"/>
          <w:rtl/>
        </w:rPr>
        <w:t xml:space="preserve">(עי' אות </w:t>
      </w:r>
      <w:r w:rsidRPr="00285071">
        <w:rPr>
          <w:rStyle w:val="af6"/>
          <w:rFonts w:eastAsia="Guttman Hodes"/>
          <w:rtl/>
        </w:rPr>
        <w:fldChar w:fldCharType="begin"/>
      </w:r>
      <w:r w:rsidRPr="00285071">
        <w:rPr>
          <w:rStyle w:val="af6"/>
          <w:rFonts w:eastAsia="Guttman Hodes"/>
          <w:rtl/>
        </w:rPr>
        <w:instrText xml:space="preserve"> </w:instrText>
      </w:r>
      <w:r w:rsidRPr="00285071">
        <w:rPr>
          <w:rStyle w:val="af6"/>
          <w:rFonts w:eastAsia="Guttman Hodes" w:hint="cs"/>
        </w:rPr>
        <w:instrText>REF</w:instrText>
      </w:r>
      <w:r w:rsidRPr="00285071">
        <w:rPr>
          <w:rStyle w:val="af6"/>
          <w:rFonts w:eastAsia="Guttman Hodes" w:hint="cs"/>
          <w:rtl/>
        </w:rPr>
        <w:instrText xml:space="preserve"> _</w:instrText>
      </w:r>
      <w:r w:rsidRPr="00285071">
        <w:rPr>
          <w:rStyle w:val="af6"/>
          <w:rFonts w:eastAsia="Guttman Hodes" w:hint="cs"/>
        </w:rPr>
        <w:instrText>Ref24917691 \r \h</w:instrText>
      </w:r>
      <w:r w:rsidRPr="00285071">
        <w:rPr>
          <w:rStyle w:val="af6"/>
          <w:rFonts w:eastAsia="Guttman Hodes"/>
          <w:rtl/>
        </w:rPr>
        <w:instrText xml:space="preserve"> </w:instrText>
      </w:r>
      <w:r w:rsidRPr="00285071">
        <w:rPr>
          <w:rStyle w:val="af6"/>
          <w:rFonts w:eastAsia="Guttman Hodes"/>
          <w:rtl/>
        </w:rPr>
      </w:r>
      <w:r w:rsidRPr="00285071">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285071">
        <w:rPr>
          <w:rStyle w:val="af6"/>
          <w:rFonts w:eastAsia="Guttman Hodes"/>
          <w:rtl/>
        </w:rPr>
        <w:fldChar w:fldCharType="end"/>
      </w:r>
      <w:r>
        <w:rPr>
          <w:rFonts w:hint="cs"/>
          <w:rtl/>
        </w:rPr>
        <w:t xml:space="preserve"> דאף שהותר בתחילה, מ"מ בתר בסוף אזלינן, וכתב </w:t>
      </w:r>
      <w:r w:rsidRPr="00217757">
        <w:rPr>
          <w:rStyle w:val="af8"/>
          <w:rFonts w:hint="cs"/>
          <w:rtl/>
        </w:rPr>
        <w:t xml:space="preserve">היד יהודה </w:t>
      </w:r>
      <w:r w:rsidRPr="00285071">
        <w:rPr>
          <w:rStyle w:val="af6"/>
          <w:rFonts w:eastAsia="Guttman Hodes" w:hint="cs"/>
          <w:rtl/>
        </w:rPr>
        <w:t xml:space="preserve">(עי' אות </w:t>
      </w:r>
      <w:r w:rsidRPr="00285071">
        <w:rPr>
          <w:rStyle w:val="af6"/>
          <w:rFonts w:eastAsia="Guttman Hodes"/>
          <w:rtl/>
        </w:rPr>
        <w:fldChar w:fldCharType="begin"/>
      </w:r>
      <w:r w:rsidRPr="00285071">
        <w:rPr>
          <w:rStyle w:val="af6"/>
          <w:rFonts w:eastAsia="Guttman Hodes"/>
          <w:rtl/>
        </w:rPr>
        <w:instrText xml:space="preserve"> </w:instrText>
      </w:r>
      <w:r w:rsidRPr="00285071">
        <w:rPr>
          <w:rStyle w:val="af6"/>
          <w:rFonts w:eastAsia="Guttman Hodes" w:hint="cs"/>
        </w:rPr>
        <w:instrText>REF</w:instrText>
      </w:r>
      <w:r w:rsidRPr="00285071">
        <w:rPr>
          <w:rStyle w:val="af6"/>
          <w:rFonts w:eastAsia="Guttman Hodes" w:hint="cs"/>
          <w:rtl/>
        </w:rPr>
        <w:instrText xml:space="preserve"> _</w:instrText>
      </w:r>
      <w:r w:rsidRPr="00285071">
        <w:rPr>
          <w:rStyle w:val="af6"/>
          <w:rFonts w:eastAsia="Guttman Hodes" w:hint="cs"/>
        </w:rPr>
        <w:instrText>Ref24917707 \r \h</w:instrText>
      </w:r>
      <w:r w:rsidRPr="00285071">
        <w:rPr>
          <w:rStyle w:val="af6"/>
          <w:rFonts w:eastAsia="Guttman Hodes"/>
          <w:rtl/>
        </w:rPr>
        <w:instrText xml:space="preserve"> </w:instrText>
      </w:r>
      <w:r w:rsidRPr="00285071">
        <w:rPr>
          <w:rStyle w:val="af6"/>
          <w:rFonts w:eastAsia="Guttman Hodes"/>
          <w:rtl/>
        </w:rPr>
      </w:r>
      <w:r w:rsidRPr="00285071">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285071">
        <w:rPr>
          <w:rStyle w:val="af6"/>
          <w:rFonts w:eastAsia="Guttman Hodes"/>
          <w:rtl/>
        </w:rPr>
        <w:fldChar w:fldCharType="end"/>
      </w:r>
      <w:r>
        <w:rPr>
          <w:rFonts w:hint="cs"/>
          <w:rtl/>
        </w:rPr>
        <w:t xml:space="preserve"> דכוונת </w:t>
      </w:r>
      <w:r w:rsidRPr="00217757">
        <w:rPr>
          <w:rStyle w:val="af8"/>
          <w:rFonts w:hint="cs"/>
          <w:rtl/>
        </w:rPr>
        <w:t xml:space="preserve">הרשב"א בתשו' </w:t>
      </w:r>
      <w:r>
        <w:rPr>
          <w:rFonts w:hint="cs"/>
          <w:rtl/>
        </w:rPr>
        <w:t xml:space="preserve">לומר דאף להבנת </w:t>
      </w:r>
      <w:r w:rsidRPr="00217757">
        <w:rPr>
          <w:rStyle w:val="af8"/>
          <w:rFonts w:hint="cs"/>
          <w:rtl/>
        </w:rPr>
        <w:t xml:space="preserve">השואל בתשו' הרשב"א </w:t>
      </w:r>
      <w:r>
        <w:rPr>
          <w:rFonts w:hint="cs"/>
          <w:rtl/>
        </w:rPr>
        <w:t>דהאיסור נהפך להיתר, מ"מ בחזר ובישל שהאיסור נותן טעם בהיתר אמרינן דחוזר וניעור.</w:t>
      </w:r>
    </w:p>
    <w:p w:rsidR="00F13472" w:rsidRDefault="00F13472" w:rsidP="00F13472">
      <w:pPr>
        <w:pStyle w:val="1"/>
        <w:rPr>
          <w:rtl/>
        </w:rPr>
      </w:pPr>
      <w:bookmarkStart w:id="14199" w:name="_Toc24403375"/>
      <w:bookmarkStart w:id="14200" w:name="_Toc24455842"/>
      <w:bookmarkStart w:id="14201" w:name="_Toc24576833"/>
      <w:bookmarkStart w:id="14202" w:name="_Toc24709398"/>
      <w:bookmarkStart w:id="14203" w:name="_Toc24838990"/>
      <w:bookmarkStart w:id="14204" w:name="_Toc24918085"/>
      <w:bookmarkStart w:id="14205" w:name="_Toc24918296"/>
      <w:bookmarkEnd w:id="14168"/>
      <w:bookmarkEnd w:id="14169"/>
      <w:r>
        <w:rPr>
          <w:rFonts w:hint="cs"/>
          <w:rtl/>
        </w:rPr>
        <w:t>דעת היש"ש</w:t>
      </w:r>
      <w:bookmarkEnd w:id="14199"/>
      <w:bookmarkEnd w:id="14200"/>
      <w:bookmarkEnd w:id="14201"/>
      <w:r>
        <w:rPr>
          <w:rFonts w:hint="cs"/>
          <w:rtl/>
        </w:rPr>
        <w:t xml:space="preserve"> דמותר בב"א אך אסור בבישל אטו לח באינו מינו</w:t>
      </w:r>
      <w:bookmarkEnd w:id="14202"/>
      <w:bookmarkEnd w:id="14203"/>
      <w:bookmarkEnd w:id="14204"/>
      <w:bookmarkEnd w:id="14205"/>
    </w:p>
    <w:p w:rsidR="00F13472" w:rsidRPr="00FD4BCF" w:rsidRDefault="00F13472" w:rsidP="00F13472">
      <w:pPr>
        <w:pStyle w:val="a2"/>
        <w:rPr>
          <w:rtl/>
        </w:rPr>
      </w:pPr>
      <w:bookmarkStart w:id="14206" w:name="_Toc24576834"/>
      <w:bookmarkStart w:id="14207" w:name="_Toc24709399"/>
      <w:bookmarkStart w:id="14208" w:name="_Toc24838991"/>
      <w:bookmarkStart w:id="14209" w:name="_Toc24918086"/>
      <w:bookmarkStart w:id="14210" w:name="_Toc24918297"/>
      <w:r>
        <w:rPr>
          <w:rFonts w:hint="cs"/>
          <w:rtl/>
        </w:rPr>
        <w:t>קושית היש"ש על הרא"ש דאף שהותר ביבש מ"מ אחר הבישול הוא בכלל הגזירה אטו אינו מינו</w:t>
      </w:r>
      <w:bookmarkEnd w:id="14206"/>
      <w:bookmarkEnd w:id="14207"/>
      <w:bookmarkEnd w:id="14208"/>
      <w:bookmarkEnd w:id="14209"/>
      <w:bookmarkEnd w:id="14210"/>
    </w:p>
    <w:p w:rsidR="00F13472" w:rsidRPr="006264A5" w:rsidRDefault="00F13472" w:rsidP="009F44AF">
      <w:pPr>
        <w:pStyle w:val="a"/>
        <w:rPr>
          <w:rStyle w:val="af6"/>
          <w:rFonts w:eastAsia="Guttman Hodes"/>
        </w:rPr>
      </w:pPr>
      <w:bookmarkStart w:id="14211" w:name="_Ref24906012"/>
      <w:r>
        <w:rPr>
          <w:rFonts w:hint="cs"/>
          <w:rtl/>
        </w:rPr>
        <w:t>במ"ש</w:t>
      </w:r>
      <w:r w:rsidRPr="00FD4BCF">
        <w:rPr>
          <w:rFonts w:hint="cs"/>
          <w:rtl/>
        </w:rPr>
        <w:t xml:space="preserve"> </w:t>
      </w:r>
      <w:r w:rsidRPr="00FD4BCF">
        <w:rPr>
          <w:rStyle w:val="af8"/>
          <w:rFonts w:hint="cs"/>
          <w:rtl/>
        </w:rPr>
        <w:t>הרא"</w:t>
      </w:r>
      <w:r w:rsidRPr="006A6FE4">
        <w:rPr>
          <w:rStyle w:val="af8"/>
          <w:rFonts w:hint="cs"/>
          <w:rtl/>
        </w:rPr>
        <w:t>ש</w:t>
      </w:r>
      <w:r>
        <w:rPr>
          <w:rFonts w:hint="cs"/>
          <w:rtl/>
        </w:rPr>
        <w:t xml:space="preserve"> </w:t>
      </w:r>
      <w:r w:rsidRPr="006264A5">
        <w:rPr>
          <w:rStyle w:val="af6"/>
          <w:rFonts w:eastAsia="Guttman Hodes" w:hint="cs"/>
          <w:rtl/>
        </w:rPr>
        <w:t xml:space="preserve">(עי' אות </w:t>
      </w:r>
      <w:r w:rsidRPr="006264A5">
        <w:rPr>
          <w:rStyle w:val="af6"/>
          <w:rFonts w:eastAsia="Guttman Hodes"/>
          <w:rtl/>
        </w:rPr>
        <w:fldChar w:fldCharType="begin"/>
      </w:r>
      <w:r w:rsidRPr="006264A5">
        <w:rPr>
          <w:rStyle w:val="af6"/>
          <w:rFonts w:eastAsia="Guttman Hodes"/>
          <w:rtl/>
        </w:rPr>
        <w:instrText xml:space="preserve"> </w:instrText>
      </w:r>
      <w:r w:rsidRPr="006264A5">
        <w:rPr>
          <w:rStyle w:val="af6"/>
          <w:rFonts w:eastAsia="Guttman Hodes" w:hint="cs"/>
        </w:rPr>
        <w:instrText>REF</w:instrText>
      </w:r>
      <w:r w:rsidRPr="006264A5">
        <w:rPr>
          <w:rStyle w:val="af6"/>
          <w:rFonts w:eastAsia="Guttman Hodes" w:hint="cs"/>
          <w:rtl/>
        </w:rPr>
        <w:instrText xml:space="preserve"> _</w:instrText>
      </w:r>
      <w:r w:rsidRPr="006264A5">
        <w:rPr>
          <w:rStyle w:val="af6"/>
          <w:rFonts w:eastAsia="Guttman Hodes" w:hint="cs"/>
        </w:rPr>
        <w:instrText>Ref23959069 \r \h</w:instrText>
      </w:r>
      <w:r w:rsidRPr="006264A5">
        <w:rPr>
          <w:rStyle w:val="af6"/>
          <w:rFonts w:eastAsia="Guttman Hodes"/>
          <w:rtl/>
        </w:rPr>
        <w:instrText xml:space="preserve"> </w:instrText>
      </w:r>
      <w:r w:rsidRPr="006264A5">
        <w:rPr>
          <w:rStyle w:val="af6"/>
          <w:rFonts w:eastAsia="Guttman Hodes"/>
          <w:rtl/>
        </w:rPr>
      </w:r>
      <w:r w:rsidRPr="006264A5">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6264A5">
        <w:rPr>
          <w:rStyle w:val="af6"/>
          <w:rFonts w:eastAsia="Guttman Hodes"/>
          <w:rtl/>
        </w:rPr>
        <w:fldChar w:fldCharType="end"/>
      </w:r>
      <w:r>
        <w:rPr>
          <w:rFonts w:hint="cs"/>
          <w:rtl/>
        </w:rPr>
        <w:t xml:space="preserve"> דב</w:t>
      </w:r>
      <w:r w:rsidRPr="002339E2">
        <w:rPr>
          <w:rFonts w:hint="eastAsia"/>
          <w:rtl/>
        </w:rPr>
        <w:t>חזר</w:t>
      </w:r>
      <w:r w:rsidRPr="002339E2">
        <w:rPr>
          <w:rtl/>
        </w:rPr>
        <w:t xml:space="preserve"> </w:t>
      </w:r>
      <w:r w:rsidRPr="002339E2">
        <w:rPr>
          <w:rFonts w:hint="eastAsia"/>
          <w:rtl/>
        </w:rPr>
        <w:t>ובישל</w:t>
      </w:r>
      <w:r w:rsidRPr="002339E2">
        <w:rPr>
          <w:rtl/>
        </w:rPr>
        <w:t xml:space="preserve"> </w:t>
      </w:r>
      <w:r w:rsidRPr="002339E2">
        <w:rPr>
          <w:rFonts w:hint="eastAsia"/>
          <w:rtl/>
        </w:rPr>
        <w:t>מותר</w:t>
      </w:r>
      <w:r>
        <w:rPr>
          <w:rFonts w:hint="cs"/>
          <w:rtl/>
        </w:rPr>
        <w:t xml:space="preserve">, </w:t>
      </w:r>
      <w:r w:rsidRPr="00FD4BCF">
        <w:rPr>
          <w:rFonts w:hint="cs"/>
          <w:rtl/>
        </w:rPr>
        <w:t xml:space="preserve">הקשה </w:t>
      </w:r>
      <w:r w:rsidRPr="00FD4BCF">
        <w:rPr>
          <w:rStyle w:val="af8"/>
          <w:rFonts w:hint="cs"/>
          <w:rtl/>
        </w:rPr>
        <w:t>היש"ש</w:t>
      </w:r>
      <w:r w:rsidRPr="006264A5">
        <w:rPr>
          <w:rStyle w:val="af6"/>
          <w:rFonts w:eastAsia="Guttman Hodes" w:hint="cs"/>
          <w:rtl/>
        </w:rPr>
        <w:t xml:space="preserve"> (בפירקין סי' מ"ז ד"ה ואעפ"י שהן) </w:t>
      </w:r>
      <w:r>
        <w:rPr>
          <w:rFonts w:hint="cs"/>
          <w:rtl/>
        </w:rPr>
        <w:t xml:space="preserve">דכיון שהצריכו רבנן שישים במין במינו בלח, אעפ"י שאין בו נתינת טעם, דגזרו בו אטו מין בשאינו מינו, א"כ מה מהני שהאיסור התבטל כשהיה יבש, הרי כיון שבישלו ונעשה לח, א"כ הוא בכלל הגזירה דאטו מין בשאינו </w:t>
      </w:r>
      <w:r w:rsidRPr="006264A5">
        <w:rPr>
          <w:rFonts w:hint="cs"/>
          <w:rtl/>
        </w:rPr>
        <w:t>מינו. [ועי'</w:t>
      </w:r>
      <w:r>
        <w:rPr>
          <w:rFonts w:hint="cs"/>
          <w:rtl/>
        </w:rPr>
        <w:t xml:space="preserve"> </w:t>
      </w:r>
      <w:r w:rsidRPr="00FD4BCF">
        <w:rPr>
          <w:rFonts w:hint="cs"/>
          <w:rtl/>
        </w:rPr>
        <w:t xml:space="preserve">במה שביאר </w:t>
      </w:r>
      <w:r w:rsidRPr="00FD4BCF">
        <w:rPr>
          <w:rStyle w:val="af8"/>
          <w:rFonts w:hint="cs"/>
          <w:rtl/>
        </w:rPr>
        <w:t>השער"י</w:t>
      </w:r>
      <w:r w:rsidRPr="00FD4BCF">
        <w:rPr>
          <w:rFonts w:hint="cs"/>
          <w:rtl/>
        </w:rPr>
        <w:t xml:space="preserve"> בדברי </w:t>
      </w:r>
      <w:r w:rsidRPr="00FD4BCF">
        <w:rPr>
          <w:rStyle w:val="af8"/>
          <w:rFonts w:hint="cs"/>
          <w:rtl/>
        </w:rPr>
        <w:t>הרא"ש</w:t>
      </w:r>
      <w:r w:rsidRPr="00FD4BCF">
        <w:rPr>
          <w:rFonts w:hint="cs"/>
          <w:rtl/>
        </w:rPr>
        <w:t xml:space="preserve"> </w:t>
      </w:r>
      <w:r w:rsidRPr="006264A5">
        <w:rPr>
          <w:rStyle w:val="af6"/>
          <w:rFonts w:eastAsia="Guttman Hodes" w:hint="cs"/>
          <w:rtl/>
        </w:rPr>
        <w:t xml:space="preserve">(עי' אות </w:t>
      </w:r>
      <w:r w:rsidRPr="006264A5">
        <w:rPr>
          <w:rStyle w:val="af6"/>
          <w:rFonts w:eastAsia="Guttman Hodes"/>
          <w:rtl/>
        </w:rPr>
        <w:fldChar w:fldCharType="begin"/>
      </w:r>
      <w:r w:rsidRPr="006264A5">
        <w:rPr>
          <w:rStyle w:val="af6"/>
          <w:rFonts w:eastAsia="Guttman Hodes"/>
          <w:rtl/>
        </w:rPr>
        <w:instrText xml:space="preserve"> </w:instrText>
      </w:r>
      <w:r w:rsidRPr="006264A5">
        <w:rPr>
          <w:rStyle w:val="af6"/>
          <w:rFonts w:eastAsia="Guttman Hodes" w:hint="cs"/>
        </w:rPr>
        <w:instrText>REF</w:instrText>
      </w:r>
      <w:r w:rsidRPr="006264A5">
        <w:rPr>
          <w:rStyle w:val="af6"/>
          <w:rFonts w:eastAsia="Guttman Hodes" w:hint="cs"/>
          <w:rtl/>
        </w:rPr>
        <w:instrText xml:space="preserve"> _</w:instrText>
      </w:r>
      <w:r w:rsidRPr="006264A5">
        <w:rPr>
          <w:rStyle w:val="af6"/>
          <w:rFonts w:eastAsia="Guttman Hodes" w:hint="cs"/>
        </w:rPr>
        <w:instrText>Ref21598737 \r \h</w:instrText>
      </w:r>
      <w:r w:rsidRPr="006264A5">
        <w:rPr>
          <w:rStyle w:val="af6"/>
          <w:rFonts w:eastAsia="Guttman Hodes"/>
          <w:rtl/>
        </w:rPr>
        <w:instrText xml:space="preserve"> </w:instrText>
      </w:r>
      <w:r w:rsidRPr="006264A5">
        <w:rPr>
          <w:rStyle w:val="af6"/>
          <w:rFonts w:eastAsia="Guttman Hodes"/>
          <w:rtl/>
        </w:rPr>
      </w:r>
      <w:r w:rsidRPr="006264A5">
        <w:rPr>
          <w:rStyle w:val="af6"/>
          <w:rFonts w:eastAsia="Guttman Hodes"/>
          <w:rtl/>
        </w:rPr>
        <w:fldChar w:fldCharType="separate"/>
      </w:r>
      <w:r w:rsidR="004D1C5B">
        <w:rPr>
          <w:rStyle w:val="af6"/>
          <w:rFonts w:eastAsia="Guttman Hodes"/>
          <w:cs/>
        </w:rPr>
        <w:t>‎</w:t>
      </w:r>
      <w:r w:rsidR="004D1C5B">
        <w:rPr>
          <w:rStyle w:val="af6"/>
          <w:rFonts w:eastAsia="Guttman Hodes"/>
          <w:rtl/>
        </w:rPr>
        <w:t>קכב)</w:t>
      </w:r>
      <w:r w:rsidRPr="006264A5">
        <w:rPr>
          <w:rStyle w:val="af6"/>
          <w:rFonts w:eastAsia="Guttman Hodes"/>
          <w:rtl/>
        </w:rPr>
        <w:fldChar w:fldCharType="end"/>
      </w:r>
      <w:r>
        <w:rPr>
          <w:rFonts w:hint="cs"/>
          <w:rtl/>
        </w:rPr>
        <w:t>]</w:t>
      </w:r>
      <w:r w:rsidRPr="006264A5">
        <w:rPr>
          <w:rFonts w:hint="cs"/>
          <w:rtl/>
        </w:rPr>
        <w:t>.</w:t>
      </w:r>
      <w:bookmarkStart w:id="14212" w:name="_Toc24576835"/>
      <w:bookmarkStart w:id="14213" w:name="_Toc24709400"/>
      <w:bookmarkStart w:id="14214" w:name="_Toc24838992"/>
      <w:bookmarkEnd w:id="14211"/>
    </w:p>
    <w:p w:rsidR="00F13472" w:rsidRPr="00D87CCF" w:rsidRDefault="00F13472" w:rsidP="00F13472">
      <w:pPr>
        <w:pStyle w:val="a2"/>
      </w:pPr>
      <w:bookmarkStart w:id="14215" w:name="_Toc24918087"/>
      <w:bookmarkStart w:id="14216" w:name="_Toc24918298"/>
      <w:r>
        <w:rPr>
          <w:rFonts w:hint="cs"/>
          <w:rtl/>
        </w:rPr>
        <w:t>דברי היש"ש דאף דמסתבר כהרא"ש דהאיסור נהפך להיתר מ"מ בחזר ובישלו אסור</w:t>
      </w:r>
      <w:bookmarkEnd w:id="14212"/>
      <w:bookmarkEnd w:id="14213"/>
      <w:bookmarkEnd w:id="14214"/>
      <w:bookmarkEnd w:id="14215"/>
      <w:bookmarkEnd w:id="14216"/>
    </w:p>
    <w:p w:rsidR="00F13472" w:rsidRPr="001A488C" w:rsidRDefault="00F13472" w:rsidP="009F44AF">
      <w:pPr>
        <w:pStyle w:val="a"/>
        <w:rPr>
          <w:rStyle w:val="afa"/>
          <w:rtl/>
        </w:rPr>
      </w:pPr>
      <w:r>
        <w:rPr>
          <w:rFonts w:hint="cs"/>
          <w:rtl/>
        </w:rPr>
        <w:t xml:space="preserve">אלא כתב </w:t>
      </w:r>
      <w:r w:rsidRPr="006A6FE4">
        <w:rPr>
          <w:rStyle w:val="af8"/>
          <w:rFonts w:hint="cs"/>
          <w:rtl/>
        </w:rPr>
        <w:t>היש"ש</w:t>
      </w:r>
      <w:r>
        <w:rPr>
          <w:rStyle w:val="af8"/>
          <w:rFonts w:hint="cs"/>
          <w:rtl/>
        </w:rPr>
        <w:t xml:space="preserve"> </w:t>
      </w:r>
      <w:r>
        <w:rPr>
          <w:rFonts w:hint="cs"/>
          <w:rtl/>
        </w:rPr>
        <w:t xml:space="preserve">דאעפ"י שמסברא נראה כדברי </w:t>
      </w:r>
      <w:r w:rsidRPr="006A6FE4">
        <w:rPr>
          <w:rStyle w:val="af8"/>
          <w:rFonts w:hint="cs"/>
          <w:rtl/>
        </w:rPr>
        <w:t>הרא"ש</w:t>
      </w:r>
      <w:r>
        <w:rPr>
          <w:rFonts w:hint="cs"/>
          <w:rtl/>
        </w:rPr>
        <w:t xml:space="preserve"> דהאיסור נהפך להיתר ומותר לחזור ולבשל,</w:t>
      </w:r>
      <w:r w:rsidRPr="00D87CCF">
        <w:rPr>
          <w:rFonts w:hint="cs"/>
          <w:rtl/>
        </w:rPr>
        <w:t xml:space="preserve"> </w:t>
      </w:r>
      <w:r>
        <w:rPr>
          <w:rFonts w:hint="cs"/>
          <w:rtl/>
        </w:rPr>
        <w:t>מ"מ אין נראה להקל לחזור ולבשל</w:t>
      </w:r>
      <w:r w:rsidRPr="00FD4BCF">
        <w:rPr>
          <w:rFonts w:hint="cs"/>
          <w:rtl/>
        </w:rPr>
        <w:t>.</w:t>
      </w:r>
      <w:r>
        <w:rPr>
          <w:rFonts w:hint="cs"/>
          <w:rtl/>
        </w:rPr>
        <w:t xml:space="preserve"> </w:t>
      </w:r>
      <w:r w:rsidRPr="001A488C">
        <w:rPr>
          <w:rStyle w:val="afa"/>
          <w:rFonts w:hint="cs"/>
          <w:rtl/>
        </w:rPr>
        <w:t>[דהוא בכלל הגזירה דמין במינו בלח אטו מין בשאינו מינו].</w:t>
      </w:r>
    </w:p>
    <w:p w:rsidR="00F13472" w:rsidRDefault="00F13472" w:rsidP="00F13472">
      <w:pPr>
        <w:pStyle w:val="a2"/>
        <w:rPr>
          <w:rtl/>
        </w:rPr>
      </w:pPr>
      <w:bookmarkStart w:id="14217" w:name="_Toc24576836"/>
      <w:bookmarkStart w:id="14218" w:name="_Toc24709401"/>
      <w:bookmarkStart w:id="14219" w:name="_Toc24838993"/>
      <w:bookmarkStart w:id="14220" w:name="_Toc24918088"/>
      <w:bookmarkStart w:id="14221" w:name="_Toc24918299"/>
      <w:r>
        <w:rPr>
          <w:rFonts w:hint="cs"/>
          <w:rtl/>
        </w:rPr>
        <w:t>דברי היש"ש דאף דאסור בחזר ובישל מ"מ מותר לאכול את כל התערובת בב"א דהתבטל ברוב</w:t>
      </w:r>
      <w:bookmarkEnd w:id="14217"/>
      <w:bookmarkEnd w:id="14218"/>
      <w:bookmarkEnd w:id="14219"/>
      <w:bookmarkEnd w:id="14220"/>
      <w:bookmarkEnd w:id="14221"/>
    </w:p>
    <w:p w:rsidR="00F13472" w:rsidRDefault="00F13472" w:rsidP="009F44AF">
      <w:pPr>
        <w:pStyle w:val="a"/>
        <w:rPr>
          <w:rtl/>
        </w:rPr>
      </w:pPr>
      <w:bookmarkStart w:id="14222" w:name="_Ref24572869"/>
      <w:r>
        <w:rPr>
          <w:rFonts w:hint="cs"/>
          <w:rtl/>
        </w:rPr>
        <w:t xml:space="preserve">אך כתב </w:t>
      </w:r>
      <w:r w:rsidRPr="006A6FE4">
        <w:rPr>
          <w:rStyle w:val="af8"/>
          <w:rFonts w:hint="cs"/>
          <w:rtl/>
        </w:rPr>
        <w:t>היש"ש</w:t>
      </w:r>
      <w:r>
        <w:rPr>
          <w:rFonts w:hint="cs"/>
          <w:rtl/>
        </w:rPr>
        <w:t xml:space="preserve"> דמ"מ מותר לאכול את כל התערובת בבת אחת כדעת </w:t>
      </w:r>
      <w:r w:rsidRPr="006A6FE4">
        <w:rPr>
          <w:rStyle w:val="af8"/>
          <w:rFonts w:hint="cs"/>
          <w:rtl/>
        </w:rPr>
        <w:t>הרא"ש</w:t>
      </w:r>
      <w:r w:rsidRPr="00E7534C">
        <w:rPr>
          <w:rStyle w:val="af6"/>
          <w:rFonts w:eastAsia="Guttman Hodes" w:hint="cs"/>
          <w:rtl/>
        </w:rPr>
        <w:t xml:space="preserve"> (עי' אות </w:t>
      </w:r>
      <w:r w:rsidRPr="00E7534C">
        <w:rPr>
          <w:rStyle w:val="af6"/>
          <w:rFonts w:eastAsia="Guttman Hodes"/>
          <w:rtl/>
        </w:rPr>
        <w:fldChar w:fldCharType="begin"/>
      </w:r>
      <w:r w:rsidRPr="00E7534C">
        <w:rPr>
          <w:rStyle w:val="af6"/>
          <w:rFonts w:eastAsia="Guttman Hodes"/>
          <w:rtl/>
        </w:rPr>
        <w:instrText xml:space="preserve"> </w:instrText>
      </w:r>
      <w:r w:rsidRPr="00E7534C">
        <w:rPr>
          <w:rStyle w:val="af6"/>
          <w:rFonts w:eastAsia="Guttman Hodes" w:hint="cs"/>
        </w:rPr>
        <w:instrText>REF</w:instrText>
      </w:r>
      <w:r w:rsidRPr="00E7534C">
        <w:rPr>
          <w:rStyle w:val="af6"/>
          <w:rFonts w:eastAsia="Guttman Hodes" w:hint="cs"/>
          <w:rtl/>
        </w:rPr>
        <w:instrText xml:space="preserve"> _</w:instrText>
      </w:r>
      <w:r w:rsidRPr="00E7534C">
        <w:rPr>
          <w:rStyle w:val="af6"/>
          <w:rFonts w:eastAsia="Guttman Hodes" w:hint="cs"/>
        </w:rPr>
        <w:instrText>Ref24564844 \r \h</w:instrText>
      </w:r>
      <w:r w:rsidRPr="00E7534C">
        <w:rPr>
          <w:rStyle w:val="af6"/>
          <w:rFonts w:eastAsia="Guttman Hodes"/>
          <w:rtl/>
        </w:rPr>
        <w:instrText xml:space="preserve"> </w:instrText>
      </w:r>
      <w:r w:rsidRPr="00E7534C">
        <w:rPr>
          <w:rStyle w:val="af6"/>
          <w:rFonts w:eastAsia="Guttman Hodes"/>
          <w:rtl/>
        </w:rPr>
      </w:r>
      <w:r w:rsidRPr="00E7534C">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E7534C">
        <w:rPr>
          <w:rStyle w:val="af6"/>
          <w:rFonts w:eastAsia="Guttman Hodes"/>
          <w:rtl/>
        </w:rPr>
        <w:fldChar w:fldCharType="end"/>
      </w:r>
      <w:r>
        <w:rPr>
          <w:rFonts w:hint="cs"/>
          <w:rtl/>
        </w:rPr>
        <w:t xml:space="preserve">, וא"צ לאכול כל חתיכה בפנ"ע, </w:t>
      </w:r>
      <w:r w:rsidRPr="00AC5409">
        <w:rPr>
          <w:rStyle w:val="afa"/>
          <w:rFonts w:hint="cs"/>
          <w:rtl/>
        </w:rPr>
        <w:t xml:space="preserve">[כדעת </w:t>
      </w:r>
      <w:r w:rsidRPr="00AC5409">
        <w:rPr>
          <w:rStyle w:val="affa"/>
          <w:rFonts w:hint="cs"/>
          <w:rtl/>
        </w:rPr>
        <w:t>הרשב"א</w:t>
      </w:r>
      <w:r w:rsidRPr="00AC5409">
        <w:rPr>
          <w:rStyle w:val="afa"/>
          <w:rFonts w:hint="cs"/>
          <w:rtl/>
        </w:rPr>
        <w:t xml:space="preserve"> </w:t>
      </w:r>
      <w:r w:rsidRPr="00AC5409">
        <w:rPr>
          <w:rStyle w:val="aff6"/>
          <w:rFonts w:hint="cs"/>
          <w:rtl/>
        </w:rPr>
        <w:t xml:space="preserve">(עי' אות </w:t>
      </w:r>
      <w:r w:rsidRPr="00AC5409">
        <w:rPr>
          <w:rStyle w:val="aff6"/>
          <w:rtl/>
        </w:rPr>
        <w:fldChar w:fldCharType="begin"/>
      </w:r>
      <w:r w:rsidRPr="00AC5409">
        <w:rPr>
          <w:rStyle w:val="aff6"/>
          <w:rtl/>
        </w:rPr>
        <w:instrText xml:space="preserve"> </w:instrText>
      </w:r>
      <w:r w:rsidRPr="00AC5409">
        <w:rPr>
          <w:rStyle w:val="aff6"/>
          <w:rFonts w:hint="cs"/>
        </w:rPr>
        <w:instrText>REF</w:instrText>
      </w:r>
      <w:r w:rsidRPr="00AC5409">
        <w:rPr>
          <w:rStyle w:val="aff6"/>
          <w:rFonts w:hint="cs"/>
          <w:rtl/>
        </w:rPr>
        <w:instrText xml:space="preserve"> _</w:instrText>
      </w:r>
      <w:r w:rsidRPr="00AC5409">
        <w:rPr>
          <w:rStyle w:val="aff6"/>
          <w:rFonts w:hint="cs"/>
        </w:rPr>
        <w:instrText>Ref24501484 \r \h</w:instrText>
      </w:r>
      <w:r w:rsidRPr="00AC5409">
        <w:rPr>
          <w:rStyle w:val="aff6"/>
          <w:rtl/>
        </w:rPr>
        <w:instrText xml:space="preserve"> </w:instrText>
      </w:r>
      <w:r w:rsidRPr="00AC5409">
        <w:rPr>
          <w:rStyle w:val="aff6"/>
          <w:rtl/>
        </w:rPr>
      </w:r>
      <w:r w:rsidRPr="00AC5409">
        <w:rPr>
          <w:rStyle w:val="aff6"/>
          <w:rtl/>
        </w:rPr>
        <w:fldChar w:fldCharType="separate"/>
      </w:r>
      <w:r w:rsidR="004D1C5B">
        <w:rPr>
          <w:rStyle w:val="aff6"/>
          <w:cs/>
        </w:rPr>
        <w:t>‎</w:t>
      </w:r>
      <w:r w:rsidR="004D1C5B">
        <w:rPr>
          <w:rStyle w:val="aff6"/>
          <w:rtl/>
        </w:rPr>
        <w:t>א)</w:t>
      </w:r>
      <w:r w:rsidRPr="00AC5409">
        <w:rPr>
          <w:rStyle w:val="aff6"/>
          <w:rtl/>
        </w:rPr>
        <w:fldChar w:fldCharType="end"/>
      </w:r>
      <w:r w:rsidRPr="00AC5409">
        <w:rPr>
          <w:rStyle w:val="afa"/>
          <w:rFonts w:hint="cs"/>
          <w:rtl/>
        </w:rPr>
        <w:t xml:space="preserve">], </w:t>
      </w:r>
      <w:r>
        <w:rPr>
          <w:rFonts w:hint="cs"/>
          <w:rtl/>
        </w:rPr>
        <w:t xml:space="preserve">דכיון שביבש ביבש האיסור התבטל ברוב דחד בתרי ומותר אף מדרבנן, מותר לאכול את כל התערובת בבת אחת. </w:t>
      </w:r>
      <w:r w:rsidRPr="00AC5409">
        <w:rPr>
          <w:rStyle w:val="afa"/>
          <w:rFonts w:hint="cs"/>
          <w:rtl/>
        </w:rPr>
        <w:t>[ועי' במ"ש</w:t>
      </w:r>
      <w:r>
        <w:rPr>
          <w:rFonts w:hint="cs"/>
          <w:rtl/>
        </w:rPr>
        <w:t xml:space="preserve"> </w:t>
      </w:r>
      <w:r w:rsidRPr="00AC5409">
        <w:rPr>
          <w:rStyle w:val="affa"/>
          <w:rFonts w:hint="cs"/>
          <w:rtl/>
        </w:rPr>
        <w:t>הדרכ"מ והגר"א</w:t>
      </w:r>
      <w:r w:rsidRPr="00AC5409">
        <w:rPr>
          <w:rStyle w:val="afa"/>
          <w:rFonts w:hint="cs"/>
          <w:rtl/>
        </w:rPr>
        <w:t xml:space="preserve"> </w:t>
      </w:r>
      <w:r w:rsidRPr="00AC5409">
        <w:rPr>
          <w:rStyle w:val="aff6"/>
          <w:rFonts w:hint="cs"/>
          <w:rtl/>
        </w:rPr>
        <w:t xml:space="preserve">(עי' אות </w:t>
      </w:r>
      <w:r w:rsidRPr="00AC5409">
        <w:rPr>
          <w:rStyle w:val="aff6"/>
          <w:rtl/>
        </w:rPr>
        <w:fldChar w:fldCharType="begin"/>
      </w:r>
      <w:r w:rsidRPr="00AC5409">
        <w:rPr>
          <w:rStyle w:val="aff6"/>
          <w:rtl/>
        </w:rPr>
        <w:instrText xml:space="preserve"> </w:instrText>
      </w:r>
      <w:r w:rsidRPr="00AC5409">
        <w:rPr>
          <w:rStyle w:val="aff6"/>
          <w:rFonts w:hint="cs"/>
        </w:rPr>
        <w:instrText>REF</w:instrText>
      </w:r>
      <w:r w:rsidRPr="00AC5409">
        <w:rPr>
          <w:rStyle w:val="aff6"/>
          <w:rFonts w:hint="cs"/>
          <w:rtl/>
        </w:rPr>
        <w:instrText xml:space="preserve"> _</w:instrText>
      </w:r>
      <w:r w:rsidRPr="00AC5409">
        <w:rPr>
          <w:rStyle w:val="aff6"/>
          <w:rFonts w:hint="cs"/>
        </w:rPr>
        <w:instrText>Ref24572968 \r \h</w:instrText>
      </w:r>
      <w:r w:rsidRPr="00AC5409">
        <w:rPr>
          <w:rStyle w:val="aff6"/>
          <w:rtl/>
        </w:rPr>
        <w:instrText xml:space="preserve"> </w:instrText>
      </w:r>
      <w:r w:rsidRPr="00AC5409">
        <w:rPr>
          <w:rStyle w:val="aff6"/>
          <w:rtl/>
        </w:rPr>
      </w:r>
      <w:r w:rsidRPr="00AC5409">
        <w:rPr>
          <w:rStyle w:val="aff6"/>
          <w:rtl/>
        </w:rPr>
        <w:fldChar w:fldCharType="separate"/>
      </w:r>
      <w:r w:rsidR="004D1C5B">
        <w:rPr>
          <w:rStyle w:val="aff6"/>
          <w:cs/>
        </w:rPr>
        <w:t>‎</w:t>
      </w:r>
      <w:r w:rsidR="004D1C5B">
        <w:rPr>
          <w:rStyle w:val="aff6"/>
          <w:rtl/>
        </w:rPr>
        <w:t>לו)</w:t>
      </w:r>
      <w:r w:rsidRPr="00AC5409">
        <w:rPr>
          <w:rStyle w:val="aff6"/>
          <w:rtl/>
        </w:rPr>
        <w:fldChar w:fldCharType="end"/>
      </w:r>
      <w:r w:rsidRPr="00AC5409">
        <w:rPr>
          <w:rStyle w:val="afa"/>
          <w:rFonts w:hint="cs"/>
          <w:rtl/>
        </w:rPr>
        <w:t xml:space="preserve"> </w:t>
      </w:r>
      <w:r w:rsidRPr="00AC5409">
        <w:rPr>
          <w:rStyle w:val="affa"/>
          <w:rFonts w:hint="cs"/>
          <w:rtl/>
        </w:rPr>
        <w:t>דלהרא"ש</w:t>
      </w:r>
      <w:r w:rsidRPr="00AC5409">
        <w:rPr>
          <w:rStyle w:val="afa"/>
          <w:rFonts w:hint="cs"/>
          <w:rtl/>
        </w:rPr>
        <w:t xml:space="preserve"> כיון דמותר לאכול בבת אחת, לכן מותר אף בחזר ובישל].</w:t>
      </w:r>
      <w:bookmarkEnd w:id="14222"/>
    </w:p>
    <w:p w:rsidR="00F13472" w:rsidRDefault="00F13472" w:rsidP="00F13472">
      <w:pPr>
        <w:pStyle w:val="a2"/>
      </w:pPr>
      <w:bookmarkStart w:id="14223" w:name="_Toc24709402"/>
      <w:bookmarkStart w:id="14224" w:name="_Toc24838994"/>
      <w:bookmarkStart w:id="14225" w:name="_Toc24918089"/>
      <w:bookmarkStart w:id="14226" w:name="_Toc24918300"/>
      <w:r>
        <w:rPr>
          <w:rFonts w:hint="cs"/>
          <w:rtl/>
        </w:rPr>
        <w:t>דברי היד יהודה דלהחוו"ד דבב"א יש נתינת טעם אין כל חילוק בין בישל לאכל יבש בבת אחת</w:t>
      </w:r>
      <w:bookmarkEnd w:id="14223"/>
      <w:bookmarkEnd w:id="14224"/>
      <w:bookmarkEnd w:id="14225"/>
      <w:bookmarkEnd w:id="14226"/>
    </w:p>
    <w:p w:rsidR="00F13472" w:rsidRDefault="00F13472" w:rsidP="009F44AF">
      <w:pPr>
        <w:pStyle w:val="a"/>
      </w:pPr>
      <w:r>
        <w:rPr>
          <w:rFonts w:hint="cs"/>
          <w:rtl/>
        </w:rPr>
        <w:t xml:space="preserve">והביא </w:t>
      </w:r>
      <w:r w:rsidRPr="006F1558">
        <w:rPr>
          <w:rStyle w:val="af8"/>
          <w:rFonts w:hint="cs"/>
          <w:rtl/>
        </w:rPr>
        <w:t>היד יהודה</w:t>
      </w:r>
      <w:r>
        <w:rPr>
          <w:rFonts w:hint="cs"/>
          <w:rtl/>
        </w:rPr>
        <w:t xml:space="preserve"> </w:t>
      </w:r>
      <w:r w:rsidRPr="00F915E2">
        <w:rPr>
          <w:rStyle w:val="af6"/>
          <w:rFonts w:eastAsia="Guttman Hodes" w:hint="cs"/>
          <w:rtl/>
        </w:rPr>
        <w:t>(ס</w:t>
      </w:r>
      <w:r w:rsidRPr="00F9795D">
        <w:rPr>
          <w:rStyle w:val="af6"/>
          <w:rFonts w:eastAsia="Guttman Hodes" w:hint="cs"/>
          <w:rtl/>
        </w:rPr>
        <w:t>י' ס"ט ס"ק ס"א ד"ה והנה מבואר)</w:t>
      </w:r>
      <w:r>
        <w:rPr>
          <w:rFonts w:hint="cs"/>
          <w:rtl/>
        </w:rPr>
        <w:t xml:space="preserve"> את דברי </w:t>
      </w:r>
      <w:r w:rsidRPr="006F1558">
        <w:rPr>
          <w:rStyle w:val="af8"/>
          <w:rFonts w:hint="cs"/>
          <w:rtl/>
        </w:rPr>
        <w:t>החוו"ד</w:t>
      </w:r>
      <w:r>
        <w:rPr>
          <w:rFonts w:hint="cs"/>
          <w:rtl/>
        </w:rPr>
        <w:t xml:space="preserve"> </w:t>
      </w:r>
      <w:r w:rsidRPr="006F1558">
        <w:rPr>
          <w:rStyle w:val="af6"/>
          <w:rFonts w:eastAsia="Guttman Hodes" w:hint="cs"/>
          <w:rtl/>
        </w:rPr>
        <w:t xml:space="preserve">(סי' </w:t>
      </w:r>
      <w:r w:rsidRPr="00F9795D">
        <w:rPr>
          <w:rStyle w:val="af6"/>
          <w:rFonts w:eastAsia="Guttman Hodes" w:hint="cs"/>
          <w:rtl/>
        </w:rPr>
        <w:t xml:space="preserve">ק"ט סק"ה, הובא בסימן </w:t>
      </w:r>
      <w:r>
        <w:rPr>
          <w:rStyle w:val="af6"/>
          <w:rFonts w:eastAsia="Guttman Hodes" w:hint="cs"/>
          <w:rtl/>
        </w:rPr>
        <w:t>ט"ז</w:t>
      </w:r>
      <w:r w:rsidRPr="00F9795D">
        <w:rPr>
          <w:rStyle w:val="af6"/>
          <w:rFonts w:eastAsia="Guttman Hodes" w:hint="cs"/>
          <w:rtl/>
        </w:rPr>
        <w:t xml:space="preserve"> אות </w:t>
      </w:r>
      <w:r>
        <w:rPr>
          <w:rStyle w:val="af6"/>
          <w:rFonts w:eastAsia="Guttman Hodes" w:hint="cs"/>
          <w:rtl/>
        </w:rPr>
        <w:t>ע"ד</w:t>
      </w:r>
      <w:r w:rsidRPr="00F9795D">
        <w:rPr>
          <w:rStyle w:val="af6"/>
          <w:rFonts w:eastAsia="Guttman Hodes" w:hint="cs"/>
          <w:rtl/>
        </w:rPr>
        <w:t>)</w:t>
      </w:r>
      <w:r>
        <w:rPr>
          <w:rFonts w:hint="cs"/>
          <w:rtl/>
        </w:rPr>
        <w:t xml:space="preserve"> דכתב דבאוכל את כל התערובת יחד, חשיב טעם כעיקר דאו' אף שהוא יבש ביבש, כיון שהוא מרגיש את הטעם בפיו, והוסיף </w:t>
      </w:r>
      <w:r w:rsidRPr="00F915E2">
        <w:rPr>
          <w:rStyle w:val="af8"/>
          <w:rFonts w:hint="cs"/>
          <w:rtl/>
        </w:rPr>
        <w:t>החוו"ד</w:t>
      </w:r>
      <w:r>
        <w:rPr>
          <w:rFonts w:hint="cs"/>
          <w:rtl/>
        </w:rPr>
        <w:t xml:space="preserve"> דכן מסתבר דהחוש מוכיח דכשהוא לועס את כל התערובת של האיסור וההיתר יחד מרגיש את טעם האיסור בפיו, ולכן מדאו' צריך שישים, דבכה"ג </w:t>
      </w:r>
      <w:r w:rsidRPr="000A4F9E">
        <w:rPr>
          <w:rFonts w:hint="cs"/>
          <w:rtl/>
        </w:rPr>
        <w:t>בטל הטעם ואינו מרגישו בפה,</w:t>
      </w:r>
      <w:r>
        <w:rPr>
          <w:rFonts w:hint="cs"/>
          <w:rtl/>
        </w:rPr>
        <w:t xml:space="preserve"> וכתב </w:t>
      </w:r>
      <w:r w:rsidRPr="006F1558">
        <w:rPr>
          <w:rStyle w:val="af8"/>
          <w:rFonts w:hint="cs"/>
          <w:rtl/>
        </w:rPr>
        <w:t>היד יהודה</w:t>
      </w:r>
      <w:r>
        <w:rPr>
          <w:rFonts w:hint="cs"/>
          <w:rtl/>
        </w:rPr>
        <w:t xml:space="preserve"> דלדברי </w:t>
      </w:r>
      <w:r w:rsidRPr="006F1558">
        <w:rPr>
          <w:rStyle w:val="af8"/>
          <w:rFonts w:hint="cs"/>
          <w:rtl/>
        </w:rPr>
        <w:t>החוו"ד</w:t>
      </w:r>
      <w:r>
        <w:rPr>
          <w:rFonts w:hint="cs"/>
          <w:rtl/>
        </w:rPr>
        <w:t xml:space="preserve"> מבואר דא"א לומר </w:t>
      </w:r>
      <w:r w:rsidRPr="006F1558">
        <w:rPr>
          <w:rStyle w:val="af8"/>
          <w:rFonts w:hint="cs"/>
          <w:rtl/>
        </w:rPr>
        <w:t>כהיש"ש</w:t>
      </w:r>
      <w:r>
        <w:rPr>
          <w:rFonts w:hint="cs"/>
          <w:rtl/>
        </w:rPr>
        <w:t>, דאין כל חילוק בין חזר ובישל לאוכל בבת אחת, דאף באוכל בבת אחת, האיסור נותן טעם בהיתר, ונעשה כלח בלח שצריך שישים.</w:t>
      </w:r>
    </w:p>
    <w:p w:rsidR="00F13472" w:rsidRDefault="00F13472" w:rsidP="00F13472">
      <w:pPr>
        <w:pStyle w:val="1"/>
        <w:rPr>
          <w:rtl/>
        </w:rPr>
      </w:pPr>
      <w:bookmarkStart w:id="14227" w:name="_Toc24709403"/>
      <w:bookmarkStart w:id="14228" w:name="_Toc24838995"/>
      <w:bookmarkStart w:id="14229" w:name="_Toc24918090"/>
      <w:bookmarkStart w:id="14230" w:name="_Toc24918301"/>
      <w:bookmarkStart w:id="14231" w:name="_Toc24576838"/>
      <w:bookmarkStart w:id="14232" w:name="_Toc24403386"/>
      <w:bookmarkStart w:id="14233" w:name="_Toc24455853"/>
      <w:r>
        <w:rPr>
          <w:rFonts w:hint="cs"/>
          <w:rtl/>
        </w:rPr>
        <w:t>ביאור החזו"א ברא"ש דבבישל במינו לא חשיב שהוכר האיסור</w:t>
      </w:r>
      <w:bookmarkEnd w:id="14227"/>
      <w:bookmarkEnd w:id="14228"/>
      <w:bookmarkEnd w:id="14229"/>
      <w:bookmarkEnd w:id="14230"/>
    </w:p>
    <w:p w:rsidR="00F13472" w:rsidRPr="0049263C" w:rsidRDefault="00F13472" w:rsidP="00F13472">
      <w:pPr>
        <w:pStyle w:val="a2"/>
        <w:rPr>
          <w:rtl/>
        </w:rPr>
      </w:pPr>
      <w:bookmarkStart w:id="14234" w:name="_Toc24709404"/>
      <w:bookmarkStart w:id="14235" w:name="_Toc24838996"/>
      <w:bookmarkStart w:id="14236" w:name="_Toc24918091"/>
      <w:bookmarkStart w:id="14237" w:name="_Toc24918302"/>
      <w:r>
        <w:rPr>
          <w:rFonts w:hint="cs"/>
          <w:rtl/>
        </w:rPr>
        <w:t>דברי החזו"א דבבישל במין במינו שלא חל עליו שם איסור לא הוכר האיסור ונשאר בטל ברוב</w:t>
      </w:r>
      <w:bookmarkEnd w:id="14234"/>
      <w:bookmarkEnd w:id="14235"/>
      <w:bookmarkEnd w:id="14236"/>
      <w:bookmarkEnd w:id="14237"/>
      <w:r>
        <w:rPr>
          <w:rFonts w:hint="cs"/>
          <w:rtl/>
        </w:rPr>
        <w:t xml:space="preserve"> </w:t>
      </w:r>
    </w:p>
    <w:p w:rsidR="00F13472" w:rsidRPr="00474FB7" w:rsidRDefault="00F13472" w:rsidP="009F44AF">
      <w:pPr>
        <w:pStyle w:val="a"/>
        <w:rPr>
          <w:rStyle w:val="afa"/>
          <w:rtl/>
        </w:rPr>
      </w:pPr>
      <w:bookmarkStart w:id="14238" w:name="_Ref24705340"/>
      <w:r w:rsidRPr="00F44E6A">
        <w:rPr>
          <w:rFonts w:hint="cs"/>
          <w:rtl/>
        </w:rPr>
        <w:t xml:space="preserve">כתב </w:t>
      </w:r>
      <w:r w:rsidRPr="00F44E6A">
        <w:rPr>
          <w:rStyle w:val="af8"/>
          <w:rFonts w:hint="cs"/>
          <w:rtl/>
        </w:rPr>
        <w:t>החזו"א</w:t>
      </w:r>
      <w:r w:rsidRPr="00802175">
        <w:rPr>
          <w:rStyle w:val="af6"/>
          <w:rFonts w:eastAsia="Guttman Hodes" w:hint="cs"/>
          <w:rtl/>
        </w:rPr>
        <w:t xml:space="preserve"> (יו"ד סי' ל"ו סק"ב ד"ה מיהו) </w:t>
      </w:r>
      <w:r>
        <w:rPr>
          <w:rFonts w:hint="cs"/>
          <w:rtl/>
        </w:rPr>
        <w:t xml:space="preserve">ס"ל </w:t>
      </w:r>
      <w:r w:rsidRPr="00443604">
        <w:rPr>
          <w:rStyle w:val="af8"/>
          <w:rFonts w:hint="cs"/>
          <w:rtl/>
        </w:rPr>
        <w:t>להרא"ש</w:t>
      </w:r>
      <w:r>
        <w:rPr>
          <w:rFonts w:hint="cs"/>
          <w:rtl/>
        </w:rPr>
        <w:t xml:space="preserve"> דבחזר ובישל </w:t>
      </w:r>
      <w:r w:rsidRPr="00F44E6A">
        <w:rPr>
          <w:rFonts w:hint="cs"/>
          <w:rtl/>
        </w:rPr>
        <w:t xml:space="preserve">דבמין במינו </w:t>
      </w:r>
      <w:r>
        <w:rPr>
          <w:rFonts w:hint="cs"/>
          <w:rtl/>
        </w:rPr>
        <w:t xml:space="preserve">מותר, אעפ"י </w:t>
      </w:r>
      <w:r w:rsidRPr="00F44E6A">
        <w:rPr>
          <w:rFonts w:hint="cs"/>
          <w:rtl/>
        </w:rPr>
        <w:t xml:space="preserve">דאסרו רבנן בלח בלח אף במין במינו, </w:t>
      </w:r>
      <w:r>
        <w:rPr>
          <w:rFonts w:hint="cs"/>
          <w:rtl/>
        </w:rPr>
        <w:t xml:space="preserve">מ"מ </w:t>
      </w:r>
      <w:r w:rsidRPr="00F44E6A">
        <w:rPr>
          <w:rFonts w:hint="cs"/>
          <w:rtl/>
        </w:rPr>
        <w:lastRenderedPageBreak/>
        <w:t xml:space="preserve">כיון </w:t>
      </w:r>
      <w:r>
        <w:rPr>
          <w:rFonts w:hint="cs"/>
          <w:rtl/>
        </w:rPr>
        <w:t>ד</w:t>
      </w:r>
      <w:r w:rsidRPr="00F44E6A">
        <w:rPr>
          <w:rFonts w:hint="cs"/>
          <w:rtl/>
        </w:rPr>
        <w:t>מדאו'</w:t>
      </w:r>
      <w:r>
        <w:rPr>
          <w:rFonts w:hint="cs"/>
          <w:rtl/>
        </w:rPr>
        <w:t xml:space="preserve"> </w:t>
      </w:r>
      <w:r w:rsidRPr="00F44E6A">
        <w:rPr>
          <w:rFonts w:hint="cs"/>
          <w:rtl/>
        </w:rPr>
        <w:t xml:space="preserve">מהני ביטול ברוב, </w:t>
      </w:r>
      <w:r>
        <w:rPr>
          <w:rFonts w:hint="cs"/>
          <w:rtl/>
        </w:rPr>
        <w:t>ו</w:t>
      </w:r>
      <w:r w:rsidRPr="00F44E6A">
        <w:rPr>
          <w:rFonts w:hint="cs"/>
          <w:rtl/>
        </w:rPr>
        <w:t>האיסור התבטל ביבש</w:t>
      </w:r>
      <w:r>
        <w:rPr>
          <w:rFonts w:hint="cs"/>
          <w:rtl/>
        </w:rPr>
        <w:t xml:space="preserve"> ונהפך להיתר, ו</w:t>
      </w:r>
      <w:r w:rsidRPr="00F44E6A">
        <w:rPr>
          <w:rFonts w:hint="cs"/>
          <w:rtl/>
        </w:rPr>
        <w:t xml:space="preserve">כשחזר ובישלו לא חל עליו שם איסור, </w:t>
      </w:r>
      <w:r>
        <w:rPr>
          <w:rFonts w:hint="cs"/>
          <w:rtl/>
        </w:rPr>
        <w:t xml:space="preserve">ולכן </w:t>
      </w:r>
      <w:r w:rsidRPr="00F44E6A">
        <w:rPr>
          <w:rFonts w:hint="cs"/>
          <w:rtl/>
        </w:rPr>
        <w:t>לא נחשב שהוכר האיסור</w:t>
      </w:r>
      <w:r>
        <w:rPr>
          <w:rFonts w:hint="cs"/>
          <w:rtl/>
        </w:rPr>
        <w:t xml:space="preserve">, והוא נשאר בהיתר שהתבטל ביבש, אבל במין בשאינו מינו, כתב </w:t>
      </w:r>
      <w:r w:rsidRPr="0049263C">
        <w:rPr>
          <w:rStyle w:val="af8"/>
          <w:rFonts w:hint="cs"/>
          <w:rtl/>
        </w:rPr>
        <w:t>החזו"א</w:t>
      </w:r>
      <w:r w:rsidRPr="0049263C">
        <w:rPr>
          <w:rStyle w:val="af6"/>
          <w:rFonts w:eastAsia="Guttman Hodes" w:hint="cs"/>
          <w:rtl/>
        </w:rPr>
        <w:t xml:space="preserve"> (עי' אות </w:t>
      </w:r>
      <w:r w:rsidRPr="0049263C">
        <w:rPr>
          <w:rStyle w:val="af6"/>
          <w:rFonts w:eastAsia="Guttman Hodes"/>
          <w:rtl/>
        </w:rPr>
        <w:fldChar w:fldCharType="begin"/>
      </w:r>
      <w:r w:rsidRPr="0049263C">
        <w:rPr>
          <w:rStyle w:val="af6"/>
          <w:rFonts w:eastAsia="Guttman Hodes"/>
          <w:rtl/>
        </w:rPr>
        <w:instrText xml:space="preserve"> </w:instrText>
      </w:r>
      <w:r w:rsidRPr="0049263C">
        <w:rPr>
          <w:rStyle w:val="af6"/>
          <w:rFonts w:eastAsia="Guttman Hodes" w:hint="cs"/>
        </w:rPr>
        <w:instrText>REF</w:instrText>
      </w:r>
      <w:r w:rsidRPr="0049263C">
        <w:rPr>
          <w:rStyle w:val="af6"/>
          <w:rFonts w:eastAsia="Guttman Hodes" w:hint="cs"/>
          <w:rtl/>
        </w:rPr>
        <w:instrText xml:space="preserve"> _</w:instrText>
      </w:r>
      <w:r w:rsidRPr="0049263C">
        <w:rPr>
          <w:rStyle w:val="af6"/>
          <w:rFonts w:eastAsia="Guttman Hodes" w:hint="cs"/>
        </w:rPr>
        <w:instrText>Ref24705982 \r \h</w:instrText>
      </w:r>
      <w:r w:rsidRPr="0049263C">
        <w:rPr>
          <w:rStyle w:val="af6"/>
          <w:rFonts w:eastAsia="Guttman Hodes"/>
          <w:rtl/>
        </w:rPr>
        <w:instrText xml:space="preserve"> </w:instrText>
      </w:r>
      <w:r w:rsidRPr="0049263C">
        <w:rPr>
          <w:rStyle w:val="af6"/>
          <w:rFonts w:eastAsia="Guttman Hodes"/>
          <w:rtl/>
        </w:rPr>
      </w:r>
      <w:r w:rsidRPr="0049263C">
        <w:rPr>
          <w:rStyle w:val="af6"/>
          <w:rFonts w:eastAsia="Guttman Hodes"/>
          <w:rtl/>
        </w:rPr>
        <w:fldChar w:fldCharType="separate"/>
      </w:r>
      <w:r w:rsidR="004D1C5B">
        <w:rPr>
          <w:rStyle w:val="af6"/>
          <w:rFonts w:eastAsia="Guttman Hodes"/>
          <w:cs/>
        </w:rPr>
        <w:t>‎</w:t>
      </w:r>
      <w:r w:rsidR="004D1C5B">
        <w:rPr>
          <w:rStyle w:val="af6"/>
          <w:rFonts w:eastAsia="Guttman Hodes"/>
          <w:rtl/>
        </w:rPr>
        <w:t>צ)</w:t>
      </w:r>
      <w:r w:rsidRPr="0049263C">
        <w:rPr>
          <w:rStyle w:val="af6"/>
          <w:rFonts w:eastAsia="Guttman Hodes"/>
          <w:rtl/>
        </w:rPr>
        <w:fldChar w:fldCharType="end"/>
      </w:r>
      <w:r>
        <w:rPr>
          <w:rFonts w:hint="cs"/>
          <w:rtl/>
        </w:rPr>
        <w:t xml:space="preserve"> דס"ל </w:t>
      </w:r>
      <w:r w:rsidRPr="00443604">
        <w:rPr>
          <w:rStyle w:val="af8"/>
          <w:rFonts w:hint="cs"/>
          <w:rtl/>
        </w:rPr>
        <w:t>להרא"ש</w:t>
      </w:r>
      <w:r>
        <w:rPr>
          <w:rFonts w:hint="cs"/>
          <w:rtl/>
        </w:rPr>
        <w:t xml:space="preserve"> דחשיב שהוכר האיסור, דהא הוא נותן טעם וטעם כעיקר דאו'. </w:t>
      </w:r>
      <w:r w:rsidRPr="00474FB7">
        <w:rPr>
          <w:rStyle w:val="afa"/>
          <w:rFonts w:hint="cs"/>
          <w:rtl/>
        </w:rPr>
        <w:t xml:space="preserve">[וכתב </w:t>
      </w:r>
      <w:r w:rsidRPr="00443604">
        <w:rPr>
          <w:rStyle w:val="affa"/>
          <w:rFonts w:hint="cs"/>
          <w:rtl/>
        </w:rPr>
        <w:t>החזו"א</w:t>
      </w:r>
      <w:r w:rsidRPr="00474FB7">
        <w:rPr>
          <w:rStyle w:val="afa"/>
          <w:rFonts w:hint="cs"/>
          <w:rtl/>
        </w:rPr>
        <w:t xml:space="preserve"> דלכן ס"ל </w:t>
      </w:r>
      <w:r w:rsidRPr="008C6445">
        <w:rPr>
          <w:rStyle w:val="affa"/>
          <w:rFonts w:hint="cs"/>
          <w:rtl/>
        </w:rPr>
        <w:t>להרא"ש</w:t>
      </w:r>
      <w:r w:rsidRPr="00474FB7">
        <w:rPr>
          <w:rStyle w:val="afa"/>
          <w:rFonts w:hint="cs"/>
          <w:rtl/>
        </w:rPr>
        <w:t xml:space="preserve"> דבמין במינו מותר לאכול את כל התערובת בבת אחת, דאף שבפיו האיסור נבלל עם ההיתר, [וחשיב כלח בלח], מ"מ כיון שלא חל על התערובת שם איסור לא נקרא דהוכר האיסור].</w:t>
      </w:r>
      <w:bookmarkEnd w:id="14238"/>
    </w:p>
    <w:p w:rsidR="00F13472" w:rsidRDefault="00F13472" w:rsidP="00F13472">
      <w:pPr>
        <w:pStyle w:val="a2"/>
        <w:rPr>
          <w:rtl/>
        </w:rPr>
      </w:pPr>
      <w:bookmarkStart w:id="14239" w:name="_Toc24709405"/>
      <w:bookmarkStart w:id="14240" w:name="_Toc24838997"/>
      <w:bookmarkStart w:id="14241" w:name="_Toc24918092"/>
      <w:bookmarkStart w:id="14242" w:name="_Toc24918303"/>
      <w:r>
        <w:rPr>
          <w:rFonts w:hint="cs"/>
          <w:rtl/>
        </w:rPr>
        <w:t>דברי החזו"א דברא"ש משמע דמותר לבשל לכתחילה אך בטור משמע דלהרא"ש מותר בדיעבד</w:t>
      </w:r>
      <w:bookmarkEnd w:id="14239"/>
      <w:bookmarkEnd w:id="14240"/>
      <w:bookmarkEnd w:id="14241"/>
      <w:bookmarkEnd w:id="14242"/>
    </w:p>
    <w:p w:rsidR="00F13472" w:rsidRPr="005E1C21" w:rsidRDefault="00F13472" w:rsidP="009F44AF">
      <w:pPr>
        <w:pStyle w:val="a"/>
        <w:rPr>
          <w:rStyle w:val="afa"/>
          <w:rtl/>
        </w:rPr>
      </w:pPr>
      <w:r>
        <w:rPr>
          <w:rFonts w:hint="cs"/>
          <w:rtl/>
        </w:rPr>
        <w:t xml:space="preserve">וכתב </w:t>
      </w:r>
      <w:r w:rsidRPr="00361C20">
        <w:rPr>
          <w:rStyle w:val="af8"/>
          <w:rFonts w:hint="cs"/>
          <w:rtl/>
        </w:rPr>
        <w:t>החזו"א</w:t>
      </w:r>
      <w:r>
        <w:rPr>
          <w:rFonts w:hint="cs"/>
          <w:rtl/>
        </w:rPr>
        <w:t xml:space="preserve"> דמלשון </w:t>
      </w:r>
      <w:r w:rsidRPr="00361C20">
        <w:rPr>
          <w:rStyle w:val="af8"/>
          <w:rFonts w:hint="cs"/>
          <w:rtl/>
        </w:rPr>
        <w:t>הרא"ש</w:t>
      </w:r>
      <w:r>
        <w:rPr>
          <w:rFonts w:hint="cs"/>
          <w:rtl/>
        </w:rPr>
        <w:t xml:space="preserve"> </w:t>
      </w:r>
      <w:r w:rsidRPr="00A02AB9">
        <w:rPr>
          <w:rStyle w:val="af6"/>
          <w:rFonts w:eastAsia="Guttman Hodes" w:hint="cs"/>
          <w:rtl/>
        </w:rPr>
        <w:t xml:space="preserve">(עי' אות </w:t>
      </w:r>
      <w:r w:rsidRPr="00A02AB9">
        <w:rPr>
          <w:rStyle w:val="af6"/>
          <w:rFonts w:eastAsia="Guttman Hodes"/>
          <w:rtl/>
        </w:rPr>
        <w:fldChar w:fldCharType="begin"/>
      </w:r>
      <w:r w:rsidRPr="00A02AB9">
        <w:rPr>
          <w:rStyle w:val="af6"/>
          <w:rFonts w:eastAsia="Guttman Hodes"/>
          <w:rtl/>
        </w:rPr>
        <w:instrText xml:space="preserve"> </w:instrText>
      </w:r>
      <w:r w:rsidRPr="00A02AB9">
        <w:rPr>
          <w:rStyle w:val="af6"/>
          <w:rFonts w:eastAsia="Guttman Hodes" w:hint="cs"/>
        </w:rPr>
        <w:instrText>REF</w:instrText>
      </w:r>
      <w:r w:rsidRPr="00A02AB9">
        <w:rPr>
          <w:rStyle w:val="af6"/>
          <w:rFonts w:eastAsia="Guttman Hodes" w:hint="cs"/>
          <w:rtl/>
        </w:rPr>
        <w:instrText xml:space="preserve"> _</w:instrText>
      </w:r>
      <w:r w:rsidRPr="00A02AB9">
        <w:rPr>
          <w:rStyle w:val="af6"/>
          <w:rFonts w:eastAsia="Guttman Hodes" w:hint="cs"/>
        </w:rPr>
        <w:instrText>Ref23930562 \r \h</w:instrText>
      </w:r>
      <w:r w:rsidRPr="00A02AB9">
        <w:rPr>
          <w:rStyle w:val="af6"/>
          <w:rFonts w:eastAsia="Guttman Hodes"/>
          <w:rtl/>
        </w:rPr>
        <w:instrText xml:space="preserve"> </w:instrText>
      </w:r>
      <w:r w:rsidRPr="00A02AB9">
        <w:rPr>
          <w:rStyle w:val="af6"/>
          <w:rFonts w:eastAsia="Guttman Hodes"/>
          <w:rtl/>
        </w:rPr>
      </w:r>
      <w:r w:rsidRPr="00A02AB9">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A02AB9">
        <w:rPr>
          <w:rStyle w:val="af6"/>
          <w:rFonts w:eastAsia="Guttman Hodes"/>
          <w:rtl/>
        </w:rPr>
        <w:fldChar w:fldCharType="end"/>
      </w:r>
      <w:r>
        <w:rPr>
          <w:rFonts w:hint="cs"/>
          <w:rtl/>
        </w:rPr>
        <w:t xml:space="preserve"> משמע דבמין במינו מותר לבשל את התערובת לכתחילה, אבל בדברי </w:t>
      </w:r>
      <w:r w:rsidRPr="00361C20">
        <w:rPr>
          <w:rStyle w:val="af8"/>
          <w:rFonts w:hint="cs"/>
          <w:rtl/>
        </w:rPr>
        <w:t>הטור</w:t>
      </w:r>
      <w:r>
        <w:rPr>
          <w:rFonts w:hint="cs"/>
          <w:rtl/>
        </w:rPr>
        <w:t xml:space="preserve"> </w:t>
      </w:r>
      <w:r w:rsidRPr="00361C20">
        <w:rPr>
          <w:rStyle w:val="af6"/>
          <w:rFonts w:eastAsia="Guttman Hodes" w:hint="cs"/>
          <w:rtl/>
        </w:rPr>
        <w:t>(סי' ק"ט ב')</w:t>
      </w:r>
      <w:r>
        <w:rPr>
          <w:rFonts w:hint="cs"/>
          <w:rtl/>
        </w:rPr>
        <w:t xml:space="preserve"> משמע דרק בדיעבד אם בישלה, התירה </w:t>
      </w:r>
      <w:r w:rsidRPr="00361C20">
        <w:rPr>
          <w:rStyle w:val="af8"/>
          <w:rFonts w:hint="cs"/>
          <w:rtl/>
        </w:rPr>
        <w:t>הרא"ש</w:t>
      </w:r>
      <w:r>
        <w:rPr>
          <w:rFonts w:hint="cs"/>
          <w:rtl/>
        </w:rPr>
        <w:t xml:space="preserve"> באכילה. </w:t>
      </w:r>
      <w:r w:rsidRPr="005E1C21">
        <w:rPr>
          <w:rStyle w:val="afa"/>
          <w:rFonts w:hint="cs"/>
          <w:rtl/>
        </w:rPr>
        <w:t xml:space="preserve">[ועיי"ש במ"ש </w:t>
      </w:r>
      <w:r w:rsidRPr="005E1C21">
        <w:rPr>
          <w:rStyle w:val="affa"/>
          <w:rFonts w:hint="cs"/>
          <w:rtl/>
        </w:rPr>
        <w:t>החזו"א</w:t>
      </w:r>
      <w:r>
        <w:rPr>
          <w:rStyle w:val="afa"/>
          <w:rFonts w:hint="cs"/>
          <w:rtl/>
        </w:rPr>
        <w:t xml:space="preserve"> דמ"מ במים אסור לבשל אף במין במינו</w:t>
      </w:r>
      <w:r w:rsidRPr="005E1C21">
        <w:rPr>
          <w:rStyle w:val="afa"/>
          <w:rFonts w:hint="cs"/>
          <w:rtl/>
        </w:rPr>
        <w:t>].</w:t>
      </w:r>
    </w:p>
    <w:p w:rsidR="00F13472" w:rsidRPr="006460B9" w:rsidRDefault="00F13472" w:rsidP="00F13472">
      <w:pPr>
        <w:pStyle w:val="a2"/>
      </w:pPr>
      <w:bookmarkStart w:id="14243" w:name="_Toc24709406"/>
      <w:bookmarkStart w:id="14244" w:name="_Toc24838998"/>
      <w:bookmarkStart w:id="14245" w:name="_Toc24918093"/>
      <w:bookmarkStart w:id="14246" w:name="_Toc24918304"/>
      <w:r>
        <w:rPr>
          <w:rFonts w:hint="cs"/>
          <w:rtl/>
        </w:rPr>
        <w:t>דברי החזו"א דמדהתיר הרא"ש אכילה בב"א לכתחילה ולא כתב כן בבישל משמע דהוא דיעבד</w:t>
      </w:r>
      <w:bookmarkEnd w:id="14243"/>
      <w:bookmarkEnd w:id="14244"/>
      <w:bookmarkEnd w:id="14245"/>
      <w:bookmarkEnd w:id="14246"/>
    </w:p>
    <w:p w:rsidR="00F13472" w:rsidRPr="00F03D5B" w:rsidRDefault="00F13472" w:rsidP="009F44AF">
      <w:pPr>
        <w:pStyle w:val="a"/>
        <w:rPr>
          <w:rtl/>
        </w:rPr>
      </w:pPr>
      <w:r>
        <w:rPr>
          <w:rFonts w:hint="cs"/>
          <w:rtl/>
        </w:rPr>
        <w:t xml:space="preserve">אך כתב </w:t>
      </w:r>
      <w:r w:rsidRPr="00443604">
        <w:rPr>
          <w:rStyle w:val="af8"/>
          <w:rFonts w:hint="cs"/>
          <w:rtl/>
        </w:rPr>
        <w:t>החזו"א</w:t>
      </w:r>
      <w:r>
        <w:rPr>
          <w:rFonts w:hint="cs"/>
          <w:rtl/>
        </w:rPr>
        <w:t xml:space="preserve"> דמ"מ אף בדברי </w:t>
      </w:r>
      <w:r w:rsidRPr="00443604">
        <w:rPr>
          <w:rStyle w:val="af8"/>
          <w:rFonts w:hint="cs"/>
          <w:rtl/>
        </w:rPr>
        <w:t>הרא"ש</w:t>
      </w:r>
      <w:r>
        <w:rPr>
          <w:rFonts w:hint="cs"/>
          <w:rtl/>
        </w:rPr>
        <w:t xml:space="preserve"> יש משמעות דבמין במינו אסור לבשל לכתחילה, דכיון דכתב </w:t>
      </w:r>
      <w:r w:rsidRPr="00443604">
        <w:rPr>
          <w:rStyle w:val="af8"/>
          <w:rFonts w:hint="cs"/>
          <w:rtl/>
        </w:rPr>
        <w:t>הרא"ש</w:t>
      </w:r>
      <w:r>
        <w:rPr>
          <w:rFonts w:hint="cs"/>
          <w:rtl/>
        </w:rPr>
        <w:t xml:space="preserve"> שמותר לאכול לכתחילה בבת אחת, ולא כתב </w:t>
      </w:r>
      <w:r w:rsidRPr="00443604">
        <w:rPr>
          <w:rStyle w:val="af8"/>
          <w:rFonts w:hint="cs"/>
          <w:rtl/>
        </w:rPr>
        <w:t>הרא"ש</w:t>
      </w:r>
      <w:r>
        <w:rPr>
          <w:rFonts w:hint="cs"/>
          <w:rtl/>
        </w:rPr>
        <w:t xml:space="preserve"> חידוש גדול יותר דמותר לחזור ולבשל לכתחילה, א"כ משמע שאין היתר לבשל לכתחילה, וכתב </w:t>
      </w:r>
      <w:r w:rsidRPr="00443604">
        <w:rPr>
          <w:rStyle w:val="af8"/>
          <w:rFonts w:hint="cs"/>
          <w:rtl/>
        </w:rPr>
        <w:t>החזו"א</w:t>
      </w:r>
      <w:r>
        <w:rPr>
          <w:rFonts w:hint="cs"/>
          <w:rtl/>
        </w:rPr>
        <w:t xml:space="preserve"> דא"כ מבואר שיש חילוק בין אוכל בבת אחת דמותר לכתחילה, </w:t>
      </w:r>
      <w:r w:rsidRPr="009134DC">
        <w:rPr>
          <w:rStyle w:val="afa"/>
          <w:rFonts w:hint="cs"/>
          <w:rtl/>
        </w:rPr>
        <w:t xml:space="preserve">[אף שע"י הלעיסה הוא נותן טעם בפיו], </w:t>
      </w:r>
      <w:r>
        <w:rPr>
          <w:rFonts w:hint="cs"/>
          <w:rtl/>
        </w:rPr>
        <w:t>לחזר ובישל דאסור לכתחילה.</w:t>
      </w:r>
    </w:p>
    <w:p w:rsidR="00F13472" w:rsidRDefault="00F13472" w:rsidP="00F13472">
      <w:pPr>
        <w:pStyle w:val="afd"/>
        <w:rPr>
          <w:rtl/>
        </w:rPr>
      </w:pPr>
      <w:bookmarkStart w:id="14247" w:name="_Toc24709407"/>
      <w:bookmarkStart w:id="14248" w:name="_Toc24838999"/>
      <w:bookmarkStart w:id="14249" w:name="_Toc24918094"/>
      <w:bookmarkStart w:id="14250" w:name="_Toc24918305"/>
      <w:r>
        <w:rPr>
          <w:rFonts w:hint="cs"/>
          <w:rtl/>
        </w:rPr>
        <w:t>בנודעה התערובת לדעת הרשב"א</w:t>
      </w:r>
      <w:bookmarkEnd w:id="14231"/>
      <w:bookmarkEnd w:id="14247"/>
      <w:bookmarkEnd w:id="14248"/>
      <w:bookmarkEnd w:id="14249"/>
      <w:bookmarkEnd w:id="14250"/>
    </w:p>
    <w:p w:rsidR="00F13472" w:rsidRDefault="00F13472" w:rsidP="00F13472">
      <w:pPr>
        <w:pStyle w:val="1"/>
        <w:rPr>
          <w:rtl/>
        </w:rPr>
      </w:pPr>
      <w:bookmarkStart w:id="14251" w:name="_Toc24918095"/>
      <w:bookmarkStart w:id="14252" w:name="_Toc24918306"/>
      <w:bookmarkEnd w:id="14232"/>
      <w:bookmarkEnd w:id="14233"/>
      <w:r>
        <w:rPr>
          <w:rFonts w:hint="cs"/>
          <w:rtl/>
        </w:rPr>
        <w:t>דברי הב"ח דהיתר ב' קדירות הוא אף בלא נודעה התערובת</w:t>
      </w:r>
      <w:bookmarkEnd w:id="14251"/>
      <w:bookmarkEnd w:id="14252"/>
    </w:p>
    <w:p w:rsidR="00F13472" w:rsidRPr="005975C6" w:rsidRDefault="00F13472" w:rsidP="00F13472">
      <w:pPr>
        <w:pStyle w:val="a2"/>
        <w:rPr>
          <w:rtl/>
        </w:rPr>
      </w:pPr>
      <w:bookmarkStart w:id="14253" w:name="_Toc24709409"/>
      <w:bookmarkStart w:id="14254" w:name="_Toc24839001"/>
      <w:bookmarkStart w:id="14255" w:name="_Toc24918096"/>
      <w:bookmarkStart w:id="14256" w:name="_Toc24918307"/>
      <w:r>
        <w:rPr>
          <w:rFonts w:hint="cs"/>
          <w:rtl/>
        </w:rPr>
        <w:t>דברי הב"ח דלהרשב"א ההיתר בבישל בב' קדירות הוא אף כשבישל לפני שנודעה התערובת</w:t>
      </w:r>
      <w:bookmarkEnd w:id="14253"/>
      <w:bookmarkEnd w:id="14254"/>
      <w:bookmarkEnd w:id="14255"/>
      <w:bookmarkEnd w:id="14256"/>
    </w:p>
    <w:p w:rsidR="00F13472" w:rsidRPr="00DE2B8D" w:rsidRDefault="00F13472" w:rsidP="009F44AF">
      <w:pPr>
        <w:pStyle w:val="a"/>
        <w:rPr>
          <w:rtl/>
        </w:rPr>
      </w:pPr>
      <w:bookmarkStart w:id="14257" w:name="_Ref24314689"/>
      <w:bookmarkStart w:id="14258" w:name="_Ref24837707"/>
      <w:r>
        <w:rPr>
          <w:rFonts w:hint="cs"/>
          <w:rtl/>
        </w:rPr>
        <w:t>הביא</w:t>
      </w:r>
      <w:r w:rsidRPr="005D5ED9">
        <w:rPr>
          <w:rFonts w:hint="cs"/>
          <w:rtl/>
        </w:rPr>
        <w:t xml:space="preserve"> </w:t>
      </w:r>
      <w:r w:rsidRPr="0004358F">
        <w:rPr>
          <w:rStyle w:val="af8"/>
          <w:rFonts w:hint="cs"/>
          <w:rtl/>
        </w:rPr>
        <w:t>הב"ח</w:t>
      </w:r>
      <w:r w:rsidRPr="005D5ED9">
        <w:rPr>
          <w:rFonts w:hint="cs"/>
          <w:rtl/>
        </w:rPr>
        <w:t xml:space="preserve"> </w:t>
      </w:r>
      <w:r w:rsidRPr="0004358F">
        <w:rPr>
          <w:rStyle w:val="af6"/>
          <w:rFonts w:eastAsia="Guttman Hodes" w:hint="cs"/>
          <w:rtl/>
        </w:rPr>
        <w:t>(סו"ס ק"ט ד"ה פסק)</w:t>
      </w:r>
      <w:r w:rsidRPr="005D5ED9">
        <w:rPr>
          <w:rFonts w:hint="cs"/>
          <w:rtl/>
        </w:rPr>
        <w:t xml:space="preserve"> את דברי </w:t>
      </w:r>
      <w:r w:rsidRPr="0004358F">
        <w:rPr>
          <w:rStyle w:val="af8"/>
          <w:rFonts w:hint="cs"/>
          <w:rtl/>
        </w:rPr>
        <w:t>הרשב"א</w:t>
      </w:r>
      <w:r w:rsidRPr="005D5ED9">
        <w:rPr>
          <w:rFonts w:hint="cs"/>
          <w:rtl/>
        </w:rPr>
        <w:t xml:space="preserve"> </w:t>
      </w:r>
      <w:r w:rsidRPr="00A02AB9">
        <w:rPr>
          <w:rStyle w:val="af6"/>
          <w:rFonts w:eastAsia="Guttman Hodes" w:hint="cs"/>
          <w:rtl/>
        </w:rPr>
        <w:t xml:space="preserve">(עי' אות </w:t>
      </w:r>
      <w:r w:rsidRPr="00A02AB9">
        <w:rPr>
          <w:rStyle w:val="af6"/>
          <w:rFonts w:eastAsia="Guttman Hodes"/>
          <w:rtl/>
        </w:rPr>
        <w:fldChar w:fldCharType="begin"/>
      </w:r>
      <w:r w:rsidRPr="00A02AB9">
        <w:rPr>
          <w:rStyle w:val="af6"/>
          <w:rFonts w:eastAsia="Guttman Hodes"/>
          <w:rtl/>
        </w:rPr>
        <w:instrText xml:space="preserve"> </w:instrText>
      </w:r>
      <w:r w:rsidRPr="00A02AB9">
        <w:rPr>
          <w:rStyle w:val="af6"/>
          <w:rFonts w:eastAsia="Guttman Hodes" w:hint="cs"/>
        </w:rPr>
        <w:instrText>REF</w:instrText>
      </w:r>
      <w:r w:rsidRPr="00A02AB9">
        <w:rPr>
          <w:rStyle w:val="af6"/>
          <w:rFonts w:eastAsia="Guttman Hodes" w:hint="cs"/>
          <w:rtl/>
        </w:rPr>
        <w:instrText xml:space="preserve"> _</w:instrText>
      </w:r>
      <w:r w:rsidRPr="00A02AB9">
        <w:rPr>
          <w:rStyle w:val="af6"/>
          <w:rFonts w:eastAsia="Guttman Hodes" w:hint="cs"/>
        </w:rPr>
        <w:instrText>Ref23943584 \r \h</w:instrText>
      </w:r>
      <w:r w:rsidRPr="00A02AB9">
        <w:rPr>
          <w:rStyle w:val="af6"/>
          <w:rFonts w:eastAsia="Guttman Hodes"/>
          <w:rtl/>
        </w:rPr>
        <w:instrText xml:space="preserve"> </w:instrText>
      </w:r>
      <w:r w:rsidRPr="00A02AB9">
        <w:rPr>
          <w:rStyle w:val="af6"/>
          <w:rFonts w:eastAsia="Guttman Hodes"/>
          <w:rtl/>
        </w:rPr>
      </w:r>
      <w:r w:rsidRPr="00A02AB9">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A02AB9">
        <w:rPr>
          <w:rStyle w:val="af6"/>
          <w:rFonts w:eastAsia="Guttman Hodes"/>
          <w:rtl/>
        </w:rPr>
        <w:fldChar w:fldCharType="end"/>
      </w:r>
      <w:r w:rsidRPr="005D5ED9">
        <w:rPr>
          <w:rFonts w:hint="cs"/>
          <w:rtl/>
        </w:rPr>
        <w:t xml:space="preserve"> דהתיר לבשל את התערובת בב' קדירות, והוסיף </w:t>
      </w:r>
      <w:r w:rsidRPr="005975C6">
        <w:rPr>
          <w:rStyle w:val="af8"/>
          <w:rFonts w:hint="cs"/>
          <w:rtl/>
        </w:rPr>
        <w:t>הב"ח</w:t>
      </w:r>
      <w:r>
        <w:rPr>
          <w:rFonts w:hint="cs"/>
          <w:rtl/>
        </w:rPr>
        <w:t xml:space="preserve"> </w:t>
      </w:r>
      <w:r w:rsidRPr="005D5ED9">
        <w:rPr>
          <w:rFonts w:hint="cs"/>
          <w:rtl/>
        </w:rPr>
        <w:t xml:space="preserve">דאף אם לפני שנודעה התערובת בישל אותה בב' קדירות, מותר לאוכלם לאחר שנודעה התערובת, וביאר </w:t>
      </w:r>
      <w:r w:rsidRPr="0004358F">
        <w:rPr>
          <w:rStyle w:val="af8"/>
          <w:rFonts w:hint="cs"/>
          <w:rtl/>
        </w:rPr>
        <w:t>הב"ח</w:t>
      </w:r>
      <w:r>
        <w:rPr>
          <w:rFonts w:hint="cs"/>
          <w:rtl/>
        </w:rPr>
        <w:t xml:space="preserve"> </w:t>
      </w:r>
      <w:r w:rsidRPr="005D5ED9">
        <w:rPr>
          <w:rFonts w:hint="cs"/>
          <w:rtl/>
        </w:rPr>
        <w:t xml:space="preserve">דהרי </w:t>
      </w:r>
      <w:r w:rsidRPr="0004358F">
        <w:rPr>
          <w:rStyle w:val="af8"/>
          <w:rFonts w:hint="cs"/>
          <w:rtl/>
        </w:rPr>
        <w:t>הרשב"א</w:t>
      </w:r>
      <w:r>
        <w:rPr>
          <w:rFonts w:hint="cs"/>
          <w:rtl/>
        </w:rPr>
        <w:t xml:space="preserve"> </w:t>
      </w:r>
      <w:r w:rsidRPr="00A02AB9">
        <w:rPr>
          <w:rStyle w:val="af6"/>
          <w:rFonts w:eastAsia="Guttman Hodes" w:hint="cs"/>
          <w:rtl/>
        </w:rPr>
        <w:t xml:space="preserve">(עי' אות </w:t>
      </w:r>
      <w:r w:rsidRPr="00A02AB9">
        <w:rPr>
          <w:rStyle w:val="af6"/>
          <w:rFonts w:eastAsia="Guttman Hodes"/>
          <w:rtl/>
        </w:rPr>
        <w:fldChar w:fldCharType="begin"/>
      </w:r>
      <w:r w:rsidRPr="00A02AB9">
        <w:rPr>
          <w:rStyle w:val="af6"/>
          <w:rFonts w:eastAsia="Guttman Hodes"/>
          <w:rtl/>
        </w:rPr>
        <w:instrText xml:space="preserve"> </w:instrText>
      </w:r>
      <w:r w:rsidRPr="00A02AB9">
        <w:rPr>
          <w:rStyle w:val="af6"/>
          <w:rFonts w:eastAsia="Guttman Hodes" w:hint="cs"/>
        </w:rPr>
        <w:instrText>REF</w:instrText>
      </w:r>
      <w:r w:rsidRPr="00A02AB9">
        <w:rPr>
          <w:rStyle w:val="af6"/>
          <w:rFonts w:eastAsia="Guttman Hodes" w:hint="cs"/>
          <w:rtl/>
        </w:rPr>
        <w:instrText xml:space="preserve"> _</w:instrText>
      </w:r>
      <w:r w:rsidRPr="00A02AB9">
        <w:rPr>
          <w:rStyle w:val="af6"/>
          <w:rFonts w:eastAsia="Guttman Hodes" w:hint="cs"/>
        </w:rPr>
        <w:instrText>Ref24904091 \r \h</w:instrText>
      </w:r>
      <w:r w:rsidRPr="00A02AB9">
        <w:rPr>
          <w:rStyle w:val="af6"/>
          <w:rFonts w:eastAsia="Guttman Hodes"/>
          <w:rtl/>
        </w:rPr>
        <w:instrText xml:space="preserve"> </w:instrText>
      </w:r>
      <w:r w:rsidRPr="00A02AB9">
        <w:rPr>
          <w:rStyle w:val="af6"/>
          <w:rFonts w:eastAsia="Guttman Hodes"/>
          <w:rtl/>
        </w:rPr>
      </w:r>
      <w:r w:rsidRPr="00A02AB9">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A02AB9">
        <w:rPr>
          <w:rStyle w:val="af6"/>
          <w:rFonts w:eastAsia="Guttman Hodes"/>
          <w:rtl/>
        </w:rPr>
        <w:fldChar w:fldCharType="end"/>
      </w:r>
      <w:r>
        <w:rPr>
          <w:rFonts w:hint="cs"/>
          <w:rtl/>
        </w:rPr>
        <w:t xml:space="preserve"> אסר כשבישל את כל התערובת יחד, אף אם בישל לאחר שנודעה התערובת, ואפ"ה התיר </w:t>
      </w:r>
      <w:r w:rsidRPr="0004358F">
        <w:rPr>
          <w:rStyle w:val="af8"/>
          <w:rFonts w:hint="cs"/>
          <w:rtl/>
        </w:rPr>
        <w:t>הרשב"א</w:t>
      </w:r>
      <w:r>
        <w:rPr>
          <w:rFonts w:hint="cs"/>
          <w:rtl/>
        </w:rPr>
        <w:t xml:space="preserve"> כשבישל את מקצת התערובת בצד א' ומקצתה בצד אחר, וכתב </w:t>
      </w:r>
      <w:r w:rsidRPr="00FE74DA">
        <w:rPr>
          <w:rStyle w:val="af8"/>
          <w:rFonts w:hint="cs"/>
          <w:rtl/>
        </w:rPr>
        <w:t>הב"ח</w:t>
      </w:r>
      <w:r>
        <w:rPr>
          <w:rFonts w:hint="cs"/>
          <w:rtl/>
        </w:rPr>
        <w:t xml:space="preserve"> דא"כ ה"ה דמותר בב' קדירות, אף כשבישל לפני שנודעה התערובת</w:t>
      </w:r>
      <w:bookmarkEnd w:id="14257"/>
      <w:r>
        <w:rPr>
          <w:rFonts w:hint="cs"/>
          <w:rtl/>
        </w:rPr>
        <w:t xml:space="preserve">, </w:t>
      </w:r>
      <w:r w:rsidRPr="00BB4E3E">
        <w:rPr>
          <w:rStyle w:val="afa"/>
          <w:rFonts w:hint="cs"/>
          <w:rtl/>
        </w:rPr>
        <w:t>[והיינו דאעפ"י שלא נודע שהותר ביבש כלל, ועכשיו הוא לח בלח, מ"מ כיון שהיה יבש, ומדאו' הותר ברוב, אינו נאסר בב' קדירות אף שעכשיו הוא לח]</w:t>
      </w:r>
      <w:r>
        <w:rPr>
          <w:rStyle w:val="afa"/>
          <w:rFonts w:hint="cs"/>
          <w:rtl/>
        </w:rPr>
        <w:t xml:space="preserve">, </w:t>
      </w:r>
      <w:r w:rsidRPr="00DE2B8D">
        <w:rPr>
          <w:rFonts w:hint="cs"/>
          <w:rtl/>
        </w:rPr>
        <w:t xml:space="preserve">ועי' בדברי </w:t>
      </w:r>
      <w:r w:rsidRPr="00DE2B8D">
        <w:rPr>
          <w:rStyle w:val="af8"/>
          <w:rFonts w:hint="cs"/>
          <w:rtl/>
        </w:rPr>
        <w:t>המנחת יעקב</w:t>
      </w:r>
      <w:r w:rsidRPr="00DE2B8D">
        <w:rPr>
          <w:rFonts w:hint="cs"/>
          <w:rtl/>
        </w:rPr>
        <w:t xml:space="preserve"> </w:t>
      </w:r>
      <w:r w:rsidRPr="00DE2B8D">
        <w:rPr>
          <w:rStyle w:val="af6"/>
          <w:rFonts w:eastAsia="Guttman Hodes" w:hint="cs"/>
          <w:rtl/>
        </w:rPr>
        <w:t xml:space="preserve">(עי' אות </w:t>
      </w:r>
      <w:r w:rsidRPr="00DE2B8D">
        <w:rPr>
          <w:rStyle w:val="af6"/>
          <w:rFonts w:eastAsia="Guttman Hodes"/>
          <w:rtl/>
        </w:rPr>
        <w:fldChar w:fldCharType="begin"/>
      </w:r>
      <w:r w:rsidRPr="00DE2B8D">
        <w:rPr>
          <w:rStyle w:val="af6"/>
          <w:rFonts w:eastAsia="Guttman Hodes"/>
          <w:rtl/>
        </w:rPr>
        <w:instrText xml:space="preserve"> </w:instrText>
      </w:r>
      <w:r w:rsidRPr="00DE2B8D">
        <w:rPr>
          <w:rStyle w:val="af6"/>
          <w:rFonts w:eastAsia="Guttman Hodes" w:hint="cs"/>
        </w:rPr>
        <w:instrText>REF</w:instrText>
      </w:r>
      <w:r w:rsidRPr="00DE2B8D">
        <w:rPr>
          <w:rStyle w:val="af6"/>
          <w:rFonts w:eastAsia="Guttman Hodes" w:hint="cs"/>
          <w:rtl/>
        </w:rPr>
        <w:instrText xml:space="preserve"> _</w:instrText>
      </w:r>
      <w:r w:rsidRPr="00DE2B8D">
        <w:rPr>
          <w:rStyle w:val="af6"/>
          <w:rFonts w:eastAsia="Guttman Hodes" w:hint="cs"/>
        </w:rPr>
        <w:instrText>Ref24837691 \r \h</w:instrText>
      </w:r>
      <w:r w:rsidRPr="00DE2B8D">
        <w:rPr>
          <w:rStyle w:val="af6"/>
          <w:rFonts w:eastAsia="Guttman Hodes"/>
          <w:rtl/>
        </w:rPr>
        <w:instrText xml:space="preserve"> </w:instrText>
      </w:r>
      <w:r w:rsidRPr="00DE2B8D">
        <w:rPr>
          <w:rStyle w:val="af6"/>
          <w:rFonts w:eastAsia="Guttman Hodes"/>
          <w:rtl/>
        </w:rPr>
      </w:r>
      <w:r w:rsidRPr="00DE2B8D">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sidRPr="00DE2B8D">
        <w:rPr>
          <w:rStyle w:val="af6"/>
          <w:rFonts w:eastAsia="Guttman Hodes"/>
          <w:rtl/>
        </w:rPr>
        <w:fldChar w:fldCharType="end"/>
      </w:r>
      <w:r w:rsidRPr="00DE2B8D">
        <w:rPr>
          <w:rFonts w:hint="cs"/>
          <w:rtl/>
        </w:rPr>
        <w:t xml:space="preserve"> דכתב כדעת </w:t>
      </w:r>
      <w:r w:rsidRPr="00DE2B8D">
        <w:rPr>
          <w:rStyle w:val="af8"/>
          <w:rFonts w:hint="cs"/>
          <w:rtl/>
        </w:rPr>
        <w:t>הב"ח</w:t>
      </w:r>
      <w:r>
        <w:rPr>
          <w:rFonts w:hint="cs"/>
          <w:rtl/>
        </w:rPr>
        <w:t xml:space="preserve">. [ועי' בדברי </w:t>
      </w:r>
      <w:r w:rsidRPr="006712B3">
        <w:rPr>
          <w:rStyle w:val="af8"/>
          <w:rFonts w:hint="cs"/>
          <w:rtl/>
        </w:rPr>
        <w:t>השער"י</w:t>
      </w:r>
      <w:r>
        <w:rPr>
          <w:rFonts w:hint="cs"/>
          <w:rtl/>
        </w:rPr>
        <w:t xml:space="preserve"> </w:t>
      </w:r>
      <w:r w:rsidRPr="00E917CE">
        <w:rPr>
          <w:rStyle w:val="af6"/>
          <w:rFonts w:eastAsia="Guttman Hodes" w:hint="cs"/>
          <w:rtl/>
        </w:rPr>
        <w:t xml:space="preserve">(עי' אות </w:t>
      </w:r>
      <w:r w:rsidRPr="00E917CE">
        <w:rPr>
          <w:rStyle w:val="af6"/>
          <w:rFonts w:eastAsia="Guttman Hodes"/>
          <w:rtl/>
        </w:rPr>
        <w:fldChar w:fldCharType="begin"/>
      </w:r>
      <w:r w:rsidRPr="00E917CE">
        <w:rPr>
          <w:rStyle w:val="af6"/>
          <w:rFonts w:eastAsia="Guttman Hodes"/>
          <w:rtl/>
        </w:rPr>
        <w:instrText xml:space="preserve"> </w:instrText>
      </w:r>
      <w:r w:rsidRPr="00E917CE">
        <w:rPr>
          <w:rStyle w:val="af6"/>
          <w:rFonts w:eastAsia="Guttman Hodes" w:hint="cs"/>
        </w:rPr>
        <w:instrText>REF</w:instrText>
      </w:r>
      <w:r w:rsidRPr="00E917CE">
        <w:rPr>
          <w:rStyle w:val="af6"/>
          <w:rFonts w:eastAsia="Guttman Hodes" w:hint="cs"/>
          <w:rtl/>
        </w:rPr>
        <w:instrText xml:space="preserve"> _</w:instrText>
      </w:r>
      <w:r w:rsidRPr="00E917CE">
        <w:rPr>
          <w:rStyle w:val="af6"/>
          <w:rFonts w:eastAsia="Guttman Hodes" w:hint="cs"/>
        </w:rPr>
        <w:instrText>Ref24905841 \r \h</w:instrText>
      </w:r>
      <w:r w:rsidRPr="00E917CE">
        <w:rPr>
          <w:rStyle w:val="af6"/>
          <w:rFonts w:eastAsia="Guttman Hodes"/>
          <w:rtl/>
        </w:rPr>
        <w:instrText xml:space="preserve"> </w:instrText>
      </w:r>
      <w:r w:rsidRPr="00E917CE">
        <w:rPr>
          <w:rStyle w:val="af6"/>
          <w:rFonts w:eastAsia="Guttman Hodes"/>
          <w:rtl/>
        </w:rPr>
      </w:r>
      <w:r w:rsidRPr="00E917CE">
        <w:rPr>
          <w:rStyle w:val="af6"/>
          <w:rFonts w:eastAsia="Guttman Hodes"/>
          <w:rtl/>
        </w:rPr>
        <w:fldChar w:fldCharType="separate"/>
      </w:r>
      <w:r w:rsidR="004D1C5B">
        <w:rPr>
          <w:rStyle w:val="af6"/>
          <w:rFonts w:eastAsia="Guttman Hodes"/>
          <w:cs/>
        </w:rPr>
        <w:t>‎</w:t>
      </w:r>
      <w:r w:rsidR="004D1C5B">
        <w:rPr>
          <w:rStyle w:val="af6"/>
          <w:rFonts w:eastAsia="Guttman Hodes"/>
          <w:rtl/>
        </w:rPr>
        <w:t>קיד)</w:t>
      </w:r>
      <w:r w:rsidRPr="00E917CE">
        <w:rPr>
          <w:rStyle w:val="af6"/>
          <w:rFonts w:eastAsia="Guttman Hodes"/>
          <w:rtl/>
        </w:rPr>
        <w:fldChar w:fldCharType="end"/>
      </w:r>
      <w:r>
        <w:rPr>
          <w:rFonts w:hint="cs"/>
          <w:rtl/>
        </w:rPr>
        <w:t>]</w:t>
      </w:r>
      <w:r w:rsidRPr="00DE2B8D">
        <w:rPr>
          <w:rFonts w:hint="cs"/>
          <w:rtl/>
        </w:rPr>
        <w:t>.</w:t>
      </w:r>
      <w:bookmarkEnd w:id="14258"/>
    </w:p>
    <w:p w:rsidR="00F13472" w:rsidRDefault="00F13472" w:rsidP="00F13472">
      <w:pPr>
        <w:pStyle w:val="1"/>
        <w:rPr>
          <w:rtl/>
        </w:rPr>
      </w:pPr>
      <w:bookmarkStart w:id="14259" w:name="_Toc24839002"/>
      <w:bookmarkStart w:id="14260" w:name="_Toc24918097"/>
      <w:bookmarkStart w:id="14261" w:name="_Toc24918308"/>
      <w:bookmarkStart w:id="14262" w:name="_Toc24709410"/>
      <w:r>
        <w:rPr>
          <w:rFonts w:hint="cs"/>
          <w:rtl/>
        </w:rPr>
        <w:t>דברי הש"ך דהרשב"א התיר בב' קדירות רק בנודעה התערובת</w:t>
      </w:r>
      <w:bookmarkEnd w:id="14259"/>
      <w:bookmarkEnd w:id="14260"/>
      <w:bookmarkEnd w:id="14261"/>
    </w:p>
    <w:p w:rsidR="00F13472" w:rsidRDefault="00F13472" w:rsidP="00F13472">
      <w:pPr>
        <w:pStyle w:val="a2"/>
        <w:rPr>
          <w:rtl/>
        </w:rPr>
      </w:pPr>
      <w:bookmarkStart w:id="14263" w:name="_Toc24839003"/>
      <w:bookmarkStart w:id="14264" w:name="_Toc24918098"/>
      <w:bookmarkStart w:id="14265" w:name="_Toc24918309"/>
      <w:r>
        <w:rPr>
          <w:rFonts w:hint="cs"/>
          <w:rtl/>
        </w:rPr>
        <w:t>דברי הש"ך דלהרשב"א רק בנודעה התערובת ביבש והתבטל ברוב מותר בבישל בב' קדירות</w:t>
      </w:r>
      <w:bookmarkEnd w:id="14262"/>
      <w:bookmarkEnd w:id="14263"/>
      <w:bookmarkEnd w:id="14264"/>
      <w:bookmarkEnd w:id="14265"/>
    </w:p>
    <w:p w:rsidR="00F13472" w:rsidRDefault="00F13472" w:rsidP="009F44AF">
      <w:pPr>
        <w:pStyle w:val="a"/>
        <w:rPr>
          <w:rtl/>
        </w:rPr>
      </w:pPr>
      <w:r>
        <w:rPr>
          <w:rFonts w:hint="cs"/>
          <w:rtl/>
        </w:rPr>
        <w:t xml:space="preserve">אבל </w:t>
      </w:r>
      <w:r w:rsidRPr="0004358F">
        <w:rPr>
          <w:rStyle w:val="af8"/>
          <w:rFonts w:hint="cs"/>
          <w:rtl/>
        </w:rPr>
        <w:t>הש"ך</w:t>
      </w:r>
      <w:r>
        <w:rPr>
          <w:rFonts w:hint="cs"/>
          <w:rtl/>
        </w:rPr>
        <w:t xml:space="preserve"> </w:t>
      </w:r>
      <w:r w:rsidRPr="009547FD">
        <w:rPr>
          <w:rStyle w:val="af6"/>
          <w:rFonts w:eastAsia="Guttman Hodes" w:hint="cs"/>
          <w:rtl/>
        </w:rPr>
        <w:t>(סי' ק"ט סקי"ב)</w:t>
      </w:r>
      <w:r>
        <w:rPr>
          <w:rFonts w:hint="cs"/>
          <w:rtl/>
        </w:rPr>
        <w:t xml:space="preserve"> כתב דהא דהתיר </w:t>
      </w:r>
      <w:r w:rsidRPr="0004358F">
        <w:rPr>
          <w:rStyle w:val="af8"/>
          <w:rFonts w:hint="cs"/>
          <w:rtl/>
        </w:rPr>
        <w:t>הרשב"א</w:t>
      </w:r>
      <w:r>
        <w:rPr>
          <w:rFonts w:hint="cs"/>
          <w:rtl/>
        </w:rPr>
        <w:t xml:space="preserve"> בבישל בב' קדירות, הוא רק כיון שנודעה התערובת כשהיה יבש, והאיסור התבטל מדאו' ומדרבנן בחד בתרי,</w:t>
      </w:r>
      <w:r w:rsidRPr="00AA1AB5">
        <w:rPr>
          <w:rFonts w:hint="cs"/>
          <w:rtl/>
        </w:rPr>
        <w:t xml:space="preserve"> </w:t>
      </w:r>
      <w:r>
        <w:rPr>
          <w:rFonts w:hint="cs"/>
          <w:rtl/>
        </w:rPr>
        <w:t xml:space="preserve">אבל במקום שלא נודעה התערובת, ואח"כ בישל בב' קדירות כתב </w:t>
      </w:r>
      <w:r w:rsidRPr="00847D58">
        <w:rPr>
          <w:rStyle w:val="af8"/>
          <w:rFonts w:hint="cs"/>
          <w:rtl/>
        </w:rPr>
        <w:t>הש"ך</w:t>
      </w:r>
      <w:r>
        <w:rPr>
          <w:rFonts w:hint="cs"/>
          <w:rtl/>
        </w:rPr>
        <w:t xml:space="preserve"> דבכה"ג לא התיר </w:t>
      </w:r>
      <w:r w:rsidRPr="00312F5B">
        <w:rPr>
          <w:rStyle w:val="af8"/>
          <w:rFonts w:hint="cs"/>
          <w:rtl/>
        </w:rPr>
        <w:t>הרשב"א</w:t>
      </w:r>
      <w:r>
        <w:rPr>
          <w:rFonts w:hint="cs"/>
          <w:rtl/>
        </w:rPr>
        <w:t xml:space="preserve"> כלל.</w:t>
      </w:r>
    </w:p>
    <w:p w:rsidR="00F13472" w:rsidRPr="009547FD" w:rsidRDefault="00F13472" w:rsidP="00F13472">
      <w:pPr>
        <w:pStyle w:val="a2"/>
      </w:pPr>
      <w:bookmarkStart w:id="14266" w:name="_Toc24709411"/>
      <w:bookmarkStart w:id="14267" w:name="_Toc24839004"/>
      <w:bookmarkStart w:id="14268" w:name="_Toc24918099"/>
      <w:bookmarkStart w:id="14269" w:name="_Toc24918310"/>
      <w:r>
        <w:rPr>
          <w:rFonts w:hint="cs"/>
          <w:rtl/>
        </w:rPr>
        <w:t>ביאור הש"ך דרק בנודעה התערובת והתבטל האיסור אינו נאסר בב' קדירות דאין ודאי איסור</w:t>
      </w:r>
      <w:bookmarkEnd w:id="14266"/>
      <w:bookmarkEnd w:id="14267"/>
      <w:bookmarkEnd w:id="14268"/>
      <w:bookmarkEnd w:id="14269"/>
    </w:p>
    <w:p w:rsidR="007A5AFC" w:rsidRDefault="00F13472" w:rsidP="009F44AF">
      <w:pPr>
        <w:pStyle w:val="a"/>
        <w:rPr>
          <w:rtl/>
        </w:rPr>
      </w:pPr>
      <w:bookmarkStart w:id="14270" w:name="_Ref24837039"/>
      <w:r>
        <w:rPr>
          <w:rFonts w:hint="cs"/>
          <w:rtl/>
        </w:rPr>
        <w:t xml:space="preserve">וביאר </w:t>
      </w:r>
      <w:r w:rsidRPr="00A66E7D">
        <w:rPr>
          <w:rStyle w:val="af8"/>
          <w:rFonts w:hint="cs"/>
          <w:rtl/>
        </w:rPr>
        <w:t>הש"ך</w:t>
      </w:r>
      <w:r>
        <w:rPr>
          <w:rFonts w:hint="cs"/>
          <w:rtl/>
        </w:rPr>
        <w:t xml:space="preserve"> דכיון שכל מה שאסר </w:t>
      </w:r>
      <w:r w:rsidRPr="00A66E7D">
        <w:rPr>
          <w:rStyle w:val="af8"/>
          <w:rFonts w:hint="cs"/>
          <w:rtl/>
        </w:rPr>
        <w:t>הרשב"א</w:t>
      </w:r>
      <w:r>
        <w:rPr>
          <w:rFonts w:hint="cs"/>
          <w:rtl/>
        </w:rPr>
        <w:t xml:space="preserve"> </w:t>
      </w:r>
      <w:r w:rsidRPr="00A02AB9">
        <w:rPr>
          <w:rStyle w:val="af6"/>
          <w:rFonts w:eastAsia="Guttman Hodes" w:hint="cs"/>
          <w:rtl/>
        </w:rPr>
        <w:t xml:space="preserve">(עי' אות </w:t>
      </w:r>
      <w:r w:rsidRPr="00A02AB9">
        <w:rPr>
          <w:rStyle w:val="af6"/>
          <w:rFonts w:eastAsia="Guttman Hodes"/>
          <w:rtl/>
        </w:rPr>
        <w:fldChar w:fldCharType="begin"/>
      </w:r>
      <w:r w:rsidRPr="00A02AB9">
        <w:rPr>
          <w:rStyle w:val="af6"/>
          <w:rFonts w:eastAsia="Guttman Hodes"/>
          <w:rtl/>
        </w:rPr>
        <w:instrText xml:space="preserve"> </w:instrText>
      </w:r>
      <w:r w:rsidRPr="00A02AB9">
        <w:rPr>
          <w:rStyle w:val="af6"/>
          <w:rFonts w:eastAsia="Guttman Hodes" w:hint="cs"/>
        </w:rPr>
        <w:instrText>REF</w:instrText>
      </w:r>
      <w:r w:rsidRPr="00A02AB9">
        <w:rPr>
          <w:rStyle w:val="af6"/>
          <w:rFonts w:eastAsia="Guttman Hodes" w:hint="cs"/>
          <w:rtl/>
        </w:rPr>
        <w:instrText xml:space="preserve"> _</w:instrText>
      </w:r>
      <w:r w:rsidRPr="00A02AB9">
        <w:rPr>
          <w:rStyle w:val="af6"/>
          <w:rFonts w:eastAsia="Guttman Hodes" w:hint="cs"/>
        </w:rPr>
        <w:instrText>Ref24904091 \r \h</w:instrText>
      </w:r>
      <w:r w:rsidRPr="00A02AB9">
        <w:rPr>
          <w:rStyle w:val="af6"/>
          <w:rFonts w:eastAsia="Guttman Hodes"/>
          <w:rtl/>
        </w:rPr>
        <w:instrText xml:space="preserve"> </w:instrText>
      </w:r>
      <w:r w:rsidRPr="00A02AB9">
        <w:rPr>
          <w:rStyle w:val="af6"/>
          <w:rFonts w:eastAsia="Guttman Hodes"/>
          <w:rtl/>
        </w:rPr>
      </w:r>
      <w:r w:rsidRPr="00A02AB9">
        <w:rPr>
          <w:rStyle w:val="af6"/>
          <w:rFonts w:eastAsia="Guttman Hodes"/>
          <w:rtl/>
        </w:rPr>
        <w:fldChar w:fldCharType="separate"/>
      </w:r>
      <w:r w:rsidR="004D1C5B">
        <w:rPr>
          <w:rStyle w:val="af6"/>
          <w:rFonts w:eastAsia="Guttman Hodes"/>
          <w:cs/>
        </w:rPr>
        <w:t>‎</w:t>
      </w:r>
      <w:r w:rsidR="004D1C5B">
        <w:rPr>
          <w:rStyle w:val="af6"/>
          <w:rFonts w:eastAsia="Guttman Hodes"/>
          <w:rtl/>
        </w:rPr>
        <w:t>ב)</w:t>
      </w:r>
      <w:r w:rsidRPr="00A02AB9">
        <w:rPr>
          <w:rStyle w:val="af6"/>
          <w:rFonts w:eastAsia="Guttman Hodes"/>
          <w:rtl/>
        </w:rPr>
        <w:fldChar w:fldCharType="end"/>
      </w:r>
      <w:r>
        <w:rPr>
          <w:rFonts w:hint="cs"/>
          <w:rtl/>
        </w:rPr>
        <w:t xml:space="preserve"> בחזר ובישל, אף שהאיסור התבטל ביבש, הוא כיון שע"י הבישול האיסור מתערב בכל ההיתר, ונעשה כלח בלח, דאסור מדרבנן במין במינו, ולא מהני מה שהתבטל ביבש, אבל כשבישל בב' קדירות אחר שנודעה התערובת, לא חשיב כלח בלח, דכיון שהאיסור התבטל ביבש, וכדביאר </w:t>
      </w:r>
      <w:r w:rsidRPr="00847D58">
        <w:rPr>
          <w:rStyle w:val="af8"/>
          <w:rFonts w:hint="cs"/>
          <w:rtl/>
        </w:rPr>
        <w:t>הרשב"א</w:t>
      </w:r>
      <w:r>
        <w:rPr>
          <w:rFonts w:hint="cs"/>
          <w:rtl/>
        </w:rPr>
        <w:t xml:space="preserve"> </w:t>
      </w:r>
      <w:r w:rsidRPr="00A02AB9">
        <w:rPr>
          <w:rStyle w:val="af6"/>
          <w:rFonts w:eastAsia="Guttman Hodes" w:hint="cs"/>
          <w:rtl/>
        </w:rPr>
        <w:t xml:space="preserve">(עי' אות </w:t>
      </w:r>
      <w:r w:rsidRPr="00A02AB9">
        <w:rPr>
          <w:rStyle w:val="af6"/>
          <w:rFonts w:eastAsia="Guttman Hodes"/>
          <w:rtl/>
        </w:rPr>
        <w:fldChar w:fldCharType="begin"/>
      </w:r>
      <w:r w:rsidRPr="00A02AB9">
        <w:rPr>
          <w:rStyle w:val="af6"/>
          <w:rFonts w:eastAsia="Guttman Hodes"/>
          <w:rtl/>
        </w:rPr>
        <w:instrText xml:space="preserve"> </w:instrText>
      </w:r>
      <w:r w:rsidRPr="00A02AB9">
        <w:rPr>
          <w:rStyle w:val="af6"/>
          <w:rFonts w:eastAsia="Guttman Hodes" w:hint="cs"/>
        </w:rPr>
        <w:instrText>REF</w:instrText>
      </w:r>
      <w:r w:rsidRPr="00A02AB9">
        <w:rPr>
          <w:rStyle w:val="af6"/>
          <w:rFonts w:eastAsia="Guttman Hodes" w:hint="cs"/>
          <w:rtl/>
        </w:rPr>
        <w:instrText xml:space="preserve"> _</w:instrText>
      </w:r>
      <w:r w:rsidRPr="00A02AB9">
        <w:rPr>
          <w:rStyle w:val="af6"/>
          <w:rFonts w:eastAsia="Guttman Hodes" w:hint="cs"/>
        </w:rPr>
        <w:instrText>Ref23943584 \r \h</w:instrText>
      </w:r>
      <w:r w:rsidRPr="00A02AB9">
        <w:rPr>
          <w:rStyle w:val="af6"/>
          <w:rFonts w:eastAsia="Guttman Hodes"/>
          <w:rtl/>
        </w:rPr>
        <w:instrText xml:space="preserve"> </w:instrText>
      </w:r>
      <w:r w:rsidRPr="00A02AB9">
        <w:rPr>
          <w:rStyle w:val="af6"/>
          <w:rFonts w:eastAsia="Guttman Hodes"/>
          <w:rtl/>
        </w:rPr>
      </w:r>
      <w:r w:rsidRPr="00A02AB9">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A02AB9">
        <w:rPr>
          <w:rStyle w:val="af6"/>
          <w:rFonts w:eastAsia="Guttman Hodes"/>
          <w:rtl/>
        </w:rPr>
        <w:fldChar w:fldCharType="end"/>
      </w:r>
      <w:r>
        <w:rPr>
          <w:rFonts w:hint="cs"/>
          <w:rtl/>
        </w:rPr>
        <w:t xml:space="preserve"> דאף לאחר הבישול לא התערב האיסור בכל ההיתר, דבכל אחת מהקדירות יכול לאכול ולומר שהאיסור </w:t>
      </w:r>
      <w:r>
        <w:rPr>
          <w:rFonts w:hint="cs"/>
          <w:rtl/>
        </w:rPr>
        <w:t xml:space="preserve">נמצא </w:t>
      </w:r>
      <w:r w:rsidRPr="007D1590">
        <w:rPr>
          <w:rFonts w:hint="cs"/>
          <w:rtl/>
        </w:rPr>
        <w:t xml:space="preserve">בקדירה השניה, ועי' במה שדחה </w:t>
      </w:r>
      <w:r w:rsidRPr="007D1590">
        <w:rPr>
          <w:rStyle w:val="af8"/>
          <w:rFonts w:hint="cs"/>
          <w:rtl/>
        </w:rPr>
        <w:t>המנחת יעקב</w:t>
      </w:r>
      <w:r w:rsidRPr="007D1590">
        <w:rPr>
          <w:rFonts w:hint="cs"/>
          <w:rtl/>
        </w:rPr>
        <w:t xml:space="preserve"> </w:t>
      </w:r>
      <w:r w:rsidRPr="007D1590">
        <w:rPr>
          <w:rStyle w:val="af6"/>
          <w:rFonts w:eastAsia="Guttman Hodes" w:hint="cs"/>
          <w:rtl/>
        </w:rPr>
        <w:t xml:space="preserve">(עי' אות </w:t>
      </w:r>
      <w:r w:rsidRPr="007D1590">
        <w:rPr>
          <w:rStyle w:val="af6"/>
          <w:rFonts w:eastAsia="Guttman Hodes"/>
          <w:rtl/>
        </w:rPr>
        <w:fldChar w:fldCharType="begin"/>
      </w:r>
      <w:r w:rsidRPr="007D1590">
        <w:rPr>
          <w:rStyle w:val="af6"/>
          <w:rFonts w:eastAsia="Guttman Hodes"/>
          <w:rtl/>
        </w:rPr>
        <w:instrText xml:space="preserve"> </w:instrText>
      </w:r>
      <w:r w:rsidRPr="007D1590">
        <w:rPr>
          <w:rStyle w:val="af6"/>
          <w:rFonts w:eastAsia="Guttman Hodes" w:hint="cs"/>
        </w:rPr>
        <w:instrText>REF</w:instrText>
      </w:r>
      <w:r w:rsidRPr="007D1590">
        <w:rPr>
          <w:rStyle w:val="af6"/>
          <w:rFonts w:eastAsia="Guttman Hodes" w:hint="cs"/>
          <w:rtl/>
        </w:rPr>
        <w:instrText xml:space="preserve"> _</w:instrText>
      </w:r>
      <w:r w:rsidRPr="007D1590">
        <w:rPr>
          <w:rStyle w:val="af6"/>
          <w:rFonts w:eastAsia="Guttman Hodes" w:hint="cs"/>
        </w:rPr>
        <w:instrText>Ref24837075 \r \h</w:instrText>
      </w:r>
      <w:r w:rsidRPr="007D1590">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D1590">
        <w:rPr>
          <w:rStyle w:val="af6"/>
          <w:rFonts w:eastAsia="Guttman Hodes"/>
          <w:rtl/>
        </w:rPr>
      </w:r>
      <w:r w:rsidRPr="007D1590">
        <w:rPr>
          <w:rStyle w:val="af6"/>
          <w:rFonts w:eastAsia="Guttman Hodes"/>
          <w:rtl/>
        </w:rPr>
        <w:fldChar w:fldCharType="separate"/>
      </w:r>
      <w:r w:rsidR="004D1C5B">
        <w:rPr>
          <w:rStyle w:val="af6"/>
          <w:rFonts w:eastAsia="Guttman Hodes"/>
          <w:cs/>
        </w:rPr>
        <w:t>‎</w:t>
      </w:r>
      <w:r w:rsidR="004D1C5B">
        <w:rPr>
          <w:rStyle w:val="af6"/>
          <w:rFonts w:eastAsia="Guttman Hodes"/>
          <w:rtl/>
        </w:rPr>
        <w:t>ס)</w:t>
      </w:r>
      <w:r w:rsidRPr="007D1590">
        <w:rPr>
          <w:rStyle w:val="af6"/>
          <w:rFonts w:eastAsia="Guttman Hodes"/>
          <w:rtl/>
        </w:rPr>
        <w:fldChar w:fldCharType="end"/>
      </w:r>
      <w:r w:rsidRPr="007D1590">
        <w:rPr>
          <w:rFonts w:hint="cs"/>
          <w:rtl/>
        </w:rPr>
        <w:t xml:space="preserve"> את דברי </w:t>
      </w:r>
      <w:r w:rsidRPr="007D1590">
        <w:rPr>
          <w:rStyle w:val="af8"/>
          <w:rFonts w:hint="cs"/>
          <w:rtl/>
        </w:rPr>
        <w:t>הש"ך</w:t>
      </w:r>
      <w:r w:rsidRPr="007D1590">
        <w:rPr>
          <w:rFonts w:hint="cs"/>
          <w:rtl/>
        </w:rPr>
        <w:t>. [ועי' במה שביאר</w:t>
      </w:r>
      <w:r w:rsidRPr="007D1590">
        <w:rPr>
          <w:rStyle w:val="af8"/>
          <w:rFonts w:hint="cs"/>
          <w:rtl/>
        </w:rPr>
        <w:t xml:space="preserve"> החזו"א</w:t>
      </w:r>
      <w:r w:rsidRPr="007D1590">
        <w:rPr>
          <w:rStyle w:val="af6"/>
          <w:rFonts w:eastAsia="Guttman Hodes" w:hint="cs"/>
          <w:rtl/>
        </w:rPr>
        <w:t xml:space="preserve"> (סי' ל"ו סק"ג)</w:t>
      </w:r>
      <w:r w:rsidRPr="007D1590">
        <w:rPr>
          <w:rFonts w:hint="cs"/>
          <w:rtl/>
        </w:rPr>
        <w:t xml:space="preserve"> בדברי </w:t>
      </w:r>
      <w:r w:rsidRPr="007D1590">
        <w:rPr>
          <w:rStyle w:val="af8"/>
          <w:rFonts w:hint="cs"/>
          <w:rtl/>
        </w:rPr>
        <w:t>הש"ך</w:t>
      </w:r>
      <w:r w:rsidRPr="007D1590">
        <w:rPr>
          <w:rFonts w:hint="cs"/>
          <w:rtl/>
        </w:rPr>
        <w:t>].</w:t>
      </w:r>
      <w:bookmarkEnd w:id="14270"/>
      <w:r w:rsidRPr="007D1590">
        <w:rPr>
          <w:rFonts w:hint="cs"/>
          <w:rtl/>
        </w:rPr>
        <w:t xml:space="preserve"> </w:t>
      </w:r>
    </w:p>
    <w:p w:rsidR="00F13472" w:rsidRPr="007D1590" w:rsidRDefault="00F13472" w:rsidP="00F13472">
      <w:pPr>
        <w:pStyle w:val="a2"/>
        <w:rPr>
          <w:rtl/>
        </w:rPr>
      </w:pPr>
      <w:bookmarkStart w:id="14271" w:name="_Toc24709412"/>
      <w:bookmarkStart w:id="14272" w:name="_Toc24839005"/>
      <w:bookmarkStart w:id="14273" w:name="_Toc24918100"/>
      <w:bookmarkStart w:id="14274" w:name="_Toc24918311"/>
      <w:r w:rsidRPr="007D1590">
        <w:rPr>
          <w:rFonts w:hint="cs"/>
          <w:rtl/>
        </w:rPr>
        <w:t>דברי הש"ך דבב' קדירות הוא ספק דרבנן לקולא או דבכה"ג לא גזרו רבנן שישים ומותר לגמרי</w:t>
      </w:r>
      <w:bookmarkEnd w:id="14271"/>
      <w:bookmarkEnd w:id="14272"/>
      <w:bookmarkEnd w:id="14273"/>
      <w:bookmarkEnd w:id="14274"/>
    </w:p>
    <w:p w:rsidR="00F13472" w:rsidRDefault="00F13472" w:rsidP="009F44AF">
      <w:pPr>
        <w:pStyle w:val="a"/>
        <w:rPr>
          <w:rtl/>
        </w:rPr>
      </w:pPr>
      <w:r w:rsidRPr="007D1590">
        <w:rPr>
          <w:rFonts w:hint="cs"/>
          <w:rtl/>
        </w:rPr>
        <w:t xml:space="preserve">וכתב </w:t>
      </w:r>
      <w:r w:rsidRPr="007D1590">
        <w:rPr>
          <w:rStyle w:val="af8"/>
          <w:rFonts w:hint="cs"/>
          <w:rtl/>
        </w:rPr>
        <w:t>הש"ך</w:t>
      </w:r>
      <w:r w:rsidRPr="007D1590">
        <w:rPr>
          <w:rFonts w:hint="cs"/>
          <w:rtl/>
        </w:rPr>
        <w:t xml:space="preserve"> דאף אי נימא דבכל אחת מהקדירות יש ספק איסור, מ"מ הוא ספק דרבנן לקולא והוסיף </w:t>
      </w:r>
      <w:r w:rsidRPr="007D1590">
        <w:rPr>
          <w:rStyle w:val="af8"/>
          <w:rFonts w:hint="cs"/>
          <w:rtl/>
        </w:rPr>
        <w:t>הש"ך</w:t>
      </w:r>
      <w:r w:rsidRPr="007D1590">
        <w:rPr>
          <w:rFonts w:hint="cs"/>
          <w:rtl/>
        </w:rPr>
        <w:t xml:space="preserve"> דיתכן דבבישל בב' קדירות אחר שנודעה התערובת</w:t>
      </w:r>
      <w:r>
        <w:rPr>
          <w:rFonts w:hint="cs"/>
          <w:rtl/>
        </w:rPr>
        <w:t>, אי"ז נחשב אפילו ספק דרבנן, דאפש"ל דהא דגזרו רבנן שישים במין במינו היינו דוקא בלח בלח ממש, אבל יבש ביבש שהתבטל ברוב כשנודעה התערובת, ואח"כ בישל ונעשה לח, לא החמירו רבנן להצריך שישים, והעמידו על הדין דאו' דבטל ברוב.</w:t>
      </w:r>
    </w:p>
    <w:p w:rsidR="00F13472" w:rsidRDefault="00F13472" w:rsidP="00F13472">
      <w:pPr>
        <w:pStyle w:val="1"/>
        <w:rPr>
          <w:rtl/>
        </w:rPr>
      </w:pPr>
      <w:bookmarkStart w:id="14275" w:name="_Toc24839006"/>
      <w:bookmarkStart w:id="14276" w:name="_Toc24918101"/>
      <w:bookmarkStart w:id="14277" w:name="_Toc24918312"/>
      <w:bookmarkStart w:id="14278" w:name="_Toc24709414"/>
      <w:r>
        <w:rPr>
          <w:rFonts w:hint="cs"/>
          <w:rtl/>
        </w:rPr>
        <w:t>דברי הש"ך דבב' קדירות ולא נודעה התערובת הוא ספק דאו'</w:t>
      </w:r>
      <w:bookmarkEnd w:id="14275"/>
      <w:bookmarkEnd w:id="14276"/>
      <w:bookmarkEnd w:id="14277"/>
    </w:p>
    <w:p w:rsidR="00F13472" w:rsidRPr="002A51A8" w:rsidRDefault="00F13472" w:rsidP="00F13472">
      <w:pPr>
        <w:pStyle w:val="a2"/>
      </w:pPr>
      <w:bookmarkStart w:id="14279" w:name="_Toc24839007"/>
      <w:bookmarkStart w:id="14280" w:name="_Toc24918102"/>
      <w:bookmarkStart w:id="14281" w:name="_Toc24918313"/>
      <w:r w:rsidRPr="00062F5C">
        <w:rPr>
          <w:rFonts w:hint="cs"/>
          <w:rtl/>
        </w:rPr>
        <w:t>דברי הש"ך ברשב"א דבלא נודעה התערובת</w:t>
      </w:r>
      <w:r>
        <w:rPr>
          <w:rFonts w:hint="cs"/>
          <w:rtl/>
        </w:rPr>
        <w:t xml:space="preserve"> </w:t>
      </w:r>
      <w:bookmarkEnd w:id="14278"/>
      <w:r>
        <w:rPr>
          <w:rFonts w:hint="cs"/>
          <w:rtl/>
        </w:rPr>
        <w:t>אסור ובב' קדירות אסור מספק</w:t>
      </w:r>
      <w:bookmarkEnd w:id="14279"/>
      <w:bookmarkEnd w:id="14280"/>
      <w:bookmarkEnd w:id="14281"/>
    </w:p>
    <w:p w:rsidR="00F13472" w:rsidRDefault="00F13472" w:rsidP="009F44AF">
      <w:pPr>
        <w:pStyle w:val="a"/>
        <w:rPr>
          <w:rtl/>
        </w:rPr>
      </w:pPr>
      <w:r>
        <w:rPr>
          <w:rFonts w:hint="cs"/>
          <w:rtl/>
        </w:rPr>
        <w:t xml:space="preserve">אבל במקום שלא נודעה התערובת, ואח"כ בישל בב' קדירות כתב </w:t>
      </w:r>
      <w:r w:rsidRPr="00847D58">
        <w:rPr>
          <w:rStyle w:val="af8"/>
          <w:rFonts w:hint="cs"/>
          <w:rtl/>
        </w:rPr>
        <w:t>הש"ך</w:t>
      </w:r>
      <w:r>
        <w:rPr>
          <w:rFonts w:hint="cs"/>
          <w:rtl/>
        </w:rPr>
        <w:t xml:space="preserve"> </w:t>
      </w:r>
      <w:r w:rsidRPr="009547FD">
        <w:rPr>
          <w:rStyle w:val="af6"/>
          <w:rFonts w:eastAsia="Guttman Hodes" w:hint="cs"/>
          <w:rtl/>
        </w:rPr>
        <w:t>(סי' ק"ט סקי"ב)</w:t>
      </w:r>
      <w:r>
        <w:rPr>
          <w:rFonts w:hint="cs"/>
          <w:rtl/>
        </w:rPr>
        <w:t xml:space="preserve"> דכיון שהאיסור לא התבטל כשהיה יבש ביבש, א"כ כשבישל את התערובת הכל אסור, ובב' קדירות שיש ספק האם האיסור נמצא בה או בקדירה השניה ,אסור מספק, ועי' במה שביאר </w:t>
      </w:r>
      <w:r w:rsidRPr="002061A7">
        <w:rPr>
          <w:rStyle w:val="af8"/>
          <w:rFonts w:hint="cs"/>
          <w:rtl/>
        </w:rPr>
        <w:t>הש"ך</w:t>
      </w:r>
      <w:r>
        <w:rPr>
          <w:rFonts w:hint="cs"/>
          <w:rtl/>
        </w:rPr>
        <w:t xml:space="preserve"> </w:t>
      </w:r>
      <w:r w:rsidRPr="002061A7">
        <w:rPr>
          <w:rStyle w:val="af6"/>
          <w:rFonts w:eastAsia="Guttman Hodes" w:hint="cs"/>
          <w:rtl/>
        </w:rPr>
        <w:t xml:space="preserve">(עי' אות </w:t>
      </w:r>
      <w:r w:rsidRPr="002061A7">
        <w:rPr>
          <w:rStyle w:val="af6"/>
          <w:rFonts w:eastAsia="Guttman Hodes"/>
          <w:rtl/>
        </w:rPr>
        <w:fldChar w:fldCharType="begin"/>
      </w:r>
      <w:r w:rsidRPr="002061A7">
        <w:rPr>
          <w:rStyle w:val="af6"/>
          <w:rFonts w:eastAsia="Guttman Hodes"/>
          <w:rtl/>
        </w:rPr>
        <w:instrText xml:space="preserve"> </w:instrText>
      </w:r>
      <w:r w:rsidRPr="002061A7">
        <w:rPr>
          <w:rStyle w:val="af6"/>
          <w:rFonts w:eastAsia="Guttman Hodes" w:hint="cs"/>
        </w:rPr>
        <w:instrText>REF</w:instrText>
      </w:r>
      <w:r w:rsidRPr="002061A7">
        <w:rPr>
          <w:rStyle w:val="af6"/>
          <w:rFonts w:eastAsia="Guttman Hodes" w:hint="cs"/>
          <w:rtl/>
        </w:rPr>
        <w:instrText xml:space="preserve"> _</w:instrText>
      </w:r>
      <w:r w:rsidRPr="002061A7">
        <w:rPr>
          <w:rStyle w:val="af6"/>
          <w:rFonts w:eastAsia="Guttman Hodes" w:hint="cs"/>
        </w:rPr>
        <w:instrText>Ref24836789 \r \h</w:instrText>
      </w:r>
      <w:r w:rsidRPr="002061A7">
        <w:rPr>
          <w:rStyle w:val="af6"/>
          <w:rFonts w:eastAsia="Guttman Hodes"/>
          <w:rtl/>
        </w:rPr>
        <w:instrText xml:space="preserve"> </w:instrText>
      </w:r>
      <w:r w:rsidRPr="002061A7">
        <w:rPr>
          <w:rStyle w:val="af6"/>
          <w:rFonts w:eastAsia="Guttman Hodes"/>
          <w:rtl/>
        </w:rPr>
      </w:r>
      <w:r w:rsidRPr="002061A7">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2061A7">
        <w:rPr>
          <w:rStyle w:val="af6"/>
          <w:rFonts w:eastAsia="Guttman Hodes"/>
          <w:rtl/>
        </w:rPr>
        <w:fldChar w:fldCharType="end"/>
      </w:r>
      <w:r>
        <w:rPr>
          <w:rFonts w:hint="cs"/>
          <w:rtl/>
        </w:rPr>
        <w:t xml:space="preserve"> דבלא נודעה התערובת אסור מדאו', ובב' קדירות הוא ספק דאו' לחומרא, ועי' במה שנחלק עליו </w:t>
      </w:r>
      <w:r w:rsidRPr="002061A7">
        <w:rPr>
          <w:rStyle w:val="af8"/>
          <w:rFonts w:hint="cs"/>
          <w:rtl/>
        </w:rPr>
        <w:t>המנחת יעקב</w:t>
      </w:r>
      <w:r>
        <w:rPr>
          <w:rFonts w:hint="cs"/>
          <w:rtl/>
        </w:rPr>
        <w:t xml:space="preserve"> </w:t>
      </w:r>
      <w:r w:rsidRPr="002061A7">
        <w:rPr>
          <w:rStyle w:val="af6"/>
          <w:rFonts w:eastAsia="Guttman Hodes" w:hint="cs"/>
          <w:rtl/>
        </w:rPr>
        <w:t xml:space="preserve">(עי' אות </w:t>
      </w:r>
      <w:r w:rsidRPr="002061A7">
        <w:rPr>
          <w:rStyle w:val="af6"/>
          <w:rFonts w:eastAsia="Guttman Hodes"/>
          <w:rtl/>
        </w:rPr>
        <w:fldChar w:fldCharType="begin"/>
      </w:r>
      <w:r w:rsidRPr="002061A7">
        <w:rPr>
          <w:rStyle w:val="af6"/>
          <w:rFonts w:eastAsia="Guttman Hodes"/>
          <w:rtl/>
        </w:rPr>
        <w:instrText xml:space="preserve"> </w:instrText>
      </w:r>
      <w:r w:rsidRPr="002061A7">
        <w:rPr>
          <w:rStyle w:val="af6"/>
          <w:rFonts w:eastAsia="Guttman Hodes" w:hint="cs"/>
        </w:rPr>
        <w:instrText>REF</w:instrText>
      </w:r>
      <w:r w:rsidRPr="002061A7">
        <w:rPr>
          <w:rStyle w:val="af6"/>
          <w:rFonts w:eastAsia="Guttman Hodes" w:hint="cs"/>
          <w:rtl/>
        </w:rPr>
        <w:instrText xml:space="preserve"> _</w:instrText>
      </w:r>
      <w:r w:rsidRPr="002061A7">
        <w:rPr>
          <w:rStyle w:val="af6"/>
          <w:rFonts w:eastAsia="Guttman Hodes" w:hint="cs"/>
        </w:rPr>
        <w:instrText>Ref24836808 \r \h</w:instrText>
      </w:r>
      <w:r w:rsidRPr="002061A7">
        <w:rPr>
          <w:rStyle w:val="af6"/>
          <w:rFonts w:eastAsia="Guttman Hodes"/>
          <w:rtl/>
        </w:rPr>
        <w:instrText xml:space="preserve"> </w:instrText>
      </w:r>
      <w:r w:rsidRPr="002061A7">
        <w:rPr>
          <w:rStyle w:val="af6"/>
          <w:rFonts w:eastAsia="Guttman Hodes"/>
          <w:rtl/>
        </w:rPr>
      </w:r>
      <w:r w:rsidRPr="002061A7">
        <w:rPr>
          <w:rStyle w:val="af6"/>
          <w:rFonts w:eastAsia="Guttman Hodes"/>
          <w:rtl/>
        </w:rPr>
        <w:fldChar w:fldCharType="separate"/>
      </w:r>
      <w:r w:rsidR="004D1C5B">
        <w:rPr>
          <w:rStyle w:val="af6"/>
          <w:rFonts w:eastAsia="Guttman Hodes"/>
          <w:cs/>
        </w:rPr>
        <w:t>‎</w:t>
      </w:r>
      <w:r w:rsidR="004D1C5B">
        <w:rPr>
          <w:rStyle w:val="af6"/>
          <w:rFonts w:eastAsia="Guttman Hodes"/>
          <w:rtl/>
        </w:rPr>
        <w:t>נו)</w:t>
      </w:r>
      <w:r w:rsidRPr="002061A7">
        <w:rPr>
          <w:rStyle w:val="af6"/>
          <w:rFonts w:eastAsia="Guttman Hodes"/>
          <w:rtl/>
        </w:rPr>
        <w:fldChar w:fldCharType="end"/>
      </w:r>
      <w:r>
        <w:rPr>
          <w:rFonts w:hint="cs"/>
          <w:rtl/>
        </w:rPr>
        <w:t>.</w:t>
      </w:r>
    </w:p>
    <w:p w:rsidR="00F13472" w:rsidRDefault="00F13472" w:rsidP="00F13472">
      <w:pPr>
        <w:pStyle w:val="a2"/>
        <w:rPr>
          <w:rtl/>
        </w:rPr>
      </w:pPr>
      <w:bookmarkStart w:id="14282" w:name="_Toc24839008"/>
      <w:bookmarkStart w:id="14283" w:name="_Toc24918103"/>
      <w:bookmarkStart w:id="14284" w:name="_Toc24918314"/>
      <w:r>
        <w:rPr>
          <w:rFonts w:hint="cs"/>
          <w:rtl/>
        </w:rPr>
        <w:t>דברי הפר"ח דהידיעה היא הגורמת את ההיתר ובלא נודעה לא התבטל האיסור</w:t>
      </w:r>
      <w:bookmarkEnd w:id="14282"/>
      <w:bookmarkEnd w:id="14283"/>
      <w:bookmarkEnd w:id="14284"/>
    </w:p>
    <w:p w:rsidR="00F13472" w:rsidRDefault="00F13472" w:rsidP="009F44AF">
      <w:pPr>
        <w:pStyle w:val="a"/>
        <w:rPr>
          <w:rtl/>
        </w:rPr>
      </w:pPr>
      <w:r w:rsidRPr="007F1302">
        <w:rPr>
          <w:rStyle w:val="af8"/>
          <w:rFonts w:hint="cs"/>
          <w:rtl/>
        </w:rPr>
        <w:t>והפר"ח</w:t>
      </w:r>
      <w:r>
        <w:rPr>
          <w:rFonts w:hint="cs"/>
          <w:rtl/>
        </w:rPr>
        <w:t xml:space="preserve"> </w:t>
      </w:r>
      <w:r w:rsidRPr="00ED293F">
        <w:rPr>
          <w:rStyle w:val="af6"/>
          <w:rFonts w:eastAsia="Guttman Hodes" w:hint="cs"/>
          <w:rtl/>
        </w:rPr>
        <w:t xml:space="preserve">(סי' ק"ט סק"י) </w:t>
      </w:r>
      <w:r>
        <w:rPr>
          <w:rFonts w:hint="cs"/>
          <w:rtl/>
        </w:rPr>
        <w:t xml:space="preserve">פליג על </w:t>
      </w:r>
      <w:r w:rsidRPr="007F1302">
        <w:rPr>
          <w:rStyle w:val="af8"/>
          <w:rFonts w:hint="cs"/>
          <w:rtl/>
        </w:rPr>
        <w:t>הב"ח</w:t>
      </w:r>
      <w:r>
        <w:rPr>
          <w:rFonts w:hint="cs"/>
          <w:rtl/>
        </w:rPr>
        <w:t xml:space="preserve"> </w:t>
      </w:r>
      <w:r w:rsidRPr="00ED293F">
        <w:rPr>
          <w:rStyle w:val="af6"/>
          <w:rFonts w:eastAsia="Guttman Hodes" w:hint="cs"/>
          <w:rtl/>
        </w:rPr>
        <w:t xml:space="preserve">(עי' אות </w:t>
      </w:r>
      <w:r w:rsidRPr="00ED293F">
        <w:rPr>
          <w:rStyle w:val="af6"/>
          <w:rFonts w:eastAsia="Guttman Hodes"/>
          <w:rtl/>
        </w:rPr>
        <w:fldChar w:fldCharType="begin"/>
      </w:r>
      <w:r w:rsidRPr="00ED293F">
        <w:rPr>
          <w:rStyle w:val="af6"/>
          <w:rFonts w:eastAsia="Guttman Hodes"/>
          <w:rtl/>
        </w:rPr>
        <w:instrText xml:space="preserve"> </w:instrText>
      </w:r>
      <w:r w:rsidRPr="00ED293F">
        <w:rPr>
          <w:rStyle w:val="af6"/>
          <w:rFonts w:eastAsia="Guttman Hodes" w:hint="cs"/>
        </w:rPr>
        <w:instrText>REF</w:instrText>
      </w:r>
      <w:r w:rsidRPr="00ED293F">
        <w:rPr>
          <w:rStyle w:val="af6"/>
          <w:rFonts w:eastAsia="Guttman Hodes" w:hint="cs"/>
          <w:rtl/>
        </w:rPr>
        <w:instrText xml:space="preserve"> _</w:instrText>
      </w:r>
      <w:r w:rsidRPr="00ED293F">
        <w:rPr>
          <w:rStyle w:val="af6"/>
          <w:rFonts w:eastAsia="Guttman Hodes" w:hint="cs"/>
        </w:rPr>
        <w:instrText>Ref24314689 \r \h</w:instrText>
      </w:r>
      <w:r w:rsidRPr="00ED293F">
        <w:rPr>
          <w:rStyle w:val="af6"/>
          <w:rFonts w:eastAsia="Guttman Hodes"/>
          <w:rtl/>
        </w:rPr>
        <w:instrText xml:space="preserve"> </w:instrText>
      </w:r>
      <w:r w:rsidRPr="00ED293F">
        <w:rPr>
          <w:rStyle w:val="af6"/>
          <w:rFonts w:eastAsia="Guttman Hodes"/>
          <w:rtl/>
        </w:rPr>
      </w:r>
      <w:r w:rsidRPr="00ED293F">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ED293F">
        <w:rPr>
          <w:rStyle w:val="af6"/>
          <w:rFonts w:eastAsia="Guttman Hodes"/>
          <w:rtl/>
        </w:rPr>
        <w:fldChar w:fldCharType="end"/>
      </w:r>
      <w:r>
        <w:rPr>
          <w:rFonts w:hint="cs"/>
          <w:rtl/>
        </w:rPr>
        <w:t xml:space="preserve"> וכתב דהחילוק בביטול איסור בין אם נודעה התערובת ללא נודעה התערובת, הוא כיון שהידיעה היא </w:t>
      </w:r>
      <w:r w:rsidRPr="0070178D">
        <w:rPr>
          <w:rFonts w:hint="cs"/>
          <w:rtl/>
        </w:rPr>
        <w:t xml:space="preserve">הגורמת את ההיתר, והידיעה גורמת שהאיסור התבטל, וציין </w:t>
      </w:r>
      <w:r w:rsidRPr="0070178D">
        <w:rPr>
          <w:rStyle w:val="af8"/>
          <w:rFonts w:hint="cs"/>
          <w:rtl/>
        </w:rPr>
        <w:t>הפר"ח</w:t>
      </w:r>
      <w:r w:rsidRPr="0070178D">
        <w:rPr>
          <w:rFonts w:hint="cs"/>
          <w:rtl/>
        </w:rPr>
        <w:t xml:space="preserve"> למה שביאר כן </w:t>
      </w:r>
      <w:r w:rsidRPr="0070178D">
        <w:rPr>
          <w:rStyle w:val="af6"/>
          <w:rFonts w:eastAsia="Guttman Hodes" w:hint="cs"/>
          <w:rtl/>
        </w:rPr>
        <w:t>(סי' צ"ט סוס"ק כ"א)</w:t>
      </w:r>
      <w:r>
        <w:rPr>
          <w:rFonts w:hint="cs"/>
          <w:rtl/>
        </w:rPr>
        <w:t>.</w:t>
      </w:r>
    </w:p>
    <w:p w:rsidR="00F13472" w:rsidRPr="000D41F1" w:rsidRDefault="00F13472" w:rsidP="00F13472">
      <w:pPr>
        <w:pStyle w:val="a2"/>
      </w:pPr>
      <w:bookmarkStart w:id="14285" w:name="_Toc24839009"/>
      <w:bookmarkStart w:id="14286" w:name="_Toc24918104"/>
      <w:bookmarkStart w:id="14287" w:name="_Toc24918315"/>
      <w:r>
        <w:rPr>
          <w:rFonts w:hint="cs"/>
          <w:rtl/>
        </w:rPr>
        <w:t>דברי הפר"ח דבב' קדירות בלא נודעה התערובת לא התבטל ואחר הבישול הוא ספק דאו'</w:t>
      </w:r>
      <w:bookmarkEnd w:id="14285"/>
      <w:bookmarkEnd w:id="14286"/>
      <w:bookmarkEnd w:id="14287"/>
    </w:p>
    <w:p w:rsidR="00F13472" w:rsidRDefault="00F13472" w:rsidP="009F44AF">
      <w:pPr>
        <w:pStyle w:val="a"/>
        <w:rPr>
          <w:rtl/>
        </w:rPr>
      </w:pPr>
      <w:bookmarkStart w:id="14288" w:name="_Ref24838651"/>
      <w:r w:rsidRPr="0070178D">
        <w:rPr>
          <w:rFonts w:hint="cs"/>
          <w:rtl/>
        </w:rPr>
        <w:t xml:space="preserve">וכתב </w:t>
      </w:r>
      <w:r w:rsidRPr="0070178D">
        <w:rPr>
          <w:rStyle w:val="af8"/>
          <w:rFonts w:hint="cs"/>
          <w:rtl/>
        </w:rPr>
        <w:t>הפר"ח</w:t>
      </w:r>
      <w:r w:rsidRPr="0070178D">
        <w:rPr>
          <w:rFonts w:hint="cs"/>
          <w:rtl/>
        </w:rPr>
        <w:t xml:space="preserve"> דא"כ במקום שלא נודעה התערובת לפני שבישל בב' קדירות, פשיטא שהאיסור לא התבטל כלל, וכשנודעה התערובת אחר הבישול בב' הקדירות, יש ספק על כל אחת מהקדירות אם האיסור נמצא בה או בשניה, והוא</w:t>
      </w:r>
      <w:r>
        <w:rPr>
          <w:rFonts w:hint="cs"/>
          <w:rtl/>
        </w:rPr>
        <w:t xml:space="preserve"> ספק דאו' לחומרא</w:t>
      </w:r>
      <w:bookmarkEnd w:id="14288"/>
      <w:r>
        <w:rPr>
          <w:rFonts w:hint="cs"/>
          <w:rtl/>
        </w:rPr>
        <w:t>.</w:t>
      </w:r>
      <w:r>
        <w:rPr>
          <w:rStyle w:val="af6"/>
          <w:rFonts w:eastAsia="Guttman Hodes" w:hint="cs"/>
          <w:rtl/>
        </w:rPr>
        <w:t xml:space="preserve"> </w:t>
      </w:r>
      <w:r>
        <w:rPr>
          <w:rFonts w:hint="cs"/>
          <w:rtl/>
        </w:rPr>
        <w:t xml:space="preserve">[ועי' במה שביארו </w:t>
      </w:r>
      <w:r w:rsidRPr="00A67722">
        <w:rPr>
          <w:rStyle w:val="af8"/>
          <w:rFonts w:hint="cs"/>
          <w:rtl/>
        </w:rPr>
        <w:t>השער"י</w:t>
      </w:r>
      <w:r>
        <w:rPr>
          <w:rFonts w:hint="cs"/>
          <w:rtl/>
        </w:rPr>
        <w:t xml:space="preserve"> </w:t>
      </w:r>
      <w:r w:rsidRPr="00A67722">
        <w:rPr>
          <w:rStyle w:val="af6"/>
          <w:rFonts w:eastAsia="Guttman Hodes" w:hint="cs"/>
          <w:rtl/>
        </w:rPr>
        <w:t xml:space="preserve">(עי' אות </w:t>
      </w:r>
      <w:r w:rsidRPr="00A67722">
        <w:rPr>
          <w:rStyle w:val="af6"/>
          <w:rFonts w:eastAsia="Guttman Hodes"/>
          <w:rtl/>
        </w:rPr>
        <w:fldChar w:fldCharType="begin"/>
      </w:r>
      <w:r w:rsidRPr="00A67722">
        <w:rPr>
          <w:rStyle w:val="af6"/>
          <w:rFonts w:eastAsia="Guttman Hodes"/>
          <w:rtl/>
        </w:rPr>
        <w:instrText xml:space="preserve"> </w:instrText>
      </w:r>
      <w:r w:rsidRPr="00A67722">
        <w:rPr>
          <w:rStyle w:val="af6"/>
          <w:rFonts w:eastAsia="Guttman Hodes" w:hint="cs"/>
        </w:rPr>
        <w:instrText>REF</w:instrText>
      </w:r>
      <w:r w:rsidRPr="00A67722">
        <w:rPr>
          <w:rStyle w:val="af6"/>
          <w:rFonts w:eastAsia="Guttman Hodes" w:hint="cs"/>
          <w:rtl/>
        </w:rPr>
        <w:instrText xml:space="preserve"> _</w:instrText>
      </w:r>
      <w:r w:rsidRPr="00A67722">
        <w:rPr>
          <w:rStyle w:val="af6"/>
          <w:rFonts w:eastAsia="Guttman Hodes" w:hint="cs"/>
        </w:rPr>
        <w:instrText>Ref24910986 \r \h</w:instrText>
      </w:r>
      <w:r w:rsidRPr="00A67722">
        <w:rPr>
          <w:rStyle w:val="af6"/>
          <w:rFonts w:eastAsia="Guttman Hodes"/>
          <w:rtl/>
        </w:rPr>
        <w:instrText xml:space="preserve"> </w:instrText>
      </w:r>
      <w:r w:rsidRPr="00A67722">
        <w:rPr>
          <w:rStyle w:val="af6"/>
          <w:rFonts w:eastAsia="Guttman Hodes"/>
          <w:rtl/>
        </w:rPr>
      </w:r>
      <w:r w:rsidRPr="00A67722">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sidRPr="00A67722">
        <w:rPr>
          <w:rStyle w:val="af6"/>
          <w:rFonts w:eastAsia="Guttman Hodes"/>
          <w:rtl/>
        </w:rPr>
        <w:fldChar w:fldCharType="end"/>
      </w:r>
      <w:r w:rsidRPr="00D20C58">
        <w:rPr>
          <w:rStyle w:val="af8"/>
          <w:rFonts w:hint="cs"/>
          <w:rtl/>
        </w:rPr>
        <w:t xml:space="preserve"> והקוב"ש</w:t>
      </w:r>
      <w:r>
        <w:rPr>
          <w:rFonts w:hint="cs"/>
          <w:rtl/>
        </w:rPr>
        <w:t xml:space="preserve"> </w:t>
      </w:r>
      <w:r w:rsidRPr="00D20C58">
        <w:rPr>
          <w:rStyle w:val="af6"/>
          <w:rFonts w:eastAsia="Guttman Hodes" w:hint="cs"/>
          <w:rtl/>
        </w:rPr>
        <w:t xml:space="preserve">(עי' אות </w:t>
      </w:r>
      <w:r w:rsidRPr="00D20C58">
        <w:rPr>
          <w:rStyle w:val="af6"/>
          <w:rFonts w:eastAsia="Guttman Hodes"/>
          <w:rtl/>
        </w:rPr>
        <w:fldChar w:fldCharType="begin"/>
      </w:r>
      <w:r w:rsidRPr="00D20C58">
        <w:rPr>
          <w:rStyle w:val="af6"/>
          <w:rFonts w:eastAsia="Guttman Hodes"/>
          <w:rtl/>
        </w:rPr>
        <w:instrText xml:space="preserve"> </w:instrText>
      </w:r>
      <w:r w:rsidRPr="00D20C58">
        <w:rPr>
          <w:rStyle w:val="af6"/>
          <w:rFonts w:eastAsia="Guttman Hodes" w:hint="cs"/>
        </w:rPr>
        <w:instrText>REF</w:instrText>
      </w:r>
      <w:r w:rsidRPr="00D20C58">
        <w:rPr>
          <w:rStyle w:val="af6"/>
          <w:rFonts w:eastAsia="Guttman Hodes" w:hint="cs"/>
          <w:rtl/>
        </w:rPr>
        <w:instrText xml:space="preserve"> _</w:instrText>
      </w:r>
      <w:r w:rsidRPr="00D20C58">
        <w:rPr>
          <w:rStyle w:val="af6"/>
          <w:rFonts w:eastAsia="Guttman Hodes" w:hint="cs"/>
        </w:rPr>
        <w:instrText>Ref24919373 \r \h</w:instrText>
      </w:r>
      <w:r w:rsidRPr="00D20C58">
        <w:rPr>
          <w:rStyle w:val="af6"/>
          <w:rFonts w:eastAsia="Guttman Hodes"/>
          <w:rtl/>
        </w:rPr>
        <w:instrText xml:space="preserve"> </w:instrText>
      </w:r>
      <w:r w:rsidRPr="00D20C58">
        <w:rPr>
          <w:rStyle w:val="af6"/>
          <w:rFonts w:eastAsia="Guttman Hodes"/>
          <w:rtl/>
        </w:rPr>
      </w:r>
      <w:r w:rsidRPr="00D20C58">
        <w:rPr>
          <w:rStyle w:val="af6"/>
          <w:rFonts w:eastAsia="Guttman Hodes"/>
          <w:rtl/>
        </w:rPr>
        <w:fldChar w:fldCharType="separate"/>
      </w:r>
      <w:r w:rsidR="004D1C5B">
        <w:rPr>
          <w:rStyle w:val="af6"/>
          <w:rFonts w:eastAsia="Guttman Hodes"/>
          <w:cs/>
        </w:rPr>
        <w:t>‎</w:t>
      </w:r>
      <w:r w:rsidR="004D1C5B">
        <w:rPr>
          <w:rStyle w:val="af6"/>
          <w:rFonts w:eastAsia="Guttman Hodes"/>
          <w:rtl/>
        </w:rPr>
        <w:t>קכב)</w:t>
      </w:r>
      <w:r w:rsidRPr="00D20C58">
        <w:rPr>
          <w:rStyle w:val="af6"/>
          <w:rFonts w:eastAsia="Guttman Hodes"/>
          <w:rtl/>
        </w:rPr>
        <w:fldChar w:fldCharType="end"/>
      </w:r>
      <w:r>
        <w:rPr>
          <w:rFonts w:hint="cs"/>
          <w:rtl/>
        </w:rPr>
        <w:t>].</w:t>
      </w:r>
    </w:p>
    <w:p w:rsidR="00F13472" w:rsidRPr="00547C3F" w:rsidRDefault="00F13472" w:rsidP="00F13472">
      <w:pPr>
        <w:pStyle w:val="afd"/>
        <w:rPr>
          <w:rtl/>
        </w:rPr>
      </w:pPr>
      <w:bookmarkStart w:id="14289" w:name="_Toc24839010"/>
      <w:bookmarkStart w:id="14290" w:name="_Toc24918105"/>
      <w:bookmarkStart w:id="14291" w:name="_Toc24918316"/>
      <w:r>
        <w:rPr>
          <w:rFonts w:hint="cs"/>
          <w:rtl/>
        </w:rPr>
        <w:t>בביטול מדאו' בלא נודעה התערובת</w:t>
      </w:r>
      <w:bookmarkEnd w:id="14289"/>
      <w:bookmarkEnd w:id="14290"/>
      <w:bookmarkEnd w:id="14291"/>
    </w:p>
    <w:p w:rsidR="00F13472" w:rsidRPr="006E36E7" w:rsidRDefault="00F13472" w:rsidP="00F13472">
      <w:pPr>
        <w:pStyle w:val="1"/>
        <w:rPr>
          <w:rtl/>
        </w:rPr>
      </w:pPr>
      <w:bookmarkStart w:id="14292" w:name="_Toc24709413"/>
      <w:bookmarkStart w:id="14293" w:name="_Toc24839011"/>
      <w:bookmarkStart w:id="14294" w:name="_Toc24918106"/>
      <w:bookmarkStart w:id="14295" w:name="_Toc24918317"/>
      <w:r>
        <w:rPr>
          <w:rFonts w:hint="cs"/>
          <w:rtl/>
        </w:rPr>
        <w:t>דברי הש"ך דבלא נודעה התערובת לא התבטל ואסור מדאו'</w:t>
      </w:r>
      <w:bookmarkEnd w:id="14292"/>
      <w:bookmarkEnd w:id="14293"/>
      <w:bookmarkEnd w:id="14294"/>
      <w:bookmarkEnd w:id="14295"/>
    </w:p>
    <w:p w:rsidR="00F13472" w:rsidRPr="002A51A8" w:rsidRDefault="00F13472" w:rsidP="00F13472">
      <w:pPr>
        <w:pStyle w:val="a2"/>
      </w:pPr>
      <w:bookmarkStart w:id="14296" w:name="_Toc24839012"/>
      <w:bookmarkStart w:id="14297" w:name="_Toc24918107"/>
      <w:bookmarkStart w:id="14298" w:name="_Toc24918318"/>
      <w:r w:rsidRPr="00062F5C">
        <w:rPr>
          <w:rFonts w:hint="cs"/>
          <w:rtl/>
        </w:rPr>
        <w:t>דברי הש"ך דבלא נודעה התערובת</w:t>
      </w:r>
      <w:r>
        <w:rPr>
          <w:rFonts w:hint="cs"/>
          <w:rtl/>
        </w:rPr>
        <w:t xml:space="preserve"> מדאו' לא התבטל האיסור ובב' קדירות אסור מספק דאו'</w:t>
      </w:r>
      <w:bookmarkEnd w:id="14296"/>
      <w:bookmarkEnd w:id="14297"/>
      <w:bookmarkEnd w:id="14298"/>
    </w:p>
    <w:p w:rsidR="00F13472" w:rsidRDefault="00F13472" w:rsidP="009F44AF">
      <w:pPr>
        <w:pStyle w:val="a"/>
        <w:rPr>
          <w:rtl/>
        </w:rPr>
      </w:pPr>
      <w:r>
        <w:rPr>
          <w:rFonts w:hint="cs"/>
          <w:rtl/>
        </w:rPr>
        <w:t xml:space="preserve"> </w:t>
      </w:r>
      <w:bookmarkStart w:id="14299" w:name="_Ref24836789"/>
      <w:r>
        <w:rPr>
          <w:rFonts w:hint="cs"/>
          <w:rtl/>
        </w:rPr>
        <w:t xml:space="preserve">וביאר </w:t>
      </w:r>
      <w:r w:rsidRPr="000C1CDC">
        <w:rPr>
          <w:rStyle w:val="af8"/>
          <w:rFonts w:hint="cs"/>
          <w:rtl/>
        </w:rPr>
        <w:t>הש"ך</w:t>
      </w:r>
      <w:r>
        <w:rPr>
          <w:rFonts w:hint="cs"/>
          <w:rtl/>
        </w:rPr>
        <w:t xml:space="preserve"> </w:t>
      </w:r>
      <w:r w:rsidRPr="009547FD">
        <w:rPr>
          <w:rStyle w:val="af6"/>
          <w:rFonts w:eastAsia="Guttman Hodes" w:hint="cs"/>
          <w:rtl/>
        </w:rPr>
        <w:t>(סי' ק"ט סקי"ב)</w:t>
      </w:r>
      <w:r>
        <w:rPr>
          <w:rFonts w:hint="cs"/>
          <w:rtl/>
        </w:rPr>
        <w:t xml:space="preserve"> דבלא נודעה התערובת ביבש, האיסור לא התבטל וכשנודעה התערובת</w:t>
      </w:r>
      <w:r w:rsidRPr="00133A30">
        <w:rPr>
          <w:rFonts w:hint="cs"/>
          <w:rtl/>
        </w:rPr>
        <w:t xml:space="preserve"> </w:t>
      </w:r>
      <w:r>
        <w:rPr>
          <w:rFonts w:hint="cs"/>
          <w:rtl/>
        </w:rPr>
        <w:t xml:space="preserve">רק לאחר שבישל, הכל אסור מדאו', </w:t>
      </w:r>
      <w:r w:rsidRPr="007D6DE7">
        <w:rPr>
          <w:rStyle w:val="afa"/>
          <w:rFonts w:hint="cs"/>
          <w:rtl/>
        </w:rPr>
        <w:t>[דהיינו דכל שלא נודעה התערובת, לא היה ביטול כלל ואף בחד בתרי אסור מדאו'],</w:t>
      </w:r>
      <w:r>
        <w:rPr>
          <w:rFonts w:hint="cs"/>
          <w:rtl/>
        </w:rPr>
        <w:t xml:space="preserve"> וכשנודעה התערובת לאחר הבישול, א"כ יש ספק דאו' על כל אחת מהקדירות האם האיסור נמצא בה או בקדירה השניה, והוא ספק דאו' לחומרא, ואסור לכו"ע, וכ"כ </w:t>
      </w:r>
      <w:r w:rsidRPr="000D41F1">
        <w:rPr>
          <w:rStyle w:val="af8"/>
          <w:rFonts w:hint="cs"/>
          <w:rtl/>
        </w:rPr>
        <w:t>הפר"ח</w:t>
      </w:r>
      <w:r>
        <w:rPr>
          <w:rFonts w:hint="cs"/>
          <w:rtl/>
        </w:rPr>
        <w:t xml:space="preserve"> </w:t>
      </w:r>
      <w:r w:rsidRPr="000D41F1">
        <w:rPr>
          <w:rStyle w:val="af6"/>
          <w:rFonts w:eastAsia="Guttman Hodes" w:hint="cs"/>
          <w:rtl/>
        </w:rPr>
        <w:t xml:space="preserve">(עי' אות </w:t>
      </w:r>
      <w:r w:rsidRPr="000D41F1">
        <w:rPr>
          <w:rStyle w:val="af6"/>
          <w:rFonts w:eastAsia="Guttman Hodes"/>
          <w:rtl/>
        </w:rPr>
        <w:fldChar w:fldCharType="begin"/>
      </w:r>
      <w:r w:rsidRPr="000D41F1">
        <w:rPr>
          <w:rStyle w:val="af6"/>
          <w:rFonts w:eastAsia="Guttman Hodes"/>
          <w:rtl/>
        </w:rPr>
        <w:instrText xml:space="preserve"> </w:instrText>
      </w:r>
      <w:r w:rsidRPr="000D41F1">
        <w:rPr>
          <w:rStyle w:val="af6"/>
          <w:rFonts w:eastAsia="Guttman Hodes" w:hint="cs"/>
        </w:rPr>
        <w:instrText>REF</w:instrText>
      </w:r>
      <w:r w:rsidRPr="000D41F1">
        <w:rPr>
          <w:rStyle w:val="af6"/>
          <w:rFonts w:eastAsia="Guttman Hodes" w:hint="cs"/>
          <w:rtl/>
        </w:rPr>
        <w:instrText xml:space="preserve"> _</w:instrText>
      </w:r>
      <w:r w:rsidRPr="000D41F1">
        <w:rPr>
          <w:rStyle w:val="af6"/>
          <w:rFonts w:eastAsia="Guttman Hodes" w:hint="cs"/>
        </w:rPr>
        <w:instrText>Ref24838651 \r \h</w:instrText>
      </w:r>
      <w:r w:rsidRPr="000D41F1">
        <w:rPr>
          <w:rStyle w:val="af6"/>
          <w:rFonts w:eastAsia="Guttman Hodes"/>
          <w:rtl/>
        </w:rPr>
        <w:instrText xml:space="preserve"> </w:instrText>
      </w:r>
      <w:r w:rsidRPr="000D41F1">
        <w:rPr>
          <w:rStyle w:val="af6"/>
          <w:rFonts w:eastAsia="Guttman Hodes"/>
          <w:rtl/>
        </w:rPr>
      </w:r>
      <w:r w:rsidRPr="000D41F1">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0D41F1">
        <w:rPr>
          <w:rStyle w:val="af6"/>
          <w:rFonts w:eastAsia="Guttman Hodes"/>
          <w:rtl/>
        </w:rPr>
        <w:fldChar w:fldCharType="end"/>
      </w:r>
      <w:r>
        <w:rPr>
          <w:rFonts w:hint="cs"/>
          <w:rtl/>
        </w:rPr>
        <w:t xml:space="preserve">. [ועי' במה שביארו </w:t>
      </w:r>
      <w:r w:rsidRPr="00A67722">
        <w:rPr>
          <w:rStyle w:val="af8"/>
          <w:rFonts w:hint="cs"/>
          <w:rtl/>
        </w:rPr>
        <w:t>השער"י</w:t>
      </w:r>
      <w:r>
        <w:rPr>
          <w:rFonts w:hint="cs"/>
          <w:rtl/>
        </w:rPr>
        <w:t xml:space="preserve"> </w:t>
      </w:r>
      <w:r w:rsidRPr="00A67722">
        <w:rPr>
          <w:rStyle w:val="af6"/>
          <w:rFonts w:eastAsia="Guttman Hodes" w:hint="cs"/>
          <w:rtl/>
        </w:rPr>
        <w:t xml:space="preserve">(עי' אות </w:t>
      </w:r>
      <w:r w:rsidRPr="00A67722">
        <w:rPr>
          <w:rStyle w:val="af6"/>
          <w:rFonts w:eastAsia="Guttman Hodes"/>
          <w:rtl/>
        </w:rPr>
        <w:fldChar w:fldCharType="begin"/>
      </w:r>
      <w:r w:rsidRPr="00A67722">
        <w:rPr>
          <w:rStyle w:val="af6"/>
          <w:rFonts w:eastAsia="Guttman Hodes"/>
          <w:rtl/>
        </w:rPr>
        <w:instrText xml:space="preserve"> </w:instrText>
      </w:r>
      <w:r w:rsidRPr="00A67722">
        <w:rPr>
          <w:rStyle w:val="af6"/>
          <w:rFonts w:eastAsia="Guttman Hodes" w:hint="cs"/>
        </w:rPr>
        <w:instrText>REF</w:instrText>
      </w:r>
      <w:r w:rsidRPr="00A67722">
        <w:rPr>
          <w:rStyle w:val="af6"/>
          <w:rFonts w:eastAsia="Guttman Hodes" w:hint="cs"/>
          <w:rtl/>
        </w:rPr>
        <w:instrText xml:space="preserve"> _</w:instrText>
      </w:r>
      <w:r w:rsidRPr="00A67722">
        <w:rPr>
          <w:rStyle w:val="af6"/>
          <w:rFonts w:eastAsia="Guttman Hodes" w:hint="cs"/>
        </w:rPr>
        <w:instrText>Ref24910986 \r \h</w:instrText>
      </w:r>
      <w:r w:rsidRPr="00A67722">
        <w:rPr>
          <w:rStyle w:val="af6"/>
          <w:rFonts w:eastAsia="Guttman Hodes"/>
          <w:rtl/>
        </w:rPr>
        <w:instrText xml:space="preserve"> </w:instrText>
      </w:r>
      <w:r w:rsidRPr="00A67722">
        <w:rPr>
          <w:rStyle w:val="af6"/>
          <w:rFonts w:eastAsia="Guttman Hodes"/>
          <w:rtl/>
        </w:rPr>
      </w:r>
      <w:r w:rsidRPr="00A67722">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sidRPr="00A67722">
        <w:rPr>
          <w:rStyle w:val="af6"/>
          <w:rFonts w:eastAsia="Guttman Hodes"/>
          <w:rtl/>
        </w:rPr>
        <w:fldChar w:fldCharType="end"/>
      </w:r>
      <w:r w:rsidRPr="00D20C58">
        <w:rPr>
          <w:rStyle w:val="af8"/>
          <w:rFonts w:hint="cs"/>
          <w:rtl/>
        </w:rPr>
        <w:t xml:space="preserve"> והקוב"ש</w:t>
      </w:r>
      <w:r>
        <w:rPr>
          <w:rFonts w:hint="cs"/>
          <w:rtl/>
        </w:rPr>
        <w:t xml:space="preserve"> </w:t>
      </w:r>
      <w:r w:rsidRPr="00D20C58">
        <w:rPr>
          <w:rStyle w:val="af6"/>
          <w:rFonts w:eastAsia="Guttman Hodes" w:hint="cs"/>
          <w:rtl/>
        </w:rPr>
        <w:t xml:space="preserve">(עי' אות </w:t>
      </w:r>
      <w:r w:rsidRPr="00D20C58">
        <w:rPr>
          <w:rStyle w:val="af6"/>
          <w:rFonts w:eastAsia="Guttman Hodes"/>
          <w:rtl/>
        </w:rPr>
        <w:fldChar w:fldCharType="begin"/>
      </w:r>
      <w:r w:rsidRPr="00D20C58">
        <w:rPr>
          <w:rStyle w:val="af6"/>
          <w:rFonts w:eastAsia="Guttman Hodes"/>
          <w:rtl/>
        </w:rPr>
        <w:instrText xml:space="preserve"> </w:instrText>
      </w:r>
      <w:r w:rsidRPr="00D20C58">
        <w:rPr>
          <w:rStyle w:val="af6"/>
          <w:rFonts w:eastAsia="Guttman Hodes" w:hint="cs"/>
        </w:rPr>
        <w:instrText>REF</w:instrText>
      </w:r>
      <w:r w:rsidRPr="00D20C58">
        <w:rPr>
          <w:rStyle w:val="af6"/>
          <w:rFonts w:eastAsia="Guttman Hodes" w:hint="cs"/>
          <w:rtl/>
        </w:rPr>
        <w:instrText xml:space="preserve"> _</w:instrText>
      </w:r>
      <w:r w:rsidRPr="00D20C58">
        <w:rPr>
          <w:rStyle w:val="af6"/>
          <w:rFonts w:eastAsia="Guttman Hodes" w:hint="cs"/>
        </w:rPr>
        <w:instrText>Ref24919373 \r \h</w:instrText>
      </w:r>
      <w:r w:rsidRPr="00D20C58">
        <w:rPr>
          <w:rStyle w:val="af6"/>
          <w:rFonts w:eastAsia="Guttman Hodes"/>
          <w:rtl/>
        </w:rPr>
        <w:instrText xml:space="preserve"> </w:instrText>
      </w:r>
      <w:r w:rsidRPr="00D20C58">
        <w:rPr>
          <w:rStyle w:val="af6"/>
          <w:rFonts w:eastAsia="Guttman Hodes"/>
          <w:rtl/>
        </w:rPr>
      </w:r>
      <w:r w:rsidRPr="00D20C58">
        <w:rPr>
          <w:rStyle w:val="af6"/>
          <w:rFonts w:eastAsia="Guttman Hodes"/>
          <w:rtl/>
        </w:rPr>
        <w:fldChar w:fldCharType="separate"/>
      </w:r>
      <w:r w:rsidR="004D1C5B">
        <w:rPr>
          <w:rStyle w:val="af6"/>
          <w:rFonts w:eastAsia="Guttman Hodes"/>
          <w:cs/>
        </w:rPr>
        <w:t>‎</w:t>
      </w:r>
      <w:r w:rsidR="004D1C5B">
        <w:rPr>
          <w:rStyle w:val="af6"/>
          <w:rFonts w:eastAsia="Guttman Hodes"/>
          <w:rtl/>
        </w:rPr>
        <w:t>קכב)</w:t>
      </w:r>
      <w:r w:rsidRPr="00D20C58">
        <w:rPr>
          <w:rStyle w:val="af6"/>
          <w:rFonts w:eastAsia="Guttman Hodes"/>
          <w:rtl/>
        </w:rPr>
        <w:fldChar w:fldCharType="end"/>
      </w:r>
      <w:r>
        <w:rPr>
          <w:rFonts w:hint="cs"/>
          <w:rtl/>
        </w:rPr>
        <w:t>].</w:t>
      </w:r>
      <w:bookmarkEnd w:id="14299"/>
    </w:p>
    <w:p w:rsidR="00F13472" w:rsidRPr="00E52086" w:rsidRDefault="00F13472" w:rsidP="00F13472">
      <w:pPr>
        <w:pStyle w:val="1"/>
        <w:rPr>
          <w:rtl/>
        </w:rPr>
      </w:pPr>
      <w:bookmarkStart w:id="14300" w:name="_Toc24839013"/>
      <w:bookmarkStart w:id="14301" w:name="_Toc24918108"/>
      <w:bookmarkStart w:id="14302" w:name="_Toc24918319"/>
      <w:r>
        <w:rPr>
          <w:rFonts w:hint="cs"/>
          <w:rtl/>
        </w:rPr>
        <w:t>דברי המנחת יעקב דבלא נודעה התערובת אסור מדרבנן</w:t>
      </w:r>
      <w:bookmarkEnd w:id="14300"/>
      <w:bookmarkEnd w:id="14301"/>
      <w:bookmarkEnd w:id="14302"/>
    </w:p>
    <w:p w:rsidR="00F13472" w:rsidRPr="000B6420" w:rsidRDefault="00F13472" w:rsidP="00F13472">
      <w:pPr>
        <w:pStyle w:val="a2"/>
        <w:rPr>
          <w:rtl/>
        </w:rPr>
      </w:pPr>
      <w:bookmarkStart w:id="14303" w:name="_Toc24839014"/>
      <w:bookmarkStart w:id="14304" w:name="_Toc24918109"/>
      <w:bookmarkStart w:id="14305" w:name="_Toc24918320"/>
      <w:r>
        <w:rPr>
          <w:rFonts w:hint="cs"/>
          <w:rtl/>
        </w:rPr>
        <w:t>קושית המנחת יעקב דבלא נודעה התערובת מדאו' בטל ואסור רק מדרבנן דלא נקרא שם היתר</w:t>
      </w:r>
      <w:bookmarkEnd w:id="14303"/>
      <w:bookmarkEnd w:id="14304"/>
      <w:bookmarkEnd w:id="14305"/>
    </w:p>
    <w:p w:rsidR="007A5AFC" w:rsidRDefault="00F13472" w:rsidP="009F44AF">
      <w:pPr>
        <w:pStyle w:val="a"/>
        <w:rPr>
          <w:rtl/>
        </w:rPr>
      </w:pPr>
      <w:bookmarkStart w:id="14306" w:name="_Ref24836808"/>
      <w:r w:rsidRPr="00117041">
        <w:rPr>
          <w:rStyle w:val="af8"/>
          <w:rFonts w:hint="cs"/>
          <w:rtl/>
        </w:rPr>
        <w:t>וה</w:t>
      </w:r>
      <w:r w:rsidRPr="00847D58">
        <w:rPr>
          <w:rStyle w:val="af8"/>
          <w:rFonts w:hint="cs"/>
          <w:rtl/>
        </w:rPr>
        <w:t>מנחת יעקב</w:t>
      </w:r>
      <w:r>
        <w:rPr>
          <w:rFonts w:hint="cs"/>
          <w:rtl/>
        </w:rPr>
        <w:t xml:space="preserve"> </w:t>
      </w:r>
      <w:r w:rsidRPr="00EC23F8">
        <w:rPr>
          <w:rStyle w:val="af6"/>
          <w:rFonts w:eastAsia="Guttman Hodes" w:hint="cs"/>
          <w:rtl/>
        </w:rPr>
        <w:t xml:space="preserve">(על התורת חטאת כלל ל"ט י"ח) </w:t>
      </w:r>
      <w:r>
        <w:rPr>
          <w:rFonts w:hint="cs"/>
          <w:rtl/>
        </w:rPr>
        <w:t xml:space="preserve">דחה את דברי </w:t>
      </w:r>
      <w:r w:rsidRPr="00847D58">
        <w:rPr>
          <w:rStyle w:val="af8"/>
          <w:rFonts w:hint="cs"/>
          <w:rtl/>
        </w:rPr>
        <w:t>הש"ך</w:t>
      </w:r>
      <w:r>
        <w:rPr>
          <w:rFonts w:hint="cs"/>
          <w:rtl/>
        </w:rPr>
        <w:t xml:space="preserve">, וכתב דנראה לומר כדעת </w:t>
      </w:r>
      <w:r w:rsidRPr="00A02AB9">
        <w:rPr>
          <w:rStyle w:val="af8"/>
          <w:rFonts w:hint="cs"/>
          <w:rtl/>
        </w:rPr>
        <w:t>הב"ח</w:t>
      </w:r>
      <w:r>
        <w:rPr>
          <w:rFonts w:hint="cs"/>
          <w:rtl/>
        </w:rPr>
        <w:t xml:space="preserve"> </w:t>
      </w:r>
      <w:r w:rsidRPr="00A02AB9">
        <w:rPr>
          <w:rStyle w:val="af6"/>
          <w:rFonts w:eastAsia="Guttman Hodes" w:hint="cs"/>
          <w:rtl/>
        </w:rPr>
        <w:t xml:space="preserve">(עי' אות </w:t>
      </w:r>
      <w:r w:rsidRPr="00A02AB9">
        <w:rPr>
          <w:rStyle w:val="af6"/>
          <w:rFonts w:eastAsia="Guttman Hodes"/>
          <w:rtl/>
        </w:rPr>
        <w:fldChar w:fldCharType="begin"/>
      </w:r>
      <w:r w:rsidRPr="00A02AB9">
        <w:rPr>
          <w:rStyle w:val="af6"/>
          <w:rFonts w:eastAsia="Guttman Hodes"/>
          <w:rtl/>
        </w:rPr>
        <w:instrText xml:space="preserve"> </w:instrText>
      </w:r>
      <w:r w:rsidRPr="00A02AB9">
        <w:rPr>
          <w:rStyle w:val="af6"/>
          <w:rFonts w:eastAsia="Guttman Hodes" w:hint="cs"/>
        </w:rPr>
        <w:instrText>REF</w:instrText>
      </w:r>
      <w:r w:rsidRPr="00A02AB9">
        <w:rPr>
          <w:rStyle w:val="af6"/>
          <w:rFonts w:eastAsia="Guttman Hodes" w:hint="cs"/>
          <w:rtl/>
        </w:rPr>
        <w:instrText xml:space="preserve"> _</w:instrText>
      </w:r>
      <w:r w:rsidRPr="00A02AB9">
        <w:rPr>
          <w:rStyle w:val="af6"/>
          <w:rFonts w:eastAsia="Guttman Hodes" w:hint="cs"/>
        </w:rPr>
        <w:instrText>Ref24837707 \r \h</w:instrText>
      </w:r>
      <w:r w:rsidRPr="00A02AB9">
        <w:rPr>
          <w:rStyle w:val="af6"/>
          <w:rFonts w:eastAsia="Guttman Hodes"/>
          <w:rtl/>
        </w:rPr>
        <w:instrText xml:space="preserve"> </w:instrText>
      </w:r>
      <w:r w:rsidRPr="00A02AB9">
        <w:rPr>
          <w:rStyle w:val="af6"/>
          <w:rFonts w:eastAsia="Guttman Hodes"/>
          <w:rtl/>
        </w:rPr>
      </w:r>
      <w:r w:rsidRPr="00A02AB9">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A02AB9">
        <w:rPr>
          <w:rStyle w:val="af6"/>
          <w:rFonts w:eastAsia="Guttman Hodes"/>
          <w:rtl/>
        </w:rPr>
        <w:fldChar w:fldCharType="end"/>
      </w:r>
      <w:r w:rsidRPr="00A02AB9">
        <w:rPr>
          <w:rStyle w:val="af6"/>
          <w:rFonts w:eastAsia="Guttman Hodes" w:hint="cs"/>
          <w:rtl/>
        </w:rPr>
        <w:t xml:space="preserve"> </w:t>
      </w:r>
      <w:r>
        <w:rPr>
          <w:rFonts w:hint="cs"/>
          <w:rtl/>
        </w:rPr>
        <w:t xml:space="preserve">דההיתר בב' קדירות הוא אף בלא נודעה התערובת, וביאר </w:t>
      </w:r>
      <w:r w:rsidRPr="00117041">
        <w:rPr>
          <w:rStyle w:val="af8"/>
          <w:rFonts w:hint="cs"/>
          <w:rtl/>
        </w:rPr>
        <w:t>המנחת יעקב</w:t>
      </w:r>
      <w:r>
        <w:rPr>
          <w:rFonts w:hint="cs"/>
          <w:rtl/>
        </w:rPr>
        <w:t xml:space="preserve"> דאף כשלא נודעה התערובת, מ"מ האיסור התבטל ברוב כשהיה יבש, אלא דכל שלא נודעה התערובת לא נקרא עליה שם היתר, ולכן מדרבנן התערובת אסורה </w:t>
      </w:r>
      <w:r>
        <w:rPr>
          <w:rFonts w:hint="cs"/>
          <w:rtl/>
        </w:rPr>
        <w:lastRenderedPageBreak/>
        <w:t>כשהתבשלה יחד, והיה בתערובת פחות משישים כנגד האיסור</w:t>
      </w:r>
      <w:bookmarkStart w:id="14307" w:name="_Toc24839015"/>
      <w:bookmarkEnd w:id="14306"/>
      <w:r>
        <w:rPr>
          <w:rFonts w:hint="cs"/>
          <w:rtl/>
        </w:rPr>
        <w:t xml:space="preserve">. [ועי' בדברי </w:t>
      </w:r>
      <w:r w:rsidRPr="0052036E">
        <w:rPr>
          <w:rStyle w:val="af8"/>
          <w:rFonts w:hint="cs"/>
          <w:rtl/>
        </w:rPr>
        <w:t>החוו"ד</w:t>
      </w:r>
      <w:r>
        <w:rPr>
          <w:rFonts w:hint="cs"/>
          <w:rtl/>
        </w:rPr>
        <w:t xml:space="preserve"> </w:t>
      </w:r>
      <w:r>
        <w:rPr>
          <w:rStyle w:val="af6"/>
          <w:rFonts w:eastAsia="Guttman Hodes" w:hint="cs"/>
          <w:rtl/>
        </w:rPr>
        <w:t xml:space="preserve"> (עי' </w:t>
      </w:r>
      <w:r w:rsidRPr="00D70DF3">
        <w:rPr>
          <w:rStyle w:val="af6"/>
          <w:rFonts w:eastAsia="Guttman Hodes" w:hint="cs"/>
          <w:rtl/>
        </w:rPr>
        <w:t xml:space="preserve">אות </w:t>
      </w:r>
      <w:r w:rsidRPr="00D70DF3">
        <w:rPr>
          <w:rStyle w:val="af6"/>
          <w:rFonts w:eastAsia="Guttman Hodes"/>
          <w:rtl/>
        </w:rPr>
        <w:fldChar w:fldCharType="begin"/>
      </w:r>
      <w:r w:rsidRPr="00D70DF3">
        <w:rPr>
          <w:rStyle w:val="af6"/>
          <w:rFonts w:eastAsia="Guttman Hodes"/>
          <w:rtl/>
        </w:rPr>
        <w:instrText xml:space="preserve"> </w:instrText>
      </w:r>
      <w:r w:rsidRPr="00D70DF3">
        <w:rPr>
          <w:rStyle w:val="af6"/>
          <w:rFonts w:eastAsia="Guttman Hodes" w:hint="cs"/>
        </w:rPr>
        <w:instrText>REF</w:instrText>
      </w:r>
      <w:r w:rsidRPr="00D70DF3">
        <w:rPr>
          <w:rStyle w:val="af6"/>
          <w:rFonts w:eastAsia="Guttman Hodes" w:hint="cs"/>
          <w:rtl/>
        </w:rPr>
        <w:instrText xml:space="preserve"> _</w:instrText>
      </w:r>
      <w:r w:rsidRPr="00D70DF3">
        <w:rPr>
          <w:rStyle w:val="af6"/>
          <w:rFonts w:eastAsia="Guttman Hodes" w:hint="cs"/>
        </w:rPr>
        <w:instrText>Ref24901804 \r \h</w:instrText>
      </w:r>
      <w:r w:rsidRPr="00D70DF3">
        <w:rPr>
          <w:rStyle w:val="af6"/>
          <w:rFonts w:eastAsia="Guttman Hodes"/>
          <w:rtl/>
        </w:rPr>
        <w:instrText xml:space="preserve"> </w:instrText>
      </w:r>
      <w:r w:rsidRPr="00D70DF3">
        <w:rPr>
          <w:rStyle w:val="af6"/>
          <w:rFonts w:eastAsia="Guttman Hodes"/>
          <w:rtl/>
        </w:rPr>
      </w:r>
      <w:r w:rsidRPr="00D70DF3">
        <w:rPr>
          <w:rStyle w:val="af6"/>
          <w:rFonts w:eastAsia="Guttman Hodes"/>
          <w:rtl/>
        </w:rPr>
        <w:fldChar w:fldCharType="separate"/>
      </w:r>
      <w:r w:rsidR="004D1C5B">
        <w:rPr>
          <w:rStyle w:val="af6"/>
          <w:rFonts w:eastAsia="Guttman Hodes"/>
          <w:cs/>
        </w:rPr>
        <w:t>‎</w:t>
      </w:r>
      <w:r w:rsidR="004D1C5B">
        <w:rPr>
          <w:rStyle w:val="af6"/>
          <w:rFonts w:eastAsia="Guttman Hodes"/>
          <w:rtl/>
        </w:rPr>
        <w:t>עד)</w:t>
      </w:r>
      <w:r w:rsidRPr="00D70DF3">
        <w:rPr>
          <w:rStyle w:val="af6"/>
          <w:rFonts w:eastAsia="Guttman Hodes"/>
          <w:rtl/>
        </w:rPr>
        <w:fldChar w:fldCharType="end"/>
      </w:r>
      <w:r w:rsidRPr="00D70DF3">
        <w:rPr>
          <w:rStyle w:val="af6"/>
          <w:rFonts w:eastAsia="Guttman Hodes" w:hint="cs"/>
          <w:rtl/>
        </w:rPr>
        <w:t xml:space="preserve"> </w:t>
      </w:r>
      <w:r>
        <w:rPr>
          <w:rFonts w:hint="cs"/>
          <w:rtl/>
        </w:rPr>
        <w:t xml:space="preserve">דכתב דכן דעת </w:t>
      </w:r>
      <w:r w:rsidRPr="0052036E">
        <w:rPr>
          <w:rStyle w:val="af8"/>
          <w:rFonts w:hint="cs"/>
          <w:rtl/>
        </w:rPr>
        <w:t>האיסור והיתר הארוך</w:t>
      </w:r>
      <w:r>
        <w:rPr>
          <w:rFonts w:hint="cs"/>
          <w:rtl/>
        </w:rPr>
        <w:t xml:space="preserve"> </w:t>
      </w:r>
      <w:r w:rsidRPr="00D70DF3">
        <w:rPr>
          <w:rStyle w:val="af6"/>
          <w:rFonts w:eastAsia="Guttman Hodes" w:hint="cs"/>
          <w:rtl/>
        </w:rPr>
        <w:t xml:space="preserve">(עי' אות </w:t>
      </w:r>
      <w:r w:rsidRPr="00D70DF3">
        <w:rPr>
          <w:rStyle w:val="af6"/>
          <w:rFonts w:eastAsia="Guttman Hodes"/>
          <w:rtl/>
        </w:rPr>
        <w:fldChar w:fldCharType="begin"/>
      </w:r>
      <w:r w:rsidRPr="00D70DF3">
        <w:rPr>
          <w:rStyle w:val="af6"/>
          <w:rFonts w:eastAsia="Guttman Hodes"/>
          <w:rtl/>
        </w:rPr>
        <w:instrText xml:space="preserve"> </w:instrText>
      </w:r>
      <w:r w:rsidRPr="00D70DF3">
        <w:rPr>
          <w:rStyle w:val="af6"/>
          <w:rFonts w:eastAsia="Guttman Hodes" w:hint="cs"/>
        </w:rPr>
        <w:instrText>REF</w:instrText>
      </w:r>
      <w:r w:rsidRPr="00D70DF3">
        <w:rPr>
          <w:rStyle w:val="af6"/>
          <w:rFonts w:eastAsia="Guttman Hodes" w:hint="cs"/>
          <w:rtl/>
        </w:rPr>
        <w:instrText xml:space="preserve"> _</w:instrText>
      </w:r>
      <w:r w:rsidRPr="00D70DF3">
        <w:rPr>
          <w:rStyle w:val="af6"/>
          <w:rFonts w:eastAsia="Guttman Hodes" w:hint="cs"/>
        </w:rPr>
        <w:instrText>Ref24888334 \r \h</w:instrText>
      </w:r>
      <w:r w:rsidRPr="00D70DF3">
        <w:rPr>
          <w:rStyle w:val="af6"/>
          <w:rFonts w:eastAsia="Guttman Hodes"/>
          <w:rtl/>
        </w:rPr>
        <w:instrText xml:space="preserve"> </w:instrText>
      </w:r>
      <w:r w:rsidRPr="00D70DF3">
        <w:rPr>
          <w:rStyle w:val="af6"/>
          <w:rFonts w:eastAsia="Guttman Hodes"/>
          <w:rtl/>
        </w:rPr>
      </w:r>
      <w:r w:rsidRPr="00D70DF3">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sidRPr="00D70DF3">
        <w:rPr>
          <w:rStyle w:val="af6"/>
          <w:rFonts w:eastAsia="Guttman Hodes"/>
          <w:rtl/>
        </w:rPr>
        <w:fldChar w:fldCharType="end"/>
      </w:r>
      <w:r>
        <w:rPr>
          <w:rFonts w:hint="cs"/>
          <w:rtl/>
        </w:rPr>
        <w:t xml:space="preserve"> דבלא נודעה התערובת אסור מדרבנן, אבל מדאו' האיסור בטל].</w:t>
      </w:r>
    </w:p>
    <w:p w:rsidR="00F13472" w:rsidRPr="007C1218" w:rsidRDefault="00F13472" w:rsidP="00F13472">
      <w:pPr>
        <w:pStyle w:val="a2"/>
      </w:pPr>
      <w:bookmarkStart w:id="14308" w:name="_Toc24918110"/>
      <w:bookmarkStart w:id="14309" w:name="_Toc24918321"/>
      <w:r>
        <w:rPr>
          <w:rFonts w:hint="cs"/>
          <w:rtl/>
        </w:rPr>
        <w:t>דברי המנחת יעקב דבב' קדירות שכ"א עומדת בפנ"ע דינו כיבש ביבש ומהני ביטול ברוב</w:t>
      </w:r>
      <w:bookmarkEnd w:id="14307"/>
      <w:bookmarkEnd w:id="14308"/>
      <w:bookmarkEnd w:id="14309"/>
    </w:p>
    <w:p w:rsidR="00F13472" w:rsidRDefault="00F13472" w:rsidP="009F44AF">
      <w:pPr>
        <w:pStyle w:val="a"/>
        <w:rPr>
          <w:rtl/>
        </w:rPr>
      </w:pPr>
      <w:bookmarkStart w:id="14310" w:name="_Ref24838696"/>
      <w:r>
        <w:rPr>
          <w:rFonts w:hint="cs"/>
          <w:rtl/>
        </w:rPr>
        <w:t xml:space="preserve">וכתב </w:t>
      </w:r>
      <w:r w:rsidRPr="00A35E02">
        <w:rPr>
          <w:rStyle w:val="af8"/>
          <w:rFonts w:hint="cs"/>
          <w:rtl/>
        </w:rPr>
        <w:t xml:space="preserve">המנחת </w:t>
      </w:r>
      <w:r w:rsidRPr="00847D58">
        <w:rPr>
          <w:rStyle w:val="af8"/>
          <w:rFonts w:hint="cs"/>
          <w:rtl/>
        </w:rPr>
        <w:t>יעקב</w:t>
      </w:r>
      <w:r>
        <w:rPr>
          <w:rFonts w:hint="cs"/>
          <w:rtl/>
        </w:rPr>
        <w:t xml:space="preserve"> </w:t>
      </w:r>
      <w:r w:rsidRPr="00847D58">
        <w:rPr>
          <w:rStyle w:val="af6"/>
          <w:rFonts w:eastAsia="Guttman Hodes" w:hint="cs"/>
          <w:rtl/>
        </w:rPr>
        <w:t xml:space="preserve">(על התורת חטאת כלל ל"ט י"ח) </w:t>
      </w:r>
      <w:r w:rsidRPr="0011043F">
        <w:rPr>
          <w:rFonts w:hint="cs"/>
          <w:rtl/>
        </w:rPr>
        <w:t xml:space="preserve">דכשבישלה בב' קדירות ואח"כ נודעה התערובת, א"כ עכשיו מהני בו הביטול ברוב </w:t>
      </w:r>
      <w:r>
        <w:rPr>
          <w:rFonts w:hint="cs"/>
          <w:rtl/>
        </w:rPr>
        <w:t>כ</w:t>
      </w:r>
      <w:r w:rsidRPr="0011043F">
        <w:rPr>
          <w:rFonts w:hint="cs"/>
          <w:rtl/>
        </w:rPr>
        <w:t>יבש ביבש, דאף שה</w:t>
      </w:r>
      <w:r>
        <w:rPr>
          <w:rFonts w:hint="cs"/>
          <w:rtl/>
        </w:rPr>
        <w:t>תערובת היא</w:t>
      </w:r>
      <w:r w:rsidRPr="0011043F">
        <w:rPr>
          <w:rFonts w:hint="cs"/>
          <w:rtl/>
        </w:rPr>
        <w:t xml:space="preserve"> בב' קדירות</w:t>
      </w:r>
      <w:r>
        <w:rPr>
          <w:rFonts w:hint="cs"/>
          <w:rtl/>
        </w:rPr>
        <w:t>,</w:t>
      </w:r>
      <w:r w:rsidRPr="0011043F">
        <w:rPr>
          <w:rFonts w:hint="cs"/>
          <w:rtl/>
        </w:rPr>
        <w:t xml:space="preserve"> מ"מ כיון שלא ניכר איזה קדירה נאסרה ע"י שהתערב בה האיסור,</w:t>
      </w:r>
      <w:r>
        <w:rPr>
          <w:rFonts w:hint="cs"/>
          <w:rtl/>
        </w:rPr>
        <w:t xml:space="preserve"> א"כ מהני ביטול ברוב, דהא בכל יבש ביבש הא דמהני הביטול הוא כיון שכל חתיכה עומדת בפנ"ע, </w:t>
      </w:r>
      <w:r w:rsidRPr="0011043F">
        <w:rPr>
          <w:rFonts w:hint="cs"/>
          <w:rtl/>
        </w:rPr>
        <w:t>א"כ רק כשהתבשלה כל התערובת יחד</w:t>
      </w:r>
      <w:r w:rsidRPr="00836ED6">
        <w:rPr>
          <w:rFonts w:hint="cs"/>
          <w:rtl/>
        </w:rPr>
        <w:t>, צריך שישים ברוטב ובחתיכות</w:t>
      </w:r>
      <w:r>
        <w:rPr>
          <w:rFonts w:hint="cs"/>
          <w:rtl/>
        </w:rPr>
        <w:t>,</w:t>
      </w:r>
      <w:r w:rsidRPr="00836ED6">
        <w:rPr>
          <w:rFonts w:hint="cs"/>
          <w:rtl/>
        </w:rPr>
        <w:t xml:space="preserve"> אבל בהתבשלה בב' קדירות כתב המנחת יעקב דפשיטא דמהני ביטול מדין יבש ביבש</w:t>
      </w:r>
      <w:r>
        <w:rPr>
          <w:rFonts w:hint="cs"/>
          <w:rtl/>
        </w:rPr>
        <w:t>.</w:t>
      </w:r>
      <w:bookmarkEnd w:id="14310"/>
    </w:p>
    <w:p w:rsidR="00F13472" w:rsidRPr="00EB5D7A" w:rsidRDefault="00F13472" w:rsidP="00F13472">
      <w:pPr>
        <w:pStyle w:val="a2"/>
      </w:pPr>
      <w:bookmarkStart w:id="14311" w:name="_Toc24839016"/>
      <w:bookmarkStart w:id="14312" w:name="_Toc24918111"/>
      <w:bookmarkStart w:id="14313" w:name="_Toc24918322"/>
      <w:r>
        <w:rPr>
          <w:rFonts w:hint="cs"/>
          <w:rtl/>
        </w:rPr>
        <w:t>ביאור המנחת יעקב דבלא התבשלה כל התערובת יחד אף לאחר הבישול החתיכות דינם כיבש</w:t>
      </w:r>
      <w:bookmarkEnd w:id="14311"/>
      <w:bookmarkEnd w:id="14312"/>
      <w:bookmarkEnd w:id="14313"/>
      <w:r>
        <w:rPr>
          <w:rFonts w:hint="cs"/>
          <w:rtl/>
        </w:rPr>
        <w:t xml:space="preserve"> </w:t>
      </w:r>
    </w:p>
    <w:p w:rsidR="00F13472" w:rsidRDefault="00F13472" w:rsidP="009F44AF">
      <w:pPr>
        <w:pStyle w:val="a"/>
        <w:rPr>
          <w:rtl/>
        </w:rPr>
      </w:pPr>
      <w:r w:rsidRPr="00836ED6">
        <w:rPr>
          <w:rFonts w:hint="cs"/>
          <w:rtl/>
        </w:rPr>
        <w:t xml:space="preserve">וביאר </w:t>
      </w:r>
      <w:r w:rsidRPr="0040588D">
        <w:rPr>
          <w:rStyle w:val="af8"/>
          <w:rFonts w:hint="cs"/>
          <w:rtl/>
        </w:rPr>
        <w:t>המנחת יעקב</w:t>
      </w:r>
      <w:r w:rsidRPr="00836ED6">
        <w:rPr>
          <w:rFonts w:hint="cs"/>
          <w:rtl/>
        </w:rPr>
        <w:t xml:space="preserve"> דאף לאחר הבישול נחשב כיבש ביבש, וכדכתב </w:t>
      </w:r>
      <w:r w:rsidRPr="00EB5D7A">
        <w:rPr>
          <w:rStyle w:val="af8"/>
          <w:rFonts w:hint="cs"/>
          <w:rtl/>
        </w:rPr>
        <w:t>הרמ"א בתורת חטאת</w:t>
      </w:r>
      <w:r w:rsidRPr="00836ED6">
        <w:rPr>
          <w:rFonts w:hint="cs"/>
          <w:rtl/>
        </w:rPr>
        <w:t xml:space="preserve"> </w:t>
      </w:r>
      <w:r w:rsidRPr="00EB5D7A">
        <w:rPr>
          <w:rStyle w:val="af6"/>
          <w:rFonts w:eastAsia="Guttman Hodes" w:hint="cs"/>
          <w:rtl/>
        </w:rPr>
        <w:t>(כלל ל"ט א')</w:t>
      </w:r>
      <w:r w:rsidRPr="00836ED6">
        <w:rPr>
          <w:rFonts w:hint="cs"/>
          <w:rtl/>
        </w:rPr>
        <w:t xml:space="preserve"> דכל שהאיסור אינו נימוח ועומד בפנ"ע חשיב כיבש ביבש, אף שהתבשל במים, וכדביאר </w:t>
      </w:r>
      <w:r w:rsidRPr="00EB5D7A">
        <w:rPr>
          <w:rStyle w:val="af8"/>
          <w:rFonts w:hint="cs"/>
          <w:rtl/>
        </w:rPr>
        <w:t>המנחת יעקב</w:t>
      </w:r>
      <w:r w:rsidRPr="00836ED6">
        <w:rPr>
          <w:rFonts w:hint="cs"/>
          <w:rtl/>
        </w:rPr>
        <w:t xml:space="preserve"> </w:t>
      </w:r>
      <w:r w:rsidRPr="00EB5D7A">
        <w:rPr>
          <w:rStyle w:val="af6"/>
          <w:rFonts w:eastAsia="Guttman Hodes" w:hint="cs"/>
          <w:rtl/>
        </w:rPr>
        <w:t>(על התורת חטאת כלל ל"ט ד')</w:t>
      </w:r>
      <w:r w:rsidRPr="00836ED6">
        <w:rPr>
          <w:rFonts w:hint="cs"/>
          <w:rtl/>
        </w:rPr>
        <w:t xml:space="preserve"> דבמקום שכל התערובת התבשלה יחד צריך שישים בחתיכות וברוטב, אך מ"מ צריך גם רוב בחתיכות עצמם כדי שיתבטלו בחד בתרי, אבל בב' קדירות א"צ שישים ומהני רוב.</w:t>
      </w:r>
    </w:p>
    <w:p w:rsidR="00F13472" w:rsidRPr="00985E37" w:rsidRDefault="00F13472" w:rsidP="00F13472">
      <w:pPr>
        <w:pStyle w:val="a2"/>
        <w:rPr>
          <w:rtl/>
        </w:rPr>
      </w:pPr>
      <w:bookmarkStart w:id="14314" w:name="_Toc24839017"/>
      <w:bookmarkStart w:id="14315" w:name="_Toc24918112"/>
      <w:bookmarkStart w:id="14316" w:name="_Toc24918323"/>
      <w:r>
        <w:rPr>
          <w:rFonts w:hint="cs"/>
          <w:rtl/>
        </w:rPr>
        <w:t>ביאור הפרמ"ג דהמנחת יעקב הקשה דכיון שעכשיו נודעה התערובת דינו כיבש</w:t>
      </w:r>
      <w:r w:rsidRPr="00BA1519">
        <w:rPr>
          <w:rFonts w:hint="cs"/>
          <w:rtl/>
        </w:rPr>
        <w:t xml:space="preserve"> </w:t>
      </w:r>
      <w:r>
        <w:rPr>
          <w:rFonts w:hint="cs"/>
          <w:rtl/>
        </w:rPr>
        <w:t>אף בב' קדירות</w:t>
      </w:r>
      <w:bookmarkEnd w:id="14314"/>
      <w:bookmarkEnd w:id="14315"/>
      <w:bookmarkEnd w:id="14316"/>
      <w:r>
        <w:rPr>
          <w:rFonts w:hint="cs"/>
          <w:rtl/>
        </w:rPr>
        <w:t xml:space="preserve"> </w:t>
      </w:r>
    </w:p>
    <w:p w:rsidR="00F13472" w:rsidRDefault="00F13472" w:rsidP="009F44AF">
      <w:pPr>
        <w:pStyle w:val="a"/>
        <w:rPr>
          <w:rtl/>
        </w:rPr>
      </w:pPr>
      <w:r>
        <w:rPr>
          <w:rFonts w:hint="cs"/>
          <w:rtl/>
        </w:rPr>
        <w:t xml:space="preserve">וביאר </w:t>
      </w:r>
      <w:r w:rsidRPr="00ED293F">
        <w:rPr>
          <w:rStyle w:val="af8"/>
          <w:rFonts w:hint="cs"/>
          <w:rtl/>
        </w:rPr>
        <w:t xml:space="preserve">הפרמ"ג </w:t>
      </w:r>
      <w:r>
        <w:rPr>
          <w:rStyle w:val="af6"/>
          <w:rFonts w:eastAsia="Guttman Hodes" w:hint="cs"/>
          <w:rtl/>
        </w:rPr>
        <w:t>(סי' ק"ט שפ"ד סקי"ב</w:t>
      </w:r>
      <w:r w:rsidRPr="00ED293F">
        <w:rPr>
          <w:rStyle w:val="af6"/>
          <w:rFonts w:eastAsia="Guttman Hodes" w:hint="cs"/>
          <w:rtl/>
        </w:rPr>
        <w:t xml:space="preserve">) </w:t>
      </w:r>
      <w:r>
        <w:rPr>
          <w:rFonts w:hint="cs"/>
          <w:rtl/>
        </w:rPr>
        <w:t xml:space="preserve">דכוונת </w:t>
      </w:r>
      <w:r w:rsidRPr="00ED293F">
        <w:rPr>
          <w:rStyle w:val="af8"/>
          <w:rFonts w:hint="cs"/>
          <w:rtl/>
        </w:rPr>
        <w:t xml:space="preserve">המנחת יעקב </w:t>
      </w:r>
      <w:r>
        <w:rPr>
          <w:rFonts w:hint="cs"/>
          <w:rtl/>
        </w:rPr>
        <w:t xml:space="preserve">להקשות על </w:t>
      </w:r>
      <w:r w:rsidRPr="00ED293F">
        <w:rPr>
          <w:rStyle w:val="af8"/>
          <w:rFonts w:hint="cs"/>
          <w:rtl/>
        </w:rPr>
        <w:t xml:space="preserve">הש"ך </w:t>
      </w:r>
      <w:r>
        <w:rPr>
          <w:rFonts w:hint="cs"/>
          <w:rtl/>
        </w:rPr>
        <w:t xml:space="preserve">בקושיתו הראשונה דכיון שעכשיו נודע האיסור, יש לו דין יבש ביבש, בין אם בישלם בקדירה אחת ובין אם בישלם בב' קדירות, ועי' במה שביאר </w:t>
      </w:r>
      <w:r w:rsidRPr="00ED293F">
        <w:rPr>
          <w:rStyle w:val="af8"/>
          <w:rFonts w:hint="cs"/>
          <w:rtl/>
        </w:rPr>
        <w:t>הפרמ"ג</w:t>
      </w:r>
      <w:r>
        <w:rPr>
          <w:rFonts w:hint="cs"/>
          <w:rtl/>
        </w:rPr>
        <w:t xml:space="preserve"> </w:t>
      </w:r>
      <w:r w:rsidRPr="00B40E7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Ref24838788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סה)</w:t>
      </w:r>
      <w:r>
        <w:rPr>
          <w:rStyle w:val="af6"/>
          <w:rFonts w:eastAsia="Guttman Hodes"/>
          <w:rtl/>
        </w:rPr>
        <w:fldChar w:fldCharType="end"/>
      </w:r>
      <w:r w:rsidRPr="00B40E70">
        <w:rPr>
          <w:rStyle w:val="af6"/>
          <w:rFonts w:eastAsia="Guttman Hodes" w:hint="cs"/>
          <w:rtl/>
        </w:rPr>
        <w:t xml:space="preserve"> </w:t>
      </w:r>
      <w:r>
        <w:rPr>
          <w:rFonts w:hint="cs"/>
          <w:rtl/>
        </w:rPr>
        <w:t xml:space="preserve">בדעת </w:t>
      </w:r>
      <w:r w:rsidRPr="00B40E70">
        <w:rPr>
          <w:rStyle w:val="af8"/>
          <w:rFonts w:hint="cs"/>
          <w:rtl/>
        </w:rPr>
        <w:t>הש"ך</w:t>
      </w:r>
      <w:r>
        <w:rPr>
          <w:rFonts w:hint="cs"/>
          <w:rtl/>
        </w:rPr>
        <w:t>.</w:t>
      </w:r>
    </w:p>
    <w:p w:rsidR="00F13472" w:rsidRDefault="00F13472" w:rsidP="00F13472">
      <w:pPr>
        <w:pStyle w:val="a2"/>
        <w:rPr>
          <w:rtl/>
        </w:rPr>
      </w:pPr>
      <w:bookmarkStart w:id="14317" w:name="_Toc24839018"/>
      <w:bookmarkStart w:id="14318" w:name="_Toc24918113"/>
      <w:bookmarkStart w:id="14319" w:name="_Toc24918324"/>
      <w:r>
        <w:rPr>
          <w:rFonts w:hint="cs"/>
          <w:rtl/>
        </w:rPr>
        <w:t>דברי המנחת יעקב דלא דמי לאיסור שנפל לקדירות דאסור מספק והכא אסור מחמת התערובת</w:t>
      </w:r>
      <w:bookmarkEnd w:id="14317"/>
      <w:bookmarkEnd w:id="14318"/>
      <w:bookmarkEnd w:id="14319"/>
    </w:p>
    <w:p w:rsidR="00F13472" w:rsidRDefault="00F13472" w:rsidP="009F44AF">
      <w:pPr>
        <w:pStyle w:val="a"/>
        <w:rPr>
          <w:rtl/>
        </w:rPr>
      </w:pPr>
      <w:bookmarkStart w:id="14320" w:name="_Ref24837075"/>
      <w:r>
        <w:rPr>
          <w:rFonts w:hint="cs"/>
          <w:rtl/>
        </w:rPr>
        <w:t xml:space="preserve">ובמ"ש </w:t>
      </w:r>
      <w:r w:rsidRPr="00B110B3">
        <w:rPr>
          <w:rStyle w:val="af8"/>
          <w:rFonts w:hint="cs"/>
          <w:rtl/>
        </w:rPr>
        <w:t>הש"ך</w:t>
      </w:r>
      <w:r>
        <w:rPr>
          <w:rFonts w:hint="cs"/>
          <w:rtl/>
        </w:rPr>
        <w:t xml:space="preserve"> </w:t>
      </w:r>
      <w:r w:rsidRPr="00B42986">
        <w:rPr>
          <w:rStyle w:val="af6"/>
          <w:rFonts w:eastAsia="Guttman Hodes" w:hint="cs"/>
          <w:rtl/>
        </w:rPr>
        <w:t xml:space="preserve">(עי' אות </w:t>
      </w:r>
      <w:r w:rsidRPr="00B42986">
        <w:rPr>
          <w:rStyle w:val="af6"/>
          <w:rFonts w:eastAsia="Guttman Hodes"/>
          <w:rtl/>
        </w:rPr>
        <w:fldChar w:fldCharType="begin"/>
      </w:r>
      <w:r w:rsidRPr="00B42986">
        <w:rPr>
          <w:rStyle w:val="af6"/>
          <w:rFonts w:eastAsia="Guttman Hodes"/>
          <w:rtl/>
        </w:rPr>
        <w:instrText xml:space="preserve"> </w:instrText>
      </w:r>
      <w:r w:rsidRPr="00B42986">
        <w:rPr>
          <w:rStyle w:val="af6"/>
          <w:rFonts w:eastAsia="Guttman Hodes" w:hint="cs"/>
        </w:rPr>
        <w:instrText>REF</w:instrText>
      </w:r>
      <w:r w:rsidRPr="00B42986">
        <w:rPr>
          <w:rStyle w:val="af6"/>
          <w:rFonts w:eastAsia="Guttman Hodes" w:hint="cs"/>
          <w:rtl/>
        </w:rPr>
        <w:instrText xml:space="preserve"> _</w:instrText>
      </w:r>
      <w:r w:rsidRPr="00B42986">
        <w:rPr>
          <w:rStyle w:val="af6"/>
          <w:rFonts w:eastAsia="Guttman Hodes" w:hint="cs"/>
        </w:rPr>
        <w:instrText>Ref24837039 \r \h</w:instrText>
      </w:r>
      <w:r w:rsidRPr="00B42986">
        <w:rPr>
          <w:rStyle w:val="af6"/>
          <w:rFonts w:eastAsia="Guttman Hodes"/>
          <w:rtl/>
        </w:rPr>
        <w:instrText xml:space="preserve"> </w:instrText>
      </w:r>
      <w:r w:rsidRPr="00B42986">
        <w:rPr>
          <w:rStyle w:val="af6"/>
          <w:rFonts w:eastAsia="Guttman Hodes"/>
          <w:rtl/>
        </w:rPr>
      </w:r>
      <w:r w:rsidRPr="00B42986">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B42986">
        <w:rPr>
          <w:rStyle w:val="af6"/>
          <w:rFonts w:eastAsia="Guttman Hodes"/>
          <w:rtl/>
        </w:rPr>
        <w:fldChar w:fldCharType="end"/>
      </w:r>
      <w:r>
        <w:rPr>
          <w:rFonts w:hint="cs"/>
          <w:rtl/>
        </w:rPr>
        <w:t xml:space="preserve"> דדמי לאיסור שנפל לא' מב' קדירות, ולא ידוע לאיזה קדירה נפל, דחה </w:t>
      </w:r>
      <w:r w:rsidRPr="00117041">
        <w:rPr>
          <w:rStyle w:val="af8"/>
          <w:rFonts w:hint="cs"/>
          <w:rtl/>
        </w:rPr>
        <w:t>ה</w:t>
      </w:r>
      <w:r w:rsidRPr="00847D58">
        <w:rPr>
          <w:rStyle w:val="af8"/>
          <w:rFonts w:hint="cs"/>
          <w:rtl/>
        </w:rPr>
        <w:t>מנחת יעקב</w:t>
      </w:r>
      <w:r>
        <w:rPr>
          <w:rFonts w:hint="cs"/>
          <w:rtl/>
        </w:rPr>
        <w:t xml:space="preserve"> </w:t>
      </w:r>
      <w:r w:rsidRPr="00847D58">
        <w:rPr>
          <w:rStyle w:val="af6"/>
          <w:rFonts w:eastAsia="Guttman Hodes" w:hint="cs"/>
          <w:rtl/>
        </w:rPr>
        <w:t xml:space="preserve">(על התורת חטאת כלל ל"ט י"ח) </w:t>
      </w:r>
      <w:r>
        <w:rPr>
          <w:rFonts w:hint="cs"/>
          <w:rtl/>
        </w:rPr>
        <w:t>דבנפל לא' מב' קדירות, האיסור אינו מחמת התערובת, אלא מכח ספק בעלמא, ולא דמי לבישל בב' קדירות, שהאיסור הוא מכח התערובת שהייתה ביבש ביבש, והאיסור כבר התבטל כדין יבש ביבש.</w:t>
      </w:r>
      <w:bookmarkEnd w:id="14320"/>
    </w:p>
    <w:p w:rsidR="00F13472" w:rsidRDefault="00F13472" w:rsidP="00F13472">
      <w:pPr>
        <w:pStyle w:val="a2"/>
        <w:rPr>
          <w:rtl/>
        </w:rPr>
      </w:pPr>
      <w:bookmarkStart w:id="14321" w:name="_Toc24839019"/>
      <w:bookmarkStart w:id="14322" w:name="_Toc24918114"/>
      <w:bookmarkStart w:id="14323" w:name="_Toc24918325"/>
      <w:r>
        <w:rPr>
          <w:rFonts w:hint="cs"/>
          <w:rtl/>
        </w:rPr>
        <w:t>קושית המנחת יעקב על הש"ך דאינו ספק דאו' דמבו' ברא"ש דבלא נודעה אסור מדרבנן</w:t>
      </w:r>
      <w:bookmarkEnd w:id="14321"/>
      <w:bookmarkEnd w:id="14322"/>
      <w:bookmarkEnd w:id="14323"/>
    </w:p>
    <w:p w:rsidR="00F13472" w:rsidRDefault="00F13472" w:rsidP="009F44AF">
      <w:pPr>
        <w:pStyle w:val="a"/>
        <w:rPr>
          <w:rtl/>
        </w:rPr>
      </w:pPr>
      <w:bookmarkStart w:id="14324" w:name="_Ref24838851"/>
      <w:r>
        <w:rPr>
          <w:rFonts w:hint="cs"/>
          <w:rtl/>
        </w:rPr>
        <w:t xml:space="preserve">ובמ"ש </w:t>
      </w:r>
      <w:r w:rsidRPr="00B110B3">
        <w:rPr>
          <w:rStyle w:val="af8"/>
          <w:rFonts w:hint="cs"/>
          <w:rtl/>
        </w:rPr>
        <w:t>הש"ך</w:t>
      </w:r>
      <w:r>
        <w:rPr>
          <w:rFonts w:hint="cs"/>
          <w:rtl/>
        </w:rPr>
        <w:t xml:space="preserve"> </w:t>
      </w:r>
      <w:r w:rsidRPr="00B40E70">
        <w:rPr>
          <w:rStyle w:val="af6"/>
          <w:rFonts w:eastAsia="Guttman Hodes" w:hint="cs"/>
          <w:rtl/>
        </w:rPr>
        <w:t xml:space="preserve">(עי' אות </w:t>
      </w:r>
      <w:r w:rsidRPr="00B40E70">
        <w:rPr>
          <w:rStyle w:val="af6"/>
          <w:rFonts w:eastAsia="Guttman Hodes"/>
          <w:rtl/>
        </w:rPr>
        <w:fldChar w:fldCharType="begin"/>
      </w:r>
      <w:r w:rsidRPr="00B40E70">
        <w:rPr>
          <w:rStyle w:val="af6"/>
          <w:rFonts w:eastAsia="Guttman Hodes"/>
          <w:rtl/>
        </w:rPr>
        <w:instrText xml:space="preserve"> </w:instrText>
      </w:r>
      <w:r w:rsidRPr="00B40E70">
        <w:rPr>
          <w:rStyle w:val="af6"/>
          <w:rFonts w:eastAsia="Guttman Hodes" w:hint="cs"/>
        </w:rPr>
        <w:instrText>REF</w:instrText>
      </w:r>
      <w:r w:rsidRPr="00B40E70">
        <w:rPr>
          <w:rStyle w:val="af6"/>
          <w:rFonts w:eastAsia="Guttman Hodes" w:hint="cs"/>
          <w:rtl/>
        </w:rPr>
        <w:instrText xml:space="preserve"> _</w:instrText>
      </w:r>
      <w:r w:rsidRPr="00B40E70">
        <w:rPr>
          <w:rStyle w:val="af6"/>
          <w:rFonts w:eastAsia="Guttman Hodes" w:hint="cs"/>
        </w:rPr>
        <w:instrText>Ref24836789 \r \h</w:instrText>
      </w:r>
      <w:r w:rsidRPr="00B40E70">
        <w:rPr>
          <w:rStyle w:val="af6"/>
          <w:rFonts w:eastAsia="Guttman Hodes"/>
          <w:rtl/>
        </w:rPr>
        <w:instrText xml:space="preserve"> </w:instrText>
      </w:r>
      <w:r w:rsidRPr="00B40E70">
        <w:rPr>
          <w:rStyle w:val="af6"/>
          <w:rFonts w:eastAsia="Guttman Hodes"/>
          <w:rtl/>
        </w:rPr>
      </w:r>
      <w:r w:rsidRPr="00B40E70">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B40E70">
        <w:rPr>
          <w:rStyle w:val="af6"/>
          <w:rFonts w:eastAsia="Guttman Hodes"/>
          <w:rtl/>
        </w:rPr>
        <w:fldChar w:fldCharType="end"/>
      </w:r>
      <w:r>
        <w:rPr>
          <w:rFonts w:hint="cs"/>
          <w:rtl/>
        </w:rPr>
        <w:t xml:space="preserve"> דהוא ספק דאו' לחומרא, הקשה </w:t>
      </w:r>
      <w:r w:rsidRPr="00B110B3">
        <w:rPr>
          <w:rStyle w:val="af8"/>
          <w:rFonts w:hint="cs"/>
          <w:rtl/>
        </w:rPr>
        <w:t>המנחת יעקב</w:t>
      </w:r>
      <w:r>
        <w:rPr>
          <w:rFonts w:hint="cs"/>
          <w:rtl/>
        </w:rPr>
        <w:t xml:space="preserve"> </w:t>
      </w:r>
      <w:r w:rsidRPr="00182805">
        <w:rPr>
          <w:rFonts w:hint="cs"/>
          <w:rtl/>
        </w:rPr>
        <w:t xml:space="preserve">דהרי </w:t>
      </w:r>
      <w:r w:rsidRPr="00182805">
        <w:rPr>
          <w:rStyle w:val="af8"/>
          <w:rFonts w:hint="cs"/>
          <w:rtl/>
        </w:rPr>
        <w:t>הרא"ש</w:t>
      </w:r>
      <w:r w:rsidRPr="00182805">
        <w:rPr>
          <w:rFonts w:hint="cs"/>
          <w:rtl/>
        </w:rPr>
        <w:t xml:space="preserve"> </w:t>
      </w:r>
      <w:r w:rsidRPr="00182805">
        <w:rPr>
          <w:rStyle w:val="af6"/>
          <w:rFonts w:eastAsia="Guttman Hodes" w:hint="cs"/>
          <w:rtl/>
        </w:rPr>
        <w:t xml:space="preserve">(עי' אות </w:t>
      </w:r>
      <w:r w:rsidRPr="00182805">
        <w:rPr>
          <w:rStyle w:val="af6"/>
          <w:rFonts w:eastAsia="Guttman Hodes"/>
          <w:rtl/>
        </w:rPr>
        <w:fldChar w:fldCharType="begin"/>
      </w:r>
      <w:r w:rsidRPr="00182805">
        <w:rPr>
          <w:rStyle w:val="af6"/>
          <w:rFonts w:eastAsia="Guttman Hodes"/>
          <w:rtl/>
        </w:rPr>
        <w:instrText xml:space="preserve"> </w:instrText>
      </w:r>
      <w:r w:rsidRPr="00182805">
        <w:rPr>
          <w:rStyle w:val="af6"/>
          <w:rFonts w:eastAsia="Guttman Hodes" w:hint="cs"/>
        </w:rPr>
        <w:instrText>REF</w:instrText>
      </w:r>
      <w:r w:rsidRPr="00182805">
        <w:rPr>
          <w:rStyle w:val="af6"/>
          <w:rFonts w:eastAsia="Guttman Hodes" w:hint="cs"/>
          <w:rtl/>
        </w:rPr>
        <w:instrText xml:space="preserve"> _</w:instrText>
      </w:r>
      <w:r w:rsidRPr="00182805">
        <w:rPr>
          <w:rStyle w:val="af6"/>
          <w:rFonts w:eastAsia="Guttman Hodes" w:hint="cs"/>
        </w:rPr>
        <w:instrText>Ref24879522 \r \h</w:instrText>
      </w:r>
      <w:r w:rsidRPr="00182805">
        <w:rPr>
          <w:rStyle w:val="af6"/>
          <w:rFonts w:eastAsia="Guttman Hodes"/>
          <w:rtl/>
        </w:rPr>
        <w:instrText xml:space="preserve"> </w:instrText>
      </w:r>
      <w:r w:rsidRPr="00182805">
        <w:rPr>
          <w:rStyle w:val="af6"/>
          <w:rFonts w:eastAsia="Guttman Hodes"/>
          <w:rtl/>
        </w:rPr>
      </w:r>
      <w:r w:rsidRPr="00182805">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182805">
        <w:rPr>
          <w:rStyle w:val="af6"/>
          <w:rFonts w:eastAsia="Guttman Hodes"/>
          <w:rtl/>
        </w:rPr>
        <w:fldChar w:fldCharType="end"/>
      </w:r>
      <w:r>
        <w:rPr>
          <w:rFonts w:hint="cs"/>
          <w:rtl/>
        </w:rPr>
        <w:t xml:space="preserve"> </w:t>
      </w:r>
      <w:r w:rsidRPr="00182805">
        <w:rPr>
          <w:rFonts w:hint="cs"/>
          <w:rtl/>
        </w:rPr>
        <w:t>כתב להדיא דאף כשלא נודעה התערובת לפני</w:t>
      </w:r>
      <w:r>
        <w:rPr>
          <w:rFonts w:hint="cs"/>
          <w:rtl/>
        </w:rPr>
        <w:t xml:space="preserve"> שהתבשל, מהני ביטול מדאו', אלא דהחמירו רבנן לאסור, וכ"כ </w:t>
      </w:r>
      <w:r w:rsidRPr="00B110B3">
        <w:rPr>
          <w:rStyle w:val="af8"/>
          <w:rFonts w:hint="cs"/>
          <w:rtl/>
        </w:rPr>
        <w:t>המהר"ם מרוטנבורג בתשו'</w:t>
      </w:r>
      <w:r>
        <w:rPr>
          <w:rFonts w:hint="cs"/>
          <w:rtl/>
        </w:rPr>
        <w:t xml:space="preserve"> </w:t>
      </w:r>
      <w:r w:rsidRPr="00ED293F">
        <w:rPr>
          <w:rStyle w:val="af6"/>
          <w:rFonts w:eastAsia="Guttman Hodes" w:hint="cs"/>
          <w:rtl/>
        </w:rPr>
        <w:t>(שו"ת הרשב"א ח"א סי' תש"ל)</w:t>
      </w:r>
      <w:r>
        <w:rPr>
          <w:rFonts w:hint="cs"/>
          <w:rtl/>
        </w:rPr>
        <w:t xml:space="preserve">. [ועי' במה שדחו </w:t>
      </w:r>
      <w:r w:rsidRPr="00182805">
        <w:rPr>
          <w:rStyle w:val="af8"/>
          <w:rFonts w:hint="cs"/>
          <w:rtl/>
        </w:rPr>
        <w:t>היד יהודה</w:t>
      </w:r>
      <w:r w:rsidRPr="00977617">
        <w:rPr>
          <w:rStyle w:val="af6"/>
          <w:rFonts w:eastAsia="Guttman Hodes" w:hint="cs"/>
          <w:rtl/>
        </w:rPr>
        <w:t xml:space="preserve"> (עי' אות </w:t>
      </w:r>
      <w:r w:rsidRPr="00977617">
        <w:rPr>
          <w:rStyle w:val="af6"/>
          <w:rFonts w:eastAsia="Guttman Hodes"/>
          <w:rtl/>
        </w:rPr>
        <w:fldChar w:fldCharType="begin"/>
      </w:r>
      <w:r w:rsidRPr="00977617">
        <w:rPr>
          <w:rStyle w:val="af6"/>
          <w:rFonts w:eastAsia="Guttman Hodes"/>
          <w:rtl/>
        </w:rPr>
        <w:instrText xml:space="preserve"> </w:instrText>
      </w:r>
      <w:r w:rsidRPr="00977617">
        <w:rPr>
          <w:rStyle w:val="af6"/>
          <w:rFonts w:eastAsia="Guttman Hodes" w:hint="cs"/>
        </w:rPr>
        <w:instrText>REF</w:instrText>
      </w:r>
      <w:r w:rsidRPr="00977617">
        <w:rPr>
          <w:rStyle w:val="af6"/>
          <w:rFonts w:eastAsia="Guttman Hodes" w:hint="cs"/>
          <w:rtl/>
        </w:rPr>
        <w:instrText xml:space="preserve"> _</w:instrText>
      </w:r>
      <w:r w:rsidRPr="00977617">
        <w:rPr>
          <w:rStyle w:val="af6"/>
          <w:rFonts w:eastAsia="Guttman Hodes" w:hint="cs"/>
        </w:rPr>
        <w:instrText>Ref24838925 \r \h</w:instrText>
      </w:r>
      <w:r w:rsidRPr="00977617">
        <w:rPr>
          <w:rStyle w:val="af6"/>
          <w:rFonts w:eastAsia="Guttman Hodes"/>
          <w:rtl/>
        </w:rPr>
        <w:instrText xml:space="preserve">  \* </w:instrText>
      </w:r>
      <w:r w:rsidRPr="00977617">
        <w:rPr>
          <w:rStyle w:val="af6"/>
          <w:rFonts w:eastAsia="Guttman Hodes"/>
        </w:rPr>
        <w:instrText>MERGEFORMAT</w:instrText>
      </w:r>
      <w:r w:rsidRPr="00977617">
        <w:rPr>
          <w:rStyle w:val="af6"/>
          <w:rFonts w:eastAsia="Guttman Hodes"/>
          <w:rtl/>
        </w:rPr>
        <w:instrText xml:space="preserve"> </w:instrText>
      </w:r>
      <w:r w:rsidRPr="00977617">
        <w:rPr>
          <w:rStyle w:val="af6"/>
          <w:rFonts w:eastAsia="Guttman Hodes"/>
          <w:rtl/>
        </w:rPr>
      </w:r>
      <w:r w:rsidRPr="00977617">
        <w:rPr>
          <w:rStyle w:val="af6"/>
          <w:rFonts w:eastAsia="Guttman Hodes"/>
          <w:rtl/>
        </w:rPr>
        <w:fldChar w:fldCharType="separate"/>
      </w:r>
      <w:r w:rsidR="004D1C5B">
        <w:rPr>
          <w:rStyle w:val="af6"/>
          <w:rFonts w:eastAsia="Guttman Hodes"/>
          <w:cs/>
        </w:rPr>
        <w:t>‎</w:t>
      </w:r>
      <w:r w:rsidR="004D1C5B">
        <w:rPr>
          <w:rStyle w:val="af6"/>
          <w:rFonts w:eastAsia="Guttman Hodes"/>
          <w:rtl/>
        </w:rPr>
        <w:t>סו)</w:t>
      </w:r>
      <w:r w:rsidRPr="00977617">
        <w:rPr>
          <w:rStyle w:val="af6"/>
          <w:rFonts w:eastAsia="Guttman Hodes"/>
          <w:rtl/>
        </w:rPr>
        <w:fldChar w:fldCharType="end"/>
      </w:r>
      <w:r>
        <w:rPr>
          <w:rFonts w:hint="cs"/>
          <w:rtl/>
        </w:rPr>
        <w:t xml:space="preserve"> </w:t>
      </w:r>
      <w:r w:rsidRPr="00182805">
        <w:rPr>
          <w:rStyle w:val="af8"/>
          <w:rFonts w:hint="cs"/>
          <w:rtl/>
        </w:rPr>
        <w:t>והחכמ"א</w:t>
      </w:r>
      <w:r>
        <w:rPr>
          <w:rFonts w:hint="cs"/>
          <w:rtl/>
        </w:rPr>
        <w:t xml:space="preserve"> </w:t>
      </w:r>
      <w:r w:rsidRPr="00977617">
        <w:rPr>
          <w:rStyle w:val="af6"/>
          <w:rFonts w:eastAsia="Guttman Hodes" w:hint="cs"/>
          <w:rtl/>
        </w:rPr>
        <w:t xml:space="preserve">(עי' אות </w:t>
      </w:r>
      <w:r w:rsidRPr="00977617">
        <w:rPr>
          <w:rStyle w:val="af6"/>
          <w:rFonts w:eastAsia="Guttman Hodes"/>
          <w:rtl/>
        </w:rPr>
        <w:fldChar w:fldCharType="begin"/>
      </w:r>
      <w:r w:rsidRPr="00977617">
        <w:rPr>
          <w:rStyle w:val="af6"/>
          <w:rFonts w:eastAsia="Guttman Hodes"/>
          <w:rtl/>
        </w:rPr>
        <w:instrText xml:space="preserve"> </w:instrText>
      </w:r>
      <w:r w:rsidRPr="00977617">
        <w:rPr>
          <w:rStyle w:val="af6"/>
          <w:rFonts w:eastAsia="Guttman Hodes" w:hint="cs"/>
        </w:rPr>
        <w:instrText>REF</w:instrText>
      </w:r>
      <w:r w:rsidRPr="00977617">
        <w:rPr>
          <w:rStyle w:val="af6"/>
          <w:rFonts w:eastAsia="Guttman Hodes" w:hint="cs"/>
          <w:rtl/>
        </w:rPr>
        <w:instrText xml:space="preserve"> _</w:instrText>
      </w:r>
      <w:r w:rsidRPr="00977617">
        <w:rPr>
          <w:rStyle w:val="af6"/>
          <w:rFonts w:eastAsia="Guttman Hodes" w:hint="cs"/>
        </w:rPr>
        <w:instrText>Ref24879582 \r \h</w:instrText>
      </w:r>
      <w:r w:rsidRPr="00977617">
        <w:rPr>
          <w:rStyle w:val="af6"/>
          <w:rFonts w:eastAsia="Guttman Hodes"/>
          <w:rtl/>
        </w:rPr>
        <w:instrText xml:space="preserve"> </w:instrText>
      </w:r>
      <w:r w:rsidRPr="00977617">
        <w:rPr>
          <w:rStyle w:val="af6"/>
          <w:rFonts w:eastAsia="Guttman Hodes"/>
          <w:rtl/>
        </w:rPr>
      </w:r>
      <w:r w:rsidRPr="00977617">
        <w:rPr>
          <w:rStyle w:val="af6"/>
          <w:rFonts w:eastAsia="Guttman Hodes"/>
          <w:rtl/>
        </w:rPr>
        <w:fldChar w:fldCharType="separate"/>
      </w:r>
      <w:r w:rsidR="004D1C5B">
        <w:rPr>
          <w:rStyle w:val="af6"/>
          <w:rFonts w:eastAsia="Guttman Hodes"/>
          <w:cs/>
        </w:rPr>
        <w:t>‎</w:t>
      </w:r>
      <w:r w:rsidR="004D1C5B">
        <w:rPr>
          <w:rStyle w:val="af6"/>
          <w:rFonts w:eastAsia="Guttman Hodes"/>
          <w:rtl/>
        </w:rPr>
        <w:t>סז)</w:t>
      </w:r>
      <w:r w:rsidRPr="00977617">
        <w:rPr>
          <w:rStyle w:val="af6"/>
          <w:rFonts w:eastAsia="Guttman Hodes"/>
          <w:rtl/>
        </w:rPr>
        <w:fldChar w:fldCharType="end"/>
      </w:r>
      <w:r>
        <w:rPr>
          <w:rFonts w:hint="cs"/>
          <w:rtl/>
        </w:rPr>
        <w:t xml:space="preserve"> את הוכחת </w:t>
      </w:r>
      <w:r w:rsidRPr="00977617">
        <w:rPr>
          <w:rStyle w:val="af8"/>
          <w:rFonts w:hint="cs"/>
          <w:rtl/>
        </w:rPr>
        <w:t>המנחת יעקב</w:t>
      </w:r>
      <w:r>
        <w:rPr>
          <w:rFonts w:hint="cs"/>
          <w:rtl/>
        </w:rPr>
        <w:t xml:space="preserve"> מדברי </w:t>
      </w:r>
      <w:r w:rsidRPr="00977617">
        <w:rPr>
          <w:rStyle w:val="af8"/>
          <w:rFonts w:hint="cs"/>
          <w:rtl/>
        </w:rPr>
        <w:t>הרא"ש</w:t>
      </w:r>
      <w:r>
        <w:rPr>
          <w:rFonts w:hint="cs"/>
          <w:rtl/>
        </w:rPr>
        <w:t>].</w:t>
      </w:r>
      <w:bookmarkEnd w:id="14324"/>
    </w:p>
    <w:p w:rsidR="00F13472" w:rsidRPr="00985E37" w:rsidRDefault="00F13472" w:rsidP="00F13472">
      <w:pPr>
        <w:pStyle w:val="a2"/>
        <w:rPr>
          <w:rtl/>
        </w:rPr>
      </w:pPr>
      <w:bookmarkStart w:id="14325" w:name="_Toc24839020"/>
      <w:bookmarkStart w:id="14326" w:name="_Toc24918115"/>
      <w:bookmarkStart w:id="14327" w:name="_Toc24918326"/>
      <w:r>
        <w:rPr>
          <w:rFonts w:hint="cs"/>
          <w:rtl/>
        </w:rPr>
        <w:t>ביאור הפרמ"ג דהמנחת יעקב הקשה דמבואר ברא"ש דבלא נודעה אסור מדרבנן ולא מדאו'</w:t>
      </w:r>
      <w:bookmarkEnd w:id="14325"/>
      <w:bookmarkEnd w:id="14326"/>
      <w:bookmarkEnd w:id="14327"/>
    </w:p>
    <w:p w:rsidR="00F13472" w:rsidRDefault="00F13472" w:rsidP="009F44AF">
      <w:pPr>
        <w:pStyle w:val="a"/>
        <w:rPr>
          <w:rtl/>
        </w:rPr>
      </w:pPr>
      <w:r>
        <w:rPr>
          <w:rFonts w:hint="cs"/>
          <w:rtl/>
        </w:rPr>
        <w:t xml:space="preserve">וביאר </w:t>
      </w:r>
      <w:r w:rsidRPr="00ED293F">
        <w:rPr>
          <w:rStyle w:val="af8"/>
          <w:rFonts w:hint="cs"/>
          <w:rtl/>
        </w:rPr>
        <w:t xml:space="preserve">הפרמ"ג </w:t>
      </w:r>
      <w:r w:rsidRPr="00ED293F">
        <w:rPr>
          <w:rStyle w:val="af6"/>
          <w:rFonts w:eastAsia="Guttman Hodes" w:hint="cs"/>
          <w:rtl/>
        </w:rPr>
        <w:t>(סי' ק"ט שפ"ד סק</w:t>
      </w:r>
      <w:r>
        <w:rPr>
          <w:rStyle w:val="af6"/>
          <w:rFonts w:eastAsia="Guttman Hodes" w:hint="cs"/>
          <w:rtl/>
        </w:rPr>
        <w:t>י</w:t>
      </w:r>
      <w:r w:rsidRPr="00ED293F">
        <w:rPr>
          <w:rStyle w:val="af6"/>
          <w:rFonts w:eastAsia="Guttman Hodes" w:hint="cs"/>
          <w:rtl/>
        </w:rPr>
        <w:t>"</w:t>
      </w:r>
      <w:r>
        <w:rPr>
          <w:rStyle w:val="af6"/>
          <w:rFonts w:eastAsia="Guttman Hodes" w:hint="cs"/>
          <w:rtl/>
        </w:rPr>
        <w:t>ב</w:t>
      </w:r>
      <w:r w:rsidRPr="00ED293F">
        <w:rPr>
          <w:rStyle w:val="af6"/>
          <w:rFonts w:eastAsia="Guttman Hodes" w:hint="cs"/>
          <w:rtl/>
        </w:rPr>
        <w:t xml:space="preserve">) </w:t>
      </w:r>
      <w:r>
        <w:rPr>
          <w:rFonts w:hint="cs"/>
          <w:rtl/>
        </w:rPr>
        <w:t xml:space="preserve">דכוונת </w:t>
      </w:r>
      <w:r w:rsidRPr="00ED293F">
        <w:rPr>
          <w:rStyle w:val="af8"/>
          <w:rFonts w:hint="cs"/>
          <w:rtl/>
        </w:rPr>
        <w:t xml:space="preserve">המנחת יעקב </w:t>
      </w:r>
      <w:r>
        <w:rPr>
          <w:rFonts w:hint="cs"/>
          <w:rtl/>
        </w:rPr>
        <w:t xml:space="preserve">להקשות קושיה נוספת על מה שכתב </w:t>
      </w:r>
      <w:r w:rsidRPr="00114B14">
        <w:rPr>
          <w:rStyle w:val="af8"/>
          <w:rFonts w:hint="cs"/>
          <w:rtl/>
        </w:rPr>
        <w:t>הש"ך</w:t>
      </w:r>
      <w:r>
        <w:rPr>
          <w:rFonts w:hint="cs"/>
          <w:rtl/>
        </w:rPr>
        <w:t xml:space="preserve"> </w:t>
      </w:r>
      <w:r w:rsidRPr="00114B14">
        <w:rPr>
          <w:rStyle w:val="af6"/>
          <w:rFonts w:eastAsia="Guttman Hodes" w:hint="cs"/>
          <w:rtl/>
        </w:rPr>
        <w:t xml:space="preserve">(עי' אות </w:t>
      </w:r>
      <w:r w:rsidRPr="00114B14">
        <w:rPr>
          <w:rStyle w:val="af6"/>
          <w:rFonts w:eastAsia="Guttman Hodes"/>
          <w:rtl/>
        </w:rPr>
        <w:fldChar w:fldCharType="begin"/>
      </w:r>
      <w:r w:rsidRPr="00114B14">
        <w:rPr>
          <w:rStyle w:val="af6"/>
          <w:rFonts w:eastAsia="Guttman Hodes"/>
          <w:rtl/>
        </w:rPr>
        <w:instrText xml:space="preserve"> </w:instrText>
      </w:r>
      <w:r w:rsidRPr="00114B14">
        <w:rPr>
          <w:rStyle w:val="af6"/>
          <w:rFonts w:eastAsia="Guttman Hodes" w:hint="cs"/>
        </w:rPr>
        <w:instrText>REF</w:instrText>
      </w:r>
      <w:r w:rsidRPr="00114B14">
        <w:rPr>
          <w:rStyle w:val="af6"/>
          <w:rFonts w:eastAsia="Guttman Hodes" w:hint="cs"/>
          <w:rtl/>
        </w:rPr>
        <w:instrText xml:space="preserve"> _</w:instrText>
      </w:r>
      <w:r w:rsidRPr="00114B14">
        <w:rPr>
          <w:rStyle w:val="af6"/>
          <w:rFonts w:eastAsia="Guttman Hodes" w:hint="cs"/>
        </w:rPr>
        <w:instrText>Ref24836789 \r \h</w:instrText>
      </w:r>
      <w:r w:rsidRPr="00114B14">
        <w:rPr>
          <w:rStyle w:val="af6"/>
          <w:rFonts w:eastAsia="Guttman Hodes"/>
          <w:rtl/>
        </w:rPr>
        <w:instrText xml:space="preserve"> </w:instrText>
      </w:r>
      <w:r w:rsidRPr="00114B14">
        <w:rPr>
          <w:rStyle w:val="af6"/>
          <w:rFonts w:eastAsia="Guttman Hodes"/>
          <w:rtl/>
        </w:rPr>
      </w:r>
      <w:r w:rsidRPr="00114B14">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114B14">
        <w:rPr>
          <w:rStyle w:val="af6"/>
          <w:rFonts w:eastAsia="Guttman Hodes"/>
          <w:rtl/>
        </w:rPr>
        <w:fldChar w:fldCharType="end"/>
      </w:r>
      <w:r>
        <w:rPr>
          <w:rFonts w:hint="cs"/>
          <w:rtl/>
        </w:rPr>
        <w:t xml:space="preserve"> דבלא נודע אסור מדאו', דהא </w:t>
      </w:r>
      <w:r w:rsidRPr="00ED293F">
        <w:rPr>
          <w:rStyle w:val="af8"/>
          <w:rFonts w:hint="cs"/>
          <w:rtl/>
        </w:rPr>
        <w:t xml:space="preserve">ברא"ש </w:t>
      </w:r>
      <w:r>
        <w:rPr>
          <w:rFonts w:hint="cs"/>
          <w:rtl/>
        </w:rPr>
        <w:t xml:space="preserve">מבואר דהוא מדרבנן, ועי' במה שביאר </w:t>
      </w:r>
      <w:r w:rsidRPr="00ED293F">
        <w:rPr>
          <w:rStyle w:val="af8"/>
          <w:rFonts w:hint="cs"/>
          <w:rtl/>
        </w:rPr>
        <w:t>הפרמ"ג</w:t>
      </w:r>
      <w:r>
        <w:rPr>
          <w:rFonts w:hint="cs"/>
          <w:rtl/>
        </w:rPr>
        <w:t xml:space="preserve"> </w:t>
      </w:r>
      <w:r w:rsidRPr="00B40E70">
        <w:rPr>
          <w:rStyle w:val="af6"/>
          <w:rFonts w:eastAsia="Guttman Hodes" w:hint="cs"/>
          <w:rtl/>
        </w:rPr>
        <w:t xml:space="preserve">(עי' אות </w:t>
      </w:r>
      <w:r w:rsidRPr="00B40E70">
        <w:rPr>
          <w:rStyle w:val="af6"/>
          <w:rFonts w:eastAsia="Guttman Hodes"/>
          <w:rtl/>
        </w:rPr>
        <w:fldChar w:fldCharType="begin"/>
      </w:r>
      <w:r w:rsidRPr="00B40E70">
        <w:rPr>
          <w:rStyle w:val="af6"/>
          <w:rFonts w:eastAsia="Guttman Hodes"/>
          <w:rtl/>
        </w:rPr>
        <w:instrText xml:space="preserve"> </w:instrText>
      </w:r>
      <w:r w:rsidRPr="00B40E70">
        <w:rPr>
          <w:rStyle w:val="af6"/>
          <w:rFonts w:eastAsia="Guttman Hodes" w:hint="cs"/>
        </w:rPr>
        <w:instrText>REF</w:instrText>
      </w:r>
      <w:r w:rsidRPr="00B40E70">
        <w:rPr>
          <w:rStyle w:val="af6"/>
          <w:rFonts w:eastAsia="Guttman Hodes" w:hint="cs"/>
          <w:rtl/>
        </w:rPr>
        <w:instrText xml:space="preserve"> _</w:instrText>
      </w:r>
      <w:r w:rsidRPr="00B40E70">
        <w:rPr>
          <w:rStyle w:val="af6"/>
          <w:rFonts w:eastAsia="Guttman Hodes" w:hint="cs"/>
        </w:rPr>
        <w:instrText>Ref24838741 \r \h</w:instrText>
      </w:r>
      <w:r w:rsidRPr="00B40E70">
        <w:rPr>
          <w:rStyle w:val="af6"/>
          <w:rFonts w:eastAsia="Guttman Hodes"/>
          <w:rtl/>
        </w:rPr>
        <w:instrText xml:space="preserve"> </w:instrText>
      </w:r>
      <w:r w:rsidRPr="00B40E70">
        <w:rPr>
          <w:rStyle w:val="af6"/>
          <w:rFonts w:eastAsia="Guttman Hodes"/>
          <w:rtl/>
        </w:rPr>
      </w:r>
      <w:r w:rsidRPr="00B40E70">
        <w:rPr>
          <w:rStyle w:val="af6"/>
          <w:rFonts w:eastAsia="Guttman Hodes"/>
          <w:rtl/>
        </w:rPr>
        <w:fldChar w:fldCharType="separate"/>
      </w:r>
      <w:r w:rsidR="004D1C5B">
        <w:rPr>
          <w:rStyle w:val="af6"/>
          <w:rFonts w:eastAsia="Guttman Hodes"/>
          <w:cs/>
        </w:rPr>
        <w:t>‎</w:t>
      </w:r>
      <w:r w:rsidR="004D1C5B">
        <w:rPr>
          <w:rStyle w:val="af6"/>
          <w:rFonts w:eastAsia="Guttman Hodes"/>
          <w:rtl/>
        </w:rPr>
        <w:t>סד)</w:t>
      </w:r>
      <w:r w:rsidRPr="00B40E70">
        <w:rPr>
          <w:rStyle w:val="af6"/>
          <w:rFonts w:eastAsia="Guttman Hodes"/>
          <w:rtl/>
        </w:rPr>
        <w:fldChar w:fldCharType="end"/>
      </w:r>
      <w:r>
        <w:rPr>
          <w:rFonts w:hint="cs"/>
          <w:rtl/>
        </w:rPr>
        <w:t xml:space="preserve"> בדעת </w:t>
      </w:r>
      <w:r w:rsidRPr="00B40E70">
        <w:rPr>
          <w:rStyle w:val="af8"/>
          <w:rFonts w:hint="cs"/>
          <w:rtl/>
        </w:rPr>
        <w:t>הש"ך</w:t>
      </w:r>
      <w:r>
        <w:rPr>
          <w:rFonts w:hint="cs"/>
          <w:rtl/>
        </w:rPr>
        <w:t>.</w:t>
      </w:r>
    </w:p>
    <w:p w:rsidR="00F13472" w:rsidRPr="008523CD" w:rsidRDefault="00F13472" w:rsidP="00F13472">
      <w:pPr>
        <w:pStyle w:val="a2"/>
      </w:pPr>
      <w:bookmarkStart w:id="14328" w:name="_Toc24839021"/>
      <w:bookmarkStart w:id="14329" w:name="_Toc24918116"/>
      <w:bookmarkStart w:id="14330" w:name="_Toc24918327"/>
      <w:r>
        <w:rPr>
          <w:rFonts w:hint="cs"/>
          <w:rtl/>
        </w:rPr>
        <w:t>דברי המנחת יעקב דבב' קדירות מותר להרשב"א אף בלא נודעה מדין ביטול או מדין ספק דרבנן</w:t>
      </w:r>
      <w:bookmarkEnd w:id="14328"/>
      <w:bookmarkEnd w:id="14329"/>
      <w:bookmarkEnd w:id="14330"/>
    </w:p>
    <w:p w:rsidR="00F13472" w:rsidRDefault="00F13472" w:rsidP="009F44AF">
      <w:pPr>
        <w:pStyle w:val="a"/>
        <w:rPr>
          <w:rtl/>
        </w:rPr>
      </w:pPr>
      <w:bookmarkStart w:id="14331" w:name="_Ref24837691"/>
      <w:r>
        <w:rPr>
          <w:rFonts w:hint="cs"/>
          <w:rtl/>
        </w:rPr>
        <w:t xml:space="preserve">וכתב </w:t>
      </w:r>
      <w:r w:rsidRPr="00B110B3">
        <w:rPr>
          <w:rStyle w:val="af8"/>
          <w:rFonts w:hint="cs"/>
          <w:rtl/>
        </w:rPr>
        <w:t xml:space="preserve">המנחת </w:t>
      </w:r>
      <w:r w:rsidRPr="00847D58">
        <w:rPr>
          <w:rStyle w:val="af8"/>
          <w:rFonts w:hint="cs"/>
          <w:rtl/>
        </w:rPr>
        <w:t>יעקב</w:t>
      </w:r>
      <w:r>
        <w:rPr>
          <w:rFonts w:hint="cs"/>
          <w:rtl/>
        </w:rPr>
        <w:t xml:space="preserve"> </w:t>
      </w:r>
      <w:r w:rsidRPr="00847D58">
        <w:rPr>
          <w:rStyle w:val="af6"/>
          <w:rFonts w:eastAsia="Guttman Hodes" w:hint="cs"/>
          <w:rtl/>
        </w:rPr>
        <w:t xml:space="preserve">(על התורת חטאת כלל ל"ט י"ח) </w:t>
      </w:r>
      <w:r>
        <w:rPr>
          <w:rFonts w:hint="cs"/>
          <w:rtl/>
        </w:rPr>
        <w:t xml:space="preserve">דא"כ מבואר כדברי </w:t>
      </w:r>
      <w:r w:rsidRPr="00B110B3">
        <w:rPr>
          <w:rStyle w:val="af8"/>
          <w:rFonts w:hint="cs"/>
          <w:rtl/>
        </w:rPr>
        <w:t>הב"ח</w:t>
      </w:r>
      <w:r>
        <w:rPr>
          <w:rFonts w:hint="cs"/>
          <w:rtl/>
        </w:rPr>
        <w:t xml:space="preserve"> </w:t>
      </w:r>
      <w:r w:rsidRPr="00DE2B8D">
        <w:rPr>
          <w:rStyle w:val="af6"/>
          <w:rFonts w:eastAsia="Guttman Hodes" w:hint="cs"/>
          <w:rtl/>
        </w:rPr>
        <w:t xml:space="preserve">(עי' אות </w:t>
      </w:r>
      <w:r w:rsidRPr="00DE2B8D">
        <w:rPr>
          <w:rStyle w:val="af6"/>
          <w:rFonts w:eastAsia="Guttman Hodes"/>
          <w:rtl/>
        </w:rPr>
        <w:fldChar w:fldCharType="begin"/>
      </w:r>
      <w:r w:rsidRPr="00DE2B8D">
        <w:rPr>
          <w:rStyle w:val="af6"/>
          <w:rFonts w:eastAsia="Guttman Hodes"/>
          <w:rtl/>
        </w:rPr>
        <w:instrText xml:space="preserve"> </w:instrText>
      </w:r>
      <w:r w:rsidRPr="00DE2B8D">
        <w:rPr>
          <w:rStyle w:val="af6"/>
          <w:rFonts w:eastAsia="Guttman Hodes" w:hint="cs"/>
        </w:rPr>
        <w:instrText>REF</w:instrText>
      </w:r>
      <w:r w:rsidRPr="00DE2B8D">
        <w:rPr>
          <w:rStyle w:val="af6"/>
          <w:rFonts w:eastAsia="Guttman Hodes" w:hint="cs"/>
          <w:rtl/>
        </w:rPr>
        <w:instrText xml:space="preserve"> _</w:instrText>
      </w:r>
      <w:r w:rsidRPr="00DE2B8D">
        <w:rPr>
          <w:rStyle w:val="af6"/>
          <w:rFonts w:eastAsia="Guttman Hodes" w:hint="cs"/>
        </w:rPr>
        <w:instrText>Ref24837707 \r \h</w:instrText>
      </w:r>
      <w:r w:rsidRPr="00DE2B8D">
        <w:rPr>
          <w:rStyle w:val="af6"/>
          <w:rFonts w:eastAsia="Guttman Hodes"/>
          <w:rtl/>
        </w:rPr>
        <w:instrText xml:space="preserve"> </w:instrText>
      </w:r>
      <w:r w:rsidRPr="00DE2B8D">
        <w:rPr>
          <w:rStyle w:val="af6"/>
          <w:rFonts w:eastAsia="Guttman Hodes"/>
          <w:rtl/>
        </w:rPr>
      </w:r>
      <w:r w:rsidRPr="00DE2B8D">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DE2B8D">
        <w:rPr>
          <w:rStyle w:val="af6"/>
          <w:rFonts w:eastAsia="Guttman Hodes"/>
          <w:rtl/>
        </w:rPr>
        <w:fldChar w:fldCharType="end"/>
      </w:r>
      <w:r>
        <w:rPr>
          <w:rFonts w:hint="cs"/>
          <w:rtl/>
        </w:rPr>
        <w:t xml:space="preserve"> דכיון דלדעת </w:t>
      </w:r>
      <w:r w:rsidRPr="00B110B3">
        <w:rPr>
          <w:rStyle w:val="af8"/>
          <w:rFonts w:hint="cs"/>
          <w:rtl/>
        </w:rPr>
        <w:t>הרשב"א</w:t>
      </w:r>
      <w:r>
        <w:rPr>
          <w:rFonts w:hint="cs"/>
          <w:rtl/>
        </w:rPr>
        <w:t xml:space="preserve"> מותר בב' קדירות, א"כ לדידן דקיי"ל </w:t>
      </w:r>
      <w:r w:rsidRPr="00B110B3">
        <w:rPr>
          <w:rStyle w:val="af8"/>
          <w:rFonts w:hint="cs"/>
          <w:rtl/>
        </w:rPr>
        <w:t>כהרא"ש</w:t>
      </w:r>
      <w:r>
        <w:rPr>
          <w:rFonts w:hint="cs"/>
          <w:rtl/>
        </w:rPr>
        <w:t xml:space="preserve"> דבבישל בב' קדירות חשיב ביטול כדין יבש ביבש, ואף אי נימא דהוא ספק, מ"מ הוא ספק דרבנן לקולא, לדעת </w:t>
      </w:r>
      <w:r w:rsidRPr="00B110B3">
        <w:rPr>
          <w:rStyle w:val="af8"/>
          <w:rFonts w:hint="cs"/>
          <w:rtl/>
        </w:rPr>
        <w:t>הרא"ש</w:t>
      </w:r>
      <w:r>
        <w:rPr>
          <w:rFonts w:hint="cs"/>
          <w:rtl/>
        </w:rPr>
        <w:t>.</w:t>
      </w:r>
      <w:bookmarkEnd w:id="14331"/>
    </w:p>
    <w:p w:rsidR="00F13472" w:rsidRDefault="00F13472" w:rsidP="00F13472">
      <w:pPr>
        <w:pStyle w:val="1"/>
        <w:rPr>
          <w:rtl/>
        </w:rPr>
      </w:pPr>
      <w:bookmarkStart w:id="14332" w:name="_Toc24839022"/>
      <w:bookmarkStart w:id="14333" w:name="_Toc24918117"/>
      <w:bookmarkStart w:id="14334" w:name="_Toc24918328"/>
      <w:r>
        <w:rPr>
          <w:rFonts w:hint="cs"/>
          <w:rtl/>
        </w:rPr>
        <w:t>דברי הפרמ"ג</w:t>
      </w:r>
      <w:bookmarkEnd w:id="14332"/>
      <w:r>
        <w:rPr>
          <w:rFonts w:hint="cs"/>
          <w:rtl/>
        </w:rPr>
        <w:t xml:space="preserve"> דלש"ך דלא נודע דאו' א"כ הרוטב אוסר הכל</w:t>
      </w:r>
      <w:bookmarkEnd w:id="14333"/>
      <w:bookmarkEnd w:id="14334"/>
    </w:p>
    <w:p w:rsidR="00F13472" w:rsidRPr="0002357E" w:rsidRDefault="00F13472" w:rsidP="00F13472">
      <w:pPr>
        <w:pStyle w:val="a2"/>
        <w:rPr>
          <w:rtl/>
        </w:rPr>
      </w:pPr>
      <w:bookmarkStart w:id="14335" w:name="_Toc24839023"/>
      <w:bookmarkStart w:id="14336" w:name="_Toc24918118"/>
      <w:bookmarkStart w:id="14337" w:name="_Toc24918329"/>
      <w:r>
        <w:rPr>
          <w:rFonts w:hint="cs"/>
          <w:rtl/>
        </w:rPr>
        <w:t>דברי הפרמ"ג דלהש"ך בלא נודעה התערובת לא בטל מדאו' כלל</w:t>
      </w:r>
      <w:bookmarkEnd w:id="14335"/>
      <w:bookmarkEnd w:id="14336"/>
      <w:bookmarkEnd w:id="14337"/>
    </w:p>
    <w:p w:rsidR="007A5AFC" w:rsidRDefault="00F13472" w:rsidP="009F44AF">
      <w:pPr>
        <w:pStyle w:val="a"/>
        <w:rPr>
          <w:rtl/>
        </w:rPr>
      </w:pPr>
      <w:bookmarkStart w:id="14338" w:name="_Ref24838741"/>
      <w:r>
        <w:rPr>
          <w:rFonts w:hint="cs"/>
          <w:rtl/>
        </w:rPr>
        <w:t xml:space="preserve">ותירץ </w:t>
      </w:r>
      <w:r w:rsidRPr="00ED293F">
        <w:rPr>
          <w:rStyle w:val="af8"/>
          <w:rFonts w:hint="cs"/>
          <w:rtl/>
        </w:rPr>
        <w:t xml:space="preserve">הפרמ"ג </w:t>
      </w:r>
      <w:r w:rsidRPr="00ED293F">
        <w:rPr>
          <w:rStyle w:val="af6"/>
          <w:rFonts w:eastAsia="Guttman Hodes" w:hint="cs"/>
          <w:rtl/>
        </w:rPr>
        <w:t>(סי' ק"ט שפ"ד סק</w:t>
      </w:r>
      <w:r>
        <w:rPr>
          <w:rStyle w:val="af6"/>
          <w:rFonts w:eastAsia="Guttman Hodes" w:hint="cs"/>
          <w:rtl/>
        </w:rPr>
        <w:t>י</w:t>
      </w:r>
      <w:r w:rsidRPr="00ED293F">
        <w:rPr>
          <w:rStyle w:val="af6"/>
          <w:rFonts w:eastAsia="Guttman Hodes" w:hint="cs"/>
          <w:rtl/>
        </w:rPr>
        <w:t>"</w:t>
      </w:r>
      <w:r>
        <w:rPr>
          <w:rStyle w:val="af6"/>
          <w:rFonts w:eastAsia="Guttman Hodes" w:hint="cs"/>
          <w:rtl/>
        </w:rPr>
        <w:t>ב</w:t>
      </w:r>
      <w:r w:rsidRPr="00ED293F">
        <w:rPr>
          <w:rStyle w:val="af6"/>
          <w:rFonts w:eastAsia="Guttman Hodes" w:hint="cs"/>
          <w:rtl/>
        </w:rPr>
        <w:t xml:space="preserve">) </w:t>
      </w:r>
      <w:r>
        <w:rPr>
          <w:rFonts w:hint="cs"/>
          <w:rtl/>
        </w:rPr>
        <w:t xml:space="preserve">דבמה שהקשה </w:t>
      </w:r>
      <w:r w:rsidRPr="0002357E">
        <w:rPr>
          <w:rStyle w:val="af8"/>
          <w:rFonts w:hint="cs"/>
          <w:rtl/>
        </w:rPr>
        <w:t>המנחת יעקב</w:t>
      </w:r>
      <w:r>
        <w:rPr>
          <w:rFonts w:hint="cs"/>
          <w:rtl/>
        </w:rPr>
        <w:t xml:space="preserve"> </w:t>
      </w:r>
      <w:r w:rsidRPr="00B40E70">
        <w:rPr>
          <w:rStyle w:val="af6"/>
          <w:rFonts w:eastAsia="Guttman Hodes" w:hint="cs"/>
          <w:rtl/>
        </w:rPr>
        <w:t xml:space="preserve">(עי' אות </w:t>
      </w:r>
      <w:r w:rsidRPr="00B40E70">
        <w:rPr>
          <w:rStyle w:val="af6"/>
          <w:rFonts w:eastAsia="Guttman Hodes"/>
          <w:rtl/>
        </w:rPr>
        <w:fldChar w:fldCharType="begin"/>
      </w:r>
      <w:r w:rsidRPr="00B40E70">
        <w:rPr>
          <w:rStyle w:val="af6"/>
          <w:rFonts w:eastAsia="Guttman Hodes"/>
          <w:rtl/>
        </w:rPr>
        <w:instrText xml:space="preserve"> </w:instrText>
      </w:r>
      <w:r w:rsidRPr="00B40E70">
        <w:rPr>
          <w:rStyle w:val="af6"/>
          <w:rFonts w:eastAsia="Guttman Hodes" w:hint="cs"/>
        </w:rPr>
        <w:instrText>REF</w:instrText>
      </w:r>
      <w:r w:rsidRPr="00B40E70">
        <w:rPr>
          <w:rStyle w:val="af6"/>
          <w:rFonts w:eastAsia="Guttman Hodes" w:hint="cs"/>
          <w:rtl/>
        </w:rPr>
        <w:instrText xml:space="preserve"> _</w:instrText>
      </w:r>
      <w:r w:rsidRPr="00B40E70">
        <w:rPr>
          <w:rStyle w:val="af6"/>
          <w:rFonts w:eastAsia="Guttman Hodes" w:hint="cs"/>
        </w:rPr>
        <w:instrText>Ref24838851 \r \h</w:instrText>
      </w:r>
      <w:r w:rsidRPr="00B40E70">
        <w:rPr>
          <w:rStyle w:val="af6"/>
          <w:rFonts w:eastAsia="Guttman Hodes"/>
          <w:rtl/>
        </w:rPr>
        <w:instrText xml:space="preserve"> </w:instrText>
      </w:r>
      <w:r w:rsidRPr="00B40E70">
        <w:rPr>
          <w:rStyle w:val="af6"/>
          <w:rFonts w:eastAsia="Guttman Hodes"/>
          <w:rtl/>
        </w:rPr>
      </w:r>
      <w:r w:rsidRPr="00B40E70">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B40E70">
        <w:rPr>
          <w:rStyle w:val="af6"/>
          <w:rFonts w:eastAsia="Guttman Hodes"/>
          <w:rtl/>
        </w:rPr>
        <w:fldChar w:fldCharType="end"/>
      </w:r>
      <w:r w:rsidRPr="00B40E70">
        <w:rPr>
          <w:rStyle w:val="af6"/>
          <w:rFonts w:eastAsia="Guttman Hodes" w:hint="cs"/>
          <w:rtl/>
        </w:rPr>
        <w:t xml:space="preserve"> </w:t>
      </w:r>
      <w:r>
        <w:rPr>
          <w:rFonts w:hint="cs"/>
          <w:rtl/>
        </w:rPr>
        <w:t xml:space="preserve">על </w:t>
      </w:r>
      <w:r w:rsidRPr="0002357E">
        <w:rPr>
          <w:rStyle w:val="af8"/>
          <w:rFonts w:hint="cs"/>
          <w:rtl/>
        </w:rPr>
        <w:t>הש"ך</w:t>
      </w:r>
      <w:r>
        <w:rPr>
          <w:rFonts w:hint="cs"/>
          <w:rtl/>
        </w:rPr>
        <w:t xml:space="preserve"> דאסור מדאו', כתב  </w:t>
      </w:r>
      <w:r>
        <w:rPr>
          <w:rStyle w:val="af8"/>
          <w:rFonts w:hint="cs"/>
          <w:rtl/>
        </w:rPr>
        <w:t xml:space="preserve">הפרמ"ג </w:t>
      </w:r>
      <w:r w:rsidRPr="00ED293F">
        <w:rPr>
          <w:rStyle w:val="af8"/>
          <w:rFonts w:hint="cs"/>
          <w:rtl/>
        </w:rPr>
        <w:t>דהש"ך</w:t>
      </w:r>
      <w:r>
        <w:rPr>
          <w:rStyle w:val="af8"/>
          <w:rFonts w:hint="cs"/>
          <w:rtl/>
        </w:rPr>
        <w:t xml:space="preserve"> </w:t>
      </w:r>
      <w:r>
        <w:rPr>
          <w:rFonts w:hint="cs"/>
          <w:rtl/>
        </w:rPr>
        <w:t>ס"ל דלפני שנודעה התערובת, אינו בטל מדאו' כלל.</w:t>
      </w:r>
      <w:bookmarkEnd w:id="14338"/>
    </w:p>
    <w:p w:rsidR="00F13472" w:rsidRPr="00D43461" w:rsidRDefault="00F13472" w:rsidP="00F13472">
      <w:pPr>
        <w:pStyle w:val="a2"/>
      </w:pPr>
      <w:bookmarkStart w:id="14339" w:name="_Toc24839024"/>
      <w:bookmarkStart w:id="14340" w:name="_Toc24918119"/>
      <w:bookmarkStart w:id="14341" w:name="_Toc24918330"/>
      <w:r>
        <w:rPr>
          <w:rFonts w:hint="cs"/>
          <w:rtl/>
        </w:rPr>
        <w:t>דברי הפרמ"ג דלהש"ך דלא בטל מדאו' א"כ לאחר הבישול הרוטב נבלע בחתיכות ואוסרם</w:t>
      </w:r>
      <w:bookmarkEnd w:id="14339"/>
      <w:bookmarkEnd w:id="14340"/>
      <w:bookmarkEnd w:id="14341"/>
    </w:p>
    <w:p w:rsidR="00F13472" w:rsidRPr="009663B1" w:rsidRDefault="00F13472" w:rsidP="009F44AF">
      <w:pPr>
        <w:pStyle w:val="a"/>
        <w:rPr>
          <w:rStyle w:val="afa"/>
          <w:rtl/>
        </w:rPr>
      </w:pPr>
      <w:bookmarkStart w:id="14342" w:name="_Ref24838788"/>
      <w:r>
        <w:rPr>
          <w:rFonts w:hint="cs"/>
          <w:rtl/>
        </w:rPr>
        <w:t xml:space="preserve">וכתב </w:t>
      </w:r>
      <w:r w:rsidRPr="00B40E70">
        <w:rPr>
          <w:rStyle w:val="af8"/>
          <w:rFonts w:hint="cs"/>
          <w:rtl/>
        </w:rPr>
        <w:t xml:space="preserve">הפרמ"ג </w:t>
      </w:r>
      <w:r>
        <w:rPr>
          <w:rFonts w:hint="cs"/>
          <w:rtl/>
        </w:rPr>
        <w:t xml:space="preserve">דא"כ מיושבת גם הקושיה של </w:t>
      </w:r>
      <w:r w:rsidRPr="00B40E70">
        <w:rPr>
          <w:rStyle w:val="af8"/>
          <w:rFonts w:hint="cs"/>
          <w:rtl/>
        </w:rPr>
        <w:t>המנחת יעקב</w:t>
      </w:r>
      <w:r>
        <w:rPr>
          <w:rFonts w:hint="cs"/>
          <w:rtl/>
        </w:rPr>
        <w:t xml:space="preserve"> </w:t>
      </w:r>
      <w:r w:rsidRPr="00B40E70">
        <w:rPr>
          <w:rStyle w:val="af6"/>
          <w:rFonts w:eastAsia="Guttman Hodes" w:hint="cs"/>
          <w:rtl/>
        </w:rPr>
        <w:t xml:space="preserve">(עי' אות </w:t>
      </w:r>
      <w:r w:rsidRPr="00B40E70">
        <w:rPr>
          <w:rStyle w:val="af6"/>
          <w:rFonts w:eastAsia="Guttman Hodes"/>
          <w:rtl/>
        </w:rPr>
        <w:fldChar w:fldCharType="begin"/>
      </w:r>
      <w:r w:rsidRPr="00B40E70">
        <w:rPr>
          <w:rStyle w:val="af6"/>
          <w:rFonts w:eastAsia="Guttman Hodes"/>
          <w:rtl/>
        </w:rPr>
        <w:instrText xml:space="preserve"> </w:instrText>
      </w:r>
      <w:r w:rsidRPr="00B40E70">
        <w:rPr>
          <w:rStyle w:val="af6"/>
          <w:rFonts w:eastAsia="Guttman Hodes" w:hint="cs"/>
        </w:rPr>
        <w:instrText>REF</w:instrText>
      </w:r>
      <w:r w:rsidRPr="00B40E70">
        <w:rPr>
          <w:rStyle w:val="af6"/>
          <w:rFonts w:eastAsia="Guttman Hodes" w:hint="cs"/>
          <w:rtl/>
        </w:rPr>
        <w:instrText xml:space="preserve"> _</w:instrText>
      </w:r>
      <w:r w:rsidRPr="00B40E70">
        <w:rPr>
          <w:rStyle w:val="af6"/>
          <w:rFonts w:eastAsia="Guttman Hodes" w:hint="cs"/>
        </w:rPr>
        <w:instrText>Ref24838696 \r \h</w:instrText>
      </w:r>
      <w:r w:rsidRPr="00B40E70">
        <w:rPr>
          <w:rStyle w:val="af6"/>
          <w:rFonts w:eastAsia="Guttman Hodes"/>
          <w:rtl/>
        </w:rPr>
        <w:instrText xml:space="preserve"> </w:instrText>
      </w:r>
      <w:r w:rsidRPr="00B40E70">
        <w:rPr>
          <w:rStyle w:val="af6"/>
          <w:rFonts w:eastAsia="Guttman Hodes"/>
          <w:rtl/>
        </w:rPr>
      </w:r>
      <w:r w:rsidRPr="00B40E70">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B40E70">
        <w:rPr>
          <w:rStyle w:val="af6"/>
          <w:rFonts w:eastAsia="Guttman Hodes"/>
          <w:rtl/>
        </w:rPr>
        <w:fldChar w:fldCharType="end"/>
      </w:r>
      <w:r>
        <w:rPr>
          <w:rFonts w:hint="cs"/>
          <w:rtl/>
        </w:rPr>
        <w:t xml:space="preserve"> דאף לאחר הבישול חשיב כיבש, וביאר </w:t>
      </w:r>
      <w:r w:rsidRPr="00B40E70">
        <w:rPr>
          <w:rStyle w:val="af8"/>
          <w:rFonts w:hint="cs"/>
          <w:rtl/>
        </w:rPr>
        <w:t>הפרמ"ג</w:t>
      </w:r>
      <w:r>
        <w:rPr>
          <w:rFonts w:hint="cs"/>
          <w:rtl/>
        </w:rPr>
        <w:t xml:space="preserve"> דכיון דלדעת הש"ך בלא נודעה התערובת אסור מדאו', א"כ כשבישל את התערובת במים, נאסרו המים מדאו' דהוא מין בשאינו מינו, ואף שלאחר שנודעה </w:t>
      </w:r>
      <w:r w:rsidRPr="009663B1">
        <w:rPr>
          <w:rFonts w:hint="cs"/>
          <w:rtl/>
        </w:rPr>
        <w:t xml:space="preserve">התערובת, החתיכות מתבטלות כדין יבש ביבש, מ"מ הרוטב נשאר אסור, והרוטב נבלע בחתיכות ואוסר אותם, וכתב </w:t>
      </w:r>
      <w:r w:rsidRPr="009663B1">
        <w:rPr>
          <w:rStyle w:val="af8"/>
          <w:rFonts w:hint="cs"/>
          <w:rtl/>
        </w:rPr>
        <w:t xml:space="preserve">הפרמ"ג </w:t>
      </w:r>
      <w:r w:rsidRPr="009663B1">
        <w:rPr>
          <w:rFonts w:hint="cs"/>
          <w:rtl/>
        </w:rPr>
        <w:t xml:space="preserve">דלכן ס"ל </w:t>
      </w:r>
      <w:r w:rsidRPr="009663B1">
        <w:rPr>
          <w:rStyle w:val="af8"/>
          <w:rFonts w:hint="cs"/>
          <w:rtl/>
        </w:rPr>
        <w:t xml:space="preserve">להש"ך </w:t>
      </w:r>
      <w:r w:rsidRPr="009663B1">
        <w:rPr>
          <w:rFonts w:hint="cs"/>
          <w:rtl/>
        </w:rPr>
        <w:t>דא"א לומר דהוא ספק דרבנן ולקולא. [</w:t>
      </w:r>
      <w:r w:rsidRPr="009663B1">
        <w:rPr>
          <w:rStyle w:val="afa"/>
          <w:rFonts w:hint="cs"/>
          <w:rtl/>
        </w:rPr>
        <w:t xml:space="preserve">ועי' במה שציין </w:t>
      </w:r>
      <w:r w:rsidRPr="001D7E45">
        <w:rPr>
          <w:rStyle w:val="affa"/>
          <w:rFonts w:hint="cs"/>
          <w:rtl/>
        </w:rPr>
        <w:t xml:space="preserve">הפרמ"ג </w:t>
      </w:r>
      <w:r w:rsidRPr="009663B1">
        <w:rPr>
          <w:rStyle w:val="afa"/>
          <w:rFonts w:hint="cs"/>
          <w:rtl/>
        </w:rPr>
        <w:t xml:space="preserve">לדברי </w:t>
      </w:r>
      <w:r w:rsidRPr="001D7E45">
        <w:rPr>
          <w:rStyle w:val="affa"/>
          <w:rFonts w:hint="cs"/>
          <w:rtl/>
        </w:rPr>
        <w:t xml:space="preserve">הבית לחם יהודה </w:t>
      </w:r>
      <w:r w:rsidRPr="001D7E45">
        <w:rPr>
          <w:rStyle w:val="aff6"/>
          <w:rFonts w:hint="cs"/>
          <w:rtl/>
        </w:rPr>
        <w:t>(סי' ק"ט סק"ז)</w:t>
      </w:r>
      <w:r w:rsidRPr="009663B1">
        <w:rPr>
          <w:rStyle w:val="afa"/>
          <w:rFonts w:hint="cs"/>
          <w:rtl/>
        </w:rPr>
        <w:t xml:space="preserve"> שהביא בשם </w:t>
      </w:r>
      <w:r w:rsidRPr="001D7E45">
        <w:rPr>
          <w:rStyle w:val="affa"/>
          <w:rFonts w:hint="cs"/>
          <w:rtl/>
        </w:rPr>
        <w:t>חידושי הגרשוני</w:t>
      </w:r>
      <w:r w:rsidRPr="009663B1">
        <w:rPr>
          <w:rStyle w:val="afa"/>
          <w:rFonts w:hint="cs"/>
          <w:rtl/>
        </w:rPr>
        <w:t xml:space="preserve"> </w:t>
      </w:r>
      <w:r w:rsidRPr="001D7E45">
        <w:rPr>
          <w:rStyle w:val="aff6"/>
          <w:rFonts w:hint="cs"/>
          <w:rtl/>
        </w:rPr>
        <w:t>(נד' במהדו' פרידמן אוצר מפרשים סי' ק"ט אות י"ג)</w:t>
      </w:r>
      <w:r w:rsidRPr="009663B1">
        <w:rPr>
          <w:rStyle w:val="afa"/>
          <w:rFonts w:hint="cs"/>
          <w:rtl/>
        </w:rPr>
        <w:t xml:space="preserve"> דנחלקו בני הישיבה בפרנקפורט אי הוא ספק דאו' או ספק דרבנן].</w:t>
      </w:r>
      <w:bookmarkEnd w:id="14342"/>
    </w:p>
    <w:p w:rsidR="00F13472" w:rsidRPr="00DE2B8D" w:rsidRDefault="00F13472" w:rsidP="00F13472">
      <w:pPr>
        <w:pStyle w:val="1"/>
        <w:rPr>
          <w:rtl/>
        </w:rPr>
      </w:pPr>
      <w:bookmarkStart w:id="14343" w:name="_Toc24839025"/>
      <w:bookmarkStart w:id="14344" w:name="_Toc24918120"/>
      <w:bookmarkStart w:id="14345" w:name="_Toc24918331"/>
      <w:bookmarkStart w:id="14346" w:name="_Toc24403387"/>
      <w:bookmarkStart w:id="14347" w:name="_Toc24455854"/>
      <w:bookmarkStart w:id="14348" w:name="_Toc24576840"/>
      <w:bookmarkStart w:id="14349" w:name="_Toc24709415"/>
      <w:r>
        <w:rPr>
          <w:rFonts w:hint="cs"/>
          <w:rtl/>
        </w:rPr>
        <w:t>דברי היד יהודה</w:t>
      </w:r>
      <w:bookmarkEnd w:id="14343"/>
      <w:r>
        <w:rPr>
          <w:rFonts w:hint="cs"/>
          <w:rtl/>
        </w:rPr>
        <w:t xml:space="preserve"> והחכמ"א דאין ראיה מהרא"ש דהוא דרבנן</w:t>
      </w:r>
      <w:bookmarkEnd w:id="14344"/>
      <w:bookmarkEnd w:id="14345"/>
    </w:p>
    <w:p w:rsidR="00F13472" w:rsidRDefault="00F13472" w:rsidP="00F13472">
      <w:pPr>
        <w:pStyle w:val="a2"/>
        <w:rPr>
          <w:rtl/>
        </w:rPr>
      </w:pPr>
      <w:bookmarkStart w:id="14350" w:name="_Toc24918121"/>
      <w:bookmarkStart w:id="14351" w:name="_Toc24918332"/>
      <w:r>
        <w:rPr>
          <w:rFonts w:hint="cs"/>
          <w:rtl/>
        </w:rPr>
        <w:t>דברי היד יהודה דרק במין במינו כתב הרא"ש דהוא דרבנן אבל באינו מינו משמע דהוא דאו'</w:t>
      </w:r>
      <w:bookmarkEnd w:id="14350"/>
      <w:bookmarkEnd w:id="14351"/>
      <w:r>
        <w:rPr>
          <w:rFonts w:hint="cs"/>
          <w:rtl/>
        </w:rPr>
        <w:t xml:space="preserve"> </w:t>
      </w:r>
    </w:p>
    <w:p w:rsidR="00F13472" w:rsidRDefault="00F13472" w:rsidP="009F44AF">
      <w:pPr>
        <w:pStyle w:val="a"/>
        <w:rPr>
          <w:rtl/>
        </w:rPr>
      </w:pPr>
      <w:bookmarkStart w:id="14352" w:name="_Ref24838925"/>
      <w:r>
        <w:rPr>
          <w:rFonts w:hint="cs"/>
          <w:rtl/>
        </w:rPr>
        <w:t xml:space="preserve">במ"ש </w:t>
      </w:r>
      <w:r w:rsidRPr="00182805">
        <w:rPr>
          <w:rStyle w:val="af8"/>
          <w:rFonts w:hint="cs"/>
          <w:rtl/>
        </w:rPr>
        <w:t>המנחת יעקב</w:t>
      </w:r>
      <w:r>
        <w:rPr>
          <w:rFonts w:hint="cs"/>
          <w:rtl/>
        </w:rPr>
        <w:t xml:space="preserve"> </w:t>
      </w:r>
      <w:r w:rsidRPr="00977617">
        <w:rPr>
          <w:rStyle w:val="af6"/>
          <w:rFonts w:eastAsia="Guttman Hodes" w:hint="cs"/>
          <w:rtl/>
        </w:rPr>
        <w:t xml:space="preserve">(עי' אות </w:t>
      </w:r>
      <w:r w:rsidRPr="00977617">
        <w:rPr>
          <w:rStyle w:val="af6"/>
          <w:rFonts w:eastAsia="Guttman Hodes"/>
          <w:rtl/>
        </w:rPr>
        <w:fldChar w:fldCharType="begin"/>
      </w:r>
      <w:r w:rsidRPr="00977617">
        <w:rPr>
          <w:rStyle w:val="af6"/>
          <w:rFonts w:eastAsia="Guttman Hodes"/>
          <w:rtl/>
        </w:rPr>
        <w:instrText xml:space="preserve"> </w:instrText>
      </w:r>
      <w:r w:rsidRPr="00977617">
        <w:rPr>
          <w:rStyle w:val="af6"/>
          <w:rFonts w:eastAsia="Guttman Hodes" w:hint="cs"/>
        </w:rPr>
        <w:instrText>REF</w:instrText>
      </w:r>
      <w:r w:rsidRPr="00977617">
        <w:rPr>
          <w:rStyle w:val="af6"/>
          <w:rFonts w:eastAsia="Guttman Hodes" w:hint="cs"/>
          <w:rtl/>
        </w:rPr>
        <w:instrText xml:space="preserve"> _</w:instrText>
      </w:r>
      <w:r w:rsidRPr="00977617">
        <w:rPr>
          <w:rStyle w:val="af6"/>
          <w:rFonts w:eastAsia="Guttman Hodes" w:hint="cs"/>
        </w:rPr>
        <w:instrText>Ref24838851 \r \h</w:instrText>
      </w:r>
      <w:r w:rsidRPr="00977617">
        <w:rPr>
          <w:rStyle w:val="af6"/>
          <w:rFonts w:eastAsia="Guttman Hodes"/>
          <w:rtl/>
        </w:rPr>
        <w:instrText xml:space="preserve"> </w:instrText>
      </w:r>
      <w:r w:rsidRPr="00977617">
        <w:rPr>
          <w:rStyle w:val="af6"/>
          <w:rFonts w:eastAsia="Guttman Hodes"/>
          <w:rtl/>
        </w:rPr>
      </w:r>
      <w:r w:rsidRPr="00977617">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977617">
        <w:rPr>
          <w:rStyle w:val="af6"/>
          <w:rFonts w:eastAsia="Guttman Hodes"/>
          <w:rtl/>
        </w:rPr>
        <w:fldChar w:fldCharType="end"/>
      </w:r>
      <w:r>
        <w:rPr>
          <w:rFonts w:hint="cs"/>
          <w:rtl/>
        </w:rPr>
        <w:t xml:space="preserve"> </w:t>
      </w:r>
      <w:r w:rsidRPr="00182805">
        <w:rPr>
          <w:rStyle w:val="af8"/>
          <w:rFonts w:hint="cs"/>
          <w:rtl/>
        </w:rPr>
        <w:t>דברא"ש</w:t>
      </w:r>
      <w:r>
        <w:rPr>
          <w:rFonts w:hint="cs"/>
          <w:rtl/>
        </w:rPr>
        <w:t xml:space="preserve"> מבואר דבלא נודעה התערובת אסור רק מדרבנן, דחה </w:t>
      </w:r>
      <w:r w:rsidRPr="00182805">
        <w:rPr>
          <w:rStyle w:val="af8"/>
          <w:rFonts w:hint="cs"/>
          <w:rtl/>
        </w:rPr>
        <w:t>היד יהודה</w:t>
      </w:r>
      <w:r>
        <w:rPr>
          <w:rFonts w:hint="cs"/>
          <w:rtl/>
        </w:rPr>
        <w:t xml:space="preserve"> </w:t>
      </w:r>
      <w:r w:rsidRPr="00977617">
        <w:rPr>
          <w:rStyle w:val="af6"/>
          <w:rFonts w:eastAsia="Guttman Hodes" w:hint="cs"/>
          <w:rtl/>
        </w:rPr>
        <w:t>(סי' ס"ט ס"ק ס"ג או</w:t>
      </w:r>
      <w:r>
        <w:rPr>
          <w:rStyle w:val="af6"/>
          <w:rFonts w:eastAsia="Guttman Hodes" w:hint="cs"/>
          <w:rtl/>
        </w:rPr>
        <w:t>'</w:t>
      </w:r>
      <w:r w:rsidRPr="00977617">
        <w:rPr>
          <w:rStyle w:val="af6"/>
          <w:rFonts w:eastAsia="Guttman Hodes" w:hint="cs"/>
          <w:rtl/>
        </w:rPr>
        <w:t xml:space="preserve"> ז') </w:t>
      </w:r>
      <w:r>
        <w:rPr>
          <w:rFonts w:hint="cs"/>
          <w:rtl/>
        </w:rPr>
        <w:t xml:space="preserve">דכ"מ דכתב </w:t>
      </w:r>
      <w:r w:rsidRPr="00182805">
        <w:rPr>
          <w:rStyle w:val="af8"/>
          <w:rFonts w:hint="cs"/>
          <w:rtl/>
        </w:rPr>
        <w:t>הרא"ש</w:t>
      </w:r>
      <w:r w:rsidRPr="00182805">
        <w:rPr>
          <w:rFonts w:hint="cs"/>
          <w:rtl/>
        </w:rPr>
        <w:t xml:space="preserve"> </w:t>
      </w:r>
      <w:r w:rsidRPr="00182805">
        <w:rPr>
          <w:rStyle w:val="af6"/>
          <w:rFonts w:eastAsia="Guttman Hodes" w:hint="cs"/>
          <w:rtl/>
        </w:rPr>
        <w:t xml:space="preserve">(עי' אות </w:t>
      </w:r>
      <w:r w:rsidRPr="00182805">
        <w:rPr>
          <w:rStyle w:val="af6"/>
          <w:rFonts w:eastAsia="Guttman Hodes"/>
          <w:rtl/>
        </w:rPr>
        <w:fldChar w:fldCharType="begin"/>
      </w:r>
      <w:r w:rsidRPr="00182805">
        <w:rPr>
          <w:rStyle w:val="af6"/>
          <w:rFonts w:eastAsia="Guttman Hodes"/>
          <w:rtl/>
        </w:rPr>
        <w:instrText xml:space="preserve"> </w:instrText>
      </w:r>
      <w:r w:rsidRPr="00182805">
        <w:rPr>
          <w:rStyle w:val="af6"/>
          <w:rFonts w:eastAsia="Guttman Hodes" w:hint="cs"/>
        </w:rPr>
        <w:instrText>REF</w:instrText>
      </w:r>
      <w:r w:rsidRPr="00182805">
        <w:rPr>
          <w:rStyle w:val="af6"/>
          <w:rFonts w:eastAsia="Guttman Hodes" w:hint="cs"/>
          <w:rtl/>
        </w:rPr>
        <w:instrText xml:space="preserve"> _</w:instrText>
      </w:r>
      <w:r w:rsidRPr="00182805">
        <w:rPr>
          <w:rStyle w:val="af6"/>
          <w:rFonts w:eastAsia="Guttman Hodes" w:hint="cs"/>
        </w:rPr>
        <w:instrText>Ref24879522 \r \h</w:instrText>
      </w:r>
      <w:r w:rsidRPr="00182805">
        <w:rPr>
          <w:rStyle w:val="af6"/>
          <w:rFonts w:eastAsia="Guttman Hodes"/>
          <w:rtl/>
        </w:rPr>
        <w:instrText xml:space="preserve"> </w:instrText>
      </w:r>
      <w:r w:rsidRPr="00182805">
        <w:rPr>
          <w:rStyle w:val="af6"/>
          <w:rFonts w:eastAsia="Guttman Hodes"/>
          <w:rtl/>
        </w:rPr>
      </w:r>
      <w:r w:rsidRPr="00182805">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182805">
        <w:rPr>
          <w:rStyle w:val="af6"/>
          <w:rFonts w:eastAsia="Guttman Hodes"/>
          <w:rtl/>
        </w:rPr>
        <w:fldChar w:fldCharType="end"/>
      </w:r>
      <w:r>
        <w:rPr>
          <w:rFonts w:hint="cs"/>
          <w:rtl/>
        </w:rPr>
        <w:t xml:space="preserve"> דהוא דרבנן, היינו במין במינו שהתבשל לפני שנודעה התערובת, וכתב </w:t>
      </w:r>
      <w:r w:rsidRPr="00977617">
        <w:rPr>
          <w:rStyle w:val="af8"/>
          <w:rFonts w:hint="cs"/>
          <w:rtl/>
        </w:rPr>
        <w:t>היד יהודה</w:t>
      </w:r>
      <w:r>
        <w:rPr>
          <w:rFonts w:hint="cs"/>
          <w:rtl/>
        </w:rPr>
        <w:t xml:space="preserve"> דבכה"ג פשיטא דהוא דרבנן, דהא במין במינו אף בלח בלח הוא דרבנן, וכתב </w:t>
      </w:r>
      <w:r w:rsidRPr="00182805">
        <w:rPr>
          <w:rStyle w:val="af8"/>
          <w:rFonts w:hint="cs"/>
          <w:rtl/>
        </w:rPr>
        <w:t>היד יהודה</w:t>
      </w:r>
      <w:r>
        <w:rPr>
          <w:rFonts w:hint="cs"/>
          <w:rtl/>
        </w:rPr>
        <w:t xml:space="preserve"> דאדרבה פשטות דברי </w:t>
      </w:r>
      <w:r w:rsidRPr="00182805">
        <w:rPr>
          <w:rStyle w:val="af8"/>
          <w:rFonts w:hint="cs"/>
          <w:rtl/>
        </w:rPr>
        <w:t>הרא"ש והמהר"ם מרוטנבורג בתשו'</w:t>
      </w:r>
      <w:r>
        <w:rPr>
          <w:rFonts w:hint="cs"/>
          <w:rtl/>
        </w:rPr>
        <w:t xml:space="preserve"> </w:t>
      </w:r>
      <w:r w:rsidRPr="00977617">
        <w:rPr>
          <w:rStyle w:val="af6"/>
          <w:rFonts w:eastAsia="Guttman Hodes" w:hint="cs"/>
          <w:rtl/>
        </w:rPr>
        <w:t>(הובא בשו"ת הרשב"א סי' תש"ל)</w:t>
      </w:r>
      <w:r>
        <w:rPr>
          <w:rFonts w:hint="cs"/>
          <w:rtl/>
        </w:rPr>
        <w:t xml:space="preserve"> דהוא מדאו', מהא דהביא </w:t>
      </w:r>
      <w:r w:rsidRPr="00182805">
        <w:rPr>
          <w:rStyle w:val="af8"/>
          <w:rFonts w:hint="cs"/>
          <w:rtl/>
        </w:rPr>
        <w:t>הרא"ש</w:t>
      </w:r>
      <w:r w:rsidRPr="00977617">
        <w:rPr>
          <w:rStyle w:val="af6"/>
          <w:rFonts w:eastAsia="Guttman Hodes" w:hint="cs"/>
          <w:rtl/>
        </w:rPr>
        <w:t xml:space="preserve"> (עי' אות </w:t>
      </w:r>
      <w:r w:rsidRPr="00977617">
        <w:rPr>
          <w:rStyle w:val="af6"/>
          <w:rFonts w:eastAsia="Guttman Hodes"/>
          <w:rtl/>
        </w:rPr>
        <w:fldChar w:fldCharType="begin"/>
      </w:r>
      <w:r w:rsidRPr="00977617">
        <w:rPr>
          <w:rStyle w:val="af6"/>
          <w:rFonts w:eastAsia="Guttman Hodes"/>
          <w:rtl/>
        </w:rPr>
        <w:instrText xml:space="preserve"> </w:instrText>
      </w:r>
      <w:r w:rsidRPr="00977617">
        <w:rPr>
          <w:rStyle w:val="af6"/>
          <w:rFonts w:eastAsia="Guttman Hodes" w:hint="cs"/>
        </w:rPr>
        <w:instrText>REF</w:instrText>
      </w:r>
      <w:r w:rsidRPr="00977617">
        <w:rPr>
          <w:rStyle w:val="af6"/>
          <w:rFonts w:eastAsia="Guttman Hodes" w:hint="cs"/>
          <w:rtl/>
        </w:rPr>
        <w:instrText xml:space="preserve"> _</w:instrText>
      </w:r>
      <w:r w:rsidRPr="00977617">
        <w:rPr>
          <w:rStyle w:val="af6"/>
          <w:rFonts w:eastAsia="Guttman Hodes" w:hint="cs"/>
        </w:rPr>
        <w:instrText>Ref24879763 \r \h</w:instrText>
      </w:r>
      <w:r w:rsidRPr="00977617">
        <w:rPr>
          <w:rStyle w:val="af6"/>
          <w:rFonts w:eastAsia="Guttman Hodes"/>
          <w:rtl/>
        </w:rPr>
        <w:instrText xml:space="preserve"> </w:instrText>
      </w:r>
      <w:r w:rsidRPr="00977617">
        <w:rPr>
          <w:rStyle w:val="af6"/>
          <w:rFonts w:eastAsia="Guttman Hodes"/>
          <w:rtl/>
        </w:rPr>
      </w:r>
      <w:r w:rsidRPr="00977617">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977617">
        <w:rPr>
          <w:rStyle w:val="af6"/>
          <w:rFonts w:eastAsia="Guttman Hodes"/>
          <w:rtl/>
        </w:rPr>
        <w:fldChar w:fldCharType="end"/>
      </w:r>
      <w:r>
        <w:rPr>
          <w:rFonts w:hint="cs"/>
          <w:rtl/>
        </w:rPr>
        <w:t xml:space="preserve"> ראיה מהגמ' בזבחים דאיירי בה בדין דאו'.</w:t>
      </w:r>
      <w:bookmarkEnd w:id="14352"/>
    </w:p>
    <w:p w:rsidR="00F13472" w:rsidRPr="00260F62" w:rsidRDefault="00F13472" w:rsidP="00F13472">
      <w:pPr>
        <w:pStyle w:val="a2"/>
      </w:pPr>
      <w:bookmarkStart w:id="14353" w:name="_Toc24918122"/>
      <w:bookmarkStart w:id="14354" w:name="_Toc24918333"/>
      <w:r>
        <w:rPr>
          <w:rFonts w:hint="cs"/>
          <w:rtl/>
        </w:rPr>
        <w:t>דברי החכמ"א דאין כוונת הרא"ש כמנחת יעקב דכל לא נודע הוא דרבנן דרק במינו הוא דרבנן</w:t>
      </w:r>
      <w:bookmarkEnd w:id="14353"/>
      <w:bookmarkEnd w:id="14354"/>
    </w:p>
    <w:p w:rsidR="00F13472" w:rsidRDefault="00F13472" w:rsidP="009F44AF">
      <w:pPr>
        <w:pStyle w:val="a"/>
        <w:rPr>
          <w:rtl/>
        </w:rPr>
      </w:pPr>
      <w:r>
        <w:rPr>
          <w:rFonts w:hint="cs"/>
          <w:rtl/>
        </w:rPr>
        <w:t xml:space="preserve"> </w:t>
      </w:r>
      <w:bookmarkStart w:id="14355" w:name="_Ref24879582"/>
      <w:r>
        <w:rPr>
          <w:rFonts w:hint="cs"/>
          <w:rtl/>
        </w:rPr>
        <w:t xml:space="preserve">וכ"כ </w:t>
      </w:r>
      <w:r w:rsidRPr="00182805">
        <w:rPr>
          <w:rStyle w:val="af8"/>
          <w:rFonts w:hint="cs"/>
          <w:rtl/>
        </w:rPr>
        <w:t>החכמ"א</w:t>
      </w:r>
      <w:r>
        <w:rPr>
          <w:rFonts w:hint="cs"/>
          <w:rtl/>
        </w:rPr>
        <w:t xml:space="preserve"> </w:t>
      </w:r>
      <w:r w:rsidRPr="00977617">
        <w:rPr>
          <w:rStyle w:val="af6"/>
          <w:rFonts w:eastAsia="Guttman Hodes" w:hint="cs"/>
          <w:rtl/>
        </w:rPr>
        <w:t>(איסור והיתר כלל נ"א י"ח)</w:t>
      </w:r>
      <w:r>
        <w:rPr>
          <w:rFonts w:hint="cs"/>
          <w:rtl/>
        </w:rPr>
        <w:t xml:space="preserve"> דאין כוונת </w:t>
      </w:r>
      <w:r w:rsidRPr="00182805">
        <w:rPr>
          <w:rStyle w:val="af8"/>
          <w:rFonts w:hint="cs"/>
          <w:rtl/>
        </w:rPr>
        <w:t>הרא"ש</w:t>
      </w:r>
      <w:r w:rsidRPr="00182805">
        <w:rPr>
          <w:rFonts w:hint="cs"/>
          <w:rtl/>
        </w:rPr>
        <w:t xml:space="preserve"> </w:t>
      </w:r>
      <w:r w:rsidRPr="00182805">
        <w:rPr>
          <w:rStyle w:val="af6"/>
          <w:rFonts w:eastAsia="Guttman Hodes" w:hint="cs"/>
          <w:rtl/>
        </w:rPr>
        <w:t xml:space="preserve">(עי' אות </w:t>
      </w:r>
      <w:r w:rsidRPr="00182805">
        <w:rPr>
          <w:rStyle w:val="af6"/>
          <w:rFonts w:eastAsia="Guttman Hodes"/>
          <w:rtl/>
        </w:rPr>
        <w:fldChar w:fldCharType="begin"/>
      </w:r>
      <w:r w:rsidRPr="00182805">
        <w:rPr>
          <w:rStyle w:val="af6"/>
          <w:rFonts w:eastAsia="Guttman Hodes"/>
          <w:rtl/>
        </w:rPr>
        <w:instrText xml:space="preserve"> </w:instrText>
      </w:r>
      <w:r w:rsidRPr="00182805">
        <w:rPr>
          <w:rStyle w:val="af6"/>
          <w:rFonts w:eastAsia="Guttman Hodes" w:hint="cs"/>
        </w:rPr>
        <w:instrText>REF</w:instrText>
      </w:r>
      <w:r w:rsidRPr="00182805">
        <w:rPr>
          <w:rStyle w:val="af6"/>
          <w:rFonts w:eastAsia="Guttman Hodes" w:hint="cs"/>
          <w:rtl/>
        </w:rPr>
        <w:instrText xml:space="preserve"> _</w:instrText>
      </w:r>
      <w:r w:rsidRPr="00182805">
        <w:rPr>
          <w:rStyle w:val="af6"/>
          <w:rFonts w:eastAsia="Guttman Hodes" w:hint="cs"/>
        </w:rPr>
        <w:instrText>Ref24879522 \r \h</w:instrText>
      </w:r>
      <w:r w:rsidRPr="00182805">
        <w:rPr>
          <w:rStyle w:val="af6"/>
          <w:rFonts w:eastAsia="Guttman Hodes"/>
          <w:rtl/>
        </w:rPr>
        <w:instrText xml:space="preserve"> </w:instrText>
      </w:r>
      <w:r w:rsidRPr="00182805">
        <w:rPr>
          <w:rStyle w:val="af6"/>
          <w:rFonts w:eastAsia="Guttman Hodes"/>
          <w:rtl/>
        </w:rPr>
      </w:r>
      <w:r w:rsidRPr="00182805">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182805">
        <w:rPr>
          <w:rStyle w:val="af6"/>
          <w:rFonts w:eastAsia="Guttman Hodes"/>
          <w:rtl/>
        </w:rPr>
        <w:fldChar w:fldCharType="end"/>
      </w:r>
      <w:r>
        <w:rPr>
          <w:rFonts w:hint="cs"/>
          <w:rtl/>
        </w:rPr>
        <w:t xml:space="preserve"> לומר דהוא דרבנן, </w:t>
      </w:r>
      <w:r w:rsidRPr="00496AD3">
        <w:rPr>
          <w:rStyle w:val="af8"/>
          <w:rFonts w:hint="cs"/>
          <w:rtl/>
        </w:rPr>
        <w:t>ד</w:t>
      </w:r>
      <w:r w:rsidRPr="00182805">
        <w:rPr>
          <w:rStyle w:val="af8"/>
          <w:rFonts w:hint="cs"/>
          <w:rtl/>
        </w:rPr>
        <w:t>המנחת יעקב</w:t>
      </w:r>
      <w:r>
        <w:rPr>
          <w:rFonts w:hint="cs"/>
          <w:rtl/>
        </w:rPr>
        <w:t xml:space="preserve"> </w:t>
      </w:r>
      <w:r w:rsidRPr="00977617">
        <w:rPr>
          <w:rStyle w:val="af6"/>
          <w:rFonts w:eastAsia="Guttman Hodes" w:hint="cs"/>
          <w:rtl/>
        </w:rPr>
        <w:t xml:space="preserve">(עי' אות </w:t>
      </w:r>
      <w:r w:rsidRPr="00977617">
        <w:rPr>
          <w:rStyle w:val="af6"/>
          <w:rFonts w:eastAsia="Guttman Hodes"/>
          <w:rtl/>
        </w:rPr>
        <w:fldChar w:fldCharType="begin"/>
      </w:r>
      <w:r w:rsidRPr="00977617">
        <w:rPr>
          <w:rStyle w:val="af6"/>
          <w:rFonts w:eastAsia="Guttman Hodes"/>
          <w:rtl/>
        </w:rPr>
        <w:instrText xml:space="preserve"> </w:instrText>
      </w:r>
      <w:r w:rsidRPr="00977617">
        <w:rPr>
          <w:rStyle w:val="af6"/>
          <w:rFonts w:eastAsia="Guttman Hodes" w:hint="cs"/>
        </w:rPr>
        <w:instrText>REF</w:instrText>
      </w:r>
      <w:r w:rsidRPr="00977617">
        <w:rPr>
          <w:rStyle w:val="af6"/>
          <w:rFonts w:eastAsia="Guttman Hodes" w:hint="cs"/>
          <w:rtl/>
        </w:rPr>
        <w:instrText xml:space="preserve"> _</w:instrText>
      </w:r>
      <w:r w:rsidRPr="00977617">
        <w:rPr>
          <w:rStyle w:val="af6"/>
          <w:rFonts w:eastAsia="Guttman Hodes" w:hint="cs"/>
        </w:rPr>
        <w:instrText>Ref24838851 \r \h</w:instrText>
      </w:r>
      <w:r w:rsidRPr="00977617">
        <w:rPr>
          <w:rStyle w:val="af6"/>
          <w:rFonts w:eastAsia="Guttman Hodes"/>
          <w:rtl/>
        </w:rPr>
        <w:instrText xml:space="preserve"> </w:instrText>
      </w:r>
      <w:r w:rsidRPr="00977617">
        <w:rPr>
          <w:rStyle w:val="af6"/>
          <w:rFonts w:eastAsia="Guttman Hodes"/>
          <w:rtl/>
        </w:rPr>
      </w:r>
      <w:r w:rsidRPr="00977617">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977617">
        <w:rPr>
          <w:rStyle w:val="af6"/>
          <w:rFonts w:eastAsia="Guttman Hodes"/>
          <w:rtl/>
        </w:rPr>
        <w:fldChar w:fldCharType="end"/>
      </w:r>
      <w:r>
        <w:rPr>
          <w:rFonts w:hint="cs"/>
          <w:rtl/>
        </w:rPr>
        <w:t xml:space="preserve"> ביאר את מ"ש </w:t>
      </w:r>
      <w:r w:rsidRPr="00182805">
        <w:rPr>
          <w:rStyle w:val="af8"/>
          <w:rFonts w:hint="cs"/>
          <w:rtl/>
        </w:rPr>
        <w:t>הרא"ש</w:t>
      </w:r>
      <w:r>
        <w:rPr>
          <w:rFonts w:hint="cs"/>
          <w:rtl/>
        </w:rPr>
        <w:t xml:space="preserve"> דמדרבנן החמירו על מין במינו שהתבשל קודם שנודע להצריך שישים, דכוונת </w:t>
      </w:r>
      <w:r w:rsidRPr="00182805">
        <w:rPr>
          <w:rStyle w:val="af8"/>
          <w:rFonts w:hint="cs"/>
          <w:rtl/>
        </w:rPr>
        <w:t>הרא"ש</w:t>
      </w:r>
      <w:r>
        <w:rPr>
          <w:rFonts w:hint="cs"/>
          <w:rtl/>
        </w:rPr>
        <w:t xml:space="preserve"> לומר דאם לא נודעה התערובת, רק מדרבנן צריך שישים, אך דחה </w:t>
      </w:r>
      <w:r w:rsidRPr="00182805">
        <w:rPr>
          <w:rStyle w:val="af8"/>
          <w:rFonts w:hint="cs"/>
          <w:rtl/>
        </w:rPr>
        <w:t>החכמ"א</w:t>
      </w:r>
      <w:r>
        <w:rPr>
          <w:rFonts w:hint="cs"/>
          <w:rtl/>
        </w:rPr>
        <w:t xml:space="preserve"> דכוונת </w:t>
      </w:r>
      <w:r w:rsidRPr="00182805">
        <w:rPr>
          <w:rStyle w:val="af8"/>
          <w:rFonts w:hint="cs"/>
          <w:rtl/>
        </w:rPr>
        <w:t>הרא"ש</w:t>
      </w:r>
      <w:r>
        <w:rPr>
          <w:rFonts w:hint="cs"/>
          <w:rtl/>
        </w:rPr>
        <w:t xml:space="preserve"> לומר דכל דין שישים הוא דרבנן, ואין כוונתו לומר דבלא נודעה התערובת אסור רק מדרבנן.</w:t>
      </w:r>
      <w:bookmarkEnd w:id="14355"/>
    </w:p>
    <w:p w:rsidR="00F13472" w:rsidRDefault="00F13472" w:rsidP="00F13472">
      <w:pPr>
        <w:pStyle w:val="1"/>
        <w:rPr>
          <w:rtl/>
        </w:rPr>
      </w:pPr>
      <w:bookmarkStart w:id="14356" w:name="_Toc24576860"/>
      <w:bookmarkStart w:id="14357" w:name="_Toc24709435"/>
      <w:bookmarkStart w:id="14358" w:name="_Toc24839046"/>
      <w:bookmarkStart w:id="14359" w:name="_Toc24918123"/>
      <w:bookmarkStart w:id="14360" w:name="_Toc24918334"/>
      <w:bookmarkStart w:id="14361" w:name="_Toc24403388"/>
      <w:bookmarkStart w:id="14362" w:name="_Toc24455855"/>
      <w:bookmarkStart w:id="14363" w:name="_Toc24576841"/>
      <w:bookmarkStart w:id="14364" w:name="_Toc24709416"/>
      <w:bookmarkStart w:id="14365" w:name="_Toc24839027"/>
      <w:bookmarkEnd w:id="14346"/>
      <w:bookmarkEnd w:id="14347"/>
      <w:bookmarkEnd w:id="14348"/>
      <w:bookmarkEnd w:id="14349"/>
      <w:r>
        <w:rPr>
          <w:rFonts w:hint="cs"/>
          <w:rtl/>
        </w:rPr>
        <w:t>דברי הנפש חיה דדין נודעה התערובת הוא רק ביבש ולא בלח</w:t>
      </w:r>
      <w:bookmarkEnd w:id="14356"/>
      <w:bookmarkEnd w:id="14357"/>
      <w:bookmarkEnd w:id="14358"/>
      <w:bookmarkEnd w:id="14359"/>
      <w:bookmarkEnd w:id="14360"/>
    </w:p>
    <w:p w:rsidR="00F13472" w:rsidRDefault="00F13472" w:rsidP="00F13472">
      <w:pPr>
        <w:pStyle w:val="a2"/>
      </w:pPr>
      <w:bookmarkStart w:id="14366" w:name="_Toc24918124"/>
      <w:bookmarkStart w:id="14367" w:name="_Toc24918335"/>
      <w:r>
        <w:rPr>
          <w:rFonts w:hint="cs"/>
          <w:rtl/>
        </w:rPr>
        <w:t>דברי הנפש חיה דביבש שההיתר הוא על כל חתיכה ואח"כ על כל התערובת הוא דוקא בנודעה</w:t>
      </w:r>
      <w:bookmarkEnd w:id="14366"/>
      <w:bookmarkEnd w:id="14367"/>
    </w:p>
    <w:p w:rsidR="00F13472" w:rsidRDefault="00F13472" w:rsidP="009F44AF">
      <w:pPr>
        <w:pStyle w:val="a"/>
        <w:rPr>
          <w:rtl/>
        </w:rPr>
      </w:pPr>
      <w:r>
        <w:rPr>
          <w:rFonts w:hint="cs"/>
          <w:rtl/>
        </w:rPr>
        <w:t xml:space="preserve">כתב </w:t>
      </w:r>
      <w:r w:rsidRPr="00735F34">
        <w:rPr>
          <w:rStyle w:val="af8"/>
          <w:rFonts w:hint="cs"/>
          <w:rtl/>
        </w:rPr>
        <w:t>הנפש חיה</w:t>
      </w:r>
      <w:r>
        <w:rPr>
          <w:rFonts w:hint="cs"/>
          <w:rtl/>
        </w:rPr>
        <w:t xml:space="preserve"> </w:t>
      </w:r>
      <w:r w:rsidRPr="00735F34">
        <w:rPr>
          <w:rStyle w:val="af6"/>
          <w:rFonts w:eastAsia="Guttman Hodes" w:hint="cs"/>
          <w:rtl/>
        </w:rPr>
        <w:t xml:space="preserve">(יו"ד סי' י"ח ד"ה ומש"ה) </w:t>
      </w:r>
      <w:r w:rsidRPr="00735F34">
        <w:rPr>
          <w:rFonts w:hint="cs"/>
          <w:rtl/>
        </w:rPr>
        <w:t>דכ"מ</w:t>
      </w:r>
      <w:r>
        <w:rPr>
          <w:rFonts w:hint="cs"/>
          <w:rtl/>
        </w:rPr>
        <w:t xml:space="preserve"> דחילק </w:t>
      </w:r>
      <w:r w:rsidRPr="00735F34">
        <w:rPr>
          <w:rStyle w:val="af8"/>
          <w:rFonts w:hint="cs"/>
          <w:rtl/>
        </w:rPr>
        <w:t>הרא"ש</w:t>
      </w:r>
      <w:r>
        <w:rPr>
          <w:rFonts w:hint="cs"/>
          <w:rtl/>
        </w:rPr>
        <w:t xml:space="preserve"> </w:t>
      </w:r>
      <w:r w:rsidRPr="00735F34">
        <w:rPr>
          <w:rStyle w:val="af6"/>
          <w:rFonts w:eastAsia="Guttman Hodes" w:hint="cs"/>
          <w:rtl/>
        </w:rPr>
        <w:t xml:space="preserve">(עי' אות </w:t>
      </w:r>
      <w:r w:rsidRPr="00735F34">
        <w:rPr>
          <w:rStyle w:val="af6"/>
          <w:rFonts w:eastAsia="Guttman Hodes"/>
          <w:rtl/>
        </w:rPr>
        <w:fldChar w:fldCharType="begin"/>
      </w:r>
      <w:r w:rsidRPr="00735F34">
        <w:rPr>
          <w:rStyle w:val="af6"/>
          <w:rFonts w:eastAsia="Guttman Hodes"/>
          <w:rtl/>
        </w:rPr>
        <w:instrText xml:space="preserve"> </w:instrText>
      </w:r>
      <w:r w:rsidRPr="00735F34">
        <w:rPr>
          <w:rStyle w:val="af6"/>
          <w:rFonts w:eastAsia="Guttman Hodes" w:hint="cs"/>
        </w:rPr>
        <w:instrText>REF</w:instrText>
      </w:r>
      <w:r w:rsidRPr="00735F34">
        <w:rPr>
          <w:rStyle w:val="af6"/>
          <w:rFonts w:eastAsia="Guttman Hodes" w:hint="cs"/>
          <w:rtl/>
        </w:rPr>
        <w:instrText xml:space="preserve"> _</w:instrText>
      </w:r>
      <w:r w:rsidRPr="00735F34">
        <w:rPr>
          <w:rStyle w:val="af6"/>
          <w:rFonts w:eastAsia="Guttman Hodes" w:hint="cs"/>
        </w:rPr>
        <w:instrText>Ref24879522 \r \h</w:instrText>
      </w:r>
      <w:r w:rsidRPr="00735F34">
        <w:rPr>
          <w:rStyle w:val="af6"/>
          <w:rFonts w:eastAsia="Guttman Hodes"/>
          <w:rtl/>
        </w:rPr>
        <w:instrText xml:space="preserve"> </w:instrText>
      </w:r>
      <w:r w:rsidRPr="00735F34">
        <w:rPr>
          <w:rStyle w:val="af6"/>
          <w:rFonts w:eastAsia="Guttman Hodes"/>
          <w:rtl/>
        </w:rPr>
      </w:r>
      <w:r w:rsidRPr="00735F34">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735F34">
        <w:rPr>
          <w:rStyle w:val="af6"/>
          <w:rFonts w:eastAsia="Guttman Hodes"/>
          <w:rtl/>
        </w:rPr>
        <w:fldChar w:fldCharType="end"/>
      </w:r>
      <w:r>
        <w:rPr>
          <w:rFonts w:hint="cs"/>
          <w:rtl/>
        </w:rPr>
        <w:t xml:space="preserve"> בין אם נודעה התערובת ללא נודעה התערובת, היינו דוקא בדבר יבש, דהאיסור בפנ"ע עומד באיסורו, רק דכיון שאינו ניכר יכול לאכול כל חתיכה ולומר שהיא המותרת, </w:t>
      </w:r>
      <w:r w:rsidRPr="007F5C74">
        <w:rPr>
          <w:rStyle w:val="afa"/>
          <w:rFonts w:hint="cs"/>
          <w:rtl/>
        </w:rPr>
        <w:t xml:space="preserve">[וכדכתב </w:t>
      </w:r>
      <w:r w:rsidRPr="007F5C74">
        <w:rPr>
          <w:rStyle w:val="affa"/>
          <w:rFonts w:hint="cs"/>
          <w:rtl/>
        </w:rPr>
        <w:t>הרשב"א</w:t>
      </w:r>
      <w:r>
        <w:rPr>
          <w:rStyle w:val="affa"/>
          <w:rFonts w:hint="cs"/>
          <w:rtl/>
        </w:rPr>
        <w:t xml:space="preserve"> לעיל</w:t>
      </w:r>
      <w:r w:rsidRPr="007F5C74">
        <w:rPr>
          <w:rStyle w:val="affa"/>
          <w:rFonts w:hint="cs"/>
          <w:rtl/>
        </w:rPr>
        <w:t xml:space="preserve"> </w:t>
      </w:r>
      <w:r w:rsidRPr="007F5C74">
        <w:rPr>
          <w:rStyle w:val="aff6"/>
          <w:rFonts w:hint="cs"/>
          <w:rtl/>
        </w:rPr>
        <w:t>(צח: ד"ה וקשיא, הובא בסימן ח' אות ס"ט)</w:t>
      </w:r>
      <w:r w:rsidRPr="007F5C74">
        <w:rPr>
          <w:rStyle w:val="afa"/>
          <w:rFonts w:hint="cs"/>
          <w:rtl/>
        </w:rPr>
        <w:t xml:space="preserve"> דבכל מין בשאינו מינו צריך שישים, כיון שהאיסור ניכר ע"י הטעם ואינו מתבטל],</w:t>
      </w:r>
      <w:r>
        <w:rPr>
          <w:rFonts w:hint="cs"/>
          <w:rtl/>
        </w:rPr>
        <w:t xml:space="preserve"> וכתב </w:t>
      </w:r>
      <w:r w:rsidRPr="00735F34">
        <w:rPr>
          <w:rStyle w:val="af8"/>
          <w:rFonts w:hint="cs"/>
          <w:rtl/>
        </w:rPr>
        <w:t>הנפש חיה</w:t>
      </w:r>
      <w:r>
        <w:rPr>
          <w:rFonts w:hint="cs"/>
          <w:rtl/>
        </w:rPr>
        <w:t xml:space="preserve"> דאחר שכל חתיכה מותרת בפנ"ע, מדין אחרי רבים להטות, ממילא הכל מותר לגמרי כדברי </w:t>
      </w:r>
      <w:r w:rsidRPr="00735F34">
        <w:rPr>
          <w:rStyle w:val="af8"/>
          <w:rFonts w:hint="cs"/>
          <w:rtl/>
        </w:rPr>
        <w:t>הרא"ש</w:t>
      </w:r>
      <w:r>
        <w:rPr>
          <w:rFonts w:hint="cs"/>
          <w:rtl/>
        </w:rPr>
        <w:t xml:space="preserve"> </w:t>
      </w:r>
      <w:r w:rsidRPr="00735F34">
        <w:rPr>
          <w:rStyle w:val="af6"/>
          <w:rFonts w:eastAsia="Guttman Hodes" w:hint="cs"/>
          <w:rtl/>
        </w:rPr>
        <w:t xml:space="preserve">(עי' אות </w:t>
      </w:r>
      <w:r w:rsidRPr="00735F34">
        <w:rPr>
          <w:rStyle w:val="af6"/>
          <w:rFonts w:eastAsia="Guttman Hodes"/>
          <w:rtl/>
        </w:rPr>
        <w:fldChar w:fldCharType="begin"/>
      </w:r>
      <w:r w:rsidRPr="00735F34">
        <w:rPr>
          <w:rStyle w:val="af6"/>
          <w:rFonts w:eastAsia="Guttman Hodes"/>
          <w:rtl/>
        </w:rPr>
        <w:instrText xml:space="preserve"> </w:instrText>
      </w:r>
      <w:r w:rsidRPr="00735F34">
        <w:rPr>
          <w:rStyle w:val="af6"/>
          <w:rFonts w:eastAsia="Guttman Hodes" w:hint="cs"/>
        </w:rPr>
        <w:instrText>REF</w:instrText>
      </w:r>
      <w:r w:rsidRPr="00735F34">
        <w:rPr>
          <w:rStyle w:val="af6"/>
          <w:rFonts w:eastAsia="Guttman Hodes" w:hint="cs"/>
          <w:rtl/>
        </w:rPr>
        <w:instrText xml:space="preserve"> _</w:instrText>
      </w:r>
      <w:r w:rsidRPr="00735F34">
        <w:rPr>
          <w:rStyle w:val="af6"/>
          <w:rFonts w:eastAsia="Guttman Hodes" w:hint="cs"/>
        </w:rPr>
        <w:instrText>Ref24564844 \r \h</w:instrText>
      </w:r>
      <w:r w:rsidRPr="00735F34">
        <w:rPr>
          <w:rStyle w:val="af6"/>
          <w:rFonts w:eastAsia="Guttman Hodes"/>
          <w:rtl/>
        </w:rPr>
        <w:instrText xml:space="preserve"> </w:instrText>
      </w:r>
      <w:r w:rsidRPr="00735F34">
        <w:rPr>
          <w:rStyle w:val="af6"/>
          <w:rFonts w:eastAsia="Guttman Hodes"/>
          <w:rtl/>
        </w:rPr>
      </w:r>
      <w:r w:rsidRPr="00735F34">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735F34">
        <w:rPr>
          <w:rStyle w:val="af6"/>
          <w:rFonts w:eastAsia="Guttman Hodes"/>
          <w:rtl/>
        </w:rPr>
        <w:fldChar w:fldCharType="end"/>
      </w:r>
      <w:r>
        <w:rPr>
          <w:rFonts w:hint="cs"/>
          <w:rtl/>
        </w:rPr>
        <w:t xml:space="preserve"> דמותר לאכול את כל התערובת בבת אחת, והיתר זה שייך רק באופן שנודעה התערובת, שהיה לכל חתיכה היתר בפנ"ע.</w:t>
      </w:r>
    </w:p>
    <w:p w:rsidR="00F13472" w:rsidRDefault="00F13472" w:rsidP="00F13472">
      <w:pPr>
        <w:pStyle w:val="a2"/>
        <w:rPr>
          <w:rtl/>
        </w:rPr>
      </w:pPr>
      <w:bookmarkStart w:id="14368" w:name="_Toc24918125"/>
      <w:bookmarkStart w:id="14369" w:name="_Toc24918336"/>
      <w:r>
        <w:rPr>
          <w:rFonts w:hint="cs"/>
          <w:rtl/>
        </w:rPr>
        <w:t>דברי הנפש חיה דביבש בלא נודעה התערובת לא הותרה כל חתיכה בפנ"ע ולא הותר הכל</w:t>
      </w:r>
      <w:bookmarkEnd w:id="14368"/>
      <w:bookmarkEnd w:id="14369"/>
    </w:p>
    <w:p w:rsidR="00F13472" w:rsidRDefault="00F13472" w:rsidP="009F44AF">
      <w:pPr>
        <w:pStyle w:val="a"/>
        <w:rPr>
          <w:rtl/>
        </w:rPr>
      </w:pPr>
      <w:r>
        <w:rPr>
          <w:rFonts w:hint="cs"/>
          <w:rtl/>
        </w:rPr>
        <w:t xml:space="preserve">אבל בלא נודעה התעורבת, כתב </w:t>
      </w:r>
      <w:r w:rsidRPr="00735F34">
        <w:rPr>
          <w:rStyle w:val="af8"/>
          <w:rFonts w:hint="cs"/>
          <w:rtl/>
        </w:rPr>
        <w:t>הנפש חיה</w:t>
      </w:r>
      <w:r>
        <w:rPr>
          <w:rFonts w:hint="cs"/>
          <w:rtl/>
        </w:rPr>
        <w:t xml:space="preserve"> דכיון שלא היה היתר על כל חתיכה בפנ"ע, א"כ לא היה היתר על כל התערובת, דעצם הידיעה שכל חתיכה מותרת, היא הגורמת את ההיתר בכל התערובת, וא"כ כשלא נודעה התערובת לא נגרם היתר על כל התערובת, ולכן ס"ל להרא"ש דאסור בחזר ובישלו.</w:t>
      </w:r>
    </w:p>
    <w:p w:rsidR="00F13472" w:rsidRDefault="00F13472" w:rsidP="00F13472">
      <w:pPr>
        <w:pStyle w:val="a2"/>
        <w:rPr>
          <w:rtl/>
        </w:rPr>
      </w:pPr>
      <w:bookmarkStart w:id="14370" w:name="_Toc24918126"/>
      <w:bookmarkStart w:id="14371" w:name="_Toc24918337"/>
      <w:r>
        <w:rPr>
          <w:rFonts w:hint="cs"/>
          <w:rtl/>
        </w:rPr>
        <w:t>דברי הנפש חיה דבלח שבמציאות האיסור בלול בהיתר אף בלא נודעה התערובת האיסור בטל</w:t>
      </w:r>
      <w:bookmarkEnd w:id="14370"/>
      <w:bookmarkEnd w:id="14371"/>
    </w:p>
    <w:p w:rsidR="00F13472" w:rsidRDefault="00F13472" w:rsidP="009F44AF">
      <w:pPr>
        <w:pStyle w:val="a"/>
        <w:rPr>
          <w:rtl/>
        </w:rPr>
      </w:pPr>
      <w:bookmarkStart w:id="14372" w:name="_Ref24911310"/>
      <w:r>
        <w:rPr>
          <w:rFonts w:hint="cs"/>
          <w:rtl/>
        </w:rPr>
        <w:t xml:space="preserve">אך כתב </w:t>
      </w:r>
      <w:r w:rsidRPr="00866A4F">
        <w:rPr>
          <w:rStyle w:val="af8"/>
          <w:rFonts w:hint="cs"/>
          <w:rtl/>
        </w:rPr>
        <w:t>הנפש חיה</w:t>
      </w:r>
      <w:r>
        <w:rPr>
          <w:rFonts w:hint="cs"/>
          <w:rtl/>
        </w:rPr>
        <w:t xml:space="preserve"> </w:t>
      </w:r>
      <w:r w:rsidRPr="003F11B4">
        <w:rPr>
          <w:rStyle w:val="af6"/>
          <w:rFonts w:eastAsia="Guttman Hodes" w:hint="cs"/>
          <w:rtl/>
        </w:rPr>
        <w:t>(יו"ד סי' י"ח ד"ה אבל בלח)</w:t>
      </w:r>
      <w:r>
        <w:rPr>
          <w:rFonts w:hint="cs"/>
          <w:rtl/>
        </w:rPr>
        <w:t xml:space="preserve"> דבלח בלח לא שייך החילוק בין נודעה התערובת ללא נודעה, כיון שבלח בלח ההיתר בכל התערובת אינו מחמת הידיעה שהיא גורמת היתר, אלא הביטול </w:t>
      </w:r>
      <w:r>
        <w:rPr>
          <w:rFonts w:hint="cs"/>
          <w:rtl/>
        </w:rPr>
        <w:lastRenderedPageBreak/>
        <w:t>ברוב הוא מחמת המציאות שהאיסור בלול בתוך ההיתר, וחשיב שאין כאן איסור כלל, וכאילו נאבד בתוכו, וא"כ אף כשלא נודעה התערובת, מ"מ מהני ביטול לגמרי בלח בלח.</w:t>
      </w:r>
      <w:bookmarkEnd w:id="14372"/>
      <w:r>
        <w:rPr>
          <w:rFonts w:hint="cs"/>
          <w:rtl/>
        </w:rPr>
        <w:t xml:space="preserve"> [אמנם יעוי' בדברי </w:t>
      </w:r>
      <w:r w:rsidRPr="0095799A">
        <w:rPr>
          <w:rStyle w:val="af8"/>
          <w:rFonts w:hint="cs"/>
          <w:rtl/>
        </w:rPr>
        <w:t>השער"י</w:t>
      </w:r>
      <w:r>
        <w:rPr>
          <w:rFonts w:hint="cs"/>
          <w:rtl/>
        </w:rPr>
        <w:t xml:space="preserve"> </w:t>
      </w:r>
      <w:r w:rsidRPr="004706CC">
        <w:rPr>
          <w:rStyle w:val="af6"/>
          <w:rFonts w:eastAsia="Guttman Hodes" w:hint="cs"/>
          <w:rtl/>
        </w:rPr>
        <w:t xml:space="preserve">(עי' אות </w:t>
      </w:r>
      <w:r w:rsidRPr="004706CC">
        <w:rPr>
          <w:rStyle w:val="af6"/>
          <w:rFonts w:eastAsia="Guttman Hodes"/>
          <w:rtl/>
        </w:rPr>
        <w:fldChar w:fldCharType="begin"/>
      </w:r>
      <w:r w:rsidRPr="004706CC">
        <w:rPr>
          <w:rStyle w:val="af6"/>
          <w:rFonts w:eastAsia="Guttman Hodes"/>
          <w:rtl/>
        </w:rPr>
        <w:instrText xml:space="preserve"> </w:instrText>
      </w:r>
      <w:r w:rsidRPr="004706CC">
        <w:rPr>
          <w:rStyle w:val="af6"/>
          <w:rFonts w:eastAsia="Guttman Hodes" w:hint="cs"/>
        </w:rPr>
        <w:instrText>REF</w:instrText>
      </w:r>
      <w:r w:rsidRPr="004706CC">
        <w:rPr>
          <w:rStyle w:val="af6"/>
          <w:rFonts w:eastAsia="Guttman Hodes" w:hint="cs"/>
          <w:rtl/>
        </w:rPr>
        <w:instrText xml:space="preserve"> _</w:instrText>
      </w:r>
      <w:r w:rsidRPr="004706CC">
        <w:rPr>
          <w:rStyle w:val="af6"/>
          <w:rFonts w:eastAsia="Guttman Hodes" w:hint="cs"/>
        </w:rPr>
        <w:instrText>Ref24911365 \r \h</w:instrText>
      </w:r>
      <w:r w:rsidRPr="004706CC">
        <w:rPr>
          <w:rStyle w:val="af6"/>
          <w:rFonts w:eastAsia="Guttman Hodes"/>
          <w:rtl/>
        </w:rPr>
        <w:instrText xml:space="preserve"> </w:instrText>
      </w:r>
      <w:r w:rsidRPr="004706CC">
        <w:rPr>
          <w:rStyle w:val="af6"/>
          <w:rFonts w:eastAsia="Guttman Hodes"/>
          <w:rtl/>
        </w:rPr>
      </w:r>
      <w:r w:rsidRPr="004706CC">
        <w:rPr>
          <w:rStyle w:val="af6"/>
          <w:rFonts w:eastAsia="Guttman Hodes"/>
          <w:rtl/>
        </w:rPr>
        <w:fldChar w:fldCharType="separate"/>
      </w:r>
      <w:r w:rsidR="004D1C5B">
        <w:rPr>
          <w:rStyle w:val="af6"/>
          <w:rFonts w:eastAsia="Guttman Hodes"/>
          <w:cs/>
        </w:rPr>
        <w:t>‎</w:t>
      </w:r>
      <w:r w:rsidR="004D1C5B">
        <w:rPr>
          <w:rStyle w:val="af6"/>
          <w:rFonts w:eastAsia="Guttman Hodes"/>
          <w:rtl/>
        </w:rPr>
        <w:t>קכ)</w:t>
      </w:r>
      <w:r w:rsidRPr="004706CC">
        <w:rPr>
          <w:rStyle w:val="af6"/>
          <w:rFonts w:eastAsia="Guttman Hodes"/>
          <w:rtl/>
        </w:rPr>
        <w:fldChar w:fldCharType="end"/>
      </w:r>
      <w:r>
        <w:rPr>
          <w:rFonts w:hint="cs"/>
          <w:rtl/>
        </w:rPr>
        <w:t xml:space="preserve"> דכתב </w:t>
      </w:r>
      <w:r w:rsidRPr="0095799A">
        <w:rPr>
          <w:rStyle w:val="af8"/>
          <w:rFonts w:hint="cs"/>
          <w:rtl/>
        </w:rPr>
        <w:t>דהראשונים</w:t>
      </w:r>
      <w:r>
        <w:rPr>
          <w:rFonts w:hint="cs"/>
          <w:rtl/>
        </w:rPr>
        <w:t xml:space="preserve"> לא חילקו בנודעה התערובת בין יבש לבין לח].</w:t>
      </w:r>
    </w:p>
    <w:p w:rsidR="00F13472" w:rsidRDefault="00F13472" w:rsidP="00F13472">
      <w:pPr>
        <w:pStyle w:val="afd"/>
        <w:rPr>
          <w:rtl/>
        </w:rPr>
      </w:pPr>
      <w:bookmarkStart w:id="14373" w:name="_Toc24403399"/>
      <w:bookmarkStart w:id="14374" w:name="_Toc24455866"/>
      <w:bookmarkStart w:id="14375" w:name="_Toc24576855"/>
      <w:bookmarkStart w:id="14376" w:name="_Toc24709430"/>
      <w:bookmarkStart w:id="14377" w:name="_Toc24839041"/>
      <w:bookmarkStart w:id="14378" w:name="_Toc24918127"/>
      <w:bookmarkStart w:id="14379" w:name="_Toc24918338"/>
      <w:bookmarkEnd w:id="14361"/>
      <w:bookmarkEnd w:id="14362"/>
      <w:bookmarkEnd w:id="14363"/>
      <w:bookmarkEnd w:id="14364"/>
      <w:bookmarkEnd w:id="14365"/>
      <w:r>
        <w:rPr>
          <w:rFonts w:hint="cs"/>
          <w:rtl/>
        </w:rPr>
        <w:t>במין בשאינו מינו שחזר ובישלו</w:t>
      </w:r>
      <w:bookmarkEnd w:id="14373"/>
      <w:bookmarkEnd w:id="14374"/>
      <w:bookmarkEnd w:id="14375"/>
      <w:bookmarkEnd w:id="14376"/>
      <w:bookmarkEnd w:id="14377"/>
      <w:bookmarkEnd w:id="14378"/>
      <w:bookmarkEnd w:id="14379"/>
    </w:p>
    <w:p w:rsidR="00F13472" w:rsidRDefault="00F13472" w:rsidP="00F13472">
      <w:pPr>
        <w:pStyle w:val="1"/>
        <w:rPr>
          <w:rtl/>
        </w:rPr>
      </w:pPr>
      <w:bookmarkStart w:id="14380" w:name="_Toc24576856"/>
      <w:bookmarkStart w:id="14381" w:name="_Toc24709431"/>
      <w:bookmarkStart w:id="14382" w:name="_Toc24839042"/>
      <w:bookmarkStart w:id="14383" w:name="_Toc24918128"/>
      <w:bookmarkStart w:id="14384" w:name="_Toc24918339"/>
      <w:r>
        <w:rPr>
          <w:rFonts w:hint="cs"/>
          <w:rtl/>
        </w:rPr>
        <w:t xml:space="preserve">דברי האיסור והיתר </w:t>
      </w:r>
      <w:bookmarkEnd w:id="14380"/>
      <w:bookmarkEnd w:id="14381"/>
      <w:bookmarkEnd w:id="14382"/>
      <w:r>
        <w:rPr>
          <w:rFonts w:hint="cs"/>
          <w:rtl/>
        </w:rPr>
        <w:t>דבנודעה התערובת באינו מינו מותר בבישל</w:t>
      </w:r>
      <w:bookmarkEnd w:id="14383"/>
      <w:bookmarkEnd w:id="14384"/>
    </w:p>
    <w:p w:rsidR="00F13472" w:rsidRPr="00194B8E" w:rsidRDefault="00F13472" w:rsidP="00F13472">
      <w:pPr>
        <w:pStyle w:val="a2"/>
        <w:rPr>
          <w:rtl/>
        </w:rPr>
      </w:pPr>
      <w:bookmarkStart w:id="14385" w:name="_Toc24918129"/>
      <w:bookmarkStart w:id="14386" w:name="_Toc24918340"/>
      <w:r>
        <w:rPr>
          <w:rFonts w:hint="cs"/>
          <w:rtl/>
        </w:rPr>
        <w:t>דברי ספר התרומה דבמין בשאינו מינו ביבש צריך שישים שאם יבשל אסור מדאו'</w:t>
      </w:r>
      <w:bookmarkEnd w:id="14385"/>
      <w:bookmarkEnd w:id="14386"/>
    </w:p>
    <w:p w:rsidR="00F13472" w:rsidRDefault="00F13472" w:rsidP="009F44AF">
      <w:pPr>
        <w:pStyle w:val="a"/>
        <w:rPr>
          <w:rtl/>
        </w:rPr>
      </w:pPr>
      <w:bookmarkStart w:id="14387" w:name="_Ref24887396"/>
      <w:r>
        <w:rPr>
          <w:rFonts w:hint="cs"/>
          <w:rtl/>
        </w:rPr>
        <w:t xml:space="preserve">הביא </w:t>
      </w:r>
      <w:r w:rsidRPr="0052036E">
        <w:rPr>
          <w:rStyle w:val="af8"/>
          <w:rFonts w:hint="cs"/>
          <w:rtl/>
        </w:rPr>
        <w:t>האיסור והיתר הארוך</w:t>
      </w:r>
      <w:r>
        <w:rPr>
          <w:rFonts w:hint="cs"/>
          <w:rtl/>
        </w:rPr>
        <w:t xml:space="preserve"> </w:t>
      </w:r>
      <w:r w:rsidRPr="0052036E">
        <w:rPr>
          <w:rStyle w:val="af6"/>
          <w:rFonts w:eastAsia="Guttman Hodes" w:hint="cs"/>
          <w:rtl/>
        </w:rPr>
        <w:t>(כלל כ"ג ח')</w:t>
      </w:r>
      <w:r>
        <w:rPr>
          <w:rFonts w:hint="cs"/>
          <w:rtl/>
        </w:rPr>
        <w:t xml:space="preserve"> את דברי </w:t>
      </w:r>
      <w:r w:rsidRPr="00456546">
        <w:rPr>
          <w:rStyle w:val="af8"/>
          <w:rFonts w:hint="cs"/>
          <w:rtl/>
        </w:rPr>
        <w:t>ספר התרומה</w:t>
      </w:r>
      <w:r>
        <w:rPr>
          <w:rFonts w:hint="cs"/>
          <w:rtl/>
        </w:rPr>
        <w:t xml:space="preserve"> </w:t>
      </w:r>
      <w:r w:rsidRPr="00470A89">
        <w:rPr>
          <w:rStyle w:val="af6"/>
          <w:rFonts w:eastAsia="Guttman Hodes" w:hint="cs"/>
          <w:rtl/>
        </w:rPr>
        <w:t>(הל' איסור והיתר סי' נ' ד"ה הלכך, הועתק בקובץ שיטות קמאי חולין ח"ג עמ'</w:t>
      </w:r>
      <w:r w:rsidRPr="00470A89">
        <w:rPr>
          <w:rStyle w:val="af6"/>
          <w:rFonts w:eastAsia="Guttman Hodes"/>
          <w:rtl/>
        </w:rPr>
        <w:t xml:space="preserve"> </w:t>
      </w:r>
      <w:r w:rsidRPr="00470A89">
        <w:rPr>
          <w:rStyle w:val="af6"/>
          <w:rFonts w:eastAsia="Guttman Hodes" w:hint="cs"/>
          <w:rtl/>
        </w:rPr>
        <w:t>ב</w:t>
      </w:r>
      <w:r w:rsidRPr="00470A89">
        <w:rPr>
          <w:rStyle w:val="af6"/>
          <w:rFonts w:eastAsia="Guttman Hodes"/>
          <w:rtl/>
        </w:rPr>
        <w:t>' אלף קע</w:t>
      </w:r>
      <w:r w:rsidRPr="00470A89">
        <w:rPr>
          <w:rStyle w:val="af6"/>
          <w:rFonts w:eastAsia="Guttman Hodes" w:hint="cs"/>
          <w:rtl/>
        </w:rPr>
        <w:t>"</w:t>
      </w:r>
      <w:r w:rsidRPr="00470A89">
        <w:rPr>
          <w:rStyle w:val="af6"/>
          <w:rFonts w:eastAsia="Guttman Hodes"/>
          <w:rtl/>
        </w:rPr>
        <w:t>א</w:t>
      </w:r>
      <w:r>
        <w:rPr>
          <w:rStyle w:val="af6"/>
          <w:rFonts w:eastAsia="Guttman Hodes" w:hint="cs"/>
          <w:rtl/>
        </w:rPr>
        <w:t>, הובא בסימן ט"ז אות נ"ד)</w:t>
      </w:r>
      <w:r>
        <w:rPr>
          <w:rFonts w:hint="cs"/>
          <w:rtl/>
        </w:rPr>
        <w:t xml:space="preserve"> דכתב דבמין במינו ביבש ביבש בטל ברוב, וא"צ שישים אף מדרבנן, כיון שהטעם של האיסור אינו יכול להיות ניכר אף אם יחזור ויבשלם יחד, ולכן ביבש ביבש שהאיסור אינו נבלע בהיתר מהני ביטול ברוב, אפי' מדרבנן, אבל במין בשאינו מינו, כתב </w:t>
      </w:r>
      <w:r>
        <w:rPr>
          <w:rStyle w:val="af8"/>
          <w:rFonts w:hint="cs"/>
          <w:rtl/>
        </w:rPr>
        <w:t>בס</w:t>
      </w:r>
      <w:r w:rsidRPr="00456546">
        <w:rPr>
          <w:rStyle w:val="af8"/>
          <w:rFonts w:hint="cs"/>
          <w:rtl/>
        </w:rPr>
        <w:t>פר התרומה</w:t>
      </w:r>
      <w:r>
        <w:rPr>
          <w:rFonts w:hint="cs"/>
          <w:rtl/>
        </w:rPr>
        <w:t xml:space="preserve"> </w:t>
      </w:r>
      <w:r>
        <w:rPr>
          <w:rStyle w:val="af6"/>
          <w:rFonts w:eastAsia="Guttman Hodes" w:hint="cs"/>
          <w:rtl/>
        </w:rPr>
        <w:t>(הובא בסימן ט"ז אות ס"ד)</w:t>
      </w:r>
      <w:r>
        <w:rPr>
          <w:rFonts w:hint="cs"/>
          <w:rtl/>
        </w:rPr>
        <w:t xml:space="preserve"> דכתב אף ביבש ביבש צריך שישים להתיר, דכיון שאם יבשלם אח"כ יתן האיסור טעם בהיתר,</w:t>
      </w:r>
      <w:r w:rsidRPr="005D05DD">
        <w:rPr>
          <w:rFonts w:hint="cs"/>
          <w:rtl/>
        </w:rPr>
        <w:t xml:space="preserve"> </w:t>
      </w:r>
      <w:r>
        <w:rPr>
          <w:rFonts w:hint="cs"/>
          <w:rtl/>
        </w:rPr>
        <w:t>לכן אף ביבש ביבש צריך ביטול בשישים</w:t>
      </w:r>
      <w:r w:rsidRPr="005D05DD">
        <w:rPr>
          <w:rFonts w:hint="cs"/>
          <w:rtl/>
        </w:rPr>
        <w:t xml:space="preserve"> </w:t>
      </w:r>
      <w:r>
        <w:rPr>
          <w:rFonts w:hint="cs"/>
          <w:rtl/>
        </w:rPr>
        <w:t>במין בשאינו מינו.</w:t>
      </w:r>
      <w:bookmarkEnd w:id="14387"/>
    </w:p>
    <w:p w:rsidR="00F13472" w:rsidRPr="005A75CD" w:rsidRDefault="00F13472" w:rsidP="00F13472">
      <w:pPr>
        <w:pStyle w:val="a2"/>
      </w:pPr>
      <w:bookmarkStart w:id="14388" w:name="_Toc24918130"/>
      <w:bookmarkStart w:id="14389" w:name="_Toc24918341"/>
      <w:r>
        <w:rPr>
          <w:rFonts w:hint="cs"/>
          <w:rtl/>
        </w:rPr>
        <w:t>דחיית האיסור והיתר דבנודעה התערובת ביבש מותר לכתחילה לבשל אף במין בשאינו מינו</w:t>
      </w:r>
      <w:bookmarkEnd w:id="14388"/>
      <w:bookmarkEnd w:id="14389"/>
    </w:p>
    <w:p w:rsidR="00F13472" w:rsidRDefault="00F13472" w:rsidP="009F44AF">
      <w:pPr>
        <w:pStyle w:val="a"/>
        <w:rPr>
          <w:rtl/>
        </w:rPr>
      </w:pPr>
      <w:bookmarkStart w:id="14390" w:name="_Ref24888334"/>
      <w:r>
        <w:rPr>
          <w:rFonts w:hint="cs"/>
          <w:rtl/>
        </w:rPr>
        <w:t xml:space="preserve">ודחה </w:t>
      </w:r>
      <w:r w:rsidRPr="0052036E">
        <w:rPr>
          <w:rStyle w:val="af8"/>
          <w:rFonts w:hint="cs"/>
          <w:rtl/>
        </w:rPr>
        <w:t>האיסור והיתר הארוך</w:t>
      </w:r>
      <w:r>
        <w:rPr>
          <w:rFonts w:hint="cs"/>
          <w:rtl/>
        </w:rPr>
        <w:t xml:space="preserve"> את דברי </w:t>
      </w:r>
      <w:r w:rsidRPr="00456546">
        <w:rPr>
          <w:rStyle w:val="af8"/>
          <w:rFonts w:hint="cs"/>
          <w:rtl/>
        </w:rPr>
        <w:t>ספר התרומה</w:t>
      </w:r>
      <w:r>
        <w:rPr>
          <w:rFonts w:hint="cs"/>
          <w:rtl/>
        </w:rPr>
        <w:t xml:space="preserve">, דהא נודעה התערובת לפני הבישול א"כ כיון שהתבטל בחד בתרי ביבש, א"כ מותר לבשלו לכתחילה, ואי לא נודעה התערובת כשהיה יבש, א"כ צריך שישים כיון שלא היה בו ביטול ביבש, והוא לח בלח. [ועי' במה שביאר </w:t>
      </w:r>
      <w:r w:rsidRPr="00754084">
        <w:rPr>
          <w:rStyle w:val="af8"/>
          <w:rFonts w:hint="cs"/>
          <w:rtl/>
        </w:rPr>
        <w:t>המנחת כהן</w:t>
      </w:r>
      <w:r>
        <w:rPr>
          <w:rFonts w:hint="cs"/>
          <w:rtl/>
        </w:rPr>
        <w:t xml:space="preserve"> </w:t>
      </w:r>
      <w:r w:rsidRPr="00754084">
        <w:rPr>
          <w:rStyle w:val="af6"/>
          <w:rFonts w:eastAsia="Guttman Hodes" w:hint="cs"/>
          <w:rtl/>
        </w:rPr>
        <w:t xml:space="preserve">(עי' אות </w:t>
      </w:r>
      <w:r w:rsidRPr="00754084">
        <w:rPr>
          <w:rStyle w:val="af6"/>
          <w:rFonts w:eastAsia="Guttman Hodes"/>
          <w:rtl/>
        </w:rPr>
        <w:fldChar w:fldCharType="begin"/>
      </w:r>
      <w:r w:rsidRPr="00754084">
        <w:rPr>
          <w:rStyle w:val="af6"/>
          <w:rFonts w:eastAsia="Guttman Hodes"/>
          <w:rtl/>
        </w:rPr>
        <w:instrText xml:space="preserve"> </w:instrText>
      </w:r>
      <w:r w:rsidRPr="00754084">
        <w:rPr>
          <w:rStyle w:val="af6"/>
          <w:rFonts w:eastAsia="Guttman Hodes" w:hint="cs"/>
        </w:rPr>
        <w:instrText>REF</w:instrText>
      </w:r>
      <w:r w:rsidRPr="00754084">
        <w:rPr>
          <w:rStyle w:val="af6"/>
          <w:rFonts w:eastAsia="Guttman Hodes" w:hint="cs"/>
          <w:rtl/>
        </w:rPr>
        <w:instrText xml:space="preserve"> _</w:instrText>
      </w:r>
      <w:r w:rsidRPr="00754084">
        <w:rPr>
          <w:rStyle w:val="af6"/>
          <w:rFonts w:eastAsia="Guttman Hodes" w:hint="cs"/>
        </w:rPr>
        <w:instrText>Ref24888284 \r \h</w:instrText>
      </w:r>
      <w:r w:rsidRPr="00754084">
        <w:rPr>
          <w:rStyle w:val="af6"/>
          <w:rFonts w:eastAsia="Guttman Hodes"/>
          <w:rtl/>
        </w:rPr>
        <w:instrText xml:space="preserve"> </w:instrText>
      </w:r>
      <w:r w:rsidRPr="00754084">
        <w:rPr>
          <w:rStyle w:val="af6"/>
          <w:rFonts w:eastAsia="Guttman Hodes"/>
          <w:rtl/>
        </w:rPr>
      </w:r>
      <w:r w:rsidRPr="00754084">
        <w:rPr>
          <w:rStyle w:val="af6"/>
          <w:rFonts w:eastAsia="Guttman Hodes"/>
          <w:rtl/>
        </w:rPr>
        <w:fldChar w:fldCharType="separate"/>
      </w:r>
      <w:r w:rsidR="004D1C5B">
        <w:rPr>
          <w:rStyle w:val="af6"/>
          <w:rFonts w:eastAsia="Guttman Hodes"/>
          <w:cs/>
        </w:rPr>
        <w:t>‎</w:t>
      </w:r>
      <w:r w:rsidR="004D1C5B">
        <w:rPr>
          <w:rStyle w:val="af6"/>
          <w:rFonts w:eastAsia="Guttman Hodes"/>
          <w:rtl/>
        </w:rPr>
        <w:t>פא)</w:t>
      </w:r>
      <w:r w:rsidRPr="00754084">
        <w:rPr>
          <w:rStyle w:val="af6"/>
          <w:rFonts w:eastAsia="Guttman Hodes"/>
          <w:rtl/>
        </w:rPr>
        <w:fldChar w:fldCharType="end"/>
      </w:r>
      <w:r>
        <w:rPr>
          <w:rFonts w:hint="cs"/>
          <w:rtl/>
        </w:rPr>
        <w:t xml:space="preserve"> </w:t>
      </w:r>
      <w:r w:rsidRPr="00754084">
        <w:rPr>
          <w:rStyle w:val="af8"/>
          <w:rFonts w:hint="cs"/>
          <w:rtl/>
        </w:rPr>
        <w:t>דהאיסור והיתר</w:t>
      </w:r>
      <w:r>
        <w:rPr>
          <w:rFonts w:hint="cs"/>
          <w:rtl/>
        </w:rPr>
        <w:t xml:space="preserve"> ס"ל כדעת </w:t>
      </w:r>
      <w:r w:rsidRPr="00754084">
        <w:rPr>
          <w:rStyle w:val="af8"/>
          <w:rFonts w:hint="cs"/>
          <w:rtl/>
        </w:rPr>
        <w:t>הרא"ש</w:t>
      </w:r>
      <w:r>
        <w:rPr>
          <w:rFonts w:hint="cs"/>
          <w:rtl/>
        </w:rPr>
        <w:t xml:space="preserve"> </w:t>
      </w:r>
      <w:r w:rsidRPr="003A4D9E">
        <w:rPr>
          <w:rStyle w:val="af6"/>
          <w:rFonts w:eastAsia="Guttman Hodes" w:hint="cs"/>
          <w:rtl/>
        </w:rPr>
        <w:t xml:space="preserve">(עי' אות </w:t>
      </w:r>
      <w:r w:rsidRPr="003A4D9E">
        <w:rPr>
          <w:rStyle w:val="af6"/>
          <w:rFonts w:eastAsia="Guttman Hodes"/>
          <w:rtl/>
        </w:rPr>
        <w:fldChar w:fldCharType="begin"/>
      </w:r>
      <w:r w:rsidRPr="003A4D9E">
        <w:rPr>
          <w:rStyle w:val="af6"/>
          <w:rFonts w:eastAsia="Guttman Hodes"/>
          <w:rtl/>
        </w:rPr>
        <w:instrText xml:space="preserve"> </w:instrText>
      </w:r>
      <w:r w:rsidRPr="003A4D9E">
        <w:rPr>
          <w:rStyle w:val="af6"/>
          <w:rFonts w:eastAsia="Guttman Hodes" w:hint="cs"/>
        </w:rPr>
        <w:instrText>REF</w:instrText>
      </w:r>
      <w:r w:rsidRPr="003A4D9E">
        <w:rPr>
          <w:rStyle w:val="af6"/>
          <w:rFonts w:eastAsia="Guttman Hodes" w:hint="cs"/>
          <w:rtl/>
        </w:rPr>
        <w:instrText xml:space="preserve"> _</w:instrText>
      </w:r>
      <w:r w:rsidRPr="003A4D9E">
        <w:rPr>
          <w:rStyle w:val="af6"/>
          <w:rFonts w:eastAsia="Guttman Hodes" w:hint="cs"/>
        </w:rPr>
        <w:instrText>Ref23930562 \r \h</w:instrText>
      </w:r>
      <w:r w:rsidRPr="003A4D9E">
        <w:rPr>
          <w:rStyle w:val="af6"/>
          <w:rFonts w:eastAsia="Guttman Hodes"/>
          <w:rtl/>
        </w:rPr>
        <w:instrText xml:space="preserve"> </w:instrText>
      </w:r>
      <w:r w:rsidRPr="003A4D9E">
        <w:rPr>
          <w:rStyle w:val="af6"/>
          <w:rFonts w:eastAsia="Guttman Hodes"/>
          <w:rtl/>
        </w:rPr>
      </w:r>
      <w:r w:rsidRPr="003A4D9E">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3A4D9E">
        <w:rPr>
          <w:rStyle w:val="af6"/>
          <w:rFonts w:eastAsia="Guttman Hodes"/>
          <w:rtl/>
        </w:rPr>
        <w:fldChar w:fldCharType="end"/>
      </w:r>
      <w:r>
        <w:rPr>
          <w:rFonts w:hint="cs"/>
          <w:rtl/>
        </w:rPr>
        <w:t xml:space="preserve"> דאיסור שהתבטל ביבש ביבש אינו חוזר ונאסר אף אם בישל את התערובת, דהאיסור נהפך להיתר, ועי במה שדחה </w:t>
      </w:r>
      <w:r w:rsidRPr="00754084">
        <w:rPr>
          <w:rStyle w:val="af8"/>
          <w:rFonts w:hint="cs"/>
          <w:rtl/>
        </w:rPr>
        <w:t>הפרמ"ג</w:t>
      </w:r>
      <w:r>
        <w:rPr>
          <w:rFonts w:hint="cs"/>
          <w:rtl/>
        </w:rPr>
        <w:t xml:space="preserve"> </w:t>
      </w:r>
      <w:r w:rsidRPr="00754084">
        <w:rPr>
          <w:rStyle w:val="af6"/>
          <w:rFonts w:eastAsia="Guttman Hodes" w:hint="cs"/>
          <w:rtl/>
        </w:rPr>
        <w:t xml:space="preserve">(עי' אות </w:t>
      </w:r>
      <w:r w:rsidRPr="00754084">
        <w:rPr>
          <w:rStyle w:val="af6"/>
          <w:rFonts w:eastAsia="Guttman Hodes"/>
          <w:rtl/>
        </w:rPr>
        <w:fldChar w:fldCharType="begin"/>
      </w:r>
      <w:r w:rsidRPr="00754084">
        <w:rPr>
          <w:rStyle w:val="af6"/>
          <w:rFonts w:eastAsia="Guttman Hodes"/>
          <w:rtl/>
        </w:rPr>
        <w:instrText xml:space="preserve"> </w:instrText>
      </w:r>
      <w:r w:rsidRPr="00754084">
        <w:rPr>
          <w:rStyle w:val="af6"/>
          <w:rFonts w:eastAsia="Guttman Hodes" w:hint="cs"/>
        </w:rPr>
        <w:instrText>REF</w:instrText>
      </w:r>
      <w:r w:rsidRPr="00754084">
        <w:rPr>
          <w:rStyle w:val="af6"/>
          <w:rFonts w:eastAsia="Guttman Hodes" w:hint="cs"/>
          <w:rtl/>
        </w:rPr>
        <w:instrText xml:space="preserve"> _</w:instrText>
      </w:r>
      <w:r w:rsidRPr="00754084">
        <w:rPr>
          <w:rStyle w:val="af6"/>
          <w:rFonts w:eastAsia="Guttman Hodes" w:hint="cs"/>
        </w:rPr>
        <w:instrText>Ref24888290 \r \h</w:instrText>
      </w:r>
      <w:r w:rsidRPr="00754084">
        <w:rPr>
          <w:rStyle w:val="af6"/>
          <w:rFonts w:eastAsia="Guttman Hodes"/>
          <w:rtl/>
        </w:rPr>
        <w:instrText xml:space="preserve"> </w:instrText>
      </w:r>
      <w:r w:rsidRPr="00754084">
        <w:rPr>
          <w:rStyle w:val="af6"/>
          <w:rFonts w:eastAsia="Guttman Hodes"/>
          <w:rtl/>
        </w:rPr>
      </w:r>
      <w:r w:rsidRPr="00754084">
        <w:rPr>
          <w:rStyle w:val="af6"/>
          <w:rFonts w:eastAsia="Guttman Hodes"/>
          <w:rtl/>
        </w:rPr>
        <w:fldChar w:fldCharType="separate"/>
      </w:r>
      <w:r w:rsidR="004D1C5B">
        <w:rPr>
          <w:rStyle w:val="af6"/>
          <w:rFonts w:eastAsia="Guttman Hodes"/>
          <w:cs/>
        </w:rPr>
        <w:t>‎</w:t>
      </w:r>
      <w:r w:rsidR="004D1C5B">
        <w:rPr>
          <w:rStyle w:val="af6"/>
          <w:rFonts w:eastAsia="Guttman Hodes"/>
          <w:rtl/>
        </w:rPr>
        <w:t>פג)</w:t>
      </w:r>
      <w:r w:rsidRPr="00754084">
        <w:rPr>
          <w:rStyle w:val="af6"/>
          <w:rFonts w:eastAsia="Guttman Hodes"/>
          <w:rtl/>
        </w:rPr>
        <w:fldChar w:fldCharType="end"/>
      </w:r>
      <w:r>
        <w:rPr>
          <w:rFonts w:hint="cs"/>
          <w:rtl/>
        </w:rPr>
        <w:t xml:space="preserve"> דאף לדעת </w:t>
      </w:r>
      <w:r w:rsidRPr="00754084">
        <w:rPr>
          <w:rStyle w:val="af8"/>
          <w:rFonts w:hint="cs"/>
          <w:rtl/>
        </w:rPr>
        <w:t>הרא"ש</w:t>
      </w:r>
      <w:r>
        <w:rPr>
          <w:rFonts w:hint="cs"/>
          <w:rtl/>
        </w:rPr>
        <w:t xml:space="preserve"> אסור במין בשאינו מינו בחזר ובישל].</w:t>
      </w:r>
      <w:bookmarkEnd w:id="14390"/>
    </w:p>
    <w:p w:rsidR="00F13472" w:rsidRDefault="00F13472" w:rsidP="00F13472">
      <w:pPr>
        <w:pStyle w:val="a2"/>
        <w:rPr>
          <w:rtl/>
        </w:rPr>
      </w:pPr>
      <w:bookmarkStart w:id="14391" w:name="_Toc24918131"/>
      <w:bookmarkStart w:id="14392" w:name="_Toc24918342"/>
      <w:r>
        <w:rPr>
          <w:rFonts w:hint="cs"/>
          <w:rtl/>
        </w:rPr>
        <w:t>ביאור האיסור והיתר דבמין בשאינו מינו ביבש צריך שישים כיון שאפשר להכיר את האיסור</w:t>
      </w:r>
      <w:bookmarkEnd w:id="14391"/>
      <w:bookmarkEnd w:id="14392"/>
    </w:p>
    <w:p w:rsidR="00F13472" w:rsidRDefault="00F13472" w:rsidP="009F44AF">
      <w:pPr>
        <w:pStyle w:val="a"/>
        <w:rPr>
          <w:rtl/>
        </w:rPr>
      </w:pPr>
      <w:r>
        <w:rPr>
          <w:rFonts w:hint="cs"/>
          <w:rtl/>
        </w:rPr>
        <w:t xml:space="preserve">אלא ביאר </w:t>
      </w:r>
      <w:r w:rsidRPr="0052036E">
        <w:rPr>
          <w:rStyle w:val="af8"/>
          <w:rFonts w:hint="cs"/>
          <w:rtl/>
        </w:rPr>
        <w:t>האיסור והיתר הארוך</w:t>
      </w:r>
      <w:r>
        <w:rPr>
          <w:rFonts w:hint="cs"/>
          <w:rtl/>
        </w:rPr>
        <w:t xml:space="preserve"> דהא דצריך שישים ביבש במין בשאינו מינו, אף שביבש אין נתינת טעם, מ"מ  הוא נקרא דבר שיש לו תקנה, דאפשר קצת להכיר את האיסור, ולהוציאו מהתערובת, והא דמהני בו ביטול בשישים, הוא כיון שהוא דבר מועט ואינו מוצאו.</w:t>
      </w:r>
    </w:p>
    <w:p w:rsidR="00F13472" w:rsidRPr="00D84CE9" w:rsidRDefault="00F13472" w:rsidP="00F13472">
      <w:pPr>
        <w:pStyle w:val="1"/>
        <w:rPr>
          <w:rtl/>
        </w:rPr>
      </w:pPr>
      <w:bookmarkStart w:id="14393" w:name="_Toc24918132"/>
      <w:bookmarkStart w:id="14394" w:name="_Toc24918343"/>
      <w:r>
        <w:rPr>
          <w:rFonts w:hint="cs"/>
          <w:rtl/>
        </w:rPr>
        <w:t>דברי החוו"ד דלאיסור והיתר לא נודעה התערובת אסור מדרבנן</w:t>
      </w:r>
      <w:bookmarkEnd w:id="14393"/>
      <w:bookmarkEnd w:id="14394"/>
    </w:p>
    <w:p w:rsidR="00F13472" w:rsidRDefault="00F13472" w:rsidP="00F13472">
      <w:pPr>
        <w:pStyle w:val="a2"/>
        <w:rPr>
          <w:rtl/>
        </w:rPr>
      </w:pPr>
      <w:bookmarkStart w:id="14395" w:name="_Toc24918133"/>
      <w:bookmarkStart w:id="14396" w:name="_Toc24918344"/>
      <w:r>
        <w:rPr>
          <w:rFonts w:hint="cs"/>
          <w:rtl/>
        </w:rPr>
        <w:t>דברי החוו"ד דלאיסור והיתר דאף בלא נודעה התערובת מותר מדאו' והאיסור הוא רק מדרבנן</w:t>
      </w:r>
      <w:bookmarkEnd w:id="14395"/>
      <w:bookmarkEnd w:id="14396"/>
    </w:p>
    <w:p w:rsidR="00F13472" w:rsidRPr="000B6511" w:rsidRDefault="00F13472" w:rsidP="009F44AF">
      <w:pPr>
        <w:pStyle w:val="a"/>
        <w:rPr>
          <w:rtl/>
        </w:rPr>
      </w:pPr>
      <w:bookmarkStart w:id="14397" w:name="_Ref24901804"/>
      <w:r>
        <w:rPr>
          <w:rFonts w:hint="cs"/>
          <w:rtl/>
        </w:rPr>
        <w:t xml:space="preserve">וכתב </w:t>
      </w:r>
      <w:r w:rsidRPr="0052036E">
        <w:rPr>
          <w:rStyle w:val="af8"/>
          <w:rFonts w:hint="cs"/>
          <w:rtl/>
        </w:rPr>
        <w:t>החוו"ד</w:t>
      </w:r>
      <w:r>
        <w:rPr>
          <w:rFonts w:hint="cs"/>
          <w:rtl/>
        </w:rPr>
        <w:t xml:space="preserve"> </w:t>
      </w:r>
      <w:r w:rsidRPr="0052036E">
        <w:rPr>
          <w:rStyle w:val="af6"/>
          <w:rFonts w:eastAsia="Guttman Hodes" w:hint="cs"/>
          <w:rtl/>
        </w:rPr>
        <w:t>(סי' צ"ח סק"ג</w:t>
      </w:r>
      <w:r>
        <w:rPr>
          <w:rStyle w:val="af6"/>
          <w:rFonts w:eastAsia="Guttman Hodes" w:hint="cs"/>
          <w:rtl/>
        </w:rPr>
        <w:t xml:space="preserve"> ד"ה והשתא אתיין</w:t>
      </w:r>
      <w:r w:rsidRPr="0052036E">
        <w:rPr>
          <w:rStyle w:val="af6"/>
          <w:rFonts w:eastAsia="Guttman Hodes" w:hint="cs"/>
          <w:rtl/>
        </w:rPr>
        <w:t>)</w:t>
      </w:r>
      <w:r>
        <w:rPr>
          <w:rFonts w:hint="cs"/>
          <w:rtl/>
        </w:rPr>
        <w:t xml:space="preserve"> דלדעת </w:t>
      </w:r>
      <w:r w:rsidRPr="0052036E">
        <w:rPr>
          <w:rStyle w:val="af8"/>
          <w:rFonts w:hint="cs"/>
          <w:rtl/>
        </w:rPr>
        <w:t>האיסור והיתר הארוך</w:t>
      </w:r>
      <w:r>
        <w:rPr>
          <w:rFonts w:hint="cs"/>
          <w:rtl/>
        </w:rPr>
        <w:t xml:space="preserve"> כל שהאיסור התבטל ביבש, מדאו' אינו חוזר ואוסר אחר שהתבשל, אף במקום שלא נודעה התערובת כשהיה יבש, וכ"מ דכתב </w:t>
      </w:r>
      <w:r w:rsidRPr="0052036E">
        <w:rPr>
          <w:rStyle w:val="af8"/>
          <w:rFonts w:hint="cs"/>
          <w:rtl/>
        </w:rPr>
        <w:t>האיסור והיתר הארוך</w:t>
      </w:r>
      <w:r>
        <w:rPr>
          <w:rFonts w:hint="cs"/>
          <w:rtl/>
        </w:rPr>
        <w:t xml:space="preserve"> דרק בנודעה התערובת אינו חוזר ואוסר, היינו מדרבנן, אבל מדאו' אף כשלא נודעה התערובת אינו חוזר ואוסר.</w:t>
      </w:r>
      <w:bookmarkEnd w:id="14397"/>
    </w:p>
    <w:p w:rsidR="00F13472" w:rsidRDefault="00F13472" w:rsidP="00F13472">
      <w:pPr>
        <w:pStyle w:val="1"/>
        <w:rPr>
          <w:rtl/>
        </w:rPr>
      </w:pPr>
      <w:bookmarkStart w:id="14398" w:name="_Toc24918134"/>
      <w:bookmarkStart w:id="14399" w:name="_Toc24918345"/>
      <w:r>
        <w:rPr>
          <w:rFonts w:hint="cs"/>
          <w:rtl/>
        </w:rPr>
        <w:t>דברי הש"ך דבמין בשאינו מינו אף בנודעה בבישל אסור מדאו'</w:t>
      </w:r>
      <w:bookmarkEnd w:id="14398"/>
      <w:bookmarkEnd w:id="14399"/>
    </w:p>
    <w:p w:rsidR="00F13472" w:rsidRDefault="00F13472" w:rsidP="00F13472">
      <w:pPr>
        <w:pStyle w:val="a2"/>
        <w:rPr>
          <w:rtl/>
        </w:rPr>
      </w:pPr>
      <w:bookmarkStart w:id="14400" w:name="_Toc24918135"/>
      <w:bookmarkStart w:id="14401" w:name="_Toc24918346"/>
      <w:r>
        <w:rPr>
          <w:rFonts w:hint="cs"/>
          <w:rtl/>
        </w:rPr>
        <w:t>דחיית הש"ך דאף בנודעה התערובת במין בשאינו מינו אסור מדאו' בבישל שנותן טעם</w:t>
      </w:r>
      <w:bookmarkEnd w:id="14400"/>
      <w:bookmarkEnd w:id="14401"/>
    </w:p>
    <w:p w:rsidR="007A5AFC" w:rsidRDefault="00F13472" w:rsidP="009F44AF">
      <w:pPr>
        <w:pStyle w:val="a"/>
        <w:rPr>
          <w:rtl/>
        </w:rPr>
      </w:pPr>
      <w:r>
        <w:rPr>
          <w:rFonts w:hint="cs"/>
          <w:rtl/>
        </w:rPr>
        <w:t xml:space="preserve">אבל </w:t>
      </w:r>
      <w:r w:rsidRPr="00D71964">
        <w:rPr>
          <w:rStyle w:val="af8"/>
          <w:rFonts w:hint="cs"/>
          <w:rtl/>
        </w:rPr>
        <w:t>הש"ך</w:t>
      </w:r>
      <w:r>
        <w:rPr>
          <w:rFonts w:hint="cs"/>
          <w:rtl/>
        </w:rPr>
        <w:t xml:space="preserve"> </w:t>
      </w:r>
      <w:r w:rsidRPr="006F563C">
        <w:rPr>
          <w:rStyle w:val="af6"/>
          <w:rFonts w:eastAsia="Guttman Hodes" w:hint="cs"/>
          <w:rtl/>
        </w:rPr>
        <w:t>(סי'</w:t>
      </w:r>
      <w:r w:rsidRPr="00D71964">
        <w:rPr>
          <w:rStyle w:val="af6"/>
          <w:rFonts w:eastAsia="Guttman Hodes" w:hint="cs"/>
          <w:rtl/>
        </w:rPr>
        <w:t xml:space="preserve"> צ"</w:t>
      </w:r>
      <w:r>
        <w:rPr>
          <w:rStyle w:val="af6"/>
          <w:rFonts w:eastAsia="Guttman Hodes" w:hint="cs"/>
          <w:rtl/>
        </w:rPr>
        <w:t>ח סק"ו</w:t>
      </w:r>
      <w:r w:rsidRPr="00D71964">
        <w:rPr>
          <w:rStyle w:val="af6"/>
          <w:rFonts w:eastAsia="Guttman Hodes" w:hint="cs"/>
          <w:rtl/>
        </w:rPr>
        <w:t xml:space="preserve">) </w:t>
      </w:r>
      <w:r>
        <w:rPr>
          <w:rFonts w:hint="cs"/>
          <w:rtl/>
        </w:rPr>
        <w:t xml:space="preserve">דחה את </w:t>
      </w:r>
      <w:r w:rsidRPr="00D71964">
        <w:rPr>
          <w:rStyle w:val="af8"/>
          <w:rFonts w:hint="cs"/>
          <w:rtl/>
        </w:rPr>
        <w:t>דברי האיסור והיתר</w:t>
      </w:r>
      <w:r>
        <w:rPr>
          <w:rFonts w:hint="cs"/>
          <w:rtl/>
        </w:rPr>
        <w:t xml:space="preserve">, וכתב </w:t>
      </w:r>
      <w:r w:rsidRPr="00D71964">
        <w:rPr>
          <w:rStyle w:val="af8"/>
          <w:rFonts w:hint="cs"/>
          <w:rtl/>
        </w:rPr>
        <w:t>הש"ך</w:t>
      </w:r>
      <w:r>
        <w:rPr>
          <w:rFonts w:hint="cs"/>
          <w:rtl/>
        </w:rPr>
        <w:t xml:space="preserve"> דהטעם שצריך שישים ביבש ביבש במין בשאינו מינו, הוא כמבואר </w:t>
      </w:r>
      <w:r>
        <w:rPr>
          <w:rStyle w:val="af8"/>
          <w:rFonts w:hint="cs"/>
          <w:rtl/>
        </w:rPr>
        <w:t xml:space="preserve">ספר התרומה </w:t>
      </w:r>
      <w:r w:rsidRPr="00E651D3">
        <w:rPr>
          <w:rStyle w:val="af6"/>
          <w:rFonts w:eastAsia="Guttman Hodes" w:hint="cs"/>
          <w:rtl/>
        </w:rPr>
        <w:t xml:space="preserve">(עי' אות </w:t>
      </w:r>
      <w:r w:rsidRPr="00E651D3">
        <w:rPr>
          <w:rStyle w:val="af6"/>
          <w:rFonts w:eastAsia="Guttman Hodes"/>
          <w:rtl/>
        </w:rPr>
        <w:fldChar w:fldCharType="begin"/>
      </w:r>
      <w:r w:rsidRPr="00E651D3">
        <w:rPr>
          <w:rStyle w:val="af6"/>
          <w:rFonts w:eastAsia="Guttman Hodes"/>
          <w:rtl/>
        </w:rPr>
        <w:instrText xml:space="preserve"> </w:instrText>
      </w:r>
      <w:r w:rsidRPr="00E651D3">
        <w:rPr>
          <w:rStyle w:val="af6"/>
          <w:rFonts w:eastAsia="Guttman Hodes" w:hint="cs"/>
        </w:rPr>
        <w:instrText>REF</w:instrText>
      </w:r>
      <w:r w:rsidRPr="00E651D3">
        <w:rPr>
          <w:rStyle w:val="af6"/>
          <w:rFonts w:eastAsia="Guttman Hodes" w:hint="cs"/>
          <w:rtl/>
        </w:rPr>
        <w:instrText xml:space="preserve"> _</w:instrText>
      </w:r>
      <w:r w:rsidRPr="00E651D3">
        <w:rPr>
          <w:rStyle w:val="af6"/>
          <w:rFonts w:eastAsia="Guttman Hodes" w:hint="cs"/>
        </w:rPr>
        <w:instrText>Ref24887396 \r \h</w:instrText>
      </w:r>
      <w:r w:rsidRPr="00E651D3">
        <w:rPr>
          <w:rStyle w:val="af6"/>
          <w:rFonts w:eastAsia="Guttman Hodes"/>
          <w:rtl/>
        </w:rPr>
        <w:instrText xml:space="preserve"> </w:instrText>
      </w:r>
      <w:r w:rsidRPr="00E651D3">
        <w:rPr>
          <w:rStyle w:val="af6"/>
          <w:rFonts w:eastAsia="Guttman Hodes"/>
          <w:rtl/>
        </w:rPr>
      </w:r>
      <w:r w:rsidRPr="00E651D3">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E651D3">
        <w:rPr>
          <w:rStyle w:val="af6"/>
          <w:rFonts w:eastAsia="Guttman Hodes"/>
          <w:rtl/>
        </w:rPr>
        <w:fldChar w:fldCharType="end"/>
      </w:r>
      <w:r w:rsidRPr="00E651D3">
        <w:rPr>
          <w:rStyle w:val="af6"/>
          <w:rFonts w:eastAsia="Guttman Hodes" w:hint="cs"/>
          <w:rtl/>
        </w:rPr>
        <w:t xml:space="preserve"> </w:t>
      </w:r>
      <w:r>
        <w:rPr>
          <w:rStyle w:val="af8"/>
          <w:rFonts w:hint="cs"/>
          <w:rtl/>
        </w:rPr>
        <w:t>והראשונים</w:t>
      </w:r>
      <w:r>
        <w:rPr>
          <w:rFonts w:hint="cs"/>
          <w:rtl/>
        </w:rPr>
        <w:t xml:space="preserve"> </w:t>
      </w:r>
      <w:r>
        <w:rPr>
          <w:rStyle w:val="af6"/>
          <w:rFonts w:eastAsia="Guttman Hodes" w:hint="cs"/>
          <w:rtl/>
        </w:rPr>
        <w:t>(הובא בסימן ט"ז אות ס"ד)</w:t>
      </w:r>
      <w:r>
        <w:rPr>
          <w:rFonts w:hint="cs"/>
          <w:rtl/>
        </w:rPr>
        <w:t xml:space="preserve"> דחיישינן שמא יבשל ויבא לאיסור דאו', וכתב </w:t>
      </w:r>
      <w:r w:rsidRPr="00D71964">
        <w:rPr>
          <w:rStyle w:val="af8"/>
          <w:rFonts w:hint="cs"/>
          <w:rtl/>
        </w:rPr>
        <w:t>הש"ך</w:t>
      </w:r>
      <w:r>
        <w:rPr>
          <w:rFonts w:hint="cs"/>
          <w:rtl/>
        </w:rPr>
        <w:t xml:space="preserve"> דאף כשנודעה התערובת לפני </w:t>
      </w:r>
      <w:r>
        <w:rPr>
          <w:rFonts w:hint="cs"/>
          <w:rtl/>
        </w:rPr>
        <w:t>הבישול, מ"מ כשחזר ובישלו אסור מדאו', דכיון שהוא נותן טעם לא מהני מה שהתבטל כשהיה יבש.</w:t>
      </w:r>
    </w:p>
    <w:p w:rsidR="00F13472" w:rsidRDefault="00F13472" w:rsidP="00F13472">
      <w:pPr>
        <w:pStyle w:val="1"/>
        <w:rPr>
          <w:rtl/>
        </w:rPr>
      </w:pPr>
      <w:bookmarkStart w:id="14402" w:name="_Toc24918136"/>
      <w:bookmarkStart w:id="14403" w:name="_Toc24918347"/>
      <w:r>
        <w:rPr>
          <w:rFonts w:hint="cs"/>
          <w:rtl/>
        </w:rPr>
        <w:t>קושיות הט"ז והפרמ"ג דבאינו מינו הותר האיסור ואין חשש דאו'</w:t>
      </w:r>
      <w:bookmarkEnd w:id="14402"/>
      <w:bookmarkEnd w:id="14403"/>
    </w:p>
    <w:p w:rsidR="00F13472" w:rsidRPr="007519D8" w:rsidRDefault="00F13472" w:rsidP="00F13472">
      <w:pPr>
        <w:pStyle w:val="a2"/>
        <w:rPr>
          <w:rtl/>
        </w:rPr>
      </w:pPr>
      <w:bookmarkStart w:id="14404" w:name="_Toc24918137"/>
      <w:bookmarkStart w:id="14405" w:name="_Toc24918348"/>
      <w:r>
        <w:rPr>
          <w:rFonts w:hint="cs"/>
          <w:rtl/>
        </w:rPr>
        <w:t>דברי הט"ז והפרמ"ג דמהא דצריך שישים באינו מינו ביבש מבואר דבבישל אסור מדאו'</w:t>
      </w:r>
      <w:bookmarkEnd w:id="14404"/>
      <w:bookmarkEnd w:id="14405"/>
    </w:p>
    <w:p w:rsidR="00F13472" w:rsidRDefault="00F13472" w:rsidP="009F44AF">
      <w:pPr>
        <w:pStyle w:val="a"/>
        <w:rPr>
          <w:rtl/>
        </w:rPr>
      </w:pPr>
      <w:r>
        <w:rPr>
          <w:rFonts w:hint="cs"/>
          <w:rtl/>
        </w:rPr>
        <w:t xml:space="preserve">כתב </w:t>
      </w:r>
      <w:r>
        <w:rPr>
          <w:rStyle w:val="af8"/>
          <w:rFonts w:hint="cs"/>
          <w:rtl/>
        </w:rPr>
        <w:t>הט"ז</w:t>
      </w:r>
      <w:r>
        <w:rPr>
          <w:rFonts w:hint="cs"/>
          <w:rtl/>
        </w:rPr>
        <w:t xml:space="preserve"> </w:t>
      </w:r>
      <w:r w:rsidRPr="00052169">
        <w:rPr>
          <w:rStyle w:val="af6"/>
          <w:rFonts w:eastAsia="Guttman Hodes" w:hint="cs"/>
          <w:rtl/>
        </w:rPr>
        <w:t>(סי' ק"ט סק"ב)</w:t>
      </w:r>
      <w:r w:rsidRPr="00847D58">
        <w:rPr>
          <w:rStyle w:val="af8"/>
          <w:rFonts w:hint="cs"/>
          <w:rtl/>
        </w:rPr>
        <w:t xml:space="preserve"> </w:t>
      </w:r>
      <w:r>
        <w:rPr>
          <w:rFonts w:hint="cs"/>
          <w:rtl/>
        </w:rPr>
        <w:t xml:space="preserve">דבמין בשאינו מינו החמירו לצריך שישים אף ביבש, כיון שאם יבשלם יחד האיסור יתן טעם בהיתר, ויבא לידי איסור דאו', והוסיף </w:t>
      </w:r>
      <w:r w:rsidRPr="00847D58">
        <w:rPr>
          <w:rStyle w:val="af8"/>
          <w:rFonts w:hint="cs"/>
          <w:rtl/>
        </w:rPr>
        <w:t>הפרמ"ג</w:t>
      </w:r>
      <w:r>
        <w:rPr>
          <w:rFonts w:hint="cs"/>
          <w:rtl/>
        </w:rPr>
        <w:t xml:space="preserve"> </w:t>
      </w:r>
      <w:r w:rsidRPr="001256BC">
        <w:rPr>
          <w:rStyle w:val="af6"/>
          <w:rFonts w:eastAsia="Guttman Hodes" w:hint="cs"/>
          <w:rtl/>
        </w:rPr>
        <w:t>(פתיחה שער התערובת ח"א פ"ב ד"ה ומה שראוי)</w:t>
      </w:r>
      <w:r>
        <w:rPr>
          <w:rFonts w:hint="cs"/>
          <w:rtl/>
        </w:rPr>
        <w:t xml:space="preserve"> דכיון דבמין בשאינו מינו ביבש ביבש דמדאו' בטל ברוב, וכתב </w:t>
      </w:r>
      <w:r w:rsidRPr="00B110B3">
        <w:rPr>
          <w:rStyle w:val="af8"/>
          <w:rFonts w:hint="cs"/>
          <w:rtl/>
        </w:rPr>
        <w:t>הטור</w:t>
      </w:r>
      <w:r>
        <w:rPr>
          <w:rFonts w:hint="cs"/>
          <w:rtl/>
        </w:rPr>
        <w:t xml:space="preserve"> </w:t>
      </w:r>
      <w:r w:rsidRPr="00ED293F">
        <w:rPr>
          <w:rStyle w:val="af6"/>
          <w:rFonts w:eastAsia="Guttman Hodes" w:hint="cs"/>
          <w:rtl/>
        </w:rPr>
        <w:t xml:space="preserve">(סי' ק"ט א', הובא בסימן </w:t>
      </w:r>
      <w:r>
        <w:rPr>
          <w:rStyle w:val="af6"/>
          <w:rFonts w:eastAsia="Guttman Hodes" w:hint="cs"/>
          <w:rtl/>
        </w:rPr>
        <w:t>ט"ז</w:t>
      </w:r>
      <w:r w:rsidRPr="00ED293F">
        <w:rPr>
          <w:rStyle w:val="af6"/>
          <w:rFonts w:eastAsia="Guttman Hodes" w:hint="cs"/>
          <w:rtl/>
        </w:rPr>
        <w:t xml:space="preserve"> אות </w:t>
      </w:r>
      <w:r>
        <w:rPr>
          <w:rStyle w:val="af6"/>
          <w:rFonts w:eastAsia="Guttman Hodes" w:hint="cs"/>
          <w:rtl/>
        </w:rPr>
        <w:t>ס"ד</w:t>
      </w:r>
      <w:r w:rsidRPr="00ED293F">
        <w:rPr>
          <w:rStyle w:val="af6"/>
          <w:rFonts w:eastAsia="Guttman Hodes" w:hint="cs"/>
          <w:rtl/>
        </w:rPr>
        <w:t xml:space="preserve">) </w:t>
      </w:r>
      <w:r>
        <w:rPr>
          <w:rFonts w:hint="cs"/>
          <w:rtl/>
        </w:rPr>
        <w:t xml:space="preserve">בשם </w:t>
      </w:r>
      <w:r w:rsidRPr="00B110B3">
        <w:rPr>
          <w:rStyle w:val="af8"/>
          <w:rFonts w:hint="cs"/>
          <w:rtl/>
        </w:rPr>
        <w:t>ספר התרומה</w:t>
      </w:r>
      <w:r>
        <w:rPr>
          <w:rFonts w:hint="cs"/>
          <w:rtl/>
        </w:rPr>
        <w:t xml:space="preserve"> </w:t>
      </w:r>
      <w:r w:rsidRPr="003D69AD">
        <w:rPr>
          <w:rStyle w:val="af6"/>
          <w:rFonts w:eastAsia="Guttman Hodes" w:hint="cs"/>
          <w:rtl/>
        </w:rPr>
        <w:t xml:space="preserve">(עי' אות </w:t>
      </w:r>
      <w:r w:rsidRPr="003D69AD">
        <w:rPr>
          <w:rStyle w:val="af6"/>
          <w:rFonts w:eastAsia="Guttman Hodes"/>
          <w:rtl/>
        </w:rPr>
        <w:fldChar w:fldCharType="begin"/>
      </w:r>
      <w:r w:rsidRPr="003D69AD">
        <w:rPr>
          <w:rStyle w:val="af6"/>
          <w:rFonts w:eastAsia="Guttman Hodes"/>
          <w:rtl/>
        </w:rPr>
        <w:instrText xml:space="preserve"> </w:instrText>
      </w:r>
      <w:r w:rsidRPr="003D69AD">
        <w:rPr>
          <w:rStyle w:val="af6"/>
          <w:rFonts w:eastAsia="Guttman Hodes" w:hint="cs"/>
        </w:rPr>
        <w:instrText>REF</w:instrText>
      </w:r>
      <w:r w:rsidRPr="003D69AD">
        <w:rPr>
          <w:rStyle w:val="af6"/>
          <w:rFonts w:eastAsia="Guttman Hodes" w:hint="cs"/>
          <w:rtl/>
        </w:rPr>
        <w:instrText xml:space="preserve"> _</w:instrText>
      </w:r>
      <w:r w:rsidRPr="003D69AD">
        <w:rPr>
          <w:rStyle w:val="af6"/>
          <w:rFonts w:eastAsia="Guttman Hodes" w:hint="cs"/>
        </w:rPr>
        <w:instrText>Ref24887396 \r \h</w:instrText>
      </w:r>
      <w:r w:rsidRPr="003D69AD">
        <w:rPr>
          <w:rStyle w:val="af6"/>
          <w:rFonts w:eastAsia="Guttman Hodes"/>
          <w:rtl/>
        </w:rPr>
        <w:instrText xml:space="preserve"> </w:instrText>
      </w:r>
      <w:r w:rsidRPr="003D69AD">
        <w:rPr>
          <w:rStyle w:val="af6"/>
          <w:rFonts w:eastAsia="Guttman Hodes"/>
          <w:rtl/>
        </w:rPr>
      </w:r>
      <w:r w:rsidRPr="003D69AD">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3D69AD">
        <w:rPr>
          <w:rStyle w:val="af6"/>
          <w:rFonts w:eastAsia="Guttman Hodes"/>
          <w:rtl/>
        </w:rPr>
        <w:fldChar w:fldCharType="end"/>
      </w:r>
      <w:r w:rsidRPr="003D69AD">
        <w:rPr>
          <w:rStyle w:val="af6"/>
          <w:rFonts w:eastAsia="Guttman Hodes" w:hint="cs"/>
          <w:rtl/>
        </w:rPr>
        <w:t xml:space="preserve"> </w:t>
      </w:r>
      <w:r>
        <w:rPr>
          <w:rFonts w:hint="cs"/>
          <w:rtl/>
        </w:rPr>
        <w:t>דמדרבנן צריך שישים, שמא יבשל ויבא לאיסור תורה, א"כ  משמע דבמין בשאינו מינו ביבש ביבש אם בישל את התערובת יחד, אף לאחר שנודעה התערובת, אסור מדאו' דטעם כעיקר דאו'.</w:t>
      </w:r>
    </w:p>
    <w:p w:rsidR="00F13472" w:rsidRDefault="00F13472" w:rsidP="00F13472">
      <w:pPr>
        <w:pStyle w:val="a2"/>
      </w:pPr>
      <w:bookmarkStart w:id="14406" w:name="_Toc24918138"/>
      <w:bookmarkStart w:id="14407" w:name="_Toc24918349"/>
      <w:r>
        <w:rPr>
          <w:rFonts w:hint="cs"/>
          <w:rtl/>
        </w:rPr>
        <w:t>קושית הט"ז והפרמ"ג דבמין בשאינו מינו שהאיסור התבטל ביבש היאך נאסר מדאו' בבישל</w:t>
      </w:r>
      <w:bookmarkEnd w:id="14406"/>
      <w:bookmarkEnd w:id="14407"/>
    </w:p>
    <w:p w:rsidR="00F13472" w:rsidRDefault="00F13472" w:rsidP="009F44AF">
      <w:pPr>
        <w:pStyle w:val="a"/>
        <w:rPr>
          <w:rtl/>
        </w:rPr>
      </w:pPr>
      <w:bookmarkStart w:id="14408" w:name="_Ref24902487"/>
      <w:r>
        <w:rPr>
          <w:rFonts w:hint="cs"/>
          <w:rtl/>
        </w:rPr>
        <w:t xml:space="preserve">והקשו </w:t>
      </w:r>
      <w:r w:rsidRPr="000B4114">
        <w:rPr>
          <w:rStyle w:val="af8"/>
          <w:rFonts w:hint="cs"/>
          <w:rtl/>
        </w:rPr>
        <w:t xml:space="preserve">הט"ז </w:t>
      </w:r>
      <w:r>
        <w:rPr>
          <w:rStyle w:val="af8"/>
          <w:rFonts w:hint="cs"/>
          <w:rtl/>
        </w:rPr>
        <w:t>ו</w:t>
      </w:r>
      <w:r w:rsidRPr="00CD570B">
        <w:rPr>
          <w:rStyle w:val="af8"/>
          <w:rFonts w:hint="cs"/>
          <w:rtl/>
        </w:rPr>
        <w:t>הפרמ"ג</w:t>
      </w:r>
      <w:r w:rsidRPr="00CD570B">
        <w:rPr>
          <w:rFonts w:hint="cs"/>
          <w:rtl/>
        </w:rPr>
        <w:t xml:space="preserve"> </w:t>
      </w:r>
      <w:r w:rsidRPr="00CD570B">
        <w:rPr>
          <w:rStyle w:val="af6"/>
          <w:rFonts w:eastAsia="Guttman Hodes" w:hint="cs"/>
          <w:rtl/>
        </w:rPr>
        <w:t xml:space="preserve">(פתיחה שער התערובת ח"ג פ"ג ד"ה גם הא) </w:t>
      </w:r>
      <w:r>
        <w:rPr>
          <w:rFonts w:hint="cs"/>
          <w:rtl/>
        </w:rPr>
        <w:t>דכיון דבמין בשאינו מינו לפני הבישול האיסור התבטל ברוב ההיתר, ומדאו' מותר לאוכלו ונעשה כהיתר גמור, א"כ אף אם יבשלם יחד והאיסור יתן טעם בהיתר, מדאו' אינו אוסר את ההיתר בנתינת טעם, וא"כ היאך שייך לאוסרו מדרבנן שמא יבשלו ויבא לאיסור דאו', הא אף אם יבשלו מותר מדאו'.</w:t>
      </w:r>
      <w:bookmarkEnd w:id="14408"/>
      <w:r>
        <w:rPr>
          <w:rFonts w:hint="cs"/>
          <w:rtl/>
        </w:rPr>
        <w:t xml:space="preserve"> [ועי' במה שביאר </w:t>
      </w:r>
      <w:r w:rsidRPr="00AD5BF6">
        <w:rPr>
          <w:rStyle w:val="af8"/>
          <w:rFonts w:hint="cs"/>
          <w:rtl/>
        </w:rPr>
        <w:t>השער"י</w:t>
      </w:r>
      <w:r>
        <w:rPr>
          <w:rFonts w:hint="cs"/>
          <w:rtl/>
        </w:rPr>
        <w:t xml:space="preserve"> </w:t>
      </w:r>
      <w:r w:rsidRPr="00AD5BF6">
        <w:rPr>
          <w:rStyle w:val="af6"/>
          <w:rFonts w:eastAsia="Guttman Hodes" w:hint="cs"/>
          <w:rtl/>
        </w:rPr>
        <w:t>(עי' הערה</w:t>
      </w:r>
      <w:r w:rsidRPr="00AD5BF6">
        <w:rPr>
          <w:vertAlign w:val="superscript"/>
          <w:rtl/>
        </w:rPr>
        <w:fldChar w:fldCharType="begin"/>
      </w:r>
      <w:r w:rsidRPr="00AD5BF6">
        <w:rPr>
          <w:vertAlign w:val="superscript"/>
          <w:rtl/>
        </w:rPr>
        <w:instrText xml:space="preserve"> </w:instrText>
      </w:r>
      <w:r w:rsidRPr="00AD5BF6">
        <w:rPr>
          <w:rFonts w:hint="cs"/>
          <w:vertAlign w:val="superscript"/>
        </w:rPr>
        <w:instrText>NOTEREF</w:instrText>
      </w:r>
      <w:r w:rsidRPr="00AD5BF6">
        <w:rPr>
          <w:rFonts w:hint="cs"/>
          <w:vertAlign w:val="superscript"/>
          <w:rtl/>
        </w:rPr>
        <w:instrText xml:space="preserve"> _</w:instrText>
      </w:r>
      <w:r w:rsidRPr="00AD5BF6">
        <w:rPr>
          <w:rFonts w:hint="cs"/>
          <w:vertAlign w:val="superscript"/>
        </w:rPr>
        <w:instrText>Ref25784758 \h</w:instrText>
      </w:r>
      <w:r w:rsidRPr="00AD5BF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AD5BF6">
        <w:rPr>
          <w:vertAlign w:val="superscript"/>
          <w:rtl/>
        </w:rPr>
      </w:r>
      <w:r w:rsidRPr="00AD5BF6">
        <w:rPr>
          <w:vertAlign w:val="superscript"/>
          <w:rtl/>
        </w:rPr>
        <w:fldChar w:fldCharType="separate"/>
      </w:r>
      <w:r w:rsidR="004D1C5B">
        <w:rPr>
          <w:vertAlign w:val="superscript"/>
          <w:rtl/>
        </w:rPr>
        <w:t>76</w:t>
      </w:r>
      <w:r w:rsidRPr="00AD5BF6">
        <w:rPr>
          <w:vertAlign w:val="superscript"/>
          <w:rtl/>
        </w:rPr>
        <w:fldChar w:fldCharType="end"/>
      </w:r>
      <w:r w:rsidRPr="00AD5BF6">
        <w:rPr>
          <w:rStyle w:val="af6"/>
          <w:rFonts w:eastAsia="Guttman Hodes" w:hint="cs"/>
          <w:rtl/>
        </w:rPr>
        <w:t>)</w:t>
      </w:r>
      <w:r>
        <w:rPr>
          <w:rFonts w:hint="cs"/>
          <w:rtl/>
        </w:rPr>
        <w:t>].</w:t>
      </w:r>
    </w:p>
    <w:p w:rsidR="00F13472" w:rsidRPr="00167B42" w:rsidRDefault="00F13472" w:rsidP="00F13472">
      <w:pPr>
        <w:pStyle w:val="a2"/>
      </w:pPr>
      <w:bookmarkStart w:id="14409" w:name="_Toc24918139"/>
      <w:bookmarkStart w:id="14410" w:name="_Toc24918350"/>
      <w:r>
        <w:rPr>
          <w:rFonts w:hint="cs"/>
          <w:rtl/>
        </w:rPr>
        <w:t>קושית הפרמ"ג דלהרא"ש דבמינו נהפך להיתר ומותר לבשל אף באינו מינו בבישל מותר מדאו'</w:t>
      </w:r>
      <w:bookmarkEnd w:id="14409"/>
      <w:bookmarkEnd w:id="14410"/>
    </w:p>
    <w:p w:rsidR="00F13472" w:rsidRDefault="00F13472" w:rsidP="009F44AF">
      <w:pPr>
        <w:pStyle w:val="a"/>
        <w:rPr>
          <w:rtl/>
        </w:rPr>
      </w:pPr>
      <w:r>
        <w:rPr>
          <w:rFonts w:hint="cs"/>
          <w:rtl/>
        </w:rPr>
        <w:t xml:space="preserve">ועוד הקשה </w:t>
      </w:r>
      <w:r w:rsidRPr="00847D58">
        <w:rPr>
          <w:rStyle w:val="af8"/>
          <w:rFonts w:hint="cs"/>
          <w:rtl/>
        </w:rPr>
        <w:t>הפרמ"ג</w:t>
      </w:r>
      <w:r>
        <w:rPr>
          <w:rFonts w:hint="cs"/>
          <w:rtl/>
        </w:rPr>
        <w:t xml:space="preserve"> </w:t>
      </w:r>
      <w:r w:rsidRPr="001256BC">
        <w:rPr>
          <w:rStyle w:val="af6"/>
          <w:rFonts w:eastAsia="Guttman Hodes" w:hint="cs"/>
          <w:rtl/>
        </w:rPr>
        <w:t>(פתיחה שער התערובת ח"א פ"ב ד"ה ומה שראוי)</w:t>
      </w:r>
      <w:r>
        <w:rPr>
          <w:rFonts w:hint="cs"/>
          <w:rtl/>
        </w:rPr>
        <w:t xml:space="preserve"> דהרי כיון דכתב </w:t>
      </w:r>
      <w:r w:rsidRPr="00847D58">
        <w:rPr>
          <w:rStyle w:val="af8"/>
          <w:rFonts w:hint="cs"/>
          <w:rtl/>
        </w:rPr>
        <w:t>הרא"ש</w:t>
      </w:r>
      <w:r>
        <w:rPr>
          <w:rFonts w:hint="cs"/>
          <w:rtl/>
        </w:rPr>
        <w:t xml:space="preserve"> דביבש ביבש במין במינו מותר לבשל את התערובת יחד, כיון שהאיסור נהפך להיתר, א"כ אף במין בשאינו מינו אמאי אסור לבשל, והיאך נאסר מדאו' מדין טעם כעיקר, אחר שהאיסור נהפך להיתר כשהיה יבש ביבש.</w:t>
      </w:r>
    </w:p>
    <w:p w:rsidR="00F13472" w:rsidRPr="0046214D" w:rsidRDefault="00F13472" w:rsidP="00F13472">
      <w:pPr>
        <w:pStyle w:val="a2"/>
      </w:pPr>
      <w:bookmarkStart w:id="14411" w:name="_Toc24918140"/>
      <w:bookmarkStart w:id="14412" w:name="_Toc24918351"/>
      <w:r>
        <w:rPr>
          <w:rFonts w:hint="cs"/>
          <w:rtl/>
        </w:rPr>
        <w:t>קושית הט"ז דמבואר דדבר שהתבטל ברוב היתר אינו חוזר ונאסר אף כשאין רוב היתר</w:t>
      </w:r>
      <w:bookmarkEnd w:id="14411"/>
      <w:bookmarkEnd w:id="14412"/>
    </w:p>
    <w:p w:rsidR="00F13472" w:rsidRDefault="00F13472" w:rsidP="009F44AF">
      <w:pPr>
        <w:pStyle w:val="a"/>
      </w:pPr>
      <w:r>
        <w:rPr>
          <w:rFonts w:hint="cs"/>
          <w:rtl/>
        </w:rPr>
        <w:t xml:space="preserve">והוסיף </w:t>
      </w:r>
      <w:r w:rsidRPr="00733375">
        <w:rPr>
          <w:rStyle w:val="af8"/>
          <w:rFonts w:hint="cs"/>
          <w:rtl/>
        </w:rPr>
        <w:t xml:space="preserve">הט"ז </w:t>
      </w:r>
      <w:r>
        <w:rPr>
          <w:rFonts w:hint="cs"/>
          <w:rtl/>
        </w:rPr>
        <w:t xml:space="preserve">להקשות דמ"ש מהא דכתב </w:t>
      </w:r>
      <w:r w:rsidRPr="00733375">
        <w:rPr>
          <w:rStyle w:val="af8"/>
          <w:rFonts w:hint="cs"/>
          <w:rtl/>
        </w:rPr>
        <w:t xml:space="preserve">השו"ע </w:t>
      </w:r>
      <w:r w:rsidRPr="00733375">
        <w:rPr>
          <w:rStyle w:val="af6"/>
          <w:rFonts w:eastAsia="Guttman Hodes" w:hint="cs"/>
          <w:rtl/>
        </w:rPr>
        <w:t>(סי' צ"ח ב')</w:t>
      </w:r>
      <w:r>
        <w:rPr>
          <w:rFonts w:hint="cs"/>
          <w:rtl/>
        </w:rPr>
        <w:t xml:space="preserve"> דמין במינו שהתבטל ברוב, ונשפכה התערובת ולא ידוע אם עכשיו יש רוב היתר, דמותר כיון שהתבטל בתחילה, וכתב</w:t>
      </w:r>
      <w:r w:rsidRPr="00733375">
        <w:rPr>
          <w:rStyle w:val="af8"/>
          <w:rFonts w:hint="cs"/>
          <w:rtl/>
        </w:rPr>
        <w:t xml:space="preserve"> הט"ז </w:t>
      </w:r>
      <w:r>
        <w:rPr>
          <w:rFonts w:hint="cs"/>
          <w:rtl/>
        </w:rPr>
        <w:t>דמבואר דכיון שהתבטל מדאו' א"כ אף מדרבנן א"צ שישים אם אח"כ האיסור יתן טעם בהיתר, כיון שכבר נעשה מותר מדאו' ואנו צריך שישים, וא"כ ה"ה ביבש ביבש שהתבטל ברוב וחזר ובישלו שישאר מותר, וא"צ שישים.</w:t>
      </w:r>
    </w:p>
    <w:p w:rsidR="00F13472" w:rsidRDefault="00F13472" w:rsidP="00F13472">
      <w:pPr>
        <w:pStyle w:val="a2"/>
        <w:rPr>
          <w:rtl/>
        </w:rPr>
      </w:pPr>
      <w:bookmarkStart w:id="14413" w:name="_Toc24918141"/>
      <w:bookmarkStart w:id="14414" w:name="_Toc24918352"/>
      <w:r>
        <w:rPr>
          <w:rFonts w:hint="cs"/>
          <w:rtl/>
        </w:rPr>
        <w:t>דברי הט"ז דבמין בשאינו מינו שהטעם ניכר אחר הבישול אסור מדאו' אף שהותר כשהיה יבש</w:t>
      </w:r>
      <w:bookmarkEnd w:id="14413"/>
      <w:bookmarkEnd w:id="14414"/>
    </w:p>
    <w:p w:rsidR="00F13472" w:rsidRDefault="00F13472" w:rsidP="009F44AF">
      <w:pPr>
        <w:pStyle w:val="a"/>
        <w:rPr>
          <w:rtl/>
        </w:rPr>
      </w:pPr>
      <w:bookmarkStart w:id="14415" w:name="_Ref24902302"/>
      <w:r>
        <w:rPr>
          <w:rFonts w:hint="cs"/>
          <w:rtl/>
        </w:rPr>
        <w:t xml:space="preserve">ותירץ </w:t>
      </w:r>
      <w:r w:rsidRPr="00801E6E">
        <w:rPr>
          <w:rStyle w:val="af8"/>
          <w:rFonts w:hint="cs"/>
          <w:rtl/>
        </w:rPr>
        <w:t>הט"ז</w:t>
      </w:r>
      <w:r>
        <w:rPr>
          <w:rFonts w:hint="cs"/>
          <w:rtl/>
        </w:rPr>
        <w:t xml:space="preserve"> דדוקא במקום שיש תערובת של כמה מינים שטעם האיסור אינו ניכר בפנ"ע, אינו חוזר ואוסר מדאו', אחר שהותר כשהיה יבש, אבל במין בשאינו מינו דטעם האיסור מורגש בפנ"ע אחר שהתבשל, הוא חוזר ואוסר מדאו', וכתב </w:t>
      </w:r>
      <w:r w:rsidRPr="00801E6E">
        <w:rPr>
          <w:rStyle w:val="af8"/>
          <w:rFonts w:hint="cs"/>
          <w:rtl/>
        </w:rPr>
        <w:t>הפרמ"ג</w:t>
      </w:r>
      <w:r>
        <w:rPr>
          <w:rFonts w:hint="cs"/>
          <w:rtl/>
        </w:rPr>
        <w:t xml:space="preserve"> </w:t>
      </w:r>
      <w:r w:rsidRPr="00CD570B">
        <w:rPr>
          <w:rStyle w:val="af6"/>
          <w:rFonts w:eastAsia="Guttman Hodes" w:hint="cs"/>
          <w:rtl/>
        </w:rPr>
        <w:t>(פתיחה שער התערובת ח"ג פ"ג ד"ה גם הא)</w:t>
      </w:r>
      <w:r>
        <w:rPr>
          <w:rFonts w:hint="cs"/>
          <w:rtl/>
        </w:rPr>
        <w:t xml:space="preserve"> דתירוץ </w:t>
      </w:r>
      <w:r w:rsidRPr="00801E6E">
        <w:rPr>
          <w:rStyle w:val="af8"/>
          <w:rFonts w:hint="cs"/>
          <w:rtl/>
        </w:rPr>
        <w:t>הט"ז</w:t>
      </w:r>
      <w:r>
        <w:rPr>
          <w:rFonts w:hint="cs"/>
          <w:rtl/>
        </w:rPr>
        <w:t xml:space="preserve"> הוא קשה קצת, עיי"ש בדברי </w:t>
      </w:r>
      <w:r w:rsidRPr="00446E1A">
        <w:rPr>
          <w:rStyle w:val="af8"/>
          <w:rFonts w:hint="cs"/>
          <w:rtl/>
        </w:rPr>
        <w:t>הפרמ"ג</w:t>
      </w:r>
      <w:r>
        <w:rPr>
          <w:rFonts w:hint="cs"/>
          <w:rtl/>
        </w:rPr>
        <w:t>.</w:t>
      </w:r>
      <w:bookmarkEnd w:id="14415"/>
    </w:p>
    <w:p w:rsidR="00F13472" w:rsidRDefault="00F13472" w:rsidP="00F13472">
      <w:pPr>
        <w:pStyle w:val="1"/>
        <w:rPr>
          <w:rtl/>
        </w:rPr>
      </w:pPr>
      <w:bookmarkStart w:id="14416" w:name="_Toc24918142"/>
      <w:bookmarkStart w:id="14417" w:name="_Toc24918353"/>
      <w:r>
        <w:rPr>
          <w:rFonts w:hint="cs"/>
          <w:rtl/>
        </w:rPr>
        <w:t>דברי  הב"ח והמנחת כהן דלהרא"ש מותר בבישל אף באינו מינו</w:t>
      </w:r>
      <w:bookmarkEnd w:id="14416"/>
      <w:bookmarkEnd w:id="14417"/>
    </w:p>
    <w:p w:rsidR="00F13472" w:rsidRDefault="00F13472" w:rsidP="00F13472">
      <w:pPr>
        <w:pStyle w:val="a2"/>
        <w:rPr>
          <w:rtl/>
        </w:rPr>
      </w:pPr>
      <w:bookmarkStart w:id="14418" w:name="_Toc24918143"/>
      <w:bookmarkStart w:id="14419" w:name="_Toc24918354"/>
      <w:r>
        <w:rPr>
          <w:rFonts w:hint="cs"/>
          <w:rtl/>
        </w:rPr>
        <w:t>ביאור המנחת כהן באיסור והיתר הארוך דמותר בבישל באינו מינו כדעת הרא"ש דנהפך להיתר</w:t>
      </w:r>
      <w:bookmarkEnd w:id="14418"/>
      <w:bookmarkEnd w:id="14419"/>
    </w:p>
    <w:p w:rsidR="00F13472" w:rsidRPr="00520C39" w:rsidRDefault="00F13472" w:rsidP="009F44AF">
      <w:pPr>
        <w:pStyle w:val="a"/>
        <w:rPr>
          <w:rtl/>
        </w:rPr>
      </w:pPr>
      <w:bookmarkStart w:id="14420" w:name="_Ref24888284"/>
      <w:bookmarkStart w:id="14421" w:name="_Ref24888985"/>
      <w:r>
        <w:rPr>
          <w:rFonts w:hint="cs"/>
          <w:rtl/>
        </w:rPr>
        <w:t xml:space="preserve">והביא </w:t>
      </w:r>
      <w:r w:rsidRPr="00D53138">
        <w:rPr>
          <w:rStyle w:val="af8"/>
          <w:rFonts w:hint="cs"/>
          <w:rtl/>
        </w:rPr>
        <w:t>הפרמ"ג</w:t>
      </w:r>
      <w:r>
        <w:rPr>
          <w:rFonts w:hint="cs"/>
          <w:rtl/>
        </w:rPr>
        <w:t xml:space="preserve"> </w:t>
      </w:r>
      <w:r w:rsidRPr="001256BC">
        <w:rPr>
          <w:rStyle w:val="af6"/>
          <w:rFonts w:eastAsia="Guttman Hodes" w:hint="cs"/>
          <w:rtl/>
        </w:rPr>
        <w:t>(פתיחה שער התערובת ח"א פ"ב ד"ה ומה שראוי)</w:t>
      </w:r>
      <w:r>
        <w:rPr>
          <w:rFonts w:hint="cs"/>
          <w:rtl/>
        </w:rPr>
        <w:t xml:space="preserve"> את דברי </w:t>
      </w:r>
      <w:r>
        <w:rPr>
          <w:rStyle w:val="af8"/>
          <w:rFonts w:hint="cs"/>
          <w:rtl/>
        </w:rPr>
        <w:t>ה</w:t>
      </w:r>
      <w:r w:rsidRPr="00847D58">
        <w:rPr>
          <w:rStyle w:val="af8"/>
          <w:rFonts w:hint="cs"/>
          <w:rtl/>
        </w:rPr>
        <w:t>איסור והיתר הארוך</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Ref24888334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עב)</w:t>
      </w:r>
      <w:r>
        <w:rPr>
          <w:rStyle w:val="af6"/>
          <w:rFonts w:eastAsia="Guttman Hodes"/>
          <w:rtl/>
        </w:rPr>
        <w:fldChar w:fldCharType="end"/>
      </w:r>
      <w:r>
        <w:rPr>
          <w:rStyle w:val="af6"/>
          <w:rFonts w:eastAsia="Guttman Hodes" w:hint="cs"/>
          <w:rtl/>
        </w:rPr>
        <w:t xml:space="preserve"> </w:t>
      </w:r>
      <w:r w:rsidRPr="00D53138">
        <w:rPr>
          <w:rFonts w:hint="cs"/>
          <w:rtl/>
        </w:rPr>
        <w:t>דכת</w:t>
      </w:r>
      <w:r>
        <w:rPr>
          <w:rFonts w:hint="cs"/>
          <w:rtl/>
        </w:rPr>
        <w:t xml:space="preserve">ב דבנודעה התערובת במין בשאינו מינו ביבש, מותר לבשל את כל התערובת לכתחילה, וכתב </w:t>
      </w:r>
      <w:r w:rsidRPr="00C23DB1">
        <w:rPr>
          <w:rStyle w:val="af8"/>
          <w:rFonts w:hint="cs"/>
          <w:rtl/>
        </w:rPr>
        <w:t>האיסור והיתר</w:t>
      </w:r>
      <w:r>
        <w:rPr>
          <w:rFonts w:hint="cs"/>
          <w:rtl/>
        </w:rPr>
        <w:t xml:space="preserve"> דכן ביאר בהמשך דבריו, וביאר </w:t>
      </w:r>
      <w:r w:rsidRPr="00847D58">
        <w:rPr>
          <w:rStyle w:val="af8"/>
          <w:rFonts w:hint="cs"/>
          <w:rtl/>
        </w:rPr>
        <w:t>המנחת כהן</w:t>
      </w:r>
      <w:r>
        <w:rPr>
          <w:rFonts w:hint="cs"/>
          <w:rtl/>
        </w:rPr>
        <w:t xml:space="preserve"> </w:t>
      </w:r>
      <w:r w:rsidRPr="00847D58">
        <w:rPr>
          <w:rStyle w:val="af6"/>
          <w:rFonts w:eastAsia="Guttman Hodes" w:hint="cs"/>
          <w:rtl/>
        </w:rPr>
        <w:t>(ס' התערובות ח"ב פ"ב ד"</w:t>
      </w:r>
      <w:r>
        <w:rPr>
          <w:rStyle w:val="af6"/>
          <w:rFonts w:eastAsia="Guttman Hodes" w:hint="cs"/>
          <w:rtl/>
        </w:rPr>
        <w:t>ה ונמצא ב</w:t>
      </w:r>
      <w:r w:rsidRPr="00847D58">
        <w:rPr>
          <w:rStyle w:val="af6"/>
          <w:rFonts w:eastAsia="Guttman Hodes" w:hint="cs"/>
          <w:rtl/>
        </w:rPr>
        <w:t xml:space="preserve">סוגריים) </w:t>
      </w:r>
      <w:r w:rsidRPr="00847D58">
        <w:rPr>
          <w:rStyle w:val="af8"/>
          <w:rFonts w:hint="cs"/>
          <w:rtl/>
        </w:rPr>
        <w:t>דהאיסור והיתר הארוך</w:t>
      </w:r>
      <w:r>
        <w:rPr>
          <w:rFonts w:hint="cs"/>
          <w:rtl/>
        </w:rPr>
        <w:t xml:space="preserve"> ס"ל </w:t>
      </w:r>
      <w:r w:rsidRPr="00847D58">
        <w:rPr>
          <w:rStyle w:val="af8"/>
          <w:rFonts w:hint="cs"/>
          <w:rtl/>
        </w:rPr>
        <w:t>כהרא"ש</w:t>
      </w:r>
      <w:r>
        <w:rPr>
          <w:rFonts w:hint="cs"/>
          <w:rtl/>
        </w:rPr>
        <w:t xml:space="preserve"> </w:t>
      </w:r>
      <w:r w:rsidRPr="003A4D9E">
        <w:rPr>
          <w:rStyle w:val="af6"/>
          <w:rFonts w:eastAsia="Guttman Hodes" w:hint="cs"/>
          <w:rtl/>
        </w:rPr>
        <w:t xml:space="preserve">(עי' אות </w:t>
      </w:r>
      <w:r w:rsidRPr="003A4D9E">
        <w:rPr>
          <w:rStyle w:val="af6"/>
          <w:rFonts w:eastAsia="Guttman Hodes"/>
          <w:rtl/>
        </w:rPr>
        <w:fldChar w:fldCharType="begin"/>
      </w:r>
      <w:r w:rsidRPr="003A4D9E">
        <w:rPr>
          <w:rStyle w:val="af6"/>
          <w:rFonts w:eastAsia="Guttman Hodes"/>
          <w:rtl/>
        </w:rPr>
        <w:instrText xml:space="preserve"> </w:instrText>
      </w:r>
      <w:r w:rsidRPr="003A4D9E">
        <w:rPr>
          <w:rStyle w:val="af6"/>
          <w:rFonts w:eastAsia="Guttman Hodes" w:hint="cs"/>
        </w:rPr>
        <w:instrText>REF</w:instrText>
      </w:r>
      <w:r w:rsidRPr="003A4D9E">
        <w:rPr>
          <w:rStyle w:val="af6"/>
          <w:rFonts w:eastAsia="Guttman Hodes" w:hint="cs"/>
          <w:rtl/>
        </w:rPr>
        <w:instrText xml:space="preserve"> _</w:instrText>
      </w:r>
      <w:r w:rsidRPr="003A4D9E">
        <w:rPr>
          <w:rStyle w:val="af6"/>
          <w:rFonts w:eastAsia="Guttman Hodes" w:hint="cs"/>
        </w:rPr>
        <w:instrText>Ref23930562 \r \h</w:instrText>
      </w:r>
      <w:r w:rsidRPr="003A4D9E">
        <w:rPr>
          <w:rStyle w:val="af6"/>
          <w:rFonts w:eastAsia="Guttman Hodes"/>
          <w:rtl/>
        </w:rPr>
        <w:instrText xml:space="preserve"> </w:instrText>
      </w:r>
      <w:r w:rsidRPr="003A4D9E">
        <w:rPr>
          <w:rStyle w:val="af6"/>
          <w:rFonts w:eastAsia="Guttman Hodes"/>
          <w:rtl/>
        </w:rPr>
      </w:r>
      <w:r w:rsidRPr="003A4D9E">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3A4D9E">
        <w:rPr>
          <w:rStyle w:val="af6"/>
          <w:rFonts w:eastAsia="Guttman Hodes"/>
          <w:rtl/>
        </w:rPr>
        <w:fldChar w:fldCharType="end"/>
      </w:r>
      <w:r>
        <w:rPr>
          <w:rFonts w:hint="cs"/>
          <w:rtl/>
        </w:rPr>
        <w:t xml:space="preserve"> </w:t>
      </w:r>
      <w:r w:rsidRPr="0048777B">
        <w:rPr>
          <w:rStyle w:val="afa"/>
          <w:rFonts w:hint="cs"/>
          <w:rtl/>
        </w:rPr>
        <w:t xml:space="preserve">[וכוונתו למ"ש בהמשך דברי </w:t>
      </w:r>
      <w:r w:rsidRPr="00847D58">
        <w:rPr>
          <w:rStyle w:val="affa"/>
          <w:rFonts w:hint="cs"/>
          <w:rtl/>
        </w:rPr>
        <w:t>האיסור והיתר</w:t>
      </w:r>
      <w:r w:rsidRPr="0048777B">
        <w:rPr>
          <w:rStyle w:val="afa"/>
          <w:rFonts w:hint="cs"/>
          <w:rtl/>
        </w:rPr>
        <w:t xml:space="preserve"> </w:t>
      </w:r>
      <w:r w:rsidRPr="00847D58">
        <w:rPr>
          <w:rStyle w:val="aff6"/>
          <w:rFonts w:hint="cs"/>
          <w:rtl/>
        </w:rPr>
        <w:t>(שער כ"ג אות ט')</w:t>
      </w:r>
      <w:r w:rsidRPr="0048777B">
        <w:rPr>
          <w:rStyle w:val="afa"/>
          <w:rFonts w:hint="cs"/>
          <w:rtl/>
        </w:rPr>
        <w:t xml:space="preserve">] </w:t>
      </w:r>
      <w:r>
        <w:rPr>
          <w:rFonts w:hint="cs"/>
          <w:rtl/>
        </w:rPr>
        <w:t>דאיסור שהתבטל ביבש ביבש אינו חוזר ונאסר אף אם בישל את התערובת</w:t>
      </w:r>
      <w:bookmarkEnd w:id="14420"/>
      <w:r>
        <w:rPr>
          <w:rFonts w:hint="cs"/>
          <w:rtl/>
        </w:rPr>
        <w:t>.</w:t>
      </w:r>
      <w:bookmarkEnd w:id="14421"/>
      <w:r>
        <w:rPr>
          <w:rFonts w:hint="cs"/>
          <w:rtl/>
        </w:rPr>
        <w:t xml:space="preserve"> </w:t>
      </w:r>
    </w:p>
    <w:p w:rsidR="00F13472" w:rsidRPr="00286D2F" w:rsidRDefault="00F13472" w:rsidP="00F13472">
      <w:pPr>
        <w:pStyle w:val="a2"/>
        <w:rPr>
          <w:rtl/>
        </w:rPr>
      </w:pPr>
      <w:bookmarkStart w:id="14422" w:name="_Toc24918144"/>
      <w:bookmarkStart w:id="14423" w:name="_Toc24918355"/>
      <w:bookmarkStart w:id="14424" w:name="_Toc24403385"/>
      <w:bookmarkStart w:id="14425" w:name="_Toc24455852"/>
      <w:bookmarkStart w:id="14426" w:name="_Toc24576857"/>
      <w:bookmarkStart w:id="14427" w:name="_Toc24709432"/>
      <w:bookmarkStart w:id="14428" w:name="_Toc24839043"/>
      <w:r>
        <w:rPr>
          <w:rFonts w:hint="cs"/>
          <w:rtl/>
        </w:rPr>
        <w:t>דברי הפרמ"ג דמבואר בב"ח דלהרא"ש מותר בחזר ובישל אף באינו מינו כשהתבטל ביבש</w:t>
      </w:r>
      <w:bookmarkEnd w:id="14422"/>
      <w:bookmarkEnd w:id="14423"/>
    </w:p>
    <w:p w:rsidR="00F13472" w:rsidRDefault="00F13472" w:rsidP="009F44AF">
      <w:pPr>
        <w:pStyle w:val="a"/>
        <w:rPr>
          <w:rtl/>
        </w:rPr>
      </w:pPr>
      <w:bookmarkStart w:id="14429" w:name="_Ref24888924"/>
      <w:r>
        <w:rPr>
          <w:rFonts w:hint="cs"/>
          <w:rtl/>
        </w:rPr>
        <w:lastRenderedPageBreak/>
        <w:t>ו</w:t>
      </w:r>
      <w:r w:rsidRPr="008C662D">
        <w:rPr>
          <w:rFonts w:hint="cs"/>
          <w:rtl/>
        </w:rPr>
        <w:t>כ</w:t>
      </w:r>
      <w:r>
        <w:rPr>
          <w:rFonts w:hint="cs"/>
          <w:rtl/>
        </w:rPr>
        <w:t>ן מבואר בדברי</w:t>
      </w:r>
      <w:r w:rsidRPr="008C662D">
        <w:rPr>
          <w:rFonts w:hint="cs"/>
          <w:rtl/>
        </w:rPr>
        <w:t xml:space="preserve"> </w:t>
      </w:r>
      <w:r w:rsidRPr="008C662D">
        <w:rPr>
          <w:rStyle w:val="af8"/>
          <w:rFonts w:hint="cs"/>
          <w:rtl/>
        </w:rPr>
        <w:t>הב"ח</w:t>
      </w:r>
      <w:r w:rsidRPr="008C662D">
        <w:rPr>
          <w:rFonts w:hint="cs"/>
          <w:rtl/>
        </w:rPr>
        <w:t xml:space="preserve"> </w:t>
      </w:r>
      <w:r w:rsidRPr="00286D2F">
        <w:rPr>
          <w:rStyle w:val="af6"/>
          <w:rFonts w:eastAsia="Guttman Hodes" w:hint="cs"/>
          <w:rtl/>
        </w:rPr>
        <w:t>(סי' ק"ב ד' ד"ה כתב בתשו')</w:t>
      </w:r>
      <w:r w:rsidRPr="008C662D">
        <w:rPr>
          <w:rFonts w:hint="cs"/>
          <w:rtl/>
        </w:rPr>
        <w:t xml:space="preserve"> </w:t>
      </w:r>
      <w:r>
        <w:rPr>
          <w:rFonts w:hint="cs"/>
          <w:rtl/>
        </w:rPr>
        <w:t xml:space="preserve">דכתב </w:t>
      </w:r>
      <w:r w:rsidRPr="008C662D">
        <w:rPr>
          <w:rFonts w:hint="cs"/>
          <w:rtl/>
        </w:rPr>
        <w:t xml:space="preserve">בענין כלים של בשר בחלב, </w:t>
      </w:r>
      <w:r w:rsidRPr="008C662D">
        <w:rPr>
          <w:rStyle w:val="afa"/>
          <w:rFonts w:hint="cs"/>
          <w:rtl/>
        </w:rPr>
        <w:t xml:space="preserve">[דהוא מין בשאינו מינו], </w:t>
      </w:r>
      <w:r w:rsidRPr="008C662D">
        <w:rPr>
          <w:rFonts w:hint="cs"/>
          <w:rtl/>
        </w:rPr>
        <w:t xml:space="preserve">דלדעת </w:t>
      </w:r>
      <w:r w:rsidRPr="008C662D">
        <w:rPr>
          <w:rStyle w:val="af8"/>
          <w:rFonts w:hint="cs"/>
          <w:rtl/>
        </w:rPr>
        <w:t>הרא"ש</w:t>
      </w:r>
      <w:r w:rsidRPr="008C662D">
        <w:rPr>
          <w:rFonts w:hint="cs"/>
          <w:rtl/>
        </w:rPr>
        <w:t xml:space="preserve"> </w:t>
      </w:r>
      <w:r w:rsidRPr="00286D2F">
        <w:rPr>
          <w:rStyle w:val="af6"/>
          <w:rFonts w:eastAsia="Guttman Hodes" w:hint="cs"/>
          <w:rtl/>
        </w:rPr>
        <w:t xml:space="preserve">(עי' אות </w:t>
      </w:r>
      <w:r w:rsidRPr="00286D2F">
        <w:rPr>
          <w:rStyle w:val="af6"/>
          <w:rFonts w:eastAsia="Guttman Hodes"/>
          <w:rtl/>
        </w:rPr>
        <w:fldChar w:fldCharType="begin"/>
      </w:r>
      <w:r w:rsidRPr="00286D2F">
        <w:rPr>
          <w:rStyle w:val="af6"/>
          <w:rFonts w:eastAsia="Guttman Hodes"/>
          <w:rtl/>
        </w:rPr>
        <w:instrText xml:space="preserve"> </w:instrText>
      </w:r>
      <w:r w:rsidRPr="00286D2F">
        <w:rPr>
          <w:rStyle w:val="af6"/>
          <w:rFonts w:eastAsia="Guttman Hodes" w:hint="cs"/>
        </w:rPr>
        <w:instrText>REF</w:instrText>
      </w:r>
      <w:r w:rsidRPr="00286D2F">
        <w:rPr>
          <w:rStyle w:val="af6"/>
          <w:rFonts w:eastAsia="Guttman Hodes" w:hint="cs"/>
          <w:rtl/>
        </w:rPr>
        <w:instrText xml:space="preserve"> _</w:instrText>
      </w:r>
      <w:r w:rsidRPr="00286D2F">
        <w:rPr>
          <w:rStyle w:val="af6"/>
          <w:rFonts w:eastAsia="Guttman Hodes" w:hint="cs"/>
        </w:rPr>
        <w:instrText>Ref24564844 \r \h</w:instrText>
      </w:r>
      <w:r w:rsidRPr="00286D2F">
        <w:rPr>
          <w:rStyle w:val="af6"/>
          <w:rFonts w:eastAsia="Guttman Hodes"/>
          <w:rtl/>
        </w:rPr>
        <w:instrText xml:space="preserve"> </w:instrText>
      </w:r>
      <w:r w:rsidRPr="00286D2F">
        <w:rPr>
          <w:rStyle w:val="af6"/>
          <w:rFonts w:eastAsia="Guttman Hodes"/>
          <w:rtl/>
        </w:rPr>
      </w:r>
      <w:r w:rsidRPr="00286D2F">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286D2F">
        <w:rPr>
          <w:rStyle w:val="af6"/>
          <w:rFonts w:eastAsia="Guttman Hodes"/>
          <w:rtl/>
        </w:rPr>
        <w:fldChar w:fldCharType="end"/>
      </w:r>
      <w:r>
        <w:rPr>
          <w:rFonts w:hint="cs"/>
          <w:rtl/>
        </w:rPr>
        <w:t xml:space="preserve"> </w:t>
      </w:r>
      <w:r w:rsidRPr="008C662D">
        <w:rPr>
          <w:rFonts w:hint="cs"/>
          <w:rtl/>
        </w:rPr>
        <w:t>כל שהאיסור התבטל ברוב, נעשה היתר, ורק מדרבנן צריך שישים ביבש ביבש במין בשאינו מינו, כמו שאם יבשלם יחד יצטרך שישים,  ואינו חוזר לאיסור כשחזר ובישלו</w:t>
      </w:r>
      <w:r>
        <w:rPr>
          <w:rFonts w:hint="cs"/>
          <w:rtl/>
        </w:rPr>
        <w:t xml:space="preserve">, </w:t>
      </w:r>
      <w:r w:rsidRPr="008C662D">
        <w:rPr>
          <w:rFonts w:hint="cs"/>
          <w:rtl/>
        </w:rPr>
        <w:t xml:space="preserve">וכתב </w:t>
      </w:r>
      <w:r w:rsidRPr="008C662D">
        <w:rPr>
          <w:rStyle w:val="af8"/>
          <w:rFonts w:hint="cs"/>
          <w:rtl/>
        </w:rPr>
        <w:t>הפרמ"ג</w:t>
      </w:r>
      <w:r w:rsidRPr="008C662D">
        <w:rPr>
          <w:rFonts w:hint="cs"/>
          <w:rtl/>
        </w:rPr>
        <w:t xml:space="preserve"> </w:t>
      </w:r>
      <w:r w:rsidRPr="00286D2F">
        <w:rPr>
          <w:rStyle w:val="af6"/>
          <w:rFonts w:eastAsia="Guttman Hodes" w:hint="cs"/>
          <w:rtl/>
        </w:rPr>
        <w:t>(סי' ק"ב שפ"ד סק"ח ד"ה ומה שכתב)</w:t>
      </w:r>
      <w:r w:rsidRPr="008C662D">
        <w:rPr>
          <w:rFonts w:hint="cs"/>
          <w:rtl/>
        </w:rPr>
        <w:t xml:space="preserve"> דמשמע מדברי </w:t>
      </w:r>
      <w:r w:rsidRPr="008C662D">
        <w:rPr>
          <w:rStyle w:val="af8"/>
          <w:rFonts w:hint="cs"/>
          <w:rtl/>
        </w:rPr>
        <w:t>הב"ח</w:t>
      </w:r>
      <w:r w:rsidRPr="008C662D">
        <w:rPr>
          <w:rFonts w:hint="cs"/>
          <w:rtl/>
        </w:rPr>
        <w:t xml:space="preserve"> דאף</w:t>
      </w:r>
      <w:r>
        <w:rPr>
          <w:rFonts w:hint="cs"/>
          <w:rtl/>
        </w:rPr>
        <w:t xml:space="preserve"> במין בשאינו מינו, כשהתבטל ברוב מדאו', וחזר ובישלו אח"כ מותר מדאו'.</w:t>
      </w:r>
      <w:bookmarkEnd w:id="14429"/>
    </w:p>
    <w:p w:rsidR="00F13472" w:rsidRDefault="00F13472" w:rsidP="00F13472">
      <w:pPr>
        <w:pStyle w:val="1"/>
        <w:rPr>
          <w:rtl/>
        </w:rPr>
      </w:pPr>
      <w:bookmarkStart w:id="14430" w:name="_Toc24918145"/>
      <w:bookmarkStart w:id="14431" w:name="_Toc24918356"/>
      <w:r>
        <w:rPr>
          <w:rFonts w:hint="cs"/>
          <w:rtl/>
        </w:rPr>
        <w:t>דברי הפרמ"ג</w:t>
      </w:r>
      <w:bookmarkEnd w:id="14424"/>
      <w:bookmarkEnd w:id="14425"/>
      <w:bookmarkEnd w:id="14426"/>
      <w:bookmarkEnd w:id="14427"/>
      <w:bookmarkEnd w:id="14428"/>
      <w:r>
        <w:rPr>
          <w:rFonts w:hint="cs"/>
          <w:rtl/>
        </w:rPr>
        <w:t xml:space="preserve"> דהרא"ש התיר בנודעה התערובת רק במין במינו</w:t>
      </w:r>
      <w:bookmarkEnd w:id="14430"/>
      <w:bookmarkEnd w:id="14431"/>
    </w:p>
    <w:p w:rsidR="00F13472" w:rsidRDefault="00F13472" w:rsidP="00F13472">
      <w:pPr>
        <w:pStyle w:val="a2"/>
        <w:rPr>
          <w:rtl/>
        </w:rPr>
      </w:pPr>
      <w:bookmarkStart w:id="14432" w:name="_Toc24918146"/>
      <w:bookmarkStart w:id="14433" w:name="_Toc24918357"/>
      <w:r>
        <w:rPr>
          <w:rFonts w:hint="cs"/>
          <w:rtl/>
        </w:rPr>
        <w:t>דברי הפרמ"ג דהרא"ש התיר בחזר ובישל רק במין במינו בנודעה התערובת ולא באינו מינו</w:t>
      </w:r>
      <w:bookmarkEnd w:id="14432"/>
      <w:bookmarkEnd w:id="14433"/>
    </w:p>
    <w:p w:rsidR="00F13472" w:rsidRDefault="00F13472" w:rsidP="009F44AF">
      <w:pPr>
        <w:pStyle w:val="a"/>
        <w:rPr>
          <w:rtl/>
        </w:rPr>
      </w:pPr>
      <w:bookmarkStart w:id="14434" w:name="_Ref24888290"/>
      <w:r>
        <w:rPr>
          <w:rFonts w:hint="cs"/>
          <w:rtl/>
        </w:rPr>
        <w:t xml:space="preserve">ודחה </w:t>
      </w:r>
      <w:r w:rsidRPr="00847D58">
        <w:rPr>
          <w:rStyle w:val="af8"/>
          <w:rFonts w:hint="cs"/>
          <w:rtl/>
        </w:rPr>
        <w:t>הפרמ"ג</w:t>
      </w:r>
      <w:r>
        <w:rPr>
          <w:rFonts w:hint="cs"/>
          <w:rtl/>
        </w:rPr>
        <w:t xml:space="preserve"> </w:t>
      </w:r>
      <w:r w:rsidRPr="001256BC">
        <w:rPr>
          <w:rStyle w:val="af6"/>
          <w:rFonts w:eastAsia="Guttman Hodes" w:hint="cs"/>
          <w:rtl/>
        </w:rPr>
        <w:t>(פתיחה שער התערובת ח"א פ"ב ד"ה ומה שראוי)</w:t>
      </w:r>
      <w:r>
        <w:rPr>
          <w:rFonts w:hint="cs"/>
          <w:rtl/>
        </w:rPr>
        <w:t xml:space="preserve"> את דברי </w:t>
      </w:r>
      <w:r w:rsidRPr="00847D58">
        <w:rPr>
          <w:rStyle w:val="af8"/>
          <w:rFonts w:hint="cs"/>
          <w:rtl/>
        </w:rPr>
        <w:t>המנחת כהן</w:t>
      </w:r>
      <w:r>
        <w:rPr>
          <w:rFonts w:hint="cs"/>
          <w:rtl/>
        </w:rPr>
        <w:t xml:space="preserve"> דכל דברי </w:t>
      </w:r>
      <w:r w:rsidRPr="00847D58">
        <w:rPr>
          <w:rStyle w:val="af8"/>
          <w:rFonts w:hint="cs"/>
          <w:rtl/>
        </w:rPr>
        <w:t>הרא"ש</w:t>
      </w:r>
      <w:r>
        <w:rPr>
          <w:rFonts w:hint="cs"/>
          <w:rtl/>
        </w:rPr>
        <w:t xml:space="preserve"> הם במין במינו, אבל במין בשאינו מינו, לא כתב </w:t>
      </w:r>
      <w:r w:rsidRPr="00847D58">
        <w:rPr>
          <w:rStyle w:val="af8"/>
          <w:rFonts w:hint="cs"/>
          <w:rtl/>
        </w:rPr>
        <w:t>הרא"ש</w:t>
      </w:r>
      <w:r>
        <w:rPr>
          <w:rFonts w:hint="cs"/>
          <w:rtl/>
        </w:rPr>
        <w:t xml:space="preserve"> דבנודעה התערובת ביבש, אינה נאסרת כשחזר ובישלה, יחד.</w:t>
      </w:r>
      <w:bookmarkEnd w:id="14434"/>
    </w:p>
    <w:p w:rsidR="00F13472" w:rsidRPr="006E63CC" w:rsidRDefault="00F13472" w:rsidP="00F13472">
      <w:pPr>
        <w:pStyle w:val="a2"/>
      </w:pPr>
      <w:bookmarkStart w:id="14435" w:name="_Toc24918147"/>
      <w:bookmarkStart w:id="14436" w:name="_Toc24918358"/>
      <w:r>
        <w:rPr>
          <w:rFonts w:hint="cs"/>
          <w:rtl/>
        </w:rPr>
        <w:t>דברי הפרמ"ג דבטור מוכח דאף להרא"ש אסור בחזר ובישל במין בשאינו מינו שיש נתינת טעם</w:t>
      </w:r>
      <w:bookmarkEnd w:id="14435"/>
      <w:bookmarkEnd w:id="14436"/>
    </w:p>
    <w:p w:rsidR="00F13472" w:rsidRDefault="00F13472" w:rsidP="009F44AF">
      <w:pPr>
        <w:pStyle w:val="a"/>
        <w:rPr>
          <w:rtl/>
        </w:rPr>
      </w:pPr>
      <w:r>
        <w:rPr>
          <w:rFonts w:hint="cs"/>
          <w:rtl/>
        </w:rPr>
        <w:t xml:space="preserve">וכתב </w:t>
      </w:r>
      <w:r w:rsidRPr="00B110B3">
        <w:rPr>
          <w:rStyle w:val="af8"/>
          <w:rFonts w:hint="cs"/>
          <w:rtl/>
        </w:rPr>
        <w:t>הפרמ"ג</w:t>
      </w:r>
      <w:r>
        <w:rPr>
          <w:rFonts w:hint="cs"/>
          <w:rtl/>
        </w:rPr>
        <w:t xml:space="preserve"> דכן מוכח מהא </w:t>
      </w:r>
      <w:r w:rsidRPr="00B110B3">
        <w:rPr>
          <w:rStyle w:val="af8"/>
          <w:rFonts w:hint="cs"/>
          <w:rtl/>
        </w:rPr>
        <w:t>דהטור</w:t>
      </w:r>
      <w:r>
        <w:rPr>
          <w:rFonts w:hint="cs"/>
          <w:rtl/>
        </w:rPr>
        <w:t xml:space="preserve"> </w:t>
      </w:r>
      <w:r w:rsidRPr="00ED293F">
        <w:rPr>
          <w:rStyle w:val="af6"/>
          <w:rFonts w:eastAsia="Guttman Hodes" w:hint="cs"/>
          <w:rtl/>
        </w:rPr>
        <w:t xml:space="preserve">(סי' ק"ט ב') </w:t>
      </w:r>
      <w:r>
        <w:rPr>
          <w:rFonts w:hint="cs"/>
          <w:rtl/>
        </w:rPr>
        <w:t xml:space="preserve">ס"ל </w:t>
      </w:r>
      <w:r w:rsidRPr="00B110B3">
        <w:rPr>
          <w:rStyle w:val="af8"/>
          <w:rFonts w:hint="cs"/>
          <w:rtl/>
        </w:rPr>
        <w:t>כהרא"ש</w:t>
      </w:r>
      <w:r>
        <w:rPr>
          <w:rFonts w:hint="cs"/>
          <w:rtl/>
        </w:rPr>
        <w:t xml:space="preserve"> דבנודעה התערובת לפני שבישלה מותר, ואפ"ה כתב </w:t>
      </w:r>
      <w:r w:rsidRPr="00B110B3">
        <w:rPr>
          <w:rStyle w:val="af8"/>
          <w:rFonts w:hint="cs"/>
          <w:rtl/>
        </w:rPr>
        <w:t>הטור</w:t>
      </w:r>
      <w:r>
        <w:rPr>
          <w:rFonts w:hint="cs"/>
          <w:rtl/>
        </w:rPr>
        <w:t xml:space="preserve"> </w:t>
      </w:r>
      <w:r w:rsidRPr="00ED293F">
        <w:rPr>
          <w:rStyle w:val="af6"/>
          <w:rFonts w:eastAsia="Guttman Hodes" w:hint="cs"/>
          <w:rtl/>
        </w:rPr>
        <w:t xml:space="preserve">(סי' ק"ט א', הובא בסימן </w:t>
      </w:r>
      <w:r>
        <w:rPr>
          <w:rStyle w:val="af6"/>
          <w:rFonts w:eastAsia="Guttman Hodes" w:hint="cs"/>
          <w:rtl/>
        </w:rPr>
        <w:t>ט"ז</w:t>
      </w:r>
      <w:r w:rsidRPr="00ED293F">
        <w:rPr>
          <w:rStyle w:val="af6"/>
          <w:rFonts w:eastAsia="Guttman Hodes" w:hint="cs"/>
          <w:rtl/>
        </w:rPr>
        <w:t xml:space="preserve"> אות </w:t>
      </w:r>
      <w:r>
        <w:rPr>
          <w:rStyle w:val="af6"/>
          <w:rFonts w:eastAsia="Guttman Hodes" w:hint="cs"/>
          <w:rtl/>
        </w:rPr>
        <w:t>ס"ד</w:t>
      </w:r>
      <w:r w:rsidRPr="00ED293F">
        <w:rPr>
          <w:rStyle w:val="af6"/>
          <w:rFonts w:eastAsia="Guttman Hodes" w:hint="cs"/>
          <w:rtl/>
        </w:rPr>
        <w:t xml:space="preserve">) </w:t>
      </w:r>
      <w:r>
        <w:rPr>
          <w:rFonts w:hint="cs"/>
          <w:rtl/>
        </w:rPr>
        <w:t xml:space="preserve">בשם </w:t>
      </w:r>
      <w:r w:rsidRPr="00B110B3">
        <w:rPr>
          <w:rStyle w:val="af8"/>
          <w:rFonts w:hint="cs"/>
          <w:rtl/>
        </w:rPr>
        <w:t>ספר התרומה</w:t>
      </w:r>
      <w:r>
        <w:rPr>
          <w:rFonts w:hint="cs"/>
          <w:rtl/>
        </w:rPr>
        <w:t xml:space="preserve"> </w:t>
      </w:r>
      <w:r w:rsidRPr="003A4D9E">
        <w:rPr>
          <w:rStyle w:val="af6"/>
          <w:rFonts w:eastAsia="Guttman Hodes" w:hint="cs"/>
          <w:rtl/>
        </w:rPr>
        <w:t xml:space="preserve">(עי' אות </w:t>
      </w:r>
      <w:r w:rsidRPr="003A4D9E">
        <w:rPr>
          <w:rStyle w:val="af6"/>
          <w:rFonts w:eastAsia="Guttman Hodes"/>
          <w:rtl/>
        </w:rPr>
        <w:fldChar w:fldCharType="begin"/>
      </w:r>
      <w:r w:rsidRPr="003A4D9E">
        <w:rPr>
          <w:rStyle w:val="af6"/>
          <w:rFonts w:eastAsia="Guttman Hodes"/>
          <w:rtl/>
        </w:rPr>
        <w:instrText xml:space="preserve"> </w:instrText>
      </w:r>
      <w:r w:rsidRPr="003A4D9E">
        <w:rPr>
          <w:rStyle w:val="af6"/>
          <w:rFonts w:eastAsia="Guttman Hodes" w:hint="cs"/>
        </w:rPr>
        <w:instrText>REF</w:instrText>
      </w:r>
      <w:r w:rsidRPr="003A4D9E">
        <w:rPr>
          <w:rStyle w:val="af6"/>
          <w:rFonts w:eastAsia="Guttman Hodes" w:hint="cs"/>
          <w:rtl/>
        </w:rPr>
        <w:instrText xml:space="preserve"> _</w:instrText>
      </w:r>
      <w:r w:rsidRPr="003A4D9E">
        <w:rPr>
          <w:rStyle w:val="af6"/>
          <w:rFonts w:eastAsia="Guttman Hodes" w:hint="cs"/>
        </w:rPr>
        <w:instrText>Ref24887396 \r \h</w:instrText>
      </w:r>
      <w:r w:rsidRPr="003A4D9E">
        <w:rPr>
          <w:rStyle w:val="af6"/>
          <w:rFonts w:eastAsia="Guttman Hodes"/>
          <w:rtl/>
        </w:rPr>
        <w:instrText xml:space="preserve"> </w:instrText>
      </w:r>
      <w:r w:rsidRPr="003A4D9E">
        <w:rPr>
          <w:rStyle w:val="af6"/>
          <w:rFonts w:eastAsia="Guttman Hodes"/>
          <w:rtl/>
        </w:rPr>
      </w:r>
      <w:r w:rsidRPr="003A4D9E">
        <w:rPr>
          <w:rStyle w:val="af6"/>
          <w:rFonts w:eastAsia="Guttman Hodes"/>
          <w:rtl/>
        </w:rPr>
        <w:fldChar w:fldCharType="separate"/>
      </w:r>
      <w:r w:rsidR="004D1C5B">
        <w:rPr>
          <w:rStyle w:val="af6"/>
          <w:rFonts w:eastAsia="Guttman Hodes"/>
          <w:cs/>
        </w:rPr>
        <w:t>‎</w:t>
      </w:r>
      <w:r w:rsidR="004D1C5B">
        <w:rPr>
          <w:rStyle w:val="af6"/>
          <w:rFonts w:eastAsia="Guttman Hodes"/>
          <w:rtl/>
        </w:rPr>
        <w:t>עא)</w:t>
      </w:r>
      <w:r w:rsidRPr="003A4D9E">
        <w:rPr>
          <w:rStyle w:val="af6"/>
          <w:rFonts w:eastAsia="Guttman Hodes"/>
          <w:rtl/>
        </w:rPr>
        <w:fldChar w:fldCharType="end"/>
      </w:r>
      <w:r>
        <w:rPr>
          <w:rFonts w:hint="cs"/>
          <w:rtl/>
        </w:rPr>
        <w:t xml:space="preserve"> דבמין בשאינו מינו ביבש ביבש צריך שישים כיון שאם יבשלם יחד, האיסור נותן טעם בהיתר, וכתב </w:t>
      </w:r>
      <w:r w:rsidRPr="00B110B3">
        <w:rPr>
          <w:rStyle w:val="af8"/>
          <w:rFonts w:hint="cs"/>
          <w:rtl/>
        </w:rPr>
        <w:t>הפרמ"ג</w:t>
      </w:r>
      <w:r>
        <w:rPr>
          <w:rFonts w:hint="cs"/>
          <w:rtl/>
        </w:rPr>
        <w:t xml:space="preserve"> דמוכח מדברי </w:t>
      </w:r>
      <w:r w:rsidRPr="00F82B28">
        <w:rPr>
          <w:rStyle w:val="af8"/>
          <w:rFonts w:hint="cs"/>
          <w:rtl/>
        </w:rPr>
        <w:t>הטור</w:t>
      </w:r>
      <w:r>
        <w:rPr>
          <w:rFonts w:hint="cs"/>
          <w:rtl/>
        </w:rPr>
        <w:t xml:space="preserve"> דכ"מ דמהני ההיתר בנודעה התעורבת, הוא רק במין במינו, אבל במין בשאינו מינו, אם יחזור ויבשל והאיסור יתן טעם בהיתר אסור, אעפ"י שהתבטל כשהיה יבש.</w:t>
      </w:r>
    </w:p>
    <w:p w:rsidR="00F13472" w:rsidRDefault="00F13472" w:rsidP="00F13472">
      <w:pPr>
        <w:pStyle w:val="1"/>
        <w:rPr>
          <w:rtl/>
        </w:rPr>
      </w:pPr>
      <w:bookmarkStart w:id="14437" w:name="_Toc24918148"/>
      <w:bookmarkStart w:id="14438" w:name="_Toc24918359"/>
      <w:r>
        <w:rPr>
          <w:rFonts w:hint="cs"/>
          <w:rtl/>
        </w:rPr>
        <w:t>דברי הפרמ"ג דבאינו מינו אסור מדאו' בבישל דטע"כ דאו'</w:t>
      </w:r>
      <w:bookmarkEnd w:id="14437"/>
      <w:bookmarkEnd w:id="14438"/>
    </w:p>
    <w:p w:rsidR="00F13472" w:rsidRDefault="00F13472" w:rsidP="00F13472">
      <w:pPr>
        <w:pStyle w:val="a2"/>
        <w:rPr>
          <w:rtl/>
        </w:rPr>
      </w:pPr>
      <w:bookmarkStart w:id="14439" w:name="_Toc24918149"/>
      <w:bookmarkStart w:id="14440" w:name="_Toc24918360"/>
      <w:r>
        <w:rPr>
          <w:rFonts w:hint="cs"/>
          <w:rtl/>
        </w:rPr>
        <w:t>דברי הפרמ"ג דהרא"ש התיר במין במינו בבישל דמותר בב"א אבל באינו מינו אסור דטע"כ דאו'</w:t>
      </w:r>
      <w:bookmarkEnd w:id="14439"/>
      <w:bookmarkEnd w:id="14440"/>
    </w:p>
    <w:p w:rsidR="00F13472" w:rsidRPr="00B57554" w:rsidRDefault="00F13472" w:rsidP="009F44AF">
      <w:pPr>
        <w:pStyle w:val="a"/>
        <w:rPr>
          <w:rtl/>
        </w:rPr>
      </w:pPr>
      <w:r>
        <w:rPr>
          <w:rFonts w:hint="cs"/>
          <w:rtl/>
        </w:rPr>
        <w:t xml:space="preserve">וביאר </w:t>
      </w:r>
      <w:r w:rsidRPr="00847D58">
        <w:rPr>
          <w:rStyle w:val="af8"/>
          <w:rFonts w:hint="cs"/>
          <w:rtl/>
        </w:rPr>
        <w:t>הפרמ"ג</w:t>
      </w:r>
      <w:r>
        <w:rPr>
          <w:rFonts w:hint="cs"/>
          <w:rtl/>
        </w:rPr>
        <w:t xml:space="preserve"> </w:t>
      </w:r>
      <w:r w:rsidRPr="001256BC">
        <w:rPr>
          <w:rStyle w:val="af6"/>
          <w:rFonts w:eastAsia="Guttman Hodes" w:hint="cs"/>
          <w:rtl/>
        </w:rPr>
        <w:t>(פתיחה שער התערובת ח"א פ"ב ד"ה ומה שראוי)</w:t>
      </w:r>
      <w:r>
        <w:rPr>
          <w:rFonts w:hint="cs"/>
          <w:rtl/>
        </w:rPr>
        <w:t xml:space="preserve"> דהא דהתיר </w:t>
      </w:r>
      <w:r w:rsidRPr="00B110B3">
        <w:rPr>
          <w:rStyle w:val="af8"/>
          <w:rFonts w:hint="cs"/>
          <w:rtl/>
        </w:rPr>
        <w:t>הרא"ש</w:t>
      </w:r>
      <w:r>
        <w:rPr>
          <w:rFonts w:hint="cs"/>
          <w:rtl/>
        </w:rPr>
        <w:t xml:space="preserve"> במין במינו בנודעה התערובת כשהיה יבש, הוא כיון דבמין במינו ס"ל </w:t>
      </w:r>
      <w:r w:rsidRPr="00B110B3">
        <w:rPr>
          <w:rStyle w:val="af8"/>
          <w:rFonts w:hint="cs"/>
          <w:rtl/>
        </w:rPr>
        <w:t>להרא"ש</w:t>
      </w:r>
      <w:r>
        <w:rPr>
          <w:rFonts w:hint="cs"/>
          <w:rtl/>
        </w:rPr>
        <w:t xml:space="preserve"> דמותר לאכול את כל התערובת בבת אחת, אבל במין בשאינו מינו כשחזר ובישל ונעשה לח בלח, דהוא אסור מדין טעם כעיקר והאיסור חוזר וניעור.</w:t>
      </w:r>
    </w:p>
    <w:p w:rsidR="00F13472" w:rsidRPr="00AC6D41" w:rsidRDefault="00F13472" w:rsidP="00F13472">
      <w:pPr>
        <w:pStyle w:val="a2"/>
      </w:pPr>
      <w:bookmarkStart w:id="14441" w:name="_Toc24918150"/>
      <w:bookmarkStart w:id="14442" w:name="_Toc24918361"/>
      <w:r>
        <w:rPr>
          <w:rFonts w:hint="cs"/>
          <w:rtl/>
        </w:rPr>
        <w:t>קושית הפרמ"ג על הב"ח דכיון שהטעם אינו מתבטל הוכר האיסור ולהרא"ש</w:t>
      </w:r>
      <w:r w:rsidRPr="005B3B07">
        <w:rPr>
          <w:rFonts w:hint="cs"/>
          <w:rtl/>
        </w:rPr>
        <w:t xml:space="preserve"> </w:t>
      </w:r>
      <w:r>
        <w:rPr>
          <w:rFonts w:hint="cs"/>
          <w:rtl/>
        </w:rPr>
        <w:t>הוא חוזר וניעור</w:t>
      </w:r>
      <w:bookmarkEnd w:id="14441"/>
      <w:bookmarkEnd w:id="14442"/>
    </w:p>
    <w:p w:rsidR="00F13472" w:rsidRDefault="00F13472" w:rsidP="009F44AF">
      <w:pPr>
        <w:pStyle w:val="a"/>
        <w:rPr>
          <w:rtl/>
        </w:rPr>
      </w:pPr>
      <w:r>
        <w:rPr>
          <w:rFonts w:hint="cs"/>
          <w:rtl/>
        </w:rPr>
        <w:t xml:space="preserve">וכן תמה </w:t>
      </w:r>
      <w:r w:rsidRPr="008C662D">
        <w:rPr>
          <w:rStyle w:val="af8"/>
          <w:rFonts w:hint="cs"/>
          <w:rtl/>
        </w:rPr>
        <w:t>הפרמ"ג</w:t>
      </w:r>
      <w:r w:rsidRPr="008C662D">
        <w:rPr>
          <w:rFonts w:hint="cs"/>
          <w:rtl/>
        </w:rPr>
        <w:t xml:space="preserve"> </w:t>
      </w:r>
      <w:r w:rsidRPr="00286D2F">
        <w:rPr>
          <w:rStyle w:val="af6"/>
          <w:rFonts w:eastAsia="Guttman Hodes" w:hint="cs"/>
          <w:rtl/>
        </w:rPr>
        <w:t>(סי' ק"ב שפ"ד סק"ח ד"ה ומה שכתב)</w:t>
      </w:r>
      <w:r w:rsidRPr="008C662D">
        <w:rPr>
          <w:rFonts w:hint="cs"/>
          <w:rtl/>
        </w:rPr>
        <w:t xml:space="preserve"> </w:t>
      </w:r>
      <w:r>
        <w:rPr>
          <w:rFonts w:hint="cs"/>
          <w:rtl/>
        </w:rPr>
        <w:t xml:space="preserve">על </w:t>
      </w:r>
      <w:r w:rsidRPr="00E57E1F">
        <w:rPr>
          <w:rStyle w:val="af8"/>
          <w:rFonts w:hint="cs"/>
          <w:rtl/>
        </w:rPr>
        <w:t>הב"ח</w:t>
      </w:r>
      <w:r>
        <w:rPr>
          <w:rFonts w:hint="cs"/>
          <w:rtl/>
        </w:rPr>
        <w:t xml:space="preserve"> </w:t>
      </w:r>
      <w:r w:rsidRPr="00395631">
        <w:rPr>
          <w:rStyle w:val="af6"/>
          <w:rFonts w:eastAsia="Guttman Hodes" w:hint="cs"/>
          <w:rtl/>
        </w:rPr>
        <w:t xml:space="preserve">(עי' אות </w:t>
      </w:r>
      <w:r w:rsidRPr="00395631">
        <w:rPr>
          <w:rStyle w:val="af6"/>
          <w:rFonts w:eastAsia="Guttman Hodes"/>
          <w:rtl/>
        </w:rPr>
        <w:fldChar w:fldCharType="begin"/>
      </w:r>
      <w:r w:rsidRPr="00395631">
        <w:rPr>
          <w:rStyle w:val="af6"/>
          <w:rFonts w:eastAsia="Guttman Hodes"/>
          <w:rtl/>
        </w:rPr>
        <w:instrText xml:space="preserve"> </w:instrText>
      </w:r>
      <w:r w:rsidRPr="00395631">
        <w:rPr>
          <w:rStyle w:val="af6"/>
          <w:rFonts w:eastAsia="Guttman Hodes" w:hint="cs"/>
        </w:rPr>
        <w:instrText>REF</w:instrText>
      </w:r>
      <w:r w:rsidRPr="00395631">
        <w:rPr>
          <w:rStyle w:val="af6"/>
          <w:rFonts w:eastAsia="Guttman Hodes" w:hint="cs"/>
          <w:rtl/>
        </w:rPr>
        <w:instrText xml:space="preserve"> _</w:instrText>
      </w:r>
      <w:r w:rsidRPr="00395631">
        <w:rPr>
          <w:rStyle w:val="af6"/>
          <w:rFonts w:eastAsia="Guttman Hodes" w:hint="cs"/>
        </w:rPr>
        <w:instrText>Ref24888924 \r \h</w:instrText>
      </w:r>
      <w:r w:rsidRPr="00395631">
        <w:rPr>
          <w:rStyle w:val="af6"/>
          <w:rFonts w:eastAsia="Guttman Hodes"/>
          <w:rtl/>
        </w:rPr>
        <w:instrText xml:space="preserve"> </w:instrText>
      </w:r>
      <w:r w:rsidRPr="00395631">
        <w:rPr>
          <w:rStyle w:val="af6"/>
          <w:rFonts w:eastAsia="Guttman Hodes"/>
          <w:rtl/>
        </w:rPr>
      </w:r>
      <w:r w:rsidRPr="00395631">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395631">
        <w:rPr>
          <w:rStyle w:val="af6"/>
          <w:rFonts w:eastAsia="Guttman Hodes"/>
          <w:rtl/>
        </w:rPr>
        <w:fldChar w:fldCharType="end"/>
      </w:r>
      <w:r>
        <w:rPr>
          <w:rFonts w:hint="cs"/>
          <w:rtl/>
        </w:rPr>
        <w:t xml:space="preserve"> דס"ל </w:t>
      </w:r>
      <w:r w:rsidRPr="008C662D">
        <w:rPr>
          <w:rFonts w:hint="cs"/>
          <w:rtl/>
        </w:rPr>
        <w:t>דאף</w:t>
      </w:r>
      <w:r>
        <w:rPr>
          <w:rFonts w:hint="cs"/>
          <w:rtl/>
        </w:rPr>
        <w:t xml:space="preserve"> במין בשאינו מינו, מותר מדאו' בחזר ובישלו, דהרי הטעם אינו מתבטל, וא"כ דמי לאיסור שהתבטל ברוב, והוכר האיסור דאינו בטל, ואף </w:t>
      </w:r>
      <w:r w:rsidRPr="00E57E1F">
        <w:rPr>
          <w:rStyle w:val="af8"/>
          <w:rFonts w:hint="cs"/>
          <w:rtl/>
        </w:rPr>
        <w:t>הרא"ש</w:t>
      </w:r>
      <w:r>
        <w:rPr>
          <w:rFonts w:hint="cs"/>
          <w:rtl/>
        </w:rPr>
        <w:t xml:space="preserve">  </w:t>
      </w:r>
      <w:r w:rsidRPr="007F15A7">
        <w:rPr>
          <w:rStyle w:val="af6"/>
          <w:rFonts w:eastAsia="Guttman Hodes" w:hint="cs"/>
          <w:rtl/>
        </w:rPr>
        <w:t xml:space="preserve">(עי' אות </w:t>
      </w:r>
      <w:r w:rsidRPr="007F15A7">
        <w:rPr>
          <w:rStyle w:val="af6"/>
          <w:rFonts w:eastAsia="Guttman Hodes"/>
          <w:rtl/>
        </w:rPr>
        <w:fldChar w:fldCharType="begin"/>
      </w:r>
      <w:r w:rsidRPr="007F15A7">
        <w:rPr>
          <w:rStyle w:val="af6"/>
          <w:rFonts w:eastAsia="Guttman Hodes"/>
          <w:rtl/>
        </w:rPr>
        <w:instrText xml:space="preserve"> </w:instrText>
      </w:r>
      <w:r w:rsidRPr="007F15A7">
        <w:rPr>
          <w:rStyle w:val="af6"/>
          <w:rFonts w:eastAsia="Guttman Hodes" w:hint="cs"/>
        </w:rPr>
        <w:instrText>REF</w:instrText>
      </w:r>
      <w:r w:rsidRPr="007F15A7">
        <w:rPr>
          <w:rStyle w:val="af6"/>
          <w:rFonts w:eastAsia="Guttman Hodes" w:hint="cs"/>
          <w:rtl/>
        </w:rPr>
        <w:instrText xml:space="preserve"> _</w:instrText>
      </w:r>
      <w:r w:rsidRPr="007F15A7">
        <w:rPr>
          <w:rStyle w:val="af6"/>
          <w:rFonts w:eastAsia="Guttman Hodes" w:hint="cs"/>
        </w:rPr>
        <w:instrText>Ref24564844 \r \h</w:instrText>
      </w:r>
      <w:r w:rsidRPr="007F15A7">
        <w:rPr>
          <w:rStyle w:val="af6"/>
          <w:rFonts w:eastAsia="Guttman Hodes"/>
          <w:rtl/>
        </w:rPr>
        <w:instrText xml:space="preserve"> </w:instrText>
      </w:r>
      <w:r w:rsidRPr="007F15A7">
        <w:rPr>
          <w:rStyle w:val="af6"/>
          <w:rFonts w:eastAsia="Guttman Hodes"/>
          <w:rtl/>
        </w:rPr>
      </w:r>
      <w:r w:rsidRPr="007F15A7">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7F15A7">
        <w:rPr>
          <w:rStyle w:val="af6"/>
          <w:rFonts w:eastAsia="Guttman Hodes"/>
          <w:rtl/>
        </w:rPr>
        <w:fldChar w:fldCharType="end"/>
      </w:r>
      <w:r>
        <w:rPr>
          <w:rFonts w:hint="cs"/>
          <w:rtl/>
        </w:rPr>
        <w:t xml:space="preserve"> דכתב דבמין במינו מותר מדאו' לאכול את כל התערובת יחד, </w:t>
      </w:r>
      <w:r w:rsidRPr="009E07A0">
        <w:rPr>
          <w:rStyle w:val="afa"/>
          <w:rFonts w:hint="cs"/>
          <w:rtl/>
        </w:rPr>
        <w:t>[דהאיסור נהפך להיתר],</w:t>
      </w:r>
      <w:r>
        <w:rPr>
          <w:rFonts w:hint="cs"/>
          <w:rtl/>
        </w:rPr>
        <w:t xml:space="preserve"> מ"מ כתב </w:t>
      </w:r>
      <w:r w:rsidRPr="009E07A0">
        <w:rPr>
          <w:rStyle w:val="af8"/>
          <w:rFonts w:hint="cs"/>
          <w:rtl/>
        </w:rPr>
        <w:t>הרא"ש</w:t>
      </w:r>
      <w:r>
        <w:rPr>
          <w:rFonts w:hint="cs"/>
          <w:rtl/>
        </w:rPr>
        <w:t xml:space="preserve"> </w:t>
      </w:r>
      <w:r w:rsidRPr="007F15A7">
        <w:rPr>
          <w:rStyle w:val="af6"/>
          <w:rFonts w:eastAsia="Guttman Hodes" w:hint="cs"/>
          <w:rtl/>
        </w:rPr>
        <w:t xml:space="preserve">(עי' אות </w:t>
      </w:r>
      <w:r w:rsidRPr="007F15A7">
        <w:rPr>
          <w:rStyle w:val="af6"/>
          <w:rFonts w:eastAsia="Guttman Hodes"/>
          <w:rtl/>
        </w:rPr>
        <w:fldChar w:fldCharType="begin"/>
      </w:r>
      <w:r w:rsidRPr="007F15A7">
        <w:rPr>
          <w:rStyle w:val="af6"/>
          <w:rFonts w:eastAsia="Guttman Hodes"/>
          <w:rtl/>
        </w:rPr>
        <w:instrText xml:space="preserve"> </w:instrText>
      </w:r>
      <w:r w:rsidRPr="007F15A7">
        <w:rPr>
          <w:rStyle w:val="af6"/>
          <w:rFonts w:eastAsia="Guttman Hodes" w:hint="cs"/>
        </w:rPr>
        <w:instrText>REF</w:instrText>
      </w:r>
      <w:r w:rsidRPr="007F15A7">
        <w:rPr>
          <w:rStyle w:val="af6"/>
          <w:rFonts w:eastAsia="Guttman Hodes" w:hint="cs"/>
          <w:rtl/>
        </w:rPr>
        <w:instrText xml:space="preserve"> _</w:instrText>
      </w:r>
      <w:r w:rsidRPr="007F15A7">
        <w:rPr>
          <w:rStyle w:val="af6"/>
          <w:rFonts w:eastAsia="Guttman Hodes" w:hint="cs"/>
        </w:rPr>
        <w:instrText>Ref24888868 \r \h</w:instrText>
      </w:r>
      <w:r w:rsidRPr="007F15A7">
        <w:rPr>
          <w:rStyle w:val="af6"/>
          <w:rFonts w:eastAsia="Guttman Hodes"/>
          <w:rtl/>
        </w:rPr>
        <w:instrText xml:space="preserve"> </w:instrText>
      </w:r>
      <w:r w:rsidRPr="007F15A7">
        <w:rPr>
          <w:rStyle w:val="af6"/>
          <w:rFonts w:eastAsia="Guttman Hodes"/>
          <w:rtl/>
        </w:rPr>
      </w:r>
      <w:r w:rsidRPr="007F15A7">
        <w:rPr>
          <w:rStyle w:val="af6"/>
          <w:rFonts w:eastAsia="Guttman Hodes"/>
          <w:rtl/>
        </w:rPr>
        <w:fldChar w:fldCharType="separate"/>
      </w:r>
      <w:r w:rsidR="004D1C5B">
        <w:rPr>
          <w:rStyle w:val="af6"/>
          <w:rFonts w:eastAsia="Guttman Hodes"/>
          <w:cs/>
        </w:rPr>
        <w:t>‎</w:t>
      </w:r>
      <w:r w:rsidR="004D1C5B">
        <w:rPr>
          <w:rStyle w:val="af6"/>
          <w:rFonts w:eastAsia="Guttman Hodes"/>
          <w:rtl/>
        </w:rPr>
        <w:t>קיא)</w:t>
      </w:r>
      <w:r w:rsidRPr="007F15A7">
        <w:rPr>
          <w:rStyle w:val="af6"/>
          <w:rFonts w:eastAsia="Guttman Hodes"/>
          <w:rtl/>
        </w:rPr>
        <w:fldChar w:fldCharType="end"/>
      </w:r>
      <w:r>
        <w:rPr>
          <w:rFonts w:hint="cs"/>
          <w:rtl/>
        </w:rPr>
        <w:t xml:space="preserve"> דבאיסור שחוזר וניעור אסור אף במין במינו.</w:t>
      </w:r>
    </w:p>
    <w:p w:rsidR="00F13472" w:rsidRPr="00AC6D41" w:rsidRDefault="00F13472" w:rsidP="00F13472">
      <w:pPr>
        <w:pStyle w:val="a2"/>
        <w:rPr>
          <w:rtl/>
        </w:rPr>
      </w:pPr>
      <w:bookmarkStart w:id="14443" w:name="_Toc24918151"/>
      <w:bookmarkStart w:id="14444" w:name="_Toc24918362"/>
      <w:r>
        <w:rPr>
          <w:rFonts w:hint="cs"/>
          <w:rtl/>
        </w:rPr>
        <w:t>דברי הפרמ"ג דבמין בשאינו מינו שהתבטל ביבש ובישלו אסור מדאו' כמפורש בדברי הר"ן</w:t>
      </w:r>
      <w:bookmarkEnd w:id="14443"/>
      <w:bookmarkEnd w:id="14444"/>
    </w:p>
    <w:p w:rsidR="00F13472" w:rsidRDefault="00F13472" w:rsidP="009F44AF">
      <w:pPr>
        <w:pStyle w:val="a"/>
        <w:rPr>
          <w:rtl/>
        </w:rPr>
      </w:pPr>
      <w:r>
        <w:rPr>
          <w:rFonts w:hint="cs"/>
          <w:rtl/>
        </w:rPr>
        <w:t xml:space="preserve">ובמ"ש </w:t>
      </w:r>
      <w:r w:rsidRPr="009E07A0">
        <w:rPr>
          <w:rStyle w:val="af8"/>
          <w:rFonts w:hint="cs"/>
          <w:rtl/>
        </w:rPr>
        <w:t>הב"ח</w:t>
      </w:r>
      <w:r>
        <w:rPr>
          <w:rFonts w:hint="cs"/>
          <w:rtl/>
        </w:rPr>
        <w:t xml:space="preserve"> דביבש ביבש במין בשאינו מינו דמדאו' בטל ברוב, ובחזר ובישלו</w:t>
      </w:r>
      <w:r w:rsidRPr="00D87128">
        <w:rPr>
          <w:rFonts w:hint="cs"/>
          <w:rtl/>
        </w:rPr>
        <w:t xml:space="preserve"> </w:t>
      </w:r>
      <w:r>
        <w:rPr>
          <w:rFonts w:hint="cs"/>
          <w:rtl/>
        </w:rPr>
        <w:t xml:space="preserve">צריך שישים רק מדרבנן, דחה </w:t>
      </w:r>
      <w:r w:rsidRPr="009E07A0">
        <w:rPr>
          <w:rStyle w:val="af8"/>
          <w:rFonts w:hint="cs"/>
          <w:rtl/>
        </w:rPr>
        <w:t>הפרמ"ג</w:t>
      </w:r>
      <w:r>
        <w:rPr>
          <w:rFonts w:hint="cs"/>
          <w:rtl/>
        </w:rPr>
        <w:t xml:space="preserve"> דאעפ"י שהותר ביבש, מ"מ כשבישלו נאסר מדאו' דהא הטעם אינו מתבטל, וכתב </w:t>
      </w:r>
      <w:r w:rsidRPr="009E07A0">
        <w:rPr>
          <w:rStyle w:val="af8"/>
          <w:rFonts w:hint="cs"/>
          <w:rtl/>
        </w:rPr>
        <w:t>הפרמ"ג</w:t>
      </w:r>
      <w:r>
        <w:rPr>
          <w:rFonts w:hint="cs"/>
          <w:rtl/>
        </w:rPr>
        <w:t xml:space="preserve"> דכן מוכח מדברי </w:t>
      </w:r>
      <w:r w:rsidRPr="00741538">
        <w:rPr>
          <w:rStyle w:val="af8"/>
          <w:rFonts w:hint="cs"/>
          <w:rtl/>
        </w:rPr>
        <w:t>הר"ן על הרי"ף</w:t>
      </w:r>
      <w:r w:rsidRPr="00741538">
        <w:rPr>
          <w:rFonts w:hint="cs"/>
          <w:rtl/>
        </w:rPr>
        <w:t xml:space="preserve"> </w:t>
      </w:r>
      <w:r w:rsidRPr="00741538">
        <w:rPr>
          <w:rStyle w:val="af6"/>
          <w:rFonts w:eastAsia="Guttman Hodes" w:hint="cs"/>
          <w:rtl/>
        </w:rPr>
        <w:t>(</w:t>
      </w:r>
      <w:r w:rsidRPr="00741538">
        <w:rPr>
          <w:rStyle w:val="af6"/>
          <w:rFonts w:eastAsia="Guttman Hodes"/>
          <w:rtl/>
        </w:rPr>
        <w:t>ל</w:t>
      </w:r>
      <w:r>
        <w:rPr>
          <w:rStyle w:val="af6"/>
          <w:rFonts w:eastAsia="Guttman Hodes"/>
          <w:rtl/>
        </w:rPr>
        <w:t>ו. מדפי הרי"ף ד"ה גרסי'</w:t>
      </w:r>
      <w:r>
        <w:rPr>
          <w:rStyle w:val="af6"/>
          <w:rFonts w:eastAsia="Guttman Hodes" w:hint="cs"/>
          <w:rtl/>
        </w:rPr>
        <w:t>, הובא בסימן ט"ז אות ס"</w:t>
      </w:r>
      <w:r w:rsidRPr="0023394B">
        <w:rPr>
          <w:rStyle w:val="af6"/>
          <w:rFonts w:eastAsia="Guttman Hodes" w:hint="cs"/>
          <w:rtl/>
        </w:rPr>
        <w:t>ו)</w:t>
      </w:r>
      <w:r>
        <w:rPr>
          <w:rStyle w:val="af6"/>
          <w:rFonts w:eastAsia="Guttman Hodes" w:hint="cs"/>
          <w:rtl/>
        </w:rPr>
        <w:t xml:space="preserve"> </w:t>
      </w:r>
      <w:r>
        <w:rPr>
          <w:rFonts w:hint="cs"/>
          <w:rtl/>
        </w:rPr>
        <w:t>דכתב דבמין בשאינו מינו ביבש ביבש צריך שישים מדרבנן, כיון שכשיבשלם יבא לידי איסור תורה.</w:t>
      </w:r>
    </w:p>
    <w:p w:rsidR="00F13472" w:rsidRDefault="00F13472" w:rsidP="00F13472">
      <w:pPr>
        <w:pStyle w:val="1"/>
        <w:rPr>
          <w:rtl/>
        </w:rPr>
      </w:pPr>
      <w:bookmarkStart w:id="14445" w:name="_Toc24918152"/>
      <w:bookmarkStart w:id="14446" w:name="_Toc24918363"/>
      <w:r>
        <w:rPr>
          <w:rFonts w:hint="cs"/>
          <w:rtl/>
        </w:rPr>
        <w:t>דברי הפרמ"ג דבבישל באינו מינו הטעם ניכר בחיך ואינו בטל</w:t>
      </w:r>
      <w:bookmarkEnd w:id="14445"/>
      <w:bookmarkEnd w:id="14446"/>
    </w:p>
    <w:p w:rsidR="00F13472" w:rsidRDefault="00F13472" w:rsidP="00F13472">
      <w:pPr>
        <w:pStyle w:val="a2"/>
        <w:rPr>
          <w:rtl/>
        </w:rPr>
      </w:pPr>
      <w:bookmarkStart w:id="14447" w:name="_Toc24918153"/>
      <w:bookmarkStart w:id="14448" w:name="_Toc24918364"/>
      <w:r>
        <w:rPr>
          <w:rFonts w:hint="cs"/>
          <w:rtl/>
        </w:rPr>
        <w:t>ביאור הפרמ"ג דבבישל מין בשאינו מינו חשיב שהוכר האיסור בטעימתו בחיך</w:t>
      </w:r>
      <w:bookmarkEnd w:id="14447"/>
      <w:bookmarkEnd w:id="14448"/>
    </w:p>
    <w:p w:rsidR="00F13472" w:rsidRPr="00A71F94" w:rsidRDefault="00F13472" w:rsidP="009F44AF">
      <w:pPr>
        <w:pStyle w:val="a"/>
        <w:rPr>
          <w:rtl/>
        </w:rPr>
      </w:pPr>
      <w:bookmarkStart w:id="14449" w:name="_Ref24902330"/>
      <w:r>
        <w:rPr>
          <w:rFonts w:hint="cs"/>
          <w:rtl/>
        </w:rPr>
        <w:t xml:space="preserve">ועוד כתב </w:t>
      </w:r>
      <w:r w:rsidRPr="009E07A0">
        <w:rPr>
          <w:rStyle w:val="af8"/>
          <w:rFonts w:hint="cs"/>
          <w:rtl/>
        </w:rPr>
        <w:t>הפרמ"ג</w:t>
      </w:r>
      <w:r>
        <w:rPr>
          <w:rFonts w:hint="cs"/>
          <w:rtl/>
        </w:rPr>
        <w:t xml:space="preserve"> </w:t>
      </w:r>
      <w:r w:rsidRPr="009E07A0">
        <w:rPr>
          <w:rStyle w:val="af6"/>
          <w:rFonts w:eastAsia="Guttman Hodes" w:hint="cs"/>
          <w:rtl/>
        </w:rPr>
        <w:t>(סי' ק"ט שפ"ד סק"ט)</w:t>
      </w:r>
      <w:r>
        <w:rPr>
          <w:rFonts w:hint="cs"/>
          <w:rtl/>
        </w:rPr>
        <w:t xml:space="preserve"> דבמין בשאינו מינו כיון שטעם האיסור ניכר בטעימתו בחיך, חשיב כהוכר האיסור, ולא מהני שהותר ביבש ביבש, ועי' במה שהקשה </w:t>
      </w:r>
      <w:r w:rsidRPr="00866A4F">
        <w:rPr>
          <w:rStyle w:val="af8"/>
          <w:rFonts w:hint="cs"/>
          <w:rtl/>
        </w:rPr>
        <w:t>הנפש חיה</w:t>
      </w:r>
      <w:r>
        <w:rPr>
          <w:rFonts w:hint="cs"/>
          <w:rtl/>
        </w:rPr>
        <w:t xml:space="preserve"> </w:t>
      </w:r>
      <w:r>
        <w:rPr>
          <w:rStyle w:val="af6"/>
          <w:rFonts w:eastAsia="Guttman Hodes" w:hint="cs"/>
          <w:rtl/>
        </w:rPr>
        <w:t xml:space="preserve">(עי' </w:t>
      </w:r>
      <w:r w:rsidRPr="00643473">
        <w:rPr>
          <w:rStyle w:val="af6"/>
          <w:rFonts w:eastAsia="Guttman Hodes" w:hint="cs"/>
          <w:rtl/>
        </w:rPr>
        <w:t xml:space="preserve">אות </w:t>
      </w:r>
      <w:r w:rsidRPr="00643473">
        <w:rPr>
          <w:rStyle w:val="af6"/>
          <w:rFonts w:eastAsia="Guttman Hodes"/>
          <w:rtl/>
        </w:rPr>
        <w:fldChar w:fldCharType="begin"/>
      </w:r>
      <w:r w:rsidRPr="00643473">
        <w:rPr>
          <w:rStyle w:val="af6"/>
          <w:rFonts w:eastAsia="Guttman Hodes"/>
          <w:rtl/>
        </w:rPr>
        <w:instrText xml:space="preserve"> </w:instrText>
      </w:r>
      <w:r w:rsidRPr="00643473">
        <w:rPr>
          <w:rStyle w:val="af6"/>
          <w:rFonts w:eastAsia="Guttman Hodes" w:hint="cs"/>
        </w:rPr>
        <w:instrText>REF</w:instrText>
      </w:r>
      <w:r w:rsidRPr="00643473">
        <w:rPr>
          <w:rStyle w:val="af6"/>
          <w:rFonts w:eastAsia="Guttman Hodes" w:hint="cs"/>
          <w:rtl/>
        </w:rPr>
        <w:instrText xml:space="preserve"> _</w:instrText>
      </w:r>
      <w:r w:rsidRPr="00643473">
        <w:rPr>
          <w:rStyle w:val="af6"/>
          <w:rFonts w:eastAsia="Guttman Hodes" w:hint="cs"/>
        </w:rPr>
        <w:instrText>Ref24902412 \r \h</w:instrText>
      </w:r>
      <w:r w:rsidRPr="00643473">
        <w:rPr>
          <w:rStyle w:val="af6"/>
          <w:rFonts w:eastAsia="Guttman Hodes"/>
          <w:rtl/>
        </w:rPr>
        <w:instrText xml:space="preserve"> </w:instrText>
      </w:r>
      <w:r w:rsidRPr="00643473">
        <w:rPr>
          <w:rStyle w:val="af6"/>
          <w:rFonts w:eastAsia="Guttman Hodes"/>
          <w:rtl/>
        </w:rPr>
      </w:r>
      <w:r w:rsidRPr="00643473">
        <w:rPr>
          <w:rStyle w:val="af6"/>
          <w:rFonts w:eastAsia="Guttman Hodes"/>
          <w:rtl/>
        </w:rPr>
        <w:fldChar w:fldCharType="separate"/>
      </w:r>
      <w:r w:rsidR="004D1C5B">
        <w:rPr>
          <w:rStyle w:val="af6"/>
          <w:rFonts w:eastAsia="Guttman Hodes"/>
          <w:cs/>
        </w:rPr>
        <w:t>‎</w:t>
      </w:r>
      <w:r w:rsidR="004D1C5B">
        <w:rPr>
          <w:rStyle w:val="af6"/>
          <w:rFonts w:eastAsia="Guttman Hodes"/>
          <w:rtl/>
        </w:rPr>
        <w:t>צג)</w:t>
      </w:r>
      <w:r w:rsidRPr="00643473">
        <w:rPr>
          <w:rStyle w:val="af6"/>
          <w:rFonts w:eastAsia="Guttman Hodes"/>
          <w:rtl/>
        </w:rPr>
        <w:fldChar w:fldCharType="end"/>
      </w:r>
      <w:r>
        <w:rPr>
          <w:rFonts w:hint="cs"/>
          <w:rtl/>
        </w:rPr>
        <w:t xml:space="preserve"> על </w:t>
      </w:r>
      <w:r w:rsidRPr="00927A4D">
        <w:rPr>
          <w:rStyle w:val="af8"/>
          <w:rFonts w:hint="cs"/>
          <w:rtl/>
        </w:rPr>
        <w:t>הפרמ"ג</w:t>
      </w:r>
      <w:r>
        <w:rPr>
          <w:rFonts w:hint="cs"/>
          <w:rtl/>
        </w:rPr>
        <w:t>.</w:t>
      </w:r>
      <w:bookmarkEnd w:id="14449"/>
    </w:p>
    <w:p w:rsidR="00F13472" w:rsidRDefault="00F13472" w:rsidP="00F13472">
      <w:pPr>
        <w:pStyle w:val="1"/>
        <w:rPr>
          <w:rtl/>
        </w:rPr>
      </w:pPr>
      <w:bookmarkStart w:id="14450" w:name="_Toc24403377"/>
      <w:bookmarkStart w:id="14451" w:name="_Toc24455844"/>
      <w:bookmarkStart w:id="14452" w:name="_Toc24576837"/>
      <w:bookmarkStart w:id="14453" w:name="_Toc24709436"/>
      <w:bookmarkStart w:id="14454" w:name="_Toc24839047"/>
      <w:bookmarkStart w:id="14455" w:name="_Toc24918154"/>
      <w:bookmarkStart w:id="14456" w:name="_Toc24918365"/>
      <w:bookmarkStart w:id="14457" w:name="_Toc24576859"/>
      <w:bookmarkStart w:id="14458" w:name="_Toc24709434"/>
      <w:bookmarkStart w:id="14459" w:name="_Toc24839045"/>
      <w:r>
        <w:rPr>
          <w:rFonts w:hint="cs"/>
          <w:rtl/>
        </w:rPr>
        <w:t>דברי החזו"א</w:t>
      </w:r>
      <w:bookmarkEnd w:id="14450"/>
      <w:bookmarkEnd w:id="14451"/>
      <w:bookmarkEnd w:id="14452"/>
      <w:bookmarkEnd w:id="14453"/>
      <w:bookmarkEnd w:id="14454"/>
      <w:r>
        <w:rPr>
          <w:rFonts w:hint="cs"/>
          <w:rtl/>
        </w:rPr>
        <w:t xml:space="preserve"> דבבישל באינו מינו דטע"כ דאו' חשיב איסור ניכר</w:t>
      </w:r>
      <w:bookmarkEnd w:id="14455"/>
      <w:bookmarkEnd w:id="14456"/>
    </w:p>
    <w:p w:rsidR="00F13472" w:rsidRDefault="00F13472" w:rsidP="00F13472">
      <w:pPr>
        <w:pStyle w:val="a2"/>
      </w:pPr>
      <w:bookmarkStart w:id="14460" w:name="_Toc24709437"/>
      <w:bookmarkStart w:id="14461" w:name="_Toc24839048"/>
      <w:bookmarkStart w:id="14462" w:name="_Toc24918155"/>
      <w:bookmarkStart w:id="14463" w:name="_Toc24918366"/>
      <w:r>
        <w:rPr>
          <w:rFonts w:hint="cs"/>
          <w:rtl/>
        </w:rPr>
        <w:t>קושית החזו"א דלהרא"ש שהאיסור נהפך להיתר צריך להתיר אף במין בשאינו מינו בחזר ובישל</w:t>
      </w:r>
      <w:bookmarkEnd w:id="14460"/>
      <w:bookmarkEnd w:id="14461"/>
      <w:bookmarkEnd w:id="14462"/>
      <w:bookmarkEnd w:id="14463"/>
    </w:p>
    <w:p w:rsidR="00F13472" w:rsidRPr="00F44E6A" w:rsidRDefault="00F13472" w:rsidP="009F44AF">
      <w:pPr>
        <w:pStyle w:val="a"/>
        <w:rPr>
          <w:rtl/>
        </w:rPr>
      </w:pPr>
      <w:r>
        <w:rPr>
          <w:rFonts w:hint="cs"/>
          <w:rtl/>
        </w:rPr>
        <w:t>הקשה</w:t>
      </w:r>
      <w:r w:rsidRPr="00802175">
        <w:rPr>
          <w:rFonts w:hint="cs"/>
          <w:rtl/>
        </w:rPr>
        <w:t xml:space="preserve"> </w:t>
      </w:r>
      <w:r w:rsidRPr="00802175">
        <w:rPr>
          <w:rStyle w:val="af8"/>
          <w:rFonts w:hint="cs"/>
          <w:rtl/>
        </w:rPr>
        <w:t>החזו"א</w:t>
      </w:r>
      <w:r w:rsidRPr="00802175">
        <w:rPr>
          <w:rStyle w:val="af6"/>
          <w:rFonts w:eastAsia="Guttman Hodes" w:hint="cs"/>
          <w:rtl/>
        </w:rPr>
        <w:t xml:space="preserve"> (יו"ד סי' ל"ו סק"ב ד"ה מיהו) </w:t>
      </w:r>
      <w:r w:rsidRPr="00802175">
        <w:rPr>
          <w:rFonts w:hint="cs"/>
          <w:rtl/>
        </w:rPr>
        <w:t xml:space="preserve">דלדעת </w:t>
      </w:r>
      <w:r w:rsidRPr="00443604">
        <w:rPr>
          <w:rStyle w:val="af8"/>
          <w:rFonts w:hint="cs"/>
          <w:rtl/>
        </w:rPr>
        <w:t>הרא"ש</w:t>
      </w:r>
      <w:r w:rsidRPr="00802175">
        <w:rPr>
          <w:rFonts w:hint="cs"/>
          <w:rtl/>
        </w:rPr>
        <w:t xml:space="preserve"> </w:t>
      </w:r>
      <w:r w:rsidRPr="007C5A02">
        <w:rPr>
          <w:rStyle w:val="af6"/>
          <w:rFonts w:eastAsia="Guttman Hodes" w:hint="cs"/>
          <w:rtl/>
        </w:rPr>
        <w:t xml:space="preserve">(עי' אות </w:t>
      </w:r>
      <w:r w:rsidRPr="007C5A02">
        <w:rPr>
          <w:rStyle w:val="af6"/>
          <w:rFonts w:eastAsia="Guttman Hodes"/>
          <w:rtl/>
        </w:rPr>
        <w:fldChar w:fldCharType="begin"/>
      </w:r>
      <w:r w:rsidRPr="007C5A02">
        <w:rPr>
          <w:rStyle w:val="af6"/>
          <w:rFonts w:eastAsia="Guttman Hodes"/>
          <w:rtl/>
        </w:rPr>
        <w:instrText xml:space="preserve"> </w:instrText>
      </w:r>
      <w:r w:rsidRPr="007C5A02">
        <w:rPr>
          <w:rStyle w:val="af6"/>
          <w:rFonts w:eastAsia="Guttman Hodes" w:hint="cs"/>
        </w:rPr>
        <w:instrText>REF</w:instrText>
      </w:r>
      <w:r w:rsidRPr="007C5A02">
        <w:rPr>
          <w:rStyle w:val="af6"/>
          <w:rFonts w:eastAsia="Guttman Hodes" w:hint="cs"/>
          <w:rtl/>
        </w:rPr>
        <w:instrText xml:space="preserve"> _</w:instrText>
      </w:r>
      <w:r w:rsidRPr="007C5A02">
        <w:rPr>
          <w:rStyle w:val="af6"/>
          <w:rFonts w:eastAsia="Guttman Hodes" w:hint="cs"/>
        </w:rPr>
        <w:instrText>Ref23930562 \r \h</w:instrText>
      </w:r>
      <w:r w:rsidRPr="007C5A02">
        <w:rPr>
          <w:rStyle w:val="af6"/>
          <w:rFonts w:eastAsia="Guttman Hodes"/>
          <w:rtl/>
        </w:rPr>
        <w:instrText xml:space="preserve"> </w:instrText>
      </w:r>
      <w:r w:rsidRPr="007C5A02">
        <w:rPr>
          <w:rStyle w:val="af6"/>
          <w:rFonts w:eastAsia="Guttman Hodes"/>
          <w:rtl/>
        </w:rPr>
      </w:r>
      <w:r w:rsidRPr="007C5A02">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7C5A02">
        <w:rPr>
          <w:rStyle w:val="af6"/>
          <w:rFonts w:eastAsia="Guttman Hodes"/>
          <w:rtl/>
        </w:rPr>
        <w:fldChar w:fldCharType="end"/>
      </w:r>
      <w:r>
        <w:rPr>
          <w:rFonts w:hint="cs"/>
          <w:rtl/>
        </w:rPr>
        <w:t xml:space="preserve"> </w:t>
      </w:r>
      <w:r w:rsidRPr="00802175">
        <w:rPr>
          <w:rFonts w:hint="cs"/>
          <w:rtl/>
        </w:rPr>
        <w:t>ד</w:t>
      </w:r>
      <w:r>
        <w:rPr>
          <w:rFonts w:hint="cs"/>
          <w:rtl/>
        </w:rPr>
        <w:t xml:space="preserve">התיר בחזר ובישל במין במינו ביבש ביבש, וכדביאר </w:t>
      </w:r>
      <w:r w:rsidRPr="00443604">
        <w:rPr>
          <w:rStyle w:val="af8"/>
          <w:rFonts w:hint="cs"/>
          <w:rtl/>
        </w:rPr>
        <w:t>הרא"ש</w:t>
      </w:r>
      <w:r>
        <w:rPr>
          <w:rFonts w:hint="cs"/>
          <w:rtl/>
        </w:rPr>
        <w:t xml:space="preserve"> </w:t>
      </w:r>
      <w:r w:rsidRPr="007C5A02">
        <w:rPr>
          <w:rStyle w:val="af6"/>
          <w:rFonts w:eastAsia="Guttman Hodes" w:hint="cs"/>
          <w:rtl/>
        </w:rPr>
        <w:t xml:space="preserve">(עי' אות </w:t>
      </w:r>
      <w:r w:rsidRPr="007C5A02">
        <w:rPr>
          <w:rStyle w:val="af6"/>
          <w:rFonts w:eastAsia="Guttman Hodes"/>
          <w:rtl/>
        </w:rPr>
        <w:fldChar w:fldCharType="begin"/>
      </w:r>
      <w:r w:rsidRPr="007C5A02">
        <w:rPr>
          <w:rStyle w:val="af6"/>
          <w:rFonts w:eastAsia="Guttman Hodes"/>
          <w:rtl/>
        </w:rPr>
        <w:instrText xml:space="preserve"> </w:instrText>
      </w:r>
      <w:r w:rsidRPr="007C5A02">
        <w:rPr>
          <w:rStyle w:val="af6"/>
          <w:rFonts w:eastAsia="Guttman Hodes" w:hint="cs"/>
        </w:rPr>
        <w:instrText>REF</w:instrText>
      </w:r>
      <w:r w:rsidRPr="007C5A02">
        <w:rPr>
          <w:rStyle w:val="af6"/>
          <w:rFonts w:eastAsia="Guttman Hodes" w:hint="cs"/>
          <w:rtl/>
        </w:rPr>
        <w:instrText xml:space="preserve"> _</w:instrText>
      </w:r>
      <w:r w:rsidRPr="007C5A02">
        <w:rPr>
          <w:rStyle w:val="af6"/>
          <w:rFonts w:eastAsia="Guttman Hodes" w:hint="cs"/>
        </w:rPr>
        <w:instrText>Ref24564844 \r \h</w:instrText>
      </w:r>
      <w:r w:rsidRPr="007C5A02">
        <w:rPr>
          <w:rStyle w:val="af6"/>
          <w:rFonts w:eastAsia="Guttman Hodes"/>
          <w:rtl/>
        </w:rPr>
        <w:instrText xml:space="preserve"> </w:instrText>
      </w:r>
      <w:r w:rsidRPr="007C5A02">
        <w:rPr>
          <w:rStyle w:val="af6"/>
          <w:rFonts w:eastAsia="Guttman Hodes"/>
          <w:rtl/>
        </w:rPr>
      </w:r>
      <w:r w:rsidRPr="007C5A02">
        <w:rPr>
          <w:rStyle w:val="af6"/>
          <w:rFonts w:eastAsia="Guttman Hodes"/>
          <w:rtl/>
        </w:rPr>
        <w:fldChar w:fldCharType="separate"/>
      </w:r>
      <w:r w:rsidR="004D1C5B">
        <w:rPr>
          <w:rStyle w:val="af6"/>
          <w:rFonts w:eastAsia="Guttman Hodes"/>
          <w:cs/>
        </w:rPr>
        <w:t>‎</w:t>
      </w:r>
      <w:r w:rsidR="004D1C5B">
        <w:rPr>
          <w:rStyle w:val="af6"/>
          <w:rFonts w:eastAsia="Guttman Hodes"/>
          <w:rtl/>
        </w:rPr>
        <w:t>כב)</w:t>
      </w:r>
      <w:r w:rsidRPr="007C5A02">
        <w:rPr>
          <w:rStyle w:val="af6"/>
          <w:rFonts w:eastAsia="Guttman Hodes"/>
          <w:rtl/>
        </w:rPr>
        <w:fldChar w:fldCharType="end"/>
      </w:r>
      <w:r w:rsidRPr="007C5A02">
        <w:rPr>
          <w:rStyle w:val="af6"/>
          <w:rFonts w:eastAsia="Guttman Hodes" w:hint="cs"/>
          <w:rtl/>
        </w:rPr>
        <w:t xml:space="preserve"> </w:t>
      </w:r>
      <w:r>
        <w:rPr>
          <w:rFonts w:hint="cs"/>
          <w:rtl/>
        </w:rPr>
        <w:t>דהאיסור נהפך להיתר ו</w:t>
      </w:r>
      <w:r w:rsidRPr="00802175">
        <w:rPr>
          <w:rFonts w:hint="cs"/>
          <w:rtl/>
        </w:rPr>
        <w:t>מותר לאכול את כל התערובת בבת אחת</w:t>
      </w:r>
      <w:r>
        <w:rPr>
          <w:rFonts w:hint="cs"/>
          <w:rtl/>
        </w:rPr>
        <w:t xml:space="preserve">, א"כ אף ביבש ביבש במין בשאינו מינו, צריך להתיר בחזר ובישל ולאוכלם </w:t>
      </w:r>
      <w:r w:rsidRPr="00F44E6A">
        <w:rPr>
          <w:rFonts w:hint="cs"/>
          <w:rtl/>
        </w:rPr>
        <w:t>יחד, ואעפ"י דבבישול במין בשאינו מינו האיסור נותן טעם בהיתר, וכן שכשאוכל בבת אחת ע"י הלעיסה בפיו יש טעם, מ"מ כיון שהאיסור נהפך להיתר, א"כ אינו חוזר ואוסר ע"י שנותן טעם.</w:t>
      </w:r>
    </w:p>
    <w:p w:rsidR="00F13472" w:rsidRPr="00F44E6A" w:rsidRDefault="00F13472" w:rsidP="00F13472">
      <w:pPr>
        <w:pStyle w:val="a2"/>
        <w:rPr>
          <w:rtl/>
        </w:rPr>
      </w:pPr>
      <w:bookmarkStart w:id="14464" w:name="_Toc24709438"/>
      <w:bookmarkStart w:id="14465" w:name="_Toc24839049"/>
      <w:bookmarkStart w:id="14466" w:name="_Toc24918156"/>
      <w:bookmarkStart w:id="14467" w:name="_Toc24918367"/>
      <w:r>
        <w:rPr>
          <w:rFonts w:hint="cs"/>
          <w:rtl/>
        </w:rPr>
        <w:t>תירוץ החזו"א בבישל באינו מינו דהאיסור נותן טעם וטעם כעיקר דאו' חשיב שהוכר האיסור</w:t>
      </w:r>
      <w:bookmarkEnd w:id="14464"/>
      <w:bookmarkEnd w:id="14465"/>
      <w:bookmarkEnd w:id="14466"/>
      <w:bookmarkEnd w:id="14467"/>
    </w:p>
    <w:p w:rsidR="00F13472" w:rsidRPr="00F44E6A" w:rsidRDefault="00F13472" w:rsidP="009F44AF">
      <w:pPr>
        <w:pStyle w:val="a"/>
        <w:rPr>
          <w:rtl/>
        </w:rPr>
      </w:pPr>
      <w:bookmarkStart w:id="14468" w:name="_Ref24705982"/>
      <w:r w:rsidRPr="00F44E6A">
        <w:rPr>
          <w:rFonts w:hint="cs"/>
          <w:rtl/>
        </w:rPr>
        <w:t>ו</w:t>
      </w:r>
      <w:r>
        <w:rPr>
          <w:rFonts w:hint="cs"/>
          <w:rtl/>
        </w:rPr>
        <w:t>תירץ</w:t>
      </w:r>
      <w:r w:rsidRPr="00F44E6A">
        <w:rPr>
          <w:rFonts w:hint="cs"/>
          <w:rtl/>
        </w:rPr>
        <w:t xml:space="preserve"> </w:t>
      </w:r>
      <w:r w:rsidRPr="00F44E6A">
        <w:rPr>
          <w:rStyle w:val="af8"/>
          <w:rFonts w:hint="cs"/>
          <w:rtl/>
        </w:rPr>
        <w:t xml:space="preserve">החזו"א </w:t>
      </w:r>
      <w:r w:rsidRPr="00F44E6A">
        <w:rPr>
          <w:rFonts w:hint="cs"/>
          <w:rtl/>
        </w:rPr>
        <w:t>ד</w:t>
      </w:r>
      <w:r>
        <w:rPr>
          <w:rFonts w:hint="cs"/>
          <w:rtl/>
        </w:rPr>
        <w:t xml:space="preserve">במין בשאינו מינו </w:t>
      </w:r>
      <w:r w:rsidRPr="00F44E6A">
        <w:rPr>
          <w:rFonts w:hint="cs"/>
          <w:rtl/>
        </w:rPr>
        <w:t xml:space="preserve">כשבישל את התערובת, חשיב שהאיסור ניכר, וכל שהוא ניכר לא מהני בו ביטול, ולכן אעפ"י שהותר ביבש, הוא חוזר ונאסר בבישול, ובזה מודה </w:t>
      </w:r>
      <w:r w:rsidRPr="00443604">
        <w:rPr>
          <w:rStyle w:val="af8"/>
          <w:rFonts w:hint="cs"/>
          <w:rtl/>
        </w:rPr>
        <w:t>הרא"ש</w:t>
      </w:r>
      <w:r w:rsidRPr="00F44E6A">
        <w:rPr>
          <w:rFonts w:hint="cs"/>
          <w:rtl/>
        </w:rPr>
        <w:t xml:space="preserve"> דאסור מדאו'.</w:t>
      </w:r>
      <w:r w:rsidRPr="00F44E6A">
        <w:rPr>
          <w:rStyle w:val="afa"/>
          <w:rFonts w:hint="cs"/>
          <w:rtl/>
        </w:rPr>
        <w:t xml:space="preserve"> [</w:t>
      </w:r>
      <w:r>
        <w:rPr>
          <w:rStyle w:val="afa"/>
          <w:rFonts w:hint="cs"/>
          <w:rtl/>
        </w:rPr>
        <w:t xml:space="preserve">משמע דכוונת </w:t>
      </w:r>
      <w:r w:rsidRPr="00443604">
        <w:rPr>
          <w:rStyle w:val="affa"/>
          <w:rFonts w:hint="cs"/>
          <w:rtl/>
        </w:rPr>
        <w:t>החזו"א</w:t>
      </w:r>
      <w:r>
        <w:rPr>
          <w:rStyle w:val="afa"/>
          <w:rFonts w:hint="cs"/>
          <w:rtl/>
        </w:rPr>
        <w:t xml:space="preserve"> דהאיסור ניכר, </w:t>
      </w:r>
      <w:r w:rsidRPr="00F44E6A">
        <w:rPr>
          <w:rStyle w:val="afa"/>
          <w:rFonts w:hint="cs"/>
          <w:rtl/>
        </w:rPr>
        <w:t>כיון שחל על התערובת שם איסור, דטעם כעיקר דאו'</w:t>
      </w:r>
      <w:r>
        <w:rPr>
          <w:rStyle w:val="afa"/>
          <w:rFonts w:hint="cs"/>
          <w:rtl/>
        </w:rPr>
        <w:t xml:space="preserve">, מדכתב </w:t>
      </w:r>
      <w:r w:rsidRPr="00443604">
        <w:rPr>
          <w:rStyle w:val="affa"/>
          <w:rFonts w:hint="cs"/>
          <w:rtl/>
        </w:rPr>
        <w:t>החזו"א</w:t>
      </w:r>
      <w:r>
        <w:rPr>
          <w:rStyle w:val="afa"/>
          <w:rFonts w:hint="cs"/>
          <w:rtl/>
        </w:rPr>
        <w:t xml:space="preserve"> </w:t>
      </w:r>
      <w:r w:rsidRPr="005E1C21">
        <w:rPr>
          <w:rStyle w:val="aff6"/>
          <w:rFonts w:hint="cs"/>
          <w:rtl/>
        </w:rPr>
        <w:t xml:space="preserve">(עי' אות </w:t>
      </w:r>
      <w:r w:rsidRPr="005E1C21">
        <w:rPr>
          <w:rStyle w:val="aff6"/>
          <w:rtl/>
        </w:rPr>
        <w:fldChar w:fldCharType="begin"/>
      </w:r>
      <w:r w:rsidRPr="005E1C21">
        <w:rPr>
          <w:rStyle w:val="aff6"/>
          <w:rtl/>
        </w:rPr>
        <w:instrText xml:space="preserve"> </w:instrText>
      </w:r>
      <w:r w:rsidRPr="005E1C21">
        <w:rPr>
          <w:rStyle w:val="aff6"/>
          <w:rFonts w:hint="cs"/>
        </w:rPr>
        <w:instrText>REF</w:instrText>
      </w:r>
      <w:r w:rsidRPr="005E1C21">
        <w:rPr>
          <w:rStyle w:val="aff6"/>
          <w:rFonts w:hint="cs"/>
          <w:rtl/>
        </w:rPr>
        <w:instrText xml:space="preserve"> _</w:instrText>
      </w:r>
      <w:r w:rsidRPr="005E1C21">
        <w:rPr>
          <w:rStyle w:val="aff6"/>
          <w:rFonts w:hint="cs"/>
        </w:rPr>
        <w:instrText>Ref24705340 \r \h</w:instrText>
      </w:r>
      <w:r w:rsidRPr="005E1C21">
        <w:rPr>
          <w:rStyle w:val="aff6"/>
          <w:rtl/>
        </w:rPr>
        <w:instrText xml:space="preserve"> </w:instrText>
      </w:r>
      <w:r w:rsidRPr="005E1C21">
        <w:rPr>
          <w:rStyle w:val="aff6"/>
          <w:rtl/>
        </w:rPr>
      </w:r>
      <w:r w:rsidRPr="005E1C21">
        <w:rPr>
          <w:rStyle w:val="aff6"/>
          <w:rtl/>
        </w:rPr>
        <w:fldChar w:fldCharType="separate"/>
      </w:r>
      <w:r w:rsidR="004D1C5B">
        <w:rPr>
          <w:rStyle w:val="aff6"/>
          <w:cs/>
        </w:rPr>
        <w:t>‎</w:t>
      </w:r>
      <w:r w:rsidR="004D1C5B">
        <w:rPr>
          <w:rStyle w:val="aff6"/>
          <w:rtl/>
        </w:rPr>
        <w:t>מה)</w:t>
      </w:r>
      <w:r w:rsidRPr="005E1C21">
        <w:rPr>
          <w:rStyle w:val="aff6"/>
          <w:rtl/>
        </w:rPr>
        <w:fldChar w:fldCharType="end"/>
      </w:r>
      <w:r>
        <w:rPr>
          <w:rStyle w:val="afa"/>
          <w:rFonts w:hint="cs"/>
          <w:rtl/>
        </w:rPr>
        <w:t xml:space="preserve"> דבמין במינו שמותר מדאו' לא חשיב שניכר האיסור</w:t>
      </w:r>
      <w:r w:rsidRPr="00F44E6A">
        <w:rPr>
          <w:rStyle w:val="afa"/>
          <w:rFonts w:hint="cs"/>
          <w:rtl/>
        </w:rPr>
        <w:t>]</w:t>
      </w:r>
      <w:r>
        <w:rPr>
          <w:rFonts w:hint="cs"/>
          <w:rtl/>
        </w:rPr>
        <w:t>.</w:t>
      </w:r>
      <w:bookmarkEnd w:id="14468"/>
    </w:p>
    <w:p w:rsidR="00F13472" w:rsidRDefault="00F13472" w:rsidP="00F13472">
      <w:pPr>
        <w:pStyle w:val="1"/>
        <w:rPr>
          <w:rtl/>
        </w:rPr>
      </w:pPr>
      <w:bookmarkStart w:id="14469" w:name="_Toc24918157"/>
      <w:bookmarkStart w:id="14470" w:name="_Toc24918368"/>
      <w:r>
        <w:rPr>
          <w:rFonts w:hint="cs"/>
          <w:rtl/>
        </w:rPr>
        <w:t>ספק הנפש חיה</w:t>
      </w:r>
      <w:bookmarkEnd w:id="14457"/>
      <w:bookmarkEnd w:id="14458"/>
      <w:bookmarkEnd w:id="14459"/>
      <w:r>
        <w:rPr>
          <w:rFonts w:hint="cs"/>
          <w:rtl/>
        </w:rPr>
        <w:t xml:space="preserve"> בדעת הרא"ש בחזר ובישל במין בשאינו מינו</w:t>
      </w:r>
      <w:bookmarkEnd w:id="14469"/>
      <w:bookmarkEnd w:id="14470"/>
    </w:p>
    <w:p w:rsidR="00F13472" w:rsidRDefault="00F13472" w:rsidP="00F13472">
      <w:pPr>
        <w:pStyle w:val="a2"/>
        <w:rPr>
          <w:rtl/>
        </w:rPr>
      </w:pPr>
      <w:bookmarkStart w:id="14471" w:name="_Toc24918158"/>
      <w:bookmarkStart w:id="14472" w:name="_Toc24918369"/>
      <w:r>
        <w:rPr>
          <w:rFonts w:hint="cs"/>
          <w:rtl/>
        </w:rPr>
        <w:t>ספק הנפש חיה אי להרא"ש באינו מינו אסור בחזר ובישלו כיון שהוכר האיסור ע"י הטעם</w:t>
      </w:r>
      <w:bookmarkEnd w:id="14471"/>
      <w:bookmarkEnd w:id="14472"/>
    </w:p>
    <w:p w:rsidR="00F13472" w:rsidRPr="00C37C1A" w:rsidRDefault="00F13472" w:rsidP="009F44AF">
      <w:pPr>
        <w:pStyle w:val="a"/>
        <w:rPr>
          <w:rFonts w:ascii="Cambria" w:hAnsi="Cambria"/>
        </w:rPr>
      </w:pPr>
      <w:r>
        <w:rPr>
          <w:rFonts w:hint="cs"/>
          <w:rtl/>
        </w:rPr>
        <w:t xml:space="preserve">כתב </w:t>
      </w:r>
      <w:r w:rsidRPr="00866A4F">
        <w:rPr>
          <w:rStyle w:val="af8"/>
          <w:rFonts w:hint="cs"/>
          <w:rtl/>
        </w:rPr>
        <w:t>הנפש חיה</w:t>
      </w:r>
      <w:r>
        <w:rPr>
          <w:rFonts w:hint="cs"/>
          <w:rtl/>
        </w:rPr>
        <w:t xml:space="preserve"> </w:t>
      </w:r>
      <w:r w:rsidRPr="00B94119">
        <w:rPr>
          <w:rStyle w:val="af6"/>
          <w:rFonts w:eastAsia="Guttman Hodes" w:hint="cs"/>
          <w:rtl/>
        </w:rPr>
        <w:t>(יו"ד סי' ל"ד)</w:t>
      </w:r>
      <w:r>
        <w:rPr>
          <w:rFonts w:hint="cs"/>
          <w:rtl/>
        </w:rPr>
        <w:t xml:space="preserve"> דיש להסתפק בדעת </w:t>
      </w:r>
      <w:r w:rsidRPr="00866A4F">
        <w:rPr>
          <w:rStyle w:val="af8"/>
          <w:rFonts w:hint="cs"/>
          <w:rtl/>
        </w:rPr>
        <w:t>הרא"ש</w:t>
      </w:r>
      <w:r>
        <w:rPr>
          <w:rFonts w:hint="cs"/>
          <w:rtl/>
        </w:rPr>
        <w:t xml:space="preserve"> </w:t>
      </w:r>
      <w:r w:rsidRPr="00B94119">
        <w:rPr>
          <w:rStyle w:val="af6"/>
          <w:rFonts w:eastAsia="Guttman Hodes" w:hint="cs"/>
          <w:rtl/>
        </w:rPr>
        <w:t xml:space="preserve">(עי' אות </w:t>
      </w:r>
      <w:r w:rsidRPr="00B94119">
        <w:rPr>
          <w:rStyle w:val="af6"/>
          <w:rFonts w:eastAsia="Guttman Hodes"/>
          <w:rtl/>
        </w:rPr>
        <w:fldChar w:fldCharType="begin"/>
      </w:r>
      <w:r w:rsidRPr="00B94119">
        <w:rPr>
          <w:rStyle w:val="af6"/>
          <w:rFonts w:eastAsia="Guttman Hodes"/>
          <w:rtl/>
        </w:rPr>
        <w:instrText xml:space="preserve"> </w:instrText>
      </w:r>
      <w:r w:rsidRPr="00B94119">
        <w:rPr>
          <w:rStyle w:val="af6"/>
          <w:rFonts w:eastAsia="Guttman Hodes" w:hint="cs"/>
        </w:rPr>
        <w:instrText>REF</w:instrText>
      </w:r>
      <w:r w:rsidRPr="00B94119">
        <w:rPr>
          <w:rStyle w:val="af6"/>
          <w:rFonts w:eastAsia="Guttman Hodes" w:hint="cs"/>
          <w:rtl/>
        </w:rPr>
        <w:instrText xml:space="preserve"> _</w:instrText>
      </w:r>
      <w:r w:rsidRPr="00B94119">
        <w:rPr>
          <w:rStyle w:val="af6"/>
          <w:rFonts w:eastAsia="Guttman Hodes" w:hint="cs"/>
        </w:rPr>
        <w:instrText>Ref23930562 \r \h</w:instrText>
      </w:r>
      <w:r w:rsidRPr="00B94119">
        <w:rPr>
          <w:rStyle w:val="af6"/>
          <w:rFonts w:eastAsia="Guttman Hodes"/>
          <w:rtl/>
        </w:rPr>
        <w:instrText xml:space="preserve"> </w:instrText>
      </w:r>
      <w:r w:rsidRPr="00B94119">
        <w:rPr>
          <w:rStyle w:val="af6"/>
          <w:rFonts w:eastAsia="Guttman Hodes"/>
          <w:rtl/>
        </w:rPr>
      </w:r>
      <w:r w:rsidRPr="00B94119">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B94119">
        <w:rPr>
          <w:rStyle w:val="af6"/>
          <w:rFonts w:eastAsia="Guttman Hodes"/>
          <w:rtl/>
        </w:rPr>
        <w:fldChar w:fldCharType="end"/>
      </w:r>
      <w:r>
        <w:rPr>
          <w:rFonts w:hint="cs"/>
          <w:rtl/>
        </w:rPr>
        <w:t xml:space="preserve"> דיבש ביבש שהתבטל ברוב, מותר לבשל את התערובת יחד, האיך ס"ל</w:t>
      </w:r>
      <w:r w:rsidRPr="00B94119">
        <w:rPr>
          <w:rStyle w:val="af8"/>
          <w:rFonts w:hint="cs"/>
          <w:rtl/>
        </w:rPr>
        <w:t xml:space="preserve"> להרא"ש </w:t>
      </w:r>
      <w:r>
        <w:rPr>
          <w:rFonts w:hint="cs"/>
          <w:rtl/>
        </w:rPr>
        <w:t>במין בשאינו מינו</w:t>
      </w:r>
      <w:r w:rsidRPr="00B2139D">
        <w:rPr>
          <w:rFonts w:hint="cs"/>
          <w:rtl/>
        </w:rPr>
        <w:t xml:space="preserve"> </w:t>
      </w:r>
      <w:r>
        <w:rPr>
          <w:rFonts w:hint="cs"/>
          <w:rtl/>
        </w:rPr>
        <w:t xml:space="preserve">ביבש ביבש שחזר ובישלו, דאעפ"י דמדאו' התבטל ביבש, מ"מ כיון דכתב </w:t>
      </w:r>
      <w:r w:rsidRPr="00866A4F">
        <w:rPr>
          <w:rStyle w:val="af8"/>
          <w:rFonts w:hint="cs"/>
          <w:rtl/>
        </w:rPr>
        <w:t>הרא"ש</w:t>
      </w:r>
      <w:r>
        <w:rPr>
          <w:rFonts w:hint="cs"/>
          <w:rtl/>
        </w:rPr>
        <w:t xml:space="preserve"> </w:t>
      </w:r>
      <w:r w:rsidRPr="00B94119">
        <w:rPr>
          <w:rStyle w:val="af6"/>
          <w:rFonts w:eastAsia="Guttman Hodes" w:hint="cs"/>
          <w:rtl/>
        </w:rPr>
        <w:t xml:space="preserve">(עי' אות </w:t>
      </w:r>
      <w:r w:rsidRPr="00B94119">
        <w:rPr>
          <w:rStyle w:val="af6"/>
          <w:rFonts w:eastAsia="Guttman Hodes"/>
          <w:rtl/>
        </w:rPr>
        <w:fldChar w:fldCharType="begin"/>
      </w:r>
      <w:r w:rsidRPr="00B94119">
        <w:rPr>
          <w:rStyle w:val="af6"/>
          <w:rFonts w:eastAsia="Guttman Hodes"/>
          <w:rtl/>
        </w:rPr>
        <w:instrText xml:space="preserve"> </w:instrText>
      </w:r>
      <w:r w:rsidRPr="00B94119">
        <w:rPr>
          <w:rStyle w:val="af6"/>
          <w:rFonts w:eastAsia="Guttman Hodes" w:hint="cs"/>
        </w:rPr>
        <w:instrText>REF</w:instrText>
      </w:r>
      <w:r w:rsidRPr="00B94119">
        <w:rPr>
          <w:rStyle w:val="af6"/>
          <w:rFonts w:eastAsia="Guttman Hodes" w:hint="cs"/>
          <w:rtl/>
        </w:rPr>
        <w:instrText xml:space="preserve"> _</w:instrText>
      </w:r>
      <w:r w:rsidRPr="00B94119">
        <w:rPr>
          <w:rStyle w:val="af6"/>
          <w:rFonts w:eastAsia="Guttman Hodes" w:hint="cs"/>
        </w:rPr>
        <w:instrText>Ref24901908 \r \h</w:instrText>
      </w:r>
      <w:r w:rsidRPr="00B94119">
        <w:rPr>
          <w:rStyle w:val="af6"/>
          <w:rFonts w:eastAsia="Guttman Hodes"/>
          <w:rtl/>
        </w:rPr>
        <w:instrText xml:space="preserve"> </w:instrText>
      </w:r>
      <w:r w:rsidRPr="00B94119">
        <w:rPr>
          <w:rStyle w:val="af6"/>
          <w:rFonts w:eastAsia="Guttman Hodes"/>
          <w:rtl/>
        </w:rPr>
      </w:r>
      <w:r w:rsidRPr="00B94119">
        <w:rPr>
          <w:rStyle w:val="af6"/>
          <w:rFonts w:eastAsia="Guttman Hodes"/>
          <w:rtl/>
        </w:rPr>
        <w:fldChar w:fldCharType="separate"/>
      </w:r>
      <w:r w:rsidR="004D1C5B">
        <w:rPr>
          <w:rStyle w:val="af6"/>
          <w:rFonts w:eastAsia="Guttman Hodes"/>
          <w:cs/>
        </w:rPr>
        <w:t>‎</w:t>
      </w:r>
      <w:r w:rsidR="004D1C5B">
        <w:rPr>
          <w:rStyle w:val="af6"/>
          <w:rFonts w:eastAsia="Guttman Hodes"/>
          <w:rtl/>
        </w:rPr>
        <w:t>קיב)</w:t>
      </w:r>
      <w:r w:rsidRPr="00B94119">
        <w:rPr>
          <w:rStyle w:val="af6"/>
          <w:rFonts w:eastAsia="Guttman Hodes"/>
          <w:rtl/>
        </w:rPr>
        <w:fldChar w:fldCharType="end"/>
      </w:r>
      <w:r>
        <w:rPr>
          <w:rFonts w:hint="cs"/>
          <w:rtl/>
        </w:rPr>
        <w:t xml:space="preserve"> דבהוסיף איסור לתערובת, האיסור חוזר וניעור ואסור, והיינו דחשיב שהוכר האיסור, א"כ ה"ה בחזר ובישלו דחשיב שהוכר האיסור ע"י הטעם. [וכדכתב </w:t>
      </w:r>
      <w:r w:rsidRPr="0050146A">
        <w:rPr>
          <w:rStyle w:val="af8"/>
          <w:rFonts w:hint="cs"/>
          <w:rtl/>
        </w:rPr>
        <w:t>הרשב"א</w:t>
      </w:r>
      <w:r>
        <w:rPr>
          <w:rStyle w:val="af8"/>
          <w:rFonts w:hint="cs"/>
          <w:rtl/>
        </w:rPr>
        <w:t xml:space="preserve"> לעיל </w:t>
      </w:r>
      <w:r w:rsidRPr="0050146A">
        <w:rPr>
          <w:rFonts w:hint="cs"/>
          <w:rtl/>
        </w:rPr>
        <w:t xml:space="preserve"> </w:t>
      </w:r>
      <w:r w:rsidRPr="0050146A">
        <w:rPr>
          <w:rStyle w:val="af6"/>
          <w:rFonts w:eastAsia="Guttman Hodes" w:hint="cs"/>
          <w:rtl/>
        </w:rPr>
        <w:t>(</w:t>
      </w:r>
      <w:r>
        <w:rPr>
          <w:rStyle w:val="af6"/>
          <w:rFonts w:eastAsia="Guttman Hodes" w:hint="cs"/>
          <w:rtl/>
        </w:rPr>
        <w:t xml:space="preserve">צח: </w:t>
      </w:r>
      <w:r w:rsidRPr="0050146A">
        <w:rPr>
          <w:rStyle w:val="af6"/>
          <w:rFonts w:eastAsia="Guttman Hodes" w:hint="cs"/>
          <w:rtl/>
        </w:rPr>
        <w:t>ד"ה וקשיא</w:t>
      </w:r>
      <w:r>
        <w:rPr>
          <w:rStyle w:val="af6"/>
          <w:rFonts w:eastAsia="Guttman Hodes" w:hint="cs"/>
          <w:rtl/>
        </w:rPr>
        <w:t>, הובא בסימן ח' אות ס"ט)</w:t>
      </w:r>
      <w:r>
        <w:rPr>
          <w:rFonts w:hint="cs"/>
          <w:rtl/>
        </w:rPr>
        <w:t xml:space="preserve"> דבכל מין בשאינו מינו צריך שישים, כיון שהאיסור ניכר ע"י הטעם ואינו מתבטל].</w:t>
      </w:r>
    </w:p>
    <w:p w:rsidR="00F13472" w:rsidRDefault="00F13472" w:rsidP="00F13472">
      <w:pPr>
        <w:pStyle w:val="a2"/>
      </w:pPr>
      <w:bookmarkStart w:id="14473" w:name="_Toc24918159"/>
      <w:bookmarkStart w:id="14474" w:name="_Toc24918370"/>
      <w:r>
        <w:rPr>
          <w:rFonts w:hint="cs"/>
          <w:rtl/>
        </w:rPr>
        <w:t>ספק הנפשר חיה אי להרא"ש בבישל מותר באינו מינו דאיסור שהותר ולא נוסף אינו חוזר וניעור</w:t>
      </w:r>
      <w:bookmarkEnd w:id="14473"/>
      <w:bookmarkEnd w:id="14474"/>
      <w:r>
        <w:rPr>
          <w:rFonts w:hint="cs"/>
          <w:rtl/>
        </w:rPr>
        <w:t xml:space="preserve"> </w:t>
      </w:r>
    </w:p>
    <w:p w:rsidR="00F13472" w:rsidRDefault="00F13472" w:rsidP="009F44AF">
      <w:pPr>
        <w:pStyle w:val="a"/>
      </w:pPr>
      <w:r>
        <w:rPr>
          <w:rFonts w:hint="cs"/>
          <w:rtl/>
        </w:rPr>
        <w:t xml:space="preserve">והצד הב' כתב </w:t>
      </w:r>
      <w:r w:rsidRPr="00866A4F">
        <w:rPr>
          <w:rStyle w:val="af8"/>
          <w:rFonts w:hint="cs"/>
          <w:rtl/>
        </w:rPr>
        <w:t>הנפש חיה</w:t>
      </w:r>
      <w:r>
        <w:rPr>
          <w:rFonts w:hint="cs"/>
          <w:rtl/>
        </w:rPr>
        <w:t xml:space="preserve"> דכיון דאף במין בשאינו מינו מדאו' מהני ביטול ביבש ביבש, א"כ מדאו' הוא מותר לגמרי, ומ"ש </w:t>
      </w:r>
      <w:r w:rsidRPr="00866A4F">
        <w:rPr>
          <w:rStyle w:val="af8"/>
          <w:rFonts w:hint="cs"/>
          <w:rtl/>
        </w:rPr>
        <w:t>הרא"ש</w:t>
      </w:r>
      <w:r>
        <w:rPr>
          <w:rFonts w:hint="cs"/>
          <w:rtl/>
        </w:rPr>
        <w:t xml:space="preserve"> </w:t>
      </w:r>
      <w:r w:rsidRPr="00B94119">
        <w:rPr>
          <w:rStyle w:val="af6"/>
          <w:rFonts w:eastAsia="Guttman Hodes" w:hint="cs"/>
          <w:rtl/>
        </w:rPr>
        <w:t xml:space="preserve">(עי' אות </w:t>
      </w:r>
      <w:r w:rsidRPr="00B94119">
        <w:rPr>
          <w:rStyle w:val="af6"/>
          <w:rFonts w:eastAsia="Guttman Hodes"/>
          <w:rtl/>
        </w:rPr>
        <w:fldChar w:fldCharType="begin"/>
      </w:r>
      <w:r w:rsidRPr="00B94119">
        <w:rPr>
          <w:rStyle w:val="af6"/>
          <w:rFonts w:eastAsia="Guttman Hodes"/>
          <w:rtl/>
        </w:rPr>
        <w:instrText xml:space="preserve"> </w:instrText>
      </w:r>
      <w:r w:rsidRPr="00B94119">
        <w:rPr>
          <w:rStyle w:val="af6"/>
          <w:rFonts w:eastAsia="Guttman Hodes" w:hint="cs"/>
        </w:rPr>
        <w:instrText>REF</w:instrText>
      </w:r>
      <w:r w:rsidRPr="00B94119">
        <w:rPr>
          <w:rStyle w:val="af6"/>
          <w:rFonts w:eastAsia="Guttman Hodes" w:hint="cs"/>
          <w:rtl/>
        </w:rPr>
        <w:instrText xml:space="preserve"> _</w:instrText>
      </w:r>
      <w:r w:rsidRPr="00B94119">
        <w:rPr>
          <w:rStyle w:val="af6"/>
          <w:rFonts w:eastAsia="Guttman Hodes" w:hint="cs"/>
        </w:rPr>
        <w:instrText>Ref24901908 \r \h</w:instrText>
      </w:r>
      <w:r w:rsidRPr="00B94119">
        <w:rPr>
          <w:rStyle w:val="af6"/>
          <w:rFonts w:eastAsia="Guttman Hodes"/>
          <w:rtl/>
        </w:rPr>
        <w:instrText xml:space="preserve"> </w:instrText>
      </w:r>
      <w:r w:rsidRPr="00B94119">
        <w:rPr>
          <w:rStyle w:val="af6"/>
          <w:rFonts w:eastAsia="Guttman Hodes"/>
          <w:rtl/>
        </w:rPr>
      </w:r>
      <w:r w:rsidRPr="00B94119">
        <w:rPr>
          <w:rStyle w:val="af6"/>
          <w:rFonts w:eastAsia="Guttman Hodes"/>
          <w:rtl/>
        </w:rPr>
        <w:fldChar w:fldCharType="separate"/>
      </w:r>
      <w:r w:rsidR="004D1C5B">
        <w:rPr>
          <w:rStyle w:val="af6"/>
          <w:rFonts w:eastAsia="Guttman Hodes"/>
          <w:cs/>
        </w:rPr>
        <w:t>‎</w:t>
      </w:r>
      <w:r w:rsidR="004D1C5B">
        <w:rPr>
          <w:rStyle w:val="af6"/>
          <w:rFonts w:eastAsia="Guttman Hodes"/>
          <w:rtl/>
        </w:rPr>
        <w:t>קיב)</w:t>
      </w:r>
      <w:r w:rsidRPr="00B94119">
        <w:rPr>
          <w:rStyle w:val="af6"/>
          <w:rFonts w:eastAsia="Guttman Hodes"/>
          <w:rtl/>
        </w:rPr>
        <w:fldChar w:fldCharType="end"/>
      </w:r>
      <w:r>
        <w:rPr>
          <w:rFonts w:hint="cs"/>
          <w:rtl/>
        </w:rPr>
        <w:t xml:space="preserve"> דהאיסור חוזר וניעור, זהו דוקא במקום שנוסף איסור חדש, דע"י האיסור שנוסף שלא הותר מעולם, אף האיסור שהותר חוזר וניעור לאיסורו, אבל כשלא הוסיף כל איסור, א"כ א"א לומר שאיסור שהותר כבר בביטול ברוב ביבש, א"א לומר שההיתר יעשה לאיסור.</w:t>
      </w:r>
    </w:p>
    <w:p w:rsidR="00F13472" w:rsidRDefault="00F13472" w:rsidP="00F13472">
      <w:pPr>
        <w:pStyle w:val="1"/>
        <w:rPr>
          <w:rtl/>
        </w:rPr>
      </w:pPr>
      <w:bookmarkStart w:id="14475" w:name="_Toc24918160"/>
      <w:bookmarkStart w:id="14476" w:name="_Toc24918371"/>
      <w:bookmarkStart w:id="14477" w:name="_Toc24403400"/>
      <w:bookmarkStart w:id="14478" w:name="_Toc24455868"/>
      <w:r>
        <w:rPr>
          <w:rFonts w:hint="cs"/>
          <w:rtl/>
        </w:rPr>
        <w:t>ביאור הנפש חיה בפלוגתת הב"ח והפרמ"ג בלא נודע באינו מינו</w:t>
      </w:r>
      <w:bookmarkEnd w:id="14475"/>
      <w:bookmarkEnd w:id="14476"/>
    </w:p>
    <w:p w:rsidR="00F13472" w:rsidRPr="00016C2C" w:rsidRDefault="00F13472" w:rsidP="00F13472">
      <w:pPr>
        <w:pStyle w:val="a2"/>
        <w:rPr>
          <w:rtl/>
        </w:rPr>
      </w:pPr>
      <w:bookmarkStart w:id="14479" w:name="_Toc24918161"/>
      <w:bookmarkStart w:id="14480" w:name="_Toc24918372"/>
      <w:r>
        <w:rPr>
          <w:rFonts w:hint="cs"/>
          <w:rtl/>
        </w:rPr>
        <w:t>קושית הנפש חיה על הפרמ"ג דבאינו מינו הוכר האיסור דאף במינו צריך לגזור אטו אינו מינו</w:t>
      </w:r>
      <w:bookmarkEnd w:id="14479"/>
      <w:bookmarkEnd w:id="14480"/>
    </w:p>
    <w:p w:rsidR="00F13472" w:rsidRDefault="00F13472" w:rsidP="009F44AF">
      <w:pPr>
        <w:pStyle w:val="a"/>
        <w:rPr>
          <w:rtl/>
        </w:rPr>
      </w:pPr>
      <w:bookmarkStart w:id="14481" w:name="_Ref24902412"/>
      <w:r>
        <w:rPr>
          <w:rFonts w:hint="cs"/>
          <w:rtl/>
        </w:rPr>
        <w:t xml:space="preserve">וכתב </w:t>
      </w:r>
      <w:r w:rsidRPr="00866A4F">
        <w:rPr>
          <w:rStyle w:val="af8"/>
          <w:rFonts w:hint="cs"/>
          <w:rtl/>
        </w:rPr>
        <w:t>הנפש חיה</w:t>
      </w:r>
      <w:r>
        <w:rPr>
          <w:rFonts w:hint="cs"/>
          <w:rtl/>
        </w:rPr>
        <w:t xml:space="preserve"> </w:t>
      </w:r>
      <w:r w:rsidRPr="00927A4D">
        <w:rPr>
          <w:rStyle w:val="af6"/>
          <w:rFonts w:eastAsia="Guttman Hodes" w:hint="cs"/>
          <w:rtl/>
        </w:rPr>
        <w:t>(יו"ד סי' ל"ד ד"ה והנה ראיתי)</w:t>
      </w:r>
      <w:r>
        <w:rPr>
          <w:rFonts w:hint="cs"/>
          <w:rtl/>
        </w:rPr>
        <w:t xml:space="preserve"> דעל </w:t>
      </w:r>
      <w:r w:rsidRPr="00927A4D">
        <w:rPr>
          <w:rStyle w:val="af8"/>
          <w:rFonts w:hint="cs"/>
          <w:rtl/>
        </w:rPr>
        <w:t xml:space="preserve">הפרמ"ג </w:t>
      </w:r>
      <w:r w:rsidRPr="00927A4D">
        <w:rPr>
          <w:rStyle w:val="af6"/>
          <w:rFonts w:eastAsia="Guttman Hodes" w:hint="cs"/>
          <w:rtl/>
        </w:rPr>
        <w:t xml:space="preserve">(עי' אות </w:t>
      </w:r>
      <w:r w:rsidRPr="00927A4D">
        <w:rPr>
          <w:rStyle w:val="af6"/>
          <w:rFonts w:eastAsia="Guttman Hodes"/>
          <w:rtl/>
        </w:rPr>
        <w:fldChar w:fldCharType="begin"/>
      </w:r>
      <w:r w:rsidRPr="00927A4D">
        <w:rPr>
          <w:rStyle w:val="af6"/>
          <w:rFonts w:eastAsia="Guttman Hodes"/>
          <w:rtl/>
        </w:rPr>
        <w:instrText xml:space="preserve"> </w:instrText>
      </w:r>
      <w:r w:rsidRPr="00927A4D">
        <w:rPr>
          <w:rStyle w:val="af6"/>
          <w:rFonts w:eastAsia="Guttman Hodes" w:hint="cs"/>
        </w:rPr>
        <w:instrText>REF</w:instrText>
      </w:r>
      <w:r w:rsidRPr="00927A4D">
        <w:rPr>
          <w:rStyle w:val="af6"/>
          <w:rFonts w:eastAsia="Guttman Hodes" w:hint="cs"/>
          <w:rtl/>
        </w:rPr>
        <w:instrText xml:space="preserve"> _</w:instrText>
      </w:r>
      <w:r w:rsidRPr="00927A4D">
        <w:rPr>
          <w:rStyle w:val="af6"/>
          <w:rFonts w:eastAsia="Guttman Hodes" w:hint="cs"/>
        </w:rPr>
        <w:instrText>Ref24902330 \r \h</w:instrText>
      </w:r>
      <w:r w:rsidRPr="00927A4D">
        <w:rPr>
          <w:rStyle w:val="af6"/>
          <w:rFonts w:eastAsia="Guttman Hodes"/>
          <w:rtl/>
        </w:rPr>
        <w:instrText xml:space="preserve"> </w:instrText>
      </w:r>
      <w:r w:rsidRPr="00927A4D">
        <w:rPr>
          <w:rStyle w:val="af6"/>
          <w:rFonts w:eastAsia="Guttman Hodes"/>
          <w:rtl/>
        </w:rPr>
      </w:r>
      <w:r w:rsidRPr="00927A4D">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sidRPr="00927A4D">
        <w:rPr>
          <w:rStyle w:val="af6"/>
          <w:rFonts w:eastAsia="Guttman Hodes"/>
          <w:rtl/>
        </w:rPr>
        <w:fldChar w:fldCharType="end"/>
      </w:r>
      <w:r>
        <w:rPr>
          <w:rFonts w:hint="cs"/>
          <w:rtl/>
        </w:rPr>
        <w:t xml:space="preserve"> דס"ל דבמין בשאינו מינו אסור בחזר ובישלו, דחשיב שהוכר האיסור, </w:t>
      </w:r>
      <w:r w:rsidRPr="00927A4D">
        <w:rPr>
          <w:rStyle w:val="afa"/>
          <w:rFonts w:hint="cs"/>
          <w:rtl/>
        </w:rPr>
        <w:t xml:space="preserve">[וכדתירץ </w:t>
      </w:r>
      <w:r w:rsidRPr="00927A4D">
        <w:rPr>
          <w:rStyle w:val="affa"/>
          <w:rFonts w:hint="cs"/>
          <w:rtl/>
        </w:rPr>
        <w:t>הט"ז</w:t>
      </w:r>
      <w:r w:rsidRPr="00927A4D">
        <w:rPr>
          <w:rStyle w:val="afa"/>
          <w:rFonts w:hint="cs"/>
          <w:rtl/>
        </w:rPr>
        <w:t xml:space="preserve"> </w:t>
      </w:r>
      <w:r w:rsidRPr="00927A4D">
        <w:rPr>
          <w:rStyle w:val="aff6"/>
          <w:rFonts w:hint="cs"/>
          <w:rtl/>
        </w:rPr>
        <w:t xml:space="preserve">(עי' אות </w:t>
      </w:r>
      <w:r w:rsidRPr="00927A4D">
        <w:rPr>
          <w:rStyle w:val="aff6"/>
          <w:rtl/>
        </w:rPr>
        <w:fldChar w:fldCharType="begin"/>
      </w:r>
      <w:r w:rsidRPr="00927A4D">
        <w:rPr>
          <w:rStyle w:val="aff6"/>
          <w:rtl/>
        </w:rPr>
        <w:instrText xml:space="preserve"> </w:instrText>
      </w:r>
      <w:r w:rsidRPr="00927A4D">
        <w:rPr>
          <w:rStyle w:val="aff6"/>
          <w:rFonts w:hint="cs"/>
        </w:rPr>
        <w:instrText>REF</w:instrText>
      </w:r>
      <w:r w:rsidRPr="00927A4D">
        <w:rPr>
          <w:rStyle w:val="aff6"/>
          <w:rFonts w:hint="cs"/>
          <w:rtl/>
        </w:rPr>
        <w:instrText xml:space="preserve"> _</w:instrText>
      </w:r>
      <w:r w:rsidRPr="00927A4D">
        <w:rPr>
          <w:rStyle w:val="aff6"/>
          <w:rFonts w:hint="cs"/>
        </w:rPr>
        <w:instrText>Ref24902302 \r \h</w:instrText>
      </w:r>
      <w:r w:rsidRPr="00927A4D">
        <w:rPr>
          <w:rStyle w:val="aff6"/>
          <w:rtl/>
        </w:rPr>
        <w:instrText xml:space="preserve"> </w:instrText>
      </w:r>
      <w:r w:rsidRPr="00927A4D">
        <w:rPr>
          <w:rStyle w:val="aff6"/>
          <w:rtl/>
        </w:rPr>
      </w:r>
      <w:r w:rsidRPr="00927A4D">
        <w:rPr>
          <w:rStyle w:val="aff6"/>
          <w:rtl/>
        </w:rPr>
        <w:fldChar w:fldCharType="separate"/>
      </w:r>
      <w:r w:rsidR="004D1C5B">
        <w:rPr>
          <w:rStyle w:val="aff6"/>
          <w:cs/>
        </w:rPr>
        <w:t>‎</w:t>
      </w:r>
      <w:r w:rsidR="004D1C5B">
        <w:rPr>
          <w:rStyle w:val="aff6"/>
          <w:rtl/>
        </w:rPr>
        <w:t>פ)</w:t>
      </w:r>
      <w:r w:rsidRPr="00927A4D">
        <w:rPr>
          <w:rStyle w:val="aff6"/>
          <w:rtl/>
        </w:rPr>
        <w:fldChar w:fldCharType="end"/>
      </w:r>
      <w:r w:rsidRPr="00927A4D">
        <w:rPr>
          <w:rStyle w:val="afa"/>
          <w:rFonts w:hint="cs"/>
          <w:rtl/>
        </w:rPr>
        <w:t>],</w:t>
      </w:r>
      <w:r>
        <w:rPr>
          <w:rFonts w:hint="cs"/>
          <w:rtl/>
        </w:rPr>
        <w:t xml:space="preserve"> א"כ קשה אמאי במין במינו שהתבטל ביבש אמרינן דהאיסור נהפך להיתר ומותר אף בחזר ובישל, והרי כיון דדין שישים במין במינו נאמר אטו מין בשאינו מינו, א"כ צריך לגזור שישים אף ביבש ביבש שחזר ובישלו במין במינו, אטו מין בשאינו מינו בחזר ובישלו, שמדאו'</w:t>
      </w:r>
      <w:r w:rsidRPr="009367B8">
        <w:rPr>
          <w:rFonts w:hint="cs"/>
          <w:rtl/>
        </w:rPr>
        <w:t xml:space="preserve"> </w:t>
      </w:r>
      <w:r>
        <w:rPr>
          <w:rFonts w:hint="cs"/>
          <w:rtl/>
        </w:rPr>
        <w:t>צריך שישים, כיון שהוכר האיסור.</w:t>
      </w:r>
      <w:bookmarkEnd w:id="14481"/>
    </w:p>
    <w:p w:rsidR="00F13472" w:rsidRDefault="00F13472" w:rsidP="00F13472">
      <w:pPr>
        <w:pStyle w:val="a2"/>
        <w:rPr>
          <w:rtl/>
        </w:rPr>
      </w:pPr>
      <w:bookmarkStart w:id="14482" w:name="_Toc24918162"/>
      <w:bookmarkStart w:id="14483" w:name="_Toc24918373"/>
      <w:r>
        <w:rPr>
          <w:rFonts w:hint="cs"/>
          <w:rtl/>
        </w:rPr>
        <w:t>תירוץ הנפש חיה דרק באינו מינו שהוכר הוא כדבר חדש ושייך לחזור ולאוסרו אף שכבר הותר</w:t>
      </w:r>
      <w:bookmarkEnd w:id="14482"/>
      <w:bookmarkEnd w:id="14483"/>
    </w:p>
    <w:p w:rsidR="00F13472" w:rsidRPr="009367B8" w:rsidRDefault="00F13472" w:rsidP="009F44AF">
      <w:pPr>
        <w:pStyle w:val="a"/>
      </w:pPr>
      <w:r>
        <w:rPr>
          <w:rFonts w:hint="cs"/>
          <w:rtl/>
        </w:rPr>
        <w:t xml:space="preserve">ותירץ </w:t>
      </w:r>
      <w:r w:rsidRPr="00866A4F">
        <w:rPr>
          <w:rStyle w:val="af8"/>
          <w:rFonts w:hint="cs"/>
          <w:rtl/>
        </w:rPr>
        <w:t>הנפש חיה</w:t>
      </w:r>
      <w:r w:rsidRPr="00643473">
        <w:rPr>
          <w:rStyle w:val="af6"/>
          <w:rFonts w:eastAsia="Guttman Hodes" w:hint="cs"/>
          <w:rtl/>
        </w:rPr>
        <w:t xml:space="preserve"> (יו"ד סי' ל"ד ד"ה וצריך) </w:t>
      </w:r>
      <w:r>
        <w:rPr>
          <w:rFonts w:hint="cs"/>
          <w:rtl/>
        </w:rPr>
        <w:t>דרק במין בשאינו מינו שייך לומר דאעפ"י שהותר כשהיה יבש, מ"מ עכשיו האיסור הבטל הוא כדבר חדש שנאסר כיון שהוכר איסורו, ולכן שייך לאוסרו אף שהותר מתחילה לגמרי, אבל  במין במינו א"א לגזור בחזר ובישלו אטו מין בשאינו מינו, דכיון שהאיסור הותר לגמרי כשהיה יבש, א"כ לא שייך לומר שנגזור איסור על דבר מותר אטו מין בשאינו מינו.</w:t>
      </w:r>
    </w:p>
    <w:p w:rsidR="00F13472" w:rsidRPr="00453074" w:rsidRDefault="00F13472" w:rsidP="00F13472">
      <w:pPr>
        <w:pStyle w:val="a2"/>
      </w:pPr>
      <w:bookmarkStart w:id="14484" w:name="_Toc24918163"/>
      <w:bookmarkStart w:id="14485" w:name="_Toc24918374"/>
      <w:r>
        <w:rPr>
          <w:rFonts w:hint="cs"/>
          <w:rtl/>
        </w:rPr>
        <w:t>קושית הנפש חיה על הב"ח דבאינו מינו שבישלו מותר מדאו' דאמאי צריך שישים ביבש</w:t>
      </w:r>
      <w:bookmarkEnd w:id="14484"/>
      <w:bookmarkEnd w:id="14485"/>
    </w:p>
    <w:p w:rsidR="00F13472" w:rsidRDefault="00F13472" w:rsidP="009F44AF">
      <w:pPr>
        <w:pStyle w:val="a"/>
        <w:rPr>
          <w:rtl/>
        </w:rPr>
      </w:pPr>
      <w:r>
        <w:rPr>
          <w:rFonts w:hint="cs"/>
          <w:rtl/>
        </w:rPr>
        <w:lastRenderedPageBreak/>
        <w:t xml:space="preserve">וכתב </w:t>
      </w:r>
      <w:r w:rsidRPr="00866A4F">
        <w:rPr>
          <w:rStyle w:val="af8"/>
          <w:rFonts w:hint="cs"/>
          <w:rtl/>
        </w:rPr>
        <w:t>הנפש חיה</w:t>
      </w:r>
      <w:r>
        <w:rPr>
          <w:rFonts w:hint="cs"/>
          <w:rtl/>
        </w:rPr>
        <w:t xml:space="preserve"> </w:t>
      </w:r>
      <w:r w:rsidRPr="00643473">
        <w:rPr>
          <w:rStyle w:val="af6"/>
          <w:rFonts w:eastAsia="Guttman Hodes" w:hint="cs"/>
          <w:rtl/>
        </w:rPr>
        <w:t xml:space="preserve">(יו"ד סי' ל"ד ד"ה והנה ראיתי) </w:t>
      </w:r>
      <w:r>
        <w:rPr>
          <w:rFonts w:hint="cs"/>
          <w:rtl/>
        </w:rPr>
        <w:t xml:space="preserve">דעל דברי </w:t>
      </w:r>
      <w:r w:rsidRPr="00866A4F">
        <w:rPr>
          <w:rStyle w:val="af8"/>
          <w:rFonts w:hint="cs"/>
          <w:rtl/>
        </w:rPr>
        <w:t>הב"ח</w:t>
      </w:r>
      <w:r>
        <w:rPr>
          <w:rFonts w:hint="cs"/>
          <w:rtl/>
        </w:rPr>
        <w:t xml:space="preserve"> </w:t>
      </w:r>
      <w:r w:rsidRPr="00643473">
        <w:rPr>
          <w:rStyle w:val="af6"/>
          <w:rFonts w:eastAsia="Guttman Hodes" w:hint="cs"/>
          <w:rtl/>
        </w:rPr>
        <w:t xml:space="preserve">(עי' אות </w:t>
      </w:r>
      <w:r w:rsidRPr="00643473">
        <w:rPr>
          <w:rStyle w:val="af6"/>
          <w:rFonts w:eastAsia="Guttman Hodes"/>
          <w:rtl/>
        </w:rPr>
        <w:fldChar w:fldCharType="begin"/>
      </w:r>
      <w:r w:rsidRPr="00643473">
        <w:rPr>
          <w:rStyle w:val="af6"/>
          <w:rFonts w:eastAsia="Guttman Hodes"/>
          <w:rtl/>
        </w:rPr>
        <w:instrText xml:space="preserve"> </w:instrText>
      </w:r>
      <w:r w:rsidRPr="00643473">
        <w:rPr>
          <w:rStyle w:val="af6"/>
          <w:rFonts w:eastAsia="Guttman Hodes" w:hint="cs"/>
        </w:rPr>
        <w:instrText>REF</w:instrText>
      </w:r>
      <w:r w:rsidRPr="00643473">
        <w:rPr>
          <w:rStyle w:val="af6"/>
          <w:rFonts w:eastAsia="Guttman Hodes" w:hint="cs"/>
          <w:rtl/>
        </w:rPr>
        <w:instrText xml:space="preserve"> _</w:instrText>
      </w:r>
      <w:r w:rsidRPr="00643473">
        <w:rPr>
          <w:rStyle w:val="af6"/>
          <w:rFonts w:eastAsia="Guttman Hodes" w:hint="cs"/>
        </w:rPr>
        <w:instrText>Ref24888924 \r \h</w:instrText>
      </w:r>
      <w:r w:rsidRPr="00643473">
        <w:rPr>
          <w:rStyle w:val="af6"/>
          <w:rFonts w:eastAsia="Guttman Hodes"/>
          <w:rtl/>
        </w:rPr>
        <w:instrText xml:space="preserve"> </w:instrText>
      </w:r>
      <w:r w:rsidRPr="00643473">
        <w:rPr>
          <w:rStyle w:val="af6"/>
          <w:rFonts w:eastAsia="Guttman Hodes"/>
          <w:rtl/>
        </w:rPr>
      </w:r>
      <w:r w:rsidRPr="00643473">
        <w:rPr>
          <w:rStyle w:val="af6"/>
          <w:rFonts w:eastAsia="Guttman Hodes"/>
          <w:rtl/>
        </w:rPr>
        <w:fldChar w:fldCharType="separate"/>
      </w:r>
      <w:r w:rsidR="004D1C5B">
        <w:rPr>
          <w:rStyle w:val="af6"/>
          <w:rFonts w:eastAsia="Guttman Hodes"/>
          <w:cs/>
        </w:rPr>
        <w:t>‎</w:t>
      </w:r>
      <w:r w:rsidR="004D1C5B">
        <w:rPr>
          <w:rStyle w:val="af6"/>
          <w:rFonts w:eastAsia="Guttman Hodes"/>
          <w:rtl/>
        </w:rPr>
        <w:t>פב)</w:t>
      </w:r>
      <w:r w:rsidRPr="00643473">
        <w:rPr>
          <w:rStyle w:val="af6"/>
          <w:rFonts w:eastAsia="Guttman Hodes"/>
          <w:rtl/>
        </w:rPr>
        <w:fldChar w:fldCharType="end"/>
      </w:r>
      <w:r>
        <w:rPr>
          <w:rFonts w:hint="cs"/>
          <w:rtl/>
        </w:rPr>
        <w:t xml:space="preserve"> דס"ל דאף במין בשאינו מינו שחזר ובישלו מותר מדאו', א"כ קשה קושית </w:t>
      </w:r>
      <w:r w:rsidRPr="00866A4F">
        <w:rPr>
          <w:rStyle w:val="af8"/>
          <w:rFonts w:hint="cs"/>
          <w:rtl/>
        </w:rPr>
        <w:t>הט"ז</w:t>
      </w:r>
      <w:r>
        <w:rPr>
          <w:rFonts w:hint="cs"/>
          <w:rtl/>
        </w:rPr>
        <w:t xml:space="preserve"> </w:t>
      </w:r>
      <w:r w:rsidRPr="00643473">
        <w:rPr>
          <w:rStyle w:val="af6"/>
          <w:rFonts w:eastAsia="Guttman Hodes" w:hint="cs"/>
          <w:rtl/>
        </w:rPr>
        <w:t xml:space="preserve">(עי' אות </w:t>
      </w:r>
      <w:r w:rsidRPr="00643473">
        <w:rPr>
          <w:rStyle w:val="af6"/>
          <w:rFonts w:eastAsia="Guttman Hodes"/>
          <w:rtl/>
        </w:rPr>
        <w:fldChar w:fldCharType="begin"/>
      </w:r>
      <w:r w:rsidRPr="00643473">
        <w:rPr>
          <w:rStyle w:val="af6"/>
          <w:rFonts w:eastAsia="Guttman Hodes"/>
          <w:rtl/>
        </w:rPr>
        <w:instrText xml:space="preserve"> </w:instrText>
      </w:r>
      <w:r w:rsidRPr="00643473">
        <w:rPr>
          <w:rStyle w:val="af6"/>
          <w:rFonts w:eastAsia="Guttman Hodes" w:hint="cs"/>
        </w:rPr>
        <w:instrText>REF</w:instrText>
      </w:r>
      <w:r w:rsidRPr="00643473">
        <w:rPr>
          <w:rStyle w:val="af6"/>
          <w:rFonts w:eastAsia="Guttman Hodes" w:hint="cs"/>
          <w:rtl/>
        </w:rPr>
        <w:instrText xml:space="preserve"> _</w:instrText>
      </w:r>
      <w:r w:rsidRPr="00643473">
        <w:rPr>
          <w:rStyle w:val="af6"/>
          <w:rFonts w:eastAsia="Guttman Hodes" w:hint="cs"/>
        </w:rPr>
        <w:instrText>Ref24902487 \r \h</w:instrText>
      </w:r>
      <w:r w:rsidRPr="00643473">
        <w:rPr>
          <w:rStyle w:val="af6"/>
          <w:rFonts w:eastAsia="Guttman Hodes"/>
          <w:rtl/>
        </w:rPr>
        <w:instrText xml:space="preserve"> </w:instrText>
      </w:r>
      <w:r w:rsidRPr="00643473">
        <w:rPr>
          <w:rStyle w:val="af6"/>
          <w:rFonts w:eastAsia="Guttman Hodes"/>
          <w:rtl/>
        </w:rPr>
      </w:r>
      <w:r w:rsidRPr="00643473">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643473">
        <w:rPr>
          <w:rStyle w:val="af6"/>
          <w:rFonts w:eastAsia="Guttman Hodes"/>
          <w:rtl/>
        </w:rPr>
        <w:fldChar w:fldCharType="end"/>
      </w:r>
      <w:r w:rsidRPr="00643473">
        <w:rPr>
          <w:rStyle w:val="af6"/>
          <w:rFonts w:eastAsia="Guttman Hodes" w:hint="cs"/>
          <w:rtl/>
        </w:rPr>
        <w:t xml:space="preserve"> </w:t>
      </w:r>
      <w:r>
        <w:rPr>
          <w:rFonts w:hint="cs"/>
          <w:rtl/>
        </w:rPr>
        <w:t>דאמאי הצריכו רבנן שישים ביבש ביבש במין בשאינו מינו, דהא אף אם יבשלם יחד מותר.</w:t>
      </w:r>
    </w:p>
    <w:p w:rsidR="00F13472" w:rsidRDefault="00F13472" w:rsidP="00F13472">
      <w:pPr>
        <w:pStyle w:val="a2"/>
        <w:rPr>
          <w:rtl/>
        </w:rPr>
      </w:pPr>
      <w:bookmarkStart w:id="14486" w:name="_Toc24918164"/>
      <w:bookmarkStart w:id="14487" w:name="_Toc24918375"/>
      <w:r>
        <w:rPr>
          <w:rFonts w:hint="cs"/>
          <w:rtl/>
        </w:rPr>
        <w:t>תירוץ הנפש חיה דגזרו שישים ביבש באינו מינו דשייך דאו' אם יבשל לפני שנודעה התערובת</w:t>
      </w:r>
      <w:bookmarkEnd w:id="14486"/>
      <w:bookmarkEnd w:id="14487"/>
    </w:p>
    <w:p w:rsidR="00F13472" w:rsidRDefault="00F13472" w:rsidP="009F44AF">
      <w:pPr>
        <w:pStyle w:val="a"/>
        <w:rPr>
          <w:rtl/>
        </w:rPr>
      </w:pPr>
      <w:r>
        <w:rPr>
          <w:rFonts w:hint="cs"/>
          <w:rtl/>
        </w:rPr>
        <w:t xml:space="preserve">ותירץ </w:t>
      </w:r>
      <w:r w:rsidRPr="00866A4F">
        <w:rPr>
          <w:rStyle w:val="af8"/>
          <w:rFonts w:hint="cs"/>
          <w:rtl/>
        </w:rPr>
        <w:t>הנפש חיה</w:t>
      </w:r>
      <w:r>
        <w:rPr>
          <w:rFonts w:hint="cs"/>
          <w:rtl/>
        </w:rPr>
        <w:t xml:space="preserve"> </w:t>
      </w:r>
      <w:r w:rsidRPr="00643473">
        <w:rPr>
          <w:rStyle w:val="af6"/>
          <w:rFonts w:eastAsia="Guttman Hodes" w:hint="cs"/>
          <w:rtl/>
        </w:rPr>
        <w:t xml:space="preserve">(יו"ד סי' ל"ד ד"ה וצריך) </w:t>
      </w:r>
      <w:r>
        <w:rPr>
          <w:rFonts w:hint="cs"/>
          <w:rtl/>
        </w:rPr>
        <w:t>דהא דגזרו רבנן במין בשאינו מינו ביבש, מחמת שאם יבשלם יבא לאיסור דאו', היינו באופן שיבשלם לפני שנודעה התערובת, אבל במקום שנודעה התערובת, אין איסור דאו' ולא שייך לגזור.</w:t>
      </w:r>
    </w:p>
    <w:p w:rsidR="00F13472" w:rsidRDefault="00F13472" w:rsidP="00F13472">
      <w:pPr>
        <w:pStyle w:val="a2"/>
        <w:rPr>
          <w:rtl/>
        </w:rPr>
      </w:pPr>
      <w:bookmarkStart w:id="14488" w:name="_Toc24918165"/>
      <w:bookmarkStart w:id="14489" w:name="_Toc24918376"/>
      <w:r>
        <w:rPr>
          <w:rFonts w:hint="cs"/>
          <w:rtl/>
        </w:rPr>
        <w:t>דברי הנפש חיה דרק באיסור שנוסף שייך חוזר וניעור דאיסור מעורר איסור ולא באיסור שהותר</w:t>
      </w:r>
      <w:bookmarkEnd w:id="14488"/>
      <w:bookmarkEnd w:id="14489"/>
    </w:p>
    <w:p w:rsidR="00F13472" w:rsidRDefault="00F13472" w:rsidP="009F44AF">
      <w:pPr>
        <w:pStyle w:val="a"/>
        <w:rPr>
          <w:rtl/>
        </w:rPr>
      </w:pPr>
      <w:r>
        <w:rPr>
          <w:rFonts w:hint="cs"/>
          <w:rtl/>
        </w:rPr>
        <w:t xml:space="preserve">והוסיף </w:t>
      </w:r>
      <w:r w:rsidRPr="00866A4F">
        <w:rPr>
          <w:rStyle w:val="af8"/>
          <w:rFonts w:hint="cs"/>
          <w:rtl/>
        </w:rPr>
        <w:t>הנפש חיה</w:t>
      </w:r>
      <w:r>
        <w:rPr>
          <w:rFonts w:hint="cs"/>
          <w:rtl/>
        </w:rPr>
        <w:t xml:space="preserve"> </w:t>
      </w:r>
      <w:r w:rsidRPr="00643473">
        <w:rPr>
          <w:rStyle w:val="af6"/>
          <w:rFonts w:eastAsia="Guttman Hodes" w:hint="cs"/>
          <w:rtl/>
        </w:rPr>
        <w:t xml:space="preserve">(יו"ד סי' ל"ד ד"ה ואפשר שרק בתו"ד) </w:t>
      </w:r>
      <w:r>
        <w:rPr>
          <w:rFonts w:hint="cs"/>
          <w:rtl/>
        </w:rPr>
        <w:t xml:space="preserve">לבאר דהא דכתב </w:t>
      </w:r>
      <w:r w:rsidRPr="00866A4F">
        <w:rPr>
          <w:rStyle w:val="af8"/>
          <w:rFonts w:hint="cs"/>
          <w:rtl/>
        </w:rPr>
        <w:t>הרא"ש</w:t>
      </w:r>
      <w:r>
        <w:rPr>
          <w:rFonts w:hint="cs"/>
          <w:rtl/>
        </w:rPr>
        <w:t xml:space="preserve">  </w:t>
      </w:r>
      <w:r w:rsidRPr="00D34E06">
        <w:rPr>
          <w:rStyle w:val="af6"/>
          <w:rFonts w:eastAsia="Guttman Hodes" w:hint="cs"/>
          <w:rtl/>
        </w:rPr>
        <w:t xml:space="preserve">(עי' אות </w:t>
      </w:r>
      <w:r w:rsidRPr="00D34E06">
        <w:rPr>
          <w:rStyle w:val="af6"/>
          <w:rFonts w:eastAsia="Guttman Hodes"/>
          <w:rtl/>
        </w:rPr>
        <w:fldChar w:fldCharType="begin"/>
      </w:r>
      <w:r w:rsidRPr="00D34E06">
        <w:rPr>
          <w:rStyle w:val="af6"/>
          <w:rFonts w:eastAsia="Guttman Hodes"/>
          <w:rtl/>
        </w:rPr>
        <w:instrText xml:space="preserve"> </w:instrText>
      </w:r>
      <w:r w:rsidRPr="00D34E06">
        <w:rPr>
          <w:rStyle w:val="af6"/>
          <w:rFonts w:eastAsia="Guttman Hodes" w:hint="cs"/>
        </w:rPr>
        <w:instrText>REF</w:instrText>
      </w:r>
      <w:r w:rsidRPr="00D34E06">
        <w:rPr>
          <w:rStyle w:val="af6"/>
          <w:rFonts w:eastAsia="Guttman Hodes" w:hint="cs"/>
          <w:rtl/>
        </w:rPr>
        <w:instrText xml:space="preserve"> _</w:instrText>
      </w:r>
      <w:r w:rsidRPr="00D34E06">
        <w:rPr>
          <w:rStyle w:val="af6"/>
          <w:rFonts w:eastAsia="Guttman Hodes" w:hint="cs"/>
        </w:rPr>
        <w:instrText>Ref24902820 \r \h</w:instrText>
      </w:r>
      <w:r w:rsidRPr="00D34E06">
        <w:rPr>
          <w:rStyle w:val="af6"/>
          <w:rFonts w:eastAsia="Guttman Hodes"/>
          <w:rtl/>
        </w:rPr>
        <w:instrText xml:space="preserve"> </w:instrText>
      </w:r>
      <w:r w:rsidRPr="00D34E06">
        <w:rPr>
          <w:rStyle w:val="af6"/>
          <w:rFonts w:eastAsia="Guttman Hodes"/>
          <w:rtl/>
        </w:rPr>
      </w:r>
      <w:r w:rsidRPr="00D34E06">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D34E06">
        <w:rPr>
          <w:rStyle w:val="af6"/>
          <w:rFonts w:eastAsia="Guttman Hodes"/>
          <w:rtl/>
        </w:rPr>
        <w:fldChar w:fldCharType="end"/>
      </w:r>
      <w:r>
        <w:rPr>
          <w:rFonts w:hint="cs"/>
          <w:rtl/>
        </w:rPr>
        <w:t xml:space="preserve">  דבנוסף איסור אמרינן דהוא חוזר וניעור, היינו דוקא כשנוסף איסור אחר, דאיסור מעורר איסור, אבל כשהאיסור שהותר עצמו הוכר אינו חוזר וניעור. [וע"ע בדברי </w:t>
      </w:r>
      <w:r w:rsidRPr="00AD5BF6">
        <w:rPr>
          <w:rStyle w:val="af8"/>
          <w:rFonts w:hint="cs"/>
          <w:rtl/>
        </w:rPr>
        <w:t>השער"י</w:t>
      </w:r>
      <w:r>
        <w:rPr>
          <w:rFonts w:hint="cs"/>
          <w:rtl/>
        </w:rPr>
        <w:t xml:space="preserve"> </w:t>
      </w:r>
      <w:r w:rsidRPr="00AD5BF6">
        <w:rPr>
          <w:rStyle w:val="af6"/>
          <w:rFonts w:eastAsia="Guttman Hodes" w:hint="cs"/>
          <w:rtl/>
        </w:rPr>
        <w:t>(עי' הערה</w:t>
      </w:r>
      <w:r w:rsidRPr="00AD5BF6">
        <w:rPr>
          <w:vertAlign w:val="superscript"/>
          <w:rtl/>
        </w:rPr>
        <w:fldChar w:fldCharType="begin"/>
      </w:r>
      <w:r w:rsidRPr="00AD5BF6">
        <w:rPr>
          <w:vertAlign w:val="superscript"/>
          <w:rtl/>
        </w:rPr>
        <w:instrText xml:space="preserve"> </w:instrText>
      </w:r>
      <w:r w:rsidRPr="00AD5BF6">
        <w:rPr>
          <w:rFonts w:hint="cs"/>
          <w:vertAlign w:val="superscript"/>
        </w:rPr>
        <w:instrText>NOTEREF</w:instrText>
      </w:r>
      <w:r w:rsidRPr="00AD5BF6">
        <w:rPr>
          <w:rFonts w:hint="cs"/>
          <w:vertAlign w:val="superscript"/>
          <w:rtl/>
        </w:rPr>
        <w:instrText xml:space="preserve"> _</w:instrText>
      </w:r>
      <w:r w:rsidRPr="00AD5BF6">
        <w:rPr>
          <w:rFonts w:hint="cs"/>
          <w:vertAlign w:val="superscript"/>
        </w:rPr>
        <w:instrText>Ref25784758 \h</w:instrText>
      </w:r>
      <w:r w:rsidRPr="00AD5BF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AD5BF6">
        <w:rPr>
          <w:vertAlign w:val="superscript"/>
          <w:rtl/>
        </w:rPr>
      </w:r>
      <w:r w:rsidRPr="00AD5BF6">
        <w:rPr>
          <w:vertAlign w:val="superscript"/>
          <w:rtl/>
        </w:rPr>
        <w:fldChar w:fldCharType="separate"/>
      </w:r>
      <w:r w:rsidR="004D1C5B">
        <w:rPr>
          <w:vertAlign w:val="superscript"/>
          <w:rtl/>
        </w:rPr>
        <w:t>76</w:t>
      </w:r>
      <w:r w:rsidRPr="00AD5BF6">
        <w:rPr>
          <w:vertAlign w:val="superscript"/>
          <w:rtl/>
        </w:rPr>
        <w:fldChar w:fldCharType="end"/>
      </w:r>
      <w:r w:rsidRPr="00AD5BF6">
        <w:rPr>
          <w:rStyle w:val="af6"/>
          <w:rFonts w:eastAsia="Guttman Hodes" w:hint="cs"/>
          <w:rtl/>
        </w:rPr>
        <w:t>)</w:t>
      </w:r>
      <w:r>
        <w:rPr>
          <w:rFonts w:hint="cs"/>
          <w:rtl/>
        </w:rPr>
        <w:t>].</w:t>
      </w:r>
    </w:p>
    <w:p w:rsidR="00F13472" w:rsidRPr="00D34E06" w:rsidRDefault="00F13472" w:rsidP="00F13472">
      <w:pPr>
        <w:pStyle w:val="a2"/>
      </w:pPr>
      <w:bookmarkStart w:id="14490" w:name="_Toc24918166"/>
      <w:bookmarkStart w:id="14491" w:name="_Toc24918377"/>
      <w:r>
        <w:rPr>
          <w:rFonts w:hint="cs"/>
          <w:rtl/>
        </w:rPr>
        <w:t>דברי הנפש חיה דהא דבאינו מינו חוזר וניעור הטעם היינו דהטעם הנוסף ניכר ע"י הטעם שהותר</w:t>
      </w:r>
      <w:bookmarkEnd w:id="14490"/>
      <w:bookmarkEnd w:id="14491"/>
    </w:p>
    <w:p w:rsidR="00F13472" w:rsidRDefault="00F13472" w:rsidP="009F44AF">
      <w:pPr>
        <w:pStyle w:val="a"/>
        <w:rPr>
          <w:rtl/>
        </w:rPr>
      </w:pPr>
      <w:bookmarkStart w:id="14492" w:name="_Ref24904994"/>
      <w:r>
        <w:rPr>
          <w:rFonts w:hint="cs"/>
          <w:rtl/>
        </w:rPr>
        <w:t xml:space="preserve">ובמ"ש </w:t>
      </w:r>
      <w:r w:rsidRPr="00866A4F">
        <w:rPr>
          <w:rStyle w:val="af8"/>
          <w:rFonts w:hint="cs"/>
          <w:rtl/>
        </w:rPr>
        <w:t>הרא"ש</w:t>
      </w:r>
      <w:r>
        <w:rPr>
          <w:rFonts w:hint="cs"/>
          <w:rtl/>
        </w:rPr>
        <w:t xml:space="preserve"> </w:t>
      </w:r>
      <w:r w:rsidRPr="00D34E06">
        <w:rPr>
          <w:rStyle w:val="af6"/>
          <w:rFonts w:eastAsia="Guttman Hodes" w:hint="cs"/>
          <w:rtl/>
        </w:rPr>
        <w:t xml:space="preserve">(עי' אות </w:t>
      </w:r>
      <w:r w:rsidRPr="00D34E06">
        <w:rPr>
          <w:rStyle w:val="af6"/>
          <w:rFonts w:eastAsia="Guttman Hodes"/>
          <w:rtl/>
        </w:rPr>
        <w:fldChar w:fldCharType="begin"/>
      </w:r>
      <w:r w:rsidRPr="00D34E06">
        <w:rPr>
          <w:rStyle w:val="af6"/>
          <w:rFonts w:eastAsia="Guttman Hodes"/>
          <w:rtl/>
        </w:rPr>
        <w:instrText xml:space="preserve"> </w:instrText>
      </w:r>
      <w:r w:rsidRPr="00D34E06">
        <w:rPr>
          <w:rStyle w:val="af6"/>
          <w:rFonts w:eastAsia="Guttman Hodes" w:hint="cs"/>
        </w:rPr>
        <w:instrText>REF</w:instrText>
      </w:r>
      <w:r w:rsidRPr="00D34E06">
        <w:rPr>
          <w:rStyle w:val="af6"/>
          <w:rFonts w:eastAsia="Guttman Hodes" w:hint="cs"/>
          <w:rtl/>
        </w:rPr>
        <w:instrText xml:space="preserve"> _</w:instrText>
      </w:r>
      <w:r w:rsidRPr="00D34E06">
        <w:rPr>
          <w:rStyle w:val="af6"/>
          <w:rFonts w:eastAsia="Guttman Hodes" w:hint="cs"/>
        </w:rPr>
        <w:instrText>Ref24902856 \r \h</w:instrText>
      </w:r>
      <w:r w:rsidRPr="00D34E06">
        <w:rPr>
          <w:rStyle w:val="af6"/>
          <w:rFonts w:eastAsia="Guttman Hodes"/>
          <w:rtl/>
        </w:rPr>
        <w:instrText xml:space="preserve"> </w:instrText>
      </w:r>
      <w:r w:rsidRPr="00D34E06">
        <w:rPr>
          <w:rStyle w:val="af6"/>
          <w:rFonts w:eastAsia="Guttman Hodes"/>
          <w:rtl/>
        </w:rPr>
      </w:r>
      <w:r w:rsidRPr="00D34E06">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D34E06">
        <w:rPr>
          <w:rStyle w:val="af6"/>
          <w:rFonts w:eastAsia="Guttman Hodes"/>
          <w:rtl/>
        </w:rPr>
        <w:fldChar w:fldCharType="end"/>
      </w:r>
      <w:r>
        <w:rPr>
          <w:rFonts w:hint="cs"/>
          <w:rtl/>
        </w:rPr>
        <w:t xml:space="preserve"> דבמין בשאינו מינו פשיטא דאמרינן חוזר וניעור, כיון שהטעם של האיסורים מצטרף, וממילא האיסור נותן טעם בהיתר, כתב </w:t>
      </w:r>
      <w:r w:rsidRPr="00FF21B0">
        <w:rPr>
          <w:rStyle w:val="af8"/>
          <w:rFonts w:hint="cs"/>
          <w:rtl/>
        </w:rPr>
        <w:t>הנפש חיה</w:t>
      </w:r>
      <w:r>
        <w:rPr>
          <w:rFonts w:hint="cs"/>
          <w:rtl/>
        </w:rPr>
        <w:t xml:space="preserve"> דאין כוונת </w:t>
      </w:r>
      <w:r w:rsidRPr="00FF21B0">
        <w:rPr>
          <w:rStyle w:val="af8"/>
          <w:rFonts w:hint="cs"/>
          <w:rtl/>
        </w:rPr>
        <w:t>הרא"ש</w:t>
      </w:r>
      <w:r>
        <w:rPr>
          <w:rFonts w:hint="cs"/>
          <w:rtl/>
        </w:rPr>
        <w:t xml:space="preserve"> לומר דהאיסור שהותר אוסר כיון שטעמו מורגש, דמ"מ עדיין יש רוב בהיתר, אלא דאיסור שנוסף אוסר בטעמו, דבצירוף האיסור שהותר, מורגש הטעם של האיסור שנוסף, וכיון שהטעם של האיסור שנוסף מורגש, א"כ הוא אוסר ואינו מתבטל.</w:t>
      </w:r>
      <w:bookmarkEnd w:id="14492"/>
    </w:p>
    <w:p w:rsidR="00F13472" w:rsidRPr="00DE4AE1" w:rsidRDefault="00F13472" w:rsidP="00F13472">
      <w:pPr>
        <w:pStyle w:val="afd"/>
        <w:rPr>
          <w:rtl/>
        </w:rPr>
      </w:pPr>
      <w:bookmarkStart w:id="14493" w:name="_Toc24918167"/>
      <w:bookmarkStart w:id="14494" w:name="_Toc24918378"/>
      <w:r>
        <w:rPr>
          <w:rFonts w:hint="cs"/>
          <w:rtl/>
        </w:rPr>
        <w:t>ביאור היד יהודה בבישל להרא"ה</w:t>
      </w:r>
      <w:r w:rsidRPr="00DE4AE1">
        <w:rPr>
          <w:rFonts w:hint="cs"/>
          <w:rtl/>
        </w:rPr>
        <w:t xml:space="preserve"> </w:t>
      </w:r>
      <w:r>
        <w:rPr>
          <w:rFonts w:hint="cs"/>
          <w:rtl/>
        </w:rPr>
        <w:t>והר"ן</w:t>
      </w:r>
      <w:bookmarkEnd w:id="14493"/>
      <w:bookmarkEnd w:id="14494"/>
    </w:p>
    <w:p w:rsidR="00F13472" w:rsidRPr="00644014" w:rsidRDefault="00F13472" w:rsidP="00F13472">
      <w:pPr>
        <w:pStyle w:val="1"/>
        <w:rPr>
          <w:rtl/>
        </w:rPr>
      </w:pPr>
      <w:bookmarkStart w:id="14495" w:name="_Toc24403391"/>
      <w:bookmarkStart w:id="14496" w:name="_Toc24455858"/>
      <w:bookmarkStart w:id="14497" w:name="_Toc24576844"/>
      <w:bookmarkStart w:id="14498" w:name="_Toc24709419"/>
      <w:bookmarkStart w:id="14499" w:name="_Toc24839030"/>
      <w:bookmarkStart w:id="14500" w:name="_Toc24918168"/>
      <w:bookmarkStart w:id="14501" w:name="_Toc24918379"/>
      <w:bookmarkStart w:id="14502" w:name="_Toc24709439"/>
      <w:bookmarkStart w:id="14503" w:name="_Toc24839050"/>
      <w:bookmarkStart w:id="14504" w:name="_Toc24576861"/>
      <w:r>
        <w:rPr>
          <w:rFonts w:hint="cs"/>
          <w:rtl/>
        </w:rPr>
        <w:t xml:space="preserve">דברי </w:t>
      </w:r>
      <w:r w:rsidRPr="00644014">
        <w:rPr>
          <w:rFonts w:hint="cs"/>
          <w:rtl/>
        </w:rPr>
        <w:t>הרא"ה והר"ן</w:t>
      </w:r>
      <w:bookmarkEnd w:id="14495"/>
      <w:bookmarkEnd w:id="14496"/>
      <w:bookmarkEnd w:id="14497"/>
      <w:bookmarkEnd w:id="14498"/>
      <w:bookmarkEnd w:id="14499"/>
      <w:r>
        <w:rPr>
          <w:rFonts w:hint="cs"/>
          <w:rtl/>
        </w:rPr>
        <w:t xml:space="preserve"> דאסור לבשל את כל התערובת יחד</w:t>
      </w:r>
      <w:bookmarkEnd w:id="14500"/>
      <w:bookmarkEnd w:id="14501"/>
    </w:p>
    <w:p w:rsidR="00F13472" w:rsidRPr="00644014" w:rsidRDefault="00F13472" w:rsidP="00F13472">
      <w:pPr>
        <w:pStyle w:val="a2"/>
        <w:rPr>
          <w:rtl/>
        </w:rPr>
      </w:pPr>
      <w:bookmarkStart w:id="14505" w:name="_Toc24403392"/>
      <w:bookmarkStart w:id="14506" w:name="_Toc24455859"/>
      <w:bookmarkStart w:id="14507" w:name="_Toc24576845"/>
      <w:bookmarkStart w:id="14508" w:name="_Toc24709420"/>
      <w:bookmarkStart w:id="14509" w:name="_Toc24839031"/>
      <w:bookmarkStart w:id="14510" w:name="_Toc24918169"/>
      <w:bookmarkStart w:id="14511" w:name="_Toc24918380"/>
      <w:r w:rsidRPr="00644014">
        <w:rPr>
          <w:rFonts w:hint="cs"/>
          <w:rtl/>
        </w:rPr>
        <w:t>דברי הרא"ה והר"ן דביבש כ"א מותר בפנ"ע וראוי שלא לבשלם יחד דיש טעם בפחות משישים</w:t>
      </w:r>
      <w:bookmarkEnd w:id="14505"/>
      <w:bookmarkEnd w:id="14506"/>
      <w:bookmarkEnd w:id="14507"/>
      <w:bookmarkEnd w:id="14508"/>
      <w:bookmarkEnd w:id="14509"/>
      <w:bookmarkEnd w:id="14510"/>
      <w:bookmarkEnd w:id="14511"/>
    </w:p>
    <w:p w:rsidR="00F13472" w:rsidRPr="00343EF7" w:rsidRDefault="00F13472" w:rsidP="009F44AF">
      <w:pPr>
        <w:pStyle w:val="a"/>
        <w:rPr>
          <w:rtl/>
        </w:rPr>
      </w:pPr>
      <w:bookmarkStart w:id="14512" w:name="_Ref23957714"/>
      <w:r w:rsidRPr="00644014">
        <w:rPr>
          <w:rFonts w:hint="cs"/>
          <w:rtl/>
        </w:rPr>
        <w:t>כתב</w:t>
      </w:r>
      <w:r w:rsidRPr="00644014">
        <w:rPr>
          <w:rStyle w:val="af8"/>
          <w:rFonts w:hint="cs"/>
          <w:rtl/>
        </w:rPr>
        <w:t xml:space="preserve"> בפסקי הרא"ה לחולין</w:t>
      </w:r>
      <w:r w:rsidRPr="00644014">
        <w:rPr>
          <w:rFonts w:hint="cs"/>
          <w:rtl/>
        </w:rPr>
        <w:t xml:space="preserve"> </w:t>
      </w:r>
      <w:r w:rsidRPr="00644014">
        <w:rPr>
          <w:rStyle w:val="af6"/>
          <w:rFonts w:eastAsia="Guttman Hodes" w:hint="cs"/>
          <w:rtl/>
        </w:rPr>
        <w:t>(אות מ"ז</w:t>
      </w:r>
      <w:r w:rsidRPr="00644014">
        <w:rPr>
          <w:rStyle w:val="af6"/>
          <w:rFonts w:eastAsia="Guttman Hodes"/>
          <w:rtl/>
        </w:rPr>
        <w:t xml:space="preserve">, </w:t>
      </w:r>
      <w:r w:rsidRPr="00644014">
        <w:rPr>
          <w:rStyle w:val="af6"/>
          <w:rFonts w:eastAsia="Guttman Hodes" w:hint="cs"/>
          <w:rtl/>
        </w:rPr>
        <w:t>נד' בחי' הרא"ה בסוף הפרק)</w:t>
      </w:r>
      <w:r w:rsidRPr="00644014">
        <w:rPr>
          <w:rFonts w:hint="cs"/>
          <w:rtl/>
        </w:rPr>
        <w:t xml:space="preserve"> דיבש ביבש בטל בחד בתרי הכל מותר,  אך ראוי שלא לבשל את כל התערובת יחד, כיון שבבישול האיסור נותן טעם בפחות משישים, ורק כל חתיכה בפנ"ע מותר, והוסיף </w:t>
      </w:r>
      <w:r w:rsidRPr="00644014">
        <w:rPr>
          <w:rStyle w:val="af8"/>
          <w:rFonts w:hint="cs"/>
          <w:rtl/>
        </w:rPr>
        <w:t>הרא"ה בבד"ה</w:t>
      </w:r>
      <w:r w:rsidRPr="00644014">
        <w:rPr>
          <w:rFonts w:hint="cs"/>
          <w:rtl/>
        </w:rPr>
        <w:t xml:space="preserve"> </w:t>
      </w:r>
      <w:r w:rsidRPr="00644014">
        <w:rPr>
          <w:rStyle w:val="af6"/>
          <w:rFonts w:eastAsia="Guttman Hodes" w:hint="cs"/>
          <w:rtl/>
        </w:rPr>
        <w:t>(ב"ד ש"ב כו: מדה"ס בתו"ד)</w:t>
      </w:r>
      <w:r w:rsidRPr="00644014">
        <w:rPr>
          <w:rFonts w:hint="cs"/>
          <w:rtl/>
        </w:rPr>
        <w:t xml:space="preserve"> דההיתר הוא רק לאוכלן כ"א בפנ"ע, ואסור לאוכלם יחד, וכ"כ</w:t>
      </w:r>
      <w:r w:rsidRPr="00644014">
        <w:rPr>
          <w:rStyle w:val="af8"/>
          <w:rFonts w:hint="cs"/>
          <w:rtl/>
        </w:rPr>
        <w:t xml:space="preserve"> בר"ן על הרי"ף</w:t>
      </w:r>
      <w:r w:rsidRPr="00644014">
        <w:rPr>
          <w:rFonts w:hint="cs"/>
          <w:rtl/>
        </w:rPr>
        <w:t xml:space="preserve"> </w:t>
      </w:r>
      <w:r w:rsidRPr="00644014">
        <w:rPr>
          <w:rStyle w:val="af6"/>
          <w:rFonts w:eastAsia="Guttman Hodes" w:hint="cs"/>
          <w:rtl/>
        </w:rPr>
        <w:t>(</w:t>
      </w:r>
      <w:r w:rsidRPr="00644014">
        <w:rPr>
          <w:rStyle w:val="af6"/>
          <w:rFonts w:eastAsia="Guttman Hodes"/>
          <w:rtl/>
        </w:rPr>
        <w:t>לו. מדפי הרי"ף ד"ה גרסי'</w:t>
      </w:r>
      <w:r w:rsidRPr="00644014">
        <w:rPr>
          <w:rStyle w:val="af6"/>
          <w:rFonts w:eastAsia="Guttman Hodes" w:hint="cs"/>
          <w:rtl/>
        </w:rPr>
        <w:t>)</w:t>
      </w:r>
      <w:r w:rsidRPr="00644014">
        <w:rPr>
          <w:rFonts w:hint="cs"/>
          <w:rtl/>
        </w:rPr>
        <w:t xml:space="preserve"> </w:t>
      </w:r>
      <w:r w:rsidRPr="00644014">
        <w:rPr>
          <w:rStyle w:val="af8"/>
          <w:rFonts w:hint="cs"/>
          <w:rtl/>
        </w:rPr>
        <w:t>ו</w:t>
      </w:r>
      <w:r w:rsidRPr="00644014">
        <w:rPr>
          <w:rStyle w:val="af8"/>
          <w:rtl/>
        </w:rPr>
        <w:t>בחי' לעיל</w:t>
      </w:r>
      <w:r w:rsidRPr="00644014">
        <w:rPr>
          <w:rFonts w:hint="cs"/>
          <w:rtl/>
        </w:rPr>
        <w:t xml:space="preserve"> </w:t>
      </w:r>
      <w:r w:rsidRPr="00644014">
        <w:rPr>
          <w:rStyle w:val="af6"/>
          <w:rFonts w:eastAsia="Guttman Hodes" w:hint="cs"/>
          <w:rtl/>
        </w:rPr>
        <w:t>(צז: ד"ה והא)</w:t>
      </w:r>
      <w:r w:rsidRPr="00644014">
        <w:rPr>
          <w:rFonts w:hint="cs"/>
          <w:rtl/>
        </w:rPr>
        <w:t xml:space="preserve"> דההיתר ביבש ביבש במין במינו הוא רק לאכול כל חתיכה בפנ"ע, אך אסור לבשל יחד את כל החתיכות בפחות </w:t>
      </w:r>
      <w:r w:rsidRPr="00343EF7">
        <w:rPr>
          <w:rFonts w:hint="cs"/>
          <w:rtl/>
        </w:rPr>
        <w:t>משישים, דכשמבשלם יחד האיסור נותן טעם בהיתר.</w:t>
      </w:r>
      <w:bookmarkEnd w:id="14512"/>
    </w:p>
    <w:p w:rsidR="00F13472" w:rsidRPr="00343EF7" w:rsidRDefault="00F13472" w:rsidP="00F13472">
      <w:pPr>
        <w:pStyle w:val="a2"/>
        <w:rPr>
          <w:rtl/>
        </w:rPr>
      </w:pPr>
      <w:bookmarkStart w:id="14513" w:name="_Toc24576848"/>
      <w:bookmarkStart w:id="14514" w:name="_Toc24709423"/>
      <w:bookmarkStart w:id="14515" w:name="_Toc24839034"/>
      <w:bookmarkStart w:id="14516" w:name="_Toc24918170"/>
      <w:bookmarkStart w:id="14517" w:name="_Toc24918381"/>
      <w:bookmarkStart w:id="14518" w:name="_Toc24403393"/>
      <w:bookmarkStart w:id="14519" w:name="_Toc24455860"/>
      <w:bookmarkStart w:id="14520" w:name="_Toc24576846"/>
      <w:bookmarkStart w:id="14521" w:name="_Toc24709421"/>
      <w:bookmarkStart w:id="14522" w:name="_Toc24839032"/>
      <w:r w:rsidRPr="00343EF7">
        <w:rPr>
          <w:rFonts w:hint="cs"/>
          <w:rtl/>
        </w:rPr>
        <w:t>דברי הרא"ה והר"ן דשישים הוא רק כשיש בליעת איסור וביבש שאין בליעה לא שייך שישים</w:t>
      </w:r>
      <w:bookmarkEnd w:id="14513"/>
      <w:bookmarkEnd w:id="14514"/>
      <w:bookmarkEnd w:id="14515"/>
      <w:bookmarkEnd w:id="14516"/>
      <w:bookmarkEnd w:id="14517"/>
    </w:p>
    <w:p w:rsidR="00F13472" w:rsidRDefault="00F13472" w:rsidP="009F44AF">
      <w:pPr>
        <w:pStyle w:val="a"/>
        <w:rPr>
          <w:rtl/>
        </w:rPr>
      </w:pPr>
      <w:bookmarkStart w:id="14523" w:name="_Ref24904142"/>
      <w:r>
        <w:rPr>
          <w:rFonts w:hint="cs"/>
          <w:rtl/>
        </w:rPr>
        <w:t xml:space="preserve">ועוד </w:t>
      </w:r>
      <w:r w:rsidRPr="00343EF7">
        <w:rPr>
          <w:rFonts w:hint="cs"/>
          <w:rtl/>
        </w:rPr>
        <w:t xml:space="preserve">כתבו </w:t>
      </w:r>
      <w:r w:rsidRPr="00343EF7">
        <w:rPr>
          <w:rStyle w:val="af8"/>
          <w:rFonts w:hint="cs"/>
          <w:rtl/>
        </w:rPr>
        <w:t>הרא"ה בבד"ה</w:t>
      </w:r>
      <w:r w:rsidRPr="00343EF7">
        <w:rPr>
          <w:rFonts w:hint="cs"/>
          <w:rtl/>
        </w:rPr>
        <w:t xml:space="preserve"> </w:t>
      </w:r>
      <w:r w:rsidRPr="00022A7A">
        <w:rPr>
          <w:rStyle w:val="af6"/>
          <w:rFonts w:eastAsia="Guttman Hodes" w:hint="cs"/>
          <w:rtl/>
        </w:rPr>
        <w:t xml:space="preserve">(ב"ד ש"א יז. מדה"ס ד"ה עוד כתב דטעמא) </w:t>
      </w:r>
      <w:r w:rsidRPr="00343EF7">
        <w:rPr>
          <w:rStyle w:val="af8"/>
          <w:rFonts w:hint="cs"/>
          <w:rtl/>
        </w:rPr>
        <w:t>והר"ן על הרי"ף</w:t>
      </w:r>
      <w:r w:rsidRPr="00343EF7">
        <w:rPr>
          <w:rFonts w:hint="cs"/>
          <w:rtl/>
        </w:rPr>
        <w:t xml:space="preserve"> </w:t>
      </w:r>
      <w:r w:rsidRPr="00022A7A">
        <w:rPr>
          <w:rStyle w:val="af6"/>
          <w:rFonts w:eastAsia="Guttman Hodes" w:hint="cs"/>
          <w:rtl/>
        </w:rPr>
        <w:t>(</w:t>
      </w:r>
      <w:r w:rsidRPr="00022A7A">
        <w:rPr>
          <w:rStyle w:val="af6"/>
          <w:rFonts w:eastAsia="Guttman Hodes"/>
          <w:rtl/>
        </w:rPr>
        <w:t>לו. מדפי הרי"ף ד"ה גרסי'</w:t>
      </w:r>
      <w:r w:rsidRPr="00022A7A">
        <w:rPr>
          <w:rStyle w:val="af6"/>
          <w:rFonts w:eastAsia="Guttman Hodes" w:hint="cs"/>
          <w:rtl/>
        </w:rPr>
        <w:t xml:space="preserve">, הובא בסימן </w:t>
      </w:r>
      <w:r>
        <w:rPr>
          <w:rStyle w:val="af6"/>
          <w:rFonts w:eastAsia="Guttman Hodes" w:hint="cs"/>
          <w:rtl/>
        </w:rPr>
        <w:t>ט"ז</w:t>
      </w:r>
      <w:r w:rsidRPr="00022A7A">
        <w:rPr>
          <w:rStyle w:val="af6"/>
          <w:rFonts w:eastAsia="Guttman Hodes" w:hint="cs"/>
          <w:rtl/>
        </w:rPr>
        <w:t xml:space="preserve"> אות </w:t>
      </w:r>
      <w:r>
        <w:rPr>
          <w:rStyle w:val="af6"/>
          <w:rFonts w:eastAsia="Guttman Hodes" w:hint="cs"/>
          <w:rtl/>
        </w:rPr>
        <w:t>נ"ג</w:t>
      </w:r>
      <w:r w:rsidRPr="00022A7A">
        <w:rPr>
          <w:rStyle w:val="af6"/>
          <w:rFonts w:eastAsia="Guttman Hodes" w:hint="cs"/>
          <w:rtl/>
        </w:rPr>
        <w:t xml:space="preserve">) </w:t>
      </w:r>
      <w:r w:rsidRPr="00343EF7">
        <w:rPr>
          <w:rFonts w:hint="cs"/>
          <w:rtl/>
        </w:rPr>
        <w:t>דכל מה שהחמירו רבנן להצריך שישים הוא במקום שיש בליעת איסור, כיון שהטעם של האיסור מתפשט בכל התערובת, אבל ביבש ביבש במין במינו, שהאיסור עומד בפני עצמו, ואין בו בליעת איסור העמידו רבנן על הדין דאו', דמהני ביטול בחד בתרי, ולא שייך בזה שיעור שישים, דהרי אין ביבש ביבש ביטול טעם כלל.</w:t>
      </w:r>
      <w:bookmarkStart w:id="14524" w:name="_Toc24576849"/>
      <w:bookmarkStart w:id="14525" w:name="_Toc24709424"/>
      <w:bookmarkStart w:id="14526" w:name="_Toc24839035"/>
      <w:bookmarkEnd w:id="14523"/>
    </w:p>
    <w:p w:rsidR="00F13472" w:rsidRDefault="00F13472" w:rsidP="00F13472">
      <w:pPr>
        <w:pStyle w:val="1"/>
        <w:rPr>
          <w:rtl/>
        </w:rPr>
      </w:pPr>
      <w:bookmarkStart w:id="14527" w:name="_Toc24918382"/>
      <w:bookmarkStart w:id="14528" w:name="_Toc24918171"/>
      <w:r>
        <w:rPr>
          <w:rFonts w:hint="cs"/>
          <w:rtl/>
        </w:rPr>
        <w:t>ביאור היד יהודה ברא"ה ובר"ן דבבישל האיסור חוזר וניעור</w:t>
      </w:r>
      <w:bookmarkEnd w:id="14527"/>
    </w:p>
    <w:p w:rsidR="00F13472" w:rsidRPr="00A43228" w:rsidRDefault="00F13472" w:rsidP="00F13472">
      <w:pPr>
        <w:pStyle w:val="a2"/>
      </w:pPr>
      <w:bookmarkStart w:id="14529" w:name="_Toc24918383"/>
      <w:r>
        <w:rPr>
          <w:rFonts w:hint="cs"/>
          <w:rtl/>
        </w:rPr>
        <w:t>דברי היד יהודה דלהרא"ה והר"ן בבישל אמרינן דהאיסור חוזר וניעור ודמי להוסיף איסור</w:t>
      </w:r>
      <w:bookmarkEnd w:id="14528"/>
      <w:bookmarkEnd w:id="14529"/>
    </w:p>
    <w:p w:rsidR="007A5AFC" w:rsidRDefault="00F13472" w:rsidP="009F44AF">
      <w:pPr>
        <w:pStyle w:val="a"/>
        <w:rPr>
          <w:rtl/>
        </w:rPr>
      </w:pPr>
      <w:bookmarkStart w:id="14530" w:name="_Ref24904582"/>
      <w:bookmarkEnd w:id="14524"/>
      <w:bookmarkEnd w:id="14525"/>
      <w:bookmarkEnd w:id="14526"/>
      <w:r w:rsidRPr="00B60F66">
        <w:rPr>
          <w:rFonts w:hint="cs"/>
          <w:rtl/>
        </w:rPr>
        <w:t xml:space="preserve">כתב </w:t>
      </w:r>
      <w:r w:rsidRPr="00B60F66">
        <w:rPr>
          <w:rStyle w:val="af8"/>
          <w:rFonts w:hint="cs"/>
          <w:rtl/>
        </w:rPr>
        <w:t>היד יהודה</w:t>
      </w:r>
      <w:r w:rsidRPr="00B60F66">
        <w:rPr>
          <w:rFonts w:hint="cs"/>
          <w:rtl/>
        </w:rPr>
        <w:t xml:space="preserve"> </w:t>
      </w:r>
      <w:r w:rsidRPr="00B60F66">
        <w:rPr>
          <w:rStyle w:val="af6"/>
          <w:rFonts w:eastAsia="Guttman Hodes" w:hint="cs"/>
          <w:rtl/>
        </w:rPr>
        <w:t xml:space="preserve">(סי' ס"ט ס"ק ס"א </w:t>
      </w:r>
      <w:r w:rsidRPr="00A24ABA">
        <w:rPr>
          <w:rStyle w:val="af6"/>
          <w:rFonts w:eastAsia="Guttman Hodes" w:hint="cs"/>
          <w:rtl/>
        </w:rPr>
        <w:t>ד"ה והנה ראיתי, ק"ט סק</w:t>
      </w:r>
      <w:r w:rsidRPr="00A24ABA">
        <w:rPr>
          <w:rStyle w:val="af6"/>
          <w:rFonts w:eastAsia="Guttman Hodes"/>
          <w:rtl/>
        </w:rPr>
        <w:t>"</w:t>
      </w:r>
      <w:r w:rsidRPr="00A24ABA">
        <w:rPr>
          <w:rStyle w:val="af6"/>
          <w:rFonts w:eastAsia="Guttman Hodes" w:hint="cs"/>
          <w:rtl/>
        </w:rPr>
        <w:t>ג ד</w:t>
      </w:r>
      <w:r w:rsidRPr="00A24ABA">
        <w:rPr>
          <w:rStyle w:val="af6"/>
          <w:rFonts w:eastAsia="Guttman Hodes"/>
          <w:rtl/>
        </w:rPr>
        <w:t>"</w:t>
      </w:r>
      <w:r w:rsidRPr="00A24ABA">
        <w:rPr>
          <w:rStyle w:val="af6"/>
          <w:rFonts w:eastAsia="Guttman Hodes" w:hint="cs"/>
          <w:rtl/>
        </w:rPr>
        <w:t>ה והנה יבש ביבש)</w:t>
      </w:r>
      <w:r w:rsidRPr="00A24ABA">
        <w:rPr>
          <w:rFonts w:hint="cs"/>
          <w:rtl/>
        </w:rPr>
        <w:t xml:space="preserve"> דמבואר מדברי </w:t>
      </w:r>
      <w:r w:rsidRPr="00A24ABA">
        <w:rPr>
          <w:rStyle w:val="af8"/>
          <w:rFonts w:hint="cs"/>
          <w:rtl/>
        </w:rPr>
        <w:t xml:space="preserve">הר"ן </w:t>
      </w:r>
      <w:r w:rsidRPr="00A24ABA">
        <w:rPr>
          <w:rFonts w:hint="cs"/>
          <w:rtl/>
        </w:rPr>
        <w:t xml:space="preserve">בשם </w:t>
      </w:r>
      <w:r w:rsidRPr="00A24ABA">
        <w:rPr>
          <w:rStyle w:val="af8"/>
          <w:rFonts w:hint="cs"/>
          <w:rtl/>
        </w:rPr>
        <w:t xml:space="preserve">הרא"ה </w:t>
      </w:r>
      <w:r w:rsidRPr="00A24ABA">
        <w:rPr>
          <w:rStyle w:val="af6"/>
          <w:rFonts w:eastAsia="Guttman Hodes" w:hint="cs"/>
          <w:rtl/>
        </w:rPr>
        <w:t xml:space="preserve">(עי' אות </w:t>
      </w:r>
      <w:r w:rsidRPr="00A24ABA">
        <w:rPr>
          <w:rStyle w:val="af6"/>
          <w:rFonts w:eastAsia="Guttman Hodes"/>
          <w:rtl/>
        </w:rPr>
        <w:fldChar w:fldCharType="begin"/>
      </w:r>
      <w:r w:rsidRPr="00A24ABA">
        <w:rPr>
          <w:rStyle w:val="af6"/>
          <w:rFonts w:eastAsia="Guttman Hodes"/>
          <w:rtl/>
        </w:rPr>
        <w:instrText xml:space="preserve"> </w:instrText>
      </w:r>
      <w:r w:rsidRPr="00A24ABA">
        <w:rPr>
          <w:rStyle w:val="af6"/>
          <w:rFonts w:eastAsia="Guttman Hodes" w:hint="cs"/>
        </w:rPr>
        <w:instrText>REF</w:instrText>
      </w:r>
      <w:r w:rsidRPr="00A24ABA">
        <w:rPr>
          <w:rStyle w:val="af6"/>
          <w:rFonts w:eastAsia="Guttman Hodes" w:hint="cs"/>
          <w:rtl/>
        </w:rPr>
        <w:instrText xml:space="preserve"> _</w:instrText>
      </w:r>
      <w:r w:rsidRPr="00A24ABA">
        <w:rPr>
          <w:rStyle w:val="af6"/>
          <w:rFonts w:eastAsia="Guttman Hodes" w:hint="cs"/>
        </w:rPr>
        <w:instrText>Ref23957048 \r \h</w:instrText>
      </w:r>
      <w:r w:rsidRPr="00A24ABA">
        <w:rPr>
          <w:rStyle w:val="af6"/>
          <w:rFonts w:eastAsia="Guttman Hodes"/>
          <w:rtl/>
        </w:rPr>
        <w:instrText xml:space="preserve">  \* </w:instrText>
      </w:r>
      <w:r w:rsidRPr="00A24ABA">
        <w:rPr>
          <w:rStyle w:val="af6"/>
          <w:rFonts w:eastAsia="Guttman Hodes"/>
        </w:rPr>
        <w:instrText>MERGEFORMAT</w:instrText>
      </w:r>
      <w:r w:rsidRPr="00A24ABA">
        <w:rPr>
          <w:rStyle w:val="af6"/>
          <w:rFonts w:eastAsia="Guttman Hodes"/>
          <w:rtl/>
        </w:rPr>
        <w:instrText xml:space="preserve"> </w:instrText>
      </w:r>
      <w:r w:rsidRPr="00A24ABA">
        <w:rPr>
          <w:rStyle w:val="af6"/>
          <w:rFonts w:eastAsia="Guttman Hodes"/>
          <w:rtl/>
        </w:rPr>
      </w:r>
      <w:r w:rsidRPr="00A24ABA">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A24ABA">
        <w:rPr>
          <w:rStyle w:val="af6"/>
          <w:rFonts w:eastAsia="Guttman Hodes"/>
          <w:rtl/>
        </w:rPr>
        <w:fldChar w:fldCharType="end"/>
      </w:r>
      <w:r w:rsidRPr="00A24ABA">
        <w:rPr>
          <w:rStyle w:val="af8"/>
          <w:rFonts w:hint="cs"/>
          <w:rtl/>
        </w:rPr>
        <w:t xml:space="preserve">, </w:t>
      </w:r>
      <w:r w:rsidRPr="00A24ABA">
        <w:rPr>
          <w:rFonts w:hint="cs"/>
          <w:rtl/>
        </w:rPr>
        <w:t xml:space="preserve">ומדברי </w:t>
      </w:r>
      <w:r w:rsidRPr="00A24ABA">
        <w:rPr>
          <w:rStyle w:val="af8"/>
          <w:rFonts w:hint="cs"/>
          <w:rtl/>
        </w:rPr>
        <w:t xml:space="preserve">הרא"ה בבד"ה </w:t>
      </w:r>
      <w:r w:rsidRPr="00A24ABA">
        <w:rPr>
          <w:rStyle w:val="af6"/>
          <w:rFonts w:eastAsia="Guttman Hodes" w:hint="cs"/>
          <w:rtl/>
        </w:rPr>
        <w:t xml:space="preserve">(עי' אות </w:t>
      </w:r>
      <w:r w:rsidRPr="00A24ABA">
        <w:rPr>
          <w:rStyle w:val="af6"/>
          <w:rFonts w:eastAsia="Guttman Hodes"/>
          <w:rtl/>
        </w:rPr>
        <w:fldChar w:fldCharType="begin"/>
      </w:r>
      <w:r w:rsidRPr="00A24ABA">
        <w:rPr>
          <w:rStyle w:val="af6"/>
          <w:rFonts w:eastAsia="Guttman Hodes"/>
          <w:rtl/>
        </w:rPr>
        <w:instrText xml:space="preserve"> </w:instrText>
      </w:r>
      <w:r w:rsidRPr="00A24ABA">
        <w:rPr>
          <w:rStyle w:val="af6"/>
          <w:rFonts w:eastAsia="Guttman Hodes" w:hint="cs"/>
        </w:rPr>
        <w:instrText>REF</w:instrText>
      </w:r>
      <w:r w:rsidRPr="00A24ABA">
        <w:rPr>
          <w:rStyle w:val="af6"/>
          <w:rFonts w:eastAsia="Guttman Hodes" w:hint="cs"/>
          <w:rtl/>
        </w:rPr>
        <w:instrText xml:space="preserve"> _</w:instrText>
      </w:r>
      <w:r w:rsidRPr="00A24ABA">
        <w:rPr>
          <w:rStyle w:val="af6"/>
          <w:rFonts w:eastAsia="Guttman Hodes" w:hint="cs"/>
        </w:rPr>
        <w:instrText>Ref23957714 \r \h</w:instrText>
      </w:r>
      <w:r w:rsidRPr="00A24ABA">
        <w:rPr>
          <w:rStyle w:val="af6"/>
          <w:rFonts w:eastAsia="Guttman Hodes"/>
          <w:rtl/>
        </w:rPr>
        <w:instrText xml:space="preserve">  \* </w:instrText>
      </w:r>
      <w:r w:rsidRPr="00A24ABA">
        <w:rPr>
          <w:rStyle w:val="af6"/>
          <w:rFonts w:eastAsia="Guttman Hodes"/>
        </w:rPr>
        <w:instrText>MERGEFORMAT</w:instrText>
      </w:r>
      <w:r w:rsidRPr="00A24ABA">
        <w:rPr>
          <w:rStyle w:val="af6"/>
          <w:rFonts w:eastAsia="Guttman Hodes"/>
          <w:rtl/>
        </w:rPr>
        <w:instrText xml:space="preserve"> </w:instrText>
      </w:r>
      <w:r w:rsidRPr="00A24ABA">
        <w:rPr>
          <w:rStyle w:val="af6"/>
          <w:rFonts w:eastAsia="Guttman Hodes"/>
          <w:rtl/>
        </w:rPr>
      </w:r>
      <w:r w:rsidRPr="00A24ABA">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A24ABA">
        <w:rPr>
          <w:rStyle w:val="af6"/>
          <w:rFonts w:eastAsia="Guttman Hodes"/>
          <w:rtl/>
        </w:rPr>
        <w:fldChar w:fldCharType="end"/>
      </w:r>
      <w:r w:rsidRPr="00A24ABA">
        <w:rPr>
          <w:rFonts w:hint="cs"/>
          <w:rtl/>
        </w:rPr>
        <w:t xml:space="preserve"> דס"ל </w:t>
      </w:r>
      <w:r w:rsidRPr="00A24ABA">
        <w:rPr>
          <w:rStyle w:val="af8"/>
          <w:rFonts w:hint="cs"/>
          <w:rtl/>
        </w:rPr>
        <w:t xml:space="preserve">כהרשב"א </w:t>
      </w:r>
      <w:r w:rsidRPr="00A24AB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Ref24904091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ב)</w:t>
      </w:r>
      <w:r>
        <w:rPr>
          <w:rStyle w:val="af6"/>
          <w:rFonts w:eastAsia="Guttman Hodes"/>
          <w:rtl/>
        </w:rPr>
        <w:fldChar w:fldCharType="end"/>
      </w:r>
      <w:r w:rsidRPr="00A24ABA">
        <w:rPr>
          <w:rStyle w:val="af6"/>
          <w:rFonts w:eastAsia="Guttman Hodes" w:hint="cs"/>
          <w:rtl/>
        </w:rPr>
        <w:t xml:space="preserve"> </w:t>
      </w:r>
      <w:r>
        <w:rPr>
          <w:rFonts w:hint="cs"/>
          <w:rtl/>
        </w:rPr>
        <w:t>דב</w:t>
      </w:r>
      <w:r w:rsidRPr="00A24ABA">
        <w:rPr>
          <w:rFonts w:hint="cs"/>
          <w:rtl/>
        </w:rPr>
        <w:t xml:space="preserve">חזר ובישל אסור, אך </w:t>
      </w:r>
      <w:r>
        <w:rPr>
          <w:rFonts w:hint="cs"/>
          <w:rtl/>
        </w:rPr>
        <w:t xml:space="preserve">כתב </w:t>
      </w:r>
      <w:r w:rsidRPr="00A43228">
        <w:rPr>
          <w:rStyle w:val="af8"/>
          <w:rFonts w:hint="cs"/>
          <w:rtl/>
        </w:rPr>
        <w:t xml:space="preserve">היד </w:t>
      </w:r>
      <w:r w:rsidRPr="00A43228">
        <w:rPr>
          <w:rStyle w:val="af8"/>
          <w:rFonts w:hint="cs"/>
          <w:rtl/>
        </w:rPr>
        <w:t>יהודה</w:t>
      </w:r>
      <w:r>
        <w:rPr>
          <w:rFonts w:hint="cs"/>
          <w:rtl/>
        </w:rPr>
        <w:t xml:space="preserve"> דכיון דכתבו </w:t>
      </w:r>
      <w:r w:rsidRPr="00A43228">
        <w:rPr>
          <w:rStyle w:val="af8"/>
          <w:rFonts w:hint="cs"/>
          <w:rtl/>
        </w:rPr>
        <w:t>הרא"ה והר"ן</w:t>
      </w:r>
      <w:r>
        <w:rPr>
          <w:rFonts w:hint="cs"/>
          <w:rtl/>
        </w:rPr>
        <w:t xml:space="preserve">  </w:t>
      </w:r>
      <w:r w:rsidRPr="00A43228">
        <w:rPr>
          <w:rStyle w:val="af6"/>
          <w:rFonts w:eastAsia="Guttman Hodes" w:hint="cs"/>
          <w:rtl/>
        </w:rPr>
        <w:t xml:space="preserve">(עי' אות </w:t>
      </w:r>
      <w:r w:rsidRPr="00A43228">
        <w:rPr>
          <w:rStyle w:val="af6"/>
          <w:rFonts w:eastAsia="Guttman Hodes"/>
          <w:rtl/>
        </w:rPr>
        <w:fldChar w:fldCharType="begin"/>
      </w:r>
      <w:r w:rsidRPr="00A43228">
        <w:rPr>
          <w:rStyle w:val="af6"/>
          <w:rFonts w:eastAsia="Guttman Hodes"/>
          <w:rtl/>
        </w:rPr>
        <w:instrText xml:space="preserve"> </w:instrText>
      </w:r>
      <w:r w:rsidRPr="00A43228">
        <w:rPr>
          <w:rStyle w:val="af6"/>
          <w:rFonts w:eastAsia="Guttman Hodes" w:hint="cs"/>
        </w:rPr>
        <w:instrText>REF</w:instrText>
      </w:r>
      <w:r w:rsidRPr="00A43228">
        <w:rPr>
          <w:rStyle w:val="af6"/>
          <w:rFonts w:eastAsia="Guttman Hodes" w:hint="cs"/>
          <w:rtl/>
        </w:rPr>
        <w:instrText xml:space="preserve"> _</w:instrText>
      </w:r>
      <w:r w:rsidRPr="00A43228">
        <w:rPr>
          <w:rStyle w:val="af6"/>
          <w:rFonts w:eastAsia="Guttman Hodes" w:hint="cs"/>
        </w:rPr>
        <w:instrText>Ref24904142 \r \h</w:instrText>
      </w:r>
      <w:r w:rsidRPr="00A43228">
        <w:rPr>
          <w:rStyle w:val="af6"/>
          <w:rFonts w:eastAsia="Guttman Hodes"/>
          <w:rtl/>
        </w:rPr>
        <w:instrText xml:space="preserve"> </w:instrText>
      </w:r>
      <w:r w:rsidRPr="00A43228">
        <w:rPr>
          <w:rStyle w:val="af6"/>
          <w:rFonts w:eastAsia="Guttman Hodes"/>
          <w:rtl/>
        </w:rPr>
      </w:r>
      <w:r w:rsidRPr="00A43228">
        <w:rPr>
          <w:rStyle w:val="af6"/>
          <w:rFonts w:eastAsia="Guttman Hodes"/>
          <w:rtl/>
        </w:rPr>
        <w:fldChar w:fldCharType="separate"/>
      </w:r>
      <w:r w:rsidR="004D1C5B">
        <w:rPr>
          <w:rStyle w:val="af6"/>
          <w:rFonts w:eastAsia="Guttman Hodes"/>
          <w:cs/>
        </w:rPr>
        <w:t>‎</w:t>
      </w:r>
      <w:r w:rsidR="004D1C5B">
        <w:rPr>
          <w:rStyle w:val="af6"/>
          <w:rFonts w:eastAsia="Guttman Hodes"/>
          <w:rtl/>
        </w:rPr>
        <w:t>ק)</w:t>
      </w:r>
      <w:r w:rsidRPr="00A43228">
        <w:rPr>
          <w:rStyle w:val="af6"/>
          <w:rFonts w:eastAsia="Guttman Hodes"/>
          <w:rtl/>
        </w:rPr>
        <w:fldChar w:fldCharType="end"/>
      </w:r>
      <w:r>
        <w:rPr>
          <w:rFonts w:hint="cs"/>
          <w:rtl/>
        </w:rPr>
        <w:t xml:space="preserve"> דהא דא"צ שישים ביבש ביבש, הוא כיון דשיעור שישים לא שייך בדבר יבש, ורק </w:t>
      </w:r>
      <w:r w:rsidRPr="002447A3">
        <w:rPr>
          <w:rFonts w:hint="cs"/>
          <w:rtl/>
        </w:rPr>
        <w:t xml:space="preserve">במקום שיש בליעת איסור </w:t>
      </w:r>
      <w:r>
        <w:rPr>
          <w:rFonts w:hint="cs"/>
          <w:rtl/>
        </w:rPr>
        <w:t>צריך</w:t>
      </w:r>
      <w:r w:rsidRPr="002447A3">
        <w:rPr>
          <w:rFonts w:hint="cs"/>
          <w:rtl/>
        </w:rPr>
        <w:t xml:space="preserve"> שישים, </w:t>
      </w:r>
      <w:r>
        <w:rPr>
          <w:rFonts w:hint="cs"/>
          <w:rtl/>
        </w:rPr>
        <w:t xml:space="preserve">א"כ מבואר מדברי </w:t>
      </w:r>
      <w:r w:rsidRPr="00A43228">
        <w:rPr>
          <w:rStyle w:val="af8"/>
          <w:rFonts w:hint="cs"/>
          <w:rtl/>
        </w:rPr>
        <w:t>הרא"ה והר"ן</w:t>
      </w:r>
      <w:r>
        <w:rPr>
          <w:rFonts w:hint="cs"/>
          <w:rtl/>
        </w:rPr>
        <w:t xml:space="preserve"> דס"ל דאף שביבש לא היה דין שישים כלל, והאיסור הותר לגמרי, מ"מ כשחזר ובישלו ונעשה לח והאיסור נותן טעם בהיתר, אמרינן דהאיסור חוזר וניעור,</w:t>
      </w:r>
      <w:r w:rsidRPr="00662865">
        <w:rPr>
          <w:rFonts w:hint="cs"/>
          <w:rtl/>
        </w:rPr>
        <w:t xml:space="preserve"> </w:t>
      </w:r>
      <w:r>
        <w:rPr>
          <w:rFonts w:hint="cs"/>
          <w:rtl/>
        </w:rPr>
        <w:t>ודמי לאיסור שנוסף על התערובת דאמרינן דאף שהאיסור התבטל מ"מ הוא חוזר וניעור.</w:t>
      </w:r>
      <w:bookmarkEnd w:id="14530"/>
    </w:p>
    <w:p w:rsidR="00F13472" w:rsidRDefault="00F13472" w:rsidP="00F13472">
      <w:pPr>
        <w:pStyle w:val="1"/>
        <w:rPr>
          <w:rtl/>
        </w:rPr>
      </w:pPr>
      <w:bookmarkStart w:id="14531" w:name="_Toc24918172"/>
      <w:bookmarkStart w:id="14532" w:name="_Toc24918384"/>
      <w:r>
        <w:rPr>
          <w:rFonts w:hint="cs"/>
          <w:rtl/>
        </w:rPr>
        <w:t>דברי הר"ן והרא"ה דמותר להוסיף היתר ביבש ולבשל</w:t>
      </w:r>
      <w:bookmarkEnd w:id="14531"/>
      <w:bookmarkEnd w:id="14532"/>
    </w:p>
    <w:p w:rsidR="00F13472" w:rsidRPr="00343EF7" w:rsidRDefault="00F13472" w:rsidP="00F13472">
      <w:pPr>
        <w:pStyle w:val="a2"/>
        <w:rPr>
          <w:rtl/>
        </w:rPr>
      </w:pPr>
      <w:bookmarkStart w:id="14533" w:name="_Toc24918173"/>
      <w:bookmarkStart w:id="14534" w:name="_Toc24918385"/>
      <w:r w:rsidRPr="00343EF7">
        <w:rPr>
          <w:rFonts w:hint="cs"/>
          <w:rtl/>
        </w:rPr>
        <w:t>דברי הרא"ה והר"ן דמותר להוסיף ביבש יותר משישים ולבשל דהוא מותר ואי"ז ביטול איסור</w:t>
      </w:r>
      <w:bookmarkEnd w:id="14518"/>
      <w:bookmarkEnd w:id="14519"/>
      <w:bookmarkEnd w:id="14520"/>
      <w:bookmarkEnd w:id="14521"/>
      <w:bookmarkEnd w:id="14522"/>
      <w:bookmarkEnd w:id="14533"/>
      <w:bookmarkEnd w:id="14534"/>
    </w:p>
    <w:p w:rsidR="00F13472" w:rsidRPr="00343EF7" w:rsidRDefault="00F13472" w:rsidP="009F44AF">
      <w:pPr>
        <w:pStyle w:val="a"/>
        <w:rPr>
          <w:rtl/>
        </w:rPr>
      </w:pPr>
      <w:r w:rsidRPr="00343EF7">
        <w:rPr>
          <w:rFonts w:hint="cs"/>
          <w:rtl/>
        </w:rPr>
        <w:t xml:space="preserve">וכתב </w:t>
      </w:r>
      <w:r w:rsidRPr="00343EF7">
        <w:rPr>
          <w:rStyle w:val="af8"/>
          <w:rFonts w:hint="cs"/>
          <w:rtl/>
        </w:rPr>
        <w:t xml:space="preserve">בפסקי הרא"ה </w:t>
      </w:r>
      <w:r w:rsidRPr="00644014">
        <w:rPr>
          <w:rStyle w:val="af8"/>
          <w:rFonts w:hint="cs"/>
          <w:rtl/>
        </w:rPr>
        <w:t>לחולין</w:t>
      </w:r>
      <w:r w:rsidRPr="00644014">
        <w:rPr>
          <w:rFonts w:hint="cs"/>
          <w:rtl/>
        </w:rPr>
        <w:t xml:space="preserve"> </w:t>
      </w:r>
      <w:r w:rsidRPr="00644014">
        <w:rPr>
          <w:rStyle w:val="af6"/>
          <w:rFonts w:eastAsia="Guttman Hodes" w:hint="cs"/>
          <w:rtl/>
        </w:rPr>
        <w:t>(אות מ"ז</w:t>
      </w:r>
      <w:r w:rsidRPr="00644014">
        <w:rPr>
          <w:rStyle w:val="af6"/>
          <w:rFonts w:eastAsia="Guttman Hodes"/>
          <w:rtl/>
        </w:rPr>
        <w:t xml:space="preserve">, </w:t>
      </w:r>
      <w:r w:rsidRPr="00644014">
        <w:rPr>
          <w:rStyle w:val="af6"/>
          <w:rFonts w:eastAsia="Guttman Hodes" w:hint="cs"/>
          <w:rtl/>
        </w:rPr>
        <w:t>נד' בחי' הרא"ה בסוף הפרק)</w:t>
      </w:r>
      <w:r w:rsidRPr="00644014">
        <w:rPr>
          <w:rFonts w:hint="cs"/>
          <w:rtl/>
        </w:rPr>
        <w:t xml:space="preserve"> </w:t>
      </w:r>
      <w:r w:rsidRPr="00343EF7">
        <w:rPr>
          <w:rFonts w:hint="cs"/>
          <w:rtl/>
        </w:rPr>
        <w:t xml:space="preserve">דאחר שהאיסור התבטל בחד בתרי, ורוצה לבשל את התערובת יחד, יכול להוסיף עליו היתר בשיעור שישים כנגד האיסור, ומותר לבשל לכתחילה, דאין בזה איסור ביטול איסור לכתחילה, כיון שכל אחד בפנ"ע מותר באכילה, ורק אנו חוששים שיאסור בנתינת טעם אם יתבשלו יחד, וכיון שאין בו טעם מותר לבטלו לכתחילה, </w:t>
      </w:r>
      <w:r w:rsidRPr="00343EF7">
        <w:rPr>
          <w:rStyle w:val="afa"/>
          <w:rFonts w:hint="cs"/>
          <w:rtl/>
        </w:rPr>
        <w:t xml:space="preserve">[ועיי"ש בלשון </w:t>
      </w:r>
      <w:r w:rsidRPr="00343EF7">
        <w:rPr>
          <w:rStyle w:val="affa"/>
          <w:rFonts w:hint="cs"/>
          <w:rtl/>
        </w:rPr>
        <w:t>פסקי הרא"ה</w:t>
      </w:r>
      <w:r w:rsidRPr="00343EF7">
        <w:rPr>
          <w:rStyle w:val="afa"/>
          <w:rFonts w:hint="cs"/>
          <w:rtl/>
        </w:rPr>
        <w:t xml:space="preserve"> דכתב דאין בו טעם שנתנו בו אנשים, וצ"ב כוונתו],</w:t>
      </w:r>
      <w:r w:rsidRPr="00343EF7">
        <w:rPr>
          <w:rFonts w:hint="cs"/>
          <w:rtl/>
        </w:rPr>
        <w:t xml:space="preserve"> וכ"כ </w:t>
      </w:r>
      <w:r w:rsidRPr="00343EF7">
        <w:rPr>
          <w:rStyle w:val="af8"/>
          <w:rFonts w:hint="cs"/>
          <w:rtl/>
        </w:rPr>
        <w:t>הר"ן על הרי"ף</w:t>
      </w:r>
      <w:r w:rsidRPr="00343EF7">
        <w:rPr>
          <w:rFonts w:hint="cs"/>
          <w:rtl/>
        </w:rPr>
        <w:t xml:space="preserve"> בשם </w:t>
      </w:r>
      <w:r w:rsidRPr="00343EF7">
        <w:rPr>
          <w:rStyle w:val="af8"/>
          <w:rFonts w:hint="cs"/>
          <w:rtl/>
        </w:rPr>
        <w:t>הרא"ה</w:t>
      </w:r>
      <w:r w:rsidRPr="00343EF7">
        <w:rPr>
          <w:rFonts w:hint="cs"/>
          <w:rtl/>
        </w:rPr>
        <w:t>.</w:t>
      </w:r>
    </w:p>
    <w:p w:rsidR="00F13472" w:rsidRPr="00517700" w:rsidRDefault="00F13472" w:rsidP="00F13472">
      <w:pPr>
        <w:pStyle w:val="a2"/>
        <w:rPr>
          <w:rtl/>
        </w:rPr>
      </w:pPr>
      <w:bookmarkStart w:id="14535" w:name="_Toc24918174"/>
      <w:bookmarkStart w:id="14536" w:name="_Toc24918386"/>
      <w:r>
        <w:rPr>
          <w:rFonts w:hint="cs"/>
          <w:rtl/>
        </w:rPr>
        <w:t>דברי הגר"א דהא דהתיר הרא"ה להוסיף היתר ביבש הוא כיון שהתערובת מותרת ע"י הרוב</w:t>
      </w:r>
      <w:bookmarkEnd w:id="14535"/>
      <w:bookmarkEnd w:id="14536"/>
    </w:p>
    <w:p w:rsidR="00F13472" w:rsidRDefault="00F13472" w:rsidP="009F44AF">
      <w:pPr>
        <w:pStyle w:val="a"/>
        <w:rPr>
          <w:rStyle w:val="afa"/>
          <w:rtl/>
        </w:rPr>
      </w:pPr>
      <w:r>
        <w:rPr>
          <w:rFonts w:hint="cs"/>
          <w:rtl/>
        </w:rPr>
        <w:t xml:space="preserve">במה שפסק </w:t>
      </w:r>
      <w:r w:rsidRPr="007F1302">
        <w:rPr>
          <w:rStyle w:val="af8"/>
          <w:rFonts w:hint="cs"/>
          <w:rtl/>
        </w:rPr>
        <w:t>השו"ע</w:t>
      </w:r>
      <w:r>
        <w:rPr>
          <w:rFonts w:hint="cs"/>
          <w:rtl/>
        </w:rPr>
        <w:t xml:space="preserve"> </w:t>
      </w:r>
      <w:r w:rsidRPr="00381048">
        <w:rPr>
          <w:rStyle w:val="af6"/>
          <w:rFonts w:eastAsia="Guttman Hodes" w:hint="cs"/>
          <w:rtl/>
        </w:rPr>
        <w:t>(סי' ק"ט ב')</w:t>
      </w:r>
      <w:r>
        <w:rPr>
          <w:rFonts w:hint="cs"/>
          <w:rtl/>
        </w:rPr>
        <w:t xml:space="preserve"> כדברי </w:t>
      </w:r>
      <w:r w:rsidRPr="007F1302">
        <w:rPr>
          <w:rStyle w:val="af8"/>
          <w:rFonts w:hint="cs"/>
          <w:rtl/>
        </w:rPr>
        <w:t>הר"ן</w:t>
      </w:r>
      <w:r>
        <w:rPr>
          <w:rFonts w:hint="cs"/>
          <w:rtl/>
        </w:rPr>
        <w:t xml:space="preserve"> </w:t>
      </w:r>
      <w:r w:rsidRPr="00281120">
        <w:rPr>
          <w:rStyle w:val="af6"/>
          <w:rFonts w:eastAsia="Guttman Hodes" w:hint="cs"/>
          <w:rtl/>
        </w:rPr>
        <w:t xml:space="preserve">(עי' אות </w:t>
      </w:r>
      <w:r w:rsidRPr="00281120">
        <w:rPr>
          <w:rStyle w:val="af6"/>
          <w:rFonts w:eastAsia="Guttman Hodes"/>
          <w:rtl/>
        </w:rPr>
        <w:fldChar w:fldCharType="begin"/>
      </w:r>
      <w:r w:rsidRPr="00281120">
        <w:rPr>
          <w:rStyle w:val="af6"/>
          <w:rFonts w:eastAsia="Guttman Hodes"/>
          <w:rtl/>
        </w:rPr>
        <w:instrText xml:space="preserve"> </w:instrText>
      </w:r>
      <w:r w:rsidRPr="00281120">
        <w:rPr>
          <w:rStyle w:val="af6"/>
          <w:rFonts w:eastAsia="Guttman Hodes" w:hint="cs"/>
        </w:rPr>
        <w:instrText>REF</w:instrText>
      </w:r>
      <w:r w:rsidRPr="00281120">
        <w:rPr>
          <w:rStyle w:val="af6"/>
          <w:rFonts w:eastAsia="Guttman Hodes" w:hint="cs"/>
          <w:rtl/>
        </w:rPr>
        <w:instrText xml:space="preserve"> _</w:instrText>
      </w:r>
      <w:r w:rsidRPr="00281120">
        <w:rPr>
          <w:rStyle w:val="af6"/>
          <w:rFonts w:eastAsia="Guttman Hodes" w:hint="cs"/>
        </w:rPr>
        <w:instrText>Ref23957048 \r \h</w:instrText>
      </w:r>
      <w:r w:rsidRPr="00281120">
        <w:rPr>
          <w:rStyle w:val="af6"/>
          <w:rFonts w:eastAsia="Guttman Hodes"/>
          <w:rtl/>
        </w:rPr>
        <w:instrText xml:space="preserve"> </w:instrText>
      </w:r>
      <w:r w:rsidRPr="00281120">
        <w:rPr>
          <w:rStyle w:val="af6"/>
          <w:rFonts w:eastAsia="Guttman Hodes"/>
          <w:rtl/>
        </w:rPr>
      </w:r>
      <w:r w:rsidRPr="00281120">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281120">
        <w:rPr>
          <w:rStyle w:val="af6"/>
          <w:rFonts w:eastAsia="Guttman Hodes"/>
          <w:rtl/>
        </w:rPr>
        <w:fldChar w:fldCharType="end"/>
      </w:r>
      <w:r>
        <w:rPr>
          <w:rFonts w:hint="cs"/>
          <w:rtl/>
        </w:rPr>
        <w:t xml:space="preserve"> בשם </w:t>
      </w:r>
      <w:r>
        <w:rPr>
          <w:rStyle w:val="af8"/>
          <w:rFonts w:hint="cs"/>
          <w:rtl/>
        </w:rPr>
        <w:t xml:space="preserve">הרא"ה </w:t>
      </w:r>
      <w:r w:rsidRPr="00281120">
        <w:rPr>
          <w:rStyle w:val="af8"/>
          <w:rFonts w:hint="cs"/>
          <w:rtl/>
        </w:rPr>
        <w:t xml:space="preserve"> </w:t>
      </w:r>
      <w:r>
        <w:rPr>
          <w:rFonts w:hint="cs"/>
          <w:rtl/>
        </w:rPr>
        <w:t xml:space="preserve">דביבש </w:t>
      </w:r>
      <w:r w:rsidRPr="00343EF7">
        <w:rPr>
          <w:rFonts w:hint="cs"/>
          <w:rtl/>
        </w:rPr>
        <w:t xml:space="preserve">שבטל ברוב, מותר להוסיף היתר בשיעור שישים ולבשל, כתב </w:t>
      </w:r>
      <w:r w:rsidRPr="00343EF7">
        <w:rPr>
          <w:rStyle w:val="af8"/>
          <w:rFonts w:hint="cs"/>
          <w:rtl/>
        </w:rPr>
        <w:t>הגר"א</w:t>
      </w:r>
      <w:r w:rsidRPr="00343EF7">
        <w:rPr>
          <w:rFonts w:hint="cs"/>
          <w:rtl/>
        </w:rPr>
        <w:t xml:space="preserve"> </w:t>
      </w:r>
      <w:r w:rsidRPr="00343EF7">
        <w:rPr>
          <w:rStyle w:val="af6"/>
          <w:rFonts w:eastAsia="Guttman Hodes" w:hint="cs"/>
          <w:rtl/>
        </w:rPr>
        <w:t>(סי' ק"ט סק"י)</w:t>
      </w:r>
      <w:r w:rsidRPr="00343EF7">
        <w:rPr>
          <w:rFonts w:hint="cs"/>
          <w:rtl/>
        </w:rPr>
        <w:t xml:space="preserve"> דכיון שהתערובת מותרת יכול להוסיף עליה היתר, וכתב </w:t>
      </w:r>
      <w:r w:rsidRPr="00343EF7">
        <w:rPr>
          <w:rStyle w:val="af8"/>
          <w:rFonts w:hint="cs"/>
          <w:rtl/>
        </w:rPr>
        <w:t>הגר"א</w:t>
      </w:r>
      <w:r w:rsidRPr="00343EF7">
        <w:rPr>
          <w:rFonts w:hint="cs"/>
          <w:rtl/>
        </w:rPr>
        <w:t xml:space="preserve"> דכעי"ז מבואר בירושלמי</w:t>
      </w:r>
      <w:r w:rsidRPr="00343EF7">
        <w:rPr>
          <w:rFonts w:hint="eastAsia"/>
          <w:rtl/>
        </w:rPr>
        <w:t xml:space="preserve"> </w:t>
      </w:r>
      <w:r w:rsidRPr="00343EF7">
        <w:rPr>
          <w:rFonts w:hint="cs"/>
          <w:rtl/>
        </w:rPr>
        <w:t>ב</w:t>
      </w:r>
      <w:r w:rsidRPr="00343EF7">
        <w:rPr>
          <w:rFonts w:hint="eastAsia"/>
          <w:rtl/>
        </w:rPr>
        <w:t>תרומות</w:t>
      </w:r>
      <w:r w:rsidRPr="00343EF7">
        <w:rPr>
          <w:rtl/>
        </w:rPr>
        <w:t xml:space="preserve"> </w:t>
      </w:r>
      <w:r w:rsidRPr="00343EF7">
        <w:rPr>
          <w:rStyle w:val="af6"/>
          <w:rFonts w:eastAsia="Guttman Hodes" w:hint="cs"/>
          <w:rtl/>
        </w:rPr>
        <w:t>(</w:t>
      </w:r>
      <w:r w:rsidRPr="00343EF7">
        <w:rPr>
          <w:rStyle w:val="af6"/>
          <w:rFonts w:eastAsia="Guttman Hodes" w:hint="eastAsia"/>
          <w:rtl/>
        </w:rPr>
        <w:t>פ</w:t>
      </w:r>
      <w:r w:rsidRPr="00343EF7">
        <w:rPr>
          <w:rStyle w:val="af6"/>
          <w:rFonts w:eastAsia="Guttman Hodes" w:hint="cs"/>
          <w:rtl/>
        </w:rPr>
        <w:t>"</w:t>
      </w:r>
      <w:r w:rsidRPr="00343EF7">
        <w:rPr>
          <w:rStyle w:val="af6"/>
          <w:rFonts w:eastAsia="Guttman Hodes" w:hint="eastAsia"/>
          <w:rtl/>
        </w:rPr>
        <w:t>ד</w:t>
      </w:r>
      <w:r w:rsidRPr="00343EF7">
        <w:rPr>
          <w:rStyle w:val="af6"/>
          <w:rFonts w:eastAsia="Guttman Hodes" w:hint="cs"/>
          <w:rtl/>
        </w:rPr>
        <w:t xml:space="preserve"> ה"ז, כב:)</w:t>
      </w:r>
      <w:r w:rsidRPr="00343EF7">
        <w:rPr>
          <w:rFonts w:hint="cs"/>
          <w:rtl/>
        </w:rPr>
        <w:t xml:space="preserve"> דאמר בר פדיה דחיטין של תרומה שהתערבו בחיטין של היתר, מותר לטחון אותם כדי שיתבטלו. </w:t>
      </w:r>
      <w:r w:rsidRPr="00343EF7">
        <w:rPr>
          <w:rStyle w:val="afa"/>
          <w:rFonts w:hint="cs"/>
          <w:rtl/>
        </w:rPr>
        <w:t>[דמדאו' חד בתרי בטיל, וס"ל לבר פדיה דהחמירו ביבש שאינו נבלל לגמרי, ומותר לטחון בכדי שיתערב לגמרי].</w:t>
      </w:r>
    </w:p>
    <w:p w:rsidR="00F13472" w:rsidRPr="0049263C" w:rsidRDefault="00F13472" w:rsidP="00F13472">
      <w:pPr>
        <w:pStyle w:val="afd"/>
      </w:pPr>
      <w:bookmarkStart w:id="14537" w:name="_Toc24918178"/>
      <w:bookmarkStart w:id="14538" w:name="_Toc24918387"/>
      <w:r>
        <w:rPr>
          <w:rFonts w:hint="cs"/>
          <w:rtl/>
        </w:rPr>
        <w:t>ביאור היד יהודה ברש"י בחזר ובישל</w:t>
      </w:r>
      <w:bookmarkEnd w:id="14537"/>
      <w:bookmarkEnd w:id="14538"/>
    </w:p>
    <w:p w:rsidR="00F13472" w:rsidRPr="00A96F92" w:rsidRDefault="00F13472" w:rsidP="00F13472">
      <w:pPr>
        <w:pStyle w:val="1"/>
        <w:rPr>
          <w:rtl/>
        </w:rPr>
      </w:pPr>
      <w:bookmarkStart w:id="14539" w:name="_Toc24918179"/>
      <w:bookmarkStart w:id="14540" w:name="_Toc24918388"/>
      <w:r w:rsidRPr="00A96F92">
        <w:rPr>
          <w:rFonts w:hint="cs"/>
          <w:rtl/>
        </w:rPr>
        <w:t>דברי רש"י דחתיכת נבילה שבטלה ברוב צריך להשליך אחת</w:t>
      </w:r>
      <w:bookmarkEnd w:id="14539"/>
      <w:bookmarkEnd w:id="14540"/>
    </w:p>
    <w:p w:rsidR="00F13472" w:rsidRPr="00644014" w:rsidRDefault="00F13472" w:rsidP="00F13472">
      <w:pPr>
        <w:pStyle w:val="a2"/>
        <w:rPr>
          <w:rtl/>
        </w:rPr>
      </w:pPr>
      <w:bookmarkStart w:id="14541" w:name="_Toc24403389"/>
      <w:bookmarkStart w:id="14542" w:name="_Toc24455856"/>
      <w:bookmarkStart w:id="14543" w:name="_Toc24576842"/>
      <w:bookmarkStart w:id="14544" w:name="_Toc24709417"/>
      <w:bookmarkStart w:id="14545" w:name="_Toc24839028"/>
      <w:bookmarkStart w:id="14546" w:name="_Toc24918180"/>
      <w:bookmarkStart w:id="14547" w:name="_Toc24918389"/>
      <w:r w:rsidRPr="00A96F92">
        <w:rPr>
          <w:rFonts w:hint="cs"/>
          <w:rtl/>
        </w:rPr>
        <w:t xml:space="preserve">דברי </w:t>
      </w:r>
      <w:r w:rsidRPr="00644014">
        <w:rPr>
          <w:rFonts w:hint="cs"/>
          <w:rtl/>
        </w:rPr>
        <w:t>רש"י בע"ז דחתיכת נבילה שבטלה ברוב, משליך אחת לכלבים והשאר מותרות</w:t>
      </w:r>
      <w:bookmarkEnd w:id="14541"/>
      <w:bookmarkEnd w:id="14542"/>
      <w:bookmarkEnd w:id="14543"/>
      <w:bookmarkEnd w:id="14544"/>
      <w:bookmarkEnd w:id="14545"/>
      <w:bookmarkEnd w:id="14546"/>
      <w:bookmarkEnd w:id="14547"/>
    </w:p>
    <w:p w:rsidR="00F13472" w:rsidRPr="00644014" w:rsidRDefault="00F13472" w:rsidP="009F44AF">
      <w:pPr>
        <w:pStyle w:val="a"/>
      </w:pPr>
      <w:r w:rsidRPr="00644014">
        <w:rPr>
          <w:rFonts w:hint="cs"/>
          <w:rtl/>
        </w:rPr>
        <w:t xml:space="preserve">כתב </w:t>
      </w:r>
      <w:r w:rsidRPr="00644014">
        <w:rPr>
          <w:rStyle w:val="af8"/>
          <w:rFonts w:hint="cs"/>
          <w:rtl/>
        </w:rPr>
        <w:t>רש"י בע"ז</w:t>
      </w:r>
      <w:r w:rsidRPr="00644014">
        <w:rPr>
          <w:rFonts w:hint="cs"/>
          <w:rtl/>
        </w:rPr>
        <w:t xml:space="preserve"> </w:t>
      </w:r>
      <w:r w:rsidRPr="00644014">
        <w:rPr>
          <w:rStyle w:val="af6"/>
          <w:rFonts w:eastAsia="Guttman Hodes" w:hint="cs"/>
          <w:rtl/>
        </w:rPr>
        <w:t>(עד. ד"ה תרתי</w:t>
      </w:r>
      <w:r w:rsidRPr="00644014">
        <w:rPr>
          <w:rStyle w:val="af6"/>
          <w:rFonts w:eastAsia="Guttman Hodes" w:hint="eastAsia"/>
          <w:rtl/>
        </w:rPr>
        <w:t xml:space="preserve">, הובא בסימן </w:t>
      </w:r>
      <w:r w:rsidRPr="00644014">
        <w:rPr>
          <w:rStyle w:val="af6"/>
          <w:rFonts w:eastAsia="Guttman Hodes" w:hint="cs"/>
          <w:rtl/>
        </w:rPr>
        <w:t>י"ז</w:t>
      </w:r>
      <w:r w:rsidRPr="00644014">
        <w:rPr>
          <w:rStyle w:val="af6"/>
          <w:rFonts w:eastAsia="Guttman Hodes" w:hint="eastAsia"/>
          <w:rtl/>
        </w:rPr>
        <w:t xml:space="preserve">' אות </w:t>
      </w:r>
      <w:r w:rsidRPr="00644014">
        <w:rPr>
          <w:rStyle w:val="af6"/>
          <w:rFonts w:eastAsia="Guttman Hodes" w:hint="cs"/>
          <w:rtl/>
        </w:rPr>
        <w:t>ג'</w:t>
      </w:r>
      <w:r w:rsidRPr="00644014">
        <w:rPr>
          <w:rStyle w:val="af6"/>
          <w:rFonts w:eastAsia="Guttman Hodes" w:hint="eastAsia"/>
          <w:rtl/>
        </w:rPr>
        <w:t>)</w:t>
      </w:r>
      <w:r w:rsidRPr="00644014">
        <w:rPr>
          <w:rFonts w:hint="cs"/>
          <w:rtl/>
        </w:rPr>
        <w:t xml:space="preserve"> דחתיכת נבילה שבטלה ברובא, משליך חתיכה אחת לכלבים, ושאר החתיכות מותרות באכילה. </w:t>
      </w:r>
    </w:p>
    <w:p w:rsidR="00F13472" w:rsidRPr="00644014" w:rsidRDefault="00F13472" w:rsidP="00F13472">
      <w:pPr>
        <w:pStyle w:val="a2"/>
        <w:rPr>
          <w:rtl/>
        </w:rPr>
      </w:pPr>
      <w:bookmarkStart w:id="14548" w:name="_Toc24403390"/>
      <w:bookmarkStart w:id="14549" w:name="_Toc24455857"/>
      <w:bookmarkStart w:id="14550" w:name="_Toc24576843"/>
      <w:bookmarkStart w:id="14551" w:name="_Toc24709418"/>
      <w:bookmarkStart w:id="14552" w:name="_Toc24839029"/>
      <w:bookmarkStart w:id="14553" w:name="_Toc24918181"/>
      <w:bookmarkStart w:id="14554" w:name="_Toc24918390"/>
      <w:r w:rsidRPr="00644014">
        <w:rPr>
          <w:rFonts w:hint="cs"/>
          <w:rtl/>
        </w:rPr>
        <w:t>דברי היד יהודה דלרש"י אסור לבשל יחד ויל"ע בעבר ובישל אם מותר או שצריך שישים.</w:t>
      </w:r>
      <w:bookmarkEnd w:id="14548"/>
      <w:bookmarkEnd w:id="14549"/>
      <w:bookmarkEnd w:id="14550"/>
      <w:bookmarkEnd w:id="14551"/>
      <w:bookmarkEnd w:id="14552"/>
      <w:bookmarkEnd w:id="14553"/>
      <w:bookmarkEnd w:id="14554"/>
    </w:p>
    <w:p w:rsidR="00F13472" w:rsidRPr="00644014" w:rsidRDefault="00F13472" w:rsidP="009F44AF">
      <w:pPr>
        <w:pStyle w:val="a"/>
        <w:rPr>
          <w:rtl/>
        </w:rPr>
      </w:pPr>
      <w:r w:rsidRPr="00644014">
        <w:rPr>
          <w:rFonts w:hint="cs"/>
          <w:rtl/>
        </w:rPr>
        <w:t>וכתב</w:t>
      </w:r>
      <w:r w:rsidRPr="00644014">
        <w:rPr>
          <w:rStyle w:val="af8"/>
          <w:rFonts w:hint="cs"/>
          <w:rtl/>
        </w:rPr>
        <w:t xml:space="preserve"> היד יהודה</w:t>
      </w:r>
      <w:r w:rsidRPr="00644014">
        <w:rPr>
          <w:rFonts w:hint="cs"/>
          <w:rtl/>
        </w:rPr>
        <w:t xml:space="preserve"> </w:t>
      </w:r>
      <w:r w:rsidRPr="00644014">
        <w:rPr>
          <w:rStyle w:val="af6"/>
          <w:rFonts w:eastAsia="Guttman Hodes" w:hint="cs"/>
          <w:rtl/>
        </w:rPr>
        <w:t>(סי' ק"ט סק</w:t>
      </w:r>
      <w:r w:rsidRPr="00644014">
        <w:rPr>
          <w:rStyle w:val="af6"/>
          <w:rFonts w:eastAsia="Guttman Hodes"/>
          <w:rtl/>
        </w:rPr>
        <w:t>"</w:t>
      </w:r>
      <w:r w:rsidRPr="00644014">
        <w:rPr>
          <w:rStyle w:val="af6"/>
          <w:rFonts w:eastAsia="Guttman Hodes" w:hint="cs"/>
          <w:rtl/>
        </w:rPr>
        <w:t>ג ד</w:t>
      </w:r>
      <w:r w:rsidRPr="00644014">
        <w:rPr>
          <w:rStyle w:val="af6"/>
          <w:rFonts w:eastAsia="Guttman Hodes"/>
          <w:rtl/>
        </w:rPr>
        <w:t>"</w:t>
      </w:r>
      <w:r w:rsidRPr="00644014">
        <w:rPr>
          <w:rStyle w:val="af6"/>
          <w:rFonts w:eastAsia="Guttman Hodes" w:hint="cs"/>
          <w:rtl/>
        </w:rPr>
        <w:t>ה והנה גם לרש"י)</w:t>
      </w:r>
      <w:r w:rsidRPr="00644014">
        <w:rPr>
          <w:rFonts w:hint="cs"/>
          <w:rtl/>
        </w:rPr>
        <w:t xml:space="preserve"> דכיון דס"ל </w:t>
      </w:r>
      <w:r w:rsidRPr="00644014">
        <w:rPr>
          <w:rStyle w:val="af8"/>
          <w:rFonts w:hint="cs"/>
          <w:rtl/>
        </w:rPr>
        <w:t>לרש"י</w:t>
      </w:r>
      <w:r w:rsidRPr="00644014">
        <w:rPr>
          <w:rFonts w:hint="cs"/>
          <w:rtl/>
        </w:rPr>
        <w:t xml:space="preserve"> דצריך להשליך אחד, א"כ ודאי דאסור לבשל את כל התערובת יחד, אך כתב </w:t>
      </w:r>
      <w:r w:rsidRPr="00644014">
        <w:rPr>
          <w:rStyle w:val="af8"/>
          <w:rFonts w:hint="cs"/>
          <w:rtl/>
        </w:rPr>
        <w:t>היד יהודה</w:t>
      </w:r>
      <w:r w:rsidRPr="00644014">
        <w:rPr>
          <w:rFonts w:hint="cs"/>
          <w:rtl/>
        </w:rPr>
        <w:t xml:space="preserve"> דאם עבר ובישל יש לעיין אי ס"ל </w:t>
      </w:r>
      <w:r w:rsidRPr="00644014">
        <w:rPr>
          <w:rStyle w:val="af8"/>
          <w:rFonts w:hint="cs"/>
          <w:rtl/>
        </w:rPr>
        <w:t>לרש"י</w:t>
      </w:r>
      <w:r w:rsidRPr="00644014">
        <w:rPr>
          <w:rFonts w:hint="cs"/>
          <w:rtl/>
        </w:rPr>
        <w:t xml:space="preserve"> דצריך שישים, </w:t>
      </w:r>
      <w:r w:rsidRPr="00644014">
        <w:rPr>
          <w:rStyle w:val="afa"/>
          <w:rFonts w:hint="cs"/>
          <w:rtl/>
        </w:rPr>
        <w:t xml:space="preserve">[כדעת </w:t>
      </w:r>
      <w:r w:rsidRPr="00644014">
        <w:rPr>
          <w:rStyle w:val="affa"/>
          <w:rFonts w:hint="cs"/>
          <w:rtl/>
        </w:rPr>
        <w:t xml:space="preserve">הרשב"א </w:t>
      </w:r>
      <w:r w:rsidRPr="00644014">
        <w:rPr>
          <w:rStyle w:val="aff6"/>
          <w:rFonts w:hint="cs"/>
          <w:rtl/>
        </w:rPr>
        <w:t xml:space="preserve">(עי' אות </w:t>
      </w:r>
      <w:r w:rsidRPr="00644014">
        <w:rPr>
          <w:rStyle w:val="aff6"/>
          <w:rtl/>
        </w:rPr>
        <w:fldChar w:fldCharType="begin"/>
      </w:r>
      <w:r w:rsidRPr="00644014">
        <w:rPr>
          <w:rStyle w:val="aff6"/>
          <w:rtl/>
        </w:rPr>
        <w:instrText xml:space="preserve"> </w:instrText>
      </w:r>
      <w:r w:rsidRPr="00644014">
        <w:rPr>
          <w:rStyle w:val="aff6"/>
          <w:rFonts w:hint="cs"/>
        </w:rPr>
        <w:instrText>REF</w:instrText>
      </w:r>
      <w:r w:rsidRPr="00644014">
        <w:rPr>
          <w:rStyle w:val="aff6"/>
          <w:rFonts w:hint="cs"/>
          <w:rtl/>
        </w:rPr>
        <w:instrText xml:space="preserve"> _</w:instrText>
      </w:r>
      <w:r w:rsidRPr="00644014">
        <w:rPr>
          <w:rStyle w:val="aff6"/>
          <w:rFonts w:hint="cs"/>
        </w:rPr>
        <w:instrText>Ref23930681 \r \h</w:instrText>
      </w:r>
      <w:r w:rsidRPr="00644014">
        <w:rPr>
          <w:rStyle w:val="aff6"/>
          <w:rtl/>
        </w:rPr>
        <w:instrText xml:space="preserve">  \* </w:instrText>
      </w:r>
      <w:r w:rsidRPr="00644014">
        <w:rPr>
          <w:rStyle w:val="aff6"/>
        </w:rPr>
        <w:instrText>MERGEFORMAT</w:instrText>
      </w:r>
      <w:r w:rsidRPr="00644014">
        <w:rPr>
          <w:rStyle w:val="aff6"/>
          <w:rtl/>
        </w:rPr>
        <w:instrText xml:space="preserve"> </w:instrText>
      </w:r>
      <w:r w:rsidRPr="00644014">
        <w:rPr>
          <w:rStyle w:val="aff6"/>
          <w:rtl/>
        </w:rPr>
      </w:r>
      <w:r w:rsidRPr="00644014">
        <w:rPr>
          <w:rStyle w:val="aff6"/>
          <w:rtl/>
        </w:rPr>
        <w:fldChar w:fldCharType="separate"/>
      </w:r>
      <w:r w:rsidR="004D1C5B">
        <w:rPr>
          <w:rStyle w:val="aff6"/>
          <w:cs/>
        </w:rPr>
        <w:t>‎</w:t>
      </w:r>
      <w:r w:rsidR="004D1C5B">
        <w:rPr>
          <w:rStyle w:val="aff6"/>
          <w:rtl/>
        </w:rPr>
        <w:t>מח)</w:t>
      </w:r>
      <w:r w:rsidRPr="00644014">
        <w:rPr>
          <w:rStyle w:val="aff6"/>
          <w:rtl/>
        </w:rPr>
        <w:fldChar w:fldCharType="end"/>
      </w:r>
      <w:r w:rsidRPr="00644014">
        <w:rPr>
          <w:rStyle w:val="afa"/>
          <w:rFonts w:hint="cs"/>
          <w:rtl/>
        </w:rPr>
        <w:t xml:space="preserve">],  </w:t>
      </w:r>
      <w:r w:rsidRPr="00644014">
        <w:rPr>
          <w:rFonts w:hint="cs"/>
          <w:rtl/>
        </w:rPr>
        <w:t xml:space="preserve">או שא"צ שישים, </w:t>
      </w:r>
      <w:r w:rsidRPr="00644014">
        <w:rPr>
          <w:rStyle w:val="afa"/>
          <w:rFonts w:hint="cs"/>
          <w:rtl/>
        </w:rPr>
        <w:t xml:space="preserve">[כדעת </w:t>
      </w:r>
      <w:r w:rsidRPr="00644014">
        <w:rPr>
          <w:rStyle w:val="affa"/>
          <w:rFonts w:hint="cs"/>
          <w:rtl/>
        </w:rPr>
        <w:t xml:space="preserve">הרא"ש </w:t>
      </w:r>
      <w:r w:rsidRPr="00644014">
        <w:rPr>
          <w:rStyle w:val="aff6"/>
          <w:rFonts w:hint="cs"/>
          <w:rtl/>
        </w:rPr>
        <w:t xml:space="preserve">(עי' אות </w:t>
      </w:r>
      <w:r w:rsidRPr="00644014">
        <w:rPr>
          <w:rStyle w:val="aff6"/>
          <w:rtl/>
        </w:rPr>
        <w:fldChar w:fldCharType="begin"/>
      </w:r>
      <w:r w:rsidRPr="00644014">
        <w:rPr>
          <w:rStyle w:val="aff6"/>
          <w:rtl/>
        </w:rPr>
        <w:instrText xml:space="preserve"> </w:instrText>
      </w:r>
      <w:r w:rsidRPr="00644014">
        <w:rPr>
          <w:rStyle w:val="aff6"/>
          <w:rFonts w:hint="cs"/>
        </w:rPr>
        <w:instrText>REF</w:instrText>
      </w:r>
      <w:r w:rsidRPr="00644014">
        <w:rPr>
          <w:rStyle w:val="aff6"/>
          <w:rFonts w:hint="cs"/>
          <w:rtl/>
        </w:rPr>
        <w:instrText xml:space="preserve"> _</w:instrText>
      </w:r>
      <w:r w:rsidRPr="00644014">
        <w:rPr>
          <w:rStyle w:val="aff6"/>
          <w:rFonts w:hint="cs"/>
        </w:rPr>
        <w:instrText>Ref23930562 \r \h</w:instrText>
      </w:r>
      <w:r w:rsidRPr="00644014">
        <w:rPr>
          <w:rStyle w:val="aff6"/>
          <w:rtl/>
        </w:rPr>
        <w:instrText xml:space="preserve">  \* </w:instrText>
      </w:r>
      <w:r w:rsidRPr="00644014">
        <w:rPr>
          <w:rStyle w:val="aff6"/>
        </w:rPr>
        <w:instrText>MERGEFORMAT</w:instrText>
      </w:r>
      <w:r w:rsidRPr="00644014">
        <w:rPr>
          <w:rStyle w:val="aff6"/>
          <w:rtl/>
        </w:rPr>
        <w:instrText xml:space="preserve"> </w:instrText>
      </w:r>
      <w:r w:rsidRPr="00644014">
        <w:rPr>
          <w:rStyle w:val="aff6"/>
          <w:rtl/>
        </w:rPr>
      </w:r>
      <w:r w:rsidRPr="00644014">
        <w:rPr>
          <w:rStyle w:val="aff6"/>
          <w:rtl/>
        </w:rPr>
        <w:fldChar w:fldCharType="separate"/>
      </w:r>
      <w:r w:rsidR="004D1C5B">
        <w:rPr>
          <w:rStyle w:val="aff6"/>
          <w:cs/>
        </w:rPr>
        <w:t>‎</w:t>
      </w:r>
      <w:r w:rsidR="004D1C5B">
        <w:rPr>
          <w:rStyle w:val="aff6"/>
          <w:rtl/>
        </w:rPr>
        <w:t>מג)</w:t>
      </w:r>
      <w:r w:rsidRPr="00644014">
        <w:rPr>
          <w:rStyle w:val="aff6"/>
          <w:rtl/>
        </w:rPr>
        <w:fldChar w:fldCharType="end"/>
      </w:r>
      <w:r w:rsidRPr="00644014">
        <w:rPr>
          <w:rStyle w:val="afa"/>
          <w:rFonts w:hint="cs"/>
          <w:rtl/>
        </w:rPr>
        <w:t xml:space="preserve">], </w:t>
      </w:r>
      <w:r w:rsidRPr="00644014">
        <w:rPr>
          <w:rFonts w:hint="cs"/>
          <w:rtl/>
        </w:rPr>
        <w:t xml:space="preserve">דכיון דמה שצריך להשליך אחד אינו מחמת דהאיסור אינו מתבטל לגמרי, וחוזר ונאסר כשנעשה לח, </w:t>
      </w:r>
      <w:r w:rsidRPr="00644014">
        <w:rPr>
          <w:rStyle w:val="afa"/>
          <w:rFonts w:hint="cs"/>
          <w:rtl/>
        </w:rPr>
        <w:t xml:space="preserve">[כדביאר </w:t>
      </w:r>
      <w:r w:rsidRPr="00644014">
        <w:rPr>
          <w:rStyle w:val="affa"/>
          <w:rFonts w:hint="cs"/>
          <w:rtl/>
        </w:rPr>
        <w:t>היד יהודה</w:t>
      </w:r>
      <w:r w:rsidRPr="00644014">
        <w:rPr>
          <w:rStyle w:val="aff6"/>
          <w:rFonts w:hint="cs"/>
          <w:rtl/>
        </w:rPr>
        <w:t xml:space="preserve"> (עי' אות </w:t>
      </w:r>
      <w:r w:rsidRPr="00644014">
        <w:rPr>
          <w:rStyle w:val="aff6"/>
          <w:rtl/>
        </w:rPr>
        <w:fldChar w:fldCharType="begin"/>
      </w:r>
      <w:r w:rsidRPr="00644014">
        <w:rPr>
          <w:rStyle w:val="aff6"/>
          <w:rtl/>
        </w:rPr>
        <w:instrText xml:space="preserve"> </w:instrText>
      </w:r>
      <w:r w:rsidRPr="00644014">
        <w:rPr>
          <w:rStyle w:val="aff6"/>
          <w:rFonts w:hint="cs"/>
        </w:rPr>
        <w:instrText>REF</w:instrText>
      </w:r>
      <w:r w:rsidRPr="00644014">
        <w:rPr>
          <w:rStyle w:val="aff6"/>
          <w:rFonts w:hint="cs"/>
          <w:rtl/>
        </w:rPr>
        <w:instrText xml:space="preserve"> _</w:instrText>
      </w:r>
      <w:r w:rsidRPr="00644014">
        <w:rPr>
          <w:rStyle w:val="aff6"/>
          <w:rFonts w:hint="cs"/>
        </w:rPr>
        <w:instrText>Ref23935613 \r \h</w:instrText>
      </w:r>
      <w:r w:rsidRPr="00644014">
        <w:rPr>
          <w:rStyle w:val="aff6"/>
          <w:rtl/>
        </w:rPr>
        <w:instrText xml:space="preserve">  \* </w:instrText>
      </w:r>
      <w:r w:rsidRPr="00644014">
        <w:rPr>
          <w:rStyle w:val="aff6"/>
        </w:rPr>
        <w:instrText>MERGEFORMAT</w:instrText>
      </w:r>
      <w:r w:rsidRPr="00644014">
        <w:rPr>
          <w:rStyle w:val="aff6"/>
          <w:rtl/>
        </w:rPr>
        <w:instrText xml:space="preserve"> </w:instrText>
      </w:r>
      <w:r w:rsidRPr="00644014">
        <w:rPr>
          <w:rStyle w:val="aff6"/>
          <w:rtl/>
        </w:rPr>
      </w:r>
      <w:r w:rsidRPr="00644014">
        <w:rPr>
          <w:rStyle w:val="aff6"/>
          <w:rtl/>
        </w:rPr>
        <w:fldChar w:fldCharType="separate"/>
      </w:r>
      <w:r w:rsidR="004D1C5B">
        <w:rPr>
          <w:rStyle w:val="aff6"/>
          <w:cs/>
        </w:rPr>
        <w:t>‎</w:t>
      </w:r>
      <w:r w:rsidR="004D1C5B">
        <w:rPr>
          <w:rStyle w:val="aff6"/>
          <w:rtl/>
        </w:rPr>
        <w:t>יד)</w:t>
      </w:r>
      <w:r w:rsidRPr="00644014">
        <w:rPr>
          <w:rStyle w:val="aff6"/>
          <w:rtl/>
        </w:rPr>
        <w:fldChar w:fldCharType="end"/>
      </w:r>
      <w:r w:rsidRPr="00644014">
        <w:rPr>
          <w:rStyle w:val="afa"/>
          <w:rFonts w:hint="cs"/>
          <w:rtl/>
        </w:rPr>
        <w:t xml:space="preserve"> בדעת </w:t>
      </w:r>
      <w:r w:rsidRPr="00644014">
        <w:rPr>
          <w:rStyle w:val="affa"/>
          <w:rFonts w:hint="cs"/>
          <w:rtl/>
        </w:rPr>
        <w:t>התוס'</w:t>
      </w:r>
      <w:r w:rsidRPr="00644014">
        <w:rPr>
          <w:rStyle w:val="afa"/>
          <w:rFonts w:hint="cs"/>
          <w:rtl/>
        </w:rPr>
        <w:t xml:space="preserve">], </w:t>
      </w:r>
      <w:r w:rsidRPr="00644014">
        <w:rPr>
          <w:rFonts w:hint="cs"/>
          <w:rtl/>
        </w:rPr>
        <w:t xml:space="preserve">דהרי לדעת </w:t>
      </w:r>
      <w:r w:rsidRPr="00644014">
        <w:rPr>
          <w:rStyle w:val="af8"/>
          <w:rFonts w:hint="cs"/>
          <w:rtl/>
        </w:rPr>
        <w:t>רש"י</w:t>
      </w:r>
      <w:r w:rsidRPr="00644014">
        <w:rPr>
          <w:rFonts w:hint="cs"/>
          <w:rtl/>
        </w:rPr>
        <w:t xml:space="preserve"> צריך להשליך אחד גם כשיש שיעור שישים שהוא שיעור ביטול בלח, וא"כ אף בעבר ובישל סגי בביטול ברוב וא"צ שישים.</w:t>
      </w:r>
    </w:p>
    <w:p w:rsidR="00F13472" w:rsidRDefault="00F13472" w:rsidP="00F13472">
      <w:pPr>
        <w:pStyle w:val="afd"/>
        <w:rPr>
          <w:rtl/>
        </w:rPr>
      </w:pPr>
      <w:bookmarkStart w:id="14555" w:name="_Toc24918182"/>
      <w:bookmarkStart w:id="14556" w:name="_Toc24918391"/>
      <w:r>
        <w:rPr>
          <w:rFonts w:hint="cs"/>
          <w:rtl/>
        </w:rPr>
        <w:t>ביאור היד יהודה בתוס' בחזר ובישל</w:t>
      </w:r>
      <w:bookmarkEnd w:id="14502"/>
      <w:bookmarkEnd w:id="14503"/>
      <w:bookmarkEnd w:id="14555"/>
      <w:bookmarkEnd w:id="14556"/>
    </w:p>
    <w:p w:rsidR="00F13472" w:rsidRPr="00CE0687" w:rsidRDefault="00F13472" w:rsidP="00F13472">
      <w:pPr>
        <w:pStyle w:val="1"/>
        <w:rPr>
          <w:rtl/>
        </w:rPr>
      </w:pPr>
      <w:bookmarkStart w:id="14557" w:name="_Toc24709440"/>
      <w:bookmarkStart w:id="14558" w:name="_Toc24839051"/>
      <w:bookmarkStart w:id="14559" w:name="_Toc24918183"/>
      <w:bookmarkStart w:id="14560" w:name="_Toc24918392"/>
      <w:r w:rsidRPr="00CE0687">
        <w:rPr>
          <w:rFonts w:hint="cs"/>
          <w:rtl/>
        </w:rPr>
        <w:t xml:space="preserve">דברי </w:t>
      </w:r>
      <w:r>
        <w:rPr>
          <w:rFonts w:hint="cs"/>
          <w:rtl/>
        </w:rPr>
        <w:t>הג' שע"ד דל</w:t>
      </w:r>
      <w:r w:rsidRPr="00CE0687">
        <w:rPr>
          <w:rFonts w:hint="cs"/>
          <w:rtl/>
        </w:rPr>
        <w:t>התוס'</w:t>
      </w:r>
      <w:bookmarkEnd w:id="14557"/>
      <w:bookmarkEnd w:id="14558"/>
      <w:r w:rsidRPr="00CE0687">
        <w:rPr>
          <w:rFonts w:hint="cs"/>
          <w:rtl/>
        </w:rPr>
        <w:t xml:space="preserve"> </w:t>
      </w:r>
      <w:r>
        <w:rPr>
          <w:rFonts w:hint="cs"/>
          <w:rtl/>
        </w:rPr>
        <w:t>דאסר לאדם אחד ה"ה דבבישל אסור</w:t>
      </w:r>
      <w:bookmarkEnd w:id="14559"/>
      <w:bookmarkEnd w:id="14560"/>
    </w:p>
    <w:p w:rsidR="00F13472" w:rsidRPr="00CE0687" w:rsidRDefault="00F13472" w:rsidP="00F13472">
      <w:pPr>
        <w:pStyle w:val="a2"/>
        <w:rPr>
          <w:rtl/>
        </w:rPr>
      </w:pPr>
      <w:bookmarkStart w:id="14561" w:name="_Toc24709441"/>
      <w:bookmarkStart w:id="14562" w:name="_Toc24839052"/>
      <w:bookmarkStart w:id="14563" w:name="_Toc24918184"/>
      <w:bookmarkStart w:id="14564" w:name="_Toc24918393"/>
      <w:r>
        <w:rPr>
          <w:rFonts w:hint="cs"/>
          <w:rtl/>
        </w:rPr>
        <w:t>דברי התוס' והסמ"ג דאף דמהני ביטול בחד בתרי מ"מ אסור לאדם אחד לאכול את כל התערובת</w:t>
      </w:r>
      <w:bookmarkEnd w:id="14561"/>
      <w:bookmarkEnd w:id="14562"/>
      <w:bookmarkEnd w:id="14563"/>
      <w:bookmarkEnd w:id="14564"/>
    </w:p>
    <w:p w:rsidR="007A5AFC" w:rsidRDefault="00F13472" w:rsidP="009F44AF">
      <w:pPr>
        <w:pStyle w:val="a"/>
        <w:rPr>
          <w:rtl/>
        </w:rPr>
      </w:pPr>
      <w:r w:rsidRPr="00CE0687">
        <w:rPr>
          <w:rFonts w:hint="cs"/>
          <w:rtl/>
        </w:rPr>
        <w:lastRenderedPageBreak/>
        <w:t xml:space="preserve">כתבו </w:t>
      </w:r>
      <w:r w:rsidRPr="00CE0687">
        <w:rPr>
          <w:rStyle w:val="af8"/>
          <w:rFonts w:hint="cs"/>
          <w:rtl/>
        </w:rPr>
        <w:t>התוס'</w:t>
      </w:r>
      <w:r w:rsidRPr="00CE0687">
        <w:rPr>
          <w:rFonts w:hint="cs"/>
          <w:rtl/>
        </w:rPr>
        <w:t xml:space="preserve"> </w:t>
      </w:r>
      <w:r w:rsidRPr="00CE0687">
        <w:rPr>
          <w:rStyle w:val="af6"/>
          <w:rFonts w:eastAsia="Guttman Hodes" w:hint="cs"/>
          <w:rtl/>
        </w:rPr>
        <w:t>(ד"ה בריה</w:t>
      </w:r>
      <w:r>
        <w:rPr>
          <w:rStyle w:val="af6"/>
          <w:rFonts w:eastAsia="Guttman Hodes" w:hint="cs"/>
          <w:rtl/>
        </w:rPr>
        <w:t>, הובא בסימן י"ז אות ט')</w:t>
      </w:r>
      <w:r w:rsidRPr="00CE0687">
        <w:rPr>
          <w:rFonts w:hint="cs"/>
          <w:rtl/>
        </w:rPr>
        <w:t xml:space="preserve"> </w:t>
      </w:r>
      <w:r>
        <w:rPr>
          <w:rStyle w:val="af8"/>
          <w:rFonts w:hint="cs"/>
          <w:rtl/>
        </w:rPr>
        <w:t>ו</w:t>
      </w:r>
      <w:r w:rsidRPr="00CE0687">
        <w:rPr>
          <w:rStyle w:val="af8"/>
          <w:rFonts w:hint="cs"/>
          <w:rtl/>
        </w:rPr>
        <w:t>הסמ"ג</w:t>
      </w:r>
      <w:r w:rsidRPr="00CE0687">
        <w:rPr>
          <w:rFonts w:hint="cs"/>
          <w:rtl/>
        </w:rPr>
        <w:t xml:space="preserve"> </w:t>
      </w:r>
      <w:r w:rsidRPr="00CE0687">
        <w:rPr>
          <w:rStyle w:val="af6"/>
          <w:rFonts w:eastAsia="Guttman Hodes" w:hint="cs"/>
          <w:rtl/>
        </w:rPr>
        <w:t>(לאוין ק"מ קמ"א ד"ה שנינו בפרק, הועתק בקובץ שיטות קמאי חולין ח"ג עמ'</w:t>
      </w:r>
      <w:r w:rsidRPr="00CE0687">
        <w:rPr>
          <w:rStyle w:val="af6"/>
          <w:rFonts w:eastAsia="Guttman Hodes"/>
          <w:rtl/>
        </w:rPr>
        <w:t xml:space="preserve"> </w:t>
      </w:r>
      <w:r w:rsidRPr="00CE0687">
        <w:rPr>
          <w:rStyle w:val="af6"/>
          <w:rFonts w:eastAsia="Guttman Hodes" w:hint="cs"/>
          <w:rtl/>
        </w:rPr>
        <w:t>ב</w:t>
      </w:r>
      <w:r w:rsidRPr="00CE0687">
        <w:rPr>
          <w:rStyle w:val="af6"/>
          <w:rFonts w:eastAsia="Guttman Hodes"/>
          <w:rtl/>
        </w:rPr>
        <w:t>' אלף</w:t>
      </w:r>
      <w:r w:rsidRPr="00CE0687">
        <w:rPr>
          <w:rStyle w:val="af6"/>
          <w:rFonts w:eastAsia="Guttman Hodes" w:hint="cs"/>
          <w:rtl/>
        </w:rPr>
        <w:t xml:space="preserve"> ש"ס</w:t>
      </w:r>
      <w:r>
        <w:rPr>
          <w:rStyle w:val="af6"/>
          <w:rFonts w:eastAsia="Guttman Hodes" w:hint="cs"/>
          <w:rtl/>
        </w:rPr>
        <w:t>, הובא בסימן י"ז אות י')</w:t>
      </w:r>
      <w:r w:rsidRPr="00CE0687">
        <w:rPr>
          <w:rStyle w:val="af6"/>
          <w:rFonts w:eastAsia="Guttman Hodes" w:hint="cs"/>
          <w:rtl/>
        </w:rPr>
        <w:t xml:space="preserve"> </w:t>
      </w:r>
      <w:r w:rsidRPr="00CE0687">
        <w:rPr>
          <w:rFonts w:hint="cs"/>
          <w:rtl/>
        </w:rPr>
        <w:t xml:space="preserve">דהא דביבש ביבש מהני ביטול ברוב אף מדרבנן, היינו דוקא לב' בנ"א, אבל יש להחמיר לאסור לאדם אחד לאכול את כל </w:t>
      </w:r>
      <w:r w:rsidRPr="004C737C">
        <w:rPr>
          <w:rFonts w:hint="cs"/>
          <w:rtl/>
        </w:rPr>
        <w:t>התערובת, והוסיף</w:t>
      </w:r>
      <w:r>
        <w:rPr>
          <w:rStyle w:val="af8"/>
          <w:rFonts w:hint="cs"/>
          <w:rtl/>
        </w:rPr>
        <w:t xml:space="preserve"> </w:t>
      </w:r>
      <w:r w:rsidRPr="00CE0687">
        <w:rPr>
          <w:rStyle w:val="af8"/>
          <w:rFonts w:hint="cs"/>
          <w:rtl/>
        </w:rPr>
        <w:t>הסמ"ג</w:t>
      </w:r>
      <w:r w:rsidRPr="00CE0687">
        <w:rPr>
          <w:rFonts w:hint="cs"/>
          <w:rtl/>
        </w:rPr>
        <w:t xml:space="preserve"> </w:t>
      </w:r>
      <w:r>
        <w:rPr>
          <w:rFonts w:hint="cs"/>
          <w:rtl/>
        </w:rPr>
        <w:t xml:space="preserve">דהוא </w:t>
      </w:r>
      <w:r w:rsidRPr="00CE0687">
        <w:rPr>
          <w:rFonts w:hint="cs"/>
          <w:rtl/>
        </w:rPr>
        <w:t>כיון שיש בה ודאי איסור</w:t>
      </w:r>
      <w:r>
        <w:rPr>
          <w:rFonts w:hint="cs"/>
          <w:rtl/>
        </w:rPr>
        <w:t>.</w:t>
      </w:r>
    </w:p>
    <w:p w:rsidR="00F13472" w:rsidRDefault="00F13472" w:rsidP="00F13472">
      <w:pPr>
        <w:pStyle w:val="a2"/>
      </w:pPr>
      <w:bookmarkStart w:id="14565" w:name="_Toc24709442"/>
      <w:bookmarkStart w:id="14566" w:name="_Toc24839053"/>
      <w:bookmarkStart w:id="14567" w:name="_Toc24918185"/>
      <w:bookmarkStart w:id="14568" w:name="_Toc24918394"/>
      <w:r>
        <w:rPr>
          <w:rFonts w:hint="cs"/>
          <w:rtl/>
        </w:rPr>
        <w:t>דברי הג' שערי דורא דלהסמ"ג דהאיסור אינו נהפך להיתר אם בישל אסור אף לב' בנ"א</w:t>
      </w:r>
      <w:bookmarkEnd w:id="14565"/>
      <w:bookmarkEnd w:id="14566"/>
      <w:bookmarkEnd w:id="14567"/>
      <w:bookmarkEnd w:id="14568"/>
    </w:p>
    <w:p w:rsidR="00F13472" w:rsidRPr="006200DB" w:rsidRDefault="00F13472" w:rsidP="009F44AF">
      <w:pPr>
        <w:pStyle w:val="a"/>
        <w:rPr>
          <w:rStyle w:val="afa"/>
          <w:rtl/>
        </w:rPr>
      </w:pPr>
      <w:r>
        <w:rPr>
          <w:rFonts w:hint="cs"/>
          <w:rtl/>
        </w:rPr>
        <w:t>ו</w:t>
      </w:r>
      <w:r w:rsidRPr="009B0C1B">
        <w:rPr>
          <w:rtl/>
        </w:rPr>
        <w:t>כתב</w:t>
      </w:r>
      <w:r>
        <w:rPr>
          <w:rStyle w:val="af8"/>
          <w:rFonts w:hint="cs"/>
          <w:rtl/>
        </w:rPr>
        <w:t xml:space="preserve"> </w:t>
      </w:r>
      <w:r w:rsidRPr="002D7CA3">
        <w:rPr>
          <w:rStyle w:val="af8"/>
          <w:rFonts w:eastAsia="Guttman Adii-Light"/>
          <w:rtl/>
        </w:rPr>
        <w:t>בהג' שערי דורא</w:t>
      </w:r>
      <w:r w:rsidRPr="00381994">
        <w:rPr>
          <w:rStyle w:val="af6"/>
          <w:rFonts w:eastAsia="Guttman Hodes"/>
          <w:rtl/>
        </w:rPr>
        <w:t xml:space="preserve"> (הל' איסור והיתר סי' ל"ט אות ו', הועתק בקובץ שיטות קמאי חולין ח"ג עמ' ב' אלף שמג)</w:t>
      </w:r>
      <w:r w:rsidRPr="00381994">
        <w:rPr>
          <w:rStyle w:val="af6"/>
          <w:rFonts w:eastAsia="Guttman Hodes" w:hint="cs"/>
          <w:rtl/>
        </w:rPr>
        <w:t xml:space="preserve"> </w:t>
      </w:r>
      <w:r>
        <w:rPr>
          <w:rFonts w:hint="cs"/>
          <w:rtl/>
        </w:rPr>
        <w:t xml:space="preserve">דכיון דס"ל </w:t>
      </w:r>
      <w:r w:rsidRPr="00381994">
        <w:rPr>
          <w:rStyle w:val="af8"/>
          <w:rFonts w:hint="cs"/>
          <w:rtl/>
        </w:rPr>
        <w:t>להסמ"ג</w:t>
      </w:r>
      <w:r>
        <w:rPr>
          <w:rFonts w:hint="cs"/>
          <w:rtl/>
        </w:rPr>
        <w:t xml:space="preserve"> </w:t>
      </w:r>
      <w:r w:rsidRPr="000A7AC6">
        <w:rPr>
          <w:rStyle w:val="af6"/>
          <w:rFonts w:eastAsia="Guttman Hodes" w:hint="cs"/>
          <w:rtl/>
        </w:rPr>
        <w:t xml:space="preserve">(עי' אות </w:t>
      </w:r>
      <w:r w:rsidRPr="000A7AC6">
        <w:rPr>
          <w:rStyle w:val="af6"/>
          <w:rFonts w:eastAsia="Guttman Hodes"/>
          <w:rtl/>
        </w:rPr>
        <w:fldChar w:fldCharType="begin"/>
      </w:r>
      <w:r w:rsidRPr="000A7AC6">
        <w:rPr>
          <w:rStyle w:val="af6"/>
          <w:rFonts w:eastAsia="Guttman Hodes"/>
          <w:rtl/>
        </w:rPr>
        <w:instrText xml:space="preserve"> </w:instrText>
      </w:r>
      <w:r w:rsidRPr="000A7AC6">
        <w:rPr>
          <w:rStyle w:val="af6"/>
          <w:rFonts w:eastAsia="Guttman Hodes" w:hint="cs"/>
        </w:rPr>
        <w:instrText>REF</w:instrText>
      </w:r>
      <w:r w:rsidRPr="000A7AC6">
        <w:rPr>
          <w:rStyle w:val="af6"/>
          <w:rFonts w:eastAsia="Guttman Hodes" w:hint="cs"/>
          <w:rtl/>
        </w:rPr>
        <w:instrText xml:space="preserve"> _</w:instrText>
      </w:r>
      <w:r w:rsidRPr="000A7AC6">
        <w:rPr>
          <w:rStyle w:val="af6"/>
          <w:rFonts w:eastAsia="Guttman Hodes" w:hint="cs"/>
        </w:rPr>
        <w:instrText>Ref23936632 \r \h</w:instrText>
      </w:r>
      <w:r w:rsidRPr="000A7AC6">
        <w:rPr>
          <w:rStyle w:val="af6"/>
          <w:rFonts w:eastAsia="Guttman Hodes"/>
          <w:rtl/>
        </w:rPr>
        <w:instrText xml:space="preserve"> </w:instrText>
      </w:r>
      <w:r w:rsidRPr="000A7AC6">
        <w:rPr>
          <w:rStyle w:val="af6"/>
          <w:rFonts w:eastAsia="Guttman Hodes"/>
          <w:rtl/>
        </w:rPr>
      </w:r>
      <w:r w:rsidRPr="000A7AC6">
        <w:rPr>
          <w:rStyle w:val="af6"/>
          <w:rFonts w:eastAsia="Guttman Hodes"/>
          <w:rtl/>
        </w:rPr>
        <w:fldChar w:fldCharType="separate"/>
      </w:r>
      <w:r w:rsidR="004D1C5B">
        <w:rPr>
          <w:rStyle w:val="af6"/>
          <w:rFonts w:eastAsia="Guttman Hodes"/>
          <w:cs/>
        </w:rPr>
        <w:t>‎</w:t>
      </w:r>
      <w:r w:rsidR="004D1C5B">
        <w:rPr>
          <w:rStyle w:val="af6"/>
          <w:rFonts w:eastAsia="Guttman Hodes"/>
          <w:rtl/>
        </w:rPr>
        <w:t>י)</w:t>
      </w:r>
      <w:r w:rsidRPr="000A7AC6">
        <w:rPr>
          <w:rStyle w:val="af6"/>
          <w:rFonts w:eastAsia="Guttman Hodes"/>
          <w:rtl/>
        </w:rPr>
        <w:fldChar w:fldCharType="end"/>
      </w:r>
      <w:r>
        <w:rPr>
          <w:rFonts w:hint="cs"/>
          <w:rtl/>
        </w:rPr>
        <w:t xml:space="preserve"> ד</w:t>
      </w:r>
      <w:r w:rsidRPr="00CE0687">
        <w:rPr>
          <w:rFonts w:hint="cs"/>
          <w:rtl/>
        </w:rPr>
        <w:t>אסור לאדם אחד לאכול את כל התערובת, כיון שיש בה ודאי איסור</w:t>
      </w:r>
      <w:r>
        <w:rPr>
          <w:rFonts w:hint="cs"/>
          <w:rtl/>
        </w:rPr>
        <w:t xml:space="preserve">, א"כ אם בישל את כל התערובת בקדירה, אסור אף לב' בנ"א, דכיון דס"ל </w:t>
      </w:r>
      <w:r w:rsidRPr="006200DB">
        <w:rPr>
          <w:rStyle w:val="af8"/>
          <w:rFonts w:hint="cs"/>
          <w:rtl/>
        </w:rPr>
        <w:t>להסמ"ג</w:t>
      </w:r>
      <w:r>
        <w:rPr>
          <w:rFonts w:hint="cs"/>
          <w:rtl/>
        </w:rPr>
        <w:t xml:space="preserve"> דלאדם אחד אסור, א"כ מבואר דהאיסור אינו נהפך להיתר, וכשבישל את כל התערובת, הרוטב אסור מדאו' </w:t>
      </w:r>
      <w:r w:rsidRPr="006200DB">
        <w:rPr>
          <w:rStyle w:val="afa"/>
          <w:rFonts w:hint="cs"/>
          <w:rtl/>
        </w:rPr>
        <w:t>[במין בשאינו מינו]</w:t>
      </w:r>
      <w:r>
        <w:rPr>
          <w:rFonts w:hint="cs"/>
          <w:rtl/>
        </w:rPr>
        <w:t xml:space="preserve">, דהא טעם כעיקר דאו', וצריך שישים לבטל את הטעם. </w:t>
      </w:r>
      <w:r w:rsidRPr="006200DB">
        <w:rPr>
          <w:rStyle w:val="afa"/>
          <w:rFonts w:hint="cs"/>
          <w:rtl/>
        </w:rPr>
        <w:t>[וא"כ מדרבנן צריך שישים אף במין במינו].</w:t>
      </w:r>
    </w:p>
    <w:p w:rsidR="00F13472" w:rsidRPr="00117AA7" w:rsidRDefault="00F13472" w:rsidP="00F13472">
      <w:pPr>
        <w:pStyle w:val="1"/>
        <w:rPr>
          <w:rtl/>
        </w:rPr>
      </w:pPr>
      <w:bookmarkStart w:id="14569" w:name="_Toc24709443"/>
      <w:bookmarkStart w:id="14570" w:name="_Toc24839054"/>
      <w:bookmarkStart w:id="14571" w:name="_Toc24918186"/>
      <w:bookmarkStart w:id="14572" w:name="_Toc24918395"/>
      <w:r>
        <w:rPr>
          <w:rFonts w:hint="cs"/>
          <w:rtl/>
        </w:rPr>
        <w:t>ביאור היד יהודה בתוס' דכיון דבלח יאסר לא הותר לגמרי</w:t>
      </w:r>
      <w:r w:rsidRPr="00947181">
        <w:rPr>
          <w:rFonts w:hint="cs"/>
          <w:rtl/>
        </w:rPr>
        <w:t xml:space="preserve"> </w:t>
      </w:r>
      <w:r>
        <w:rPr>
          <w:rFonts w:hint="cs"/>
          <w:rtl/>
        </w:rPr>
        <w:t>ביבש</w:t>
      </w:r>
      <w:bookmarkEnd w:id="14569"/>
      <w:bookmarkEnd w:id="14570"/>
      <w:bookmarkEnd w:id="14571"/>
      <w:bookmarkEnd w:id="14572"/>
    </w:p>
    <w:p w:rsidR="00F13472" w:rsidRDefault="00F13472" w:rsidP="00F13472">
      <w:pPr>
        <w:pStyle w:val="a2"/>
      </w:pPr>
      <w:bookmarkStart w:id="14573" w:name="_Toc24709444"/>
      <w:bookmarkStart w:id="14574" w:name="_Toc24839055"/>
      <w:bookmarkStart w:id="14575" w:name="_Toc24918187"/>
      <w:bookmarkStart w:id="14576" w:name="_Toc24918396"/>
      <w:r>
        <w:rPr>
          <w:rFonts w:hint="cs"/>
          <w:rtl/>
        </w:rPr>
        <w:t>ביאור היד יהודה בתוס' דאם יבשל יאסר ולא הותר לגמרי ואסור לאדם א' לאכול ודאי איסור</w:t>
      </w:r>
      <w:bookmarkEnd w:id="14573"/>
      <w:bookmarkEnd w:id="14574"/>
      <w:bookmarkEnd w:id="14575"/>
      <w:bookmarkEnd w:id="14576"/>
    </w:p>
    <w:p w:rsidR="007A5AFC" w:rsidRDefault="00F13472" w:rsidP="009F44AF">
      <w:pPr>
        <w:pStyle w:val="a"/>
        <w:rPr>
          <w:rtl/>
        </w:rPr>
      </w:pPr>
      <w:r>
        <w:rPr>
          <w:rFonts w:hint="cs"/>
          <w:rtl/>
        </w:rPr>
        <w:t xml:space="preserve">וביאר </w:t>
      </w:r>
      <w:r w:rsidRPr="005F7CF8">
        <w:rPr>
          <w:rStyle w:val="af8"/>
          <w:rFonts w:hint="cs"/>
          <w:rtl/>
        </w:rPr>
        <w:t>היד יהודה</w:t>
      </w:r>
      <w:r w:rsidRPr="003D3883">
        <w:rPr>
          <w:rFonts w:hint="cs"/>
          <w:rtl/>
        </w:rPr>
        <w:t xml:space="preserve"> </w:t>
      </w:r>
      <w:r w:rsidRPr="005F7CF8">
        <w:rPr>
          <w:rStyle w:val="af6"/>
          <w:rFonts w:eastAsia="Guttman Hodes" w:hint="cs"/>
          <w:rtl/>
        </w:rPr>
        <w:t xml:space="preserve">(סי' ק"ט </w:t>
      </w:r>
      <w:r>
        <w:rPr>
          <w:rStyle w:val="af6"/>
          <w:rFonts w:eastAsia="Guttman Hodes" w:hint="cs"/>
          <w:rtl/>
        </w:rPr>
        <w:t>סק</w:t>
      </w:r>
      <w:r>
        <w:rPr>
          <w:rStyle w:val="af6"/>
          <w:rFonts w:eastAsia="Guttman Hodes"/>
          <w:rtl/>
        </w:rPr>
        <w:t>"</w:t>
      </w:r>
      <w:r>
        <w:rPr>
          <w:rStyle w:val="af6"/>
          <w:rFonts w:eastAsia="Guttman Hodes" w:hint="cs"/>
          <w:rtl/>
        </w:rPr>
        <w:t>ג ד</w:t>
      </w:r>
      <w:r>
        <w:rPr>
          <w:rStyle w:val="af6"/>
          <w:rFonts w:eastAsia="Guttman Hodes"/>
          <w:rtl/>
        </w:rPr>
        <w:t>"</w:t>
      </w:r>
      <w:r>
        <w:rPr>
          <w:rStyle w:val="af6"/>
          <w:rFonts w:eastAsia="Guttman Hodes" w:hint="cs"/>
          <w:rtl/>
        </w:rPr>
        <w:t>ה</w:t>
      </w:r>
      <w:r w:rsidRPr="005F7CF8">
        <w:rPr>
          <w:rStyle w:val="af6"/>
          <w:rFonts w:eastAsia="Guttman Hodes" w:hint="cs"/>
          <w:rtl/>
        </w:rPr>
        <w:t xml:space="preserve"> והנה ואולי זה)</w:t>
      </w:r>
      <w:r>
        <w:rPr>
          <w:rFonts w:hint="cs"/>
          <w:rtl/>
        </w:rPr>
        <w:t xml:space="preserve"> דכוונת </w:t>
      </w:r>
      <w:r w:rsidRPr="005F7CF8">
        <w:rPr>
          <w:rStyle w:val="af8"/>
          <w:rFonts w:hint="cs"/>
          <w:rtl/>
        </w:rPr>
        <w:t>ההג' שערי דורא</w:t>
      </w:r>
      <w:r>
        <w:rPr>
          <w:rFonts w:hint="cs"/>
          <w:rtl/>
        </w:rPr>
        <w:t xml:space="preserve"> לומר דהא דאסרו </w:t>
      </w:r>
      <w:r w:rsidRPr="005F7CF8">
        <w:rPr>
          <w:rStyle w:val="af8"/>
          <w:rFonts w:hint="cs"/>
          <w:rtl/>
        </w:rPr>
        <w:t>התוס' והסמ"ג</w:t>
      </w:r>
      <w:r>
        <w:rPr>
          <w:rFonts w:hint="cs"/>
          <w:rtl/>
        </w:rPr>
        <w:t xml:space="preserve"> לאדם אחד לאכול את התערובת, הוא כיון דס"ל דאם בישל את התערובת וחזרה ונעשית לח בלח אסור בפחות משישים, וא"כ מוכח דהאיסור אינו נהפך להיתר, ולכן ס"ל </w:t>
      </w:r>
      <w:r w:rsidRPr="005F7CF8">
        <w:rPr>
          <w:rStyle w:val="af8"/>
          <w:rFonts w:hint="cs"/>
          <w:rtl/>
        </w:rPr>
        <w:t>להתוס' והסמ"ג</w:t>
      </w:r>
      <w:r>
        <w:rPr>
          <w:rFonts w:hint="cs"/>
          <w:rtl/>
        </w:rPr>
        <w:t xml:space="preserve"> דאינו ראוי שאדם אחד יאכל את כל התערובת, אפילו בזה אחר זה, דבכה"ג אכל ודאי איסור, דלא נהפך האיסור להיתר.</w:t>
      </w:r>
    </w:p>
    <w:p w:rsidR="00F13472" w:rsidRDefault="00F13472" w:rsidP="00F13472">
      <w:pPr>
        <w:pStyle w:val="afd"/>
        <w:rPr>
          <w:rtl/>
        </w:rPr>
      </w:pPr>
      <w:bookmarkStart w:id="14577" w:name="_Toc24709445"/>
      <w:bookmarkStart w:id="14578" w:name="_Toc24839056"/>
      <w:bookmarkStart w:id="14579" w:name="_Toc24918188"/>
      <w:bookmarkStart w:id="14580" w:name="_Toc24918397"/>
      <w:r>
        <w:rPr>
          <w:rFonts w:hint="cs"/>
          <w:rtl/>
        </w:rPr>
        <w:t>דעת הרא"ש בחוזר וניעור</w:t>
      </w:r>
      <w:bookmarkEnd w:id="14477"/>
      <w:bookmarkEnd w:id="14478"/>
      <w:bookmarkEnd w:id="14504"/>
      <w:bookmarkEnd w:id="14577"/>
      <w:bookmarkEnd w:id="14578"/>
      <w:bookmarkEnd w:id="14579"/>
      <w:bookmarkEnd w:id="14580"/>
    </w:p>
    <w:p w:rsidR="00F13472" w:rsidRDefault="00F13472" w:rsidP="00F13472">
      <w:pPr>
        <w:pStyle w:val="1"/>
        <w:rPr>
          <w:rtl/>
        </w:rPr>
      </w:pPr>
      <w:bookmarkStart w:id="14581" w:name="_Toc24918189"/>
      <w:bookmarkStart w:id="14582" w:name="_Toc24918398"/>
      <w:r>
        <w:rPr>
          <w:rFonts w:hint="cs"/>
          <w:rtl/>
        </w:rPr>
        <w:t>דברי הרא"ש דיבש שבטל ברוב והוסיף איסור דחוזר וניעור</w:t>
      </w:r>
      <w:bookmarkEnd w:id="14581"/>
      <w:bookmarkEnd w:id="14582"/>
    </w:p>
    <w:p w:rsidR="00F13472" w:rsidRDefault="00F13472" w:rsidP="00F13472">
      <w:pPr>
        <w:pStyle w:val="a2"/>
        <w:rPr>
          <w:rtl/>
        </w:rPr>
      </w:pPr>
      <w:bookmarkStart w:id="14583" w:name="_Toc24918190"/>
      <w:bookmarkStart w:id="14584" w:name="_Toc24918399"/>
      <w:r>
        <w:rPr>
          <w:rFonts w:hint="cs"/>
          <w:rtl/>
        </w:rPr>
        <w:t>דברי הרא"ש דאף דהאיסור נהפך להיתר אם הוסיף איסור האיסור חוזר וניעור והכל אסור</w:t>
      </w:r>
      <w:bookmarkEnd w:id="14583"/>
      <w:bookmarkEnd w:id="14584"/>
    </w:p>
    <w:p w:rsidR="00F13472" w:rsidRDefault="00F13472" w:rsidP="009F44AF">
      <w:pPr>
        <w:pStyle w:val="a"/>
        <w:rPr>
          <w:rtl/>
        </w:rPr>
      </w:pPr>
      <w:bookmarkStart w:id="14585" w:name="_Ref24902820"/>
      <w:bookmarkStart w:id="14586" w:name="_Ref24917500"/>
      <w:r>
        <w:rPr>
          <w:rFonts w:hint="cs"/>
          <w:rtl/>
        </w:rPr>
        <w:t xml:space="preserve">כתב </w:t>
      </w:r>
      <w:r w:rsidRPr="00E57E1F">
        <w:rPr>
          <w:rStyle w:val="af8"/>
          <w:rFonts w:hint="cs"/>
          <w:rtl/>
        </w:rPr>
        <w:t>הרא"ש</w:t>
      </w:r>
      <w:r>
        <w:rPr>
          <w:rFonts w:hint="cs"/>
          <w:rtl/>
        </w:rPr>
        <w:t xml:space="preserve"> </w:t>
      </w:r>
      <w:r w:rsidRPr="00E57E1F">
        <w:rPr>
          <w:rStyle w:val="af6"/>
          <w:rFonts w:eastAsia="Guttman Hodes" w:hint="cs"/>
          <w:rtl/>
        </w:rPr>
        <w:t>(סי' ל"ז)</w:t>
      </w:r>
      <w:r>
        <w:rPr>
          <w:rFonts w:hint="cs"/>
          <w:rtl/>
        </w:rPr>
        <w:t xml:space="preserve"> דאף שבביטול ברוב ביבש ביבש האיסור נהפך להיתר, ומותר לאכול את כל התערובת בבת אחת, ואינה נאסרת אף אם בישל את כל התערובת יחד, מ"מ אם הוסיף איסור לתערובת, עד שיש רוב באיסור כנגד ההיתר, דאמרינן מצא מין את מינו והאיסור חוזר וניעור ואסור.</w:t>
      </w:r>
      <w:bookmarkEnd w:id="14585"/>
      <w:r>
        <w:rPr>
          <w:rFonts w:hint="cs"/>
          <w:rtl/>
        </w:rPr>
        <w:t xml:space="preserve"> </w:t>
      </w:r>
      <w:r w:rsidRPr="006012CD">
        <w:rPr>
          <w:rStyle w:val="af8"/>
          <w:rFonts w:hint="cs"/>
          <w:rtl/>
        </w:rPr>
        <w:t>[דברי הרא"ש בחוזר וניעור יבוארו אי"ה באריכות בסימן י"ט]</w:t>
      </w:r>
      <w:r>
        <w:rPr>
          <w:rFonts w:hint="cs"/>
          <w:rtl/>
        </w:rPr>
        <w:t>.</w:t>
      </w:r>
      <w:bookmarkEnd w:id="14586"/>
    </w:p>
    <w:p w:rsidR="00F13472" w:rsidRDefault="00F13472" w:rsidP="00F13472">
      <w:pPr>
        <w:pStyle w:val="a2"/>
        <w:rPr>
          <w:rtl/>
        </w:rPr>
      </w:pPr>
      <w:bookmarkStart w:id="14587" w:name="_Toc24918191"/>
      <w:bookmarkStart w:id="14588" w:name="_Toc24918400"/>
      <w:r>
        <w:rPr>
          <w:rFonts w:hint="cs"/>
          <w:rtl/>
        </w:rPr>
        <w:t>דברי הרא"ש דבאינו מינו פשיטא דחוזר וניעור כיון שטעם האיסורים מצטרף ונותנים טעם בהיתר</w:t>
      </w:r>
      <w:bookmarkEnd w:id="14587"/>
      <w:bookmarkEnd w:id="14588"/>
    </w:p>
    <w:p w:rsidR="00F13472" w:rsidRDefault="00F13472" w:rsidP="009F44AF">
      <w:pPr>
        <w:pStyle w:val="a"/>
        <w:rPr>
          <w:rtl/>
        </w:rPr>
      </w:pPr>
      <w:bookmarkStart w:id="14589" w:name="_Ref24902856"/>
      <w:bookmarkStart w:id="14590" w:name="_Ref25784680"/>
      <w:r>
        <w:rPr>
          <w:rFonts w:hint="cs"/>
          <w:rtl/>
        </w:rPr>
        <w:t xml:space="preserve">וכתב </w:t>
      </w:r>
      <w:r w:rsidRPr="00E57E1F">
        <w:rPr>
          <w:rStyle w:val="af8"/>
          <w:rFonts w:hint="cs"/>
          <w:rtl/>
        </w:rPr>
        <w:t>הרא"ש</w:t>
      </w:r>
      <w:r>
        <w:rPr>
          <w:rFonts w:hint="cs"/>
          <w:rtl/>
        </w:rPr>
        <w:t xml:space="preserve"> דה"ה בכל האיסורים שהתבטלו, ונוסף איסור ויש רוב איסור דהאיסור חוזר וניעור, וכתב </w:t>
      </w:r>
      <w:r w:rsidRPr="002279E0">
        <w:rPr>
          <w:rStyle w:val="af8"/>
          <w:rFonts w:hint="cs"/>
          <w:rtl/>
        </w:rPr>
        <w:t>הרא"ש</w:t>
      </w:r>
      <w:r>
        <w:rPr>
          <w:rFonts w:hint="cs"/>
          <w:rtl/>
        </w:rPr>
        <w:t xml:space="preserve"> דבמין בשאינו מינו פשיטא דאמרינן חוזר וניעור, דכיון שהאיסור התבטל בשישים, ונוסף איסור עד שיש פחות משישים, דכיון שהטעם של האיסורים מצטרף, וממילא האיסור נותן טעם בהיתר, א"כ ודאי שהאיסור שנוסף מצטרף עם האיסור הראשון, לאסור את ההיתר.</w:t>
      </w:r>
      <w:bookmarkEnd w:id="14589"/>
      <w:r>
        <w:rPr>
          <w:rFonts w:hint="cs"/>
          <w:rtl/>
        </w:rPr>
        <w:t xml:space="preserve"> [ועי' במה שביאר </w:t>
      </w:r>
      <w:r w:rsidRPr="00246F1A">
        <w:rPr>
          <w:rStyle w:val="af8"/>
          <w:rFonts w:hint="cs"/>
          <w:rtl/>
        </w:rPr>
        <w:t>הנפש חיה</w:t>
      </w:r>
      <w:r>
        <w:rPr>
          <w:rFonts w:hint="cs"/>
          <w:rtl/>
        </w:rPr>
        <w:t xml:space="preserve"> </w:t>
      </w:r>
      <w:r w:rsidRPr="00246F1A">
        <w:rPr>
          <w:rStyle w:val="af6"/>
          <w:rFonts w:eastAsia="Guttman Hodes" w:hint="cs"/>
          <w:rtl/>
        </w:rPr>
        <w:t xml:space="preserve">(עי' אות </w:t>
      </w:r>
      <w:r w:rsidRPr="00246F1A">
        <w:rPr>
          <w:rStyle w:val="af6"/>
          <w:rFonts w:eastAsia="Guttman Hodes"/>
          <w:rtl/>
        </w:rPr>
        <w:fldChar w:fldCharType="begin"/>
      </w:r>
      <w:r w:rsidRPr="00246F1A">
        <w:rPr>
          <w:rStyle w:val="af6"/>
          <w:rFonts w:eastAsia="Guttman Hodes"/>
          <w:rtl/>
        </w:rPr>
        <w:instrText xml:space="preserve"> </w:instrText>
      </w:r>
      <w:r w:rsidRPr="00246F1A">
        <w:rPr>
          <w:rStyle w:val="af6"/>
          <w:rFonts w:eastAsia="Guttman Hodes" w:hint="cs"/>
        </w:rPr>
        <w:instrText>REF</w:instrText>
      </w:r>
      <w:r w:rsidRPr="00246F1A">
        <w:rPr>
          <w:rStyle w:val="af6"/>
          <w:rFonts w:eastAsia="Guttman Hodes" w:hint="cs"/>
          <w:rtl/>
        </w:rPr>
        <w:instrText xml:space="preserve"> _</w:instrText>
      </w:r>
      <w:r w:rsidRPr="00246F1A">
        <w:rPr>
          <w:rStyle w:val="af6"/>
          <w:rFonts w:eastAsia="Guttman Hodes" w:hint="cs"/>
        </w:rPr>
        <w:instrText>Ref24904994 \r \h</w:instrText>
      </w:r>
      <w:r w:rsidRPr="00246F1A">
        <w:rPr>
          <w:rStyle w:val="af6"/>
          <w:rFonts w:eastAsia="Guttman Hodes"/>
          <w:rtl/>
        </w:rPr>
        <w:instrText xml:space="preserve"> </w:instrText>
      </w:r>
      <w:r w:rsidRPr="00246F1A">
        <w:rPr>
          <w:rStyle w:val="af6"/>
          <w:rFonts w:eastAsia="Guttman Hodes"/>
          <w:rtl/>
        </w:rPr>
      </w:r>
      <w:r w:rsidRPr="00246F1A">
        <w:rPr>
          <w:rStyle w:val="af6"/>
          <w:rFonts w:eastAsia="Guttman Hodes"/>
          <w:rtl/>
        </w:rPr>
        <w:fldChar w:fldCharType="separate"/>
      </w:r>
      <w:r w:rsidR="004D1C5B">
        <w:rPr>
          <w:rStyle w:val="af6"/>
          <w:rFonts w:eastAsia="Guttman Hodes"/>
          <w:cs/>
        </w:rPr>
        <w:t>‎</w:t>
      </w:r>
      <w:r w:rsidR="004D1C5B">
        <w:rPr>
          <w:rStyle w:val="af6"/>
          <w:rFonts w:eastAsia="Guttman Hodes"/>
          <w:rtl/>
        </w:rPr>
        <w:t>צח)</w:t>
      </w:r>
      <w:r w:rsidRPr="00246F1A">
        <w:rPr>
          <w:rStyle w:val="af6"/>
          <w:rFonts w:eastAsia="Guttman Hodes"/>
          <w:rtl/>
        </w:rPr>
        <w:fldChar w:fldCharType="end"/>
      </w:r>
      <w:r>
        <w:rPr>
          <w:rFonts w:hint="cs"/>
          <w:rtl/>
        </w:rPr>
        <w:t xml:space="preserve"> בדברי </w:t>
      </w:r>
      <w:r w:rsidRPr="00246F1A">
        <w:rPr>
          <w:rStyle w:val="af8"/>
          <w:rFonts w:hint="cs"/>
          <w:rtl/>
        </w:rPr>
        <w:t>הרא"ש</w:t>
      </w:r>
      <w:r>
        <w:rPr>
          <w:rFonts w:hint="cs"/>
          <w:rtl/>
        </w:rPr>
        <w:t>].</w:t>
      </w:r>
      <w:bookmarkEnd w:id="14590"/>
    </w:p>
    <w:p w:rsidR="00F13472" w:rsidRPr="00DF1143" w:rsidRDefault="00F13472" w:rsidP="00F13472">
      <w:pPr>
        <w:pStyle w:val="a2"/>
      </w:pPr>
      <w:bookmarkStart w:id="14591" w:name="_Toc24918192"/>
      <w:bookmarkStart w:id="14592" w:name="_Toc24918401"/>
      <w:r>
        <w:rPr>
          <w:rFonts w:hint="cs"/>
          <w:rtl/>
        </w:rPr>
        <w:t>דברי הרא"ש דבמין במינו בלח ודאי דחוזר וניעור דהוא בכלל הגזירה אטו מין בשאינו מינו</w:t>
      </w:r>
      <w:bookmarkEnd w:id="14591"/>
      <w:bookmarkEnd w:id="14592"/>
    </w:p>
    <w:p w:rsidR="00F13472" w:rsidRDefault="00F13472" w:rsidP="009F44AF">
      <w:pPr>
        <w:pStyle w:val="a"/>
        <w:rPr>
          <w:rtl/>
        </w:rPr>
      </w:pPr>
      <w:bookmarkStart w:id="14593" w:name="_Ref24888868"/>
      <w:r>
        <w:rPr>
          <w:rFonts w:hint="cs"/>
          <w:rtl/>
        </w:rPr>
        <w:t xml:space="preserve">וכתב </w:t>
      </w:r>
      <w:r w:rsidRPr="00E57E1F">
        <w:rPr>
          <w:rStyle w:val="af8"/>
          <w:rFonts w:hint="cs"/>
          <w:rtl/>
        </w:rPr>
        <w:t>הרא"ש</w:t>
      </w:r>
      <w:r>
        <w:rPr>
          <w:rFonts w:hint="cs"/>
          <w:rtl/>
        </w:rPr>
        <w:t xml:space="preserve"> דה"ה במין במינו בלח בלח דפשיטא דאמרינן דהאיסור חוזר וניעור, דכיון שהאיסור התבטל בשישים, ונוסף איסור עד שיש פחות משישים, דאף שהוא מין במינו ואינו נותן טעם, מ"מ ודאי דהאיסור שנוסף מצטרף עם האיסור הראשון לאסור את ההיתר בפחות משישים, דהא כל דין שישים במין במינו, הוא אטו מין בשאינו מינו, וכיון דבמין בשאינו מינו אמרינן חוזר וניעור, ה"ה במין במינו דאמרינן חוזר וניעור אטו אינו מינו.</w:t>
      </w:r>
      <w:bookmarkEnd w:id="14593"/>
    </w:p>
    <w:p w:rsidR="00F13472" w:rsidRDefault="00F13472" w:rsidP="00F13472">
      <w:pPr>
        <w:pStyle w:val="a2"/>
        <w:rPr>
          <w:rtl/>
        </w:rPr>
      </w:pPr>
      <w:bookmarkStart w:id="14594" w:name="_Toc24918193"/>
      <w:bookmarkStart w:id="14595" w:name="_Toc24918402"/>
      <w:r>
        <w:rPr>
          <w:rFonts w:hint="cs"/>
          <w:rtl/>
        </w:rPr>
        <w:t>דברי הרא"ש דאף ביבש שמהני חד בתרי אף מדרבנן אם נוסף איסור האיסור חוזר וניעור</w:t>
      </w:r>
      <w:bookmarkEnd w:id="14594"/>
      <w:bookmarkEnd w:id="14595"/>
    </w:p>
    <w:p w:rsidR="00F13472" w:rsidRDefault="00F13472" w:rsidP="009F44AF">
      <w:pPr>
        <w:pStyle w:val="a"/>
        <w:rPr>
          <w:rtl/>
        </w:rPr>
      </w:pPr>
      <w:bookmarkStart w:id="14596" w:name="_Ref24901908"/>
      <w:r>
        <w:rPr>
          <w:rFonts w:hint="cs"/>
          <w:rtl/>
        </w:rPr>
        <w:t xml:space="preserve">והוסיף </w:t>
      </w:r>
      <w:r w:rsidRPr="00E57E1F">
        <w:rPr>
          <w:rStyle w:val="af8"/>
          <w:rFonts w:hint="cs"/>
          <w:rtl/>
        </w:rPr>
        <w:t>הרא"ש</w:t>
      </w:r>
      <w:r>
        <w:rPr>
          <w:rFonts w:hint="cs"/>
          <w:rtl/>
        </w:rPr>
        <w:t xml:space="preserve"> דאף ביבש שא"צ שישים ומהני ביטול ברוב בחד בתרי, דאמרינן חוזר וניעור, דביבש ביבש שאף מדרבנן האיסור התבטל בחד בתרי, כל שנוסף עליו איסור, ואין רוב בהיתר, אמרינן דמצא מין את מינו והאיסור חוזר וניעור.</w:t>
      </w:r>
      <w:bookmarkEnd w:id="14596"/>
      <w:r w:rsidRPr="006012CD">
        <w:rPr>
          <w:rStyle w:val="af8"/>
          <w:rFonts w:hint="cs"/>
          <w:rtl/>
        </w:rPr>
        <w:t xml:space="preserve"> [דברי הרא"ש בחוזר וניעור יבוארו אי"ה באריכות בסימן י"ט]</w:t>
      </w:r>
      <w:r>
        <w:rPr>
          <w:rFonts w:hint="cs"/>
          <w:rtl/>
        </w:rPr>
        <w:t>.</w:t>
      </w:r>
    </w:p>
    <w:p w:rsidR="00F13472" w:rsidRPr="00E82902" w:rsidRDefault="00F13472" w:rsidP="009F44AF">
      <w:pPr>
        <w:pStyle w:val="a"/>
        <w:rPr>
          <w:rtl/>
        </w:rPr>
        <w:sectPr w:rsidR="00F13472" w:rsidRPr="00E82902" w:rsidSect="005049E2">
          <w:type w:val="continuous"/>
          <w:pgSz w:w="11906" w:h="16838"/>
          <w:pgMar w:top="720" w:right="720" w:bottom="720" w:left="720" w:header="283" w:footer="283" w:gutter="0"/>
          <w:cols w:num="2" w:space="567"/>
          <w:titlePg/>
          <w:bidi/>
          <w:rtlGutter/>
          <w:docGrid w:linePitch="299"/>
        </w:sectPr>
      </w:pPr>
    </w:p>
    <w:p w:rsidR="00F13472" w:rsidRDefault="00F13472" w:rsidP="00F13472">
      <w:pPr>
        <w:tabs>
          <w:tab w:val="left" w:pos="1163"/>
        </w:tabs>
        <w:spacing w:after="120" w:line="240" w:lineRule="auto"/>
        <w:ind w:left="0"/>
        <w:rPr>
          <w:rFonts w:ascii="Guttman Hodes" w:eastAsia="Guttman Hodes" w:hAnsi="Guttman Hodes" w:cs="Guttman Hodes"/>
          <w:noProof/>
          <w:sz w:val="18"/>
          <w:szCs w:val="18"/>
        </w:rPr>
        <w:sectPr w:rsidR="00F13472" w:rsidSect="00F13472">
          <w:type w:val="continuous"/>
          <w:pgSz w:w="11906" w:h="16838"/>
          <w:pgMar w:top="720" w:right="720" w:bottom="720" w:left="720" w:header="283" w:footer="283" w:gutter="0"/>
          <w:cols w:space="567"/>
          <w:bidi/>
          <w:rtlGutter/>
          <w:docGrid w:linePitch="299"/>
        </w:sectPr>
      </w:pPr>
    </w:p>
    <w:p w:rsidR="00F13472" w:rsidRPr="00D47CE7" w:rsidRDefault="00651E3B" w:rsidP="00F13472">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6" type="#_x0000_t75" style="width:404.55pt;height:6.8pt" o:hrpct="0" o:hralign="center" o:hr="t">
            <v:imagedata r:id="rId48" o:title="BD14845_"/>
          </v:shape>
        </w:pict>
      </w:r>
      <w:r w:rsidR="00F13472" w:rsidRPr="00D47CE7">
        <w:rPr>
          <w:rFonts w:ascii="Guttman Hodes" w:eastAsia="Guttman Hodes" w:hAnsi="Guttman Hodes" w:cs="Guttman Hodes" w:hint="cs"/>
          <w:noProof/>
          <w:sz w:val="18"/>
          <w:szCs w:val="18"/>
          <w:rtl/>
        </w:rPr>
        <w:t xml:space="preserve"> </w:t>
      </w:r>
    </w:p>
    <w:p w:rsidR="00F13472" w:rsidRPr="0081356D" w:rsidRDefault="00F13472" w:rsidP="00F13472">
      <w:pPr>
        <w:pStyle w:val="afd"/>
        <w:rPr>
          <w:rtl/>
        </w:rPr>
        <w:sectPr w:rsidR="00F13472" w:rsidRPr="0081356D" w:rsidSect="00F13472">
          <w:pgSz w:w="11906" w:h="16838"/>
          <w:pgMar w:top="720" w:right="720" w:bottom="720" w:left="720" w:header="283" w:footer="283" w:gutter="0"/>
          <w:cols w:space="567"/>
          <w:bidi/>
          <w:rtlGutter/>
          <w:docGrid w:linePitch="299"/>
        </w:sectPr>
      </w:pPr>
      <w:bookmarkStart w:id="14597" w:name="_Toc24403401"/>
      <w:bookmarkStart w:id="14598" w:name="_Toc24455869"/>
      <w:bookmarkStart w:id="14599" w:name="_Toc24576862"/>
      <w:bookmarkStart w:id="14600" w:name="_Toc24709446"/>
      <w:bookmarkStart w:id="14601" w:name="_Toc24839057"/>
      <w:bookmarkStart w:id="14602" w:name="_Toc24918194"/>
      <w:bookmarkStart w:id="14603" w:name="_Toc24918403"/>
      <w:r w:rsidRPr="0081356D">
        <w:rPr>
          <w:rFonts w:hint="cs"/>
          <w:rtl/>
        </w:rPr>
        <w:t>ביאורי ראשי הישיבות</w:t>
      </w:r>
      <w:bookmarkEnd w:id="14597"/>
      <w:bookmarkEnd w:id="14598"/>
      <w:bookmarkEnd w:id="14599"/>
      <w:bookmarkEnd w:id="14600"/>
      <w:bookmarkEnd w:id="14601"/>
      <w:bookmarkEnd w:id="14602"/>
      <w:bookmarkEnd w:id="14603"/>
      <w:r w:rsidRPr="0081356D">
        <w:rPr>
          <w:rFonts w:hint="cs"/>
          <w:rtl/>
        </w:rPr>
        <w:t xml:space="preserve"> </w:t>
      </w:r>
    </w:p>
    <w:p w:rsidR="00F13472" w:rsidRDefault="00F13472" w:rsidP="00F13472">
      <w:pPr>
        <w:pStyle w:val="afd"/>
        <w:rPr>
          <w:rtl/>
        </w:rPr>
      </w:pPr>
      <w:bookmarkStart w:id="14604" w:name="_Toc24918195"/>
      <w:bookmarkStart w:id="14605" w:name="_Toc24918404"/>
      <w:bookmarkStart w:id="14606" w:name="_Toc24403403"/>
      <w:bookmarkStart w:id="14607" w:name="_Toc24455871"/>
      <w:bookmarkStart w:id="14608" w:name="_Toc24576864"/>
      <w:bookmarkStart w:id="14609" w:name="_Toc24709448"/>
      <w:bookmarkStart w:id="14610" w:name="_Toc24839059"/>
      <w:r>
        <w:rPr>
          <w:rFonts w:hint="cs"/>
          <w:rtl/>
        </w:rPr>
        <w:t>בדעת הרשב"א בהיתר ב' קדירות</w:t>
      </w:r>
      <w:bookmarkEnd w:id="14604"/>
      <w:bookmarkEnd w:id="14605"/>
    </w:p>
    <w:p w:rsidR="00F13472" w:rsidRPr="006712B3" w:rsidRDefault="00F13472" w:rsidP="00F13472">
      <w:pPr>
        <w:pStyle w:val="1"/>
        <w:rPr>
          <w:rtl/>
        </w:rPr>
      </w:pPr>
      <w:bookmarkStart w:id="14611" w:name="_Toc24918196"/>
      <w:bookmarkStart w:id="14612" w:name="_Toc24918405"/>
      <w:r w:rsidRPr="006712B3">
        <w:rPr>
          <w:rFonts w:hint="cs"/>
          <w:rtl/>
        </w:rPr>
        <w:t>דברי השער"י</w:t>
      </w:r>
      <w:bookmarkEnd w:id="14606"/>
      <w:bookmarkEnd w:id="14607"/>
      <w:bookmarkEnd w:id="14608"/>
      <w:bookmarkEnd w:id="14609"/>
      <w:bookmarkEnd w:id="14610"/>
      <w:r>
        <w:rPr>
          <w:rFonts w:hint="cs"/>
          <w:rtl/>
        </w:rPr>
        <w:t xml:space="preserve"> דלא גזרו בב' קדירות כיון שכ"א אפש"ל דמותרת</w:t>
      </w:r>
      <w:bookmarkEnd w:id="14611"/>
      <w:bookmarkEnd w:id="14612"/>
    </w:p>
    <w:p w:rsidR="00F13472" w:rsidRPr="006712B3" w:rsidRDefault="00F13472" w:rsidP="00F13472">
      <w:pPr>
        <w:pStyle w:val="a2"/>
        <w:rPr>
          <w:rtl/>
        </w:rPr>
      </w:pPr>
      <w:bookmarkStart w:id="14613" w:name="_Toc24403407"/>
      <w:bookmarkStart w:id="14614" w:name="_Toc24455875"/>
      <w:bookmarkStart w:id="14615" w:name="_Toc24576868"/>
      <w:bookmarkStart w:id="14616" w:name="_Toc24709452"/>
      <w:bookmarkStart w:id="14617" w:name="_Toc24839063"/>
      <w:bookmarkStart w:id="14618" w:name="_Toc24918197"/>
      <w:bookmarkStart w:id="14619" w:name="_Toc24918406"/>
      <w:r w:rsidRPr="006712B3">
        <w:rPr>
          <w:rFonts w:hint="cs"/>
          <w:rtl/>
        </w:rPr>
        <w:t>דברי השער"י ברשב"א דבבישל בב' קדירות מותר דכ"א היא ספק איסור ולא גזרו אטו אינו מינו</w:t>
      </w:r>
      <w:bookmarkEnd w:id="14613"/>
      <w:bookmarkEnd w:id="14614"/>
      <w:bookmarkEnd w:id="14615"/>
      <w:bookmarkEnd w:id="14616"/>
      <w:bookmarkEnd w:id="14617"/>
      <w:bookmarkEnd w:id="14618"/>
      <w:bookmarkEnd w:id="14619"/>
    </w:p>
    <w:p w:rsidR="00F13472" w:rsidRPr="006712B3" w:rsidRDefault="00F13472" w:rsidP="009F44AF">
      <w:pPr>
        <w:pStyle w:val="a"/>
        <w:rPr>
          <w:rtl/>
        </w:rPr>
      </w:pPr>
      <w:bookmarkStart w:id="14620" w:name="_Ref24919094"/>
      <w:r>
        <w:rPr>
          <w:rFonts w:hint="cs"/>
          <w:rtl/>
        </w:rPr>
        <w:t>ב</w:t>
      </w:r>
      <w:r w:rsidRPr="006712B3">
        <w:rPr>
          <w:rFonts w:hint="cs"/>
          <w:rtl/>
        </w:rPr>
        <w:t xml:space="preserve">ביאור בדברי </w:t>
      </w:r>
      <w:r w:rsidRPr="006712B3">
        <w:rPr>
          <w:rStyle w:val="af8"/>
          <w:rFonts w:hint="cs"/>
          <w:rtl/>
        </w:rPr>
        <w:t>הרשב"א</w:t>
      </w:r>
      <w:r w:rsidRPr="006712B3">
        <w:rPr>
          <w:rStyle w:val="af6"/>
          <w:rFonts w:eastAsia="Guttman Hodes" w:hint="cs"/>
          <w:rtl/>
        </w:rPr>
        <w:t xml:space="preserve"> (עי' אות </w:t>
      </w:r>
      <w:r w:rsidRPr="006712B3">
        <w:rPr>
          <w:rStyle w:val="af6"/>
          <w:rFonts w:eastAsia="Guttman Hodes"/>
          <w:rtl/>
        </w:rPr>
        <w:fldChar w:fldCharType="begin"/>
      </w:r>
      <w:r w:rsidRPr="006712B3">
        <w:rPr>
          <w:rStyle w:val="af6"/>
          <w:rFonts w:eastAsia="Guttman Hodes"/>
          <w:rtl/>
        </w:rPr>
        <w:instrText xml:space="preserve"> </w:instrText>
      </w:r>
      <w:r w:rsidRPr="006712B3">
        <w:rPr>
          <w:rStyle w:val="af6"/>
          <w:rFonts w:eastAsia="Guttman Hodes" w:hint="cs"/>
        </w:rPr>
        <w:instrText>REF</w:instrText>
      </w:r>
      <w:r w:rsidRPr="006712B3">
        <w:rPr>
          <w:rStyle w:val="af6"/>
          <w:rFonts w:eastAsia="Guttman Hodes" w:hint="cs"/>
          <w:rtl/>
        </w:rPr>
        <w:instrText xml:space="preserve"> _</w:instrText>
      </w:r>
      <w:r w:rsidRPr="006712B3">
        <w:rPr>
          <w:rStyle w:val="af6"/>
          <w:rFonts w:eastAsia="Guttman Hodes" w:hint="cs"/>
        </w:rPr>
        <w:instrText>Ref23943584 \r \h</w:instrText>
      </w:r>
      <w:r w:rsidRPr="006712B3">
        <w:rPr>
          <w:rStyle w:val="af6"/>
          <w:rFonts w:eastAsia="Guttman Hodes"/>
          <w:rtl/>
        </w:rPr>
        <w:instrText xml:space="preserve">  \* </w:instrText>
      </w:r>
      <w:r w:rsidRPr="006712B3">
        <w:rPr>
          <w:rStyle w:val="af6"/>
          <w:rFonts w:eastAsia="Guttman Hodes"/>
        </w:rPr>
        <w:instrText>MERGEFORMAT</w:instrText>
      </w:r>
      <w:r w:rsidRPr="006712B3">
        <w:rPr>
          <w:rStyle w:val="af6"/>
          <w:rFonts w:eastAsia="Guttman Hodes"/>
          <w:rtl/>
        </w:rPr>
        <w:instrText xml:space="preserve"> </w:instrText>
      </w:r>
      <w:r w:rsidRPr="006712B3">
        <w:rPr>
          <w:rStyle w:val="af6"/>
          <w:rFonts w:eastAsia="Guttman Hodes"/>
          <w:rtl/>
        </w:rPr>
      </w:r>
      <w:r w:rsidRPr="006712B3">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6712B3">
        <w:rPr>
          <w:rStyle w:val="af6"/>
          <w:rFonts w:eastAsia="Guttman Hodes"/>
          <w:rtl/>
        </w:rPr>
        <w:fldChar w:fldCharType="end"/>
      </w:r>
      <w:r w:rsidRPr="006712B3">
        <w:rPr>
          <w:rFonts w:hint="cs"/>
          <w:rtl/>
        </w:rPr>
        <w:t xml:space="preserve"> דהתיר במין במינו כשבישל בב' קדירות, כתב </w:t>
      </w:r>
      <w:r w:rsidRPr="006712B3">
        <w:rPr>
          <w:rStyle w:val="af8"/>
          <w:rFonts w:hint="cs"/>
          <w:rtl/>
        </w:rPr>
        <w:t>השער"י</w:t>
      </w:r>
      <w:r w:rsidRPr="006712B3">
        <w:rPr>
          <w:rFonts w:hint="cs"/>
          <w:rtl/>
        </w:rPr>
        <w:t xml:space="preserve"> </w:t>
      </w:r>
      <w:r w:rsidRPr="006712B3">
        <w:rPr>
          <w:rStyle w:val="af6"/>
          <w:rFonts w:eastAsia="Guttman Hodes" w:hint="cs"/>
          <w:rtl/>
        </w:rPr>
        <w:t>(ש"ג פ"ט ד"ה וע"כ נלענ"ד)</w:t>
      </w:r>
      <w:r w:rsidRPr="006712B3">
        <w:rPr>
          <w:rFonts w:hint="cs"/>
          <w:rtl/>
        </w:rPr>
        <w:t xml:space="preserve"> דאף ששייך לגזור בזה אטו מין בשאינו מינו, שאחת מהקדירות אסורה מדאו', ושני הקדירות אסורות מספק דאו', מ"מ כיון שביבש ביבש התירו רבנן במין במינו, אף כשיש ספק שאוכל את האיסור, במקום שיש רוב היתר ואינו אוכל ודאי איסור, דבכל חתיכה אומר שהיא המותרת, לכן גם כשבישל בב' קדירות התירו מכח סברא זו, דעל כ"א מהם יכול לומר שאין בה את האיסור, אעפ"י דשייך לגזור בזה אטו מין בשאינו מינו בדאו'.</w:t>
      </w:r>
      <w:bookmarkEnd w:id="14620"/>
    </w:p>
    <w:p w:rsidR="00F13472" w:rsidRPr="006712B3" w:rsidRDefault="00F13472" w:rsidP="00F13472">
      <w:pPr>
        <w:pStyle w:val="a2"/>
        <w:rPr>
          <w:rtl/>
        </w:rPr>
      </w:pPr>
      <w:bookmarkStart w:id="14621" w:name="_Toc24403408"/>
      <w:bookmarkStart w:id="14622" w:name="_Toc24455876"/>
      <w:bookmarkStart w:id="14623" w:name="_Toc24576869"/>
      <w:bookmarkStart w:id="14624" w:name="_Toc24709453"/>
      <w:bookmarkStart w:id="14625" w:name="_Toc24839064"/>
      <w:bookmarkStart w:id="14626" w:name="_Toc24918198"/>
      <w:bookmarkStart w:id="14627" w:name="_Toc24918407"/>
      <w:r w:rsidRPr="006712B3">
        <w:rPr>
          <w:rFonts w:hint="cs"/>
          <w:rtl/>
        </w:rPr>
        <w:t>דברי השער"י ד</w:t>
      </w:r>
      <w:r>
        <w:rPr>
          <w:rFonts w:hint="cs"/>
          <w:rtl/>
        </w:rPr>
        <w:t xml:space="preserve">להב"ח </w:t>
      </w:r>
      <w:r w:rsidRPr="006712B3">
        <w:rPr>
          <w:rFonts w:hint="cs"/>
          <w:rtl/>
        </w:rPr>
        <w:t>הרשב"א מקיל בב' קדירות בלא נודע התערובת והרא"ש מחמיר ואוסר</w:t>
      </w:r>
      <w:bookmarkEnd w:id="14621"/>
      <w:bookmarkEnd w:id="14622"/>
      <w:bookmarkEnd w:id="14623"/>
      <w:bookmarkEnd w:id="14624"/>
      <w:bookmarkEnd w:id="14625"/>
      <w:bookmarkEnd w:id="14626"/>
      <w:bookmarkEnd w:id="14627"/>
    </w:p>
    <w:p w:rsidR="00F13472" w:rsidRDefault="00F13472" w:rsidP="009F44AF">
      <w:pPr>
        <w:pStyle w:val="a"/>
        <w:rPr>
          <w:rtl/>
        </w:rPr>
      </w:pPr>
      <w:bookmarkStart w:id="14628" w:name="_Ref24905841"/>
      <w:r w:rsidRPr="006712B3">
        <w:rPr>
          <w:rFonts w:hint="cs"/>
          <w:rtl/>
        </w:rPr>
        <w:t xml:space="preserve">והוסיף </w:t>
      </w:r>
      <w:r w:rsidRPr="006712B3">
        <w:rPr>
          <w:rStyle w:val="af8"/>
          <w:rFonts w:hint="cs"/>
          <w:rtl/>
        </w:rPr>
        <w:t>השער"י</w:t>
      </w:r>
      <w:r w:rsidRPr="006712B3">
        <w:rPr>
          <w:rFonts w:hint="cs"/>
          <w:rtl/>
        </w:rPr>
        <w:t xml:space="preserve"> דלפי"ז בדין ב' קדירות יש קולא לדעת </w:t>
      </w:r>
      <w:r w:rsidRPr="006712B3">
        <w:rPr>
          <w:rStyle w:val="af8"/>
          <w:rFonts w:hint="cs"/>
          <w:rtl/>
        </w:rPr>
        <w:t>הרשב"א</w:t>
      </w:r>
      <w:r w:rsidRPr="006712B3">
        <w:rPr>
          <w:rFonts w:hint="cs"/>
          <w:rtl/>
        </w:rPr>
        <w:t xml:space="preserve"> וחומרא לדעת </w:t>
      </w:r>
      <w:r w:rsidRPr="006712B3">
        <w:rPr>
          <w:rStyle w:val="af8"/>
          <w:rFonts w:hint="cs"/>
          <w:rtl/>
        </w:rPr>
        <w:t>הרא"ש</w:t>
      </w:r>
      <w:r w:rsidRPr="006712B3">
        <w:rPr>
          <w:rFonts w:hint="cs"/>
          <w:rtl/>
        </w:rPr>
        <w:t xml:space="preserve">, דלדעת </w:t>
      </w:r>
      <w:r w:rsidRPr="006712B3">
        <w:rPr>
          <w:rStyle w:val="af8"/>
          <w:rFonts w:hint="cs"/>
          <w:rtl/>
        </w:rPr>
        <w:t>הרשב"א</w:t>
      </w:r>
      <w:r w:rsidRPr="006712B3">
        <w:rPr>
          <w:rFonts w:hint="cs"/>
          <w:rtl/>
        </w:rPr>
        <w:t xml:space="preserve"> מותר לאכול כ"א בפנ"ע, ולדעת </w:t>
      </w:r>
      <w:r w:rsidRPr="006712B3">
        <w:rPr>
          <w:rStyle w:val="af8"/>
          <w:rFonts w:hint="cs"/>
          <w:rtl/>
        </w:rPr>
        <w:t>הרא"ש</w:t>
      </w:r>
      <w:r w:rsidRPr="006712B3">
        <w:rPr>
          <w:rFonts w:hint="cs"/>
          <w:rtl/>
        </w:rPr>
        <w:t xml:space="preserve"> אסור, דהא כתב </w:t>
      </w:r>
      <w:r w:rsidRPr="006712B3">
        <w:rPr>
          <w:rStyle w:val="af8"/>
          <w:rFonts w:hint="cs"/>
          <w:rtl/>
        </w:rPr>
        <w:t>הרא"ש</w:t>
      </w:r>
      <w:r w:rsidRPr="006712B3">
        <w:rPr>
          <w:rFonts w:hint="cs"/>
          <w:rtl/>
        </w:rPr>
        <w:t xml:space="preserve"> </w:t>
      </w:r>
      <w:r w:rsidRPr="006712B3">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Ref24879522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Pr>
          <w:rStyle w:val="af6"/>
          <w:rFonts w:eastAsia="Guttman Hodes"/>
          <w:rtl/>
        </w:rPr>
        <w:fldChar w:fldCharType="end"/>
      </w:r>
      <w:r w:rsidRPr="006712B3">
        <w:rPr>
          <w:rStyle w:val="af6"/>
          <w:rFonts w:eastAsia="Guttman Hodes" w:hint="cs"/>
          <w:rtl/>
        </w:rPr>
        <w:t xml:space="preserve"> </w:t>
      </w:r>
      <w:r w:rsidRPr="006712B3">
        <w:rPr>
          <w:rFonts w:hint="cs"/>
          <w:rtl/>
        </w:rPr>
        <w:t xml:space="preserve">דאם לא נודע שנפל איסור לתוך התערובת לפני שבישלה, היא אסורה, ואילו </w:t>
      </w:r>
      <w:r w:rsidRPr="006712B3">
        <w:rPr>
          <w:rStyle w:val="af8"/>
          <w:rFonts w:hint="cs"/>
          <w:rtl/>
        </w:rPr>
        <w:t>להרשב"א</w:t>
      </w:r>
      <w:r w:rsidRPr="006712B3">
        <w:rPr>
          <w:rFonts w:hint="cs"/>
          <w:rtl/>
        </w:rPr>
        <w:t xml:space="preserve"> כתב </w:t>
      </w:r>
      <w:r w:rsidRPr="006712B3">
        <w:rPr>
          <w:rStyle w:val="af8"/>
          <w:rFonts w:hint="cs"/>
          <w:rtl/>
        </w:rPr>
        <w:t>הב"ח</w:t>
      </w:r>
      <w:r w:rsidRPr="006712B3">
        <w:rPr>
          <w:rFonts w:hint="cs"/>
          <w:rtl/>
        </w:rPr>
        <w:t xml:space="preserve"> </w:t>
      </w:r>
      <w:r>
        <w:rPr>
          <w:rStyle w:val="af6"/>
          <w:rFonts w:eastAsia="Guttman Hodes" w:hint="cs"/>
          <w:rtl/>
        </w:rPr>
        <w:t>(ע</w:t>
      </w:r>
      <w:r w:rsidRPr="00E917CE">
        <w:rPr>
          <w:rStyle w:val="af6"/>
          <w:rFonts w:eastAsia="Guttman Hodes" w:hint="cs"/>
          <w:rtl/>
        </w:rPr>
        <w:t xml:space="preserve">י' אות </w:t>
      </w:r>
      <w:r w:rsidRPr="00E917CE">
        <w:rPr>
          <w:rStyle w:val="af6"/>
          <w:rFonts w:eastAsia="Guttman Hodes"/>
          <w:rtl/>
        </w:rPr>
        <w:fldChar w:fldCharType="begin"/>
      </w:r>
      <w:r w:rsidRPr="00E917CE">
        <w:rPr>
          <w:rStyle w:val="af6"/>
          <w:rFonts w:eastAsia="Guttman Hodes"/>
          <w:rtl/>
        </w:rPr>
        <w:instrText xml:space="preserve"> </w:instrText>
      </w:r>
      <w:r w:rsidRPr="00E917CE">
        <w:rPr>
          <w:rStyle w:val="af6"/>
          <w:rFonts w:eastAsia="Guttman Hodes" w:hint="cs"/>
        </w:rPr>
        <w:instrText>REF</w:instrText>
      </w:r>
      <w:r w:rsidRPr="00E917CE">
        <w:rPr>
          <w:rStyle w:val="af6"/>
          <w:rFonts w:eastAsia="Guttman Hodes" w:hint="cs"/>
          <w:rtl/>
        </w:rPr>
        <w:instrText xml:space="preserve"> _</w:instrText>
      </w:r>
      <w:r w:rsidRPr="00E917CE">
        <w:rPr>
          <w:rStyle w:val="af6"/>
          <w:rFonts w:eastAsia="Guttman Hodes" w:hint="cs"/>
        </w:rPr>
        <w:instrText>Ref24837707 \r \h</w:instrText>
      </w:r>
      <w:r w:rsidRPr="00E917CE">
        <w:rPr>
          <w:rStyle w:val="af6"/>
          <w:rFonts w:eastAsia="Guttman Hodes"/>
          <w:rtl/>
        </w:rPr>
        <w:instrText xml:space="preserve"> </w:instrText>
      </w:r>
      <w:r w:rsidRPr="00E917CE">
        <w:rPr>
          <w:rStyle w:val="af6"/>
          <w:rFonts w:eastAsia="Guttman Hodes"/>
          <w:rtl/>
        </w:rPr>
      </w:r>
      <w:r w:rsidRPr="00E917CE">
        <w:rPr>
          <w:rStyle w:val="af6"/>
          <w:rFonts w:eastAsia="Guttman Hodes"/>
          <w:rtl/>
        </w:rPr>
        <w:fldChar w:fldCharType="separate"/>
      </w:r>
      <w:r w:rsidR="004D1C5B">
        <w:rPr>
          <w:rStyle w:val="af6"/>
          <w:rFonts w:eastAsia="Guttman Hodes"/>
          <w:cs/>
        </w:rPr>
        <w:t>‎</w:t>
      </w:r>
      <w:r w:rsidR="004D1C5B">
        <w:rPr>
          <w:rStyle w:val="af6"/>
          <w:rFonts w:eastAsia="Guttman Hodes"/>
          <w:rtl/>
        </w:rPr>
        <w:t>מח)</w:t>
      </w:r>
      <w:r w:rsidRPr="00E917CE">
        <w:rPr>
          <w:rStyle w:val="af6"/>
          <w:rFonts w:eastAsia="Guttman Hodes"/>
          <w:rtl/>
        </w:rPr>
        <w:fldChar w:fldCharType="end"/>
      </w:r>
      <w:r w:rsidRPr="006712B3">
        <w:rPr>
          <w:rFonts w:hint="cs"/>
          <w:rtl/>
        </w:rPr>
        <w:t xml:space="preserve"> דמותר בב' קדירות אף שרק אחר הבישול נודע שנפל האיסור</w:t>
      </w:r>
      <w:r w:rsidRPr="006712B3">
        <w:rPr>
          <w:rStyle w:val="af0"/>
          <w:rtl/>
        </w:rPr>
        <w:footnoteReference w:id="75"/>
      </w:r>
      <w:r w:rsidRPr="006712B3">
        <w:rPr>
          <w:rFonts w:hint="cs"/>
          <w:rtl/>
        </w:rPr>
        <w:t>.</w:t>
      </w:r>
      <w:bookmarkEnd w:id="14628"/>
    </w:p>
    <w:p w:rsidR="00F13472" w:rsidRPr="006712B3" w:rsidRDefault="00F13472" w:rsidP="00F13472">
      <w:pPr>
        <w:pStyle w:val="1"/>
        <w:rPr>
          <w:rtl/>
        </w:rPr>
      </w:pPr>
      <w:bookmarkStart w:id="14629" w:name="_Toc24403412"/>
      <w:bookmarkStart w:id="14630" w:name="_Toc24455880"/>
      <w:bookmarkStart w:id="14631" w:name="_Toc24576873"/>
      <w:bookmarkStart w:id="14632" w:name="_Toc24709457"/>
      <w:bookmarkStart w:id="14633" w:name="_Toc24839068"/>
      <w:bookmarkStart w:id="14634" w:name="_Toc24918199"/>
      <w:bookmarkStart w:id="14635" w:name="_Toc24918408"/>
      <w:r w:rsidRPr="006712B3">
        <w:rPr>
          <w:rFonts w:hint="cs"/>
          <w:rtl/>
        </w:rPr>
        <w:t>דברי הגרי"ז</w:t>
      </w:r>
      <w:bookmarkEnd w:id="14629"/>
      <w:bookmarkEnd w:id="14630"/>
      <w:bookmarkEnd w:id="14631"/>
      <w:bookmarkEnd w:id="14632"/>
      <w:bookmarkEnd w:id="14633"/>
      <w:bookmarkEnd w:id="14634"/>
      <w:bookmarkEnd w:id="14635"/>
      <w:r>
        <w:rPr>
          <w:rFonts w:hint="cs"/>
          <w:rtl/>
        </w:rPr>
        <w:t xml:space="preserve"> ברשב"א דבבישל אין היתר מדין הלך אחר הרוב</w:t>
      </w:r>
    </w:p>
    <w:p w:rsidR="00F13472" w:rsidRPr="006712B3" w:rsidRDefault="00F13472" w:rsidP="00F13472">
      <w:pPr>
        <w:pStyle w:val="a2"/>
        <w:rPr>
          <w:rtl/>
        </w:rPr>
      </w:pPr>
      <w:bookmarkStart w:id="14636" w:name="_Toc24403413"/>
      <w:bookmarkStart w:id="14637" w:name="_Toc24455881"/>
      <w:bookmarkStart w:id="14638" w:name="_Toc24576874"/>
      <w:bookmarkStart w:id="14639" w:name="_Toc24709458"/>
      <w:bookmarkStart w:id="14640" w:name="_Toc24839069"/>
      <w:bookmarkStart w:id="14641" w:name="_Toc24918200"/>
      <w:bookmarkStart w:id="14642" w:name="_Toc24918409"/>
      <w:r w:rsidRPr="006712B3">
        <w:rPr>
          <w:rFonts w:hint="cs"/>
          <w:rtl/>
        </w:rPr>
        <w:t>ביאור הגרי"ז דבבישל אוסר הרשב"א א"א להתיר מדין הלך אחר הרוב וממילא הכל נאסר</w:t>
      </w:r>
      <w:bookmarkEnd w:id="14636"/>
      <w:bookmarkEnd w:id="14637"/>
      <w:bookmarkEnd w:id="14638"/>
      <w:bookmarkEnd w:id="14639"/>
      <w:bookmarkEnd w:id="14640"/>
      <w:bookmarkEnd w:id="14641"/>
      <w:bookmarkEnd w:id="14642"/>
    </w:p>
    <w:p w:rsidR="007A5AFC" w:rsidRDefault="00F13472" w:rsidP="009F44AF">
      <w:pPr>
        <w:pStyle w:val="a"/>
        <w:rPr>
          <w:rtl/>
        </w:rPr>
      </w:pPr>
      <w:bookmarkStart w:id="14643" w:name="_Ref24919207"/>
      <w:r w:rsidRPr="006712B3">
        <w:rPr>
          <w:rFonts w:hint="cs"/>
          <w:rtl/>
        </w:rPr>
        <w:t xml:space="preserve">במ"ש </w:t>
      </w:r>
      <w:r w:rsidRPr="006712B3">
        <w:rPr>
          <w:rStyle w:val="af8"/>
          <w:rFonts w:hint="cs"/>
          <w:rtl/>
        </w:rPr>
        <w:t>הרשב"א</w:t>
      </w:r>
      <w:r w:rsidRPr="006712B3">
        <w:rPr>
          <w:rStyle w:val="af6"/>
          <w:rFonts w:eastAsia="Guttman Hodes" w:hint="cs"/>
          <w:rtl/>
        </w:rPr>
        <w:t xml:space="preserve"> (עי' אות </w:t>
      </w:r>
      <w:r w:rsidRPr="006712B3">
        <w:rPr>
          <w:rStyle w:val="af6"/>
          <w:rFonts w:eastAsia="Guttman Hodes"/>
          <w:rtl/>
        </w:rPr>
        <w:fldChar w:fldCharType="begin"/>
      </w:r>
      <w:r w:rsidRPr="006712B3">
        <w:rPr>
          <w:rStyle w:val="af6"/>
          <w:rFonts w:eastAsia="Guttman Hodes"/>
          <w:rtl/>
        </w:rPr>
        <w:instrText xml:space="preserve"> </w:instrText>
      </w:r>
      <w:r w:rsidRPr="006712B3">
        <w:rPr>
          <w:rStyle w:val="af6"/>
          <w:rFonts w:eastAsia="Guttman Hodes" w:hint="cs"/>
        </w:rPr>
        <w:instrText>REF</w:instrText>
      </w:r>
      <w:r w:rsidRPr="006712B3">
        <w:rPr>
          <w:rStyle w:val="af6"/>
          <w:rFonts w:eastAsia="Guttman Hodes" w:hint="cs"/>
          <w:rtl/>
        </w:rPr>
        <w:instrText xml:space="preserve"> _</w:instrText>
      </w:r>
      <w:r w:rsidRPr="006712B3">
        <w:rPr>
          <w:rStyle w:val="af6"/>
          <w:rFonts w:eastAsia="Guttman Hodes" w:hint="cs"/>
        </w:rPr>
        <w:instrText>Ref23943584 \r \h</w:instrText>
      </w:r>
      <w:r w:rsidRPr="006712B3">
        <w:rPr>
          <w:rStyle w:val="af6"/>
          <w:rFonts w:eastAsia="Guttman Hodes"/>
          <w:rtl/>
        </w:rPr>
        <w:instrText xml:space="preserve">  \* </w:instrText>
      </w:r>
      <w:r w:rsidRPr="006712B3">
        <w:rPr>
          <w:rStyle w:val="af6"/>
          <w:rFonts w:eastAsia="Guttman Hodes"/>
        </w:rPr>
        <w:instrText>MERGEFORMAT</w:instrText>
      </w:r>
      <w:r w:rsidRPr="006712B3">
        <w:rPr>
          <w:rStyle w:val="af6"/>
          <w:rFonts w:eastAsia="Guttman Hodes"/>
          <w:rtl/>
        </w:rPr>
        <w:instrText xml:space="preserve"> </w:instrText>
      </w:r>
      <w:r w:rsidRPr="006712B3">
        <w:rPr>
          <w:rStyle w:val="af6"/>
          <w:rFonts w:eastAsia="Guttman Hodes"/>
          <w:rtl/>
        </w:rPr>
      </w:r>
      <w:r w:rsidRPr="006712B3">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6712B3">
        <w:rPr>
          <w:rStyle w:val="af6"/>
          <w:rFonts w:eastAsia="Guttman Hodes"/>
          <w:rtl/>
        </w:rPr>
        <w:fldChar w:fldCharType="end"/>
      </w:r>
      <w:r w:rsidRPr="006712B3">
        <w:rPr>
          <w:rStyle w:val="af6"/>
          <w:rFonts w:eastAsia="Guttman Hodes" w:hint="cs"/>
          <w:rtl/>
        </w:rPr>
        <w:t xml:space="preserve"> </w:t>
      </w:r>
      <w:r w:rsidRPr="006712B3">
        <w:rPr>
          <w:rFonts w:hint="cs"/>
          <w:rtl/>
        </w:rPr>
        <w:t xml:space="preserve">דאם בישלם יחד אסור, כיון שע"י הבישול התערב האיסור עם ההיתר, ודינו כשאר האיסורין בלח בלח, הביא </w:t>
      </w:r>
      <w:r w:rsidRPr="006712B3">
        <w:rPr>
          <w:rStyle w:val="af8"/>
          <w:rFonts w:hint="cs"/>
          <w:rtl/>
        </w:rPr>
        <w:t>בתורת זרעים</w:t>
      </w:r>
      <w:r w:rsidRPr="006712B3">
        <w:rPr>
          <w:rFonts w:hint="cs"/>
          <w:rtl/>
        </w:rPr>
        <w:t xml:space="preserve"> </w:t>
      </w:r>
      <w:r w:rsidRPr="006712B3">
        <w:rPr>
          <w:rStyle w:val="af6"/>
          <w:rFonts w:eastAsia="Guttman Hodes" w:hint="cs"/>
          <w:rtl/>
        </w:rPr>
        <w:t>(תרומות פ"ה מ"ו)</w:t>
      </w:r>
      <w:r w:rsidRPr="006712B3">
        <w:rPr>
          <w:rFonts w:hint="cs"/>
          <w:rtl/>
        </w:rPr>
        <w:t xml:space="preserve"> בשם </w:t>
      </w:r>
      <w:r w:rsidRPr="006712B3">
        <w:rPr>
          <w:rStyle w:val="af8"/>
          <w:rFonts w:hint="cs"/>
          <w:rtl/>
        </w:rPr>
        <w:t>הגרי"ז</w:t>
      </w:r>
      <w:r w:rsidRPr="006712B3">
        <w:rPr>
          <w:rFonts w:hint="cs"/>
          <w:rtl/>
        </w:rPr>
        <w:t xml:space="preserve"> </w:t>
      </w:r>
      <w:r>
        <w:rPr>
          <w:rFonts w:hint="cs"/>
          <w:rtl/>
        </w:rPr>
        <w:t xml:space="preserve">דביאר דביבש ביבש האיסור עומד בפנ"ע, ועל עצם האיסור אין דין ביטול, דאינו בטל כלל, אלא דבכל חתיכה יש היתר מדין הלך אחר הרוב, </w:t>
      </w:r>
      <w:r w:rsidRPr="006712B3">
        <w:rPr>
          <w:rFonts w:hint="cs"/>
          <w:rtl/>
        </w:rPr>
        <w:t xml:space="preserve">דביאר </w:t>
      </w:r>
      <w:r>
        <w:rPr>
          <w:rFonts w:hint="cs"/>
          <w:rtl/>
        </w:rPr>
        <w:t xml:space="preserve">אבל </w:t>
      </w:r>
      <w:r w:rsidRPr="006712B3">
        <w:rPr>
          <w:rFonts w:hint="cs"/>
          <w:rtl/>
        </w:rPr>
        <w:t xml:space="preserve">כשחזר ובישל את התערובת יחד, </w:t>
      </w:r>
      <w:r>
        <w:rPr>
          <w:rFonts w:hint="cs"/>
          <w:rtl/>
        </w:rPr>
        <w:t xml:space="preserve">כתב </w:t>
      </w:r>
      <w:r w:rsidRPr="00C91EB5">
        <w:rPr>
          <w:rStyle w:val="af8"/>
          <w:rFonts w:hint="cs"/>
          <w:rtl/>
        </w:rPr>
        <w:t>בתורת זרעים</w:t>
      </w:r>
      <w:r>
        <w:rPr>
          <w:rFonts w:hint="cs"/>
          <w:rtl/>
        </w:rPr>
        <w:t xml:space="preserve"> בשם </w:t>
      </w:r>
      <w:r w:rsidRPr="00C91EB5">
        <w:rPr>
          <w:rStyle w:val="af8"/>
          <w:rFonts w:hint="cs"/>
          <w:rtl/>
        </w:rPr>
        <w:t>הגרי"ז</w:t>
      </w:r>
      <w:r>
        <w:rPr>
          <w:rFonts w:hint="cs"/>
          <w:rtl/>
        </w:rPr>
        <w:t xml:space="preserve"> ד</w:t>
      </w:r>
      <w:r w:rsidRPr="006712B3">
        <w:rPr>
          <w:rFonts w:hint="cs"/>
          <w:rtl/>
        </w:rPr>
        <w:t>אין היתר מדין הלך אחר הרוב, דכיון שהאיסור עצמו לא התבטל כלל, ממילא הוא אוסר את כל התערובת מדין טעם כעיקר.</w:t>
      </w:r>
      <w:r>
        <w:rPr>
          <w:rFonts w:hint="cs"/>
          <w:rtl/>
        </w:rPr>
        <w:t xml:space="preserve"> </w:t>
      </w:r>
      <w:r w:rsidRPr="00BB0725">
        <w:rPr>
          <w:rStyle w:val="afa"/>
          <w:rFonts w:hint="cs"/>
          <w:rtl/>
        </w:rPr>
        <w:t xml:space="preserve">[ועיי"ש במה שביאר </w:t>
      </w:r>
      <w:r w:rsidRPr="00BB0725">
        <w:rPr>
          <w:rStyle w:val="affa"/>
          <w:rFonts w:hint="cs"/>
          <w:rtl/>
        </w:rPr>
        <w:t>בתורת זרעים</w:t>
      </w:r>
      <w:r w:rsidRPr="00BB0725">
        <w:rPr>
          <w:rStyle w:val="afa"/>
          <w:rFonts w:hint="cs"/>
          <w:rtl/>
        </w:rPr>
        <w:t xml:space="preserve"> </w:t>
      </w:r>
      <w:r w:rsidRPr="00BB0725">
        <w:rPr>
          <w:rStyle w:val="aff6"/>
          <w:rFonts w:hint="cs"/>
          <w:rtl/>
        </w:rPr>
        <w:t xml:space="preserve">(הובא בסימן י"ז אות ק"ח) </w:t>
      </w:r>
      <w:r w:rsidRPr="00BB0725">
        <w:rPr>
          <w:rStyle w:val="afa"/>
          <w:rFonts w:hint="cs"/>
          <w:rtl/>
        </w:rPr>
        <w:t xml:space="preserve">בשם </w:t>
      </w:r>
      <w:r w:rsidRPr="00BB0725">
        <w:rPr>
          <w:rStyle w:val="affa"/>
          <w:rFonts w:hint="cs"/>
          <w:rtl/>
        </w:rPr>
        <w:t>הגרי"ז</w:t>
      </w:r>
      <w:r w:rsidRPr="00BB0725">
        <w:rPr>
          <w:rStyle w:val="afa"/>
          <w:rFonts w:hint="cs"/>
          <w:rtl/>
        </w:rPr>
        <w:t xml:space="preserve"> בדעת </w:t>
      </w:r>
      <w:r w:rsidRPr="00BB0725">
        <w:rPr>
          <w:rStyle w:val="affa"/>
          <w:rFonts w:hint="cs"/>
          <w:rtl/>
        </w:rPr>
        <w:t>הרשב"א</w:t>
      </w:r>
      <w:r w:rsidRPr="00BB0725">
        <w:rPr>
          <w:rStyle w:val="afa"/>
          <w:rFonts w:hint="cs"/>
          <w:rtl/>
        </w:rPr>
        <w:t xml:space="preserve"> דאסר לאכול את כל התערובת בבת אחת, והתיר בזה אחר זה].</w:t>
      </w:r>
      <w:bookmarkEnd w:id="14643"/>
    </w:p>
    <w:p w:rsidR="00F13472" w:rsidRPr="006264A5" w:rsidRDefault="00F13472" w:rsidP="00F13472">
      <w:pPr>
        <w:pStyle w:val="afd"/>
        <w:rPr>
          <w:rtl/>
        </w:rPr>
      </w:pPr>
      <w:bookmarkStart w:id="14644" w:name="_Toc24918201"/>
      <w:bookmarkStart w:id="14645" w:name="_Toc24918410"/>
      <w:r>
        <w:rPr>
          <w:rFonts w:hint="cs"/>
          <w:rtl/>
        </w:rPr>
        <w:t>בדעת הרא"ש דבחזר ובישל מותר</w:t>
      </w:r>
      <w:bookmarkEnd w:id="14644"/>
      <w:bookmarkEnd w:id="14645"/>
    </w:p>
    <w:p w:rsidR="00F13472" w:rsidRPr="006712B3" w:rsidRDefault="00F13472" w:rsidP="00F13472">
      <w:pPr>
        <w:pStyle w:val="1"/>
        <w:rPr>
          <w:rtl/>
        </w:rPr>
      </w:pPr>
      <w:bookmarkStart w:id="14646" w:name="_Toc24403409"/>
      <w:bookmarkStart w:id="14647" w:name="_Toc24455877"/>
      <w:bookmarkStart w:id="14648" w:name="_Toc24576870"/>
      <w:bookmarkStart w:id="14649" w:name="_Toc24709454"/>
      <w:bookmarkStart w:id="14650" w:name="_Toc24839065"/>
      <w:bookmarkStart w:id="14651" w:name="_Toc24918202"/>
      <w:bookmarkStart w:id="14652" w:name="_Toc24918411"/>
      <w:r w:rsidRPr="006712B3">
        <w:rPr>
          <w:rFonts w:hint="cs"/>
          <w:rtl/>
        </w:rPr>
        <w:t>ביאור השער"י ברא"ש דא"א להתיר ביבש ולאסור כשיתבשל</w:t>
      </w:r>
      <w:bookmarkEnd w:id="14646"/>
      <w:bookmarkEnd w:id="14647"/>
      <w:bookmarkEnd w:id="14648"/>
      <w:bookmarkEnd w:id="14649"/>
      <w:bookmarkEnd w:id="14650"/>
      <w:bookmarkEnd w:id="14651"/>
      <w:bookmarkEnd w:id="14652"/>
    </w:p>
    <w:p w:rsidR="00F13472" w:rsidRPr="006712B3" w:rsidRDefault="00F13472" w:rsidP="00F13472">
      <w:pPr>
        <w:pStyle w:val="a2"/>
        <w:rPr>
          <w:rtl/>
        </w:rPr>
      </w:pPr>
      <w:bookmarkStart w:id="14653" w:name="_Toc24403410"/>
      <w:bookmarkStart w:id="14654" w:name="_Toc24455878"/>
      <w:bookmarkStart w:id="14655" w:name="_Toc24576871"/>
      <w:bookmarkStart w:id="14656" w:name="_Toc24709455"/>
      <w:bookmarkStart w:id="14657" w:name="_Toc24839066"/>
      <w:bookmarkStart w:id="14658" w:name="_Toc24918203"/>
      <w:bookmarkStart w:id="14659" w:name="_Toc24918412"/>
      <w:r w:rsidRPr="006712B3">
        <w:rPr>
          <w:rFonts w:hint="cs"/>
          <w:rtl/>
        </w:rPr>
        <w:t>ביאור השער"י בקושית הרא"ש דאי ביבש מותר ובבישול אסור אטו אינו מינו הוי חוכא</w:t>
      </w:r>
      <w:bookmarkEnd w:id="14653"/>
      <w:bookmarkEnd w:id="14654"/>
      <w:bookmarkEnd w:id="14655"/>
      <w:bookmarkEnd w:id="14656"/>
      <w:bookmarkEnd w:id="14657"/>
      <w:bookmarkEnd w:id="14658"/>
      <w:bookmarkEnd w:id="14659"/>
    </w:p>
    <w:p w:rsidR="00F13472" w:rsidRPr="006712B3" w:rsidRDefault="00F13472" w:rsidP="009F44AF">
      <w:pPr>
        <w:pStyle w:val="a"/>
        <w:rPr>
          <w:rtl/>
        </w:rPr>
      </w:pPr>
      <w:r>
        <w:rPr>
          <w:rFonts w:hint="cs"/>
          <w:rtl/>
        </w:rPr>
        <w:t>במה</w:t>
      </w:r>
      <w:r w:rsidRPr="006712B3">
        <w:rPr>
          <w:rFonts w:hint="cs"/>
          <w:rtl/>
        </w:rPr>
        <w:t xml:space="preserve"> שהקשה </w:t>
      </w:r>
      <w:r w:rsidRPr="006712B3">
        <w:rPr>
          <w:rStyle w:val="af8"/>
          <w:rFonts w:hint="cs"/>
          <w:rtl/>
        </w:rPr>
        <w:t>הרא"ש</w:t>
      </w:r>
      <w:r w:rsidRPr="006712B3">
        <w:rPr>
          <w:rStyle w:val="af6"/>
          <w:rFonts w:eastAsia="Guttman Hodes" w:hint="cs"/>
          <w:rtl/>
        </w:rPr>
        <w:t xml:space="preserve"> (עי' אות </w:t>
      </w:r>
      <w:r w:rsidRPr="006712B3">
        <w:rPr>
          <w:rStyle w:val="af6"/>
          <w:rFonts w:eastAsia="Guttman Hodes"/>
          <w:rtl/>
        </w:rPr>
        <w:fldChar w:fldCharType="begin"/>
      </w:r>
      <w:r w:rsidRPr="006712B3">
        <w:rPr>
          <w:rStyle w:val="af6"/>
          <w:rFonts w:eastAsia="Guttman Hodes"/>
          <w:rtl/>
        </w:rPr>
        <w:instrText xml:space="preserve"> </w:instrText>
      </w:r>
      <w:r w:rsidRPr="006712B3">
        <w:rPr>
          <w:rStyle w:val="af6"/>
          <w:rFonts w:eastAsia="Guttman Hodes" w:hint="cs"/>
        </w:rPr>
        <w:instrText>REF</w:instrText>
      </w:r>
      <w:r w:rsidRPr="006712B3">
        <w:rPr>
          <w:rStyle w:val="af6"/>
          <w:rFonts w:eastAsia="Guttman Hodes" w:hint="cs"/>
          <w:rtl/>
        </w:rPr>
        <w:instrText xml:space="preserve"> _</w:instrText>
      </w:r>
      <w:r w:rsidRPr="006712B3">
        <w:rPr>
          <w:rStyle w:val="af6"/>
          <w:rFonts w:eastAsia="Guttman Hodes" w:hint="cs"/>
        </w:rPr>
        <w:instrText>Ref23959069 \r \h</w:instrText>
      </w:r>
      <w:r w:rsidRPr="006712B3">
        <w:rPr>
          <w:rStyle w:val="af6"/>
          <w:rFonts w:eastAsia="Guttman Hodes"/>
          <w:rtl/>
        </w:rPr>
        <w:instrText xml:space="preserve">  \* </w:instrText>
      </w:r>
      <w:r w:rsidRPr="006712B3">
        <w:rPr>
          <w:rStyle w:val="af6"/>
          <w:rFonts w:eastAsia="Guttman Hodes"/>
        </w:rPr>
        <w:instrText>MERGEFORMAT</w:instrText>
      </w:r>
      <w:r w:rsidRPr="006712B3">
        <w:rPr>
          <w:rStyle w:val="af6"/>
          <w:rFonts w:eastAsia="Guttman Hodes"/>
          <w:rtl/>
        </w:rPr>
        <w:instrText xml:space="preserve"> </w:instrText>
      </w:r>
      <w:r w:rsidRPr="006712B3">
        <w:rPr>
          <w:rStyle w:val="af6"/>
          <w:rFonts w:eastAsia="Guttman Hodes"/>
          <w:rtl/>
        </w:rPr>
      </w:r>
      <w:r w:rsidRPr="006712B3">
        <w:rPr>
          <w:rStyle w:val="af6"/>
          <w:rFonts w:eastAsia="Guttman Hodes"/>
          <w:rtl/>
        </w:rPr>
        <w:fldChar w:fldCharType="separate"/>
      </w:r>
      <w:r w:rsidR="004D1C5B">
        <w:rPr>
          <w:rStyle w:val="af6"/>
          <w:rFonts w:eastAsia="Guttman Hodes"/>
          <w:cs/>
        </w:rPr>
        <w:t>‎</w:t>
      </w:r>
      <w:r w:rsidR="004D1C5B">
        <w:rPr>
          <w:rStyle w:val="af6"/>
          <w:rFonts w:eastAsia="Guttman Hodes"/>
          <w:rtl/>
        </w:rPr>
        <w:t>מד)</w:t>
      </w:r>
      <w:r w:rsidRPr="006712B3">
        <w:rPr>
          <w:rStyle w:val="af6"/>
          <w:rFonts w:eastAsia="Guttman Hodes"/>
          <w:rtl/>
        </w:rPr>
        <w:fldChar w:fldCharType="end"/>
      </w:r>
      <w:r>
        <w:rPr>
          <w:rFonts w:hint="cs"/>
          <w:rtl/>
        </w:rPr>
        <w:t xml:space="preserve"> </w:t>
      </w:r>
      <w:r w:rsidRPr="006712B3">
        <w:rPr>
          <w:rFonts w:hint="cs"/>
          <w:rtl/>
        </w:rPr>
        <w:t xml:space="preserve">על </w:t>
      </w:r>
      <w:r w:rsidRPr="006712B3">
        <w:rPr>
          <w:rStyle w:val="af8"/>
          <w:rFonts w:hint="cs"/>
          <w:rtl/>
        </w:rPr>
        <w:t>הרשב"א</w:t>
      </w:r>
      <w:r w:rsidRPr="006712B3">
        <w:rPr>
          <w:rFonts w:hint="cs"/>
          <w:rtl/>
        </w:rPr>
        <w:t xml:space="preserve"> דלא יתכן להתיר ביבש ולאסור כשיתבשל אח"כ, דלא מצינו דבר שמותר לאוכלו וצירו יהיה אסור, ביאר </w:t>
      </w:r>
      <w:r w:rsidRPr="006712B3">
        <w:rPr>
          <w:rStyle w:val="af8"/>
          <w:rFonts w:hint="cs"/>
          <w:rtl/>
        </w:rPr>
        <w:t>השער"י</w:t>
      </w:r>
      <w:r w:rsidRPr="006712B3">
        <w:rPr>
          <w:rFonts w:hint="cs"/>
          <w:rtl/>
        </w:rPr>
        <w:t xml:space="preserve"> </w:t>
      </w:r>
      <w:r w:rsidRPr="006712B3">
        <w:rPr>
          <w:rStyle w:val="af6"/>
          <w:rFonts w:eastAsia="Guttman Hodes" w:hint="cs"/>
          <w:rtl/>
        </w:rPr>
        <w:t>(ש"ג פ"ט ד"ה וע"כ נלענ"ד)</w:t>
      </w:r>
      <w:r w:rsidRPr="006712B3">
        <w:rPr>
          <w:rFonts w:hint="cs"/>
          <w:rtl/>
        </w:rPr>
        <w:t xml:space="preserve"> דכיון דיבש ביבש מותר ברוב דחד בתרי, וא"כ כשיחזור ויבשל את התערובת, ותעשה התערובת ללח בלח היא תאסר מחמת הגזירה למין בשאינו מינו, א"כ לא שייך להתיר אף ביבש ביבש דיהיו דברי חכמים כחוכא דאחר שהתבטל האיסור והותר, הוא חוזר ונאסר, ולכן הוצרך </w:t>
      </w:r>
      <w:r w:rsidRPr="006712B3">
        <w:rPr>
          <w:rStyle w:val="af8"/>
          <w:rFonts w:hint="cs"/>
          <w:rtl/>
        </w:rPr>
        <w:t>הרא"ש</w:t>
      </w:r>
      <w:r w:rsidRPr="006712B3">
        <w:rPr>
          <w:rFonts w:hint="cs"/>
          <w:rtl/>
        </w:rPr>
        <w:t xml:space="preserve"> </w:t>
      </w:r>
      <w:r w:rsidRPr="006712B3">
        <w:rPr>
          <w:rStyle w:val="af6"/>
          <w:rFonts w:eastAsia="Guttman Hodes" w:hint="cs"/>
          <w:rtl/>
        </w:rPr>
        <w:t xml:space="preserve">(עי' אות </w:t>
      </w:r>
      <w:r w:rsidRPr="006712B3">
        <w:rPr>
          <w:rStyle w:val="af6"/>
          <w:rFonts w:eastAsia="Guttman Hodes"/>
          <w:rtl/>
        </w:rPr>
        <w:fldChar w:fldCharType="begin"/>
      </w:r>
      <w:r w:rsidRPr="006712B3">
        <w:rPr>
          <w:rStyle w:val="af6"/>
          <w:rFonts w:eastAsia="Guttman Hodes"/>
          <w:rtl/>
        </w:rPr>
        <w:instrText xml:space="preserve"> </w:instrText>
      </w:r>
      <w:r w:rsidRPr="006712B3">
        <w:rPr>
          <w:rStyle w:val="af6"/>
          <w:rFonts w:eastAsia="Guttman Hodes" w:hint="cs"/>
        </w:rPr>
        <w:instrText>REF</w:instrText>
      </w:r>
      <w:r w:rsidRPr="006712B3">
        <w:rPr>
          <w:rStyle w:val="af6"/>
          <w:rFonts w:eastAsia="Guttman Hodes" w:hint="cs"/>
          <w:rtl/>
        </w:rPr>
        <w:instrText xml:space="preserve"> _</w:instrText>
      </w:r>
      <w:r w:rsidRPr="006712B3">
        <w:rPr>
          <w:rStyle w:val="af6"/>
          <w:rFonts w:eastAsia="Guttman Hodes" w:hint="cs"/>
        </w:rPr>
        <w:instrText>Ref23930494 \r \h</w:instrText>
      </w:r>
      <w:r w:rsidRPr="006712B3">
        <w:rPr>
          <w:rStyle w:val="af6"/>
          <w:rFonts w:eastAsia="Guttman Hodes"/>
          <w:rtl/>
        </w:rPr>
        <w:instrText xml:space="preserve">  \* </w:instrText>
      </w:r>
      <w:r w:rsidRPr="006712B3">
        <w:rPr>
          <w:rStyle w:val="af6"/>
          <w:rFonts w:eastAsia="Guttman Hodes"/>
        </w:rPr>
        <w:instrText>MERGEFORMAT</w:instrText>
      </w:r>
      <w:r w:rsidRPr="006712B3">
        <w:rPr>
          <w:rStyle w:val="af6"/>
          <w:rFonts w:eastAsia="Guttman Hodes"/>
          <w:rtl/>
        </w:rPr>
        <w:instrText xml:space="preserve"> </w:instrText>
      </w:r>
      <w:r w:rsidRPr="006712B3">
        <w:rPr>
          <w:rStyle w:val="af6"/>
          <w:rFonts w:eastAsia="Guttman Hodes"/>
          <w:rtl/>
        </w:rPr>
      </w:r>
      <w:r w:rsidRPr="006712B3">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6712B3">
        <w:rPr>
          <w:rStyle w:val="af6"/>
          <w:rFonts w:eastAsia="Guttman Hodes"/>
          <w:rtl/>
        </w:rPr>
        <w:fldChar w:fldCharType="end"/>
      </w:r>
      <w:r w:rsidRPr="006712B3">
        <w:rPr>
          <w:rFonts w:hint="cs"/>
          <w:rtl/>
        </w:rPr>
        <w:t xml:space="preserve"> לבאר דבאמת אף כשחזר ובישל מותר.</w:t>
      </w:r>
    </w:p>
    <w:p w:rsidR="00F13472" w:rsidRPr="006712B3" w:rsidRDefault="00F13472" w:rsidP="00F13472">
      <w:pPr>
        <w:pStyle w:val="a2"/>
      </w:pPr>
      <w:bookmarkStart w:id="14660" w:name="_Toc24403411"/>
      <w:bookmarkStart w:id="14661" w:name="_Toc24455879"/>
      <w:bookmarkStart w:id="14662" w:name="_Toc24576872"/>
      <w:bookmarkStart w:id="14663" w:name="_Toc24709456"/>
      <w:bookmarkStart w:id="14664" w:name="_Toc24839067"/>
      <w:bookmarkStart w:id="14665" w:name="_Toc24918204"/>
      <w:bookmarkStart w:id="14666" w:name="_Toc24918413"/>
      <w:r w:rsidRPr="006712B3">
        <w:rPr>
          <w:rFonts w:hint="cs"/>
          <w:rtl/>
        </w:rPr>
        <w:t>ביאור השער"י דבחזר ובישל לא גזרו אטו אינו מינו דהשוו מידותיהם דאף פליטתו מותרת לגמרי</w:t>
      </w:r>
      <w:bookmarkEnd w:id="14660"/>
      <w:bookmarkEnd w:id="14661"/>
      <w:bookmarkEnd w:id="14662"/>
      <w:bookmarkEnd w:id="14663"/>
      <w:bookmarkEnd w:id="14664"/>
      <w:bookmarkEnd w:id="14665"/>
      <w:bookmarkEnd w:id="14666"/>
    </w:p>
    <w:p w:rsidR="00F13472" w:rsidRDefault="00F13472" w:rsidP="009F44AF">
      <w:pPr>
        <w:pStyle w:val="a"/>
        <w:rPr>
          <w:rtl/>
        </w:rPr>
      </w:pPr>
      <w:r w:rsidRPr="006712B3">
        <w:rPr>
          <w:rFonts w:hint="cs"/>
          <w:rtl/>
        </w:rPr>
        <w:t xml:space="preserve">והביא </w:t>
      </w:r>
      <w:r w:rsidRPr="006712B3">
        <w:rPr>
          <w:rStyle w:val="af8"/>
          <w:rFonts w:hint="cs"/>
          <w:rtl/>
        </w:rPr>
        <w:t>השער"י</w:t>
      </w:r>
      <w:r w:rsidRPr="006712B3">
        <w:rPr>
          <w:rFonts w:hint="cs"/>
          <w:rtl/>
        </w:rPr>
        <w:t xml:space="preserve"> את דברי </w:t>
      </w:r>
      <w:r w:rsidRPr="006712B3">
        <w:rPr>
          <w:rStyle w:val="af8"/>
          <w:rFonts w:hint="cs"/>
          <w:rtl/>
        </w:rPr>
        <w:t>היש"ש</w:t>
      </w:r>
      <w:r w:rsidRPr="006712B3">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Ref24906012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מא)</w:t>
      </w:r>
      <w:r>
        <w:rPr>
          <w:rStyle w:val="af6"/>
          <w:rFonts w:eastAsia="Guttman Hodes"/>
          <w:rtl/>
        </w:rPr>
        <w:fldChar w:fldCharType="end"/>
      </w:r>
      <w:r w:rsidRPr="006712B3">
        <w:rPr>
          <w:rStyle w:val="af6"/>
          <w:rFonts w:eastAsia="Guttman Hodes" w:hint="cs"/>
          <w:rtl/>
        </w:rPr>
        <w:t xml:space="preserve"> </w:t>
      </w:r>
      <w:r w:rsidRPr="006712B3">
        <w:rPr>
          <w:rFonts w:hint="cs"/>
          <w:rtl/>
        </w:rPr>
        <w:t xml:space="preserve">שהקשה על </w:t>
      </w:r>
      <w:r w:rsidRPr="006712B3">
        <w:rPr>
          <w:rStyle w:val="af8"/>
          <w:rFonts w:hint="cs"/>
          <w:rtl/>
        </w:rPr>
        <w:t>הרא"ש</w:t>
      </w:r>
      <w:r w:rsidRPr="006712B3">
        <w:rPr>
          <w:rFonts w:hint="cs"/>
          <w:rtl/>
        </w:rPr>
        <w:t xml:space="preserve"> דבחזר ובישל עדיין צריך לגזור ולאסור מחמת הגזירה דאטו מין בשאינו מינו, ביאר </w:t>
      </w:r>
      <w:r w:rsidRPr="006712B3">
        <w:rPr>
          <w:rStyle w:val="af8"/>
          <w:rFonts w:hint="cs"/>
          <w:rtl/>
        </w:rPr>
        <w:t>השער"י</w:t>
      </w:r>
      <w:r w:rsidRPr="006712B3">
        <w:rPr>
          <w:rFonts w:hint="cs"/>
          <w:rtl/>
        </w:rPr>
        <w:t xml:space="preserve"> דס"ל </w:t>
      </w:r>
      <w:r w:rsidRPr="006712B3">
        <w:rPr>
          <w:rStyle w:val="af8"/>
          <w:rFonts w:hint="cs"/>
          <w:rtl/>
        </w:rPr>
        <w:t>להרא"ש</w:t>
      </w:r>
      <w:r w:rsidRPr="006712B3">
        <w:rPr>
          <w:rFonts w:hint="cs"/>
          <w:rtl/>
        </w:rPr>
        <w:t xml:space="preserve"> דמ"מ השוו חכמים מידותיהם, כדי שלא יהיו דבריהם כחוכא, ולכן החשיבו רבנן את הביטול ביבש ביבש, כאילו האיסור הוא מותר לגמרי, שהאיסור נהפך להיות היתר, ולכן אף כשחזר ובישלו אינו חוזר ונאסר, דאף פליטת האיסור מותרת</w:t>
      </w:r>
      <w:bookmarkStart w:id="14667" w:name="_Ref25784758"/>
      <w:r>
        <w:rPr>
          <w:rStyle w:val="af0"/>
          <w:rtl/>
        </w:rPr>
        <w:footnoteReference w:id="76"/>
      </w:r>
      <w:bookmarkEnd w:id="14667"/>
      <w:r w:rsidRPr="006712B3">
        <w:rPr>
          <w:rFonts w:hint="cs"/>
          <w:rtl/>
        </w:rPr>
        <w:t>.</w:t>
      </w:r>
    </w:p>
    <w:p w:rsidR="00F13472" w:rsidRDefault="00F13472" w:rsidP="00F13472">
      <w:pPr>
        <w:pStyle w:val="afd"/>
        <w:rPr>
          <w:rtl/>
        </w:rPr>
      </w:pPr>
      <w:bookmarkStart w:id="14668" w:name="_Toc24918205"/>
      <w:bookmarkStart w:id="14669" w:name="_Toc24918414"/>
      <w:r>
        <w:rPr>
          <w:rFonts w:hint="cs"/>
          <w:rtl/>
        </w:rPr>
        <w:t>בביאור דין לא נודעה התערובת</w:t>
      </w:r>
      <w:bookmarkEnd w:id="14668"/>
      <w:bookmarkEnd w:id="14669"/>
    </w:p>
    <w:p w:rsidR="00F13472" w:rsidRDefault="00F13472" w:rsidP="00F13472">
      <w:pPr>
        <w:pStyle w:val="1"/>
        <w:rPr>
          <w:rtl/>
        </w:rPr>
      </w:pPr>
      <w:bookmarkStart w:id="14670" w:name="_Toc24918206"/>
      <w:bookmarkStart w:id="14671" w:name="_Toc24918415"/>
      <w:r>
        <w:rPr>
          <w:rFonts w:hint="cs"/>
          <w:rtl/>
        </w:rPr>
        <w:t>דברי השער"י</w:t>
      </w:r>
      <w:bookmarkEnd w:id="14670"/>
      <w:bookmarkEnd w:id="14671"/>
      <w:r>
        <w:rPr>
          <w:rFonts w:hint="cs"/>
          <w:rtl/>
        </w:rPr>
        <w:t xml:space="preserve"> דהיה אפש"ל דבלא נודעה לא חשיב תערובת</w:t>
      </w:r>
    </w:p>
    <w:p w:rsidR="00F13472" w:rsidRDefault="00F13472" w:rsidP="00F13472">
      <w:pPr>
        <w:pStyle w:val="a2"/>
        <w:rPr>
          <w:rtl/>
        </w:rPr>
      </w:pPr>
      <w:bookmarkStart w:id="14672" w:name="_Toc24918207"/>
      <w:bookmarkStart w:id="14673" w:name="_Toc24918416"/>
      <w:r>
        <w:rPr>
          <w:rFonts w:hint="cs"/>
          <w:rtl/>
        </w:rPr>
        <w:t>דברי השער"י דדין ביטול ברוב הוא דדין הרוב של ההיתר מבטל את דין המיעוט של האיסור</w:t>
      </w:r>
      <w:bookmarkEnd w:id="14672"/>
      <w:bookmarkEnd w:id="14673"/>
    </w:p>
    <w:p w:rsidR="00F13472" w:rsidRDefault="00F13472" w:rsidP="009F44AF">
      <w:pPr>
        <w:pStyle w:val="a"/>
        <w:rPr>
          <w:rtl/>
        </w:rPr>
      </w:pPr>
      <w:bookmarkStart w:id="14674" w:name="_Ref24910986"/>
      <w:bookmarkStart w:id="14675" w:name="_Toc23712693"/>
      <w:bookmarkStart w:id="14676" w:name="_Toc23799308"/>
      <w:bookmarkStart w:id="14677" w:name="_Toc23850508"/>
      <w:bookmarkStart w:id="14678" w:name="_Toc23887401"/>
      <w:bookmarkStart w:id="14679" w:name="_Toc23945779"/>
      <w:bookmarkStart w:id="14680" w:name="_Toc23960384"/>
      <w:bookmarkStart w:id="14681" w:name="_Toc23972221"/>
      <w:bookmarkStart w:id="14682" w:name="_Toc23984409"/>
      <w:bookmarkStart w:id="14683" w:name="_Toc24403416"/>
      <w:bookmarkStart w:id="14684" w:name="_Toc24455884"/>
      <w:bookmarkStart w:id="14685" w:name="_Toc24576877"/>
      <w:bookmarkStart w:id="14686" w:name="_Toc24709461"/>
      <w:bookmarkStart w:id="14687" w:name="_Toc24839072"/>
      <w:r>
        <w:rPr>
          <w:rFonts w:hint="cs"/>
          <w:rtl/>
        </w:rPr>
        <w:t xml:space="preserve">בביאור דעת </w:t>
      </w:r>
      <w:r w:rsidRPr="00A67722">
        <w:rPr>
          <w:rStyle w:val="af8"/>
          <w:rFonts w:hint="cs"/>
          <w:rtl/>
        </w:rPr>
        <w:t>הש"ך</w:t>
      </w:r>
      <w:r>
        <w:rPr>
          <w:rFonts w:hint="cs"/>
          <w:rtl/>
        </w:rPr>
        <w:t xml:space="preserve"> </w:t>
      </w:r>
      <w:r w:rsidRPr="0095799A">
        <w:rPr>
          <w:rStyle w:val="af6"/>
          <w:rFonts w:eastAsia="Guttman Hodes" w:hint="cs"/>
          <w:rtl/>
        </w:rPr>
        <w:t xml:space="preserve">(עי' אות </w:t>
      </w:r>
      <w:r w:rsidRPr="0095799A">
        <w:rPr>
          <w:rStyle w:val="af6"/>
          <w:rFonts w:eastAsia="Guttman Hodes"/>
          <w:rtl/>
        </w:rPr>
        <w:fldChar w:fldCharType="begin"/>
      </w:r>
      <w:r w:rsidRPr="0095799A">
        <w:rPr>
          <w:rStyle w:val="af6"/>
          <w:rFonts w:eastAsia="Guttman Hodes"/>
          <w:rtl/>
        </w:rPr>
        <w:instrText xml:space="preserve"> </w:instrText>
      </w:r>
      <w:r w:rsidRPr="0095799A">
        <w:rPr>
          <w:rStyle w:val="af6"/>
          <w:rFonts w:eastAsia="Guttman Hodes" w:hint="cs"/>
        </w:rPr>
        <w:instrText>REF</w:instrText>
      </w:r>
      <w:r w:rsidRPr="0095799A">
        <w:rPr>
          <w:rStyle w:val="af6"/>
          <w:rFonts w:eastAsia="Guttman Hodes" w:hint="cs"/>
          <w:rtl/>
        </w:rPr>
        <w:instrText xml:space="preserve"> _</w:instrText>
      </w:r>
      <w:r w:rsidRPr="0095799A">
        <w:rPr>
          <w:rStyle w:val="af6"/>
          <w:rFonts w:eastAsia="Guttman Hodes" w:hint="cs"/>
        </w:rPr>
        <w:instrText>Ref24836789 \r \h</w:instrText>
      </w:r>
      <w:r w:rsidRPr="0095799A">
        <w:rPr>
          <w:rStyle w:val="af6"/>
          <w:rFonts w:eastAsia="Guttman Hodes"/>
          <w:rtl/>
        </w:rPr>
        <w:instrText xml:space="preserve"> </w:instrText>
      </w:r>
      <w:r w:rsidRPr="0095799A">
        <w:rPr>
          <w:rStyle w:val="af6"/>
          <w:rFonts w:eastAsia="Guttman Hodes"/>
          <w:rtl/>
        </w:rPr>
      </w:r>
      <w:r w:rsidRPr="0095799A">
        <w:rPr>
          <w:rStyle w:val="af6"/>
          <w:rFonts w:eastAsia="Guttman Hodes"/>
          <w:rtl/>
        </w:rPr>
        <w:fldChar w:fldCharType="separate"/>
      </w:r>
      <w:r w:rsidR="004D1C5B">
        <w:rPr>
          <w:rStyle w:val="af6"/>
          <w:rFonts w:eastAsia="Guttman Hodes"/>
          <w:cs/>
        </w:rPr>
        <w:t>‎</w:t>
      </w:r>
      <w:r w:rsidR="004D1C5B">
        <w:rPr>
          <w:rStyle w:val="af6"/>
          <w:rFonts w:eastAsia="Guttman Hodes"/>
          <w:rtl/>
        </w:rPr>
        <w:t>נה)</w:t>
      </w:r>
      <w:r w:rsidRPr="0095799A">
        <w:rPr>
          <w:rStyle w:val="af6"/>
          <w:rFonts w:eastAsia="Guttman Hodes"/>
          <w:rtl/>
        </w:rPr>
        <w:fldChar w:fldCharType="end"/>
      </w:r>
      <w:r w:rsidRPr="0095799A">
        <w:rPr>
          <w:rStyle w:val="af6"/>
          <w:rFonts w:eastAsia="Guttman Hodes" w:hint="cs"/>
          <w:rtl/>
        </w:rPr>
        <w:t xml:space="preserve"> </w:t>
      </w:r>
      <w:r>
        <w:rPr>
          <w:rStyle w:val="af8"/>
          <w:rFonts w:hint="cs"/>
          <w:rtl/>
        </w:rPr>
        <w:t>ו</w:t>
      </w:r>
      <w:r w:rsidRPr="000D41F1">
        <w:rPr>
          <w:rStyle w:val="af8"/>
          <w:rFonts w:hint="cs"/>
          <w:rtl/>
        </w:rPr>
        <w:t>הפר"ח</w:t>
      </w:r>
      <w:r>
        <w:rPr>
          <w:rFonts w:hint="cs"/>
          <w:rtl/>
        </w:rPr>
        <w:t xml:space="preserve"> </w:t>
      </w:r>
      <w:r w:rsidRPr="000D41F1">
        <w:rPr>
          <w:rStyle w:val="af6"/>
          <w:rFonts w:eastAsia="Guttman Hodes" w:hint="cs"/>
          <w:rtl/>
        </w:rPr>
        <w:t xml:space="preserve">(עי' אות </w:t>
      </w:r>
      <w:r w:rsidRPr="000D41F1">
        <w:rPr>
          <w:rStyle w:val="af6"/>
          <w:rFonts w:eastAsia="Guttman Hodes"/>
          <w:rtl/>
        </w:rPr>
        <w:fldChar w:fldCharType="begin"/>
      </w:r>
      <w:r w:rsidRPr="000D41F1">
        <w:rPr>
          <w:rStyle w:val="af6"/>
          <w:rFonts w:eastAsia="Guttman Hodes"/>
          <w:rtl/>
        </w:rPr>
        <w:instrText xml:space="preserve"> </w:instrText>
      </w:r>
      <w:r w:rsidRPr="000D41F1">
        <w:rPr>
          <w:rStyle w:val="af6"/>
          <w:rFonts w:eastAsia="Guttman Hodes" w:hint="cs"/>
        </w:rPr>
        <w:instrText>REF</w:instrText>
      </w:r>
      <w:r w:rsidRPr="000D41F1">
        <w:rPr>
          <w:rStyle w:val="af6"/>
          <w:rFonts w:eastAsia="Guttman Hodes" w:hint="cs"/>
          <w:rtl/>
        </w:rPr>
        <w:instrText xml:space="preserve"> _</w:instrText>
      </w:r>
      <w:r w:rsidRPr="000D41F1">
        <w:rPr>
          <w:rStyle w:val="af6"/>
          <w:rFonts w:eastAsia="Guttman Hodes" w:hint="cs"/>
        </w:rPr>
        <w:instrText>Ref24838651 \r \h</w:instrText>
      </w:r>
      <w:r w:rsidRPr="000D41F1">
        <w:rPr>
          <w:rStyle w:val="af6"/>
          <w:rFonts w:eastAsia="Guttman Hodes"/>
          <w:rtl/>
        </w:rPr>
        <w:instrText xml:space="preserve"> </w:instrText>
      </w:r>
      <w:r w:rsidRPr="000D41F1">
        <w:rPr>
          <w:rStyle w:val="af6"/>
          <w:rFonts w:eastAsia="Guttman Hodes"/>
          <w:rtl/>
        </w:rPr>
      </w:r>
      <w:r w:rsidRPr="000D41F1">
        <w:rPr>
          <w:rStyle w:val="af6"/>
          <w:rFonts w:eastAsia="Guttman Hodes"/>
          <w:rtl/>
        </w:rPr>
        <w:fldChar w:fldCharType="separate"/>
      </w:r>
      <w:r w:rsidR="004D1C5B">
        <w:rPr>
          <w:rStyle w:val="af6"/>
          <w:rFonts w:eastAsia="Guttman Hodes"/>
          <w:cs/>
        </w:rPr>
        <w:t>‎</w:t>
      </w:r>
      <w:r w:rsidR="004D1C5B">
        <w:rPr>
          <w:rStyle w:val="af6"/>
          <w:rFonts w:eastAsia="Guttman Hodes"/>
          <w:rtl/>
        </w:rPr>
        <w:t>נד)</w:t>
      </w:r>
      <w:r w:rsidRPr="000D41F1">
        <w:rPr>
          <w:rStyle w:val="af6"/>
          <w:rFonts w:eastAsia="Guttman Hodes"/>
          <w:rtl/>
        </w:rPr>
        <w:fldChar w:fldCharType="end"/>
      </w:r>
      <w:r>
        <w:rPr>
          <w:rFonts w:hint="cs"/>
          <w:rtl/>
        </w:rPr>
        <w:t xml:space="preserve"> דבלא נודעה התערובת לא חל ביטול מדאו', כתב </w:t>
      </w:r>
      <w:r w:rsidRPr="00A67722">
        <w:rPr>
          <w:rStyle w:val="af8"/>
          <w:rFonts w:hint="cs"/>
          <w:rtl/>
        </w:rPr>
        <w:t>השער"י</w:t>
      </w:r>
      <w:r>
        <w:rPr>
          <w:rFonts w:hint="cs"/>
          <w:rtl/>
        </w:rPr>
        <w:t xml:space="preserve"> </w:t>
      </w:r>
      <w:r w:rsidRPr="0095799A">
        <w:rPr>
          <w:rStyle w:val="af6"/>
          <w:rFonts w:eastAsia="Guttman Hodes" w:hint="cs"/>
          <w:rtl/>
        </w:rPr>
        <w:t xml:space="preserve">(ש"ג פי"א ד"ה והנה כפי) </w:t>
      </w:r>
      <w:r>
        <w:rPr>
          <w:rFonts w:hint="cs"/>
          <w:rtl/>
        </w:rPr>
        <w:t>דיסוד ביטול ברוב הוא שחידשה תורה, שאיסור שהתערב בהיתר, כל שדין המיעוט איסור מתנגד לדין ההיתר של הרוב, אמרה תורה דאחרי רבים להטות, והדין של המיעוט בטל בדין של הרוב.</w:t>
      </w:r>
      <w:bookmarkEnd w:id="14674"/>
    </w:p>
    <w:p w:rsidR="00F13472" w:rsidRPr="00C930A1" w:rsidRDefault="00F13472" w:rsidP="00F13472">
      <w:pPr>
        <w:pStyle w:val="a2"/>
      </w:pPr>
      <w:bookmarkStart w:id="14688" w:name="_Toc24918208"/>
      <w:bookmarkStart w:id="14689" w:name="_Toc24918417"/>
      <w:r>
        <w:rPr>
          <w:rFonts w:hint="cs"/>
          <w:rtl/>
        </w:rPr>
        <w:t>דברי השער"י דביבש אפש"ל דלפני שנודעה התערובת לא חשיבא תערובת ולכן אין ביטול ברוב</w:t>
      </w:r>
      <w:bookmarkEnd w:id="14688"/>
      <w:bookmarkEnd w:id="14689"/>
    </w:p>
    <w:p w:rsidR="00F13472" w:rsidRDefault="00F13472" w:rsidP="009F44AF">
      <w:pPr>
        <w:pStyle w:val="a"/>
        <w:rPr>
          <w:rtl/>
        </w:rPr>
      </w:pPr>
      <w:r>
        <w:rPr>
          <w:rFonts w:hint="cs"/>
          <w:rtl/>
        </w:rPr>
        <w:lastRenderedPageBreak/>
        <w:t xml:space="preserve">וכתב </w:t>
      </w:r>
      <w:r w:rsidRPr="0095799A">
        <w:rPr>
          <w:rStyle w:val="af8"/>
          <w:rFonts w:hint="cs"/>
          <w:rtl/>
        </w:rPr>
        <w:t>השער"י</w:t>
      </w:r>
      <w:r>
        <w:rPr>
          <w:rFonts w:hint="cs"/>
          <w:rtl/>
        </w:rPr>
        <w:t xml:space="preserve"> דביבש ביבש שכל חתיכה עומדת בפנ"ע, אפש"ל דבלא נודעה התערובת, אי"ז נחשב שיש שם תערובת, כיון שכלפי שמיא גליא מהו ההיתר ומהו האיסור, וכיון שהתערובת היא שאדם אינו יודע מהו ההיתר ומהו האיסור, א"כ כ"מ שיש תערובת הוא רק אחר שהספק נולד לאדם, דכיון שיש ספק על כל אחת מהחתיכות אם היא מותרת או אסורה, עי"ז חשיב שיש תערובת איסור והיתר לפנינו, אבל לפני שנודעה התערובת, אין כל קשר בין חתיכת האיסור לחתיכת ההיתר, ולא שייך לומר שיש מיעוט איסור ורוב היתר, וממילא אין בזה ביטול ברוב.</w:t>
      </w:r>
    </w:p>
    <w:p w:rsidR="00F13472" w:rsidRDefault="00F13472" w:rsidP="00F13472">
      <w:pPr>
        <w:pStyle w:val="a2"/>
        <w:rPr>
          <w:rtl/>
        </w:rPr>
      </w:pPr>
      <w:bookmarkStart w:id="14690" w:name="_Toc24918209"/>
      <w:bookmarkStart w:id="14691" w:name="_Toc24918418"/>
      <w:r>
        <w:rPr>
          <w:rFonts w:hint="cs"/>
          <w:rtl/>
        </w:rPr>
        <w:t>דחיית השער"י דבלח יש תערובת לפני שנודעה התערובת ואפ"ה אין בה ביטול בלא נודעה</w:t>
      </w:r>
      <w:bookmarkEnd w:id="14690"/>
      <w:bookmarkEnd w:id="14691"/>
    </w:p>
    <w:p w:rsidR="00F13472" w:rsidRDefault="00F13472" w:rsidP="009F44AF">
      <w:pPr>
        <w:pStyle w:val="a"/>
        <w:rPr>
          <w:rtl/>
        </w:rPr>
      </w:pPr>
      <w:bookmarkStart w:id="14692" w:name="_Ref24911365"/>
      <w:r>
        <w:rPr>
          <w:rFonts w:hint="cs"/>
          <w:rtl/>
        </w:rPr>
        <w:t xml:space="preserve">אך דחה </w:t>
      </w:r>
      <w:r w:rsidRPr="0095799A">
        <w:rPr>
          <w:rStyle w:val="af8"/>
          <w:rFonts w:hint="cs"/>
          <w:rtl/>
        </w:rPr>
        <w:t>השער"י</w:t>
      </w:r>
      <w:r>
        <w:rPr>
          <w:rFonts w:hint="cs"/>
          <w:rtl/>
        </w:rPr>
        <w:t xml:space="preserve"> דא"א לומר דהא דלא מהני ביטול ברוב בלא נודעה התערובת, הוא כיון דחשיב שאין תערובת לפנינו, דהא בתערובת בלח בלח, כתב אף לפני שנודעה התערובת, יש לפנינו גוף אחד שיש בו מיעוט איסור ורוב היתר, וא"כ ודאי שיש תערובת גם בלא שיש ספק לפנינו, וכתב </w:t>
      </w:r>
      <w:r w:rsidRPr="0095799A">
        <w:rPr>
          <w:rStyle w:val="af8"/>
          <w:rFonts w:hint="cs"/>
          <w:rtl/>
        </w:rPr>
        <w:t>השער"י</w:t>
      </w:r>
      <w:r>
        <w:rPr>
          <w:rFonts w:hint="cs"/>
          <w:rtl/>
        </w:rPr>
        <w:t xml:space="preserve"> דכיון </w:t>
      </w:r>
      <w:r w:rsidRPr="0095799A">
        <w:rPr>
          <w:rStyle w:val="af8"/>
          <w:rFonts w:hint="cs"/>
          <w:rtl/>
        </w:rPr>
        <w:t>דהראשונים</w:t>
      </w:r>
      <w:r>
        <w:rPr>
          <w:rFonts w:hint="cs"/>
          <w:rtl/>
        </w:rPr>
        <w:t xml:space="preserve"> לא חילקו בנודעה התערובת בין יבש לבין לח, א"כ מבואר דאי"ז הטעם דלא מהני ביטול ברוב כשלא נודעה התערובת. [ועי' בדברי </w:t>
      </w:r>
      <w:r w:rsidRPr="004706CC">
        <w:rPr>
          <w:rStyle w:val="af8"/>
          <w:rFonts w:hint="cs"/>
          <w:rtl/>
        </w:rPr>
        <w:t>הנפש חיה</w:t>
      </w:r>
      <w:r>
        <w:rPr>
          <w:rFonts w:hint="cs"/>
          <w:rtl/>
        </w:rPr>
        <w:t xml:space="preserve"> </w:t>
      </w:r>
      <w:r w:rsidRPr="004706CC">
        <w:rPr>
          <w:rStyle w:val="af6"/>
          <w:rFonts w:eastAsia="Guttman Hodes" w:hint="cs"/>
          <w:rtl/>
        </w:rPr>
        <w:t xml:space="preserve">(עי' אות </w:t>
      </w:r>
      <w:r w:rsidRPr="004706CC">
        <w:rPr>
          <w:rStyle w:val="af6"/>
          <w:rFonts w:eastAsia="Guttman Hodes"/>
          <w:rtl/>
        </w:rPr>
        <w:fldChar w:fldCharType="begin"/>
      </w:r>
      <w:r w:rsidRPr="004706CC">
        <w:rPr>
          <w:rStyle w:val="af6"/>
          <w:rFonts w:eastAsia="Guttman Hodes"/>
          <w:rtl/>
        </w:rPr>
        <w:instrText xml:space="preserve"> </w:instrText>
      </w:r>
      <w:r w:rsidRPr="004706CC">
        <w:rPr>
          <w:rStyle w:val="af6"/>
          <w:rFonts w:eastAsia="Guttman Hodes" w:hint="cs"/>
        </w:rPr>
        <w:instrText>REF</w:instrText>
      </w:r>
      <w:r w:rsidRPr="004706CC">
        <w:rPr>
          <w:rStyle w:val="af6"/>
          <w:rFonts w:eastAsia="Guttman Hodes" w:hint="cs"/>
          <w:rtl/>
        </w:rPr>
        <w:instrText xml:space="preserve"> _</w:instrText>
      </w:r>
      <w:r w:rsidRPr="004706CC">
        <w:rPr>
          <w:rStyle w:val="af6"/>
          <w:rFonts w:eastAsia="Guttman Hodes" w:hint="cs"/>
        </w:rPr>
        <w:instrText>Ref24911310 \r \h</w:instrText>
      </w:r>
      <w:r w:rsidRPr="004706CC">
        <w:rPr>
          <w:rStyle w:val="af6"/>
          <w:rFonts w:eastAsia="Guttman Hodes"/>
          <w:rtl/>
        </w:rPr>
        <w:instrText xml:space="preserve"> </w:instrText>
      </w:r>
      <w:r w:rsidRPr="004706CC">
        <w:rPr>
          <w:rStyle w:val="af6"/>
          <w:rFonts w:eastAsia="Guttman Hodes"/>
          <w:rtl/>
        </w:rPr>
      </w:r>
      <w:r w:rsidRPr="004706CC">
        <w:rPr>
          <w:rStyle w:val="af6"/>
          <w:rFonts w:eastAsia="Guttman Hodes"/>
          <w:rtl/>
        </w:rPr>
        <w:fldChar w:fldCharType="separate"/>
      </w:r>
      <w:r w:rsidR="004D1C5B">
        <w:rPr>
          <w:rStyle w:val="af6"/>
          <w:rFonts w:eastAsia="Guttman Hodes"/>
          <w:cs/>
        </w:rPr>
        <w:t>‎</w:t>
      </w:r>
      <w:r w:rsidR="004D1C5B">
        <w:rPr>
          <w:rStyle w:val="af6"/>
          <w:rFonts w:eastAsia="Guttman Hodes"/>
          <w:rtl/>
        </w:rPr>
        <w:t>ע)</w:t>
      </w:r>
      <w:r w:rsidRPr="004706CC">
        <w:rPr>
          <w:rStyle w:val="af6"/>
          <w:rFonts w:eastAsia="Guttman Hodes"/>
          <w:rtl/>
        </w:rPr>
        <w:fldChar w:fldCharType="end"/>
      </w:r>
      <w:r>
        <w:rPr>
          <w:rFonts w:hint="cs"/>
          <w:rtl/>
        </w:rPr>
        <w:t xml:space="preserve"> דכתב דבלח אף בלא נודעה התערובת, מהני ביטול ברוב].</w:t>
      </w:r>
      <w:bookmarkEnd w:id="14692"/>
    </w:p>
    <w:p w:rsidR="00F13472" w:rsidRDefault="00F13472" w:rsidP="00F13472">
      <w:pPr>
        <w:pStyle w:val="1"/>
        <w:rPr>
          <w:rtl/>
        </w:rPr>
      </w:pPr>
      <w:bookmarkStart w:id="14693" w:name="_Toc24918210"/>
      <w:bookmarkStart w:id="14694" w:name="_Toc24918419"/>
      <w:r>
        <w:rPr>
          <w:rFonts w:hint="cs"/>
          <w:rtl/>
        </w:rPr>
        <w:t>ביאור השער"י דבלא נודעה המיעוט לא מתנגד לרוב ולא בטל</w:t>
      </w:r>
    </w:p>
    <w:p w:rsidR="00F13472" w:rsidRPr="00703157" w:rsidRDefault="00F13472" w:rsidP="00F13472">
      <w:pPr>
        <w:pStyle w:val="a2"/>
        <w:rPr>
          <w:rtl/>
        </w:rPr>
      </w:pPr>
      <w:r>
        <w:rPr>
          <w:rFonts w:hint="cs"/>
          <w:rtl/>
        </w:rPr>
        <w:t>ביאור השער"י דבלא נודעה התערובת שדין האיסור לא מתנגד לדין רוב ההיתר ואין ביטול</w:t>
      </w:r>
      <w:bookmarkEnd w:id="14693"/>
      <w:bookmarkEnd w:id="14694"/>
    </w:p>
    <w:p w:rsidR="007A5AFC" w:rsidRDefault="00F13472" w:rsidP="009F44AF">
      <w:pPr>
        <w:pStyle w:val="a"/>
        <w:rPr>
          <w:rtl/>
        </w:rPr>
      </w:pPr>
      <w:r>
        <w:rPr>
          <w:rFonts w:hint="cs"/>
          <w:rtl/>
        </w:rPr>
        <w:t xml:space="preserve">אלא ביאר </w:t>
      </w:r>
      <w:r w:rsidRPr="0095799A">
        <w:rPr>
          <w:rStyle w:val="af8"/>
          <w:rFonts w:hint="cs"/>
          <w:rtl/>
        </w:rPr>
        <w:t>השער"י</w:t>
      </w:r>
      <w:r>
        <w:rPr>
          <w:rFonts w:hint="cs"/>
          <w:rtl/>
        </w:rPr>
        <w:t xml:space="preserve"> דלפני שנודעה התערובת, כיון שאין נ"מ לדינא מהתערובת, א"כ דין המיעוט אינו מתנגד לדין הרוב, דההתנגדות בין הדינים היא רק לאחר שנודע לאדם על התערובת, והוא צריך לנהוג לדינא כדין רוב ההיתר או כדין מיעוט האיסור, אבל לפני שנודעה התערובת שאין נ"מ לאדם למעשה, א"כ לא התחדש שום היתר בתערובת, ולכן לא דמי לשאר דיני איסור והיתר שמשעת המעשה חל הדין, ועיי"ש במה שהאריך </w:t>
      </w:r>
      <w:r w:rsidRPr="0095799A">
        <w:rPr>
          <w:rStyle w:val="af8"/>
          <w:rFonts w:hint="cs"/>
          <w:rtl/>
        </w:rPr>
        <w:t>השער"י</w:t>
      </w:r>
      <w:r>
        <w:rPr>
          <w:rFonts w:hint="cs"/>
          <w:rtl/>
        </w:rPr>
        <w:t xml:space="preserve"> בזה. [וע"ע במה שביאר לפי"ז </w:t>
      </w:r>
      <w:r w:rsidRPr="0095799A">
        <w:rPr>
          <w:rStyle w:val="af8"/>
          <w:rFonts w:hint="cs"/>
          <w:rtl/>
        </w:rPr>
        <w:t>השער"י</w:t>
      </w:r>
      <w:r>
        <w:rPr>
          <w:rFonts w:hint="cs"/>
          <w:rtl/>
        </w:rPr>
        <w:t xml:space="preserve"> </w:t>
      </w:r>
      <w:r w:rsidRPr="0095799A">
        <w:rPr>
          <w:rStyle w:val="af6"/>
          <w:rFonts w:eastAsia="Guttman Hodes" w:hint="cs"/>
          <w:rtl/>
        </w:rPr>
        <w:t xml:space="preserve">(ש"ג פי"ג) </w:t>
      </w:r>
      <w:r>
        <w:rPr>
          <w:rFonts w:hint="cs"/>
          <w:rtl/>
        </w:rPr>
        <w:t xml:space="preserve">את דברי </w:t>
      </w:r>
      <w:r w:rsidRPr="0095799A">
        <w:rPr>
          <w:rStyle w:val="af8"/>
          <w:rFonts w:hint="cs"/>
          <w:rtl/>
        </w:rPr>
        <w:t>הרשב"א בתשו'</w:t>
      </w:r>
      <w:r>
        <w:rPr>
          <w:rFonts w:hint="cs"/>
          <w:rtl/>
        </w:rPr>
        <w:t xml:space="preserve"> </w:t>
      </w:r>
      <w:r w:rsidRPr="0095799A">
        <w:rPr>
          <w:rStyle w:val="af6"/>
          <w:rFonts w:eastAsia="Guttman Hodes" w:hint="cs"/>
          <w:rtl/>
        </w:rPr>
        <w:t>(ח"א סי' ער"ב)</w:t>
      </w:r>
      <w:r>
        <w:rPr>
          <w:rFonts w:hint="cs"/>
          <w:rtl/>
        </w:rPr>
        <w:t>].</w:t>
      </w:r>
    </w:p>
    <w:p w:rsidR="00F13472" w:rsidRDefault="00F13472" w:rsidP="00F13472">
      <w:pPr>
        <w:pStyle w:val="1"/>
        <w:rPr>
          <w:rtl/>
        </w:rPr>
      </w:pPr>
      <w:bookmarkStart w:id="14695" w:name="_Toc24918211"/>
      <w:bookmarkStart w:id="14696" w:name="_Toc24918420"/>
      <w:r w:rsidRPr="00E8551D">
        <w:rPr>
          <w:rFonts w:hint="cs"/>
          <w:rtl/>
        </w:rPr>
        <w:t xml:space="preserve">דברי הקוה"ע </w:t>
      </w:r>
      <w:r>
        <w:rPr>
          <w:rFonts w:hint="cs"/>
          <w:rtl/>
        </w:rPr>
        <w:t>ד</w:t>
      </w:r>
      <w:r w:rsidRPr="00E8551D">
        <w:rPr>
          <w:rFonts w:hint="cs"/>
          <w:rtl/>
        </w:rPr>
        <w:t>ביטול יבש ביבש</w:t>
      </w:r>
      <w:bookmarkEnd w:id="14675"/>
      <w:bookmarkEnd w:id="14676"/>
      <w:bookmarkEnd w:id="14677"/>
      <w:bookmarkEnd w:id="14678"/>
      <w:bookmarkEnd w:id="14679"/>
      <w:bookmarkEnd w:id="14680"/>
      <w:bookmarkEnd w:id="14681"/>
      <w:bookmarkEnd w:id="14682"/>
      <w:r>
        <w:rPr>
          <w:rFonts w:hint="cs"/>
          <w:rtl/>
        </w:rPr>
        <w:t xml:space="preserve"> הוא רק ע"י הספק</w:t>
      </w:r>
      <w:bookmarkEnd w:id="14683"/>
      <w:bookmarkEnd w:id="14684"/>
      <w:bookmarkEnd w:id="14685"/>
      <w:bookmarkEnd w:id="14686"/>
      <w:bookmarkEnd w:id="14687"/>
      <w:bookmarkEnd w:id="14695"/>
      <w:bookmarkEnd w:id="14696"/>
    </w:p>
    <w:p w:rsidR="00F13472" w:rsidRPr="005242D2" w:rsidRDefault="00F13472" w:rsidP="00F13472">
      <w:pPr>
        <w:pStyle w:val="a2"/>
        <w:rPr>
          <w:rtl/>
        </w:rPr>
      </w:pPr>
      <w:bookmarkStart w:id="14697" w:name="_Toc24918212"/>
      <w:bookmarkStart w:id="14698" w:name="_Toc24918421"/>
      <w:r>
        <w:rPr>
          <w:rFonts w:hint="cs"/>
          <w:rtl/>
        </w:rPr>
        <w:t>קושית הקוב"ש מה הסברא בלא נודעה התערובת הא היה רוב ומ"ש מטובל ולא ידע שנטמא</w:t>
      </w:r>
      <w:bookmarkEnd w:id="14697"/>
      <w:bookmarkEnd w:id="14698"/>
    </w:p>
    <w:p w:rsidR="00F13472" w:rsidRDefault="00F13472" w:rsidP="009F44AF">
      <w:pPr>
        <w:pStyle w:val="a"/>
        <w:rPr>
          <w:rtl/>
        </w:rPr>
      </w:pPr>
      <w:bookmarkStart w:id="14699" w:name="_Ref24919373"/>
      <w:bookmarkStart w:id="14700" w:name="_Toc23984410"/>
      <w:bookmarkStart w:id="14701" w:name="_Toc24403417"/>
      <w:bookmarkStart w:id="14702" w:name="_Toc24455885"/>
      <w:bookmarkStart w:id="14703" w:name="_Toc24576878"/>
      <w:bookmarkStart w:id="14704" w:name="_Toc24709462"/>
      <w:bookmarkStart w:id="14705" w:name="_Toc24839073"/>
      <w:r>
        <w:rPr>
          <w:rFonts w:hint="cs"/>
          <w:rtl/>
        </w:rPr>
        <w:t xml:space="preserve">הקשה </w:t>
      </w:r>
      <w:r w:rsidRPr="00294D75">
        <w:rPr>
          <w:rStyle w:val="af8"/>
          <w:rFonts w:hint="cs"/>
          <w:rtl/>
        </w:rPr>
        <w:t>הקוב"ש</w:t>
      </w:r>
      <w:r>
        <w:rPr>
          <w:rFonts w:hint="cs"/>
          <w:rtl/>
        </w:rPr>
        <w:t xml:space="preserve"> </w:t>
      </w:r>
      <w:r w:rsidRPr="00294D75">
        <w:rPr>
          <w:rStyle w:val="af6"/>
          <w:rFonts w:eastAsia="Guttman Hodes" w:hint="cs"/>
          <w:rtl/>
        </w:rPr>
        <w:t>(ח"ב  על הש"ש סי' י"א)</w:t>
      </w:r>
      <w:r>
        <w:rPr>
          <w:rFonts w:hint="cs"/>
          <w:rtl/>
        </w:rPr>
        <w:t xml:space="preserve"> דמהי הסברא דבלא נודעה התערובת אסור, הרי מ"מ היה רוב בתערובת, ומאי נ"מ במה שלא היה ידוע לנו שיש רוב,</w:t>
      </w:r>
      <w:r w:rsidRPr="00750647">
        <w:rPr>
          <w:rFonts w:hint="cs"/>
          <w:rtl/>
        </w:rPr>
        <w:t xml:space="preserve"> </w:t>
      </w:r>
      <w:r w:rsidRPr="00750647">
        <w:rPr>
          <w:rStyle w:val="af8"/>
          <w:rFonts w:hint="cs"/>
          <w:rtl/>
        </w:rPr>
        <w:t>ובשיעורי רבי אלחנן</w:t>
      </w:r>
      <w:r>
        <w:rPr>
          <w:rFonts w:hint="cs"/>
          <w:rtl/>
        </w:rPr>
        <w:t xml:space="preserve"> </w:t>
      </w:r>
      <w:r w:rsidRPr="00FC11C8">
        <w:rPr>
          <w:rStyle w:val="af6"/>
          <w:rFonts w:eastAsia="Guttman Hodes" w:hint="cs"/>
          <w:rtl/>
        </w:rPr>
        <w:t>(חולין סי' י"ט ב' ד"ה ונראה לומר)</w:t>
      </w:r>
      <w:r>
        <w:rPr>
          <w:rFonts w:hint="cs"/>
          <w:rtl/>
        </w:rPr>
        <w:t xml:space="preserve"> הוסיף להקשות דכמו דבטבילה במקוה, אי מצות אינם צריכות כוונה א"צ שידע שנטמא, ומהני לו הטבילה, ה"ה בביטול ברוב דהמציאות של הרוב קיימת אף כשלא נודעה התערובת, ואמאי אין הרוב מתיר בלא ידיעה.</w:t>
      </w:r>
      <w:bookmarkEnd w:id="14699"/>
    </w:p>
    <w:p w:rsidR="00F13472" w:rsidRPr="00DB7DF5" w:rsidRDefault="00F13472" w:rsidP="00F13472">
      <w:pPr>
        <w:pStyle w:val="a2"/>
        <w:rPr>
          <w:rtl/>
        </w:rPr>
      </w:pPr>
      <w:bookmarkStart w:id="14706" w:name="_Toc24918213"/>
      <w:bookmarkStart w:id="14707" w:name="_Toc24918422"/>
      <w:r>
        <w:rPr>
          <w:rFonts w:hint="cs"/>
          <w:rtl/>
        </w:rPr>
        <w:t>קושית הקוה"ע דכיון דביטול הוא בודאי אמאי דין ביטול הוא רק אחר שנודעה התערובת</w:t>
      </w:r>
      <w:bookmarkEnd w:id="14700"/>
      <w:bookmarkEnd w:id="14701"/>
      <w:bookmarkEnd w:id="14702"/>
      <w:bookmarkEnd w:id="14703"/>
      <w:bookmarkEnd w:id="14704"/>
      <w:bookmarkEnd w:id="14705"/>
      <w:bookmarkEnd w:id="14706"/>
      <w:bookmarkEnd w:id="14707"/>
    </w:p>
    <w:p w:rsidR="00F13472" w:rsidRDefault="00F13472" w:rsidP="009F44AF">
      <w:pPr>
        <w:pStyle w:val="a"/>
        <w:rPr>
          <w:rtl/>
        </w:rPr>
      </w:pPr>
      <w:r>
        <w:rPr>
          <w:rFonts w:hint="cs"/>
          <w:rtl/>
        </w:rPr>
        <w:t xml:space="preserve">כתב </w:t>
      </w:r>
      <w:r w:rsidRPr="009B19E7">
        <w:rPr>
          <w:rStyle w:val="af8"/>
          <w:rFonts w:hint="cs"/>
          <w:rtl/>
        </w:rPr>
        <w:t>הקוה"ע</w:t>
      </w:r>
      <w:r>
        <w:rPr>
          <w:rFonts w:hint="cs"/>
          <w:rtl/>
        </w:rPr>
        <w:t xml:space="preserve"> </w:t>
      </w:r>
      <w:r w:rsidRPr="00405C9F">
        <w:rPr>
          <w:rStyle w:val="af6"/>
          <w:rFonts w:eastAsia="Guttman Hodes" w:hint="cs"/>
          <w:rtl/>
        </w:rPr>
        <w:t>(סי נ"ח ב')</w:t>
      </w:r>
      <w:r>
        <w:rPr>
          <w:rFonts w:hint="cs"/>
          <w:rtl/>
        </w:rPr>
        <w:t xml:space="preserve"> </w:t>
      </w:r>
      <w:r w:rsidRPr="004253DA">
        <w:rPr>
          <w:rFonts w:hint="cs"/>
          <w:rtl/>
        </w:rPr>
        <w:t xml:space="preserve">דההיתר בביטול ברוב הוא בתורת ודאי, </w:t>
      </w:r>
      <w:r>
        <w:rPr>
          <w:rFonts w:hint="cs"/>
          <w:rtl/>
        </w:rPr>
        <w:t xml:space="preserve">והביא </w:t>
      </w:r>
      <w:r w:rsidRPr="009B19E7">
        <w:rPr>
          <w:rStyle w:val="af8"/>
          <w:rFonts w:hint="cs"/>
          <w:rtl/>
        </w:rPr>
        <w:t>הקוה"ע</w:t>
      </w:r>
      <w:r w:rsidRPr="004253DA">
        <w:rPr>
          <w:rFonts w:hint="cs"/>
          <w:rtl/>
        </w:rPr>
        <w:t xml:space="preserve"> </w:t>
      </w:r>
      <w:r w:rsidRPr="002F5D52">
        <w:rPr>
          <w:rStyle w:val="af6"/>
          <w:rFonts w:eastAsia="Guttman Hodes" w:hint="cs"/>
          <w:rtl/>
        </w:rPr>
        <w:t>את דברי</w:t>
      </w:r>
      <w:r>
        <w:rPr>
          <w:rStyle w:val="af8"/>
          <w:rFonts w:hint="cs"/>
          <w:rtl/>
        </w:rPr>
        <w:t xml:space="preserve"> </w:t>
      </w:r>
      <w:r w:rsidRPr="004253DA">
        <w:rPr>
          <w:rStyle w:val="af8"/>
          <w:rFonts w:hint="cs"/>
          <w:rtl/>
        </w:rPr>
        <w:t xml:space="preserve">הר"ש </w:t>
      </w:r>
      <w:r w:rsidRPr="004253DA">
        <w:rPr>
          <w:rFonts w:hint="cs"/>
          <w:b/>
          <w:bCs/>
          <w:rtl/>
        </w:rPr>
        <w:t>בערלה</w:t>
      </w:r>
      <w:r w:rsidRPr="004253DA">
        <w:rPr>
          <w:rFonts w:hint="cs"/>
          <w:rtl/>
        </w:rPr>
        <w:t xml:space="preserve"> </w:t>
      </w:r>
      <w:r w:rsidRPr="004253DA">
        <w:rPr>
          <w:rStyle w:val="af6"/>
          <w:rFonts w:eastAsia="Guttman Hodes" w:hint="cs"/>
          <w:rtl/>
        </w:rPr>
        <w:t>(פ"ב מ"ג)</w:t>
      </w:r>
      <w:r w:rsidRPr="004253DA">
        <w:rPr>
          <w:rFonts w:hint="cs"/>
          <w:rtl/>
        </w:rPr>
        <w:t xml:space="preserve"> </w:t>
      </w:r>
      <w:r>
        <w:rPr>
          <w:rFonts w:hint="cs"/>
          <w:rtl/>
        </w:rPr>
        <w:t xml:space="preserve">דכתב בשם </w:t>
      </w:r>
      <w:r w:rsidRPr="004253DA">
        <w:rPr>
          <w:rFonts w:hint="cs"/>
          <w:rtl/>
        </w:rPr>
        <w:t xml:space="preserve">הירושלמי  </w:t>
      </w:r>
      <w:r>
        <w:rPr>
          <w:rFonts w:hint="cs"/>
          <w:rtl/>
        </w:rPr>
        <w:t xml:space="preserve">בערלה </w:t>
      </w:r>
      <w:r w:rsidRPr="002F5D52">
        <w:rPr>
          <w:rStyle w:val="af6"/>
          <w:rFonts w:eastAsia="Guttman Hodes" w:hint="cs"/>
          <w:rtl/>
        </w:rPr>
        <w:t>(פ"ב ה"א, יא.)</w:t>
      </w:r>
      <w:r>
        <w:rPr>
          <w:rFonts w:hint="cs"/>
          <w:rtl/>
        </w:rPr>
        <w:t xml:space="preserve"> </w:t>
      </w:r>
      <w:r w:rsidRPr="004253DA">
        <w:rPr>
          <w:rFonts w:hint="cs"/>
          <w:rtl/>
        </w:rPr>
        <w:t xml:space="preserve">דביטול </w:t>
      </w:r>
      <w:r>
        <w:rPr>
          <w:rFonts w:hint="cs"/>
          <w:rtl/>
        </w:rPr>
        <w:t xml:space="preserve">ברוב </w:t>
      </w:r>
      <w:r w:rsidRPr="004253DA">
        <w:rPr>
          <w:rFonts w:hint="cs"/>
          <w:rtl/>
        </w:rPr>
        <w:t xml:space="preserve">הוא רק לאחר שנודע שהתערב היתר באיסור, אבל לפני שנודעה התערובת אין דין ביטול ברוב, והקשה </w:t>
      </w:r>
      <w:r w:rsidRPr="004253DA">
        <w:rPr>
          <w:rStyle w:val="af8"/>
          <w:rFonts w:hint="cs"/>
          <w:rtl/>
        </w:rPr>
        <w:t>הקוה</w:t>
      </w:r>
      <w:r w:rsidRPr="00405C9F">
        <w:rPr>
          <w:rStyle w:val="af8"/>
          <w:rFonts w:hint="cs"/>
          <w:rtl/>
        </w:rPr>
        <w:t>"ע</w:t>
      </w:r>
      <w:r>
        <w:rPr>
          <w:rFonts w:hint="cs"/>
          <w:rtl/>
        </w:rPr>
        <w:t xml:space="preserve"> דהא כיון שיש גזיה"כ דהאיסור מתהפך להיות היתר, א"כ מה הנ"מ אם נודעה התערובת, ואמאי אינה נעשית היתר לפני שנודעה התערובת.</w:t>
      </w:r>
    </w:p>
    <w:p w:rsidR="00F13472" w:rsidRDefault="00F13472" w:rsidP="00F13472">
      <w:pPr>
        <w:pStyle w:val="a2"/>
        <w:rPr>
          <w:rtl/>
        </w:rPr>
      </w:pPr>
      <w:bookmarkStart w:id="14708" w:name="_Toc23984411"/>
      <w:bookmarkStart w:id="14709" w:name="_Toc24403418"/>
      <w:bookmarkStart w:id="14710" w:name="_Toc24455886"/>
      <w:bookmarkStart w:id="14711" w:name="_Toc24576879"/>
      <w:bookmarkStart w:id="14712" w:name="_Toc24709463"/>
      <w:bookmarkStart w:id="14713" w:name="_Toc24839074"/>
      <w:bookmarkStart w:id="14714" w:name="_Toc24918214"/>
      <w:bookmarkStart w:id="14715" w:name="_Toc24918423"/>
      <w:r>
        <w:rPr>
          <w:rFonts w:hint="cs"/>
          <w:rtl/>
        </w:rPr>
        <w:t>תירוץ הקוע"ה דביבש אין שינוי באיסור ומותר מחמת ספק ולכן ההיתר רק כשיש ספק</w:t>
      </w:r>
      <w:bookmarkEnd w:id="14708"/>
      <w:bookmarkEnd w:id="14709"/>
      <w:bookmarkEnd w:id="14710"/>
      <w:bookmarkEnd w:id="14711"/>
      <w:bookmarkEnd w:id="14712"/>
      <w:bookmarkEnd w:id="14713"/>
      <w:bookmarkEnd w:id="14714"/>
      <w:bookmarkEnd w:id="14715"/>
    </w:p>
    <w:p w:rsidR="00F13472" w:rsidRDefault="00F13472" w:rsidP="009F44AF">
      <w:pPr>
        <w:pStyle w:val="a"/>
        <w:rPr>
          <w:rtl/>
        </w:rPr>
      </w:pPr>
      <w:r>
        <w:rPr>
          <w:rFonts w:hint="cs"/>
          <w:rtl/>
        </w:rPr>
        <w:t xml:space="preserve">ותירץ </w:t>
      </w:r>
      <w:r w:rsidRPr="00405C9F">
        <w:rPr>
          <w:rStyle w:val="af8"/>
          <w:rFonts w:hint="cs"/>
          <w:rtl/>
        </w:rPr>
        <w:t>הקוה"ע</w:t>
      </w:r>
      <w:r>
        <w:rPr>
          <w:rFonts w:hint="cs"/>
          <w:rtl/>
        </w:rPr>
        <w:t xml:space="preserve"> דביבש ביבש אין כל שינוי באיסור שמתבטל בהיתר, אלא דהוא מותר מחמת הספק, וא"כ סיבת ההיתר היא הספק, ולכן כל זמן שלא נודעה התערובת, ואין לנו ספק, אין דבר שיתיר את האיסור,</w:t>
      </w:r>
      <w:r w:rsidRPr="00C50F4A">
        <w:rPr>
          <w:rStyle w:val="a7"/>
          <w:rFonts w:hint="cs"/>
          <w:rtl/>
        </w:rPr>
        <w:t xml:space="preserve"> </w:t>
      </w:r>
      <w:r w:rsidRPr="000F2541">
        <w:rPr>
          <w:rStyle w:val="a7"/>
          <w:rFonts w:hint="cs"/>
          <w:rtl/>
        </w:rPr>
        <w:t>ו</w:t>
      </w:r>
      <w:r>
        <w:rPr>
          <w:rStyle w:val="a7"/>
          <w:rFonts w:hint="cs"/>
          <w:rtl/>
        </w:rPr>
        <w:t xml:space="preserve">כ"כ </w:t>
      </w:r>
      <w:r w:rsidRPr="00750647">
        <w:rPr>
          <w:rStyle w:val="af8"/>
          <w:rFonts w:hint="cs"/>
          <w:rtl/>
        </w:rPr>
        <w:t>בשיעורי רבי אלחנן</w:t>
      </w:r>
      <w:r>
        <w:rPr>
          <w:rFonts w:hint="cs"/>
          <w:rtl/>
        </w:rPr>
        <w:t xml:space="preserve"> </w:t>
      </w:r>
      <w:r w:rsidRPr="00FC11C8">
        <w:rPr>
          <w:rStyle w:val="af6"/>
          <w:rFonts w:eastAsia="Guttman Hodes" w:hint="cs"/>
          <w:rtl/>
        </w:rPr>
        <w:t>(חולין סי' י"ט ב' ד"ה ו</w:t>
      </w:r>
      <w:r>
        <w:rPr>
          <w:rStyle w:val="af6"/>
          <w:rFonts w:eastAsiaTheme="minorEastAsia" w:hint="cs"/>
          <w:rtl/>
        </w:rPr>
        <w:t>צריך</w:t>
      </w:r>
      <w:r w:rsidRPr="00FC11C8">
        <w:rPr>
          <w:rStyle w:val="af6"/>
          <w:rFonts w:eastAsia="Guttman Hodes" w:hint="cs"/>
          <w:rtl/>
        </w:rPr>
        <w:t xml:space="preserve"> לומר)</w:t>
      </w:r>
      <w:r>
        <w:rPr>
          <w:rFonts w:hint="cs"/>
          <w:rtl/>
        </w:rPr>
        <w:t>.</w:t>
      </w:r>
    </w:p>
    <w:p w:rsidR="00F13472" w:rsidRDefault="00F13472" w:rsidP="00F13472">
      <w:pPr>
        <w:pStyle w:val="a2"/>
        <w:rPr>
          <w:rtl/>
        </w:rPr>
      </w:pPr>
      <w:bookmarkStart w:id="14716" w:name="_Toc24918215"/>
      <w:bookmarkStart w:id="14717" w:name="_Toc24918424"/>
      <w:r>
        <w:rPr>
          <w:rFonts w:hint="cs"/>
          <w:rtl/>
        </w:rPr>
        <w:t>ביאור הקוב"ש דביטול ברוב דנהפך להיתר הוא חידוש ואין לך בו אלא חידושו ול"מ למפרע</w:t>
      </w:r>
      <w:bookmarkEnd w:id="14716"/>
      <w:bookmarkEnd w:id="14717"/>
    </w:p>
    <w:p w:rsidR="003A5D2C" w:rsidRDefault="00F13472" w:rsidP="009F44AF">
      <w:pPr>
        <w:pStyle w:val="a"/>
        <w:rPr>
          <w:rtl/>
        </w:rPr>
        <w:sectPr w:rsidR="003A5D2C" w:rsidSect="005049E2">
          <w:type w:val="continuous"/>
          <w:pgSz w:w="11906" w:h="16838"/>
          <w:pgMar w:top="720" w:right="720" w:bottom="720" w:left="720" w:header="283" w:footer="283" w:gutter="0"/>
          <w:cols w:num="2" w:space="567"/>
          <w:titlePg/>
          <w:bidi/>
          <w:rtlGutter/>
          <w:docGrid w:linePitch="299"/>
        </w:sectPr>
      </w:pPr>
      <w:r w:rsidRPr="004253DA">
        <w:rPr>
          <w:rFonts w:hint="cs"/>
          <w:rtl/>
        </w:rPr>
        <w:t>ו</w:t>
      </w:r>
      <w:r>
        <w:rPr>
          <w:rFonts w:hint="cs"/>
          <w:rtl/>
        </w:rPr>
        <w:t>עוד ביאר</w:t>
      </w:r>
      <w:r w:rsidRPr="00294D75">
        <w:rPr>
          <w:rStyle w:val="af8"/>
          <w:rFonts w:hint="cs"/>
          <w:rtl/>
        </w:rPr>
        <w:t xml:space="preserve"> הקוב"ש</w:t>
      </w:r>
      <w:r>
        <w:rPr>
          <w:rFonts w:hint="cs"/>
          <w:rtl/>
        </w:rPr>
        <w:t xml:space="preserve"> </w:t>
      </w:r>
      <w:r w:rsidRPr="00294D75">
        <w:rPr>
          <w:rStyle w:val="af6"/>
          <w:rFonts w:eastAsia="Guttman Hodes" w:hint="cs"/>
          <w:rtl/>
        </w:rPr>
        <w:t>(ח"ב  על הש"ש סי' י"א)</w:t>
      </w:r>
      <w:r>
        <w:rPr>
          <w:rFonts w:hint="cs"/>
          <w:rtl/>
        </w:rPr>
        <w:t xml:space="preserve"> בדברי</w:t>
      </w:r>
      <w:r w:rsidRPr="004253DA">
        <w:rPr>
          <w:rFonts w:hint="cs"/>
          <w:rtl/>
        </w:rPr>
        <w:t xml:space="preserve"> </w:t>
      </w:r>
      <w:r w:rsidRPr="004253DA">
        <w:rPr>
          <w:rStyle w:val="af8"/>
          <w:rFonts w:hint="cs"/>
          <w:rtl/>
        </w:rPr>
        <w:t>הר"ש</w:t>
      </w:r>
      <w:r>
        <w:rPr>
          <w:rStyle w:val="af8"/>
          <w:rFonts w:hint="cs"/>
          <w:rtl/>
        </w:rPr>
        <w:t xml:space="preserve"> בערלה</w:t>
      </w:r>
      <w:r w:rsidRPr="004253DA">
        <w:rPr>
          <w:rStyle w:val="af8"/>
          <w:rFonts w:hint="cs"/>
          <w:rtl/>
        </w:rPr>
        <w:t xml:space="preserve"> </w:t>
      </w:r>
      <w:r w:rsidRPr="005242D2">
        <w:rPr>
          <w:rFonts w:hint="cs"/>
          <w:rtl/>
        </w:rPr>
        <w:t>דל</w:t>
      </w:r>
      <w:r w:rsidRPr="004253DA">
        <w:rPr>
          <w:rFonts w:hint="cs"/>
          <w:rtl/>
        </w:rPr>
        <w:t xml:space="preserve">פני שנודעה התערובת אין דין ביטול ברוב, </w:t>
      </w:r>
      <w:r>
        <w:rPr>
          <w:rFonts w:hint="cs"/>
          <w:rtl/>
        </w:rPr>
        <w:t xml:space="preserve">דהא הוא כמו שכתב </w:t>
      </w:r>
      <w:r w:rsidRPr="005242D2">
        <w:rPr>
          <w:rStyle w:val="af8"/>
          <w:rFonts w:hint="cs"/>
          <w:rtl/>
        </w:rPr>
        <w:t>הר"ן על הרי"ף</w:t>
      </w:r>
      <w:r>
        <w:rPr>
          <w:rFonts w:hint="cs"/>
          <w:rtl/>
        </w:rPr>
        <w:t xml:space="preserve"> </w:t>
      </w:r>
      <w:r w:rsidRPr="005242D2">
        <w:rPr>
          <w:rStyle w:val="af6"/>
          <w:rFonts w:eastAsia="Guttman Hodes" w:hint="cs"/>
          <w:rtl/>
        </w:rPr>
        <w:t xml:space="preserve">(לג: </w:t>
      </w:r>
      <w:r>
        <w:rPr>
          <w:rStyle w:val="af6"/>
          <w:rFonts w:eastAsia="Guttman Hodes" w:hint="cs"/>
          <w:rtl/>
        </w:rPr>
        <w:t xml:space="preserve">מדפי הרי"ף </w:t>
      </w:r>
      <w:r w:rsidRPr="005242D2">
        <w:rPr>
          <w:rStyle w:val="af6"/>
          <w:rFonts w:eastAsia="Guttman Hodes" w:hint="cs"/>
          <w:rtl/>
        </w:rPr>
        <w:t>ד"ה ספיקו)</w:t>
      </w:r>
      <w:r>
        <w:rPr>
          <w:rFonts w:hint="cs"/>
          <w:rtl/>
        </w:rPr>
        <w:t xml:space="preserve"> בדין קבוע, דקודם שנודע הספק אין דין קבוע, כיון שקבוע הוא חידוש, ואין לך בו אלא חידושו דרק משנעשה קבוע, לא אמרינן כל דפריש, אבל למפרע אין דין קבוע, וכתב </w:t>
      </w:r>
      <w:r w:rsidRPr="005242D2">
        <w:rPr>
          <w:rStyle w:val="af8"/>
          <w:rFonts w:hint="cs"/>
          <w:rtl/>
        </w:rPr>
        <w:t>הקוב"ש</w:t>
      </w:r>
      <w:r>
        <w:rPr>
          <w:rFonts w:hint="cs"/>
          <w:rtl/>
        </w:rPr>
        <w:t xml:space="preserve"> דה"ה בביטול ברוב דכיון דבביטול ברוב האיסור מתהפך להיתר, אף שסיבת האיסור עדיין קיימת, אף לאחר שהתבטל, א"כ אפש"ל דאף ביטול ברוב הוא חידוש, ולכן הוא רק מכאן ולהבא ולא למפרע, והוסיף </w:t>
      </w:r>
      <w:r w:rsidRPr="005242D2">
        <w:rPr>
          <w:rStyle w:val="af8"/>
          <w:rFonts w:hint="cs"/>
          <w:rtl/>
        </w:rPr>
        <w:t>הקוב"ש</w:t>
      </w:r>
      <w:r>
        <w:rPr>
          <w:rFonts w:hint="cs"/>
          <w:rtl/>
        </w:rPr>
        <w:t xml:space="preserve"> דלפי"ז במקום שנודעה התערובת, אך לא נודע אם היה רוב היתר, ג"כ חשיב שלא נודע, ואין היתר בביטול ברוב.</w:t>
      </w:r>
    </w:p>
    <w:p w:rsidR="003A5D2C" w:rsidRDefault="003A5D2C" w:rsidP="009F44AF">
      <w:pPr>
        <w:pStyle w:val="a"/>
        <w:rPr>
          <w:rtl/>
        </w:rPr>
        <w:sectPr w:rsidR="003A5D2C" w:rsidSect="005049E2">
          <w:type w:val="continuous"/>
          <w:pgSz w:w="11906" w:h="16838"/>
          <w:pgMar w:top="720" w:right="720" w:bottom="720" w:left="720" w:header="283" w:footer="283" w:gutter="0"/>
          <w:cols w:num="2" w:space="567"/>
          <w:titlePg/>
          <w:bidi/>
          <w:rtlGutter/>
          <w:docGrid w:linePitch="299"/>
        </w:sectPr>
      </w:pPr>
    </w:p>
    <w:p w:rsidR="00F13472" w:rsidRDefault="00F13472" w:rsidP="009F44AF">
      <w:pPr>
        <w:pStyle w:val="a"/>
        <w:rPr>
          <w:rtl/>
        </w:rPr>
        <w:sectPr w:rsidR="00F13472" w:rsidSect="003A5D2C">
          <w:headerReference w:type="first" r:id="rId100"/>
          <w:pgSz w:w="11906" w:h="16838"/>
          <w:pgMar w:top="720" w:right="720" w:bottom="720" w:left="720" w:header="283" w:footer="283" w:gutter="0"/>
          <w:cols w:num="2" w:space="567"/>
          <w:bidi/>
          <w:rtlGutter/>
          <w:docGrid w:linePitch="299"/>
        </w:sectPr>
      </w:pPr>
    </w:p>
    <w:p w:rsidR="003A5D2C" w:rsidRDefault="003A5D2C" w:rsidP="003A5D2C">
      <w:pPr>
        <w:spacing w:before="120"/>
        <w:ind w:left="0"/>
        <w:jc w:val="center"/>
        <w:outlineLvl w:val="1"/>
        <w:rPr>
          <w:rFonts w:ascii="Guttman Adii-Light" w:eastAsia="Guttman Adii-Light" w:hAnsi="Guttman Adii-Light" w:cs="Guttman Hodes"/>
          <w:bCs/>
          <w:sz w:val="20"/>
          <w:szCs w:val="24"/>
          <w:rtl/>
        </w:rPr>
      </w:pPr>
      <w:r>
        <w:rPr>
          <w:rFonts w:ascii="Guttman Adii-Light" w:eastAsia="Guttman Adii-Light" w:hAnsi="Guttman Adii-Light" w:cs="Guttman Hodes" w:hint="cs"/>
          <w:bCs/>
          <w:sz w:val="20"/>
          <w:szCs w:val="24"/>
          <w:rtl/>
        </w:rPr>
        <w:t>סימן</w:t>
      </w:r>
      <w:r w:rsidRPr="005B0DC8">
        <w:rPr>
          <w:rFonts w:ascii="Guttman Adii-Light" w:eastAsia="Guttman Adii-Light" w:hAnsi="Guttman Adii-Light" w:cs="Guttman Hodes" w:hint="cs"/>
          <w:bCs/>
          <w:sz w:val="20"/>
          <w:szCs w:val="24"/>
          <w:rtl/>
        </w:rPr>
        <w:t xml:space="preserve"> י"</w:t>
      </w:r>
      <w:r>
        <w:rPr>
          <w:rFonts w:ascii="Guttman Adii-Light" w:eastAsia="Guttman Adii-Light" w:hAnsi="Guttman Adii-Light" w:cs="Guttman Hodes" w:hint="cs"/>
          <w:bCs/>
          <w:sz w:val="20"/>
          <w:szCs w:val="24"/>
          <w:rtl/>
        </w:rPr>
        <w:t>ט</w:t>
      </w:r>
    </w:p>
    <w:p w:rsidR="003A5D2C" w:rsidRPr="005B0DC8" w:rsidRDefault="003A5D2C" w:rsidP="003A5D2C">
      <w:pPr>
        <w:spacing w:before="120"/>
        <w:ind w:left="0"/>
        <w:jc w:val="center"/>
        <w:outlineLvl w:val="1"/>
        <w:rPr>
          <w:rFonts w:ascii="Guttman Adii-Light" w:eastAsia="Guttman Adii-Light" w:hAnsi="Guttman Adii-Light" w:cs="Guttman Hodes"/>
          <w:bCs/>
          <w:sz w:val="20"/>
          <w:szCs w:val="24"/>
          <w:rtl/>
        </w:rPr>
      </w:pPr>
      <w:r w:rsidRPr="005B0DC8">
        <w:rPr>
          <w:rFonts w:ascii="Guttman Adii-Light" w:eastAsia="Guttman Adii-Light" w:hAnsi="Guttman Adii-Light" w:cs="Guttman Hodes" w:hint="cs"/>
          <w:bCs/>
          <w:sz w:val="20"/>
          <w:szCs w:val="24"/>
          <w:rtl/>
        </w:rPr>
        <w:t>סוגית ביטול יבש ביבש (</w:t>
      </w:r>
      <w:r>
        <w:rPr>
          <w:rFonts w:ascii="Guttman Adii-Light" w:eastAsia="Guttman Adii-Light" w:hAnsi="Guttman Adii-Light" w:cs="Guttman Hodes" w:hint="cs"/>
          <w:bCs/>
          <w:sz w:val="20"/>
          <w:szCs w:val="24"/>
          <w:rtl/>
        </w:rPr>
        <w:t>ד')</w:t>
      </w:r>
    </w:p>
    <w:p w:rsidR="003A5D2C" w:rsidRPr="005B0DC8" w:rsidRDefault="003A5D2C" w:rsidP="003A5D2C">
      <w:pPr>
        <w:spacing w:before="120"/>
        <w:ind w:left="0"/>
        <w:jc w:val="center"/>
        <w:outlineLvl w:val="1"/>
        <w:rPr>
          <w:rFonts w:ascii="Guttman Adii-Light" w:eastAsia="Guttman Adii-Light" w:hAnsi="Guttman Adii-Light" w:cs="Guttman Hodes"/>
          <w:bCs/>
          <w:sz w:val="20"/>
          <w:szCs w:val="24"/>
          <w:rtl/>
        </w:rPr>
      </w:pPr>
      <w:r>
        <w:rPr>
          <w:rFonts w:ascii="Guttman Adii-Light" w:eastAsia="Guttman Adii-Light" w:hAnsi="Guttman Adii-Light" w:cs="Guttman Hodes" w:hint="cs"/>
          <w:bCs/>
          <w:sz w:val="20"/>
          <w:szCs w:val="24"/>
          <w:rtl/>
        </w:rPr>
        <w:t>בדברי הרא"ש בדין חוזר וניעור ובדין ביטול ברוב במגע ומשא</w:t>
      </w:r>
      <w:r w:rsidRPr="00431969">
        <w:rPr>
          <w:rFonts w:ascii="Guttman Adii-Light" w:eastAsia="Guttman Adii-Light" w:hAnsi="Guttman Adii-Light" w:cs="Guttman Hodes"/>
          <w:bCs/>
          <w:sz w:val="20"/>
          <w:szCs w:val="24"/>
          <w:rtl/>
        </w:rPr>
        <w:t xml:space="preserve"> </w:t>
      </w:r>
    </w:p>
    <w:p w:rsidR="003A5D2C" w:rsidRDefault="003A5D2C" w:rsidP="003A5D2C">
      <w:pPr>
        <w:keepNext/>
        <w:keepLines/>
        <w:tabs>
          <w:tab w:val="center" w:pos="5233"/>
          <w:tab w:val="left" w:pos="9063"/>
        </w:tabs>
        <w:ind w:left="0"/>
        <w:jc w:val="left"/>
        <w:outlineLvl w:val="1"/>
        <w:rPr>
          <w:rFonts w:ascii="FrankRuehl" w:eastAsia="Guttman Adii-Light" w:hAnsi="FrankRuehl" w:cs="Guttman Hodes"/>
          <w:b/>
          <w:bCs/>
          <w:noProof/>
          <w:sz w:val="24"/>
          <w:szCs w:val="24"/>
          <w:rtl/>
        </w:rPr>
        <w:sectPr w:rsidR="003A5D2C" w:rsidSect="003A5D2C">
          <w:headerReference w:type="default" r:id="rId101"/>
          <w:footerReference w:type="first" r:id="rId102"/>
          <w:type w:val="continuous"/>
          <w:pgSz w:w="11906" w:h="16838"/>
          <w:pgMar w:top="720" w:right="720" w:bottom="720" w:left="720" w:header="283" w:footer="283" w:gutter="0"/>
          <w:cols w:space="113"/>
          <w:bidi/>
          <w:rtlGutter/>
          <w:docGrid w:linePitch="299"/>
        </w:sectPr>
      </w:pPr>
      <w:r>
        <w:rPr>
          <w:rFonts w:ascii="FrankRuehl" w:eastAsia="Guttman Adii-Light" w:hAnsi="FrankRuehl" w:cs="Guttman Hodes"/>
          <w:b/>
          <w:bCs/>
          <w:noProof/>
          <w:sz w:val="24"/>
          <w:szCs w:val="24"/>
          <w:rtl/>
        </w:rPr>
        <w:tab/>
      </w:r>
      <w:r>
        <w:rPr>
          <w:rFonts w:ascii="FrankRuehl" w:eastAsia="Guttman Adii-Light" w:hAnsi="FrankRuehl" w:cs="Guttman Hodes" w:hint="cs"/>
          <w:b/>
          <w:bCs/>
          <w:noProof/>
          <w:sz w:val="24"/>
          <w:szCs w:val="24"/>
          <w:rtl/>
        </w:rPr>
        <w:t>מפתח הסוגיא</w:t>
      </w:r>
    </w:p>
    <w:p w:rsidR="003A5D2C" w:rsidRDefault="003A5D2C" w:rsidP="003A5D2C">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p>
    <w:p w:rsidR="003A5D2C" w:rsidRDefault="003A5D2C" w:rsidP="003A5D2C">
      <w:pPr>
        <w:pStyle w:val="2"/>
        <w:rPr>
          <w:rFonts w:eastAsiaTheme="minorEastAsia" w:cstheme="minorBidi"/>
          <w:i/>
          <w:iCs/>
          <w:sz w:val="22"/>
          <w:szCs w:val="22"/>
          <w:rtl/>
        </w:rPr>
      </w:pPr>
      <w:r>
        <w:rPr>
          <w:rtl/>
        </w:rPr>
        <w:t>דברי הרא"ש דאמרינן חוזר וניעור</w:t>
      </w:r>
    </w:p>
    <w:p w:rsidR="003A5D2C" w:rsidRDefault="003A5D2C" w:rsidP="003A5D2C">
      <w:pPr>
        <w:pStyle w:val="aff4"/>
        <w:rPr>
          <w:rFonts w:eastAsiaTheme="minorEastAsia" w:cstheme="minorBidi"/>
          <w:i/>
          <w:iCs/>
          <w:noProof/>
          <w:sz w:val="22"/>
          <w:szCs w:val="22"/>
          <w:rtl/>
        </w:rPr>
      </w:pPr>
      <w:r>
        <w:rPr>
          <w:noProof/>
          <w:rtl/>
        </w:rPr>
        <w:t>דברי הרא"ש דיבש שבטל ברוב והוסיף איסור דחוזר וניעור</w:t>
      </w:r>
    </w:p>
    <w:p w:rsidR="003A5D2C" w:rsidRPr="002906A3" w:rsidRDefault="003A5D2C" w:rsidP="004D1C5B">
      <w:pPr>
        <w:pStyle w:val="TOC9"/>
        <w:numPr>
          <w:ilvl w:val="0"/>
          <w:numId w:val="39"/>
        </w:numPr>
        <w:rPr>
          <w:rFonts w:ascii="Guttman Hodes" w:eastAsia="Guttman Hodes" w:hAnsi="Guttman Hodes" w:cs="Guttman Hodes"/>
          <w:sz w:val="12"/>
          <w:szCs w:val="12"/>
          <w:rtl/>
        </w:rPr>
      </w:pPr>
      <w:r w:rsidRPr="002906A3">
        <w:rPr>
          <w:rFonts w:ascii="Guttman Hodes" w:eastAsia="Guttman Hodes" w:hAnsi="Guttman Hodes" w:cs="Guttman Hodes"/>
          <w:sz w:val="12"/>
          <w:szCs w:val="12"/>
          <w:rtl/>
        </w:rPr>
        <w:t>דברי הרא"ש דאף דהאיסור נהפך להיתר אם הוסיף איסור האיסור חוזר וניעור והכל אסור</w:t>
      </w:r>
    </w:p>
    <w:p w:rsidR="003A5D2C" w:rsidRDefault="003A5D2C" w:rsidP="003A5D2C">
      <w:pPr>
        <w:pStyle w:val="aff2"/>
        <w:numPr>
          <w:ilvl w:val="0"/>
          <w:numId w:val="3"/>
        </w:numPr>
        <w:rPr>
          <w:rFonts w:eastAsiaTheme="minorEastAsia" w:cstheme="minorBidi"/>
          <w:sz w:val="22"/>
          <w:szCs w:val="22"/>
          <w:rtl/>
        </w:rPr>
      </w:pPr>
      <w:r>
        <w:rPr>
          <w:rtl/>
        </w:rPr>
        <w:t>דברי הרא"ש דבאינו מינו פשיטא דחוזר וניעור כיון שטעם האיסורים מצטרף ונותנים טעם בהיתר</w:t>
      </w:r>
    </w:p>
    <w:p w:rsidR="003A5D2C" w:rsidRDefault="003A5D2C" w:rsidP="003A5D2C">
      <w:pPr>
        <w:pStyle w:val="aff2"/>
        <w:numPr>
          <w:ilvl w:val="0"/>
          <w:numId w:val="3"/>
        </w:numPr>
        <w:rPr>
          <w:rFonts w:eastAsiaTheme="minorEastAsia" w:cstheme="minorBidi"/>
          <w:sz w:val="22"/>
          <w:szCs w:val="22"/>
          <w:rtl/>
        </w:rPr>
      </w:pPr>
      <w:r>
        <w:rPr>
          <w:rtl/>
        </w:rPr>
        <w:t>דברי הרא"ש דבמין במינו בלח פשיטא דחוזר וניעור אטו אינו מינו שיש בו חוזר וניעור</w:t>
      </w:r>
    </w:p>
    <w:p w:rsidR="003A5D2C" w:rsidRDefault="003A5D2C" w:rsidP="003A5D2C">
      <w:pPr>
        <w:pStyle w:val="aff2"/>
        <w:numPr>
          <w:ilvl w:val="0"/>
          <w:numId w:val="3"/>
        </w:numPr>
        <w:rPr>
          <w:rFonts w:eastAsiaTheme="minorEastAsia" w:cstheme="minorBidi"/>
          <w:sz w:val="22"/>
          <w:szCs w:val="22"/>
          <w:rtl/>
        </w:rPr>
      </w:pPr>
      <w:r>
        <w:rPr>
          <w:rtl/>
        </w:rPr>
        <w:t>דברי הרא"ש דאף ביבש במין במינו דבטל בחד בתרי כל שנוסף איסור אמרינן דחוזר וניעור</w:t>
      </w:r>
    </w:p>
    <w:p w:rsidR="003A5D2C" w:rsidRDefault="003A5D2C" w:rsidP="003A5D2C">
      <w:pPr>
        <w:pStyle w:val="aff4"/>
        <w:rPr>
          <w:rFonts w:eastAsiaTheme="minorEastAsia" w:cstheme="minorBidi"/>
          <w:i/>
          <w:iCs/>
          <w:noProof/>
          <w:sz w:val="22"/>
          <w:szCs w:val="22"/>
          <w:rtl/>
        </w:rPr>
      </w:pPr>
      <w:r>
        <w:rPr>
          <w:noProof/>
          <w:rtl/>
        </w:rPr>
        <w:t>הוכחת הרא"ש מהמשנה בתרומה דאמרינן חוזר וניעור</w:t>
      </w:r>
    </w:p>
    <w:p w:rsidR="003A5D2C" w:rsidRDefault="003A5D2C" w:rsidP="003A5D2C">
      <w:pPr>
        <w:pStyle w:val="aff2"/>
        <w:numPr>
          <w:ilvl w:val="0"/>
          <w:numId w:val="3"/>
        </w:numPr>
        <w:rPr>
          <w:rFonts w:eastAsiaTheme="minorEastAsia" w:cstheme="minorBidi"/>
          <w:sz w:val="22"/>
          <w:szCs w:val="22"/>
          <w:rtl/>
        </w:rPr>
      </w:pPr>
      <w:r>
        <w:rPr>
          <w:rtl/>
        </w:rPr>
        <w:t>דברי הרא"ש דאמרינן חוזר וניעור בתרומה שהתבטלה ונוספה תרומה ולר"ש בשאר איסורים</w:t>
      </w:r>
    </w:p>
    <w:p w:rsidR="003A5D2C" w:rsidRDefault="003A5D2C" w:rsidP="003A5D2C">
      <w:pPr>
        <w:pStyle w:val="aff2"/>
        <w:numPr>
          <w:ilvl w:val="0"/>
          <w:numId w:val="3"/>
        </w:numPr>
        <w:rPr>
          <w:rFonts w:eastAsiaTheme="minorEastAsia" w:cstheme="minorBidi"/>
          <w:sz w:val="22"/>
          <w:szCs w:val="22"/>
          <w:rtl/>
        </w:rPr>
      </w:pPr>
      <w:r>
        <w:rPr>
          <w:rtl/>
        </w:rPr>
        <w:t>דברי הרא"ש דהא דצריך להרים סאה בתרומה הוא מדין גזל השבט ואינו גורם איסור</w:t>
      </w:r>
    </w:p>
    <w:p w:rsidR="003A5D2C" w:rsidRDefault="003A5D2C" w:rsidP="003A5D2C">
      <w:pPr>
        <w:pStyle w:val="aff4"/>
        <w:rPr>
          <w:rFonts w:eastAsiaTheme="minorEastAsia" w:cstheme="minorBidi"/>
          <w:i/>
          <w:iCs/>
          <w:noProof/>
          <w:sz w:val="22"/>
          <w:szCs w:val="22"/>
          <w:rtl/>
        </w:rPr>
      </w:pPr>
      <w:r>
        <w:rPr>
          <w:noProof/>
          <w:rtl/>
        </w:rPr>
        <w:t>בהיתר שהתבטל באיסור ונוסף היתר דחוזר וניעור לקולא</w:t>
      </w:r>
    </w:p>
    <w:p w:rsidR="003A5D2C" w:rsidRDefault="003A5D2C" w:rsidP="003A5D2C">
      <w:pPr>
        <w:pStyle w:val="aff2"/>
        <w:numPr>
          <w:ilvl w:val="0"/>
          <w:numId w:val="3"/>
        </w:numPr>
        <w:rPr>
          <w:rFonts w:eastAsiaTheme="minorEastAsia" w:cstheme="minorBidi"/>
          <w:sz w:val="22"/>
          <w:szCs w:val="22"/>
          <w:rtl/>
        </w:rPr>
      </w:pPr>
      <w:r>
        <w:rPr>
          <w:rtl/>
        </w:rPr>
        <w:t>דברי הרא"ש דמוכח במשנה בתרומה דאף לקולא אמרינן חוזר וניעור וכ"ש דאמרינן לחומרא</w:t>
      </w:r>
    </w:p>
    <w:p w:rsidR="003A5D2C" w:rsidRDefault="003A5D2C" w:rsidP="003A5D2C">
      <w:pPr>
        <w:pStyle w:val="aff2"/>
        <w:numPr>
          <w:ilvl w:val="0"/>
          <w:numId w:val="3"/>
        </w:numPr>
        <w:rPr>
          <w:rFonts w:eastAsiaTheme="minorEastAsia" w:cstheme="minorBidi"/>
          <w:sz w:val="22"/>
          <w:szCs w:val="22"/>
          <w:rtl/>
        </w:rPr>
      </w:pPr>
      <w:r>
        <w:rPr>
          <w:rtl/>
        </w:rPr>
        <w:t>קושית המהר"ם מרוטנבורג דהיתר שבטל באיסור לא נהפך לאיסור ופשיטא דאמרינן חוזר וניעור</w:t>
      </w:r>
    </w:p>
    <w:p w:rsidR="003A5D2C" w:rsidRDefault="003A5D2C" w:rsidP="003A5D2C">
      <w:pPr>
        <w:pStyle w:val="aff2"/>
        <w:numPr>
          <w:ilvl w:val="0"/>
          <w:numId w:val="3"/>
        </w:numPr>
        <w:rPr>
          <w:rFonts w:eastAsiaTheme="minorEastAsia" w:cstheme="minorBidi"/>
          <w:sz w:val="22"/>
          <w:szCs w:val="22"/>
          <w:rtl/>
        </w:rPr>
      </w:pPr>
      <w:r>
        <w:rPr>
          <w:rtl/>
        </w:rPr>
        <w:t>דברי המהר"ם מרוטנבורג דמוכח בגמ' דאף במקום שההיתר בטל לגמרי אמרינן חוזר וניעור</w:t>
      </w:r>
    </w:p>
    <w:p w:rsidR="003A5D2C" w:rsidRDefault="003A5D2C" w:rsidP="003A5D2C">
      <w:pPr>
        <w:pStyle w:val="aff2"/>
        <w:numPr>
          <w:ilvl w:val="0"/>
          <w:numId w:val="3"/>
        </w:numPr>
        <w:rPr>
          <w:rFonts w:eastAsiaTheme="minorEastAsia" w:cstheme="minorBidi"/>
          <w:sz w:val="22"/>
          <w:szCs w:val="22"/>
          <w:rtl/>
        </w:rPr>
      </w:pPr>
      <w:r>
        <w:rPr>
          <w:rtl/>
        </w:rPr>
        <w:t>דברי הרא"ש דמבואר בירושלמי דבכל האיסורים אמרינן חוזר וניעור בהיתר שבטל באיסור</w:t>
      </w:r>
    </w:p>
    <w:p w:rsidR="003A5D2C" w:rsidRDefault="003A5D2C" w:rsidP="003A5D2C">
      <w:pPr>
        <w:pStyle w:val="aff4"/>
        <w:rPr>
          <w:rFonts w:eastAsiaTheme="minorEastAsia" w:cstheme="minorBidi"/>
          <w:i/>
          <w:iCs/>
          <w:noProof/>
          <w:sz w:val="22"/>
          <w:szCs w:val="22"/>
          <w:rtl/>
        </w:rPr>
      </w:pPr>
      <w:r>
        <w:rPr>
          <w:noProof/>
          <w:rtl/>
        </w:rPr>
        <w:t>ביאר הרא"ש דחוזר וניעור הוא כהוכר האיסור</w:t>
      </w:r>
    </w:p>
    <w:p w:rsidR="003A5D2C" w:rsidRDefault="003A5D2C" w:rsidP="003A5D2C">
      <w:pPr>
        <w:pStyle w:val="aff2"/>
        <w:numPr>
          <w:ilvl w:val="0"/>
          <w:numId w:val="3"/>
        </w:numPr>
        <w:rPr>
          <w:rFonts w:eastAsiaTheme="minorEastAsia" w:cstheme="minorBidi"/>
          <w:sz w:val="22"/>
          <w:szCs w:val="22"/>
          <w:rtl/>
        </w:rPr>
      </w:pPr>
      <w:r>
        <w:rPr>
          <w:rtl/>
        </w:rPr>
        <w:t>ביאור הרא"ש דבנוסף איסור חשיב שהוכר האיסור הראשון ולכן הוא חוזר וניעור</w:t>
      </w:r>
    </w:p>
    <w:p w:rsidR="003A5D2C" w:rsidRDefault="003A5D2C" w:rsidP="003A5D2C">
      <w:pPr>
        <w:pStyle w:val="aff4"/>
        <w:rPr>
          <w:rFonts w:eastAsiaTheme="minorEastAsia" w:cstheme="minorBidi"/>
          <w:i/>
          <w:iCs/>
          <w:noProof/>
          <w:sz w:val="22"/>
          <w:szCs w:val="22"/>
          <w:rtl/>
        </w:rPr>
      </w:pPr>
      <w:r>
        <w:rPr>
          <w:noProof/>
          <w:rtl/>
        </w:rPr>
        <w:t>דברי הרא"ש דהפסול בקדשים וכן הטומאה חוזרים וניעורים</w:t>
      </w:r>
    </w:p>
    <w:p w:rsidR="003A5D2C" w:rsidRDefault="003A5D2C" w:rsidP="003A5D2C">
      <w:pPr>
        <w:pStyle w:val="aff2"/>
        <w:numPr>
          <w:ilvl w:val="0"/>
          <w:numId w:val="3"/>
        </w:numPr>
        <w:rPr>
          <w:rFonts w:eastAsiaTheme="minorEastAsia" w:cstheme="minorBidi"/>
          <w:sz w:val="22"/>
          <w:szCs w:val="22"/>
          <w:rtl/>
        </w:rPr>
      </w:pPr>
      <w:r>
        <w:rPr>
          <w:rtl/>
        </w:rPr>
        <w:t>דברי הרא"ש דאף בפסולים בקדשים מוכח דפסול שהצטרף לפסול אחר חוזר וניעור לפסול שלו</w:t>
      </w:r>
    </w:p>
    <w:p w:rsidR="003A5D2C" w:rsidRDefault="003A5D2C" w:rsidP="003A5D2C">
      <w:pPr>
        <w:pStyle w:val="aff2"/>
        <w:numPr>
          <w:ilvl w:val="0"/>
          <w:numId w:val="3"/>
        </w:numPr>
        <w:rPr>
          <w:rFonts w:eastAsiaTheme="minorEastAsia" w:cstheme="minorBidi"/>
          <w:sz w:val="22"/>
          <w:szCs w:val="22"/>
          <w:rtl/>
        </w:rPr>
      </w:pPr>
      <w:r>
        <w:rPr>
          <w:rtl/>
        </w:rPr>
        <w:t>דברי הרא"ש דתרומה טמאה דבטלה בחולין טהורים ונוסף חולין טמאים דהטומאה חוזרת וניעורה</w:t>
      </w:r>
    </w:p>
    <w:p w:rsidR="003A5D2C" w:rsidRDefault="003A5D2C" w:rsidP="003A5D2C">
      <w:pPr>
        <w:pStyle w:val="2"/>
        <w:rPr>
          <w:rFonts w:eastAsiaTheme="minorEastAsia" w:cstheme="minorBidi"/>
          <w:i/>
          <w:iCs/>
          <w:sz w:val="22"/>
          <w:szCs w:val="22"/>
          <w:rtl/>
        </w:rPr>
      </w:pPr>
      <w:r>
        <w:rPr>
          <w:rtl/>
        </w:rPr>
        <w:t>ביאור הרא"ש בנבילה שבטלה בשחוטה</w:t>
      </w:r>
    </w:p>
    <w:p w:rsidR="003A5D2C" w:rsidRDefault="003A5D2C" w:rsidP="003A5D2C">
      <w:pPr>
        <w:pStyle w:val="aff4"/>
        <w:rPr>
          <w:rFonts w:eastAsiaTheme="minorEastAsia" w:cstheme="minorBidi"/>
          <w:i/>
          <w:iCs/>
          <w:noProof/>
          <w:sz w:val="22"/>
          <w:szCs w:val="22"/>
          <w:rtl/>
        </w:rPr>
      </w:pPr>
      <w:r>
        <w:rPr>
          <w:noProof/>
          <w:rtl/>
        </w:rPr>
        <w:t>קושית הרא"ש דהא טומאה שבטלה כמאן דאיתא וה"ה איסור</w:t>
      </w:r>
    </w:p>
    <w:p w:rsidR="003A5D2C" w:rsidRDefault="003A5D2C" w:rsidP="003A5D2C">
      <w:pPr>
        <w:pStyle w:val="aff2"/>
        <w:numPr>
          <w:ilvl w:val="0"/>
          <w:numId w:val="3"/>
        </w:numPr>
        <w:rPr>
          <w:rFonts w:eastAsiaTheme="minorEastAsia" w:cstheme="minorBidi"/>
          <w:sz w:val="22"/>
          <w:szCs w:val="22"/>
          <w:rtl/>
        </w:rPr>
      </w:pPr>
      <w:r>
        <w:rPr>
          <w:rtl/>
        </w:rPr>
        <w:t>דברי הרא"ש דטומאה שבטלה היא כמאן דאיתא ולכן אמרינן חוזר וניעור וא"כ ה"ה באיסורים</w:t>
      </w:r>
    </w:p>
    <w:p w:rsidR="003A5D2C" w:rsidRDefault="003A5D2C" w:rsidP="003A5D2C">
      <w:pPr>
        <w:pStyle w:val="aff2"/>
        <w:numPr>
          <w:ilvl w:val="0"/>
          <w:numId w:val="3"/>
        </w:numPr>
        <w:rPr>
          <w:rFonts w:eastAsiaTheme="minorEastAsia" w:cstheme="minorBidi"/>
          <w:sz w:val="22"/>
          <w:szCs w:val="22"/>
          <w:rtl/>
        </w:rPr>
      </w:pPr>
      <w:r>
        <w:rPr>
          <w:rtl/>
        </w:rPr>
        <w:t>קושית הרא"ש דהאיסור כמאן דאיתא ולא נהפך להיתר וצריך לאסור בבת אחת ובחזר ובישל</w:t>
      </w:r>
    </w:p>
    <w:p w:rsidR="003A5D2C" w:rsidRDefault="003A5D2C" w:rsidP="003A5D2C">
      <w:pPr>
        <w:pStyle w:val="aff4"/>
        <w:rPr>
          <w:rFonts w:eastAsiaTheme="minorEastAsia" w:cstheme="minorBidi"/>
          <w:i/>
          <w:iCs/>
          <w:noProof/>
          <w:sz w:val="22"/>
          <w:szCs w:val="22"/>
          <w:rtl/>
        </w:rPr>
      </w:pPr>
      <w:r>
        <w:rPr>
          <w:noProof/>
          <w:rtl/>
        </w:rPr>
        <w:t>חילוק הרא"ש בין טומאה דכמאן דאיתא לאיסור דנהפך להיתר</w:t>
      </w:r>
    </w:p>
    <w:p w:rsidR="003A5D2C" w:rsidRDefault="003A5D2C" w:rsidP="003A5D2C">
      <w:pPr>
        <w:pStyle w:val="aff2"/>
        <w:numPr>
          <w:ilvl w:val="0"/>
          <w:numId w:val="3"/>
        </w:numPr>
        <w:rPr>
          <w:rFonts w:eastAsiaTheme="minorEastAsia" w:cstheme="minorBidi"/>
          <w:sz w:val="22"/>
          <w:szCs w:val="22"/>
          <w:rtl/>
        </w:rPr>
      </w:pPr>
      <w:r>
        <w:rPr>
          <w:rtl/>
        </w:rPr>
        <w:t>דברי הרא"ש דבטומאה יש ב' מינים ולענין מגע הטומאה בטלה לגמרי ולענין משא אין ביטול</w:t>
      </w:r>
    </w:p>
    <w:p w:rsidR="003A5D2C" w:rsidRDefault="003A5D2C" w:rsidP="003A5D2C">
      <w:pPr>
        <w:pStyle w:val="aff2"/>
        <w:numPr>
          <w:ilvl w:val="0"/>
          <w:numId w:val="3"/>
        </w:numPr>
        <w:rPr>
          <w:rFonts w:eastAsiaTheme="minorEastAsia" w:cstheme="minorBidi"/>
          <w:sz w:val="22"/>
          <w:szCs w:val="22"/>
          <w:rtl/>
        </w:rPr>
      </w:pPr>
      <w:r>
        <w:rPr>
          <w:rtl/>
        </w:rPr>
        <w:t>דברי הרא"ש דבאיסור כל שיש צד היתר מוכח דהאיסור נהפך להיתר והותר לגמרי</w:t>
      </w:r>
    </w:p>
    <w:p w:rsidR="003A5D2C" w:rsidRDefault="003A5D2C" w:rsidP="003A5D2C">
      <w:pPr>
        <w:pStyle w:val="aff2"/>
        <w:numPr>
          <w:ilvl w:val="0"/>
          <w:numId w:val="3"/>
        </w:numPr>
        <w:rPr>
          <w:rFonts w:eastAsiaTheme="minorEastAsia" w:cstheme="minorBidi"/>
          <w:sz w:val="22"/>
          <w:szCs w:val="22"/>
          <w:rtl/>
        </w:rPr>
      </w:pPr>
      <w:r>
        <w:rPr>
          <w:rtl/>
        </w:rPr>
        <w:t>דברי הרא"ש דחוזר וניעור באיסור אינו מחמת שהוא כמאן דאיתא אלא דהוכר מכאן ולהבא</w:t>
      </w:r>
    </w:p>
    <w:p w:rsidR="003A5D2C" w:rsidRDefault="003A5D2C" w:rsidP="003A5D2C">
      <w:pPr>
        <w:pStyle w:val="2"/>
        <w:rPr>
          <w:rFonts w:eastAsiaTheme="minorEastAsia" w:cstheme="minorBidi"/>
          <w:i/>
          <w:iCs/>
          <w:sz w:val="22"/>
          <w:szCs w:val="22"/>
          <w:rtl/>
        </w:rPr>
      </w:pPr>
      <w:r>
        <w:rPr>
          <w:rtl/>
        </w:rPr>
        <w:t>ביאורי האחרונים בדברי הרא"ש</w:t>
      </w:r>
    </w:p>
    <w:p w:rsidR="003A5D2C" w:rsidRDefault="003A5D2C" w:rsidP="003A5D2C">
      <w:pPr>
        <w:pStyle w:val="aff4"/>
        <w:rPr>
          <w:rFonts w:eastAsiaTheme="minorEastAsia" w:cstheme="minorBidi"/>
          <w:i/>
          <w:iCs/>
          <w:noProof/>
          <w:sz w:val="22"/>
          <w:szCs w:val="22"/>
          <w:rtl/>
        </w:rPr>
      </w:pPr>
      <w:r>
        <w:rPr>
          <w:noProof/>
          <w:rtl/>
        </w:rPr>
        <w:t>ביאור היד יהודה ברא"ש דחוזר וניעור לא דמי להוכר האיסור</w:t>
      </w:r>
    </w:p>
    <w:p w:rsidR="003A5D2C" w:rsidRDefault="003A5D2C" w:rsidP="003A5D2C">
      <w:pPr>
        <w:pStyle w:val="aff2"/>
        <w:numPr>
          <w:ilvl w:val="0"/>
          <w:numId w:val="3"/>
        </w:numPr>
        <w:rPr>
          <w:rFonts w:eastAsiaTheme="minorEastAsia" w:cstheme="minorBidi"/>
          <w:sz w:val="22"/>
          <w:szCs w:val="22"/>
          <w:rtl/>
        </w:rPr>
      </w:pPr>
      <w:r>
        <w:rPr>
          <w:rtl/>
        </w:rPr>
        <w:t>ביאור היד יהודה ברא"ש דהוכר האיסור אסור למפרע אבל חוזר וניעור אסור רק מכאן ולהבא</w:t>
      </w:r>
    </w:p>
    <w:p w:rsidR="003A5D2C" w:rsidRDefault="003A5D2C" w:rsidP="003A5D2C">
      <w:pPr>
        <w:pStyle w:val="aff4"/>
        <w:rPr>
          <w:rFonts w:eastAsiaTheme="minorEastAsia" w:cstheme="minorBidi"/>
          <w:i/>
          <w:iCs/>
          <w:noProof/>
          <w:sz w:val="22"/>
          <w:szCs w:val="22"/>
          <w:rtl/>
        </w:rPr>
      </w:pPr>
      <w:r>
        <w:rPr>
          <w:noProof/>
          <w:rtl/>
        </w:rPr>
        <w:t>ביאור ה</w:t>
      </w:r>
      <w:r w:rsidR="00250230">
        <w:rPr>
          <w:noProof/>
          <w:rtl/>
        </w:rPr>
        <w:t>פלתי</w:t>
      </w:r>
      <w:r>
        <w:rPr>
          <w:noProof/>
          <w:rtl/>
        </w:rPr>
        <w:t xml:space="preserve"> ברא"ש דבמקום שאין חוזר וניעור פרח האיסור</w:t>
      </w:r>
    </w:p>
    <w:p w:rsidR="003A5D2C" w:rsidRDefault="003A5D2C" w:rsidP="003A5D2C">
      <w:pPr>
        <w:pStyle w:val="aff2"/>
        <w:numPr>
          <w:ilvl w:val="0"/>
          <w:numId w:val="3"/>
        </w:numPr>
        <w:rPr>
          <w:rFonts w:eastAsiaTheme="minorEastAsia" w:cstheme="minorBidi"/>
          <w:sz w:val="22"/>
          <w:szCs w:val="22"/>
          <w:rtl/>
        </w:rPr>
      </w:pPr>
      <w:r>
        <w:rPr>
          <w:rtl/>
        </w:rPr>
        <w:t>קושית ה</w:t>
      </w:r>
      <w:r w:rsidR="00250230">
        <w:rPr>
          <w:rtl/>
        </w:rPr>
        <w:t>פלתי</w:t>
      </w:r>
      <w:r>
        <w:rPr>
          <w:rtl/>
        </w:rPr>
        <w:t xml:space="preserve"> בסתירת דברי הרא"ש אי ההרמה בתרומה גורמת איסור או לא</w:t>
      </w:r>
    </w:p>
    <w:p w:rsidR="003A5D2C" w:rsidRDefault="003A5D2C" w:rsidP="003A5D2C">
      <w:pPr>
        <w:pStyle w:val="aff2"/>
        <w:numPr>
          <w:ilvl w:val="0"/>
          <w:numId w:val="3"/>
        </w:numPr>
        <w:rPr>
          <w:rFonts w:eastAsiaTheme="minorEastAsia" w:cstheme="minorBidi"/>
          <w:sz w:val="22"/>
          <w:szCs w:val="22"/>
          <w:rtl/>
        </w:rPr>
      </w:pPr>
      <w:r>
        <w:rPr>
          <w:rtl/>
        </w:rPr>
        <w:t>ביאור ה</w:t>
      </w:r>
      <w:r w:rsidR="00250230">
        <w:rPr>
          <w:rtl/>
        </w:rPr>
        <w:t>פלתי</w:t>
      </w:r>
      <w:r>
        <w:rPr>
          <w:rtl/>
        </w:rPr>
        <w:t xml:space="preserve"> ברא"ש דבמקום שלא אמרינן חוזר וניעור פרח האיסור לגמרי</w:t>
      </w:r>
    </w:p>
    <w:p w:rsidR="003A5D2C" w:rsidRDefault="003A5D2C" w:rsidP="003A5D2C">
      <w:pPr>
        <w:pStyle w:val="aff4"/>
        <w:rPr>
          <w:rFonts w:eastAsiaTheme="minorEastAsia" w:cstheme="minorBidi"/>
          <w:i/>
          <w:iCs/>
          <w:noProof/>
          <w:sz w:val="22"/>
          <w:szCs w:val="22"/>
          <w:rtl/>
        </w:rPr>
      </w:pPr>
      <w:r>
        <w:rPr>
          <w:noProof/>
          <w:rtl/>
        </w:rPr>
        <w:t>דברי החזו"א דלהרא"ש טהור במגע אף בנגע בבת אחת</w:t>
      </w:r>
    </w:p>
    <w:p w:rsidR="003A5D2C" w:rsidRDefault="003A5D2C" w:rsidP="003A5D2C">
      <w:pPr>
        <w:pStyle w:val="aff2"/>
        <w:numPr>
          <w:ilvl w:val="0"/>
          <w:numId w:val="3"/>
        </w:numPr>
        <w:rPr>
          <w:rFonts w:eastAsiaTheme="minorEastAsia" w:cstheme="minorBidi"/>
          <w:sz w:val="22"/>
          <w:szCs w:val="22"/>
          <w:rtl/>
        </w:rPr>
      </w:pPr>
      <w:r>
        <w:rPr>
          <w:rtl/>
        </w:rPr>
        <w:t>דברי החזו"א דלהרא"ש דמתיר בכל התערובת בב"א והקשה מטומאה א"כ במגע טהור אף בב"א</w:t>
      </w:r>
    </w:p>
    <w:p w:rsidR="003A5D2C" w:rsidRDefault="003A5D2C" w:rsidP="003A5D2C">
      <w:pPr>
        <w:pStyle w:val="aff4"/>
        <w:rPr>
          <w:rFonts w:eastAsiaTheme="minorEastAsia" w:cstheme="minorBidi"/>
          <w:i/>
          <w:iCs/>
          <w:noProof/>
          <w:sz w:val="22"/>
          <w:szCs w:val="22"/>
          <w:rtl/>
        </w:rPr>
      </w:pPr>
      <w:r>
        <w:rPr>
          <w:noProof/>
          <w:rtl/>
        </w:rPr>
        <w:t>דברי החזו"א דלהתוס' בסוגיין ולהרשב"א בנגע בב"א טמא</w:t>
      </w:r>
    </w:p>
    <w:p w:rsidR="003A5D2C" w:rsidRDefault="003A5D2C" w:rsidP="003A5D2C">
      <w:pPr>
        <w:pStyle w:val="aff2"/>
        <w:numPr>
          <w:ilvl w:val="0"/>
          <w:numId w:val="3"/>
        </w:numPr>
        <w:rPr>
          <w:rFonts w:eastAsiaTheme="minorEastAsia" w:cstheme="minorBidi"/>
          <w:sz w:val="22"/>
          <w:szCs w:val="22"/>
          <w:rtl/>
        </w:rPr>
      </w:pPr>
      <w:r>
        <w:rPr>
          <w:rtl/>
        </w:rPr>
        <w:t>דברי החזו"א דלדעת הרשב"א שאוסר לאכול את כל החתיכות בב"א א"כ טמא במגע בב"א</w:t>
      </w:r>
    </w:p>
    <w:p w:rsidR="003A5D2C" w:rsidRDefault="003A5D2C" w:rsidP="003A5D2C">
      <w:pPr>
        <w:pStyle w:val="aff2"/>
        <w:numPr>
          <w:ilvl w:val="0"/>
          <w:numId w:val="3"/>
        </w:numPr>
        <w:rPr>
          <w:rFonts w:eastAsiaTheme="minorEastAsia" w:cstheme="minorBidi"/>
          <w:sz w:val="22"/>
          <w:szCs w:val="22"/>
          <w:rtl/>
        </w:rPr>
      </w:pPr>
      <w:r>
        <w:rPr>
          <w:rtl/>
        </w:rPr>
        <w:t>דברי החזו"א דלהתוס' בסוגיין שאסור את כל התערובת לאדם אחד א"כ טמא במגע בב"א</w:t>
      </w:r>
    </w:p>
    <w:p w:rsidR="003A5D2C" w:rsidRDefault="003A5D2C" w:rsidP="003A5D2C">
      <w:pPr>
        <w:pStyle w:val="aff4"/>
        <w:rPr>
          <w:rFonts w:eastAsiaTheme="minorEastAsia" w:cstheme="minorBidi"/>
          <w:i/>
          <w:iCs/>
          <w:noProof/>
          <w:sz w:val="22"/>
          <w:szCs w:val="22"/>
          <w:rtl/>
        </w:rPr>
      </w:pPr>
      <w:r>
        <w:rPr>
          <w:noProof/>
          <w:rtl/>
        </w:rPr>
        <w:t>ביאור החזו"א ברא"ש דבטומאה הנדון אי האדם נטמא</w:t>
      </w:r>
    </w:p>
    <w:p w:rsidR="003A5D2C" w:rsidRDefault="003A5D2C" w:rsidP="003A5D2C">
      <w:pPr>
        <w:pStyle w:val="aff2"/>
        <w:numPr>
          <w:ilvl w:val="0"/>
          <w:numId w:val="3"/>
        </w:numPr>
        <w:rPr>
          <w:rFonts w:eastAsiaTheme="minorEastAsia" w:cstheme="minorBidi"/>
          <w:sz w:val="22"/>
          <w:szCs w:val="22"/>
          <w:rtl/>
        </w:rPr>
      </w:pPr>
      <w:r>
        <w:rPr>
          <w:rtl/>
        </w:rPr>
        <w:t>ביאור החזו"א ברא"ש דבטומאה דנים אי נטמא ואסור בתרומה וטמא במשא דודאי נשא טומאה</w:t>
      </w:r>
    </w:p>
    <w:p w:rsidR="003A5D2C" w:rsidRDefault="003A5D2C" w:rsidP="003A5D2C">
      <w:pPr>
        <w:pStyle w:val="aff4"/>
        <w:rPr>
          <w:rFonts w:eastAsiaTheme="minorEastAsia" w:cstheme="minorBidi"/>
          <w:i/>
          <w:iCs/>
          <w:noProof/>
          <w:sz w:val="22"/>
          <w:szCs w:val="22"/>
          <w:rtl/>
        </w:rPr>
      </w:pPr>
      <w:r>
        <w:rPr>
          <w:noProof/>
          <w:rtl/>
        </w:rPr>
        <w:t>ביאור החזו"א ברא"ש דבביטול בלח לא חשיב שאוכל איסור</w:t>
      </w:r>
    </w:p>
    <w:p w:rsidR="003A5D2C" w:rsidRDefault="003A5D2C" w:rsidP="003A5D2C">
      <w:pPr>
        <w:pStyle w:val="aff2"/>
        <w:numPr>
          <w:ilvl w:val="0"/>
          <w:numId w:val="3"/>
        </w:numPr>
        <w:rPr>
          <w:rFonts w:eastAsiaTheme="minorEastAsia" w:cstheme="minorBidi"/>
          <w:sz w:val="22"/>
          <w:szCs w:val="22"/>
          <w:rtl/>
        </w:rPr>
      </w:pPr>
      <w:r>
        <w:rPr>
          <w:rtl/>
        </w:rPr>
        <w:t>קושית החזו"א אמאי לא הקשה הרא"ש על כל ביטול בלח דלא יועיל ביטול כמשא בב"א דטמא</w:t>
      </w:r>
    </w:p>
    <w:p w:rsidR="003A5D2C" w:rsidRDefault="003A5D2C" w:rsidP="003A5D2C">
      <w:pPr>
        <w:pStyle w:val="aff2"/>
        <w:numPr>
          <w:ilvl w:val="0"/>
          <w:numId w:val="3"/>
        </w:numPr>
        <w:rPr>
          <w:rFonts w:eastAsiaTheme="minorEastAsia" w:cstheme="minorBidi"/>
          <w:sz w:val="22"/>
          <w:szCs w:val="22"/>
          <w:rtl/>
        </w:rPr>
      </w:pPr>
      <w:r>
        <w:rPr>
          <w:rtl/>
        </w:rPr>
        <w:t>ביאור החזו"א דאפש"ל ברא"ש דבביטול בלח לא חשיב שאוכל את האיסור כלל</w:t>
      </w:r>
    </w:p>
    <w:p w:rsidR="003A5D2C" w:rsidRDefault="003A5D2C" w:rsidP="003A5D2C">
      <w:pPr>
        <w:pStyle w:val="2"/>
        <w:rPr>
          <w:rFonts w:eastAsiaTheme="minorEastAsia" w:cstheme="minorBidi"/>
          <w:i/>
          <w:iCs/>
          <w:sz w:val="22"/>
          <w:szCs w:val="22"/>
          <w:rtl/>
        </w:rPr>
      </w:pPr>
      <w:r>
        <w:rPr>
          <w:rtl/>
        </w:rPr>
        <w:t>ביאור התוס' בנבילה שבטלה בשחוטה</w:t>
      </w:r>
    </w:p>
    <w:p w:rsidR="003A5D2C" w:rsidRDefault="003A5D2C" w:rsidP="003A5D2C">
      <w:pPr>
        <w:pStyle w:val="aff4"/>
        <w:rPr>
          <w:rFonts w:eastAsiaTheme="minorEastAsia" w:cstheme="minorBidi"/>
          <w:i/>
          <w:iCs/>
          <w:noProof/>
          <w:sz w:val="22"/>
          <w:szCs w:val="22"/>
          <w:rtl/>
        </w:rPr>
      </w:pPr>
      <w:r>
        <w:rPr>
          <w:noProof/>
          <w:rtl/>
        </w:rPr>
        <w:t>דברי התוס' בבכורות בביאור החילוק בין טומאת מגע למשא</w:t>
      </w:r>
    </w:p>
    <w:p w:rsidR="003A5D2C" w:rsidRDefault="003A5D2C" w:rsidP="003A5D2C">
      <w:pPr>
        <w:pStyle w:val="aff2"/>
        <w:numPr>
          <w:ilvl w:val="0"/>
          <w:numId w:val="3"/>
        </w:numPr>
        <w:rPr>
          <w:rFonts w:eastAsiaTheme="minorEastAsia" w:cstheme="minorBidi"/>
          <w:sz w:val="22"/>
          <w:szCs w:val="22"/>
          <w:rtl/>
        </w:rPr>
      </w:pPr>
      <w:r>
        <w:rPr>
          <w:rtl/>
        </w:rPr>
        <w:t>הביאור הא' בתוס' בבכורות דבמגע אינו נוגע בבת אחת וכיון שבטלה ברוב אינו ספק טומאה</w:t>
      </w:r>
    </w:p>
    <w:p w:rsidR="003A5D2C" w:rsidRDefault="003A5D2C" w:rsidP="003A5D2C">
      <w:pPr>
        <w:pStyle w:val="aff2"/>
        <w:numPr>
          <w:ilvl w:val="0"/>
          <w:numId w:val="3"/>
        </w:numPr>
        <w:rPr>
          <w:rFonts w:eastAsiaTheme="minorEastAsia" w:cstheme="minorBidi"/>
          <w:sz w:val="22"/>
          <w:szCs w:val="22"/>
          <w:rtl/>
        </w:rPr>
      </w:pPr>
      <w:r>
        <w:rPr>
          <w:rtl/>
        </w:rPr>
        <w:t>הביאור הב' בתוס' בבכורות דבנבילה בשחוטה איירי בנימוח ולכן אינה מטמאה במגע</w:t>
      </w:r>
    </w:p>
    <w:p w:rsidR="003A5D2C" w:rsidRDefault="003A5D2C" w:rsidP="003A5D2C">
      <w:pPr>
        <w:pStyle w:val="aff2"/>
        <w:numPr>
          <w:ilvl w:val="0"/>
          <w:numId w:val="3"/>
        </w:numPr>
        <w:rPr>
          <w:rFonts w:eastAsiaTheme="minorEastAsia" w:cstheme="minorBidi"/>
          <w:sz w:val="22"/>
          <w:szCs w:val="22"/>
          <w:rtl/>
        </w:rPr>
      </w:pPr>
      <w:r>
        <w:rPr>
          <w:rtl/>
        </w:rPr>
        <w:t>קושית השיטמ"ק על הביאור הא' בתוס' דבמשא טהור אף בנשא בזה אחר זה</w:t>
      </w:r>
    </w:p>
    <w:p w:rsidR="003A5D2C" w:rsidRDefault="003A5D2C" w:rsidP="003A5D2C">
      <w:pPr>
        <w:pStyle w:val="aff4"/>
        <w:rPr>
          <w:rFonts w:eastAsiaTheme="minorEastAsia" w:cstheme="minorBidi"/>
          <w:i/>
          <w:iCs/>
          <w:noProof/>
          <w:sz w:val="22"/>
          <w:szCs w:val="22"/>
          <w:rtl/>
        </w:rPr>
      </w:pPr>
      <w:r>
        <w:rPr>
          <w:noProof/>
          <w:rtl/>
        </w:rPr>
        <w:t>ביאור התוס' בבכורות בחילוק בין ביטול טומאה לביטול איסור</w:t>
      </w:r>
    </w:p>
    <w:p w:rsidR="003A5D2C" w:rsidRDefault="003A5D2C" w:rsidP="003A5D2C">
      <w:pPr>
        <w:pStyle w:val="aff2"/>
        <w:numPr>
          <w:ilvl w:val="0"/>
          <w:numId w:val="3"/>
        </w:numPr>
        <w:rPr>
          <w:rFonts w:eastAsiaTheme="minorEastAsia" w:cstheme="minorBidi"/>
          <w:sz w:val="22"/>
          <w:szCs w:val="22"/>
          <w:rtl/>
        </w:rPr>
      </w:pPr>
      <w:r>
        <w:rPr>
          <w:rtl/>
        </w:rPr>
        <w:t>קושית התוס' דמ"ש טומאת משא דאינה בטלה ברוב מאיסור דבטל ברוב</w:t>
      </w:r>
    </w:p>
    <w:p w:rsidR="003A5D2C" w:rsidRDefault="003A5D2C" w:rsidP="003A5D2C">
      <w:pPr>
        <w:pStyle w:val="aff2"/>
        <w:numPr>
          <w:ilvl w:val="0"/>
          <w:numId w:val="3"/>
        </w:numPr>
        <w:rPr>
          <w:rFonts w:eastAsiaTheme="minorEastAsia" w:cstheme="minorBidi"/>
          <w:sz w:val="22"/>
          <w:szCs w:val="22"/>
          <w:rtl/>
        </w:rPr>
      </w:pPr>
      <w:r>
        <w:rPr>
          <w:rtl/>
        </w:rPr>
        <w:t>התירוץ הא' בתוס' דאיסור בטל בכל משהו שבולע וקמא קמא בטיל משא"כ במשא</w:t>
      </w:r>
    </w:p>
    <w:p w:rsidR="003A5D2C" w:rsidRDefault="003A5D2C" w:rsidP="003A5D2C">
      <w:pPr>
        <w:pStyle w:val="aff2"/>
        <w:numPr>
          <w:ilvl w:val="0"/>
          <w:numId w:val="3"/>
        </w:numPr>
        <w:rPr>
          <w:rFonts w:eastAsiaTheme="minorEastAsia" w:cstheme="minorBidi"/>
          <w:sz w:val="22"/>
          <w:szCs w:val="22"/>
          <w:rtl/>
        </w:rPr>
      </w:pPr>
      <w:r>
        <w:rPr>
          <w:rtl/>
        </w:rPr>
        <w:t>דברי התוס' בבכורות דטומאת משא בנבילה שבטלה ברוב היא דרבנן ולא גזרו באיסור</w:t>
      </w:r>
    </w:p>
    <w:p w:rsidR="003A5D2C" w:rsidRDefault="003A5D2C" w:rsidP="003A5D2C">
      <w:pPr>
        <w:pStyle w:val="aff4"/>
        <w:rPr>
          <w:rFonts w:eastAsiaTheme="minorEastAsia" w:cstheme="minorBidi"/>
          <w:i/>
          <w:iCs/>
          <w:noProof/>
          <w:sz w:val="22"/>
          <w:szCs w:val="22"/>
          <w:rtl/>
        </w:rPr>
      </w:pPr>
      <w:r>
        <w:rPr>
          <w:noProof/>
          <w:rtl/>
        </w:rPr>
        <w:t>דברי החזו"א דדין נגע בבת אחת תלוי בביאורי התוס' בבכורות</w:t>
      </w:r>
    </w:p>
    <w:p w:rsidR="003A5D2C" w:rsidRDefault="003A5D2C" w:rsidP="003A5D2C">
      <w:pPr>
        <w:pStyle w:val="aff2"/>
        <w:numPr>
          <w:ilvl w:val="0"/>
          <w:numId w:val="3"/>
        </w:numPr>
        <w:rPr>
          <w:rFonts w:eastAsiaTheme="minorEastAsia" w:cstheme="minorBidi"/>
          <w:sz w:val="22"/>
          <w:szCs w:val="22"/>
          <w:rtl/>
        </w:rPr>
      </w:pPr>
      <w:r>
        <w:rPr>
          <w:rtl/>
        </w:rPr>
        <w:t>ביאור החזו"א בביאור הב' בתוס' בבכורות דביבש יש טומאת מגע בנגע בכל החתיכות בב"א</w:t>
      </w:r>
    </w:p>
    <w:p w:rsidR="003A5D2C" w:rsidRDefault="003A5D2C" w:rsidP="003A5D2C">
      <w:pPr>
        <w:pStyle w:val="aff2"/>
        <w:numPr>
          <w:ilvl w:val="0"/>
          <w:numId w:val="3"/>
        </w:numPr>
        <w:rPr>
          <w:rFonts w:eastAsiaTheme="minorEastAsia" w:cstheme="minorBidi"/>
          <w:sz w:val="22"/>
          <w:szCs w:val="22"/>
          <w:rtl/>
        </w:rPr>
      </w:pPr>
      <w:r>
        <w:rPr>
          <w:rtl/>
        </w:rPr>
        <w:t>ביאור החזו"א דבלח אין לטומאה חשיבות ושיעור אבל ביבש הטומאה מצד עצמה אינה בטלה</w:t>
      </w:r>
    </w:p>
    <w:p w:rsidR="003A5D2C" w:rsidRDefault="003A5D2C" w:rsidP="003A5D2C">
      <w:pPr>
        <w:pStyle w:val="aff2"/>
        <w:numPr>
          <w:ilvl w:val="0"/>
          <w:numId w:val="3"/>
        </w:numPr>
        <w:rPr>
          <w:rFonts w:eastAsiaTheme="minorEastAsia" w:cstheme="minorBidi"/>
          <w:sz w:val="22"/>
          <w:szCs w:val="22"/>
          <w:rtl/>
        </w:rPr>
      </w:pPr>
      <w:r>
        <w:rPr>
          <w:rtl/>
        </w:rPr>
        <w:t>דברי החזו"א דדין טומאת מגע בכל החתיכות בבת אחת תלוי בב' הביאורים בתוס' בבכורות</w:t>
      </w:r>
    </w:p>
    <w:p w:rsidR="003A5D2C" w:rsidRDefault="003A5D2C" w:rsidP="003A5D2C">
      <w:pPr>
        <w:pStyle w:val="aff4"/>
        <w:rPr>
          <w:rFonts w:eastAsiaTheme="minorEastAsia" w:cstheme="minorBidi"/>
          <w:i/>
          <w:iCs/>
          <w:noProof/>
          <w:sz w:val="22"/>
          <w:szCs w:val="22"/>
          <w:rtl/>
        </w:rPr>
      </w:pPr>
      <w:r>
        <w:rPr>
          <w:noProof/>
          <w:rtl/>
        </w:rPr>
        <w:t>ביאור החזו"א בתוס' בבכורות דאכילה היא כמגע ולא כמשא</w:t>
      </w:r>
    </w:p>
    <w:p w:rsidR="003A5D2C" w:rsidRDefault="003A5D2C" w:rsidP="003A5D2C">
      <w:pPr>
        <w:pStyle w:val="aff2"/>
        <w:numPr>
          <w:ilvl w:val="0"/>
          <w:numId w:val="3"/>
        </w:numPr>
        <w:rPr>
          <w:rFonts w:eastAsiaTheme="minorEastAsia" w:cstheme="minorBidi"/>
          <w:sz w:val="22"/>
          <w:szCs w:val="22"/>
          <w:rtl/>
        </w:rPr>
      </w:pPr>
      <w:r>
        <w:rPr>
          <w:rtl/>
        </w:rPr>
        <w:t>ביאור החזו"א בתוס' בבכורות דאכילה דמי למגע ולא למשא ולכן אמרינן דקמא קמא בטיל</w:t>
      </w:r>
    </w:p>
    <w:p w:rsidR="003A5D2C" w:rsidRDefault="003A5D2C" w:rsidP="003A5D2C">
      <w:pPr>
        <w:pStyle w:val="2"/>
        <w:rPr>
          <w:rFonts w:eastAsiaTheme="minorEastAsia" w:cstheme="minorBidi"/>
          <w:i/>
          <w:iCs/>
          <w:sz w:val="22"/>
          <w:szCs w:val="22"/>
          <w:rtl/>
        </w:rPr>
      </w:pPr>
      <w:r>
        <w:rPr>
          <w:rtl/>
        </w:rPr>
        <w:t>דברי הרמב"ם בנבילה שבטלה בשחוטה</w:t>
      </w:r>
    </w:p>
    <w:p w:rsidR="003A5D2C" w:rsidRDefault="003A5D2C" w:rsidP="003A5D2C">
      <w:pPr>
        <w:pStyle w:val="aff4"/>
        <w:rPr>
          <w:rFonts w:eastAsiaTheme="minorEastAsia" w:cstheme="minorBidi"/>
          <w:i/>
          <w:iCs/>
          <w:noProof/>
          <w:sz w:val="22"/>
          <w:szCs w:val="22"/>
          <w:rtl/>
        </w:rPr>
      </w:pPr>
      <w:r>
        <w:rPr>
          <w:noProof/>
          <w:rtl/>
        </w:rPr>
        <w:t>דברי הרמב"ם דהכל מטמא במשא ואין הכל מטמא במגע</w:t>
      </w:r>
    </w:p>
    <w:p w:rsidR="003A5D2C" w:rsidRDefault="003A5D2C" w:rsidP="003A5D2C">
      <w:pPr>
        <w:pStyle w:val="aff2"/>
        <w:numPr>
          <w:ilvl w:val="0"/>
          <w:numId w:val="3"/>
        </w:numPr>
        <w:rPr>
          <w:rFonts w:eastAsiaTheme="minorEastAsia" w:cstheme="minorBidi"/>
          <w:sz w:val="22"/>
          <w:szCs w:val="22"/>
          <w:rtl/>
        </w:rPr>
      </w:pPr>
      <w:r>
        <w:rPr>
          <w:rtl/>
        </w:rPr>
        <w:t>דברי הרמב"ם דנבילה שהתערבה בשחוטה בטלה הנבילה והכל אין מטמא במגע ומטמא במשא</w:t>
      </w:r>
    </w:p>
    <w:p w:rsidR="003A5D2C" w:rsidRDefault="003A5D2C" w:rsidP="003A5D2C">
      <w:pPr>
        <w:pStyle w:val="aff4"/>
        <w:rPr>
          <w:rFonts w:eastAsiaTheme="minorEastAsia" w:cstheme="minorBidi"/>
          <w:i/>
          <w:iCs/>
          <w:noProof/>
          <w:sz w:val="22"/>
          <w:szCs w:val="22"/>
          <w:rtl/>
        </w:rPr>
      </w:pPr>
      <w:r>
        <w:rPr>
          <w:noProof/>
          <w:rtl/>
        </w:rPr>
        <w:t>דברי המשל"מ והפרמ"ג דלהרמב"ם מטמאה במשא מדאו'</w:t>
      </w:r>
    </w:p>
    <w:p w:rsidR="003A5D2C" w:rsidRDefault="003A5D2C" w:rsidP="003A5D2C">
      <w:pPr>
        <w:pStyle w:val="aff2"/>
        <w:numPr>
          <w:ilvl w:val="0"/>
          <w:numId w:val="3"/>
        </w:numPr>
        <w:rPr>
          <w:rFonts w:eastAsiaTheme="minorEastAsia" w:cstheme="minorBidi"/>
          <w:sz w:val="22"/>
          <w:szCs w:val="22"/>
          <w:rtl/>
        </w:rPr>
      </w:pPr>
      <w:r>
        <w:rPr>
          <w:rtl/>
        </w:rPr>
        <w:t>דברי המשל"מ והפרמ"ג דלדעת הרמב"ם נבילה שבטלה בשחוטה מדאו' מטמאה במשא</w:t>
      </w:r>
    </w:p>
    <w:p w:rsidR="003A5D2C" w:rsidRDefault="003A5D2C" w:rsidP="003A5D2C">
      <w:pPr>
        <w:pStyle w:val="2"/>
        <w:rPr>
          <w:rFonts w:eastAsiaTheme="minorEastAsia" w:cstheme="minorBidi"/>
          <w:i/>
          <w:iCs/>
          <w:sz w:val="22"/>
          <w:szCs w:val="22"/>
          <w:rtl/>
        </w:rPr>
      </w:pPr>
      <w:r>
        <w:rPr>
          <w:rtl/>
        </w:rPr>
        <w:t>חילוק המהר"י קורקוס בין לח ליבש</w:t>
      </w:r>
    </w:p>
    <w:p w:rsidR="003A5D2C" w:rsidRDefault="003A5D2C" w:rsidP="003A5D2C">
      <w:pPr>
        <w:pStyle w:val="aff4"/>
        <w:rPr>
          <w:rFonts w:eastAsiaTheme="minorEastAsia" w:cstheme="minorBidi"/>
          <w:i/>
          <w:iCs/>
          <w:noProof/>
          <w:sz w:val="22"/>
          <w:szCs w:val="22"/>
          <w:rtl/>
        </w:rPr>
      </w:pPr>
      <w:r>
        <w:rPr>
          <w:noProof/>
          <w:rtl/>
        </w:rPr>
        <w:t>ביאור המהר"י קורקוס בחילוק בין מגע בב"א למשא בב"א</w:t>
      </w:r>
    </w:p>
    <w:p w:rsidR="003A5D2C" w:rsidRDefault="003A5D2C" w:rsidP="003A5D2C">
      <w:pPr>
        <w:pStyle w:val="aff2"/>
        <w:numPr>
          <w:ilvl w:val="0"/>
          <w:numId w:val="3"/>
        </w:numPr>
        <w:rPr>
          <w:rFonts w:eastAsiaTheme="minorEastAsia" w:cstheme="minorBidi"/>
          <w:sz w:val="22"/>
          <w:szCs w:val="22"/>
          <w:rtl/>
        </w:rPr>
      </w:pPr>
      <w:r>
        <w:rPr>
          <w:rtl/>
        </w:rPr>
        <w:t>קושית הכס"מ מ"ש מגע בכל התערובת דטהור ממשא בכל התערובת דטמא</w:t>
      </w:r>
    </w:p>
    <w:p w:rsidR="003A5D2C" w:rsidRDefault="003A5D2C" w:rsidP="003A5D2C">
      <w:pPr>
        <w:pStyle w:val="aff2"/>
        <w:numPr>
          <w:ilvl w:val="0"/>
          <w:numId w:val="3"/>
        </w:numPr>
        <w:rPr>
          <w:rFonts w:eastAsiaTheme="minorEastAsia" w:cstheme="minorBidi"/>
          <w:sz w:val="22"/>
          <w:szCs w:val="22"/>
          <w:rtl/>
        </w:rPr>
      </w:pPr>
      <w:r>
        <w:rPr>
          <w:rtl/>
        </w:rPr>
        <w:t>ביאור המהר"י קורקוס דבמגע אף בב"א כל נגיעה היא בפנ"ע ובמשא הוא נושא בבת אחת</w:t>
      </w:r>
    </w:p>
    <w:p w:rsidR="003A5D2C" w:rsidRDefault="003A5D2C" w:rsidP="003A5D2C">
      <w:pPr>
        <w:pStyle w:val="aff4"/>
        <w:rPr>
          <w:rFonts w:eastAsiaTheme="minorEastAsia" w:cstheme="minorBidi"/>
          <w:i/>
          <w:iCs/>
          <w:noProof/>
          <w:sz w:val="22"/>
          <w:szCs w:val="22"/>
          <w:rtl/>
        </w:rPr>
      </w:pPr>
      <w:r>
        <w:rPr>
          <w:noProof/>
          <w:rtl/>
        </w:rPr>
        <w:t>ביאור המהר"י קורקוס דבלח בטל לגמרי וביבש כמאן דאיתא</w:t>
      </w:r>
    </w:p>
    <w:p w:rsidR="003A5D2C" w:rsidRDefault="003A5D2C" w:rsidP="003A5D2C">
      <w:pPr>
        <w:pStyle w:val="aff2"/>
        <w:numPr>
          <w:ilvl w:val="0"/>
          <w:numId w:val="3"/>
        </w:numPr>
        <w:rPr>
          <w:rFonts w:eastAsiaTheme="minorEastAsia" w:cstheme="minorBidi"/>
          <w:sz w:val="22"/>
          <w:szCs w:val="22"/>
          <w:rtl/>
        </w:rPr>
      </w:pPr>
      <w:r>
        <w:rPr>
          <w:rtl/>
        </w:rPr>
        <w:t>קושית המהר"י קורקוס מ"ש נבילה שבטלה בשחוטה מחררת דם דאינה מטמאה אף במשא</w:t>
      </w:r>
    </w:p>
    <w:p w:rsidR="003A5D2C" w:rsidRDefault="003A5D2C" w:rsidP="003A5D2C">
      <w:pPr>
        <w:pStyle w:val="aff2"/>
        <w:numPr>
          <w:ilvl w:val="0"/>
          <w:numId w:val="3"/>
        </w:numPr>
        <w:rPr>
          <w:rFonts w:eastAsiaTheme="minorEastAsia" w:cstheme="minorBidi"/>
          <w:sz w:val="22"/>
          <w:szCs w:val="22"/>
          <w:rtl/>
        </w:rPr>
      </w:pPr>
      <w:r>
        <w:rPr>
          <w:rtl/>
        </w:rPr>
        <w:t>ביאור המהר"י קורקוס דבביטול בלח חשיב שאין טומאה וביבש יש טומאה ובטלה דאינה ניכרת</w:t>
      </w:r>
    </w:p>
    <w:p w:rsidR="003A5D2C" w:rsidRDefault="003A5D2C" w:rsidP="003A5D2C">
      <w:pPr>
        <w:pStyle w:val="2"/>
        <w:rPr>
          <w:rFonts w:eastAsiaTheme="minorEastAsia" w:cstheme="minorBidi"/>
          <w:i/>
          <w:iCs/>
          <w:sz w:val="22"/>
          <w:szCs w:val="22"/>
          <w:rtl/>
        </w:rPr>
      </w:pPr>
      <w:r>
        <w:rPr>
          <w:rtl/>
        </w:rPr>
        <w:t>ביאורי ראשי הישיבות</w:t>
      </w:r>
    </w:p>
    <w:p w:rsidR="003A5D2C" w:rsidRDefault="003A5D2C" w:rsidP="003A5D2C">
      <w:pPr>
        <w:pStyle w:val="2"/>
        <w:rPr>
          <w:rFonts w:eastAsiaTheme="minorEastAsia" w:cstheme="minorBidi"/>
          <w:i/>
          <w:iCs/>
          <w:sz w:val="22"/>
          <w:szCs w:val="22"/>
          <w:rtl/>
        </w:rPr>
      </w:pPr>
      <w:r>
        <w:rPr>
          <w:rtl/>
        </w:rPr>
        <w:t>בדברי הרא"ש בדין חוזר וניעור</w:t>
      </w:r>
    </w:p>
    <w:p w:rsidR="003A5D2C" w:rsidRDefault="003A5D2C" w:rsidP="003A5D2C">
      <w:pPr>
        <w:pStyle w:val="aff4"/>
        <w:rPr>
          <w:rFonts w:eastAsiaTheme="minorEastAsia" w:cstheme="minorBidi"/>
          <w:i/>
          <w:iCs/>
          <w:noProof/>
          <w:sz w:val="22"/>
          <w:szCs w:val="22"/>
          <w:rtl/>
        </w:rPr>
      </w:pPr>
      <w:r>
        <w:rPr>
          <w:noProof/>
          <w:rtl/>
        </w:rPr>
        <w:t>דברי הגרש"ש דהוסיף איסור חשיב כהוכר האיסור מכאן ולהבא</w:t>
      </w:r>
    </w:p>
    <w:p w:rsidR="003A5D2C" w:rsidRDefault="003A5D2C" w:rsidP="003A5D2C">
      <w:pPr>
        <w:pStyle w:val="aff2"/>
        <w:numPr>
          <w:ilvl w:val="0"/>
          <w:numId w:val="3"/>
        </w:numPr>
        <w:rPr>
          <w:rFonts w:eastAsiaTheme="minorEastAsia" w:cstheme="minorBidi"/>
          <w:sz w:val="22"/>
          <w:szCs w:val="22"/>
          <w:rtl/>
        </w:rPr>
      </w:pPr>
      <w:r>
        <w:rPr>
          <w:rtl/>
        </w:rPr>
        <w:t>ביאור הגרש"ש ברא"ש דבהוסיף איסור כיון שאין רוב היתר לכן חשיב כהוכר מכאן ולהבא</w:t>
      </w:r>
    </w:p>
    <w:p w:rsidR="003A5D2C" w:rsidRDefault="003A5D2C" w:rsidP="003A5D2C">
      <w:pPr>
        <w:pStyle w:val="aff4"/>
        <w:rPr>
          <w:rFonts w:eastAsiaTheme="minorEastAsia" w:cstheme="minorBidi"/>
          <w:i/>
          <w:iCs/>
          <w:noProof/>
          <w:sz w:val="22"/>
          <w:szCs w:val="22"/>
          <w:rtl/>
        </w:rPr>
      </w:pPr>
      <w:r>
        <w:rPr>
          <w:noProof/>
          <w:rtl/>
        </w:rPr>
        <w:t>ביאור הקוב"ש ברא"ש דבביטול ברוב לא בטלה סיבת האיסור</w:t>
      </w:r>
    </w:p>
    <w:p w:rsidR="003A5D2C" w:rsidRDefault="003A5D2C" w:rsidP="003A5D2C">
      <w:pPr>
        <w:pStyle w:val="aff2"/>
        <w:numPr>
          <w:ilvl w:val="0"/>
          <w:numId w:val="3"/>
        </w:numPr>
        <w:rPr>
          <w:rFonts w:eastAsiaTheme="minorEastAsia" w:cstheme="minorBidi"/>
          <w:sz w:val="22"/>
          <w:szCs w:val="22"/>
          <w:rtl/>
        </w:rPr>
      </w:pPr>
      <w:r>
        <w:rPr>
          <w:rtl/>
        </w:rPr>
        <w:t>קושית הקוב"ש על הרא"ש דהיאך אפש"ל דחוזר וניעור הוכר האיסור הרי הוא נהפך כבר להיתר</w:t>
      </w:r>
    </w:p>
    <w:p w:rsidR="003A5D2C" w:rsidRDefault="003A5D2C" w:rsidP="003A5D2C">
      <w:pPr>
        <w:pStyle w:val="aff2"/>
        <w:numPr>
          <w:ilvl w:val="0"/>
          <w:numId w:val="3"/>
        </w:numPr>
        <w:rPr>
          <w:rFonts w:eastAsiaTheme="minorEastAsia" w:cstheme="minorBidi"/>
          <w:sz w:val="22"/>
          <w:szCs w:val="22"/>
          <w:rtl/>
        </w:rPr>
      </w:pPr>
      <w:r>
        <w:rPr>
          <w:rtl/>
        </w:rPr>
        <w:t>קושית הקוב"ש על הרא"ש דבטומאה בטלה סיבת הטומאה ברוב והאיך שייך לומר חוזר וניעור</w:t>
      </w:r>
    </w:p>
    <w:p w:rsidR="003A5D2C" w:rsidRDefault="003A5D2C" w:rsidP="003A5D2C">
      <w:pPr>
        <w:pStyle w:val="aff2"/>
        <w:numPr>
          <w:ilvl w:val="0"/>
          <w:numId w:val="3"/>
        </w:numPr>
        <w:rPr>
          <w:rFonts w:eastAsiaTheme="minorEastAsia" w:cstheme="minorBidi"/>
          <w:sz w:val="22"/>
          <w:szCs w:val="22"/>
          <w:rtl/>
        </w:rPr>
      </w:pPr>
      <w:r>
        <w:rPr>
          <w:rtl/>
        </w:rPr>
        <w:t>ביאור הקוב"ש דביטול ברוב אינו מפקיע את סיבת האיסור ומתיר רק לשעה שיש ביטול ברוב</w:t>
      </w:r>
    </w:p>
    <w:p w:rsidR="003A5D2C" w:rsidRDefault="003A5D2C" w:rsidP="003A5D2C">
      <w:pPr>
        <w:pStyle w:val="aff2"/>
        <w:numPr>
          <w:ilvl w:val="0"/>
          <w:numId w:val="3"/>
        </w:numPr>
        <w:rPr>
          <w:rFonts w:eastAsiaTheme="minorEastAsia" w:cstheme="minorBidi"/>
          <w:sz w:val="22"/>
          <w:szCs w:val="22"/>
          <w:rtl/>
        </w:rPr>
      </w:pPr>
      <w:r>
        <w:rPr>
          <w:rtl/>
        </w:rPr>
        <w:t>ביאור הקוב"ש ברא"ש דחוזר וניעור כהוכר האיסור ואין את סיבת ההיתר ואסור מכאן ולהבא</w:t>
      </w:r>
    </w:p>
    <w:p w:rsidR="003A5D2C" w:rsidRDefault="003A5D2C" w:rsidP="003A5D2C">
      <w:pPr>
        <w:pStyle w:val="aff2"/>
        <w:numPr>
          <w:ilvl w:val="0"/>
          <w:numId w:val="3"/>
        </w:numPr>
        <w:rPr>
          <w:rFonts w:eastAsiaTheme="minorEastAsia" w:cstheme="minorBidi"/>
          <w:sz w:val="22"/>
          <w:szCs w:val="22"/>
          <w:rtl/>
        </w:rPr>
      </w:pPr>
      <w:r>
        <w:rPr>
          <w:rtl/>
        </w:rPr>
        <w:t>ביאור הקוה"ע בחוזר וניעור בטומאה דסיבת הטומאה לא פקעה וכשאין ספק ממילא חוזר ומטמא</w:t>
      </w:r>
    </w:p>
    <w:p w:rsidR="003A5D2C" w:rsidRDefault="003A5D2C" w:rsidP="003A5D2C">
      <w:pPr>
        <w:pStyle w:val="aff4"/>
        <w:rPr>
          <w:rFonts w:eastAsiaTheme="minorEastAsia" w:cstheme="minorBidi"/>
          <w:i/>
          <w:iCs/>
          <w:noProof/>
          <w:sz w:val="22"/>
          <w:szCs w:val="22"/>
          <w:rtl/>
        </w:rPr>
      </w:pPr>
      <w:r>
        <w:rPr>
          <w:noProof/>
          <w:rtl/>
        </w:rPr>
        <w:t>ביאור נוסף בקוב"ש דבחוזר וניעור אין את סיבת ההיתר דביטול</w:t>
      </w:r>
    </w:p>
    <w:p w:rsidR="003A5D2C" w:rsidRDefault="003A5D2C" w:rsidP="003A5D2C">
      <w:pPr>
        <w:pStyle w:val="aff2"/>
        <w:numPr>
          <w:ilvl w:val="0"/>
          <w:numId w:val="3"/>
        </w:numPr>
        <w:rPr>
          <w:rFonts w:eastAsiaTheme="minorEastAsia" w:cstheme="minorBidi"/>
          <w:sz w:val="22"/>
          <w:szCs w:val="22"/>
          <w:rtl/>
        </w:rPr>
      </w:pPr>
      <w:r>
        <w:rPr>
          <w:rtl/>
        </w:rPr>
        <w:t>דברי הקוב"ש דחוזר וניעור אסור אף בלא הטעם דהוכר האיסור כיון שאין ספק שגורם היתר</w:t>
      </w:r>
    </w:p>
    <w:p w:rsidR="003A5D2C" w:rsidRDefault="003A5D2C" w:rsidP="003A5D2C">
      <w:pPr>
        <w:pStyle w:val="aff2"/>
        <w:numPr>
          <w:ilvl w:val="0"/>
          <w:numId w:val="3"/>
        </w:numPr>
        <w:rPr>
          <w:rFonts w:eastAsiaTheme="minorEastAsia" w:cstheme="minorBidi"/>
          <w:sz w:val="22"/>
          <w:szCs w:val="22"/>
          <w:rtl/>
        </w:rPr>
      </w:pPr>
      <w:r>
        <w:rPr>
          <w:rtl/>
        </w:rPr>
        <w:t>ביאור שיעורי רבי אלחנן דהביטול מתחדש בכל רגע וממילא אסור בחוזר וניעור דאין היתר</w:t>
      </w:r>
    </w:p>
    <w:p w:rsidR="003A5D2C" w:rsidRDefault="003A5D2C" w:rsidP="003A5D2C">
      <w:pPr>
        <w:pStyle w:val="aff4"/>
        <w:rPr>
          <w:rFonts w:eastAsiaTheme="minorEastAsia" w:cstheme="minorBidi"/>
          <w:i/>
          <w:iCs/>
          <w:noProof/>
          <w:sz w:val="22"/>
          <w:szCs w:val="22"/>
          <w:rtl/>
        </w:rPr>
      </w:pPr>
      <w:r>
        <w:rPr>
          <w:noProof/>
          <w:rtl/>
        </w:rPr>
        <w:lastRenderedPageBreak/>
        <w:t>דברי הקוב"ש דנ"מ בין הביאורים אי במחצה אמרינן חוזר וניעור</w:t>
      </w:r>
    </w:p>
    <w:p w:rsidR="003A5D2C" w:rsidRDefault="003A5D2C" w:rsidP="003A5D2C">
      <w:pPr>
        <w:pStyle w:val="aff2"/>
        <w:numPr>
          <w:ilvl w:val="0"/>
          <w:numId w:val="3"/>
        </w:numPr>
        <w:rPr>
          <w:rFonts w:eastAsiaTheme="minorEastAsia" w:cstheme="minorBidi"/>
          <w:sz w:val="22"/>
          <w:szCs w:val="22"/>
          <w:rtl/>
        </w:rPr>
      </w:pPr>
      <w:r>
        <w:rPr>
          <w:rtl/>
        </w:rPr>
        <w:t>דברי הקוב"ש דאי חוזר וניעור כהוכר האיסור א"כ רק ברוב איסור חוזר וניעור ולא במחצה איסור</w:t>
      </w:r>
    </w:p>
    <w:p w:rsidR="003A5D2C" w:rsidRDefault="003A5D2C" w:rsidP="003A5D2C">
      <w:pPr>
        <w:pStyle w:val="aff2"/>
        <w:numPr>
          <w:ilvl w:val="0"/>
          <w:numId w:val="3"/>
        </w:numPr>
        <w:rPr>
          <w:rFonts w:eastAsiaTheme="minorEastAsia" w:cstheme="minorBidi"/>
          <w:sz w:val="22"/>
          <w:szCs w:val="22"/>
          <w:rtl/>
        </w:rPr>
      </w:pPr>
      <w:r>
        <w:rPr>
          <w:rtl/>
        </w:rPr>
        <w:t>דברי הקוב"ש דאי הטעם דחוזר וניעור דבטלה סיבת האיסור א"כ אף במחצה אמרינן חוזר וניעור</w:t>
      </w:r>
    </w:p>
    <w:p w:rsidR="003A5D2C" w:rsidRDefault="003A5D2C" w:rsidP="003A5D2C">
      <w:pPr>
        <w:pStyle w:val="aff4"/>
        <w:rPr>
          <w:rFonts w:eastAsiaTheme="minorEastAsia" w:cstheme="minorBidi"/>
          <w:i/>
          <w:iCs/>
          <w:noProof/>
          <w:sz w:val="22"/>
          <w:szCs w:val="22"/>
          <w:rtl/>
        </w:rPr>
      </w:pPr>
      <w:r>
        <w:rPr>
          <w:noProof/>
          <w:rtl/>
        </w:rPr>
        <w:t>קושית המשנת ר"א דלקולא פשיטא דאמרינן חוזר וניעור</w:t>
      </w:r>
    </w:p>
    <w:p w:rsidR="003A5D2C" w:rsidRDefault="003A5D2C" w:rsidP="003A5D2C">
      <w:pPr>
        <w:pStyle w:val="aff2"/>
        <w:numPr>
          <w:ilvl w:val="0"/>
          <w:numId w:val="3"/>
        </w:numPr>
        <w:rPr>
          <w:rFonts w:eastAsiaTheme="minorEastAsia" w:cstheme="minorBidi"/>
          <w:sz w:val="22"/>
          <w:szCs w:val="22"/>
          <w:rtl/>
        </w:rPr>
      </w:pPr>
      <w:r>
        <w:rPr>
          <w:rtl/>
        </w:rPr>
        <w:t>קושית המשנת ר"א דהיתר שבטל באיסור לא נאסר מעולם ופשיטא דבהוסיף היתר חוזר וניעור</w:t>
      </w:r>
    </w:p>
    <w:p w:rsidR="003A5D2C" w:rsidRDefault="003A5D2C" w:rsidP="003A5D2C">
      <w:pPr>
        <w:pStyle w:val="aff2"/>
        <w:numPr>
          <w:ilvl w:val="0"/>
          <w:numId w:val="3"/>
        </w:numPr>
        <w:rPr>
          <w:rFonts w:eastAsiaTheme="minorEastAsia" w:cstheme="minorBidi"/>
          <w:sz w:val="22"/>
          <w:szCs w:val="22"/>
          <w:rtl/>
        </w:rPr>
      </w:pPr>
      <w:r>
        <w:rPr>
          <w:rtl/>
        </w:rPr>
        <w:t>ביאור המשנת ר"א דהרא"ש הביא ראיה מתרומה ובתרומה התערובת אסורה מדין ודאי</w:t>
      </w:r>
    </w:p>
    <w:p w:rsidR="003A5D2C" w:rsidRDefault="003A5D2C" w:rsidP="003A5D2C">
      <w:pPr>
        <w:pStyle w:val="aff4"/>
        <w:rPr>
          <w:rFonts w:eastAsiaTheme="minorEastAsia" w:cstheme="minorBidi"/>
          <w:i/>
          <w:iCs/>
          <w:noProof/>
          <w:sz w:val="22"/>
          <w:szCs w:val="22"/>
          <w:rtl/>
        </w:rPr>
      </w:pPr>
      <w:r>
        <w:rPr>
          <w:noProof/>
          <w:rtl/>
        </w:rPr>
        <w:t>קושית השער"י והמשנת ר"א בסתירת הרא"ש במשנה בתרומות</w:t>
      </w:r>
    </w:p>
    <w:p w:rsidR="003A5D2C" w:rsidRDefault="003A5D2C" w:rsidP="003A5D2C">
      <w:pPr>
        <w:pStyle w:val="aff2"/>
        <w:numPr>
          <w:ilvl w:val="0"/>
          <w:numId w:val="3"/>
        </w:numPr>
        <w:rPr>
          <w:rFonts w:eastAsiaTheme="minorEastAsia" w:cstheme="minorBidi"/>
          <w:sz w:val="22"/>
          <w:szCs w:val="22"/>
          <w:rtl/>
        </w:rPr>
      </w:pPr>
      <w:r>
        <w:rPr>
          <w:rtl/>
        </w:rPr>
        <w:t>קושית השער"י והמשנת ר"א בסתירת דברי הרא"ש אי הרמה בתרומה גורמת איסור והיתר</w:t>
      </w:r>
    </w:p>
    <w:p w:rsidR="003A5D2C" w:rsidRDefault="003A5D2C" w:rsidP="003A5D2C">
      <w:pPr>
        <w:pStyle w:val="aff2"/>
        <w:numPr>
          <w:ilvl w:val="0"/>
          <w:numId w:val="3"/>
        </w:numPr>
        <w:rPr>
          <w:rFonts w:eastAsiaTheme="minorEastAsia" w:cstheme="minorBidi"/>
          <w:sz w:val="22"/>
          <w:szCs w:val="22"/>
          <w:rtl/>
        </w:rPr>
      </w:pPr>
      <w:r>
        <w:rPr>
          <w:rtl/>
        </w:rPr>
        <w:t>תירוץ השער"י דמדרבנן ההרמה אוסרת באכילה כמו שאסרו בתרומה בפחות ממאה</w:t>
      </w:r>
    </w:p>
    <w:p w:rsidR="003A5D2C" w:rsidRDefault="003A5D2C" w:rsidP="003A5D2C">
      <w:pPr>
        <w:pStyle w:val="aff2"/>
        <w:numPr>
          <w:ilvl w:val="0"/>
          <w:numId w:val="3"/>
        </w:numPr>
        <w:rPr>
          <w:rFonts w:eastAsiaTheme="minorEastAsia" w:cstheme="minorBidi"/>
          <w:sz w:val="22"/>
          <w:szCs w:val="22"/>
          <w:rtl/>
        </w:rPr>
      </w:pPr>
      <w:r>
        <w:rPr>
          <w:rtl/>
        </w:rPr>
        <w:t>תירוץ המשנת ר"א דכוונת הרא"ש להוכיח רק את הסברא דידיעה גורמת היתר</w:t>
      </w:r>
    </w:p>
    <w:p w:rsidR="003A5D2C" w:rsidRDefault="003A5D2C" w:rsidP="003A5D2C">
      <w:pPr>
        <w:pStyle w:val="2"/>
        <w:rPr>
          <w:rFonts w:eastAsiaTheme="minorEastAsia" w:cstheme="minorBidi"/>
          <w:i/>
          <w:iCs/>
          <w:sz w:val="22"/>
          <w:szCs w:val="22"/>
          <w:rtl/>
        </w:rPr>
      </w:pPr>
      <w:r>
        <w:rPr>
          <w:rtl/>
        </w:rPr>
        <w:t>בביאור חילוק הרא"ש בין איסור לטומאה</w:t>
      </w:r>
    </w:p>
    <w:p w:rsidR="003A5D2C" w:rsidRDefault="003A5D2C" w:rsidP="003A5D2C">
      <w:pPr>
        <w:pStyle w:val="aff4"/>
        <w:rPr>
          <w:rFonts w:eastAsiaTheme="minorEastAsia" w:cstheme="minorBidi"/>
          <w:i/>
          <w:iCs/>
          <w:noProof/>
          <w:sz w:val="22"/>
          <w:szCs w:val="22"/>
          <w:rtl/>
        </w:rPr>
      </w:pPr>
      <w:r>
        <w:rPr>
          <w:noProof/>
          <w:rtl/>
        </w:rPr>
        <w:t>קושיות השער"י על חילוק הרא"ש בין איסור לטומאה</w:t>
      </w:r>
    </w:p>
    <w:p w:rsidR="003A5D2C" w:rsidRDefault="003A5D2C" w:rsidP="003A5D2C">
      <w:pPr>
        <w:pStyle w:val="aff2"/>
        <w:numPr>
          <w:ilvl w:val="0"/>
          <w:numId w:val="3"/>
        </w:numPr>
        <w:rPr>
          <w:rFonts w:eastAsiaTheme="minorEastAsia" w:cstheme="minorBidi"/>
          <w:sz w:val="22"/>
          <w:szCs w:val="22"/>
          <w:rtl/>
        </w:rPr>
      </w:pPr>
      <w:r>
        <w:rPr>
          <w:rtl/>
        </w:rPr>
        <w:t>קושית השער"י על הרא"ש דבנשא בזאח"ז טהור ולביאור הרא"ש באיסר אף בנשא בב"א טהור</w:t>
      </w:r>
    </w:p>
    <w:p w:rsidR="003A5D2C" w:rsidRDefault="003A5D2C" w:rsidP="003A5D2C">
      <w:pPr>
        <w:pStyle w:val="aff2"/>
        <w:numPr>
          <w:ilvl w:val="0"/>
          <w:numId w:val="3"/>
        </w:numPr>
        <w:rPr>
          <w:rFonts w:eastAsiaTheme="minorEastAsia" w:cstheme="minorBidi"/>
          <w:sz w:val="22"/>
          <w:szCs w:val="22"/>
          <w:rtl/>
        </w:rPr>
      </w:pPr>
      <w:r>
        <w:rPr>
          <w:rtl/>
        </w:rPr>
        <w:t>דברי השער"י דא"א לומר שיש חילוק בין איסור לטומאה לענין בב"א דאף במשא טהור בבזאח"ז</w:t>
      </w:r>
    </w:p>
    <w:p w:rsidR="003A5D2C" w:rsidRDefault="003A5D2C" w:rsidP="003A5D2C">
      <w:pPr>
        <w:pStyle w:val="aff2"/>
        <w:numPr>
          <w:ilvl w:val="0"/>
          <w:numId w:val="3"/>
        </w:numPr>
        <w:rPr>
          <w:rFonts w:eastAsiaTheme="minorEastAsia" w:cstheme="minorBidi"/>
          <w:sz w:val="22"/>
          <w:szCs w:val="22"/>
          <w:rtl/>
        </w:rPr>
      </w:pPr>
      <w:r>
        <w:rPr>
          <w:rtl/>
        </w:rPr>
        <w:t>קושית השער"י דאין ילפותא לרוב באיסור יותר מבטומאה וכמו דטומאה כמאן דאיתא אף איסור</w:t>
      </w:r>
    </w:p>
    <w:p w:rsidR="003A5D2C" w:rsidRDefault="003A5D2C" w:rsidP="003A5D2C">
      <w:pPr>
        <w:pStyle w:val="aff2"/>
        <w:numPr>
          <w:ilvl w:val="0"/>
          <w:numId w:val="3"/>
        </w:numPr>
        <w:rPr>
          <w:rFonts w:eastAsiaTheme="minorEastAsia" w:cstheme="minorBidi"/>
          <w:sz w:val="22"/>
          <w:szCs w:val="22"/>
          <w:rtl/>
        </w:rPr>
      </w:pPr>
      <w:r>
        <w:rPr>
          <w:rtl/>
        </w:rPr>
        <w:t>ספק השער"י בקושית הרא"ש אי אוסר בב"א כיון שיש ודאי איסור או דאין ביטול בב"א כמשא</w:t>
      </w:r>
    </w:p>
    <w:p w:rsidR="003A5D2C" w:rsidRDefault="003A5D2C" w:rsidP="003A5D2C">
      <w:pPr>
        <w:pStyle w:val="aff2"/>
        <w:numPr>
          <w:ilvl w:val="0"/>
          <w:numId w:val="3"/>
        </w:numPr>
        <w:rPr>
          <w:rFonts w:eastAsiaTheme="minorEastAsia" w:cstheme="minorBidi"/>
          <w:sz w:val="22"/>
          <w:szCs w:val="22"/>
          <w:rtl/>
        </w:rPr>
      </w:pPr>
      <w:r>
        <w:rPr>
          <w:rtl/>
        </w:rPr>
        <w:t>קושית השער"י דמ"מ בלח מוכח דאף שיש ודאי איסור ואף שהוא בב"א אפ"ה מדאו' בטל ברוב</w:t>
      </w:r>
    </w:p>
    <w:p w:rsidR="003A5D2C" w:rsidRDefault="003A5D2C" w:rsidP="003A5D2C">
      <w:pPr>
        <w:pStyle w:val="aff2"/>
        <w:numPr>
          <w:ilvl w:val="0"/>
          <w:numId w:val="3"/>
        </w:numPr>
        <w:rPr>
          <w:rFonts w:eastAsiaTheme="minorEastAsia" w:cstheme="minorBidi"/>
          <w:sz w:val="22"/>
          <w:szCs w:val="22"/>
          <w:rtl/>
        </w:rPr>
      </w:pPr>
      <w:r>
        <w:rPr>
          <w:rtl/>
        </w:rPr>
        <w:t>קושית השער"י דשיעור שישים דרבנן לא מהני להתיר במקום שאין היתר רוב מדאו'</w:t>
      </w:r>
    </w:p>
    <w:p w:rsidR="003A5D2C" w:rsidRDefault="003A5D2C" w:rsidP="003A5D2C">
      <w:pPr>
        <w:pStyle w:val="aff4"/>
        <w:rPr>
          <w:rFonts w:eastAsiaTheme="minorEastAsia" w:cstheme="minorBidi"/>
          <w:i/>
          <w:iCs/>
          <w:noProof/>
          <w:sz w:val="22"/>
          <w:szCs w:val="22"/>
          <w:rtl/>
        </w:rPr>
      </w:pPr>
      <w:r>
        <w:rPr>
          <w:noProof/>
          <w:rtl/>
        </w:rPr>
        <w:t>ביאור השער"י דכח הרוב לבטל רק מיעוט שמתנגד לו במגע</w:t>
      </w:r>
    </w:p>
    <w:p w:rsidR="003A5D2C" w:rsidRDefault="003A5D2C" w:rsidP="003A5D2C">
      <w:pPr>
        <w:pStyle w:val="aff2"/>
        <w:numPr>
          <w:ilvl w:val="0"/>
          <w:numId w:val="3"/>
        </w:numPr>
        <w:rPr>
          <w:rFonts w:eastAsiaTheme="minorEastAsia" w:cstheme="minorBidi"/>
          <w:sz w:val="22"/>
          <w:szCs w:val="22"/>
          <w:rtl/>
        </w:rPr>
      </w:pPr>
      <w:r>
        <w:rPr>
          <w:rtl/>
        </w:rPr>
        <w:t>ביאור השער"י דביטול הוא כשהמיעוט מתנגד לרוב ובמשא המיעוט מטמא מעצמו ולא נגד הרוב</w:t>
      </w:r>
    </w:p>
    <w:p w:rsidR="003A5D2C" w:rsidRDefault="003A5D2C" w:rsidP="003A5D2C">
      <w:pPr>
        <w:pStyle w:val="aff2"/>
        <w:numPr>
          <w:ilvl w:val="0"/>
          <w:numId w:val="3"/>
        </w:numPr>
        <w:rPr>
          <w:rFonts w:eastAsiaTheme="minorEastAsia" w:cstheme="minorBidi"/>
          <w:sz w:val="22"/>
          <w:szCs w:val="22"/>
          <w:rtl/>
        </w:rPr>
      </w:pPr>
      <w:r>
        <w:rPr>
          <w:rtl/>
        </w:rPr>
        <w:t>ביאור השער"י דבמגע מגע המיעוט עושה ספק טומאה ומתנגד למגע הרוב הטהור ולכן הוא בטל</w:t>
      </w:r>
    </w:p>
    <w:p w:rsidR="003A5D2C" w:rsidRDefault="003A5D2C" w:rsidP="003A5D2C">
      <w:pPr>
        <w:pStyle w:val="aff2"/>
        <w:numPr>
          <w:ilvl w:val="0"/>
          <w:numId w:val="3"/>
        </w:numPr>
        <w:rPr>
          <w:rFonts w:eastAsiaTheme="minorEastAsia" w:cstheme="minorBidi"/>
          <w:sz w:val="22"/>
          <w:szCs w:val="22"/>
          <w:rtl/>
        </w:rPr>
      </w:pPr>
      <w:r>
        <w:rPr>
          <w:rtl/>
        </w:rPr>
        <w:t>דברי השער"י דאף במגע בב"א יהיה טהור דלענין טומאת מגע פקע הטומאה מהמיעוט לגמרי</w:t>
      </w:r>
    </w:p>
    <w:p w:rsidR="003A5D2C" w:rsidRDefault="003A5D2C" w:rsidP="003A5D2C">
      <w:pPr>
        <w:pStyle w:val="aff4"/>
        <w:rPr>
          <w:rFonts w:eastAsiaTheme="minorEastAsia" w:cstheme="minorBidi"/>
          <w:i/>
          <w:iCs/>
          <w:noProof/>
          <w:sz w:val="22"/>
          <w:szCs w:val="22"/>
          <w:rtl/>
        </w:rPr>
      </w:pPr>
      <w:r>
        <w:rPr>
          <w:noProof/>
          <w:rtl/>
        </w:rPr>
        <w:t>קושית השער"י דאף במשא בב"א המיעוט מתנגד לרוב</w:t>
      </w:r>
    </w:p>
    <w:p w:rsidR="003A5D2C" w:rsidRDefault="003A5D2C" w:rsidP="003A5D2C">
      <w:pPr>
        <w:pStyle w:val="aff2"/>
        <w:numPr>
          <w:ilvl w:val="0"/>
          <w:numId w:val="3"/>
        </w:numPr>
        <w:rPr>
          <w:rFonts w:eastAsiaTheme="minorEastAsia" w:cstheme="minorBidi"/>
          <w:sz w:val="22"/>
          <w:szCs w:val="22"/>
          <w:rtl/>
        </w:rPr>
      </w:pPr>
      <w:r>
        <w:rPr>
          <w:rtl/>
        </w:rPr>
        <w:t>דברי השער"י דלהמהר"י קורקוס דמגע טהור דכל נגיעה בפנ"ע א"כ אף משא טהור בזאח"ז</w:t>
      </w:r>
    </w:p>
    <w:p w:rsidR="003A5D2C" w:rsidRDefault="003A5D2C" w:rsidP="003A5D2C">
      <w:pPr>
        <w:pStyle w:val="aff2"/>
        <w:numPr>
          <w:ilvl w:val="0"/>
          <w:numId w:val="3"/>
        </w:numPr>
        <w:rPr>
          <w:rFonts w:eastAsiaTheme="minorEastAsia" w:cstheme="minorBidi"/>
          <w:sz w:val="22"/>
          <w:szCs w:val="22"/>
          <w:rtl/>
        </w:rPr>
      </w:pPr>
      <w:r>
        <w:rPr>
          <w:rtl/>
        </w:rPr>
        <w:t>קושית השער"י דאי במשא בזאח"ז טהור ופקעה הטומאה א"כ אף במשא בב"א יהיה טהור</w:t>
      </w:r>
    </w:p>
    <w:p w:rsidR="003A5D2C" w:rsidRDefault="003A5D2C" w:rsidP="003A5D2C">
      <w:pPr>
        <w:pStyle w:val="aff4"/>
        <w:rPr>
          <w:rFonts w:eastAsiaTheme="minorEastAsia" w:cstheme="minorBidi"/>
          <w:i/>
          <w:iCs/>
          <w:noProof/>
          <w:sz w:val="22"/>
          <w:szCs w:val="22"/>
          <w:rtl/>
        </w:rPr>
      </w:pPr>
      <w:r>
        <w:rPr>
          <w:noProof/>
          <w:rtl/>
        </w:rPr>
        <w:t>ביאור השער"י דבמשא בזאח"ז אין כח לרוב ולכן טמא בב"א</w:t>
      </w:r>
    </w:p>
    <w:p w:rsidR="003A5D2C" w:rsidRDefault="003A5D2C" w:rsidP="003A5D2C">
      <w:pPr>
        <w:pStyle w:val="aff2"/>
        <w:numPr>
          <w:ilvl w:val="0"/>
          <w:numId w:val="3"/>
        </w:numPr>
        <w:rPr>
          <w:rFonts w:eastAsiaTheme="minorEastAsia" w:cstheme="minorBidi"/>
          <w:sz w:val="22"/>
          <w:szCs w:val="22"/>
          <w:rtl/>
        </w:rPr>
      </w:pPr>
      <w:r>
        <w:rPr>
          <w:rtl/>
        </w:rPr>
        <w:t>דברי השער"י דאי הרוב יפקיע מיעוט בב"א ובבזאח"ז א"כ כח הרוב אף כשהמיעוט לא מתנגד לו</w:t>
      </w:r>
    </w:p>
    <w:p w:rsidR="003A5D2C" w:rsidRDefault="003A5D2C" w:rsidP="003A5D2C">
      <w:pPr>
        <w:pStyle w:val="aff2"/>
        <w:numPr>
          <w:ilvl w:val="0"/>
          <w:numId w:val="3"/>
        </w:numPr>
        <w:rPr>
          <w:rFonts w:eastAsiaTheme="minorEastAsia" w:cstheme="minorBidi"/>
          <w:sz w:val="22"/>
          <w:szCs w:val="22"/>
          <w:rtl/>
        </w:rPr>
      </w:pPr>
      <w:r>
        <w:rPr>
          <w:rtl/>
        </w:rPr>
        <w:t>דברי השער"י דבמשא צריך להקטין את הרוב שלא יפקיע מיעוט שאינו מתנגד לו וטמא בב"א</w:t>
      </w:r>
    </w:p>
    <w:p w:rsidR="003A5D2C" w:rsidRDefault="003A5D2C" w:rsidP="003A5D2C">
      <w:pPr>
        <w:pStyle w:val="aff2"/>
        <w:numPr>
          <w:ilvl w:val="0"/>
          <w:numId w:val="3"/>
        </w:numPr>
        <w:rPr>
          <w:rFonts w:eastAsiaTheme="minorEastAsia" w:cstheme="minorBidi"/>
          <w:sz w:val="22"/>
          <w:szCs w:val="22"/>
          <w:rtl/>
        </w:rPr>
      </w:pPr>
      <w:r>
        <w:rPr>
          <w:rtl/>
        </w:rPr>
        <w:t>ביאור השער"י דהמיעוט והרוב הם בין הטומאה לטהרה ומתקיים דין הרוב בטומאת מגע</w:t>
      </w:r>
    </w:p>
    <w:p w:rsidR="003A5D2C" w:rsidRDefault="003A5D2C" w:rsidP="003A5D2C">
      <w:pPr>
        <w:pStyle w:val="aff4"/>
        <w:rPr>
          <w:rFonts w:eastAsiaTheme="minorEastAsia" w:cstheme="minorBidi"/>
          <w:i/>
          <w:iCs/>
          <w:noProof/>
          <w:sz w:val="22"/>
          <w:szCs w:val="22"/>
          <w:rtl/>
        </w:rPr>
      </w:pPr>
      <w:r>
        <w:rPr>
          <w:noProof/>
          <w:rtl/>
        </w:rPr>
        <w:t>ביאור השער"י בחילוק הרא"ש בין טומאה לאיסור</w:t>
      </w:r>
    </w:p>
    <w:p w:rsidR="003A5D2C" w:rsidRDefault="003A5D2C" w:rsidP="003A5D2C">
      <w:pPr>
        <w:pStyle w:val="aff2"/>
        <w:numPr>
          <w:ilvl w:val="0"/>
          <w:numId w:val="3"/>
        </w:numPr>
        <w:rPr>
          <w:rFonts w:eastAsiaTheme="minorEastAsia" w:cstheme="minorBidi"/>
          <w:sz w:val="22"/>
          <w:szCs w:val="22"/>
          <w:rtl/>
        </w:rPr>
      </w:pPr>
      <w:r>
        <w:rPr>
          <w:rtl/>
        </w:rPr>
        <w:t>ביאור השער"י ברא"ש דכיון דמשא ומגע הם ב' דינים שונים מתקיים דין הרוב במגע ולא במשא</w:t>
      </w:r>
    </w:p>
    <w:p w:rsidR="003A5D2C" w:rsidRDefault="003A5D2C" w:rsidP="003A5D2C">
      <w:pPr>
        <w:pStyle w:val="aff2"/>
        <w:numPr>
          <w:ilvl w:val="0"/>
          <w:numId w:val="3"/>
        </w:numPr>
        <w:rPr>
          <w:rFonts w:eastAsiaTheme="minorEastAsia" w:cstheme="minorBidi"/>
          <w:sz w:val="22"/>
          <w:szCs w:val="22"/>
          <w:rtl/>
        </w:rPr>
      </w:pPr>
      <w:r>
        <w:rPr>
          <w:rtl/>
        </w:rPr>
        <w:t>ביאור השער"י ברא"ש דבאכילה אין ב' דינים ומרוב בזאח"ז מוכח דפקע איסור האכילה לגמרי</w:t>
      </w:r>
    </w:p>
    <w:p w:rsidR="003A5D2C" w:rsidRDefault="003A5D2C" w:rsidP="003A5D2C">
      <w:pPr>
        <w:pStyle w:val="aff2"/>
        <w:numPr>
          <w:ilvl w:val="0"/>
          <w:numId w:val="3"/>
        </w:numPr>
        <w:rPr>
          <w:rFonts w:eastAsiaTheme="minorEastAsia" w:cstheme="minorBidi"/>
          <w:sz w:val="22"/>
          <w:szCs w:val="22"/>
          <w:rtl/>
        </w:rPr>
      </w:pPr>
      <w:r>
        <w:rPr>
          <w:rtl/>
        </w:rPr>
        <w:t>ביאור השער"י ברא"ש דבלח א"א לאסור בב"א דבטל כח הרוב אבל ביבש הרוב מתיר בבזאח"ז</w:t>
      </w:r>
    </w:p>
    <w:p w:rsidR="003A5D2C" w:rsidRDefault="003A5D2C" w:rsidP="003A5D2C">
      <w:pPr>
        <w:pStyle w:val="aff2"/>
        <w:numPr>
          <w:ilvl w:val="0"/>
          <w:numId w:val="3"/>
        </w:numPr>
        <w:rPr>
          <w:rFonts w:eastAsiaTheme="minorEastAsia" w:cstheme="minorBidi"/>
          <w:sz w:val="22"/>
          <w:szCs w:val="22"/>
          <w:rtl/>
        </w:rPr>
      </w:pPr>
      <w:r>
        <w:rPr>
          <w:rtl/>
        </w:rPr>
        <w:t>ביאור השער"י דבאכילה א"א לומר שכח הרוב יתקיים בבזאח"ז דבאכילה אין ב' דינים שונים</w:t>
      </w:r>
    </w:p>
    <w:p w:rsidR="003A5D2C" w:rsidRDefault="003A5D2C" w:rsidP="003A5D2C">
      <w:pPr>
        <w:pStyle w:val="aff4"/>
        <w:rPr>
          <w:rFonts w:eastAsiaTheme="minorEastAsia" w:cstheme="minorBidi"/>
          <w:i/>
          <w:iCs/>
          <w:noProof/>
          <w:sz w:val="22"/>
          <w:szCs w:val="22"/>
          <w:rtl/>
        </w:rPr>
      </w:pPr>
      <w:r>
        <w:rPr>
          <w:noProof/>
          <w:rtl/>
        </w:rPr>
        <w:t>קושית הקוה"ע דאף במשא בבזאח"ז טהור כמו במגע</w:t>
      </w:r>
    </w:p>
    <w:p w:rsidR="003A5D2C" w:rsidRDefault="003A5D2C" w:rsidP="003A5D2C">
      <w:pPr>
        <w:pStyle w:val="aff2"/>
        <w:numPr>
          <w:ilvl w:val="0"/>
          <w:numId w:val="3"/>
        </w:numPr>
        <w:rPr>
          <w:rFonts w:eastAsiaTheme="minorEastAsia" w:cstheme="minorBidi"/>
          <w:sz w:val="22"/>
          <w:szCs w:val="22"/>
          <w:rtl/>
        </w:rPr>
      </w:pPr>
      <w:r>
        <w:rPr>
          <w:rtl/>
        </w:rPr>
        <w:t>קושית הקוה"ע דבמשא בזאח"ז טהור ומהני ביטול כמו במגע ובב"א אף במגע טמא כמשא</w:t>
      </w:r>
    </w:p>
    <w:p w:rsidR="003A5D2C" w:rsidRDefault="003A5D2C" w:rsidP="003A5D2C">
      <w:pPr>
        <w:pStyle w:val="aff4"/>
        <w:rPr>
          <w:rFonts w:eastAsiaTheme="minorEastAsia" w:cstheme="minorBidi"/>
          <w:i/>
          <w:iCs/>
          <w:noProof/>
          <w:sz w:val="22"/>
          <w:szCs w:val="22"/>
          <w:rtl/>
        </w:rPr>
      </w:pPr>
      <w:r>
        <w:rPr>
          <w:noProof/>
          <w:rtl/>
        </w:rPr>
        <w:t>קושית המשנת ר"א דבטומאה המיעוט לא סותר לרוב ולא בטל</w:t>
      </w:r>
    </w:p>
    <w:p w:rsidR="003A5D2C" w:rsidRDefault="003A5D2C" w:rsidP="003A5D2C">
      <w:pPr>
        <w:pStyle w:val="aff2"/>
        <w:numPr>
          <w:ilvl w:val="0"/>
          <w:numId w:val="3"/>
        </w:numPr>
        <w:rPr>
          <w:rFonts w:eastAsiaTheme="minorEastAsia" w:cstheme="minorBidi"/>
          <w:sz w:val="22"/>
          <w:szCs w:val="22"/>
          <w:rtl/>
        </w:rPr>
      </w:pPr>
      <w:r>
        <w:rPr>
          <w:rtl/>
        </w:rPr>
        <w:t>קושית המשנת ר"א דאף במגע צריך לטמא בבזאח"ז דודאי נגע בטומאה ובמה משא חלוק ממגע</w:t>
      </w:r>
    </w:p>
    <w:p w:rsidR="003A5D2C" w:rsidRDefault="003A5D2C" w:rsidP="003A5D2C">
      <w:pPr>
        <w:pStyle w:val="aff2"/>
        <w:numPr>
          <w:ilvl w:val="0"/>
          <w:numId w:val="3"/>
        </w:numPr>
        <w:rPr>
          <w:rFonts w:eastAsiaTheme="minorEastAsia" w:cstheme="minorBidi"/>
          <w:sz w:val="22"/>
          <w:szCs w:val="22"/>
          <w:rtl/>
        </w:rPr>
      </w:pPr>
      <w:r>
        <w:rPr>
          <w:rtl/>
        </w:rPr>
        <w:t>קושית המשנת ר"א דבטומאה הנדון באדם ואין סתירה בין הרוב למיעוט והאיך מהני ביטול ברוב</w:t>
      </w:r>
    </w:p>
    <w:p w:rsidR="003A5D2C" w:rsidRDefault="003A5D2C" w:rsidP="003A5D2C">
      <w:pPr>
        <w:pStyle w:val="aff4"/>
        <w:rPr>
          <w:rFonts w:eastAsiaTheme="minorEastAsia" w:cstheme="minorBidi"/>
          <w:i/>
          <w:iCs/>
          <w:noProof/>
          <w:sz w:val="22"/>
          <w:szCs w:val="22"/>
          <w:rtl/>
        </w:rPr>
      </w:pPr>
      <w:r>
        <w:rPr>
          <w:noProof/>
          <w:rtl/>
        </w:rPr>
        <w:t>דברי המשנת ר"א דא"א לומר במגע דהטומאה כמאן דאיתא</w:t>
      </w:r>
    </w:p>
    <w:p w:rsidR="003A5D2C" w:rsidRDefault="003A5D2C" w:rsidP="003A5D2C">
      <w:pPr>
        <w:pStyle w:val="aff2"/>
        <w:numPr>
          <w:ilvl w:val="0"/>
          <w:numId w:val="3"/>
        </w:numPr>
        <w:rPr>
          <w:rFonts w:eastAsiaTheme="minorEastAsia" w:cstheme="minorBidi"/>
          <w:sz w:val="22"/>
          <w:szCs w:val="22"/>
          <w:rtl/>
        </w:rPr>
      </w:pPr>
      <w:r>
        <w:rPr>
          <w:rtl/>
        </w:rPr>
        <w:t>דברי המשנת ר"א דאי בנגע בזאח"ז טמא א"כ אף בנגע בב' מתוך ג' טמא דהטומאה ברוב</w:t>
      </w:r>
    </w:p>
    <w:p w:rsidR="003A5D2C" w:rsidRDefault="003A5D2C" w:rsidP="003A5D2C">
      <w:pPr>
        <w:pStyle w:val="aff2"/>
        <w:numPr>
          <w:ilvl w:val="0"/>
          <w:numId w:val="3"/>
        </w:numPr>
        <w:rPr>
          <w:rFonts w:eastAsiaTheme="minorEastAsia" w:cstheme="minorBidi"/>
          <w:sz w:val="22"/>
          <w:szCs w:val="22"/>
          <w:rtl/>
        </w:rPr>
      </w:pPr>
      <w:r>
        <w:rPr>
          <w:rtl/>
        </w:rPr>
        <w:t>דברי המשנת ר"א דע"י הרוב אפש"ל להיפך דבנגע בב' טהור דעל כ"א יש רוב דטהורה</w:t>
      </w:r>
    </w:p>
    <w:p w:rsidR="003A5D2C" w:rsidRDefault="003A5D2C" w:rsidP="003A5D2C">
      <w:pPr>
        <w:pStyle w:val="aff2"/>
        <w:numPr>
          <w:ilvl w:val="0"/>
          <w:numId w:val="3"/>
        </w:numPr>
        <w:rPr>
          <w:rFonts w:eastAsiaTheme="minorEastAsia" w:cstheme="minorBidi"/>
          <w:sz w:val="22"/>
          <w:szCs w:val="22"/>
          <w:rtl/>
        </w:rPr>
      </w:pPr>
      <w:r>
        <w:rPr>
          <w:rtl/>
        </w:rPr>
        <w:t>דברי המשנת ר"א דאי הרוב מטהר בנגע בב' מתוך ג' לא יתכן לומר שבנגע בג' יהיה טמא</w:t>
      </w:r>
    </w:p>
    <w:p w:rsidR="003A5D2C" w:rsidRDefault="003A5D2C" w:rsidP="003A5D2C">
      <w:pPr>
        <w:pStyle w:val="aff4"/>
        <w:rPr>
          <w:rFonts w:eastAsiaTheme="minorEastAsia" w:cstheme="minorBidi"/>
          <w:i/>
          <w:iCs/>
          <w:noProof/>
          <w:sz w:val="22"/>
          <w:szCs w:val="22"/>
          <w:rtl/>
        </w:rPr>
      </w:pPr>
      <w:r>
        <w:rPr>
          <w:noProof/>
          <w:rtl/>
        </w:rPr>
        <w:t>דברי המשנת ר"א דטומאת מגע נהפכה לטהרה ובמשא לא בטל</w:t>
      </w:r>
    </w:p>
    <w:p w:rsidR="003A5D2C" w:rsidRDefault="003A5D2C" w:rsidP="003A5D2C">
      <w:pPr>
        <w:pStyle w:val="aff2"/>
        <w:numPr>
          <w:ilvl w:val="0"/>
          <w:numId w:val="3"/>
        </w:numPr>
        <w:rPr>
          <w:rFonts w:eastAsiaTheme="minorEastAsia" w:cstheme="minorBidi"/>
          <w:sz w:val="22"/>
          <w:szCs w:val="22"/>
          <w:rtl/>
        </w:rPr>
      </w:pPr>
      <w:r>
        <w:rPr>
          <w:rtl/>
        </w:rPr>
        <w:t>דברי המשנת ר"א דמוכח דבמגע הטומאה נהפכה לטהרה ולכן אף בנגע בכולם בזאח"ז טהור</w:t>
      </w:r>
    </w:p>
    <w:p w:rsidR="003A5D2C" w:rsidRDefault="003A5D2C" w:rsidP="003A5D2C">
      <w:pPr>
        <w:pStyle w:val="aff2"/>
        <w:numPr>
          <w:ilvl w:val="0"/>
          <w:numId w:val="3"/>
        </w:numPr>
        <w:rPr>
          <w:rFonts w:eastAsiaTheme="minorEastAsia" w:cstheme="minorBidi"/>
          <w:sz w:val="22"/>
          <w:szCs w:val="22"/>
          <w:rtl/>
        </w:rPr>
      </w:pPr>
      <w:r>
        <w:rPr>
          <w:rtl/>
        </w:rPr>
        <w:t>דברי המשנת ר"א דבמשא בב"א הנדון על האדם ואין סתירה בין הרוב למיעוט ולא שייך ביטול</w:t>
      </w:r>
    </w:p>
    <w:p w:rsidR="003A5D2C" w:rsidRDefault="003A5D2C" w:rsidP="003A5D2C">
      <w:pPr>
        <w:pStyle w:val="aff4"/>
        <w:rPr>
          <w:rFonts w:eastAsiaTheme="minorEastAsia" w:cstheme="minorBidi"/>
          <w:i/>
          <w:iCs/>
          <w:noProof/>
          <w:sz w:val="22"/>
          <w:szCs w:val="22"/>
          <w:rtl/>
        </w:rPr>
      </w:pPr>
      <w:r>
        <w:rPr>
          <w:noProof/>
          <w:rtl/>
        </w:rPr>
        <w:t>הביאור הא' בקה"י בחילוק הרא"ש בין איסור לטומאה</w:t>
      </w:r>
    </w:p>
    <w:p w:rsidR="003A5D2C" w:rsidRDefault="003A5D2C" w:rsidP="003A5D2C">
      <w:pPr>
        <w:pStyle w:val="aff2"/>
        <w:numPr>
          <w:ilvl w:val="0"/>
          <w:numId w:val="3"/>
        </w:numPr>
        <w:rPr>
          <w:rFonts w:eastAsiaTheme="minorEastAsia" w:cstheme="minorBidi"/>
          <w:sz w:val="22"/>
          <w:szCs w:val="22"/>
          <w:rtl/>
        </w:rPr>
      </w:pPr>
      <w:r>
        <w:rPr>
          <w:rtl/>
        </w:rPr>
        <w:t>ביאור הקה"י ברא"ש דבאיסור יש רוב בכל חתיכה וממילא אף בב"א הכל מותר דהוא נדון אחד</w:t>
      </w:r>
    </w:p>
    <w:p w:rsidR="003A5D2C" w:rsidRDefault="003A5D2C" w:rsidP="003A5D2C">
      <w:pPr>
        <w:pStyle w:val="aff2"/>
        <w:numPr>
          <w:ilvl w:val="0"/>
          <w:numId w:val="3"/>
        </w:numPr>
        <w:rPr>
          <w:rFonts w:eastAsiaTheme="minorEastAsia" w:cstheme="minorBidi"/>
          <w:sz w:val="22"/>
          <w:szCs w:val="22"/>
          <w:rtl/>
        </w:rPr>
      </w:pPr>
      <w:r>
        <w:rPr>
          <w:rtl/>
        </w:rPr>
        <w:t>ביאור הקה"י ברא"ש דבטומאה הנדון של מגע אינו הנדון של משא ולכן שייך לחלק ביניהם</w:t>
      </w:r>
    </w:p>
    <w:p w:rsidR="003A5D2C" w:rsidRDefault="003A5D2C" w:rsidP="003A5D2C">
      <w:pPr>
        <w:pStyle w:val="aff2"/>
        <w:numPr>
          <w:ilvl w:val="0"/>
          <w:numId w:val="3"/>
        </w:numPr>
        <w:rPr>
          <w:rFonts w:eastAsiaTheme="minorEastAsia" w:cstheme="minorBidi"/>
          <w:sz w:val="22"/>
          <w:szCs w:val="22"/>
          <w:rtl/>
        </w:rPr>
      </w:pPr>
      <w:r>
        <w:rPr>
          <w:rtl/>
        </w:rPr>
        <w:t>קושית הקה"י דבנגע בזאח"ז טהור דהטומאה כמאן דליתא וא"כ בנשא בזאח"ז צריך להיות טהור</w:t>
      </w:r>
    </w:p>
    <w:p w:rsidR="003A5D2C" w:rsidRDefault="003A5D2C" w:rsidP="003A5D2C">
      <w:pPr>
        <w:pStyle w:val="aff4"/>
        <w:rPr>
          <w:rFonts w:eastAsiaTheme="minorEastAsia" w:cstheme="minorBidi"/>
          <w:i/>
          <w:iCs/>
          <w:noProof/>
          <w:sz w:val="22"/>
          <w:szCs w:val="22"/>
          <w:rtl/>
        </w:rPr>
      </w:pPr>
      <w:r>
        <w:rPr>
          <w:noProof/>
          <w:rtl/>
        </w:rPr>
        <w:t>ביאור הקה"י ברא"ש דבאיסור חלות הביטול ברוב היא בב"א</w:t>
      </w:r>
    </w:p>
    <w:p w:rsidR="003A5D2C" w:rsidRDefault="003A5D2C" w:rsidP="003A5D2C">
      <w:pPr>
        <w:pStyle w:val="aff2"/>
        <w:numPr>
          <w:ilvl w:val="0"/>
          <w:numId w:val="3"/>
        </w:numPr>
        <w:rPr>
          <w:rFonts w:eastAsiaTheme="minorEastAsia" w:cstheme="minorBidi"/>
          <w:sz w:val="22"/>
          <w:szCs w:val="22"/>
          <w:rtl/>
        </w:rPr>
      </w:pPr>
      <w:r>
        <w:rPr>
          <w:rtl/>
        </w:rPr>
        <w:t>ביאור הקה"י ברא"ש דבודאי איסור א"א להתיר כלל ולכן כל שמותר בזאח"ז מותר בב"א</w:t>
      </w:r>
    </w:p>
    <w:p w:rsidR="003A5D2C" w:rsidRDefault="003A5D2C" w:rsidP="003A5D2C">
      <w:pPr>
        <w:pStyle w:val="aff2"/>
        <w:numPr>
          <w:ilvl w:val="0"/>
          <w:numId w:val="3"/>
        </w:numPr>
        <w:rPr>
          <w:rFonts w:eastAsiaTheme="minorEastAsia" w:cstheme="minorBidi"/>
          <w:sz w:val="22"/>
          <w:szCs w:val="22"/>
          <w:rtl/>
        </w:rPr>
      </w:pPr>
      <w:r>
        <w:rPr>
          <w:rtl/>
        </w:rPr>
        <w:t>ביאור הקה"י ברא"ש דאף באוכל בזאח"ז חלות ההיתר היא על כל התערובת בב"א והכל מותר</w:t>
      </w:r>
    </w:p>
    <w:p w:rsidR="003A5D2C" w:rsidRDefault="003A5D2C" w:rsidP="003A5D2C">
      <w:pPr>
        <w:pStyle w:val="aff2"/>
        <w:numPr>
          <w:ilvl w:val="0"/>
          <w:numId w:val="3"/>
        </w:numPr>
        <w:rPr>
          <w:rFonts w:eastAsiaTheme="minorEastAsia" w:cstheme="minorBidi"/>
          <w:sz w:val="22"/>
          <w:szCs w:val="22"/>
          <w:rtl/>
        </w:rPr>
      </w:pPr>
      <w:r>
        <w:rPr>
          <w:rtl/>
        </w:rPr>
        <w:t>דברי הקה"י דאי בב"א אסור האיסור כמאן דאיתיה ואסור אף בזאח"ז אלא מוכח דכמאן דליתא</w:t>
      </w:r>
    </w:p>
    <w:p w:rsidR="003A5D2C" w:rsidRDefault="003A5D2C" w:rsidP="003A5D2C">
      <w:pPr>
        <w:pStyle w:val="aff2"/>
        <w:numPr>
          <w:ilvl w:val="0"/>
          <w:numId w:val="3"/>
        </w:numPr>
        <w:rPr>
          <w:rFonts w:eastAsiaTheme="minorEastAsia" w:cstheme="minorBidi"/>
          <w:sz w:val="22"/>
          <w:szCs w:val="22"/>
          <w:rtl/>
        </w:rPr>
      </w:pPr>
      <w:r>
        <w:rPr>
          <w:rtl/>
        </w:rPr>
        <w:t>דברי הקה"י דא"א דאין היתר בב"א דיש ודאי איסור וכל חתיכה מותרת בפנ"ע ועי"ז הכל מותר</w:t>
      </w:r>
    </w:p>
    <w:p w:rsidR="003A5D2C" w:rsidRDefault="003A5D2C" w:rsidP="003A5D2C">
      <w:pPr>
        <w:pStyle w:val="aff4"/>
        <w:rPr>
          <w:rFonts w:eastAsiaTheme="minorEastAsia" w:cstheme="minorBidi"/>
          <w:i/>
          <w:iCs/>
          <w:noProof/>
          <w:sz w:val="22"/>
          <w:szCs w:val="22"/>
          <w:rtl/>
        </w:rPr>
      </w:pPr>
      <w:r>
        <w:rPr>
          <w:noProof/>
          <w:rtl/>
        </w:rPr>
        <w:t>ביאור הקה"י ברא"ש דבטומאה חלות הביטול בשעת המשא</w:t>
      </w:r>
    </w:p>
    <w:p w:rsidR="003A5D2C" w:rsidRDefault="003A5D2C" w:rsidP="003A5D2C">
      <w:pPr>
        <w:pStyle w:val="aff2"/>
        <w:numPr>
          <w:ilvl w:val="0"/>
          <w:numId w:val="3"/>
        </w:numPr>
        <w:rPr>
          <w:rFonts w:eastAsiaTheme="minorEastAsia" w:cstheme="minorBidi"/>
          <w:sz w:val="22"/>
          <w:szCs w:val="22"/>
          <w:rtl/>
        </w:rPr>
      </w:pPr>
      <w:r>
        <w:rPr>
          <w:rtl/>
        </w:rPr>
        <w:t>דברי הקה"י דבטומאה אין נ"מ ונדון על החתיכות אלא על האדם וחלות הביטול בשעת המשא</w:t>
      </w:r>
    </w:p>
    <w:p w:rsidR="003A5D2C" w:rsidRDefault="003A5D2C" w:rsidP="003A5D2C">
      <w:pPr>
        <w:pStyle w:val="aff2"/>
        <w:numPr>
          <w:ilvl w:val="0"/>
          <w:numId w:val="3"/>
        </w:numPr>
        <w:rPr>
          <w:rFonts w:eastAsiaTheme="minorEastAsia" w:cstheme="minorBidi"/>
          <w:sz w:val="22"/>
          <w:szCs w:val="22"/>
          <w:rtl/>
        </w:rPr>
      </w:pPr>
      <w:r>
        <w:rPr>
          <w:rtl/>
        </w:rPr>
        <w:t>דברי הקה"י דבנשא חתיכה אחת חל עליה היתר מדין רוב ולא חל כל דין על שאר החתיכות</w:t>
      </w:r>
    </w:p>
    <w:p w:rsidR="003A5D2C" w:rsidRDefault="003A5D2C" w:rsidP="003A5D2C">
      <w:pPr>
        <w:pStyle w:val="aff2"/>
        <w:numPr>
          <w:ilvl w:val="0"/>
          <w:numId w:val="3"/>
        </w:numPr>
        <w:rPr>
          <w:rFonts w:eastAsiaTheme="minorEastAsia" w:cstheme="minorBidi"/>
          <w:sz w:val="22"/>
          <w:szCs w:val="22"/>
          <w:rtl/>
        </w:rPr>
      </w:pPr>
      <w:r>
        <w:rPr>
          <w:rtl/>
        </w:rPr>
        <w:t>ביאור הקה"י דבאיסור חל היתר בכל התערובת ובמשא בנשא אחת היא מותרת ובב"א אין היתר</w:t>
      </w:r>
    </w:p>
    <w:p w:rsidR="003A5D2C" w:rsidRDefault="003A5D2C" w:rsidP="003A5D2C">
      <w:pPr>
        <w:pStyle w:val="aff2"/>
        <w:numPr>
          <w:ilvl w:val="0"/>
          <w:numId w:val="3"/>
        </w:numPr>
        <w:rPr>
          <w:rFonts w:eastAsiaTheme="minorEastAsia" w:cstheme="minorBidi"/>
          <w:sz w:val="22"/>
          <w:szCs w:val="22"/>
          <w:rtl/>
        </w:rPr>
      </w:pPr>
      <w:r>
        <w:rPr>
          <w:rtl/>
        </w:rPr>
        <w:t>דברי הקה"י דא"א לומר דבטומאה חל היתר על הכל דהנדון על טומאת האדם ולא בתערובת</w:t>
      </w:r>
    </w:p>
    <w:p w:rsidR="003A5D2C" w:rsidRDefault="003A5D2C" w:rsidP="003A5D2C">
      <w:pPr>
        <w:pStyle w:val="aff2"/>
        <w:numPr>
          <w:ilvl w:val="0"/>
          <w:numId w:val="3"/>
        </w:numPr>
        <w:rPr>
          <w:rFonts w:eastAsiaTheme="minorEastAsia" w:cstheme="minorBidi"/>
          <w:sz w:val="22"/>
          <w:szCs w:val="22"/>
          <w:rtl/>
        </w:rPr>
      </w:pPr>
      <w:r>
        <w:rPr>
          <w:rtl/>
        </w:rPr>
        <w:t>קושית הקה"י דהרא"ש חילק בין מגע ולמשא ולא חילק במשא בין בב"א לבזאח"ז</w:t>
      </w:r>
    </w:p>
    <w:p w:rsidR="003A5D2C" w:rsidRDefault="003A5D2C" w:rsidP="003A5D2C">
      <w:pPr>
        <w:pStyle w:val="2"/>
        <w:rPr>
          <w:rFonts w:eastAsiaTheme="minorEastAsia" w:cstheme="minorBidi"/>
          <w:i/>
          <w:iCs/>
          <w:sz w:val="22"/>
          <w:szCs w:val="22"/>
          <w:rtl/>
        </w:rPr>
      </w:pPr>
      <w:r>
        <w:rPr>
          <w:rtl/>
        </w:rPr>
        <w:t>בדברי המהר"י קורקוס דלח בטל לגמרי</w:t>
      </w:r>
    </w:p>
    <w:p w:rsidR="003A5D2C" w:rsidRDefault="003A5D2C" w:rsidP="003A5D2C">
      <w:pPr>
        <w:pStyle w:val="aff4"/>
        <w:rPr>
          <w:rFonts w:eastAsiaTheme="minorEastAsia" w:cstheme="minorBidi"/>
          <w:i/>
          <w:iCs/>
          <w:noProof/>
          <w:sz w:val="22"/>
          <w:szCs w:val="22"/>
          <w:rtl/>
        </w:rPr>
      </w:pPr>
      <w:r>
        <w:rPr>
          <w:noProof/>
          <w:rtl/>
        </w:rPr>
        <w:t>דברי הקוב"ש בגדר ביטול וחוזר וניעור בלח</w:t>
      </w:r>
    </w:p>
    <w:p w:rsidR="003A5D2C" w:rsidRDefault="003A5D2C" w:rsidP="003A5D2C">
      <w:pPr>
        <w:pStyle w:val="aff2"/>
        <w:numPr>
          <w:ilvl w:val="0"/>
          <w:numId w:val="3"/>
        </w:numPr>
        <w:rPr>
          <w:rFonts w:eastAsiaTheme="minorEastAsia" w:cstheme="minorBidi"/>
          <w:sz w:val="22"/>
          <w:szCs w:val="22"/>
          <w:rtl/>
        </w:rPr>
      </w:pPr>
      <w:r>
        <w:rPr>
          <w:rtl/>
        </w:rPr>
        <w:t>ביאור הקוב"ש במהר"י קורקוס דבלח הוא במציאות שיש לכל התערובת את השֵׁם של הרוב</w:t>
      </w:r>
    </w:p>
    <w:p w:rsidR="003A5D2C" w:rsidRDefault="003A5D2C" w:rsidP="003A5D2C">
      <w:pPr>
        <w:pStyle w:val="aff2"/>
        <w:numPr>
          <w:ilvl w:val="0"/>
          <w:numId w:val="3"/>
        </w:numPr>
        <w:rPr>
          <w:rFonts w:eastAsiaTheme="minorEastAsia" w:cstheme="minorBidi"/>
          <w:sz w:val="22"/>
          <w:szCs w:val="22"/>
          <w:rtl/>
        </w:rPr>
      </w:pPr>
      <w:r>
        <w:rPr>
          <w:rtl/>
        </w:rPr>
        <w:t>דברי הקוב"ש דבהוסיף איסור בלח אין ביטול במציאות וחוזר וניעור אף אי ביבש אין חוזר וניעור</w:t>
      </w:r>
    </w:p>
    <w:p w:rsidR="003A5D2C" w:rsidRDefault="003A5D2C" w:rsidP="003A5D2C">
      <w:pPr>
        <w:pStyle w:val="aff4"/>
        <w:rPr>
          <w:rFonts w:eastAsiaTheme="minorEastAsia" w:cstheme="minorBidi"/>
          <w:i/>
          <w:iCs/>
          <w:noProof/>
          <w:sz w:val="22"/>
          <w:szCs w:val="22"/>
          <w:rtl/>
        </w:rPr>
      </w:pPr>
      <w:r>
        <w:rPr>
          <w:noProof/>
          <w:rtl/>
        </w:rPr>
        <w:t>דברי הקוה"ע דלמהר"י קורקוס בנשא בזאח"ז טמא במשא</w:t>
      </w:r>
    </w:p>
    <w:p w:rsidR="003A5D2C" w:rsidRDefault="003A5D2C" w:rsidP="003A5D2C">
      <w:pPr>
        <w:pStyle w:val="aff2"/>
        <w:numPr>
          <w:ilvl w:val="0"/>
          <w:numId w:val="3"/>
        </w:numPr>
        <w:rPr>
          <w:rFonts w:eastAsiaTheme="minorEastAsia" w:cstheme="minorBidi"/>
          <w:sz w:val="22"/>
          <w:szCs w:val="22"/>
          <w:rtl/>
        </w:rPr>
      </w:pPr>
      <w:r>
        <w:rPr>
          <w:rtl/>
        </w:rPr>
        <w:t>דברי הקוה"ע דלמהר"י קורקוס רק בנשא בב"א טמא אבל בנשא בזה אחר זה מהני הביטול</w:t>
      </w:r>
    </w:p>
    <w:p w:rsidR="003A5D2C" w:rsidRDefault="003A5D2C" w:rsidP="003A5D2C">
      <w:pPr>
        <w:pStyle w:val="aff2"/>
        <w:numPr>
          <w:ilvl w:val="0"/>
          <w:numId w:val="3"/>
        </w:numPr>
        <w:rPr>
          <w:rFonts w:eastAsiaTheme="minorEastAsia" w:cstheme="minorBidi"/>
          <w:sz w:val="22"/>
          <w:szCs w:val="22"/>
          <w:rtl/>
        </w:rPr>
      </w:pPr>
      <w:r>
        <w:rPr>
          <w:rtl/>
        </w:rPr>
        <w:t>ביאור שיעורי רבי אלחנן במהר"י קורקוס דביבש גוף האיסור קיים ובב"א נושא ודאי טומאה</w:t>
      </w:r>
    </w:p>
    <w:p w:rsidR="003A5D2C" w:rsidRDefault="003A5D2C" w:rsidP="003A5D2C">
      <w:pPr>
        <w:pStyle w:val="aff2"/>
        <w:numPr>
          <w:ilvl w:val="0"/>
          <w:numId w:val="3"/>
        </w:numPr>
        <w:rPr>
          <w:rFonts w:eastAsiaTheme="minorEastAsia" w:cstheme="minorBidi"/>
          <w:sz w:val="22"/>
          <w:szCs w:val="22"/>
          <w:rtl/>
        </w:rPr>
      </w:pPr>
      <w:r>
        <w:rPr>
          <w:rtl/>
        </w:rPr>
        <w:t>ביאור רבי אלחנן במהר"י קורקוס דבלח השתנה המראה והתערובת אחת ואין טומאה בפנ"ע</w:t>
      </w:r>
    </w:p>
    <w:p w:rsidR="003A5D2C" w:rsidRDefault="003A5D2C" w:rsidP="003A5D2C">
      <w:pPr>
        <w:pStyle w:val="2"/>
        <w:rPr>
          <w:rFonts w:eastAsiaTheme="minorEastAsia" w:cstheme="minorBidi"/>
          <w:i/>
          <w:iCs/>
          <w:sz w:val="22"/>
          <w:szCs w:val="22"/>
          <w:rtl/>
        </w:rPr>
      </w:pPr>
      <w:r>
        <w:rPr>
          <w:rtl/>
        </w:rPr>
        <w:t>בדברי התוס' ושא"ר בטומאת מגע ומשא</w:t>
      </w:r>
    </w:p>
    <w:p w:rsidR="003A5D2C" w:rsidRDefault="003A5D2C" w:rsidP="003A5D2C">
      <w:pPr>
        <w:pStyle w:val="aff4"/>
        <w:rPr>
          <w:rFonts w:eastAsiaTheme="minorEastAsia" w:cstheme="minorBidi"/>
          <w:i/>
          <w:iCs/>
          <w:noProof/>
          <w:sz w:val="22"/>
          <w:szCs w:val="22"/>
          <w:rtl/>
        </w:rPr>
      </w:pPr>
      <w:r>
        <w:rPr>
          <w:noProof/>
          <w:rtl/>
        </w:rPr>
        <w:t>קושיות הקוב"ש על התוס' בבכורות בביטול לח ויבש</w:t>
      </w:r>
    </w:p>
    <w:p w:rsidR="003A5D2C" w:rsidRDefault="003A5D2C" w:rsidP="003A5D2C">
      <w:pPr>
        <w:pStyle w:val="aff2"/>
        <w:numPr>
          <w:ilvl w:val="0"/>
          <w:numId w:val="3"/>
        </w:numPr>
        <w:rPr>
          <w:rFonts w:eastAsiaTheme="minorEastAsia" w:cstheme="minorBidi"/>
          <w:sz w:val="22"/>
          <w:szCs w:val="22"/>
          <w:rtl/>
        </w:rPr>
      </w:pPr>
      <w:r>
        <w:rPr>
          <w:rtl/>
        </w:rPr>
        <w:t>קושית הקוב"ש על התוס' דהאיך כל משהו בטל כשבולעו הא בתוך כא"פ הוא אכילה אחת</w:t>
      </w:r>
    </w:p>
    <w:p w:rsidR="003A5D2C" w:rsidRDefault="003A5D2C" w:rsidP="003A5D2C">
      <w:pPr>
        <w:pStyle w:val="aff2"/>
        <w:numPr>
          <w:ilvl w:val="0"/>
          <w:numId w:val="3"/>
        </w:numPr>
        <w:rPr>
          <w:rFonts w:eastAsiaTheme="minorEastAsia" w:cstheme="minorBidi"/>
          <w:sz w:val="22"/>
          <w:szCs w:val="22"/>
          <w:rtl/>
        </w:rPr>
      </w:pPr>
      <w:r>
        <w:rPr>
          <w:rtl/>
        </w:rPr>
        <w:t>ביאור הקוב"ש בתוס' דכא"פ מצרף לאכילה בזמן אחד אך אינו מצרף להחשיב כאכילה אחת</w:t>
      </w:r>
    </w:p>
    <w:p w:rsidR="003A5D2C" w:rsidRDefault="003A5D2C" w:rsidP="003A5D2C">
      <w:pPr>
        <w:pStyle w:val="aff2"/>
        <w:numPr>
          <w:ilvl w:val="0"/>
          <w:numId w:val="3"/>
        </w:numPr>
        <w:rPr>
          <w:rFonts w:eastAsiaTheme="minorEastAsia" w:cstheme="minorBidi"/>
          <w:sz w:val="22"/>
          <w:szCs w:val="22"/>
          <w:rtl/>
        </w:rPr>
      </w:pPr>
      <w:r>
        <w:rPr>
          <w:rtl/>
        </w:rPr>
        <w:t>קושית הקוב"ש דרק ביבש שייך לומר דכשבולע קמא קמא בטיל אבל בלח בכל משהו יש איסור</w:t>
      </w:r>
    </w:p>
    <w:p w:rsidR="003A5D2C" w:rsidRDefault="003A5D2C" w:rsidP="003A5D2C">
      <w:pPr>
        <w:pStyle w:val="aff2"/>
        <w:numPr>
          <w:ilvl w:val="0"/>
          <w:numId w:val="3"/>
        </w:numPr>
        <w:rPr>
          <w:rFonts w:eastAsiaTheme="minorEastAsia" w:cstheme="minorBidi"/>
          <w:sz w:val="22"/>
          <w:szCs w:val="22"/>
          <w:rtl/>
        </w:rPr>
      </w:pPr>
      <w:r>
        <w:rPr>
          <w:rtl/>
        </w:rPr>
        <w:t>דברי הקוה"ע דמבואר בתוס' בבכורות דס"ל כמהר"י קורקוס דהביטול בלח יותר מהביטול ביבש</w:t>
      </w:r>
    </w:p>
    <w:p w:rsidR="003A5D2C" w:rsidRDefault="003A5D2C" w:rsidP="003A5D2C">
      <w:pPr>
        <w:pStyle w:val="aff2"/>
        <w:numPr>
          <w:ilvl w:val="0"/>
          <w:numId w:val="3"/>
        </w:numPr>
        <w:rPr>
          <w:rFonts w:eastAsiaTheme="minorEastAsia" w:cstheme="minorBidi"/>
          <w:sz w:val="22"/>
          <w:szCs w:val="22"/>
          <w:rtl/>
        </w:rPr>
      </w:pPr>
      <w:r>
        <w:rPr>
          <w:rtl/>
        </w:rPr>
        <w:t>קושית הקוב"ש דא"כ בלח דבטל במציאות אין היתר דקמא קמא בטיל ובנוסף איסור חוזר וניעור</w:t>
      </w:r>
    </w:p>
    <w:p w:rsidR="003A5D2C" w:rsidRDefault="003A5D2C" w:rsidP="003A5D2C">
      <w:pPr>
        <w:pStyle w:val="aff4"/>
        <w:rPr>
          <w:rFonts w:eastAsiaTheme="minorEastAsia" w:cstheme="minorBidi"/>
          <w:i/>
          <w:iCs/>
          <w:noProof/>
          <w:sz w:val="22"/>
          <w:szCs w:val="22"/>
          <w:rtl/>
        </w:rPr>
      </w:pPr>
      <w:r>
        <w:rPr>
          <w:noProof/>
          <w:rtl/>
        </w:rPr>
        <w:t>דברי השער"י בפלוגתת התוס' והרמב"ם והרא"ש במשא מדאו'</w:t>
      </w:r>
    </w:p>
    <w:p w:rsidR="003A5D2C" w:rsidRDefault="003A5D2C" w:rsidP="003A5D2C">
      <w:pPr>
        <w:pStyle w:val="aff2"/>
        <w:numPr>
          <w:ilvl w:val="0"/>
          <w:numId w:val="3"/>
        </w:numPr>
        <w:rPr>
          <w:rFonts w:eastAsiaTheme="minorEastAsia" w:cstheme="minorBidi"/>
          <w:sz w:val="22"/>
          <w:szCs w:val="22"/>
          <w:rtl/>
        </w:rPr>
      </w:pPr>
      <w:r>
        <w:rPr>
          <w:rtl/>
        </w:rPr>
        <w:t>דברי השער"י דלהתוס' בבכורות ביבש שנגע בב"א טמא כמשא ובבזאח"ז טהור אף במשא</w:t>
      </w:r>
    </w:p>
    <w:p w:rsidR="003A5D2C" w:rsidRDefault="003A5D2C" w:rsidP="003A5D2C">
      <w:pPr>
        <w:pStyle w:val="aff2"/>
        <w:numPr>
          <w:ilvl w:val="0"/>
          <w:numId w:val="3"/>
        </w:numPr>
        <w:rPr>
          <w:rFonts w:eastAsiaTheme="minorEastAsia" w:cstheme="minorBidi"/>
          <w:sz w:val="22"/>
          <w:szCs w:val="22"/>
          <w:rtl/>
        </w:rPr>
      </w:pPr>
      <w:r>
        <w:rPr>
          <w:rtl/>
        </w:rPr>
        <w:t>דברי השער"י דלהרא"ש במגע טמא בב"א ובבזאח"ז ובמשא טהור בב"א ובבזאח"ז</w:t>
      </w:r>
    </w:p>
    <w:p w:rsidR="003A5D2C" w:rsidRDefault="003A5D2C" w:rsidP="003A5D2C">
      <w:pPr>
        <w:pStyle w:val="aff2"/>
        <w:numPr>
          <w:ilvl w:val="0"/>
          <w:numId w:val="3"/>
        </w:numPr>
        <w:rPr>
          <w:rFonts w:eastAsiaTheme="minorEastAsia" w:cstheme="minorBidi"/>
          <w:sz w:val="22"/>
          <w:szCs w:val="22"/>
          <w:rtl/>
        </w:rPr>
      </w:pPr>
      <w:r>
        <w:rPr>
          <w:rtl/>
        </w:rPr>
        <w:t>דברי השער"י דלהרא"ש טמא במשא מדאו' ואף בתוס' משמע דמספקא להו אי טמא מדרבנן</w:t>
      </w:r>
    </w:p>
    <w:p w:rsidR="003A5D2C" w:rsidRDefault="003A5D2C" w:rsidP="003A5D2C">
      <w:pPr>
        <w:pStyle w:val="aff2"/>
        <w:numPr>
          <w:ilvl w:val="0"/>
          <w:numId w:val="3"/>
        </w:numPr>
        <w:rPr>
          <w:rFonts w:eastAsiaTheme="minorEastAsia" w:cstheme="minorBidi"/>
          <w:sz w:val="22"/>
          <w:szCs w:val="22"/>
          <w:rtl/>
        </w:rPr>
      </w:pPr>
      <w:r>
        <w:rPr>
          <w:rtl/>
        </w:rPr>
        <w:t>דברי השער"י דמהא דהרמב"ם לא חילק כתוס' מבואר דמטמא במשא מדאו' וכן מדויק בלשונו</w:t>
      </w:r>
    </w:p>
    <w:p w:rsidR="003A5D2C" w:rsidRDefault="003A5D2C" w:rsidP="003A5D2C">
      <w:pPr>
        <w:pStyle w:val="aff4"/>
        <w:rPr>
          <w:rFonts w:eastAsiaTheme="minorEastAsia" w:cstheme="minorBidi"/>
          <w:i/>
          <w:iCs/>
          <w:noProof/>
          <w:sz w:val="22"/>
          <w:szCs w:val="22"/>
          <w:rtl/>
        </w:rPr>
      </w:pPr>
      <w:r>
        <w:rPr>
          <w:noProof/>
          <w:rtl/>
        </w:rPr>
        <w:t>ביאור חי' הגרש"ש דבמגע יש היתר מדין כל דפריש ולא במשא</w:t>
      </w:r>
    </w:p>
    <w:p w:rsidR="003A5D2C" w:rsidRDefault="003A5D2C" w:rsidP="003A5D2C">
      <w:pPr>
        <w:pStyle w:val="aff2"/>
        <w:numPr>
          <w:ilvl w:val="0"/>
          <w:numId w:val="3"/>
        </w:numPr>
        <w:rPr>
          <w:rFonts w:eastAsiaTheme="minorEastAsia" w:cstheme="minorBidi"/>
          <w:sz w:val="22"/>
          <w:szCs w:val="22"/>
          <w:rtl/>
        </w:rPr>
      </w:pPr>
      <w:r>
        <w:rPr>
          <w:rtl/>
        </w:rPr>
        <w:t>הקשה הגרש"ש דלהרשב"א שאוסר לאכול בב"א א"כ אף מגע בב"א טמא מדאו' או מדרבנן</w:t>
      </w:r>
    </w:p>
    <w:p w:rsidR="003A5D2C" w:rsidRDefault="003A5D2C" w:rsidP="003A5D2C">
      <w:pPr>
        <w:pStyle w:val="aff2"/>
        <w:numPr>
          <w:ilvl w:val="0"/>
          <w:numId w:val="3"/>
        </w:numPr>
        <w:rPr>
          <w:rFonts w:eastAsiaTheme="minorEastAsia" w:cstheme="minorBidi"/>
          <w:sz w:val="22"/>
          <w:szCs w:val="22"/>
          <w:rtl/>
        </w:rPr>
      </w:pPr>
      <w:r>
        <w:rPr>
          <w:rtl/>
        </w:rPr>
        <w:t>ביאור הגרש"ש דכל נגיעה היא בפנ"ע וכ"א מותרת מדין כל דפריש וממילא אף בב"א יש ביטול</w:t>
      </w:r>
    </w:p>
    <w:p w:rsidR="003A5D2C" w:rsidRDefault="003A5D2C" w:rsidP="003A5D2C">
      <w:pPr>
        <w:pStyle w:val="aff2"/>
        <w:numPr>
          <w:ilvl w:val="0"/>
          <w:numId w:val="3"/>
        </w:numPr>
        <w:rPr>
          <w:rFonts w:eastAsiaTheme="minorEastAsia" w:cstheme="minorBidi"/>
          <w:sz w:val="22"/>
          <w:szCs w:val="22"/>
          <w:rtl/>
        </w:rPr>
      </w:pPr>
      <w:r>
        <w:rPr>
          <w:rtl/>
        </w:rPr>
        <w:t>ביאור הגרש"ש דבמשא בב"א חשיב משא אחד ולא ב' פעולות ואין היתר מדין כל דפריש</w:t>
      </w:r>
    </w:p>
    <w:p w:rsidR="003A5D2C" w:rsidRDefault="003A5D2C" w:rsidP="003A5D2C">
      <w:pPr>
        <w:pStyle w:val="aff4"/>
        <w:rPr>
          <w:rFonts w:eastAsiaTheme="minorEastAsia" w:cstheme="minorBidi"/>
          <w:i/>
          <w:iCs/>
          <w:noProof/>
          <w:sz w:val="22"/>
          <w:szCs w:val="22"/>
          <w:rtl/>
        </w:rPr>
      </w:pPr>
      <w:r>
        <w:rPr>
          <w:noProof/>
          <w:rtl/>
        </w:rPr>
        <w:t>דברי חי' הגרש"ש דלרא"ש ותוס' טמא מדרבנן ולרשב"א מדאו'</w:t>
      </w:r>
    </w:p>
    <w:p w:rsidR="003A5D2C" w:rsidRDefault="003A5D2C" w:rsidP="003A5D2C">
      <w:pPr>
        <w:pStyle w:val="aff2"/>
        <w:numPr>
          <w:ilvl w:val="0"/>
          <w:numId w:val="3"/>
        </w:numPr>
        <w:rPr>
          <w:rFonts w:eastAsiaTheme="minorEastAsia" w:cstheme="minorBidi"/>
          <w:sz w:val="22"/>
          <w:szCs w:val="22"/>
          <w:rtl/>
        </w:rPr>
      </w:pPr>
      <w:r>
        <w:rPr>
          <w:rtl/>
        </w:rPr>
        <w:t>דברי הגרש"ש דלהרא"ש מטמאה במשא מדרבנן כתוס' דטומאת משא חמורה מאכילה</w:t>
      </w:r>
    </w:p>
    <w:p w:rsidR="003A5D2C" w:rsidRDefault="003A5D2C" w:rsidP="003A5D2C">
      <w:pPr>
        <w:pStyle w:val="aff2"/>
        <w:numPr>
          <w:ilvl w:val="0"/>
          <w:numId w:val="3"/>
        </w:numPr>
        <w:rPr>
          <w:rFonts w:eastAsiaTheme="minorEastAsia" w:cstheme="minorBidi"/>
          <w:sz w:val="22"/>
          <w:szCs w:val="22"/>
          <w:rtl/>
        </w:rPr>
      </w:pPr>
      <w:r>
        <w:rPr>
          <w:rtl/>
        </w:rPr>
        <w:t>ביאור הגרש"ש ברשב"א דאוכל בב"א דמי למשא וס"ל דאין ביטול כשבולע דהוא הנאה אחת</w:t>
      </w:r>
    </w:p>
    <w:p w:rsidR="003A5D2C" w:rsidRDefault="003A5D2C" w:rsidP="003A5D2C">
      <w:pPr>
        <w:pStyle w:val="aff2"/>
        <w:numPr>
          <w:ilvl w:val="0"/>
          <w:numId w:val="3"/>
        </w:numPr>
        <w:rPr>
          <w:rFonts w:eastAsiaTheme="minorEastAsia" w:cstheme="minorBidi"/>
          <w:sz w:val="22"/>
          <w:szCs w:val="22"/>
          <w:rtl/>
        </w:rPr>
      </w:pPr>
      <w:r>
        <w:rPr>
          <w:rtl/>
        </w:rPr>
        <w:t>ביאור הגרש"ש ברא"ש דבמשא הטומאה חוזרת וניעורה כהוסיף איסור דחשיב כהוכר האיסור</w:t>
      </w:r>
    </w:p>
    <w:p w:rsidR="003A5D2C" w:rsidRDefault="003A5D2C" w:rsidP="003A5D2C">
      <w:pPr>
        <w:pStyle w:val="aff2"/>
        <w:numPr>
          <w:ilvl w:val="0"/>
          <w:numId w:val="3"/>
        </w:numPr>
        <w:rPr>
          <w:rFonts w:eastAsiaTheme="minorEastAsia" w:cstheme="minorBidi"/>
          <w:sz w:val="22"/>
          <w:szCs w:val="22"/>
          <w:rtl/>
        </w:rPr>
      </w:pPr>
      <w:r>
        <w:rPr>
          <w:rtl/>
        </w:rPr>
        <w:t>ביאור הגרש"ש ברא"ש דבאכילה בב"א א"א לומר שאסור מכאן ולהבא דאין ב' דינים באכילה</w:t>
      </w:r>
    </w:p>
    <w:p w:rsidR="003A5D2C" w:rsidRDefault="003A5D2C" w:rsidP="003A5D2C">
      <w:pPr>
        <w:pStyle w:val="aff4"/>
        <w:rPr>
          <w:rFonts w:eastAsiaTheme="minorEastAsia" w:cstheme="minorBidi"/>
          <w:i/>
          <w:iCs/>
          <w:noProof/>
          <w:sz w:val="22"/>
          <w:szCs w:val="22"/>
          <w:rtl/>
        </w:rPr>
      </w:pPr>
      <w:r>
        <w:rPr>
          <w:noProof/>
          <w:rtl/>
        </w:rPr>
        <w:t>ביאור הבאר יצחק בפלוגתת הראשונים אי איסור כמאן דאיתא</w:t>
      </w:r>
    </w:p>
    <w:p w:rsidR="003A5D2C" w:rsidRDefault="003A5D2C" w:rsidP="003A5D2C">
      <w:pPr>
        <w:pStyle w:val="aff2"/>
        <w:numPr>
          <w:ilvl w:val="0"/>
          <w:numId w:val="3"/>
        </w:numPr>
        <w:rPr>
          <w:rFonts w:eastAsiaTheme="minorEastAsia" w:cstheme="minorBidi"/>
          <w:sz w:val="22"/>
          <w:szCs w:val="22"/>
          <w:rtl/>
        </w:rPr>
      </w:pPr>
      <w:r>
        <w:rPr>
          <w:rtl/>
        </w:rPr>
        <w:t>הוכחת הבאר יצחק דהתוס' ס"ל דהאיסור כמאן דליתא וכהרא"ש דנהפך וטמא במשא מדרבנן</w:t>
      </w:r>
    </w:p>
    <w:p w:rsidR="003A5D2C" w:rsidRDefault="003A5D2C" w:rsidP="003A5D2C">
      <w:pPr>
        <w:pStyle w:val="aff2"/>
        <w:numPr>
          <w:ilvl w:val="0"/>
          <w:numId w:val="3"/>
        </w:numPr>
        <w:rPr>
          <w:rFonts w:eastAsiaTheme="minorEastAsia" w:cstheme="minorBidi"/>
          <w:sz w:val="22"/>
          <w:szCs w:val="22"/>
          <w:rtl/>
        </w:rPr>
      </w:pPr>
      <w:r>
        <w:rPr>
          <w:rtl/>
        </w:rPr>
        <w:t>ביאור הבאר יצחק ברשב"א דרוב מברר על כל חתיכה ובנשא בב"א דאין בירור טמא מדאו'</w:t>
      </w:r>
    </w:p>
    <w:p w:rsidR="003A5D2C" w:rsidRDefault="003A5D2C" w:rsidP="003A5D2C">
      <w:pPr>
        <w:pStyle w:val="aff2"/>
        <w:numPr>
          <w:ilvl w:val="0"/>
          <w:numId w:val="3"/>
        </w:numPr>
        <w:rPr>
          <w:rFonts w:eastAsiaTheme="minorEastAsia" w:cstheme="minorBidi"/>
          <w:sz w:val="22"/>
          <w:szCs w:val="22"/>
          <w:rtl/>
        </w:rPr>
      </w:pPr>
      <w:r>
        <w:rPr>
          <w:rtl/>
        </w:rPr>
        <w:t>דברי הבאר יצחק דלביאור המהר"י קורקוס אפש"ל דבלח אף להרשב"א האיסור כמאן דליתא</w:t>
      </w:r>
    </w:p>
    <w:p w:rsidR="003A5D2C" w:rsidRDefault="003A5D2C" w:rsidP="003A5D2C">
      <w:pPr>
        <w:pStyle w:val="aff4"/>
        <w:rPr>
          <w:rFonts w:eastAsiaTheme="minorEastAsia" w:cstheme="minorBidi"/>
          <w:i/>
          <w:iCs/>
          <w:noProof/>
          <w:sz w:val="22"/>
          <w:szCs w:val="22"/>
          <w:rtl/>
        </w:rPr>
      </w:pPr>
      <w:r>
        <w:rPr>
          <w:noProof/>
          <w:rtl/>
        </w:rPr>
        <w:t>ביאור המשנת ר"א ברמב"ם וברא"ש דמשא בב"א טמא מדאו'</w:t>
      </w:r>
    </w:p>
    <w:p w:rsidR="003A5D2C" w:rsidRDefault="003A5D2C" w:rsidP="003A5D2C">
      <w:pPr>
        <w:pStyle w:val="aff2"/>
        <w:numPr>
          <w:ilvl w:val="0"/>
          <w:numId w:val="3"/>
        </w:numPr>
        <w:rPr>
          <w:rFonts w:eastAsiaTheme="minorEastAsia" w:cstheme="minorBidi"/>
          <w:sz w:val="22"/>
          <w:szCs w:val="22"/>
          <w:rtl/>
        </w:rPr>
      </w:pPr>
      <w:r>
        <w:rPr>
          <w:rtl/>
        </w:rPr>
        <w:t>דברי המשנת ר"א דלהרמב"ם והרא"ש בנשא בבת אחת טמא מדאו' ודלא כתוס' בבכורות</w:t>
      </w:r>
    </w:p>
    <w:p w:rsidR="003A5D2C" w:rsidRDefault="003A5D2C" w:rsidP="003A5D2C">
      <w:pPr>
        <w:pStyle w:val="aff2"/>
        <w:numPr>
          <w:ilvl w:val="0"/>
          <w:numId w:val="3"/>
        </w:numPr>
        <w:rPr>
          <w:rFonts w:eastAsiaTheme="minorEastAsia" w:cstheme="minorBidi"/>
          <w:sz w:val="22"/>
          <w:szCs w:val="22"/>
          <w:rtl/>
        </w:rPr>
      </w:pPr>
      <w:r>
        <w:rPr>
          <w:rtl/>
        </w:rPr>
        <w:t>ביאור המשנת ר"א ברמב"ם וברא"ש דהטומאה כמאן דאיתא וסיבת הטומאה לא בטלה</w:t>
      </w:r>
    </w:p>
    <w:p w:rsidR="003A5D2C" w:rsidRDefault="003A5D2C" w:rsidP="003A5D2C">
      <w:pPr>
        <w:pStyle w:val="aff4"/>
        <w:rPr>
          <w:rFonts w:eastAsiaTheme="minorEastAsia" w:cstheme="minorBidi"/>
          <w:i/>
          <w:iCs/>
          <w:noProof/>
          <w:sz w:val="22"/>
          <w:szCs w:val="22"/>
          <w:rtl/>
        </w:rPr>
      </w:pPr>
      <w:r>
        <w:rPr>
          <w:noProof/>
          <w:rtl/>
        </w:rPr>
        <w:t>ביאור הקה"י בתוס' בבכורות בגדר הביטול בלח ויבש</w:t>
      </w:r>
    </w:p>
    <w:p w:rsidR="003A5D2C" w:rsidRDefault="003A5D2C" w:rsidP="003A5D2C">
      <w:pPr>
        <w:pStyle w:val="aff2"/>
        <w:numPr>
          <w:ilvl w:val="0"/>
          <w:numId w:val="3"/>
        </w:numPr>
        <w:rPr>
          <w:rFonts w:eastAsiaTheme="minorEastAsia" w:cstheme="minorBidi"/>
          <w:sz w:val="22"/>
          <w:szCs w:val="22"/>
          <w:rtl/>
        </w:rPr>
      </w:pPr>
      <w:r>
        <w:rPr>
          <w:rtl/>
        </w:rPr>
        <w:t>ביאור הקה"י בתוס' בבכורות דבבולע משהו אין ודאי איסור ובמשא בב"א יש ודאי טומאה</w:t>
      </w:r>
    </w:p>
    <w:p w:rsidR="003A5D2C" w:rsidRDefault="003A5D2C" w:rsidP="003A5D2C">
      <w:pPr>
        <w:pStyle w:val="aff2"/>
        <w:numPr>
          <w:ilvl w:val="0"/>
          <w:numId w:val="3"/>
        </w:numPr>
        <w:rPr>
          <w:rFonts w:eastAsiaTheme="minorEastAsia" w:cstheme="minorBidi"/>
          <w:sz w:val="22"/>
          <w:szCs w:val="22"/>
          <w:rtl/>
        </w:rPr>
      </w:pPr>
      <w:r>
        <w:rPr>
          <w:rtl/>
        </w:rPr>
        <w:t>קושית הקה"י דבלח שבטל ברוב בכל משהו יש ודאי איסור וחצי שיעור אסור מדאו'</w:t>
      </w:r>
    </w:p>
    <w:p w:rsidR="003A5D2C" w:rsidRDefault="003A5D2C" w:rsidP="003A5D2C">
      <w:pPr>
        <w:pStyle w:val="aff2"/>
        <w:numPr>
          <w:ilvl w:val="0"/>
          <w:numId w:val="3"/>
        </w:numPr>
        <w:rPr>
          <w:rFonts w:eastAsiaTheme="minorEastAsia" w:cstheme="minorBidi"/>
          <w:sz w:val="22"/>
          <w:szCs w:val="22"/>
          <w:rtl/>
        </w:rPr>
      </w:pPr>
      <w:r>
        <w:rPr>
          <w:rtl/>
        </w:rPr>
        <w:t>דברי הקה"י דבאינו מינו בלח דמדאו' צריך שישים חשיב האיסור כמאן דליתא דטעמו אבד</w:t>
      </w:r>
    </w:p>
    <w:p w:rsidR="003A5D2C" w:rsidRDefault="003A5D2C" w:rsidP="003A5D2C">
      <w:pPr>
        <w:pStyle w:val="aff2"/>
        <w:numPr>
          <w:ilvl w:val="0"/>
          <w:numId w:val="3"/>
        </w:numPr>
        <w:rPr>
          <w:rFonts w:eastAsiaTheme="minorEastAsia" w:cstheme="minorBidi"/>
          <w:sz w:val="22"/>
          <w:szCs w:val="22"/>
          <w:rtl/>
        </w:rPr>
      </w:pPr>
      <w:r>
        <w:rPr>
          <w:rtl/>
        </w:rPr>
        <w:t>דברי הקה"י דעדיין קשה ממינו בלח דמדאו' א"צ שישים ואמאי מותר הא בכל משהו יש איסור</w:t>
      </w:r>
    </w:p>
    <w:p w:rsidR="003A5D2C" w:rsidRDefault="003A5D2C" w:rsidP="003A5D2C">
      <w:pPr>
        <w:pStyle w:val="aff2"/>
        <w:numPr>
          <w:ilvl w:val="0"/>
          <w:numId w:val="3"/>
        </w:numPr>
        <w:rPr>
          <w:rFonts w:eastAsiaTheme="minorEastAsia" w:cstheme="minorBidi"/>
          <w:sz w:val="22"/>
          <w:szCs w:val="22"/>
          <w:rtl/>
        </w:rPr>
      </w:pPr>
      <w:r>
        <w:rPr>
          <w:rtl/>
        </w:rPr>
        <w:t>דברי הקה"י דלהתוס' משא טמא מדרבנן אבל מדאו' הטומאה כמאן דליתא ומדרבנן יש שישים</w:t>
      </w:r>
    </w:p>
    <w:p w:rsidR="003A5D2C" w:rsidRDefault="003A5D2C" w:rsidP="003A5D2C">
      <w:pPr>
        <w:pStyle w:val="aff2"/>
        <w:numPr>
          <w:ilvl w:val="0"/>
          <w:numId w:val="3"/>
        </w:numPr>
        <w:rPr>
          <w:rFonts w:eastAsiaTheme="minorEastAsia" w:cstheme="minorBidi"/>
          <w:sz w:val="22"/>
          <w:szCs w:val="22"/>
          <w:rtl/>
        </w:rPr>
      </w:pPr>
      <w:r>
        <w:rPr>
          <w:rtl/>
        </w:rPr>
        <w:t>דברי הקה"י דדוחק לומר דבמינו בשישים האיסור כמאן דליתא דהא במינו לא פג טעם האיסור</w:t>
      </w:r>
    </w:p>
    <w:p w:rsidR="003A5D2C" w:rsidRDefault="003A5D2C" w:rsidP="003A5D2C">
      <w:pPr>
        <w:pStyle w:val="aff2"/>
        <w:numPr>
          <w:ilvl w:val="0"/>
          <w:numId w:val="3"/>
        </w:numPr>
        <w:rPr>
          <w:rFonts w:eastAsiaTheme="minorEastAsia" w:cstheme="minorBidi"/>
          <w:sz w:val="22"/>
          <w:szCs w:val="22"/>
          <w:rtl/>
        </w:rPr>
        <w:sectPr w:rsidR="003A5D2C" w:rsidSect="003A5D2C">
          <w:type w:val="continuous"/>
          <w:pgSz w:w="11906" w:h="16838"/>
          <w:pgMar w:top="720" w:right="720" w:bottom="720" w:left="720" w:header="283" w:footer="283" w:gutter="0"/>
          <w:cols w:num="2" w:space="113"/>
          <w:bidi/>
          <w:rtlGutter/>
          <w:docGrid w:linePitch="299"/>
        </w:sectPr>
      </w:pPr>
      <w:r>
        <w:rPr>
          <w:rtl/>
        </w:rPr>
        <w:t>דברי הקה"י דלמהר"י קורקוס מיושב דבלח האיסור כמאן דליתא דבלח הוא פנים חדשות</w:t>
      </w:r>
    </w:p>
    <w:p w:rsidR="003A5D2C" w:rsidRDefault="003A5D2C" w:rsidP="003A5D2C">
      <w:pPr>
        <w:pStyle w:val="aff2"/>
        <w:rPr>
          <w:rFonts w:eastAsiaTheme="minorEastAsia" w:cstheme="minorBidi"/>
          <w:sz w:val="22"/>
          <w:szCs w:val="22"/>
          <w:rtl/>
        </w:rPr>
      </w:pPr>
    </w:p>
    <w:p w:rsidR="003A5D2C" w:rsidRDefault="003A5D2C" w:rsidP="003A5D2C">
      <w:pPr>
        <w:pStyle w:val="2"/>
        <w:rPr>
          <w:rtl/>
        </w:rPr>
        <w:sectPr w:rsidR="003A5D2C" w:rsidSect="009233FA">
          <w:type w:val="continuous"/>
          <w:pgSz w:w="11906" w:h="16838"/>
          <w:pgMar w:top="720" w:right="720" w:bottom="720" w:left="720" w:header="283" w:footer="283" w:gutter="0"/>
          <w:cols w:num="2" w:space="113"/>
          <w:bidi/>
          <w:rtlGutter/>
          <w:docGrid w:linePitch="299"/>
        </w:sectPr>
      </w:pPr>
      <w:r>
        <w:rPr>
          <w:rtl/>
        </w:rPr>
        <w:fldChar w:fldCharType="end"/>
      </w:r>
    </w:p>
    <w:p w:rsidR="003A5D2C" w:rsidRPr="0081356D" w:rsidRDefault="003A5D2C" w:rsidP="003A5D2C">
      <w:pPr>
        <w:pStyle w:val="afd"/>
        <w:rPr>
          <w:rtl/>
        </w:rPr>
      </w:pPr>
      <w:bookmarkStart w:id="14718" w:name="_Toc25053782"/>
      <w:bookmarkStart w:id="14719" w:name="_Toc25184777"/>
      <w:bookmarkStart w:id="14720" w:name="_Toc25317246"/>
      <w:bookmarkStart w:id="14721" w:name="_Toc25488164"/>
      <w:bookmarkStart w:id="14722" w:name="_Toc25524607"/>
      <w:bookmarkStart w:id="14723" w:name="_Toc25536106"/>
      <w:bookmarkStart w:id="14724" w:name="_Toc25571156"/>
      <w:bookmarkStart w:id="14725" w:name="_Toc25572632"/>
      <w:bookmarkStart w:id="14726" w:name="_Toc25572875"/>
      <w:r w:rsidRPr="0081356D">
        <w:rPr>
          <w:rFonts w:hint="cs"/>
          <w:rtl/>
        </w:rPr>
        <w:lastRenderedPageBreak/>
        <w:t>מראי מקומות וביאורים</w:t>
      </w:r>
      <w:bookmarkEnd w:id="14718"/>
      <w:bookmarkEnd w:id="14719"/>
      <w:bookmarkEnd w:id="14720"/>
      <w:bookmarkEnd w:id="14721"/>
      <w:bookmarkEnd w:id="14722"/>
      <w:bookmarkEnd w:id="14723"/>
      <w:bookmarkEnd w:id="14724"/>
      <w:bookmarkEnd w:id="14725"/>
      <w:bookmarkEnd w:id="14726"/>
    </w:p>
    <w:p w:rsidR="003A5D2C" w:rsidRPr="00B21444" w:rsidRDefault="003A5D2C" w:rsidP="003A5D2C">
      <w:pPr>
        <w:pStyle w:val="2"/>
        <w:bidi w:val="0"/>
        <w:rPr>
          <w:rtl/>
        </w:rPr>
        <w:sectPr w:rsidR="003A5D2C" w:rsidRPr="00B21444" w:rsidSect="00996763">
          <w:pgSz w:w="11906" w:h="16838"/>
          <w:pgMar w:top="720" w:right="720" w:bottom="720" w:left="720" w:header="283" w:footer="283" w:gutter="0"/>
          <w:cols w:space="720"/>
          <w:bidi/>
          <w:rtlGutter/>
          <w:docGrid w:linePitch="299"/>
        </w:sectPr>
      </w:pPr>
    </w:p>
    <w:p w:rsidR="003A5D2C" w:rsidRDefault="003A5D2C" w:rsidP="003A5D2C">
      <w:pPr>
        <w:pStyle w:val="afd"/>
        <w:rPr>
          <w:rtl/>
        </w:rPr>
      </w:pPr>
      <w:r>
        <w:rPr>
          <w:rFonts w:hint="cs"/>
          <w:rtl/>
        </w:rPr>
        <w:t xml:space="preserve"> </w:t>
      </w:r>
      <w:bookmarkStart w:id="14727" w:name="_Toc25053783"/>
      <w:bookmarkStart w:id="14728" w:name="_Toc25184778"/>
      <w:bookmarkStart w:id="14729" w:name="_Toc25317247"/>
      <w:bookmarkStart w:id="14730" w:name="_Toc25488165"/>
      <w:bookmarkStart w:id="14731" w:name="_Toc25524608"/>
      <w:bookmarkStart w:id="14732" w:name="_Toc25536107"/>
      <w:bookmarkStart w:id="14733" w:name="_Toc25571157"/>
      <w:bookmarkStart w:id="14734" w:name="_Toc25572633"/>
      <w:bookmarkStart w:id="14735" w:name="_Toc25572876"/>
      <w:r>
        <w:rPr>
          <w:rFonts w:hint="cs"/>
          <w:rtl/>
        </w:rPr>
        <w:t>דברי הרא"ש דאמרינן חוזר וניעור</w:t>
      </w:r>
      <w:bookmarkEnd w:id="14727"/>
      <w:bookmarkEnd w:id="14728"/>
      <w:bookmarkEnd w:id="14729"/>
      <w:bookmarkEnd w:id="14730"/>
      <w:bookmarkEnd w:id="14731"/>
      <w:bookmarkEnd w:id="14732"/>
      <w:bookmarkEnd w:id="14733"/>
      <w:bookmarkEnd w:id="14734"/>
      <w:bookmarkEnd w:id="14735"/>
    </w:p>
    <w:p w:rsidR="003A5D2C" w:rsidRDefault="003A5D2C" w:rsidP="003A5D2C">
      <w:pPr>
        <w:pStyle w:val="1"/>
        <w:rPr>
          <w:rtl/>
        </w:rPr>
      </w:pPr>
      <w:bookmarkStart w:id="14736" w:name="_Toc25053784"/>
      <w:bookmarkStart w:id="14737" w:name="_Toc25184779"/>
      <w:bookmarkStart w:id="14738" w:name="_Toc25317248"/>
      <w:bookmarkStart w:id="14739" w:name="_Toc25488166"/>
      <w:bookmarkStart w:id="14740" w:name="_Toc25524609"/>
      <w:bookmarkStart w:id="14741" w:name="_Toc25536108"/>
      <w:bookmarkStart w:id="14742" w:name="_Toc25571158"/>
      <w:bookmarkStart w:id="14743" w:name="_Toc25572634"/>
      <w:bookmarkStart w:id="14744" w:name="_Toc25572877"/>
      <w:r>
        <w:rPr>
          <w:rFonts w:hint="cs"/>
          <w:rtl/>
        </w:rPr>
        <w:t>דברי הרא"ש דיבש שבטל ברוב והוסיף איסור דחוזר וניעור</w:t>
      </w:r>
      <w:bookmarkEnd w:id="14736"/>
      <w:bookmarkEnd w:id="14737"/>
      <w:bookmarkEnd w:id="14738"/>
      <w:bookmarkEnd w:id="14739"/>
      <w:bookmarkEnd w:id="14740"/>
      <w:bookmarkEnd w:id="14741"/>
      <w:bookmarkEnd w:id="14742"/>
      <w:bookmarkEnd w:id="14743"/>
      <w:bookmarkEnd w:id="14744"/>
    </w:p>
    <w:p w:rsidR="003A5D2C" w:rsidRPr="00926966" w:rsidRDefault="003A5D2C" w:rsidP="003A5D2C">
      <w:pPr>
        <w:pStyle w:val="a2"/>
        <w:rPr>
          <w:rtl/>
        </w:rPr>
      </w:pPr>
      <w:bookmarkStart w:id="14745" w:name="_Toc25053785"/>
      <w:bookmarkStart w:id="14746" w:name="_Toc25184780"/>
      <w:bookmarkStart w:id="14747" w:name="_Toc25317249"/>
      <w:bookmarkStart w:id="14748" w:name="_Toc25488167"/>
      <w:bookmarkStart w:id="14749" w:name="_Toc25524610"/>
      <w:bookmarkStart w:id="14750" w:name="_Toc25536109"/>
      <w:bookmarkStart w:id="14751" w:name="_Toc25571159"/>
      <w:bookmarkStart w:id="14752" w:name="_Toc25572635"/>
      <w:bookmarkStart w:id="14753" w:name="_Toc25572878"/>
      <w:r w:rsidRPr="00926966">
        <w:rPr>
          <w:rFonts w:hint="cs"/>
          <w:rtl/>
        </w:rPr>
        <w:t>דברי הרא"ש דאף דהאיסור נהפך להיתר אם הוסיף איסור האיסור חוזר וניעור והכל אסור</w:t>
      </w:r>
      <w:bookmarkEnd w:id="14745"/>
      <w:bookmarkEnd w:id="14746"/>
      <w:bookmarkEnd w:id="14747"/>
      <w:bookmarkEnd w:id="14748"/>
      <w:bookmarkEnd w:id="14749"/>
      <w:bookmarkEnd w:id="14750"/>
      <w:bookmarkEnd w:id="14751"/>
      <w:bookmarkEnd w:id="14752"/>
      <w:bookmarkEnd w:id="14753"/>
    </w:p>
    <w:p w:rsidR="003A5D2C" w:rsidRDefault="003A5D2C" w:rsidP="009F44AF">
      <w:pPr>
        <w:pStyle w:val="a"/>
        <w:numPr>
          <w:ilvl w:val="0"/>
          <w:numId w:val="38"/>
        </w:numPr>
        <w:rPr>
          <w:rtl/>
        </w:rPr>
      </w:pPr>
      <w:r>
        <w:rPr>
          <w:rFonts w:hint="cs"/>
          <w:rtl/>
        </w:rPr>
        <w:t xml:space="preserve">כתב </w:t>
      </w:r>
      <w:r w:rsidRPr="00E57E1F">
        <w:rPr>
          <w:rStyle w:val="af8"/>
          <w:rFonts w:hint="cs"/>
          <w:rtl/>
        </w:rPr>
        <w:t>הרא"ש</w:t>
      </w:r>
      <w:r>
        <w:rPr>
          <w:rFonts w:hint="cs"/>
          <w:rtl/>
        </w:rPr>
        <w:t xml:space="preserve"> </w:t>
      </w:r>
      <w:r w:rsidRPr="009F44AF">
        <w:rPr>
          <w:rStyle w:val="af6"/>
          <w:rFonts w:eastAsia="Guttman Hodes" w:hint="cs"/>
          <w:rtl/>
        </w:rPr>
        <w:t>(סו"ס ל"ז)</w:t>
      </w:r>
      <w:r>
        <w:rPr>
          <w:rFonts w:hint="cs"/>
          <w:rtl/>
        </w:rPr>
        <w:t xml:space="preserve"> דבביטול ברוב ביבש ביבש האיסור נהפך להיתר, ומותר לאכול את כל התערובת בבת אחת, ואינה נאסרת אף אם בישל את כל התערובת יחד,  </w:t>
      </w:r>
      <w:r w:rsidRPr="00773229">
        <w:rPr>
          <w:rStyle w:val="afa"/>
          <w:rFonts w:hint="cs"/>
          <w:rtl/>
        </w:rPr>
        <w:t>[ודלא כדעת</w:t>
      </w:r>
      <w:r w:rsidRPr="00E25ED7">
        <w:rPr>
          <w:rStyle w:val="affa"/>
          <w:rtl/>
        </w:rPr>
        <w:t xml:space="preserve"> </w:t>
      </w:r>
      <w:r>
        <w:rPr>
          <w:rStyle w:val="affa"/>
          <w:rtl/>
        </w:rPr>
        <w:t>הרשב"א</w:t>
      </w:r>
      <w:r>
        <w:rPr>
          <w:rStyle w:val="afa"/>
          <w:rtl/>
        </w:rPr>
        <w:t xml:space="preserve"> </w:t>
      </w:r>
      <w:r>
        <w:rPr>
          <w:rStyle w:val="aff6"/>
          <w:rtl/>
        </w:rPr>
        <w:t>(ב"ד ש"א יז. מדה"ס, הובא בסימן י"ז אות מ"ז)</w:t>
      </w:r>
      <w:r>
        <w:rPr>
          <w:rFonts w:hint="cs"/>
          <w:rtl/>
        </w:rPr>
        <w:t xml:space="preserve"> </w:t>
      </w:r>
      <w:r w:rsidRPr="00773229">
        <w:rPr>
          <w:rStyle w:val="afa"/>
          <w:rFonts w:hint="cs"/>
          <w:rtl/>
        </w:rPr>
        <w:t>דכתב דאסור לאכול בבת אחת, ואסור בחזר ובישל],</w:t>
      </w:r>
      <w:r>
        <w:rPr>
          <w:rFonts w:hint="cs"/>
          <w:rtl/>
        </w:rPr>
        <w:t xml:space="preserve"> אך כתב </w:t>
      </w:r>
      <w:r w:rsidRPr="00E57E1F">
        <w:rPr>
          <w:rStyle w:val="af8"/>
          <w:rFonts w:hint="cs"/>
          <w:rtl/>
        </w:rPr>
        <w:t>הרא"ש</w:t>
      </w:r>
      <w:r>
        <w:rPr>
          <w:rFonts w:hint="cs"/>
          <w:rtl/>
        </w:rPr>
        <w:t xml:space="preserve"> דמ"מ אם הוסיף איסור לתערובת, עד שיש רוב באיסור כנגד ההיתר, דאמרינן מצא מין את מינו והאיסור חוזר וניעור ואסור.</w:t>
      </w:r>
    </w:p>
    <w:p w:rsidR="003A5D2C" w:rsidRPr="00926966" w:rsidRDefault="003A5D2C" w:rsidP="003A5D2C">
      <w:pPr>
        <w:pStyle w:val="a2"/>
        <w:rPr>
          <w:rtl/>
        </w:rPr>
      </w:pPr>
      <w:bookmarkStart w:id="14754" w:name="_Toc25053786"/>
      <w:bookmarkStart w:id="14755" w:name="_Toc25184781"/>
      <w:bookmarkStart w:id="14756" w:name="_Toc25317250"/>
      <w:bookmarkStart w:id="14757" w:name="_Toc25488168"/>
      <w:bookmarkStart w:id="14758" w:name="_Toc25524611"/>
      <w:bookmarkStart w:id="14759" w:name="_Toc25536110"/>
      <w:bookmarkStart w:id="14760" w:name="_Toc25571160"/>
      <w:bookmarkStart w:id="14761" w:name="_Toc25572636"/>
      <w:bookmarkStart w:id="14762" w:name="_Toc25572879"/>
      <w:r w:rsidRPr="00926966">
        <w:rPr>
          <w:rFonts w:hint="cs"/>
          <w:rtl/>
        </w:rPr>
        <w:t>דברי הרא"ש דבאינו מינו פשיטא דחוזר וניעור כיון שטעם האיסורים מצטרף ונותנים טעם בהיתר</w:t>
      </w:r>
      <w:bookmarkEnd w:id="14754"/>
      <w:bookmarkEnd w:id="14755"/>
      <w:bookmarkEnd w:id="14756"/>
      <w:bookmarkEnd w:id="14757"/>
      <w:bookmarkEnd w:id="14758"/>
      <w:bookmarkEnd w:id="14759"/>
      <w:bookmarkEnd w:id="14760"/>
      <w:bookmarkEnd w:id="14761"/>
      <w:bookmarkEnd w:id="14762"/>
    </w:p>
    <w:p w:rsidR="003A5D2C" w:rsidRDefault="003A5D2C" w:rsidP="009F44AF">
      <w:pPr>
        <w:pStyle w:val="a"/>
        <w:rPr>
          <w:rtl/>
        </w:rPr>
      </w:pPr>
      <w:r>
        <w:rPr>
          <w:rFonts w:hint="cs"/>
          <w:rtl/>
        </w:rPr>
        <w:t xml:space="preserve">וכתב </w:t>
      </w:r>
      <w:r w:rsidRPr="00E57E1F">
        <w:rPr>
          <w:rStyle w:val="af8"/>
          <w:rFonts w:hint="cs"/>
          <w:rtl/>
        </w:rPr>
        <w:t>הרא"ש</w:t>
      </w:r>
      <w:r>
        <w:rPr>
          <w:rFonts w:hint="cs"/>
          <w:rtl/>
        </w:rPr>
        <w:t xml:space="preserve"> דה"ה בכל האיסורים שהתבטלו, ונוסף איסור ויש רוב איסור דהאיסור חוזר וניעור, וכתב </w:t>
      </w:r>
      <w:r w:rsidRPr="002279E0">
        <w:rPr>
          <w:rStyle w:val="af8"/>
          <w:rFonts w:hint="cs"/>
          <w:rtl/>
        </w:rPr>
        <w:t>הרא"ש</w:t>
      </w:r>
      <w:r>
        <w:rPr>
          <w:rFonts w:hint="cs"/>
          <w:rtl/>
        </w:rPr>
        <w:t xml:space="preserve"> דבמין בשאינו מינו פשיטא דאמרינן חוזר וניעור, דכיון שהאיסור התבטל בשישים, ונוסף איסור עד שיש פחות משישים, דכיון שהטעם של האיסורים מצטרף, וממילא האיסור נותן טעם בהיתר, א"כ ודאי שהאיסור שנוסף מצטרף עם האיסור הראשון, לאסור את ההיתר.</w:t>
      </w:r>
    </w:p>
    <w:p w:rsidR="003A5D2C" w:rsidRPr="00926966" w:rsidRDefault="003A5D2C" w:rsidP="003A5D2C">
      <w:pPr>
        <w:pStyle w:val="a2"/>
      </w:pPr>
      <w:bookmarkStart w:id="14763" w:name="_Toc25488169"/>
      <w:bookmarkStart w:id="14764" w:name="_Toc25524612"/>
      <w:bookmarkStart w:id="14765" w:name="_Toc25536111"/>
      <w:bookmarkStart w:id="14766" w:name="_Toc25571161"/>
      <w:bookmarkStart w:id="14767" w:name="_Toc25572637"/>
      <w:bookmarkStart w:id="14768" w:name="_Toc25572880"/>
      <w:r>
        <w:rPr>
          <w:rFonts w:hint="cs"/>
          <w:rtl/>
        </w:rPr>
        <w:t>דברי הרא"ש דבמין במינו בלח פשיטא דחוזר וניעור אטו אינו מינו שיש בו חוזר וניעור</w:t>
      </w:r>
      <w:bookmarkEnd w:id="14763"/>
      <w:bookmarkEnd w:id="14764"/>
      <w:bookmarkEnd w:id="14765"/>
      <w:bookmarkEnd w:id="14766"/>
      <w:bookmarkEnd w:id="14767"/>
      <w:bookmarkEnd w:id="14768"/>
    </w:p>
    <w:p w:rsidR="003A5D2C" w:rsidRDefault="003A5D2C" w:rsidP="009F44AF">
      <w:pPr>
        <w:pStyle w:val="a"/>
        <w:rPr>
          <w:rtl/>
        </w:rPr>
      </w:pPr>
      <w:r>
        <w:rPr>
          <w:rFonts w:hint="cs"/>
          <w:rtl/>
        </w:rPr>
        <w:t xml:space="preserve">וכתב </w:t>
      </w:r>
      <w:r w:rsidRPr="00E57E1F">
        <w:rPr>
          <w:rStyle w:val="af8"/>
          <w:rFonts w:hint="cs"/>
          <w:rtl/>
        </w:rPr>
        <w:t>הרא"ש</w:t>
      </w:r>
      <w:r>
        <w:rPr>
          <w:rFonts w:hint="cs"/>
          <w:rtl/>
        </w:rPr>
        <w:t xml:space="preserve"> דה"ה במין במינו בלח בלח דפשיטא דאמרינן דהאיסור חוזר וניעור, דכיון שהאיסור התבטל בשישים, ונוסף איסור עד שיש פחות משישים, דאף שהוא מין במינו ואינו נותן טעם, מ"מ ודאי דהאיסור שנוסף מצטרף עם האיסור הראשון, לאסור את ההיתר בפחות משישים, דהא כל דין שישים במין במינו, הוא אטו מין בשאינו מינו, וכיון דבמין בשאינו מינו  אמרינן חוזר וניעור ה"ה במין במינו דאמרינן חוזר וניעור אטו אינו מינו.</w:t>
      </w:r>
    </w:p>
    <w:p w:rsidR="003A5D2C" w:rsidRPr="00926966" w:rsidRDefault="003A5D2C" w:rsidP="003A5D2C">
      <w:pPr>
        <w:pStyle w:val="a2"/>
      </w:pPr>
      <w:bookmarkStart w:id="14769" w:name="_Toc25488170"/>
      <w:bookmarkStart w:id="14770" w:name="_Toc25524613"/>
      <w:bookmarkStart w:id="14771" w:name="_Toc25536112"/>
      <w:bookmarkStart w:id="14772" w:name="_Toc25571162"/>
      <w:bookmarkStart w:id="14773" w:name="_Toc25572638"/>
      <w:bookmarkStart w:id="14774" w:name="_Toc25572881"/>
      <w:r>
        <w:rPr>
          <w:rFonts w:hint="cs"/>
          <w:rtl/>
        </w:rPr>
        <w:t>דברי הרא"ש דאף ביבש במין במינו דבטל בחד בתרי כל שנוסף איסור אמרינן דחוזר וניעור</w:t>
      </w:r>
      <w:bookmarkEnd w:id="14769"/>
      <w:bookmarkEnd w:id="14770"/>
      <w:bookmarkEnd w:id="14771"/>
      <w:bookmarkEnd w:id="14772"/>
      <w:bookmarkEnd w:id="14773"/>
      <w:bookmarkEnd w:id="14774"/>
    </w:p>
    <w:p w:rsidR="003A5D2C" w:rsidRDefault="003A5D2C" w:rsidP="009F44AF">
      <w:pPr>
        <w:pStyle w:val="a"/>
        <w:rPr>
          <w:rtl/>
        </w:rPr>
      </w:pPr>
      <w:r>
        <w:rPr>
          <w:rFonts w:hint="cs"/>
          <w:rtl/>
        </w:rPr>
        <w:t xml:space="preserve">והוסיף </w:t>
      </w:r>
      <w:r w:rsidRPr="00E57E1F">
        <w:rPr>
          <w:rStyle w:val="af8"/>
          <w:rFonts w:hint="cs"/>
          <w:rtl/>
        </w:rPr>
        <w:t>הרא"ש</w:t>
      </w:r>
      <w:r>
        <w:rPr>
          <w:rFonts w:hint="cs"/>
          <w:rtl/>
        </w:rPr>
        <w:t xml:space="preserve"> דאף במקום שא"צ שישים ומהני ביטול ברוב בחד בתרי דאמרינן חוזר וניעור, דביבש ביבש שאף מדרבנן האיסור התבטל בחד בתרי, כל שנוסף עליו איסור, ואין רוב בהיתר, אמרינן דמצא מין את מינו והאיסור חוזר וניעור.</w:t>
      </w:r>
    </w:p>
    <w:p w:rsidR="003A5D2C" w:rsidRPr="000037EF" w:rsidRDefault="003A5D2C" w:rsidP="003A5D2C">
      <w:pPr>
        <w:pStyle w:val="1"/>
        <w:rPr>
          <w:rtl/>
        </w:rPr>
      </w:pPr>
      <w:bookmarkStart w:id="14775" w:name="_Toc25488171"/>
      <w:bookmarkStart w:id="14776" w:name="_Toc25524614"/>
      <w:bookmarkStart w:id="14777" w:name="_Toc25536113"/>
      <w:bookmarkStart w:id="14778" w:name="_Toc25571163"/>
      <w:bookmarkStart w:id="14779" w:name="_Toc25572639"/>
      <w:bookmarkStart w:id="14780" w:name="_Toc25572882"/>
      <w:r>
        <w:rPr>
          <w:rFonts w:hint="cs"/>
          <w:rtl/>
        </w:rPr>
        <w:t>הוכחת הרא"ש מהמשנה בתרומה דאמרינן חוזר וניעור</w:t>
      </w:r>
      <w:bookmarkEnd w:id="14775"/>
      <w:bookmarkEnd w:id="14776"/>
      <w:bookmarkEnd w:id="14777"/>
      <w:bookmarkEnd w:id="14778"/>
      <w:bookmarkEnd w:id="14779"/>
      <w:bookmarkEnd w:id="14780"/>
    </w:p>
    <w:p w:rsidR="003A5D2C" w:rsidRPr="00926966" w:rsidRDefault="003A5D2C" w:rsidP="003A5D2C">
      <w:pPr>
        <w:pStyle w:val="a2"/>
        <w:rPr>
          <w:rtl/>
        </w:rPr>
      </w:pPr>
      <w:bookmarkStart w:id="14781" w:name="_Toc25488172"/>
      <w:bookmarkStart w:id="14782" w:name="_Toc25524615"/>
      <w:bookmarkStart w:id="14783" w:name="_Toc25536114"/>
      <w:bookmarkStart w:id="14784" w:name="_Toc25571164"/>
      <w:bookmarkStart w:id="14785" w:name="_Toc25572640"/>
      <w:bookmarkStart w:id="14786" w:name="_Toc25572883"/>
      <w:r>
        <w:rPr>
          <w:rFonts w:hint="cs"/>
          <w:rtl/>
        </w:rPr>
        <w:t>דברי הרא"ש דאמרינן חוזר וניעור בתרומה שהתבטלה ונוספה תרומה ולר"ש בשאר איסורים</w:t>
      </w:r>
      <w:bookmarkEnd w:id="14781"/>
      <w:bookmarkEnd w:id="14782"/>
      <w:bookmarkEnd w:id="14783"/>
      <w:bookmarkEnd w:id="14784"/>
      <w:bookmarkEnd w:id="14785"/>
      <w:bookmarkEnd w:id="14786"/>
    </w:p>
    <w:p w:rsidR="003A5D2C" w:rsidRDefault="003A5D2C" w:rsidP="009F44AF">
      <w:pPr>
        <w:pStyle w:val="a"/>
        <w:rPr>
          <w:rtl/>
        </w:rPr>
      </w:pPr>
      <w:bookmarkStart w:id="14787" w:name="_Ref25477166"/>
      <w:r>
        <w:rPr>
          <w:rFonts w:hint="cs"/>
          <w:rtl/>
        </w:rPr>
        <w:t xml:space="preserve">וכתב </w:t>
      </w:r>
      <w:r w:rsidRPr="00E57E1F">
        <w:rPr>
          <w:rStyle w:val="af8"/>
          <w:rFonts w:hint="cs"/>
          <w:rtl/>
        </w:rPr>
        <w:t>הרא"ש</w:t>
      </w:r>
      <w:r>
        <w:rPr>
          <w:rFonts w:hint="cs"/>
          <w:rtl/>
        </w:rPr>
        <w:t xml:space="preserve"> דכן מוכח מהמשנה בתרומה </w:t>
      </w:r>
      <w:r w:rsidRPr="00867C23">
        <w:rPr>
          <w:rStyle w:val="af6"/>
          <w:rFonts w:eastAsia="Guttman Hodes" w:hint="cs"/>
          <w:rtl/>
        </w:rPr>
        <w:t>(פ"ה מ"ח)</w:t>
      </w:r>
      <w:r>
        <w:rPr>
          <w:rFonts w:hint="cs"/>
          <w:rtl/>
        </w:rPr>
        <w:t xml:space="preserve">, דסאה של תרומה שנפלה לתוך מאה, ולא הספיק להגביה סאה מתוך התערובת, ונפלה סאה נוספת לתערובת, דחכמים אוסרים, וכדביאר </w:t>
      </w:r>
      <w:r w:rsidRPr="00DB7E81">
        <w:rPr>
          <w:rStyle w:val="af8"/>
          <w:rFonts w:hint="cs"/>
          <w:rtl/>
        </w:rPr>
        <w:t>הרא"ש</w:t>
      </w:r>
      <w:r>
        <w:rPr>
          <w:rFonts w:hint="cs"/>
          <w:rtl/>
        </w:rPr>
        <w:t xml:space="preserve"> </w:t>
      </w:r>
      <w:r w:rsidRPr="00D606AA">
        <w:rPr>
          <w:rStyle w:val="af6"/>
          <w:rFonts w:eastAsia="Guttman Hodes" w:hint="cs"/>
          <w:rtl/>
        </w:rPr>
        <w:t>(הובא בסימן י"ח אות ל"ב)</w:t>
      </w:r>
      <w:r w:rsidRPr="00FB291D">
        <w:rPr>
          <w:rFonts w:hint="cs"/>
          <w:rtl/>
        </w:rPr>
        <w:t xml:space="preserve"> </w:t>
      </w:r>
      <w:r>
        <w:rPr>
          <w:rFonts w:hint="cs"/>
          <w:rtl/>
        </w:rPr>
        <w:t xml:space="preserve">דלרבנן דב' הסאות מצטרפות, וחשיב כאילו נפלו יחד לתוך המאה, </w:t>
      </w:r>
      <w:r w:rsidRPr="00DB7E81">
        <w:rPr>
          <w:rStyle w:val="afa"/>
          <w:rFonts w:hint="cs"/>
          <w:rtl/>
        </w:rPr>
        <w:t>[ומבואר דאף שהסאה הראשונה התבטלה במאה, מ"מ הסאה השניה מצטרפת לראשונה, דאמרינן חוזר וניעור]</w:t>
      </w:r>
      <w:r>
        <w:rPr>
          <w:rStyle w:val="afa"/>
          <w:rFonts w:hint="cs"/>
          <w:rtl/>
        </w:rPr>
        <w:t xml:space="preserve">, </w:t>
      </w:r>
      <w:r>
        <w:rPr>
          <w:rFonts w:hint="cs"/>
          <w:rtl/>
        </w:rPr>
        <w:t xml:space="preserve">וכתב </w:t>
      </w:r>
      <w:r w:rsidRPr="00E57E1F">
        <w:rPr>
          <w:rStyle w:val="af8"/>
          <w:rFonts w:hint="cs"/>
          <w:rtl/>
        </w:rPr>
        <w:t>הרא"ש</w:t>
      </w:r>
      <w:r>
        <w:rPr>
          <w:rFonts w:hint="cs"/>
          <w:rtl/>
        </w:rPr>
        <w:t xml:space="preserve"> דאף לר"ש דמתיר אמרינן חוזר וניעור, דכ"מ דהתיר ר"ש הוא כיון דס"ל דכל העומד להרים כמורם דמי, וחשיב כאילו כבר הורמה הסאה הראשונה שנפלה, ולכן אינה מצטרפת לסאה השניה לאסור, אך כ"ז הוא דוקא בתרומה שצריכה הרמה מדין גזל ממון השבט, אבל בשאר איסורין שאינם צריכים הרמה, אף ר"ש מודה שהאיסור השני מצטרף לאיסור הראשון.</w:t>
      </w:r>
      <w:bookmarkEnd w:id="14787"/>
    </w:p>
    <w:p w:rsidR="003A5D2C" w:rsidRPr="00926966" w:rsidRDefault="003A5D2C" w:rsidP="003A5D2C">
      <w:pPr>
        <w:pStyle w:val="a2"/>
        <w:rPr>
          <w:rtl/>
        </w:rPr>
      </w:pPr>
      <w:bookmarkStart w:id="14788" w:name="_Toc25488173"/>
      <w:bookmarkStart w:id="14789" w:name="_Toc25524616"/>
      <w:bookmarkStart w:id="14790" w:name="_Toc25536115"/>
      <w:bookmarkStart w:id="14791" w:name="_Toc25571165"/>
      <w:bookmarkStart w:id="14792" w:name="_Toc25572641"/>
      <w:bookmarkStart w:id="14793" w:name="_Toc25572884"/>
      <w:r>
        <w:rPr>
          <w:rFonts w:hint="cs"/>
          <w:rtl/>
        </w:rPr>
        <w:t>דברי הרא"ש דהא דצריך להרים סאה בתרומה הוא מדין גזל השבט ואינו גורם איסור</w:t>
      </w:r>
      <w:bookmarkEnd w:id="14788"/>
      <w:bookmarkEnd w:id="14789"/>
      <w:bookmarkEnd w:id="14790"/>
      <w:bookmarkEnd w:id="14791"/>
      <w:bookmarkEnd w:id="14792"/>
      <w:bookmarkEnd w:id="14793"/>
    </w:p>
    <w:p w:rsidR="003A5D2C" w:rsidRDefault="003A5D2C" w:rsidP="009F44AF">
      <w:pPr>
        <w:pStyle w:val="a"/>
        <w:rPr>
          <w:rtl/>
        </w:rPr>
      </w:pPr>
      <w:bookmarkStart w:id="14794" w:name="_Ref25572581"/>
      <w:r>
        <w:rPr>
          <w:rFonts w:hint="cs"/>
          <w:rtl/>
        </w:rPr>
        <w:t xml:space="preserve">וכתב </w:t>
      </w:r>
      <w:r w:rsidRPr="00B53A81">
        <w:rPr>
          <w:rStyle w:val="af8"/>
          <w:rFonts w:hint="cs"/>
          <w:rtl/>
        </w:rPr>
        <w:t>הרא"ש</w:t>
      </w:r>
      <w:r>
        <w:rPr>
          <w:rFonts w:hint="cs"/>
          <w:rtl/>
        </w:rPr>
        <w:t xml:space="preserve"> דא"א לומר דלרבנן הסאות מצטרפות לאסור, כיון שבתרומה צריך להרים סאה מתוך התערובת, וכל שלא הרים את הראשונה, חשיב שעדיין לא נתבטלה, ולכן היא יכול להצטרף לסאה השניה, אבל בשאר איסורין שא"צ להרים אחד מהתערובת, חשיב שהאיסור הראשון התבטל לגמרי, ואינו מצטרף לאיסור שנפל אח"כ לאסור, ולא אמרינן דחוזר וניעור, וביאר </w:t>
      </w:r>
      <w:r w:rsidRPr="00B53A81">
        <w:rPr>
          <w:rStyle w:val="af8"/>
          <w:rFonts w:hint="cs"/>
          <w:rtl/>
        </w:rPr>
        <w:t>הרא"ש</w:t>
      </w:r>
      <w:r>
        <w:rPr>
          <w:rFonts w:hint="cs"/>
          <w:rtl/>
        </w:rPr>
        <w:t xml:space="preserve"> דכל הדין שבתרומה צריך להרים סאה אחת, אינו שייך לדין הביטול אלא הוא מחמת גזל ממון השבט, ואף שעדיין לא הרים סאה אחת, לא נאסרו החולין מחמת התרומה שמעורבת בהם.</w:t>
      </w:r>
      <w:bookmarkEnd w:id="14794"/>
    </w:p>
    <w:p w:rsidR="003A5D2C" w:rsidRDefault="003A5D2C" w:rsidP="003A5D2C">
      <w:pPr>
        <w:pStyle w:val="1"/>
        <w:rPr>
          <w:rtl/>
        </w:rPr>
      </w:pPr>
      <w:bookmarkStart w:id="14795" w:name="_Toc25488174"/>
      <w:bookmarkStart w:id="14796" w:name="_Toc25524617"/>
      <w:bookmarkStart w:id="14797" w:name="_Toc25536116"/>
      <w:bookmarkStart w:id="14798" w:name="_Toc25571166"/>
      <w:bookmarkStart w:id="14799" w:name="_Toc25572642"/>
      <w:bookmarkStart w:id="14800" w:name="_Toc25572885"/>
      <w:r>
        <w:rPr>
          <w:rFonts w:hint="cs"/>
          <w:rtl/>
        </w:rPr>
        <w:t>בהיתר שהתבטל באיסור ונוסף היתר דחוזר וניעור לקולא</w:t>
      </w:r>
      <w:bookmarkEnd w:id="14795"/>
      <w:bookmarkEnd w:id="14796"/>
      <w:bookmarkEnd w:id="14797"/>
      <w:bookmarkEnd w:id="14798"/>
      <w:bookmarkEnd w:id="14799"/>
      <w:bookmarkEnd w:id="14800"/>
      <w:r>
        <w:rPr>
          <w:rFonts w:hint="cs"/>
          <w:rtl/>
        </w:rPr>
        <w:t xml:space="preserve"> </w:t>
      </w:r>
    </w:p>
    <w:p w:rsidR="003A5D2C" w:rsidRPr="00926966" w:rsidRDefault="003A5D2C" w:rsidP="003A5D2C">
      <w:pPr>
        <w:pStyle w:val="a2"/>
        <w:rPr>
          <w:rtl/>
        </w:rPr>
      </w:pPr>
      <w:bookmarkStart w:id="14801" w:name="_Toc25488175"/>
      <w:bookmarkStart w:id="14802" w:name="_Toc25524618"/>
      <w:bookmarkStart w:id="14803" w:name="_Toc25536117"/>
      <w:bookmarkStart w:id="14804" w:name="_Toc25571167"/>
      <w:bookmarkStart w:id="14805" w:name="_Toc25572643"/>
      <w:bookmarkStart w:id="14806" w:name="_Toc25572886"/>
      <w:r>
        <w:rPr>
          <w:rFonts w:hint="cs"/>
          <w:rtl/>
        </w:rPr>
        <w:t>דברי הרא"ש דמוכח במשנה בתרומה דאף לקולא אמרינן חוזר וניעור וכ"ש דאמרינן לחומרא</w:t>
      </w:r>
      <w:bookmarkEnd w:id="14801"/>
      <w:bookmarkEnd w:id="14802"/>
      <w:bookmarkEnd w:id="14803"/>
      <w:bookmarkEnd w:id="14804"/>
      <w:bookmarkEnd w:id="14805"/>
      <w:bookmarkEnd w:id="14806"/>
    </w:p>
    <w:p w:rsidR="003A5D2C" w:rsidRDefault="003A5D2C" w:rsidP="009F44AF">
      <w:pPr>
        <w:pStyle w:val="a"/>
        <w:rPr>
          <w:rtl/>
        </w:rPr>
      </w:pPr>
      <w:bookmarkStart w:id="14807" w:name="_Ref25570083"/>
      <w:r>
        <w:rPr>
          <w:rFonts w:hint="cs"/>
          <w:rtl/>
        </w:rPr>
        <w:t xml:space="preserve">והוסיף </w:t>
      </w:r>
      <w:r w:rsidRPr="00DB7E81">
        <w:rPr>
          <w:rStyle w:val="af8"/>
          <w:rFonts w:hint="cs"/>
          <w:rtl/>
        </w:rPr>
        <w:t>הרא"ש</w:t>
      </w:r>
      <w:r>
        <w:rPr>
          <w:rFonts w:hint="cs"/>
          <w:rtl/>
        </w:rPr>
        <w:t xml:space="preserve"> דמוכח דאמרינן דהאיסור חוזר וניעור ואוסר, דהא אף לקולא מוכח אמרינן דמצא מין את מינו וחוזר וניעור, וכ"ש דלחומרא אמרינן דחוזר וניעור, והביא </w:t>
      </w:r>
      <w:r w:rsidRPr="00DB7E81">
        <w:rPr>
          <w:rStyle w:val="af8"/>
          <w:rFonts w:hint="cs"/>
          <w:rtl/>
        </w:rPr>
        <w:t>הרא"ש</w:t>
      </w:r>
      <w:r>
        <w:rPr>
          <w:rFonts w:hint="cs"/>
          <w:rtl/>
        </w:rPr>
        <w:t xml:space="preserve"> דמצינו דלקולא אמרינן דחוזר וניעור, ברישא במשנה בתרומות </w:t>
      </w:r>
      <w:r w:rsidRPr="00DB7E81">
        <w:rPr>
          <w:rStyle w:val="af6"/>
          <w:rFonts w:eastAsia="Guttman Hodes" w:hint="cs"/>
          <w:rtl/>
        </w:rPr>
        <w:t>(פ"ה מ"ט)</w:t>
      </w:r>
      <w:r>
        <w:rPr>
          <w:rFonts w:hint="cs"/>
          <w:rtl/>
        </w:rPr>
        <w:t xml:space="preserve"> דסאה של תרומה שנפלה לפחות ממאה חולין, וטחנו את התערובת, והותירו דאמרינן דכשם שהותירו החולין כך הותירה התרומה, ואסור דעדיין חשיב שאין פחות ממאה, ובמקום שידוע שהחיטין של החולין יפות יותר מהחיטין של התרומה, </w:t>
      </w:r>
      <w:r w:rsidRPr="00DB7E81">
        <w:rPr>
          <w:rStyle w:val="afa"/>
          <w:rFonts w:hint="cs"/>
          <w:rtl/>
        </w:rPr>
        <w:t>[ויותר מסתבר שהחולין הותירו],</w:t>
      </w:r>
      <w:r w:rsidRPr="00CE5E9D">
        <w:rPr>
          <w:rFonts w:hint="cs"/>
          <w:rtl/>
        </w:rPr>
        <w:t xml:space="preserve"> </w:t>
      </w:r>
      <w:r>
        <w:rPr>
          <w:rFonts w:hint="cs"/>
          <w:rtl/>
        </w:rPr>
        <w:t xml:space="preserve">מותר, וביאר </w:t>
      </w:r>
      <w:r w:rsidRPr="00DB7E81">
        <w:rPr>
          <w:rStyle w:val="af8"/>
          <w:rFonts w:hint="cs"/>
          <w:rtl/>
        </w:rPr>
        <w:t>הרא"ש</w:t>
      </w:r>
      <w:r>
        <w:rPr>
          <w:rFonts w:hint="cs"/>
          <w:rtl/>
        </w:rPr>
        <w:t xml:space="preserve"> דאמרינן דהחולין הותירו ולא התרומה ויש מאה, וכתב </w:t>
      </w:r>
      <w:r w:rsidRPr="00DB7E81">
        <w:rPr>
          <w:rStyle w:val="af8"/>
          <w:rFonts w:hint="cs"/>
          <w:rtl/>
        </w:rPr>
        <w:t>הרא"ש</w:t>
      </w:r>
      <w:r>
        <w:rPr>
          <w:rFonts w:hint="cs"/>
          <w:rtl/>
        </w:rPr>
        <w:t xml:space="preserve"> דמוכח דאף שלפני שטחנו נאסרו החולין, מ"מ אחר שהותירו בטחינה אמרינן דמה שנותר יותר מצא את מינו שנאסר וניעור מאיסורו, והכל מותר, וא"כ כ"ש דלחומרא אמרינן שהאיסור מצא את מינו וניעור מהיתרו, ומצטרף האיסור שהותר לאיסור שנוסף, ויחד הם אוסרים את ההיתר.</w:t>
      </w:r>
      <w:bookmarkEnd w:id="14807"/>
    </w:p>
    <w:p w:rsidR="003A5D2C" w:rsidRDefault="003A5D2C" w:rsidP="003A5D2C">
      <w:pPr>
        <w:pStyle w:val="a2"/>
        <w:rPr>
          <w:rtl/>
        </w:rPr>
      </w:pPr>
      <w:bookmarkStart w:id="14808" w:name="_Toc25488176"/>
      <w:bookmarkStart w:id="14809" w:name="_Toc25524619"/>
      <w:bookmarkStart w:id="14810" w:name="_Toc25536118"/>
      <w:bookmarkStart w:id="14811" w:name="_Toc25571168"/>
      <w:bookmarkStart w:id="14812" w:name="_Toc25572644"/>
      <w:bookmarkStart w:id="14813" w:name="_Toc25572887"/>
      <w:r>
        <w:rPr>
          <w:rFonts w:hint="cs"/>
          <w:rtl/>
        </w:rPr>
        <w:t>קושית המהר"ם מרוטנבורג דהיתר שבטל באיסור לא נהפך לאיסור ופשיטא דאמרינן חוזר וניעור</w:t>
      </w:r>
      <w:bookmarkEnd w:id="14808"/>
      <w:bookmarkEnd w:id="14809"/>
      <w:bookmarkEnd w:id="14810"/>
      <w:bookmarkEnd w:id="14811"/>
      <w:bookmarkEnd w:id="14812"/>
      <w:bookmarkEnd w:id="14813"/>
    </w:p>
    <w:p w:rsidR="002906A3" w:rsidRDefault="003A5D2C" w:rsidP="002906A3">
      <w:pPr>
        <w:pStyle w:val="a"/>
      </w:pPr>
      <w:bookmarkStart w:id="14814" w:name="_Ref25570100"/>
      <w:r>
        <w:rPr>
          <w:rFonts w:hint="cs"/>
          <w:rtl/>
        </w:rPr>
        <w:t xml:space="preserve">אך הקשה </w:t>
      </w:r>
      <w:r>
        <w:rPr>
          <w:rStyle w:val="af8"/>
          <w:rtl/>
        </w:rPr>
        <w:t>המהר"ם מרוטנבורג בתשו'</w:t>
      </w:r>
      <w:r>
        <w:rPr>
          <w:rFonts w:hint="cs"/>
          <w:rtl/>
        </w:rPr>
        <w:t xml:space="preserve"> </w:t>
      </w:r>
      <w:r>
        <w:rPr>
          <w:rStyle w:val="af6"/>
          <w:rFonts w:eastAsia="Guttman Hodes" w:hint="cs"/>
          <w:rtl/>
        </w:rPr>
        <w:t>(הובאה בשו"ת הרשב"א ח"א סי' תש"ל ד"ה וא"ת דין הוא)</w:t>
      </w:r>
      <w:r>
        <w:rPr>
          <w:rFonts w:hint="cs"/>
          <w:rtl/>
        </w:rPr>
        <w:t xml:space="preserve"> דא"א להוכיח דלחומרא אמרינן חוזר וניעור, מהא דלקולא אמרינן חוזר וניעור בהיתר, דהא בהיתר שהתבטל באיסור ונוסף היתר פשיטא שהיתר מעורר היתר, דהרי אף ההיתר הראשון נשאר מותר, אלא הוא נאסר מחמת שהאיסור נתן בו טעם, או מחמת שהחמירו רבנן בתרומה שהיא מדמעת עד מאה, ולכן כל שנוסף היתר, בקל הוא מעורר את ההיתר הראשון שמוציאו ממה שנתן האיסור בו טעם, וכן מוציאו משיעור דימוע בתרומה. [ועי' במה שתירץ </w:t>
      </w:r>
      <w:r>
        <w:rPr>
          <w:rStyle w:val="af8"/>
          <w:rFonts w:hint="cs"/>
          <w:rtl/>
        </w:rPr>
        <w:t>המשנת ר"א</w:t>
      </w:r>
      <w:r w:rsidR="002906A3">
        <w:rPr>
          <w:rStyle w:val="af8"/>
          <w:rFonts w:hint="cs"/>
          <w:rtl/>
        </w:rPr>
        <w:t xml:space="preserve"> </w:t>
      </w:r>
      <w:r w:rsidR="002906A3" w:rsidRPr="00CC6A49">
        <w:rPr>
          <w:rStyle w:val="af6"/>
          <w:rFonts w:eastAsia="Guttman Hodes" w:hint="cs"/>
          <w:rtl/>
        </w:rPr>
        <w:t xml:space="preserve">(עי' אות </w:t>
      </w:r>
      <w:r w:rsidR="002906A3" w:rsidRPr="00CC6A49">
        <w:rPr>
          <w:rStyle w:val="af6"/>
          <w:rFonts w:eastAsia="Guttman Hodes"/>
          <w:rtl/>
        </w:rPr>
        <w:fldChar w:fldCharType="begin"/>
      </w:r>
      <w:r w:rsidR="002906A3" w:rsidRPr="00CC6A49">
        <w:rPr>
          <w:rStyle w:val="af6"/>
          <w:rFonts w:eastAsia="Guttman Hodes"/>
          <w:rtl/>
        </w:rPr>
        <w:instrText xml:space="preserve"> </w:instrText>
      </w:r>
      <w:r w:rsidR="002906A3" w:rsidRPr="00CC6A49">
        <w:rPr>
          <w:rStyle w:val="af6"/>
          <w:rFonts w:eastAsia="Guttman Hodes"/>
        </w:rPr>
        <w:instrText>REF</w:instrText>
      </w:r>
      <w:r w:rsidR="002906A3" w:rsidRPr="00CC6A49">
        <w:rPr>
          <w:rStyle w:val="af6"/>
          <w:rFonts w:eastAsia="Guttman Hodes"/>
          <w:rtl/>
        </w:rPr>
        <w:instrText xml:space="preserve"> _</w:instrText>
      </w:r>
      <w:r w:rsidR="002906A3" w:rsidRPr="00CC6A49">
        <w:rPr>
          <w:rStyle w:val="af6"/>
          <w:rFonts w:eastAsia="Guttman Hodes"/>
        </w:rPr>
        <w:instrText>Ref25570512 \r \h</w:instrText>
      </w:r>
      <w:r w:rsidR="002906A3" w:rsidRPr="00CC6A49">
        <w:rPr>
          <w:rStyle w:val="af6"/>
          <w:rFonts w:eastAsia="Guttman Hodes"/>
          <w:rtl/>
        </w:rPr>
        <w:instrText xml:space="preserve"> </w:instrText>
      </w:r>
      <w:r w:rsidR="002906A3" w:rsidRPr="00CC6A49">
        <w:rPr>
          <w:rStyle w:val="af6"/>
          <w:rFonts w:eastAsia="Guttman Hodes"/>
          <w:rtl/>
        </w:rPr>
      </w:r>
      <w:r w:rsidR="002906A3" w:rsidRPr="00CC6A49">
        <w:rPr>
          <w:rStyle w:val="af6"/>
          <w:rFonts w:eastAsia="Guttman Hodes"/>
          <w:rtl/>
        </w:rPr>
        <w:fldChar w:fldCharType="separate"/>
      </w:r>
      <w:r w:rsidR="002906A3">
        <w:rPr>
          <w:rStyle w:val="af6"/>
          <w:rFonts w:eastAsia="Guttman Hodes"/>
          <w:cs/>
        </w:rPr>
        <w:t>‎</w:t>
      </w:r>
      <w:r w:rsidR="002906A3">
        <w:rPr>
          <w:rStyle w:val="af6"/>
          <w:rFonts w:eastAsia="Guttman Hodes"/>
          <w:rtl/>
        </w:rPr>
        <w:t>נה)</w:t>
      </w:r>
      <w:r w:rsidR="002906A3" w:rsidRPr="00CC6A49">
        <w:rPr>
          <w:rStyle w:val="af6"/>
          <w:rFonts w:eastAsia="Guttman Hodes"/>
          <w:rtl/>
        </w:rPr>
        <w:fldChar w:fldCharType="end"/>
      </w:r>
      <w:r w:rsidR="002906A3">
        <w:rPr>
          <w:rFonts w:hint="cs"/>
          <w:rtl/>
        </w:rPr>
        <w:t>.</w:t>
      </w:r>
    </w:p>
    <w:p w:rsidR="003A5D2C" w:rsidRDefault="003A5D2C" w:rsidP="003A5D2C">
      <w:pPr>
        <w:pStyle w:val="a2"/>
        <w:rPr>
          <w:rtl/>
        </w:rPr>
      </w:pPr>
      <w:bookmarkStart w:id="14815" w:name="_Toc25488177"/>
      <w:bookmarkStart w:id="14816" w:name="_Toc25524620"/>
      <w:bookmarkStart w:id="14817" w:name="_Toc25536119"/>
      <w:bookmarkStart w:id="14818" w:name="_Toc25571169"/>
      <w:bookmarkStart w:id="14819" w:name="_Toc25572645"/>
      <w:bookmarkStart w:id="14820" w:name="_Toc25572888"/>
      <w:bookmarkEnd w:id="14814"/>
      <w:r>
        <w:rPr>
          <w:rFonts w:hint="cs"/>
          <w:rtl/>
        </w:rPr>
        <w:t>דברי</w:t>
      </w:r>
      <w:r w:rsidRPr="00397425">
        <w:rPr>
          <w:rFonts w:hint="cs"/>
          <w:rtl/>
        </w:rPr>
        <w:t xml:space="preserve"> </w:t>
      </w:r>
      <w:r>
        <w:rPr>
          <w:rFonts w:hint="cs"/>
          <w:rtl/>
        </w:rPr>
        <w:t>המהר"ם מרוטנבורג דמוכח בגמ' דאף במקום שההיתר בטל לגמרי אמרינן חוזר וניעור</w:t>
      </w:r>
      <w:bookmarkEnd w:id="14815"/>
      <w:bookmarkEnd w:id="14816"/>
      <w:bookmarkEnd w:id="14817"/>
      <w:bookmarkEnd w:id="14818"/>
      <w:bookmarkEnd w:id="14819"/>
      <w:bookmarkEnd w:id="14820"/>
    </w:p>
    <w:p w:rsidR="003A5D2C" w:rsidRPr="0005175B" w:rsidRDefault="003A5D2C" w:rsidP="009F44AF">
      <w:pPr>
        <w:pStyle w:val="a"/>
        <w:rPr>
          <w:rtl/>
        </w:rPr>
      </w:pPr>
      <w:r>
        <w:rPr>
          <w:rFonts w:hint="cs"/>
          <w:rtl/>
        </w:rPr>
        <w:t xml:space="preserve">ותירץ </w:t>
      </w:r>
      <w:r>
        <w:rPr>
          <w:rStyle w:val="af8"/>
          <w:rtl/>
        </w:rPr>
        <w:t>המהר"ם מרוטנבורג בתשו'</w:t>
      </w:r>
      <w:r>
        <w:rPr>
          <w:rFonts w:hint="cs"/>
          <w:rtl/>
        </w:rPr>
        <w:t xml:space="preserve"> דבגמ' בנדרים </w:t>
      </w:r>
      <w:r w:rsidRPr="00397425">
        <w:rPr>
          <w:rStyle w:val="af6"/>
          <w:rFonts w:eastAsia="Guttman Hodes" w:hint="cs"/>
          <w:rtl/>
        </w:rPr>
        <w:t>(נז:)</w:t>
      </w:r>
      <w:r>
        <w:rPr>
          <w:rFonts w:hint="cs"/>
          <w:rtl/>
        </w:rPr>
        <w:t xml:space="preserve"> מוכח דאף במקום שההיתר התבטל לגמרי ברוב איסור, אמרינן חוזר וניעור, </w:t>
      </w:r>
      <w:r w:rsidRPr="00397425">
        <w:rPr>
          <w:rStyle w:val="afa"/>
          <w:rFonts w:hint="cs"/>
          <w:rtl/>
        </w:rPr>
        <w:t>[בבצל של תרומה שנטעו, וכשגדל קצת חולים הם התבטלו ע"י התרומה, וכשרבו הגידולים על העיקר מותר],</w:t>
      </w:r>
      <w:r>
        <w:rPr>
          <w:rFonts w:hint="cs"/>
          <w:rtl/>
        </w:rPr>
        <w:t xml:space="preserve"> וכתב </w:t>
      </w:r>
      <w:r>
        <w:rPr>
          <w:rStyle w:val="af8"/>
          <w:rtl/>
        </w:rPr>
        <w:t>המהר"ם מרוטנבורג בתשו'</w:t>
      </w:r>
      <w:r>
        <w:rPr>
          <w:rFonts w:hint="cs"/>
          <w:rtl/>
        </w:rPr>
        <w:t xml:space="preserve"> דמוכח שאין חילוק אם ההיתר התבטל ברוב או לא התבטל, דלעולם אמרינן דחוזר וניעור, ועוד הביא </w:t>
      </w:r>
      <w:r>
        <w:rPr>
          <w:rStyle w:val="af8"/>
          <w:rtl/>
        </w:rPr>
        <w:t>המהר"ם מרוטנבורג בתשו'</w:t>
      </w:r>
      <w:r>
        <w:rPr>
          <w:rFonts w:hint="cs"/>
          <w:rtl/>
        </w:rPr>
        <w:t xml:space="preserve"> ראיה מהגמ' ביבמות </w:t>
      </w:r>
      <w:r w:rsidRPr="00397425">
        <w:rPr>
          <w:rStyle w:val="af6"/>
          <w:rFonts w:eastAsia="Guttman Hodes" w:hint="cs"/>
          <w:rtl/>
        </w:rPr>
        <w:t>(פב:)</w:t>
      </w:r>
      <w:r>
        <w:rPr>
          <w:rFonts w:hint="cs"/>
          <w:rtl/>
        </w:rPr>
        <w:t xml:space="preserve"> דמקוה שיש בו ארבעים סאה, ונתן לתוכו סאה של מי פירות, ונטל סאה כשר, עד שיהיה רוב מהמי פירות דפסול, ומוכח דאף שהסאה הראשונה של המי פירות התבטלה כבר, מ"מ הוא חוזרת וניעורה לבטל את המקוה.</w:t>
      </w:r>
    </w:p>
    <w:p w:rsidR="003A5D2C" w:rsidRDefault="003A5D2C" w:rsidP="003A5D2C">
      <w:pPr>
        <w:pStyle w:val="a2"/>
      </w:pPr>
      <w:bookmarkStart w:id="14821" w:name="_Toc25488178"/>
      <w:bookmarkStart w:id="14822" w:name="_Toc25524621"/>
      <w:bookmarkStart w:id="14823" w:name="_Toc25536120"/>
      <w:bookmarkStart w:id="14824" w:name="_Toc25571170"/>
      <w:bookmarkStart w:id="14825" w:name="_Toc25572646"/>
      <w:bookmarkStart w:id="14826" w:name="_Toc25572889"/>
      <w:r w:rsidRPr="00073811">
        <w:rPr>
          <w:rtl/>
        </w:rPr>
        <w:t xml:space="preserve">דברי הרא"ש דמבואר בירושלמי </w:t>
      </w:r>
      <w:r>
        <w:rPr>
          <w:rFonts w:hint="cs"/>
          <w:rtl/>
        </w:rPr>
        <w:t>דבכל האיסורים אמרינן חוזר וניעור בהיתר שבטל באיסור</w:t>
      </w:r>
      <w:bookmarkEnd w:id="14821"/>
      <w:bookmarkEnd w:id="14822"/>
      <w:bookmarkEnd w:id="14823"/>
      <w:bookmarkEnd w:id="14824"/>
      <w:bookmarkEnd w:id="14825"/>
      <w:bookmarkEnd w:id="14826"/>
    </w:p>
    <w:p w:rsidR="003A5D2C" w:rsidRDefault="003A5D2C" w:rsidP="009F44AF">
      <w:pPr>
        <w:pStyle w:val="a"/>
        <w:rPr>
          <w:rtl/>
        </w:rPr>
      </w:pPr>
      <w:r>
        <w:rPr>
          <w:rFonts w:hint="cs"/>
          <w:rtl/>
        </w:rPr>
        <w:t xml:space="preserve">ועוד הביא </w:t>
      </w:r>
      <w:r w:rsidRPr="00DB7E81">
        <w:rPr>
          <w:rStyle w:val="af8"/>
          <w:rFonts w:hint="cs"/>
          <w:rtl/>
        </w:rPr>
        <w:t>הרא"ש</w:t>
      </w:r>
      <w:r>
        <w:rPr>
          <w:rFonts w:hint="cs"/>
          <w:rtl/>
        </w:rPr>
        <w:t xml:space="preserve"> ראיה דאמרינן חוזר וניעור, דהא בסיפא של המשנה בתרומות </w:t>
      </w:r>
      <w:r w:rsidRPr="00DB7E81">
        <w:rPr>
          <w:rStyle w:val="af6"/>
          <w:rFonts w:eastAsia="Guttman Hodes" w:hint="cs"/>
          <w:rtl/>
        </w:rPr>
        <w:t>(פ"ה מ"ט)</w:t>
      </w:r>
      <w:r>
        <w:rPr>
          <w:rFonts w:hint="cs"/>
          <w:rtl/>
        </w:rPr>
        <w:t xml:space="preserve"> תנן דסאה תרומה שנפלה לפחות ממאה, ואח"כ נוספו חולין לתערובת, דאם נפלו בשוגג מותר ובהוסיף במזיד אסור, ואמרינן בירושלמי </w:t>
      </w:r>
      <w:r w:rsidRPr="00DB7E81">
        <w:rPr>
          <w:rStyle w:val="af6"/>
          <w:rFonts w:eastAsia="Guttman Hodes" w:hint="cs"/>
          <w:rtl/>
        </w:rPr>
        <w:t>(פ"ה ה"ג, ל:)</w:t>
      </w:r>
      <w:r>
        <w:rPr>
          <w:rFonts w:hint="cs"/>
          <w:rtl/>
        </w:rPr>
        <w:t xml:space="preserve"> דה"ה בשאר איסורין, </w:t>
      </w:r>
      <w:r w:rsidRPr="009B244A">
        <w:rPr>
          <w:rStyle w:val="afa"/>
          <w:rFonts w:hint="cs"/>
          <w:rtl/>
        </w:rPr>
        <w:t>[דאם נפל איסור להיתר ואין שיעור להתיר, וחזר ונפל היתר בשוגג דהוא מצטרף להתיר</w:t>
      </w:r>
      <w:r w:rsidRPr="00DB7E81">
        <w:rPr>
          <w:rStyle w:val="afa"/>
          <w:rFonts w:hint="cs"/>
          <w:rtl/>
        </w:rPr>
        <w:t>],</w:t>
      </w:r>
      <w:r>
        <w:rPr>
          <w:rFonts w:hint="cs"/>
          <w:rtl/>
        </w:rPr>
        <w:t xml:space="preserve"> וכתב </w:t>
      </w:r>
      <w:r w:rsidRPr="00DB7E81">
        <w:rPr>
          <w:rStyle w:val="af8"/>
          <w:rFonts w:hint="cs"/>
          <w:rtl/>
        </w:rPr>
        <w:lastRenderedPageBreak/>
        <w:t>הרא"ש</w:t>
      </w:r>
      <w:r>
        <w:rPr>
          <w:rFonts w:hint="cs"/>
          <w:rtl/>
        </w:rPr>
        <w:t xml:space="preserve"> דכיון דבכל האיסורין אמרינן דמצא מין את מינו והוא מעורר את ההיתר, לבטל את האיסור אף שכבר נאסר ההיתר מחמת האיסור, כ"ש שבנוסף איסור שהוא מצטרף לעורר את האיסור, והם רבים יחד על ההיתר ואוסרים אותו.</w:t>
      </w:r>
    </w:p>
    <w:p w:rsidR="003A5D2C" w:rsidRDefault="003A5D2C" w:rsidP="003A5D2C">
      <w:pPr>
        <w:pStyle w:val="1"/>
        <w:rPr>
          <w:rtl/>
        </w:rPr>
      </w:pPr>
      <w:bookmarkStart w:id="14827" w:name="_Toc25053787"/>
      <w:bookmarkStart w:id="14828" w:name="_Toc25184782"/>
      <w:bookmarkStart w:id="14829" w:name="_Toc25317251"/>
      <w:bookmarkStart w:id="14830" w:name="_Toc25488179"/>
      <w:bookmarkStart w:id="14831" w:name="_Toc25524622"/>
      <w:bookmarkStart w:id="14832" w:name="_Toc25536121"/>
      <w:bookmarkStart w:id="14833" w:name="_Toc25571171"/>
      <w:bookmarkStart w:id="14834" w:name="_Toc25572647"/>
      <w:bookmarkStart w:id="14835" w:name="_Toc25572890"/>
      <w:r>
        <w:rPr>
          <w:rFonts w:hint="cs"/>
          <w:rtl/>
        </w:rPr>
        <w:t>ביאר הרא"ש דחוזר וניעור הוא כהוכר האיסור</w:t>
      </w:r>
      <w:bookmarkEnd w:id="14827"/>
      <w:bookmarkEnd w:id="14828"/>
      <w:bookmarkEnd w:id="14829"/>
      <w:bookmarkEnd w:id="14830"/>
      <w:bookmarkEnd w:id="14831"/>
      <w:bookmarkEnd w:id="14832"/>
      <w:bookmarkEnd w:id="14833"/>
      <w:bookmarkEnd w:id="14834"/>
      <w:bookmarkEnd w:id="14835"/>
    </w:p>
    <w:p w:rsidR="003A5D2C" w:rsidRPr="00926966" w:rsidRDefault="003A5D2C" w:rsidP="003A5D2C">
      <w:pPr>
        <w:pStyle w:val="a2"/>
        <w:rPr>
          <w:rtl/>
        </w:rPr>
      </w:pPr>
      <w:bookmarkStart w:id="14836" w:name="_Toc25488180"/>
      <w:bookmarkStart w:id="14837" w:name="_Toc25524623"/>
      <w:bookmarkStart w:id="14838" w:name="_Toc25536122"/>
      <w:bookmarkStart w:id="14839" w:name="_Toc25571172"/>
      <w:bookmarkStart w:id="14840" w:name="_Toc25572648"/>
      <w:bookmarkStart w:id="14841" w:name="_Toc25572891"/>
      <w:r>
        <w:rPr>
          <w:rFonts w:hint="cs"/>
          <w:rtl/>
        </w:rPr>
        <w:t>ביאור הרא"ש דבנוסף איסור חשיב שהוכר האיסור הראשון ולכן הוא חוזר וניעור</w:t>
      </w:r>
      <w:bookmarkEnd w:id="14836"/>
      <w:bookmarkEnd w:id="14837"/>
      <w:bookmarkEnd w:id="14838"/>
      <w:bookmarkEnd w:id="14839"/>
      <w:bookmarkEnd w:id="14840"/>
      <w:bookmarkEnd w:id="14841"/>
    </w:p>
    <w:p w:rsidR="003A5D2C" w:rsidRDefault="003A5D2C" w:rsidP="009F44AF">
      <w:pPr>
        <w:pStyle w:val="a"/>
        <w:rPr>
          <w:rtl/>
        </w:rPr>
      </w:pPr>
      <w:bookmarkStart w:id="14842" w:name="_Ref25438054"/>
      <w:bookmarkStart w:id="14843" w:name="_Ref25508582"/>
      <w:r>
        <w:rPr>
          <w:rFonts w:hint="cs"/>
          <w:rtl/>
        </w:rPr>
        <w:t xml:space="preserve">וכתב </w:t>
      </w:r>
      <w:r w:rsidRPr="00DB7E81">
        <w:rPr>
          <w:rStyle w:val="af8"/>
          <w:rFonts w:hint="cs"/>
          <w:rtl/>
        </w:rPr>
        <w:t>הרא"ש</w:t>
      </w:r>
      <w:r>
        <w:rPr>
          <w:rFonts w:hint="cs"/>
          <w:rtl/>
        </w:rPr>
        <w:t xml:space="preserve"> דהטעם דאמרינן חוזר וניעור, הוא כיון שאף שהאיסור התבטל ברוב ההיתר, והותר לאכילה, מ"מ אם הוכר האיסור מתוך ההיתר פשיטא שאסור לאוכלו, וכתב </w:t>
      </w:r>
      <w:r w:rsidRPr="00E6102D">
        <w:rPr>
          <w:rStyle w:val="af8"/>
          <w:rFonts w:hint="cs"/>
          <w:rtl/>
        </w:rPr>
        <w:t>הרא"ש</w:t>
      </w:r>
      <w:r>
        <w:rPr>
          <w:rFonts w:hint="cs"/>
          <w:rtl/>
        </w:rPr>
        <w:t xml:space="preserve"> דה"ה כשנוסף עליו איסור, דהכיר מין את מינו וניעור האיסור ממה שתבטל ע"י האיסור שנוסף עליו, וחשיב כאילו הוכר האיסור.</w:t>
      </w:r>
      <w:bookmarkEnd w:id="14842"/>
      <w:r>
        <w:rPr>
          <w:rFonts w:hint="cs"/>
          <w:rtl/>
        </w:rPr>
        <w:t xml:space="preserve"> [ועי' במה שביאר</w:t>
      </w:r>
      <w:r w:rsidRPr="00551B5A">
        <w:rPr>
          <w:rFonts w:hint="cs"/>
          <w:rtl/>
        </w:rPr>
        <w:t xml:space="preserve"> </w:t>
      </w:r>
      <w:r w:rsidRPr="00551B5A">
        <w:rPr>
          <w:rStyle w:val="af8"/>
          <w:rFonts w:hint="cs"/>
          <w:rtl/>
        </w:rPr>
        <w:t>היד יהודה</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Ref25438118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551B5A">
        <w:rPr>
          <w:rStyle w:val="af8"/>
          <w:rFonts w:hint="cs"/>
          <w:rtl/>
        </w:rPr>
        <w:t>הרא"ש</w:t>
      </w:r>
      <w:r>
        <w:rPr>
          <w:rFonts w:hint="cs"/>
          <w:rtl/>
        </w:rPr>
        <w:t xml:space="preserve">, וע"ע במה שהקשה </w:t>
      </w:r>
      <w:r w:rsidRPr="003A3144">
        <w:rPr>
          <w:rStyle w:val="af8"/>
          <w:rFonts w:hint="cs"/>
          <w:rtl/>
        </w:rPr>
        <w:t>הקוב"ש</w:t>
      </w:r>
      <w:r>
        <w:rPr>
          <w:rFonts w:hint="cs"/>
          <w:rtl/>
        </w:rPr>
        <w:t xml:space="preserve"> </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Ref25508662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מה)</w:t>
      </w:r>
      <w:r>
        <w:rPr>
          <w:rStyle w:val="af6"/>
          <w:rFonts w:eastAsia="Guttman Hodes"/>
          <w:rtl/>
        </w:rPr>
        <w:fldChar w:fldCharType="end"/>
      </w:r>
      <w:r>
        <w:rPr>
          <w:rStyle w:val="af6"/>
          <w:rFonts w:eastAsia="Guttman Hodes" w:hint="cs"/>
          <w:rtl/>
        </w:rPr>
        <w:t xml:space="preserve"> </w:t>
      </w:r>
      <w:r w:rsidRPr="00250E27">
        <w:rPr>
          <w:rFonts w:hint="cs"/>
          <w:rtl/>
        </w:rPr>
        <w:t xml:space="preserve">על </w:t>
      </w:r>
      <w:r w:rsidRPr="00250E27">
        <w:rPr>
          <w:rStyle w:val="af8"/>
          <w:rFonts w:hint="cs"/>
          <w:rtl/>
        </w:rPr>
        <w:t>הרא"ש</w:t>
      </w:r>
      <w:r>
        <w:rPr>
          <w:rFonts w:hint="cs"/>
          <w:rtl/>
        </w:rPr>
        <w:t xml:space="preserve">, ובמה שביאר </w:t>
      </w:r>
      <w:r w:rsidRPr="00AA1D59">
        <w:rPr>
          <w:rStyle w:val="af8"/>
          <w:rFonts w:hint="cs"/>
          <w:rtl/>
        </w:rPr>
        <w:t>הקוב"ש</w:t>
      </w:r>
      <w:r>
        <w:rPr>
          <w:rFonts w:hint="cs"/>
          <w:rtl/>
        </w:rPr>
        <w:t xml:space="preserve"> </w:t>
      </w:r>
      <w:r w:rsidRPr="00717F6D">
        <w:rPr>
          <w:rStyle w:val="af6"/>
          <w:rFonts w:eastAsia="Guttman Hodes" w:hint="cs"/>
          <w:rtl/>
        </w:rPr>
        <w:t xml:space="preserve">(עי' אות </w:t>
      </w:r>
      <w:r w:rsidRPr="00717F6D">
        <w:rPr>
          <w:rStyle w:val="af6"/>
          <w:rFonts w:eastAsia="Guttman Hodes"/>
          <w:rtl/>
        </w:rPr>
        <w:fldChar w:fldCharType="begin"/>
      </w:r>
      <w:r w:rsidRPr="00717F6D">
        <w:rPr>
          <w:rStyle w:val="af6"/>
          <w:rFonts w:eastAsia="Guttman Hodes"/>
          <w:rtl/>
        </w:rPr>
        <w:instrText xml:space="preserve"> </w:instrText>
      </w:r>
      <w:r w:rsidRPr="00717F6D">
        <w:rPr>
          <w:rStyle w:val="af6"/>
          <w:rFonts w:eastAsia="Guttman Hodes" w:hint="cs"/>
        </w:rPr>
        <w:instrText>REF</w:instrText>
      </w:r>
      <w:r w:rsidRPr="00717F6D">
        <w:rPr>
          <w:rStyle w:val="af6"/>
          <w:rFonts w:eastAsia="Guttman Hodes" w:hint="cs"/>
          <w:rtl/>
        </w:rPr>
        <w:instrText xml:space="preserve"> _</w:instrText>
      </w:r>
      <w:r w:rsidRPr="00717F6D">
        <w:rPr>
          <w:rStyle w:val="af6"/>
          <w:rFonts w:eastAsia="Guttman Hodes" w:hint="cs"/>
        </w:rPr>
        <w:instrText>Ref25510992 \r \h</w:instrText>
      </w:r>
      <w:r w:rsidRPr="00717F6D">
        <w:rPr>
          <w:rStyle w:val="af6"/>
          <w:rFonts w:eastAsia="Guttman Hodes"/>
          <w:rtl/>
        </w:rPr>
        <w:instrText xml:space="preserve"> </w:instrText>
      </w:r>
      <w:r w:rsidRPr="00717F6D">
        <w:rPr>
          <w:rStyle w:val="af6"/>
          <w:rFonts w:eastAsia="Guttman Hodes"/>
          <w:rtl/>
        </w:rPr>
      </w:r>
      <w:r w:rsidRPr="00717F6D">
        <w:rPr>
          <w:rStyle w:val="af6"/>
          <w:rFonts w:eastAsia="Guttman Hodes"/>
          <w:rtl/>
        </w:rPr>
        <w:fldChar w:fldCharType="separate"/>
      </w:r>
      <w:r w:rsidR="004D1C5B">
        <w:rPr>
          <w:rStyle w:val="af6"/>
          <w:rFonts w:eastAsia="Guttman Hodes"/>
          <w:cs/>
        </w:rPr>
        <w:t>‎</w:t>
      </w:r>
      <w:r w:rsidR="004D1C5B">
        <w:rPr>
          <w:rStyle w:val="af6"/>
          <w:rFonts w:eastAsia="Guttman Hodes"/>
          <w:rtl/>
        </w:rPr>
        <w:t>מז)</w:t>
      </w:r>
      <w:r w:rsidRPr="00717F6D">
        <w:rPr>
          <w:rStyle w:val="af6"/>
          <w:rFonts w:eastAsia="Guttman Hodes"/>
          <w:rtl/>
        </w:rPr>
        <w:fldChar w:fldCharType="end"/>
      </w:r>
      <w:r>
        <w:rPr>
          <w:rFonts w:hint="cs"/>
          <w:rtl/>
        </w:rPr>
        <w:t xml:space="preserve"> בדברי </w:t>
      </w:r>
      <w:r w:rsidRPr="00AA1D59">
        <w:rPr>
          <w:rStyle w:val="af8"/>
          <w:rFonts w:hint="cs"/>
          <w:rtl/>
        </w:rPr>
        <w:t>הרא"ש</w:t>
      </w:r>
      <w:r>
        <w:rPr>
          <w:rFonts w:hint="cs"/>
          <w:rtl/>
        </w:rPr>
        <w:t xml:space="preserve">, וע"ע בביאור הנוסף שכתב </w:t>
      </w:r>
      <w:r>
        <w:rPr>
          <w:rStyle w:val="af8"/>
          <w:rFonts w:hint="cs"/>
          <w:rtl/>
        </w:rPr>
        <w:t>ב</w:t>
      </w:r>
      <w:r w:rsidRPr="00384F69">
        <w:rPr>
          <w:rStyle w:val="af8"/>
          <w:rFonts w:hint="cs"/>
          <w:rtl/>
        </w:rPr>
        <w:t>קוב"ש</w:t>
      </w:r>
      <w:r>
        <w:rPr>
          <w:rFonts w:hint="cs"/>
          <w:rtl/>
        </w:rPr>
        <w:t xml:space="preserve"> </w:t>
      </w:r>
      <w:r w:rsidRPr="00717F6D">
        <w:rPr>
          <w:rStyle w:val="af6"/>
          <w:rFonts w:eastAsia="Guttman Hodes" w:hint="cs"/>
          <w:rtl/>
        </w:rPr>
        <w:t xml:space="preserve">(עי' אות </w:t>
      </w:r>
      <w:r w:rsidRPr="00717F6D">
        <w:rPr>
          <w:rStyle w:val="af6"/>
          <w:rFonts w:eastAsia="Guttman Hodes"/>
          <w:rtl/>
        </w:rPr>
        <w:fldChar w:fldCharType="begin"/>
      </w:r>
      <w:r w:rsidRPr="00717F6D">
        <w:rPr>
          <w:rStyle w:val="af6"/>
          <w:rFonts w:eastAsia="Guttman Hodes"/>
          <w:rtl/>
        </w:rPr>
        <w:instrText xml:space="preserve"> </w:instrText>
      </w:r>
      <w:r w:rsidRPr="00717F6D">
        <w:rPr>
          <w:rStyle w:val="af6"/>
          <w:rFonts w:eastAsia="Guttman Hodes" w:hint="cs"/>
        </w:rPr>
        <w:instrText>REF</w:instrText>
      </w:r>
      <w:r w:rsidRPr="00717F6D">
        <w:rPr>
          <w:rStyle w:val="af6"/>
          <w:rFonts w:eastAsia="Guttman Hodes" w:hint="cs"/>
          <w:rtl/>
        </w:rPr>
        <w:instrText xml:space="preserve"> _</w:instrText>
      </w:r>
      <w:r w:rsidRPr="00717F6D">
        <w:rPr>
          <w:rStyle w:val="af6"/>
          <w:rFonts w:eastAsia="Guttman Hodes" w:hint="cs"/>
        </w:rPr>
        <w:instrText>Ref25511013 \r \h</w:instrText>
      </w:r>
      <w:r w:rsidRPr="00717F6D">
        <w:rPr>
          <w:rStyle w:val="af6"/>
          <w:rFonts w:eastAsia="Guttman Hodes"/>
          <w:rtl/>
        </w:rPr>
        <w:instrText xml:space="preserve"> </w:instrText>
      </w:r>
      <w:r w:rsidRPr="00717F6D">
        <w:rPr>
          <w:rStyle w:val="af6"/>
          <w:rFonts w:eastAsia="Guttman Hodes"/>
          <w:rtl/>
        </w:rPr>
      </w:r>
      <w:r w:rsidRPr="00717F6D">
        <w:rPr>
          <w:rStyle w:val="af6"/>
          <w:rFonts w:eastAsia="Guttman Hodes"/>
          <w:rtl/>
        </w:rPr>
        <w:fldChar w:fldCharType="separate"/>
      </w:r>
      <w:r w:rsidR="004D1C5B">
        <w:rPr>
          <w:rStyle w:val="af6"/>
          <w:rFonts w:eastAsia="Guttman Hodes"/>
          <w:cs/>
        </w:rPr>
        <w:t>‎</w:t>
      </w:r>
      <w:r w:rsidR="004D1C5B">
        <w:rPr>
          <w:rStyle w:val="af6"/>
          <w:rFonts w:eastAsia="Guttman Hodes"/>
          <w:rtl/>
        </w:rPr>
        <w:t>נ)</w:t>
      </w:r>
      <w:r w:rsidRPr="00717F6D">
        <w:rPr>
          <w:rStyle w:val="af6"/>
          <w:rFonts w:eastAsia="Guttman Hodes"/>
          <w:rtl/>
        </w:rPr>
        <w:fldChar w:fldCharType="end"/>
      </w:r>
      <w:r>
        <w:rPr>
          <w:rFonts w:hint="cs"/>
          <w:rtl/>
        </w:rPr>
        <w:t xml:space="preserve">  </w:t>
      </w:r>
      <w:r>
        <w:rPr>
          <w:rStyle w:val="af8"/>
          <w:rFonts w:hint="cs"/>
          <w:rtl/>
        </w:rPr>
        <w:t>ו</w:t>
      </w:r>
      <w:r w:rsidRPr="006B7C40">
        <w:rPr>
          <w:rStyle w:val="af8"/>
          <w:rFonts w:hint="cs"/>
          <w:rtl/>
        </w:rPr>
        <w:t>בשיעורי רבי אלחנן</w:t>
      </w:r>
      <w:r w:rsidRPr="00717F6D">
        <w:rPr>
          <w:rStyle w:val="af6"/>
          <w:rFonts w:eastAsia="Guttman Hodes" w:hint="cs"/>
          <w:rtl/>
        </w:rPr>
        <w:t xml:space="preserve"> (עי' אות </w:t>
      </w:r>
      <w:r w:rsidRPr="00717F6D">
        <w:rPr>
          <w:rStyle w:val="af6"/>
          <w:rFonts w:eastAsia="Guttman Hodes"/>
          <w:rtl/>
        </w:rPr>
        <w:fldChar w:fldCharType="begin"/>
      </w:r>
      <w:r w:rsidRPr="00717F6D">
        <w:rPr>
          <w:rStyle w:val="af6"/>
          <w:rFonts w:eastAsia="Guttman Hodes"/>
          <w:rtl/>
        </w:rPr>
        <w:instrText xml:space="preserve"> </w:instrText>
      </w:r>
      <w:r w:rsidRPr="00717F6D">
        <w:rPr>
          <w:rStyle w:val="af6"/>
          <w:rFonts w:eastAsia="Guttman Hodes" w:hint="cs"/>
        </w:rPr>
        <w:instrText>REF</w:instrText>
      </w:r>
      <w:r w:rsidRPr="00717F6D">
        <w:rPr>
          <w:rStyle w:val="af6"/>
          <w:rFonts w:eastAsia="Guttman Hodes" w:hint="cs"/>
          <w:rtl/>
        </w:rPr>
        <w:instrText xml:space="preserve"> _</w:instrText>
      </w:r>
      <w:r w:rsidRPr="00717F6D">
        <w:rPr>
          <w:rStyle w:val="af6"/>
          <w:rFonts w:eastAsia="Guttman Hodes" w:hint="cs"/>
        </w:rPr>
        <w:instrText>Ref25511019 \r \h</w:instrText>
      </w:r>
      <w:r w:rsidRPr="00717F6D">
        <w:rPr>
          <w:rStyle w:val="af6"/>
          <w:rFonts w:eastAsia="Guttman Hodes"/>
          <w:rtl/>
        </w:rPr>
        <w:instrText xml:space="preserve"> </w:instrText>
      </w:r>
      <w:r w:rsidRPr="00717F6D">
        <w:rPr>
          <w:rStyle w:val="af6"/>
          <w:rFonts w:eastAsia="Guttman Hodes"/>
          <w:rtl/>
        </w:rPr>
      </w:r>
      <w:r w:rsidRPr="00717F6D">
        <w:rPr>
          <w:rStyle w:val="af6"/>
          <w:rFonts w:eastAsia="Guttman Hodes"/>
          <w:rtl/>
        </w:rPr>
        <w:fldChar w:fldCharType="separate"/>
      </w:r>
      <w:r w:rsidR="004D1C5B">
        <w:rPr>
          <w:rStyle w:val="af6"/>
          <w:rFonts w:eastAsia="Guttman Hodes"/>
          <w:cs/>
        </w:rPr>
        <w:t>‎</w:t>
      </w:r>
      <w:r w:rsidR="004D1C5B">
        <w:rPr>
          <w:rStyle w:val="af6"/>
          <w:rFonts w:eastAsia="Guttman Hodes"/>
          <w:rtl/>
        </w:rPr>
        <w:t>נא)</w:t>
      </w:r>
      <w:r w:rsidRPr="00717F6D">
        <w:rPr>
          <w:rStyle w:val="af6"/>
          <w:rFonts w:eastAsia="Guttman Hodes"/>
          <w:rtl/>
        </w:rPr>
        <w:fldChar w:fldCharType="end"/>
      </w:r>
      <w:r>
        <w:rPr>
          <w:rStyle w:val="af8"/>
          <w:rFonts w:hint="cs"/>
          <w:rtl/>
        </w:rPr>
        <w:t xml:space="preserve"> </w:t>
      </w:r>
      <w:r>
        <w:rPr>
          <w:rFonts w:hint="cs"/>
          <w:rtl/>
        </w:rPr>
        <w:t>בטעם חוזר וניעור].</w:t>
      </w:r>
      <w:bookmarkEnd w:id="14843"/>
    </w:p>
    <w:p w:rsidR="003A5D2C" w:rsidRDefault="003A5D2C" w:rsidP="003A5D2C">
      <w:pPr>
        <w:pStyle w:val="1"/>
        <w:rPr>
          <w:rtl/>
        </w:rPr>
      </w:pPr>
      <w:bookmarkStart w:id="14844" w:name="_Toc25053788"/>
      <w:bookmarkStart w:id="14845" w:name="_Toc25184783"/>
      <w:bookmarkStart w:id="14846" w:name="_Toc25317252"/>
      <w:bookmarkStart w:id="14847" w:name="_Toc25488181"/>
      <w:bookmarkStart w:id="14848" w:name="_Toc25524624"/>
      <w:bookmarkStart w:id="14849" w:name="_Toc25536123"/>
      <w:bookmarkStart w:id="14850" w:name="_Toc25571173"/>
      <w:bookmarkStart w:id="14851" w:name="_Toc25572649"/>
      <w:bookmarkStart w:id="14852" w:name="_Toc25572892"/>
      <w:r>
        <w:rPr>
          <w:rFonts w:hint="cs"/>
          <w:rtl/>
        </w:rPr>
        <w:t>דברי הרא"ש דהפסול בקדשים וכן הטומאה</w:t>
      </w:r>
      <w:bookmarkEnd w:id="14844"/>
      <w:bookmarkEnd w:id="14845"/>
      <w:bookmarkEnd w:id="14846"/>
      <w:r w:rsidRPr="00F24645">
        <w:rPr>
          <w:rFonts w:hint="cs"/>
          <w:rtl/>
        </w:rPr>
        <w:t xml:space="preserve"> </w:t>
      </w:r>
      <w:r>
        <w:rPr>
          <w:rFonts w:hint="cs"/>
          <w:rtl/>
        </w:rPr>
        <w:t>חוזרים וניעורים</w:t>
      </w:r>
      <w:bookmarkEnd w:id="14847"/>
      <w:bookmarkEnd w:id="14848"/>
      <w:bookmarkEnd w:id="14849"/>
      <w:bookmarkEnd w:id="14850"/>
      <w:bookmarkEnd w:id="14851"/>
      <w:bookmarkEnd w:id="14852"/>
    </w:p>
    <w:p w:rsidR="003A5D2C" w:rsidRPr="00926966" w:rsidRDefault="003A5D2C" w:rsidP="003A5D2C">
      <w:pPr>
        <w:pStyle w:val="a2"/>
        <w:rPr>
          <w:rtl/>
        </w:rPr>
      </w:pPr>
      <w:bookmarkStart w:id="14853" w:name="_Toc25488182"/>
      <w:bookmarkStart w:id="14854" w:name="_Toc25524625"/>
      <w:bookmarkStart w:id="14855" w:name="_Toc25536124"/>
      <w:bookmarkStart w:id="14856" w:name="_Toc25571174"/>
      <w:bookmarkStart w:id="14857" w:name="_Toc25572650"/>
      <w:bookmarkStart w:id="14858" w:name="_Toc25572893"/>
      <w:r>
        <w:rPr>
          <w:rFonts w:hint="cs"/>
          <w:rtl/>
        </w:rPr>
        <w:t>דברי הרא"ש דאף בפסולים בקדשים מוכח דפסול שהצטרף לפסול אחר חוזר וניעור לפסול שלו</w:t>
      </w:r>
      <w:bookmarkEnd w:id="14853"/>
      <w:bookmarkEnd w:id="14854"/>
      <w:bookmarkEnd w:id="14855"/>
      <w:bookmarkEnd w:id="14856"/>
      <w:bookmarkEnd w:id="14857"/>
      <w:bookmarkEnd w:id="14858"/>
    </w:p>
    <w:p w:rsidR="003A5D2C" w:rsidRPr="00581869" w:rsidRDefault="003A5D2C" w:rsidP="00A6253D">
      <w:pPr>
        <w:pStyle w:val="a"/>
        <w:rPr>
          <w:rStyle w:val="afa"/>
          <w:rtl/>
        </w:rPr>
      </w:pPr>
      <w:r>
        <w:rPr>
          <w:rFonts w:hint="cs"/>
          <w:rtl/>
        </w:rPr>
        <w:t xml:space="preserve">וכתב </w:t>
      </w:r>
      <w:r w:rsidRPr="00DB7E81">
        <w:rPr>
          <w:rStyle w:val="af8"/>
          <w:rFonts w:hint="cs"/>
          <w:rtl/>
        </w:rPr>
        <w:t>הרא"ש</w:t>
      </w:r>
      <w:r>
        <w:rPr>
          <w:rFonts w:hint="cs"/>
          <w:rtl/>
        </w:rPr>
        <w:t xml:space="preserve"> דאף בקדשים אמרינן חוזר וניעור, כדאיתא בגמ' בזבחים </w:t>
      </w:r>
      <w:r w:rsidRPr="00DB7E81">
        <w:rPr>
          <w:rStyle w:val="af6"/>
          <w:rFonts w:eastAsia="Guttman Hodes" w:hint="cs"/>
          <w:rtl/>
        </w:rPr>
        <w:t>(לא.)</w:t>
      </w:r>
      <w:r>
        <w:rPr>
          <w:rFonts w:hint="cs"/>
          <w:rtl/>
        </w:rPr>
        <w:t xml:space="preserve"> דחצי זית שחשב עליו חוץ לזמנו, וחצי זית שחשב עליו חוץ למקומו, דהוא פסול ולא פיגול, ואם צירף חצי זית נוסף חוץ לזמנו, אמר רבא ויקץ כישן הפיגול, דחצי זית הראשון כשמוצא את החצי זית האחרון הוא מתעורר ממה שנחשב כפסול, והוא מצטרף עם החצי זית האחרון לפיגול, וכתב </w:t>
      </w:r>
      <w:r w:rsidRPr="00DB7E81">
        <w:rPr>
          <w:rStyle w:val="af8"/>
          <w:rFonts w:hint="cs"/>
          <w:rtl/>
        </w:rPr>
        <w:t>הרא"ש</w:t>
      </w:r>
      <w:r>
        <w:rPr>
          <w:rFonts w:hint="cs"/>
          <w:rtl/>
        </w:rPr>
        <w:t xml:space="preserve"> דמבואר שאף שהחצי זית הראשון כבר הצטרף לחצי זית שחוץ למקומו לדין פסול, מ"מ כשמצא חצי זית נוסף </w:t>
      </w:r>
      <w:r w:rsidR="00A6253D">
        <w:rPr>
          <w:rFonts w:hint="cs"/>
          <w:rtl/>
        </w:rPr>
        <w:t>ש</w:t>
      </w:r>
      <w:r>
        <w:rPr>
          <w:rFonts w:hint="cs"/>
          <w:rtl/>
        </w:rPr>
        <w:t xml:space="preserve">הוא חוץ לזמנו, הוא מתעורר מהדין פסול שלו, והם מצטרפים לדין פיגול. </w:t>
      </w:r>
      <w:r w:rsidRPr="00581869">
        <w:rPr>
          <w:rStyle w:val="afa"/>
          <w:rFonts w:hint="cs"/>
          <w:rtl/>
        </w:rPr>
        <w:t xml:space="preserve">[והוסיף </w:t>
      </w:r>
      <w:r w:rsidRPr="00581869">
        <w:rPr>
          <w:rStyle w:val="affa"/>
          <w:rFonts w:hint="cs"/>
          <w:rtl/>
        </w:rPr>
        <w:t>הרא"ש</w:t>
      </w:r>
      <w:r w:rsidRPr="00581869">
        <w:rPr>
          <w:rStyle w:val="afa"/>
          <w:rFonts w:hint="cs"/>
          <w:rtl/>
        </w:rPr>
        <w:t xml:space="preserve"> דאף לרב המנונא דס"ל דאינם מצטרפים לפגל, זהו דוקא בקדשים שיש ילפותא דעירוב מחשבות לא מצטרף, אבל באיסורים מודה רב המנונא דאמרינן חוזר וניעור</w:t>
      </w:r>
      <w:r w:rsidR="007D1E57">
        <w:rPr>
          <w:rStyle w:val="afa"/>
          <w:rFonts w:hint="cs"/>
          <w:rtl/>
        </w:rPr>
        <w:t>, עיי"ש בגמ'</w:t>
      </w:r>
      <w:r w:rsidRPr="00581869">
        <w:rPr>
          <w:rStyle w:val="afa"/>
          <w:rFonts w:hint="cs"/>
          <w:rtl/>
        </w:rPr>
        <w:t>].</w:t>
      </w:r>
    </w:p>
    <w:p w:rsidR="003A5D2C" w:rsidRPr="00926966" w:rsidRDefault="003A5D2C" w:rsidP="003A5D2C">
      <w:pPr>
        <w:pStyle w:val="a2"/>
        <w:rPr>
          <w:rtl/>
        </w:rPr>
      </w:pPr>
      <w:bookmarkStart w:id="14859" w:name="_Toc25488183"/>
      <w:bookmarkStart w:id="14860" w:name="_Toc25524626"/>
      <w:bookmarkStart w:id="14861" w:name="_Toc25536125"/>
      <w:bookmarkStart w:id="14862" w:name="_Toc25571175"/>
      <w:bookmarkStart w:id="14863" w:name="_Toc25572651"/>
      <w:bookmarkStart w:id="14864" w:name="_Toc25572894"/>
      <w:r>
        <w:rPr>
          <w:rFonts w:hint="cs"/>
          <w:rtl/>
        </w:rPr>
        <w:t>דברי הרא"ש דתרומה טמאה דבטלה בחולין טהורים ונוסף חולין טמאים דהטומאה חוזרת וניעורה</w:t>
      </w:r>
      <w:bookmarkEnd w:id="14859"/>
      <w:bookmarkEnd w:id="14860"/>
      <w:bookmarkEnd w:id="14861"/>
      <w:bookmarkEnd w:id="14862"/>
      <w:bookmarkEnd w:id="14863"/>
      <w:bookmarkEnd w:id="14864"/>
    </w:p>
    <w:p w:rsidR="003A5D2C" w:rsidRDefault="003A5D2C" w:rsidP="009F44AF">
      <w:pPr>
        <w:pStyle w:val="a"/>
        <w:rPr>
          <w:rtl/>
        </w:rPr>
      </w:pPr>
      <w:bookmarkStart w:id="14865" w:name="_Ref25509091"/>
      <w:bookmarkStart w:id="14866" w:name="_Ref25565745"/>
      <w:r>
        <w:rPr>
          <w:rFonts w:hint="cs"/>
          <w:rtl/>
        </w:rPr>
        <w:t xml:space="preserve">והביא </w:t>
      </w:r>
      <w:r w:rsidRPr="000F5CE5">
        <w:rPr>
          <w:rStyle w:val="af8"/>
          <w:rFonts w:hint="cs"/>
          <w:rtl/>
        </w:rPr>
        <w:t>הרא"ש</w:t>
      </w:r>
      <w:r>
        <w:rPr>
          <w:rFonts w:hint="cs"/>
          <w:rtl/>
        </w:rPr>
        <w:t xml:space="preserve"> דאף בטומאה מצינו דאמרינן חוזר וניעור, מהא דאיתא בגמ' בבכורות </w:t>
      </w:r>
      <w:r w:rsidRPr="000F5CE5">
        <w:rPr>
          <w:rStyle w:val="af6"/>
          <w:rFonts w:eastAsia="Guttman Hodes" w:hint="cs"/>
          <w:rtl/>
        </w:rPr>
        <w:t>(כג.)</w:t>
      </w:r>
      <w:r>
        <w:rPr>
          <w:rFonts w:hint="cs"/>
          <w:rtl/>
        </w:rPr>
        <w:t xml:space="preserve"> דתרומה טמאה שבטלה במאה חולין טהורין, מותר לאוכלה ביבש, אך אסור להכשירה במים שלא תקבל טומאה, דחיישינן שמא יערבה עם חולין טמאים ממקום אחר, ומצא מין את מינו, וטומאת התרומה חוזרת וניעורה, וכתב </w:t>
      </w:r>
      <w:r w:rsidRPr="000F5CE5">
        <w:rPr>
          <w:rStyle w:val="af8"/>
          <w:rFonts w:hint="cs"/>
          <w:rtl/>
        </w:rPr>
        <w:t>הרא"ש</w:t>
      </w:r>
      <w:r>
        <w:rPr>
          <w:rFonts w:hint="cs"/>
          <w:rtl/>
        </w:rPr>
        <w:t xml:space="preserve"> דכיון דמבואר בגמ' בבכורות דטומאה שהתבטלה ברוב טהרה, היא חוזרת וניעורה כשנוסף עליה משהו טומאה, דהטומאה חשיבא כמין במינו דמצא מין את מינו וחוזר וניעור, א"כ ה"ה גבי איסורין, דכשהוסיף איסור לתערובת, האיסור הראשון חוזר וניעור.</w:t>
      </w:r>
      <w:bookmarkEnd w:id="14865"/>
      <w:r w:rsidRPr="00B77DE5">
        <w:rPr>
          <w:rFonts w:hint="cs"/>
          <w:rtl/>
        </w:rPr>
        <w:t xml:space="preserve"> </w:t>
      </w:r>
      <w:r>
        <w:rPr>
          <w:rFonts w:hint="cs"/>
          <w:rtl/>
        </w:rPr>
        <w:t xml:space="preserve">[ועי' במה שהקשה </w:t>
      </w:r>
      <w:r w:rsidRPr="003A3144">
        <w:rPr>
          <w:rStyle w:val="af8"/>
          <w:rFonts w:hint="cs"/>
          <w:rtl/>
        </w:rPr>
        <w:t>הקוב"ש</w:t>
      </w:r>
      <w:r>
        <w:rPr>
          <w:rFonts w:hint="cs"/>
          <w:rtl/>
        </w:rPr>
        <w:t xml:space="preserve"> </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Ref25509149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מו)</w:t>
      </w:r>
      <w:r>
        <w:rPr>
          <w:rStyle w:val="af6"/>
          <w:rFonts w:eastAsia="Guttman Hodes"/>
          <w:rtl/>
        </w:rPr>
        <w:fldChar w:fldCharType="end"/>
      </w:r>
      <w:r>
        <w:rPr>
          <w:rStyle w:val="af6"/>
          <w:rFonts w:eastAsia="Guttman Hodes" w:hint="cs"/>
          <w:rtl/>
        </w:rPr>
        <w:t xml:space="preserve"> </w:t>
      </w:r>
      <w:r w:rsidRPr="00250E27">
        <w:rPr>
          <w:rFonts w:hint="cs"/>
          <w:rtl/>
        </w:rPr>
        <w:t xml:space="preserve">על </w:t>
      </w:r>
      <w:r w:rsidRPr="00250E27">
        <w:rPr>
          <w:rStyle w:val="af8"/>
          <w:rFonts w:hint="cs"/>
          <w:rtl/>
        </w:rPr>
        <w:t>הרא"ש</w:t>
      </w:r>
      <w:r>
        <w:rPr>
          <w:rFonts w:hint="cs"/>
          <w:rtl/>
        </w:rPr>
        <w:t xml:space="preserve">, ובמה שביאר </w:t>
      </w:r>
      <w:r w:rsidRPr="002241DD">
        <w:rPr>
          <w:rStyle w:val="af8"/>
          <w:rFonts w:hint="cs"/>
          <w:rtl/>
        </w:rPr>
        <w:t>הקוע"ה</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Ref25566182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Pr>
          <w:rStyle w:val="af6"/>
          <w:rFonts w:eastAsia="Guttman Hodes"/>
          <w:rtl/>
        </w:rPr>
        <w:fldChar w:fldCharType="end"/>
      </w:r>
      <w:r>
        <w:rPr>
          <w:rFonts w:hint="cs"/>
          <w:rtl/>
        </w:rPr>
        <w:t>].</w:t>
      </w:r>
      <w:bookmarkEnd w:id="14866"/>
    </w:p>
    <w:p w:rsidR="003A5D2C" w:rsidRDefault="003A5D2C" w:rsidP="003A5D2C">
      <w:pPr>
        <w:pStyle w:val="afd"/>
        <w:rPr>
          <w:rtl/>
        </w:rPr>
      </w:pPr>
      <w:bookmarkStart w:id="14867" w:name="_Toc25488184"/>
      <w:bookmarkStart w:id="14868" w:name="_Toc25524627"/>
      <w:bookmarkStart w:id="14869" w:name="_Toc25536126"/>
      <w:bookmarkStart w:id="14870" w:name="_Toc25571176"/>
      <w:bookmarkStart w:id="14871" w:name="_Toc25572652"/>
      <w:bookmarkStart w:id="14872" w:name="_Toc25572895"/>
      <w:bookmarkStart w:id="14873" w:name="_Toc25184784"/>
      <w:bookmarkStart w:id="14874" w:name="_Toc25317253"/>
      <w:r>
        <w:rPr>
          <w:rFonts w:hint="cs"/>
          <w:rtl/>
        </w:rPr>
        <w:t>ביאור הרא"ש בנבילה שבטלה בשחוטה</w:t>
      </w:r>
      <w:bookmarkEnd w:id="14867"/>
      <w:bookmarkEnd w:id="14868"/>
      <w:bookmarkEnd w:id="14869"/>
      <w:bookmarkEnd w:id="14870"/>
      <w:bookmarkEnd w:id="14871"/>
      <w:bookmarkEnd w:id="14872"/>
    </w:p>
    <w:p w:rsidR="003A5D2C" w:rsidRPr="00D82946" w:rsidRDefault="003A5D2C" w:rsidP="003A5D2C">
      <w:pPr>
        <w:pStyle w:val="1"/>
        <w:rPr>
          <w:rtl/>
        </w:rPr>
      </w:pPr>
      <w:bookmarkStart w:id="14875" w:name="_Toc25488185"/>
      <w:bookmarkStart w:id="14876" w:name="_Toc25524628"/>
      <w:bookmarkStart w:id="14877" w:name="_Toc25536127"/>
      <w:bookmarkStart w:id="14878" w:name="_Toc25571177"/>
      <w:bookmarkStart w:id="14879" w:name="_Toc25572653"/>
      <w:bookmarkStart w:id="14880" w:name="_Toc25572896"/>
      <w:r>
        <w:rPr>
          <w:rFonts w:hint="cs"/>
          <w:rtl/>
        </w:rPr>
        <w:t>קושית הרא"ש</w:t>
      </w:r>
      <w:bookmarkEnd w:id="14873"/>
      <w:bookmarkEnd w:id="14874"/>
      <w:r>
        <w:rPr>
          <w:rFonts w:hint="cs"/>
          <w:rtl/>
        </w:rPr>
        <w:t xml:space="preserve"> דהא טומאה שבטלה כמאן דאיתא וה"ה איסור</w:t>
      </w:r>
      <w:bookmarkEnd w:id="14875"/>
      <w:bookmarkEnd w:id="14876"/>
      <w:bookmarkEnd w:id="14877"/>
      <w:bookmarkEnd w:id="14878"/>
      <w:bookmarkEnd w:id="14879"/>
      <w:bookmarkEnd w:id="14880"/>
    </w:p>
    <w:p w:rsidR="003A5D2C" w:rsidRPr="00926966" w:rsidRDefault="003A5D2C" w:rsidP="003A5D2C">
      <w:pPr>
        <w:pStyle w:val="a2"/>
        <w:rPr>
          <w:rtl/>
        </w:rPr>
      </w:pPr>
      <w:bookmarkStart w:id="14881" w:name="_Toc25488186"/>
      <w:bookmarkStart w:id="14882" w:name="_Toc25524629"/>
      <w:bookmarkStart w:id="14883" w:name="_Toc25536128"/>
      <w:bookmarkStart w:id="14884" w:name="_Toc25571178"/>
      <w:bookmarkStart w:id="14885" w:name="_Toc25572654"/>
      <w:bookmarkStart w:id="14886" w:name="_Toc25572897"/>
      <w:r>
        <w:rPr>
          <w:rFonts w:hint="cs"/>
          <w:rtl/>
        </w:rPr>
        <w:t>דברי הרא"ש דטומאה שבטלה היא כמאן דאיתא ולכן אמרינן חוזר וניעור וא"כ ה"ה באיסורים</w:t>
      </w:r>
      <w:bookmarkEnd w:id="14881"/>
      <w:bookmarkEnd w:id="14882"/>
      <w:bookmarkEnd w:id="14883"/>
      <w:bookmarkEnd w:id="14884"/>
      <w:bookmarkEnd w:id="14885"/>
      <w:bookmarkEnd w:id="14886"/>
    </w:p>
    <w:p w:rsidR="003A5D2C" w:rsidRDefault="003A5D2C" w:rsidP="009F44AF">
      <w:pPr>
        <w:pStyle w:val="a"/>
        <w:rPr>
          <w:rtl/>
        </w:rPr>
      </w:pPr>
      <w:r>
        <w:rPr>
          <w:rFonts w:hint="cs"/>
          <w:rtl/>
        </w:rPr>
        <w:t xml:space="preserve">אך הביא </w:t>
      </w:r>
      <w:r w:rsidRPr="000F5CE5">
        <w:rPr>
          <w:rStyle w:val="af8"/>
          <w:rFonts w:hint="cs"/>
          <w:rtl/>
        </w:rPr>
        <w:t>הרא"ש</w:t>
      </w:r>
      <w:r>
        <w:rPr>
          <w:rFonts w:hint="cs"/>
          <w:rtl/>
        </w:rPr>
        <w:t xml:space="preserve"> דאיתא בגמ' בבכורות </w:t>
      </w:r>
      <w:r w:rsidRPr="000F5CE5">
        <w:rPr>
          <w:rStyle w:val="af6"/>
          <w:rFonts w:eastAsia="Guttman Hodes" w:hint="cs"/>
          <w:rtl/>
        </w:rPr>
        <w:t>(כג.)</w:t>
      </w:r>
      <w:r>
        <w:rPr>
          <w:rFonts w:hint="cs"/>
          <w:rtl/>
        </w:rPr>
        <w:t xml:space="preserve"> דאמר ר"י ב"ר חנניא דחתיכת נבילה שבטלה בב' חתיכות שחוטה, אינה מטמאה במגע, אך מטמאה במשא, וביארה הגמ' בבכורות דכיון דבטומאה אמרינן דמצא מין את מינו וחוזר וניעור, א"כ הטומאה היא כמאן דאיתא דמיא, ואינה בטלה לגמרי, ולכן היא מטמאה במשא, וביאר </w:t>
      </w:r>
      <w:r w:rsidRPr="000F5CE5">
        <w:rPr>
          <w:rStyle w:val="af8"/>
          <w:rFonts w:hint="cs"/>
          <w:rtl/>
        </w:rPr>
        <w:t>הרא"ש</w:t>
      </w:r>
      <w:r>
        <w:rPr>
          <w:rFonts w:hint="cs"/>
          <w:rtl/>
        </w:rPr>
        <w:t xml:space="preserve"> דאף שהתבטלה ברוב השחוטה ואינו נטמא במגע דאינו נוגע בכל </w:t>
      </w:r>
      <w:r>
        <w:rPr>
          <w:rFonts w:hint="cs"/>
          <w:rtl/>
        </w:rPr>
        <w:t xml:space="preserve">הטומאה, </w:t>
      </w:r>
      <w:r w:rsidRPr="003D1271">
        <w:rPr>
          <w:rStyle w:val="afa"/>
          <w:rFonts w:hint="cs"/>
          <w:rtl/>
        </w:rPr>
        <w:t xml:space="preserve">[כדאיתא בגמ' לקמן </w:t>
      </w:r>
      <w:r w:rsidRPr="003D1271">
        <w:rPr>
          <w:rStyle w:val="aff6"/>
          <w:rFonts w:hint="cs"/>
          <w:rtl/>
        </w:rPr>
        <w:t xml:space="preserve">(קכה.) </w:t>
      </w:r>
      <w:r w:rsidRPr="003D1271">
        <w:rPr>
          <w:rStyle w:val="afa"/>
          <w:rFonts w:hint="cs"/>
          <w:rtl/>
        </w:rPr>
        <w:t xml:space="preserve">בדין רקב של מת], </w:t>
      </w:r>
      <w:r>
        <w:rPr>
          <w:rFonts w:hint="cs"/>
          <w:rtl/>
        </w:rPr>
        <w:t xml:space="preserve">מ"מ כשנושא את כל התערובת יחד, הוא נושא את הטומאה וכתב </w:t>
      </w:r>
      <w:r w:rsidRPr="003D1271">
        <w:rPr>
          <w:rStyle w:val="af8"/>
          <w:rFonts w:hint="cs"/>
          <w:rtl/>
        </w:rPr>
        <w:t>הרא"ש</w:t>
      </w:r>
      <w:r>
        <w:rPr>
          <w:rFonts w:hint="cs"/>
          <w:rtl/>
        </w:rPr>
        <w:t xml:space="preserve"> דמבואר בגמ' בבכורות דמהא דאמרינן חוזר וניעור מוכח דהטומאה כמאן דאיתא, וא"כ אף באיסורים נאמר דכיון דאמרינן חוזר וניעור, א"כ מוכח דהאיסור כמאן דאיתא דמי.</w:t>
      </w:r>
    </w:p>
    <w:p w:rsidR="003A5D2C" w:rsidRPr="00926966" w:rsidRDefault="003A5D2C" w:rsidP="003A5D2C">
      <w:pPr>
        <w:pStyle w:val="a2"/>
        <w:rPr>
          <w:rtl/>
        </w:rPr>
      </w:pPr>
      <w:bookmarkStart w:id="14887" w:name="_Toc25488187"/>
      <w:bookmarkStart w:id="14888" w:name="_Toc25524630"/>
      <w:bookmarkStart w:id="14889" w:name="_Toc25536129"/>
      <w:bookmarkStart w:id="14890" w:name="_Toc25571179"/>
      <w:bookmarkStart w:id="14891" w:name="_Toc25572655"/>
      <w:bookmarkStart w:id="14892" w:name="_Toc25572898"/>
      <w:r>
        <w:rPr>
          <w:rFonts w:hint="cs"/>
          <w:rtl/>
        </w:rPr>
        <w:t>קושית הרא"ש דהאיסור כמאן דאיתא ולא נהפך להיתר וצריך לאסור בבת אחת ובחזר ובישל</w:t>
      </w:r>
      <w:bookmarkEnd w:id="14887"/>
      <w:bookmarkEnd w:id="14888"/>
      <w:bookmarkEnd w:id="14889"/>
      <w:bookmarkEnd w:id="14890"/>
      <w:bookmarkEnd w:id="14891"/>
      <w:bookmarkEnd w:id="14892"/>
      <w:r>
        <w:rPr>
          <w:rFonts w:hint="cs"/>
          <w:rtl/>
        </w:rPr>
        <w:t xml:space="preserve"> </w:t>
      </w:r>
    </w:p>
    <w:p w:rsidR="003A5D2C" w:rsidRDefault="003A5D2C" w:rsidP="009F44AF">
      <w:pPr>
        <w:pStyle w:val="a"/>
        <w:rPr>
          <w:rtl/>
        </w:rPr>
      </w:pPr>
      <w:bookmarkStart w:id="14893" w:name="_Ref25485958"/>
      <w:bookmarkStart w:id="14894" w:name="_Ref25525894"/>
      <w:r>
        <w:rPr>
          <w:rFonts w:hint="cs"/>
          <w:rtl/>
        </w:rPr>
        <w:t xml:space="preserve">והקשה </w:t>
      </w:r>
      <w:r w:rsidRPr="005D4574">
        <w:rPr>
          <w:rStyle w:val="af8"/>
          <w:rFonts w:hint="cs"/>
          <w:rtl/>
        </w:rPr>
        <w:t>הרא"ש</w:t>
      </w:r>
      <w:r>
        <w:rPr>
          <w:rFonts w:hint="cs"/>
          <w:rtl/>
        </w:rPr>
        <w:t xml:space="preserve"> דא"כ באיסור שהתבטל ברוב צריך לאוסרו באכילה בבת אחת, ולהתיר את התערובת רק בזה אחר זה, </w:t>
      </w:r>
      <w:r w:rsidRPr="005D4574">
        <w:rPr>
          <w:rStyle w:val="afa"/>
          <w:rFonts w:hint="cs"/>
          <w:rtl/>
        </w:rPr>
        <w:t xml:space="preserve">[כדעת </w:t>
      </w:r>
      <w:r>
        <w:rPr>
          <w:rStyle w:val="affa"/>
          <w:rtl/>
        </w:rPr>
        <w:t xml:space="preserve">הרשב"א </w:t>
      </w:r>
      <w:r w:rsidRPr="0014150A">
        <w:rPr>
          <w:rStyle w:val="aff6"/>
          <w:rtl/>
        </w:rPr>
        <w:t xml:space="preserve">(עי' אות </w:t>
      </w:r>
      <w:r w:rsidRPr="0014150A">
        <w:rPr>
          <w:rStyle w:val="aff6"/>
          <w:cs/>
        </w:rPr>
        <w:t>‎</w:t>
      </w:r>
      <w:r w:rsidRPr="0014150A">
        <w:rPr>
          <w:rStyle w:val="aff6"/>
          <w:rtl/>
        </w:rPr>
        <w:fldChar w:fldCharType="begin"/>
      </w:r>
      <w:r w:rsidRPr="0014150A">
        <w:rPr>
          <w:rStyle w:val="aff6"/>
          <w:rtl/>
        </w:rPr>
        <w:instrText xml:space="preserve"> </w:instrText>
      </w:r>
      <w:r w:rsidRPr="0014150A">
        <w:rPr>
          <w:rStyle w:val="aff6"/>
          <w:rFonts w:hint="cs"/>
        </w:rPr>
        <w:instrText>REF</w:instrText>
      </w:r>
      <w:r w:rsidRPr="0014150A">
        <w:rPr>
          <w:rStyle w:val="aff6"/>
          <w:rFonts w:hint="cs"/>
          <w:rtl/>
        </w:rPr>
        <w:instrText xml:space="preserve"> _</w:instrText>
      </w:r>
      <w:r w:rsidRPr="0014150A">
        <w:rPr>
          <w:rStyle w:val="aff6"/>
          <w:rFonts w:hint="cs"/>
        </w:rPr>
        <w:instrText>Ref24902820 \r \h</w:instrText>
      </w:r>
      <w:r w:rsidRPr="0014150A">
        <w:rPr>
          <w:rStyle w:val="aff6"/>
          <w:rtl/>
        </w:rPr>
        <w:instrText xml:space="preserve"> </w:instrText>
      </w:r>
      <w:r w:rsidRPr="0014150A">
        <w:rPr>
          <w:rStyle w:val="aff6"/>
          <w:rtl/>
        </w:rPr>
      </w:r>
      <w:r w:rsidRPr="0014150A">
        <w:rPr>
          <w:rStyle w:val="aff6"/>
          <w:rtl/>
        </w:rPr>
        <w:fldChar w:fldCharType="separate"/>
      </w:r>
      <w:r w:rsidR="004D1C5B">
        <w:rPr>
          <w:rStyle w:val="aff6"/>
          <w:cs/>
        </w:rPr>
        <w:t>‎</w:t>
      </w:r>
      <w:r w:rsidR="004D1C5B">
        <w:rPr>
          <w:rStyle w:val="aff6"/>
          <w:rtl/>
        </w:rPr>
        <w:t>קט)</w:t>
      </w:r>
      <w:r w:rsidRPr="0014150A">
        <w:rPr>
          <w:rStyle w:val="aff6"/>
          <w:rtl/>
        </w:rPr>
        <w:fldChar w:fldCharType="end"/>
      </w:r>
      <w:r w:rsidRPr="00A86DCF">
        <w:rPr>
          <w:rStyle w:val="afa"/>
          <w:rFonts w:hint="cs"/>
          <w:rtl/>
        </w:rPr>
        <w:t>]</w:t>
      </w:r>
      <w:r w:rsidRPr="005D4574">
        <w:rPr>
          <w:rStyle w:val="afa"/>
          <w:rFonts w:hint="cs"/>
          <w:rtl/>
        </w:rPr>
        <w:t xml:space="preserve">, </w:t>
      </w:r>
      <w:r>
        <w:rPr>
          <w:rFonts w:hint="cs"/>
          <w:rtl/>
        </w:rPr>
        <w:t xml:space="preserve">כיון דממה נפשך אוכל חתיכת איסור, וכן כשחזר ובישל את התערובת, שהוא כאוכל בבת אחת יהיה אסור, </w:t>
      </w:r>
      <w:r w:rsidRPr="00A210B8">
        <w:rPr>
          <w:rStyle w:val="afa"/>
          <w:rFonts w:hint="cs"/>
          <w:rtl/>
        </w:rPr>
        <w:t xml:space="preserve">[וכדעת </w:t>
      </w:r>
      <w:r w:rsidRPr="00A210B8">
        <w:rPr>
          <w:rStyle w:val="affa"/>
          <w:rFonts w:hint="cs"/>
          <w:rtl/>
        </w:rPr>
        <w:t>הרשב"א</w:t>
      </w:r>
      <w:r w:rsidRPr="00A210B8">
        <w:rPr>
          <w:rStyle w:val="afa"/>
          <w:rFonts w:hint="cs"/>
          <w:rtl/>
        </w:rPr>
        <w:t xml:space="preserve"> </w:t>
      </w:r>
      <w:r w:rsidRPr="00A210B8">
        <w:rPr>
          <w:rStyle w:val="aff6"/>
          <w:rFonts w:hint="cs"/>
          <w:rtl/>
        </w:rPr>
        <w:t xml:space="preserve">(עי' אות </w:t>
      </w:r>
      <w:r w:rsidRPr="00A210B8">
        <w:rPr>
          <w:rStyle w:val="aff6"/>
          <w:rtl/>
        </w:rPr>
        <w:fldChar w:fldCharType="begin"/>
      </w:r>
      <w:r w:rsidRPr="00A210B8">
        <w:rPr>
          <w:rStyle w:val="aff6"/>
          <w:rtl/>
        </w:rPr>
        <w:instrText xml:space="preserve"> </w:instrText>
      </w:r>
      <w:r w:rsidRPr="00A210B8">
        <w:rPr>
          <w:rStyle w:val="aff6"/>
          <w:rFonts w:hint="cs"/>
        </w:rPr>
        <w:instrText>REF</w:instrText>
      </w:r>
      <w:r w:rsidRPr="00A210B8">
        <w:rPr>
          <w:rStyle w:val="aff6"/>
          <w:rFonts w:hint="cs"/>
          <w:rtl/>
        </w:rPr>
        <w:instrText xml:space="preserve"> _</w:instrText>
      </w:r>
      <w:r w:rsidRPr="00A210B8">
        <w:rPr>
          <w:rStyle w:val="aff6"/>
          <w:rFonts w:hint="cs"/>
        </w:rPr>
        <w:instrText>Ref24902820 \r \h</w:instrText>
      </w:r>
      <w:r w:rsidRPr="00A210B8">
        <w:rPr>
          <w:rStyle w:val="aff6"/>
          <w:rtl/>
        </w:rPr>
        <w:instrText xml:space="preserve"> </w:instrText>
      </w:r>
      <w:r w:rsidRPr="00A210B8">
        <w:rPr>
          <w:rStyle w:val="aff6"/>
          <w:rtl/>
        </w:rPr>
      </w:r>
      <w:r w:rsidRPr="00A210B8">
        <w:rPr>
          <w:rStyle w:val="aff6"/>
          <w:rtl/>
        </w:rPr>
        <w:fldChar w:fldCharType="separate"/>
      </w:r>
      <w:r w:rsidR="004D1C5B">
        <w:rPr>
          <w:rStyle w:val="aff6"/>
          <w:cs/>
        </w:rPr>
        <w:t>‎</w:t>
      </w:r>
      <w:r w:rsidR="004D1C5B">
        <w:rPr>
          <w:rStyle w:val="aff6"/>
          <w:rtl/>
        </w:rPr>
        <w:t>קט)</w:t>
      </w:r>
      <w:r w:rsidRPr="00A210B8">
        <w:rPr>
          <w:rStyle w:val="aff6"/>
          <w:rtl/>
        </w:rPr>
        <w:fldChar w:fldCharType="end"/>
      </w:r>
      <w:r w:rsidRPr="00A210B8">
        <w:rPr>
          <w:rStyle w:val="afa"/>
          <w:rFonts w:hint="cs"/>
          <w:rtl/>
        </w:rPr>
        <w:t>],</w:t>
      </w:r>
      <w:r>
        <w:rPr>
          <w:rFonts w:hint="cs"/>
          <w:rtl/>
        </w:rPr>
        <w:t xml:space="preserve"> ולא כדכתב </w:t>
      </w:r>
      <w:r w:rsidRPr="005D4574">
        <w:rPr>
          <w:rStyle w:val="af8"/>
          <w:rFonts w:hint="cs"/>
          <w:rtl/>
        </w:rPr>
        <w:t>הר</w:t>
      </w:r>
      <w:r>
        <w:rPr>
          <w:rStyle w:val="af8"/>
          <w:rFonts w:hint="cs"/>
          <w:rtl/>
        </w:rPr>
        <w:t xml:space="preserve">א"ש </w:t>
      </w:r>
      <w:r w:rsidRPr="00906756">
        <w:rPr>
          <w:rStyle w:val="af6"/>
          <w:rFonts w:eastAsia="Guttman Hodes" w:hint="cs"/>
          <w:rtl/>
        </w:rPr>
        <w:t xml:space="preserve">(עי' אות </w:t>
      </w:r>
      <w:r w:rsidRPr="00906756">
        <w:rPr>
          <w:rStyle w:val="af6"/>
          <w:rFonts w:eastAsia="Guttman Hodes"/>
          <w:rtl/>
        </w:rPr>
        <w:fldChar w:fldCharType="begin"/>
      </w:r>
      <w:r w:rsidRPr="00906756">
        <w:rPr>
          <w:rStyle w:val="af6"/>
          <w:rFonts w:eastAsia="Guttman Hodes"/>
          <w:rtl/>
        </w:rPr>
        <w:instrText xml:space="preserve"> </w:instrText>
      </w:r>
      <w:r w:rsidRPr="00906756">
        <w:rPr>
          <w:rStyle w:val="af6"/>
          <w:rFonts w:eastAsia="Guttman Hodes" w:hint="cs"/>
        </w:rPr>
        <w:instrText>REF</w:instrText>
      </w:r>
      <w:r w:rsidRPr="00906756">
        <w:rPr>
          <w:rStyle w:val="af6"/>
          <w:rFonts w:eastAsia="Guttman Hodes" w:hint="cs"/>
          <w:rtl/>
        </w:rPr>
        <w:instrText xml:space="preserve"> _</w:instrText>
      </w:r>
      <w:r w:rsidRPr="00906756">
        <w:rPr>
          <w:rStyle w:val="af6"/>
          <w:rFonts w:eastAsia="Guttman Hodes" w:hint="cs"/>
        </w:rPr>
        <w:instrText>Ref24902820 \r \h</w:instrText>
      </w:r>
      <w:r w:rsidRPr="00906756">
        <w:rPr>
          <w:rStyle w:val="af6"/>
          <w:rFonts w:eastAsia="Guttman Hodes"/>
          <w:rtl/>
        </w:rPr>
        <w:instrText xml:space="preserve"> </w:instrText>
      </w:r>
      <w:r w:rsidRPr="00906756">
        <w:rPr>
          <w:rStyle w:val="af6"/>
          <w:rFonts w:eastAsia="Guttman Hodes"/>
          <w:rtl/>
        </w:rPr>
      </w:r>
      <w:r w:rsidRPr="00906756">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906756">
        <w:rPr>
          <w:rStyle w:val="af6"/>
          <w:rFonts w:eastAsia="Guttman Hodes"/>
          <w:rtl/>
        </w:rPr>
        <w:fldChar w:fldCharType="end"/>
      </w:r>
      <w:r>
        <w:rPr>
          <w:rFonts w:hint="cs"/>
          <w:rtl/>
        </w:rPr>
        <w:t xml:space="preserve"> דהאיסור נהפך להיתר ומותר לאוכלו בבת אחת, וכן מותר בחזר ובישל.</w:t>
      </w:r>
      <w:bookmarkEnd w:id="14893"/>
      <w:r>
        <w:rPr>
          <w:rFonts w:hint="cs"/>
          <w:rtl/>
        </w:rPr>
        <w:t xml:space="preserve"> [ועי' במה שהקשו </w:t>
      </w:r>
      <w:r w:rsidRPr="00D250F3">
        <w:rPr>
          <w:rStyle w:val="af8"/>
          <w:rFonts w:hint="cs"/>
          <w:rtl/>
        </w:rPr>
        <w:t>החזו"א</w:t>
      </w:r>
      <w:r>
        <w:rPr>
          <w:rFonts w:hint="cs"/>
          <w:rtl/>
        </w:rPr>
        <w:t xml:space="preserve"> </w:t>
      </w:r>
      <w:r w:rsidRPr="00D250F3">
        <w:rPr>
          <w:rStyle w:val="af6"/>
          <w:rFonts w:eastAsia="Guttman Hodes" w:hint="cs"/>
          <w:rtl/>
        </w:rPr>
        <w:t xml:space="preserve">(עי' אות </w:t>
      </w:r>
      <w:r w:rsidRPr="00D250F3">
        <w:rPr>
          <w:rStyle w:val="af6"/>
          <w:rFonts w:eastAsia="Guttman Hodes"/>
          <w:rtl/>
        </w:rPr>
        <w:fldChar w:fldCharType="begin"/>
      </w:r>
      <w:r w:rsidRPr="00D250F3">
        <w:rPr>
          <w:rStyle w:val="af6"/>
          <w:rFonts w:eastAsia="Guttman Hodes"/>
          <w:rtl/>
        </w:rPr>
        <w:instrText xml:space="preserve"> </w:instrText>
      </w:r>
      <w:r w:rsidRPr="00D250F3">
        <w:rPr>
          <w:rStyle w:val="af6"/>
          <w:rFonts w:eastAsia="Guttman Hodes" w:hint="cs"/>
        </w:rPr>
        <w:instrText>REF</w:instrText>
      </w:r>
      <w:r w:rsidRPr="00D250F3">
        <w:rPr>
          <w:rStyle w:val="af6"/>
          <w:rFonts w:eastAsia="Guttman Hodes" w:hint="cs"/>
          <w:rtl/>
        </w:rPr>
        <w:instrText xml:space="preserve"> _</w:instrText>
      </w:r>
      <w:r w:rsidRPr="00D250F3">
        <w:rPr>
          <w:rStyle w:val="af6"/>
          <w:rFonts w:eastAsia="Guttman Hodes" w:hint="cs"/>
        </w:rPr>
        <w:instrText>Ref25486566 \r \h</w:instrText>
      </w:r>
      <w:r w:rsidRPr="00D250F3">
        <w:rPr>
          <w:rStyle w:val="af6"/>
          <w:rFonts w:eastAsia="Guttman Hodes"/>
          <w:rtl/>
        </w:rPr>
        <w:instrText xml:space="preserve"> </w:instrText>
      </w:r>
      <w:r w:rsidRPr="00D250F3">
        <w:rPr>
          <w:rStyle w:val="af6"/>
          <w:rFonts w:eastAsia="Guttman Hodes"/>
          <w:rtl/>
        </w:rPr>
      </w:r>
      <w:r w:rsidRPr="00D250F3">
        <w:rPr>
          <w:rStyle w:val="af6"/>
          <w:rFonts w:eastAsia="Guttman Hodes"/>
          <w:rtl/>
        </w:rPr>
        <w:fldChar w:fldCharType="separate"/>
      </w:r>
      <w:r w:rsidR="004D1C5B">
        <w:rPr>
          <w:rStyle w:val="af6"/>
          <w:rFonts w:eastAsia="Guttman Hodes"/>
          <w:cs/>
        </w:rPr>
        <w:t>‎</w:t>
      </w:r>
      <w:r w:rsidR="004D1C5B">
        <w:rPr>
          <w:rStyle w:val="af6"/>
          <w:rFonts w:eastAsia="Guttman Hodes"/>
          <w:rtl/>
        </w:rPr>
        <w:t>כו)</w:t>
      </w:r>
      <w:r w:rsidRPr="00D250F3">
        <w:rPr>
          <w:rStyle w:val="af6"/>
          <w:rFonts w:eastAsia="Guttman Hodes"/>
          <w:rtl/>
        </w:rPr>
        <w:fldChar w:fldCharType="end"/>
      </w:r>
      <w:r>
        <w:rPr>
          <w:rFonts w:hint="cs"/>
          <w:rtl/>
        </w:rPr>
        <w:t xml:space="preserve"> </w:t>
      </w:r>
      <w:r w:rsidRPr="00D250F3">
        <w:rPr>
          <w:rStyle w:val="af8"/>
          <w:rFonts w:hint="cs"/>
          <w:rtl/>
        </w:rPr>
        <w:t>והשער"י</w:t>
      </w:r>
      <w:r>
        <w:rPr>
          <w:rFonts w:hint="cs"/>
          <w:rtl/>
        </w:rPr>
        <w:t xml:space="preserve"> אמאי לא הקשה </w:t>
      </w:r>
      <w:r w:rsidRPr="00D250F3">
        <w:rPr>
          <w:rStyle w:val="af8"/>
          <w:rFonts w:hint="cs"/>
          <w:rtl/>
        </w:rPr>
        <w:t>הרא"ש</w:t>
      </w:r>
      <w:r>
        <w:rPr>
          <w:rFonts w:hint="cs"/>
          <w:rtl/>
        </w:rPr>
        <w:t xml:space="preserve"> מביטול לח בלח].</w:t>
      </w:r>
      <w:bookmarkEnd w:id="14894"/>
    </w:p>
    <w:p w:rsidR="003A5D2C" w:rsidRPr="00D82946" w:rsidRDefault="003A5D2C" w:rsidP="003A5D2C">
      <w:pPr>
        <w:pStyle w:val="1"/>
        <w:rPr>
          <w:rtl/>
        </w:rPr>
      </w:pPr>
      <w:bookmarkStart w:id="14895" w:name="_Toc25184785"/>
      <w:bookmarkStart w:id="14896" w:name="_Toc25317254"/>
      <w:bookmarkStart w:id="14897" w:name="_Toc25488188"/>
      <w:bookmarkStart w:id="14898" w:name="_Toc25524631"/>
      <w:bookmarkStart w:id="14899" w:name="_Toc25536130"/>
      <w:bookmarkStart w:id="14900" w:name="_Toc25571180"/>
      <w:bookmarkStart w:id="14901" w:name="_Toc25572656"/>
      <w:bookmarkStart w:id="14902" w:name="_Toc25572899"/>
      <w:r>
        <w:rPr>
          <w:rFonts w:hint="cs"/>
          <w:rtl/>
        </w:rPr>
        <w:t>חילוק הרא"ש בין טומאה</w:t>
      </w:r>
      <w:bookmarkEnd w:id="14895"/>
      <w:bookmarkEnd w:id="14896"/>
      <w:r>
        <w:rPr>
          <w:rFonts w:hint="cs"/>
          <w:rtl/>
        </w:rPr>
        <w:t xml:space="preserve"> דכמאן דאיתא לאיסור דנהפך להיתר</w:t>
      </w:r>
      <w:bookmarkEnd w:id="14897"/>
      <w:bookmarkEnd w:id="14898"/>
      <w:bookmarkEnd w:id="14899"/>
      <w:bookmarkEnd w:id="14900"/>
      <w:bookmarkEnd w:id="14901"/>
      <w:bookmarkEnd w:id="14902"/>
    </w:p>
    <w:p w:rsidR="003A5D2C" w:rsidRPr="00926966" w:rsidRDefault="003A5D2C" w:rsidP="003A5D2C">
      <w:pPr>
        <w:pStyle w:val="a2"/>
        <w:rPr>
          <w:rtl/>
        </w:rPr>
      </w:pPr>
      <w:bookmarkStart w:id="14903" w:name="_Toc25488189"/>
      <w:bookmarkStart w:id="14904" w:name="_Toc25524632"/>
      <w:bookmarkStart w:id="14905" w:name="_Toc25536131"/>
      <w:bookmarkStart w:id="14906" w:name="_Toc25571181"/>
      <w:bookmarkStart w:id="14907" w:name="_Toc25572657"/>
      <w:bookmarkStart w:id="14908" w:name="_Toc25572900"/>
      <w:r>
        <w:rPr>
          <w:rFonts w:hint="cs"/>
          <w:rtl/>
        </w:rPr>
        <w:t>דברי הרא"ש דבטומאה יש ב' מינים ולענין מגע הטומאה בטלה לגמרי ולענין משא אין ביטול</w:t>
      </w:r>
      <w:bookmarkEnd w:id="14903"/>
      <w:bookmarkEnd w:id="14904"/>
      <w:bookmarkEnd w:id="14905"/>
      <w:bookmarkEnd w:id="14906"/>
      <w:bookmarkEnd w:id="14907"/>
      <w:bookmarkEnd w:id="14908"/>
    </w:p>
    <w:p w:rsidR="003A5D2C" w:rsidRDefault="003A5D2C" w:rsidP="009F44AF">
      <w:pPr>
        <w:pStyle w:val="a"/>
        <w:rPr>
          <w:rtl/>
        </w:rPr>
      </w:pPr>
      <w:bookmarkStart w:id="14909" w:name="_Ref25483358"/>
      <w:bookmarkStart w:id="14910" w:name="_Ref25491847"/>
      <w:r>
        <w:rPr>
          <w:rFonts w:hint="cs"/>
          <w:rtl/>
        </w:rPr>
        <w:t xml:space="preserve">ותירץ </w:t>
      </w:r>
      <w:r w:rsidRPr="005D4574">
        <w:rPr>
          <w:rStyle w:val="af8"/>
          <w:rFonts w:hint="cs"/>
          <w:rtl/>
        </w:rPr>
        <w:t>הרא"ש</w:t>
      </w:r>
      <w:r>
        <w:rPr>
          <w:rFonts w:hint="cs"/>
          <w:rtl/>
        </w:rPr>
        <w:t xml:space="preserve"> שיש חילוק בין טומאה לאיסור, דבטומאה שיש בה ב' מינים של טומאה, טומאת מגע וטומאת משא, ולענין טומאת משא לא היה כל ביטול מעיקרא, כיון שאף שהוא מעורב ברוב של טהרה מ"מ הוא נושא את כל הטומאה, ולכן לענין טומאת משא לא התבטלה הטומאה, אעפ"י שלענין טומאת מגע היה ביטול, ובטומאת מגע הוא ביטול גמור, אך אמרינן בו חוזר וניעור.</w:t>
      </w:r>
      <w:bookmarkEnd w:id="14909"/>
      <w:r>
        <w:rPr>
          <w:rFonts w:hint="cs"/>
          <w:rtl/>
        </w:rPr>
        <w:t xml:space="preserve"> [ועי' במה שביארו </w:t>
      </w:r>
      <w:r w:rsidRPr="005E0E94">
        <w:rPr>
          <w:rStyle w:val="af8"/>
          <w:rFonts w:hint="cs"/>
          <w:rtl/>
        </w:rPr>
        <w:t>החזו"א</w:t>
      </w:r>
      <w:r>
        <w:rPr>
          <w:rFonts w:hint="cs"/>
          <w:rtl/>
        </w:rPr>
        <w:t xml:space="preserve"> </w:t>
      </w:r>
      <w:r w:rsidRPr="00904816">
        <w:rPr>
          <w:rStyle w:val="af6"/>
          <w:rFonts w:eastAsia="Guttman Hodes" w:hint="cs"/>
          <w:rtl/>
        </w:rPr>
        <w:t xml:space="preserve">(עי' אות </w:t>
      </w:r>
      <w:r w:rsidRPr="00904816">
        <w:rPr>
          <w:rStyle w:val="af6"/>
          <w:rFonts w:eastAsia="Guttman Hodes"/>
          <w:rtl/>
        </w:rPr>
        <w:fldChar w:fldCharType="begin"/>
      </w:r>
      <w:r w:rsidRPr="00904816">
        <w:rPr>
          <w:rStyle w:val="af6"/>
          <w:rFonts w:eastAsia="Guttman Hodes"/>
          <w:rtl/>
        </w:rPr>
        <w:instrText xml:space="preserve"> </w:instrText>
      </w:r>
      <w:r w:rsidRPr="00904816">
        <w:rPr>
          <w:rStyle w:val="af6"/>
          <w:rFonts w:eastAsia="Guttman Hodes" w:hint="cs"/>
        </w:rPr>
        <w:instrText>REF</w:instrText>
      </w:r>
      <w:r w:rsidRPr="00904816">
        <w:rPr>
          <w:rStyle w:val="af6"/>
          <w:rFonts w:eastAsia="Guttman Hodes" w:hint="cs"/>
          <w:rtl/>
        </w:rPr>
        <w:instrText xml:space="preserve"> _</w:instrText>
      </w:r>
      <w:r w:rsidRPr="00904816">
        <w:rPr>
          <w:rStyle w:val="af6"/>
          <w:rFonts w:eastAsia="Guttman Hodes" w:hint="cs"/>
        </w:rPr>
        <w:instrText>Ref25486452 \r \h</w:instrText>
      </w:r>
      <w:r w:rsidRPr="00904816">
        <w:rPr>
          <w:rStyle w:val="af6"/>
          <w:rFonts w:eastAsia="Guttman Hodes"/>
          <w:rtl/>
        </w:rPr>
        <w:instrText xml:space="preserve"> </w:instrText>
      </w:r>
      <w:r w:rsidRPr="00904816">
        <w:rPr>
          <w:rStyle w:val="af6"/>
          <w:rFonts w:eastAsia="Guttman Hodes"/>
          <w:rtl/>
        </w:rPr>
      </w:r>
      <w:r w:rsidRPr="00904816">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904816">
        <w:rPr>
          <w:rStyle w:val="af6"/>
          <w:rFonts w:eastAsia="Guttman Hodes"/>
          <w:rtl/>
        </w:rPr>
        <w:fldChar w:fldCharType="end"/>
      </w:r>
      <w:r>
        <w:rPr>
          <w:rFonts w:hint="cs"/>
          <w:rtl/>
        </w:rPr>
        <w:t xml:space="preserve"> </w:t>
      </w:r>
      <w:r w:rsidRPr="00250E27">
        <w:rPr>
          <w:rStyle w:val="af8"/>
          <w:rFonts w:hint="cs"/>
          <w:rtl/>
        </w:rPr>
        <w:t>וה</w:t>
      </w:r>
      <w:r w:rsidRPr="0065327F">
        <w:rPr>
          <w:rStyle w:val="af8"/>
          <w:rFonts w:hint="cs"/>
          <w:rtl/>
        </w:rPr>
        <w:t xml:space="preserve">קה"י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Ref25493200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Pr>
          <w:rStyle w:val="af6"/>
          <w:rFonts w:eastAsia="Guttman Hodes"/>
          <w:rtl/>
        </w:rPr>
        <w:fldChar w:fldCharType="end"/>
      </w:r>
      <w:r>
        <w:rPr>
          <w:rStyle w:val="af6"/>
          <w:rFonts w:eastAsia="Guttman Hodes" w:hint="cs"/>
          <w:rtl/>
        </w:rPr>
        <w:t xml:space="preserve"> </w:t>
      </w:r>
      <w:r w:rsidRPr="00492C02">
        <w:rPr>
          <w:rStyle w:val="af6"/>
          <w:rFonts w:eastAsia="Guttman Hodes" w:hint="cs"/>
          <w:rtl/>
        </w:rPr>
        <w:t xml:space="preserve"> </w:t>
      </w:r>
      <w:r>
        <w:rPr>
          <w:rFonts w:hint="cs"/>
          <w:rtl/>
        </w:rPr>
        <w:t xml:space="preserve">בדברי </w:t>
      </w:r>
      <w:r w:rsidRPr="005E0E94">
        <w:rPr>
          <w:rStyle w:val="af8"/>
          <w:rFonts w:hint="cs"/>
          <w:rtl/>
        </w:rPr>
        <w:t>הרא"ש</w:t>
      </w:r>
      <w:r>
        <w:rPr>
          <w:rFonts w:hint="cs"/>
          <w:rtl/>
        </w:rPr>
        <w:t xml:space="preserve">, ובמה שהקשו </w:t>
      </w:r>
      <w:r w:rsidRPr="00462868">
        <w:rPr>
          <w:rStyle w:val="af8"/>
          <w:rFonts w:hint="cs"/>
          <w:rtl/>
        </w:rPr>
        <w:t>השער"י</w:t>
      </w:r>
      <w:r>
        <w:rPr>
          <w:rFonts w:hint="cs"/>
          <w:rtl/>
        </w:rPr>
        <w:t xml:space="preserve"> </w:t>
      </w:r>
      <w:r w:rsidRPr="00462868">
        <w:rPr>
          <w:rStyle w:val="af6"/>
          <w:rFonts w:eastAsia="Guttman Hodes" w:hint="cs"/>
          <w:rtl/>
        </w:rPr>
        <w:t xml:space="preserve">(עי' אות </w:t>
      </w:r>
      <w:r w:rsidRPr="00462868">
        <w:rPr>
          <w:rStyle w:val="af6"/>
          <w:rFonts w:eastAsia="Guttman Hodes"/>
          <w:rtl/>
        </w:rPr>
        <w:fldChar w:fldCharType="begin"/>
      </w:r>
      <w:r w:rsidRPr="00462868">
        <w:rPr>
          <w:rStyle w:val="af6"/>
          <w:rFonts w:eastAsia="Guttman Hodes"/>
          <w:rtl/>
        </w:rPr>
        <w:instrText xml:space="preserve"> </w:instrText>
      </w:r>
      <w:r w:rsidRPr="00462868">
        <w:rPr>
          <w:rStyle w:val="af6"/>
          <w:rFonts w:eastAsia="Guttman Hodes" w:hint="cs"/>
        </w:rPr>
        <w:instrText>REF</w:instrText>
      </w:r>
      <w:r w:rsidRPr="00462868">
        <w:rPr>
          <w:rStyle w:val="af6"/>
          <w:rFonts w:eastAsia="Guttman Hodes" w:hint="cs"/>
          <w:rtl/>
        </w:rPr>
        <w:instrText xml:space="preserve"> _</w:instrText>
      </w:r>
      <w:r w:rsidRPr="00462868">
        <w:rPr>
          <w:rStyle w:val="af6"/>
          <w:rFonts w:eastAsia="Guttman Hodes" w:hint="cs"/>
        </w:rPr>
        <w:instrText>Ref25525613 \r \h</w:instrText>
      </w:r>
      <w:r w:rsidRPr="00462868">
        <w:rPr>
          <w:rStyle w:val="af6"/>
          <w:rFonts w:eastAsia="Guttman Hodes"/>
          <w:rtl/>
        </w:rPr>
        <w:instrText xml:space="preserve"> </w:instrText>
      </w:r>
      <w:r w:rsidRPr="00462868">
        <w:rPr>
          <w:rStyle w:val="af6"/>
          <w:rFonts w:eastAsia="Guttman Hodes"/>
          <w:rtl/>
        </w:rPr>
      </w:r>
      <w:r w:rsidRPr="00462868">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462868">
        <w:rPr>
          <w:rStyle w:val="af6"/>
          <w:rFonts w:eastAsia="Guttman Hodes"/>
          <w:rtl/>
        </w:rPr>
        <w:fldChar w:fldCharType="end"/>
      </w:r>
      <w:r>
        <w:rPr>
          <w:rFonts w:hint="cs"/>
          <w:rtl/>
        </w:rPr>
        <w:t xml:space="preserve"> </w:t>
      </w:r>
      <w:r w:rsidRPr="00462868">
        <w:rPr>
          <w:rStyle w:val="af8"/>
          <w:rFonts w:hint="cs"/>
          <w:rtl/>
        </w:rPr>
        <w:t xml:space="preserve">והקוה"ע </w:t>
      </w:r>
      <w:r w:rsidRPr="00462868">
        <w:rPr>
          <w:rStyle w:val="af6"/>
          <w:rFonts w:eastAsia="Guttman Hodes" w:hint="cs"/>
          <w:rtl/>
        </w:rPr>
        <w:t xml:space="preserve">(עי' אות </w:t>
      </w:r>
      <w:r w:rsidRPr="00462868">
        <w:rPr>
          <w:rStyle w:val="af6"/>
          <w:rFonts w:eastAsia="Guttman Hodes"/>
          <w:rtl/>
        </w:rPr>
        <w:fldChar w:fldCharType="begin"/>
      </w:r>
      <w:r w:rsidRPr="00462868">
        <w:rPr>
          <w:rStyle w:val="af6"/>
          <w:rFonts w:eastAsia="Guttman Hodes"/>
          <w:rtl/>
        </w:rPr>
        <w:instrText xml:space="preserve"> </w:instrText>
      </w:r>
      <w:r w:rsidRPr="00462868">
        <w:rPr>
          <w:rStyle w:val="af6"/>
          <w:rFonts w:eastAsia="Guttman Hodes" w:hint="cs"/>
        </w:rPr>
        <w:instrText>REF</w:instrText>
      </w:r>
      <w:r w:rsidRPr="00462868">
        <w:rPr>
          <w:rStyle w:val="af6"/>
          <w:rFonts w:eastAsia="Guttman Hodes" w:hint="cs"/>
          <w:rtl/>
        </w:rPr>
        <w:instrText xml:space="preserve"> _</w:instrText>
      </w:r>
      <w:r w:rsidRPr="00462868">
        <w:rPr>
          <w:rStyle w:val="af6"/>
          <w:rFonts w:eastAsia="Guttman Hodes" w:hint="cs"/>
        </w:rPr>
        <w:instrText>Ref25524895 \r \h</w:instrText>
      </w:r>
      <w:r w:rsidRPr="00462868">
        <w:rPr>
          <w:rStyle w:val="af6"/>
          <w:rFonts w:eastAsia="Guttman Hodes"/>
          <w:rtl/>
        </w:rPr>
        <w:instrText xml:space="preserve"> </w:instrText>
      </w:r>
      <w:r w:rsidRPr="00462868">
        <w:rPr>
          <w:rStyle w:val="af6"/>
          <w:rFonts w:eastAsia="Guttman Hodes"/>
          <w:rtl/>
        </w:rPr>
      </w:r>
      <w:r w:rsidRPr="00462868">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462868">
        <w:rPr>
          <w:rStyle w:val="af6"/>
          <w:rFonts w:eastAsia="Guttman Hodes"/>
          <w:rtl/>
        </w:rPr>
        <w:fldChar w:fldCharType="end"/>
      </w:r>
      <w:r>
        <w:rPr>
          <w:rFonts w:hint="cs"/>
          <w:rtl/>
        </w:rPr>
        <w:t>].</w:t>
      </w:r>
      <w:bookmarkEnd w:id="14910"/>
    </w:p>
    <w:p w:rsidR="003A5D2C" w:rsidRPr="00926966" w:rsidRDefault="003A5D2C" w:rsidP="003A5D2C">
      <w:pPr>
        <w:pStyle w:val="a2"/>
        <w:rPr>
          <w:rtl/>
        </w:rPr>
      </w:pPr>
      <w:bookmarkStart w:id="14911" w:name="_Toc25488190"/>
      <w:bookmarkStart w:id="14912" w:name="_Toc25524633"/>
      <w:bookmarkStart w:id="14913" w:name="_Toc25536132"/>
      <w:bookmarkStart w:id="14914" w:name="_Toc25571182"/>
      <w:bookmarkStart w:id="14915" w:name="_Toc25572658"/>
      <w:bookmarkStart w:id="14916" w:name="_Toc25572901"/>
      <w:r>
        <w:rPr>
          <w:rFonts w:hint="cs"/>
          <w:rtl/>
        </w:rPr>
        <w:t>דברי הרא"ש דבאיסור כל שיש צד היתר מוכח דהאיסור נהפך להיתר והותר לגמרי</w:t>
      </w:r>
      <w:bookmarkEnd w:id="14911"/>
      <w:bookmarkEnd w:id="14912"/>
      <w:bookmarkEnd w:id="14913"/>
      <w:bookmarkEnd w:id="14914"/>
      <w:bookmarkEnd w:id="14915"/>
      <w:bookmarkEnd w:id="14916"/>
    </w:p>
    <w:p w:rsidR="003A5D2C" w:rsidRDefault="003A5D2C" w:rsidP="009F44AF">
      <w:pPr>
        <w:pStyle w:val="a"/>
        <w:rPr>
          <w:rtl/>
        </w:rPr>
      </w:pPr>
      <w:bookmarkStart w:id="14917" w:name="_Ref25492065"/>
      <w:bookmarkStart w:id="14918" w:name="_Ref25525182"/>
      <w:r>
        <w:rPr>
          <w:rFonts w:hint="cs"/>
          <w:rtl/>
        </w:rPr>
        <w:t xml:space="preserve">אבל לענין איסור כתב </w:t>
      </w:r>
      <w:r w:rsidRPr="005D4574">
        <w:rPr>
          <w:rStyle w:val="af8"/>
          <w:rFonts w:hint="cs"/>
          <w:rtl/>
        </w:rPr>
        <w:t>הרא"ש</w:t>
      </w:r>
      <w:r>
        <w:rPr>
          <w:rFonts w:hint="cs"/>
          <w:rtl/>
        </w:rPr>
        <w:t xml:space="preserve"> דכל שיש בתערובת צד אחד של איסור, אינו מותר באכילה כלל, ומהא דאמרה תורה אחרי רבים להטות, דהאיסור מתבטל ברוב, א"כ מוכח שהוא הותר לגמרי והמיעוט נעשה כמו הרוב, ולא נשאר בו שום איסור, ולכן מותר לאכול את כל התערובת בבת אחת, וכן מותר לחזור ולבשל את כל התערובת יחד.</w:t>
      </w:r>
      <w:bookmarkEnd w:id="14917"/>
      <w:r>
        <w:rPr>
          <w:rFonts w:hint="cs"/>
          <w:rtl/>
        </w:rPr>
        <w:t xml:space="preserve"> [ועי' במה שהקשה </w:t>
      </w:r>
      <w:r w:rsidRPr="00462868">
        <w:rPr>
          <w:rStyle w:val="af8"/>
          <w:rFonts w:hint="cs"/>
          <w:rtl/>
        </w:rPr>
        <w:t>השער"י</w:t>
      </w:r>
      <w:r>
        <w:rPr>
          <w:rFonts w:hint="cs"/>
          <w:rtl/>
        </w:rPr>
        <w:t xml:space="preserve"> </w:t>
      </w:r>
      <w:r w:rsidRPr="00462868">
        <w:rPr>
          <w:rStyle w:val="af6"/>
          <w:rFonts w:eastAsia="Guttman Hodes" w:hint="cs"/>
          <w:rtl/>
        </w:rPr>
        <w:t xml:space="preserve">(עי' אות </w:t>
      </w:r>
      <w:r w:rsidRPr="00462868">
        <w:rPr>
          <w:rStyle w:val="af6"/>
          <w:rFonts w:eastAsia="Guttman Hodes"/>
          <w:rtl/>
        </w:rPr>
        <w:fldChar w:fldCharType="begin"/>
      </w:r>
      <w:r w:rsidRPr="00462868">
        <w:rPr>
          <w:rStyle w:val="af6"/>
          <w:rFonts w:eastAsia="Guttman Hodes"/>
          <w:rtl/>
        </w:rPr>
        <w:instrText xml:space="preserve"> </w:instrText>
      </w:r>
      <w:r w:rsidRPr="00462868">
        <w:rPr>
          <w:rStyle w:val="af6"/>
          <w:rFonts w:eastAsia="Guttman Hodes" w:hint="cs"/>
        </w:rPr>
        <w:instrText>REF</w:instrText>
      </w:r>
      <w:r w:rsidRPr="00462868">
        <w:rPr>
          <w:rStyle w:val="af6"/>
          <w:rFonts w:eastAsia="Guttman Hodes" w:hint="cs"/>
          <w:rtl/>
        </w:rPr>
        <w:instrText xml:space="preserve"> _</w:instrText>
      </w:r>
      <w:r w:rsidRPr="00462868">
        <w:rPr>
          <w:rStyle w:val="af6"/>
          <w:rFonts w:eastAsia="Guttman Hodes" w:hint="cs"/>
        </w:rPr>
        <w:instrText>Ref25525707 \r \h</w:instrText>
      </w:r>
      <w:r w:rsidRPr="00462868">
        <w:rPr>
          <w:rStyle w:val="af6"/>
          <w:rFonts w:eastAsia="Guttman Hodes"/>
          <w:rtl/>
        </w:rPr>
        <w:instrText xml:space="preserve"> </w:instrText>
      </w:r>
      <w:r w:rsidRPr="00462868">
        <w:rPr>
          <w:rStyle w:val="af6"/>
          <w:rFonts w:eastAsia="Guttman Hodes"/>
          <w:rtl/>
        </w:rPr>
      </w:r>
      <w:r w:rsidRPr="00462868">
        <w:rPr>
          <w:rStyle w:val="af6"/>
          <w:rFonts w:eastAsia="Guttman Hodes"/>
          <w:rtl/>
        </w:rPr>
        <w:fldChar w:fldCharType="separate"/>
      </w:r>
      <w:r w:rsidR="004D1C5B">
        <w:rPr>
          <w:rStyle w:val="af6"/>
          <w:rFonts w:eastAsia="Guttman Hodes"/>
          <w:cs/>
        </w:rPr>
        <w:t>‎</w:t>
      </w:r>
      <w:r w:rsidR="004D1C5B">
        <w:rPr>
          <w:rStyle w:val="af6"/>
          <w:rFonts w:eastAsia="Guttman Hodes"/>
          <w:rtl/>
        </w:rPr>
        <w:t>סא)</w:t>
      </w:r>
      <w:r w:rsidRPr="00462868">
        <w:rPr>
          <w:rStyle w:val="af6"/>
          <w:rFonts w:eastAsia="Guttman Hodes"/>
          <w:rtl/>
        </w:rPr>
        <w:fldChar w:fldCharType="end"/>
      </w:r>
      <w:r>
        <w:rPr>
          <w:rFonts w:hint="cs"/>
          <w:rtl/>
        </w:rPr>
        <w:t xml:space="preserve"> ובמה שביאר </w:t>
      </w:r>
      <w:r w:rsidRPr="0065327F">
        <w:rPr>
          <w:rStyle w:val="af8"/>
          <w:rFonts w:hint="cs"/>
          <w:rtl/>
        </w:rPr>
        <w:t xml:space="preserve">הקה"י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Ref25508750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פח)</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0C0FD1">
        <w:rPr>
          <w:rStyle w:val="af8"/>
          <w:rFonts w:hint="cs"/>
          <w:rtl/>
        </w:rPr>
        <w:t>הרא"ש</w:t>
      </w:r>
      <w:r>
        <w:rPr>
          <w:rFonts w:hint="cs"/>
          <w:rtl/>
        </w:rPr>
        <w:t>].</w:t>
      </w:r>
      <w:bookmarkEnd w:id="14918"/>
    </w:p>
    <w:p w:rsidR="003A5D2C" w:rsidRPr="00926966" w:rsidRDefault="003A5D2C" w:rsidP="003A5D2C">
      <w:pPr>
        <w:pStyle w:val="a2"/>
        <w:rPr>
          <w:rtl/>
        </w:rPr>
      </w:pPr>
      <w:bookmarkStart w:id="14919" w:name="_Toc25488191"/>
      <w:bookmarkStart w:id="14920" w:name="_Toc25524634"/>
      <w:bookmarkStart w:id="14921" w:name="_Toc25536133"/>
      <w:bookmarkStart w:id="14922" w:name="_Toc25571183"/>
      <w:bookmarkStart w:id="14923" w:name="_Toc25572659"/>
      <w:bookmarkStart w:id="14924" w:name="_Toc25572902"/>
      <w:r>
        <w:rPr>
          <w:rFonts w:hint="cs"/>
          <w:rtl/>
        </w:rPr>
        <w:t>דברי הרא"ש דחוזר וניעור באיסור אינו מחמת שהוא כמאן דאיתא אלא דהוכר מכאן ולהבא</w:t>
      </w:r>
      <w:bookmarkEnd w:id="14919"/>
      <w:bookmarkEnd w:id="14920"/>
      <w:bookmarkEnd w:id="14921"/>
      <w:bookmarkEnd w:id="14922"/>
      <w:bookmarkEnd w:id="14923"/>
      <w:bookmarkEnd w:id="14924"/>
    </w:p>
    <w:p w:rsidR="003A5D2C" w:rsidRDefault="003A5D2C" w:rsidP="009F44AF">
      <w:pPr>
        <w:pStyle w:val="a"/>
        <w:rPr>
          <w:rtl/>
        </w:rPr>
      </w:pPr>
      <w:bookmarkStart w:id="14925" w:name="_Ref25438039"/>
      <w:r>
        <w:rPr>
          <w:rFonts w:hint="cs"/>
          <w:rtl/>
        </w:rPr>
        <w:t xml:space="preserve">והא דאמרינן באיסורים דחוזר וניעור, ביאר </w:t>
      </w:r>
      <w:r w:rsidRPr="005D4574">
        <w:rPr>
          <w:rStyle w:val="af8"/>
          <w:rFonts w:hint="cs"/>
          <w:rtl/>
        </w:rPr>
        <w:t>הרא"ש</w:t>
      </w:r>
      <w:r>
        <w:rPr>
          <w:rFonts w:hint="cs"/>
          <w:rtl/>
        </w:rPr>
        <w:t xml:space="preserve"> דאינו מחמת דהאיסור כמאן דאיתא כמבואר בגמ' בבכורות לענין טומאה, אלא דאף שהאיסור התבטל והותר לגמרי, מ"מ כשנוסף עליו עוד איסור חשיב שהוכר האיסור, וממילא אינו בטל ברוב, ולכן אף שעד עכשיו היה מותר לגמרי, מכאן ולהבא הוא חוזר ונאסר.</w:t>
      </w:r>
      <w:bookmarkEnd w:id="14925"/>
    </w:p>
    <w:p w:rsidR="003A5D2C" w:rsidRDefault="003A5D2C" w:rsidP="003A5D2C">
      <w:pPr>
        <w:pStyle w:val="afd"/>
        <w:rPr>
          <w:rtl/>
        </w:rPr>
      </w:pPr>
      <w:bookmarkStart w:id="14926" w:name="_Toc25488192"/>
      <w:bookmarkStart w:id="14927" w:name="_Toc25524635"/>
      <w:bookmarkStart w:id="14928" w:name="_Toc25536134"/>
      <w:bookmarkStart w:id="14929" w:name="_Toc25571184"/>
      <w:bookmarkStart w:id="14930" w:name="_Toc25572660"/>
      <w:bookmarkStart w:id="14931" w:name="_Toc25572903"/>
      <w:r>
        <w:rPr>
          <w:rFonts w:hint="cs"/>
          <w:rtl/>
        </w:rPr>
        <w:t>ביאורי האחרונים בדברי הרא"ש</w:t>
      </w:r>
      <w:bookmarkEnd w:id="14926"/>
      <w:bookmarkEnd w:id="14927"/>
      <w:bookmarkEnd w:id="14928"/>
      <w:bookmarkEnd w:id="14929"/>
      <w:bookmarkEnd w:id="14930"/>
      <w:bookmarkEnd w:id="14931"/>
    </w:p>
    <w:p w:rsidR="003A5D2C" w:rsidRDefault="003A5D2C" w:rsidP="003A5D2C">
      <w:pPr>
        <w:pStyle w:val="1"/>
        <w:rPr>
          <w:rtl/>
        </w:rPr>
      </w:pPr>
      <w:bookmarkStart w:id="14932" w:name="_Toc25488193"/>
      <w:bookmarkStart w:id="14933" w:name="_Toc25524636"/>
      <w:bookmarkStart w:id="14934" w:name="_Toc25536135"/>
      <w:bookmarkStart w:id="14935" w:name="_Toc25571185"/>
      <w:bookmarkStart w:id="14936" w:name="_Toc25572661"/>
      <w:bookmarkStart w:id="14937" w:name="_Toc25572904"/>
      <w:r>
        <w:rPr>
          <w:rFonts w:hint="cs"/>
          <w:rtl/>
        </w:rPr>
        <w:t>ביאור היד יהודה ברא"ש דחוזר וניעור לא דמי להוכר האיסור</w:t>
      </w:r>
      <w:bookmarkEnd w:id="14932"/>
      <w:bookmarkEnd w:id="14933"/>
      <w:bookmarkEnd w:id="14934"/>
      <w:bookmarkEnd w:id="14935"/>
      <w:bookmarkEnd w:id="14936"/>
      <w:bookmarkEnd w:id="14937"/>
    </w:p>
    <w:p w:rsidR="003A5D2C" w:rsidRDefault="003A5D2C" w:rsidP="003A5D2C">
      <w:pPr>
        <w:pStyle w:val="a2"/>
        <w:rPr>
          <w:rtl/>
        </w:rPr>
      </w:pPr>
      <w:bookmarkStart w:id="14938" w:name="_Toc25488194"/>
      <w:bookmarkStart w:id="14939" w:name="_Toc25524637"/>
      <w:bookmarkStart w:id="14940" w:name="_Toc25536136"/>
      <w:bookmarkStart w:id="14941" w:name="_Toc25571186"/>
      <w:bookmarkStart w:id="14942" w:name="_Toc25572662"/>
      <w:bookmarkStart w:id="14943" w:name="_Toc25572905"/>
      <w:r>
        <w:rPr>
          <w:rFonts w:hint="cs"/>
          <w:rtl/>
        </w:rPr>
        <w:t>ביאור היד יהודה ברא"ש דהוכר האיסור אסור למפרע אבל חוזר וניעור אסור רק מכאן ולהבא</w:t>
      </w:r>
      <w:bookmarkEnd w:id="14938"/>
      <w:bookmarkEnd w:id="14939"/>
      <w:bookmarkEnd w:id="14940"/>
      <w:bookmarkEnd w:id="14941"/>
      <w:bookmarkEnd w:id="14942"/>
      <w:bookmarkEnd w:id="14943"/>
    </w:p>
    <w:p w:rsidR="003A5D2C" w:rsidRPr="0037368F" w:rsidRDefault="003A5D2C" w:rsidP="009F44AF">
      <w:pPr>
        <w:pStyle w:val="a"/>
        <w:rPr>
          <w:rtl/>
        </w:rPr>
      </w:pPr>
      <w:bookmarkStart w:id="14944" w:name="_Ref25438118"/>
      <w:bookmarkStart w:id="14945" w:name="_Ref25570194"/>
      <w:r>
        <w:rPr>
          <w:rFonts w:hint="cs"/>
          <w:rtl/>
        </w:rPr>
        <w:t xml:space="preserve">כתב </w:t>
      </w:r>
      <w:r w:rsidRPr="00551B5A">
        <w:rPr>
          <w:rStyle w:val="af8"/>
          <w:rFonts w:hint="cs"/>
          <w:rtl/>
        </w:rPr>
        <w:t>היד יהודה</w:t>
      </w:r>
      <w:r>
        <w:rPr>
          <w:rFonts w:hint="cs"/>
          <w:rtl/>
        </w:rPr>
        <w:t xml:space="preserve"> </w:t>
      </w:r>
      <w:r w:rsidRPr="00551B5A">
        <w:rPr>
          <w:rStyle w:val="af6"/>
          <w:rFonts w:eastAsia="Guttman Hodes" w:hint="cs"/>
          <w:rtl/>
        </w:rPr>
        <w:t>(סי' צ"ב סק"ב ד"ה ולע"ד)</w:t>
      </w:r>
      <w:r>
        <w:rPr>
          <w:rFonts w:hint="cs"/>
          <w:rtl/>
        </w:rPr>
        <w:t xml:space="preserve"> דמ"ש </w:t>
      </w:r>
      <w:r w:rsidRPr="00551B5A">
        <w:rPr>
          <w:rStyle w:val="af8"/>
          <w:rFonts w:hint="cs"/>
          <w:rtl/>
        </w:rPr>
        <w:t>הרא"ש</w:t>
      </w:r>
      <w:r>
        <w:rPr>
          <w:rFonts w:hint="cs"/>
          <w:rtl/>
        </w:rPr>
        <w:t xml:space="preserve"> </w:t>
      </w:r>
      <w:r w:rsidRPr="00551B5A">
        <w:rPr>
          <w:rStyle w:val="af6"/>
          <w:rFonts w:eastAsia="Guttman Hodes" w:hint="cs"/>
          <w:rtl/>
        </w:rPr>
        <w:t xml:space="preserve">(עי' אות </w:t>
      </w:r>
      <w:r w:rsidRPr="00551B5A">
        <w:rPr>
          <w:rStyle w:val="af6"/>
          <w:rFonts w:eastAsia="Guttman Hodes"/>
          <w:rtl/>
        </w:rPr>
        <w:fldChar w:fldCharType="begin"/>
      </w:r>
      <w:r w:rsidRPr="00551B5A">
        <w:rPr>
          <w:rStyle w:val="af6"/>
          <w:rFonts w:eastAsia="Guttman Hodes"/>
          <w:rtl/>
        </w:rPr>
        <w:instrText xml:space="preserve"> </w:instrText>
      </w:r>
      <w:r w:rsidRPr="00551B5A">
        <w:rPr>
          <w:rStyle w:val="af6"/>
          <w:rFonts w:eastAsia="Guttman Hodes" w:hint="cs"/>
        </w:rPr>
        <w:instrText>REF</w:instrText>
      </w:r>
      <w:r w:rsidRPr="00551B5A">
        <w:rPr>
          <w:rStyle w:val="af6"/>
          <w:rFonts w:eastAsia="Guttman Hodes" w:hint="cs"/>
          <w:rtl/>
        </w:rPr>
        <w:instrText xml:space="preserve"> _</w:instrText>
      </w:r>
      <w:r w:rsidRPr="00551B5A">
        <w:rPr>
          <w:rStyle w:val="af6"/>
          <w:rFonts w:eastAsia="Guttman Hodes" w:hint="cs"/>
        </w:rPr>
        <w:instrText>Ref25438054 \r \h</w:instrText>
      </w:r>
      <w:r w:rsidRPr="00551B5A">
        <w:rPr>
          <w:rStyle w:val="af6"/>
          <w:rFonts w:eastAsia="Guttman Hodes"/>
          <w:rtl/>
        </w:rPr>
        <w:instrText xml:space="preserve"> </w:instrText>
      </w:r>
      <w:r w:rsidRPr="00551B5A">
        <w:rPr>
          <w:rStyle w:val="af6"/>
          <w:rFonts w:eastAsia="Guttman Hodes"/>
          <w:rtl/>
        </w:rPr>
      </w:r>
      <w:r w:rsidRPr="00551B5A">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551B5A">
        <w:rPr>
          <w:rStyle w:val="af6"/>
          <w:rFonts w:eastAsia="Guttman Hodes"/>
          <w:rtl/>
        </w:rPr>
        <w:fldChar w:fldCharType="end"/>
      </w:r>
      <w:r>
        <w:rPr>
          <w:rFonts w:hint="cs"/>
          <w:rtl/>
        </w:rPr>
        <w:t xml:space="preserve"> דחוזר וניעור חשיב כהוכר האיסור, אין כוונתו דהוא ממש כמו הוכר האיסור, דהרי באיסור שבטל ואח"כ הכיר בו ע"י שמצא סימן שהיה לו באיסור, או שבאו אחרים שידעו להכיר את האיסור, דודאי שהוא אסור אף למפרע, דהתברר שאינו בטל ברוב, אבל בחוזר וניעור, הרי כתב </w:t>
      </w:r>
      <w:r w:rsidRPr="00551B5A">
        <w:rPr>
          <w:rStyle w:val="af8"/>
          <w:rFonts w:hint="cs"/>
          <w:rtl/>
        </w:rPr>
        <w:t>הרא"ש</w:t>
      </w:r>
      <w:r>
        <w:rPr>
          <w:rFonts w:hint="cs"/>
          <w:rtl/>
        </w:rPr>
        <w:t xml:space="preserve"> </w:t>
      </w:r>
      <w:r w:rsidRPr="00551B5A">
        <w:rPr>
          <w:rStyle w:val="af6"/>
          <w:rFonts w:eastAsia="Guttman Hodes" w:hint="cs"/>
          <w:rtl/>
        </w:rPr>
        <w:t xml:space="preserve">(עי' אות </w:t>
      </w:r>
      <w:r w:rsidRPr="00551B5A">
        <w:rPr>
          <w:rStyle w:val="af6"/>
          <w:rFonts w:eastAsia="Guttman Hodes"/>
          <w:rtl/>
        </w:rPr>
        <w:fldChar w:fldCharType="begin"/>
      </w:r>
      <w:r w:rsidRPr="00551B5A">
        <w:rPr>
          <w:rStyle w:val="af6"/>
          <w:rFonts w:eastAsia="Guttman Hodes"/>
          <w:rtl/>
        </w:rPr>
        <w:instrText xml:space="preserve"> </w:instrText>
      </w:r>
      <w:r w:rsidRPr="00551B5A">
        <w:rPr>
          <w:rStyle w:val="af6"/>
          <w:rFonts w:eastAsia="Guttman Hodes" w:hint="cs"/>
        </w:rPr>
        <w:instrText>REF</w:instrText>
      </w:r>
      <w:r w:rsidRPr="00551B5A">
        <w:rPr>
          <w:rStyle w:val="af6"/>
          <w:rFonts w:eastAsia="Guttman Hodes" w:hint="cs"/>
          <w:rtl/>
        </w:rPr>
        <w:instrText xml:space="preserve"> _</w:instrText>
      </w:r>
      <w:r w:rsidRPr="00551B5A">
        <w:rPr>
          <w:rStyle w:val="af6"/>
          <w:rFonts w:eastAsia="Guttman Hodes" w:hint="cs"/>
        </w:rPr>
        <w:instrText>Ref25438039 \r \h</w:instrText>
      </w:r>
      <w:r w:rsidRPr="00551B5A">
        <w:rPr>
          <w:rStyle w:val="af6"/>
          <w:rFonts w:eastAsia="Guttman Hodes"/>
          <w:rtl/>
        </w:rPr>
        <w:instrText xml:space="preserve"> </w:instrText>
      </w:r>
      <w:r w:rsidRPr="00551B5A">
        <w:rPr>
          <w:rStyle w:val="af6"/>
          <w:rFonts w:eastAsia="Guttman Hodes"/>
          <w:rtl/>
        </w:rPr>
      </w:r>
      <w:r w:rsidRPr="00551B5A">
        <w:rPr>
          <w:rStyle w:val="af6"/>
          <w:rFonts w:eastAsia="Guttman Hodes"/>
          <w:rtl/>
        </w:rPr>
        <w:fldChar w:fldCharType="separate"/>
      </w:r>
      <w:r w:rsidR="004D1C5B">
        <w:rPr>
          <w:rStyle w:val="af6"/>
          <w:rFonts w:eastAsia="Guttman Hodes"/>
          <w:cs/>
        </w:rPr>
        <w:t>‎</w:t>
      </w:r>
      <w:r w:rsidR="004D1C5B">
        <w:rPr>
          <w:rStyle w:val="af6"/>
          <w:rFonts w:eastAsia="Guttman Hodes"/>
          <w:rtl/>
        </w:rPr>
        <w:t>יח)</w:t>
      </w:r>
      <w:r w:rsidRPr="00551B5A">
        <w:rPr>
          <w:rStyle w:val="af6"/>
          <w:rFonts w:eastAsia="Guttman Hodes"/>
          <w:rtl/>
        </w:rPr>
        <w:fldChar w:fldCharType="end"/>
      </w:r>
      <w:r>
        <w:rPr>
          <w:rFonts w:hint="cs"/>
          <w:rtl/>
        </w:rPr>
        <w:t xml:space="preserve"> דהוא נאסר רק מכאן ולהבא, אבל למפרע הותר האיסור לגמרי.</w:t>
      </w:r>
      <w:bookmarkEnd w:id="14944"/>
      <w:r>
        <w:rPr>
          <w:rFonts w:hint="cs"/>
          <w:rtl/>
        </w:rPr>
        <w:t xml:space="preserve"> [אמנם יעוי' בדברי </w:t>
      </w:r>
      <w:r w:rsidRPr="003E12C2">
        <w:rPr>
          <w:rStyle w:val="af8"/>
          <w:rFonts w:hint="cs"/>
          <w:rtl/>
        </w:rPr>
        <w:t>החלקת יואב</w:t>
      </w:r>
      <w:r w:rsidRPr="00131E5B">
        <w:rPr>
          <w:rStyle w:val="af6"/>
          <w:rFonts w:eastAsia="Guttman Hodes" w:hint="cs"/>
          <w:rtl/>
        </w:rPr>
        <w:t xml:space="preserve"> (מהדו"ת סי' ט"ז ד"ה אולם באמת)</w:t>
      </w:r>
      <w:r>
        <w:rPr>
          <w:rFonts w:hint="cs"/>
          <w:rtl/>
        </w:rPr>
        <w:t xml:space="preserve"> דכתב דמדדימה </w:t>
      </w:r>
      <w:r w:rsidRPr="00131E5B">
        <w:rPr>
          <w:rStyle w:val="af8"/>
          <w:rFonts w:hint="cs"/>
          <w:rtl/>
        </w:rPr>
        <w:t>הרא"ש</w:t>
      </w:r>
      <w:r>
        <w:rPr>
          <w:rFonts w:hint="cs"/>
          <w:rtl/>
        </w:rPr>
        <w:t xml:space="preserve"> חוזר וניעור להוכר האיסור, מוכח דאף בהוכר האיסור מותר למפרע].</w:t>
      </w:r>
      <w:bookmarkEnd w:id="14945"/>
    </w:p>
    <w:p w:rsidR="003A5D2C" w:rsidRDefault="003A5D2C" w:rsidP="003A5D2C">
      <w:pPr>
        <w:pStyle w:val="1"/>
        <w:rPr>
          <w:rtl/>
        </w:rPr>
      </w:pPr>
      <w:bookmarkStart w:id="14946" w:name="_Toc25184786"/>
      <w:bookmarkStart w:id="14947" w:name="_Toc25317255"/>
      <w:bookmarkStart w:id="14948" w:name="_Toc25488195"/>
      <w:bookmarkStart w:id="14949" w:name="_Toc25524638"/>
      <w:bookmarkStart w:id="14950" w:name="_Toc25536137"/>
      <w:bookmarkStart w:id="14951" w:name="_Toc25571187"/>
      <w:bookmarkStart w:id="14952" w:name="_Toc25572663"/>
      <w:bookmarkStart w:id="14953" w:name="_Toc25572906"/>
      <w:r>
        <w:rPr>
          <w:rFonts w:hint="cs"/>
          <w:rtl/>
        </w:rPr>
        <w:lastRenderedPageBreak/>
        <w:t>ביאור ה</w:t>
      </w:r>
      <w:r w:rsidR="00250230">
        <w:rPr>
          <w:rFonts w:hint="cs"/>
          <w:rtl/>
        </w:rPr>
        <w:t>פלתי</w:t>
      </w:r>
      <w:bookmarkEnd w:id="14946"/>
      <w:bookmarkEnd w:id="14947"/>
      <w:r>
        <w:rPr>
          <w:rFonts w:hint="cs"/>
          <w:rtl/>
        </w:rPr>
        <w:t xml:space="preserve"> ברא"ש דבמקום שאין חוזר וניעור פרח האיסור</w:t>
      </w:r>
      <w:bookmarkEnd w:id="14948"/>
      <w:bookmarkEnd w:id="14949"/>
      <w:bookmarkEnd w:id="14950"/>
      <w:bookmarkEnd w:id="14951"/>
      <w:bookmarkEnd w:id="14952"/>
      <w:bookmarkEnd w:id="14953"/>
    </w:p>
    <w:p w:rsidR="003A5D2C" w:rsidRPr="00926966" w:rsidRDefault="003A5D2C" w:rsidP="003A5D2C">
      <w:pPr>
        <w:pStyle w:val="a2"/>
        <w:rPr>
          <w:rtl/>
        </w:rPr>
      </w:pPr>
      <w:bookmarkStart w:id="14954" w:name="_Toc25488196"/>
      <w:bookmarkStart w:id="14955" w:name="_Toc25524639"/>
      <w:bookmarkStart w:id="14956" w:name="_Toc25536138"/>
      <w:bookmarkStart w:id="14957" w:name="_Toc25571188"/>
      <w:bookmarkStart w:id="14958" w:name="_Toc25572664"/>
      <w:bookmarkStart w:id="14959" w:name="_Toc25572907"/>
      <w:r>
        <w:rPr>
          <w:rFonts w:hint="cs"/>
          <w:rtl/>
        </w:rPr>
        <w:t>קושית ה</w:t>
      </w:r>
      <w:r w:rsidR="00250230">
        <w:rPr>
          <w:rFonts w:hint="cs"/>
          <w:rtl/>
        </w:rPr>
        <w:t>פלתי</w:t>
      </w:r>
      <w:r>
        <w:rPr>
          <w:rFonts w:hint="cs"/>
          <w:rtl/>
        </w:rPr>
        <w:t xml:space="preserve"> בסתירת דברי הרא"ש אי ההרמה בתרומה גורמת איסור או לא</w:t>
      </w:r>
      <w:bookmarkEnd w:id="14954"/>
      <w:bookmarkEnd w:id="14955"/>
      <w:bookmarkEnd w:id="14956"/>
      <w:bookmarkEnd w:id="14957"/>
      <w:bookmarkEnd w:id="14958"/>
      <w:bookmarkEnd w:id="14959"/>
    </w:p>
    <w:p w:rsidR="003A5D2C" w:rsidRPr="009D0D3B" w:rsidRDefault="003A5D2C" w:rsidP="009F44AF">
      <w:pPr>
        <w:pStyle w:val="a"/>
        <w:rPr>
          <w:rtl/>
        </w:rPr>
      </w:pPr>
      <w:bookmarkStart w:id="14960" w:name="_Ref25572503"/>
      <w:r>
        <w:rPr>
          <w:rFonts w:hint="cs"/>
          <w:rtl/>
        </w:rPr>
        <w:t xml:space="preserve">הקשה </w:t>
      </w:r>
      <w:r w:rsidRPr="006105CD">
        <w:rPr>
          <w:rStyle w:val="af8"/>
          <w:rFonts w:hint="cs"/>
          <w:rtl/>
        </w:rPr>
        <w:t>ה</w:t>
      </w:r>
      <w:r w:rsidR="00250230">
        <w:rPr>
          <w:rStyle w:val="af8"/>
          <w:rFonts w:hint="cs"/>
          <w:rtl/>
        </w:rPr>
        <w:t>פלתי</w:t>
      </w:r>
      <w:r>
        <w:rPr>
          <w:rFonts w:hint="cs"/>
          <w:rtl/>
        </w:rPr>
        <w:t xml:space="preserve"> </w:t>
      </w:r>
      <w:r w:rsidRPr="00672991">
        <w:rPr>
          <w:rStyle w:val="af6"/>
          <w:rFonts w:eastAsia="Guttman Hodes" w:hint="cs"/>
          <w:rtl/>
        </w:rPr>
        <w:t>(סי' צ"ט סקי"ב ד"ה איברא בדברי הרא"ש)</w:t>
      </w:r>
      <w:r>
        <w:rPr>
          <w:rFonts w:hint="cs"/>
          <w:rtl/>
        </w:rPr>
        <w:t xml:space="preserve"> דמה שביאר </w:t>
      </w:r>
      <w:r w:rsidRPr="006105CD">
        <w:rPr>
          <w:rStyle w:val="af8"/>
          <w:rFonts w:hint="cs"/>
          <w:rtl/>
        </w:rPr>
        <w:t>הרא"ש</w:t>
      </w:r>
      <w:r>
        <w:rPr>
          <w:rFonts w:hint="cs"/>
          <w:rtl/>
        </w:rPr>
        <w:t xml:space="preserve"> </w:t>
      </w:r>
      <w:r w:rsidRPr="00F419C5">
        <w:rPr>
          <w:rStyle w:val="af6"/>
          <w:rFonts w:eastAsia="Guttman Hodes" w:hint="cs"/>
          <w:rtl/>
        </w:rPr>
        <w:t xml:space="preserve">(עי' אות </w:t>
      </w:r>
      <w:r w:rsidRPr="00F419C5">
        <w:rPr>
          <w:rStyle w:val="af6"/>
          <w:rFonts w:eastAsia="Guttman Hodes"/>
          <w:rtl/>
        </w:rPr>
        <w:fldChar w:fldCharType="begin"/>
      </w:r>
      <w:r w:rsidRPr="00F419C5">
        <w:rPr>
          <w:rStyle w:val="af6"/>
          <w:rFonts w:eastAsia="Guttman Hodes"/>
          <w:rtl/>
        </w:rPr>
        <w:instrText xml:space="preserve"> </w:instrText>
      </w:r>
      <w:r w:rsidRPr="00F419C5">
        <w:rPr>
          <w:rStyle w:val="af6"/>
          <w:rFonts w:eastAsia="Guttman Hodes" w:hint="cs"/>
        </w:rPr>
        <w:instrText>REF</w:instrText>
      </w:r>
      <w:r w:rsidRPr="00F419C5">
        <w:rPr>
          <w:rStyle w:val="af6"/>
          <w:rFonts w:eastAsia="Guttman Hodes" w:hint="cs"/>
          <w:rtl/>
        </w:rPr>
        <w:instrText xml:space="preserve"> _</w:instrText>
      </w:r>
      <w:r w:rsidRPr="00F419C5">
        <w:rPr>
          <w:rStyle w:val="af6"/>
          <w:rFonts w:eastAsia="Guttman Hodes" w:hint="cs"/>
        </w:rPr>
        <w:instrText>Ref25477166 \r \h</w:instrText>
      </w:r>
      <w:r w:rsidRPr="00F419C5">
        <w:rPr>
          <w:rStyle w:val="af6"/>
          <w:rFonts w:eastAsia="Guttman Hodes"/>
          <w:rtl/>
        </w:rPr>
        <w:instrText xml:space="preserve"> </w:instrText>
      </w:r>
      <w:r w:rsidRPr="00F419C5">
        <w:rPr>
          <w:rStyle w:val="af6"/>
          <w:rFonts w:eastAsia="Guttman Hodes"/>
          <w:rtl/>
        </w:rPr>
      </w:r>
      <w:r w:rsidRPr="00F419C5">
        <w:rPr>
          <w:rStyle w:val="af6"/>
          <w:rFonts w:eastAsia="Guttman Hodes"/>
          <w:rtl/>
        </w:rPr>
        <w:fldChar w:fldCharType="separate"/>
      </w:r>
      <w:r w:rsidR="004D1C5B">
        <w:rPr>
          <w:rStyle w:val="af6"/>
          <w:rFonts w:eastAsia="Guttman Hodes"/>
          <w:cs/>
        </w:rPr>
        <w:t>‎</w:t>
      </w:r>
      <w:r w:rsidR="004D1C5B">
        <w:rPr>
          <w:rStyle w:val="af6"/>
          <w:rFonts w:eastAsia="Guttman Hodes"/>
          <w:rtl/>
        </w:rPr>
        <w:t>ה)</w:t>
      </w:r>
      <w:r w:rsidRPr="00F419C5">
        <w:rPr>
          <w:rStyle w:val="af6"/>
          <w:rFonts w:eastAsia="Guttman Hodes"/>
          <w:rtl/>
        </w:rPr>
        <w:fldChar w:fldCharType="end"/>
      </w:r>
      <w:r w:rsidRPr="00F419C5">
        <w:rPr>
          <w:rStyle w:val="af6"/>
          <w:rFonts w:eastAsia="Guttman Hodes" w:hint="cs"/>
          <w:rtl/>
        </w:rPr>
        <w:t xml:space="preserve"> </w:t>
      </w:r>
      <w:r>
        <w:rPr>
          <w:rFonts w:hint="cs"/>
          <w:rtl/>
        </w:rPr>
        <w:t xml:space="preserve">במשנה בתרומה דלכו"ע אמרינן דחוזר וניעור, והא דצריך הרמה רק מחמת גזל השבט, אך ההרמה אינה מעכבת את הביטול, והרי בתחילת דבריו הביא </w:t>
      </w:r>
      <w:r w:rsidRPr="006105CD">
        <w:rPr>
          <w:rStyle w:val="af8"/>
          <w:rFonts w:hint="cs"/>
          <w:rtl/>
        </w:rPr>
        <w:t>הרא"ש</w:t>
      </w:r>
      <w:r>
        <w:rPr>
          <w:rFonts w:hint="cs"/>
          <w:rtl/>
        </w:rPr>
        <w:t xml:space="preserve"> </w:t>
      </w:r>
      <w:r w:rsidRPr="00F419C5">
        <w:rPr>
          <w:rStyle w:val="af6"/>
          <w:rFonts w:eastAsia="Guttman Hodes" w:hint="cs"/>
          <w:rtl/>
        </w:rPr>
        <w:t>(הובא בסימן י"ח אות ל"</w:t>
      </w:r>
      <w:r>
        <w:rPr>
          <w:rStyle w:val="af6"/>
          <w:rFonts w:eastAsia="Guttman Hodes" w:hint="cs"/>
          <w:rtl/>
        </w:rPr>
        <w:t>ד</w:t>
      </w:r>
      <w:r w:rsidRPr="00F419C5">
        <w:rPr>
          <w:rStyle w:val="af6"/>
          <w:rFonts w:eastAsia="Guttman Hodes" w:hint="cs"/>
          <w:rtl/>
        </w:rPr>
        <w:t xml:space="preserve">) </w:t>
      </w:r>
      <w:r>
        <w:rPr>
          <w:rFonts w:hint="cs"/>
          <w:rtl/>
        </w:rPr>
        <w:t xml:space="preserve">ראיה מהמשנה בתרומה שיש חילוק בין אם נודע לו לפני הביטול לנודע לו לאחר הביטול, </w:t>
      </w:r>
      <w:r w:rsidRPr="007D1590">
        <w:rPr>
          <w:rFonts w:hint="cs"/>
          <w:rtl/>
        </w:rPr>
        <w:t xml:space="preserve">דמדברי ר"ש בתרומה שצריך להרים את הסאה שנפלה, נלמד לדעת רבנן בשאר איסורים שא"צ להרים את האיסור, שהידיעה על נפילת </w:t>
      </w:r>
      <w:r w:rsidRPr="009D0D3B">
        <w:rPr>
          <w:rFonts w:hint="cs"/>
          <w:rtl/>
        </w:rPr>
        <w:t xml:space="preserve">האיסור להיתר היא גורמת את ההיתר, בביטול ברוב, והקשה </w:t>
      </w:r>
      <w:r w:rsidRPr="009D0D3B">
        <w:rPr>
          <w:rStyle w:val="af8"/>
          <w:rFonts w:hint="cs"/>
          <w:rtl/>
        </w:rPr>
        <w:t>ה</w:t>
      </w:r>
      <w:r w:rsidR="00250230">
        <w:rPr>
          <w:rStyle w:val="af8"/>
          <w:rFonts w:hint="cs"/>
          <w:rtl/>
        </w:rPr>
        <w:t>פלתי</w:t>
      </w:r>
      <w:r w:rsidRPr="009D0D3B">
        <w:rPr>
          <w:rFonts w:hint="cs"/>
          <w:rtl/>
        </w:rPr>
        <w:t xml:space="preserve"> דהרי לדברי </w:t>
      </w:r>
      <w:r w:rsidRPr="009D0D3B">
        <w:rPr>
          <w:rStyle w:val="af8"/>
          <w:rFonts w:hint="cs"/>
          <w:rtl/>
        </w:rPr>
        <w:t>הרא"ש</w:t>
      </w:r>
      <w:r w:rsidRPr="009D0D3B">
        <w:rPr>
          <w:rFonts w:hint="cs"/>
          <w:rtl/>
        </w:rPr>
        <w:t xml:space="preserve"> כל ההרמה היא רק מחמת ממון השבט, וא"כ אינו שייך לדין נודעה התערובת כלל. [ו</w:t>
      </w:r>
      <w:r>
        <w:rPr>
          <w:rFonts w:hint="cs"/>
          <w:rtl/>
        </w:rPr>
        <w:t xml:space="preserve">עי' במה שתירצו </w:t>
      </w:r>
      <w:r w:rsidRPr="009D0D3B">
        <w:rPr>
          <w:rStyle w:val="af8"/>
          <w:rFonts w:hint="cs"/>
          <w:rtl/>
        </w:rPr>
        <w:t>השער"י</w:t>
      </w:r>
      <w:r>
        <w:rPr>
          <w:rFonts w:hint="cs"/>
          <w:rtl/>
        </w:rPr>
        <w:t xml:space="preserve"> </w:t>
      </w:r>
      <w:r w:rsidRPr="009D0D3B">
        <w:rPr>
          <w:rStyle w:val="af6"/>
          <w:rFonts w:eastAsia="Guttman Hodes" w:hint="cs"/>
          <w:rtl/>
        </w:rPr>
        <w:t xml:space="preserve">(עי' אות </w:t>
      </w:r>
      <w:r w:rsidRPr="009D0D3B">
        <w:rPr>
          <w:rStyle w:val="af6"/>
          <w:rFonts w:eastAsia="Guttman Hodes"/>
          <w:rtl/>
        </w:rPr>
        <w:fldChar w:fldCharType="begin"/>
      </w:r>
      <w:r w:rsidRPr="009D0D3B">
        <w:rPr>
          <w:rStyle w:val="af6"/>
          <w:rFonts w:eastAsia="Guttman Hodes"/>
          <w:rtl/>
        </w:rPr>
        <w:instrText xml:space="preserve"> </w:instrText>
      </w:r>
      <w:r w:rsidRPr="009D0D3B">
        <w:rPr>
          <w:rStyle w:val="af6"/>
          <w:rFonts w:eastAsia="Guttman Hodes" w:hint="cs"/>
        </w:rPr>
        <w:instrText>REF</w:instrText>
      </w:r>
      <w:r w:rsidRPr="009D0D3B">
        <w:rPr>
          <w:rStyle w:val="af6"/>
          <w:rFonts w:eastAsia="Guttman Hodes" w:hint="cs"/>
          <w:rtl/>
        </w:rPr>
        <w:instrText xml:space="preserve"> _</w:instrText>
      </w:r>
      <w:r w:rsidRPr="009D0D3B">
        <w:rPr>
          <w:rStyle w:val="af6"/>
          <w:rFonts w:eastAsia="Guttman Hodes" w:hint="cs"/>
        </w:rPr>
        <w:instrText>Ref25572471 \r \h</w:instrText>
      </w:r>
      <w:r w:rsidRPr="009D0D3B">
        <w:rPr>
          <w:rStyle w:val="af6"/>
          <w:rFonts w:eastAsia="Guttman Hodes"/>
          <w:rtl/>
        </w:rPr>
        <w:instrText xml:space="preserve"> </w:instrText>
      </w:r>
      <w:r w:rsidRPr="009D0D3B">
        <w:rPr>
          <w:rStyle w:val="af6"/>
          <w:rFonts w:eastAsia="Guttman Hodes"/>
          <w:rtl/>
        </w:rPr>
      </w:r>
      <w:r w:rsidRPr="009D0D3B">
        <w:rPr>
          <w:rStyle w:val="af6"/>
          <w:rFonts w:eastAsia="Guttman Hodes"/>
          <w:rtl/>
        </w:rPr>
        <w:fldChar w:fldCharType="separate"/>
      </w:r>
      <w:r w:rsidR="004D1C5B">
        <w:rPr>
          <w:rStyle w:val="af6"/>
          <w:rFonts w:eastAsia="Guttman Hodes"/>
          <w:cs/>
        </w:rPr>
        <w:t>‎</w:t>
      </w:r>
      <w:r w:rsidR="004D1C5B">
        <w:rPr>
          <w:rStyle w:val="af6"/>
          <w:rFonts w:eastAsia="Guttman Hodes"/>
          <w:rtl/>
        </w:rPr>
        <w:t>נז)</w:t>
      </w:r>
      <w:r w:rsidRPr="009D0D3B">
        <w:rPr>
          <w:rStyle w:val="af6"/>
          <w:rFonts w:eastAsia="Guttman Hodes"/>
          <w:rtl/>
        </w:rPr>
        <w:fldChar w:fldCharType="end"/>
      </w:r>
      <w:r>
        <w:rPr>
          <w:rFonts w:hint="cs"/>
          <w:rtl/>
        </w:rPr>
        <w:t xml:space="preserve"> </w:t>
      </w:r>
      <w:r w:rsidRPr="009D0D3B">
        <w:rPr>
          <w:rStyle w:val="af8"/>
          <w:rFonts w:hint="cs"/>
          <w:rtl/>
        </w:rPr>
        <w:t>והמשנת ר"א</w:t>
      </w:r>
      <w:r>
        <w:rPr>
          <w:rFonts w:hint="cs"/>
          <w:rtl/>
        </w:rPr>
        <w:t xml:space="preserve"> </w:t>
      </w:r>
      <w:r w:rsidRPr="009D0D3B">
        <w:rPr>
          <w:rStyle w:val="af6"/>
          <w:rFonts w:eastAsia="Guttman Hodes" w:hint="cs"/>
          <w:rtl/>
        </w:rPr>
        <w:t xml:space="preserve">(עי' אות </w:t>
      </w:r>
      <w:r w:rsidRPr="009D0D3B">
        <w:rPr>
          <w:rStyle w:val="af6"/>
          <w:rFonts w:eastAsia="Guttman Hodes"/>
          <w:rtl/>
        </w:rPr>
        <w:fldChar w:fldCharType="begin"/>
      </w:r>
      <w:r w:rsidRPr="009D0D3B">
        <w:rPr>
          <w:rStyle w:val="af6"/>
          <w:rFonts w:eastAsia="Guttman Hodes"/>
          <w:rtl/>
        </w:rPr>
        <w:instrText xml:space="preserve"> </w:instrText>
      </w:r>
      <w:r w:rsidRPr="009D0D3B">
        <w:rPr>
          <w:rStyle w:val="af6"/>
          <w:rFonts w:eastAsia="Guttman Hodes" w:hint="cs"/>
        </w:rPr>
        <w:instrText>REF</w:instrText>
      </w:r>
      <w:r w:rsidRPr="009D0D3B">
        <w:rPr>
          <w:rStyle w:val="af6"/>
          <w:rFonts w:eastAsia="Guttman Hodes" w:hint="cs"/>
          <w:rtl/>
        </w:rPr>
        <w:instrText xml:space="preserve"> _</w:instrText>
      </w:r>
      <w:r w:rsidRPr="009D0D3B">
        <w:rPr>
          <w:rStyle w:val="af6"/>
          <w:rFonts w:eastAsia="Guttman Hodes" w:hint="cs"/>
        </w:rPr>
        <w:instrText>Ref25572478 \r \h</w:instrText>
      </w:r>
      <w:r w:rsidRPr="009D0D3B">
        <w:rPr>
          <w:rStyle w:val="af6"/>
          <w:rFonts w:eastAsia="Guttman Hodes"/>
          <w:rtl/>
        </w:rPr>
        <w:instrText xml:space="preserve"> </w:instrText>
      </w:r>
      <w:r w:rsidRPr="009D0D3B">
        <w:rPr>
          <w:rStyle w:val="af6"/>
          <w:rFonts w:eastAsia="Guttman Hodes"/>
          <w:rtl/>
        </w:rPr>
      </w:r>
      <w:r w:rsidRPr="009D0D3B">
        <w:rPr>
          <w:rStyle w:val="af6"/>
          <w:rFonts w:eastAsia="Guttman Hodes"/>
          <w:rtl/>
        </w:rPr>
        <w:fldChar w:fldCharType="separate"/>
      </w:r>
      <w:r w:rsidR="004D1C5B">
        <w:rPr>
          <w:rStyle w:val="af6"/>
          <w:rFonts w:eastAsia="Guttman Hodes"/>
          <w:cs/>
        </w:rPr>
        <w:t>‎</w:t>
      </w:r>
      <w:r w:rsidR="004D1C5B">
        <w:rPr>
          <w:rStyle w:val="af6"/>
          <w:rFonts w:eastAsia="Guttman Hodes"/>
          <w:rtl/>
        </w:rPr>
        <w:t>נח)</w:t>
      </w:r>
      <w:r w:rsidRPr="009D0D3B">
        <w:rPr>
          <w:rStyle w:val="af6"/>
          <w:rFonts w:eastAsia="Guttman Hodes"/>
          <w:rtl/>
        </w:rPr>
        <w:fldChar w:fldCharType="end"/>
      </w:r>
      <w:r w:rsidRPr="009D0D3B">
        <w:rPr>
          <w:rFonts w:hint="cs"/>
          <w:rtl/>
        </w:rPr>
        <w:t>].</w:t>
      </w:r>
      <w:bookmarkEnd w:id="14960"/>
    </w:p>
    <w:p w:rsidR="003A5D2C" w:rsidRPr="00926966" w:rsidRDefault="003A5D2C" w:rsidP="003A5D2C">
      <w:pPr>
        <w:pStyle w:val="a2"/>
        <w:rPr>
          <w:rtl/>
        </w:rPr>
      </w:pPr>
      <w:bookmarkStart w:id="14961" w:name="_Toc25488197"/>
      <w:bookmarkStart w:id="14962" w:name="_Toc25524640"/>
      <w:bookmarkStart w:id="14963" w:name="_Toc25536139"/>
      <w:bookmarkStart w:id="14964" w:name="_Toc25571189"/>
      <w:bookmarkStart w:id="14965" w:name="_Toc25572665"/>
      <w:bookmarkStart w:id="14966" w:name="_Toc25572908"/>
      <w:r>
        <w:rPr>
          <w:rFonts w:hint="cs"/>
          <w:rtl/>
        </w:rPr>
        <w:t>ביאור ה</w:t>
      </w:r>
      <w:r w:rsidR="00250230">
        <w:rPr>
          <w:rFonts w:hint="cs"/>
          <w:rtl/>
        </w:rPr>
        <w:t>פלתי</w:t>
      </w:r>
      <w:r>
        <w:rPr>
          <w:rFonts w:hint="cs"/>
          <w:rtl/>
        </w:rPr>
        <w:t xml:space="preserve"> ברא"ש דבמקום שלא אמרינן חוזר וניעור פרח האיסור לגמרי</w:t>
      </w:r>
      <w:bookmarkEnd w:id="14961"/>
      <w:bookmarkEnd w:id="14962"/>
      <w:bookmarkEnd w:id="14963"/>
      <w:bookmarkEnd w:id="14964"/>
      <w:bookmarkEnd w:id="14965"/>
      <w:bookmarkEnd w:id="14966"/>
    </w:p>
    <w:p w:rsidR="003A5D2C" w:rsidRDefault="003A5D2C" w:rsidP="009F44AF">
      <w:pPr>
        <w:pStyle w:val="a"/>
        <w:rPr>
          <w:rtl/>
        </w:rPr>
      </w:pPr>
      <w:r w:rsidRPr="00C22420">
        <w:rPr>
          <w:rFonts w:hint="cs"/>
          <w:rtl/>
        </w:rPr>
        <w:t xml:space="preserve">ותירץ </w:t>
      </w:r>
      <w:r w:rsidRPr="006105CD">
        <w:rPr>
          <w:rStyle w:val="af8"/>
          <w:rFonts w:hint="cs"/>
          <w:rtl/>
        </w:rPr>
        <w:t>ה</w:t>
      </w:r>
      <w:r w:rsidR="00250230">
        <w:rPr>
          <w:rStyle w:val="af8"/>
          <w:rFonts w:hint="cs"/>
          <w:rtl/>
        </w:rPr>
        <w:t>פלתי</w:t>
      </w:r>
      <w:r w:rsidRPr="00C22420">
        <w:rPr>
          <w:rFonts w:hint="cs"/>
          <w:rtl/>
        </w:rPr>
        <w:t xml:space="preserve"> דמ"ש </w:t>
      </w:r>
      <w:r w:rsidRPr="006105CD">
        <w:rPr>
          <w:rStyle w:val="af8"/>
          <w:rFonts w:hint="cs"/>
          <w:rtl/>
        </w:rPr>
        <w:t>הרא"ש</w:t>
      </w:r>
      <w:r w:rsidRPr="00C22420">
        <w:rPr>
          <w:rFonts w:hint="cs"/>
          <w:rtl/>
        </w:rPr>
        <w:t xml:space="preserve"> דבשאר איסורים במקום שלא צריך הרמה, כוונתו לומר במקום שלא אמרינן חוזר וניעור, כגון בערלה ששיעורה במאתיים, דבדבר שאינו חוזר וניעור פרח האיסור לגמרי, ולכן בתרומה רק לאחר ההרמה לא שייך חוזר וניעור, וזו כוונת </w:t>
      </w:r>
      <w:r w:rsidRPr="006105CD">
        <w:rPr>
          <w:rStyle w:val="af8"/>
          <w:rFonts w:hint="cs"/>
          <w:rtl/>
        </w:rPr>
        <w:t>הרא"ש</w:t>
      </w:r>
      <w:r w:rsidRPr="00C22420">
        <w:rPr>
          <w:rFonts w:hint="cs"/>
          <w:rtl/>
        </w:rPr>
        <w:t xml:space="preserve"> להוכיח מתרומה לדין נודעה התערובת, דאף רבנן מודים דרק בנודעה התערובת מהני ביטול, כמו שלר"ש במקום שצריך הרמה דע"י הידיעה חשיב כמורם כבר, דרק לאחר הידיעה אמרינן דאינו חוזר וניעור, וכתב </w:t>
      </w:r>
      <w:r w:rsidRPr="006105CD">
        <w:rPr>
          <w:rStyle w:val="af8"/>
          <w:rFonts w:hint="cs"/>
          <w:rtl/>
        </w:rPr>
        <w:t>ה</w:t>
      </w:r>
      <w:r w:rsidR="00250230">
        <w:rPr>
          <w:rStyle w:val="af8"/>
          <w:rFonts w:hint="cs"/>
          <w:rtl/>
        </w:rPr>
        <w:t>פלתי</w:t>
      </w:r>
      <w:r w:rsidRPr="00C22420">
        <w:rPr>
          <w:rFonts w:hint="cs"/>
          <w:rtl/>
        </w:rPr>
        <w:t xml:space="preserve"> דה"ה בביטול בחד בתרי כשלא הוסיף איסור, דבנודעה התערובת לא אמרינן ביה חוזר וניעור, ולכן כל שנודעה התערובת, האיסור מתהפך להיתר, אבל במקום שאמרינן </w:t>
      </w:r>
      <w:r w:rsidRPr="00245467">
        <w:rPr>
          <w:rFonts w:hint="cs"/>
          <w:rtl/>
        </w:rPr>
        <w:t xml:space="preserve">חוזר וניעור לא פרח האיסור, וכמאן דאיתא דמי, כמבואר בגמ' בבכורות </w:t>
      </w:r>
      <w:r w:rsidRPr="00245467">
        <w:rPr>
          <w:rStyle w:val="af6"/>
          <w:rFonts w:eastAsia="Guttman Hodes" w:hint="cs"/>
          <w:rtl/>
        </w:rPr>
        <w:t>(כג.)</w:t>
      </w:r>
      <w:r w:rsidRPr="00245467">
        <w:rPr>
          <w:rFonts w:hint="cs"/>
          <w:rtl/>
        </w:rPr>
        <w:t xml:space="preserve">. [וע"ע בדברי </w:t>
      </w:r>
      <w:r w:rsidRPr="00245467">
        <w:rPr>
          <w:rStyle w:val="af8"/>
          <w:rFonts w:hint="cs"/>
          <w:rtl/>
        </w:rPr>
        <w:t>היד יהודה</w:t>
      </w:r>
      <w:r w:rsidRPr="00245467">
        <w:rPr>
          <w:rFonts w:hint="cs"/>
          <w:rtl/>
        </w:rPr>
        <w:t xml:space="preserve"> </w:t>
      </w:r>
      <w:r>
        <w:rPr>
          <w:rStyle w:val="af6"/>
          <w:rFonts w:eastAsia="Guttman Hodes" w:hint="cs"/>
          <w:rtl/>
        </w:rPr>
        <w:t xml:space="preserve">(סי' ס"ט </w:t>
      </w:r>
      <w:r w:rsidRPr="00245467">
        <w:rPr>
          <w:rStyle w:val="af6"/>
          <w:rFonts w:eastAsia="Guttman Hodes" w:hint="cs"/>
          <w:rtl/>
        </w:rPr>
        <w:t>ס"ק ס"ג אות ז')</w:t>
      </w:r>
      <w:r w:rsidRPr="00245467">
        <w:rPr>
          <w:rFonts w:hint="cs"/>
          <w:rtl/>
        </w:rPr>
        <w:t>].</w:t>
      </w:r>
    </w:p>
    <w:p w:rsidR="003A5D2C" w:rsidRDefault="003A5D2C" w:rsidP="003A5D2C">
      <w:pPr>
        <w:pStyle w:val="1"/>
        <w:rPr>
          <w:rtl/>
        </w:rPr>
      </w:pPr>
      <w:bookmarkStart w:id="14967" w:name="_Toc25488198"/>
      <w:bookmarkStart w:id="14968" w:name="_Toc25524641"/>
      <w:bookmarkStart w:id="14969" w:name="_Toc25536140"/>
      <w:bookmarkStart w:id="14970" w:name="_Toc25571190"/>
      <w:bookmarkStart w:id="14971" w:name="_Toc25572666"/>
      <w:bookmarkStart w:id="14972" w:name="_Toc25572909"/>
      <w:r>
        <w:rPr>
          <w:rFonts w:hint="cs"/>
          <w:rtl/>
        </w:rPr>
        <w:t xml:space="preserve">דברי </w:t>
      </w:r>
      <w:r w:rsidRPr="007401E6">
        <w:rPr>
          <w:rFonts w:hint="cs"/>
          <w:rtl/>
        </w:rPr>
        <w:t>החזו"א</w:t>
      </w:r>
      <w:r>
        <w:rPr>
          <w:rFonts w:hint="cs"/>
          <w:rtl/>
        </w:rPr>
        <w:t xml:space="preserve"> דלהרא"ש טהור במגע אף בנגע בבת אחת</w:t>
      </w:r>
      <w:bookmarkEnd w:id="14967"/>
      <w:bookmarkEnd w:id="14968"/>
      <w:bookmarkEnd w:id="14969"/>
      <w:bookmarkEnd w:id="14970"/>
      <w:bookmarkEnd w:id="14971"/>
      <w:bookmarkEnd w:id="14972"/>
    </w:p>
    <w:p w:rsidR="003A5D2C" w:rsidRPr="00926966" w:rsidRDefault="003A5D2C" w:rsidP="003A5D2C">
      <w:pPr>
        <w:pStyle w:val="a2"/>
        <w:rPr>
          <w:rtl/>
        </w:rPr>
      </w:pPr>
      <w:bookmarkStart w:id="14973" w:name="_Toc25488199"/>
      <w:bookmarkStart w:id="14974" w:name="_Toc25524642"/>
      <w:bookmarkStart w:id="14975" w:name="_Toc25536141"/>
      <w:bookmarkStart w:id="14976" w:name="_Toc25571191"/>
      <w:bookmarkStart w:id="14977" w:name="_Toc25572667"/>
      <w:bookmarkStart w:id="14978" w:name="_Toc25572910"/>
      <w:r>
        <w:rPr>
          <w:rFonts w:hint="cs"/>
          <w:rtl/>
        </w:rPr>
        <w:t>דברי החזו"א דלהרא"ש דמתיר בכל התערובת בב"א והקשה מטומאה א"כ במגע טהור אף בב"א</w:t>
      </w:r>
      <w:bookmarkEnd w:id="14973"/>
      <w:bookmarkEnd w:id="14974"/>
      <w:bookmarkEnd w:id="14975"/>
      <w:bookmarkEnd w:id="14976"/>
      <w:bookmarkEnd w:id="14977"/>
      <w:bookmarkEnd w:id="14978"/>
    </w:p>
    <w:p w:rsidR="003A5D2C" w:rsidRDefault="003A5D2C" w:rsidP="009F44AF">
      <w:pPr>
        <w:pStyle w:val="a"/>
        <w:rPr>
          <w:rtl/>
        </w:rPr>
      </w:pPr>
      <w:bookmarkStart w:id="14979" w:name="_Ref25228174"/>
      <w:r>
        <w:rPr>
          <w:rFonts w:hint="cs"/>
          <w:rtl/>
        </w:rPr>
        <w:t xml:space="preserve">בדעת </w:t>
      </w:r>
      <w:r w:rsidRPr="005E0E94">
        <w:rPr>
          <w:rStyle w:val="af8"/>
          <w:rFonts w:hint="cs"/>
          <w:rtl/>
        </w:rPr>
        <w:t>הרא"ש</w:t>
      </w:r>
      <w:r>
        <w:rPr>
          <w:rFonts w:hint="cs"/>
          <w:rtl/>
        </w:rPr>
        <w:t xml:space="preserve"> </w:t>
      </w:r>
      <w:r w:rsidRPr="00207046">
        <w:rPr>
          <w:rStyle w:val="af6"/>
          <w:rFonts w:eastAsia="Guttman Hodes" w:hint="cs"/>
          <w:rtl/>
        </w:rPr>
        <w:t xml:space="preserve">(עי' אות </w:t>
      </w:r>
      <w:r w:rsidRPr="00207046">
        <w:rPr>
          <w:rStyle w:val="af6"/>
          <w:rFonts w:eastAsia="Guttman Hodes"/>
          <w:rtl/>
        </w:rPr>
        <w:fldChar w:fldCharType="begin"/>
      </w:r>
      <w:r w:rsidRPr="00207046">
        <w:rPr>
          <w:rStyle w:val="af6"/>
          <w:rFonts w:eastAsia="Guttman Hodes"/>
          <w:rtl/>
        </w:rPr>
        <w:instrText xml:space="preserve"> </w:instrText>
      </w:r>
      <w:r w:rsidRPr="00207046">
        <w:rPr>
          <w:rStyle w:val="af6"/>
          <w:rFonts w:eastAsia="Guttman Hodes" w:hint="cs"/>
        </w:rPr>
        <w:instrText>REF</w:instrText>
      </w:r>
      <w:r w:rsidRPr="00207046">
        <w:rPr>
          <w:rStyle w:val="af6"/>
          <w:rFonts w:eastAsia="Guttman Hodes" w:hint="cs"/>
          <w:rtl/>
        </w:rPr>
        <w:instrText xml:space="preserve"> _</w:instrText>
      </w:r>
      <w:r w:rsidRPr="00207046">
        <w:rPr>
          <w:rStyle w:val="af6"/>
          <w:rFonts w:eastAsia="Guttman Hodes" w:hint="cs"/>
        </w:rPr>
        <w:instrText>Ref24902820 \r \h</w:instrText>
      </w:r>
      <w:r w:rsidRPr="00207046">
        <w:rPr>
          <w:rStyle w:val="af6"/>
          <w:rFonts w:eastAsia="Guttman Hodes"/>
          <w:rtl/>
        </w:rPr>
        <w:instrText xml:space="preserve"> </w:instrText>
      </w:r>
      <w:r w:rsidRPr="00207046">
        <w:rPr>
          <w:rStyle w:val="af6"/>
          <w:rFonts w:eastAsia="Guttman Hodes"/>
          <w:rtl/>
        </w:rPr>
      </w:r>
      <w:r w:rsidRPr="00207046">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207046">
        <w:rPr>
          <w:rStyle w:val="af6"/>
          <w:rFonts w:eastAsia="Guttman Hodes"/>
          <w:rtl/>
        </w:rPr>
        <w:fldChar w:fldCharType="end"/>
      </w:r>
      <w:r>
        <w:rPr>
          <w:rFonts w:hint="cs"/>
          <w:rtl/>
        </w:rPr>
        <w:t xml:space="preserve"> שהתיר לאכול את כל התערובת בבת אחת, והקשה </w:t>
      </w:r>
      <w:r w:rsidRPr="005E0E94">
        <w:rPr>
          <w:rStyle w:val="af8"/>
          <w:rFonts w:hint="cs"/>
          <w:rtl/>
        </w:rPr>
        <w:t>הרא"ש</w:t>
      </w:r>
      <w:r>
        <w:rPr>
          <w:rFonts w:hint="cs"/>
          <w:rtl/>
        </w:rPr>
        <w:t xml:space="preserve"> </w:t>
      </w:r>
      <w:r w:rsidRPr="00207046">
        <w:rPr>
          <w:rStyle w:val="af6"/>
          <w:rFonts w:eastAsia="Guttman Hodes" w:hint="cs"/>
          <w:rtl/>
        </w:rPr>
        <w:t xml:space="preserve">(עי' אות </w:t>
      </w:r>
      <w:r w:rsidRPr="00207046">
        <w:rPr>
          <w:rStyle w:val="af6"/>
          <w:rFonts w:eastAsia="Guttman Hodes"/>
          <w:rtl/>
        </w:rPr>
        <w:fldChar w:fldCharType="begin"/>
      </w:r>
      <w:r w:rsidRPr="00207046">
        <w:rPr>
          <w:rStyle w:val="af6"/>
          <w:rFonts w:eastAsia="Guttman Hodes"/>
          <w:rtl/>
        </w:rPr>
        <w:instrText xml:space="preserve"> </w:instrText>
      </w:r>
      <w:r w:rsidRPr="00207046">
        <w:rPr>
          <w:rStyle w:val="af6"/>
          <w:rFonts w:eastAsia="Guttman Hodes" w:hint="cs"/>
        </w:rPr>
        <w:instrText>REF</w:instrText>
      </w:r>
      <w:r w:rsidRPr="00207046">
        <w:rPr>
          <w:rStyle w:val="af6"/>
          <w:rFonts w:eastAsia="Guttman Hodes" w:hint="cs"/>
          <w:rtl/>
        </w:rPr>
        <w:instrText xml:space="preserve"> _</w:instrText>
      </w:r>
      <w:r w:rsidRPr="00207046">
        <w:rPr>
          <w:rStyle w:val="af6"/>
          <w:rFonts w:eastAsia="Guttman Hodes" w:hint="cs"/>
        </w:rPr>
        <w:instrText>Ref25485958 \r \h</w:instrText>
      </w:r>
      <w:r w:rsidRPr="00207046">
        <w:rPr>
          <w:rStyle w:val="af6"/>
          <w:rFonts w:eastAsia="Guttman Hodes"/>
          <w:rtl/>
        </w:rPr>
        <w:instrText xml:space="preserve"> </w:instrText>
      </w:r>
      <w:r w:rsidRPr="00207046">
        <w:rPr>
          <w:rStyle w:val="af6"/>
          <w:rFonts w:eastAsia="Guttman Hodes"/>
          <w:rtl/>
        </w:rPr>
      </w:r>
      <w:r w:rsidRPr="00207046">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207046">
        <w:rPr>
          <w:rStyle w:val="af6"/>
          <w:rFonts w:eastAsia="Guttman Hodes"/>
          <w:rtl/>
        </w:rPr>
        <w:fldChar w:fldCharType="end"/>
      </w:r>
      <w:r>
        <w:rPr>
          <w:rFonts w:hint="cs"/>
          <w:rtl/>
        </w:rPr>
        <w:t xml:space="preserve"> מהגמ' בבכורות, כתב </w:t>
      </w:r>
      <w:r w:rsidRPr="005E0E94">
        <w:rPr>
          <w:rStyle w:val="af8"/>
          <w:rFonts w:hint="cs"/>
          <w:rtl/>
        </w:rPr>
        <w:t>החזו"א</w:t>
      </w:r>
      <w:r>
        <w:rPr>
          <w:rFonts w:hint="cs"/>
          <w:rtl/>
        </w:rPr>
        <w:t xml:space="preserve"> </w:t>
      </w:r>
      <w:r w:rsidRPr="002F04D5">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ל</w:t>
      </w:r>
      <w:r>
        <w:rPr>
          <w:rStyle w:val="af6"/>
          <w:rFonts w:eastAsia="Guttman Hodes"/>
          <w:rtl/>
        </w:rPr>
        <w:t>"</w:t>
      </w:r>
      <w:r>
        <w:rPr>
          <w:rStyle w:val="af6"/>
          <w:rFonts w:eastAsia="Guttman Hodes" w:hint="cs"/>
          <w:rtl/>
        </w:rPr>
        <w:t>ו סק</w:t>
      </w:r>
      <w:r>
        <w:rPr>
          <w:rStyle w:val="af6"/>
          <w:rFonts w:eastAsia="Guttman Hodes"/>
          <w:rtl/>
        </w:rPr>
        <w:t>"</w:t>
      </w:r>
      <w:r>
        <w:rPr>
          <w:rStyle w:val="af6"/>
          <w:rFonts w:eastAsia="Guttman Hodes" w:hint="cs"/>
          <w:rtl/>
        </w:rPr>
        <w:t>ד ד</w:t>
      </w:r>
      <w:r>
        <w:rPr>
          <w:rStyle w:val="af6"/>
          <w:rFonts w:eastAsia="Guttman Hodes"/>
          <w:rtl/>
        </w:rPr>
        <w:t>"</w:t>
      </w:r>
      <w:r>
        <w:rPr>
          <w:rStyle w:val="af6"/>
          <w:rFonts w:eastAsia="Guttman Hodes" w:hint="cs"/>
          <w:rtl/>
        </w:rPr>
        <w:t>ה והנה, עוקצין סו</w:t>
      </w:r>
      <w:r>
        <w:rPr>
          <w:rStyle w:val="af6"/>
          <w:rFonts w:eastAsia="Guttman Hodes"/>
          <w:rtl/>
        </w:rPr>
        <w:t>"</w:t>
      </w:r>
      <w:r>
        <w:rPr>
          <w:rStyle w:val="af6"/>
          <w:rFonts w:eastAsia="Guttman Hodes" w:hint="cs"/>
          <w:rtl/>
        </w:rPr>
        <w:t>ס א</w:t>
      </w:r>
      <w:r>
        <w:rPr>
          <w:rStyle w:val="af6"/>
          <w:rFonts w:eastAsia="Guttman Hodes"/>
          <w:rtl/>
        </w:rPr>
        <w:t>'</w:t>
      </w:r>
      <w:r w:rsidRPr="002F04D5">
        <w:rPr>
          <w:rStyle w:val="af6"/>
          <w:rFonts w:eastAsia="Guttman Hodes" w:hint="cs"/>
          <w:rtl/>
        </w:rPr>
        <w:t>)</w:t>
      </w:r>
      <w:r>
        <w:rPr>
          <w:rFonts w:hint="cs"/>
          <w:rtl/>
        </w:rPr>
        <w:t xml:space="preserve"> דמבואר דס"ל דאף יבש ביבש אינו מטמא במגע כלל, אף כשנגע בכל החתיכות בבת אחת, ודלא כדברי </w:t>
      </w:r>
      <w:r w:rsidRPr="005E0E94">
        <w:rPr>
          <w:rStyle w:val="af8"/>
          <w:rFonts w:hint="cs"/>
          <w:rtl/>
        </w:rPr>
        <w:t xml:space="preserve">התוס' </w:t>
      </w:r>
      <w:r w:rsidRPr="00D75A25">
        <w:rPr>
          <w:rStyle w:val="af8"/>
          <w:rFonts w:hint="cs"/>
          <w:rtl/>
        </w:rPr>
        <w:t>בבכורות בביאור ה</w:t>
      </w:r>
      <w:r>
        <w:rPr>
          <w:rStyle w:val="af8"/>
          <w:rFonts w:hint="cs"/>
          <w:rtl/>
        </w:rPr>
        <w:t>ב</w:t>
      </w:r>
      <w:r w:rsidRPr="00D75A25">
        <w:rPr>
          <w:rStyle w:val="af8"/>
          <w:rFonts w:hint="cs"/>
          <w:rtl/>
        </w:rPr>
        <w:t>'</w:t>
      </w:r>
      <w:r>
        <w:rPr>
          <w:rFonts w:hint="cs"/>
          <w:rtl/>
        </w:rPr>
        <w:t xml:space="preserve"> </w:t>
      </w:r>
      <w:r w:rsidRPr="005E0E94">
        <w:rPr>
          <w:rStyle w:val="af6"/>
          <w:rFonts w:eastAsia="Guttman Hodes" w:hint="cs"/>
          <w:rtl/>
        </w:rPr>
        <w:t xml:space="preserve">(עי' אות </w:t>
      </w:r>
      <w:r w:rsidRPr="005E0E94">
        <w:rPr>
          <w:rStyle w:val="af6"/>
          <w:rFonts w:eastAsia="Guttman Hodes"/>
          <w:rtl/>
        </w:rPr>
        <w:fldChar w:fldCharType="begin"/>
      </w:r>
      <w:r w:rsidRPr="005E0E94">
        <w:rPr>
          <w:rStyle w:val="af6"/>
          <w:rFonts w:eastAsia="Guttman Hodes"/>
          <w:rtl/>
        </w:rPr>
        <w:instrText xml:space="preserve"> </w:instrText>
      </w:r>
      <w:r w:rsidRPr="005E0E94">
        <w:rPr>
          <w:rStyle w:val="af6"/>
          <w:rFonts w:eastAsia="Guttman Hodes" w:hint="cs"/>
        </w:rPr>
        <w:instrText>REF</w:instrText>
      </w:r>
      <w:r w:rsidRPr="005E0E94">
        <w:rPr>
          <w:rStyle w:val="af6"/>
          <w:rFonts w:eastAsia="Guttman Hodes" w:hint="cs"/>
          <w:rtl/>
        </w:rPr>
        <w:instrText xml:space="preserve"> _</w:instrText>
      </w:r>
      <w:r w:rsidRPr="005E0E94">
        <w:rPr>
          <w:rStyle w:val="af6"/>
          <w:rFonts w:eastAsia="Guttman Hodes" w:hint="cs"/>
        </w:rPr>
        <w:instrText>Ref25228128 \r \h</w:instrText>
      </w:r>
      <w:r w:rsidRPr="005E0E94">
        <w:rPr>
          <w:rStyle w:val="af6"/>
          <w:rFonts w:eastAsia="Guttman Hodes"/>
          <w:rtl/>
        </w:rPr>
        <w:instrText xml:space="preserve"> </w:instrText>
      </w:r>
      <w:r w:rsidRPr="005E0E94">
        <w:rPr>
          <w:rStyle w:val="af6"/>
          <w:rFonts w:eastAsia="Guttman Hodes"/>
          <w:rtl/>
        </w:rPr>
      </w:r>
      <w:r w:rsidRPr="005E0E94">
        <w:rPr>
          <w:rStyle w:val="af6"/>
          <w:rFonts w:eastAsia="Guttman Hodes"/>
          <w:rtl/>
        </w:rPr>
        <w:fldChar w:fldCharType="separate"/>
      </w:r>
      <w:r w:rsidR="004D1C5B">
        <w:rPr>
          <w:rStyle w:val="af6"/>
          <w:rFonts w:eastAsia="Guttman Hodes"/>
          <w:cs/>
        </w:rPr>
        <w:t>‎</w:t>
      </w:r>
      <w:r w:rsidR="004D1C5B">
        <w:rPr>
          <w:rStyle w:val="af6"/>
          <w:rFonts w:eastAsia="Guttman Hodes"/>
          <w:rtl/>
        </w:rPr>
        <w:t>לד)</w:t>
      </w:r>
      <w:r w:rsidRPr="005E0E94">
        <w:rPr>
          <w:rStyle w:val="af6"/>
          <w:rFonts w:eastAsia="Guttman Hodes"/>
          <w:rtl/>
        </w:rPr>
        <w:fldChar w:fldCharType="end"/>
      </w:r>
      <w:r>
        <w:rPr>
          <w:rFonts w:hint="cs"/>
          <w:rtl/>
        </w:rPr>
        <w:t>.</w:t>
      </w:r>
      <w:bookmarkEnd w:id="14979"/>
    </w:p>
    <w:p w:rsidR="003A5D2C" w:rsidRPr="00A01B22" w:rsidRDefault="003A5D2C" w:rsidP="003A5D2C">
      <w:pPr>
        <w:pStyle w:val="1"/>
        <w:rPr>
          <w:rtl/>
        </w:rPr>
      </w:pPr>
      <w:bookmarkStart w:id="14980" w:name="_Toc25488200"/>
      <w:bookmarkStart w:id="14981" w:name="_Toc25524643"/>
      <w:bookmarkStart w:id="14982" w:name="_Toc25536142"/>
      <w:bookmarkStart w:id="14983" w:name="_Toc25571192"/>
      <w:bookmarkStart w:id="14984" w:name="_Toc25572668"/>
      <w:bookmarkStart w:id="14985" w:name="_Toc25572911"/>
      <w:r>
        <w:rPr>
          <w:rFonts w:hint="cs"/>
          <w:rtl/>
        </w:rPr>
        <w:t>דברי החזו"א דלהתוס' בסוגיין ולהרשב"א בנגע בב"א טמא</w:t>
      </w:r>
      <w:bookmarkEnd w:id="14980"/>
      <w:bookmarkEnd w:id="14981"/>
      <w:bookmarkEnd w:id="14982"/>
      <w:bookmarkEnd w:id="14983"/>
      <w:bookmarkEnd w:id="14984"/>
      <w:bookmarkEnd w:id="14985"/>
    </w:p>
    <w:p w:rsidR="003A5D2C" w:rsidRPr="00926966" w:rsidRDefault="003A5D2C" w:rsidP="003A5D2C">
      <w:pPr>
        <w:pStyle w:val="a2"/>
        <w:rPr>
          <w:rtl/>
        </w:rPr>
      </w:pPr>
      <w:bookmarkStart w:id="14986" w:name="_Toc25488201"/>
      <w:bookmarkStart w:id="14987" w:name="_Toc25524644"/>
      <w:bookmarkStart w:id="14988" w:name="_Toc25536143"/>
      <w:bookmarkStart w:id="14989" w:name="_Toc25571193"/>
      <w:bookmarkStart w:id="14990" w:name="_Toc25572669"/>
      <w:bookmarkStart w:id="14991" w:name="_Toc25572912"/>
      <w:r>
        <w:rPr>
          <w:rFonts w:hint="cs"/>
          <w:rtl/>
        </w:rPr>
        <w:t>דברי החזו"א דלדעת הרשב"א שאוסר לאכול את כל החתיכות בב"א א"כ טמא במגע בב"א</w:t>
      </w:r>
      <w:bookmarkEnd w:id="14986"/>
      <w:bookmarkEnd w:id="14987"/>
      <w:bookmarkEnd w:id="14988"/>
      <w:bookmarkEnd w:id="14989"/>
      <w:bookmarkEnd w:id="14990"/>
      <w:bookmarkEnd w:id="14991"/>
    </w:p>
    <w:p w:rsidR="003A5D2C" w:rsidRDefault="003A5D2C" w:rsidP="009F44AF">
      <w:pPr>
        <w:pStyle w:val="a"/>
        <w:rPr>
          <w:rtl/>
        </w:rPr>
      </w:pPr>
      <w:bookmarkStart w:id="14992" w:name="_Ref25487841"/>
      <w:r>
        <w:rPr>
          <w:rFonts w:hint="cs"/>
          <w:rtl/>
        </w:rPr>
        <w:t xml:space="preserve">וכתב </w:t>
      </w:r>
      <w:r w:rsidRPr="002F04D5">
        <w:rPr>
          <w:rStyle w:val="af8"/>
          <w:rFonts w:hint="cs"/>
          <w:rtl/>
        </w:rPr>
        <w:t>החזו"א</w:t>
      </w:r>
      <w:r>
        <w:rPr>
          <w:rFonts w:hint="cs"/>
          <w:rtl/>
        </w:rPr>
        <w:t xml:space="preserve"> </w:t>
      </w:r>
      <w:r w:rsidRPr="002F04D5">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ל</w:t>
      </w:r>
      <w:r>
        <w:rPr>
          <w:rStyle w:val="af6"/>
          <w:rFonts w:eastAsia="Guttman Hodes"/>
          <w:rtl/>
        </w:rPr>
        <w:t>"</w:t>
      </w:r>
      <w:r>
        <w:rPr>
          <w:rStyle w:val="af6"/>
          <w:rFonts w:eastAsia="Guttman Hodes" w:hint="cs"/>
          <w:rtl/>
        </w:rPr>
        <w:t>ו סק</w:t>
      </w:r>
      <w:r>
        <w:rPr>
          <w:rStyle w:val="af6"/>
          <w:rFonts w:eastAsia="Guttman Hodes"/>
          <w:rtl/>
        </w:rPr>
        <w:t>"</w:t>
      </w:r>
      <w:r>
        <w:rPr>
          <w:rStyle w:val="af6"/>
          <w:rFonts w:eastAsia="Guttman Hodes" w:hint="cs"/>
          <w:rtl/>
        </w:rPr>
        <w:t>ד ד</w:t>
      </w:r>
      <w:r>
        <w:rPr>
          <w:rStyle w:val="af6"/>
          <w:rFonts w:eastAsia="Guttman Hodes"/>
          <w:rtl/>
        </w:rPr>
        <w:t>"</w:t>
      </w:r>
      <w:r>
        <w:rPr>
          <w:rStyle w:val="af6"/>
          <w:rFonts w:eastAsia="Guttman Hodes" w:hint="cs"/>
          <w:rtl/>
        </w:rPr>
        <w:t>ה והנה, עוקצין סו</w:t>
      </w:r>
      <w:r>
        <w:rPr>
          <w:rStyle w:val="af6"/>
          <w:rFonts w:eastAsia="Guttman Hodes"/>
          <w:rtl/>
        </w:rPr>
        <w:t>"</w:t>
      </w:r>
      <w:r>
        <w:rPr>
          <w:rStyle w:val="af6"/>
          <w:rFonts w:eastAsia="Guttman Hodes" w:hint="cs"/>
          <w:rtl/>
        </w:rPr>
        <w:t>ס א</w:t>
      </w:r>
      <w:r>
        <w:rPr>
          <w:rStyle w:val="af6"/>
          <w:rFonts w:eastAsia="Guttman Hodes"/>
          <w:rtl/>
        </w:rPr>
        <w:t>'</w:t>
      </w:r>
      <w:r w:rsidRPr="002F04D5">
        <w:rPr>
          <w:rStyle w:val="af6"/>
          <w:rFonts w:eastAsia="Guttman Hodes" w:hint="cs"/>
          <w:rtl/>
        </w:rPr>
        <w:t>)</w:t>
      </w:r>
      <w:r>
        <w:rPr>
          <w:rFonts w:hint="cs"/>
          <w:rtl/>
        </w:rPr>
        <w:t xml:space="preserve"> דלדעת </w:t>
      </w:r>
      <w:r>
        <w:rPr>
          <w:rStyle w:val="af8"/>
          <w:rFonts w:hint="cs"/>
          <w:rtl/>
        </w:rPr>
        <w:t>הרשב</w:t>
      </w:r>
      <w:r>
        <w:rPr>
          <w:rStyle w:val="af8"/>
          <w:rtl/>
        </w:rPr>
        <w:t>"</w:t>
      </w:r>
      <w:r>
        <w:rPr>
          <w:rStyle w:val="af8"/>
          <w:rFonts w:hint="cs"/>
          <w:rtl/>
        </w:rPr>
        <w:t>א</w:t>
      </w:r>
      <w:r w:rsidRPr="00D829A3">
        <w:rPr>
          <w:rStyle w:val="af6"/>
          <w:rFonts w:eastAsia="Guttman Hodes" w:hint="cs"/>
          <w:rtl/>
        </w:rPr>
        <w:t xml:space="preserve"> (עי</w:t>
      </w:r>
      <w:r w:rsidRPr="00D829A3">
        <w:rPr>
          <w:rStyle w:val="af6"/>
          <w:rFonts w:eastAsia="Guttman Hodes"/>
          <w:rtl/>
        </w:rPr>
        <w:t>'</w:t>
      </w:r>
      <w:r w:rsidRPr="00D829A3">
        <w:rPr>
          <w:rStyle w:val="af6"/>
          <w:rFonts w:eastAsia="Guttman Hodes" w:hint="cs"/>
          <w:rtl/>
        </w:rPr>
        <w:t xml:space="preserve"> אות </w:t>
      </w:r>
      <w:r w:rsidRPr="00D829A3">
        <w:rPr>
          <w:rStyle w:val="af6"/>
          <w:rFonts w:eastAsia="Guttman Hodes" w:hint="cs"/>
          <w:cs/>
        </w:rPr>
        <w:t>‎</w:t>
      </w:r>
      <w:r w:rsidRPr="00D829A3">
        <w:rPr>
          <w:rStyle w:val="af6"/>
          <w:rFonts w:eastAsia="Guttman Hodes"/>
          <w:rtl/>
        </w:rPr>
        <w:fldChar w:fldCharType="begin"/>
      </w:r>
      <w:r w:rsidRPr="00D829A3">
        <w:rPr>
          <w:rStyle w:val="af6"/>
          <w:rFonts w:eastAsia="Guttman Adii-Light"/>
          <w:rtl/>
        </w:rPr>
        <w:instrText xml:space="preserve"> </w:instrText>
      </w:r>
      <w:r w:rsidRPr="00D829A3">
        <w:rPr>
          <w:rStyle w:val="af6"/>
          <w:rFonts w:eastAsia="Guttman Adii-Light" w:hint="cs"/>
        </w:rPr>
        <w:instrText>REF</w:instrText>
      </w:r>
      <w:r w:rsidRPr="00D829A3">
        <w:rPr>
          <w:rStyle w:val="af6"/>
          <w:rFonts w:eastAsia="Guttman Adii-Light" w:hint="cs"/>
          <w:rtl/>
        </w:rPr>
        <w:instrText xml:space="preserve"> _</w:instrText>
      </w:r>
      <w:r w:rsidRPr="00D829A3">
        <w:rPr>
          <w:rStyle w:val="af6"/>
          <w:rFonts w:eastAsia="Guttman Adii-Light" w:hint="cs"/>
        </w:rPr>
        <w:instrText>Ref24902820 \r \h</w:instrText>
      </w:r>
      <w:r w:rsidRPr="00D829A3">
        <w:rPr>
          <w:rStyle w:val="af6"/>
          <w:rFonts w:eastAsia="Guttman Adii-Light"/>
          <w:rtl/>
        </w:rPr>
        <w:instrText xml:space="preserve"> </w:instrText>
      </w:r>
      <w:r w:rsidRPr="00D829A3">
        <w:rPr>
          <w:rStyle w:val="af6"/>
          <w:rFonts w:eastAsia="Guttman Hodes"/>
          <w:rtl/>
        </w:rPr>
      </w:r>
      <w:r w:rsidRPr="00D829A3">
        <w:rPr>
          <w:rStyle w:val="af6"/>
          <w:rFonts w:eastAsia="Guttman Hodes"/>
          <w:rtl/>
        </w:rPr>
        <w:fldChar w:fldCharType="separate"/>
      </w:r>
      <w:r w:rsidR="004D1C5B">
        <w:rPr>
          <w:rStyle w:val="af6"/>
          <w:rFonts w:eastAsia="Guttman Adii-Light"/>
          <w:cs/>
        </w:rPr>
        <w:t>‎</w:t>
      </w:r>
      <w:r w:rsidR="004D1C5B">
        <w:rPr>
          <w:rStyle w:val="af6"/>
          <w:rFonts w:eastAsia="Guttman Adii-Light"/>
          <w:rtl/>
        </w:rPr>
        <w:t>קט)</w:t>
      </w:r>
      <w:r w:rsidRPr="00D829A3">
        <w:rPr>
          <w:rStyle w:val="af6"/>
          <w:rFonts w:eastAsia="Guttman Hodes"/>
          <w:rtl/>
        </w:rPr>
        <w:fldChar w:fldCharType="end"/>
      </w:r>
      <w:r w:rsidRPr="00C02B21">
        <w:rPr>
          <w:rStyle w:val="af6"/>
          <w:rFonts w:eastAsia="Guttman Adii-Light" w:hint="cs"/>
          <w:rtl/>
        </w:rPr>
        <w:t xml:space="preserve"> </w:t>
      </w:r>
      <w:r>
        <w:rPr>
          <w:rFonts w:hint="cs"/>
          <w:rtl/>
        </w:rPr>
        <w:t>שאוסר ביבש ביבש לאכול את כל התערובת בבת אחת,</w:t>
      </w:r>
      <w:r w:rsidRPr="001C103C">
        <w:rPr>
          <w:rFonts w:hint="cs"/>
          <w:rtl/>
        </w:rPr>
        <w:t xml:space="preserve"> </w:t>
      </w:r>
      <w:r>
        <w:rPr>
          <w:rFonts w:hint="cs"/>
          <w:rtl/>
        </w:rPr>
        <w:t>א"כ מבואר דביבש ביבש ונגע בכולם בבת אחת טמא.</w:t>
      </w:r>
      <w:bookmarkEnd w:id="14992"/>
    </w:p>
    <w:p w:rsidR="003A5D2C" w:rsidRPr="00926966" w:rsidRDefault="003A5D2C" w:rsidP="003A5D2C">
      <w:pPr>
        <w:pStyle w:val="a2"/>
      </w:pPr>
      <w:bookmarkStart w:id="14993" w:name="_Toc25488202"/>
      <w:bookmarkStart w:id="14994" w:name="_Toc25524645"/>
      <w:bookmarkStart w:id="14995" w:name="_Toc25536144"/>
      <w:bookmarkStart w:id="14996" w:name="_Toc25571194"/>
      <w:bookmarkStart w:id="14997" w:name="_Toc25572670"/>
      <w:bookmarkStart w:id="14998" w:name="_Toc25572913"/>
      <w:r>
        <w:rPr>
          <w:rFonts w:hint="cs"/>
          <w:rtl/>
        </w:rPr>
        <w:t>דברי החזו"א דלהתוס' בסוגיין שאסור את כל התערובת לאדם אחד א"כ טמא במגע בב"א</w:t>
      </w:r>
      <w:bookmarkEnd w:id="14993"/>
      <w:bookmarkEnd w:id="14994"/>
      <w:bookmarkEnd w:id="14995"/>
      <w:bookmarkEnd w:id="14996"/>
      <w:bookmarkEnd w:id="14997"/>
      <w:bookmarkEnd w:id="14998"/>
    </w:p>
    <w:p w:rsidR="003A5D2C" w:rsidRDefault="003A5D2C" w:rsidP="009F44AF">
      <w:pPr>
        <w:pStyle w:val="a"/>
        <w:rPr>
          <w:rtl/>
        </w:rPr>
      </w:pPr>
      <w:bookmarkStart w:id="14999" w:name="_Ref25487831"/>
      <w:r>
        <w:rPr>
          <w:rFonts w:hint="cs"/>
          <w:rtl/>
        </w:rPr>
        <w:t xml:space="preserve">והוסיף </w:t>
      </w:r>
      <w:r w:rsidRPr="005E0E94">
        <w:rPr>
          <w:rStyle w:val="af8"/>
          <w:rFonts w:hint="cs"/>
          <w:rtl/>
        </w:rPr>
        <w:t>החזו"א</w:t>
      </w:r>
      <w:r>
        <w:rPr>
          <w:rFonts w:hint="cs"/>
          <w:rtl/>
        </w:rPr>
        <w:t xml:space="preserve"> דכן לדעת </w:t>
      </w:r>
      <w:r w:rsidRPr="005E0E94">
        <w:rPr>
          <w:rStyle w:val="af8"/>
          <w:rFonts w:hint="cs"/>
          <w:rtl/>
        </w:rPr>
        <w:t>התוס'</w:t>
      </w:r>
      <w:r>
        <w:rPr>
          <w:rStyle w:val="af8"/>
          <w:rFonts w:hint="cs"/>
          <w:rtl/>
        </w:rPr>
        <w:t xml:space="preserve"> בסוגיין</w:t>
      </w:r>
      <w:r>
        <w:rPr>
          <w:rFonts w:hint="cs"/>
          <w:rtl/>
        </w:rPr>
        <w:t xml:space="preserve"> </w:t>
      </w:r>
      <w:r w:rsidRPr="005E0E94">
        <w:rPr>
          <w:rStyle w:val="af6"/>
          <w:rFonts w:eastAsia="Guttman Hodes" w:hint="cs"/>
          <w:rtl/>
        </w:rPr>
        <w:t xml:space="preserve">(ד"ה בריה, הובא בסימן </w:t>
      </w:r>
      <w:r>
        <w:rPr>
          <w:rStyle w:val="af6"/>
          <w:rFonts w:eastAsia="Guttman Hodes" w:hint="cs"/>
          <w:rtl/>
        </w:rPr>
        <w:t>י"ז</w:t>
      </w:r>
      <w:r w:rsidRPr="005E0E94">
        <w:rPr>
          <w:rStyle w:val="af6"/>
          <w:rFonts w:eastAsia="Guttman Hodes" w:hint="cs"/>
          <w:rtl/>
        </w:rPr>
        <w:t xml:space="preserve"> אות </w:t>
      </w:r>
      <w:r>
        <w:rPr>
          <w:rStyle w:val="af6"/>
          <w:rFonts w:eastAsia="Guttman Hodes" w:hint="cs"/>
          <w:rtl/>
        </w:rPr>
        <w:t>ט'</w:t>
      </w:r>
      <w:r w:rsidRPr="005E0E94">
        <w:rPr>
          <w:rStyle w:val="af6"/>
          <w:rFonts w:eastAsia="Guttman Hodes" w:hint="cs"/>
          <w:rtl/>
        </w:rPr>
        <w:t xml:space="preserve">) </w:t>
      </w:r>
      <w:r>
        <w:rPr>
          <w:rFonts w:hint="cs"/>
          <w:rtl/>
        </w:rPr>
        <w:t xml:space="preserve">דכתבו דביבש ביבש אסור לאדם אחד לאכול את כל התערובת, א"כ מבואר דביבש ביבש ונגע בכולם אף בזה אחר זה טמא, עי' במ"ש </w:t>
      </w:r>
      <w:r w:rsidRPr="005F2A87">
        <w:rPr>
          <w:rStyle w:val="af8"/>
          <w:rFonts w:hint="cs"/>
          <w:rtl/>
        </w:rPr>
        <w:t>בחזו"א</w:t>
      </w:r>
      <w:r>
        <w:rPr>
          <w:rFonts w:hint="cs"/>
          <w:rtl/>
        </w:rPr>
        <w:t xml:space="preserve"> </w:t>
      </w:r>
      <w:r w:rsidRPr="005F2A87">
        <w:rPr>
          <w:rStyle w:val="af6"/>
          <w:rFonts w:eastAsia="Guttman Hodes" w:hint="cs"/>
          <w:rtl/>
        </w:rPr>
        <w:t xml:space="preserve">(עי' </w:t>
      </w:r>
      <w:r w:rsidRPr="00FC2CD7">
        <w:rPr>
          <w:rStyle w:val="af6"/>
          <w:rFonts w:eastAsia="Guttman Hodes" w:hint="cs"/>
          <w:rtl/>
        </w:rPr>
        <w:t xml:space="preserve">אות </w:t>
      </w:r>
      <w:r w:rsidRPr="00FC2CD7">
        <w:rPr>
          <w:rStyle w:val="af6"/>
          <w:rFonts w:eastAsia="Guttman Hodes"/>
          <w:rtl/>
        </w:rPr>
        <w:fldChar w:fldCharType="begin"/>
      </w:r>
      <w:r w:rsidRPr="00FC2CD7">
        <w:rPr>
          <w:rStyle w:val="af6"/>
          <w:rFonts w:eastAsia="Guttman Hodes"/>
          <w:rtl/>
        </w:rPr>
        <w:instrText xml:space="preserve"> </w:instrText>
      </w:r>
      <w:r w:rsidRPr="00FC2CD7">
        <w:rPr>
          <w:rStyle w:val="af6"/>
          <w:rFonts w:eastAsia="Guttman Hodes" w:hint="cs"/>
        </w:rPr>
        <w:instrText>REF</w:instrText>
      </w:r>
      <w:r w:rsidRPr="00FC2CD7">
        <w:rPr>
          <w:rStyle w:val="af6"/>
          <w:rFonts w:eastAsia="Guttman Hodes" w:hint="cs"/>
          <w:rtl/>
        </w:rPr>
        <w:instrText xml:space="preserve"> _</w:instrText>
      </w:r>
      <w:r w:rsidRPr="00FC2CD7">
        <w:rPr>
          <w:rStyle w:val="af6"/>
          <w:rFonts w:eastAsia="Guttman Hodes" w:hint="cs"/>
        </w:rPr>
        <w:instrText>Ref25487756 \r \h</w:instrText>
      </w:r>
      <w:r w:rsidRPr="00FC2CD7">
        <w:rPr>
          <w:rStyle w:val="af6"/>
          <w:rFonts w:eastAsia="Guttman Hodes"/>
          <w:rtl/>
        </w:rPr>
        <w:instrText xml:space="preserve"> </w:instrText>
      </w:r>
      <w:r w:rsidRPr="00FC2CD7">
        <w:rPr>
          <w:rStyle w:val="af6"/>
          <w:rFonts w:eastAsia="Guttman Hodes"/>
          <w:rtl/>
        </w:rPr>
      </w:r>
      <w:r w:rsidRPr="00FC2CD7">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FC2CD7">
        <w:rPr>
          <w:rStyle w:val="af6"/>
          <w:rFonts w:eastAsia="Guttman Hodes"/>
          <w:rtl/>
        </w:rPr>
        <w:fldChar w:fldCharType="end"/>
      </w:r>
      <w:r w:rsidRPr="00DD5E07">
        <w:rPr>
          <w:rFonts w:hint="cs"/>
          <w:rtl/>
        </w:rPr>
        <w:t xml:space="preserve"> </w:t>
      </w:r>
      <w:r>
        <w:rPr>
          <w:rFonts w:hint="cs"/>
          <w:rtl/>
        </w:rPr>
        <w:t xml:space="preserve">בדברי </w:t>
      </w:r>
      <w:r w:rsidRPr="005D4574">
        <w:rPr>
          <w:rStyle w:val="af8"/>
          <w:rFonts w:hint="cs"/>
          <w:rtl/>
        </w:rPr>
        <w:t>התוס' בבכורות</w:t>
      </w:r>
      <w:r>
        <w:rPr>
          <w:rFonts w:hint="cs"/>
          <w:rtl/>
        </w:rPr>
        <w:t>.</w:t>
      </w:r>
      <w:bookmarkEnd w:id="14999"/>
    </w:p>
    <w:p w:rsidR="003A5D2C" w:rsidRDefault="003A5D2C" w:rsidP="003A5D2C">
      <w:pPr>
        <w:pStyle w:val="1"/>
        <w:rPr>
          <w:rtl/>
        </w:rPr>
      </w:pPr>
      <w:bookmarkStart w:id="15000" w:name="_Toc25488203"/>
      <w:bookmarkStart w:id="15001" w:name="_Toc25524646"/>
      <w:bookmarkStart w:id="15002" w:name="_Toc25536145"/>
      <w:bookmarkStart w:id="15003" w:name="_Toc25571195"/>
      <w:bookmarkStart w:id="15004" w:name="_Toc25572671"/>
      <w:bookmarkStart w:id="15005" w:name="_Toc25572914"/>
      <w:r>
        <w:rPr>
          <w:rFonts w:hint="cs"/>
          <w:rtl/>
        </w:rPr>
        <w:t>ביאור</w:t>
      </w:r>
      <w:r w:rsidRPr="007401E6">
        <w:rPr>
          <w:rFonts w:hint="cs"/>
          <w:rtl/>
        </w:rPr>
        <w:t xml:space="preserve"> החזו"א</w:t>
      </w:r>
      <w:r>
        <w:rPr>
          <w:rFonts w:hint="cs"/>
          <w:rtl/>
        </w:rPr>
        <w:t xml:space="preserve"> ברא"ש דבטומאה הנדון אי האדם נטמא</w:t>
      </w:r>
      <w:bookmarkEnd w:id="15000"/>
      <w:bookmarkEnd w:id="15001"/>
      <w:bookmarkEnd w:id="15002"/>
      <w:bookmarkEnd w:id="15003"/>
      <w:bookmarkEnd w:id="15004"/>
      <w:bookmarkEnd w:id="15005"/>
    </w:p>
    <w:p w:rsidR="003A5D2C" w:rsidRPr="00926966" w:rsidRDefault="003A5D2C" w:rsidP="003A5D2C">
      <w:pPr>
        <w:pStyle w:val="a2"/>
      </w:pPr>
      <w:bookmarkStart w:id="15006" w:name="_Toc25488204"/>
      <w:bookmarkStart w:id="15007" w:name="_Toc25524647"/>
      <w:bookmarkStart w:id="15008" w:name="_Toc25536146"/>
      <w:bookmarkStart w:id="15009" w:name="_Toc25571196"/>
      <w:bookmarkStart w:id="15010" w:name="_Toc25572672"/>
      <w:bookmarkStart w:id="15011" w:name="_Toc25572915"/>
      <w:r>
        <w:rPr>
          <w:rFonts w:hint="cs"/>
          <w:rtl/>
        </w:rPr>
        <w:t>ביאור החזו"א ברא"ש דבטומאה דנים אי נטמא ואסור בתרומה וטמא במשא דודאי נשא טומאה</w:t>
      </w:r>
      <w:bookmarkEnd w:id="15006"/>
      <w:bookmarkEnd w:id="15007"/>
      <w:bookmarkEnd w:id="15008"/>
      <w:bookmarkEnd w:id="15009"/>
      <w:bookmarkEnd w:id="15010"/>
      <w:bookmarkEnd w:id="15011"/>
    </w:p>
    <w:p w:rsidR="003A5D2C" w:rsidRDefault="003A5D2C" w:rsidP="009F44AF">
      <w:pPr>
        <w:pStyle w:val="a"/>
        <w:rPr>
          <w:rStyle w:val="afa"/>
          <w:rtl/>
        </w:rPr>
      </w:pPr>
      <w:bookmarkStart w:id="15012" w:name="_Ref25486452"/>
      <w:r>
        <w:rPr>
          <w:rFonts w:hint="cs"/>
          <w:rtl/>
        </w:rPr>
        <w:t xml:space="preserve">ובמה שחילק </w:t>
      </w:r>
      <w:r w:rsidRPr="005E0E94">
        <w:rPr>
          <w:rStyle w:val="af8"/>
          <w:rFonts w:hint="cs"/>
          <w:rtl/>
        </w:rPr>
        <w:t>הרא"ש</w:t>
      </w:r>
      <w:r>
        <w:rPr>
          <w:rFonts w:hint="cs"/>
          <w:rtl/>
        </w:rPr>
        <w:t xml:space="preserve"> </w:t>
      </w:r>
      <w:r w:rsidRPr="00207046">
        <w:rPr>
          <w:rStyle w:val="af6"/>
          <w:rFonts w:eastAsia="Guttman Hodes" w:hint="cs"/>
          <w:rtl/>
        </w:rPr>
        <w:t xml:space="preserve">(עי' אות </w:t>
      </w:r>
      <w:r w:rsidRPr="00207046">
        <w:rPr>
          <w:rStyle w:val="af6"/>
          <w:rFonts w:eastAsia="Guttman Hodes"/>
          <w:rtl/>
        </w:rPr>
        <w:fldChar w:fldCharType="begin"/>
      </w:r>
      <w:r w:rsidRPr="00207046">
        <w:rPr>
          <w:rStyle w:val="af6"/>
          <w:rFonts w:eastAsia="Guttman Hodes"/>
          <w:rtl/>
        </w:rPr>
        <w:instrText xml:space="preserve"> </w:instrText>
      </w:r>
      <w:r w:rsidRPr="00207046">
        <w:rPr>
          <w:rStyle w:val="af6"/>
          <w:rFonts w:eastAsia="Guttman Hodes" w:hint="cs"/>
        </w:rPr>
        <w:instrText>REF</w:instrText>
      </w:r>
      <w:r w:rsidRPr="00207046">
        <w:rPr>
          <w:rStyle w:val="af6"/>
          <w:rFonts w:eastAsia="Guttman Hodes" w:hint="cs"/>
          <w:rtl/>
        </w:rPr>
        <w:instrText xml:space="preserve"> _</w:instrText>
      </w:r>
      <w:r w:rsidRPr="00207046">
        <w:rPr>
          <w:rStyle w:val="af6"/>
          <w:rFonts w:eastAsia="Guttman Hodes" w:hint="cs"/>
        </w:rPr>
        <w:instrText>Ref25483358 \r \h</w:instrText>
      </w:r>
      <w:r w:rsidRPr="00207046">
        <w:rPr>
          <w:rStyle w:val="af6"/>
          <w:rFonts w:eastAsia="Guttman Hodes"/>
          <w:rtl/>
        </w:rPr>
        <w:instrText xml:space="preserve"> </w:instrText>
      </w:r>
      <w:r w:rsidRPr="00207046">
        <w:rPr>
          <w:rStyle w:val="af6"/>
          <w:rFonts w:eastAsia="Guttman Hodes"/>
          <w:rtl/>
        </w:rPr>
      </w:r>
      <w:r w:rsidRPr="00207046">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207046">
        <w:rPr>
          <w:rStyle w:val="af6"/>
          <w:rFonts w:eastAsia="Guttman Hodes"/>
          <w:rtl/>
        </w:rPr>
        <w:fldChar w:fldCharType="end"/>
      </w:r>
      <w:r>
        <w:rPr>
          <w:rFonts w:hint="cs"/>
          <w:rtl/>
        </w:rPr>
        <w:t xml:space="preserve"> בין טומאה לאיסור, דבאיסור כל שיש בה באופן אחד היתר אכילה, א"כ פקע האיסור מהחתיכה, דלא </w:t>
      </w:r>
      <w:r>
        <w:rPr>
          <w:rFonts w:hint="cs"/>
          <w:rtl/>
        </w:rPr>
        <w:t xml:space="preserve">אמרה תורה שתהא מותרת באופן אחד ואסורה באופן אחר, אבל לענין טומאה, שייך לחלק בין טומאת מגע לטומאת משא, שהם ב' מיני טומאות, ביאר </w:t>
      </w:r>
      <w:r w:rsidRPr="005E0E94">
        <w:rPr>
          <w:rStyle w:val="af8"/>
          <w:rFonts w:hint="cs"/>
          <w:rtl/>
        </w:rPr>
        <w:t>החזו"א</w:t>
      </w:r>
      <w:r>
        <w:rPr>
          <w:rFonts w:hint="cs"/>
          <w:rtl/>
        </w:rPr>
        <w:t xml:space="preserve"> </w:t>
      </w:r>
      <w:r w:rsidRPr="002F04D5">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ל</w:t>
      </w:r>
      <w:r>
        <w:rPr>
          <w:rStyle w:val="af6"/>
          <w:rFonts w:eastAsia="Guttman Hodes"/>
          <w:rtl/>
        </w:rPr>
        <w:t>"</w:t>
      </w:r>
      <w:r>
        <w:rPr>
          <w:rStyle w:val="af6"/>
          <w:rFonts w:eastAsia="Guttman Hodes" w:hint="cs"/>
          <w:rtl/>
        </w:rPr>
        <w:t>ו סק</w:t>
      </w:r>
      <w:r>
        <w:rPr>
          <w:rStyle w:val="af6"/>
          <w:rFonts w:eastAsia="Guttman Hodes"/>
          <w:rtl/>
        </w:rPr>
        <w:t>"</w:t>
      </w:r>
      <w:r>
        <w:rPr>
          <w:rStyle w:val="af6"/>
          <w:rFonts w:eastAsia="Guttman Hodes" w:hint="cs"/>
          <w:rtl/>
        </w:rPr>
        <w:t>ד ד</w:t>
      </w:r>
      <w:r>
        <w:rPr>
          <w:rStyle w:val="af6"/>
          <w:rFonts w:eastAsia="Guttman Hodes"/>
          <w:rtl/>
        </w:rPr>
        <w:t>"</w:t>
      </w:r>
      <w:r>
        <w:rPr>
          <w:rStyle w:val="af6"/>
          <w:rFonts w:eastAsia="Guttman Hodes" w:hint="cs"/>
          <w:rtl/>
        </w:rPr>
        <w:t>ה והנה, עוקצין סו</w:t>
      </w:r>
      <w:r>
        <w:rPr>
          <w:rStyle w:val="af6"/>
          <w:rFonts w:eastAsia="Guttman Hodes"/>
          <w:rtl/>
        </w:rPr>
        <w:t>"</w:t>
      </w:r>
      <w:r>
        <w:rPr>
          <w:rStyle w:val="af6"/>
          <w:rFonts w:eastAsia="Guttman Hodes" w:hint="cs"/>
          <w:rtl/>
        </w:rPr>
        <w:t>ס א</w:t>
      </w:r>
      <w:r>
        <w:rPr>
          <w:rStyle w:val="af6"/>
          <w:rFonts w:eastAsia="Guttman Hodes"/>
          <w:rtl/>
        </w:rPr>
        <w:t>'</w:t>
      </w:r>
      <w:r w:rsidRPr="002F04D5">
        <w:rPr>
          <w:rStyle w:val="af6"/>
          <w:rFonts w:eastAsia="Guttman Hodes" w:hint="cs"/>
          <w:rtl/>
        </w:rPr>
        <w:t>)</w:t>
      </w:r>
      <w:r>
        <w:rPr>
          <w:rFonts w:hint="cs"/>
          <w:rtl/>
        </w:rPr>
        <w:t xml:space="preserve"> דכוונת </w:t>
      </w:r>
      <w:r w:rsidRPr="005E0E94">
        <w:rPr>
          <w:rStyle w:val="af8"/>
          <w:rFonts w:hint="cs"/>
          <w:rtl/>
        </w:rPr>
        <w:t>הרא"ש</w:t>
      </w:r>
      <w:r>
        <w:rPr>
          <w:rFonts w:hint="cs"/>
          <w:rtl/>
        </w:rPr>
        <w:t xml:space="preserve"> לומר דכיון שאין כל איסור לטמא את עצמו, אלא שאם נטמא הוא אסור בתרומה וקדשים, א"כ כשאנו דנים על האדם אם הוא נטמא כבר, הוא טמא במשא דהא ודאי שנשא טומאה ונטמא, </w:t>
      </w:r>
      <w:r w:rsidRPr="005E0E94">
        <w:rPr>
          <w:rStyle w:val="afa"/>
          <w:rFonts w:hint="cs"/>
          <w:rtl/>
        </w:rPr>
        <w:t>[משא"כ באיסור דהנדון הוא בשעת האכילה אם אוכל היתר או איסור, ולכן כל שהותר באופן אחד, ודאי שפקע האיסור מהחתיכה]</w:t>
      </w:r>
      <w:bookmarkEnd w:id="15012"/>
      <w:r>
        <w:rPr>
          <w:rStyle w:val="afa"/>
          <w:rFonts w:hint="cs"/>
          <w:rtl/>
        </w:rPr>
        <w:t xml:space="preserve">, </w:t>
      </w:r>
      <w:r w:rsidRPr="00F11F6F">
        <w:rPr>
          <w:rFonts w:hint="cs"/>
          <w:rtl/>
        </w:rPr>
        <w:t xml:space="preserve">וכ"כ </w:t>
      </w:r>
      <w:r w:rsidRPr="00F11F6F">
        <w:rPr>
          <w:rStyle w:val="af8"/>
          <w:rFonts w:hint="cs"/>
          <w:rtl/>
        </w:rPr>
        <w:t>הקה"י</w:t>
      </w:r>
      <w:r w:rsidRPr="00F11F6F">
        <w:rPr>
          <w:rFonts w:hint="cs"/>
          <w:rtl/>
        </w:rPr>
        <w:t xml:space="preserve"> </w:t>
      </w:r>
      <w:r w:rsidRPr="00F11F6F">
        <w:rPr>
          <w:rStyle w:val="af6"/>
          <w:rFonts w:eastAsia="Guttman Hodes" w:hint="cs"/>
          <w:rtl/>
        </w:rPr>
        <w:t xml:space="preserve">(עי' אות </w:t>
      </w:r>
      <w:r w:rsidRPr="00F11F6F">
        <w:rPr>
          <w:rStyle w:val="af6"/>
          <w:rFonts w:eastAsia="Guttman Hodes"/>
          <w:rtl/>
        </w:rPr>
        <w:fldChar w:fldCharType="begin"/>
      </w:r>
      <w:r w:rsidRPr="00F11F6F">
        <w:rPr>
          <w:rStyle w:val="af6"/>
          <w:rFonts w:eastAsia="Guttman Hodes"/>
          <w:rtl/>
        </w:rPr>
        <w:instrText xml:space="preserve"> </w:instrText>
      </w:r>
      <w:r w:rsidRPr="00F11F6F">
        <w:rPr>
          <w:rStyle w:val="af6"/>
          <w:rFonts w:eastAsia="Guttman Hodes" w:hint="cs"/>
        </w:rPr>
        <w:instrText>REF</w:instrText>
      </w:r>
      <w:r w:rsidRPr="00F11F6F">
        <w:rPr>
          <w:rStyle w:val="af6"/>
          <w:rFonts w:eastAsia="Guttman Hodes" w:hint="cs"/>
          <w:rtl/>
        </w:rPr>
        <w:instrText xml:space="preserve"> _</w:instrText>
      </w:r>
      <w:r w:rsidRPr="00F11F6F">
        <w:rPr>
          <w:rStyle w:val="af6"/>
          <w:rFonts w:eastAsia="Guttman Hodes" w:hint="cs"/>
        </w:rPr>
        <w:instrText>Ref25493200 \r \h</w:instrText>
      </w:r>
      <w:r w:rsidRPr="00F11F6F">
        <w:rPr>
          <w:rStyle w:val="af6"/>
          <w:rFonts w:eastAsia="Guttman Hodes"/>
          <w:rtl/>
        </w:rPr>
        <w:instrText xml:space="preserve"> </w:instrText>
      </w:r>
      <w:r w:rsidRPr="00F11F6F">
        <w:rPr>
          <w:rStyle w:val="af6"/>
          <w:rFonts w:eastAsia="Guttman Hodes"/>
          <w:rtl/>
        </w:rPr>
      </w:r>
      <w:r w:rsidRPr="00F11F6F">
        <w:rPr>
          <w:rStyle w:val="af6"/>
          <w:rFonts w:eastAsia="Guttman Hodes"/>
          <w:rtl/>
        </w:rPr>
        <w:fldChar w:fldCharType="separate"/>
      </w:r>
      <w:r w:rsidR="004D1C5B">
        <w:rPr>
          <w:rStyle w:val="af6"/>
          <w:rFonts w:eastAsia="Guttman Hodes"/>
          <w:cs/>
        </w:rPr>
        <w:t>‎</w:t>
      </w:r>
      <w:r w:rsidR="004D1C5B">
        <w:rPr>
          <w:rStyle w:val="af6"/>
          <w:rFonts w:eastAsia="Guttman Hodes"/>
          <w:rtl/>
        </w:rPr>
        <w:t>צב)</w:t>
      </w:r>
      <w:r w:rsidRPr="00F11F6F">
        <w:rPr>
          <w:rStyle w:val="af6"/>
          <w:rFonts w:eastAsia="Guttman Hodes"/>
          <w:rtl/>
        </w:rPr>
        <w:fldChar w:fldCharType="end"/>
      </w:r>
      <w:r w:rsidRPr="00F11F6F">
        <w:rPr>
          <w:rFonts w:hint="cs"/>
          <w:rtl/>
        </w:rPr>
        <w:t>.</w:t>
      </w:r>
    </w:p>
    <w:p w:rsidR="003A5D2C" w:rsidRDefault="003A5D2C" w:rsidP="003A5D2C">
      <w:pPr>
        <w:pStyle w:val="1"/>
        <w:rPr>
          <w:rtl/>
        </w:rPr>
      </w:pPr>
      <w:bookmarkStart w:id="15013" w:name="_Toc25488205"/>
      <w:bookmarkStart w:id="15014" w:name="_Toc25524648"/>
      <w:bookmarkStart w:id="15015" w:name="_Toc25536147"/>
      <w:bookmarkStart w:id="15016" w:name="_Toc25571197"/>
      <w:bookmarkStart w:id="15017" w:name="_Toc25572673"/>
      <w:bookmarkStart w:id="15018" w:name="_Toc25572916"/>
      <w:r>
        <w:rPr>
          <w:rFonts w:hint="cs"/>
          <w:rtl/>
        </w:rPr>
        <w:t>ביאור</w:t>
      </w:r>
      <w:r w:rsidRPr="007401E6">
        <w:rPr>
          <w:rFonts w:hint="cs"/>
          <w:rtl/>
        </w:rPr>
        <w:t xml:space="preserve"> החזו"א</w:t>
      </w:r>
      <w:r>
        <w:rPr>
          <w:rFonts w:hint="cs"/>
          <w:rtl/>
        </w:rPr>
        <w:t xml:space="preserve"> ברא"ש דבביטול בלח לא חשיב שאוכל איסור</w:t>
      </w:r>
      <w:bookmarkEnd w:id="15013"/>
      <w:bookmarkEnd w:id="15014"/>
      <w:bookmarkEnd w:id="15015"/>
      <w:bookmarkEnd w:id="15016"/>
      <w:bookmarkEnd w:id="15017"/>
      <w:bookmarkEnd w:id="15018"/>
    </w:p>
    <w:p w:rsidR="003A5D2C" w:rsidRPr="00926966" w:rsidRDefault="003A5D2C" w:rsidP="003A5D2C">
      <w:pPr>
        <w:pStyle w:val="a2"/>
      </w:pPr>
      <w:bookmarkStart w:id="15019" w:name="_Toc25488206"/>
      <w:bookmarkStart w:id="15020" w:name="_Toc25524649"/>
      <w:bookmarkStart w:id="15021" w:name="_Toc25536148"/>
      <w:bookmarkStart w:id="15022" w:name="_Toc25571198"/>
      <w:bookmarkStart w:id="15023" w:name="_Toc25572674"/>
      <w:bookmarkStart w:id="15024" w:name="_Toc25572917"/>
      <w:r>
        <w:rPr>
          <w:rFonts w:hint="cs"/>
          <w:rtl/>
        </w:rPr>
        <w:t>קושית החזו"א אמאי לא הקשה הרא"ש על כל ביטול בלח דלא יועיל ביטול כמשא בב"א דטמא</w:t>
      </w:r>
      <w:bookmarkEnd w:id="15019"/>
      <w:bookmarkEnd w:id="15020"/>
      <w:bookmarkEnd w:id="15021"/>
      <w:bookmarkEnd w:id="15022"/>
      <w:bookmarkEnd w:id="15023"/>
      <w:bookmarkEnd w:id="15024"/>
    </w:p>
    <w:p w:rsidR="003A5D2C" w:rsidRDefault="003A5D2C" w:rsidP="009F44AF">
      <w:pPr>
        <w:pStyle w:val="a"/>
        <w:rPr>
          <w:rtl/>
        </w:rPr>
      </w:pPr>
      <w:bookmarkStart w:id="15025" w:name="_Ref25486566"/>
      <w:r>
        <w:rPr>
          <w:rFonts w:hint="cs"/>
          <w:rtl/>
        </w:rPr>
        <w:t xml:space="preserve">הקשה </w:t>
      </w:r>
      <w:r w:rsidRPr="002F04D5">
        <w:rPr>
          <w:rStyle w:val="af8"/>
          <w:rFonts w:hint="cs"/>
          <w:rtl/>
        </w:rPr>
        <w:t>החזו"א</w:t>
      </w:r>
      <w:r>
        <w:rPr>
          <w:rFonts w:hint="cs"/>
          <w:rtl/>
        </w:rPr>
        <w:t xml:space="preserve"> </w:t>
      </w:r>
      <w:r w:rsidRPr="002F04D5">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ל</w:t>
      </w:r>
      <w:r>
        <w:rPr>
          <w:rStyle w:val="af6"/>
          <w:rFonts w:eastAsia="Guttman Hodes"/>
          <w:rtl/>
        </w:rPr>
        <w:t>"</w:t>
      </w:r>
      <w:r>
        <w:rPr>
          <w:rStyle w:val="af6"/>
          <w:rFonts w:eastAsia="Guttman Hodes" w:hint="cs"/>
          <w:rtl/>
        </w:rPr>
        <w:t>ו סק</w:t>
      </w:r>
      <w:r>
        <w:rPr>
          <w:rStyle w:val="af6"/>
          <w:rFonts w:eastAsia="Guttman Hodes"/>
          <w:rtl/>
        </w:rPr>
        <w:t>"</w:t>
      </w:r>
      <w:r>
        <w:rPr>
          <w:rStyle w:val="af6"/>
          <w:rFonts w:eastAsia="Guttman Hodes" w:hint="cs"/>
          <w:rtl/>
        </w:rPr>
        <w:t>ד סוד</w:t>
      </w:r>
      <w:r>
        <w:rPr>
          <w:rStyle w:val="af6"/>
          <w:rFonts w:eastAsia="Guttman Hodes"/>
          <w:rtl/>
        </w:rPr>
        <w:t>"</w:t>
      </w:r>
      <w:r>
        <w:rPr>
          <w:rStyle w:val="af6"/>
          <w:rFonts w:eastAsia="Guttman Hodes" w:hint="cs"/>
          <w:rtl/>
        </w:rPr>
        <w:t>ה והנה, עוקצין סו</w:t>
      </w:r>
      <w:r>
        <w:rPr>
          <w:rStyle w:val="af6"/>
          <w:rFonts w:eastAsia="Guttman Hodes"/>
          <w:rtl/>
        </w:rPr>
        <w:t>"</w:t>
      </w:r>
      <w:r>
        <w:rPr>
          <w:rStyle w:val="af6"/>
          <w:rFonts w:eastAsia="Guttman Hodes" w:hint="cs"/>
          <w:rtl/>
        </w:rPr>
        <w:t>ס א</w:t>
      </w:r>
      <w:r>
        <w:rPr>
          <w:rStyle w:val="af6"/>
          <w:rFonts w:eastAsia="Guttman Hodes"/>
          <w:rtl/>
        </w:rPr>
        <w:t>'</w:t>
      </w:r>
      <w:r w:rsidRPr="002F04D5">
        <w:rPr>
          <w:rStyle w:val="af6"/>
          <w:rFonts w:eastAsia="Guttman Hodes" w:hint="cs"/>
          <w:rtl/>
        </w:rPr>
        <w:t>)</w:t>
      </w:r>
      <w:r>
        <w:rPr>
          <w:rFonts w:hint="cs"/>
          <w:rtl/>
        </w:rPr>
        <w:t xml:space="preserve"> אמאי הקשה </w:t>
      </w:r>
      <w:r w:rsidRPr="005E0E94">
        <w:rPr>
          <w:rStyle w:val="af8"/>
          <w:rFonts w:hint="cs"/>
          <w:rtl/>
        </w:rPr>
        <w:t>הרא"ש</w:t>
      </w:r>
      <w:r>
        <w:rPr>
          <w:rFonts w:hint="cs"/>
          <w:rtl/>
        </w:rPr>
        <w:t xml:space="preserve"> </w:t>
      </w:r>
      <w:r w:rsidRPr="00D250F3">
        <w:rPr>
          <w:rStyle w:val="af6"/>
          <w:rFonts w:eastAsia="Guttman Hodes" w:hint="cs"/>
          <w:rtl/>
        </w:rPr>
        <w:t xml:space="preserve">(עי' אות </w:t>
      </w:r>
      <w:r w:rsidRPr="00D250F3">
        <w:rPr>
          <w:rStyle w:val="af6"/>
          <w:rFonts w:eastAsia="Guttman Hodes"/>
          <w:rtl/>
        </w:rPr>
        <w:fldChar w:fldCharType="begin"/>
      </w:r>
      <w:r w:rsidRPr="00D250F3">
        <w:rPr>
          <w:rStyle w:val="af6"/>
          <w:rFonts w:eastAsia="Guttman Hodes"/>
          <w:rtl/>
        </w:rPr>
        <w:instrText xml:space="preserve"> </w:instrText>
      </w:r>
      <w:r w:rsidRPr="00D250F3">
        <w:rPr>
          <w:rStyle w:val="af6"/>
          <w:rFonts w:eastAsia="Guttman Hodes" w:hint="cs"/>
        </w:rPr>
        <w:instrText>REF</w:instrText>
      </w:r>
      <w:r w:rsidRPr="00D250F3">
        <w:rPr>
          <w:rStyle w:val="af6"/>
          <w:rFonts w:eastAsia="Guttman Hodes" w:hint="cs"/>
          <w:rtl/>
        </w:rPr>
        <w:instrText xml:space="preserve"> _</w:instrText>
      </w:r>
      <w:r w:rsidRPr="00D250F3">
        <w:rPr>
          <w:rStyle w:val="af6"/>
          <w:rFonts w:eastAsia="Guttman Hodes" w:hint="cs"/>
        </w:rPr>
        <w:instrText>Ref25485958 \r \h</w:instrText>
      </w:r>
      <w:r w:rsidRPr="00D250F3">
        <w:rPr>
          <w:rStyle w:val="af6"/>
          <w:rFonts w:eastAsia="Guttman Hodes"/>
          <w:rtl/>
        </w:rPr>
        <w:instrText xml:space="preserve"> </w:instrText>
      </w:r>
      <w:r w:rsidRPr="00D250F3">
        <w:rPr>
          <w:rStyle w:val="af6"/>
          <w:rFonts w:eastAsia="Guttman Hodes"/>
          <w:rtl/>
        </w:rPr>
      </w:r>
      <w:r w:rsidRPr="00D250F3">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D250F3">
        <w:rPr>
          <w:rStyle w:val="af6"/>
          <w:rFonts w:eastAsia="Guttman Hodes"/>
          <w:rtl/>
        </w:rPr>
        <w:fldChar w:fldCharType="end"/>
      </w:r>
      <w:r>
        <w:rPr>
          <w:rFonts w:hint="cs"/>
          <w:rtl/>
        </w:rPr>
        <w:t xml:space="preserve"> רק היאך מותר לאכול בבת אחת ביבש ביבש, ולא הקשה </w:t>
      </w:r>
      <w:r w:rsidRPr="00904816">
        <w:rPr>
          <w:rStyle w:val="af8"/>
          <w:rFonts w:hint="cs"/>
          <w:rtl/>
        </w:rPr>
        <w:t>הרא"ש</w:t>
      </w:r>
      <w:r>
        <w:rPr>
          <w:rFonts w:hint="cs"/>
          <w:rtl/>
        </w:rPr>
        <w:t xml:space="preserve"> כמו </w:t>
      </w:r>
      <w:r w:rsidRPr="005E0E94">
        <w:rPr>
          <w:rStyle w:val="af8"/>
          <w:rFonts w:hint="cs"/>
          <w:rtl/>
        </w:rPr>
        <w:t>שהקשו התוס' בבכורות</w:t>
      </w:r>
      <w:r>
        <w:rPr>
          <w:rFonts w:hint="cs"/>
          <w:rtl/>
        </w:rPr>
        <w:t xml:space="preserve"> </w:t>
      </w:r>
      <w:r w:rsidRPr="00D250F3">
        <w:rPr>
          <w:rStyle w:val="af6"/>
          <w:rFonts w:eastAsia="Guttman Hodes" w:hint="cs"/>
          <w:rtl/>
        </w:rPr>
        <w:t xml:space="preserve">(עי' אות </w:t>
      </w:r>
      <w:r w:rsidRPr="00D250F3">
        <w:rPr>
          <w:rStyle w:val="af6"/>
          <w:rFonts w:eastAsia="Guttman Hodes"/>
          <w:rtl/>
        </w:rPr>
        <w:fldChar w:fldCharType="begin"/>
      </w:r>
      <w:r w:rsidRPr="00D250F3">
        <w:rPr>
          <w:rStyle w:val="af6"/>
          <w:rFonts w:eastAsia="Guttman Hodes"/>
          <w:rtl/>
        </w:rPr>
        <w:instrText xml:space="preserve"> </w:instrText>
      </w:r>
      <w:r w:rsidRPr="00D250F3">
        <w:rPr>
          <w:rStyle w:val="af6"/>
          <w:rFonts w:eastAsia="Guttman Hodes" w:hint="cs"/>
        </w:rPr>
        <w:instrText>REF</w:instrText>
      </w:r>
      <w:r w:rsidRPr="00D250F3">
        <w:rPr>
          <w:rStyle w:val="af6"/>
          <w:rFonts w:eastAsia="Guttman Hodes" w:hint="cs"/>
          <w:rtl/>
        </w:rPr>
        <w:instrText xml:space="preserve"> _</w:instrText>
      </w:r>
      <w:r w:rsidRPr="00D250F3">
        <w:rPr>
          <w:rStyle w:val="af6"/>
          <w:rFonts w:eastAsia="Guttman Hodes" w:hint="cs"/>
        </w:rPr>
        <w:instrText>Ref25483335 \r \h</w:instrText>
      </w:r>
      <w:r w:rsidRPr="00D250F3">
        <w:rPr>
          <w:rStyle w:val="af6"/>
          <w:rFonts w:eastAsia="Guttman Hodes"/>
          <w:rtl/>
        </w:rPr>
        <w:instrText xml:space="preserve"> </w:instrText>
      </w:r>
      <w:r w:rsidRPr="00D250F3">
        <w:rPr>
          <w:rStyle w:val="af6"/>
          <w:rFonts w:eastAsia="Guttman Hodes"/>
          <w:rtl/>
        </w:rPr>
      </w:r>
      <w:r w:rsidRPr="00D250F3">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D250F3">
        <w:rPr>
          <w:rStyle w:val="af6"/>
          <w:rFonts w:eastAsia="Guttman Hodes"/>
          <w:rtl/>
        </w:rPr>
        <w:fldChar w:fldCharType="end"/>
      </w:r>
      <w:r>
        <w:rPr>
          <w:rFonts w:hint="cs"/>
          <w:rtl/>
        </w:rPr>
        <w:t xml:space="preserve">, דהיאך מותר לאכול בביטול ברוב אף בלח בלח, והרי לענין טומאה אף בלח בלח הוא טמא במשא, </w:t>
      </w:r>
      <w:r w:rsidRPr="005E0E94">
        <w:rPr>
          <w:rStyle w:val="afa"/>
          <w:rFonts w:hint="cs"/>
          <w:rtl/>
        </w:rPr>
        <w:t>[ובלח בלח הוא כאוכל בבת אחת, דהאיסור מעורב בכל ההיתר]</w:t>
      </w:r>
      <w:r>
        <w:rPr>
          <w:rStyle w:val="afa"/>
          <w:rFonts w:hint="cs"/>
          <w:rtl/>
        </w:rPr>
        <w:t>.</w:t>
      </w:r>
      <w:r>
        <w:rPr>
          <w:rFonts w:hint="cs"/>
          <w:rtl/>
        </w:rPr>
        <w:t xml:space="preserve"> [ועי' במה שתירץ </w:t>
      </w:r>
      <w:r w:rsidRPr="008E0AC7">
        <w:rPr>
          <w:rStyle w:val="af8"/>
          <w:rFonts w:hint="cs"/>
          <w:rtl/>
        </w:rPr>
        <w:t>השער"י</w:t>
      </w:r>
      <w:r>
        <w:rPr>
          <w:rFonts w:hint="cs"/>
          <w:rtl/>
        </w:rPr>
        <w:t xml:space="preserve"> </w:t>
      </w:r>
      <w:r w:rsidRPr="008E0AC7">
        <w:rPr>
          <w:rStyle w:val="af6"/>
          <w:rFonts w:eastAsia="Guttman Hodes" w:hint="cs"/>
          <w:rtl/>
        </w:rPr>
        <w:t xml:space="preserve">(עי' אות </w:t>
      </w:r>
      <w:r w:rsidRPr="008E0AC7">
        <w:rPr>
          <w:rStyle w:val="af6"/>
          <w:rFonts w:eastAsia="Guttman Hodes"/>
          <w:rtl/>
        </w:rPr>
        <w:fldChar w:fldCharType="begin"/>
      </w:r>
      <w:r w:rsidRPr="008E0AC7">
        <w:rPr>
          <w:rStyle w:val="af6"/>
          <w:rFonts w:eastAsia="Guttman Hodes"/>
          <w:rtl/>
        </w:rPr>
        <w:instrText xml:space="preserve"> </w:instrText>
      </w:r>
      <w:r w:rsidRPr="008E0AC7">
        <w:rPr>
          <w:rStyle w:val="af6"/>
          <w:rFonts w:eastAsia="Guttman Hodes" w:hint="cs"/>
        </w:rPr>
        <w:instrText>REF</w:instrText>
      </w:r>
      <w:r w:rsidRPr="008E0AC7">
        <w:rPr>
          <w:rStyle w:val="af6"/>
          <w:rFonts w:eastAsia="Guttman Hodes" w:hint="cs"/>
          <w:rtl/>
        </w:rPr>
        <w:instrText xml:space="preserve"> _</w:instrText>
      </w:r>
      <w:r w:rsidRPr="008E0AC7">
        <w:rPr>
          <w:rStyle w:val="af6"/>
          <w:rFonts w:eastAsia="Guttman Hodes" w:hint="cs"/>
        </w:rPr>
        <w:instrText>Ref25567073 \r \h</w:instrText>
      </w:r>
      <w:r w:rsidRPr="008E0AC7">
        <w:rPr>
          <w:rStyle w:val="af6"/>
          <w:rFonts w:eastAsia="Guttman Hodes"/>
          <w:rtl/>
        </w:rPr>
        <w:instrText xml:space="preserve"> </w:instrText>
      </w:r>
      <w:r w:rsidRPr="008E0AC7">
        <w:rPr>
          <w:rStyle w:val="af6"/>
          <w:rFonts w:eastAsia="Guttman Hodes"/>
          <w:rtl/>
        </w:rPr>
      </w:r>
      <w:r w:rsidRPr="008E0AC7">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8E0AC7">
        <w:rPr>
          <w:rStyle w:val="af6"/>
          <w:rFonts w:eastAsia="Guttman Hodes"/>
          <w:rtl/>
        </w:rPr>
        <w:fldChar w:fldCharType="end"/>
      </w:r>
      <w:r>
        <w:rPr>
          <w:rFonts w:hint="cs"/>
          <w:rtl/>
        </w:rPr>
        <w:t>].</w:t>
      </w:r>
      <w:bookmarkEnd w:id="15025"/>
    </w:p>
    <w:p w:rsidR="003A5D2C" w:rsidRPr="00926966" w:rsidRDefault="003A5D2C" w:rsidP="003A5D2C">
      <w:pPr>
        <w:pStyle w:val="a2"/>
        <w:rPr>
          <w:rtl/>
        </w:rPr>
      </w:pPr>
      <w:bookmarkStart w:id="15026" w:name="_Toc25488207"/>
      <w:bookmarkStart w:id="15027" w:name="_Toc25524650"/>
      <w:bookmarkStart w:id="15028" w:name="_Toc25536149"/>
      <w:bookmarkStart w:id="15029" w:name="_Toc25571199"/>
      <w:bookmarkStart w:id="15030" w:name="_Toc25572675"/>
      <w:bookmarkStart w:id="15031" w:name="_Toc25572918"/>
      <w:r>
        <w:rPr>
          <w:rFonts w:hint="cs"/>
          <w:rtl/>
        </w:rPr>
        <w:t>ביאור החזו"א דאפש"ל ברא"ש דבביטול בלח לא חשיב שאוכל את האיסור כלל</w:t>
      </w:r>
      <w:bookmarkEnd w:id="15026"/>
      <w:bookmarkEnd w:id="15027"/>
      <w:bookmarkEnd w:id="15028"/>
      <w:bookmarkEnd w:id="15029"/>
      <w:bookmarkEnd w:id="15030"/>
      <w:bookmarkEnd w:id="15031"/>
    </w:p>
    <w:p w:rsidR="003A5D2C" w:rsidRPr="00A01B22" w:rsidRDefault="003A5D2C" w:rsidP="009F44AF">
      <w:pPr>
        <w:pStyle w:val="a"/>
        <w:rPr>
          <w:rtl/>
        </w:rPr>
      </w:pPr>
      <w:bookmarkStart w:id="15032" w:name="_Ref25486638"/>
      <w:r>
        <w:rPr>
          <w:rFonts w:hint="cs"/>
          <w:rtl/>
        </w:rPr>
        <w:t xml:space="preserve">ותירץ </w:t>
      </w:r>
      <w:r w:rsidRPr="005E0E94">
        <w:rPr>
          <w:rStyle w:val="af8"/>
          <w:rFonts w:hint="cs"/>
          <w:rtl/>
        </w:rPr>
        <w:t>החזו"א</w:t>
      </w:r>
      <w:r>
        <w:rPr>
          <w:rFonts w:hint="cs"/>
          <w:rtl/>
        </w:rPr>
        <w:t xml:space="preserve"> דאפש"ל דס"ל </w:t>
      </w:r>
      <w:r w:rsidRPr="005E0E94">
        <w:rPr>
          <w:rStyle w:val="af8"/>
          <w:rFonts w:hint="cs"/>
          <w:rtl/>
        </w:rPr>
        <w:t>להרא"ש</w:t>
      </w:r>
      <w:r>
        <w:rPr>
          <w:rFonts w:hint="cs"/>
          <w:rtl/>
        </w:rPr>
        <w:t xml:space="preserve"> דביטול ברוב בלח בלח, לא חשיב אכילה כלל, </w:t>
      </w:r>
      <w:r w:rsidRPr="005E0E94">
        <w:rPr>
          <w:rStyle w:val="afa"/>
          <w:rFonts w:hint="cs"/>
          <w:rtl/>
        </w:rPr>
        <w:t>[והיינו דלכן מותר אף שהאיסור מעורב בהיתר, משא"כ בטומאת משא, דאף בלח בלח חשיב שהוא נושא את הטומאה]</w:t>
      </w:r>
      <w:bookmarkEnd w:id="15032"/>
      <w:r>
        <w:rPr>
          <w:rStyle w:val="afa"/>
          <w:rFonts w:hint="cs"/>
          <w:rtl/>
        </w:rPr>
        <w:t>,</w:t>
      </w:r>
      <w:r>
        <w:rPr>
          <w:rFonts w:hint="cs"/>
          <w:rtl/>
        </w:rPr>
        <w:t xml:space="preserve"> ועי' בדברי </w:t>
      </w:r>
      <w:r w:rsidRPr="00A01B22">
        <w:rPr>
          <w:rStyle w:val="af8"/>
          <w:rFonts w:hint="cs"/>
          <w:rtl/>
        </w:rPr>
        <w:t>המהר"י קורקוס</w:t>
      </w:r>
      <w:r>
        <w:rPr>
          <w:rFonts w:hint="cs"/>
          <w:rtl/>
        </w:rPr>
        <w:t xml:space="preserve"> </w:t>
      </w:r>
      <w:r w:rsidRPr="00A01B22">
        <w:rPr>
          <w:rStyle w:val="af6"/>
          <w:rFonts w:eastAsia="Guttman Hodes" w:hint="cs"/>
          <w:rtl/>
        </w:rPr>
        <w:t xml:space="preserve">(עי' אות </w:t>
      </w:r>
      <w:r w:rsidRPr="00A01B22">
        <w:rPr>
          <w:rStyle w:val="af6"/>
          <w:rFonts w:eastAsia="Guttman Hodes"/>
          <w:rtl/>
        </w:rPr>
        <w:fldChar w:fldCharType="begin"/>
      </w:r>
      <w:r w:rsidRPr="00A01B22">
        <w:rPr>
          <w:rStyle w:val="af6"/>
          <w:rFonts w:eastAsia="Guttman Hodes"/>
          <w:rtl/>
        </w:rPr>
        <w:instrText xml:space="preserve"> </w:instrText>
      </w:r>
      <w:r w:rsidRPr="00A01B22">
        <w:rPr>
          <w:rStyle w:val="af6"/>
          <w:rFonts w:eastAsia="Guttman Hodes" w:hint="cs"/>
        </w:rPr>
        <w:instrText>REF</w:instrText>
      </w:r>
      <w:r w:rsidRPr="00A01B22">
        <w:rPr>
          <w:rStyle w:val="af6"/>
          <w:rFonts w:eastAsia="Guttman Hodes" w:hint="cs"/>
          <w:rtl/>
        </w:rPr>
        <w:instrText xml:space="preserve"> _</w:instrText>
      </w:r>
      <w:r w:rsidRPr="00A01B22">
        <w:rPr>
          <w:rStyle w:val="af6"/>
          <w:rFonts w:eastAsia="Guttman Hodes" w:hint="cs"/>
        </w:rPr>
        <w:instrText>Ref25485269 \r \h</w:instrText>
      </w:r>
      <w:r w:rsidRPr="00A01B22">
        <w:rPr>
          <w:rStyle w:val="af6"/>
          <w:rFonts w:eastAsia="Guttman Hodes"/>
          <w:rtl/>
        </w:rPr>
        <w:instrText xml:space="preserve"> </w:instrText>
      </w:r>
      <w:r w:rsidRPr="00A01B22">
        <w:rPr>
          <w:rStyle w:val="af6"/>
          <w:rFonts w:eastAsia="Guttman Hodes"/>
          <w:rtl/>
        </w:rPr>
      </w:r>
      <w:r w:rsidRPr="00A01B22">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A01B22">
        <w:rPr>
          <w:rStyle w:val="af6"/>
          <w:rFonts w:eastAsia="Guttman Hodes"/>
          <w:rtl/>
        </w:rPr>
        <w:fldChar w:fldCharType="end"/>
      </w:r>
      <w:r>
        <w:rPr>
          <w:rFonts w:hint="cs"/>
          <w:rtl/>
        </w:rPr>
        <w:t>.</w:t>
      </w:r>
    </w:p>
    <w:p w:rsidR="003A5D2C" w:rsidRPr="00926966" w:rsidRDefault="003A5D2C" w:rsidP="003A5D2C">
      <w:pPr>
        <w:pStyle w:val="afd"/>
        <w:rPr>
          <w:rtl/>
        </w:rPr>
      </w:pPr>
      <w:bookmarkStart w:id="15033" w:name="_Toc25488208"/>
      <w:bookmarkStart w:id="15034" w:name="_Toc25524651"/>
      <w:bookmarkStart w:id="15035" w:name="_Toc25536150"/>
      <w:bookmarkStart w:id="15036" w:name="_Toc25571200"/>
      <w:bookmarkStart w:id="15037" w:name="_Toc25572676"/>
      <w:bookmarkStart w:id="15038" w:name="_Toc25572919"/>
      <w:r>
        <w:rPr>
          <w:rFonts w:hint="cs"/>
          <w:rtl/>
        </w:rPr>
        <w:t>ביאור</w:t>
      </w:r>
      <w:r w:rsidRPr="00BC5A2A">
        <w:rPr>
          <w:rFonts w:hint="cs"/>
          <w:rtl/>
        </w:rPr>
        <w:t xml:space="preserve"> התוס' </w:t>
      </w:r>
      <w:r>
        <w:rPr>
          <w:rFonts w:hint="cs"/>
          <w:rtl/>
        </w:rPr>
        <w:t>בנבילה שבטלה בשחוטה</w:t>
      </w:r>
      <w:bookmarkEnd w:id="15033"/>
      <w:bookmarkEnd w:id="15034"/>
      <w:bookmarkEnd w:id="15035"/>
      <w:bookmarkEnd w:id="15036"/>
      <w:bookmarkEnd w:id="15037"/>
      <w:bookmarkEnd w:id="15038"/>
    </w:p>
    <w:p w:rsidR="003A5D2C" w:rsidRDefault="003A5D2C" w:rsidP="003A5D2C">
      <w:pPr>
        <w:pStyle w:val="1"/>
        <w:rPr>
          <w:rtl/>
        </w:rPr>
      </w:pPr>
      <w:bookmarkStart w:id="15039" w:name="_Toc25184787"/>
      <w:bookmarkStart w:id="15040" w:name="_Toc25317256"/>
      <w:bookmarkStart w:id="15041" w:name="_Toc25488209"/>
      <w:bookmarkStart w:id="15042" w:name="_Toc25524652"/>
      <w:bookmarkStart w:id="15043" w:name="_Toc25536151"/>
      <w:bookmarkStart w:id="15044" w:name="_Toc25571201"/>
      <w:bookmarkStart w:id="15045" w:name="_Toc25572677"/>
      <w:bookmarkStart w:id="15046" w:name="_Toc25572920"/>
      <w:r>
        <w:rPr>
          <w:rFonts w:hint="cs"/>
          <w:rtl/>
        </w:rPr>
        <w:t>דברי התוס' בבכורות בביאור החילוק בין טומאת מגע למשא</w:t>
      </w:r>
      <w:bookmarkEnd w:id="15039"/>
      <w:bookmarkEnd w:id="15040"/>
      <w:bookmarkEnd w:id="15041"/>
      <w:bookmarkEnd w:id="15042"/>
      <w:bookmarkEnd w:id="15043"/>
      <w:bookmarkEnd w:id="15044"/>
      <w:bookmarkEnd w:id="15045"/>
      <w:bookmarkEnd w:id="15046"/>
    </w:p>
    <w:p w:rsidR="003A5D2C" w:rsidRPr="00926966" w:rsidRDefault="003A5D2C" w:rsidP="003A5D2C">
      <w:pPr>
        <w:pStyle w:val="a2"/>
      </w:pPr>
      <w:bookmarkStart w:id="15047" w:name="_Toc25488210"/>
      <w:bookmarkStart w:id="15048" w:name="_Toc25524653"/>
      <w:bookmarkStart w:id="15049" w:name="_Toc25536152"/>
      <w:bookmarkStart w:id="15050" w:name="_Toc25571202"/>
      <w:bookmarkStart w:id="15051" w:name="_Toc25572678"/>
      <w:bookmarkStart w:id="15052" w:name="_Toc25572921"/>
      <w:r>
        <w:rPr>
          <w:rFonts w:hint="cs"/>
          <w:rtl/>
        </w:rPr>
        <w:t>הביאור הא' בתוס' בבכורות דבמגע אינו נוגע בבת אחת וכיון שבטלה ברוב אינו ספק טומאה</w:t>
      </w:r>
      <w:bookmarkEnd w:id="15047"/>
      <w:bookmarkEnd w:id="15048"/>
      <w:bookmarkEnd w:id="15049"/>
      <w:bookmarkEnd w:id="15050"/>
      <w:bookmarkEnd w:id="15051"/>
      <w:bookmarkEnd w:id="15052"/>
    </w:p>
    <w:p w:rsidR="003A5D2C" w:rsidRDefault="003A5D2C" w:rsidP="009F44AF">
      <w:pPr>
        <w:pStyle w:val="a"/>
        <w:rPr>
          <w:rtl/>
        </w:rPr>
      </w:pPr>
      <w:bookmarkStart w:id="15053" w:name="_Ref25477770"/>
      <w:r>
        <w:rPr>
          <w:rFonts w:hint="cs"/>
          <w:rtl/>
        </w:rPr>
        <w:t xml:space="preserve">בביאור דברי הגמ' בבכורות </w:t>
      </w:r>
      <w:r w:rsidRPr="000618C3">
        <w:rPr>
          <w:rStyle w:val="af6"/>
          <w:rFonts w:eastAsia="Guttman Hodes" w:hint="cs"/>
          <w:rtl/>
        </w:rPr>
        <w:t>(כג.)</w:t>
      </w:r>
      <w:r>
        <w:rPr>
          <w:rFonts w:hint="cs"/>
          <w:rtl/>
        </w:rPr>
        <w:t xml:space="preserve"> דנבילה שבטלה בשחוטה מטמאה במשא ולא במגע, כתבו </w:t>
      </w:r>
      <w:r w:rsidRPr="000F5CE5">
        <w:rPr>
          <w:rStyle w:val="af8"/>
          <w:rFonts w:hint="cs"/>
          <w:rtl/>
        </w:rPr>
        <w:t xml:space="preserve">התוס' בבכורות </w:t>
      </w:r>
      <w:r w:rsidRPr="00682293">
        <w:rPr>
          <w:rStyle w:val="af8"/>
          <w:rFonts w:hint="cs"/>
          <w:rtl/>
        </w:rPr>
        <w:t>בביאור הא'</w:t>
      </w:r>
      <w:r w:rsidRPr="000F5CE5">
        <w:rPr>
          <w:rStyle w:val="af6"/>
          <w:rFonts w:eastAsia="Guttman Hodes" w:hint="cs"/>
          <w:rtl/>
        </w:rPr>
        <w:t xml:space="preserve"> (כג. ד"ה נבילה)</w:t>
      </w:r>
      <w:r>
        <w:rPr>
          <w:rFonts w:hint="cs"/>
          <w:rtl/>
        </w:rPr>
        <w:t xml:space="preserve"> דכיון שאינו נוגע בכל התערובת בבת אחת, ובכל פעם שנוגע, אינו יודע אם נגע בנבילה הטמאה או ברוב השחוטה, ואינו נחשב ספק טומאה ברה"י, כיון שהטומאה בטלה ברוב.</w:t>
      </w:r>
      <w:bookmarkEnd w:id="15053"/>
    </w:p>
    <w:p w:rsidR="003A5D2C" w:rsidRPr="00926966" w:rsidRDefault="003A5D2C" w:rsidP="003A5D2C">
      <w:pPr>
        <w:pStyle w:val="a2"/>
        <w:rPr>
          <w:rtl/>
        </w:rPr>
      </w:pPr>
      <w:bookmarkStart w:id="15054" w:name="_Toc25488211"/>
      <w:bookmarkStart w:id="15055" w:name="_Toc25524654"/>
      <w:bookmarkStart w:id="15056" w:name="_Toc25536153"/>
      <w:bookmarkStart w:id="15057" w:name="_Toc25571203"/>
      <w:bookmarkStart w:id="15058" w:name="_Toc25572679"/>
      <w:bookmarkStart w:id="15059" w:name="_Toc25572922"/>
      <w:r>
        <w:rPr>
          <w:rFonts w:hint="cs"/>
          <w:rtl/>
        </w:rPr>
        <w:t>הביאור הב' בתוס' בבכורות דבנבילה בשחוטה איירי בנימוח ולכן אינה מטמאה במגע</w:t>
      </w:r>
      <w:bookmarkEnd w:id="15054"/>
      <w:bookmarkEnd w:id="15055"/>
      <w:bookmarkEnd w:id="15056"/>
      <w:bookmarkEnd w:id="15057"/>
      <w:bookmarkEnd w:id="15058"/>
      <w:bookmarkEnd w:id="15059"/>
    </w:p>
    <w:p w:rsidR="003A5D2C" w:rsidRPr="00C766E2" w:rsidRDefault="003A5D2C" w:rsidP="009F44AF">
      <w:pPr>
        <w:pStyle w:val="a"/>
        <w:rPr>
          <w:rtl/>
        </w:rPr>
      </w:pPr>
      <w:bookmarkStart w:id="15060" w:name="_Ref25477815"/>
      <w:r>
        <w:rPr>
          <w:rFonts w:hint="cs"/>
          <w:rtl/>
        </w:rPr>
        <w:t xml:space="preserve">ועוד כתבו </w:t>
      </w:r>
      <w:r>
        <w:rPr>
          <w:rStyle w:val="af8"/>
          <w:rFonts w:hint="cs"/>
          <w:rtl/>
        </w:rPr>
        <w:t>התוס' בבכורות בביאור</w:t>
      </w:r>
      <w:r w:rsidRPr="000F5CE5">
        <w:rPr>
          <w:rStyle w:val="af8"/>
          <w:rFonts w:hint="cs"/>
          <w:rtl/>
        </w:rPr>
        <w:t xml:space="preserve"> הב'</w:t>
      </w:r>
      <w:r>
        <w:rPr>
          <w:rFonts w:hint="cs"/>
          <w:rtl/>
        </w:rPr>
        <w:t xml:space="preserve"> דאיירי שכל התערובת של הנבילה והשחוטה נימוחה יחד, ולכן אינה מטמאה במגע כטומאה שנתרדדה, וכתבו </w:t>
      </w:r>
      <w:r w:rsidRPr="000618C3">
        <w:rPr>
          <w:rStyle w:val="af8"/>
          <w:rFonts w:hint="cs"/>
          <w:rtl/>
        </w:rPr>
        <w:t>התוס' בבכורות</w:t>
      </w:r>
      <w:r>
        <w:rPr>
          <w:rFonts w:hint="cs"/>
          <w:rtl/>
        </w:rPr>
        <w:t xml:space="preserve"> דאף לדעת ר"ע לקמן </w:t>
      </w:r>
      <w:r w:rsidRPr="000F5CE5">
        <w:rPr>
          <w:rStyle w:val="af6"/>
          <w:rFonts w:eastAsia="Guttman Hodes" w:hint="cs"/>
          <w:rtl/>
        </w:rPr>
        <w:t>(קכד:)</w:t>
      </w:r>
      <w:r>
        <w:rPr>
          <w:rFonts w:hint="cs"/>
          <w:rtl/>
        </w:rPr>
        <w:t xml:space="preserve"> שמטמא במרודד במגע, מ"מ בנבילה שנימוחה בשחוטה אינו מטמא במגע, כיון שהנבילה בטלה ברוב.</w:t>
      </w:r>
      <w:bookmarkEnd w:id="15060"/>
      <w:r>
        <w:rPr>
          <w:rFonts w:hint="cs"/>
          <w:rtl/>
        </w:rPr>
        <w:t xml:space="preserve"> </w:t>
      </w:r>
    </w:p>
    <w:p w:rsidR="003A5D2C" w:rsidRPr="00926966" w:rsidRDefault="003A5D2C" w:rsidP="003A5D2C">
      <w:pPr>
        <w:pStyle w:val="a2"/>
        <w:rPr>
          <w:rtl/>
        </w:rPr>
      </w:pPr>
      <w:bookmarkStart w:id="15061" w:name="_Toc25488212"/>
      <w:bookmarkStart w:id="15062" w:name="_Toc25524655"/>
      <w:bookmarkStart w:id="15063" w:name="_Toc25536154"/>
      <w:bookmarkStart w:id="15064" w:name="_Toc25571204"/>
      <w:bookmarkStart w:id="15065" w:name="_Toc25572680"/>
      <w:bookmarkStart w:id="15066" w:name="_Toc25572923"/>
      <w:r>
        <w:rPr>
          <w:rFonts w:hint="cs"/>
          <w:rtl/>
        </w:rPr>
        <w:t>קושית השיטמ"ק על הביאור הא' בתוס' דבמשא טהור אף בנשא בזה אחר זה</w:t>
      </w:r>
      <w:bookmarkEnd w:id="15061"/>
      <w:bookmarkEnd w:id="15062"/>
      <w:bookmarkEnd w:id="15063"/>
      <w:bookmarkEnd w:id="15064"/>
      <w:bookmarkEnd w:id="15065"/>
      <w:bookmarkEnd w:id="15066"/>
    </w:p>
    <w:p w:rsidR="003A5D2C" w:rsidRPr="00572547" w:rsidRDefault="003A5D2C" w:rsidP="009F44AF">
      <w:pPr>
        <w:pStyle w:val="a"/>
        <w:rPr>
          <w:rtl/>
        </w:rPr>
      </w:pPr>
      <w:r w:rsidRPr="000F5CE5">
        <w:rPr>
          <w:rStyle w:val="af8"/>
          <w:rFonts w:hint="cs"/>
          <w:rtl/>
        </w:rPr>
        <w:t>ובשיטמ"ק בבכורות</w:t>
      </w:r>
      <w:r>
        <w:rPr>
          <w:rFonts w:hint="cs"/>
          <w:rtl/>
        </w:rPr>
        <w:t xml:space="preserve"> </w:t>
      </w:r>
      <w:r w:rsidRPr="000F5CE5">
        <w:rPr>
          <w:rStyle w:val="af6"/>
          <w:rFonts w:eastAsia="Guttman Hodes" w:hint="cs"/>
          <w:rtl/>
        </w:rPr>
        <w:t>(כג. עד הדף או' כ"ד)</w:t>
      </w:r>
      <w:r>
        <w:rPr>
          <w:rFonts w:hint="cs"/>
          <w:rtl/>
        </w:rPr>
        <w:t xml:space="preserve"> כתב </w:t>
      </w:r>
      <w:r w:rsidRPr="000F5CE5">
        <w:rPr>
          <w:rStyle w:val="af8"/>
          <w:rFonts w:hint="cs"/>
          <w:rtl/>
        </w:rPr>
        <w:t>דהביאור הא' בתוס' בבכורות</w:t>
      </w:r>
      <w:r>
        <w:rPr>
          <w:rFonts w:hint="cs"/>
          <w:rtl/>
        </w:rPr>
        <w:t xml:space="preserve"> </w:t>
      </w:r>
      <w:r w:rsidRPr="00FA180A">
        <w:rPr>
          <w:rStyle w:val="af6"/>
          <w:rFonts w:eastAsia="Guttman Hodes" w:hint="cs"/>
          <w:rtl/>
        </w:rPr>
        <w:t xml:space="preserve">(עי' אות </w:t>
      </w:r>
      <w:r w:rsidRPr="00FA180A">
        <w:rPr>
          <w:rStyle w:val="af6"/>
          <w:rFonts w:eastAsia="Guttman Hodes"/>
          <w:rtl/>
        </w:rPr>
        <w:fldChar w:fldCharType="begin"/>
      </w:r>
      <w:r w:rsidRPr="00FA180A">
        <w:rPr>
          <w:rStyle w:val="af6"/>
          <w:rFonts w:eastAsia="Guttman Hodes"/>
          <w:rtl/>
        </w:rPr>
        <w:instrText xml:space="preserve"> </w:instrText>
      </w:r>
      <w:r w:rsidRPr="00FA180A">
        <w:rPr>
          <w:rStyle w:val="af6"/>
          <w:rFonts w:eastAsia="Guttman Hodes" w:hint="cs"/>
        </w:rPr>
        <w:instrText>REF</w:instrText>
      </w:r>
      <w:r w:rsidRPr="00FA180A">
        <w:rPr>
          <w:rStyle w:val="af6"/>
          <w:rFonts w:eastAsia="Guttman Hodes" w:hint="cs"/>
          <w:rtl/>
        </w:rPr>
        <w:instrText xml:space="preserve"> _</w:instrText>
      </w:r>
      <w:r w:rsidRPr="00FA180A">
        <w:rPr>
          <w:rStyle w:val="af6"/>
          <w:rFonts w:eastAsia="Guttman Hodes" w:hint="cs"/>
        </w:rPr>
        <w:instrText>Ref25477770 \r \h</w:instrText>
      </w:r>
      <w:r w:rsidRPr="00FA180A">
        <w:rPr>
          <w:rStyle w:val="af6"/>
          <w:rFonts w:eastAsia="Guttman Hodes"/>
          <w:rtl/>
        </w:rPr>
        <w:instrText xml:space="preserve"> </w:instrText>
      </w:r>
      <w:r w:rsidRPr="00FA180A">
        <w:rPr>
          <w:rStyle w:val="af6"/>
          <w:rFonts w:eastAsia="Guttman Hodes"/>
          <w:rtl/>
        </w:rPr>
      </w:r>
      <w:r w:rsidRPr="00FA180A">
        <w:rPr>
          <w:rStyle w:val="af6"/>
          <w:rFonts w:eastAsia="Guttman Hodes"/>
          <w:rtl/>
        </w:rPr>
        <w:fldChar w:fldCharType="separate"/>
      </w:r>
      <w:r w:rsidR="004D1C5B">
        <w:rPr>
          <w:rStyle w:val="af6"/>
          <w:rFonts w:eastAsia="Guttman Hodes"/>
          <w:cs/>
        </w:rPr>
        <w:t>‎</w:t>
      </w:r>
      <w:r w:rsidR="004D1C5B">
        <w:rPr>
          <w:rStyle w:val="af6"/>
          <w:rFonts w:eastAsia="Guttman Hodes"/>
          <w:rtl/>
        </w:rPr>
        <w:t>כח)</w:t>
      </w:r>
      <w:r w:rsidRPr="00FA180A">
        <w:rPr>
          <w:rStyle w:val="af6"/>
          <w:rFonts w:eastAsia="Guttman Hodes"/>
          <w:rtl/>
        </w:rPr>
        <w:fldChar w:fldCharType="end"/>
      </w:r>
      <w:r>
        <w:rPr>
          <w:rFonts w:hint="cs"/>
          <w:rtl/>
        </w:rPr>
        <w:t xml:space="preserve"> הוא דוחק, ועוד דאף במשא אינה מטמאה אם הגביה את הטומאה בזה אחר זה, וכתב </w:t>
      </w:r>
      <w:r w:rsidRPr="000F5CE5">
        <w:rPr>
          <w:rStyle w:val="af8"/>
          <w:rFonts w:hint="cs"/>
          <w:rtl/>
        </w:rPr>
        <w:t>השיטמ"ק בבכורות</w:t>
      </w:r>
      <w:r>
        <w:rPr>
          <w:rFonts w:hint="cs"/>
          <w:rtl/>
        </w:rPr>
        <w:t xml:space="preserve"> דלכן נראה </w:t>
      </w:r>
      <w:r w:rsidRPr="000F5CE5">
        <w:rPr>
          <w:rStyle w:val="afa"/>
          <w:rFonts w:hint="cs"/>
          <w:rtl/>
        </w:rPr>
        <w:t>[</w:t>
      </w:r>
      <w:r w:rsidRPr="000F5CE5">
        <w:rPr>
          <w:rStyle w:val="affa"/>
          <w:rFonts w:hint="cs"/>
          <w:rtl/>
        </w:rPr>
        <w:t>כביאור הב' בתוס'</w:t>
      </w:r>
      <w:r>
        <w:rPr>
          <w:rStyle w:val="afa"/>
          <w:rFonts w:hint="cs"/>
          <w:rtl/>
        </w:rPr>
        <w:t xml:space="preserve"> </w:t>
      </w:r>
      <w:r w:rsidRPr="00FA180A">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Ref25477815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כט)</w:t>
      </w:r>
      <w:r>
        <w:rPr>
          <w:rStyle w:val="aff6"/>
          <w:rtl/>
        </w:rPr>
        <w:fldChar w:fldCharType="end"/>
      </w:r>
      <w:r w:rsidRPr="000F5CE5">
        <w:rPr>
          <w:rStyle w:val="afa"/>
          <w:rFonts w:hint="cs"/>
          <w:rtl/>
        </w:rPr>
        <w:t>]</w:t>
      </w:r>
      <w:r>
        <w:rPr>
          <w:rFonts w:hint="cs"/>
          <w:rtl/>
        </w:rPr>
        <w:t xml:space="preserve"> דאיירי בנימוח. [בדין טומאת משא, בנשא את כל החתיכות בזה אחר זה,</w:t>
      </w:r>
      <w:r w:rsidRPr="00AC4B4E">
        <w:rPr>
          <w:rFonts w:hint="cs"/>
          <w:rtl/>
        </w:rPr>
        <w:t xml:space="preserve"> </w:t>
      </w:r>
      <w:r>
        <w:rPr>
          <w:rFonts w:hint="cs"/>
          <w:rtl/>
        </w:rPr>
        <w:t xml:space="preserve">עי' במ"ש </w:t>
      </w:r>
      <w:r w:rsidRPr="005F2A87">
        <w:rPr>
          <w:rStyle w:val="af8"/>
          <w:rFonts w:hint="cs"/>
          <w:rtl/>
        </w:rPr>
        <w:t>בחזו"א</w:t>
      </w:r>
      <w:r>
        <w:rPr>
          <w:rFonts w:hint="cs"/>
          <w:rtl/>
        </w:rPr>
        <w:t xml:space="preserve"> </w:t>
      </w:r>
      <w:r w:rsidRPr="005F2A87">
        <w:rPr>
          <w:rStyle w:val="af6"/>
          <w:rFonts w:eastAsia="Guttman Hodes" w:hint="cs"/>
          <w:rtl/>
        </w:rPr>
        <w:t xml:space="preserve">(עי' </w:t>
      </w:r>
      <w:r w:rsidRPr="00FC2CD7">
        <w:rPr>
          <w:rStyle w:val="af6"/>
          <w:rFonts w:eastAsia="Guttman Hodes" w:hint="cs"/>
          <w:rtl/>
        </w:rPr>
        <w:t xml:space="preserve">אות </w:t>
      </w:r>
      <w:r w:rsidRPr="00FC2CD7">
        <w:rPr>
          <w:rStyle w:val="af6"/>
          <w:rFonts w:eastAsia="Guttman Hodes"/>
          <w:rtl/>
        </w:rPr>
        <w:fldChar w:fldCharType="begin"/>
      </w:r>
      <w:r w:rsidRPr="00FC2CD7">
        <w:rPr>
          <w:rStyle w:val="af6"/>
          <w:rFonts w:eastAsia="Guttman Hodes"/>
          <w:rtl/>
        </w:rPr>
        <w:instrText xml:space="preserve"> </w:instrText>
      </w:r>
      <w:r w:rsidRPr="00FC2CD7">
        <w:rPr>
          <w:rStyle w:val="af6"/>
          <w:rFonts w:eastAsia="Guttman Hodes" w:hint="cs"/>
        </w:rPr>
        <w:instrText>REF</w:instrText>
      </w:r>
      <w:r w:rsidRPr="00FC2CD7">
        <w:rPr>
          <w:rStyle w:val="af6"/>
          <w:rFonts w:eastAsia="Guttman Hodes" w:hint="cs"/>
          <w:rtl/>
        </w:rPr>
        <w:instrText xml:space="preserve"> _</w:instrText>
      </w:r>
      <w:r w:rsidRPr="00FC2CD7">
        <w:rPr>
          <w:rStyle w:val="af6"/>
          <w:rFonts w:eastAsia="Guttman Hodes" w:hint="cs"/>
        </w:rPr>
        <w:instrText>Ref25487756 \r \h</w:instrText>
      </w:r>
      <w:r w:rsidRPr="00FC2CD7">
        <w:rPr>
          <w:rStyle w:val="af6"/>
          <w:rFonts w:eastAsia="Guttman Hodes"/>
          <w:rtl/>
        </w:rPr>
        <w:instrText xml:space="preserve"> </w:instrText>
      </w:r>
      <w:r w:rsidRPr="00FC2CD7">
        <w:rPr>
          <w:rStyle w:val="af6"/>
          <w:rFonts w:eastAsia="Guttman Hodes"/>
          <w:rtl/>
        </w:rPr>
      </w:r>
      <w:r w:rsidRPr="00FC2CD7">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FC2CD7">
        <w:rPr>
          <w:rStyle w:val="af6"/>
          <w:rFonts w:eastAsia="Guttman Hodes"/>
          <w:rtl/>
        </w:rPr>
        <w:fldChar w:fldCharType="end"/>
      </w:r>
      <w:r>
        <w:rPr>
          <w:rFonts w:hint="cs"/>
          <w:rtl/>
        </w:rPr>
        <w:t xml:space="preserve"> ועי' בדברי </w:t>
      </w:r>
      <w:r w:rsidRPr="00B672EA">
        <w:rPr>
          <w:rStyle w:val="af8"/>
          <w:rFonts w:hint="cs"/>
          <w:rtl/>
        </w:rPr>
        <w:t>השער"י</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Ref25525613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B672EA">
        <w:rPr>
          <w:rStyle w:val="af6"/>
          <w:rFonts w:eastAsia="Guttman Hodes"/>
          <w:rtl/>
        </w:rPr>
        <w:fldChar w:fldCharType="end"/>
      </w:r>
      <w:r>
        <w:rPr>
          <w:rFonts w:hint="cs"/>
          <w:rtl/>
        </w:rPr>
        <w:t xml:space="preserve"> </w:t>
      </w:r>
      <w:r w:rsidRPr="00B672EA">
        <w:rPr>
          <w:rStyle w:val="af8"/>
          <w:rFonts w:hint="cs"/>
          <w:rtl/>
        </w:rPr>
        <w:t>והקוע"ה</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Ref25524895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B672EA">
        <w:rPr>
          <w:rStyle w:val="af6"/>
          <w:rFonts w:eastAsia="Guttman Hodes"/>
          <w:rtl/>
        </w:rPr>
        <w:fldChar w:fldCharType="end"/>
      </w:r>
      <w:r>
        <w:rPr>
          <w:rFonts w:hint="cs"/>
          <w:rtl/>
        </w:rPr>
        <w:t xml:space="preserve"> </w:t>
      </w:r>
      <w:r w:rsidRPr="00B672EA">
        <w:rPr>
          <w:rStyle w:val="af8"/>
          <w:rFonts w:hint="cs"/>
          <w:rtl/>
        </w:rPr>
        <w:t>והקה"י</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Ref25570814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B672EA">
        <w:rPr>
          <w:rStyle w:val="af6"/>
          <w:rFonts w:eastAsia="Guttman Hodes"/>
          <w:rtl/>
        </w:rPr>
        <w:fldChar w:fldCharType="end"/>
      </w:r>
      <w:r>
        <w:rPr>
          <w:rStyle w:val="af8"/>
          <w:rFonts w:hint="cs"/>
          <w:rtl/>
        </w:rPr>
        <w:t xml:space="preserve"> </w:t>
      </w:r>
      <w:r w:rsidRPr="00FA180A">
        <w:rPr>
          <w:rStyle w:val="af8"/>
          <w:rFonts w:hint="cs"/>
          <w:rtl/>
        </w:rPr>
        <w:t>ובמשנת ר"א</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Ref25570958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B672EA">
        <w:rPr>
          <w:rStyle w:val="af6"/>
          <w:rFonts w:eastAsia="Guttman Hodes"/>
          <w:rtl/>
        </w:rPr>
        <w:fldChar w:fldCharType="end"/>
      </w:r>
      <w:r>
        <w:rPr>
          <w:rFonts w:hint="cs"/>
          <w:rtl/>
        </w:rPr>
        <w:t>].</w:t>
      </w:r>
    </w:p>
    <w:p w:rsidR="003A5D2C" w:rsidRDefault="003A5D2C" w:rsidP="003A5D2C">
      <w:pPr>
        <w:pStyle w:val="1"/>
        <w:rPr>
          <w:rtl/>
        </w:rPr>
      </w:pPr>
      <w:bookmarkStart w:id="15067" w:name="_Toc25184788"/>
      <w:bookmarkStart w:id="15068" w:name="_Toc25317257"/>
      <w:bookmarkStart w:id="15069" w:name="_Toc25488213"/>
      <w:bookmarkStart w:id="15070" w:name="_Toc25524656"/>
      <w:bookmarkStart w:id="15071" w:name="_Toc25536155"/>
      <w:bookmarkStart w:id="15072" w:name="_Toc25571205"/>
      <w:bookmarkStart w:id="15073" w:name="_Toc25572681"/>
      <w:bookmarkStart w:id="15074" w:name="_Toc25572924"/>
      <w:r>
        <w:rPr>
          <w:rFonts w:hint="cs"/>
          <w:rtl/>
        </w:rPr>
        <w:t>ביאור התוס' בבכורות בחילוק בין ביטול טומאה לביטול איסור</w:t>
      </w:r>
      <w:bookmarkEnd w:id="15067"/>
      <w:bookmarkEnd w:id="15068"/>
      <w:bookmarkEnd w:id="15069"/>
      <w:bookmarkEnd w:id="15070"/>
      <w:bookmarkEnd w:id="15071"/>
      <w:bookmarkEnd w:id="15072"/>
      <w:bookmarkEnd w:id="15073"/>
      <w:bookmarkEnd w:id="15074"/>
    </w:p>
    <w:p w:rsidR="003A5D2C" w:rsidRPr="00926966" w:rsidRDefault="003A5D2C" w:rsidP="003A5D2C">
      <w:pPr>
        <w:pStyle w:val="a2"/>
        <w:rPr>
          <w:rtl/>
        </w:rPr>
      </w:pPr>
      <w:bookmarkStart w:id="15075" w:name="_Toc25488214"/>
      <w:bookmarkStart w:id="15076" w:name="_Toc25524657"/>
      <w:bookmarkStart w:id="15077" w:name="_Toc25536156"/>
      <w:bookmarkStart w:id="15078" w:name="_Toc25571206"/>
      <w:bookmarkStart w:id="15079" w:name="_Toc25572682"/>
      <w:bookmarkStart w:id="15080" w:name="_Toc25572925"/>
      <w:r>
        <w:rPr>
          <w:rFonts w:hint="cs"/>
          <w:rtl/>
        </w:rPr>
        <w:t>קושית התוס' דמ"ש טומאת משא דאינה בטלה ברוב מאיסור דבטל ברוב</w:t>
      </w:r>
      <w:bookmarkEnd w:id="15075"/>
      <w:bookmarkEnd w:id="15076"/>
      <w:bookmarkEnd w:id="15077"/>
      <w:bookmarkEnd w:id="15078"/>
      <w:bookmarkEnd w:id="15079"/>
      <w:bookmarkEnd w:id="15080"/>
    </w:p>
    <w:p w:rsidR="003A5D2C" w:rsidRDefault="003A5D2C" w:rsidP="009F44AF">
      <w:pPr>
        <w:pStyle w:val="a"/>
        <w:rPr>
          <w:rtl/>
        </w:rPr>
      </w:pPr>
      <w:bookmarkStart w:id="15081" w:name="_Ref25483335"/>
      <w:r>
        <w:rPr>
          <w:rFonts w:hint="cs"/>
          <w:rtl/>
        </w:rPr>
        <w:lastRenderedPageBreak/>
        <w:t xml:space="preserve">הקשו </w:t>
      </w:r>
      <w:r w:rsidRPr="005D4574">
        <w:rPr>
          <w:rStyle w:val="af8"/>
          <w:rFonts w:hint="cs"/>
          <w:rtl/>
        </w:rPr>
        <w:t>התוס' בבכורות</w:t>
      </w:r>
      <w:r>
        <w:rPr>
          <w:rFonts w:hint="cs"/>
          <w:rtl/>
        </w:rPr>
        <w:t xml:space="preserve"> </w:t>
      </w:r>
      <w:r w:rsidRPr="005D4574">
        <w:rPr>
          <w:rStyle w:val="af6"/>
          <w:rFonts w:eastAsia="Guttman Hodes" w:hint="cs"/>
          <w:rtl/>
        </w:rPr>
        <w:t>(כג. ד"ה נבילה)</w:t>
      </w:r>
      <w:r>
        <w:rPr>
          <w:rFonts w:hint="cs"/>
          <w:rtl/>
        </w:rPr>
        <w:t xml:space="preserve"> דאמאי לענין טומאת משא, לא מהני הביטול ברוב, כיון שהוא נושא את הטומאה, אבל לענין איסור מהני ביטול ברוב, כמבואר בגמ' בזבחים </w:t>
      </w:r>
      <w:r w:rsidRPr="005D4574">
        <w:rPr>
          <w:rStyle w:val="af6"/>
          <w:rFonts w:eastAsia="Guttman Hodes" w:hint="cs"/>
          <w:rtl/>
        </w:rPr>
        <w:t>(עח.)</w:t>
      </w:r>
      <w:r>
        <w:rPr>
          <w:rFonts w:hint="cs"/>
          <w:rtl/>
        </w:rPr>
        <w:t xml:space="preserve"> דפיגול ונותר וטמא שבללן זה בזה ואכלן פטור, כיון שלא יתכן שלא ירבה מין אחד על מין אחר ויבטל אותו, והוכיחה מזה הגמ' בזבחים דאיסורים מבטלין זה את זה, וכתבו </w:t>
      </w:r>
      <w:r w:rsidRPr="005D4574">
        <w:rPr>
          <w:rStyle w:val="af8"/>
          <w:rFonts w:hint="cs"/>
          <w:rtl/>
        </w:rPr>
        <w:t>התוס' בבכורות</w:t>
      </w:r>
      <w:r>
        <w:rPr>
          <w:rFonts w:hint="cs"/>
          <w:rtl/>
        </w:rPr>
        <w:t xml:space="preserve"> דמבואר דבהיתר ואיסור פשיטא לגמ' דההיתר מבטלא את האיסור, וא"כ ה"ה בנבילה שנימוחה בשחוטה, דאף דלענין טומאה אין הנבילה בטלה ומטמאה במשא, מ"מ לענין איסור בטלה, ואף אם יאכל כזית בכדי אכילת פרס הוא פטור, אעפ"י שממה נפשך אכל כזית נבילה בכדי אכילת פרס, ועוד הקשו </w:t>
      </w:r>
      <w:r w:rsidRPr="005D4574">
        <w:rPr>
          <w:rStyle w:val="af8"/>
          <w:rFonts w:hint="cs"/>
          <w:rtl/>
        </w:rPr>
        <w:t>התוס' בבכורות</w:t>
      </w:r>
      <w:r>
        <w:rPr>
          <w:rFonts w:hint="cs"/>
          <w:rtl/>
        </w:rPr>
        <w:t xml:space="preserve"> מהא דמקשה הגמ' בסוגיין דגיד יתבטל ברוב, ומשמע דכל איסור שאינו בריה בטל ברוב, ומ"ש מטומאה שאינה בטלה ומטמאה במשא.</w:t>
      </w:r>
      <w:bookmarkEnd w:id="15081"/>
    </w:p>
    <w:p w:rsidR="003A5D2C" w:rsidRPr="00926966" w:rsidRDefault="003A5D2C" w:rsidP="003A5D2C">
      <w:pPr>
        <w:pStyle w:val="a2"/>
        <w:rPr>
          <w:rtl/>
        </w:rPr>
      </w:pPr>
      <w:bookmarkStart w:id="15082" w:name="_Toc25488215"/>
      <w:bookmarkStart w:id="15083" w:name="_Toc25524658"/>
      <w:bookmarkStart w:id="15084" w:name="_Toc25536157"/>
      <w:bookmarkStart w:id="15085" w:name="_Toc25571207"/>
      <w:bookmarkStart w:id="15086" w:name="_Toc25572683"/>
      <w:bookmarkStart w:id="15087" w:name="_Toc25572926"/>
      <w:r>
        <w:rPr>
          <w:rFonts w:hint="cs"/>
          <w:rtl/>
        </w:rPr>
        <w:t>התירוץ הא' בתוס' דאיסור בטל בכל משהו שבולע וקמא קמא בטיל משא"כ במשא</w:t>
      </w:r>
      <w:bookmarkEnd w:id="15082"/>
      <w:bookmarkEnd w:id="15083"/>
      <w:bookmarkEnd w:id="15084"/>
      <w:bookmarkEnd w:id="15085"/>
      <w:bookmarkEnd w:id="15086"/>
      <w:bookmarkEnd w:id="15087"/>
    </w:p>
    <w:p w:rsidR="003A5D2C" w:rsidRDefault="003A5D2C" w:rsidP="009F44AF">
      <w:pPr>
        <w:pStyle w:val="a"/>
        <w:rPr>
          <w:rtl/>
        </w:rPr>
      </w:pPr>
      <w:bookmarkStart w:id="15088" w:name="_Ref25483714"/>
      <w:bookmarkStart w:id="15089" w:name="_Ref25522241"/>
      <w:r>
        <w:rPr>
          <w:rFonts w:hint="cs"/>
          <w:rtl/>
        </w:rPr>
        <w:t xml:space="preserve">ותירצו </w:t>
      </w:r>
      <w:r w:rsidRPr="005D4574">
        <w:rPr>
          <w:rStyle w:val="af8"/>
          <w:rFonts w:hint="cs"/>
          <w:rtl/>
        </w:rPr>
        <w:t>התוס' בבכורות</w:t>
      </w:r>
      <w:r>
        <w:rPr>
          <w:rFonts w:hint="cs"/>
          <w:rtl/>
        </w:rPr>
        <w:t xml:space="preserve"> דלענין איסור, כל משהו שבולע באכילתו, מתבטל ברוב ההיתר ואמרינן דקמא קמא בטיל, ואינו מצטרף למשהו שאוכל לאחריו, ודמי לטומאת מגע, דבנגע וחזר ונגע בכזית טהור.</w:t>
      </w:r>
      <w:bookmarkEnd w:id="15088"/>
      <w:r>
        <w:rPr>
          <w:rFonts w:hint="cs"/>
          <w:rtl/>
        </w:rPr>
        <w:t xml:space="preserve"> [ועי' במה שביאר</w:t>
      </w:r>
      <w:r w:rsidRPr="00332599">
        <w:rPr>
          <w:rFonts w:hint="cs"/>
          <w:rtl/>
        </w:rPr>
        <w:t xml:space="preserve"> </w:t>
      </w:r>
      <w:r w:rsidRPr="00332599">
        <w:rPr>
          <w:rStyle w:val="af8"/>
          <w:rFonts w:hint="cs"/>
          <w:rtl/>
        </w:rPr>
        <w:t>החזו"א</w:t>
      </w:r>
      <w:r w:rsidRPr="00332599">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Ref25488121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לז)</w:t>
      </w:r>
      <w:r>
        <w:rPr>
          <w:rStyle w:val="af6"/>
          <w:rFonts w:eastAsia="Guttman Hodes"/>
          <w:rtl/>
        </w:rPr>
        <w:fldChar w:fldCharType="end"/>
      </w:r>
      <w:r>
        <w:rPr>
          <w:rStyle w:val="af6"/>
          <w:rFonts w:eastAsia="Guttman Hodes" w:hint="cs"/>
          <w:rtl/>
        </w:rPr>
        <w:t xml:space="preserve"> </w:t>
      </w:r>
      <w:r>
        <w:rPr>
          <w:rFonts w:hint="cs"/>
          <w:rtl/>
        </w:rPr>
        <w:t>בדברי</w:t>
      </w:r>
      <w:r>
        <w:rPr>
          <w:rStyle w:val="af8"/>
          <w:rFonts w:hint="cs"/>
          <w:rtl/>
        </w:rPr>
        <w:t xml:space="preserve"> </w:t>
      </w:r>
      <w:r w:rsidRPr="00332599">
        <w:rPr>
          <w:rStyle w:val="af8"/>
          <w:rFonts w:hint="cs"/>
          <w:rtl/>
        </w:rPr>
        <w:t>התוס'</w:t>
      </w:r>
      <w:r w:rsidRPr="00332599">
        <w:rPr>
          <w:rFonts w:hint="cs"/>
          <w:rtl/>
        </w:rPr>
        <w:t xml:space="preserve"> </w:t>
      </w:r>
      <w:r w:rsidRPr="00332599">
        <w:rPr>
          <w:rStyle w:val="af8"/>
          <w:rFonts w:hint="cs"/>
          <w:rtl/>
        </w:rPr>
        <w:t>בבכורות</w:t>
      </w:r>
      <w:r>
        <w:rPr>
          <w:rFonts w:hint="cs"/>
          <w:rtl/>
        </w:rPr>
        <w:t>].</w:t>
      </w:r>
      <w:bookmarkEnd w:id="15089"/>
    </w:p>
    <w:p w:rsidR="003A5D2C" w:rsidRPr="006052DA" w:rsidRDefault="003A5D2C" w:rsidP="003A5D2C">
      <w:pPr>
        <w:pStyle w:val="a2"/>
        <w:rPr>
          <w:rtl/>
        </w:rPr>
      </w:pPr>
      <w:bookmarkStart w:id="15090" w:name="_Toc25488216"/>
      <w:bookmarkStart w:id="15091" w:name="_Toc25524659"/>
      <w:bookmarkStart w:id="15092" w:name="_Toc25536158"/>
      <w:bookmarkStart w:id="15093" w:name="_Toc25571208"/>
      <w:bookmarkStart w:id="15094" w:name="_Toc25572684"/>
      <w:bookmarkStart w:id="15095" w:name="_Toc25572927"/>
      <w:r>
        <w:rPr>
          <w:rFonts w:hint="cs"/>
          <w:rtl/>
        </w:rPr>
        <w:t>דברי התוס' בבכורות דטומאת משא בנבילה שבטלה ברוב היא דרבנן ולא גזרו באיסור</w:t>
      </w:r>
      <w:bookmarkEnd w:id="15090"/>
      <w:bookmarkEnd w:id="15091"/>
      <w:bookmarkEnd w:id="15092"/>
      <w:bookmarkEnd w:id="15093"/>
      <w:bookmarkEnd w:id="15094"/>
      <w:bookmarkEnd w:id="15095"/>
    </w:p>
    <w:p w:rsidR="003A5D2C" w:rsidRDefault="003A5D2C" w:rsidP="009F44AF">
      <w:pPr>
        <w:pStyle w:val="a"/>
        <w:rPr>
          <w:rtl/>
        </w:rPr>
      </w:pPr>
      <w:bookmarkStart w:id="15096" w:name="_Ref25483296"/>
      <w:bookmarkStart w:id="15097" w:name="_Ref25534516"/>
      <w:r>
        <w:rPr>
          <w:rFonts w:hint="cs"/>
          <w:rtl/>
        </w:rPr>
        <w:t xml:space="preserve">והוסיפו </w:t>
      </w:r>
      <w:r w:rsidRPr="005D4574">
        <w:rPr>
          <w:rStyle w:val="af8"/>
          <w:rFonts w:hint="cs"/>
          <w:rtl/>
        </w:rPr>
        <w:t>התוס' בבכורות</w:t>
      </w:r>
      <w:r>
        <w:rPr>
          <w:rFonts w:hint="cs"/>
          <w:rtl/>
        </w:rPr>
        <w:t xml:space="preserve"> דאף דמסתבר לומר, דהא דמטמאה במשא הוא מדרבנן, כיון שמדאו' התבטל ברוב, מ"מ גזרו רבנן רק לענין טומאה ולא לענין איסור, כיון שבאיסור כל משהו בטל כשבולע אותו באכילתו, וקמא קמא בטיל.</w:t>
      </w:r>
      <w:bookmarkEnd w:id="15096"/>
      <w:r>
        <w:rPr>
          <w:rFonts w:hint="cs"/>
          <w:rtl/>
        </w:rPr>
        <w:t xml:space="preserve"> [ועי' במה שביאר </w:t>
      </w:r>
      <w:r w:rsidRPr="00744331">
        <w:rPr>
          <w:rStyle w:val="af8"/>
          <w:rFonts w:hint="cs"/>
          <w:rtl/>
        </w:rPr>
        <w:t>הבאר יצחק</w:t>
      </w:r>
      <w:r>
        <w:rPr>
          <w:rFonts w:hint="cs"/>
          <w:rtl/>
        </w:rPr>
        <w:t xml:space="preserve"> </w:t>
      </w:r>
      <w:r w:rsidRPr="00700F3E">
        <w:rPr>
          <w:rStyle w:val="af6"/>
          <w:rFonts w:eastAsia="Guttman Hodes" w:hint="cs"/>
          <w:rtl/>
        </w:rPr>
        <w:t xml:space="preserve">(עי' אות </w:t>
      </w:r>
      <w:r w:rsidRPr="00700F3E">
        <w:rPr>
          <w:rStyle w:val="af6"/>
          <w:rFonts w:eastAsia="Guttman Hodes"/>
          <w:rtl/>
        </w:rPr>
        <w:fldChar w:fldCharType="begin"/>
      </w:r>
      <w:r w:rsidRPr="00700F3E">
        <w:rPr>
          <w:rStyle w:val="af6"/>
          <w:rFonts w:eastAsia="Guttman Hodes"/>
          <w:rtl/>
        </w:rPr>
        <w:instrText xml:space="preserve"> </w:instrText>
      </w:r>
      <w:r w:rsidRPr="00700F3E">
        <w:rPr>
          <w:rStyle w:val="af6"/>
          <w:rFonts w:eastAsia="Guttman Hodes" w:hint="cs"/>
        </w:rPr>
        <w:instrText>REF</w:instrText>
      </w:r>
      <w:r w:rsidRPr="00700F3E">
        <w:rPr>
          <w:rStyle w:val="af6"/>
          <w:rFonts w:eastAsia="Guttman Hodes" w:hint="cs"/>
          <w:rtl/>
        </w:rPr>
        <w:instrText xml:space="preserve"> _</w:instrText>
      </w:r>
      <w:r w:rsidRPr="00700F3E">
        <w:rPr>
          <w:rStyle w:val="af6"/>
          <w:rFonts w:eastAsia="Guttman Hodes" w:hint="cs"/>
        </w:rPr>
        <w:instrText>Ref25523827 \r \h</w:instrText>
      </w:r>
      <w:r w:rsidRPr="00700F3E">
        <w:rPr>
          <w:rStyle w:val="af6"/>
          <w:rFonts w:eastAsia="Guttman Hodes"/>
          <w:rtl/>
        </w:rPr>
        <w:instrText xml:space="preserve"> </w:instrText>
      </w:r>
      <w:r w:rsidRPr="00700F3E">
        <w:rPr>
          <w:rStyle w:val="af6"/>
          <w:rFonts w:eastAsia="Guttman Hodes"/>
          <w:rtl/>
        </w:rPr>
      </w:r>
      <w:r w:rsidRPr="00700F3E">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sidRPr="00700F3E">
        <w:rPr>
          <w:rStyle w:val="af6"/>
          <w:rFonts w:eastAsia="Guttman Hodes"/>
          <w:rtl/>
        </w:rPr>
        <w:fldChar w:fldCharType="end"/>
      </w:r>
      <w:r>
        <w:rPr>
          <w:rFonts w:hint="cs"/>
          <w:rtl/>
        </w:rPr>
        <w:t xml:space="preserve"> בדברי </w:t>
      </w:r>
      <w:r w:rsidRPr="00700F3E">
        <w:rPr>
          <w:rStyle w:val="af8"/>
          <w:rFonts w:hint="cs"/>
          <w:rtl/>
        </w:rPr>
        <w:t>התוס' בבכורות</w:t>
      </w:r>
      <w:r>
        <w:rPr>
          <w:rFonts w:hint="cs"/>
          <w:rtl/>
        </w:rPr>
        <w:t>].</w:t>
      </w:r>
      <w:bookmarkEnd w:id="15097"/>
    </w:p>
    <w:p w:rsidR="003A5D2C" w:rsidRDefault="003A5D2C" w:rsidP="003A5D2C">
      <w:pPr>
        <w:pStyle w:val="1"/>
        <w:rPr>
          <w:rtl/>
        </w:rPr>
      </w:pPr>
      <w:bookmarkStart w:id="15098" w:name="_Toc25317260"/>
      <w:bookmarkStart w:id="15099" w:name="_Toc25488217"/>
      <w:bookmarkStart w:id="15100" w:name="_Toc25524660"/>
      <w:bookmarkStart w:id="15101" w:name="_Toc25536159"/>
      <w:bookmarkStart w:id="15102" w:name="_Toc25571209"/>
      <w:bookmarkStart w:id="15103" w:name="_Toc25572685"/>
      <w:bookmarkStart w:id="15104" w:name="_Toc25572928"/>
      <w:bookmarkStart w:id="15105" w:name="_Toc25184789"/>
      <w:bookmarkStart w:id="15106" w:name="_Toc25317258"/>
      <w:r>
        <w:rPr>
          <w:rFonts w:hint="cs"/>
          <w:rtl/>
        </w:rPr>
        <w:t>דברי החזו"א</w:t>
      </w:r>
      <w:bookmarkEnd w:id="15098"/>
      <w:r>
        <w:rPr>
          <w:rFonts w:hint="cs"/>
          <w:rtl/>
        </w:rPr>
        <w:t xml:space="preserve"> דדין נגע בבת אחת תלוי בביאורי התוס' בבכורות</w:t>
      </w:r>
      <w:bookmarkEnd w:id="15099"/>
      <w:bookmarkEnd w:id="15100"/>
      <w:bookmarkEnd w:id="15101"/>
      <w:bookmarkEnd w:id="15102"/>
      <w:bookmarkEnd w:id="15103"/>
      <w:bookmarkEnd w:id="15104"/>
    </w:p>
    <w:p w:rsidR="003A5D2C" w:rsidRPr="00926966" w:rsidRDefault="003A5D2C" w:rsidP="003A5D2C">
      <w:pPr>
        <w:pStyle w:val="a2"/>
      </w:pPr>
      <w:bookmarkStart w:id="15107" w:name="_Toc25488218"/>
      <w:bookmarkStart w:id="15108" w:name="_Toc25524661"/>
      <w:bookmarkStart w:id="15109" w:name="_Toc25536160"/>
      <w:bookmarkStart w:id="15110" w:name="_Toc25571210"/>
      <w:bookmarkStart w:id="15111" w:name="_Toc25572686"/>
      <w:bookmarkStart w:id="15112" w:name="_Toc25572929"/>
      <w:r>
        <w:rPr>
          <w:rFonts w:hint="cs"/>
          <w:rtl/>
        </w:rPr>
        <w:t xml:space="preserve">ביאור החזו"א </w:t>
      </w:r>
      <w:r w:rsidRPr="00191AF9">
        <w:rPr>
          <w:rtl/>
        </w:rPr>
        <w:t xml:space="preserve">בביאור הב' </w:t>
      </w:r>
      <w:r>
        <w:rPr>
          <w:rFonts w:hint="cs"/>
          <w:rtl/>
        </w:rPr>
        <w:t>בתוס' בבכורות דביבש יש טומאת מגע בנגע בכל החתיכות בב"א</w:t>
      </w:r>
      <w:bookmarkEnd w:id="15107"/>
      <w:bookmarkEnd w:id="15108"/>
      <w:bookmarkEnd w:id="15109"/>
      <w:bookmarkEnd w:id="15110"/>
      <w:bookmarkEnd w:id="15111"/>
      <w:bookmarkEnd w:id="15112"/>
    </w:p>
    <w:p w:rsidR="003A5D2C" w:rsidRPr="00273C3A" w:rsidRDefault="003A5D2C" w:rsidP="009F44AF">
      <w:pPr>
        <w:pStyle w:val="a"/>
        <w:rPr>
          <w:rStyle w:val="afa"/>
          <w:rtl/>
        </w:rPr>
      </w:pPr>
      <w:bookmarkStart w:id="15113" w:name="_Ref25228128"/>
      <w:bookmarkStart w:id="15114" w:name="_Ref25485011"/>
      <w:r>
        <w:rPr>
          <w:rFonts w:hint="cs"/>
          <w:rtl/>
        </w:rPr>
        <w:t xml:space="preserve">כתב </w:t>
      </w:r>
      <w:r w:rsidRPr="002F04D5">
        <w:rPr>
          <w:rStyle w:val="af8"/>
          <w:rFonts w:hint="cs"/>
          <w:rtl/>
        </w:rPr>
        <w:t>החזו"א</w:t>
      </w:r>
      <w:r>
        <w:rPr>
          <w:rFonts w:hint="cs"/>
          <w:rtl/>
        </w:rPr>
        <w:t xml:space="preserve"> </w:t>
      </w:r>
      <w:r w:rsidRPr="002F04D5">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ל</w:t>
      </w:r>
      <w:r>
        <w:rPr>
          <w:rStyle w:val="af6"/>
          <w:rFonts w:eastAsia="Guttman Hodes"/>
          <w:rtl/>
        </w:rPr>
        <w:t>"</w:t>
      </w:r>
      <w:r>
        <w:rPr>
          <w:rStyle w:val="af6"/>
          <w:rFonts w:eastAsia="Guttman Hodes" w:hint="cs"/>
          <w:rtl/>
        </w:rPr>
        <w:t>ו סק</w:t>
      </w:r>
      <w:r>
        <w:rPr>
          <w:rStyle w:val="af6"/>
          <w:rFonts w:eastAsia="Guttman Hodes"/>
          <w:rtl/>
        </w:rPr>
        <w:t>"</w:t>
      </w:r>
      <w:r>
        <w:rPr>
          <w:rStyle w:val="af6"/>
          <w:rFonts w:eastAsia="Guttman Hodes" w:hint="cs"/>
          <w:rtl/>
        </w:rPr>
        <w:t>ד ד</w:t>
      </w:r>
      <w:r>
        <w:rPr>
          <w:rStyle w:val="af6"/>
          <w:rFonts w:eastAsia="Guttman Hodes"/>
          <w:rtl/>
        </w:rPr>
        <w:t>"</w:t>
      </w:r>
      <w:r>
        <w:rPr>
          <w:rStyle w:val="af6"/>
          <w:rFonts w:eastAsia="Guttman Hodes" w:hint="cs"/>
          <w:rtl/>
        </w:rPr>
        <w:t>ה והנה, עוקצין סו</w:t>
      </w:r>
      <w:r>
        <w:rPr>
          <w:rStyle w:val="af6"/>
          <w:rFonts w:eastAsia="Guttman Hodes"/>
          <w:rtl/>
        </w:rPr>
        <w:t>"</w:t>
      </w:r>
      <w:r>
        <w:rPr>
          <w:rStyle w:val="af6"/>
          <w:rFonts w:eastAsia="Guttman Hodes" w:hint="cs"/>
          <w:rtl/>
        </w:rPr>
        <w:t>ס א</w:t>
      </w:r>
      <w:r>
        <w:rPr>
          <w:rStyle w:val="af6"/>
          <w:rFonts w:eastAsia="Guttman Hodes"/>
          <w:rtl/>
        </w:rPr>
        <w:t>'</w:t>
      </w:r>
      <w:r w:rsidRPr="002F04D5">
        <w:rPr>
          <w:rStyle w:val="af6"/>
          <w:rFonts w:eastAsia="Guttman Hodes" w:hint="cs"/>
          <w:rtl/>
        </w:rPr>
        <w:t>)</w:t>
      </w:r>
      <w:r>
        <w:rPr>
          <w:rFonts w:hint="cs"/>
          <w:rtl/>
        </w:rPr>
        <w:t xml:space="preserve"> דמבואר בדברי </w:t>
      </w:r>
      <w:r w:rsidRPr="00273C3A">
        <w:rPr>
          <w:rStyle w:val="af8"/>
          <w:rFonts w:hint="cs"/>
          <w:rtl/>
        </w:rPr>
        <w:t>התוס' בבכורות</w:t>
      </w:r>
      <w:r w:rsidRPr="00191AF9">
        <w:rPr>
          <w:rStyle w:val="af8"/>
          <w:rFonts w:hint="cs"/>
          <w:rtl/>
        </w:rPr>
        <w:t xml:space="preserve"> </w:t>
      </w:r>
      <w:r>
        <w:rPr>
          <w:rStyle w:val="af8"/>
          <w:rFonts w:hint="cs"/>
          <w:rtl/>
        </w:rPr>
        <w:t>בביאור</w:t>
      </w:r>
      <w:r w:rsidRPr="000F5CE5">
        <w:rPr>
          <w:rStyle w:val="af8"/>
          <w:rFonts w:hint="cs"/>
          <w:rtl/>
        </w:rPr>
        <w:t xml:space="preserve"> הב'</w:t>
      </w:r>
      <w:r>
        <w:rPr>
          <w:rFonts w:hint="cs"/>
          <w:rtl/>
        </w:rPr>
        <w:t xml:space="preserve"> </w:t>
      </w:r>
      <w:r w:rsidRPr="005F2A87">
        <w:rPr>
          <w:rStyle w:val="af6"/>
          <w:rFonts w:eastAsia="Guttman Hodes" w:hint="cs"/>
          <w:rtl/>
        </w:rPr>
        <w:t xml:space="preserve">(עי' אות </w:t>
      </w:r>
      <w:r w:rsidRPr="005F2A87">
        <w:rPr>
          <w:rStyle w:val="af6"/>
          <w:rFonts w:eastAsia="Guttman Hodes"/>
          <w:rtl/>
        </w:rPr>
        <w:fldChar w:fldCharType="begin"/>
      </w:r>
      <w:r w:rsidRPr="005F2A87">
        <w:rPr>
          <w:rStyle w:val="af6"/>
          <w:rFonts w:eastAsia="Guttman Hodes"/>
          <w:rtl/>
        </w:rPr>
        <w:instrText xml:space="preserve"> </w:instrText>
      </w:r>
      <w:r w:rsidRPr="005F2A87">
        <w:rPr>
          <w:rStyle w:val="af6"/>
          <w:rFonts w:eastAsia="Guttman Hodes" w:hint="cs"/>
        </w:rPr>
        <w:instrText>REF</w:instrText>
      </w:r>
      <w:r w:rsidRPr="005F2A87">
        <w:rPr>
          <w:rStyle w:val="af6"/>
          <w:rFonts w:eastAsia="Guttman Hodes" w:hint="cs"/>
          <w:rtl/>
        </w:rPr>
        <w:instrText xml:space="preserve"> _</w:instrText>
      </w:r>
      <w:r w:rsidRPr="005F2A87">
        <w:rPr>
          <w:rStyle w:val="af6"/>
          <w:rFonts w:eastAsia="Guttman Hodes" w:hint="cs"/>
        </w:rPr>
        <w:instrText>Ref25477815 \r \h</w:instrText>
      </w:r>
      <w:r w:rsidRPr="005F2A87">
        <w:rPr>
          <w:rStyle w:val="af6"/>
          <w:rFonts w:eastAsia="Guttman Hodes"/>
          <w:rtl/>
        </w:rPr>
        <w:instrText xml:space="preserve"> </w:instrText>
      </w:r>
      <w:r w:rsidRPr="005F2A87">
        <w:rPr>
          <w:rStyle w:val="af6"/>
          <w:rFonts w:eastAsia="Guttman Hodes"/>
          <w:rtl/>
        </w:rPr>
      </w:r>
      <w:r w:rsidRPr="005F2A87">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5F2A87">
        <w:rPr>
          <w:rStyle w:val="af6"/>
          <w:rFonts w:eastAsia="Guttman Hodes"/>
          <w:rtl/>
        </w:rPr>
        <w:fldChar w:fldCharType="end"/>
      </w:r>
      <w:r>
        <w:rPr>
          <w:rFonts w:hint="cs"/>
          <w:rtl/>
        </w:rPr>
        <w:t xml:space="preserve"> דכתבו דבנימוחה הטומאה אינה מטמאה במגע אף בבת אחת, דביבש ביבש במקום שנגע בכל החתיכות בבת אחת, פשיטא להו שאין ביטול וטמא במגע.</w:t>
      </w:r>
      <w:bookmarkEnd w:id="15113"/>
      <w:bookmarkEnd w:id="15114"/>
    </w:p>
    <w:p w:rsidR="003A5D2C" w:rsidRPr="00926966" w:rsidRDefault="003A5D2C" w:rsidP="003A5D2C">
      <w:pPr>
        <w:pStyle w:val="a2"/>
        <w:rPr>
          <w:rtl/>
        </w:rPr>
      </w:pPr>
      <w:bookmarkStart w:id="15115" w:name="_Toc25488219"/>
      <w:bookmarkStart w:id="15116" w:name="_Toc25524662"/>
      <w:bookmarkStart w:id="15117" w:name="_Toc25536161"/>
      <w:bookmarkStart w:id="15118" w:name="_Toc25571211"/>
      <w:bookmarkStart w:id="15119" w:name="_Toc25572687"/>
      <w:bookmarkStart w:id="15120" w:name="_Toc25572930"/>
      <w:r>
        <w:rPr>
          <w:rFonts w:hint="cs"/>
          <w:rtl/>
        </w:rPr>
        <w:t>ביאור החזו"א דבלח אין לטומאה חשיבות ושיעור אבל ביבש הטומאה מצד עצמה אינה בטלה</w:t>
      </w:r>
      <w:bookmarkEnd w:id="15115"/>
      <w:bookmarkEnd w:id="15116"/>
      <w:bookmarkEnd w:id="15117"/>
      <w:bookmarkEnd w:id="15118"/>
      <w:bookmarkEnd w:id="15119"/>
      <w:bookmarkEnd w:id="15120"/>
    </w:p>
    <w:p w:rsidR="003A5D2C" w:rsidRDefault="003A5D2C" w:rsidP="009F44AF">
      <w:pPr>
        <w:pStyle w:val="a"/>
      </w:pPr>
      <w:r>
        <w:rPr>
          <w:rFonts w:hint="cs"/>
          <w:rtl/>
        </w:rPr>
        <w:t xml:space="preserve">וביאר </w:t>
      </w:r>
      <w:r w:rsidRPr="00273C3A">
        <w:rPr>
          <w:rStyle w:val="af8"/>
          <w:rFonts w:hint="cs"/>
          <w:rtl/>
        </w:rPr>
        <w:t xml:space="preserve">החזו"א </w:t>
      </w:r>
      <w:r>
        <w:rPr>
          <w:rFonts w:hint="cs"/>
          <w:rtl/>
        </w:rPr>
        <w:t xml:space="preserve">דדוקא בלח אפש"ל דאין חשיבות לטומאה, וכמו דפחות מכזית טהור, ה"ה בכזית שנימוח ומעורב ברוב שאין לו שיעור לטמא, אבל ביבש כתב </w:t>
      </w:r>
      <w:r w:rsidRPr="00273C3A">
        <w:rPr>
          <w:rStyle w:val="af8"/>
          <w:rFonts w:hint="cs"/>
          <w:rtl/>
        </w:rPr>
        <w:t xml:space="preserve">החזו"א </w:t>
      </w:r>
      <w:r>
        <w:rPr>
          <w:rFonts w:hint="cs"/>
          <w:rtl/>
        </w:rPr>
        <w:t xml:space="preserve">שלא מסתבר לומר שאין לטומאה חשיבות, דאף שאנו לא מכירים אותו בתוך התערובת, מ"מ הוא מצד עצמו אינו בטל, ולכן כל שנגע בכל החתיכות בבת אחת טמא. [ועי' בדברי </w:t>
      </w:r>
      <w:r w:rsidRPr="00671604">
        <w:rPr>
          <w:rStyle w:val="af8"/>
          <w:rFonts w:hint="cs"/>
          <w:rtl/>
        </w:rPr>
        <w:t>המהר"י קורקוס</w:t>
      </w:r>
      <w:r>
        <w:rPr>
          <w:rFonts w:hint="cs"/>
          <w:rtl/>
        </w:rPr>
        <w:t xml:space="preserve"> </w:t>
      </w:r>
      <w:r w:rsidRPr="00671604">
        <w:rPr>
          <w:rStyle w:val="af6"/>
          <w:rFonts w:eastAsia="Guttman Hodes" w:hint="cs"/>
          <w:rtl/>
        </w:rPr>
        <w:t xml:space="preserve">(עי' אות </w:t>
      </w:r>
      <w:r w:rsidRPr="00671604">
        <w:rPr>
          <w:rStyle w:val="af6"/>
          <w:rFonts w:eastAsia="Guttman Hodes"/>
          <w:rtl/>
        </w:rPr>
        <w:fldChar w:fldCharType="begin"/>
      </w:r>
      <w:r w:rsidRPr="00671604">
        <w:rPr>
          <w:rStyle w:val="af6"/>
          <w:rFonts w:eastAsia="Guttman Hodes"/>
          <w:rtl/>
        </w:rPr>
        <w:instrText xml:space="preserve"> </w:instrText>
      </w:r>
      <w:r w:rsidRPr="00671604">
        <w:rPr>
          <w:rStyle w:val="af6"/>
          <w:rFonts w:eastAsia="Guttman Hodes" w:hint="cs"/>
        </w:rPr>
        <w:instrText>REF</w:instrText>
      </w:r>
      <w:r w:rsidRPr="00671604">
        <w:rPr>
          <w:rStyle w:val="af6"/>
          <w:rFonts w:eastAsia="Guttman Hodes" w:hint="cs"/>
          <w:rtl/>
        </w:rPr>
        <w:instrText xml:space="preserve"> _</w:instrText>
      </w:r>
      <w:r w:rsidRPr="00671604">
        <w:rPr>
          <w:rStyle w:val="af6"/>
          <w:rFonts w:eastAsia="Guttman Hodes" w:hint="cs"/>
        </w:rPr>
        <w:instrText>Ref25485269 \r \h</w:instrText>
      </w:r>
      <w:r w:rsidRPr="00671604">
        <w:rPr>
          <w:rStyle w:val="af6"/>
          <w:rFonts w:eastAsia="Guttman Hodes"/>
          <w:rtl/>
        </w:rPr>
        <w:instrText xml:space="preserve"> </w:instrText>
      </w:r>
      <w:r w:rsidRPr="00671604">
        <w:rPr>
          <w:rStyle w:val="af6"/>
          <w:rFonts w:eastAsia="Guttman Hodes"/>
          <w:rtl/>
        </w:rPr>
      </w:r>
      <w:r w:rsidRPr="00671604">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671604">
        <w:rPr>
          <w:rStyle w:val="af6"/>
          <w:rFonts w:eastAsia="Guttman Hodes"/>
          <w:rtl/>
        </w:rPr>
        <w:fldChar w:fldCharType="end"/>
      </w:r>
      <w:r>
        <w:rPr>
          <w:rFonts w:hint="cs"/>
          <w:rtl/>
        </w:rPr>
        <w:t>].</w:t>
      </w:r>
    </w:p>
    <w:p w:rsidR="003A5D2C" w:rsidRPr="00926966" w:rsidRDefault="003A5D2C" w:rsidP="003A5D2C">
      <w:pPr>
        <w:pStyle w:val="a2"/>
      </w:pPr>
      <w:bookmarkStart w:id="15121" w:name="_Toc25488220"/>
      <w:bookmarkStart w:id="15122" w:name="_Toc25524663"/>
      <w:bookmarkStart w:id="15123" w:name="_Toc25536162"/>
      <w:bookmarkStart w:id="15124" w:name="_Toc25571212"/>
      <w:bookmarkStart w:id="15125" w:name="_Toc25572688"/>
      <w:bookmarkStart w:id="15126" w:name="_Toc25572931"/>
      <w:r>
        <w:rPr>
          <w:rFonts w:hint="cs"/>
          <w:rtl/>
        </w:rPr>
        <w:t>דברי החזו"א דדין טומאת מגע בכל החתיכות בבת אחת תלוי בב' הביאורים בתוס' בבכורות</w:t>
      </w:r>
      <w:bookmarkEnd w:id="15121"/>
      <w:bookmarkEnd w:id="15122"/>
      <w:bookmarkEnd w:id="15123"/>
      <w:bookmarkEnd w:id="15124"/>
      <w:bookmarkEnd w:id="15125"/>
      <w:bookmarkEnd w:id="15126"/>
    </w:p>
    <w:p w:rsidR="003A5D2C" w:rsidRDefault="003A5D2C" w:rsidP="009F44AF">
      <w:pPr>
        <w:pStyle w:val="a"/>
      </w:pPr>
      <w:bookmarkStart w:id="15127" w:name="_Ref25487756"/>
      <w:r>
        <w:rPr>
          <w:rFonts w:hint="cs"/>
          <w:rtl/>
        </w:rPr>
        <w:t xml:space="preserve">וכתב </w:t>
      </w:r>
      <w:r w:rsidRPr="005E0E94">
        <w:rPr>
          <w:rStyle w:val="af8"/>
          <w:rFonts w:hint="cs"/>
          <w:rtl/>
        </w:rPr>
        <w:t>החזו"א  דהתוס' בבכורות</w:t>
      </w:r>
      <w:r>
        <w:rPr>
          <w:rFonts w:hint="cs"/>
          <w:rtl/>
        </w:rPr>
        <w:t xml:space="preserve"> לא הכריעו</w:t>
      </w:r>
      <w:r w:rsidRPr="00646234">
        <w:rPr>
          <w:rFonts w:hint="cs"/>
          <w:rtl/>
        </w:rPr>
        <w:t xml:space="preserve"> </w:t>
      </w:r>
      <w:r>
        <w:rPr>
          <w:rFonts w:hint="cs"/>
          <w:rtl/>
        </w:rPr>
        <w:t xml:space="preserve">ביבש ביבש שנגע בכל החתיכות בזה אחר זה אי טמא או טהור, ומספקא להו אי הגמ' בבכורות איירי ביבש, </w:t>
      </w:r>
      <w:r w:rsidRPr="00646234">
        <w:rPr>
          <w:rStyle w:val="afa"/>
          <w:rFonts w:hint="cs"/>
          <w:rtl/>
        </w:rPr>
        <w:t>[</w:t>
      </w:r>
      <w:r w:rsidRPr="00646234">
        <w:rPr>
          <w:rStyle w:val="affa"/>
          <w:rFonts w:hint="cs"/>
          <w:rtl/>
        </w:rPr>
        <w:t>כביאור הא' בתוס' בבכורות</w:t>
      </w:r>
      <w:r w:rsidRPr="00646234">
        <w:rPr>
          <w:rStyle w:val="afa"/>
          <w:rFonts w:hint="cs"/>
          <w:rtl/>
        </w:rPr>
        <w:t xml:space="preserve"> </w:t>
      </w:r>
      <w:r w:rsidRPr="00646234">
        <w:rPr>
          <w:rStyle w:val="aff6"/>
          <w:rFonts w:hint="cs"/>
          <w:rtl/>
        </w:rPr>
        <w:t xml:space="preserve">(עי' אות </w:t>
      </w:r>
      <w:r w:rsidRPr="00646234">
        <w:rPr>
          <w:rStyle w:val="aff6"/>
          <w:rtl/>
        </w:rPr>
        <w:fldChar w:fldCharType="begin"/>
      </w:r>
      <w:r w:rsidRPr="00646234">
        <w:rPr>
          <w:rStyle w:val="aff6"/>
          <w:rtl/>
        </w:rPr>
        <w:instrText xml:space="preserve"> </w:instrText>
      </w:r>
      <w:r w:rsidRPr="00646234">
        <w:rPr>
          <w:rStyle w:val="aff6"/>
          <w:rFonts w:hint="cs"/>
        </w:rPr>
        <w:instrText>REF</w:instrText>
      </w:r>
      <w:r w:rsidRPr="00646234">
        <w:rPr>
          <w:rStyle w:val="aff6"/>
          <w:rFonts w:hint="cs"/>
          <w:rtl/>
        </w:rPr>
        <w:instrText xml:space="preserve"> _</w:instrText>
      </w:r>
      <w:r w:rsidRPr="00646234">
        <w:rPr>
          <w:rStyle w:val="aff6"/>
          <w:rFonts w:hint="cs"/>
        </w:rPr>
        <w:instrText>Ref25477770 \r \h</w:instrText>
      </w:r>
      <w:r w:rsidRPr="00646234">
        <w:rPr>
          <w:rStyle w:val="aff6"/>
          <w:rtl/>
        </w:rPr>
        <w:instrText xml:space="preserve"> </w:instrText>
      </w:r>
      <w:r w:rsidRPr="00646234">
        <w:rPr>
          <w:rStyle w:val="aff6"/>
          <w:rtl/>
        </w:rPr>
      </w:r>
      <w:r w:rsidRPr="00646234">
        <w:rPr>
          <w:rStyle w:val="aff6"/>
          <w:rtl/>
        </w:rPr>
        <w:fldChar w:fldCharType="separate"/>
      </w:r>
      <w:r w:rsidR="004D1C5B">
        <w:rPr>
          <w:rStyle w:val="aff6"/>
          <w:cs/>
        </w:rPr>
        <w:t>‎</w:t>
      </w:r>
      <w:r w:rsidR="004D1C5B">
        <w:rPr>
          <w:rStyle w:val="aff6"/>
          <w:rtl/>
        </w:rPr>
        <w:t>כח)</w:t>
      </w:r>
      <w:r w:rsidRPr="00646234">
        <w:rPr>
          <w:rStyle w:val="aff6"/>
          <w:rtl/>
        </w:rPr>
        <w:fldChar w:fldCharType="end"/>
      </w:r>
      <w:r w:rsidRPr="00646234">
        <w:rPr>
          <w:rStyle w:val="afa"/>
          <w:rFonts w:hint="cs"/>
          <w:rtl/>
        </w:rPr>
        <w:t xml:space="preserve">], </w:t>
      </w:r>
      <w:r>
        <w:rPr>
          <w:rFonts w:hint="cs"/>
          <w:rtl/>
        </w:rPr>
        <w:t>וא"כ טמא בבת אחת, או דהגמ' בבכורות איירי בלח,</w:t>
      </w:r>
      <w:r w:rsidRPr="00646234">
        <w:rPr>
          <w:rStyle w:val="afa"/>
          <w:rFonts w:hint="cs"/>
          <w:rtl/>
        </w:rPr>
        <w:t xml:space="preserve"> [</w:t>
      </w:r>
      <w:r w:rsidRPr="00646234">
        <w:rPr>
          <w:rStyle w:val="affa"/>
          <w:rFonts w:hint="cs"/>
          <w:rtl/>
        </w:rPr>
        <w:t>כביאור ה</w:t>
      </w:r>
      <w:r>
        <w:rPr>
          <w:rStyle w:val="affa"/>
          <w:rFonts w:hint="cs"/>
          <w:rtl/>
        </w:rPr>
        <w:t>ב</w:t>
      </w:r>
      <w:r w:rsidRPr="00646234">
        <w:rPr>
          <w:rStyle w:val="affa"/>
          <w:rFonts w:hint="cs"/>
          <w:rtl/>
        </w:rPr>
        <w:t>' בתוס' בבכורות</w:t>
      </w:r>
      <w:r w:rsidRPr="00646234">
        <w:rPr>
          <w:rStyle w:val="afa"/>
          <w:rFonts w:hint="cs"/>
          <w:rtl/>
        </w:rPr>
        <w:t xml:space="preserve"> </w:t>
      </w:r>
      <w:r w:rsidRPr="00646234">
        <w:rPr>
          <w:rStyle w:val="aff6"/>
          <w:rFonts w:hint="cs"/>
          <w:rtl/>
        </w:rPr>
        <w:t xml:space="preserve">(עי' אות </w:t>
      </w:r>
      <w:r w:rsidRPr="00646234">
        <w:rPr>
          <w:rStyle w:val="aff6"/>
          <w:rtl/>
        </w:rPr>
        <w:fldChar w:fldCharType="begin"/>
      </w:r>
      <w:r w:rsidRPr="00646234">
        <w:rPr>
          <w:rStyle w:val="aff6"/>
          <w:rtl/>
        </w:rPr>
        <w:instrText xml:space="preserve"> </w:instrText>
      </w:r>
      <w:r w:rsidRPr="00646234">
        <w:rPr>
          <w:rStyle w:val="aff6"/>
          <w:rFonts w:hint="cs"/>
        </w:rPr>
        <w:instrText>REF</w:instrText>
      </w:r>
      <w:r w:rsidRPr="00646234">
        <w:rPr>
          <w:rStyle w:val="aff6"/>
          <w:rFonts w:hint="cs"/>
          <w:rtl/>
        </w:rPr>
        <w:instrText xml:space="preserve"> _</w:instrText>
      </w:r>
      <w:r w:rsidRPr="00646234">
        <w:rPr>
          <w:rStyle w:val="aff6"/>
          <w:rFonts w:hint="cs"/>
        </w:rPr>
        <w:instrText>Ref25477815 \r \h</w:instrText>
      </w:r>
      <w:r w:rsidRPr="00646234">
        <w:rPr>
          <w:rStyle w:val="aff6"/>
          <w:rtl/>
        </w:rPr>
        <w:instrText xml:space="preserve"> </w:instrText>
      </w:r>
      <w:r w:rsidRPr="00646234">
        <w:rPr>
          <w:rStyle w:val="aff6"/>
          <w:rtl/>
        </w:rPr>
      </w:r>
      <w:r w:rsidRPr="00646234">
        <w:rPr>
          <w:rStyle w:val="aff6"/>
          <w:rtl/>
        </w:rPr>
        <w:fldChar w:fldCharType="separate"/>
      </w:r>
      <w:r w:rsidR="004D1C5B">
        <w:rPr>
          <w:rStyle w:val="aff6"/>
          <w:cs/>
        </w:rPr>
        <w:t>‎</w:t>
      </w:r>
      <w:r w:rsidR="004D1C5B">
        <w:rPr>
          <w:rStyle w:val="aff6"/>
          <w:rtl/>
        </w:rPr>
        <w:t>כט)</w:t>
      </w:r>
      <w:r w:rsidRPr="00646234">
        <w:rPr>
          <w:rStyle w:val="aff6"/>
          <w:rtl/>
        </w:rPr>
        <w:fldChar w:fldCharType="end"/>
      </w:r>
      <w:r w:rsidRPr="00646234">
        <w:rPr>
          <w:rStyle w:val="afa"/>
          <w:rFonts w:hint="cs"/>
          <w:rtl/>
        </w:rPr>
        <w:t xml:space="preserve">], </w:t>
      </w:r>
      <w:r>
        <w:rPr>
          <w:rFonts w:hint="cs"/>
          <w:rtl/>
        </w:rPr>
        <w:t xml:space="preserve">וא"כ טהור ממגע אף בנגע בכל החתיכות, ורק בלח בלח אינו נטמא במגע, וכתב </w:t>
      </w:r>
      <w:r w:rsidRPr="005E0E94">
        <w:rPr>
          <w:rStyle w:val="af8"/>
          <w:rFonts w:hint="cs"/>
          <w:rtl/>
        </w:rPr>
        <w:t>החזו"א</w:t>
      </w:r>
      <w:r>
        <w:rPr>
          <w:rFonts w:hint="cs"/>
          <w:rtl/>
        </w:rPr>
        <w:t xml:space="preserve"> דלפי מסקנת </w:t>
      </w:r>
      <w:r w:rsidRPr="005E0E94">
        <w:rPr>
          <w:rStyle w:val="af8"/>
          <w:rFonts w:hint="cs"/>
          <w:rtl/>
        </w:rPr>
        <w:t>התוס' בבכורות</w:t>
      </w:r>
      <w:r>
        <w:rPr>
          <w:rFonts w:hint="cs"/>
          <w:rtl/>
        </w:rPr>
        <w:t xml:space="preserve"> </w:t>
      </w:r>
      <w:r w:rsidRPr="00646234">
        <w:rPr>
          <w:rStyle w:val="af6"/>
          <w:rFonts w:eastAsia="Guttman Hodes" w:hint="cs"/>
          <w:rtl/>
        </w:rPr>
        <w:t xml:space="preserve">(עי' אות </w:t>
      </w:r>
      <w:r w:rsidRPr="00646234">
        <w:rPr>
          <w:rStyle w:val="af6"/>
          <w:rFonts w:eastAsia="Guttman Hodes"/>
          <w:rtl/>
        </w:rPr>
        <w:fldChar w:fldCharType="begin"/>
      </w:r>
      <w:r w:rsidRPr="00646234">
        <w:rPr>
          <w:rStyle w:val="af6"/>
          <w:rFonts w:eastAsia="Guttman Hodes"/>
          <w:rtl/>
        </w:rPr>
        <w:instrText xml:space="preserve"> </w:instrText>
      </w:r>
      <w:r w:rsidRPr="00646234">
        <w:rPr>
          <w:rStyle w:val="af6"/>
          <w:rFonts w:eastAsia="Guttman Hodes" w:hint="cs"/>
        </w:rPr>
        <w:instrText>REF</w:instrText>
      </w:r>
      <w:r w:rsidRPr="00646234">
        <w:rPr>
          <w:rStyle w:val="af6"/>
          <w:rFonts w:eastAsia="Guttman Hodes" w:hint="cs"/>
          <w:rtl/>
        </w:rPr>
        <w:instrText xml:space="preserve"> _</w:instrText>
      </w:r>
      <w:r w:rsidRPr="00646234">
        <w:rPr>
          <w:rStyle w:val="af6"/>
          <w:rFonts w:eastAsia="Guttman Hodes" w:hint="cs"/>
        </w:rPr>
        <w:instrText>Ref25477815 \r \h</w:instrText>
      </w:r>
      <w:r w:rsidRPr="00646234">
        <w:rPr>
          <w:rStyle w:val="af6"/>
          <w:rFonts w:eastAsia="Guttman Hodes"/>
          <w:rtl/>
        </w:rPr>
        <w:instrText xml:space="preserve"> </w:instrText>
      </w:r>
      <w:r w:rsidRPr="00646234">
        <w:rPr>
          <w:rStyle w:val="af6"/>
          <w:rFonts w:eastAsia="Guttman Hodes"/>
          <w:rtl/>
        </w:rPr>
      </w:r>
      <w:r w:rsidRPr="00646234">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sidRPr="00646234">
        <w:rPr>
          <w:rStyle w:val="af6"/>
          <w:rFonts w:eastAsia="Guttman Hodes"/>
          <w:rtl/>
        </w:rPr>
        <w:fldChar w:fldCharType="end"/>
      </w:r>
      <w:r>
        <w:rPr>
          <w:rFonts w:hint="cs"/>
          <w:rtl/>
        </w:rPr>
        <w:t xml:space="preserve"> דבגמ' בבכורות איירי בלח, א"כ מבואר דלדעת </w:t>
      </w:r>
      <w:r w:rsidRPr="005E0E94">
        <w:rPr>
          <w:rStyle w:val="af8"/>
          <w:rFonts w:hint="cs"/>
          <w:rtl/>
        </w:rPr>
        <w:t>התוס'</w:t>
      </w:r>
      <w:r>
        <w:rPr>
          <w:rFonts w:hint="cs"/>
          <w:rtl/>
        </w:rPr>
        <w:t xml:space="preserve"> ביבש ביבש ונגע בכולם בזה אחר זה, טמא במגע.</w:t>
      </w:r>
      <w:bookmarkEnd w:id="15127"/>
      <w:r w:rsidRPr="00FC2CD7">
        <w:rPr>
          <w:rStyle w:val="afa"/>
          <w:rFonts w:hint="cs"/>
          <w:rtl/>
        </w:rPr>
        <w:t xml:space="preserve"> </w:t>
      </w:r>
      <w:r w:rsidRPr="00273C3A">
        <w:rPr>
          <w:rStyle w:val="afa"/>
          <w:rFonts w:hint="cs"/>
          <w:rtl/>
        </w:rPr>
        <w:t xml:space="preserve">[ועי' במ"ש </w:t>
      </w:r>
      <w:r w:rsidRPr="00273C3A">
        <w:rPr>
          <w:rStyle w:val="affa"/>
          <w:rFonts w:hint="cs"/>
          <w:rtl/>
        </w:rPr>
        <w:t>החזו"א</w:t>
      </w:r>
      <w:r w:rsidRPr="00273C3A">
        <w:rPr>
          <w:rStyle w:val="afa"/>
          <w:rFonts w:hint="cs"/>
          <w:rtl/>
        </w:rPr>
        <w:t xml:space="preserve"> </w:t>
      </w:r>
      <w:r w:rsidRPr="00A01B22">
        <w:rPr>
          <w:rStyle w:val="aff6"/>
          <w:rFonts w:hint="cs"/>
          <w:rtl/>
        </w:rPr>
        <w:t xml:space="preserve">(עי' אות </w:t>
      </w:r>
      <w:r w:rsidRPr="00A01B22">
        <w:rPr>
          <w:rStyle w:val="aff6"/>
          <w:rtl/>
        </w:rPr>
        <w:fldChar w:fldCharType="begin"/>
      </w:r>
      <w:r w:rsidRPr="00A01B22">
        <w:rPr>
          <w:rStyle w:val="aff6"/>
          <w:rtl/>
        </w:rPr>
        <w:instrText xml:space="preserve"> </w:instrText>
      </w:r>
      <w:r w:rsidRPr="00A01B22">
        <w:rPr>
          <w:rStyle w:val="aff6"/>
          <w:rFonts w:hint="cs"/>
        </w:rPr>
        <w:instrText>REF</w:instrText>
      </w:r>
      <w:r w:rsidRPr="00A01B22">
        <w:rPr>
          <w:rStyle w:val="aff6"/>
          <w:rFonts w:hint="cs"/>
          <w:rtl/>
        </w:rPr>
        <w:instrText xml:space="preserve"> _</w:instrText>
      </w:r>
      <w:r w:rsidRPr="00A01B22">
        <w:rPr>
          <w:rStyle w:val="aff6"/>
          <w:rFonts w:hint="cs"/>
        </w:rPr>
        <w:instrText>Ref25228174 \r \h</w:instrText>
      </w:r>
      <w:r w:rsidRPr="00A01B22">
        <w:rPr>
          <w:rStyle w:val="aff6"/>
          <w:rtl/>
        </w:rPr>
        <w:instrText xml:space="preserve"> </w:instrText>
      </w:r>
      <w:r w:rsidRPr="00A01B22">
        <w:rPr>
          <w:rStyle w:val="aff6"/>
          <w:rtl/>
        </w:rPr>
      </w:r>
      <w:r w:rsidRPr="00A01B22">
        <w:rPr>
          <w:rStyle w:val="aff6"/>
          <w:rtl/>
        </w:rPr>
        <w:fldChar w:fldCharType="separate"/>
      </w:r>
      <w:r w:rsidR="004D1C5B">
        <w:rPr>
          <w:rStyle w:val="aff6"/>
          <w:cs/>
        </w:rPr>
        <w:t>‎</w:t>
      </w:r>
      <w:r w:rsidR="004D1C5B">
        <w:rPr>
          <w:rStyle w:val="aff6"/>
          <w:rtl/>
        </w:rPr>
        <w:t>כב)</w:t>
      </w:r>
      <w:r w:rsidRPr="00A01B22">
        <w:rPr>
          <w:rStyle w:val="aff6"/>
          <w:rtl/>
        </w:rPr>
        <w:fldChar w:fldCharType="end"/>
      </w:r>
      <w:r w:rsidRPr="00273C3A">
        <w:rPr>
          <w:rStyle w:val="afa"/>
          <w:rFonts w:hint="cs"/>
          <w:rtl/>
        </w:rPr>
        <w:t xml:space="preserve"> דלדעת </w:t>
      </w:r>
      <w:r w:rsidRPr="00273C3A">
        <w:rPr>
          <w:rStyle w:val="affa"/>
          <w:rFonts w:hint="cs"/>
          <w:rtl/>
        </w:rPr>
        <w:t>הרא"ש</w:t>
      </w:r>
      <w:r w:rsidRPr="00273C3A">
        <w:rPr>
          <w:rStyle w:val="afa"/>
          <w:rFonts w:hint="cs"/>
          <w:rtl/>
        </w:rPr>
        <w:t xml:space="preserve"> </w:t>
      </w:r>
      <w:r>
        <w:rPr>
          <w:rStyle w:val="afa"/>
          <w:rFonts w:hint="cs"/>
          <w:rtl/>
        </w:rPr>
        <w:t xml:space="preserve">בנגע בבת אחת </w:t>
      </w:r>
      <w:r w:rsidRPr="00273C3A">
        <w:rPr>
          <w:rStyle w:val="afa"/>
          <w:rFonts w:hint="cs"/>
          <w:rtl/>
        </w:rPr>
        <w:t>טהור</w:t>
      </w:r>
      <w:r>
        <w:rPr>
          <w:rStyle w:val="afa"/>
          <w:rFonts w:hint="cs"/>
          <w:rtl/>
        </w:rPr>
        <w:t xml:space="preserve">, ולדעת </w:t>
      </w:r>
      <w:r w:rsidRPr="00FC2CD7">
        <w:rPr>
          <w:rStyle w:val="affa"/>
          <w:rFonts w:hint="cs"/>
          <w:rtl/>
        </w:rPr>
        <w:t>התוס' בסוגיין</w:t>
      </w:r>
      <w:r>
        <w:rPr>
          <w:rStyle w:val="afa"/>
          <w:rFonts w:hint="cs"/>
          <w:rtl/>
        </w:rPr>
        <w:t xml:space="preserve"> </w:t>
      </w:r>
      <w:r w:rsidRPr="0030607A">
        <w:rPr>
          <w:rStyle w:val="aff6"/>
          <w:rFonts w:hint="cs"/>
          <w:rtl/>
        </w:rPr>
        <w:t xml:space="preserve">(עי' אות </w:t>
      </w:r>
      <w:r w:rsidRPr="0030607A">
        <w:rPr>
          <w:rStyle w:val="aff6"/>
          <w:rtl/>
        </w:rPr>
        <w:fldChar w:fldCharType="begin"/>
      </w:r>
      <w:r w:rsidRPr="0030607A">
        <w:rPr>
          <w:rStyle w:val="aff6"/>
          <w:rtl/>
        </w:rPr>
        <w:instrText xml:space="preserve"> </w:instrText>
      </w:r>
      <w:r w:rsidRPr="0030607A">
        <w:rPr>
          <w:rStyle w:val="aff6"/>
          <w:rFonts w:hint="cs"/>
        </w:rPr>
        <w:instrText>REF</w:instrText>
      </w:r>
      <w:r w:rsidRPr="0030607A">
        <w:rPr>
          <w:rStyle w:val="aff6"/>
          <w:rFonts w:hint="cs"/>
          <w:rtl/>
        </w:rPr>
        <w:instrText xml:space="preserve"> _</w:instrText>
      </w:r>
      <w:r w:rsidRPr="0030607A">
        <w:rPr>
          <w:rStyle w:val="aff6"/>
          <w:rFonts w:hint="cs"/>
        </w:rPr>
        <w:instrText>Ref25487831 \r \h</w:instrText>
      </w:r>
      <w:r w:rsidRPr="0030607A">
        <w:rPr>
          <w:rStyle w:val="aff6"/>
          <w:rtl/>
        </w:rPr>
        <w:instrText xml:space="preserve"> </w:instrText>
      </w:r>
      <w:r w:rsidRPr="0030607A">
        <w:rPr>
          <w:rStyle w:val="aff6"/>
          <w:rtl/>
        </w:rPr>
      </w:r>
      <w:r w:rsidRPr="0030607A">
        <w:rPr>
          <w:rStyle w:val="aff6"/>
          <w:rtl/>
        </w:rPr>
        <w:fldChar w:fldCharType="separate"/>
      </w:r>
      <w:r w:rsidR="004D1C5B">
        <w:rPr>
          <w:rStyle w:val="aff6"/>
          <w:cs/>
        </w:rPr>
        <w:t>‎</w:t>
      </w:r>
      <w:r w:rsidR="004D1C5B">
        <w:rPr>
          <w:rStyle w:val="aff6"/>
          <w:rtl/>
        </w:rPr>
        <w:t>כד)</w:t>
      </w:r>
      <w:r w:rsidRPr="0030607A">
        <w:rPr>
          <w:rStyle w:val="aff6"/>
          <w:rtl/>
        </w:rPr>
        <w:fldChar w:fldCharType="end"/>
      </w:r>
      <w:r>
        <w:rPr>
          <w:rStyle w:val="afa"/>
          <w:rFonts w:hint="cs"/>
          <w:rtl/>
        </w:rPr>
        <w:t xml:space="preserve"> </w:t>
      </w:r>
      <w:r w:rsidRPr="00FC2CD7">
        <w:rPr>
          <w:rStyle w:val="affa"/>
          <w:rFonts w:hint="cs"/>
          <w:rtl/>
        </w:rPr>
        <w:t>והרשב"א</w:t>
      </w:r>
      <w:r>
        <w:rPr>
          <w:rStyle w:val="afa"/>
          <w:rFonts w:hint="cs"/>
          <w:rtl/>
        </w:rPr>
        <w:t xml:space="preserve"> </w:t>
      </w:r>
      <w:r w:rsidRPr="0030607A">
        <w:rPr>
          <w:rStyle w:val="aff6"/>
          <w:rFonts w:hint="cs"/>
          <w:rtl/>
        </w:rPr>
        <w:t xml:space="preserve">(עי' אות </w:t>
      </w:r>
      <w:r w:rsidRPr="0030607A">
        <w:rPr>
          <w:rStyle w:val="aff6"/>
          <w:rtl/>
        </w:rPr>
        <w:fldChar w:fldCharType="begin"/>
      </w:r>
      <w:r w:rsidRPr="0030607A">
        <w:rPr>
          <w:rStyle w:val="aff6"/>
          <w:rtl/>
        </w:rPr>
        <w:instrText xml:space="preserve"> </w:instrText>
      </w:r>
      <w:r w:rsidRPr="0030607A">
        <w:rPr>
          <w:rStyle w:val="aff6"/>
          <w:rFonts w:hint="cs"/>
        </w:rPr>
        <w:instrText>REF</w:instrText>
      </w:r>
      <w:r w:rsidRPr="0030607A">
        <w:rPr>
          <w:rStyle w:val="aff6"/>
          <w:rFonts w:hint="cs"/>
          <w:rtl/>
        </w:rPr>
        <w:instrText xml:space="preserve"> _</w:instrText>
      </w:r>
      <w:r w:rsidRPr="0030607A">
        <w:rPr>
          <w:rStyle w:val="aff6"/>
          <w:rFonts w:hint="cs"/>
        </w:rPr>
        <w:instrText>Ref25487841 \r \h</w:instrText>
      </w:r>
      <w:r w:rsidRPr="0030607A">
        <w:rPr>
          <w:rStyle w:val="aff6"/>
          <w:rtl/>
        </w:rPr>
        <w:instrText xml:space="preserve"> </w:instrText>
      </w:r>
      <w:r w:rsidRPr="0030607A">
        <w:rPr>
          <w:rStyle w:val="aff6"/>
          <w:rtl/>
        </w:rPr>
      </w:r>
      <w:r w:rsidRPr="0030607A">
        <w:rPr>
          <w:rStyle w:val="aff6"/>
          <w:rtl/>
        </w:rPr>
        <w:fldChar w:fldCharType="separate"/>
      </w:r>
      <w:r w:rsidR="004D1C5B">
        <w:rPr>
          <w:rStyle w:val="aff6"/>
          <w:cs/>
        </w:rPr>
        <w:t>‎</w:t>
      </w:r>
      <w:r w:rsidR="004D1C5B">
        <w:rPr>
          <w:rStyle w:val="aff6"/>
          <w:rtl/>
        </w:rPr>
        <w:t>כג)</w:t>
      </w:r>
      <w:r w:rsidRPr="0030607A">
        <w:rPr>
          <w:rStyle w:val="aff6"/>
          <w:rtl/>
        </w:rPr>
        <w:fldChar w:fldCharType="end"/>
      </w:r>
      <w:r>
        <w:rPr>
          <w:rStyle w:val="afa"/>
          <w:rFonts w:hint="cs"/>
          <w:rtl/>
        </w:rPr>
        <w:t xml:space="preserve"> טמא</w:t>
      </w:r>
      <w:r w:rsidRPr="00273C3A">
        <w:rPr>
          <w:rStyle w:val="afa"/>
          <w:rFonts w:hint="cs"/>
          <w:rtl/>
        </w:rPr>
        <w:t>].</w:t>
      </w:r>
    </w:p>
    <w:p w:rsidR="003A5D2C" w:rsidRPr="00A01B22" w:rsidRDefault="003A5D2C" w:rsidP="003A5D2C">
      <w:pPr>
        <w:pStyle w:val="1"/>
        <w:rPr>
          <w:rtl/>
        </w:rPr>
      </w:pPr>
      <w:bookmarkStart w:id="15128" w:name="_Toc25488221"/>
      <w:bookmarkStart w:id="15129" w:name="_Toc25524664"/>
      <w:bookmarkStart w:id="15130" w:name="_Toc25536163"/>
      <w:bookmarkStart w:id="15131" w:name="_Toc25571213"/>
      <w:bookmarkStart w:id="15132" w:name="_Toc25572689"/>
      <w:bookmarkStart w:id="15133" w:name="_Toc25572932"/>
      <w:r>
        <w:rPr>
          <w:rFonts w:hint="cs"/>
          <w:rtl/>
        </w:rPr>
        <w:t>ביאור החזו"א בתוס' בבכורות דאכילה היא כמגע ולא כמשא</w:t>
      </w:r>
      <w:bookmarkEnd w:id="15128"/>
      <w:bookmarkEnd w:id="15129"/>
      <w:bookmarkEnd w:id="15130"/>
      <w:bookmarkEnd w:id="15131"/>
      <w:bookmarkEnd w:id="15132"/>
      <w:bookmarkEnd w:id="15133"/>
    </w:p>
    <w:p w:rsidR="003A5D2C" w:rsidRPr="00926966" w:rsidRDefault="003A5D2C" w:rsidP="003A5D2C">
      <w:pPr>
        <w:pStyle w:val="a2"/>
        <w:rPr>
          <w:rtl/>
        </w:rPr>
      </w:pPr>
      <w:bookmarkStart w:id="15134" w:name="_Toc25488222"/>
      <w:bookmarkStart w:id="15135" w:name="_Toc25524665"/>
      <w:bookmarkStart w:id="15136" w:name="_Toc25536164"/>
      <w:bookmarkStart w:id="15137" w:name="_Toc25571214"/>
      <w:bookmarkStart w:id="15138" w:name="_Toc25572690"/>
      <w:bookmarkStart w:id="15139" w:name="_Toc25572933"/>
      <w:r>
        <w:rPr>
          <w:rFonts w:hint="cs"/>
          <w:rtl/>
        </w:rPr>
        <w:t>ביאור החזו"א בתוס' בבכורות דאכילה דמי למגע ולא למשא ולכן אמרינן דקמא קמא בטיל</w:t>
      </w:r>
      <w:bookmarkEnd w:id="15134"/>
      <w:bookmarkEnd w:id="15135"/>
      <w:bookmarkEnd w:id="15136"/>
      <w:bookmarkEnd w:id="15137"/>
      <w:bookmarkEnd w:id="15138"/>
      <w:bookmarkEnd w:id="15139"/>
    </w:p>
    <w:p w:rsidR="003A5D2C" w:rsidRPr="00332599" w:rsidRDefault="003A5D2C" w:rsidP="009F44AF">
      <w:pPr>
        <w:pStyle w:val="a"/>
        <w:rPr>
          <w:rStyle w:val="afa"/>
          <w:rtl/>
        </w:rPr>
      </w:pPr>
      <w:bookmarkStart w:id="15140" w:name="_Ref25488121"/>
      <w:r>
        <w:rPr>
          <w:rFonts w:hint="cs"/>
          <w:rtl/>
        </w:rPr>
        <w:t xml:space="preserve">ובמה שכתבו </w:t>
      </w:r>
      <w:r w:rsidRPr="005D4574">
        <w:rPr>
          <w:rStyle w:val="af8"/>
          <w:rFonts w:hint="cs"/>
          <w:rtl/>
        </w:rPr>
        <w:t>התוס' בבכורות</w:t>
      </w:r>
      <w:r w:rsidRPr="00332599">
        <w:rPr>
          <w:rStyle w:val="af6"/>
          <w:rFonts w:eastAsia="Guttman Hodes" w:hint="cs"/>
          <w:rtl/>
        </w:rPr>
        <w:t xml:space="preserve"> (עי' אות </w:t>
      </w:r>
      <w:r w:rsidRPr="00332599">
        <w:rPr>
          <w:rStyle w:val="af6"/>
          <w:rFonts w:eastAsia="Guttman Hodes"/>
          <w:rtl/>
        </w:rPr>
        <w:fldChar w:fldCharType="begin"/>
      </w:r>
      <w:r w:rsidRPr="00332599">
        <w:rPr>
          <w:rStyle w:val="af6"/>
          <w:rFonts w:eastAsia="Guttman Hodes"/>
          <w:rtl/>
        </w:rPr>
        <w:instrText xml:space="preserve"> </w:instrText>
      </w:r>
      <w:r w:rsidRPr="00332599">
        <w:rPr>
          <w:rStyle w:val="af6"/>
          <w:rFonts w:eastAsia="Guttman Hodes" w:hint="cs"/>
        </w:rPr>
        <w:instrText>REF</w:instrText>
      </w:r>
      <w:r w:rsidRPr="00332599">
        <w:rPr>
          <w:rStyle w:val="af6"/>
          <w:rFonts w:eastAsia="Guttman Hodes" w:hint="cs"/>
          <w:rtl/>
        </w:rPr>
        <w:instrText xml:space="preserve"> _</w:instrText>
      </w:r>
      <w:r w:rsidRPr="00332599">
        <w:rPr>
          <w:rStyle w:val="af6"/>
          <w:rFonts w:eastAsia="Guttman Hodes" w:hint="cs"/>
        </w:rPr>
        <w:instrText>Ref25483714 \r \h</w:instrText>
      </w:r>
      <w:r w:rsidRPr="00332599">
        <w:rPr>
          <w:rStyle w:val="af6"/>
          <w:rFonts w:eastAsia="Guttman Hodes"/>
          <w:rtl/>
        </w:rPr>
        <w:instrText xml:space="preserve"> </w:instrText>
      </w:r>
      <w:r w:rsidRPr="00332599">
        <w:rPr>
          <w:rStyle w:val="af6"/>
          <w:rFonts w:eastAsia="Guttman Hodes"/>
          <w:rtl/>
        </w:rPr>
      </w:r>
      <w:r w:rsidRPr="00332599">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332599">
        <w:rPr>
          <w:rStyle w:val="af6"/>
          <w:rFonts w:eastAsia="Guttman Hodes"/>
          <w:rtl/>
        </w:rPr>
        <w:fldChar w:fldCharType="end"/>
      </w:r>
      <w:r>
        <w:rPr>
          <w:rFonts w:hint="cs"/>
          <w:rtl/>
        </w:rPr>
        <w:t xml:space="preserve"> דלענין איסור, כל משהו שבולע באכילתו, מתבטל ברוב ההיתר ודמי לטומאת מגע, </w:t>
      </w:r>
      <w:r w:rsidRPr="00332599">
        <w:rPr>
          <w:rFonts w:hint="cs"/>
          <w:rtl/>
        </w:rPr>
        <w:t xml:space="preserve">בנוגע </w:t>
      </w:r>
      <w:r w:rsidRPr="00332599">
        <w:rPr>
          <w:rFonts w:hint="cs"/>
          <w:rtl/>
        </w:rPr>
        <w:t xml:space="preserve">וחוזר ונוגע, כתב </w:t>
      </w:r>
      <w:r w:rsidRPr="00332599">
        <w:rPr>
          <w:rStyle w:val="af8"/>
          <w:rFonts w:hint="cs"/>
          <w:rtl/>
        </w:rPr>
        <w:t>החזו"א</w:t>
      </w:r>
      <w:r w:rsidRPr="00332599">
        <w:rPr>
          <w:rFonts w:hint="cs"/>
          <w:rtl/>
        </w:rPr>
        <w:t xml:space="preserve"> </w:t>
      </w:r>
      <w:r w:rsidRPr="002F04D5">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ל</w:t>
      </w:r>
      <w:r>
        <w:rPr>
          <w:rStyle w:val="af6"/>
          <w:rFonts w:eastAsia="Guttman Hodes"/>
          <w:rtl/>
        </w:rPr>
        <w:t>"</w:t>
      </w:r>
      <w:r>
        <w:rPr>
          <w:rStyle w:val="af6"/>
          <w:rFonts w:eastAsia="Guttman Hodes" w:hint="cs"/>
          <w:rtl/>
        </w:rPr>
        <w:t>ו סק</w:t>
      </w:r>
      <w:r>
        <w:rPr>
          <w:rStyle w:val="af6"/>
          <w:rFonts w:eastAsia="Guttman Hodes"/>
          <w:rtl/>
        </w:rPr>
        <w:t>"</w:t>
      </w:r>
      <w:r>
        <w:rPr>
          <w:rStyle w:val="af6"/>
          <w:rFonts w:eastAsia="Guttman Hodes" w:hint="cs"/>
          <w:rtl/>
        </w:rPr>
        <w:t>ד ד</w:t>
      </w:r>
      <w:r>
        <w:rPr>
          <w:rStyle w:val="af6"/>
          <w:rFonts w:eastAsia="Guttman Hodes"/>
          <w:rtl/>
        </w:rPr>
        <w:t>"</w:t>
      </w:r>
      <w:r>
        <w:rPr>
          <w:rStyle w:val="af6"/>
          <w:rFonts w:eastAsia="Guttman Hodes" w:hint="cs"/>
          <w:rtl/>
        </w:rPr>
        <w:t>ה והנה, עוקצין סו</w:t>
      </w:r>
      <w:r>
        <w:rPr>
          <w:rStyle w:val="af6"/>
          <w:rFonts w:eastAsia="Guttman Hodes"/>
          <w:rtl/>
        </w:rPr>
        <w:t>"</w:t>
      </w:r>
      <w:r>
        <w:rPr>
          <w:rStyle w:val="af6"/>
          <w:rFonts w:eastAsia="Guttman Hodes" w:hint="cs"/>
          <w:rtl/>
        </w:rPr>
        <w:t>ס א</w:t>
      </w:r>
      <w:r>
        <w:rPr>
          <w:rStyle w:val="af6"/>
          <w:rFonts w:eastAsia="Guttman Hodes"/>
          <w:rtl/>
        </w:rPr>
        <w:t>'</w:t>
      </w:r>
      <w:r w:rsidRPr="002F04D5">
        <w:rPr>
          <w:rStyle w:val="af6"/>
          <w:rFonts w:eastAsia="Guttman Hodes" w:hint="cs"/>
          <w:rtl/>
        </w:rPr>
        <w:t>)</w:t>
      </w:r>
      <w:r>
        <w:rPr>
          <w:rFonts w:hint="cs"/>
          <w:rtl/>
        </w:rPr>
        <w:t xml:space="preserve"> </w:t>
      </w:r>
      <w:r w:rsidRPr="00332599">
        <w:rPr>
          <w:rFonts w:hint="cs"/>
          <w:rtl/>
        </w:rPr>
        <w:t>דמבואר דס"ל</w:t>
      </w:r>
      <w:r w:rsidRPr="00332599">
        <w:rPr>
          <w:rStyle w:val="af8"/>
          <w:rFonts w:hint="cs"/>
          <w:rtl/>
        </w:rPr>
        <w:t xml:space="preserve"> להתוס'</w:t>
      </w:r>
      <w:r w:rsidRPr="00332599">
        <w:rPr>
          <w:rFonts w:hint="cs"/>
          <w:rtl/>
        </w:rPr>
        <w:t xml:space="preserve"> </w:t>
      </w:r>
      <w:r w:rsidRPr="00332599">
        <w:rPr>
          <w:rStyle w:val="af8"/>
          <w:rFonts w:hint="cs"/>
          <w:rtl/>
        </w:rPr>
        <w:t>בבכורות</w:t>
      </w:r>
      <w:r w:rsidRPr="00332599">
        <w:rPr>
          <w:rFonts w:hint="cs"/>
          <w:rtl/>
        </w:rPr>
        <w:t xml:space="preserve"> דאכילה היא כמו טומאת מגע ולא כמו טומאת משא, ועל כל משהו שאוכל יש היתר מדין ביטול ברוב. </w:t>
      </w:r>
      <w:r w:rsidRPr="00332599">
        <w:rPr>
          <w:rStyle w:val="afa"/>
          <w:rFonts w:hint="cs"/>
          <w:rtl/>
        </w:rPr>
        <w:t xml:space="preserve">[ועי' במה שביאר </w:t>
      </w:r>
      <w:r w:rsidRPr="00332599">
        <w:rPr>
          <w:rStyle w:val="affa"/>
          <w:rFonts w:hint="cs"/>
          <w:rtl/>
        </w:rPr>
        <w:t>החזו"א</w:t>
      </w:r>
      <w:r w:rsidRPr="00332599">
        <w:rPr>
          <w:rStyle w:val="afa"/>
          <w:rFonts w:hint="cs"/>
          <w:rtl/>
        </w:rPr>
        <w:t xml:space="preserve"> </w:t>
      </w:r>
      <w:r w:rsidRPr="00332599">
        <w:rPr>
          <w:rStyle w:val="aff6"/>
          <w:rFonts w:hint="cs"/>
          <w:rtl/>
        </w:rPr>
        <w:t xml:space="preserve">(עי' אות </w:t>
      </w:r>
      <w:r w:rsidRPr="00332599">
        <w:rPr>
          <w:rStyle w:val="aff6"/>
          <w:rtl/>
        </w:rPr>
        <w:fldChar w:fldCharType="begin"/>
      </w:r>
      <w:r w:rsidRPr="00332599">
        <w:rPr>
          <w:rStyle w:val="aff6"/>
          <w:rtl/>
        </w:rPr>
        <w:instrText xml:space="preserve"> </w:instrText>
      </w:r>
      <w:r w:rsidRPr="00332599">
        <w:rPr>
          <w:rStyle w:val="aff6"/>
          <w:rFonts w:hint="cs"/>
        </w:rPr>
        <w:instrText>REF</w:instrText>
      </w:r>
      <w:r w:rsidRPr="00332599">
        <w:rPr>
          <w:rStyle w:val="aff6"/>
          <w:rFonts w:hint="cs"/>
          <w:rtl/>
        </w:rPr>
        <w:instrText xml:space="preserve"> _</w:instrText>
      </w:r>
      <w:r w:rsidRPr="00332599">
        <w:rPr>
          <w:rStyle w:val="aff6"/>
          <w:rFonts w:hint="cs"/>
        </w:rPr>
        <w:instrText>Ref25486638 \r \h</w:instrText>
      </w:r>
      <w:r w:rsidRPr="00332599">
        <w:rPr>
          <w:rStyle w:val="aff6"/>
          <w:rtl/>
        </w:rPr>
        <w:instrText xml:space="preserve">  \* </w:instrText>
      </w:r>
      <w:r w:rsidRPr="00332599">
        <w:rPr>
          <w:rStyle w:val="aff6"/>
        </w:rPr>
        <w:instrText>MERGEFORMAT</w:instrText>
      </w:r>
      <w:r w:rsidRPr="00332599">
        <w:rPr>
          <w:rStyle w:val="aff6"/>
          <w:rtl/>
        </w:rPr>
        <w:instrText xml:space="preserve"> </w:instrText>
      </w:r>
      <w:r w:rsidRPr="00332599">
        <w:rPr>
          <w:rStyle w:val="aff6"/>
          <w:rtl/>
        </w:rPr>
      </w:r>
      <w:r w:rsidRPr="00332599">
        <w:rPr>
          <w:rStyle w:val="aff6"/>
          <w:rtl/>
        </w:rPr>
        <w:fldChar w:fldCharType="separate"/>
      </w:r>
      <w:r w:rsidR="004D1C5B">
        <w:rPr>
          <w:rStyle w:val="aff6"/>
          <w:cs/>
        </w:rPr>
        <w:t>‎</w:t>
      </w:r>
      <w:r w:rsidR="004D1C5B">
        <w:rPr>
          <w:rStyle w:val="aff6"/>
          <w:rtl/>
        </w:rPr>
        <w:t>כז)</w:t>
      </w:r>
      <w:r w:rsidRPr="00332599">
        <w:rPr>
          <w:rStyle w:val="aff6"/>
          <w:rtl/>
        </w:rPr>
        <w:fldChar w:fldCharType="end"/>
      </w:r>
      <w:r w:rsidRPr="00332599">
        <w:rPr>
          <w:rStyle w:val="afa"/>
          <w:rFonts w:hint="cs"/>
          <w:rtl/>
        </w:rPr>
        <w:t xml:space="preserve"> בדעת הרא"ש באכילה בלח וביבש].</w:t>
      </w:r>
      <w:bookmarkEnd w:id="15140"/>
    </w:p>
    <w:p w:rsidR="003A5D2C" w:rsidRDefault="003A5D2C" w:rsidP="003A5D2C">
      <w:pPr>
        <w:pStyle w:val="afd"/>
        <w:rPr>
          <w:rtl/>
        </w:rPr>
      </w:pPr>
      <w:bookmarkStart w:id="15141" w:name="_Toc25488223"/>
      <w:bookmarkStart w:id="15142" w:name="_Toc25524666"/>
      <w:bookmarkStart w:id="15143" w:name="_Toc25536165"/>
      <w:bookmarkStart w:id="15144" w:name="_Toc25571215"/>
      <w:bookmarkStart w:id="15145" w:name="_Toc25572691"/>
      <w:bookmarkStart w:id="15146" w:name="_Toc25572934"/>
      <w:r>
        <w:rPr>
          <w:rFonts w:hint="cs"/>
          <w:rtl/>
        </w:rPr>
        <w:t>דברי הרמב"ם בנבילה שבטלה בשחוטה</w:t>
      </w:r>
      <w:bookmarkEnd w:id="15141"/>
      <w:bookmarkEnd w:id="15142"/>
      <w:bookmarkEnd w:id="15143"/>
      <w:bookmarkEnd w:id="15144"/>
      <w:bookmarkEnd w:id="15145"/>
      <w:bookmarkEnd w:id="15146"/>
    </w:p>
    <w:p w:rsidR="003A5D2C" w:rsidRDefault="003A5D2C" w:rsidP="003A5D2C">
      <w:pPr>
        <w:pStyle w:val="1"/>
        <w:rPr>
          <w:rtl/>
        </w:rPr>
      </w:pPr>
      <w:bookmarkStart w:id="15147" w:name="_Toc25488224"/>
      <w:bookmarkStart w:id="15148" w:name="_Toc25524667"/>
      <w:bookmarkStart w:id="15149" w:name="_Toc25536166"/>
      <w:bookmarkStart w:id="15150" w:name="_Toc25571216"/>
      <w:bookmarkStart w:id="15151" w:name="_Toc25572692"/>
      <w:bookmarkStart w:id="15152" w:name="_Toc25572935"/>
      <w:r>
        <w:rPr>
          <w:rFonts w:hint="cs"/>
          <w:rtl/>
        </w:rPr>
        <w:t>דברי הרמב"ם</w:t>
      </w:r>
      <w:bookmarkEnd w:id="15105"/>
      <w:bookmarkEnd w:id="15106"/>
      <w:r>
        <w:rPr>
          <w:rFonts w:hint="cs"/>
          <w:rtl/>
        </w:rPr>
        <w:t xml:space="preserve"> דהכל מטמא במשא ואין הכל מטמא במגע</w:t>
      </w:r>
      <w:bookmarkEnd w:id="15147"/>
      <w:bookmarkEnd w:id="15148"/>
      <w:bookmarkEnd w:id="15149"/>
      <w:bookmarkEnd w:id="15150"/>
      <w:bookmarkEnd w:id="15151"/>
      <w:bookmarkEnd w:id="15152"/>
    </w:p>
    <w:p w:rsidR="003A5D2C" w:rsidRPr="00926966" w:rsidRDefault="003A5D2C" w:rsidP="003A5D2C">
      <w:pPr>
        <w:pStyle w:val="a2"/>
        <w:rPr>
          <w:rtl/>
        </w:rPr>
      </w:pPr>
      <w:bookmarkStart w:id="15153" w:name="_Toc25488225"/>
      <w:bookmarkStart w:id="15154" w:name="_Toc25524668"/>
      <w:bookmarkStart w:id="15155" w:name="_Toc25536167"/>
      <w:bookmarkStart w:id="15156" w:name="_Toc25571217"/>
      <w:bookmarkStart w:id="15157" w:name="_Toc25572693"/>
      <w:bookmarkStart w:id="15158" w:name="_Toc25572936"/>
      <w:r>
        <w:rPr>
          <w:rFonts w:hint="cs"/>
          <w:rtl/>
        </w:rPr>
        <w:t>דברי הרמב"ם דנבילה שהתערבה בשחוטה בטלה הנבילה והכל אין מטמא במגע ומטמא במשא</w:t>
      </w:r>
      <w:bookmarkEnd w:id="15153"/>
      <w:bookmarkEnd w:id="15154"/>
      <w:bookmarkEnd w:id="15155"/>
      <w:bookmarkEnd w:id="15156"/>
      <w:bookmarkEnd w:id="15157"/>
      <w:bookmarkEnd w:id="15158"/>
    </w:p>
    <w:p w:rsidR="003A5D2C" w:rsidRDefault="003A5D2C" w:rsidP="009F44AF">
      <w:pPr>
        <w:pStyle w:val="a"/>
        <w:rPr>
          <w:rtl/>
        </w:rPr>
      </w:pPr>
      <w:bookmarkStart w:id="15159" w:name="_Ref25483287"/>
      <w:r>
        <w:rPr>
          <w:rFonts w:hint="cs"/>
          <w:rtl/>
        </w:rPr>
        <w:t xml:space="preserve">כתב </w:t>
      </w:r>
      <w:r w:rsidRPr="00E9041C">
        <w:rPr>
          <w:rStyle w:val="af8"/>
          <w:rFonts w:hint="cs"/>
          <w:rtl/>
        </w:rPr>
        <w:t>הרמב"ם</w:t>
      </w:r>
      <w:r>
        <w:rPr>
          <w:rFonts w:hint="cs"/>
          <w:rtl/>
        </w:rPr>
        <w:t xml:space="preserve"> </w:t>
      </w:r>
      <w:r w:rsidRPr="00E9041C">
        <w:rPr>
          <w:rStyle w:val="af6"/>
          <w:rFonts w:eastAsia="Guttman Hodes" w:hint="cs"/>
          <w:rtl/>
        </w:rPr>
        <w:t>(אבות הטומא</w:t>
      </w:r>
      <w:r>
        <w:rPr>
          <w:rStyle w:val="af6"/>
          <w:rFonts w:eastAsia="Guttman Hodes" w:hint="cs"/>
          <w:rtl/>
        </w:rPr>
        <w:t>ות</w:t>
      </w:r>
      <w:r w:rsidRPr="00E9041C">
        <w:rPr>
          <w:rStyle w:val="af6"/>
          <w:rFonts w:eastAsia="Guttman Hodes" w:hint="cs"/>
          <w:rtl/>
        </w:rPr>
        <w:t xml:space="preserve"> פ"א הי"ז)</w:t>
      </w:r>
      <w:r>
        <w:rPr>
          <w:rFonts w:hint="cs"/>
          <w:rtl/>
        </w:rPr>
        <w:t xml:space="preserve"> דתערובת של נבילה שהתערבה ברוב שחוטה, הנבילה בטלה בשחוטה, ואין הכל מטמא במגע, אך אם נשא את הכל נטמא, כיון שא"א שהשחוטה שתחזור להיות נבילה, </w:t>
      </w:r>
      <w:r w:rsidRPr="00C66761">
        <w:rPr>
          <w:rStyle w:val="afa"/>
          <w:rFonts w:hint="cs"/>
          <w:rtl/>
        </w:rPr>
        <w:t xml:space="preserve">[כדברי רב חסדא בבכורות </w:t>
      </w:r>
      <w:r w:rsidRPr="00C66761">
        <w:rPr>
          <w:rStyle w:val="aff6"/>
          <w:rFonts w:hint="cs"/>
          <w:rtl/>
        </w:rPr>
        <w:t>(כג.)</w:t>
      </w:r>
      <w:r w:rsidRPr="00C66761">
        <w:rPr>
          <w:rStyle w:val="afa"/>
          <w:rFonts w:hint="cs"/>
          <w:rtl/>
        </w:rPr>
        <w:t>],</w:t>
      </w:r>
      <w:r>
        <w:rPr>
          <w:rFonts w:hint="cs"/>
          <w:rtl/>
        </w:rPr>
        <w:t xml:space="preserve"> אבל נבילה יכולה להטהר כשתסריח, ולכן היא מתבטלת בשחוטה.</w:t>
      </w:r>
      <w:bookmarkEnd w:id="15159"/>
    </w:p>
    <w:p w:rsidR="003A5D2C" w:rsidRPr="0051257C" w:rsidRDefault="003A5D2C" w:rsidP="003A5D2C">
      <w:pPr>
        <w:pStyle w:val="1"/>
        <w:rPr>
          <w:rtl/>
        </w:rPr>
      </w:pPr>
      <w:bookmarkStart w:id="15160" w:name="_Toc25488226"/>
      <w:bookmarkStart w:id="15161" w:name="_Toc25524669"/>
      <w:bookmarkStart w:id="15162" w:name="_Toc25536168"/>
      <w:bookmarkStart w:id="15163" w:name="_Toc25571218"/>
      <w:bookmarkStart w:id="15164" w:name="_Toc25572694"/>
      <w:bookmarkStart w:id="15165" w:name="_Toc25572937"/>
      <w:r>
        <w:rPr>
          <w:rFonts w:hint="cs"/>
          <w:rtl/>
        </w:rPr>
        <w:t>דברי המשל"מ והפרמ"ג דלהרמב"ם מטמאה במשא מדאו'</w:t>
      </w:r>
      <w:bookmarkEnd w:id="15160"/>
      <w:bookmarkEnd w:id="15161"/>
      <w:bookmarkEnd w:id="15162"/>
      <w:bookmarkEnd w:id="15163"/>
      <w:bookmarkEnd w:id="15164"/>
      <w:bookmarkEnd w:id="15165"/>
    </w:p>
    <w:p w:rsidR="003A5D2C" w:rsidRPr="00926966" w:rsidRDefault="003A5D2C" w:rsidP="003A5D2C">
      <w:pPr>
        <w:pStyle w:val="a2"/>
        <w:rPr>
          <w:rtl/>
        </w:rPr>
      </w:pPr>
      <w:bookmarkStart w:id="15166" w:name="_Toc25488227"/>
      <w:bookmarkStart w:id="15167" w:name="_Toc25524670"/>
      <w:bookmarkStart w:id="15168" w:name="_Toc25536169"/>
      <w:bookmarkStart w:id="15169" w:name="_Toc25571219"/>
      <w:bookmarkStart w:id="15170" w:name="_Toc25572695"/>
      <w:bookmarkStart w:id="15171" w:name="_Toc25572938"/>
      <w:bookmarkStart w:id="15172" w:name="_Toc25184790"/>
      <w:bookmarkStart w:id="15173" w:name="_Toc25317259"/>
      <w:r>
        <w:rPr>
          <w:rFonts w:hint="cs"/>
          <w:rtl/>
        </w:rPr>
        <w:t>דברי המשל"מ והפרמ"ג דלדעת הרמב"ם נבילה שבטלה בשחוטה מדאו' מטמאה במשא</w:t>
      </w:r>
      <w:bookmarkEnd w:id="15166"/>
      <w:bookmarkEnd w:id="15167"/>
      <w:bookmarkEnd w:id="15168"/>
      <w:bookmarkEnd w:id="15169"/>
      <w:bookmarkEnd w:id="15170"/>
      <w:bookmarkEnd w:id="15171"/>
    </w:p>
    <w:p w:rsidR="003A5D2C" w:rsidRPr="003B1664" w:rsidRDefault="003A5D2C" w:rsidP="009F44AF">
      <w:pPr>
        <w:pStyle w:val="a"/>
        <w:rPr>
          <w:rtl/>
        </w:rPr>
      </w:pPr>
      <w:bookmarkStart w:id="15174" w:name="_Ref25483444"/>
      <w:r>
        <w:rPr>
          <w:rFonts w:hint="cs"/>
          <w:rtl/>
        </w:rPr>
        <w:t xml:space="preserve">והביא </w:t>
      </w:r>
      <w:r w:rsidRPr="00273C3A">
        <w:rPr>
          <w:rStyle w:val="af8"/>
          <w:rFonts w:hint="cs"/>
          <w:rtl/>
        </w:rPr>
        <w:t xml:space="preserve">הפרמ"ג </w:t>
      </w:r>
      <w:r w:rsidRPr="00D103C7">
        <w:rPr>
          <w:rStyle w:val="af6"/>
          <w:rFonts w:eastAsia="Guttman Hodes" w:hint="cs"/>
          <w:rtl/>
        </w:rPr>
        <w:t xml:space="preserve">(או"ח אשל אברהם פתיחה לסי' תמ"ב) </w:t>
      </w:r>
      <w:r>
        <w:rPr>
          <w:rFonts w:hint="cs"/>
          <w:rtl/>
        </w:rPr>
        <w:t xml:space="preserve">דבדברי </w:t>
      </w:r>
      <w:r w:rsidRPr="00273C3A">
        <w:rPr>
          <w:rStyle w:val="af8"/>
          <w:rFonts w:hint="cs"/>
          <w:rtl/>
        </w:rPr>
        <w:t>המשל"מ</w:t>
      </w:r>
      <w:r w:rsidRPr="00D103C7">
        <w:rPr>
          <w:rStyle w:val="af6"/>
          <w:rFonts w:eastAsia="Guttman Hodes" w:hint="cs"/>
          <w:rtl/>
        </w:rPr>
        <w:t xml:space="preserve"> (אבות הטומאות פ"א ריש הי"ד) </w:t>
      </w:r>
      <w:r>
        <w:rPr>
          <w:rFonts w:hint="cs"/>
          <w:rtl/>
        </w:rPr>
        <w:t xml:space="preserve">מבואר </w:t>
      </w:r>
      <w:r w:rsidRPr="00273C3A">
        <w:rPr>
          <w:rStyle w:val="af8"/>
          <w:rFonts w:hint="cs"/>
          <w:rtl/>
        </w:rPr>
        <w:t>דהרמב"ם</w:t>
      </w:r>
      <w:r>
        <w:rPr>
          <w:rFonts w:hint="cs"/>
          <w:rtl/>
        </w:rPr>
        <w:t xml:space="preserve"> </w:t>
      </w:r>
      <w:r w:rsidRPr="00A72D0E">
        <w:rPr>
          <w:rStyle w:val="af6"/>
          <w:rFonts w:eastAsia="Guttman Hodes" w:hint="cs"/>
          <w:rtl/>
        </w:rPr>
        <w:t xml:space="preserve">(עי' אות </w:t>
      </w:r>
      <w:r w:rsidRPr="00A72D0E">
        <w:rPr>
          <w:rStyle w:val="af6"/>
          <w:rFonts w:eastAsia="Guttman Hodes"/>
          <w:rtl/>
        </w:rPr>
        <w:fldChar w:fldCharType="begin"/>
      </w:r>
      <w:r w:rsidRPr="00A72D0E">
        <w:rPr>
          <w:rStyle w:val="af6"/>
          <w:rFonts w:eastAsia="Guttman Hodes"/>
          <w:rtl/>
        </w:rPr>
        <w:instrText xml:space="preserve"> </w:instrText>
      </w:r>
      <w:r w:rsidRPr="00A72D0E">
        <w:rPr>
          <w:rStyle w:val="af6"/>
          <w:rFonts w:eastAsia="Guttman Hodes" w:hint="cs"/>
        </w:rPr>
        <w:instrText>REF</w:instrText>
      </w:r>
      <w:r w:rsidRPr="00A72D0E">
        <w:rPr>
          <w:rStyle w:val="af6"/>
          <w:rFonts w:eastAsia="Guttman Hodes" w:hint="cs"/>
          <w:rtl/>
        </w:rPr>
        <w:instrText xml:space="preserve"> _</w:instrText>
      </w:r>
      <w:r w:rsidRPr="00A72D0E">
        <w:rPr>
          <w:rStyle w:val="af6"/>
          <w:rFonts w:eastAsia="Guttman Hodes" w:hint="cs"/>
        </w:rPr>
        <w:instrText>Ref25483287 \r \h</w:instrText>
      </w:r>
      <w:r w:rsidRPr="00A72D0E">
        <w:rPr>
          <w:rStyle w:val="af6"/>
          <w:rFonts w:eastAsia="Guttman Hodes"/>
          <w:rtl/>
        </w:rPr>
        <w:instrText xml:space="preserve"> </w:instrText>
      </w:r>
      <w:r w:rsidRPr="00A72D0E">
        <w:rPr>
          <w:rStyle w:val="af6"/>
          <w:rFonts w:eastAsia="Guttman Hodes"/>
          <w:rtl/>
        </w:rPr>
      </w:r>
      <w:r w:rsidRPr="00A72D0E">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A72D0E">
        <w:rPr>
          <w:rStyle w:val="af6"/>
          <w:rFonts w:eastAsia="Guttman Hodes"/>
          <w:rtl/>
        </w:rPr>
        <w:fldChar w:fldCharType="end"/>
      </w:r>
      <w:r>
        <w:rPr>
          <w:rFonts w:hint="cs"/>
          <w:rtl/>
        </w:rPr>
        <w:t xml:space="preserve"> פליג על </w:t>
      </w:r>
      <w:r w:rsidRPr="00273C3A">
        <w:rPr>
          <w:rStyle w:val="af8"/>
          <w:rFonts w:hint="cs"/>
          <w:rtl/>
        </w:rPr>
        <w:t>התוס'</w:t>
      </w:r>
      <w:r>
        <w:rPr>
          <w:rStyle w:val="af8"/>
          <w:rFonts w:hint="cs"/>
          <w:rtl/>
        </w:rPr>
        <w:t xml:space="preserve"> בבכורות </w:t>
      </w:r>
      <w:r w:rsidRPr="00A72D0E">
        <w:rPr>
          <w:rStyle w:val="af6"/>
          <w:rFonts w:eastAsia="Guttman Hodes" w:hint="cs"/>
          <w:rtl/>
        </w:rPr>
        <w:t xml:space="preserve">(עי' אות </w:t>
      </w:r>
      <w:r w:rsidRPr="00A72D0E">
        <w:rPr>
          <w:rStyle w:val="af6"/>
          <w:rFonts w:eastAsia="Guttman Hodes"/>
          <w:rtl/>
        </w:rPr>
        <w:fldChar w:fldCharType="begin"/>
      </w:r>
      <w:r w:rsidRPr="00A72D0E">
        <w:rPr>
          <w:rStyle w:val="af6"/>
          <w:rFonts w:eastAsia="Guttman Hodes"/>
          <w:rtl/>
        </w:rPr>
        <w:instrText xml:space="preserve"> </w:instrText>
      </w:r>
      <w:r w:rsidRPr="00A72D0E">
        <w:rPr>
          <w:rStyle w:val="af6"/>
          <w:rFonts w:eastAsia="Guttman Hodes" w:hint="cs"/>
        </w:rPr>
        <w:instrText>REF</w:instrText>
      </w:r>
      <w:r w:rsidRPr="00A72D0E">
        <w:rPr>
          <w:rStyle w:val="af6"/>
          <w:rFonts w:eastAsia="Guttman Hodes" w:hint="cs"/>
          <w:rtl/>
        </w:rPr>
        <w:instrText xml:space="preserve"> _</w:instrText>
      </w:r>
      <w:r w:rsidRPr="00A72D0E">
        <w:rPr>
          <w:rStyle w:val="af6"/>
          <w:rFonts w:eastAsia="Guttman Hodes" w:hint="cs"/>
        </w:rPr>
        <w:instrText>Ref25483296 \r \h</w:instrText>
      </w:r>
      <w:r w:rsidRPr="00A72D0E">
        <w:rPr>
          <w:rStyle w:val="af6"/>
          <w:rFonts w:eastAsia="Guttman Hodes"/>
          <w:rtl/>
        </w:rPr>
        <w:instrText xml:space="preserve"> </w:instrText>
      </w:r>
      <w:r w:rsidRPr="00A72D0E">
        <w:rPr>
          <w:rStyle w:val="af6"/>
          <w:rFonts w:eastAsia="Guttman Hodes"/>
          <w:rtl/>
        </w:rPr>
      </w:r>
      <w:r w:rsidRPr="00A72D0E">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A72D0E">
        <w:rPr>
          <w:rStyle w:val="af6"/>
          <w:rFonts w:eastAsia="Guttman Hodes"/>
          <w:rtl/>
        </w:rPr>
        <w:fldChar w:fldCharType="end"/>
      </w:r>
      <w:r>
        <w:rPr>
          <w:rFonts w:hint="cs"/>
          <w:rtl/>
        </w:rPr>
        <w:t xml:space="preserve">, וס"ל דהא דנבילה שהתערבה בשחוטה, מטמאה במשא, אינו מדרבנן אלא מדאו', דס"ל </w:t>
      </w:r>
      <w:r w:rsidRPr="00273C3A">
        <w:rPr>
          <w:rStyle w:val="af8"/>
          <w:rFonts w:hint="cs"/>
          <w:rtl/>
        </w:rPr>
        <w:t xml:space="preserve">להרמב"ם </w:t>
      </w:r>
      <w:r>
        <w:rPr>
          <w:rFonts w:hint="cs"/>
          <w:rtl/>
        </w:rPr>
        <w:t xml:space="preserve">דדמי לבגד שאבד בו כלאים דלא מהני בו ביטול מדאו', וכ"כ </w:t>
      </w:r>
      <w:r w:rsidRPr="004D1772">
        <w:rPr>
          <w:rStyle w:val="af8"/>
          <w:rFonts w:hint="cs"/>
          <w:rtl/>
        </w:rPr>
        <w:t>השער"י</w:t>
      </w:r>
      <w:r>
        <w:rPr>
          <w:rFonts w:hint="cs"/>
          <w:rtl/>
        </w:rPr>
        <w:t xml:space="preserve"> </w:t>
      </w:r>
      <w:r w:rsidRPr="00A72D0E">
        <w:rPr>
          <w:rStyle w:val="af6"/>
          <w:rFonts w:eastAsia="Guttman Hodes" w:hint="cs"/>
          <w:rtl/>
        </w:rPr>
        <w:t xml:space="preserve">(עי' אות </w:t>
      </w:r>
      <w:r w:rsidRPr="00A72D0E">
        <w:rPr>
          <w:rStyle w:val="af6"/>
          <w:rFonts w:eastAsia="Guttman Hodes"/>
          <w:rtl/>
        </w:rPr>
        <w:fldChar w:fldCharType="begin"/>
      </w:r>
      <w:r w:rsidRPr="00A72D0E">
        <w:rPr>
          <w:rStyle w:val="af6"/>
          <w:rFonts w:eastAsia="Guttman Hodes"/>
          <w:rtl/>
        </w:rPr>
        <w:instrText xml:space="preserve"> </w:instrText>
      </w:r>
      <w:r w:rsidRPr="00A72D0E">
        <w:rPr>
          <w:rStyle w:val="af6"/>
          <w:rFonts w:eastAsia="Guttman Hodes" w:hint="cs"/>
        </w:rPr>
        <w:instrText>REF</w:instrText>
      </w:r>
      <w:r w:rsidRPr="00A72D0E">
        <w:rPr>
          <w:rStyle w:val="af6"/>
          <w:rFonts w:eastAsia="Guttman Hodes" w:hint="cs"/>
          <w:rtl/>
        </w:rPr>
        <w:instrText xml:space="preserve"> _</w:instrText>
      </w:r>
      <w:r w:rsidRPr="00A72D0E">
        <w:rPr>
          <w:rStyle w:val="af6"/>
          <w:rFonts w:eastAsia="Guttman Hodes" w:hint="cs"/>
        </w:rPr>
        <w:instrText>Ref25483551 \r \h</w:instrText>
      </w:r>
      <w:r w:rsidRPr="00A72D0E">
        <w:rPr>
          <w:rStyle w:val="af6"/>
          <w:rFonts w:eastAsia="Guttman Hodes"/>
          <w:rtl/>
        </w:rPr>
        <w:instrText xml:space="preserve"> </w:instrText>
      </w:r>
      <w:r w:rsidRPr="00A72D0E">
        <w:rPr>
          <w:rStyle w:val="af6"/>
          <w:rFonts w:eastAsia="Guttman Hodes"/>
          <w:rtl/>
        </w:rPr>
      </w:r>
      <w:r w:rsidRPr="00A72D0E">
        <w:rPr>
          <w:rStyle w:val="af6"/>
          <w:rFonts w:eastAsia="Guttman Hodes"/>
          <w:rtl/>
        </w:rPr>
        <w:fldChar w:fldCharType="separate"/>
      </w:r>
      <w:r w:rsidR="004D1C5B">
        <w:rPr>
          <w:rStyle w:val="af6"/>
          <w:rFonts w:eastAsia="Guttman Hodes"/>
          <w:cs/>
        </w:rPr>
        <w:t>‎</w:t>
      </w:r>
      <w:r w:rsidR="004D1C5B">
        <w:rPr>
          <w:rStyle w:val="af6"/>
          <w:rFonts w:eastAsia="Guttman Hodes"/>
          <w:rtl/>
        </w:rPr>
        <w:t>קי)</w:t>
      </w:r>
      <w:r w:rsidRPr="00A72D0E">
        <w:rPr>
          <w:rStyle w:val="af6"/>
          <w:rFonts w:eastAsia="Guttman Hodes"/>
          <w:rtl/>
        </w:rPr>
        <w:fldChar w:fldCharType="end"/>
      </w:r>
      <w:r w:rsidRPr="0090047C">
        <w:rPr>
          <w:rStyle w:val="af8"/>
          <w:rFonts w:hint="cs"/>
          <w:rtl/>
        </w:rPr>
        <w:t xml:space="preserve"> </w:t>
      </w:r>
      <w:r>
        <w:rPr>
          <w:rStyle w:val="af8"/>
          <w:rFonts w:hint="cs"/>
          <w:rtl/>
        </w:rPr>
        <w:t>וה</w:t>
      </w:r>
      <w:r w:rsidRPr="002241DD">
        <w:rPr>
          <w:rStyle w:val="af8"/>
          <w:rFonts w:hint="cs"/>
          <w:rtl/>
        </w:rPr>
        <w:t>משנת ר"א</w:t>
      </w:r>
      <w:r>
        <w:rPr>
          <w:rStyle w:val="af8"/>
          <w:rFonts w:hint="cs"/>
          <w:rtl/>
        </w:rPr>
        <w:t xml:space="preserve"> </w:t>
      </w:r>
      <w:r w:rsidRPr="0090047C">
        <w:rPr>
          <w:rStyle w:val="af6"/>
          <w:rFonts w:eastAsia="Guttman Hodes" w:hint="cs"/>
          <w:rtl/>
        </w:rPr>
        <w:t xml:space="preserve">(עי' אות </w:t>
      </w:r>
      <w:r w:rsidRPr="0090047C">
        <w:rPr>
          <w:rStyle w:val="af6"/>
          <w:rFonts w:eastAsia="Guttman Hodes"/>
          <w:rtl/>
        </w:rPr>
        <w:fldChar w:fldCharType="begin"/>
      </w:r>
      <w:r w:rsidRPr="0090047C">
        <w:rPr>
          <w:rStyle w:val="af6"/>
          <w:rFonts w:eastAsia="Guttman Hodes"/>
          <w:rtl/>
        </w:rPr>
        <w:instrText xml:space="preserve"> </w:instrText>
      </w:r>
      <w:r w:rsidRPr="0090047C">
        <w:rPr>
          <w:rStyle w:val="af6"/>
          <w:rFonts w:eastAsia="Guttman Hodes" w:hint="cs"/>
        </w:rPr>
        <w:instrText>REF</w:instrText>
      </w:r>
      <w:r w:rsidRPr="0090047C">
        <w:rPr>
          <w:rStyle w:val="af6"/>
          <w:rFonts w:eastAsia="Guttman Hodes" w:hint="cs"/>
          <w:rtl/>
        </w:rPr>
        <w:instrText xml:space="preserve"> _</w:instrText>
      </w:r>
      <w:r w:rsidRPr="0090047C">
        <w:rPr>
          <w:rStyle w:val="af6"/>
          <w:rFonts w:eastAsia="Guttman Hodes" w:hint="cs"/>
        </w:rPr>
        <w:instrText>Ref25483874 \r \h</w:instrText>
      </w:r>
      <w:r w:rsidRPr="0090047C">
        <w:rPr>
          <w:rStyle w:val="af6"/>
          <w:rFonts w:eastAsia="Guttman Hodes"/>
          <w:rtl/>
        </w:rPr>
        <w:instrText xml:space="preserve"> </w:instrText>
      </w:r>
      <w:r w:rsidRPr="0090047C">
        <w:rPr>
          <w:rStyle w:val="af6"/>
          <w:rFonts w:eastAsia="Guttman Hodes"/>
          <w:rtl/>
        </w:rPr>
      </w:r>
      <w:r w:rsidRPr="0090047C">
        <w:rPr>
          <w:rStyle w:val="af6"/>
          <w:rFonts w:eastAsia="Guttman Hodes"/>
          <w:rtl/>
        </w:rPr>
        <w:fldChar w:fldCharType="separate"/>
      </w:r>
      <w:r w:rsidR="004D1C5B">
        <w:rPr>
          <w:rStyle w:val="af6"/>
          <w:rFonts w:eastAsia="Guttman Hodes"/>
          <w:cs/>
        </w:rPr>
        <w:t>‎</w:t>
      </w:r>
      <w:r w:rsidR="004D1C5B">
        <w:rPr>
          <w:rStyle w:val="af6"/>
          <w:rFonts w:eastAsia="Guttman Hodes"/>
          <w:rtl/>
        </w:rPr>
        <w:t>קכא)</w:t>
      </w:r>
      <w:r w:rsidRPr="0090047C">
        <w:rPr>
          <w:rStyle w:val="af6"/>
          <w:rFonts w:eastAsia="Guttman Hodes"/>
          <w:rtl/>
        </w:rPr>
        <w:fldChar w:fldCharType="end"/>
      </w:r>
      <w:r>
        <w:rPr>
          <w:rFonts w:hint="cs"/>
          <w:rtl/>
        </w:rPr>
        <w:t xml:space="preserve">, והוסיפו </w:t>
      </w:r>
      <w:r w:rsidRPr="00A72D0E">
        <w:rPr>
          <w:rStyle w:val="af8"/>
          <w:rFonts w:hint="cs"/>
          <w:rtl/>
        </w:rPr>
        <w:t>השער"י</w:t>
      </w:r>
      <w:r w:rsidRPr="0090047C">
        <w:rPr>
          <w:rStyle w:val="af6"/>
          <w:rFonts w:eastAsia="Guttman Hodes" w:hint="cs"/>
          <w:rtl/>
        </w:rPr>
        <w:t xml:space="preserve"> (עי' אות </w:t>
      </w:r>
      <w:r w:rsidRPr="0090047C">
        <w:rPr>
          <w:rStyle w:val="af6"/>
          <w:rFonts w:eastAsia="Guttman Hodes"/>
          <w:rtl/>
        </w:rPr>
        <w:fldChar w:fldCharType="begin"/>
      </w:r>
      <w:r w:rsidRPr="0090047C">
        <w:rPr>
          <w:rStyle w:val="af6"/>
          <w:rFonts w:eastAsia="Guttman Hodes"/>
          <w:rtl/>
        </w:rPr>
        <w:instrText xml:space="preserve"> </w:instrText>
      </w:r>
      <w:r w:rsidRPr="0090047C">
        <w:rPr>
          <w:rStyle w:val="af6"/>
          <w:rFonts w:eastAsia="Guttman Hodes" w:hint="cs"/>
        </w:rPr>
        <w:instrText>REF</w:instrText>
      </w:r>
      <w:r w:rsidRPr="0090047C">
        <w:rPr>
          <w:rStyle w:val="af6"/>
          <w:rFonts w:eastAsia="Guttman Hodes" w:hint="cs"/>
          <w:rtl/>
        </w:rPr>
        <w:instrText xml:space="preserve"> _</w:instrText>
      </w:r>
      <w:r w:rsidRPr="0090047C">
        <w:rPr>
          <w:rStyle w:val="af6"/>
          <w:rFonts w:eastAsia="Guttman Hodes" w:hint="cs"/>
        </w:rPr>
        <w:instrText>Ref25483557 \r \h</w:instrText>
      </w:r>
      <w:r w:rsidRPr="0090047C">
        <w:rPr>
          <w:rStyle w:val="af6"/>
          <w:rFonts w:eastAsia="Guttman Hodes"/>
          <w:rtl/>
        </w:rPr>
        <w:instrText xml:space="preserve"> </w:instrText>
      </w:r>
      <w:r w:rsidRPr="0090047C">
        <w:rPr>
          <w:rStyle w:val="af6"/>
          <w:rFonts w:eastAsia="Guttman Hodes"/>
          <w:rtl/>
        </w:rPr>
      </w:r>
      <w:r w:rsidRPr="0090047C">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90047C">
        <w:rPr>
          <w:rStyle w:val="af6"/>
          <w:rFonts w:eastAsia="Guttman Hodes"/>
          <w:rtl/>
        </w:rPr>
        <w:fldChar w:fldCharType="end"/>
      </w:r>
      <w:r w:rsidRPr="0090047C">
        <w:rPr>
          <w:rStyle w:val="af6"/>
          <w:rFonts w:eastAsia="Guttman Hodes" w:hint="cs"/>
          <w:rtl/>
        </w:rPr>
        <w:t xml:space="preserve"> </w:t>
      </w:r>
      <w:r>
        <w:rPr>
          <w:rStyle w:val="af8"/>
          <w:rFonts w:hint="cs"/>
          <w:rtl/>
        </w:rPr>
        <w:t>וה</w:t>
      </w:r>
      <w:r w:rsidRPr="002241DD">
        <w:rPr>
          <w:rStyle w:val="af8"/>
          <w:rFonts w:hint="cs"/>
          <w:rtl/>
        </w:rPr>
        <w:t>משנת ר"א</w:t>
      </w:r>
      <w:r w:rsidRPr="00C22F10">
        <w:rPr>
          <w:rStyle w:val="af6"/>
          <w:rFonts w:eastAsia="Guttman Hodes" w:hint="cs"/>
          <w:rtl/>
        </w:rPr>
        <w:t xml:space="preserve"> </w:t>
      </w:r>
      <w:r>
        <w:rPr>
          <w:rFonts w:hint="cs"/>
          <w:rtl/>
        </w:rPr>
        <w:t xml:space="preserve">דכן מבואר מדברי </w:t>
      </w:r>
      <w:r w:rsidRPr="00A72D0E">
        <w:rPr>
          <w:rStyle w:val="af8"/>
          <w:rFonts w:hint="cs"/>
          <w:rtl/>
        </w:rPr>
        <w:t>הרא"ש</w:t>
      </w:r>
      <w:r>
        <w:rPr>
          <w:rFonts w:hint="cs"/>
          <w:rtl/>
        </w:rPr>
        <w:t xml:space="preserve">, אבל </w:t>
      </w:r>
      <w:r w:rsidRPr="00215740">
        <w:rPr>
          <w:rStyle w:val="af8"/>
          <w:rFonts w:hint="cs"/>
          <w:rtl/>
        </w:rPr>
        <w:t>הבאר יצחק</w:t>
      </w:r>
      <w:r>
        <w:rPr>
          <w:rFonts w:hint="cs"/>
          <w:rtl/>
        </w:rPr>
        <w:t xml:space="preserve"> </w:t>
      </w:r>
      <w:r w:rsidRPr="00215740">
        <w:rPr>
          <w:rStyle w:val="af6"/>
          <w:rFonts w:eastAsia="Guttman Hodes" w:hint="cs"/>
          <w:rtl/>
        </w:rPr>
        <w:t xml:space="preserve">(עי' אות </w:t>
      </w:r>
      <w:r w:rsidRPr="00215740">
        <w:rPr>
          <w:rStyle w:val="af6"/>
          <w:rFonts w:eastAsia="Guttman Hodes"/>
          <w:rtl/>
        </w:rPr>
        <w:fldChar w:fldCharType="begin"/>
      </w:r>
      <w:r w:rsidRPr="00215740">
        <w:rPr>
          <w:rStyle w:val="af6"/>
          <w:rFonts w:eastAsia="Guttman Hodes"/>
          <w:rtl/>
        </w:rPr>
        <w:instrText xml:space="preserve"> </w:instrText>
      </w:r>
      <w:r w:rsidRPr="00215740">
        <w:rPr>
          <w:rStyle w:val="af6"/>
          <w:rFonts w:eastAsia="Guttman Hodes" w:hint="cs"/>
        </w:rPr>
        <w:instrText>REF</w:instrText>
      </w:r>
      <w:r w:rsidRPr="00215740">
        <w:rPr>
          <w:rStyle w:val="af6"/>
          <w:rFonts w:eastAsia="Guttman Hodes" w:hint="cs"/>
          <w:rtl/>
        </w:rPr>
        <w:instrText xml:space="preserve"> _</w:instrText>
      </w:r>
      <w:r w:rsidRPr="00215740">
        <w:rPr>
          <w:rStyle w:val="af6"/>
          <w:rFonts w:eastAsia="Guttman Hodes" w:hint="cs"/>
        </w:rPr>
        <w:instrText>Ref25523827 \r \h</w:instrText>
      </w:r>
      <w:r w:rsidRPr="00215740">
        <w:rPr>
          <w:rStyle w:val="af6"/>
          <w:rFonts w:eastAsia="Guttman Hodes"/>
          <w:rtl/>
        </w:rPr>
        <w:instrText xml:space="preserve"> </w:instrText>
      </w:r>
      <w:r w:rsidRPr="00215740">
        <w:rPr>
          <w:rStyle w:val="af6"/>
          <w:rFonts w:eastAsia="Guttman Hodes"/>
          <w:rtl/>
        </w:rPr>
      </w:r>
      <w:r w:rsidRPr="00215740">
        <w:rPr>
          <w:rStyle w:val="af6"/>
          <w:rFonts w:eastAsia="Guttman Hodes"/>
          <w:rtl/>
        </w:rPr>
        <w:fldChar w:fldCharType="separate"/>
      </w:r>
      <w:r w:rsidR="004D1C5B">
        <w:rPr>
          <w:rStyle w:val="af6"/>
          <w:rFonts w:eastAsia="Guttman Hodes"/>
          <w:cs/>
        </w:rPr>
        <w:t>‎</w:t>
      </w:r>
      <w:r w:rsidR="004D1C5B">
        <w:rPr>
          <w:rStyle w:val="af6"/>
          <w:rFonts w:eastAsia="Guttman Hodes"/>
          <w:rtl/>
        </w:rPr>
        <w:t>קיח)</w:t>
      </w:r>
      <w:r w:rsidRPr="00215740">
        <w:rPr>
          <w:rStyle w:val="af6"/>
          <w:rFonts w:eastAsia="Guttman Hodes"/>
          <w:rtl/>
        </w:rPr>
        <w:fldChar w:fldCharType="end"/>
      </w:r>
      <w:r>
        <w:rPr>
          <w:rFonts w:hint="cs"/>
          <w:rtl/>
        </w:rPr>
        <w:t xml:space="preserve"> כתב </w:t>
      </w:r>
      <w:r w:rsidRPr="00215740">
        <w:rPr>
          <w:rStyle w:val="af8"/>
          <w:rFonts w:hint="cs"/>
          <w:rtl/>
        </w:rPr>
        <w:t>ד</w:t>
      </w:r>
      <w:r w:rsidRPr="00273C3A">
        <w:rPr>
          <w:rStyle w:val="af8"/>
          <w:rFonts w:hint="cs"/>
          <w:rtl/>
        </w:rPr>
        <w:t>התוס'</w:t>
      </w:r>
      <w:r>
        <w:rPr>
          <w:rStyle w:val="af8"/>
          <w:rFonts w:hint="cs"/>
          <w:rtl/>
        </w:rPr>
        <w:t xml:space="preserve"> בבכורות </w:t>
      </w:r>
      <w:r>
        <w:rPr>
          <w:rFonts w:hint="cs"/>
          <w:rtl/>
        </w:rPr>
        <w:t xml:space="preserve">ס"ל </w:t>
      </w:r>
      <w:r>
        <w:rPr>
          <w:rStyle w:val="af8"/>
          <w:rFonts w:hint="cs"/>
          <w:rtl/>
        </w:rPr>
        <w:t>כ</w:t>
      </w:r>
      <w:r w:rsidRPr="00215740">
        <w:rPr>
          <w:rStyle w:val="af8"/>
          <w:rFonts w:hint="cs"/>
          <w:rtl/>
        </w:rPr>
        <w:t>הרא"ש</w:t>
      </w:r>
      <w:r>
        <w:rPr>
          <w:rFonts w:hint="cs"/>
          <w:rtl/>
        </w:rPr>
        <w:t xml:space="preserve">, ובדעת </w:t>
      </w:r>
      <w:r w:rsidRPr="00215740">
        <w:rPr>
          <w:rStyle w:val="af8"/>
          <w:rFonts w:hint="cs"/>
          <w:rtl/>
        </w:rPr>
        <w:t>הרשב"א</w:t>
      </w:r>
      <w:r>
        <w:rPr>
          <w:rFonts w:hint="cs"/>
          <w:rtl/>
        </w:rPr>
        <w:t xml:space="preserve"> כתב </w:t>
      </w:r>
      <w:r w:rsidRPr="00215740">
        <w:rPr>
          <w:rStyle w:val="af8"/>
          <w:rFonts w:hint="cs"/>
          <w:rtl/>
        </w:rPr>
        <w:t>הבאר יצחק</w:t>
      </w:r>
      <w:r>
        <w:rPr>
          <w:rFonts w:hint="cs"/>
          <w:rtl/>
        </w:rPr>
        <w:t xml:space="preserve"> </w:t>
      </w:r>
      <w:r w:rsidRPr="00215740">
        <w:rPr>
          <w:rStyle w:val="af6"/>
          <w:rFonts w:eastAsia="Guttman Hodes" w:hint="cs"/>
          <w:rtl/>
        </w:rPr>
        <w:t xml:space="preserve">(עי' אות </w:t>
      </w:r>
      <w:r w:rsidRPr="00215740">
        <w:rPr>
          <w:rStyle w:val="af6"/>
          <w:rFonts w:eastAsia="Guttman Hodes"/>
          <w:rtl/>
        </w:rPr>
        <w:fldChar w:fldCharType="begin"/>
      </w:r>
      <w:r w:rsidRPr="00215740">
        <w:rPr>
          <w:rStyle w:val="af6"/>
          <w:rFonts w:eastAsia="Guttman Hodes"/>
          <w:rtl/>
        </w:rPr>
        <w:instrText xml:space="preserve"> </w:instrText>
      </w:r>
      <w:r w:rsidRPr="00215740">
        <w:rPr>
          <w:rStyle w:val="af6"/>
          <w:rFonts w:eastAsia="Guttman Hodes" w:hint="cs"/>
        </w:rPr>
        <w:instrText>REF</w:instrText>
      </w:r>
      <w:r w:rsidRPr="00215740">
        <w:rPr>
          <w:rStyle w:val="af6"/>
          <w:rFonts w:eastAsia="Guttman Hodes" w:hint="cs"/>
          <w:rtl/>
        </w:rPr>
        <w:instrText xml:space="preserve"> _</w:instrText>
      </w:r>
      <w:r w:rsidRPr="00215740">
        <w:rPr>
          <w:rStyle w:val="af6"/>
          <w:rFonts w:eastAsia="Guttman Hodes" w:hint="cs"/>
        </w:rPr>
        <w:instrText>Ref25523967 \r \h</w:instrText>
      </w:r>
      <w:r w:rsidRPr="00215740">
        <w:rPr>
          <w:rStyle w:val="af6"/>
          <w:rFonts w:eastAsia="Guttman Hodes"/>
          <w:rtl/>
        </w:rPr>
        <w:instrText xml:space="preserve"> </w:instrText>
      </w:r>
      <w:r w:rsidRPr="00215740">
        <w:rPr>
          <w:rStyle w:val="af6"/>
          <w:rFonts w:eastAsia="Guttman Hodes"/>
          <w:rtl/>
        </w:rPr>
      </w:r>
      <w:r w:rsidRPr="00215740">
        <w:rPr>
          <w:rStyle w:val="af6"/>
          <w:rFonts w:eastAsia="Guttman Hodes"/>
          <w:rtl/>
        </w:rPr>
        <w:fldChar w:fldCharType="separate"/>
      </w:r>
      <w:r w:rsidR="004D1C5B">
        <w:rPr>
          <w:rStyle w:val="af6"/>
          <w:rFonts w:eastAsia="Guttman Hodes"/>
          <w:cs/>
        </w:rPr>
        <w:t>‎</w:t>
      </w:r>
      <w:r w:rsidR="004D1C5B">
        <w:rPr>
          <w:rStyle w:val="af6"/>
          <w:rFonts w:eastAsia="Guttman Hodes"/>
          <w:rtl/>
        </w:rPr>
        <w:t>קיט)</w:t>
      </w:r>
      <w:r w:rsidRPr="00215740">
        <w:rPr>
          <w:rStyle w:val="af6"/>
          <w:rFonts w:eastAsia="Guttman Hodes"/>
          <w:rtl/>
        </w:rPr>
        <w:fldChar w:fldCharType="end"/>
      </w:r>
      <w:r w:rsidRPr="00215740">
        <w:rPr>
          <w:rStyle w:val="af6"/>
          <w:rFonts w:eastAsia="Guttman Hodes" w:hint="cs"/>
          <w:rtl/>
        </w:rPr>
        <w:t xml:space="preserve"> </w:t>
      </w:r>
      <w:r>
        <w:rPr>
          <w:rFonts w:hint="cs"/>
          <w:rtl/>
        </w:rPr>
        <w:t>דאסור מדאו'.</w:t>
      </w:r>
      <w:bookmarkEnd w:id="15174"/>
    </w:p>
    <w:p w:rsidR="003A5D2C" w:rsidRPr="00533C80" w:rsidRDefault="003A5D2C" w:rsidP="003A5D2C">
      <w:pPr>
        <w:pStyle w:val="afd"/>
        <w:rPr>
          <w:rtl/>
        </w:rPr>
      </w:pPr>
      <w:bookmarkStart w:id="15175" w:name="_Toc25488228"/>
      <w:bookmarkStart w:id="15176" w:name="_Toc25524671"/>
      <w:bookmarkStart w:id="15177" w:name="_Toc25536170"/>
      <w:bookmarkStart w:id="15178" w:name="_Toc25571220"/>
      <w:bookmarkStart w:id="15179" w:name="_Toc25572696"/>
      <w:bookmarkStart w:id="15180" w:name="_Toc25572939"/>
      <w:r>
        <w:rPr>
          <w:rFonts w:hint="cs"/>
          <w:rtl/>
        </w:rPr>
        <w:t>חילוק המהר"י קורקוס</w:t>
      </w:r>
      <w:bookmarkEnd w:id="15172"/>
      <w:bookmarkEnd w:id="15173"/>
      <w:r>
        <w:rPr>
          <w:rFonts w:hint="cs"/>
          <w:rtl/>
        </w:rPr>
        <w:t xml:space="preserve"> בין לח ליבש</w:t>
      </w:r>
      <w:bookmarkEnd w:id="15175"/>
      <w:bookmarkEnd w:id="15176"/>
      <w:bookmarkEnd w:id="15177"/>
      <w:bookmarkEnd w:id="15178"/>
      <w:bookmarkEnd w:id="15179"/>
      <w:bookmarkEnd w:id="15180"/>
    </w:p>
    <w:p w:rsidR="003A5D2C" w:rsidRDefault="003A5D2C" w:rsidP="003A5D2C">
      <w:pPr>
        <w:pStyle w:val="1"/>
        <w:rPr>
          <w:rtl/>
        </w:rPr>
      </w:pPr>
      <w:bookmarkStart w:id="15181" w:name="_Toc25488229"/>
      <w:bookmarkStart w:id="15182" w:name="_Toc25524672"/>
      <w:bookmarkStart w:id="15183" w:name="_Toc25536171"/>
      <w:bookmarkStart w:id="15184" w:name="_Toc25571221"/>
      <w:bookmarkStart w:id="15185" w:name="_Toc25572697"/>
      <w:bookmarkStart w:id="15186" w:name="_Toc25572940"/>
      <w:r>
        <w:rPr>
          <w:rFonts w:hint="cs"/>
          <w:rtl/>
        </w:rPr>
        <w:t>ביאור המהר"י קורקוס בחילוק בין מגע בב"א למשא בב"א</w:t>
      </w:r>
      <w:bookmarkEnd w:id="15181"/>
      <w:bookmarkEnd w:id="15182"/>
      <w:bookmarkEnd w:id="15183"/>
      <w:bookmarkEnd w:id="15184"/>
      <w:bookmarkEnd w:id="15185"/>
      <w:bookmarkEnd w:id="15186"/>
    </w:p>
    <w:p w:rsidR="003A5D2C" w:rsidRPr="00926966" w:rsidRDefault="003A5D2C" w:rsidP="003A5D2C">
      <w:pPr>
        <w:pStyle w:val="a2"/>
        <w:rPr>
          <w:rtl/>
        </w:rPr>
      </w:pPr>
      <w:bookmarkStart w:id="15187" w:name="_Toc25488230"/>
      <w:bookmarkStart w:id="15188" w:name="_Toc25524673"/>
      <w:bookmarkStart w:id="15189" w:name="_Toc25536172"/>
      <w:bookmarkStart w:id="15190" w:name="_Toc25571222"/>
      <w:bookmarkStart w:id="15191" w:name="_Toc25572698"/>
      <w:bookmarkStart w:id="15192" w:name="_Toc25572941"/>
      <w:r>
        <w:rPr>
          <w:rFonts w:hint="cs"/>
          <w:rtl/>
        </w:rPr>
        <w:t>קושית הכס"מ מ"ש מגע בכל התערובת דטהור ממשא בכל התערובת דטמא</w:t>
      </w:r>
      <w:bookmarkEnd w:id="15187"/>
      <w:bookmarkEnd w:id="15188"/>
      <w:bookmarkEnd w:id="15189"/>
      <w:bookmarkEnd w:id="15190"/>
      <w:bookmarkEnd w:id="15191"/>
      <w:bookmarkEnd w:id="15192"/>
    </w:p>
    <w:p w:rsidR="003A5D2C" w:rsidRDefault="003A5D2C" w:rsidP="009F44AF">
      <w:pPr>
        <w:pStyle w:val="a"/>
        <w:rPr>
          <w:rtl/>
        </w:rPr>
      </w:pPr>
      <w:r>
        <w:rPr>
          <w:rFonts w:hint="cs"/>
          <w:rtl/>
        </w:rPr>
        <w:t xml:space="preserve">וכתב </w:t>
      </w:r>
      <w:r w:rsidRPr="00722693">
        <w:rPr>
          <w:rStyle w:val="af8"/>
          <w:rFonts w:hint="cs"/>
          <w:rtl/>
        </w:rPr>
        <w:t>הכס"מ</w:t>
      </w:r>
      <w:r>
        <w:rPr>
          <w:rFonts w:hint="cs"/>
          <w:rtl/>
        </w:rPr>
        <w:t xml:space="preserve"> </w:t>
      </w:r>
      <w:r w:rsidRPr="00722693">
        <w:rPr>
          <w:rStyle w:val="af6"/>
          <w:rFonts w:eastAsia="Guttman Hodes" w:hint="cs"/>
          <w:rtl/>
        </w:rPr>
        <w:t>(אבות הטומאות פ"א סוף הי"ז)</w:t>
      </w:r>
      <w:r>
        <w:rPr>
          <w:rFonts w:hint="cs"/>
          <w:rtl/>
        </w:rPr>
        <w:t xml:space="preserve"> דמהא דכתב </w:t>
      </w:r>
      <w:r w:rsidRPr="003E12C2">
        <w:rPr>
          <w:rStyle w:val="af8"/>
          <w:rFonts w:hint="cs"/>
          <w:rtl/>
        </w:rPr>
        <w:t>הרמב"ם</w:t>
      </w:r>
      <w:r w:rsidRPr="00A45FFE">
        <w:rPr>
          <w:rStyle w:val="af6"/>
          <w:rFonts w:eastAsia="Guttman Hodes" w:hint="cs"/>
          <w:rtl/>
        </w:rPr>
        <w:t xml:space="preserve">  (עי' אות </w:t>
      </w:r>
      <w:r w:rsidRPr="00A45FFE">
        <w:rPr>
          <w:rStyle w:val="af6"/>
          <w:rFonts w:eastAsia="Guttman Hodes"/>
          <w:rtl/>
        </w:rPr>
        <w:fldChar w:fldCharType="begin"/>
      </w:r>
      <w:r w:rsidRPr="00A45FFE">
        <w:rPr>
          <w:rStyle w:val="af6"/>
          <w:rFonts w:eastAsia="Guttman Hodes"/>
          <w:rtl/>
        </w:rPr>
        <w:instrText xml:space="preserve"> </w:instrText>
      </w:r>
      <w:r w:rsidRPr="00A45FFE">
        <w:rPr>
          <w:rStyle w:val="af6"/>
          <w:rFonts w:eastAsia="Guttman Hodes" w:hint="cs"/>
        </w:rPr>
        <w:instrText>REF</w:instrText>
      </w:r>
      <w:r w:rsidRPr="00A45FFE">
        <w:rPr>
          <w:rStyle w:val="af6"/>
          <w:rFonts w:eastAsia="Guttman Hodes" w:hint="cs"/>
          <w:rtl/>
        </w:rPr>
        <w:instrText xml:space="preserve"> _</w:instrText>
      </w:r>
      <w:r w:rsidRPr="00A45FFE">
        <w:rPr>
          <w:rStyle w:val="af6"/>
          <w:rFonts w:eastAsia="Guttman Hodes" w:hint="cs"/>
        </w:rPr>
        <w:instrText>Ref25483287 \r \h</w:instrText>
      </w:r>
      <w:r w:rsidRPr="00A45FFE">
        <w:rPr>
          <w:rStyle w:val="af6"/>
          <w:rFonts w:eastAsia="Guttman Hodes"/>
          <w:rtl/>
        </w:rPr>
        <w:instrText xml:space="preserve"> </w:instrText>
      </w:r>
      <w:r w:rsidRPr="00A45FFE">
        <w:rPr>
          <w:rStyle w:val="af6"/>
          <w:rFonts w:eastAsia="Guttman Hodes"/>
          <w:rtl/>
        </w:rPr>
      </w:r>
      <w:r w:rsidRPr="00A45FFE">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A45FFE">
        <w:rPr>
          <w:rStyle w:val="af6"/>
          <w:rFonts w:eastAsia="Guttman Hodes"/>
          <w:rtl/>
        </w:rPr>
        <w:fldChar w:fldCharType="end"/>
      </w:r>
      <w:r w:rsidRPr="00A45FFE">
        <w:rPr>
          <w:rStyle w:val="af6"/>
          <w:rFonts w:eastAsia="Guttman Hodes" w:hint="cs"/>
          <w:rtl/>
        </w:rPr>
        <w:t xml:space="preserve"> </w:t>
      </w:r>
      <w:r>
        <w:rPr>
          <w:rFonts w:hint="cs"/>
          <w:rtl/>
        </w:rPr>
        <w:t xml:space="preserve">שאין הכל מטמא במגע, משמע שאף אם נגע בכל הזיתים </w:t>
      </w:r>
      <w:r w:rsidRPr="004B6358">
        <w:rPr>
          <w:rStyle w:val="afa"/>
          <w:rFonts w:hint="cs"/>
          <w:rtl/>
        </w:rPr>
        <w:t>[החתיכות של הנבילה והשחוטה]</w:t>
      </w:r>
      <w:r>
        <w:rPr>
          <w:rFonts w:hint="cs"/>
          <w:rtl/>
        </w:rPr>
        <w:t xml:space="preserve"> שבתערובת הוא טהור, והקשה </w:t>
      </w:r>
      <w:r w:rsidRPr="003E12C2">
        <w:rPr>
          <w:rStyle w:val="af8"/>
          <w:rFonts w:hint="cs"/>
          <w:rtl/>
        </w:rPr>
        <w:t>הכס"מ</w:t>
      </w:r>
      <w:r>
        <w:rPr>
          <w:rFonts w:hint="cs"/>
          <w:rtl/>
        </w:rPr>
        <w:t xml:space="preserve"> דמאי שנא משא שבנשא את הכל טמא, ממגע שאם נגע בכל החתיכות טהור.</w:t>
      </w:r>
    </w:p>
    <w:p w:rsidR="003A5D2C" w:rsidRPr="00926966" w:rsidRDefault="003A5D2C" w:rsidP="003A5D2C">
      <w:pPr>
        <w:pStyle w:val="a2"/>
        <w:rPr>
          <w:rtl/>
        </w:rPr>
      </w:pPr>
      <w:bookmarkStart w:id="15193" w:name="_Toc25488231"/>
      <w:bookmarkStart w:id="15194" w:name="_Toc25524674"/>
      <w:bookmarkStart w:id="15195" w:name="_Toc25536173"/>
      <w:bookmarkStart w:id="15196" w:name="_Toc25571223"/>
      <w:bookmarkStart w:id="15197" w:name="_Toc25572699"/>
      <w:bookmarkStart w:id="15198" w:name="_Toc25572942"/>
      <w:r>
        <w:rPr>
          <w:rFonts w:hint="cs"/>
          <w:rtl/>
        </w:rPr>
        <w:t>ביאור המהר"י קורקוס דבמגע אף בב"א כל נגיעה היא בפנ"ע ובמשא הוא נושא בבת אחת</w:t>
      </w:r>
      <w:bookmarkEnd w:id="15193"/>
      <w:bookmarkEnd w:id="15194"/>
      <w:bookmarkEnd w:id="15195"/>
      <w:bookmarkEnd w:id="15196"/>
      <w:bookmarkEnd w:id="15197"/>
      <w:bookmarkEnd w:id="15198"/>
    </w:p>
    <w:p w:rsidR="003A5D2C" w:rsidRDefault="003A5D2C" w:rsidP="009F44AF">
      <w:pPr>
        <w:pStyle w:val="a"/>
        <w:rPr>
          <w:rtl/>
        </w:rPr>
      </w:pPr>
      <w:r>
        <w:rPr>
          <w:rFonts w:hint="cs"/>
          <w:rtl/>
        </w:rPr>
        <w:t xml:space="preserve">והביא </w:t>
      </w:r>
      <w:r w:rsidRPr="00722693">
        <w:rPr>
          <w:rStyle w:val="af8"/>
          <w:rFonts w:hint="cs"/>
          <w:rtl/>
        </w:rPr>
        <w:t>הכס"מ</w:t>
      </w:r>
      <w:r>
        <w:rPr>
          <w:rFonts w:hint="cs"/>
          <w:rtl/>
        </w:rPr>
        <w:t xml:space="preserve"> בשם </w:t>
      </w:r>
      <w:r w:rsidRPr="00722693">
        <w:rPr>
          <w:rStyle w:val="af8"/>
          <w:rFonts w:hint="cs"/>
          <w:rtl/>
        </w:rPr>
        <w:t>המהר"י קורקוס</w:t>
      </w:r>
      <w:r>
        <w:rPr>
          <w:rFonts w:hint="cs"/>
          <w:rtl/>
        </w:rPr>
        <w:t xml:space="preserve"> שתירץ דבטומאת מגע, כשנוגע בכל הזיתים </w:t>
      </w:r>
      <w:r w:rsidRPr="004B6358">
        <w:rPr>
          <w:rStyle w:val="afa"/>
          <w:rFonts w:hint="cs"/>
          <w:rtl/>
        </w:rPr>
        <w:t>[החתיכות של הנבילה והשחוטה]</w:t>
      </w:r>
      <w:r>
        <w:rPr>
          <w:rFonts w:hint="cs"/>
          <w:rtl/>
        </w:rPr>
        <w:t>, שכל זית הוא בפנ"ע עצמו, לא חשיב שנוגע בכולם יחד, אלא כל נגיעה היא בפנ"ע, כיון שכל נגיעה מחולקת לזית שנוגע בו בפנ"ע, כיון שהבשר שנוגע בזית אחד אינו נוגע בזית אחר, ולכן חשיב כנוגע וחוזר ונוגע, שאינו מטמא במגע, אבל בטומאת משא, הביא</w:t>
      </w:r>
      <w:r w:rsidRPr="00722693">
        <w:rPr>
          <w:rStyle w:val="af8"/>
          <w:rFonts w:hint="cs"/>
          <w:rtl/>
        </w:rPr>
        <w:t xml:space="preserve"> הכס"מ</w:t>
      </w:r>
      <w:r>
        <w:rPr>
          <w:rFonts w:hint="cs"/>
          <w:rtl/>
        </w:rPr>
        <w:t xml:space="preserve"> בשם </w:t>
      </w:r>
      <w:r w:rsidRPr="00722693">
        <w:rPr>
          <w:rStyle w:val="af8"/>
          <w:rFonts w:hint="cs"/>
          <w:rtl/>
        </w:rPr>
        <w:t>המהר"י קורקוס</w:t>
      </w:r>
      <w:r>
        <w:rPr>
          <w:rFonts w:hint="cs"/>
          <w:rtl/>
        </w:rPr>
        <w:t xml:space="preserve"> דביאר דא"א לחלק בין משא של הזיתים </w:t>
      </w:r>
      <w:r w:rsidRPr="004B6358">
        <w:rPr>
          <w:rStyle w:val="afa"/>
          <w:rFonts w:hint="cs"/>
          <w:rtl/>
        </w:rPr>
        <w:t>[החתיכות של הנבילה והשחוטה]</w:t>
      </w:r>
      <w:r>
        <w:rPr>
          <w:rStyle w:val="afa"/>
          <w:rFonts w:hint="cs"/>
          <w:rtl/>
        </w:rPr>
        <w:t>,</w:t>
      </w:r>
      <w:r>
        <w:rPr>
          <w:rFonts w:hint="cs"/>
          <w:rtl/>
        </w:rPr>
        <w:t xml:space="preserve"> וא"א לומר שחשיב שנושא כל זית בפנ"ע. [ועי' במה שביאר בזה </w:t>
      </w:r>
      <w:r>
        <w:rPr>
          <w:rStyle w:val="af8"/>
          <w:rFonts w:hint="cs"/>
          <w:rtl/>
        </w:rPr>
        <w:t>ה</w:t>
      </w:r>
      <w:r w:rsidRPr="00AB2ED8">
        <w:rPr>
          <w:rStyle w:val="af8"/>
          <w:rFonts w:hint="cs"/>
          <w:rtl/>
        </w:rPr>
        <w:t>אב</w:t>
      </w:r>
      <w:r>
        <w:rPr>
          <w:rStyle w:val="af8"/>
          <w:rFonts w:hint="cs"/>
          <w:rtl/>
        </w:rPr>
        <w:t xml:space="preserve">הא"ז </w:t>
      </w:r>
      <w:r w:rsidRPr="00AB2ED8">
        <w:rPr>
          <w:rStyle w:val="af6"/>
          <w:rFonts w:eastAsia="Guttman Hodes" w:hint="cs"/>
          <w:rtl/>
        </w:rPr>
        <w:t>(עדות פ"י ה"ג סוף ד"ה אכן באמת)</w:t>
      </w:r>
      <w:r>
        <w:rPr>
          <w:rFonts w:hint="cs"/>
          <w:rtl/>
        </w:rPr>
        <w:t>].</w:t>
      </w:r>
    </w:p>
    <w:p w:rsidR="003A5D2C" w:rsidRPr="00EB4FB6" w:rsidRDefault="003A5D2C" w:rsidP="003A5D2C">
      <w:pPr>
        <w:pStyle w:val="1"/>
        <w:rPr>
          <w:rtl/>
        </w:rPr>
      </w:pPr>
      <w:bookmarkStart w:id="15199" w:name="_Toc25488232"/>
      <w:bookmarkStart w:id="15200" w:name="_Toc25524675"/>
      <w:bookmarkStart w:id="15201" w:name="_Toc25536174"/>
      <w:bookmarkStart w:id="15202" w:name="_Toc25571224"/>
      <w:bookmarkStart w:id="15203" w:name="_Toc25572700"/>
      <w:bookmarkStart w:id="15204" w:name="_Toc25572943"/>
      <w:r>
        <w:rPr>
          <w:rFonts w:hint="cs"/>
          <w:rtl/>
        </w:rPr>
        <w:lastRenderedPageBreak/>
        <w:t>ביאור המהר"י קורקוס דבלח בטל לגמרי וביבש כמאן דאיתא</w:t>
      </w:r>
      <w:bookmarkEnd w:id="15199"/>
      <w:bookmarkEnd w:id="15200"/>
      <w:bookmarkEnd w:id="15201"/>
      <w:bookmarkEnd w:id="15202"/>
      <w:bookmarkEnd w:id="15203"/>
      <w:bookmarkEnd w:id="15204"/>
    </w:p>
    <w:p w:rsidR="003A5D2C" w:rsidRDefault="003A5D2C" w:rsidP="003A5D2C">
      <w:pPr>
        <w:pStyle w:val="a2"/>
        <w:rPr>
          <w:rtl/>
        </w:rPr>
      </w:pPr>
      <w:bookmarkStart w:id="15205" w:name="_Toc25488233"/>
      <w:bookmarkStart w:id="15206" w:name="_Toc25524676"/>
      <w:bookmarkStart w:id="15207" w:name="_Toc25536175"/>
      <w:bookmarkStart w:id="15208" w:name="_Toc25571225"/>
      <w:bookmarkStart w:id="15209" w:name="_Toc25572701"/>
      <w:bookmarkStart w:id="15210" w:name="_Toc25572944"/>
      <w:r>
        <w:rPr>
          <w:rFonts w:hint="cs"/>
          <w:rtl/>
        </w:rPr>
        <w:t>קושית המהר"י קורקוס מ"ש נבילה שבטלה בשחוטה מחררת דם דאינה מטמאה אף במשא</w:t>
      </w:r>
      <w:bookmarkEnd w:id="15205"/>
      <w:bookmarkEnd w:id="15206"/>
      <w:bookmarkEnd w:id="15207"/>
      <w:bookmarkEnd w:id="15208"/>
      <w:bookmarkEnd w:id="15209"/>
      <w:bookmarkEnd w:id="15210"/>
    </w:p>
    <w:p w:rsidR="003A5D2C" w:rsidRDefault="003A5D2C" w:rsidP="009F44AF">
      <w:pPr>
        <w:pStyle w:val="a"/>
        <w:rPr>
          <w:rtl/>
        </w:rPr>
      </w:pPr>
      <w:r>
        <w:rPr>
          <w:rFonts w:hint="cs"/>
          <w:rtl/>
        </w:rPr>
        <w:t xml:space="preserve">והקשה </w:t>
      </w:r>
      <w:r w:rsidRPr="00722693">
        <w:rPr>
          <w:rStyle w:val="af8"/>
          <w:rFonts w:hint="cs"/>
          <w:rtl/>
        </w:rPr>
        <w:t>הכס"מ</w:t>
      </w:r>
      <w:r>
        <w:rPr>
          <w:rFonts w:hint="cs"/>
          <w:rtl/>
        </w:rPr>
        <w:t xml:space="preserve"> דהרי כתב </w:t>
      </w:r>
      <w:r w:rsidRPr="00722693">
        <w:rPr>
          <w:rStyle w:val="af8"/>
          <w:rFonts w:hint="cs"/>
          <w:rtl/>
        </w:rPr>
        <w:t>הרמב"ם</w:t>
      </w:r>
      <w:r>
        <w:rPr>
          <w:rFonts w:hint="cs"/>
          <w:rtl/>
        </w:rPr>
        <w:t xml:space="preserve"> </w:t>
      </w:r>
      <w:r w:rsidRPr="00722693">
        <w:rPr>
          <w:rStyle w:val="af6"/>
          <w:rFonts w:eastAsia="Guttman Hodes" w:hint="cs"/>
          <w:rtl/>
        </w:rPr>
        <w:t>(אבות הטומאות פ"א הט"ז)</w:t>
      </w:r>
      <w:r>
        <w:rPr>
          <w:rFonts w:hint="cs"/>
          <w:rtl/>
        </w:rPr>
        <w:t xml:space="preserve"> דבהמה שהפילה חררת דם, דאף שנפטרה מהבכורה, </w:t>
      </w:r>
      <w:r w:rsidRPr="00722693">
        <w:rPr>
          <w:rStyle w:val="afa"/>
          <w:rFonts w:hint="cs"/>
          <w:rtl/>
        </w:rPr>
        <w:t>[דחשיב כנפל],</w:t>
      </w:r>
      <w:r>
        <w:rPr>
          <w:rFonts w:hint="cs"/>
          <w:rtl/>
        </w:rPr>
        <w:t xml:space="preserve"> מ"מ אין החררת דם מטמאה לא במגע ולא במשא, כיון שאין בה צורת נפל והיא בטלה ברוב של הדם שיוצא עמה, ולכן היא טהורה, והקשה </w:t>
      </w:r>
      <w:r w:rsidRPr="00722693">
        <w:rPr>
          <w:rStyle w:val="af8"/>
          <w:rFonts w:hint="cs"/>
          <w:rtl/>
        </w:rPr>
        <w:t>הכס"מ</w:t>
      </w:r>
      <w:r>
        <w:rPr>
          <w:rFonts w:hint="cs"/>
          <w:rtl/>
        </w:rPr>
        <w:t xml:space="preserve"> דמ"ש חררת דם דע"י ביטול ברוב אינה מטמאה לא במגע ולא במשא, מנבילה שהתערבה בשחוטה, דהביטול ברוב מהני רק לענין טומאת מגע ולא לטומאת משא.</w:t>
      </w:r>
    </w:p>
    <w:p w:rsidR="003A5D2C" w:rsidRPr="00926966" w:rsidRDefault="003A5D2C" w:rsidP="003A5D2C">
      <w:pPr>
        <w:pStyle w:val="a2"/>
        <w:rPr>
          <w:rtl/>
        </w:rPr>
      </w:pPr>
      <w:bookmarkStart w:id="15211" w:name="_Toc25488234"/>
      <w:bookmarkStart w:id="15212" w:name="_Toc25524677"/>
      <w:bookmarkStart w:id="15213" w:name="_Toc25536176"/>
      <w:bookmarkStart w:id="15214" w:name="_Toc25571226"/>
      <w:bookmarkStart w:id="15215" w:name="_Toc25572702"/>
      <w:bookmarkStart w:id="15216" w:name="_Toc25572945"/>
      <w:r>
        <w:rPr>
          <w:rFonts w:hint="cs"/>
          <w:rtl/>
        </w:rPr>
        <w:t>ביאור המהר"י קורקוס דבביטול בלח חשיב שאין טומאה וביבש יש טומאה ובטלה דאינה ניכרת</w:t>
      </w:r>
      <w:bookmarkEnd w:id="15211"/>
      <w:bookmarkEnd w:id="15212"/>
      <w:bookmarkEnd w:id="15213"/>
      <w:bookmarkEnd w:id="15214"/>
      <w:bookmarkEnd w:id="15215"/>
      <w:bookmarkEnd w:id="15216"/>
      <w:r>
        <w:rPr>
          <w:rFonts w:hint="cs"/>
          <w:rtl/>
        </w:rPr>
        <w:t xml:space="preserve"> </w:t>
      </w:r>
    </w:p>
    <w:p w:rsidR="003A5D2C" w:rsidRPr="00250E27" w:rsidRDefault="003A5D2C" w:rsidP="009F44AF">
      <w:pPr>
        <w:pStyle w:val="a"/>
        <w:rPr>
          <w:rtl/>
        </w:rPr>
      </w:pPr>
      <w:bookmarkStart w:id="15217" w:name="_Ref25485269"/>
      <w:bookmarkStart w:id="15218" w:name="_Ref25522909"/>
      <w:r>
        <w:rPr>
          <w:rFonts w:hint="cs"/>
          <w:rtl/>
        </w:rPr>
        <w:t xml:space="preserve">והביא </w:t>
      </w:r>
      <w:r w:rsidRPr="00722693">
        <w:rPr>
          <w:rStyle w:val="af8"/>
          <w:rFonts w:hint="cs"/>
          <w:rtl/>
        </w:rPr>
        <w:t>הכס"מ</w:t>
      </w:r>
      <w:r>
        <w:rPr>
          <w:rFonts w:hint="cs"/>
          <w:rtl/>
        </w:rPr>
        <w:t xml:space="preserve"> בשם </w:t>
      </w:r>
      <w:r w:rsidRPr="00722693">
        <w:rPr>
          <w:rStyle w:val="af8"/>
          <w:rFonts w:hint="cs"/>
          <w:rtl/>
        </w:rPr>
        <w:t>המהר"י קורקוס</w:t>
      </w:r>
      <w:r>
        <w:rPr>
          <w:rFonts w:hint="cs"/>
          <w:rtl/>
        </w:rPr>
        <w:t xml:space="preserve"> שתירץ דהחררת דם שהתערבה ונימוחה בתוך הדם והגנונים, חשיב שכל החררה היא כמו הדם והגנונים עצמם, ואין כאן טומאה בתערובת כלל, אבל נבילה שהתערבה בשחוטה, שכל חתיכה עומדת בפנ"ע, א"א לומר שאין טומאה בתערובת, דהא הטומאה עומדת בפנ"ע, והיא בטלה ברוב רק מחמת שאינה ניכרת, וביאר </w:t>
      </w:r>
      <w:r w:rsidRPr="00722693">
        <w:rPr>
          <w:rStyle w:val="af8"/>
          <w:rFonts w:hint="cs"/>
          <w:rtl/>
        </w:rPr>
        <w:t>המשל"מ</w:t>
      </w:r>
      <w:r>
        <w:rPr>
          <w:rFonts w:hint="cs"/>
          <w:rtl/>
        </w:rPr>
        <w:t xml:space="preserve"> </w:t>
      </w:r>
      <w:r w:rsidRPr="00722693">
        <w:rPr>
          <w:rStyle w:val="af6"/>
          <w:rFonts w:eastAsia="Guttman Hodes" w:hint="cs"/>
          <w:rtl/>
        </w:rPr>
        <w:t>(אבות הטומאות פ"א הי"ד ד"ה עוד נראה לומר)</w:t>
      </w:r>
      <w:r>
        <w:rPr>
          <w:rFonts w:hint="cs"/>
          <w:rtl/>
        </w:rPr>
        <w:t xml:space="preserve"> דכוונת </w:t>
      </w:r>
      <w:r w:rsidRPr="00722693">
        <w:rPr>
          <w:rStyle w:val="af8"/>
          <w:rFonts w:hint="cs"/>
          <w:rtl/>
        </w:rPr>
        <w:t>המהר"י קורקוס</w:t>
      </w:r>
      <w:r>
        <w:rPr>
          <w:rFonts w:hint="cs"/>
          <w:rtl/>
        </w:rPr>
        <w:t xml:space="preserve"> לחלק בין תערובת יבש ביבש, דאינה בטלה לגמרי, לתערובת לח בלח, דבטלה לגמרי, וחשיב שאין כאן טומאה, </w:t>
      </w:r>
      <w:r w:rsidRPr="00C867A9">
        <w:rPr>
          <w:rStyle w:val="afa"/>
          <w:rFonts w:hint="cs"/>
          <w:rtl/>
        </w:rPr>
        <w:t xml:space="preserve">[אך הקשה </w:t>
      </w:r>
      <w:r w:rsidRPr="00C867A9">
        <w:rPr>
          <w:rStyle w:val="affa"/>
          <w:rFonts w:hint="cs"/>
          <w:rtl/>
        </w:rPr>
        <w:t>המשל"מ</w:t>
      </w:r>
      <w:r w:rsidRPr="00C867A9">
        <w:rPr>
          <w:rStyle w:val="afa"/>
          <w:rFonts w:hint="cs"/>
          <w:rtl/>
        </w:rPr>
        <w:t xml:space="preserve"> דבגמ' בבכורות</w:t>
      </w:r>
      <w:r>
        <w:rPr>
          <w:rStyle w:val="afa"/>
          <w:rFonts w:hint="cs"/>
          <w:rtl/>
        </w:rPr>
        <w:t xml:space="preserve"> </w:t>
      </w:r>
      <w:r w:rsidRPr="00C66761">
        <w:rPr>
          <w:rStyle w:val="aff6"/>
          <w:rFonts w:hint="cs"/>
          <w:rtl/>
        </w:rPr>
        <w:t>(כג.)</w:t>
      </w:r>
      <w:r>
        <w:rPr>
          <w:rStyle w:val="afa"/>
          <w:rFonts w:hint="cs"/>
          <w:rtl/>
        </w:rPr>
        <w:t>,</w:t>
      </w:r>
      <w:r w:rsidRPr="00C867A9">
        <w:rPr>
          <w:rStyle w:val="afa"/>
          <w:rFonts w:hint="cs"/>
          <w:rtl/>
        </w:rPr>
        <w:t xml:space="preserve"> </w:t>
      </w:r>
      <w:r>
        <w:rPr>
          <w:rStyle w:val="afa"/>
          <w:rFonts w:hint="cs"/>
          <w:rtl/>
        </w:rPr>
        <w:t>משמע דחררת דם דמיא לנבילה שבטלה בשחוטה</w:t>
      </w:r>
      <w:r w:rsidRPr="00C867A9">
        <w:rPr>
          <w:rStyle w:val="afa"/>
          <w:rFonts w:hint="cs"/>
          <w:rtl/>
        </w:rPr>
        <w:t>]</w:t>
      </w:r>
      <w:bookmarkEnd w:id="15217"/>
      <w:r>
        <w:rPr>
          <w:rStyle w:val="afa"/>
          <w:rFonts w:hint="cs"/>
          <w:rtl/>
        </w:rPr>
        <w:t>,</w:t>
      </w:r>
      <w:r w:rsidRPr="00250E27">
        <w:rPr>
          <w:rFonts w:hint="cs"/>
          <w:rtl/>
        </w:rPr>
        <w:t xml:space="preserve"> </w:t>
      </w:r>
      <w:r>
        <w:rPr>
          <w:rFonts w:hint="cs"/>
          <w:rtl/>
        </w:rPr>
        <w:t xml:space="preserve">[ועי' במה שביאר </w:t>
      </w:r>
      <w:r w:rsidRPr="00384F69">
        <w:rPr>
          <w:rStyle w:val="af8"/>
          <w:rFonts w:hint="cs"/>
          <w:rtl/>
        </w:rPr>
        <w:t>הקוב"ש</w:t>
      </w:r>
      <w:r>
        <w:rPr>
          <w:rFonts w:hint="cs"/>
          <w:rtl/>
        </w:rPr>
        <w:t xml:space="preserve"> </w:t>
      </w:r>
      <w:r>
        <w:rPr>
          <w:rStyle w:val="af6"/>
          <w:rFonts w:eastAsia="Guttman Hodes" w:hint="cs"/>
          <w:rtl/>
        </w:rPr>
        <w:t xml:space="preserve"> (עי' </w:t>
      </w:r>
      <w:r w:rsidRPr="00B77DE5">
        <w:rPr>
          <w:rStyle w:val="af6"/>
          <w:rFonts w:eastAsia="Guttman Hodes" w:hint="cs"/>
          <w:rtl/>
        </w:rPr>
        <w:t xml:space="preserve">אות </w:t>
      </w:r>
      <w:r w:rsidRPr="00B77DE5">
        <w:rPr>
          <w:rStyle w:val="af6"/>
          <w:rFonts w:eastAsia="Guttman Hodes"/>
          <w:rtl/>
        </w:rPr>
        <w:fldChar w:fldCharType="begin"/>
      </w:r>
      <w:r w:rsidRPr="00B77DE5">
        <w:rPr>
          <w:rStyle w:val="af6"/>
          <w:rFonts w:eastAsia="Guttman Hodes"/>
          <w:rtl/>
        </w:rPr>
        <w:instrText xml:space="preserve"> </w:instrText>
      </w:r>
      <w:r w:rsidRPr="00B77DE5">
        <w:rPr>
          <w:rStyle w:val="af6"/>
          <w:rFonts w:eastAsia="Guttman Hodes" w:hint="cs"/>
        </w:rPr>
        <w:instrText>REF</w:instrText>
      </w:r>
      <w:r w:rsidRPr="00B77DE5">
        <w:rPr>
          <w:rStyle w:val="af6"/>
          <w:rFonts w:eastAsia="Guttman Hodes" w:hint="cs"/>
          <w:rtl/>
        </w:rPr>
        <w:instrText xml:space="preserve"> _</w:instrText>
      </w:r>
      <w:r w:rsidRPr="00B77DE5">
        <w:rPr>
          <w:rStyle w:val="af6"/>
          <w:rFonts w:eastAsia="Guttman Hodes" w:hint="cs"/>
        </w:rPr>
        <w:instrText>Ref25508889 \r \h</w:instrText>
      </w:r>
      <w:r w:rsidRPr="00B77DE5">
        <w:rPr>
          <w:rStyle w:val="af6"/>
          <w:rFonts w:eastAsia="Guttman Hodes"/>
          <w:rtl/>
        </w:rPr>
        <w:instrText xml:space="preserve"> </w:instrText>
      </w:r>
      <w:r w:rsidRPr="00B77DE5">
        <w:rPr>
          <w:rStyle w:val="af6"/>
          <w:rFonts w:eastAsia="Guttman Hodes"/>
          <w:rtl/>
        </w:rPr>
      </w:r>
      <w:r w:rsidRPr="00B77DE5">
        <w:rPr>
          <w:rStyle w:val="af6"/>
          <w:rFonts w:eastAsia="Guttman Hodes"/>
          <w:rtl/>
        </w:rPr>
        <w:fldChar w:fldCharType="separate"/>
      </w:r>
      <w:r w:rsidR="004D1C5B">
        <w:rPr>
          <w:rStyle w:val="af6"/>
          <w:rFonts w:eastAsia="Guttman Hodes"/>
          <w:cs/>
        </w:rPr>
        <w:t>‎</w:t>
      </w:r>
      <w:r w:rsidR="004D1C5B">
        <w:rPr>
          <w:rStyle w:val="af6"/>
          <w:rFonts w:eastAsia="Guttman Hodes"/>
          <w:rtl/>
        </w:rPr>
        <w:t>צז)</w:t>
      </w:r>
      <w:r w:rsidRPr="00B77DE5">
        <w:rPr>
          <w:rStyle w:val="af6"/>
          <w:rFonts w:eastAsia="Guttman Hodes"/>
          <w:rtl/>
        </w:rPr>
        <w:fldChar w:fldCharType="end"/>
      </w:r>
      <w:r>
        <w:rPr>
          <w:rFonts w:hint="cs"/>
          <w:rtl/>
        </w:rPr>
        <w:t xml:space="preserve"> בדברי </w:t>
      </w:r>
      <w:r w:rsidRPr="00384F69">
        <w:rPr>
          <w:rStyle w:val="af8"/>
          <w:rFonts w:hint="cs"/>
          <w:rtl/>
        </w:rPr>
        <w:t>המהר"י קורקוס</w:t>
      </w:r>
      <w:r>
        <w:rPr>
          <w:rFonts w:hint="cs"/>
          <w:rtl/>
        </w:rPr>
        <w:t>].</w:t>
      </w:r>
      <w:bookmarkEnd w:id="15218"/>
    </w:p>
    <w:p w:rsidR="003A5D2C" w:rsidRDefault="003A5D2C" w:rsidP="009F44AF">
      <w:pPr>
        <w:pStyle w:val="a"/>
        <w:rPr>
          <w:rtl/>
        </w:rPr>
        <w:sectPr w:rsidR="003A5D2C" w:rsidSect="005049E2">
          <w:type w:val="continuous"/>
          <w:pgSz w:w="11906" w:h="16838"/>
          <w:pgMar w:top="720" w:right="720" w:bottom="720" w:left="720" w:header="283" w:footer="283" w:gutter="0"/>
          <w:cols w:num="2" w:space="567"/>
          <w:titlePg/>
          <w:bidi/>
          <w:rtlGutter/>
          <w:docGrid w:linePitch="299"/>
        </w:sectPr>
      </w:pPr>
    </w:p>
    <w:p w:rsidR="00996763" w:rsidRDefault="00996763" w:rsidP="003A5D2C">
      <w:pPr>
        <w:tabs>
          <w:tab w:val="left" w:pos="1163"/>
        </w:tabs>
        <w:spacing w:after="120" w:line="240" w:lineRule="auto"/>
        <w:ind w:left="0"/>
        <w:rPr>
          <w:rFonts w:ascii="Guttman Hodes" w:eastAsia="Guttman Hodes" w:hAnsi="Guttman Hodes" w:cs="Guttman Hodes"/>
          <w:noProof/>
          <w:sz w:val="18"/>
          <w:szCs w:val="18"/>
        </w:rPr>
        <w:sectPr w:rsidR="00996763" w:rsidSect="003A5D2C">
          <w:type w:val="continuous"/>
          <w:pgSz w:w="11906" w:h="16838"/>
          <w:pgMar w:top="720" w:right="720" w:bottom="720" w:left="720" w:header="283" w:footer="283" w:gutter="0"/>
          <w:cols w:space="567"/>
          <w:bidi/>
          <w:rtlGutter/>
          <w:docGrid w:linePitch="299"/>
        </w:sectPr>
      </w:pPr>
    </w:p>
    <w:p w:rsidR="003A5D2C" w:rsidRPr="00D47CE7" w:rsidRDefault="00651E3B" w:rsidP="003A5D2C">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7" type="#_x0000_t75" style="width:404.55pt;height:6.8pt" o:hrpct="0" o:hralign="center" o:hr="t">
            <v:imagedata r:id="rId48" o:title="BD14845_"/>
          </v:shape>
        </w:pict>
      </w:r>
      <w:r w:rsidR="003A5D2C" w:rsidRPr="00D47CE7">
        <w:rPr>
          <w:rFonts w:ascii="Guttman Hodes" w:eastAsia="Guttman Hodes" w:hAnsi="Guttman Hodes" w:cs="Guttman Hodes" w:hint="cs"/>
          <w:noProof/>
          <w:sz w:val="18"/>
          <w:szCs w:val="18"/>
          <w:rtl/>
        </w:rPr>
        <w:t xml:space="preserve"> </w:t>
      </w:r>
    </w:p>
    <w:p w:rsidR="003A5D2C" w:rsidRPr="0081356D" w:rsidRDefault="003A5D2C" w:rsidP="003A5D2C">
      <w:pPr>
        <w:pStyle w:val="afd"/>
        <w:rPr>
          <w:rtl/>
        </w:rPr>
        <w:sectPr w:rsidR="003A5D2C" w:rsidRPr="0081356D" w:rsidSect="00996763">
          <w:pgSz w:w="11906" w:h="16838"/>
          <w:pgMar w:top="720" w:right="720" w:bottom="720" w:left="720" w:header="283" w:footer="283" w:gutter="0"/>
          <w:cols w:space="567"/>
          <w:bidi/>
          <w:rtlGutter/>
          <w:docGrid w:linePitch="299"/>
        </w:sectPr>
      </w:pPr>
      <w:bookmarkStart w:id="15219" w:name="_Toc25053789"/>
      <w:bookmarkStart w:id="15220" w:name="_Toc25184791"/>
      <w:bookmarkStart w:id="15221" w:name="_Toc25317261"/>
      <w:bookmarkStart w:id="15222" w:name="_Toc25488235"/>
      <w:bookmarkStart w:id="15223" w:name="_Toc25524678"/>
      <w:bookmarkStart w:id="15224" w:name="_Toc25536177"/>
      <w:bookmarkStart w:id="15225" w:name="_Toc25571227"/>
      <w:bookmarkStart w:id="15226" w:name="_Toc25572703"/>
      <w:bookmarkStart w:id="15227" w:name="_Toc25572946"/>
      <w:r w:rsidRPr="0081356D">
        <w:rPr>
          <w:rFonts w:hint="cs"/>
          <w:rtl/>
        </w:rPr>
        <w:t>ביאורי ראשי הישיבות</w:t>
      </w:r>
      <w:bookmarkEnd w:id="15219"/>
      <w:bookmarkEnd w:id="15220"/>
      <w:bookmarkEnd w:id="15221"/>
      <w:bookmarkEnd w:id="15222"/>
      <w:bookmarkEnd w:id="15223"/>
      <w:bookmarkEnd w:id="15224"/>
      <w:bookmarkEnd w:id="15225"/>
      <w:bookmarkEnd w:id="15226"/>
      <w:bookmarkEnd w:id="15227"/>
      <w:r w:rsidRPr="0081356D">
        <w:rPr>
          <w:rFonts w:hint="cs"/>
          <w:rtl/>
        </w:rPr>
        <w:t xml:space="preserve"> </w:t>
      </w:r>
    </w:p>
    <w:p w:rsidR="003A5D2C" w:rsidRDefault="003A5D2C" w:rsidP="003A5D2C">
      <w:pPr>
        <w:pStyle w:val="afd"/>
        <w:rPr>
          <w:rtl/>
        </w:rPr>
      </w:pPr>
      <w:bookmarkStart w:id="15228" w:name="_Toc25524681"/>
      <w:bookmarkStart w:id="15229" w:name="_Toc25536180"/>
      <w:bookmarkStart w:id="15230" w:name="_Toc25571230"/>
      <w:bookmarkStart w:id="15231" w:name="_Toc25572709"/>
      <w:bookmarkStart w:id="15232" w:name="_Toc25572947"/>
      <w:r>
        <w:rPr>
          <w:rFonts w:hint="cs"/>
          <w:rtl/>
        </w:rPr>
        <w:t>בדברי הרא"ש בדין חוזר וניעור</w:t>
      </w:r>
      <w:bookmarkEnd w:id="15228"/>
      <w:bookmarkEnd w:id="15229"/>
      <w:bookmarkEnd w:id="15230"/>
      <w:bookmarkEnd w:id="15231"/>
      <w:bookmarkEnd w:id="15232"/>
    </w:p>
    <w:p w:rsidR="003A5D2C" w:rsidRDefault="003A5D2C" w:rsidP="003A5D2C">
      <w:pPr>
        <w:pStyle w:val="1"/>
        <w:rPr>
          <w:rtl/>
        </w:rPr>
      </w:pPr>
      <w:bookmarkStart w:id="15233" w:name="_Toc25536181"/>
      <w:bookmarkStart w:id="15234" w:name="_Toc25571232"/>
      <w:bookmarkStart w:id="15235" w:name="_Toc25572713"/>
      <w:bookmarkStart w:id="15236" w:name="_Toc25572948"/>
      <w:r>
        <w:rPr>
          <w:rFonts w:hint="cs"/>
          <w:rtl/>
        </w:rPr>
        <w:t xml:space="preserve">דברי </w:t>
      </w:r>
      <w:bookmarkEnd w:id="15233"/>
      <w:r>
        <w:rPr>
          <w:rFonts w:hint="cs"/>
          <w:rtl/>
        </w:rPr>
        <w:t>הגרש"ש</w:t>
      </w:r>
      <w:bookmarkEnd w:id="15234"/>
      <w:r>
        <w:rPr>
          <w:rFonts w:hint="cs"/>
          <w:rtl/>
        </w:rPr>
        <w:t xml:space="preserve"> דהוסיף איסור חשיב כהוכר האיסור מכאן ולהבא</w:t>
      </w:r>
      <w:bookmarkEnd w:id="15235"/>
      <w:bookmarkEnd w:id="15236"/>
    </w:p>
    <w:p w:rsidR="003A5D2C" w:rsidRDefault="003A5D2C" w:rsidP="003A5D2C">
      <w:pPr>
        <w:pStyle w:val="a2"/>
        <w:rPr>
          <w:rtl/>
        </w:rPr>
      </w:pPr>
      <w:bookmarkStart w:id="15237" w:name="_Toc25572714"/>
      <w:bookmarkStart w:id="15238" w:name="_Toc25572949"/>
      <w:bookmarkStart w:id="15239" w:name="_Toc25524682"/>
      <w:bookmarkStart w:id="15240" w:name="_Toc25536182"/>
      <w:r>
        <w:rPr>
          <w:rFonts w:hint="cs"/>
          <w:rtl/>
        </w:rPr>
        <w:t>ביאור הגרש"ש ברא"ש דבהוסיף איסור כיון שאין רוב היתר לכן חשיב כהוכר מכאן ולהבא</w:t>
      </w:r>
      <w:bookmarkEnd w:id="15237"/>
      <w:bookmarkEnd w:id="15238"/>
    </w:p>
    <w:p w:rsidR="003A5D2C" w:rsidRPr="001A065A" w:rsidRDefault="003A5D2C" w:rsidP="009F44AF">
      <w:pPr>
        <w:pStyle w:val="a"/>
        <w:rPr>
          <w:rtl/>
        </w:rPr>
      </w:pPr>
      <w:r>
        <w:rPr>
          <w:rFonts w:hint="cs"/>
          <w:rtl/>
        </w:rPr>
        <w:t xml:space="preserve">במ"ש </w:t>
      </w:r>
      <w:r w:rsidRPr="00F94F01">
        <w:rPr>
          <w:rStyle w:val="af8"/>
          <w:rFonts w:hint="cs"/>
          <w:rtl/>
        </w:rPr>
        <w:t>הרא"ש</w:t>
      </w:r>
      <w:r>
        <w:rPr>
          <w:rFonts w:hint="cs"/>
          <w:rtl/>
        </w:rPr>
        <w:t xml:space="preserve"> </w:t>
      </w:r>
      <w:r w:rsidRPr="00583486">
        <w:rPr>
          <w:rStyle w:val="af6"/>
          <w:rFonts w:eastAsia="Guttman Hodes" w:hint="cs"/>
          <w:rtl/>
        </w:rPr>
        <w:t xml:space="preserve">(עי' אות </w:t>
      </w:r>
      <w:r w:rsidRPr="00583486">
        <w:rPr>
          <w:rStyle w:val="af6"/>
          <w:rFonts w:eastAsia="Guttman Hodes"/>
          <w:rtl/>
        </w:rPr>
        <w:fldChar w:fldCharType="begin"/>
      </w:r>
      <w:r w:rsidRPr="00583486">
        <w:rPr>
          <w:rStyle w:val="af6"/>
          <w:rFonts w:eastAsia="Guttman Hodes"/>
          <w:rtl/>
        </w:rPr>
        <w:instrText xml:space="preserve"> </w:instrText>
      </w:r>
      <w:r w:rsidRPr="00583486">
        <w:rPr>
          <w:rStyle w:val="af6"/>
          <w:rFonts w:eastAsia="Guttman Hodes" w:hint="cs"/>
        </w:rPr>
        <w:instrText>REF</w:instrText>
      </w:r>
      <w:r w:rsidRPr="00583486">
        <w:rPr>
          <w:rStyle w:val="af6"/>
          <w:rFonts w:eastAsia="Guttman Hodes" w:hint="cs"/>
          <w:rtl/>
        </w:rPr>
        <w:instrText xml:space="preserve"> _</w:instrText>
      </w:r>
      <w:r w:rsidRPr="00583486">
        <w:rPr>
          <w:rStyle w:val="af6"/>
          <w:rFonts w:eastAsia="Guttman Hodes" w:hint="cs"/>
        </w:rPr>
        <w:instrText>Ref25508582 \r \h</w:instrText>
      </w:r>
      <w:r w:rsidRPr="00583486">
        <w:rPr>
          <w:rStyle w:val="af6"/>
          <w:rFonts w:eastAsia="Guttman Hodes"/>
          <w:rtl/>
        </w:rPr>
        <w:instrText xml:space="preserve"> </w:instrText>
      </w:r>
      <w:r w:rsidRPr="00583486">
        <w:rPr>
          <w:rStyle w:val="af6"/>
          <w:rFonts w:eastAsia="Guttman Hodes"/>
          <w:rtl/>
        </w:rPr>
      </w:r>
      <w:r w:rsidRPr="00583486">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583486">
        <w:rPr>
          <w:rStyle w:val="af6"/>
          <w:rFonts w:eastAsia="Guttman Hodes"/>
          <w:rtl/>
        </w:rPr>
        <w:fldChar w:fldCharType="end"/>
      </w:r>
      <w:r w:rsidRPr="00583486">
        <w:rPr>
          <w:rStyle w:val="af6"/>
          <w:rFonts w:eastAsia="Guttman Hodes" w:hint="cs"/>
          <w:rtl/>
        </w:rPr>
        <w:t xml:space="preserve"> </w:t>
      </w:r>
      <w:r>
        <w:rPr>
          <w:rFonts w:hint="cs"/>
          <w:rtl/>
        </w:rPr>
        <w:t xml:space="preserve">דבהוסיף איסור דחוזר וניעור, דחשיב כהוכר האיסור, ביאר </w:t>
      </w:r>
      <w:r w:rsidRPr="00F94F01">
        <w:rPr>
          <w:rStyle w:val="af8"/>
          <w:rFonts w:hint="cs"/>
          <w:rtl/>
        </w:rPr>
        <w:t>בחי' הגרש"ש בב"מ</w:t>
      </w:r>
      <w:r>
        <w:rPr>
          <w:rFonts w:hint="cs"/>
          <w:rtl/>
        </w:rPr>
        <w:t xml:space="preserve"> </w:t>
      </w:r>
      <w:r w:rsidRPr="00D904C5">
        <w:rPr>
          <w:rStyle w:val="af6"/>
          <w:rFonts w:eastAsia="Guttman Hodes" w:hint="cs"/>
          <w:rtl/>
        </w:rPr>
        <w:t>(סי' ז' [מהדו' חד' סי' ח'] אות ד')</w:t>
      </w:r>
      <w:r>
        <w:rPr>
          <w:rFonts w:hint="cs"/>
          <w:rtl/>
        </w:rPr>
        <w:t xml:space="preserve"> דההיתר של הביטול מהני רק כ"ז שיש יותר היתר מאיסור, אבל בכל אופן שלא יהיה רוב בהיתר, א"כ מכאן ולהבא נתחדש איסור. [ועי' בדברי </w:t>
      </w:r>
      <w:r w:rsidRPr="00EB4B7F">
        <w:rPr>
          <w:rStyle w:val="af8"/>
          <w:rFonts w:hint="cs"/>
          <w:rtl/>
        </w:rPr>
        <w:t>היד יהודה</w:t>
      </w:r>
      <w:r>
        <w:rPr>
          <w:rFonts w:hint="cs"/>
          <w:rtl/>
        </w:rPr>
        <w:t xml:space="preserve"> </w:t>
      </w:r>
      <w:r w:rsidRPr="00EB4B7F">
        <w:rPr>
          <w:rStyle w:val="af6"/>
          <w:rFonts w:eastAsia="Guttman Hodes" w:hint="cs"/>
          <w:rtl/>
        </w:rPr>
        <w:t xml:space="preserve">(עי' אות </w:t>
      </w:r>
      <w:r w:rsidRPr="00EB4B7F">
        <w:rPr>
          <w:rStyle w:val="af6"/>
          <w:rFonts w:eastAsia="Guttman Hodes"/>
          <w:rtl/>
        </w:rPr>
        <w:fldChar w:fldCharType="begin"/>
      </w:r>
      <w:r w:rsidRPr="00EB4B7F">
        <w:rPr>
          <w:rStyle w:val="af6"/>
          <w:rFonts w:eastAsia="Guttman Hodes"/>
          <w:rtl/>
        </w:rPr>
        <w:instrText xml:space="preserve"> </w:instrText>
      </w:r>
      <w:r w:rsidRPr="00EB4B7F">
        <w:rPr>
          <w:rStyle w:val="af6"/>
          <w:rFonts w:eastAsia="Guttman Hodes" w:hint="cs"/>
        </w:rPr>
        <w:instrText>REF</w:instrText>
      </w:r>
      <w:r w:rsidRPr="00EB4B7F">
        <w:rPr>
          <w:rStyle w:val="af6"/>
          <w:rFonts w:eastAsia="Guttman Hodes" w:hint="cs"/>
          <w:rtl/>
        </w:rPr>
        <w:instrText xml:space="preserve"> _</w:instrText>
      </w:r>
      <w:r w:rsidRPr="00EB4B7F">
        <w:rPr>
          <w:rStyle w:val="af6"/>
          <w:rFonts w:eastAsia="Guttman Hodes" w:hint="cs"/>
        </w:rPr>
        <w:instrText>Ref25570194 \r \h</w:instrText>
      </w:r>
      <w:r w:rsidRPr="00EB4B7F">
        <w:rPr>
          <w:rStyle w:val="af6"/>
          <w:rFonts w:eastAsia="Guttman Hodes"/>
          <w:rtl/>
        </w:rPr>
        <w:instrText xml:space="preserve"> </w:instrText>
      </w:r>
      <w:r w:rsidRPr="00EB4B7F">
        <w:rPr>
          <w:rStyle w:val="af6"/>
          <w:rFonts w:eastAsia="Guttman Hodes"/>
          <w:rtl/>
        </w:rPr>
      </w:r>
      <w:r w:rsidRPr="00EB4B7F">
        <w:rPr>
          <w:rStyle w:val="af6"/>
          <w:rFonts w:eastAsia="Guttman Hodes"/>
          <w:rtl/>
        </w:rPr>
        <w:fldChar w:fldCharType="separate"/>
      </w:r>
      <w:r w:rsidR="004D1C5B">
        <w:rPr>
          <w:rStyle w:val="af6"/>
          <w:rFonts w:eastAsia="Guttman Hodes"/>
          <w:cs/>
        </w:rPr>
        <w:t>‎</w:t>
      </w:r>
      <w:r w:rsidR="004D1C5B">
        <w:rPr>
          <w:rStyle w:val="af6"/>
          <w:rFonts w:eastAsia="Guttman Hodes"/>
          <w:rtl/>
        </w:rPr>
        <w:t>יט)</w:t>
      </w:r>
      <w:r w:rsidRPr="00EB4B7F">
        <w:rPr>
          <w:rStyle w:val="af6"/>
          <w:rFonts w:eastAsia="Guttman Hodes"/>
          <w:rtl/>
        </w:rPr>
        <w:fldChar w:fldCharType="end"/>
      </w:r>
      <w:r>
        <w:rPr>
          <w:rFonts w:hint="cs"/>
          <w:rtl/>
        </w:rPr>
        <w:t>].</w:t>
      </w:r>
    </w:p>
    <w:p w:rsidR="003A5D2C" w:rsidRPr="00B77DE5" w:rsidRDefault="003A5D2C" w:rsidP="003A5D2C">
      <w:pPr>
        <w:pStyle w:val="1"/>
        <w:rPr>
          <w:rtl/>
        </w:rPr>
      </w:pPr>
      <w:bookmarkStart w:id="15241" w:name="_Toc25571233"/>
      <w:bookmarkStart w:id="15242" w:name="_Toc25572715"/>
      <w:bookmarkStart w:id="15243" w:name="_Toc25572950"/>
      <w:r>
        <w:rPr>
          <w:rFonts w:hint="cs"/>
          <w:rtl/>
        </w:rPr>
        <w:t>ביאור הקוב"ש ברא"ש דבביטול ברוב לא בטלה סיבת האיסור</w:t>
      </w:r>
      <w:bookmarkEnd w:id="15239"/>
      <w:bookmarkEnd w:id="15240"/>
      <w:bookmarkEnd w:id="15241"/>
      <w:bookmarkEnd w:id="15242"/>
      <w:bookmarkEnd w:id="15243"/>
      <w:r>
        <w:rPr>
          <w:rFonts w:hint="cs"/>
          <w:rtl/>
        </w:rPr>
        <w:t xml:space="preserve"> </w:t>
      </w:r>
    </w:p>
    <w:p w:rsidR="003A5D2C" w:rsidRPr="00926966" w:rsidRDefault="003A5D2C" w:rsidP="003A5D2C">
      <w:pPr>
        <w:pStyle w:val="a2"/>
        <w:rPr>
          <w:rtl/>
        </w:rPr>
      </w:pPr>
      <w:bookmarkStart w:id="15244" w:name="_Toc25524683"/>
      <w:bookmarkStart w:id="15245" w:name="_Toc25536183"/>
      <w:bookmarkStart w:id="15246" w:name="_Toc25571234"/>
      <w:bookmarkStart w:id="15247" w:name="_Toc25572716"/>
      <w:bookmarkStart w:id="15248" w:name="_Toc25572951"/>
      <w:r>
        <w:rPr>
          <w:rFonts w:hint="cs"/>
          <w:rtl/>
        </w:rPr>
        <w:t>קושית הקוב"ש על הרא"ש דהיאך אפש"ל דחוזר וניעור הוכר האיסור הרי הוא נהפך כבר להיתר</w:t>
      </w:r>
      <w:bookmarkEnd w:id="15244"/>
      <w:bookmarkEnd w:id="15245"/>
      <w:bookmarkEnd w:id="15246"/>
      <w:bookmarkEnd w:id="15247"/>
      <w:bookmarkEnd w:id="15248"/>
    </w:p>
    <w:p w:rsidR="003A5D2C" w:rsidRDefault="003A5D2C" w:rsidP="009F44AF">
      <w:pPr>
        <w:pStyle w:val="a"/>
        <w:rPr>
          <w:rtl/>
        </w:rPr>
      </w:pPr>
      <w:bookmarkStart w:id="15249" w:name="_Ref25508662"/>
      <w:r>
        <w:rPr>
          <w:rFonts w:hint="cs"/>
          <w:rtl/>
        </w:rPr>
        <w:t xml:space="preserve">במ"ש </w:t>
      </w:r>
      <w:r w:rsidRPr="003A3144">
        <w:rPr>
          <w:rStyle w:val="af8"/>
          <w:rFonts w:hint="cs"/>
          <w:rtl/>
        </w:rPr>
        <w:t>הרא"ש</w:t>
      </w:r>
      <w:r>
        <w:rPr>
          <w:rFonts w:hint="cs"/>
          <w:rtl/>
        </w:rPr>
        <w:t xml:space="preserve"> </w:t>
      </w:r>
      <w:r w:rsidRPr="00C916B3">
        <w:rPr>
          <w:rStyle w:val="af6"/>
          <w:rFonts w:eastAsia="Guttman Hodes" w:hint="cs"/>
          <w:rtl/>
        </w:rPr>
        <w:t xml:space="preserve">(עי' אות </w:t>
      </w:r>
      <w:r w:rsidRPr="00C916B3">
        <w:rPr>
          <w:rStyle w:val="af6"/>
          <w:rFonts w:eastAsia="Guttman Hodes"/>
          <w:rtl/>
        </w:rPr>
        <w:fldChar w:fldCharType="begin"/>
      </w:r>
      <w:r w:rsidRPr="00C916B3">
        <w:rPr>
          <w:rStyle w:val="af6"/>
          <w:rFonts w:eastAsia="Guttman Hodes"/>
          <w:rtl/>
        </w:rPr>
        <w:instrText xml:space="preserve"> </w:instrText>
      </w:r>
      <w:r w:rsidRPr="00C916B3">
        <w:rPr>
          <w:rStyle w:val="af6"/>
          <w:rFonts w:eastAsia="Guttman Hodes" w:hint="cs"/>
        </w:rPr>
        <w:instrText>REF</w:instrText>
      </w:r>
      <w:r w:rsidRPr="00C916B3">
        <w:rPr>
          <w:rStyle w:val="af6"/>
          <w:rFonts w:eastAsia="Guttman Hodes" w:hint="cs"/>
          <w:rtl/>
        </w:rPr>
        <w:instrText xml:space="preserve"> _</w:instrText>
      </w:r>
      <w:r w:rsidRPr="00C916B3">
        <w:rPr>
          <w:rStyle w:val="af6"/>
          <w:rFonts w:eastAsia="Guttman Hodes" w:hint="cs"/>
        </w:rPr>
        <w:instrText>Ref25508582 \r \h</w:instrText>
      </w:r>
      <w:r w:rsidRPr="00C916B3">
        <w:rPr>
          <w:rStyle w:val="af6"/>
          <w:rFonts w:eastAsia="Guttman Hodes"/>
          <w:rtl/>
        </w:rPr>
        <w:instrText xml:space="preserve"> </w:instrText>
      </w:r>
      <w:r w:rsidRPr="00C916B3">
        <w:rPr>
          <w:rStyle w:val="af6"/>
          <w:rFonts w:eastAsia="Guttman Hodes"/>
          <w:rtl/>
        </w:rPr>
      </w:r>
      <w:r w:rsidRPr="00C916B3">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C916B3">
        <w:rPr>
          <w:rStyle w:val="af6"/>
          <w:rFonts w:eastAsia="Guttman Hodes"/>
          <w:rtl/>
        </w:rPr>
        <w:fldChar w:fldCharType="end"/>
      </w:r>
      <w:r>
        <w:rPr>
          <w:rFonts w:hint="cs"/>
          <w:rtl/>
        </w:rPr>
        <w:t xml:space="preserve"> דהא דאמרינן חוזר וניעור, הוא כיון דחשיב שהוכר האיסור, הקשה </w:t>
      </w:r>
      <w:r w:rsidRPr="003A3144">
        <w:rPr>
          <w:rStyle w:val="af8"/>
          <w:rFonts w:hint="cs"/>
          <w:rtl/>
        </w:rPr>
        <w:t>הקוב"ש</w:t>
      </w:r>
      <w:r>
        <w:rPr>
          <w:rFonts w:hint="cs"/>
          <w:rtl/>
        </w:rPr>
        <w:t xml:space="preserve"> </w:t>
      </w:r>
      <w:r w:rsidRPr="003A3144">
        <w:rPr>
          <w:rStyle w:val="af6"/>
          <w:rFonts w:eastAsia="Guttman Hodes" w:hint="cs"/>
          <w:rtl/>
        </w:rPr>
        <w:t xml:space="preserve">(ח"ב קובץ שמועות חולין ל"ו ד"ה וטעם) </w:t>
      </w:r>
      <w:r>
        <w:rPr>
          <w:rFonts w:hint="cs"/>
          <w:rtl/>
        </w:rPr>
        <w:t xml:space="preserve">דהרי כתב </w:t>
      </w:r>
      <w:r w:rsidRPr="003A3144">
        <w:rPr>
          <w:rStyle w:val="af8"/>
          <w:rFonts w:hint="cs"/>
          <w:rtl/>
        </w:rPr>
        <w:t>הרא"ש</w:t>
      </w:r>
      <w:r>
        <w:rPr>
          <w:rFonts w:hint="cs"/>
          <w:rtl/>
        </w:rPr>
        <w:t xml:space="preserve"> </w:t>
      </w:r>
      <w:r w:rsidRPr="00C916B3">
        <w:rPr>
          <w:rStyle w:val="af6"/>
          <w:rFonts w:eastAsia="Guttman Hodes" w:hint="cs"/>
          <w:rtl/>
        </w:rPr>
        <w:t xml:space="preserve">(עי' אות </w:t>
      </w:r>
      <w:r w:rsidRPr="00C916B3">
        <w:rPr>
          <w:rStyle w:val="af6"/>
          <w:rFonts w:eastAsia="Guttman Hodes"/>
          <w:rtl/>
        </w:rPr>
        <w:fldChar w:fldCharType="begin"/>
      </w:r>
      <w:r w:rsidRPr="00C916B3">
        <w:rPr>
          <w:rStyle w:val="af6"/>
          <w:rFonts w:eastAsia="Guttman Hodes"/>
          <w:rtl/>
        </w:rPr>
        <w:instrText xml:space="preserve"> </w:instrText>
      </w:r>
      <w:r w:rsidRPr="00C916B3">
        <w:rPr>
          <w:rStyle w:val="af6"/>
          <w:rFonts w:eastAsia="Guttman Hodes" w:hint="cs"/>
        </w:rPr>
        <w:instrText>REF</w:instrText>
      </w:r>
      <w:r w:rsidRPr="00C916B3">
        <w:rPr>
          <w:rStyle w:val="af6"/>
          <w:rFonts w:eastAsia="Guttman Hodes" w:hint="cs"/>
          <w:rtl/>
        </w:rPr>
        <w:instrText xml:space="preserve"> _</w:instrText>
      </w:r>
      <w:r w:rsidRPr="00C916B3">
        <w:rPr>
          <w:rStyle w:val="af6"/>
          <w:rFonts w:eastAsia="Guttman Hodes" w:hint="cs"/>
        </w:rPr>
        <w:instrText>Ref24902820 \r \h</w:instrText>
      </w:r>
      <w:r w:rsidRPr="00C916B3">
        <w:rPr>
          <w:rStyle w:val="af6"/>
          <w:rFonts w:eastAsia="Guttman Hodes"/>
          <w:rtl/>
        </w:rPr>
        <w:instrText xml:space="preserve"> </w:instrText>
      </w:r>
      <w:r w:rsidRPr="00C916B3">
        <w:rPr>
          <w:rStyle w:val="af6"/>
          <w:rFonts w:eastAsia="Guttman Hodes"/>
          <w:rtl/>
        </w:rPr>
      </w:r>
      <w:r w:rsidRPr="00C916B3">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C916B3">
        <w:rPr>
          <w:rStyle w:val="af6"/>
          <w:rFonts w:eastAsia="Guttman Hodes"/>
          <w:rtl/>
        </w:rPr>
        <w:fldChar w:fldCharType="end"/>
      </w:r>
      <w:r>
        <w:rPr>
          <w:rFonts w:hint="cs"/>
          <w:rtl/>
        </w:rPr>
        <w:t xml:space="preserve"> דהאיסור נהפך להיתר, וא"כ אף שהוכר האיסור, היאך הוא חוזר וניעור לאחר שהוא היתר.</w:t>
      </w:r>
      <w:bookmarkEnd w:id="15249"/>
    </w:p>
    <w:p w:rsidR="003A5D2C" w:rsidRPr="00926966" w:rsidRDefault="003A5D2C" w:rsidP="003A5D2C">
      <w:pPr>
        <w:pStyle w:val="a2"/>
        <w:rPr>
          <w:rtl/>
        </w:rPr>
      </w:pPr>
      <w:bookmarkStart w:id="15250" w:name="_Toc25524684"/>
      <w:bookmarkStart w:id="15251" w:name="_Toc25536184"/>
      <w:bookmarkStart w:id="15252" w:name="_Toc25571235"/>
      <w:bookmarkStart w:id="15253" w:name="_Toc25572717"/>
      <w:bookmarkStart w:id="15254" w:name="_Toc25572952"/>
      <w:r>
        <w:rPr>
          <w:rFonts w:hint="cs"/>
          <w:rtl/>
        </w:rPr>
        <w:t>קושית הקוב"ש על הרא"ש דבטומאה בטלה סיבת הטומאה ברוב והאיך שייך לומר חוזר וניעור</w:t>
      </w:r>
      <w:bookmarkEnd w:id="15250"/>
      <w:bookmarkEnd w:id="15251"/>
      <w:bookmarkEnd w:id="15252"/>
      <w:bookmarkEnd w:id="15253"/>
      <w:bookmarkEnd w:id="15254"/>
    </w:p>
    <w:p w:rsidR="003A5D2C" w:rsidRDefault="003A5D2C" w:rsidP="009F44AF">
      <w:pPr>
        <w:pStyle w:val="a"/>
        <w:rPr>
          <w:rtl/>
        </w:rPr>
      </w:pPr>
      <w:bookmarkStart w:id="15255" w:name="_Ref25509149"/>
      <w:r>
        <w:rPr>
          <w:rFonts w:hint="cs"/>
          <w:rtl/>
        </w:rPr>
        <w:t xml:space="preserve">וכתב </w:t>
      </w:r>
      <w:r w:rsidRPr="003A3144">
        <w:rPr>
          <w:rStyle w:val="af8"/>
          <w:rFonts w:hint="cs"/>
          <w:rtl/>
        </w:rPr>
        <w:t>הקוב"ש</w:t>
      </w:r>
      <w:r>
        <w:rPr>
          <w:rFonts w:hint="cs"/>
          <w:rtl/>
        </w:rPr>
        <w:t xml:space="preserve"> דיותר קשה על דברי </w:t>
      </w:r>
      <w:r w:rsidRPr="00B77DE5">
        <w:rPr>
          <w:rStyle w:val="af8"/>
          <w:rFonts w:hint="cs"/>
          <w:rtl/>
        </w:rPr>
        <w:t>הרא"ש</w:t>
      </w:r>
      <w:r>
        <w:rPr>
          <w:rFonts w:hint="cs"/>
          <w:rtl/>
        </w:rPr>
        <w:t xml:space="preserve"> </w:t>
      </w:r>
      <w:r w:rsidRPr="00B77DE5">
        <w:rPr>
          <w:rStyle w:val="af6"/>
          <w:rFonts w:eastAsia="Guttman Hodes" w:hint="cs"/>
          <w:rtl/>
        </w:rPr>
        <w:t xml:space="preserve">(עי' אות </w:t>
      </w:r>
      <w:r w:rsidRPr="00B77DE5">
        <w:rPr>
          <w:rStyle w:val="af6"/>
          <w:rFonts w:eastAsia="Guttman Hodes"/>
          <w:rtl/>
        </w:rPr>
        <w:fldChar w:fldCharType="begin"/>
      </w:r>
      <w:r w:rsidRPr="00B77DE5">
        <w:rPr>
          <w:rStyle w:val="af6"/>
          <w:rFonts w:eastAsia="Guttman Hodes"/>
          <w:rtl/>
        </w:rPr>
        <w:instrText xml:space="preserve"> </w:instrText>
      </w:r>
      <w:r w:rsidRPr="00B77DE5">
        <w:rPr>
          <w:rStyle w:val="af6"/>
          <w:rFonts w:eastAsia="Guttman Hodes" w:hint="cs"/>
        </w:rPr>
        <w:instrText>REF</w:instrText>
      </w:r>
      <w:r w:rsidRPr="00B77DE5">
        <w:rPr>
          <w:rStyle w:val="af6"/>
          <w:rFonts w:eastAsia="Guttman Hodes" w:hint="cs"/>
          <w:rtl/>
        </w:rPr>
        <w:instrText xml:space="preserve"> _</w:instrText>
      </w:r>
      <w:r w:rsidRPr="00B77DE5">
        <w:rPr>
          <w:rStyle w:val="af6"/>
          <w:rFonts w:eastAsia="Guttman Hodes" w:hint="cs"/>
        </w:rPr>
        <w:instrText>Ref25509091 \r \h</w:instrText>
      </w:r>
      <w:r w:rsidRPr="00B77DE5">
        <w:rPr>
          <w:rStyle w:val="af6"/>
          <w:rFonts w:eastAsia="Guttman Hodes"/>
          <w:rtl/>
        </w:rPr>
        <w:instrText xml:space="preserve"> </w:instrText>
      </w:r>
      <w:r w:rsidRPr="00B77DE5">
        <w:rPr>
          <w:rStyle w:val="af6"/>
          <w:rFonts w:eastAsia="Guttman Hodes"/>
          <w:rtl/>
        </w:rPr>
      </w:r>
      <w:r w:rsidRPr="00B77DE5">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B77DE5">
        <w:rPr>
          <w:rStyle w:val="af6"/>
          <w:rFonts w:eastAsia="Guttman Hodes"/>
          <w:rtl/>
        </w:rPr>
        <w:fldChar w:fldCharType="end"/>
      </w:r>
      <w:r>
        <w:rPr>
          <w:rFonts w:hint="cs"/>
          <w:rtl/>
        </w:rPr>
        <w:t xml:space="preserve"> דכתב דאף בטומאה אמרינן חוזר וניעור, דהא לאחר שהטומאה התבטלה ברוב, אין את סיבת הטומאה, וכל מה ששייך לומר שהיא טמאה הוא מחמת שנשארה הטומאה שהייתה קודם לכן, וא"כ כיון שהטומאה פקעה בזמן הביטול, היאך היא חוזרת וניעורה.</w:t>
      </w:r>
      <w:bookmarkEnd w:id="15255"/>
    </w:p>
    <w:p w:rsidR="003A5D2C" w:rsidRPr="00926966" w:rsidRDefault="003A5D2C" w:rsidP="003A5D2C">
      <w:pPr>
        <w:pStyle w:val="a2"/>
        <w:rPr>
          <w:rtl/>
        </w:rPr>
      </w:pPr>
      <w:bookmarkStart w:id="15256" w:name="_Toc25524685"/>
      <w:bookmarkStart w:id="15257" w:name="_Toc25536185"/>
      <w:bookmarkStart w:id="15258" w:name="_Toc25571236"/>
      <w:bookmarkStart w:id="15259" w:name="_Toc25572718"/>
      <w:bookmarkStart w:id="15260" w:name="_Toc25572953"/>
      <w:r>
        <w:rPr>
          <w:rFonts w:hint="cs"/>
          <w:rtl/>
        </w:rPr>
        <w:t>ביאור הקוב"ש דביטול ברוב אינו מפקיע את סיבת האיסור ומתיר רק לשעה שיש ביטול ברוב</w:t>
      </w:r>
      <w:bookmarkEnd w:id="15256"/>
      <w:bookmarkEnd w:id="15257"/>
      <w:bookmarkEnd w:id="15258"/>
      <w:bookmarkEnd w:id="15259"/>
      <w:bookmarkEnd w:id="15260"/>
    </w:p>
    <w:p w:rsidR="003A5D2C" w:rsidRDefault="003A5D2C" w:rsidP="009F44AF">
      <w:pPr>
        <w:pStyle w:val="a"/>
        <w:rPr>
          <w:rtl/>
        </w:rPr>
      </w:pPr>
      <w:bookmarkStart w:id="15261" w:name="_Ref25510992"/>
      <w:r>
        <w:rPr>
          <w:rFonts w:hint="cs"/>
          <w:rtl/>
        </w:rPr>
        <w:t xml:space="preserve">ותירץ </w:t>
      </w:r>
      <w:r w:rsidRPr="003A3144">
        <w:rPr>
          <w:rStyle w:val="af8"/>
          <w:rFonts w:hint="cs"/>
          <w:rtl/>
        </w:rPr>
        <w:t>הקוב"ש</w:t>
      </w:r>
      <w:r>
        <w:rPr>
          <w:rFonts w:hint="cs"/>
          <w:rtl/>
        </w:rPr>
        <w:t xml:space="preserve"> דביטול ברוב בתערובת אינו מתיר לגמרי, ואינו מפקיע את סיבת האיסור, אלא הוא מתיר לאותה שעה שבטל ברוב, וביאר </w:t>
      </w:r>
      <w:r w:rsidRPr="00DD2D55">
        <w:rPr>
          <w:rStyle w:val="af8"/>
          <w:rFonts w:hint="cs"/>
          <w:rtl/>
        </w:rPr>
        <w:t>הקוב"ש</w:t>
      </w:r>
      <w:r>
        <w:rPr>
          <w:rFonts w:hint="cs"/>
          <w:rtl/>
        </w:rPr>
        <w:t xml:space="preserve"> דכיון שסיבת ההיתר הוא הספק </w:t>
      </w:r>
      <w:r w:rsidRPr="003A3144">
        <w:rPr>
          <w:rStyle w:val="afa"/>
          <w:rFonts w:hint="cs"/>
          <w:rtl/>
        </w:rPr>
        <w:t xml:space="preserve">[כדכתב </w:t>
      </w:r>
      <w:r w:rsidRPr="00111F4A">
        <w:rPr>
          <w:rStyle w:val="affa"/>
          <w:rtl/>
        </w:rPr>
        <w:t xml:space="preserve">הקוה"ע </w:t>
      </w:r>
      <w:r w:rsidRPr="00111F4A">
        <w:rPr>
          <w:rStyle w:val="aff6"/>
          <w:rtl/>
        </w:rPr>
        <w:t>(סי נ"ח ב'</w:t>
      </w:r>
      <w:r w:rsidRPr="00111F4A">
        <w:rPr>
          <w:rStyle w:val="aff6"/>
          <w:rFonts w:hint="cs"/>
          <w:rtl/>
        </w:rPr>
        <w:t>, ה</w:t>
      </w:r>
      <w:r w:rsidRPr="003A3144">
        <w:rPr>
          <w:rStyle w:val="aff6"/>
          <w:rFonts w:hint="cs"/>
          <w:rtl/>
        </w:rPr>
        <w:t xml:space="preserve">ובא בסימן </w:t>
      </w:r>
      <w:r>
        <w:rPr>
          <w:rStyle w:val="aff6"/>
          <w:rFonts w:hint="cs"/>
          <w:rtl/>
        </w:rPr>
        <w:t>י"ח</w:t>
      </w:r>
      <w:r w:rsidRPr="003A3144">
        <w:rPr>
          <w:rStyle w:val="aff6"/>
          <w:rFonts w:hint="cs"/>
          <w:rtl/>
        </w:rPr>
        <w:t xml:space="preserve"> אות </w:t>
      </w:r>
      <w:r>
        <w:rPr>
          <w:rStyle w:val="aff6"/>
          <w:rFonts w:hint="cs"/>
          <w:rtl/>
        </w:rPr>
        <w:t>קכ"ד</w:t>
      </w:r>
      <w:r w:rsidRPr="003A3144">
        <w:rPr>
          <w:rStyle w:val="aff6"/>
          <w:rFonts w:hint="cs"/>
          <w:rtl/>
        </w:rPr>
        <w:t>)</w:t>
      </w:r>
      <w:r w:rsidRPr="003A3144">
        <w:rPr>
          <w:rStyle w:val="afa"/>
          <w:rFonts w:hint="cs"/>
          <w:rtl/>
        </w:rPr>
        <w:t xml:space="preserve">] </w:t>
      </w:r>
      <w:r>
        <w:rPr>
          <w:rFonts w:hint="cs"/>
          <w:rtl/>
        </w:rPr>
        <w:t>לכן ההיתר הוא רק כשיש ספק לפנינו, שתמיד צריך את סיבת ההיתר בכדי שהאיסור יתבטל ברוב ויהיה מותר.</w:t>
      </w:r>
      <w:bookmarkEnd w:id="15261"/>
    </w:p>
    <w:p w:rsidR="003A5D2C" w:rsidRPr="00DD2D55" w:rsidRDefault="003A5D2C" w:rsidP="003A5D2C">
      <w:pPr>
        <w:pStyle w:val="a2"/>
      </w:pPr>
      <w:bookmarkStart w:id="15262" w:name="_Toc25524686"/>
      <w:bookmarkStart w:id="15263" w:name="_Toc25536186"/>
      <w:bookmarkStart w:id="15264" w:name="_Toc25571237"/>
      <w:bookmarkStart w:id="15265" w:name="_Toc25572719"/>
      <w:bookmarkStart w:id="15266" w:name="_Toc25572954"/>
      <w:r>
        <w:rPr>
          <w:rFonts w:hint="cs"/>
          <w:rtl/>
        </w:rPr>
        <w:t>ביאור הקוב"ש ברא"ש דחוזר וניעור כהוכר האיסור ואין את סיבת ההיתר ואסור מכאן ולהבא</w:t>
      </w:r>
      <w:bookmarkEnd w:id="15262"/>
      <w:bookmarkEnd w:id="15263"/>
      <w:bookmarkEnd w:id="15264"/>
      <w:bookmarkEnd w:id="15265"/>
      <w:bookmarkEnd w:id="15266"/>
    </w:p>
    <w:p w:rsidR="003A5D2C" w:rsidRDefault="003A5D2C" w:rsidP="009F44AF">
      <w:pPr>
        <w:pStyle w:val="a"/>
        <w:rPr>
          <w:rtl/>
        </w:rPr>
      </w:pPr>
      <w:r>
        <w:rPr>
          <w:rFonts w:hint="cs"/>
          <w:rtl/>
        </w:rPr>
        <w:t xml:space="preserve">וכתב </w:t>
      </w:r>
      <w:r w:rsidRPr="003A3144">
        <w:rPr>
          <w:rStyle w:val="af8"/>
          <w:rFonts w:hint="cs"/>
          <w:rtl/>
        </w:rPr>
        <w:t>הקוב"ש</w:t>
      </w:r>
      <w:r>
        <w:rPr>
          <w:rFonts w:hint="cs"/>
          <w:rtl/>
        </w:rPr>
        <w:t xml:space="preserve"> דזהו הביאור בדברי </w:t>
      </w:r>
      <w:r w:rsidRPr="00B77DE5">
        <w:rPr>
          <w:rStyle w:val="af8"/>
          <w:rFonts w:hint="cs"/>
          <w:rtl/>
        </w:rPr>
        <w:t>הרא"ש</w:t>
      </w:r>
      <w:r>
        <w:rPr>
          <w:rFonts w:hint="cs"/>
          <w:rtl/>
        </w:rPr>
        <w:t xml:space="preserve"> דחוזר וניעור הוא </w:t>
      </w:r>
      <w:r w:rsidRPr="003E04EC">
        <w:rPr>
          <w:rFonts w:hint="cs"/>
          <w:rtl/>
        </w:rPr>
        <w:t>כהוכר האיסור, דכל שהוכר האיסור ואין ספק לפנינו, אין את סיבת ההיתר, והאיסור חוזר וניעור, ואף שהיה מותר נאסר מכאן ולהבא</w:t>
      </w:r>
      <w:bookmarkStart w:id="15267" w:name="_Toc25524687"/>
      <w:bookmarkStart w:id="15268" w:name="_Toc25536187"/>
      <w:r>
        <w:rPr>
          <w:rFonts w:hint="cs"/>
          <w:rtl/>
        </w:rPr>
        <w:t xml:space="preserve">, וכן ביאר </w:t>
      </w:r>
      <w:r>
        <w:rPr>
          <w:rStyle w:val="af8"/>
          <w:rFonts w:hint="cs"/>
          <w:rtl/>
        </w:rPr>
        <w:t>ב</w:t>
      </w:r>
      <w:r w:rsidRPr="004D1772">
        <w:rPr>
          <w:rStyle w:val="af8"/>
          <w:rFonts w:hint="cs"/>
          <w:rtl/>
        </w:rPr>
        <w:t>קוה"ע</w:t>
      </w:r>
      <w:r>
        <w:rPr>
          <w:rFonts w:hint="cs"/>
          <w:rtl/>
        </w:rPr>
        <w:t xml:space="preserve"> </w:t>
      </w:r>
      <w:r w:rsidRPr="004D1772">
        <w:rPr>
          <w:rStyle w:val="af6"/>
          <w:rFonts w:eastAsia="Guttman Hodes" w:hint="cs"/>
          <w:rtl/>
        </w:rPr>
        <w:t>(סי' ע"א או' ז')</w:t>
      </w:r>
      <w:r>
        <w:rPr>
          <w:rFonts w:hint="cs"/>
          <w:rtl/>
        </w:rPr>
        <w:t xml:space="preserve"> דבביטול ברוב סיבת האיסור אינה פוקעת, אלא שהספק שבתערובת מתיר כל שעה ושעה, ולכן כשהוכר האיסור ממילא הוא חוזר ונאסר.</w:t>
      </w:r>
    </w:p>
    <w:p w:rsidR="003A5D2C" w:rsidRPr="00926966" w:rsidRDefault="003A5D2C" w:rsidP="003A5D2C">
      <w:pPr>
        <w:pStyle w:val="a2"/>
      </w:pPr>
      <w:bookmarkStart w:id="15269" w:name="_Toc25571238"/>
      <w:bookmarkStart w:id="15270" w:name="_Toc25572720"/>
      <w:bookmarkStart w:id="15271" w:name="_Toc25572955"/>
      <w:r>
        <w:rPr>
          <w:rFonts w:hint="cs"/>
          <w:rtl/>
        </w:rPr>
        <w:t>ביאור הקוה"ע בחוזר וניעור בטומאה דסיבת הטומאה לא פקעה וכשאין ספק ממילא חוזר ומטמא</w:t>
      </w:r>
      <w:bookmarkEnd w:id="15269"/>
      <w:bookmarkEnd w:id="15270"/>
      <w:bookmarkEnd w:id="15271"/>
    </w:p>
    <w:p w:rsidR="003A5D2C" w:rsidRDefault="003A5D2C" w:rsidP="009F44AF">
      <w:pPr>
        <w:pStyle w:val="a"/>
        <w:rPr>
          <w:rtl/>
        </w:rPr>
      </w:pPr>
      <w:bookmarkStart w:id="15272" w:name="_Ref25566182"/>
      <w:r>
        <w:rPr>
          <w:rFonts w:hint="cs"/>
          <w:rtl/>
        </w:rPr>
        <w:t xml:space="preserve">וכן במ"ש </w:t>
      </w:r>
      <w:r w:rsidRPr="002241DD">
        <w:rPr>
          <w:rStyle w:val="af8"/>
          <w:rFonts w:hint="cs"/>
          <w:rtl/>
        </w:rPr>
        <w:t>הרא"ש</w:t>
      </w:r>
      <w:r>
        <w:rPr>
          <w:rFonts w:hint="cs"/>
          <w:rtl/>
        </w:rPr>
        <w:t xml:space="preserve"> </w:t>
      </w:r>
      <w:r w:rsidRPr="00CC5E56">
        <w:rPr>
          <w:rStyle w:val="af6"/>
          <w:rFonts w:eastAsia="Guttman Hodes" w:hint="cs"/>
          <w:rtl/>
        </w:rPr>
        <w:t xml:space="preserve">(עי' אות </w:t>
      </w:r>
      <w:r w:rsidRPr="00CC5E56">
        <w:rPr>
          <w:rStyle w:val="af6"/>
          <w:rFonts w:eastAsia="Guttman Hodes"/>
          <w:rtl/>
        </w:rPr>
        <w:fldChar w:fldCharType="begin"/>
      </w:r>
      <w:r w:rsidRPr="00CC5E56">
        <w:rPr>
          <w:rStyle w:val="af6"/>
          <w:rFonts w:eastAsia="Guttman Hodes"/>
          <w:rtl/>
        </w:rPr>
        <w:instrText xml:space="preserve"> </w:instrText>
      </w:r>
      <w:r w:rsidRPr="00CC5E56">
        <w:rPr>
          <w:rStyle w:val="af6"/>
          <w:rFonts w:eastAsia="Guttman Hodes" w:hint="cs"/>
        </w:rPr>
        <w:instrText>REF</w:instrText>
      </w:r>
      <w:r w:rsidRPr="00CC5E56">
        <w:rPr>
          <w:rStyle w:val="af6"/>
          <w:rFonts w:eastAsia="Guttman Hodes" w:hint="cs"/>
          <w:rtl/>
        </w:rPr>
        <w:instrText xml:space="preserve"> _</w:instrText>
      </w:r>
      <w:r w:rsidRPr="00CC5E56">
        <w:rPr>
          <w:rStyle w:val="af6"/>
          <w:rFonts w:eastAsia="Guttman Hodes" w:hint="cs"/>
        </w:rPr>
        <w:instrText>Ref25565745 \r \h</w:instrText>
      </w:r>
      <w:r w:rsidRPr="00CC5E56">
        <w:rPr>
          <w:rStyle w:val="af6"/>
          <w:rFonts w:eastAsia="Guttman Hodes"/>
          <w:rtl/>
        </w:rPr>
        <w:instrText xml:space="preserve"> </w:instrText>
      </w:r>
      <w:r w:rsidRPr="00CC5E56">
        <w:rPr>
          <w:rStyle w:val="af6"/>
          <w:rFonts w:eastAsia="Guttman Hodes"/>
          <w:rtl/>
        </w:rPr>
      </w:r>
      <w:r w:rsidRPr="00CC5E56">
        <w:rPr>
          <w:rStyle w:val="af6"/>
          <w:rFonts w:eastAsia="Guttman Hodes"/>
          <w:rtl/>
        </w:rPr>
        <w:fldChar w:fldCharType="separate"/>
      </w:r>
      <w:r w:rsidR="004D1C5B">
        <w:rPr>
          <w:rStyle w:val="af6"/>
          <w:rFonts w:eastAsia="Guttman Hodes"/>
          <w:cs/>
        </w:rPr>
        <w:t>‎</w:t>
      </w:r>
      <w:r w:rsidR="004D1C5B">
        <w:rPr>
          <w:rStyle w:val="af6"/>
          <w:rFonts w:eastAsia="Guttman Hodes"/>
          <w:rtl/>
        </w:rPr>
        <w:t>יג)</w:t>
      </w:r>
      <w:r w:rsidRPr="00CC5E56">
        <w:rPr>
          <w:rStyle w:val="af6"/>
          <w:rFonts w:eastAsia="Guttman Hodes"/>
          <w:rtl/>
        </w:rPr>
        <w:fldChar w:fldCharType="end"/>
      </w:r>
      <w:r>
        <w:rPr>
          <w:rFonts w:hint="cs"/>
          <w:rtl/>
        </w:rPr>
        <w:t xml:space="preserve"> דאף לענין טומאה אמרינן חוזר וניעור, כתב </w:t>
      </w:r>
      <w:r w:rsidRPr="002241DD">
        <w:rPr>
          <w:rStyle w:val="af8"/>
          <w:rFonts w:hint="cs"/>
          <w:rtl/>
        </w:rPr>
        <w:t>הקוע"ה</w:t>
      </w:r>
      <w:r>
        <w:rPr>
          <w:rFonts w:hint="cs"/>
          <w:rtl/>
        </w:rPr>
        <w:t xml:space="preserve"> </w:t>
      </w:r>
      <w:r w:rsidRPr="004D1772">
        <w:rPr>
          <w:rStyle w:val="af6"/>
          <w:rFonts w:eastAsia="Guttman Hodes" w:hint="cs"/>
          <w:rtl/>
        </w:rPr>
        <w:t>(סי' ע"א או' ז')</w:t>
      </w:r>
      <w:r>
        <w:rPr>
          <w:rFonts w:hint="cs"/>
          <w:rtl/>
        </w:rPr>
        <w:t xml:space="preserve"> דאף שעד עכשיו לא הייתה טומאה כלל, מ"מ טמא מכאן ולהבא, ולא אמרינן דאחר שנטהר בתערובת, מהיכן תבא לו טומאה בחוזר וניעור, דאף כשהוא בטל בתערובת לא פקעה </w:t>
      </w:r>
      <w:r>
        <w:rPr>
          <w:rFonts w:hint="cs"/>
          <w:rtl/>
        </w:rPr>
        <w:t>ממנו סיבת הטומאה, אלא שבזמן שהוא מעורב הספק מטהר אותו, ובחוזר וניעור, שאין ספק שיטהר אותו ממילא הוא חוזר ומטמא, מחמת סיבת הטומאה שהייתה לו בתחילה ולא פקעה ממנו.</w:t>
      </w:r>
      <w:bookmarkEnd w:id="15272"/>
      <w:r>
        <w:rPr>
          <w:rFonts w:hint="cs"/>
          <w:rtl/>
        </w:rPr>
        <w:t xml:space="preserve"> [ועי' בדברי </w:t>
      </w:r>
      <w:r w:rsidRPr="002241DD">
        <w:rPr>
          <w:rStyle w:val="af8"/>
          <w:rFonts w:hint="cs"/>
          <w:rtl/>
        </w:rPr>
        <w:t>המשנת ר"א</w:t>
      </w:r>
      <w:r>
        <w:rPr>
          <w:rFonts w:hint="cs"/>
          <w:rtl/>
        </w:rPr>
        <w:t xml:space="preserve"> </w:t>
      </w:r>
      <w:r w:rsidRPr="00D11ED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Ref25569918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קכב)</w:t>
      </w:r>
      <w:r>
        <w:rPr>
          <w:rStyle w:val="af6"/>
          <w:rFonts w:eastAsia="Guttman Hodes"/>
          <w:rtl/>
        </w:rPr>
        <w:fldChar w:fldCharType="end"/>
      </w:r>
      <w:r>
        <w:rPr>
          <w:rFonts w:hint="cs"/>
          <w:rtl/>
        </w:rPr>
        <w:t>].</w:t>
      </w:r>
    </w:p>
    <w:p w:rsidR="003A5D2C" w:rsidRDefault="003A5D2C" w:rsidP="003A5D2C">
      <w:pPr>
        <w:pStyle w:val="1"/>
        <w:rPr>
          <w:rtl/>
        </w:rPr>
      </w:pPr>
      <w:bookmarkStart w:id="15273" w:name="_Toc25571239"/>
      <w:bookmarkStart w:id="15274" w:name="_Toc25572721"/>
      <w:bookmarkStart w:id="15275" w:name="_Toc25572956"/>
      <w:r>
        <w:rPr>
          <w:rFonts w:hint="cs"/>
          <w:rtl/>
        </w:rPr>
        <w:t>ביאור נוסף בקוב"ש דבחוזר וניעור אין את סיבת ההיתר דביטול</w:t>
      </w:r>
      <w:bookmarkEnd w:id="15267"/>
      <w:bookmarkEnd w:id="15268"/>
      <w:bookmarkEnd w:id="15273"/>
      <w:bookmarkEnd w:id="15274"/>
      <w:bookmarkEnd w:id="15275"/>
    </w:p>
    <w:p w:rsidR="003A5D2C" w:rsidRPr="003E04EC" w:rsidRDefault="003A5D2C" w:rsidP="003A5D2C">
      <w:pPr>
        <w:pStyle w:val="a2"/>
        <w:rPr>
          <w:rtl/>
        </w:rPr>
      </w:pPr>
      <w:bookmarkStart w:id="15276" w:name="_Toc25524688"/>
      <w:bookmarkStart w:id="15277" w:name="_Toc25536188"/>
      <w:bookmarkStart w:id="15278" w:name="_Toc25571240"/>
      <w:bookmarkStart w:id="15279" w:name="_Toc25572722"/>
      <w:bookmarkStart w:id="15280" w:name="_Toc25572957"/>
      <w:r>
        <w:rPr>
          <w:rFonts w:hint="cs"/>
          <w:rtl/>
        </w:rPr>
        <w:t>דברי הקוב"ש דחוזר וניעור אסור אף בלא הטעם דהוכר האיסור כיון שאין ספק שגורם היתר</w:t>
      </w:r>
      <w:bookmarkEnd w:id="15276"/>
      <w:bookmarkEnd w:id="15277"/>
      <w:bookmarkEnd w:id="15278"/>
      <w:bookmarkEnd w:id="15279"/>
      <w:bookmarkEnd w:id="15280"/>
    </w:p>
    <w:p w:rsidR="003A5D2C" w:rsidRDefault="003A5D2C" w:rsidP="009F44AF">
      <w:pPr>
        <w:pStyle w:val="a"/>
        <w:rPr>
          <w:rtl/>
        </w:rPr>
      </w:pPr>
      <w:bookmarkStart w:id="15281" w:name="_Ref25511013"/>
      <w:r w:rsidRPr="003E04EC">
        <w:rPr>
          <w:rFonts w:hint="cs"/>
          <w:rtl/>
        </w:rPr>
        <w:t xml:space="preserve">אך כתב </w:t>
      </w:r>
      <w:r w:rsidRPr="003E04EC">
        <w:rPr>
          <w:rStyle w:val="af8"/>
          <w:rFonts w:hint="cs"/>
          <w:rtl/>
        </w:rPr>
        <w:t>הקוב"ש</w:t>
      </w:r>
      <w:r w:rsidRPr="003E04EC">
        <w:rPr>
          <w:rFonts w:hint="cs"/>
          <w:rtl/>
        </w:rPr>
        <w:t xml:space="preserve"> </w:t>
      </w:r>
      <w:r w:rsidRPr="003E04EC">
        <w:rPr>
          <w:rStyle w:val="af6"/>
          <w:rFonts w:eastAsia="Guttman Hodes" w:hint="cs"/>
          <w:rtl/>
        </w:rPr>
        <w:t>(ח"ב קובץ שמועות חולין ל"ו ד"ה ובאמת)</w:t>
      </w:r>
      <w:r w:rsidRPr="003E04EC">
        <w:rPr>
          <w:rFonts w:hint="cs"/>
          <w:rtl/>
        </w:rPr>
        <w:t xml:space="preserve"> דלפי"ז א"צ לומר שבהוסיף איסור חשיב כהוכר האיסור, ולכן אמרינן דחוזר וניעור כדכתב </w:t>
      </w:r>
      <w:r w:rsidRPr="003A3144">
        <w:rPr>
          <w:rStyle w:val="af8"/>
          <w:rFonts w:hint="cs"/>
          <w:rtl/>
        </w:rPr>
        <w:t>הרא"ש</w:t>
      </w:r>
      <w:r>
        <w:rPr>
          <w:rFonts w:hint="cs"/>
          <w:rtl/>
        </w:rPr>
        <w:t xml:space="preserve"> </w:t>
      </w:r>
      <w:r w:rsidRPr="00C916B3">
        <w:rPr>
          <w:rStyle w:val="af6"/>
          <w:rFonts w:eastAsia="Guttman Hodes" w:hint="cs"/>
          <w:rtl/>
        </w:rPr>
        <w:t xml:space="preserve">(עי' אות </w:t>
      </w:r>
      <w:r w:rsidRPr="00C916B3">
        <w:rPr>
          <w:rStyle w:val="af6"/>
          <w:rFonts w:eastAsia="Guttman Hodes"/>
          <w:rtl/>
        </w:rPr>
        <w:fldChar w:fldCharType="begin"/>
      </w:r>
      <w:r w:rsidRPr="00C916B3">
        <w:rPr>
          <w:rStyle w:val="af6"/>
          <w:rFonts w:eastAsia="Guttman Hodes"/>
          <w:rtl/>
        </w:rPr>
        <w:instrText xml:space="preserve"> </w:instrText>
      </w:r>
      <w:r w:rsidRPr="00C916B3">
        <w:rPr>
          <w:rStyle w:val="af6"/>
          <w:rFonts w:eastAsia="Guttman Hodes" w:hint="cs"/>
        </w:rPr>
        <w:instrText>REF</w:instrText>
      </w:r>
      <w:r w:rsidRPr="00C916B3">
        <w:rPr>
          <w:rStyle w:val="af6"/>
          <w:rFonts w:eastAsia="Guttman Hodes" w:hint="cs"/>
          <w:rtl/>
        </w:rPr>
        <w:instrText xml:space="preserve"> _</w:instrText>
      </w:r>
      <w:r w:rsidRPr="00C916B3">
        <w:rPr>
          <w:rStyle w:val="af6"/>
          <w:rFonts w:eastAsia="Guttman Hodes" w:hint="cs"/>
        </w:rPr>
        <w:instrText>Ref25508582 \r \h</w:instrText>
      </w:r>
      <w:r w:rsidRPr="00C916B3">
        <w:rPr>
          <w:rStyle w:val="af6"/>
          <w:rFonts w:eastAsia="Guttman Hodes"/>
          <w:rtl/>
        </w:rPr>
        <w:instrText xml:space="preserve"> </w:instrText>
      </w:r>
      <w:r w:rsidRPr="00C916B3">
        <w:rPr>
          <w:rStyle w:val="af6"/>
          <w:rFonts w:eastAsia="Guttman Hodes"/>
          <w:rtl/>
        </w:rPr>
      </w:r>
      <w:r w:rsidRPr="00C916B3">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C916B3">
        <w:rPr>
          <w:rStyle w:val="af6"/>
          <w:rFonts w:eastAsia="Guttman Hodes"/>
          <w:rtl/>
        </w:rPr>
        <w:fldChar w:fldCharType="end"/>
      </w:r>
      <w:r w:rsidRPr="003E04EC">
        <w:rPr>
          <w:rFonts w:hint="cs"/>
          <w:rtl/>
        </w:rPr>
        <w:t>, אלא אף בלא הטעם דהוכר האיסור, מ"מ אמרינן דחוזר וניעור, כיון שבטלה סיבת ההיתר, שאין כאן ספק שגורם את הביטול, דכל ביטול</w:t>
      </w:r>
      <w:r>
        <w:rPr>
          <w:rFonts w:hint="cs"/>
          <w:rtl/>
        </w:rPr>
        <w:t xml:space="preserve"> הוא כשיש רוב היתר, ועכשיו שנוסף איסור ואין רוב היאר ממילא אין ביטול.</w:t>
      </w:r>
      <w:bookmarkEnd w:id="15281"/>
    </w:p>
    <w:p w:rsidR="003A5D2C" w:rsidRPr="003E04EC" w:rsidRDefault="003A5D2C" w:rsidP="003A5D2C">
      <w:pPr>
        <w:pStyle w:val="a2"/>
      </w:pPr>
      <w:bookmarkStart w:id="15282" w:name="_Toc25524689"/>
      <w:bookmarkStart w:id="15283" w:name="_Toc25536189"/>
      <w:bookmarkStart w:id="15284" w:name="_Toc25571241"/>
      <w:bookmarkStart w:id="15285" w:name="_Toc25572723"/>
      <w:bookmarkStart w:id="15286" w:name="_Toc25572958"/>
      <w:r>
        <w:rPr>
          <w:rFonts w:hint="cs"/>
          <w:rtl/>
        </w:rPr>
        <w:t>ביאור שיעורי רבי אלחנן דהביטול מתחדש בכל רגע וממילא אסור בחוזר וניעור דאין היתר</w:t>
      </w:r>
      <w:bookmarkEnd w:id="15282"/>
      <w:bookmarkEnd w:id="15283"/>
      <w:bookmarkEnd w:id="15284"/>
      <w:bookmarkEnd w:id="15285"/>
      <w:bookmarkEnd w:id="15286"/>
    </w:p>
    <w:p w:rsidR="003A5D2C" w:rsidRPr="003E04EC" w:rsidRDefault="003A5D2C" w:rsidP="009F44AF">
      <w:pPr>
        <w:pStyle w:val="a"/>
      </w:pPr>
      <w:bookmarkStart w:id="15287" w:name="_Ref25511019"/>
      <w:r w:rsidRPr="003E04EC">
        <w:rPr>
          <w:rFonts w:hint="cs"/>
          <w:rtl/>
        </w:rPr>
        <w:t>ו</w:t>
      </w:r>
      <w:r>
        <w:rPr>
          <w:rFonts w:hint="cs"/>
          <w:rtl/>
        </w:rPr>
        <w:t xml:space="preserve">כעי"ז </w:t>
      </w:r>
      <w:r w:rsidRPr="003E04EC">
        <w:rPr>
          <w:rFonts w:hint="cs"/>
          <w:rtl/>
        </w:rPr>
        <w:t xml:space="preserve">כתב </w:t>
      </w:r>
      <w:r w:rsidRPr="003E04EC">
        <w:rPr>
          <w:rStyle w:val="af8"/>
          <w:rFonts w:hint="cs"/>
          <w:rtl/>
        </w:rPr>
        <w:t>בשיעורי רבי אלחנן</w:t>
      </w:r>
      <w:r w:rsidRPr="003E04EC">
        <w:rPr>
          <w:rFonts w:hint="cs"/>
          <w:rtl/>
        </w:rPr>
        <w:t xml:space="preserve"> </w:t>
      </w:r>
      <w:r w:rsidRPr="00820B1C">
        <w:rPr>
          <w:rStyle w:val="af6"/>
          <w:rFonts w:eastAsia="Guttman Hodes" w:hint="cs"/>
          <w:rtl/>
        </w:rPr>
        <w:t>(חולין סי' י"ז א')</w:t>
      </w:r>
      <w:r w:rsidRPr="003E04EC">
        <w:rPr>
          <w:rFonts w:hint="cs"/>
          <w:rtl/>
        </w:rPr>
        <w:t xml:space="preserve"> דבדין חוזר וניעור אפשר לבאר בב' אופנים, האופן הא' הוא כדביאר </w:t>
      </w:r>
      <w:r w:rsidRPr="003A3144">
        <w:rPr>
          <w:rStyle w:val="af8"/>
          <w:rFonts w:hint="cs"/>
          <w:rtl/>
        </w:rPr>
        <w:t>הרא"ש</w:t>
      </w:r>
      <w:r>
        <w:rPr>
          <w:rFonts w:hint="cs"/>
          <w:rtl/>
        </w:rPr>
        <w:t xml:space="preserve"> </w:t>
      </w:r>
      <w:r w:rsidRPr="00820B1C">
        <w:rPr>
          <w:rStyle w:val="af6"/>
          <w:rFonts w:eastAsia="Guttman Hodes" w:hint="cs"/>
          <w:rtl/>
        </w:rPr>
        <w:t xml:space="preserve">(עי' אות </w:t>
      </w:r>
      <w:r w:rsidRPr="00820B1C">
        <w:rPr>
          <w:rStyle w:val="af6"/>
          <w:rFonts w:eastAsia="Guttman Hodes"/>
          <w:rtl/>
        </w:rPr>
        <w:fldChar w:fldCharType="begin"/>
      </w:r>
      <w:r w:rsidRPr="00820B1C">
        <w:rPr>
          <w:rStyle w:val="af6"/>
          <w:rFonts w:eastAsia="Guttman Hodes"/>
          <w:rtl/>
        </w:rPr>
        <w:instrText xml:space="preserve"> </w:instrText>
      </w:r>
      <w:r w:rsidRPr="00820B1C">
        <w:rPr>
          <w:rStyle w:val="af6"/>
          <w:rFonts w:eastAsia="Guttman Hodes" w:hint="cs"/>
        </w:rPr>
        <w:instrText>REF</w:instrText>
      </w:r>
      <w:r w:rsidRPr="00820B1C">
        <w:rPr>
          <w:rStyle w:val="af6"/>
          <w:rFonts w:eastAsia="Guttman Hodes" w:hint="cs"/>
          <w:rtl/>
        </w:rPr>
        <w:instrText xml:space="preserve"> _</w:instrText>
      </w:r>
      <w:r w:rsidRPr="00820B1C">
        <w:rPr>
          <w:rStyle w:val="af6"/>
          <w:rFonts w:eastAsia="Guttman Hodes" w:hint="cs"/>
        </w:rPr>
        <w:instrText>Ref25508582 \r \h</w:instrText>
      </w:r>
      <w:r w:rsidRPr="00820B1C">
        <w:rPr>
          <w:rStyle w:val="af6"/>
          <w:rFonts w:eastAsia="Guttman Hodes"/>
          <w:rtl/>
        </w:rPr>
        <w:instrText xml:space="preserve"> </w:instrText>
      </w:r>
      <w:r w:rsidRPr="00820B1C">
        <w:rPr>
          <w:rStyle w:val="af6"/>
          <w:rFonts w:eastAsia="Guttman Hodes"/>
          <w:rtl/>
        </w:rPr>
      </w:r>
      <w:r w:rsidRPr="00820B1C">
        <w:rPr>
          <w:rStyle w:val="af6"/>
          <w:rFonts w:eastAsia="Guttman Hodes"/>
          <w:rtl/>
        </w:rPr>
        <w:fldChar w:fldCharType="separate"/>
      </w:r>
      <w:r w:rsidR="004D1C5B">
        <w:rPr>
          <w:rStyle w:val="af6"/>
          <w:rFonts w:eastAsia="Guttman Hodes"/>
          <w:cs/>
        </w:rPr>
        <w:t>‎</w:t>
      </w:r>
      <w:r w:rsidR="004D1C5B">
        <w:rPr>
          <w:rStyle w:val="af6"/>
          <w:rFonts w:eastAsia="Guttman Hodes"/>
          <w:rtl/>
        </w:rPr>
        <w:t>יא)</w:t>
      </w:r>
      <w:r w:rsidRPr="00820B1C">
        <w:rPr>
          <w:rStyle w:val="af6"/>
          <w:rFonts w:eastAsia="Guttman Hodes"/>
          <w:rtl/>
        </w:rPr>
        <w:fldChar w:fldCharType="end"/>
      </w:r>
      <w:r>
        <w:rPr>
          <w:rFonts w:hint="cs"/>
          <w:rtl/>
        </w:rPr>
        <w:t xml:space="preserve"> </w:t>
      </w:r>
      <w:r w:rsidRPr="003E04EC">
        <w:rPr>
          <w:rFonts w:hint="cs"/>
          <w:rtl/>
        </w:rPr>
        <w:t>בדין חוזר וניעור, דחשיב שהוכר האיסור</w:t>
      </w:r>
      <w:r>
        <w:rPr>
          <w:rFonts w:hint="cs"/>
          <w:rtl/>
        </w:rPr>
        <w:t xml:space="preserve">, </w:t>
      </w:r>
      <w:r w:rsidRPr="003E04EC">
        <w:rPr>
          <w:rFonts w:hint="cs"/>
          <w:rtl/>
        </w:rPr>
        <w:t xml:space="preserve">והאופן הב' כתב </w:t>
      </w:r>
      <w:r w:rsidRPr="003E04EC">
        <w:rPr>
          <w:rStyle w:val="af8"/>
          <w:rFonts w:hint="cs"/>
          <w:rtl/>
        </w:rPr>
        <w:t>בשיעורי רבי אלחנן</w:t>
      </w:r>
      <w:r w:rsidRPr="003E04EC">
        <w:rPr>
          <w:rFonts w:hint="cs"/>
          <w:rtl/>
        </w:rPr>
        <w:t xml:space="preserve"> דאפש"ל דבביטול ברוב, האיסור אינו מתבטל ונעשה היתר לעולם, אלא הוא היתר שמתחדש בכל רגע, כיון שבכל רגע שהוא בתערובת ובטל ברוב ההיתר, יש בו סיבת היתר</w:t>
      </w:r>
      <w:r>
        <w:rPr>
          <w:rFonts w:hint="cs"/>
          <w:rtl/>
        </w:rPr>
        <w:t xml:space="preserve">, </w:t>
      </w:r>
      <w:r w:rsidRPr="003E04EC">
        <w:rPr>
          <w:rFonts w:hint="cs"/>
          <w:rtl/>
        </w:rPr>
        <w:t xml:space="preserve">וכתב </w:t>
      </w:r>
      <w:r w:rsidRPr="003E04EC">
        <w:rPr>
          <w:rStyle w:val="af8"/>
          <w:rFonts w:hint="cs"/>
          <w:rtl/>
        </w:rPr>
        <w:t>בשיעורי רבי אלחנן</w:t>
      </w:r>
      <w:r w:rsidRPr="003E04EC">
        <w:rPr>
          <w:rFonts w:hint="cs"/>
          <w:rtl/>
        </w:rPr>
        <w:t xml:space="preserve"> </w:t>
      </w:r>
      <w:r>
        <w:rPr>
          <w:rFonts w:hint="cs"/>
          <w:rtl/>
        </w:rPr>
        <w:t>ד</w:t>
      </w:r>
      <w:r w:rsidRPr="003E04EC">
        <w:rPr>
          <w:rFonts w:hint="cs"/>
          <w:rtl/>
        </w:rPr>
        <w:t>א"כ כשהוסיף איסור לתערובת, ואין רוב היתר ממילא אמרינן דהאיסור חוזר וניעור, דכיון שאין רוב היתר אין את מה שיתיר אותו, ומה שהותר לפני שהוסיף איסור, אינו סיבה להתירו עכשיו כשאין רוב היתר.</w:t>
      </w:r>
      <w:bookmarkEnd w:id="15287"/>
    </w:p>
    <w:p w:rsidR="003A5D2C" w:rsidRPr="00926966" w:rsidRDefault="003A5D2C" w:rsidP="003A5D2C">
      <w:pPr>
        <w:pStyle w:val="1"/>
        <w:rPr>
          <w:rtl/>
        </w:rPr>
      </w:pPr>
      <w:bookmarkStart w:id="15288" w:name="_Toc25524690"/>
      <w:bookmarkStart w:id="15289" w:name="_Toc25536190"/>
      <w:bookmarkStart w:id="15290" w:name="_Toc25571242"/>
      <w:bookmarkStart w:id="15291" w:name="_Toc25572724"/>
      <w:bookmarkStart w:id="15292" w:name="_Toc25572959"/>
      <w:r>
        <w:rPr>
          <w:rFonts w:hint="cs"/>
          <w:rtl/>
        </w:rPr>
        <w:t>דברי הקוב"ש דנ"מ בין הביאורים אי במחצה אמרינן חוזר וניעור</w:t>
      </w:r>
      <w:bookmarkEnd w:id="15288"/>
      <w:bookmarkEnd w:id="15289"/>
      <w:bookmarkEnd w:id="15290"/>
      <w:bookmarkEnd w:id="15291"/>
      <w:bookmarkEnd w:id="15292"/>
    </w:p>
    <w:p w:rsidR="003A5D2C" w:rsidRPr="00926966" w:rsidRDefault="003A5D2C" w:rsidP="003A5D2C">
      <w:pPr>
        <w:pStyle w:val="a2"/>
      </w:pPr>
      <w:bookmarkStart w:id="15293" w:name="_Toc25524691"/>
      <w:bookmarkStart w:id="15294" w:name="_Toc25536191"/>
      <w:bookmarkStart w:id="15295" w:name="_Toc25571243"/>
      <w:bookmarkStart w:id="15296" w:name="_Toc25572725"/>
      <w:bookmarkStart w:id="15297" w:name="_Toc25572960"/>
      <w:r>
        <w:rPr>
          <w:rFonts w:hint="cs"/>
          <w:rtl/>
        </w:rPr>
        <w:t>דברי הקוב"ש דאי חוזר וניעור כהוכר האיסור א"כ רק ברוב איסור חוזר וניעור ולא במחצה איסור</w:t>
      </w:r>
      <w:bookmarkEnd w:id="15293"/>
      <w:bookmarkEnd w:id="15294"/>
      <w:bookmarkEnd w:id="15295"/>
      <w:bookmarkEnd w:id="15296"/>
      <w:bookmarkEnd w:id="15297"/>
      <w:r>
        <w:rPr>
          <w:rFonts w:hint="cs"/>
          <w:rtl/>
        </w:rPr>
        <w:t xml:space="preserve"> </w:t>
      </w:r>
    </w:p>
    <w:p w:rsidR="003A5D2C" w:rsidRDefault="003A5D2C" w:rsidP="009F44AF">
      <w:pPr>
        <w:pStyle w:val="a"/>
        <w:rPr>
          <w:rtl/>
        </w:rPr>
      </w:pPr>
      <w:r>
        <w:rPr>
          <w:rFonts w:hint="cs"/>
          <w:rtl/>
        </w:rPr>
        <w:t xml:space="preserve">וכתב </w:t>
      </w:r>
      <w:r w:rsidRPr="003E04EC">
        <w:rPr>
          <w:rStyle w:val="af8"/>
          <w:rFonts w:hint="cs"/>
          <w:rtl/>
        </w:rPr>
        <w:t>הקוב"ש</w:t>
      </w:r>
      <w:r w:rsidRPr="003E04EC">
        <w:rPr>
          <w:rFonts w:hint="cs"/>
          <w:rtl/>
        </w:rPr>
        <w:t xml:space="preserve"> </w:t>
      </w:r>
      <w:r w:rsidRPr="003E04EC">
        <w:rPr>
          <w:rStyle w:val="af6"/>
          <w:rFonts w:eastAsia="Guttman Hodes" w:hint="cs"/>
          <w:rtl/>
        </w:rPr>
        <w:t>(ח"ב קובץ שמועות חולין ל"ו ד"ה ובאמת)</w:t>
      </w:r>
      <w:r w:rsidRPr="003E04EC">
        <w:rPr>
          <w:rFonts w:hint="cs"/>
          <w:rtl/>
        </w:rPr>
        <w:t xml:space="preserve"> </w:t>
      </w:r>
      <w:r>
        <w:rPr>
          <w:rFonts w:hint="cs"/>
          <w:rtl/>
        </w:rPr>
        <w:t xml:space="preserve">דהנ"מ אי הטעם דחוזר וניעור הוא כדכתב </w:t>
      </w:r>
      <w:r>
        <w:rPr>
          <w:rStyle w:val="af8"/>
          <w:rtl/>
        </w:rPr>
        <w:t>הרא"ש</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Ref25508582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4D1C5B">
        <w:rPr>
          <w:rStyle w:val="af6"/>
          <w:rFonts w:eastAsiaTheme="minorHAnsi" w:hint="eastAsia"/>
          <w:cs/>
        </w:rPr>
        <w:t>‎</w:t>
      </w:r>
      <w:r w:rsidR="004D1C5B">
        <w:rPr>
          <w:rStyle w:val="af6"/>
          <w:rFonts w:eastAsiaTheme="minorHAnsi" w:hint="eastAsia"/>
          <w:rtl/>
        </w:rPr>
        <w:t>יא</w:t>
      </w:r>
      <w:r w:rsidR="004D1C5B">
        <w:rPr>
          <w:rStyle w:val="af6"/>
          <w:rFonts w:eastAsiaTheme="minorHAnsi"/>
          <w:rtl/>
        </w:rPr>
        <w:t>)</w:t>
      </w:r>
      <w:r>
        <w:rPr>
          <w:rStyle w:val="af6"/>
          <w:rFonts w:eastAsiaTheme="minorHAnsi" w:hint="cs"/>
          <w:rtl/>
        </w:rPr>
        <w:fldChar w:fldCharType="end"/>
      </w:r>
      <w:r>
        <w:rPr>
          <w:rtl/>
        </w:rPr>
        <w:t xml:space="preserve"> </w:t>
      </w:r>
      <w:r>
        <w:rPr>
          <w:rFonts w:hint="cs"/>
          <w:rtl/>
        </w:rPr>
        <w:t>דהוכר האיסור, או שבטלה סיבת האיסור, היא במקום שהוסיף איסור ויש מחצה היתר ומחצה איסור, אך אין רוב איסור, דאי הטעם הוא דחשיב שהוכר האיסור, א"כ במחצה על מחצה, לא אמרינן חוזר וניעור, דרק ברוב איסור חשיב שניכר האיסור</w:t>
      </w:r>
      <w:r>
        <w:rPr>
          <w:rStyle w:val="af0"/>
          <w:rtl/>
        </w:rPr>
        <w:footnoteReference w:id="77"/>
      </w:r>
      <w:r>
        <w:rPr>
          <w:rFonts w:hint="cs"/>
          <w:rtl/>
        </w:rPr>
        <w:t>.</w:t>
      </w:r>
    </w:p>
    <w:p w:rsidR="003A5D2C" w:rsidRPr="00926966" w:rsidRDefault="003A5D2C" w:rsidP="003A5D2C">
      <w:pPr>
        <w:pStyle w:val="a2"/>
      </w:pPr>
      <w:bookmarkStart w:id="15298" w:name="_Toc25524692"/>
      <w:bookmarkStart w:id="15299" w:name="_Toc25536192"/>
      <w:bookmarkStart w:id="15300" w:name="_Toc25571244"/>
      <w:bookmarkStart w:id="15301" w:name="_Toc25572726"/>
      <w:bookmarkStart w:id="15302" w:name="_Toc25572961"/>
      <w:r>
        <w:rPr>
          <w:rFonts w:hint="cs"/>
          <w:rtl/>
        </w:rPr>
        <w:t>דברי הקוב"ש דאי הטעם דחוזר וניעור דבטלה סיבת האיסור א"כ אף במחצה אמרינן חוזר וניעור</w:t>
      </w:r>
      <w:bookmarkEnd w:id="15298"/>
      <w:bookmarkEnd w:id="15299"/>
      <w:bookmarkEnd w:id="15300"/>
      <w:bookmarkEnd w:id="15301"/>
      <w:bookmarkEnd w:id="15302"/>
    </w:p>
    <w:p w:rsidR="003A5D2C" w:rsidRDefault="003A5D2C" w:rsidP="009F44AF">
      <w:pPr>
        <w:pStyle w:val="a"/>
        <w:rPr>
          <w:rtl/>
        </w:rPr>
      </w:pPr>
      <w:r>
        <w:rPr>
          <w:rFonts w:hint="cs"/>
          <w:rtl/>
        </w:rPr>
        <w:t xml:space="preserve">אבל אי הטעם שבטלה סיבת האיסור, כיון שאין רוב היתר, כתב </w:t>
      </w:r>
      <w:r w:rsidRPr="00384F69">
        <w:rPr>
          <w:rStyle w:val="af8"/>
          <w:rFonts w:hint="cs"/>
          <w:rtl/>
        </w:rPr>
        <w:t>הקוב"ש</w:t>
      </w:r>
      <w:r>
        <w:rPr>
          <w:rFonts w:hint="cs"/>
          <w:rtl/>
        </w:rPr>
        <w:t xml:space="preserve"> דא"כ אף במחצה על מחצה, אמרינן דהאיסור חוזר וניעור, וכעי"ז כתב </w:t>
      </w:r>
      <w:r w:rsidRPr="006B7C40">
        <w:rPr>
          <w:rStyle w:val="af8"/>
          <w:rFonts w:hint="cs"/>
          <w:rtl/>
        </w:rPr>
        <w:t>בשיעורי רבי אלחנן</w:t>
      </w:r>
      <w:r w:rsidRPr="006B7C40">
        <w:rPr>
          <w:rStyle w:val="af6"/>
          <w:rFonts w:eastAsia="Guttman Hodes" w:hint="cs"/>
          <w:rtl/>
        </w:rPr>
        <w:t xml:space="preserve"> (חולין סי' י"ז א' ד"ה ואיכא) </w:t>
      </w:r>
      <w:r w:rsidRPr="006B7C40">
        <w:rPr>
          <w:rFonts w:hint="cs"/>
          <w:rtl/>
        </w:rPr>
        <w:t xml:space="preserve">דאי הטעם </w:t>
      </w:r>
      <w:r>
        <w:rPr>
          <w:rFonts w:hint="cs"/>
          <w:rtl/>
        </w:rPr>
        <w:t xml:space="preserve">דחוזר וניעור הוא </w:t>
      </w:r>
      <w:r w:rsidRPr="006B7C40">
        <w:rPr>
          <w:rFonts w:hint="cs"/>
          <w:rtl/>
        </w:rPr>
        <w:t>מחמת שבביטול ברוב ההיתר מתחדש בכל רגע, א"כ אף במחצה על מחצה, אמרינן דהאיסור חוזר וניעור, כיון שעכשיו אין רוב היתר</w:t>
      </w:r>
      <w:r>
        <w:rPr>
          <w:rFonts w:hint="cs"/>
          <w:rtl/>
        </w:rPr>
        <w:t>.</w:t>
      </w:r>
    </w:p>
    <w:p w:rsidR="003A5D2C" w:rsidRDefault="003A5D2C" w:rsidP="003A5D2C">
      <w:pPr>
        <w:pStyle w:val="1"/>
        <w:rPr>
          <w:rtl/>
        </w:rPr>
      </w:pPr>
      <w:bookmarkStart w:id="15303" w:name="_Toc25571231"/>
      <w:bookmarkStart w:id="15304" w:name="_Toc25572710"/>
      <w:bookmarkStart w:id="15305" w:name="_Toc25572962"/>
      <w:bookmarkStart w:id="15306" w:name="_Toc24403402"/>
      <w:bookmarkStart w:id="15307" w:name="_Toc24455870"/>
      <w:bookmarkStart w:id="15308" w:name="_Toc24576863"/>
      <w:bookmarkStart w:id="15309" w:name="_Toc24709447"/>
      <w:bookmarkStart w:id="15310" w:name="_Toc24839058"/>
      <w:bookmarkStart w:id="15311" w:name="_Toc25053790"/>
      <w:bookmarkStart w:id="15312" w:name="_Toc25184792"/>
      <w:bookmarkStart w:id="15313" w:name="_Toc25317262"/>
      <w:bookmarkStart w:id="15314" w:name="_Toc25488236"/>
      <w:bookmarkStart w:id="15315" w:name="_Toc25524679"/>
      <w:bookmarkStart w:id="15316" w:name="_Toc25536178"/>
      <w:bookmarkStart w:id="15317" w:name="_Toc25571228"/>
      <w:bookmarkStart w:id="15318" w:name="_Toc25572704"/>
      <w:bookmarkStart w:id="15319" w:name="_Toc25524693"/>
      <w:bookmarkStart w:id="15320" w:name="_Toc25536193"/>
      <w:bookmarkStart w:id="15321" w:name="_Toc25571245"/>
      <w:bookmarkStart w:id="15322" w:name="_Toc25572727"/>
      <w:r>
        <w:rPr>
          <w:rFonts w:hint="cs"/>
          <w:rtl/>
        </w:rPr>
        <w:lastRenderedPageBreak/>
        <w:t>קושית המשנת ר"א</w:t>
      </w:r>
      <w:bookmarkEnd w:id="15303"/>
      <w:r>
        <w:rPr>
          <w:rFonts w:hint="cs"/>
          <w:rtl/>
        </w:rPr>
        <w:t xml:space="preserve"> דלקולא פשיטא דאמרינן חוזר וניעור</w:t>
      </w:r>
      <w:bookmarkEnd w:id="15304"/>
      <w:bookmarkEnd w:id="15305"/>
    </w:p>
    <w:p w:rsidR="003A5D2C" w:rsidRDefault="003A5D2C" w:rsidP="003A5D2C">
      <w:pPr>
        <w:pStyle w:val="a2"/>
      </w:pPr>
      <w:bookmarkStart w:id="15323" w:name="_Toc25572711"/>
      <w:bookmarkStart w:id="15324" w:name="_Toc25572963"/>
      <w:r>
        <w:rPr>
          <w:rFonts w:hint="cs"/>
          <w:rtl/>
        </w:rPr>
        <w:t>קושית המשנת ר"א דהיתר שבטל באיסור לא נאסר מעולם ופשיטא דבהוסיף היתר חוזר וניעור</w:t>
      </w:r>
      <w:bookmarkEnd w:id="15323"/>
      <w:bookmarkEnd w:id="15324"/>
    </w:p>
    <w:p w:rsidR="003A5D2C" w:rsidRDefault="003A5D2C" w:rsidP="009F44AF">
      <w:pPr>
        <w:pStyle w:val="a"/>
        <w:rPr>
          <w:rtl/>
        </w:rPr>
      </w:pPr>
      <w:bookmarkStart w:id="15325" w:name="_Ref25570493"/>
      <w:r>
        <w:rPr>
          <w:rFonts w:hint="cs"/>
          <w:rtl/>
        </w:rPr>
        <w:t xml:space="preserve">במ"ש </w:t>
      </w:r>
      <w:r w:rsidRPr="00C22F10">
        <w:rPr>
          <w:rStyle w:val="af8"/>
          <w:rFonts w:hint="cs"/>
          <w:rtl/>
        </w:rPr>
        <w:t>הרא"ש</w:t>
      </w:r>
      <w:r>
        <w:rPr>
          <w:rFonts w:hint="cs"/>
          <w:rtl/>
        </w:rPr>
        <w:t xml:space="preserve"> </w:t>
      </w:r>
      <w:r w:rsidRPr="00EB4B7F">
        <w:rPr>
          <w:rStyle w:val="af6"/>
          <w:rFonts w:eastAsia="Guttman Hodes" w:hint="cs"/>
          <w:rtl/>
        </w:rPr>
        <w:t xml:space="preserve">(עי' אות </w:t>
      </w:r>
      <w:r w:rsidRPr="00EB4B7F">
        <w:rPr>
          <w:rStyle w:val="af6"/>
          <w:rFonts w:eastAsia="Guttman Hodes"/>
          <w:rtl/>
        </w:rPr>
        <w:fldChar w:fldCharType="begin"/>
      </w:r>
      <w:r w:rsidRPr="00EB4B7F">
        <w:rPr>
          <w:rStyle w:val="af6"/>
          <w:rFonts w:eastAsia="Guttman Hodes"/>
          <w:rtl/>
        </w:rPr>
        <w:instrText xml:space="preserve"> </w:instrText>
      </w:r>
      <w:r w:rsidRPr="00EB4B7F">
        <w:rPr>
          <w:rStyle w:val="af6"/>
          <w:rFonts w:eastAsia="Guttman Hodes" w:hint="cs"/>
        </w:rPr>
        <w:instrText>REF</w:instrText>
      </w:r>
      <w:r w:rsidRPr="00EB4B7F">
        <w:rPr>
          <w:rStyle w:val="af6"/>
          <w:rFonts w:eastAsia="Guttman Hodes" w:hint="cs"/>
          <w:rtl/>
        </w:rPr>
        <w:instrText xml:space="preserve"> _</w:instrText>
      </w:r>
      <w:r w:rsidRPr="00EB4B7F">
        <w:rPr>
          <w:rStyle w:val="af6"/>
          <w:rFonts w:eastAsia="Guttman Hodes" w:hint="cs"/>
        </w:rPr>
        <w:instrText>Ref25570083 \r \h</w:instrText>
      </w:r>
      <w:r w:rsidRPr="00EB4B7F">
        <w:rPr>
          <w:rStyle w:val="af6"/>
          <w:rFonts w:eastAsia="Guttman Hodes"/>
          <w:rtl/>
        </w:rPr>
        <w:instrText xml:space="preserve"> </w:instrText>
      </w:r>
      <w:r w:rsidRPr="00EB4B7F">
        <w:rPr>
          <w:rStyle w:val="af6"/>
          <w:rFonts w:eastAsia="Guttman Hodes"/>
          <w:rtl/>
        </w:rPr>
      </w:r>
      <w:r w:rsidRPr="00EB4B7F">
        <w:rPr>
          <w:rStyle w:val="af6"/>
          <w:rFonts w:eastAsia="Guttman Hodes"/>
          <w:rtl/>
        </w:rPr>
        <w:fldChar w:fldCharType="separate"/>
      </w:r>
      <w:r w:rsidR="004D1C5B">
        <w:rPr>
          <w:rStyle w:val="af6"/>
          <w:rFonts w:eastAsia="Guttman Hodes"/>
          <w:cs/>
        </w:rPr>
        <w:t>‎</w:t>
      </w:r>
      <w:r w:rsidR="004D1C5B">
        <w:rPr>
          <w:rStyle w:val="af6"/>
          <w:rFonts w:eastAsia="Guttman Hodes"/>
          <w:rtl/>
        </w:rPr>
        <w:t>ז)</w:t>
      </w:r>
      <w:r w:rsidRPr="00EB4B7F">
        <w:rPr>
          <w:rStyle w:val="af6"/>
          <w:rFonts w:eastAsia="Guttman Hodes"/>
          <w:rtl/>
        </w:rPr>
        <w:fldChar w:fldCharType="end"/>
      </w:r>
      <w:r>
        <w:rPr>
          <w:rFonts w:hint="cs"/>
          <w:rtl/>
        </w:rPr>
        <w:t xml:space="preserve"> דאף לקולא אמרינן דחוזר וניעור, וכדמוכח במשנה בתרומה, הקשה </w:t>
      </w:r>
      <w:r w:rsidRPr="00C22F10">
        <w:rPr>
          <w:rStyle w:val="af8"/>
          <w:rFonts w:hint="cs"/>
          <w:rtl/>
        </w:rPr>
        <w:t>המשנת ר"</w:t>
      </w:r>
      <w:r>
        <w:rPr>
          <w:rFonts w:hint="cs"/>
          <w:rtl/>
        </w:rPr>
        <w:t xml:space="preserve">א </w:t>
      </w:r>
      <w:r w:rsidRPr="00C22F10">
        <w:rPr>
          <w:rStyle w:val="af6"/>
          <w:rFonts w:eastAsia="Guttman Hodes" w:hint="cs"/>
          <w:rtl/>
        </w:rPr>
        <w:t>(חולין סי' ח' ג')</w:t>
      </w:r>
      <w:r>
        <w:rPr>
          <w:rFonts w:hint="cs"/>
          <w:rtl/>
        </w:rPr>
        <w:t xml:space="preserve"> דלקולא ודאי דמצא מין את מינו וניעור דהא איירי ביבש ביבש, </w:t>
      </w:r>
      <w:r w:rsidRPr="00C22F10">
        <w:rPr>
          <w:rStyle w:val="afa"/>
          <w:rFonts w:hint="cs"/>
          <w:rtl/>
        </w:rPr>
        <w:t>[ואילו בלח בלח כתב המשנת ר"א דאמרינן דחתיכה נעשית נבילה וההיתר נהפך לאיסור ולא מהני כשמוסיף אח"כ היתר],</w:t>
      </w:r>
      <w:r>
        <w:rPr>
          <w:rFonts w:hint="cs"/>
          <w:rtl/>
        </w:rPr>
        <w:t xml:space="preserve"> וביבש הרי ההיתר לא נאסר מעולם, אלא שהוא לא התבטל ברוב, וכל מה שהתערובת אסורה, אינו מחמת שההיתר ג"כ אסור, אלא דכשאוכל את התערובת הוא אוכל גם את האיסור שמעורב בה, וא"כ כשהוסיף היתר על התערובת, פשיטא שההיתר שהתבטל ברוב האיסור חוזר וניעור, דהוא עצמו היה מותר, אבל באיסור שהתבטל ברוב, דס"ל </w:t>
      </w:r>
      <w:r w:rsidRPr="00C22F10">
        <w:rPr>
          <w:rStyle w:val="af8"/>
          <w:rFonts w:hint="cs"/>
          <w:rtl/>
        </w:rPr>
        <w:t>להרא"ש</w:t>
      </w:r>
      <w:r>
        <w:rPr>
          <w:rFonts w:hint="cs"/>
          <w:rtl/>
        </w:rPr>
        <w:t xml:space="preserve"> </w:t>
      </w:r>
      <w:r w:rsidRPr="00EB4B7F">
        <w:rPr>
          <w:rStyle w:val="af6"/>
          <w:rFonts w:eastAsia="Guttman Hodes" w:hint="cs"/>
          <w:rtl/>
        </w:rPr>
        <w:t xml:space="preserve">(עי' אות </w:t>
      </w:r>
      <w:r w:rsidRPr="00EB4B7F">
        <w:rPr>
          <w:rStyle w:val="af6"/>
          <w:rFonts w:eastAsia="Guttman Hodes"/>
          <w:rtl/>
        </w:rPr>
        <w:fldChar w:fldCharType="begin"/>
      </w:r>
      <w:r w:rsidRPr="00EB4B7F">
        <w:rPr>
          <w:rStyle w:val="af6"/>
          <w:rFonts w:eastAsia="Guttman Hodes"/>
          <w:rtl/>
        </w:rPr>
        <w:instrText xml:space="preserve"> </w:instrText>
      </w:r>
      <w:r w:rsidRPr="00EB4B7F">
        <w:rPr>
          <w:rStyle w:val="af6"/>
          <w:rFonts w:eastAsia="Guttman Hodes" w:hint="cs"/>
        </w:rPr>
        <w:instrText>REF</w:instrText>
      </w:r>
      <w:r w:rsidRPr="00EB4B7F">
        <w:rPr>
          <w:rStyle w:val="af6"/>
          <w:rFonts w:eastAsia="Guttman Hodes" w:hint="cs"/>
          <w:rtl/>
        </w:rPr>
        <w:instrText xml:space="preserve"> _</w:instrText>
      </w:r>
      <w:r w:rsidRPr="00EB4B7F">
        <w:rPr>
          <w:rStyle w:val="af6"/>
          <w:rFonts w:eastAsia="Guttman Hodes" w:hint="cs"/>
        </w:rPr>
        <w:instrText>Ref24902820 \r \h</w:instrText>
      </w:r>
      <w:r w:rsidRPr="00EB4B7F">
        <w:rPr>
          <w:rStyle w:val="af6"/>
          <w:rFonts w:eastAsia="Guttman Hodes"/>
          <w:rtl/>
        </w:rPr>
        <w:instrText xml:space="preserve"> </w:instrText>
      </w:r>
      <w:r w:rsidRPr="00EB4B7F">
        <w:rPr>
          <w:rStyle w:val="af6"/>
          <w:rFonts w:eastAsia="Guttman Hodes"/>
          <w:rtl/>
        </w:rPr>
      </w:r>
      <w:r w:rsidRPr="00EB4B7F">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EB4B7F">
        <w:rPr>
          <w:rStyle w:val="af6"/>
          <w:rFonts w:eastAsia="Guttman Hodes"/>
          <w:rtl/>
        </w:rPr>
        <w:fldChar w:fldCharType="end"/>
      </w:r>
      <w:r>
        <w:rPr>
          <w:rFonts w:hint="cs"/>
          <w:rtl/>
        </w:rPr>
        <w:t xml:space="preserve"> דהאיסור נהפך להיתר, הוא חידוש דאמרינן דחוזר וניעור, ושוב נהפך לאיסור, וא"כ היאך הוכיח </w:t>
      </w:r>
      <w:r w:rsidRPr="00C22F10">
        <w:rPr>
          <w:rStyle w:val="af8"/>
          <w:rFonts w:hint="cs"/>
          <w:rtl/>
        </w:rPr>
        <w:t>הרא"ש</w:t>
      </w:r>
      <w:r>
        <w:rPr>
          <w:rFonts w:hint="cs"/>
          <w:rtl/>
        </w:rPr>
        <w:t xml:space="preserve"> מהא דלקולא אמרינן דחוזר וניעור, דאף לחומרא חוזר וניעור. וכבר</w:t>
      </w:r>
      <w:r w:rsidRPr="0005175B">
        <w:rPr>
          <w:rtl/>
        </w:rPr>
        <w:t xml:space="preserve"> </w:t>
      </w:r>
      <w:r>
        <w:rPr>
          <w:rtl/>
        </w:rPr>
        <w:t>הקשה</w:t>
      </w:r>
      <w:r>
        <w:rPr>
          <w:rFonts w:hint="cs"/>
          <w:rtl/>
        </w:rPr>
        <w:t xml:space="preserve"> כן</w:t>
      </w:r>
      <w:r>
        <w:rPr>
          <w:rtl/>
        </w:rPr>
        <w:t xml:space="preserve"> </w:t>
      </w:r>
      <w:r>
        <w:rPr>
          <w:rStyle w:val="af8"/>
          <w:rtl/>
        </w:rPr>
        <w:t>המהר"ם מרוטנבורג בתשו'</w:t>
      </w:r>
      <w:r>
        <w:rPr>
          <w:rtl/>
        </w:rPr>
        <w:t xml:space="preserve"> </w:t>
      </w:r>
      <w:r w:rsidRPr="00EB4B7F">
        <w:rPr>
          <w:rStyle w:val="af6"/>
          <w:rFonts w:eastAsia="Guttman Hodes" w:hint="cs"/>
          <w:rtl/>
        </w:rPr>
        <w:t xml:space="preserve">(עי' אות </w:t>
      </w:r>
      <w:r w:rsidRPr="00EB4B7F">
        <w:rPr>
          <w:rStyle w:val="af6"/>
          <w:rFonts w:eastAsia="Guttman Hodes"/>
          <w:rtl/>
        </w:rPr>
        <w:fldChar w:fldCharType="begin"/>
      </w:r>
      <w:r w:rsidRPr="00EB4B7F">
        <w:rPr>
          <w:rStyle w:val="af6"/>
          <w:rFonts w:eastAsia="Guttman Hodes"/>
          <w:rtl/>
        </w:rPr>
        <w:instrText xml:space="preserve"> </w:instrText>
      </w:r>
      <w:r w:rsidRPr="00EB4B7F">
        <w:rPr>
          <w:rStyle w:val="af6"/>
          <w:rFonts w:eastAsia="Guttman Hodes" w:hint="cs"/>
        </w:rPr>
        <w:instrText>REF</w:instrText>
      </w:r>
      <w:r w:rsidRPr="00EB4B7F">
        <w:rPr>
          <w:rStyle w:val="af6"/>
          <w:rFonts w:eastAsia="Guttman Hodes" w:hint="cs"/>
          <w:rtl/>
        </w:rPr>
        <w:instrText xml:space="preserve"> _</w:instrText>
      </w:r>
      <w:r w:rsidRPr="00EB4B7F">
        <w:rPr>
          <w:rStyle w:val="af6"/>
          <w:rFonts w:eastAsia="Guttman Hodes" w:hint="cs"/>
        </w:rPr>
        <w:instrText>Ref25570100 \r \h</w:instrText>
      </w:r>
      <w:r w:rsidRPr="00EB4B7F">
        <w:rPr>
          <w:rStyle w:val="af6"/>
          <w:rFonts w:eastAsia="Guttman Hodes"/>
          <w:rtl/>
        </w:rPr>
        <w:instrText xml:space="preserve"> </w:instrText>
      </w:r>
      <w:r w:rsidRPr="00EB4B7F">
        <w:rPr>
          <w:rStyle w:val="af6"/>
          <w:rFonts w:eastAsia="Guttman Hodes"/>
          <w:rtl/>
        </w:rPr>
      </w:r>
      <w:r w:rsidRPr="00EB4B7F">
        <w:rPr>
          <w:rStyle w:val="af6"/>
          <w:rFonts w:eastAsia="Guttman Hodes"/>
          <w:rtl/>
        </w:rPr>
        <w:fldChar w:fldCharType="separate"/>
      </w:r>
      <w:r w:rsidR="004D1C5B">
        <w:rPr>
          <w:rStyle w:val="af6"/>
          <w:rFonts w:eastAsia="Guttman Hodes"/>
          <w:cs/>
        </w:rPr>
        <w:t>‎</w:t>
      </w:r>
      <w:r w:rsidR="004D1C5B">
        <w:rPr>
          <w:rStyle w:val="af6"/>
          <w:rFonts w:eastAsia="Guttman Hodes"/>
          <w:rtl/>
        </w:rPr>
        <w:t>ח)</w:t>
      </w:r>
      <w:r w:rsidRPr="00EB4B7F">
        <w:rPr>
          <w:rStyle w:val="af6"/>
          <w:rFonts w:eastAsia="Guttman Hodes"/>
          <w:rtl/>
        </w:rPr>
        <w:fldChar w:fldCharType="end"/>
      </w:r>
      <w:r>
        <w:rPr>
          <w:rFonts w:hint="cs"/>
          <w:rtl/>
        </w:rPr>
        <w:t>.</w:t>
      </w:r>
      <w:bookmarkEnd w:id="15325"/>
    </w:p>
    <w:p w:rsidR="003A5D2C" w:rsidRDefault="003A5D2C" w:rsidP="003A5D2C">
      <w:pPr>
        <w:pStyle w:val="a2"/>
        <w:rPr>
          <w:rtl/>
        </w:rPr>
      </w:pPr>
      <w:bookmarkStart w:id="15326" w:name="_Toc25572712"/>
      <w:bookmarkStart w:id="15327" w:name="_Toc25572964"/>
      <w:r>
        <w:rPr>
          <w:rFonts w:hint="cs"/>
          <w:rtl/>
        </w:rPr>
        <w:t>ביאור המשנת ר"א דהרא"ש הביא ראיה מתרומה ובתרומה התערובת אסורה מדין ודאי</w:t>
      </w:r>
      <w:bookmarkEnd w:id="15326"/>
      <w:bookmarkEnd w:id="15327"/>
    </w:p>
    <w:p w:rsidR="003A5D2C" w:rsidRDefault="003A5D2C" w:rsidP="009F44AF">
      <w:pPr>
        <w:pStyle w:val="a"/>
        <w:rPr>
          <w:rtl/>
        </w:rPr>
      </w:pPr>
      <w:bookmarkStart w:id="15328" w:name="_Ref25570512"/>
      <w:r>
        <w:rPr>
          <w:rFonts w:hint="cs"/>
          <w:rtl/>
        </w:rPr>
        <w:t xml:space="preserve">אלא כתב </w:t>
      </w:r>
      <w:r w:rsidRPr="00C22F10">
        <w:rPr>
          <w:rStyle w:val="af8"/>
          <w:rFonts w:hint="cs"/>
          <w:rtl/>
        </w:rPr>
        <w:t>המשנת ר"א דהרא"ש</w:t>
      </w:r>
      <w:r>
        <w:rPr>
          <w:rFonts w:hint="cs"/>
          <w:rtl/>
        </w:rPr>
        <w:t xml:space="preserve"> הביא ראיה מדין תרומה, ובתרומה הדין הוא שכל התערובת אסורה מדין ודאי, [וציין </w:t>
      </w:r>
      <w:r w:rsidRPr="00EB4B7F">
        <w:rPr>
          <w:rStyle w:val="af8"/>
          <w:rFonts w:hint="cs"/>
          <w:rtl/>
        </w:rPr>
        <w:t xml:space="preserve">המשנת ר"א </w:t>
      </w:r>
      <w:r>
        <w:rPr>
          <w:rFonts w:hint="cs"/>
          <w:rtl/>
        </w:rPr>
        <w:t xml:space="preserve">למה שביאר כן </w:t>
      </w:r>
      <w:r w:rsidRPr="00C22F10">
        <w:rPr>
          <w:rStyle w:val="af8"/>
          <w:rFonts w:hint="cs"/>
          <w:rtl/>
        </w:rPr>
        <w:t xml:space="preserve">במשנת ר"א בב"ק </w:t>
      </w:r>
      <w:r w:rsidRPr="00C22F10">
        <w:rPr>
          <w:rStyle w:val="af6"/>
          <w:rFonts w:eastAsia="Guttman Hodes" w:hint="cs"/>
          <w:rtl/>
        </w:rPr>
        <w:t xml:space="preserve">(סי' ג' או' ח' ד"ה והנראה בזה)], </w:t>
      </w:r>
      <w:r>
        <w:rPr>
          <w:rFonts w:hint="cs"/>
          <w:rtl/>
        </w:rPr>
        <w:t xml:space="preserve">וכל מה שאין בזה דין חתיכה נעשית נבילה, הוא רק לענין שאם הוסיף היתר, ההיתר חוזר וניעור, ולכן הוכיח </w:t>
      </w:r>
      <w:r w:rsidRPr="00287E72">
        <w:rPr>
          <w:rStyle w:val="af8"/>
          <w:rFonts w:hint="cs"/>
          <w:rtl/>
        </w:rPr>
        <w:t xml:space="preserve">הרא"ש </w:t>
      </w:r>
      <w:r>
        <w:rPr>
          <w:rFonts w:hint="cs"/>
          <w:rtl/>
        </w:rPr>
        <w:t>מדין תרומה לקולא, דאף לחומרא אמרינן חוזר וניעור.</w:t>
      </w:r>
      <w:bookmarkEnd w:id="15328"/>
    </w:p>
    <w:p w:rsidR="003A5D2C" w:rsidRDefault="003A5D2C" w:rsidP="003A5D2C">
      <w:pPr>
        <w:pStyle w:val="1"/>
        <w:rPr>
          <w:rtl/>
        </w:rPr>
      </w:pPr>
      <w:bookmarkStart w:id="15329" w:name="_Toc24455887"/>
      <w:bookmarkStart w:id="15330" w:name="_Toc24576880"/>
      <w:bookmarkStart w:id="15331" w:name="_Toc24709464"/>
      <w:bookmarkStart w:id="15332" w:name="_Toc24839075"/>
      <w:bookmarkStart w:id="15333" w:name="_Toc25053791"/>
      <w:bookmarkStart w:id="15334" w:name="_Toc25184793"/>
      <w:bookmarkStart w:id="15335" w:name="_Toc25317263"/>
      <w:bookmarkStart w:id="15336" w:name="_Toc25488237"/>
      <w:bookmarkStart w:id="15337" w:name="_Toc25524680"/>
      <w:bookmarkStart w:id="15338" w:name="_Toc25536179"/>
      <w:bookmarkStart w:id="15339" w:name="_Toc25571229"/>
      <w:bookmarkStart w:id="15340" w:name="_Toc25572705"/>
      <w:bookmarkStart w:id="15341" w:name="_Toc2557296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r>
        <w:rPr>
          <w:rFonts w:hint="cs"/>
          <w:rtl/>
        </w:rPr>
        <w:t>קושית השער"י והמשנת ר"א</w:t>
      </w:r>
      <w:bookmarkEnd w:id="15329"/>
      <w:bookmarkEnd w:id="15330"/>
      <w:bookmarkEnd w:id="15331"/>
      <w:bookmarkEnd w:id="15332"/>
      <w:bookmarkEnd w:id="15333"/>
      <w:bookmarkEnd w:id="15334"/>
      <w:bookmarkEnd w:id="15335"/>
      <w:bookmarkEnd w:id="15336"/>
      <w:bookmarkEnd w:id="15337"/>
      <w:bookmarkEnd w:id="15338"/>
      <w:bookmarkEnd w:id="15339"/>
      <w:bookmarkEnd w:id="15340"/>
      <w:r>
        <w:rPr>
          <w:rFonts w:hint="cs"/>
          <w:rtl/>
        </w:rPr>
        <w:t xml:space="preserve"> בסתירת הרא"ש במשנה בתרומות</w:t>
      </w:r>
      <w:bookmarkEnd w:id="15341"/>
    </w:p>
    <w:p w:rsidR="003A5D2C" w:rsidRPr="00453800" w:rsidRDefault="003A5D2C" w:rsidP="003A5D2C">
      <w:pPr>
        <w:pStyle w:val="a2"/>
        <w:rPr>
          <w:rtl/>
        </w:rPr>
      </w:pPr>
      <w:bookmarkStart w:id="15342" w:name="_Toc25572706"/>
      <w:bookmarkStart w:id="15343" w:name="_Toc25572966"/>
      <w:r>
        <w:rPr>
          <w:rFonts w:hint="cs"/>
          <w:rtl/>
        </w:rPr>
        <w:t>קושית השער"י והמשנת ר"א בסתירת דברי הרא"ש אי הרמה בתרומה גורמת איסור והיתר</w:t>
      </w:r>
      <w:bookmarkEnd w:id="15342"/>
      <w:bookmarkEnd w:id="15343"/>
    </w:p>
    <w:p w:rsidR="003A5D2C" w:rsidRDefault="003A5D2C" w:rsidP="009F44AF">
      <w:pPr>
        <w:pStyle w:val="a"/>
        <w:rPr>
          <w:rtl/>
        </w:rPr>
      </w:pPr>
      <w:r>
        <w:rPr>
          <w:rFonts w:hint="cs"/>
          <w:rtl/>
        </w:rPr>
        <w:t xml:space="preserve">הקשה </w:t>
      </w:r>
      <w:r w:rsidRPr="00186BA4">
        <w:rPr>
          <w:rStyle w:val="af8"/>
          <w:rFonts w:hint="cs"/>
          <w:rtl/>
        </w:rPr>
        <w:t>השער"י</w:t>
      </w:r>
      <w:r>
        <w:rPr>
          <w:rFonts w:hint="cs"/>
          <w:rtl/>
        </w:rPr>
        <w:t xml:space="preserve"> </w:t>
      </w:r>
      <w:r w:rsidRPr="00186BA4">
        <w:rPr>
          <w:rStyle w:val="af6"/>
          <w:rFonts w:eastAsia="Guttman Hodes" w:hint="cs"/>
          <w:rtl/>
        </w:rPr>
        <w:t>(ש"ג פי"א סוד"ה ולבאר שיטת)</w:t>
      </w:r>
      <w:r>
        <w:rPr>
          <w:rFonts w:hint="cs"/>
          <w:rtl/>
        </w:rPr>
        <w:t xml:space="preserve"> דדברי </w:t>
      </w:r>
      <w:r w:rsidRPr="00186BA4">
        <w:rPr>
          <w:rStyle w:val="af8"/>
          <w:rFonts w:hint="cs"/>
          <w:rtl/>
        </w:rPr>
        <w:t>הרא"ש</w:t>
      </w:r>
      <w:r>
        <w:rPr>
          <w:rFonts w:hint="cs"/>
          <w:rtl/>
        </w:rPr>
        <w:t xml:space="preserve"> </w:t>
      </w:r>
      <w:r w:rsidRPr="00186BA4">
        <w:rPr>
          <w:rStyle w:val="af6"/>
          <w:rFonts w:eastAsia="Guttman Hodes" w:hint="cs"/>
          <w:rtl/>
        </w:rPr>
        <w:t xml:space="preserve">(עי' אות </w:t>
      </w:r>
      <w:r w:rsidRPr="00186BA4">
        <w:rPr>
          <w:rStyle w:val="af6"/>
          <w:rFonts w:eastAsia="Guttman Hodes"/>
          <w:rtl/>
        </w:rPr>
        <w:fldChar w:fldCharType="begin"/>
      </w:r>
      <w:r w:rsidRPr="00186BA4">
        <w:rPr>
          <w:rStyle w:val="af6"/>
          <w:rFonts w:eastAsia="Guttman Hodes"/>
          <w:rtl/>
        </w:rPr>
        <w:instrText xml:space="preserve"> </w:instrText>
      </w:r>
      <w:r w:rsidRPr="00186BA4">
        <w:rPr>
          <w:rStyle w:val="af6"/>
          <w:rFonts w:eastAsia="Guttman Hodes" w:hint="cs"/>
        </w:rPr>
        <w:instrText>REF</w:instrText>
      </w:r>
      <w:r w:rsidRPr="00186BA4">
        <w:rPr>
          <w:rStyle w:val="af6"/>
          <w:rFonts w:eastAsia="Guttman Hodes" w:hint="cs"/>
          <w:rtl/>
        </w:rPr>
        <w:instrText xml:space="preserve"> _</w:instrText>
      </w:r>
      <w:r w:rsidRPr="00186BA4">
        <w:rPr>
          <w:rStyle w:val="af6"/>
          <w:rFonts w:eastAsia="Guttman Hodes" w:hint="cs"/>
        </w:rPr>
        <w:instrText>Ref25572581 \r \h</w:instrText>
      </w:r>
      <w:r w:rsidRPr="00186BA4">
        <w:rPr>
          <w:rStyle w:val="af6"/>
          <w:rFonts w:eastAsia="Guttman Hodes"/>
          <w:rtl/>
        </w:rPr>
        <w:instrText xml:space="preserve"> </w:instrText>
      </w:r>
      <w:r w:rsidRPr="00186BA4">
        <w:rPr>
          <w:rStyle w:val="af6"/>
          <w:rFonts w:eastAsia="Guttman Hodes"/>
          <w:rtl/>
        </w:rPr>
      </w:r>
      <w:r w:rsidRPr="00186BA4">
        <w:rPr>
          <w:rStyle w:val="af6"/>
          <w:rFonts w:eastAsia="Guttman Hodes"/>
          <w:rtl/>
        </w:rPr>
        <w:fldChar w:fldCharType="separate"/>
      </w:r>
      <w:r w:rsidR="004D1C5B">
        <w:rPr>
          <w:rStyle w:val="af6"/>
          <w:rFonts w:eastAsia="Guttman Hodes"/>
          <w:cs/>
        </w:rPr>
        <w:t>‎</w:t>
      </w:r>
      <w:r w:rsidR="004D1C5B">
        <w:rPr>
          <w:rStyle w:val="af6"/>
          <w:rFonts w:eastAsia="Guttman Hodes"/>
          <w:rtl/>
        </w:rPr>
        <w:t>ו)</w:t>
      </w:r>
      <w:r w:rsidRPr="00186BA4">
        <w:rPr>
          <w:rStyle w:val="af6"/>
          <w:rFonts w:eastAsia="Guttman Hodes"/>
          <w:rtl/>
        </w:rPr>
        <w:fldChar w:fldCharType="end"/>
      </w:r>
      <w:r>
        <w:rPr>
          <w:rFonts w:hint="cs"/>
          <w:rtl/>
        </w:rPr>
        <w:t xml:space="preserve"> דכתב בדעת רבנן שאין חילוק באיסור בתרומה בין לפני הרמה ללאחר ההרמה, דההרמה היא רק מחמת ממון השבט, הם סותרים למ"ש </w:t>
      </w:r>
      <w:r w:rsidRPr="00186BA4">
        <w:rPr>
          <w:rStyle w:val="af8"/>
          <w:rFonts w:hint="cs"/>
          <w:rtl/>
        </w:rPr>
        <w:t>הרא"ש</w:t>
      </w:r>
      <w:r>
        <w:rPr>
          <w:rFonts w:hint="cs"/>
          <w:rtl/>
        </w:rPr>
        <w:t xml:space="preserve"> </w:t>
      </w:r>
      <w:r w:rsidRPr="00186BA4">
        <w:rPr>
          <w:rStyle w:val="af6"/>
          <w:rFonts w:eastAsia="Guttman Hodes" w:hint="cs"/>
          <w:rtl/>
        </w:rPr>
        <w:t>(הובא בסימן י"ח אות ל"ד)</w:t>
      </w:r>
      <w:r>
        <w:rPr>
          <w:rFonts w:hint="cs"/>
          <w:rtl/>
        </w:rPr>
        <w:t xml:space="preserve"> דלרבנן ידיעת התערובת היא גורמת את ההיתר, ולפני ההרמה לא חשיב כמי שהרים, ולכן חשיב שנפלו ב' הסאות יחד</w:t>
      </w:r>
      <w:r w:rsidRPr="00F356FB">
        <w:rPr>
          <w:rFonts w:hint="cs"/>
          <w:rtl/>
        </w:rPr>
        <w:t xml:space="preserve"> </w:t>
      </w:r>
      <w:r>
        <w:rPr>
          <w:rFonts w:hint="cs"/>
          <w:rtl/>
        </w:rPr>
        <w:t xml:space="preserve">וכן הקשו </w:t>
      </w:r>
      <w:r w:rsidRPr="00F356FB">
        <w:rPr>
          <w:rStyle w:val="af8"/>
          <w:rFonts w:hint="cs"/>
          <w:rtl/>
        </w:rPr>
        <w:t>ה</w:t>
      </w:r>
      <w:r w:rsidR="00250230">
        <w:rPr>
          <w:rStyle w:val="af8"/>
          <w:rFonts w:hint="cs"/>
          <w:rtl/>
        </w:rPr>
        <w:t>פלתי</w:t>
      </w:r>
      <w:r>
        <w:rPr>
          <w:rFonts w:hint="cs"/>
          <w:rtl/>
        </w:rPr>
        <w:t xml:space="preserve"> </w:t>
      </w:r>
      <w:r w:rsidRPr="009D0D3B">
        <w:rPr>
          <w:rStyle w:val="af6"/>
          <w:rFonts w:eastAsia="Guttman Hodes" w:hint="cs"/>
          <w:rtl/>
        </w:rPr>
        <w:t xml:space="preserve">(עי' אות </w:t>
      </w:r>
      <w:r w:rsidRPr="009D0D3B">
        <w:rPr>
          <w:rStyle w:val="af6"/>
          <w:rFonts w:eastAsia="Guttman Hodes"/>
          <w:rtl/>
        </w:rPr>
        <w:fldChar w:fldCharType="begin"/>
      </w:r>
      <w:r w:rsidRPr="009D0D3B">
        <w:rPr>
          <w:rStyle w:val="af6"/>
          <w:rFonts w:eastAsia="Guttman Hodes"/>
          <w:rtl/>
        </w:rPr>
        <w:instrText xml:space="preserve"> </w:instrText>
      </w:r>
      <w:r w:rsidRPr="009D0D3B">
        <w:rPr>
          <w:rStyle w:val="af6"/>
          <w:rFonts w:eastAsia="Guttman Hodes" w:hint="cs"/>
        </w:rPr>
        <w:instrText>REF</w:instrText>
      </w:r>
      <w:r w:rsidRPr="009D0D3B">
        <w:rPr>
          <w:rStyle w:val="af6"/>
          <w:rFonts w:eastAsia="Guttman Hodes" w:hint="cs"/>
          <w:rtl/>
        </w:rPr>
        <w:instrText xml:space="preserve"> _</w:instrText>
      </w:r>
      <w:r w:rsidRPr="009D0D3B">
        <w:rPr>
          <w:rStyle w:val="af6"/>
          <w:rFonts w:eastAsia="Guttman Hodes" w:hint="cs"/>
        </w:rPr>
        <w:instrText>Ref25572503 \r \h</w:instrText>
      </w:r>
      <w:r w:rsidRPr="009D0D3B">
        <w:rPr>
          <w:rStyle w:val="af6"/>
          <w:rFonts w:eastAsia="Guttman Hodes"/>
          <w:rtl/>
        </w:rPr>
        <w:instrText xml:space="preserve"> </w:instrText>
      </w:r>
      <w:r w:rsidRPr="009D0D3B">
        <w:rPr>
          <w:rStyle w:val="af6"/>
          <w:rFonts w:eastAsia="Guttman Hodes"/>
          <w:rtl/>
        </w:rPr>
      </w:r>
      <w:r w:rsidRPr="009D0D3B">
        <w:rPr>
          <w:rStyle w:val="af6"/>
          <w:rFonts w:eastAsia="Guttman Hodes"/>
          <w:rtl/>
        </w:rPr>
        <w:fldChar w:fldCharType="separate"/>
      </w:r>
      <w:r w:rsidR="004D1C5B">
        <w:rPr>
          <w:rStyle w:val="af6"/>
          <w:rFonts w:eastAsia="Guttman Hodes"/>
          <w:cs/>
        </w:rPr>
        <w:t>‎</w:t>
      </w:r>
      <w:r w:rsidR="004D1C5B">
        <w:rPr>
          <w:rStyle w:val="af6"/>
          <w:rFonts w:eastAsia="Guttman Hodes"/>
          <w:rtl/>
        </w:rPr>
        <w:t>כ)</w:t>
      </w:r>
      <w:r w:rsidRPr="009D0D3B">
        <w:rPr>
          <w:rStyle w:val="af6"/>
          <w:rFonts w:eastAsia="Guttman Hodes"/>
          <w:rtl/>
        </w:rPr>
        <w:fldChar w:fldCharType="end"/>
      </w:r>
      <w:r>
        <w:rPr>
          <w:rFonts w:hint="cs"/>
          <w:rtl/>
        </w:rPr>
        <w:t xml:space="preserve"> </w:t>
      </w:r>
      <w:r w:rsidRPr="00F356FB">
        <w:rPr>
          <w:rStyle w:val="af8"/>
          <w:rFonts w:hint="cs"/>
          <w:rtl/>
        </w:rPr>
        <w:t>והמ</w:t>
      </w:r>
      <w:r w:rsidRPr="000C0FD1">
        <w:rPr>
          <w:rStyle w:val="af8"/>
          <w:rFonts w:hint="cs"/>
          <w:rtl/>
        </w:rPr>
        <w:t>שנת ר"א</w:t>
      </w:r>
      <w:r>
        <w:rPr>
          <w:rFonts w:hint="cs"/>
          <w:rtl/>
        </w:rPr>
        <w:t xml:space="preserve"> </w:t>
      </w:r>
      <w:r w:rsidRPr="000C0FD1">
        <w:rPr>
          <w:rStyle w:val="af6"/>
          <w:rFonts w:eastAsia="Guttman Hodes" w:hint="cs"/>
          <w:rtl/>
        </w:rPr>
        <w:t>(סי' ח' ב' ד"ה ולכאו')</w:t>
      </w:r>
      <w:r>
        <w:rPr>
          <w:rFonts w:hint="cs"/>
          <w:rtl/>
        </w:rPr>
        <w:t>.</w:t>
      </w:r>
    </w:p>
    <w:p w:rsidR="003A5D2C" w:rsidRDefault="003A5D2C" w:rsidP="003A5D2C">
      <w:pPr>
        <w:pStyle w:val="a2"/>
        <w:rPr>
          <w:rtl/>
        </w:rPr>
      </w:pPr>
      <w:bookmarkStart w:id="15344" w:name="_Toc25572707"/>
      <w:bookmarkStart w:id="15345" w:name="_Toc25572967"/>
      <w:r>
        <w:rPr>
          <w:rFonts w:hint="cs"/>
          <w:rtl/>
        </w:rPr>
        <w:t>תירוץ השער"י דמדרבנן ההרמה אוסרת באכילה כמו שאסרו בתרומה בפחות ממאה</w:t>
      </w:r>
      <w:bookmarkEnd w:id="15344"/>
      <w:bookmarkEnd w:id="15345"/>
    </w:p>
    <w:p w:rsidR="003A5D2C" w:rsidRPr="00553DDC" w:rsidRDefault="003A5D2C" w:rsidP="009F44AF">
      <w:pPr>
        <w:pStyle w:val="a"/>
        <w:rPr>
          <w:rtl/>
        </w:rPr>
      </w:pPr>
      <w:bookmarkStart w:id="15346" w:name="_Ref25572471"/>
      <w:r>
        <w:rPr>
          <w:rFonts w:hint="cs"/>
          <w:rtl/>
        </w:rPr>
        <w:t xml:space="preserve">ותירץ </w:t>
      </w:r>
      <w:r w:rsidRPr="00186BA4">
        <w:rPr>
          <w:rStyle w:val="af8"/>
          <w:rFonts w:hint="cs"/>
          <w:rtl/>
        </w:rPr>
        <w:t>השער"י</w:t>
      </w:r>
      <w:r>
        <w:rPr>
          <w:rFonts w:hint="cs"/>
          <w:rtl/>
        </w:rPr>
        <w:t xml:space="preserve"> דאין כוונת </w:t>
      </w:r>
      <w:r w:rsidRPr="00186BA4">
        <w:rPr>
          <w:rStyle w:val="af8"/>
          <w:rFonts w:hint="cs"/>
          <w:rtl/>
        </w:rPr>
        <w:t>הרא"ש</w:t>
      </w:r>
      <w:r>
        <w:rPr>
          <w:rFonts w:hint="cs"/>
          <w:rtl/>
        </w:rPr>
        <w:t xml:space="preserve"> לומר שבתרומה אין חילוק בין לפני ההרמה ללאחר ההרמה, אלא דהא דהצריכו רבנן מאה בתרומה, כמו"כ אמרו רבנן דהביטול במאה הוא רק לאחר ההרמה, ואף שההרמה היא רק מחמת ממון השבט, מ"מ כ"ז שלא הרים אסור לאכול, ועיי"ש במה שהאריך </w:t>
      </w:r>
      <w:r w:rsidRPr="00453800">
        <w:rPr>
          <w:rStyle w:val="af8"/>
          <w:rFonts w:hint="cs"/>
          <w:rtl/>
        </w:rPr>
        <w:t>השער"י</w:t>
      </w:r>
      <w:r>
        <w:rPr>
          <w:rFonts w:hint="cs"/>
          <w:rtl/>
        </w:rPr>
        <w:t xml:space="preserve"> בביאור דין חוזר וניעור בתרומה.</w:t>
      </w:r>
      <w:bookmarkEnd w:id="15346"/>
    </w:p>
    <w:p w:rsidR="003A5D2C" w:rsidRPr="00926966" w:rsidRDefault="003A5D2C" w:rsidP="003A5D2C">
      <w:pPr>
        <w:pStyle w:val="a2"/>
      </w:pPr>
      <w:bookmarkStart w:id="15347" w:name="_Toc25572708"/>
      <w:bookmarkStart w:id="15348" w:name="_Toc25572968"/>
      <w:r>
        <w:rPr>
          <w:rFonts w:hint="cs"/>
          <w:rtl/>
        </w:rPr>
        <w:t>תירוץ המשנת ר"א דכוונת הרא"ש להוכיח רק את הסברא דידיעה גורמת היתר</w:t>
      </w:r>
      <w:bookmarkEnd w:id="15347"/>
      <w:bookmarkEnd w:id="15348"/>
    </w:p>
    <w:p w:rsidR="003A5D2C" w:rsidRDefault="003A5D2C" w:rsidP="009F44AF">
      <w:pPr>
        <w:pStyle w:val="a"/>
        <w:rPr>
          <w:rtl/>
        </w:rPr>
      </w:pPr>
      <w:bookmarkStart w:id="15349" w:name="_Ref25572478"/>
      <w:r>
        <w:rPr>
          <w:rStyle w:val="af8"/>
          <w:rFonts w:hint="cs"/>
          <w:rtl/>
        </w:rPr>
        <w:t>וב</w:t>
      </w:r>
      <w:r w:rsidRPr="000C0FD1">
        <w:rPr>
          <w:rStyle w:val="af8"/>
          <w:rFonts w:hint="cs"/>
          <w:rtl/>
        </w:rPr>
        <w:t>משנת ר"א</w:t>
      </w:r>
      <w:r>
        <w:rPr>
          <w:rFonts w:hint="cs"/>
          <w:rtl/>
        </w:rPr>
        <w:t xml:space="preserve"> תירץ דכוונת </w:t>
      </w:r>
      <w:r w:rsidRPr="000C0FD1">
        <w:rPr>
          <w:rStyle w:val="af8"/>
          <w:rFonts w:hint="cs"/>
          <w:rtl/>
        </w:rPr>
        <w:t>הרא"ש</w:t>
      </w:r>
      <w:r>
        <w:rPr>
          <w:rFonts w:hint="cs"/>
          <w:rtl/>
        </w:rPr>
        <w:t xml:space="preserve"> להוכיח רק את הסברא שידיעה גורמת היתר, דכמו דלר"ש מוכח דהא דהסאה הראשונה חשיבא כמי שהורמה תלוי בידיעה, ה"ה לרבנן בביטול יבש ביבש דאפש"ל שהביטול תלוי בידיעה, וכל שנודע שהאיסור נפל לתערובת, הוא מתבטל לגמרי ומותר, ואינו חוזר ונאסר אח"כ.</w:t>
      </w:r>
      <w:bookmarkEnd w:id="15349"/>
    </w:p>
    <w:p w:rsidR="003A5D2C" w:rsidRDefault="003A5D2C" w:rsidP="003A5D2C">
      <w:pPr>
        <w:pStyle w:val="afd"/>
        <w:rPr>
          <w:rtl/>
        </w:rPr>
      </w:pPr>
      <w:bookmarkStart w:id="15350" w:name="_Toc25572969"/>
      <w:r w:rsidRPr="00097119">
        <w:rPr>
          <w:rFonts w:hint="cs"/>
          <w:rtl/>
        </w:rPr>
        <w:t xml:space="preserve">בביאור </w:t>
      </w:r>
      <w:r>
        <w:rPr>
          <w:rFonts w:hint="cs"/>
          <w:rtl/>
        </w:rPr>
        <w:t>חילוק</w:t>
      </w:r>
      <w:r w:rsidRPr="00097119">
        <w:rPr>
          <w:rFonts w:hint="cs"/>
          <w:rtl/>
        </w:rPr>
        <w:t xml:space="preserve"> הרא"ש</w:t>
      </w:r>
      <w:r>
        <w:rPr>
          <w:rFonts w:hint="cs"/>
          <w:rtl/>
        </w:rPr>
        <w:t xml:space="preserve"> בין איסור לטומאה</w:t>
      </w:r>
      <w:bookmarkEnd w:id="15319"/>
      <w:bookmarkEnd w:id="15320"/>
      <w:bookmarkEnd w:id="15321"/>
      <w:bookmarkEnd w:id="15322"/>
      <w:bookmarkEnd w:id="15350"/>
    </w:p>
    <w:p w:rsidR="003A5D2C" w:rsidRDefault="003A5D2C" w:rsidP="003A5D2C">
      <w:pPr>
        <w:pStyle w:val="1"/>
        <w:rPr>
          <w:rtl/>
        </w:rPr>
      </w:pPr>
      <w:bookmarkStart w:id="15351" w:name="_Toc25184799"/>
      <w:bookmarkStart w:id="15352" w:name="_Toc25317269"/>
      <w:bookmarkStart w:id="15353" w:name="_Toc25488243"/>
      <w:bookmarkStart w:id="15354" w:name="_Toc25524694"/>
      <w:bookmarkStart w:id="15355" w:name="_Toc25536194"/>
      <w:bookmarkStart w:id="15356" w:name="_Toc25571246"/>
      <w:bookmarkStart w:id="15357" w:name="_Toc25572728"/>
      <w:bookmarkStart w:id="15358" w:name="_Toc25572970"/>
      <w:r>
        <w:rPr>
          <w:rFonts w:hint="cs"/>
          <w:rtl/>
        </w:rPr>
        <w:t>קושיות השער"י</w:t>
      </w:r>
      <w:bookmarkEnd w:id="15351"/>
      <w:bookmarkEnd w:id="15352"/>
      <w:bookmarkEnd w:id="15353"/>
      <w:bookmarkEnd w:id="15354"/>
      <w:r>
        <w:rPr>
          <w:rFonts w:hint="cs"/>
          <w:rtl/>
        </w:rPr>
        <w:t xml:space="preserve"> על חילוק הרא"ש בין איסור לטומאה</w:t>
      </w:r>
      <w:bookmarkEnd w:id="15355"/>
      <w:bookmarkEnd w:id="15356"/>
      <w:bookmarkEnd w:id="15357"/>
      <w:bookmarkEnd w:id="15358"/>
    </w:p>
    <w:p w:rsidR="003A5D2C" w:rsidRPr="00926966" w:rsidRDefault="003A5D2C" w:rsidP="003A5D2C">
      <w:pPr>
        <w:pStyle w:val="a2"/>
        <w:rPr>
          <w:rtl/>
        </w:rPr>
      </w:pPr>
      <w:bookmarkStart w:id="15359" w:name="_Toc25536195"/>
      <w:bookmarkStart w:id="15360" w:name="_Toc25571247"/>
      <w:bookmarkStart w:id="15361" w:name="_Toc25572729"/>
      <w:bookmarkStart w:id="15362" w:name="_Toc25572971"/>
      <w:r>
        <w:rPr>
          <w:rFonts w:hint="cs"/>
          <w:rtl/>
        </w:rPr>
        <w:t>קושית השער"י על הרא"ש דבנשא בזאח"ז טהור ולביאור הרא"ש באיסר אף בנשא בב"א טהור</w:t>
      </w:r>
      <w:bookmarkEnd w:id="15359"/>
      <w:bookmarkEnd w:id="15360"/>
      <w:bookmarkEnd w:id="15361"/>
      <w:bookmarkEnd w:id="15362"/>
    </w:p>
    <w:p w:rsidR="003A5D2C" w:rsidRDefault="003A5D2C" w:rsidP="009F44AF">
      <w:pPr>
        <w:pStyle w:val="a"/>
        <w:rPr>
          <w:rtl/>
        </w:rPr>
      </w:pPr>
      <w:bookmarkStart w:id="15363" w:name="_Ref25092907"/>
      <w:bookmarkStart w:id="15364" w:name="_Ref25525613"/>
      <w:r>
        <w:rPr>
          <w:rFonts w:hint="cs"/>
          <w:rtl/>
        </w:rPr>
        <w:t xml:space="preserve">במ"ש </w:t>
      </w:r>
      <w:r w:rsidRPr="000C0FD1">
        <w:rPr>
          <w:rStyle w:val="af8"/>
          <w:rFonts w:hint="cs"/>
          <w:rtl/>
        </w:rPr>
        <w:t>הרא"ש</w:t>
      </w:r>
      <w:r w:rsidRPr="000407ED">
        <w:rPr>
          <w:rStyle w:val="af6"/>
          <w:rFonts w:eastAsia="Guttman Hodes" w:hint="cs"/>
          <w:rtl/>
        </w:rPr>
        <w:t xml:space="preserve"> (עי' אות </w:t>
      </w:r>
      <w:r w:rsidRPr="000407ED">
        <w:rPr>
          <w:rStyle w:val="af6"/>
          <w:rFonts w:eastAsia="Guttman Hodes"/>
          <w:rtl/>
        </w:rPr>
        <w:fldChar w:fldCharType="begin"/>
      </w:r>
      <w:r w:rsidRPr="000407ED">
        <w:rPr>
          <w:rStyle w:val="af6"/>
          <w:rFonts w:eastAsia="Guttman Hodes"/>
          <w:rtl/>
        </w:rPr>
        <w:instrText xml:space="preserve"> </w:instrText>
      </w:r>
      <w:r w:rsidRPr="000407ED">
        <w:rPr>
          <w:rStyle w:val="af6"/>
          <w:rFonts w:eastAsia="Guttman Hodes" w:hint="cs"/>
        </w:rPr>
        <w:instrText>REF</w:instrText>
      </w:r>
      <w:r w:rsidRPr="000407ED">
        <w:rPr>
          <w:rStyle w:val="af6"/>
          <w:rFonts w:eastAsia="Guttman Hodes" w:hint="cs"/>
          <w:rtl/>
        </w:rPr>
        <w:instrText xml:space="preserve"> _</w:instrText>
      </w:r>
      <w:r w:rsidRPr="000407ED">
        <w:rPr>
          <w:rStyle w:val="af6"/>
          <w:rFonts w:eastAsia="Guttman Hodes" w:hint="cs"/>
        </w:rPr>
        <w:instrText>Ref25491847 \r \h</w:instrText>
      </w:r>
      <w:r w:rsidRPr="000407ED">
        <w:rPr>
          <w:rStyle w:val="af6"/>
          <w:rFonts w:eastAsia="Guttman Hodes"/>
          <w:rtl/>
        </w:rPr>
        <w:instrText xml:space="preserve"> </w:instrText>
      </w:r>
      <w:r w:rsidRPr="000407ED">
        <w:rPr>
          <w:rStyle w:val="af6"/>
          <w:rFonts w:eastAsia="Guttman Hodes"/>
          <w:rtl/>
        </w:rPr>
      </w:r>
      <w:r w:rsidRPr="000407ED">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0407ED">
        <w:rPr>
          <w:rStyle w:val="af6"/>
          <w:rFonts w:eastAsia="Guttman Hodes"/>
          <w:rtl/>
        </w:rPr>
        <w:fldChar w:fldCharType="end"/>
      </w:r>
      <w:r w:rsidRPr="000407ED">
        <w:rPr>
          <w:rStyle w:val="af6"/>
          <w:rFonts w:eastAsia="Guttman Hodes" w:hint="cs"/>
          <w:rtl/>
        </w:rPr>
        <w:t xml:space="preserve"> </w:t>
      </w:r>
      <w:r>
        <w:rPr>
          <w:rFonts w:hint="cs"/>
          <w:rtl/>
        </w:rPr>
        <w:t xml:space="preserve">שיש חילוק בין איסור לטומאה, דבטומאה יש ב' מינים מגע ומשא, ולענין משא אין ביטול כלל, אבל לענין </w:t>
      </w:r>
      <w:r>
        <w:rPr>
          <w:rFonts w:hint="cs"/>
          <w:rtl/>
        </w:rPr>
        <w:t xml:space="preserve">איסור, אם יש צד של איסור אין כל היתר אכילה, הקשה </w:t>
      </w:r>
      <w:r w:rsidRPr="00744331">
        <w:rPr>
          <w:rStyle w:val="af8"/>
          <w:rFonts w:hint="cs"/>
          <w:rtl/>
        </w:rPr>
        <w:t>השער"י</w:t>
      </w:r>
      <w:r>
        <w:rPr>
          <w:rFonts w:hint="cs"/>
          <w:rtl/>
        </w:rPr>
        <w:t xml:space="preserve"> </w:t>
      </w:r>
      <w:r w:rsidRPr="00744331">
        <w:rPr>
          <w:rStyle w:val="af6"/>
          <w:rFonts w:eastAsia="Guttman Hodes" w:hint="cs"/>
          <w:rtl/>
        </w:rPr>
        <w:t>(ש"ג פ"ז ד"ה והנה דבריו)</w:t>
      </w:r>
      <w:r>
        <w:rPr>
          <w:rFonts w:hint="cs"/>
          <w:rtl/>
        </w:rPr>
        <w:t xml:space="preserve"> דהרי אף בטומאת משא אם ישא את כל החתיכות בזה אחר זה, צריך להיות ביטול ברוב וטהור, כמו בטומאת מגע, כיון שאינו נושא את כל התערובת בבת אחת, ולפי מה שביאר </w:t>
      </w:r>
      <w:r w:rsidRPr="000407ED">
        <w:rPr>
          <w:rStyle w:val="af8"/>
          <w:rFonts w:hint="cs"/>
          <w:rtl/>
        </w:rPr>
        <w:t>הרא"ש</w:t>
      </w:r>
      <w:r>
        <w:rPr>
          <w:rFonts w:hint="cs"/>
          <w:rtl/>
        </w:rPr>
        <w:t xml:space="preserve"> </w:t>
      </w:r>
      <w:r w:rsidRPr="000407ED">
        <w:rPr>
          <w:rStyle w:val="af6"/>
          <w:rFonts w:eastAsia="Guttman Hodes" w:hint="cs"/>
          <w:rtl/>
        </w:rPr>
        <w:t xml:space="preserve">(עי' אות </w:t>
      </w:r>
      <w:r w:rsidRPr="000407ED">
        <w:rPr>
          <w:rStyle w:val="af6"/>
          <w:rFonts w:eastAsia="Guttman Hodes"/>
          <w:rtl/>
        </w:rPr>
        <w:fldChar w:fldCharType="begin"/>
      </w:r>
      <w:r w:rsidRPr="000407ED">
        <w:rPr>
          <w:rStyle w:val="af6"/>
          <w:rFonts w:eastAsia="Guttman Hodes"/>
          <w:rtl/>
        </w:rPr>
        <w:instrText xml:space="preserve"> </w:instrText>
      </w:r>
      <w:r w:rsidRPr="000407ED">
        <w:rPr>
          <w:rStyle w:val="af6"/>
          <w:rFonts w:eastAsia="Guttman Hodes" w:hint="cs"/>
        </w:rPr>
        <w:instrText>REF</w:instrText>
      </w:r>
      <w:r w:rsidRPr="000407ED">
        <w:rPr>
          <w:rStyle w:val="af6"/>
          <w:rFonts w:eastAsia="Guttman Hodes" w:hint="cs"/>
          <w:rtl/>
        </w:rPr>
        <w:instrText xml:space="preserve"> _</w:instrText>
      </w:r>
      <w:r w:rsidRPr="000407ED">
        <w:rPr>
          <w:rStyle w:val="af6"/>
          <w:rFonts w:eastAsia="Guttman Hodes" w:hint="cs"/>
        </w:rPr>
        <w:instrText>Ref25525182 \r \h</w:instrText>
      </w:r>
      <w:r w:rsidRPr="000407ED">
        <w:rPr>
          <w:rStyle w:val="af6"/>
          <w:rFonts w:eastAsia="Guttman Hodes"/>
          <w:rtl/>
        </w:rPr>
        <w:instrText xml:space="preserve"> </w:instrText>
      </w:r>
      <w:r w:rsidRPr="000407ED">
        <w:rPr>
          <w:rStyle w:val="af6"/>
          <w:rFonts w:eastAsia="Guttman Hodes"/>
          <w:rtl/>
        </w:rPr>
      </w:r>
      <w:r w:rsidRPr="000407ED">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0407ED">
        <w:rPr>
          <w:rStyle w:val="af6"/>
          <w:rFonts w:eastAsia="Guttman Hodes"/>
          <w:rtl/>
        </w:rPr>
        <w:fldChar w:fldCharType="end"/>
      </w:r>
      <w:r>
        <w:rPr>
          <w:rFonts w:hint="cs"/>
          <w:rtl/>
        </w:rPr>
        <w:t xml:space="preserve"> לענין איסור לא יתכן לומר שהוא טהור כשנושא כל חתיכה בפנ"ע, דהרי כתב </w:t>
      </w:r>
      <w:r w:rsidRPr="00744331">
        <w:rPr>
          <w:rStyle w:val="af8"/>
          <w:rFonts w:hint="cs"/>
          <w:rtl/>
        </w:rPr>
        <w:t>הרא"ש</w:t>
      </w:r>
      <w:r w:rsidRPr="000407ED">
        <w:rPr>
          <w:rStyle w:val="af6"/>
          <w:rFonts w:eastAsia="Guttman Hodes" w:hint="cs"/>
          <w:rtl/>
        </w:rPr>
        <w:t xml:space="preserve"> (עי' אות </w:t>
      </w:r>
      <w:r w:rsidRPr="000407ED">
        <w:rPr>
          <w:rStyle w:val="af6"/>
          <w:rFonts w:eastAsia="Guttman Hodes"/>
          <w:rtl/>
        </w:rPr>
        <w:fldChar w:fldCharType="begin"/>
      </w:r>
      <w:r w:rsidRPr="000407ED">
        <w:rPr>
          <w:rStyle w:val="af6"/>
          <w:rFonts w:eastAsia="Guttman Hodes"/>
          <w:rtl/>
        </w:rPr>
        <w:instrText xml:space="preserve"> </w:instrText>
      </w:r>
      <w:r w:rsidRPr="000407ED">
        <w:rPr>
          <w:rStyle w:val="af6"/>
          <w:rFonts w:eastAsia="Guttman Hodes" w:hint="cs"/>
        </w:rPr>
        <w:instrText>REF</w:instrText>
      </w:r>
      <w:r w:rsidRPr="000407ED">
        <w:rPr>
          <w:rStyle w:val="af6"/>
          <w:rFonts w:eastAsia="Guttman Hodes" w:hint="cs"/>
          <w:rtl/>
        </w:rPr>
        <w:instrText xml:space="preserve"> _</w:instrText>
      </w:r>
      <w:r w:rsidRPr="000407ED">
        <w:rPr>
          <w:rStyle w:val="af6"/>
          <w:rFonts w:eastAsia="Guttman Hodes" w:hint="cs"/>
        </w:rPr>
        <w:instrText>Ref25491847 \r \h</w:instrText>
      </w:r>
      <w:r w:rsidRPr="000407ED">
        <w:rPr>
          <w:rStyle w:val="af6"/>
          <w:rFonts w:eastAsia="Guttman Hodes"/>
          <w:rtl/>
        </w:rPr>
        <w:instrText xml:space="preserve"> </w:instrText>
      </w:r>
      <w:r w:rsidRPr="000407ED">
        <w:rPr>
          <w:rStyle w:val="af6"/>
          <w:rFonts w:eastAsia="Guttman Hodes"/>
          <w:rtl/>
        </w:rPr>
      </w:r>
      <w:r w:rsidRPr="000407ED">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0407ED">
        <w:rPr>
          <w:rStyle w:val="af6"/>
          <w:rFonts w:eastAsia="Guttman Hodes"/>
          <w:rtl/>
        </w:rPr>
        <w:fldChar w:fldCharType="end"/>
      </w:r>
      <w:r w:rsidRPr="000407ED">
        <w:rPr>
          <w:rStyle w:val="af6"/>
          <w:rFonts w:eastAsia="Guttman Hodes" w:hint="cs"/>
          <w:rtl/>
        </w:rPr>
        <w:t xml:space="preserve"> </w:t>
      </w:r>
      <w:r>
        <w:rPr>
          <w:rFonts w:hint="cs"/>
          <w:rtl/>
        </w:rPr>
        <w:t>שלענין טומאת משא נשארה הטומאה, כיון שנשא את כל החתיכות שבתערובת בזה אחר זה, א"כ הוא נשא ודאי טומאה וטמא ממה נפשך, ואף כשנשא חתיכה אחת מהתערובת הוי ספק טומאה.</w:t>
      </w:r>
      <w:bookmarkEnd w:id="15363"/>
      <w:r w:rsidRPr="00961559">
        <w:rPr>
          <w:rStyle w:val="afa"/>
          <w:rFonts w:hint="cs"/>
          <w:rtl/>
        </w:rPr>
        <w:t xml:space="preserve"> </w:t>
      </w:r>
      <w:r>
        <w:rPr>
          <w:rStyle w:val="afa"/>
          <w:rFonts w:hint="cs"/>
          <w:rtl/>
        </w:rPr>
        <w:t>[</w:t>
      </w:r>
      <w:r w:rsidRPr="00384F69">
        <w:rPr>
          <w:rStyle w:val="afa"/>
          <w:rFonts w:hint="cs"/>
          <w:rtl/>
        </w:rPr>
        <w:t xml:space="preserve">ועי' במ"ש </w:t>
      </w:r>
      <w:r>
        <w:rPr>
          <w:rStyle w:val="affa"/>
          <w:rFonts w:hint="cs"/>
          <w:rtl/>
        </w:rPr>
        <w:t xml:space="preserve">הקוה"ע </w:t>
      </w:r>
      <w:r w:rsidRPr="00961559">
        <w:rPr>
          <w:rStyle w:val="aff6"/>
          <w:rFonts w:hint="cs"/>
          <w:rtl/>
        </w:rPr>
        <w:t xml:space="preserve">(עי' אות </w:t>
      </w:r>
      <w:r w:rsidRPr="00961559">
        <w:rPr>
          <w:rStyle w:val="aff6"/>
          <w:rtl/>
        </w:rPr>
        <w:fldChar w:fldCharType="begin"/>
      </w:r>
      <w:r w:rsidRPr="00961559">
        <w:rPr>
          <w:rStyle w:val="aff6"/>
          <w:rtl/>
        </w:rPr>
        <w:instrText xml:space="preserve"> </w:instrText>
      </w:r>
      <w:r w:rsidRPr="00961559">
        <w:rPr>
          <w:rStyle w:val="aff6"/>
          <w:rFonts w:hint="cs"/>
        </w:rPr>
        <w:instrText>REF</w:instrText>
      </w:r>
      <w:r w:rsidRPr="00961559">
        <w:rPr>
          <w:rStyle w:val="aff6"/>
          <w:rFonts w:hint="cs"/>
          <w:rtl/>
        </w:rPr>
        <w:instrText xml:space="preserve"> _</w:instrText>
      </w:r>
      <w:r w:rsidRPr="00961559">
        <w:rPr>
          <w:rStyle w:val="aff6"/>
          <w:rFonts w:hint="cs"/>
        </w:rPr>
        <w:instrText>Ref25524895 \r \h</w:instrText>
      </w:r>
      <w:r w:rsidRPr="00961559">
        <w:rPr>
          <w:rStyle w:val="aff6"/>
          <w:rtl/>
        </w:rPr>
        <w:instrText xml:space="preserve"> </w:instrText>
      </w:r>
      <w:r w:rsidRPr="00961559">
        <w:rPr>
          <w:rStyle w:val="aff6"/>
          <w:rtl/>
        </w:rPr>
      </w:r>
      <w:r w:rsidRPr="00961559">
        <w:rPr>
          <w:rStyle w:val="aff6"/>
          <w:rtl/>
        </w:rPr>
        <w:fldChar w:fldCharType="separate"/>
      </w:r>
      <w:r w:rsidR="004D1C5B">
        <w:rPr>
          <w:rStyle w:val="aff6"/>
          <w:cs/>
        </w:rPr>
        <w:t>‎</w:t>
      </w:r>
      <w:r w:rsidR="004D1C5B">
        <w:rPr>
          <w:rStyle w:val="aff6"/>
          <w:rtl/>
        </w:rPr>
        <w:t>עז)</w:t>
      </w:r>
      <w:r w:rsidRPr="00961559">
        <w:rPr>
          <w:rStyle w:val="aff6"/>
          <w:rtl/>
        </w:rPr>
        <w:fldChar w:fldCharType="end"/>
      </w:r>
      <w:r>
        <w:rPr>
          <w:rStyle w:val="affa"/>
          <w:rFonts w:hint="cs"/>
          <w:rtl/>
        </w:rPr>
        <w:t xml:space="preserve"> </w:t>
      </w:r>
      <w:r w:rsidRPr="00384F69">
        <w:rPr>
          <w:rStyle w:val="affa"/>
          <w:rFonts w:hint="cs"/>
          <w:rtl/>
        </w:rPr>
        <w:t>והקה"י</w:t>
      </w:r>
      <w:r w:rsidRPr="00384F69">
        <w:rPr>
          <w:rStyle w:val="afa"/>
          <w:rFonts w:hint="cs"/>
          <w:rtl/>
        </w:rPr>
        <w:t xml:space="preserve"> </w:t>
      </w:r>
      <w:r w:rsidRPr="00961559">
        <w:rPr>
          <w:rStyle w:val="aff6"/>
          <w:rFonts w:hint="cs"/>
          <w:rtl/>
        </w:rPr>
        <w:t xml:space="preserve">(עי' אות </w:t>
      </w:r>
      <w:r w:rsidRPr="00961559">
        <w:rPr>
          <w:rStyle w:val="aff6"/>
          <w:rtl/>
        </w:rPr>
        <w:fldChar w:fldCharType="begin"/>
      </w:r>
      <w:r w:rsidRPr="00961559">
        <w:rPr>
          <w:rStyle w:val="aff6"/>
          <w:rtl/>
        </w:rPr>
        <w:instrText xml:space="preserve"> </w:instrText>
      </w:r>
      <w:r w:rsidRPr="00961559">
        <w:rPr>
          <w:rStyle w:val="aff6"/>
          <w:rFonts w:hint="cs"/>
        </w:rPr>
        <w:instrText>REF</w:instrText>
      </w:r>
      <w:r w:rsidRPr="00961559">
        <w:rPr>
          <w:rStyle w:val="aff6"/>
          <w:rFonts w:hint="cs"/>
          <w:rtl/>
        </w:rPr>
        <w:instrText xml:space="preserve"> _</w:instrText>
      </w:r>
      <w:r w:rsidRPr="00961559">
        <w:rPr>
          <w:rStyle w:val="aff6"/>
          <w:rFonts w:hint="cs"/>
        </w:rPr>
        <w:instrText>Ref25092890 \r \h</w:instrText>
      </w:r>
      <w:r w:rsidRPr="00961559">
        <w:rPr>
          <w:rStyle w:val="aff6"/>
          <w:rtl/>
        </w:rPr>
        <w:instrText xml:space="preserve"> </w:instrText>
      </w:r>
      <w:r w:rsidRPr="00961559">
        <w:rPr>
          <w:rStyle w:val="aff6"/>
          <w:rtl/>
        </w:rPr>
      </w:r>
      <w:r w:rsidRPr="00961559">
        <w:rPr>
          <w:rStyle w:val="aff6"/>
          <w:rtl/>
        </w:rPr>
        <w:fldChar w:fldCharType="separate"/>
      </w:r>
      <w:r w:rsidR="004D1C5B">
        <w:rPr>
          <w:rStyle w:val="aff6"/>
          <w:cs/>
        </w:rPr>
        <w:t>‎</w:t>
      </w:r>
      <w:r w:rsidR="004D1C5B">
        <w:rPr>
          <w:rStyle w:val="aff6"/>
          <w:rtl/>
        </w:rPr>
        <w:t>פז)</w:t>
      </w:r>
      <w:r w:rsidRPr="00961559">
        <w:rPr>
          <w:rStyle w:val="aff6"/>
          <w:rtl/>
        </w:rPr>
        <w:fldChar w:fldCharType="end"/>
      </w:r>
      <w:r w:rsidRPr="00961559">
        <w:rPr>
          <w:rStyle w:val="afa"/>
          <w:rFonts w:hint="cs"/>
          <w:rtl/>
        </w:rPr>
        <w:t>].</w:t>
      </w:r>
      <w:bookmarkEnd w:id="15364"/>
    </w:p>
    <w:p w:rsidR="003A5D2C" w:rsidRPr="00926966" w:rsidRDefault="003A5D2C" w:rsidP="003A5D2C">
      <w:pPr>
        <w:pStyle w:val="a2"/>
        <w:rPr>
          <w:rtl/>
        </w:rPr>
      </w:pPr>
      <w:bookmarkStart w:id="15365" w:name="_Toc25536196"/>
      <w:bookmarkStart w:id="15366" w:name="_Toc25571248"/>
      <w:bookmarkStart w:id="15367" w:name="_Toc25572730"/>
      <w:bookmarkStart w:id="15368" w:name="_Toc25572972"/>
      <w:r>
        <w:rPr>
          <w:rFonts w:hint="cs"/>
          <w:rtl/>
        </w:rPr>
        <w:t>דברי השער"י דא"א לומר שיש חילוק בין איסור לטומאה לענין בב"א דאף במשא טהור בבזאח"ז</w:t>
      </w:r>
      <w:bookmarkEnd w:id="15365"/>
      <w:bookmarkEnd w:id="15366"/>
      <w:bookmarkEnd w:id="15367"/>
      <w:bookmarkEnd w:id="15368"/>
    </w:p>
    <w:p w:rsidR="003A5D2C" w:rsidRDefault="003A5D2C" w:rsidP="009F44AF">
      <w:pPr>
        <w:pStyle w:val="a"/>
        <w:rPr>
          <w:rtl/>
        </w:rPr>
      </w:pPr>
      <w:bookmarkStart w:id="15369" w:name="_Ref25526978"/>
      <w:r>
        <w:rPr>
          <w:rFonts w:hint="cs"/>
          <w:rtl/>
        </w:rPr>
        <w:t xml:space="preserve">וכתב </w:t>
      </w:r>
      <w:r w:rsidRPr="00744331">
        <w:rPr>
          <w:rStyle w:val="af8"/>
          <w:rFonts w:hint="cs"/>
          <w:rtl/>
        </w:rPr>
        <w:t>השער"י</w:t>
      </w:r>
      <w:r>
        <w:rPr>
          <w:rFonts w:hint="cs"/>
          <w:rtl/>
        </w:rPr>
        <w:t xml:space="preserve"> דבזה א"א לחלק בין איסור לטומאה, </w:t>
      </w:r>
      <w:r w:rsidRPr="000407ED">
        <w:rPr>
          <w:rStyle w:val="afa"/>
          <w:rFonts w:hint="cs"/>
          <w:rtl/>
        </w:rPr>
        <w:t>[דנאמר דדוקא באיסור כל שמותר בזאח"ז מותר אף בב"א, אבל בטומאה אף שטהור בזאח"ז מ"מ בב"א טמא],</w:t>
      </w:r>
      <w:r>
        <w:rPr>
          <w:rFonts w:hint="cs"/>
          <w:rtl/>
        </w:rPr>
        <w:t xml:space="preserve"> דהרי בטומאת משא עצמה אין חילוק בין אם נושא את כל התערובת בבת אחת או שנושא בזה אחר זה, דאם נאמר שיש חילוק, א"כ אף לענין איסור, נאמר שאסור לאכול את כל התערובת אף בזה אחר זה.</w:t>
      </w:r>
      <w:bookmarkEnd w:id="15369"/>
    </w:p>
    <w:p w:rsidR="003A5D2C" w:rsidRPr="00926966" w:rsidRDefault="003A5D2C" w:rsidP="003A5D2C">
      <w:pPr>
        <w:pStyle w:val="a2"/>
        <w:rPr>
          <w:rtl/>
        </w:rPr>
      </w:pPr>
      <w:bookmarkStart w:id="15370" w:name="_Toc25536197"/>
      <w:bookmarkStart w:id="15371" w:name="_Toc25571249"/>
      <w:bookmarkStart w:id="15372" w:name="_Toc25572731"/>
      <w:bookmarkStart w:id="15373" w:name="_Toc25572973"/>
      <w:r>
        <w:rPr>
          <w:rFonts w:hint="cs"/>
          <w:rtl/>
        </w:rPr>
        <w:t>קושית השער"י דאין ילפותא לרוב באיסור יותר מבטומאה וכמו דטומאה כמאן דאיתא אף איסור</w:t>
      </w:r>
      <w:bookmarkEnd w:id="15370"/>
      <w:bookmarkEnd w:id="15371"/>
      <w:bookmarkEnd w:id="15372"/>
      <w:bookmarkEnd w:id="15373"/>
    </w:p>
    <w:p w:rsidR="003A5D2C" w:rsidRPr="003904A7" w:rsidRDefault="003A5D2C" w:rsidP="009F44AF">
      <w:pPr>
        <w:pStyle w:val="a"/>
        <w:rPr>
          <w:rStyle w:val="afa"/>
          <w:rtl/>
        </w:rPr>
      </w:pPr>
      <w:bookmarkStart w:id="15374" w:name="_Ref25525707"/>
      <w:r>
        <w:rPr>
          <w:rFonts w:hint="cs"/>
          <w:rtl/>
        </w:rPr>
        <w:t xml:space="preserve">ובמ"ש </w:t>
      </w:r>
      <w:r w:rsidRPr="003904A7">
        <w:rPr>
          <w:rStyle w:val="af8"/>
          <w:rFonts w:hint="cs"/>
          <w:rtl/>
        </w:rPr>
        <w:t xml:space="preserve">הרא"ש </w:t>
      </w:r>
      <w:r w:rsidRPr="000407ED">
        <w:rPr>
          <w:rStyle w:val="af6"/>
          <w:rFonts w:eastAsia="Guttman Hodes" w:hint="cs"/>
          <w:rtl/>
        </w:rPr>
        <w:t xml:space="preserve">(עי' אות </w:t>
      </w:r>
      <w:r w:rsidRPr="000407ED">
        <w:rPr>
          <w:rStyle w:val="af6"/>
          <w:rFonts w:eastAsia="Guttman Hodes"/>
          <w:rtl/>
        </w:rPr>
        <w:fldChar w:fldCharType="begin"/>
      </w:r>
      <w:r w:rsidRPr="000407ED">
        <w:rPr>
          <w:rStyle w:val="af6"/>
          <w:rFonts w:eastAsia="Guttman Hodes"/>
          <w:rtl/>
        </w:rPr>
        <w:instrText xml:space="preserve"> </w:instrText>
      </w:r>
      <w:r w:rsidRPr="000407ED">
        <w:rPr>
          <w:rStyle w:val="af6"/>
          <w:rFonts w:eastAsia="Guttman Hodes" w:hint="cs"/>
        </w:rPr>
        <w:instrText>REF</w:instrText>
      </w:r>
      <w:r w:rsidRPr="000407ED">
        <w:rPr>
          <w:rStyle w:val="af6"/>
          <w:rFonts w:eastAsia="Guttman Hodes" w:hint="cs"/>
          <w:rtl/>
        </w:rPr>
        <w:instrText xml:space="preserve"> _</w:instrText>
      </w:r>
      <w:r w:rsidRPr="000407ED">
        <w:rPr>
          <w:rStyle w:val="af6"/>
          <w:rFonts w:eastAsia="Guttman Hodes" w:hint="cs"/>
        </w:rPr>
        <w:instrText>Ref25525182 \r \h</w:instrText>
      </w:r>
      <w:r w:rsidRPr="000407ED">
        <w:rPr>
          <w:rStyle w:val="af6"/>
          <w:rFonts w:eastAsia="Guttman Hodes"/>
          <w:rtl/>
        </w:rPr>
        <w:instrText xml:space="preserve"> </w:instrText>
      </w:r>
      <w:r w:rsidRPr="000407ED">
        <w:rPr>
          <w:rStyle w:val="af6"/>
          <w:rFonts w:eastAsia="Guttman Hodes"/>
          <w:rtl/>
        </w:rPr>
      </w:r>
      <w:r w:rsidRPr="000407ED">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0407ED">
        <w:rPr>
          <w:rStyle w:val="af6"/>
          <w:rFonts w:eastAsia="Guttman Hodes"/>
          <w:rtl/>
        </w:rPr>
        <w:fldChar w:fldCharType="end"/>
      </w:r>
      <w:r>
        <w:rPr>
          <w:rFonts w:hint="cs"/>
          <w:rtl/>
        </w:rPr>
        <w:t xml:space="preserve"> דמדין "אחרי רבים להטות" מוכח שאין כל איסור בביטול ברוב, הקשה </w:t>
      </w:r>
      <w:r w:rsidRPr="003904A7">
        <w:rPr>
          <w:rStyle w:val="af8"/>
          <w:rFonts w:hint="cs"/>
          <w:rtl/>
        </w:rPr>
        <w:t>השער"י</w:t>
      </w:r>
      <w:r>
        <w:rPr>
          <w:rFonts w:hint="cs"/>
          <w:rtl/>
        </w:rPr>
        <w:t xml:space="preserve"> דהרי לא כתוב שבאיסור יש דין רוב, יותר מאשר בטומאת משא, וכיון דלענין טומאת משא מוכח שנשארה הטומאה, א"כ אף לענין איסור צ"ל כן</w:t>
      </w:r>
      <w:r w:rsidRPr="003904A7">
        <w:rPr>
          <w:rStyle w:val="afa"/>
          <w:rFonts w:hint="cs"/>
          <w:rtl/>
        </w:rPr>
        <w:t xml:space="preserve">. [ועי' בדברי </w:t>
      </w:r>
      <w:r w:rsidRPr="003904A7">
        <w:rPr>
          <w:rStyle w:val="affa"/>
          <w:rFonts w:hint="cs"/>
          <w:rtl/>
        </w:rPr>
        <w:t>הקה"י</w:t>
      </w:r>
      <w:r w:rsidRPr="003904A7">
        <w:rPr>
          <w:rStyle w:val="afa"/>
          <w:rFonts w:hint="cs"/>
          <w:rtl/>
        </w:rPr>
        <w:t xml:space="preserve"> </w:t>
      </w:r>
      <w:r w:rsidRPr="003904A7">
        <w:rPr>
          <w:rStyle w:val="aff6"/>
          <w:rFonts w:hint="cs"/>
          <w:rtl/>
        </w:rPr>
        <w:t xml:space="preserve">(עי' אות </w:t>
      </w:r>
      <w:r w:rsidRPr="003904A7">
        <w:rPr>
          <w:rStyle w:val="aff6"/>
          <w:rtl/>
        </w:rPr>
        <w:fldChar w:fldCharType="begin"/>
      </w:r>
      <w:r w:rsidRPr="003904A7">
        <w:rPr>
          <w:rStyle w:val="aff6"/>
          <w:rtl/>
        </w:rPr>
        <w:instrText xml:space="preserve"> </w:instrText>
      </w:r>
      <w:r w:rsidRPr="003904A7">
        <w:rPr>
          <w:rStyle w:val="aff6"/>
          <w:rFonts w:hint="cs"/>
        </w:rPr>
        <w:instrText>REF</w:instrText>
      </w:r>
      <w:r w:rsidRPr="003904A7">
        <w:rPr>
          <w:rStyle w:val="aff6"/>
          <w:rFonts w:hint="cs"/>
          <w:rtl/>
        </w:rPr>
        <w:instrText xml:space="preserve"> _</w:instrText>
      </w:r>
      <w:r w:rsidRPr="003904A7">
        <w:rPr>
          <w:rStyle w:val="aff6"/>
          <w:rFonts w:hint="cs"/>
        </w:rPr>
        <w:instrText>Ref25092890 \r \h</w:instrText>
      </w:r>
      <w:r w:rsidRPr="003904A7">
        <w:rPr>
          <w:rStyle w:val="aff6"/>
          <w:rtl/>
        </w:rPr>
        <w:instrText xml:space="preserve"> </w:instrText>
      </w:r>
      <w:r w:rsidRPr="003904A7">
        <w:rPr>
          <w:rStyle w:val="aff6"/>
          <w:rtl/>
        </w:rPr>
      </w:r>
      <w:r w:rsidRPr="003904A7">
        <w:rPr>
          <w:rStyle w:val="aff6"/>
          <w:rtl/>
        </w:rPr>
        <w:fldChar w:fldCharType="separate"/>
      </w:r>
      <w:r w:rsidR="004D1C5B">
        <w:rPr>
          <w:rStyle w:val="aff6"/>
          <w:cs/>
        </w:rPr>
        <w:t>‎</w:t>
      </w:r>
      <w:r w:rsidR="004D1C5B">
        <w:rPr>
          <w:rStyle w:val="aff6"/>
          <w:rtl/>
        </w:rPr>
        <w:t>פז)</w:t>
      </w:r>
      <w:r w:rsidRPr="003904A7">
        <w:rPr>
          <w:rStyle w:val="aff6"/>
          <w:rtl/>
        </w:rPr>
        <w:fldChar w:fldCharType="end"/>
      </w:r>
      <w:r w:rsidRPr="003904A7">
        <w:rPr>
          <w:rStyle w:val="afa"/>
          <w:rFonts w:hint="cs"/>
          <w:rtl/>
        </w:rPr>
        <w:t>].</w:t>
      </w:r>
      <w:bookmarkEnd w:id="15374"/>
    </w:p>
    <w:p w:rsidR="003A5D2C" w:rsidRPr="00926966" w:rsidRDefault="003A5D2C" w:rsidP="003A5D2C">
      <w:pPr>
        <w:pStyle w:val="a2"/>
        <w:rPr>
          <w:rtl/>
        </w:rPr>
      </w:pPr>
      <w:bookmarkStart w:id="15375" w:name="_Toc25536198"/>
      <w:bookmarkStart w:id="15376" w:name="_Toc25571250"/>
      <w:bookmarkStart w:id="15377" w:name="_Toc25572732"/>
      <w:bookmarkStart w:id="15378" w:name="_Toc25572974"/>
      <w:r>
        <w:rPr>
          <w:rFonts w:hint="cs"/>
          <w:rtl/>
        </w:rPr>
        <w:t>ספק השער"י בקושית הרא"ש אי אוסר בב"א כיון שיש ודאי איסור או דאין ביטול בב"א כמשא</w:t>
      </w:r>
      <w:bookmarkEnd w:id="15375"/>
      <w:bookmarkEnd w:id="15376"/>
      <w:bookmarkEnd w:id="15377"/>
      <w:bookmarkEnd w:id="15378"/>
    </w:p>
    <w:p w:rsidR="003A5D2C" w:rsidRDefault="003A5D2C" w:rsidP="009F44AF">
      <w:pPr>
        <w:pStyle w:val="a"/>
        <w:rPr>
          <w:rtl/>
        </w:rPr>
      </w:pPr>
      <w:r>
        <w:rPr>
          <w:rFonts w:hint="cs"/>
          <w:rtl/>
        </w:rPr>
        <w:t xml:space="preserve">ובמה </w:t>
      </w:r>
      <w:r w:rsidRPr="00462868">
        <w:rPr>
          <w:rFonts w:hint="cs"/>
          <w:rtl/>
        </w:rPr>
        <w:t xml:space="preserve">שהקשה </w:t>
      </w:r>
      <w:r w:rsidRPr="00462868">
        <w:rPr>
          <w:rStyle w:val="af8"/>
          <w:rFonts w:hint="cs"/>
          <w:rtl/>
        </w:rPr>
        <w:t>הרא"ש</w:t>
      </w:r>
      <w:r w:rsidRPr="00462868">
        <w:rPr>
          <w:rFonts w:hint="cs"/>
          <w:rtl/>
        </w:rPr>
        <w:t xml:space="preserve"> </w:t>
      </w:r>
      <w:r w:rsidRPr="00867657">
        <w:rPr>
          <w:rStyle w:val="af6"/>
          <w:rFonts w:eastAsia="Guttman Hodes" w:hint="cs"/>
          <w:rtl/>
        </w:rPr>
        <w:t xml:space="preserve">(עי' אות </w:t>
      </w:r>
      <w:r w:rsidRPr="00867657">
        <w:rPr>
          <w:rStyle w:val="af6"/>
          <w:rFonts w:eastAsia="Guttman Hodes"/>
          <w:rtl/>
        </w:rPr>
        <w:fldChar w:fldCharType="begin"/>
      </w:r>
      <w:r w:rsidRPr="00867657">
        <w:rPr>
          <w:rStyle w:val="af6"/>
          <w:rFonts w:eastAsia="Guttman Hodes"/>
          <w:rtl/>
        </w:rPr>
        <w:instrText xml:space="preserve"> </w:instrText>
      </w:r>
      <w:r w:rsidRPr="00867657">
        <w:rPr>
          <w:rStyle w:val="af6"/>
          <w:rFonts w:eastAsia="Guttman Hodes" w:hint="cs"/>
        </w:rPr>
        <w:instrText>REF</w:instrText>
      </w:r>
      <w:r w:rsidRPr="00867657">
        <w:rPr>
          <w:rStyle w:val="af6"/>
          <w:rFonts w:eastAsia="Guttman Hodes" w:hint="cs"/>
          <w:rtl/>
        </w:rPr>
        <w:instrText xml:space="preserve"> _</w:instrText>
      </w:r>
      <w:r w:rsidRPr="00867657">
        <w:rPr>
          <w:rStyle w:val="af6"/>
          <w:rFonts w:eastAsia="Guttman Hodes" w:hint="cs"/>
        </w:rPr>
        <w:instrText>Ref25525894 \r \h</w:instrText>
      </w:r>
      <w:r w:rsidRPr="00867657">
        <w:rPr>
          <w:rStyle w:val="af6"/>
          <w:rFonts w:eastAsia="Guttman Hodes"/>
          <w:rtl/>
        </w:rPr>
        <w:instrText xml:space="preserve"> </w:instrText>
      </w:r>
      <w:r w:rsidRPr="00867657">
        <w:rPr>
          <w:rStyle w:val="af6"/>
          <w:rFonts w:eastAsia="Guttman Hodes"/>
          <w:rtl/>
        </w:rPr>
      </w:r>
      <w:r w:rsidRPr="0086765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867657">
        <w:rPr>
          <w:rStyle w:val="af6"/>
          <w:rFonts w:eastAsia="Guttman Hodes"/>
          <w:rtl/>
        </w:rPr>
        <w:fldChar w:fldCharType="end"/>
      </w:r>
      <w:r w:rsidRPr="00462868">
        <w:rPr>
          <w:rFonts w:hint="cs"/>
          <w:rtl/>
        </w:rPr>
        <w:t xml:space="preserve"> שיהיה אסור לאכול את כל התערובת בבת אחת,</w:t>
      </w:r>
      <w:r>
        <w:rPr>
          <w:rFonts w:hint="cs"/>
          <w:rtl/>
        </w:rPr>
        <w:t xml:space="preserve"> כדמוכח בדין </w:t>
      </w:r>
      <w:r w:rsidRPr="00462868">
        <w:rPr>
          <w:rFonts w:hint="cs"/>
          <w:rtl/>
        </w:rPr>
        <w:t xml:space="preserve">טומאת משא, </w:t>
      </w:r>
      <w:r>
        <w:rPr>
          <w:rFonts w:hint="cs"/>
          <w:rtl/>
        </w:rPr>
        <w:t>כתב</w:t>
      </w:r>
      <w:r w:rsidRPr="00462868">
        <w:rPr>
          <w:rFonts w:hint="cs"/>
          <w:rtl/>
        </w:rPr>
        <w:t xml:space="preserve"> </w:t>
      </w:r>
      <w:r w:rsidRPr="00462868">
        <w:rPr>
          <w:rStyle w:val="af8"/>
          <w:rFonts w:hint="cs"/>
          <w:rtl/>
        </w:rPr>
        <w:t>השער"י</w:t>
      </w:r>
      <w:r w:rsidRPr="00462868">
        <w:rPr>
          <w:rFonts w:hint="cs"/>
          <w:rtl/>
        </w:rPr>
        <w:t xml:space="preserve"> </w:t>
      </w:r>
      <w:r w:rsidRPr="00462868">
        <w:rPr>
          <w:rStyle w:val="af6"/>
          <w:rFonts w:eastAsia="Guttman Hodes" w:hint="cs"/>
          <w:rtl/>
        </w:rPr>
        <w:t>(ש"ג פ"ז ד"ה והנה דבריו)</w:t>
      </w:r>
      <w:r w:rsidRPr="00462868">
        <w:rPr>
          <w:rFonts w:hint="cs"/>
          <w:rtl/>
        </w:rPr>
        <w:t xml:space="preserve"> </w:t>
      </w:r>
      <w:r>
        <w:rPr>
          <w:rFonts w:hint="cs"/>
          <w:rtl/>
        </w:rPr>
        <w:t xml:space="preserve">דיש לדון מה </w:t>
      </w:r>
      <w:r w:rsidRPr="00462868">
        <w:rPr>
          <w:rFonts w:hint="cs"/>
          <w:rtl/>
        </w:rPr>
        <w:t xml:space="preserve">סבר </w:t>
      </w:r>
      <w:r w:rsidRPr="00462868">
        <w:rPr>
          <w:rStyle w:val="af8"/>
          <w:rFonts w:hint="cs"/>
          <w:rtl/>
        </w:rPr>
        <w:t>הרא"ש</w:t>
      </w:r>
      <w:r>
        <w:rPr>
          <w:rFonts w:hint="cs"/>
          <w:rtl/>
        </w:rPr>
        <w:t xml:space="preserve"> בקוש</w:t>
      </w:r>
      <w:r w:rsidRPr="00462868">
        <w:rPr>
          <w:rFonts w:hint="cs"/>
          <w:rtl/>
        </w:rPr>
        <w:t xml:space="preserve">יתו </w:t>
      </w:r>
      <w:r>
        <w:rPr>
          <w:rFonts w:hint="cs"/>
          <w:rtl/>
        </w:rPr>
        <w:t xml:space="preserve">אי ס"ל </w:t>
      </w:r>
      <w:r w:rsidRPr="00867657">
        <w:rPr>
          <w:rStyle w:val="af8"/>
          <w:rFonts w:hint="cs"/>
          <w:rtl/>
        </w:rPr>
        <w:t>להרא"ש</w:t>
      </w:r>
      <w:r>
        <w:rPr>
          <w:rFonts w:hint="cs"/>
          <w:rtl/>
        </w:rPr>
        <w:t xml:space="preserve"> </w:t>
      </w:r>
      <w:r w:rsidRPr="00462868">
        <w:rPr>
          <w:rFonts w:hint="cs"/>
          <w:rtl/>
        </w:rPr>
        <w:t>שיהיה אסור לאכול את כל התערובת בבת אחת,</w:t>
      </w:r>
      <w:r>
        <w:rPr>
          <w:rFonts w:hint="cs"/>
          <w:rtl/>
        </w:rPr>
        <w:t xml:space="preserve"> כיון ש</w:t>
      </w:r>
      <w:r w:rsidRPr="00462868">
        <w:rPr>
          <w:rFonts w:hint="cs"/>
          <w:rtl/>
        </w:rPr>
        <w:t>ההיתר מדין "אחרי רבים להטות" הוא רק על כל חתיכה</w:t>
      </w:r>
      <w:r>
        <w:rPr>
          <w:rFonts w:hint="cs"/>
          <w:rtl/>
        </w:rPr>
        <w:t xml:space="preserve"> בפנ"ע, כיון שבכל חתיכה יש ספק אם אוכל את האיסור, אבל בכשאוכל את כל התערובת בבת אחת, שודאי אוכל איסור, דאין היתר מדין רוב, או דס"ל </w:t>
      </w:r>
      <w:r w:rsidRPr="00867657">
        <w:rPr>
          <w:rStyle w:val="af8"/>
          <w:rFonts w:hint="cs"/>
          <w:rtl/>
        </w:rPr>
        <w:t>להרא"ש</w:t>
      </w:r>
      <w:r>
        <w:rPr>
          <w:rFonts w:hint="cs"/>
          <w:rtl/>
        </w:rPr>
        <w:t xml:space="preserve"> בקושיתו דאסור לאכול את כל התעורבת בבת אחת, כמו בטומאת משא, דכיון שכשנושא את כל התערובת בבת אחת אין ביטול, ה"ה כשאוכל את כל התערובת בבת אחת שאין ביטול.</w:t>
      </w:r>
    </w:p>
    <w:p w:rsidR="003A5D2C" w:rsidRPr="00867657" w:rsidRDefault="003A5D2C" w:rsidP="003A5D2C">
      <w:pPr>
        <w:pStyle w:val="a2"/>
        <w:rPr>
          <w:rtl/>
        </w:rPr>
      </w:pPr>
      <w:bookmarkStart w:id="15379" w:name="_Toc25536199"/>
      <w:bookmarkStart w:id="15380" w:name="_Toc25571251"/>
      <w:bookmarkStart w:id="15381" w:name="_Toc25572733"/>
      <w:bookmarkStart w:id="15382" w:name="_Toc25572975"/>
      <w:r>
        <w:rPr>
          <w:rFonts w:hint="cs"/>
          <w:rtl/>
        </w:rPr>
        <w:t>קושית השער"י דמ"מ בלח מוכח דאף שיש ודאי איסור ואף שהוא בב"א</w:t>
      </w:r>
      <w:r w:rsidRPr="00867657">
        <w:rPr>
          <w:rFonts w:hint="cs"/>
          <w:rtl/>
        </w:rPr>
        <w:t xml:space="preserve"> </w:t>
      </w:r>
      <w:r>
        <w:rPr>
          <w:rFonts w:hint="cs"/>
          <w:rtl/>
        </w:rPr>
        <w:t>אפ"ה מדאו' בטל ברוב</w:t>
      </w:r>
      <w:bookmarkEnd w:id="15379"/>
      <w:bookmarkEnd w:id="15380"/>
      <w:bookmarkEnd w:id="15381"/>
      <w:bookmarkEnd w:id="15382"/>
    </w:p>
    <w:p w:rsidR="003A5D2C" w:rsidRDefault="003A5D2C" w:rsidP="009F44AF">
      <w:pPr>
        <w:pStyle w:val="a"/>
        <w:rPr>
          <w:rtl/>
        </w:rPr>
      </w:pPr>
      <w:bookmarkStart w:id="15383" w:name="_Ref25571341"/>
      <w:r>
        <w:rPr>
          <w:rFonts w:hint="cs"/>
          <w:rtl/>
        </w:rPr>
        <w:t xml:space="preserve">וכתב </w:t>
      </w:r>
      <w:r w:rsidRPr="00C351F8">
        <w:rPr>
          <w:rStyle w:val="af8"/>
          <w:rFonts w:hint="cs"/>
          <w:rtl/>
        </w:rPr>
        <w:t>השער"י</w:t>
      </w:r>
      <w:r>
        <w:rPr>
          <w:rFonts w:hint="cs"/>
          <w:rtl/>
        </w:rPr>
        <w:t xml:space="preserve"> דלפי ב' הביאורים בהבנת קושית </w:t>
      </w:r>
      <w:r w:rsidRPr="00C351F8">
        <w:rPr>
          <w:rStyle w:val="af8"/>
          <w:rFonts w:hint="cs"/>
          <w:rtl/>
        </w:rPr>
        <w:t>הרא"ש</w:t>
      </w:r>
      <w:r>
        <w:rPr>
          <w:rFonts w:hint="cs"/>
          <w:rtl/>
        </w:rPr>
        <w:t xml:space="preserve">, קשה מלח בלח, דמדאו' מותר ברוב, אעפ"י שאוכל ודאי איסור, וכן לח בלח הוא כמו טומאת משא שאין ביטול בבת אחת, וא"כ מדין לח בלח מוכח שמותר לאכול את כל התערובת בבת אחת, והקשה </w:t>
      </w:r>
      <w:r w:rsidRPr="008E0AC7">
        <w:rPr>
          <w:rStyle w:val="af8"/>
          <w:rFonts w:hint="cs"/>
          <w:rtl/>
        </w:rPr>
        <w:t>השער"י</w:t>
      </w:r>
      <w:r>
        <w:rPr>
          <w:rFonts w:hint="cs"/>
          <w:rtl/>
        </w:rPr>
        <w:t xml:space="preserve"> דאמאי לא הקשה </w:t>
      </w:r>
      <w:r w:rsidRPr="008E0AC7">
        <w:rPr>
          <w:rStyle w:val="af8"/>
          <w:rFonts w:hint="cs"/>
          <w:rtl/>
        </w:rPr>
        <w:t>הרא"ש</w:t>
      </w:r>
      <w:r>
        <w:rPr>
          <w:rFonts w:hint="cs"/>
          <w:rtl/>
        </w:rPr>
        <w:t xml:space="preserve"> מטומאת משא על ההיתר בביטול ברוב בלח בלח, </w:t>
      </w:r>
      <w:r w:rsidRPr="008E0AC7">
        <w:rPr>
          <w:rStyle w:val="afa"/>
          <w:rFonts w:hint="cs"/>
          <w:rtl/>
        </w:rPr>
        <w:t xml:space="preserve">[וכן הקשה </w:t>
      </w:r>
      <w:r w:rsidRPr="008E0AC7">
        <w:rPr>
          <w:rStyle w:val="affa"/>
          <w:rFonts w:hint="cs"/>
          <w:rtl/>
        </w:rPr>
        <w:t>החזו"א</w:t>
      </w:r>
      <w:r w:rsidRPr="008E0AC7">
        <w:rPr>
          <w:rStyle w:val="afa"/>
          <w:rFonts w:hint="cs"/>
          <w:rtl/>
        </w:rPr>
        <w:t xml:space="preserve"> </w:t>
      </w:r>
      <w:r w:rsidRPr="008E0AC7">
        <w:rPr>
          <w:rStyle w:val="aff6"/>
          <w:rFonts w:hint="cs"/>
          <w:rtl/>
        </w:rPr>
        <w:t xml:space="preserve">(עי' אות </w:t>
      </w:r>
      <w:r w:rsidRPr="008E0AC7">
        <w:rPr>
          <w:rStyle w:val="aff6"/>
          <w:rtl/>
        </w:rPr>
        <w:fldChar w:fldCharType="begin"/>
      </w:r>
      <w:r w:rsidRPr="008E0AC7">
        <w:rPr>
          <w:rStyle w:val="aff6"/>
          <w:rtl/>
        </w:rPr>
        <w:instrText xml:space="preserve"> </w:instrText>
      </w:r>
      <w:r w:rsidRPr="008E0AC7">
        <w:rPr>
          <w:rStyle w:val="aff6"/>
          <w:rFonts w:hint="cs"/>
        </w:rPr>
        <w:instrText>REF</w:instrText>
      </w:r>
      <w:r w:rsidRPr="008E0AC7">
        <w:rPr>
          <w:rStyle w:val="aff6"/>
          <w:rFonts w:hint="cs"/>
          <w:rtl/>
        </w:rPr>
        <w:instrText xml:space="preserve"> _</w:instrText>
      </w:r>
      <w:r w:rsidRPr="008E0AC7">
        <w:rPr>
          <w:rStyle w:val="aff6"/>
          <w:rFonts w:hint="cs"/>
        </w:rPr>
        <w:instrText>Ref25486566 \r \h</w:instrText>
      </w:r>
      <w:r w:rsidRPr="008E0AC7">
        <w:rPr>
          <w:rStyle w:val="aff6"/>
          <w:rtl/>
        </w:rPr>
        <w:instrText xml:space="preserve"> </w:instrText>
      </w:r>
      <w:r w:rsidRPr="008E0AC7">
        <w:rPr>
          <w:rStyle w:val="aff6"/>
          <w:rtl/>
        </w:rPr>
      </w:r>
      <w:r w:rsidRPr="008E0AC7">
        <w:rPr>
          <w:rStyle w:val="aff6"/>
          <w:rtl/>
        </w:rPr>
        <w:fldChar w:fldCharType="separate"/>
      </w:r>
      <w:r w:rsidR="004D1C5B">
        <w:rPr>
          <w:rStyle w:val="aff6"/>
          <w:cs/>
        </w:rPr>
        <w:t>‎</w:t>
      </w:r>
      <w:r w:rsidR="004D1C5B">
        <w:rPr>
          <w:rStyle w:val="aff6"/>
          <w:rtl/>
        </w:rPr>
        <w:t>כו)</w:t>
      </w:r>
      <w:r w:rsidRPr="008E0AC7">
        <w:rPr>
          <w:rStyle w:val="aff6"/>
          <w:rtl/>
        </w:rPr>
        <w:fldChar w:fldCharType="end"/>
      </w:r>
      <w:r w:rsidRPr="008E0AC7">
        <w:rPr>
          <w:rStyle w:val="afa"/>
          <w:rFonts w:hint="cs"/>
          <w:rtl/>
        </w:rPr>
        <w:t>],</w:t>
      </w:r>
      <w:r>
        <w:rPr>
          <w:rFonts w:hint="cs"/>
          <w:rtl/>
        </w:rPr>
        <w:t xml:space="preserve"> ועי' במה שתירץ </w:t>
      </w:r>
      <w:r w:rsidRPr="008E0AC7">
        <w:rPr>
          <w:rStyle w:val="af8"/>
          <w:rFonts w:hint="cs"/>
          <w:rtl/>
        </w:rPr>
        <w:t>השער"י</w:t>
      </w:r>
      <w:r>
        <w:rPr>
          <w:rFonts w:hint="cs"/>
          <w:rtl/>
        </w:rPr>
        <w:t xml:space="preserve"> </w:t>
      </w:r>
      <w:r w:rsidRPr="008E0AC7">
        <w:rPr>
          <w:rStyle w:val="af6"/>
          <w:rFonts w:eastAsia="Guttman Hodes" w:hint="cs"/>
          <w:rtl/>
        </w:rPr>
        <w:t xml:space="preserve">(עי' אות </w:t>
      </w:r>
      <w:r w:rsidRPr="008E0AC7">
        <w:rPr>
          <w:rStyle w:val="af6"/>
          <w:rFonts w:eastAsia="Guttman Hodes"/>
          <w:rtl/>
        </w:rPr>
        <w:fldChar w:fldCharType="begin"/>
      </w:r>
      <w:r w:rsidRPr="008E0AC7">
        <w:rPr>
          <w:rStyle w:val="af6"/>
          <w:rFonts w:eastAsia="Guttman Hodes"/>
          <w:rtl/>
        </w:rPr>
        <w:instrText xml:space="preserve"> </w:instrText>
      </w:r>
      <w:r w:rsidRPr="008E0AC7">
        <w:rPr>
          <w:rStyle w:val="af6"/>
          <w:rFonts w:eastAsia="Guttman Hodes" w:hint="cs"/>
        </w:rPr>
        <w:instrText>REF</w:instrText>
      </w:r>
      <w:r w:rsidRPr="008E0AC7">
        <w:rPr>
          <w:rStyle w:val="af6"/>
          <w:rFonts w:eastAsia="Guttman Hodes" w:hint="cs"/>
          <w:rtl/>
        </w:rPr>
        <w:instrText xml:space="preserve"> _</w:instrText>
      </w:r>
      <w:r w:rsidRPr="008E0AC7">
        <w:rPr>
          <w:rStyle w:val="af6"/>
          <w:rFonts w:eastAsia="Guttman Hodes" w:hint="cs"/>
        </w:rPr>
        <w:instrText>Ref25567073 \r \h</w:instrText>
      </w:r>
      <w:r w:rsidRPr="008E0AC7">
        <w:rPr>
          <w:rStyle w:val="af6"/>
          <w:rFonts w:eastAsia="Guttman Hodes"/>
          <w:rtl/>
        </w:rPr>
        <w:instrText xml:space="preserve"> </w:instrText>
      </w:r>
      <w:r w:rsidRPr="008E0AC7">
        <w:rPr>
          <w:rStyle w:val="af6"/>
          <w:rFonts w:eastAsia="Guttman Hodes"/>
          <w:rtl/>
        </w:rPr>
      </w:r>
      <w:r w:rsidRPr="008E0AC7">
        <w:rPr>
          <w:rStyle w:val="af6"/>
          <w:rFonts w:eastAsia="Guttman Hodes"/>
          <w:rtl/>
        </w:rPr>
        <w:fldChar w:fldCharType="separate"/>
      </w:r>
      <w:r w:rsidR="004D1C5B">
        <w:rPr>
          <w:rStyle w:val="af6"/>
          <w:rFonts w:eastAsia="Guttman Hodes"/>
          <w:cs/>
        </w:rPr>
        <w:t>‎</w:t>
      </w:r>
      <w:r w:rsidR="004D1C5B">
        <w:rPr>
          <w:rStyle w:val="af6"/>
          <w:rFonts w:eastAsia="Guttman Hodes"/>
          <w:rtl/>
        </w:rPr>
        <w:t>עה)</w:t>
      </w:r>
      <w:r w:rsidRPr="008E0AC7">
        <w:rPr>
          <w:rStyle w:val="af6"/>
          <w:rFonts w:eastAsia="Guttman Hodes"/>
          <w:rtl/>
        </w:rPr>
        <w:fldChar w:fldCharType="end"/>
      </w:r>
      <w:r>
        <w:rPr>
          <w:rFonts w:hint="cs"/>
          <w:rtl/>
        </w:rPr>
        <w:t>.</w:t>
      </w:r>
      <w:bookmarkEnd w:id="15383"/>
    </w:p>
    <w:p w:rsidR="003A5D2C" w:rsidRPr="00926966" w:rsidRDefault="003A5D2C" w:rsidP="003A5D2C">
      <w:pPr>
        <w:pStyle w:val="a2"/>
        <w:rPr>
          <w:rtl/>
        </w:rPr>
      </w:pPr>
      <w:bookmarkStart w:id="15384" w:name="_Toc25536200"/>
      <w:bookmarkStart w:id="15385" w:name="_Toc25571252"/>
      <w:bookmarkStart w:id="15386" w:name="_Toc25572734"/>
      <w:bookmarkStart w:id="15387" w:name="_Toc25572976"/>
      <w:r>
        <w:rPr>
          <w:rFonts w:hint="cs"/>
          <w:rtl/>
        </w:rPr>
        <w:t>קושית השער"י דשיעור שישים דרבנן לא מהני להתיר במקום שאין היתר רוב מדאו'</w:t>
      </w:r>
      <w:bookmarkEnd w:id="15384"/>
      <w:bookmarkEnd w:id="15385"/>
      <w:bookmarkEnd w:id="15386"/>
      <w:bookmarkEnd w:id="15387"/>
    </w:p>
    <w:p w:rsidR="003A5D2C" w:rsidRDefault="003A5D2C" w:rsidP="009F44AF">
      <w:pPr>
        <w:pStyle w:val="a"/>
        <w:rPr>
          <w:rStyle w:val="afa"/>
          <w:rtl/>
        </w:rPr>
      </w:pPr>
      <w:r>
        <w:rPr>
          <w:rFonts w:hint="cs"/>
          <w:rtl/>
        </w:rPr>
        <w:t xml:space="preserve">וכתב </w:t>
      </w:r>
      <w:r w:rsidRPr="000D62CE">
        <w:rPr>
          <w:rStyle w:val="af8"/>
          <w:rFonts w:hint="cs"/>
          <w:rtl/>
        </w:rPr>
        <w:t>השער"י</w:t>
      </w:r>
      <w:r>
        <w:rPr>
          <w:rFonts w:hint="cs"/>
          <w:rtl/>
        </w:rPr>
        <w:t xml:space="preserve"> דאפשר לדחוק דמדאו' פשיטא </w:t>
      </w:r>
      <w:r w:rsidRPr="000D62CE">
        <w:rPr>
          <w:rStyle w:val="af8"/>
          <w:rFonts w:hint="cs"/>
          <w:rtl/>
        </w:rPr>
        <w:t>להרא"ש</w:t>
      </w:r>
      <w:r>
        <w:rPr>
          <w:rFonts w:hint="cs"/>
          <w:rtl/>
        </w:rPr>
        <w:t xml:space="preserve"> שמותר לאכול את כל התערובת בבת אחת, וכל הספק של </w:t>
      </w:r>
      <w:r w:rsidRPr="000D62CE">
        <w:rPr>
          <w:rStyle w:val="af8"/>
          <w:rFonts w:hint="cs"/>
          <w:rtl/>
        </w:rPr>
        <w:t>הרא"ש</w:t>
      </w:r>
      <w:r>
        <w:rPr>
          <w:rFonts w:hint="cs"/>
          <w:rtl/>
        </w:rPr>
        <w:t xml:space="preserve"> הוא רק מדרבנן, דאסרו לאכול בבת אחת, </w:t>
      </w:r>
      <w:r w:rsidRPr="000D62CE">
        <w:rPr>
          <w:rStyle w:val="afa"/>
          <w:rFonts w:hint="cs"/>
          <w:rtl/>
        </w:rPr>
        <w:t xml:space="preserve">[וכדביאר </w:t>
      </w:r>
      <w:r w:rsidRPr="000D62CE">
        <w:rPr>
          <w:rStyle w:val="affa"/>
          <w:rFonts w:hint="cs"/>
          <w:rtl/>
        </w:rPr>
        <w:t>השער"י</w:t>
      </w:r>
      <w:r w:rsidRPr="000D62CE">
        <w:rPr>
          <w:rStyle w:val="afa"/>
          <w:rFonts w:hint="cs"/>
          <w:rtl/>
        </w:rPr>
        <w:t xml:space="preserve"> </w:t>
      </w:r>
      <w:r w:rsidRPr="00711BBC">
        <w:rPr>
          <w:rStyle w:val="aff6"/>
          <w:rFonts w:hint="cs"/>
          <w:rtl/>
        </w:rPr>
        <w:t xml:space="preserve">(ש"ג פ"ט ד"ה וע"כ נלענ"ד, הובא בסימן י"ז אות קי"ב) </w:t>
      </w:r>
      <w:r w:rsidRPr="000D62CE">
        <w:rPr>
          <w:rStyle w:val="afa"/>
          <w:rFonts w:hint="cs"/>
          <w:rtl/>
        </w:rPr>
        <w:t xml:space="preserve">בדעת </w:t>
      </w:r>
      <w:r w:rsidRPr="000D62CE">
        <w:rPr>
          <w:rStyle w:val="affa"/>
          <w:rFonts w:hint="cs"/>
          <w:rtl/>
        </w:rPr>
        <w:t>הרשב"א</w:t>
      </w:r>
      <w:r w:rsidRPr="000D62CE">
        <w:rPr>
          <w:rStyle w:val="afa"/>
          <w:rFonts w:hint="cs"/>
          <w:rtl/>
        </w:rPr>
        <w:t>],</w:t>
      </w:r>
      <w:r>
        <w:rPr>
          <w:rFonts w:hint="cs"/>
          <w:rtl/>
        </w:rPr>
        <w:t xml:space="preserve"> וא"כ לא קשה מלח בלח, שמדרבנן צריך שישים, אך דחה </w:t>
      </w:r>
      <w:r w:rsidRPr="000D62CE">
        <w:rPr>
          <w:rStyle w:val="af8"/>
          <w:rFonts w:hint="cs"/>
          <w:rtl/>
        </w:rPr>
        <w:t>השער"י</w:t>
      </w:r>
      <w:r>
        <w:rPr>
          <w:rFonts w:hint="cs"/>
          <w:rtl/>
        </w:rPr>
        <w:t xml:space="preserve"> דהרי אף אם יהיה שיעור שישים הוא מהני רק להתיר את האיסור של הטעם, אך לא מהני שישים להתיר את האיסור עצמו, וא"כ כשאוכל בבת אחת שאוכל ודאי איסור, אי הרוב לא מהני להתיר את האיסור, א"כ אף שישים לא מהני להתירו. </w:t>
      </w:r>
      <w:r w:rsidRPr="000D62CE">
        <w:rPr>
          <w:rStyle w:val="afa"/>
          <w:rFonts w:hint="cs"/>
          <w:rtl/>
        </w:rPr>
        <w:t xml:space="preserve">[וציין </w:t>
      </w:r>
      <w:r w:rsidRPr="000D62CE">
        <w:rPr>
          <w:rStyle w:val="affa"/>
          <w:rFonts w:hint="cs"/>
          <w:rtl/>
        </w:rPr>
        <w:t>השער"י</w:t>
      </w:r>
      <w:r w:rsidRPr="000D62CE">
        <w:rPr>
          <w:rStyle w:val="afa"/>
          <w:rFonts w:hint="cs"/>
          <w:rtl/>
        </w:rPr>
        <w:t xml:space="preserve"> לדברי </w:t>
      </w:r>
      <w:r w:rsidRPr="000D62CE">
        <w:rPr>
          <w:rStyle w:val="affa"/>
          <w:rFonts w:hint="cs"/>
          <w:rtl/>
        </w:rPr>
        <w:t>הנוב"י</w:t>
      </w:r>
      <w:r w:rsidRPr="000D62CE">
        <w:rPr>
          <w:rStyle w:val="afa"/>
          <w:rFonts w:hint="cs"/>
          <w:rtl/>
        </w:rPr>
        <w:t xml:space="preserve"> </w:t>
      </w:r>
      <w:r w:rsidRPr="00711BBC">
        <w:rPr>
          <w:rStyle w:val="aff6"/>
          <w:rFonts w:hint="cs"/>
          <w:rtl/>
        </w:rPr>
        <w:t xml:space="preserve">(מהדו"ת סי' נ"ד) </w:t>
      </w:r>
      <w:r w:rsidRPr="000D62CE">
        <w:rPr>
          <w:rStyle w:val="afa"/>
          <w:rFonts w:hint="cs"/>
          <w:rtl/>
        </w:rPr>
        <w:t xml:space="preserve">דכתב דמהני שישים אף במקום שלא מהני רוב, אך הביא </w:t>
      </w:r>
      <w:r w:rsidRPr="000D62CE">
        <w:rPr>
          <w:rStyle w:val="affa"/>
          <w:rFonts w:hint="cs"/>
          <w:rtl/>
        </w:rPr>
        <w:t>השער"י דהאחרונים</w:t>
      </w:r>
      <w:r w:rsidRPr="000D62CE">
        <w:rPr>
          <w:rStyle w:val="afa"/>
          <w:rFonts w:hint="cs"/>
          <w:rtl/>
        </w:rPr>
        <w:t xml:space="preserve"> </w:t>
      </w:r>
      <w:r w:rsidRPr="00711BBC">
        <w:rPr>
          <w:rStyle w:val="aff6"/>
          <w:rFonts w:hint="cs"/>
          <w:rtl/>
        </w:rPr>
        <w:t>(על השו"ע יו"ד סי' י"ד ה')</w:t>
      </w:r>
      <w:r w:rsidRPr="000D62CE">
        <w:rPr>
          <w:rStyle w:val="afa"/>
          <w:rFonts w:hint="cs"/>
          <w:rtl/>
        </w:rPr>
        <w:t xml:space="preserve">, </w:t>
      </w:r>
      <w:r>
        <w:rPr>
          <w:rStyle w:val="affa"/>
          <w:rFonts w:hint="cs"/>
          <w:rtl/>
        </w:rPr>
        <w:t>ו</w:t>
      </w:r>
      <w:r w:rsidRPr="000D62CE">
        <w:rPr>
          <w:rStyle w:val="affa"/>
          <w:rFonts w:hint="cs"/>
          <w:rtl/>
        </w:rPr>
        <w:t>היד אפרים</w:t>
      </w:r>
      <w:r w:rsidRPr="000D62CE">
        <w:rPr>
          <w:rStyle w:val="afa"/>
          <w:rFonts w:hint="cs"/>
          <w:rtl/>
        </w:rPr>
        <w:t xml:space="preserve"> </w:t>
      </w:r>
      <w:r w:rsidRPr="00711BBC">
        <w:rPr>
          <w:rStyle w:val="aff6"/>
          <w:rFonts w:hint="cs"/>
          <w:rtl/>
        </w:rPr>
        <w:t>(יו"ד סי' י"ד ה')</w:t>
      </w:r>
      <w:r>
        <w:rPr>
          <w:rStyle w:val="aff6"/>
          <w:rFonts w:hint="cs"/>
          <w:rtl/>
        </w:rPr>
        <w:t xml:space="preserve"> </w:t>
      </w:r>
      <w:r w:rsidRPr="00E76D20">
        <w:rPr>
          <w:rStyle w:val="afa"/>
          <w:rFonts w:hint="cs"/>
          <w:rtl/>
        </w:rPr>
        <w:t xml:space="preserve">תמהו על </w:t>
      </w:r>
      <w:r w:rsidRPr="00E76D20">
        <w:rPr>
          <w:rStyle w:val="affa"/>
          <w:rFonts w:hint="cs"/>
          <w:rtl/>
        </w:rPr>
        <w:t>הנוב"י</w:t>
      </w:r>
      <w:r w:rsidRPr="000D62CE">
        <w:rPr>
          <w:rStyle w:val="afa"/>
          <w:rFonts w:hint="cs"/>
          <w:rtl/>
        </w:rPr>
        <w:t>].</w:t>
      </w:r>
    </w:p>
    <w:p w:rsidR="003A5D2C" w:rsidRPr="006A02A2" w:rsidRDefault="003A5D2C" w:rsidP="003A5D2C">
      <w:pPr>
        <w:pStyle w:val="1"/>
        <w:rPr>
          <w:rtl/>
        </w:rPr>
      </w:pPr>
      <w:bookmarkStart w:id="15388" w:name="_Toc25536201"/>
      <w:bookmarkStart w:id="15389" w:name="_Toc25571253"/>
      <w:bookmarkStart w:id="15390" w:name="_Toc25572735"/>
      <w:bookmarkStart w:id="15391" w:name="_Toc25572977"/>
      <w:r>
        <w:rPr>
          <w:rFonts w:hint="cs"/>
          <w:rtl/>
        </w:rPr>
        <w:t>ביאור השער"י דכח הרוב לבטל רק מיעוט שמתנגד לו במגע</w:t>
      </w:r>
      <w:bookmarkEnd w:id="15388"/>
      <w:bookmarkEnd w:id="15389"/>
      <w:bookmarkEnd w:id="15390"/>
      <w:bookmarkEnd w:id="15391"/>
      <w:r>
        <w:rPr>
          <w:rFonts w:hint="cs"/>
          <w:rtl/>
        </w:rPr>
        <w:t xml:space="preserve"> </w:t>
      </w:r>
    </w:p>
    <w:p w:rsidR="003A5D2C" w:rsidRPr="00926966" w:rsidRDefault="003A5D2C" w:rsidP="003A5D2C">
      <w:pPr>
        <w:pStyle w:val="a2"/>
        <w:rPr>
          <w:rtl/>
        </w:rPr>
      </w:pPr>
      <w:bookmarkStart w:id="15392" w:name="_Toc25536202"/>
      <w:bookmarkStart w:id="15393" w:name="_Toc25571254"/>
      <w:bookmarkStart w:id="15394" w:name="_Toc25572736"/>
      <w:bookmarkStart w:id="15395" w:name="_Toc25572978"/>
      <w:r>
        <w:rPr>
          <w:rFonts w:hint="cs"/>
          <w:rtl/>
        </w:rPr>
        <w:t>ביאור השער"י דביטול הוא כשהמיעוט מתנגד לרוב ובמשא המיעוט מטמא מעצמו ולא נגד הרוב</w:t>
      </w:r>
      <w:bookmarkEnd w:id="15392"/>
      <w:bookmarkEnd w:id="15393"/>
      <w:bookmarkEnd w:id="15394"/>
      <w:bookmarkEnd w:id="15395"/>
    </w:p>
    <w:p w:rsidR="003A5D2C" w:rsidRDefault="003A5D2C" w:rsidP="009F44AF">
      <w:pPr>
        <w:pStyle w:val="a"/>
        <w:rPr>
          <w:rtl/>
        </w:rPr>
      </w:pPr>
      <w:r>
        <w:rPr>
          <w:rFonts w:hint="cs"/>
          <w:rtl/>
        </w:rPr>
        <w:lastRenderedPageBreak/>
        <w:t xml:space="preserve">אלא כתב </w:t>
      </w:r>
      <w:r w:rsidRPr="00D904C5">
        <w:rPr>
          <w:rStyle w:val="af8"/>
          <w:rFonts w:hint="cs"/>
          <w:rtl/>
        </w:rPr>
        <w:t>השער"י</w:t>
      </w:r>
      <w:r>
        <w:rPr>
          <w:rFonts w:hint="cs"/>
          <w:rtl/>
        </w:rPr>
        <w:t xml:space="preserve"> </w:t>
      </w:r>
      <w:r w:rsidRPr="00C351F8">
        <w:rPr>
          <w:rStyle w:val="af6"/>
          <w:rFonts w:eastAsia="Guttman Hodes"/>
          <w:rtl/>
        </w:rPr>
        <w:t>(ש"ג פ"ז ד"ה ונלענ"ד)</w:t>
      </w:r>
      <w:r w:rsidRPr="00560840">
        <w:rPr>
          <w:rtl/>
        </w:rPr>
        <w:t xml:space="preserve"> </w:t>
      </w:r>
      <w:r>
        <w:rPr>
          <w:rFonts w:hint="cs"/>
          <w:rtl/>
        </w:rPr>
        <w:t xml:space="preserve">דדין ביטול ברוב, תלוי במה שהמיעוט מתנגד לרוב, דבמקום שהדין של המיעוט, מעכב את הדין של הרוב, בכה"ג המיעוט מתהפך להיות כדין הרוב, </w:t>
      </w:r>
      <w:r w:rsidRPr="0060479D">
        <w:rPr>
          <w:rStyle w:val="afa"/>
          <w:rFonts w:hint="cs"/>
          <w:rtl/>
        </w:rPr>
        <w:t>[עיי"ש במ"ש להוכיח כן מביטול ברוב בדיינים],</w:t>
      </w:r>
      <w:r>
        <w:rPr>
          <w:rFonts w:hint="cs"/>
          <w:rtl/>
        </w:rPr>
        <w:t xml:space="preserve"> ולכן במקום שבלא דין ביטול ברוב, א"א לקיים את דין הרוב, דהא הדין של המיעוט סותר לדין הרוב, לכן המיעוט נהפך להיתר כמו הרוב, אבל בטומאת משא, המיעוט של הטומאה אינו מתנגד כלל לטהרה של הרוב, דהמיעוט מטמא מחמת עצמו, כיון שהוא נושא טומאה, והאדם נטמא רק מחמת המיעוט, והרוב אינו מטמא כלל, ולכן הרוב אינו יכול לבטל את הטומאת משא של המיעוט, דאף שהמיעוט מטמא, אינו סותר לדין הטהרה של הרוב. </w:t>
      </w:r>
    </w:p>
    <w:p w:rsidR="003A5D2C" w:rsidRPr="00926966" w:rsidRDefault="003A5D2C" w:rsidP="003A5D2C">
      <w:pPr>
        <w:pStyle w:val="a2"/>
        <w:rPr>
          <w:rtl/>
        </w:rPr>
      </w:pPr>
      <w:bookmarkStart w:id="15396" w:name="_Toc25536203"/>
      <w:bookmarkStart w:id="15397" w:name="_Toc25571255"/>
      <w:bookmarkStart w:id="15398" w:name="_Toc25572737"/>
      <w:bookmarkStart w:id="15399" w:name="_Toc25572979"/>
      <w:r>
        <w:rPr>
          <w:rFonts w:hint="cs"/>
          <w:rtl/>
        </w:rPr>
        <w:t>ביאור השער"י דבמגע מגע המיעוט עושה ספק טומאה</w:t>
      </w:r>
      <w:r w:rsidRPr="0012111F">
        <w:rPr>
          <w:rFonts w:hint="cs"/>
          <w:rtl/>
        </w:rPr>
        <w:t xml:space="preserve"> </w:t>
      </w:r>
      <w:r>
        <w:rPr>
          <w:rFonts w:hint="cs"/>
          <w:rtl/>
        </w:rPr>
        <w:t>ומתנגד למגע הרוב הטהור ולכן הוא בטל</w:t>
      </w:r>
      <w:bookmarkEnd w:id="15396"/>
      <w:bookmarkEnd w:id="15397"/>
      <w:bookmarkEnd w:id="15398"/>
      <w:bookmarkEnd w:id="15399"/>
    </w:p>
    <w:p w:rsidR="003A5D2C" w:rsidRDefault="003A5D2C" w:rsidP="009F44AF">
      <w:pPr>
        <w:pStyle w:val="a"/>
        <w:rPr>
          <w:rtl/>
        </w:rPr>
      </w:pPr>
      <w:r>
        <w:rPr>
          <w:rFonts w:hint="cs"/>
          <w:rtl/>
        </w:rPr>
        <w:t xml:space="preserve">אבל בטומאת מגע, כתב </w:t>
      </w:r>
      <w:r w:rsidRPr="00C351F8">
        <w:rPr>
          <w:rStyle w:val="af8"/>
          <w:rFonts w:hint="cs"/>
          <w:rtl/>
        </w:rPr>
        <w:t>השער"י</w:t>
      </w:r>
      <w:r>
        <w:rPr>
          <w:rFonts w:hint="cs"/>
          <w:rtl/>
        </w:rPr>
        <w:t xml:space="preserve"> דהמגע של המיעוט מתנגד למגע של הרוב, ולולא דין ביטול ברוב יש ספק טומאה בכל מגע בתערובת, האם נוגע ברוב הטהור או במיעוט הטמא, וא"כ המיעוט גורם דין ספק טומאה על הדין טהרה של הרוב, והמיעוט מתנגד לרוב לגמרי, ועל זה נאמר דין "אחרי רבים להטות", שדין המיעוט יהיה כמו הדין של הרוב, ובכדי שיחול דין הרוב על המיעוט, צריך להפקיע את הטומאה מכל החתיכות שבתערובת.</w:t>
      </w:r>
    </w:p>
    <w:p w:rsidR="003A5D2C" w:rsidRPr="00926966" w:rsidRDefault="003A5D2C" w:rsidP="003A5D2C">
      <w:pPr>
        <w:pStyle w:val="a2"/>
        <w:rPr>
          <w:rtl/>
        </w:rPr>
      </w:pPr>
      <w:bookmarkStart w:id="15400" w:name="_Toc25536204"/>
      <w:bookmarkStart w:id="15401" w:name="_Toc25571256"/>
      <w:bookmarkStart w:id="15402" w:name="_Toc25572738"/>
      <w:bookmarkStart w:id="15403" w:name="_Toc25572980"/>
      <w:r>
        <w:rPr>
          <w:rFonts w:hint="cs"/>
          <w:rtl/>
        </w:rPr>
        <w:t>דברי השער"י דאף במגע בב"א יהיה טהור דלענין טומאת מגע פקע הטומאה מהמיעוט לגמרי</w:t>
      </w:r>
      <w:bookmarkEnd w:id="15400"/>
      <w:bookmarkEnd w:id="15401"/>
      <w:bookmarkEnd w:id="15402"/>
      <w:bookmarkEnd w:id="15403"/>
    </w:p>
    <w:p w:rsidR="003A5D2C" w:rsidRDefault="003A5D2C" w:rsidP="009F44AF">
      <w:pPr>
        <w:pStyle w:val="a"/>
        <w:rPr>
          <w:rtl/>
        </w:rPr>
      </w:pPr>
      <w:r>
        <w:rPr>
          <w:rFonts w:hint="cs"/>
          <w:rtl/>
        </w:rPr>
        <w:t xml:space="preserve">וכתב </w:t>
      </w:r>
      <w:r w:rsidRPr="00C351F8">
        <w:rPr>
          <w:rStyle w:val="af8"/>
          <w:rFonts w:hint="cs"/>
          <w:rtl/>
        </w:rPr>
        <w:t>השער"י</w:t>
      </w:r>
      <w:r>
        <w:rPr>
          <w:rFonts w:hint="cs"/>
          <w:rtl/>
        </w:rPr>
        <w:t xml:space="preserve"> דלכן אף אם יגע בכל התערובת בבת אחת, יהיה טהור, דלענין טומאת מגע שהמיעוט סותר לרוב, פקעה הטומאה מהמיעוט לגמרי.</w:t>
      </w:r>
    </w:p>
    <w:p w:rsidR="003A5D2C" w:rsidRPr="00100E9C" w:rsidRDefault="003A5D2C" w:rsidP="003A5D2C">
      <w:pPr>
        <w:pStyle w:val="1"/>
        <w:rPr>
          <w:rtl/>
        </w:rPr>
      </w:pPr>
      <w:bookmarkStart w:id="15404" w:name="_Toc25536205"/>
      <w:bookmarkStart w:id="15405" w:name="_Toc25571257"/>
      <w:bookmarkStart w:id="15406" w:name="_Toc25572739"/>
      <w:bookmarkStart w:id="15407" w:name="_Toc25572981"/>
      <w:r>
        <w:rPr>
          <w:rFonts w:hint="cs"/>
          <w:rtl/>
        </w:rPr>
        <w:t>קושית השער"י דאף במשא בב"א המיעוט מתנגד לרוב</w:t>
      </w:r>
      <w:bookmarkEnd w:id="15404"/>
      <w:bookmarkEnd w:id="15405"/>
      <w:bookmarkEnd w:id="15406"/>
      <w:bookmarkEnd w:id="15407"/>
    </w:p>
    <w:p w:rsidR="003A5D2C" w:rsidRPr="007562DC" w:rsidRDefault="003A5D2C" w:rsidP="003A5D2C">
      <w:pPr>
        <w:pStyle w:val="a2"/>
        <w:rPr>
          <w:rtl/>
        </w:rPr>
      </w:pPr>
      <w:bookmarkStart w:id="15408" w:name="_Toc25536206"/>
      <w:bookmarkStart w:id="15409" w:name="_Toc25571258"/>
      <w:bookmarkStart w:id="15410" w:name="_Toc25572740"/>
      <w:bookmarkStart w:id="15411" w:name="_Toc25572982"/>
      <w:r>
        <w:rPr>
          <w:rFonts w:hint="cs"/>
          <w:rtl/>
        </w:rPr>
        <w:t>דברי השער"י דלהמהר"י קורקוס דמגע טהור דכל נגיעה בפנ"ע א"כ אף משא טהור בזאח"ז</w:t>
      </w:r>
      <w:bookmarkEnd w:id="15408"/>
      <w:bookmarkEnd w:id="15409"/>
      <w:bookmarkEnd w:id="15410"/>
      <w:bookmarkEnd w:id="15411"/>
    </w:p>
    <w:p w:rsidR="003A5D2C" w:rsidRDefault="003A5D2C" w:rsidP="009F44AF">
      <w:pPr>
        <w:pStyle w:val="a"/>
        <w:rPr>
          <w:rtl/>
        </w:rPr>
      </w:pPr>
      <w:r>
        <w:rPr>
          <w:rFonts w:hint="cs"/>
          <w:rtl/>
        </w:rPr>
        <w:t xml:space="preserve">והביא </w:t>
      </w:r>
      <w:r w:rsidRPr="00C351F8">
        <w:rPr>
          <w:rStyle w:val="af8"/>
          <w:rFonts w:hint="cs"/>
          <w:rtl/>
        </w:rPr>
        <w:t>השער"י</w:t>
      </w:r>
      <w:r>
        <w:rPr>
          <w:rFonts w:hint="cs"/>
          <w:rtl/>
        </w:rPr>
        <w:t xml:space="preserve"> </w:t>
      </w:r>
      <w:r w:rsidRPr="00C351F8">
        <w:rPr>
          <w:rStyle w:val="af6"/>
          <w:rFonts w:eastAsia="Guttman Hodes"/>
          <w:rtl/>
        </w:rPr>
        <w:t>(ש"ג פ"ז ד"ה ונלענ"ד)</w:t>
      </w:r>
      <w:r w:rsidRPr="00560840">
        <w:rPr>
          <w:rtl/>
        </w:rPr>
        <w:t xml:space="preserve"> </w:t>
      </w:r>
      <w:r>
        <w:rPr>
          <w:rFonts w:hint="cs"/>
          <w:rtl/>
        </w:rPr>
        <w:t xml:space="preserve">את דברי </w:t>
      </w:r>
      <w:r w:rsidRPr="00C351F8">
        <w:rPr>
          <w:rStyle w:val="af8"/>
          <w:rFonts w:hint="cs"/>
          <w:rtl/>
        </w:rPr>
        <w:t>הכס"מ</w:t>
      </w:r>
      <w:r>
        <w:rPr>
          <w:rFonts w:hint="cs"/>
          <w:rtl/>
        </w:rPr>
        <w:t xml:space="preserve"> </w:t>
      </w:r>
      <w:r w:rsidRPr="004C5C68">
        <w:rPr>
          <w:rStyle w:val="af6"/>
          <w:rFonts w:eastAsia="Guttman Hodes" w:hint="cs"/>
          <w:rtl/>
        </w:rPr>
        <w:t xml:space="preserve">(עי' אות </w:t>
      </w:r>
      <w:r w:rsidRPr="004C5C68">
        <w:rPr>
          <w:rStyle w:val="af6"/>
          <w:rFonts w:eastAsia="Guttman Hodes"/>
          <w:rtl/>
        </w:rPr>
        <w:fldChar w:fldCharType="begin"/>
      </w:r>
      <w:r w:rsidRPr="004C5C68">
        <w:rPr>
          <w:rStyle w:val="af6"/>
          <w:rFonts w:eastAsia="Guttman Hodes"/>
          <w:rtl/>
        </w:rPr>
        <w:instrText xml:space="preserve"> </w:instrText>
      </w:r>
      <w:r w:rsidRPr="004C5C68">
        <w:rPr>
          <w:rStyle w:val="af6"/>
          <w:rFonts w:eastAsia="Guttman Hodes" w:hint="cs"/>
        </w:rPr>
        <w:instrText>REF</w:instrText>
      </w:r>
      <w:r w:rsidRPr="004C5C68">
        <w:rPr>
          <w:rStyle w:val="af6"/>
          <w:rFonts w:eastAsia="Guttman Hodes" w:hint="cs"/>
          <w:rtl/>
        </w:rPr>
        <w:instrText xml:space="preserve"> _</w:instrText>
      </w:r>
      <w:r w:rsidRPr="004C5C68">
        <w:rPr>
          <w:rStyle w:val="af6"/>
          <w:rFonts w:eastAsia="Guttman Hodes" w:hint="cs"/>
        </w:rPr>
        <w:instrText>Ref25522909 \r \h</w:instrText>
      </w:r>
      <w:r w:rsidRPr="004C5C68">
        <w:rPr>
          <w:rStyle w:val="af6"/>
          <w:rFonts w:eastAsia="Guttman Hodes"/>
          <w:rtl/>
        </w:rPr>
        <w:instrText xml:space="preserve"> </w:instrText>
      </w:r>
      <w:r w:rsidRPr="004C5C68">
        <w:rPr>
          <w:rStyle w:val="af6"/>
          <w:rFonts w:eastAsia="Guttman Hodes"/>
          <w:rtl/>
        </w:rPr>
      </w:r>
      <w:r w:rsidRPr="004C5C68">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4C5C68">
        <w:rPr>
          <w:rStyle w:val="af6"/>
          <w:rFonts w:eastAsia="Guttman Hodes"/>
          <w:rtl/>
        </w:rPr>
        <w:fldChar w:fldCharType="end"/>
      </w:r>
      <w:r>
        <w:rPr>
          <w:rFonts w:hint="cs"/>
          <w:rtl/>
        </w:rPr>
        <w:t xml:space="preserve"> בשם </w:t>
      </w:r>
      <w:r w:rsidRPr="00C351F8">
        <w:rPr>
          <w:rStyle w:val="af8"/>
          <w:rFonts w:hint="cs"/>
          <w:rtl/>
        </w:rPr>
        <w:t>המהר"י קורקוס</w:t>
      </w:r>
      <w:r>
        <w:rPr>
          <w:rFonts w:hint="cs"/>
          <w:rtl/>
        </w:rPr>
        <w:t xml:space="preserve"> דכתב דבטומאת מגע, כל נגיעה היא בפנ"ע, כיון שהבשר שנוגע בזית אחד אינו נוגע בזית אחר, ולכן חשיב כנוגע וחוזר ונוגע, אבל בטומאת משא, א"א לומר שחשיב שנושא כל זית בפנ"ע, וכתב </w:t>
      </w:r>
      <w:r w:rsidRPr="00C351F8">
        <w:rPr>
          <w:rStyle w:val="af8"/>
          <w:rFonts w:hint="cs"/>
          <w:rtl/>
        </w:rPr>
        <w:t>השער"י</w:t>
      </w:r>
      <w:r>
        <w:rPr>
          <w:rFonts w:hint="cs"/>
          <w:rtl/>
        </w:rPr>
        <w:t xml:space="preserve"> דלפי"ז בנושא את כל החתיכות בזה אחר זה, דמי לטומאת מגע, ולא לנושא את כל התערובת בבת אחת, כיון שעל כל משא שנושא, יש דין רוב.</w:t>
      </w:r>
    </w:p>
    <w:p w:rsidR="003A5D2C" w:rsidRPr="00211FF3" w:rsidRDefault="003A5D2C" w:rsidP="003A5D2C">
      <w:pPr>
        <w:pStyle w:val="a2"/>
      </w:pPr>
      <w:bookmarkStart w:id="15412" w:name="_Toc25536207"/>
      <w:bookmarkStart w:id="15413" w:name="_Toc25571259"/>
      <w:bookmarkStart w:id="15414" w:name="_Toc25572741"/>
      <w:bookmarkStart w:id="15415" w:name="_Toc25572983"/>
      <w:r>
        <w:rPr>
          <w:rFonts w:hint="cs"/>
          <w:rtl/>
        </w:rPr>
        <w:t>קושית השער"י דאי במשא בזאח"ז טהור ופקעה הטומאה א"כ אף במשא בב"א יהיה טהור</w:t>
      </w:r>
      <w:bookmarkEnd w:id="15412"/>
      <w:bookmarkEnd w:id="15413"/>
      <w:bookmarkEnd w:id="15414"/>
      <w:bookmarkEnd w:id="15415"/>
    </w:p>
    <w:p w:rsidR="003A5D2C" w:rsidRDefault="003A5D2C" w:rsidP="009F44AF">
      <w:pPr>
        <w:pStyle w:val="a"/>
        <w:rPr>
          <w:rtl/>
        </w:rPr>
      </w:pPr>
      <w:r>
        <w:rPr>
          <w:rFonts w:hint="cs"/>
          <w:rtl/>
        </w:rPr>
        <w:t xml:space="preserve">והקשה </w:t>
      </w:r>
      <w:r w:rsidRPr="00C351F8">
        <w:rPr>
          <w:rStyle w:val="af8"/>
          <w:rFonts w:hint="cs"/>
          <w:rtl/>
        </w:rPr>
        <w:t>השער"י</w:t>
      </w:r>
      <w:r>
        <w:rPr>
          <w:rFonts w:hint="cs"/>
          <w:rtl/>
        </w:rPr>
        <w:t xml:space="preserve"> דא"כ אי נימא דבמשא בנושא בזה אחר זה, פקע מכל חתיכה וחתיכה דין הטומאה, א"כ צריך להיות טהור אף כשנושא בבת </w:t>
      </w:r>
      <w:r w:rsidRPr="007B54AE">
        <w:rPr>
          <w:rFonts w:hint="cs"/>
          <w:rtl/>
        </w:rPr>
        <w:t>אחת, דהרי בטומאת משא לא שייך שתהיה טומאה לחצאין</w:t>
      </w:r>
      <w:r>
        <w:rPr>
          <w:rFonts w:hint="cs"/>
          <w:rtl/>
        </w:rPr>
        <w:t>.</w:t>
      </w:r>
      <w:r w:rsidRPr="007B54AE">
        <w:rPr>
          <w:rFonts w:hint="cs"/>
          <w:rtl/>
        </w:rPr>
        <w:t xml:space="preserve"> </w:t>
      </w:r>
      <w:r w:rsidRPr="00C351F8">
        <w:rPr>
          <w:rStyle w:val="afa"/>
          <w:rFonts w:hint="cs"/>
          <w:rtl/>
        </w:rPr>
        <w:t xml:space="preserve">[כדביאר </w:t>
      </w:r>
      <w:r w:rsidRPr="00C351F8">
        <w:rPr>
          <w:rStyle w:val="affa"/>
          <w:rFonts w:hint="cs"/>
          <w:rtl/>
        </w:rPr>
        <w:t>השער"י</w:t>
      </w:r>
      <w:r w:rsidRPr="00C351F8">
        <w:rPr>
          <w:rStyle w:val="afa"/>
          <w:rFonts w:hint="cs"/>
          <w:rtl/>
        </w:rPr>
        <w:t xml:space="preserve"> </w:t>
      </w:r>
      <w:r w:rsidRPr="004C5C68">
        <w:rPr>
          <w:rStyle w:val="aff6"/>
          <w:rFonts w:hint="cs"/>
          <w:rtl/>
        </w:rPr>
        <w:t xml:space="preserve">(עי' אות </w:t>
      </w:r>
      <w:r w:rsidRPr="004C5C68">
        <w:rPr>
          <w:rStyle w:val="aff6"/>
          <w:rtl/>
        </w:rPr>
        <w:fldChar w:fldCharType="begin"/>
      </w:r>
      <w:r w:rsidRPr="004C5C68">
        <w:rPr>
          <w:rStyle w:val="aff6"/>
          <w:rtl/>
        </w:rPr>
        <w:instrText xml:space="preserve"> </w:instrText>
      </w:r>
      <w:r w:rsidRPr="004C5C68">
        <w:rPr>
          <w:rStyle w:val="aff6"/>
          <w:rFonts w:hint="cs"/>
        </w:rPr>
        <w:instrText>REF</w:instrText>
      </w:r>
      <w:r w:rsidRPr="004C5C68">
        <w:rPr>
          <w:rStyle w:val="aff6"/>
          <w:rFonts w:hint="cs"/>
          <w:rtl/>
        </w:rPr>
        <w:instrText xml:space="preserve"> _</w:instrText>
      </w:r>
      <w:r w:rsidRPr="004C5C68">
        <w:rPr>
          <w:rStyle w:val="aff6"/>
          <w:rFonts w:hint="cs"/>
        </w:rPr>
        <w:instrText>Ref25526978 \r \h</w:instrText>
      </w:r>
      <w:r w:rsidRPr="004C5C68">
        <w:rPr>
          <w:rStyle w:val="aff6"/>
          <w:rtl/>
        </w:rPr>
        <w:instrText xml:space="preserve"> </w:instrText>
      </w:r>
      <w:r w:rsidRPr="004C5C68">
        <w:rPr>
          <w:rStyle w:val="aff6"/>
          <w:rtl/>
        </w:rPr>
      </w:r>
      <w:r w:rsidRPr="004C5C68">
        <w:rPr>
          <w:rStyle w:val="aff6"/>
          <w:rtl/>
        </w:rPr>
        <w:fldChar w:fldCharType="separate"/>
      </w:r>
      <w:r w:rsidR="004D1C5B">
        <w:rPr>
          <w:rStyle w:val="aff6"/>
          <w:cs/>
        </w:rPr>
        <w:t>‎</w:t>
      </w:r>
      <w:r w:rsidR="004D1C5B">
        <w:rPr>
          <w:rStyle w:val="aff6"/>
          <w:rtl/>
        </w:rPr>
        <w:t>ס)</w:t>
      </w:r>
      <w:r w:rsidRPr="004C5C68">
        <w:rPr>
          <w:rStyle w:val="aff6"/>
          <w:rtl/>
        </w:rPr>
        <w:fldChar w:fldCharType="end"/>
      </w:r>
      <w:r w:rsidRPr="00C351F8">
        <w:rPr>
          <w:rStyle w:val="afa"/>
          <w:rFonts w:hint="cs"/>
          <w:rtl/>
        </w:rPr>
        <w:t xml:space="preserve"> בדברי </w:t>
      </w:r>
      <w:r w:rsidRPr="00C351F8">
        <w:rPr>
          <w:rStyle w:val="affa"/>
          <w:rFonts w:hint="cs"/>
          <w:rtl/>
        </w:rPr>
        <w:t>הרא"ש</w:t>
      </w:r>
      <w:r w:rsidRPr="00C351F8">
        <w:rPr>
          <w:rStyle w:val="afa"/>
          <w:rFonts w:hint="cs"/>
          <w:rtl/>
        </w:rPr>
        <w:t>].</w:t>
      </w:r>
    </w:p>
    <w:p w:rsidR="003A5D2C" w:rsidRPr="00100E9C" w:rsidRDefault="003A5D2C" w:rsidP="003A5D2C">
      <w:pPr>
        <w:pStyle w:val="1"/>
        <w:rPr>
          <w:rtl/>
        </w:rPr>
      </w:pPr>
      <w:bookmarkStart w:id="15416" w:name="_Toc25536208"/>
      <w:bookmarkStart w:id="15417" w:name="_Toc25571260"/>
      <w:bookmarkStart w:id="15418" w:name="_Toc25572742"/>
      <w:bookmarkStart w:id="15419" w:name="_Toc25572984"/>
      <w:r>
        <w:rPr>
          <w:rFonts w:hint="cs"/>
          <w:rtl/>
        </w:rPr>
        <w:t>ביאור השער"י דבמשא בזאח"ז אין כח לרוב ולכן טמא בב"א</w:t>
      </w:r>
      <w:bookmarkEnd w:id="15416"/>
      <w:bookmarkEnd w:id="15417"/>
      <w:bookmarkEnd w:id="15418"/>
      <w:bookmarkEnd w:id="15419"/>
    </w:p>
    <w:p w:rsidR="003A5D2C" w:rsidRPr="00826303" w:rsidRDefault="003A5D2C" w:rsidP="003A5D2C">
      <w:pPr>
        <w:pStyle w:val="a2"/>
        <w:rPr>
          <w:rtl/>
        </w:rPr>
      </w:pPr>
      <w:bookmarkStart w:id="15420" w:name="_Toc25536209"/>
      <w:bookmarkStart w:id="15421" w:name="_Toc25571261"/>
      <w:bookmarkStart w:id="15422" w:name="_Toc25572743"/>
      <w:bookmarkStart w:id="15423" w:name="_Toc25572985"/>
      <w:r>
        <w:rPr>
          <w:rFonts w:hint="cs"/>
          <w:rtl/>
        </w:rPr>
        <w:t>דברי השער"י דאי הרוב יפקיע מיעוט בב"א ובבזאח"ז א"כ כח הרוב אף כשהמיעוט לא מתנגד לו</w:t>
      </w:r>
      <w:bookmarkEnd w:id="15420"/>
      <w:bookmarkEnd w:id="15421"/>
      <w:bookmarkEnd w:id="15422"/>
      <w:bookmarkEnd w:id="15423"/>
    </w:p>
    <w:p w:rsidR="003A5D2C" w:rsidRDefault="003A5D2C" w:rsidP="009F44AF">
      <w:pPr>
        <w:pStyle w:val="a"/>
        <w:rPr>
          <w:rtl/>
        </w:rPr>
      </w:pPr>
      <w:r>
        <w:rPr>
          <w:rFonts w:hint="cs"/>
          <w:rtl/>
        </w:rPr>
        <w:t>אלא ביאר</w:t>
      </w:r>
      <w:r w:rsidRPr="007B54AE">
        <w:rPr>
          <w:rFonts w:hint="cs"/>
          <w:rtl/>
        </w:rPr>
        <w:t xml:space="preserve"> </w:t>
      </w:r>
      <w:r w:rsidRPr="00C351F8">
        <w:rPr>
          <w:rStyle w:val="af8"/>
          <w:rFonts w:hint="cs"/>
          <w:rtl/>
        </w:rPr>
        <w:t>השער"י</w:t>
      </w:r>
      <w:r w:rsidRPr="007B54AE">
        <w:rPr>
          <w:rFonts w:hint="cs"/>
          <w:rtl/>
        </w:rPr>
        <w:t xml:space="preserve"> </w:t>
      </w:r>
      <w:r>
        <w:rPr>
          <w:rFonts w:hint="cs"/>
          <w:rtl/>
        </w:rPr>
        <w:t>דאי הרוב יפקיע את הכח של המיעוט לענין משא בבת אחת, ונעשה המיעוט טהור לגמרי, א"כ יוצא שאף בנושא בזה אחר זה המיעוט טהור לגמרי, דהא אין טומאה לחצאין, ובבזה אחר זה</w:t>
      </w:r>
      <w:r w:rsidRPr="00371194">
        <w:rPr>
          <w:rFonts w:hint="cs"/>
          <w:rtl/>
        </w:rPr>
        <w:t xml:space="preserve"> </w:t>
      </w:r>
      <w:r>
        <w:rPr>
          <w:rFonts w:hint="cs"/>
          <w:rtl/>
        </w:rPr>
        <w:t xml:space="preserve">הרי </w:t>
      </w:r>
      <w:r w:rsidRPr="007B54AE">
        <w:rPr>
          <w:rFonts w:hint="cs"/>
          <w:rtl/>
        </w:rPr>
        <w:t>הדין של המיעוט אינו מתנגד לדין של הרוב,</w:t>
      </w:r>
      <w:r>
        <w:rPr>
          <w:rFonts w:hint="cs"/>
          <w:rtl/>
        </w:rPr>
        <w:t xml:space="preserve"> וא"כ יהיה לרוב כח להפקיע את המיעוט במקום שאינו מתנגד לו, ואין כח לרוב להפקיע יותר ממה שאמרה תורה, דרק כשהמיעוט מתנגד לו הוא מפקיעו.</w:t>
      </w:r>
    </w:p>
    <w:p w:rsidR="003A5D2C" w:rsidRPr="00243A7D" w:rsidRDefault="003A5D2C" w:rsidP="003A5D2C">
      <w:pPr>
        <w:pStyle w:val="a2"/>
        <w:rPr>
          <w:rtl/>
        </w:rPr>
      </w:pPr>
      <w:bookmarkStart w:id="15424" w:name="_Toc25536210"/>
      <w:bookmarkStart w:id="15425" w:name="_Toc25571262"/>
      <w:bookmarkStart w:id="15426" w:name="_Toc25572744"/>
      <w:bookmarkStart w:id="15427" w:name="_Toc25572986"/>
      <w:r>
        <w:rPr>
          <w:rFonts w:hint="cs"/>
          <w:rtl/>
        </w:rPr>
        <w:t>דברי השער"י דבמשא צריך להקטין את הרוב שלא יפקיע מיעוט שאינו מתנגד לו וטמא בב"א</w:t>
      </w:r>
      <w:bookmarkEnd w:id="15424"/>
      <w:bookmarkEnd w:id="15425"/>
      <w:bookmarkEnd w:id="15426"/>
      <w:bookmarkEnd w:id="15427"/>
    </w:p>
    <w:p w:rsidR="003A5D2C" w:rsidRPr="00C351F8" w:rsidRDefault="003A5D2C" w:rsidP="009F44AF">
      <w:pPr>
        <w:pStyle w:val="a"/>
        <w:rPr>
          <w:rStyle w:val="afa"/>
          <w:rtl/>
        </w:rPr>
      </w:pPr>
      <w:r>
        <w:rPr>
          <w:rFonts w:hint="cs"/>
          <w:rtl/>
        </w:rPr>
        <w:t xml:space="preserve">ולכן כתב </w:t>
      </w:r>
      <w:r w:rsidRPr="00232F7E">
        <w:rPr>
          <w:rStyle w:val="af8"/>
          <w:rFonts w:hint="cs"/>
          <w:rtl/>
        </w:rPr>
        <w:t>השער"י</w:t>
      </w:r>
      <w:r>
        <w:rPr>
          <w:rFonts w:hint="cs"/>
          <w:rtl/>
        </w:rPr>
        <w:t xml:space="preserve"> ד</w:t>
      </w:r>
      <w:r w:rsidRPr="007B54AE">
        <w:rPr>
          <w:rFonts w:hint="cs"/>
          <w:rtl/>
        </w:rPr>
        <w:t>ב</w:t>
      </w:r>
      <w:r>
        <w:rPr>
          <w:rFonts w:hint="cs"/>
          <w:rtl/>
        </w:rPr>
        <w:t xml:space="preserve">טומאת </w:t>
      </w:r>
      <w:r w:rsidRPr="007B54AE">
        <w:rPr>
          <w:rFonts w:hint="cs"/>
          <w:rtl/>
        </w:rPr>
        <w:t>משא</w:t>
      </w:r>
      <w:r>
        <w:rPr>
          <w:rFonts w:hint="cs"/>
          <w:rtl/>
        </w:rPr>
        <w:t xml:space="preserve"> אמרינן להיפך ד</w:t>
      </w:r>
      <w:r w:rsidRPr="007B54AE">
        <w:rPr>
          <w:rFonts w:hint="cs"/>
          <w:rtl/>
        </w:rPr>
        <w:t xml:space="preserve">צריך להקטין את הכח של הרוב, שלא יפקיע את הדין של המיעוט בטומאת משא לגמרי, </w:t>
      </w:r>
      <w:r>
        <w:rPr>
          <w:rFonts w:hint="cs"/>
          <w:rtl/>
        </w:rPr>
        <w:t>ולכן הוא מטמא בנושא בבת אחת. [</w:t>
      </w:r>
      <w:r w:rsidRPr="00C351F8">
        <w:rPr>
          <w:rStyle w:val="afa"/>
          <w:rFonts w:hint="cs"/>
          <w:rtl/>
        </w:rPr>
        <w:t>ובבזה אחר זה טהור, אף שאינו מפקיע את כח המיעוט, דעל כל חתיכה יש היתר מדין הלך אחר הרוב].</w:t>
      </w:r>
    </w:p>
    <w:p w:rsidR="003A5D2C" w:rsidRDefault="003A5D2C" w:rsidP="003A5D2C">
      <w:pPr>
        <w:pStyle w:val="a2"/>
        <w:rPr>
          <w:rtl/>
        </w:rPr>
      </w:pPr>
      <w:bookmarkStart w:id="15428" w:name="_Toc25536211"/>
      <w:bookmarkStart w:id="15429" w:name="_Toc25571263"/>
      <w:bookmarkStart w:id="15430" w:name="_Toc25572745"/>
      <w:bookmarkStart w:id="15431" w:name="_Toc25572987"/>
      <w:r>
        <w:rPr>
          <w:rFonts w:hint="cs"/>
          <w:rtl/>
        </w:rPr>
        <w:t>ביאור השער"י דהמיעוט והרוב הם בין הטומאה לטהרה ומתקיים דין הרוב בטומאת מגע</w:t>
      </w:r>
      <w:bookmarkEnd w:id="15428"/>
      <w:bookmarkEnd w:id="15429"/>
      <w:bookmarkEnd w:id="15430"/>
      <w:bookmarkEnd w:id="15431"/>
    </w:p>
    <w:p w:rsidR="003A5D2C" w:rsidRDefault="003A5D2C" w:rsidP="009F44AF">
      <w:pPr>
        <w:pStyle w:val="a"/>
        <w:rPr>
          <w:rtl/>
        </w:rPr>
      </w:pPr>
      <w:r>
        <w:rPr>
          <w:rFonts w:hint="cs"/>
          <w:rtl/>
        </w:rPr>
        <w:t xml:space="preserve">וביאר </w:t>
      </w:r>
      <w:r w:rsidRPr="00D904C5">
        <w:rPr>
          <w:rStyle w:val="af8"/>
          <w:rFonts w:hint="cs"/>
          <w:rtl/>
        </w:rPr>
        <w:t>השער"י</w:t>
      </w:r>
      <w:r>
        <w:rPr>
          <w:rFonts w:hint="cs"/>
          <w:rtl/>
        </w:rPr>
        <w:t xml:space="preserve"> דמ"מ דין הרוב מתקיים בתערובת, דכיון שבטומאה </w:t>
      </w:r>
      <w:r w:rsidRPr="007B54AE">
        <w:rPr>
          <w:rFonts w:hint="cs"/>
          <w:rtl/>
        </w:rPr>
        <w:t xml:space="preserve">יש ב' מיני טומאות מגע ומשא, א"כ אפש"ל דלענין דין טומאת מגע פקעה הטומאה לגמרי, ובמגע יש כח לרוב יותר מלמיעוט, וכתב </w:t>
      </w:r>
      <w:r w:rsidRPr="00D904C5">
        <w:rPr>
          <w:rStyle w:val="af8"/>
          <w:rFonts w:hint="cs"/>
          <w:rtl/>
        </w:rPr>
        <w:t>השער"י</w:t>
      </w:r>
      <w:r w:rsidRPr="007B54AE">
        <w:rPr>
          <w:rFonts w:hint="cs"/>
          <w:rtl/>
        </w:rPr>
        <w:t xml:space="preserve"> דאף שהם ב' דינים שונים וא"כ</w:t>
      </w:r>
      <w:r>
        <w:rPr>
          <w:rFonts w:hint="cs"/>
          <w:rtl/>
        </w:rPr>
        <w:t xml:space="preserve"> היה צריך לומ ש</w:t>
      </w:r>
      <w:r w:rsidRPr="007B54AE">
        <w:rPr>
          <w:rFonts w:hint="cs"/>
          <w:rtl/>
        </w:rPr>
        <w:t xml:space="preserve">בכל דין צריך שיהיה כח לרוב יותר מלמיעוט, מ"מ כיון </w:t>
      </w:r>
      <w:r>
        <w:rPr>
          <w:rFonts w:hint="cs"/>
          <w:rtl/>
        </w:rPr>
        <w:t>ש</w:t>
      </w:r>
      <w:r w:rsidRPr="007B54AE">
        <w:rPr>
          <w:rFonts w:hint="cs"/>
          <w:rtl/>
        </w:rPr>
        <w:t>ההתנגדות של המיעוט לרוב, אינה בין טומאת מגע לטומאת משא, אלא היא בין הטהרה לבין הטומאה, וכיון שלענין טומאת מגע, התקיים דין הרוב,</w:t>
      </w:r>
      <w:r>
        <w:rPr>
          <w:rFonts w:hint="cs"/>
          <w:rtl/>
        </w:rPr>
        <w:t xml:space="preserve"> </w:t>
      </w:r>
      <w:r w:rsidRPr="00D904C5">
        <w:rPr>
          <w:rStyle w:val="afa"/>
          <w:rFonts w:hint="cs"/>
          <w:rtl/>
        </w:rPr>
        <w:t>[דהיינו שחתיכות השחוטה יש בהם כח רוב לבטל את דין חתיכת הנבילה, לענין טומאת מגע, והתקיים בזה דין הרו</w:t>
      </w:r>
      <w:r>
        <w:rPr>
          <w:rStyle w:val="afa"/>
          <w:rFonts w:hint="cs"/>
          <w:rtl/>
        </w:rPr>
        <w:t>ב</w:t>
      </w:r>
      <w:r w:rsidRPr="00D904C5">
        <w:rPr>
          <w:rStyle w:val="afa"/>
          <w:rFonts w:hint="cs"/>
          <w:rtl/>
        </w:rPr>
        <w:t xml:space="preserve">], </w:t>
      </w:r>
      <w:r w:rsidRPr="007B54AE">
        <w:rPr>
          <w:rFonts w:hint="cs"/>
          <w:rtl/>
        </w:rPr>
        <w:t>ממילא אמרינן שאין להוסיף כח ברוב יותר ממה שאמרה תורה, ולכן כיון שבטומאת משא כשנושא בבת אחת הוא טמא</w:t>
      </w:r>
      <w:r>
        <w:rPr>
          <w:rFonts w:hint="cs"/>
          <w:rtl/>
        </w:rPr>
        <w:t>,</w:t>
      </w:r>
      <w:r w:rsidRPr="007B54AE">
        <w:rPr>
          <w:rFonts w:hint="cs"/>
          <w:rtl/>
        </w:rPr>
        <w:t xml:space="preserve"> ממילא טמא אף בבזה אחר זה</w:t>
      </w:r>
      <w:r>
        <w:rPr>
          <w:rFonts w:hint="cs"/>
          <w:rtl/>
        </w:rPr>
        <w:t>, ואין כח לרוב להפקיע את המיעוט במשא כלל.</w:t>
      </w:r>
    </w:p>
    <w:p w:rsidR="003A5D2C" w:rsidRPr="00EC1DE4" w:rsidRDefault="003A5D2C" w:rsidP="003A5D2C">
      <w:pPr>
        <w:pStyle w:val="1"/>
        <w:rPr>
          <w:rtl/>
        </w:rPr>
      </w:pPr>
      <w:bookmarkStart w:id="15432" w:name="_Toc25536212"/>
      <w:bookmarkStart w:id="15433" w:name="_Toc25571264"/>
      <w:bookmarkStart w:id="15434" w:name="_Toc25572746"/>
      <w:bookmarkStart w:id="15435" w:name="_Toc25572988"/>
      <w:r>
        <w:rPr>
          <w:rFonts w:hint="cs"/>
          <w:rtl/>
        </w:rPr>
        <w:t>ביאור השער"י בחילוק הרא"ש בין טומאה לאיסור</w:t>
      </w:r>
      <w:bookmarkEnd w:id="15432"/>
      <w:bookmarkEnd w:id="15433"/>
      <w:bookmarkEnd w:id="15434"/>
      <w:bookmarkEnd w:id="15435"/>
    </w:p>
    <w:p w:rsidR="003A5D2C" w:rsidRPr="00FD720F" w:rsidRDefault="003A5D2C" w:rsidP="003A5D2C">
      <w:pPr>
        <w:pStyle w:val="a2"/>
      </w:pPr>
      <w:bookmarkStart w:id="15436" w:name="_Toc25536213"/>
      <w:bookmarkStart w:id="15437" w:name="_Toc25571265"/>
      <w:bookmarkStart w:id="15438" w:name="_Toc25572747"/>
      <w:bookmarkStart w:id="15439" w:name="_Toc25572989"/>
      <w:r>
        <w:rPr>
          <w:rFonts w:hint="cs"/>
          <w:rtl/>
        </w:rPr>
        <w:t>ביאור השער"י ברא"ש דכיון דמשא ומגע הם ב' דינים שונים מתקיים דין הרוב במגע ולא במשא</w:t>
      </w:r>
      <w:bookmarkEnd w:id="15436"/>
      <w:bookmarkEnd w:id="15437"/>
      <w:bookmarkEnd w:id="15438"/>
      <w:bookmarkEnd w:id="15439"/>
    </w:p>
    <w:p w:rsidR="003A5D2C" w:rsidRDefault="003A5D2C" w:rsidP="009F44AF">
      <w:pPr>
        <w:pStyle w:val="a"/>
        <w:rPr>
          <w:rtl/>
        </w:rPr>
      </w:pPr>
      <w:r>
        <w:rPr>
          <w:rFonts w:hint="cs"/>
          <w:rtl/>
        </w:rPr>
        <w:t xml:space="preserve">וכתב </w:t>
      </w:r>
      <w:r w:rsidRPr="00D904C5">
        <w:rPr>
          <w:rStyle w:val="af8"/>
          <w:rFonts w:hint="cs"/>
          <w:rtl/>
        </w:rPr>
        <w:t>השער"י</w:t>
      </w:r>
      <w:r>
        <w:rPr>
          <w:rFonts w:hint="cs"/>
          <w:rtl/>
        </w:rPr>
        <w:t xml:space="preserve"> דלכן הוצרך </w:t>
      </w:r>
      <w:r w:rsidRPr="00D904C5">
        <w:rPr>
          <w:rStyle w:val="af8"/>
          <w:rFonts w:hint="cs"/>
          <w:rtl/>
        </w:rPr>
        <w:t>הרא"ש</w:t>
      </w:r>
      <w:r>
        <w:rPr>
          <w:rFonts w:hint="cs"/>
          <w:rtl/>
        </w:rPr>
        <w:t xml:space="preserve"> </w:t>
      </w:r>
      <w:r w:rsidRPr="00507E27">
        <w:rPr>
          <w:rStyle w:val="af6"/>
          <w:rFonts w:eastAsia="Guttman Hodes" w:hint="cs"/>
          <w:rtl/>
        </w:rPr>
        <w:t xml:space="preserve">(עי' אות </w:t>
      </w:r>
      <w:r w:rsidRPr="00507E27">
        <w:rPr>
          <w:rStyle w:val="af6"/>
          <w:rFonts w:eastAsia="Guttman Hodes"/>
          <w:rtl/>
        </w:rPr>
        <w:fldChar w:fldCharType="begin"/>
      </w:r>
      <w:r w:rsidRPr="00507E27">
        <w:rPr>
          <w:rStyle w:val="af6"/>
          <w:rFonts w:eastAsia="Guttman Hodes"/>
          <w:rtl/>
        </w:rPr>
        <w:instrText xml:space="preserve"> </w:instrText>
      </w:r>
      <w:r w:rsidRPr="00507E27">
        <w:rPr>
          <w:rStyle w:val="af6"/>
          <w:rFonts w:eastAsia="Guttman Hodes" w:hint="cs"/>
        </w:rPr>
        <w:instrText>REF</w:instrText>
      </w:r>
      <w:r w:rsidRPr="00507E27">
        <w:rPr>
          <w:rStyle w:val="af6"/>
          <w:rFonts w:eastAsia="Guttman Hodes" w:hint="cs"/>
          <w:rtl/>
        </w:rPr>
        <w:instrText xml:space="preserve"> _</w:instrText>
      </w:r>
      <w:r w:rsidRPr="00507E27">
        <w:rPr>
          <w:rStyle w:val="af6"/>
          <w:rFonts w:eastAsia="Guttman Hodes" w:hint="cs"/>
        </w:rPr>
        <w:instrText>Ref25491847 \r \h</w:instrText>
      </w:r>
      <w:r w:rsidRPr="00507E27">
        <w:rPr>
          <w:rStyle w:val="af6"/>
          <w:rFonts w:eastAsia="Guttman Hodes"/>
          <w:rtl/>
        </w:rPr>
        <w:instrText xml:space="preserve"> </w:instrText>
      </w:r>
      <w:r w:rsidRPr="00507E27">
        <w:rPr>
          <w:rStyle w:val="af6"/>
          <w:rFonts w:eastAsia="Guttman Hodes"/>
          <w:rtl/>
        </w:rPr>
      </w:r>
      <w:r w:rsidRPr="00507E27">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507E27">
        <w:rPr>
          <w:rStyle w:val="af6"/>
          <w:rFonts w:eastAsia="Guttman Hodes"/>
          <w:rtl/>
        </w:rPr>
        <w:fldChar w:fldCharType="end"/>
      </w:r>
      <w:r>
        <w:rPr>
          <w:rFonts w:hint="cs"/>
          <w:rtl/>
        </w:rPr>
        <w:t xml:space="preserve"> לומר שהם ב' מיני טומאה, דאי </w:t>
      </w:r>
      <w:r w:rsidRPr="007B54AE">
        <w:rPr>
          <w:rFonts w:hint="cs"/>
          <w:rtl/>
        </w:rPr>
        <w:t xml:space="preserve">הם דין טומאה אחד, א"א לומר </w:t>
      </w:r>
      <w:r>
        <w:rPr>
          <w:rFonts w:hint="cs"/>
          <w:rtl/>
        </w:rPr>
        <w:t xml:space="preserve">שבמשא יהיה טמא בכדי שהרוב לא יבטל את המיעוט במקום שאינו מתנגד לו דהיינו בבזה אחר זה, </w:t>
      </w:r>
      <w:r w:rsidRPr="007B54AE">
        <w:rPr>
          <w:rFonts w:hint="cs"/>
          <w:rtl/>
        </w:rPr>
        <w:t xml:space="preserve">דא"כ יש כח למיעוט יותר מאשר לרוב, דהמיעוט משנה את דין הרוב לטמא אף בבזה אחר זה, וזה לא יתכן, דהא אמרה תורה "אחרי רבים להטות", </w:t>
      </w:r>
      <w:r>
        <w:rPr>
          <w:rFonts w:hint="cs"/>
          <w:rtl/>
        </w:rPr>
        <w:t>ורק</w:t>
      </w:r>
      <w:r w:rsidRPr="007B54AE">
        <w:rPr>
          <w:rFonts w:hint="cs"/>
          <w:rtl/>
        </w:rPr>
        <w:t xml:space="preserve"> כיון שהם ב' דינים שונים,</w:t>
      </w:r>
      <w:r>
        <w:rPr>
          <w:rFonts w:hint="cs"/>
          <w:rtl/>
        </w:rPr>
        <w:t xml:space="preserve"> מתקיים דין "אחרי </w:t>
      </w:r>
      <w:r w:rsidRPr="005B515E">
        <w:rPr>
          <w:rFonts w:hint="cs"/>
          <w:rtl/>
        </w:rPr>
        <w:t>רבים להטות" לענין מגע, לכן לענין משא אין דין ביטול ברוב</w:t>
      </w:r>
      <w:r>
        <w:rPr>
          <w:rFonts w:hint="cs"/>
          <w:rtl/>
        </w:rPr>
        <w:t>, דבמטומאת משא אין כח לרוב להפקיע יותר ממה שאמרה תורה</w:t>
      </w:r>
      <w:r w:rsidRPr="007B54AE">
        <w:rPr>
          <w:rFonts w:hint="cs"/>
          <w:rtl/>
        </w:rPr>
        <w:t>.</w:t>
      </w:r>
    </w:p>
    <w:p w:rsidR="003A5D2C" w:rsidRDefault="003A5D2C" w:rsidP="003A5D2C">
      <w:pPr>
        <w:pStyle w:val="a2"/>
        <w:rPr>
          <w:rtl/>
        </w:rPr>
      </w:pPr>
      <w:bookmarkStart w:id="15440" w:name="_Toc25536214"/>
      <w:bookmarkStart w:id="15441" w:name="_Toc25571266"/>
      <w:bookmarkStart w:id="15442" w:name="_Toc25572748"/>
      <w:bookmarkStart w:id="15443" w:name="_Toc25572990"/>
      <w:r>
        <w:rPr>
          <w:rFonts w:hint="cs"/>
          <w:rtl/>
        </w:rPr>
        <w:t>ביאור השער"י ברא"ש דבאכילה אין ב' דינים ומרוב בזאח"ז מוכח דפקע איסור האכילה לגמרי</w:t>
      </w:r>
      <w:bookmarkEnd w:id="15440"/>
      <w:bookmarkEnd w:id="15441"/>
      <w:bookmarkEnd w:id="15442"/>
      <w:bookmarkEnd w:id="15443"/>
    </w:p>
    <w:p w:rsidR="003A5D2C" w:rsidRDefault="003A5D2C" w:rsidP="009F44AF">
      <w:pPr>
        <w:pStyle w:val="a"/>
        <w:rPr>
          <w:rtl/>
        </w:rPr>
      </w:pPr>
      <w:r>
        <w:rPr>
          <w:rFonts w:hint="cs"/>
          <w:rtl/>
        </w:rPr>
        <w:t xml:space="preserve">אבל לענין איסור כתב </w:t>
      </w:r>
      <w:r w:rsidRPr="00D904C5">
        <w:rPr>
          <w:rStyle w:val="af8"/>
          <w:rFonts w:hint="cs"/>
          <w:rtl/>
        </w:rPr>
        <w:t>השער"י</w:t>
      </w:r>
      <w:r>
        <w:rPr>
          <w:rFonts w:hint="cs"/>
          <w:rtl/>
        </w:rPr>
        <w:t xml:space="preserve"> דכיון שאין חילוק בין איסור אכילה בבת אחת, לאכילה בזה אחר זה, ולכן לא שייך לומר שלענין בזה אחר זה מותר, ובבת אחת אסור, אלא או דאסור לגמרי או דמותר לגמרי, וכיון דאמרה תורה "אחרי רבים להטות" ומוכח דפקע האיסור לענין בזה אחר זה, א"כ כמו דבדיינים אמרה תורה שאם המיעוט סותר את הרוב, המיעוט מתבטל, ה"ה בכל אופן שיש סתירה בין המיעוט לרוב דהמיעוט בטל, ונעשה דין המיעוט כדין הרוב.</w:t>
      </w:r>
    </w:p>
    <w:p w:rsidR="003A5D2C" w:rsidRDefault="003A5D2C" w:rsidP="003A5D2C">
      <w:pPr>
        <w:pStyle w:val="a2"/>
        <w:rPr>
          <w:rtl/>
        </w:rPr>
      </w:pPr>
      <w:bookmarkStart w:id="15444" w:name="_Toc25571267"/>
      <w:bookmarkStart w:id="15445" w:name="_Toc25572749"/>
      <w:bookmarkStart w:id="15446" w:name="_Toc25572991"/>
      <w:bookmarkStart w:id="15447" w:name="_Toc25524697"/>
      <w:bookmarkStart w:id="15448" w:name="_Toc25536215"/>
      <w:r>
        <w:rPr>
          <w:rFonts w:hint="cs"/>
          <w:rtl/>
        </w:rPr>
        <w:t>ביאור השער"י ברא"ש דבלח א"א לאסור בב"א דבטל כח הרוב אבל ביבש הרוב מתיר בבזאח"ז</w:t>
      </w:r>
      <w:bookmarkEnd w:id="15444"/>
      <w:bookmarkEnd w:id="15445"/>
      <w:bookmarkEnd w:id="15446"/>
    </w:p>
    <w:p w:rsidR="003A5D2C" w:rsidRDefault="003A5D2C" w:rsidP="009F44AF">
      <w:pPr>
        <w:pStyle w:val="a"/>
        <w:rPr>
          <w:rtl/>
        </w:rPr>
      </w:pPr>
      <w:bookmarkStart w:id="15449" w:name="_Ref25567073"/>
      <w:r>
        <w:rPr>
          <w:rFonts w:hint="cs"/>
          <w:rtl/>
        </w:rPr>
        <w:t xml:space="preserve">וכתב </w:t>
      </w:r>
      <w:r w:rsidRPr="00C30CCB">
        <w:rPr>
          <w:rStyle w:val="af8"/>
          <w:rFonts w:hint="cs"/>
          <w:rtl/>
        </w:rPr>
        <w:t>השער"י</w:t>
      </w:r>
      <w:r>
        <w:rPr>
          <w:rFonts w:hint="cs"/>
          <w:rtl/>
        </w:rPr>
        <w:t xml:space="preserve"> </w:t>
      </w:r>
      <w:r w:rsidRPr="00D904C5">
        <w:rPr>
          <w:rStyle w:val="af6"/>
          <w:rFonts w:eastAsia="Guttman Hodes"/>
          <w:rtl/>
        </w:rPr>
        <w:t xml:space="preserve">(ש"ג פ"ז ד"ה </w:t>
      </w:r>
      <w:r w:rsidRPr="00D904C5">
        <w:rPr>
          <w:rStyle w:val="af6"/>
          <w:rFonts w:eastAsia="Guttman Hodes" w:hint="cs"/>
          <w:rtl/>
        </w:rPr>
        <w:t>ולפי"ז ניחא</w:t>
      </w:r>
      <w:r w:rsidRPr="00D904C5">
        <w:rPr>
          <w:rStyle w:val="af6"/>
          <w:rFonts w:eastAsia="Guttman Hodes"/>
          <w:rtl/>
        </w:rPr>
        <w:t>)</w:t>
      </w:r>
      <w:r w:rsidRPr="00560840">
        <w:rPr>
          <w:rtl/>
        </w:rPr>
        <w:t xml:space="preserve"> </w:t>
      </w:r>
      <w:r>
        <w:rPr>
          <w:rFonts w:hint="cs"/>
          <w:rtl/>
        </w:rPr>
        <w:t>דלפי"ז מיושב מה שהקשה</w:t>
      </w:r>
      <w:r w:rsidRPr="003C7736">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Ref25571341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סג)</w:t>
      </w:r>
      <w:r>
        <w:rPr>
          <w:rStyle w:val="af6"/>
          <w:rFonts w:eastAsia="Guttman Hodes"/>
          <w:rtl/>
        </w:rPr>
        <w:fldChar w:fldCharType="end"/>
      </w:r>
      <w:r>
        <w:rPr>
          <w:rStyle w:val="af6"/>
          <w:rFonts w:eastAsia="Guttman Hodes" w:hint="cs"/>
          <w:rtl/>
        </w:rPr>
        <w:t xml:space="preserve"> </w:t>
      </w:r>
      <w:r>
        <w:rPr>
          <w:rFonts w:hint="cs"/>
          <w:rtl/>
        </w:rPr>
        <w:t xml:space="preserve">אמאי הקשה </w:t>
      </w:r>
      <w:r w:rsidRPr="00462868">
        <w:rPr>
          <w:rStyle w:val="af8"/>
          <w:rFonts w:hint="cs"/>
          <w:rtl/>
        </w:rPr>
        <w:t>הרא"ש</w:t>
      </w:r>
      <w:r w:rsidRPr="00462868">
        <w:rPr>
          <w:rFonts w:hint="cs"/>
          <w:rtl/>
        </w:rPr>
        <w:t xml:space="preserve"> </w:t>
      </w:r>
      <w:r w:rsidRPr="00867657">
        <w:rPr>
          <w:rStyle w:val="af6"/>
          <w:rFonts w:eastAsia="Guttman Hodes" w:hint="cs"/>
          <w:rtl/>
        </w:rPr>
        <w:t xml:space="preserve">(עי' אות </w:t>
      </w:r>
      <w:r w:rsidRPr="00867657">
        <w:rPr>
          <w:rStyle w:val="af6"/>
          <w:rFonts w:eastAsia="Guttman Hodes"/>
          <w:rtl/>
        </w:rPr>
        <w:fldChar w:fldCharType="begin"/>
      </w:r>
      <w:r w:rsidRPr="00867657">
        <w:rPr>
          <w:rStyle w:val="af6"/>
          <w:rFonts w:eastAsia="Guttman Hodes"/>
          <w:rtl/>
        </w:rPr>
        <w:instrText xml:space="preserve"> </w:instrText>
      </w:r>
      <w:r w:rsidRPr="00867657">
        <w:rPr>
          <w:rStyle w:val="af6"/>
          <w:rFonts w:eastAsia="Guttman Hodes" w:hint="cs"/>
        </w:rPr>
        <w:instrText>REF</w:instrText>
      </w:r>
      <w:r w:rsidRPr="00867657">
        <w:rPr>
          <w:rStyle w:val="af6"/>
          <w:rFonts w:eastAsia="Guttman Hodes" w:hint="cs"/>
          <w:rtl/>
        </w:rPr>
        <w:instrText xml:space="preserve"> _</w:instrText>
      </w:r>
      <w:r w:rsidRPr="00867657">
        <w:rPr>
          <w:rStyle w:val="af6"/>
          <w:rFonts w:eastAsia="Guttman Hodes" w:hint="cs"/>
        </w:rPr>
        <w:instrText>Ref25525894 \r \h</w:instrText>
      </w:r>
      <w:r w:rsidRPr="00867657">
        <w:rPr>
          <w:rStyle w:val="af6"/>
          <w:rFonts w:eastAsia="Guttman Hodes"/>
          <w:rtl/>
        </w:rPr>
        <w:instrText xml:space="preserve"> </w:instrText>
      </w:r>
      <w:r w:rsidRPr="00867657">
        <w:rPr>
          <w:rStyle w:val="af6"/>
          <w:rFonts w:eastAsia="Guttman Hodes"/>
          <w:rtl/>
        </w:rPr>
      </w:r>
      <w:r w:rsidRPr="00867657">
        <w:rPr>
          <w:rStyle w:val="af6"/>
          <w:rFonts w:eastAsia="Guttman Hodes"/>
          <w:rtl/>
        </w:rPr>
        <w:fldChar w:fldCharType="separate"/>
      </w:r>
      <w:r w:rsidR="004D1C5B">
        <w:rPr>
          <w:rStyle w:val="af6"/>
          <w:rFonts w:eastAsia="Guttman Hodes"/>
          <w:cs/>
        </w:rPr>
        <w:t>‎</w:t>
      </w:r>
      <w:r w:rsidR="004D1C5B">
        <w:rPr>
          <w:rStyle w:val="af6"/>
          <w:rFonts w:eastAsia="Guttman Hodes"/>
          <w:rtl/>
        </w:rPr>
        <w:t>טו)</w:t>
      </w:r>
      <w:r w:rsidRPr="00867657">
        <w:rPr>
          <w:rStyle w:val="af6"/>
          <w:rFonts w:eastAsia="Guttman Hodes"/>
          <w:rtl/>
        </w:rPr>
        <w:fldChar w:fldCharType="end"/>
      </w:r>
      <w:r w:rsidRPr="00462868">
        <w:rPr>
          <w:rFonts w:hint="cs"/>
          <w:rtl/>
        </w:rPr>
        <w:t xml:space="preserve"> </w:t>
      </w:r>
      <w:r>
        <w:rPr>
          <w:rFonts w:hint="cs"/>
          <w:rtl/>
        </w:rPr>
        <w:t xml:space="preserve">מטומאת משא, רק על יבש ביבש שיאסר לאכול בבת אחת, ולא הקשה </w:t>
      </w:r>
      <w:r w:rsidRPr="003C7736">
        <w:rPr>
          <w:rStyle w:val="af8"/>
          <w:rFonts w:hint="cs"/>
          <w:rtl/>
        </w:rPr>
        <w:t>הרא"ש</w:t>
      </w:r>
      <w:r>
        <w:rPr>
          <w:rFonts w:hint="cs"/>
          <w:rtl/>
        </w:rPr>
        <w:t xml:space="preserve"> על ההיתר בביטול בלח בלח, כיון דבלח בלח אעפ"י שאוכל את כל התערובת יחד, מ"מ א"א לאסור, דא"כ יתבטל הדין של הרוב לגמרי, וכח המיעוט יהיה יותר מכח הרוב, אבל ביבש שאפשר לאכול כל חתיכה בפנ"ע בזה אחר זה, הקשה </w:t>
      </w:r>
      <w:r w:rsidRPr="002A6B50">
        <w:rPr>
          <w:rStyle w:val="af8"/>
          <w:rFonts w:hint="cs"/>
          <w:rtl/>
        </w:rPr>
        <w:t>הרא"ש</w:t>
      </w:r>
      <w:r>
        <w:rPr>
          <w:rFonts w:hint="cs"/>
          <w:rtl/>
        </w:rPr>
        <w:t xml:space="preserve"> דנאמר שדין הרוב יתקיים רק בבזה אחר זה, שכח המיעוט מתנגד לכח הרוב לומר שכל חתיכה היא מההיתר, אבל לענין אכילה בבת אחת, נאמר שלא יתקיים דין הרוב, ולא יהיה דין ביטול, דאין התנגדות בין הרוב למיעוט דכל חתיכה נשארת בדינה.</w:t>
      </w:r>
      <w:bookmarkEnd w:id="15449"/>
    </w:p>
    <w:p w:rsidR="003A5D2C" w:rsidRDefault="003A5D2C" w:rsidP="003A5D2C">
      <w:pPr>
        <w:pStyle w:val="a2"/>
        <w:rPr>
          <w:rtl/>
        </w:rPr>
      </w:pPr>
      <w:bookmarkStart w:id="15450" w:name="_Toc25571268"/>
      <w:bookmarkStart w:id="15451" w:name="_Toc25572750"/>
      <w:bookmarkStart w:id="15452" w:name="_Toc25572992"/>
      <w:r>
        <w:rPr>
          <w:rFonts w:hint="cs"/>
          <w:rtl/>
        </w:rPr>
        <w:t>ביאור השער"י דבאכילה א"א לומר שכח הרוב יתקיים בבזאח"ז דבאכילה אין ב' דינים שונים</w:t>
      </w:r>
      <w:bookmarkEnd w:id="15450"/>
      <w:bookmarkEnd w:id="15451"/>
      <w:bookmarkEnd w:id="15452"/>
    </w:p>
    <w:p w:rsidR="003A5D2C" w:rsidRPr="00BE0203" w:rsidRDefault="003A5D2C" w:rsidP="009F44AF">
      <w:pPr>
        <w:pStyle w:val="a"/>
        <w:rPr>
          <w:rtl/>
        </w:rPr>
      </w:pPr>
      <w:r>
        <w:rPr>
          <w:rFonts w:hint="cs"/>
          <w:rtl/>
        </w:rPr>
        <w:t xml:space="preserve">וכתב </w:t>
      </w:r>
      <w:r w:rsidRPr="00C30CCB">
        <w:rPr>
          <w:rStyle w:val="af8"/>
          <w:rFonts w:hint="cs"/>
          <w:rtl/>
        </w:rPr>
        <w:t>השער"י</w:t>
      </w:r>
      <w:r>
        <w:rPr>
          <w:rFonts w:hint="cs"/>
          <w:rtl/>
        </w:rPr>
        <w:t xml:space="preserve"> דעל זה תירץ </w:t>
      </w:r>
      <w:r w:rsidRPr="00C30CCB">
        <w:rPr>
          <w:rStyle w:val="af8"/>
          <w:rFonts w:hint="cs"/>
          <w:rtl/>
        </w:rPr>
        <w:t>הרא"ש</w:t>
      </w:r>
      <w:r>
        <w:rPr>
          <w:rFonts w:hint="cs"/>
          <w:rtl/>
        </w:rPr>
        <w:t xml:space="preserve"> </w:t>
      </w:r>
      <w:r w:rsidRPr="00CE2C4B">
        <w:rPr>
          <w:rStyle w:val="af6"/>
          <w:rFonts w:eastAsia="Guttman Hodes" w:hint="cs"/>
          <w:rtl/>
        </w:rPr>
        <w:t xml:space="preserve">(עי' אות </w:t>
      </w:r>
      <w:r w:rsidRPr="00CE2C4B">
        <w:rPr>
          <w:rStyle w:val="af6"/>
          <w:rFonts w:eastAsia="Guttman Hodes"/>
          <w:rtl/>
        </w:rPr>
        <w:fldChar w:fldCharType="begin"/>
      </w:r>
      <w:r w:rsidRPr="00CE2C4B">
        <w:rPr>
          <w:rStyle w:val="af6"/>
          <w:rFonts w:eastAsia="Guttman Hodes"/>
          <w:rtl/>
        </w:rPr>
        <w:instrText xml:space="preserve"> </w:instrText>
      </w:r>
      <w:r w:rsidRPr="00CE2C4B">
        <w:rPr>
          <w:rStyle w:val="af6"/>
          <w:rFonts w:eastAsia="Guttman Hodes" w:hint="cs"/>
        </w:rPr>
        <w:instrText>REF</w:instrText>
      </w:r>
      <w:r w:rsidRPr="00CE2C4B">
        <w:rPr>
          <w:rStyle w:val="af6"/>
          <w:rFonts w:eastAsia="Guttman Hodes" w:hint="cs"/>
          <w:rtl/>
        </w:rPr>
        <w:instrText xml:space="preserve"> _</w:instrText>
      </w:r>
      <w:r w:rsidRPr="00CE2C4B">
        <w:rPr>
          <w:rStyle w:val="af6"/>
          <w:rFonts w:eastAsia="Guttman Hodes" w:hint="cs"/>
        </w:rPr>
        <w:instrText>Ref25525182 \r \h</w:instrText>
      </w:r>
      <w:r w:rsidRPr="00CE2C4B">
        <w:rPr>
          <w:rStyle w:val="af6"/>
          <w:rFonts w:eastAsia="Guttman Hodes"/>
          <w:rtl/>
        </w:rPr>
        <w:instrText xml:space="preserve"> </w:instrText>
      </w:r>
      <w:r w:rsidRPr="00CE2C4B">
        <w:rPr>
          <w:rStyle w:val="af6"/>
          <w:rFonts w:eastAsia="Guttman Hodes"/>
          <w:rtl/>
        </w:rPr>
      </w:r>
      <w:r w:rsidRPr="00CE2C4B">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sidRPr="00CE2C4B">
        <w:rPr>
          <w:rStyle w:val="af6"/>
          <w:rFonts w:eastAsia="Guttman Hodes"/>
          <w:rtl/>
        </w:rPr>
        <w:fldChar w:fldCharType="end"/>
      </w:r>
      <w:r>
        <w:rPr>
          <w:rFonts w:hint="cs"/>
          <w:rtl/>
        </w:rPr>
        <w:t xml:space="preserve"> דא"א לומר שיהיה היתר אכילה בבזה אחר זה, ויהיה איסור בבת אחת, כיון שאין חילוקי דינים באיסור והיתר, וכיון שלענין אכילה בזה אחר זה, אמרינן דהאיסור נהפך להיתר, ה"ה באכילה בבת אחת דנהפך להיתר.</w:t>
      </w:r>
    </w:p>
    <w:p w:rsidR="003A5D2C" w:rsidRDefault="003A5D2C" w:rsidP="003A5D2C">
      <w:pPr>
        <w:pStyle w:val="1"/>
        <w:rPr>
          <w:rtl/>
        </w:rPr>
      </w:pPr>
      <w:bookmarkStart w:id="15453" w:name="_Toc25571269"/>
      <w:bookmarkStart w:id="15454" w:name="_Toc25572751"/>
      <w:bookmarkStart w:id="15455" w:name="_Toc25572993"/>
      <w:r>
        <w:rPr>
          <w:rFonts w:hint="cs"/>
          <w:rtl/>
        </w:rPr>
        <w:t>קושית הקוה"ע</w:t>
      </w:r>
      <w:bookmarkEnd w:id="15447"/>
      <w:r>
        <w:rPr>
          <w:rFonts w:hint="cs"/>
          <w:rtl/>
        </w:rPr>
        <w:t xml:space="preserve"> דאף במשא בבזאח"ז טהור כמו במגע</w:t>
      </w:r>
      <w:bookmarkEnd w:id="15448"/>
      <w:bookmarkEnd w:id="15453"/>
      <w:bookmarkEnd w:id="15454"/>
      <w:bookmarkEnd w:id="15455"/>
    </w:p>
    <w:p w:rsidR="003A5D2C" w:rsidRDefault="003A5D2C" w:rsidP="003A5D2C">
      <w:pPr>
        <w:pStyle w:val="a2"/>
        <w:rPr>
          <w:rtl/>
        </w:rPr>
      </w:pPr>
      <w:bookmarkStart w:id="15456" w:name="_Toc25536216"/>
      <w:bookmarkStart w:id="15457" w:name="_Toc25571270"/>
      <w:bookmarkStart w:id="15458" w:name="_Toc25572752"/>
      <w:bookmarkStart w:id="15459" w:name="_Toc25572994"/>
      <w:r>
        <w:rPr>
          <w:rFonts w:hint="cs"/>
          <w:rtl/>
        </w:rPr>
        <w:t>קושית הקוה"ע דבמשא בזאח"ז טהור ומהני ביטול כמו במגע ובב"א אף במגע טמא כמשא</w:t>
      </w:r>
      <w:bookmarkEnd w:id="15456"/>
      <w:bookmarkEnd w:id="15457"/>
      <w:bookmarkEnd w:id="15458"/>
      <w:bookmarkEnd w:id="15459"/>
    </w:p>
    <w:p w:rsidR="003A5D2C" w:rsidRPr="00AF64F4" w:rsidRDefault="003A5D2C" w:rsidP="009F44AF">
      <w:pPr>
        <w:pStyle w:val="a"/>
        <w:rPr>
          <w:rtl/>
        </w:rPr>
      </w:pPr>
      <w:bookmarkStart w:id="15460" w:name="_Ref25514713"/>
      <w:bookmarkStart w:id="15461" w:name="_Ref25524895"/>
      <w:r>
        <w:rPr>
          <w:rFonts w:hint="cs"/>
          <w:rtl/>
        </w:rPr>
        <w:t xml:space="preserve">במ"ש </w:t>
      </w:r>
      <w:r w:rsidRPr="000C0FD1">
        <w:rPr>
          <w:rStyle w:val="af8"/>
          <w:rFonts w:hint="cs"/>
          <w:rtl/>
        </w:rPr>
        <w:t>הרא"ש</w:t>
      </w:r>
      <w:r>
        <w:rPr>
          <w:rFonts w:hint="cs"/>
          <w:rtl/>
        </w:rPr>
        <w:t xml:space="preserve"> </w:t>
      </w:r>
      <w:r w:rsidRPr="00644560">
        <w:rPr>
          <w:rStyle w:val="af6"/>
          <w:rFonts w:eastAsia="Guttman Hodes" w:hint="cs"/>
          <w:rtl/>
        </w:rPr>
        <w:t xml:space="preserve">(עי' אות </w:t>
      </w:r>
      <w:r w:rsidRPr="00644560">
        <w:rPr>
          <w:rStyle w:val="af6"/>
          <w:rFonts w:eastAsia="Guttman Hodes"/>
          <w:rtl/>
        </w:rPr>
        <w:fldChar w:fldCharType="begin"/>
      </w:r>
      <w:r w:rsidRPr="00644560">
        <w:rPr>
          <w:rStyle w:val="af6"/>
          <w:rFonts w:eastAsia="Guttman Hodes"/>
          <w:rtl/>
        </w:rPr>
        <w:instrText xml:space="preserve"> </w:instrText>
      </w:r>
      <w:r w:rsidRPr="00644560">
        <w:rPr>
          <w:rStyle w:val="af6"/>
          <w:rFonts w:eastAsia="Guttman Hodes" w:hint="cs"/>
        </w:rPr>
        <w:instrText>REF</w:instrText>
      </w:r>
      <w:r w:rsidRPr="00644560">
        <w:rPr>
          <w:rStyle w:val="af6"/>
          <w:rFonts w:eastAsia="Guttman Hodes" w:hint="cs"/>
          <w:rtl/>
        </w:rPr>
        <w:instrText xml:space="preserve"> _</w:instrText>
      </w:r>
      <w:r w:rsidRPr="00644560">
        <w:rPr>
          <w:rStyle w:val="af6"/>
          <w:rFonts w:eastAsia="Guttman Hodes" w:hint="cs"/>
        </w:rPr>
        <w:instrText>Ref25491847 \r \h</w:instrText>
      </w:r>
      <w:r w:rsidRPr="00644560">
        <w:rPr>
          <w:rStyle w:val="af6"/>
          <w:rFonts w:eastAsia="Guttman Hodes"/>
          <w:rtl/>
        </w:rPr>
        <w:instrText xml:space="preserve"> </w:instrText>
      </w:r>
      <w:r w:rsidRPr="00644560">
        <w:rPr>
          <w:rStyle w:val="af6"/>
          <w:rFonts w:eastAsia="Guttman Hodes"/>
          <w:rtl/>
        </w:rPr>
      </w:r>
      <w:r w:rsidRPr="00644560">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644560">
        <w:rPr>
          <w:rStyle w:val="af6"/>
          <w:rFonts w:eastAsia="Guttman Hodes"/>
          <w:rtl/>
        </w:rPr>
        <w:fldChar w:fldCharType="end"/>
      </w:r>
      <w:r>
        <w:rPr>
          <w:rFonts w:hint="cs"/>
          <w:rtl/>
        </w:rPr>
        <w:t xml:space="preserve"> דבטומאה יש ב' מינים מגע ומשא, ולענין מגע יש ביטול ברוב, ולענין משא אין ביטול כלל, הקשה </w:t>
      </w:r>
      <w:r>
        <w:rPr>
          <w:rStyle w:val="af8"/>
          <w:rFonts w:hint="cs"/>
          <w:rtl/>
        </w:rPr>
        <w:t>ה</w:t>
      </w:r>
      <w:r w:rsidRPr="00B3465B">
        <w:rPr>
          <w:rStyle w:val="af8"/>
          <w:rFonts w:hint="cs"/>
          <w:rtl/>
        </w:rPr>
        <w:t>קוה"ע</w:t>
      </w:r>
      <w:r>
        <w:rPr>
          <w:rFonts w:hint="cs"/>
          <w:rtl/>
        </w:rPr>
        <w:t xml:space="preserve"> </w:t>
      </w:r>
      <w:r w:rsidRPr="00644560">
        <w:rPr>
          <w:rStyle w:val="af6"/>
          <w:rFonts w:eastAsia="Guttman Hodes" w:hint="cs"/>
          <w:rtl/>
        </w:rPr>
        <w:t>(סי' ס' ה')</w:t>
      </w:r>
      <w:r>
        <w:rPr>
          <w:rFonts w:hint="cs"/>
          <w:rtl/>
        </w:rPr>
        <w:t xml:space="preserve"> דכ"מ דלא מהני </w:t>
      </w:r>
      <w:r w:rsidRPr="00AF64F4">
        <w:rPr>
          <w:rFonts w:hint="cs"/>
          <w:rtl/>
        </w:rPr>
        <w:t xml:space="preserve">הביטול בטומאת משא, הוא רק כשנושא את </w:t>
      </w:r>
      <w:r w:rsidRPr="00AF64F4">
        <w:rPr>
          <w:rFonts w:hint="cs"/>
          <w:rtl/>
        </w:rPr>
        <w:lastRenderedPageBreak/>
        <w:t xml:space="preserve">כל התערובת בבת אחת, אבל בנושא בזה אחר זה, ודאי דהביטול מהני וטהור, וא"כ אמאי לא מהני הביטול במשא אף בנושא בבת אחת, והניח </w:t>
      </w:r>
      <w:r w:rsidRPr="00AF64F4">
        <w:rPr>
          <w:rStyle w:val="af8"/>
          <w:rFonts w:hint="cs"/>
          <w:rtl/>
        </w:rPr>
        <w:t xml:space="preserve">הקוה"ע </w:t>
      </w:r>
      <w:r w:rsidRPr="00AF64F4">
        <w:rPr>
          <w:rFonts w:hint="cs"/>
          <w:rtl/>
        </w:rPr>
        <w:t>בצ"ע</w:t>
      </w:r>
      <w:bookmarkEnd w:id="15460"/>
      <w:r>
        <w:rPr>
          <w:rFonts w:hint="cs"/>
          <w:rtl/>
        </w:rPr>
        <w:t xml:space="preserve">, </w:t>
      </w:r>
      <w:r w:rsidRPr="00AF64F4">
        <w:rPr>
          <w:rFonts w:hint="cs"/>
          <w:rtl/>
        </w:rPr>
        <w:t xml:space="preserve"> </w:t>
      </w:r>
      <w:r>
        <w:rPr>
          <w:rFonts w:hint="cs"/>
          <w:rtl/>
        </w:rPr>
        <w:t xml:space="preserve">וכן הקשה </w:t>
      </w:r>
      <w:r w:rsidRPr="00384F69">
        <w:rPr>
          <w:rStyle w:val="af8"/>
          <w:rFonts w:hint="cs"/>
          <w:rtl/>
        </w:rPr>
        <w:t>בשיעורי רבי אלחנן</w:t>
      </w:r>
      <w:r>
        <w:rPr>
          <w:rFonts w:hint="cs"/>
          <w:rtl/>
        </w:rPr>
        <w:t xml:space="preserve"> </w:t>
      </w:r>
      <w:r w:rsidRPr="00644560">
        <w:rPr>
          <w:rStyle w:val="af6"/>
          <w:rFonts w:eastAsia="Guttman Hodes" w:hint="cs"/>
          <w:rtl/>
        </w:rPr>
        <w:t>(חולין סי' י"ז ב' ד"ה והנה)</w:t>
      </w:r>
      <w:r>
        <w:rPr>
          <w:rFonts w:hint="cs"/>
          <w:rtl/>
        </w:rPr>
        <w:t xml:space="preserve"> דמה החילוק בין טומאת משא לטומאת מגע, דממה נפשך אי איירי בבזה אחר זה, א"כ אף בטומאת משא אינו מטמא, ואי איירי בבת אחת אף במגע צריך לטמא, </w:t>
      </w:r>
      <w:r w:rsidRPr="00384F69">
        <w:rPr>
          <w:rStyle w:val="afa"/>
          <w:rFonts w:hint="cs"/>
          <w:rtl/>
        </w:rPr>
        <w:t xml:space="preserve">[ועי' במ"ש </w:t>
      </w:r>
      <w:r w:rsidRPr="00384F69">
        <w:rPr>
          <w:rStyle w:val="affa"/>
          <w:rFonts w:hint="cs"/>
          <w:rtl/>
        </w:rPr>
        <w:t>השער"י</w:t>
      </w:r>
      <w:r w:rsidRPr="00384F69">
        <w:rPr>
          <w:rStyle w:val="afa"/>
          <w:rFonts w:hint="cs"/>
          <w:rtl/>
        </w:rPr>
        <w:t xml:space="preserve"> </w:t>
      </w:r>
      <w:r w:rsidRPr="00961559">
        <w:rPr>
          <w:rStyle w:val="aff6"/>
          <w:rFonts w:hint="cs"/>
          <w:rtl/>
        </w:rPr>
        <w:t xml:space="preserve">(עי' אות </w:t>
      </w:r>
      <w:r w:rsidRPr="00961559">
        <w:rPr>
          <w:rStyle w:val="aff6"/>
          <w:rtl/>
        </w:rPr>
        <w:fldChar w:fldCharType="begin"/>
      </w:r>
      <w:r w:rsidRPr="00961559">
        <w:rPr>
          <w:rStyle w:val="aff6"/>
          <w:rtl/>
        </w:rPr>
        <w:instrText xml:space="preserve"> </w:instrText>
      </w:r>
      <w:r w:rsidRPr="00961559">
        <w:rPr>
          <w:rStyle w:val="aff6"/>
          <w:rFonts w:hint="cs"/>
        </w:rPr>
        <w:instrText>REF</w:instrText>
      </w:r>
      <w:r w:rsidRPr="00961559">
        <w:rPr>
          <w:rStyle w:val="aff6"/>
          <w:rFonts w:hint="cs"/>
          <w:rtl/>
        </w:rPr>
        <w:instrText xml:space="preserve"> _</w:instrText>
      </w:r>
      <w:r w:rsidRPr="00961559">
        <w:rPr>
          <w:rStyle w:val="aff6"/>
          <w:rFonts w:hint="cs"/>
        </w:rPr>
        <w:instrText>Ref25092907 \r \h</w:instrText>
      </w:r>
      <w:r w:rsidRPr="00961559">
        <w:rPr>
          <w:rStyle w:val="aff6"/>
          <w:rtl/>
        </w:rPr>
        <w:instrText xml:space="preserve"> </w:instrText>
      </w:r>
      <w:r w:rsidRPr="00961559">
        <w:rPr>
          <w:rStyle w:val="aff6"/>
          <w:rtl/>
        </w:rPr>
      </w:r>
      <w:r w:rsidRPr="00961559">
        <w:rPr>
          <w:rStyle w:val="aff6"/>
          <w:rtl/>
        </w:rPr>
        <w:fldChar w:fldCharType="separate"/>
      </w:r>
      <w:r w:rsidR="004D1C5B">
        <w:rPr>
          <w:rStyle w:val="aff6"/>
          <w:cs/>
        </w:rPr>
        <w:t>‎</w:t>
      </w:r>
      <w:r w:rsidR="004D1C5B">
        <w:rPr>
          <w:rStyle w:val="aff6"/>
          <w:rtl/>
        </w:rPr>
        <w:t>נט)</w:t>
      </w:r>
      <w:r w:rsidRPr="00961559">
        <w:rPr>
          <w:rStyle w:val="aff6"/>
          <w:rtl/>
        </w:rPr>
        <w:fldChar w:fldCharType="end"/>
      </w:r>
      <w:r w:rsidRPr="00384F69">
        <w:rPr>
          <w:rStyle w:val="afa"/>
          <w:rFonts w:hint="cs"/>
          <w:rtl/>
        </w:rPr>
        <w:t xml:space="preserve"> </w:t>
      </w:r>
      <w:r w:rsidRPr="00384F69">
        <w:rPr>
          <w:rStyle w:val="affa"/>
          <w:rFonts w:hint="cs"/>
          <w:rtl/>
        </w:rPr>
        <w:t>והקה"י</w:t>
      </w:r>
      <w:r w:rsidRPr="00384F69">
        <w:rPr>
          <w:rStyle w:val="afa"/>
          <w:rFonts w:hint="cs"/>
          <w:rtl/>
        </w:rPr>
        <w:t xml:space="preserve"> </w:t>
      </w:r>
      <w:r w:rsidRPr="00961559">
        <w:rPr>
          <w:rStyle w:val="aff6"/>
          <w:rFonts w:hint="cs"/>
          <w:rtl/>
        </w:rPr>
        <w:t xml:space="preserve">(עי' אות </w:t>
      </w:r>
      <w:r w:rsidRPr="00961559">
        <w:rPr>
          <w:rStyle w:val="aff6"/>
          <w:rtl/>
        </w:rPr>
        <w:fldChar w:fldCharType="begin"/>
      </w:r>
      <w:r w:rsidRPr="00961559">
        <w:rPr>
          <w:rStyle w:val="aff6"/>
          <w:rtl/>
        </w:rPr>
        <w:instrText xml:space="preserve"> </w:instrText>
      </w:r>
      <w:r w:rsidRPr="00961559">
        <w:rPr>
          <w:rStyle w:val="aff6"/>
          <w:rFonts w:hint="cs"/>
        </w:rPr>
        <w:instrText>REF</w:instrText>
      </w:r>
      <w:r w:rsidRPr="00961559">
        <w:rPr>
          <w:rStyle w:val="aff6"/>
          <w:rFonts w:hint="cs"/>
          <w:rtl/>
        </w:rPr>
        <w:instrText xml:space="preserve"> _</w:instrText>
      </w:r>
      <w:r w:rsidRPr="00961559">
        <w:rPr>
          <w:rStyle w:val="aff6"/>
          <w:rFonts w:hint="cs"/>
        </w:rPr>
        <w:instrText>Ref25092890 \r \h</w:instrText>
      </w:r>
      <w:r w:rsidRPr="00961559">
        <w:rPr>
          <w:rStyle w:val="aff6"/>
          <w:rtl/>
        </w:rPr>
        <w:instrText xml:space="preserve"> </w:instrText>
      </w:r>
      <w:r w:rsidRPr="00961559">
        <w:rPr>
          <w:rStyle w:val="aff6"/>
          <w:rtl/>
        </w:rPr>
      </w:r>
      <w:r w:rsidRPr="00961559">
        <w:rPr>
          <w:rStyle w:val="aff6"/>
          <w:rtl/>
        </w:rPr>
        <w:fldChar w:fldCharType="separate"/>
      </w:r>
      <w:r w:rsidR="004D1C5B">
        <w:rPr>
          <w:rStyle w:val="aff6"/>
          <w:cs/>
        </w:rPr>
        <w:t>‎</w:t>
      </w:r>
      <w:r w:rsidR="004D1C5B">
        <w:rPr>
          <w:rStyle w:val="aff6"/>
          <w:rtl/>
        </w:rPr>
        <w:t>פז)</w:t>
      </w:r>
      <w:r w:rsidRPr="00961559">
        <w:rPr>
          <w:rStyle w:val="aff6"/>
          <w:rtl/>
        </w:rPr>
        <w:fldChar w:fldCharType="end"/>
      </w:r>
      <w:r w:rsidRPr="00384F69">
        <w:rPr>
          <w:rStyle w:val="afa"/>
          <w:rFonts w:hint="cs"/>
          <w:rtl/>
        </w:rPr>
        <w:t>]</w:t>
      </w:r>
      <w:r>
        <w:rPr>
          <w:rStyle w:val="afa"/>
          <w:rFonts w:hint="cs"/>
          <w:rtl/>
        </w:rPr>
        <w:t xml:space="preserve">, </w:t>
      </w:r>
      <w:r w:rsidRPr="00AF64F4">
        <w:rPr>
          <w:rFonts w:hint="cs"/>
          <w:rtl/>
        </w:rPr>
        <w:t xml:space="preserve">ועי' במ"ש </w:t>
      </w:r>
      <w:r w:rsidRPr="00AF64F4">
        <w:rPr>
          <w:rStyle w:val="af8"/>
          <w:rFonts w:hint="cs"/>
          <w:rtl/>
        </w:rPr>
        <w:t>הקוה"ע</w:t>
      </w:r>
      <w:r w:rsidRPr="00AF64F4">
        <w:rPr>
          <w:rFonts w:hint="cs"/>
          <w:rtl/>
        </w:rPr>
        <w:t xml:space="preserve"> </w:t>
      </w:r>
      <w:r w:rsidRPr="00644560">
        <w:rPr>
          <w:rStyle w:val="af6"/>
          <w:rFonts w:eastAsia="Guttman Hodes" w:hint="cs"/>
          <w:rtl/>
        </w:rPr>
        <w:t xml:space="preserve">(עי' אות </w:t>
      </w:r>
      <w:r w:rsidRPr="00644560">
        <w:rPr>
          <w:rStyle w:val="af6"/>
          <w:rFonts w:eastAsia="Guttman Hodes"/>
          <w:rtl/>
        </w:rPr>
        <w:fldChar w:fldCharType="begin"/>
      </w:r>
      <w:r w:rsidRPr="00644560">
        <w:rPr>
          <w:rStyle w:val="af6"/>
          <w:rFonts w:eastAsia="Guttman Hodes"/>
          <w:rtl/>
        </w:rPr>
        <w:instrText xml:space="preserve"> </w:instrText>
      </w:r>
      <w:r w:rsidRPr="00644560">
        <w:rPr>
          <w:rStyle w:val="af6"/>
          <w:rFonts w:eastAsia="Guttman Hodes" w:hint="cs"/>
        </w:rPr>
        <w:instrText>REF</w:instrText>
      </w:r>
      <w:r w:rsidRPr="00644560">
        <w:rPr>
          <w:rStyle w:val="af6"/>
          <w:rFonts w:eastAsia="Guttman Hodes" w:hint="cs"/>
          <w:rtl/>
        </w:rPr>
        <w:instrText xml:space="preserve"> _</w:instrText>
      </w:r>
      <w:r w:rsidRPr="00644560">
        <w:rPr>
          <w:rStyle w:val="af6"/>
          <w:rFonts w:eastAsia="Guttman Hodes" w:hint="cs"/>
        </w:rPr>
        <w:instrText>Ref25514760 \r \h</w:instrText>
      </w:r>
      <w:r w:rsidRPr="00644560">
        <w:rPr>
          <w:rStyle w:val="af6"/>
          <w:rFonts w:eastAsia="Guttman Hodes"/>
          <w:rtl/>
        </w:rPr>
        <w:instrText xml:space="preserve">  \* </w:instrText>
      </w:r>
      <w:r w:rsidRPr="00644560">
        <w:rPr>
          <w:rStyle w:val="af6"/>
          <w:rFonts w:eastAsia="Guttman Hodes"/>
        </w:rPr>
        <w:instrText>MERGEFORMAT</w:instrText>
      </w:r>
      <w:r w:rsidRPr="00644560">
        <w:rPr>
          <w:rStyle w:val="af6"/>
          <w:rFonts w:eastAsia="Guttman Hodes"/>
          <w:rtl/>
        </w:rPr>
        <w:instrText xml:space="preserve"> </w:instrText>
      </w:r>
      <w:r w:rsidRPr="00644560">
        <w:rPr>
          <w:rStyle w:val="af6"/>
          <w:rFonts w:eastAsia="Guttman Hodes"/>
          <w:rtl/>
        </w:rPr>
      </w:r>
      <w:r w:rsidRPr="00644560">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644560">
        <w:rPr>
          <w:rStyle w:val="af6"/>
          <w:rFonts w:eastAsia="Guttman Hodes"/>
          <w:rtl/>
        </w:rPr>
        <w:fldChar w:fldCharType="end"/>
      </w:r>
      <w:r w:rsidRPr="00644560">
        <w:rPr>
          <w:rStyle w:val="af6"/>
          <w:rFonts w:eastAsia="Guttman Hodes" w:hint="cs"/>
          <w:rtl/>
        </w:rPr>
        <w:t xml:space="preserve"> </w:t>
      </w:r>
      <w:r w:rsidRPr="00AF64F4">
        <w:rPr>
          <w:rFonts w:hint="cs"/>
          <w:rtl/>
        </w:rPr>
        <w:t xml:space="preserve">דלדעת </w:t>
      </w:r>
      <w:r w:rsidRPr="00AF64F4">
        <w:rPr>
          <w:rStyle w:val="af8"/>
          <w:rFonts w:hint="cs"/>
          <w:rtl/>
        </w:rPr>
        <w:t xml:space="preserve">המהר"י קורקוס והתוס' בבכורות </w:t>
      </w:r>
      <w:r w:rsidRPr="00AF64F4">
        <w:rPr>
          <w:rFonts w:hint="cs"/>
          <w:rtl/>
        </w:rPr>
        <w:t>מהני הביטול במשא בנושא בזה אחר זה].</w:t>
      </w:r>
      <w:bookmarkEnd w:id="15461"/>
    </w:p>
    <w:p w:rsidR="003A5D2C" w:rsidRDefault="003A5D2C" w:rsidP="003A5D2C">
      <w:pPr>
        <w:pStyle w:val="1"/>
        <w:rPr>
          <w:rtl/>
        </w:rPr>
      </w:pPr>
      <w:bookmarkStart w:id="15462" w:name="_Toc25317279"/>
      <w:bookmarkStart w:id="15463" w:name="_Toc25488253"/>
      <w:bookmarkStart w:id="15464" w:name="_Toc25524739"/>
      <w:bookmarkStart w:id="15465" w:name="_Toc25536276"/>
      <w:bookmarkStart w:id="15466" w:name="_Toc25571271"/>
      <w:bookmarkStart w:id="15467" w:name="_Toc25572753"/>
      <w:bookmarkStart w:id="15468" w:name="_Toc25572995"/>
      <w:bookmarkStart w:id="15469" w:name="_Toc25184794"/>
      <w:bookmarkStart w:id="15470" w:name="_Toc25317264"/>
      <w:bookmarkStart w:id="15471" w:name="_Toc25488238"/>
      <w:bookmarkStart w:id="15472" w:name="_Toc25524698"/>
      <w:bookmarkStart w:id="15473" w:name="_Toc25536217"/>
      <w:r>
        <w:rPr>
          <w:rFonts w:hint="cs"/>
          <w:rtl/>
        </w:rPr>
        <w:t>קושית המשנת ר"א</w:t>
      </w:r>
      <w:bookmarkEnd w:id="15462"/>
      <w:bookmarkEnd w:id="15463"/>
      <w:bookmarkEnd w:id="15464"/>
      <w:bookmarkEnd w:id="15465"/>
      <w:r>
        <w:rPr>
          <w:rFonts w:hint="cs"/>
          <w:rtl/>
        </w:rPr>
        <w:t xml:space="preserve"> דבטומאה המיעוט לא סותר לרוב ולא בטל</w:t>
      </w:r>
      <w:bookmarkEnd w:id="15466"/>
      <w:bookmarkEnd w:id="15467"/>
      <w:bookmarkEnd w:id="15468"/>
    </w:p>
    <w:p w:rsidR="003A5D2C" w:rsidRPr="00926966" w:rsidRDefault="003A5D2C" w:rsidP="003A5D2C">
      <w:pPr>
        <w:pStyle w:val="a2"/>
      </w:pPr>
      <w:bookmarkStart w:id="15474" w:name="_Toc25536277"/>
      <w:bookmarkStart w:id="15475" w:name="_Toc25571272"/>
      <w:bookmarkStart w:id="15476" w:name="_Toc25572754"/>
      <w:bookmarkStart w:id="15477" w:name="_Toc25572996"/>
      <w:r>
        <w:rPr>
          <w:rFonts w:hint="cs"/>
          <w:rtl/>
        </w:rPr>
        <w:t>קושית המשנת ר"א דאף במגע צריך לטמא בבזאח"ז דודאי נגע בטומאה ובמה משא חלוק ממגע</w:t>
      </w:r>
      <w:bookmarkEnd w:id="15474"/>
      <w:bookmarkEnd w:id="15475"/>
      <w:bookmarkEnd w:id="15476"/>
      <w:bookmarkEnd w:id="15477"/>
    </w:p>
    <w:p w:rsidR="003A5D2C" w:rsidRDefault="003A5D2C" w:rsidP="009F44AF">
      <w:pPr>
        <w:pStyle w:val="a"/>
        <w:rPr>
          <w:rtl/>
        </w:rPr>
      </w:pPr>
      <w:bookmarkStart w:id="15478" w:name="_Ref25570958"/>
      <w:r>
        <w:rPr>
          <w:rFonts w:hint="cs"/>
          <w:rtl/>
        </w:rPr>
        <w:t xml:space="preserve">הקשה </w:t>
      </w:r>
      <w:r w:rsidRPr="002241DD">
        <w:rPr>
          <w:rStyle w:val="af8"/>
          <w:rFonts w:hint="cs"/>
          <w:rtl/>
        </w:rPr>
        <w:t>במשנת ר"א</w:t>
      </w:r>
      <w:r>
        <w:rPr>
          <w:rFonts w:hint="cs"/>
          <w:rtl/>
        </w:rPr>
        <w:t xml:space="preserve"> </w:t>
      </w:r>
      <w:r w:rsidRPr="00C22F10">
        <w:rPr>
          <w:rStyle w:val="af6"/>
          <w:rFonts w:eastAsia="Guttman Hodes" w:hint="cs"/>
          <w:rtl/>
        </w:rPr>
        <w:t>(חולין סי' ז' אות ג' ד"ה וראיה ברורה)</w:t>
      </w:r>
      <w:r>
        <w:rPr>
          <w:rFonts w:hint="cs"/>
          <w:rtl/>
        </w:rPr>
        <w:t xml:space="preserve"> מה החילוק בין טומאת משא לטומאת מגע, והרי אף במגע כשנגע בזה אחר זה הוא טהור, אעפ"י שודאי נגע בטומאה, וצריך להיות טמא כמו במשא. [ועי' בדברי </w:t>
      </w:r>
      <w:r w:rsidRPr="00B672EA">
        <w:rPr>
          <w:rStyle w:val="af8"/>
          <w:rFonts w:hint="cs"/>
          <w:rtl/>
        </w:rPr>
        <w:t>השער"י</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Ref25525613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B672EA">
        <w:rPr>
          <w:rStyle w:val="af6"/>
          <w:rFonts w:eastAsia="Guttman Hodes"/>
          <w:rtl/>
        </w:rPr>
        <w:fldChar w:fldCharType="end"/>
      </w:r>
      <w:r>
        <w:rPr>
          <w:rFonts w:hint="cs"/>
          <w:rtl/>
        </w:rPr>
        <w:t xml:space="preserve"> </w:t>
      </w:r>
      <w:r w:rsidRPr="00B672EA">
        <w:rPr>
          <w:rStyle w:val="af8"/>
          <w:rFonts w:hint="cs"/>
          <w:rtl/>
        </w:rPr>
        <w:t>והקוע"ה</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Ref25524895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B672EA">
        <w:rPr>
          <w:rStyle w:val="af6"/>
          <w:rFonts w:eastAsia="Guttman Hodes"/>
          <w:rtl/>
        </w:rPr>
        <w:fldChar w:fldCharType="end"/>
      </w:r>
      <w:r>
        <w:rPr>
          <w:rFonts w:hint="cs"/>
          <w:rtl/>
        </w:rPr>
        <w:t xml:space="preserve"> </w:t>
      </w:r>
      <w:r w:rsidRPr="00B672EA">
        <w:rPr>
          <w:rStyle w:val="af8"/>
          <w:rFonts w:hint="cs"/>
          <w:rtl/>
        </w:rPr>
        <w:t>והקה"י</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Ref25570814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B672EA">
        <w:rPr>
          <w:rStyle w:val="af6"/>
          <w:rFonts w:eastAsia="Guttman Hodes"/>
          <w:rtl/>
        </w:rPr>
        <w:fldChar w:fldCharType="end"/>
      </w:r>
      <w:r>
        <w:rPr>
          <w:rFonts w:hint="cs"/>
          <w:rtl/>
        </w:rPr>
        <w:t>].</w:t>
      </w:r>
      <w:bookmarkEnd w:id="15478"/>
    </w:p>
    <w:p w:rsidR="003A5D2C" w:rsidRPr="00926966" w:rsidRDefault="003A5D2C" w:rsidP="003A5D2C">
      <w:pPr>
        <w:pStyle w:val="a2"/>
        <w:rPr>
          <w:rtl/>
        </w:rPr>
      </w:pPr>
      <w:bookmarkStart w:id="15479" w:name="_Toc25536278"/>
      <w:bookmarkStart w:id="15480" w:name="_Toc25571273"/>
      <w:bookmarkStart w:id="15481" w:name="_Toc25572755"/>
      <w:bookmarkStart w:id="15482" w:name="_Toc25572997"/>
      <w:r>
        <w:rPr>
          <w:rFonts w:hint="cs"/>
          <w:rtl/>
        </w:rPr>
        <w:t>קושית המשנת ר"א דבטומאה הנדון באדם ואין סתירה בין הרוב למיעוט והאיך מהני ביטול ברוב</w:t>
      </w:r>
      <w:bookmarkEnd w:id="15479"/>
      <w:bookmarkEnd w:id="15480"/>
      <w:bookmarkEnd w:id="15481"/>
      <w:bookmarkEnd w:id="15482"/>
    </w:p>
    <w:p w:rsidR="003A5D2C" w:rsidRDefault="003A5D2C" w:rsidP="009F44AF">
      <w:pPr>
        <w:pStyle w:val="a"/>
        <w:rPr>
          <w:rStyle w:val="afa"/>
          <w:rtl/>
        </w:rPr>
      </w:pPr>
      <w:r>
        <w:rPr>
          <w:rFonts w:hint="cs"/>
          <w:rtl/>
        </w:rPr>
        <w:t xml:space="preserve">ועוד הקשה </w:t>
      </w:r>
      <w:r w:rsidRPr="002241DD">
        <w:rPr>
          <w:rStyle w:val="af8"/>
          <w:rFonts w:hint="cs"/>
          <w:rtl/>
        </w:rPr>
        <w:t>במשנת ר"א</w:t>
      </w:r>
      <w:r>
        <w:rPr>
          <w:rFonts w:hint="cs"/>
          <w:rtl/>
        </w:rPr>
        <w:t xml:space="preserve"> דהרי כיון דבטומאה הנדון הוא כלפי האדם ולא כלפי התערובת, א"כ אין כל סתירה בין דין הרוב לדין המיעוט, דהאדם נטמא מנבילה כל שהיא בתערובת, ואין נ"מ מאיזה חתיכה נטמא, וא"כ אין כל סתירה בין דין הטומאה של המיעוט לטהרה של הרוב, והיאך מהני ביטול ברוב, דהרי כל דין ביטול ברוב הוא רק מחמת שדין המיעוט סותר לדין הרוב. </w:t>
      </w:r>
      <w:r w:rsidRPr="00C22F10">
        <w:rPr>
          <w:rStyle w:val="afa"/>
          <w:rFonts w:hint="cs"/>
          <w:rtl/>
        </w:rPr>
        <w:t xml:space="preserve">[כדביאר </w:t>
      </w:r>
      <w:r w:rsidRPr="00C22F10">
        <w:rPr>
          <w:rStyle w:val="affa"/>
          <w:rFonts w:hint="cs"/>
          <w:rtl/>
        </w:rPr>
        <w:t>במשנת ר"א</w:t>
      </w:r>
      <w:r w:rsidRPr="00C22F10">
        <w:rPr>
          <w:rStyle w:val="afa"/>
          <w:rFonts w:hint="cs"/>
          <w:rtl/>
        </w:rPr>
        <w:t xml:space="preserve"> </w:t>
      </w:r>
      <w:r w:rsidRPr="002574C6">
        <w:rPr>
          <w:rStyle w:val="aff6"/>
          <w:rtl/>
        </w:rPr>
        <w:t>(סי' ז' אות ג' ד"ה והנה בשיטת</w:t>
      </w:r>
      <w:r w:rsidRPr="002574C6">
        <w:rPr>
          <w:rStyle w:val="aff6"/>
          <w:rFonts w:hint="cs"/>
          <w:rtl/>
        </w:rPr>
        <w:t>, הובא בסימן י"ז אות צ"ח)</w:t>
      </w:r>
      <w:r w:rsidRPr="00C22F10">
        <w:rPr>
          <w:rStyle w:val="afa"/>
          <w:rFonts w:hint="cs"/>
          <w:rtl/>
        </w:rPr>
        <w:t>].</w:t>
      </w:r>
    </w:p>
    <w:p w:rsidR="003A5D2C" w:rsidRPr="00A65A35" w:rsidRDefault="003A5D2C" w:rsidP="003A5D2C">
      <w:pPr>
        <w:pStyle w:val="1"/>
        <w:rPr>
          <w:rtl/>
        </w:rPr>
      </w:pPr>
      <w:bookmarkStart w:id="15483" w:name="_Toc25571274"/>
      <w:bookmarkStart w:id="15484" w:name="_Toc25572756"/>
      <w:bookmarkStart w:id="15485" w:name="_Toc25572998"/>
      <w:r>
        <w:rPr>
          <w:rFonts w:hint="cs"/>
          <w:rtl/>
        </w:rPr>
        <w:t>דברי המשנת ר"א דא"א לומר במגע דהטומאה כמאן דאיתא</w:t>
      </w:r>
      <w:bookmarkEnd w:id="15483"/>
      <w:bookmarkEnd w:id="15484"/>
      <w:bookmarkEnd w:id="15485"/>
    </w:p>
    <w:p w:rsidR="003A5D2C" w:rsidRPr="00926966" w:rsidRDefault="003A5D2C" w:rsidP="003A5D2C">
      <w:pPr>
        <w:pStyle w:val="a2"/>
        <w:rPr>
          <w:rtl/>
        </w:rPr>
      </w:pPr>
      <w:bookmarkStart w:id="15486" w:name="_Toc25571275"/>
      <w:bookmarkStart w:id="15487" w:name="_Toc25572757"/>
      <w:bookmarkStart w:id="15488" w:name="_Toc25572999"/>
      <w:r>
        <w:rPr>
          <w:rFonts w:hint="cs"/>
          <w:rtl/>
        </w:rPr>
        <w:t>דברי המשנת ר"א דאי בנגע בזאח"ז טמא א"כ אף בנגע בב' מתוך ג' טמא דהטומאה ברוב</w:t>
      </w:r>
      <w:bookmarkEnd w:id="15486"/>
      <w:bookmarkEnd w:id="15487"/>
      <w:bookmarkEnd w:id="15488"/>
    </w:p>
    <w:p w:rsidR="003A5D2C" w:rsidRDefault="003A5D2C" w:rsidP="009F44AF">
      <w:pPr>
        <w:pStyle w:val="a"/>
        <w:rPr>
          <w:rtl/>
        </w:rPr>
      </w:pPr>
      <w:r>
        <w:rPr>
          <w:rFonts w:hint="cs"/>
          <w:rtl/>
        </w:rPr>
        <w:t xml:space="preserve">אלא כתב </w:t>
      </w:r>
      <w:r w:rsidRPr="00A65A35">
        <w:rPr>
          <w:rStyle w:val="af8"/>
          <w:rFonts w:hint="cs"/>
          <w:rtl/>
        </w:rPr>
        <w:t>במשנת ר"א</w:t>
      </w:r>
      <w:r w:rsidR="00BE6737">
        <w:rPr>
          <w:rFonts w:hint="cs"/>
          <w:rtl/>
        </w:rPr>
        <w:t xml:space="preserve"> דב</w:t>
      </w:r>
      <w:r>
        <w:rPr>
          <w:rFonts w:hint="cs"/>
          <w:rtl/>
        </w:rPr>
        <w:t xml:space="preserve">טומאת מגע, א"א לומר דהטומאה כמאן דאיתא, דא"כ דיני הרוב סותרים זה לזה, וביאר </w:t>
      </w:r>
      <w:r w:rsidRPr="002241DD">
        <w:rPr>
          <w:rStyle w:val="af8"/>
          <w:rFonts w:hint="cs"/>
          <w:rtl/>
        </w:rPr>
        <w:t>במשנת ר"א</w:t>
      </w:r>
      <w:r>
        <w:rPr>
          <w:rFonts w:hint="cs"/>
          <w:rtl/>
        </w:rPr>
        <w:t xml:space="preserve"> דבנגע בכל החתיכות בזה אחר זה, אי נימא שהוא טמא, כיון שנגע בודאי טומאה, א"כ אחר שנגע בב' החתיכות מתוך השלוש שבתערובת הוא ספק טומאה דטמא ברה"י, ואף ברה"ר צריך להיות טמא, כיון שנגע ברוב החתיכות, ואמרינן דהטומאה היא נמצאת ברוב.</w:t>
      </w:r>
    </w:p>
    <w:p w:rsidR="003A5D2C" w:rsidRDefault="003A5D2C" w:rsidP="003A5D2C">
      <w:pPr>
        <w:pStyle w:val="a2"/>
        <w:rPr>
          <w:rtl/>
        </w:rPr>
      </w:pPr>
      <w:bookmarkStart w:id="15489" w:name="_Toc25571276"/>
      <w:bookmarkStart w:id="15490" w:name="_Toc25572758"/>
      <w:bookmarkStart w:id="15491" w:name="_Toc25573000"/>
      <w:r>
        <w:rPr>
          <w:rFonts w:hint="cs"/>
          <w:rtl/>
        </w:rPr>
        <w:t>דברי המשנת ר"א דע"י הרוב אפש"ל להיפך דבנגע בב' טהור דעל כ"א יש רוב דטהורה</w:t>
      </w:r>
      <w:bookmarkEnd w:id="15489"/>
      <w:bookmarkEnd w:id="15490"/>
      <w:bookmarkEnd w:id="15491"/>
      <w:r>
        <w:rPr>
          <w:rFonts w:hint="cs"/>
          <w:rtl/>
        </w:rPr>
        <w:t xml:space="preserve"> </w:t>
      </w:r>
    </w:p>
    <w:p w:rsidR="003A5D2C" w:rsidRDefault="003A5D2C" w:rsidP="009F44AF">
      <w:pPr>
        <w:pStyle w:val="a"/>
        <w:rPr>
          <w:rtl/>
        </w:rPr>
      </w:pPr>
      <w:r>
        <w:rPr>
          <w:rFonts w:hint="cs"/>
          <w:rtl/>
        </w:rPr>
        <w:t xml:space="preserve">אך כתב </w:t>
      </w:r>
      <w:r w:rsidRPr="00C22F10">
        <w:rPr>
          <w:rStyle w:val="af8"/>
          <w:rFonts w:hint="cs"/>
          <w:rtl/>
        </w:rPr>
        <w:t>המשנת ר"א</w:t>
      </w:r>
      <w:r>
        <w:rPr>
          <w:rFonts w:hint="cs"/>
          <w:rtl/>
        </w:rPr>
        <w:t xml:space="preserve"> דמדין הרוב צריך הדין להיות גם להיפך, שהוא טהור בודאי, דכיון שעל כל חתיכה וחתיכה יש רוב שאינה החתיכה הטמאה, א"כ כל שלא נגע בכל התערובת, צריך לטהרו מדין הרוב, וא"א לומר שהוא ספק טמא, כיון שדין הרוב של כל חתיכה וחתיכה שהוא ודאי טהור.</w:t>
      </w:r>
    </w:p>
    <w:p w:rsidR="003A5D2C" w:rsidRPr="00BE2817" w:rsidRDefault="003A5D2C" w:rsidP="003A5D2C">
      <w:pPr>
        <w:pStyle w:val="a2"/>
      </w:pPr>
      <w:bookmarkStart w:id="15492" w:name="_Toc25571277"/>
      <w:bookmarkStart w:id="15493" w:name="_Toc25572759"/>
      <w:bookmarkStart w:id="15494" w:name="_Toc25573001"/>
      <w:r>
        <w:rPr>
          <w:rFonts w:hint="cs"/>
          <w:rtl/>
        </w:rPr>
        <w:t>דברי המשנת ר"א דאי הרוב מטהר בנגע בב' מתוך ג' לא יתכן לומר שבנגע בג' יהיה טמא</w:t>
      </w:r>
      <w:bookmarkEnd w:id="15492"/>
      <w:bookmarkEnd w:id="15493"/>
      <w:bookmarkEnd w:id="15494"/>
    </w:p>
    <w:p w:rsidR="003A5D2C" w:rsidRDefault="003A5D2C" w:rsidP="009F44AF">
      <w:pPr>
        <w:pStyle w:val="a"/>
        <w:rPr>
          <w:rtl/>
        </w:rPr>
      </w:pPr>
      <w:r>
        <w:rPr>
          <w:rFonts w:hint="cs"/>
          <w:rtl/>
        </w:rPr>
        <w:t xml:space="preserve">וכתב </w:t>
      </w:r>
      <w:r w:rsidRPr="00C22F10">
        <w:rPr>
          <w:rStyle w:val="af8"/>
          <w:rFonts w:hint="cs"/>
          <w:rtl/>
        </w:rPr>
        <w:t>המשנת ר"א</w:t>
      </w:r>
      <w:r>
        <w:rPr>
          <w:rFonts w:hint="cs"/>
          <w:rtl/>
        </w:rPr>
        <w:t xml:space="preserve"> דאי ע"י הרוב אמרינן שדינו שהוא טהור אחר שנגע בב' החתיכות הראשונות, לא יתכן לומר שכשנגע בחתיכה השלישית נטמא.</w:t>
      </w:r>
    </w:p>
    <w:p w:rsidR="003A5D2C" w:rsidRPr="00356EAE" w:rsidRDefault="003A5D2C" w:rsidP="003A5D2C">
      <w:pPr>
        <w:pStyle w:val="1"/>
      </w:pPr>
      <w:bookmarkStart w:id="15495" w:name="_Toc25571278"/>
      <w:bookmarkStart w:id="15496" w:name="_Toc25572760"/>
      <w:bookmarkStart w:id="15497" w:name="_Toc25573002"/>
      <w:r>
        <w:rPr>
          <w:rFonts w:hint="cs"/>
          <w:rtl/>
        </w:rPr>
        <w:t>דברי המשנת ר"א דטומאת מגע נהפכה לטהרה ובמשא לא בטל</w:t>
      </w:r>
      <w:bookmarkEnd w:id="15495"/>
      <w:bookmarkEnd w:id="15496"/>
      <w:bookmarkEnd w:id="15497"/>
    </w:p>
    <w:p w:rsidR="003A5D2C" w:rsidRPr="00926966" w:rsidRDefault="003A5D2C" w:rsidP="003A5D2C">
      <w:pPr>
        <w:pStyle w:val="a2"/>
      </w:pPr>
      <w:bookmarkStart w:id="15498" w:name="_Toc25571279"/>
      <w:bookmarkStart w:id="15499" w:name="_Toc25572761"/>
      <w:bookmarkStart w:id="15500" w:name="_Toc25573003"/>
      <w:r>
        <w:rPr>
          <w:rFonts w:hint="cs"/>
          <w:rtl/>
        </w:rPr>
        <w:t>דברי המשנת ר"א דמוכח דבמגע הטומאה נהפכה לטהרה ולכן אף בנגע בכולם בזאח"ז טהור</w:t>
      </w:r>
      <w:bookmarkEnd w:id="15498"/>
      <w:bookmarkEnd w:id="15499"/>
      <w:bookmarkEnd w:id="15500"/>
    </w:p>
    <w:p w:rsidR="003A5D2C" w:rsidRDefault="003A5D2C" w:rsidP="009F44AF">
      <w:pPr>
        <w:pStyle w:val="a"/>
        <w:rPr>
          <w:rtl/>
        </w:rPr>
      </w:pPr>
      <w:r>
        <w:rPr>
          <w:rFonts w:hint="cs"/>
          <w:rtl/>
        </w:rPr>
        <w:t xml:space="preserve">אלא כתב </w:t>
      </w:r>
      <w:r w:rsidRPr="008B119D">
        <w:rPr>
          <w:rStyle w:val="af8"/>
          <w:rFonts w:hint="cs"/>
          <w:rtl/>
        </w:rPr>
        <w:t xml:space="preserve">המשנת ר"א </w:t>
      </w:r>
      <w:r>
        <w:rPr>
          <w:rFonts w:hint="cs"/>
          <w:rtl/>
        </w:rPr>
        <w:t xml:space="preserve">דמוכח דדין ביטול ברוב במגע הוא דהטומאה נהפכה לטהרה, וכדכתב </w:t>
      </w:r>
      <w:r w:rsidRPr="008B119D">
        <w:rPr>
          <w:rStyle w:val="af8"/>
          <w:rFonts w:hint="cs"/>
          <w:rtl/>
        </w:rPr>
        <w:t xml:space="preserve">הרא"ש </w:t>
      </w:r>
      <w:r w:rsidRPr="00A65A35">
        <w:rPr>
          <w:rStyle w:val="af6"/>
          <w:rFonts w:eastAsia="Guttman Hodes" w:hint="cs"/>
          <w:rtl/>
        </w:rPr>
        <w:t xml:space="preserve">(עי' אות </w:t>
      </w:r>
      <w:r w:rsidRPr="00A65A35">
        <w:rPr>
          <w:rStyle w:val="af6"/>
          <w:rFonts w:eastAsia="Guttman Hodes"/>
          <w:rtl/>
        </w:rPr>
        <w:fldChar w:fldCharType="begin"/>
      </w:r>
      <w:r w:rsidRPr="00A65A35">
        <w:rPr>
          <w:rStyle w:val="af6"/>
          <w:rFonts w:eastAsia="Guttman Hodes"/>
          <w:rtl/>
        </w:rPr>
        <w:instrText xml:space="preserve"> </w:instrText>
      </w:r>
      <w:r w:rsidRPr="00A65A35">
        <w:rPr>
          <w:rStyle w:val="af6"/>
          <w:rFonts w:eastAsia="Guttman Hodes" w:hint="cs"/>
        </w:rPr>
        <w:instrText>REF</w:instrText>
      </w:r>
      <w:r w:rsidRPr="00A65A35">
        <w:rPr>
          <w:rStyle w:val="af6"/>
          <w:rFonts w:eastAsia="Guttman Hodes" w:hint="cs"/>
          <w:rtl/>
        </w:rPr>
        <w:instrText xml:space="preserve"> _</w:instrText>
      </w:r>
      <w:r w:rsidRPr="00A65A35">
        <w:rPr>
          <w:rStyle w:val="af6"/>
          <w:rFonts w:eastAsia="Guttman Hodes" w:hint="cs"/>
        </w:rPr>
        <w:instrText>Ref24902820 \r \h</w:instrText>
      </w:r>
      <w:r w:rsidRPr="00A65A35">
        <w:rPr>
          <w:rStyle w:val="af6"/>
          <w:rFonts w:eastAsia="Guttman Hodes"/>
          <w:rtl/>
        </w:rPr>
        <w:instrText xml:space="preserve"> </w:instrText>
      </w:r>
      <w:r w:rsidRPr="00A65A35">
        <w:rPr>
          <w:rStyle w:val="af6"/>
          <w:rFonts w:eastAsia="Guttman Hodes"/>
          <w:rtl/>
        </w:rPr>
      </w:r>
      <w:r w:rsidRPr="00A65A35">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A65A35">
        <w:rPr>
          <w:rStyle w:val="af6"/>
          <w:rFonts w:eastAsia="Guttman Hodes"/>
          <w:rtl/>
        </w:rPr>
        <w:fldChar w:fldCharType="end"/>
      </w:r>
      <w:r>
        <w:rPr>
          <w:rFonts w:hint="cs"/>
          <w:rtl/>
        </w:rPr>
        <w:t xml:space="preserve"> דהאיסור נהפך להיתר, </w:t>
      </w:r>
      <w:r w:rsidRPr="008B119D">
        <w:rPr>
          <w:rStyle w:val="afa"/>
          <w:rFonts w:hint="cs"/>
          <w:rtl/>
        </w:rPr>
        <w:t xml:space="preserve">[וכדביאר </w:t>
      </w:r>
      <w:r w:rsidRPr="008B119D">
        <w:rPr>
          <w:rStyle w:val="affa"/>
          <w:rFonts w:hint="cs"/>
          <w:rtl/>
        </w:rPr>
        <w:t>המשנת ר"א</w:t>
      </w:r>
      <w:r w:rsidRPr="008B119D">
        <w:rPr>
          <w:rStyle w:val="afa"/>
          <w:rFonts w:hint="cs"/>
          <w:rtl/>
        </w:rPr>
        <w:t xml:space="preserve"> </w:t>
      </w:r>
      <w:r w:rsidRPr="00114FC6">
        <w:rPr>
          <w:rStyle w:val="af6"/>
          <w:rFonts w:eastAsia="Guttman Hodes" w:hint="cs"/>
          <w:rtl/>
        </w:rPr>
        <w:t>(סי' ז' אות ג' ד"ה והנה בשיטת</w:t>
      </w:r>
      <w:r w:rsidRPr="008B119D">
        <w:rPr>
          <w:rStyle w:val="aff6"/>
          <w:rFonts w:hint="cs"/>
          <w:rtl/>
        </w:rPr>
        <w:t xml:space="preserve">, הובא בסימן </w:t>
      </w:r>
      <w:r>
        <w:rPr>
          <w:rStyle w:val="aff6"/>
          <w:rFonts w:hint="cs"/>
          <w:rtl/>
        </w:rPr>
        <w:t>י"ז</w:t>
      </w:r>
      <w:r w:rsidRPr="008B119D">
        <w:rPr>
          <w:rStyle w:val="aff6"/>
          <w:rFonts w:hint="cs"/>
          <w:rtl/>
        </w:rPr>
        <w:t xml:space="preserve"> אות </w:t>
      </w:r>
      <w:r>
        <w:rPr>
          <w:rStyle w:val="aff6"/>
          <w:rFonts w:hint="cs"/>
          <w:rtl/>
        </w:rPr>
        <w:t>צ"ו</w:t>
      </w:r>
      <w:r w:rsidRPr="008B119D">
        <w:rPr>
          <w:rStyle w:val="aff6"/>
          <w:rFonts w:hint="cs"/>
          <w:rtl/>
        </w:rPr>
        <w:t>)</w:t>
      </w:r>
      <w:r w:rsidRPr="008B119D">
        <w:rPr>
          <w:rStyle w:val="afa"/>
          <w:rFonts w:hint="cs"/>
          <w:rtl/>
        </w:rPr>
        <w:t xml:space="preserve"> דאף </w:t>
      </w:r>
      <w:r w:rsidRPr="008B119D">
        <w:rPr>
          <w:rStyle w:val="affa"/>
          <w:rFonts w:hint="cs"/>
          <w:rtl/>
        </w:rPr>
        <w:t>הרשב"א</w:t>
      </w:r>
      <w:r w:rsidRPr="008B119D">
        <w:rPr>
          <w:rStyle w:val="afa"/>
          <w:rFonts w:hint="cs"/>
          <w:rtl/>
        </w:rPr>
        <w:t xml:space="preserve"> מודה דנהפך להיתר],</w:t>
      </w:r>
      <w:r>
        <w:rPr>
          <w:rFonts w:hint="cs"/>
          <w:rtl/>
        </w:rPr>
        <w:t xml:space="preserve"> ולכן כשנגע בכל החתיכות בזה אחר זה, א"א לטמאותו כלל, דעל כל חתיכה יש דין שהיא טהורה לגמרי, דנהפכה לטהרה.</w:t>
      </w:r>
    </w:p>
    <w:p w:rsidR="003A5D2C" w:rsidRPr="00926966" w:rsidRDefault="003A5D2C" w:rsidP="003A5D2C">
      <w:pPr>
        <w:pStyle w:val="a2"/>
        <w:rPr>
          <w:rtl/>
        </w:rPr>
      </w:pPr>
      <w:bookmarkStart w:id="15501" w:name="_Toc25571280"/>
      <w:bookmarkStart w:id="15502" w:name="_Toc25572762"/>
      <w:bookmarkStart w:id="15503" w:name="_Toc25573004"/>
      <w:r>
        <w:rPr>
          <w:rFonts w:hint="cs"/>
          <w:rtl/>
        </w:rPr>
        <w:t>דברי המשנת ר"א דבמשא בב"א הנדון על האדם ואין סתירה בין הרוב למיעוט ולא שייך ביטול</w:t>
      </w:r>
      <w:bookmarkEnd w:id="15501"/>
      <w:bookmarkEnd w:id="15502"/>
      <w:bookmarkEnd w:id="15503"/>
    </w:p>
    <w:p w:rsidR="003A5D2C" w:rsidRDefault="003A5D2C" w:rsidP="009F44AF">
      <w:pPr>
        <w:pStyle w:val="a"/>
        <w:rPr>
          <w:rtl/>
        </w:rPr>
      </w:pPr>
      <w:r>
        <w:rPr>
          <w:rFonts w:hint="cs"/>
          <w:rtl/>
        </w:rPr>
        <w:t xml:space="preserve">אבל בטומאת משא כתב </w:t>
      </w:r>
      <w:r w:rsidRPr="002B13B8">
        <w:rPr>
          <w:rStyle w:val="af8"/>
          <w:rFonts w:hint="cs"/>
          <w:rtl/>
        </w:rPr>
        <w:t>המשנת ר"א</w:t>
      </w:r>
      <w:r>
        <w:rPr>
          <w:rFonts w:hint="cs"/>
          <w:rtl/>
        </w:rPr>
        <w:t xml:space="preserve"> דכיון שהוא נושא בבת אחת, לא שייך לדון דין ביטול ברוב כלל, כיון שהדין טומאה של המיעוט אינו נסתר מחמת הרוב, דבטומאה הנדון הוא כלפי האדם ולא כלפי התערובת, והאדם נטמא מנבילה כל שהיא בתערובת, ואין נ"מ מאיזה חתיכה נטמא, וא"כ אין כל סתירה בין דין הטומאה של המיעוט לטהרה של הרוב,</w:t>
      </w:r>
      <w:r w:rsidRPr="00093B0B">
        <w:rPr>
          <w:rFonts w:hint="cs"/>
          <w:rtl/>
        </w:rPr>
        <w:t xml:space="preserve"> </w:t>
      </w:r>
      <w:r>
        <w:rPr>
          <w:rFonts w:hint="cs"/>
          <w:rtl/>
        </w:rPr>
        <w:t xml:space="preserve">וכל דין ביטול ברוב הוא רק מחמת שדין המיעוט סותר לדין הרוב, </w:t>
      </w:r>
      <w:r w:rsidRPr="00D50BB2">
        <w:rPr>
          <w:rStyle w:val="afa"/>
          <w:rFonts w:hint="cs"/>
          <w:rtl/>
        </w:rPr>
        <w:t xml:space="preserve">[כדביאר </w:t>
      </w:r>
      <w:r w:rsidRPr="00D50BB2">
        <w:rPr>
          <w:rStyle w:val="affa"/>
          <w:rFonts w:hint="cs"/>
          <w:rtl/>
        </w:rPr>
        <w:t>במשנת ר"א</w:t>
      </w:r>
      <w:r w:rsidRPr="00D50BB2">
        <w:rPr>
          <w:rStyle w:val="afa"/>
          <w:rFonts w:hint="cs"/>
          <w:rtl/>
        </w:rPr>
        <w:t xml:space="preserve"> </w:t>
      </w:r>
      <w:r>
        <w:rPr>
          <w:rStyle w:val="aff6"/>
          <w:rtl/>
        </w:rPr>
        <w:t>(סי' ז' אות ג' ד"ה והנה בשיטת</w:t>
      </w:r>
      <w:r w:rsidRPr="00D34A57">
        <w:rPr>
          <w:rStyle w:val="aff6"/>
          <w:rFonts w:hint="cs"/>
          <w:rtl/>
        </w:rPr>
        <w:t>,</w:t>
      </w:r>
      <w:r>
        <w:rPr>
          <w:rStyle w:val="aff6"/>
          <w:rFonts w:hint="cs"/>
          <w:rtl/>
        </w:rPr>
        <w:t xml:space="preserve"> </w:t>
      </w:r>
      <w:r w:rsidRPr="00D50BB2">
        <w:rPr>
          <w:rStyle w:val="aff6"/>
          <w:rFonts w:hint="cs"/>
          <w:rtl/>
        </w:rPr>
        <w:t xml:space="preserve">הובא בסימן </w:t>
      </w:r>
      <w:r>
        <w:rPr>
          <w:rStyle w:val="aff6"/>
          <w:rFonts w:hint="cs"/>
          <w:rtl/>
        </w:rPr>
        <w:t>י"ז</w:t>
      </w:r>
      <w:r w:rsidRPr="00D50BB2">
        <w:rPr>
          <w:rStyle w:val="aff6"/>
          <w:rFonts w:hint="cs"/>
          <w:rtl/>
        </w:rPr>
        <w:t xml:space="preserve"> אות </w:t>
      </w:r>
      <w:r>
        <w:rPr>
          <w:rStyle w:val="aff6"/>
          <w:rFonts w:hint="cs"/>
          <w:rtl/>
        </w:rPr>
        <w:t>צ"ח</w:t>
      </w:r>
      <w:r w:rsidRPr="00D50BB2">
        <w:rPr>
          <w:rStyle w:val="aff6"/>
          <w:rFonts w:hint="cs"/>
          <w:rtl/>
        </w:rPr>
        <w:t>)</w:t>
      </w:r>
      <w:r w:rsidRPr="00D50BB2">
        <w:rPr>
          <w:rStyle w:val="afa"/>
          <w:rFonts w:hint="cs"/>
          <w:rtl/>
        </w:rPr>
        <w:t xml:space="preserve">], </w:t>
      </w:r>
      <w:r>
        <w:rPr>
          <w:rFonts w:hint="cs"/>
          <w:rtl/>
        </w:rPr>
        <w:t xml:space="preserve">והוסיף </w:t>
      </w:r>
      <w:r w:rsidRPr="002B13B8">
        <w:rPr>
          <w:rStyle w:val="af8"/>
          <w:rFonts w:hint="cs"/>
          <w:rtl/>
        </w:rPr>
        <w:t>המשנת ר"א</w:t>
      </w:r>
      <w:r>
        <w:rPr>
          <w:rFonts w:hint="cs"/>
          <w:rtl/>
        </w:rPr>
        <w:t xml:space="preserve"> דהחילוק בין טומאת מגע לטומאת משא, דמי לחילוק </w:t>
      </w:r>
      <w:r>
        <w:rPr>
          <w:rStyle w:val="af8"/>
          <w:rFonts w:hint="cs"/>
          <w:rtl/>
        </w:rPr>
        <w:t>הרשב</w:t>
      </w:r>
      <w:r>
        <w:rPr>
          <w:rStyle w:val="af8"/>
          <w:rtl/>
        </w:rPr>
        <w:t>"</w:t>
      </w:r>
      <w:r>
        <w:rPr>
          <w:rStyle w:val="af8"/>
          <w:rFonts w:hint="cs"/>
          <w:rtl/>
        </w:rPr>
        <w:t xml:space="preserve">א </w:t>
      </w:r>
      <w:r w:rsidRPr="004309B1">
        <w:rPr>
          <w:rStyle w:val="af6"/>
          <w:rFonts w:eastAsia="Guttman Hodes" w:hint="cs"/>
          <w:rtl/>
        </w:rPr>
        <w:t>(עי</w:t>
      </w:r>
      <w:r w:rsidRPr="004309B1">
        <w:rPr>
          <w:rStyle w:val="af6"/>
          <w:rFonts w:eastAsia="Guttman Hodes"/>
          <w:rtl/>
        </w:rPr>
        <w:t>'</w:t>
      </w:r>
      <w:r w:rsidRPr="004309B1">
        <w:rPr>
          <w:rStyle w:val="af6"/>
          <w:rFonts w:eastAsia="Guttman Hodes" w:hint="cs"/>
          <w:rtl/>
        </w:rPr>
        <w:t xml:space="preserve"> אות </w:t>
      </w:r>
      <w:r w:rsidRPr="004309B1">
        <w:rPr>
          <w:rStyle w:val="af6"/>
          <w:rFonts w:eastAsia="Guttman Hodes" w:hint="cs"/>
          <w:cs/>
        </w:rPr>
        <w:t>‎</w:t>
      </w:r>
      <w:r w:rsidRPr="004309B1">
        <w:rPr>
          <w:rStyle w:val="af6"/>
          <w:rFonts w:eastAsia="Guttman Hodes"/>
          <w:rtl/>
        </w:rPr>
        <w:fldChar w:fldCharType="begin"/>
      </w:r>
      <w:r w:rsidRPr="004309B1">
        <w:rPr>
          <w:rStyle w:val="af6"/>
          <w:rFonts w:eastAsia="Guttman Hodes"/>
          <w:rtl/>
        </w:rPr>
        <w:instrText xml:space="preserve"> </w:instrText>
      </w:r>
      <w:r w:rsidRPr="004309B1">
        <w:rPr>
          <w:rStyle w:val="af6"/>
          <w:rFonts w:eastAsia="Guttman Hodes" w:hint="cs"/>
        </w:rPr>
        <w:instrText>REF</w:instrText>
      </w:r>
      <w:r w:rsidRPr="004309B1">
        <w:rPr>
          <w:rStyle w:val="af6"/>
          <w:rFonts w:eastAsia="Guttman Hodes" w:hint="cs"/>
          <w:rtl/>
        </w:rPr>
        <w:instrText xml:space="preserve"> _</w:instrText>
      </w:r>
      <w:r w:rsidRPr="004309B1">
        <w:rPr>
          <w:rStyle w:val="af6"/>
          <w:rFonts w:eastAsia="Guttman Hodes" w:hint="cs"/>
        </w:rPr>
        <w:instrText>Ref24902820 \r \h</w:instrText>
      </w:r>
      <w:r w:rsidRPr="004309B1">
        <w:rPr>
          <w:rStyle w:val="af6"/>
          <w:rFonts w:eastAsia="Guttman Hodes"/>
          <w:rtl/>
        </w:rPr>
        <w:instrText xml:space="preserve"> </w:instrText>
      </w:r>
      <w:r w:rsidRPr="004309B1">
        <w:rPr>
          <w:rStyle w:val="af6"/>
          <w:rFonts w:eastAsia="Guttman Hodes"/>
          <w:rtl/>
        </w:rPr>
      </w:r>
      <w:r w:rsidRPr="004309B1">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4309B1">
        <w:rPr>
          <w:rStyle w:val="af6"/>
          <w:rFonts w:eastAsia="Guttman Hodes"/>
          <w:rtl/>
        </w:rPr>
        <w:fldChar w:fldCharType="end"/>
      </w:r>
      <w:r>
        <w:rPr>
          <w:rStyle w:val="af8"/>
          <w:rFonts w:hint="cs"/>
          <w:rtl/>
        </w:rPr>
        <w:t xml:space="preserve"> </w:t>
      </w:r>
      <w:r w:rsidRPr="004309B1">
        <w:rPr>
          <w:rStyle w:val="af6"/>
          <w:rFonts w:eastAsia="Guttman Adii-Light" w:hint="cs"/>
          <w:rtl/>
        </w:rPr>
        <w:t xml:space="preserve"> </w:t>
      </w:r>
      <w:r>
        <w:rPr>
          <w:rFonts w:hint="cs"/>
          <w:rtl/>
        </w:rPr>
        <w:t>בין אוכל בבת אחת, לאוכל בזה אחר זה.</w:t>
      </w:r>
    </w:p>
    <w:p w:rsidR="003A5D2C" w:rsidRDefault="003A5D2C" w:rsidP="003A5D2C">
      <w:pPr>
        <w:pStyle w:val="1"/>
        <w:rPr>
          <w:rtl/>
        </w:rPr>
      </w:pPr>
      <w:bookmarkStart w:id="15504" w:name="_Toc25571281"/>
      <w:bookmarkStart w:id="15505" w:name="_Toc25572763"/>
      <w:bookmarkStart w:id="15506" w:name="_Toc25573005"/>
      <w:r>
        <w:rPr>
          <w:rFonts w:hint="cs"/>
          <w:rtl/>
        </w:rPr>
        <w:t>הביאור הא' בקה"י בחילוק הרא"ש בין איסור לטומאה</w:t>
      </w:r>
      <w:bookmarkEnd w:id="15469"/>
      <w:bookmarkEnd w:id="15470"/>
      <w:bookmarkEnd w:id="15471"/>
      <w:bookmarkEnd w:id="15472"/>
      <w:bookmarkEnd w:id="15473"/>
      <w:bookmarkEnd w:id="15504"/>
      <w:bookmarkEnd w:id="15505"/>
      <w:bookmarkEnd w:id="15506"/>
    </w:p>
    <w:p w:rsidR="003A5D2C" w:rsidRPr="00926966" w:rsidRDefault="003A5D2C" w:rsidP="003A5D2C">
      <w:pPr>
        <w:pStyle w:val="a2"/>
      </w:pPr>
      <w:bookmarkStart w:id="15507" w:name="_Toc25524699"/>
      <w:bookmarkStart w:id="15508" w:name="_Toc25536218"/>
      <w:bookmarkStart w:id="15509" w:name="_Toc25571282"/>
      <w:bookmarkStart w:id="15510" w:name="_Toc25572764"/>
      <w:bookmarkStart w:id="15511" w:name="_Toc25573006"/>
      <w:r>
        <w:rPr>
          <w:rFonts w:hint="cs"/>
          <w:rtl/>
        </w:rPr>
        <w:t>ביאור הקה"י ברא"ש דבאיסור יש רוב בכל חתיכה וממילא אף בב"א הכל מותר דהוא נדון אחד</w:t>
      </w:r>
      <w:bookmarkEnd w:id="15507"/>
      <w:bookmarkEnd w:id="15508"/>
      <w:bookmarkEnd w:id="15509"/>
      <w:bookmarkEnd w:id="15510"/>
      <w:bookmarkEnd w:id="15511"/>
    </w:p>
    <w:p w:rsidR="003A5D2C" w:rsidRDefault="003A5D2C" w:rsidP="009F44AF">
      <w:pPr>
        <w:pStyle w:val="a"/>
        <w:rPr>
          <w:rtl/>
        </w:rPr>
      </w:pPr>
      <w:bookmarkStart w:id="15512" w:name="_Ref25570814"/>
      <w:r>
        <w:rPr>
          <w:rFonts w:hint="cs"/>
          <w:rtl/>
        </w:rPr>
        <w:t>במ"ש</w:t>
      </w:r>
      <w:r w:rsidRPr="000C0FD1">
        <w:rPr>
          <w:rStyle w:val="af8"/>
          <w:rFonts w:hint="cs"/>
          <w:rtl/>
        </w:rPr>
        <w:t xml:space="preserve"> הרא"ש</w:t>
      </w:r>
      <w:r>
        <w:rPr>
          <w:rFonts w:hint="cs"/>
          <w:rtl/>
        </w:rPr>
        <w:t xml:space="preserve"> </w:t>
      </w:r>
      <w:r w:rsidRPr="00BC6DE5">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Ref25492065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Pr>
          <w:rStyle w:val="af6"/>
          <w:rFonts w:eastAsia="Guttman Hodes"/>
          <w:rtl/>
        </w:rPr>
        <w:fldChar w:fldCharType="end"/>
      </w:r>
      <w:r w:rsidRPr="00BC6DE5">
        <w:rPr>
          <w:rStyle w:val="af6"/>
          <w:rFonts w:eastAsia="Guttman Hodes" w:hint="cs"/>
          <w:rtl/>
        </w:rPr>
        <w:t xml:space="preserve"> </w:t>
      </w:r>
      <w:r>
        <w:rPr>
          <w:rFonts w:hint="cs"/>
          <w:rtl/>
        </w:rPr>
        <w:t xml:space="preserve">דלענין איסור, כל שיש צד של איסור אין כל היתר אכילה, וכיון דמותר באכילה בזה אחר זה ודאי דמותר בבת אחת, ביאר </w:t>
      </w:r>
      <w:r w:rsidRPr="000C0FD1">
        <w:rPr>
          <w:rStyle w:val="af8"/>
          <w:rFonts w:hint="cs"/>
          <w:rtl/>
        </w:rPr>
        <w:t>הקה"י</w:t>
      </w:r>
      <w:r>
        <w:rPr>
          <w:rFonts w:hint="cs"/>
          <w:rtl/>
        </w:rPr>
        <w:t xml:space="preserve"> </w:t>
      </w:r>
      <w:r w:rsidRPr="005D4574">
        <w:rPr>
          <w:rStyle w:val="af8"/>
          <w:rFonts w:hint="cs"/>
          <w:rtl/>
        </w:rPr>
        <w:t>בבכורות</w:t>
      </w:r>
      <w:r>
        <w:rPr>
          <w:rFonts w:hint="cs"/>
          <w:rtl/>
        </w:rPr>
        <w:t xml:space="preserve"> </w:t>
      </w:r>
      <w:r w:rsidRPr="000C0FD1">
        <w:rPr>
          <w:rStyle w:val="af6"/>
          <w:rFonts w:eastAsia="Guttman Hodes" w:hint="cs"/>
          <w:rtl/>
        </w:rPr>
        <w:t xml:space="preserve">(סי' כ"ד ד"ה והרא"ש) </w:t>
      </w:r>
      <w:r>
        <w:rPr>
          <w:rFonts w:hint="cs"/>
          <w:rtl/>
        </w:rPr>
        <w:t xml:space="preserve">דס"ל </w:t>
      </w:r>
      <w:r w:rsidRPr="005D4574">
        <w:rPr>
          <w:rStyle w:val="af8"/>
          <w:rFonts w:hint="cs"/>
          <w:rtl/>
        </w:rPr>
        <w:t>להרא"ש</w:t>
      </w:r>
      <w:r>
        <w:rPr>
          <w:rFonts w:hint="cs"/>
          <w:rtl/>
        </w:rPr>
        <w:t xml:space="preserve"> דלענין איסור, א"א לומר </w:t>
      </w:r>
      <w:r w:rsidRPr="000C0FD1">
        <w:rPr>
          <w:rStyle w:val="afa"/>
          <w:rFonts w:hint="cs"/>
          <w:rtl/>
        </w:rPr>
        <w:t xml:space="preserve">[כדעת </w:t>
      </w:r>
      <w:r>
        <w:rPr>
          <w:rStyle w:val="affa"/>
          <w:rtl/>
        </w:rPr>
        <w:t xml:space="preserve">הרשב"א </w:t>
      </w:r>
      <w:r w:rsidRPr="00BC6DE5">
        <w:rPr>
          <w:rStyle w:val="aff6"/>
          <w:rtl/>
        </w:rPr>
        <w:t xml:space="preserve">(עי' אות </w:t>
      </w:r>
      <w:r w:rsidRPr="00BC6DE5">
        <w:rPr>
          <w:rStyle w:val="aff6"/>
          <w:cs/>
        </w:rPr>
        <w:t>‎</w:t>
      </w:r>
      <w:r w:rsidRPr="00BC6DE5">
        <w:rPr>
          <w:rStyle w:val="aff6"/>
          <w:rtl/>
        </w:rPr>
        <w:fldChar w:fldCharType="begin"/>
      </w:r>
      <w:r w:rsidRPr="00BC6DE5">
        <w:rPr>
          <w:rStyle w:val="aff6"/>
          <w:rtl/>
        </w:rPr>
        <w:instrText xml:space="preserve"> </w:instrText>
      </w:r>
      <w:r w:rsidRPr="00BC6DE5">
        <w:rPr>
          <w:rStyle w:val="aff6"/>
          <w:rFonts w:hint="cs"/>
        </w:rPr>
        <w:instrText>REF</w:instrText>
      </w:r>
      <w:r w:rsidRPr="00BC6DE5">
        <w:rPr>
          <w:rStyle w:val="aff6"/>
          <w:rFonts w:hint="cs"/>
          <w:rtl/>
        </w:rPr>
        <w:instrText xml:space="preserve"> _</w:instrText>
      </w:r>
      <w:r w:rsidRPr="00BC6DE5">
        <w:rPr>
          <w:rStyle w:val="aff6"/>
          <w:rFonts w:hint="cs"/>
        </w:rPr>
        <w:instrText>Ref24902820 \r \h</w:instrText>
      </w:r>
      <w:r w:rsidRPr="00BC6DE5">
        <w:rPr>
          <w:rStyle w:val="aff6"/>
          <w:rtl/>
        </w:rPr>
        <w:instrText xml:space="preserve"> </w:instrText>
      </w:r>
      <w:r w:rsidRPr="00BC6DE5">
        <w:rPr>
          <w:rStyle w:val="aff6"/>
          <w:rtl/>
        </w:rPr>
      </w:r>
      <w:r w:rsidRPr="00BC6DE5">
        <w:rPr>
          <w:rStyle w:val="aff6"/>
          <w:rtl/>
        </w:rPr>
        <w:fldChar w:fldCharType="separate"/>
      </w:r>
      <w:r w:rsidR="004D1C5B">
        <w:rPr>
          <w:rStyle w:val="aff6"/>
          <w:cs/>
        </w:rPr>
        <w:t>‎</w:t>
      </w:r>
      <w:r w:rsidR="004D1C5B">
        <w:rPr>
          <w:rStyle w:val="aff6"/>
          <w:rtl/>
        </w:rPr>
        <w:t>קט)</w:t>
      </w:r>
      <w:r w:rsidRPr="00BC6DE5">
        <w:rPr>
          <w:rStyle w:val="aff6"/>
          <w:rtl/>
        </w:rPr>
        <w:fldChar w:fldCharType="end"/>
      </w:r>
      <w:r w:rsidRPr="00BC6DE5">
        <w:rPr>
          <w:rStyle w:val="afa"/>
          <w:rFonts w:hint="cs"/>
          <w:rtl/>
        </w:rPr>
        <w:t xml:space="preserve">], </w:t>
      </w:r>
      <w:r>
        <w:rPr>
          <w:rFonts w:hint="cs"/>
          <w:rtl/>
        </w:rPr>
        <w:t xml:space="preserve">דכל חתיכה בפנ"ע מותרת, אך אסור לאכול את כל התערובת בבת אחת, דכיון שאמרה תורה "אחרי רבים להטות", וודאי דכל חתיכה בפנ"ע מותרת, א"כ ממילא כל התערובת מותרת, דהאיסור נהפך להיתר ואין כאן איסור כלל, ולכן מותר לאכול את כל התערובת בבת אחת, וכתב </w:t>
      </w:r>
      <w:r w:rsidRPr="005D4574">
        <w:rPr>
          <w:rStyle w:val="af8"/>
          <w:rFonts w:hint="cs"/>
          <w:rtl/>
        </w:rPr>
        <w:t>הקה"י בבכורות</w:t>
      </w:r>
      <w:r>
        <w:rPr>
          <w:rFonts w:hint="cs"/>
          <w:rtl/>
        </w:rPr>
        <w:t xml:space="preserve"> דכ"מ דס"ל </w:t>
      </w:r>
      <w:r w:rsidRPr="000C0FD1">
        <w:rPr>
          <w:rStyle w:val="af8"/>
          <w:rFonts w:hint="cs"/>
          <w:rtl/>
        </w:rPr>
        <w:t>להרא"ש</w:t>
      </w:r>
      <w:r>
        <w:rPr>
          <w:rFonts w:hint="cs"/>
          <w:rtl/>
        </w:rPr>
        <w:t xml:space="preserve"> דמחמת ההיתר בכל חתיכה מדין רוב מוכח שכל התערובת מותרת, זהו דוקא כשהנדון בכל חתיכה והנדון בכל התערובת הוא אותו הנדון.</w:t>
      </w:r>
      <w:bookmarkEnd w:id="15512"/>
    </w:p>
    <w:p w:rsidR="003A5D2C" w:rsidRPr="00926966" w:rsidRDefault="003A5D2C" w:rsidP="003A5D2C">
      <w:pPr>
        <w:pStyle w:val="a2"/>
        <w:rPr>
          <w:rtl/>
        </w:rPr>
      </w:pPr>
      <w:bookmarkStart w:id="15513" w:name="_Toc25524700"/>
      <w:bookmarkStart w:id="15514" w:name="_Toc25536219"/>
      <w:bookmarkStart w:id="15515" w:name="_Toc25571283"/>
      <w:bookmarkStart w:id="15516" w:name="_Toc25572765"/>
      <w:bookmarkStart w:id="15517" w:name="_Toc25573007"/>
      <w:r>
        <w:rPr>
          <w:rFonts w:hint="cs"/>
          <w:rtl/>
        </w:rPr>
        <w:t>ביאור הקה"י ברא"ש דבטומאה הנדון של מגע אינו הנדון של משא ולכן שייך לחלק ביניהם</w:t>
      </w:r>
      <w:bookmarkEnd w:id="15513"/>
      <w:bookmarkEnd w:id="15514"/>
      <w:bookmarkEnd w:id="15515"/>
      <w:bookmarkEnd w:id="15516"/>
      <w:bookmarkEnd w:id="15517"/>
    </w:p>
    <w:p w:rsidR="003A5D2C" w:rsidRPr="007A7AD6" w:rsidRDefault="003A5D2C" w:rsidP="009F44AF">
      <w:pPr>
        <w:pStyle w:val="a"/>
      </w:pPr>
      <w:r>
        <w:rPr>
          <w:rFonts w:hint="cs"/>
          <w:rtl/>
        </w:rPr>
        <w:t xml:space="preserve">ובמ"ש </w:t>
      </w:r>
      <w:r w:rsidRPr="000C0FD1">
        <w:rPr>
          <w:rStyle w:val="af8"/>
          <w:rFonts w:hint="cs"/>
          <w:rtl/>
        </w:rPr>
        <w:t>הרא"ש</w:t>
      </w:r>
      <w:r>
        <w:rPr>
          <w:rFonts w:hint="cs"/>
          <w:rtl/>
        </w:rPr>
        <w:t xml:space="preserve"> </w:t>
      </w:r>
      <w:r w:rsidRPr="00BC6DE5">
        <w:rPr>
          <w:rStyle w:val="af6"/>
          <w:rFonts w:eastAsia="Guttman Hodes" w:hint="cs"/>
          <w:rtl/>
        </w:rPr>
        <w:t xml:space="preserve">(עי' אות </w:t>
      </w:r>
      <w:r w:rsidRPr="00BC6DE5">
        <w:rPr>
          <w:rStyle w:val="af6"/>
          <w:rFonts w:eastAsia="Guttman Hodes"/>
          <w:rtl/>
        </w:rPr>
        <w:fldChar w:fldCharType="begin"/>
      </w:r>
      <w:r w:rsidRPr="00BC6DE5">
        <w:rPr>
          <w:rStyle w:val="af6"/>
          <w:rFonts w:eastAsia="Guttman Hodes"/>
          <w:rtl/>
        </w:rPr>
        <w:instrText xml:space="preserve"> </w:instrText>
      </w:r>
      <w:r w:rsidRPr="00BC6DE5">
        <w:rPr>
          <w:rStyle w:val="af6"/>
          <w:rFonts w:eastAsia="Guttman Hodes" w:hint="cs"/>
        </w:rPr>
        <w:instrText>REF</w:instrText>
      </w:r>
      <w:r w:rsidRPr="00BC6DE5">
        <w:rPr>
          <w:rStyle w:val="af6"/>
          <w:rFonts w:eastAsia="Guttman Hodes" w:hint="cs"/>
          <w:rtl/>
        </w:rPr>
        <w:instrText xml:space="preserve"> _</w:instrText>
      </w:r>
      <w:r w:rsidRPr="00BC6DE5">
        <w:rPr>
          <w:rStyle w:val="af6"/>
          <w:rFonts w:eastAsia="Guttman Hodes" w:hint="cs"/>
        </w:rPr>
        <w:instrText>Ref25491847 \r \h</w:instrText>
      </w:r>
      <w:r w:rsidRPr="00BC6DE5">
        <w:rPr>
          <w:rStyle w:val="af6"/>
          <w:rFonts w:eastAsia="Guttman Hodes"/>
          <w:rtl/>
        </w:rPr>
        <w:instrText xml:space="preserve"> </w:instrText>
      </w:r>
      <w:r w:rsidRPr="00BC6DE5">
        <w:rPr>
          <w:rStyle w:val="af6"/>
          <w:rFonts w:eastAsia="Guttman Hodes"/>
          <w:rtl/>
        </w:rPr>
      </w:r>
      <w:r w:rsidRPr="00BC6DE5">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BC6DE5">
        <w:rPr>
          <w:rStyle w:val="af6"/>
          <w:rFonts w:eastAsia="Guttman Hodes"/>
          <w:rtl/>
        </w:rPr>
        <w:fldChar w:fldCharType="end"/>
      </w:r>
      <w:r>
        <w:rPr>
          <w:rFonts w:hint="cs"/>
          <w:rtl/>
        </w:rPr>
        <w:t xml:space="preserve"> דבטומאה יש ב' מינים מגע ומשא, ולענין מגע יש ביטול ברוב, ולענין משא אין ביטול כלל, ביאר </w:t>
      </w:r>
      <w:r w:rsidRPr="000C0FD1">
        <w:rPr>
          <w:rStyle w:val="af8"/>
          <w:rFonts w:hint="cs"/>
          <w:rtl/>
        </w:rPr>
        <w:t>הקה"י</w:t>
      </w:r>
      <w:r>
        <w:rPr>
          <w:rFonts w:hint="cs"/>
          <w:rtl/>
        </w:rPr>
        <w:t xml:space="preserve"> דכוונת </w:t>
      </w:r>
      <w:r w:rsidRPr="000C0FD1">
        <w:rPr>
          <w:rStyle w:val="af8"/>
          <w:rFonts w:hint="cs"/>
          <w:rtl/>
        </w:rPr>
        <w:t>הרא"ש</w:t>
      </w:r>
      <w:r>
        <w:rPr>
          <w:rFonts w:hint="cs"/>
          <w:rtl/>
        </w:rPr>
        <w:t xml:space="preserve"> לומר דכיון שהנדון של טומאת מגע, אינו אותו הנדון של טומאת משא, לכן אעפ"י דלענין טומאת מגע נחשב שהטומאה כמאן דליתא, מ"מ עדיין היא יכולה לטמא במגע. </w:t>
      </w:r>
    </w:p>
    <w:p w:rsidR="003A5D2C" w:rsidRDefault="003A5D2C" w:rsidP="003A5D2C">
      <w:pPr>
        <w:pStyle w:val="a2"/>
        <w:rPr>
          <w:rtl/>
        </w:rPr>
      </w:pPr>
      <w:bookmarkStart w:id="15518" w:name="_Toc25524701"/>
      <w:bookmarkStart w:id="15519" w:name="_Toc25536220"/>
      <w:bookmarkStart w:id="15520" w:name="_Toc25571284"/>
      <w:bookmarkStart w:id="15521" w:name="_Toc25572766"/>
      <w:bookmarkStart w:id="15522" w:name="_Toc25573008"/>
      <w:r>
        <w:rPr>
          <w:rFonts w:hint="cs"/>
          <w:rtl/>
        </w:rPr>
        <w:t>קושית הקה"י דבנגע בזאח"ז טהור דהטומאה כמאן דליתא וא"כ בנשא בזאח"ז צריך להיות טהור</w:t>
      </w:r>
      <w:bookmarkEnd w:id="15518"/>
      <w:bookmarkEnd w:id="15519"/>
      <w:bookmarkEnd w:id="15520"/>
      <w:bookmarkEnd w:id="15521"/>
      <w:bookmarkEnd w:id="15522"/>
    </w:p>
    <w:p w:rsidR="003A5D2C" w:rsidRDefault="003A5D2C" w:rsidP="009F44AF">
      <w:pPr>
        <w:pStyle w:val="a"/>
      </w:pPr>
      <w:bookmarkStart w:id="15523" w:name="_Ref25092890"/>
      <w:r>
        <w:rPr>
          <w:rFonts w:hint="cs"/>
          <w:rtl/>
        </w:rPr>
        <w:t xml:space="preserve">אך הקשה </w:t>
      </w:r>
      <w:r w:rsidRPr="000C0FD1">
        <w:rPr>
          <w:rStyle w:val="af8"/>
          <w:rFonts w:hint="cs"/>
          <w:rtl/>
        </w:rPr>
        <w:t>הקה"י בבכורות</w:t>
      </w:r>
      <w:r>
        <w:rPr>
          <w:rFonts w:hint="cs"/>
          <w:rtl/>
        </w:rPr>
        <w:t xml:space="preserve"> </w:t>
      </w:r>
      <w:r w:rsidRPr="00844A15">
        <w:rPr>
          <w:rStyle w:val="af6"/>
          <w:rFonts w:eastAsia="Guttman Hodes" w:hint="cs"/>
          <w:rtl/>
        </w:rPr>
        <w:t>(סי' כ"ד ד"ה אבל)</w:t>
      </w:r>
      <w:r>
        <w:rPr>
          <w:rFonts w:hint="cs"/>
          <w:rtl/>
        </w:rPr>
        <w:t xml:space="preserve"> דאף לענין טומאת משא, הנבילה בטלה בשחוטה, דהא חתיכת נבילה שהתערבה בב' חתיכות שחוטות, ונושא חתיכה אחת מהתערובת, אינו טמא במשא, דכמו שמותר לאכול כל חתיכה בפנ"ע כך כל חתיכה אינה מטמאה, וכ"מ דאמרינן דמטמאה במשא, זהו דוקא כשנושא את כל התערובת בבת אחת, וא"כ כמו דס"ל </w:t>
      </w:r>
      <w:r w:rsidRPr="000C0FD1">
        <w:rPr>
          <w:rStyle w:val="af8"/>
          <w:rFonts w:hint="cs"/>
          <w:rtl/>
        </w:rPr>
        <w:t>להרא"ש</w:t>
      </w:r>
      <w:r>
        <w:rPr>
          <w:rFonts w:hint="cs"/>
          <w:rtl/>
        </w:rPr>
        <w:t xml:space="preserve"> דלענין אכילה אחר שכל חתיכה בפנ"ע מותרת, א"כ כל התערובת מותרת אף בבת אחת, דאמרינן שהאיסור  כמאן דליתא, א"כ ה"ה לענין טומאה דכמו שכל חתיכה בפנ"ע אינה מטמאה במשא, אף כשנושא את כל התערובת אינה מטמאה במשא, דהטומאה כמאן דליתא. [ועי' בדברי </w:t>
      </w:r>
      <w:r>
        <w:rPr>
          <w:rStyle w:val="af8"/>
          <w:rFonts w:hint="cs"/>
          <w:rtl/>
        </w:rPr>
        <w:t>ה</w:t>
      </w:r>
      <w:r w:rsidRPr="005F2A87">
        <w:rPr>
          <w:rStyle w:val="af8"/>
          <w:rFonts w:hint="cs"/>
          <w:rtl/>
        </w:rPr>
        <w:t>חזו"א</w:t>
      </w:r>
      <w:r>
        <w:rPr>
          <w:rFonts w:hint="cs"/>
          <w:rtl/>
        </w:rPr>
        <w:t xml:space="preserve"> </w:t>
      </w:r>
      <w:r w:rsidRPr="005F2A87">
        <w:rPr>
          <w:rStyle w:val="af6"/>
          <w:rFonts w:eastAsia="Guttman Hodes" w:hint="cs"/>
          <w:rtl/>
        </w:rPr>
        <w:t xml:space="preserve">(עי' </w:t>
      </w:r>
      <w:r w:rsidRPr="00FC2CD7">
        <w:rPr>
          <w:rStyle w:val="af6"/>
          <w:rFonts w:eastAsia="Guttman Hodes" w:hint="cs"/>
          <w:rtl/>
        </w:rPr>
        <w:t xml:space="preserve">אות </w:t>
      </w:r>
      <w:r w:rsidRPr="00FC2CD7">
        <w:rPr>
          <w:rStyle w:val="af6"/>
          <w:rFonts w:eastAsia="Guttman Hodes"/>
          <w:rtl/>
        </w:rPr>
        <w:fldChar w:fldCharType="begin"/>
      </w:r>
      <w:r w:rsidRPr="00FC2CD7">
        <w:rPr>
          <w:rStyle w:val="af6"/>
          <w:rFonts w:eastAsia="Guttman Hodes"/>
          <w:rtl/>
        </w:rPr>
        <w:instrText xml:space="preserve"> </w:instrText>
      </w:r>
      <w:r w:rsidRPr="00FC2CD7">
        <w:rPr>
          <w:rStyle w:val="af6"/>
          <w:rFonts w:eastAsia="Guttman Hodes" w:hint="cs"/>
        </w:rPr>
        <w:instrText>REF</w:instrText>
      </w:r>
      <w:r w:rsidRPr="00FC2CD7">
        <w:rPr>
          <w:rStyle w:val="af6"/>
          <w:rFonts w:eastAsia="Guttman Hodes" w:hint="cs"/>
          <w:rtl/>
        </w:rPr>
        <w:instrText xml:space="preserve"> _</w:instrText>
      </w:r>
      <w:r w:rsidRPr="00FC2CD7">
        <w:rPr>
          <w:rStyle w:val="af6"/>
          <w:rFonts w:eastAsia="Guttman Hodes" w:hint="cs"/>
        </w:rPr>
        <w:instrText>Ref25487756 \r \h</w:instrText>
      </w:r>
      <w:r w:rsidRPr="00FC2CD7">
        <w:rPr>
          <w:rStyle w:val="af6"/>
          <w:rFonts w:eastAsia="Guttman Hodes"/>
          <w:rtl/>
        </w:rPr>
        <w:instrText xml:space="preserve"> </w:instrText>
      </w:r>
      <w:r w:rsidRPr="00FC2CD7">
        <w:rPr>
          <w:rStyle w:val="af6"/>
          <w:rFonts w:eastAsia="Guttman Hodes"/>
          <w:rtl/>
        </w:rPr>
      </w:r>
      <w:r w:rsidRPr="00FC2CD7">
        <w:rPr>
          <w:rStyle w:val="af6"/>
          <w:rFonts w:eastAsia="Guttman Hodes"/>
          <w:rtl/>
        </w:rPr>
        <w:fldChar w:fldCharType="separate"/>
      </w:r>
      <w:r w:rsidR="004D1C5B">
        <w:rPr>
          <w:rStyle w:val="af6"/>
          <w:rFonts w:eastAsia="Guttman Hodes"/>
          <w:cs/>
        </w:rPr>
        <w:t>‎</w:t>
      </w:r>
      <w:r w:rsidR="004D1C5B">
        <w:rPr>
          <w:rStyle w:val="af6"/>
          <w:rFonts w:eastAsia="Guttman Hodes"/>
          <w:rtl/>
        </w:rPr>
        <w:t>לו)</w:t>
      </w:r>
      <w:r w:rsidRPr="00FC2CD7">
        <w:rPr>
          <w:rStyle w:val="af6"/>
          <w:rFonts w:eastAsia="Guttman Hodes"/>
          <w:rtl/>
        </w:rPr>
        <w:fldChar w:fldCharType="end"/>
      </w:r>
      <w:r>
        <w:rPr>
          <w:rFonts w:hint="cs"/>
          <w:rtl/>
        </w:rPr>
        <w:t xml:space="preserve"> </w:t>
      </w:r>
      <w:r w:rsidRPr="00B672EA">
        <w:rPr>
          <w:rStyle w:val="af8"/>
          <w:rFonts w:hint="cs"/>
          <w:rtl/>
        </w:rPr>
        <w:t>השער"י</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Ref25525613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נט)</w:t>
      </w:r>
      <w:r w:rsidRPr="00B672EA">
        <w:rPr>
          <w:rStyle w:val="af6"/>
          <w:rFonts w:eastAsia="Guttman Hodes"/>
          <w:rtl/>
        </w:rPr>
        <w:fldChar w:fldCharType="end"/>
      </w:r>
      <w:r>
        <w:rPr>
          <w:rFonts w:hint="cs"/>
          <w:rtl/>
        </w:rPr>
        <w:t xml:space="preserve"> </w:t>
      </w:r>
      <w:r w:rsidRPr="00B672EA">
        <w:rPr>
          <w:rStyle w:val="af8"/>
          <w:rFonts w:hint="cs"/>
          <w:rtl/>
        </w:rPr>
        <w:t>והקוע"ה</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Ref25524895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B672EA">
        <w:rPr>
          <w:rStyle w:val="af6"/>
          <w:rFonts w:eastAsia="Guttman Hodes"/>
          <w:rtl/>
        </w:rPr>
        <w:fldChar w:fldCharType="end"/>
      </w:r>
      <w:r>
        <w:rPr>
          <w:rFonts w:hint="cs"/>
          <w:rtl/>
        </w:rPr>
        <w:t xml:space="preserve"> </w:t>
      </w:r>
      <w:r w:rsidRPr="00B672EA">
        <w:rPr>
          <w:rStyle w:val="af8"/>
          <w:rFonts w:hint="cs"/>
          <w:rtl/>
        </w:rPr>
        <w:t>והקה"י</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Ref25570814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פה)</w:t>
      </w:r>
      <w:r w:rsidRPr="00B672EA">
        <w:rPr>
          <w:rStyle w:val="af6"/>
          <w:rFonts w:eastAsia="Guttman Hodes"/>
          <w:rtl/>
        </w:rPr>
        <w:fldChar w:fldCharType="end"/>
      </w:r>
      <w:r>
        <w:rPr>
          <w:rStyle w:val="af8"/>
          <w:rFonts w:hint="cs"/>
          <w:rtl/>
        </w:rPr>
        <w:t xml:space="preserve"> </w:t>
      </w:r>
      <w:r w:rsidRPr="00FA180A">
        <w:rPr>
          <w:rStyle w:val="af8"/>
          <w:rFonts w:hint="cs"/>
          <w:rtl/>
        </w:rPr>
        <w:t>ובמשנת ר"א</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Ref25570958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עח)</w:t>
      </w:r>
      <w:r w:rsidRPr="00B672EA">
        <w:rPr>
          <w:rStyle w:val="af6"/>
          <w:rFonts w:eastAsia="Guttman Hodes"/>
          <w:rtl/>
        </w:rPr>
        <w:fldChar w:fldCharType="end"/>
      </w:r>
      <w:r>
        <w:rPr>
          <w:rFonts w:hint="cs"/>
          <w:rtl/>
        </w:rPr>
        <w:t>].</w:t>
      </w:r>
      <w:bookmarkEnd w:id="15523"/>
    </w:p>
    <w:p w:rsidR="003A5D2C" w:rsidRPr="004E48BA" w:rsidRDefault="003A5D2C" w:rsidP="003A5D2C">
      <w:pPr>
        <w:pStyle w:val="1"/>
        <w:rPr>
          <w:rtl/>
        </w:rPr>
      </w:pPr>
      <w:bookmarkStart w:id="15524" w:name="_Toc25184795"/>
      <w:bookmarkStart w:id="15525" w:name="_Toc25317265"/>
      <w:bookmarkStart w:id="15526" w:name="_Toc25488239"/>
      <w:bookmarkStart w:id="15527" w:name="_Toc25524702"/>
      <w:bookmarkStart w:id="15528" w:name="_Toc25536221"/>
      <w:bookmarkStart w:id="15529" w:name="_Toc25571285"/>
      <w:bookmarkStart w:id="15530" w:name="_Toc25572767"/>
      <w:bookmarkStart w:id="15531" w:name="_Toc25573009"/>
      <w:r w:rsidRPr="004E48BA">
        <w:rPr>
          <w:noProof/>
          <w:rtl/>
        </w:rPr>
        <w:t>ביאור הקה"</w:t>
      </w:r>
      <w:r w:rsidRPr="004E48BA">
        <w:rPr>
          <w:rtl/>
        </w:rPr>
        <w:t>י ברא"ש</w:t>
      </w:r>
      <w:r w:rsidRPr="004E48BA">
        <w:rPr>
          <w:rFonts w:hint="cs"/>
          <w:rtl/>
        </w:rPr>
        <w:t xml:space="preserve"> </w:t>
      </w:r>
      <w:bookmarkEnd w:id="15524"/>
      <w:bookmarkEnd w:id="15525"/>
      <w:bookmarkEnd w:id="15526"/>
      <w:r>
        <w:rPr>
          <w:rFonts w:hint="cs"/>
          <w:rtl/>
        </w:rPr>
        <w:t>דבאיסור חלות הביטול ברוב היא בב"א</w:t>
      </w:r>
      <w:bookmarkEnd w:id="15527"/>
      <w:bookmarkEnd w:id="15528"/>
      <w:bookmarkEnd w:id="15529"/>
      <w:bookmarkEnd w:id="15530"/>
      <w:bookmarkEnd w:id="15531"/>
      <w:r>
        <w:rPr>
          <w:rFonts w:hint="cs"/>
          <w:rtl/>
        </w:rPr>
        <w:t xml:space="preserve"> </w:t>
      </w:r>
    </w:p>
    <w:p w:rsidR="003A5D2C" w:rsidRPr="00926966" w:rsidRDefault="003A5D2C" w:rsidP="003A5D2C">
      <w:pPr>
        <w:pStyle w:val="a2"/>
        <w:rPr>
          <w:rtl/>
        </w:rPr>
      </w:pPr>
      <w:bookmarkStart w:id="15532" w:name="_Toc25184796"/>
      <w:bookmarkStart w:id="15533" w:name="_Toc25317266"/>
      <w:bookmarkStart w:id="15534" w:name="_Toc25488240"/>
      <w:bookmarkStart w:id="15535" w:name="_Toc25524703"/>
      <w:bookmarkStart w:id="15536" w:name="_Toc25536222"/>
      <w:bookmarkStart w:id="15537" w:name="_Toc25571286"/>
      <w:bookmarkStart w:id="15538" w:name="_Toc25572768"/>
      <w:bookmarkStart w:id="15539" w:name="_Toc25573010"/>
      <w:r w:rsidRPr="004E48BA">
        <w:rPr>
          <w:rFonts w:hint="cs"/>
          <w:rtl/>
        </w:rPr>
        <w:t xml:space="preserve">ביאור הקה"י ברא"ש דבודאי איסור א"א להתיר כלל </w:t>
      </w:r>
      <w:bookmarkEnd w:id="15532"/>
      <w:bookmarkEnd w:id="15533"/>
      <w:bookmarkEnd w:id="15534"/>
      <w:r>
        <w:rPr>
          <w:rFonts w:hint="cs"/>
          <w:rtl/>
        </w:rPr>
        <w:t>ולכן כל שמותר בזאח"ז מותר בב"א</w:t>
      </w:r>
      <w:bookmarkEnd w:id="15535"/>
      <w:bookmarkEnd w:id="15536"/>
      <w:bookmarkEnd w:id="15537"/>
      <w:bookmarkEnd w:id="15538"/>
      <w:bookmarkEnd w:id="15539"/>
    </w:p>
    <w:p w:rsidR="003A5D2C" w:rsidRDefault="003A5D2C" w:rsidP="002240A7">
      <w:pPr>
        <w:pStyle w:val="a"/>
        <w:rPr>
          <w:rtl/>
        </w:rPr>
      </w:pPr>
      <w:bookmarkStart w:id="15540" w:name="_Ref25508750"/>
      <w:r>
        <w:rPr>
          <w:rFonts w:hint="cs"/>
          <w:rtl/>
        </w:rPr>
        <w:t xml:space="preserve">אלא ביאר </w:t>
      </w:r>
      <w:r w:rsidRPr="0065327F">
        <w:rPr>
          <w:rStyle w:val="af8"/>
          <w:rFonts w:hint="cs"/>
          <w:rtl/>
        </w:rPr>
        <w:t>הקה"י בבכורות</w:t>
      </w:r>
      <w:r w:rsidRPr="00492C02">
        <w:rPr>
          <w:rStyle w:val="af6"/>
          <w:rFonts w:eastAsia="Guttman Hodes" w:hint="cs"/>
          <w:rtl/>
        </w:rPr>
        <w:t xml:space="preserve"> (סי' כ"ד ד"ה ונראה בביאור) </w:t>
      </w:r>
      <w:r>
        <w:rPr>
          <w:rFonts w:hint="cs"/>
          <w:rtl/>
        </w:rPr>
        <w:t xml:space="preserve">דמ"ש </w:t>
      </w:r>
      <w:r w:rsidRPr="000C0FD1">
        <w:rPr>
          <w:rStyle w:val="af8"/>
          <w:rFonts w:hint="cs"/>
          <w:rtl/>
        </w:rPr>
        <w:t>הרא"ש</w:t>
      </w:r>
      <w:r>
        <w:rPr>
          <w:rFonts w:hint="cs"/>
          <w:rtl/>
        </w:rPr>
        <w:t xml:space="preserve"> </w:t>
      </w:r>
      <w:r w:rsidRPr="00BC6DE5">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Ref25492065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יז)</w:t>
      </w:r>
      <w:r>
        <w:rPr>
          <w:rStyle w:val="af6"/>
          <w:rFonts w:eastAsia="Guttman Hodes"/>
          <w:rtl/>
        </w:rPr>
        <w:fldChar w:fldCharType="end"/>
      </w:r>
      <w:r>
        <w:rPr>
          <w:rFonts w:hint="cs"/>
          <w:rtl/>
        </w:rPr>
        <w:t xml:space="preserve"> דלענין איסור, לא שייך להתיר באכילה, כל שיש בו צד של איסור, כוונת </w:t>
      </w:r>
      <w:r w:rsidRPr="00F74CEE">
        <w:rPr>
          <w:rStyle w:val="af8"/>
          <w:rFonts w:hint="cs"/>
          <w:rtl/>
        </w:rPr>
        <w:t xml:space="preserve">הרא"ש </w:t>
      </w:r>
      <w:r>
        <w:rPr>
          <w:rFonts w:hint="cs"/>
          <w:rtl/>
        </w:rPr>
        <w:t xml:space="preserve">לומר שהוא כמו שמצינו בדין דב' שבילין דאף שהוא ספק טומאה ברה"ר, מ"מ בבאו לישאל בב"א שניהם אסורים, </w:t>
      </w:r>
      <w:r w:rsidR="002240A7">
        <w:rPr>
          <w:rFonts w:hint="cs"/>
          <w:rtl/>
        </w:rPr>
        <w:t>ו</w:t>
      </w:r>
      <w:r>
        <w:rPr>
          <w:rFonts w:hint="cs"/>
          <w:rtl/>
        </w:rPr>
        <w:t xml:space="preserve">בב' מקוואות שאחד מהם ודאי פסול, וטבלו בהם שנים דשניהם פסולים, וכתב </w:t>
      </w:r>
      <w:r w:rsidRPr="0065327F">
        <w:rPr>
          <w:rStyle w:val="af8"/>
          <w:rFonts w:hint="cs"/>
          <w:rtl/>
        </w:rPr>
        <w:t>הקה"י</w:t>
      </w:r>
      <w:r>
        <w:rPr>
          <w:rFonts w:hint="cs"/>
          <w:rtl/>
        </w:rPr>
        <w:t xml:space="preserve"> דמוכח דבכל מקום שאחד ודאי אסור, א"כ שניהם אסורים וא"א להתיר אחד מהם, וכתב </w:t>
      </w:r>
      <w:r w:rsidRPr="0065327F">
        <w:rPr>
          <w:rStyle w:val="af8"/>
          <w:rFonts w:hint="cs"/>
          <w:rtl/>
        </w:rPr>
        <w:t>הקה"י בבכורות</w:t>
      </w:r>
      <w:r w:rsidRPr="00492C02">
        <w:rPr>
          <w:rStyle w:val="af6"/>
          <w:rFonts w:eastAsia="Guttman Hodes" w:hint="cs"/>
          <w:rtl/>
        </w:rPr>
        <w:t xml:space="preserve"> </w:t>
      </w:r>
      <w:r>
        <w:rPr>
          <w:rFonts w:hint="cs"/>
          <w:rtl/>
        </w:rPr>
        <w:t xml:space="preserve">דס"ל </w:t>
      </w:r>
      <w:r w:rsidRPr="0065327F">
        <w:rPr>
          <w:rStyle w:val="af8"/>
          <w:rFonts w:hint="cs"/>
          <w:rtl/>
        </w:rPr>
        <w:t>להרא"ש</w:t>
      </w:r>
      <w:r>
        <w:rPr>
          <w:rFonts w:hint="cs"/>
          <w:rtl/>
        </w:rPr>
        <w:t xml:space="preserve"> דא"כ אי נימא דאסור לאכול את כל התערובת בבת אחת, </w:t>
      </w:r>
      <w:r>
        <w:rPr>
          <w:rFonts w:hint="cs"/>
          <w:rtl/>
        </w:rPr>
        <w:lastRenderedPageBreak/>
        <w:t>ולא מהני בזה ביטול ברוב, א"כ אסור גם בזה אחר זה, דאין חלות היתר אף בזה אחר זה, אלא מוכח שהאיסור נהפך להיתר, ואין איסור לא בזה אחר זה ולא בבת אחת.</w:t>
      </w:r>
      <w:bookmarkEnd w:id="15540"/>
    </w:p>
    <w:p w:rsidR="003A5D2C" w:rsidRPr="00926966" w:rsidRDefault="003A5D2C" w:rsidP="003A5D2C">
      <w:pPr>
        <w:pStyle w:val="a2"/>
      </w:pPr>
      <w:bookmarkStart w:id="15541" w:name="_Toc25524704"/>
      <w:bookmarkStart w:id="15542" w:name="_Toc25536223"/>
      <w:bookmarkStart w:id="15543" w:name="_Toc25571287"/>
      <w:bookmarkStart w:id="15544" w:name="_Toc25572769"/>
      <w:bookmarkStart w:id="15545" w:name="_Toc25573011"/>
      <w:r>
        <w:rPr>
          <w:rFonts w:hint="cs"/>
          <w:rtl/>
        </w:rPr>
        <w:t xml:space="preserve">ביאור הקה"י ברא"ש דאף באוכל בזאח"ז </w:t>
      </w:r>
      <w:r w:rsidRPr="00F21274">
        <w:rPr>
          <w:rFonts w:hint="cs"/>
          <w:rtl/>
        </w:rPr>
        <w:t xml:space="preserve">חלות ההיתר היא על כל </w:t>
      </w:r>
      <w:r>
        <w:rPr>
          <w:rFonts w:hint="cs"/>
          <w:rtl/>
        </w:rPr>
        <w:t xml:space="preserve">התערובת </w:t>
      </w:r>
      <w:r w:rsidRPr="00F21274">
        <w:rPr>
          <w:rFonts w:hint="cs"/>
          <w:rtl/>
        </w:rPr>
        <w:t>בב"א</w:t>
      </w:r>
      <w:r>
        <w:rPr>
          <w:rFonts w:hint="cs"/>
          <w:rtl/>
        </w:rPr>
        <w:t xml:space="preserve"> והכל מותר</w:t>
      </w:r>
      <w:bookmarkEnd w:id="15541"/>
      <w:bookmarkEnd w:id="15542"/>
      <w:bookmarkEnd w:id="15543"/>
      <w:bookmarkEnd w:id="15544"/>
      <w:bookmarkEnd w:id="15545"/>
    </w:p>
    <w:p w:rsidR="003A5D2C" w:rsidRDefault="003A5D2C" w:rsidP="009F44AF">
      <w:pPr>
        <w:pStyle w:val="a"/>
        <w:rPr>
          <w:rtl/>
        </w:rPr>
      </w:pPr>
      <w:r>
        <w:rPr>
          <w:rFonts w:hint="cs"/>
          <w:rtl/>
        </w:rPr>
        <w:t xml:space="preserve">וביאר </w:t>
      </w:r>
      <w:r w:rsidRPr="0065327F">
        <w:rPr>
          <w:rStyle w:val="af8"/>
          <w:rFonts w:hint="cs"/>
          <w:rtl/>
        </w:rPr>
        <w:t>הקה"י</w:t>
      </w:r>
      <w:r>
        <w:rPr>
          <w:rFonts w:hint="cs"/>
          <w:rtl/>
        </w:rPr>
        <w:t xml:space="preserve"> דא"א לומר שיש חלות היתר בבזה אחר זה, ואין חלות היתר בבת אחת, דאף בבזה אחר זה, חלות ההיתר חלה בבת אחת על כל התערובת, דאף שהאכילה עצמה היא בזה אחר זה, מ"מ חלות ההיתר אינו בשעת האכילה, וכיון דמדין ביטול ברוב מותר לאכול כ"א בפנ"ע, וחל היתר על האיסור עצמו ביחד עם חלות ההיתר על שאר החתיכות שבתערובת, א"כ ה"ה דמותר לאכול הכל בבת אחת,  דמוכח דאחרי רבים להטות מתיר אפילו בבת אחת.</w:t>
      </w:r>
    </w:p>
    <w:p w:rsidR="003A5D2C" w:rsidRPr="00926966" w:rsidRDefault="003A5D2C" w:rsidP="003A5D2C">
      <w:pPr>
        <w:pStyle w:val="a2"/>
        <w:rPr>
          <w:rtl/>
        </w:rPr>
      </w:pPr>
      <w:bookmarkStart w:id="15546" w:name="_Toc25184797"/>
      <w:bookmarkStart w:id="15547" w:name="_Toc25317267"/>
      <w:bookmarkStart w:id="15548" w:name="_Toc25488241"/>
      <w:bookmarkStart w:id="15549" w:name="_Toc25524705"/>
      <w:bookmarkStart w:id="15550" w:name="_Toc25536224"/>
      <w:bookmarkStart w:id="15551" w:name="_Toc25571288"/>
      <w:bookmarkStart w:id="15552" w:name="_Toc25572770"/>
      <w:bookmarkStart w:id="15553" w:name="_Toc25573012"/>
      <w:r w:rsidRPr="009570E5">
        <w:rPr>
          <w:rFonts w:hint="cs"/>
          <w:rtl/>
        </w:rPr>
        <w:t xml:space="preserve">דברי הקה"י דאי בב"א </w:t>
      </w:r>
      <w:r>
        <w:rPr>
          <w:rFonts w:hint="cs"/>
          <w:rtl/>
        </w:rPr>
        <w:t xml:space="preserve">אסור </w:t>
      </w:r>
      <w:r w:rsidRPr="009570E5">
        <w:rPr>
          <w:rFonts w:hint="cs"/>
          <w:rtl/>
        </w:rPr>
        <w:t xml:space="preserve">האיסור כמאן דאיתיה ואסור אף בזאח"ז </w:t>
      </w:r>
      <w:bookmarkEnd w:id="15546"/>
      <w:bookmarkEnd w:id="15547"/>
      <w:bookmarkEnd w:id="15548"/>
      <w:r>
        <w:rPr>
          <w:rFonts w:hint="cs"/>
          <w:rtl/>
        </w:rPr>
        <w:t>אלא מוכח דכמאן דליתא</w:t>
      </w:r>
      <w:bookmarkEnd w:id="15549"/>
      <w:bookmarkEnd w:id="15550"/>
      <w:bookmarkEnd w:id="15551"/>
      <w:bookmarkEnd w:id="15552"/>
      <w:bookmarkEnd w:id="15553"/>
    </w:p>
    <w:p w:rsidR="003A5D2C" w:rsidRDefault="003A5D2C" w:rsidP="009F44AF">
      <w:pPr>
        <w:pStyle w:val="a"/>
        <w:rPr>
          <w:rtl/>
        </w:rPr>
      </w:pPr>
      <w:r>
        <w:rPr>
          <w:rFonts w:hint="cs"/>
          <w:rtl/>
        </w:rPr>
        <w:t xml:space="preserve">וביאר </w:t>
      </w:r>
      <w:r w:rsidRPr="0065327F">
        <w:rPr>
          <w:rStyle w:val="af8"/>
          <w:rFonts w:hint="cs"/>
          <w:rtl/>
        </w:rPr>
        <w:t>הקה"י</w:t>
      </w:r>
      <w:r>
        <w:rPr>
          <w:rFonts w:hint="cs"/>
          <w:rtl/>
        </w:rPr>
        <w:t xml:space="preserve"> דאי בבת אחת אסור, א"כ חשיב דהאיסור כמאן דאיתיה, וממילא א"א להחיל חלות היתר על התערובת, דהא החלות חלה על כל התערובת בבת אחת, ומהא דהתירה התורה ביטול ברוב, והתירה תורה כל חתיכה שבתערובת כשאוכלם בזה אחר זה, א"כ מוכח דחלות ההיתר היא שאין איסור כלל והוא כמאן דליתא.</w:t>
      </w:r>
    </w:p>
    <w:p w:rsidR="003A5D2C" w:rsidRPr="00926966" w:rsidRDefault="003A5D2C" w:rsidP="003A5D2C">
      <w:pPr>
        <w:pStyle w:val="a2"/>
      </w:pPr>
      <w:bookmarkStart w:id="15554" w:name="_Toc25524706"/>
      <w:bookmarkStart w:id="15555" w:name="_Toc25536225"/>
      <w:bookmarkStart w:id="15556" w:name="_Toc25571289"/>
      <w:bookmarkStart w:id="15557" w:name="_Toc25572771"/>
      <w:bookmarkStart w:id="15558" w:name="_Toc25573013"/>
      <w:r>
        <w:rPr>
          <w:rFonts w:hint="cs"/>
          <w:rtl/>
        </w:rPr>
        <w:t>דברי הקה"י דא"א דאין היתר בב"א דיש ודאי איסור וכל חתיכה מותרת בפנ"ע ועי"ז הכל מותר</w:t>
      </w:r>
      <w:bookmarkEnd w:id="15554"/>
      <w:bookmarkEnd w:id="15555"/>
      <w:bookmarkEnd w:id="15556"/>
      <w:bookmarkEnd w:id="15557"/>
      <w:bookmarkEnd w:id="15558"/>
    </w:p>
    <w:p w:rsidR="003A5D2C" w:rsidRDefault="003A5D2C" w:rsidP="009F44AF">
      <w:pPr>
        <w:pStyle w:val="a"/>
        <w:rPr>
          <w:rtl/>
        </w:rPr>
      </w:pPr>
      <w:r>
        <w:rPr>
          <w:rFonts w:hint="cs"/>
          <w:rtl/>
        </w:rPr>
        <w:t>וביאר</w:t>
      </w:r>
      <w:r w:rsidRPr="00D90CAB">
        <w:rPr>
          <w:rStyle w:val="af8"/>
          <w:rFonts w:hint="cs"/>
          <w:rtl/>
        </w:rPr>
        <w:t xml:space="preserve"> </w:t>
      </w:r>
      <w:r w:rsidRPr="0065327F">
        <w:rPr>
          <w:rStyle w:val="af8"/>
          <w:rFonts w:hint="cs"/>
          <w:rtl/>
        </w:rPr>
        <w:t>הקה"י בבכורות</w:t>
      </w:r>
      <w:r w:rsidRPr="00492C02">
        <w:rPr>
          <w:rStyle w:val="af6"/>
          <w:rFonts w:eastAsia="Guttman Hodes" w:hint="cs"/>
          <w:rtl/>
        </w:rPr>
        <w:t xml:space="preserve"> (סי' כ"ד ד"ה </w:t>
      </w:r>
      <w:r>
        <w:rPr>
          <w:rStyle w:val="af6"/>
          <w:rFonts w:eastAsia="Guttman Hodes" w:hint="cs"/>
          <w:rtl/>
        </w:rPr>
        <w:t>אך מ"מ)</w:t>
      </w:r>
      <w:r>
        <w:rPr>
          <w:rFonts w:hint="cs"/>
          <w:rtl/>
        </w:rPr>
        <w:t xml:space="preserve"> דכל ההיתר באכילה בבת אחת, הוא רק מחמת שחל היתר על כל חתיכה בפנ"ע, אך א"א לומר דמדין "אחרי רבים להטות" חל היתר על כל התערובת בבת אחת, דלא שייך לומר דהרוב מתיר כשיש כאן ודאי איסור, ורק אחר שכל חתיכה בפנ"ע מותרת, והותרו כל החתיכות שבתערובת, ממילא חל היתר אף על כל התערובת בבת אחת, דהאיסור כמאן דליתא, והוסיף </w:t>
      </w:r>
      <w:r w:rsidRPr="002663A4">
        <w:rPr>
          <w:rStyle w:val="af8"/>
          <w:rFonts w:hint="cs"/>
          <w:rtl/>
        </w:rPr>
        <w:t xml:space="preserve">הקה"י </w:t>
      </w:r>
      <w:r>
        <w:rPr>
          <w:rFonts w:hint="cs"/>
          <w:rtl/>
        </w:rPr>
        <w:t xml:space="preserve">דאף בטומאה דאמרינן כמאן דאיתא, הרי כתבו </w:t>
      </w:r>
      <w:r w:rsidRPr="002663A4">
        <w:rPr>
          <w:rStyle w:val="af8"/>
          <w:rFonts w:hint="cs"/>
          <w:rtl/>
        </w:rPr>
        <w:t>התוס' בבכורות</w:t>
      </w:r>
      <w:r>
        <w:rPr>
          <w:rFonts w:hint="cs"/>
          <w:rtl/>
        </w:rPr>
        <w:t xml:space="preserve"> </w:t>
      </w:r>
      <w:r w:rsidRPr="00C66D64">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Ref25534516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Pr>
          <w:rStyle w:val="af6"/>
          <w:rFonts w:eastAsia="Guttman Hodes"/>
          <w:rtl/>
        </w:rPr>
        <w:fldChar w:fldCharType="end"/>
      </w:r>
      <w:r>
        <w:rPr>
          <w:rStyle w:val="af6"/>
          <w:rFonts w:eastAsia="Guttman Hodes" w:hint="cs"/>
          <w:rtl/>
        </w:rPr>
        <w:t xml:space="preserve"> </w:t>
      </w:r>
      <w:r>
        <w:rPr>
          <w:rFonts w:hint="cs"/>
          <w:rtl/>
        </w:rPr>
        <w:t>דהוא מדרבנן.</w:t>
      </w:r>
    </w:p>
    <w:p w:rsidR="003A5D2C" w:rsidRPr="00C66D64" w:rsidRDefault="003A5D2C" w:rsidP="003A5D2C">
      <w:pPr>
        <w:pStyle w:val="1"/>
      </w:pPr>
      <w:bookmarkStart w:id="15559" w:name="_Toc25524707"/>
      <w:bookmarkStart w:id="15560" w:name="_Toc25536226"/>
      <w:bookmarkStart w:id="15561" w:name="_Toc25571290"/>
      <w:bookmarkStart w:id="15562" w:name="_Toc25572772"/>
      <w:bookmarkStart w:id="15563" w:name="_Toc25573014"/>
      <w:r>
        <w:rPr>
          <w:rFonts w:hint="cs"/>
          <w:rtl/>
        </w:rPr>
        <w:t>ביאור הקה"י ברא"ש דבטומאה חלות הביטול בשעת המשא</w:t>
      </w:r>
      <w:bookmarkEnd w:id="15559"/>
      <w:bookmarkEnd w:id="15560"/>
      <w:bookmarkEnd w:id="15561"/>
      <w:bookmarkEnd w:id="15562"/>
      <w:bookmarkEnd w:id="15563"/>
    </w:p>
    <w:p w:rsidR="003A5D2C" w:rsidRPr="00926966" w:rsidRDefault="003A5D2C" w:rsidP="003A5D2C">
      <w:pPr>
        <w:pStyle w:val="a2"/>
      </w:pPr>
      <w:bookmarkStart w:id="15564" w:name="_Toc25524708"/>
      <w:bookmarkStart w:id="15565" w:name="_Toc25536227"/>
      <w:bookmarkStart w:id="15566" w:name="_Toc25571291"/>
      <w:bookmarkStart w:id="15567" w:name="_Toc25572773"/>
      <w:bookmarkStart w:id="15568" w:name="_Toc25573015"/>
      <w:r>
        <w:rPr>
          <w:rFonts w:hint="cs"/>
          <w:rtl/>
        </w:rPr>
        <w:t>דברי הקה"י דבטומאה אין נ"מ ונדון על החתיכות אלא על האדם וחלות הביטול בשעת המשא</w:t>
      </w:r>
      <w:bookmarkEnd w:id="15564"/>
      <w:bookmarkEnd w:id="15565"/>
      <w:bookmarkEnd w:id="15566"/>
      <w:bookmarkEnd w:id="15567"/>
      <w:bookmarkEnd w:id="15568"/>
    </w:p>
    <w:p w:rsidR="003A5D2C" w:rsidRDefault="003A5D2C" w:rsidP="009F44AF">
      <w:pPr>
        <w:pStyle w:val="a"/>
        <w:rPr>
          <w:rtl/>
        </w:rPr>
      </w:pPr>
      <w:bookmarkStart w:id="15569" w:name="_Ref25493200"/>
      <w:r>
        <w:rPr>
          <w:rFonts w:hint="cs"/>
          <w:rtl/>
        </w:rPr>
        <w:t>וכתב</w:t>
      </w:r>
      <w:r w:rsidRPr="003D2516">
        <w:rPr>
          <w:rStyle w:val="af8"/>
          <w:rFonts w:hint="cs"/>
          <w:rtl/>
        </w:rPr>
        <w:t xml:space="preserve"> </w:t>
      </w:r>
      <w:r w:rsidRPr="0065327F">
        <w:rPr>
          <w:rStyle w:val="af8"/>
          <w:rFonts w:hint="cs"/>
          <w:rtl/>
        </w:rPr>
        <w:t>הקה"י בבכורות</w:t>
      </w:r>
      <w:r w:rsidRPr="00492C02">
        <w:rPr>
          <w:rStyle w:val="af6"/>
          <w:rFonts w:eastAsia="Guttman Hodes" w:hint="cs"/>
          <w:rtl/>
        </w:rPr>
        <w:t xml:space="preserve"> (סי' כ"ד ד"ה </w:t>
      </w:r>
      <w:r>
        <w:rPr>
          <w:rStyle w:val="af6"/>
          <w:rFonts w:eastAsia="Guttman Hodes" w:hint="cs"/>
          <w:rtl/>
        </w:rPr>
        <w:t>וכל זה)</w:t>
      </w:r>
      <w:r>
        <w:rPr>
          <w:rFonts w:hint="cs"/>
          <w:rtl/>
        </w:rPr>
        <w:t xml:space="preserve"> דלענין תערובת של חתיכות טמאות עם חתיכות טהורות, חלות ההיתר מדין "אחרי רבים להטות" אינו בשעת התערובת, כיון שאין מהטומאה כל נ"מ למעשה, דהא אין כל איסור לטמא את עצמו בטומאת נבילה, ולכן חלות ההיתר של הרוב, הוא רק כשיש נדון על אדם שנגע או נשא את התערובת, האם נטמא ממנה ויש נ"מ למעשה דאסור בתרומה וכדו', דכשנולד הספק על האדם, חל הדין "אחרי רבים להטות", </w:t>
      </w:r>
      <w:r w:rsidRPr="00F11F6F">
        <w:rPr>
          <w:rFonts w:hint="cs"/>
          <w:rtl/>
        </w:rPr>
        <w:t xml:space="preserve">[וכ"כ </w:t>
      </w:r>
      <w:r w:rsidRPr="00F11F6F">
        <w:rPr>
          <w:rStyle w:val="af8"/>
          <w:rFonts w:hint="cs"/>
          <w:rtl/>
        </w:rPr>
        <w:t>החזו"א</w:t>
      </w:r>
      <w:r w:rsidRPr="00F11F6F">
        <w:rPr>
          <w:rFonts w:hint="cs"/>
          <w:rtl/>
        </w:rPr>
        <w:t xml:space="preserve"> </w:t>
      </w:r>
      <w:r w:rsidRPr="00F11F6F">
        <w:rPr>
          <w:rStyle w:val="af6"/>
          <w:rFonts w:eastAsia="Guttman Hodes" w:hint="cs"/>
          <w:rtl/>
        </w:rPr>
        <w:t xml:space="preserve">(עי' אות </w:t>
      </w:r>
      <w:r w:rsidRPr="00F11F6F">
        <w:rPr>
          <w:rStyle w:val="af6"/>
          <w:rFonts w:eastAsia="Guttman Hodes"/>
          <w:rtl/>
        </w:rPr>
        <w:fldChar w:fldCharType="begin"/>
      </w:r>
      <w:r w:rsidRPr="00F11F6F">
        <w:rPr>
          <w:rStyle w:val="af6"/>
          <w:rFonts w:eastAsia="Guttman Hodes"/>
          <w:rtl/>
        </w:rPr>
        <w:instrText xml:space="preserve"> </w:instrText>
      </w:r>
      <w:r w:rsidRPr="00F11F6F">
        <w:rPr>
          <w:rStyle w:val="af6"/>
          <w:rFonts w:eastAsia="Guttman Hodes" w:hint="cs"/>
        </w:rPr>
        <w:instrText>REF</w:instrText>
      </w:r>
      <w:r w:rsidRPr="00F11F6F">
        <w:rPr>
          <w:rStyle w:val="af6"/>
          <w:rFonts w:eastAsia="Guttman Hodes" w:hint="cs"/>
          <w:rtl/>
        </w:rPr>
        <w:instrText xml:space="preserve"> _</w:instrText>
      </w:r>
      <w:r w:rsidRPr="00F11F6F">
        <w:rPr>
          <w:rStyle w:val="af6"/>
          <w:rFonts w:eastAsia="Guttman Hodes" w:hint="cs"/>
        </w:rPr>
        <w:instrText>Ref25486452 \r \h</w:instrText>
      </w:r>
      <w:r w:rsidRPr="00F11F6F">
        <w:rPr>
          <w:rStyle w:val="af6"/>
          <w:rFonts w:eastAsia="Guttman Hodes"/>
          <w:rtl/>
        </w:rPr>
        <w:instrText xml:space="preserve"> </w:instrText>
      </w:r>
      <w:r w:rsidRPr="00F11F6F">
        <w:rPr>
          <w:rStyle w:val="af6"/>
          <w:rFonts w:eastAsia="Guttman Hodes"/>
          <w:rtl/>
        </w:rPr>
      </w:r>
      <w:r w:rsidRPr="00F11F6F">
        <w:rPr>
          <w:rStyle w:val="af6"/>
          <w:rFonts w:eastAsia="Guttman Hodes"/>
          <w:rtl/>
        </w:rPr>
        <w:fldChar w:fldCharType="separate"/>
      </w:r>
      <w:r w:rsidR="004D1C5B">
        <w:rPr>
          <w:rStyle w:val="af6"/>
          <w:rFonts w:eastAsia="Guttman Hodes"/>
          <w:cs/>
        </w:rPr>
        <w:t>‎</w:t>
      </w:r>
      <w:r w:rsidR="004D1C5B">
        <w:rPr>
          <w:rStyle w:val="af6"/>
          <w:rFonts w:eastAsia="Guttman Hodes"/>
          <w:rtl/>
        </w:rPr>
        <w:t>כה)</w:t>
      </w:r>
      <w:r w:rsidRPr="00F11F6F">
        <w:rPr>
          <w:rStyle w:val="af6"/>
          <w:rFonts w:eastAsia="Guttman Hodes"/>
          <w:rtl/>
        </w:rPr>
        <w:fldChar w:fldCharType="end"/>
      </w:r>
      <w:r w:rsidRPr="00F11F6F">
        <w:rPr>
          <w:rFonts w:hint="cs"/>
          <w:rtl/>
        </w:rPr>
        <w:t>]</w:t>
      </w:r>
      <w:r>
        <w:rPr>
          <w:rFonts w:hint="cs"/>
          <w:rtl/>
        </w:rPr>
        <w:t>.</w:t>
      </w:r>
      <w:bookmarkEnd w:id="15569"/>
    </w:p>
    <w:p w:rsidR="003A5D2C" w:rsidRDefault="003A5D2C" w:rsidP="003A5D2C">
      <w:pPr>
        <w:pStyle w:val="a2"/>
        <w:rPr>
          <w:rtl/>
        </w:rPr>
      </w:pPr>
      <w:bookmarkStart w:id="15570" w:name="_Toc25524709"/>
      <w:bookmarkStart w:id="15571" w:name="_Toc25536228"/>
      <w:bookmarkStart w:id="15572" w:name="_Toc25571292"/>
      <w:bookmarkStart w:id="15573" w:name="_Toc25572774"/>
      <w:bookmarkStart w:id="15574" w:name="_Toc25573016"/>
      <w:r>
        <w:rPr>
          <w:rFonts w:hint="cs"/>
          <w:rtl/>
        </w:rPr>
        <w:t>דברי הקה"י דבנשא חתיכה אחת חל עליה היתר מדין רוב ולא חל כל דין על שאר החתיכות</w:t>
      </w:r>
      <w:bookmarkEnd w:id="15570"/>
      <w:bookmarkEnd w:id="15571"/>
      <w:bookmarkEnd w:id="15572"/>
      <w:bookmarkEnd w:id="15573"/>
      <w:bookmarkEnd w:id="15574"/>
    </w:p>
    <w:p w:rsidR="003A5D2C" w:rsidRPr="00F11F6F" w:rsidRDefault="003A5D2C" w:rsidP="009F44AF">
      <w:pPr>
        <w:pStyle w:val="a"/>
        <w:rPr>
          <w:rtl/>
        </w:rPr>
      </w:pPr>
      <w:r>
        <w:rPr>
          <w:rFonts w:hint="cs"/>
          <w:rtl/>
        </w:rPr>
        <w:t xml:space="preserve">וכתב </w:t>
      </w:r>
      <w:r w:rsidRPr="002663A4">
        <w:rPr>
          <w:rStyle w:val="af8"/>
          <w:rFonts w:hint="cs"/>
          <w:rtl/>
        </w:rPr>
        <w:t>הקה"י</w:t>
      </w:r>
      <w:r>
        <w:rPr>
          <w:rFonts w:hint="cs"/>
          <w:rtl/>
        </w:rPr>
        <w:t xml:space="preserve"> דא"כ אם אדם נשא רק חתיכה אחת מהתערובת, הנדון אינו על כל התערובת, אלא רק על החתיכה הזו האם היא מרוב הטהורות או ממיעוט הטמאות, ועליה חל היתר מדין רוב, ואילו על שאר החתיכות שבתערובת, לא חל כל דין, כיון שעכשיו אין עליהם נדון למעשה.</w:t>
      </w:r>
    </w:p>
    <w:p w:rsidR="003A5D2C" w:rsidRPr="00926966" w:rsidRDefault="003A5D2C" w:rsidP="003A5D2C">
      <w:pPr>
        <w:pStyle w:val="a2"/>
        <w:rPr>
          <w:rtl/>
        </w:rPr>
      </w:pPr>
      <w:bookmarkStart w:id="15575" w:name="_Toc25524710"/>
      <w:bookmarkStart w:id="15576" w:name="_Toc25536229"/>
      <w:bookmarkStart w:id="15577" w:name="_Toc25571293"/>
      <w:bookmarkStart w:id="15578" w:name="_Toc25572775"/>
      <w:bookmarkStart w:id="15579" w:name="_Toc25573017"/>
      <w:r>
        <w:rPr>
          <w:rFonts w:hint="cs"/>
          <w:rtl/>
        </w:rPr>
        <w:t>ביאור הקה"י דבאיסור חל היתר בכל התערובת ובמשא בנשא אחת היא מותרת ובב"א אין היתר</w:t>
      </w:r>
      <w:bookmarkEnd w:id="15575"/>
      <w:bookmarkEnd w:id="15576"/>
      <w:bookmarkEnd w:id="15577"/>
      <w:bookmarkEnd w:id="15578"/>
      <w:bookmarkEnd w:id="15579"/>
    </w:p>
    <w:p w:rsidR="003A5D2C" w:rsidRPr="00C50017" w:rsidRDefault="003A5D2C" w:rsidP="009F44AF">
      <w:pPr>
        <w:pStyle w:val="a"/>
      </w:pPr>
      <w:r>
        <w:rPr>
          <w:rFonts w:hint="cs"/>
          <w:rtl/>
        </w:rPr>
        <w:t xml:space="preserve">ובזה ביאר </w:t>
      </w:r>
      <w:r w:rsidRPr="002663A4">
        <w:rPr>
          <w:rStyle w:val="af8"/>
          <w:rFonts w:hint="cs"/>
          <w:rtl/>
        </w:rPr>
        <w:t>הקה"י בבכורות</w:t>
      </w:r>
      <w:r>
        <w:rPr>
          <w:rFonts w:hint="cs"/>
          <w:rtl/>
        </w:rPr>
        <w:t xml:space="preserve"> את דברי </w:t>
      </w:r>
      <w:r w:rsidRPr="002663A4">
        <w:rPr>
          <w:rStyle w:val="af8"/>
          <w:rFonts w:hint="cs"/>
          <w:rtl/>
        </w:rPr>
        <w:t>הרא"ש</w:t>
      </w:r>
      <w:r>
        <w:rPr>
          <w:rFonts w:hint="cs"/>
          <w:rtl/>
        </w:rPr>
        <w:t xml:space="preserve"> שחילק בין איסור לטומאה, דרק באיסור אחר שחל היתר על כל חתיכה בתערובת, הותרה כל התערובת בבת אחת, כיון שחלות ההיתר הוא בשעת התערובת, אבל לענין טומאת משא כשהנדון על כל חתיכה בפנ"ע, הוא רק כשנושא חתיכה אחת, א"כ אף שעל החתיכה הזו חל היתר מדין, רוב, מ"מ לא חל היתר על כל התערובת, כיון שעל שאר החתיכות אין כל נדון ואין היתר על כל חתיכה וחתיכה שבתערובת, אבל לענין טומאת משא כתב </w:t>
      </w:r>
      <w:r w:rsidRPr="002663A4">
        <w:rPr>
          <w:rStyle w:val="af8"/>
          <w:rFonts w:hint="cs"/>
          <w:rtl/>
        </w:rPr>
        <w:t>הקה"י בבכורות</w:t>
      </w:r>
      <w:r>
        <w:rPr>
          <w:rFonts w:hint="cs"/>
          <w:rtl/>
        </w:rPr>
        <w:t xml:space="preserve"> דלא נאמר הביטול ברוב, דכשנושא חתיכה אחת, אין היתר על השאר, ולכן כשנושא את כולם, נטמא דלא חל היתר לענין טומאת משא כלל.</w:t>
      </w:r>
    </w:p>
    <w:p w:rsidR="003A5D2C" w:rsidRPr="00926966" w:rsidRDefault="003A5D2C" w:rsidP="003A5D2C">
      <w:pPr>
        <w:pStyle w:val="a2"/>
      </w:pPr>
      <w:bookmarkStart w:id="15580" w:name="_Toc25524711"/>
      <w:bookmarkStart w:id="15581" w:name="_Toc25536230"/>
      <w:bookmarkStart w:id="15582" w:name="_Toc25571294"/>
      <w:bookmarkStart w:id="15583" w:name="_Toc25572776"/>
      <w:bookmarkStart w:id="15584" w:name="_Toc25573018"/>
      <w:r>
        <w:rPr>
          <w:rFonts w:hint="cs"/>
          <w:rtl/>
        </w:rPr>
        <w:t>דברי הקה"י דא"א לומר דבטומאה חל היתר על הכל דהנדון על טומאת האדם ולא בתערובת</w:t>
      </w:r>
      <w:bookmarkEnd w:id="15580"/>
      <w:bookmarkEnd w:id="15581"/>
      <w:bookmarkEnd w:id="15582"/>
      <w:bookmarkEnd w:id="15583"/>
      <w:bookmarkEnd w:id="15584"/>
    </w:p>
    <w:p w:rsidR="003A5D2C" w:rsidRDefault="003A5D2C" w:rsidP="009F44AF">
      <w:pPr>
        <w:pStyle w:val="a"/>
      </w:pPr>
      <w:r>
        <w:rPr>
          <w:rFonts w:hint="cs"/>
          <w:rtl/>
        </w:rPr>
        <w:t>והוסיף</w:t>
      </w:r>
      <w:r w:rsidRPr="00384764">
        <w:rPr>
          <w:rStyle w:val="af8"/>
          <w:rFonts w:hint="cs"/>
          <w:rtl/>
        </w:rPr>
        <w:t xml:space="preserve"> </w:t>
      </w:r>
      <w:r w:rsidRPr="0065327F">
        <w:rPr>
          <w:rStyle w:val="af8"/>
          <w:rFonts w:hint="cs"/>
          <w:rtl/>
        </w:rPr>
        <w:t>הקה"י בבכורות</w:t>
      </w:r>
      <w:r w:rsidRPr="00492C02">
        <w:rPr>
          <w:rStyle w:val="af6"/>
          <w:rFonts w:eastAsia="Guttman Hodes" w:hint="cs"/>
          <w:rtl/>
        </w:rPr>
        <w:t xml:space="preserve"> (סי' כ"ד ד"ה</w:t>
      </w:r>
      <w:r>
        <w:rPr>
          <w:rStyle w:val="af6"/>
          <w:rFonts w:eastAsia="Guttman Hodes" w:hint="cs"/>
          <w:rtl/>
        </w:rPr>
        <w:t xml:space="preserve"> ואין לומר)</w:t>
      </w:r>
      <w:r>
        <w:rPr>
          <w:rFonts w:hint="cs"/>
          <w:rtl/>
        </w:rPr>
        <w:t xml:space="preserve"> דא"א לומר שאף לענין טומאה חל היתר בבת אחת, על כל חתיכה וחתיכה שבתערובת בפנ"ע, כמו שחל לענין איסור, דלענין איסור הנדון הוא על החתיכות עצמם, דעל כל חתיכה יש נדון אם היא מהרוב או מהמיעוט, ולכן ההיתר חל בבת אחת על כל חתיכה וחתיכה שבתערובת, משא"כ לענין טומאה, שהנדון הוא על מה שהאדם נגע או נשא, ולכן כשנשא את החתיכות בזה אחר זה, הנדון הוא על כל חתיכה בפנ"ע, וההיתר לא חל יחד, אלא בזמן הנדון של כל חתיכה.</w:t>
      </w:r>
    </w:p>
    <w:p w:rsidR="003A5D2C" w:rsidRPr="00926966" w:rsidRDefault="003A5D2C" w:rsidP="003A5D2C">
      <w:pPr>
        <w:pStyle w:val="a2"/>
      </w:pPr>
      <w:bookmarkStart w:id="15585" w:name="_Toc25524712"/>
      <w:bookmarkStart w:id="15586" w:name="_Toc25536231"/>
      <w:bookmarkStart w:id="15587" w:name="_Toc25571295"/>
      <w:bookmarkStart w:id="15588" w:name="_Toc25572777"/>
      <w:bookmarkStart w:id="15589" w:name="_Toc25573019"/>
      <w:r>
        <w:rPr>
          <w:rFonts w:hint="cs"/>
          <w:rtl/>
        </w:rPr>
        <w:t>קושית הקה"י דהרא"ש חילק בין מגע ולמשא ולא חילק במשא בין בב"א לבזאח"ז</w:t>
      </w:r>
      <w:bookmarkEnd w:id="15585"/>
      <w:bookmarkEnd w:id="15586"/>
      <w:bookmarkEnd w:id="15587"/>
      <w:bookmarkEnd w:id="15588"/>
      <w:bookmarkEnd w:id="15589"/>
    </w:p>
    <w:p w:rsidR="003A5D2C" w:rsidRDefault="003A5D2C" w:rsidP="009F44AF">
      <w:pPr>
        <w:pStyle w:val="a"/>
      </w:pPr>
      <w:r>
        <w:rPr>
          <w:rFonts w:hint="cs"/>
          <w:rtl/>
        </w:rPr>
        <w:t>אך הקשה</w:t>
      </w:r>
      <w:r w:rsidRPr="005E25AA">
        <w:rPr>
          <w:rStyle w:val="af8"/>
          <w:rFonts w:hint="cs"/>
          <w:rtl/>
        </w:rPr>
        <w:t xml:space="preserve"> </w:t>
      </w:r>
      <w:r w:rsidRPr="0065327F">
        <w:rPr>
          <w:rStyle w:val="af8"/>
          <w:rFonts w:hint="cs"/>
          <w:rtl/>
        </w:rPr>
        <w:t>הקה"י בבכורות</w:t>
      </w:r>
      <w:r>
        <w:rPr>
          <w:rStyle w:val="af8"/>
          <w:rFonts w:hint="cs"/>
          <w:rtl/>
        </w:rPr>
        <w:t xml:space="preserve"> </w:t>
      </w:r>
      <w:r w:rsidRPr="00ED25F4">
        <w:rPr>
          <w:rFonts w:hint="cs"/>
          <w:rtl/>
        </w:rPr>
        <w:t>דהרי</w:t>
      </w:r>
      <w:r>
        <w:rPr>
          <w:rStyle w:val="af8"/>
          <w:rFonts w:hint="cs"/>
          <w:rtl/>
        </w:rPr>
        <w:t xml:space="preserve"> </w:t>
      </w:r>
      <w:r w:rsidRPr="00384F69">
        <w:rPr>
          <w:rStyle w:val="af8"/>
          <w:rFonts w:hint="cs"/>
          <w:rtl/>
        </w:rPr>
        <w:t>הרא"ש</w:t>
      </w:r>
      <w:r>
        <w:rPr>
          <w:rFonts w:hint="cs"/>
          <w:rtl/>
        </w:rPr>
        <w:t xml:space="preserve"> </w:t>
      </w:r>
      <w:r w:rsidRPr="00ED25F4">
        <w:rPr>
          <w:rStyle w:val="af6"/>
          <w:rFonts w:eastAsia="Guttman Hodes" w:hint="cs"/>
          <w:rtl/>
        </w:rPr>
        <w:t xml:space="preserve">(עי' אות </w:t>
      </w:r>
      <w:r w:rsidRPr="00ED25F4">
        <w:rPr>
          <w:rStyle w:val="af6"/>
          <w:rFonts w:eastAsia="Guttman Hodes"/>
          <w:rtl/>
        </w:rPr>
        <w:fldChar w:fldCharType="begin"/>
      </w:r>
      <w:r w:rsidRPr="00ED25F4">
        <w:rPr>
          <w:rStyle w:val="af6"/>
          <w:rFonts w:eastAsia="Guttman Hodes"/>
          <w:rtl/>
        </w:rPr>
        <w:instrText xml:space="preserve"> </w:instrText>
      </w:r>
      <w:r w:rsidRPr="00ED25F4">
        <w:rPr>
          <w:rStyle w:val="af6"/>
          <w:rFonts w:eastAsia="Guttman Hodes" w:hint="cs"/>
        </w:rPr>
        <w:instrText>REF</w:instrText>
      </w:r>
      <w:r w:rsidRPr="00ED25F4">
        <w:rPr>
          <w:rStyle w:val="af6"/>
          <w:rFonts w:eastAsia="Guttman Hodes" w:hint="cs"/>
          <w:rtl/>
        </w:rPr>
        <w:instrText xml:space="preserve"> _</w:instrText>
      </w:r>
      <w:r w:rsidRPr="00ED25F4">
        <w:rPr>
          <w:rStyle w:val="af6"/>
          <w:rFonts w:eastAsia="Guttman Hodes" w:hint="cs"/>
        </w:rPr>
        <w:instrText>Ref25491847 \r \h</w:instrText>
      </w:r>
      <w:r w:rsidRPr="00ED25F4">
        <w:rPr>
          <w:rStyle w:val="af6"/>
          <w:rFonts w:eastAsia="Guttman Hodes"/>
          <w:rtl/>
        </w:rPr>
        <w:instrText xml:space="preserve"> </w:instrText>
      </w:r>
      <w:r w:rsidRPr="00ED25F4">
        <w:rPr>
          <w:rStyle w:val="af6"/>
          <w:rFonts w:eastAsia="Guttman Hodes"/>
          <w:rtl/>
        </w:rPr>
      </w:r>
      <w:r w:rsidRPr="00ED25F4">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ED25F4">
        <w:rPr>
          <w:rStyle w:val="af6"/>
          <w:rFonts w:eastAsia="Guttman Hodes"/>
          <w:rtl/>
        </w:rPr>
        <w:fldChar w:fldCharType="end"/>
      </w:r>
      <w:r>
        <w:rPr>
          <w:rFonts w:hint="cs"/>
          <w:rtl/>
        </w:rPr>
        <w:t xml:space="preserve"> כתב רק שיש חילוק בין איסור לטומאה, דבטומאה יש ב' מינים של מגע ומשא, ובאיסור הוא דין אחד, ולפי ביאור</w:t>
      </w:r>
      <w:r w:rsidRPr="005E25AA">
        <w:rPr>
          <w:rStyle w:val="af8"/>
          <w:rFonts w:hint="cs"/>
          <w:rtl/>
        </w:rPr>
        <w:t xml:space="preserve"> </w:t>
      </w:r>
      <w:r w:rsidRPr="0065327F">
        <w:rPr>
          <w:rStyle w:val="af8"/>
          <w:rFonts w:hint="cs"/>
          <w:rtl/>
        </w:rPr>
        <w:t>הקה"י בבכורות</w:t>
      </w:r>
      <w:r>
        <w:rPr>
          <w:rFonts w:hint="cs"/>
          <w:rtl/>
        </w:rPr>
        <w:t xml:space="preserve"> החילוק הוא בדין טומאה עצמה, דבטומאת משא לא שייך ההיתר על כל התערובת, כמו שיש היתר לענין אכילה.</w:t>
      </w:r>
    </w:p>
    <w:p w:rsidR="003A5D2C" w:rsidRPr="00C916B3" w:rsidRDefault="003A5D2C" w:rsidP="003A5D2C">
      <w:pPr>
        <w:pStyle w:val="afd"/>
        <w:rPr>
          <w:rtl/>
        </w:rPr>
      </w:pPr>
      <w:bookmarkStart w:id="15590" w:name="_Toc25524713"/>
      <w:bookmarkStart w:id="15591" w:name="_Toc25536232"/>
      <w:bookmarkStart w:id="15592" w:name="_Toc25571296"/>
      <w:bookmarkStart w:id="15593" w:name="_Toc25572778"/>
      <w:bookmarkStart w:id="15594" w:name="_Toc25573020"/>
      <w:bookmarkStart w:id="15595" w:name="_Toc25184798"/>
      <w:bookmarkStart w:id="15596" w:name="_Toc25317268"/>
      <w:bookmarkStart w:id="15597" w:name="_Toc25488242"/>
      <w:r>
        <w:rPr>
          <w:rFonts w:hint="cs"/>
          <w:rtl/>
        </w:rPr>
        <w:t xml:space="preserve">בדברי </w:t>
      </w:r>
      <w:r w:rsidRPr="00C916B3">
        <w:rPr>
          <w:rtl/>
        </w:rPr>
        <w:t>המהר"י קורקוס</w:t>
      </w:r>
      <w:r>
        <w:rPr>
          <w:rFonts w:hint="cs"/>
          <w:rtl/>
        </w:rPr>
        <w:t xml:space="preserve"> דלח בטל לגמרי</w:t>
      </w:r>
      <w:bookmarkEnd w:id="15590"/>
      <w:bookmarkEnd w:id="15591"/>
      <w:bookmarkEnd w:id="15592"/>
      <w:bookmarkEnd w:id="15593"/>
      <w:bookmarkEnd w:id="15594"/>
    </w:p>
    <w:p w:rsidR="003A5D2C" w:rsidRDefault="003A5D2C" w:rsidP="003A5D2C">
      <w:pPr>
        <w:pStyle w:val="1"/>
        <w:rPr>
          <w:rtl/>
        </w:rPr>
      </w:pPr>
      <w:bookmarkStart w:id="15598" w:name="_Toc25524714"/>
      <w:bookmarkStart w:id="15599" w:name="_Toc25536233"/>
      <w:bookmarkStart w:id="15600" w:name="_Toc25571297"/>
      <w:bookmarkStart w:id="15601" w:name="_Toc25572779"/>
      <w:bookmarkStart w:id="15602" w:name="_Toc25573021"/>
      <w:r>
        <w:rPr>
          <w:rFonts w:hint="cs"/>
          <w:rtl/>
        </w:rPr>
        <w:t>דברי הקוב"ש</w:t>
      </w:r>
      <w:bookmarkEnd w:id="15595"/>
      <w:bookmarkEnd w:id="15596"/>
      <w:bookmarkEnd w:id="15597"/>
      <w:r>
        <w:rPr>
          <w:rFonts w:hint="cs"/>
          <w:rtl/>
        </w:rPr>
        <w:t xml:space="preserve"> בגדר ביטול וחוזר וניעור בלח</w:t>
      </w:r>
      <w:bookmarkEnd w:id="15598"/>
      <w:bookmarkEnd w:id="15599"/>
      <w:bookmarkEnd w:id="15600"/>
      <w:bookmarkEnd w:id="15601"/>
      <w:bookmarkEnd w:id="15602"/>
    </w:p>
    <w:p w:rsidR="003A5D2C" w:rsidRPr="00926966" w:rsidRDefault="003A5D2C" w:rsidP="003A5D2C">
      <w:pPr>
        <w:pStyle w:val="a2"/>
        <w:rPr>
          <w:rtl/>
        </w:rPr>
      </w:pPr>
      <w:bookmarkStart w:id="15603" w:name="_Toc25524715"/>
      <w:bookmarkStart w:id="15604" w:name="_Toc25536234"/>
      <w:bookmarkStart w:id="15605" w:name="_Toc25571298"/>
      <w:bookmarkStart w:id="15606" w:name="_Toc25572780"/>
      <w:bookmarkStart w:id="15607" w:name="_Toc25573022"/>
      <w:r>
        <w:rPr>
          <w:rFonts w:hint="cs"/>
          <w:rtl/>
        </w:rPr>
        <w:t>ביאור הקוב"</w:t>
      </w:r>
      <w:r w:rsidRPr="005241C0">
        <w:rPr>
          <w:rFonts w:hint="cs"/>
          <w:rtl/>
        </w:rPr>
        <w:t xml:space="preserve">ש </w:t>
      </w:r>
      <w:r>
        <w:rPr>
          <w:rFonts w:hint="cs"/>
          <w:rtl/>
        </w:rPr>
        <w:t>ב</w:t>
      </w:r>
      <w:r w:rsidRPr="005241C0">
        <w:rPr>
          <w:rFonts w:hint="cs"/>
          <w:rtl/>
        </w:rPr>
        <w:t>מהר"י קורקוס דבלח הוא במציאות</w:t>
      </w:r>
      <w:r>
        <w:rPr>
          <w:rFonts w:hint="cs"/>
          <w:rtl/>
        </w:rPr>
        <w:t xml:space="preserve"> שיש לכל התערובת את ה</w:t>
      </w:r>
      <w:r>
        <w:rPr>
          <w:rtl/>
        </w:rPr>
        <w:t>שֵׁ</w:t>
      </w:r>
      <w:r>
        <w:rPr>
          <w:rFonts w:hint="cs"/>
          <w:rtl/>
        </w:rPr>
        <w:t>ם של הרוב</w:t>
      </w:r>
      <w:bookmarkEnd w:id="15603"/>
      <w:bookmarkEnd w:id="15604"/>
      <w:bookmarkEnd w:id="15605"/>
      <w:bookmarkEnd w:id="15606"/>
      <w:bookmarkEnd w:id="15607"/>
      <w:r>
        <w:rPr>
          <w:rFonts w:hint="cs"/>
          <w:rtl/>
        </w:rPr>
        <w:t xml:space="preserve"> </w:t>
      </w:r>
    </w:p>
    <w:p w:rsidR="003A5D2C" w:rsidRDefault="003A5D2C" w:rsidP="009F44AF">
      <w:pPr>
        <w:pStyle w:val="a"/>
        <w:rPr>
          <w:rtl/>
        </w:rPr>
      </w:pPr>
      <w:bookmarkStart w:id="15608" w:name="_Ref25508889"/>
      <w:r>
        <w:rPr>
          <w:rFonts w:hint="cs"/>
          <w:rtl/>
        </w:rPr>
        <w:t xml:space="preserve">כתב </w:t>
      </w:r>
      <w:r w:rsidRPr="00384F69">
        <w:rPr>
          <w:rStyle w:val="af8"/>
          <w:rFonts w:hint="cs"/>
          <w:rtl/>
        </w:rPr>
        <w:t>הקוב"ש</w:t>
      </w:r>
      <w:r>
        <w:rPr>
          <w:rFonts w:hint="cs"/>
          <w:rtl/>
        </w:rPr>
        <w:t xml:space="preserve"> </w:t>
      </w:r>
      <w:r w:rsidRPr="0040414F">
        <w:rPr>
          <w:rStyle w:val="af6"/>
          <w:rFonts w:eastAsia="Guttman Hodes" w:hint="cs"/>
          <w:rtl/>
        </w:rPr>
        <w:t>(ח"ב קובץ שמועות חולין ל"ו ד"ה נפל דם)</w:t>
      </w:r>
      <w:r>
        <w:rPr>
          <w:rFonts w:hint="cs"/>
          <w:rtl/>
        </w:rPr>
        <w:t xml:space="preserve"> דמדברי </w:t>
      </w:r>
      <w:r w:rsidRPr="00384F69">
        <w:rPr>
          <w:rStyle w:val="af8"/>
          <w:rFonts w:hint="cs"/>
          <w:rtl/>
        </w:rPr>
        <w:t>הכס"מ</w:t>
      </w:r>
      <w:r>
        <w:rPr>
          <w:rFonts w:hint="cs"/>
          <w:rtl/>
        </w:rPr>
        <w:t xml:space="preserve"> </w:t>
      </w:r>
      <w:r w:rsidRPr="00F648BB">
        <w:rPr>
          <w:rStyle w:val="af6"/>
          <w:rFonts w:eastAsia="Guttman Hodes" w:hint="cs"/>
          <w:rtl/>
        </w:rPr>
        <w:t xml:space="preserve">(עי' אות </w:t>
      </w:r>
      <w:r w:rsidRPr="00F648BB">
        <w:rPr>
          <w:rStyle w:val="af6"/>
          <w:rFonts w:eastAsia="Guttman Hodes"/>
          <w:rtl/>
        </w:rPr>
        <w:fldChar w:fldCharType="begin"/>
      </w:r>
      <w:r w:rsidRPr="00F648BB">
        <w:rPr>
          <w:rStyle w:val="af6"/>
          <w:rFonts w:eastAsia="Guttman Hodes"/>
          <w:rtl/>
        </w:rPr>
        <w:instrText xml:space="preserve"> </w:instrText>
      </w:r>
      <w:r w:rsidRPr="00F648BB">
        <w:rPr>
          <w:rStyle w:val="af6"/>
          <w:rFonts w:eastAsia="Guttman Hodes" w:hint="cs"/>
        </w:rPr>
        <w:instrText>REF</w:instrText>
      </w:r>
      <w:r w:rsidRPr="00F648BB">
        <w:rPr>
          <w:rStyle w:val="af6"/>
          <w:rFonts w:eastAsia="Guttman Hodes" w:hint="cs"/>
          <w:rtl/>
        </w:rPr>
        <w:instrText xml:space="preserve"> _</w:instrText>
      </w:r>
      <w:r w:rsidRPr="00F648BB">
        <w:rPr>
          <w:rStyle w:val="af6"/>
          <w:rFonts w:eastAsia="Guttman Hodes" w:hint="cs"/>
        </w:rPr>
        <w:instrText>Ref25485269 \r \h</w:instrText>
      </w:r>
      <w:r w:rsidRPr="00F648BB">
        <w:rPr>
          <w:rStyle w:val="af6"/>
          <w:rFonts w:eastAsia="Guttman Hodes"/>
          <w:rtl/>
        </w:rPr>
        <w:instrText xml:space="preserve"> </w:instrText>
      </w:r>
      <w:r w:rsidRPr="00F648BB">
        <w:rPr>
          <w:rStyle w:val="af6"/>
          <w:rFonts w:eastAsia="Guttman Hodes"/>
          <w:rtl/>
        </w:rPr>
      </w:r>
      <w:r w:rsidRPr="00F648BB">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F648BB">
        <w:rPr>
          <w:rStyle w:val="af6"/>
          <w:rFonts w:eastAsia="Guttman Hodes"/>
          <w:rtl/>
        </w:rPr>
        <w:fldChar w:fldCharType="end"/>
      </w:r>
      <w:r>
        <w:rPr>
          <w:rFonts w:hint="cs"/>
          <w:rtl/>
        </w:rPr>
        <w:t xml:space="preserve"> בשם </w:t>
      </w:r>
      <w:r w:rsidRPr="00384F69">
        <w:rPr>
          <w:rStyle w:val="af8"/>
          <w:rFonts w:hint="cs"/>
          <w:rtl/>
        </w:rPr>
        <w:t>המהר"י קורקוס</w:t>
      </w:r>
      <w:r>
        <w:rPr>
          <w:rFonts w:hint="cs"/>
          <w:rtl/>
        </w:rPr>
        <w:t xml:space="preserve"> דכתב דבלח בלח יש ביטול אף בטומאת משא, מבואר דהביטול בלח בלח הוא ביטול במציאות, ועל כל התערובת יש את ה</w:t>
      </w:r>
      <w:r>
        <w:rPr>
          <w:rtl/>
        </w:rPr>
        <w:t>שֵׁ</w:t>
      </w:r>
      <w:r>
        <w:rPr>
          <w:rFonts w:hint="cs"/>
          <w:rtl/>
        </w:rPr>
        <w:t>ם של הרוב.</w:t>
      </w:r>
      <w:r w:rsidRPr="00B5241F">
        <w:rPr>
          <w:rStyle w:val="afa"/>
          <w:rFonts w:hint="cs"/>
          <w:rtl/>
        </w:rPr>
        <w:t xml:space="preserve"> </w:t>
      </w:r>
      <w:r w:rsidRPr="00F648BB">
        <w:rPr>
          <w:rStyle w:val="afa"/>
          <w:rFonts w:hint="cs"/>
          <w:rtl/>
        </w:rPr>
        <w:t xml:space="preserve">[וע"ע </w:t>
      </w:r>
      <w:r w:rsidRPr="00F648BB">
        <w:rPr>
          <w:rStyle w:val="affa"/>
          <w:rFonts w:hint="cs"/>
          <w:rtl/>
        </w:rPr>
        <w:t>בקוה"ע</w:t>
      </w:r>
      <w:r w:rsidRPr="00F648BB">
        <w:rPr>
          <w:rStyle w:val="afa"/>
          <w:rFonts w:hint="cs"/>
          <w:rtl/>
        </w:rPr>
        <w:t xml:space="preserve"> </w:t>
      </w:r>
      <w:r w:rsidRPr="00F648BB">
        <w:rPr>
          <w:rStyle w:val="aff6"/>
          <w:rFonts w:hint="cs"/>
          <w:rtl/>
        </w:rPr>
        <w:t>(סי' נ"ט ד'</w:t>
      </w:r>
      <w:r>
        <w:rPr>
          <w:rStyle w:val="aff6"/>
          <w:rFonts w:hint="cs"/>
          <w:rtl/>
        </w:rPr>
        <w:t>)</w:t>
      </w:r>
      <w:r w:rsidRPr="00F648BB">
        <w:rPr>
          <w:rStyle w:val="afa"/>
          <w:rFonts w:hint="cs"/>
          <w:rtl/>
        </w:rPr>
        <w:t>].</w:t>
      </w:r>
      <w:bookmarkEnd w:id="15608"/>
    </w:p>
    <w:p w:rsidR="003A5D2C" w:rsidRPr="00B5241F" w:rsidRDefault="003A5D2C" w:rsidP="003A5D2C">
      <w:pPr>
        <w:pStyle w:val="a2"/>
      </w:pPr>
      <w:bookmarkStart w:id="15609" w:name="_Toc25524716"/>
      <w:bookmarkStart w:id="15610" w:name="_Toc25536235"/>
      <w:bookmarkStart w:id="15611" w:name="_Toc25571299"/>
      <w:bookmarkStart w:id="15612" w:name="_Toc25572781"/>
      <w:bookmarkStart w:id="15613" w:name="_Toc25573023"/>
      <w:r>
        <w:rPr>
          <w:rFonts w:hint="cs"/>
          <w:rtl/>
        </w:rPr>
        <w:t>דברי הקוב"ש דבהוסיף איסור בלח אין ביטול במציאות וחוזר וניעור אף אי ביבש אין חוזר וניעור</w:t>
      </w:r>
      <w:bookmarkEnd w:id="15609"/>
      <w:bookmarkEnd w:id="15610"/>
      <w:bookmarkEnd w:id="15611"/>
      <w:bookmarkEnd w:id="15612"/>
      <w:bookmarkEnd w:id="15613"/>
    </w:p>
    <w:p w:rsidR="003A5D2C" w:rsidRDefault="003A5D2C" w:rsidP="009F44AF">
      <w:pPr>
        <w:pStyle w:val="a"/>
        <w:rPr>
          <w:rtl/>
        </w:rPr>
      </w:pPr>
      <w:r>
        <w:rPr>
          <w:rFonts w:hint="cs"/>
          <w:rtl/>
        </w:rPr>
        <w:t xml:space="preserve">וכתב </w:t>
      </w:r>
      <w:r w:rsidRPr="00384F69">
        <w:rPr>
          <w:rStyle w:val="af8"/>
          <w:rFonts w:hint="cs"/>
          <w:rtl/>
        </w:rPr>
        <w:t>הקוב"ש</w:t>
      </w:r>
      <w:r>
        <w:rPr>
          <w:rFonts w:hint="cs"/>
          <w:rtl/>
        </w:rPr>
        <w:t xml:space="preserve"> דלכן אף אם בביטול ברוב ביבש לא אמרינן חוזר וניעור כיון שהאיסור נהפך להיתר, מ"מ בלח בלח לעולם אמרינן חוזר וניעור, דכיון שהביטול בלח הוא ביטול במציאות, א"כ כל שנוסף איסור ויש שינוי במציאות ממילא אמרינן דהאיסור חוזר וניעור.</w:t>
      </w:r>
    </w:p>
    <w:p w:rsidR="003A5D2C" w:rsidRPr="00196BA8" w:rsidRDefault="003A5D2C" w:rsidP="003A5D2C">
      <w:pPr>
        <w:pStyle w:val="1"/>
        <w:rPr>
          <w:rtl/>
        </w:rPr>
      </w:pPr>
      <w:bookmarkStart w:id="15614" w:name="_Toc25524717"/>
      <w:bookmarkStart w:id="15615" w:name="_Toc25536236"/>
      <w:bookmarkStart w:id="15616" w:name="_Toc25571300"/>
      <w:bookmarkStart w:id="15617" w:name="_Toc25572782"/>
      <w:bookmarkStart w:id="15618" w:name="_Toc25573024"/>
      <w:r>
        <w:rPr>
          <w:rFonts w:hint="cs"/>
          <w:rtl/>
        </w:rPr>
        <w:t>דברי הקוה"ע דלמהר"י קורקוס בנשא בזאח"ז טמא במשא</w:t>
      </w:r>
      <w:bookmarkEnd w:id="15614"/>
      <w:bookmarkEnd w:id="15615"/>
      <w:bookmarkEnd w:id="15616"/>
      <w:bookmarkEnd w:id="15617"/>
      <w:bookmarkEnd w:id="15618"/>
    </w:p>
    <w:p w:rsidR="003A5D2C" w:rsidRPr="00A37CCF" w:rsidRDefault="003A5D2C" w:rsidP="003A5D2C">
      <w:pPr>
        <w:pStyle w:val="a2"/>
        <w:rPr>
          <w:rtl/>
        </w:rPr>
      </w:pPr>
      <w:bookmarkStart w:id="15619" w:name="_Toc25524718"/>
      <w:bookmarkStart w:id="15620" w:name="_Toc25536237"/>
      <w:bookmarkStart w:id="15621" w:name="_Toc25571301"/>
      <w:bookmarkStart w:id="15622" w:name="_Toc25572783"/>
      <w:bookmarkStart w:id="15623" w:name="_Toc25573025"/>
      <w:r>
        <w:rPr>
          <w:rFonts w:hint="cs"/>
          <w:rtl/>
        </w:rPr>
        <w:t>דברי הקוה"ע דלמהר"י קורקוס רק בנשא בב"א טמא אבל בנשא בזה אחר זה מהני הביטול</w:t>
      </w:r>
      <w:bookmarkEnd w:id="15619"/>
      <w:bookmarkEnd w:id="15620"/>
      <w:bookmarkEnd w:id="15621"/>
      <w:bookmarkEnd w:id="15622"/>
      <w:bookmarkEnd w:id="15623"/>
    </w:p>
    <w:p w:rsidR="003A5D2C" w:rsidRPr="008B57C8" w:rsidRDefault="003A5D2C" w:rsidP="009F44AF">
      <w:pPr>
        <w:pStyle w:val="a"/>
        <w:rPr>
          <w:rtl/>
        </w:rPr>
      </w:pPr>
      <w:bookmarkStart w:id="15624" w:name="_Ref25513959"/>
      <w:bookmarkStart w:id="15625" w:name="_Ref25514760"/>
      <w:r>
        <w:rPr>
          <w:rFonts w:hint="cs"/>
          <w:rtl/>
        </w:rPr>
        <w:t xml:space="preserve">וכתב </w:t>
      </w:r>
      <w:r w:rsidRPr="008B57C8">
        <w:rPr>
          <w:rStyle w:val="af8"/>
          <w:rFonts w:hint="cs"/>
          <w:rtl/>
        </w:rPr>
        <w:t>הקוה"ע</w:t>
      </w:r>
      <w:r>
        <w:rPr>
          <w:rFonts w:hint="cs"/>
          <w:rtl/>
        </w:rPr>
        <w:t xml:space="preserve"> </w:t>
      </w:r>
      <w:r w:rsidRPr="008B57C8">
        <w:rPr>
          <w:rStyle w:val="af6"/>
          <w:rFonts w:eastAsia="Guttman Hodes" w:hint="cs"/>
          <w:rtl/>
        </w:rPr>
        <w:t>(סי' נ"ט ב')</w:t>
      </w:r>
      <w:r>
        <w:rPr>
          <w:rFonts w:hint="cs"/>
          <w:rtl/>
        </w:rPr>
        <w:t xml:space="preserve"> דלדברי </w:t>
      </w:r>
      <w:r w:rsidRPr="008B57C8">
        <w:rPr>
          <w:rStyle w:val="af8"/>
          <w:rFonts w:hint="cs"/>
          <w:rtl/>
        </w:rPr>
        <w:t>המהר"י קורקוס</w:t>
      </w:r>
      <w:r>
        <w:rPr>
          <w:rFonts w:hint="cs"/>
          <w:rtl/>
        </w:rPr>
        <w:t xml:space="preserve"> </w:t>
      </w:r>
      <w:r w:rsidRPr="00F648BB">
        <w:rPr>
          <w:rStyle w:val="af6"/>
          <w:rFonts w:eastAsia="Guttman Hodes" w:hint="cs"/>
          <w:rtl/>
        </w:rPr>
        <w:t xml:space="preserve">עי' אות </w:t>
      </w:r>
      <w:r w:rsidRPr="00F648BB">
        <w:rPr>
          <w:rStyle w:val="af6"/>
          <w:rFonts w:eastAsia="Guttman Hodes"/>
          <w:rtl/>
        </w:rPr>
        <w:fldChar w:fldCharType="begin"/>
      </w:r>
      <w:r w:rsidRPr="00F648BB">
        <w:rPr>
          <w:rStyle w:val="af6"/>
          <w:rFonts w:eastAsia="Guttman Hodes"/>
          <w:rtl/>
        </w:rPr>
        <w:instrText xml:space="preserve"> </w:instrText>
      </w:r>
      <w:r w:rsidRPr="00F648BB">
        <w:rPr>
          <w:rStyle w:val="af6"/>
          <w:rFonts w:eastAsia="Guttman Hodes" w:hint="cs"/>
        </w:rPr>
        <w:instrText>REF</w:instrText>
      </w:r>
      <w:r w:rsidRPr="00F648BB">
        <w:rPr>
          <w:rStyle w:val="af6"/>
          <w:rFonts w:eastAsia="Guttman Hodes" w:hint="cs"/>
          <w:rtl/>
        </w:rPr>
        <w:instrText xml:space="preserve"> _</w:instrText>
      </w:r>
      <w:r w:rsidRPr="00F648BB">
        <w:rPr>
          <w:rStyle w:val="af6"/>
          <w:rFonts w:eastAsia="Guttman Hodes" w:hint="cs"/>
        </w:rPr>
        <w:instrText>Ref25485269 \r \h</w:instrText>
      </w:r>
      <w:r w:rsidRPr="00F648BB">
        <w:rPr>
          <w:rStyle w:val="af6"/>
          <w:rFonts w:eastAsia="Guttman Hodes"/>
          <w:rtl/>
        </w:rPr>
        <w:instrText xml:space="preserve"> </w:instrText>
      </w:r>
      <w:r w:rsidRPr="00F648BB">
        <w:rPr>
          <w:rStyle w:val="af6"/>
          <w:rFonts w:eastAsia="Guttman Hodes"/>
          <w:rtl/>
        </w:rPr>
      </w:r>
      <w:r w:rsidRPr="00F648BB">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F648BB">
        <w:rPr>
          <w:rStyle w:val="af6"/>
          <w:rFonts w:eastAsia="Guttman Hodes"/>
          <w:rtl/>
        </w:rPr>
        <w:fldChar w:fldCharType="end"/>
      </w:r>
      <w:r>
        <w:rPr>
          <w:rFonts w:hint="cs"/>
          <w:rtl/>
        </w:rPr>
        <w:t xml:space="preserve"> הא דלא מהני הביטול במשא, הוא כיון שנושא את כולם כאחד ויש בו טומאה ודאית, ואין כל ספק, ולא מהני ביטול ברוב בודאי איסור, אבל בנושא בזה אחר זה, מהני ביטול אף לטומאת משא, כיון שבכל משא בפנ"ע יש ספק אם יש בו טומאה, ולענין ספק מהני ביטול ברוב.</w:t>
      </w:r>
      <w:bookmarkEnd w:id="15624"/>
      <w:r>
        <w:rPr>
          <w:rFonts w:hint="cs"/>
          <w:rtl/>
        </w:rPr>
        <w:t xml:space="preserve"> [ועי' במ"ש </w:t>
      </w:r>
      <w:r w:rsidRPr="00B3465B">
        <w:rPr>
          <w:rStyle w:val="af8"/>
          <w:rFonts w:hint="cs"/>
          <w:rtl/>
        </w:rPr>
        <w:t>בקוה"ע</w:t>
      </w:r>
      <w:r>
        <w:rPr>
          <w:rFonts w:hint="cs"/>
          <w:rtl/>
        </w:rPr>
        <w:t xml:space="preserve"> </w:t>
      </w:r>
      <w:r w:rsidRPr="00512B56">
        <w:rPr>
          <w:rStyle w:val="af6"/>
          <w:rFonts w:eastAsia="Guttman Hodes" w:hint="cs"/>
          <w:rtl/>
        </w:rPr>
        <w:t xml:space="preserve">(עי' אות </w:t>
      </w:r>
      <w:r w:rsidRPr="00512B56">
        <w:rPr>
          <w:rStyle w:val="af6"/>
          <w:rFonts w:eastAsia="Guttman Hodes"/>
          <w:rtl/>
        </w:rPr>
        <w:fldChar w:fldCharType="begin"/>
      </w:r>
      <w:r w:rsidRPr="00512B56">
        <w:rPr>
          <w:rStyle w:val="af6"/>
          <w:rFonts w:eastAsia="Guttman Hodes"/>
          <w:rtl/>
        </w:rPr>
        <w:instrText xml:space="preserve"> </w:instrText>
      </w:r>
      <w:r w:rsidRPr="00512B56">
        <w:rPr>
          <w:rStyle w:val="af6"/>
          <w:rFonts w:eastAsia="Guttman Hodes" w:hint="cs"/>
        </w:rPr>
        <w:instrText>REF</w:instrText>
      </w:r>
      <w:r w:rsidRPr="00512B56">
        <w:rPr>
          <w:rStyle w:val="af6"/>
          <w:rFonts w:eastAsia="Guttman Hodes" w:hint="cs"/>
          <w:rtl/>
        </w:rPr>
        <w:instrText xml:space="preserve"> _</w:instrText>
      </w:r>
      <w:r w:rsidRPr="00512B56">
        <w:rPr>
          <w:rStyle w:val="af6"/>
          <w:rFonts w:eastAsia="Guttman Hodes" w:hint="cs"/>
        </w:rPr>
        <w:instrText>Ref25514064 \r \h</w:instrText>
      </w:r>
      <w:r w:rsidRPr="00512B56">
        <w:rPr>
          <w:rStyle w:val="af6"/>
          <w:rFonts w:eastAsia="Guttman Hodes"/>
          <w:rtl/>
        </w:rPr>
        <w:instrText xml:space="preserve"> </w:instrText>
      </w:r>
      <w:r w:rsidRPr="00512B56">
        <w:rPr>
          <w:rStyle w:val="af6"/>
          <w:rFonts w:eastAsia="Guttman Hodes"/>
          <w:rtl/>
        </w:rPr>
      </w:r>
      <w:r w:rsidRPr="00512B56">
        <w:rPr>
          <w:rStyle w:val="af6"/>
          <w:rFonts w:eastAsia="Guttman Hodes"/>
          <w:rtl/>
        </w:rPr>
        <w:fldChar w:fldCharType="separate"/>
      </w:r>
      <w:r w:rsidR="004D1C5B">
        <w:rPr>
          <w:rStyle w:val="af6"/>
          <w:rFonts w:eastAsia="Guttman Hodes"/>
          <w:cs/>
        </w:rPr>
        <w:t>‎</w:t>
      </w:r>
      <w:r w:rsidR="004D1C5B">
        <w:rPr>
          <w:rStyle w:val="af6"/>
          <w:rFonts w:eastAsia="Guttman Hodes"/>
          <w:rtl/>
        </w:rPr>
        <w:t>קה)</w:t>
      </w:r>
      <w:r w:rsidRPr="00512B56">
        <w:rPr>
          <w:rStyle w:val="af6"/>
          <w:rFonts w:eastAsia="Guttman Hodes"/>
          <w:rtl/>
        </w:rPr>
        <w:fldChar w:fldCharType="end"/>
      </w:r>
      <w:r>
        <w:rPr>
          <w:rFonts w:hint="cs"/>
          <w:rtl/>
        </w:rPr>
        <w:t xml:space="preserve"> דכן דעת </w:t>
      </w:r>
      <w:r w:rsidRPr="005D4574">
        <w:rPr>
          <w:rStyle w:val="af8"/>
          <w:rFonts w:hint="cs"/>
          <w:rtl/>
        </w:rPr>
        <w:t>התוס' בבכורות</w:t>
      </w:r>
      <w:r>
        <w:rPr>
          <w:rFonts w:hint="cs"/>
          <w:rtl/>
        </w:rPr>
        <w:t xml:space="preserve">, וע"ע במה שהקשה </w:t>
      </w:r>
      <w:r w:rsidRPr="00A37CCF">
        <w:rPr>
          <w:rStyle w:val="af8"/>
          <w:rFonts w:hint="cs"/>
          <w:rtl/>
        </w:rPr>
        <w:t>הקוה"ע</w:t>
      </w:r>
      <w:r>
        <w:rPr>
          <w:rFonts w:hint="cs"/>
          <w:rtl/>
        </w:rPr>
        <w:t xml:space="preserve"> </w:t>
      </w:r>
      <w:r w:rsidRPr="00A37CCF">
        <w:rPr>
          <w:rStyle w:val="af6"/>
          <w:rFonts w:eastAsia="Guttman Hodes" w:hint="cs"/>
          <w:rtl/>
        </w:rPr>
        <w:t xml:space="preserve">(עי' אות </w:t>
      </w:r>
      <w:r w:rsidRPr="00A37CCF">
        <w:rPr>
          <w:rStyle w:val="af6"/>
          <w:rFonts w:eastAsia="Guttman Hodes"/>
          <w:rtl/>
        </w:rPr>
        <w:fldChar w:fldCharType="begin"/>
      </w:r>
      <w:r w:rsidRPr="00A37CCF">
        <w:rPr>
          <w:rStyle w:val="af6"/>
          <w:rFonts w:eastAsia="Guttman Hodes"/>
          <w:rtl/>
        </w:rPr>
        <w:instrText xml:space="preserve"> </w:instrText>
      </w:r>
      <w:r w:rsidRPr="00A37CCF">
        <w:rPr>
          <w:rStyle w:val="af6"/>
          <w:rFonts w:eastAsia="Guttman Hodes" w:hint="cs"/>
        </w:rPr>
        <w:instrText>REF</w:instrText>
      </w:r>
      <w:r w:rsidRPr="00A37CCF">
        <w:rPr>
          <w:rStyle w:val="af6"/>
          <w:rFonts w:eastAsia="Guttman Hodes" w:hint="cs"/>
          <w:rtl/>
        </w:rPr>
        <w:instrText xml:space="preserve"> _</w:instrText>
      </w:r>
      <w:r w:rsidRPr="00A37CCF">
        <w:rPr>
          <w:rStyle w:val="af6"/>
          <w:rFonts w:eastAsia="Guttman Hodes" w:hint="cs"/>
        </w:rPr>
        <w:instrText>Ref25514713 \r \h</w:instrText>
      </w:r>
      <w:r w:rsidRPr="00A37CCF">
        <w:rPr>
          <w:rStyle w:val="af6"/>
          <w:rFonts w:eastAsia="Guttman Hodes"/>
          <w:rtl/>
        </w:rPr>
        <w:instrText xml:space="preserve"> </w:instrText>
      </w:r>
      <w:r w:rsidRPr="00A37CCF">
        <w:rPr>
          <w:rStyle w:val="af6"/>
          <w:rFonts w:eastAsia="Guttman Hodes"/>
          <w:rtl/>
        </w:rPr>
      </w:r>
      <w:r w:rsidRPr="00A37CCF">
        <w:rPr>
          <w:rStyle w:val="af6"/>
          <w:rFonts w:eastAsia="Guttman Hodes"/>
          <w:rtl/>
        </w:rPr>
        <w:fldChar w:fldCharType="separate"/>
      </w:r>
      <w:r w:rsidR="004D1C5B">
        <w:rPr>
          <w:rStyle w:val="af6"/>
          <w:rFonts w:eastAsia="Guttman Hodes"/>
          <w:cs/>
        </w:rPr>
        <w:t>‎</w:t>
      </w:r>
      <w:r w:rsidR="004D1C5B">
        <w:rPr>
          <w:rStyle w:val="af6"/>
          <w:rFonts w:eastAsia="Guttman Hodes"/>
          <w:rtl/>
        </w:rPr>
        <w:t>עז)</w:t>
      </w:r>
      <w:r w:rsidRPr="00A37CCF">
        <w:rPr>
          <w:rStyle w:val="af6"/>
          <w:rFonts w:eastAsia="Guttman Hodes"/>
          <w:rtl/>
        </w:rPr>
        <w:fldChar w:fldCharType="end"/>
      </w:r>
      <w:r w:rsidRPr="00A37CCF">
        <w:rPr>
          <w:rStyle w:val="af6"/>
          <w:rFonts w:eastAsia="Guttman Hodes" w:hint="cs"/>
          <w:rtl/>
        </w:rPr>
        <w:t xml:space="preserve"> </w:t>
      </w:r>
      <w:r>
        <w:rPr>
          <w:rFonts w:hint="cs"/>
          <w:rtl/>
        </w:rPr>
        <w:t xml:space="preserve">על דעת </w:t>
      </w:r>
      <w:r w:rsidRPr="00A37CCF">
        <w:rPr>
          <w:rStyle w:val="af8"/>
          <w:rFonts w:hint="cs"/>
          <w:rtl/>
        </w:rPr>
        <w:t>הרא"ש</w:t>
      </w:r>
      <w:r>
        <w:rPr>
          <w:rFonts w:hint="cs"/>
          <w:rtl/>
        </w:rPr>
        <w:t xml:space="preserve"> דלדבריו לא מהני ביטול אף בנשא בזה אחר זה].</w:t>
      </w:r>
      <w:bookmarkEnd w:id="15625"/>
    </w:p>
    <w:p w:rsidR="003A5D2C" w:rsidRPr="00926966" w:rsidRDefault="003A5D2C" w:rsidP="003A5D2C">
      <w:pPr>
        <w:pStyle w:val="a2"/>
      </w:pPr>
      <w:bookmarkStart w:id="15626" w:name="_Toc25524719"/>
      <w:bookmarkStart w:id="15627" w:name="_Toc25536238"/>
      <w:bookmarkStart w:id="15628" w:name="_Toc25571302"/>
      <w:bookmarkStart w:id="15629" w:name="_Toc25572784"/>
      <w:bookmarkStart w:id="15630" w:name="_Toc25573026"/>
      <w:r>
        <w:rPr>
          <w:rFonts w:hint="cs"/>
          <w:rtl/>
        </w:rPr>
        <w:t>ביאור שיעורי רבי אלחנן במהר"י קורקוס דביבש גוף האיסור קיים ובב"א נושא ודאי טומאה</w:t>
      </w:r>
      <w:bookmarkEnd w:id="15626"/>
      <w:bookmarkEnd w:id="15627"/>
      <w:bookmarkEnd w:id="15628"/>
      <w:bookmarkEnd w:id="15629"/>
      <w:bookmarkEnd w:id="15630"/>
    </w:p>
    <w:p w:rsidR="003A5D2C" w:rsidRDefault="003A5D2C" w:rsidP="009F44AF">
      <w:pPr>
        <w:pStyle w:val="a"/>
        <w:rPr>
          <w:rtl/>
        </w:rPr>
      </w:pPr>
      <w:r>
        <w:rPr>
          <w:rFonts w:hint="cs"/>
          <w:rtl/>
        </w:rPr>
        <w:t xml:space="preserve">וביאר </w:t>
      </w:r>
      <w:r w:rsidRPr="00384F69">
        <w:rPr>
          <w:rStyle w:val="af8"/>
          <w:rFonts w:hint="cs"/>
          <w:rtl/>
        </w:rPr>
        <w:t>בשיעורי רבי אלחנן</w:t>
      </w:r>
      <w:r>
        <w:rPr>
          <w:rFonts w:hint="cs"/>
          <w:rtl/>
        </w:rPr>
        <w:t xml:space="preserve"> </w:t>
      </w:r>
      <w:r w:rsidRPr="00384F69">
        <w:rPr>
          <w:rStyle w:val="af6"/>
          <w:rFonts w:eastAsia="Guttman Hodes" w:hint="cs"/>
          <w:rtl/>
        </w:rPr>
        <w:t>(חולין סי' י"ז ב' ד"ה וע"כ)</w:t>
      </w:r>
      <w:r>
        <w:rPr>
          <w:rFonts w:hint="cs"/>
          <w:rtl/>
        </w:rPr>
        <w:t xml:space="preserve"> את דברי </w:t>
      </w:r>
      <w:r w:rsidRPr="00384F69">
        <w:rPr>
          <w:rStyle w:val="af8"/>
          <w:rFonts w:hint="cs"/>
          <w:rtl/>
        </w:rPr>
        <w:t>המהר"י קורקוס</w:t>
      </w:r>
      <w:r>
        <w:rPr>
          <w:rFonts w:hint="cs"/>
          <w:rtl/>
        </w:rPr>
        <w:t xml:space="preserve"> דבביטול ביבש אין כל שינוי בגוף האיסור, דהאיסור קיים כמו שהוא רק שאינו ניכר, ויש דין שאיסור שאינו ניכר הוא בטל ברוב היתר, וכתב </w:t>
      </w:r>
      <w:r w:rsidRPr="001623A9">
        <w:rPr>
          <w:rStyle w:val="af8"/>
          <w:rFonts w:hint="cs"/>
          <w:rtl/>
        </w:rPr>
        <w:t>בשיעורי רבי אלחנן</w:t>
      </w:r>
      <w:r>
        <w:rPr>
          <w:rFonts w:hint="cs"/>
          <w:rtl/>
        </w:rPr>
        <w:t xml:space="preserve"> דלכן לא מהני הביטול לענין טומאת משא, דכשהוא נושא את כל החתיכות, א"כ ודאי נשאר את הטומאה, דהטומאה קיימת רק שאינה ניכרת.</w:t>
      </w:r>
    </w:p>
    <w:p w:rsidR="003A5D2C" w:rsidRPr="00926966" w:rsidRDefault="003A5D2C" w:rsidP="003A5D2C">
      <w:pPr>
        <w:pStyle w:val="a2"/>
        <w:rPr>
          <w:rtl/>
        </w:rPr>
      </w:pPr>
      <w:bookmarkStart w:id="15631" w:name="_Toc25524720"/>
      <w:bookmarkStart w:id="15632" w:name="_Toc25536239"/>
      <w:bookmarkStart w:id="15633" w:name="_Toc25571303"/>
      <w:bookmarkStart w:id="15634" w:name="_Toc25572785"/>
      <w:bookmarkStart w:id="15635" w:name="_Toc25573027"/>
      <w:r>
        <w:rPr>
          <w:rFonts w:hint="cs"/>
          <w:rtl/>
        </w:rPr>
        <w:t>ביאור רבי אלחנן במהר"י קורקוס דבלח השתנה המראה והתערובת אחת ואין טומאה בפנ"ע</w:t>
      </w:r>
      <w:bookmarkEnd w:id="15631"/>
      <w:bookmarkEnd w:id="15632"/>
      <w:bookmarkEnd w:id="15633"/>
      <w:bookmarkEnd w:id="15634"/>
      <w:bookmarkEnd w:id="15635"/>
    </w:p>
    <w:p w:rsidR="003A5D2C" w:rsidRDefault="003A5D2C" w:rsidP="009F44AF">
      <w:pPr>
        <w:pStyle w:val="a"/>
        <w:rPr>
          <w:rtl/>
        </w:rPr>
      </w:pPr>
      <w:r>
        <w:rPr>
          <w:rFonts w:hint="cs"/>
          <w:rtl/>
        </w:rPr>
        <w:t xml:space="preserve">אבל בלח בלח כתב </w:t>
      </w:r>
      <w:r w:rsidRPr="00281A57">
        <w:rPr>
          <w:rStyle w:val="af8"/>
          <w:rFonts w:hint="cs"/>
          <w:rtl/>
        </w:rPr>
        <w:t>בשיעורי רבי אלחנן</w:t>
      </w:r>
      <w:r>
        <w:rPr>
          <w:rFonts w:hint="cs"/>
          <w:rtl/>
        </w:rPr>
        <w:t xml:space="preserve"> דהביטול הוא ביטול גמור, דבמה שהאיסור התערב בהיתר השתנה המראה של האיסור </w:t>
      </w:r>
      <w:r>
        <w:rPr>
          <w:rFonts w:hint="cs"/>
          <w:rtl/>
        </w:rPr>
        <w:lastRenderedPageBreak/>
        <w:t>וכל התערובת נעשית לדבר אחד, ואין עוד מציאות של האיסור בפנ"ע, ולכן אינו מטמא במשא, אף כשנשא את כל התערובת בבת אחת, דהטומאה אינה עומדת בפנ"ע במציאות, והיא בטלה ברוב.</w:t>
      </w:r>
    </w:p>
    <w:p w:rsidR="003A5D2C" w:rsidRDefault="003A5D2C" w:rsidP="003A5D2C">
      <w:pPr>
        <w:pStyle w:val="afd"/>
        <w:rPr>
          <w:rtl/>
        </w:rPr>
      </w:pPr>
      <w:bookmarkStart w:id="15636" w:name="_Toc25571304"/>
      <w:bookmarkStart w:id="15637" w:name="_Toc25572786"/>
      <w:bookmarkStart w:id="15638" w:name="_Toc25573028"/>
      <w:bookmarkStart w:id="15639" w:name="_Toc25524722"/>
      <w:bookmarkStart w:id="15640" w:name="_Toc25536241"/>
      <w:r>
        <w:rPr>
          <w:rFonts w:hint="cs"/>
          <w:rtl/>
        </w:rPr>
        <w:t>בדברי התוס' ושא"ר בטומאת מגע ומשא</w:t>
      </w:r>
      <w:bookmarkEnd w:id="15636"/>
      <w:bookmarkEnd w:id="15637"/>
      <w:bookmarkEnd w:id="15638"/>
    </w:p>
    <w:p w:rsidR="003A5D2C" w:rsidRPr="00262AD1" w:rsidRDefault="003A5D2C" w:rsidP="003A5D2C">
      <w:pPr>
        <w:pStyle w:val="1"/>
      </w:pPr>
      <w:bookmarkStart w:id="15641" w:name="_Toc25571305"/>
      <w:bookmarkStart w:id="15642" w:name="_Toc25572787"/>
      <w:bookmarkStart w:id="15643" w:name="_Toc25573029"/>
      <w:r>
        <w:rPr>
          <w:rFonts w:hint="cs"/>
          <w:rtl/>
        </w:rPr>
        <w:t>קושיות הקוב"ש על התוס' בבכורות</w:t>
      </w:r>
      <w:bookmarkEnd w:id="15639"/>
      <w:bookmarkEnd w:id="15640"/>
      <w:r>
        <w:rPr>
          <w:rFonts w:hint="cs"/>
          <w:rtl/>
        </w:rPr>
        <w:t xml:space="preserve"> בביטול לח ויבש</w:t>
      </w:r>
      <w:bookmarkEnd w:id="15641"/>
      <w:bookmarkEnd w:id="15642"/>
      <w:bookmarkEnd w:id="15643"/>
    </w:p>
    <w:p w:rsidR="003A5D2C" w:rsidRDefault="003A5D2C" w:rsidP="003A5D2C">
      <w:pPr>
        <w:pStyle w:val="a2"/>
        <w:rPr>
          <w:rtl/>
        </w:rPr>
      </w:pPr>
      <w:bookmarkStart w:id="15644" w:name="_Toc25524723"/>
      <w:bookmarkStart w:id="15645" w:name="_Toc25536242"/>
      <w:bookmarkStart w:id="15646" w:name="_Toc25571306"/>
      <w:bookmarkStart w:id="15647" w:name="_Toc25572788"/>
      <w:bookmarkStart w:id="15648" w:name="_Toc25573030"/>
      <w:r>
        <w:rPr>
          <w:rFonts w:hint="cs"/>
          <w:rtl/>
        </w:rPr>
        <w:t>קושית הקוב"ש על התוס' דהאיך כל משהו בטל כשבולעו הא בתוך כא"פ הוא אכילה אחת</w:t>
      </w:r>
      <w:bookmarkEnd w:id="15644"/>
      <w:bookmarkEnd w:id="15645"/>
      <w:bookmarkEnd w:id="15646"/>
      <w:bookmarkEnd w:id="15647"/>
      <w:bookmarkEnd w:id="15648"/>
    </w:p>
    <w:p w:rsidR="003A5D2C" w:rsidRDefault="003A5D2C" w:rsidP="009F44AF">
      <w:pPr>
        <w:pStyle w:val="a"/>
        <w:rPr>
          <w:rtl/>
        </w:rPr>
      </w:pPr>
      <w:r>
        <w:rPr>
          <w:rFonts w:hint="cs"/>
          <w:rtl/>
        </w:rPr>
        <w:t xml:space="preserve">במ"ש </w:t>
      </w:r>
      <w:r w:rsidRPr="005D4574">
        <w:rPr>
          <w:rStyle w:val="af8"/>
          <w:rFonts w:hint="cs"/>
          <w:rtl/>
        </w:rPr>
        <w:t>התוס' בבכורות</w:t>
      </w:r>
      <w:r>
        <w:rPr>
          <w:rFonts w:hint="cs"/>
          <w:rtl/>
        </w:rPr>
        <w:t xml:space="preserve"> </w:t>
      </w:r>
      <w:r w:rsidRPr="00FA6E45">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Ref25522241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Pr>
          <w:rStyle w:val="af6"/>
          <w:rFonts w:eastAsia="Guttman Hodes"/>
          <w:rtl/>
        </w:rPr>
        <w:fldChar w:fldCharType="end"/>
      </w:r>
      <w:r>
        <w:rPr>
          <w:rStyle w:val="af6"/>
          <w:rFonts w:eastAsia="Guttman Hodes" w:hint="cs"/>
          <w:rtl/>
        </w:rPr>
        <w:t xml:space="preserve"> </w:t>
      </w:r>
      <w:r>
        <w:rPr>
          <w:rFonts w:hint="cs"/>
          <w:rtl/>
        </w:rPr>
        <w:t xml:space="preserve">דלענין איסור, כל משהו שבולע באכילתו, אמרינן דקמא קמא בטיל, ואינו מצטרף למשהו שאוכל לאחריו, הקשה </w:t>
      </w:r>
      <w:r w:rsidRPr="00384F69">
        <w:rPr>
          <w:rStyle w:val="af8"/>
          <w:rFonts w:hint="cs"/>
          <w:rtl/>
        </w:rPr>
        <w:t>הקוב</w:t>
      </w:r>
      <w:r w:rsidRPr="00262AD1">
        <w:rPr>
          <w:rStyle w:val="af8"/>
          <w:rFonts w:hint="cs"/>
          <w:rtl/>
        </w:rPr>
        <w:t>"ש</w:t>
      </w:r>
      <w:r w:rsidRPr="00281A57">
        <w:rPr>
          <w:rStyle w:val="af6"/>
          <w:rFonts w:eastAsia="Guttman Hodes" w:hint="cs"/>
          <w:rtl/>
        </w:rPr>
        <w:t xml:space="preserve"> (ח"ב קובץ ביאורים בכורות ד') </w:t>
      </w:r>
      <w:r>
        <w:rPr>
          <w:rFonts w:hint="cs"/>
          <w:rtl/>
        </w:rPr>
        <w:t>דהרי באוכל וחוזר ואוכל בתוך כדי אכילת פרס, חשיב כאוכל בבת אחת לכל דבר.</w:t>
      </w:r>
    </w:p>
    <w:p w:rsidR="003A5D2C" w:rsidRPr="00926966" w:rsidRDefault="003A5D2C" w:rsidP="003A5D2C">
      <w:pPr>
        <w:pStyle w:val="a2"/>
        <w:rPr>
          <w:rtl/>
        </w:rPr>
      </w:pPr>
      <w:bookmarkStart w:id="15649" w:name="_Toc25524724"/>
      <w:bookmarkStart w:id="15650" w:name="_Toc25536243"/>
      <w:bookmarkStart w:id="15651" w:name="_Toc25571307"/>
      <w:bookmarkStart w:id="15652" w:name="_Toc25572789"/>
      <w:bookmarkStart w:id="15653" w:name="_Toc25573031"/>
      <w:r>
        <w:rPr>
          <w:rFonts w:hint="cs"/>
          <w:rtl/>
        </w:rPr>
        <w:t>ביאור הקוב"ש בתוס' דכא"פ מצרף לאכילה בזמן אחד אך אינו מצרף להחשיב כאכילה אחת</w:t>
      </w:r>
      <w:bookmarkEnd w:id="15649"/>
      <w:bookmarkEnd w:id="15650"/>
      <w:bookmarkEnd w:id="15651"/>
      <w:bookmarkEnd w:id="15652"/>
      <w:bookmarkEnd w:id="15653"/>
      <w:r>
        <w:rPr>
          <w:rFonts w:hint="cs"/>
          <w:rtl/>
        </w:rPr>
        <w:t xml:space="preserve"> </w:t>
      </w:r>
    </w:p>
    <w:p w:rsidR="003A5D2C" w:rsidRDefault="003A5D2C" w:rsidP="009F44AF">
      <w:pPr>
        <w:pStyle w:val="a"/>
        <w:rPr>
          <w:rtl/>
        </w:rPr>
      </w:pPr>
      <w:r>
        <w:rPr>
          <w:rFonts w:hint="cs"/>
          <w:rtl/>
        </w:rPr>
        <w:t xml:space="preserve">ותירץ </w:t>
      </w:r>
      <w:r w:rsidRPr="00281A57">
        <w:rPr>
          <w:rStyle w:val="af8"/>
          <w:rFonts w:hint="cs"/>
          <w:rtl/>
        </w:rPr>
        <w:t>הקוב"ש</w:t>
      </w:r>
      <w:r>
        <w:rPr>
          <w:rFonts w:hint="cs"/>
          <w:rtl/>
        </w:rPr>
        <w:t xml:space="preserve"> דס"ל </w:t>
      </w:r>
      <w:r w:rsidRPr="00281A57">
        <w:rPr>
          <w:rStyle w:val="af8"/>
          <w:rFonts w:hint="cs"/>
          <w:rtl/>
        </w:rPr>
        <w:t>להתוס' בבכורות</w:t>
      </w:r>
      <w:r>
        <w:rPr>
          <w:rFonts w:hint="cs"/>
          <w:rtl/>
        </w:rPr>
        <w:t xml:space="preserve"> דהצירוף של אכילה בתוך כדי אכילת פרס, הוא לענין שב' האכילות חשיבא כאכילה בזמן אחד, אך עדיין אי"ז נחשב כפעולת אכילה אחת, ולכן לענין ביטול מהני כל אכילה לבטל את האיסור דאין בה ודאי איסור.</w:t>
      </w:r>
    </w:p>
    <w:p w:rsidR="003A5D2C" w:rsidRPr="00926966" w:rsidRDefault="003A5D2C" w:rsidP="003A5D2C">
      <w:pPr>
        <w:pStyle w:val="a2"/>
        <w:rPr>
          <w:rtl/>
        </w:rPr>
      </w:pPr>
      <w:bookmarkStart w:id="15654" w:name="_Toc25524725"/>
      <w:bookmarkStart w:id="15655" w:name="_Toc25536244"/>
      <w:bookmarkStart w:id="15656" w:name="_Toc25571308"/>
      <w:bookmarkStart w:id="15657" w:name="_Toc25572790"/>
      <w:bookmarkStart w:id="15658" w:name="_Toc25573032"/>
      <w:r>
        <w:rPr>
          <w:rFonts w:hint="cs"/>
          <w:rtl/>
        </w:rPr>
        <w:t>קושית הקוב"ש דרק ביבש שייך לומר דכשבולע קמא קמא בטיל אבל בלח בכל משהו יש איסור</w:t>
      </w:r>
      <w:bookmarkEnd w:id="15654"/>
      <w:bookmarkEnd w:id="15655"/>
      <w:bookmarkEnd w:id="15656"/>
      <w:bookmarkEnd w:id="15657"/>
      <w:bookmarkEnd w:id="15658"/>
    </w:p>
    <w:p w:rsidR="003A5D2C" w:rsidRPr="001A7F8D" w:rsidRDefault="003A5D2C" w:rsidP="009F44AF">
      <w:pPr>
        <w:pStyle w:val="a"/>
        <w:rPr>
          <w:rtl/>
        </w:rPr>
      </w:pPr>
      <w:bookmarkStart w:id="15659" w:name="_Ref25571128"/>
      <w:r>
        <w:rPr>
          <w:rFonts w:hint="cs"/>
          <w:rtl/>
        </w:rPr>
        <w:t xml:space="preserve">אך הקשה </w:t>
      </w:r>
      <w:r>
        <w:rPr>
          <w:rStyle w:val="af8"/>
          <w:rFonts w:hint="cs"/>
          <w:rtl/>
        </w:rPr>
        <w:t>ב</w:t>
      </w:r>
      <w:r w:rsidRPr="00281A57">
        <w:rPr>
          <w:rStyle w:val="af8"/>
          <w:rFonts w:hint="cs"/>
          <w:rtl/>
        </w:rPr>
        <w:t>קוב"ש</w:t>
      </w:r>
      <w:r>
        <w:rPr>
          <w:rFonts w:hint="cs"/>
          <w:rtl/>
        </w:rPr>
        <w:t xml:space="preserve"> </w:t>
      </w:r>
      <w:r w:rsidRPr="00B3465B">
        <w:rPr>
          <w:rStyle w:val="af6"/>
          <w:rFonts w:eastAsia="Guttman Hodes" w:hint="cs"/>
          <w:rtl/>
        </w:rPr>
        <w:t>(ח"ב קובץ שמועות חולין או' ל"ז, ח"ב קובץ ביאורים בכורות או' ד')</w:t>
      </w:r>
      <w:r>
        <w:rPr>
          <w:rFonts w:hint="cs"/>
          <w:rtl/>
        </w:rPr>
        <w:t xml:space="preserve"> </w:t>
      </w:r>
      <w:r w:rsidRPr="00B3465B">
        <w:rPr>
          <w:rStyle w:val="af8"/>
          <w:rFonts w:hint="cs"/>
          <w:rtl/>
        </w:rPr>
        <w:t>ובקוה"ע</w:t>
      </w:r>
      <w:r>
        <w:rPr>
          <w:rFonts w:hint="cs"/>
          <w:rtl/>
        </w:rPr>
        <w:t xml:space="preserve"> </w:t>
      </w:r>
      <w:r w:rsidRPr="00B3465B">
        <w:rPr>
          <w:rStyle w:val="af6"/>
          <w:rFonts w:eastAsia="Guttman Hodes" w:hint="cs"/>
          <w:rtl/>
        </w:rPr>
        <w:t>(סי' ס' ה')</w:t>
      </w:r>
      <w:r>
        <w:rPr>
          <w:rFonts w:hint="cs"/>
          <w:rtl/>
        </w:rPr>
        <w:t xml:space="preserve"> דכ"מ שכתבו  </w:t>
      </w:r>
      <w:r w:rsidRPr="005D4574">
        <w:rPr>
          <w:rStyle w:val="af8"/>
          <w:rFonts w:hint="cs"/>
          <w:rtl/>
        </w:rPr>
        <w:t>התוס' בבכורות</w:t>
      </w:r>
      <w:r>
        <w:rPr>
          <w:rFonts w:hint="cs"/>
          <w:rtl/>
        </w:rPr>
        <w:t xml:space="preserve"> </w:t>
      </w:r>
      <w:r w:rsidRPr="00B3465B">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Ref25522241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Pr>
          <w:rStyle w:val="af6"/>
          <w:rFonts w:eastAsia="Guttman Hodes"/>
          <w:rtl/>
        </w:rPr>
        <w:fldChar w:fldCharType="end"/>
      </w:r>
      <w:r w:rsidRPr="00B3465B">
        <w:rPr>
          <w:rStyle w:val="af6"/>
          <w:rFonts w:eastAsia="Guttman Hodes" w:hint="cs"/>
          <w:rtl/>
        </w:rPr>
        <w:t xml:space="preserve"> </w:t>
      </w:r>
      <w:r>
        <w:rPr>
          <w:rFonts w:hint="cs"/>
          <w:rtl/>
        </w:rPr>
        <w:t xml:space="preserve">דבאיסור כל משהו שבולע מתבטל ברוב </w:t>
      </w:r>
      <w:r w:rsidRPr="001A7F8D">
        <w:rPr>
          <w:rFonts w:hint="cs"/>
          <w:rtl/>
        </w:rPr>
        <w:t xml:space="preserve">דקמא קמא בטיל, שייך רק בתערובת יבש ביבש, שאוכל בזה אחר זה, אבל בלח בלח לא שייך לומר כן דהא בכל משהו מעורב </w:t>
      </w:r>
      <w:r>
        <w:rPr>
          <w:rFonts w:hint="cs"/>
          <w:rtl/>
        </w:rPr>
        <w:t xml:space="preserve">איסור, </w:t>
      </w:r>
      <w:r w:rsidRPr="001A7F8D">
        <w:rPr>
          <w:rStyle w:val="afa"/>
          <w:rFonts w:hint="cs"/>
          <w:rtl/>
        </w:rPr>
        <w:t xml:space="preserve">[ועוד הקשה </w:t>
      </w:r>
      <w:r w:rsidRPr="001A7F8D">
        <w:rPr>
          <w:rStyle w:val="affa"/>
          <w:rFonts w:hint="cs"/>
          <w:rtl/>
        </w:rPr>
        <w:t>הקוב"ש</w:t>
      </w:r>
      <w:r w:rsidRPr="001A7F8D">
        <w:rPr>
          <w:rStyle w:val="afa"/>
          <w:rFonts w:hint="cs"/>
          <w:rtl/>
        </w:rPr>
        <w:t xml:space="preserve"> </w:t>
      </w:r>
      <w:r w:rsidRPr="00B3465B">
        <w:rPr>
          <w:rStyle w:val="af6"/>
          <w:rFonts w:eastAsia="Guttman Hodes" w:hint="cs"/>
          <w:rtl/>
        </w:rPr>
        <w:t xml:space="preserve">(ח"ב קובץ ביאורים בכורות ד') </w:t>
      </w:r>
      <w:r w:rsidRPr="001A7F8D">
        <w:rPr>
          <w:rStyle w:val="afa"/>
          <w:rFonts w:hint="cs"/>
          <w:rtl/>
        </w:rPr>
        <w:t xml:space="preserve">דלדעת </w:t>
      </w:r>
      <w:r w:rsidRPr="001A7F8D">
        <w:rPr>
          <w:rStyle w:val="affa"/>
          <w:rFonts w:hint="cs"/>
          <w:rtl/>
        </w:rPr>
        <w:t>הרשב</w:t>
      </w:r>
      <w:r w:rsidRPr="001A7F8D">
        <w:rPr>
          <w:rStyle w:val="affa"/>
          <w:rtl/>
        </w:rPr>
        <w:t>"</w:t>
      </w:r>
      <w:r w:rsidRPr="001A7F8D">
        <w:rPr>
          <w:rStyle w:val="affa"/>
          <w:rFonts w:hint="cs"/>
          <w:rtl/>
        </w:rPr>
        <w:t>א</w:t>
      </w:r>
      <w:r w:rsidRPr="001A7F8D">
        <w:rPr>
          <w:rStyle w:val="afa"/>
          <w:rFonts w:hint="cs"/>
          <w:rtl/>
        </w:rPr>
        <w:t xml:space="preserve"> </w:t>
      </w:r>
      <w:r w:rsidRPr="00F84C13">
        <w:rPr>
          <w:rStyle w:val="aff6"/>
          <w:rFonts w:hint="cs"/>
          <w:rtl/>
        </w:rPr>
        <w:t>(עי</w:t>
      </w:r>
      <w:r w:rsidRPr="00F84C13">
        <w:rPr>
          <w:rStyle w:val="aff6"/>
          <w:rtl/>
        </w:rPr>
        <w:t>'</w:t>
      </w:r>
      <w:r w:rsidRPr="00F84C13">
        <w:rPr>
          <w:rStyle w:val="aff6"/>
          <w:rFonts w:hint="cs"/>
          <w:rtl/>
        </w:rPr>
        <w:t xml:space="preserve"> אות </w:t>
      </w:r>
      <w:r w:rsidRPr="00F84C13">
        <w:rPr>
          <w:rStyle w:val="aff6"/>
          <w:rFonts w:hint="cs"/>
          <w:cs/>
        </w:rPr>
        <w:t>‎</w:t>
      </w:r>
      <w:r w:rsidRPr="00F84C13">
        <w:rPr>
          <w:rStyle w:val="aff6"/>
          <w:rtl/>
        </w:rPr>
        <w:fldChar w:fldCharType="begin"/>
      </w:r>
      <w:r w:rsidRPr="00F84C13">
        <w:rPr>
          <w:rStyle w:val="aff6"/>
          <w:rtl/>
        </w:rPr>
        <w:instrText xml:space="preserve"> </w:instrText>
      </w:r>
      <w:r w:rsidRPr="00F84C13">
        <w:rPr>
          <w:rStyle w:val="aff6"/>
          <w:rFonts w:hint="cs"/>
        </w:rPr>
        <w:instrText>REF</w:instrText>
      </w:r>
      <w:r w:rsidRPr="00F84C13">
        <w:rPr>
          <w:rStyle w:val="aff6"/>
          <w:rFonts w:hint="cs"/>
          <w:rtl/>
        </w:rPr>
        <w:instrText xml:space="preserve"> _</w:instrText>
      </w:r>
      <w:r w:rsidRPr="00F84C13">
        <w:rPr>
          <w:rStyle w:val="aff6"/>
          <w:rFonts w:hint="cs"/>
        </w:rPr>
        <w:instrText>Ref24902820 \r \h</w:instrText>
      </w:r>
      <w:r w:rsidRPr="00F84C13">
        <w:rPr>
          <w:rStyle w:val="aff6"/>
          <w:rtl/>
        </w:rPr>
        <w:instrText xml:space="preserve"> </w:instrText>
      </w:r>
      <w:r w:rsidRPr="00F84C13">
        <w:rPr>
          <w:rStyle w:val="aff6"/>
          <w:rtl/>
        </w:rPr>
      </w:r>
      <w:r w:rsidRPr="00F84C13">
        <w:rPr>
          <w:rStyle w:val="aff6"/>
          <w:rtl/>
        </w:rPr>
        <w:fldChar w:fldCharType="separate"/>
      </w:r>
      <w:r w:rsidR="004D1C5B">
        <w:rPr>
          <w:rStyle w:val="aff6"/>
          <w:cs/>
        </w:rPr>
        <w:t>‎</w:t>
      </w:r>
      <w:r w:rsidR="004D1C5B">
        <w:rPr>
          <w:rStyle w:val="aff6"/>
          <w:rtl/>
        </w:rPr>
        <w:t>קט)</w:t>
      </w:r>
      <w:r w:rsidRPr="00F84C13">
        <w:rPr>
          <w:rStyle w:val="aff6"/>
          <w:rtl/>
        </w:rPr>
        <w:fldChar w:fldCharType="end"/>
      </w:r>
      <w:r w:rsidRPr="00B3465B">
        <w:rPr>
          <w:rStyle w:val="af6"/>
          <w:rFonts w:eastAsia="Guttman Adii-Light" w:hint="cs"/>
          <w:rtl/>
        </w:rPr>
        <w:t xml:space="preserve"> </w:t>
      </w:r>
      <w:r w:rsidRPr="001A7F8D">
        <w:rPr>
          <w:rStyle w:val="afa"/>
          <w:rFonts w:hint="cs"/>
          <w:rtl/>
        </w:rPr>
        <w:t>שאוסר לאכול את כל התערובת בבת אחת, א"כ בכל לח בלח הוא אוכל בבת אחת]</w:t>
      </w:r>
      <w:r>
        <w:rPr>
          <w:rStyle w:val="afa"/>
          <w:rFonts w:hint="cs"/>
          <w:rtl/>
        </w:rPr>
        <w:t xml:space="preserve">, </w:t>
      </w:r>
      <w:r w:rsidRPr="002B654F">
        <w:rPr>
          <w:rFonts w:hint="cs"/>
          <w:rtl/>
        </w:rPr>
        <w:t xml:space="preserve">וכעי"ז הקשה </w:t>
      </w:r>
      <w:r w:rsidRPr="002B654F">
        <w:rPr>
          <w:rStyle w:val="af8"/>
          <w:rFonts w:hint="cs"/>
          <w:rtl/>
        </w:rPr>
        <w:t>הקה"י</w:t>
      </w:r>
      <w:r w:rsidRPr="002B654F">
        <w:rPr>
          <w:rFonts w:hint="cs"/>
          <w:rtl/>
        </w:rPr>
        <w:t xml:space="preserve"> </w:t>
      </w:r>
      <w:r w:rsidRPr="002B654F">
        <w:rPr>
          <w:rStyle w:val="af6"/>
          <w:rFonts w:eastAsia="Guttman Hodes" w:hint="cs"/>
          <w:rtl/>
        </w:rPr>
        <w:t xml:space="preserve">(עי' אות </w:t>
      </w:r>
      <w:r w:rsidRPr="002B654F">
        <w:rPr>
          <w:rStyle w:val="af6"/>
          <w:rFonts w:eastAsia="Guttman Hodes"/>
          <w:rtl/>
        </w:rPr>
        <w:fldChar w:fldCharType="begin"/>
      </w:r>
      <w:r w:rsidRPr="002B654F">
        <w:rPr>
          <w:rStyle w:val="af6"/>
          <w:rFonts w:eastAsia="Guttman Hodes"/>
          <w:rtl/>
        </w:rPr>
        <w:instrText xml:space="preserve"> </w:instrText>
      </w:r>
      <w:r w:rsidRPr="002B654F">
        <w:rPr>
          <w:rStyle w:val="af6"/>
          <w:rFonts w:eastAsia="Guttman Hodes" w:hint="cs"/>
        </w:rPr>
        <w:instrText>REF</w:instrText>
      </w:r>
      <w:r w:rsidRPr="002B654F">
        <w:rPr>
          <w:rStyle w:val="af6"/>
          <w:rFonts w:eastAsia="Guttman Hodes" w:hint="cs"/>
          <w:rtl/>
        </w:rPr>
        <w:instrText xml:space="preserve"> _</w:instrText>
      </w:r>
      <w:r w:rsidRPr="002B654F">
        <w:rPr>
          <w:rStyle w:val="af6"/>
          <w:rFonts w:eastAsia="Guttman Hodes" w:hint="cs"/>
        </w:rPr>
        <w:instrText>Ref25571107 \r \h</w:instrText>
      </w:r>
      <w:r w:rsidRPr="002B654F">
        <w:rPr>
          <w:rStyle w:val="af6"/>
          <w:rFonts w:eastAsia="Guttman Hodes"/>
          <w:rtl/>
        </w:rPr>
        <w:instrText xml:space="preserve"> </w:instrText>
      </w:r>
      <w:r w:rsidRPr="002B654F">
        <w:rPr>
          <w:rStyle w:val="af6"/>
          <w:rFonts w:eastAsia="Guttman Hodes"/>
          <w:rtl/>
        </w:rPr>
      </w:r>
      <w:r w:rsidRPr="002B654F">
        <w:rPr>
          <w:rStyle w:val="af6"/>
          <w:rFonts w:eastAsia="Guttman Hodes"/>
          <w:rtl/>
        </w:rPr>
        <w:fldChar w:fldCharType="separate"/>
      </w:r>
      <w:r w:rsidR="004D1C5B">
        <w:rPr>
          <w:rStyle w:val="af6"/>
          <w:rFonts w:eastAsia="Guttman Hodes"/>
          <w:cs/>
        </w:rPr>
        <w:t>‎</w:t>
      </w:r>
      <w:r w:rsidR="004D1C5B">
        <w:rPr>
          <w:rStyle w:val="af6"/>
          <w:rFonts w:eastAsia="Guttman Hodes"/>
          <w:rtl/>
        </w:rPr>
        <w:t>קכד)</w:t>
      </w:r>
      <w:r w:rsidRPr="002B654F">
        <w:rPr>
          <w:rStyle w:val="af6"/>
          <w:rFonts w:eastAsia="Guttman Hodes"/>
          <w:rtl/>
        </w:rPr>
        <w:fldChar w:fldCharType="end"/>
      </w:r>
      <w:r w:rsidRPr="002B654F">
        <w:rPr>
          <w:rFonts w:hint="cs"/>
          <w:rtl/>
        </w:rPr>
        <w:t>.</w:t>
      </w:r>
      <w:bookmarkEnd w:id="15659"/>
      <w:r w:rsidRPr="002B654F">
        <w:rPr>
          <w:rFonts w:hint="cs"/>
          <w:rtl/>
        </w:rPr>
        <w:t xml:space="preserve"> </w:t>
      </w:r>
    </w:p>
    <w:p w:rsidR="003A5D2C" w:rsidRPr="001A7F8D" w:rsidRDefault="003A5D2C" w:rsidP="003A5D2C">
      <w:pPr>
        <w:pStyle w:val="a2"/>
        <w:rPr>
          <w:rtl/>
        </w:rPr>
      </w:pPr>
      <w:bookmarkStart w:id="15660" w:name="_Toc25524726"/>
      <w:bookmarkStart w:id="15661" w:name="_Toc25536245"/>
      <w:bookmarkStart w:id="15662" w:name="_Toc25571309"/>
      <w:bookmarkStart w:id="15663" w:name="_Toc25572791"/>
      <w:bookmarkStart w:id="15664" w:name="_Toc25573033"/>
      <w:r>
        <w:rPr>
          <w:rFonts w:hint="cs"/>
          <w:rtl/>
        </w:rPr>
        <w:t>דברי הקוה"ע דמבואר בתוס' בבכורות דס"ל כמהר"י קורקוס דהביטול בלח יותר מהביטול ביבש</w:t>
      </w:r>
      <w:bookmarkEnd w:id="15660"/>
      <w:bookmarkEnd w:id="15661"/>
      <w:bookmarkEnd w:id="15662"/>
      <w:bookmarkEnd w:id="15663"/>
      <w:bookmarkEnd w:id="15664"/>
    </w:p>
    <w:p w:rsidR="003A5D2C" w:rsidRDefault="003A5D2C" w:rsidP="009F44AF">
      <w:pPr>
        <w:pStyle w:val="a"/>
        <w:rPr>
          <w:rStyle w:val="afa"/>
          <w:rtl/>
        </w:rPr>
      </w:pPr>
      <w:bookmarkStart w:id="15665" w:name="_Ref25514064"/>
      <w:r w:rsidRPr="001A7F8D">
        <w:rPr>
          <w:rFonts w:hint="cs"/>
          <w:rtl/>
        </w:rPr>
        <w:t xml:space="preserve">אלא ביאר </w:t>
      </w:r>
      <w:r>
        <w:rPr>
          <w:rStyle w:val="af8"/>
          <w:rFonts w:hint="cs"/>
          <w:rtl/>
        </w:rPr>
        <w:t>ב</w:t>
      </w:r>
      <w:r w:rsidRPr="001A7F8D">
        <w:rPr>
          <w:rStyle w:val="af8"/>
          <w:rFonts w:hint="cs"/>
          <w:rtl/>
        </w:rPr>
        <w:t>קוב"ש</w:t>
      </w:r>
      <w:r w:rsidRPr="001A7F8D">
        <w:rPr>
          <w:rFonts w:hint="cs"/>
          <w:rtl/>
        </w:rPr>
        <w:t xml:space="preserve"> </w:t>
      </w:r>
      <w:r w:rsidRPr="001A7F8D">
        <w:rPr>
          <w:rStyle w:val="af6"/>
          <w:rFonts w:eastAsia="Guttman Hodes" w:hint="cs"/>
          <w:rtl/>
        </w:rPr>
        <w:t>(ח"ב קובץ ביאורים בכורות ד')</w:t>
      </w:r>
      <w:r w:rsidRPr="001A7F8D">
        <w:rPr>
          <w:rFonts w:hint="cs"/>
          <w:rtl/>
        </w:rPr>
        <w:t xml:space="preserve"> </w:t>
      </w:r>
      <w:r w:rsidRPr="00B3465B">
        <w:rPr>
          <w:rStyle w:val="af8"/>
          <w:rFonts w:hint="cs"/>
          <w:rtl/>
        </w:rPr>
        <w:t>ובקוה"ע</w:t>
      </w:r>
      <w:r>
        <w:rPr>
          <w:rFonts w:hint="cs"/>
          <w:rtl/>
        </w:rPr>
        <w:t xml:space="preserve"> </w:t>
      </w:r>
      <w:r w:rsidRPr="00B3465B">
        <w:rPr>
          <w:rStyle w:val="af6"/>
          <w:rFonts w:eastAsia="Guttman Hodes" w:hint="cs"/>
          <w:rtl/>
        </w:rPr>
        <w:t>(סי' ס' ה')</w:t>
      </w:r>
      <w:r>
        <w:rPr>
          <w:rFonts w:hint="cs"/>
          <w:rtl/>
        </w:rPr>
        <w:t xml:space="preserve"> דס"ל </w:t>
      </w:r>
      <w:r>
        <w:rPr>
          <w:rStyle w:val="af8"/>
          <w:rFonts w:hint="cs"/>
          <w:rtl/>
        </w:rPr>
        <w:t>ל</w:t>
      </w:r>
      <w:r w:rsidRPr="005D4574">
        <w:rPr>
          <w:rStyle w:val="af8"/>
          <w:rFonts w:hint="cs"/>
          <w:rtl/>
        </w:rPr>
        <w:t>התוס' בבכורות</w:t>
      </w:r>
      <w:r>
        <w:rPr>
          <w:rFonts w:hint="cs"/>
          <w:rtl/>
        </w:rPr>
        <w:t xml:space="preserve"> </w:t>
      </w:r>
      <w:r w:rsidRPr="001A7F8D">
        <w:rPr>
          <w:rFonts w:hint="cs"/>
          <w:rtl/>
        </w:rPr>
        <w:t>דבלח בלח הוא ביטול במציאות</w:t>
      </w:r>
      <w:r w:rsidRPr="006374FB">
        <w:rPr>
          <w:rFonts w:hint="cs"/>
          <w:rtl/>
        </w:rPr>
        <w:t xml:space="preserve">, וחשיב שהאיסור כמאן דליתא כלל, </w:t>
      </w:r>
      <w:r>
        <w:rPr>
          <w:rFonts w:hint="cs"/>
          <w:rtl/>
        </w:rPr>
        <w:t xml:space="preserve">וכדעת </w:t>
      </w:r>
      <w:r w:rsidRPr="002B61CD">
        <w:rPr>
          <w:rStyle w:val="af8"/>
          <w:rFonts w:hint="cs"/>
          <w:rtl/>
        </w:rPr>
        <w:t>המהר"י קורקוס</w:t>
      </w:r>
      <w:r w:rsidRPr="006374FB">
        <w:rPr>
          <w:rFonts w:hint="cs"/>
          <w:rtl/>
        </w:rPr>
        <w:t xml:space="preserve"> </w:t>
      </w:r>
      <w:r w:rsidRPr="00465B44">
        <w:rPr>
          <w:rStyle w:val="af6"/>
          <w:rFonts w:eastAsia="Guttman Hodes" w:hint="cs"/>
          <w:rtl/>
        </w:rPr>
        <w:t xml:space="preserve">(עי' אות </w:t>
      </w:r>
      <w:r w:rsidRPr="00465B44">
        <w:rPr>
          <w:rStyle w:val="af6"/>
          <w:rFonts w:eastAsia="Guttman Hodes"/>
          <w:rtl/>
        </w:rPr>
        <w:fldChar w:fldCharType="begin"/>
      </w:r>
      <w:r w:rsidRPr="00465B44">
        <w:rPr>
          <w:rStyle w:val="af6"/>
          <w:rFonts w:eastAsia="Guttman Hodes"/>
          <w:rtl/>
        </w:rPr>
        <w:instrText xml:space="preserve"> </w:instrText>
      </w:r>
      <w:r w:rsidRPr="00465B44">
        <w:rPr>
          <w:rStyle w:val="af6"/>
          <w:rFonts w:eastAsia="Guttman Hodes" w:hint="cs"/>
        </w:rPr>
        <w:instrText>REF</w:instrText>
      </w:r>
      <w:r w:rsidRPr="00465B44">
        <w:rPr>
          <w:rStyle w:val="af6"/>
          <w:rFonts w:eastAsia="Guttman Hodes" w:hint="cs"/>
          <w:rtl/>
        </w:rPr>
        <w:instrText xml:space="preserve"> _</w:instrText>
      </w:r>
      <w:r w:rsidRPr="00465B44">
        <w:rPr>
          <w:rStyle w:val="af6"/>
          <w:rFonts w:eastAsia="Guttman Hodes" w:hint="cs"/>
        </w:rPr>
        <w:instrText>Ref25513959 \r \h</w:instrText>
      </w:r>
      <w:r w:rsidRPr="00465B44">
        <w:rPr>
          <w:rStyle w:val="af6"/>
          <w:rFonts w:eastAsia="Guttman Hodes"/>
          <w:rtl/>
        </w:rPr>
        <w:instrText xml:space="preserve"> </w:instrText>
      </w:r>
      <w:r w:rsidRPr="00465B44">
        <w:rPr>
          <w:rStyle w:val="af6"/>
          <w:rFonts w:eastAsia="Guttman Hodes"/>
          <w:rtl/>
        </w:rPr>
      </w:r>
      <w:r w:rsidRPr="00465B44">
        <w:rPr>
          <w:rStyle w:val="af6"/>
          <w:rFonts w:eastAsia="Guttman Hodes"/>
          <w:rtl/>
        </w:rPr>
        <w:fldChar w:fldCharType="separate"/>
      </w:r>
      <w:r w:rsidR="004D1C5B">
        <w:rPr>
          <w:rStyle w:val="af6"/>
          <w:rFonts w:eastAsia="Guttman Hodes"/>
          <w:cs/>
        </w:rPr>
        <w:t>‎</w:t>
      </w:r>
      <w:r w:rsidR="004D1C5B">
        <w:rPr>
          <w:rStyle w:val="af6"/>
          <w:rFonts w:eastAsia="Guttman Hodes"/>
          <w:rtl/>
        </w:rPr>
        <w:t>צט)</w:t>
      </w:r>
      <w:r w:rsidRPr="00465B44">
        <w:rPr>
          <w:rStyle w:val="af6"/>
          <w:rFonts w:eastAsia="Guttman Hodes"/>
          <w:rtl/>
        </w:rPr>
        <w:fldChar w:fldCharType="end"/>
      </w:r>
      <w:r>
        <w:rPr>
          <w:rFonts w:hint="cs"/>
          <w:rtl/>
        </w:rPr>
        <w:t xml:space="preserve"> דבלח בלח מהני ביטול ברוב אף לענין טומאת משא, בנושא בזה אחר זה, ומוכח דהביטול בלח, הוא יותר מבטל מהביטול ביבש. </w:t>
      </w:r>
      <w:r w:rsidRPr="0041424B">
        <w:rPr>
          <w:rStyle w:val="afa"/>
          <w:rFonts w:hint="cs"/>
          <w:rtl/>
        </w:rPr>
        <w:t>[</w:t>
      </w:r>
      <w:r>
        <w:rPr>
          <w:rStyle w:val="afa"/>
          <w:rFonts w:hint="cs"/>
          <w:rtl/>
        </w:rPr>
        <w:t xml:space="preserve">והיינו דביבש הוצרכו </w:t>
      </w:r>
      <w:r w:rsidRPr="00DB249D">
        <w:rPr>
          <w:rStyle w:val="affa"/>
          <w:rFonts w:hint="cs"/>
          <w:rtl/>
        </w:rPr>
        <w:t>התוס' בבכורות</w:t>
      </w:r>
      <w:r>
        <w:rPr>
          <w:rStyle w:val="afa"/>
          <w:rFonts w:hint="cs"/>
          <w:rtl/>
        </w:rPr>
        <w:t xml:space="preserve"> לתרץ דכל משהו בטל כשבולעו ומהני ביטול מדין קמא קמא בטיל, אבל בלח א"צ לתרץ כן, דהוא ביטל במציאות. </w:t>
      </w:r>
      <w:r w:rsidRPr="0041424B">
        <w:rPr>
          <w:rStyle w:val="afa"/>
          <w:rFonts w:hint="cs"/>
          <w:rtl/>
        </w:rPr>
        <w:t xml:space="preserve">ועיי"ש בדברי </w:t>
      </w:r>
      <w:r w:rsidRPr="0041424B">
        <w:rPr>
          <w:rStyle w:val="affa"/>
          <w:rFonts w:hint="cs"/>
          <w:rtl/>
        </w:rPr>
        <w:t>הקוה"ע</w:t>
      </w:r>
      <w:r w:rsidRPr="0041424B">
        <w:rPr>
          <w:rStyle w:val="afa"/>
          <w:rFonts w:hint="cs"/>
          <w:rtl/>
        </w:rPr>
        <w:t xml:space="preserve"> במה שהקשה על </w:t>
      </w:r>
      <w:r w:rsidRPr="0041424B">
        <w:rPr>
          <w:rStyle w:val="affa"/>
          <w:rFonts w:hint="cs"/>
          <w:rtl/>
        </w:rPr>
        <w:t>התוס' בבכורות</w:t>
      </w:r>
      <w:r w:rsidRPr="0041424B">
        <w:rPr>
          <w:rStyle w:val="afa"/>
          <w:rFonts w:hint="cs"/>
          <w:rtl/>
        </w:rPr>
        <w:t xml:space="preserve"> בביאור דעת רבי יהודה במין במינו</w:t>
      </w:r>
      <w:r>
        <w:rPr>
          <w:rStyle w:val="afa"/>
          <w:rFonts w:hint="cs"/>
          <w:rtl/>
        </w:rPr>
        <w:t>]</w:t>
      </w:r>
      <w:r w:rsidRPr="0041424B">
        <w:rPr>
          <w:rStyle w:val="afa"/>
          <w:rFonts w:hint="cs"/>
          <w:rtl/>
        </w:rPr>
        <w:t>.</w:t>
      </w:r>
      <w:bookmarkEnd w:id="15665"/>
    </w:p>
    <w:p w:rsidR="003A5D2C" w:rsidRPr="003C11B5" w:rsidRDefault="003A5D2C" w:rsidP="003A5D2C">
      <w:pPr>
        <w:pStyle w:val="a2"/>
      </w:pPr>
      <w:bookmarkStart w:id="15666" w:name="_Toc25524727"/>
      <w:bookmarkStart w:id="15667" w:name="_Toc25536246"/>
      <w:bookmarkStart w:id="15668" w:name="_Toc25571310"/>
      <w:bookmarkStart w:id="15669" w:name="_Toc25572792"/>
      <w:bookmarkStart w:id="15670" w:name="_Toc25573034"/>
      <w:r>
        <w:rPr>
          <w:rFonts w:hint="cs"/>
          <w:rtl/>
        </w:rPr>
        <w:t>קושית הקוב"ש דא"כ בלח דבטל במציאות אין היתר דקמא קמא בטיל ובנוסף איסור חוזר וניעור</w:t>
      </w:r>
      <w:bookmarkEnd w:id="15666"/>
      <w:bookmarkEnd w:id="15667"/>
      <w:bookmarkEnd w:id="15668"/>
      <w:bookmarkEnd w:id="15669"/>
      <w:bookmarkEnd w:id="15670"/>
    </w:p>
    <w:p w:rsidR="003A5D2C" w:rsidRDefault="003A5D2C" w:rsidP="009F44AF">
      <w:pPr>
        <w:pStyle w:val="a"/>
        <w:rPr>
          <w:rtl/>
        </w:rPr>
      </w:pPr>
      <w:r>
        <w:rPr>
          <w:rFonts w:hint="cs"/>
          <w:rtl/>
        </w:rPr>
        <w:t xml:space="preserve">אך הקשה </w:t>
      </w:r>
      <w:r w:rsidRPr="001A7F8D">
        <w:rPr>
          <w:rStyle w:val="af8"/>
          <w:rFonts w:hint="cs"/>
          <w:rtl/>
        </w:rPr>
        <w:t>הקוב"ש</w:t>
      </w:r>
      <w:r w:rsidRPr="001A7F8D">
        <w:rPr>
          <w:rFonts w:hint="cs"/>
          <w:rtl/>
        </w:rPr>
        <w:t xml:space="preserve"> </w:t>
      </w:r>
      <w:r w:rsidRPr="001A7F8D">
        <w:rPr>
          <w:rStyle w:val="af6"/>
          <w:rFonts w:eastAsia="Guttman Hodes" w:hint="cs"/>
          <w:rtl/>
        </w:rPr>
        <w:t>(ח"ב קובץ ביאורים בכורות ד')</w:t>
      </w:r>
      <w:r w:rsidRPr="001A7F8D">
        <w:rPr>
          <w:rFonts w:hint="cs"/>
          <w:rtl/>
        </w:rPr>
        <w:t xml:space="preserve"> </w:t>
      </w:r>
      <w:r>
        <w:rPr>
          <w:rFonts w:hint="cs"/>
          <w:rtl/>
        </w:rPr>
        <w:t>דאי הביאור בביטול בלח בלח, דהאיסור בטל במציאות, א"כ לא שייך לומר בלח קמא קמא בטיל, כיון שבמציאות הוא אוכל את ההיתר והאיסור יחד, ולגבי אכילת ודאי איסור לא מהני הביטול להפוך את האיסור להיתר, וכדמוכח מטומאת משא דהאיסור לא נהפך להיתר, וא"כ כל ההיתר באכילה בלח הוא כ"ז שהאיסור בטל במציאות, וחשיב שלא היה איסור בתערובת כלל, אבל הביטול לא התיר את האיסור עצמו כלל, וא"כ בנוסף עוד איסור עד שיש רוב מהאיסור, הוא חוזר וניעור וצריך להאסר באכילה, כיון שמעורב בו איסור, שלא הותר ע"י הביטול, עיי"ש בדברי</w:t>
      </w:r>
      <w:r w:rsidRPr="003C11B5">
        <w:rPr>
          <w:rStyle w:val="af8"/>
          <w:rFonts w:hint="cs"/>
          <w:rtl/>
        </w:rPr>
        <w:t xml:space="preserve"> </w:t>
      </w:r>
      <w:r w:rsidRPr="001A7F8D">
        <w:rPr>
          <w:rStyle w:val="af8"/>
          <w:rFonts w:hint="cs"/>
          <w:rtl/>
        </w:rPr>
        <w:t>הקוב"ש</w:t>
      </w:r>
      <w:r>
        <w:rPr>
          <w:rFonts w:hint="cs"/>
          <w:rtl/>
        </w:rPr>
        <w:t>.</w:t>
      </w:r>
    </w:p>
    <w:p w:rsidR="003A5D2C" w:rsidRPr="00643964" w:rsidRDefault="003A5D2C" w:rsidP="003A5D2C">
      <w:pPr>
        <w:pStyle w:val="1"/>
        <w:rPr>
          <w:rtl/>
        </w:rPr>
      </w:pPr>
      <w:bookmarkStart w:id="15671" w:name="_Toc25317271"/>
      <w:bookmarkStart w:id="15672" w:name="_Toc25488245"/>
      <w:bookmarkStart w:id="15673" w:name="_Toc25524696"/>
      <w:bookmarkStart w:id="15674" w:name="_Toc25536247"/>
      <w:bookmarkStart w:id="15675" w:name="_Toc25571311"/>
      <w:bookmarkStart w:id="15676" w:name="_Toc25572793"/>
      <w:bookmarkStart w:id="15677" w:name="_Toc25573035"/>
      <w:bookmarkStart w:id="15678" w:name="_Toc25524728"/>
      <w:r>
        <w:rPr>
          <w:rFonts w:hint="cs"/>
          <w:rtl/>
        </w:rPr>
        <w:t xml:space="preserve">דברי </w:t>
      </w:r>
      <w:r w:rsidRPr="00643964">
        <w:rPr>
          <w:rFonts w:hint="cs"/>
          <w:rtl/>
        </w:rPr>
        <w:t>השער"י בפלוגתת התוס' והרמב"ם והרא"ש במשא</w:t>
      </w:r>
      <w:bookmarkEnd w:id="15671"/>
      <w:bookmarkEnd w:id="15672"/>
      <w:bookmarkEnd w:id="15673"/>
      <w:r>
        <w:rPr>
          <w:rFonts w:hint="cs"/>
          <w:rtl/>
        </w:rPr>
        <w:t xml:space="preserve"> מדאו'</w:t>
      </w:r>
      <w:bookmarkEnd w:id="15674"/>
      <w:bookmarkEnd w:id="15675"/>
      <w:bookmarkEnd w:id="15676"/>
      <w:bookmarkEnd w:id="15677"/>
    </w:p>
    <w:p w:rsidR="003A5D2C" w:rsidRPr="00643964" w:rsidRDefault="003A5D2C" w:rsidP="003A5D2C">
      <w:pPr>
        <w:pStyle w:val="a2"/>
        <w:rPr>
          <w:rtl/>
        </w:rPr>
      </w:pPr>
      <w:bookmarkStart w:id="15679" w:name="_Toc25536248"/>
      <w:bookmarkStart w:id="15680" w:name="_Toc25571312"/>
      <w:bookmarkStart w:id="15681" w:name="_Toc25572794"/>
      <w:bookmarkStart w:id="15682" w:name="_Toc25573036"/>
      <w:r>
        <w:rPr>
          <w:rFonts w:hint="cs"/>
          <w:rtl/>
        </w:rPr>
        <w:t>דברי השער"י דלהתוס' בבכורות ביבש שנגע בב"א טמא כמשא ובבזאח"ז טהור אף במשא</w:t>
      </w:r>
      <w:bookmarkEnd w:id="15679"/>
      <w:bookmarkEnd w:id="15680"/>
      <w:bookmarkEnd w:id="15681"/>
      <w:bookmarkEnd w:id="15682"/>
    </w:p>
    <w:p w:rsidR="003A5D2C" w:rsidRDefault="003A5D2C" w:rsidP="009F44AF">
      <w:pPr>
        <w:pStyle w:val="a"/>
        <w:rPr>
          <w:rtl/>
        </w:rPr>
      </w:pPr>
      <w:r w:rsidRPr="00643964">
        <w:rPr>
          <w:rFonts w:hint="cs"/>
          <w:rtl/>
        </w:rPr>
        <w:t xml:space="preserve">כתב </w:t>
      </w:r>
      <w:r w:rsidRPr="00643964">
        <w:rPr>
          <w:rStyle w:val="af8"/>
          <w:rFonts w:hint="cs"/>
          <w:rtl/>
        </w:rPr>
        <w:t>השער"</w:t>
      </w:r>
      <w:r w:rsidRPr="00C30CCB">
        <w:rPr>
          <w:rStyle w:val="af8"/>
          <w:rFonts w:hint="cs"/>
          <w:rtl/>
        </w:rPr>
        <w:t>י</w:t>
      </w:r>
      <w:r>
        <w:rPr>
          <w:rFonts w:hint="cs"/>
          <w:rtl/>
        </w:rPr>
        <w:t xml:space="preserve"> </w:t>
      </w:r>
      <w:r w:rsidRPr="00643964">
        <w:rPr>
          <w:rStyle w:val="af6"/>
          <w:rFonts w:eastAsia="Guttman Hodes" w:hint="cs"/>
          <w:rtl/>
        </w:rPr>
        <w:t>(ש"ג ריש פ"ח)</w:t>
      </w:r>
      <w:r>
        <w:rPr>
          <w:rFonts w:hint="cs"/>
          <w:rtl/>
        </w:rPr>
        <w:t xml:space="preserve"> דמדברי </w:t>
      </w:r>
      <w:r w:rsidRPr="00C30CCB">
        <w:rPr>
          <w:rStyle w:val="af8"/>
          <w:rFonts w:hint="cs"/>
          <w:rtl/>
        </w:rPr>
        <w:t>התוס' בבכורות</w:t>
      </w:r>
      <w:r>
        <w:rPr>
          <w:rFonts w:hint="cs"/>
          <w:rtl/>
        </w:rPr>
        <w:t xml:space="preserve"> </w:t>
      </w:r>
      <w:r w:rsidRPr="0064396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Ref25477815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כט)</w:t>
      </w:r>
      <w:r>
        <w:rPr>
          <w:rStyle w:val="af6"/>
          <w:rFonts w:eastAsia="Guttman Hodes"/>
          <w:rtl/>
        </w:rPr>
        <w:fldChar w:fldCharType="end"/>
      </w:r>
      <w:r w:rsidRPr="00643964">
        <w:rPr>
          <w:rStyle w:val="af6"/>
          <w:rFonts w:eastAsia="Guttman Hodes" w:hint="cs"/>
          <w:rtl/>
        </w:rPr>
        <w:t xml:space="preserve"> </w:t>
      </w:r>
      <w:r>
        <w:rPr>
          <w:rFonts w:hint="cs"/>
          <w:rtl/>
        </w:rPr>
        <w:t>מבואר דביבש ביבש אם נגע בכל החתיכות בבת אחת, הוא טמא כטומאת משא, ואילו בבזה אחר זה טהור בין במגע ובין במשא.</w:t>
      </w:r>
    </w:p>
    <w:p w:rsidR="003A5D2C" w:rsidRPr="001B3B40" w:rsidRDefault="003A5D2C" w:rsidP="003A5D2C">
      <w:pPr>
        <w:pStyle w:val="a2"/>
        <w:rPr>
          <w:rtl/>
        </w:rPr>
      </w:pPr>
      <w:bookmarkStart w:id="15683" w:name="_Toc25536249"/>
      <w:bookmarkStart w:id="15684" w:name="_Toc25571313"/>
      <w:bookmarkStart w:id="15685" w:name="_Toc25572795"/>
      <w:bookmarkStart w:id="15686" w:name="_Toc25573037"/>
      <w:r>
        <w:rPr>
          <w:rFonts w:hint="cs"/>
          <w:rtl/>
        </w:rPr>
        <w:t>דברי השער"י דלהרא"ש במגע טמא בב"א ובבזאח"ז ובמשא טהור בב"א ובבזאח"ז</w:t>
      </w:r>
      <w:bookmarkEnd w:id="15683"/>
      <w:bookmarkEnd w:id="15684"/>
      <w:bookmarkEnd w:id="15685"/>
      <w:bookmarkEnd w:id="15686"/>
    </w:p>
    <w:p w:rsidR="003A5D2C" w:rsidRDefault="003A5D2C" w:rsidP="004246F5">
      <w:pPr>
        <w:pStyle w:val="a"/>
        <w:rPr>
          <w:rtl/>
        </w:rPr>
      </w:pPr>
      <w:r>
        <w:rPr>
          <w:rFonts w:hint="cs"/>
          <w:rtl/>
        </w:rPr>
        <w:t xml:space="preserve">אבל בדעת </w:t>
      </w:r>
      <w:r w:rsidRPr="00C30CCB">
        <w:rPr>
          <w:rStyle w:val="af8"/>
          <w:rFonts w:hint="cs"/>
          <w:rtl/>
        </w:rPr>
        <w:t>הרא"ש</w:t>
      </w:r>
      <w:r>
        <w:rPr>
          <w:rFonts w:hint="cs"/>
          <w:rtl/>
        </w:rPr>
        <w:t xml:space="preserve"> </w:t>
      </w:r>
      <w:r w:rsidRPr="00643964">
        <w:rPr>
          <w:rStyle w:val="af6"/>
          <w:rFonts w:eastAsia="Guttman Hodes" w:hint="cs"/>
          <w:rtl/>
        </w:rPr>
        <w:t xml:space="preserve">(עי' אות </w:t>
      </w:r>
      <w:r w:rsidRPr="00643964">
        <w:rPr>
          <w:rStyle w:val="af6"/>
          <w:rFonts w:eastAsia="Guttman Hodes"/>
          <w:rtl/>
        </w:rPr>
        <w:fldChar w:fldCharType="begin"/>
      </w:r>
      <w:r w:rsidRPr="00643964">
        <w:rPr>
          <w:rStyle w:val="af6"/>
          <w:rFonts w:eastAsia="Guttman Hodes"/>
          <w:rtl/>
        </w:rPr>
        <w:instrText xml:space="preserve"> </w:instrText>
      </w:r>
      <w:r w:rsidRPr="00643964">
        <w:rPr>
          <w:rStyle w:val="af6"/>
          <w:rFonts w:eastAsia="Guttman Hodes" w:hint="cs"/>
        </w:rPr>
        <w:instrText>REF</w:instrText>
      </w:r>
      <w:r w:rsidRPr="00643964">
        <w:rPr>
          <w:rStyle w:val="af6"/>
          <w:rFonts w:eastAsia="Guttman Hodes" w:hint="cs"/>
          <w:rtl/>
        </w:rPr>
        <w:instrText xml:space="preserve"> _</w:instrText>
      </w:r>
      <w:r w:rsidRPr="00643964">
        <w:rPr>
          <w:rStyle w:val="af6"/>
          <w:rFonts w:eastAsia="Guttman Hodes" w:hint="cs"/>
        </w:rPr>
        <w:instrText>Ref25491847 \r \h</w:instrText>
      </w:r>
      <w:r w:rsidRPr="00643964">
        <w:rPr>
          <w:rStyle w:val="af6"/>
          <w:rFonts w:eastAsia="Guttman Hodes"/>
          <w:rtl/>
        </w:rPr>
        <w:instrText xml:space="preserve"> </w:instrText>
      </w:r>
      <w:r w:rsidRPr="00643964">
        <w:rPr>
          <w:rStyle w:val="af6"/>
          <w:rFonts w:eastAsia="Guttman Hodes"/>
          <w:rtl/>
        </w:rPr>
      </w:r>
      <w:r w:rsidRPr="00643964">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643964">
        <w:rPr>
          <w:rStyle w:val="af6"/>
          <w:rFonts w:eastAsia="Guttman Hodes"/>
          <w:rtl/>
        </w:rPr>
        <w:fldChar w:fldCharType="end"/>
      </w:r>
      <w:r>
        <w:rPr>
          <w:rFonts w:hint="cs"/>
          <w:rtl/>
        </w:rPr>
        <w:t xml:space="preserve"> דכתב דבטומאת מ</w:t>
      </w:r>
      <w:r w:rsidR="004246F5">
        <w:rPr>
          <w:rFonts w:hint="cs"/>
          <w:rtl/>
        </w:rPr>
        <w:t>ש</w:t>
      </w:r>
      <w:r>
        <w:rPr>
          <w:rFonts w:hint="cs"/>
          <w:rtl/>
        </w:rPr>
        <w:t xml:space="preserve">ע אין דין ביטול כלל, כתב </w:t>
      </w:r>
      <w:r w:rsidRPr="00C30CCB">
        <w:rPr>
          <w:rStyle w:val="af8"/>
          <w:rFonts w:hint="cs"/>
          <w:rtl/>
        </w:rPr>
        <w:t>השער"י</w:t>
      </w:r>
      <w:r>
        <w:rPr>
          <w:rFonts w:hint="cs"/>
          <w:rtl/>
        </w:rPr>
        <w:t xml:space="preserve"> דמבואר </w:t>
      </w:r>
      <w:r w:rsidRPr="00643964">
        <w:rPr>
          <w:rStyle w:val="af8"/>
          <w:rFonts w:hint="cs"/>
          <w:rtl/>
        </w:rPr>
        <w:t xml:space="preserve">ברא"ש </w:t>
      </w:r>
      <w:r>
        <w:rPr>
          <w:rFonts w:hint="cs"/>
          <w:rtl/>
        </w:rPr>
        <w:t>דכל שהטומאה התבטלה לענין בזה אחר זה, הוא טהור אף לענין בבת אחת</w:t>
      </w:r>
      <w:r w:rsidRPr="00C30CCB">
        <w:rPr>
          <w:rStyle w:val="afa"/>
          <w:rFonts w:hint="cs"/>
          <w:rtl/>
        </w:rPr>
        <w:t xml:space="preserve">, [כדביאר </w:t>
      </w:r>
      <w:r w:rsidRPr="00C30CCB">
        <w:rPr>
          <w:rStyle w:val="affa"/>
          <w:rFonts w:hint="cs"/>
          <w:rtl/>
        </w:rPr>
        <w:t>השער"י</w:t>
      </w:r>
      <w:r w:rsidRPr="00C30CCB">
        <w:rPr>
          <w:rStyle w:val="afa"/>
          <w:rFonts w:hint="cs"/>
          <w:rtl/>
        </w:rPr>
        <w:t xml:space="preserve"> </w:t>
      </w:r>
      <w:r w:rsidRPr="004366FB">
        <w:rPr>
          <w:rStyle w:val="aff6"/>
          <w:rFonts w:hint="cs"/>
          <w:rtl/>
        </w:rPr>
        <w:t xml:space="preserve">(עי' אות </w:t>
      </w:r>
      <w:r w:rsidRPr="004366FB">
        <w:rPr>
          <w:rStyle w:val="aff6"/>
          <w:rtl/>
        </w:rPr>
        <w:fldChar w:fldCharType="begin"/>
      </w:r>
      <w:r w:rsidRPr="004366FB">
        <w:rPr>
          <w:rStyle w:val="aff6"/>
          <w:rtl/>
        </w:rPr>
        <w:instrText xml:space="preserve"> </w:instrText>
      </w:r>
      <w:r w:rsidRPr="004366FB">
        <w:rPr>
          <w:rStyle w:val="aff6"/>
          <w:rFonts w:hint="cs"/>
        </w:rPr>
        <w:instrText>REF</w:instrText>
      </w:r>
      <w:r w:rsidRPr="004366FB">
        <w:rPr>
          <w:rStyle w:val="aff6"/>
          <w:rFonts w:hint="cs"/>
          <w:rtl/>
        </w:rPr>
        <w:instrText xml:space="preserve"> _</w:instrText>
      </w:r>
      <w:r w:rsidRPr="004366FB">
        <w:rPr>
          <w:rStyle w:val="aff6"/>
          <w:rFonts w:hint="cs"/>
        </w:rPr>
        <w:instrText>Ref25525613 \r \h</w:instrText>
      </w:r>
      <w:r w:rsidRPr="004366FB">
        <w:rPr>
          <w:rStyle w:val="aff6"/>
          <w:rtl/>
        </w:rPr>
        <w:instrText xml:space="preserve"> </w:instrText>
      </w:r>
      <w:r w:rsidRPr="004366FB">
        <w:rPr>
          <w:rStyle w:val="aff6"/>
          <w:rtl/>
        </w:rPr>
      </w:r>
      <w:r w:rsidRPr="004366FB">
        <w:rPr>
          <w:rStyle w:val="aff6"/>
          <w:rtl/>
        </w:rPr>
        <w:fldChar w:fldCharType="separate"/>
      </w:r>
      <w:r w:rsidR="004D1C5B">
        <w:rPr>
          <w:rStyle w:val="aff6"/>
          <w:cs/>
        </w:rPr>
        <w:t>‎</w:t>
      </w:r>
      <w:r w:rsidR="004D1C5B">
        <w:rPr>
          <w:rStyle w:val="aff6"/>
          <w:rtl/>
        </w:rPr>
        <w:t>נט)</w:t>
      </w:r>
      <w:r w:rsidRPr="004366FB">
        <w:rPr>
          <w:rStyle w:val="aff6"/>
          <w:rtl/>
        </w:rPr>
        <w:fldChar w:fldCharType="end"/>
      </w:r>
      <w:r w:rsidRPr="00C30CCB">
        <w:rPr>
          <w:rStyle w:val="afa"/>
          <w:rFonts w:hint="cs"/>
          <w:rtl/>
        </w:rPr>
        <w:t xml:space="preserve"> בדעת </w:t>
      </w:r>
      <w:r w:rsidRPr="00C30CCB">
        <w:rPr>
          <w:rStyle w:val="affa"/>
          <w:rFonts w:hint="cs"/>
          <w:rtl/>
        </w:rPr>
        <w:t>הרא"ש</w:t>
      </w:r>
      <w:r w:rsidRPr="00C30CCB">
        <w:rPr>
          <w:rStyle w:val="afa"/>
          <w:rFonts w:hint="cs"/>
          <w:rtl/>
        </w:rPr>
        <w:t>],</w:t>
      </w:r>
      <w:r>
        <w:rPr>
          <w:rFonts w:hint="cs"/>
          <w:rtl/>
        </w:rPr>
        <w:t xml:space="preserve"> וא"כ במגע לעולם</w:t>
      </w:r>
      <w:r w:rsidR="004246F5" w:rsidRPr="004246F5">
        <w:rPr>
          <w:rFonts w:hint="cs"/>
          <w:rtl/>
        </w:rPr>
        <w:t xml:space="preserve"> </w:t>
      </w:r>
      <w:r w:rsidR="004246F5">
        <w:rPr>
          <w:rFonts w:hint="cs"/>
          <w:rtl/>
        </w:rPr>
        <w:t>טהור</w:t>
      </w:r>
      <w:r>
        <w:rPr>
          <w:rFonts w:hint="cs"/>
          <w:rtl/>
        </w:rPr>
        <w:t xml:space="preserve">, אף בנגע בבת אחת, ובמשא לעולם </w:t>
      </w:r>
      <w:r w:rsidR="004246F5">
        <w:rPr>
          <w:rFonts w:hint="cs"/>
          <w:rtl/>
        </w:rPr>
        <w:t xml:space="preserve">טמא </w:t>
      </w:r>
      <w:r>
        <w:rPr>
          <w:rFonts w:hint="cs"/>
          <w:rtl/>
        </w:rPr>
        <w:t>אף בבזה אחר זה.</w:t>
      </w:r>
    </w:p>
    <w:p w:rsidR="003A5D2C" w:rsidRPr="00500C06" w:rsidRDefault="003A5D2C" w:rsidP="003A5D2C">
      <w:pPr>
        <w:pStyle w:val="a2"/>
        <w:rPr>
          <w:rtl/>
        </w:rPr>
      </w:pPr>
      <w:bookmarkStart w:id="15687" w:name="_Toc25536250"/>
      <w:bookmarkStart w:id="15688" w:name="_Toc25571314"/>
      <w:bookmarkStart w:id="15689" w:name="_Toc25572796"/>
      <w:bookmarkStart w:id="15690" w:name="_Toc25573038"/>
      <w:r>
        <w:rPr>
          <w:rFonts w:hint="cs"/>
          <w:rtl/>
        </w:rPr>
        <w:t>דברי השער"י דלהרא"ש טמא במשא מדאו' ואף בתוס' משמע דמספקא להו אי טמא מדרבנן</w:t>
      </w:r>
      <w:bookmarkEnd w:id="15687"/>
      <w:bookmarkEnd w:id="15688"/>
      <w:bookmarkEnd w:id="15689"/>
      <w:bookmarkEnd w:id="15690"/>
      <w:r>
        <w:rPr>
          <w:rFonts w:hint="cs"/>
          <w:rtl/>
        </w:rPr>
        <w:t xml:space="preserve">  </w:t>
      </w:r>
    </w:p>
    <w:p w:rsidR="003A5D2C" w:rsidRDefault="003A5D2C" w:rsidP="009F44AF">
      <w:pPr>
        <w:pStyle w:val="a"/>
        <w:rPr>
          <w:rtl/>
        </w:rPr>
      </w:pPr>
      <w:bookmarkStart w:id="15691" w:name="_Ref25483557"/>
      <w:r>
        <w:rPr>
          <w:rFonts w:hint="cs"/>
          <w:rtl/>
        </w:rPr>
        <w:t xml:space="preserve">וכן במ"ש </w:t>
      </w:r>
      <w:r w:rsidRPr="00C30CCB">
        <w:rPr>
          <w:rStyle w:val="af8"/>
          <w:rFonts w:hint="cs"/>
          <w:rtl/>
        </w:rPr>
        <w:t>התוס' בבכורות</w:t>
      </w:r>
      <w:r>
        <w:rPr>
          <w:rFonts w:hint="cs"/>
          <w:rtl/>
        </w:rPr>
        <w:t xml:space="preserve"> </w:t>
      </w:r>
      <w:r w:rsidRPr="00C44404">
        <w:rPr>
          <w:rStyle w:val="af6"/>
          <w:rFonts w:eastAsia="Guttman Hodes" w:hint="cs"/>
          <w:rtl/>
        </w:rPr>
        <w:t xml:space="preserve">(עי' אות </w:t>
      </w:r>
      <w:r w:rsidRPr="00C44404">
        <w:rPr>
          <w:rStyle w:val="af6"/>
          <w:rFonts w:eastAsia="Guttman Hodes"/>
          <w:rtl/>
        </w:rPr>
        <w:fldChar w:fldCharType="begin"/>
      </w:r>
      <w:r w:rsidRPr="00C44404">
        <w:rPr>
          <w:rStyle w:val="af6"/>
          <w:rFonts w:eastAsia="Guttman Hodes"/>
          <w:rtl/>
        </w:rPr>
        <w:instrText xml:space="preserve"> </w:instrText>
      </w:r>
      <w:r w:rsidRPr="00C44404">
        <w:rPr>
          <w:rStyle w:val="af6"/>
          <w:rFonts w:eastAsia="Guttman Hodes" w:hint="cs"/>
        </w:rPr>
        <w:instrText>REF</w:instrText>
      </w:r>
      <w:r w:rsidRPr="00C44404">
        <w:rPr>
          <w:rStyle w:val="af6"/>
          <w:rFonts w:eastAsia="Guttman Hodes" w:hint="cs"/>
          <w:rtl/>
        </w:rPr>
        <w:instrText xml:space="preserve"> _</w:instrText>
      </w:r>
      <w:r w:rsidRPr="00C44404">
        <w:rPr>
          <w:rStyle w:val="af6"/>
          <w:rFonts w:eastAsia="Guttman Hodes" w:hint="cs"/>
        </w:rPr>
        <w:instrText>Ref25483296 \r \h</w:instrText>
      </w:r>
      <w:r w:rsidRPr="00C44404">
        <w:rPr>
          <w:rStyle w:val="af6"/>
          <w:rFonts w:eastAsia="Guttman Hodes"/>
          <w:rtl/>
        </w:rPr>
        <w:instrText xml:space="preserve"> </w:instrText>
      </w:r>
      <w:r w:rsidRPr="00C44404">
        <w:rPr>
          <w:rStyle w:val="af6"/>
          <w:rFonts w:eastAsia="Guttman Hodes"/>
          <w:rtl/>
        </w:rPr>
      </w:r>
      <w:r w:rsidRPr="00C44404">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C44404">
        <w:rPr>
          <w:rStyle w:val="af6"/>
          <w:rFonts w:eastAsia="Guttman Hodes"/>
          <w:rtl/>
        </w:rPr>
        <w:fldChar w:fldCharType="end"/>
      </w:r>
      <w:r>
        <w:rPr>
          <w:rFonts w:hint="cs"/>
          <w:rtl/>
        </w:rPr>
        <w:t xml:space="preserve"> דמסתבר דבנשא בבת אחת הוא טמא בטומאת משא רק מדרבנן, כתב </w:t>
      </w:r>
      <w:r w:rsidRPr="00C30CCB">
        <w:rPr>
          <w:rStyle w:val="af8"/>
          <w:rFonts w:hint="cs"/>
          <w:rtl/>
        </w:rPr>
        <w:t>השער"י</w:t>
      </w:r>
      <w:r>
        <w:rPr>
          <w:rFonts w:hint="cs"/>
          <w:rtl/>
        </w:rPr>
        <w:t xml:space="preserve"> דמדברי </w:t>
      </w:r>
      <w:r w:rsidRPr="00C30CCB">
        <w:rPr>
          <w:rStyle w:val="af8"/>
          <w:rFonts w:hint="cs"/>
          <w:rtl/>
        </w:rPr>
        <w:t>הרא"ש</w:t>
      </w:r>
      <w:r>
        <w:rPr>
          <w:rFonts w:hint="cs"/>
          <w:rtl/>
        </w:rPr>
        <w:t xml:space="preserve"> </w:t>
      </w:r>
      <w:r w:rsidRPr="00C44404">
        <w:rPr>
          <w:rStyle w:val="af6"/>
          <w:rFonts w:eastAsia="Guttman Hodes" w:hint="cs"/>
          <w:rtl/>
        </w:rPr>
        <w:t xml:space="preserve">(עי' אות </w:t>
      </w:r>
      <w:r w:rsidRPr="00C44404">
        <w:rPr>
          <w:rStyle w:val="af6"/>
          <w:rFonts w:eastAsia="Guttman Hodes"/>
          <w:rtl/>
        </w:rPr>
        <w:fldChar w:fldCharType="begin"/>
      </w:r>
      <w:r w:rsidRPr="00C44404">
        <w:rPr>
          <w:rStyle w:val="af6"/>
          <w:rFonts w:eastAsia="Guttman Hodes"/>
          <w:rtl/>
        </w:rPr>
        <w:instrText xml:space="preserve"> </w:instrText>
      </w:r>
      <w:r w:rsidRPr="00C44404">
        <w:rPr>
          <w:rStyle w:val="af6"/>
          <w:rFonts w:eastAsia="Guttman Hodes" w:hint="cs"/>
        </w:rPr>
        <w:instrText>REF</w:instrText>
      </w:r>
      <w:r w:rsidRPr="00C44404">
        <w:rPr>
          <w:rStyle w:val="af6"/>
          <w:rFonts w:eastAsia="Guttman Hodes" w:hint="cs"/>
          <w:rtl/>
        </w:rPr>
        <w:instrText xml:space="preserve"> _</w:instrText>
      </w:r>
      <w:r w:rsidRPr="00C44404">
        <w:rPr>
          <w:rStyle w:val="af6"/>
          <w:rFonts w:eastAsia="Guttman Hodes" w:hint="cs"/>
        </w:rPr>
        <w:instrText>Ref25483358 \r \h</w:instrText>
      </w:r>
      <w:r w:rsidRPr="00C44404">
        <w:rPr>
          <w:rStyle w:val="af6"/>
          <w:rFonts w:eastAsia="Guttman Hodes"/>
          <w:rtl/>
        </w:rPr>
        <w:instrText xml:space="preserve"> </w:instrText>
      </w:r>
      <w:r w:rsidRPr="00C44404">
        <w:rPr>
          <w:rStyle w:val="af6"/>
          <w:rFonts w:eastAsia="Guttman Hodes"/>
          <w:rtl/>
        </w:rPr>
      </w:r>
      <w:r w:rsidRPr="00C44404">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C44404">
        <w:rPr>
          <w:rStyle w:val="af6"/>
          <w:rFonts w:eastAsia="Guttman Hodes"/>
          <w:rtl/>
        </w:rPr>
        <w:fldChar w:fldCharType="end"/>
      </w:r>
      <w:r>
        <w:rPr>
          <w:rFonts w:hint="cs"/>
          <w:rtl/>
        </w:rPr>
        <w:t xml:space="preserve"> מבואר דהוא טמא מדאו', דלא נאמר דין ביטול ברוב לענין טומאת משא,</w:t>
      </w:r>
      <w:r w:rsidRPr="00D9038E">
        <w:rPr>
          <w:rFonts w:hint="cs"/>
          <w:rtl/>
        </w:rPr>
        <w:t xml:space="preserve"> </w:t>
      </w:r>
      <w:r w:rsidRPr="00C30CCB">
        <w:rPr>
          <w:rStyle w:val="afa"/>
          <w:rFonts w:hint="cs"/>
          <w:rtl/>
        </w:rPr>
        <w:t xml:space="preserve">[כדביאר </w:t>
      </w:r>
      <w:r w:rsidRPr="00C30CCB">
        <w:rPr>
          <w:rStyle w:val="affa"/>
          <w:rFonts w:hint="cs"/>
          <w:rtl/>
        </w:rPr>
        <w:t>השער"י</w:t>
      </w:r>
      <w:r w:rsidRPr="00C30CCB">
        <w:rPr>
          <w:rStyle w:val="afa"/>
          <w:rFonts w:hint="cs"/>
          <w:rtl/>
        </w:rPr>
        <w:t xml:space="preserve"> </w:t>
      </w:r>
      <w:r w:rsidRPr="004366FB">
        <w:rPr>
          <w:rStyle w:val="aff6"/>
          <w:rFonts w:hint="cs"/>
          <w:rtl/>
        </w:rPr>
        <w:t xml:space="preserve">(עי' אות </w:t>
      </w:r>
      <w:r w:rsidRPr="004366FB">
        <w:rPr>
          <w:rStyle w:val="aff6"/>
          <w:rtl/>
        </w:rPr>
        <w:fldChar w:fldCharType="begin"/>
      </w:r>
      <w:r w:rsidRPr="004366FB">
        <w:rPr>
          <w:rStyle w:val="aff6"/>
          <w:rtl/>
        </w:rPr>
        <w:instrText xml:space="preserve"> </w:instrText>
      </w:r>
      <w:r w:rsidRPr="004366FB">
        <w:rPr>
          <w:rStyle w:val="aff6"/>
          <w:rFonts w:hint="cs"/>
        </w:rPr>
        <w:instrText>REF</w:instrText>
      </w:r>
      <w:r w:rsidRPr="004366FB">
        <w:rPr>
          <w:rStyle w:val="aff6"/>
          <w:rFonts w:hint="cs"/>
          <w:rtl/>
        </w:rPr>
        <w:instrText xml:space="preserve"> _</w:instrText>
      </w:r>
      <w:r w:rsidRPr="004366FB">
        <w:rPr>
          <w:rStyle w:val="aff6"/>
          <w:rFonts w:hint="cs"/>
        </w:rPr>
        <w:instrText>Ref25525613 \r \h</w:instrText>
      </w:r>
      <w:r w:rsidRPr="004366FB">
        <w:rPr>
          <w:rStyle w:val="aff6"/>
          <w:rtl/>
        </w:rPr>
        <w:instrText xml:space="preserve"> </w:instrText>
      </w:r>
      <w:r w:rsidRPr="004366FB">
        <w:rPr>
          <w:rStyle w:val="aff6"/>
          <w:rtl/>
        </w:rPr>
      </w:r>
      <w:r w:rsidRPr="004366FB">
        <w:rPr>
          <w:rStyle w:val="aff6"/>
          <w:rtl/>
        </w:rPr>
        <w:fldChar w:fldCharType="separate"/>
      </w:r>
      <w:r w:rsidR="004D1C5B">
        <w:rPr>
          <w:rStyle w:val="aff6"/>
          <w:cs/>
        </w:rPr>
        <w:t>‎</w:t>
      </w:r>
      <w:r w:rsidR="004D1C5B">
        <w:rPr>
          <w:rStyle w:val="aff6"/>
          <w:rtl/>
        </w:rPr>
        <w:t>נט)</w:t>
      </w:r>
      <w:r w:rsidRPr="004366FB">
        <w:rPr>
          <w:rStyle w:val="aff6"/>
          <w:rtl/>
        </w:rPr>
        <w:fldChar w:fldCharType="end"/>
      </w:r>
      <w:r w:rsidRPr="00C30CCB">
        <w:rPr>
          <w:rStyle w:val="afa"/>
          <w:rFonts w:hint="cs"/>
          <w:rtl/>
        </w:rPr>
        <w:t xml:space="preserve"> בדעת </w:t>
      </w:r>
      <w:r w:rsidRPr="00C30CCB">
        <w:rPr>
          <w:rStyle w:val="affa"/>
          <w:rFonts w:hint="cs"/>
          <w:rtl/>
        </w:rPr>
        <w:t>הרא"ש</w:t>
      </w:r>
      <w:r w:rsidRPr="00C30CCB">
        <w:rPr>
          <w:rStyle w:val="afa"/>
          <w:rFonts w:hint="cs"/>
          <w:rtl/>
        </w:rPr>
        <w:t>],</w:t>
      </w:r>
      <w:r>
        <w:rPr>
          <w:rFonts w:hint="cs"/>
          <w:rtl/>
        </w:rPr>
        <w:t xml:space="preserve"> והוסיף </w:t>
      </w:r>
      <w:r w:rsidRPr="004D1772">
        <w:rPr>
          <w:rStyle w:val="af8"/>
          <w:rFonts w:hint="cs"/>
          <w:rtl/>
        </w:rPr>
        <w:t>השער"י</w:t>
      </w:r>
      <w:r>
        <w:rPr>
          <w:rFonts w:hint="cs"/>
          <w:rtl/>
        </w:rPr>
        <w:t xml:space="preserve"> דאף </w:t>
      </w:r>
      <w:r w:rsidRPr="004D1772">
        <w:rPr>
          <w:rStyle w:val="af8"/>
          <w:rFonts w:hint="cs"/>
          <w:rtl/>
        </w:rPr>
        <w:t>בתוס'</w:t>
      </w:r>
      <w:r>
        <w:rPr>
          <w:rFonts w:hint="cs"/>
          <w:rtl/>
        </w:rPr>
        <w:t xml:space="preserve"> </w:t>
      </w:r>
      <w:r w:rsidRPr="004D1772">
        <w:rPr>
          <w:rStyle w:val="af8"/>
          <w:rFonts w:hint="cs"/>
          <w:rtl/>
        </w:rPr>
        <w:t>בבכורות</w:t>
      </w:r>
      <w:r>
        <w:rPr>
          <w:rFonts w:hint="cs"/>
          <w:rtl/>
        </w:rPr>
        <w:t xml:space="preserve"> משמע דמספקא להו אי טמא רק מדרבנן, כיון דהקשו </w:t>
      </w:r>
      <w:r w:rsidRPr="004D1772">
        <w:rPr>
          <w:rStyle w:val="af8"/>
          <w:rFonts w:hint="cs"/>
          <w:rtl/>
        </w:rPr>
        <w:t>התוס' בבכורות</w:t>
      </w:r>
      <w:r>
        <w:rPr>
          <w:rFonts w:hint="cs"/>
          <w:rtl/>
        </w:rPr>
        <w:t xml:space="preserve"> </w:t>
      </w:r>
      <w:r w:rsidRPr="00C44404">
        <w:rPr>
          <w:rStyle w:val="af6"/>
          <w:rFonts w:eastAsia="Guttman Hodes" w:hint="cs"/>
          <w:rtl/>
        </w:rPr>
        <w:t xml:space="preserve">(עי' אות </w:t>
      </w:r>
      <w:r w:rsidRPr="00C44404">
        <w:rPr>
          <w:rStyle w:val="af6"/>
          <w:rFonts w:eastAsia="Guttman Hodes"/>
          <w:rtl/>
        </w:rPr>
        <w:fldChar w:fldCharType="begin"/>
      </w:r>
      <w:r w:rsidRPr="00C44404">
        <w:rPr>
          <w:rStyle w:val="af6"/>
          <w:rFonts w:eastAsia="Guttman Hodes"/>
          <w:rtl/>
        </w:rPr>
        <w:instrText xml:space="preserve"> </w:instrText>
      </w:r>
      <w:r w:rsidRPr="00C44404">
        <w:rPr>
          <w:rStyle w:val="af6"/>
          <w:rFonts w:eastAsia="Guttman Hodes" w:hint="cs"/>
        </w:rPr>
        <w:instrText>REF</w:instrText>
      </w:r>
      <w:r w:rsidRPr="00C44404">
        <w:rPr>
          <w:rStyle w:val="af6"/>
          <w:rFonts w:eastAsia="Guttman Hodes" w:hint="cs"/>
          <w:rtl/>
        </w:rPr>
        <w:instrText xml:space="preserve"> _</w:instrText>
      </w:r>
      <w:r w:rsidRPr="00C44404">
        <w:rPr>
          <w:rStyle w:val="af6"/>
          <w:rFonts w:eastAsia="Guttman Hodes" w:hint="cs"/>
        </w:rPr>
        <w:instrText>Ref25483335 \r \h</w:instrText>
      </w:r>
      <w:r w:rsidRPr="00C44404">
        <w:rPr>
          <w:rStyle w:val="af6"/>
          <w:rFonts w:eastAsia="Guttman Hodes"/>
          <w:rtl/>
        </w:rPr>
        <w:instrText xml:space="preserve"> </w:instrText>
      </w:r>
      <w:r w:rsidRPr="00C44404">
        <w:rPr>
          <w:rStyle w:val="af6"/>
          <w:rFonts w:eastAsia="Guttman Hodes"/>
          <w:rtl/>
        </w:rPr>
      </w:r>
      <w:r w:rsidRPr="00C44404">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C44404">
        <w:rPr>
          <w:rStyle w:val="af6"/>
          <w:rFonts w:eastAsia="Guttman Hodes"/>
          <w:rtl/>
        </w:rPr>
        <w:fldChar w:fldCharType="end"/>
      </w:r>
      <w:r>
        <w:rPr>
          <w:rFonts w:hint="cs"/>
          <w:rtl/>
        </w:rPr>
        <w:t xml:space="preserve"> דיתחייב באכילה, באוכל כזית בכדי אכילת פרס, וכ"כ </w:t>
      </w:r>
      <w:r w:rsidRPr="002241DD">
        <w:rPr>
          <w:rStyle w:val="af8"/>
          <w:rFonts w:hint="cs"/>
          <w:rtl/>
        </w:rPr>
        <w:t>במשנת ר"א</w:t>
      </w:r>
      <w:r>
        <w:rPr>
          <w:rFonts w:hint="cs"/>
          <w:rtl/>
        </w:rPr>
        <w:t xml:space="preserve"> </w:t>
      </w:r>
      <w:r w:rsidRPr="00554A85">
        <w:rPr>
          <w:rStyle w:val="af6"/>
          <w:rFonts w:eastAsia="Guttman Hodes" w:hint="cs"/>
          <w:rtl/>
        </w:rPr>
        <w:t xml:space="preserve">(עי' אות </w:t>
      </w:r>
      <w:r w:rsidRPr="00554A85">
        <w:rPr>
          <w:rStyle w:val="af6"/>
          <w:rFonts w:eastAsia="Guttman Hodes"/>
          <w:rtl/>
        </w:rPr>
        <w:fldChar w:fldCharType="begin"/>
      </w:r>
      <w:r w:rsidRPr="00554A85">
        <w:rPr>
          <w:rStyle w:val="af6"/>
          <w:rFonts w:eastAsia="Guttman Hodes"/>
          <w:rtl/>
        </w:rPr>
        <w:instrText xml:space="preserve"> </w:instrText>
      </w:r>
      <w:r w:rsidRPr="00554A85">
        <w:rPr>
          <w:rStyle w:val="af6"/>
          <w:rFonts w:eastAsia="Guttman Hodes" w:hint="cs"/>
        </w:rPr>
        <w:instrText>REF</w:instrText>
      </w:r>
      <w:r w:rsidRPr="00554A85">
        <w:rPr>
          <w:rStyle w:val="af6"/>
          <w:rFonts w:eastAsia="Guttman Hodes" w:hint="cs"/>
          <w:rtl/>
        </w:rPr>
        <w:instrText xml:space="preserve"> _</w:instrText>
      </w:r>
      <w:r w:rsidRPr="00554A85">
        <w:rPr>
          <w:rStyle w:val="af6"/>
          <w:rFonts w:eastAsia="Guttman Hodes" w:hint="cs"/>
        </w:rPr>
        <w:instrText>Ref25483874 \r \h</w:instrText>
      </w:r>
      <w:r w:rsidRPr="00554A85">
        <w:rPr>
          <w:rStyle w:val="af6"/>
          <w:rFonts w:eastAsia="Guttman Hodes"/>
          <w:rtl/>
        </w:rPr>
        <w:instrText xml:space="preserve"> </w:instrText>
      </w:r>
      <w:r w:rsidRPr="00554A85">
        <w:rPr>
          <w:rStyle w:val="af6"/>
          <w:rFonts w:eastAsia="Guttman Hodes"/>
          <w:rtl/>
        </w:rPr>
      </w:r>
      <w:r w:rsidRPr="00554A85">
        <w:rPr>
          <w:rStyle w:val="af6"/>
          <w:rFonts w:eastAsia="Guttman Hodes"/>
          <w:rtl/>
        </w:rPr>
        <w:fldChar w:fldCharType="separate"/>
      </w:r>
      <w:r w:rsidR="004D1C5B">
        <w:rPr>
          <w:rStyle w:val="af6"/>
          <w:rFonts w:eastAsia="Guttman Hodes"/>
          <w:cs/>
        </w:rPr>
        <w:t>‎</w:t>
      </w:r>
      <w:r w:rsidR="004D1C5B">
        <w:rPr>
          <w:rStyle w:val="af6"/>
          <w:rFonts w:eastAsia="Guttman Hodes"/>
          <w:rtl/>
        </w:rPr>
        <w:t>קכא)</w:t>
      </w:r>
      <w:r w:rsidRPr="00554A85">
        <w:rPr>
          <w:rStyle w:val="af6"/>
          <w:rFonts w:eastAsia="Guttman Hodes"/>
          <w:rtl/>
        </w:rPr>
        <w:fldChar w:fldCharType="end"/>
      </w:r>
      <w:r>
        <w:rPr>
          <w:rFonts w:hint="cs"/>
          <w:rtl/>
        </w:rPr>
        <w:t>.</w:t>
      </w:r>
      <w:bookmarkEnd w:id="15691"/>
    </w:p>
    <w:p w:rsidR="003A5D2C" w:rsidRPr="004366FB" w:rsidRDefault="003A5D2C" w:rsidP="003A5D2C">
      <w:pPr>
        <w:pStyle w:val="a2"/>
        <w:rPr>
          <w:rtl/>
        </w:rPr>
      </w:pPr>
      <w:bookmarkStart w:id="15692" w:name="_Toc25536251"/>
      <w:bookmarkStart w:id="15693" w:name="_Toc25571315"/>
      <w:bookmarkStart w:id="15694" w:name="_Toc25572797"/>
      <w:bookmarkStart w:id="15695" w:name="_Toc25573039"/>
      <w:r>
        <w:rPr>
          <w:rFonts w:hint="cs"/>
          <w:rtl/>
        </w:rPr>
        <w:t>דברי השער"י דמהא דהרמב"ם לא חילק כתוס' מבואר דמטמא במשא מדאו' וכן מדויק בלשונו</w:t>
      </w:r>
      <w:bookmarkEnd w:id="15692"/>
      <w:bookmarkEnd w:id="15693"/>
      <w:bookmarkEnd w:id="15694"/>
      <w:bookmarkEnd w:id="15695"/>
    </w:p>
    <w:p w:rsidR="003A5D2C" w:rsidRDefault="003A5D2C" w:rsidP="009F44AF">
      <w:pPr>
        <w:pStyle w:val="a"/>
        <w:rPr>
          <w:rtl/>
        </w:rPr>
      </w:pPr>
      <w:bookmarkStart w:id="15696" w:name="_Ref25483551"/>
      <w:r>
        <w:rPr>
          <w:rFonts w:hint="cs"/>
          <w:rtl/>
        </w:rPr>
        <w:t xml:space="preserve">והוסיף </w:t>
      </w:r>
      <w:r w:rsidRPr="004D1772">
        <w:rPr>
          <w:rStyle w:val="af8"/>
          <w:rFonts w:hint="cs"/>
          <w:rtl/>
        </w:rPr>
        <w:t>השער"י</w:t>
      </w:r>
      <w:r>
        <w:rPr>
          <w:rFonts w:hint="cs"/>
          <w:rtl/>
        </w:rPr>
        <w:t xml:space="preserve"> דאף מדברי </w:t>
      </w:r>
      <w:r w:rsidRPr="004D1772">
        <w:rPr>
          <w:rStyle w:val="af8"/>
          <w:rFonts w:hint="cs"/>
          <w:rtl/>
        </w:rPr>
        <w:t>הרמב"ם</w:t>
      </w:r>
      <w:r>
        <w:rPr>
          <w:rFonts w:hint="cs"/>
          <w:rtl/>
        </w:rPr>
        <w:t xml:space="preserve"> </w:t>
      </w:r>
      <w:r w:rsidRPr="00C44404">
        <w:rPr>
          <w:rStyle w:val="af6"/>
          <w:rFonts w:eastAsia="Guttman Hodes" w:hint="cs"/>
          <w:rtl/>
        </w:rPr>
        <w:t xml:space="preserve">(עי' אות </w:t>
      </w:r>
      <w:r w:rsidRPr="00C44404">
        <w:rPr>
          <w:rStyle w:val="af6"/>
          <w:rFonts w:eastAsia="Guttman Hodes"/>
          <w:rtl/>
        </w:rPr>
        <w:fldChar w:fldCharType="begin"/>
      </w:r>
      <w:r w:rsidRPr="00C44404">
        <w:rPr>
          <w:rStyle w:val="af6"/>
          <w:rFonts w:eastAsia="Guttman Hodes"/>
          <w:rtl/>
        </w:rPr>
        <w:instrText xml:space="preserve"> </w:instrText>
      </w:r>
      <w:r w:rsidRPr="00C44404">
        <w:rPr>
          <w:rStyle w:val="af6"/>
          <w:rFonts w:eastAsia="Guttman Hodes" w:hint="cs"/>
        </w:rPr>
        <w:instrText>REF</w:instrText>
      </w:r>
      <w:r w:rsidRPr="00C44404">
        <w:rPr>
          <w:rStyle w:val="af6"/>
          <w:rFonts w:eastAsia="Guttman Hodes" w:hint="cs"/>
          <w:rtl/>
        </w:rPr>
        <w:instrText xml:space="preserve"> _</w:instrText>
      </w:r>
      <w:r w:rsidRPr="00C44404">
        <w:rPr>
          <w:rStyle w:val="af6"/>
          <w:rFonts w:eastAsia="Guttman Hodes" w:hint="cs"/>
        </w:rPr>
        <w:instrText>Ref25483287 \r \h</w:instrText>
      </w:r>
      <w:r w:rsidRPr="00C44404">
        <w:rPr>
          <w:rStyle w:val="af6"/>
          <w:rFonts w:eastAsia="Guttman Hodes"/>
          <w:rtl/>
        </w:rPr>
        <w:instrText xml:space="preserve"> </w:instrText>
      </w:r>
      <w:r w:rsidRPr="00C44404">
        <w:rPr>
          <w:rStyle w:val="af6"/>
          <w:rFonts w:eastAsia="Guttman Hodes"/>
          <w:rtl/>
        </w:rPr>
      </w:r>
      <w:r w:rsidRPr="00C44404">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C44404">
        <w:rPr>
          <w:rStyle w:val="af6"/>
          <w:rFonts w:eastAsia="Guttman Hodes"/>
          <w:rtl/>
        </w:rPr>
        <w:fldChar w:fldCharType="end"/>
      </w:r>
      <w:r>
        <w:rPr>
          <w:rFonts w:hint="cs"/>
          <w:rtl/>
        </w:rPr>
        <w:t xml:space="preserve"> משמע דס"ל דמטמאה במשא מדאו', </w:t>
      </w:r>
      <w:r w:rsidRPr="00C44404">
        <w:rPr>
          <w:rStyle w:val="afa"/>
          <w:rFonts w:hint="cs"/>
          <w:rtl/>
        </w:rPr>
        <w:t xml:space="preserve">[וכדברי </w:t>
      </w:r>
      <w:r w:rsidRPr="00C44404">
        <w:rPr>
          <w:rStyle w:val="affa"/>
          <w:rFonts w:hint="cs"/>
          <w:rtl/>
        </w:rPr>
        <w:t>המשל"מ והפרמ"ג</w:t>
      </w:r>
      <w:r w:rsidRPr="00C44404">
        <w:rPr>
          <w:rStyle w:val="afa"/>
          <w:rFonts w:hint="cs"/>
          <w:rtl/>
        </w:rPr>
        <w:t xml:space="preserve"> </w:t>
      </w:r>
      <w:r w:rsidRPr="00C44404">
        <w:rPr>
          <w:rStyle w:val="aff6"/>
          <w:rFonts w:hint="cs"/>
          <w:rtl/>
        </w:rPr>
        <w:t xml:space="preserve">(עי' אות </w:t>
      </w:r>
      <w:r w:rsidRPr="00C44404">
        <w:rPr>
          <w:rStyle w:val="aff6"/>
          <w:rtl/>
        </w:rPr>
        <w:fldChar w:fldCharType="begin"/>
      </w:r>
      <w:r w:rsidRPr="00C44404">
        <w:rPr>
          <w:rStyle w:val="aff6"/>
          <w:rtl/>
        </w:rPr>
        <w:instrText xml:space="preserve"> </w:instrText>
      </w:r>
      <w:r w:rsidRPr="00C44404">
        <w:rPr>
          <w:rStyle w:val="aff6"/>
          <w:rFonts w:hint="cs"/>
        </w:rPr>
        <w:instrText>REF</w:instrText>
      </w:r>
      <w:r w:rsidRPr="00C44404">
        <w:rPr>
          <w:rStyle w:val="aff6"/>
          <w:rFonts w:hint="cs"/>
          <w:rtl/>
        </w:rPr>
        <w:instrText xml:space="preserve"> _</w:instrText>
      </w:r>
      <w:r w:rsidRPr="00C44404">
        <w:rPr>
          <w:rStyle w:val="aff6"/>
          <w:rFonts w:hint="cs"/>
        </w:rPr>
        <w:instrText>Ref25483444 \r \h</w:instrText>
      </w:r>
      <w:r w:rsidRPr="00C44404">
        <w:rPr>
          <w:rStyle w:val="aff6"/>
          <w:rtl/>
        </w:rPr>
        <w:instrText xml:space="preserve"> </w:instrText>
      </w:r>
      <w:r w:rsidRPr="00C44404">
        <w:rPr>
          <w:rStyle w:val="aff6"/>
          <w:rtl/>
        </w:rPr>
      </w:r>
      <w:r w:rsidRPr="00C44404">
        <w:rPr>
          <w:rStyle w:val="aff6"/>
          <w:rtl/>
        </w:rPr>
        <w:fldChar w:fldCharType="separate"/>
      </w:r>
      <w:r w:rsidR="004D1C5B">
        <w:rPr>
          <w:rStyle w:val="aff6"/>
          <w:cs/>
        </w:rPr>
        <w:t>‎</w:t>
      </w:r>
      <w:r w:rsidR="004D1C5B">
        <w:rPr>
          <w:rStyle w:val="aff6"/>
          <w:rtl/>
        </w:rPr>
        <w:t>לט)</w:t>
      </w:r>
      <w:r w:rsidRPr="00C44404">
        <w:rPr>
          <w:rStyle w:val="aff6"/>
          <w:rtl/>
        </w:rPr>
        <w:fldChar w:fldCharType="end"/>
      </w:r>
      <w:r w:rsidRPr="00C44404">
        <w:rPr>
          <w:rStyle w:val="afa"/>
          <w:rFonts w:hint="cs"/>
          <w:rtl/>
        </w:rPr>
        <w:t>],</w:t>
      </w:r>
      <w:r>
        <w:rPr>
          <w:rFonts w:hint="cs"/>
          <w:rtl/>
        </w:rPr>
        <w:t xml:space="preserve"> ודלא </w:t>
      </w:r>
      <w:r w:rsidRPr="004D1772">
        <w:rPr>
          <w:rStyle w:val="af8"/>
          <w:rFonts w:hint="cs"/>
          <w:rtl/>
        </w:rPr>
        <w:t>כ</w:t>
      </w:r>
      <w:r>
        <w:rPr>
          <w:rStyle w:val="af8"/>
          <w:rFonts w:hint="cs"/>
          <w:rtl/>
        </w:rPr>
        <w:t>ה</w:t>
      </w:r>
      <w:r w:rsidRPr="004D1772">
        <w:rPr>
          <w:rStyle w:val="af8"/>
          <w:rFonts w:hint="cs"/>
          <w:rtl/>
        </w:rPr>
        <w:t>תוס' בבכורות</w:t>
      </w:r>
      <w:r>
        <w:rPr>
          <w:rStyle w:val="af8"/>
          <w:rFonts w:hint="cs"/>
          <w:rtl/>
        </w:rPr>
        <w:t xml:space="preserve"> </w:t>
      </w:r>
      <w:r w:rsidRPr="00C44404">
        <w:rPr>
          <w:rStyle w:val="af6"/>
          <w:rFonts w:eastAsia="Guttman Hodes" w:hint="cs"/>
          <w:rtl/>
        </w:rPr>
        <w:t xml:space="preserve">(עי' אות </w:t>
      </w:r>
      <w:r w:rsidRPr="00C44404">
        <w:rPr>
          <w:rStyle w:val="af6"/>
          <w:rFonts w:eastAsia="Guttman Hodes"/>
          <w:rtl/>
        </w:rPr>
        <w:fldChar w:fldCharType="begin"/>
      </w:r>
      <w:r w:rsidRPr="00C44404">
        <w:rPr>
          <w:rStyle w:val="af6"/>
          <w:rFonts w:eastAsia="Guttman Hodes"/>
          <w:rtl/>
        </w:rPr>
        <w:instrText xml:space="preserve"> </w:instrText>
      </w:r>
      <w:r w:rsidRPr="00C44404">
        <w:rPr>
          <w:rStyle w:val="af6"/>
          <w:rFonts w:eastAsia="Guttman Hodes" w:hint="cs"/>
        </w:rPr>
        <w:instrText>REF</w:instrText>
      </w:r>
      <w:r w:rsidRPr="00C44404">
        <w:rPr>
          <w:rStyle w:val="af6"/>
          <w:rFonts w:eastAsia="Guttman Hodes" w:hint="cs"/>
          <w:rtl/>
        </w:rPr>
        <w:instrText xml:space="preserve"> _</w:instrText>
      </w:r>
      <w:r w:rsidRPr="00C44404">
        <w:rPr>
          <w:rStyle w:val="af6"/>
          <w:rFonts w:eastAsia="Guttman Hodes" w:hint="cs"/>
        </w:rPr>
        <w:instrText>Ref25483335 \r \h</w:instrText>
      </w:r>
      <w:r w:rsidRPr="00C44404">
        <w:rPr>
          <w:rStyle w:val="af6"/>
          <w:rFonts w:eastAsia="Guttman Hodes"/>
          <w:rtl/>
        </w:rPr>
        <w:instrText xml:space="preserve"> </w:instrText>
      </w:r>
      <w:r w:rsidRPr="00C44404">
        <w:rPr>
          <w:rStyle w:val="af6"/>
          <w:rFonts w:eastAsia="Guttman Hodes"/>
          <w:rtl/>
        </w:rPr>
      </w:r>
      <w:r w:rsidRPr="00C44404">
        <w:rPr>
          <w:rStyle w:val="af6"/>
          <w:rFonts w:eastAsia="Guttman Hodes"/>
          <w:rtl/>
        </w:rPr>
        <w:fldChar w:fldCharType="separate"/>
      </w:r>
      <w:r w:rsidR="004D1C5B">
        <w:rPr>
          <w:rStyle w:val="af6"/>
          <w:rFonts w:eastAsia="Guttman Hodes"/>
          <w:cs/>
        </w:rPr>
        <w:t>‎</w:t>
      </w:r>
      <w:r w:rsidR="004D1C5B">
        <w:rPr>
          <w:rStyle w:val="af6"/>
          <w:rFonts w:eastAsia="Guttman Hodes"/>
          <w:rtl/>
        </w:rPr>
        <w:t>לא)</w:t>
      </w:r>
      <w:r w:rsidRPr="00C44404">
        <w:rPr>
          <w:rStyle w:val="af6"/>
          <w:rFonts w:eastAsia="Guttman Hodes"/>
          <w:rtl/>
        </w:rPr>
        <w:fldChar w:fldCharType="end"/>
      </w:r>
      <w:r>
        <w:rPr>
          <w:rFonts w:hint="cs"/>
          <w:rtl/>
        </w:rPr>
        <w:t xml:space="preserve">, דלא כתב </w:t>
      </w:r>
      <w:r w:rsidRPr="004D1772">
        <w:rPr>
          <w:rStyle w:val="af8"/>
          <w:rFonts w:hint="cs"/>
          <w:rtl/>
        </w:rPr>
        <w:t>הרמב"ם</w:t>
      </w:r>
      <w:r>
        <w:rPr>
          <w:rFonts w:hint="cs"/>
          <w:rtl/>
        </w:rPr>
        <w:t xml:space="preserve"> לחלק כדחילקו </w:t>
      </w:r>
      <w:r w:rsidRPr="004D1772">
        <w:rPr>
          <w:rStyle w:val="af8"/>
          <w:rFonts w:hint="cs"/>
          <w:rtl/>
        </w:rPr>
        <w:t>התוס'</w:t>
      </w:r>
      <w:r>
        <w:rPr>
          <w:rFonts w:hint="cs"/>
          <w:rtl/>
        </w:rPr>
        <w:t xml:space="preserve"> בין אכילה לטומאה, ובין בבת אחת לבזה אחר זה, וכן מהא דבטומאת משא, לא כתב </w:t>
      </w:r>
      <w:r w:rsidRPr="004D1772">
        <w:rPr>
          <w:rStyle w:val="af8"/>
          <w:rFonts w:hint="cs"/>
          <w:rtl/>
        </w:rPr>
        <w:t>הרמב"ם</w:t>
      </w:r>
      <w:r>
        <w:rPr>
          <w:rFonts w:hint="cs"/>
          <w:rtl/>
        </w:rPr>
        <w:t xml:space="preserve"> דמטמא רק בנושא בבת אחת, דכתב </w:t>
      </w:r>
      <w:r w:rsidRPr="004D1772">
        <w:rPr>
          <w:rStyle w:val="af8"/>
          <w:rFonts w:hint="cs"/>
          <w:rtl/>
        </w:rPr>
        <w:t>הרמב"ם</w:t>
      </w:r>
      <w:r>
        <w:rPr>
          <w:rFonts w:hint="cs"/>
          <w:rtl/>
        </w:rPr>
        <w:t xml:space="preserve"> רק שנשא הכל, ולא כתב שנשא את הכל בבת אחת, ומשמע דאף אם נשא את כל התערובת בבזה אחר זה טמא במשא, ועיי"ש במה שהאריך </w:t>
      </w:r>
      <w:r w:rsidRPr="004D1772">
        <w:rPr>
          <w:rStyle w:val="af8"/>
          <w:rFonts w:hint="cs"/>
          <w:rtl/>
        </w:rPr>
        <w:t xml:space="preserve">השער"י </w:t>
      </w:r>
      <w:r>
        <w:rPr>
          <w:rFonts w:hint="cs"/>
          <w:rtl/>
        </w:rPr>
        <w:t xml:space="preserve">בביאור דעת </w:t>
      </w:r>
      <w:r w:rsidRPr="004D1772">
        <w:rPr>
          <w:rStyle w:val="af8"/>
          <w:rFonts w:hint="cs"/>
          <w:rtl/>
        </w:rPr>
        <w:t>הרמב"ם</w:t>
      </w:r>
      <w:r>
        <w:rPr>
          <w:rFonts w:hint="cs"/>
          <w:rtl/>
        </w:rPr>
        <w:t>.</w:t>
      </w:r>
      <w:bookmarkEnd w:id="15696"/>
    </w:p>
    <w:p w:rsidR="003A5D2C" w:rsidRDefault="003A5D2C" w:rsidP="003A5D2C">
      <w:pPr>
        <w:pStyle w:val="1"/>
        <w:rPr>
          <w:rtl/>
        </w:rPr>
      </w:pPr>
      <w:bookmarkStart w:id="15697" w:name="_Toc25317272"/>
      <w:bookmarkStart w:id="15698" w:name="_Toc25488246"/>
      <w:bookmarkStart w:id="15699" w:name="_Toc25524732"/>
      <w:bookmarkStart w:id="15700" w:name="_Toc25536252"/>
      <w:bookmarkStart w:id="15701" w:name="_Toc25571316"/>
      <w:bookmarkStart w:id="15702" w:name="_Toc25572798"/>
      <w:bookmarkStart w:id="15703" w:name="_Toc25573040"/>
      <w:r>
        <w:rPr>
          <w:rFonts w:hint="cs"/>
          <w:rtl/>
        </w:rPr>
        <w:t>ביאור חי' הגרש"ש</w:t>
      </w:r>
      <w:bookmarkEnd w:id="15697"/>
      <w:bookmarkEnd w:id="15698"/>
      <w:bookmarkEnd w:id="15699"/>
      <w:r>
        <w:rPr>
          <w:rFonts w:hint="cs"/>
          <w:rtl/>
        </w:rPr>
        <w:t xml:space="preserve"> דבמגע יש היתר מדין כל דפריש ולא במשא</w:t>
      </w:r>
      <w:bookmarkEnd w:id="15700"/>
      <w:bookmarkEnd w:id="15701"/>
      <w:bookmarkEnd w:id="15702"/>
      <w:bookmarkEnd w:id="15703"/>
    </w:p>
    <w:p w:rsidR="003A5D2C" w:rsidRDefault="003A5D2C" w:rsidP="003A5D2C">
      <w:pPr>
        <w:pStyle w:val="a2"/>
        <w:rPr>
          <w:rtl/>
        </w:rPr>
      </w:pPr>
      <w:bookmarkStart w:id="15704" w:name="_Toc25536253"/>
      <w:bookmarkStart w:id="15705" w:name="_Toc25571317"/>
      <w:bookmarkStart w:id="15706" w:name="_Toc25572799"/>
      <w:bookmarkStart w:id="15707" w:name="_Toc25573041"/>
      <w:r>
        <w:rPr>
          <w:rFonts w:hint="cs"/>
          <w:rtl/>
        </w:rPr>
        <w:t>הקשה הגרש"ש דלהרשב"א שאוסר לאכול בב"א א"כ אף מגע בב"א טמא מדאו' או מדרבנן</w:t>
      </w:r>
      <w:bookmarkEnd w:id="15704"/>
      <w:bookmarkEnd w:id="15705"/>
      <w:bookmarkEnd w:id="15706"/>
      <w:bookmarkEnd w:id="15707"/>
    </w:p>
    <w:p w:rsidR="003A5D2C" w:rsidRDefault="003A5D2C" w:rsidP="009F44AF">
      <w:pPr>
        <w:pStyle w:val="a"/>
        <w:rPr>
          <w:rtl/>
        </w:rPr>
      </w:pPr>
      <w:r>
        <w:rPr>
          <w:rFonts w:hint="cs"/>
          <w:rtl/>
        </w:rPr>
        <w:t xml:space="preserve">במ"ש </w:t>
      </w:r>
      <w:r w:rsidRPr="00D904C5">
        <w:rPr>
          <w:rStyle w:val="af8"/>
          <w:rFonts w:hint="cs"/>
          <w:rtl/>
        </w:rPr>
        <w:t>התוס' בבכורות</w:t>
      </w:r>
      <w:r>
        <w:rPr>
          <w:rFonts w:hint="cs"/>
          <w:rtl/>
        </w:rPr>
        <w:t xml:space="preserve"> </w:t>
      </w:r>
      <w:r w:rsidRPr="006A1289">
        <w:rPr>
          <w:rStyle w:val="af6"/>
          <w:rFonts w:eastAsia="Guttman Hodes" w:hint="cs"/>
          <w:rtl/>
        </w:rPr>
        <w:t xml:space="preserve">(עי' אות </w:t>
      </w:r>
      <w:r w:rsidRPr="006A1289">
        <w:rPr>
          <w:rStyle w:val="af6"/>
          <w:rFonts w:eastAsia="Guttman Hodes"/>
          <w:rtl/>
        </w:rPr>
        <w:fldChar w:fldCharType="begin"/>
      </w:r>
      <w:r w:rsidRPr="006A1289">
        <w:rPr>
          <w:rStyle w:val="af6"/>
          <w:rFonts w:eastAsia="Guttman Hodes"/>
          <w:rtl/>
        </w:rPr>
        <w:instrText xml:space="preserve"> </w:instrText>
      </w:r>
      <w:r w:rsidRPr="006A1289">
        <w:rPr>
          <w:rStyle w:val="af6"/>
          <w:rFonts w:eastAsia="Guttman Hodes" w:hint="cs"/>
        </w:rPr>
        <w:instrText>REF</w:instrText>
      </w:r>
      <w:r w:rsidRPr="006A1289">
        <w:rPr>
          <w:rStyle w:val="af6"/>
          <w:rFonts w:eastAsia="Guttman Hodes" w:hint="cs"/>
          <w:rtl/>
        </w:rPr>
        <w:instrText xml:space="preserve"> _</w:instrText>
      </w:r>
      <w:r w:rsidRPr="006A1289">
        <w:rPr>
          <w:rStyle w:val="af6"/>
          <w:rFonts w:eastAsia="Guttman Hodes" w:hint="cs"/>
        </w:rPr>
        <w:instrText>Ref25534516 \r \h</w:instrText>
      </w:r>
      <w:r w:rsidRPr="006A1289">
        <w:rPr>
          <w:rStyle w:val="af6"/>
          <w:rFonts w:eastAsia="Guttman Hodes"/>
          <w:rtl/>
        </w:rPr>
        <w:instrText xml:space="preserve"> </w:instrText>
      </w:r>
      <w:r w:rsidRPr="006A1289">
        <w:rPr>
          <w:rStyle w:val="af6"/>
          <w:rFonts w:eastAsia="Guttman Hodes"/>
          <w:rtl/>
        </w:rPr>
      </w:r>
      <w:r w:rsidRPr="006A1289">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6A1289">
        <w:rPr>
          <w:rStyle w:val="af6"/>
          <w:rFonts w:eastAsia="Guttman Hodes"/>
          <w:rtl/>
        </w:rPr>
        <w:fldChar w:fldCharType="end"/>
      </w:r>
      <w:r>
        <w:rPr>
          <w:rFonts w:hint="cs"/>
          <w:rtl/>
        </w:rPr>
        <w:t xml:space="preserve"> דהא דמטמא בטומאת משא הוא מדרבנן, הקשה </w:t>
      </w:r>
      <w:r w:rsidRPr="00D904C5">
        <w:rPr>
          <w:rStyle w:val="af8"/>
          <w:rFonts w:hint="cs"/>
          <w:rtl/>
        </w:rPr>
        <w:t>בחי' הגרש"ש בב"מ</w:t>
      </w:r>
      <w:r>
        <w:rPr>
          <w:rFonts w:hint="cs"/>
          <w:rtl/>
        </w:rPr>
        <w:t xml:space="preserve"> </w:t>
      </w:r>
      <w:r w:rsidRPr="00D904C5">
        <w:rPr>
          <w:rStyle w:val="af6"/>
          <w:rFonts w:eastAsia="Guttman Hodes" w:hint="cs"/>
          <w:rtl/>
        </w:rPr>
        <w:t>(סי' ז' [מהדו' חד' סי' ח'] אות ד')</w:t>
      </w:r>
      <w:r>
        <w:rPr>
          <w:rFonts w:hint="cs"/>
          <w:rtl/>
        </w:rPr>
        <w:t xml:space="preserve"> דלדעת </w:t>
      </w:r>
      <w:r>
        <w:rPr>
          <w:rStyle w:val="af8"/>
          <w:rFonts w:hint="cs"/>
          <w:rtl/>
        </w:rPr>
        <w:t>הרשב</w:t>
      </w:r>
      <w:r>
        <w:rPr>
          <w:rStyle w:val="af8"/>
          <w:rtl/>
        </w:rPr>
        <w:t>"</w:t>
      </w:r>
      <w:r>
        <w:rPr>
          <w:rStyle w:val="af8"/>
          <w:rFonts w:hint="cs"/>
          <w:rtl/>
        </w:rPr>
        <w:t>א</w:t>
      </w:r>
      <w:r w:rsidRPr="006A1289">
        <w:rPr>
          <w:rStyle w:val="af6"/>
          <w:rFonts w:eastAsia="Guttman Hodes" w:hint="cs"/>
          <w:rtl/>
        </w:rPr>
        <w:t xml:space="preserve"> (עי</w:t>
      </w:r>
      <w:r w:rsidRPr="006A1289">
        <w:rPr>
          <w:rStyle w:val="af6"/>
          <w:rFonts w:eastAsia="Guttman Hodes"/>
          <w:rtl/>
        </w:rPr>
        <w:t>'</w:t>
      </w:r>
      <w:r w:rsidRPr="006A1289">
        <w:rPr>
          <w:rStyle w:val="af6"/>
          <w:rFonts w:eastAsia="Guttman Hodes" w:hint="cs"/>
          <w:rtl/>
        </w:rPr>
        <w:t xml:space="preserve"> אות </w:t>
      </w:r>
      <w:r w:rsidRPr="006A1289">
        <w:rPr>
          <w:rStyle w:val="af6"/>
          <w:rFonts w:eastAsia="Guttman Hodes" w:hint="cs"/>
          <w:cs/>
        </w:rPr>
        <w:t>‎</w:t>
      </w:r>
      <w:r w:rsidRPr="006A1289">
        <w:rPr>
          <w:rStyle w:val="af6"/>
          <w:rFonts w:eastAsia="Guttman Hodes"/>
          <w:rtl/>
        </w:rPr>
        <w:fldChar w:fldCharType="begin"/>
      </w:r>
      <w:r w:rsidRPr="006A1289">
        <w:rPr>
          <w:rStyle w:val="af6"/>
          <w:rFonts w:eastAsia="Guttman Hodes"/>
          <w:rtl/>
        </w:rPr>
        <w:instrText xml:space="preserve"> </w:instrText>
      </w:r>
      <w:r w:rsidRPr="006A1289">
        <w:rPr>
          <w:rStyle w:val="af6"/>
          <w:rFonts w:eastAsia="Guttman Hodes" w:hint="cs"/>
        </w:rPr>
        <w:instrText>REF</w:instrText>
      </w:r>
      <w:r w:rsidRPr="006A1289">
        <w:rPr>
          <w:rStyle w:val="af6"/>
          <w:rFonts w:eastAsia="Guttman Hodes" w:hint="cs"/>
          <w:rtl/>
        </w:rPr>
        <w:instrText xml:space="preserve"> _</w:instrText>
      </w:r>
      <w:r w:rsidRPr="006A1289">
        <w:rPr>
          <w:rStyle w:val="af6"/>
          <w:rFonts w:eastAsia="Guttman Hodes" w:hint="cs"/>
        </w:rPr>
        <w:instrText>Ref24902820 \r \h</w:instrText>
      </w:r>
      <w:r w:rsidRPr="006A1289">
        <w:rPr>
          <w:rStyle w:val="af6"/>
          <w:rFonts w:eastAsia="Guttman Hodes"/>
          <w:rtl/>
        </w:rPr>
        <w:instrText xml:space="preserve"> </w:instrText>
      </w:r>
      <w:r w:rsidRPr="006A1289">
        <w:rPr>
          <w:rStyle w:val="af6"/>
          <w:rFonts w:eastAsia="Guttman Hodes"/>
          <w:rtl/>
        </w:rPr>
      </w:r>
      <w:r w:rsidRPr="006A1289">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6A1289">
        <w:rPr>
          <w:rStyle w:val="af6"/>
          <w:rFonts w:eastAsia="Guttman Hodes"/>
          <w:rtl/>
        </w:rPr>
        <w:fldChar w:fldCharType="end"/>
      </w:r>
      <w:r w:rsidRPr="006A1289">
        <w:rPr>
          <w:rStyle w:val="af6"/>
          <w:rFonts w:eastAsia="Guttman Hodes" w:hint="cs"/>
          <w:rtl/>
        </w:rPr>
        <w:t xml:space="preserve"> </w:t>
      </w:r>
      <w:r w:rsidRPr="006A1289">
        <w:rPr>
          <w:rStyle w:val="af6"/>
          <w:rFonts w:eastAsia="Guttman Adii-Light" w:hint="cs"/>
          <w:rtl/>
        </w:rPr>
        <w:t xml:space="preserve"> </w:t>
      </w:r>
      <w:r>
        <w:rPr>
          <w:rFonts w:hint="cs"/>
          <w:rtl/>
        </w:rPr>
        <w:t xml:space="preserve">שאוסר לאכול את כל התערובת בבת אחת, א"כ אף במגע בנוגע בבת אחת צריך לטמא מדאו', </w:t>
      </w:r>
      <w:r w:rsidRPr="00A72D0E">
        <w:rPr>
          <w:rStyle w:val="afa"/>
          <w:rFonts w:hint="cs"/>
          <w:rtl/>
        </w:rPr>
        <w:t xml:space="preserve">[אי ס"ל דהאיסור לאכול בבת אחת הוא מדאו', כדכתב </w:t>
      </w:r>
      <w:r w:rsidRPr="00B41600">
        <w:rPr>
          <w:rStyle w:val="affa"/>
          <w:rFonts w:hint="cs"/>
          <w:rtl/>
        </w:rPr>
        <w:t>בחי' הגרש"ש</w:t>
      </w:r>
      <w:r w:rsidRPr="00A72D0E">
        <w:rPr>
          <w:rStyle w:val="afa"/>
          <w:rFonts w:hint="cs"/>
          <w:rtl/>
        </w:rPr>
        <w:t xml:space="preserve"> </w:t>
      </w:r>
      <w:r w:rsidRPr="006A1289">
        <w:rPr>
          <w:rStyle w:val="aff6"/>
          <w:rFonts w:hint="cs"/>
          <w:rtl/>
        </w:rPr>
        <w:t>(הובא בסימן י"ז אות ס"ב)</w:t>
      </w:r>
      <w:r w:rsidRPr="00A72D0E">
        <w:rPr>
          <w:rStyle w:val="afa"/>
          <w:rFonts w:hint="cs"/>
          <w:rtl/>
        </w:rPr>
        <w:t xml:space="preserve"> דכן משמע </w:t>
      </w:r>
      <w:r w:rsidRPr="00B41600">
        <w:rPr>
          <w:rStyle w:val="affa"/>
          <w:rFonts w:hint="cs"/>
          <w:rtl/>
        </w:rPr>
        <w:t>בב"י</w:t>
      </w:r>
      <w:r w:rsidRPr="00A72D0E">
        <w:rPr>
          <w:rStyle w:val="afa"/>
          <w:rFonts w:hint="cs"/>
          <w:rtl/>
        </w:rPr>
        <w:t>],</w:t>
      </w:r>
      <w:r>
        <w:rPr>
          <w:rFonts w:hint="cs"/>
          <w:rtl/>
        </w:rPr>
        <w:t xml:space="preserve"> ולכה"פ יהיה טמא במגע בבת אחת מדרבנן.</w:t>
      </w:r>
    </w:p>
    <w:p w:rsidR="003A5D2C" w:rsidRDefault="003A5D2C" w:rsidP="003A5D2C">
      <w:pPr>
        <w:pStyle w:val="a2"/>
        <w:rPr>
          <w:rtl/>
        </w:rPr>
      </w:pPr>
      <w:bookmarkStart w:id="15708" w:name="_Toc25536254"/>
      <w:bookmarkStart w:id="15709" w:name="_Toc25571318"/>
      <w:bookmarkStart w:id="15710" w:name="_Toc25572800"/>
      <w:bookmarkStart w:id="15711" w:name="_Toc25573042"/>
      <w:r>
        <w:rPr>
          <w:rFonts w:hint="cs"/>
          <w:rtl/>
        </w:rPr>
        <w:t>ביאור הגרש"ש דכל נגיעה היא בפנ"ע וכ"א מותרת מדין כל דפריש וממילא אף בב"א יש ביטול</w:t>
      </w:r>
      <w:bookmarkEnd w:id="15708"/>
      <w:bookmarkEnd w:id="15709"/>
      <w:bookmarkEnd w:id="15710"/>
      <w:bookmarkEnd w:id="15711"/>
    </w:p>
    <w:p w:rsidR="003A5D2C" w:rsidRPr="00327970" w:rsidRDefault="003A5D2C" w:rsidP="009F44AF">
      <w:pPr>
        <w:pStyle w:val="a"/>
        <w:rPr>
          <w:rStyle w:val="afa"/>
          <w:rtl/>
        </w:rPr>
      </w:pPr>
      <w:r>
        <w:rPr>
          <w:rFonts w:hint="cs"/>
          <w:rtl/>
        </w:rPr>
        <w:t xml:space="preserve">וביאר </w:t>
      </w:r>
      <w:r w:rsidRPr="00C30CCB">
        <w:rPr>
          <w:rStyle w:val="af8"/>
          <w:rFonts w:hint="cs"/>
          <w:rtl/>
        </w:rPr>
        <w:t>בחי' הגרש"ש בב"מ</w:t>
      </w:r>
      <w:r>
        <w:rPr>
          <w:rFonts w:hint="cs"/>
          <w:rtl/>
        </w:rPr>
        <w:t xml:space="preserve"> דבמגע אף שנוגע בבת אחת בכל החתיכות, מ"מ כל נגיעה היא בפנ"ע, דמה שנוגע בבשרו במקום אחד, אין לו כל שייכות למה שנוגע בבשרו במקום אחר, ולכן כיון שעל כל נגיעה יש רוב מדין כל דפריש, ממילא יש היתר אף בנגע בבת אחת מדין ביטול </w:t>
      </w:r>
      <w:r w:rsidRPr="00BA41D0">
        <w:rPr>
          <w:rFonts w:hint="cs"/>
          <w:rtl/>
        </w:rPr>
        <w:t xml:space="preserve">ברוב. </w:t>
      </w:r>
      <w:r w:rsidRPr="00327970">
        <w:rPr>
          <w:rStyle w:val="afa"/>
          <w:rFonts w:hint="cs"/>
          <w:rtl/>
        </w:rPr>
        <w:t xml:space="preserve">[וכדביאר </w:t>
      </w:r>
      <w:r w:rsidRPr="00C30CCB">
        <w:rPr>
          <w:rStyle w:val="affa"/>
          <w:rFonts w:hint="cs"/>
          <w:rtl/>
        </w:rPr>
        <w:t>בחי' הגרש"ש</w:t>
      </w:r>
      <w:r w:rsidRPr="00C30CCB">
        <w:rPr>
          <w:rStyle w:val="affa"/>
          <w:rtl/>
        </w:rPr>
        <w:t xml:space="preserve"> בב"מ</w:t>
      </w:r>
      <w:r w:rsidRPr="00A249E4">
        <w:rPr>
          <w:rStyle w:val="afa"/>
          <w:rFonts w:hint="cs"/>
          <w:rtl/>
        </w:rPr>
        <w:t xml:space="preserve"> </w:t>
      </w:r>
      <w:r w:rsidRPr="00C30CCB">
        <w:rPr>
          <w:rStyle w:val="aff6"/>
          <w:rFonts w:hint="cs"/>
          <w:rtl/>
        </w:rPr>
        <w:t>(סי' ז' [מהדו' חד' סי' ח'] אות ג')</w:t>
      </w:r>
      <w:r w:rsidRPr="00327970">
        <w:rPr>
          <w:rStyle w:val="afa"/>
          <w:rFonts w:hint="cs"/>
          <w:rtl/>
        </w:rPr>
        <w:t xml:space="preserve"> דהיתר ביטול ברוב שייך רק במקום שיש היתר מדין כל דפריש].</w:t>
      </w:r>
    </w:p>
    <w:p w:rsidR="003A5D2C" w:rsidRDefault="003A5D2C" w:rsidP="003A5D2C">
      <w:pPr>
        <w:pStyle w:val="a2"/>
        <w:rPr>
          <w:rtl/>
        </w:rPr>
      </w:pPr>
      <w:bookmarkStart w:id="15712" w:name="_Toc25536255"/>
      <w:bookmarkStart w:id="15713" w:name="_Toc25571319"/>
      <w:bookmarkStart w:id="15714" w:name="_Toc25572801"/>
      <w:bookmarkStart w:id="15715" w:name="_Toc25573043"/>
      <w:r>
        <w:rPr>
          <w:rFonts w:hint="cs"/>
          <w:rtl/>
        </w:rPr>
        <w:t>ביאור הגרש"ש דבמשא בב"א חשיב משא אחד ולא ב' פעולות ואין היתר מדין כל דפריש</w:t>
      </w:r>
      <w:bookmarkEnd w:id="15712"/>
      <w:bookmarkEnd w:id="15713"/>
      <w:bookmarkEnd w:id="15714"/>
      <w:bookmarkEnd w:id="15715"/>
    </w:p>
    <w:p w:rsidR="003A5D2C" w:rsidRDefault="003A5D2C" w:rsidP="009F44AF">
      <w:pPr>
        <w:pStyle w:val="a"/>
        <w:rPr>
          <w:rtl/>
        </w:rPr>
      </w:pPr>
      <w:r>
        <w:rPr>
          <w:rFonts w:hint="cs"/>
          <w:rtl/>
        </w:rPr>
        <w:t xml:space="preserve">אבל בטומאת משא כתב </w:t>
      </w:r>
      <w:r w:rsidRPr="00C30CCB">
        <w:rPr>
          <w:rStyle w:val="af8"/>
          <w:rFonts w:hint="cs"/>
          <w:rtl/>
        </w:rPr>
        <w:t>בחי' הגרש"ש בב"מ</w:t>
      </w:r>
      <w:r>
        <w:rPr>
          <w:rFonts w:hint="cs"/>
          <w:rtl/>
        </w:rPr>
        <w:t xml:space="preserve"> דכיון שנושא בבת אחת את כל התערובת, א"כ חשיב משא אחד ואין ב' פעולות שונות במשא שלו, וא"כ לא שייך בזה רוב מדין כל דפריש, ולכן אין גם את ההיתר דביטול ברוב, וכתב </w:t>
      </w:r>
      <w:r w:rsidRPr="00C30CCB">
        <w:rPr>
          <w:rStyle w:val="af8"/>
          <w:rFonts w:hint="cs"/>
          <w:rtl/>
        </w:rPr>
        <w:t>בחי' הגרש"ש בב"מ</w:t>
      </w:r>
      <w:r>
        <w:rPr>
          <w:rFonts w:hint="cs"/>
          <w:rtl/>
        </w:rPr>
        <w:t xml:space="preserve"> דכן מבואר בדברי </w:t>
      </w:r>
      <w:r w:rsidRPr="00C30CCB">
        <w:rPr>
          <w:rStyle w:val="af8"/>
          <w:rFonts w:hint="cs"/>
          <w:rtl/>
        </w:rPr>
        <w:t>הכס"מ</w:t>
      </w:r>
      <w:r>
        <w:rPr>
          <w:rFonts w:hint="cs"/>
          <w:rtl/>
        </w:rPr>
        <w:t xml:space="preserve"> </w:t>
      </w:r>
      <w:r w:rsidRPr="00EB5727">
        <w:rPr>
          <w:rStyle w:val="af6"/>
          <w:rFonts w:eastAsia="Guttman Hodes" w:hint="cs"/>
          <w:rtl/>
        </w:rPr>
        <w:t xml:space="preserve">(עי' אות </w:t>
      </w:r>
      <w:r w:rsidRPr="00EB5727">
        <w:rPr>
          <w:rStyle w:val="af6"/>
          <w:rFonts w:eastAsia="Guttman Hodes"/>
          <w:rtl/>
        </w:rPr>
        <w:fldChar w:fldCharType="begin"/>
      </w:r>
      <w:r w:rsidRPr="00EB5727">
        <w:rPr>
          <w:rStyle w:val="af6"/>
          <w:rFonts w:eastAsia="Guttman Hodes"/>
          <w:rtl/>
        </w:rPr>
        <w:instrText xml:space="preserve"> </w:instrText>
      </w:r>
      <w:r w:rsidRPr="00EB5727">
        <w:rPr>
          <w:rStyle w:val="af6"/>
          <w:rFonts w:eastAsia="Guttman Hodes" w:hint="cs"/>
        </w:rPr>
        <w:instrText>REF</w:instrText>
      </w:r>
      <w:r w:rsidRPr="00EB5727">
        <w:rPr>
          <w:rStyle w:val="af6"/>
          <w:rFonts w:eastAsia="Guttman Hodes" w:hint="cs"/>
          <w:rtl/>
        </w:rPr>
        <w:instrText xml:space="preserve"> _</w:instrText>
      </w:r>
      <w:r w:rsidRPr="00EB5727">
        <w:rPr>
          <w:rStyle w:val="af6"/>
          <w:rFonts w:eastAsia="Guttman Hodes" w:hint="cs"/>
        </w:rPr>
        <w:instrText>Ref25522909 \r \h</w:instrText>
      </w:r>
      <w:r w:rsidRPr="00EB5727">
        <w:rPr>
          <w:rStyle w:val="af6"/>
          <w:rFonts w:eastAsia="Guttman Hodes"/>
          <w:rtl/>
        </w:rPr>
        <w:instrText xml:space="preserve"> </w:instrText>
      </w:r>
      <w:r w:rsidRPr="00EB5727">
        <w:rPr>
          <w:rStyle w:val="af6"/>
          <w:rFonts w:eastAsia="Guttman Hodes"/>
          <w:rtl/>
        </w:rPr>
      </w:r>
      <w:r w:rsidRPr="00EB5727">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EB5727">
        <w:rPr>
          <w:rStyle w:val="af6"/>
          <w:rFonts w:eastAsia="Guttman Hodes"/>
          <w:rtl/>
        </w:rPr>
        <w:fldChar w:fldCharType="end"/>
      </w:r>
      <w:r>
        <w:rPr>
          <w:rFonts w:hint="cs"/>
          <w:rtl/>
        </w:rPr>
        <w:t xml:space="preserve"> בשם </w:t>
      </w:r>
      <w:r w:rsidRPr="00C30CCB">
        <w:rPr>
          <w:rStyle w:val="af8"/>
          <w:rFonts w:hint="cs"/>
          <w:rtl/>
        </w:rPr>
        <w:t>המהר"י קורקוס</w:t>
      </w:r>
      <w:r>
        <w:rPr>
          <w:rFonts w:hint="cs"/>
          <w:rtl/>
        </w:rPr>
        <w:t xml:space="preserve">. </w:t>
      </w:r>
    </w:p>
    <w:p w:rsidR="003A5D2C" w:rsidRDefault="003A5D2C" w:rsidP="003A5D2C">
      <w:pPr>
        <w:pStyle w:val="1"/>
        <w:rPr>
          <w:rtl/>
        </w:rPr>
      </w:pPr>
      <w:bookmarkStart w:id="15716" w:name="_Toc25536256"/>
      <w:bookmarkStart w:id="15717" w:name="_Toc25571320"/>
      <w:bookmarkStart w:id="15718" w:name="_Toc25572802"/>
      <w:bookmarkStart w:id="15719" w:name="_Toc25573044"/>
      <w:r>
        <w:rPr>
          <w:rFonts w:hint="cs"/>
          <w:rtl/>
        </w:rPr>
        <w:t>דברי חי' הגרש"ש דלרא"ש ותוס' טמא מדרבנן ולרשב"א מדאו'</w:t>
      </w:r>
      <w:bookmarkEnd w:id="15716"/>
      <w:bookmarkEnd w:id="15717"/>
      <w:bookmarkEnd w:id="15718"/>
      <w:bookmarkEnd w:id="15719"/>
    </w:p>
    <w:p w:rsidR="003A5D2C" w:rsidRPr="00873754" w:rsidRDefault="003A5D2C" w:rsidP="003A5D2C">
      <w:pPr>
        <w:pStyle w:val="a2"/>
        <w:rPr>
          <w:rtl/>
        </w:rPr>
      </w:pPr>
      <w:bookmarkStart w:id="15720" w:name="_Toc25536257"/>
      <w:bookmarkStart w:id="15721" w:name="_Toc25571321"/>
      <w:bookmarkStart w:id="15722" w:name="_Toc25572803"/>
      <w:bookmarkStart w:id="15723" w:name="_Toc25573045"/>
      <w:r>
        <w:rPr>
          <w:rFonts w:hint="cs"/>
          <w:rtl/>
        </w:rPr>
        <w:t>דברי הגרש"ש דלהרא"ש מטמאה במשא מדרבנן כתוס' דטומאת משא חמורה מאכילה</w:t>
      </w:r>
      <w:bookmarkEnd w:id="15720"/>
      <w:bookmarkEnd w:id="15721"/>
      <w:bookmarkEnd w:id="15722"/>
      <w:bookmarkEnd w:id="15723"/>
    </w:p>
    <w:p w:rsidR="003A5D2C" w:rsidRDefault="003A5D2C" w:rsidP="009F44AF">
      <w:pPr>
        <w:pStyle w:val="a"/>
        <w:rPr>
          <w:rtl/>
        </w:rPr>
      </w:pPr>
      <w:r>
        <w:rPr>
          <w:rFonts w:hint="cs"/>
          <w:rtl/>
        </w:rPr>
        <w:t xml:space="preserve">וכתב </w:t>
      </w:r>
      <w:r w:rsidRPr="00C30CCB">
        <w:rPr>
          <w:rStyle w:val="af8"/>
          <w:rFonts w:hint="cs"/>
          <w:rtl/>
        </w:rPr>
        <w:t>בחי' הגרש"ש בב"מ</w:t>
      </w:r>
      <w:r>
        <w:rPr>
          <w:rFonts w:hint="cs"/>
          <w:rtl/>
        </w:rPr>
        <w:t xml:space="preserve"> דבטומאת משא ס"ל </w:t>
      </w:r>
      <w:r w:rsidRPr="00C30CCB">
        <w:rPr>
          <w:rStyle w:val="af8"/>
          <w:rFonts w:hint="cs"/>
          <w:rtl/>
        </w:rPr>
        <w:t>להרא"ש</w:t>
      </w:r>
      <w:r>
        <w:rPr>
          <w:rFonts w:hint="cs"/>
          <w:rtl/>
        </w:rPr>
        <w:t xml:space="preserve"> כדעת </w:t>
      </w:r>
      <w:r w:rsidRPr="00C30CCB">
        <w:rPr>
          <w:rStyle w:val="af8"/>
          <w:rFonts w:hint="cs"/>
          <w:rtl/>
        </w:rPr>
        <w:t>התוס' בבכורות</w:t>
      </w:r>
      <w:r>
        <w:rPr>
          <w:rFonts w:hint="cs"/>
          <w:rtl/>
        </w:rPr>
        <w:t xml:space="preserve"> </w:t>
      </w:r>
      <w:r w:rsidRPr="002B45DD">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Ref25534516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Pr>
          <w:rStyle w:val="af6"/>
          <w:rFonts w:eastAsia="Guttman Hodes"/>
          <w:rtl/>
        </w:rPr>
        <w:fldChar w:fldCharType="end"/>
      </w:r>
      <w:r>
        <w:rPr>
          <w:rStyle w:val="af6"/>
          <w:rFonts w:eastAsia="Guttman Hodes" w:hint="cs"/>
          <w:rtl/>
        </w:rPr>
        <w:t xml:space="preserve"> </w:t>
      </w:r>
      <w:r>
        <w:rPr>
          <w:rFonts w:hint="cs"/>
          <w:rtl/>
        </w:rPr>
        <w:t xml:space="preserve">דמטמאה במשא רק מדרבנן, וכדביארו </w:t>
      </w:r>
      <w:r w:rsidRPr="00C30CCB">
        <w:rPr>
          <w:rStyle w:val="af8"/>
          <w:rFonts w:hint="cs"/>
          <w:rtl/>
        </w:rPr>
        <w:t>התוס' בבכורות</w:t>
      </w:r>
      <w:r>
        <w:rPr>
          <w:rFonts w:hint="cs"/>
          <w:rtl/>
        </w:rPr>
        <w:t xml:space="preserve"> </w:t>
      </w:r>
      <w:r w:rsidRPr="002B45DD">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Ref25522241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Pr>
          <w:rStyle w:val="af6"/>
          <w:rFonts w:eastAsia="Guttman Hodes"/>
          <w:rtl/>
        </w:rPr>
        <w:fldChar w:fldCharType="end"/>
      </w:r>
      <w:r>
        <w:rPr>
          <w:rStyle w:val="af6"/>
          <w:rFonts w:eastAsia="Guttman Hodes" w:hint="cs"/>
          <w:rtl/>
        </w:rPr>
        <w:t xml:space="preserve"> </w:t>
      </w:r>
      <w:r>
        <w:rPr>
          <w:rFonts w:hint="cs"/>
          <w:rtl/>
        </w:rPr>
        <w:t>דטומאת משא חמורה יותר מאכילה, כיון דבאכילה כל משהו שבולע באכילתו, מתבטל דקמא קמא בטיל.</w:t>
      </w:r>
    </w:p>
    <w:p w:rsidR="003A5D2C" w:rsidRDefault="003A5D2C" w:rsidP="003A5D2C">
      <w:pPr>
        <w:pStyle w:val="a2"/>
        <w:rPr>
          <w:rtl/>
        </w:rPr>
      </w:pPr>
      <w:bookmarkStart w:id="15724" w:name="_Toc25536258"/>
      <w:bookmarkStart w:id="15725" w:name="_Toc25571322"/>
      <w:bookmarkStart w:id="15726" w:name="_Toc25572804"/>
      <w:bookmarkStart w:id="15727" w:name="_Toc25573046"/>
      <w:r>
        <w:rPr>
          <w:rFonts w:hint="cs"/>
          <w:rtl/>
        </w:rPr>
        <w:t>ביאור הגרש"ש ברשב"א דאוכל בב"א דמי למשא וס"ל דאין ביטול כשבולע דהוא הנאה אחת</w:t>
      </w:r>
      <w:bookmarkEnd w:id="15724"/>
      <w:bookmarkEnd w:id="15725"/>
      <w:bookmarkEnd w:id="15726"/>
      <w:bookmarkEnd w:id="15727"/>
    </w:p>
    <w:p w:rsidR="003A5D2C" w:rsidRDefault="003A5D2C" w:rsidP="009F44AF">
      <w:pPr>
        <w:pStyle w:val="a"/>
        <w:rPr>
          <w:rtl/>
        </w:rPr>
      </w:pPr>
      <w:r>
        <w:rPr>
          <w:rFonts w:hint="cs"/>
          <w:rtl/>
        </w:rPr>
        <w:lastRenderedPageBreak/>
        <w:t xml:space="preserve">וביאר </w:t>
      </w:r>
      <w:r w:rsidRPr="00C30CCB">
        <w:rPr>
          <w:rStyle w:val="af8"/>
          <w:rFonts w:hint="cs"/>
          <w:rtl/>
        </w:rPr>
        <w:t>בחי' הגרש"ש</w:t>
      </w:r>
      <w:r>
        <w:rPr>
          <w:rFonts w:hint="cs"/>
          <w:rtl/>
        </w:rPr>
        <w:t xml:space="preserve"> </w:t>
      </w:r>
      <w:r w:rsidRPr="00C30CCB">
        <w:rPr>
          <w:rStyle w:val="af8"/>
          <w:rFonts w:hint="cs"/>
          <w:rtl/>
        </w:rPr>
        <w:t>בב"מ</w:t>
      </w:r>
      <w:r>
        <w:rPr>
          <w:rFonts w:hint="cs"/>
          <w:rtl/>
        </w:rPr>
        <w:t xml:space="preserve"> </w:t>
      </w:r>
      <w:r w:rsidRPr="00C30CCB">
        <w:rPr>
          <w:rStyle w:val="af8"/>
          <w:rFonts w:hint="cs"/>
          <w:rtl/>
        </w:rPr>
        <w:t>דהרשב"א</w:t>
      </w:r>
      <w:r>
        <w:rPr>
          <w:rFonts w:hint="cs"/>
          <w:rtl/>
        </w:rPr>
        <w:t xml:space="preserve"> </w:t>
      </w:r>
      <w:r w:rsidRPr="002B45DD">
        <w:rPr>
          <w:rStyle w:val="af6"/>
          <w:rFonts w:eastAsia="Guttman Hodes" w:hint="cs"/>
          <w:rtl/>
        </w:rPr>
        <w:t xml:space="preserve">(עי' אות </w:t>
      </w:r>
      <w:r w:rsidRPr="002B45DD">
        <w:rPr>
          <w:rStyle w:val="af6"/>
          <w:rFonts w:eastAsia="Guttman Hodes"/>
          <w:rtl/>
        </w:rPr>
        <w:fldChar w:fldCharType="begin"/>
      </w:r>
      <w:r w:rsidRPr="002B45DD">
        <w:rPr>
          <w:rStyle w:val="af6"/>
          <w:rFonts w:eastAsia="Guttman Hodes"/>
          <w:rtl/>
        </w:rPr>
        <w:instrText xml:space="preserve"> </w:instrText>
      </w:r>
      <w:r w:rsidRPr="002B45DD">
        <w:rPr>
          <w:rStyle w:val="af6"/>
          <w:rFonts w:eastAsia="Guttman Hodes" w:hint="cs"/>
        </w:rPr>
        <w:instrText>REF</w:instrText>
      </w:r>
      <w:r w:rsidRPr="002B45DD">
        <w:rPr>
          <w:rStyle w:val="af6"/>
          <w:rFonts w:eastAsia="Guttman Hodes" w:hint="cs"/>
          <w:rtl/>
        </w:rPr>
        <w:instrText xml:space="preserve"> _</w:instrText>
      </w:r>
      <w:r w:rsidRPr="002B45DD">
        <w:rPr>
          <w:rStyle w:val="af6"/>
          <w:rFonts w:eastAsia="Guttman Hodes" w:hint="cs"/>
        </w:rPr>
        <w:instrText>Ref24902820 \r \h</w:instrText>
      </w:r>
      <w:r w:rsidRPr="002B45DD">
        <w:rPr>
          <w:rStyle w:val="af6"/>
          <w:rFonts w:eastAsia="Guttman Hodes"/>
          <w:rtl/>
        </w:rPr>
        <w:instrText xml:space="preserve"> </w:instrText>
      </w:r>
      <w:r w:rsidRPr="002B45DD">
        <w:rPr>
          <w:rStyle w:val="af6"/>
          <w:rFonts w:eastAsia="Guttman Hodes"/>
          <w:rtl/>
        </w:rPr>
      </w:r>
      <w:r w:rsidRPr="002B45DD">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2B45DD">
        <w:rPr>
          <w:rStyle w:val="af6"/>
          <w:rFonts w:eastAsia="Guttman Hodes"/>
          <w:rtl/>
        </w:rPr>
        <w:fldChar w:fldCharType="end"/>
      </w:r>
      <w:r>
        <w:rPr>
          <w:rFonts w:hint="cs"/>
          <w:rtl/>
        </w:rPr>
        <w:t xml:space="preserve"> מודה </w:t>
      </w:r>
      <w:r w:rsidRPr="00C30CCB">
        <w:rPr>
          <w:rStyle w:val="af8"/>
          <w:rFonts w:hint="cs"/>
          <w:rtl/>
        </w:rPr>
        <w:t>ל</w:t>
      </w:r>
      <w:r>
        <w:rPr>
          <w:rStyle w:val="af8"/>
          <w:rFonts w:hint="cs"/>
          <w:rtl/>
        </w:rPr>
        <w:t>ה</w:t>
      </w:r>
      <w:r w:rsidRPr="00C30CCB">
        <w:rPr>
          <w:rStyle w:val="af8"/>
          <w:rFonts w:hint="cs"/>
          <w:rtl/>
        </w:rPr>
        <w:t>רא"ש</w:t>
      </w:r>
      <w:r>
        <w:rPr>
          <w:rFonts w:hint="cs"/>
          <w:rtl/>
        </w:rPr>
        <w:t xml:space="preserve"> </w:t>
      </w:r>
      <w:r w:rsidRPr="002B45DD">
        <w:rPr>
          <w:rStyle w:val="af6"/>
          <w:rFonts w:eastAsia="Guttman Hodes" w:hint="cs"/>
          <w:rtl/>
        </w:rPr>
        <w:t xml:space="preserve">(עי' אות </w:t>
      </w:r>
      <w:r w:rsidRPr="002B45DD">
        <w:rPr>
          <w:rStyle w:val="af6"/>
          <w:rFonts w:eastAsia="Guttman Hodes"/>
          <w:rtl/>
        </w:rPr>
        <w:fldChar w:fldCharType="begin"/>
      </w:r>
      <w:r w:rsidRPr="002B45DD">
        <w:rPr>
          <w:rStyle w:val="af6"/>
          <w:rFonts w:eastAsia="Guttman Hodes"/>
          <w:rtl/>
        </w:rPr>
        <w:instrText xml:space="preserve"> </w:instrText>
      </w:r>
      <w:r w:rsidRPr="002B45DD">
        <w:rPr>
          <w:rStyle w:val="af6"/>
          <w:rFonts w:eastAsia="Guttman Hodes" w:hint="cs"/>
        </w:rPr>
        <w:instrText>REF</w:instrText>
      </w:r>
      <w:r w:rsidRPr="002B45DD">
        <w:rPr>
          <w:rStyle w:val="af6"/>
          <w:rFonts w:eastAsia="Guttman Hodes" w:hint="cs"/>
          <w:rtl/>
        </w:rPr>
        <w:instrText xml:space="preserve"> _</w:instrText>
      </w:r>
      <w:r w:rsidRPr="002B45DD">
        <w:rPr>
          <w:rStyle w:val="af6"/>
          <w:rFonts w:eastAsia="Guttman Hodes" w:hint="cs"/>
        </w:rPr>
        <w:instrText>Ref24902820 \r \h</w:instrText>
      </w:r>
      <w:r w:rsidRPr="002B45DD">
        <w:rPr>
          <w:rStyle w:val="af6"/>
          <w:rFonts w:eastAsia="Guttman Hodes"/>
          <w:rtl/>
        </w:rPr>
        <w:instrText xml:space="preserve"> </w:instrText>
      </w:r>
      <w:r w:rsidRPr="002B45DD">
        <w:rPr>
          <w:rStyle w:val="af6"/>
          <w:rFonts w:eastAsia="Guttman Hodes"/>
          <w:rtl/>
        </w:rPr>
      </w:r>
      <w:r w:rsidRPr="002B45DD">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2B45DD">
        <w:rPr>
          <w:rStyle w:val="af6"/>
          <w:rFonts w:eastAsia="Guttman Hodes"/>
          <w:rtl/>
        </w:rPr>
        <w:fldChar w:fldCharType="end"/>
      </w:r>
      <w:r>
        <w:rPr>
          <w:rFonts w:hint="cs"/>
          <w:rtl/>
        </w:rPr>
        <w:t xml:space="preserve"> שהאיסור נהפך להיתר, אך ס"ל </w:t>
      </w:r>
      <w:r w:rsidRPr="00EB5727">
        <w:rPr>
          <w:rStyle w:val="af8"/>
          <w:rFonts w:hint="cs"/>
          <w:rtl/>
        </w:rPr>
        <w:t>להרשב"א</w:t>
      </w:r>
      <w:r>
        <w:rPr>
          <w:rFonts w:hint="cs"/>
          <w:rtl/>
        </w:rPr>
        <w:t xml:space="preserve"> דזהו דוקא אם בזמן האכילה כל חתיכה בפנ"ע מותרת מדין כל דפריש, וממילא יש היתר על כל התערובת, וביאר </w:t>
      </w:r>
      <w:r w:rsidRPr="00C30CCB">
        <w:rPr>
          <w:rStyle w:val="af8"/>
          <w:rFonts w:hint="cs"/>
          <w:rtl/>
        </w:rPr>
        <w:t>בחי' הגרש"ש בב"מ</w:t>
      </w:r>
      <w:r>
        <w:rPr>
          <w:rFonts w:hint="cs"/>
          <w:rtl/>
        </w:rPr>
        <w:t xml:space="preserve"> דס"ל </w:t>
      </w:r>
      <w:r>
        <w:rPr>
          <w:rStyle w:val="af8"/>
          <w:rFonts w:hint="cs"/>
          <w:rtl/>
        </w:rPr>
        <w:t>ל</w:t>
      </w:r>
      <w:r w:rsidRPr="00C30CCB">
        <w:rPr>
          <w:rStyle w:val="af8"/>
          <w:rFonts w:hint="cs"/>
          <w:rtl/>
        </w:rPr>
        <w:t>הרשב"א</w:t>
      </w:r>
      <w:r>
        <w:rPr>
          <w:rFonts w:hint="cs"/>
          <w:rtl/>
        </w:rPr>
        <w:t xml:space="preserve"> דכשאוכל את כל התערובת בבת אחת, דמי לטומאת משא, ולא דמי לטומאת מגע, וכתב </w:t>
      </w:r>
      <w:r w:rsidRPr="00C30CCB">
        <w:rPr>
          <w:rStyle w:val="af8"/>
          <w:rFonts w:hint="cs"/>
          <w:rtl/>
        </w:rPr>
        <w:t xml:space="preserve">הגרש"ש דהרשב"א </w:t>
      </w:r>
      <w:r>
        <w:rPr>
          <w:rFonts w:hint="cs"/>
          <w:rtl/>
        </w:rPr>
        <w:t xml:space="preserve">פליג על סברת </w:t>
      </w:r>
      <w:r w:rsidRPr="00C30CCB">
        <w:rPr>
          <w:rStyle w:val="af8"/>
          <w:rFonts w:hint="cs"/>
          <w:rtl/>
        </w:rPr>
        <w:t>התוס' בבכורות</w:t>
      </w:r>
      <w:r>
        <w:rPr>
          <w:rFonts w:hint="cs"/>
          <w:rtl/>
        </w:rPr>
        <w:t xml:space="preserve"> </w:t>
      </w:r>
      <w:r w:rsidRPr="002B45DD">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Ref25522241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Pr>
          <w:rStyle w:val="af6"/>
          <w:rFonts w:eastAsia="Guttman Hodes"/>
          <w:rtl/>
        </w:rPr>
        <w:fldChar w:fldCharType="end"/>
      </w:r>
      <w:r>
        <w:rPr>
          <w:rStyle w:val="af6"/>
          <w:rFonts w:eastAsia="Guttman Hodes" w:hint="cs"/>
          <w:rtl/>
        </w:rPr>
        <w:t xml:space="preserve"> </w:t>
      </w:r>
      <w:r>
        <w:rPr>
          <w:rFonts w:hint="cs"/>
          <w:rtl/>
        </w:rPr>
        <w:t>דבאכילה קמא קמא בטיל, כיון שההנאה מבית הבליעה היא הנאה אחת, אבל בטומאת מגע, לא חשיב בבת אחת, כיון שכל נגיעה היא בפנ"ע, דמה שנוגע בבשרו במקום אחד, אין לו כל שייכות למה שנוגע בבשרו במקום אחר, ולכן אינו טמא במגע.</w:t>
      </w:r>
    </w:p>
    <w:p w:rsidR="003A5D2C" w:rsidRPr="00A92FC9" w:rsidRDefault="003A5D2C" w:rsidP="003A5D2C">
      <w:pPr>
        <w:pStyle w:val="a2"/>
        <w:rPr>
          <w:rtl/>
        </w:rPr>
      </w:pPr>
      <w:bookmarkStart w:id="15728" w:name="_Toc25571323"/>
      <w:bookmarkStart w:id="15729" w:name="_Toc25572805"/>
      <w:bookmarkStart w:id="15730" w:name="_Toc25573047"/>
      <w:r>
        <w:rPr>
          <w:rFonts w:hint="cs"/>
          <w:rtl/>
        </w:rPr>
        <w:t>ביאור הגרש"ש ברא"ש דבמשא הטומאה חוזרת וניעורה כהוסיף איסור דחשיב כהוכר האיסור</w:t>
      </w:r>
      <w:bookmarkEnd w:id="15728"/>
      <w:bookmarkEnd w:id="15729"/>
      <w:bookmarkEnd w:id="15730"/>
      <w:r>
        <w:rPr>
          <w:rFonts w:hint="cs"/>
          <w:rtl/>
        </w:rPr>
        <w:t xml:space="preserve"> </w:t>
      </w:r>
    </w:p>
    <w:p w:rsidR="003A5D2C" w:rsidRDefault="003A5D2C" w:rsidP="009F44AF">
      <w:pPr>
        <w:pStyle w:val="a"/>
        <w:rPr>
          <w:rtl/>
        </w:rPr>
      </w:pPr>
      <w:r>
        <w:rPr>
          <w:rFonts w:hint="cs"/>
          <w:rtl/>
        </w:rPr>
        <w:t xml:space="preserve">אך כתב </w:t>
      </w:r>
      <w:r w:rsidRPr="004D1772">
        <w:rPr>
          <w:rStyle w:val="af8"/>
          <w:rFonts w:hint="cs"/>
          <w:rtl/>
        </w:rPr>
        <w:t>בחי' הגרש"ש בב"מ</w:t>
      </w:r>
      <w:r>
        <w:rPr>
          <w:rFonts w:hint="cs"/>
          <w:rtl/>
        </w:rPr>
        <w:t xml:space="preserve"> דמהא דכתב </w:t>
      </w:r>
      <w:r w:rsidRPr="004D1772">
        <w:rPr>
          <w:rStyle w:val="af8"/>
          <w:rFonts w:hint="cs"/>
          <w:rtl/>
        </w:rPr>
        <w:t>הרא"ש</w:t>
      </w:r>
      <w:r>
        <w:rPr>
          <w:rFonts w:hint="cs"/>
          <w:rtl/>
        </w:rPr>
        <w:t xml:space="preserve"> </w:t>
      </w:r>
      <w:r w:rsidRPr="00F5457E">
        <w:rPr>
          <w:rStyle w:val="af6"/>
          <w:rFonts w:eastAsia="Guttman Hodes" w:hint="cs"/>
          <w:rtl/>
        </w:rPr>
        <w:t xml:space="preserve">(עי' אות </w:t>
      </w:r>
      <w:r w:rsidRPr="00F5457E">
        <w:rPr>
          <w:rStyle w:val="af6"/>
          <w:rFonts w:eastAsia="Guttman Hodes"/>
          <w:rtl/>
        </w:rPr>
        <w:fldChar w:fldCharType="begin"/>
      </w:r>
      <w:r w:rsidRPr="00F5457E">
        <w:rPr>
          <w:rStyle w:val="af6"/>
          <w:rFonts w:eastAsia="Guttman Hodes"/>
          <w:rtl/>
        </w:rPr>
        <w:instrText xml:space="preserve"> </w:instrText>
      </w:r>
      <w:r w:rsidRPr="00F5457E">
        <w:rPr>
          <w:rStyle w:val="af6"/>
          <w:rFonts w:eastAsia="Guttman Hodes" w:hint="cs"/>
        </w:rPr>
        <w:instrText>REF</w:instrText>
      </w:r>
      <w:r w:rsidRPr="00F5457E">
        <w:rPr>
          <w:rStyle w:val="af6"/>
          <w:rFonts w:eastAsia="Guttman Hodes" w:hint="cs"/>
          <w:rtl/>
        </w:rPr>
        <w:instrText xml:space="preserve"> _</w:instrText>
      </w:r>
      <w:r w:rsidRPr="00F5457E">
        <w:rPr>
          <w:rStyle w:val="af6"/>
          <w:rFonts w:eastAsia="Guttman Hodes" w:hint="cs"/>
        </w:rPr>
        <w:instrText>Ref25491847 \r \h</w:instrText>
      </w:r>
      <w:r w:rsidRPr="00F5457E">
        <w:rPr>
          <w:rStyle w:val="af6"/>
          <w:rFonts w:eastAsia="Guttman Hodes"/>
          <w:rtl/>
        </w:rPr>
        <w:instrText xml:space="preserve"> </w:instrText>
      </w:r>
      <w:r w:rsidRPr="00F5457E">
        <w:rPr>
          <w:rStyle w:val="af6"/>
          <w:rFonts w:eastAsia="Guttman Hodes"/>
          <w:rtl/>
        </w:rPr>
      </w:r>
      <w:r w:rsidRPr="00F5457E">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F5457E">
        <w:rPr>
          <w:rStyle w:val="af6"/>
          <w:rFonts w:eastAsia="Guttman Hodes"/>
          <w:rtl/>
        </w:rPr>
        <w:fldChar w:fldCharType="end"/>
      </w:r>
      <w:r>
        <w:rPr>
          <w:rFonts w:hint="cs"/>
          <w:rtl/>
        </w:rPr>
        <w:t xml:space="preserve"> שהחילוק בין טומאה לאיסור, הוא דמגע ומשא הם ב' דיני טומאות, א"כ מבואר דמלכתחיל</w:t>
      </w:r>
      <w:r w:rsidR="004246F5">
        <w:rPr>
          <w:rFonts w:hint="cs"/>
          <w:rtl/>
        </w:rPr>
        <w:t>ה</w:t>
      </w:r>
      <w:r>
        <w:rPr>
          <w:rFonts w:hint="cs"/>
          <w:rtl/>
        </w:rPr>
        <w:t xml:space="preserve"> ההיתר שנאמר בביטול ברוב הוא רק למגע ולא למשא, משא"כ באכילה שהוא היתר אחד בין אם אוכלו בבת אחת ובין אם אוכלו בזה אחר זה, וביאר </w:t>
      </w:r>
      <w:r w:rsidRPr="004D1772">
        <w:rPr>
          <w:rStyle w:val="af8"/>
          <w:rFonts w:hint="cs"/>
          <w:rtl/>
        </w:rPr>
        <w:t>בחי' הגרש"ש בב"מ</w:t>
      </w:r>
      <w:r>
        <w:rPr>
          <w:rFonts w:hint="cs"/>
          <w:rtl/>
        </w:rPr>
        <w:t xml:space="preserve"> דכוונת </w:t>
      </w:r>
      <w:r w:rsidRPr="004D1772">
        <w:rPr>
          <w:rStyle w:val="af8"/>
          <w:rFonts w:hint="cs"/>
          <w:rtl/>
        </w:rPr>
        <w:t>הרא"ש</w:t>
      </w:r>
      <w:r>
        <w:rPr>
          <w:rFonts w:hint="cs"/>
          <w:rtl/>
        </w:rPr>
        <w:t xml:space="preserve"> לומר דבמשא כשנושא את כל התערובת יחד, אמרינן דהטומאה חוזרת וניעורה, כמו דאמרינן בהוסיף איסור דחוזר וניעור, דחשיב כהוכר האיסור, כיון שההיתר של הביטול מהני רק כ"ז שיש יותר היתר מאיסור, אבל בכל אופן שלא יהיה רוב בהיתר, א"כ מכאן ולהבא נתחדש איסור, וה"ה בנושא בבת אחת דחשיב כהוכר האיסור, לענין טומאת משא.</w:t>
      </w:r>
    </w:p>
    <w:p w:rsidR="003A5D2C" w:rsidRPr="0030685F" w:rsidRDefault="003A5D2C" w:rsidP="003A5D2C">
      <w:pPr>
        <w:pStyle w:val="a2"/>
      </w:pPr>
      <w:bookmarkStart w:id="15731" w:name="_Toc25571324"/>
      <w:bookmarkStart w:id="15732" w:name="_Toc25572806"/>
      <w:bookmarkStart w:id="15733" w:name="_Toc25573048"/>
      <w:r>
        <w:rPr>
          <w:rFonts w:hint="cs"/>
          <w:rtl/>
        </w:rPr>
        <w:t>ביאור הגרש"ש ברא"ש דבאכילה בב"א א"א לומר שאסור מכאן ולהבא דאין ב' דינים באכילה</w:t>
      </w:r>
      <w:bookmarkEnd w:id="15731"/>
      <w:bookmarkEnd w:id="15732"/>
      <w:bookmarkEnd w:id="15733"/>
    </w:p>
    <w:p w:rsidR="003A5D2C" w:rsidRDefault="003A5D2C" w:rsidP="009F44AF">
      <w:pPr>
        <w:pStyle w:val="a"/>
        <w:rPr>
          <w:rtl/>
        </w:rPr>
      </w:pPr>
      <w:r>
        <w:rPr>
          <w:rFonts w:hint="cs"/>
          <w:rtl/>
        </w:rPr>
        <w:t xml:space="preserve">אבל לענין איסור אכילה, כתב </w:t>
      </w:r>
      <w:r w:rsidRPr="004D1772">
        <w:rPr>
          <w:rStyle w:val="af8"/>
          <w:rFonts w:hint="cs"/>
          <w:rtl/>
        </w:rPr>
        <w:t xml:space="preserve">בחי' הגרש"ש בב"מ </w:t>
      </w:r>
      <w:r w:rsidRPr="00D57C71">
        <w:rPr>
          <w:rFonts w:hint="cs"/>
          <w:rtl/>
        </w:rPr>
        <w:t>דס"ל</w:t>
      </w:r>
      <w:r>
        <w:rPr>
          <w:rStyle w:val="af8"/>
          <w:rFonts w:hint="cs"/>
          <w:rtl/>
        </w:rPr>
        <w:t xml:space="preserve"> להרא"ש </w:t>
      </w:r>
      <w:r>
        <w:rPr>
          <w:rFonts w:hint="cs"/>
          <w:rtl/>
        </w:rPr>
        <w:t xml:space="preserve">דלא שייך לומר שכשאוכל בבת אחת, התחדש איסור מכאן ולהבא, דהוכר האיסור לענין איסור אכילה, כיון שאכילה בבת אחת אינה איסור בפנ"ע, ואין חילוק בתורה בין איסור אכילה בבת אחת לבזה אחר זה, </w:t>
      </w:r>
      <w:r w:rsidRPr="004D1772">
        <w:rPr>
          <w:rStyle w:val="afa"/>
          <w:rFonts w:hint="cs"/>
          <w:rtl/>
        </w:rPr>
        <w:t xml:space="preserve">[ולא דמי לטומאת משא שהיא דין טומאה בפנ"ע, ושייך לומר שהוכר האיסור לענין דין זה], </w:t>
      </w:r>
      <w:r>
        <w:rPr>
          <w:rFonts w:hint="cs"/>
          <w:rtl/>
        </w:rPr>
        <w:t>וכיון שבאכילה הוא איסור אחד, ואם אוכל בזה אחר זה יש רוב, ממילא ודאי שמותר אף באוכל בבת אחת.</w:t>
      </w:r>
    </w:p>
    <w:p w:rsidR="003A5D2C" w:rsidRPr="003A146B" w:rsidRDefault="003A5D2C" w:rsidP="003A5D2C">
      <w:pPr>
        <w:pStyle w:val="1"/>
        <w:rPr>
          <w:rtl/>
        </w:rPr>
      </w:pPr>
      <w:bookmarkStart w:id="15734" w:name="_Toc25536259"/>
      <w:bookmarkStart w:id="15735" w:name="_Toc25571325"/>
      <w:bookmarkStart w:id="15736" w:name="_Toc25572807"/>
      <w:bookmarkStart w:id="15737" w:name="_Toc25573049"/>
      <w:r>
        <w:rPr>
          <w:rFonts w:hint="cs"/>
          <w:rtl/>
        </w:rPr>
        <w:t>ביאור הבאר יצחק בפלוגתת הראשונים אי איסור כמאן דאיתא</w:t>
      </w:r>
      <w:bookmarkEnd w:id="15678"/>
      <w:bookmarkEnd w:id="15734"/>
      <w:bookmarkEnd w:id="15735"/>
      <w:bookmarkEnd w:id="15736"/>
      <w:bookmarkEnd w:id="15737"/>
    </w:p>
    <w:p w:rsidR="003A5D2C" w:rsidRPr="00926966" w:rsidRDefault="003A5D2C" w:rsidP="003A5D2C">
      <w:pPr>
        <w:pStyle w:val="a2"/>
        <w:rPr>
          <w:rtl/>
        </w:rPr>
      </w:pPr>
      <w:bookmarkStart w:id="15738" w:name="_Toc25524729"/>
      <w:bookmarkStart w:id="15739" w:name="_Toc25536260"/>
      <w:bookmarkStart w:id="15740" w:name="_Toc25571326"/>
      <w:bookmarkStart w:id="15741" w:name="_Toc25572808"/>
      <w:bookmarkStart w:id="15742" w:name="_Toc25573050"/>
      <w:r>
        <w:rPr>
          <w:rFonts w:hint="cs"/>
          <w:rtl/>
        </w:rPr>
        <w:t>הוכחת הבאר יצחק דהתוס' ס"ל דהאיסור כמאן דליתא וכהרא"ש דנהפך וטמא במשא מדרבנן</w:t>
      </w:r>
      <w:bookmarkEnd w:id="15738"/>
      <w:bookmarkEnd w:id="15739"/>
      <w:bookmarkEnd w:id="15740"/>
      <w:bookmarkEnd w:id="15741"/>
      <w:bookmarkEnd w:id="15742"/>
    </w:p>
    <w:p w:rsidR="003A5D2C" w:rsidRDefault="003A5D2C" w:rsidP="009F44AF">
      <w:pPr>
        <w:pStyle w:val="a"/>
        <w:rPr>
          <w:rtl/>
        </w:rPr>
      </w:pPr>
      <w:bookmarkStart w:id="15743" w:name="_Ref25523827"/>
      <w:r>
        <w:rPr>
          <w:rFonts w:hint="cs"/>
          <w:rtl/>
        </w:rPr>
        <w:t xml:space="preserve">כתב </w:t>
      </w:r>
      <w:r w:rsidRPr="00744331">
        <w:rPr>
          <w:rStyle w:val="af8"/>
          <w:rFonts w:hint="cs"/>
          <w:rtl/>
        </w:rPr>
        <w:t>הבאר יצחק</w:t>
      </w:r>
      <w:r>
        <w:rPr>
          <w:rFonts w:hint="cs"/>
          <w:rtl/>
        </w:rPr>
        <w:t xml:space="preserve"> </w:t>
      </w:r>
      <w:r w:rsidRPr="00744331">
        <w:rPr>
          <w:rStyle w:val="af6"/>
          <w:rFonts w:eastAsia="Guttman Hodes" w:hint="cs"/>
          <w:rtl/>
        </w:rPr>
        <w:t>(שו"ת יו"ד סי' י' סוד"ה הנני להשיבו)</w:t>
      </w:r>
      <w:r>
        <w:rPr>
          <w:rFonts w:hint="cs"/>
          <w:rtl/>
        </w:rPr>
        <w:t xml:space="preserve"> דמדברי </w:t>
      </w:r>
      <w:r w:rsidRPr="00744331">
        <w:rPr>
          <w:rStyle w:val="af8"/>
          <w:rFonts w:hint="cs"/>
          <w:rtl/>
        </w:rPr>
        <w:t>התוס' במנחות</w:t>
      </w:r>
      <w:r>
        <w:rPr>
          <w:rFonts w:hint="cs"/>
          <w:rtl/>
        </w:rPr>
        <w:t xml:space="preserve"> </w:t>
      </w:r>
      <w:r w:rsidRPr="00744331">
        <w:rPr>
          <w:rStyle w:val="af6"/>
          <w:rFonts w:eastAsia="Guttman Hodes" w:hint="cs"/>
          <w:rtl/>
        </w:rPr>
        <w:t>(כב. ד"ה והן בולעות, הא')</w:t>
      </w:r>
      <w:r>
        <w:rPr>
          <w:rFonts w:hint="cs"/>
          <w:rtl/>
        </w:rPr>
        <w:t xml:space="preserve"> דכתבו דדבר שבטל ברוב חשיב כמאן דליתא, משמע דס"ל כדעת</w:t>
      </w:r>
      <w:r w:rsidRPr="00744331">
        <w:rPr>
          <w:rStyle w:val="af8"/>
          <w:rFonts w:hint="cs"/>
          <w:rtl/>
        </w:rPr>
        <w:t xml:space="preserve"> הרא"ש</w:t>
      </w:r>
      <w:r>
        <w:rPr>
          <w:rFonts w:hint="cs"/>
          <w:rtl/>
        </w:rPr>
        <w:t xml:space="preserve"> </w:t>
      </w:r>
      <w:r w:rsidRPr="003A146B">
        <w:rPr>
          <w:rStyle w:val="af6"/>
          <w:rFonts w:eastAsia="Guttman Hodes" w:hint="cs"/>
          <w:rtl/>
        </w:rPr>
        <w:t xml:space="preserve">(עי' אות </w:t>
      </w:r>
      <w:r w:rsidRPr="003A146B">
        <w:rPr>
          <w:rStyle w:val="af6"/>
          <w:rFonts w:eastAsia="Guttman Hodes"/>
          <w:rtl/>
        </w:rPr>
        <w:fldChar w:fldCharType="begin"/>
      </w:r>
      <w:r w:rsidRPr="003A146B">
        <w:rPr>
          <w:rStyle w:val="af6"/>
          <w:rFonts w:eastAsia="Guttman Hodes"/>
          <w:rtl/>
        </w:rPr>
        <w:instrText xml:space="preserve"> </w:instrText>
      </w:r>
      <w:r w:rsidRPr="003A146B">
        <w:rPr>
          <w:rStyle w:val="af6"/>
          <w:rFonts w:eastAsia="Guttman Hodes" w:hint="cs"/>
        </w:rPr>
        <w:instrText>REF</w:instrText>
      </w:r>
      <w:r w:rsidRPr="003A146B">
        <w:rPr>
          <w:rStyle w:val="af6"/>
          <w:rFonts w:eastAsia="Guttman Hodes" w:hint="cs"/>
          <w:rtl/>
        </w:rPr>
        <w:instrText xml:space="preserve"> _</w:instrText>
      </w:r>
      <w:r w:rsidRPr="003A146B">
        <w:rPr>
          <w:rStyle w:val="af6"/>
          <w:rFonts w:eastAsia="Guttman Hodes" w:hint="cs"/>
        </w:rPr>
        <w:instrText>Ref24902820 \r \h</w:instrText>
      </w:r>
      <w:r w:rsidRPr="003A146B">
        <w:rPr>
          <w:rStyle w:val="af6"/>
          <w:rFonts w:eastAsia="Guttman Hodes"/>
          <w:rtl/>
        </w:rPr>
        <w:instrText xml:space="preserve"> </w:instrText>
      </w:r>
      <w:r w:rsidRPr="003A146B">
        <w:rPr>
          <w:rStyle w:val="af6"/>
          <w:rFonts w:eastAsia="Guttman Hodes"/>
          <w:rtl/>
        </w:rPr>
      </w:r>
      <w:r w:rsidRPr="003A146B">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3A146B">
        <w:rPr>
          <w:rStyle w:val="af6"/>
          <w:rFonts w:eastAsia="Guttman Hodes"/>
          <w:rtl/>
        </w:rPr>
        <w:fldChar w:fldCharType="end"/>
      </w:r>
      <w:r>
        <w:rPr>
          <w:rFonts w:hint="cs"/>
          <w:rtl/>
        </w:rPr>
        <w:t xml:space="preserve"> דהאיסור נהפך להיתר, ולכן הוא כמאן דליתא, וכתב </w:t>
      </w:r>
      <w:r w:rsidRPr="00744331">
        <w:rPr>
          <w:rStyle w:val="af8"/>
          <w:rFonts w:hint="cs"/>
          <w:rtl/>
        </w:rPr>
        <w:t>הבאר יצחק</w:t>
      </w:r>
      <w:r>
        <w:rPr>
          <w:rFonts w:hint="cs"/>
          <w:rtl/>
        </w:rPr>
        <w:t xml:space="preserve"> דלכן ס"ל </w:t>
      </w:r>
      <w:r w:rsidRPr="00744331">
        <w:rPr>
          <w:rStyle w:val="af8"/>
          <w:rFonts w:hint="cs"/>
          <w:rtl/>
        </w:rPr>
        <w:t>להתוס' בבכורות</w:t>
      </w:r>
      <w:r>
        <w:rPr>
          <w:rFonts w:hint="cs"/>
          <w:rtl/>
        </w:rPr>
        <w:t xml:space="preserve"> </w:t>
      </w:r>
      <w:r w:rsidRPr="003A146B">
        <w:rPr>
          <w:rStyle w:val="af6"/>
          <w:rFonts w:eastAsia="Guttman Hodes" w:hint="cs"/>
          <w:rtl/>
        </w:rPr>
        <w:t xml:space="preserve">(עי' אות </w:t>
      </w:r>
      <w:r w:rsidRPr="003A146B">
        <w:rPr>
          <w:rStyle w:val="af6"/>
          <w:rFonts w:eastAsia="Guttman Hodes"/>
          <w:rtl/>
        </w:rPr>
        <w:fldChar w:fldCharType="begin"/>
      </w:r>
      <w:r w:rsidRPr="003A146B">
        <w:rPr>
          <w:rStyle w:val="af6"/>
          <w:rFonts w:eastAsia="Guttman Hodes"/>
          <w:rtl/>
        </w:rPr>
        <w:instrText xml:space="preserve"> </w:instrText>
      </w:r>
      <w:r w:rsidRPr="003A146B">
        <w:rPr>
          <w:rStyle w:val="af6"/>
          <w:rFonts w:eastAsia="Guttman Hodes" w:hint="cs"/>
        </w:rPr>
        <w:instrText>REF</w:instrText>
      </w:r>
      <w:r w:rsidRPr="003A146B">
        <w:rPr>
          <w:rStyle w:val="af6"/>
          <w:rFonts w:eastAsia="Guttman Hodes" w:hint="cs"/>
          <w:rtl/>
        </w:rPr>
        <w:instrText xml:space="preserve"> _</w:instrText>
      </w:r>
      <w:r w:rsidRPr="003A146B">
        <w:rPr>
          <w:rStyle w:val="af6"/>
          <w:rFonts w:eastAsia="Guttman Hodes" w:hint="cs"/>
        </w:rPr>
        <w:instrText>Ref25483296 \r \h</w:instrText>
      </w:r>
      <w:r w:rsidRPr="003A146B">
        <w:rPr>
          <w:rStyle w:val="af6"/>
          <w:rFonts w:eastAsia="Guttman Hodes"/>
          <w:rtl/>
        </w:rPr>
        <w:instrText xml:space="preserve"> </w:instrText>
      </w:r>
      <w:r w:rsidRPr="003A146B">
        <w:rPr>
          <w:rStyle w:val="af6"/>
          <w:rFonts w:eastAsia="Guttman Hodes"/>
          <w:rtl/>
        </w:rPr>
      </w:r>
      <w:r w:rsidRPr="003A146B">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3A146B">
        <w:rPr>
          <w:rStyle w:val="af6"/>
          <w:rFonts w:eastAsia="Guttman Hodes"/>
          <w:rtl/>
        </w:rPr>
        <w:fldChar w:fldCharType="end"/>
      </w:r>
      <w:r>
        <w:rPr>
          <w:rFonts w:hint="cs"/>
          <w:rtl/>
        </w:rPr>
        <w:t xml:space="preserve"> דטומאת משא היא רק מדרבנן.</w:t>
      </w:r>
      <w:bookmarkEnd w:id="15743"/>
    </w:p>
    <w:p w:rsidR="003A5D2C" w:rsidRDefault="003A5D2C" w:rsidP="003A5D2C">
      <w:pPr>
        <w:pStyle w:val="a2"/>
        <w:rPr>
          <w:rtl/>
        </w:rPr>
      </w:pPr>
      <w:bookmarkStart w:id="15744" w:name="_Toc25524730"/>
      <w:bookmarkStart w:id="15745" w:name="_Toc25536261"/>
      <w:bookmarkStart w:id="15746" w:name="_Toc25571327"/>
      <w:bookmarkStart w:id="15747" w:name="_Toc25572809"/>
      <w:bookmarkStart w:id="15748" w:name="_Toc25573051"/>
      <w:r>
        <w:rPr>
          <w:rFonts w:hint="cs"/>
          <w:rtl/>
        </w:rPr>
        <w:t>ביאור הבאר יצחק ברשב"א דרוב מברר על כל חתיכה ובנשא בב"א דאין בירור טמא מדאו'</w:t>
      </w:r>
      <w:bookmarkEnd w:id="15744"/>
      <w:bookmarkEnd w:id="15745"/>
      <w:bookmarkEnd w:id="15746"/>
      <w:bookmarkEnd w:id="15747"/>
      <w:bookmarkEnd w:id="15748"/>
      <w:r>
        <w:rPr>
          <w:rFonts w:hint="cs"/>
          <w:rtl/>
        </w:rPr>
        <w:t xml:space="preserve"> </w:t>
      </w:r>
    </w:p>
    <w:p w:rsidR="003A5D2C" w:rsidRDefault="003A5D2C" w:rsidP="009F44AF">
      <w:pPr>
        <w:pStyle w:val="a"/>
        <w:rPr>
          <w:rtl/>
        </w:rPr>
      </w:pPr>
      <w:bookmarkStart w:id="15749" w:name="_Ref25523967"/>
      <w:r>
        <w:rPr>
          <w:rFonts w:hint="cs"/>
          <w:rtl/>
        </w:rPr>
        <w:t xml:space="preserve">אבל לדעת </w:t>
      </w:r>
      <w:r>
        <w:rPr>
          <w:rStyle w:val="af8"/>
          <w:rFonts w:hint="cs"/>
          <w:rtl/>
        </w:rPr>
        <w:t>הרשב</w:t>
      </w:r>
      <w:r>
        <w:rPr>
          <w:rStyle w:val="af8"/>
          <w:rtl/>
        </w:rPr>
        <w:t>"</w:t>
      </w:r>
      <w:r>
        <w:rPr>
          <w:rStyle w:val="af8"/>
          <w:rFonts w:hint="cs"/>
          <w:rtl/>
        </w:rPr>
        <w:t>א</w:t>
      </w:r>
      <w:r w:rsidRPr="00675008">
        <w:rPr>
          <w:rStyle w:val="af6"/>
          <w:rFonts w:eastAsia="Guttman Hodes" w:hint="cs"/>
          <w:rtl/>
        </w:rPr>
        <w:t xml:space="preserve"> (עי' אות </w:t>
      </w:r>
      <w:r w:rsidRPr="00675008">
        <w:rPr>
          <w:rStyle w:val="af6"/>
          <w:rFonts w:eastAsia="Guttman Hodes"/>
          <w:rtl/>
        </w:rPr>
        <w:fldChar w:fldCharType="begin"/>
      </w:r>
      <w:r w:rsidRPr="00675008">
        <w:rPr>
          <w:rStyle w:val="af6"/>
          <w:rFonts w:eastAsia="Guttman Hodes"/>
          <w:rtl/>
        </w:rPr>
        <w:instrText xml:space="preserve"> </w:instrText>
      </w:r>
      <w:r w:rsidRPr="00675008">
        <w:rPr>
          <w:rStyle w:val="af6"/>
          <w:rFonts w:eastAsia="Guttman Hodes" w:hint="cs"/>
        </w:rPr>
        <w:instrText>REF</w:instrText>
      </w:r>
      <w:r w:rsidRPr="00675008">
        <w:rPr>
          <w:rStyle w:val="af6"/>
          <w:rFonts w:eastAsia="Guttman Hodes" w:hint="cs"/>
          <w:rtl/>
        </w:rPr>
        <w:instrText xml:space="preserve"> _</w:instrText>
      </w:r>
      <w:r w:rsidRPr="00675008">
        <w:rPr>
          <w:rStyle w:val="af6"/>
          <w:rFonts w:eastAsia="Guttman Hodes" w:hint="cs"/>
        </w:rPr>
        <w:instrText>Ref24902820 \r \h</w:instrText>
      </w:r>
      <w:r w:rsidRPr="00675008">
        <w:rPr>
          <w:rStyle w:val="af6"/>
          <w:rFonts w:eastAsia="Guttman Hodes"/>
          <w:rtl/>
        </w:rPr>
        <w:instrText xml:space="preserve"> </w:instrText>
      </w:r>
      <w:r w:rsidRPr="00675008">
        <w:rPr>
          <w:rStyle w:val="af6"/>
          <w:rFonts w:eastAsia="Guttman Hodes"/>
          <w:rtl/>
        </w:rPr>
      </w:r>
      <w:r w:rsidRPr="00675008">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675008">
        <w:rPr>
          <w:rStyle w:val="af6"/>
          <w:rFonts w:eastAsia="Guttman Hodes"/>
          <w:rtl/>
        </w:rPr>
        <w:fldChar w:fldCharType="end"/>
      </w:r>
      <w:r w:rsidRPr="00675008">
        <w:rPr>
          <w:rStyle w:val="af6"/>
          <w:rFonts w:eastAsia="Guttman Hodes" w:hint="cs"/>
          <w:rtl/>
        </w:rPr>
        <w:t xml:space="preserve"> </w:t>
      </w:r>
      <w:r>
        <w:rPr>
          <w:rFonts w:hint="cs"/>
          <w:rtl/>
        </w:rPr>
        <w:t xml:space="preserve">דס"ל דאסור לאכול את כל התערובת בבת אחת, כתב </w:t>
      </w:r>
      <w:r w:rsidRPr="00744331">
        <w:rPr>
          <w:rStyle w:val="af8"/>
          <w:rFonts w:hint="cs"/>
          <w:rtl/>
        </w:rPr>
        <w:t>הבאר יצחק</w:t>
      </w:r>
      <w:r>
        <w:rPr>
          <w:rFonts w:hint="cs"/>
          <w:rtl/>
        </w:rPr>
        <w:t xml:space="preserve"> דהרוב הוא בירור על כל חתיכה שאכל שהיא חתיכה מותרת, א"כ חשיב שהאיסור כמאן דאיתא, וא"כ צריך לטמא במשא מדאו', דא"א לומר שהרוב מברר שאינו  טמא, דהא ודאי שהוא נושא טומאה, וכדכתבו </w:t>
      </w:r>
      <w:r w:rsidRPr="003904A7">
        <w:rPr>
          <w:rStyle w:val="af8"/>
          <w:rFonts w:hint="cs"/>
          <w:rtl/>
        </w:rPr>
        <w:t>הפרמ"ג והמשל"מ</w:t>
      </w:r>
      <w:r>
        <w:rPr>
          <w:rFonts w:hint="cs"/>
          <w:rtl/>
        </w:rPr>
        <w:t xml:space="preserve"> </w:t>
      </w:r>
      <w:r w:rsidRPr="003A146B">
        <w:rPr>
          <w:rStyle w:val="af6"/>
          <w:rFonts w:eastAsia="Guttman Hodes" w:hint="cs"/>
          <w:rtl/>
        </w:rPr>
        <w:t xml:space="preserve">(עי' אות </w:t>
      </w:r>
      <w:r w:rsidRPr="003A146B">
        <w:rPr>
          <w:rStyle w:val="af6"/>
          <w:rFonts w:eastAsia="Guttman Hodes"/>
          <w:rtl/>
        </w:rPr>
        <w:fldChar w:fldCharType="begin"/>
      </w:r>
      <w:r w:rsidRPr="003A146B">
        <w:rPr>
          <w:rStyle w:val="af6"/>
          <w:rFonts w:eastAsia="Guttman Hodes"/>
          <w:rtl/>
        </w:rPr>
        <w:instrText xml:space="preserve"> </w:instrText>
      </w:r>
      <w:r w:rsidRPr="003A146B">
        <w:rPr>
          <w:rStyle w:val="af6"/>
          <w:rFonts w:eastAsia="Guttman Hodes" w:hint="cs"/>
        </w:rPr>
        <w:instrText>REF</w:instrText>
      </w:r>
      <w:r w:rsidRPr="003A146B">
        <w:rPr>
          <w:rStyle w:val="af6"/>
          <w:rFonts w:eastAsia="Guttman Hodes" w:hint="cs"/>
          <w:rtl/>
        </w:rPr>
        <w:instrText xml:space="preserve"> _</w:instrText>
      </w:r>
      <w:r w:rsidRPr="003A146B">
        <w:rPr>
          <w:rStyle w:val="af6"/>
          <w:rFonts w:eastAsia="Guttman Hodes" w:hint="cs"/>
        </w:rPr>
        <w:instrText>Ref25483444 \r \h</w:instrText>
      </w:r>
      <w:r w:rsidRPr="003A146B">
        <w:rPr>
          <w:rStyle w:val="af6"/>
          <w:rFonts w:eastAsia="Guttman Hodes"/>
          <w:rtl/>
        </w:rPr>
        <w:instrText xml:space="preserve"> </w:instrText>
      </w:r>
      <w:r w:rsidRPr="003A146B">
        <w:rPr>
          <w:rStyle w:val="af6"/>
          <w:rFonts w:eastAsia="Guttman Hodes"/>
          <w:rtl/>
        </w:rPr>
      </w:r>
      <w:r w:rsidRPr="003A146B">
        <w:rPr>
          <w:rStyle w:val="af6"/>
          <w:rFonts w:eastAsia="Guttman Hodes"/>
          <w:rtl/>
        </w:rPr>
        <w:fldChar w:fldCharType="separate"/>
      </w:r>
      <w:r w:rsidR="004D1C5B">
        <w:rPr>
          <w:rStyle w:val="af6"/>
          <w:rFonts w:eastAsia="Guttman Hodes"/>
          <w:cs/>
        </w:rPr>
        <w:t>‎</w:t>
      </w:r>
      <w:r w:rsidR="004D1C5B">
        <w:rPr>
          <w:rStyle w:val="af6"/>
          <w:rFonts w:eastAsia="Guttman Hodes"/>
          <w:rtl/>
        </w:rPr>
        <w:t>לט)</w:t>
      </w:r>
      <w:r w:rsidRPr="003A146B">
        <w:rPr>
          <w:rStyle w:val="af6"/>
          <w:rFonts w:eastAsia="Guttman Hodes"/>
          <w:rtl/>
        </w:rPr>
        <w:fldChar w:fldCharType="end"/>
      </w:r>
      <w:r>
        <w:rPr>
          <w:rFonts w:hint="cs"/>
          <w:rtl/>
        </w:rPr>
        <w:t xml:space="preserve"> בדעת </w:t>
      </w:r>
      <w:r w:rsidRPr="003904A7">
        <w:rPr>
          <w:rStyle w:val="af8"/>
          <w:rFonts w:hint="cs"/>
          <w:rtl/>
        </w:rPr>
        <w:t>הרמב"ם</w:t>
      </w:r>
      <w:r>
        <w:rPr>
          <w:rFonts w:hint="cs"/>
          <w:rtl/>
        </w:rPr>
        <w:t xml:space="preserve"> </w:t>
      </w:r>
      <w:r w:rsidRPr="003A146B">
        <w:rPr>
          <w:rStyle w:val="af6"/>
          <w:rFonts w:eastAsia="Guttman Hodes" w:hint="cs"/>
          <w:rtl/>
        </w:rPr>
        <w:t xml:space="preserve">(עי' אות </w:t>
      </w:r>
      <w:r w:rsidRPr="003A146B">
        <w:rPr>
          <w:rStyle w:val="af6"/>
          <w:rFonts w:eastAsia="Guttman Hodes"/>
          <w:rtl/>
        </w:rPr>
        <w:fldChar w:fldCharType="begin"/>
      </w:r>
      <w:r w:rsidRPr="003A146B">
        <w:rPr>
          <w:rStyle w:val="af6"/>
          <w:rFonts w:eastAsia="Guttman Hodes"/>
          <w:rtl/>
        </w:rPr>
        <w:instrText xml:space="preserve"> </w:instrText>
      </w:r>
      <w:r w:rsidRPr="003A146B">
        <w:rPr>
          <w:rStyle w:val="af6"/>
          <w:rFonts w:eastAsia="Guttman Hodes" w:hint="cs"/>
        </w:rPr>
        <w:instrText>REF</w:instrText>
      </w:r>
      <w:r w:rsidRPr="003A146B">
        <w:rPr>
          <w:rStyle w:val="af6"/>
          <w:rFonts w:eastAsia="Guttman Hodes" w:hint="cs"/>
          <w:rtl/>
        </w:rPr>
        <w:instrText xml:space="preserve"> _</w:instrText>
      </w:r>
      <w:r w:rsidRPr="003A146B">
        <w:rPr>
          <w:rStyle w:val="af6"/>
          <w:rFonts w:eastAsia="Guttman Hodes" w:hint="cs"/>
        </w:rPr>
        <w:instrText>Ref25483287 \r \h</w:instrText>
      </w:r>
      <w:r w:rsidRPr="003A146B">
        <w:rPr>
          <w:rStyle w:val="af6"/>
          <w:rFonts w:eastAsia="Guttman Hodes"/>
          <w:rtl/>
        </w:rPr>
        <w:instrText xml:space="preserve"> </w:instrText>
      </w:r>
      <w:r w:rsidRPr="003A146B">
        <w:rPr>
          <w:rStyle w:val="af6"/>
          <w:rFonts w:eastAsia="Guttman Hodes"/>
          <w:rtl/>
        </w:rPr>
      </w:r>
      <w:r w:rsidRPr="003A146B">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3A146B">
        <w:rPr>
          <w:rStyle w:val="af6"/>
          <w:rFonts w:eastAsia="Guttman Hodes"/>
          <w:rtl/>
        </w:rPr>
        <w:fldChar w:fldCharType="end"/>
      </w:r>
      <w:r>
        <w:rPr>
          <w:rFonts w:hint="cs"/>
          <w:rtl/>
        </w:rPr>
        <w:t>.</w:t>
      </w:r>
      <w:bookmarkEnd w:id="15749"/>
    </w:p>
    <w:p w:rsidR="003A5D2C" w:rsidRPr="00926966" w:rsidRDefault="003A5D2C" w:rsidP="003A5D2C">
      <w:pPr>
        <w:pStyle w:val="a2"/>
        <w:rPr>
          <w:rtl/>
        </w:rPr>
      </w:pPr>
      <w:bookmarkStart w:id="15750" w:name="_Toc25524731"/>
      <w:bookmarkStart w:id="15751" w:name="_Toc25536262"/>
      <w:bookmarkStart w:id="15752" w:name="_Toc25571328"/>
      <w:bookmarkStart w:id="15753" w:name="_Toc25572810"/>
      <w:bookmarkStart w:id="15754" w:name="_Toc25573052"/>
      <w:r>
        <w:rPr>
          <w:rFonts w:hint="cs"/>
          <w:rtl/>
        </w:rPr>
        <w:t>דברי הבאר יצחק דלביאור המהר"י קורקוס אפש"ל דבלח</w:t>
      </w:r>
      <w:r w:rsidRPr="00CE4A63">
        <w:rPr>
          <w:rFonts w:hint="cs"/>
          <w:rtl/>
        </w:rPr>
        <w:t xml:space="preserve"> </w:t>
      </w:r>
      <w:r>
        <w:rPr>
          <w:rFonts w:hint="cs"/>
          <w:rtl/>
        </w:rPr>
        <w:t>אף להרשב"א האיסור כמאן דליתא</w:t>
      </w:r>
      <w:bookmarkEnd w:id="15750"/>
      <w:bookmarkEnd w:id="15751"/>
      <w:bookmarkEnd w:id="15752"/>
      <w:bookmarkEnd w:id="15753"/>
      <w:bookmarkEnd w:id="15754"/>
    </w:p>
    <w:p w:rsidR="003A5D2C" w:rsidRDefault="003A5D2C" w:rsidP="009F44AF">
      <w:pPr>
        <w:pStyle w:val="a"/>
        <w:rPr>
          <w:rtl/>
        </w:rPr>
      </w:pPr>
      <w:r>
        <w:rPr>
          <w:rFonts w:hint="cs"/>
          <w:rtl/>
        </w:rPr>
        <w:t xml:space="preserve">אך כתב </w:t>
      </w:r>
      <w:r w:rsidRPr="003904A7">
        <w:rPr>
          <w:rStyle w:val="af8"/>
          <w:rFonts w:hint="cs"/>
          <w:rtl/>
        </w:rPr>
        <w:t xml:space="preserve">הבאר יצחק </w:t>
      </w:r>
      <w:r w:rsidRPr="003904A7">
        <w:rPr>
          <w:rStyle w:val="af6"/>
          <w:rFonts w:eastAsia="Guttman Hodes" w:hint="cs"/>
          <w:rtl/>
        </w:rPr>
        <w:t xml:space="preserve">(שו"ת יו"ד סי' י' ד"ה והנה הרמב"ם) </w:t>
      </w:r>
      <w:r>
        <w:rPr>
          <w:rFonts w:hint="cs"/>
          <w:rtl/>
        </w:rPr>
        <w:t xml:space="preserve">דלפי ביאור </w:t>
      </w:r>
      <w:r w:rsidRPr="003904A7">
        <w:rPr>
          <w:rStyle w:val="af8"/>
          <w:rFonts w:hint="cs"/>
          <w:rtl/>
        </w:rPr>
        <w:t xml:space="preserve">הכס"מ </w:t>
      </w:r>
      <w:r w:rsidRPr="003A146B">
        <w:rPr>
          <w:rStyle w:val="af6"/>
          <w:rFonts w:eastAsia="Guttman Hodes" w:hint="cs"/>
          <w:rtl/>
        </w:rPr>
        <w:t xml:space="preserve">(עי' אות </w:t>
      </w:r>
      <w:r w:rsidRPr="003A146B">
        <w:rPr>
          <w:rStyle w:val="af6"/>
          <w:rFonts w:eastAsia="Guttman Hodes"/>
          <w:rtl/>
        </w:rPr>
        <w:fldChar w:fldCharType="begin"/>
      </w:r>
      <w:r w:rsidRPr="003A146B">
        <w:rPr>
          <w:rStyle w:val="af6"/>
          <w:rFonts w:eastAsia="Guttman Hodes"/>
          <w:rtl/>
        </w:rPr>
        <w:instrText xml:space="preserve"> </w:instrText>
      </w:r>
      <w:r w:rsidRPr="003A146B">
        <w:rPr>
          <w:rStyle w:val="af6"/>
          <w:rFonts w:eastAsia="Guttman Hodes" w:hint="cs"/>
        </w:rPr>
        <w:instrText>REF</w:instrText>
      </w:r>
      <w:r w:rsidRPr="003A146B">
        <w:rPr>
          <w:rStyle w:val="af6"/>
          <w:rFonts w:eastAsia="Guttman Hodes" w:hint="cs"/>
          <w:rtl/>
        </w:rPr>
        <w:instrText xml:space="preserve"> _</w:instrText>
      </w:r>
      <w:r w:rsidRPr="003A146B">
        <w:rPr>
          <w:rStyle w:val="af6"/>
          <w:rFonts w:eastAsia="Guttman Hodes" w:hint="cs"/>
        </w:rPr>
        <w:instrText>Ref25522909 \r \h</w:instrText>
      </w:r>
      <w:r w:rsidRPr="003A146B">
        <w:rPr>
          <w:rStyle w:val="af6"/>
          <w:rFonts w:eastAsia="Guttman Hodes"/>
          <w:rtl/>
        </w:rPr>
        <w:instrText xml:space="preserve"> </w:instrText>
      </w:r>
      <w:r w:rsidRPr="003A146B">
        <w:rPr>
          <w:rStyle w:val="af6"/>
          <w:rFonts w:eastAsia="Guttman Hodes"/>
          <w:rtl/>
        </w:rPr>
      </w:r>
      <w:r w:rsidRPr="003A146B">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3A146B">
        <w:rPr>
          <w:rStyle w:val="af6"/>
          <w:rFonts w:eastAsia="Guttman Hodes"/>
          <w:rtl/>
        </w:rPr>
        <w:fldChar w:fldCharType="end"/>
      </w:r>
      <w:r>
        <w:rPr>
          <w:rFonts w:hint="cs"/>
          <w:rtl/>
        </w:rPr>
        <w:t xml:space="preserve"> בשם </w:t>
      </w:r>
      <w:r w:rsidRPr="003904A7">
        <w:rPr>
          <w:rStyle w:val="af8"/>
          <w:rFonts w:hint="cs"/>
          <w:rtl/>
        </w:rPr>
        <w:t xml:space="preserve">המהר"י קורקוס </w:t>
      </w:r>
      <w:r>
        <w:rPr>
          <w:rFonts w:hint="cs"/>
          <w:rtl/>
        </w:rPr>
        <w:t xml:space="preserve">שרק ביבש ביבש הטומאה כמאן דאיתא, אבל בלח בלח הטומאה כמאן דליתא, א"כ אפש"ל דאף לדעת </w:t>
      </w:r>
      <w:r w:rsidRPr="00384F69">
        <w:rPr>
          <w:rStyle w:val="af8"/>
          <w:rFonts w:hint="cs"/>
          <w:rtl/>
        </w:rPr>
        <w:t>הרשב"א</w:t>
      </w:r>
      <w:r>
        <w:rPr>
          <w:rStyle w:val="af8"/>
          <w:rFonts w:hint="cs"/>
          <w:rtl/>
        </w:rPr>
        <w:t xml:space="preserve"> </w:t>
      </w:r>
      <w:r w:rsidRPr="003A146B">
        <w:rPr>
          <w:rStyle w:val="af6"/>
          <w:rFonts w:eastAsia="Guttman Hodes" w:hint="cs"/>
          <w:rtl/>
        </w:rPr>
        <w:t xml:space="preserve">(עי' אות </w:t>
      </w:r>
      <w:r w:rsidRPr="003A146B">
        <w:rPr>
          <w:rStyle w:val="af6"/>
          <w:rFonts w:eastAsia="Guttman Hodes"/>
          <w:rtl/>
        </w:rPr>
        <w:fldChar w:fldCharType="begin"/>
      </w:r>
      <w:r w:rsidRPr="003A146B">
        <w:rPr>
          <w:rStyle w:val="af6"/>
          <w:rFonts w:eastAsia="Guttman Hodes"/>
          <w:rtl/>
        </w:rPr>
        <w:instrText xml:space="preserve"> </w:instrText>
      </w:r>
      <w:r w:rsidRPr="003A146B">
        <w:rPr>
          <w:rStyle w:val="af6"/>
          <w:rFonts w:eastAsia="Guttman Hodes" w:hint="cs"/>
        </w:rPr>
        <w:instrText>REF</w:instrText>
      </w:r>
      <w:r w:rsidRPr="003A146B">
        <w:rPr>
          <w:rStyle w:val="af6"/>
          <w:rFonts w:eastAsia="Guttman Hodes" w:hint="cs"/>
          <w:rtl/>
        </w:rPr>
        <w:instrText xml:space="preserve"> _</w:instrText>
      </w:r>
      <w:r w:rsidRPr="003A146B">
        <w:rPr>
          <w:rStyle w:val="af6"/>
          <w:rFonts w:eastAsia="Guttman Hodes" w:hint="cs"/>
        </w:rPr>
        <w:instrText>Ref24902820 \r \h</w:instrText>
      </w:r>
      <w:r w:rsidRPr="003A146B">
        <w:rPr>
          <w:rStyle w:val="af6"/>
          <w:rFonts w:eastAsia="Guttman Hodes"/>
          <w:rtl/>
        </w:rPr>
        <w:instrText xml:space="preserve"> </w:instrText>
      </w:r>
      <w:r w:rsidRPr="003A146B">
        <w:rPr>
          <w:rStyle w:val="af6"/>
          <w:rFonts w:eastAsia="Guttman Hodes"/>
          <w:rtl/>
        </w:rPr>
      </w:r>
      <w:r w:rsidRPr="003A146B">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3A146B">
        <w:rPr>
          <w:rStyle w:val="af6"/>
          <w:rFonts w:eastAsia="Guttman Hodes"/>
          <w:rtl/>
        </w:rPr>
        <w:fldChar w:fldCharType="end"/>
      </w:r>
      <w:r>
        <w:rPr>
          <w:rFonts w:hint="cs"/>
          <w:rtl/>
        </w:rPr>
        <w:t xml:space="preserve"> שאוסר ביבש ביבש לאכול את כל התערובת בבת אחת, כיון שהאיסור חשיב כמאן דאיתא, מ"מ בלח בלח מודה </w:t>
      </w:r>
      <w:r w:rsidRPr="00384F69">
        <w:rPr>
          <w:rStyle w:val="af8"/>
          <w:rFonts w:hint="cs"/>
          <w:rtl/>
        </w:rPr>
        <w:t>הרשב"א</w:t>
      </w:r>
      <w:r>
        <w:rPr>
          <w:rFonts w:hint="cs"/>
          <w:rtl/>
        </w:rPr>
        <w:t xml:space="preserve"> דהאיסור כמאן דליתא, והאיסור נהפך להיתר, כדביאר </w:t>
      </w:r>
      <w:r w:rsidRPr="00384F69">
        <w:rPr>
          <w:rStyle w:val="af8"/>
          <w:rFonts w:hint="cs"/>
          <w:rtl/>
        </w:rPr>
        <w:t>הכס"מ</w:t>
      </w:r>
      <w:r>
        <w:rPr>
          <w:rFonts w:hint="cs"/>
          <w:rtl/>
        </w:rPr>
        <w:t xml:space="preserve"> בשם </w:t>
      </w:r>
      <w:r w:rsidRPr="00384F69">
        <w:rPr>
          <w:rStyle w:val="af8"/>
          <w:rFonts w:hint="cs"/>
          <w:rtl/>
        </w:rPr>
        <w:t>המהר"י קורקוס</w:t>
      </w:r>
      <w:r>
        <w:rPr>
          <w:rFonts w:hint="cs"/>
          <w:rtl/>
        </w:rPr>
        <w:t xml:space="preserve"> בחררת דם.</w:t>
      </w:r>
    </w:p>
    <w:p w:rsidR="003A5D2C" w:rsidRPr="004309B1" w:rsidRDefault="003A5D2C" w:rsidP="003A5D2C">
      <w:pPr>
        <w:pStyle w:val="1"/>
        <w:rPr>
          <w:rtl/>
        </w:rPr>
      </w:pPr>
      <w:bookmarkStart w:id="15755" w:name="_Toc25571329"/>
      <w:bookmarkStart w:id="15756" w:name="_Toc25572811"/>
      <w:bookmarkStart w:id="15757" w:name="_Toc25573053"/>
      <w:r>
        <w:rPr>
          <w:rFonts w:hint="cs"/>
          <w:rtl/>
        </w:rPr>
        <w:t>ביאור המשנת ר"א ברמב"ם וברא"ש דמשא בב"א טמא מדאו'</w:t>
      </w:r>
      <w:bookmarkEnd w:id="15755"/>
      <w:bookmarkEnd w:id="15756"/>
      <w:bookmarkEnd w:id="15757"/>
    </w:p>
    <w:p w:rsidR="003A5D2C" w:rsidRPr="00926966" w:rsidRDefault="003A5D2C" w:rsidP="003A5D2C">
      <w:pPr>
        <w:pStyle w:val="a2"/>
        <w:rPr>
          <w:rtl/>
        </w:rPr>
      </w:pPr>
      <w:bookmarkStart w:id="15758" w:name="_Toc25571330"/>
      <w:bookmarkStart w:id="15759" w:name="_Toc25572812"/>
      <w:bookmarkStart w:id="15760" w:name="_Toc25573054"/>
      <w:bookmarkStart w:id="15761" w:name="_Toc25184805"/>
      <w:bookmarkStart w:id="15762" w:name="_Toc25317278"/>
      <w:bookmarkStart w:id="15763" w:name="_Toc25488252"/>
      <w:bookmarkStart w:id="15764" w:name="_Toc25524738"/>
      <w:bookmarkStart w:id="15765" w:name="_Toc25536268"/>
      <w:r>
        <w:rPr>
          <w:rFonts w:hint="cs"/>
          <w:rtl/>
        </w:rPr>
        <w:t>דברי המשנת ר"א דלהרמב"ם והרא"ש בנשא בבת אחת טמא מדאו' ודלא כתוס' בבכורות</w:t>
      </w:r>
      <w:bookmarkEnd w:id="15758"/>
      <w:bookmarkEnd w:id="15759"/>
      <w:bookmarkEnd w:id="15760"/>
    </w:p>
    <w:p w:rsidR="003A5D2C" w:rsidRDefault="003A5D2C" w:rsidP="009F44AF">
      <w:pPr>
        <w:pStyle w:val="a"/>
        <w:rPr>
          <w:rtl/>
        </w:rPr>
      </w:pPr>
      <w:bookmarkStart w:id="15766" w:name="_Ref25483874"/>
      <w:r>
        <w:rPr>
          <w:rFonts w:hint="cs"/>
          <w:rtl/>
        </w:rPr>
        <w:t xml:space="preserve">במ"ש </w:t>
      </w:r>
      <w:r w:rsidRPr="002241DD">
        <w:rPr>
          <w:rStyle w:val="af8"/>
          <w:rFonts w:hint="cs"/>
          <w:rtl/>
        </w:rPr>
        <w:t>התוס' בבכורות</w:t>
      </w:r>
      <w:r>
        <w:rPr>
          <w:rFonts w:hint="cs"/>
          <w:rtl/>
        </w:rPr>
        <w:t xml:space="preserve"> </w:t>
      </w:r>
      <w:r w:rsidRPr="0090047C">
        <w:rPr>
          <w:rStyle w:val="af6"/>
          <w:rFonts w:eastAsia="Guttman Hodes" w:hint="cs"/>
          <w:rtl/>
        </w:rPr>
        <w:t xml:space="preserve">(עי' אות </w:t>
      </w:r>
      <w:r w:rsidRPr="0090047C">
        <w:rPr>
          <w:rStyle w:val="af6"/>
          <w:rFonts w:eastAsia="Guttman Hodes"/>
          <w:rtl/>
        </w:rPr>
        <w:fldChar w:fldCharType="begin"/>
      </w:r>
      <w:r w:rsidRPr="0090047C">
        <w:rPr>
          <w:rStyle w:val="af6"/>
          <w:rFonts w:eastAsia="Guttman Hodes"/>
          <w:rtl/>
        </w:rPr>
        <w:instrText xml:space="preserve"> </w:instrText>
      </w:r>
      <w:r w:rsidRPr="0090047C">
        <w:rPr>
          <w:rStyle w:val="af6"/>
          <w:rFonts w:eastAsia="Guttman Hodes" w:hint="cs"/>
        </w:rPr>
        <w:instrText>REF</w:instrText>
      </w:r>
      <w:r w:rsidRPr="0090047C">
        <w:rPr>
          <w:rStyle w:val="af6"/>
          <w:rFonts w:eastAsia="Guttman Hodes" w:hint="cs"/>
          <w:rtl/>
        </w:rPr>
        <w:instrText xml:space="preserve"> _</w:instrText>
      </w:r>
      <w:r w:rsidRPr="0090047C">
        <w:rPr>
          <w:rStyle w:val="af6"/>
          <w:rFonts w:eastAsia="Guttman Hodes" w:hint="cs"/>
        </w:rPr>
        <w:instrText>Ref25483296 \r \h</w:instrText>
      </w:r>
      <w:r w:rsidRPr="0090047C">
        <w:rPr>
          <w:rStyle w:val="af6"/>
          <w:rFonts w:eastAsia="Guttman Hodes"/>
          <w:rtl/>
        </w:rPr>
        <w:instrText xml:space="preserve"> </w:instrText>
      </w:r>
      <w:r w:rsidRPr="0090047C">
        <w:rPr>
          <w:rStyle w:val="af6"/>
          <w:rFonts w:eastAsia="Guttman Hodes"/>
          <w:rtl/>
        </w:rPr>
      </w:r>
      <w:r w:rsidRPr="0090047C">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90047C">
        <w:rPr>
          <w:rStyle w:val="af6"/>
          <w:rFonts w:eastAsia="Guttman Hodes"/>
          <w:rtl/>
        </w:rPr>
        <w:fldChar w:fldCharType="end"/>
      </w:r>
      <w:r>
        <w:rPr>
          <w:rFonts w:hint="cs"/>
          <w:rtl/>
        </w:rPr>
        <w:t xml:space="preserve"> דבנשא בבת אחת טמא במשא רק מדרבנן, כתב </w:t>
      </w:r>
      <w:r w:rsidRPr="002241DD">
        <w:rPr>
          <w:rStyle w:val="af8"/>
          <w:rFonts w:hint="cs"/>
          <w:rtl/>
        </w:rPr>
        <w:t>במשנת ר"א</w:t>
      </w:r>
      <w:r w:rsidRPr="00C22F10">
        <w:rPr>
          <w:rStyle w:val="af6"/>
          <w:rFonts w:eastAsia="Guttman Hodes" w:hint="cs"/>
          <w:rtl/>
        </w:rPr>
        <w:t xml:space="preserve"> (חולין סי' ז' אות ג' ד"ה ובתוס')</w:t>
      </w:r>
      <w:r>
        <w:rPr>
          <w:rFonts w:hint="cs"/>
          <w:rtl/>
        </w:rPr>
        <w:t xml:space="preserve"> דמסתימת לשון </w:t>
      </w:r>
      <w:r w:rsidRPr="002241DD">
        <w:rPr>
          <w:rStyle w:val="af8"/>
          <w:rFonts w:hint="cs"/>
          <w:rtl/>
        </w:rPr>
        <w:t>הרמב"ם</w:t>
      </w:r>
      <w:r>
        <w:rPr>
          <w:rFonts w:hint="cs"/>
          <w:rtl/>
        </w:rPr>
        <w:t xml:space="preserve"> </w:t>
      </w:r>
      <w:r w:rsidRPr="0090047C">
        <w:rPr>
          <w:rStyle w:val="af6"/>
          <w:rFonts w:eastAsia="Guttman Hodes" w:hint="cs"/>
          <w:rtl/>
        </w:rPr>
        <w:t xml:space="preserve">(עי' אות </w:t>
      </w:r>
      <w:r w:rsidRPr="0090047C">
        <w:rPr>
          <w:rStyle w:val="af6"/>
          <w:rFonts w:eastAsia="Guttman Hodes"/>
          <w:rtl/>
        </w:rPr>
        <w:fldChar w:fldCharType="begin"/>
      </w:r>
      <w:r w:rsidRPr="0090047C">
        <w:rPr>
          <w:rStyle w:val="af6"/>
          <w:rFonts w:eastAsia="Guttman Hodes"/>
          <w:rtl/>
        </w:rPr>
        <w:instrText xml:space="preserve"> </w:instrText>
      </w:r>
      <w:r w:rsidRPr="0090047C">
        <w:rPr>
          <w:rStyle w:val="af6"/>
          <w:rFonts w:eastAsia="Guttman Hodes" w:hint="cs"/>
        </w:rPr>
        <w:instrText>REF</w:instrText>
      </w:r>
      <w:r w:rsidRPr="0090047C">
        <w:rPr>
          <w:rStyle w:val="af6"/>
          <w:rFonts w:eastAsia="Guttman Hodes" w:hint="cs"/>
          <w:rtl/>
        </w:rPr>
        <w:instrText xml:space="preserve"> _</w:instrText>
      </w:r>
      <w:r w:rsidRPr="0090047C">
        <w:rPr>
          <w:rStyle w:val="af6"/>
          <w:rFonts w:eastAsia="Guttman Hodes" w:hint="cs"/>
        </w:rPr>
        <w:instrText>Ref25483287 \r \h</w:instrText>
      </w:r>
      <w:r w:rsidRPr="0090047C">
        <w:rPr>
          <w:rStyle w:val="af6"/>
          <w:rFonts w:eastAsia="Guttman Hodes"/>
          <w:rtl/>
        </w:rPr>
        <w:instrText xml:space="preserve"> </w:instrText>
      </w:r>
      <w:r w:rsidRPr="0090047C">
        <w:rPr>
          <w:rStyle w:val="af6"/>
          <w:rFonts w:eastAsia="Guttman Hodes"/>
          <w:rtl/>
        </w:rPr>
      </w:r>
      <w:r w:rsidRPr="0090047C">
        <w:rPr>
          <w:rStyle w:val="af6"/>
          <w:rFonts w:eastAsia="Guttman Hodes"/>
          <w:rtl/>
        </w:rPr>
        <w:fldChar w:fldCharType="separate"/>
      </w:r>
      <w:r w:rsidR="004D1C5B">
        <w:rPr>
          <w:rStyle w:val="af6"/>
          <w:rFonts w:eastAsia="Guttman Hodes"/>
          <w:cs/>
        </w:rPr>
        <w:t>‎</w:t>
      </w:r>
      <w:r w:rsidR="004D1C5B">
        <w:rPr>
          <w:rStyle w:val="af6"/>
          <w:rFonts w:eastAsia="Guttman Hodes"/>
          <w:rtl/>
        </w:rPr>
        <w:t>לח)</w:t>
      </w:r>
      <w:r w:rsidRPr="0090047C">
        <w:rPr>
          <w:rStyle w:val="af6"/>
          <w:rFonts w:eastAsia="Guttman Hodes"/>
          <w:rtl/>
        </w:rPr>
        <w:fldChar w:fldCharType="end"/>
      </w:r>
      <w:r>
        <w:rPr>
          <w:rFonts w:hint="cs"/>
          <w:rtl/>
        </w:rPr>
        <w:t xml:space="preserve"> משמע דטמא מדאו',</w:t>
      </w:r>
      <w:r w:rsidRPr="00554A85">
        <w:rPr>
          <w:rStyle w:val="afa"/>
          <w:rFonts w:hint="cs"/>
          <w:rtl/>
        </w:rPr>
        <w:t xml:space="preserve"> </w:t>
      </w:r>
      <w:r w:rsidRPr="00C44404">
        <w:rPr>
          <w:rStyle w:val="afa"/>
          <w:rFonts w:hint="cs"/>
          <w:rtl/>
        </w:rPr>
        <w:t xml:space="preserve">[וכדברי </w:t>
      </w:r>
      <w:r w:rsidRPr="00C44404">
        <w:rPr>
          <w:rStyle w:val="affa"/>
          <w:rFonts w:hint="cs"/>
          <w:rtl/>
        </w:rPr>
        <w:t>המשל"מ והפרמ"ג</w:t>
      </w:r>
      <w:r w:rsidRPr="00C44404">
        <w:rPr>
          <w:rStyle w:val="afa"/>
          <w:rFonts w:hint="cs"/>
          <w:rtl/>
        </w:rPr>
        <w:t xml:space="preserve"> </w:t>
      </w:r>
      <w:r w:rsidRPr="00C44404">
        <w:rPr>
          <w:rStyle w:val="aff6"/>
          <w:rFonts w:hint="cs"/>
          <w:rtl/>
        </w:rPr>
        <w:t xml:space="preserve">(עי' אות </w:t>
      </w:r>
      <w:r w:rsidRPr="00C44404">
        <w:rPr>
          <w:rStyle w:val="aff6"/>
          <w:rtl/>
        </w:rPr>
        <w:fldChar w:fldCharType="begin"/>
      </w:r>
      <w:r w:rsidRPr="00C44404">
        <w:rPr>
          <w:rStyle w:val="aff6"/>
          <w:rtl/>
        </w:rPr>
        <w:instrText xml:space="preserve"> </w:instrText>
      </w:r>
      <w:r w:rsidRPr="00C44404">
        <w:rPr>
          <w:rStyle w:val="aff6"/>
          <w:rFonts w:hint="cs"/>
        </w:rPr>
        <w:instrText>REF</w:instrText>
      </w:r>
      <w:r w:rsidRPr="00C44404">
        <w:rPr>
          <w:rStyle w:val="aff6"/>
          <w:rFonts w:hint="cs"/>
          <w:rtl/>
        </w:rPr>
        <w:instrText xml:space="preserve"> _</w:instrText>
      </w:r>
      <w:r w:rsidRPr="00C44404">
        <w:rPr>
          <w:rStyle w:val="aff6"/>
          <w:rFonts w:hint="cs"/>
        </w:rPr>
        <w:instrText>Ref25483444 \r \h</w:instrText>
      </w:r>
      <w:r w:rsidRPr="00C44404">
        <w:rPr>
          <w:rStyle w:val="aff6"/>
          <w:rtl/>
        </w:rPr>
        <w:instrText xml:space="preserve"> </w:instrText>
      </w:r>
      <w:r w:rsidRPr="00C44404">
        <w:rPr>
          <w:rStyle w:val="aff6"/>
          <w:rtl/>
        </w:rPr>
      </w:r>
      <w:r w:rsidRPr="00C44404">
        <w:rPr>
          <w:rStyle w:val="aff6"/>
          <w:rtl/>
        </w:rPr>
        <w:fldChar w:fldCharType="separate"/>
      </w:r>
      <w:r w:rsidR="004D1C5B">
        <w:rPr>
          <w:rStyle w:val="aff6"/>
          <w:cs/>
        </w:rPr>
        <w:t>‎</w:t>
      </w:r>
      <w:r w:rsidR="004D1C5B">
        <w:rPr>
          <w:rStyle w:val="aff6"/>
          <w:rtl/>
        </w:rPr>
        <w:t>לט)</w:t>
      </w:r>
      <w:r w:rsidRPr="00C44404">
        <w:rPr>
          <w:rStyle w:val="aff6"/>
          <w:rtl/>
        </w:rPr>
        <w:fldChar w:fldCharType="end"/>
      </w:r>
      <w:r w:rsidRPr="00C44404">
        <w:rPr>
          <w:rStyle w:val="afa"/>
          <w:rFonts w:hint="cs"/>
          <w:rtl/>
        </w:rPr>
        <w:t>],</w:t>
      </w:r>
      <w:r>
        <w:rPr>
          <w:rFonts w:hint="cs"/>
          <w:rtl/>
        </w:rPr>
        <w:t xml:space="preserve"> וכתב </w:t>
      </w:r>
      <w:r w:rsidRPr="002241DD">
        <w:rPr>
          <w:rStyle w:val="af8"/>
          <w:rFonts w:hint="cs"/>
          <w:rtl/>
        </w:rPr>
        <w:t>במשנת ר"א</w:t>
      </w:r>
      <w:r>
        <w:rPr>
          <w:rFonts w:hint="cs"/>
          <w:rtl/>
        </w:rPr>
        <w:t xml:space="preserve"> דכן משמע מדברי </w:t>
      </w:r>
      <w:r w:rsidRPr="002241DD">
        <w:rPr>
          <w:rStyle w:val="af8"/>
          <w:rFonts w:hint="cs"/>
          <w:rtl/>
        </w:rPr>
        <w:t>הרא"ש</w:t>
      </w:r>
      <w:r>
        <w:rPr>
          <w:rFonts w:hint="cs"/>
          <w:rtl/>
        </w:rPr>
        <w:t xml:space="preserve"> </w:t>
      </w:r>
      <w:r w:rsidRPr="0090047C">
        <w:rPr>
          <w:rStyle w:val="af6"/>
          <w:rFonts w:eastAsia="Guttman Hodes" w:hint="cs"/>
          <w:rtl/>
        </w:rPr>
        <w:t xml:space="preserve">(עי' אות </w:t>
      </w:r>
      <w:r w:rsidRPr="0090047C">
        <w:rPr>
          <w:rStyle w:val="af6"/>
          <w:rFonts w:eastAsia="Guttman Hodes"/>
          <w:rtl/>
        </w:rPr>
        <w:fldChar w:fldCharType="begin"/>
      </w:r>
      <w:r w:rsidRPr="0090047C">
        <w:rPr>
          <w:rStyle w:val="af6"/>
          <w:rFonts w:eastAsia="Guttman Hodes"/>
          <w:rtl/>
        </w:rPr>
        <w:instrText xml:space="preserve"> </w:instrText>
      </w:r>
      <w:r w:rsidRPr="0090047C">
        <w:rPr>
          <w:rStyle w:val="af6"/>
          <w:rFonts w:eastAsia="Guttman Hodes" w:hint="cs"/>
        </w:rPr>
        <w:instrText>REF</w:instrText>
      </w:r>
      <w:r w:rsidRPr="0090047C">
        <w:rPr>
          <w:rStyle w:val="af6"/>
          <w:rFonts w:eastAsia="Guttman Hodes" w:hint="cs"/>
          <w:rtl/>
        </w:rPr>
        <w:instrText xml:space="preserve"> _</w:instrText>
      </w:r>
      <w:r w:rsidRPr="0090047C">
        <w:rPr>
          <w:rStyle w:val="af6"/>
          <w:rFonts w:eastAsia="Guttman Hodes" w:hint="cs"/>
        </w:rPr>
        <w:instrText>Ref25483358 \r \h</w:instrText>
      </w:r>
      <w:r w:rsidRPr="0090047C">
        <w:rPr>
          <w:rStyle w:val="af6"/>
          <w:rFonts w:eastAsia="Guttman Hodes"/>
          <w:rtl/>
        </w:rPr>
        <w:instrText xml:space="preserve"> </w:instrText>
      </w:r>
      <w:r w:rsidRPr="0090047C">
        <w:rPr>
          <w:rStyle w:val="af6"/>
          <w:rFonts w:eastAsia="Guttman Hodes"/>
          <w:rtl/>
        </w:rPr>
      </w:r>
      <w:r w:rsidRPr="0090047C">
        <w:rPr>
          <w:rStyle w:val="af6"/>
          <w:rFonts w:eastAsia="Guttman Hodes"/>
          <w:rtl/>
        </w:rPr>
        <w:fldChar w:fldCharType="separate"/>
      </w:r>
      <w:r w:rsidR="004D1C5B">
        <w:rPr>
          <w:rStyle w:val="af6"/>
          <w:rFonts w:eastAsia="Guttman Hodes"/>
          <w:cs/>
        </w:rPr>
        <w:t>‎</w:t>
      </w:r>
      <w:r w:rsidR="004D1C5B">
        <w:rPr>
          <w:rStyle w:val="af6"/>
          <w:rFonts w:eastAsia="Guttman Hodes"/>
          <w:rtl/>
        </w:rPr>
        <w:t>טז)</w:t>
      </w:r>
      <w:r w:rsidRPr="0090047C">
        <w:rPr>
          <w:rStyle w:val="af6"/>
          <w:rFonts w:eastAsia="Guttman Hodes"/>
          <w:rtl/>
        </w:rPr>
        <w:fldChar w:fldCharType="end"/>
      </w:r>
      <w:r>
        <w:rPr>
          <w:rFonts w:hint="cs"/>
          <w:rtl/>
        </w:rPr>
        <w:t xml:space="preserve"> דטמא מדאו', וכ"כ </w:t>
      </w:r>
      <w:r w:rsidRPr="00554A85">
        <w:rPr>
          <w:rStyle w:val="af8"/>
          <w:rFonts w:hint="cs"/>
          <w:rtl/>
        </w:rPr>
        <w:t>השער"י</w:t>
      </w:r>
      <w:r>
        <w:rPr>
          <w:rFonts w:hint="cs"/>
          <w:rtl/>
        </w:rPr>
        <w:t xml:space="preserve"> </w:t>
      </w:r>
      <w:r w:rsidRPr="00554A85">
        <w:rPr>
          <w:rStyle w:val="af6"/>
          <w:rFonts w:eastAsia="Guttman Hodes" w:hint="cs"/>
          <w:rtl/>
        </w:rPr>
        <w:t xml:space="preserve">(עי' אות </w:t>
      </w:r>
      <w:r w:rsidRPr="00554A85">
        <w:rPr>
          <w:rStyle w:val="af6"/>
          <w:rFonts w:eastAsia="Guttman Hodes"/>
          <w:rtl/>
        </w:rPr>
        <w:fldChar w:fldCharType="begin"/>
      </w:r>
      <w:r w:rsidRPr="00554A85">
        <w:rPr>
          <w:rStyle w:val="af6"/>
          <w:rFonts w:eastAsia="Guttman Hodes"/>
          <w:rtl/>
        </w:rPr>
        <w:instrText xml:space="preserve"> </w:instrText>
      </w:r>
      <w:r w:rsidRPr="00554A85">
        <w:rPr>
          <w:rStyle w:val="af6"/>
          <w:rFonts w:eastAsia="Guttman Hodes" w:hint="cs"/>
        </w:rPr>
        <w:instrText>REF</w:instrText>
      </w:r>
      <w:r w:rsidRPr="00554A85">
        <w:rPr>
          <w:rStyle w:val="af6"/>
          <w:rFonts w:eastAsia="Guttman Hodes" w:hint="cs"/>
          <w:rtl/>
        </w:rPr>
        <w:instrText xml:space="preserve"> _</w:instrText>
      </w:r>
      <w:r w:rsidRPr="00554A85">
        <w:rPr>
          <w:rStyle w:val="af6"/>
          <w:rFonts w:eastAsia="Guttman Hodes" w:hint="cs"/>
        </w:rPr>
        <w:instrText>Ref25483557 \r \h</w:instrText>
      </w:r>
      <w:r w:rsidRPr="00554A85">
        <w:rPr>
          <w:rStyle w:val="af6"/>
          <w:rFonts w:eastAsia="Guttman Hodes"/>
          <w:rtl/>
        </w:rPr>
        <w:instrText xml:space="preserve"> </w:instrText>
      </w:r>
      <w:r w:rsidRPr="00554A85">
        <w:rPr>
          <w:rStyle w:val="af6"/>
          <w:rFonts w:eastAsia="Guttman Hodes"/>
          <w:rtl/>
        </w:rPr>
      </w:r>
      <w:r w:rsidRPr="00554A85">
        <w:rPr>
          <w:rStyle w:val="af6"/>
          <w:rFonts w:eastAsia="Guttman Hodes"/>
          <w:rtl/>
        </w:rPr>
        <w:fldChar w:fldCharType="separate"/>
      </w:r>
      <w:r w:rsidR="004D1C5B">
        <w:rPr>
          <w:rStyle w:val="af6"/>
          <w:rFonts w:eastAsia="Guttman Hodes"/>
          <w:cs/>
        </w:rPr>
        <w:t>‎</w:t>
      </w:r>
      <w:r w:rsidR="004D1C5B">
        <w:rPr>
          <w:rStyle w:val="af6"/>
          <w:rFonts w:eastAsia="Guttman Hodes"/>
          <w:rtl/>
        </w:rPr>
        <w:t>קט)</w:t>
      </w:r>
      <w:r w:rsidRPr="00554A85">
        <w:rPr>
          <w:rStyle w:val="af6"/>
          <w:rFonts w:eastAsia="Guttman Hodes"/>
          <w:rtl/>
        </w:rPr>
        <w:fldChar w:fldCharType="end"/>
      </w:r>
      <w:r>
        <w:rPr>
          <w:rFonts w:hint="cs"/>
          <w:rtl/>
        </w:rPr>
        <w:t>.</w:t>
      </w:r>
      <w:bookmarkEnd w:id="15766"/>
    </w:p>
    <w:p w:rsidR="003A5D2C" w:rsidRPr="00926966" w:rsidRDefault="003A5D2C" w:rsidP="003A5D2C">
      <w:pPr>
        <w:pStyle w:val="a2"/>
        <w:rPr>
          <w:rtl/>
        </w:rPr>
      </w:pPr>
      <w:bookmarkStart w:id="15767" w:name="_Toc25571331"/>
      <w:bookmarkStart w:id="15768" w:name="_Toc25572813"/>
      <w:bookmarkStart w:id="15769" w:name="_Toc25573055"/>
      <w:r>
        <w:rPr>
          <w:rFonts w:hint="cs"/>
          <w:rtl/>
        </w:rPr>
        <w:t>ביאור המשנת ר"א ברמב"ם וברא"ש דהטומאה כמאן דאיתא וסיבת הטומאה לא בטלה</w:t>
      </w:r>
      <w:bookmarkEnd w:id="15767"/>
      <w:bookmarkEnd w:id="15768"/>
      <w:bookmarkEnd w:id="15769"/>
      <w:r>
        <w:rPr>
          <w:rFonts w:hint="cs"/>
          <w:rtl/>
        </w:rPr>
        <w:t xml:space="preserve"> </w:t>
      </w:r>
    </w:p>
    <w:p w:rsidR="003A5D2C" w:rsidRDefault="003A5D2C" w:rsidP="009F44AF">
      <w:pPr>
        <w:pStyle w:val="a"/>
        <w:rPr>
          <w:rtl/>
        </w:rPr>
      </w:pPr>
      <w:bookmarkStart w:id="15770" w:name="_Ref25569918"/>
      <w:r>
        <w:rPr>
          <w:rFonts w:hint="cs"/>
          <w:rtl/>
        </w:rPr>
        <w:t xml:space="preserve">וביאר </w:t>
      </w:r>
      <w:r w:rsidRPr="002241DD">
        <w:rPr>
          <w:rStyle w:val="af8"/>
          <w:rFonts w:hint="cs"/>
          <w:rtl/>
        </w:rPr>
        <w:t>המשנת ר"א</w:t>
      </w:r>
      <w:r>
        <w:rPr>
          <w:rFonts w:hint="cs"/>
          <w:rtl/>
        </w:rPr>
        <w:t xml:space="preserve"> בדעת </w:t>
      </w:r>
      <w:r w:rsidRPr="002241DD">
        <w:rPr>
          <w:rStyle w:val="af8"/>
          <w:rFonts w:hint="cs"/>
          <w:rtl/>
        </w:rPr>
        <w:t>הרמב"ם והרא"ש</w:t>
      </w:r>
      <w:r>
        <w:rPr>
          <w:rFonts w:hint="cs"/>
          <w:rtl/>
        </w:rPr>
        <w:t xml:space="preserve"> דמטמאה במשא מדאו', דמבואר בגמ' בבכורות </w:t>
      </w:r>
      <w:r w:rsidRPr="00C22F10">
        <w:rPr>
          <w:rStyle w:val="af6"/>
          <w:rFonts w:eastAsia="Guttman Hodes" w:hint="cs"/>
          <w:rtl/>
        </w:rPr>
        <w:t>(כג.)</w:t>
      </w:r>
      <w:r>
        <w:rPr>
          <w:rFonts w:hint="cs"/>
          <w:rtl/>
        </w:rPr>
        <w:t xml:space="preserve"> דאף בביטול ברוב הטומאה כמאן דאיתא, והיינו שבכל ביטול ברוב, סיבת האיסור והטומאה לא התבטלה, ולכן אמרינן באיסור דהוא חוזר וניעור, וכל מה דמהני הביטול הוא לגבי הדין בפועל, דכל שיש סתירה בין דין הרוב לדין המיעוט, הדין הוא כמו הרוב. [ועי' בדברי </w:t>
      </w:r>
      <w:r w:rsidRPr="00D11ED2">
        <w:rPr>
          <w:rStyle w:val="af8"/>
          <w:rFonts w:hint="cs"/>
          <w:rtl/>
        </w:rPr>
        <w:t>הקוה"ע</w:t>
      </w:r>
      <w:r>
        <w:rPr>
          <w:rFonts w:hint="cs"/>
          <w:rtl/>
        </w:rPr>
        <w:t xml:space="preserve"> </w:t>
      </w:r>
      <w:r w:rsidRPr="00D11ED2">
        <w:rPr>
          <w:rStyle w:val="af6"/>
          <w:rFonts w:eastAsia="Guttman Hodes" w:hint="cs"/>
          <w:rtl/>
        </w:rPr>
        <w:t xml:space="preserve">(עי' אות </w:t>
      </w:r>
      <w:r w:rsidRPr="00D11ED2">
        <w:rPr>
          <w:rStyle w:val="af6"/>
          <w:rFonts w:eastAsia="Guttman Hodes"/>
          <w:rtl/>
        </w:rPr>
        <w:fldChar w:fldCharType="begin"/>
      </w:r>
      <w:r w:rsidRPr="00D11ED2">
        <w:rPr>
          <w:rStyle w:val="af6"/>
          <w:rFonts w:eastAsia="Guttman Hodes"/>
          <w:rtl/>
        </w:rPr>
        <w:instrText xml:space="preserve"> </w:instrText>
      </w:r>
      <w:r w:rsidRPr="00D11ED2">
        <w:rPr>
          <w:rStyle w:val="af6"/>
          <w:rFonts w:eastAsia="Guttman Hodes" w:hint="cs"/>
        </w:rPr>
        <w:instrText>REF</w:instrText>
      </w:r>
      <w:r w:rsidRPr="00D11ED2">
        <w:rPr>
          <w:rStyle w:val="af6"/>
          <w:rFonts w:eastAsia="Guttman Hodes" w:hint="cs"/>
          <w:rtl/>
        </w:rPr>
        <w:instrText xml:space="preserve"> _</w:instrText>
      </w:r>
      <w:r w:rsidRPr="00D11ED2">
        <w:rPr>
          <w:rStyle w:val="af6"/>
          <w:rFonts w:eastAsia="Guttman Hodes" w:hint="cs"/>
        </w:rPr>
        <w:instrText>Ref25566182 \r \h</w:instrText>
      </w:r>
      <w:r w:rsidRPr="00D11ED2">
        <w:rPr>
          <w:rStyle w:val="af6"/>
          <w:rFonts w:eastAsia="Guttman Hodes"/>
          <w:rtl/>
        </w:rPr>
        <w:instrText xml:space="preserve"> </w:instrText>
      </w:r>
      <w:r w:rsidRPr="00D11ED2">
        <w:rPr>
          <w:rStyle w:val="af6"/>
          <w:rFonts w:eastAsia="Guttman Hodes"/>
          <w:rtl/>
        </w:rPr>
      </w:r>
      <w:r w:rsidRPr="00D11ED2">
        <w:rPr>
          <w:rStyle w:val="af6"/>
          <w:rFonts w:eastAsia="Guttman Hodes"/>
          <w:rtl/>
        </w:rPr>
        <w:fldChar w:fldCharType="separate"/>
      </w:r>
      <w:r w:rsidR="004D1C5B">
        <w:rPr>
          <w:rStyle w:val="af6"/>
          <w:rFonts w:eastAsia="Guttman Hodes"/>
          <w:cs/>
        </w:rPr>
        <w:t>‎</w:t>
      </w:r>
      <w:r w:rsidR="004D1C5B">
        <w:rPr>
          <w:rStyle w:val="af6"/>
          <w:rFonts w:eastAsia="Guttman Hodes"/>
          <w:rtl/>
        </w:rPr>
        <w:t>מט)</w:t>
      </w:r>
      <w:r w:rsidRPr="00D11ED2">
        <w:rPr>
          <w:rStyle w:val="af6"/>
          <w:rFonts w:eastAsia="Guttman Hodes"/>
          <w:rtl/>
        </w:rPr>
        <w:fldChar w:fldCharType="end"/>
      </w:r>
      <w:r>
        <w:rPr>
          <w:rFonts w:hint="cs"/>
          <w:rtl/>
        </w:rPr>
        <w:t>].</w:t>
      </w:r>
      <w:bookmarkEnd w:id="15770"/>
    </w:p>
    <w:p w:rsidR="003A5D2C" w:rsidRDefault="003A5D2C" w:rsidP="003A5D2C">
      <w:pPr>
        <w:pStyle w:val="1"/>
        <w:rPr>
          <w:rtl/>
        </w:rPr>
      </w:pPr>
      <w:bookmarkStart w:id="15771" w:name="_Toc25571332"/>
      <w:bookmarkStart w:id="15772" w:name="_Toc25572814"/>
      <w:bookmarkStart w:id="15773" w:name="_Toc25573056"/>
      <w:r>
        <w:rPr>
          <w:rFonts w:hint="cs"/>
          <w:rtl/>
        </w:rPr>
        <w:t>ביאור הקה"י בתוס' בבכורות</w:t>
      </w:r>
      <w:bookmarkEnd w:id="15761"/>
      <w:bookmarkEnd w:id="15762"/>
      <w:bookmarkEnd w:id="15763"/>
      <w:bookmarkEnd w:id="15764"/>
      <w:bookmarkEnd w:id="15765"/>
      <w:r>
        <w:rPr>
          <w:rFonts w:hint="cs"/>
          <w:rtl/>
        </w:rPr>
        <w:t xml:space="preserve"> בגדר הביטול בלח ויבש</w:t>
      </w:r>
      <w:bookmarkEnd w:id="15771"/>
      <w:bookmarkEnd w:id="15772"/>
      <w:bookmarkEnd w:id="15773"/>
    </w:p>
    <w:p w:rsidR="003A5D2C" w:rsidRPr="00926966" w:rsidRDefault="003A5D2C" w:rsidP="003A5D2C">
      <w:pPr>
        <w:pStyle w:val="a2"/>
      </w:pPr>
      <w:bookmarkStart w:id="15774" w:name="_Toc25536269"/>
      <w:bookmarkStart w:id="15775" w:name="_Toc25571333"/>
      <w:bookmarkStart w:id="15776" w:name="_Toc25572815"/>
      <w:bookmarkStart w:id="15777" w:name="_Toc25573057"/>
      <w:r>
        <w:rPr>
          <w:rFonts w:hint="cs"/>
          <w:rtl/>
        </w:rPr>
        <w:t>ביאור הקה"י בתוס' בבכורות דבבולע משהו אין ודאי איסור ובמשא בב"א יש ודאי טומאה</w:t>
      </w:r>
      <w:bookmarkEnd w:id="15774"/>
      <w:bookmarkEnd w:id="15775"/>
      <w:bookmarkEnd w:id="15776"/>
      <w:bookmarkEnd w:id="15777"/>
    </w:p>
    <w:p w:rsidR="003A5D2C" w:rsidRDefault="003A5D2C" w:rsidP="009F44AF">
      <w:pPr>
        <w:pStyle w:val="a"/>
        <w:rPr>
          <w:rtl/>
        </w:rPr>
      </w:pPr>
      <w:r>
        <w:rPr>
          <w:rFonts w:hint="cs"/>
          <w:rtl/>
        </w:rPr>
        <w:t xml:space="preserve">במ"ש </w:t>
      </w:r>
      <w:r w:rsidRPr="005D4574">
        <w:rPr>
          <w:rStyle w:val="af8"/>
          <w:rFonts w:hint="cs"/>
          <w:rtl/>
        </w:rPr>
        <w:t>התוס' בבכורות</w:t>
      </w:r>
      <w:r>
        <w:rPr>
          <w:rFonts w:hint="cs"/>
          <w:rtl/>
        </w:rPr>
        <w:t xml:space="preserve"> </w:t>
      </w:r>
      <w:r w:rsidRPr="00B3465B">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Ref25522241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Pr>
          <w:rStyle w:val="af6"/>
          <w:rFonts w:eastAsia="Guttman Hodes"/>
          <w:rtl/>
        </w:rPr>
        <w:fldChar w:fldCharType="end"/>
      </w:r>
      <w:r>
        <w:rPr>
          <w:rFonts w:hint="cs"/>
          <w:rtl/>
        </w:rPr>
        <w:t xml:space="preserve"> דלענין איסור, כל משהו שבולע באכילתו, קמא קמא בטיל, ביאר </w:t>
      </w:r>
      <w:r w:rsidRPr="004D1772">
        <w:rPr>
          <w:rStyle w:val="af8"/>
          <w:rFonts w:hint="cs"/>
          <w:rtl/>
        </w:rPr>
        <w:t>הקה"י בבכורות</w:t>
      </w:r>
      <w:r>
        <w:rPr>
          <w:rFonts w:hint="cs"/>
          <w:rtl/>
        </w:rPr>
        <w:t xml:space="preserve"> </w:t>
      </w:r>
      <w:r w:rsidRPr="004D1772">
        <w:rPr>
          <w:rStyle w:val="af6"/>
          <w:rFonts w:eastAsia="Guttman Hodes" w:hint="cs"/>
          <w:rtl/>
        </w:rPr>
        <w:t>(ריש סי' כ"ב)</w:t>
      </w:r>
      <w:r>
        <w:rPr>
          <w:rFonts w:hint="cs"/>
          <w:rtl/>
        </w:rPr>
        <w:t xml:space="preserve"> דבשעה שבולע כל משהו מהתערובת, אין כל ודאי שאוכל איסור, ולכן מהני הרוב להתיר, אבל בטומאת משא, דכשנושא את כל התערובת יחד, ודאי שבאותו המעשה הוא נטמא.</w:t>
      </w:r>
    </w:p>
    <w:p w:rsidR="003A5D2C" w:rsidRPr="00926966" w:rsidRDefault="003A5D2C" w:rsidP="003A5D2C">
      <w:pPr>
        <w:pStyle w:val="a2"/>
        <w:rPr>
          <w:rtl/>
        </w:rPr>
      </w:pPr>
      <w:bookmarkStart w:id="15778" w:name="_Toc25536270"/>
      <w:bookmarkStart w:id="15779" w:name="_Toc25571334"/>
      <w:bookmarkStart w:id="15780" w:name="_Toc25572816"/>
      <w:bookmarkStart w:id="15781" w:name="_Toc25573058"/>
      <w:r>
        <w:rPr>
          <w:rFonts w:hint="cs"/>
          <w:rtl/>
        </w:rPr>
        <w:t>קושית הקה"י דבלח שבטל ברוב בכל משהו יש ודאי איסור וחצי שיעור אסור מדאו'</w:t>
      </w:r>
      <w:bookmarkEnd w:id="15778"/>
      <w:bookmarkEnd w:id="15779"/>
      <w:bookmarkEnd w:id="15780"/>
      <w:bookmarkEnd w:id="15781"/>
    </w:p>
    <w:p w:rsidR="003A5D2C" w:rsidRPr="002B654F" w:rsidRDefault="003A5D2C" w:rsidP="009F44AF">
      <w:pPr>
        <w:pStyle w:val="a"/>
        <w:rPr>
          <w:rtl/>
        </w:rPr>
      </w:pPr>
      <w:bookmarkStart w:id="15782" w:name="_Ref25571107"/>
      <w:r>
        <w:rPr>
          <w:rFonts w:hint="cs"/>
          <w:rtl/>
        </w:rPr>
        <w:t xml:space="preserve">אך הקשה </w:t>
      </w:r>
      <w:r w:rsidRPr="004D1772">
        <w:rPr>
          <w:rStyle w:val="af8"/>
          <w:rFonts w:hint="cs"/>
          <w:rtl/>
        </w:rPr>
        <w:t>הקה"י</w:t>
      </w:r>
      <w:r>
        <w:rPr>
          <w:rFonts w:hint="cs"/>
          <w:rtl/>
        </w:rPr>
        <w:t xml:space="preserve"> על </w:t>
      </w:r>
      <w:r w:rsidRPr="004D1772">
        <w:rPr>
          <w:rStyle w:val="af8"/>
          <w:rFonts w:hint="cs"/>
          <w:rtl/>
        </w:rPr>
        <w:t>התוס' בבכורות</w:t>
      </w:r>
      <w:r>
        <w:rPr>
          <w:rFonts w:hint="cs"/>
          <w:rtl/>
        </w:rPr>
        <w:t xml:space="preserve"> דכ"ז שייך רק ביבש ביבש, אבל בלח בלח שמותר בביטול ברוב, בכל משהו שאוכל יש ודאי איסור, דהא קיי"ל דיש בילה, והרי חצי שיעור אסור מדאו', </w:t>
      </w:r>
      <w:r w:rsidRPr="002B654F">
        <w:rPr>
          <w:rFonts w:hint="cs"/>
          <w:rtl/>
        </w:rPr>
        <w:t xml:space="preserve">וכעי"ז הקשה </w:t>
      </w:r>
      <w:r w:rsidRPr="002B654F">
        <w:rPr>
          <w:rStyle w:val="af8"/>
          <w:rFonts w:hint="cs"/>
          <w:rtl/>
        </w:rPr>
        <w:t xml:space="preserve">הקוב"ש </w:t>
      </w:r>
      <w:r w:rsidRPr="002B654F">
        <w:rPr>
          <w:rStyle w:val="af6"/>
          <w:rFonts w:eastAsia="Guttman Hodes" w:hint="cs"/>
          <w:rtl/>
        </w:rPr>
        <w:t xml:space="preserve">(עי' אות </w:t>
      </w:r>
      <w:r w:rsidRPr="002B654F">
        <w:rPr>
          <w:rStyle w:val="af6"/>
          <w:rFonts w:eastAsia="Guttman Hodes"/>
          <w:rtl/>
        </w:rPr>
        <w:fldChar w:fldCharType="begin"/>
      </w:r>
      <w:r w:rsidRPr="002B654F">
        <w:rPr>
          <w:rStyle w:val="af6"/>
          <w:rFonts w:eastAsia="Guttman Hodes"/>
          <w:rtl/>
        </w:rPr>
        <w:instrText xml:space="preserve"> </w:instrText>
      </w:r>
      <w:r w:rsidRPr="002B654F">
        <w:rPr>
          <w:rStyle w:val="af6"/>
          <w:rFonts w:eastAsia="Guttman Hodes" w:hint="cs"/>
        </w:rPr>
        <w:instrText>REF</w:instrText>
      </w:r>
      <w:r w:rsidRPr="002B654F">
        <w:rPr>
          <w:rStyle w:val="af6"/>
          <w:rFonts w:eastAsia="Guttman Hodes" w:hint="cs"/>
          <w:rtl/>
        </w:rPr>
        <w:instrText xml:space="preserve"> _</w:instrText>
      </w:r>
      <w:r w:rsidRPr="002B654F">
        <w:rPr>
          <w:rStyle w:val="af6"/>
          <w:rFonts w:eastAsia="Guttman Hodes" w:hint="cs"/>
        </w:rPr>
        <w:instrText>Ref25571128 \r \h</w:instrText>
      </w:r>
      <w:r w:rsidRPr="002B654F">
        <w:rPr>
          <w:rStyle w:val="af6"/>
          <w:rFonts w:eastAsia="Guttman Hodes"/>
          <w:rtl/>
        </w:rPr>
        <w:instrText xml:space="preserve"> </w:instrText>
      </w:r>
      <w:r w:rsidRPr="002B654F">
        <w:rPr>
          <w:rStyle w:val="af6"/>
          <w:rFonts w:eastAsia="Guttman Hodes"/>
          <w:rtl/>
        </w:rPr>
      </w:r>
      <w:r w:rsidRPr="002B654F">
        <w:rPr>
          <w:rStyle w:val="af6"/>
          <w:rFonts w:eastAsia="Guttman Hodes"/>
          <w:rtl/>
        </w:rPr>
        <w:fldChar w:fldCharType="separate"/>
      </w:r>
      <w:r w:rsidR="004D1C5B">
        <w:rPr>
          <w:rStyle w:val="af6"/>
          <w:rFonts w:eastAsia="Guttman Hodes"/>
          <w:cs/>
        </w:rPr>
        <w:t>‎</w:t>
      </w:r>
      <w:r w:rsidR="004D1C5B">
        <w:rPr>
          <w:rStyle w:val="af6"/>
          <w:rFonts w:eastAsia="Guttman Hodes"/>
          <w:rtl/>
        </w:rPr>
        <w:t>קד)</w:t>
      </w:r>
      <w:r w:rsidRPr="002B654F">
        <w:rPr>
          <w:rStyle w:val="af6"/>
          <w:rFonts w:eastAsia="Guttman Hodes"/>
          <w:rtl/>
        </w:rPr>
        <w:fldChar w:fldCharType="end"/>
      </w:r>
      <w:r w:rsidRPr="002B654F">
        <w:rPr>
          <w:rFonts w:hint="cs"/>
          <w:rtl/>
        </w:rPr>
        <w:t>.</w:t>
      </w:r>
      <w:bookmarkEnd w:id="15782"/>
    </w:p>
    <w:p w:rsidR="003A5D2C" w:rsidRPr="00926966" w:rsidRDefault="003A5D2C" w:rsidP="003A5D2C">
      <w:pPr>
        <w:pStyle w:val="a2"/>
      </w:pPr>
      <w:bookmarkStart w:id="15783" w:name="_Toc25536271"/>
      <w:bookmarkStart w:id="15784" w:name="_Toc25571335"/>
      <w:bookmarkStart w:id="15785" w:name="_Toc25572817"/>
      <w:bookmarkStart w:id="15786" w:name="_Toc25573059"/>
      <w:r>
        <w:rPr>
          <w:rFonts w:hint="cs"/>
          <w:rtl/>
        </w:rPr>
        <w:t>דברי הקה"י דבאינו מינו בלח דמדאו' צריך שישים חשיב האיסור כמאן דליתא דטעמו אבד</w:t>
      </w:r>
      <w:bookmarkEnd w:id="15783"/>
      <w:bookmarkEnd w:id="15784"/>
      <w:bookmarkEnd w:id="15785"/>
      <w:bookmarkEnd w:id="15786"/>
    </w:p>
    <w:p w:rsidR="003A5D2C" w:rsidRDefault="003A5D2C" w:rsidP="009F44AF">
      <w:pPr>
        <w:pStyle w:val="a"/>
        <w:rPr>
          <w:rtl/>
        </w:rPr>
      </w:pPr>
      <w:r>
        <w:rPr>
          <w:rFonts w:hint="cs"/>
          <w:rtl/>
        </w:rPr>
        <w:t xml:space="preserve">וכתב </w:t>
      </w:r>
      <w:r w:rsidRPr="004D1772">
        <w:rPr>
          <w:rStyle w:val="af8"/>
          <w:rFonts w:hint="cs"/>
          <w:rtl/>
        </w:rPr>
        <w:t>הקה"י בבכורות</w:t>
      </w:r>
      <w:r>
        <w:rPr>
          <w:rFonts w:hint="cs"/>
          <w:rtl/>
        </w:rPr>
        <w:t xml:space="preserve"> </w:t>
      </w:r>
      <w:r w:rsidRPr="004D1772">
        <w:rPr>
          <w:rStyle w:val="af6"/>
          <w:rFonts w:eastAsia="Guttman Hodes" w:hint="cs"/>
          <w:rtl/>
        </w:rPr>
        <w:t>(סי' כ"ב ד"ה והנלענ"ד)</w:t>
      </w:r>
      <w:r>
        <w:rPr>
          <w:rFonts w:hint="cs"/>
          <w:rtl/>
        </w:rPr>
        <w:t xml:space="preserve"> דבמין בשאינו מינו בלח בלח, אפשר לתרץ דהא מדאו' צריך שישים דטעם כעיקר דאו', וא"כ אפש"ל דכשיש שישים חשיב שהאיסור הוא כמאן דליתא, לענין איסור אכילה, דכיון שהטעם שלו אבד בתערובת ואינו מורגש, חשיב האיסור כעץ בעלמא, ולכו"ע הוא כמאן דליתא.</w:t>
      </w:r>
    </w:p>
    <w:p w:rsidR="003A5D2C" w:rsidRPr="00926966" w:rsidRDefault="003A5D2C" w:rsidP="003A5D2C">
      <w:pPr>
        <w:pStyle w:val="a2"/>
        <w:rPr>
          <w:rtl/>
        </w:rPr>
      </w:pPr>
      <w:bookmarkStart w:id="15787" w:name="_Toc25536272"/>
      <w:bookmarkStart w:id="15788" w:name="_Toc25571336"/>
      <w:bookmarkStart w:id="15789" w:name="_Toc25572818"/>
      <w:bookmarkStart w:id="15790" w:name="_Toc25573060"/>
      <w:r>
        <w:rPr>
          <w:rFonts w:hint="cs"/>
          <w:rtl/>
        </w:rPr>
        <w:t>דברי הקה"י דעדיין קשה ממינו בלח דמדאו' א"צ שישים ואמאי מותר הא בכל משהו יש איסור</w:t>
      </w:r>
      <w:bookmarkEnd w:id="15787"/>
      <w:bookmarkEnd w:id="15788"/>
      <w:bookmarkEnd w:id="15789"/>
      <w:bookmarkEnd w:id="15790"/>
    </w:p>
    <w:p w:rsidR="003A5D2C" w:rsidRDefault="003A5D2C" w:rsidP="009F44AF">
      <w:pPr>
        <w:pStyle w:val="a"/>
      </w:pPr>
      <w:r>
        <w:rPr>
          <w:rFonts w:hint="cs"/>
          <w:rtl/>
        </w:rPr>
        <w:t xml:space="preserve">אך כתב </w:t>
      </w:r>
      <w:r w:rsidRPr="002241DD">
        <w:rPr>
          <w:rStyle w:val="af8"/>
          <w:rFonts w:hint="cs"/>
          <w:rtl/>
        </w:rPr>
        <w:t>הקה"י</w:t>
      </w:r>
      <w:r>
        <w:rPr>
          <w:rFonts w:hint="cs"/>
          <w:rtl/>
        </w:rPr>
        <w:t xml:space="preserve"> דעדיין קשה במין במינו בלח בלח, דהרי מדאו' מה</w:t>
      </w:r>
      <w:r w:rsidR="00BE3056">
        <w:rPr>
          <w:rFonts w:hint="cs"/>
          <w:rtl/>
        </w:rPr>
        <w:t>נ</w:t>
      </w:r>
      <w:r>
        <w:rPr>
          <w:rFonts w:hint="cs"/>
          <w:rtl/>
        </w:rPr>
        <w:t>י רוב וא"צ שישים, וא"כ היאך הוא מותר, והרי בכל משהו שאוכל יש ודאי איסור, והוא מרגיש את טעמו, [</w:t>
      </w:r>
      <w:r w:rsidRPr="002241DD">
        <w:rPr>
          <w:rStyle w:val="afa"/>
          <w:rFonts w:hint="cs"/>
          <w:rtl/>
        </w:rPr>
        <w:t xml:space="preserve">אף שהאיסור אינו ניכר דהוא מין במינו, מ"מ ודאי שהוא מרגיש אף את הטעם של האיסור בתוך הטעם של ההיתר], </w:t>
      </w:r>
      <w:r>
        <w:rPr>
          <w:rFonts w:hint="cs"/>
          <w:rtl/>
        </w:rPr>
        <w:t>וא"כ הוא דמי לטומאת משא דלא מהני ביטול.</w:t>
      </w:r>
    </w:p>
    <w:p w:rsidR="003A5D2C" w:rsidRPr="00926966" w:rsidRDefault="003A5D2C" w:rsidP="003A5D2C">
      <w:pPr>
        <w:pStyle w:val="a2"/>
      </w:pPr>
      <w:bookmarkStart w:id="15791" w:name="_Toc25536273"/>
      <w:bookmarkStart w:id="15792" w:name="_Toc25571337"/>
      <w:bookmarkStart w:id="15793" w:name="_Toc25572819"/>
      <w:bookmarkStart w:id="15794" w:name="_Toc25573061"/>
      <w:r>
        <w:rPr>
          <w:rFonts w:hint="cs"/>
          <w:rtl/>
        </w:rPr>
        <w:t>דברי הקה"י דלהתוס' משא טמא מדרבנן אבל מדאו' הטומאה כמאן דליתא ומדרבנן יש שישים</w:t>
      </w:r>
      <w:bookmarkEnd w:id="15791"/>
      <w:bookmarkEnd w:id="15792"/>
      <w:bookmarkEnd w:id="15793"/>
      <w:bookmarkEnd w:id="15794"/>
    </w:p>
    <w:p w:rsidR="003A5D2C" w:rsidRDefault="003A5D2C" w:rsidP="009F44AF">
      <w:pPr>
        <w:pStyle w:val="a"/>
        <w:rPr>
          <w:rtl/>
        </w:rPr>
      </w:pPr>
      <w:r>
        <w:rPr>
          <w:rFonts w:hint="cs"/>
          <w:rtl/>
        </w:rPr>
        <w:t xml:space="preserve">אלא תירץ </w:t>
      </w:r>
      <w:r w:rsidRPr="002241DD">
        <w:rPr>
          <w:rStyle w:val="af8"/>
          <w:rFonts w:hint="cs"/>
          <w:rtl/>
        </w:rPr>
        <w:t>הקה"י</w:t>
      </w:r>
      <w:r>
        <w:rPr>
          <w:rFonts w:hint="cs"/>
          <w:rtl/>
        </w:rPr>
        <w:t xml:space="preserve"> </w:t>
      </w:r>
      <w:r w:rsidRPr="002241DD">
        <w:rPr>
          <w:rStyle w:val="af8"/>
          <w:rFonts w:hint="cs"/>
          <w:rtl/>
        </w:rPr>
        <w:t>בבכורות</w:t>
      </w:r>
      <w:r>
        <w:rPr>
          <w:rFonts w:hint="cs"/>
          <w:rtl/>
        </w:rPr>
        <w:t xml:space="preserve"> דכ"מ דכתבו </w:t>
      </w:r>
      <w:r w:rsidRPr="002241DD">
        <w:rPr>
          <w:rStyle w:val="af8"/>
          <w:rFonts w:hint="cs"/>
          <w:rtl/>
        </w:rPr>
        <w:t>התוס' בבכורות</w:t>
      </w:r>
      <w:r>
        <w:rPr>
          <w:rFonts w:hint="cs"/>
          <w:rtl/>
        </w:rPr>
        <w:t xml:space="preserve"> </w:t>
      </w:r>
      <w:r w:rsidRPr="00A72D0E">
        <w:rPr>
          <w:rStyle w:val="af6"/>
          <w:rFonts w:eastAsia="Guttman Hodes" w:hint="cs"/>
          <w:rtl/>
        </w:rPr>
        <w:t xml:space="preserve">(עי' אות </w:t>
      </w:r>
      <w:r w:rsidRPr="00A72D0E">
        <w:rPr>
          <w:rStyle w:val="af6"/>
          <w:rFonts w:eastAsia="Guttman Hodes"/>
          <w:rtl/>
        </w:rPr>
        <w:fldChar w:fldCharType="begin"/>
      </w:r>
      <w:r w:rsidRPr="00A72D0E">
        <w:rPr>
          <w:rStyle w:val="af6"/>
          <w:rFonts w:eastAsia="Guttman Hodes"/>
          <w:rtl/>
        </w:rPr>
        <w:instrText xml:space="preserve"> </w:instrText>
      </w:r>
      <w:r w:rsidRPr="00A72D0E">
        <w:rPr>
          <w:rStyle w:val="af6"/>
          <w:rFonts w:eastAsia="Guttman Hodes" w:hint="cs"/>
        </w:rPr>
        <w:instrText>REF</w:instrText>
      </w:r>
      <w:r w:rsidRPr="00A72D0E">
        <w:rPr>
          <w:rStyle w:val="af6"/>
          <w:rFonts w:eastAsia="Guttman Hodes" w:hint="cs"/>
          <w:rtl/>
        </w:rPr>
        <w:instrText xml:space="preserve"> _</w:instrText>
      </w:r>
      <w:r w:rsidRPr="00A72D0E">
        <w:rPr>
          <w:rStyle w:val="af6"/>
          <w:rFonts w:eastAsia="Guttman Hodes" w:hint="cs"/>
        </w:rPr>
        <w:instrText>Ref25483714 \r \h</w:instrText>
      </w:r>
      <w:r w:rsidRPr="00A72D0E">
        <w:rPr>
          <w:rStyle w:val="af6"/>
          <w:rFonts w:eastAsia="Guttman Hodes"/>
          <w:rtl/>
        </w:rPr>
        <w:instrText xml:space="preserve"> </w:instrText>
      </w:r>
      <w:r w:rsidRPr="00A72D0E">
        <w:rPr>
          <w:rStyle w:val="af6"/>
          <w:rFonts w:eastAsia="Guttman Hodes"/>
          <w:rtl/>
        </w:rPr>
      </w:r>
      <w:r w:rsidRPr="00A72D0E">
        <w:rPr>
          <w:rStyle w:val="af6"/>
          <w:rFonts w:eastAsia="Guttman Hodes"/>
          <w:rtl/>
        </w:rPr>
        <w:fldChar w:fldCharType="separate"/>
      </w:r>
      <w:r w:rsidR="004D1C5B">
        <w:rPr>
          <w:rStyle w:val="af6"/>
          <w:rFonts w:eastAsia="Guttman Hodes"/>
          <w:cs/>
        </w:rPr>
        <w:t>‎</w:t>
      </w:r>
      <w:r w:rsidR="004D1C5B">
        <w:rPr>
          <w:rStyle w:val="af6"/>
          <w:rFonts w:eastAsia="Guttman Hodes"/>
          <w:rtl/>
        </w:rPr>
        <w:t>לב)</w:t>
      </w:r>
      <w:r w:rsidRPr="00A72D0E">
        <w:rPr>
          <w:rStyle w:val="af6"/>
          <w:rFonts w:eastAsia="Guttman Hodes"/>
          <w:rtl/>
        </w:rPr>
        <w:fldChar w:fldCharType="end"/>
      </w:r>
      <w:r>
        <w:rPr>
          <w:rFonts w:hint="cs"/>
          <w:rtl/>
        </w:rPr>
        <w:t xml:space="preserve"> דכל משהו שבולע באכילתו, קמא קמא בטיל, הוא כיון דס"ל </w:t>
      </w:r>
      <w:r w:rsidRPr="002241DD">
        <w:rPr>
          <w:rStyle w:val="af8"/>
          <w:rFonts w:hint="cs"/>
          <w:rtl/>
        </w:rPr>
        <w:t>להתוס' בבכורות</w:t>
      </w:r>
      <w:r>
        <w:rPr>
          <w:rFonts w:hint="cs"/>
          <w:rtl/>
        </w:rPr>
        <w:t xml:space="preserve"> </w:t>
      </w:r>
      <w:r w:rsidRPr="00A72D0E">
        <w:rPr>
          <w:rStyle w:val="af6"/>
          <w:rFonts w:eastAsia="Guttman Hodes" w:hint="cs"/>
          <w:rtl/>
        </w:rPr>
        <w:t xml:space="preserve">(עי' אות </w:t>
      </w:r>
      <w:r w:rsidRPr="00A72D0E">
        <w:rPr>
          <w:rStyle w:val="af6"/>
          <w:rFonts w:eastAsia="Guttman Hodes"/>
          <w:rtl/>
        </w:rPr>
        <w:fldChar w:fldCharType="begin"/>
      </w:r>
      <w:r w:rsidRPr="00A72D0E">
        <w:rPr>
          <w:rStyle w:val="af6"/>
          <w:rFonts w:eastAsia="Guttman Hodes"/>
          <w:rtl/>
        </w:rPr>
        <w:instrText xml:space="preserve"> </w:instrText>
      </w:r>
      <w:r w:rsidRPr="00A72D0E">
        <w:rPr>
          <w:rStyle w:val="af6"/>
          <w:rFonts w:eastAsia="Guttman Hodes" w:hint="cs"/>
        </w:rPr>
        <w:instrText>REF</w:instrText>
      </w:r>
      <w:r w:rsidRPr="00A72D0E">
        <w:rPr>
          <w:rStyle w:val="af6"/>
          <w:rFonts w:eastAsia="Guttman Hodes" w:hint="cs"/>
          <w:rtl/>
        </w:rPr>
        <w:instrText xml:space="preserve"> _</w:instrText>
      </w:r>
      <w:r w:rsidRPr="00A72D0E">
        <w:rPr>
          <w:rStyle w:val="af6"/>
          <w:rFonts w:eastAsia="Guttman Hodes" w:hint="cs"/>
        </w:rPr>
        <w:instrText>Ref25483296 \r \h</w:instrText>
      </w:r>
      <w:r w:rsidRPr="00A72D0E">
        <w:rPr>
          <w:rStyle w:val="af6"/>
          <w:rFonts w:eastAsia="Guttman Hodes"/>
          <w:rtl/>
        </w:rPr>
        <w:instrText xml:space="preserve"> </w:instrText>
      </w:r>
      <w:r w:rsidRPr="00A72D0E">
        <w:rPr>
          <w:rStyle w:val="af6"/>
          <w:rFonts w:eastAsia="Guttman Hodes"/>
          <w:rtl/>
        </w:rPr>
      </w:r>
      <w:r w:rsidRPr="00A72D0E">
        <w:rPr>
          <w:rStyle w:val="af6"/>
          <w:rFonts w:eastAsia="Guttman Hodes"/>
          <w:rtl/>
        </w:rPr>
        <w:fldChar w:fldCharType="separate"/>
      </w:r>
      <w:r w:rsidR="004D1C5B">
        <w:rPr>
          <w:rStyle w:val="af6"/>
          <w:rFonts w:eastAsia="Guttman Hodes"/>
          <w:cs/>
        </w:rPr>
        <w:t>‎</w:t>
      </w:r>
      <w:r w:rsidR="004D1C5B">
        <w:rPr>
          <w:rStyle w:val="af6"/>
          <w:rFonts w:eastAsia="Guttman Hodes"/>
          <w:rtl/>
        </w:rPr>
        <w:t>לג)</w:t>
      </w:r>
      <w:r w:rsidRPr="00A72D0E">
        <w:rPr>
          <w:rStyle w:val="af6"/>
          <w:rFonts w:eastAsia="Guttman Hodes"/>
          <w:rtl/>
        </w:rPr>
        <w:fldChar w:fldCharType="end"/>
      </w:r>
      <w:r>
        <w:rPr>
          <w:rFonts w:hint="cs"/>
          <w:rtl/>
        </w:rPr>
        <w:t xml:space="preserve"> דהא דאמרינן דהטומאה כמאן דאיתא ומטמאה במשא, היינו דוקא מדרבנן, וא"כ במין במינו מדאו' מהני ביטול ברוב, דהרי מדאו' לא אמרינן שהאיסור הוא כמאן דאיתא, ואף דמדרבנן אמרינן דהאיסור כמאן דאיתא, מ"מ מדרבנן הרי צריך שישים בלח בלח, אף במין במינו, ובמקום שיש שישים ממילא חשיב שהאיסור כמאן דליתא לענין שיעור אכילה. </w:t>
      </w:r>
    </w:p>
    <w:p w:rsidR="003A5D2C" w:rsidRPr="00926966" w:rsidRDefault="003A5D2C" w:rsidP="003A5D2C">
      <w:pPr>
        <w:pStyle w:val="a2"/>
        <w:rPr>
          <w:rtl/>
        </w:rPr>
      </w:pPr>
      <w:bookmarkStart w:id="15795" w:name="_Toc25536274"/>
      <w:bookmarkStart w:id="15796" w:name="_Toc25571338"/>
      <w:bookmarkStart w:id="15797" w:name="_Toc25572820"/>
      <w:bookmarkStart w:id="15798" w:name="_Toc25573062"/>
      <w:r>
        <w:rPr>
          <w:rFonts w:hint="cs"/>
          <w:rtl/>
        </w:rPr>
        <w:t>דברי הקה"י דדוחק לומר דבמינו בשישים האיסור כמאן דליתא דהא במינו לא פג טעם האיסור</w:t>
      </w:r>
      <w:bookmarkEnd w:id="15795"/>
      <w:bookmarkEnd w:id="15796"/>
      <w:bookmarkEnd w:id="15797"/>
      <w:bookmarkEnd w:id="15798"/>
    </w:p>
    <w:p w:rsidR="003A5D2C" w:rsidRDefault="003A5D2C" w:rsidP="009F44AF">
      <w:pPr>
        <w:pStyle w:val="a"/>
        <w:rPr>
          <w:rtl/>
        </w:rPr>
      </w:pPr>
      <w:r>
        <w:rPr>
          <w:rFonts w:hint="cs"/>
          <w:rtl/>
        </w:rPr>
        <w:t xml:space="preserve">אך כתב </w:t>
      </w:r>
      <w:r w:rsidRPr="002241DD">
        <w:rPr>
          <w:rStyle w:val="af8"/>
          <w:rFonts w:hint="cs"/>
          <w:rtl/>
        </w:rPr>
        <w:t>הקה"י בבכורות</w:t>
      </w:r>
      <w:r>
        <w:rPr>
          <w:rFonts w:hint="cs"/>
          <w:rtl/>
        </w:rPr>
        <w:t xml:space="preserve"> דדוחק לומר דבמין במינו, אמרינן דהאיסור כמאן דליתא כשיש שישים, דהא במין במינו לא פג הטעם של האיסור, דהוא כמו הטעם של ההיתר.</w:t>
      </w:r>
    </w:p>
    <w:p w:rsidR="003A5D2C" w:rsidRPr="00926966" w:rsidRDefault="003A5D2C" w:rsidP="003A5D2C">
      <w:pPr>
        <w:pStyle w:val="a2"/>
      </w:pPr>
      <w:bookmarkStart w:id="15799" w:name="_Toc25536275"/>
      <w:bookmarkStart w:id="15800" w:name="_Toc25571339"/>
      <w:bookmarkStart w:id="15801" w:name="_Toc25572821"/>
      <w:bookmarkStart w:id="15802" w:name="_Toc25573063"/>
      <w:r>
        <w:rPr>
          <w:rFonts w:hint="cs"/>
          <w:rtl/>
        </w:rPr>
        <w:t>דברי הקה"י דלמהר"י קורקוס מיושב דבלח האיסור כמאן דליתא דבלח הוא פנים חדשות</w:t>
      </w:r>
      <w:bookmarkEnd w:id="15799"/>
      <w:bookmarkEnd w:id="15800"/>
      <w:bookmarkEnd w:id="15801"/>
      <w:bookmarkEnd w:id="15802"/>
    </w:p>
    <w:p w:rsidR="00785F14" w:rsidRDefault="003A5D2C" w:rsidP="00A87850">
      <w:pPr>
        <w:pStyle w:val="a"/>
        <w:rPr>
          <w:rtl/>
        </w:rPr>
        <w:sectPr w:rsidR="00785F14" w:rsidSect="005049E2">
          <w:type w:val="continuous"/>
          <w:pgSz w:w="11906" w:h="16838"/>
          <w:pgMar w:top="720" w:right="720" w:bottom="720" w:left="720" w:header="283" w:footer="283" w:gutter="0"/>
          <w:cols w:num="2" w:space="567"/>
          <w:titlePg/>
          <w:bidi/>
          <w:rtlGutter/>
          <w:docGrid w:linePitch="299"/>
        </w:sectPr>
      </w:pPr>
      <w:r>
        <w:rPr>
          <w:rFonts w:hint="cs"/>
          <w:rtl/>
        </w:rPr>
        <w:lastRenderedPageBreak/>
        <w:t xml:space="preserve">וכתב </w:t>
      </w:r>
      <w:r w:rsidRPr="002241DD">
        <w:rPr>
          <w:rStyle w:val="af8"/>
          <w:rFonts w:hint="cs"/>
          <w:rtl/>
        </w:rPr>
        <w:t>הקה"י בבכורות</w:t>
      </w:r>
      <w:r>
        <w:rPr>
          <w:rFonts w:hint="cs"/>
          <w:rtl/>
        </w:rPr>
        <w:t xml:space="preserve"> </w:t>
      </w:r>
      <w:r w:rsidRPr="00B672EA">
        <w:rPr>
          <w:rStyle w:val="af6"/>
          <w:rFonts w:eastAsia="Guttman Hodes" w:hint="cs"/>
          <w:rtl/>
        </w:rPr>
        <w:t>(סי' כ"ב ד"ה ואמנם)</w:t>
      </w:r>
      <w:r>
        <w:rPr>
          <w:rFonts w:hint="cs"/>
          <w:rtl/>
        </w:rPr>
        <w:t xml:space="preserve"> דלפי דברי </w:t>
      </w:r>
      <w:r w:rsidRPr="002241DD">
        <w:rPr>
          <w:rStyle w:val="af8"/>
          <w:rFonts w:hint="cs"/>
          <w:rtl/>
        </w:rPr>
        <w:t>הכס"מ</w:t>
      </w:r>
      <w:r>
        <w:rPr>
          <w:rFonts w:hint="cs"/>
          <w:rtl/>
        </w:rPr>
        <w:t xml:space="preserve"> </w:t>
      </w:r>
      <w:r w:rsidRPr="00B672EA">
        <w:rPr>
          <w:rStyle w:val="af6"/>
          <w:rFonts w:eastAsia="Guttman Hodes" w:hint="cs"/>
          <w:rtl/>
        </w:rPr>
        <w:t xml:space="preserve">(עי' אות </w:t>
      </w:r>
      <w:r w:rsidRPr="00B672EA">
        <w:rPr>
          <w:rStyle w:val="af6"/>
          <w:rFonts w:eastAsia="Guttman Hodes"/>
          <w:rtl/>
        </w:rPr>
        <w:fldChar w:fldCharType="begin"/>
      </w:r>
      <w:r w:rsidRPr="00B672EA">
        <w:rPr>
          <w:rStyle w:val="af6"/>
          <w:rFonts w:eastAsia="Guttman Hodes"/>
          <w:rtl/>
        </w:rPr>
        <w:instrText xml:space="preserve"> </w:instrText>
      </w:r>
      <w:r w:rsidRPr="00B672EA">
        <w:rPr>
          <w:rStyle w:val="af6"/>
          <w:rFonts w:eastAsia="Guttman Hodes" w:hint="cs"/>
        </w:rPr>
        <w:instrText>REF</w:instrText>
      </w:r>
      <w:r w:rsidRPr="00B672EA">
        <w:rPr>
          <w:rStyle w:val="af6"/>
          <w:rFonts w:eastAsia="Guttman Hodes" w:hint="cs"/>
          <w:rtl/>
        </w:rPr>
        <w:instrText xml:space="preserve"> _</w:instrText>
      </w:r>
      <w:r w:rsidRPr="00B672EA">
        <w:rPr>
          <w:rStyle w:val="af6"/>
          <w:rFonts w:eastAsia="Guttman Hodes" w:hint="cs"/>
        </w:rPr>
        <w:instrText>Ref25522909 \r \h</w:instrText>
      </w:r>
      <w:r w:rsidRPr="00B672EA">
        <w:rPr>
          <w:rStyle w:val="af6"/>
          <w:rFonts w:eastAsia="Guttman Hodes"/>
          <w:rtl/>
        </w:rPr>
        <w:instrText xml:space="preserve"> </w:instrText>
      </w:r>
      <w:r w:rsidRPr="00B672EA">
        <w:rPr>
          <w:rStyle w:val="af6"/>
          <w:rFonts w:eastAsia="Guttman Hodes"/>
          <w:rtl/>
        </w:rPr>
      </w:r>
      <w:r w:rsidRPr="00B672EA">
        <w:rPr>
          <w:rStyle w:val="af6"/>
          <w:rFonts w:eastAsia="Guttman Hodes"/>
          <w:rtl/>
        </w:rPr>
        <w:fldChar w:fldCharType="separate"/>
      </w:r>
      <w:r w:rsidR="004D1C5B">
        <w:rPr>
          <w:rStyle w:val="af6"/>
          <w:rFonts w:eastAsia="Guttman Hodes"/>
          <w:cs/>
        </w:rPr>
        <w:t>‎</w:t>
      </w:r>
      <w:r w:rsidR="004D1C5B">
        <w:rPr>
          <w:rStyle w:val="af6"/>
          <w:rFonts w:eastAsia="Guttman Hodes"/>
          <w:rtl/>
        </w:rPr>
        <w:t>מג)</w:t>
      </w:r>
      <w:r w:rsidRPr="00B672EA">
        <w:rPr>
          <w:rStyle w:val="af6"/>
          <w:rFonts w:eastAsia="Guttman Hodes"/>
          <w:rtl/>
        </w:rPr>
        <w:fldChar w:fldCharType="end"/>
      </w:r>
      <w:r w:rsidRPr="00B672EA">
        <w:rPr>
          <w:rStyle w:val="af6"/>
          <w:rFonts w:eastAsia="Guttman Hodes" w:hint="cs"/>
          <w:rtl/>
        </w:rPr>
        <w:t xml:space="preserve"> </w:t>
      </w:r>
      <w:r>
        <w:rPr>
          <w:rFonts w:hint="cs"/>
          <w:rtl/>
        </w:rPr>
        <w:t xml:space="preserve">בשם </w:t>
      </w:r>
      <w:r w:rsidRPr="002241DD">
        <w:rPr>
          <w:rStyle w:val="af8"/>
          <w:rFonts w:hint="cs"/>
          <w:rtl/>
        </w:rPr>
        <w:t>המהר"י קורקוס</w:t>
      </w:r>
      <w:r>
        <w:rPr>
          <w:rFonts w:hint="cs"/>
          <w:rtl/>
        </w:rPr>
        <w:t xml:space="preserve"> דבכל לח בלח, האיסור והטומאה כמאן דליתא, א"כ מתורצים דברי </w:t>
      </w:r>
      <w:r w:rsidRPr="002241DD">
        <w:rPr>
          <w:rStyle w:val="af8"/>
          <w:rFonts w:hint="cs"/>
          <w:rtl/>
        </w:rPr>
        <w:t>התוס' בבכורות</w:t>
      </w:r>
      <w:r>
        <w:rPr>
          <w:rFonts w:hint="cs"/>
          <w:rtl/>
        </w:rPr>
        <w:t>,</w:t>
      </w:r>
      <w:r w:rsidRPr="002241DD">
        <w:rPr>
          <w:rStyle w:val="afa"/>
          <w:rFonts w:hint="cs"/>
          <w:rtl/>
        </w:rPr>
        <w:t xml:space="preserve"> [דבלח בלח אף שודאי אוכל איסור בכל משהו, מ"מ אינו אסור מדאו' כיון שהאיסור כמאן דליתא]</w:t>
      </w:r>
      <w:r>
        <w:rPr>
          <w:rStyle w:val="afa"/>
          <w:rFonts w:hint="cs"/>
          <w:rtl/>
        </w:rPr>
        <w:t xml:space="preserve">, </w:t>
      </w:r>
      <w:r>
        <w:rPr>
          <w:rFonts w:hint="cs"/>
          <w:rtl/>
        </w:rPr>
        <w:t xml:space="preserve">והוסיף </w:t>
      </w:r>
      <w:r w:rsidRPr="002241DD">
        <w:rPr>
          <w:rStyle w:val="af8"/>
          <w:rFonts w:hint="cs"/>
          <w:rtl/>
        </w:rPr>
        <w:t xml:space="preserve">הקה"י </w:t>
      </w:r>
      <w:r w:rsidRPr="002241DD">
        <w:rPr>
          <w:rStyle w:val="af8"/>
          <w:rFonts w:hint="cs"/>
          <w:rtl/>
        </w:rPr>
        <w:t>בבכורות</w:t>
      </w:r>
      <w:r>
        <w:rPr>
          <w:rFonts w:hint="cs"/>
          <w:rtl/>
        </w:rPr>
        <w:t xml:space="preserve"> </w:t>
      </w:r>
      <w:r w:rsidRPr="00B672EA">
        <w:rPr>
          <w:rStyle w:val="af6"/>
          <w:rFonts w:eastAsia="Guttman Hodes" w:hint="cs"/>
          <w:rtl/>
        </w:rPr>
        <w:t>(סי' כ"ב ד"ה והנראה מוכרח)</w:t>
      </w:r>
      <w:r>
        <w:rPr>
          <w:rFonts w:hint="cs"/>
          <w:rtl/>
        </w:rPr>
        <w:t xml:space="preserve"> לבאר דבלח בלח לכו"ע האיסור כמאן דליתא, כיון שאין בתערובת ממשות של האיסור בפנ"ע, וכן כיון ששמו וצורתו של האיסור השתנו ע"י רוב ההיתר, ונעשה פנים חדשות.</w:t>
      </w:r>
    </w:p>
    <w:p w:rsidR="009F44AF" w:rsidRDefault="009F44AF" w:rsidP="009F44AF">
      <w:pPr>
        <w:pStyle w:val="a"/>
        <w:numPr>
          <w:ilvl w:val="0"/>
          <w:numId w:val="0"/>
        </w:numPr>
        <w:rPr>
          <w:rtl/>
        </w:rPr>
        <w:sectPr w:rsidR="009F44AF" w:rsidSect="005049E2">
          <w:footerReference w:type="default" r:id="rId103"/>
          <w:type w:val="continuous"/>
          <w:pgSz w:w="11906" w:h="16838"/>
          <w:pgMar w:top="720" w:right="720" w:bottom="720" w:left="720" w:header="283" w:footer="283" w:gutter="0"/>
          <w:cols w:num="2" w:space="567"/>
          <w:titlePg/>
          <w:bidi/>
          <w:rtlGutter/>
          <w:docGrid w:linePitch="299"/>
        </w:sectPr>
      </w:pPr>
    </w:p>
    <w:p w:rsidR="00A87850" w:rsidRDefault="00A87850" w:rsidP="005B1A17">
      <w:pPr>
        <w:pStyle w:val="afc"/>
        <w:rPr>
          <w:rtl/>
        </w:rPr>
        <w:sectPr w:rsidR="00A87850">
          <w:type w:val="continuous"/>
          <w:pgSz w:w="11906" w:h="16838"/>
          <w:pgMar w:top="720" w:right="720" w:bottom="720" w:left="720" w:header="283" w:footer="283" w:gutter="0"/>
          <w:cols w:space="720"/>
          <w:bidi/>
          <w:rtlGutter/>
        </w:sectPr>
      </w:pPr>
    </w:p>
    <w:p w:rsidR="00A87850" w:rsidRDefault="009F44AF" w:rsidP="005B1A17">
      <w:pPr>
        <w:pStyle w:val="afc"/>
        <w:rPr>
          <w:rtl/>
        </w:rPr>
      </w:pPr>
      <w:r>
        <w:rPr>
          <w:rFonts w:hint="cs"/>
          <w:rtl/>
        </w:rPr>
        <w:lastRenderedPageBreak/>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bookmarkStart w:id="15803" w:name="_Toc27422438"/>
      <w:r w:rsidR="00A87850">
        <w:rPr>
          <w:rFonts w:hint="cs"/>
          <w:rtl/>
        </w:rPr>
        <w:t>סימן כ'</w:t>
      </w:r>
      <w:bookmarkEnd w:id="15803"/>
    </w:p>
    <w:p w:rsidR="009F44AF" w:rsidRDefault="009F44AF" w:rsidP="009F44AF">
      <w:pPr>
        <w:spacing w:before="240"/>
        <w:ind w:left="0"/>
        <w:jc w:val="center"/>
        <w:outlineLvl w:val="1"/>
        <w:rPr>
          <w:rFonts w:ascii="Guttman Adii-Light" w:eastAsia="Guttman Adii-Light" w:hAnsi="Guttman Adii-Light" w:cs="Guttman Adii-Light"/>
          <w:b/>
          <w:bCs/>
          <w:noProof/>
          <w:szCs w:val="28"/>
          <w:rtl/>
        </w:rPr>
      </w:pPr>
      <w:r>
        <w:rPr>
          <w:rFonts w:ascii="Guttman Adii-Light" w:eastAsia="Guttman Adii-Light" w:hAnsi="Guttman Adii-Light" w:cs="Guttman Adii-Light" w:hint="cs"/>
          <w:b/>
          <w:bCs/>
          <w:noProof/>
          <w:szCs w:val="28"/>
          <w:rtl/>
        </w:rPr>
        <w:t>בפלוגתת הראשונים בדין קמא קמא בטיל ובחוזר וניעור</w:t>
      </w:r>
    </w:p>
    <w:p w:rsidR="009F44AF" w:rsidRDefault="009F44AF" w:rsidP="009F44AF">
      <w:pPr>
        <w:keepNext/>
        <w:keepLines/>
        <w:ind w:left="0"/>
        <w:jc w:val="center"/>
        <w:outlineLvl w:val="1"/>
        <w:rPr>
          <w:rFonts w:ascii="Guttman Adii-Light" w:eastAsia="Guttman Adii-Light" w:hAnsi="Guttman Adii-Light" w:cs="Guttman Adii-Light"/>
          <w:sz w:val="24"/>
          <w:szCs w:val="24"/>
        </w:rPr>
      </w:pPr>
      <w:r>
        <w:rPr>
          <w:rFonts w:ascii="Guttman Adii-Light" w:eastAsia="Guttman Adii-Light" w:hAnsi="Guttman Adii-Light" w:cs="Guttman Adii-Light" w:hint="cs"/>
          <w:sz w:val="24"/>
          <w:szCs w:val="24"/>
          <w:rtl/>
        </w:rPr>
        <w:t>מפתח הסוגיא</w:t>
      </w:r>
    </w:p>
    <w:p w:rsidR="009F44AF" w:rsidRDefault="009F44AF" w:rsidP="009F44AF">
      <w:pPr>
        <w:bidi w:val="0"/>
        <w:ind w:left="0"/>
        <w:jc w:val="left"/>
        <w:rPr>
          <w:rFonts w:ascii="Guttman Adii-Light" w:eastAsia="Guttman Adii-Light" w:hAnsi="Guttman Adii-Light" w:cs="Guttman Adii-Light"/>
          <w:sz w:val="24"/>
          <w:szCs w:val="24"/>
          <w:rtl/>
        </w:rPr>
        <w:sectPr w:rsidR="009F44AF" w:rsidSect="00A87850">
          <w:headerReference w:type="default" r:id="rId104"/>
          <w:pgSz w:w="11906" w:h="16838"/>
          <w:pgMar w:top="720" w:right="720" w:bottom="720" w:left="720" w:header="283" w:footer="283" w:gutter="0"/>
          <w:cols w:space="720"/>
          <w:bidi/>
          <w:rtlGutter/>
        </w:sectPr>
      </w:pPr>
    </w:p>
    <w:p w:rsidR="009F44AF" w:rsidRDefault="009F44AF" w:rsidP="009F44AF">
      <w:pPr>
        <w:pStyle w:val="2"/>
        <w:rPr>
          <w:rFonts w:eastAsiaTheme="minorEastAsia" w:cstheme="minorBidi"/>
          <w:i/>
          <w:iCs/>
          <w:sz w:val="22"/>
          <w:szCs w:val="22"/>
          <w:rtl/>
        </w:rPr>
      </w:pPr>
      <w:r>
        <w:rPr>
          <w:rFonts w:hint="cs"/>
          <w:rtl/>
        </w:rPr>
        <w:t>מראי מקומות וביאורים</w:t>
      </w:r>
    </w:p>
    <w:p w:rsidR="009F44AF" w:rsidRDefault="009F44AF" w:rsidP="009F44AF">
      <w:pPr>
        <w:pStyle w:val="2"/>
        <w:rPr>
          <w:rFonts w:eastAsiaTheme="minorEastAsia" w:cstheme="minorBidi"/>
          <w:i/>
          <w:iCs/>
          <w:sz w:val="22"/>
          <w:szCs w:val="22"/>
          <w:rtl/>
        </w:rPr>
      </w:pPr>
      <w:r>
        <w:rPr>
          <w:rFonts w:hint="cs"/>
          <w:rtl/>
        </w:rPr>
        <w:t>דברי רש"י בדין קמא קמא בטיל</w:t>
      </w:r>
    </w:p>
    <w:p w:rsidR="009F44AF" w:rsidRDefault="009F44AF" w:rsidP="009F44AF">
      <w:pPr>
        <w:pStyle w:val="aff4"/>
        <w:rPr>
          <w:rFonts w:eastAsiaTheme="minorEastAsia" w:cstheme="minorBidi"/>
          <w:i/>
          <w:iCs/>
          <w:noProof/>
          <w:sz w:val="22"/>
          <w:szCs w:val="22"/>
          <w:rtl/>
        </w:rPr>
      </w:pPr>
      <w:r>
        <w:rPr>
          <w:rFonts w:hint="cs"/>
          <w:noProof/>
          <w:rtl/>
        </w:rPr>
        <w:t>דברי רש"י בדעת רב דימי בנפל בב"א ובזאח"ז</w:t>
      </w:r>
    </w:p>
    <w:p w:rsidR="009F44AF" w:rsidRPr="00F3032B" w:rsidRDefault="009F44AF" w:rsidP="004D1C5B">
      <w:pPr>
        <w:pStyle w:val="TOC9"/>
        <w:numPr>
          <w:ilvl w:val="0"/>
          <w:numId w:val="41"/>
        </w:numPr>
        <w:rPr>
          <w:rtl/>
        </w:rPr>
      </w:pPr>
      <w:r w:rsidRPr="00BE3056">
        <w:rPr>
          <w:rFonts w:ascii="Guttman Hodes" w:eastAsia="Guttman Hodes" w:hAnsi="Guttman Hodes" w:cs="Guttman Hodes" w:hint="cs"/>
          <w:sz w:val="12"/>
          <w:szCs w:val="12"/>
          <w:rtl/>
        </w:rPr>
        <w:t>דברי רש"י דביין שנפל בבת אחת מודה רב דימי דלא אמרינן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רש"י דבהיתר שנפל לאיסור אמרינן קמא קמא בטיל כשיש רוב בהיתר כנגד האיסור</w:t>
      </w:r>
    </w:p>
    <w:p w:rsidR="009F44AF" w:rsidRDefault="009F44AF" w:rsidP="009F44AF">
      <w:pPr>
        <w:pStyle w:val="aff2"/>
        <w:numPr>
          <w:ilvl w:val="0"/>
          <w:numId w:val="33"/>
        </w:numPr>
        <w:rPr>
          <w:rFonts w:eastAsiaTheme="minorEastAsia" w:cstheme="minorBidi"/>
          <w:sz w:val="22"/>
          <w:szCs w:val="22"/>
          <w:rtl/>
        </w:rPr>
      </w:pPr>
      <w:r>
        <w:rPr>
          <w:rFonts w:hint="cs"/>
          <w:rtl/>
        </w:rPr>
        <w:t>דברי רש"י דביין שנפל למים אסורים דרק בנפל היין בבת אחת וביטל את טעם המים מותר</w:t>
      </w:r>
    </w:p>
    <w:p w:rsidR="009F44AF" w:rsidRDefault="009F44AF" w:rsidP="009F44AF">
      <w:pPr>
        <w:pStyle w:val="aff4"/>
        <w:rPr>
          <w:rFonts w:eastAsiaTheme="minorEastAsia" w:cstheme="minorBidi"/>
          <w:i/>
          <w:iCs/>
          <w:noProof/>
          <w:sz w:val="22"/>
          <w:szCs w:val="22"/>
          <w:rtl/>
        </w:rPr>
      </w:pPr>
      <w:r>
        <w:rPr>
          <w:rFonts w:hint="cs"/>
          <w:noProof/>
          <w:rtl/>
        </w:rPr>
        <w:t>דברי רש"י דלא קיי"ל כרב דימי ולא אמרינן דקמא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רש"י דקיי"ל דיין נסך אוסר במשהו ולא קיי"ל כרב דימי דקמא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התוס' והרמב"ן ברש"י דקמא קמא בטיל בפחות משישים</w:t>
      </w:r>
    </w:p>
    <w:p w:rsidR="009F44AF" w:rsidRDefault="009F44AF" w:rsidP="009F44AF">
      <w:pPr>
        <w:pStyle w:val="aff2"/>
        <w:numPr>
          <w:ilvl w:val="0"/>
          <w:numId w:val="33"/>
        </w:numPr>
        <w:rPr>
          <w:rFonts w:eastAsiaTheme="minorEastAsia" w:cstheme="minorBidi"/>
          <w:sz w:val="22"/>
          <w:szCs w:val="22"/>
          <w:rtl/>
        </w:rPr>
      </w:pPr>
      <w:r>
        <w:rPr>
          <w:rFonts w:hint="cs"/>
          <w:rtl/>
        </w:rPr>
        <w:t>דברי התוס' בדעת רש"י דאף כשיש פחות משישים כנגד האיסור אמרינן דקמא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ביאור הרמב"ן ברש"י דבהיתר לתוך איסור אף שנפל לבסוף שיעור נו"ט אמרינן דקמא קמא בטיל</w:t>
      </w:r>
    </w:p>
    <w:p w:rsidR="009F44AF" w:rsidRDefault="009F44AF" w:rsidP="009F44AF">
      <w:pPr>
        <w:pStyle w:val="aff4"/>
        <w:rPr>
          <w:rFonts w:eastAsiaTheme="minorEastAsia" w:cstheme="minorBidi"/>
          <w:i/>
          <w:iCs/>
          <w:noProof/>
          <w:sz w:val="22"/>
          <w:szCs w:val="22"/>
          <w:rtl/>
        </w:rPr>
      </w:pPr>
      <w:r>
        <w:rPr>
          <w:rFonts w:hint="cs"/>
          <w:noProof/>
          <w:rtl/>
        </w:rPr>
        <w:t>ביאור הרמב"ן ברש"י דבנפל בב"א כשיעור היין בבור לא בטל</w:t>
      </w:r>
    </w:p>
    <w:p w:rsidR="009F44AF" w:rsidRDefault="009F44AF" w:rsidP="009F44AF">
      <w:pPr>
        <w:pStyle w:val="aff2"/>
        <w:numPr>
          <w:ilvl w:val="0"/>
          <w:numId w:val="33"/>
        </w:numPr>
        <w:rPr>
          <w:rFonts w:eastAsiaTheme="minorEastAsia" w:cstheme="minorBidi"/>
          <w:sz w:val="22"/>
          <w:szCs w:val="22"/>
          <w:rtl/>
        </w:rPr>
      </w:pPr>
      <w:r>
        <w:rPr>
          <w:rFonts w:hint="cs"/>
          <w:rtl/>
        </w:rPr>
        <w:t>ביאור הרמב"ן ברש"י דרק בנפל בב"א יין בשיעור היין שבבור ל"א קמא קמא בטיל ואסור</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דלרש"י מבואר דא"א להעמיד ביין במים באיסור לתוך היתר דאינו נאסר בנו"ט</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על רש"י דבנפל בב"א ויש בו נו"ט אף יין של איסור אינו בטל</w:t>
      </w:r>
    </w:p>
    <w:p w:rsidR="009F44AF" w:rsidRDefault="009F44AF" w:rsidP="009F44AF">
      <w:pPr>
        <w:pStyle w:val="aff4"/>
        <w:rPr>
          <w:rFonts w:eastAsiaTheme="minorEastAsia" w:cstheme="minorBidi"/>
          <w:i/>
          <w:iCs/>
          <w:noProof/>
          <w:sz w:val="22"/>
          <w:szCs w:val="22"/>
          <w:rtl/>
        </w:rPr>
      </w:pPr>
      <w:r>
        <w:rPr>
          <w:rFonts w:hint="cs"/>
          <w:noProof/>
          <w:rtl/>
        </w:rPr>
        <w:t>ביאור הר"ן ברש"י דבנפל בב"א כשיעור נותן טעם לא בטל</w:t>
      </w:r>
    </w:p>
    <w:p w:rsidR="009F44AF" w:rsidRDefault="009F44AF" w:rsidP="009F44AF">
      <w:pPr>
        <w:pStyle w:val="aff2"/>
        <w:numPr>
          <w:ilvl w:val="0"/>
          <w:numId w:val="33"/>
        </w:numPr>
        <w:rPr>
          <w:rFonts w:eastAsiaTheme="minorEastAsia" w:cstheme="minorBidi"/>
          <w:sz w:val="22"/>
          <w:szCs w:val="22"/>
          <w:rtl/>
        </w:rPr>
      </w:pPr>
      <w:r>
        <w:rPr>
          <w:rFonts w:hint="cs"/>
          <w:rtl/>
        </w:rPr>
        <w:t>ביאור הר"ן ברש"י דבנפל בב"א יין בשיעור שנותן טעם ביין שבבור ל"א קמא קמא בטיל ואסור</w:t>
      </w:r>
    </w:p>
    <w:p w:rsidR="009F44AF" w:rsidRDefault="009F44AF" w:rsidP="009F44AF">
      <w:pPr>
        <w:pStyle w:val="aff4"/>
        <w:rPr>
          <w:rFonts w:eastAsiaTheme="minorEastAsia" w:cstheme="minorBidi"/>
          <w:sz w:val="22"/>
          <w:szCs w:val="22"/>
          <w:rtl/>
        </w:rPr>
      </w:pPr>
      <w:r>
        <w:rPr>
          <w:rFonts w:hint="cs"/>
          <w:rtl/>
        </w:rPr>
        <w:t>קושית הרמב"ן ברש"י דאין חומרא ביי"נ בדין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והרשב"א על רש"י דאי היתר שנפל לאיסור קמא קמא בטיל אין חומרא ביי"נ</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דמוכח דאף רב דימי מודה דיין נסך חמור יותר משאר איסורים</w:t>
      </w:r>
    </w:p>
    <w:p w:rsidR="009F44AF" w:rsidRDefault="009F44AF" w:rsidP="009F44AF">
      <w:pPr>
        <w:pStyle w:val="aff4"/>
        <w:rPr>
          <w:rFonts w:eastAsiaTheme="minorEastAsia" w:cstheme="minorBidi"/>
          <w:i/>
          <w:iCs/>
          <w:noProof/>
          <w:sz w:val="22"/>
          <w:szCs w:val="22"/>
          <w:rtl/>
        </w:rPr>
      </w:pPr>
      <w:r>
        <w:rPr>
          <w:rFonts w:hint="cs"/>
          <w:noProof/>
          <w:rtl/>
        </w:rPr>
        <w:t>קושית הרמב"ן על רש"י מה החילוק בין מין במינו לאינו מינו</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על רש"י דאין חילוק בין מינו לאינו מינו דרק בב"א לא אמרינן קמא קמא בטיל</w:t>
      </w:r>
    </w:p>
    <w:p w:rsidR="009F44AF" w:rsidRDefault="009F44AF" w:rsidP="009F44AF">
      <w:pPr>
        <w:pStyle w:val="2"/>
        <w:rPr>
          <w:rFonts w:eastAsiaTheme="minorEastAsia" w:cstheme="minorBidi"/>
          <w:i/>
          <w:iCs/>
          <w:sz w:val="22"/>
          <w:szCs w:val="22"/>
          <w:rtl/>
        </w:rPr>
      </w:pPr>
      <w:r>
        <w:rPr>
          <w:rFonts w:hint="cs"/>
          <w:rtl/>
        </w:rPr>
        <w:t>דעת התוס' דבפחות משישים לא בטיל</w:t>
      </w:r>
    </w:p>
    <w:p w:rsidR="009F44AF" w:rsidRDefault="009F44AF" w:rsidP="009F44AF">
      <w:pPr>
        <w:pStyle w:val="aff4"/>
        <w:rPr>
          <w:rFonts w:eastAsiaTheme="minorEastAsia" w:cstheme="minorBidi"/>
          <w:i/>
          <w:iCs/>
          <w:noProof/>
          <w:sz w:val="22"/>
          <w:szCs w:val="22"/>
          <w:rtl/>
        </w:rPr>
      </w:pPr>
      <w:r>
        <w:rPr>
          <w:rFonts w:hint="cs"/>
          <w:noProof/>
          <w:rtl/>
        </w:rPr>
        <w:t>דברי התוס' דרב דימי מודה בגיגית דנפיש עמודיה דלא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התוס' דלרב דימי קמא קמא בטיל רק בחבית ולא בגיגית דנפיש עמודיה טפי</w:t>
      </w:r>
    </w:p>
    <w:p w:rsidR="009F44AF" w:rsidRDefault="009F44AF" w:rsidP="009F44AF">
      <w:pPr>
        <w:pStyle w:val="aff4"/>
        <w:rPr>
          <w:rFonts w:eastAsiaTheme="minorEastAsia" w:cstheme="minorBidi"/>
          <w:i/>
          <w:iCs/>
          <w:noProof/>
          <w:sz w:val="22"/>
          <w:szCs w:val="22"/>
          <w:rtl/>
        </w:rPr>
      </w:pPr>
      <w:r>
        <w:rPr>
          <w:rFonts w:hint="cs"/>
          <w:noProof/>
          <w:rtl/>
        </w:rPr>
        <w:t>קושיות התוס' והרא"ש על רב דימי דלא אמרינן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קושית התוס' בסתירת דברי רב דימי אי אמרינן דקמא קמא בטיל או דחוזר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קושית התוס' בסתירת דברי ריו"ח אי אמרינן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קושיות הרא"ש דביין נסך אמרינן דקמא קמא בטיל ואילו בזוחלים ובערלה וכלאים לא אמרינן</w:t>
      </w:r>
    </w:p>
    <w:p w:rsidR="009F44AF" w:rsidRDefault="009F44AF" w:rsidP="009F44AF">
      <w:pPr>
        <w:pStyle w:val="aff4"/>
        <w:rPr>
          <w:rFonts w:eastAsiaTheme="minorEastAsia" w:cstheme="minorBidi"/>
          <w:i/>
          <w:iCs/>
          <w:noProof/>
          <w:sz w:val="22"/>
          <w:szCs w:val="22"/>
          <w:rtl/>
        </w:rPr>
      </w:pPr>
      <w:r>
        <w:rPr>
          <w:rFonts w:hint="cs"/>
          <w:noProof/>
          <w:rtl/>
        </w:rPr>
        <w:t>ביאור התוס' והרא"ש דדוקא בפחות משישים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תירוץ התוס' והרא"ש דאף רב דימי מודה דכשאין שישים בהיתר לא אמרינן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דדברי רב דימי בפחות משישים הם כדין זוחלין וערלה וכלאים</w:t>
      </w:r>
    </w:p>
    <w:p w:rsidR="009F44AF" w:rsidRDefault="009F44AF" w:rsidP="009F44AF">
      <w:pPr>
        <w:pStyle w:val="aff2"/>
        <w:numPr>
          <w:ilvl w:val="0"/>
          <w:numId w:val="33"/>
        </w:numPr>
        <w:rPr>
          <w:rFonts w:eastAsiaTheme="minorEastAsia" w:cstheme="minorBidi"/>
          <w:sz w:val="22"/>
          <w:szCs w:val="22"/>
          <w:rtl/>
        </w:rPr>
      </w:pPr>
      <w:r>
        <w:rPr>
          <w:rFonts w:hint="cs"/>
          <w:rtl/>
        </w:rPr>
        <w:t>הוכחת התוס' דבפחות משישים אמרינן חזור וניעור מדין בשר וחלב דל"א 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התוס' והרא"ש בביאור דברי רב דימי</w:t>
      </w:r>
    </w:p>
    <w:p w:rsidR="009F44AF" w:rsidRDefault="009F44AF" w:rsidP="009F44AF">
      <w:pPr>
        <w:pStyle w:val="aff2"/>
        <w:numPr>
          <w:ilvl w:val="0"/>
          <w:numId w:val="33"/>
        </w:numPr>
        <w:rPr>
          <w:rFonts w:eastAsiaTheme="minorEastAsia" w:cstheme="minorBidi"/>
          <w:sz w:val="22"/>
          <w:szCs w:val="22"/>
          <w:rtl/>
        </w:rPr>
      </w:pPr>
      <w:r>
        <w:rPr>
          <w:rFonts w:hint="cs"/>
          <w:rtl/>
        </w:rPr>
        <w:t>קושית התוס' דא"כ מה חידש רב דימי הרי בפחות משישים לעולם מהני ביטול</w:t>
      </w:r>
    </w:p>
    <w:p w:rsidR="009F44AF" w:rsidRDefault="009F44AF" w:rsidP="009F44AF">
      <w:pPr>
        <w:pStyle w:val="aff2"/>
        <w:numPr>
          <w:ilvl w:val="0"/>
          <w:numId w:val="33"/>
        </w:numPr>
        <w:rPr>
          <w:rFonts w:eastAsiaTheme="minorEastAsia" w:cstheme="minorBidi"/>
          <w:sz w:val="22"/>
          <w:szCs w:val="22"/>
          <w:rtl/>
        </w:rPr>
      </w:pPr>
      <w:r>
        <w:rPr>
          <w:rFonts w:hint="cs"/>
          <w:rtl/>
        </w:rPr>
        <w:t>תירוץ התוס' דרב דימי חידש דהא דיין נסך אוסר במשהו הוא רק בהיתר שנפל לתוך איסור</w:t>
      </w:r>
    </w:p>
    <w:p w:rsidR="009F44AF" w:rsidRDefault="009F44AF" w:rsidP="009F44AF">
      <w:pPr>
        <w:pStyle w:val="aff2"/>
        <w:numPr>
          <w:ilvl w:val="0"/>
          <w:numId w:val="33"/>
        </w:numPr>
        <w:rPr>
          <w:rFonts w:eastAsiaTheme="minorEastAsia" w:cstheme="minorBidi"/>
          <w:sz w:val="22"/>
          <w:szCs w:val="22"/>
          <w:rtl/>
        </w:rPr>
      </w:pPr>
      <w:r>
        <w:rPr>
          <w:rFonts w:hint="cs"/>
          <w:rtl/>
        </w:rPr>
        <w:t>קושית הרא"ש דהביטול באיסור שנפל להיתר הוא מחמת שהיין מועט ולא מדין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תירוץ הרא"ש דכוונת רב דימי לחדש דחבית לא נפיש עמודיה כל כל ושייך בו ביטול</w:t>
      </w:r>
    </w:p>
    <w:p w:rsidR="009F44AF" w:rsidRDefault="009F44AF" w:rsidP="009F44AF">
      <w:pPr>
        <w:pStyle w:val="aff2"/>
        <w:numPr>
          <w:ilvl w:val="0"/>
          <w:numId w:val="33"/>
        </w:numPr>
        <w:rPr>
          <w:rFonts w:eastAsiaTheme="minorEastAsia" w:cstheme="minorBidi"/>
          <w:sz w:val="22"/>
          <w:szCs w:val="22"/>
          <w:rtl/>
        </w:rPr>
      </w:pPr>
      <w:r>
        <w:rPr>
          <w:rFonts w:hint="cs"/>
          <w:rtl/>
        </w:rPr>
        <w:t>ביאור החזו"א ברא"ש דבמערה איסור מגיגית בבת אחת חשיב כהיתר לתוך איסור</w:t>
      </w:r>
    </w:p>
    <w:p w:rsidR="009F44AF" w:rsidRDefault="009F44AF" w:rsidP="009F44AF">
      <w:pPr>
        <w:pStyle w:val="aff4"/>
        <w:rPr>
          <w:rFonts w:eastAsiaTheme="minorEastAsia" w:cstheme="minorBidi"/>
          <w:i/>
          <w:iCs/>
          <w:noProof/>
          <w:sz w:val="22"/>
          <w:szCs w:val="22"/>
          <w:rtl/>
        </w:rPr>
      </w:pPr>
      <w:r>
        <w:rPr>
          <w:rFonts w:hint="cs"/>
          <w:noProof/>
          <w:rtl/>
        </w:rPr>
        <w:t>ביאור הרא"ש בחומרא דיי"נ דקיי"ל כרב דימי דקמא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דיי"נ חמור דאוסר בגיגית במשהו ובהיתר לתוך איסור חוזר וניעור בפחות משישים</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דלא נחלקו רב דימי ורבין בעיקר דין קמא קמא בטיל וקיי"ל כרב דימי אף בחבית</w:t>
      </w:r>
    </w:p>
    <w:p w:rsidR="009F44AF" w:rsidRDefault="009F44AF" w:rsidP="009F44AF">
      <w:pPr>
        <w:pStyle w:val="2"/>
        <w:rPr>
          <w:rFonts w:eastAsiaTheme="minorEastAsia" w:cstheme="minorBidi"/>
          <w:i/>
          <w:iCs/>
          <w:sz w:val="22"/>
          <w:szCs w:val="22"/>
          <w:rtl/>
        </w:rPr>
      </w:pPr>
      <w:r>
        <w:rPr>
          <w:rFonts w:hint="cs"/>
          <w:rtl/>
        </w:rPr>
        <w:t>דעת הרא"ש בדין חוזר וניעור</w:t>
      </w:r>
    </w:p>
    <w:p w:rsidR="009F44AF" w:rsidRDefault="009F44AF" w:rsidP="009F44AF">
      <w:pPr>
        <w:pStyle w:val="aff4"/>
        <w:rPr>
          <w:rFonts w:eastAsiaTheme="minorEastAsia" w:cstheme="minorBidi"/>
          <w:i/>
          <w:iCs/>
          <w:noProof/>
          <w:sz w:val="22"/>
          <w:szCs w:val="22"/>
          <w:rtl/>
        </w:rPr>
      </w:pPr>
      <w:r>
        <w:rPr>
          <w:rFonts w:hint="cs"/>
          <w:noProof/>
          <w:rtl/>
        </w:rPr>
        <w:t>דברי הרא"ש דבהוסיף איסור בכל האיסורים אמרינן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דאף דהאיסור נהפך להיתר אם הוסיף איסור האיסור חוזר וניעור והכל אסור</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דבאינו מינו פשיטא דחוזר וניעור כיון שטעם האיסורים מצטרף ונותנים טעם בהיתר</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דבמין במינו בלח ודאי דחוזר וניעור דהוא בכלל הגזירה אטו מין בשאינו מינו</w:t>
      </w:r>
    </w:p>
    <w:p w:rsidR="009F44AF" w:rsidRDefault="009F44AF" w:rsidP="009F44AF">
      <w:pPr>
        <w:pStyle w:val="aff2"/>
        <w:numPr>
          <w:ilvl w:val="0"/>
          <w:numId w:val="33"/>
        </w:numPr>
        <w:rPr>
          <w:rFonts w:eastAsiaTheme="minorEastAsia" w:cstheme="minorBidi"/>
          <w:sz w:val="22"/>
          <w:szCs w:val="22"/>
          <w:rtl/>
        </w:rPr>
      </w:pPr>
      <w:r>
        <w:rPr>
          <w:rFonts w:hint="cs"/>
          <w:rtl/>
        </w:rPr>
        <w:t>דברי הרא"ש דאף ביבש שמהני חד בתרי אף מדרבנן אם נוסף איסור האיסור חוזר וניעור</w:t>
      </w:r>
    </w:p>
    <w:p w:rsidR="009F44AF" w:rsidRDefault="009F44AF" w:rsidP="009F44AF">
      <w:pPr>
        <w:pStyle w:val="aff4"/>
        <w:rPr>
          <w:rFonts w:eastAsiaTheme="minorEastAsia" w:cstheme="minorBidi"/>
          <w:i/>
          <w:iCs/>
          <w:noProof/>
          <w:sz w:val="22"/>
          <w:szCs w:val="22"/>
          <w:rtl/>
        </w:rPr>
      </w:pPr>
      <w:r>
        <w:rPr>
          <w:rFonts w:hint="cs"/>
          <w:noProof/>
          <w:rtl/>
        </w:rPr>
        <w:t>ביאור הרא"ש דחוזר וניעור הוא כהוכר האיסור</w:t>
      </w:r>
    </w:p>
    <w:p w:rsidR="009F44AF" w:rsidRDefault="009F44AF" w:rsidP="009F44AF">
      <w:pPr>
        <w:pStyle w:val="aff2"/>
        <w:numPr>
          <w:ilvl w:val="0"/>
          <w:numId w:val="33"/>
        </w:numPr>
        <w:rPr>
          <w:rFonts w:eastAsiaTheme="minorEastAsia" w:cstheme="minorBidi"/>
          <w:sz w:val="22"/>
          <w:szCs w:val="22"/>
          <w:rtl/>
        </w:rPr>
      </w:pPr>
      <w:r>
        <w:rPr>
          <w:rFonts w:hint="cs"/>
          <w:rtl/>
        </w:rPr>
        <w:t>ביאור הרא"ש דבנוסף איסור חשיב שהוכר האיסור הראשון ולכן הוא חוזר וניעור</w:t>
      </w:r>
    </w:p>
    <w:p w:rsidR="009F44AF" w:rsidRDefault="009F44AF" w:rsidP="009F44AF">
      <w:pPr>
        <w:pStyle w:val="aff4"/>
        <w:rPr>
          <w:rFonts w:eastAsiaTheme="minorEastAsia" w:cstheme="minorBidi"/>
          <w:i/>
          <w:iCs/>
          <w:noProof/>
          <w:sz w:val="22"/>
          <w:szCs w:val="22"/>
          <w:rtl/>
        </w:rPr>
      </w:pPr>
      <w:r>
        <w:rPr>
          <w:rFonts w:hint="cs"/>
          <w:noProof/>
          <w:rtl/>
        </w:rPr>
        <w:t>ביאור הפרי תואר והפר"ח ברא"ש דאף בדרבנן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הפרי תואר ברא"ש דאמרינן חוזר וניעור אף באיסור דרבנן ובשיעור דרבנן דמאה ומאתיים</w:t>
      </w:r>
    </w:p>
    <w:p w:rsidR="009F44AF" w:rsidRDefault="009F44AF" w:rsidP="009F44AF">
      <w:pPr>
        <w:pStyle w:val="aff2"/>
        <w:numPr>
          <w:ilvl w:val="0"/>
          <w:numId w:val="33"/>
        </w:numPr>
        <w:rPr>
          <w:rFonts w:eastAsiaTheme="minorEastAsia" w:cstheme="minorBidi"/>
          <w:sz w:val="22"/>
          <w:szCs w:val="22"/>
          <w:rtl/>
        </w:rPr>
      </w:pPr>
      <w:r>
        <w:rPr>
          <w:rFonts w:hint="cs"/>
          <w:rtl/>
        </w:rPr>
        <w:t>דברי הפר"ח דלהרא"ש בכל האיסורים אמרינן חוזר וניעור ואף באיסור שבטל לגמרי במאתיים</w:t>
      </w:r>
    </w:p>
    <w:p w:rsidR="009F44AF" w:rsidRDefault="009F44AF" w:rsidP="009F44AF">
      <w:pPr>
        <w:pStyle w:val="2"/>
        <w:rPr>
          <w:rFonts w:eastAsiaTheme="minorEastAsia" w:cstheme="minorBidi"/>
          <w:i/>
          <w:iCs/>
          <w:sz w:val="22"/>
          <w:szCs w:val="22"/>
          <w:rtl/>
        </w:rPr>
      </w:pPr>
      <w:r>
        <w:rPr>
          <w:rFonts w:hint="cs"/>
          <w:rtl/>
        </w:rPr>
        <w:t>דעת הראב"ד בדין קמא קמא בטיל</w:t>
      </w:r>
    </w:p>
    <w:p w:rsidR="009F44AF" w:rsidRDefault="009F44AF" w:rsidP="009F44AF">
      <w:pPr>
        <w:pStyle w:val="aff4"/>
        <w:rPr>
          <w:rFonts w:eastAsiaTheme="minorEastAsia" w:cstheme="minorBidi"/>
          <w:i/>
          <w:iCs/>
          <w:noProof/>
          <w:sz w:val="22"/>
          <w:szCs w:val="22"/>
          <w:rtl/>
        </w:rPr>
      </w:pPr>
      <w:r>
        <w:rPr>
          <w:rFonts w:hint="cs"/>
          <w:noProof/>
          <w:rtl/>
        </w:rPr>
        <w:t>ביאור הראב"ד דקמא קמא בטיל הוא דוקא כשיש הפסק בקילוח</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דדין קמא קמא בטיל הוא רק כשפוסק היין בין החבית לבור ואין בו שיעור טעם</w:t>
      </w:r>
    </w:p>
    <w:p w:rsidR="009F44AF" w:rsidRDefault="009F44AF" w:rsidP="009F44AF">
      <w:pPr>
        <w:pStyle w:val="aff2"/>
        <w:numPr>
          <w:ilvl w:val="0"/>
          <w:numId w:val="33"/>
        </w:numPr>
        <w:rPr>
          <w:rFonts w:eastAsiaTheme="minorEastAsia" w:cstheme="minorBidi"/>
          <w:sz w:val="22"/>
          <w:szCs w:val="22"/>
          <w:rtl/>
        </w:rPr>
      </w:pPr>
      <w:r>
        <w:rPr>
          <w:rFonts w:hint="cs"/>
          <w:rtl/>
        </w:rPr>
        <w:t>ביאור הרמב"ן בראב"ד דבקילוח אחד חשיב שהיין שבחבית מחובר ליין שבבור</w:t>
      </w:r>
    </w:p>
    <w:p w:rsidR="009F44AF" w:rsidRDefault="009F44AF" w:rsidP="009F44AF">
      <w:pPr>
        <w:pStyle w:val="aff2"/>
        <w:numPr>
          <w:ilvl w:val="0"/>
          <w:numId w:val="33"/>
        </w:numPr>
        <w:rPr>
          <w:rFonts w:eastAsiaTheme="minorEastAsia" w:cstheme="minorBidi"/>
          <w:sz w:val="22"/>
          <w:szCs w:val="22"/>
          <w:rtl/>
        </w:rPr>
      </w:pPr>
      <w:r>
        <w:rPr>
          <w:rFonts w:hint="cs"/>
          <w:rtl/>
        </w:rPr>
        <w:t>ביאור הרשב"א בראב"ד דכשיש נצוק בין החבית לבור אוסר רק כשיש בחבית שיעור נו"ט בבור</w:t>
      </w:r>
    </w:p>
    <w:p w:rsidR="009F44AF" w:rsidRDefault="009F44AF" w:rsidP="009F44AF">
      <w:pPr>
        <w:pStyle w:val="aff2"/>
        <w:numPr>
          <w:ilvl w:val="0"/>
          <w:numId w:val="33"/>
        </w:numPr>
        <w:rPr>
          <w:rFonts w:eastAsiaTheme="minorEastAsia" w:cstheme="minorBidi"/>
          <w:sz w:val="22"/>
          <w:szCs w:val="22"/>
          <w:rtl/>
        </w:rPr>
      </w:pPr>
      <w:r>
        <w:rPr>
          <w:rFonts w:hint="cs"/>
          <w:rtl/>
        </w:rPr>
        <w:t>ביאור הרשב"א בראב"ד דבנצוק ויש בחבית פחות משיעור נו"ט בבור אף היין שבחבית בטל</w:t>
      </w:r>
    </w:p>
    <w:p w:rsidR="009F44AF" w:rsidRDefault="009F44AF" w:rsidP="009F44AF">
      <w:pPr>
        <w:pStyle w:val="aff2"/>
        <w:numPr>
          <w:ilvl w:val="0"/>
          <w:numId w:val="33"/>
        </w:numPr>
        <w:rPr>
          <w:rFonts w:eastAsiaTheme="minorEastAsia" w:cstheme="minorBidi"/>
          <w:sz w:val="22"/>
          <w:szCs w:val="22"/>
          <w:rtl/>
        </w:rPr>
      </w:pPr>
      <w:r>
        <w:rPr>
          <w:rFonts w:hint="cs"/>
          <w:rtl/>
        </w:rPr>
        <w:t>קושית הרשב"א על הראב"ד דנצוק אינו חיבור בדין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הרשב"א דבסברא אפש"ל דבנצוק הולכים רק אחר מקום מגע היין בבור ולא דהכל מחובר</w:t>
      </w:r>
    </w:p>
    <w:p w:rsidR="009F44AF" w:rsidRDefault="009F44AF" w:rsidP="009F44AF">
      <w:pPr>
        <w:pStyle w:val="aff4"/>
        <w:rPr>
          <w:rFonts w:eastAsiaTheme="minorEastAsia" w:cstheme="minorBidi"/>
          <w:i/>
          <w:iCs/>
          <w:noProof/>
          <w:sz w:val="22"/>
          <w:szCs w:val="22"/>
          <w:rtl/>
        </w:rPr>
      </w:pPr>
      <w:r>
        <w:rPr>
          <w:rFonts w:hint="cs"/>
          <w:noProof/>
          <w:rtl/>
        </w:rPr>
        <w:t>קושית הרמב"ן על הראב"ד דבנפיש עמודיה מוכח דהוא מחובר</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דא"א לומר דאיירי במקטף קטופי דא"כ אמאי אסר רב יצחק בנפיש עמודיה</w:t>
      </w:r>
    </w:p>
    <w:p w:rsidR="009F44AF" w:rsidRDefault="009F44AF" w:rsidP="009F44AF">
      <w:pPr>
        <w:pStyle w:val="aff2"/>
        <w:numPr>
          <w:ilvl w:val="0"/>
          <w:numId w:val="33"/>
        </w:numPr>
        <w:rPr>
          <w:rFonts w:eastAsiaTheme="minorEastAsia" w:cstheme="minorBidi"/>
          <w:sz w:val="22"/>
          <w:szCs w:val="22"/>
          <w:rtl/>
        </w:rPr>
      </w:pPr>
      <w:r>
        <w:rPr>
          <w:rFonts w:hint="cs"/>
          <w:rtl/>
        </w:rPr>
        <w:t>תירוץ הרשב"א והר"ן בראב"ד דרב יצחק אסר כיון שהוא קילוח חשוב אף שאינו מחובר</w:t>
      </w:r>
    </w:p>
    <w:p w:rsidR="009F44AF" w:rsidRDefault="009F44AF" w:rsidP="009F44AF">
      <w:pPr>
        <w:pStyle w:val="aff2"/>
        <w:numPr>
          <w:ilvl w:val="0"/>
          <w:numId w:val="33"/>
        </w:numPr>
        <w:rPr>
          <w:rFonts w:eastAsiaTheme="minorEastAsia" w:cstheme="minorBidi"/>
          <w:sz w:val="22"/>
          <w:szCs w:val="22"/>
          <w:rtl/>
        </w:rPr>
      </w:pPr>
      <w:r>
        <w:rPr>
          <w:rFonts w:hint="cs"/>
          <w:rtl/>
        </w:rPr>
        <w:t>ביאור החזו"א דלהרמב"ן בראב"ד נפיש עמודיה חשיב שנפל בב"א ולהר"ן הוא דבר חשוב</w:t>
      </w:r>
    </w:p>
    <w:p w:rsidR="009F44AF" w:rsidRDefault="009F44AF" w:rsidP="009F44AF">
      <w:pPr>
        <w:pStyle w:val="aff4"/>
        <w:rPr>
          <w:rFonts w:eastAsiaTheme="minorEastAsia" w:cstheme="minorBidi"/>
          <w:i/>
          <w:iCs/>
          <w:noProof/>
          <w:sz w:val="22"/>
          <w:szCs w:val="22"/>
          <w:rtl/>
        </w:rPr>
      </w:pPr>
      <w:r>
        <w:rPr>
          <w:rFonts w:hint="cs"/>
          <w:noProof/>
          <w:rtl/>
        </w:rPr>
        <w:t>דברי הראב"ד דהיתר לתוך לאיסור קמא קמא בטל בפחות מנו"ט</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דבהיתר שנפל לאיסור אמרינן קמא קמא בטיל רק כשאין בכל נפילה שיעור נו"ט</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דביין ביין היתר שהתבטל באיסור נעשה כאיסור דהכל מין אחד ואינו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על הראב"ד דאי היתר שנפל לאיסור קמא קמא בטיל אין חומרא ביי"נ</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דמוכח דאף רב דימי מודה דיין נסך חמור יותר משאר איסורים</w:t>
      </w:r>
    </w:p>
    <w:p w:rsidR="009F44AF" w:rsidRDefault="009F44AF" w:rsidP="009F44AF">
      <w:pPr>
        <w:pStyle w:val="aff2"/>
        <w:numPr>
          <w:ilvl w:val="0"/>
          <w:numId w:val="33"/>
        </w:numPr>
        <w:rPr>
          <w:rFonts w:eastAsiaTheme="minorEastAsia" w:cstheme="minorBidi"/>
          <w:sz w:val="22"/>
          <w:szCs w:val="22"/>
          <w:rtl/>
        </w:rPr>
      </w:pPr>
      <w:r>
        <w:rPr>
          <w:rFonts w:hint="cs"/>
          <w:rtl/>
        </w:rPr>
        <w:t>דברי הרשב"א דאף דביאר הראב"ד את החומרא ביי"נ במין בשאינו מינו עדיין קשה במין במינו</w:t>
      </w:r>
    </w:p>
    <w:p w:rsidR="009F44AF" w:rsidRDefault="009F44AF" w:rsidP="009F44AF">
      <w:pPr>
        <w:pStyle w:val="aff4"/>
        <w:rPr>
          <w:rFonts w:eastAsiaTheme="minorEastAsia" w:cstheme="minorBidi"/>
          <w:i/>
          <w:iCs/>
          <w:noProof/>
          <w:sz w:val="22"/>
          <w:szCs w:val="22"/>
          <w:rtl/>
        </w:rPr>
      </w:pPr>
      <w:r>
        <w:rPr>
          <w:rFonts w:hint="cs"/>
          <w:noProof/>
          <w:rtl/>
        </w:rPr>
        <w:t>דברי הראב"ד דאיסור לתוך היתר שנפל ובטל אינו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דאיסור שנפל להיתר והתבטל בנפילתו אינו חוזר וניעור לאיסור אף במין במינו</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דאף דנפילה אחת של חבית היא דבר חשוב מ"מ בפחות מנו"ט בטל לרב דימי</w:t>
      </w:r>
    </w:p>
    <w:p w:rsidR="009F44AF" w:rsidRDefault="009F44AF" w:rsidP="009F44AF">
      <w:pPr>
        <w:pStyle w:val="aff4"/>
        <w:rPr>
          <w:rFonts w:eastAsiaTheme="minorEastAsia" w:cstheme="minorBidi"/>
          <w:i/>
          <w:iCs/>
          <w:noProof/>
          <w:sz w:val="22"/>
          <w:szCs w:val="22"/>
          <w:rtl/>
        </w:rPr>
      </w:pPr>
      <w:r>
        <w:rPr>
          <w:rFonts w:hint="cs"/>
          <w:noProof/>
          <w:rtl/>
        </w:rPr>
        <w:t>דברי הראב"ד דבאיסור להיתר אף באינו מינו אינו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דבאיסור שנפל להיתר אף במין בשאינו מינו אמרינן 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הראב"ד דבאינו מינו בהיתר לתוך איסור חוזר וניעור בנו"ט</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דבמין בשאינו מינו בהיתר שנפל לאיסור כשאין שיעור נו"ט אמרינן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ביאור הראב"ד דכל האיסור במין בשאינו מינו הוא בנו"ט וכשבטל הטעם ממילא אינו אוסר</w:t>
      </w:r>
    </w:p>
    <w:p w:rsidR="009F44AF" w:rsidRDefault="009F44AF" w:rsidP="009F44AF">
      <w:pPr>
        <w:pStyle w:val="aff4"/>
        <w:rPr>
          <w:rFonts w:eastAsiaTheme="minorEastAsia" w:cstheme="minorBidi"/>
          <w:i/>
          <w:iCs/>
          <w:noProof/>
          <w:sz w:val="22"/>
          <w:szCs w:val="22"/>
          <w:rtl/>
        </w:rPr>
      </w:pPr>
      <w:r>
        <w:rPr>
          <w:rFonts w:hint="cs"/>
          <w:noProof/>
          <w:rtl/>
        </w:rPr>
        <w:t>ביאור הראב"ד דבמינו האיסור מחמת מיעוטו ונעשה כאיסור</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דבמין במינו שהאיסור במיעוט ולא בנו"ט אינו חוזר וניעור דההיתר נעשה לאיסור</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על הראב"ד דבמין במינו ההיתר בטל לגמרי אף בכל האיסורים לקולא ולחומרא</w:t>
      </w:r>
    </w:p>
    <w:p w:rsidR="009F44AF" w:rsidRDefault="009F44AF" w:rsidP="009F44AF">
      <w:pPr>
        <w:pStyle w:val="aff4"/>
        <w:rPr>
          <w:rFonts w:eastAsiaTheme="minorEastAsia" w:cstheme="minorBidi"/>
          <w:i/>
          <w:iCs/>
          <w:noProof/>
          <w:sz w:val="22"/>
          <w:szCs w:val="22"/>
          <w:rtl/>
        </w:rPr>
      </w:pPr>
      <w:r>
        <w:rPr>
          <w:rFonts w:hint="cs"/>
          <w:noProof/>
          <w:rtl/>
        </w:rPr>
        <w:t>ביאור הראב"ד בקושית ותירוץ הגמ' בהיתר שנפל לאיסור</w:t>
      </w:r>
    </w:p>
    <w:p w:rsidR="009F44AF" w:rsidRDefault="009F44AF" w:rsidP="009F44AF">
      <w:pPr>
        <w:pStyle w:val="aff2"/>
        <w:numPr>
          <w:ilvl w:val="0"/>
          <w:numId w:val="33"/>
        </w:numPr>
        <w:rPr>
          <w:rFonts w:eastAsiaTheme="minorEastAsia" w:cstheme="minorBidi"/>
          <w:sz w:val="22"/>
          <w:szCs w:val="22"/>
          <w:rtl/>
        </w:rPr>
      </w:pPr>
      <w:r>
        <w:rPr>
          <w:rFonts w:hint="cs"/>
          <w:rtl/>
        </w:rPr>
        <w:t>ביאור הראב"ד בקו' הגמ' דמשמע במתני' דאף במינו אזלינן בתר לבסוף ולא בתר שעת נפילה</w:t>
      </w:r>
    </w:p>
    <w:p w:rsidR="009F44AF" w:rsidRDefault="009F44AF" w:rsidP="009F44AF">
      <w:pPr>
        <w:pStyle w:val="aff2"/>
        <w:numPr>
          <w:ilvl w:val="0"/>
          <w:numId w:val="33"/>
        </w:numPr>
        <w:rPr>
          <w:rFonts w:eastAsiaTheme="minorEastAsia" w:cstheme="minorBidi"/>
          <w:sz w:val="22"/>
          <w:szCs w:val="22"/>
          <w:rtl/>
        </w:rPr>
      </w:pPr>
      <w:r>
        <w:rPr>
          <w:rFonts w:hint="cs"/>
          <w:rtl/>
        </w:rPr>
        <w:t>ביאור הראב"ד בתי' הגמ' דבהיתר שנפל לאיסור לא מדוייק במשנה דאזלינן בתר שעת נפילה</w:t>
      </w:r>
    </w:p>
    <w:p w:rsidR="009F44AF" w:rsidRDefault="009F44AF" w:rsidP="009F44AF">
      <w:pPr>
        <w:pStyle w:val="aff4"/>
        <w:rPr>
          <w:rFonts w:eastAsiaTheme="minorEastAsia" w:cstheme="minorBidi"/>
          <w:i/>
          <w:iCs/>
          <w:noProof/>
          <w:sz w:val="22"/>
          <w:szCs w:val="22"/>
          <w:rtl/>
        </w:rPr>
      </w:pPr>
      <w:r>
        <w:rPr>
          <w:rFonts w:hint="cs"/>
          <w:noProof/>
          <w:rtl/>
        </w:rPr>
        <w:t>ביאור הראב"ד ברב יצחק דעמוד דחבית הוא חשוב</w:t>
      </w:r>
    </w:p>
    <w:p w:rsidR="009F44AF" w:rsidRDefault="009F44AF" w:rsidP="009F44AF">
      <w:pPr>
        <w:pStyle w:val="aff2"/>
        <w:numPr>
          <w:ilvl w:val="0"/>
          <w:numId w:val="33"/>
        </w:numPr>
        <w:rPr>
          <w:rFonts w:eastAsiaTheme="minorEastAsia" w:cstheme="minorBidi"/>
          <w:sz w:val="22"/>
          <w:szCs w:val="22"/>
          <w:rtl/>
        </w:rPr>
      </w:pPr>
      <w:r>
        <w:rPr>
          <w:rFonts w:hint="cs"/>
          <w:rtl/>
        </w:rPr>
        <w:t>ביאור הראב"ד ברב יצחק דקיטוף של חבית הוא דבר חשוב ואוסר אף שאין טעם</w:t>
      </w:r>
    </w:p>
    <w:p w:rsidR="009F44AF" w:rsidRDefault="009F44AF" w:rsidP="009F44AF">
      <w:pPr>
        <w:pStyle w:val="aff2"/>
        <w:numPr>
          <w:ilvl w:val="0"/>
          <w:numId w:val="33"/>
        </w:numPr>
        <w:rPr>
          <w:rFonts w:eastAsiaTheme="minorEastAsia" w:cstheme="minorBidi"/>
          <w:sz w:val="22"/>
          <w:szCs w:val="22"/>
          <w:rtl/>
        </w:rPr>
      </w:pPr>
      <w:r>
        <w:rPr>
          <w:rFonts w:hint="cs"/>
          <w:rtl/>
        </w:rPr>
        <w:t>ביאור הראב"ד ברב יצחק דקיטוף של צרצור אינו חשוב ובאיסור שנפל להיתר קמא קמא בטיל</w:t>
      </w:r>
    </w:p>
    <w:p w:rsidR="009F44AF" w:rsidRDefault="009F44AF" w:rsidP="009F44AF">
      <w:pPr>
        <w:pStyle w:val="aff4"/>
        <w:rPr>
          <w:rFonts w:eastAsiaTheme="minorEastAsia" w:cstheme="minorBidi"/>
          <w:i/>
          <w:iCs/>
          <w:noProof/>
          <w:sz w:val="22"/>
          <w:szCs w:val="22"/>
          <w:rtl/>
        </w:rPr>
      </w:pPr>
      <w:r>
        <w:rPr>
          <w:rFonts w:hint="cs"/>
          <w:noProof/>
          <w:rtl/>
        </w:rPr>
        <w:t>ביאור הראב"ד דהיתר שנפל לדבר חשוב במינו נאסר</w:t>
      </w:r>
    </w:p>
    <w:p w:rsidR="009F44AF" w:rsidRDefault="009F44AF" w:rsidP="009F44AF">
      <w:pPr>
        <w:pStyle w:val="aff2"/>
        <w:numPr>
          <w:ilvl w:val="0"/>
          <w:numId w:val="33"/>
        </w:numPr>
        <w:rPr>
          <w:rFonts w:eastAsiaTheme="minorEastAsia" w:cstheme="minorBidi"/>
          <w:sz w:val="22"/>
          <w:szCs w:val="22"/>
          <w:rtl/>
        </w:rPr>
      </w:pPr>
      <w:r>
        <w:rPr>
          <w:rFonts w:hint="cs"/>
          <w:rtl/>
        </w:rPr>
        <w:t>ביאור הראב"ד דבהיתר שנפל לאיסור חשוב אסור ולאיסור מועט שיעורו בנו"ט בשעת נפילה</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דרק במין במינו דבר חשוב אוסר אך באינו מינו שיעורו בנו"ט וחשיבות לא אוסרת</w:t>
      </w:r>
    </w:p>
    <w:p w:rsidR="009F44AF" w:rsidRDefault="009F44AF" w:rsidP="009F44AF">
      <w:pPr>
        <w:pStyle w:val="aff4"/>
        <w:rPr>
          <w:rFonts w:eastAsiaTheme="minorEastAsia" w:cstheme="minorBidi"/>
          <w:i/>
          <w:iCs/>
          <w:noProof/>
          <w:sz w:val="22"/>
          <w:szCs w:val="22"/>
          <w:rtl/>
        </w:rPr>
      </w:pPr>
      <w:r>
        <w:rPr>
          <w:rFonts w:hint="cs"/>
          <w:noProof/>
          <w:rtl/>
        </w:rPr>
        <w:t>דעת הראב"ד דקיי"ל דיי"נ במין במינו אוסר במשהו ולא בטל</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דבמינו לא קיי"ל כרב דימי ורב יצחק אלא כסתם מתני' דיין נסך אוסר במשהו</w:t>
      </w:r>
    </w:p>
    <w:p w:rsidR="009F44AF" w:rsidRDefault="009F44AF" w:rsidP="009F44AF">
      <w:pPr>
        <w:pStyle w:val="aff4"/>
        <w:rPr>
          <w:rFonts w:eastAsiaTheme="minorEastAsia" w:cstheme="minorBidi"/>
          <w:i/>
          <w:iCs/>
          <w:noProof/>
          <w:sz w:val="22"/>
          <w:szCs w:val="22"/>
        </w:rPr>
      </w:pPr>
      <w:r>
        <w:rPr>
          <w:rFonts w:hint="cs"/>
          <w:noProof/>
          <w:rtl/>
        </w:rPr>
        <w:lastRenderedPageBreak/>
        <w:t>דעת הראב"ד דבאינו מינו וכן בשאר איסורים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דבפחות מנו"ט ביין נסך באינו מינו וכן בשאר איסורים קיי"ל דקמא קמא בטיל</w:t>
      </w:r>
    </w:p>
    <w:p w:rsidR="009F44AF" w:rsidRDefault="009F44AF" w:rsidP="009F44AF">
      <w:pPr>
        <w:pStyle w:val="aff4"/>
        <w:rPr>
          <w:rFonts w:eastAsiaTheme="minorEastAsia" w:cstheme="minorBidi"/>
          <w:i/>
          <w:iCs/>
          <w:noProof/>
          <w:sz w:val="22"/>
          <w:szCs w:val="22"/>
          <w:rtl/>
        </w:rPr>
      </w:pPr>
      <w:r>
        <w:rPr>
          <w:rFonts w:hint="cs"/>
          <w:noProof/>
          <w:rtl/>
        </w:rPr>
        <w:t>פלוגתת הפר"ח והיד יהודה בראב"ד בחוזר וניעור ברוב איסור</w:t>
      </w:r>
    </w:p>
    <w:p w:rsidR="009F44AF" w:rsidRDefault="009F44AF" w:rsidP="009F44AF">
      <w:pPr>
        <w:pStyle w:val="aff2"/>
        <w:numPr>
          <w:ilvl w:val="0"/>
          <w:numId w:val="33"/>
        </w:numPr>
        <w:rPr>
          <w:rFonts w:eastAsiaTheme="minorEastAsia" w:cstheme="minorBidi"/>
          <w:sz w:val="22"/>
          <w:szCs w:val="22"/>
          <w:rtl/>
        </w:rPr>
      </w:pPr>
      <w:r>
        <w:rPr>
          <w:rFonts w:hint="cs"/>
          <w:rtl/>
        </w:rPr>
        <w:t>דברי הפר"ח דמודה הראב"ד דבשאר איסורים כל שיש רוב איסור אמרינן דהאיסור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הוכחת הפר"ח מדברי הראב"ד בהשג' דכל שאין רוב היתר מודה הראב"ד דחוזר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היד יהודה דלהראב"ד בשאר האיסורים לא אמרינן חוזר וניעור אף כשיש רוב היתר</w:t>
      </w:r>
    </w:p>
    <w:p w:rsidR="009F44AF" w:rsidRDefault="009F44AF" w:rsidP="009F44AF">
      <w:pPr>
        <w:pStyle w:val="aff4"/>
        <w:rPr>
          <w:rFonts w:eastAsiaTheme="minorEastAsia" w:cstheme="minorBidi"/>
          <w:i/>
          <w:iCs/>
          <w:noProof/>
          <w:sz w:val="22"/>
          <w:szCs w:val="22"/>
          <w:rtl/>
        </w:rPr>
      </w:pPr>
      <w:r>
        <w:rPr>
          <w:rFonts w:hint="cs"/>
          <w:noProof/>
          <w:rtl/>
        </w:rPr>
        <w:t>קושיות הפר"ח על הראב"ד דהוכר האיסור והוא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קושית הפר"ח בסתירת דברי הראב"ד דבנו"ט ניכר האיסור ואינו בטל ואמאי אינו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קושית הפר"ח דברוב איסור חשיב שהוכר האיסור וא"כ באינו מינו כשיש טעם ג"כ הוכר האיסור</w:t>
      </w:r>
    </w:p>
    <w:p w:rsidR="009F44AF" w:rsidRDefault="009F44AF" w:rsidP="009F44AF">
      <w:pPr>
        <w:pStyle w:val="aff4"/>
        <w:rPr>
          <w:rFonts w:eastAsiaTheme="minorEastAsia" w:cstheme="minorBidi"/>
          <w:i/>
          <w:iCs/>
          <w:noProof/>
          <w:sz w:val="22"/>
          <w:szCs w:val="22"/>
          <w:rtl/>
        </w:rPr>
      </w:pPr>
      <w:r>
        <w:rPr>
          <w:rFonts w:hint="cs"/>
          <w:noProof/>
          <w:rtl/>
        </w:rPr>
        <w:t>פלוגתת האחרונים אי חוזר וניעור הוא מדרבנן או מדאו'</w:t>
      </w:r>
    </w:p>
    <w:p w:rsidR="009F44AF" w:rsidRDefault="009F44AF" w:rsidP="009F44AF">
      <w:pPr>
        <w:pStyle w:val="aff2"/>
        <w:numPr>
          <w:ilvl w:val="0"/>
          <w:numId w:val="33"/>
        </w:numPr>
        <w:rPr>
          <w:rFonts w:eastAsiaTheme="minorEastAsia" w:cstheme="minorBidi"/>
          <w:sz w:val="22"/>
          <w:szCs w:val="22"/>
          <w:rtl/>
        </w:rPr>
      </w:pPr>
      <w:r>
        <w:rPr>
          <w:rFonts w:hint="cs"/>
          <w:rtl/>
        </w:rPr>
        <w:t>תירוץ ה</w:t>
      </w:r>
      <w:r w:rsidR="00250230">
        <w:rPr>
          <w:rFonts w:hint="cs"/>
          <w:rtl/>
        </w:rPr>
        <w:t>פלתי</w:t>
      </w:r>
      <w:r>
        <w:rPr>
          <w:rFonts w:hint="cs"/>
          <w:rtl/>
        </w:rPr>
        <w:t xml:space="preserve"> דדין חוזר וניעור הוא דרבנן ורק ברוב של איסור ממש גזרו ולא בנתינת טעם</w:t>
      </w:r>
    </w:p>
    <w:p w:rsidR="009F44AF" w:rsidRDefault="009F44AF" w:rsidP="009F44AF">
      <w:pPr>
        <w:pStyle w:val="aff2"/>
        <w:numPr>
          <w:ilvl w:val="0"/>
          <w:numId w:val="33"/>
        </w:numPr>
        <w:rPr>
          <w:rFonts w:eastAsiaTheme="minorEastAsia" w:cstheme="minorBidi"/>
          <w:sz w:val="22"/>
          <w:szCs w:val="22"/>
          <w:rtl/>
        </w:rPr>
      </w:pPr>
      <w:r>
        <w:rPr>
          <w:rFonts w:hint="cs"/>
          <w:rtl/>
        </w:rPr>
        <w:t>דברי היד יהודה דנחלקו הראשונים אי חוזר וניעור הוא דאו' או דרבנן</w:t>
      </w:r>
    </w:p>
    <w:p w:rsidR="009F44AF" w:rsidRDefault="009F44AF" w:rsidP="009F44AF">
      <w:pPr>
        <w:pStyle w:val="aff4"/>
        <w:rPr>
          <w:rFonts w:eastAsiaTheme="minorEastAsia" w:cstheme="minorBidi"/>
          <w:i/>
          <w:iCs/>
          <w:noProof/>
          <w:sz w:val="22"/>
          <w:szCs w:val="22"/>
          <w:rtl/>
        </w:rPr>
      </w:pPr>
      <w:r>
        <w:rPr>
          <w:rFonts w:hint="cs"/>
          <w:noProof/>
          <w:rtl/>
        </w:rPr>
        <w:t>דברי הפרי תואר דלח שבטל אינו טעם משובח ומותר מדאו'</w:t>
      </w:r>
    </w:p>
    <w:p w:rsidR="009F44AF" w:rsidRDefault="009F44AF" w:rsidP="009F44AF">
      <w:pPr>
        <w:pStyle w:val="aff2"/>
        <w:numPr>
          <w:ilvl w:val="0"/>
          <w:numId w:val="33"/>
        </w:numPr>
        <w:rPr>
          <w:rFonts w:eastAsiaTheme="minorEastAsia" w:cstheme="minorBidi"/>
          <w:sz w:val="22"/>
          <w:szCs w:val="22"/>
          <w:rtl/>
        </w:rPr>
      </w:pPr>
      <w:r>
        <w:rPr>
          <w:rFonts w:hint="cs"/>
          <w:rtl/>
        </w:rPr>
        <w:t>תירוץ הפרי תואר דבלח האיסור בטל במציאות ולא שייך לומר דהוכר האיסור וחוזר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קושית הפרי תואר דהביטול במציאות הוא רק כשאין רוב יין אך לרב דימי מותר אף כל היום</w:t>
      </w:r>
    </w:p>
    <w:p w:rsidR="009F44AF" w:rsidRDefault="009F44AF" w:rsidP="009F44AF">
      <w:pPr>
        <w:pStyle w:val="aff2"/>
        <w:numPr>
          <w:ilvl w:val="0"/>
          <w:numId w:val="33"/>
        </w:numPr>
        <w:rPr>
          <w:rFonts w:eastAsiaTheme="minorEastAsia" w:cstheme="minorBidi"/>
          <w:sz w:val="22"/>
          <w:szCs w:val="22"/>
          <w:rtl/>
        </w:rPr>
      </w:pPr>
      <w:r>
        <w:rPr>
          <w:rFonts w:hint="cs"/>
          <w:rtl/>
        </w:rPr>
        <w:t>ביאור הפרי תואר דאיסור טעם הוא רק בטעם גמור ולא בטעם שהתבטל וחזר שאינו טעם גמור</w:t>
      </w:r>
    </w:p>
    <w:p w:rsidR="009F44AF" w:rsidRDefault="009F44AF" w:rsidP="009F44AF">
      <w:pPr>
        <w:pStyle w:val="aff2"/>
        <w:numPr>
          <w:ilvl w:val="0"/>
          <w:numId w:val="33"/>
        </w:numPr>
        <w:rPr>
          <w:rFonts w:eastAsiaTheme="minorEastAsia" w:cstheme="minorBidi"/>
          <w:sz w:val="22"/>
          <w:szCs w:val="22"/>
          <w:rtl/>
        </w:rPr>
      </w:pPr>
      <w:r>
        <w:rPr>
          <w:rFonts w:hint="cs"/>
          <w:rtl/>
        </w:rPr>
        <w:t>דברי הפרי תואר דבאיסור דאו' ביבש שאינו בטל במציאות אמרינן דחוזר וניעור</w:t>
      </w:r>
    </w:p>
    <w:p w:rsidR="009F44AF" w:rsidRDefault="009F44AF" w:rsidP="009F44AF">
      <w:pPr>
        <w:pStyle w:val="2"/>
        <w:rPr>
          <w:rFonts w:eastAsiaTheme="minorEastAsia" w:cstheme="minorBidi"/>
          <w:i/>
          <w:iCs/>
          <w:sz w:val="22"/>
          <w:szCs w:val="22"/>
          <w:rtl/>
        </w:rPr>
      </w:pPr>
      <w:r>
        <w:rPr>
          <w:rFonts w:hint="cs"/>
          <w:rtl/>
        </w:rPr>
        <w:t>דעת הרמב"ן בדין 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הרמב"ן דאיירי בקילוח שאינו פוסק בין החבית לבור</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דרב דימי איירי בקילוח שאינו פוסק ולא חשיב שהיין בחבית מעורב ביין שבבור</w:t>
      </w:r>
    </w:p>
    <w:p w:rsidR="009F44AF" w:rsidRDefault="009F44AF" w:rsidP="009F44AF">
      <w:pPr>
        <w:pStyle w:val="aff2"/>
        <w:numPr>
          <w:ilvl w:val="0"/>
          <w:numId w:val="33"/>
        </w:numPr>
        <w:rPr>
          <w:rFonts w:eastAsiaTheme="minorEastAsia" w:cstheme="minorBidi"/>
          <w:sz w:val="22"/>
          <w:szCs w:val="22"/>
          <w:rtl/>
        </w:rPr>
      </w:pPr>
      <w:r>
        <w:rPr>
          <w:rFonts w:hint="cs"/>
          <w:rtl/>
        </w:rPr>
        <w:t>דברי הר"ן דע"י הנצוק היין שבחבית מחובר ליין שמתערב אך כיון שהוא מתבטל אינו אוסר</w:t>
      </w:r>
    </w:p>
    <w:p w:rsidR="009F44AF" w:rsidRDefault="009F44AF" w:rsidP="009F44AF">
      <w:pPr>
        <w:pStyle w:val="aff2"/>
        <w:numPr>
          <w:ilvl w:val="0"/>
          <w:numId w:val="33"/>
        </w:numPr>
        <w:rPr>
          <w:rFonts w:eastAsiaTheme="minorEastAsia" w:cstheme="minorBidi"/>
          <w:sz w:val="22"/>
          <w:szCs w:val="22"/>
          <w:rtl/>
        </w:rPr>
      </w:pPr>
      <w:r>
        <w:rPr>
          <w:rFonts w:hint="cs"/>
          <w:rtl/>
        </w:rPr>
        <w:t>ביאור הריטב"א ברמב"ן דנצוק חיבור רק כשאוסר בסופו אבל במקטף אמרינן דקמא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הרמב"ן דיי"נ שנפל לתוך היתר בפחות מנו"ט בטל</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דיי"נ שנפל לבור בטל ואינו נאסר לעולם ורק בנפל בבת אחת בשיעור נו"ט אסור</w:t>
      </w:r>
    </w:p>
    <w:p w:rsidR="009F44AF" w:rsidRDefault="009F44AF" w:rsidP="009F44AF">
      <w:pPr>
        <w:pStyle w:val="aff2"/>
        <w:numPr>
          <w:ilvl w:val="0"/>
          <w:numId w:val="33"/>
        </w:numPr>
        <w:rPr>
          <w:rFonts w:eastAsiaTheme="minorEastAsia" w:cstheme="minorBidi"/>
          <w:sz w:val="22"/>
          <w:szCs w:val="22"/>
          <w:rtl/>
        </w:rPr>
      </w:pPr>
      <w:r>
        <w:rPr>
          <w:rFonts w:hint="cs"/>
          <w:rtl/>
        </w:rPr>
        <w:t>קושית הרמב"ן דהגמ' יכולה להעמיד את המשנה דיי"נ אוסר במשהו בנפל בבת אחת</w:t>
      </w:r>
    </w:p>
    <w:p w:rsidR="009F44AF" w:rsidRDefault="009F44AF" w:rsidP="009F44AF">
      <w:pPr>
        <w:pStyle w:val="aff2"/>
        <w:numPr>
          <w:ilvl w:val="0"/>
          <w:numId w:val="33"/>
        </w:numPr>
        <w:rPr>
          <w:rFonts w:eastAsiaTheme="minorEastAsia" w:cstheme="minorBidi"/>
          <w:sz w:val="22"/>
          <w:szCs w:val="22"/>
          <w:rtl/>
        </w:rPr>
      </w:pPr>
      <w:r>
        <w:rPr>
          <w:rFonts w:hint="cs"/>
          <w:rtl/>
        </w:rPr>
        <w:t>תירוץ הרמב"ן והרשב"א דניחא לגמ' להעמיד את הסיפא בהיתר לתוך איסור כמו הרישא</w:t>
      </w:r>
    </w:p>
    <w:p w:rsidR="009F44AF" w:rsidRDefault="009F44AF" w:rsidP="009F44AF">
      <w:pPr>
        <w:pStyle w:val="aff4"/>
        <w:rPr>
          <w:rFonts w:eastAsiaTheme="minorEastAsia" w:cstheme="minorBidi"/>
          <w:i/>
          <w:iCs/>
          <w:noProof/>
          <w:sz w:val="22"/>
          <w:szCs w:val="22"/>
          <w:rtl/>
        </w:rPr>
      </w:pPr>
      <w:r>
        <w:rPr>
          <w:rFonts w:hint="cs"/>
          <w:noProof/>
          <w:rtl/>
        </w:rPr>
        <w:t>ביאור הרמב"ן דהיתר שנפל לאיסור אינו עומד להתבטל</w:t>
      </w:r>
    </w:p>
    <w:p w:rsidR="009F44AF" w:rsidRDefault="009F44AF" w:rsidP="009F44AF">
      <w:pPr>
        <w:pStyle w:val="aff2"/>
        <w:numPr>
          <w:ilvl w:val="0"/>
          <w:numId w:val="33"/>
        </w:numPr>
        <w:rPr>
          <w:rFonts w:eastAsiaTheme="minorEastAsia" w:cstheme="minorBidi"/>
          <w:sz w:val="22"/>
          <w:szCs w:val="22"/>
          <w:rtl/>
        </w:rPr>
      </w:pPr>
      <w:r>
        <w:rPr>
          <w:rFonts w:hint="cs"/>
          <w:rtl/>
        </w:rPr>
        <w:t>ביאור הרמב"ן דהיתר שנפל לאיסור לא נאסר מדין קמא קמא בטיל דאינו רוצה בביטול ההיתר</w:t>
      </w:r>
    </w:p>
    <w:p w:rsidR="009F44AF" w:rsidRDefault="009F44AF" w:rsidP="009F44AF">
      <w:pPr>
        <w:pStyle w:val="aff2"/>
        <w:numPr>
          <w:ilvl w:val="0"/>
          <w:numId w:val="33"/>
        </w:numPr>
        <w:rPr>
          <w:rFonts w:eastAsiaTheme="minorEastAsia" w:cstheme="minorBidi"/>
          <w:sz w:val="22"/>
          <w:szCs w:val="22"/>
          <w:rtl/>
        </w:rPr>
      </w:pPr>
      <w:r>
        <w:rPr>
          <w:rFonts w:hint="cs"/>
          <w:rtl/>
        </w:rPr>
        <w:t>ביאור הרמב"ן דבשאר איסורים ההיתר אינו מתבטל באיסור וביי"נ החמירו דקמא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דבמין בשאינו מינו היתר שנפל לאיסור מתבטל כיון שטעם ההיתר בטל</w:t>
      </w:r>
    </w:p>
    <w:p w:rsidR="009F44AF" w:rsidRDefault="009F44AF" w:rsidP="009F44AF">
      <w:pPr>
        <w:pStyle w:val="aff4"/>
        <w:rPr>
          <w:rFonts w:eastAsiaTheme="minorEastAsia" w:cstheme="minorBidi"/>
          <w:i/>
          <w:iCs/>
          <w:noProof/>
          <w:sz w:val="22"/>
          <w:szCs w:val="22"/>
          <w:rtl/>
        </w:rPr>
      </w:pPr>
      <w:r>
        <w:rPr>
          <w:rFonts w:hint="cs"/>
          <w:noProof/>
          <w:rtl/>
        </w:rPr>
        <w:t>דברי הרמב"ן דקיי"ל דבשאינו מינו טעם לא בטל וחוזר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דמשמעות הגמ' דרבין פליג על רב דימי אך אפשר לבאר דלא פליגי</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דקיי"ל ביי"נ ובשאר איסורים דכל שיש טעם אמרינן דחוזר וניעור דטעם לא בטל</w:t>
      </w:r>
    </w:p>
    <w:p w:rsidR="009F44AF" w:rsidRDefault="009F44AF" w:rsidP="009F44AF">
      <w:pPr>
        <w:pStyle w:val="aff2"/>
        <w:numPr>
          <w:ilvl w:val="0"/>
          <w:numId w:val="33"/>
        </w:numPr>
        <w:rPr>
          <w:rFonts w:eastAsiaTheme="minorEastAsia" w:cstheme="minorBidi"/>
          <w:sz w:val="22"/>
          <w:szCs w:val="22"/>
          <w:rtl/>
        </w:rPr>
      </w:pPr>
      <w:r>
        <w:rPr>
          <w:rFonts w:hint="cs"/>
          <w:rtl/>
        </w:rPr>
        <w:t>הוכחת הרשב"א דרק על רב דימי קשה מהמשנה בנו"ט ואילו לדידן דטעמא לא בטיל לא קשה</w:t>
      </w:r>
    </w:p>
    <w:p w:rsidR="009F44AF" w:rsidRDefault="009F44AF" w:rsidP="009F44AF">
      <w:pPr>
        <w:pStyle w:val="aff4"/>
        <w:rPr>
          <w:rFonts w:eastAsiaTheme="minorEastAsia" w:cstheme="minorBidi"/>
          <w:i/>
          <w:iCs/>
          <w:noProof/>
          <w:sz w:val="22"/>
          <w:szCs w:val="22"/>
          <w:rtl/>
        </w:rPr>
      </w:pPr>
      <w:r>
        <w:rPr>
          <w:rFonts w:hint="cs"/>
          <w:noProof/>
          <w:rtl/>
        </w:rPr>
        <w:t>דברי הרמב"ן דקיי"ל דבמינו שיעור טעם חשוב וחוזר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הרמב"ן דאף במין במינו שא"א לעמוד על הטעם כל שיש שיעור טעם הוא חשוב ולא בטל</w:t>
      </w:r>
    </w:p>
    <w:p w:rsidR="009F44AF" w:rsidRDefault="009F44AF" w:rsidP="009F44AF">
      <w:pPr>
        <w:pStyle w:val="aff2"/>
        <w:numPr>
          <w:ilvl w:val="0"/>
          <w:numId w:val="33"/>
        </w:numPr>
        <w:rPr>
          <w:rFonts w:eastAsiaTheme="minorEastAsia" w:cstheme="minorBidi"/>
          <w:sz w:val="22"/>
          <w:szCs w:val="22"/>
          <w:rtl/>
        </w:rPr>
      </w:pPr>
      <w:r>
        <w:rPr>
          <w:rFonts w:hint="cs"/>
          <w:rtl/>
        </w:rPr>
        <w:t>דברי הפרי תואר דלרמב"ן בדבר ששיעורו מדרבנן קמא קמא בטיל ובדאו' חוזר וניעור</w:t>
      </w:r>
    </w:p>
    <w:p w:rsidR="009F44AF" w:rsidRDefault="009F44AF" w:rsidP="009F44AF">
      <w:pPr>
        <w:pStyle w:val="2"/>
        <w:rPr>
          <w:rFonts w:eastAsiaTheme="minorEastAsia" w:cstheme="minorBidi"/>
          <w:i/>
          <w:iCs/>
          <w:sz w:val="22"/>
          <w:szCs w:val="22"/>
          <w:rtl/>
        </w:rPr>
      </w:pPr>
      <w:r>
        <w:rPr>
          <w:rFonts w:hint="cs"/>
          <w:rtl/>
        </w:rPr>
        <w:t>דברי הר"ן בהיתר שנפל לתוך איסור</w:t>
      </w:r>
    </w:p>
    <w:p w:rsidR="009F44AF" w:rsidRDefault="009F44AF" w:rsidP="009F44AF">
      <w:pPr>
        <w:pStyle w:val="aff4"/>
        <w:rPr>
          <w:rFonts w:eastAsiaTheme="minorEastAsia" w:cstheme="minorBidi"/>
          <w:i/>
          <w:iCs/>
          <w:noProof/>
          <w:sz w:val="22"/>
          <w:szCs w:val="22"/>
          <w:rtl/>
        </w:rPr>
      </w:pPr>
      <w:r>
        <w:rPr>
          <w:rFonts w:hint="cs"/>
          <w:noProof/>
          <w:rtl/>
        </w:rPr>
        <w:t>ביאור הר"ן דאיסור שעומד במקומו חשוב ומבטל את ההיתר</w:t>
      </w:r>
    </w:p>
    <w:p w:rsidR="009F44AF" w:rsidRDefault="009F44AF" w:rsidP="009F44AF">
      <w:pPr>
        <w:pStyle w:val="aff2"/>
        <w:numPr>
          <w:ilvl w:val="0"/>
          <w:numId w:val="33"/>
        </w:numPr>
        <w:rPr>
          <w:rFonts w:eastAsiaTheme="minorEastAsia" w:cstheme="minorBidi"/>
          <w:sz w:val="22"/>
          <w:szCs w:val="22"/>
          <w:rtl/>
        </w:rPr>
      </w:pPr>
      <w:r>
        <w:rPr>
          <w:rFonts w:hint="cs"/>
          <w:rtl/>
        </w:rPr>
        <w:t>דברי הר"ן דהיתר שנפל לאיסור אמרינן קמא קמא בטיל כיון שהאיסור במקומו והוא חשוב</w:t>
      </w:r>
    </w:p>
    <w:p w:rsidR="009F44AF" w:rsidRDefault="009F44AF" w:rsidP="009F44AF">
      <w:pPr>
        <w:pStyle w:val="aff2"/>
        <w:numPr>
          <w:ilvl w:val="0"/>
          <w:numId w:val="33"/>
        </w:numPr>
        <w:rPr>
          <w:rFonts w:eastAsiaTheme="minorEastAsia" w:cstheme="minorBidi"/>
          <w:sz w:val="22"/>
          <w:szCs w:val="22"/>
          <w:rtl/>
        </w:rPr>
      </w:pPr>
      <w:r>
        <w:rPr>
          <w:rFonts w:hint="cs"/>
          <w:rtl/>
        </w:rPr>
        <w:t>דברי הר"ן דיי"נ שעומד במקומו ונפל לתוכו יין היתר פחות במשהו מהאיסור נאסר</w:t>
      </w:r>
    </w:p>
    <w:p w:rsidR="009F44AF" w:rsidRDefault="009F44AF" w:rsidP="009F44AF">
      <w:pPr>
        <w:pStyle w:val="aff4"/>
        <w:rPr>
          <w:rFonts w:eastAsiaTheme="minorEastAsia" w:cstheme="minorBidi"/>
          <w:i/>
          <w:iCs/>
          <w:noProof/>
          <w:sz w:val="22"/>
          <w:szCs w:val="22"/>
          <w:rtl/>
        </w:rPr>
      </w:pPr>
      <w:r>
        <w:rPr>
          <w:rFonts w:hint="cs"/>
          <w:noProof/>
          <w:rtl/>
        </w:rPr>
        <w:t>דברי הר"ן דהיתר במקומו חשוב ומבטל את האיסור במין במינו</w:t>
      </w:r>
    </w:p>
    <w:p w:rsidR="009F44AF" w:rsidRDefault="009F44AF" w:rsidP="009F44AF">
      <w:pPr>
        <w:pStyle w:val="aff2"/>
        <w:numPr>
          <w:ilvl w:val="0"/>
          <w:numId w:val="33"/>
        </w:numPr>
        <w:rPr>
          <w:rFonts w:eastAsiaTheme="minorEastAsia" w:cstheme="minorBidi"/>
          <w:sz w:val="22"/>
          <w:szCs w:val="22"/>
          <w:rtl/>
        </w:rPr>
      </w:pPr>
      <w:r>
        <w:rPr>
          <w:rFonts w:hint="cs"/>
          <w:rtl/>
        </w:rPr>
        <w:t>דברי הר"ן דהיתר שעומד במקומו ונפל לתוכו איסור פחות משיעור נו"ט בהיתר דהאיסור בטל</w:t>
      </w:r>
    </w:p>
    <w:p w:rsidR="009F44AF" w:rsidRDefault="009F44AF" w:rsidP="009F44AF">
      <w:pPr>
        <w:pStyle w:val="aff4"/>
        <w:rPr>
          <w:rFonts w:eastAsiaTheme="minorEastAsia" w:cstheme="minorBidi"/>
          <w:i/>
          <w:iCs/>
          <w:noProof/>
          <w:sz w:val="22"/>
          <w:szCs w:val="22"/>
          <w:rtl/>
        </w:rPr>
      </w:pPr>
      <w:r>
        <w:rPr>
          <w:rFonts w:hint="cs"/>
          <w:noProof/>
          <w:rtl/>
        </w:rPr>
        <w:t>דברי הר"ן דבאינו מינו היתר שנפל לאיסור ואין נו"ט לא בטל</w:t>
      </w:r>
    </w:p>
    <w:p w:rsidR="009F44AF" w:rsidRDefault="009F44AF" w:rsidP="009F44AF">
      <w:pPr>
        <w:pStyle w:val="aff2"/>
        <w:numPr>
          <w:ilvl w:val="0"/>
          <w:numId w:val="33"/>
        </w:numPr>
        <w:rPr>
          <w:rFonts w:eastAsiaTheme="minorEastAsia" w:cstheme="minorBidi"/>
          <w:sz w:val="22"/>
          <w:szCs w:val="22"/>
          <w:rtl/>
        </w:rPr>
      </w:pPr>
      <w:r>
        <w:rPr>
          <w:rFonts w:hint="cs"/>
          <w:rtl/>
        </w:rPr>
        <w:t>דברי הר"ן דבהיתר שנפל לאיסור במין בשאינו מינו בפחות מנו"ט אינו נאסר אף בנפל בבת אחת</w:t>
      </w:r>
    </w:p>
    <w:p w:rsidR="009F44AF" w:rsidRDefault="009F44AF" w:rsidP="009F44AF">
      <w:pPr>
        <w:pStyle w:val="aff4"/>
        <w:rPr>
          <w:rFonts w:eastAsiaTheme="minorEastAsia" w:cstheme="minorBidi"/>
          <w:i/>
          <w:iCs/>
          <w:noProof/>
          <w:sz w:val="22"/>
          <w:szCs w:val="22"/>
          <w:rtl/>
        </w:rPr>
      </w:pPr>
      <w:r>
        <w:rPr>
          <w:rFonts w:hint="cs"/>
          <w:noProof/>
          <w:rtl/>
        </w:rPr>
        <w:t>ביאור הר"ן בחומרא דיי"נ דאף איסור מועט אוסר היתר מרובה</w:t>
      </w:r>
    </w:p>
    <w:p w:rsidR="009F44AF" w:rsidRDefault="009F44AF" w:rsidP="009F44AF">
      <w:pPr>
        <w:pStyle w:val="aff2"/>
        <w:numPr>
          <w:ilvl w:val="0"/>
          <w:numId w:val="33"/>
        </w:numPr>
        <w:rPr>
          <w:rFonts w:eastAsiaTheme="minorEastAsia" w:cstheme="minorBidi"/>
          <w:sz w:val="22"/>
          <w:szCs w:val="22"/>
          <w:rtl/>
        </w:rPr>
      </w:pPr>
      <w:r>
        <w:rPr>
          <w:rFonts w:hint="cs"/>
          <w:rtl/>
        </w:rPr>
        <w:t>דברי הר"ן דביי"נ במינו היתר מרובה נאסר כשנפל לאיסור אף כשאין באיסור שיעור נו"ט</w:t>
      </w:r>
    </w:p>
    <w:p w:rsidR="009F44AF" w:rsidRDefault="009F44AF" w:rsidP="009F44AF">
      <w:pPr>
        <w:pStyle w:val="aff2"/>
        <w:numPr>
          <w:ilvl w:val="0"/>
          <w:numId w:val="33"/>
        </w:numPr>
        <w:rPr>
          <w:rFonts w:eastAsiaTheme="minorEastAsia" w:cstheme="minorBidi"/>
          <w:sz w:val="22"/>
          <w:szCs w:val="22"/>
          <w:rtl/>
        </w:rPr>
      </w:pPr>
      <w:r>
        <w:rPr>
          <w:rFonts w:hint="cs"/>
          <w:rtl/>
        </w:rPr>
        <w:t>דברי הר"ן דמערה מעט היתר לאיסור אף בשאר איסורים קמא קמא בטיל ואסור</w:t>
      </w:r>
    </w:p>
    <w:p w:rsidR="009F44AF" w:rsidRDefault="009F44AF" w:rsidP="009F44AF">
      <w:pPr>
        <w:pStyle w:val="aff2"/>
        <w:numPr>
          <w:ilvl w:val="0"/>
          <w:numId w:val="33"/>
        </w:numPr>
        <w:rPr>
          <w:rFonts w:eastAsiaTheme="minorEastAsia" w:cstheme="minorBidi"/>
          <w:sz w:val="22"/>
          <w:szCs w:val="22"/>
          <w:rtl/>
        </w:rPr>
      </w:pPr>
      <w:r>
        <w:rPr>
          <w:rFonts w:hint="cs"/>
          <w:rtl/>
        </w:rPr>
        <w:t>ביאור הר"ן דהחומרא ביי"נ היא רק בהיתר מרובה שנפל לאיסור מועט במין בשאינו מינו</w:t>
      </w:r>
    </w:p>
    <w:p w:rsidR="009F44AF" w:rsidRDefault="009F44AF" w:rsidP="009F44AF">
      <w:pPr>
        <w:pStyle w:val="aff4"/>
        <w:rPr>
          <w:rFonts w:eastAsiaTheme="minorEastAsia" w:cstheme="minorBidi"/>
          <w:i/>
          <w:iCs/>
          <w:noProof/>
          <w:sz w:val="22"/>
          <w:szCs w:val="22"/>
          <w:rtl/>
        </w:rPr>
      </w:pPr>
      <w:r>
        <w:rPr>
          <w:rFonts w:hint="cs"/>
          <w:noProof/>
          <w:rtl/>
        </w:rPr>
        <w:t>דברי הר"ן דבאינו מינו היתר שנפל מעט מעט לאיסור בטל</w:t>
      </w:r>
    </w:p>
    <w:p w:rsidR="009F44AF" w:rsidRDefault="009F44AF" w:rsidP="009F44AF">
      <w:pPr>
        <w:pStyle w:val="aff2"/>
        <w:numPr>
          <w:ilvl w:val="0"/>
          <w:numId w:val="33"/>
        </w:numPr>
        <w:rPr>
          <w:rFonts w:eastAsiaTheme="minorEastAsia" w:cstheme="minorBidi"/>
          <w:sz w:val="22"/>
          <w:szCs w:val="22"/>
          <w:rtl/>
        </w:rPr>
      </w:pPr>
      <w:r>
        <w:rPr>
          <w:rFonts w:hint="cs"/>
          <w:rtl/>
        </w:rPr>
        <w:t>קושית הר"ן דאפשר להעמיד את יין במים באיסור שנפל לתוך היתר בנפל בבת אחת ונתן טעם</w:t>
      </w:r>
    </w:p>
    <w:p w:rsidR="009F44AF" w:rsidRDefault="009F44AF" w:rsidP="009F44AF">
      <w:pPr>
        <w:pStyle w:val="aff2"/>
        <w:numPr>
          <w:ilvl w:val="0"/>
          <w:numId w:val="33"/>
        </w:numPr>
        <w:rPr>
          <w:rFonts w:eastAsiaTheme="minorEastAsia" w:cstheme="minorBidi"/>
          <w:sz w:val="22"/>
          <w:szCs w:val="22"/>
          <w:rtl/>
        </w:rPr>
      </w:pPr>
      <w:r>
        <w:rPr>
          <w:rFonts w:hint="cs"/>
          <w:rtl/>
        </w:rPr>
        <w:t>תירוץ הר"ן דיין מותר שנפל למים של איסור שיעורו בנו"ט רק בב"א אבל במעט מעט נאסר</w:t>
      </w:r>
    </w:p>
    <w:p w:rsidR="009F44AF" w:rsidRDefault="009F44AF" w:rsidP="009F44AF">
      <w:pPr>
        <w:pStyle w:val="aff4"/>
        <w:rPr>
          <w:rFonts w:eastAsiaTheme="minorEastAsia" w:cstheme="minorBidi"/>
          <w:i/>
          <w:iCs/>
          <w:noProof/>
          <w:sz w:val="22"/>
          <w:szCs w:val="22"/>
          <w:rtl/>
        </w:rPr>
      </w:pPr>
      <w:r>
        <w:rPr>
          <w:rFonts w:hint="cs"/>
          <w:noProof/>
          <w:rtl/>
        </w:rPr>
        <w:t>דברי הר"ן דאיסור שנפל להיתר באינו מינו לעולם שיעורו בנו"ט</w:t>
      </w:r>
    </w:p>
    <w:p w:rsidR="009F44AF" w:rsidRDefault="009F44AF" w:rsidP="009F44AF">
      <w:pPr>
        <w:pStyle w:val="aff2"/>
        <w:numPr>
          <w:ilvl w:val="0"/>
          <w:numId w:val="33"/>
        </w:numPr>
        <w:rPr>
          <w:rFonts w:eastAsiaTheme="minorEastAsia" w:cstheme="minorBidi"/>
          <w:sz w:val="22"/>
          <w:szCs w:val="22"/>
          <w:rtl/>
        </w:rPr>
      </w:pPr>
      <w:r>
        <w:rPr>
          <w:rFonts w:hint="cs"/>
          <w:rtl/>
        </w:rPr>
        <w:t>דברי הר"ן דאיסור שנפל להיתר במין בשאינו מינו שיעורו בנו"ט בין בב"א ובין בנפל בזאח"ז</w:t>
      </w:r>
    </w:p>
    <w:p w:rsidR="009F44AF" w:rsidRDefault="009F44AF" w:rsidP="009F44AF">
      <w:pPr>
        <w:pStyle w:val="aff2"/>
        <w:numPr>
          <w:ilvl w:val="0"/>
          <w:numId w:val="33"/>
        </w:numPr>
        <w:rPr>
          <w:rFonts w:eastAsiaTheme="minorEastAsia" w:cstheme="minorBidi"/>
          <w:sz w:val="22"/>
          <w:szCs w:val="22"/>
          <w:rtl/>
        </w:rPr>
      </w:pPr>
      <w:r>
        <w:rPr>
          <w:rFonts w:hint="cs"/>
          <w:rtl/>
        </w:rPr>
        <w:t>דברי הר"ן דבמתני' א"א להעמיד באיסור לתוך היתר דהא מתני' משמע בין בב"א ובין בזאח"ז</w:t>
      </w:r>
    </w:p>
    <w:p w:rsidR="009F44AF" w:rsidRDefault="009F44AF" w:rsidP="009F44AF">
      <w:pPr>
        <w:pStyle w:val="aff2"/>
        <w:numPr>
          <w:ilvl w:val="0"/>
          <w:numId w:val="33"/>
        </w:numPr>
        <w:rPr>
          <w:rFonts w:eastAsiaTheme="minorEastAsia" w:cstheme="minorBidi"/>
          <w:sz w:val="22"/>
          <w:szCs w:val="22"/>
          <w:rtl/>
        </w:rPr>
      </w:pPr>
      <w:r>
        <w:rPr>
          <w:rFonts w:hint="cs"/>
          <w:rtl/>
        </w:rPr>
        <w:t>דברי הר"ן דביי"נ ובשאר איסורים באינו מינו היתר שנפל לאיסור ומותר בנו"ט ואינו בטל</w:t>
      </w:r>
    </w:p>
    <w:p w:rsidR="009F44AF" w:rsidRDefault="009F44AF" w:rsidP="009F44AF">
      <w:pPr>
        <w:pStyle w:val="aff4"/>
        <w:rPr>
          <w:rFonts w:eastAsiaTheme="minorEastAsia" w:cstheme="minorBidi"/>
          <w:i/>
          <w:iCs/>
          <w:noProof/>
          <w:sz w:val="22"/>
          <w:szCs w:val="22"/>
          <w:rtl/>
        </w:rPr>
      </w:pPr>
      <w:r>
        <w:rPr>
          <w:rFonts w:hint="cs"/>
          <w:noProof/>
          <w:rtl/>
        </w:rPr>
        <w:t>דברי הר"ן דהיתר שבטל מעט באיסור ונוסף היתר בב"א מותר</w:t>
      </w:r>
    </w:p>
    <w:p w:rsidR="009F44AF" w:rsidRDefault="009F44AF" w:rsidP="009F44AF">
      <w:pPr>
        <w:pStyle w:val="aff2"/>
        <w:numPr>
          <w:ilvl w:val="0"/>
          <w:numId w:val="33"/>
        </w:numPr>
        <w:rPr>
          <w:rFonts w:eastAsiaTheme="minorEastAsia" w:cstheme="minorBidi"/>
          <w:sz w:val="22"/>
          <w:szCs w:val="22"/>
          <w:rtl/>
        </w:rPr>
      </w:pPr>
      <w:r>
        <w:rPr>
          <w:rFonts w:hint="cs"/>
          <w:rtl/>
        </w:rPr>
        <w:t>ביאור הר"ן דהיתר שנפל לאיסור ובטל בו בקמא קמא בטיל ונוסף היתר מרובה בב"א הכל מותר</w:t>
      </w:r>
    </w:p>
    <w:p w:rsidR="009F44AF" w:rsidRDefault="009F44AF" w:rsidP="009F44AF">
      <w:pPr>
        <w:pStyle w:val="2"/>
        <w:rPr>
          <w:rFonts w:eastAsiaTheme="minorEastAsia" w:cstheme="minorBidi"/>
          <w:i/>
          <w:iCs/>
          <w:sz w:val="22"/>
          <w:szCs w:val="22"/>
          <w:rtl/>
        </w:rPr>
      </w:pPr>
      <w:r>
        <w:rPr>
          <w:rFonts w:hint="cs"/>
          <w:rtl/>
        </w:rPr>
        <w:t>דעת הרמב"ם בדין 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הרמב"ם דהיתר לתוך איסור נאסר ביי"נ במשהו</w:t>
      </w:r>
    </w:p>
    <w:p w:rsidR="009F44AF" w:rsidRDefault="009F44AF" w:rsidP="009F44AF">
      <w:pPr>
        <w:pStyle w:val="aff2"/>
        <w:numPr>
          <w:ilvl w:val="0"/>
          <w:numId w:val="33"/>
        </w:numPr>
        <w:rPr>
          <w:rFonts w:eastAsiaTheme="minorEastAsia" w:cstheme="minorBidi"/>
          <w:sz w:val="22"/>
          <w:szCs w:val="22"/>
          <w:rtl/>
        </w:rPr>
      </w:pPr>
      <w:r>
        <w:rPr>
          <w:rFonts w:hint="cs"/>
          <w:rtl/>
        </w:rPr>
        <w:t>דברי הרמב"ם דבעירה יי"נ מצלצול להיתר קמא קמא בטיל והיתר שנפל לאיסור נאסר במשהו</w:t>
      </w:r>
    </w:p>
    <w:p w:rsidR="009F44AF" w:rsidRDefault="009F44AF" w:rsidP="009F44AF">
      <w:pPr>
        <w:pStyle w:val="aff4"/>
        <w:rPr>
          <w:rFonts w:eastAsiaTheme="minorEastAsia" w:cstheme="minorBidi"/>
          <w:i/>
          <w:iCs/>
          <w:noProof/>
          <w:sz w:val="22"/>
          <w:szCs w:val="22"/>
          <w:rtl/>
        </w:rPr>
      </w:pPr>
      <w:r>
        <w:rPr>
          <w:rFonts w:hint="cs"/>
          <w:noProof/>
          <w:rtl/>
        </w:rPr>
        <w:t>דברי הרמב"ם דאיסור להיתר קמא בטיל בלא נפיש עמודיה</w:t>
      </w:r>
    </w:p>
    <w:p w:rsidR="009F44AF" w:rsidRDefault="009F44AF" w:rsidP="009F44AF">
      <w:pPr>
        <w:pStyle w:val="aff2"/>
        <w:numPr>
          <w:ilvl w:val="0"/>
          <w:numId w:val="33"/>
        </w:numPr>
        <w:rPr>
          <w:rFonts w:eastAsiaTheme="minorEastAsia" w:cstheme="minorBidi"/>
          <w:sz w:val="22"/>
          <w:szCs w:val="22"/>
          <w:rtl/>
        </w:rPr>
      </w:pPr>
      <w:r>
        <w:rPr>
          <w:rFonts w:hint="cs"/>
          <w:rtl/>
        </w:rPr>
        <w:t>דברי הרמב"ם דאיסור לתוך היתר בצלצול קטן דלא נפיש עמודיה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הרמב"ם דבחבית דנפיש עמודיה אסור בין בהיתר לתוך איסור ובין באיסור לתוך היתר</w:t>
      </w:r>
    </w:p>
    <w:p w:rsidR="009F44AF" w:rsidRDefault="009F44AF" w:rsidP="009F44AF">
      <w:pPr>
        <w:pStyle w:val="aff2"/>
        <w:numPr>
          <w:ilvl w:val="0"/>
          <w:numId w:val="33"/>
        </w:numPr>
        <w:rPr>
          <w:rFonts w:eastAsiaTheme="minorEastAsia" w:cstheme="minorBidi"/>
          <w:sz w:val="22"/>
          <w:szCs w:val="22"/>
          <w:rtl/>
        </w:rPr>
      </w:pPr>
      <w:r>
        <w:rPr>
          <w:rFonts w:hint="cs"/>
          <w:rtl/>
        </w:rPr>
        <w:t>דברי הראב"ד בהשג' דבצלצול קטן קיי"ל דלא אמרינן דקמא קמא בטיל</w:t>
      </w:r>
    </w:p>
    <w:p w:rsidR="009F44AF" w:rsidRDefault="009F44AF" w:rsidP="009F44AF">
      <w:pPr>
        <w:pStyle w:val="aff4"/>
        <w:rPr>
          <w:rFonts w:eastAsiaTheme="minorEastAsia" w:cstheme="minorBidi"/>
          <w:i/>
          <w:iCs/>
          <w:noProof/>
          <w:sz w:val="22"/>
          <w:szCs w:val="22"/>
          <w:rtl/>
        </w:rPr>
      </w:pPr>
      <w:r>
        <w:rPr>
          <w:rFonts w:hint="cs"/>
          <w:noProof/>
          <w:rtl/>
        </w:rPr>
        <w:t>דברי הרמב"ם דבאינו מינו היתר שנפל לתוך איסור בנו"ט</w:t>
      </w:r>
    </w:p>
    <w:p w:rsidR="009F44AF" w:rsidRDefault="009F44AF" w:rsidP="009F44AF">
      <w:pPr>
        <w:pStyle w:val="aff2"/>
        <w:numPr>
          <w:ilvl w:val="0"/>
          <w:numId w:val="33"/>
        </w:numPr>
        <w:rPr>
          <w:rFonts w:eastAsiaTheme="minorEastAsia" w:cstheme="minorBidi"/>
          <w:sz w:val="22"/>
          <w:szCs w:val="22"/>
          <w:rtl/>
        </w:rPr>
      </w:pPr>
      <w:r>
        <w:rPr>
          <w:rFonts w:hint="cs"/>
          <w:rtl/>
        </w:rPr>
        <w:t>דברי הרמב"ם דבמין בשאינו מינו בהיתר לתוך איסור שיעורו הוא בנותן טעם</w:t>
      </w:r>
    </w:p>
    <w:p w:rsidR="009F44AF" w:rsidRDefault="009F44AF" w:rsidP="009F44AF">
      <w:pPr>
        <w:pStyle w:val="aff4"/>
        <w:rPr>
          <w:rFonts w:eastAsiaTheme="minorEastAsia" w:cstheme="minorBidi"/>
          <w:i/>
          <w:iCs/>
          <w:noProof/>
          <w:sz w:val="22"/>
          <w:szCs w:val="22"/>
          <w:rtl/>
        </w:rPr>
      </w:pPr>
      <w:r>
        <w:rPr>
          <w:rFonts w:hint="cs"/>
          <w:noProof/>
          <w:rtl/>
        </w:rPr>
        <w:t>דברי הרמב"ם דבאינו מינו איסור לתוך היתר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הרמב"ם דבאיסור לתוך היתר שנפל מעט מעט מצלצול קטן קמא קמא בטיל ומותר</w:t>
      </w:r>
    </w:p>
    <w:p w:rsidR="009F44AF" w:rsidRDefault="009F44AF" w:rsidP="009F44AF">
      <w:pPr>
        <w:pStyle w:val="aff4"/>
        <w:rPr>
          <w:rFonts w:eastAsiaTheme="minorEastAsia" w:cstheme="minorBidi"/>
          <w:i/>
          <w:iCs/>
          <w:noProof/>
          <w:sz w:val="22"/>
          <w:szCs w:val="22"/>
          <w:rtl/>
        </w:rPr>
      </w:pPr>
      <w:r>
        <w:rPr>
          <w:rFonts w:hint="cs"/>
          <w:noProof/>
          <w:rtl/>
        </w:rPr>
        <w:t>ביאורי הראשונים בדברי הרמב"ם דאיסור במקומו חשוב</w:t>
      </w:r>
    </w:p>
    <w:p w:rsidR="009F44AF" w:rsidRDefault="009F44AF" w:rsidP="009F44AF">
      <w:pPr>
        <w:pStyle w:val="aff2"/>
        <w:numPr>
          <w:ilvl w:val="0"/>
          <w:numId w:val="33"/>
        </w:numPr>
        <w:rPr>
          <w:rFonts w:eastAsiaTheme="minorEastAsia" w:cstheme="minorBidi"/>
          <w:sz w:val="22"/>
          <w:szCs w:val="22"/>
          <w:rtl/>
        </w:rPr>
      </w:pPr>
      <w:r>
        <w:rPr>
          <w:rFonts w:hint="cs"/>
          <w:rtl/>
        </w:rPr>
        <w:t>ביאור הרמב"ן ברמב"ם דהחילוק ביין נסך הוא דהיתר שנפל לתוך איסור חמור כמו במקוה</w:t>
      </w:r>
    </w:p>
    <w:p w:rsidR="009F44AF" w:rsidRDefault="009F44AF" w:rsidP="009F44AF">
      <w:pPr>
        <w:pStyle w:val="aff2"/>
        <w:numPr>
          <w:ilvl w:val="0"/>
          <w:numId w:val="33"/>
        </w:numPr>
        <w:rPr>
          <w:rFonts w:eastAsiaTheme="minorEastAsia" w:cstheme="minorBidi"/>
          <w:sz w:val="22"/>
          <w:szCs w:val="22"/>
          <w:rtl/>
        </w:rPr>
      </w:pPr>
      <w:r>
        <w:rPr>
          <w:rFonts w:hint="cs"/>
          <w:rtl/>
        </w:rPr>
        <w:t>ביאור הרשב"א ברמב"ם דהחומרא ביי"נ דאיסור שעומד במקומו חשוב ואף טיפה אחת אוסרת</w:t>
      </w:r>
    </w:p>
    <w:p w:rsidR="009F44AF" w:rsidRDefault="009F44AF" w:rsidP="009F44AF">
      <w:pPr>
        <w:pStyle w:val="aff2"/>
        <w:numPr>
          <w:ilvl w:val="0"/>
          <w:numId w:val="33"/>
        </w:numPr>
        <w:rPr>
          <w:rFonts w:eastAsiaTheme="minorEastAsia" w:cstheme="minorBidi"/>
          <w:sz w:val="22"/>
          <w:szCs w:val="22"/>
          <w:rtl/>
        </w:rPr>
      </w:pPr>
      <w:r>
        <w:rPr>
          <w:rFonts w:hint="cs"/>
          <w:rtl/>
        </w:rPr>
        <w:t>דברי הר"ן ברמב"ם דהיתר שעומד במקומו ונפל לתוכו איסור פחות משיעור נו"ט דהאיסור בטל</w:t>
      </w:r>
    </w:p>
    <w:p w:rsidR="009F44AF" w:rsidRDefault="009F44AF" w:rsidP="009F44AF">
      <w:pPr>
        <w:pStyle w:val="aff2"/>
        <w:numPr>
          <w:ilvl w:val="0"/>
          <w:numId w:val="33"/>
        </w:numPr>
        <w:rPr>
          <w:rFonts w:eastAsiaTheme="minorEastAsia" w:cstheme="minorBidi"/>
          <w:sz w:val="22"/>
          <w:szCs w:val="22"/>
          <w:rtl/>
        </w:rPr>
      </w:pPr>
      <w:r>
        <w:rPr>
          <w:rFonts w:hint="cs"/>
          <w:rtl/>
        </w:rPr>
        <w:t>דברי הר"ן ברמב"ם דביי"נ במינו היתר מרובה נאסר כשנפל לאיסור אף כשאין באיסור נו"ט</w:t>
      </w:r>
    </w:p>
    <w:p w:rsidR="009F44AF" w:rsidRDefault="009F44AF" w:rsidP="009F44AF">
      <w:pPr>
        <w:pStyle w:val="aff2"/>
        <w:numPr>
          <w:ilvl w:val="0"/>
          <w:numId w:val="33"/>
        </w:numPr>
        <w:rPr>
          <w:rFonts w:eastAsiaTheme="minorEastAsia" w:cstheme="minorBidi"/>
          <w:sz w:val="22"/>
          <w:szCs w:val="22"/>
          <w:rtl/>
        </w:rPr>
      </w:pPr>
      <w:r>
        <w:rPr>
          <w:rFonts w:hint="cs"/>
          <w:rtl/>
        </w:rPr>
        <w:t>ביאור החזו"א ברמב"ם דאף בנפל בב"א ההיתר אינו מבטל את האיסור כיון שהוא חשוב במקומו</w:t>
      </w:r>
    </w:p>
    <w:p w:rsidR="009F44AF" w:rsidRDefault="009F44AF" w:rsidP="009F44AF">
      <w:pPr>
        <w:pStyle w:val="aff2"/>
        <w:numPr>
          <w:ilvl w:val="0"/>
          <w:numId w:val="33"/>
        </w:numPr>
        <w:rPr>
          <w:rFonts w:eastAsiaTheme="minorEastAsia" w:cstheme="minorBidi"/>
          <w:sz w:val="22"/>
          <w:szCs w:val="22"/>
          <w:rtl/>
        </w:rPr>
      </w:pPr>
      <w:r>
        <w:rPr>
          <w:rFonts w:hint="cs"/>
          <w:rtl/>
        </w:rPr>
        <w:t>דברי החזו"א דבאינו מינו אף בהיתר לתוך אסיור כל שהתרבה ואין שיעור נו"ט מותר אף ביי"נ</w:t>
      </w:r>
    </w:p>
    <w:p w:rsidR="009F44AF" w:rsidRDefault="009F44AF" w:rsidP="009F44AF">
      <w:pPr>
        <w:pStyle w:val="aff4"/>
        <w:rPr>
          <w:rFonts w:eastAsiaTheme="minorEastAsia" w:cstheme="minorBidi"/>
          <w:i/>
          <w:iCs/>
          <w:noProof/>
          <w:sz w:val="22"/>
          <w:szCs w:val="22"/>
          <w:rtl/>
        </w:rPr>
      </w:pPr>
      <w:r>
        <w:rPr>
          <w:rFonts w:hint="cs"/>
          <w:noProof/>
          <w:rtl/>
        </w:rPr>
        <w:t>דברי הראשוניםם בביאור דברי הרמב"ם דפסק כרב יצחק</w:t>
      </w:r>
    </w:p>
    <w:p w:rsidR="009F44AF" w:rsidRDefault="009F44AF" w:rsidP="009F44AF">
      <w:pPr>
        <w:pStyle w:val="aff2"/>
        <w:numPr>
          <w:ilvl w:val="0"/>
          <w:numId w:val="33"/>
        </w:numPr>
        <w:rPr>
          <w:rFonts w:eastAsiaTheme="minorEastAsia" w:cstheme="minorBidi"/>
          <w:sz w:val="22"/>
          <w:szCs w:val="22"/>
          <w:rtl/>
        </w:rPr>
      </w:pPr>
      <w:r>
        <w:rPr>
          <w:rFonts w:hint="cs"/>
          <w:rtl/>
        </w:rPr>
        <w:t>דברי הרשב"א ברמב"ם דרבין ורב יצחק לא פליגי ולכן פסק הרמב"ם כרב יצחק</w:t>
      </w:r>
    </w:p>
    <w:p w:rsidR="009F44AF" w:rsidRDefault="009F44AF" w:rsidP="009F44AF">
      <w:pPr>
        <w:pStyle w:val="aff2"/>
        <w:numPr>
          <w:ilvl w:val="0"/>
          <w:numId w:val="33"/>
        </w:numPr>
        <w:rPr>
          <w:rFonts w:eastAsiaTheme="minorEastAsia" w:cstheme="minorBidi"/>
          <w:sz w:val="22"/>
          <w:szCs w:val="22"/>
          <w:rtl/>
        </w:rPr>
      </w:pPr>
      <w:r>
        <w:rPr>
          <w:rFonts w:hint="cs"/>
          <w:rtl/>
        </w:rPr>
        <w:t>ביאור הר"ן ברמב"ם כהראב"ד דנפיש עמודיה אסור מחמת דהוא חשוב ואף בקילוח שפוסק אוסר</w:t>
      </w:r>
    </w:p>
    <w:p w:rsidR="009F44AF" w:rsidRDefault="009F44AF" w:rsidP="009F44AF">
      <w:pPr>
        <w:pStyle w:val="aff2"/>
        <w:numPr>
          <w:ilvl w:val="0"/>
          <w:numId w:val="33"/>
        </w:numPr>
        <w:rPr>
          <w:rFonts w:eastAsiaTheme="minorEastAsia" w:cstheme="minorBidi"/>
          <w:sz w:val="22"/>
          <w:szCs w:val="22"/>
          <w:rtl/>
        </w:rPr>
      </w:pPr>
      <w:r>
        <w:rPr>
          <w:rFonts w:hint="cs"/>
          <w:rtl/>
        </w:rPr>
        <w:t>דברי הכס"מ דהרמב"ם פסק לחומרא כרב יצחק ולא כרב דימי ורבין לא פליג על רב יצחק</w:t>
      </w:r>
    </w:p>
    <w:p w:rsidR="009F44AF" w:rsidRDefault="009F44AF" w:rsidP="009F44AF">
      <w:pPr>
        <w:pStyle w:val="aff2"/>
        <w:numPr>
          <w:ilvl w:val="0"/>
          <w:numId w:val="33"/>
        </w:numPr>
        <w:rPr>
          <w:rFonts w:eastAsiaTheme="minorEastAsia" w:cstheme="minorBidi"/>
          <w:sz w:val="22"/>
          <w:szCs w:val="22"/>
          <w:rtl/>
        </w:rPr>
      </w:pPr>
      <w:r>
        <w:rPr>
          <w:rFonts w:hint="cs"/>
          <w:rtl/>
        </w:rPr>
        <w:t>דברי הכס"מ דהראב"ד ס"ל כרש"י דרבין פליג על רב יצחק וקיי"ל כרבין</w:t>
      </w:r>
    </w:p>
    <w:p w:rsidR="009F44AF" w:rsidRDefault="009F44AF" w:rsidP="009F44AF">
      <w:pPr>
        <w:pStyle w:val="aff4"/>
        <w:rPr>
          <w:rFonts w:eastAsiaTheme="minorEastAsia" w:cstheme="minorBidi"/>
          <w:i/>
          <w:iCs/>
          <w:noProof/>
          <w:sz w:val="22"/>
          <w:szCs w:val="22"/>
          <w:rtl/>
        </w:rPr>
      </w:pPr>
      <w:r>
        <w:rPr>
          <w:rFonts w:hint="cs"/>
          <w:noProof/>
          <w:rtl/>
        </w:rPr>
        <w:t>ביאור הפרי תואר ברמב"ם דס"ל כראב"ד בדין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ביאור הפרי תואר ברמב"ם דס"ל כראב"ד דבאינו מינו וכן בשאר איסורים קמא קמא בטיל</w:t>
      </w:r>
    </w:p>
    <w:p w:rsidR="009F44AF" w:rsidRDefault="009F44AF" w:rsidP="009F44AF">
      <w:pPr>
        <w:pStyle w:val="aff2"/>
        <w:numPr>
          <w:ilvl w:val="0"/>
          <w:numId w:val="33"/>
        </w:numPr>
        <w:rPr>
          <w:rFonts w:eastAsiaTheme="minorEastAsia" w:cstheme="minorBidi"/>
          <w:sz w:val="22"/>
          <w:szCs w:val="22"/>
          <w:rtl/>
        </w:rPr>
      </w:pPr>
      <w:r>
        <w:rPr>
          <w:rFonts w:hint="cs"/>
          <w:rtl/>
        </w:rPr>
        <w:t>דברי הפרי תואר דלהרמב"ם דבבטל בפחות משישים חוזר וניעור ובבטל בשישים אין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הפרי תואר דבדבר שאין בו איסור מדאו' ס"ל להרמב"ם דלא אמרינן חוזר וניעור</w:t>
      </w:r>
    </w:p>
    <w:p w:rsidR="009F44AF" w:rsidRDefault="009F44AF" w:rsidP="009F44AF">
      <w:pPr>
        <w:pStyle w:val="aff4"/>
        <w:rPr>
          <w:rFonts w:eastAsiaTheme="minorEastAsia" w:cstheme="minorBidi"/>
          <w:i/>
          <w:iCs/>
          <w:noProof/>
          <w:sz w:val="22"/>
          <w:szCs w:val="22"/>
          <w:rtl/>
        </w:rPr>
      </w:pPr>
      <w:r>
        <w:rPr>
          <w:rFonts w:hint="cs"/>
          <w:noProof/>
          <w:rtl/>
        </w:rPr>
        <w:t>דעת הגר"א והפר"ח דבדאו' חוזר וניעור ובדרבנן אין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דברי הגר"א והפר"ח דבאיסור דאו' אמרינן חוזר וניעור ובאיסור דרבנן אין חוזר וניעור</w:t>
      </w:r>
    </w:p>
    <w:p w:rsidR="009F44AF" w:rsidRDefault="009F44AF" w:rsidP="009F44AF">
      <w:pPr>
        <w:pStyle w:val="2"/>
        <w:rPr>
          <w:rFonts w:eastAsiaTheme="minorEastAsia" w:cstheme="minorBidi"/>
          <w:i/>
          <w:iCs/>
          <w:sz w:val="22"/>
          <w:szCs w:val="22"/>
          <w:rtl/>
        </w:rPr>
      </w:pPr>
      <w:r>
        <w:rPr>
          <w:rFonts w:hint="cs"/>
          <w:rtl/>
        </w:rPr>
        <w:t>ביאורי ראשי הישיבות</w:t>
      </w:r>
    </w:p>
    <w:p w:rsidR="009F44AF" w:rsidRDefault="009F44AF" w:rsidP="009F44AF">
      <w:pPr>
        <w:pStyle w:val="2"/>
        <w:rPr>
          <w:rFonts w:eastAsiaTheme="minorEastAsia" w:cstheme="minorBidi"/>
          <w:i/>
          <w:iCs/>
          <w:sz w:val="22"/>
          <w:szCs w:val="22"/>
          <w:rtl/>
        </w:rPr>
      </w:pPr>
      <w:r>
        <w:rPr>
          <w:rFonts w:hint="cs"/>
          <w:rtl/>
        </w:rPr>
        <w:t>בפלוגתת הראשונים בחוזר וניעור</w:t>
      </w:r>
    </w:p>
    <w:p w:rsidR="009F44AF" w:rsidRDefault="009F44AF" w:rsidP="009F44AF">
      <w:pPr>
        <w:pStyle w:val="aff4"/>
        <w:rPr>
          <w:rFonts w:eastAsiaTheme="minorEastAsia" w:cstheme="minorBidi"/>
          <w:i/>
          <w:iCs/>
          <w:noProof/>
          <w:sz w:val="22"/>
          <w:szCs w:val="22"/>
          <w:rtl/>
        </w:rPr>
      </w:pPr>
      <w:r>
        <w:rPr>
          <w:rFonts w:hint="cs"/>
          <w:noProof/>
          <w:rtl/>
        </w:rPr>
        <w:t>ביאור השער"י ברא"ש דהביטול הוא רק כשיש כח מתיר</w:t>
      </w:r>
    </w:p>
    <w:p w:rsidR="009F44AF" w:rsidRDefault="009F44AF" w:rsidP="009F44AF">
      <w:pPr>
        <w:pStyle w:val="aff2"/>
        <w:numPr>
          <w:ilvl w:val="0"/>
          <w:numId w:val="33"/>
        </w:numPr>
        <w:rPr>
          <w:rFonts w:eastAsiaTheme="minorEastAsia" w:cstheme="minorBidi"/>
          <w:sz w:val="22"/>
          <w:szCs w:val="22"/>
          <w:rtl/>
        </w:rPr>
      </w:pPr>
      <w:r>
        <w:rPr>
          <w:rFonts w:hint="cs"/>
          <w:rtl/>
        </w:rPr>
        <w:t>דברי השער"י דהרא"ש מיקל לענין ביטול יבש ביבש דנהפך להיתר ומחמיר דחוזר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ביאור השער"י ברא"ש דהיתר רוב מהני כל שיש כח היתר ואחר שנוסף איסור אין כח היתר</w:t>
      </w:r>
    </w:p>
    <w:p w:rsidR="009F44AF" w:rsidRDefault="009F44AF" w:rsidP="009F44AF">
      <w:pPr>
        <w:pStyle w:val="aff2"/>
        <w:numPr>
          <w:ilvl w:val="0"/>
          <w:numId w:val="33"/>
        </w:numPr>
        <w:rPr>
          <w:rFonts w:eastAsiaTheme="minorEastAsia" w:cstheme="minorBidi"/>
          <w:sz w:val="22"/>
          <w:szCs w:val="22"/>
          <w:rtl/>
        </w:rPr>
      </w:pPr>
      <w:r>
        <w:rPr>
          <w:rFonts w:hint="cs"/>
          <w:rtl/>
        </w:rPr>
        <w:t>ביאור השער"י ברא"ש דאף שצריך כח מתיר מ"מ מותר בחזר ובישל דא"א לאסור דבר שהותר</w:t>
      </w:r>
    </w:p>
    <w:p w:rsidR="009F44AF" w:rsidRDefault="009F44AF" w:rsidP="009F44AF">
      <w:pPr>
        <w:pStyle w:val="aff4"/>
        <w:rPr>
          <w:rFonts w:eastAsiaTheme="minorEastAsia" w:cstheme="minorBidi"/>
          <w:i/>
          <w:iCs/>
          <w:noProof/>
          <w:sz w:val="22"/>
          <w:szCs w:val="22"/>
          <w:rtl/>
        </w:rPr>
      </w:pPr>
      <w:r>
        <w:rPr>
          <w:rFonts w:hint="cs"/>
          <w:noProof/>
          <w:rtl/>
        </w:rPr>
        <w:t>ביאור השער"י בראב"ד דכל שהאיסור בתערובת נשאר הביטול</w:t>
      </w:r>
    </w:p>
    <w:p w:rsidR="009F44AF" w:rsidRDefault="009F44AF" w:rsidP="009F44AF">
      <w:pPr>
        <w:pStyle w:val="aff2"/>
        <w:numPr>
          <w:ilvl w:val="0"/>
          <w:numId w:val="33"/>
        </w:numPr>
        <w:rPr>
          <w:rFonts w:eastAsiaTheme="minorEastAsia" w:cstheme="minorBidi"/>
          <w:sz w:val="22"/>
          <w:szCs w:val="22"/>
          <w:rtl/>
        </w:rPr>
      </w:pPr>
      <w:r>
        <w:rPr>
          <w:rFonts w:hint="cs"/>
          <w:rtl/>
        </w:rPr>
        <w:t>ביאור השער"י בראב"ד דכל שהאיסור בתערובת נשאר כח הרוב ורק בהוכר האיסור הוא בטל</w:t>
      </w:r>
    </w:p>
    <w:p w:rsidR="009F44AF" w:rsidRDefault="009F44AF" w:rsidP="009F44AF">
      <w:pPr>
        <w:pStyle w:val="aff4"/>
        <w:rPr>
          <w:rFonts w:eastAsiaTheme="minorEastAsia" w:cstheme="minorBidi"/>
          <w:i/>
          <w:iCs/>
          <w:noProof/>
          <w:sz w:val="22"/>
          <w:szCs w:val="22"/>
          <w:rtl/>
        </w:rPr>
      </w:pPr>
      <w:r>
        <w:rPr>
          <w:rFonts w:hint="cs"/>
          <w:noProof/>
          <w:rtl/>
        </w:rPr>
        <w:t>ביאור השער"י ברמב"ן דכשיש טעם חשיב כהוכר האיסור</w:t>
      </w:r>
    </w:p>
    <w:p w:rsidR="009F44AF" w:rsidRDefault="009F44AF" w:rsidP="009F44AF">
      <w:pPr>
        <w:pStyle w:val="aff2"/>
        <w:numPr>
          <w:ilvl w:val="0"/>
          <w:numId w:val="33"/>
        </w:numPr>
        <w:rPr>
          <w:rFonts w:eastAsiaTheme="minorEastAsia" w:cstheme="minorBidi"/>
          <w:sz w:val="22"/>
          <w:szCs w:val="22"/>
          <w:rtl/>
        </w:rPr>
      </w:pPr>
      <w:r>
        <w:rPr>
          <w:rFonts w:hint="cs"/>
          <w:rtl/>
        </w:rPr>
        <w:t>ביאור השער"י ברמב"ן דכשיש טעם חשיב הוכר האיסור וחוזר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ביאור השער"י ברמב"ן דבמין במינו גזרו אטו אינו מינו ובתרומה שאינו גזירה אין חוזר וניעור</w:t>
      </w:r>
    </w:p>
    <w:p w:rsidR="009F44AF" w:rsidRDefault="009F44AF" w:rsidP="009F44AF">
      <w:pPr>
        <w:pStyle w:val="2"/>
        <w:rPr>
          <w:rFonts w:eastAsiaTheme="minorEastAsia" w:cstheme="minorBidi"/>
          <w:i/>
          <w:iCs/>
          <w:sz w:val="22"/>
          <w:szCs w:val="22"/>
          <w:rtl/>
        </w:rPr>
      </w:pPr>
      <w:r>
        <w:rPr>
          <w:rFonts w:hint="cs"/>
          <w:rtl/>
        </w:rPr>
        <w:t>ביסוד דין ביטול וחוזר וניעור</w:t>
      </w:r>
    </w:p>
    <w:p w:rsidR="009F44AF" w:rsidRDefault="009F44AF" w:rsidP="009F44AF">
      <w:pPr>
        <w:pStyle w:val="aff4"/>
        <w:rPr>
          <w:rFonts w:eastAsiaTheme="minorEastAsia" w:cstheme="minorBidi"/>
          <w:i/>
          <w:iCs/>
          <w:noProof/>
          <w:sz w:val="22"/>
          <w:szCs w:val="22"/>
          <w:rtl/>
        </w:rPr>
      </w:pPr>
      <w:r>
        <w:rPr>
          <w:rFonts w:hint="cs"/>
          <w:noProof/>
          <w:rtl/>
        </w:rPr>
        <w:t>חקירת הגרב"ב בגדר ביטול ובביאור דין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הצד בגרב"ב דבכל ביטול בטל שם האיסור וא"כ אף כשהתרבה האיסור אין חוזר וניעור</w:t>
      </w:r>
    </w:p>
    <w:p w:rsidR="009F44AF" w:rsidRDefault="009F44AF" w:rsidP="009F44AF">
      <w:pPr>
        <w:pStyle w:val="aff2"/>
        <w:numPr>
          <w:ilvl w:val="0"/>
          <w:numId w:val="33"/>
        </w:numPr>
        <w:rPr>
          <w:rFonts w:eastAsiaTheme="minorEastAsia" w:cstheme="minorBidi"/>
          <w:sz w:val="22"/>
          <w:szCs w:val="22"/>
          <w:rtl/>
        </w:rPr>
      </w:pPr>
      <w:r>
        <w:rPr>
          <w:rFonts w:hint="cs"/>
          <w:rtl/>
        </w:rPr>
        <w:t>הצד בגרב"ב דבביטול לא בטל שם האיסור ורק כמות האיסור בטלה בהיתר ואמרינן חוזר וניעור</w:t>
      </w:r>
    </w:p>
    <w:p w:rsidR="009F44AF" w:rsidRDefault="009F44AF" w:rsidP="009F44AF">
      <w:pPr>
        <w:pStyle w:val="2"/>
        <w:rPr>
          <w:rFonts w:eastAsiaTheme="minorEastAsia" w:cstheme="minorBidi"/>
          <w:i/>
          <w:iCs/>
          <w:sz w:val="22"/>
          <w:szCs w:val="22"/>
          <w:rtl/>
        </w:rPr>
      </w:pPr>
      <w:r>
        <w:rPr>
          <w:rFonts w:hint="cs"/>
          <w:rtl/>
        </w:rPr>
        <w:t>בסברת הרמב"ן דהיתר לא בטל</w:t>
      </w:r>
    </w:p>
    <w:p w:rsidR="009F44AF" w:rsidRDefault="009F44AF" w:rsidP="009F44AF">
      <w:pPr>
        <w:pStyle w:val="aff4"/>
        <w:rPr>
          <w:rtl/>
        </w:rPr>
      </w:pPr>
      <w:r>
        <w:rPr>
          <w:rFonts w:hint="cs"/>
          <w:rtl/>
        </w:rPr>
        <w:t>ביאור השער"י דמיעוט היתר חשיב רוב באיכות כלפי האיסור</w:t>
      </w:r>
    </w:p>
    <w:p w:rsidR="009F44AF" w:rsidRDefault="009F44AF" w:rsidP="009F44AF">
      <w:pPr>
        <w:pStyle w:val="aff2"/>
        <w:numPr>
          <w:ilvl w:val="0"/>
          <w:numId w:val="33"/>
        </w:numPr>
        <w:rPr>
          <w:rtl/>
        </w:rPr>
      </w:pPr>
      <w:r>
        <w:rPr>
          <w:rFonts w:hint="cs"/>
          <w:rtl/>
        </w:rPr>
        <w:lastRenderedPageBreak/>
        <w:t>ביאור השער"י ברמב"ן דהשימוש במיעוט היתר הוא רוב באיכות יותר מכל הרוב של האיסור</w:t>
      </w:r>
    </w:p>
    <w:p w:rsidR="009F44AF" w:rsidRDefault="009F44AF" w:rsidP="009F44AF">
      <w:pPr>
        <w:pStyle w:val="aff2"/>
        <w:numPr>
          <w:ilvl w:val="0"/>
          <w:numId w:val="33"/>
        </w:numPr>
        <w:rPr>
          <w:rtl/>
        </w:rPr>
      </w:pPr>
      <w:r>
        <w:rPr>
          <w:rFonts w:hint="cs"/>
          <w:rtl/>
        </w:rPr>
        <w:t>דברי השער"י דאם מבטל היתר באיסור ברצון ובכוונה מהני ביטול אף לדעת הרמב"ן</w:t>
      </w:r>
    </w:p>
    <w:p w:rsidR="009F44AF" w:rsidRDefault="009F44AF" w:rsidP="009F44AF">
      <w:pPr>
        <w:pStyle w:val="aff4"/>
        <w:rPr>
          <w:rFonts w:eastAsiaTheme="minorEastAsia" w:cstheme="minorBidi"/>
          <w:i/>
          <w:iCs/>
          <w:noProof/>
          <w:sz w:val="22"/>
          <w:szCs w:val="22"/>
          <w:rtl/>
        </w:rPr>
      </w:pPr>
      <w:r>
        <w:rPr>
          <w:rFonts w:hint="cs"/>
          <w:noProof/>
          <w:rtl/>
        </w:rPr>
        <w:t>ביאור הגרא"י מטעלז דמיעוט שעומד להתרבות אינו בטל ברוב</w:t>
      </w:r>
    </w:p>
    <w:p w:rsidR="009F44AF" w:rsidRDefault="009F44AF" w:rsidP="009F44AF">
      <w:pPr>
        <w:pStyle w:val="aff2"/>
        <w:numPr>
          <w:ilvl w:val="0"/>
          <w:numId w:val="33"/>
        </w:numPr>
        <w:rPr>
          <w:rFonts w:eastAsiaTheme="minorEastAsia" w:cstheme="minorBidi"/>
          <w:sz w:val="22"/>
          <w:szCs w:val="22"/>
          <w:rtl/>
        </w:rPr>
      </w:pPr>
      <w:r>
        <w:rPr>
          <w:rFonts w:hint="cs"/>
          <w:rtl/>
        </w:rPr>
        <w:t>ביאור הגרא"י מטעלז ברמב"ן דמיעוט היתר שמתרבה נשאר דין המיעוט לענין לבסוף כשיתרבה</w:t>
      </w:r>
    </w:p>
    <w:p w:rsidR="009F44AF" w:rsidRDefault="009F44AF" w:rsidP="009F44AF">
      <w:pPr>
        <w:pStyle w:val="2"/>
        <w:rPr>
          <w:rtl/>
        </w:rPr>
      </w:pPr>
      <w:r>
        <w:rPr>
          <w:rFonts w:hint="cs"/>
          <w:rtl/>
        </w:rPr>
        <w:fldChar w:fldCharType="end"/>
      </w:r>
    </w:p>
    <w:p w:rsidR="009F44AF" w:rsidRPr="00A87850" w:rsidRDefault="009F44AF" w:rsidP="009F44AF">
      <w:pPr>
        <w:bidi w:val="0"/>
        <w:ind w:left="0"/>
        <w:jc w:val="left"/>
        <w:rPr>
          <w:rFonts w:eastAsia="Guttman Adii-Light" w:cs="Guttman Adii-Light"/>
          <w:sz w:val="24"/>
          <w:szCs w:val="24"/>
          <w:rtl/>
        </w:rPr>
        <w:sectPr w:rsidR="009F44AF" w:rsidRPr="00A87850">
          <w:type w:val="continuous"/>
          <w:pgSz w:w="11906" w:h="16838"/>
          <w:pgMar w:top="720" w:right="720" w:bottom="720" w:left="720" w:header="283" w:footer="283" w:gutter="0"/>
          <w:cols w:num="2" w:space="113"/>
          <w:bidi/>
          <w:rtlGutter/>
        </w:sectPr>
      </w:pPr>
    </w:p>
    <w:p w:rsidR="009F44AF" w:rsidRDefault="009F44AF" w:rsidP="009F44AF">
      <w:pPr>
        <w:pStyle w:val="afd"/>
        <w:rPr>
          <w:rtl/>
        </w:rPr>
      </w:pPr>
      <w:bookmarkStart w:id="15804" w:name="_Toc26783947"/>
      <w:bookmarkStart w:id="15805" w:name="_Toc26781240"/>
      <w:bookmarkStart w:id="15806" w:name="_Toc26777031"/>
      <w:bookmarkStart w:id="15807" w:name="_Toc26742648"/>
      <w:bookmarkStart w:id="15808" w:name="_Toc26725986"/>
      <w:bookmarkStart w:id="15809" w:name="_Toc26702312"/>
      <w:bookmarkStart w:id="15810" w:name="_Toc26523357"/>
      <w:bookmarkStart w:id="15811" w:name="_Toc26477478"/>
      <w:bookmarkStart w:id="15812" w:name="_Toc26477353"/>
      <w:bookmarkStart w:id="15813" w:name="_Toc26442657"/>
      <w:bookmarkStart w:id="15814" w:name="_Toc26218276"/>
      <w:bookmarkStart w:id="15815" w:name="_Toc25699938"/>
      <w:r>
        <w:rPr>
          <w:rFonts w:hint="cs"/>
          <w:rtl/>
        </w:rPr>
        <w:lastRenderedPageBreak/>
        <w:t>מראי מקומות וביאורים</w:t>
      </w:r>
      <w:bookmarkEnd w:id="15804"/>
      <w:bookmarkEnd w:id="15805"/>
      <w:bookmarkEnd w:id="15806"/>
      <w:bookmarkEnd w:id="15807"/>
      <w:bookmarkEnd w:id="15808"/>
      <w:bookmarkEnd w:id="15809"/>
      <w:bookmarkEnd w:id="15810"/>
      <w:bookmarkEnd w:id="15811"/>
      <w:bookmarkEnd w:id="15812"/>
      <w:bookmarkEnd w:id="15813"/>
      <w:bookmarkEnd w:id="15814"/>
      <w:bookmarkEnd w:id="15815"/>
    </w:p>
    <w:p w:rsidR="009F44AF" w:rsidRDefault="009F44AF" w:rsidP="009F44AF">
      <w:pPr>
        <w:bidi w:val="0"/>
        <w:ind w:left="0"/>
        <w:jc w:val="left"/>
        <w:rPr>
          <w:rFonts w:ascii="Guttman Adii-Light" w:eastAsia="Guttman Adii-Light" w:hAnsi="Guttman Adii-Light" w:cs="Guttman Adii-Light"/>
          <w:sz w:val="24"/>
          <w:szCs w:val="24"/>
          <w:rtl/>
        </w:rPr>
        <w:sectPr w:rsidR="009F44AF" w:rsidSect="00D246C7">
          <w:pgSz w:w="11906" w:h="16838"/>
          <w:pgMar w:top="720" w:right="720" w:bottom="720" w:left="720" w:header="283" w:footer="283" w:gutter="0"/>
          <w:cols w:space="720"/>
          <w:bidi/>
          <w:rtlGutter/>
        </w:sectPr>
      </w:pPr>
    </w:p>
    <w:p w:rsidR="009F44AF" w:rsidRDefault="009F44AF" w:rsidP="009F44AF">
      <w:pPr>
        <w:pStyle w:val="afd"/>
        <w:rPr>
          <w:rtl/>
        </w:rPr>
      </w:pPr>
      <w:bookmarkStart w:id="15816" w:name="_Toc26218277"/>
      <w:bookmarkStart w:id="15817" w:name="_Toc25699939"/>
      <w:bookmarkStart w:id="15818" w:name="_Toc26783948"/>
      <w:bookmarkStart w:id="15819" w:name="_Toc26781241"/>
      <w:bookmarkStart w:id="15820" w:name="_Toc26777032"/>
      <w:bookmarkStart w:id="15821" w:name="_Toc26742649"/>
      <w:bookmarkStart w:id="15822" w:name="_Toc26725987"/>
      <w:bookmarkStart w:id="15823" w:name="_Toc26702332"/>
      <w:bookmarkStart w:id="15824" w:name="_Toc26523377"/>
      <w:bookmarkStart w:id="15825" w:name="_Toc26477498"/>
      <w:bookmarkStart w:id="15826" w:name="_Toc26477373"/>
      <w:bookmarkStart w:id="15827" w:name="_Toc26442677"/>
      <w:r>
        <w:rPr>
          <w:rFonts w:hint="cs"/>
          <w:rtl/>
        </w:rPr>
        <w:t>דברי רש"י</w:t>
      </w:r>
      <w:bookmarkEnd w:id="15816"/>
      <w:bookmarkEnd w:id="15817"/>
      <w:r>
        <w:rPr>
          <w:rFonts w:hint="cs"/>
          <w:rtl/>
        </w:rPr>
        <w:t xml:space="preserve"> בדין קמא קמא בטיל</w:t>
      </w:r>
      <w:bookmarkEnd w:id="15818"/>
      <w:bookmarkEnd w:id="15819"/>
      <w:bookmarkEnd w:id="15820"/>
      <w:bookmarkEnd w:id="15821"/>
      <w:bookmarkEnd w:id="15822"/>
      <w:bookmarkEnd w:id="15823"/>
      <w:bookmarkEnd w:id="15824"/>
      <w:bookmarkEnd w:id="15825"/>
      <w:bookmarkEnd w:id="15826"/>
      <w:bookmarkEnd w:id="15827"/>
    </w:p>
    <w:p w:rsidR="009F44AF" w:rsidRDefault="009F44AF" w:rsidP="0098721B">
      <w:pPr>
        <w:pStyle w:val="1"/>
        <w:rPr>
          <w:rtl/>
        </w:rPr>
      </w:pPr>
      <w:bookmarkStart w:id="15828" w:name="_Toc26781242"/>
      <w:bookmarkStart w:id="15829" w:name="_Toc26777033"/>
      <w:bookmarkStart w:id="15830" w:name="_Toc26742650"/>
      <w:bookmarkStart w:id="15831" w:name="_Toc26725988"/>
      <w:bookmarkStart w:id="15832" w:name="_Toc26702333"/>
      <w:bookmarkStart w:id="15833" w:name="_Toc26523378"/>
      <w:bookmarkStart w:id="15834" w:name="_Toc26477499"/>
      <w:bookmarkStart w:id="15835" w:name="_Toc26477374"/>
      <w:bookmarkStart w:id="15836" w:name="_Toc26442678"/>
      <w:bookmarkStart w:id="15837" w:name="_Toc26783949"/>
      <w:r>
        <w:rPr>
          <w:rFonts w:hint="cs"/>
          <w:rtl/>
        </w:rPr>
        <w:t>דברי רש"י</w:t>
      </w:r>
      <w:bookmarkEnd w:id="15828"/>
      <w:bookmarkEnd w:id="15829"/>
      <w:bookmarkEnd w:id="15830"/>
      <w:bookmarkEnd w:id="15831"/>
      <w:bookmarkEnd w:id="15832"/>
      <w:bookmarkEnd w:id="15833"/>
      <w:bookmarkEnd w:id="15834"/>
      <w:bookmarkEnd w:id="15835"/>
      <w:bookmarkEnd w:id="15836"/>
      <w:r>
        <w:rPr>
          <w:rFonts w:hint="cs"/>
          <w:rtl/>
        </w:rPr>
        <w:t xml:space="preserve"> בדעת רב דימי בנפל בב"א ובזאח"ז</w:t>
      </w:r>
      <w:bookmarkEnd w:id="15837"/>
    </w:p>
    <w:p w:rsidR="009F44AF" w:rsidRDefault="009F44AF" w:rsidP="009F44AF">
      <w:pPr>
        <w:pStyle w:val="a2"/>
        <w:rPr>
          <w:rtl/>
        </w:rPr>
      </w:pPr>
      <w:bookmarkStart w:id="15838" w:name="_Toc26783950"/>
      <w:bookmarkStart w:id="15839" w:name="_Toc26781243"/>
      <w:bookmarkStart w:id="15840" w:name="_Toc26777034"/>
      <w:bookmarkStart w:id="15841" w:name="_Toc26742651"/>
      <w:bookmarkStart w:id="15842" w:name="_Toc26725989"/>
      <w:bookmarkStart w:id="15843" w:name="_Toc26702334"/>
      <w:bookmarkStart w:id="15844" w:name="_Toc26523379"/>
      <w:bookmarkStart w:id="15845" w:name="_Toc26477500"/>
      <w:bookmarkStart w:id="15846" w:name="_Toc26477375"/>
      <w:bookmarkStart w:id="15847" w:name="_Toc26442679"/>
      <w:r>
        <w:rPr>
          <w:rFonts w:hint="cs"/>
          <w:rtl/>
        </w:rPr>
        <w:t>דברי רש"י דביין שנפל בבת אחת מודה רב דימי דלא אמרינן קמא קמא בטיל</w:t>
      </w:r>
      <w:bookmarkEnd w:id="15838"/>
      <w:bookmarkEnd w:id="15839"/>
      <w:bookmarkEnd w:id="15840"/>
      <w:bookmarkEnd w:id="15841"/>
      <w:bookmarkEnd w:id="15842"/>
      <w:bookmarkEnd w:id="15843"/>
      <w:bookmarkEnd w:id="15844"/>
      <w:bookmarkEnd w:id="15845"/>
      <w:bookmarkEnd w:id="15846"/>
      <w:bookmarkEnd w:id="15847"/>
    </w:p>
    <w:p w:rsidR="009F44AF" w:rsidRDefault="009F44AF" w:rsidP="00A616FB">
      <w:pPr>
        <w:pStyle w:val="a"/>
        <w:numPr>
          <w:ilvl w:val="0"/>
          <w:numId w:val="40"/>
        </w:numPr>
        <w:rPr>
          <w:rtl/>
        </w:rPr>
      </w:pPr>
      <w:bookmarkStart w:id="15848" w:name="_Ref26719061"/>
      <w:r>
        <w:rPr>
          <w:rFonts w:hint="cs"/>
          <w:rtl/>
        </w:rPr>
        <w:t xml:space="preserve">בדברי רב דימי דאמר דיין נסך שנפל לבור, דאמרינן דקמא קמא בטיל, כתב </w:t>
      </w:r>
      <w:r>
        <w:rPr>
          <w:rStyle w:val="af8"/>
          <w:rtl/>
        </w:rPr>
        <w:t xml:space="preserve">רש"י </w:t>
      </w:r>
      <w:r w:rsidRPr="009F44AF">
        <w:rPr>
          <w:rStyle w:val="af6"/>
          <w:rFonts w:eastAsia="Guttman Hodes" w:hint="cs"/>
          <w:rtl/>
        </w:rPr>
        <w:t xml:space="preserve">(עג. ד"ה ראשון) </w:t>
      </w:r>
      <w:r>
        <w:rPr>
          <w:rFonts w:hint="cs"/>
          <w:rtl/>
        </w:rPr>
        <w:t xml:space="preserve">דהיין הראשון הראשון מתבטל ביין הכשר שבבור, ומותר היין בהנאה, </w:t>
      </w:r>
      <w:bookmarkStart w:id="15849" w:name="_Ref25830988"/>
      <w:r>
        <w:rPr>
          <w:rFonts w:hint="cs"/>
          <w:rtl/>
        </w:rPr>
        <w:t xml:space="preserve">והוסיף </w:t>
      </w:r>
      <w:r>
        <w:rPr>
          <w:rStyle w:val="af8"/>
          <w:rtl/>
        </w:rPr>
        <w:t xml:space="preserve">רש"י </w:t>
      </w:r>
      <w:r>
        <w:rPr>
          <w:rFonts w:hint="cs"/>
          <w:rtl/>
        </w:rPr>
        <w:t xml:space="preserve">דהא דתנן לקמן </w:t>
      </w:r>
      <w:r w:rsidRPr="009F44AF">
        <w:rPr>
          <w:rStyle w:val="af6"/>
          <w:rFonts w:eastAsia="Guttman Hodes" w:hint="cs"/>
          <w:rtl/>
        </w:rPr>
        <w:t xml:space="preserve">(עד.) </w:t>
      </w:r>
      <w:r>
        <w:rPr>
          <w:rFonts w:hint="cs"/>
          <w:rtl/>
        </w:rPr>
        <w:t xml:space="preserve">דיין נסך שנפל לבור כולו אסור, ס"ל לרב דימי דאיירי בחבית גדולה שנשברה, ונפל כל היין בבת אחת לבור, ולכן כולו אסור ולא אמרינן דקמא קמא בטיל, ועי' במ"ש </w:t>
      </w:r>
      <w:r>
        <w:rPr>
          <w:rStyle w:val="af8"/>
          <w:rtl/>
        </w:rPr>
        <w:t>הרמב"ן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Ref26718730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ז</w:t>
      </w:r>
      <w:r w:rsidR="004D1C5B">
        <w:rPr>
          <w:rStyle w:val="af6"/>
          <w:rFonts w:eastAsia="Guttman Hodes"/>
          <w:rtl/>
        </w:rPr>
        <w:t>)</w:t>
      </w:r>
      <w:r>
        <w:rPr>
          <w:rFonts w:hint="cs"/>
          <w:rtl/>
        </w:rPr>
        <w:fldChar w:fldCharType="end"/>
      </w:r>
      <w:r>
        <w:rPr>
          <w:rFonts w:hint="cs"/>
          <w:rtl/>
        </w:rPr>
        <w:t xml:space="preserve"> בדברי </w:t>
      </w:r>
      <w:r>
        <w:rPr>
          <w:rStyle w:val="af8"/>
          <w:rtl/>
        </w:rPr>
        <w:t>רש"י</w:t>
      </w:r>
      <w:r>
        <w:rPr>
          <w:rFonts w:hint="cs"/>
          <w:rtl/>
        </w:rPr>
        <w:t>.</w:t>
      </w:r>
      <w:bookmarkEnd w:id="15848"/>
    </w:p>
    <w:p w:rsidR="009F44AF" w:rsidRDefault="009F44AF" w:rsidP="009F44AF">
      <w:pPr>
        <w:pStyle w:val="a2"/>
      </w:pPr>
      <w:bookmarkStart w:id="15850" w:name="_Toc26783951"/>
      <w:bookmarkStart w:id="15851" w:name="_Toc26781244"/>
      <w:bookmarkStart w:id="15852" w:name="_Toc26777035"/>
      <w:bookmarkStart w:id="15853" w:name="_Toc26742652"/>
      <w:bookmarkStart w:id="15854" w:name="_Toc26725990"/>
      <w:bookmarkStart w:id="15855" w:name="_Toc26702335"/>
      <w:bookmarkStart w:id="15856" w:name="_Toc26523380"/>
      <w:bookmarkStart w:id="15857" w:name="_Toc26477501"/>
      <w:bookmarkStart w:id="15858" w:name="_Toc26477376"/>
      <w:bookmarkStart w:id="15859" w:name="_Toc26442680"/>
      <w:bookmarkEnd w:id="15849"/>
      <w:r>
        <w:rPr>
          <w:rFonts w:hint="cs"/>
          <w:rtl/>
        </w:rPr>
        <w:t>דברי רש"י דבהיתר שנפל לאיסור אמרינן קמא קמא בטיל כשיש רוב בהיתר כנגד האיסור</w:t>
      </w:r>
      <w:bookmarkEnd w:id="15850"/>
      <w:bookmarkEnd w:id="15851"/>
      <w:bookmarkEnd w:id="15852"/>
      <w:bookmarkEnd w:id="15853"/>
      <w:bookmarkEnd w:id="15854"/>
      <w:bookmarkEnd w:id="15855"/>
      <w:bookmarkEnd w:id="15856"/>
      <w:bookmarkEnd w:id="15857"/>
      <w:bookmarkEnd w:id="15858"/>
      <w:bookmarkEnd w:id="15859"/>
    </w:p>
    <w:p w:rsidR="009F44AF" w:rsidRDefault="009F44AF" w:rsidP="00B8189A">
      <w:pPr>
        <w:pStyle w:val="a"/>
        <w:numPr>
          <w:ilvl w:val="0"/>
          <w:numId w:val="17"/>
        </w:numPr>
        <w:rPr>
          <w:rStyle w:val="afa"/>
          <w:rtl/>
        </w:rPr>
      </w:pPr>
      <w:bookmarkStart w:id="15860" w:name="_Ref26698683"/>
      <w:bookmarkStart w:id="15861" w:name="_Ref26719030"/>
      <w:r>
        <w:rPr>
          <w:rFonts w:hint="cs"/>
          <w:rtl/>
        </w:rPr>
        <w:t xml:space="preserve">ובתירוץ הגמ' דלרב דימי הא דתנן במתני' דיין נסך אוסר בכל שהוא, לא איירי באיסור שנפל לתוך היתר, אלא בהיתר שנפל לתוך איסור, ביאר </w:t>
      </w:r>
      <w:r>
        <w:rPr>
          <w:rStyle w:val="af8"/>
          <w:rtl/>
        </w:rPr>
        <w:t xml:space="preserve">רש"י </w:t>
      </w:r>
      <w:r w:rsidRPr="009F44AF">
        <w:rPr>
          <w:rStyle w:val="af6"/>
          <w:rFonts w:eastAsia="Guttman Hodes" w:hint="cs"/>
          <w:rtl/>
        </w:rPr>
        <w:t>(עג. ד"ה לגו, ד"ה היתירא)</w:t>
      </w:r>
      <w:r>
        <w:rPr>
          <w:rFonts w:hint="cs"/>
          <w:rtl/>
        </w:rPr>
        <w:t xml:space="preserve"> דאיסור שנפל לתוך היתר, אמרינן דקמא קמא בטיל ברוב ההיתר שבבור, </w:t>
      </w:r>
      <w:r w:rsidR="00B8189A">
        <w:rPr>
          <w:rStyle w:val="afa"/>
          <w:rtl/>
        </w:rPr>
        <w:t xml:space="preserve">[ועי' במ"ש </w:t>
      </w:r>
      <w:r w:rsidR="00B8189A">
        <w:rPr>
          <w:rStyle w:val="affa"/>
          <w:rtl/>
        </w:rPr>
        <w:t>התוס'</w:t>
      </w:r>
      <w:r w:rsidR="00B8189A">
        <w:rPr>
          <w:rStyle w:val="afa"/>
          <w:rtl/>
        </w:rPr>
        <w:t xml:space="preserve"> </w:t>
      </w:r>
      <w:r w:rsidR="00B8189A">
        <w:rPr>
          <w:rStyle w:val="aff6"/>
          <w:rtl/>
        </w:rPr>
        <w:t xml:space="preserve">(עי' אות </w:t>
      </w:r>
      <w:r w:rsidR="00B8189A">
        <w:rPr>
          <w:rFonts w:hint="cs"/>
          <w:rtl/>
        </w:rPr>
        <w:fldChar w:fldCharType="begin"/>
      </w:r>
      <w:r w:rsidR="00B8189A">
        <w:rPr>
          <w:rStyle w:val="aff6"/>
          <w:rtl/>
        </w:rPr>
        <w:instrText xml:space="preserve"> </w:instrText>
      </w:r>
      <w:r w:rsidR="00B8189A">
        <w:rPr>
          <w:rStyle w:val="aff6"/>
        </w:rPr>
        <w:instrText>REF</w:instrText>
      </w:r>
      <w:r w:rsidR="00B8189A">
        <w:rPr>
          <w:rStyle w:val="aff6"/>
          <w:rtl/>
        </w:rPr>
        <w:instrText xml:space="preserve"> _</w:instrText>
      </w:r>
      <w:r w:rsidR="00B8189A">
        <w:rPr>
          <w:rStyle w:val="aff6"/>
        </w:rPr>
        <w:instrText>Ref26718889 \r \h</w:instrText>
      </w:r>
      <w:r w:rsidR="00B8189A">
        <w:rPr>
          <w:rStyle w:val="aff6"/>
          <w:rtl/>
        </w:rPr>
        <w:instrText xml:space="preserve"> </w:instrText>
      </w:r>
      <w:r w:rsidR="00B8189A">
        <w:rPr>
          <w:rFonts w:hint="cs"/>
          <w:rtl/>
        </w:rPr>
      </w:r>
      <w:r w:rsidR="00B8189A">
        <w:rPr>
          <w:rFonts w:hint="cs"/>
          <w:rtl/>
        </w:rPr>
        <w:fldChar w:fldCharType="separate"/>
      </w:r>
      <w:r w:rsidR="00B8189A">
        <w:rPr>
          <w:rStyle w:val="aff6"/>
          <w:cs/>
        </w:rPr>
        <w:t>‎</w:t>
      </w:r>
      <w:r w:rsidR="00B8189A">
        <w:rPr>
          <w:rStyle w:val="aff6"/>
          <w:rtl/>
        </w:rPr>
        <w:t>ה)</w:t>
      </w:r>
      <w:r w:rsidR="00B8189A">
        <w:rPr>
          <w:rFonts w:hint="cs"/>
          <w:rtl/>
        </w:rPr>
        <w:fldChar w:fldCharType="end"/>
      </w:r>
      <w:r w:rsidR="00B8189A">
        <w:rPr>
          <w:rStyle w:val="afa"/>
          <w:rtl/>
        </w:rPr>
        <w:t xml:space="preserve"> </w:t>
      </w:r>
      <w:r w:rsidR="00B8189A">
        <w:rPr>
          <w:rStyle w:val="affa"/>
          <w:rtl/>
        </w:rPr>
        <w:t>והרמב"ן</w:t>
      </w:r>
      <w:r w:rsidR="00B8189A">
        <w:rPr>
          <w:rStyle w:val="afa"/>
          <w:rtl/>
        </w:rPr>
        <w:t xml:space="preserve"> </w:t>
      </w:r>
      <w:r w:rsidR="00B8189A">
        <w:rPr>
          <w:rStyle w:val="aff6"/>
          <w:rtl/>
        </w:rPr>
        <w:t xml:space="preserve">(עי' אות </w:t>
      </w:r>
      <w:r w:rsidR="00B8189A">
        <w:rPr>
          <w:rFonts w:hint="cs"/>
          <w:rtl/>
        </w:rPr>
        <w:fldChar w:fldCharType="begin"/>
      </w:r>
      <w:r w:rsidR="00B8189A">
        <w:rPr>
          <w:rStyle w:val="aff6"/>
          <w:rtl/>
        </w:rPr>
        <w:instrText xml:space="preserve"> </w:instrText>
      </w:r>
      <w:r w:rsidR="00B8189A">
        <w:rPr>
          <w:rStyle w:val="aff6"/>
        </w:rPr>
        <w:instrText>REF</w:instrText>
      </w:r>
      <w:r w:rsidR="00B8189A">
        <w:rPr>
          <w:rStyle w:val="aff6"/>
          <w:rtl/>
        </w:rPr>
        <w:instrText xml:space="preserve"> _</w:instrText>
      </w:r>
      <w:r w:rsidR="00B8189A">
        <w:rPr>
          <w:rStyle w:val="aff6"/>
        </w:rPr>
        <w:instrText>Ref26718895 \r \h</w:instrText>
      </w:r>
      <w:r w:rsidR="00B8189A">
        <w:rPr>
          <w:rStyle w:val="aff6"/>
          <w:rtl/>
        </w:rPr>
        <w:instrText xml:space="preserve"> </w:instrText>
      </w:r>
      <w:r w:rsidR="00B8189A">
        <w:rPr>
          <w:rFonts w:hint="cs"/>
          <w:rtl/>
        </w:rPr>
      </w:r>
      <w:r w:rsidR="00B8189A">
        <w:rPr>
          <w:rFonts w:hint="cs"/>
          <w:rtl/>
        </w:rPr>
        <w:fldChar w:fldCharType="separate"/>
      </w:r>
      <w:r w:rsidR="00B8189A">
        <w:rPr>
          <w:rStyle w:val="aff6"/>
          <w:cs/>
        </w:rPr>
        <w:t>‎</w:t>
      </w:r>
      <w:r w:rsidR="00B8189A">
        <w:rPr>
          <w:rStyle w:val="aff6"/>
          <w:rtl/>
        </w:rPr>
        <w:t>ו)</w:t>
      </w:r>
      <w:r w:rsidR="00B8189A">
        <w:rPr>
          <w:rFonts w:hint="cs"/>
          <w:rtl/>
        </w:rPr>
        <w:fldChar w:fldCharType="end"/>
      </w:r>
      <w:r w:rsidR="00B8189A">
        <w:rPr>
          <w:rStyle w:val="afa"/>
          <w:rtl/>
        </w:rPr>
        <w:t xml:space="preserve"> </w:t>
      </w:r>
      <w:r w:rsidR="00B8189A">
        <w:rPr>
          <w:rStyle w:val="affa"/>
          <w:rtl/>
        </w:rPr>
        <w:t>דלרש"י</w:t>
      </w:r>
      <w:r w:rsidR="00B8189A">
        <w:rPr>
          <w:rStyle w:val="afa"/>
          <w:rtl/>
        </w:rPr>
        <w:t xml:space="preserve"> א</w:t>
      </w:r>
      <w:r w:rsidR="00B8189A">
        <w:rPr>
          <w:rStyle w:val="afa"/>
          <w:rFonts w:hint="cs"/>
          <w:rtl/>
        </w:rPr>
        <w:t>ף</w:t>
      </w:r>
      <w:r w:rsidR="00B8189A">
        <w:rPr>
          <w:rStyle w:val="afa"/>
          <w:rtl/>
        </w:rPr>
        <w:t xml:space="preserve"> בפחות משישים אמרינן דקמא קמא בטיל, ובמה שביאר </w:t>
      </w:r>
      <w:r w:rsidR="00B8189A">
        <w:rPr>
          <w:rStyle w:val="affa"/>
          <w:rtl/>
        </w:rPr>
        <w:t>הרמב"ן</w:t>
      </w:r>
      <w:r w:rsidR="00B8189A">
        <w:rPr>
          <w:rStyle w:val="afa"/>
          <w:rtl/>
        </w:rPr>
        <w:t xml:space="preserve"> </w:t>
      </w:r>
      <w:r w:rsidR="00B8189A">
        <w:rPr>
          <w:rStyle w:val="aff6"/>
          <w:rtl/>
        </w:rPr>
        <w:t xml:space="preserve">(עי' אות </w:t>
      </w:r>
      <w:r w:rsidR="00B8189A">
        <w:rPr>
          <w:rFonts w:hint="cs"/>
          <w:rtl/>
        </w:rPr>
        <w:fldChar w:fldCharType="begin"/>
      </w:r>
      <w:r w:rsidR="00B8189A">
        <w:rPr>
          <w:rStyle w:val="aff6"/>
          <w:rtl/>
        </w:rPr>
        <w:instrText xml:space="preserve"> </w:instrText>
      </w:r>
      <w:r w:rsidR="00B8189A">
        <w:rPr>
          <w:rStyle w:val="aff6"/>
        </w:rPr>
        <w:instrText>REF</w:instrText>
      </w:r>
      <w:r w:rsidR="00B8189A">
        <w:rPr>
          <w:rStyle w:val="aff6"/>
          <w:rtl/>
        </w:rPr>
        <w:instrText xml:space="preserve"> _</w:instrText>
      </w:r>
      <w:r w:rsidR="00B8189A">
        <w:rPr>
          <w:rStyle w:val="aff6"/>
        </w:rPr>
        <w:instrText>Ref26718730 \r \h</w:instrText>
      </w:r>
      <w:r w:rsidR="00B8189A">
        <w:rPr>
          <w:rStyle w:val="aff6"/>
          <w:rtl/>
        </w:rPr>
        <w:instrText xml:space="preserve"> </w:instrText>
      </w:r>
      <w:r w:rsidR="00B8189A">
        <w:rPr>
          <w:rFonts w:hint="cs"/>
          <w:rtl/>
        </w:rPr>
      </w:r>
      <w:r w:rsidR="00B8189A">
        <w:rPr>
          <w:rFonts w:hint="cs"/>
          <w:rtl/>
        </w:rPr>
        <w:fldChar w:fldCharType="separate"/>
      </w:r>
      <w:r w:rsidR="00B8189A">
        <w:rPr>
          <w:rStyle w:val="aff6"/>
          <w:cs/>
        </w:rPr>
        <w:t>‎</w:t>
      </w:r>
      <w:r w:rsidR="00B8189A">
        <w:rPr>
          <w:rStyle w:val="aff6"/>
          <w:rtl/>
        </w:rPr>
        <w:t>ז)</w:t>
      </w:r>
      <w:r w:rsidR="00B8189A">
        <w:rPr>
          <w:rFonts w:hint="cs"/>
          <w:rtl/>
        </w:rPr>
        <w:fldChar w:fldCharType="end"/>
      </w:r>
      <w:r w:rsidR="00B8189A">
        <w:rPr>
          <w:rStyle w:val="afa"/>
          <w:rtl/>
        </w:rPr>
        <w:t xml:space="preserve"> בדעת </w:t>
      </w:r>
      <w:r w:rsidR="00B8189A">
        <w:rPr>
          <w:rStyle w:val="affa"/>
          <w:rtl/>
        </w:rPr>
        <w:t>רש"י</w:t>
      </w:r>
      <w:r w:rsidR="00B8189A">
        <w:rPr>
          <w:rStyle w:val="afa"/>
          <w:rtl/>
        </w:rPr>
        <w:t xml:space="preserve"> דרק כשנפל בבת אחת כשיעור היין שבבור אין ביטול, ובמה שביאר </w:t>
      </w:r>
      <w:r w:rsidR="00B8189A">
        <w:rPr>
          <w:rStyle w:val="affa"/>
          <w:rtl/>
        </w:rPr>
        <w:t>הר"ן</w:t>
      </w:r>
      <w:r w:rsidR="00B8189A">
        <w:rPr>
          <w:rStyle w:val="afa"/>
          <w:rtl/>
        </w:rPr>
        <w:t xml:space="preserve"> </w:t>
      </w:r>
      <w:r w:rsidR="00B8189A">
        <w:rPr>
          <w:rStyle w:val="aff6"/>
          <w:rtl/>
        </w:rPr>
        <w:t xml:space="preserve">(עי' אות </w:t>
      </w:r>
      <w:r w:rsidR="00B8189A">
        <w:rPr>
          <w:rFonts w:hint="cs"/>
          <w:rtl/>
        </w:rPr>
        <w:fldChar w:fldCharType="begin"/>
      </w:r>
      <w:r w:rsidR="00B8189A">
        <w:rPr>
          <w:rStyle w:val="aff6"/>
          <w:rtl/>
        </w:rPr>
        <w:instrText xml:space="preserve"> </w:instrText>
      </w:r>
      <w:r w:rsidR="00B8189A">
        <w:rPr>
          <w:rStyle w:val="aff6"/>
        </w:rPr>
        <w:instrText>REF</w:instrText>
      </w:r>
      <w:r w:rsidR="00B8189A">
        <w:rPr>
          <w:rStyle w:val="aff6"/>
          <w:rtl/>
        </w:rPr>
        <w:instrText xml:space="preserve"> _</w:instrText>
      </w:r>
      <w:r w:rsidR="00B8189A">
        <w:rPr>
          <w:rStyle w:val="aff6"/>
        </w:rPr>
        <w:instrText>Ref26718912 \r \h</w:instrText>
      </w:r>
      <w:r w:rsidR="00B8189A">
        <w:rPr>
          <w:rStyle w:val="aff6"/>
          <w:rtl/>
        </w:rPr>
        <w:instrText xml:space="preserve"> </w:instrText>
      </w:r>
      <w:r w:rsidR="00B8189A">
        <w:rPr>
          <w:rFonts w:hint="cs"/>
          <w:rtl/>
        </w:rPr>
      </w:r>
      <w:r w:rsidR="00B8189A">
        <w:rPr>
          <w:rFonts w:hint="cs"/>
          <w:rtl/>
        </w:rPr>
        <w:fldChar w:fldCharType="separate"/>
      </w:r>
      <w:r w:rsidR="00B8189A">
        <w:rPr>
          <w:rStyle w:val="aff6"/>
          <w:cs/>
        </w:rPr>
        <w:t>‎</w:t>
      </w:r>
      <w:r w:rsidR="00B8189A">
        <w:rPr>
          <w:rStyle w:val="aff6"/>
          <w:rtl/>
        </w:rPr>
        <w:t>י)</w:t>
      </w:r>
      <w:r w:rsidR="00B8189A">
        <w:rPr>
          <w:rFonts w:hint="cs"/>
          <w:rtl/>
        </w:rPr>
        <w:fldChar w:fldCharType="end"/>
      </w:r>
      <w:r w:rsidR="00B8189A">
        <w:rPr>
          <w:rStyle w:val="afa"/>
          <w:rtl/>
        </w:rPr>
        <w:t xml:space="preserve"> בדעת </w:t>
      </w:r>
      <w:r w:rsidR="00B8189A">
        <w:rPr>
          <w:rStyle w:val="affa"/>
          <w:rtl/>
        </w:rPr>
        <w:t>רש"י</w:t>
      </w:r>
      <w:r w:rsidR="00B8189A">
        <w:rPr>
          <w:rStyle w:val="afa"/>
          <w:rtl/>
        </w:rPr>
        <w:t xml:space="preserve"> דכשנפל בבת אחת פחות מכדי נתינת טעם אין ביטול]</w:t>
      </w:r>
      <w:r w:rsidR="00B8189A">
        <w:rPr>
          <w:rStyle w:val="afa"/>
          <w:rFonts w:hint="cs"/>
          <w:rtl/>
        </w:rPr>
        <w:t>,</w:t>
      </w:r>
      <w:r w:rsidR="00B8189A">
        <w:rPr>
          <w:rFonts w:hint="cs"/>
          <w:rtl/>
        </w:rPr>
        <w:t xml:space="preserve"> </w:t>
      </w:r>
      <w:r>
        <w:rPr>
          <w:rFonts w:hint="cs"/>
          <w:rtl/>
        </w:rPr>
        <w:t>אבל היתר שנפל לתוך איסור, הוא אוסר בכל שהוא, כיון דאמרינן דקמא קמא בהיתר מתבטל באיסור שנפל לתוכו</w:t>
      </w:r>
      <w:bookmarkEnd w:id="15860"/>
      <w:r>
        <w:rPr>
          <w:rFonts w:hint="cs"/>
          <w:rtl/>
        </w:rPr>
        <w:t xml:space="preserve">. </w:t>
      </w:r>
      <w:bookmarkEnd w:id="15861"/>
    </w:p>
    <w:p w:rsidR="009F44AF" w:rsidRDefault="009F44AF" w:rsidP="009F44AF">
      <w:pPr>
        <w:pStyle w:val="a2"/>
        <w:rPr>
          <w:rtl/>
        </w:rPr>
      </w:pPr>
      <w:bookmarkStart w:id="15862" w:name="_Toc26783952"/>
      <w:bookmarkStart w:id="15863" w:name="_Toc26781245"/>
      <w:bookmarkStart w:id="15864" w:name="_Toc26777036"/>
      <w:bookmarkStart w:id="15865" w:name="_Toc26742653"/>
      <w:bookmarkStart w:id="15866" w:name="_Toc26725991"/>
      <w:bookmarkStart w:id="15867" w:name="_Toc26702336"/>
      <w:bookmarkStart w:id="15868" w:name="_Toc26523381"/>
      <w:bookmarkStart w:id="15869" w:name="_Toc26477503"/>
      <w:bookmarkStart w:id="15870" w:name="_Toc26477378"/>
      <w:bookmarkStart w:id="15871" w:name="_Toc26442682"/>
      <w:r>
        <w:rPr>
          <w:rFonts w:hint="cs"/>
          <w:rtl/>
        </w:rPr>
        <w:t>דברי רש"י דביין שנפל למים אסורים דרק בנפל היין בבת אחת וביטל את טעם המים מותר</w:t>
      </w:r>
      <w:bookmarkEnd w:id="15862"/>
      <w:bookmarkEnd w:id="15863"/>
      <w:bookmarkEnd w:id="15864"/>
      <w:bookmarkEnd w:id="15865"/>
      <w:bookmarkEnd w:id="15866"/>
      <w:bookmarkEnd w:id="15867"/>
      <w:bookmarkEnd w:id="15868"/>
      <w:bookmarkEnd w:id="15869"/>
      <w:bookmarkEnd w:id="15870"/>
      <w:bookmarkEnd w:id="15871"/>
    </w:p>
    <w:p w:rsidR="009F44AF" w:rsidRDefault="009F44AF" w:rsidP="009F44AF">
      <w:pPr>
        <w:pStyle w:val="a"/>
        <w:numPr>
          <w:ilvl w:val="0"/>
          <w:numId w:val="17"/>
        </w:numPr>
        <w:rPr>
          <w:rtl/>
        </w:rPr>
      </w:pPr>
      <w:bookmarkStart w:id="15872" w:name="_Ref26696990"/>
      <w:r>
        <w:rPr>
          <w:rFonts w:hint="cs"/>
          <w:rtl/>
        </w:rPr>
        <w:t xml:space="preserve">ובהא דהעמידה הגמ' את המשנה אף ביין שנפל לתוך מים, בהיתר שנפל לתוך איסור, ביאר </w:t>
      </w:r>
      <w:r>
        <w:rPr>
          <w:rStyle w:val="af8"/>
          <w:rtl/>
        </w:rPr>
        <w:t xml:space="preserve">רש"י </w:t>
      </w:r>
      <w:r w:rsidRPr="009F44AF">
        <w:rPr>
          <w:rStyle w:val="af6"/>
          <w:rFonts w:eastAsia="Guttman Hodes" w:hint="cs"/>
          <w:rtl/>
        </w:rPr>
        <w:t>(עג. ד"ה ה"ג לא)</w:t>
      </w:r>
      <w:r>
        <w:rPr>
          <w:rFonts w:hint="cs"/>
          <w:rtl/>
        </w:rPr>
        <w:t xml:space="preserve"> דכוונת המשנה לחדש דכל שהמים האסורים נותנים טעם ביין המותר שנפל לתוכם, נאסר היין, ורק באופן שטעם היין מבטל את טעם המים, כגון שנפל כל היין בבת אחת, שהמים אינם יכולים לבטל את כל היין, ומותר היין כל שאין המים נותנים בו טעם, ועי' במה שהקשה </w:t>
      </w:r>
      <w:r>
        <w:rPr>
          <w:rStyle w:val="af8"/>
          <w:rtl/>
        </w:rPr>
        <w:t xml:space="preserve">הרמב"ן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Ref26697169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ט</w:t>
      </w:r>
      <w:r w:rsidR="004D1C5B">
        <w:rPr>
          <w:rStyle w:val="af6"/>
          <w:rFonts w:eastAsia="Guttman Hodes"/>
          <w:rtl/>
        </w:rPr>
        <w:t>)</w:t>
      </w:r>
      <w:r>
        <w:rPr>
          <w:rFonts w:hint="cs"/>
          <w:rtl/>
        </w:rPr>
        <w:fldChar w:fldCharType="end"/>
      </w:r>
      <w:r>
        <w:rPr>
          <w:rFonts w:hint="cs"/>
          <w:rtl/>
        </w:rPr>
        <w:t xml:space="preserve"> על</w:t>
      </w:r>
      <w:r>
        <w:rPr>
          <w:rStyle w:val="af8"/>
          <w:rtl/>
        </w:rPr>
        <w:t xml:space="preserve"> רש"י</w:t>
      </w:r>
      <w:r>
        <w:rPr>
          <w:rFonts w:hint="cs"/>
          <w:rtl/>
        </w:rPr>
        <w:t>.</w:t>
      </w:r>
      <w:bookmarkEnd w:id="15872"/>
    </w:p>
    <w:p w:rsidR="009F44AF" w:rsidRDefault="009F44AF" w:rsidP="0098721B">
      <w:pPr>
        <w:pStyle w:val="1"/>
        <w:rPr>
          <w:rtl/>
        </w:rPr>
      </w:pPr>
      <w:bookmarkStart w:id="15873" w:name="_Toc26783953"/>
      <w:bookmarkStart w:id="15874" w:name="_Toc26781246"/>
      <w:bookmarkStart w:id="15875" w:name="_Toc26777037"/>
      <w:bookmarkStart w:id="15876" w:name="_Toc26742654"/>
      <w:bookmarkStart w:id="15877" w:name="_Toc26725992"/>
      <w:bookmarkStart w:id="15878" w:name="_Toc26702337"/>
      <w:bookmarkStart w:id="15879" w:name="_Toc26523384"/>
      <w:bookmarkStart w:id="15880" w:name="_Toc26523382"/>
      <w:r>
        <w:rPr>
          <w:rFonts w:hint="cs"/>
          <w:rtl/>
        </w:rPr>
        <w:t>דברי רש"י דלא קיי"ל כרב דימי ולא אמרינן דקמא קמא בטיל</w:t>
      </w:r>
      <w:bookmarkEnd w:id="15873"/>
      <w:bookmarkEnd w:id="15874"/>
      <w:bookmarkEnd w:id="15875"/>
      <w:bookmarkEnd w:id="15876"/>
      <w:bookmarkEnd w:id="15877"/>
      <w:bookmarkEnd w:id="15878"/>
      <w:bookmarkEnd w:id="15879"/>
    </w:p>
    <w:p w:rsidR="009F44AF" w:rsidRDefault="009F44AF" w:rsidP="009F44AF">
      <w:pPr>
        <w:pStyle w:val="a2"/>
        <w:rPr>
          <w:rtl/>
        </w:rPr>
      </w:pPr>
      <w:bookmarkStart w:id="15881" w:name="_Toc26783954"/>
      <w:bookmarkStart w:id="15882" w:name="_Toc26781247"/>
      <w:bookmarkStart w:id="15883" w:name="_Toc26777038"/>
      <w:bookmarkStart w:id="15884" w:name="_Toc26742655"/>
      <w:bookmarkStart w:id="15885" w:name="_Toc26725993"/>
      <w:bookmarkStart w:id="15886" w:name="_Toc26702338"/>
      <w:bookmarkStart w:id="15887" w:name="_Toc26523385"/>
      <w:r>
        <w:rPr>
          <w:rFonts w:hint="cs"/>
          <w:rtl/>
        </w:rPr>
        <w:t>דברי רש"י דקיי"ל דיין נסך אוסר במשהו ולא קיי"ל כרב דימי דקמא קמא בטיל</w:t>
      </w:r>
      <w:bookmarkEnd w:id="15881"/>
      <w:bookmarkEnd w:id="15882"/>
      <w:bookmarkEnd w:id="15883"/>
      <w:bookmarkEnd w:id="15884"/>
      <w:bookmarkEnd w:id="15885"/>
      <w:bookmarkEnd w:id="15886"/>
      <w:bookmarkEnd w:id="15887"/>
    </w:p>
    <w:p w:rsidR="009F44AF" w:rsidRDefault="009F44AF" w:rsidP="009F44AF">
      <w:pPr>
        <w:pStyle w:val="a"/>
        <w:numPr>
          <w:ilvl w:val="0"/>
          <w:numId w:val="17"/>
        </w:numPr>
        <w:rPr>
          <w:rtl/>
        </w:rPr>
      </w:pPr>
      <w:bookmarkStart w:id="15888" w:name="_Ref26438487"/>
      <w:bookmarkStart w:id="15889" w:name="_Ref26781162"/>
      <w:r>
        <w:rPr>
          <w:rFonts w:hint="cs"/>
          <w:rtl/>
        </w:rPr>
        <w:t xml:space="preserve">וכתב </w:t>
      </w:r>
      <w:r>
        <w:rPr>
          <w:rStyle w:val="af8"/>
          <w:rtl/>
        </w:rPr>
        <w:t xml:space="preserve">רש"י </w:t>
      </w:r>
      <w:r w:rsidRPr="009F44AF">
        <w:rPr>
          <w:rStyle w:val="af6"/>
          <w:rFonts w:eastAsia="Guttman Hodes" w:hint="cs"/>
          <w:rtl/>
        </w:rPr>
        <w:t>(עג. ד"ה רואין)</w:t>
      </w:r>
      <w:r>
        <w:rPr>
          <w:rFonts w:hint="cs"/>
          <w:rtl/>
        </w:rPr>
        <w:t xml:space="preserve"> דרבין פליג על רב דימי, וס"ל דמים מבטלים יין, אך יין אינו מבטל יין בדין קמא קמא בטיל, וכתב </w:t>
      </w:r>
      <w:r>
        <w:rPr>
          <w:rStyle w:val="af8"/>
          <w:rtl/>
        </w:rPr>
        <w:t xml:space="preserve">רש"י </w:t>
      </w:r>
      <w:r w:rsidRPr="009F44AF">
        <w:rPr>
          <w:rStyle w:val="af6"/>
          <w:rFonts w:eastAsia="Guttman Hodes" w:hint="cs"/>
          <w:rtl/>
        </w:rPr>
        <w:t>(עג. ד"ה אמר לך)</w:t>
      </w:r>
      <w:r>
        <w:rPr>
          <w:rFonts w:hint="cs"/>
          <w:rtl/>
        </w:rPr>
        <w:t xml:space="preserve"> דלא קיי"ל כרב דימי, כיון דרב יצחק החמיר, וכן רבין החמיר, והגמ' לקמן </w:t>
      </w:r>
      <w:r w:rsidRPr="009F44AF">
        <w:rPr>
          <w:rStyle w:val="af6"/>
          <w:rFonts w:eastAsia="Guttman Hodes" w:hint="cs"/>
          <w:rtl/>
        </w:rPr>
        <w:t>(עג:)</w:t>
      </w:r>
      <w:r>
        <w:rPr>
          <w:rFonts w:hint="cs"/>
          <w:rtl/>
        </w:rPr>
        <w:t xml:space="preserve"> פוסקת דיין נסך אוסר במשהו.</w:t>
      </w:r>
      <w:bookmarkEnd w:id="15888"/>
      <w:r>
        <w:rPr>
          <w:rFonts w:hint="cs"/>
          <w:rtl/>
        </w:rPr>
        <w:t xml:space="preserve"> [ועי' במ"ש </w:t>
      </w:r>
      <w:r>
        <w:rPr>
          <w:rStyle w:val="af8"/>
          <w:rtl/>
        </w:rPr>
        <w:t xml:space="preserve">הרמב"ן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Ref26763043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פד</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על דברי </w:t>
      </w:r>
      <w:r>
        <w:rPr>
          <w:rStyle w:val="af8"/>
          <w:rtl/>
        </w:rPr>
        <w:t>רש"י</w:t>
      </w:r>
      <w:r>
        <w:rPr>
          <w:rFonts w:hint="cs"/>
          <w:rtl/>
        </w:rPr>
        <w:t>].</w:t>
      </w:r>
      <w:bookmarkEnd w:id="15889"/>
    </w:p>
    <w:p w:rsidR="009F44AF" w:rsidRDefault="009F44AF" w:rsidP="0098721B">
      <w:pPr>
        <w:pStyle w:val="1"/>
        <w:rPr>
          <w:rtl/>
        </w:rPr>
      </w:pPr>
      <w:bookmarkStart w:id="15890" w:name="_Toc26781249"/>
      <w:bookmarkStart w:id="15891" w:name="_Toc26777040"/>
      <w:bookmarkStart w:id="15892" w:name="_Toc26742657"/>
      <w:bookmarkStart w:id="15893" w:name="_Toc26725995"/>
      <w:bookmarkStart w:id="15894" w:name="_Toc26702340"/>
      <w:bookmarkStart w:id="15895" w:name="_Toc26783956"/>
      <w:r>
        <w:rPr>
          <w:rFonts w:hint="cs"/>
          <w:rtl/>
        </w:rPr>
        <w:t>דברי התוס' והרמב"ן ברש"י</w:t>
      </w:r>
      <w:bookmarkEnd w:id="15880"/>
      <w:bookmarkEnd w:id="15890"/>
      <w:bookmarkEnd w:id="15891"/>
      <w:bookmarkEnd w:id="15892"/>
      <w:bookmarkEnd w:id="15893"/>
      <w:bookmarkEnd w:id="15894"/>
      <w:r>
        <w:rPr>
          <w:rFonts w:hint="cs"/>
          <w:rtl/>
        </w:rPr>
        <w:t xml:space="preserve"> דקמא קמא בטיל בפחות משישים</w:t>
      </w:r>
      <w:bookmarkEnd w:id="15895"/>
      <w:r>
        <w:rPr>
          <w:rFonts w:hint="cs"/>
          <w:rtl/>
        </w:rPr>
        <w:t xml:space="preserve"> </w:t>
      </w:r>
    </w:p>
    <w:p w:rsidR="009F44AF" w:rsidRDefault="009F44AF" w:rsidP="009F44AF">
      <w:pPr>
        <w:pStyle w:val="a2"/>
        <w:rPr>
          <w:rtl/>
        </w:rPr>
      </w:pPr>
      <w:bookmarkStart w:id="15896" w:name="_Toc26783957"/>
      <w:bookmarkStart w:id="15897" w:name="_Toc26781250"/>
      <w:bookmarkStart w:id="15898" w:name="_Toc26777041"/>
      <w:bookmarkStart w:id="15899" w:name="_Toc26742658"/>
      <w:bookmarkStart w:id="15900" w:name="_Toc26725996"/>
      <w:bookmarkStart w:id="15901" w:name="_Toc26702341"/>
      <w:bookmarkStart w:id="15902" w:name="_Toc26523383"/>
      <w:bookmarkStart w:id="15903" w:name="_Toc26477502"/>
      <w:bookmarkStart w:id="15904" w:name="_Toc26477377"/>
      <w:bookmarkStart w:id="15905" w:name="_Toc26442681"/>
      <w:bookmarkStart w:id="15906" w:name="_Toc26477504"/>
      <w:bookmarkStart w:id="15907" w:name="_Toc26477379"/>
      <w:bookmarkStart w:id="15908" w:name="_Toc26442683"/>
      <w:r>
        <w:rPr>
          <w:rFonts w:hint="cs"/>
          <w:rtl/>
        </w:rPr>
        <w:t>דברי התוס' בדעת רש"י דאף כשיש פחות משישים כנגד האיסור אמרינן דקמא קמא בטיל</w:t>
      </w:r>
      <w:bookmarkEnd w:id="15896"/>
      <w:bookmarkEnd w:id="15897"/>
      <w:bookmarkEnd w:id="15898"/>
      <w:bookmarkEnd w:id="15899"/>
      <w:bookmarkEnd w:id="15900"/>
      <w:bookmarkEnd w:id="15901"/>
      <w:bookmarkEnd w:id="15902"/>
      <w:bookmarkEnd w:id="15903"/>
      <w:bookmarkEnd w:id="15904"/>
      <w:bookmarkEnd w:id="15905"/>
    </w:p>
    <w:p w:rsidR="009F44AF" w:rsidRDefault="009F44AF" w:rsidP="009F44AF">
      <w:pPr>
        <w:pStyle w:val="a"/>
        <w:numPr>
          <w:ilvl w:val="0"/>
          <w:numId w:val="17"/>
        </w:numPr>
      </w:pPr>
      <w:bookmarkStart w:id="15909" w:name="_Ref26718889"/>
      <w:r>
        <w:rPr>
          <w:rFonts w:hint="cs"/>
          <w:rtl/>
        </w:rPr>
        <w:t xml:space="preserve">וכתבו </w:t>
      </w:r>
      <w:r>
        <w:rPr>
          <w:rStyle w:val="af8"/>
          <w:rtl/>
        </w:rPr>
        <w:t xml:space="preserve">התוס' </w:t>
      </w:r>
      <w:r w:rsidRPr="009F44AF">
        <w:rPr>
          <w:rStyle w:val="af6"/>
          <w:rFonts w:eastAsia="Guttman Hodes" w:hint="cs"/>
          <w:rtl/>
        </w:rPr>
        <w:t>(עג. ד"ה כי אתא)</w:t>
      </w:r>
      <w:r>
        <w:rPr>
          <w:rFonts w:hint="cs"/>
          <w:rtl/>
        </w:rPr>
        <w:t xml:space="preserve">  דמבואר מדברי </w:t>
      </w:r>
      <w:r>
        <w:rPr>
          <w:rStyle w:val="af8"/>
          <w:rtl/>
        </w:rPr>
        <w:t>רש"י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Ref26719030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 xml:space="preserve"> דההיתר דקמא קמא בטיל, הוא אף כשיש פחות משישים בהיתר כנגד האיסור.</w:t>
      </w:r>
      <w:bookmarkEnd w:id="15909"/>
    </w:p>
    <w:p w:rsidR="009F44AF" w:rsidRDefault="009F44AF" w:rsidP="009F44AF">
      <w:pPr>
        <w:pStyle w:val="a2"/>
        <w:rPr>
          <w:rtl/>
        </w:rPr>
      </w:pPr>
      <w:bookmarkStart w:id="15910" w:name="_Toc26783958"/>
      <w:bookmarkStart w:id="15911" w:name="_Toc26781251"/>
      <w:bookmarkStart w:id="15912" w:name="_Toc26777042"/>
      <w:bookmarkStart w:id="15913" w:name="_Toc26742659"/>
      <w:bookmarkStart w:id="15914" w:name="_Toc26725997"/>
      <w:bookmarkStart w:id="15915" w:name="_Toc26702342"/>
      <w:r>
        <w:rPr>
          <w:rFonts w:hint="cs"/>
          <w:rtl/>
        </w:rPr>
        <w:t>ביאור הרמב"ן ברש"י דבהיתר לתוך איסור אף שנפל לבסוף שיעור נו"ט אמרינן דקמא קמא בטיל</w:t>
      </w:r>
      <w:bookmarkEnd w:id="15910"/>
      <w:bookmarkEnd w:id="15911"/>
      <w:bookmarkEnd w:id="15912"/>
      <w:bookmarkEnd w:id="15913"/>
      <w:bookmarkEnd w:id="15914"/>
      <w:bookmarkEnd w:id="15915"/>
    </w:p>
    <w:p w:rsidR="009F44AF" w:rsidRDefault="009F44AF" w:rsidP="009F44AF">
      <w:pPr>
        <w:pStyle w:val="a"/>
        <w:numPr>
          <w:ilvl w:val="0"/>
          <w:numId w:val="17"/>
        </w:numPr>
        <w:rPr>
          <w:rStyle w:val="afa"/>
          <w:rtl/>
        </w:rPr>
      </w:pPr>
      <w:bookmarkStart w:id="15916" w:name="_Ref26718895"/>
      <w:r>
        <w:rPr>
          <w:rFonts w:hint="cs"/>
          <w:rtl/>
        </w:rPr>
        <w:t xml:space="preserve">וכ"כ </w:t>
      </w:r>
      <w:r>
        <w:rPr>
          <w:rStyle w:val="af8"/>
          <w:rtl/>
        </w:rPr>
        <w:t xml:space="preserve">הרמב"ן </w:t>
      </w:r>
      <w:r w:rsidRPr="009F44AF">
        <w:rPr>
          <w:rStyle w:val="af6"/>
          <w:rFonts w:eastAsia="Guttman Hodes" w:hint="cs"/>
          <w:rtl/>
        </w:rPr>
        <w:t>(עג. ד"ה ופירוש)</w:t>
      </w:r>
      <w:r>
        <w:rPr>
          <w:rFonts w:hint="cs"/>
          <w:rtl/>
        </w:rPr>
        <w:t xml:space="preserve"> דמדברי </w:t>
      </w:r>
      <w:r>
        <w:rPr>
          <w:rStyle w:val="af8"/>
          <w:rtl/>
        </w:rPr>
        <w:t xml:space="preserve">רש"י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Ref26719030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Fonts w:hint="cs"/>
          <w:rtl/>
        </w:rPr>
        <w:t xml:space="preserve"> משמע דס"ל דלעולם אמרינן דקמא קמא בטיל. </w:t>
      </w:r>
      <w:r>
        <w:rPr>
          <w:rStyle w:val="afa"/>
          <w:rtl/>
        </w:rPr>
        <w:t xml:space="preserve">[ואף כשנפל אח"כ שיעור של יין שנותן </w:t>
      </w:r>
      <w:r>
        <w:rPr>
          <w:rStyle w:val="afa"/>
          <w:rtl/>
        </w:rPr>
        <w:t xml:space="preserve">טעם ביין שבבור, ודלא כדעת </w:t>
      </w:r>
      <w:r>
        <w:rPr>
          <w:rStyle w:val="affa"/>
          <w:rtl/>
        </w:rPr>
        <w:t>הרמב"ן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Ref26761160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עח)</w:t>
      </w:r>
      <w:r>
        <w:rPr>
          <w:rFonts w:hint="cs"/>
          <w:rtl/>
        </w:rPr>
        <w:fldChar w:fldCharType="end"/>
      </w:r>
      <w:r>
        <w:rPr>
          <w:rStyle w:val="aff6"/>
          <w:rtl/>
        </w:rPr>
        <w:t xml:space="preserve"> </w:t>
      </w:r>
      <w:r>
        <w:rPr>
          <w:rStyle w:val="afa"/>
          <w:rtl/>
        </w:rPr>
        <w:t>דס"ל דבנותן טעם לא אמרינן קמא קמא בטיל].</w:t>
      </w:r>
      <w:bookmarkEnd w:id="15916"/>
    </w:p>
    <w:p w:rsidR="009F44AF" w:rsidRDefault="009F44AF" w:rsidP="0098721B">
      <w:pPr>
        <w:pStyle w:val="1"/>
        <w:rPr>
          <w:rtl/>
        </w:rPr>
      </w:pPr>
      <w:bookmarkStart w:id="15917" w:name="_Toc26781252"/>
      <w:bookmarkStart w:id="15918" w:name="_Toc26777043"/>
      <w:bookmarkStart w:id="15919" w:name="_Toc26742660"/>
      <w:bookmarkStart w:id="15920" w:name="_Toc26725998"/>
      <w:bookmarkStart w:id="15921" w:name="_Toc26783959"/>
      <w:r>
        <w:rPr>
          <w:rFonts w:hint="cs"/>
          <w:rtl/>
        </w:rPr>
        <w:t>ביאור הרמב"ן ברש"י</w:t>
      </w:r>
      <w:bookmarkEnd w:id="15917"/>
      <w:bookmarkEnd w:id="15918"/>
      <w:bookmarkEnd w:id="15919"/>
      <w:bookmarkEnd w:id="15920"/>
      <w:r>
        <w:rPr>
          <w:rFonts w:hint="cs"/>
          <w:rtl/>
        </w:rPr>
        <w:t xml:space="preserve"> דבנפל בב"א כשיעור היין בבור לא בטל</w:t>
      </w:r>
      <w:bookmarkEnd w:id="15921"/>
    </w:p>
    <w:p w:rsidR="009F44AF" w:rsidRDefault="009F44AF" w:rsidP="009F44AF">
      <w:pPr>
        <w:pStyle w:val="a2"/>
        <w:rPr>
          <w:rtl/>
        </w:rPr>
      </w:pPr>
      <w:bookmarkStart w:id="15922" w:name="_Toc26783960"/>
      <w:bookmarkStart w:id="15923" w:name="_Toc26781253"/>
      <w:bookmarkStart w:id="15924" w:name="_Toc26777044"/>
      <w:bookmarkStart w:id="15925" w:name="_Toc26742661"/>
      <w:bookmarkStart w:id="15926" w:name="_Toc26725999"/>
      <w:bookmarkStart w:id="15927" w:name="_Toc26702343"/>
      <w:r>
        <w:rPr>
          <w:rFonts w:hint="cs"/>
          <w:rtl/>
        </w:rPr>
        <w:t>ביאור הרמב"ן ברש"י דרק בנפל בב"א יין בשיעור היין שבבור ל"א קמא קמא בטיל ואסור</w:t>
      </w:r>
      <w:bookmarkEnd w:id="15922"/>
      <w:bookmarkEnd w:id="15923"/>
      <w:bookmarkEnd w:id="15924"/>
      <w:bookmarkEnd w:id="15925"/>
      <w:bookmarkEnd w:id="15926"/>
      <w:bookmarkEnd w:id="15927"/>
    </w:p>
    <w:p w:rsidR="009F44AF" w:rsidRDefault="009F44AF" w:rsidP="009F44AF">
      <w:pPr>
        <w:pStyle w:val="a"/>
        <w:numPr>
          <w:ilvl w:val="0"/>
          <w:numId w:val="17"/>
        </w:numPr>
        <w:rPr>
          <w:rStyle w:val="afa"/>
        </w:rPr>
      </w:pPr>
      <w:bookmarkStart w:id="15928" w:name="_Ref26718730"/>
      <w:r>
        <w:rPr>
          <w:rFonts w:hint="cs"/>
          <w:rtl/>
        </w:rPr>
        <w:t xml:space="preserve">וכתב </w:t>
      </w:r>
      <w:r>
        <w:rPr>
          <w:rStyle w:val="af8"/>
          <w:rtl/>
        </w:rPr>
        <w:t xml:space="preserve">הרמב"ן </w:t>
      </w:r>
      <w:r w:rsidRPr="009F44AF">
        <w:rPr>
          <w:rStyle w:val="af6"/>
          <w:rFonts w:eastAsia="Guttman Hodes" w:hint="cs"/>
          <w:rtl/>
        </w:rPr>
        <w:t>(עג. ד"ה ופירוש)</w:t>
      </w:r>
      <w:r>
        <w:rPr>
          <w:rFonts w:hint="cs"/>
          <w:rtl/>
        </w:rPr>
        <w:t xml:space="preserve"> דס"ל </w:t>
      </w:r>
      <w:r>
        <w:rPr>
          <w:rStyle w:val="af8"/>
          <w:rtl/>
        </w:rPr>
        <w:t xml:space="preserve">לרש"י </w:t>
      </w:r>
      <w:r>
        <w:rPr>
          <w:rFonts w:hint="cs"/>
          <w:rtl/>
        </w:rPr>
        <w:t xml:space="preserve">דיין נסך אוסר את היין שבבור, רק אם נפל בבת אחת שיעור של יין, כמו שיעור היין שבבור, שאין ביין שבבור רוב לבטל את היין שנפל לתוכו, לא אמרינן דקמא קמא בטיל ואסור, ולכן העמיד </w:t>
      </w:r>
      <w:r>
        <w:rPr>
          <w:rStyle w:val="af8"/>
          <w:rtl/>
        </w:rPr>
        <w:t>רש"י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Ref26719061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א</w:t>
      </w:r>
      <w:r w:rsidR="004D1C5B">
        <w:rPr>
          <w:rStyle w:val="af6"/>
          <w:rFonts w:eastAsia="Guttman Hodes"/>
          <w:rtl/>
        </w:rPr>
        <w:t>)</w:t>
      </w:r>
      <w:r>
        <w:rPr>
          <w:rFonts w:hint="cs"/>
          <w:rtl/>
        </w:rPr>
        <w:fldChar w:fldCharType="end"/>
      </w:r>
      <w:r>
        <w:rPr>
          <w:rFonts w:hint="cs"/>
          <w:rtl/>
        </w:rPr>
        <w:t xml:space="preserve"> את המשנה דיין נסך שנפל לבור דכולו אסור בהנאה, דוקא באופן שנשברה חבית גדולה, ונפלה בבת אחת לתוך הבור, וביאר </w:t>
      </w:r>
      <w:r>
        <w:rPr>
          <w:rStyle w:val="af8"/>
          <w:rtl/>
        </w:rPr>
        <w:t>הרמב"ן</w:t>
      </w:r>
      <w:r>
        <w:rPr>
          <w:rFonts w:hint="cs"/>
          <w:rtl/>
        </w:rPr>
        <w:t xml:space="preserve"> את דברי </w:t>
      </w:r>
      <w:r>
        <w:rPr>
          <w:rStyle w:val="af8"/>
          <w:rtl/>
        </w:rPr>
        <w:t>רש"י</w:t>
      </w:r>
      <w:r>
        <w:rPr>
          <w:rFonts w:hint="cs"/>
          <w:rtl/>
        </w:rPr>
        <w:t xml:space="preserve"> דאיירי שנפל בבת אחת שיעור של יין, שהוא כמו השיעור של היין שבבור. </w:t>
      </w:r>
      <w:r>
        <w:rPr>
          <w:rStyle w:val="afa"/>
          <w:rtl/>
        </w:rPr>
        <w:t>[שאין בהיתר רוב לבטל את האיסור].</w:t>
      </w:r>
      <w:bookmarkEnd w:id="15928"/>
    </w:p>
    <w:p w:rsidR="009F44AF" w:rsidRDefault="009F44AF" w:rsidP="009F44AF">
      <w:pPr>
        <w:pStyle w:val="a2"/>
        <w:rPr>
          <w:rtl/>
        </w:rPr>
      </w:pPr>
      <w:bookmarkStart w:id="15929" w:name="_Toc26783961"/>
      <w:bookmarkStart w:id="15930" w:name="_Toc26781254"/>
      <w:bookmarkStart w:id="15931" w:name="_Toc26777045"/>
      <w:bookmarkStart w:id="15932" w:name="_Toc26742662"/>
      <w:bookmarkStart w:id="15933" w:name="_Toc26726000"/>
      <w:bookmarkStart w:id="15934" w:name="_Toc26702344"/>
      <w:r>
        <w:rPr>
          <w:rFonts w:hint="cs"/>
          <w:rtl/>
        </w:rPr>
        <w:t>דברי הרמב"ן דלרש"י מבואר דא"א להעמיד ביין במים באיסור לתוך היתר דאינו נאסר בנו"ט</w:t>
      </w:r>
      <w:bookmarkEnd w:id="15929"/>
      <w:bookmarkEnd w:id="15930"/>
      <w:bookmarkEnd w:id="15931"/>
      <w:bookmarkEnd w:id="15932"/>
      <w:bookmarkEnd w:id="15933"/>
      <w:bookmarkEnd w:id="15934"/>
      <w:r>
        <w:rPr>
          <w:rFonts w:hint="cs"/>
          <w:rtl/>
        </w:rPr>
        <w:t xml:space="preserve"> </w:t>
      </w:r>
    </w:p>
    <w:p w:rsidR="009F44AF" w:rsidRDefault="009F44AF" w:rsidP="00145CAC">
      <w:pPr>
        <w:pStyle w:val="a"/>
        <w:numPr>
          <w:ilvl w:val="0"/>
          <w:numId w:val="17"/>
        </w:numPr>
        <w:rPr>
          <w:rStyle w:val="afa"/>
        </w:rPr>
      </w:pPr>
      <w:bookmarkStart w:id="15935" w:name="_Ref26697328"/>
      <w:r>
        <w:rPr>
          <w:rFonts w:hint="cs"/>
          <w:rtl/>
        </w:rPr>
        <w:t xml:space="preserve">וכתב </w:t>
      </w:r>
      <w:r>
        <w:rPr>
          <w:rStyle w:val="af8"/>
          <w:rtl/>
        </w:rPr>
        <w:t xml:space="preserve">הרמב"ן </w:t>
      </w:r>
      <w:r>
        <w:rPr>
          <w:rFonts w:hint="cs"/>
          <w:rtl/>
        </w:rPr>
        <w:t xml:space="preserve">דא"כ לדברי </w:t>
      </w:r>
      <w:r>
        <w:rPr>
          <w:rStyle w:val="af8"/>
          <w:rtl/>
        </w:rPr>
        <w:t>רש"י</w:t>
      </w:r>
      <w:r>
        <w:rPr>
          <w:rFonts w:hint="cs"/>
          <w:rtl/>
        </w:rPr>
        <w:t xml:space="preserve"> א"א להעמיד את הסיפא של המשנה דיין במים בנותן טעם, ביין של איסור שנפל למים של היתר, כיון שלדעת </w:t>
      </w:r>
      <w:r>
        <w:rPr>
          <w:rStyle w:val="af8"/>
          <w:rtl/>
        </w:rPr>
        <w:t>רש"י</w:t>
      </w:r>
      <w:r>
        <w:rPr>
          <w:rFonts w:hint="cs"/>
          <w:rtl/>
        </w:rPr>
        <w:t xml:space="preserve"> יין נסך אינו אוסר בנותן טעם, דאף כשיש טעם אמרינן דבטיל, ולכן העמידה הגמ' דאיירי ביין של היתר שנפל למים של איסור, וביאר </w:t>
      </w:r>
      <w:r>
        <w:rPr>
          <w:rStyle w:val="af8"/>
          <w:rtl/>
        </w:rPr>
        <w:t>רש"י</w:t>
      </w:r>
      <w:r>
        <w:rPr>
          <w:rFonts w:hint="cs"/>
          <w:rtl/>
        </w:rPr>
        <w:t xml:space="preserve"> דאיירי שנפל הרבה יין בבת אחת, דבכה"ג אין המים של האיסור מבטלים את היין, </w:t>
      </w:r>
      <w:r>
        <w:rPr>
          <w:rStyle w:val="afa"/>
          <w:rtl/>
        </w:rPr>
        <w:t xml:space="preserve">[והיינו דלדברי </w:t>
      </w:r>
      <w:r>
        <w:rPr>
          <w:rStyle w:val="affa"/>
          <w:rtl/>
        </w:rPr>
        <w:t>רש"י</w:t>
      </w:r>
      <w:r>
        <w:rPr>
          <w:rStyle w:val="afa"/>
          <w:rtl/>
        </w:rPr>
        <w:t xml:space="preserve"> לא קשה קושית </w:t>
      </w:r>
      <w:r>
        <w:rPr>
          <w:rStyle w:val="affa"/>
          <w:rtl/>
        </w:rPr>
        <w:t>הרמב"ן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Ref26697344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עט)</w:t>
      </w:r>
      <w:r>
        <w:rPr>
          <w:rFonts w:hint="cs"/>
          <w:rtl/>
        </w:rPr>
        <w:fldChar w:fldCharType="end"/>
      </w:r>
      <w:r>
        <w:rPr>
          <w:rStyle w:val="afa"/>
          <w:rtl/>
        </w:rPr>
        <w:t xml:space="preserve"> אמאי לא העמידה הגמ' כשנפל בבת אחת יין בשיעור שנותן טעם, כיון שאף בנפל בשיעור שנותן טעם, אמרינן דבטיל ואינו אוסר, וא"צ לתרץ </w:t>
      </w:r>
      <w:r>
        <w:rPr>
          <w:rStyle w:val="affa"/>
          <w:rtl/>
        </w:rPr>
        <w:t>לרש"י</w:t>
      </w:r>
      <w:r>
        <w:rPr>
          <w:rStyle w:val="afa"/>
          <w:rtl/>
        </w:rPr>
        <w:t xml:space="preserve"> כדתירץ</w:t>
      </w:r>
      <w:r>
        <w:rPr>
          <w:rStyle w:val="affa"/>
          <w:rtl/>
        </w:rPr>
        <w:t xml:space="preserve"> הרמב"ן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Ref26697352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w:t>
      </w:r>
      <w:r>
        <w:rPr>
          <w:rFonts w:hint="cs"/>
          <w:rtl/>
        </w:rPr>
        <w:fldChar w:fldCharType="end"/>
      </w:r>
      <w:r>
        <w:rPr>
          <w:rStyle w:val="afa"/>
          <w:rtl/>
        </w:rPr>
        <w:t xml:space="preserve"> דניחא לגמ' להעמיד דומיא דרישא]</w:t>
      </w:r>
      <w:bookmarkEnd w:id="15935"/>
      <w:r>
        <w:rPr>
          <w:rStyle w:val="afa"/>
          <w:rtl/>
        </w:rPr>
        <w:t xml:space="preserve">, </w:t>
      </w:r>
      <w:r>
        <w:rPr>
          <w:rFonts w:hint="cs"/>
          <w:rtl/>
        </w:rPr>
        <w:t xml:space="preserve">וע"ע במה שביאר </w:t>
      </w:r>
      <w:r>
        <w:rPr>
          <w:rStyle w:val="af8"/>
          <w:rtl/>
        </w:rPr>
        <w:t>המהרש"א</w:t>
      </w:r>
      <w:r>
        <w:rPr>
          <w:rFonts w:hint="cs"/>
          <w:rtl/>
        </w:rPr>
        <w:t xml:space="preserve"> </w:t>
      </w:r>
      <w:r w:rsidRPr="009F44AF">
        <w:rPr>
          <w:rStyle w:val="af6"/>
          <w:rFonts w:eastAsia="Guttman Hodes" w:hint="cs"/>
          <w:rtl/>
        </w:rPr>
        <w:t>(עג. על רש"י ד"ה ה"ג)</w:t>
      </w:r>
      <w:r>
        <w:rPr>
          <w:rFonts w:hint="cs"/>
          <w:rtl/>
        </w:rPr>
        <w:t xml:space="preserve"> בדברי </w:t>
      </w:r>
      <w:r>
        <w:rPr>
          <w:rStyle w:val="af8"/>
          <w:rtl/>
        </w:rPr>
        <w:t>רש"י</w:t>
      </w:r>
      <w:r>
        <w:rPr>
          <w:rFonts w:hint="cs"/>
          <w:rtl/>
        </w:rPr>
        <w:t xml:space="preserve"> ובמ"ש </w:t>
      </w:r>
      <w:r>
        <w:rPr>
          <w:rStyle w:val="af8"/>
          <w:rtl/>
        </w:rPr>
        <w:t>הקרני ראם</w:t>
      </w:r>
      <w:r>
        <w:rPr>
          <w:rFonts w:hint="cs"/>
          <w:rtl/>
        </w:rPr>
        <w:t xml:space="preserve"> על דברי </w:t>
      </w:r>
      <w:r>
        <w:rPr>
          <w:rStyle w:val="af8"/>
          <w:rtl/>
        </w:rPr>
        <w:t>המהרש"א</w:t>
      </w:r>
      <w:r>
        <w:rPr>
          <w:rFonts w:hint="cs"/>
          <w:rtl/>
        </w:rPr>
        <w:t>.</w:t>
      </w:r>
    </w:p>
    <w:p w:rsidR="009F44AF" w:rsidRDefault="009F44AF" w:rsidP="009F44AF">
      <w:pPr>
        <w:pStyle w:val="a2"/>
        <w:rPr>
          <w:rtl/>
        </w:rPr>
      </w:pPr>
      <w:bookmarkStart w:id="15936" w:name="_Toc26783962"/>
      <w:bookmarkStart w:id="15937" w:name="_Toc26781255"/>
      <w:bookmarkStart w:id="15938" w:name="_Toc26777046"/>
      <w:bookmarkStart w:id="15939" w:name="_Toc26742663"/>
      <w:bookmarkStart w:id="15940" w:name="_Toc26726001"/>
      <w:bookmarkStart w:id="15941" w:name="_Toc26702345"/>
      <w:r>
        <w:rPr>
          <w:rFonts w:hint="cs"/>
          <w:rtl/>
        </w:rPr>
        <w:t>קושית הרמב"ן על רש"י דבנפל בב"א ויש בו נו"ט אף יין של איסור אינו בטל</w:t>
      </w:r>
      <w:bookmarkEnd w:id="15936"/>
      <w:bookmarkEnd w:id="15937"/>
      <w:bookmarkEnd w:id="15938"/>
      <w:bookmarkEnd w:id="15939"/>
      <w:bookmarkEnd w:id="15940"/>
      <w:bookmarkEnd w:id="15941"/>
      <w:r>
        <w:rPr>
          <w:rFonts w:hint="cs"/>
          <w:rtl/>
        </w:rPr>
        <w:t xml:space="preserve"> </w:t>
      </w:r>
    </w:p>
    <w:p w:rsidR="009F44AF" w:rsidRDefault="009F44AF" w:rsidP="0098721B">
      <w:pPr>
        <w:pStyle w:val="a"/>
        <w:numPr>
          <w:ilvl w:val="0"/>
          <w:numId w:val="17"/>
        </w:numPr>
        <w:rPr>
          <w:rtl/>
        </w:rPr>
      </w:pPr>
      <w:bookmarkStart w:id="15942" w:name="_Ref26697169"/>
      <w:r>
        <w:rPr>
          <w:rFonts w:hint="cs"/>
          <w:rtl/>
        </w:rPr>
        <w:t xml:space="preserve">ובמ"ש </w:t>
      </w:r>
      <w:r>
        <w:rPr>
          <w:rStyle w:val="af8"/>
          <w:rtl/>
        </w:rPr>
        <w:t xml:space="preserve">רש"י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Ref26696990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ד</w:t>
      </w:r>
      <w:r w:rsidR="0098721B">
        <w:rPr>
          <w:rFonts w:hint="cs"/>
          <w:rtl/>
        </w:rPr>
        <w:t>איירי שה</w:t>
      </w:r>
      <w:r>
        <w:rPr>
          <w:rFonts w:hint="cs"/>
          <w:rtl/>
        </w:rPr>
        <w:t xml:space="preserve">יין של </w:t>
      </w:r>
      <w:r w:rsidR="0098721B">
        <w:rPr>
          <w:rFonts w:hint="cs"/>
          <w:rtl/>
        </w:rPr>
        <w:t xml:space="preserve">ההיתר </w:t>
      </w:r>
      <w:r>
        <w:rPr>
          <w:rFonts w:hint="cs"/>
          <w:rtl/>
        </w:rPr>
        <w:t xml:space="preserve">נפל בבת אחת למים של </w:t>
      </w:r>
      <w:r w:rsidR="0098721B">
        <w:rPr>
          <w:rFonts w:hint="cs"/>
          <w:rtl/>
        </w:rPr>
        <w:t>ה</w:t>
      </w:r>
      <w:r>
        <w:rPr>
          <w:rFonts w:hint="cs"/>
          <w:rtl/>
        </w:rPr>
        <w:t xml:space="preserve">איסור, אין המים יכולים לבטל את היין במשהו, דחה </w:t>
      </w:r>
      <w:r>
        <w:rPr>
          <w:rStyle w:val="af8"/>
          <w:rtl/>
        </w:rPr>
        <w:t xml:space="preserve">הרמב"ן </w:t>
      </w:r>
      <w:r>
        <w:rPr>
          <w:rFonts w:hint="cs"/>
          <w:rtl/>
        </w:rPr>
        <w:t xml:space="preserve">דאי הא דהיין של ההיתר אינו מתבטל במים של האיסור, הוא כיון שנפל בבת אחת, א"כ אף יין של איסור שנפל לתוך מים של היתר, ויש בו נותן טעם א"א לבטלו כיון שנפל בבת אחת. </w:t>
      </w:r>
      <w:r>
        <w:rPr>
          <w:rStyle w:val="afa"/>
          <w:rtl/>
        </w:rPr>
        <w:t>[ואמאי הוצרכה הגמ' להעמיד את הסיפא של המשנה, ביין של היתר שנפל למים של איסור].</w:t>
      </w:r>
      <w:bookmarkEnd w:id="15942"/>
    </w:p>
    <w:p w:rsidR="009F44AF" w:rsidRDefault="009F44AF" w:rsidP="0098721B">
      <w:pPr>
        <w:pStyle w:val="1"/>
        <w:rPr>
          <w:rtl/>
        </w:rPr>
      </w:pPr>
      <w:bookmarkStart w:id="15943" w:name="_Toc26781256"/>
      <w:bookmarkStart w:id="15944" w:name="_Toc26777047"/>
      <w:bookmarkStart w:id="15945" w:name="_Toc26742664"/>
      <w:bookmarkStart w:id="15946" w:name="_Toc26726002"/>
      <w:bookmarkStart w:id="15947" w:name="_Toc26783963"/>
      <w:r>
        <w:rPr>
          <w:rFonts w:hint="cs"/>
          <w:rtl/>
        </w:rPr>
        <w:t>ביאור הר"ן ברש"י</w:t>
      </w:r>
      <w:bookmarkEnd w:id="15943"/>
      <w:bookmarkEnd w:id="15944"/>
      <w:bookmarkEnd w:id="15945"/>
      <w:bookmarkEnd w:id="15946"/>
      <w:r>
        <w:rPr>
          <w:rFonts w:hint="cs"/>
          <w:rtl/>
        </w:rPr>
        <w:t xml:space="preserve"> דבנפל בב"א כשיעור נותן טעם לא בטל</w:t>
      </w:r>
      <w:bookmarkEnd w:id="15947"/>
    </w:p>
    <w:p w:rsidR="009F44AF" w:rsidRDefault="009F44AF" w:rsidP="009F44AF">
      <w:pPr>
        <w:pStyle w:val="a2"/>
        <w:rPr>
          <w:rtl/>
        </w:rPr>
      </w:pPr>
      <w:bookmarkStart w:id="15948" w:name="_Toc26783964"/>
      <w:bookmarkStart w:id="15949" w:name="_Toc26781257"/>
      <w:bookmarkStart w:id="15950" w:name="_Toc26777048"/>
      <w:bookmarkStart w:id="15951" w:name="_Toc26742665"/>
      <w:bookmarkStart w:id="15952" w:name="_Toc26726003"/>
      <w:bookmarkStart w:id="15953" w:name="_Toc26702346"/>
      <w:r>
        <w:rPr>
          <w:rFonts w:hint="cs"/>
          <w:rtl/>
        </w:rPr>
        <w:t>ביאור הר"ן ברש"י דבנפל בב"א יין בשיעור שנותן טעם ביין שבבור ל"א קמא קמא בטיל ואסור</w:t>
      </w:r>
      <w:bookmarkEnd w:id="15948"/>
      <w:bookmarkEnd w:id="15949"/>
      <w:bookmarkEnd w:id="15950"/>
      <w:bookmarkEnd w:id="15951"/>
      <w:bookmarkEnd w:id="15952"/>
      <w:bookmarkEnd w:id="15953"/>
    </w:p>
    <w:p w:rsidR="009F44AF" w:rsidRDefault="009F44AF" w:rsidP="009F44AF">
      <w:pPr>
        <w:pStyle w:val="a"/>
        <w:numPr>
          <w:ilvl w:val="0"/>
          <w:numId w:val="17"/>
        </w:numPr>
        <w:rPr>
          <w:rtl/>
        </w:rPr>
      </w:pPr>
      <w:bookmarkStart w:id="15954" w:name="_Ref26718912"/>
      <w:r>
        <w:rPr>
          <w:rStyle w:val="af8"/>
          <w:rtl/>
        </w:rPr>
        <w:t xml:space="preserve">והר"ן בחי' </w:t>
      </w:r>
      <w:r w:rsidRPr="009F44AF">
        <w:rPr>
          <w:rStyle w:val="af6"/>
          <w:rFonts w:eastAsia="Guttman Hodes" w:hint="cs"/>
          <w:rtl/>
        </w:rPr>
        <w:t>(עג. ד"ה תנן)</w:t>
      </w:r>
      <w:r>
        <w:rPr>
          <w:rFonts w:hint="cs"/>
          <w:rtl/>
        </w:rPr>
        <w:t xml:space="preserve"> ביאר בדעת </w:t>
      </w:r>
      <w:r>
        <w:rPr>
          <w:rStyle w:val="af8"/>
          <w:rtl/>
        </w:rPr>
        <w:t>רש"י</w:t>
      </w:r>
      <w:r>
        <w:rPr>
          <w:rFonts w:hint="cs"/>
          <w:rtl/>
        </w:rPr>
        <w:t xml:space="preserve"> דכל שנפל בבת אחת יין של היתר לתוך היין של האיסור בשיעור שאין ביין שבבור כדי נתינת טעם ביין שנפל לתוכו, דהכל מותר, דהא דתנן במתני' דיין ביין אוסר במשהו, היינו דוקא בהיתר שנפל לתוך איסור מעט מעט, דבטל מדין קמא קמא בטיל.</w:t>
      </w:r>
      <w:bookmarkEnd w:id="15954"/>
    </w:p>
    <w:p w:rsidR="009F44AF" w:rsidRDefault="009F44AF" w:rsidP="009F44AF">
      <w:pPr>
        <w:pStyle w:val="1"/>
        <w:rPr>
          <w:rtl/>
        </w:rPr>
      </w:pPr>
      <w:bookmarkStart w:id="15955" w:name="_Toc26783965"/>
      <w:bookmarkStart w:id="15956" w:name="_Toc26781258"/>
      <w:bookmarkStart w:id="15957" w:name="_Toc26777049"/>
      <w:bookmarkStart w:id="15958" w:name="_Toc26742666"/>
      <w:bookmarkStart w:id="15959" w:name="_Toc26726004"/>
      <w:r>
        <w:rPr>
          <w:rStyle w:val="af8"/>
          <w:b/>
          <w:bCs/>
          <w:rtl/>
        </w:rPr>
        <w:t>קושית הרמב"ן ברש"י דאין חומרא ביי"נ בדין קמא קמא בטיל</w:t>
      </w:r>
      <w:bookmarkEnd w:id="15955"/>
      <w:bookmarkEnd w:id="15956"/>
      <w:bookmarkEnd w:id="15957"/>
      <w:bookmarkEnd w:id="15958"/>
      <w:bookmarkEnd w:id="15959"/>
    </w:p>
    <w:p w:rsidR="009F44AF" w:rsidRDefault="009F44AF" w:rsidP="009F44AF">
      <w:pPr>
        <w:pStyle w:val="a2"/>
        <w:rPr>
          <w:rtl/>
        </w:rPr>
      </w:pPr>
      <w:bookmarkStart w:id="15960" w:name="_Toc26783966"/>
      <w:bookmarkStart w:id="15961" w:name="_Toc26781259"/>
      <w:bookmarkStart w:id="15962" w:name="_Toc26777050"/>
      <w:bookmarkStart w:id="15963" w:name="_Toc26742667"/>
      <w:bookmarkStart w:id="15964" w:name="_Toc26726005"/>
      <w:bookmarkStart w:id="15965" w:name="_Toc26702347"/>
      <w:bookmarkEnd w:id="15906"/>
      <w:bookmarkEnd w:id="15907"/>
      <w:bookmarkEnd w:id="15908"/>
      <w:r>
        <w:rPr>
          <w:rFonts w:hint="cs"/>
          <w:rtl/>
        </w:rPr>
        <w:t>קושית הרמב"ן והרשב"א על רש"י דאי היתר שנפל לאיסור קמא קמא בטיל אין חומרא ביי"נ</w:t>
      </w:r>
      <w:bookmarkEnd w:id="15960"/>
      <w:bookmarkEnd w:id="15961"/>
      <w:bookmarkEnd w:id="15962"/>
      <w:bookmarkEnd w:id="15963"/>
      <w:bookmarkEnd w:id="15964"/>
      <w:bookmarkEnd w:id="15965"/>
    </w:p>
    <w:p w:rsidR="009F44AF" w:rsidRDefault="009F44AF" w:rsidP="009F44AF">
      <w:pPr>
        <w:pStyle w:val="a"/>
        <w:numPr>
          <w:ilvl w:val="0"/>
          <w:numId w:val="17"/>
        </w:numPr>
        <w:rPr>
          <w:rStyle w:val="afa"/>
          <w:rtl/>
        </w:rPr>
      </w:pPr>
      <w:bookmarkStart w:id="15966" w:name="_Ref26722169"/>
      <w:bookmarkStart w:id="15967" w:name="_Toc26523386"/>
      <w:bookmarkStart w:id="15968" w:name="_Toc26477505"/>
      <w:bookmarkStart w:id="15969" w:name="_Toc26477380"/>
      <w:bookmarkStart w:id="15970" w:name="_Toc26442684"/>
      <w:bookmarkStart w:id="15971" w:name="_Toc26218278"/>
      <w:bookmarkStart w:id="15972" w:name="_Toc25699940"/>
      <w:r>
        <w:rPr>
          <w:rFonts w:hint="cs"/>
          <w:rtl/>
        </w:rPr>
        <w:t xml:space="preserve">והקשו </w:t>
      </w:r>
      <w:r>
        <w:rPr>
          <w:rStyle w:val="af8"/>
          <w:rtl/>
        </w:rPr>
        <w:t xml:space="preserve">הרמב"ן והרשב"א </w:t>
      </w:r>
      <w:r w:rsidRPr="009F44AF">
        <w:rPr>
          <w:rStyle w:val="af6"/>
          <w:rFonts w:eastAsia="Guttman Hodes" w:hint="cs"/>
          <w:rtl/>
        </w:rPr>
        <w:t>(עג. ד"ה תנן)</w:t>
      </w:r>
      <w:r>
        <w:rPr>
          <w:rFonts w:hint="cs"/>
          <w:rtl/>
        </w:rPr>
        <w:t xml:space="preserve"> </w:t>
      </w:r>
      <w:r>
        <w:rPr>
          <w:rStyle w:val="af8"/>
          <w:rtl/>
        </w:rPr>
        <w:t xml:space="preserve">והר"ן בחי' </w:t>
      </w:r>
      <w:r w:rsidRPr="009F44AF">
        <w:rPr>
          <w:rStyle w:val="af6"/>
          <w:rFonts w:eastAsia="Guttman Hodes" w:hint="cs"/>
          <w:rtl/>
        </w:rPr>
        <w:t>(עג. ד"ה תנן)</w:t>
      </w:r>
      <w:r>
        <w:rPr>
          <w:rFonts w:hint="cs"/>
          <w:rtl/>
        </w:rPr>
        <w:t xml:space="preserve"> דלדברי </w:t>
      </w:r>
      <w:r>
        <w:rPr>
          <w:rStyle w:val="af8"/>
          <w:rtl/>
        </w:rPr>
        <w:t xml:space="preserve">רש"י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Ref26719030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ב</w:t>
      </w:r>
      <w:r w:rsidR="004D1C5B">
        <w:rPr>
          <w:rStyle w:val="af6"/>
          <w:rFonts w:eastAsia="Guttman Hodes"/>
          <w:rtl/>
        </w:rPr>
        <w:t>)</w:t>
      </w:r>
      <w:r>
        <w:rPr>
          <w:rFonts w:hint="cs"/>
          <w:rtl/>
        </w:rPr>
        <w:fldChar w:fldCharType="end"/>
      </w:r>
      <w:r>
        <w:rPr>
          <w:rStyle w:val="af8"/>
          <w:rtl/>
        </w:rPr>
        <w:t xml:space="preserve"> </w:t>
      </w:r>
      <w:r>
        <w:rPr>
          <w:rFonts w:hint="cs"/>
          <w:rtl/>
        </w:rPr>
        <w:t xml:space="preserve">דביאר בתירוץ הגמ' בדעת רב דימי, דברישא דמתני' ביין ביין במשהו, איירי שנפל היתר לתוך איסור, דאמרינן קמא קמא בטיל, ומתבטל ההיתר בתוך האיסור, ובזה יין נסך אוסר במשהו, דא"כ אין כל חומרא ביין נסך יותר משאר האיסורים, דהרי בכל האיסורים כשנפל היתר לתוך איסור מעט מעט הוא מתבטל, וההיתר נאסר במשהו, וא"א לומר דמה שההיתר מתבטל באיסור הוא מחמת </w:t>
      </w:r>
      <w:r>
        <w:rPr>
          <w:rFonts w:hint="cs"/>
          <w:rtl/>
        </w:rPr>
        <w:lastRenderedPageBreak/>
        <w:t xml:space="preserve">החומרא של יין נסך, דהרי אף לקולא אמרינן דקמא קמא בטיל, כשנפל איסור לתוך היתר, ומוכח דהוא דקמא קמא בטיל אינו מחומרא דיין נסך, אלא הוא דין בפנ"ע שנאמר בין לקולא ובין לחומרא. </w:t>
      </w:r>
      <w:r>
        <w:rPr>
          <w:rStyle w:val="afa"/>
          <w:rtl/>
        </w:rPr>
        <w:t xml:space="preserve">[וכן הקשו </w:t>
      </w:r>
      <w:r>
        <w:rPr>
          <w:rStyle w:val="affa"/>
          <w:rtl/>
        </w:rPr>
        <w:t>הרמב"ן והרשב"א</w:t>
      </w:r>
      <w:r>
        <w:rPr>
          <w:rStyle w:val="aff6"/>
          <w:rtl/>
        </w:rPr>
        <w:t xml:space="preserve"> (עי'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Ref26722133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מו)</w:t>
      </w:r>
      <w:r>
        <w:rPr>
          <w:rFonts w:hint="cs"/>
          <w:rtl/>
        </w:rPr>
        <w:fldChar w:fldCharType="end"/>
      </w:r>
      <w:r>
        <w:rPr>
          <w:rStyle w:val="aff6"/>
          <w:rtl/>
        </w:rPr>
        <w:t xml:space="preserve"> </w:t>
      </w:r>
      <w:r>
        <w:rPr>
          <w:rStyle w:val="afa"/>
          <w:rtl/>
        </w:rPr>
        <w:t xml:space="preserve">על </w:t>
      </w:r>
      <w:r>
        <w:rPr>
          <w:rStyle w:val="affa"/>
          <w:rtl/>
        </w:rPr>
        <w:t>הראב"ד</w:t>
      </w:r>
      <w:r>
        <w:rPr>
          <w:rStyle w:val="afa"/>
          <w:rtl/>
        </w:rPr>
        <w:t xml:space="preserve">, ועי' במה שהוסיף </w:t>
      </w:r>
      <w:r>
        <w:rPr>
          <w:rStyle w:val="affa"/>
          <w:rtl/>
        </w:rPr>
        <w:t xml:space="preserve">הרשב"א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Ref26722145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מח)</w:t>
      </w:r>
      <w:r>
        <w:rPr>
          <w:rFonts w:hint="cs"/>
          <w:rtl/>
        </w:rPr>
        <w:fldChar w:fldCharType="end"/>
      </w:r>
      <w:r>
        <w:rPr>
          <w:rStyle w:val="aff6"/>
          <w:rtl/>
        </w:rPr>
        <w:t xml:space="preserve"> </w:t>
      </w:r>
      <w:r>
        <w:rPr>
          <w:rStyle w:val="affa"/>
          <w:rtl/>
        </w:rPr>
        <w:t>דהראב"ד</w:t>
      </w:r>
      <w:r>
        <w:rPr>
          <w:rStyle w:val="afa"/>
          <w:rtl/>
        </w:rPr>
        <w:t xml:space="preserve"> תירץ במין בשאינו מינו, ולא תירץ במין במינו].</w:t>
      </w:r>
      <w:bookmarkEnd w:id="15966"/>
    </w:p>
    <w:p w:rsidR="009F44AF" w:rsidRDefault="009F44AF" w:rsidP="009F44AF">
      <w:pPr>
        <w:pStyle w:val="a2"/>
        <w:rPr>
          <w:rtl/>
        </w:rPr>
      </w:pPr>
      <w:bookmarkStart w:id="15973" w:name="_Toc26783967"/>
      <w:bookmarkStart w:id="15974" w:name="_Toc26781260"/>
      <w:bookmarkStart w:id="15975" w:name="_Toc26777051"/>
      <w:bookmarkStart w:id="15976" w:name="_Toc26742668"/>
      <w:bookmarkStart w:id="15977" w:name="_Toc26726006"/>
      <w:r>
        <w:rPr>
          <w:rFonts w:hint="cs"/>
          <w:rtl/>
        </w:rPr>
        <w:t>דברי הרמב"ן דמוכח דאף רב דימי מודה דיין נסך חמור יותר משאר איסורים</w:t>
      </w:r>
      <w:bookmarkEnd w:id="15973"/>
      <w:bookmarkEnd w:id="15974"/>
      <w:bookmarkEnd w:id="15975"/>
      <w:bookmarkEnd w:id="15976"/>
      <w:bookmarkEnd w:id="15977"/>
    </w:p>
    <w:p w:rsidR="009F44AF" w:rsidRDefault="009F44AF" w:rsidP="005B1A17">
      <w:pPr>
        <w:pStyle w:val="a"/>
        <w:numPr>
          <w:ilvl w:val="0"/>
          <w:numId w:val="17"/>
        </w:numPr>
        <w:rPr>
          <w:rtl/>
        </w:rPr>
      </w:pPr>
      <w:r>
        <w:rPr>
          <w:rFonts w:hint="cs"/>
          <w:rtl/>
        </w:rPr>
        <w:t xml:space="preserve">וכתב </w:t>
      </w:r>
      <w:r>
        <w:rPr>
          <w:rStyle w:val="af8"/>
          <w:rtl/>
        </w:rPr>
        <w:t xml:space="preserve">הרמב"ן </w:t>
      </w:r>
      <w:r>
        <w:rPr>
          <w:rFonts w:hint="cs"/>
          <w:rtl/>
        </w:rPr>
        <w:t xml:space="preserve">דא"א לומר דבאמת לדעת רב דימי אין חומרא ביין נסך יותר משאר איסורים, דא"כ קשה על דברי רב דימי מהא דאמר ריו"ח </w:t>
      </w:r>
      <w:r w:rsidRPr="009F44AF">
        <w:rPr>
          <w:rStyle w:val="af6"/>
          <w:rFonts w:eastAsia="Guttman Hodes" w:hint="cs"/>
          <w:rtl/>
        </w:rPr>
        <w:t>(ע"ז עג:)</w:t>
      </w:r>
      <w:r>
        <w:rPr>
          <w:rFonts w:hint="cs"/>
          <w:rtl/>
        </w:rPr>
        <w:t xml:space="preserve"> דכל איסורים שבתורה בנותן טעם חוץ מטבל ויין נסך,</w:t>
      </w:r>
      <w:r>
        <w:rPr>
          <w:rStyle w:val="afa"/>
          <w:rtl/>
        </w:rPr>
        <w:t xml:space="preserve"> [והא רב דימי אמר כן בשם ריו"ח],</w:t>
      </w:r>
      <w:r>
        <w:rPr>
          <w:rFonts w:hint="cs"/>
          <w:rtl/>
        </w:rPr>
        <w:t xml:space="preserve"> וכן הקשה </w:t>
      </w:r>
      <w:r>
        <w:rPr>
          <w:rStyle w:val="af8"/>
          <w:rtl/>
        </w:rPr>
        <w:t>הרשב"א</w:t>
      </w:r>
      <w:r>
        <w:rPr>
          <w:rFonts w:hint="cs"/>
          <w:rtl/>
        </w:rPr>
        <w:t xml:space="preserve">, והוסיף </w:t>
      </w:r>
      <w:r>
        <w:rPr>
          <w:rStyle w:val="af8"/>
          <w:rtl/>
        </w:rPr>
        <w:t xml:space="preserve">הרמב"ן </w:t>
      </w:r>
      <w:r>
        <w:rPr>
          <w:rFonts w:hint="cs"/>
          <w:rtl/>
        </w:rPr>
        <w:t xml:space="preserve">דא"כ אף מדברי רב ושמואל </w:t>
      </w:r>
      <w:r w:rsidRPr="009F44AF">
        <w:rPr>
          <w:rStyle w:val="af6"/>
          <w:rFonts w:eastAsia="Guttman Hodes" w:hint="cs"/>
          <w:rtl/>
        </w:rPr>
        <w:t>(ע"ז עג:)</w:t>
      </w:r>
      <w:r>
        <w:rPr>
          <w:rFonts w:hint="cs"/>
          <w:rtl/>
        </w:rPr>
        <w:t xml:space="preserve"> דאמרו דכל איסורים שבתורה במינם במשהו ושלא במינם בנותן טעם, קשה על רב דימי, דהרי לדעת רב ושמואל בכל האיסורים שבתורה במין במינו, כשנפל משהו איסור לתוך קדירה הוא אוסר, </w:t>
      </w:r>
      <w:r>
        <w:rPr>
          <w:rStyle w:val="afa"/>
          <w:rtl/>
        </w:rPr>
        <w:t>[ואינו מתבטל</w:t>
      </w:r>
      <w:r w:rsidR="005B1A17">
        <w:rPr>
          <w:rStyle w:val="afa"/>
          <w:rFonts w:hint="cs"/>
          <w:rtl/>
        </w:rPr>
        <w:t xml:space="preserve"> כלל ולא שייך </w:t>
      </w:r>
      <w:r>
        <w:rPr>
          <w:rStyle w:val="afa"/>
          <w:rtl/>
        </w:rPr>
        <w:t>דין קמא קמא בטיל],</w:t>
      </w:r>
      <w:r>
        <w:rPr>
          <w:rFonts w:hint="cs"/>
          <w:rtl/>
        </w:rPr>
        <w:t xml:space="preserve"> כדמוכח בכמה מקומות.</w:t>
      </w:r>
    </w:p>
    <w:p w:rsidR="009F44AF" w:rsidRDefault="009F44AF" w:rsidP="0098721B">
      <w:pPr>
        <w:pStyle w:val="1"/>
        <w:rPr>
          <w:rtl/>
        </w:rPr>
      </w:pPr>
      <w:bookmarkStart w:id="15978" w:name="_Toc26783968"/>
      <w:bookmarkStart w:id="15979" w:name="_Toc26781261"/>
      <w:bookmarkStart w:id="15980" w:name="_Toc26777052"/>
      <w:bookmarkStart w:id="15981" w:name="_Toc26742669"/>
      <w:bookmarkStart w:id="15982" w:name="_Toc26726007"/>
      <w:r>
        <w:rPr>
          <w:rFonts w:hint="cs"/>
          <w:rtl/>
        </w:rPr>
        <w:t>קושית הרמב"ן על רש"י מה החילוק בין מין במינו לאינו מינו</w:t>
      </w:r>
      <w:bookmarkEnd w:id="15978"/>
      <w:bookmarkEnd w:id="15979"/>
      <w:bookmarkEnd w:id="15980"/>
      <w:bookmarkEnd w:id="15981"/>
      <w:bookmarkEnd w:id="15982"/>
    </w:p>
    <w:p w:rsidR="009F44AF" w:rsidRDefault="009F44AF" w:rsidP="009F44AF">
      <w:pPr>
        <w:pStyle w:val="a2"/>
        <w:rPr>
          <w:rtl/>
        </w:rPr>
      </w:pPr>
      <w:bookmarkStart w:id="15983" w:name="_Toc26783969"/>
      <w:bookmarkStart w:id="15984" w:name="_Toc26781262"/>
      <w:bookmarkStart w:id="15985" w:name="_Toc26777053"/>
      <w:bookmarkStart w:id="15986" w:name="_Toc26742670"/>
      <w:bookmarkStart w:id="15987" w:name="_Toc26726008"/>
      <w:bookmarkStart w:id="15988" w:name="_Toc26702348"/>
      <w:r>
        <w:rPr>
          <w:rFonts w:hint="cs"/>
          <w:rtl/>
        </w:rPr>
        <w:t>קושית הרמב"ן על רש"י דאין חילוק בין מינו לאינו מינו דרק בב"א לא אמרינן קמא קמא בטיל</w:t>
      </w:r>
      <w:bookmarkEnd w:id="15983"/>
      <w:bookmarkEnd w:id="15984"/>
      <w:bookmarkEnd w:id="15985"/>
      <w:bookmarkEnd w:id="15986"/>
      <w:bookmarkEnd w:id="15987"/>
      <w:bookmarkEnd w:id="15988"/>
    </w:p>
    <w:p w:rsidR="009F44AF" w:rsidRDefault="009F44AF" w:rsidP="009F44AF">
      <w:pPr>
        <w:pStyle w:val="a"/>
        <w:numPr>
          <w:ilvl w:val="0"/>
          <w:numId w:val="17"/>
        </w:numPr>
      </w:pPr>
      <w:r>
        <w:rPr>
          <w:rFonts w:hint="cs"/>
          <w:rtl/>
        </w:rPr>
        <w:t xml:space="preserve">ועוד הקשו </w:t>
      </w:r>
      <w:r>
        <w:rPr>
          <w:rStyle w:val="af8"/>
          <w:rtl/>
        </w:rPr>
        <w:t xml:space="preserve">הרמב"ן והרשב"א </w:t>
      </w:r>
      <w:r w:rsidRPr="009F44AF">
        <w:rPr>
          <w:rStyle w:val="af6"/>
          <w:rFonts w:eastAsia="Guttman Hodes" w:hint="cs"/>
          <w:rtl/>
        </w:rPr>
        <w:t>(עג. ד"ה תנן)</w:t>
      </w:r>
      <w:r>
        <w:rPr>
          <w:rFonts w:hint="cs"/>
          <w:rtl/>
        </w:rPr>
        <w:t xml:space="preserve"> </w:t>
      </w:r>
      <w:r>
        <w:rPr>
          <w:rStyle w:val="af8"/>
          <w:rtl/>
        </w:rPr>
        <w:t xml:space="preserve">והר"ן בחי' </w:t>
      </w:r>
      <w:r w:rsidRPr="009F44AF">
        <w:rPr>
          <w:rStyle w:val="af6"/>
          <w:rFonts w:eastAsia="Guttman Hodes" w:hint="cs"/>
          <w:rtl/>
        </w:rPr>
        <w:t>(עג. ד"ה תנן)</w:t>
      </w:r>
      <w:r>
        <w:rPr>
          <w:rFonts w:hint="cs"/>
          <w:rtl/>
        </w:rPr>
        <w:t xml:space="preserve"> דלדברי </w:t>
      </w:r>
      <w:r>
        <w:rPr>
          <w:rStyle w:val="af8"/>
          <w:rtl/>
        </w:rPr>
        <w:t>רש"י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Ref26696990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ג</w:t>
      </w:r>
      <w:r w:rsidR="004D1C5B">
        <w:rPr>
          <w:rStyle w:val="af6"/>
          <w:rFonts w:eastAsia="Guttman Hodes"/>
          <w:rtl/>
        </w:rPr>
        <w:t>)</w:t>
      </w:r>
      <w:r>
        <w:rPr>
          <w:rFonts w:hint="cs"/>
          <w:rtl/>
        </w:rPr>
        <w:fldChar w:fldCharType="end"/>
      </w:r>
      <w:r>
        <w:rPr>
          <w:rFonts w:hint="cs"/>
          <w:rtl/>
        </w:rPr>
        <w:t xml:space="preserve"> דביאר בתירוץ הגמ' דאיירי ביין של היתר שנפל למים של איסור, דשיעורו בנותן טעם, דדוקא בנפל היין בבת אחת, ואין המים נותנים טעם ביין אינו נאסר, אבל בנפל היין מעט מעט הוא נאסר אף שאין המים נותנים בו טעם, כיון דקמא קמא בטיל, א"כ קשה מה החילוק בין מין במינו למין בשאינו מינו, דהרי אף ביין ביין, אמרינן דכשנופל היתר לתוך איסור הוא נאסר במשהו מדין קמא קמא בטיל, ומבואר דבבת אחת אף יין ביין מותר, כיון שאין באיסור כח לתת בו טעם, וה"ה במין בשאינו מינו, דבבת אחת אינו  נאסר ובזה אחר זה נאסר מדין קמא קמא בטיל, ואין כל חילוק בין מין במינו למין בשאינו מינו, ואילו במתני' מבואר דבמינו במשהו ובאינו מינו בנותן טעם.</w:t>
      </w:r>
    </w:p>
    <w:p w:rsidR="009F44AF" w:rsidRDefault="009F44AF" w:rsidP="009F44AF">
      <w:pPr>
        <w:pStyle w:val="afd"/>
      </w:pPr>
      <w:bookmarkStart w:id="15989" w:name="_Toc26781263"/>
      <w:bookmarkStart w:id="15990" w:name="_Toc26777054"/>
      <w:bookmarkStart w:id="15991" w:name="_Toc26742671"/>
      <w:bookmarkStart w:id="15992" w:name="_Toc26726009"/>
      <w:bookmarkStart w:id="15993" w:name="_Toc26702349"/>
      <w:bookmarkStart w:id="15994" w:name="_Toc26783970"/>
      <w:r>
        <w:rPr>
          <w:rFonts w:hint="cs"/>
          <w:rtl/>
        </w:rPr>
        <w:t xml:space="preserve">דעת התוס' </w:t>
      </w:r>
      <w:bookmarkEnd w:id="15967"/>
      <w:bookmarkEnd w:id="15968"/>
      <w:bookmarkEnd w:id="15969"/>
      <w:bookmarkEnd w:id="15970"/>
      <w:bookmarkEnd w:id="15971"/>
      <w:bookmarkEnd w:id="15972"/>
      <w:bookmarkEnd w:id="15989"/>
      <w:bookmarkEnd w:id="15990"/>
      <w:bookmarkEnd w:id="15991"/>
      <w:bookmarkEnd w:id="15992"/>
      <w:bookmarkEnd w:id="15993"/>
      <w:r>
        <w:rPr>
          <w:rFonts w:hint="cs"/>
          <w:rtl/>
        </w:rPr>
        <w:t>דבפחות משישים לא בטיל</w:t>
      </w:r>
      <w:bookmarkEnd w:id="15994"/>
    </w:p>
    <w:p w:rsidR="009F44AF" w:rsidRDefault="009F44AF" w:rsidP="0098721B">
      <w:pPr>
        <w:pStyle w:val="1"/>
        <w:rPr>
          <w:rtl/>
        </w:rPr>
      </w:pPr>
      <w:bookmarkStart w:id="15995" w:name="_Toc26781264"/>
      <w:bookmarkStart w:id="15996" w:name="_Toc26777055"/>
      <w:bookmarkStart w:id="15997" w:name="_Toc26742672"/>
      <w:bookmarkStart w:id="15998" w:name="_Toc26726010"/>
      <w:bookmarkStart w:id="15999" w:name="_Toc26702350"/>
      <w:bookmarkStart w:id="16000" w:name="_Toc26523387"/>
      <w:bookmarkStart w:id="16001" w:name="_Toc26477506"/>
      <w:bookmarkStart w:id="16002" w:name="_Toc26477381"/>
      <w:bookmarkStart w:id="16003" w:name="_Toc26442685"/>
      <w:bookmarkStart w:id="16004" w:name="_Toc26783971"/>
      <w:r>
        <w:rPr>
          <w:rFonts w:hint="cs"/>
          <w:rtl/>
        </w:rPr>
        <w:t>דברי התוס'</w:t>
      </w:r>
      <w:bookmarkEnd w:id="15995"/>
      <w:bookmarkEnd w:id="15996"/>
      <w:bookmarkEnd w:id="15997"/>
      <w:bookmarkEnd w:id="15998"/>
      <w:bookmarkEnd w:id="15999"/>
      <w:bookmarkEnd w:id="16000"/>
      <w:bookmarkEnd w:id="16001"/>
      <w:bookmarkEnd w:id="16002"/>
      <w:bookmarkEnd w:id="16003"/>
      <w:r>
        <w:rPr>
          <w:rFonts w:hint="cs"/>
          <w:rtl/>
        </w:rPr>
        <w:t xml:space="preserve"> דרב דימי מודה בגיגית דנפיש עמודיה דלא בטיל</w:t>
      </w:r>
      <w:bookmarkEnd w:id="16004"/>
    </w:p>
    <w:p w:rsidR="009F44AF" w:rsidRDefault="009F44AF" w:rsidP="009F44AF">
      <w:pPr>
        <w:pStyle w:val="a2"/>
        <w:rPr>
          <w:rtl/>
        </w:rPr>
      </w:pPr>
      <w:bookmarkStart w:id="16005" w:name="_Toc26783972"/>
      <w:bookmarkStart w:id="16006" w:name="_Toc26781265"/>
      <w:bookmarkStart w:id="16007" w:name="_Toc26777056"/>
      <w:bookmarkStart w:id="16008" w:name="_Toc26742673"/>
      <w:bookmarkStart w:id="16009" w:name="_Toc26726011"/>
      <w:r>
        <w:rPr>
          <w:rFonts w:hint="cs"/>
          <w:rtl/>
        </w:rPr>
        <w:t>דברי התוס' דלרב דימי קמא קמא בטיל רק בחבית ולא בגיגית דנפיש עמודיה טפי</w:t>
      </w:r>
      <w:bookmarkEnd w:id="16005"/>
      <w:bookmarkEnd w:id="16006"/>
      <w:bookmarkEnd w:id="16007"/>
      <w:bookmarkEnd w:id="16008"/>
      <w:bookmarkEnd w:id="16009"/>
    </w:p>
    <w:p w:rsidR="009F44AF" w:rsidRDefault="009F44AF" w:rsidP="009F44AF">
      <w:pPr>
        <w:pStyle w:val="a"/>
        <w:numPr>
          <w:ilvl w:val="0"/>
          <w:numId w:val="17"/>
        </w:numPr>
        <w:rPr>
          <w:rtl/>
        </w:rPr>
      </w:pPr>
      <w:r>
        <w:rPr>
          <w:rFonts w:hint="cs"/>
          <w:rtl/>
        </w:rPr>
        <w:t xml:space="preserve">כתבו </w:t>
      </w:r>
      <w:r>
        <w:rPr>
          <w:rStyle w:val="af8"/>
          <w:rtl/>
        </w:rPr>
        <w:t xml:space="preserve">התוס' </w:t>
      </w:r>
      <w:r w:rsidRPr="009F44AF">
        <w:rPr>
          <w:rStyle w:val="af6"/>
          <w:rFonts w:eastAsia="Guttman Hodes" w:hint="cs"/>
          <w:rtl/>
        </w:rPr>
        <w:t>(עג. ד"ה ודוקא)</w:t>
      </w:r>
      <w:r>
        <w:rPr>
          <w:rFonts w:hint="cs"/>
          <w:rtl/>
        </w:rPr>
        <w:t xml:space="preserve"> דהא דאמר רב דימי דקמא קמא בטיל, היינו דוקא בחבית, אבל בגיגית דנפיש עמודיה טפי, מודה רב דימי דלא אמרינן דקמא קמא בטיל, ולרב יצחק אף בחבית חשיב נפיש עמודיה, ורק בצרצור קטן אמרינן דקמא קמא בטיל.</w:t>
      </w:r>
    </w:p>
    <w:p w:rsidR="009F44AF" w:rsidRDefault="009F44AF" w:rsidP="0098721B">
      <w:pPr>
        <w:pStyle w:val="1"/>
        <w:rPr>
          <w:rtl/>
        </w:rPr>
      </w:pPr>
      <w:bookmarkStart w:id="16010" w:name="_Toc26783973"/>
      <w:r>
        <w:rPr>
          <w:rFonts w:hint="cs"/>
          <w:rtl/>
        </w:rPr>
        <w:t>קושיות התוס' והרא"ש על רב דימי דלא אמרינן קמא קמא בטיל</w:t>
      </w:r>
      <w:bookmarkEnd w:id="16010"/>
    </w:p>
    <w:p w:rsidR="009F44AF" w:rsidRDefault="009F44AF" w:rsidP="009F44AF">
      <w:pPr>
        <w:pStyle w:val="a2"/>
        <w:rPr>
          <w:rtl/>
        </w:rPr>
      </w:pPr>
      <w:bookmarkStart w:id="16011" w:name="_Toc26783974"/>
      <w:bookmarkStart w:id="16012" w:name="_Toc26781266"/>
      <w:bookmarkStart w:id="16013" w:name="_Toc26777057"/>
      <w:bookmarkStart w:id="16014" w:name="_Toc26742674"/>
      <w:bookmarkStart w:id="16015" w:name="_Toc26726012"/>
      <w:bookmarkStart w:id="16016" w:name="_Toc26702351"/>
      <w:bookmarkStart w:id="16017" w:name="_Toc26523388"/>
      <w:bookmarkStart w:id="16018" w:name="_Toc26477507"/>
      <w:bookmarkStart w:id="16019" w:name="_Toc26477382"/>
      <w:bookmarkStart w:id="16020" w:name="_Toc26442686"/>
      <w:r>
        <w:rPr>
          <w:rFonts w:hint="cs"/>
          <w:rtl/>
        </w:rPr>
        <w:t>קושית התוס' בסתירת דברי רב דימי אי אמרינן דקמא קמא בטיל או דחוזר וניעור</w:t>
      </w:r>
      <w:bookmarkEnd w:id="16011"/>
      <w:bookmarkEnd w:id="16012"/>
      <w:bookmarkEnd w:id="16013"/>
      <w:bookmarkEnd w:id="16014"/>
      <w:bookmarkEnd w:id="16015"/>
      <w:bookmarkEnd w:id="16016"/>
      <w:bookmarkEnd w:id="16017"/>
      <w:bookmarkEnd w:id="16018"/>
      <w:bookmarkEnd w:id="16019"/>
      <w:bookmarkEnd w:id="16020"/>
    </w:p>
    <w:p w:rsidR="009F44AF" w:rsidRDefault="009F44AF" w:rsidP="009F44AF">
      <w:pPr>
        <w:pStyle w:val="a"/>
        <w:numPr>
          <w:ilvl w:val="0"/>
          <w:numId w:val="17"/>
        </w:numPr>
      </w:pPr>
      <w:bookmarkStart w:id="16021" w:name="_Ref26732286"/>
      <w:r>
        <w:rPr>
          <w:rFonts w:hint="cs"/>
          <w:rtl/>
        </w:rPr>
        <w:t xml:space="preserve">וכתבו </w:t>
      </w:r>
      <w:r>
        <w:rPr>
          <w:rStyle w:val="af8"/>
          <w:rtl/>
        </w:rPr>
        <w:t xml:space="preserve">התוס' </w:t>
      </w:r>
      <w:r w:rsidRPr="009F44AF">
        <w:rPr>
          <w:rStyle w:val="af6"/>
          <w:rFonts w:eastAsia="Guttman Hodes" w:hint="cs"/>
          <w:rtl/>
        </w:rPr>
        <w:t>(עג. ד"ה כי אתא)</w:t>
      </w:r>
      <w:r>
        <w:rPr>
          <w:rFonts w:hint="cs"/>
          <w:rtl/>
        </w:rPr>
        <w:t xml:space="preserve"> דהא דאמר רב דימי דקמא קמא בטיל אפילו כל היום כולו, כוונתו לומר דאף שלבסוף היין נסך מתרבה על האיסור, מ"מ אמרינן קמא קמא בטיל, והקשו </w:t>
      </w:r>
      <w:r>
        <w:rPr>
          <w:rStyle w:val="af8"/>
          <w:rtl/>
        </w:rPr>
        <w:t xml:space="preserve">התוס' </w:t>
      </w:r>
      <w:r>
        <w:rPr>
          <w:rFonts w:hint="cs"/>
          <w:rtl/>
        </w:rPr>
        <w:t xml:space="preserve">דהרי איתא בגמ' בבכורות </w:t>
      </w:r>
      <w:r w:rsidRPr="009F44AF">
        <w:rPr>
          <w:rStyle w:val="af6"/>
          <w:rFonts w:eastAsia="Guttman Hodes" w:hint="cs"/>
          <w:rtl/>
        </w:rPr>
        <w:t>(כב.)</w:t>
      </w:r>
      <w:r>
        <w:rPr>
          <w:rFonts w:hint="cs"/>
          <w:rtl/>
        </w:rPr>
        <w:t xml:space="preserve"> אמרינן דהקונה ציר מעם הארץ דהציר עצמו אינו מקבל טומאה אך המים שבו מקבלים טומאה, דמהני לו השקה לטהרו, ממה נפשך, כיון שאם יש בו רוב ציר ומיעוט מים, א"כ אינו מקבל טומאה דהמים בטלים בציר, ואם יש רוב מים א"כ אף דלציר לא מהני השקה, מ"מ למים מהני השקה, ומסקנת הגמ' בבכורות דמותר בהשקה רק לטבל בו פת, אך אסור לבשלו בקדירה, כיון דמצא מין את מינו וחוזר וניעור, וכתבו </w:t>
      </w:r>
      <w:r>
        <w:rPr>
          <w:rStyle w:val="af8"/>
          <w:rtl/>
        </w:rPr>
        <w:t xml:space="preserve">התוס' </w:t>
      </w:r>
      <w:r>
        <w:rPr>
          <w:rFonts w:hint="cs"/>
          <w:rtl/>
        </w:rPr>
        <w:t xml:space="preserve">דמוכח דלא אמרינן </w:t>
      </w:r>
      <w:r>
        <w:rPr>
          <w:rFonts w:hint="cs"/>
          <w:rtl/>
        </w:rPr>
        <w:t xml:space="preserve">דקמא קמא בטיל, והוסיפו </w:t>
      </w:r>
      <w:r>
        <w:rPr>
          <w:rStyle w:val="af8"/>
          <w:rtl/>
        </w:rPr>
        <w:t xml:space="preserve">התוס' </w:t>
      </w:r>
      <w:r>
        <w:rPr>
          <w:rFonts w:hint="cs"/>
          <w:rtl/>
        </w:rPr>
        <w:t>דהרי אף רב דימי אמר כן בבכורות, והוא סותר לדבריו בסוגיין דאמר דקמא קמא בטיל</w:t>
      </w:r>
      <w:bookmarkEnd w:id="16021"/>
      <w:r>
        <w:rPr>
          <w:rFonts w:hint="cs"/>
          <w:rtl/>
        </w:rPr>
        <w:t>.</w:t>
      </w:r>
      <w:r>
        <w:rPr>
          <w:rStyle w:val="afa"/>
          <w:rtl/>
        </w:rPr>
        <w:t xml:space="preserve"> [ועי' במ"ש בזה </w:t>
      </w:r>
      <w:r>
        <w:rPr>
          <w:rStyle w:val="affa"/>
          <w:rtl/>
        </w:rPr>
        <w:t>הראב"ד בתמים דעים</w:t>
      </w:r>
      <w:r>
        <w:rPr>
          <w:rFonts w:hint="cs"/>
          <w:rtl/>
        </w:rPr>
        <w:t xml:space="preserve"> </w:t>
      </w:r>
      <w:r>
        <w:rPr>
          <w:rStyle w:val="aff6"/>
          <w:rtl/>
        </w:rPr>
        <w:t>(עי' הערה</w:t>
      </w:r>
      <w:r w:rsidRPr="009F44AF">
        <w:rPr>
          <w:rFonts w:hint="cs"/>
          <w:vertAlign w:val="superscript"/>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sidRPr="009F44AF">
        <w:rPr>
          <w:rFonts w:hint="cs"/>
          <w:vertAlign w:val="superscript"/>
          <w:rtl/>
        </w:rPr>
      </w:r>
      <w:r w:rsidRPr="009F44AF">
        <w:rPr>
          <w:rFonts w:hint="cs"/>
          <w:vertAlign w:val="superscript"/>
          <w:rtl/>
        </w:rPr>
        <w:fldChar w:fldCharType="separate"/>
      </w:r>
      <w:r w:rsidR="004D1C5B">
        <w:rPr>
          <w:vertAlign w:val="superscript"/>
          <w:rtl/>
        </w:rPr>
        <w:t>78</w:t>
      </w:r>
      <w:r w:rsidRPr="009F44AF">
        <w:rPr>
          <w:rFonts w:hint="cs"/>
          <w:vertAlign w:val="superscript"/>
          <w:rtl/>
        </w:rPr>
        <w:fldChar w:fldCharType="end"/>
      </w:r>
      <w:r>
        <w:rPr>
          <w:rStyle w:val="aff6"/>
          <w:rtl/>
        </w:rPr>
        <w:t>)</w:t>
      </w:r>
      <w:r>
        <w:rPr>
          <w:rStyle w:val="afa"/>
          <w:rtl/>
        </w:rPr>
        <w:t>].</w:t>
      </w:r>
      <w:r>
        <w:rPr>
          <w:rFonts w:hint="cs"/>
          <w:rtl/>
        </w:rPr>
        <w:t xml:space="preserve"> </w:t>
      </w:r>
    </w:p>
    <w:p w:rsidR="009F44AF" w:rsidRDefault="009F44AF" w:rsidP="009F44AF">
      <w:pPr>
        <w:pStyle w:val="a2"/>
        <w:rPr>
          <w:rtl/>
        </w:rPr>
      </w:pPr>
      <w:bookmarkStart w:id="16022" w:name="_Toc26783975"/>
      <w:bookmarkStart w:id="16023" w:name="_Toc26781267"/>
      <w:bookmarkStart w:id="16024" w:name="_Toc26777058"/>
      <w:bookmarkStart w:id="16025" w:name="_Toc26742675"/>
      <w:bookmarkStart w:id="16026" w:name="_Toc26726013"/>
      <w:bookmarkStart w:id="16027" w:name="_Toc26702352"/>
      <w:bookmarkStart w:id="16028" w:name="_Toc26523389"/>
      <w:bookmarkStart w:id="16029" w:name="_Toc26477508"/>
      <w:bookmarkStart w:id="16030" w:name="_Toc26477383"/>
      <w:bookmarkStart w:id="16031" w:name="_Toc26442687"/>
      <w:r>
        <w:rPr>
          <w:rFonts w:hint="cs"/>
          <w:rtl/>
        </w:rPr>
        <w:t>קושית התוס' בסתירת דברי ריו"ח אי אמרינן קמא קמא בטיל</w:t>
      </w:r>
      <w:bookmarkEnd w:id="16022"/>
      <w:bookmarkEnd w:id="16023"/>
      <w:bookmarkEnd w:id="16024"/>
      <w:bookmarkEnd w:id="16025"/>
      <w:bookmarkEnd w:id="16026"/>
      <w:bookmarkEnd w:id="16027"/>
      <w:bookmarkEnd w:id="16028"/>
      <w:bookmarkEnd w:id="16029"/>
      <w:bookmarkEnd w:id="16030"/>
      <w:bookmarkEnd w:id="16031"/>
    </w:p>
    <w:p w:rsidR="009F44AF" w:rsidRDefault="009F44AF" w:rsidP="009F44AF">
      <w:pPr>
        <w:pStyle w:val="a"/>
        <w:numPr>
          <w:ilvl w:val="0"/>
          <w:numId w:val="17"/>
        </w:numPr>
        <w:rPr>
          <w:rtl/>
        </w:rPr>
      </w:pPr>
      <w:bookmarkStart w:id="16032" w:name="_Ref26732214"/>
      <w:r>
        <w:rPr>
          <w:rFonts w:hint="cs"/>
          <w:rtl/>
        </w:rPr>
        <w:t xml:space="preserve">ועוד הקשו </w:t>
      </w:r>
      <w:r>
        <w:rPr>
          <w:rStyle w:val="af8"/>
          <w:rtl/>
        </w:rPr>
        <w:t xml:space="preserve">התוס' </w:t>
      </w:r>
      <w:r>
        <w:rPr>
          <w:rFonts w:hint="cs"/>
          <w:rtl/>
        </w:rPr>
        <w:t xml:space="preserve">על דברי ריו"ח דבסוגיין אמר דקמא קמא בטיל, ואילו בגמ' בנדרים </w:t>
      </w:r>
      <w:r w:rsidRPr="009F44AF">
        <w:rPr>
          <w:rStyle w:val="af6"/>
          <w:rFonts w:eastAsia="Guttman Hodes" w:hint="cs"/>
          <w:rtl/>
        </w:rPr>
        <w:t>(נז:)</w:t>
      </w:r>
      <w:r>
        <w:rPr>
          <w:rFonts w:hint="cs"/>
          <w:rtl/>
        </w:rPr>
        <w:t xml:space="preserve"> דעת ריו"ח דבצל של תרומה שנטעו, ויש רוב במה שגדל בחולין על עיקר הבצל של התרומה, דהבצל אסור מדין טבל אפילו לכהן, ולא אמרינן דקמא קמא בטיל, וכן הקשה </w:t>
      </w:r>
      <w:r>
        <w:rPr>
          <w:rStyle w:val="af8"/>
          <w:rtl/>
        </w:rPr>
        <w:t xml:space="preserve">הרא"ש </w:t>
      </w:r>
      <w:r w:rsidRPr="009F44AF">
        <w:rPr>
          <w:rStyle w:val="af6"/>
          <w:rFonts w:eastAsia="Guttman Hodes" w:hint="cs"/>
          <w:rtl/>
        </w:rPr>
        <w:t>(סי' כ"ח ד"ה וא"ת)</w:t>
      </w:r>
      <w:bookmarkStart w:id="16033" w:name="_Toc26726014"/>
      <w:bookmarkStart w:id="16034" w:name="_Toc26702353"/>
      <w:bookmarkStart w:id="16035" w:name="_Toc26523390"/>
      <w:bookmarkStart w:id="16036" w:name="_Toc26477509"/>
      <w:bookmarkStart w:id="16037" w:name="_Toc26477384"/>
      <w:bookmarkStart w:id="16038" w:name="_Toc26442688"/>
      <w:bookmarkEnd w:id="16032"/>
      <w:r>
        <w:rPr>
          <w:rFonts w:hint="cs"/>
          <w:rtl/>
        </w:rPr>
        <w:t xml:space="preserve"> .</w:t>
      </w:r>
      <w:r>
        <w:rPr>
          <w:rStyle w:val="afa"/>
          <w:rtl/>
        </w:rPr>
        <w:t xml:space="preserve"> [ועי' במ"ש בזה </w:t>
      </w:r>
      <w:r>
        <w:rPr>
          <w:rStyle w:val="affa"/>
          <w:rtl/>
        </w:rPr>
        <w:t>הראב"ד בתמים דעים</w:t>
      </w:r>
      <w:r>
        <w:rPr>
          <w:rFonts w:hint="cs"/>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78</w:t>
      </w:r>
      <w:r>
        <w:rPr>
          <w:rFonts w:hint="cs"/>
          <w:rtl/>
        </w:rPr>
        <w:fldChar w:fldCharType="end"/>
      </w:r>
      <w:r>
        <w:rPr>
          <w:rStyle w:val="aff6"/>
          <w:rtl/>
        </w:rPr>
        <w:t>)</w:t>
      </w:r>
      <w:r>
        <w:rPr>
          <w:rStyle w:val="afa"/>
          <w:rtl/>
        </w:rPr>
        <w:t>].</w:t>
      </w:r>
      <w:r>
        <w:rPr>
          <w:rFonts w:hint="cs"/>
          <w:rtl/>
        </w:rPr>
        <w:t xml:space="preserve"> </w:t>
      </w:r>
    </w:p>
    <w:p w:rsidR="009F44AF" w:rsidRDefault="009F44AF" w:rsidP="009F44AF">
      <w:pPr>
        <w:pStyle w:val="a2"/>
        <w:rPr>
          <w:rtl/>
        </w:rPr>
      </w:pPr>
      <w:bookmarkStart w:id="16039" w:name="_Toc26783976"/>
      <w:bookmarkStart w:id="16040" w:name="_Toc26781268"/>
      <w:bookmarkStart w:id="16041" w:name="_Toc26777059"/>
      <w:bookmarkStart w:id="16042" w:name="_Toc26742676"/>
      <w:r>
        <w:rPr>
          <w:rFonts w:hint="cs"/>
          <w:rtl/>
        </w:rPr>
        <w:t>קושיות הרא"ש דביין נסך אמרינן דקמא קמא בטיל ואילו בזוחלים ובערלה וכלאים לא אמרינן</w:t>
      </w:r>
      <w:bookmarkEnd w:id="16033"/>
      <w:bookmarkEnd w:id="16034"/>
      <w:bookmarkEnd w:id="16035"/>
      <w:bookmarkEnd w:id="16036"/>
      <w:bookmarkEnd w:id="16037"/>
      <w:bookmarkEnd w:id="16038"/>
      <w:bookmarkEnd w:id="16039"/>
      <w:bookmarkEnd w:id="16040"/>
      <w:bookmarkEnd w:id="16041"/>
      <w:bookmarkEnd w:id="16042"/>
    </w:p>
    <w:p w:rsidR="009F44AF" w:rsidRDefault="009F44AF" w:rsidP="009F44AF">
      <w:pPr>
        <w:pStyle w:val="a"/>
        <w:numPr>
          <w:ilvl w:val="0"/>
          <w:numId w:val="17"/>
        </w:numPr>
        <w:rPr>
          <w:rtl/>
        </w:rPr>
      </w:pPr>
      <w:bookmarkStart w:id="16043" w:name="_Ref26732296"/>
      <w:r>
        <w:rPr>
          <w:rFonts w:hint="cs"/>
          <w:rtl/>
        </w:rPr>
        <w:t xml:space="preserve">ועוד הקשה </w:t>
      </w:r>
      <w:r>
        <w:rPr>
          <w:rStyle w:val="af8"/>
          <w:rtl/>
        </w:rPr>
        <w:t xml:space="preserve">הרא"ש </w:t>
      </w:r>
      <w:r w:rsidRPr="009F44AF">
        <w:rPr>
          <w:rStyle w:val="af6"/>
          <w:rFonts w:eastAsia="Guttman Hodes" w:hint="cs"/>
          <w:rtl/>
        </w:rPr>
        <w:t>(סי' כ"ח ד"ה וא"ת)</w:t>
      </w:r>
      <w:r>
        <w:rPr>
          <w:rFonts w:hint="cs"/>
          <w:rtl/>
        </w:rPr>
        <w:t xml:space="preserve"> מ"ש יין נסך דאמרינן בו דקמא קמא בטיל, מהא דאיתא בגמ' בשבת</w:t>
      </w:r>
      <w:r w:rsidRPr="009F44AF">
        <w:rPr>
          <w:rStyle w:val="af6"/>
          <w:rFonts w:eastAsia="Guttman Hodes" w:hint="cs"/>
          <w:rtl/>
        </w:rPr>
        <w:t xml:space="preserve"> (סה:)</w:t>
      </w:r>
      <w:r>
        <w:rPr>
          <w:rFonts w:hint="cs"/>
          <w:rtl/>
        </w:rPr>
        <w:t xml:space="preserve"> ובבכורות </w:t>
      </w:r>
      <w:r w:rsidRPr="009F44AF">
        <w:rPr>
          <w:rStyle w:val="af6"/>
          <w:rFonts w:eastAsia="Guttman Hodes" w:hint="cs"/>
          <w:rtl/>
        </w:rPr>
        <w:t>(נה:)</w:t>
      </w:r>
      <w:r>
        <w:rPr>
          <w:rFonts w:hint="cs"/>
          <w:rtl/>
        </w:rPr>
        <w:t xml:space="preserve"> דאסור לטבול בנהרות בימי ניסן שמא ירבו הנוטפין על הזוחלין, ולא אמרינן דהנוטפין התבטלו בזוחלין מדין קמא קמא בטיל, </w:t>
      </w:r>
      <w:r>
        <w:rPr>
          <w:rStyle w:val="afa"/>
          <w:rtl/>
        </w:rPr>
        <w:t xml:space="preserve">[ועי' במ"ש בזה </w:t>
      </w:r>
      <w:r>
        <w:rPr>
          <w:rStyle w:val="affa"/>
          <w:rtl/>
        </w:rPr>
        <w:t>הראב"ד בתמים דעים</w:t>
      </w:r>
      <w:r>
        <w:rPr>
          <w:rFonts w:hint="cs"/>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78</w:t>
      </w:r>
      <w:r>
        <w:rPr>
          <w:rFonts w:hint="cs"/>
          <w:rtl/>
        </w:rPr>
        <w:fldChar w:fldCharType="end"/>
      </w:r>
      <w:r>
        <w:rPr>
          <w:rStyle w:val="aff6"/>
          <w:rtl/>
        </w:rPr>
        <w:t>)</w:t>
      </w:r>
      <w:r>
        <w:rPr>
          <w:rStyle w:val="afa"/>
          <w:rtl/>
        </w:rPr>
        <w:t xml:space="preserve">], </w:t>
      </w:r>
      <w:r>
        <w:rPr>
          <w:rFonts w:hint="cs"/>
          <w:rtl/>
        </w:rPr>
        <w:t xml:space="preserve">ועוד הקשה </w:t>
      </w:r>
      <w:r>
        <w:rPr>
          <w:rStyle w:val="af8"/>
          <w:rtl/>
        </w:rPr>
        <w:t>הרא"ש</w:t>
      </w:r>
      <w:r>
        <w:rPr>
          <w:rFonts w:hint="cs"/>
          <w:rtl/>
        </w:rPr>
        <w:t xml:space="preserve"> מהמשנה בכלאים </w:t>
      </w:r>
      <w:r w:rsidRPr="009F44AF">
        <w:rPr>
          <w:rStyle w:val="af6"/>
          <w:rFonts w:eastAsia="Guttman Hodes" w:hint="cs"/>
          <w:rtl/>
        </w:rPr>
        <w:t>(פ"ה מ"ו)</w:t>
      </w:r>
      <w:r>
        <w:rPr>
          <w:rFonts w:hint="cs"/>
          <w:rtl/>
        </w:rPr>
        <w:t xml:space="preserve"> דכלאים שהוסיפו מאתיים בהיתר מותרים, ולא אמרינן דההיתר התבטל באיסור מדין קמא קמא בטיל</w:t>
      </w:r>
      <w:bookmarkStart w:id="16044" w:name="_Toc26726015"/>
      <w:bookmarkStart w:id="16045" w:name="_Toc26702354"/>
      <w:bookmarkStart w:id="16046" w:name="_Toc26523391"/>
      <w:bookmarkStart w:id="16047" w:name="_Toc26477510"/>
      <w:bookmarkStart w:id="16048" w:name="_Toc26477385"/>
      <w:bookmarkStart w:id="16049" w:name="_Toc26442689"/>
      <w:bookmarkEnd w:id="16043"/>
      <w:r>
        <w:rPr>
          <w:rFonts w:hint="cs"/>
          <w:rtl/>
        </w:rPr>
        <w:t>.</w:t>
      </w:r>
      <w:r>
        <w:rPr>
          <w:rStyle w:val="afa"/>
          <w:rtl/>
        </w:rPr>
        <w:t xml:space="preserve"> </w:t>
      </w:r>
    </w:p>
    <w:p w:rsidR="009F44AF" w:rsidRDefault="009F44AF" w:rsidP="0098721B">
      <w:pPr>
        <w:pStyle w:val="1"/>
        <w:rPr>
          <w:rtl/>
        </w:rPr>
      </w:pPr>
      <w:bookmarkStart w:id="16050" w:name="_Toc26781269"/>
      <w:bookmarkStart w:id="16051" w:name="_Toc26777060"/>
      <w:bookmarkStart w:id="16052" w:name="_Toc26742677"/>
      <w:bookmarkStart w:id="16053" w:name="_Toc26783977"/>
      <w:r>
        <w:rPr>
          <w:rFonts w:hint="cs"/>
          <w:rtl/>
        </w:rPr>
        <w:t>ביאור התוס' והרא"ש</w:t>
      </w:r>
      <w:bookmarkEnd w:id="16044"/>
      <w:bookmarkEnd w:id="16045"/>
      <w:bookmarkEnd w:id="16046"/>
      <w:bookmarkEnd w:id="16047"/>
      <w:bookmarkEnd w:id="16048"/>
      <w:bookmarkEnd w:id="16049"/>
      <w:bookmarkEnd w:id="16050"/>
      <w:bookmarkEnd w:id="16051"/>
      <w:bookmarkEnd w:id="16052"/>
      <w:r>
        <w:rPr>
          <w:rFonts w:hint="cs"/>
          <w:rtl/>
        </w:rPr>
        <w:t xml:space="preserve"> דדוקא בפחות משישים קמא קמא בטיל</w:t>
      </w:r>
      <w:bookmarkEnd w:id="16053"/>
    </w:p>
    <w:p w:rsidR="009F44AF" w:rsidRDefault="009F44AF" w:rsidP="009F44AF">
      <w:pPr>
        <w:pStyle w:val="a2"/>
        <w:rPr>
          <w:rtl/>
        </w:rPr>
      </w:pPr>
      <w:bookmarkStart w:id="16054" w:name="_Toc26783978"/>
      <w:bookmarkStart w:id="16055" w:name="_Toc26781270"/>
      <w:bookmarkStart w:id="16056" w:name="_Toc26777061"/>
      <w:bookmarkStart w:id="16057" w:name="_Toc26742678"/>
      <w:bookmarkStart w:id="16058" w:name="_Toc26726016"/>
      <w:bookmarkStart w:id="16059" w:name="_Toc26702355"/>
      <w:bookmarkStart w:id="16060" w:name="_Toc26523392"/>
      <w:bookmarkStart w:id="16061" w:name="_Toc26477511"/>
      <w:bookmarkStart w:id="16062" w:name="_Toc26477386"/>
      <w:bookmarkStart w:id="16063" w:name="_Toc26442690"/>
      <w:r>
        <w:rPr>
          <w:rFonts w:hint="cs"/>
          <w:rtl/>
        </w:rPr>
        <w:t>תירוץ התוס' והרא"ש דאף רב דימי מודה דכשאין שישים בהיתר לא אמרינן קמא קמא בטיל</w:t>
      </w:r>
      <w:bookmarkEnd w:id="16054"/>
      <w:bookmarkEnd w:id="16055"/>
      <w:bookmarkEnd w:id="16056"/>
      <w:bookmarkEnd w:id="16057"/>
      <w:bookmarkEnd w:id="16058"/>
      <w:bookmarkEnd w:id="16059"/>
      <w:bookmarkEnd w:id="16060"/>
      <w:bookmarkEnd w:id="16061"/>
      <w:bookmarkEnd w:id="16062"/>
      <w:bookmarkEnd w:id="16063"/>
      <w:r>
        <w:rPr>
          <w:rFonts w:hint="cs"/>
          <w:rtl/>
        </w:rPr>
        <w:t xml:space="preserve"> </w:t>
      </w:r>
    </w:p>
    <w:p w:rsidR="009F44AF" w:rsidRDefault="009F44AF" w:rsidP="009F44AF">
      <w:pPr>
        <w:pStyle w:val="a"/>
        <w:numPr>
          <w:ilvl w:val="0"/>
          <w:numId w:val="17"/>
        </w:numPr>
        <w:rPr>
          <w:rtl/>
        </w:rPr>
      </w:pPr>
      <w:bookmarkStart w:id="16064" w:name="_Ref26437995"/>
      <w:r>
        <w:rPr>
          <w:rFonts w:hint="cs"/>
          <w:rtl/>
        </w:rPr>
        <w:t xml:space="preserve">ותירצו </w:t>
      </w:r>
      <w:r>
        <w:rPr>
          <w:rStyle w:val="af8"/>
          <w:rtl/>
        </w:rPr>
        <w:t xml:space="preserve">התוס' והרא"ש </w:t>
      </w:r>
      <w:r>
        <w:rPr>
          <w:rFonts w:hint="cs"/>
          <w:rtl/>
        </w:rPr>
        <w:t>דכ"מ דאמר רב דימי בסוגיין דקמא קמא בטיל, היינו דוקא כשיש בהיתר שישים כנגד כל היין נסך שנפל לתוכו, אבל אם נפל יין נסך לתוך היתר, עד שאין בהיתר שישים כנגדו, הוא אוסר אפילו בנפל בכמה פעמים, דכיון שאין שישים כנגדו אמרינן דמצא מין את מינו וחוזר וניעור.</w:t>
      </w:r>
      <w:bookmarkEnd w:id="16064"/>
    </w:p>
    <w:p w:rsidR="009F44AF" w:rsidRDefault="009F44AF" w:rsidP="009F44AF">
      <w:pPr>
        <w:pStyle w:val="a2"/>
        <w:rPr>
          <w:rtl/>
        </w:rPr>
      </w:pPr>
      <w:bookmarkStart w:id="16065" w:name="_Toc26783979"/>
      <w:bookmarkStart w:id="16066" w:name="_Toc26781271"/>
      <w:bookmarkStart w:id="16067" w:name="_Toc26777062"/>
      <w:bookmarkStart w:id="16068" w:name="_Toc26742679"/>
      <w:bookmarkStart w:id="16069" w:name="_Toc26726017"/>
      <w:bookmarkStart w:id="16070" w:name="_Toc26702356"/>
      <w:bookmarkStart w:id="16071" w:name="_Toc26523393"/>
      <w:bookmarkStart w:id="16072" w:name="_Toc26477512"/>
      <w:bookmarkStart w:id="16073" w:name="_Toc26477387"/>
      <w:bookmarkStart w:id="16074" w:name="_Toc26442691"/>
      <w:r>
        <w:rPr>
          <w:rFonts w:hint="cs"/>
          <w:rtl/>
        </w:rPr>
        <w:t>דברי הרא"ש דדברי רב דימי בפחות משישים הם כדין זוחלין וערלה וכלאים</w:t>
      </w:r>
      <w:bookmarkEnd w:id="16065"/>
      <w:bookmarkEnd w:id="16066"/>
      <w:bookmarkEnd w:id="16067"/>
      <w:bookmarkEnd w:id="16068"/>
      <w:bookmarkEnd w:id="16069"/>
      <w:bookmarkEnd w:id="16070"/>
      <w:bookmarkEnd w:id="16071"/>
      <w:bookmarkEnd w:id="16072"/>
      <w:bookmarkEnd w:id="16073"/>
      <w:bookmarkEnd w:id="16074"/>
    </w:p>
    <w:p w:rsidR="009F44AF" w:rsidRDefault="009F44AF" w:rsidP="009F44AF">
      <w:pPr>
        <w:pStyle w:val="a"/>
        <w:numPr>
          <w:ilvl w:val="0"/>
          <w:numId w:val="17"/>
        </w:numPr>
        <w:rPr>
          <w:rtl/>
        </w:rPr>
      </w:pPr>
      <w:r>
        <w:rPr>
          <w:rFonts w:hint="cs"/>
          <w:rtl/>
        </w:rPr>
        <w:t xml:space="preserve">והוסיף </w:t>
      </w:r>
      <w:r>
        <w:rPr>
          <w:rStyle w:val="af8"/>
          <w:rtl/>
        </w:rPr>
        <w:t xml:space="preserve">הרא"ש </w:t>
      </w:r>
      <w:r>
        <w:rPr>
          <w:rFonts w:hint="cs"/>
          <w:rtl/>
        </w:rPr>
        <w:t>דא"כ דברי רב דימי אמר ריו"ח דומים לדין נוטפים וזוחלין, ולדין בצל וכלאים, שהם בטלים עד שיתרבה ההיתר על האיסור, דעל הא דתנן במתני' דיין נסך אוסר בכל שהוא, אמר רב דימי אמר ריו"ח דזהו דוקא בהיתר שנפל לאיסור, אבל איסור שנפל לתוך היתר אמרינן דקמא קמא בטיל, עד שהאיסור יתרבה עד שלא יהיה בהיתר שישים כנגדו.</w:t>
      </w:r>
    </w:p>
    <w:p w:rsidR="009F44AF" w:rsidRDefault="009F44AF" w:rsidP="009F44AF">
      <w:pPr>
        <w:pStyle w:val="a2"/>
        <w:rPr>
          <w:rtl/>
        </w:rPr>
      </w:pPr>
      <w:bookmarkStart w:id="16075" w:name="_Toc26783980"/>
      <w:bookmarkStart w:id="16076" w:name="_Toc26781272"/>
      <w:bookmarkStart w:id="16077" w:name="_Toc26777063"/>
      <w:bookmarkStart w:id="16078" w:name="_Toc26742680"/>
      <w:bookmarkStart w:id="16079" w:name="_Toc26726018"/>
      <w:bookmarkStart w:id="16080" w:name="_Toc26702357"/>
      <w:bookmarkStart w:id="16081" w:name="_Toc26523394"/>
      <w:bookmarkStart w:id="16082" w:name="_Toc26477513"/>
      <w:bookmarkStart w:id="16083" w:name="_Toc26477388"/>
      <w:bookmarkStart w:id="16084" w:name="_Toc26442692"/>
      <w:r>
        <w:rPr>
          <w:rFonts w:hint="cs"/>
          <w:rtl/>
        </w:rPr>
        <w:t>הוכחת התוס' דבפחות משישים אמרינן חזור וניעור מדין בשר וחלב דל"א קמא קמא בטיל</w:t>
      </w:r>
      <w:bookmarkEnd w:id="16075"/>
      <w:bookmarkEnd w:id="16076"/>
      <w:bookmarkEnd w:id="16077"/>
      <w:bookmarkEnd w:id="16078"/>
      <w:bookmarkEnd w:id="16079"/>
      <w:bookmarkEnd w:id="16080"/>
      <w:bookmarkEnd w:id="16081"/>
      <w:bookmarkEnd w:id="16082"/>
      <w:bookmarkEnd w:id="16083"/>
      <w:bookmarkEnd w:id="16084"/>
    </w:p>
    <w:p w:rsidR="009F44AF" w:rsidRDefault="009F44AF" w:rsidP="009F44AF">
      <w:pPr>
        <w:pStyle w:val="a"/>
        <w:numPr>
          <w:ilvl w:val="0"/>
          <w:numId w:val="17"/>
        </w:numPr>
        <w:rPr>
          <w:rtl/>
        </w:rPr>
      </w:pPr>
      <w:r>
        <w:rPr>
          <w:rFonts w:hint="cs"/>
          <w:rtl/>
        </w:rPr>
        <w:t xml:space="preserve">וכתבו </w:t>
      </w:r>
      <w:r>
        <w:rPr>
          <w:rStyle w:val="af8"/>
          <w:rtl/>
        </w:rPr>
        <w:t xml:space="preserve">התוס' </w:t>
      </w:r>
      <w:r>
        <w:rPr>
          <w:rFonts w:hint="cs"/>
          <w:rtl/>
        </w:rPr>
        <w:t xml:space="preserve">דמוכח דבפחות משישים אמרינן חוזר וניעור, דאי נימא דלא אמרינן חוזר וניעור, א"כ אם שופך אדם חלב לקדירת בשר מעט מעט בסירוגין, יהיה מותר אף אם לבסוף יש כ"כ הרבה חלב עד שהוא נותן טעם בהיתר, יהיה מותר מדין קמא קמא בטיל, והרי זה לא יתכן. [וע"ע במ"ש </w:t>
      </w:r>
      <w:r>
        <w:rPr>
          <w:rStyle w:val="af8"/>
          <w:rtl/>
        </w:rPr>
        <w:t>התוס' בחולין</w:t>
      </w:r>
      <w:r>
        <w:rPr>
          <w:rFonts w:hint="cs"/>
          <w:rtl/>
        </w:rPr>
        <w:t xml:space="preserve"> </w:t>
      </w:r>
      <w:r w:rsidRPr="009F44AF">
        <w:rPr>
          <w:rStyle w:val="af6"/>
          <w:rFonts w:eastAsia="Guttman Hodes" w:hint="cs"/>
          <w:rtl/>
        </w:rPr>
        <w:t>(פז: ד"ה רואין)</w:t>
      </w:r>
      <w:r>
        <w:rPr>
          <w:rFonts w:hint="cs"/>
          <w:rtl/>
        </w:rPr>
        <w:t xml:space="preserve"> ובמה שהקשה </w:t>
      </w:r>
      <w:r>
        <w:rPr>
          <w:rStyle w:val="af8"/>
          <w:rtl/>
        </w:rPr>
        <w:t>המהרש"א</w:t>
      </w:r>
      <w:r>
        <w:rPr>
          <w:rFonts w:hint="cs"/>
          <w:rtl/>
        </w:rPr>
        <w:t xml:space="preserve"> </w:t>
      </w:r>
      <w:r w:rsidRPr="009F44AF">
        <w:rPr>
          <w:rStyle w:val="af6"/>
          <w:rFonts w:eastAsia="Guttman Hodes" w:hint="cs"/>
          <w:rtl/>
        </w:rPr>
        <w:t>(חולין פז: על תוד"ה רואין)</w:t>
      </w:r>
      <w:r>
        <w:rPr>
          <w:rFonts w:hint="cs"/>
          <w:rtl/>
        </w:rPr>
        <w:t xml:space="preserve"> על דבריהם].</w:t>
      </w:r>
    </w:p>
    <w:p w:rsidR="009F44AF" w:rsidRDefault="009F44AF" w:rsidP="0098721B">
      <w:pPr>
        <w:pStyle w:val="1"/>
        <w:rPr>
          <w:rtl/>
        </w:rPr>
      </w:pPr>
      <w:bookmarkStart w:id="16085" w:name="_Toc26781273"/>
      <w:bookmarkStart w:id="16086" w:name="_Toc26777064"/>
      <w:bookmarkStart w:id="16087" w:name="_Toc26742681"/>
      <w:bookmarkStart w:id="16088" w:name="_Toc26783981"/>
      <w:bookmarkStart w:id="16089" w:name="_Toc26726019"/>
      <w:bookmarkStart w:id="16090" w:name="_Toc26702358"/>
      <w:bookmarkStart w:id="16091" w:name="_Toc26523395"/>
      <w:bookmarkStart w:id="16092" w:name="_Toc26477514"/>
      <w:bookmarkStart w:id="16093" w:name="_Toc26477389"/>
      <w:bookmarkStart w:id="16094" w:name="_Toc26442693"/>
      <w:r>
        <w:rPr>
          <w:rFonts w:hint="cs"/>
          <w:rtl/>
        </w:rPr>
        <w:t>דברי התוס' והרא"ש</w:t>
      </w:r>
      <w:bookmarkEnd w:id="16085"/>
      <w:bookmarkEnd w:id="16086"/>
      <w:bookmarkEnd w:id="16087"/>
      <w:r>
        <w:rPr>
          <w:rFonts w:hint="cs"/>
          <w:rtl/>
        </w:rPr>
        <w:t xml:space="preserve"> בביאור דברי רב דימי</w:t>
      </w:r>
      <w:bookmarkEnd w:id="16088"/>
    </w:p>
    <w:p w:rsidR="009F44AF" w:rsidRDefault="009F44AF" w:rsidP="009F44AF">
      <w:pPr>
        <w:pStyle w:val="a2"/>
        <w:rPr>
          <w:rtl/>
        </w:rPr>
      </w:pPr>
      <w:bookmarkStart w:id="16095" w:name="_Toc26783982"/>
      <w:bookmarkStart w:id="16096" w:name="_Toc26781274"/>
      <w:bookmarkStart w:id="16097" w:name="_Toc26777065"/>
      <w:bookmarkStart w:id="16098" w:name="_Toc26742682"/>
      <w:r>
        <w:rPr>
          <w:rFonts w:hint="cs"/>
          <w:rtl/>
        </w:rPr>
        <w:t>קושית התוס' דא"כ מה חידש רב דימי הרי בפחות משישים לעולם מהני ביטול</w:t>
      </w:r>
      <w:bookmarkEnd w:id="16089"/>
      <w:bookmarkEnd w:id="16090"/>
      <w:bookmarkEnd w:id="16091"/>
      <w:bookmarkEnd w:id="16092"/>
      <w:bookmarkEnd w:id="16093"/>
      <w:bookmarkEnd w:id="16094"/>
      <w:bookmarkEnd w:id="16095"/>
      <w:bookmarkEnd w:id="16096"/>
      <w:bookmarkEnd w:id="16097"/>
      <w:bookmarkEnd w:id="16098"/>
    </w:p>
    <w:p w:rsidR="009F44AF" w:rsidRDefault="009F44AF" w:rsidP="009F44AF">
      <w:pPr>
        <w:pStyle w:val="a"/>
        <w:numPr>
          <w:ilvl w:val="0"/>
          <w:numId w:val="17"/>
        </w:numPr>
        <w:rPr>
          <w:rtl/>
        </w:rPr>
      </w:pPr>
      <w:r>
        <w:rPr>
          <w:rFonts w:hint="cs"/>
          <w:rtl/>
        </w:rPr>
        <w:t xml:space="preserve">אך הקשו </w:t>
      </w:r>
      <w:r>
        <w:rPr>
          <w:rStyle w:val="af8"/>
          <w:rtl/>
        </w:rPr>
        <w:t xml:space="preserve">התוס' </w:t>
      </w:r>
      <w:r>
        <w:rPr>
          <w:rFonts w:hint="cs"/>
          <w:rtl/>
        </w:rPr>
        <w:t xml:space="preserve">דאי בפחות משישים בהיתר אמרינן חוזר וניעור, א"כ מה חידש רב דימי דקמא קמא בטיל, הרי בפחות משישים לעולם הוא בטל. [ועי' במה שהקשה </w:t>
      </w:r>
      <w:r>
        <w:rPr>
          <w:rStyle w:val="af8"/>
          <w:rtl/>
        </w:rPr>
        <w:t xml:space="preserve">הגרעק"א בגלהש"ס </w:t>
      </w:r>
      <w:r>
        <w:rPr>
          <w:rFonts w:hint="cs"/>
          <w:rtl/>
        </w:rPr>
        <w:t xml:space="preserve">על קושית </w:t>
      </w:r>
      <w:r>
        <w:rPr>
          <w:rStyle w:val="af8"/>
          <w:rtl/>
        </w:rPr>
        <w:t>התוס'</w:t>
      </w:r>
      <w:r>
        <w:rPr>
          <w:rFonts w:hint="cs"/>
          <w:rtl/>
        </w:rPr>
        <w:t>].</w:t>
      </w:r>
    </w:p>
    <w:p w:rsidR="009F44AF" w:rsidRDefault="009F44AF" w:rsidP="009F44AF">
      <w:pPr>
        <w:pStyle w:val="a2"/>
        <w:rPr>
          <w:rtl/>
        </w:rPr>
      </w:pPr>
      <w:bookmarkStart w:id="16099" w:name="_Toc26783983"/>
      <w:bookmarkStart w:id="16100" w:name="_Toc26781275"/>
      <w:bookmarkStart w:id="16101" w:name="_Toc26777066"/>
      <w:bookmarkStart w:id="16102" w:name="_Toc26742683"/>
      <w:bookmarkStart w:id="16103" w:name="_Toc26726020"/>
      <w:bookmarkStart w:id="16104" w:name="_Toc26702359"/>
      <w:bookmarkStart w:id="16105" w:name="_Toc26523396"/>
      <w:bookmarkStart w:id="16106" w:name="_Toc26477515"/>
      <w:bookmarkStart w:id="16107" w:name="_Toc26477390"/>
      <w:bookmarkStart w:id="16108" w:name="_Toc26442694"/>
      <w:r>
        <w:rPr>
          <w:rFonts w:hint="cs"/>
          <w:rtl/>
        </w:rPr>
        <w:t>תירוץ התוס' דרב דימי חידש דהא דיין נסך אוסר במשהו הוא רק בהיתר שנפל לתוך איסור</w:t>
      </w:r>
      <w:bookmarkEnd w:id="16099"/>
      <w:bookmarkEnd w:id="16100"/>
      <w:bookmarkEnd w:id="16101"/>
      <w:bookmarkEnd w:id="16102"/>
      <w:bookmarkEnd w:id="16103"/>
      <w:bookmarkEnd w:id="16104"/>
      <w:bookmarkEnd w:id="16105"/>
      <w:bookmarkEnd w:id="16106"/>
      <w:bookmarkEnd w:id="16107"/>
      <w:bookmarkEnd w:id="16108"/>
      <w:r>
        <w:rPr>
          <w:rFonts w:hint="cs"/>
          <w:rtl/>
        </w:rPr>
        <w:t xml:space="preserve"> </w:t>
      </w:r>
    </w:p>
    <w:p w:rsidR="009F44AF" w:rsidRDefault="009F44AF" w:rsidP="009F44AF">
      <w:pPr>
        <w:pStyle w:val="a"/>
        <w:numPr>
          <w:ilvl w:val="0"/>
          <w:numId w:val="17"/>
        </w:numPr>
        <w:rPr>
          <w:rtl/>
        </w:rPr>
      </w:pPr>
      <w:r>
        <w:rPr>
          <w:rFonts w:hint="cs"/>
          <w:rtl/>
        </w:rPr>
        <w:t xml:space="preserve">ותירצו </w:t>
      </w:r>
      <w:r>
        <w:rPr>
          <w:rStyle w:val="af8"/>
          <w:rtl/>
        </w:rPr>
        <w:t xml:space="preserve">התוס' </w:t>
      </w:r>
      <w:r>
        <w:rPr>
          <w:rFonts w:hint="cs"/>
          <w:rtl/>
        </w:rPr>
        <w:t>דרב דימי חידש דהא דתנן במתני' דיין נסך אוסר במשהו, אין הכוונה לאיסור שנפל לתוך היתר, דבו מהני ביטול עד שישים, אלא להיתר שנפל לתוך איסור דנאסר במשהו.</w:t>
      </w:r>
    </w:p>
    <w:p w:rsidR="009F44AF" w:rsidRDefault="009F44AF" w:rsidP="009F44AF">
      <w:pPr>
        <w:pStyle w:val="a2"/>
        <w:rPr>
          <w:rtl/>
        </w:rPr>
      </w:pPr>
      <w:bookmarkStart w:id="16109" w:name="_Toc26783984"/>
      <w:bookmarkStart w:id="16110" w:name="_Toc26781276"/>
      <w:bookmarkStart w:id="16111" w:name="_Toc26777067"/>
      <w:bookmarkStart w:id="16112" w:name="_Toc26742684"/>
      <w:bookmarkStart w:id="16113" w:name="_Toc26726021"/>
      <w:bookmarkStart w:id="16114" w:name="_Toc26702360"/>
      <w:bookmarkStart w:id="16115" w:name="_Toc26523397"/>
      <w:bookmarkStart w:id="16116" w:name="_Toc26477516"/>
      <w:bookmarkStart w:id="16117" w:name="_Toc26477391"/>
      <w:bookmarkStart w:id="16118" w:name="_Toc26442695"/>
      <w:r>
        <w:rPr>
          <w:rFonts w:hint="cs"/>
          <w:rtl/>
        </w:rPr>
        <w:t>קושית הרא"ש דהביטול באיסור שנפל להיתר הוא מחמת שהיין מועט ולא מדין קמא קמא בטיל</w:t>
      </w:r>
      <w:bookmarkEnd w:id="16109"/>
      <w:bookmarkEnd w:id="16110"/>
      <w:bookmarkEnd w:id="16111"/>
      <w:bookmarkEnd w:id="16112"/>
      <w:bookmarkEnd w:id="16113"/>
      <w:bookmarkEnd w:id="16114"/>
      <w:bookmarkEnd w:id="16115"/>
      <w:bookmarkEnd w:id="16116"/>
      <w:bookmarkEnd w:id="16117"/>
      <w:bookmarkEnd w:id="16118"/>
    </w:p>
    <w:p w:rsidR="009F44AF" w:rsidRDefault="009F44AF" w:rsidP="009F44AF">
      <w:pPr>
        <w:pStyle w:val="a"/>
        <w:numPr>
          <w:ilvl w:val="0"/>
          <w:numId w:val="17"/>
        </w:numPr>
        <w:rPr>
          <w:rtl/>
        </w:rPr>
      </w:pPr>
      <w:r>
        <w:rPr>
          <w:rStyle w:val="af8"/>
          <w:rtl/>
        </w:rPr>
        <w:lastRenderedPageBreak/>
        <w:t xml:space="preserve">והרא"ש </w:t>
      </w:r>
      <w:r w:rsidRPr="009F44AF">
        <w:rPr>
          <w:rStyle w:val="af6"/>
          <w:rFonts w:eastAsia="Guttman Hodes" w:hint="cs"/>
          <w:rtl/>
        </w:rPr>
        <w:t>(סי' כ"ח ד"ה וא"ת)</w:t>
      </w:r>
      <w:r>
        <w:rPr>
          <w:rFonts w:hint="cs"/>
          <w:rtl/>
        </w:rPr>
        <w:t xml:space="preserve"> הקשה דאמאי נקט רב דימי לשון ביטול, דאמר דבאיסור שנפל להיתר קמא קמא בטיל, והרי הא דהיין נסך אינו אוסר את היין שבבור, אינו מחמת שהוא מתבטל, אלא כיון שהוא מיעוט ומיעוט אינו אוסר את הרוב, וא"כ היה לרב דימי לומר דאיסור שנפל לתוך היתר אינו אוסר, עד שיהיה בו שיעור של נתינת טעם, כמו ביין במים שאוסר בנתינת טעם, וביאר </w:t>
      </w:r>
      <w:r>
        <w:rPr>
          <w:rStyle w:val="af8"/>
          <w:rtl/>
        </w:rPr>
        <w:t>החזו"א</w:t>
      </w:r>
      <w:r>
        <w:rPr>
          <w:rFonts w:hint="cs"/>
          <w:rtl/>
        </w:rPr>
        <w:t xml:space="preserve"> </w:t>
      </w:r>
      <w:r w:rsidRPr="009F44AF">
        <w:rPr>
          <w:rStyle w:val="af6"/>
          <w:rFonts w:eastAsia="Guttman Hodes" w:hint="cs"/>
          <w:rtl/>
        </w:rPr>
        <w:t>(סי' מ"ח סק"א ד"ה והרא"ש)</w:t>
      </w:r>
      <w:r>
        <w:rPr>
          <w:rFonts w:hint="cs"/>
          <w:rtl/>
        </w:rPr>
        <w:t xml:space="preserve"> את קושית </w:t>
      </w:r>
      <w:r>
        <w:rPr>
          <w:rStyle w:val="af8"/>
          <w:rtl/>
        </w:rPr>
        <w:t>הרא"ש</w:t>
      </w:r>
      <w:r>
        <w:rPr>
          <w:rFonts w:hint="cs"/>
          <w:rtl/>
        </w:rPr>
        <w:t xml:space="preserve">, דכיון דס"ל </w:t>
      </w:r>
      <w:r>
        <w:rPr>
          <w:rStyle w:val="af8"/>
          <w:rtl/>
        </w:rPr>
        <w:t>להרא"ש</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Ref26437995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יח</w:t>
      </w:r>
      <w:r w:rsidR="004D1C5B">
        <w:rPr>
          <w:rStyle w:val="af6"/>
          <w:rFonts w:eastAsia="Guttman Hodes"/>
          <w:rtl/>
        </w:rPr>
        <w:t>)</w:t>
      </w:r>
      <w:r w:rsidRPr="009F44AF">
        <w:rPr>
          <w:rStyle w:val="af6"/>
          <w:rFonts w:eastAsia="Guttman Hodes" w:hint="cs"/>
          <w:rtl/>
        </w:rPr>
        <w:fldChar w:fldCharType="end"/>
      </w:r>
      <w:r>
        <w:rPr>
          <w:rFonts w:hint="cs"/>
          <w:rtl/>
        </w:rPr>
        <w:t xml:space="preserve"> דאף רב דימי מודה דכל שיש טעם איסור אמרינן חוזר וניעור, א"כ הקשה </w:t>
      </w:r>
      <w:r>
        <w:rPr>
          <w:rStyle w:val="af8"/>
          <w:rtl/>
        </w:rPr>
        <w:t>הרא"ש</w:t>
      </w:r>
      <w:r>
        <w:rPr>
          <w:rFonts w:hint="cs"/>
          <w:rtl/>
        </w:rPr>
        <w:t xml:space="preserve"> דאי איירי רב דימי במקום שאין שיעור נתינת טעם, א"כ למה הוצרך רב דימי לומר דבטל מדין קמא קמא בטיל, הא אף עכשיו אחר שנפל הרבה יין מהני ביטול כיון שאין בו נתינת טעם.</w:t>
      </w:r>
    </w:p>
    <w:p w:rsidR="009F44AF" w:rsidRDefault="009F44AF" w:rsidP="009F44AF">
      <w:pPr>
        <w:pStyle w:val="a2"/>
      </w:pPr>
      <w:bookmarkStart w:id="16119" w:name="_Toc26783985"/>
      <w:bookmarkStart w:id="16120" w:name="_Toc26781277"/>
      <w:bookmarkStart w:id="16121" w:name="_Toc26777068"/>
      <w:bookmarkStart w:id="16122" w:name="_Toc26742685"/>
      <w:bookmarkStart w:id="16123" w:name="_Toc26726022"/>
      <w:bookmarkStart w:id="16124" w:name="_Toc26702361"/>
      <w:bookmarkStart w:id="16125" w:name="_Toc26523398"/>
      <w:bookmarkStart w:id="16126" w:name="_Toc26477517"/>
      <w:bookmarkStart w:id="16127" w:name="_Toc26477392"/>
      <w:bookmarkStart w:id="16128" w:name="_Toc26442696"/>
      <w:r>
        <w:rPr>
          <w:rFonts w:hint="cs"/>
          <w:rtl/>
        </w:rPr>
        <w:t>תירוץ הרא"ש דכוונת רב דימי לחדש דחבית לא נפיש עמודיה כל כל ושייך בו ביטול</w:t>
      </w:r>
      <w:bookmarkEnd w:id="16119"/>
      <w:bookmarkEnd w:id="16120"/>
      <w:bookmarkEnd w:id="16121"/>
      <w:bookmarkEnd w:id="16122"/>
      <w:bookmarkEnd w:id="16123"/>
      <w:bookmarkEnd w:id="16124"/>
      <w:bookmarkEnd w:id="16125"/>
      <w:bookmarkEnd w:id="16126"/>
      <w:bookmarkEnd w:id="16127"/>
      <w:bookmarkEnd w:id="16128"/>
    </w:p>
    <w:p w:rsidR="009F44AF" w:rsidRDefault="009F44AF" w:rsidP="009F44AF">
      <w:pPr>
        <w:pStyle w:val="a"/>
        <w:numPr>
          <w:ilvl w:val="0"/>
          <w:numId w:val="17"/>
        </w:numPr>
        <w:rPr>
          <w:rtl/>
        </w:rPr>
      </w:pPr>
      <w:bookmarkStart w:id="16129" w:name="_Ref26438515"/>
      <w:r>
        <w:rPr>
          <w:rFonts w:hint="cs"/>
          <w:rtl/>
        </w:rPr>
        <w:t xml:space="preserve">ותירץ </w:t>
      </w:r>
      <w:r>
        <w:rPr>
          <w:rStyle w:val="af8"/>
          <w:rtl/>
        </w:rPr>
        <w:t xml:space="preserve">הרא"ש </w:t>
      </w:r>
      <w:r>
        <w:rPr>
          <w:rFonts w:hint="cs"/>
          <w:rtl/>
        </w:rPr>
        <w:t>דרב דימי נקט לשון ביטול, בכדי לומר דאף כשמערה מחבית אמרינן בו קמא קמא בטיל, דס"ל לרב דימי דאף חבית לא נפיש עמודיה כולי האי, ואף שהחבית גדולה יותר מצרצור, מ"מ פי החבית הוא צר, אבל מגיגית דנפיש עמודיה יותר מחבית, אף לרב דימי לא אמרינן דקמא קמא בטיל, אף כשיש בהיתר שישים לבטל את הקילוח של הגיגית.</w:t>
      </w:r>
      <w:bookmarkEnd w:id="16129"/>
    </w:p>
    <w:p w:rsidR="009F44AF" w:rsidRDefault="009F44AF" w:rsidP="009F44AF">
      <w:pPr>
        <w:pStyle w:val="a2"/>
        <w:rPr>
          <w:rtl/>
        </w:rPr>
      </w:pPr>
      <w:bookmarkStart w:id="16130" w:name="_Toc26783986"/>
      <w:bookmarkStart w:id="16131" w:name="_Toc26781278"/>
      <w:bookmarkStart w:id="16132" w:name="_Toc26777069"/>
      <w:bookmarkStart w:id="16133" w:name="_Toc26742686"/>
      <w:bookmarkStart w:id="16134" w:name="_Toc26726023"/>
      <w:bookmarkStart w:id="16135" w:name="_Toc26702362"/>
      <w:bookmarkStart w:id="16136" w:name="_Toc26523399"/>
      <w:bookmarkStart w:id="16137" w:name="_Toc26477518"/>
      <w:bookmarkStart w:id="16138" w:name="_Toc26477393"/>
      <w:bookmarkStart w:id="16139" w:name="_Toc26442697"/>
      <w:r>
        <w:rPr>
          <w:rFonts w:hint="cs"/>
          <w:rtl/>
        </w:rPr>
        <w:t>ביאור החזו"א ברא"ש דבמערה איסור מגיגית בבת אחת חשיב כהיתר לתוך איסור</w:t>
      </w:r>
      <w:bookmarkEnd w:id="16130"/>
      <w:bookmarkEnd w:id="16131"/>
      <w:bookmarkEnd w:id="16132"/>
      <w:bookmarkEnd w:id="16133"/>
      <w:bookmarkEnd w:id="16134"/>
      <w:bookmarkEnd w:id="16135"/>
      <w:bookmarkEnd w:id="16136"/>
      <w:bookmarkEnd w:id="16137"/>
      <w:bookmarkEnd w:id="16138"/>
      <w:bookmarkEnd w:id="16139"/>
    </w:p>
    <w:p w:rsidR="009F44AF" w:rsidRDefault="009F44AF" w:rsidP="00A22260">
      <w:pPr>
        <w:pStyle w:val="a"/>
        <w:numPr>
          <w:ilvl w:val="0"/>
          <w:numId w:val="17"/>
        </w:numPr>
        <w:rPr>
          <w:rtl/>
        </w:rPr>
      </w:pPr>
      <w:r>
        <w:rPr>
          <w:rFonts w:hint="cs"/>
          <w:rtl/>
        </w:rPr>
        <w:t xml:space="preserve">וביאר </w:t>
      </w:r>
      <w:r>
        <w:rPr>
          <w:rStyle w:val="af8"/>
          <w:rtl/>
        </w:rPr>
        <w:t>החזו"א</w:t>
      </w:r>
      <w:r>
        <w:rPr>
          <w:rFonts w:hint="cs"/>
          <w:rtl/>
        </w:rPr>
        <w:t xml:space="preserve"> </w:t>
      </w:r>
      <w:r w:rsidRPr="009F44AF">
        <w:rPr>
          <w:rStyle w:val="af6"/>
          <w:rFonts w:eastAsia="Guttman Hodes" w:hint="cs"/>
          <w:rtl/>
        </w:rPr>
        <w:t>(סי' מ"ח סק"א ד"ה והרא"ש)</w:t>
      </w:r>
      <w:r>
        <w:rPr>
          <w:rFonts w:hint="cs"/>
          <w:rtl/>
        </w:rPr>
        <w:t xml:space="preserve"> את תירוץ </w:t>
      </w:r>
      <w:r>
        <w:rPr>
          <w:rStyle w:val="af8"/>
          <w:rtl/>
        </w:rPr>
        <w:t>הרא"ש</w:t>
      </w:r>
      <w:r>
        <w:rPr>
          <w:rFonts w:hint="cs"/>
          <w:rtl/>
        </w:rPr>
        <w:t xml:space="preserve"> דרב דימי איירי במערה מחבית שאינה פתוחה, ושופך מתוך הנקב של החבית, או שאינה פתוחה לגמרי ושופך מתוך פתח צר, ובזה אמר רב דימי דאף שאפשר לצרף את כל מה שנופל מהחבית ולהחשיב כנפיש עמודיה, מ"מ אמרינן דקמא קמא בטיל, אבל מערה מגיגית שהכל נופל בבת אחת אי"ז נחשב שנפל היתר לתוך איסור, אלא שהאיסור וההיתר נפגשו יחד, וא"כ הוא כנפל היתר לתוך איסור.</w:t>
      </w:r>
    </w:p>
    <w:p w:rsidR="009F44AF" w:rsidRDefault="009F44AF" w:rsidP="0098721B">
      <w:pPr>
        <w:pStyle w:val="1"/>
        <w:rPr>
          <w:rtl/>
        </w:rPr>
      </w:pPr>
      <w:bookmarkStart w:id="16140" w:name="_Toc26783987"/>
      <w:bookmarkStart w:id="16141" w:name="_Toc26781279"/>
      <w:bookmarkStart w:id="16142" w:name="_Toc26777070"/>
      <w:bookmarkStart w:id="16143" w:name="_Toc26742687"/>
      <w:bookmarkStart w:id="16144" w:name="_Toc26726024"/>
      <w:bookmarkStart w:id="16145" w:name="_Toc26702363"/>
      <w:bookmarkStart w:id="16146" w:name="_Toc26523400"/>
      <w:bookmarkStart w:id="16147" w:name="_Toc26477519"/>
      <w:bookmarkStart w:id="16148" w:name="_Toc26477394"/>
      <w:bookmarkStart w:id="16149" w:name="_Toc26442698"/>
      <w:r>
        <w:rPr>
          <w:rFonts w:hint="cs"/>
          <w:rtl/>
        </w:rPr>
        <w:t>ביאור הרא"ש בחומרא דיי"נ דקיי"ל כרב דימי דקמא קמא בטיל</w:t>
      </w:r>
      <w:bookmarkEnd w:id="16140"/>
    </w:p>
    <w:p w:rsidR="009F44AF" w:rsidRDefault="009F44AF" w:rsidP="009F44AF">
      <w:pPr>
        <w:pStyle w:val="a2"/>
        <w:rPr>
          <w:rtl/>
        </w:rPr>
      </w:pPr>
      <w:bookmarkStart w:id="16150" w:name="_Toc26783988"/>
      <w:r>
        <w:rPr>
          <w:rFonts w:hint="cs"/>
          <w:rtl/>
        </w:rPr>
        <w:t>דברי הרא"ש דיי"נ חמור דאוסר בגיגית במשהו ובהיתר לתוך איסור חוזר וניעור בפחות משישים</w:t>
      </w:r>
      <w:bookmarkEnd w:id="16141"/>
      <w:bookmarkEnd w:id="16142"/>
      <w:bookmarkEnd w:id="16143"/>
      <w:bookmarkEnd w:id="16144"/>
      <w:bookmarkEnd w:id="16145"/>
      <w:bookmarkEnd w:id="16146"/>
      <w:bookmarkEnd w:id="16147"/>
      <w:bookmarkEnd w:id="16148"/>
      <w:bookmarkEnd w:id="16149"/>
      <w:bookmarkEnd w:id="16150"/>
    </w:p>
    <w:p w:rsidR="009F44AF" w:rsidRDefault="009F44AF" w:rsidP="009F44AF">
      <w:pPr>
        <w:pStyle w:val="a"/>
        <w:numPr>
          <w:ilvl w:val="0"/>
          <w:numId w:val="17"/>
        </w:numPr>
        <w:rPr>
          <w:rtl/>
        </w:rPr>
      </w:pPr>
      <w:r>
        <w:rPr>
          <w:rFonts w:hint="cs"/>
          <w:rtl/>
        </w:rPr>
        <w:t xml:space="preserve">וכתב </w:t>
      </w:r>
      <w:r>
        <w:rPr>
          <w:rStyle w:val="af8"/>
          <w:rtl/>
        </w:rPr>
        <w:t xml:space="preserve">הרא"ש </w:t>
      </w:r>
      <w:r>
        <w:rPr>
          <w:rFonts w:hint="cs"/>
          <w:rtl/>
        </w:rPr>
        <w:t xml:space="preserve">דזוהי החומרא של יין נסך יותר משאר איסורים, דבשאר איסורים כל שהאיסור אינו נותן טעם בהיתר, אינו אוסר, אבל ביין נסך המערה מגיגית דנפיש עמודיה יותר מחבית, אוסר בכל שהוא, והוסיף </w:t>
      </w:r>
      <w:r>
        <w:rPr>
          <w:rStyle w:val="af8"/>
          <w:rtl/>
        </w:rPr>
        <w:t xml:space="preserve">הרא"ש </w:t>
      </w:r>
      <w:r>
        <w:rPr>
          <w:rFonts w:hint="cs"/>
          <w:rtl/>
        </w:rPr>
        <w:t>דאף בהיתר לתוך איסור, יש חומרא ביין נסך יותר משאר איסורים, דביין נסך ההיתר בטל לגמרי, ואף כשההיתר התרבה לבסוף ויש בו שישים כנגד האיסור,  אמרינן דקמא קמא בטיל, ואילו בשאר איסורים אחר שההיתר התרבה, ויש שישים בהיתר כנגד האיסור, ניעור ההיתר מאיסורו, ומבטל את האיסור והכל מותר</w:t>
      </w:r>
      <w:bookmarkStart w:id="16151" w:name="_Toc25699941"/>
      <w:r>
        <w:rPr>
          <w:rFonts w:hint="cs"/>
          <w:rtl/>
        </w:rPr>
        <w:t xml:space="preserve">, וכתב </w:t>
      </w:r>
      <w:r>
        <w:rPr>
          <w:rStyle w:val="af8"/>
          <w:rtl/>
        </w:rPr>
        <w:t xml:space="preserve">הרא"ש </w:t>
      </w:r>
      <w:r>
        <w:rPr>
          <w:rFonts w:hint="cs"/>
          <w:rtl/>
        </w:rPr>
        <w:t xml:space="preserve">דכן אמר ריו"ח בירושלמי בתרומות </w:t>
      </w:r>
      <w:r w:rsidRPr="009F44AF">
        <w:rPr>
          <w:rStyle w:val="af6"/>
          <w:rFonts w:eastAsia="Guttman Hodes" w:hint="cs"/>
          <w:rtl/>
        </w:rPr>
        <w:t xml:space="preserve">(פ"ה ה"ג, ל:) </w:t>
      </w:r>
      <w:r>
        <w:rPr>
          <w:rFonts w:hint="cs"/>
          <w:rtl/>
        </w:rPr>
        <w:t>דכל איסורים שריבה עליהם בשוגג מותר.</w:t>
      </w:r>
    </w:p>
    <w:p w:rsidR="009F44AF" w:rsidRDefault="009F44AF" w:rsidP="009F44AF">
      <w:pPr>
        <w:pStyle w:val="a2"/>
        <w:rPr>
          <w:rtl/>
        </w:rPr>
      </w:pPr>
      <w:bookmarkStart w:id="16152" w:name="_Toc26783989"/>
      <w:bookmarkStart w:id="16153" w:name="_Toc26781280"/>
      <w:bookmarkStart w:id="16154" w:name="_Toc26777071"/>
      <w:bookmarkStart w:id="16155" w:name="_Toc26742688"/>
      <w:bookmarkStart w:id="16156" w:name="_Toc26726025"/>
      <w:bookmarkStart w:id="16157" w:name="_Toc26702364"/>
      <w:bookmarkStart w:id="16158" w:name="_Toc26523401"/>
      <w:bookmarkStart w:id="16159" w:name="_Toc26477520"/>
      <w:bookmarkStart w:id="16160" w:name="_Toc26477395"/>
      <w:bookmarkStart w:id="16161" w:name="_Toc26442699"/>
      <w:r>
        <w:rPr>
          <w:rFonts w:hint="cs"/>
          <w:rtl/>
        </w:rPr>
        <w:t>דברי הרא"ש דלא נחלקו רב דימי ורבין בעיקר דין קמא קמא בטיל וקיי"ל כרב דימי אף בחבית</w:t>
      </w:r>
      <w:bookmarkEnd w:id="16152"/>
      <w:bookmarkEnd w:id="16153"/>
      <w:bookmarkEnd w:id="16154"/>
      <w:bookmarkEnd w:id="16155"/>
      <w:bookmarkEnd w:id="16156"/>
      <w:bookmarkEnd w:id="16157"/>
      <w:bookmarkEnd w:id="16158"/>
      <w:bookmarkEnd w:id="16159"/>
      <w:bookmarkEnd w:id="16160"/>
      <w:bookmarkEnd w:id="16161"/>
    </w:p>
    <w:p w:rsidR="009F44AF" w:rsidRDefault="009F44AF" w:rsidP="009F44AF">
      <w:pPr>
        <w:pStyle w:val="a"/>
        <w:numPr>
          <w:ilvl w:val="0"/>
          <w:numId w:val="17"/>
        </w:numPr>
        <w:rPr>
          <w:rtl/>
        </w:rPr>
      </w:pPr>
      <w:r>
        <w:rPr>
          <w:rFonts w:hint="cs"/>
          <w:rtl/>
        </w:rPr>
        <w:t xml:space="preserve">ובמ"ש </w:t>
      </w:r>
      <w:r>
        <w:rPr>
          <w:rStyle w:val="af8"/>
          <w:rtl/>
        </w:rPr>
        <w:t xml:space="preserve">רש"י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Ref26438487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ד</w:t>
      </w:r>
      <w:r w:rsidR="004D1C5B">
        <w:rPr>
          <w:rStyle w:val="af6"/>
          <w:rFonts w:eastAsia="Guttman Hodes"/>
          <w:rtl/>
        </w:rPr>
        <w:t>)</w:t>
      </w:r>
      <w:r>
        <w:rPr>
          <w:rFonts w:hint="cs"/>
          <w:rtl/>
        </w:rPr>
        <w:fldChar w:fldCharType="end"/>
      </w:r>
      <w:r>
        <w:rPr>
          <w:rFonts w:hint="cs"/>
          <w:rtl/>
        </w:rPr>
        <w:t xml:space="preserve"> דלא קיי"ל כרב דימי, כיון שרב יצחק ורבין החמירו, דחה </w:t>
      </w:r>
      <w:r>
        <w:rPr>
          <w:rStyle w:val="af8"/>
          <w:rtl/>
        </w:rPr>
        <w:t xml:space="preserve">הרא"ש </w:t>
      </w:r>
      <w:r>
        <w:rPr>
          <w:rFonts w:hint="cs"/>
          <w:rtl/>
        </w:rPr>
        <w:t xml:space="preserve">דרב יצחק לא נחלק על עיקר דברי רב דימי דאמרינן דקמא קמא בטיל, אלא שרב יצחק החמיר יותר מרב דימי ואוסר במערה מחבית, וכתב </w:t>
      </w:r>
      <w:r>
        <w:rPr>
          <w:rStyle w:val="af8"/>
          <w:rtl/>
        </w:rPr>
        <w:t>הרא"ש</w:t>
      </w:r>
      <w:r>
        <w:rPr>
          <w:rFonts w:hint="cs"/>
          <w:rtl/>
        </w:rPr>
        <w:t xml:space="preserve"> דבדברי רבין אפש"ל דלא נחלק על רב דימי כלל, דרבין איירי במערה מגיגית, דמודה רב דימי דלא אמרינן דקמא קמא בטיל, </w:t>
      </w:r>
      <w:r>
        <w:rPr>
          <w:rStyle w:val="afa"/>
          <w:rtl/>
        </w:rPr>
        <w:t xml:space="preserve">[כדביאר </w:t>
      </w:r>
      <w:r>
        <w:rPr>
          <w:rStyle w:val="affa"/>
          <w:rtl/>
        </w:rPr>
        <w:t xml:space="preserve">הרא"ש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Ref26438515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כד)</w:t>
      </w:r>
      <w:r>
        <w:rPr>
          <w:rFonts w:hint="cs"/>
          <w:rtl/>
        </w:rPr>
        <w:fldChar w:fldCharType="end"/>
      </w:r>
      <w:r>
        <w:rPr>
          <w:rStyle w:val="afa"/>
          <w:rtl/>
        </w:rPr>
        <w:t>],</w:t>
      </w:r>
      <w:r>
        <w:rPr>
          <w:rFonts w:hint="cs"/>
          <w:rtl/>
        </w:rPr>
        <w:t xml:space="preserve"> וכיון דאיירי בגיגית לכן הצריך רבין קיתון של מים בכדי לבטל את היין, דבגיגית לא אמרינן דקמא קמא בטיל, או דרבין איירי בכלי גדול מלא יין שנפל בבת אחת בלא עירוי לתוך היין שבבור והתירו, </w:t>
      </w:r>
      <w:r>
        <w:rPr>
          <w:rStyle w:val="afa"/>
          <w:rtl/>
        </w:rPr>
        <w:t>[ועיי"ש במה שביאר</w:t>
      </w:r>
      <w:r>
        <w:rPr>
          <w:rStyle w:val="affa"/>
          <w:rtl/>
        </w:rPr>
        <w:t xml:space="preserve"> הרא"ש </w:t>
      </w:r>
      <w:r>
        <w:rPr>
          <w:rStyle w:val="afa"/>
          <w:rtl/>
        </w:rPr>
        <w:t>מה בא רבין לחדש],</w:t>
      </w:r>
      <w:r>
        <w:rPr>
          <w:rFonts w:hint="cs"/>
          <w:rtl/>
        </w:rPr>
        <w:t xml:space="preserve"> וכתב </w:t>
      </w:r>
      <w:r>
        <w:rPr>
          <w:rStyle w:val="af8"/>
          <w:rtl/>
        </w:rPr>
        <w:t>הרא"ש</w:t>
      </w:r>
      <w:r>
        <w:rPr>
          <w:rFonts w:hint="cs"/>
          <w:rtl/>
        </w:rPr>
        <w:t xml:space="preserve"> דבהא דנחלקו רב דימי ורב יצחק אי בחבית אמרינן קמא קמא בטיל, קיי"ל כרב דימי כיון שהוא איסור דרבנן.</w:t>
      </w:r>
    </w:p>
    <w:p w:rsidR="009F44AF" w:rsidRDefault="009F44AF" w:rsidP="009F44AF">
      <w:pPr>
        <w:pStyle w:val="afd"/>
        <w:rPr>
          <w:rtl/>
        </w:rPr>
      </w:pPr>
      <w:bookmarkStart w:id="16162" w:name="_Toc26783990"/>
      <w:r>
        <w:rPr>
          <w:rFonts w:hint="cs"/>
          <w:rtl/>
        </w:rPr>
        <w:t>דעת הרא"ש בדין חוזר וניעור</w:t>
      </w:r>
      <w:bookmarkEnd w:id="16162"/>
    </w:p>
    <w:p w:rsidR="009F44AF" w:rsidRDefault="009F44AF" w:rsidP="0098721B">
      <w:pPr>
        <w:pStyle w:val="1"/>
      </w:pPr>
      <w:bookmarkStart w:id="16163" w:name="_Toc26783991"/>
      <w:bookmarkStart w:id="16164" w:name="_Toc26781281"/>
      <w:bookmarkStart w:id="16165" w:name="_Toc26777072"/>
      <w:bookmarkStart w:id="16166" w:name="_Toc26742689"/>
      <w:bookmarkStart w:id="16167" w:name="_Toc26726026"/>
      <w:bookmarkStart w:id="16168" w:name="_Toc26702365"/>
      <w:bookmarkStart w:id="16169" w:name="_Toc26523402"/>
      <w:bookmarkStart w:id="16170" w:name="_Toc26477521"/>
      <w:bookmarkStart w:id="16171" w:name="_Toc26477396"/>
      <w:bookmarkStart w:id="16172" w:name="_Toc26442700"/>
      <w:bookmarkStart w:id="16173" w:name="_Toc26218280"/>
      <w:r>
        <w:rPr>
          <w:rFonts w:hint="cs"/>
          <w:rtl/>
        </w:rPr>
        <w:t>דברי הרא"ש דבהוסיף איסור בכל האיסורים אמרינן חוזר וניעור</w:t>
      </w:r>
      <w:bookmarkEnd w:id="16163"/>
      <w:bookmarkEnd w:id="16164"/>
      <w:bookmarkEnd w:id="16165"/>
      <w:bookmarkEnd w:id="16166"/>
    </w:p>
    <w:p w:rsidR="009F44AF" w:rsidRDefault="009F44AF" w:rsidP="009F44AF">
      <w:pPr>
        <w:pStyle w:val="a2"/>
        <w:rPr>
          <w:rtl/>
        </w:rPr>
      </w:pPr>
      <w:bookmarkStart w:id="16174" w:name="_Toc26783992"/>
      <w:bookmarkStart w:id="16175" w:name="_Toc26781282"/>
      <w:bookmarkStart w:id="16176" w:name="_Toc26777073"/>
      <w:bookmarkStart w:id="16177" w:name="_Toc26742690"/>
      <w:r>
        <w:rPr>
          <w:rFonts w:hint="cs"/>
          <w:rtl/>
        </w:rPr>
        <w:t>דברי הרא"ש דאף דהאיסור נהפך להיתר אם הוסיף איסור האיסור חוזר וניעור והכל אסור</w:t>
      </w:r>
      <w:bookmarkEnd w:id="16174"/>
      <w:bookmarkEnd w:id="16175"/>
      <w:bookmarkEnd w:id="16176"/>
      <w:bookmarkEnd w:id="16177"/>
    </w:p>
    <w:p w:rsidR="009F44AF" w:rsidRDefault="009F44AF" w:rsidP="009F44AF">
      <w:pPr>
        <w:pStyle w:val="a"/>
        <w:numPr>
          <w:ilvl w:val="0"/>
          <w:numId w:val="17"/>
        </w:numPr>
        <w:rPr>
          <w:rtl/>
        </w:rPr>
      </w:pPr>
      <w:r>
        <w:rPr>
          <w:rFonts w:hint="cs"/>
          <w:rtl/>
        </w:rPr>
        <w:t xml:space="preserve">עו"כ </w:t>
      </w:r>
      <w:r>
        <w:rPr>
          <w:rStyle w:val="af8"/>
          <w:rtl/>
        </w:rPr>
        <w:t>הרא"ש בחולין</w:t>
      </w:r>
      <w:r>
        <w:rPr>
          <w:rFonts w:hint="cs"/>
          <w:rtl/>
        </w:rPr>
        <w:t xml:space="preserve"> </w:t>
      </w:r>
      <w:r w:rsidRPr="009F44AF">
        <w:rPr>
          <w:rStyle w:val="af6"/>
          <w:rFonts w:eastAsia="Guttman Hodes" w:hint="cs"/>
          <w:rtl/>
        </w:rPr>
        <w:t>(סי' ל"ז, הובא בסימן י"ט אות א')</w:t>
      </w:r>
      <w:r>
        <w:rPr>
          <w:rFonts w:hint="cs"/>
          <w:rtl/>
        </w:rPr>
        <w:t xml:space="preserve"> דבביטול ברוב ביבש ביבש האיסור נהפך להיתר, ומ"מ אם הוסיף איסור לתערובת, עד שיש רוב באיסור כנגד ההיתר, דאמרינן מצא מין את מינו והאיסור חוזר וניעור ואסור, וה"ה בכל האיסורים שהתבטלו, ונוסף איסור ויש רוב איסור דהאיסור חוזר וניעור. [ועי' במה שביאר </w:t>
      </w:r>
      <w:r>
        <w:rPr>
          <w:rStyle w:val="af8"/>
          <w:rtl/>
        </w:rPr>
        <w:t>השער"י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Ref26776618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קכג</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 בדברי </w:t>
      </w:r>
      <w:r>
        <w:rPr>
          <w:rStyle w:val="af8"/>
          <w:rtl/>
        </w:rPr>
        <w:t>הרא"ש</w:t>
      </w:r>
      <w:r>
        <w:rPr>
          <w:rFonts w:hint="cs"/>
          <w:rtl/>
        </w:rPr>
        <w:t>].</w:t>
      </w:r>
    </w:p>
    <w:p w:rsidR="009F44AF" w:rsidRDefault="009F44AF" w:rsidP="009F44AF">
      <w:pPr>
        <w:pStyle w:val="a2"/>
        <w:rPr>
          <w:rtl/>
        </w:rPr>
      </w:pPr>
      <w:bookmarkStart w:id="16178" w:name="_Toc26783993"/>
      <w:bookmarkStart w:id="16179" w:name="_Toc26781283"/>
      <w:bookmarkStart w:id="16180" w:name="_Toc26777074"/>
      <w:bookmarkStart w:id="16181" w:name="_Toc26742691"/>
      <w:r>
        <w:rPr>
          <w:rFonts w:hint="cs"/>
          <w:rtl/>
        </w:rPr>
        <w:t>דברי הרא"ש דבאינו מינו פשיטא דחוזר וניעור כיון שטעם האיסורים מצטרף ונותנים טעם בהיתר</w:t>
      </w:r>
      <w:bookmarkEnd w:id="16178"/>
      <w:bookmarkEnd w:id="16179"/>
      <w:bookmarkEnd w:id="16180"/>
      <w:bookmarkEnd w:id="16181"/>
    </w:p>
    <w:p w:rsidR="009F44AF" w:rsidRDefault="009F44AF" w:rsidP="009F44AF">
      <w:pPr>
        <w:pStyle w:val="a"/>
        <w:numPr>
          <w:ilvl w:val="0"/>
          <w:numId w:val="17"/>
        </w:numPr>
        <w:rPr>
          <w:rtl/>
        </w:rPr>
      </w:pPr>
      <w:r>
        <w:rPr>
          <w:rFonts w:hint="cs"/>
          <w:rtl/>
        </w:rPr>
        <w:t xml:space="preserve">וכתב </w:t>
      </w:r>
      <w:r>
        <w:rPr>
          <w:rStyle w:val="af8"/>
          <w:rtl/>
        </w:rPr>
        <w:t xml:space="preserve">הרא"ש בחולין </w:t>
      </w:r>
      <w:r>
        <w:rPr>
          <w:rFonts w:hint="cs"/>
          <w:rtl/>
        </w:rPr>
        <w:t xml:space="preserve">דבמין בשאינו מינו פשיטא דאמרינן חוזר וניעור, דכיון שהאיסור התבטל בשישים, ונוסף איסור עד שיש פחות משישים, דכיון שהטעם של האיסורים מצטרף, וממילא האיסור נותן טעם בהיתר, א"כ ודאי שהאיסור שנוסף מצטרף עם האיסור הראשון, לאסור את ההיתר. </w:t>
      </w:r>
    </w:p>
    <w:p w:rsidR="009F44AF" w:rsidRDefault="009F44AF" w:rsidP="009F44AF">
      <w:pPr>
        <w:pStyle w:val="a2"/>
      </w:pPr>
      <w:bookmarkStart w:id="16182" w:name="_Toc26783994"/>
      <w:bookmarkStart w:id="16183" w:name="_Toc26781284"/>
      <w:bookmarkStart w:id="16184" w:name="_Toc26777075"/>
      <w:bookmarkStart w:id="16185" w:name="_Toc26742692"/>
      <w:r>
        <w:rPr>
          <w:rFonts w:hint="cs"/>
          <w:rtl/>
        </w:rPr>
        <w:t>דברי הרא"ש דבמין במינו בלח ודאי דחוזר וניעור דהוא בכלל הגזירה אטו מין בשאינו מינו</w:t>
      </w:r>
      <w:bookmarkEnd w:id="16182"/>
      <w:bookmarkEnd w:id="16183"/>
      <w:bookmarkEnd w:id="16184"/>
      <w:bookmarkEnd w:id="16185"/>
    </w:p>
    <w:p w:rsidR="009F44AF" w:rsidRDefault="009F44AF" w:rsidP="009F44AF">
      <w:pPr>
        <w:pStyle w:val="a"/>
        <w:numPr>
          <w:ilvl w:val="0"/>
          <w:numId w:val="17"/>
        </w:numPr>
      </w:pPr>
      <w:r>
        <w:rPr>
          <w:rFonts w:hint="cs"/>
          <w:rtl/>
        </w:rPr>
        <w:t xml:space="preserve">וכתב </w:t>
      </w:r>
      <w:r>
        <w:rPr>
          <w:rStyle w:val="af8"/>
          <w:rtl/>
        </w:rPr>
        <w:t>הרא"ש</w:t>
      </w:r>
      <w:r>
        <w:rPr>
          <w:rFonts w:hint="cs"/>
          <w:rtl/>
        </w:rPr>
        <w:t xml:space="preserve"> </w:t>
      </w:r>
      <w:r>
        <w:rPr>
          <w:rStyle w:val="af8"/>
          <w:rtl/>
        </w:rPr>
        <w:t xml:space="preserve">בחולין </w:t>
      </w:r>
      <w:r>
        <w:rPr>
          <w:rFonts w:hint="cs"/>
          <w:rtl/>
        </w:rPr>
        <w:t>דה"ה במין במינו בלח בלח דפשיטא דאמרינן דהאיסור חוזר וניעור, דכיון שהאיסור התבטל בשישים, ונוסף איסור עד שיש פחות משישים, דאף שהוא מין במינו ואינו נותן טעם, מ"מ ודאי דהאיסור שנוסף מצטרף עם האיסור הראשון לאסור את ההיתר בפחות משישים, דהא כל דין שישים במין במינו, הוא אטו מין בשאינו מינו, וכיון דבמין בשאינו מינו אמרינן חוזר וניעור, ה"ה במין במינו דאמרינן חוזר וניעור אטו אינו מינו.</w:t>
      </w:r>
    </w:p>
    <w:p w:rsidR="009F44AF" w:rsidRDefault="009F44AF" w:rsidP="009F44AF">
      <w:pPr>
        <w:pStyle w:val="a2"/>
        <w:rPr>
          <w:rtl/>
        </w:rPr>
      </w:pPr>
      <w:bookmarkStart w:id="16186" w:name="_Toc26783995"/>
      <w:bookmarkStart w:id="16187" w:name="_Toc26781285"/>
      <w:bookmarkStart w:id="16188" w:name="_Toc26777076"/>
      <w:bookmarkStart w:id="16189" w:name="_Toc26742693"/>
      <w:r>
        <w:rPr>
          <w:rFonts w:hint="cs"/>
          <w:rtl/>
        </w:rPr>
        <w:t>דברי הרא"ש דאף ביבש שמהני חד בתרי אף מדרבנן אם נוסף איסור האיסור חוזר וניעור</w:t>
      </w:r>
      <w:bookmarkEnd w:id="16186"/>
      <w:bookmarkEnd w:id="16187"/>
      <w:bookmarkEnd w:id="16188"/>
      <w:bookmarkEnd w:id="16189"/>
    </w:p>
    <w:p w:rsidR="009F44AF" w:rsidRDefault="009F44AF" w:rsidP="009F44AF">
      <w:pPr>
        <w:pStyle w:val="a"/>
        <w:numPr>
          <w:ilvl w:val="0"/>
          <w:numId w:val="17"/>
        </w:numPr>
        <w:rPr>
          <w:rtl/>
        </w:rPr>
      </w:pPr>
      <w:r>
        <w:rPr>
          <w:rFonts w:hint="cs"/>
          <w:rtl/>
        </w:rPr>
        <w:t xml:space="preserve">והוסיף </w:t>
      </w:r>
      <w:r>
        <w:rPr>
          <w:rStyle w:val="af8"/>
          <w:rtl/>
        </w:rPr>
        <w:t>הרא"ש בחולין</w:t>
      </w:r>
      <w:r>
        <w:rPr>
          <w:rFonts w:hint="cs"/>
          <w:rtl/>
        </w:rPr>
        <w:t xml:space="preserve"> דאף ביבש שא"צ שישים ומהני ביטול ברוב בחד בתרי, דאמרינן חוזר וניעור, דביבש ביבש שאף מדרבנן האיסור התבטל בחד בתרי, כל שנוסף עליו איסור, ואין רוב בהיתר, אמרינן דמצא מין את מינו והאיסור חוזר וניעור, ועי' במה שהוכיח </w:t>
      </w:r>
      <w:r>
        <w:rPr>
          <w:rStyle w:val="af8"/>
          <w:rtl/>
        </w:rPr>
        <w:t>הרא"ש</w:t>
      </w:r>
      <w:r>
        <w:rPr>
          <w:rFonts w:hint="cs"/>
          <w:rtl/>
        </w:rPr>
        <w:t xml:space="preserve"> </w:t>
      </w:r>
      <w:r w:rsidRPr="009F44AF">
        <w:rPr>
          <w:rStyle w:val="af6"/>
          <w:rFonts w:eastAsia="Guttman Hodes" w:hint="cs"/>
          <w:rtl/>
        </w:rPr>
        <w:t>(הובא בסימן י"ט אות ה')</w:t>
      </w:r>
      <w:r>
        <w:rPr>
          <w:rFonts w:hint="cs"/>
          <w:rtl/>
        </w:rPr>
        <w:t xml:space="preserve"> מהמשניות בתרומות.</w:t>
      </w:r>
    </w:p>
    <w:p w:rsidR="009F44AF" w:rsidRDefault="009F44AF" w:rsidP="0098721B">
      <w:pPr>
        <w:pStyle w:val="1"/>
        <w:rPr>
          <w:rtl/>
        </w:rPr>
      </w:pPr>
      <w:bookmarkStart w:id="16190" w:name="_Toc26783996"/>
      <w:bookmarkStart w:id="16191" w:name="_Toc26781286"/>
      <w:bookmarkStart w:id="16192" w:name="_Toc26777077"/>
      <w:bookmarkStart w:id="16193" w:name="_Toc26742694"/>
      <w:r>
        <w:rPr>
          <w:rFonts w:hint="cs"/>
          <w:rtl/>
        </w:rPr>
        <w:t>ביאור הרא"ש דחוזר וניעור הוא כהוכר האיסור</w:t>
      </w:r>
      <w:bookmarkEnd w:id="16190"/>
    </w:p>
    <w:p w:rsidR="009F44AF" w:rsidRDefault="009F44AF" w:rsidP="009F44AF">
      <w:pPr>
        <w:pStyle w:val="a2"/>
        <w:rPr>
          <w:rtl/>
        </w:rPr>
      </w:pPr>
      <w:bookmarkStart w:id="16194" w:name="_Toc26783997"/>
      <w:r>
        <w:rPr>
          <w:rFonts w:hint="cs"/>
          <w:rtl/>
        </w:rPr>
        <w:t>ביאור הרא"ש דבנוסף איסור חשיב שהוכר האיסור הראשון ולכן הוא חוזר וניעור</w:t>
      </w:r>
      <w:bookmarkEnd w:id="16194"/>
    </w:p>
    <w:p w:rsidR="009F44AF" w:rsidRDefault="009F44AF" w:rsidP="009F44AF">
      <w:pPr>
        <w:pStyle w:val="a"/>
        <w:numPr>
          <w:ilvl w:val="0"/>
          <w:numId w:val="17"/>
        </w:numPr>
        <w:rPr>
          <w:rtl/>
        </w:rPr>
      </w:pPr>
      <w:r>
        <w:rPr>
          <w:rFonts w:hint="cs"/>
          <w:rtl/>
        </w:rPr>
        <w:t xml:space="preserve">וכתב </w:t>
      </w:r>
      <w:r>
        <w:rPr>
          <w:rStyle w:val="af8"/>
          <w:rtl/>
        </w:rPr>
        <w:t>הרא"ש</w:t>
      </w:r>
      <w:r>
        <w:rPr>
          <w:rFonts w:hint="cs"/>
          <w:rtl/>
        </w:rPr>
        <w:t xml:space="preserve"> </w:t>
      </w:r>
      <w:r>
        <w:rPr>
          <w:rStyle w:val="af8"/>
          <w:rtl/>
        </w:rPr>
        <w:t>בחולין</w:t>
      </w:r>
      <w:r>
        <w:rPr>
          <w:rFonts w:hint="cs"/>
          <w:rtl/>
        </w:rPr>
        <w:t xml:space="preserve"> </w:t>
      </w:r>
      <w:r w:rsidRPr="009F44AF">
        <w:rPr>
          <w:rStyle w:val="af6"/>
          <w:rFonts w:eastAsia="Guttman Hodes" w:hint="cs"/>
          <w:rtl/>
        </w:rPr>
        <w:t>(סי' ל"ז, הובא בסימן י"ט אות י"א)</w:t>
      </w:r>
      <w:r>
        <w:rPr>
          <w:rFonts w:hint="cs"/>
          <w:rtl/>
        </w:rPr>
        <w:t xml:space="preserve"> דהטעם דאמרינן חוזר וניעור, הוא כיון שאף שהאיסור התבטל ברוב ההיתר, והותר לאכילה, מ"מ אם הוכר האיסור מתוך ההיתר פשיטא שאסור לאוכלו, וכתב </w:t>
      </w:r>
      <w:r>
        <w:rPr>
          <w:rStyle w:val="af8"/>
          <w:rtl/>
        </w:rPr>
        <w:t>הרא"ש</w:t>
      </w:r>
      <w:r>
        <w:rPr>
          <w:rFonts w:hint="cs"/>
          <w:rtl/>
        </w:rPr>
        <w:t xml:space="preserve"> </w:t>
      </w:r>
      <w:r>
        <w:rPr>
          <w:rStyle w:val="af8"/>
          <w:rtl/>
        </w:rPr>
        <w:t>בחולין</w:t>
      </w:r>
      <w:r>
        <w:rPr>
          <w:rFonts w:hint="cs"/>
          <w:rtl/>
        </w:rPr>
        <w:t xml:space="preserve"> דה"ה כשנוסף עליו איסור, דהכיר מין את מינו וניעור האיסור ממה ש</w:t>
      </w:r>
      <w:r w:rsidR="00A22260">
        <w:rPr>
          <w:rFonts w:hint="cs"/>
          <w:rtl/>
        </w:rPr>
        <w:t>ה</w:t>
      </w:r>
      <w:r>
        <w:rPr>
          <w:rFonts w:hint="cs"/>
          <w:rtl/>
        </w:rPr>
        <w:t>תבטל ע"י האיסור שנוסף עליו, וחשיב כאילו הוכר האיסור.</w:t>
      </w:r>
    </w:p>
    <w:p w:rsidR="009F44AF" w:rsidRDefault="009F44AF" w:rsidP="0098721B">
      <w:pPr>
        <w:pStyle w:val="1"/>
        <w:rPr>
          <w:rtl/>
        </w:rPr>
      </w:pPr>
      <w:bookmarkStart w:id="16195" w:name="_Toc26783998"/>
      <w:r>
        <w:rPr>
          <w:rFonts w:hint="cs"/>
          <w:rtl/>
        </w:rPr>
        <w:t>ביאור הפרי תואר והפר"ח ברא"ש דאף בדרבנן חוזר וניעור</w:t>
      </w:r>
      <w:bookmarkEnd w:id="16195"/>
    </w:p>
    <w:p w:rsidR="009F44AF" w:rsidRDefault="009F44AF" w:rsidP="009F44AF">
      <w:pPr>
        <w:pStyle w:val="a2"/>
        <w:rPr>
          <w:rtl/>
        </w:rPr>
      </w:pPr>
      <w:bookmarkStart w:id="16196" w:name="_Toc26783999"/>
      <w:r>
        <w:rPr>
          <w:rFonts w:hint="cs"/>
          <w:rtl/>
        </w:rPr>
        <w:t>דברי הפרי תואר ברא"ש דאמרינן חוזר וניעור אף באיסור דרבנן ובשיעור דרבנן דמאה ומאתיים</w:t>
      </w:r>
      <w:bookmarkEnd w:id="16191"/>
      <w:bookmarkEnd w:id="16192"/>
      <w:bookmarkEnd w:id="16193"/>
      <w:bookmarkEnd w:id="16196"/>
    </w:p>
    <w:p w:rsidR="009F44AF" w:rsidRDefault="009F44AF" w:rsidP="009F44AF">
      <w:pPr>
        <w:pStyle w:val="a"/>
        <w:numPr>
          <w:ilvl w:val="0"/>
          <w:numId w:val="17"/>
        </w:numPr>
        <w:rPr>
          <w:rStyle w:val="afa"/>
        </w:rPr>
      </w:pPr>
      <w:r>
        <w:rPr>
          <w:rFonts w:hint="cs"/>
          <w:rtl/>
        </w:rPr>
        <w:t xml:space="preserve"> </w:t>
      </w:r>
      <w:bookmarkStart w:id="16197" w:name="_Ref26733811"/>
      <w:r>
        <w:rPr>
          <w:rFonts w:hint="cs"/>
          <w:rtl/>
        </w:rPr>
        <w:t xml:space="preserve">וכתב </w:t>
      </w:r>
      <w:r>
        <w:rPr>
          <w:rStyle w:val="af8"/>
          <w:rtl/>
        </w:rPr>
        <w:t>הפרי תואר [לבעל האוה"ח]</w:t>
      </w:r>
      <w:r>
        <w:rPr>
          <w:rFonts w:hint="cs"/>
          <w:rtl/>
        </w:rPr>
        <w:t xml:space="preserve"> </w:t>
      </w:r>
      <w:r w:rsidRPr="009F44AF">
        <w:rPr>
          <w:rStyle w:val="af6"/>
          <w:rFonts w:eastAsia="Guttman Hodes" w:hint="cs"/>
          <w:rtl/>
        </w:rPr>
        <w:t>(סי' צ"ט סקי"ב ד"ה והדעת הב', ד"ה ולהרא"ש)</w:t>
      </w:r>
      <w:r>
        <w:rPr>
          <w:rFonts w:hint="cs"/>
          <w:rtl/>
        </w:rPr>
        <w:t xml:space="preserve"> דמבואר מדברי </w:t>
      </w:r>
      <w:r>
        <w:rPr>
          <w:rStyle w:val="af8"/>
          <w:rtl/>
        </w:rPr>
        <w:t>הרא"ש</w:t>
      </w:r>
      <w:r>
        <w:rPr>
          <w:rFonts w:hint="cs"/>
          <w:rtl/>
        </w:rPr>
        <w:t xml:space="preserve"> דבכל האיסורים אמרינן דהאיסור חוזר וניעור, בין באיסור דאו' ובין באיסור דרבנן, ואף במקום שהשיעור הוא מדרבנן כערלה וכלאים, אמרינן דחוזר וניעור, בין בדבר שהתבטל בשישים, ובין בדבר שהתבטל במאה ומאתיים, </w:t>
      </w:r>
      <w:r>
        <w:rPr>
          <w:rStyle w:val="afa"/>
          <w:rtl/>
        </w:rPr>
        <w:t>[כשהוסיף איסור שאין כנגדו מאה ומאתיים בהיתר],</w:t>
      </w:r>
      <w:r>
        <w:rPr>
          <w:rFonts w:hint="cs"/>
          <w:rtl/>
        </w:rPr>
        <w:t xml:space="preserve"> ודלא </w:t>
      </w:r>
      <w:r>
        <w:rPr>
          <w:rStyle w:val="af8"/>
          <w:rtl/>
        </w:rPr>
        <w:t xml:space="preserve">כהרמב"ן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Ref26733866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פח</w:t>
      </w:r>
      <w:r w:rsidR="004D1C5B">
        <w:rPr>
          <w:rStyle w:val="af6"/>
          <w:rFonts w:eastAsia="Guttman Hodes"/>
          <w:rtl/>
        </w:rPr>
        <w:t>)</w:t>
      </w:r>
      <w:r>
        <w:rPr>
          <w:rFonts w:hint="cs"/>
          <w:rtl/>
        </w:rPr>
        <w:fldChar w:fldCharType="end"/>
      </w:r>
      <w:r>
        <w:rPr>
          <w:rFonts w:hint="cs"/>
          <w:rtl/>
        </w:rPr>
        <w:t xml:space="preserve"> דס"ל דבשיעור דרבנן לא אמרינן דחוזר וניעור. </w:t>
      </w:r>
      <w:r>
        <w:rPr>
          <w:rStyle w:val="afa"/>
          <w:rtl/>
        </w:rPr>
        <w:t xml:space="preserve">[ועיי"ש במה שביאר </w:t>
      </w:r>
      <w:r>
        <w:rPr>
          <w:rStyle w:val="affa"/>
          <w:rtl/>
        </w:rPr>
        <w:t>הפרי תואר</w:t>
      </w:r>
      <w:r>
        <w:rPr>
          <w:rStyle w:val="afa"/>
          <w:rtl/>
        </w:rPr>
        <w:t xml:space="preserve"> במשניות בתרומות ובערלה לדעת </w:t>
      </w:r>
      <w:r>
        <w:rPr>
          <w:rStyle w:val="affa"/>
          <w:rtl/>
        </w:rPr>
        <w:t>הרא"ש</w:t>
      </w:r>
      <w:r>
        <w:rPr>
          <w:rStyle w:val="afa"/>
          <w:rtl/>
        </w:rPr>
        <w:t>].</w:t>
      </w:r>
      <w:bookmarkEnd w:id="16197"/>
    </w:p>
    <w:p w:rsidR="009F44AF" w:rsidRDefault="009F44AF" w:rsidP="009F44AF">
      <w:pPr>
        <w:pStyle w:val="a2"/>
        <w:rPr>
          <w:rtl/>
        </w:rPr>
      </w:pPr>
      <w:bookmarkStart w:id="16198" w:name="_Toc26784000"/>
      <w:bookmarkStart w:id="16199" w:name="_Toc26781287"/>
      <w:bookmarkStart w:id="16200" w:name="_Toc26777078"/>
      <w:bookmarkStart w:id="16201" w:name="_Toc26742695"/>
      <w:r>
        <w:rPr>
          <w:rFonts w:hint="cs"/>
          <w:rtl/>
        </w:rPr>
        <w:t>דברי הפר"ח דלהרא"ש בכל האיסורים אמרינן חוזר וניעור ואף באיסור שבטל לגמרי במאתיים</w:t>
      </w:r>
      <w:bookmarkEnd w:id="16198"/>
      <w:bookmarkEnd w:id="16199"/>
      <w:bookmarkEnd w:id="16200"/>
      <w:bookmarkEnd w:id="16201"/>
    </w:p>
    <w:p w:rsidR="009F44AF" w:rsidRDefault="009F44AF" w:rsidP="009F44AF">
      <w:pPr>
        <w:pStyle w:val="a"/>
        <w:numPr>
          <w:ilvl w:val="0"/>
          <w:numId w:val="17"/>
        </w:numPr>
        <w:rPr>
          <w:rtl/>
        </w:rPr>
      </w:pPr>
      <w:r>
        <w:rPr>
          <w:rStyle w:val="af8"/>
          <w:rtl/>
        </w:rPr>
        <w:t>והפר"ח</w:t>
      </w:r>
      <w:r>
        <w:rPr>
          <w:rFonts w:hint="cs"/>
          <w:rtl/>
        </w:rPr>
        <w:t xml:space="preserve"> </w:t>
      </w:r>
      <w:r w:rsidRPr="009F44AF">
        <w:rPr>
          <w:rStyle w:val="af6"/>
          <w:rFonts w:eastAsia="Guttman Hodes" w:hint="cs"/>
          <w:rtl/>
        </w:rPr>
        <w:t>(סי' צ"ט ס"ק כ"א, ד"ה וקודם בואי)</w:t>
      </w:r>
      <w:r>
        <w:rPr>
          <w:rFonts w:hint="cs"/>
          <w:rtl/>
        </w:rPr>
        <w:t xml:space="preserve"> כתב דדעת </w:t>
      </w:r>
      <w:r>
        <w:rPr>
          <w:rStyle w:val="af8"/>
          <w:rtl/>
        </w:rPr>
        <w:t>הרא"ש</w:t>
      </w:r>
      <w:r>
        <w:rPr>
          <w:rFonts w:hint="cs"/>
          <w:rtl/>
        </w:rPr>
        <w:t xml:space="preserve"> דבין בתרומה ובין בשאר איסורים אמרינן דהאיסור חוזר וניעור, כדעת </w:t>
      </w:r>
      <w:r>
        <w:rPr>
          <w:rStyle w:val="af8"/>
          <w:rtl/>
        </w:rPr>
        <w:t>הרמב"ן</w:t>
      </w:r>
      <w:r>
        <w:rPr>
          <w:rFonts w:hint="cs"/>
          <w:rtl/>
        </w:rPr>
        <w:t xml:space="preserve">, </w:t>
      </w:r>
      <w:r>
        <w:rPr>
          <w:rFonts w:hint="cs"/>
          <w:rtl/>
        </w:rPr>
        <w:lastRenderedPageBreak/>
        <w:t xml:space="preserve">אלא </w:t>
      </w:r>
      <w:r>
        <w:rPr>
          <w:rStyle w:val="af8"/>
          <w:rtl/>
        </w:rPr>
        <w:t>דהרא"ש</w:t>
      </w:r>
      <w:r>
        <w:rPr>
          <w:rFonts w:hint="cs"/>
          <w:rtl/>
        </w:rPr>
        <w:t xml:space="preserve"> מחמיר יותר אף באיסור שהתבטל לגמרי כערלה וכלאים ששיעורם במאתיים דאמרינן חוזר וניעור.</w:t>
      </w:r>
    </w:p>
    <w:p w:rsidR="009F44AF" w:rsidRDefault="009F44AF" w:rsidP="009F44AF">
      <w:pPr>
        <w:pStyle w:val="afd"/>
        <w:rPr>
          <w:rtl/>
        </w:rPr>
      </w:pPr>
      <w:bookmarkStart w:id="16202" w:name="_Toc26781288"/>
      <w:bookmarkStart w:id="16203" w:name="_Toc26777079"/>
      <w:bookmarkStart w:id="16204" w:name="_Toc26742696"/>
      <w:bookmarkStart w:id="16205" w:name="_Toc26784001"/>
      <w:r>
        <w:rPr>
          <w:rFonts w:hint="cs"/>
          <w:rtl/>
        </w:rPr>
        <w:t>דעת הראב"ד</w:t>
      </w:r>
      <w:bookmarkEnd w:id="16151"/>
      <w:bookmarkEnd w:id="16167"/>
      <w:bookmarkEnd w:id="16168"/>
      <w:bookmarkEnd w:id="16169"/>
      <w:bookmarkEnd w:id="16170"/>
      <w:bookmarkEnd w:id="16171"/>
      <w:bookmarkEnd w:id="16172"/>
      <w:bookmarkEnd w:id="16173"/>
      <w:bookmarkEnd w:id="16202"/>
      <w:bookmarkEnd w:id="16203"/>
      <w:bookmarkEnd w:id="16204"/>
      <w:r>
        <w:rPr>
          <w:rFonts w:hint="cs"/>
          <w:rtl/>
        </w:rPr>
        <w:t xml:space="preserve"> בדין קמא קמא בטיל</w:t>
      </w:r>
      <w:bookmarkEnd w:id="16205"/>
    </w:p>
    <w:p w:rsidR="009F44AF" w:rsidRDefault="009F44AF" w:rsidP="0098721B">
      <w:pPr>
        <w:pStyle w:val="1"/>
        <w:rPr>
          <w:rtl/>
        </w:rPr>
      </w:pPr>
      <w:bookmarkStart w:id="16206" w:name="_Toc26784002"/>
      <w:bookmarkStart w:id="16207" w:name="_Toc26781289"/>
      <w:bookmarkStart w:id="16208" w:name="_Toc26777080"/>
      <w:bookmarkStart w:id="16209" w:name="_Toc26742697"/>
      <w:bookmarkStart w:id="16210" w:name="_Toc26726027"/>
      <w:bookmarkStart w:id="16211" w:name="_Toc26702366"/>
      <w:bookmarkStart w:id="16212" w:name="_Toc26523403"/>
      <w:bookmarkStart w:id="16213" w:name="_Toc26477522"/>
      <w:bookmarkStart w:id="16214" w:name="_Toc26477397"/>
      <w:r>
        <w:rPr>
          <w:rFonts w:hint="cs"/>
          <w:rtl/>
        </w:rPr>
        <w:t>ביאור הראב"ד דקמא קמא בטיל הוא דוקא כשיש הפסק בקילוח</w:t>
      </w:r>
      <w:bookmarkEnd w:id="16206"/>
      <w:bookmarkEnd w:id="16207"/>
      <w:bookmarkEnd w:id="16208"/>
      <w:bookmarkEnd w:id="16209"/>
      <w:bookmarkEnd w:id="16210"/>
      <w:bookmarkEnd w:id="16211"/>
      <w:bookmarkEnd w:id="16212"/>
      <w:bookmarkEnd w:id="16213"/>
      <w:bookmarkEnd w:id="16214"/>
    </w:p>
    <w:p w:rsidR="009F44AF" w:rsidRDefault="009F44AF" w:rsidP="009F44AF">
      <w:pPr>
        <w:pStyle w:val="a2"/>
        <w:rPr>
          <w:rtl/>
        </w:rPr>
      </w:pPr>
      <w:bookmarkStart w:id="16215" w:name="_Toc26784003"/>
      <w:bookmarkStart w:id="16216" w:name="_Toc26781290"/>
      <w:bookmarkStart w:id="16217" w:name="_Toc26777081"/>
      <w:bookmarkStart w:id="16218" w:name="_Toc26742698"/>
      <w:bookmarkStart w:id="16219" w:name="_Toc26726028"/>
      <w:bookmarkStart w:id="16220" w:name="_Toc26702367"/>
      <w:bookmarkStart w:id="16221" w:name="_Toc26523404"/>
      <w:bookmarkStart w:id="16222" w:name="_Toc26477523"/>
      <w:bookmarkStart w:id="16223" w:name="_Toc26477398"/>
      <w:bookmarkStart w:id="16224" w:name="_Toc26442702"/>
      <w:r>
        <w:rPr>
          <w:rFonts w:hint="cs"/>
          <w:rtl/>
        </w:rPr>
        <w:t>דברי הראב"ד דדין קמא קמא בטיל הוא רק כשפוסק היין בין החבית לבור ואין בו שיעור טעם</w:t>
      </w:r>
      <w:bookmarkEnd w:id="16215"/>
      <w:bookmarkEnd w:id="16216"/>
      <w:bookmarkEnd w:id="16217"/>
      <w:bookmarkEnd w:id="16218"/>
      <w:bookmarkEnd w:id="16219"/>
      <w:bookmarkEnd w:id="16220"/>
      <w:bookmarkEnd w:id="16221"/>
      <w:bookmarkEnd w:id="16222"/>
      <w:bookmarkEnd w:id="16223"/>
      <w:bookmarkEnd w:id="16224"/>
    </w:p>
    <w:p w:rsidR="009F44AF" w:rsidRDefault="009F44AF" w:rsidP="009F44AF">
      <w:pPr>
        <w:pStyle w:val="a"/>
        <w:numPr>
          <w:ilvl w:val="0"/>
          <w:numId w:val="17"/>
        </w:numPr>
        <w:rPr>
          <w:rStyle w:val="afa"/>
          <w:rtl/>
        </w:rPr>
      </w:pPr>
      <w:bookmarkStart w:id="16225" w:name="_Ref26477454"/>
      <w:r>
        <w:rPr>
          <w:rFonts w:hint="cs"/>
          <w:rtl/>
        </w:rPr>
        <w:t xml:space="preserve">כתב </w:t>
      </w:r>
      <w:r>
        <w:rPr>
          <w:rStyle w:val="af8"/>
          <w:rtl/>
        </w:rPr>
        <w:t xml:space="preserve">בפי' הראב"ד </w:t>
      </w:r>
      <w:r w:rsidRPr="009F44AF">
        <w:rPr>
          <w:rStyle w:val="af6"/>
          <w:rFonts w:eastAsia="Guttman Hodes" w:hint="cs"/>
          <w:rtl/>
        </w:rPr>
        <w:t>(עג. ד"ה כי אתא רב דימי, הועתק בקובץ שיטות קמאי ע"ז ח"ב עמ' אלף תתנ"ג)</w:t>
      </w:r>
      <w:r>
        <w:rPr>
          <w:rFonts w:hint="cs"/>
          <w:rtl/>
        </w:rPr>
        <w:t xml:space="preserve"> דהא דאמרינן דקמא קמא בטיל, היינו דוקא באופן דמקטף קטופי, שבזמן שהיין נופל לבור, אין חיבור בין החבית לבין הבור</w:t>
      </w:r>
      <w:r>
        <w:rPr>
          <w:rStyle w:val="afa"/>
          <w:rtl/>
        </w:rPr>
        <w:t xml:space="preserve">, [כדביאר </w:t>
      </w:r>
      <w:r>
        <w:rPr>
          <w:rStyle w:val="affa"/>
          <w:rtl/>
        </w:rPr>
        <w:t xml:space="preserve">רש"י </w:t>
      </w:r>
      <w:r>
        <w:rPr>
          <w:rStyle w:val="aff6"/>
          <w:rtl/>
        </w:rPr>
        <w:t>(עב: ד"ה קטופי)</w:t>
      </w:r>
      <w:r>
        <w:rPr>
          <w:rStyle w:val="afa"/>
          <w:rtl/>
        </w:rPr>
        <w:t xml:space="preserve"> שהראש העליון של הנצוק פוסק מהכלי העליון, לפני שמגיע ראש הנצוק התחתון לכלי התחתון, דאי הגיע הנצוק לכלי התחתון לפני שפסק ראש הנצוק העליון מהכלי העליון, נאסר הכל דנצוק חשיב חיבור],</w:t>
      </w:r>
      <w:r>
        <w:rPr>
          <w:rFonts w:hint="cs"/>
          <w:rtl/>
        </w:rPr>
        <w:t xml:space="preserve"> והוסיף </w:t>
      </w:r>
      <w:r>
        <w:rPr>
          <w:rStyle w:val="af8"/>
          <w:rtl/>
        </w:rPr>
        <w:t xml:space="preserve">בפי' הראב"ד </w:t>
      </w:r>
      <w:r>
        <w:rPr>
          <w:rFonts w:hint="cs"/>
          <w:rtl/>
        </w:rPr>
        <w:t xml:space="preserve">דאף באותו הקיטוף שבין החבית לבור, אין בו שיעור נתינת טעם אם היה נופל למים, באותו השיעור שיש  יין בבור, </w:t>
      </w:r>
      <w:r>
        <w:rPr>
          <w:rStyle w:val="afa"/>
          <w:rtl/>
        </w:rPr>
        <w:t>[דהיינו שיש בו פחות משישים מהיין שבבור],</w:t>
      </w:r>
      <w:r>
        <w:rPr>
          <w:rFonts w:hint="cs"/>
          <w:rtl/>
        </w:rPr>
        <w:t xml:space="preserve"> ורק בכה"ג אמרינן דקמא קמא בטיל. </w:t>
      </w:r>
      <w:r>
        <w:rPr>
          <w:rStyle w:val="afa"/>
          <w:rtl/>
        </w:rPr>
        <w:t xml:space="preserve">[ועי' במה שביאר </w:t>
      </w:r>
      <w:r>
        <w:rPr>
          <w:rStyle w:val="affa"/>
          <w:rtl/>
        </w:rPr>
        <w:t>הראב"ד בתמים דעים</w:t>
      </w:r>
      <w:r>
        <w:rPr>
          <w:rFonts w:hint="cs"/>
          <w:rtl/>
        </w:rPr>
        <w:t xml:space="preserve"> </w:t>
      </w:r>
      <w:r>
        <w:rPr>
          <w:rStyle w:val="aff6"/>
          <w:rtl/>
        </w:rPr>
        <w:t>(עי' הערה</w:t>
      </w:r>
      <w:bookmarkStart w:id="16226" w:name="_Ref26473207"/>
      <w:r>
        <w:rPr>
          <w:rStyle w:val="af0"/>
          <w:rtl/>
        </w:rPr>
        <w:footnoteReference w:id="78"/>
      </w:r>
      <w:bookmarkEnd w:id="16226"/>
      <w:r>
        <w:rPr>
          <w:rStyle w:val="aff6"/>
          <w:rtl/>
        </w:rPr>
        <w:t>)</w:t>
      </w:r>
      <w:r>
        <w:rPr>
          <w:rStyle w:val="afa"/>
          <w:rtl/>
        </w:rPr>
        <w:t xml:space="preserve"> דכך הוא הדרך לערות מעט מעט].</w:t>
      </w:r>
      <w:bookmarkEnd w:id="16225"/>
    </w:p>
    <w:p w:rsidR="009F44AF" w:rsidRDefault="009F44AF" w:rsidP="009F44AF">
      <w:pPr>
        <w:pStyle w:val="a2"/>
        <w:rPr>
          <w:rtl/>
        </w:rPr>
      </w:pPr>
      <w:bookmarkStart w:id="16227" w:name="_Toc26784004"/>
      <w:bookmarkStart w:id="16228" w:name="_Toc26781291"/>
      <w:bookmarkStart w:id="16229" w:name="_Toc26777082"/>
      <w:bookmarkStart w:id="16230" w:name="_Toc26742699"/>
      <w:bookmarkStart w:id="16231" w:name="_Toc26726029"/>
      <w:bookmarkStart w:id="16232" w:name="_Toc26702368"/>
      <w:bookmarkStart w:id="16233" w:name="_Toc26523405"/>
      <w:bookmarkStart w:id="16234" w:name="_Toc26477524"/>
      <w:bookmarkStart w:id="16235" w:name="_Toc26477399"/>
      <w:bookmarkStart w:id="16236" w:name="_Toc26442703"/>
      <w:r>
        <w:rPr>
          <w:rFonts w:hint="cs"/>
          <w:rtl/>
        </w:rPr>
        <w:t>ביאור הרמב"ן בראב"ד דבקילוח אחד חשיב שהיין שבחבית מחובר ליין שבבור</w:t>
      </w:r>
      <w:bookmarkEnd w:id="16227"/>
      <w:bookmarkEnd w:id="16228"/>
      <w:bookmarkEnd w:id="16229"/>
      <w:bookmarkEnd w:id="16230"/>
      <w:bookmarkEnd w:id="16231"/>
      <w:bookmarkEnd w:id="16232"/>
      <w:bookmarkEnd w:id="16233"/>
      <w:bookmarkEnd w:id="16234"/>
      <w:bookmarkEnd w:id="16235"/>
      <w:bookmarkEnd w:id="16236"/>
    </w:p>
    <w:p w:rsidR="009F44AF" w:rsidRDefault="009F44AF" w:rsidP="009F44AF">
      <w:pPr>
        <w:pStyle w:val="a"/>
        <w:numPr>
          <w:ilvl w:val="0"/>
          <w:numId w:val="17"/>
        </w:numPr>
        <w:rPr>
          <w:rtl/>
        </w:rPr>
      </w:pPr>
      <w:r>
        <w:rPr>
          <w:rFonts w:hint="cs"/>
          <w:rtl/>
        </w:rPr>
        <w:t xml:space="preserve">וביאר </w:t>
      </w:r>
      <w:r>
        <w:rPr>
          <w:rStyle w:val="af8"/>
          <w:rtl/>
        </w:rPr>
        <w:t xml:space="preserve">הרמב"ן </w:t>
      </w:r>
      <w:r w:rsidRPr="009F44AF">
        <w:rPr>
          <w:rStyle w:val="af6"/>
          <w:rFonts w:eastAsia="Guttman Hodes" w:hint="cs"/>
          <w:rtl/>
        </w:rPr>
        <w:t xml:space="preserve">(עג. ד"ה והמערה) </w:t>
      </w:r>
      <w:r>
        <w:rPr>
          <w:rFonts w:hint="cs"/>
          <w:rtl/>
        </w:rPr>
        <w:t xml:space="preserve">את דברי </w:t>
      </w:r>
      <w:r>
        <w:rPr>
          <w:rStyle w:val="af8"/>
          <w:rtl/>
        </w:rPr>
        <w:t>הראב"ד</w:t>
      </w:r>
      <w:r>
        <w:rPr>
          <w:rFonts w:hint="cs"/>
          <w:rtl/>
        </w:rPr>
        <w:t xml:space="preserve">, דאם לא איירי במקטף קטופי, אלא אין הפסק בין היין שבחבית לבין היין שבבור, ויש ניצוק בין החבית לבור, חשיב כחבור, דכל החבית מעורבת בבור משעת הקילוח הראשון, ועי' במה שדחה </w:t>
      </w:r>
      <w:r>
        <w:rPr>
          <w:rStyle w:val="af8"/>
          <w:rtl/>
        </w:rPr>
        <w:t>הרמב"ן</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Ref25747896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מא</w:t>
      </w:r>
      <w:r w:rsidR="004D1C5B">
        <w:rPr>
          <w:rStyle w:val="af6"/>
          <w:rFonts w:eastAsia="Guttman Hodes"/>
          <w:rtl/>
        </w:rPr>
        <w:t>)</w:t>
      </w:r>
      <w:r w:rsidRPr="009F44AF">
        <w:rPr>
          <w:rStyle w:val="af6"/>
          <w:rFonts w:eastAsia="Guttman Hodes" w:hint="cs"/>
          <w:rtl/>
        </w:rPr>
        <w:fldChar w:fldCharType="end"/>
      </w:r>
      <w:r>
        <w:rPr>
          <w:rFonts w:hint="cs"/>
          <w:rtl/>
        </w:rPr>
        <w:t xml:space="preserve"> את דברי </w:t>
      </w:r>
      <w:r>
        <w:rPr>
          <w:rStyle w:val="af8"/>
          <w:rtl/>
        </w:rPr>
        <w:t>הראב"ד</w:t>
      </w:r>
      <w:r>
        <w:rPr>
          <w:rFonts w:hint="cs"/>
          <w:rtl/>
        </w:rPr>
        <w:t>.</w:t>
      </w:r>
    </w:p>
    <w:p w:rsidR="009F44AF" w:rsidRDefault="009F44AF" w:rsidP="009F44AF">
      <w:pPr>
        <w:pStyle w:val="a2"/>
      </w:pPr>
      <w:bookmarkStart w:id="16237" w:name="_Toc26784005"/>
      <w:bookmarkStart w:id="16238" w:name="_Toc26781292"/>
      <w:bookmarkStart w:id="16239" w:name="_Toc26777083"/>
      <w:bookmarkStart w:id="16240" w:name="_Toc26742700"/>
      <w:bookmarkStart w:id="16241" w:name="_Toc26726030"/>
      <w:bookmarkStart w:id="16242" w:name="_Toc26702369"/>
      <w:bookmarkStart w:id="16243" w:name="_Toc26523406"/>
      <w:bookmarkStart w:id="16244" w:name="_Toc26477525"/>
      <w:bookmarkStart w:id="16245" w:name="_Toc26477400"/>
      <w:bookmarkStart w:id="16246" w:name="_Toc26442704"/>
      <w:r>
        <w:rPr>
          <w:rFonts w:hint="cs"/>
          <w:rtl/>
        </w:rPr>
        <w:t>ביאור הרשב"א בראב"ד דכשיש נצוק בין החבית לבור אוסר רק כשיש בחבית שיעור נו"ט בבור</w:t>
      </w:r>
      <w:bookmarkEnd w:id="16237"/>
      <w:bookmarkEnd w:id="16238"/>
      <w:bookmarkEnd w:id="16239"/>
      <w:bookmarkEnd w:id="16240"/>
      <w:bookmarkEnd w:id="16241"/>
      <w:r>
        <w:rPr>
          <w:rFonts w:hint="cs"/>
          <w:rtl/>
        </w:rPr>
        <w:t xml:space="preserve"> </w:t>
      </w:r>
    </w:p>
    <w:p w:rsidR="009F44AF" w:rsidRDefault="009F44AF" w:rsidP="009F44AF">
      <w:pPr>
        <w:pStyle w:val="a"/>
        <w:numPr>
          <w:ilvl w:val="0"/>
          <w:numId w:val="17"/>
        </w:numPr>
        <w:rPr>
          <w:rtl/>
        </w:rPr>
      </w:pPr>
      <w:bookmarkStart w:id="16247" w:name="_Ref25832112"/>
      <w:r>
        <w:rPr>
          <w:rFonts w:hint="cs"/>
          <w:rtl/>
        </w:rPr>
        <w:t xml:space="preserve">וכתב </w:t>
      </w:r>
      <w:r>
        <w:rPr>
          <w:rStyle w:val="af8"/>
          <w:rtl/>
        </w:rPr>
        <w:t xml:space="preserve">הרשב"א בחי' </w:t>
      </w:r>
      <w:r w:rsidRPr="009F44AF">
        <w:rPr>
          <w:rStyle w:val="af6"/>
          <w:rFonts w:eastAsia="Guttman Hodes" w:hint="cs"/>
          <w:rtl/>
        </w:rPr>
        <w:t xml:space="preserve">(עג. ד"ה וכן) </w:t>
      </w:r>
      <w:r>
        <w:rPr>
          <w:rFonts w:hint="cs"/>
          <w:rtl/>
        </w:rPr>
        <w:t xml:space="preserve">דמשמע מדברי </w:t>
      </w:r>
      <w:r>
        <w:rPr>
          <w:rStyle w:val="af8"/>
          <w:rtl/>
        </w:rPr>
        <w:t>הראב"ד</w:t>
      </w:r>
      <w:r>
        <w:rPr>
          <w:rFonts w:hint="cs"/>
          <w:rtl/>
        </w:rPr>
        <w:t xml:space="preserve"> דהא דלריו"ח אסור כשיש ניצוק היינו דוקא כשיש ביין האסור שבחבית שיעור של נתינת טעם, בכל היין המותר שבבור.</w:t>
      </w:r>
    </w:p>
    <w:p w:rsidR="009F44AF" w:rsidRDefault="009F44AF" w:rsidP="009F44AF">
      <w:pPr>
        <w:pStyle w:val="a2"/>
        <w:rPr>
          <w:rtl/>
        </w:rPr>
      </w:pPr>
      <w:bookmarkStart w:id="16248" w:name="_Toc26784006"/>
      <w:bookmarkStart w:id="16249" w:name="_Toc26781293"/>
      <w:bookmarkStart w:id="16250" w:name="_Toc26777084"/>
      <w:bookmarkStart w:id="16251" w:name="_Toc26742701"/>
      <w:bookmarkStart w:id="16252" w:name="_Toc26726031"/>
      <w:r>
        <w:rPr>
          <w:rFonts w:hint="cs"/>
          <w:rtl/>
        </w:rPr>
        <w:t>ביאור הרשב"א בראב"ד דבנצוק ויש בחבית פחות משיעור נו"ט בבור אף היין שבחבית בטל</w:t>
      </w:r>
      <w:bookmarkEnd w:id="16248"/>
      <w:bookmarkEnd w:id="16249"/>
      <w:bookmarkEnd w:id="16250"/>
      <w:bookmarkEnd w:id="16251"/>
      <w:bookmarkEnd w:id="16252"/>
    </w:p>
    <w:p w:rsidR="009F44AF" w:rsidRDefault="009F44AF" w:rsidP="009F44AF">
      <w:pPr>
        <w:pStyle w:val="a"/>
        <w:numPr>
          <w:ilvl w:val="0"/>
          <w:numId w:val="17"/>
        </w:numPr>
      </w:pPr>
      <w:r>
        <w:rPr>
          <w:rFonts w:hint="cs"/>
          <w:rtl/>
        </w:rPr>
        <w:t xml:space="preserve">אבל באופן שיש בחבית פחות משיעור נתינת טעם ביין שבבור, כתב </w:t>
      </w:r>
      <w:r>
        <w:rPr>
          <w:rStyle w:val="af8"/>
          <w:rtl/>
        </w:rPr>
        <w:t xml:space="preserve">הרשב"א בחי' </w:t>
      </w:r>
      <w:r>
        <w:rPr>
          <w:rFonts w:hint="cs"/>
          <w:rtl/>
        </w:rPr>
        <w:t xml:space="preserve">דמשמע מדברי </w:t>
      </w:r>
      <w:r>
        <w:rPr>
          <w:rStyle w:val="af8"/>
          <w:rtl/>
        </w:rPr>
        <w:t>הראב"ד</w:t>
      </w:r>
      <w:r>
        <w:rPr>
          <w:rFonts w:hint="cs"/>
          <w:rtl/>
        </w:rPr>
        <w:t xml:space="preserve"> דאף היין האסור שעדיין נשאר בתוך החבית, מתבטל בייין המותר שבבור, כיון שהנצוק מחברם, וע"י הנצוק אנו רואים כאילו היין שבחבית מעורב ביין שבבור.</w:t>
      </w:r>
      <w:bookmarkEnd w:id="16247"/>
    </w:p>
    <w:p w:rsidR="009F44AF" w:rsidRDefault="009F44AF" w:rsidP="009F44AF">
      <w:pPr>
        <w:pStyle w:val="a2"/>
        <w:rPr>
          <w:rtl/>
        </w:rPr>
      </w:pPr>
      <w:bookmarkStart w:id="16253" w:name="_Toc26784007"/>
      <w:bookmarkStart w:id="16254" w:name="_Toc26781294"/>
      <w:bookmarkStart w:id="16255" w:name="_Toc26777085"/>
      <w:bookmarkStart w:id="16256" w:name="_Toc26742702"/>
      <w:bookmarkStart w:id="16257" w:name="_Toc26726032"/>
      <w:r>
        <w:rPr>
          <w:rFonts w:hint="cs"/>
          <w:rtl/>
        </w:rPr>
        <w:t>קושית הרשב"א על הראב"ד דנצוק אינו חיבור בדין קמא קמא בטיל</w:t>
      </w:r>
      <w:bookmarkEnd w:id="16253"/>
      <w:bookmarkEnd w:id="16254"/>
      <w:bookmarkEnd w:id="16255"/>
      <w:bookmarkEnd w:id="16256"/>
      <w:bookmarkEnd w:id="16257"/>
    </w:p>
    <w:p w:rsidR="009F44AF" w:rsidRDefault="009F44AF" w:rsidP="009F44AF">
      <w:pPr>
        <w:pStyle w:val="a"/>
        <w:numPr>
          <w:ilvl w:val="0"/>
          <w:numId w:val="17"/>
        </w:numPr>
        <w:rPr>
          <w:rtl/>
        </w:rPr>
      </w:pPr>
      <w:r>
        <w:rPr>
          <w:rFonts w:hint="cs"/>
          <w:rtl/>
        </w:rPr>
        <w:t xml:space="preserve">וכתב </w:t>
      </w:r>
      <w:r>
        <w:rPr>
          <w:rStyle w:val="af8"/>
          <w:rtl/>
        </w:rPr>
        <w:t xml:space="preserve">הרשב"א בחי' </w:t>
      </w:r>
      <w:r>
        <w:rPr>
          <w:rFonts w:hint="cs"/>
          <w:rtl/>
        </w:rPr>
        <w:t xml:space="preserve">דנראה דוחק לומר כדברי </w:t>
      </w:r>
      <w:r>
        <w:rPr>
          <w:rStyle w:val="af8"/>
          <w:rtl/>
        </w:rPr>
        <w:t xml:space="preserve">הראב"ד </w:t>
      </w:r>
      <w:r>
        <w:rPr>
          <w:rFonts w:hint="cs"/>
          <w:rtl/>
        </w:rPr>
        <w:t xml:space="preserve">והוא רחוק מהדעת, ועוד הקשה </w:t>
      </w:r>
      <w:r>
        <w:rPr>
          <w:rStyle w:val="af8"/>
          <w:rtl/>
        </w:rPr>
        <w:t>הרשב"א</w:t>
      </w:r>
      <w:r>
        <w:rPr>
          <w:rFonts w:hint="cs"/>
          <w:rtl/>
        </w:rPr>
        <w:t xml:space="preserve"> דהרי בגמ' לעיל </w:t>
      </w:r>
      <w:r w:rsidRPr="009F44AF">
        <w:rPr>
          <w:rStyle w:val="af6"/>
          <w:rFonts w:eastAsia="Guttman Hodes" w:hint="cs"/>
          <w:rtl/>
        </w:rPr>
        <w:t xml:space="preserve">(עא.) </w:t>
      </w:r>
      <w:r>
        <w:rPr>
          <w:rFonts w:hint="cs"/>
          <w:rtl/>
        </w:rPr>
        <w:t xml:space="preserve">מבואר בדברי אמימר דבדין קמא קמא בטיל נצוק אינו חיבור, בין כלי של יין נסך לכלי של היתר, </w:t>
      </w:r>
      <w:r>
        <w:rPr>
          <w:rStyle w:val="afa"/>
          <w:rtl/>
        </w:rPr>
        <w:t xml:space="preserve">[עיי"ש בדברי </w:t>
      </w:r>
      <w:r>
        <w:rPr>
          <w:rStyle w:val="affa"/>
          <w:rtl/>
        </w:rPr>
        <w:t>הרשב"א</w:t>
      </w:r>
      <w:r>
        <w:rPr>
          <w:rStyle w:val="afa"/>
          <w:rtl/>
        </w:rPr>
        <w:t>],</w:t>
      </w:r>
      <w:r>
        <w:rPr>
          <w:rFonts w:hint="cs"/>
          <w:rtl/>
        </w:rPr>
        <w:t xml:space="preserve"> וכתב </w:t>
      </w:r>
      <w:r>
        <w:rPr>
          <w:rStyle w:val="af8"/>
          <w:rtl/>
        </w:rPr>
        <w:t>הרשב"א</w:t>
      </w:r>
      <w:r>
        <w:rPr>
          <w:rFonts w:hint="cs"/>
          <w:rtl/>
        </w:rPr>
        <w:t xml:space="preserve"> דדוחק להעמיד בדברי אמימר שאין ביין נסך שבכל הכלי, שיעור נתינת טעם ביין של ההיתר, וכתב </w:t>
      </w:r>
      <w:r>
        <w:rPr>
          <w:rStyle w:val="af8"/>
          <w:rtl/>
        </w:rPr>
        <w:t>הרשב"א</w:t>
      </w:r>
      <w:r>
        <w:rPr>
          <w:rFonts w:hint="cs"/>
          <w:rtl/>
        </w:rPr>
        <w:t xml:space="preserve"> דלא נראה לפרש כן בדברי אמימר, אך כתב </w:t>
      </w:r>
      <w:r>
        <w:rPr>
          <w:rStyle w:val="af8"/>
          <w:rtl/>
        </w:rPr>
        <w:t>הרשב"א</w:t>
      </w:r>
      <w:r>
        <w:rPr>
          <w:rFonts w:hint="cs"/>
          <w:rtl/>
        </w:rPr>
        <w:t xml:space="preserve"> דאפש"ל דדברי אמימר הם אליבא דרב, ורב דימי אמר דקמא קמא בטיל אליבא דריו"ח דפליג על רב.</w:t>
      </w:r>
    </w:p>
    <w:p w:rsidR="009F44AF" w:rsidRDefault="009F44AF" w:rsidP="009F44AF">
      <w:pPr>
        <w:pStyle w:val="a2"/>
        <w:rPr>
          <w:rtl/>
        </w:rPr>
      </w:pPr>
    </w:p>
    <w:p w:rsidR="009F44AF" w:rsidRDefault="009F44AF" w:rsidP="009F44AF">
      <w:pPr>
        <w:pStyle w:val="a2"/>
      </w:pPr>
      <w:bookmarkStart w:id="16258" w:name="_Toc26784008"/>
      <w:bookmarkStart w:id="16259" w:name="_Toc26781295"/>
      <w:bookmarkStart w:id="16260" w:name="_Toc26777086"/>
      <w:bookmarkStart w:id="16261" w:name="_Toc26742703"/>
      <w:bookmarkStart w:id="16262" w:name="_Toc26726033"/>
      <w:r>
        <w:rPr>
          <w:rFonts w:hint="cs"/>
          <w:rtl/>
        </w:rPr>
        <w:t>דברי הרשב"א דבסברא אפש"ל דבנצוק הולכים רק אחר מקום מגע היין בבור ולא דהכל מחובר</w:t>
      </w:r>
      <w:bookmarkEnd w:id="16258"/>
      <w:bookmarkEnd w:id="16259"/>
      <w:bookmarkEnd w:id="16260"/>
      <w:bookmarkEnd w:id="16261"/>
      <w:bookmarkEnd w:id="16262"/>
    </w:p>
    <w:p w:rsidR="009F44AF" w:rsidRDefault="009F44AF" w:rsidP="009F44AF">
      <w:pPr>
        <w:pStyle w:val="a"/>
        <w:numPr>
          <w:ilvl w:val="0"/>
          <w:numId w:val="17"/>
        </w:numPr>
        <w:rPr>
          <w:rtl/>
        </w:rPr>
      </w:pPr>
      <w:r>
        <w:rPr>
          <w:rFonts w:hint="cs"/>
          <w:rtl/>
        </w:rPr>
        <w:t xml:space="preserve">וכתב </w:t>
      </w:r>
      <w:r>
        <w:rPr>
          <w:rStyle w:val="af8"/>
          <w:rtl/>
        </w:rPr>
        <w:t xml:space="preserve">הרשב"א בחי' </w:t>
      </w:r>
      <w:r>
        <w:rPr>
          <w:rFonts w:hint="cs"/>
          <w:rtl/>
        </w:rPr>
        <w:t xml:space="preserve">דאף שדינו של </w:t>
      </w:r>
      <w:r>
        <w:rPr>
          <w:rStyle w:val="af8"/>
          <w:rtl/>
        </w:rPr>
        <w:t>הראב"ד</w:t>
      </w:r>
      <w:r>
        <w:rPr>
          <w:rFonts w:hint="cs"/>
          <w:rtl/>
        </w:rPr>
        <w:t xml:space="preserve"> יפה, מ"מ לא נראה לומר כעיקר סברת </w:t>
      </w:r>
      <w:r>
        <w:rPr>
          <w:rStyle w:val="af8"/>
          <w:rtl/>
        </w:rPr>
        <w:t>הראב"ד</w:t>
      </w:r>
      <w:r>
        <w:rPr>
          <w:rFonts w:hint="cs"/>
          <w:rtl/>
        </w:rPr>
        <w:t xml:space="preserve">, דכתב כשיש חיבור בין החבית לבור, חשיב שכל היין מעורב, ומה שנפל לבור אינו מתבטל ברוב ההיתר, והכל אסור, דהא מסברא אפש"ל להיפך דהולכים רק אחר מקום המגע של היין בבור, </w:t>
      </w:r>
      <w:r>
        <w:rPr>
          <w:rStyle w:val="afa"/>
          <w:rtl/>
        </w:rPr>
        <w:t xml:space="preserve">[דהיינו שרק היין שנגע בבור חשיב מעורב, אבל היין שבקילוח ובחבית אינו כמעורב], </w:t>
      </w:r>
      <w:r>
        <w:rPr>
          <w:rFonts w:hint="cs"/>
          <w:rtl/>
        </w:rPr>
        <w:t xml:space="preserve">אך כתב </w:t>
      </w:r>
      <w:r>
        <w:rPr>
          <w:rStyle w:val="af8"/>
          <w:rtl/>
        </w:rPr>
        <w:t>הרשב"א</w:t>
      </w:r>
      <w:r>
        <w:rPr>
          <w:rFonts w:hint="cs"/>
          <w:rtl/>
        </w:rPr>
        <w:t xml:space="preserve"> דמ"מ סברת </w:t>
      </w:r>
      <w:r>
        <w:rPr>
          <w:rStyle w:val="af8"/>
          <w:rtl/>
        </w:rPr>
        <w:t>הראב"ד</w:t>
      </w:r>
      <w:r>
        <w:rPr>
          <w:rFonts w:hint="cs"/>
          <w:rtl/>
        </w:rPr>
        <w:t xml:space="preserve"> היא דדבר שהוא מחובר, חשיב שהכל כאחד וא"א לבטלו כאילו הכל התערב בבת אחת.</w:t>
      </w:r>
    </w:p>
    <w:p w:rsidR="009F44AF" w:rsidRDefault="009F44AF" w:rsidP="0098721B">
      <w:pPr>
        <w:pStyle w:val="1"/>
        <w:rPr>
          <w:rtl/>
        </w:rPr>
      </w:pPr>
      <w:bookmarkStart w:id="16263" w:name="_Toc26784009"/>
      <w:bookmarkStart w:id="16264" w:name="_Toc26781296"/>
      <w:bookmarkStart w:id="16265" w:name="_Toc26777087"/>
      <w:bookmarkStart w:id="16266" w:name="_Toc26742704"/>
      <w:bookmarkStart w:id="16267" w:name="_Toc26726034"/>
      <w:r>
        <w:rPr>
          <w:rFonts w:hint="cs"/>
          <w:rtl/>
        </w:rPr>
        <w:t>קושית הרמב"ן על הראב"ד דבנפיש עמודיה מוכח דהוא מחובר</w:t>
      </w:r>
      <w:bookmarkEnd w:id="16242"/>
      <w:bookmarkEnd w:id="16243"/>
      <w:bookmarkEnd w:id="16244"/>
      <w:bookmarkEnd w:id="16245"/>
      <w:bookmarkEnd w:id="16263"/>
      <w:bookmarkEnd w:id="16264"/>
      <w:bookmarkEnd w:id="16265"/>
      <w:bookmarkEnd w:id="16266"/>
      <w:bookmarkEnd w:id="16267"/>
    </w:p>
    <w:p w:rsidR="009F44AF" w:rsidRDefault="009F44AF" w:rsidP="009F44AF">
      <w:pPr>
        <w:pStyle w:val="a2"/>
      </w:pPr>
      <w:bookmarkStart w:id="16268" w:name="_Toc26784010"/>
      <w:bookmarkStart w:id="16269" w:name="_Toc26781297"/>
      <w:bookmarkStart w:id="16270" w:name="_Toc26777088"/>
      <w:bookmarkStart w:id="16271" w:name="_Toc26742705"/>
      <w:bookmarkStart w:id="16272" w:name="_Toc26726035"/>
      <w:bookmarkStart w:id="16273" w:name="_Toc26702370"/>
      <w:bookmarkStart w:id="16274" w:name="_Toc26523407"/>
      <w:bookmarkStart w:id="16275" w:name="_Toc26477526"/>
      <w:bookmarkStart w:id="16276" w:name="_Toc26477401"/>
      <w:r>
        <w:rPr>
          <w:rFonts w:hint="cs"/>
          <w:rtl/>
        </w:rPr>
        <w:t>קושית הרמב"ן דא"א לומר דאיירי במקטף קטופי דא"כ אמאי אסר רב יצחק בנפיש עמודיה</w:t>
      </w:r>
      <w:bookmarkEnd w:id="16268"/>
      <w:bookmarkEnd w:id="16269"/>
      <w:bookmarkEnd w:id="16270"/>
      <w:bookmarkEnd w:id="16271"/>
      <w:bookmarkEnd w:id="16272"/>
      <w:bookmarkEnd w:id="16273"/>
      <w:bookmarkEnd w:id="16274"/>
      <w:bookmarkEnd w:id="16275"/>
      <w:bookmarkEnd w:id="16276"/>
    </w:p>
    <w:p w:rsidR="009F44AF" w:rsidRDefault="009F44AF" w:rsidP="0083178A">
      <w:pPr>
        <w:pStyle w:val="a"/>
        <w:numPr>
          <w:ilvl w:val="0"/>
          <w:numId w:val="17"/>
        </w:numPr>
        <w:rPr>
          <w:rtl/>
        </w:rPr>
      </w:pPr>
      <w:bookmarkStart w:id="16277" w:name="_Ref25747896"/>
      <w:bookmarkStart w:id="16278" w:name="_Ref26780781"/>
      <w:r>
        <w:rPr>
          <w:rStyle w:val="af8"/>
          <w:rtl/>
        </w:rPr>
        <w:t xml:space="preserve">והרמב"ן </w:t>
      </w:r>
      <w:r w:rsidRPr="009F44AF">
        <w:rPr>
          <w:rStyle w:val="af6"/>
          <w:rFonts w:eastAsia="Guttman Hodes" w:hint="cs"/>
          <w:rtl/>
        </w:rPr>
        <w:t>(עג. ד"ה והמערה)</w:t>
      </w:r>
      <w:r>
        <w:rPr>
          <w:rFonts w:hint="cs"/>
          <w:rtl/>
        </w:rPr>
        <w:t xml:space="preserve"> </w:t>
      </w:r>
      <w:r>
        <w:rPr>
          <w:rStyle w:val="af8"/>
          <w:rtl/>
        </w:rPr>
        <w:t xml:space="preserve">והרשב"א בתוה"ב </w:t>
      </w:r>
      <w:r w:rsidRPr="009F44AF">
        <w:rPr>
          <w:rStyle w:val="af6"/>
          <w:rFonts w:eastAsia="Guttman Hodes" w:hint="cs"/>
          <w:rtl/>
        </w:rPr>
        <w:t xml:space="preserve">(ב"ד ש"ב כו: מדה"ס) </w:t>
      </w:r>
      <w:r>
        <w:rPr>
          <w:rFonts w:hint="cs"/>
          <w:rtl/>
        </w:rPr>
        <w:t xml:space="preserve">דחו את דברי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Ref26477454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לה</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דכתב דאיירי דוקא במקטף קטופי, דא"כ היאך אמר רב יצחק דחבית שנפיש עמודיה אסור, והרי כיון שהוא מנטף </w:t>
      </w:r>
      <w:r>
        <w:rPr>
          <w:rFonts w:hint="cs"/>
          <w:rtl/>
        </w:rPr>
        <w:lastRenderedPageBreak/>
        <w:t xml:space="preserve">מחבית לבור, ממילא בעמוד עצמו שנופל, אין שיעור לאסור את היין שבבור, </w:t>
      </w:r>
      <w:r>
        <w:rPr>
          <w:rStyle w:val="afa"/>
          <w:rtl/>
        </w:rPr>
        <w:t>[דהיינו באותה נפילה עצמה],</w:t>
      </w:r>
      <w:r>
        <w:rPr>
          <w:rFonts w:hint="cs"/>
          <w:rtl/>
        </w:rPr>
        <w:t xml:space="preserve"> וכיון שהעמוד עצמו לא אוסר אמרינן דקמא קמא בטיל</w:t>
      </w:r>
      <w:bookmarkEnd w:id="16277"/>
      <w:r>
        <w:rPr>
          <w:rFonts w:hint="cs"/>
          <w:rtl/>
        </w:rPr>
        <w:t>, וביאר</w:t>
      </w:r>
      <w:r>
        <w:rPr>
          <w:rStyle w:val="af8"/>
          <w:rtl/>
        </w:rPr>
        <w:t xml:space="preserve"> הר"ן על הרי"ף </w:t>
      </w:r>
      <w:r w:rsidRPr="009F44AF">
        <w:rPr>
          <w:rStyle w:val="af6"/>
          <w:rFonts w:eastAsia="Guttman Hodes" w:hint="cs"/>
          <w:rtl/>
        </w:rPr>
        <w:t>(לו. מדה"ר סוד"ה אפילו)</w:t>
      </w:r>
      <w:r>
        <w:rPr>
          <w:rFonts w:hint="cs"/>
          <w:rtl/>
        </w:rPr>
        <w:t xml:space="preserve"> </w:t>
      </w:r>
      <w:r>
        <w:rPr>
          <w:rStyle w:val="af8"/>
          <w:rtl/>
        </w:rPr>
        <w:t xml:space="preserve">ובחי' </w:t>
      </w:r>
      <w:r w:rsidRPr="009F44AF">
        <w:rPr>
          <w:rStyle w:val="af6"/>
          <w:rFonts w:eastAsia="Guttman Hodes" w:hint="cs"/>
          <w:rtl/>
        </w:rPr>
        <w:t>(עג. ד"ה דוקא)</w:t>
      </w:r>
      <w:r w:rsidR="0083178A">
        <w:rPr>
          <w:rFonts w:hint="cs"/>
          <w:rtl/>
        </w:rPr>
        <w:t xml:space="preserve"> דאי אייר</w:t>
      </w:r>
      <w:r>
        <w:rPr>
          <w:rFonts w:hint="cs"/>
          <w:rtl/>
        </w:rPr>
        <w:t xml:space="preserve">י במקטף קטופי, אף בחבית דנפיש עמודיה, א"א לאסור, </w:t>
      </w:r>
      <w:r w:rsidR="0083178A">
        <w:rPr>
          <w:rFonts w:hint="cs"/>
          <w:rtl/>
        </w:rPr>
        <w:t>ד</w:t>
      </w:r>
      <w:r>
        <w:rPr>
          <w:rFonts w:hint="cs"/>
          <w:rtl/>
        </w:rPr>
        <w:t>א"כ היין שבחבית אינו מחובר ליין שבבור, וביין עצמו שנפל לבור אין בו שיעור נתינת טעם, והיאך הוא יאסור את כל היין שבבור.</w:t>
      </w:r>
      <w:bookmarkEnd w:id="16278"/>
    </w:p>
    <w:p w:rsidR="009F44AF" w:rsidRDefault="009F44AF" w:rsidP="009F44AF">
      <w:pPr>
        <w:pStyle w:val="a2"/>
        <w:rPr>
          <w:rtl/>
        </w:rPr>
      </w:pPr>
      <w:bookmarkStart w:id="16279" w:name="_Toc26784011"/>
      <w:bookmarkStart w:id="16280" w:name="_Toc26781298"/>
      <w:bookmarkStart w:id="16281" w:name="_Toc26777089"/>
      <w:bookmarkStart w:id="16282" w:name="_Toc26742706"/>
      <w:bookmarkStart w:id="16283" w:name="_Toc26726036"/>
      <w:bookmarkStart w:id="16284" w:name="_Toc26702371"/>
      <w:bookmarkStart w:id="16285" w:name="_Toc26523408"/>
      <w:bookmarkStart w:id="16286" w:name="_Toc26477527"/>
      <w:bookmarkStart w:id="16287" w:name="_Toc26477402"/>
      <w:r>
        <w:rPr>
          <w:rFonts w:hint="cs"/>
          <w:rtl/>
        </w:rPr>
        <w:t>תירוץ הרשב"א והר"ן בראב"ד דרב יצחק אסר כיון שהוא קילוח חשוב אף שאינו מחובר</w:t>
      </w:r>
      <w:bookmarkEnd w:id="16279"/>
      <w:bookmarkEnd w:id="16280"/>
      <w:bookmarkEnd w:id="16281"/>
      <w:bookmarkEnd w:id="16282"/>
      <w:bookmarkEnd w:id="16283"/>
      <w:bookmarkEnd w:id="16284"/>
      <w:bookmarkEnd w:id="16285"/>
      <w:bookmarkEnd w:id="16286"/>
      <w:bookmarkEnd w:id="16287"/>
    </w:p>
    <w:p w:rsidR="009F44AF" w:rsidRDefault="009F44AF" w:rsidP="0083178A">
      <w:pPr>
        <w:pStyle w:val="a"/>
        <w:numPr>
          <w:ilvl w:val="0"/>
          <w:numId w:val="17"/>
        </w:numPr>
        <w:rPr>
          <w:rtl/>
        </w:rPr>
      </w:pPr>
      <w:r>
        <w:rPr>
          <w:rFonts w:hint="cs"/>
          <w:rtl/>
        </w:rPr>
        <w:t xml:space="preserve">ותירץ </w:t>
      </w:r>
      <w:r>
        <w:rPr>
          <w:rStyle w:val="af8"/>
          <w:rtl/>
        </w:rPr>
        <w:t xml:space="preserve">הר"ן בחי' ועל הרי"ף </w:t>
      </w:r>
      <w:r>
        <w:rPr>
          <w:rFonts w:hint="cs"/>
          <w:rtl/>
        </w:rPr>
        <w:t xml:space="preserve">בשם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Ref26115561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נח</w:t>
      </w:r>
      <w:r w:rsidR="004D1C5B">
        <w:rPr>
          <w:rStyle w:val="af6"/>
          <w:rFonts w:eastAsia="Guttman Hodes"/>
          <w:rtl/>
        </w:rPr>
        <w:t>)</w:t>
      </w:r>
      <w:r>
        <w:rPr>
          <w:rFonts w:hint="cs"/>
          <w:rtl/>
        </w:rPr>
        <w:fldChar w:fldCharType="end"/>
      </w:r>
      <w:r>
        <w:rPr>
          <w:rFonts w:hint="cs"/>
          <w:rtl/>
        </w:rPr>
        <w:t xml:space="preserve"> דהא דאמר רב יצחק דקילוח דחבית דנפיש עמודיה אינו מתבטל, הוא כיון שקילוח גדול כזה הוא חשוב, ולכן אינו מתבטל אף שיש הרבה יין בבור, וכן תירץ </w:t>
      </w:r>
      <w:r>
        <w:rPr>
          <w:rStyle w:val="af8"/>
          <w:rtl/>
        </w:rPr>
        <w:t xml:space="preserve">הרשב"א </w:t>
      </w:r>
      <w:r w:rsidRPr="009F44AF">
        <w:rPr>
          <w:rStyle w:val="af6"/>
          <w:rFonts w:eastAsia="Guttman Hodes" w:hint="cs"/>
          <w:rtl/>
        </w:rPr>
        <w:t>(עג. ד"ה והרמב"ן)</w:t>
      </w:r>
      <w:r>
        <w:rPr>
          <w:rFonts w:hint="cs"/>
          <w:rtl/>
        </w:rPr>
        <w:t xml:space="preserve"> בדעת </w:t>
      </w:r>
      <w:r>
        <w:rPr>
          <w:rStyle w:val="af8"/>
          <w:rtl/>
        </w:rPr>
        <w:t>הראב"ד</w:t>
      </w:r>
      <w:r>
        <w:rPr>
          <w:rFonts w:hint="cs"/>
          <w:rtl/>
        </w:rPr>
        <w:t xml:space="preserve">, אך דחה </w:t>
      </w:r>
      <w:r>
        <w:rPr>
          <w:rStyle w:val="af8"/>
          <w:rtl/>
        </w:rPr>
        <w:t>הר"ן על הרי"ף</w:t>
      </w:r>
      <w:r>
        <w:rPr>
          <w:rFonts w:hint="cs"/>
          <w:rtl/>
        </w:rPr>
        <w:t xml:space="preserve"> את דברי </w:t>
      </w:r>
      <w:r>
        <w:rPr>
          <w:rStyle w:val="af8"/>
          <w:rtl/>
        </w:rPr>
        <w:t>הראב"ד</w:t>
      </w:r>
      <w:r>
        <w:rPr>
          <w:rFonts w:hint="cs"/>
          <w:rtl/>
        </w:rPr>
        <w:t xml:space="preserve">, ועי' במ"ש </w:t>
      </w:r>
      <w:r>
        <w:rPr>
          <w:rStyle w:val="af8"/>
          <w:rtl/>
        </w:rPr>
        <w:t>הר"ן בחי'</w:t>
      </w:r>
      <w:r>
        <w:rPr>
          <w:rFonts w:hint="cs"/>
          <w:rtl/>
        </w:rPr>
        <w:t xml:space="preserve"> </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Ref26780866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קטו</w:t>
      </w:r>
      <w:r w:rsidR="004D1C5B">
        <w:rPr>
          <w:rStyle w:val="af6"/>
          <w:rFonts w:eastAsia="Guttman Hodes"/>
          <w:rtl/>
        </w:rPr>
        <w:t>)</w:t>
      </w:r>
      <w:r>
        <w:rPr>
          <w:rFonts w:hint="cs"/>
          <w:rtl/>
        </w:rPr>
        <w:fldChar w:fldCharType="end"/>
      </w:r>
      <w:r>
        <w:rPr>
          <w:rFonts w:hint="cs"/>
          <w:rtl/>
        </w:rPr>
        <w:t xml:space="preserve"> דאפש"ל דכן דעת </w:t>
      </w:r>
      <w:r>
        <w:rPr>
          <w:rStyle w:val="af8"/>
          <w:rtl/>
        </w:rPr>
        <w:t>הרמב"ם</w:t>
      </w:r>
      <w:r>
        <w:rPr>
          <w:rFonts w:hint="cs"/>
          <w:rtl/>
        </w:rPr>
        <w:t>.</w:t>
      </w:r>
    </w:p>
    <w:p w:rsidR="009F44AF" w:rsidRDefault="009F44AF" w:rsidP="009F44AF">
      <w:pPr>
        <w:pStyle w:val="a2"/>
        <w:rPr>
          <w:rtl/>
        </w:rPr>
      </w:pPr>
      <w:bookmarkStart w:id="16288" w:name="_Toc26784012"/>
      <w:bookmarkStart w:id="16289" w:name="_Toc26781299"/>
      <w:bookmarkStart w:id="16290" w:name="_Toc26777090"/>
      <w:bookmarkStart w:id="16291" w:name="_Toc26742707"/>
      <w:bookmarkStart w:id="16292" w:name="_Toc26726037"/>
      <w:bookmarkStart w:id="16293" w:name="_Toc26702372"/>
      <w:bookmarkStart w:id="16294" w:name="_Toc26523409"/>
      <w:bookmarkStart w:id="16295" w:name="_Toc26477528"/>
      <w:bookmarkStart w:id="16296" w:name="_Toc26477403"/>
      <w:r>
        <w:rPr>
          <w:rFonts w:hint="cs"/>
          <w:rtl/>
        </w:rPr>
        <w:t>ביאור החזו"א דלהרמב"ן בראב"ד נפיש עמודיה חשיב שנפל בב"א ולהר"ן הוא דבר חשוב</w:t>
      </w:r>
      <w:bookmarkEnd w:id="16288"/>
      <w:bookmarkEnd w:id="16289"/>
      <w:bookmarkEnd w:id="16290"/>
      <w:bookmarkEnd w:id="16291"/>
      <w:bookmarkEnd w:id="16292"/>
      <w:bookmarkEnd w:id="16293"/>
      <w:bookmarkEnd w:id="16294"/>
      <w:bookmarkEnd w:id="16295"/>
      <w:bookmarkEnd w:id="16296"/>
    </w:p>
    <w:p w:rsidR="009F44AF" w:rsidRDefault="009F44AF" w:rsidP="009F44AF">
      <w:pPr>
        <w:pStyle w:val="a"/>
        <w:numPr>
          <w:ilvl w:val="0"/>
          <w:numId w:val="17"/>
        </w:numPr>
        <w:rPr>
          <w:rtl/>
        </w:rPr>
      </w:pPr>
      <w:r>
        <w:rPr>
          <w:rFonts w:hint="cs"/>
          <w:rtl/>
        </w:rPr>
        <w:t xml:space="preserve">וביאר </w:t>
      </w:r>
      <w:r>
        <w:rPr>
          <w:rStyle w:val="af8"/>
          <w:rtl/>
        </w:rPr>
        <w:t>החזו"א</w:t>
      </w:r>
      <w:r>
        <w:rPr>
          <w:rFonts w:hint="cs"/>
          <w:rtl/>
        </w:rPr>
        <w:t xml:space="preserve"> </w:t>
      </w:r>
      <w:r w:rsidRPr="009F44AF">
        <w:rPr>
          <w:rStyle w:val="af6"/>
          <w:rFonts w:eastAsia="Guttman Hodes" w:hint="cs"/>
          <w:rtl/>
        </w:rPr>
        <w:t xml:space="preserve">(סי' מ"ח סק"א ד"ה וכ"ד) </w:t>
      </w:r>
      <w:r>
        <w:rPr>
          <w:rFonts w:hint="cs"/>
          <w:rtl/>
        </w:rPr>
        <w:t xml:space="preserve">דכוונת </w:t>
      </w:r>
      <w:r>
        <w:rPr>
          <w:rStyle w:val="af8"/>
          <w:rtl/>
        </w:rPr>
        <w:t>הר"ן</w:t>
      </w:r>
      <w:r>
        <w:rPr>
          <w:rFonts w:hint="cs"/>
          <w:rtl/>
        </w:rPr>
        <w:t xml:space="preserve"> לתרץ לדעת </w:t>
      </w:r>
      <w:r>
        <w:rPr>
          <w:rStyle w:val="af8"/>
          <w:rtl/>
        </w:rPr>
        <w:t>הראב"ד</w:t>
      </w:r>
      <w:r>
        <w:rPr>
          <w:rFonts w:hint="cs"/>
          <w:rtl/>
        </w:rPr>
        <w:t xml:space="preserve"> דטעם האיסור בנפיש עמודיה, אינו כדביאר </w:t>
      </w:r>
      <w:r>
        <w:rPr>
          <w:rStyle w:val="af8"/>
          <w:rtl/>
        </w:rPr>
        <w:t>הרמב"ן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Ref25747896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מא</w:t>
      </w:r>
      <w:r w:rsidR="004D1C5B">
        <w:rPr>
          <w:rStyle w:val="af6"/>
          <w:rFonts w:eastAsia="Guttman Hodes"/>
          <w:rtl/>
        </w:rPr>
        <w:t>)</w:t>
      </w:r>
      <w:r>
        <w:rPr>
          <w:rFonts w:hint="cs"/>
          <w:rtl/>
        </w:rPr>
        <w:fldChar w:fldCharType="end"/>
      </w:r>
      <w:r>
        <w:rPr>
          <w:rFonts w:hint="cs"/>
          <w:rtl/>
        </w:rPr>
        <w:t xml:space="preserve"> בדעת </w:t>
      </w:r>
      <w:r>
        <w:rPr>
          <w:rStyle w:val="af8"/>
          <w:rtl/>
        </w:rPr>
        <w:t>הראב"ד</w:t>
      </w:r>
      <w:r>
        <w:rPr>
          <w:rFonts w:hint="cs"/>
          <w:rtl/>
        </w:rPr>
        <w:t xml:space="preserve"> דחשיב שהכל נפל בבת אחת, דזה שייך דוקא במערה בקילוח אחד, שהעמוד מחבר את כל היין, ואילו לדעת </w:t>
      </w:r>
      <w:r>
        <w:rPr>
          <w:rStyle w:val="af8"/>
          <w:rtl/>
        </w:rPr>
        <w:t>הראב"ד</w:t>
      </w:r>
      <w:r>
        <w:rPr>
          <w:rFonts w:hint="cs"/>
          <w:rtl/>
        </w:rPr>
        <w:t xml:space="preserve"> איירי במקטף קטופי, והיין שמגיע לבור אינו מחובר ליין האסור שבחבית, אלא דלדעת </w:t>
      </w:r>
      <w:r>
        <w:rPr>
          <w:rStyle w:val="af8"/>
          <w:rtl/>
        </w:rPr>
        <w:t>הראב"ד</w:t>
      </w:r>
      <w:r>
        <w:rPr>
          <w:rFonts w:hint="cs"/>
          <w:rtl/>
        </w:rPr>
        <w:t xml:space="preserve"> נפיש עמודיה, חשיב שהאיסור נמצא במקומו ולכן אינו מתבטל.</w:t>
      </w:r>
    </w:p>
    <w:p w:rsidR="009F44AF" w:rsidRDefault="009F44AF" w:rsidP="0098721B">
      <w:pPr>
        <w:pStyle w:val="1"/>
        <w:rPr>
          <w:rtl/>
        </w:rPr>
      </w:pPr>
      <w:bookmarkStart w:id="16297" w:name="_Toc26784013"/>
      <w:bookmarkStart w:id="16298" w:name="_Toc26781300"/>
      <w:bookmarkStart w:id="16299" w:name="_Toc26777091"/>
      <w:bookmarkStart w:id="16300" w:name="_Toc26742708"/>
      <w:bookmarkStart w:id="16301" w:name="_Toc26726038"/>
      <w:bookmarkStart w:id="16302" w:name="_Toc26702373"/>
      <w:bookmarkStart w:id="16303" w:name="_Toc26523410"/>
      <w:bookmarkStart w:id="16304" w:name="_Toc26477529"/>
      <w:bookmarkStart w:id="16305" w:name="_Toc26477404"/>
      <w:r>
        <w:rPr>
          <w:rFonts w:hint="cs"/>
          <w:rtl/>
        </w:rPr>
        <w:t>דברי הראב"ד דהיתר לתוך לאיסור קמא קמא בטל בפחות מנו"ט</w:t>
      </w:r>
      <w:bookmarkEnd w:id="16297"/>
      <w:bookmarkEnd w:id="16298"/>
      <w:bookmarkEnd w:id="16299"/>
      <w:bookmarkEnd w:id="16300"/>
      <w:bookmarkEnd w:id="16301"/>
      <w:bookmarkEnd w:id="16302"/>
      <w:bookmarkEnd w:id="16303"/>
      <w:bookmarkEnd w:id="16304"/>
      <w:bookmarkEnd w:id="16305"/>
      <w:r>
        <w:rPr>
          <w:rFonts w:hint="cs"/>
          <w:rtl/>
        </w:rPr>
        <w:t xml:space="preserve"> </w:t>
      </w:r>
    </w:p>
    <w:p w:rsidR="009F44AF" w:rsidRDefault="009F44AF" w:rsidP="009F44AF">
      <w:pPr>
        <w:pStyle w:val="a2"/>
        <w:rPr>
          <w:rtl/>
        </w:rPr>
      </w:pPr>
      <w:bookmarkStart w:id="16306" w:name="_Toc26784014"/>
      <w:bookmarkStart w:id="16307" w:name="_Toc26781301"/>
      <w:bookmarkStart w:id="16308" w:name="_Toc26777092"/>
      <w:bookmarkStart w:id="16309" w:name="_Toc26742709"/>
      <w:bookmarkStart w:id="16310" w:name="_Toc26726039"/>
      <w:bookmarkStart w:id="16311" w:name="_Toc26702374"/>
      <w:bookmarkStart w:id="16312" w:name="_Toc26523411"/>
      <w:bookmarkStart w:id="16313" w:name="_Toc26477530"/>
      <w:bookmarkStart w:id="16314" w:name="_Toc26477405"/>
      <w:r>
        <w:rPr>
          <w:rFonts w:hint="cs"/>
          <w:rtl/>
        </w:rPr>
        <w:t>דברי הראב"ד דבהיתר שנפל לאיסור אמרינן קמא קמא בטיל רק כשאין בכל נפילה שיעור נו"ט</w:t>
      </w:r>
      <w:bookmarkEnd w:id="16246"/>
      <w:bookmarkEnd w:id="16306"/>
      <w:bookmarkEnd w:id="16307"/>
      <w:bookmarkEnd w:id="16308"/>
      <w:bookmarkEnd w:id="16309"/>
      <w:bookmarkEnd w:id="16310"/>
      <w:bookmarkEnd w:id="16311"/>
      <w:bookmarkEnd w:id="16312"/>
      <w:bookmarkEnd w:id="16313"/>
      <w:bookmarkEnd w:id="16314"/>
    </w:p>
    <w:p w:rsidR="009F44AF" w:rsidRDefault="009F44AF" w:rsidP="009F44AF">
      <w:pPr>
        <w:pStyle w:val="a"/>
        <w:numPr>
          <w:ilvl w:val="0"/>
          <w:numId w:val="17"/>
        </w:numPr>
        <w:rPr>
          <w:rtl/>
        </w:rPr>
      </w:pPr>
      <w:r>
        <w:rPr>
          <w:rFonts w:hint="cs"/>
          <w:rtl/>
        </w:rPr>
        <w:t xml:space="preserve">ובהא דאמרינן שיין נסך אוסר במשהו, דוקא כשנפל ההיתר לתוך האיסור, ביאר </w:t>
      </w:r>
      <w:r>
        <w:rPr>
          <w:rStyle w:val="af8"/>
          <w:rtl/>
        </w:rPr>
        <w:t>בפי'</w:t>
      </w:r>
      <w:r>
        <w:rPr>
          <w:rFonts w:hint="cs"/>
          <w:rtl/>
        </w:rPr>
        <w:t xml:space="preserve"> </w:t>
      </w:r>
      <w:r>
        <w:rPr>
          <w:rStyle w:val="af8"/>
          <w:rtl/>
        </w:rPr>
        <w:t xml:space="preserve">הראב"ד </w:t>
      </w:r>
      <w:r w:rsidRPr="009F44AF">
        <w:rPr>
          <w:rStyle w:val="af6"/>
          <w:rFonts w:eastAsia="Guttman Hodes" w:hint="cs"/>
          <w:rtl/>
        </w:rPr>
        <w:t>(עג. ד"ה כי אתא רב דימי, הועתק בקובץ שיטות קמאי ע"ז ח"ב עמ' אלף תתנ"ג)</w:t>
      </w:r>
      <w:r>
        <w:rPr>
          <w:rFonts w:hint="cs"/>
          <w:rtl/>
        </w:rPr>
        <w:t xml:space="preserve"> דנפל ההיתר מעט מעט לתוך האיסור, שאין בכל נפילה ונפילה של ההיתר כשיעור שאם יפול יין של היתר לתוך מים של איסור, יתבטל טעם המים לגמרי, דבכה"ג אמרינן דההיתר קמא קמא בטיל, ואף אם נפל יין של היתר כל היום לתוך האיסור, הוא מתבטל באיסור והכל נאסר, אבל אם יש בכל נפילה של ההיתר שיעור ביטול טעם באיסור, אינו מתבטל.</w:t>
      </w:r>
    </w:p>
    <w:p w:rsidR="009F44AF" w:rsidRDefault="009F44AF" w:rsidP="009F44AF">
      <w:pPr>
        <w:pStyle w:val="a2"/>
        <w:rPr>
          <w:rtl/>
        </w:rPr>
      </w:pPr>
      <w:bookmarkStart w:id="16315" w:name="_Toc26784015"/>
      <w:bookmarkStart w:id="16316" w:name="_Toc26781302"/>
      <w:bookmarkStart w:id="16317" w:name="_Toc26777093"/>
      <w:bookmarkStart w:id="16318" w:name="_Toc26742710"/>
      <w:bookmarkStart w:id="16319" w:name="_Toc26726040"/>
      <w:bookmarkStart w:id="16320" w:name="_Toc26702375"/>
      <w:bookmarkStart w:id="16321" w:name="_Toc26523412"/>
      <w:bookmarkStart w:id="16322" w:name="_Toc26477531"/>
      <w:bookmarkStart w:id="16323" w:name="_Toc26477406"/>
      <w:bookmarkStart w:id="16324" w:name="_Toc26442705"/>
      <w:r>
        <w:rPr>
          <w:rFonts w:hint="cs"/>
          <w:rtl/>
        </w:rPr>
        <w:t>דברי הראב"ד דביין ביין היתר שהתבטל באיסור נעשה כאיסור דהכל מין אחד ואינו חוזר וניעור</w:t>
      </w:r>
      <w:bookmarkEnd w:id="16315"/>
      <w:bookmarkEnd w:id="16316"/>
      <w:bookmarkEnd w:id="16317"/>
      <w:bookmarkEnd w:id="16318"/>
      <w:bookmarkEnd w:id="16319"/>
      <w:bookmarkEnd w:id="16320"/>
      <w:bookmarkEnd w:id="16321"/>
      <w:bookmarkEnd w:id="16322"/>
      <w:bookmarkEnd w:id="16323"/>
      <w:bookmarkEnd w:id="16324"/>
    </w:p>
    <w:p w:rsidR="009F44AF" w:rsidRDefault="009F44AF" w:rsidP="009F44AF">
      <w:pPr>
        <w:pStyle w:val="a"/>
        <w:numPr>
          <w:ilvl w:val="0"/>
          <w:numId w:val="17"/>
        </w:numPr>
        <w:rPr>
          <w:rtl/>
        </w:rPr>
      </w:pPr>
      <w:r>
        <w:rPr>
          <w:rFonts w:hint="cs"/>
          <w:rtl/>
        </w:rPr>
        <w:t xml:space="preserve">וביאר </w:t>
      </w:r>
      <w:r>
        <w:rPr>
          <w:rStyle w:val="af8"/>
          <w:rtl/>
        </w:rPr>
        <w:t xml:space="preserve">בפי' הראב"ד </w:t>
      </w:r>
      <w:r>
        <w:rPr>
          <w:rFonts w:hint="cs"/>
          <w:rtl/>
        </w:rPr>
        <w:t>דאעפ"י שאחר שנפל יין של היתר כל היום לתוך האיסור, יש באיסור שיעור משהו כנגד ההיתר, מ"מ כיון שבשעת הנפילה היה באיסור שיעור כדי נתינת טעם בהיתר, שאם ההיתר היה מים, היה היין האסור נותן בו טעם, א"כ ההיתר נאסר בשעת הנפילה, וכל שנאסר נעשה ההיתר כיין אסור, כיון שההיתר והאיסור הם מין אחד, ואף שההיתר נפל וחזר ונפל על האיסור, מ"מ הכל אסור.</w:t>
      </w:r>
    </w:p>
    <w:p w:rsidR="009F44AF" w:rsidRDefault="009F44AF" w:rsidP="009F44AF">
      <w:pPr>
        <w:pStyle w:val="a2"/>
        <w:rPr>
          <w:rtl/>
        </w:rPr>
      </w:pPr>
      <w:bookmarkStart w:id="16325" w:name="_Toc26784016"/>
      <w:bookmarkStart w:id="16326" w:name="_Toc26781303"/>
      <w:bookmarkStart w:id="16327" w:name="_Toc26777094"/>
      <w:bookmarkStart w:id="16328" w:name="_Toc26742711"/>
      <w:bookmarkStart w:id="16329" w:name="_Toc26726041"/>
      <w:bookmarkStart w:id="16330" w:name="_Toc26702376"/>
      <w:bookmarkStart w:id="16331" w:name="_Toc26523413"/>
      <w:bookmarkStart w:id="16332" w:name="_Toc26477532"/>
      <w:bookmarkStart w:id="16333" w:name="_Toc26477407"/>
      <w:bookmarkStart w:id="16334" w:name="_Toc26442706"/>
      <w:r>
        <w:rPr>
          <w:rFonts w:hint="cs"/>
          <w:rtl/>
        </w:rPr>
        <w:t>קושית הרמב"ן על הראב"ד דאי היתר שנפל לאיסור קמא קמא בטיל אין חומרא ביי"נ</w:t>
      </w:r>
      <w:bookmarkEnd w:id="16325"/>
      <w:bookmarkEnd w:id="16326"/>
      <w:bookmarkEnd w:id="16327"/>
      <w:bookmarkEnd w:id="16328"/>
      <w:bookmarkEnd w:id="16329"/>
      <w:bookmarkEnd w:id="16330"/>
    </w:p>
    <w:p w:rsidR="009F44AF" w:rsidRDefault="009F44AF" w:rsidP="0083178A">
      <w:pPr>
        <w:pStyle w:val="a"/>
        <w:numPr>
          <w:ilvl w:val="0"/>
          <w:numId w:val="17"/>
        </w:numPr>
        <w:rPr>
          <w:rtl/>
        </w:rPr>
      </w:pPr>
      <w:bookmarkStart w:id="16335" w:name="_Ref26722133"/>
      <w:r>
        <w:rPr>
          <w:rFonts w:hint="cs"/>
          <w:rtl/>
        </w:rPr>
        <w:t xml:space="preserve">והקשו </w:t>
      </w:r>
      <w:r>
        <w:rPr>
          <w:rStyle w:val="af8"/>
          <w:rtl/>
        </w:rPr>
        <w:t xml:space="preserve">הרמב"ן </w:t>
      </w:r>
      <w:r w:rsidRPr="009F44AF">
        <w:rPr>
          <w:rStyle w:val="af6"/>
          <w:rFonts w:eastAsia="Guttman Hodes" w:hint="cs"/>
          <w:rtl/>
        </w:rPr>
        <w:t>(עג. ד"ה והא דמתרצינן)</w:t>
      </w:r>
      <w:r>
        <w:rPr>
          <w:rFonts w:hint="cs"/>
          <w:rtl/>
        </w:rPr>
        <w:t xml:space="preserve"> </w:t>
      </w:r>
      <w:r>
        <w:rPr>
          <w:rStyle w:val="af8"/>
          <w:rtl/>
        </w:rPr>
        <w:t xml:space="preserve">והרשב"א בחי' </w:t>
      </w:r>
      <w:r w:rsidRPr="009F44AF">
        <w:rPr>
          <w:rStyle w:val="af6"/>
          <w:rFonts w:eastAsia="Guttman Hodes" w:hint="cs"/>
          <w:rtl/>
        </w:rPr>
        <w:t>(עג. ד"ה תנן)</w:t>
      </w:r>
      <w:r>
        <w:rPr>
          <w:rFonts w:hint="cs"/>
          <w:rtl/>
        </w:rPr>
        <w:t xml:space="preserve"> </w:t>
      </w:r>
      <w:r>
        <w:rPr>
          <w:rStyle w:val="af8"/>
          <w:rtl/>
        </w:rPr>
        <w:t xml:space="preserve">ובתוה"ב </w:t>
      </w:r>
      <w:r w:rsidRPr="009F44AF">
        <w:rPr>
          <w:rStyle w:val="af6"/>
          <w:rFonts w:eastAsiaTheme="minorHAnsi" w:hint="cs"/>
          <w:rtl/>
        </w:rPr>
        <w:t xml:space="preserve">(ב"ד ש"ב כו: מדה"ס) </w:t>
      </w:r>
      <w:r>
        <w:rPr>
          <w:rFonts w:hint="cs"/>
          <w:rtl/>
        </w:rPr>
        <w:t>על</w:t>
      </w:r>
      <w:r>
        <w:rPr>
          <w:rStyle w:val="af8"/>
          <w:rtl/>
        </w:rPr>
        <w:t xml:space="preserve"> הראב"ד </w:t>
      </w:r>
      <w:r>
        <w:rPr>
          <w:rFonts w:hint="cs"/>
          <w:rtl/>
        </w:rPr>
        <w:t xml:space="preserve">דא"כ אין כל חומרא ביין נסך יותר משאר האיסורים, דהרי בכל האיסורים כשנפל היתר לתוך איסור מעט מעט הוא מתבטל, וההיתר נאסר במשהו, וא"א לומר דמה שההיתר מתבטל באיסור הוא מחמת החומרא של יין נסך, דהרי אף לקולא אמרינן דקמא קמא בטיל, כשנפל איסור לתוך היתר, ומוכח דהא דקמא קמא בטיל אינו מחומרא דיין נסך, אלא הוא דין בפנ"ע שנאמר בין לקולא ובין לחומרא. </w:t>
      </w:r>
      <w:r>
        <w:rPr>
          <w:rStyle w:val="afa"/>
          <w:rtl/>
        </w:rPr>
        <w:t xml:space="preserve">[וכן הקשו </w:t>
      </w:r>
      <w:r>
        <w:rPr>
          <w:rStyle w:val="affa"/>
          <w:rtl/>
        </w:rPr>
        <w:t>הרמב"ן והרשב"א</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Ref26722169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יא)</w:t>
      </w:r>
      <w:r>
        <w:rPr>
          <w:rFonts w:hint="cs"/>
          <w:rtl/>
        </w:rPr>
        <w:fldChar w:fldCharType="end"/>
      </w:r>
      <w:r>
        <w:rPr>
          <w:rStyle w:val="afa"/>
          <w:rtl/>
        </w:rPr>
        <w:t xml:space="preserve"> על </w:t>
      </w:r>
      <w:r>
        <w:rPr>
          <w:rStyle w:val="affa"/>
          <w:rtl/>
        </w:rPr>
        <w:t>רש"י</w:t>
      </w:r>
      <w:r>
        <w:rPr>
          <w:rStyle w:val="afa"/>
          <w:rtl/>
        </w:rPr>
        <w:t>].</w:t>
      </w:r>
      <w:bookmarkEnd w:id="16335"/>
    </w:p>
    <w:p w:rsidR="009F44AF" w:rsidRDefault="009F44AF" w:rsidP="009F44AF">
      <w:pPr>
        <w:pStyle w:val="a2"/>
        <w:rPr>
          <w:rtl/>
        </w:rPr>
      </w:pPr>
      <w:bookmarkStart w:id="16336" w:name="_Toc26784017"/>
      <w:bookmarkStart w:id="16337" w:name="_Toc26781304"/>
      <w:bookmarkStart w:id="16338" w:name="_Toc26777095"/>
      <w:bookmarkStart w:id="16339" w:name="_Toc26742712"/>
      <w:bookmarkStart w:id="16340" w:name="_Toc26726042"/>
      <w:r>
        <w:rPr>
          <w:rFonts w:hint="cs"/>
          <w:rtl/>
        </w:rPr>
        <w:t>דברי הרמב"ן דמוכח דאף רב דימי מודה דיין נסך חמור יותר משאר איסורים</w:t>
      </w:r>
      <w:bookmarkEnd w:id="16336"/>
      <w:bookmarkEnd w:id="16337"/>
      <w:bookmarkEnd w:id="16338"/>
      <w:bookmarkEnd w:id="16339"/>
      <w:bookmarkEnd w:id="16340"/>
    </w:p>
    <w:p w:rsidR="009F44AF" w:rsidRDefault="009F44AF" w:rsidP="009F44AF">
      <w:pPr>
        <w:pStyle w:val="a"/>
        <w:numPr>
          <w:ilvl w:val="0"/>
          <w:numId w:val="17"/>
        </w:numPr>
        <w:rPr>
          <w:rtl/>
        </w:rPr>
      </w:pPr>
      <w:r>
        <w:rPr>
          <w:rFonts w:hint="cs"/>
          <w:rtl/>
        </w:rPr>
        <w:t xml:space="preserve">וכתב </w:t>
      </w:r>
      <w:r>
        <w:rPr>
          <w:rStyle w:val="af8"/>
          <w:rtl/>
        </w:rPr>
        <w:t xml:space="preserve">הרמב"ן </w:t>
      </w:r>
      <w:r>
        <w:rPr>
          <w:rFonts w:hint="cs"/>
          <w:rtl/>
        </w:rPr>
        <w:t xml:space="preserve">דא"א לומר דבאמת לדעת רב דימי אין חומרא ביין נסך יותר משאר איסורים, דא"כ קשה על דברי רב דימי מהא דאמר ריו"ח </w:t>
      </w:r>
      <w:r w:rsidRPr="009F44AF">
        <w:rPr>
          <w:rStyle w:val="af6"/>
          <w:rFonts w:eastAsia="Guttman Hodes" w:hint="cs"/>
          <w:rtl/>
        </w:rPr>
        <w:t>(ע"ז עג:)</w:t>
      </w:r>
      <w:r>
        <w:rPr>
          <w:rFonts w:hint="cs"/>
          <w:rtl/>
        </w:rPr>
        <w:t xml:space="preserve"> דכל איסורים שבתורה בנותן טעם חוץ מטבל ויין נסך,</w:t>
      </w:r>
      <w:r>
        <w:rPr>
          <w:rStyle w:val="afa"/>
          <w:rtl/>
        </w:rPr>
        <w:t xml:space="preserve"> [והא רב דימי אמר כן בשם ריו"ח],</w:t>
      </w:r>
      <w:r>
        <w:rPr>
          <w:rFonts w:hint="cs"/>
          <w:rtl/>
        </w:rPr>
        <w:t xml:space="preserve"> וכן הקשה </w:t>
      </w:r>
      <w:r>
        <w:rPr>
          <w:rStyle w:val="af8"/>
          <w:rtl/>
        </w:rPr>
        <w:t>הרשב"א</w:t>
      </w:r>
      <w:r>
        <w:rPr>
          <w:rFonts w:hint="cs"/>
          <w:rtl/>
        </w:rPr>
        <w:t xml:space="preserve">, והוסיף </w:t>
      </w:r>
      <w:r>
        <w:rPr>
          <w:rStyle w:val="af8"/>
          <w:rtl/>
        </w:rPr>
        <w:t xml:space="preserve">הרמב"ן </w:t>
      </w:r>
      <w:r>
        <w:rPr>
          <w:rFonts w:hint="cs"/>
          <w:rtl/>
        </w:rPr>
        <w:t xml:space="preserve">דא"כ אף מדברי רב ושמואל </w:t>
      </w:r>
      <w:r w:rsidRPr="009F44AF">
        <w:rPr>
          <w:rStyle w:val="af6"/>
          <w:rFonts w:eastAsia="Guttman Hodes" w:hint="cs"/>
          <w:rtl/>
        </w:rPr>
        <w:t>(ע"ז עג:)</w:t>
      </w:r>
      <w:r>
        <w:rPr>
          <w:rFonts w:hint="cs"/>
          <w:rtl/>
        </w:rPr>
        <w:t xml:space="preserve"> דאמרו דכל איסורים שבתורה במינם במשהו ושלא במינם בנותן טעם, קשה על רב דימי, דהרי לדעת רב ושמואל בכל האיסורים שבתורה במין במינו, כשנפל משהו איסור לתוך קדירה הוא אוסר, </w:t>
      </w:r>
      <w:r>
        <w:rPr>
          <w:rStyle w:val="afa"/>
          <w:rtl/>
        </w:rPr>
        <w:t>[ואינו מתבטל מדין קמא קמא בטיל],</w:t>
      </w:r>
      <w:r>
        <w:rPr>
          <w:rFonts w:hint="cs"/>
          <w:rtl/>
        </w:rPr>
        <w:t xml:space="preserve"> כדמוכח בכמה מקומות.</w:t>
      </w:r>
    </w:p>
    <w:p w:rsidR="009F44AF" w:rsidRDefault="009F44AF" w:rsidP="009F44AF">
      <w:pPr>
        <w:pStyle w:val="a2"/>
        <w:rPr>
          <w:rtl/>
        </w:rPr>
      </w:pPr>
      <w:bookmarkStart w:id="16341" w:name="_Toc26784018"/>
      <w:bookmarkStart w:id="16342" w:name="_Toc26781305"/>
      <w:bookmarkStart w:id="16343" w:name="_Toc26777096"/>
      <w:bookmarkStart w:id="16344" w:name="_Toc26742713"/>
      <w:bookmarkStart w:id="16345" w:name="_Toc26726043"/>
      <w:r>
        <w:rPr>
          <w:rFonts w:hint="cs"/>
          <w:rtl/>
        </w:rPr>
        <w:t>דברי הרשב"א דאף דביאר הראב"ד את החומרא ביי"נ במין בשאינו מינו עדיין קשה במין במינו</w:t>
      </w:r>
      <w:bookmarkEnd w:id="16341"/>
      <w:bookmarkEnd w:id="16342"/>
      <w:bookmarkEnd w:id="16343"/>
      <w:bookmarkEnd w:id="16344"/>
      <w:bookmarkEnd w:id="16345"/>
    </w:p>
    <w:p w:rsidR="009F44AF" w:rsidRDefault="009F44AF" w:rsidP="009F44AF">
      <w:pPr>
        <w:pStyle w:val="a"/>
        <w:numPr>
          <w:ilvl w:val="0"/>
          <w:numId w:val="17"/>
        </w:numPr>
      </w:pPr>
      <w:bookmarkStart w:id="16346" w:name="_Ref26722145"/>
      <w:r>
        <w:rPr>
          <w:rFonts w:hint="cs"/>
          <w:rtl/>
        </w:rPr>
        <w:t xml:space="preserve">וכתב </w:t>
      </w:r>
      <w:r>
        <w:rPr>
          <w:rStyle w:val="af8"/>
          <w:rtl/>
        </w:rPr>
        <w:t>הרשב"א בחי' ובתוה"ב דהראב"ד</w:t>
      </w:r>
      <w:r>
        <w:rPr>
          <w:rFonts w:hint="cs"/>
          <w:rtl/>
        </w:rPr>
        <w:t xml:space="preserve"> תירץ דבמין בשאינו מינו יש חילוק בין יין נסך לשאר איסורים, אך כתב </w:t>
      </w:r>
      <w:r>
        <w:rPr>
          <w:rStyle w:val="af8"/>
          <w:rtl/>
        </w:rPr>
        <w:t xml:space="preserve">הרשב"א </w:t>
      </w:r>
      <w:r w:rsidR="00EB0208">
        <w:rPr>
          <w:rFonts w:hint="cs"/>
          <w:rtl/>
        </w:rPr>
        <w:t>דעדיין קשה מה החילוק במין</w:t>
      </w:r>
      <w:r>
        <w:rPr>
          <w:rFonts w:hint="cs"/>
          <w:rtl/>
        </w:rPr>
        <w:t xml:space="preserve"> במינו</w:t>
      </w:r>
      <w:r w:rsidR="00EB0208">
        <w:rPr>
          <w:rFonts w:hint="cs"/>
          <w:rtl/>
        </w:rPr>
        <w:t xml:space="preserve">, </w:t>
      </w:r>
      <w:r w:rsidR="007B0D6D">
        <w:rPr>
          <w:rFonts w:hint="cs"/>
          <w:rtl/>
        </w:rPr>
        <w:t xml:space="preserve">בין יין נסך לשאר איסורים, </w:t>
      </w:r>
      <w:r w:rsidR="00EB0208">
        <w:rPr>
          <w:rFonts w:hint="cs"/>
          <w:rtl/>
        </w:rPr>
        <w:t xml:space="preserve">עיי"ש בדברי </w:t>
      </w:r>
      <w:r w:rsidR="00EB0208" w:rsidRPr="00EB0208">
        <w:rPr>
          <w:rStyle w:val="af8"/>
          <w:rFonts w:hint="cs"/>
          <w:rtl/>
        </w:rPr>
        <w:t>הרשב"א</w:t>
      </w:r>
      <w:r>
        <w:rPr>
          <w:rFonts w:hint="cs"/>
          <w:rtl/>
        </w:rPr>
        <w:t>.</w:t>
      </w:r>
      <w:bookmarkEnd w:id="16346"/>
      <w:r>
        <w:rPr>
          <w:rStyle w:val="afa"/>
          <w:rtl/>
        </w:rPr>
        <w:t xml:space="preserve"> [וע"ע במה שביאר </w:t>
      </w:r>
      <w:r>
        <w:rPr>
          <w:rStyle w:val="affa"/>
          <w:rtl/>
        </w:rPr>
        <w:t>הראב"ד בתמים דעים</w:t>
      </w:r>
      <w:r>
        <w:rPr>
          <w:rFonts w:hint="cs"/>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78</w:t>
      </w:r>
      <w:r>
        <w:rPr>
          <w:rFonts w:hint="cs"/>
          <w:rtl/>
        </w:rPr>
        <w:fldChar w:fldCharType="end"/>
      </w:r>
      <w:r>
        <w:rPr>
          <w:rStyle w:val="aff6"/>
          <w:rtl/>
        </w:rPr>
        <w:t>)</w:t>
      </w:r>
      <w:r>
        <w:rPr>
          <w:rStyle w:val="afa"/>
          <w:rtl/>
        </w:rPr>
        <w:t xml:space="preserve"> בחומרא דיין נסך משאר איסורים].</w:t>
      </w:r>
      <w:r>
        <w:rPr>
          <w:rFonts w:hint="cs"/>
          <w:rtl/>
        </w:rPr>
        <w:t xml:space="preserve"> </w:t>
      </w:r>
    </w:p>
    <w:p w:rsidR="009F44AF" w:rsidRDefault="009F44AF" w:rsidP="0098721B">
      <w:pPr>
        <w:pStyle w:val="1"/>
        <w:rPr>
          <w:rtl/>
        </w:rPr>
      </w:pPr>
      <w:bookmarkStart w:id="16347" w:name="_Toc26781306"/>
      <w:bookmarkStart w:id="16348" w:name="_Toc26777097"/>
      <w:bookmarkStart w:id="16349" w:name="_Toc26742714"/>
      <w:bookmarkStart w:id="16350" w:name="_Toc26726044"/>
      <w:bookmarkStart w:id="16351" w:name="_Toc26702377"/>
      <w:bookmarkStart w:id="16352" w:name="_Toc26784019"/>
      <w:r>
        <w:rPr>
          <w:rFonts w:hint="cs"/>
          <w:rtl/>
        </w:rPr>
        <w:t>דברי הראב"ד דאיסור לתוך היתר</w:t>
      </w:r>
      <w:bookmarkEnd w:id="16331"/>
      <w:bookmarkEnd w:id="16332"/>
      <w:bookmarkEnd w:id="16333"/>
      <w:bookmarkEnd w:id="16347"/>
      <w:bookmarkEnd w:id="16348"/>
      <w:bookmarkEnd w:id="16349"/>
      <w:bookmarkEnd w:id="16350"/>
      <w:bookmarkEnd w:id="16351"/>
      <w:r>
        <w:rPr>
          <w:rFonts w:hint="cs"/>
          <w:rtl/>
        </w:rPr>
        <w:t xml:space="preserve"> שנפל ובטל אינו חוזר וניעור</w:t>
      </w:r>
      <w:bookmarkEnd w:id="16352"/>
    </w:p>
    <w:p w:rsidR="009F44AF" w:rsidRDefault="009F44AF" w:rsidP="009F44AF">
      <w:pPr>
        <w:pStyle w:val="a2"/>
        <w:rPr>
          <w:rtl/>
        </w:rPr>
      </w:pPr>
      <w:bookmarkStart w:id="16353" w:name="_Toc26784020"/>
      <w:bookmarkStart w:id="16354" w:name="_Toc26781307"/>
      <w:bookmarkStart w:id="16355" w:name="_Toc26777098"/>
      <w:bookmarkStart w:id="16356" w:name="_Toc26742715"/>
      <w:bookmarkStart w:id="16357" w:name="_Toc26726045"/>
      <w:bookmarkStart w:id="16358" w:name="_Toc26702378"/>
      <w:bookmarkStart w:id="16359" w:name="_Toc26523414"/>
      <w:bookmarkStart w:id="16360" w:name="_Toc26477533"/>
      <w:bookmarkStart w:id="16361" w:name="_Toc26477408"/>
      <w:r>
        <w:rPr>
          <w:rFonts w:hint="cs"/>
          <w:rtl/>
        </w:rPr>
        <w:t>דברי הראב"ד דאיסור שנפל להיתר והתבטל בנפילתו אינו חוזר וניעור לאיסור אף במין במינו</w:t>
      </w:r>
      <w:bookmarkEnd w:id="16334"/>
      <w:bookmarkEnd w:id="16353"/>
      <w:bookmarkEnd w:id="16354"/>
      <w:bookmarkEnd w:id="16355"/>
      <w:bookmarkEnd w:id="16356"/>
      <w:bookmarkEnd w:id="16357"/>
      <w:bookmarkEnd w:id="16358"/>
      <w:bookmarkEnd w:id="16359"/>
      <w:bookmarkEnd w:id="16360"/>
      <w:bookmarkEnd w:id="16361"/>
      <w:r>
        <w:rPr>
          <w:rFonts w:hint="cs"/>
          <w:rtl/>
        </w:rPr>
        <w:t xml:space="preserve"> </w:t>
      </w:r>
    </w:p>
    <w:p w:rsidR="009F44AF" w:rsidRDefault="009F44AF" w:rsidP="009F44AF">
      <w:pPr>
        <w:pStyle w:val="a"/>
        <w:numPr>
          <w:ilvl w:val="0"/>
          <w:numId w:val="17"/>
        </w:numPr>
        <w:rPr>
          <w:rStyle w:val="afa"/>
          <w:rtl/>
        </w:rPr>
      </w:pPr>
      <w:r>
        <w:rPr>
          <w:rFonts w:hint="cs"/>
          <w:rtl/>
        </w:rPr>
        <w:t xml:space="preserve">אך כתב </w:t>
      </w:r>
      <w:r>
        <w:rPr>
          <w:rStyle w:val="af8"/>
          <w:rtl/>
        </w:rPr>
        <w:t xml:space="preserve">בפי' הראב"ד </w:t>
      </w:r>
      <w:r w:rsidRPr="009F44AF">
        <w:rPr>
          <w:rStyle w:val="af6"/>
          <w:rFonts w:eastAsia="Guttman Hodes" w:hint="cs"/>
          <w:rtl/>
        </w:rPr>
        <w:t>(עג. ד"ה כי אתא רב דימי, הועתק בקובץ שיטות קמאי ע"ז ח"ב עמ' אלף תתנ"ג)</w:t>
      </w:r>
      <w:r>
        <w:rPr>
          <w:rFonts w:hint="cs"/>
          <w:rtl/>
        </w:rPr>
        <w:t xml:space="preserve"> דאם נפל איסור לתוך היתר, אף שהוא מין במינו, מ"מ כיון שאין באותה הנפילה שיעור נתינת טעם, אינו אוסר, אף אם יפול איסור כל היום לתוך ההיתר, דקמא קמא בטיל בשעת הנפילה.</w:t>
      </w:r>
      <w:r>
        <w:rPr>
          <w:rStyle w:val="afa"/>
          <w:rtl/>
        </w:rPr>
        <w:t xml:space="preserve"> [אמנם יעוי' בדברי </w:t>
      </w:r>
      <w:r>
        <w:rPr>
          <w:rStyle w:val="affa"/>
          <w:rtl/>
        </w:rPr>
        <w:t>הראב"ד בתמים דעים</w:t>
      </w:r>
      <w:r>
        <w:rPr>
          <w:rFonts w:hint="cs"/>
          <w:rtl/>
        </w:rPr>
        <w:t xml:space="preserve"> </w:t>
      </w:r>
      <w:r>
        <w:rPr>
          <w:rStyle w:val="aff6"/>
          <w:rtl/>
        </w:rPr>
        <w:t>(עי' הערה</w:t>
      </w:r>
      <w:r w:rsidRPr="009F44AF">
        <w:rPr>
          <w:rFonts w:hint="cs"/>
          <w:vertAlign w:val="superscript"/>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sidRPr="009F44AF">
        <w:rPr>
          <w:rFonts w:hint="cs"/>
          <w:vertAlign w:val="superscript"/>
          <w:rtl/>
        </w:rPr>
      </w:r>
      <w:r w:rsidRPr="009F44AF">
        <w:rPr>
          <w:rFonts w:hint="cs"/>
          <w:vertAlign w:val="superscript"/>
          <w:rtl/>
        </w:rPr>
        <w:fldChar w:fldCharType="separate"/>
      </w:r>
      <w:r w:rsidR="004D1C5B">
        <w:rPr>
          <w:vertAlign w:val="superscript"/>
          <w:rtl/>
        </w:rPr>
        <w:t>78</w:t>
      </w:r>
      <w:r w:rsidRPr="009F44AF">
        <w:rPr>
          <w:rFonts w:hint="cs"/>
          <w:vertAlign w:val="superscript"/>
          <w:rtl/>
        </w:rPr>
        <w:fldChar w:fldCharType="end"/>
      </w:r>
      <w:r>
        <w:rPr>
          <w:rStyle w:val="aff6"/>
          <w:rtl/>
        </w:rPr>
        <w:t>)</w:t>
      </w:r>
      <w:r>
        <w:rPr>
          <w:rStyle w:val="afa"/>
          <w:rtl/>
        </w:rPr>
        <w:t xml:space="preserve"> דכתב דאחר שהתרבה האיסור ונתן טעם בהיתר, האיסור חוזר וניעור, ולכאו' הוא סותר לדבריו </w:t>
      </w:r>
      <w:r>
        <w:rPr>
          <w:rStyle w:val="affa"/>
          <w:rtl/>
        </w:rPr>
        <w:t>בפי' הראב"ד</w:t>
      </w:r>
      <w:r>
        <w:rPr>
          <w:rStyle w:val="afa"/>
          <w:rtl/>
        </w:rPr>
        <w:t>].</w:t>
      </w:r>
    </w:p>
    <w:p w:rsidR="009F44AF" w:rsidRDefault="009F44AF" w:rsidP="009F44AF">
      <w:pPr>
        <w:pStyle w:val="a2"/>
        <w:rPr>
          <w:rtl/>
        </w:rPr>
      </w:pPr>
    </w:p>
    <w:p w:rsidR="009F44AF" w:rsidRDefault="009F44AF" w:rsidP="009F44AF">
      <w:pPr>
        <w:pStyle w:val="a2"/>
        <w:rPr>
          <w:rtl/>
        </w:rPr>
      </w:pPr>
      <w:bookmarkStart w:id="16362" w:name="_Toc26784021"/>
      <w:bookmarkStart w:id="16363" w:name="_Toc26781308"/>
      <w:bookmarkStart w:id="16364" w:name="_Toc26777099"/>
      <w:bookmarkStart w:id="16365" w:name="_Toc26742716"/>
      <w:bookmarkStart w:id="16366" w:name="_Toc26726046"/>
      <w:bookmarkStart w:id="16367" w:name="_Toc26702379"/>
      <w:bookmarkStart w:id="16368" w:name="_Toc26523415"/>
      <w:bookmarkStart w:id="16369" w:name="_Toc26477534"/>
      <w:bookmarkStart w:id="16370" w:name="_Toc26477409"/>
      <w:bookmarkStart w:id="16371" w:name="_Toc26442707"/>
      <w:r>
        <w:rPr>
          <w:rFonts w:hint="cs"/>
          <w:rtl/>
        </w:rPr>
        <w:t>דברי הראב"ד דאף דנפילה אחת של חבית היא דבר חשוב מ"מ בפחות מנו"ט בטל לרב דימי</w:t>
      </w:r>
      <w:bookmarkEnd w:id="16362"/>
      <w:bookmarkEnd w:id="16363"/>
      <w:bookmarkEnd w:id="16364"/>
      <w:bookmarkEnd w:id="16365"/>
      <w:bookmarkEnd w:id="16366"/>
      <w:bookmarkEnd w:id="16367"/>
      <w:bookmarkEnd w:id="16368"/>
      <w:bookmarkEnd w:id="16369"/>
      <w:bookmarkEnd w:id="16370"/>
      <w:bookmarkEnd w:id="16371"/>
    </w:p>
    <w:p w:rsidR="009F44AF" w:rsidRDefault="009F44AF" w:rsidP="009F44AF">
      <w:pPr>
        <w:pStyle w:val="a"/>
        <w:numPr>
          <w:ilvl w:val="0"/>
          <w:numId w:val="17"/>
        </w:numPr>
        <w:rPr>
          <w:rtl/>
        </w:rPr>
      </w:pPr>
      <w:r>
        <w:rPr>
          <w:rFonts w:hint="cs"/>
          <w:rtl/>
        </w:rPr>
        <w:t xml:space="preserve">והוסיף </w:t>
      </w:r>
      <w:r>
        <w:rPr>
          <w:rStyle w:val="af8"/>
          <w:rtl/>
        </w:rPr>
        <w:t xml:space="preserve">בפי' הראב"ד </w:t>
      </w:r>
      <w:r>
        <w:rPr>
          <w:rFonts w:hint="cs"/>
          <w:rtl/>
        </w:rPr>
        <w:t xml:space="preserve">דאעפ"י שקיטוף שנופל מחבית בבת אחת הוא דבר חשוב, </w:t>
      </w:r>
      <w:r>
        <w:rPr>
          <w:rStyle w:val="afa"/>
          <w:rtl/>
        </w:rPr>
        <w:t xml:space="preserve">[דהיינו שמחבית נופל הרבה בפעם אחת], </w:t>
      </w:r>
      <w:r>
        <w:rPr>
          <w:rFonts w:hint="cs"/>
          <w:rtl/>
        </w:rPr>
        <w:t xml:space="preserve">ואעפ"י שאחר שיפול כל היין שבחבית, יהיה בו שיעור נתינת טעם ביין שבבור, מ"מ אמרינן קמא קמא בטיל, ומותר, אך כתב </w:t>
      </w:r>
      <w:r>
        <w:rPr>
          <w:rStyle w:val="af8"/>
          <w:rtl/>
        </w:rPr>
        <w:t xml:space="preserve">בפי' הראב"ד </w:t>
      </w:r>
      <w:r>
        <w:rPr>
          <w:rFonts w:hint="cs"/>
          <w:rtl/>
        </w:rPr>
        <w:t>דאם היה בנפילת האיסור שיעור נתינת טעם ביין שבבור, שאם היה בבור מים היה היין נותן בהם טעם, אסור.</w:t>
      </w:r>
    </w:p>
    <w:p w:rsidR="009F44AF" w:rsidRDefault="009F44AF" w:rsidP="0098721B">
      <w:pPr>
        <w:pStyle w:val="1"/>
        <w:rPr>
          <w:rtl/>
        </w:rPr>
      </w:pPr>
      <w:bookmarkStart w:id="16372" w:name="_Toc26784022"/>
      <w:bookmarkStart w:id="16373" w:name="_Toc26781309"/>
      <w:bookmarkStart w:id="16374" w:name="_Toc26777100"/>
      <w:bookmarkStart w:id="16375" w:name="_Toc26742717"/>
      <w:bookmarkStart w:id="16376" w:name="_Toc26726047"/>
      <w:bookmarkStart w:id="16377" w:name="_Toc26702381"/>
      <w:bookmarkStart w:id="16378" w:name="_Toc26523417"/>
      <w:bookmarkStart w:id="16379" w:name="_Toc26477536"/>
      <w:bookmarkStart w:id="16380" w:name="_Toc26477411"/>
      <w:bookmarkStart w:id="16381" w:name="_Toc26442708"/>
      <w:r>
        <w:rPr>
          <w:rFonts w:hint="cs"/>
          <w:rtl/>
        </w:rPr>
        <w:t>דברי הראב"ד דבאיסור להיתר אף באינו מינו אינו חוזר וניעור</w:t>
      </w:r>
      <w:bookmarkEnd w:id="16372"/>
      <w:bookmarkEnd w:id="16373"/>
      <w:bookmarkEnd w:id="16374"/>
      <w:bookmarkEnd w:id="16375"/>
      <w:bookmarkEnd w:id="16376"/>
    </w:p>
    <w:p w:rsidR="009F44AF" w:rsidRDefault="009F44AF" w:rsidP="009F44AF">
      <w:pPr>
        <w:pStyle w:val="a2"/>
        <w:rPr>
          <w:rtl/>
        </w:rPr>
      </w:pPr>
      <w:bookmarkStart w:id="16382" w:name="_Toc26784023"/>
      <w:bookmarkStart w:id="16383" w:name="_Toc26781310"/>
      <w:bookmarkStart w:id="16384" w:name="_Toc26777101"/>
      <w:bookmarkStart w:id="16385" w:name="_Toc26742718"/>
      <w:bookmarkStart w:id="16386" w:name="_Toc26726048"/>
      <w:r>
        <w:rPr>
          <w:rFonts w:hint="cs"/>
          <w:rtl/>
        </w:rPr>
        <w:t>דברי הראב"ד דבאיסור שנפל להיתר אף במין בשאינו מינו אמרינן קמא קמא בטיל</w:t>
      </w:r>
      <w:bookmarkEnd w:id="16377"/>
      <w:bookmarkEnd w:id="16378"/>
      <w:bookmarkEnd w:id="16379"/>
      <w:bookmarkEnd w:id="16380"/>
      <w:bookmarkEnd w:id="16381"/>
      <w:bookmarkEnd w:id="16382"/>
      <w:bookmarkEnd w:id="16383"/>
      <w:bookmarkEnd w:id="16384"/>
      <w:bookmarkEnd w:id="16385"/>
      <w:bookmarkEnd w:id="16386"/>
    </w:p>
    <w:p w:rsidR="009F44AF" w:rsidRDefault="009F44AF" w:rsidP="009F44AF">
      <w:pPr>
        <w:pStyle w:val="a"/>
        <w:numPr>
          <w:ilvl w:val="0"/>
          <w:numId w:val="17"/>
        </w:numPr>
        <w:rPr>
          <w:rtl/>
        </w:rPr>
      </w:pPr>
      <w:r>
        <w:rPr>
          <w:rFonts w:hint="cs"/>
          <w:rtl/>
        </w:rPr>
        <w:t xml:space="preserve">והוסיף </w:t>
      </w:r>
      <w:r>
        <w:rPr>
          <w:rStyle w:val="af8"/>
          <w:rtl/>
        </w:rPr>
        <w:t xml:space="preserve">בפי' הראב"ד </w:t>
      </w:r>
      <w:r w:rsidRPr="009F44AF">
        <w:rPr>
          <w:rStyle w:val="af6"/>
          <w:rFonts w:eastAsia="Guttman Hodes" w:hint="cs"/>
          <w:rtl/>
        </w:rPr>
        <w:t>(עג. ד"ה כי אתא רב דימי, הועתק בקובץ שיטות קמאי ע"ז ח"ב עמ' אלף תתנ"ג)</w:t>
      </w:r>
      <w:r>
        <w:rPr>
          <w:rFonts w:hint="cs"/>
          <w:rtl/>
        </w:rPr>
        <w:t xml:space="preserve"> דאף אם נפלו מים לתוך יין או יין לתוך מים, ג"כ הדין הוא שאיסור שנפל לתוך היתר, ואין בכל נפילה שיעור נתינת טעם, דאמרינן קמא קמא בטיל, אף אם נופל כל היום כולו.</w:t>
      </w:r>
    </w:p>
    <w:p w:rsidR="009F44AF" w:rsidRDefault="009F44AF" w:rsidP="0098721B">
      <w:pPr>
        <w:pStyle w:val="1"/>
        <w:rPr>
          <w:rtl/>
        </w:rPr>
      </w:pPr>
      <w:bookmarkStart w:id="16387" w:name="_Toc26702380"/>
      <w:bookmarkStart w:id="16388" w:name="_Toc26523416"/>
      <w:bookmarkStart w:id="16389" w:name="_Toc26477535"/>
      <w:bookmarkStart w:id="16390" w:name="_Toc26477410"/>
      <w:bookmarkStart w:id="16391" w:name="_Toc26784024"/>
      <w:bookmarkStart w:id="16392" w:name="_Toc26781311"/>
      <w:bookmarkStart w:id="16393" w:name="_Toc26777102"/>
      <w:bookmarkStart w:id="16394" w:name="_Toc26742719"/>
      <w:bookmarkStart w:id="16395" w:name="_Toc26726049"/>
      <w:bookmarkStart w:id="16396" w:name="_Toc26702382"/>
      <w:bookmarkStart w:id="16397" w:name="_Toc26523418"/>
      <w:bookmarkStart w:id="16398" w:name="_Toc26477537"/>
      <w:bookmarkStart w:id="16399" w:name="_Toc26477412"/>
      <w:bookmarkStart w:id="16400" w:name="_Toc26442709"/>
      <w:r>
        <w:rPr>
          <w:rFonts w:hint="cs"/>
          <w:rtl/>
        </w:rPr>
        <w:t>דברי הראב"ד דבאינו מינו בהיתר לתוך איסור חוזר וניעור</w:t>
      </w:r>
      <w:bookmarkEnd w:id="16387"/>
      <w:bookmarkEnd w:id="16388"/>
      <w:bookmarkEnd w:id="16389"/>
      <w:bookmarkEnd w:id="16390"/>
      <w:r>
        <w:rPr>
          <w:rFonts w:hint="cs"/>
          <w:rtl/>
        </w:rPr>
        <w:t xml:space="preserve"> בנו"ט</w:t>
      </w:r>
      <w:bookmarkEnd w:id="16391"/>
      <w:bookmarkEnd w:id="16392"/>
      <w:bookmarkEnd w:id="16393"/>
      <w:bookmarkEnd w:id="16394"/>
      <w:bookmarkEnd w:id="16395"/>
    </w:p>
    <w:p w:rsidR="009F44AF" w:rsidRDefault="009F44AF" w:rsidP="009F44AF">
      <w:pPr>
        <w:pStyle w:val="a2"/>
        <w:rPr>
          <w:rtl/>
        </w:rPr>
      </w:pPr>
      <w:bookmarkStart w:id="16401" w:name="_Toc26784025"/>
      <w:bookmarkStart w:id="16402" w:name="_Toc26781312"/>
      <w:bookmarkStart w:id="16403" w:name="_Toc26777103"/>
      <w:bookmarkStart w:id="16404" w:name="_Toc26742720"/>
      <w:bookmarkStart w:id="16405" w:name="_Toc26726050"/>
      <w:r>
        <w:rPr>
          <w:rFonts w:hint="cs"/>
          <w:rtl/>
        </w:rPr>
        <w:t>דברי הראב"ד דבמין בשאינו מינו בהיתר שנפל לאיסור כשאין שיעור נו"ט אמרינן חוזר וניעור</w:t>
      </w:r>
      <w:bookmarkEnd w:id="16396"/>
      <w:bookmarkEnd w:id="16397"/>
      <w:bookmarkEnd w:id="16398"/>
      <w:bookmarkEnd w:id="16399"/>
      <w:bookmarkEnd w:id="16400"/>
      <w:bookmarkEnd w:id="16401"/>
      <w:bookmarkEnd w:id="16402"/>
      <w:bookmarkEnd w:id="16403"/>
      <w:bookmarkEnd w:id="16404"/>
      <w:bookmarkEnd w:id="16405"/>
      <w:r>
        <w:rPr>
          <w:rFonts w:hint="cs"/>
          <w:rtl/>
        </w:rPr>
        <w:t xml:space="preserve"> </w:t>
      </w:r>
    </w:p>
    <w:p w:rsidR="009F44AF" w:rsidRDefault="009F44AF" w:rsidP="009F44AF">
      <w:pPr>
        <w:pStyle w:val="a"/>
        <w:numPr>
          <w:ilvl w:val="0"/>
          <w:numId w:val="17"/>
        </w:numPr>
        <w:rPr>
          <w:rtl/>
        </w:rPr>
      </w:pPr>
      <w:r>
        <w:rPr>
          <w:rFonts w:hint="cs"/>
          <w:rtl/>
        </w:rPr>
        <w:t xml:space="preserve">אבל אם נפל היתר לתוך איסור, ביין במים או מים ביין, כתב </w:t>
      </w:r>
      <w:r>
        <w:rPr>
          <w:rStyle w:val="af8"/>
          <w:rtl/>
        </w:rPr>
        <w:t xml:space="preserve">בפי' הראב"ד </w:t>
      </w:r>
      <w:r>
        <w:rPr>
          <w:rFonts w:hint="cs"/>
          <w:rtl/>
        </w:rPr>
        <w:t>דכיון שהוא מין בשאינו מינו, לכן אף שאין בכל נפילה של ההיתר שיעור בכדי לבטל את הטעם של האיסור שנפל לתוכו, וקמא קמא בטיל, מ"מ אחר שיפול הרבה היתר, עד כדי שאין באיסור שיעור נתינת טעם בהיתר, הוא מותר.</w:t>
      </w:r>
    </w:p>
    <w:p w:rsidR="009F44AF" w:rsidRDefault="009F44AF" w:rsidP="009F44AF">
      <w:pPr>
        <w:pStyle w:val="a2"/>
        <w:rPr>
          <w:rtl/>
        </w:rPr>
      </w:pPr>
      <w:bookmarkStart w:id="16406" w:name="_Toc26784026"/>
      <w:bookmarkStart w:id="16407" w:name="_Toc26781313"/>
      <w:bookmarkStart w:id="16408" w:name="_Toc26777104"/>
      <w:bookmarkStart w:id="16409" w:name="_Toc26742721"/>
      <w:bookmarkStart w:id="16410" w:name="_Toc26726051"/>
      <w:bookmarkStart w:id="16411" w:name="_Toc26702383"/>
      <w:bookmarkStart w:id="16412" w:name="_Toc26523419"/>
      <w:bookmarkStart w:id="16413" w:name="_Toc26477538"/>
      <w:bookmarkStart w:id="16414" w:name="_Toc26477413"/>
      <w:bookmarkStart w:id="16415" w:name="_Toc26442710"/>
      <w:r>
        <w:rPr>
          <w:rFonts w:hint="cs"/>
          <w:rtl/>
        </w:rPr>
        <w:t>ביאור הראב"ד דכל האיסור במין בשאינו מינו הוא בנו"ט וכשבטל הטעם ממילא אינו אוסר</w:t>
      </w:r>
      <w:bookmarkEnd w:id="16406"/>
      <w:bookmarkEnd w:id="16407"/>
      <w:bookmarkEnd w:id="16408"/>
      <w:bookmarkEnd w:id="16409"/>
      <w:bookmarkEnd w:id="16410"/>
      <w:bookmarkEnd w:id="16411"/>
      <w:bookmarkEnd w:id="16412"/>
      <w:bookmarkEnd w:id="16413"/>
      <w:bookmarkEnd w:id="16414"/>
      <w:bookmarkEnd w:id="16415"/>
    </w:p>
    <w:p w:rsidR="009F44AF" w:rsidRDefault="009F44AF" w:rsidP="009F44AF">
      <w:pPr>
        <w:pStyle w:val="a"/>
        <w:numPr>
          <w:ilvl w:val="0"/>
          <w:numId w:val="17"/>
        </w:numPr>
        <w:rPr>
          <w:rtl/>
        </w:rPr>
      </w:pPr>
      <w:r>
        <w:rPr>
          <w:rFonts w:hint="cs"/>
          <w:rtl/>
        </w:rPr>
        <w:t xml:space="preserve">וביאר </w:t>
      </w:r>
      <w:r>
        <w:rPr>
          <w:rStyle w:val="af8"/>
          <w:rtl/>
        </w:rPr>
        <w:t xml:space="preserve">בפי' הראב"ד </w:t>
      </w:r>
      <w:r>
        <w:rPr>
          <w:rFonts w:hint="cs"/>
          <w:rtl/>
        </w:rPr>
        <w:t>דאף שההיתר נאסר בתחילה כשנפל מעט מעט לתוך האיסור, מ"מ כיון שכל האיסור במין בשאינו מינו הוא בנתינת טעם, ואחר שהטעם של האיסור התבטל בהיתר, אין כח באיסור לאסור את ההיתר.</w:t>
      </w:r>
    </w:p>
    <w:p w:rsidR="009F44AF" w:rsidRDefault="009F44AF" w:rsidP="0098721B">
      <w:pPr>
        <w:pStyle w:val="1"/>
        <w:rPr>
          <w:rtl/>
        </w:rPr>
      </w:pPr>
      <w:bookmarkStart w:id="16416" w:name="_Toc26784027"/>
      <w:r>
        <w:rPr>
          <w:rFonts w:hint="cs"/>
          <w:rtl/>
        </w:rPr>
        <w:lastRenderedPageBreak/>
        <w:t>ביאור הראב"ד דבמינו האיסור מחמת מיעוטו ונעשה כאיסור</w:t>
      </w:r>
      <w:bookmarkEnd w:id="16416"/>
    </w:p>
    <w:p w:rsidR="009F44AF" w:rsidRDefault="009F44AF" w:rsidP="009F44AF">
      <w:pPr>
        <w:pStyle w:val="a2"/>
        <w:rPr>
          <w:rtl/>
        </w:rPr>
      </w:pPr>
      <w:bookmarkStart w:id="16417" w:name="_Toc26784028"/>
      <w:bookmarkStart w:id="16418" w:name="_Toc26781314"/>
      <w:bookmarkStart w:id="16419" w:name="_Toc26777105"/>
      <w:bookmarkStart w:id="16420" w:name="_Toc26742722"/>
      <w:bookmarkStart w:id="16421" w:name="_Toc26726052"/>
      <w:bookmarkStart w:id="16422" w:name="_Toc26702384"/>
      <w:bookmarkStart w:id="16423" w:name="_Toc26523420"/>
      <w:bookmarkStart w:id="16424" w:name="_Toc26477539"/>
      <w:bookmarkStart w:id="16425" w:name="_Toc26477414"/>
      <w:bookmarkStart w:id="16426" w:name="_Toc26442711"/>
      <w:r>
        <w:rPr>
          <w:rFonts w:hint="cs"/>
          <w:rtl/>
        </w:rPr>
        <w:t>דברי הראב"ד דבמין במינו שהאיסור במיעוט ולא בנו"ט אינו חוזר וניעור דההיתר נעשה לאיסור</w:t>
      </w:r>
      <w:bookmarkEnd w:id="16417"/>
      <w:bookmarkEnd w:id="16418"/>
      <w:bookmarkEnd w:id="16419"/>
      <w:bookmarkEnd w:id="16420"/>
      <w:bookmarkEnd w:id="16421"/>
      <w:bookmarkEnd w:id="16422"/>
      <w:bookmarkEnd w:id="16423"/>
      <w:bookmarkEnd w:id="16424"/>
      <w:bookmarkEnd w:id="16425"/>
      <w:bookmarkEnd w:id="16426"/>
    </w:p>
    <w:p w:rsidR="009F44AF" w:rsidRDefault="009F44AF" w:rsidP="009F44AF">
      <w:pPr>
        <w:pStyle w:val="a"/>
        <w:numPr>
          <w:ilvl w:val="0"/>
          <w:numId w:val="17"/>
        </w:numPr>
        <w:rPr>
          <w:rtl/>
        </w:rPr>
      </w:pPr>
      <w:r>
        <w:rPr>
          <w:rFonts w:hint="cs"/>
          <w:rtl/>
        </w:rPr>
        <w:t xml:space="preserve">אבל במין במינו כתב </w:t>
      </w:r>
      <w:r>
        <w:rPr>
          <w:rStyle w:val="af8"/>
          <w:rtl/>
        </w:rPr>
        <w:t xml:space="preserve">בפי' הראב"ד </w:t>
      </w:r>
      <w:r>
        <w:rPr>
          <w:rFonts w:hint="cs"/>
          <w:rtl/>
        </w:rPr>
        <w:t>דכיון שאין האיסור מחמת נתינת טעם, דהרי במין במינו הטעם לא ניכר כלל, אלא האיסור הוא מחמת שההיתר הוא מיעוט כלפי האיסור, לכן כשנפל מעט מעט היתר לתוך איסור, היין המותר שנפל נעשה כמו היין האסור שבבור, כיון שהוא מין במינו, ואף שלבסוף נפל הרבה היתר עד כדי שאין באיסור שיעור נתינת טעם בהיתר, מ"מ ה</w:t>
      </w:r>
      <w:r w:rsidR="00EB0208">
        <w:rPr>
          <w:rFonts w:hint="cs"/>
          <w:rtl/>
        </w:rPr>
        <w:t>כל אסור, כיון שהמיעוט של האיסור</w:t>
      </w:r>
      <w:r>
        <w:rPr>
          <w:rFonts w:hint="cs"/>
          <w:rtl/>
        </w:rPr>
        <w:t xml:space="preserve"> שהיה בתחילה נעשה לרוב, אחר שההיתר שנפל מעט מעט, נעשה כמו האיסור עצמו.</w:t>
      </w:r>
    </w:p>
    <w:p w:rsidR="009F44AF" w:rsidRDefault="009F44AF" w:rsidP="009F44AF">
      <w:pPr>
        <w:pStyle w:val="a2"/>
        <w:rPr>
          <w:rtl/>
        </w:rPr>
      </w:pPr>
      <w:bookmarkStart w:id="16427" w:name="_Toc26784029"/>
      <w:bookmarkStart w:id="16428" w:name="_Toc26781315"/>
      <w:bookmarkStart w:id="16429" w:name="_Toc26777106"/>
      <w:bookmarkStart w:id="16430" w:name="_Toc26742723"/>
      <w:bookmarkStart w:id="16431" w:name="_Toc26726053"/>
      <w:r>
        <w:rPr>
          <w:rFonts w:hint="cs"/>
          <w:rtl/>
        </w:rPr>
        <w:t>קושית הרמב"ן על הראב"ד דבמין במינו ההיתר בטל לגמרי אף בכל האיסורים לקולא ולחומרא</w:t>
      </w:r>
      <w:bookmarkEnd w:id="16427"/>
      <w:bookmarkEnd w:id="16428"/>
      <w:bookmarkEnd w:id="16429"/>
      <w:bookmarkEnd w:id="16430"/>
      <w:bookmarkEnd w:id="16431"/>
    </w:p>
    <w:p w:rsidR="009F44AF" w:rsidRDefault="009F44AF" w:rsidP="009F44AF">
      <w:pPr>
        <w:pStyle w:val="a"/>
        <w:numPr>
          <w:ilvl w:val="0"/>
          <w:numId w:val="17"/>
        </w:numPr>
      </w:pPr>
      <w:r>
        <w:rPr>
          <w:rFonts w:hint="cs"/>
          <w:rtl/>
        </w:rPr>
        <w:t xml:space="preserve">והקשה </w:t>
      </w:r>
      <w:r>
        <w:rPr>
          <w:rStyle w:val="af8"/>
          <w:rtl/>
        </w:rPr>
        <w:t xml:space="preserve">הרמב"ן </w:t>
      </w:r>
      <w:r w:rsidRPr="009F44AF">
        <w:rPr>
          <w:rStyle w:val="af6"/>
          <w:rFonts w:eastAsia="Guttman Hodes" w:hint="cs"/>
          <w:rtl/>
        </w:rPr>
        <w:t>(עג. ד"ה והר"א)</w:t>
      </w:r>
      <w:r>
        <w:rPr>
          <w:rFonts w:hint="cs"/>
          <w:rtl/>
        </w:rPr>
        <w:t xml:space="preserve"> על </w:t>
      </w:r>
      <w:r>
        <w:rPr>
          <w:rStyle w:val="af8"/>
          <w:rtl/>
        </w:rPr>
        <w:t xml:space="preserve">הראב"ד </w:t>
      </w:r>
      <w:r>
        <w:rPr>
          <w:rFonts w:hint="cs"/>
          <w:rtl/>
        </w:rPr>
        <w:t>דאי במין בשאינו מינו לא אמרינן דקמא קמא בטיל, כיון שדינו בנותן טעם, אבל במין במינו נעשה ההיתר כמו האיסור עצמו, ומתבטל לגמרי מדין קמא קמא בטיל, א"כ אף בכל האיסורים שבתורה, נאמר דכל מין במינו שהצטרפו, לא יהיה בהם יותר ביטול בין לקולא ובין לחומרא.</w:t>
      </w:r>
    </w:p>
    <w:p w:rsidR="009F44AF" w:rsidRDefault="009F44AF" w:rsidP="0098721B">
      <w:pPr>
        <w:pStyle w:val="1"/>
      </w:pPr>
      <w:bookmarkStart w:id="16432" w:name="_Toc26781317"/>
      <w:bookmarkStart w:id="16433" w:name="_Toc26777108"/>
      <w:bookmarkStart w:id="16434" w:name="_Toc26742725"/>
      <w:bookmarkStart w:id="16435" w:name="_Toc26726055"/>
      <w:bookmarkStart w:id="16436" w:name="_Toc26702386"/>
      <w:bookmarkStart w:id="16437" w:name="_Toc26784030"/>
      <w:r>
        <w:rPr>
          <w:rFonts w:hint="cs"/>
          <w:rtl/>
        </w:rPr>
        <w:t>ביאור הראב"ד בקושית ותירוץ הגמ'</w:t>
      </w:r>
      <w:bookmarkEnd w:id="16432"/>
      <w:bookmarkEnd w:id="16433"/>
      <w:bookmarkEnd w:id="16434"/>
      <w:bookmarkEnd w:id="16435"/>
      <w:bookmarkEnd w:id="16436"/>
      <w:r>
        <w:rPr>
          <w:rFonts w:hint="cs"/>
          <w:rtl/>
        </w:rPr>
        <w:t xml:space="preserve"> בהיתר שנפל לאיסור</w:t>
      </w:r>
      <w:bookmarkEnd w:id="16437"/>
    </w:p>
    <w:p w:rsidR="009F44AF" w:rsidRDefault="009F44AF" w:rsidP="009F44AF">
      <w:pPr>
        <w:pStyle w:val="a2"/>
        <w:rPr>
          <w:rtl/>
        </w:rPr>
      </w:pPr>
      <w:bookmarkStart w:id="16438" w:name="_Toc26784031"/>
      <w:bookmarkStart w:id="16439" w:name="_Toc26781318"/>
      <w:bookmarkStart w:id="16440" w:name="_Toc26777109"/>
      <w:bookmarkStart w:id="16441" w:name="_Toc26742726"/>
      <w:bookmarkStart w:id="16442" w:name="_Toc26726056"/>
      <w:bookmarkStart w:id="16443" w:name="_Toc26702387"/>
      <w:bookmarkStart w:id="16444" w:name="_Toc26523421"/>
      <w:bookmarkStart w:id="16445" w:name="_Toc26477540"/>
      <w:bookmarkStart w:id="16446" w:name="_Toc26477415"/>
      <w:r>
        <w:rPr>
          <w:rFonts w:hint="cs"/>
          <w:rtl/>
        </w:rPr>
        <w:t>ביאור הראב"ד בקו' הגמ' דמשמע במתני' דאף במינו אזלינן בתר לבסוף ולא בתר שעת נפילה</w:t>
      </w:r>
      <w:bookmarkEnd w:id="16438"/>
      <w:bookmarkEnd w:id="16439"/>
      <w:bookmarkEnd w:id="16440"/>
      <w:bookmarkEnd w:id="16441"/>
      <w:bookmarkEnd w:id="16442"/>
      <w:bookmarkEnd w:id="16443"/>
      <w:bookmarkEnd w:id="16444"/>
      <w:bookmarkEnd w:id="16445"/>
      <w:bookmarkEnd w:id="16446"/>
    </w:p>
    <w:p w:rsidR="009F44AF" w:rsidRDefault="009F44AF" w:rsidP="009F44AF">
      <w:pPr>
        <w:pStyle w:val="a"/>
        <w:numPr>
          <w:ilvl w:val="0"/>
          <w:numId w:val="17"/>
        </w:numPr>
      </w:pPr>
      <w:bookmarkStart w:id="16447" w:name="_Ref26762464"/>
      <w:r>
        <w:rPr>
          <w:rFonts w:hint="cs"/>
          <w:rtl/>
        </w:rPr>
        <w:t xml:space="preserve">בקושית הגמ' על רב דימי מהמשנה דיין נסך אוסר במשהו, כתב </w:t>
      </w:r>
      <w:r>
        <w:rPr>
          <w:rStyle w:val="af8"/>
          <w:rtl/>
        </w:rPr>
        <w:t xml:space="preserve">בפי' הראב"ד </w:t>
      </w:r>
      <w:r w:rsidRPr="009F44AF">
        <w:rPr>
          <w:rStyle w:val="af6"/>
          <w:rFonts w:eastAsia="Guttman Hodes" w:hint="cs"/>
          <w:rtl/>
        </w:rPr>
        <w:t>(עג. ד"ה תנן, הועתק בקובץ שיטות קמאי ע"ז ח"ב עמ' אלף תתנ"ג)</w:t>
      </w:r>
      <w:r>
        <w:rPr>
          <w:rFonts w:hint="cs"/>
          <w:rtl/>
        </w:rPr>
        <w:t xml:space="preserve"> דהגמ' בקושיה סברה שכל המשנה איירי באיסור שנפל לתוך היתר, וא"כ כמו דתנן דיין ביין ומים במים, אוסר בכל שהוא כיון שאין בו נתינת טעם דהוא מין במינו, ה"ה במים ביין ויין במים, דאיירי באופן שאין באיסור שיעור נתינת טעם בהיתר, ואפ"ה מבואר במתני' דהוא אוסר במשהו, כיון שלבסוף יהיה בו שיעור נתינת טעם בהיתר, ומקשה הגמ' על רב דימי דאמר דאמרינן דקמא קמא בטיל, דמבואר במתני' דאזלינן בתר בסוף, ולא בתר שעת הנפילה, וא"כ מבואר דלא אמרינן דקמא קמא בטיל, בין במין במינו ובין במין בשאינו מינו, דאף שאינו נותן טעם, מ"מ אסור. </w:t>
      </w:r>
      <w:r>
        <w:rPr>
          <w:rStyle w:val="afa"/>
          <w:rtl/>
        </w:rPr>
        <w:t xml:space="preserve">[והיינו דבמין בשאינו מינו יש בו שיעור נתינת טעם בסוף, וא"כ אף במין במינו איירי שיש בסוף שיעור נתינת טעם, והוא אסור כיון דבתר בסוף אזלינן, וע"ע במה שביאר </w:t>
      </w:r>
      <w:r>
        <w:rPr>
          <w:rStyle w:val="affa"/>
          <w:rtl/>
        </w:rPr>
        <w:t>הראב"ד בתמים דעים</w:t>
      </w:r>
      <w:r>
        <w:rPr>
          <w:rFonts w:hint="cs"/>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78</w:t>
      </w:r>
      <w:r>
        <w:rPr>
          <w:rFonts w:hint="cs"/>
          <w:rtl/>
        </w:rPr>
        <w:fldChar w:fldCharType="end"/>
      </w:r>
      <w:r>
        <w:rPr>
          <w:rStyle w:val="aff6"/>
          <w:rtl/>
        </w:rPr>
        <w:t>)</w:t>
      </w:r>
      <w:r>
        <w:rPr>
          <w:rStyle w:val="afa"/>
          <w:rtl/>
        </w:rPr>
        <w:t xml:space="preserve"> בקושית הגמ' במין במינו, ובמ"ש </w:t>
      </w:r>
      <w:r>
        <w:rPr>
          <w:rStyle w:val="affa"/>
          <w:rtl/>
        </w:rPr>
        <w:t>הראב"ד בתמים דעים</w:t>
      </w:r>
      <w:r>
        <w:rPr>
          <w:rFonts w:hint="cs"/>
          <w:rtl/>
        </w:rPr>
        <w:t xml:space="preserve"> </w:t>
      </w:r>
      <w:r>
        <w:rPr>
          <w:rStyle w:val="afa"/>
          <w:rtl/>
        </w:rPr>
        <w:t>דבמין בשאינו מינו לא קשה, דאין בו חילוק בין יין נסך לבין שאר איסורים].</w:t>
      </w:r>
      <w:bookmarkEnd w:id="16447"/>
    </w:p>
    <w:p w:rsidR="009F44AF" w:rsidRDefault="009F44AF" w:rsidP="009F44AF">
      <w:pPr>
        <w:pStyle w:val="a2"/>
        <w:rPr>
          <w:rtl/>
        </w:rPr>
      </w:pPr>
      <w:bookmarkStart w:id="16448" w:name="_Toc26784032"/>
      <w:bookmarkStart w:id="16449" w:name="_Toc26781319"/>
      <w:bookmarkStart w:id="16450" w:name="_Toc26777110"/>
      <w:bookmarkStart w:id="16451" w:name="_Toc26742727"/>
      <w:bookmarkStart w:id="16452" w:name="_Toc26726057"/>
      <w:bookmarkStart w:id="16453" w:name="_Toc26702388"/>
      <w:bookmarkStart w:id="16454" w:name="_Toc26523422"/>
      <w:bookmarkStart w:id="16455" w:name="_Toc26477541"/>
      <w:bookmarkStart w:id="16456" w:name="_Toc26477416"/>
      <w:r>
        <w:rPr>
          <w:rFonts w:hint="cs"/>
          <w:rtl/>
        </w:rPr>
        <w:t>ביאור הראב"ד בתי' הגמ' דבהיתר שנפל לאיסור לא מדוייק במשנה דאזלינן בתר שעת נפילה</w:t>
      </w:r>
      <w:bookmarkEnd w:id="16448"/>
      <w:bookmarkEnd w:id="16449"/>
      <w:bookmarkEnd w:id="16450"/>
      <w:bookmarkEnd w:id="16451"/>
      <w:bookmarkEnd w:id="16452"/>
      <w:bookmarkEnd w:id="16453"/>
      <w:bookmarkEnd w:id="16454"/>
      <w:bookmarkEnd w:id="16455"/>
      <w:bookmarkEnd w:id="16456"/>
    </w:p>
    <w:p w:rsidR="009F44AF" w:rsidRDefault="009F44AF" w:rsidP="009F44AF">
      <w:pPr>
        <w:pStyle w:val="a"/>
        <w:numPr>
          <w:ilvl w:val="0"/>
          <w:numId w:val="17"/>
        </w:numPr>
        <w:rPr>
          <w:rStyle w:val="afa"/>
          <w:rtl/>
        </w:rPr>
      </w:pPr>
      <w:bookmarkStart w:id="16457" w:name="_Ref26762650"/>
      <w:r>
        <w:rPr>
          <w:rFonts w:hint="cs"/>
          <w:rtl/>
        </w:rPr>
        <w:t xml:space="preserve">ובתירוץ הגמ' ביאר </w:t>
      </w:r>
      <w:r>
        <w:rPr>
          <w:rStyle w:val="af8"/>
          <w:rtl/>
        </w:rPr>
        <w:t xml:space="preserve">בפי' הראב"ד </w:t>
      </w:r>
      <w:r>
        <w:rPr>
          <w:rFonts w:hint="cs"/>
          <w:rtl/>
        </w:rPr>
        <w:t xml:space="preserve">דבכל המשנה איירי בהיתר שנפל לתוך איסור, ולכן כיון שאין נתינת טעם מתחילת הנפילה ועד הסוף, וא"כ פשיטא דהוא אסור, וא"כ א"א לדייק מהמשנה דברישא דמים במים, איירי במים של איסור שנפלו לתוך היתר, והסיפא דמים ביין, איירי במים של היתר שנפלו לתוך איסור. </w:t>
      </w:r>
      <w:r>
        <w:rPr>
          <w:rStyle w:val="afa"/>
          <w:rtl/>
        </w:rPr>
        <w:t xml:space="preserve">[וא"כ מדוייק כדביאר </w:t>
      </w:r>
      <w:r>
        <w:rPr>
          <w:rStyle w:val="affa"/>
          <w:rtl/>
        </w:rPr>
        <w:t>הראב"ד</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Ref26762464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נו)</w:t>
      </w:r>
      <w:r>
        <w:rPr>
          <w:rFonts w:hint="cs"/>
          <w:rtl/>
        </w:rPr>
        <w:fldChar w:fldCharType="end"/>
      </w:r>
      <w:r>
        <w:rPr>
          <w:rStyle w:val="afa"/>
          <w:rtl/>
        </w:rPr>
        <w:t xml:space="preserve"> שכמו במים במים אין נתינת  טעם, דהוא מין במינו, אף במין בשאינו מינו אין שיעור נתינת טעם, אלא כל המשנה איירי בהיתר שנפל לתוך איסור, ולכן ברישא במים במים נאסר בכל שהוא דבהיתר לתוך איסור פשיטא, דבפחות מנתינת טעם הכל נאסר, וע"ע במה שביאר </w:t>
      </w:r>
      <w:r>
        <w:rPr>
          <w:rStyle w:val="affa"/>
          <w:rtl/>
        </w:rPr>
        <w:t>הראב"ד בתמים דעים</w:t>
      </w:r>
      <w:r>
        <w:rPr>
          <w:rFonts w:hint="cs"/>
          <w:rtl/>
        </w:rPr>
        <w:t xml:space="preserve"> </w:t>
      </w:r>
      <w:r>
        <w:rPr>
          <w:rStyle w:val="aff6"/>
          <w:rtl/>
        </w:rPr>
        <w:t>(עי' הערה</w:t>
      </w:r>
      <w:r>
        <w:rPr>
          <w:rFonts w:hint="cs"/>
          <w:rtl/>
        </w:rPr>
        <w:fldChar w:fldCharType="begin"/>
      </w:r>
      <w:r w:rsidRPr="009F44AF">
        <w:rPr>
          <w:rFonts w:hint="cs"/>
          <w:vertAlign w:val="superscript"/>
          <w:rtl/>
        </w:rPr>
        <w:instrText xml:space="preserve"> </w:instrText>
      </w:r>
      <w:r w:rsidRPr="009F44AF">
        <w:rPr>
          <w:rFonts w:hint="cs"/>
          <w:vertAlign w:val="superscript"/>
        </w:rPr>
        <w:instrText>NOTEREF</w:instrText>
      </w:r>
      <w:r w:rsidRPr="009F44AF">
        <w:rPr>
          <w:rFonts w:hint="cs"/>
          <w:vertAlign w:val="superscript"/>
          <w:rtl/>
        </w:rPr>
        <w:instrText xml:space="preserve"> _</w:instrText>
      </w:r>
      <w:r w:rsidRPr="009F44AF">
        <w:rPr>
          <w:rFonts w:hint="cs"/>
          <w:vertAlign w:val="superscript"/>
        </w:rPr>
        <w:instrText>Ref26473207 \h</w:instrText>
      </w:r>
      <w:r w:rsidRPr="009F44AF">
        <w:rPr>
          <w:rFonts w:hint="cs"/>
          <w:vertAlign w:val="superscript"/>
          <w:rtl/>
        </w:rPr>
        <w:instrText xml:space="preserve">  \* </w:instrText>
      </w:r>
      <w:r w:rsidRPr="009F44AF">
        <w:rPr>
          <w:rFonts w:hint="cs"/>
          <w:vertAlign w:val="superscript"/>
        </w:rPr>
        <w:instrText>MERGEFORMAT</w:instrText>
      </w:r>
      <w:r w:rsidRPr="009F44AF">
        <w:rPr>
          <w:rFonts w:hint="cs"/>
          <w:vertAlign w:val="superscript"/>
          <w:rtl/>
        </w:rPr>
        <w:instrText xml:space="preserve"> </w:instrText>
      </w:r>
      <w:r>
        <w:rPr>
          <w:rFonts w:hint="cs"/>
          <w:rtl/>
        </w:rPr>
      </w:r>
      <w:r>
        <w:rPr>
          <w:rFonts w:hint="cs"/>
          <w:rtl/>
        </w:rPr>
        <w:fldChar w:fldCharType="separate"/>
      </w:r>
      <w:r w:rsidR="004D1C5B">
        <w:rPr>
          <w:vertAlign w:val="superscript"/>
          <w:rtl/>
        </w:rPr>
        <w:t>78</w:t>
      </w:r>
      <w:r>
        <w:rPr>
          <w:rFonts w:hint="cs"/>
          <w:rtl/>
        </w:rPr>
        <w:fldChar w:fldCharType="end"/>
      </w:r>
      <w:r>
        <w:rPr>
          <w:rStyle w:val="aff6"/>
          <w:rtl/>
        </w:rPr>
        <w:t>)</w:t>
      </w:r>
      <w:r>
        <w:rPr>
          <w:rStyle w:val="afa"/>
          <w:rtl/>
        </w:rPr>
        <w:t xml:space="preserve"> בתירוץ הגמ'].</w:t>
      </w:r>
      <w:bookmarkEnd w:id="16457"/>
      <w:r>
        <w:rPr>
          <w:rStyle w:val="afa"/>
          <w:rtl/>
        </w:rPr>
        <w:t xml:space="preserve"> </w:t>
      </w:r>
    </w:p>
    <w:p w:rsidR="009F44AF" w:rsidRDefault="009F44AF" w:rsidP="0098721B">
      <w:pPr>
        <w:pStyle w:val="1"/>
      </w:pPr>
      <w:bookmarkStart w:id="16458" w:name="_Toc26784033"/>
      <w:bookmarkStart w:id="16459" w:name="_Toc26781320"/>
      <w:bookmarkStart w:id="16460" w:name="_Toc26777111"/>
      <w:bookmarkStart w:id="16461" w:name="_Toc26742728"/>
      <w:bookmarkStart w:id="16462" w:name="_Toc26726058"/>
      <w:bookmarkStart w:id="16463" w:name="_Toc26702389"/>
      <w:bookmarkStart w:id="16464" w:name="_Toc26523423"/>
      <w:bookmarkStart w:id="16465" w:name="_Toc26477542"/>
      <w:bookmarkStart w:id="16466" w:name="_Toc26477417"/>
      <w:r>
        <w:rPr>
          <w:rFonts w:hint="cs"/>
          <w:rtl/>
        </w:rPr>
        <w:t>ביאור הראב"ד ברב יצחק דעמוד דחבית הוא חשוב</w:t>
      </w:r>
      <w:bookmarkEnd w:id="16458"/>
    </w:p>
    <w:p w:rsidR="009F44AF" w:rsidRDefault="009F44AF" w:rsidP="009F44AF">
      <w:pPr>
        <w:pStyle w:val="a2"/>
        <w:rPr>
          <w:rtl/>
        </w:rPr>
      </w:pPr>
      <w:bookmarkStart w:id="16467" w:name="_Toc26784034"/>
      <w:r>
        <w:rPr>
          <w:rFonts w:hint="cs"/>
          <w:rtl/>
        </w:rPr>
        <w:t>ביאור הראב"ד ברב יצחק דקיטוף של חבית הוא דבר חשוב ואוסר אף שאין טעם</w:t>
      </w:r>
      <w:bookmarkEnd w:id="16459"/>
      <w:bookmarkEnd w:id="16460"/>
      <w:bookmarkEnd w:id="16461"/>
      <w:bookmarkEnd w:id="16462"/>
      <w:bookmarkEnd w:id="16463"/>
      <w:bookmarkEnd w:id="16464"/>
      <w:bookmarkEnd w:id="16465"/>
      <w:bookmarkEnd w:id="16466"/>
      <w:bookmarkEnd w:id="16467"/>
    </w:p>
    <w:p w:rsidR="009F44AF" w:rsidRDefault="009F44AF" w:rsidP="009F44AF">
      <w:pPr>
        <w:pStyle w:val="a"/>
        <w:numPr>
          <w:ilvl w:val="0"/>
          <w:numId w:val="17"/>
        </w:numPr>
      </w:pPr>
      <w:bookmarkStart w:id="16468" w:name="_Ref26115561"/>
      <w:r>
        <w:rPr>
          <w:rFonts w:hint="cs"/>
          <w:rtl/>
        </w:rPr>
        <w:t xml:space="preserve">בדברי רב יצחק דאמר דדוקא בצרצור אמרינן קמא קמא בטיל, ביאר </w:t>
      </w:r>
      <w:r>
        <w:rPr>
          <w:rStyle w:val="af8"/>
          <w:rtl/>
        </w:rPr>
        <w:t xml:space="preserve">בפי' הראב"ד </w:t>
      </w:r>
      <w:r w:rsidRPr="009F44AF">
        <w:rPr>
          <w:rStyle w:val="af6"/>
          <w:rFonts w:eastAsia="Guttman Hodes" w:hint="cs"/>
          <w:rtl/>
        </w:rPr>
        <w:t>(עג. ד"ה כיא אתא רב יצחק, הועתק בקובץ שיטות קמאי ע"ז ח"ב עמ' אלף תתנ"ג)</w:t>
      </w:r>
      <w:r>
        <w:rPr>
          <w:rFonts w:hint="cs"/>
          <w:rtl/>
        </w:rPr>
        <w:t xml:space="preserve"> דצרצור דלא נפיש עמודיה, אין הקיטוף נחשב לדבר חשוב, ולכן כל שאין בקילוח של היין האסור, שיעור כדי שיתן טעם במים של היתר, אינו אוסר את היין שבבור, אבל קיטוף של חבית, חשיב כדבר חשוב, ולכן ס"ל לרב יצחק דאף שאין בקילוח שיעור נתינת טעם, מ"מ הוא אוסר דדבר חשוב אינו מתבטל, וכתב </w:t>
      </w:r>
      <w:r>
        <w:rPr>
          <w:rStyle w:val="af8"/>
          <w:rtl/>
        </w:rPr>
        <w:t xml:space="preserve">בפי' הראב"ד </w:t>
      </w:r>
      <w:r>
        <w:rPr>
          <w:rFonts w:hint="cs"/>
          <w:rtl/>
        </w:rPr>
        <w:t>דלכן בין אם נפל היתר לתוך איסור ובין באיסור לתוך היתר, אף כשאין בו נתינת טעם, כל שהקילוח הוא דבר חשוב, הוא אוסר את הכל.</w:t>
      </w:r>
      <w:bookmarkEnd w:id="16468"/>
    </w:p>
    <w:p w:rsidR="009F44AF" w:rsidRDefault="009F44AF" w:rsidP="009F44AF">
      <w:pPr>
        <w:pStyle w:val="a2"/>
        <w:rPr>
          <w:rtl/>
        </w:rPr>
      </w:pPr>
      <w:bookmarkStart w:id="16469" w:name="_Toc26784035"/>
      <w:bookmarkStart w:id="16470" w:name="_Toc26781321"/>
      <w:bookmarkStart w:id="16471" w:name="_Toc26777112"/>
      <w:bookmarkStart w:id="16472" w:name="_Toc26742729"/>
      <w:bookmarkStart w:id="16473" w:name="_Toc26726059"/>
      <w:bookmarkStart w:id="16474" w:name="_Toc26702390"/>
      <w:bookmarkStart w:id="16475" w:name="_Toc26523424"/>
      <w:bookmarkStart w:id="16476" w:name="_Toc26477543"/>
      <w:bookmarkStart w:id="16477" w:name="_Toc26477418"/>
      <w:r>
        <w:rPr>
          <w:rFonts w:hint="cs"/>
          <w:rtl/>
        </w:rPr>
        <w:t>ביאור הראב"ד ברב יצחק דקיטוף של צרצור אינו חשוב ובאיסור שנפל להיתר קמא קמא בטיל</w:t>
      </w:r>
      <w:bookmarkEnd w:id="16469"/>
      <w:bookmarkEnd w:id="16470"/>
      <w:bookmarkEnd w:id="16471"/>
      <w:bookmarkEnd w:id="16472"/>
      <w:bookmarkEnd w:id="16473"/>
      <w:bookmarkEnd w:id="16474"/>
      <w:bookmarkEnd w:id="16475"/>
      <w:bookmarkEnd w:id="16476"/>
      <w:bookmarkEnd w:id="16477"/>
    </w:p>
    <w:p w:rsidR="009F44AF" w:rsidRDefault="009F44AF" w:rsidP="009F44AF">
      <w:pPr>
        <w:pStyle w:val="a"/>
        <w:numPr>
          <w:ilvl w:val="0"/>
          <w:numId w:val="17"/>
        </w:numPr>
        <w:rPr>
          <w:rtl/>
        </w:rPr>
      </w:pPr>
      <w:r>
        <w:rPr>
          <w:rFonts w:hint="cs"/>
          <w:rtl/>
        </w:rPr>
        <w:t xml:space="preserve">ובצרצור קטן, כתב </w:t>
      </w:r>
      <w:r>
        <w:rPr>
          <w:rStyle w:val="af8"/>
          <w:rtl/>
        </w:rPr>
        <w:t xml:space="preserve">בפי' הראב"ד </w:t>
      </w:r>
      <w:r>
        <w:rPr>
          <w:rFonts w:hint="cs"/>
          <w:rtl/>
        </w:rPr>
        <w:t>דכיון שאין בקיטוף שלו שיעור נתינת טעם בשעת הנפילה, ס"ל לרב יצחק דבאיסור שנפל לתוך היתר, אמרינן דקמא קמא בטיל, אף בנופל כל היום כולו, דכל שאין הקילוח דבר חשוב, אזלינן בתר שעת נפילה.</w:t>
      </w:r>
    </w:p>
    <w:p w:rsidR="009F44AF" w:rsidRDefault="009F44AF" w:rsidP="0098721B">
      <w:pPr>
        <w:pStyle w:val="1"/>
        <w:rPr>
          <w:rtl/>
        </w:rPr>
      </w:pPr>
      <w:bookmarkStart w:id="16478" w:name="_Toc26784036"/>
      <w:r>
        <w:rPr>
          <w:rFonts w:hint="cs"/>
          <w:rtl/>
        </w:rPr>
        <w:t>ביאור הראב"ד דהיתר שנפל לדבר חשוב במינו נאסר</w:t>
      </w:r>
      <w:bookmarkEnd w:id="16478"/>
    </w:p>
    <w:p w:rsidR="009F44AF" w:rsidRDefault="009F44AF" w:rsidP="009F44AF">
      <w:pPr>
        <w:pStyle w:val="a2"/>
        <w:rPr>
          <w:rtl/>
        </w:rPr>
      </w:pPr>
      <w:bookmarkStart w:id="16479" w:name="_Toc26784037"/>
      <w:bookmarkStart w:id="16480" w:name="_Toc26781322"/>
      <w:bookmarkStart w:id="16481" w:name="_Toc26777113"/>
      <w:bookmarkStart w:id="16482" w:name="_Toc26742730"/>
      <w:bookmarkStart w:id="16483" w:name="_Toc26726060"/>
      <w:bookmarkStart w:id="16484" w:name="_Toc26702391"/>
      <w:bookmarkStart w:id="16485" w:name="_Toc26523425"/>
      <w:bookmarkStart w:id="16486" w:name="_Toc26477544"/>
      <w:bookmarkStart w:id="16487" w:name="_Toc26477419"/>
      <w:r>
        <w:rPr>
          <w:rFonts w:hint="cs"/>
          <w:rtl/>
        </w:rPr>
        <w:t>ביאור הראב"ד דבהיתר שנפל לאיסור חשוב אסור ולאיסור מועט שיעורו בנו"ט בשעת נפילה</w:t>
      </w:r>
      <w:bookmarkEnd w:id="16479"/>
      <w:bookmarkEnd w:id="16480"/>
      <w:bookmarkEnd w:id="16481"/>
      <w:bookmarkEnd w:id="16482"/>
      <w:bookmarkEnd w:id="16483"/>
      <w:bookmarkEnd w:id="16484"/>
      <w:bookmarkEnd w:id="16485"/>
      <w:bookmarkEnd w:id="16486"/>
      <w:bookmarkEnd w:id="16487"/>
    </w:p>
    <w:p w:rsidR="009F44AF" w:rsidRDefault="009F44AF" w:rsidP="009F44AF">
      <w:pPr>
        <w:pStyle w:val="a"/>
        <w:numPr>
          <w:ilvl w:val="0"/>
          <w:numId w:val="17"/>
        </w:numPr>
        <w:rPr>
          <w:rtl/>
        </w:rPr>
      </w:pPr>
      <w:r>
        <w:rPr>
          <w:rFonts w:hint="cs"/>
          <w:rtl/>
        </w:rPr>
        <w:t xml:space="preserve">ובהיתר שנפל לתוך איסור, כתב </w:t>
      </w:r>
      <w:r>
        <w:rPr>
          <w:rStyle w:val="af8"/>
          <w:rtl/>
        </w:rPr>
        <w:t xml:space="preserve">בפי' הראב"ד </w:t>
      </w:r>
      <w:r>
        <w:rPr>
          <w:rFonts w:hint="cs"/>
          <w:rtl/>
        </w:rPr>
        <w:t xml:space="preserve">דאם האיסור שבבור הוא דבר חשוב, בכל האופנים הכל אסור, כדביאר </w:t>
      </w:r>
      <w:r>
        <w:rPr>
          <w:rStyle w:val="af8"/>
          <w:rtl/>
        </w:rPr>
        <w:t>הראב"ד</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Ref26115561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נח</w:t>
      </w:r>
      <w:r w:rsidR="004D1C5B">
        <w:rPr>
          <w:rStyle w:val="af6"/>
          <w:rFonts w:eastAsia="Guttman Hodes"/>
          <w:rtl/>
        </w:rPr>
        <w:t>)</w:t>
      </w:r>
      <w:r w:rsidRPr="009F44AF">
        <w:rPr>
          <w:rStyle w:val="af6"/>
          <w:rFonts w:eastAsia="Guttman Hodes" w:hint="cs"/>
          <w:rtl/>
        </w:rPr>
        <w:fldChar w:fldCharType="end"/>
      </w:r>
      <w:r>
        <w:rPr>
          <w:rFonts w:hint="cs"/>
          <w:rtl/>
        </w:rPr>
        <w:t>, ואם האיסור שבבור אינו דבר חשוב אלא הוא מועט, ונפל לתוכו הרבה היתר, עד שיש בהיתר שיעור שהוא מבטל את טעם האיסור, מותר, ואם אין בו שיעור נתינת טעם אסור, ואף שבסוף הנפילה יהיה הרבה היתר עד שטעם האיסור יתבטל, מ"מ הוא אסור דבתר שעת נפילה אזלינן.</w:t>
      </w:r>
    </w:p>
    <w:p w:rsidR="009F44AF" w:rsidRDefault="009F44AF" w:rsidP="009F44AF">
      <w:pPr>
        <w:pStyle w:val="a2"/>
        <w:rPr>
          <w:rtl/>
        </w:rPr>
      </w:pPr>
      <w:bookmarkStart w:id="16488" w:name="_Toc26784038"/>
      <w:bookmarkStart w:id="16489" w:name="_Toc26781323"/>
      <w:bookmarkStart w:id="16490" w:name="_Toc26777114"/>
      <w:bookmarkStart w:id="16491" w:name="_Toc26742731"/>
      <w:bookmarkStart w:id="16492" w:name="_Toc26726061"/>
      <w:bookmarkStart w:id="16493" w:name="_Toc26702392"/>
      <w:bookmarkStart w:id="16494" w:name="_Toc26523426"/>
      <w:bookmarkStart w:id="16495" w:name="_Toc26477545"/>
      <w:bookmarkStart w:id="16496" w:name="_Toc26477420"/>
      <w:r>
        <w:rPr>
          <w:rFonts w:hint="cs"/>
          <w:rtl/>
        </w:rPr>
        <w:t>דברי הראב"ד דרק במין במינו דבר חשוב אוסר אך באינו מינו שיעורו בנו"ט וחשיבות לא אוסרת</w:t>
      </w:r>
      <w:bookmarkEnd w:id="16488"/>
      <w:bookmarkEnd w:id="16489"/>
      <w:bookmarkEnd w:id="16490"/>
      <w:bookmarkEnd w:id="16491"/>
      <w:bookmarkEnd w:id="16492"/>
      <w:bookmarkEnd w:id="16493"/>
      <w:bookmarkEnd w:id="16494"/>
      <w:bookmarkEnd w:id="16495"/>
      <w:bookmarkEnd w:id="16496"/>
    </w:p>
    <w:p w:rsidR="009F44AF" w:rsidRDefault="009F44AF" w:rsidP="009F44AF">
      <w:pPr>
        <w:pStyle w:val="a"/>
        <w:numPr>
          <w:ilvl w:val="0"/>
          <w:numId w:val="17"/>
        </w:numPr>
        <w:rPr>
          <w:rtl/>
        </w:rPr>
      </w:pPr>
      <w:r>
        <w:rPr>
          <w:rFonts w:hint="cs"/>
          <w:rtl/>
        </w:rPr>
        <w:t xml:space="preserve"> וכתב </w:t>
      </w:r>
      <w:r>
        <w:rPr>
          <w:rStyle w:val="af8"/>
          <w:rtl/>
        </w:rPr>
        <w:t xml:space="preserve">בפי' הראב"ד </w:t>
      </w:r>
      <w:r>
        <w:rPr>
          <w:rFonts w:hint="cs"/>
          <w:rtl/>
        </w:rPr>
        <w:t xml:space="preserve">דהא דאמרינן דרק דבר חשוב, אוסר אף כשאין בו שיעור של נתינת טעם, </w:t>
      </w:r>
      <w:r>
        <w:rPr>
          <w:rStyle w:val="afa"/>
          <w:rtl/>
        </w:rPr>
        <w:t>[באיסור לתוך היתר בקילוח של חבית],</w:t>
      </w:r>
      <w:r>
        <w:rPr>
          <w:rFonts w:hint="cs"/>
          <w:rtl/>
        </w:rPr>
        <w:t xml:space="preserve"> זהו דוקא ביין ביין שאוסר במשהו, אבל ביין במים ששיעורו הוא בנותן טעם, לא מהני חשיבות האיסור לאסור, כשאין בו שיעור נתינת טעם, והוא מתבטל בהיתר ומותר.</w:t>
      </w:r>
    </w:p>
    <w:p w:rsidR="009F44AF" w:rsidRDefault="009F44AF" w:rsidP="0098721B">
      <w:pPr>
        <w:pStyle w:val="1"/>
        <w:rPr>
          <w:rtl/>
        </w:rPr>
      </w:pPr>
      <w:bookmarkStart w:id="16497" w:name="_Toc26477546"/>
      <w:bookmarkStart w:id="16498" w:name="_Toc26477421"/>
      <w:bookmarkStart w:id="16499" w:name="_Toc26784039"/>
      <w:bookmarkStart w:id="16500" w:name="_Toc26781324"/>
      <w:bookmarkStart w:id="16501" w:name="_Toc26777115"/>
      <w:bookmarkStart w:id="16502" w:name="_Toc26742732"/>
      <w:bookmarkStart w:id="16503" w:name="_Toc26726062"/>
      <w:bookmarkStart w:id="16504" w:name="_Toc26702393"/>
      <w:bookmarkStart w:id="16505" w:name="_Toc26523427"/>
      <w:r>
        <w:rPr>
          <w:rFonts w:hint="cs"/>
          <w:rtl/>
        </w:rPr>
        <w:t xml:space="preserve">דעת הראב"ד </w:t>
      </w:r>
      <w:bookmarkEnd w:id="16497"/>
      <w:bookmarkEnd w:id="16498"/>
      <w:r>
        <w:rPr>
          <w:rFonts w:hint="cs"/>
          <w:rtl/>
        </w:rPr>
        <w:t>דקיי"ל דיי"נ במין במינו אוסר במשהו ולא בטל</w:t>
      </w:r>
      <w:bookmarkEnd w:id="16499"/>
      <w:bookmarkEnd w:id="16500"/>
      <w:bookmarkEnd w:id="16501"/>
      <w:bookmarkEnd w:id="16502"/>
      <w:bookmarkEnd w:id="16503"/>
      <w:bookmarkEnd w:id="16504"/>
      <w:bookmarkEnd w:id="16505"/>
    </w:p>
    <w:p w:rsidR="009F44AF" w:rsidRDefault="009F44AF" w:rsidP="009F44AF">
      <w:pPr>
        <w:pStyle w:val="a2"/>
        <w:rPr>
          <w:rtl/>
        </w:rPr>
      </w:pPr>
      <w:bookmarkStart w:id="16506" w:name="_Toc26784040"/>
      <w:bookmarkStart w:id="16507" w:name="_Toc26781325"/>
      <w:bookmarkStart w:id="16508" w:name="_Toc26777116"/>
      <w:bookmarkStart w:id="16509" w:name="_Toc26742733"/>
      <w:bookmarkStart w:id="16510" w:name="_Toc26726063"/>
      <w:bookmarkStart w:id="16511" w:name="_Toc26702394"/>
      <w:bookmarkStart w:id="16512" w:name="_Toc26523428"/>
      <w:bookmarkStart w:id="16513" w:name="_Toc26477547"/>
      <w:bookmarkStart w:id="16514" w:name="_Toc26477422"/>
      <w:r>
        <w:rPr>
          <w:rFonts w:hint="cs"/>
          <w:rtl/>
        </w:rPr>
        <w:t>דברי הראב"ד דבמינו לא קיי"ל כרב דימי ורב יצחק אלא כסתם מתני' דיין נסך אוסר במשהו</w:t>
      </w:r>
      <w:bookmarkEnd w:id="16506"/>
      <w:bookmarkEnd w:id="16507"/>
      <w:bookmarkEnd w:id="16508"/>
      <w:bookmarkEnd w:id="16509"/>
      <w:bookmarkEnd w:id="16510"/>
      <w:bookmarkEnd w:id="16511"/>
      <w:bookmarkEnd w:id="16512"/>
      <w:bookmarkEnd w:id="16513"/>
      <w:bookmarkEnd w:id="16514"/>
    </w:p>
    <w:p w:rsidR="009F44AF" w:rsidRDefault="009F44AF" w:rsidP="009F44AF">
      <w:pPr>
        <w:pStyle w:val="a"/>
        <w:numPr>
          <w:ilvl w:val="0"/>
          <w:numId w:val="17"/>
        </w:numPr>
        <w:rPr>
          <w:rtl/>
        </w:rPr>
      </w:pPr>
      <w:bookmarkStart w:id="16515" w:name="_Ref26734266"/>
      <w:r>
        <w:rPr>
          <w:rFonts w:hint="cs"/>
          <w:rtl/>
        </w:rPr>
        <w:t xml:space="preserve">וכתב </w:t>
      </w:r>
      <w:r>
        <w:rPr>
          <w:rStyle w:val="af8"/>
          <w:rtl/>
        </w:rPr>
        <w:t xml:space="preserve">בפי' הראב"ד </w:t>
      </w:r>
      <w:r>
        <w:rPr>
          <w:rFonts w:hint="cs"/>
          <w:rtl/>
        </w:rPr>
        <w:t xml:space="preserve">דלדעת רב יצחק הביאור במשנה, הוא כדביאר רב דימי, דאיירי בנפל היתר לתוך איסור, </w:t>
      </w:r>
      <w:r>
        <w:rPr>
          <w:rStyle w:val="afa"/>
          <w:rtl/>
        </w:rPr>
        <w:t xml:space="preserve">[ולכן הוא אוסר במשהו ולא בנותן טעם], </w:t>
      </w:r>
      <w:r>
        <w:rPr>
          <w:rFonts w:hint="cs"/>
          <w:rtl/>
        </w:rPr>
        <w:t xml:space="preserve">אך כתב </w:t>
      </w:r>
      <w:r>
        <w:rPr>
          <w:rStyle w:val="af8"/>
          <w:rtl/>
        </w:rPr>
        <w:t xml:space="preserve">בפי' הראב"ד </w:t>
      </w:r>
      <w:r w:rsidRPr="009F44AF">
        <w:rPr>
          <w:rStyle w:val="af6"/>
          <w:rFonts w:eastAsia="Guttman Hodes" w:hint="cs"/>
          <w:rtl/>
        </w:rPr>
        <w:t>(עג. ד"ה תנן בתו"ד, הועתק בקובץ שיטות קמאי ע"ז ח"ב עמ' אלף תתנ"ג)</w:t>
      </w:r>
      <w:r>
        <w:rPr>
          <w:rFonts w:hint="cs"/>
          <w:rtl/>
        </w:rPr>
        <w:t xml:space="preserve"> דלהלכה ביין ביין, לא קיי"ל לא כרב דימי ולא כרב יצחק, אלא כסתם מתני' לעיל </w:t>
      </w:r>
      <w:r w:rsidRPr="009F44AF">
        <w:rPr>
          <w:rStyle w:val="af6"/>
          <w:rFonts w:eastAsia="Guttman Hodes" w:hint="cs"/>
          <w:rtl/>
        </w:rPr>
        <w:t>(עב.)</w:t>
      </w:r>
      <w:r>
        <w:rPr>
          <w:rFonts w:hint="cs"/>
          <w:rtl/>
        </w:rPr>
        <w:t xml:space="preserve"> דיין נסך אוסר במשהו אף בהנאה, באיסור לתוך היתר, וא"כ ה"ה בהיתר לתוך איסור דאוסר במשהו, </w:t>
      </w:r>
      <w:r>
        <w:rPr>
          <w:rStyle w:val="afa"/>
          <w:rtl/>
        </w:rPr>
        <w:t xml:space="preserve">[כדביאר </w:t>
      </w:r>
      <w:r>
        <w:rPr>
          <w:rStyle w:val="affa"/>
          <w:rtl/>
        </w:rPr>
        <w:t xml:space="preserve">הראב"ד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Ref26762650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נז)</w:t>
      </w:r>
      <w:r>
        <w:rPr>
          <w:rFonts w:hint="cs"/>
          <w:rtl/>
        </w:rPr>
        <w:fldChar w:fldCharType="end"/>
      </w:r>
      <w:r>
        <w:rPr>
          <w:rStyle w:val="afa"/>
          <w:rtl/>
        </w:rPr>
        <w:t xml:space="preserve"> דהיתר לתוך איסור ודאי דאוסר במשהו], </w:t>
      </w:r>
      <w:r>
        <w:rPr>
          <w:rFonts w:hint="cs"/>
          <w:rtl/>
        </w:rPr>
        <w:t xml:space="preserve">וע"ע בדברי </w:t>
      </w:r>
      <w:r>
        <w:rPr>
          <w:rStyle w:val="af8"/>
          <w:rtl/>
        </w:rPr>
        <w:t>הראב"ד בהשג'</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Ref26734251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קה</w:t>
      </w:r>
      <w:r w:rsidR="004D1C5B">
        <w:rPr>
          <w:rStyle w:val="af6"/>
          <w:rFonts w:eastAsia="Guttman Hodes"/>
          <w:rtl/>
        </w:rPr>
        <w:t>)</w:t>
      </w:r>
      <w:r>
        <w:rPr>
          <w:rFonts w:hint="cs"/>
          <w:rtl/>
        </w:rPr>
        <w:fldChar w:fldCharType="end"/>
      </w:r>
      <w:r>
        <w:rPr>
          <w:rFonts w:hint="cs"/>
          <w:rtl/>
        </w:rPr>
        <w:t>.</w:t>
      </w:r>
      <w:bookmarkEnd w:id="16515"/>
    </w:p>
    <w:p w:rsidR="009F44AF" w:rsidRDefault="009F44AF" w:rsidP="0098721B">
      <w:pPr>
        <w:pStyle w:val="1"/>
        <w:rPr>
          <w:rtl/>
        </w:rPr>
      </w:pPr>
      <w:bookmarkStart w:id="16516" w:name="_Toc26784041"/>
      <w:bookmarkStart w:id="16517" w:name="_Toc26781326"/>
      <w:bookmarkStart w:id="16518" w:name="_Toc26777117"/>
      <w:bookmarkStart w:id="16519" w:name="_Toc26742734"/>
      <w:bookmarkStart w:id="16520" w:name="_Toc26726064"/>
      <w:bookmarkStart w:id="16521" w:name="_Toc26702395"/>
      <w:bookmarkStart w:id="16522" w:name="_Toc26523429"/>
      <w:r>
        <w:rPr>
          <w:rFonts w:hint="cs"/>
          <w:rtl/>
        </w:rPr>
        <w:t>דעת הראב"ד דבאינו מינו וכן בשאר איסורים קמא קמא בטיל</w:t>
      </w:r>
      <w:bookmarkEnd w:id="16516"/>
      <w:bookmarkEnd w:id="16517"/>
      <w:bookmarkEnd w:id="16518"/>
      <w:bookmarkEnd w:id="16519"/>
      <w:bookmarkEnd w:id="16520"/>
      <w:bookmarkEnd w:id="16521"/>
      <w:bookmarkEnd w:id="16522"/>
    </w:p>
    <w:p w:rsidR="009F44AF" w:rsidRDefault="009F44AF" w:rsidP="009F44AF">
      <w:pPr>
        <w:pStyle w:val="a2"/>
        <w:rPr>
          <w:rtl/>
        </w:rPr>
      </w:pPr>
      <w:bookmarkStart w:id="16523" w:name="_Toc26784042"/>
      <w:bookmarkStart w:id="16524" w:name="_Toc26781327"/>
      <w:bookmarkStart w:id="16525" w:name="_Toc26777118"/>
      <w:bookmarkStart w:id="16526" w:name="_Toc26742735"/>
      <w:bookmarkStart w:id="16527" w:name="_Toc26726065"/>
      <w:bookmarkStart w:id="16528" w:name="_Toc26702396"/>
      <w:bookmarkStart w:id="16529" w:name="_Toc26523430"/>
      <w:bookmarkStart w:id="16530" w:name="_Toc26477548"/>
      <w:bookmarkStart w:id="16531" w:name="_Toc26477423"/>
      <w:r>
        <w:rPr>
          <w:rFonts w:hint="cs"/>
          <w:rtl/>
        </w:rPr>
        <w:t>דברי הראב"ד דבפחות מנו"ט ביין נסך באינו מינו וכן בשאר איסורים קיי"ל דקמא קמא בטיל</w:t>
      </w:r>
      <w:bookmarkEnd w:id="16523"/>
      <w:bookmarkEnd w:id="16524"/>
      <w:bookmarkEnd w:id="16525"/>
      <w:bookmarkEnd w:id="16526"/>
      <w:bookmarkEnd w:id="16527"/>
      <w:bookmarkEnd w:id="16528"/>
      <w:bookmarkEnd w:id="16529"/>
      <w:bookmarkEnd w:id="16530"/>
      <w:bookmarkEnd w:id="16531"/>
      <w:r>
        <w:rPr>
          <w:rFonts w:hint="cs"/>
          <w:rtl/>
        </w:rPr>
        <w:t xml:space="preserve"> </w:t>
      </w:r>
    </w:p>
    <w:p w:rsidR="009F44AF" w:rsidRDefault="009F44AF" w:rsidP="009F44AF">
      <w:pPr>
        <w:pStyle w:val="a"/>
        <w:numPr>
          <w:ilvl w:val="0"/>
          <w:numId w:val="17"/>
        </w:numPr>
        <w:rPr>
          <w:rtl/>
        </w:rPr>
      </w:pPr>
      <w:bookmarkStart w:id="16532" w:name="_Ref26183736"/>
      <w:bookmarkStart w:id="16533" w:name="_Ref26473733"/>
      <w:r>
        <w:rPr>
          <w:rFonts w:hint="cs"/>
          <w:rtl/>
        </w:rPr>
        <w:t xml:space="preserve">אך כתב </w:t>
      </w:r>
      <w:r>
        <w:rPr>
          <w:rStyle w:val="af8"/>
          <w:rtl/>
        </w:rPr>
        <w:t xml:space="preserve">בפי' הראב"ד </w:t>
      </w:r>
      <w:r>
        <w:rPr>
          <w:rFonts w:hint="cs"/>
          <w:rtl/>
        </w:rPr>
        <w:t xml:space="preserve">דלענין יין במים ומים ביין, וכן בכל איסור בלח בלח כחֵלֶב ודם שנימוחו בקדירה, קיי"ל כדעת האמוראים דאמרינן קמא קמא בטיל, וכל שאין בשעת הנפילה שיעור של נתינת טעם בהיתר, מותר אף שנופל כל היום כולו, דאחר שהראשון התבטל הוא נעשה היתר גמור, ומצטרף להיתר לבטל את האיסור שנופל אחריו, ועיי"ש </w:t>
      </w:r>
      <w:r>
        <w:rPr>
          <w:rStyle w:val="af8"/>
          <w:rtl/>
        </w:rPr>
        <w:t xml:space="preserve">בפי' הראב"ד </w:t>
      </w:r>
      <w:r>
        <w:rPr>
          <w:rFonts w:hint="cs"/>
          <w:rtl/>
        </w:rPr>
        <w:t xml:space="preserve">במה שהאריך להביא ראיות דבכל האיסורים אזלינן בתר שעת נפילה ואמרינן דקמא קמא בטיל, ועי' בדברי </w:t>
      </w:r>
      <w:r>
        <w:rPr>
          <w:rStyle w:val="af8"/>
          <w:rtl/>
        </w:rPr>
        <w:t>הפרי תואר</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קיח</w:t>
      </w:r>
      <w:r w:rsidR="004D1C5B">
        <w:rPr>
          <w:rStyle w:val="af6"/>
          <w:rFonts w:eastAsia="Guttman Hodes"/>
          <w:rtl/>
        </w:rPr>
        <w:t>)</w:t>
      </w:r>
      <w:r>
        <w:rPr>
          <w:rFonts w:hint="cs"/>
          <w:rtl/>
        </w:rPr>
        <w:fldChar w:fldCharType="end"/>
      </w:r>
      <w:r>
        <w:rPr>
          <w:rFonts w:hint="cs"/>
          <w:rtl/>
        </w:rPr>
        <w:t xml:space="preserve"> דכתב דכן דעת </w:t>
      </w:r>
      <w:r>
        <w:rPr>
          <w:rStyle w:val="af8"/>
          <w:rtl/>
        </w:rPr>
        <w:t>הרמב"ם</w:t>
      </w:r>
      <w:bookmarkEnd w:id="16532"/>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Ref26183712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קיח</w:t>
      </w:r>
      <w:r w:rsidR="004D1C5B">
        <w:rPr>
          <w:rStyle w:val="af6"/>
          <w:rFonts w:eastAsia="Guttman Hodes"/>
          <w:rtl/>
        </w:rPr>
        <w:t>)</w:t>
      </w:r>
      <w:r>
        <w:rPr>
          <w:rFonts w:hint="cs"/>
          <w:rtl/>
        </w:rPr>
        <w:fldChar w:fldCharType="end"/>
      </w:r>
      <w:r>
        <w:rPr>
          <w:rFonts w:hint="cs"/>
          <w:rtl/>
        </w:rPr>
        <w:t xml:space="preserve">, ובמה שביאר </w:t>
      </w:r>
      <w:r>
        <w:rPr>
          <w:rStyle w:val="af8"/>
          <w:rtl/>
        </w:rPr>
        <w:t>השער"י</w:t>
      </w:r>
      <w:r>
        <w:rPr>
          <w:rFonts w:hint="cs"/>
          <w:rtl/>
        </w:rPr>
        <w:t xml:space="preserve"> </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Ref26776713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קכה</w:t>
      </w:r>
      <w:r w:rsidR="004D1C5B">
        <w:rPr>
          <w:rStyle w:val="af6"/>
          <w:rFonts w:eastAsia="Guttman Hodes"/>
          <w:rtl/>
        </w:rPr>
        <w:t>)</w:t>
      </w:r>
      <w:r>
        <w:rPr>
          <w:rFonts w:hint="cs"/>
          <w:rtl/>
        </w:rPr>
        <w:fldChar w:fldCharType="end"/>
      </w:r>
      <w:r>
        <w:rPr>
          <w:rFonts w:hint="cs"/>
          <w:rtl/>
        </w:rPr>
        <w:t xml:space="preserve"> בדברי </w:t>
      </w:r>
      <w:r>
        <w:rPr>
          <w:rStyle w:val="af8"/>
          <w:rtl/>
        </w:rPr>
        <w:t>הראב"ד</w:t>
      </w:r>
      <w:r>
        <w:rPr>
          <w:rFonts w:hint="cs"/>
          <w:rtl/>
        </w:rPr>
        <w:t xml:space="preserve">. </w:t>
      </w:r>
      <w:r>
        <w:rPr>
          <w:rStyle w:val="afa"/>
          <w:rtl/>
        </w:rPr>
        <w:t xml:space="preserve">[ועי' בדברי </w:t>
      </w:r>
      <w:r>
        <w:rPr>
          <w:rStyle w:val="affa"/>
          <w:rtl/>
        </w:rPr>
        <w:t>הרמב"ן</w:t>
      </w:r>
      <w:r>
        <w:rPr>
          <w:rStyle w:val="afa"/>
          <w:rtl/>
        </w:rPr>
        <w:t xml:space="preserve"> </w:t>
      </w:r>
      <w:r>
        <w:rPr>
          <w:rStyle w:val="aff6"/>
          <w:rtl/>
        </w:rPr>
        <w:t xml:space="preserve">(עג. ד"ה וראיתי לראב"ד) </w:t>
      </w:r>
      <w:r>
        <w:rPr>
          <w:rStyle w:val="afa"/>
          <w:rtl/>
        </w:rPr>
        <w:t xml:space="preserve">במה שדחה את הראיות שהביא </w:t>
      </w:r>
      <w:r>
        <w:rPr>
          <w:rStyle w:val="affa"/>
          <w:rtl/>
        </w:rPr>
        <w:t>הראב"ד</w:t>
      </w:r>
      <w:r>
        <w:rPr>
          <w:rStyle w:val="afa"/>
          <w:rtl/>
        </w:rPr>
        <w:t xml:space="preserve">, ובמה שהאריך </w:t>
      </w:r>
      <w:r>
        <w:rPr>
          <w:rStyle w:val="affa"/>
          <w:rtl/>
        </w:rPr>
        <w:t>הרמב"ן</w:t>
      </w:r>
      <w:r>
        <w:rPr>
          <w:rStyle w:val="afa"/>
          <w:rtl/>
        </w:rPr>
        <w:t xml:space="preserve"> להקשות על דברי </w:t>
      </w:r>
      <w:r>
        <w:rPr>
          <w:rStyle w:val="affa"/>
          <w:rtl/>
        </w:rPr>
        <w:t>הראב"ד</w:t>
      </w:r>
      <w:r>
        <w:rPr>
          <w:rStyle w:val="afa"/>
          <w:rtl/>
        </w:rPr>
        <w:t xml:space="preserve">, ובמ"ש </w:t>
      </w:r>
      <w:r>
        <w:rPr>
          <w:rStyle w:val="affa"/>
          <w:rtl/>
        </w:rPr>
        <w:t>הרמב"ן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Ref26762710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פה)</w:t>
      </w:r>
      <w:r>
        <w:rPr>
          <w:rFonts w:hint="cs"/>
          <w:rtl/>
        </w:rPr>
        <w:fldChar w:fldCharType="end"/>
      </w:r>
      <w:r>
        <w:rPr>
          <w:rStyle w:val="aff6"/>
          <w:rtl/>
        </w:rPr>
        <w:t xml:space="preserve"> </w:t>
      </w:r>
      <w:r>
        <w:rPr>
          <w:rStyle w:val="afa"/>
          <w:rtl/>
        </w:rPr>
        <w:t xml:space="preserve">דאף בשאר איסורים לא קיי"ל כרב דימי ולא אמרינן דקמא קמא בטיל, ובמה שהקשה </w:t>
      </w:r>
      <w:r>
        <w:rPr>
          <w:rStyle w:val="affa"/>
          <w:rtl/>
        </w:rPr>
        <w:t>הרשב"א</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Ref26776481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פו)</w:t>
      </w:r>
      <w:r>
        <w:rPr>
          <w:rFonts w:hint="cs"/>
          <w:rtl/>
        </w:rPr>
        <w:fldChar w:fldCharType="end"/>
      </w:r>
      <w:r>
        <w:rPr>
          <w:rStyle w:val="afa"/>
          <w:rtl/>
        </w:rPr>
        <w:t xml:space="preserve"> על </w:t>
      </w:r>
      <w:r>
        <w:rPr>
          <w:rStyle w:val="affa"/>
          <w:rtl/>
        </w:rPr>
        <w:t>הראב"ד</w:t>
      </w:r>
      <w:r>
        <w:rPr>
          <w:rStyle w:val="afa"/>
          <w:rtl/>
        </w:rPr>
        <w:t>].</w:t>
      </w:r>
      <w:bookmarkEnd w:id="16533"/>
    </w:p>
    <w:p w:rsidR="009F44AF" w:rsidRDefault="009F44AF" w:rsidP="0098721B">
      <w:pPr>
        <w:pStyle w:val="1"/>
        <w:rPr>
          <w:rtl/>
        </w:rPr>
      </w:pPr>
      <w:r>
        <w:rPr>
          <w:rFonts w:hint="cs"/>
          <w:rtl/>
        </w:rPr>
        <w:t>פלוגתת הפר"ח והיד יהודה בראב"ד בחוזר וניעור ברוב איסור</w:t>
      </w:r>
    </w:p>
    <w:p w:rsidR="009F44AF" w:rsidRDefault="009F44AF" w:rsidP="009F44AF">
      <w:pPr>
        <w:pStyle w:val="a2"/>
        <w:rPr>
          <w:rtl/>
        </w:rPr>
      </w:pPr>
      <w:bookmarkStart w:id="16534" w:name="_Toc26784044"/>
      <w:bookmarkStart w:id="16535" w:name="_Toc26781329"/>
      <w:bookmarkStart w:id="16536" w:name="_Toc26777120"/>
      <w:bookmarkStart w:id="16537" w:name="_Toc26742737"/>
      <w:bookmarkStart w:id="16538" w:name="_Toc26726067"/>
      <w:bookmarkStart w:id="16539" w:name="_Toc26702398"/>
      <w:bookmarkStart w:id="16540" w:name="_Toc26523432"/>
      <w:bookmarkStart w:id="16541" w:name="_Toc26477550"/>
      <w:bookmarkStart w:id="16542" w:name="_Toc26477425"/>
      <w:r>
        <w:rPr>
          <w:rFonts w:hint="cs"/>
          <w:rtl/>
        </w:rPr>
        <w:t>דברי הפר"ח דמודה הראב"ד דבשאר איסורים כל שיש רוב איסור אמרינן דהאיסור חוזר וניעור</w:t>
      </w:r>
      <w:bookmarkEnd w:id="16534"/>
      <w:bookmarkEnd w:id="16535"/>
      <w:bookmarkEnd w:id="16536"/>
      <w:bookmarkEnd w:id="16537"/>
      <w:bookmarkEnd w:id="16538"/>
      <w:bookmarkEnd w:id="16539"/>
      <w:bookmarkEnd w:id="16540"/>
      <w:bookmarkEnd w:id="16541"/>
      <w:bookmarkEnd w:id="16542"/>
    </w:p>
    <w:p w:rsidR="009F44AF" w:rsidRDefault="009F44AF" w:rsidP="009F44AF">
      <w:pPr>
        <w:pStyle w:val="a"/>
        <w:numPr>
          <w:ilvl w:val="0"/>
          <w:numId w:val="17"/>
        </w:numPr>
        <w:rPr>
          <w:rtl/>
        </w:rPr>
      </w:pPr>
      <w:bookmarkStart w:id="16543" w:name="_Ref26131404"/>
      <w:r>
        <w:rPr>
          <w:rStyle w:val="af8"/>
          <w:rtl/>
        </w:rPr>
        <w:t>כתב הפר"ח</w:t>
      </w:r>
      <w:r>
        <w:rPr>
          <w:rFonts w:hint="cs"/>
          <w:rtl/>
        </w:rPr>
        <w:t xml:space="preserve"> </w:t>
      </w:r>
      <w:r w:rsidRPr="009F44AF">
        <w:rPr>
          <w:rStyle w:val="af6"/>
          <w:rFonts w:eastAsia="Guttman Hodes" w:hint="cs"/>
          <w:rtl/>
        </w:rPr>
        <w:t xml:space="preserve">(סי' צ"ט ס"ק כ"א ד"ה ומיהו מסתברא) </w:t>
      </w:r>
      <w:r>
        <w:rPr>
          <w:rFonts w:hint="cs"/>
          <w:rtl/>
        </w:rPr>
        <w:t xml:space="preserve">דאף לדעת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Ref26473733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סג</w:t>
      </w:r>
      <w:r w:rsidR="004D1C5B">
        <w:rPr>
          <w:rStyle w:val="af6"/>
          <w:rFonts w:eastAsia="Guttman Hodes"/>
          <w:rtl/>
        </w:rPr>
        <w:t>)</w:t>
      </w:r>
      <w:r>
        <w:rPr>
          <w:rFonts w:hint="cs"/>
          <w:rtl/>
        </w:rPr>
        <w:fldChar w:fldCharType="end"/>
      </w:r>
      <w:r>
        <w:rPr>
          <w:rFonts w:hint="cs"/>
          <w:rtl/>
        </w:rPr>
        <w:t xml:space="preserve"> דבכל האיסורים אמרינן דקמא קמא בטיל, מ"מ מסתבר לומר </w:t>
      </w:r>
      <w:r>
        <w:rPr>
          <w:rFonts w:hint="cs"/>
          <w:rtl/>
        </w:rPr>
        <w:lastRenderedPageBreak/>
        <w:t xml:space="preserve">שאם האיסור התרבה כ"כ עד שרוב התערובת היא איסור, דלכו"ע האיסור חוזר וניעור, ועיי"ש </w:t>
      </w:r>
      <w:r>
        <w:rPr>
          <w:rStyle w:val="af8"/>
          <w:rtl/>
        </w:rPr>
        <w:t>בפר"ח</w:t>
      </w:r>
      <w:r>
        <w:rPr>
          <w:rFonts w:hint="cs"/>
          <w:rtl/>
        </w:rPr>
        <w:t xml:space="preserve"> דכתב דכן מוכח ממתני' בתרומות </w:t>
      </w:r>
      <w:r w:rsidRPr="009F44AF">
        <w:rPr>
          <w:rStyle w:val="af6"/>
          <w:rFonts w:eastAsia="Guttman Hodes" w:hint="cs"/>
          <w:rtl/>
        </w:rPr>
        <w:t>(פ"ה מ"ז)</w:t>
      </w:r>
      <w:r>
        <w:rPr>
          <w:rFonts w:hint="cs"/>
          <w:rtl/>
        </w:rPr>
        <w:t xml:space="preserve">, ומהגמ' ביבמות </w:t>
      </w:r>
      <w:r w:rsidRPr="009F44AF">
        <w:rPr>
          <w:rStyle w:val="af6"/>
          <w:rFonts w:eastAsia="Guttman Hodes" w:hint="cs"/>
          <w:rtl/>
        </w:rPr>
        <w:t>(פב)</w:t>
      </w:r>
      <w:r>
        <w:rPr>
          <w:rFonts w:hint="cs"/>
          <w:rtl/>
        </w:rPr>
        <w:t>.</w:t>
      </w:r>
      <w:bookmarkEnd w:id="16543"/>
    </w:p>
    <w:p w:rsidR="009F44AF" w:rsidRDefault="009F44AF" w:rsidP="009F44AF">
      <w:pPr>
        <w:pStyle w:val="a2"/>
        <w:rPr>
          <w:rtl/>
        </w:rPr>
      </w:pPr>
      <w:bookmarkStart w:id="16544" w:name="_Toc26784045"/>
      <w:bookmarkStart w:id="16545" w:name="_Toc26781330"/>
      <w:bookmarkStart w:id="16546" w:name="_Toc26777121"/>
      <w:bookmarkStart w:id="16547" w:name="_Toc26742738"/>
      <w:bookmarkStart w:id="16548" w:name="_Toc26726068"/>
      <w:bookmarkStart w:id="16549" w:name="_Toc26702399"/>
      <w:bookmarkStart w:id="16550" w:name="_Toc26523433"/>
      <w:bookmarkStart w:id="16551" w:name="_Toc26477551"/>
      <w:bookmarkStart w:id="16552" w:name="_Toc26477426"/>
      <w:r>
        <w:rPr>
          <w:rFonts w:hint="cs"/>
          <w:rtl/>
        </w:rPr>
        <w:t>הוכחת הפר"ח מדברי הראב"ד בהשג' דכל שאין רוב היתר מודה הראב"ד דחוזר וניעור</w:t>
      </w:r>
      <w:bookmarkEnd w:id="16544"/>
      <w:bookmarkEnd w:id="16545"/>
      <w:bookmarkEnd w:id="16546"/>
      <w:bookmarkEnd w:id="16547"/>
      <w:bookmarkEnd w:id="16548"/>
      <w:bookmarkEnd w:id="16549"/>
      <w:bookmarkEnd w:id="16550"/>
      <w:bookmarkEnd w:id="16551"/>
      <w:bookmarkEnd w:id="16552"/>
    </w:p>
    <w:p w:rsidR="009F44AF" w:rsidRDefault="009F44AF" w:rsidP="009F44AF">
      <w:pPr>
        <w:pStyle w:val="a"/>
        <w:numPr>
          <w:ilvl w:val="0"/>
          <w:numId w:val="17"/>
        </w:numPr>
        <w:rPr>
          <w:rtl/>
        </w:rPr>
      </w:pPr>
      <w:r>
        <w:rPr>
          <w:rFonts w:hint="cs"/>
          <w:rtl/>
        </w:rPr>
        <w:t xml:space="preserve">ועוד הביא </w:t>
      </w:r>
      <w:r>
        <w:rPr>
          <w:rStyle w:val="af8"/>
          <w:rtl/>
        </w:rPr>
        <w:t>הפר"ח</w:t>
      </w:r>
      <w:r>
        <w:rPr>
          <w:rFonts w:hint="cs"/>
          <w:rtl/>
        </w:rPr>
        <w:t xml:space="preserve"> </w:t>
      </w:r>
      <w:r w:rsidRPr="009F44AF">
        <w:rPr>
          <w:rStyle w:val="af6"/>
          <w:rFonts w:eastAsia="Guttman Hodes" w:hint="cs"/>
          <w:rtl/>
        </w:rPr>
        <w:t xml:space="preserve">(סי' צ"ט ס"ק כ"א, קונטרס אחרון) </w:t>
      </w:r>
      <w:r>
        <w:rPr>
          <w:rFonts w:hint="cs"/>
          <w:rtl/>
        </w:rPr>
        <w:t xml:space="preserve">דמוכח דכשיש רוב איסור מודה </w:t>
      </w:r>
      <w:r>
        <w:rPr>
          <w:rStyle w:val="af8"/>
          <w:rtl/>
        </w:rPr>
        <w:t>הראב"ד</w:t>
      </w:r>
      <w:r>
        <w:rPr>
          <w:rFonts w:hint="cs"/>
          <w:rtl/>
        </w:rPr>
        <w:t xml:space="preserve"> דאמרינן חוזר וניעור, מהא דכתב </w:t>
      </w:r>
      <w:r>
        <w:rPr>
          <w:rStyle w:val="af8"/>
          <w:rtl/>
        </w:rPr>
        <w:t>הראב"ד בהשג'</w:t>
      </w:r>
      <w:r>
        <w:rPr>
          <w:rFonts w:hint="cs"/>
          <w:rtl/>
        </w:rPr>
        <w:t xml:space="preserve"> </w:t>
      </w:r>
      <w:r w:rsidRPr="009F44AF">
        <w:rPr>
          <w:rStyle w:val="af6"/>
          <w:rFonts w:eastAsia="Guttman Hodes" w:hint="cs"/>
          <w:rtl/>
        </w:rPr>
        <w:t xml:space="preserve">(תרומות פי"ג הי"א) </w:t>
      </w:r>
      <w:r>
        <w:rPr>
          <w:rFonts w:hint="cs"/>
          <w:rtl/>
        </w:rPr>
        <w:t xml:space="preserve">דכתב דיין של תרומת חו"ל שהתבטל ברוב חולין, ונוסף עליו יין של תרומת חו"ל, עד שיש בו מחצה תרומה ומחצה חולין, דהוא אסור, וכתב </w:t>
      </w:r>
      <w:r>
        <w:rPr>
          <w:rStyle w:val="af8"/>
          <w:rtl/>
        </w:rPr>
        <w:t>הפר"ח</w:t>
      </w:r>
      <w:r>
        <w:rPr>
          <w:rFonts w:hint="cs"/>
          <w:rtl/>
        </w:rPr>
        <w:t xml:space="preserve"> דמבואר דכל שאין רוב היתר, מודה </w:t>
      </w:r>
      <w:r>
        <w:rPr>
          <w:rStyle w:val="af8"/>
          <w:rtl/>
        </w:rPr>
        <w:t>הראב"ד</w:t>
      </w:r>
      <w:r>
        <w:rPr>
          <w:rFonts w:hint="cs"/>
          <w:rtl/>
        </w:rPr>
        <w:t xml:space="preserve"> דאמרינן חוזר וניעור, ועי' </w:t>
      </w:r>
      <w:r>
        <w:rPr>
          <w:rStyle w:val="af8"/>
          <w:rtl/>
        </w:rPr>
        <w:t>בשער"י</w:t>
      </w:r>
      <w:r>
        <w:rPr>
          <w:rFonts w:hint="cs"/>
          <w:rtl/>
        </w:rPr>
        <w:t xml:space="preserve"> </w:t>
      </w:r>
      <w:r w:rsidRPr="009F44AF">
        <w:rPr>
          <w:rStyle w:val="af6"/>
          <w:rFonts w:eastAsia="Guttman Hodes" w:hint="cs"/>
          <w:rtl/>
        </w:rPr>
        <w:t>(ש"ג פ"י ד"ה והנה היסוד)</w:t>
      </w:r>
      <w:r>
        <w:rPr>
          <w:rFonts w:hint="cs"/>
          <w:rtl/>
        </w:rPr>
        <w:t xml:space="preserve"> במה שהקשה על דברי </w:t>
      </w:r>
      <w:r>
        <w:rPr>
          <w:rStyle w:val="af8"/>
          <w:rtl/>
        </w:rPr>
        <w:t>הפר"ח</w:t>
      </w:r>
      <w:r>
        <w:rPr>
          <w:rFonts w:hint="cs"/>
          <w:rtl/>
        </w:rPr>
        <w:t xml:space="preserve"> מהגמ' ביבמות </w:t>
      </w:r>
      <w:r w:rsidRPr="009F44AF">
        <w:rPr>
          <w:rStyle w:val="af6"/>
          <w:rFonts w:eastAsia="Guttman Hodes" w:hint="cs"/>
          <w:rtl/>
        </w:rPr>
        <w:t>(פב:)</w:t>
      </w:r>
      <w:r>
        <w:rPr>
          <w:rFonts w:hint="cs"/>
          <w:rtl/>
        </w:rPr>
        <w:t xml:space="preserve">, ובמה שהאריך </w:t>
      </w:r>
      <w:r>
        <w:rPr>
          <w:rStyle w:val="af8"/>
          <w:rtl/>
        </w:rPr>
        <w:t>השער"י</w:t>
      </w:r>
      <w:r>
        <w:rPr>
          <w:rFonts w:hint="cs"/>
          <w:rtl/>
        </w:rPr>
        <w:t xml:space="preserve"> לדחות את דברי </w:t>
      </w:r>
      <w:r>
        <w:rPr>
          <w:rStyle w:val="af8"/>
          <w:rtl/>
        </w:rPr>
        <w:t>הפר"ח</w:t>
      </w:r>
      <w:r>
        <w:rPr>
          <w:rFonts w:hint="cs"/>
          <w:rtl/>
        </w:rPr>
        <w:t>.</w:t>
      </w:r>
    </w:p>
    <w:p w:rsidR="009F44AF" w:rsidRDefault="009F44AF" w:rsidP="009F44AF">
      <w:pPr>
        <w:pStyle w:val="a2"/>
        <w:rPr>
          <w:rtl/>
        </w:rPr>
      </w:pPr>
      <w:bookmarkStart w:id="16553" w:name="_Toc26784047"/>
      <w:bookmarkStart w:id="16554" w:name="_Toc26781331"/>
      <w:bookmarkStart w:id="16555" w:name="_Toc26777122"/>
      <w:bookmarkStart w:id="16556" w:name="_Toc26742739"/>
      <w:bookmarkStart w:id="16557" w:name="_Toc26726069"/>
      <w:bookmarkStart w:id="16558" w:name="_Toc26702400"/>
      <w:bookmarkStart w:id="16559" w:name="_Toc26523434"/>
      <w:bookmarkStart w:id="16560" w:name="_Toc26477552"/>
      <w:bookmarkStart w:id="16561" w:name="_Toc26477427"/>
      <w:r>
        <w:rPr>
          <w:rFonts w:hint="cs"/>
          <w:rtl/>
        </w:rPr>
        <w:t>דברי היד יהודה דלהראב"ד בשאר האיסורים לא אמרינן חוזר וניעור אף כשיש רוב היתר</w:t>
      </w:r>
      <w:bookmarkEnd w:id="16553"/>
      <w:bookmarkEnd w:id="16554"/>
      <w:bookmarkEnd w:id="16555"/>
      <w:bookmarkEnd w:id="16556"/>
      <w:bookmarkEnd w:id="16557"/>
      <w:bookmarkEnd w:id="16558"/>
      <w:bookmarkEnd w:id="16559"/>
      <w:bookmarkEnd w:id="16560"/>
      <w:bookmarkEnd w:id="16561"/>
    </w:p>
    <w:p w:rsidR="009F44AF" w:rsidRDefault="009F44AF" w:rsidP="009F44AF">
      <w:pPr>
        <w:pStyle w:val="a"/>
        <w:numPr>
          <w:ilvl w:val="0"/>
          <w:numId w:val="17"/>
        </w:numPr>
        <w:rPr>
          <w:rtl/>
        </w:rPr>
      </w:pPr>
      <w:r>
        <w:rPr>
          <w:rFonts w:hint="cs"/>
          <w:rtl/>
        </w:rPr>
        <w:t xml:space="preserve">אמנם יעוי' במה שהאריך  </w:t>
      </w:r>
      <w:r>
        <w:rPr>
          <w:rStyle w:val="af8"/>
          <w:rtl/>
        </w:rPr>
        <w:t>היד יהודה</w:t>
      </w:r>
      <w:r>
        <w:rPr>
          <w:rFonts w:hint="cs"/>
          <w:rtl/>
        </w:rPr>
        <w:t xml:space="preserve"> </w:t>
      </w:r>
      <w:r w:rsidRPr="009F44AF">
        <w:rPr>
          <w:rStyle w:val="af6"/>
          <w:rFonts w:eastAsia="Guttman Hodes" w:hint="cs"/>
          <w:rtl/>
        </w:rPr>
        <w:t xml:space="preserve">(סי' צ"ט סקכ"ה ד"ה מיהו כ"ז) </w:t>
      </w:r>
      <w:r>
        <w:rPr>
          <w:rFonts w:hint="cs"/>
          <w:rtl/>
        </w:rPr>
        <w:t xml:space="preserve">לדחות את דברי </w:t>
      </w:r>
      <w:r>
        <w:rPr>
          <w:rStyle w:val="af8"/>
          <w:rtl/>
        </w:rPr>
        <w:t>הפר"ח</w:t>
      </w:r>
      <w:r>
        <w:rPr>
          <w:rFonts w:hint="cs"/>
          <w:rtl/>
        </w:rPr>
        <w:t xml:space="preserve">, וכתב </w:t>
      </w:r>
      <w:r>
        <w:rPr>
          <w:rStyle w:val="af8"/>
          <w:rtl/>
        </w:rPr>
        <w:t>היד יהודה</w:t>
      </w:r>
      <w:r>
        <w:rPr>
          <w:rFonts w:hint="cs"/>
          <w:rtl/>
        </w:rPr>
        <w:t xml:space="preserve"> דס"ל </w:t>
      </w:r>
      <w:r>
        <w:rPr>
          <w:rStyle w:val="af8"/>
          <w:rtl/>
        </w:rPr>
        <w:t>להראב"ד</w:t>
      </w:r>
      <w:r>
        <w:rPr>
          <w:rFonts w:hint="cs"/>
          <w:rtl/>
        </w:rPr>
        <w:t xml:space="preserve"> דבכל האיסורים לא אמרינן דחוזר וניעור אף כשיש רוב איסור.</w:t>
      </w:r>
    </w:p>
    <w:p w:rsidR="009F44AF" w:rsidRDefault="009F44AF" w:rsidP="0098721B">
      <w:pPr>
        <w:pStyle w:val="1"/>
        <w:rPr>
          <w:rtl/>
        </w:rPr>
      </w:pPr>
      <w:bookmarkStart w:id="16562" w:name="_Toc26784048"/>
      <w:bookmarkStart w:id="16563" w:name="_Toc26781332"/>
      <w:bookmarkStart w:id="16564" w:name="_Toc26777123"/>
      <w:bookmarkStart w:id="16565" w:name="_Toc26742740"/>
      <w:bookmarkStart w:id="16566" w:name="_Toc26726070"/>
      <w:bookmarkStart w:id="16567" w:name="_Toc26702401"/>
      <w:bookmarkStart w:id="16568" w:name="_Toc26523435"/>
      <w:bookmarkStart w:id="16569" w:name="_Toc26477553"/>
      <w:bookmarkStart w:id="16570" w:name="_Toc26477428"/>
      <w:r>
        <w:rPr>
          <w:rFonts w:hint="cs"/>
          <w:rtl/>
        </w:rPr>
        <w:t>קושיות הפר"ח על הראב"ד דהוכר האיסור והוא חוזר וניעור</w:t>
      </w:r>
      <w:bookmarkEnd w:id="16562"/>
    </w:p>
    <w:p w:rsidR="009F44AF" w:rsidRDefault="009F44AF" w:rsidP="009F44AF">
      <w:pPr>
        <w:pStyle w:val="a2"/>
        <w:rPr>
          <w:rtl/>
        </w:rPr>
      </w:pPr>
      <w:bookmarkStart w:id="16571" w:name="_Toc26784049"/>
      <w:r>
        <w:rPr>
          <w:rFonts w:hint="cs"/>
          <w:rtl/>
        </w:rPr>
        <w:t>קושית הפר"ח בסתירת דברי הראב"ד דבנו"ט ניכר האיסור ואינו בטל ואמאי אינו חוזר וניעור</w:t>
      </w:r>
      <w:bookmarkEnd w:id="16563"/>
      <w:bookmarkEnd w:id="16564"/>
      <w:bookmarkEnd w:id="16565"/>
      <w:bookmarkEnd w:id="16566"/>
      <w:bookmarkEnd w:id="16567"/>
      <w:bookmarkEnd w:id="16568"/>
      <w:bookmarkEnd w:id="16569"/>
      <w:bookmarkEnd w:id="16570"/>
      <w:bookmarkEnd w:id="16571"/>
    </w:p>
    <w:p w:rsidR="009F44AF" w:rsidRDefault="009F44AF" w:rsidP="009F44AF">
      <w:pPr>
        <w:pStyle w:val="a"/>
        <w:numPr>
          <w:ilvl w:val="0"/>
          <w:numId w:val="17"/>
        </w:numPr>
        <w:rPr>
          <w:rtl/>
        </w:rPr>
      </w:pPr>
      <w:bookmarkStart w:id="16572" w:name="_Ref26762813"/>
      <w:r>
        <w:rPr>
          <w:rFonts w:hint="cs"/>
          <w:rtl/>
        </w:rPr>
        <w:t xml:space="preserve">ובעיקר סברת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Ref26473733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סג</w:t>
      </w:r>
      <w:r w:rsidR="004D1C5B">
        <w:rPr>
          <w:rStyle w:val="af6"/>
          <w:rFonts w:eastAsia="Guttman Hodes"/>
          <w:rtl/>
        </w:rPr>
        <w:t>)</w:t>
      </w:r>
      <w:r>
        <w:rPr>
          <w:rFonts w:hint="cs"/>
          <w:rtl/>
        </w:rPr>
        <w:fldChar w:fldCharType="end"/>
      </w:r>
      <w:r>
        <w:rPr>
          <w:rFonts w:hint="cs"/>
          <w:rtl/>
        </w:rPr>
        <w:t xml:space="preserve"> דההיתר דקמא קמא בטיל, הוא אף במקום שיש נתינת טעם לבסוף, דכיון שהותר הותר, הקשה </w:t>
      </w:r>
      <w:r>
        <w:rPr>
          <w:rStyle w:val="af8"/>
          <w:rtl/>
        </w:rPr>
        <w:t>הפר"ח</w:t>
      </w:r>
      <w:r>
        <w:rPr>
          <w:rFonts w:hint="cs"/>
          <w:rtl/>
        </w:rPr>
        <w:t xml:space="preserve"> </w:t>
      </w:r>
      <w:r w:rsidRPr="009F44AF">
        <w:rPr>
          <w:rStyle w:val="af6"/>
          <w:rFonts w:eastAsia="Guttman Hodes" w:hint="cs"/>
          <w:rtl/>
        </w:rPr>
        <w:t xml:space="preserve">(סי' צ"ט ס"ק כ"א, ד"ה והנה במה שסבור הראב"ד) </w:t>
      </w:r>
      <w:r>
        <w:rPr>
          <w:rFonts w:hint="cs"/>
          <w:rtl/>
        </w:rPr>
        <w:t xml:space="preserve">דהרי </w:t>
      </w:r>
      <w:r>
        <w:rPr>
          <w:rStyle w:val="af8"/>
          <w:rtl/>
        </w:rPr>
        <w:t>הרשב"א בחולין</w:t>
      </w:r>
      <w:r>
        <w:rPr>
          <w:rFonts w:hint="cs"/>
          <w:rtl/>
        </w:rPr>
        <w:t xml:space="preserve"> </w:t>
      </w:r>
      <w:r w:rsidRPr="009F44AF">
        <w:rPr>
          <w:rStyle w:val="af6"/>
          <w:rFonts w:eastAsia="Guttman Hodes" w:hint="cs"/>
          <w:rtl/>
        </w:rPr>
        <w:t>(צח: ד"ה וקשיא, הובא בסימן ח' אות סט)</w:t>
      </w:r>
      <w:r>
        <w:rPr>
          <w:rFonts w:hint="cs"/>
          <w:rtl/>
        </w:rPr>
        <w:t xml:space="preserve"> כתב בשם </w:t>
      </w:r>
      <w:r>
        <w:rPr>
          <w:rStyle w:val="af8"/>
          <w:rtl/>
        </w:rPr>
        <w:t>הראב"ד</w:t>
      </w:r>
      <w:r>
        <w:rPr>
          <w:rFonts w:hint="cs"/>
          <w:rtl/>
        </w:rPr>
        <w:t xml:space="preserve"> דהא דטעם כעיקר אינו מתבטל ברוב, הוא כיון דההיתר מקבל טעם מהאיסור, וניכר טעם האיסור בתוך ההיתר, טעימתו זוהי הכרתו, כדכתי' "וחיך אוכל יטעם לו", וכל החשיבות של האוכל היא בטעם, וא"כ היאך מהני היתר דקמא קמא בטיל, הרי טעם האיסור ניכר בהיתר, ואיסור שניכר אינו בטל, וכתב </w:t>
      </w:r>
      <w:r>
        <w:rPr>
          <w:rStyle w:val="af8"/>
          <w:rtl/>
        </w:rPr>
        <w:t>הפר"ח</w:t>
      </w:r>
      <w:r>
        <w:rPr>
          <w:rFonts w:hint="cs"/>
          <w:rtl/>
        </w:rPr>
        <w:t xml:space="preserve"> דכן מוכח בירושלמי בערלה </w:t>
      </w:r>
      <w:r w:rsidRPr="009F44AF">
        <w:rPr>
          <w:rStyle w:val="af6"/>
          <w:rFonts w:eastAsia="Guttman Hodes" w:hint="cs"/>
          <w:rtl/>
        </w:rPr>
        <w:t>(פ"ב ה"ג, יג.)</w:t>
      </w:r>
      <w:r>
        <w:rPr>
          <w:rFonts w:hint="cs"/>
          <w:rtl/>
        </w:rPr>
        <w:t xml:space="preserve"> דאף איסור שהתבטל וחזר והוכר אינו בטל, וא"כ אף שהאיסור התבטל מדין קמא קמא בטיל, מ"מ כיון שהוכר ע"י טעמו, הוא חוזר וניעור ככל הוכר האיסור, ועי' במה שתירץ </w:t>
      </w:r>
      <w:r>
        <w:rPr>
          <w:rStyle w:val="af8"/>
          <w:rtl/>
        </w:rPr>
        <w:t>היד יהודה</w:t>
      </w:r>
      <w:r>
        <w:rPr>
          <w:rFonts w:hint="cs"/>
          <w:rtl/>
        </w:rPr>
        <w:t xml:space="preserve"> </w:t>
      </w:r>
      <w:r w:rsidRPr="009F44AF">
        <w:rPr>
          <w:rStyle w:val="af6"/>
          <w:rFonts w:eastAsia="Guttman Hodes" w:hint="cs"/>
          <w:rtl/>
        </w:rPr>
        <w:t>(סי' צ"ט סקכ"ה סוד"ה עוד בא)</w:t>
      </w:r>
      <w:r>
        <w:rPr>
          <w:rFonts w:hint="cs"/>
          <w:rtl/>
        </w:rPr>
        <w:t xml:space="preserve"> את קושית </w:t>
      </w:r>
      <w:r>
        <w:rPr>
          <w:rStyle w:val="af8"/>
          <w:rtl/>
        </w:rPr>
        <w:t>הפר"ח</w:t>
      </w:r>
      <w:r>
        <w:rPr>
          <w:rFonts w:hint="cs"/>
          <w:rtl/>
        </w:rPr>
        <w:t>.</w:t>
      </w:r>
      <w:bookmarkEnd w:id="16572"/>
    </w:p>
    <w:p w:rsidR="009F44AF" w:rsidRDefault="009F44AF" w:rsidP="009F44AF">
      <w:pPr>
        <w:pStyle w:val="a2"/>
        <w:rPr>
          <w:rtl/>
        </w:rPr>
      </w:pPr>
      <w:bookmarkStart w:id="16573" w:name="_Toc26784050"/>
      <w:bookmarkStart w:id="16574" w:name="_Toc26781333"/>
      <w:bookmarkStart w:id="16575" w:name="_Toc26777124"/>
      <w:bookmarkStart w:id="16576" w:name="_Toc26742741"/>
      <w:bookmarkStart w:id="16577" w:name="_Toc26726071"/>
      <w:bookmarkStart w:id="16578" w:name="_Toc26702402"/>
      <w:bookmarkStart w:id="16579" w:name="_Toc26523436"/>
      <w:bookmarkStart w:id="16580" w:name="_Toc26477554"/>
      <w:bookmarkStart w:id="16581" w:name="_Toc26477429"/>
      <w:r>
        <w:rPr>
          <w:rFonts w:hint="cs"/>
          <w:rtl/>
        </w:rPr>
        <w:t>קושית הפר"ח דברוב איסור חשיב שהוכר האיסור וא"כ באינו מינו כשיש טעם ג"כ הוכר האיסור</w:t>
      </w:r>
      <w:bookmarkEnd w:id="16573"/>
      <w:bookmarkEnd w:id="16574"/>
      <w:bookmarkEnd w:id="16575"/>
      <w:bookmarkEnd w:id="16576"/>
      <w:bookmarkEnd w:id="16577"/>
      <w:bookmarkEnd w:id="16578"/>
      <w:bookmarkEnd w:id="16579"/>
      <w:bookmarkEnd w:id="16580"/>
      <w:bookmarkEnd w:id="16581"/>
    </w:p>
    <w:p w:rsidR="009F44AF" w:rsidRDefault="009F44AF" w:rsidP="009F44AF">
      <w:pPr>
        <w:pStyle w:val="a"/>
        <w:numPr>
          <w:ilvl w:val="0"/>
          <w:numId w:val="17"/>
        </w:numPr>
        <w:rPr>
          <w:rtl/>
        </w:rPr>
      </w:pPr>
      <w:r>
        <w:rPr>
          <w:rFonts w:hint="cs"/>
          <w:rtl/>
        </w:rPr>
        <w:t xml:space="preserve">ועוד הקשה </w:t>
      </w:r>
      <w:r>
        <w:rPr>
          <w:rStyle w:val="af8"/>
          <w:rtl/>
        </w:rPr>
        <w:t xml:space="preserve">הפר"ח </w:t>
      </w:r>
      <w:r>
        <w:rPr>
          <w:rFonts w:hint="cs"/>
          <w:rtl/>
        </w:rPr>
        <w:t xml:space="preserve">דהרי אף </w:t>
      </w:r>
      <w:r>
        <w:rPr>
          <w:rStyle w:val="af8"/>
          <w:rtl/>
        </w:rPr>
        <w:t xml:space="preserve">הראב"ד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Ref26131404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סד</w:t>
      </w:r>
      <w:r w:rsidR="004D1C5B">
        <w:rPr>
          <w:rStyle w:val="af6"/>
          <w:rFonts w:eastAsia="Guttman Hodes"/>
          <w:rtl/>
        </w:rPr>
        <w:t>)</w:t>
      </w:r>
      <w:r w:rsidRPr="009F44AF">
        <w:rPr>
          <w:rStyle w:val="af6"/>
          <w:rFonts w:eastAsia="Guttman Hodes" w:hint="cs"/>
          <w:rtl/>
        </w:rPr>
        <w:fldChar w:fldCharType="end"/>
      </w:r>
      <w:r>
        <w:rPr>
          <w:rFonts w:hint="cs"/>
          <w:rtl/>
        </w:rPr>
        <w:t xml:space="preserve"> מודה דכשיש רוב איסור, אמרינן דהאיסור חוזר וניעור, </w:t>
      </w:r>
      <w:r>
        <w:rPr>
          <w:rStyle w:val="afa"/>
          <w:rtl/>
        </w:rPr>
        <w:t xml:space="preserve">[כדביאר </w:t>
      </w:r>
      <w:r>
        <w:rPr>
          <w:rStyle w:val="affa"/>
          <w:rtl/>
        </w:rPr>
        <w:t>הפר"ח</w:t>
      </w:r>
      <w:r>
        <w:rPr>
          <w:rStyle w:val="afa"/>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Ref26131404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סד)</w:t>
      </w:r>
      <w:r>
        <w:rPr>
          <w:rStyle w:val="aff6"/>
          <w:rtl/>
        </w:rPr>
        <w:fldChar w:fldCharType="end"/>
      </w:r>
      <w:r>
        <w:rPr>
          <w:rStyle w:val="afa"/>
          <w:rtl/>
        </w:rPr>
        <w:t>],</w:t>
      </w:r>
      <w:r>
        <w:rPr>
          <w:rFonts w:hint="cs"/>
          <w:rtl/>
        </w:rPr>
        <w:t xml:space="preserve"> וזהו כיון דחשיב שהוכר האיסור, וא"כ כמו דבמין במינו כשיש רוב איסור חשיב שהוכר האיסור, ה"ה במין בשאינו מינו, כשיש טעם איסור, דחשיב שהוכר האיסור, דהאיסור בפחות מרוב היתר, והאיסור כשיש טעם איסור, שניהם איסורים מדאו'.</w:t>
      </w:r>
    </w:p>
    <w:p w:rsidR="009F44AF" w:rsidRDefault="009F44AF" w:rsidP="0098721B">
      <w:pPr>
        <w:pStyle w:val="1"/>
        <w:rPr>
          <w:rtl/>
        </w:rPr>
      </w:pPr>
      <w:bookmarkStart w:id="16582" w:name="_Toc26784051"/>
      <w:bookmarkStart w:id="16583" w:name="_Toc26781334"/>
      <w:bookmarkStart w:id="16584" w:name="_Toc26777125"/>
      <w:bookmarkStart w:id="16585" w:name="_Toc26742742"/>
      <w:bookmarkStart w:id="16586" w:name="_Toc26726072"/>
      <w:bookmarkStart w:id="16587" w:name="_Toc26702403"/>
      <w:bookmarkStart w:id="16588" w:name="_Toc26523437"/>
      <w:bookmarkStart w:id="16589" w:name="_Toc26477555"/>
      <w:bookmarkStart w:id="16590" w:name="_Toc26477430"/>
      <w:r>
        <w:rPr>
          <w:rFonts w:hint="cs"/>
          <w:rtl/>
        </w:rPr>
        <w:t>פלוגתת האחרונים אי חוזר וניעור הוא מדרבנן או מדאו'</w:t>
      </w:r>
      <w:bookmarkEnd w:id="16582"/>
      <w:bookmarkEnd w:id="16583"/>
      <w:bookmarkEnd w:id="16584"/>
      <w:bookmarkEnd w:id="16585"/>
      <w:bookmarkEnd w:id="16586"/>
      <w:bookmarkEnd w:id="16587"/>
      <w:bookmarkEnd w:id="16588"/>
      <w:bookmarkEnd w:id="16589"/>
      <w:bookmarkEnd w:id="16590"/>
    </w:p>
    <w:p w:rsidR="009F44AF" w:rsidRDefault="009F44AF" w:rsidP="009F44AF">
      <w:pPr>
        <w:pStyle w:val="a2"/>
        <w:rPr>
          <w:rtl/>
        </w:rPr>
      </w:pPr>
      <w:bookmarkStart w:id="16591" w:name="_Toc26784052"/>
      <w:bookmarkStart w:id="16592" w:name="_Toc26781335"/>
      <w:bookmarkStart w:id="16593" w:name="_Toc26777126"/>
      <w:bookmarkStart w:id="16594" w:name="_Toc26742743"/>
      <w:bookmarkStart w:id="16595" w:name="_Toc26726073"/>
      <w:bookmarkStart w:id="16596" w:name="_Toc26702404"/>
      <w:bookmarkStart w:id="16597" w:name="_Toc26523438"/>
      <w:bookmarkStart w:id="16598" w:name="_Toc26477556"/>
      <w:bookmarkStart w:id="16599" w:name="_Toc26477431"/>
      <w:r>
        <w:rPr>
          <w:rFonts w:hint="cs"/>
          <w:rtl/>
        </w:rPr>
        <w:t>תירוץ ה</w:t>
      </w:r>
      <w:r w:rsidR="00250230">
        <w:rPr>
          <w:rFonts w:hint="cs"/>
          <w:rtl/>
        </w:rPr>
        <w:t>פלתי</w:t>
      </w:r>
      <w:r>
        <w:rPr>
          <w:rFonts w:hint="cs"/>
          <w:rtl/>
        </w:rPr>
        <w:t xml:space="preserve"> דדין חוזר וניעור הוא דרבנן ורק ברוב של איסור ממש גזרו ולא בנתינת טעם</w:t>
      </w:r>
      <w:bookmarkEnd w:id="16591"/>
      <w:bookmarkEnd w:id="16592"/>
      <w:bookmarkEnd w:id="16593"/>
      <w:bookmarkEnd w:id="16594"/>
      <w:bookmarkEnd w:id="16595"/>
      <w:bookmarkEnd w:id="16596"/>
      <w:bookmarkEnd w:id="16597"/>
      <w:bookmarkEnd w:id="16598"/>
      <w:bookmarkEnd w:id="16599"/>
    </w:p>
    <w:p w:rsidR="009F44AF" w:rsidRDefault="009F44AF" w:rsidP="009F44AF">
      <w:pPr>
        <w:pStyle w:val="a"/>
        <w:numPr>
          <w:ilvl w:val="0"/>
          <w:numId w:val="17"/>
        </w:numPr>
        <w:rPr>
          <w:rtl/>
        </w:rPr>
      </w:pPr>
      <w:r>
        <w:rPr>
          <w:rFonts w:hint="cs"/>
          <w:rtl/>
        </w:rPr>
        <w:t xml:space="preserve">ותירץ </w:t>
      </w:r>
      <w:r>
        <w:rPr>
          <w:rStyle w:val="af8"/>
          <w:rtl/>
        </w:rPr>
        <w:t>ה</w:t>
      </w:r>
      <w:r w:rsidR="00250230">
        <w:rPr>
          <w:rStyle w:val="af8"/>
          <w:rtl/>
        </w:rPr>
        <w:t>פלתי</w:t>
      </w:r>
      <w:r>
        <w:rPr>
          <w:rFonts w:hint="cs"/>
          <w:rtl/>
        </w:rPr>
        <w:t xml:space="preserve"> </w:t>
      </w:r>
      <w:r w:rsidRPr="009F44AF">
        <w:rPr>
          <w:rStyle w:val="af6"/>
          <w:rFonts w:eastAsia="Guttman Hodes" w:hint="cs"/>
          <w:rtl/>
        </w:rPr>
        <w:t xml:space="preserve">(סי' צ"ט סקי"ב ד"ה איברא ודאי) </w:t>
      </w:r>
      <w:r>
        <w:rPr>
          <w:rFonts w:hint="cs"/>
          <w:rtl/>
        </w:rPr>
        <w:t xml:space="preserve">את קושית </w:t>
      </w:r>
      <w:r>
        <w:rPr>
          <w:rStyle w:val="af8"/>
          <w:rtl/>
        </w:rPr>
        <w:t>הפר"ח</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Ref26762813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sidRPr="009F44AF">
        <w:rPr>
          <w:rStyle w:val="af6"/>
          <w:rFonts w:eastAsia="Guttman Hodes" w:hint="cs"/>
          <w:rtl/>
        </w:rPr>
        <w:fldChar w:fldCharType="end"/>
      </w:r>
      <w:r>
        <w:rPr>
          <w:rFonts w:hint="cs"/>
          <w:rtl/>
        </w:rPr>
        <w:t xml:space="preserve">, דאעפ"י דס"ל </w:t>
      </w:r>
      <w:r>
        <w:rPr>
          <w:rStyle w:val="af8"/>
          <w:rtl/>
        </w:rPr>
        <w:t>להראב"ד</w:t>
      </w:r>
      <w:r>
        <w:rPr>
          <w:rFonts w:hint="cs"/>
          <w:rtl/>
        </w:rPr>
        <w:t xml:space="preserve"> דטעם כעיקר דאו', מ"מ אחר שהאיסור התבטל ברוב, רק מדרבנן אמרינן דהאיסור חוזר וניעור, אבל מדאו' האיסור נהפך להיתר, ואינו חוזר וניעור, וכיון דכל דין חוזר וניעור הוא רק מדרבנן, א"כ א"א להקשות אמאי גזרו רבנן רק במין במינו דכשיש רוב איסור אמרינן חוזר וניעור, ולא גזרו במין בשאינו מינו, דאחר שיש נתינת טעם נאמר חוזר וניעור, דדוקא במקום שיש רוב של איסור ממש גזרו רבנן, ולא במקום שיש רק טעם איסור, ועיי"ש במה שהוכיח </w:t>
      </w:r>
      <w:r>
        <w:rPr>
          <w:rStyle w:val="af8"/>
          <w:rtl/>
        </w:rPr>
        <w:t>ה</w:t>
      </w:r>
      <w:r w:rsidR="00250230">
        <w:rPr>
          <w:rStyle w:val="af8"/>
          <w:rtl/>
        </w:rPr>
        <w:t>פלתי</w:t>
      </w:r>
      <w:r>
        <w:rPr>
          <w:rStyle w:val="af8"/>
          <w:rtl/>
        </w:rPr>
        <w:t xml:space="preserve"> </w:t>
      </w:r>
      <w:r>
        <w:rPr>
          <w:rFonts w:hint="cs"/>
          <w:rtl/>
        </w:rPr>
        <w:t xml:space="preserve">מהמשנה בתרומות </w:t>
      </w:r>
      <w:r w:rsidRPr="009F44AF">
        <w:rPr>
          <w:rStyle w:val="af6"/>
          <w:rFonts w:eastAsia="Guttman Hodes" w:hint="cs"/>
          <w:rtl/>
        </w:rPr>
        <w:t xml:space="preserve">(פ"ה מ"ז) </w:t>
      </w:r>
      <w:r>
        <w:rPr>
          <w:rFonts w:hint="cs"/>
          <w:rtl/>
        </w:rPr>
        <w:t xml:space="preserve">ומהגמ' בבכורות </w:t>
      </w:r>
      <w:r w:rsidRPr="009F44AF">
        <w:rPr>
          <w:rStyle w:val="af6"/>
          <w:rFonts w:eastAsia="Guttman Hodes" w:hint="cs"/>
          <w:rtl/>
        </w:rPr>
        <w:t>(כ"ג.)</w:t>
      </w:r>
      <w:r>
        <w:rPr>
          <w:rFonts w:hint="cs"/>
          <w:rtl/>
        </w:rPr>
        <w:t xml:space="preserve">, דהא דאמרינן חוזר וניעור הוא רק מדרבנן. [ועי' במ"ש </w:t>
      </w:r>
      <w:r>
        <w:rPr>
          <w:rStyle w:val="af8"/>
          <w:rtl/>
        </w:rPr>
        <w:t xml:space="preserve">הפרי תואר </w:t>
      </w:r>
      <w:r w:rsidRPr="009F44AF">
        <w:rPr>
          <w:rStyle w:val="af6"/>
          <w:rFonts w:eastAsia="Guttman Hodes" w:hint="cs"/>
          <w:rtl/>
        </w:rPr>
        <w:t>(סי' צ"ט סקי"ב ד"ה וגם רבינו שמשון)</w:t>
      </w:r>
      <w:r>
        <w:rPr>
          <w:rFonts w:hint="cs"/>
          <w:rtl/>
        </w:rPr>
        <w:t xml:space="preserve">, ובדברי </w:t>
      </w:r>
      <w:r>
        <w:rPr>
          <w:rStyle w:val="af8"/>
          <w:rtl/>
        </w:rPr>
        <w:t xml:space="preserve">היד יהודה </w:t>
      </w:r>
      <w:r w:rsidRPr="009F44AF">
        <w:rPr>
          <w:rStyle w:val="af6"/>
          <w:rFonts w:eastAsia="Guttman Hodes" w:hint="cs"/>
          <w:rtl/>
        </w:rPr>
        <w:t>(סי' צ"ט סקכ"ה ד"ה עוד בא)</w:t>
      </w:r>
      <w:r>
        <w:rPr>
          <w:rFonts w:hint="cs"/>
          <w:rtl/>
        </w:rPr>
        <w:t xml:space="preserve">, ובמה שדחה </w:t>
      </w:r>
      <w:r>
        <w:rPr>
          <w:rStyle w:val="af8"/>
          <w:rtl/>
        </w:rPr>
        <w:t xml:space="preserve">השער"י </w:t>
      </w:r>
      <w:r w:rsidRPr="009F44AF">
        <w:rPr>
          <w:rStyle w:val="af6"/>
          <w:rFonts w:eastAsia="Guttman Hodes" w:hint="cs"/>
          <w:rtl/>
        </w:rPr>
        <w:t>(ש"ג פי"א ד"ה שוב ראיתי)</w:t>
      </w:r>
      <w:r>
        <w:rPr>
          <w:rFonts w:hint="cs"/>
          <w:rtl/>
        </w:rPr>
        <w:t xml:space="preserve"> את דברי </w:t>
      </w:r>
      <w:r>
        <w:rPr>
          <w:rStyle w:val="af8"/>
          <w:rtl/>
        </w:rPr>
        <w:t>ה</w:t>
      </w:r>
      <w:r w:rsidR="00250230">
        <w:rPr>
          <w:rStyle w:val="af8"/>
          <w:rtl/>
        </w:rPr>
        <w:t>פלתי</w:t>
      </w:r>
      <w:r>
        <w:rPr>
          <w:rFonts w:hint="cs"/>
          <w:rtl/>
        </w:rPr>
        <w:t>].</w:t>
      </w:r>
    </w:p>
    <w:p w:rsidR="009F44AF" w:rsidRDefault="009F44AF" w:rsidP="009F44AF">
      <w:pPr>
        <w:pStyle w:val="a2"/>
        <w:rPr>
          <w:rtl/>
        </w:rPr>
      </w:pPr>
      <w:bookmarkStart w:id="16600" w:name="_Toc26784053"/>
      <w:bookmarkStart w:id="16601" w:name="_Toc26781336"/>
      <w:bookmarkStart w:id="16602" w:name="_Toc26777127"/>
      <w:bookmarkStart w:id="16603" w:name="_Toc26742744"/>
      <w:bookmarkStart w:id="16604" w:name="_Toc26726074"/>
      <w:bookmarkStart w:id="16605" w:name="_Toc26702405"/>
      <w:bookmarkStart w:id="16606" w:name="_Toc26523439"/>
      <w:bookmarkStart w:id="16607" w:name="_Toc26477557"/>
      <w:bookmarkStart w:id="16608" w:name="_Toc26477432"/>
      <w:r>
        <w:rPr>
          <w:rFonts w:hint="cs"/>
          <w:rtl/>
        </w:rPr>
        <w:t>דברי היד יהודה דנחלקו הראשונים אי חוזר וניעור הוא דאו' או דרבנן</w:t>
      </w:r>
      <w:bookmarkEnd w:id="16600"/>
      <w:bookmarkEnd w:id="16601"/>
      <w:bookmarkEnd w:id="16602"/>
      <w:bookmarkEnd w:id="16603"/>
      <w:bookmarkEnd w:id="16604"/>
      <w:bookmarkEnd w:id="16605"/>
      <w:bookmarkEnd w:id="16606"/>
      <w:bookmarkEnd w:id="16607"/>
      <w:bookmarkEnd w:id="16608"/>
    </w:p>
    <w:p w:rsidR="009F44AF" w:rsidRDefault="009F44AF" w:rsidP="009F44AF">
      <w:pPr>
        <w:pStyle w:val="a"/>
        <w:numPr>
          <w:ilvl w:val="0"/>
          <w:numId w:val="17"/>
        </w:numPr>
        <w:rPr>
          <w:rtl/>
        </w:rPr>
      </w:pPr>
      <w:r>
        <w:rPr>
          <w:rFonts w:hint="cs"/>
          <w:rtl/>
        </w:rPr>
        <w:t xml:space="preserve">אמנם יעוי' בדברי </w:t>
      </w:r>
      <w:r>
        <w:rPr>
          <w:rStyle w:val="af8"/>
          <w:rtl/>
        </w:rPr>
        <w:t>היד יהודה</w:t>
      </w:r>
      <w:r>
        <w:rPr>
          <w:rFonts w:hint="cs"/>
          <w:rtl/>
        </w:rPr>
        <w:t xml:space="preserve"> </w:t>
      </w:r>
      <w:r w:rsidRPr="009F44AF">
        <w:rPr>
          <w:rStyle w:val="af6"/>
          <w:rFonts w:eastAsia="Guttman Hodes" w:hint="cs"/>
          <w:rtl/>
        </w:rPr>
        <w:t>(סי' צ"ט סקכ"ה ד"ה מעתה נבאר)</w:t>
      </w:r>
      <w:r>
        <w:rPr>
          <w:rFonts w:hint="cs"/>
          <w:rtl/>
        </w:rPr>
        <w:t xml:space="preserve"> דהאריך לבאר דנחלקו </w:t>
      </w:r>
      <w:r>
        <w:rPr>
          <w:rStyle w:val="af8"/>
          <w:rtl/>
        </w:rPr>
        <w:t>הראשונים</w:t>
      </w:r>
      <w:r>
        <w:rPr>
          <w:rFonts w:hint="cs"/>
          <w:rtl/>
        </w:rPr>
        <w:t xml:space="preserve"> אי דין חוזר וניעור הוא מדאו' או מדרבנן.</w:t>
      </w:r>
    </w:p>
    <w:p w:rsidR="009F44AF" w:rsidRDefault="009F44AF" w:rsidP="0098721B">
      <w:pPr>
        <w:pStyle w:val="1"/>
        <w:rPr>
          <w:rtl/>
        </w:rPr>
      </w:pPr>
      <w:bookmarkStart w:id="16609" w:name="_Toc26781337"/>
      <w:bookmarkStart w:id="16610" w:name="_Toc26777128"/>
      <w:bookmarkStart w:id="16611" w:name="_Toc26742745"/>
      <w:bookmarkStart w:id="16612" w:name="_Toc26726075"/>
      <w:bookmarkStart w:id="16613" w:name="_Toc26702406"/>
      <w:bookmarkStart w:id="16614" w:name="_Toc26523440"/>
      <w:bookmarkStart w:id="16615" w:name="_Toc26477558"/>
      <w:bookmarkStart w:id="16616" w:name="_Toc26477433"/>
      <w:bookmarkStart w:id="16617" w:name="_Toc26784054"/>
      <w:r>
        <w:rPr>
          <w:rFonts w:hint="cs"/>
          <w:rtl/>
        </w:rPr>
        <w:t>דברי הפרי תואר</w:t>
      </w:r>
      <w:bookmarkEnd w:id="16609"/>
      <w:bookmarkEnd w:id="16610"/>
      <w:bookmarkEnd w:id="16611"/>
      <w:bookmarkEnd w:id="16612"/>
      <w:bookmarkEnd w:id="16613"/>
      <w:bookmarkEnd w:id="16614"/>
      <w:bookmarkEnd w:id="16615"/>
      <w:bookmarkEnd w:id="16616"/>
      <w:r>
        <w:rPr>
          <w:rFonts w:hint="cs"/>
          <w:rtl/>
        </w:rPr>
        <w:t xml:space="preserve"> דלח שבטל אינו טעם משובח ומותר מדאו'</w:t>
      </w:r>
      <w:bookmarkEnd w:id="16617"/>
    </w:p>
    <w:p w:rsidR="009F44AF" w:rsidRDefault="009F44AF" w:rsidP="009F44AF">
      <w:pPr>
        <w:pStyle w:val="a2"/>
        <w:rPr>
          <w:rtl/>
        </w:rPr>
      </w:pPr>
      <w:bookmarkStart w:id="16618" w:name="_Toc26784055"/>
      <w:bookmarkStart w:id="16619" w:name="_Toc26781338"/>
      <w:bookmarkStart w:id="16620" w:name="_Toc26777129"/>
      <w:bookmarkStart w:id="16621" w:name="_Toc26742746"/>
      <w:bookmarkStart w:id="16622" w:name="_Toc26726076"/>
      <w:bookmarkStart w:id="16623" w:name="_Toc26702407"/>
      <w:bookmarkStart w:id="16624" w:name="_Toc26523441"/>
      <w:bookmarkStart w:id="16625" w:name="_Toc26477559"/>
      <w:bookmarkStart w:id="16626" w:name="_Toc26477434"/>
      <w:r>
        <w:rPr>
          <w:rFonts w:hint="cs"/>
          <w:rtl/>
        </w:rPr>
        <w:t>תירוץ הפרי תואר דבלח האיסור בטל במציאות ולא שייך לומר דהוכר האיסור וחוזר וניעור</w:t>
      </w:r>
      <w:bookmarkEnd w:id="16618"/>
      <w:bookmarkEnd w:id="16619"/>
      <w:bookmarkEnd w:id="16620"/>
      <w:bookmarkEnd w:id="16621"/>
      <w:bookmarkEnd w:id="16622"/>
      <w:bookmarkEnd w:id="16623"/>
      <w:bookmarkEnd w:id="16624"/>
      <w:bookmarkEnd w:id="16625"/>
      <w:bookmarkEnd w:id="16626"/>
    </w:p>
    <w:p w:rsidR="009F44AF" w:rsidRDefault="009F44AF" w:rsidP="009F44AF">
      <w:pPr>
        <w:pStyle w:val="a"/>
        <w:numPr>
          <w:ilvl w:val="0"/>
          <w:numId w:val="17"/>
        </w:numPr>
      </w:pPr>
      <w:r>
        <w:rPr>
          <w:rStyle w:val="af8"/>
          <w:rtl/>
        </w:rPr>
        <w:t>והפרי תואר [לבעל האוה"ח]</w:t>
      </w:r>
      <w:r>
        <w:rPr>
          <w:rFonts w:hint="cs"/>
          <w:rtl/>
        </w:rPr>
        <w:t xml:space="preserve"> </w:t>
      </w:r>
      <w:r w:rsidRPr="009F44AF">
        <w:rPr>
          <w:rStyle w:val="af6"/>
          <w:rFonts w:eastAsia="Guttman Hodes" w:hint="cs"/>
          <w:rtl/>
        </w:rPr>
        <w:t>(סי' צ"ט סקי"ב ד"ה ואומר אני)</w:t>
      </w:r>
      <w:r>
        <w:rPr>
          <w:rFonts w:hint="cs"/>
          <w:rtl/>
        </w:rPr>
        <w:t xml:space="preserve"> תירץ את קושית </w:t>
      </w:r>
      <w:r>
        <w:rPr>
          <w:rStyle w:val="af8"/>
          <w:rtl/>
        </w:rPr>
        <w:t>הפר"ח</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Ref26762813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סז</w:t>
      </w:r>
      <w:r w:rsidR="004D1C5B">
        <w:rPr>
          <w:rStyle w:val="af6"/>
          <w:rFonts w:eastAsia="Guttman Hodes"/>
          <w:rtl/>
        </w:rPr>
        <w:t>)</w:t>
      </w:r>
      <w:r w:rsidRPr="009F44AF">
        <w:rPr>
          <w:rStyle w:val="af6"/>
          <w:rFonts w:eastAsia="Guttman Hodes" w:hint="cs"/>
          <w:rtl/>
        </w:rPr>
        <w:fldChar w:fldCharType="end"/>
      </w:r>
      <w:r>
        <w:rPr>
          <w:rFonts w:hint="cs"/>
          <w:rtl/>
        </w:rPr>
        <w:t xml:space="preserve"> וכתב דדברי </w:t>
      </w:r>
      <w:r>
        <w:rPr>
          <w:rStyle w:val="af8"/>
          <w:rtl/>
        </w:rPr>
        <w:t>הראב"ד</w:t>
      </w:r>
      <w:r>
        <w:rPr>
          <w:rFonts w:hint="cs"/>
          <w:rtl/>
        </w:rPr>
        <w:t xml:space="preserve"> מבוארים בדברי רב דימי, וס"ל לרב דימי שיש חילוק בין ביטול לח בלח לביטול ביבש, דבלח במציאות המיעוט מתבטל לגמרי ברוב, ואף כשנוסף אח"כ איסור, א"א לומר דהוכר האיסור והאיסור הראשון חוזר וניעור, כיון שהוא בטל לגמרי ומת ואבד מהעולם, וכתב </w:t>
      </w:r>
      <w:r>
        <w:rPr>
          <w:rStyle w:val="af8"/>
          <w:rtl/>
        </w:rPr>
        <w:t>הפרי תואר</w:t>
      </w:r>
      <w:r>
        <w:rPr>
          <w:rFonts w:hint="cs"/>
          <w:rtl/>
        </w:rPr>
        <w:t xml:space="preserve"> דכך נראה בחוש, שאם מערבים לוג יין בשישים לוגין מים, דאף אם נוסיף אח"כ עוד לוג יין, לא יהיה כל טעם וריח מהלוג הראשון, אך אם מערבים בבת אחת ב' לוגין יין, הם נותנים טעם בשישים לוגין מים.</w:t>
      </w:r>
    </w:p>
    <w:p w:rsidR="009F44AF" w:rsidRDefault="009F44AF" w:rsidP="009F44AF">
      <w:pPr>
        <w:pStyle w:val="a2"/>
        <w:rPr>
          <w:rtl/>
        </w:rPr>
      </w:pPr>
      <w:bookmarkStart w:id="16627" w:name="_Toc26784056"/>
      <w:bookmarkStart w:id="16628" w:name="_Toc26781339"/>
      <w:bookmarkStart w:id="16629" w:name="_Toc26777130"/>
      <w:bookmarkStart w:id="16630" w:name="_Toc26742747"/>
      <w:bookmarkStart w:id="16631" w:name="_Toc26726077"/>
      <w:bookmarkStart w:id="16632" w:name="_Toc26702408"/>
      <w:bookmarkStart w:id="16633" w:name="_Toc26523442"/>
      <w:bookmarkStart w:id="16634" w:name="_Toc26477560"/>
      <w:bookmarkStart w:id="16635" w:name="_Toc26477435"/>
      <w:r>
        <w:rPr>
          <w:rFonts w:hint="cs"/>
          <w:rtl/>
        </w:rPr>
        <w:t>קושית הפרי תואר דהביטול במציאות הוא רק כשאין רוב יין אך לרב דימי מותר אף כל היום</w:t>
      </w:r>
      <w:bookmarkEnd w:id="16627"/>
      <w:bookmarkEnd w:id="16628"/>
      <w:bookmarkEnd w:id="16629"/>
      <w:bookmarkEnd w:id="16630"/>
      <w:bookmarkEnd w:id="16631"/>
      <w:bookmarkEnd w:id="16632"/>
      <w:bookmarkEnd w:id="16633"/>
      <w:bookmarkEnd w:id="16634"/>
      <w:bookmarkEnd w:id="16635"/>
    </w:p>
    <w:p w:rsidR="009F44AF" w:rsidRDefault="009F44AF" w:rsidP="009F44AF">
      <w:pPr>
        <w:pStyle w:val="a"/>
        <w:numPr>
          <w:ilvl w:val="0"/>
          <w:numId w:val="17"/>
        </w:numPr>
        <w:rPr>
          <w:rtl/>
        </w:rPr>
      </w:pPr>
      <w:r>
        <w:rPr>
          <w:rFonts w:hint="cs"/>
          <w:rtl/>
        </w:rPr>
        <w:t xml:space="preserve">אך כתב </w:t>
      </w:r>
      <w:r>
        <w:rPr>
          <w:rStyle w:val="af8"/>
          <w:rtl/>
        </w:rPr>
        <w:t>הפרי תואר</w:t>
      </w:r>
      <w:r>
        <w:rPr>
          <w:rFonts w:hint="cs"/>
          <w:rtl/>
        </w:rPr>
        <w:t xml:space="preserve"> דכל מה ששייך לומר דבלח יש ביטול גמור במציאות, הוא רק כשעדיין יש רוב מים, אבל במקום שיש מחצה או רוב יין, המציאות היא שהיין נותן טעם במים, ואילו בדברי רב דימי מבואר דאמרינן דקמא קמא בטיל, אף כשנופל יין כל היום כולו.</w:t>
      </w:r>
    </w:p>
    <w:p w:rsidR="009F44AF" w:rsidRDefault="009F44AF" w:rsidP="009F44AF">
      <w:pPr>
        <w:pStyle w:val="a2"/>
        <w:rPr>
          <w:rtl/>
        </w:rPr>
      </w:pPr>
      <w:bookmarkStart w:id="16636" w:name="_Toc26784057"/>
      <w:bookmarkStart w:id="16637" w:name="_Toc26781340"/>
      <w:bookmarkStart w:id="16638" w:name="_Toc26777131"/>
      <w:bookmarkStart w:id="16639" w:name="_Toc26742748"/>
      <w:bookmarkStart w:id="16640" w:name="_Toc26726078"/>
      <w:bookmarkStart w:id="16641" w:name="_Toc26702409"/>
      <w:bookmarkStart w:id="16642" w:name="_Toc26523443"/>
      <w:bookmarkStart w:id="16643" w:name="_Toc26477561"/>
      <w:bookmarkStart w:id="16644" w:name="_Toc26477436"/>
      <w:r>
        <w:rPr>
          <w:rFonts w:hint="cs"/>
          <w:rtl/>
        </w:rPr>
        <w:t>ביאור הפרי תואר דאיסור טעם הוא רק בטעם גמור ולא בטעם שהתבטל וחזר שאינו טעם גמור</w:t>
      </w:r>
      <w:bookmarkEnd w:id="16636"/>
      <w:bookmarkEnd w:id="16637"/>
      <w:bookmarkEnd w:id="16638"/>
      <w:bookmarkEnd w:id="16639"/>
      <w:bookmarkEnd w:id="16640"/>
      <w:bookmarkEnd w:id="16641"/>
      <w:bookmarkEnd w:id="16642"/>
      <w:bookmarkEnd w:id="16643"/>
      <w:bookmarkEnd w:id="16644"/>
    </w:p>
    <w:p w:rsidR="009F44AF" w:rsidRDefault="009F44AF" w:rsidP="009F44AF">
      <w:pPr>
        <w:pStyle w:val="a"/>
        <w:numPr>
          <w:ilvl w:val="0"/>
          <w:numId w:val="17"/>
        </w:numPr>
        <w:rPr>
          <w:rtl/>
        </w:rPr>
      </w:pPr>
      <w:bookmarkStart w:id="16645" w:name="_Ref26734748"/>
      <w:r>
        <w:rPr>
          <w:rFonts w:hint="cs"/>
          <w:rtl/>
        </w:rPr>
        <w:t xml:space="preserve">אלא ביאר </w:t>
      </w:r>
      <w:r>
        <w:rPr>
          <w:rStyle w:val="af8"/>
          <w:rtl/>
        </w:rPr>
        <w:t>הפרי תואר</w:t>
      </w:r>
      <w:r>
        <w:rPr>
          <w:rFonts w:hint="cs"/>
          <w:rtl/>
        </w:rPr>
        <w:t xml:space="preserve"> </w:t>
      </w:r>
      <w:r w:rsidRPr="009F44AF">
        <w:rPr>
          <w:rStyle w:val="af6"/>
          <w:rFonts w:eastAsia="Guttman Hodes" w:hint="cs"/>
          <w:rtl/>
        </w:rPr>
        <w:t>(סי' צ"ט סקי"ב ד"ה אלא ונראה דסובר רב דימי)</w:t>
      </w:r>
      <w:r>
        <w:rPr>
          <w:rFonts w:hint="cs"/>
          <w:rtl/>
        </w:rPr>
        <w:t xml:space="preserve"> דס"ל לרב דימי דכ"מ דאסרה תורה טעם כעיקר, הוא דוקא בטעם גמור ומשובח, כשאיסור נפל לתוך היתר ונתן בו טעם מתחילה, אבל בלח בלח שטעם האיסור התבטל במציאות בטעם ההיתר, והוא נעשה כמים, לכן אף שאחר שאין רוב מים, ניכר טעם היין, מ"מ אי"ז טעם גמור, ולא נאמר בו דין טעם כעיקר.</w:t>
      </w:r>
      <w:bookmarkEnd w:id="16645"/>
    </w:p>
    <w:p w:rsidR="009F44AF" w:rsidRDefault="009F44AF" w:rsidP="009F44AF">
      <w:pPr>
        <w:pStyle w:val="a2"/>
      </w:pPr>
      <w:bookmarkStart w:id="16646" w:name="_Toc26784058"/>
      <w:bookmarkStart w:id="16647" w:name="_Toc26781341"/>
      <w:bookmarkStart w:id="16648" w:name="_Toc26777132"/>
      <w:bookmarkStart w:id="16649" w:name="_Toc26742749"/>
      <w:bookmarkStart w:id="16650" w:name="_Toc26726079"/>
      <w:bookmarkStart w:id="16651" w:name="_Toc26702410"/>
      <w:bookmarkStart w:id="16652" w:name="_Toc26523444"/>
      <w:bookmarkStart w:id="16653" w:name="_Toc26477562"/>
      <w:bookmarkStart w:id="16654" w:name="_Toc26477437"/>
      <w:r>
        <w:rPr>
          <w:rFonts w:hint="cs"/>
          <w:rtl/>
        </w:rPr>
        <w:t>דברי הפרי תואר דבאיסור דאו' ביבש שאינו בטל במציאות אמרינן דחוזר וניעור</w:t>
      </w:r>
      <w:bookmarkEnd w:id="16646"/>
      <w:bookmarkEnd w:id="16647"/>
      <w:bookmarkEnd w:id="16648"/>
      <w:bookmarkEnd w:id="16649"/>
      <w:bookmarkEnd w:id="16650"/>
      <w:bookmarkEnd w:id="16651"/>
      <w:bookmarkEnd w:id="16652"/>
      <w:bookmarkEnd w:id="16653"/>
      <w:bookmarkEnd w:id="16654"/>
    </w:p>
    <w:p w:rsidR="009F44AF" w:rsidRDefault="009F44AF" w:rsidP="009F44AF">
      <w:pPr>
        <w:pStyle w:val="a"/>
        <w:numPr>
          <w:ilvl w:val="0"/>
          <w:numId w:val="17"/>
        </w:numPr>
      </w:pPr>
      <w:r>
        <w:rPr>
          <w:rFonts w:hint="cs"/>
          <w:rtl/>
        </w:rPr>
        <w:t xml:space="preserve">והוסיף </w:t>
      </w:r>
      <w:r>
        <w:rPr>
          <w:rStyle w:val="af8"/>
          <w:rtl/>
        </w:rPr>
        <w:t>הפרי תואר</w:t>
      </w:r>
      <w:r>
        <w:rPr>
          <w:rFonts w:hint="cs"/>
          <w:rtl/>
        </w:rPr>
        <w:t xml:space="preserve"> </w:t>
      </w:r>
      <w:r w:rsidRPr="009F44AF">
        <w:rPr>
          <w:rStyle w:val="af6"/>
          <w:rFonts w:eastAsia="Guttman Hodes" w:hint="cs"/>
          <w:rtl/>
        </w:rPr>
        <w:t>(סי' צ"ט סקי"ב ד"ה דלדעתיה דהראב"ד)</w:t>
      </w:r>
      <w:r>
        <w:rPr>
          <w:rFonts w:hint="cs"/>
          <w:rtl/>
        </w:rPr>
        <w:t xml:space="preserve"> דבאיסור דרבנן בלח בלח שהטעם בטל במציאות, אמרינן דקמא קמא בטיל, כיון שאינו טעם גמור, אבל ביבש שאינו בטל במציאות כמו לח, כל שהוא אסור מדאו' לא אמרינן דקמא קמא בטיל, ולכן תנן במתני' דברוב איסור האיסור חוזר וניעור, אבל במחצה על מחצה דאין איסור דאו', לא אמרינן דחוזר וניעור, עיי"ש במה שהאריך </w:t>
      </w:r>
      <w:r>
        <w:rPr>
          <w:rStyle w:val="af8"/>
          <w:rtl/>
        </w:rPr>
        <w:t>הפרי תואר</w:t>
      </w:r>
      <w:r>
        <w:rPr>
          <w:rFonts w:hint="cs"/>
          <w:rtl/>
        </w:rPr>
        <w:t xml:space="preserve"> בזה.</w:t>
      </w:r>
    </w:p>
    <w:p w:rsidR="009F44AF" w:rsidRDefault="009F44AF" w:rsidP="009F44AF">
      <w:pPr>
        <w:pStyle w:val="afd"/>
      </w:pPr>
      <w:bookmarkStart w:id="16655" w:name="_Toc26781342"/>
      <w:bookmarkStart w:id="16656" w:name="_Toc26777133"/>
      <w:bookmarkStart w:id="16657" w:name="_Toc26742750"/>
      <w:bookmarkStart w:id="16658" w:name="_Toc26726080"/>
      <w:bookmarkStart w:id="16659" w:name="_Toc26702411"/>
      <w:bookmarkStart w:id="16660" w:name="_Toc26523445"/>
      <w:bookmarkStart w:id="16661" w:name="_Toc26477563"/>
      <w:bookmarkStart w:id="16662" w:name="_Toc26477438"/>
      <w:bookmarkStart w:id="16663" w:name="_Toc26442715"/>
      <w:bookmarkStart w:id="16664" w:name="_Toc26218285"/>
      <w:bookmarkStart w:id="16665" w:name="_Toc26784059"/>
      <w:r>
        <w:rPr>
          <w:rFonts w:hint="cs"/>
          <w:rtl/>
        </w:rPr>
        <w:t>דעת הרמב"ן</w:t>
      </w:r>
      <w:bookmarkEnd w:id="16655"/>
      <w:bookmarkEnd w:id="16656"/>
      <w:bookmarkEnd w:id="16657"/>
      <w:bookmarkEnd w:id="16658"/>
      <w:bookmarkEnd w:id="16659"/>
      <w:bookmarkEnd w:id="16660"/>
      <w:bookmarkEnd w:id="16661"/>
      <w:bookmarkEnd w:id="16662"/>
      <w:bookmarkEnd w:id="16663"/>
      <w:bookmarkEnd w:id="16664"/>
      <w:r>
        <w:rPr>
          <w:rFonts w:hint="cs"/>
          <w:rtl/>
        </w:rPr>
        <w:t xml:space="preserve"> בדין קמא קמא בטיל</w:t>
      </w:r>
      <w:bookmarkEnd w:id="16665"/>
    </w:p>
    <w:p w:rsidR="009F44AF" w:rsidRDefault="009F44AF" w:rsidP="0098721B">
      <w:pPr>
        <w:pStyle w:val="1"/>
        <w:rPr>
          <w:rtl/>
        </w:rPr>
      </w:pPr>
      <w:bookmarkStart w:id="16666" w:name="_Toc26784060"/>
      <w:bookmarkStart w:id="16667" w:name="_Toc26781343"/>
      <w:bookmarkStart w:id="16668" w:name="_Toc26777134"/>
      <w:bookmarkStart w:id="16669" w:name="_Toc26742751"/>
      <w:bookmarkStart w:id="16670" w:name="_Toc26726081"/>
      <w:bookmarkStart w:id="16671" w:name="_Toc26702412"/>
      <w:bookmarkStart w:id="16672" w:name="_Toc26523446"/>
      <w:bookmarkStart w:id="16673" w:name="_Toc26477564"/>
      <w:bookmarkStart w:id="16674" w:name="_Toc26477439"/>
      <w:r>
        <w:rPr>
          <w:rFonts w:hint="cs"/>
          <w:rtl/>
        </w:rPr>
        <w:t>דברי הרמב"ן דאיירי בקילוח שאינו פוסק בין החבית לבור</w:t>
      </w:r>
      <w:bookmarkEnd w:id="16666"/>
      <w:bookmarkEnd w:id="16667"/>
      <w:bookmarkEnd w:id="16668"/>
      <w:bookmarkEnd w:id="16669"/>
      <w:bookmarkEnd w:id="16670"/>
      <w:bookmarkEnd w:id="16671"/>
      <w:bookmarkEnd w:id="16672"/>
      <w:bookmarkEnd w:id="16673"/>
      <w:bookmarkEnd w:id="16674"/>
    </w:p>
    <w:p w:rsidR="009F44AF" w:rsidRDefault="009F44AF" w:rsidP="009F44AF">
      <w:pPr>
        <w:pStyle w:val="a2"/>
        <w:rPr>
          <w:rtl/>
        </w:rPr>
      </w:pPr>
      <w:bookmarkStart w:id="16675" w:name="_Toc26784061"/>
      <w:bookmarkStart w:id="16676" w:name="_Toc26781344"/>
      <w:bookmarkStart w:id="16677" w:name="_Toc26777135"/>
      <w:bookmarkStart w:id="16678" w:name="_Toc26742752"/>
      <w:bookmarkStart w:id="16679" w:name="_Toc26726082"/>
      <w:bookmarkStart w:id="16680" w:name="_Toc26702413"/>
      <w:bookmarkStart w:id="16681" w:name="_Toc26523447"/>
      <w:bookmarkStart w:id="16682" w:name="_Toc26477565"/>
      <w:bookmarkStart w:id="16683" w:name="_Toc26477440"/>
      <w:r>
        <w:rPr>
          <w:rFonts w:hint="cs"/>
          <w:rtl/>
        </w:rPr>
        <w:t>דברי הרמב"ן דרב דימי איירי בקילוח שאינו פוסק ולא חשיב שהיין בחבית מעורב ביין שבבור</w:t>
      </w:r>
      <w:bookmarkEnd w:id="16675"/>
      <w:bookmarkEnd w:id="16676"/>
      <w:bookmarkEnd w:id="16677"/>
      <w:bookmarkEnd w:id="16678"/>
      <w:bookmarkEnd w:id="16679"/>
      <w:bookmarkEnd w:id="16680"/>
      <w:bookmarkEnd w:id="16681"/>
      <w:bookmarkEnd w:id="16682"/>
      <w:bookmarkEnd w:id="16683"/>
    </w:p>
    <w:p w:rsidR="009F44AF" w:rsidRDefault="009F44AF" w:rsidP="009F44AF">
      <w:pPr>
        <w:pStyle w:val="a"/>
        <w:numPr>
          <w:ilvl w:val="0"/>
          <w:numId w:val="17"/>
        </w:numPr>
        <w:rPr>
          <w:rtl/>
        </w:rPr>
      </w:pPr>
      <w:r>
        <w:rPr>
          <w:rFonts w:hint="cs"/>
          <w:rtl/>
        </w:rPr>
        <w:t xml:space="preserve">כתב </w:t>
      </w:r>
      <w:r>
        <w:rPr>
          <w:rStyle w:val="af8"/>
          <w:rtl/>
        </w:rPr>
        <w:t xml:space="preserve">הרמב"ן </w:t>
      </w:r>
      <w:r w:rsidRPr="009F44AF">
        <w:rPr>
          <w:rStyle w:val="af6"/>
          <w:rFonts w:eastAsia="Guttman Hodes" w:hint="cs"/>
          <w:rtl/>
        </w:rPr>
        <w:t xml:space="preserve">(עג. ד"ה והמערה) </w:t>
      </w:r>
      <w:r>
        <w:rPr>
          <w:rFonts w:hint="cs"/>
          <w:rtl/>
        </w:rPr>
        <w:t xml:space="preserve">דהא דאמר רב דימי דקמא קמא בטיל, הוא אף באופן שלא מקטף, ויש נצוק של יין בין החבית לבין הבור, </w:t>
      </w:r>
      <w:r>
        <w:rPr>
          <w:rStyle w:val="afa"/>
          <w:rtl/>
        </w:rPr>
        <w:t xml:space="preserve">[ודלא </w:t>
      </w:r>
      <w:r>
        <w:rPr>
          <w:rStyle w:val="affa"/>
          <w:rtl/>
        </w:rPr>
        <w:t>כהראב"ד</w:t>
      </w:r>
      <w:r>
        <w:rPr>
          <w:rStyle w:val="afa"/>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Ref26477454 \r \h</w:instrText>
      </w:r>
      <w:r>
        <w:rPr>
          <w:rStyle w:val="aff6"/>
          <w:rtl/>
        </w:rPr>
        <w:instrText xml:space="preserve"> </w:instrText>
      </w:r>
      <w:r>
        <w:rPr>
          <w:rStyle w:val="aff6"/>
          <w:rtl/>
        </w:rPr>
      </w:r>
      <w:r>
        <w:rPr>
          <w:rStyle w:val="aff6"/>
          <w:rtl/>
        </w:rPr>
        <w:fldChar w:fldCharType="separate"/>
      </w:r>
      <w:r w:rsidR="004D1C5B">
        <w:rPr>
          <w:rStyle w:val="aff6"/>
          <w:cs/>
        </w:rPr>
        <w:t>‎</w:t>
      </w:r>
      <w:r w:rsidR="004D1C5B">
        <w:rPr>
          <w:rStyle w:val="aff6"/>
          <w:rtl/>
        </w:rPr>
        <w:t>לה)</w:t>
      </w:r>
      <w:r>
        <w:rPr>
          <w:rStyle w:val="aff6"/>
          <w:rtl/>
        </w:rPr>
        <w:fldChar w:fldCharType="end"/>
      </w:r>
      <w:r>
        <w:rPr>
          <w:rStyle w:val="afa"/>
          <w:rtl/>
        </w:rPr>
        <w:t>],</w:t>
      </w:r>
      <w:r>
        <w:rPr>
          <w:rFonts w:hint="cs"/>
          <w:rtl/>
        </w:rPr>
        <w:t xml:space="preserve"> וביאר </w:t>
      </w:r>
      <w:r>
        <w:rPr>
          <w:rStyle w:val="af8"/>
          <w:rtl/>
        </w:rPr>
        <w:t>הרמב"ן</w:t>
      </w:r>
      <w:r>
        <w:rPr>
          <w:rFonts w:hint="cs"/>
          <w:rtl/>
        </w:rPr>
        <w:t xml:space="preserve"> דלא חשיב שהנצוק הוא חיבור בין החבית לבין הבור, אלא הנצוק הוא כמעורב בקילוח שיורד לתוך הבור מעט מעט, והוא מתבטל מדין קמא קמא בטיל, וא"כ אחר שבטל כשהוא מתערב ביין שבבור, אינו יכול לאסור מדין נצוק.</w:t>
      </w:r>
    </w:p>
    <w:p w:rsidR="009F44AF" w:rsidRDefault="009F44AF" w:rsidP="009F44AF">
      <w:pPr>
        <w:pStyle w:val="a2"/>
        <w:rPr>
          <w:rtl/>
        </w:rPr>
      </w:pPr>
      <w:bookmarkStart w:id="16684" w:name="_Toc26784062"/>
      <w:bookmarkStart w:id="16685" w:name="_Toc26781345"/>
      <w:bookmarkStart w:id="16686" w:name="_Toc26777136"/>
      <w:bookmarkStart w:id="16687" w:name="_Toc26742753"/>
      <w:bookmarkStart w:id="16688" w:name="_Toc26726083"/>
      <w:bookmarkStart w:id="16689" w:name="_Toc26702414"/>
      <w:bookmarkStart w:id="16690" w:name="_Toc26523448"/>
      <w:bookmarkStart w:id="16691" w:name="_Toc26477566"/>
      <w:bookmarkStart w:id="16692" w:name="_Toc26477441"/>
      <w:r>
        <w:rPr>
          <w:rFonts w:hint="cs"/>
          <w:rtl/>
        </w:rPr>
        <w:t>דברי הר"ן דע"י הנצוק היין שבחבית מחובר ליין שמתערב אך כיון שהוא מתבטל אינו אוסר</w:t>
      </w:r>
      <w:bookmarkEnd w:id="16684"/>
      <w:bookmarkEnd w:id="16685"/>
      <w:bookmarkEnd w:id="16686"/>
      <w:bookmarkEnd w:id="16687"/>
      <w:bookmarkEnd w:id="16688"/>
      <w:bookmarkEnd w:id="16689"/>
      <w:bookmarkEnd w:id="16690"/>
      <w:bookmarkEnd w:id="16691"/>
      <w:bookmarkEnd w:id="16692"/>
    </w:p>
    <w:p w:rsidR="009F44AF" w:rsidRDefault="009F44AF" w:rsidP="009F44AF">
      <w:pPr>
        <w:pStyle w:val="a"/>
        <w:numPr>
          <w:ilvl w:val="0"/>
          <w:numId w:val="17"/>
        </w:numPr>
      </w:pPr>
      <w:r>
        <w:rPr>
          <w:rFonts w:hint="cs"/>
          <w:rtl/>
        </w:rPr>
        <w:t xml:space="preserve">וביאר </w:t>
      </w:r>
      <w:r>
        <w:rPr>
          <w:rStyle w:val="af8"/>
          <w:rtl/>
        </w:rPr>
        <w:t xml:space="preserve">הר"ן על הרי"ף </w:t>
      </w:r>
      <w:r w:rsidRPr="009F44AF">
        <w:rPr>
          <w:rStyle w:val="af6"/>
          <w:rFonts w:eastAsia="Guttman Hodes" w:hint="cs"/>
          <w:rtl/>
        </w:rPr>
        <w:t xml:space="preserve">(לה: מדה"ר ד"ה אפילו) </w:t>
      </w:r>
      <w:r>
        <w:rPr>
          <w:rStyle w:val="af8"/>
          <w:rtl/>
        </w:rPr>
        <w:t xml:space="preserve">ובחי' </w:t>
      </w:r>
      <w:r w:rsidRPr="009F44AF">
        <w:rPr>
          <w:rStyle w:val="af6"/>
          <w:rFonts w:eastAsia="Guttman Hodes" w:hint="cs"/>
          <w:rtl/>
        </w:rPr>
        <w:t xml:space="preserve">(עג. ד"ה דוקא) </w:t>
      </w:r>
      <w:r>
        <w:rPr>
          <w:rFonts w:hint="cs"/>
          <w:rtl/>
        </w:rPr>
        <w:t>דכל מה דאמרינן דנצוק חשיב חיבור, היינו לענין שדין היין שבחבית הוא כמו הדין של היין שמתערב למטה בבור, דע"י החיבור הוא כמותו ממש, אך כיון שהיין שמתערב בבור למטה, הוא מתבטל ונעשה היתר, ממילא א"א לאסור מחמתו את היין שלמעלה בחבית.</w:t>
      </w:r>
    </w:p>
    <w:p w:rsidR="009F44AF" w:rsidRDefault="009F44AF" w:rsidP="009F44AF">
      <w:pPr>
        <w:pStyle w:val="a2"/>
        <w:rPr>
          <w:rtl/>
        </w:rPr>
      </w:pPr>
      <w:bookmarkStart w:id="16693" w:name="_Toc26784063"/>
      <w:bookmarkStart w:id="16694" w:name="_Toc26781346"/>
      <w:bookmarkStart w:id="16695" w:name="_Toc26777137"/>
      <w:bookmarkStart w:id="16696" w:name="_Toc26742754"/>
      <w:bookmarkStart w:id="16697" w:name="_Toc26726084"/>
      <w:bookmarkStart w:id="16698" w:name="_Toc26702415"/>
      <w:bookmarkStart w:id="16699" w:name="_Toc26523449"/>
      <w:bookmarkStart w:id="16700" w:name="_Toc26477567"/>
      <w:bookmarkStart w:id="16701" w:name="_Toc26477442"/>
      <w:r>
        <w:rPr>
          <w:rFonts w:hint="cs"/>
          <w:rtl/>
        </w:rPr>
        <w:lastRenderedPageBreak/>
        <w:t>ביאור הריטב"א ברמב"ן דנצוק חיבור רק כשאוסר בסופו אבל במקטף אמרינן דקמא קמא בטיל</w:t>
      </w:r>
      <w:bookmarkEnd w:id="16693"/>
      <w:bookmarkEnd w:id="16694"/>
      <w:bookmarkEnd w:id="16695"/>
      <w:bookmarkEnd w:id="16696"/>
      <w:bookmarkEnd w:id="16697"/>
      <w:bookmarkEnd w:id="16698"/>
      <w:bookmarkEnd w:id="16699"/>
      <w:bookmarkEnd w:id="16700"/>
      <w:bookmarkEnd w:id="16701"/>
    </w:p>
    <w:p w:rsidR="009F44AF" w:rsidRDefault="009F44AF" w:rsidP="009F44AF">
      <w:pPr>
        <w:pStyle w:val="a"/>
        <w:numPr>
          <w:ilvl w:val="0"/>
          <w:numId w:val="17"/>
        </w:numPr>
      </w:pPr>
      <w:r>
        <w:rPr>
          <w:rFonts w:hint="cs"/>
          <w:rtl/>
        </w:rPr>
        <w:t xml:space="preserve">וביאר </w:t>
      </w:r>
      <w:r>
        <w:rPr>
          <w:rStyle w:val="af8"/>
          <w:rtl/>
        </w:rPr>
        <w:t xml:space="preserve">הריטב"א </w:t>
      </w:r>
      <w:r w:rsidRPr="009F44AF">
        <w:rPr>
          <w:rStyle w:val="af6"/>
          <w:rFonts w:eastAsia="Guttman Hodes" w:hint="cs"/>
          <w:rtl/>
        </w:rPr>
        <w:t>(עג. ד"ה כי אתא)</w:t>
      </w:r>
      <w:r>
        <w:rPr>
          <w:rFonts w:hint="cs"/>
          <w:rtl/>
        </w:rPr>
        <w:t xml:space="preserve"> את דברי </w:t>
      </w:r>
      <w:r>
        <w:rPr>
          <w:rStyle w:val="af8"/>
          <w:rtl/>
        </w:rPr>
        <w:t>הרמב"ן</w:t>
      </w:r>
      <w:r>
        <w:rPr>
          <w:rFonts w:hint="cs"/>
          <w:rtl/>
        </w:rPr>
        <w:t xml:space="preserve"> דהא דנצוק אוסר מדין חיבור, היינו דוקא באופן שהנצוק יאסור בסופו לפי אותו הקלוח שהוא מקלח עכשיו, </w:t>
      </w:r>
      <w:r>
        <w:rPr>
          <w:rStyle w:val="afa"/>
          <w:rtl/>
        </w:rPr>
        <w:t>[דהיינו באופן שהקלוח אינו פוסק, וכשישפך כל היין הוא יאסור, דבכה"ג אפש"ל דהנצוק הוא חיבור],</w:t>
      </w:r>
      <w:r>
        <w:rPr>
          <w:rFonts w:hint="cs"/>
          <w:rtl/>
        </w:rPr>
        <w:t xml:space="preserve"> אבל במקטף קטופי שלפי הדרך שהוא מקלח אינו אוסר בסופו, בכה"ג אמרינן דקמא קמא בטיל.</w:t>
      </w:r>
    </w:p>
    <w:p w:rsidR="009F44AF" w:rsidRDefault="009F44AF" w:rsidP="0098721B">
      <w:pPr>
        <w:pStyle w:val="1"/>
        <w:rPr>
          <w:rtl/>
        </w:rPr>
      </w:pPr>
      <w:bookmarkStart w:id="16702" w:name="_Toc26781347"/>
      <w:bookmarkStart w:id="16703" w:name="_Toc26777138"/>
      <w:bookmarkStart w:id="16704" w:name="_Toc26742755"/>
      <w:bookmarkStart w:id="16705" w:name="_Toc26726085"/>
      <w:bookmarkStart w:id="16706" w:name="_Toc26702416"/>
      <w:bookmarkStart w:id="16707" w:name="_Toc26523450"/>
      <w:bookmarkStart w:id="16708" w:name="_Toc26477568"/>
      <w:bookmarkStart w:id="16709" w:name="_Toc26477443"/>
      <w:bookmarkStart w:id="16710" w:name="_Toc26784064"/>
      <w:r>
        <w:rPr>
          <w:rFonts w:hint="cs"/>
          <w:rtl/>
        </w:rPr>
        <w:t>דברי הרמב"ן</w:t>
      </w:r>
      <w:bookmarkEnd w:id="16702"/>
      <w:bookmarkEnd w:id="16703"/>
      <w:bookmarkEnd w:id="16704"/>
      <w:bookmarkEnd w:id="16705"/>
      <w:bookmarkEnd w:id="16706"/>
      <w:bookmarkEnd w:id="16707"/>
      <w:bookmarkEnd w:id="16708"/>
      <w:bookmarkEnd w:id="16709"/>
      <w:r>
        <w:rPr>
          <w:rFonts w:hint="cs"/>
          <w:rtl/>
        </w:rPr>
        <w:t xml:space="preserve"> דיי"נ שנפל לתוך היתר בפחות מנו"ט בטל</w:t>
      </w:r>
      <w:bookmarkEnd w:id="16710"/>
      <w:r>
        <w:rPr>
          <w:rFonts w:hint="cs"/>
          <w:rtl/>
        </w:rPr>
        <w:t xml:space="preserve"> </w:t>
      </w:r>
    </w:p>
    <w:p w:rsidR="009F44AF" w:rsidRDefault="009F44AF" w:rsidP="009F44AF">
      <w:pPr>
        <w:pStyle w:val="a2"/>
        <w:rPr>
          <w:rtl/>
        </w:rPr>
      </w:pPr>
      <w:bookmarkStart w:id="16711" w:name="_Toc26784065"/>
      <w:bookmarkStart w:id="16712" w:name="_Toc26781348"/>
      <w:bookmarkStart w:id="16713" w:name="_Toc26777139"/>
      <w:bookmarkStart w:id="16714" w:name="_Toc26742756"/>
      <w:bookmarkStart w:id="16715" w:name="_Toc26726086"/>
      <w:bookmarkStart w:id="16716" w:name="_Toc26702417"/>
      <w:bookmarkStart w:id="16717" w:name="_Toc26523451"/>
      <w:bookmarkStart w:id="16718" w:name="_Toc26477569"/>
      <w:bookmarkStart w:id="16719" w:name="_Toc26477444"/>
      <w:r>
        <w:rPr>
          <w:rFonts w:hint="cs"/>
          <w:rtl/>
        </w:rPr>
        <w:t>דברי הרמב"ן דיי"נ שנפל לבור בטל ואינו נאסר לעולם ורק בנפל בבת אחת בשיעור נו"ט אסור</w:t>
      </w:r>
      <w:bookmarkEnd w:id="16711"/>
      <w:bookmarkEnd w:id="16712"/>
      <w:bookmarkEnd w:id="16713"/>
      <w:bookmarkEnd w:id="16714"/>
      <w:bookmarkEnd w:id="16715"/>
      <w:bookmarkEnd w:id="16716"/>
      <w:bookmarkEnd w:id="16717"/>
      <w:bookmarkEnd w:id="16718"/>
      <w:bookmarkEnd w:id="16719"/>
    </w:p>
    <w:p w:rsidR="009F44AF" w:rsidRDefault="009F44AF" w:rsidP="009F44AF">
      <w:pPr>
        <w:pStyle w:val="a"/>
        <w:numPr>
          <w:ilvl w:val="0"/>
          <w:numId w:val="17"/>
        </w:numPr>
        <w:rPr>
          <w:rtl/>
        </w:rPr>
      </w:pPr>
      <w:bookmarkStart w:id="16720" w:name="_Ref26761160"/>
      <w:r>
        <w:rPr>
          <w:rFonts w:hint="cs"/>
          <w:rtl/>
        </w:rPr>
        <w:t xml:space="preserve">וכתב </w:t>
      </w:r>
      <w:r>
        <w:rPr>
          <w:rStyle w:val="af8"/>
          <w:rtl/>
        </w:rPr>
        <w:t xml:space="preserve">הרמב"ן </w:t>
      </w:r>
      <w:r w:rsidRPr="009F44AF">
        <w:rPr>
          <w:rStyle w:val="af6"/>
          <w:rFonts w:eastAsia="Guttman Hodes" w:hint="cs"/>
          <w:rtl/>
        </w:rPr>
        <w:t>(עג. ד"ה ופירוש)</w:t>
      </w:r>
      <w:r>
        <w:rPr>
          <w:rFonts w:hint="cs"/>
          <w:rtl/>
        </w:rPr>
        <w:t xml:space="preserve"> דהא דאמרינן קמא קמא בטיל, היינו דיין נסך שנפל לבור אינו אוסר לעולם, ורק באופן שנפל בבת אחת יין בשיעור שהוא נותן טעם ביין שבבור, אינו מתבטל, בין ביין נסך ובין בשאר איסורים, ועיי"ש במה שהביא </w:t>
      </w:r>
      <w:r>
        <w:rPr>
          <w:rStyle w:val="af8"/>
          <w:rtl/>
        </w:rPr>
        <w:t xml:space="preserve">הרמב"ן </w:t>
      </w:r>
      <w:r>
        <w:rPr>
          <w:rFonts w:hint="cs"/>
          <w:rtl/>
        </w:rPr>
        <w:t xml:space="preserve">דכן מבואר במשניות בערלה </w:t>
      </w:r>
      <w:r w:rsidRPr="009F44AF">
        <w:rPr>
          <w:rStyle w:val="af6"/>
          <w:rFonts w:eastAsia="Guttman Hodes" w:hint="cs"/>
          <w:rtl/>
        </w:rPr>
        <w:t>(פ"ב מי"ד, פ"ב מט"ו)</w:t>
      </w:r>
      <w:r>
        <w:rPr>
          <w:rFonts w:hint="cs"/>
          <w:rtl/>
        </w:rPr>
        <w:t xml:space="preserve"> ובתרומות </w:t>
      </w:r>
      <w:r w:rsidRPr="009F44AF">
        <w:rPr>
          <w:rStyle w:val="af6"/>
          <w:rFonts w:eastAsia="Guttman Hodes" w:hint="cs"/>
          <w:rtl/>
        </w:rPr>
        <w:t>(פ"ה מ"ט)</w:t>
      </w:r>
      <w:r>
        <w:rPr>
          <w:rFonts w:hint="cs"/>
          <w:rtl/>
        </w:rPr>
        <w:t>.</w:t>
      </w:r>
      <w:bookmarkEnd w:id="16720"/>
    </w:p>
    <w:p w:rsidR="009F44AF" w:rsidRDefault="009F44AF" w:rsidP="009F44AF">
      <w:pPr>
        <w:pStyle w:val="a2"/>
        <w:rPr>
          <w:rtl/>
        </w:rPr>
      </w:pPr>
      <w:bookmarkStart w:id="16721" w:name="_Toc26784066"/>
      <w:bookmarkStart w:id="16722" w:name="_Toc26781349"/>
      <w:bookmarkStart w:id="16723" w:name="_Toc26777140"/>
      <w:bookmarkStart w:id="16724" w:name="_Toc26742757"/>
      <w:bookmarkStart w:id="16725" w:name="_Toc26726087"/>
      <w:bookmarkStart w:id="16726" w:name="_Toc26702418"/>
      <w:bookmarkStart w:id="16727" w:name="_Toc26523452"/>
      <w:bookmarkStart w:id="16728" w:name="_Toc26477570"/>
      <w:bookmarkStart w:id="16729" w:name="_Toc26477445"/>
      <w:r>
        <w:rPr>
          <w:rFonts w:hint="cs"/>
          <w:rtl/>
        </w:rPr>
        <w:t>קושית הרמב"ן דהגמ' יכולה להעמיד את המשנה דיי"נ אוסר במשהו בנפל בבת אחת</w:t>
      </w:r>
      <w:bookmarkEnd w:id="16721"/>
      <w:bookmarkEnd w:id="16722"/>
      <w:bookmarkEnd w:id="16723"/>
      <w:bookmarkEnd w:id="16724"/>
      <w:bookmarkEnd w:id="16725"/>
      <w:bookmarkEnd w:id="16726"/>
      <w:bookmarkEnd w:id="16727"/>
      <w:bookmarkEnd w:id="16728"/>
      <w:bookmarkEnd w:id="16729"/>
    </w:p>
    <w:p w:rsidR="009F44AF" w:rsidRPr="009F44AF" w:rsidRDefault="009F44AF" w:rsidP="009F44AF">
      <w:pPr>
        <w:pStyle w:val="a"/>
        <w:numPr>
          <w:ilvl w:val="0"/>
          <w:numId w:val="17"/>
        </w:numPr>
        <w:rPr>
          <w:sz w:val="10"/>
          <w:szCs w:val="14"/>
          <w:rtl/>
        </w:rPr>
      </w:pPr>
      <w:bookmarkStart w:id="16730" w:name="_Ref26697344"/>
      <w:r>
        <w:rPr>
          <w:rFonts w:hint="cs"/>
          <w:rtl/>
        </w:rPr>
        <w:t xml:space="preserve">אך הקשו </w:t>
      </w:r>
      <w:r>
        <w:rPr>
          <w:rStyle w:val="af8"/>
          <w:rtl/>
        </w:rPr>
        <w:t xml:space="preserve">הרמב"ן והרשב"א </w:t>
      </w:r>
      <w:r w:rsidRPr="009F44AF">
        <w:rPr>
          <w:rStyle w:val="af6"/>
          <w:rFonts w:eastAsia="Guttman Hodes" w:hint="cs"/>
          <w:rtl/>
        </w:rPr>
        <w:t>(עג. ד"ה כי אתא)</w:t>
      </w:r>
      <w:r>
        <w:rPr>
          <w:rFonts w:hint="cs"/>
          <w:rtl/>
        </w:rPr>
        <w:t xml:space="preserve"> </w:t>
      </w:r>
      <w:r>
        <w:rPr>
          <w:rStyle w:val="af8"/>
          <w:rtl/>
        </w:rPr>
        <w:t xml:space="preserve">והר"ן בחי' </w:t>
      </w:r>
      <w:r w:rsidRPr="009F44AF">
        <w:rPr>
          <w:rStyle w:val="af6"/>
          <w:rFonts w:eastAsia="Guttman Hodes" w:hint="cs"/>
          <w:rtl/>
        </w:rPr>
        <w:t>(עג. ד"ה כי אתא)</w:t>
      </w:r>
      <w:r>
        <w:rPr>
          <w:rFonts w:hint="cs"/>
          <w:rtl/>
        </w:rPr>
        <w:t xml:space="preserve"> דאמאי העמידה הגמ' לדעת רב דימי דקמא קמא בטיל, דהא דתנן במשנה דיין במים בנותן טעם, איירי ביין של היתר שנפל למים של איסור, והא הגמ' יכולה להעמיד את המשנה, שנפל הרבה יין בבת אחת שנתן טעם במים, ולכן לא אמרינן דקמא קמא בטיל.</w:t>
      </w:r>
      <w:bookmarkEnd w:id="16730"/>
    </w:p>
    <w:p w:rsidR="009F44AF" w:rsidRDefault="009F44AF" w:rsidP="009F44AF">
      <w:pPr>
        <w:pStyle w:val="a2"/>
        <w:rPr>
          <w:rtl/>
        </w:rPr>
      </w:pPr>
      <w:bookmarkStart w:id="16731" w:name="_Toc26784067"/>
      <w:bookmarkStart w:id="16732" w:name="_Toc26781350"/>
      <w:bookmarkStart w:id="16733" w:name="_Toc26777141"/>
      <w:bookmarkStart w:id="16734" w:name="_Toc26742758"/>
      <w:bookmarkStart w:id="16735" w:name="_Toc26726088"/>
      <w:bookmarkStart w:id="16736" w:name="_Toc26702419"/>
      <w:r>
        <w:rPr>
          <w:rFonts w:hint="cs"/>
          <w:rtl/>
        </w:rPr>
        <w:t>תירוץ הרמב"ן והרשב"א דניחא לגמ' להעמיד את הסיפא בהיתר לתוך איסור כמו הרישא</w:t>
      </w:r>
      <w:bookmarkEnd w:id="16731"/>
      <w:bookmarkEnd w:id="16732"/>
      <w:bookmarkEnd w:id="16733"/>
      <w:bookmarkEnd w:id="16734"/>
      <w:bookmarkEnd w:id="16735"/>
      <w:bookmarkEnd w:id="16736"/>
    </w:p>
    <w:p w:rsidR="009F44AF" w:rsidRDefault="009F44AF" w:rsidP="009F44AF">
      <w:pPr>
        <w:pStyle w:val="a"/>
        <w:numPr>
          <w:ilvl w:val="0"/>
          <w:numId w:val="17"/>
        </w:numPr>
        <w:rPr>
          <w:rStyle w:val="afa"/>
        </w:rPr>
      </w:pPr>
      <w:bookmarkStart w:id="16737" w:name="_Ref26697352"/>
      <w:r>
        <w:rPr>
          <w:rFonts w:hint="cs"/>
          <w:rtl/>
        </w:rPr>
        <w:t xml:space="preserve">ותירצו </w:t>
      </w:r>
      <w:r>
        <w:rPr>
          <w:rStyle w:val="af8"/>
          <w:rtl/>
        </w:rPr>
        <w:t xml:space="preserve">הרמב"ן והרשב"א והר"ן בחי' </w:t>
      </w:r>
      <w:r>
        <w:rPr>
          <w:rFonts w:hint="cs"/>
          <w:rtl/>
        </w:rPr>
        <w:t xml:space="preserve">דניחא לגמ' לתרץ את הסיפא ביין במים בנותן טעם, בהיתר שנפל לתוך איסור, דומיא דרישא דיין במים דאיירי בהיתר שנפל לתוך איסור, והוסיף </w:t>
      </w:r>
      <w:r>
        <w:rPr>
          <w:rStyle w:val="af8"/>
          <w:rtl/>
        </w:rPr>
        <w:t>הרמב"ן</w:t>
      </w:r>
      <w:r>
        <w:rPr>
          <w:rFonts w:hint="cs"/>
          <w:rtl/>
        </w:rPr>
        <w:t xml:space="preserve"> דהשיעור בסיפא בנותן טעם, כיון דבהיתר שנפל לתוך איסור לא אמרינן ביה קמא קמא בטיל, </w:t>
      </w:r>
      <w:r>
        <w:rPr>
          <w:rStyle w:val="afa"/>
          <w:rtl/>
        </w:rPr>
        <w:t xml:space="preserve">[וע"ע במה שתירץ </w:t>
      </w:r>
      <w:r>
        <w:rPr>
          <w:rStyle w:val="affa"/>
          <w:rtl/>
        </w:rPr>
        <w:t xml:space="preserve">המאירי </w:t>
      </w:r>
      <w:r>
        <w:rPr>
          <w:rStyle w:val="aff6"/>
          <w:rtl/>
        </w:rPr>
        <w:t>(עג. ד"ה אחר)</w:t>
      </w:r>
      <w:r>
        <w:rPr>
          <w:rStyle w:val="afa"/>
          <w:rtl/>
        </w:rPr>
        <w:t xml:space="preserve">], </w:t>
      </w:r>
      <w:r>
        <w:rPr>
          <w:rFonts w:hint="cs"/>
          <w:rtl/>
        </w:rPr>
        <w:t xml:space="preserve">והוסיף </w:t>
      </w:r>
      <w:r>
        <w:rPr>
          <w:rStyle w:val="af8"/>
          <w:rtl/>
        </w:rPr>
        <w:t>הרשב"א</w:t>
      </w:r>
      <w:r>
        <w:rPr>
          <w:rFonts w:hint="cs"/>
          <w:rtl/>
        </w:rPr>
        <w:t xml:space="preserve"> דהרי את הרישא של המשנה דיין ביין אוסר במשהו, לדעת ריו"ח צריך להעמיד שנפל היתר לתוך איסור, דאי איירי שנפל איסור לתוך היתר, הרי הוא אוסר בכל שהוא, וא"כ מוכח דאיירי שלא נפל בבת אחת בשיעור של נתינת טעם בהיתר, וכתב </w:t>
      </w:r>
      <w:r>
        <w:rPr>
          <w:rStyle w:val="af8"/>
          <w:rtl/>
        </w:rPr>
        <w:t>הר"ן</w:t>
      </w:r>
      <w:r>
        <w:rPr>
          <w:rFonts w:hint="cs"/>
          <w:rtl/>
        </w:rPr>
        <w:t xml:space="preserve"> דא"כ אפשר להעמיד את הסיפא בין בבת אחת ובין בנפל מעט מעט, דאם נתנו המים האסורים טעם ביין המותר שנפל לתוכם אסור. </w:t>
      </w:r>
      <w:r>
        <w:rPr>
          <w:rStyle w:val="afa"/>
          <w:rtl/>
        </w:rPr>
        <w:t xml:space="preserve">[ועי' במ"ש </w:t>
      </w:r>
      <w:r>
        <w:rPr>
          <w:rStyle w:val="affa"/>
          <w:rtl/>
        </w:rPr>
        <w:t>הרמב"ן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Ref26697328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ח)</w:t>
      </w:r>
      <w:r>
        <w:rPr>
          <w:rFonts w:hint="cs"/>
          <w:rtl/>
        </w:rPr>
        <w:fldChar w:fldCharType="end"/>
      </w:r>
      <w:r>
        <w:rPr>
          <w:rStyle w:val="afa"/>
          <w:rtl/>
        </w:rPr>
        <w:t xml:space="preserve"> דלדברי </w:t>
      </w:r>
      <w:r>
        <w:rPr>
          <w:rStyle w:val="affa"/>
          <w:rtl/>
        </w:rPr>
        <w:t>רש"י</w:t>
      </w:r>
      <w:r>
        <w:rPr>
          <w:rStyle w:val="afa"/>
          <w:rtl/>
        </w:rPr>
        <w:t xml:space="preserve"> מיושב, שא"א להעמיד את המשנה כשנפל יין בשיעור נותן טעם].</w:t>
      </w:r>
      <w:bookmarkEnd w:id="16737"/>
    </w:p>
    <w:p w:rsidR="009F44AF" w:rsidRDefault="009F44AF" w:rsidP="0098721B">
      <w:pPr>
        <w:pStyle w:val="1"/>
      </w:pPr>
      <w:bookmarkStart w:id="16738" w:name="_Toc26781351"/>
      <w:bookmarkStart w:id="16739" w:name="_Toc26777142"/>
      <w:bookmarkStart w:id="16740" w:name="_Toc26742759"/>
      <w:bookmarkStart w:id="16741" w:name="_Toc26726089"/>
      <w:bookmarkStart w:id="16742" w:name="_Toc26784068"/>
      <w:r>
        <w:rPr>
          <w:rFonts w:hint="cs"/>
          <w:rtl/>
        </w:rPr>
        <w:t>ביאור הרמב"ן</w:t>
      </w:r>
      <w:bookmarkEnd w:id="16738"/>
      <w:bookmarkEnd w:id="16739"/>
      <w:bookmarkEnd w:id="16740"/>
      <w:bookmarkEnd w:id="16741"/>
      <w:r>
        <w:rPr>
          <w:rFonts w:hint="cs"/>
          <w:rtl/>
        </w:rPr>
        <w:t xml:space="preserve"> דהיתר שנפל לאיסור אינו עומד להתבטל</w:t>
      </w:r>
      <w:bookmarkEnd w:id="16742"/>
    </w:p>
    <w:p w:rsidR="009F44AF" w:rsidRDefault="009F44AF" w:rsidP="009F44AF">
      <w:pPr>
        <w:pStyle w:val="a2"/>
        <w:rPr>
          <w:rtl/>
        </w:rPr>
      </w:pPr>
      <w:bookmarkStart w:id="16743" w:name="_Toc26784069"/>
      <w:bookmarkStart w:id="16744" w:name="_Toc26781352"/>
      <w:bookmarkStart w:id="16745" w:name="_Toc26777143"/>
      <w:bookmarkStart w:id="16746" w:name="_Toc26742760"/>
      <w:bookmarkStart w:id="16747" w:name="_Toc26726090"/>
      <w:r>
        <w:rPr>
          <w:rFonts w:hint="cs"/>
          <w:rtl/>
        </w:rPr>
        <w:t>ביאור הרמב"ן דהיתר שנפל לאיסור לא נאסר מדין קמא קמא בטיל דאינו רוצה בביטול ההיתר</w:t>
      </w:r>
      <w:bookmarkEnd w:id="16743"/>
      <w:bookmarkEnd w:id="16744"/>
      <w:bookmarkEnd w:id="16745"/>
      <w:bookmarkEnd w:id="16746"/>
      <w:bookmarkEnd w:id="16747"/>
    </w:p>
    <w:p w:rsidR="009F44AF" w:rsidRDefault="009F44AF" w:rsidP="009F44AF">
      <w:pPr>
        <w:pStyle w:val="a"/>
        <w:numPr>
          <w:ilvl w:val="0"/>
          <w:numId w:val="17"/>
        </w:numPr>
        <w:rPr>
          <w:rtl/>
        </w:rPr>
      </w:pPr>
      <w:bookmarkStart w:id="16748" w:name="_Ref26763713"/>
      <w:r>
        <w:rPr>
          <w:rFonts w:hint="cs"/>
          <w:rtl/>
        </w:rPr>
        <w:t xml:space="preserve">בעיקר תירוץ הגמ' דמתני' דיין נסך אוסר במשהו, איירי בהיתר שנפל לתוך איסור, ביארו </w:t>
      </w:r>
      <w:r>
        <w:rPr>
          <w:rStyle w:val="af8"/>
          <w:rtl/>
        </w:rPr>
        <w:t xml:space="preserve">הרמב"ן </w:t>
      </w:r>
      <w:r w:rsidRPr="009F44AF">
        <w:rPr>
          <w:rStyle w:val="af6"/>
          <w:rFonts w:eastAsia="Guttman Hodes" w:hint="cs"/>
          <w:rtl/>
        </w:rPr>
        <w:t xml:space="preserve">(עג. ד"ה ולי נראה) </w:t>
      </w:r>
      <w:r>
        <w:rPr>
          <w:rStyle w:val="af8"/>
          <w:rtl/>
        </w:rPr>
        <w:t xml:space="preserve">והריטב"א </w:t>
      </w:r>
      <w:r w:rsidRPr="009F44AF">
        <w:rPr>
          <w:rStyle w:val="af6"/>
          <w:rFonts w:eastAsia="Guttman Hodes" w:hint="cs"/>
          <w:rtl/>
        </w:rPr>
        <w:t>(עג. ד"ה מאי לאו)</w:t>
      </w:r>
      <w:r>
        <w:rPr>
          <w:rFonts w:hint="cs"/>
          <w:rtl/>
        </w:rPr>
        <w:t xml:space="preserve"> דההיתר אינו נאסר מדין קמא קמא בטיל, דהרי לא מצינו שיש ביטול בהיתר, כיון שהאדם אינו רוצה שההיתר יתבטל בתוך האיסור, דהרי הוא מוסיף עוד היתר, לתוך האיסור, וע"ע בדברי </w:t>
      </w:r>
      <w:r>
        <w:rPr>
          <w:rStyle w:val="af8"/>
          <w:rtl/>
        </w:rPr>
        <w:t>הר"ן בנדרים</w:t>
      </w:r>
      <w:r>
        <w:rPr>
          <w:rFonts w:hint="cs"/>
          <w:rtl/>
        </w:rPr>
        <w:t xml:space="preserve"> </w:t>
      </w:r>
      <w:r w:rsidRPr="009F44AF">
        <w:rPr>
          <w:rStyle w:val="af6"/>
          <w:rFonts w:eastAsia="Guttman Hodes" w:hint="cs"/>
          <w:rtl/>
        </w:rPr>
        <w:t>(נט: ד"ה ועד כאן)</w:t>
      </w:r>
      <w:r>
        <w:rPr>
          <w:rFonts w:hint="cs"/>
          <w:rtl/>
        </w:rPr>
        <w:t xml:space="preserve">. [ועי' במה שביארו </w:t>
      </w:r>
      <w:r>
        <w:rPr>
          <w:rStyle w:val="af8"/>
          <w:rtl/>
        </w:rPr>
        <w:t>בשער"י</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Ref26896457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קל</w:t>
      </w:r>
      <w:r w:rsidR="004D1C5B">
        <w:rPr>
          <w:rStyle w:val="af6"/>
          <w:rFonts w:eastAsia="Guttman Hodes"/>
          <w:rtl/>
        </w:rPr>
        <w:t>)</w:t>
      </w:r>
      <w:r>
        <w:rPr>
          <w:rFonts w:hint="cs"/>
          <w:rtl/>
        </w:rPr>
        <w:fldChar w:fldCharType="end"/>
      </w:r>
      <w:r>
        <w:rPr>
          <w:rStyle w:val="af8"/>
          <w:rtl/>
        </w:rPr>
        <w:t xml:space="preserve"> ובשיעורי הגרא"י מטעלז</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Ref26762937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קלב</w:t>
      </w:r>
      <w:r w:rsidR="004D1C5B">
        <w:rPr>
          <w:rStyle w:val="af6"/>
          <w:rFonts w:eastAsia="Guttman Hodes"/>
          <w:rtl/>
        </w:rPr>
        <w:t>)</w:t>
      </w:r>
      <w:r>
        <w:rPr>
          <w:rFonts w:hint="cs"/>
          <w:rtl/>
        </w:rPr>
        <w:fldChar w:fldCharType="end"/>
      </w:r>
      <w:r>
        <w:rPr>
          <w:rFonts w:hint="cs"/>
          <w:rtl/>
        </w:rPr>
        <w:t xml:space="preserve"> בדברי </w:t>
      </w:r>
      <w:r>
        <w:rPr>
          <w:rStyle w:val="af8"/>
          <w:rtl/>
        </w:rPr>
        <w:t>הרמב"ן והריטב"א</w:t>
      </w:r>
      <w:r>
        <w:rPr>
          <w:rFonts w:hint="cs"/>
          <w:rtl/>
        </w:rPr>
        <w:t xml:space="preserve">, ובמה שביאר </w:t>
      </w:r>
      <w:r>
        <w:rPr>
          <w:rStyle w:val="af8"/>
          <w:rtl/>
        </w:rPr>
        <w:t>בקוה"ע</w:t>
      </w:r>
      <w:r>
        <w:rPr>
          <w:rFonts w:hint="cs"/>
          <w:rtl/>
        </w:rPr>
        <w:t xml:space="preserve"> </w:t>
      </w:r>
      <w:r w:rsidRPr="009F44AF">
        <w:rPr>
          <w:rStyle w:val="af6"/>
          <w:rFonts w:eastAsia="Guttman Hodes" w:hint="cs"/>
          <w:rtl/>
        </w:rPr>
        <w:t>(סי' נ"ט ד')</w:t>
      </w:r>
      <w:r>
        <w:rPr>
          <w:rFonts w:hint="cs"/>
          <w:rtl/>
        </w:rPr>
        <w:t xml:space="preserve"> בדברי </w:t>
      </w:r>
      <w:r>
        <w:rPr>
          <w:rStyle w:val="af8"/>
          <w:rtl/>
        </w:rPr>
        <w:t xml:space="preserve">הרמב"ן </w:t>
      </w:r>
      <w:r>
        <w:rPr>
          <w:rFonts w:hint="cs"/>
          <w:rtl/>
        </w:rPr>
        <w:t>דהוא כמו הסברא בדבר חשוב שאינו בטל].</w:t>
      </w:r>
      <w:bookmarkEnd w:id="16748"/>
    </w:p>
    <w:p w:rsidR="009F44AF" w:rsidRDefault="009F44AF" w:rsidP="009F44AF">
      <w:pPr>
        <w:pStyle w:val="a2"/>
        <w:rPr>
          <w:rtl/>
        </w:rPr>
      </w:pPr>
      <w:bookmarkStart w:id="16749" w:name="_Toc26784070"/>
      <w:bookmarkStart w:id="16750" w:name="_Toc26781353"/>
      <w:bookmarkStart w:id="16751" w:name="_Toc26777144"/>
      <w:bookmarkStart w:id="16752" w:name="_Toc26742761"/>
      <w:bookmarkStart w:id="16753" w:name="_Toc26726091"/>
      <w:r>
        <w:rPr>
          <w:rFonts w:hint="cs"/>
          <w:rtl/>
        </w:rPr>
        <w:t>ביאור הרמב"ן דבשאר איסורים ההיתר אינו מתבטל באיסור וביי"נ החמירו דקמא קמא בטיל</w:t>
      </w:r>
      <w:bookmarkEnd w:id="16749"/>
      <w:bookmarkEnd w:id="16750"/>
      <w:bookmarkEnd w:id="16751"/>
      <w:bookmarkEnd w:id="16752"/>
      <w:bookmarkEnd w:id="16753"/>
    </w:p>
    <w:p w:rsidR="009F44AF" w:rsidRDefault="009F44AF" w:rsidP="009F44AF">
      <w:pPr>
        <w:pStyle w:val="a"/>
        <w:numPr>
          <w:ilvl w:val="0"/>
          <w:numId w:val="17"/>
        </w:numPr>
      </w:pPr>
      <w:r>
        <w:rPr>
          <w:rFonts w:hint="cs"/>
          <w:rtl/>
        </w:rPr>
        <w:t xml:space="preserve">וכתב </w:t>
      </w:r>
      <w:r>
        <w:rPr>
          <w:rStyle w:val="af8"/>
          <w:rtl/>
        </w:rPr>
        <w:t>הרמב"ן</w:t>
      </w:r>
      <w:r>
        <w:rPr>
          <w:rFonts w:hint="cs"/>
          <w:rtl/>
        </w:rPr>
        <w:t xml:space="preserve"> דכיון שההיתר לתוך האיסור, אינו מתבטל מדין קמא קמא בטיל, </w:t>
      </w:r>
      <w:r>
        <w:rPr>
          <w:rStyle w:val="afa"/>
          <w:rtl/>
        </w:rPr>
        <w:t xml:space="preserve">[ביין נסך], </w:t>
      </w:r>
      <w:r>
        <w:rPr>
          <w:rFonts w:hint="cs"/>
          <w:rtl/>
        </w:rPr>
        <w:t>א"כ בשאר האיסורים הוא מותר, וכמבואר במשנה בתרומות</w:t>
      </w:r>
      <w:r w:rsidRPr="009F44AF">
        <w:rPr>
          <w:rStyle w:val="af6"/>
          <w:rFonts w:eastAsia="Guttman Hodes" w:hint="cs"/>
          <w:rtl/>
        </w:rPr>
        <w:t xml:space="preserve"> (פ"ה מ"ט) </w:t>
      </w:r>
      <w:r>
        <w:rPr>
          <w:rFonts w:hint="cs"/>
          <w:rtl/>
        </w:rPr>
        <w:t xml:space="preserve">דהמבטל איסור לכתחילה בשוגג מותר, ורק במזיד אסור, וא"כ מבואר דדוקא ביין נסך החמירו שאף הרבה היתר שנפל לתוך מעט איסור, </w:t>
      </w:r>
      <w:r>
        <w:rPr>
          <w:rStyle w:val="afa"/>
          <w:rtl/>
        </w:rPr>
        <w:t xml:space="preserve">[וההיתר צריך לבטל את האיסור], </w:t>
      </w:r>
      <w:r>
        <w:rPr>
          <w:rFonts w:hint="cs"/>
          <w:rtl/>
        </w:rPr>
        <w:t>דאמרינן דההיתר מתבטל מדין קמא קמא בטיל, כיון שבשעת הנפילה אין בהיתר שיעור שישים בכדי לבטל את האיסור.</w:t>
      </w:r>
    </w:p>
    <w:p w:rsidR="009F44AF" w:rsidRDefault="009F44AF" w:rsidP="009F44AF">
      <w:pPr>
        <w:pStyle w:val="a2"/>
        <w:rPr>
          <w:rtl/>
        </w:rPr>
      </w:pPr>
      <w:bookmarkStart w:id="16754" w:name="_Toc26784071"/>
      <w:bookmarkStart w:id="16755" w:name="_Toc26781354"/>
      <w:bookmarkStart w:id="16756" w:name="_Toc26777145"/>
      <w:bookmarkStart w:id="16757" w:name="_Toc26742762"/>
      <w:bookmarkStart w:id="16758" w:name="_Toc26726092"/>
      <w:r>
        <w:rPr>
          <w:rFonts w:hint="cs"/>
          <w:rtl/>
        </w:rPr>
        <w:t>דברי הרמב"ן דבמין בשאינו מינו היתר שנפל לאיסור מתבטל כיון שטעם ההיתר בטל</w:t>
      </w:r>
      <w:bookmarkEnd w:id="16754"/>
      <w:bookmarkEnd w:id="16755"/>
      <w:bookmarkEnd w:id="16756"/>
      <w:bookmarkEnd w:id="16757"/>
      <w:bookmarkEnd w:id="16758"/>
    </w:p>
    <w:p w:rsidR="009F44AF" w:rsidRDefault="009F44AF" w:rsidP="009F44AF">
      <w:pPr>
        <w:pStyle w:val="a"/>
        <w:numPr>
          <w:ilvl w:val="0"/>
          <w:numId w:val="17"/>
        </w:numPr>
      </w:pPr>
      <w:r>
        <w:rPr>
          <w:rFonts w:hint="cs"/>
          <w:rtl/>
        </w:rPr>
        <w:t xml:space="preserve">אך כתב </w:t>
      </w:r>
      <w:r>
        <w:rPr>
          <w:rStyle w:val="af8"/>
          <w:rtl/>
        </w:rPr>
        <w:t>הרמב"ן</w:t>
      </w:r>
      <w:r>
        <w:rPr>
          <w:rFonts w:hint="cs"/>
          <w:rtl/>
        </w:rPr>
        <w:t xml:space="preserve"> דבמין בשאינו מינו ההיתר מתבטל באיסור, </w:t>
      </w:r>
      <w:r>
        <w:rPr>
          <w:rStyle w:val="afa"/>
          <w:rtl/>
        </w:rPr>
        <w:t xml:space="preserve">[בין ביין נסך ובין בשאר איסורים], </w:t>
      </w:r>
      <w:r>
        <w:rPr>
          <w:rFonts w:hint="cs"/>
          <w:rtl/>
        </w:rPr>
        <w:t>כיון שהטעם של ההיתר בטל.</w:t>
      </w:r>
    </w:p>
    <w:p w:rsidR="009F44AF" w:rsidRDefault="009F44AF" w:rsidP="0098721B">
      <w:pPr>
        <w:pStyle w:val="1"/>
        <w:rPr>
          <w:rtl/>
        </w:rPr>
      </w:pPr>
      <w:bookmarkStart w:id="16759" w:name="_Toc26781355"/>
      <w:bookmarkStart w:id="16760" w:name="_Toc26777146"/>
      <w:bookmarkStart w:id="16761" w:name="_Toc26742763"/>
      <w:bookmarkStart w:id="16762" w:name="_Toc26726093"/>
      <w:bookmarkStart w:id="16763" w:name="_Toc26784072"/>
      <w:r>
        <w:rPr>
          <w:rFonts w:hint="cs"/>
          <w:rtl/>
        </w:rPr>
        <w:t xml:space="preserve">דברי הרמב"ן </w:t>
      </w:r>
      <w:bookmarkEnd w:id="16759"/>
      <w:bookmarkEnd w:id="16760"/>
      <w:bookmarkEnd w:id="16761"/>
      <w:bookmarkEnd w:id="16762"/>
      <w:r>
        <w:rPr>
          <w:rFonts w:hint="cs"/>
          <w:rtl/>
        </w:rPr>
        <w:t>דקיי"ל דבשאינו מינו טעם לא בטל וחוזר וניעור</w:t>
      </w:r>
      <w:bookmarkEnd w:id="16763"/>
    </w:p>
    <w:p w:rsidR="009F44AF" w:rsidRDefault="009F44AF" w:rsidP="009F44AF">
      <w:pPr>
        <w:pStyle w:val="a2"/>
        <w:rPr>
          <w:rtl/>
        </w:rPr>
      </w:pPr>
      <w:bookmarkStart w:id="16764" w:name="_Toc26784073"/>
      <w:bookmarkStart w:id="16765" w:name="_Toc26781356"/>
      <w:bookmarkStart w:id="16766" w:name="_Toc26777147"/>
      <w:bookmarkStart w:id="16767" w:name="_Toc26742764"/>
      <w:bookmarkStart w:id="16768" w:name="_Toc26726094"/>
      <w:r>
        <w:rPr>
          <w:rFonts w:hint="cs"/>
          <w:rtl/>
        </w:rPr>
        <w:t>דברי הרמב"ן דמשמעות הגמ' דרבין פליג על רב דימי אך אפשר לבאר דלא פליגי</w:t>
      </w:r>
      <w:bookmarkEnd w:id="16764"/>
      <w:bookmarkEnd w:id="16765"/>
      <w:bookmarkEnd w:id="16766"/>
      <w:bookmarkEnd w:id="16767"/>
      <w:bookmarkEnd w:id="16768"/>
    </w:p>
    <w:p w:rsidR="009F44AF" w:rsidRDefault="009F44AF" w:rsidP="009F44AF">
      <w:pPr>
        <w:pStyle w:val="a"/>
        <w:numPr>
          <w:ilvl w:val="0"/>
          <w:numId w:val="17"/>
        </w:numPr>
      </w:pPr>
      <w:bookmarkStart w:id="16769" w:name="_Ref26763043"/>
      <w:r>
        <w:rPr>
          <w:rFonts w:hint="cs"/>
          <w:rtl/>
        </w:rPr>
        <w:t xml:space="preserve">והביא </w:t>
      </w:r>
      <w:r>
        <w:rPr>
          <w:rStyle w:val="af8"/>
          <w:rtl/>
        </w:rPr>
        <w:t xml:space="preserve">הרמב"ן </w:t>
      </w:r>
      <w:r w:rsidRPr="009F44AF">
        <w:rPr>
          <w:rStyle w:val="af6"/>
          <w:rFonts w:eastAsia="Guttman Hodes" w:hint="cs"/>
          <w:rtl/>
        </w:rPr>
        <w:t>(עג. ד"ה וכתב רש"י)</w:t>
      </w:r>
      <w:r>
        <w:rPr>
          <w:rFonts w:hint="cs"/>
          <w:rtl/>
        </w:rPr>
        <w:t xml:space="preserve"> את דברי </w:t>
      </w:r>
      <w:r>
        <w:rPr>
          <w:rStyle w:val="af8"/>
          <w:rtl/>
        </w:rPr>
        <w:t xml:space="preserve">רש"י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Ref26438487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ד</w:t>
      </w:r>
      <w:r w:rsidR="004D1C5B">
        <w:rPr>
          <w:rStyle w:val="af6"/>
          <w:rFonts w:eastAsia="Guttman Hodes"/>
          <w:rtl/>
        </w:rPr>
        <w:t>)</w:t>
      </w:r>
      <w:r>
        <w:rPr>
          <w:rFonts w:hint="cs"/>
          <w:rtl/>
        </w:rPr>
        <w:fldChar w:fldCharType="end"/>
      </w:r>
      <w:r>
        <w:rPr>
          <w:rFonts w:hint="cs"/>
          <w:rtl/>
        </w:rPr>
        <w:t xml:space="preserve"> דכתב דלא קיי"ל כרב דימי, כיון שרב יצחק החמיר ורבין החמיר, וכתב </w:t>
      </w:r>
      <w:r>
        <w:rPr>
          <w:rStyle w:val="af8"/>
          <w:rtl/>
        </w:rPr>
        <w:t>הרמב"ן</w:t>
      </w:r>
      <w:r>
        <w:rPr>
          <w:rFonts w:hint="cs"/>
          <w:rtl/>
        </w:rPr>
        <w:t xml:space="preserve"> דכן משמע מפשטות לשונו של רבין, דהוא חולק על רב דימי, אך יעויי"ש במ"ש </w:t>
      </w:r>
      <w:r>
        <w:rPr>
          <w:rStyle w:val="af8"/>
          <w:rtl/>
        </w:rPr>
        <w:t>הרמב"ן</w:t>
      </w:r>
      <w:r>
        <w:rPr>
          <w:rFonts w:hint="cs"/>
          <w:rtl/>
        </w:rPr>
        <w:t xml:space="preserve"> דאפש"ל דרבין לא פליג על רב דימי, וע"ע בדברי </w:t>
      </w:r>
      <w:r>
        <w:rPr>
          <w:rStyle w:val="af8"/>
          <w:rtl/>
        </w:rPr>
        <w:t>הרשב"א</w:t>
      </w:r>
      <w:r>
        <w:rPr>
          <w:rFonts w:hint="cs"/>
          <w:rtl/>
        </w:rPr>
        <w:t xml:space="preserve"> </w:t>
      </w:r>
      <w:r w:rsidRPr="009F44AF">
        <w:rPr>
          <w:rStyle w:val="af6"/>
          <w:rFonts w:eastAsia="Guttman Hodes" w:hint="cs"/>
          <w:rtl/>
        </w:rPr>
        <w:t>(עג. ד"ה כי אתא רבין)</w:t>
      </w:r>
      <w:r>
        <w:rPr>
          <w:rFonts w:hint="cs"/>
          <w:rtl/>
        </w:rPr>
        <w:t xml:space="preserve"> דכתב דמדברי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 xml:space="preserve">  משמע דרבין ורב יצחק לא נחלקו כלל, עיי"ש בדבריו.</w:t>
      </w:r>
      <w:bookmarkEnd w:id="16769"/>
    </w:p>
    <w:p w:rsidR="009F44AF" w:rsidRDefault="009F44AF" w:rsidP="009F44AF">
      <w:pPr>
        <w:pStyle w:val="a2"/>
        <w:rPr>
          <w:rtl/>
        </w:rPr>
      </w:pPr>
      <w:bookmarkStart w:id="16770" w:name="_Toc26784074"/>
      <w:bookmarkStart w:id="16771" w:name="_Toc26781357"/>
      <w:bookmarkStart w:id="16772" w:name="_Toc26777148"/>
      <w:bookmarkStart w:id="16773" w:name="_Toc26742765"/>
      <w:bookmarkStart w:id="16774" w:name="_Toc26726095"/>
      <w:r>
        <w:rPr>
          <w:rFonts w:hint="cs"/>
          <w:rtl/>
        </w:rPr>
        <w:t>דברי הרמב"ן דקיי"ל ביי"נ ובשאר איסורים דכל שיש טעם אמרינן דחוזר וניעור דטעם לא בטל</w:t>
      </w:r>
      <w:bookmarkEnd w:id="16770"/>
      <w:bookmarkEnd w:id="16771"/>
      <w:bookmarkEnd w:id="16772"/>
      <w:bookmarkEnd w:id="16773"/>
      <w:bookmarkEnd w:id="16774"/>
    </w:p>
    <w:p w:rsidR="009F44AF" w:rsidRDefault="009F44AF" w:rsidP="009F44AF">
      <w:pPr>
        <w:pStyle w:val="a"/>
        <w:numPr>
          <w:ilvl w:val="0"/>
          <w:numId w:val="17"/>
        </w:numPr>
        <w:rPr>
          <w:rtl/>
        </w:rPr>
      </w:pPr>
      <w:bookmarkStart w:id="16775" w:name="_Ref26762710"/>
      <w:r>
        <w:rPr>
          <w:rFonts w:hint="cs"/>
          <w:rtl/>
        </w:rPr>
        <w:t xml:space="preserve">וכתב </w:t>
      </w:r>
      <w:r>
        <w:rPr>
          <w:rStyle w:val="af8"/>
          <w:rtl/>
        </w:rPr>
        <w:t xml:space="preserve">הרמב"ן </w:t>
      </w:r>
      <w:r w:rsidRPr="009F44AF">
        <w:rPr>
          <w:rStyle w:val="af6"/>
          <w:rFonts w:eastAsia="Guttman Hodes" w:hint="cs"/>
          <w:rtl/>
        </w:rPr>
        <w:t>(עג. ד"ה אלא ודאי)</w:t>
      </w:r>
      <w:r>
        <w:rPr>
          <w:rFonts w:hint="cs"/>
          <w:rtl/>
        </w:rPr>
        <w:t xml:space="preserve"> דלא קיי"ל כרב דימי בין ביין נסך ובין בשאר איסורים, ולעולם לא אמרינן דקמא קמא בטיל, בין במערה בלא הפסק ובין בנופל וחוזר ונופל, אלא דכל שיש לבסוף טעם של האיסור אמרינן דהאיסור חוזר וניעור, כיון דטעמא לא בטיל.</w:t>
      </w:r>
      <w:bookmarkEnd w:id="16775"/>
      <w:r>
        <w:rPr>
          <w:rFonts w:hint="cs"/>
          <w:rtl/>
        </w:rPr>
        <w:t xml:space="preserve"> [ועי' במה שביאר </w:t>
      </w:r>
      <w:r>
        <w:rPr>
          <w:rStyle w:val="af8"/>
          <w:rtl/>
        </w:rPr>
        <w:t>השער"י</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Ref26776864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קכו</w:t>
      </w:r>
      <w:r w:rsidR="004D1C5B">
        <w:rPr>
          <w:rStyle w:val="af6"/>
          <w:rFonts w:eastAsia="Guttman Hodes"/>
          <w:rtl/>
        </w:rPr>
        <w:t>)</w:t>
      </w:r>
      <w:r w:rsidRPr="009F44AF">
        <w:rPr>
          <w:rStyle w:val="af6"/>
          <w:rFonts w:eastAsia="Guttman Hodes" w:hint="cs"/>
          <w:rtl/>
        </w:rPr>
        <w:fldChar w:fldCharType="end"/>
      </w:r>
      <w:r w:rsidRPr="009F44AF">
        <w:rPr>
          <w:rStyle w:val="af6"/>
          <w:rFonts w:eastAsia="Guttman Hodes" w:hint="cs"/>
          <w:rtl/>
        </w:rPr>
        <w:t xml:space="preserve"> </w:t>
      </w:r>
      <w:r>
        <w:rPr>
          <w:rFonts w:hint="cs"/>
          <w:rtl/>
        </w:rPr>
        <w:t xml:space="preserve">בדברי </w:t>
      </w:r>
      <w:r>
        <w:rPr>
          <w:rStyle w:val="af8"/>
          <w:rtl/>
        </w:rPr>
        <w:t>הרמב"ן</w:t>
      </w:r>
      <w:r>
        <w:rPr>
          <w:rFonts w:hint="cs"/>
          <w:rtl/>
        </w:rPr>
        <w:t>].</w:t>
      </w:r>
    </w:p>
    <w:p w:rsidR="009F44AF" w:rsidRDefault="009F44AF" w:rsidP="009F44AF">
      <w:pPr>
        <w:pStyle w:val="a2"/>
        <w:rPr>
          <w:rtl/>
        </w:rPr>
      </w:pPr>
      <w:bookmarkStart w:id="16776" w:name="_Toc26784075"/>
      <w:bookmarkStart w:id="16777" w:name="_Toc26781358"/>
      <w:bookmarkStart w:id="16778" w:name="_Toc26777149"/>
      <w:r>
        <w:rPr>
          <w:rFonts w:hint="cs"/>
          <w:rtl/>
        </w:rPr>
        <w:t>הוכחת הרשב"א דרק על רב דימי קשה מהמשנה בנו"ט ואילו לדידן דטעמא לא בטיל לא קשה</w:t>
      </w:r>
      <w:bookmarkEnd w:id="16776"/>
      <w:bookmarkEnd w:id="16777"/>
      <w:bookmarkEnd w:id="16778"/>
    </w:p>
    <w:p w:rsidR="009F44AF" w:rsidRDefault="009F44AF" w:rsidP="009F44AF">
      <w:pPr>
        <w:pStyle w:val="a"/>
        <w:numPr>
          <w:ilvl w:val="0"/>
          <w:numId w:val="17"/>
        </w:numPr>
        <w:rPr>
          <w:rtl/>
        </w:rPr>
      </w:pPr>
      <w:bookmarkStart w:id="16779" w:name="_Ref26776481"/>
      <w:r>
        <w:rPr>
          <w:rFonts w:hint="cs"/>
          <w:rtl/>
        </w:rPr>
        <w:t xml:space="preserve">וכ"כ </w:t>
      </w:r>
      <w:r>
        <w:rPr>
          <w:rStyle w:val="af8"/>
          <w:rtl/>
        </w:rPr>
        <w:t xml:space="preserve">הרשב"א בחי' </w:t>
      </w:r>
      <w:r w:rsidRPr="009F44AF">
        <w:rPr>
          <w:rStyle w:val="af6"/>
          <w:rFonts w:eastAsia="Guttman Hodes" w:hint="cs"/>
          <w:rtl/>
        </w:rPr>
        <w:t>(עג. ד"ה אבל הרמב"ן)</w:t>
      </w:r>
      <w:r>
        <w:rPr>
          <w:rStyle w:val="af8"/>
          <w:rtl/>
        </w:rPr>
        <w:t xml:space="preserve"> ובתוה"ב </w:t>
      </w:r>
      <w:r w:rsidRPr="009F44AF">
        <w:rPr>
          <w:rStyle w:val="af6"/>
          <w:rFonts w:eastAsiaTheme="minorHAnsi" w:hint="cs"/>
          <w:rtl/>
        </w:rPr>
        <w:t>(ב"ד ש"ב כז: מדה"ס)</w:t>
      </w:r>
      <w:r>
        <w:rPr>
          <w:rFonts w:hint="cs"/>
          <w:rtl/>
        </w:rPr>
        <w:t xml:space="preserve"> דדברי רב דימי נדחו מההלכה לגמרי, וקיי"ל דבין ביין נסך ובין בשאר איסורים לא אמרינן דקמא קמא בטיל, אלא דכל שיש נתינת טעם האיסור חוזר וניעור, דטעמא לא בטיל, וכתב </w:t>
      </w:r>
      <w:r>
        <w:rPr>
          <w:rStyle w:val="af8"/>
          <w:rtl/>
        </w:rPr>
        <w:t xml:space="preserve">הרשב"א </w:t>
      </w:r>
      <w:r>
        <w:rPr>
          <w:rFonts w:hint="cs"/>
          <w:rtl/>
        </w:rPr>
        <w:t xml:space="preserve">דכן מוכח מהא דמקשה הגמ' על רב דימי מהמשנה דיין במים בנותן טעם, ומשמע דרק לרב דימי קשה מהמשנה, אבל לדידן ניחא, דלא קיי"ל דקמא קמא בטיל, וכתב </w:t>
      </w:r>
      <w:r>
        <w:rPr>
          <w:rStyle w:val="af8"/>
          <w:rtl/>
        </w:rPr>
        <w:t xml:space="preserve">הרשב"א </w:t>
      </w:r>
      <w:r>
        <w:rPr>
          <w:rFonts w:hint="cs"/>
          <w:rtl/>
        </w:rPr>
        <w:t xml:space="preserve">דאילו לדעת </w:t>
      </w:r>
      <w:r>
        <w:rPr>
          <w:rStyle w:val="af8"/>
          <w:rtl/>
        </w:rPr>
        <w:t xml:space="preserve">הראב"ד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Ref26473733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סג</w:t>
      </w:r>
      <w:r w:rsidR="004D1C5B">
        <w:rPr>
          <w:rStyle w:val="af6"/>
          <w:rFonts w:eastAsia="Guttman Hodes"/>
          <w:rtl/>
        </w:rPr>
        <w:t>)</w:t>
      </w:r>
      <w:r>
        <w:rPr>
          <w:rFonts w:hint="cs"/>
          <w:rtl/>
        </w:rPr>
        <w:fldChar w:fldCharType="end"/>
      </w:r>
      <w:r>
        <w:rPr>
          <w:rFonts w:hint="cs"/>
          <w:rtl/>
        </w:rPr>
        <w:t xml:space="preserve"> דאף לדידן אמרינן במין בשאינו מינו כשיש נתינת טעם דקמא קמא בטיל, היה לרב דימי לומר ולטעמיך מי ניחא, ועיי"ש במה שביאר </w:t>
      </w:r>
      <w:r>
        <w:rPr>
          <w:rStyle w:val="af8"/>
          <w:rtl/>
        </w:rPr>
        <w:t xml:space="preserve">הרשב"א בחי' ובתוה"ב </w:t>
      </w:r>
      <w:r>
        <w:rPr>
          <w:rFonts w:hint="cs"/>
          <w:rtl/>
        </w:rPr>
        <w:t>את המשנה בערלה.</w:t>
      </w:r>
      <w:bookmarkEnd w:id="16779"/>
    </w:p>
    <w:p w:rsidR="009F44AF" w:rsidRDefault="009F44AF" w:rsidP="0098721B">
      <w:pPr>
        <w:pStyle w:val="1"/>
        <w:rPr>
          <w:rtl/>
        </w:rPr>
      </w:pPr>
      <w:bookmarkStart w:id="16780" w:name="_Toc26784076"/>
      <w:bookmarkStart w:id="16781" w:name="_Toc26781359"/>
      <w:bookmarkStart w:id="16782" w:name="_Toc26777150"/>
      <w:bookmarkStart w:id="16783" w:name="_Toc26742766"/>
      <w:bookmarkStart w:id="16784" w:name="_Toc26726096"/>
      <w:r>
        <w:rPr>
          <w:rFonts w:hint="cs"/>
          <w:rtl/>
        </w:rPr>
        <w:t>דברי הרמב"ן דקיי"ל דבמינו שיעור טעם חשוב וחוזר וניעור</w:t>
      </w:r>
      <w:bookmarkEnd w:id="16780"/>
    </w:p>
    <w:p w:rsidR="009F44AF" w:rsidRDefault="009F44AF" w:rsidP="009F44AF">
      <w:pPr>
        <w:pStyle w:val="a2"/>
        <w:rPr>
          <w:rtl/>
        </w:rPr>
      </w:pPr>
      <w:bookmarkStart w:id="16785" w:name="_Toc26784077"/>
      <w:r>
        <w:rPr>
          <w:rFonts w:hint="cs"/>
          <w:rtl/>
        </w:rPr>
        <w:t>דברי הרמב"ן דאף במין במינו שא"א לעמוד על הטעם כל שיש שיעור טעם הוא חשוב ולא בטל</w:t>
      </w:r>
      <w:bookmarkEnd w:id="16781"/>
      <w:bookmarkEnd w:id="16782"/>
      <w:bookmarkEnd w:id="16783"/>
      <w:bookmarkEnd w:id="16784"/>
      <w:bookmarkEnd w:id="16785"/>
    </w:p>
    <w:p w:rsidR="009F44AF" w:rsidRDefault="009F44AF" w:rsidP="009F44AF">
      <w:pPr>
        <w:pStyle w:val="a"/>
        <w:numPr>
          <w:ilvl w:val="0"/>
          <w:numId w:val="17"/>
        </w:numPr>
      </w:pPr>
      <w:r>
        <w:rPr>
          <w:rFonts w:hint="cs"/>
          <w:rtl/>
        </w:rPr>
        <w:t xml:space="preserve">והוסיף </w:t>
      </w:r>
      <w:r>
        <w:rPr>
          <w:rStyle w:val="af8"/>
          <w:rtl/>
        </w:rPr>
        <w:t xml:space="preserve">הרמב"ן </w:t>
      </w:r>
      <w:r>
        <w:rPr>
          <w:rFonts w:hint="cs"/>
          <w:rtl/>
        </w:rPr>
        <w:t xml:space="preserve">דאף במין במין שא"א לעמוד על טעמו, ג"כ כל שיש בו שיעור נתינת טעם, הוי דבר חשוב ואינו מתבטל, וכ"ש בדבר שאוסר במשהו דלא אמרינן דקמא קמא בטיל, ועיי"ש במה שביאר </w:t>
      </w:r>
      <w:r>
        <w:rPr>
          <w:rStyle w:val="af8"/>
          <w:rtl/>
        </w:rPr>
        <w:t>הרמב"ן</w:t>
      </w:r>
      <w:r>
        <w:rPr>
          <w:rFonts w:hint="cs"/>
          <w:rtl/>
        </w:rPr>
        <w:t xml:space="preserve"> במשנה בערלה. [ועי' במה שביאר </w:t>
      </w:r>
      <w:r>
        <w:rPr>
          <w:rStyle w:val="af8"/>
          <w:rtl/>
        </w:rPr>
        <w:t>השער"י</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Ref26776879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קכז</w:t>
      </w:r>
      <w:r w:rsidR="004D1C5B">
        <w:rPr>
          <w:rStyle w:val="af6"/>
          <w:rFonts w:eastAsia="Guttman Hodes"/>
          <w:rtl/>
        </w:rPr>
        <w:t>)</w:t>
      </w:r>
      <w:r w:rsidRPr="009F44AF">
        <w:rPr>
          <w:rStyle w:val="af6"/>
          <w:rFonts w:eastAsia="Guttman Hodes" w:hint="cs"/>
          <w:rtl/>
        </w:rPr>
        <w:fldChar w:fldCharType="end"/>
      </w:r>
      <w:r>
        <w:rPr>
          <w:rFonts w:hint="cs"/>
          <w:rtl/>
        </w:rPr>
        <w:t xml:space="preserve"> בדברי </w:t>
      </w:r>
      <w:r>
        <w:rPr>
          <w:rStyle w:val="af8"/>
          <w:rtl/>
        </w:rPr>
        <w:t>הרמב"ן</w:t>
      </w:r>
      <w:r>
        <w:rPr>
          <w:rFonts w:hint="cs"/>
          <w:rtl/>
        </w:rPr>
        <w:t>].</w:t>
      </w:r>
    </w:p>
    <w:p w:rsidR="009F44AF" w:rsidRDefault="009F44AF" w:rsidP="009F44AF">
      <w:pPr>
        <w:pStyle w:val="a2"/>
        <w:rPr>
          <w:rtl/>
        </w:rPr>
      </w:pPr>
      <w:bookmarkStart w:id="16786" w:name="_Toc26784078"/>
      <w:bookmarkStart w:id="16787" w:name="_Toc26781360"/>
      <w:bookmarkStart w:id="16788" w:name="_Toc26777151"/>
      <w:bookmarkStart w:id="16789" w:name="_Toc26742767"/>
      <w:bookmarkStart w:id="16790" w:name="_Toc26726097"/>
      <w:r>
        <w:rPr>
          <w:rFonts w:hint="cs"/>
          <w:rtl/>
        </w:rPr>
        <w:t>דברי הפרי תואר דלרמב"ן בדבר ששיעורו מדרבנן קמא קמא בטיל ובדאו' חוזר וניעור</w:t>
      </w:r>
      <w:bookmarkEnd w:id="16786"/>
      <w:bookmarkEnd w:id="16787"/>
      <w:bookmarkEnd w:id="16788"/>
      <w:bookmarkEnd w:id="16789"/>
      <w:bookmarkEnd w:id="16790"/>
    </w:p>
    <w:p w:rsidR="009F44AF" w:rsidRDefault="009F44AF" w:rsidP="009F44AF">
      <w:pPr>
        <w:pStyle w:val="a"/>
        <w:numPr>
          <w:ilvl w:val="0"/>
          <w:numId w:val="17"/>
        </w:numPr>
      </w:pPr>
      <w:bookmarkStart w:id="16791" w:name="_Ref26733866"/>
      <w:r>
        <w:rPr>
          <w:rFonts w:hint="cs"/>
          <w:rtl/>
        </w:rPr>
        <w:t xml:space="preserve">וכתב </w:t>
      </w:r>
      <w:r>
        <w:rPr>
          <w:rStyle w:val="af8"/>
          <w:rtl/>
        </w:rPr>
        <w:t>הפרי תואר [לבעל האוה"ח]</w:t>
      </w:r>
      <w:r>
        <w:rPr>
          <w:rFonts w:hint="cs"/>
          <w:rtl/>
        </w:rPr>
        <w:t xml:space="preserve"> </w:t>
      </w:r>
      <w:r w:rsidRPr="009F44AF">
        <w:rPr>
          <w:rStyle w:val="af6"/>
          <w:rFonts w:eastAsia="Guttman Hodes" w:hint="cs"/>
          <w:rtl/>
        </w:rPr>
        <w:t>(סי' צ"ט סקי"ב ד"ה ולהרמב"ן והרשב"א)</w:t>
      </w:r>
      <w:r>
        <w:rPr>
          <w:rFonts w:hint="cs"/>
          <w:rtl/>
        </w:rPr>
        <w:t xml:space="preserve"> דלדעת </w:t>
      </w:r>
      <w:r>
        <w:rPr>
          <w:rStyle w:val="af8"/>
          <w:rtl/>
        </w:rPr>
        <w:t>הרמב"ן</w:t>
      </w:r>
      <w:r>
        <w:rPr>
          <w:rFonts w:hint="cs"/>
          <w:rtl/>
        </w:rPr>
        <w:t xml:space="preserve"> בדבר ששיעורו הוא מדרבנן כגון תרומה שהיא במאה או ערלה במאתיים, אמרינן דקמא קמא בטיל, </w:t>
      </w:r>
      <w:r>
        <w:rPr>
          <w:rStyle w:val="afa"/>
          <w:rtl/>
        </w:rPr>
        <w:t xml:space="preserve">[ודלא </w:t>
      </w:r>
      <w:r>
        <w:rPr>
          <w:rStyle w:val="affa"/>
          <w:rtl/>
        </w:rPr>
        <w:t>כהרא"ש</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Ref26733811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לג)</w:t>
      </w:r>
      <w:r>
        <w:rPr>
          <w:rFonts w:hint="cs"/>
          <w:rtl/>
        </w:rPr>
        <w:fldChar w:fldCharType="end"/>
      </w:r>
      <w:r>
        <w:rPr>
          <w:rStyle w:val="afa"/>
          <w:rtl/>
        </w:rPr>
        <w:t>],</w:t>
      </w:r>
      <w:r>
        <w:rPr>
          <w:rFonts w:hint="cs"/>
          <w:rtl/>
        </w:rPr>
        <w:t xml:space="preserve"> אבל בשאר האופנים כשהשיעור הוא מדאו' כמין בשאינו מינו, או במין במינו שהוא דרבנן, אמרינן דהאיסור חוזר וניעור, וה"ה במחצה על מחצה דאמרינן דהאיסור חוזר וניעור, </w:t>
      </w:r>
      <w:r>
        <w:rPr>
          <w:rStyle w:val="afa"/>
          <w:rtl/>
        </w:rPr>
        <w:t xml:space="preserve">[ודלא </w:t>
      </w:r>
      <w:r>
        <w:rPr>
          <w:rStyle w:val="affa"/>
          <w:rtl/>
        </w:rPr>
        <w:t xml:space="preserve">כהראב"ד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Ref26199764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קכ)</w:t>
      </w:r>
      <w:r>
        <w:rPr>
          <w:rFonts w:hint="cs"/>
          <w:rtl/>
        </w:rPr>
        <w:fldChar w:fldCharType="end"/>
      </w:r>
      <w:r>
        <w:rPr>
          <w:rStyle w:val="afa"/>
          <w:rtl/>
        </w:rPr>
        <w:t>],</w:t>
      </w:r>
      <w:r>
        <w:rPr>
          <w:rFonts w:hint="cs"/>
          <w:rtl/>
        </w:rPr>
        <w:t xml:space="preserve"> וע"ע במה שביאר </w:t>
      </w:r>
      <w:r>
        <w:rPr>
          <w:rStyle w:val="af8"/>
          <w:rtl/>
        </w:rPr>
        <w:t>הפרי תואר</w:t>
      </w:r>
      <w:r>
        <w:rPr>
          <w:rFonts w:hint="cs"/>
          <w:rtl/>
        </w:rPr>
        <w:t xml:space="preserve"> </w:t>
      </w:r>
      <w:r w:rsidRPr="009F44AF">
        <w:rPr>
          <w:rStyle w:val="af6"/>
          <w:rFonts w:eastAsia="Guttman Hodes" w:hint="cs"/>
          <w:rtl/>
        </w:rPr>
        <w:t>(סי' צ"ט סקי"ב ד"ה הדעה האחת)</w:t>
      </w:r>
      <w:r>
        <w:rPr>
          <w:rFonts w:hint="cs"/>
          <w:rtl/>
        </w:rPr>
        <w:t xml:space="preserve"> את המשניות בערלה ובתרומות לדעת </w:t>
      </w:r>
      <w:r>
        <w:rPr>
          <w:rStyle w:val="af8"/>
          <w:rtl/>
        </w:rPr>
        <w:t>הרמב"ן</w:t>
      </w:r>
      <w:r>
        <w:rPr>
          <w:rFonts w:hint="cs"/>
          <w:rtl/>
        </w:rPr>
        <w:t>.</w:t>
      </w:r>
      <w:bookmarkEnd w:id="16791"/>
    </w:p>
    <w:p w:rsidR="009F44AF" w:rsidRDefault="009F44AF" w:rsidP="009F44AF">
      <w:pPr>
        <w:pStyle w:val="afd"/>
        <w:rPr>
          <w:rtl/>
        </w:rPr>
      </w:pPr>
      <w:bookmarkStart w:id="16792" w:name="_Toc26781361"/>
      <w:bookmarkStart w:id="16793" w:name="_Toc26777152"/>
      <w:bookmarkStart w:id="16794" w:name="_Toc26742768"/>
      <w:bookmarkStart w:id="16795" w:name="_Toc26726098"/>
      <w:bookmarkStart w:id="16796" w:name="_Toc26702421"/>
      <w:bookmarkStart w:id="16797" w:name="_Toc26784079"/>
      <w:bookmarkStart w:id="16798" w:name="_Toc26523454"/>
      <w:bookmarkStart w:id="16799" w:name="_Toc26477572"/>
      <w:bookmarkStart w:id="16800" w:name="_Toc26477447"/>
      <w:bookmarkStart w:id="16801" w:name="_Toc26442714"/>
      <w:bookmarkStart w:id="16802" w:name="_Toc26218284"/>
      <w:bookmarkStart w:id="16803" w:name="_Toc26442717"/>
      <w:bookmarkStart w:id="16804" w:name="_Toc26218287"/>
      <w:r>
        <w:rPr>
          <w:rFonts w:hint="cs"/>
          <w:rtl/>
        </w:rPr>
        <w:t>דברי הר"ן</w:t>
      </w:r>
      <w:bookmarkEnd w:id="16792"/>
      <w:bookmarkEnd w:id="16793"/>
      <w:bookmarkEnd w:id="16794"/>
      <w:bookmarkEnd w:id="16795"/>
      <w:bookmarkEnd w:id="16796"/>
      <w:r>
        <w:rPr>
          <w:rFonts w:hint="cs"/>
          <w:rtl/>
        </w:rPr>
        <w:t xml:space="preserve"> בהיתר שנפל לתוך איסור</w:t>
      </w:r>
      <w:bookmarkEnd w:id="16797"/>
    </w:p>
    <w:p w:rsidR="009F44AF" w:rsidRDefault="009F44AF" w:rsidP="0098721B">
      <w:pPr>
        <w:pStyle w:val="1"/>
        <w:rPr>
          <w:rtl/>
        </w:rPr>
      </w:pPr>
      <w:bookmarkStart w:id="16805" w:name="_Toc26781362"/>
      <w:bookmarkStart w:id="16806" w:name="_Toc26777153"/>
      <w:bookmarkStart w:id="16807" w:name="_Toc26742769"/>
      <w:bookmarkStart w:id="16808" w:name="_Toc26726099"/>
      <w:bookmarkStart w:id="16809" w:name="_Toc26784080"/>
      <w:r>
        <w:rPr>
          <w:rFonts w:hint="cs"/>
          <w:rtl/>
        </w:rPr>
        <w:t>ביאור הר"ן</w:t>
      </w:r>
      <w:bookmarkEnd w:id="16805"/>
      <w:bookmarkEnd w:id="16806"/>
      <w:bookmarkEnd w:id="16807"/>
      <w:bookmarkEnd w:id="16808"/>
      <w:r>
        <w:rPr>
          <w:rFonts w:hint="cs"/>
          <w:rtl/>
        </w:rPr>
        <w:t xml:space="preserve"> דאיסור שעומד במקומו חשוב ומבטל את ההיתר</w:t>
      </w:r>
      <w:bookmarkEnd w:id="16809"/>
      <w:r>
        <w:rPr>
          <w:rFonts w:hint="cs"/>
          <w:rtl/>
        </w:rPr>
        <w:t xml:space="preserve"> </w:t>
      </w:r>
    </w:p>
    <w:p w:rsidR="009F44AF" w:rsidRDefault="009F44AF" w:rsidP="009F44AF">
      <w:pPr>
        <w:pStyle w:val="a2"/>
        <w:rPr>
          <w:rtl/>
        </w:rPr>
      </w:pPr>
      <w:bookmarkStart w:id="16810" w:name="_Toc26784081"/>
      <w:bookmarkStart w:id="16811" w:name="_Toc26781363"/>
      <w:bookmarkStart w:id="16812" w:name="_Toc26777154"/>
      <w:bookmarkStart w:id="16813" w:name="_Toc26742770"/>
      <w:bookmarkStart w:id="16814" w:name="_Toc26726100"/>
      <w:r>
        <w:rPr>
          <w:rFonts w:hint="cs"/>
          <w:rtl/>
        </w:rPr>
        <w:t>דברי הר"ן דהיתר שנפל לאיסור אמרינן קמא קמא בטיל כיון שהאיסור במקומו והוא חשוב</w:t>
      </w:r>
      <w:bookmarkEnd w:id="16810"/>
      <w:bookmarkEnd w:id="16811"/>
      <w:bookmarkEnd w:id="16812"/>
      <w:bookmarkEnd w:id="16813"/>
      <w:bookmarkEnd w:id="16814"/>
    </w:p>
    <w:p w:rsidR="009F44AF" w:rsidRDefault="009F44AF" w:rsidP="009F44AF">
      <w:pPr>
        <w:pStyle w:val="a"/>
        <w:numPr>
          <w:ilvl w:val="0"/>
          <w:numId w:val="17"/>
        </w:numPr>
        <w:rPr>
          <w:rtl/>
        </w:rPr>
      </w:pPr>
      <w:bookmarkStart w:id="16815" w:name="_Ref26735816"/>
      <w:r>
        <w:rPr>
          <w:rFonts w:hint="cs"/>
          <w:rtl/>
        </w:rPr>
        <w:lastRenderedPageBreak/>
        <w:t xml:space="preserve">כתב </w:t>
      </w:r>
      <w:r>
        <w:rPr>
          <w:rStyle w:val="af8"/>
          <w:rtl/>
        </w:rPr>
        <w:t>הר"ן בחי'</w:t>
      </w:r>
      <w:r>
        <w:rPr>
          <w:rFonts w:hint="cs"/>
          <w:rtl/>
        </w:rPr>
        <w:t xml:space="preserve"> </w:t>
      </w:r>
      <w:r w:rsidRPr="009F44AF">
        <w:rPr>
          <w:rStyle w:val="af6"/>
          <w:rFonts w:eastAsia="Guttman Hodes" w:hint="cs"/>
          <w:rtl/>
        </w:rPr>
        <w:t>(עג. ד"ה תנן)</w:t>
      </w:r>
      <w:r>
        <w:rPr>
          <w:rFonts w:hint="cs"/>
          <w:rtl/>
        </w:rPr>
        <w:t xml:space="preserve"> </w:t>
      </w:r>
      <w:r>
        <w:rPr>
          <w:rStyle w:val="af8"/>
          <w:rtl/>
        </w:rPr>
        <w:t xml:space="preserve">ועל הרי"ף </w:t>
      </w:r>
      <w:r w:rsidRPr="009F44AF">
        <w:rPr>
          <w:rStyle w:val="af6"/>
          <w:rFonts w:eastAsia="Guttman Hodes" w:hint="cs"/>
          <w:rtl/>
        </w:rPr>
        <w:t xml:space="preserve">(לה: מדה"ר ד"ה ודחינן) </w:t>
      </w:r>
      <w:r>
        <w:rPr>
          <w:rFonts w:hint="cs"/>
          <w:rtl/>
        </w:rPr>
        <w:t>דהא דבהיתר שנפל לתוך איסור, כל שלא נפל בבת אחת, אמרינן דקמא קמא בטיל, כיון שהאיסור עומד במקומו וההיתר נופל לתוכו, ודבר שעומד במקומו חשוב יותר ממה שנופל לתוכו.</w:t>
      </w:r>
      <w:bookmarkEnd w:id="16815"/>
    </w:p>
    <w:p w:rsidR="009F44AF" w:rsidRDefault="009F44AF" w:rsidP="009F44AF">
      <w:pPr>
        <w:pStyle w:val="a2"/>
        <w:rPr>
          <w:rtl/>
        </w:rPr>
      </w:pPr>
      <w:bookmarkStart w:id="16816" w:name="_Toc26784082"/>
      <w:bookmarkStart w:id="16817" w:name="_Toc26781364"/>
      <w:bookmarkStart w:id="16818" w:name="_Toc26777155"/>
      <w:bookmarkStart w:id="16819" w:name="_Toc26742771"/>
      <w:bookmarkStart w:id="16820" w:name="_Toc26726101"/>
      <w:r>
        <w:rPr>
          <w:rFonts w:hint="cs"/>
          <w:rtl/>
        </w:rPr>
        <w:t>דברי הר"ן דיי"נ שעומד במקומו ונפל לתוכו יין היתר פחות במשהו מהאיסור נאסר</w:t>
      </w:r>
      <w:bookmarkEnd w:id="16816"/>
      <w:bookmarkEnd w:id="16817"/>
      <w:bookmarkEnd w:id="16818"/>
      <w:bookmarkEnd w:id="16819"/>
      <w:bookmarkEnd w:id="16820"/>
    </w:p>
    <w:p w:rsidR="009F44AF" w:rsidRDefault="009F44AF" w:rsidP="009F44AF">
      <w:pPr>
        <w:pStyle w:val="a"/>
        <w:numPr>
          <w:ilvl w:val="0"/>
          <w:numId w:val="17"/>
        </w:numPr>
      </w:pPr>
      <w:r>
        <w:rPr>
          <w:rFonts w:hint="cs"/>
          <w:rtl/>
        </w:rPr>
        <w:t xml:space="preserve">וכתב </w:t>
      </w:r>
      <w:r>
        <w:rPr>
          <w:rStyle w:val="af8"/>
          <w:rtl/>
        </w:rPr>
        <w:t xml:space="preserve">הר"ן בחי' ועל הרי"ף </w:t>
      </w:r>
      <w:r>
        <w:rPr>
          <w:rFonts w:hint="cs"/>
          <w:rtl/>
        </w:rPr>
        <w:t>לכן אף כשיש משהו של יין אסור, שעומד במקומו והוא חשוב, ונפל לתוכו יין של היתר פחות ממנו במשהו, הוא נאסר, ואף אם נפלה חבית גדולה של היתר בבת אחת לתוך הבור, ויש בבור יותר יין נסך, הכל אסור.</w:t>
      </w:r>
    </w:p>
    <w:p w:rsidR="009F44AF" w:rsidRDefault="009F44AF" w:rsidP="0098721B">
      <w:pPr>
        <w:pStyle w:val="1"/>
        <w:rPr>
          <w:rtl/>
        </w:rPr>
      </w:pPr>
      <w:bookmarkStart w:id="16821" w:name="_Toc26784083"/>
      <w:r>
        <w:rPr>
          <w:rFonts w:hint="cs"/>
          <w:rtl/>
        </w:rPr>
        <w:t>דברי הר"ן דהיתר במקומו חשוב ומבטל את האיסור במין במינו</w:t>
      </w:r>
      <w:bookmarkEnd w:id="16821"/>
      <w:r>
        <w:rPr>
          <w:rFonts w:hint="cs"/>
          <w:rtl/>
        </w:rPr>
        <w:t xml:space="preserve"> </w:t>
      </w:r>
    </w:p>
    <w:p w:rsidR="009F44AF" w:rsidRDefault="009F44AF" w:rsidP="009F44AF">
      <w:pPr>
        <w:pStyle w:val="a2"/>
        <w:rPr>
          <w:rtl/>
        </w:rPr>
      </w:pPr>
      <w:bookmarkStart w:id="16822" w:name="_Toc26784084"/>
      <w:bookmarkStart w:id="16823" w:name="_Toc26781365"/>
      <w:bookmarkStart w:id="16824" w:name="_Toc26777156"/>
      <w:bookmarkStart w:id="16825" w:name="_Toc26742772"/>
      <w:bookmarkStart w:id="16826" w:name="_Toc26726102"/>
      <w:r>
        <w:rPr>
          <w:rFonts w:hint="cs"/>
          <w:rtl/>
        </w:rPr>
        <w:t>דברי הר"ן דהיתר שעומד במקומו ונפל לתוכו איסור פחות משיעור נו"ט בהיתר דהאיסור בטל</w:t>
      </w:r>
      <w:bookmarkEnd w:id="16822"/>
      <w:bookmarkEnd w:id="16823"/>
      <w:bookmarkEnd w:id="16824"/>
      <w:bookmarkEnd w:id="16825"/>
      <w:bookmarkEnd w:id="16826"/>
    </w:p>
    <w:p w:rsidR="009F44AF" w:rsidRDefault="009F44AF" w:rsidP="009F44AF">
      <w:pPr>
        <w:pStyle w:val="a"/>
        <w:numPr>
          <w:ilvl w:val="0"/>
          <w:numId w:val="17"/>
        </w:numPr>
        <w:rPr>
          <w:rtl/>
        </w:rPr>
      </w:pPr>
      <w:r>
        <w:rPr>
          <w:rFonts w:hint="cs"/>
          <w:rtl/>
        </w:rPr>
        <w:t xml:space="preserve">וכשההיתר עומד במקומו, ונפל לתוכו איסור, כתב </w:t>
      </w:r>
      <w:r>
        <w:rPr>
          <w:rStyle w:val="af8"/>
          <w:rtl/>
        </w:rPr>
        <w:t xml:space="preserve">הר"ן בחי' ועל הרי"ף </w:t>
      </w:r>
      <w:r>
        <w:rPr>
          <w:rFonts w:hint="cs"/>
          <w:rtl/>
        </w:rPr>
        <w:t xml:space="preserve">דההיתר מבטל את האיסור, כיון שההיתר הוא החשוב אא"כ נפל איסור מרובה בשיעור שהוא נותן טעם בהיתר, וכתב </w:t>
      </w:r>
      <w:r>
        <w:rPr>
          <w:rStyle w:val="af8"/>
          <w:rtl/>
        </w:rPr>
        <w:t xml:space="preserve">הר"ן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Ref26778240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w:t>
      </w:r>
      <w:r w:rsidR="004D1C5B">
        <w:rPr>
          <w:rStyle w:val="af6"/>
          <w:rFonts w:eastAsia="Guttman Hodes"/>
          <w:rtl/>
        </w:rPr>
        <w:t>)</w:t>
      </w:r>
      <w:r>
        <w:rPr>
          <w:rFonts w:hint="cs"/>
          <w:rtl/>
        </w:rPr>
        <w:fldChar w:fldCharType="end"/>
      </w:r>
      <w:r>
        <w:rPr>
          <w:rFonts w:hint="cs"/>
          <w:rtl/>
        </w:rPr>
        <w:t xml:space="preserve"> דכן משמע מדברי </w:t>
      </w:r>
      <w:r>
        <w:rPr>
          <w:rStyle w:val="af8"/>
          <w:rtl/>
        </w:rPr>
        <w:t>הרמב"ם</w:t>
      </w:r>
      <w:r>
        <w:rPr>
          <w:rFonts w:hint="cs"/>
          <w:rtl/>
        </w:rPr>
        <w:t xml:space="preserve"> </w:t>
      </w:r>
      <w:r w:rsidRPr="009F44AF">
        <w:rPr>
          <w:rStyle w:val="af6"/>
          <w:rFonts w:eastAsiaTheme="minorHAnsi" w:hint="cs"/>
          <w:rtl/>
        </w:rPr>
        <w:t xml:space="preserve">(עי' אות </w:t>
      </w:r>
      <w:r>
        <w:rPr>
          <w:rFonts w:hint="cs"/>
          <w:rtl/>
        </w:rPr>
        <w:fldChar w:fldCharType="begin"/>
      </w:r>
      <w:r w:rsidRPr="009F44AF">
        <w:rPr>
          <w:rStyle w:val="af6"/>
          <w:rFonts w:eastAsiaTheme="minorHAnsi" w:hint="cs"/>
          <w:rtl/>
        </w:rPr>
        <w:instrText xml:space="preserve"> </w:instrText>
      </w:r>
      <w:r w:rsidRPr="009F44AF">
        <w:rPr>
          <w:rStyle w:val="af6"/>
          <w:rFonts w:eastAsiaTheme="minorHAnsi"/>
        </w:rPr>
        <w:instrText>REF</w:instrText>
      </w:r>
      <w:r w:rsidRPr="009F44AF">
        <w:rPr>
          <w:rStyle w:val="af6"/>
          <w:rFonts w:eastAsiaTheme="minorHAnsi" w:hint="cs"/>
          <w:rtl/>
        </w:rPr>
        <w:instrText xml:space="preserve"> _</w:instrText>
      </w:r>
      <w:r w:rsidRPr="009F44AF">
        <w:rPr>
          <w:rStyle w:val="af6"/>
          <w:rFonts w:eastAsiaTheme="minorHAnsi"/>
        </w:rPr>
        <w:instrText>Ref26183771 \r \h</w:instrText>
      </w:r>
      <w:r w:rsidRPr="009F44AF">
        <w:rPr>
          <w:rStyle w:val="af6"/>
          <w:rFonts w:eastAsiaTheme="minorHAnsi" w:hint="cs"/>
          <w:rtl/>
        </w:rPr>
        <w:instrText xml:space="preserve"> </w:instrText>
      </w:r>
      <w:r>
        <w:rPr>
          <w:rFonts w:hint="cs"/>
          <w:rtl/>
        </w:rPr>
      </w:r>
      <w:r>
        <w:rPr>
          <w:rFonts w:hint="cs"/>
          <w:rtl/>
        </w:rPr>
        <w:fldChar w:fldCharType="separate"/>
      </w:r>
      <w:r w:rsidR="004D1C5B">
        <w:rPr>
          <w:rStyle w:val="af6"/>
          <w:rFonts w:eastAsiaTheme="minorHAnsi" w:hint="eastAsia"/>
          <w:cs/>
        </w:rPr>
        <w:t>‎</w:t>
      </w:r>
      <w:r w:rsidR="004D1C5B">
        <w:rPr>
          <w:rStyle w:val="af6"/>
          <w:rFonts w:eastAsiaTheme="minorHAnsi" w:hint="eastAsia"/>
          <w:rtl/>
        </w:rPr>
        <w:t>קב</w:t>
      </w:r>
      <w:r w:rsidR="004D1C5B">
        <w:rPr>
          <w:rStyle w:val="af6"/>
          <w:rFonts w:eastAsiaTheme="minorHAnsi"/>
          <w:rtl/>
        </w:rPr>
        <w:t>)</w:t>
      </w:r>
      <w:r>
        <w:rPr>
          <w:rFonts w:hint="cs"/>
          <w:rtl/>
        </w:rPr>
        <w:fldChar w:fldCharType="end"/>
      </w:r>
      <w:r>
        <w:rPr>
          <w:rFonts w:hint="cs"/>
          <w:rtl/>
        </w:rPr>
        <w:t xml:space="preserve">, ועיי"ש במה שהביא </w:t>
      </w:r>
      <w:r>
        <w:rPr>
          <w:rStyle w:val="af8"/>
          <w:rtl/>
        </w:rPr>
        <w:t xml:space="preserve">הר"ן </w:t>
      </w:r>
      <w:r>
        <w:rPr>
          <w:rFonts w:hint="cs"/>
          <w:rtl/>
        </w:rPr>
        <w:t xml:space="preserve">ראיה מהמשנה במקוואות </w:t>
      </w:r>
      <w:r w:rsidRPr="009F44AF">
        <w:rPr>
          <w:rStyle w:val="af6"/>
          <w:rFonts w:eastAsia="Guttman Hodes" w:hint="cs"/>
          <w:rtl/>
        </w:rPr>
        <w:t>(פ"ד מ"ד)</w:t>
      </w:r>
      <w:r>
        <w:rPr>
          <w:rFonts w:hint="cs"/>
          <w:rtl/>
        </w:rPr>
        <w:t>.</w:t>
      </w:r>
    </w:p>
    <w:p w:rsidR="009F44AF" w:rsidRDefault="009F44AF" w:rsidP="0098721B">
      <w:pPr>
        <w:pStyle w:val="1"/>
        <w:rPr>
          <w:rtl/>
        </w:rPr>
      </w:pPr>
      <w:bookmarkStart w:id="16827" w:name="_Toc26784085"/>
      <w:bookmarkStart w:id="16828" w:name="_Toc26781366"/>
      <w:bookmarkStart w:id="16829" w:name="_Toc26777157"/>
      <w:bookmarkStart w:id="16830" w:name="_Toc26742773"/>
      <w:bookmarkStart w:id="16831" w:name="_Toc26726103"/>
      <w:r>
        <w:rPr>
          <w:rFonts w:hint="cs"/>
          <w:rtl/>
        </w:rPr>
        <w:t>דברי הר"ן דבאינו מינו היתר שנפל לאיסור ואין נו"ט לא בטל</w:t>
      </w:r>
      <w:bookmarkEnd w:id="16827"/>
    </w:p>
    <w:p w:rsidR="009F44AF" w:rsidRDefault="009F44AF" w:rsidP="009F44AF">
      <w:pPr>
        <w:pStyle w:val="a2"/>
        <w:rPr>
          <w:rtl/>
        </w:rPr>
      </w:pPr>
      <w:bookmarkStart w:id="16832" w:name="_Toc26784086"/>
      <w:r>
        <w:rPr>
          <w:rFonts w:hint="cs"/>
          <w:rtl/>
        </w:rPr>
        <w:t>דברי הר"ן דבהיתר שנפל לאיסור במין בשאינו מינו בפחות מנו"ט אינו נאסר אף בנפל בבת אחת</w:t>
      </w:r>
      <w:bookmarkEnd w:id="16828"/>
      <w:bookmarkEnd w:id="16829"/>
      <w:bookmarkEnd w:id="16830"/>
      <w:bookmarkEnd w:id="16831"/>
      <w:bookmarkEnd w:id="16832"/>
    </w:p>
    <w:p w:rsidR="009F44AF" w:rsidRDefault="009F44AF" w:rsidP="009F44AF">
      <w:pPr>
        <w:pStyle w:val="a"/>
        <w:numPr>
          <w:ilvl w:val="0"/>
          <w:numId w:val="17"/>
        </w:numPr>
      </w:pPr>
      <w:r>
        <w:rPr>
          <w:rFonts w:hint="cs"/>
          <w:rtl/>
        </w:rPr>
        <w:t xml:space="preserve">אך כתב </w:t>
      </w:r>
      <w:r>
        <w:rPr>
          <w:rStyle w:val="af8"/>
          <w:rtl/>
        </w:rPr>
        <w:t xml:space="preserve">הר"ן בחי' ועל הרי"ף </w:t>
      </w:r>
      <w:r>
        <w:rPr>
          <w:rFonts w:hint="cs"/>
          <w:rtl/>
        </w:rPr>
        <w:t>דהא דהיתר שנפל לאיסור שעומד במקומו בטל ונאסר, זהו דוקא במין במינו אבל במין בשאינו מינו, אף כשנפל היתר בבת אחת למים של איסור ואין במים שיעור נתינת טעם באיסור, אינו נאסר, כדתנן במתני' דיין במים בנותן טעם.</w:t>
      </w:r>
    </w:p>
    <w:p w:rsidR="009F44AF" w:rsidRDefault="009F44AF" w:rsidP="009F44AF">
      <w:pPr>
        <w:pStyle w:val="a2"/>
        <w:rPr>
          <w:rtl/>
        </w:rPr>
      </w:pPr>
    </w:p>
    <w:p w:rsidR="009F44AF" w:rsidRDefault="009F44AF" w:rsidP="009F44AF">
      <w:pPr>
        <w:pStyle w:val="a2"/>
        <w:rPr>
          <w:rtl/>
        </w:rPr>
      </w:pPr>
    </w:p>
    <w:p w:rsidR="009F44AF" w:rsidRDefault="009F44AF" w:rsidP="0098721B">
      <w:pPr>
        <w:pStyle w:val="1"/>
        <w:rPr>
          <w:rtl/>
        </w:rPr>
      </w:pPr>
      <w:bookmarkStart w:id="16833" w:name="_Toc26781367"/>
      <w:bookmarkStart w:id="16834" w:name="_Toc26777158"/>
      <w:bookmarkStart w:id="16835" w:name="_Toc26742774"/>
      <w:bookmarkStart w:id="16836" w:name="_Toc26726104"/>
      <w:bookmarkStart w:id="16837" w:name="_Toc26784087"/>
      <w:r>
        <w:rPr>
          <w:rFonts w:hint="cs"/>
          <w:rtl/>
        </w:rPr>
        <w:t xml:space="preserve">ביאור הר"ן בחומרא דיי"נ </w:t>
      </w:r>
      <w:bookmarkEnd w:id="16833"/>
      <w:bookmarkEnd w:id="16834"/>
      <w:bookmarkEnd w:id="16835"/>
      <w:bookmarkEnd w:id="16836"/>
      <w:r>
        <w:rPr>
          <w:rFonts w:hint="cs"/>
          <w:rtl/>
        </w:rPr>
        <w:t>דאף איסור מועט אוסר היתר מרובה</w:t>
      </w:r>
      <w:bookmarkEnd w:id="16837"/>
    </w:p>
    <w:p w:rsidR="009F44AF" w:rsidRDefault="009F44AF" w:rsidP="009F44AF">
      <w:pPr>
        <w:pStyle w:val="a2"/>
        <w:rPr>
          <w:rtl/>
        </w:rPr>
      </w:pPr>
      <w:bookmarkStart w:id="16838" w:name="_Toc26784088"/>
      <w:bookmarkStart w:id="16839" w:name="_Toc26781368"/>
      <w:bookmarkStart w:id="16840" w:name="_Toc26777159"/>
      <w:bookmarkStart w:id="16841" w:name="_Toc26742775"/>
      <w:bookmarkStart w:id="16842" w:name="_Toc26726105"/>
      <w:r>
        <w:rPr>
          <w:rFonts w:hint="cs"/>
          <w:rtl/>
        </w:rPr>
        <w:t>דברי הר"ן דביי"נ במינו היתר מרובה נאסר כשנפל לאיסור אף כשאין באיסור שיעור נו"ט</w:t>
      </w:r>
      <w:bookmarkEnd w:id="16838"/>
      <w:bookmarkEnd w:id="16839"/>
      <w:bookmarkEnd w:id="16840"/>
      <w:bookmarkEnd w:id="16841"/>
      <w:bookmarkEnd w:id="16842"/>
    </w:p>
    <w:p w:rsidR="009F44AF" w:rsidRDefault="009F44AF" w:rsidP="009F44AF">
      <w:pPr>
        <w:pStyle w:val="a"/>
        <w:numPr>
          <w:ilvl w:val="0"/>
          <w:numId w:val="17"/>
        </w:numPr>
      </w:pPr>
      <w:r>
        <w:rPr>
          <w:rFonts w:hint="cs"/>
          <w:rtl/>
        </w:rPr>
        <w:t xml:space="preserve">והוסיף </w:t>
      </w:r>
      <w:r>
        <w:rPr>
          <w:rStyle w:val="af8"/>
          <w:rtl/>
        </w:rPr>
        <w:t>הר"ן בחי'</w:t>
      </w:r>
      <w:r>
        <w:rPr>
          <w:rFonts w:hint="cs"/>
          <w:rtl/>
        </w:rPr>
        <w:t xml:space="preserve"> </w:t>
      </w:r>
      <w:r w:rsidRPr="009F44AF">
        <w:rPr>
          <w:rStyle w:val="af6"/>
          <w:rFonts w:eastAsia="Guttman Hodes" w:hint="cs"/>
          <w:rtl/>
        </w:rPr>
        <w:t>(עג. ד"ה תנן)</w:t>
      </w:r>
      <w:r>
        <w:rPr>
          <w:rFonts w:hint="cs"/>
          <w:rtl/>
        </w:rPr>
        <w:t xml:space="preserve"> </w:t>
      </w:r>
      <w:r>
        <w:rPr>
          <w:rStyle w:val="af8"/>
          <w:rtl/>
        </w:rPr>
        <w:t xml:space="preserve">ועל הרי"ף </w:t>
      </w:r>
      <w:r w:rsidRPr="009F44AF">
        <w:rPr>
          <w:rStyle w:val="af6"/>
          <w:rFonts w:eastAsia="Guttman Hodes" w:hint="cs"/>
          <w:rtl/>
        </w:rPr>
        <w:t xml:space="preserve">(לה: מדה"ר ד"ה ודחינן) </w:t>
      </w:r>
      <w:r>
        <w:rPr>
          <w:rFonts w:hint="cs"/>
          <w:rtl/>
        </w:rPr>
        <w:t xml:space="preserve">דלפי"ז ברור החילוק בין החומרא ביין נסך, לבין שאר איסורים, דביין נסך במין במינו אף כשנפל היתר מרובה בבת אחת לתוך איסור מועט הוא נאסר, </w:t>
      </w:r>
      <w:r>
        <w:rPr>
          <w:rStyle w:val="afa"/>
          <w:rtl/>
        </w:rPr>
        <w:t xml:space="preserve">[דהיינו שאין בו שיעור נו"ט, כיון שהאיסור עומד במקומו והוא חשוב], </w:t>
      </w:r>
      <w:r>
        <w:rPr>
          <w:rFonts w:hint="cs"/>
          <w:rtl/>
        </w:rPr>
        <w:t xml:space="preserve">אבל בשאר איסורים כל שאין באיסור שיעור של נתינת טעם בהיתר, אינו נאסר, וכתב </w:t>
      </w:r>
      <w:r>
        <w:rPr>
          <w:rStyle w:val="af8"/>
          <w:rtl/>
        </w:rPr>
        <w:t>הר"ן בחי'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Ref26781888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קיא</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דכן נראה מדברי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w:t>
      </w:r>
    </w:p>
    <w:p w:rsidR="009F44AF" w:rsidRDefault="009F44AF" w:rsidP="009F44AF">
      <w:pPr>
        <w:pStyle w:val="a2"/>
        <w:rPr>
          <w:rtl/>
        </w:rPr>
      </w:pPr>
      <w:bookmarkStart w:id="16843" w:name="_Toc26784089"/>
      <w:bookmarkStart w:id="16844" w:name="_Toc26781369"/>
      <w:bookmarkStart w:id="16845" w:name="_Toc26777160"/>
      <w:bookmarkStart w:id="16846" w:name="_Toc26742776"/>
      <w:bookmarkStart w:id="16847" w:name="_Toc26726106"/>
      <w:r>
        <w:rPr>
          <w:rFonts w:hint="cs"/>
          <w:rtl/>
        </w:rPr>
        <w:t>דברי הר"ן דמערה מעט היתר לאיסור אף בשאר איסורים קמא קמא בטיל ואסור</w:t>
      </w:r>
      <w:bookmarkEnd w:id="16843"/>
      <w:bookmarkEnd w:id="16844"/>
      <w:bookmarkEnd w:id="16845"/>
      <w:bookmarkEnd w:id="16846"/>
      <w:bookmarkEnd w:id="16847"/>
    </w:p>
    <w:p w:rsidR="009F44AF" w:rsidRDefault="009F44AF" w:rsidP="009F44AF">
      <w:pPr>
        <w:pStyle w:val="a"/>
        <w:numPr>
          <w:ilvl w:val="0"/>
          <w:numId w:val="17"/>
        </w:numPr>
      </w:pPr>
      <w:bookmarkStart w:id="16848" w:name="_Ref26779560"/>
      <w:r>
        <w:rPr>
          <w:rFonts w:hint="cs"/>
          <w:rtl/>
        </w:rPr>
        <w:t xml:space="preserve">והוסיף </w:t>
      </w:r>
      <w:r>
        <w:rPr>
          <w:rStyle w:val="af8"/>
          <w:rtl/>
        </w:rPr>
        <w:t xml:space="preserve">הר"ן בחי' ועל הרי"ף </w:t>
      </w:r>
      <w:r>
        <w:rPr>
          <w:rFonts w:hint="cs"/>
          <w:rtl/>
        </w:rPr>
        <w:t>דכשנפל ההיתר לתוך האיסור מעט מעט, כשמערה מחבית לבור, או מצלצול קטן אף במערה כל היום כולו, אמרינן דקמא קמא בטיל, והכל אסור, אף בשאר איסורים, דבזה דין שאר איסורים הוא כדין יין נסך.</w:t>
      </w:r>
      <w:bookmarkEnd w:id="16848"/>
    </w:p>
    <w:p w:rsidR="009F44AF" w:rsidRDefault="009F44AF" w:rsidP="009F44AF">
      <w:pPr>
        <w:pStyle w:val="a2"/>
        <w:rPr>
          <w:rtl/>
        </w:rPr>
      </w:pPr>
      <w:bookmarkStart w:id="16849" w:name="_Toc26784090"/>
      <w:bookmarkStart w:id="16850" w:name="_Toc26781370"/>
      <w:bookmarkStart w:id="16851" w:name="_Toc26777161"/>
      <w:bookmarkStart w:id="16852" w:name="_Toc26742777"/>
      <w:bookmarkStart w:id="16853" w:name="_Toc26726107"/>
      <w:r>
        <w:rPr>
          <w:rFonts w:hint="cs"/>
          <w:rtl/>
        </w:rPr>
        <w:t>ביאור הר"ן דהחומרא ביי"נ היא רק בהיתר מרובה שנפל לאיסור מועט במין בשאינו מינו</w:t>
      </w:r>
      <w:bookmarkEnd w:id="16849"/>
      <w:bookmarkEnd w:id="16850"/>
      <w:bookmarkEnd w:id="16851"/>
      <w:bookmarkEnd w:id="16852"/>
      <w:bookmarkEnd w:id="16853"/>
    </w:p>
    <w:p w:rsidR="009F44AF" w:rsidRDefault="009F44AF" w:rsidP="009F44AF">
      <w:pPr>
        <w:pStyle w:val="a"/>
        <w:numPr>
          <w:ilvl w:val="0"/>
          <w:numId w:val="17"/>
        </w:numPr>
      </w:pPr>
      <w:r>
        <w:rPr>
          <w:rFonts w:hint="cs"/>
          <w:rtl/>
        </w:rPr>
        <w:t xml:space="preserve">וביאר </w:t>
      </w:r>
      <w:r>
        <w:rPr>
          <w:rStyle w:val="af8"/>
          <w:rtl/>
        </w:rPr>
        <w:t xml:space="preserve">הר"ן בחי' ועל הרי"ף </w:t>
      </w:r>
      <w:r>
        <w:rPr>
          <w:rFonts w:hint="cs"/>
          <w:rtl/>
        </w:rPr>
        <w:t>דהחומרא ביין נסך היא רק בהיתר מרובה שנפל לתוך איסור מועט, דביין נסך אוסר בין במין במינו ובין במין בשאינו מינו, ואילו בשאר איסורים האיסור הוא רק במין במינו, אבל במין בשאינו מינו בשאר האיסורים, כל שהאיסור אינו נותן טעם בהיתר מותר, ובהיתר שנפל לתוך איסור מעט מעט, בין ביין נסך ובין בשאר איסורים אמרינן דקמא קמא בטיל ואסור אף במין בשאינו מינו, כדמוכח מהא דביין נסך אמרינן לקולא דבאיסור שנפל לתוך היתר אמרינן דקמא קמא בטיל.</w:t>
      </w:r>
    </w:p>
    <w:p w:rsidR="009F44AF" w:rsidRDefault="009F44AF" w:rsidP="0098721B">
      <w:pPr>
        <w:pStyle w:val="1"/>
        <w:rPr>
          <w:rtl/>
        </w:rPr>
      </w:pPr>
      <w:bookmarkStart w:id="16854" w:name="_Toc26784091"/>
      <w:bookmarkStart w:id="16855" w:name="_Toc26781371"/>
      <w:bookmarkStart w:id="16856" w:name="_Toc26777162"/>
      <w:bookmarkStart w:id="16857" w:name="_Toc26742778"/>
      <w:bookmarkStart w:id="16858" w:name="_Toc26726108"/>
      <w:r>
        <w:rPr>
          <w:rFonts w:hint="cs"/>
          <w:rtl/>
        </w:rPr>
        <w:t>דברי הר"ן דבאינו מינו היתר שנפל מעט מעט לאיסור בטל</w:t>
      </w:r>
      <w:bookmarkEnd w:id="16854"/>
    </w:p>
    <w:p w:rsidR="009F44AF" w:rsidRDefault="009F44AF" w:rsidP="009F44AF">
      <w:pPr>
        <w:pStyle w:val="a2"/>
        <w:rPr>
          <w:rtl/>
        </w:rPr>
      </w:pPr>
      <w:bookmarkStart w:id="16859" w:name="_Toc26784092"/>
      <w:bookmarkStart w:id="16860" w:name="_Toc26781372"/>
      <w:bookmarkStart w:id="16861" w:name="_Toc26777163"/>
      <w:bookmarkStart w:id="16862" w:name="_Toc26742779"/>
      <w:bookmarkStart w:id="16863" w:name="_Toc26726109"/>
      <w:bookmarkEnd w:id="16855"/>
      <w:bookmarkEnd w:id="16856"/>
      <w:bookmarkEnd w:id="16857"/>
      <w:bookmarkEnd w:id="16858"/>
      <w:r>
        <w:rPr>
          <w:rFonts w:hint="cs"/>
          <w:rtl/>
        </w:rPr>
        <w:t>קושית הר"ן דאפשר להעמיד את יין במים באיסור שנפל לתוך היתר בנפל בבת אחת ונתן טעם</w:t>
      </w:r>
      <w:bookmarkEnd w:id="16859"/>
      <w:bookmarkEnd w:id="16860"/>
      <w:bookmarkEnd w:id="16861"/>
      <w:bookmarkEnd w:id="16862"/>
      <w:bookmarkEnd w:id="16863"/>
    </w:p>
    <w:p w:rsidR="009F44AF" w:rsidRDefault="009F44AF" w:rsidP="009F44AF">
      <w:pPr>
        <w:pStyle w:val="a"/>
        <w:numPr>
          <w:ilvl w:val="0"/>
          <w:numId w:val="17"/>
        </w:numPr>
        <w:rPr>
          <w:rtl/>
        </w:rPr>
      </w:pPr>
      <w:r>
        <w:rPr>
          <w:rFonts w:hint="cs"/>
          <w:rtl/>
        </w:rPr>
        <w:t xml:space="preserve">אך הקשה </w:t>
      </w:r>
      <w:r>
        <w:rPr>
          <w:rStyle w:val="af8"/>
          <w:rtl/>
        </w:rPr>
        <w:t xml:space="preserve">הר"ן בחי' ועל הרי"ף </w:t>
      </w:r>
      <w:r>
        <w:rPr>
          <w:rFonts w:hint="cs"/>
          <w:rtl/>
        </w:rPr>
        <w:t>דא"כ אמאי העמידה הגמ' את המשנה דיין במים בנותן טעם, ביין של היתר שנפל לתוך מים של איסור, דהא ודאי דביין במים איירי דוקא בנופל בבת אחת, דאי נופל מעט מעט, המים אוסרים את היין אף כשהמים אינם נותנים טעם ביין, כיון דקמא קמא בטיל, וכיון איירי דוקא בבת אחת, א"כ למה הוצרכה הגמ' להעמיד דוקא ביין מותר לתוך מים אסורים, הא אף ביין אסור שנפל לתוך מים מותרים, הוא נאסר, כיון שנפל בבת אחת והוא נותן טעם, וא"א לומר דקמא קמא בטיל.</w:t>
      </w:r>
    </w:p>
    <w:p w:rsidR="009F44AF" w:rsidRDefault="009F44AF" w:rsidP="009F44AF">
      <w:pPr>
        <w:pStyle w:val="a2"/>
        <w:rPr>
          <w:rtl/>
        </w:rPr>
      </w:pPr>
      <w:bookmarkStart w:id="16864" w:name="_Toc26784093"/>
      <w:bookmarkStart w:id="16865" w:name="_Toc26781374"/>
      <w:bookmarkStart w:id="16866" w:name="_Toc26777165"/>
      <w:bookmarkStart w:id="16867" w:name="_Toc26742781"/>
      <w:bookmarkStart w:id="16868" w:name="_Toc26726111"/>
      <w:r>
        <w:rPr>
          <w:rFonts w:hint="cs"/>
          <w:rtl/>
        </w:rPr>
        <w:t>תירוץ הר"ן דיין מותר שנפל למים של איסור שיעורו בנו"ט רק בב"א אבל במעט מעט נאסר</w:t>
      </w:r>
      <w:bookmarkEnd w:id="16864"/>
      <w:bookmarkEnd w:id="16865"/>
      <w:bookmarkEnd w:id="16866"/>
      <w:bookmarkEnd w:id="16867"/>
      <w:bookmarkEnd w:id="16868"/>
    </w:p>
    <w:p w:rsidR="009F44AF" w:rsidRDefault="009F44AF" w:rsidP="009F44AF">
      <w:pPr>
        <w:pStyle w:val="a"/>
        <w:numPr>
          <w:ilvl w:val="0"/>
          <w:numId w:val="17"/>
        </w:numPr>
        <w:rPr>
          <w:rtl/>
        </w:rPr>
      </w:pPr>
      <w:bookmarkStart w:id="16869" w:name="_Ref26763643"/>
      <w:r>
        <w:rPr>
          <w:rFonts w:hint="cs"/>
          <w:rtl/>
        </w:rPr>
        <w:t xml:space="preserve">ותירץ </w:t>
      </w:r>
      <w:r>
        <w:rPr>
          <w:rStyle w:val="af8"/>
          <w:rtl/>
        </w:rPr>
        <w:t xml:space="preserve">הר"ן בחי' ועל הרי"ף </w:t>
      </w:r>
      <w:r>
        <w:rPr>
          <w:rFonts w:hint="cs"/>
          <w:rtl/>
        </w:rPr>
        <w:t>דאף דביין של היתר שנפל לתוך מים של איסור, שיעורו הוא בנותן טעם רק בבת אחת, מ"מ זהו דוקא לענין ההיתר כשהמים אינם נותנים ביין טעם, דדוקא בבת אחת מותר, אבל בנפל היין מעט מעט לתוך המים הוא נאסר אף כשאין המים נותנים בו טעם.</w:t>
      </w:r>
      <w:bookmarkEnd w:id="16869"/>
    </w:p>
    <w:p w:rsidR="009F44AF" w:rsidRDefault="009F44AF" w:rsidP="0098721B">
      <w:pPr>
        <w:pStyle w:val="1"/>
        <w:rPr>
          <w:rtl/>
        </w:rPr>
      </w:pPr>
      <w:bookmarkStart w:id="16870" w:name="_Toc26784094"/>
      <w:bookmarkStart w:id="16871" w:name="_Toc26781375"/>
      <w:bookmarkStart w:id="16872" w:name="_Toc26777166"/>
      <w:bookmarkStart w:id="16873" w:name="_Toc26742782"/>
      <w:bookmarkStart w:id="16874" w:name="_Toc26726112"/>
      <w:r>
        <w:rPr>
          <w:rFonts w:hint="cs"/>
          <w:rtl/>
        </w:rPr>
        <w:t>דברי הר"ן דאיסור שנפל להיתר באינו מינו לעולם שיעורו בנו"ט</w:t>
      </w:r>
      <w:bookmarkEnd w:id="16870"/>
    </w:p>
    <w:p w:rsidR="009F44AF" w:rsidRDefault="009F44AF" w:rsidP="009F44AF">
      <w:pPr>
        <w:pStyle w:val="a2"/>
        <w:rPr>
          <w:rtl/>
        </w:rPr>
      </w:pPr>
      <w:bookmarkStart w:id="16875" w:name="_Toc26784095"/>
      <w:r>
        <w:rPr>
          <w:rFonts w:hint="cs"/>
          <w:rtl/>
        </w:rPr>
        <w:t>דברי הר"ן דאיסור שנפל להיתר במין בשאינו מינו שיעורו בנו"ט בין בב"א ובין בנפל בזאח"ז</w:t>
      </w:r>
      <w:bookmarkEnd w:id="16871"/>
      <w:bookmarkEnd w:id="16872"/>
      <w:bookmarkEnd w:id="16873"/>
      <w:bookmarkEnd w:id="16874"/>
      <w:bookmarkEnd w:id="16875"/>
    </w:p>
    <w:p w:rsidR="009F44AF" w:rsidRDefault="009F44AF" w:rsidP="009F44AF">
      <w:pPr>
        <w:pStyle w:val="a"/>
        <w:numPr>
          <w:ilvl w:val="0"/>
          <w:numId w:val="17"/>
        </w:numPr>
        <w:rPr>
          <w:rtl/>
        </w:rPr>
      </w:pPr>
      <w:r>
        <w:rPr>
          <w:rFonts w:hint="cs"/>
          <w:rtl/>
        </w:rPr>
        <w:t xml:space="preserve">אבל לענין איסור שנפל לתוך היתר, כתב </w:t>
      </w:r>
      <w:r>
        <w:rPr>
          <w:rStyle w:val="af8"/>
          <w:rtl/>
        </w:rPr>
        <w:t xml:space="preserve">הר"ן בחי' ועל הרי"ף </w:t>
      </w:r>
      <w:r>
        <w:rPr>
          <w:rFonts w:hint="cs"/>
          <w:rtl/>
        </w:rPr>
        <w:t xml:space="preserve">דשיעורו הוא בנותן טעם, בין בנפל בבת אחת ובין בנפל בזה אחר זה, וביאר </w:t>
      </w:r>
      <w:r>
        <w:rPr>
          <w:rStyle w:val="af8"/>
          <w:rtl/>
        </w:rPr>
        <w:t>הר"ן</w:t>
      </w:r>
      <w:r>
        <w:rPr>
          <w:rFonts w:hint="cs"/>
          <w:rtl/>
        </w:rPr>
        <w:t xml:space="preserve"> דכמו דתנן ברישא דמתני' דיין ביין במשהו, בהיתר שנפל לתוך איסור, בין בבת אחת ובין מעט מעט, ה"ה ביין במים דבנותן טעם, דכל שיש נתינת טעם אסור בין בנפל בבת אחת ובין בנפל מעט מעט, וכשאין שיעור נתינת טעם, רק בנפל מעט מעט נאסר מדין קמא קמא בטיל, אך אינו אוסר בכל האופנים כמו במין במינו שאסור בכל האופנים.</w:t>
      </w:r>
    </w:p>
    <w:p w:rsidR="009F44AF" w:rsidRDefault="009F44AF" w:rsidP="009F44AF">
      <w:pPr>
        <w:pStyle w:val="a2"/>
        <w:rPr>
          <w:rtl/>
        </w:rPr>
      </w:pPr>
      <w:bookmarkStart w:id="16876" w:name="_Toc26784096"/>
      <w:bookmarkStart w:id="16877" w:name="_Toc26781376"/>
      <w:bookmarkStart w:id="16878" w:name="_Toc26777167"/>
      <w:bookmarkStart w:id="16879" w:name="_Toc26742783"/>
      <w:bookmarkStart w:id="16880" w:name="_Toc26726113"/>
      <w:r>
        <w:rPr>
          <w:rFonts w:hint="cs"/>
          <w:rtl/>
        </w:rPr>
        <w:t>דברי הר"ן דבמתני' א"א להעמיד באיסור לתוך היתר דהא מתני' משמע בין בב"א ובין בזאח"ז</w:t>
      </w:r>
      <w:bookmarkEnd w:id="16876"/>
      <w:bookmarkEnd w:id="16877"/>
      <w:bookmarkEnd w:id="16878"/>
      <w:bookmarkEnd w:id="16879"/>
      <w:bookmarkEnd w:id="16880"/>
    </w:p>
    <w:p w:rsidR="009F44AF" w:rsidRDefault="009F44AF" w:rsidP="009F44AF">
      <w:pPr>
        <w:pStyle w:val="a"/>
        <w:numPr>
          <w:ilvl w:val="0"/>
          <w:numId w:val="17"/>
        </w:numPr>
      </w:pPr>
      <w:r>
        <w:rPr>
          <w:rFonts w:hint="cs"/>
          <w:rtl/>
        </w:rPr>
        <w:t xml:space="preserve">וכתב </w:t>
      </w:r>
      <w:r>
        <w:rPr>
          <w:rStyle w:val="af8"/>
          <w:rtl/>
        </w:rPr>
        <w:t>הר"ן בחי'</w:t>
      </w:r>
      <w:r>
        <w:rPr>
          <w:rFonts w:hint="cs"/>
          <w:rtl/>
        </w:rPr>
        <w:t xml:space="preserve"> דא"כ מבואר דא"א להעמיד את המשנה באיסור שנפל לתוך היתר, דא"כ צריך להעמיד דוקא בנפל בבת אחת ולא בנפל בזה אחר זה, ואילו במשנה תנן דבכל האופנים במין במינו במשהו, ובמין בשאינו מינו בנותן טעם, ולכן העמידה הגמ' בהיתר שנפל לתוך איסור.</w:t>
      </w:r>
    </w:p>
    <w:p w:rsidR="009F44AF" w:rsidRDefault="009F44AF" w:rsidP="009F44AF">
      <w:pPr>
        <w:pStyle w:val="a2"/>
        <w:rPr>
          <w:rtl/>
        </w:rPr>
      </w:pPr>
      <w:bookmarkStart w:id="16881" w:name="_Toc26784097"/>
      <w:bookmarkStart w:id="16882" w:name="_Toc26781377"/>
      <w:bookmarkStart w:id="16883" w:name="_Toc26777168"/>
      <w:bookmarkStart w:id="16884" w:name="_Toc26742784"/>
      <w:bookmarkStart w:id="16885" w:name="_Toc26726114"/>
      <w:r>
        <w:rPr>
          <w:rFonts w:hint="cs"/>
          <w:rtl/>
        </w:rPr>
        <w:t>דברי הר"ן דביי"נ ובשאר איסורים באינו מינו היתר שנפל לאיסור ומותר בנו"ט ואינו בטל</w:t>
      </w:r>
      <w:bookmarkEnd w:id="16881"/>
      <w:bookmarkEnd w:id="16882"/>
      <w:bookmarkEnd w:id="16883"/>
      <w:bookmarkEnd w:id="16884"/>
      <w:bookmarkEnd w:id="16885"/>
    </w:p>
    <w:p w:rsidR="009F44AF" w:rsidRDefault="009F44AF" w:rsidP="009F44AF">
      <w:pPr>
        <w:pStyle w:val="a"/>
        <w:numPr>
          <w:ilvl w:val="0"/>
          <w:numId w:val="17"/>
        </w:numPr>
        <w:rPr>
          <w:rtl/>
        </w:rPr>
      </w:pPr>
      <w:r>
        <w:rPr>
          <w:rFonts w:hint="cs"/>
          <w:rtl/>
        </w:rPr>
        <w:t xml:space="preserve">וכתב </w:t>
      </w:r>
      <w:r>
        <w:rPr>
          <w:rStyle w:val="af8"/>
          <w:rtl/>
        </w:rPr>
        <w:t xml:space="preserve">הר"ן בחי' </w:t>
      </w:r>
      <w:r>
        <w:rPr>
          <w:rFonts w:hint="cs"/>
          <w:rtl/>
        </w:rPr>
        <w:t>דא"כ מבואר דבשאר איסורים וכן ביין נסך במין בשאינו מינו לא אמרינן קמא קמא בטיל, בהיתר שנפל לתוך איסור, להחמיר, אלא שיעורו הוא בנותן טעם.</w:t>
      </w:r>
    </w:p>
    <w:p w:rsidR="009F44AF" w:rsidRDefault="009F44AF" w:rsidP="0098721B">
      <w:pPr>
        <w:pStyle w:val="1"/>
        <w:rPr>
          <w:rtl/>
        </w:rPr>
      </w:pPr>
      <w:bookmarkStart w:id="16886" w:name="_Toc26784098"/>
      <w:r>
        <w:rPr>
          <w:rFonts w:hint="cs"/>
          <w:rtl/>
        </w:rPr>
        <w:t>דברי הר"ן דהיתר שבטל מעט באיסור ונוסף היתר בב"א מותר</w:t>
      </w:r>
      <w:bookmarkEnd w:id="16886"/>
    </w:p>
    <w:p w:rsidR="009F44AF" w:rsidRDefault="009F44AF" w:rsidP="009F44AF">
      <w:pPr>
        <w:pStyle w:val="a2"/>
        <w:rPr>
          <w:rtl/>
        </w:rPr>
      </w:pPr>
      <w:bookmarkStart w:id="16887" w:name="_Toc26784099"/>
      <w:bookmarkStart w:id="16888" w:name="_Toc26781378"/>
      <w:bookmarkStart w:id="16889" w:name="_Toc26777169"/>
      <w:bookmarkStart w:id="16890" w:name="_Toc26742785"/>
      <w:bookmarkStart w:id="16891" w:name="_Toc26726115"/>
      <w:r>
        <w:rPr>
          <w:rFonts w:hint="cs"/>
          <w:rtl/>
        </w:rPr>
        <w:t>ביאור הר"ן דהיתר שנפל לאיסור ובטל בו בקמא קמא בטיל ונוסף היתר מרובה בב"א הכל מותר</w:t>
      </w:r>
      <w:bookmarkEnd w:id="16887"/>
      <w:bookmarkEnd w:id="16888"/>
      <w:bookmarkEnd w:id="16889"/>
      <w:bookmarkEnd w:id="16890"/>
      <w:bookmarkEnd w:id="16891"/>
    </w:p>
    <w:p w:rsidR="009F44AF" w:rsidRDefault="009F44AF" w:rsidP="009F44AF">
      <w:pPr>
        <w:pStyle w:val="a"/>
        <w:numPr>
          <w:ilvl w:val="0"/>
          <w:numId w:val="17"/>
        </w:numPr>
        <w:rPr>
          <w:rStyle w:val="a7"/>
        </w:rPr>
      </w:pPr>
      <w:r>
        <w:rPr>
          <w:rStyle w:val="a7"/>
          <w:rtl/>
        </w:rPr>
        <w:t xml:space="preserve">וכתב </w:t>
      </w:r>
      <w:r>
        <w:rPr>
          <w:rStyle w:val="af8"/>
          <w:rtl/>
        </w:rPr>
        <w:t xml:space="preserve">הר"ן על הרי"ף </w:t>
      </w:r>
      <w:r>
        <w:rPr>
          <w:rStyle w:val="a7"/>
          <w:rtl/>
        </w:rPr>
        <w:t xml:space="preserve">דאף בהיתר שנפל לאיסור מעט מעט ונאסר מדין קמא קמא בטיל, </w:t>
      </w:r>
      <w:r>
        <w:rPr>
          <w:rStyle w:val="afa"/>
          <w:rtl/>
        </w:rPr>
        <w:t xml:space="preserve">[כדכתב </w:t>
      </w:r>
      <w:r>
        <w:rPr>
          <w:rStyle w:val="affa"/>
          <w:rtl/>
        </w:rPr>
        <w:t>הר"ן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Ref26763643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צז)</w:t>
      </w:r>
      <w:r>
        <w:rPr>
          <w:rFonts w:hint="cs"/>
          <w:rtl/>
        </w:rPr>
        <w:fldChar w:fldCharType="end"/>
      </w:r>
      <w:r>
        <w:rPr>
          <w:rStyle w:val="afa"/>
          <w:rtl/>
        </w:rPr>
        <w:t>],</w:t>
      </w:r>
      <w:r>
        <w:rPr>
          <w:rStyle w:val="a7"/>
          <w:rtl/>
        </w:rPr>
        <w:t xml:space="preserve"> מ"מ כל שנוסף אח"כ היתר מרובה בבת אחת שיש בו שיעור בכדי לבטל את עיקר האיסור שהיה בתחילה, </w:t>
      </w:r>
      <w:r>
        <w:rPr>
          <w:rStyle w:val="afa"/>
          <w:rtl/>
        </w:rPr>
        <w:t>[דהיינו שיש בו כנגד האיסור, ולא כנגד ההיתר שנאסר והצטרף לאיסור],</w:t>
      </w:r>
      <w:r>
        <w:rPr>
          <w:rStyle w:val="a7"/>
          <w:rtl/>
        </w:rPr>
        <w:t xml:space="preserve"> הכל מותר, דההיתר שנפל בבת אחת מבטל את האיסור, ועיי"ש במה שהביא </w:t>
      </w:r>
      <w:r>
        <w:rPr>
          <w:rStyle w:val="af8"/>
          <w:rtl/>
        </w:rPr>
        <w:t>הר"ן</w:t>
      </w:r>
      <w:r>
        <w:rPr>
          <w:rStyle w:val="a7"/>
          <w:rtl/>
        </w:rPr>
        <w:t xml:space="preserve"> דכן מוכח בגמ' בתמורה </w:t>
      </w:r>
      <w:r w:rsidRPr="009F44AF">
        <w:rPr>
          <w:rStyle w:val="af6"/>
          <w:rFonts w:eastAsia="Guttman Hodes" w:hint="cs"/>
          <w:rtl/>
        </w:rPr>
        <w:t>(יב.)</w:t>
      </w:r>
      <w:r>
        <w:rPr>
          <w:rStyle w:val="a7"/>
          <w:rtl/>
        </w:rPr>
        <w:t xml:space="preserve">, </w:t>
      </w:r>
      <w:r>
        <w:rPr>
          <w:rFonts w:hint="cs"/>
          <w:rtl/>
        </w:rPr>
        <w:t xml:space="preserve">אך כתב </w:t>
      </w:r>
      <w:r>
        <w:rPr>
          <w:rStyle w:val="af8"/>
          <w:rtl/>
        </w:rPr>
        <w:t xml:space="preserve">הר"ן בחי' ועל הרי"ף </w:t>
      </w:r>
      <w:r>
        <w:rPr>
          <w:rFonts w:hint="cs"/>
          <w:rtl/>
        </w:rPr>
        <w:t xml:space="preserve">דדעת </w:t>
      </w:r>
      <w:r>
        <w:rPr>
          <w:rStyle w:val="af8"/>
          <w:rtl/>
        </w:rPr>
        <w:t>הרמב"ן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Ref26763713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פא</w:t>
      </w:r>
      <w:r w:rsidR="004D1C5B">
        <w:rPr>
          <w:rStyle w:val="af6"/>
          <w:rFonts w:eastAsia="Guttman Hodes"/>
          <w:rtl/>
        </w:rPr>
        <w:t>)</w:t>
      </w:r>
      <w:r>
        <w:rPr>
          <w:rFonts w:hint="cs"/>
          <w:rtl/>
        </w:rPr>
        <w:fldChar w:fldCharType="end"/>
      </w:r>
      <w:r>
        <w:rPr>
          <w:rFonts w:hint="cs"/>
          <w:rtl/>
        </w:rPr>
        <w:t xml:space="preserve"> דלא אמרינן קמא קמא בטיל, באיסור שנפל לתוך היתר, בין בשאר איסורים ובין ביין נסך במין בשאינו מינו, דכל הקולא ביין נסך באיסור שנפל לתוך היתר, הוא כיון שאיסור הוא עשוי להתבטל והיתר אינו עשוי להתבטל</w:t>
      </w:r>
      <w:r>
        <w:rPr>
          <w:rStyle w:val="a7"/>
          <w:rtl/>
        </w:rPr>
        <w:t>.</w:t>
      </w:r>
    </w:p>
    <w:p w:rsidR="009F44AF" w:rsidRDefault="009F44AF" w:rsidP="009F44AF">
      <w:pPr>
        <w:pStyle w:val="afd"/>
        <w:rPr>
          <w:rtl/>
        </w:rPr>
      </w:pPr>
      <w:bookmarkStart w:id="16892" w:name="_Toc26781379"/>
      <w:bookmarkStart w:id="16893" w:name="_Toc26777170"/>
      <w:bookmarkStart w:id="16894" w:name="_Toc26742786"/>
      <w:bookmarkStart w:id="16895" w:name="_Toc26726116"/>
      <w:bookmarkStart w:id="16896" w:name="_Toc26702422"/>
      <w:bookmarkStart w:id="16897" w:name="_Toc26784100"/>
      <w:r>
        <w:rPr>
          <w:rFonts w:hint="cs"/>
          <w:rtl/>
        </w:rPr>
        <w:t>דעת הרמב"ם</w:t>
      </w:r>
      <w:bookmarkEnd w:id="16798"/>
      <w:bookmarkEnd w:id="16799"/>
      <w:bookmarkEnd w:id="16800"/>
      <w:bookmarkEnd w:id="16801"/>
      <w:bookmarkEnd w:id="16802"/>
      <w:bookmarkEnd w:id="16892"/>
      <w:bookmarkEnd w:id="16893"/>
      <w:bookmarkEnd w:id="16894"/>
      <w:bookmarkEnd w:id="16895"/>
      <w:bookmarkEnd w:id="16896"/>
      <w:r>
        <w:rPr>
          <w:rFonts w:hint="cs"/>
          <w:rtl/>
        </w:rPr>
        <w:t xml:space="preserve"> בדין קמא קמא בטיל</w:t>
      </w:r>
      <w:bookmarkEnd w:id="16897"/>
    </w:p>
    <w:p w:rsidR="009F44AF" w:rsidRDefault="009F44AF" w:rsidP="0098721B">
      <w:pPr>
        <w:pStyle w:val="1"/>
        <w:rPr>
          <w:rtl/>
        </w:rPr>
      </w:pPr>
      <w:bookmarkStart w:id="16898" w:name="_Toc26781380"/>
      <w:bookmarkStart w:id="16899" w:name="_Toc26777171"/>
      <w:bookmarkStart w:id="16900" w:name="_Toc26742787"/>
      <w:bookmarkStart w:id="16901" w:name="_Toc26784101"/>
      <w:r>
        <w:rPr>
          <w:rFonts w:hint="cs"/>
          <w:rtl/>
        </w:rPr>
        <w:lastRenderedPageBreak/>
        <w:t>דברי הרמב"ם</w:t>
      </w:r>
      <w:bookmarkEnd w:id="16898"/>
      <w:bookmarkEnd w:id="16899"/>
      <w:bookmarkEnd w:id="16900"/>
      <w:r>
        <w:rPr>
          <w:rFonts w:hint="cs"/>
          <w:rtl/>
        </w:rPr>
        <w:t xml:space="preserve"> דהיתר לתוך איסור נאסר ביי"נ במשהו</w:t>
      </w:r>
      <w:bookmarkEnd w:id="16901"/>
    </w:p>
    <w:p w:rsidR="009F44AF" w:rsidRDefault="009F44AF" w:rsidP="009F44AF">
      <w:pPr>
        <w:pStyle w:val="a2"/>
        <w:rPr>
          <w:rtl/>
        </w:rPr>
      </w:pPr>
      <w:bookmarkStart w:id="16902" w:name="_Toc26784102"/>
      <w:bookmarkStart w:id="16903" w:name="_Toc26781381"/>
      <w:bookmarkStart w:id="16904" w:name="_Toc26777172"/>
      <w:bookmarkStart w:id="16905" w:name="_Toc26742788"/>
      <w:r>
        <w:rPr>
          <w:rFonts w:hint="cs"/>
          <w:rtl/>
        </w:rPr>
        <w:t>דברי הרמב"ם דבעירה יי"נ מצלצול להיתר קמא קמא בטיל והיתר שנפל לאיסור נאסר במשהו</w:t>
      </w:r>
      <w:bookmarkEnd w:id="16902"/>
      <w:bookmarkEnd w:id="16903"/>
      <w:bookmarkEnd w:id="16904"/>
      <w:bookmarkEnd w:id="16905"/>
    </w:p>
    <w:p w:rsidR="009F44AF" w:rsidRDefault="009F44AF" w:rsidP="009F44AF">
      <w:pPr>
        <w:pStyle w:val="a"/>
        <w:numPr>
          <w:ilvl w:val="0"/>
          <w:numId w:val="17"/>
        </w:numPr>
      </w:pPr>
      <w:bookmarkStart w:id="16906" w:name="_Ref26183771"/>
      <w:r>
        <w:rPr>
          <w:rFonts w:hint="cs"/>
          <w:rtl/>
        </w:rPr>
        <w:t xml:space="preserve">כתב </w:t>
      </w:r>
      <w:r>
        <w:rPr>
          <w:rStyle w:val="af8"/>
          <w:rtl/>
        </w:rPr>
        <w:t>הרמב"ם</w:t>
      </w:r>
      <w:r>
        <w:rPr>
          <w:rFonts w:hint="cs"/>
          <w:rtl/>
        </w:rPr>
        <w:t xml:space="preserve"> </w:t>
      </w:r>
      <w:r w:rsidRPr="009F44AF">
        <w:rPr>
          <w:rStyle w:val="af6"/>
          <w:rFonts w:eastAsia="Guttman Hodes" w:hint="cs"/>
          <w:rtl/>
        </w:rPr>
        <w:t xml:space="preserve">(מאכ"א פט"ז הכ"ח) </w:t>
      </w:r>
      <w:r>
        <w:rPr>
          <w:rFonts w:hint="cs"/>
          <w:rtl/>
        </w:rPr>
        <w:t>דיין נסך אוסר בכל שהוא, והיינו דוקא בנפל יין של היתר לתוך טיפה של יין נסך.</w:t>
      </w:r>
    </w:p>
    <w:p w:rsidR="009F44AF" w:rsidRDefault="009F44AF" w:rsidP="0098721B">
      <w:pPr>
        <w:pStyle w:val="1"/>
        <w:rPr>
          <w:rtl/>
        </w:rPr>
      </w:pPr>
      <w:bookmarkStart w:id="16907" w:name="_Toc26784103"/>
      <w:r>
        <w:rPr>
          <w:rFonts w:hint="cs"/>
          <w:rtl/>
        </w:rPr>
        <w:t>דברי הרמב"ם דאיסור להיתר קמא בטיל בלא נפיש עמודיה</w:t>
      </w:r>
      <w:bookmarkEnd w:id="16907"/>
    </w:p>
    <w:p w:rsidR="009F44AF" w:rsidRDefault="009F44AF" w:rsidP="009F44AF">
      <w:pPr>
        <w:pStyle w:val="a2"/>
        <w:rPr>
          <w:rtl/>
        </w:rPr>
      </w:pPr>
      <w:bookmarkStart w:id="16908" w:name="_Toc26784104"/>
      <w:r>
        <w:rPr>
          <w:rFonts w:hint="cs"/>
          <w:rtl/>
        </w:rPr>
        <w:t>דברי הרמב"ם דאיסור לתוך היתר בצלצול קטן דלא נפיש עמודיה קמא קמא בטיל</w:t>
      </w:r>
      <w:bookmarkEnd w:id="16908"/>
    </w:p>
    <w:p w:rsidR="009F44AF" w:rsidRDefault="009F44AF" w:rsidP="009F44AF">
      <w:pPr>
        <w:pStyle w:val="a"/>
        <w:numPr>
          <w:ilvl w:val="0"/>
          <w:numId w:val="17"/>
        </w:numPr>
      </w:pPr>
      <w:r>
        <w:rPr>
          <w:rFonts w:hint="cs"/>
          <w:rtl/>
        </w:rPr>
        <w:t xml:space="preserve">אבל אם עירה יין נסך מצלצול קטן לתוך יין של היתר, כתב </w:t>
      </w:r>
      <w:r>
        <w:rPr>
          <w:rStyle w:val="af8"/>
          <w:rtl/>
        </w:rPr>
        <w:t>הרמב"ם</w:t>
      </w:r>
      <w:r>
        <w:rPr>
          <w:rFonts w:hint="cs"/>
          <w:rtl/>
        </w:rPr>
        <w:t xml:space="preserve"> דאמרינן דקמא קמא בטיל, אף אם עירה כל היום כולו.</w:t>
      </w:r>
      <w:bookmarkEnd w:id="16906"/>
    </w:p>
    <w:p w:rsidR="009F44AF" w:rsidRDefault="009F44AF" w:rsidP="009F44AF">
      <w:pPr>
        <w:pStyle w:val="a2"/>
        <w:rPr>
          <w:rtl/>
        </w:rPr>
      </w:pPr>
      <w:bookmarkStart w:id="16909" w:name="_Toc26784105"/>
      <w:bookmarkStart w:id="16910" w:name="_Toc26781382"/>
      <w:bookmarkStart w:id="16911" w:name="_Toc26777173"/>
      <w:bookmarkStart w:id="16912" w:name="_Toc26742789"/>
      <w:r>
        <w:rPr>
          <w:rFonts w:hint="cs"/>
          <w:rtl/>
        </w:rPr>
        <w:t>דברי הרמב"ם דבחבית דנפיש עמודיה אסור בין בהיתר לתוך איסור ובין באיסור לתוך היתר</w:t>
      </w:r>
      <w:bookmarkEnd w:id="16909"/>
      <w:bookmarkEnd w:id="16910"/>
      <w:bookmarkEnd w:id="16911"/>
      <w:bookmarkEnd w:id="16912"/>
      <w:r>
        <w:rPr>
          <w:rFonts w:hint="cs"/>
          <w:rtl/>
        </w:rPr>
        <w:t xml:space="preserve"> </w:t>
      </w:r>
    </w:p>
    <w:p w:rsidR="009F44AF" w:rsidRDefault="009F44AF" w:rsidP="009F44AF">
      <w:pPr>
        <w:pStyle w:val="a"/>
        <w:numPr>
          <w:ilvl w:val="0"/>
          <w:numId w:val="17"/>
        </w:numPr>
        <w:rPr>
          <w:rtl/>
        </w:rPr>
      </w:pPr>
      <w:bookmarkStart w:id="16913" w:name="_Ref26780702"/>
      <w:r>
        <w:rPr>
          <w:rFonts w:hint="cs"/>
          <w:rtl/>
        </w:rPr>
        <w:t xml:space="preserve">וכתב </w:t>
      </w:r>
      <w:r>
        <w:rPr>
          <w:rStyle w:val="af8"/>
          <w:rtl/>
        </w:rPr>
        <w:t>הרמב"ם</w:t>
      </w:r>
      <w:r>
        <w:rPr>
          <w:rFonts w:hint="cs"/>
          <w:rtl/>
        </w:rPr>
        <w:t xml:space="preserve"> דאם שפך מחבית, בין בנפל יין של היתר לתוך יין של איסור, ובין בנפל יין של איסור לתוך יין של היתר, הכל אסור, כיון שהעמוד שיורד מפי החבית הוא גדול.</w:t>
      </w:r>
      <w:bookmarkEnd w:id="16913"/>
    </w:p>
    <w:p w:rsidR="009F44AF" w:rsidRDefault="009F44AF" w:rsidP="009F44AF">
      <w:pPr>
        <w:pStyle w:val="a2"/>
        <w:rPr>
          <w:rtl/>
        </w:rPr>
      </w:pPr>
      <w:bookmarkStart w:id="16914" w:name="_Toc26784106"/>
      <w:bookmarkStart w:id="16915" w:name="_Toc26781383"/>
      <w:bookmarkStart w:id="16916" w:name="_Toc26777174"/>
      <w:bookmarkStart w:id="16917" w:name="_Toc26742790"/>
      <w:r>
        <w:rPr>
          <w:rFonts w:hint="cs"/>
          <w:rtl/>
        </w:rPr>
        <w:t>דברי הראב"ד בהשג' דבצלצול קטן קיי"ל דלא אמרינן דקמא קמא בטיל</w:t>
      </w:r>
      <w:bookmarkEnd w:id="16914"/>
      <w:bookmarkEnd w:id="16915"/>
      <w:bookmarkEnd w:id="16916"/>
      <w:bookmarkEnd w:id="16917"/>
    </w:p>
    <w:p w:rsidR="009F44AF" w:rsidRDefault="009F44AF" w:rsidP="009F44AF">
      <w:pPr>
        <w:pStyle w:val="a"/>
        <w:numPr>
          <w:ilvl w:val="0"/>
          <w:numId w:val="17"/>
        </w:numPr>
        <w:rPr>
          <w:rStyle w:val="afa"/>
          <w:rtl/>
        </w:rPr>
      </w:pPr>
      <w:bookmarkStart w:id="16918" w:name="_Ref26734251"/>
      <w:r>
        <w:rPr>
          <w:rFonts w:hint="cs"/>
          <w:rtl/>
        </w:rPr>
        <w:t xml:space="preserve">והשיג עליו </w:t>
      </w:r>
      <w:r>
        <w:rPr>
          <w:rStyle w:val="af8"/>
          <w:rtl/>
        </w:rPr>
        <w:t>הראב"ד</w:t>
      </w:r>
      <w:r>
        <w:rPr>
          <w:rFonts w:hint="cs"/>
          <w:rtl/>
        </w:rPr>
        <w:t xml:space="preserve"> </w:t>
      </w:r>
      <w:r w:rsidRPr="009F44AF">
        <w:rPr>
          <w:rStyle w:val="af6"/>
          <w:rFonts w:eastAsia="Guttman Hodes" w:hint="cs"/>
          <w:rtl/>
        </w:rPr>
        <w:t xml:space="preserve">(מאכ"א פט"ז הכ"ח) </w:t>
      </w:r>
      <w:r>
        <w:rPr>
          <w:rFonts w:hint="cs"/>
          <w:rtl/>
        </w:rPr>
        <w:t xml:space="preserve">דבצלצול קטן לא קיי"ל דקמא קמא בטיל כדמוכח בגמ' לעיל </w:t>
      </w:r>
      <w:r w:rsidRPr="009F44AF">
        <w:rPr>
          <w:rStyle w:val="af6"/>
          <w:rFonts w:eastAsia="Guttman Hodes" w:hint="cs"/>
          <w:rtl/>
        </w:rPr>
        <w:t>(נח.)</w:t>
      </w:r>
      <w:r>
        <w:rPr>
          <w:rFonts w:hint="cs"/>
          <w:rtl/>
        </w:rPr>
        <w:t xml:space="preserve">. </w:t>
      </w:r>
      <w:r>
        <w:rPr>
          <w:rStyle w:val="afa"/>
          <w:rtl/>
        </w:rPr>
        <w:t xml:space="preserve">[וע"ע </w:t>
      </w:r>
      <w:r>
        <w:rPr>
          <w:rStyle w:val="affa"/>
          <w:rtl/>
        </w:rPr>
        <w:t>בפי' הראב"ד</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Ref26734266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סב)</w:t>
      </w:r>
      <w:r>
        <w:rPr>
          <w:rFonts w:hint="cs"/>
          <w:rtl/>
        </w:rPr>
        <w:fldChar w:fldCharType="end"/>
      </w:r>
      <w:r>
        <w:rPr>
          <w:rStyle w:val="afa"/>
          <w:rtl/>
        </w:rPr>
        <w:t>].</w:t>
      </w:r>
      <w:bookmarkEnd w:id="16918"/>
    </w:p>
    <w:p w:rsidR="009F44AF" w:rsidRDefault="009F44AF" w:rsidP="0098721B">
      <w:pPr>
        <w:pStyle w:val="1"/>
        <w:rPr>
          <w:rtl/>
        </w:rPr>
      </w:pPr>
      <w:bookmarkStart w:id="16919" w:name="_Toc26784107"/>
      <w:bookmarkStart w:id="16920" w:name="_Toc26781384"/>
      <w:bookmarkStart w:id="16921" w:name="_Toc26777175"/>
      <w:bookmarkStart w:id="16922" w:name="_Toc26742791"/>
      <w:r>
        <w:rPr>
          <w:rFonts w:hint="cs"/>
          <w:rtl/>
        </w:rPr>
        <w:t>דברי הרמב"ם דבאינו מינו היתר שנפל לתוך איסור בנו"ט</w:t>
      </w:r>
      <w:bookmarkEnd w:id="16919"/>
    </w:p>
    <w:p w:rsidR="009F44AF" w:rsidRDefault="009F44AF" w:rsidP="009F44AF">
      <w:pPr>
        <w:pStyle w:val="a2"/>
        <w:rPr>
          <w:rtl/>
        </w:rPr>
      </w:pPr>
      <w:bookmarkStart w:id="16923" w:name="_Toc26784108"/>
      <w:r>
        <w:rPr>
          <w:rFonts w:hint="cs"/>
          <w:rtl/>
        </w:rPr>
        <w:t>דברי הרמב"ם דבמין בשאינו מינו בהיתר לתוך איסור שיעורו הוא בנותן טעם</w:t>
      </w:r>
      <w:bookmarkEnd w:id="16920"/>
      <w:bookmarkEnd w:id="16921"/>
      <w:bookmarkEnd w:id="16922"/>
      <w:bookmarkEnd w:id="16923"/>
    </w:p>
    <w:p w:rsidR="009F44AF" w:rsidRDefault="009F44AF" w:rsidP="009F44AF">
      <w:pPr>
        <w:pStyle w:val="a"/>
        <w:numPr>
          <w:ilvl w:val="0"/>
          <w:numId w:val="17"/>
        </w:numPr>
      </w:pPr>
      <w:bookmarkStart w:id="16924" w:name="_Ref26183780"/>
      <w:r>
        <w:rPr>
          <w:rFonts w:hint="cs"/>
          <w:rtl/>
        </w:rPr>
        <w:t xml:space="preserve">ולענין מין בשאינו מינו, כתב </w:t>
      </w:r>
      <w:r>
        <w:rPr>
          <w:rStyle w:val="af8"/>
          <w:rtl/>
        </w:rPr>
        <w:t>הרמב"ם</w:t>
      </w:r>
      <w:r w:rsidRPr="009F44AF">
        <w:rPr>
          <w:rStyle w:val="af6"/>
          <w:rFonts w:eastAsia="Guttman Hodes" w:hint="cs"/>
          <w:rtl/>
        </w:rPr>
        <w:t xml:space="preserve"> (מאכ"א פט"ז ה"ל) </w:t>
      </w:r>
      <w:r>
        <w:rPr>
          <w:rFonts w:hint="cs"/>
          <w:rtl/>
        </w:rPr>
        <w:t>דמים ביין או יין במים בנפל היתר לתוך איסור, שיעורם הוא בנותן טעם, כיון שהם מין בשאינו מינו.</w:t>
      </w:r>
    </w:p>
    <w:p w:rsidR="009F44AF" w:rsidRDefault="009F44AF" w:rsidP="009F44AF">
      <w:pPr>
        <w:pStyle w:val="a2"/>
        <w:rPr>
          <w:rtl/>
        </w:rPr>
      </w:pPr>
    </w:p>
    <w:p w:rsidR="009F44AF" w:rsidRDefault="009F44AF" w:rsidP="0098721B">
      <w:pPr>
        <w:pStyle w:val="1"/>
        <w:rPr>
          <w:rtl/>
        </w:rPr>
      </w:pPr>
      <w:bookmarkStart w:id="16925" w:name="_Toc26784109"/>
      <w:r>
        <w:rPr>
          <w:rFonts w:hint="cs"/>
          <w:rtl/>
        </w:rPr>
        <w:t>דברי הרמב"ם דבאינו מינו איסור לתוך היתר קמא קמא בטיל</w:t>
      </w:r>
      <w:bookmarkEnd w:id="16925"/>
    </w:p>
    <w:p w:rsidR="009F44AF" w:rsidRDefault="009F44AF" w:rsidP="009F44AF">
      <w:pPr>
        <w:pStyle w:val="a2"/>
        <w:rPr>
          <w:rtl/>
        </w:rPr>
      </w:pPr>
      <w:bookmarkStart w:id="16926" w:name="_Toc26784110"/>
      <w:bookmarkStart w:id="16927" w:name="_Toc26781385"/>
      <w:bookmarkStart w:id="16928" w:name="_Toc26777176"/>
      <w:bookmarkStart w:id="16929" w:name="_Toc26742792"/>
      <w:r>
        <w:rPr>
          <w:rFonts w:hint="cs"/>
          <w:rtl/>
        </w:rPr>
        <w:t>דברי הרמב"ם דבאיסור לתוך היתר שנפל מעט מעט מצלצול קטן קמא קמא בטיל ומותר</w:t>
      </w:r>
      <w:bookmarkEnd w:id="16926"/>
      <w:bookmarkEnd w:id="16927"/>
      <w:bookmarkEnd w:id="16928"/>
      <w:bookmarkEnd w:id="16929"/>
    </w:p>
    <w:p w:rsidR="009F44AF" w:rsidRDefault="009F44AF" w:rsidP="009F44AF">
      <w:pPr>
        <w:pStyle w:val="a"/>
        <w:numPr>
          <w:ilvl w:val="0"/>
          <w:numId w:val="17"/>
        </w:numPr>
      </w:pPr>
      <w:r>
        <w:rPr>
          <w:rFonts w:hint="cs"/>
          <w:rtl/>
        </w:rPr>
        <w:t xml:space="preserve">אבל בנפל איסור לתוך היתר, כתב </w:t>
      </w:r>
      <w:r>
        <w:rPr>
          <w:rStyle w:val="af8"/>
          <w:rtl/>
        </w:rPr>
        <w:t>הרמב"ם</w:t>
      </w:r>
      <w:r w:rsidRPr="009F44AF">
        <w:rPr>
          <w:rStyle w:val="af6"/>
          <w:rFonts w:eastAsia="Guttman Hodes" w:hint="cs"/>
          <w:rtl/>
        </w:rPr>
        <w:t xml:space="preserve"> </w:t>
      </w:r>
      <w:r>
        <w:rPr>
          <w:rFonts w:hint="cs"/>
          <w:rtl/>
        </w:rPr>
        <w:t>דבנפל מצלצול קטן מעט מעט, לתוך ההיתר, אמרינן דקמא קמא בטיל, ומותר.</w:t>
      </w:r>
      <w:bookmarkEnd w:id="16924"/>
    </w:p>
    <w:p w:rsidR="009F44AF" w:rsidRDefault="009F44AF" w:rsidP="0098721B">
      <w:pPr>
        <w:pStyle w:val="1"/>
        <w:rPr>
          <w:rtl/>
        </w:rPr>
      </w:pPr>
      <w:bookmarkStart w:id="16930" w:name="_Toc26781386"/>
      <w:bookmarkStart w:id="16931" w:name="_Toc26784111"/>
      <w:r>
        <w:rPr>
          <w:rFonts w:hint="cs"/>
          <w:rtl/>
        </w:rPr>
        <w:t>ביאורי הראשונים בדברי הרמב"ם</w:t>
      </w:r>
      <w:bookmarkEnd w:id="16930"/>
      <w:r>
        <w:rPr>
          <w:rFonts w:hint="cs"/>
          <w:rtl/>
        </w:rPr>
        <w:t xml:space="preserve"> דאיסור במקומו חשוב</w:t>
      </w:r>
      <w:bookmarkEnd w:id="16931"/>
    </w:p>
    <w:p w:rsidR="009F44AF" w:rsidRDefault="009F44AF" w:rsidP="009F44AF">
      <w:pPr>
        <w:pStyle w:val="a2"/>
        <w:rPr>
          <w:rtl/>
        </w:rPr>
      </w:pPr>
      <w:bookmarkStart w:id="16932" w:name="_Toc26784112"/>
      <w:bookmarkStart w:id="16933" w:name="_Toc26781387"/>
      <w:r>
        <w:rPr>
          <w:rFonts w:hint="cs"/>
          <w:rtl/>
        </w:rPr>
        <w:t>ביאור הרמב"ן ברמב"ם דהחילוק ביין נסך הוא דהיתר שנפל לתוך איסור חמור כמו במקוה</w:t>
      </w:r>
      <w:bookmarkEnd w:id="16932"/>
      <w:bookmarkEnd w:id="16933"/>
    </w:p>
    <w:p w:rsidR="009F44AF" w:rsidRDefault="009F44AF" w:rsidP="009F44AF">
      <w:pPr>
        <w:pStyle w:val="a"/>
        <w:numPr>
          <w:ilvl w:val="0"/>
          <w:numId w:val="17"/>
        </w:numPr>
        <w:rPr>
          <w:rtl/>
        </w:rPr>
      </w:pPr>
      <w:r>
        <w:rPr>
          <w:rFonts w:hint="cs"/>
          <w:rtl/>
        </w:rPr>
        <w:t xml:space="preserve">כתב </w:t>
      </w:r>
      <w:r>
        <w:rPr>
          <w:rStyle w:val="af8"/>
          <w:rtl/>
        </w:rPr>
        <w:t xml:space="preserve">הרמב"ן </w:t>
      </w:r>
      <w:r w:rsidRPr="009F44AF">
        <w:rPr>
          <w:rStyle w:val="af6"/>
          <w:rFonts w:eastAsia="Guttman Hodes" w:hint="cs"/>
          <w:rtl/>
        </w:rPr>
        <w:t xml:space="preserve">(עג. ד"ה ולי נראה) </w:t>
      </w:r>
      <w:r>
        <w:rPr>
          <w:rFonts w:hint="cs"/>
          <w:rtl/>
        </w:rPr>
        <w:t xml:space="preserve">דמדברי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 xml:space="preserve"> מבואר שאף אם יש בבור טיפה אחת של יין נסך, ונפלה לתוך הבור חבית גדולה של היתר בבת אחת אסור, וכתבו </w:t>
      </w:r>
      <w:r>
        <w:rPr>
          <w:rStyle w:val="af8"/>
          <w:rtl/>
        </w:rPr>
        <w:t>הרמב"ן והרשב"א בחי'</w:t>
      </w:r>
      <w:r>
        <w:rPr>
          <w:rFonts w:hint="cs"/>
          <w:rtl/>
        </w:rPr>
        <w:t xml:space="preserve"> </w:t>
      </w:r>
      <w:r w:rsidRPr="009F44AF">
        <w:rPr>
          <w:rStyle w:val="af6"/>
          <w:rFonts w:eastAsia="Guttman Hodes" w:hint="cs"/>
          <w:rtl/>
        </w:rPr>
        <w:t xml:space="preserve">(עג. ד"ה ורב דימי) </w:t>
      </w:r>
      <w:r>
        <w:rPr>
          <w:rStyle w:val="af8"/>
          <w:rtl/>
        </w:rPr>
        <w:t xml:space="preserve">ובתוה"ב </w:t>
      </w:r>
      <w:r w:rsidRPr="009F44AF">
        <w:rPr>
          <w:rStyle w:val="af6"/>
          <w:rFonts w:eastAsiaTheme="minorHAnsi" w:hint="cs"/>
          <w:rtl/>
        </w:rPr>
        <w:t>(ב"ד ש"ב כז. מדה"ס)</w:t>
      </w:r>
      <w:r>
        <w:rPr>
          <w:rFonts w:hint="cs"/>
          <w:rtl/>
        </w:rPr>
        <w:t xml:space="preserve"> </w:t>
      </w:r>
      <w:r>
        <w:rPr>
          <w:rStyle w:val="af8"/>
          <w:rtl/>
        </w:rPr>
        <w:t>הר"ן בחי'</w:t>
      </w:r>
      <w:r>
        <w:rPr>
          <w:rFonts w:hint="cs"/>
          <w:rtl/>
        </w:rPr>
        <w:t xml:space="preserve"> </w:t>
      </w:r>
      <w:r w:rsidRPr="009F44AF">
        <w:rPr>
          <w:rStyle w:val="af6"/>
          <w:rFonts w:eastAsia="Guttman Hodes" w:hint="cs"/>
          <w:rtl/>
        </w:rPr>
        <w:t>(עג. ד"ה תנן)</w:t>
      </w:r>
      <w:r>
        <w:rPr>
          <w:rFonts w:hint="cs"/>
          <w:rtl/>
        </w:rPr>
        <w:t xml:space="preserve"> </w:t>
      </w:r>
      <w:r>
        <w:rPr>
          <w:rStyle w:val="af8"/>
          <w:rtl/>
        </w:rPr>
        <w:t xml:space="preserve">ועל הרי"ף </w:t>
      </w:r>
      <w:r w:rsidRPr="009F44AF">
        <w:rPr>
          <w:rStyle w:val="af6"/>
          <w:rFonts w:eastAsia="Guttman Hodes" w:hint="cs"/>
          <w:rtl/>
        </w:rPr>
        <w:t xml:space="preserve">(לה: מדה"ר ד"ה ודחינן) </w:t>
      </w:r>
      <w:r>
        <w:rPr>
          <w:rFonts w:hint="cs"/>
          <w:rtl/>
        </w:rPr>
        <w:t xml:space="preserve">דס"ל </w:t>
      </w:r>
      <w:r>
        <w:rPr>
          <w:rStyle w:val="af8"/>
          <w:rtl/>
        </w:rPr>
        <w:t>להרמב"ם</w:t>
      </w:r>
      <w:r>
        <w:rPr>
          <w:rFonts w:hint="cs"/>
          <w:rtl/>
        </w:rPr>
        <w:t xml:space="preserve"> דהחילוק ביין נסך, בין היתר שנפל לתוך איסור לאיסור שנפל לתוך היתר, הוא כמו דתנן במקוואות </w:t>
      </w:r>
      <w:r w:rsidRPr="009F44AF">
        <w:rPr>
          <w:rStyle w:val="af6"/>
          <w:rFonts w:eastAsia="Guttman Hodes" w:hint="cs"/>
          <w:rtl/>
        </w:rPr>
        <w:t>(פ"ב מ"ד)</w:t>
      </w:r>
      <w:r>
        <w:rPr>
          <w:rFonts w:hint="cs"/>
          <w:rtl/>
        </w:rPr>
        <w:t xml:space="preserve"> דאמר ר"א דרביעית מים שאובין שהיו בתחילה במקוה פוסלים את המקוה, ועל פני המים פוסלים רק ג' לוגין מים שאובין.</w:t>
      </w:r>
    </w:p>
    <w:p w:rsidR="009F44AF" w:rsidRDefault="009F44AF" w:rsidP="009F44AF">
      <w:pPr>
        <w:pStyle w:val="a2"/>
        <w:rPr>
          <w:rtl/>
        </w:rPr>
      </w:pPr>
      <w:bookmarkStart w:id="16934" w:name="_Toc26784113"/>
      <w:bookmarkStart w:id="16935" w:name="_Toc26781388"/>
      <w:r>
        <w:rPr>
          <w:rFonts w:hint="cs"/>
          <w:rtl/>
        </w:rPr>
        <w:t>ביאור הרשב"א ברמב"ם דהחומרא ביי"נ דאיסור שעומד במקומו חשוב ואף טיפה אחת אוסרת</w:t>
      </w:r>
      <w:bookmarkEnd w:id="16934"/>
      <w:bookmarkEnd w:id="16935"/>
    </w:p>
    <w:p w:rsidR="009F44AF" w:rsidRDefault="009F44AF" w:rsidP="009F44AF">
      <w:pPr>
        <w:pStyle w:val="a"/>
        <w:numPr>
          <w:ilvl w:val="0"/>
          <w:numId w:val="17"/>
        </w:numPr>
        <w:rPr>
          <w:rtl/>
        </w:rPr>
      </w:pPr>
      <w:bookmarkStart w:id="16936" w:name="_Ref26780629"/>
      <w:r>
        <w:rPr>
          <w:rFonts w:hint="cs"/>
          <w:rtl/>
        </w:rPr>
        <w:t xml:space="preserve">וביאר </w:t>
      </w:r>
      <w:r>
        <w:rPr>
          <w:rStyle w:val="af8"/>
          <w:rtl/>
        </w:rPr>
        <w:t>הרשב"א בחי'</w:t>
      </w:r>
      <w:r>
        <w:rPr>
          <w:rFonts w:hint="cs"/>
          <w:rtl/>
        </w:rPr>
        <w:t xml:space="preserve"> </w:t>
      </w:r>
      <w:r>
        <w:rPr>
          <w:rStyle w:val="af8"/>
          <w:rtl/>
        </w:rPr>
        <w:t xml:space="preserve">ובתוה"ב </w:t>
      </w:r>
      <w:r>
        <w:rPr>
          <w:rFonts w:hint="cs"/>
          <w:rtl/>
        </w:rPr>
        <w:t xml:space="preserve">דס"ל </w:t>
      </w:r>
      <w:r>
        <w:rPr>
          <w:rStyle w:val="af8"/>
          <w:rtl/>
        </w:rPr>
        <w:t>להרמב"ם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 </w:instrText>
      </w:r>
      <w:r w:rsidRPr="009F44AF">
        <w:rPr>
          <w:rStyle w:val="af6"/>
          <w:rFonts w:eastAsia="Guttman Hodes"/>
        </w:rPr>
        <w:instrText>MERGEFORMAT</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 xml:space="preserve"> דהחומרא ביין נסך היא דאף אם הייתה טיפה אחת של יין בבור, ונפלה לתוכו חבית גדולה אסור, כיון שהאיסור במקומו עומד, והוא חשוב יותר, אבל אם נפל יין נסך מועט לתוך בור של יין היתר מותר, ועיי"ש במה שהוסיף </w:t>
      </w:r>
      <w:r>
        <w:rPr>
          <w:rStyle w:val="af8"/>
          <w:rtl/>
        </w:rPr>
        <w:t>הרשב"א</w:t>
      </w:r>
      <w:r>
        <w:rPr>
          <w:rFonts w:hint="cs"/>
          <w:rtl/>
        </w:rPr>
        <w:t xml:space="preserve"> דלדברי </w:t>
      </w:r>
      <w:r>
        <w:rPr>
          <w:rStyle w:val="af8"/>
          <w:rtl/>
        </w:rPr>
        <w:t>הרמב"ם</w:t>
      </w:r>
      <w:r>
        <w:rPr>
          <w:rFonts w:hint="cs"/>
          <w:rtl/>
        </w:rPr>
        <w:t xml:space="preserve"> מבוארת המשנה לקמן </w:t>
      </w:r>
      <w:r w:rsidRPr="009F44AF">
        <w:rPr>
          <w:rStyle w:val="af6"/>
          <w:rFonts w:eastAsia="Guttman Hodes" w:hint="cs"/>
          <w:rtl/>
        </w:rPr>
        <w:t xml:space="preserve">(עב.) </w:t>
      </w:r>
      <w:r>
        <w:rPr>
          <w:rFonts w:hint="cs"/>
          <w:rtl/>
        </w:rPr>
        <w:t xml:space="preserve">והגמ' לעיל </w:t>
      </w:r>
      <w:r w:rsidRPr="009F44AF">
        <w:rPr>
          <w:rStyle w:val="af6"/>
          <w:rFonts w:eastAsia="Guttman Hodes" w:hint="cs"/>
          <w:rtl/>
        </w:rPr>
        <w:t>(נח.)</w:t>
      </w:r>
      <w:r>
        <w:rPr>
          <w:rFonts w:hint="cs"/>
          <w:rtl/>
        </w:rPr>
        <w:t>.</w:t>
      </w:r>
      <w:bookmarkEnd w:id="16936"/>
    </w:p>
    <w:p w:rsidR="009F44AF" w:rsidRDefault="009F44AF" w:rsidP="009F44AF">
      <w:pPr>
        <w:pStyle w:val="a2"/>
        <w:rPr>
          <w:rtl/>
        </w:rPr>
      </w:pPr>
      <w:bookmarkStart w:id="16937" w:name="_Toc26784114"/>
      <w:bookmarkStart w:id="16938" w:name="_Toc26781389"/>
      <w:bookmarkStart w:id="16939" w:name="_Toc26777178"/>
      <w:bookmarkStart w:id="16940" w:name="_Toc26742793"/>
      <w:r>
        <w:rPr>
          <w:rFonts w:hint="cs"/>
          <w:rtl/>
        </w:rPr>
        <w:t>דברי הר"ן ברמב"ם דהיתר שעומד במקומו ונפל לתוכו איסור פחות משיעור נו"ט דהאיסור בטל</w:t>
      </w:r>
      <w:bookmarkEnd w:id="16937"/>
      <w:bookmarkEnd w:id="16938"/>
    </w:p>
    <w:p w:rsidR="009F44AF" w:rsidRDefault="009F44AF" w:rsidP="009F44AF">
      <w:pPr>
        <w:pStyle w:val="a"/>
        <w:numPr>
          <w:ilvl w:val="0"/>
          <w:numId w:val="17"/>
        </w:numPr>
        <w:rPr>
          <w:rtl/>
        </w:rPr>
      </w:pPr>
      <w:bookmarkStart w:id="16941" w:name="_Ref26778240"/>
      <w:r>
        <w:rPr>
          <w:rFonts w:hint="cs"/>
          <w:rtl/>
        </w:rPr>
        <w:t xml:space="preserve">וכ"כ </w:t>
      </w:r>
      <w:r>
        <w:rPr>
          <w:rStyle w:val="af8"/>
          <w:rtl/>
        </w:rPr>
        <w:t>הר"ן בחי'</w:t>
      </w:r>
      <w:r>
        <w:rPr>
          <w:rFonts w:hint="cs"/>
          <w:rtl/>
        </w:rPr>
        <w:t xml:space="preserve"> </w:t>
      </w:r>
      <w:r w:rsidRPr="009F44AF">
        <w:rPr>
          <w:rStyle w:val="af6"/>
          <w:rFonts w:eastAsia="Guttman Hodes" w:hint="cs"/>
          <w:rtl/>
        </w:rPr>
        <w:t>(עג. ד"ה תנן)</w:t>
      </w:r>
      <w:r>
        <w:rPr>
          <w:rFonts w:hint="cs"/>
          <w:rtl/>
        </w:rPr>
        <w:t xml:space="preserve"> </w:t>
      </w:r>
      <w:r>
        <w:rPr>
          <w:rStyle w:val="af8"/>
          <w:rtl/>
        </w:rPr>
        <w:t xml:space="preserve">ועל הרי"ף </w:t>
      </w:r>
      <w:r w:rsidRPr="009F44AF">
        <w:rPr>
          <w:rStyle w:val="af6"/>
          <w:rFonts w:eastAsia="Guttman Hodes" w:hint="cs"/>
          <w:rtl/>
        </w:rPr>
        <w:t xml:space="preserve">(לה: מדה"ר ד"ה ודחינן) </w:t>
      </w:r>
      <w:r>
        <w:rPr>
          <w:rFonts w:hint="cs"/>
          <w:rtl/>
        </w:rPr>
        <w:t xml:space="preserve">דמשמע מדברי </w:t>
      </w:r>
      <w:r>
        <w:rPr>
          <w:rStyle w:val="af8"/>
          <w:rtl/>
        </w:rPr>
        <w:t>הרמב"ם</w:t>
      </w:r>
      <w:r>
        <w:rPr>
          <w:rFonts w:hint="cs"/>
          <w:rtl/>
        </w:rPr>
        <w:t xml:space="preserve"> </w:t>
      </w:r>
      <w:r w:rsidRPr="009F44AF">
        <w:rPr>
          <w:rStyle w:val="af6"/>
          <w:rFonts w:eastAsiaTheme="minorHAnsi" w:hint="cs"/>
          <w:rtl/>
        </w:rPr>
        <w:t xml:space="preserve">(עי' אות </w:t>
      </w:r>
      <w:r>
        <w:rPr>
          <w:rFonts w:hint="cs"/>
          <w:rtl/>
        </w:rPr>
        <w:fldChar w:fldCharType="begin"/>
      </w:r>
      <w:r w:rsidRPr="009F44AF">
        <w:rPr>
          <w:rStyle w:val="af6"/>
          <w:rFonts w:eastAsiaTheme="minorHAnsi" w:hint="cs"/>
          <w:rtl/>
        </w:rPr>
        <w:instrText xml:space="preserve"> </w:instrText>
      </w:r>
      <w:r w:rsidRPr="009F44AF">
        <w:rPr>
          <w:rStyle w:val="af6"/>
          <w:rFonts w:eastAsiaTheme="minorHAnsi"/>
        </w:rPr>
        <w:instrText>REF</w:instrText>
      </w:r>
      <w:r w:rsidRPr="009F44AF">
        <w:rPr>
          <w:rStyle w:val="af6"/>
          <w:rFonts w:eastAsiaTheme="minorHAnsi" w:hint="cs"/>
          <w:rtl/>
        </w:rPr>
        <w:instrText xml:space="preserve"> _</w:instrText>
      </w:r>
      <w:r w:rsidRPr="009F44AF">
        <w:rPr>
          <w:rStyle w:val="af6"/>
          <w:rFonts w:eastAsiaTheme="minorHAnsi"/>
        </w:rPr>
        <w:instrText>Ref26183771 \r \h</w:instrText>
      </w:r>
      <w:r w:rsidRPr="009F44AF">
        <w:rPr>
          <w:rStyle w:val="af6"/>
          <w:rFonts w:eastAsiaTheme="minorHAnsi" w:hint="cs"/>
          <w:rtl/>
        </w:rPr>
        <w:instrText xml:space="preserve"> </w:instrText>
      </w:r>
      <w:r>
        <w:rPr>
          <w:rFonts w:hint="cs"/>
          <w:rtl/>
        </w:rPr>
      </w:r>
      <w:r>
        <w:rPr>
          <w:rFonts w:hint="cs"/>
          <w:rtl/>
        </w:rPr>
        <w:fldChar w:fldCharType="separate"/>
      </w:r>
      <w:r w:rsidR="004D1C5B">
        <w:rPr>
          <w:rStyle w:val="af6"/>
          <w:rFonts w:eastAsiaTheme="minorHAnsi" w:hint="eastAsia"/>
          <w:cs/>
        </w:rPr>
        <w:t>‎</w:t>
      </w:r>
      <w:r w:rsidR="004D1C5B">
        <w:rPr>
          <w:rStyle w:val="af6"/>
          <w:rFonts w:eastAsiaTheme="minorHAnsi" w:hint="eastAsia"/>
          <w:rtl/>
        </w:rPr>
        <w:t>קב</w:t>
      </w:r>
      <w:r w:rsidR="004D1C5B">
        <w:rPr>
          <w:rStyle w:val="af6"/>
          <w:rFonts w:eastAsiaTheme="minorHAnsi"/>
          <w:rtl/>
        </w:rPr>
        <w:t>)</w:t>
      </w:r>
      <w:r>
        <w:rPr>
          <w:rFonts w:hint="cs"/>
          <w:rtl/>
        </w:rPr>
        <w:fldChar w:fldCharType="end"/>
      </w:r>
      <w:r>
        <w:rPr>
          <w:rFonts w:hint="cs"/>
          <w:rtl/>
        </w:rPr>
        <w:t xml:space="preserve"> דבהיתר שנפל לתוך איסור ההיתר מבטל את האיסור, כיון שההיתר הוא החשוב אא"כ נפל איסור מרובה בשיעור שהוא נותן טעם בהיתר.</w:t>
      </w:r>
      <w:bookmarkEnd w:id="16941"/>
    </w:p>
    <w:p w:rsidR="009F44AF" w:rsidRDefault="009F44AF" w:rsidP="009F44AF">
      <w:pPr>
        <w:pStyle w:val="a2"/>
        <w:rPr>
          <w:rtl/>
        </w:rPr>
      </w:pPr>
      <w:bookmarkStart w:id="16942" w:name="_Toc26784115"/>
      <w:bookmarkStart w:id="16943" w:name="_Toc26781390"/>
      <w:r>
        <w:rPr>
          <w:rFonts w:hint="cs"/>
          <w:rtl/>
        </w:rPr>
        <w:t>דברי הר"ן ברמב"ם דביי"נ במינו היתר מרובה נאסר כשנפל לאיסור אף כשאין באיסור נו"ט</w:t>
      </w:r>
      <w:bookmarkEnd w:id="16942"/>
      <w:bookmarkEnd w:id="16943"/>
    </w:p>
    <w:p w:rsidR="009F44AF" w:rsidRDefault="009F44AF" w:rsidP="009F44AF">
      <w:pPr>
        <w:pStyle w:val="a"/>
        <w:numPr>
          <w:ilvl w:val="0"/>
          <w:numId w:val="17"/>
        </w:numPr>
      </w:pPr>
      <w:bookmarkStart w:id="16944" w:name="_Ref26781888"/>
      <w:r>
        <w:rPr>
          <w:rFonts w:hint="cs"/>
          <w:rtl/>
        </w:rPr>
        <w:t xml:space="preserve">ועוד כתב </w:t>
      </w:r>
      <w:r>
        <w:rPr>
          <w:rStyle w:val="af8"/>
          <w:rtl/>
        </w:rPr>
        <w:t>הר"ן בחי'</w:t>
      </w:r>
      <w:r>
        <w:rPr>
          <w:rFonts w:hint="cs"/>
          <w:rtl/>
        </w:rPr>
        <w:t xml:space="preserve"> </w:t>
      </w:r>
      <w:r w:rsidRPr="009F44AF">
        <w:rPr>
          <w:rStyle w:val="af6"/>
          <w:rFonts w:eastAsia="Guttman Hodes" w:hint="cs"/>
          <w:rtl/>
        </w:rPr>
        <w:t>(עג. ד"ה תנן)</w:t>
      </w:r>
      <w:r>
        <w:rPr>
          <w:rFonts w:hint="cs"/>
          <w:rtl/>
        </w:rPr>
        <w:t xml:space="preserve"> דנראה מדברי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 xml:space="preserve"> דהחילוק בין החומרא ביין נסך, לבין שאר איסורים, דביין נסך במין במינו אף כשנפל היתר מרובה בבת אחת לתוך איסור מועט הוא נאסר, </w:t>
      </w:r>
      <w:r>
        <w:rPr>
          <w:rStyle w:val="afa"/>
          <w:rtl/>
        </w:rPr>
        <w:t xml:space="preserve">[דהיינו שאין בו שיעור נו"ט, כיון שהאיסור עומד במקומו והוא חשוב], </w:t>
      </w:r>
      <w:r>
        <w:rPr>
          <w:rFonts w:hint="cs"/>
          <w:rtl/>
        </w:rPr>
        <w:t xml:space="preserve">אבל בשאר איסורים כל שאין באיסור שיעור של נתינת טעם בהיתר, אינו נאסר, ועי' בדברי </w:t>
      </w:r>
      <w:r>
        <w:rPr>
          <w:rStyle w:val="af8"/>
          <w:rtl/>
        </w:rPr>
        <w:t xml:space="preserve">הר"ן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Ref26779560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צד</w:t>
      </w:r>
      <w:r w:rsidR="004D1C5B">
        <w:rPr>
          <w:rStyle w:val="af6"/>
          <w:rFonts w:eastAsia="Guttman Hodes"/>
          <w:rtl/>
        </w:rPr>
        <w:t>)</w:t>
      </w:r>
      <w:r>
        <w:rPr>
          <w:rFonts w:hint="cs"/>
          <w:rtl/>
        </w:rPr>
        <w:fldChar w:fldCharType="end"/>
      </w:r>
      <w:r>
        <w:rPr>
          <w:rFonts w:hint="cs"/>
          <w:rtl/>
        </w:rPr>
        <w:t xml:space="preserve"> בזה.</w:t>
      </w:r>
      <w:bookmarkEnd w:id="16944"/>
    </w:p>
    <w:p w:rsidR="009F44AF" w:rsidRDefault="009F44AF" w:rsidP="009F44AF">
      <w:pPr>
        <w:pStyle w:val="a2"/>
        <w:rPr>
          <w:rtl/>
        </w:rPr>
      </w:pPr>
      <w:bookmarkStart w:id="16945" w:name="_Toc26784116"/>
      <w:bookmarkStart w:id="16946" w:name="_Toc26781391"/>
      <w:r>
        <w:rPr>
          <w:rFonts w:hint="cs"/>
          <w:rtl/>
        </w:rPr>
        <w:t>ביאור החזו"א ברמב"ם דאף בנפל בב"א ההיתר אינו מבטל את האיסור כיון שהוא חשוב במקומו</w:t>
      </w:r>
      <w:bookmarkEnd w:id="16939"/>
      <w:bookmarkEnd w:id="16940"/>
      <w:bookmarkEnd w:id="16945"/>
      <w:bookmarkEnd w:id="16946"/>
    </w:p>
    <w:p w:rsidR="009F44AF" w:rsidRDefault="009F44AF" w:rsidP="009F44AF">
      <w:pPr>
        <w:pStyle w:val="a"/>
        <w:numPr>
          <w:ilvl w:val="0"/>
          <w:numId w:val="17"/>
        </w:numPr>
      </w:pPr>
      <w:r>
        <w:rPr>
          <w:rFonts w:hint="cs"/>
          <w:rtl/>
        </w:rPr>
        <w:t xml:space="preserve">וכתב </w:t>
      </w:r>
      <w:r>
        <w:rPr>
          <w:rStyle w:val="af8"/>
          <w:rtl/>
        </w:rPr>
        <w:t>החזו"א</w:t>
      </w:r>
      <w:r>
        <w:rPr>
          <w:rFonts w:hint="cs"/>
          <w:rtl/>
        </w:rPr>
        <w:t xml:space="preserve"> </w:t>
      </w:r>
      <w:r w:rsidRPr="009F44AF">
        <w:rPr>
          <w:rStyle w:val="af6"/>
          <w:rFonts w:eastAsia="Guttman Hodes" w:hint="cs"/>
          <w:rtl/>
        </w:rPr>
        <w:t>(סי' מ"ח סק"א)</w:t>
      </w:r>
      <w:r>
        <w:rPr>
          <w:rFonts w:hint="cs"/>
          <w:rtl/>
        </w:rPr>
        <w:t xml:space="preserve"> דלדעת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 xml:space="preserve"> בהיתר שנפל לתוך איסור, אף בנפל בבת אחת לא מהני ההיתר לבטל את האיסור, כיון שהאיסור במקומו עומד והוא חשוב, </w:t>
      </w:r>
      <w:r>
        <w:rPr>
          <w:rStyle w:val="afa"/>
          <w:rtl/>
        </w:rPr>
        <w:t xml:space="preserve">[כדכתבו </w:t>
      </w:r>
      <w:r>
        <w:rPr>
          <w:rStyle w:val="affa"/>
          <w:rtl/>
        </w:rPr>
        <w:t>הרשב"א</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Ref26780629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קט)</w:t>
      </w:r>
      <w:r>
        <w:rPr>
          <w:rFonts w:hint="cs"/>
          <w:rtl/>
        </w:rPr>
        <w:fldChar w:fldCharType="end"/>
      </w:r>
      <w:r>
        <w:rPr>
          <w:rStyle w:val="afa"/>
          <w:rtl/>
        </w:rPr>
        <w:t xml:space="preserve"> ו</w:t>
      </w:r>
      <w:r>
        <w:rPr>
          <w:rStyle w:val="affa"/>
          <w:rtl/>
        </w:rPr>
        <w:t>הר"ן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Ref26778240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קי)</w:t>
      </w:r>
      <w:r>
        <w:rPr>
          <w:rFonts w:hint="cs"/>
          <w:rtl/>
        </w:rPr>
        <w:fldChar w:fldCharType="end"/>
      </w:r>
      <w:r>
        <w:rPr>
          <w:rStyle w:val="afa"/>
          <w:rtl/>
        </w:rPr>
        <w:t xml:space="preserve">], </w:t>
      </w:r>
      <w:r>
        <w:rPr>
          <w:rFonts w:hint="cs"/>
          <w:rtl/>
        </w:rPr>
        <w:t>ומחמת חומרא דיין נסך אינו מתבטל לעולם.</w:t>
      </w:r>
    </w:p>
    <w:p w:rsidR="009F44AF" w:rsidRDefault="009F44AF" w:rsidP="009F44AF">
      <w:pPr>
        <w:pStyle w:val="a2"/>
        <w:rPr>
          <w:rtl/>
        </w:rPr>
      </w:pPr>
      <w:bookmarkStart w:id="16947" w:name="_Toc26784117"/>
      <w:bookmarkStart w:id="16948" w:name="_Toc26781392"/>
      <w:bookmarkStart w:id="16949" w:name="_Toc26777179"/>
      <w:bookmarkStart w:id="16950" w:name="_Toc26742794"/>
      <w:r>
        <w:rPr>
          <w:rFonts w:hint="cs"/>
          <w:rtl/>
        </w:rPr>
        <w:t>דברי החזו"א דבאינו מינו אף בהיתר לתוך אסיור כל שהתרבה ואין שיעור נו"ט מותר אף ביי"נ</w:t>
      </w:r>
      <w:bookmarkEnd w:id="16947"/>
      <w:bookmarkEnd w:id="16948"/>
      <w:bookmarkEnd w:id="16949"/>
      <w:bookmarkEnd w:id="16950"/>
    </w:p>
    <w:p w:rsidR="009F44AF" w:rsidRDefault="009F44AF" w:rsidP="009F44AF">
      <w:pPr>
        <w:pStyle w:val="a"/>
        <w:numPr>
          <w:ilvl w:val="0"/>
          <w:numId w:val="17"/>
        </w:numPr>
        <w:rPr>
          <w:rtl/>
        </w:rPr>
      </w:pPr>
      <w:r>
        <w:rPr>
          <w:rFonts w:hint="cs"/>
          <w:rtl/>
        </w:rPr>
        <w:t xml:space="preserve">אך כתב </w:t>
      </w:r>
      <w:r>
        <w:rPr>
          <w:rStyle w:val="af8"/>
          <w:rtl/>
        </w:rPr>
        <w:t>החזו"א</w:t>
      </w:r>
      <w:r>
        <w:rPr>
          <w:rFonts w:hint="cs"/>
          <w:rtl/>
        </w:rPr>
        <w:t xml:space="preserve"> דבמין בשאינו מינו, אף בהיתר שנפל לתוך איסור, כל שלבסוף התרבה ההיתר ואין באיסור שיעור נתינת טעם בהיתר מותר, אף כשלא נפל בבת אחת, ואין חילוק בזה בין יין נסך לשאר איסורים.</w:t>
      </w:r>
    </w:p>
    <w:p w:rsidR="009F44AF" w:rsidRDefault="009F44AF" w:rsidP="0098721B">
      <w:pPr>
        <w:pStyle w:val="1"/>
        <w:rPr>
          <w:rtl/>
        </w:rPr>
      </w:pPr>
      <w:bookmarkStart w:id="16951" w:name="_Toc26784118"/>
      <w:bookmarkStart w:id="16952" w:name="_Toc26781393"/>
      <w:r>
        <w:rPr>
          <w:rFonts w:hint="cs"/>
          <w:rtl/>
        </w:rPr>
        <w:t>דברי הראשוניםם בביאור דברי הרמב"ם דפסק כרב יצחק</w:t>
      </w:r>
      <w:bookmarkEnd w:id="16951"/>
      <w:bookmarkEnd w:id="16952"/>
    </w:p>
    <w:p w:rsidR="009F44AF" w:rsidRDefault="009F44AF" w:rsidP="009F44AF">
      <w:pPr>
        <w:pStyle w:val="a2"/>
        <w:rPr>
          <w:rtl/>
        </w:rPr>
      </w:pPr>
      <w:bookmarkStart w:id="16953" w:name="_Toc26784119"/>
      <w:bookmarkStart w:id="16954" w:name="_Toc26777180"/>
      <w:bookmarkStart w:id="16955" w:name="_Toc26742795"/>
      <w:r>
        <w:rPr>
          <w:rFonts w:hint="cs"/>
          <w:rtl/>
        </w:rPr>
        <w:t>דברי הרשב"א ברמב"ם דרבין ורב יצחק לא פליגי ולכן פסק הרמב"ם כרב יצחק</w:t>
      </w:r>
      <w:bookmarkEnd w:id="16953"/>
    </w:p>
    <w:p w:rsidR="009F44AF" w:rsidRDefault="009F44AF" w:rsidP="009F44AF">
      <w:pPr>
        <w:pStyle w:val="a"/>
        <w:numPr>
          <w:ilvl w:val="0"/>
          <w:numId w:val="17"/>
        </w:numPr>
        <w:rPr>
          <w:rtl/>
        </w:rPr>
      </w:pPr>
      <w:r>
        <w:rPr>
          <w:rFonts w:hint="cs"/>
          <w:rtl/>
        </w:rPr>
        <w:t xml:space="preserve">כתב </w:t>
      </w:r>
      <w:r>
        <w:rPr>
          <w:rStyle w:val="af8"/>
          <w:rtl/>
        </w:rPr>
        <w:t>הרשב"א</w:t>
      </w:r>
      <w:r>
        <w:rPr>
          <w:rFonts w:hint="cs"/>
          <w:rtl/>
        </w:rPr>
        <w:t xml:space="preserve"> </w:t>
      </w:r>
      <w:r w:rsidRPr="009F44AF">
        <w:rPr>
          <w:rStyle w:val="af6"/>
          <w:rFonts w:eastAsia="Guttman Hodes" w:hint="cs"/>
          <w:rtl/>
        </w:rPr>
        <w:t>(עג. ד"ה כי אתא רב יצחק)</w:t>
      </w:r>
      <w:r>
        <w:rPr>
          <w:rFonts w:hint="cs"/>
          <w:rtl/>
        </w:rPr>
        <w:t xml:space="preserve"> דמדברי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Ref26780702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קד</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משמע דרבין ורב יצחק לא נחלקו כלל, ולכן פסק </w:t>
      </w:r>
      <w:r>
        <w:rPr>
          <w:rStyle w:val="af8"/>
          <w:rtl/>
        </w:rPr>
        <w:t>הרמב"ם</w:t>
      </w:r>
      <w:r>
        <w:rPr>
          <w:rFonts w:hint="cs"/>
          <w:rtl/>
        </w:rPr>
        <w:t xml:space="preserve"> כרב יצחק, אך כתב </w:t>
      </w:r>
      <w:r>
        <w:rPr>
          <w:rStyle w:val="af8"/>
          <w:rtl/>
        </w:rPr>
        <w:t>הרשב"א</w:t>
      </w:r>
      <w:r>
        <w:rPr>
          <w:rFonts w:hint="cs"/>
          <w:rtl/>
        </w:rPr>
        <w:t xml:space="preserve"> דמלשון רבין לא משמע כן כלל, עיי"ש בדבריו.</w:t>
      </w:r>
    </w:p>
    <w:p w:rsidR="009F44AF" w:rsidRDefault="009F44AF" w:rsidP="009F44AF">
      <w:pPr>
        <w:pStyle w:val="a2"/>
        <w:rPr>
          <w:rtl/>
        </w:rPr>
      </w:pPr>
    </w:p>
    <w:p w:rsidR="009F44AF" w:rsidRDefault="009F44AF" w:rsidP="009F44AF">
      <w:pPr>
        <w:pStyle w:val="a2"/>
        <w:rPr>
          <w:rtl/>
        </w:rPr>
      </w:pPr>
      <w:bookmarkStart w:id="16956" w:name="_Toc26784120"/>
      <w:bookmarkStart w:id="16957" w:name="_Toc26781394"/>
      <w:r>
        <w:rPr>
          <w:rFonts w:hint="cs"/>
          <w:rtl/>
        </w:rPr>
        <w:t>ביאור הר"ן ברמב"ם כהראב"ד דנפיש עמודיה אסור מחמת דהוא חשוב ואף בקילוח שפוסק אוסר</w:t>
      </w:r>
      <w:bookmarkEnd w:id="16956"/>
      <w:bookmarkEnd w:id="16957"/>
      <w:r>
        <w:rPr>
          <w:rFonts w:hint="cs"/>
          <w:rtl/>
        </w:rPr>
        <w:t xml:space="preserve"> </w:t>
      </w:r>
    </w:p>
    <w:p w:rsidR="009F44AF" w:rsidRDefault="009F44AF" w:rsidP="009F44AF">
      <w:pPr>
        <w:pStyle w:val="a"/>
        <w:numPr>
          <w:ilvl w:val="0"/>
          <w:numId w:val="17"/>
        </w:numPr>
        <w:rPr>
          <w:rtl/>
        </w:rPr>
      </w:pPr>
      <w:bookmarkStart w:id="16958" w:name="_Ref26780866"/>
      <w:r>
        <w:rPr>
          <w:rStyle w:val="af8"/>
          <w:rtl/>
        </w:rPr>
        <w:t>והר"ן בחי'</w:t>
      </w:r>
      <w:r>
        <w:rPr>
          <w:rFonts w:hint="cs"/>
          <w:rtl/>
        </w:rPr>
        <w:t xml:space="preserve"> </w:t>
      </w:r>
      <w:r w:rsidRPr="009F44AF">
        <w:rPr>
          <w:rStyle w:val="af6"/>
          <w:rFonts w:eastAsia="Guttman Hodes" w:hint="cs"/>
          <w:rtl/>
        </w:rPr>
        <w:t>(עג. ד"ה כי אתא רבין)</w:t>
      </w:r>
      <w:r>
        <w:rPr>
          <w:rFonts w:hint="cs"/>
          <w:rtl/>
        </w:rPr>
        <w:t xml:space="preserve"> כתב דאפש"ל </w:t>
      </w:r>
      <w:r>
        <w:rPr>
          <w:rStyle w:val="af8"/>
          <w:rtl/>
        </w:rPr>
        <w:t>דהרמב"ם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Ref26780702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קד</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דפסק כרב יצחק, ס"ל כדעת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Ref26115561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נח</w:t>
      </w:r>
      <w:r w:rsidR="004D1C5B">
        <w:rPr>
          <w:rStyle w:val="af6"/>
          <w:rFonts w:eastAsia="Guttman Hodes"/>
          <w:rtl/>
        </w:rPr>
        <w:t>)</w:t>
      </w:r>
      <w:r>
        <w:rPr>
          <w:rFonts w:hint="cs"/>
          <w:rtl/>
        </w:rPr>
        <w:fldChar w:fldCharType="end"/>
      </w:r>
      <w:r>
        <w:rPr>
          <w:rFonts w:hint="cs"/>
          <w:rtl/>
        </w:rPr>
        <w:t xml:space="preserve"> דהא דאמר רב יצחק דחבית דנפיש עמודיה לא אמרינן דקמא קמא בטיל, אינו דוקא כשיש קילוח אחד מהחבית לבור, אלא אף במערה ומפסיק, </w:t>
      </w:r>
      <w:r>
        <w:rPr>
          <w:rStyle w:val="afa"/>
          <w:rtl/>
        </w:rPr>
        <w:t xml:space="preserve">[ודלא כדעת </w:t>
      </w:r>
      <w:r>
        <w:rPr>
          <w:rStyle w:val="affa"/>
          <w:rtl/>
        </w:rPr>
        <w:t>הרמב"ן</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Ref26780781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מא)</w:t>
      </w:r>
      <w:r>
        <w:rPr>
          <w:rFonts w:hint="cs"/>
          <w:rtl/>
        </w:rPr>
        <w:fldChar w:fldCharType="end"/>
      </w:r>
      <w:r>
        <w:rPr>
          <w:rStyle w:val="afa"/>
          <w:rtl/>
        </w:rPr>
        <w:t xml:space="preserve">], </w:t>
      </w:r>
      <w:r>
        <w:rPr>
          <w:rFonts w:hint="cs"/>
          <w:rtl/>
        </w:rPr>
        <w:t xml:space="preserve">דס"ל </w:t>
      </w:r>
      <w:r>
        <w:rPr>
          <w:rStyle w:val="af8"/>
          <w:rtl/>
        </w:rPr>
        <w:t>להרמב"ם</w:t>
      </w:r>
      <w:r>
        <w:rPr>
          <w:rFonts w:hint="cs"/>
          <w:rtl/>
        </w:rPr>
        <w:t xml:space="preserve"> דקילוח של חבית הוא חשוב אף כשאינו מחובר בין החבית לבור, ואף שאין בקילוח שיעור נתינת טעם בבור, הוא אוסר כיון שהוא חשוב, וכתב </w:t>
      </w:r>
      <w:r>
        <w:rPr>
          <w:rStyle w:val="af8"/>
          <w:rtl/>
        </w:rPr>
        <w:t>הר"ן</w:t>
      </w:r>
      <w:r>
        <w:rPr>
          <w:rFonts w:hint="cs"/>
          <w:rtl/>
        </w:rPr>
        <w:t xml:space="preserve"> דכן מוכח מהא דלא כתב </w:t>
      </w:r>
      <w:r>
        <w:rPr>
          <w:rStyle w:val="af8"/>
          <w:rtl/>
        </w:rPr>
        <w:t>הרמב"ם</w:t>
      </w:r>
      <w:r>
        <w:rPr>
          <w:rFonts w:hint="cs"/>
          <w:rtl/>
        </w:rPr>
        <w:t xml:space="preserve"> דחבית דנפיש עמודיה, אסור דוקא אם יש בקילוח שיעור נתינת טעם ביין שבבור.</w:t>
      </w:r>
      <w:bookmarkEnd w:id="16958"/>
    </w:p>
    <w:p w:rsidR="009F44AF" w:rsidRDefault="009F44AF" w:rsidP="009F44AF">
      <w:pPr>
        <w:pStyle w:val="a2"/>
        <w:rPr>
          <w:rtl/>
        </w:rPr>
      </w:pPr>
      <w:bookmarkStart w:id="16959" w:name="_Toc26784121"/>
      <w:bookmarkStart w:id="16960" w:name="_Toc26781395"/>
      <w:r>
        <w:rPr>
          <w:rFonts w:hint="cs"/>
          <w:rtl/>
        </w:rPr>
        <w:t>דברי הכס"מ דהרמב"ם פסק לחומרא כרב יצחק ולא כרב דימי ורבין לא פליג על רב יצחק</w:t>
      </w:r>
      <w:bookmarkEnd w:id="16959"/>
      <w:bookmarkEnd w:id="16960"/>
    </w:p>
    <w:p w:rsidR="009F44AF" w:rsidRDefault="009F44AF" w:rsidP="009F44AF">
      <w:pPr>
        <w:pStyle w:val="a"/>
        <w:numPr>
          <w:ilvl w:val="0"/>
          <w:numId w:val="17"/>
        </w:numPr>
        <w:rPr>
          <w:rtl/>
        </w:rPr>
      </w:pPr>
      <w:r>
        <w:rPr>
          <w:rStyle w:val="af8"/>
          <w:rtl/>
        </w:rPr>
        <w:t>והכס"מ</w:t>
      </w:r>
      <w:r>
        <w:rPr>
          <w:rFonts w:hint="cs"/>
          <w:rtl/>
        </w:rPr>
        <w:t xml:space="preserve"> </w:t>
      </w:r>
      <w:r w:rsidRPr="009F44AF">
        <w:rPr>
          <w:rStyle w:val="af6"/>
          <w:rFonts w:eastAsia="Guttman Hodes" w:hint="cs"/>
          <w:rtl/>
        </w:rPr>
        <w:t>(מאכ"א פט"ז הכ"ח)</w:t>
      </w:r>
      <w:r>
        <w:rPr>
          <w:rFonts w:hint="cs"/>
          <w:rtl/>
        </w:rPr>
        <w:t xml:space="preserve"> כתב </w:t>
      </w:r>
      <w:r>
        <w:rPr>
          <w:rStyle w:val="af8"/>
          <w:rtl/>
        </w:rPr>
        <w:t>דהרמב"ם</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Ref26780702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קד</w:t>
      </w:r>
      <w:r w:rsidR="004D1C5B">
        <w:rPr>
          <w:rStyle w:val="af6"/>
          <w:rFonts w:eastAsia="Guttman Hodes"/>
          <w:rtl/>
        </w:rPr>
        <w:t>)</w:t>
      </w:r>
      <w:r>
        <w:rPr>
          <w:rFonts w:hint="cs"/>
          <w:rtl/>
        </w:rPr>
        <w:fldChar w:fldCharType="end"/>
      </w:r>
      <w:r>
        <w:rPr>
          <w:rFonts w:hint="cs"/>
          <w:rtl/>
        </w:rPr>
        <w:t xml:space="preserve"> פסק לחומרא כרב יצחק, דפליג על רב דימי ומחמיר בחבית דנפיש עמודיה, וקיי"ל כרבין, וס"ל </w:t>
      </w:r>
      <w:r>
        <w:rPr>
          <w:rStyle w:val="af8"/>
          <w:rtl/>
        </w:rPr>
        <w:t>להרמב"ם</w:t>
      </w:r>
      <w:r>
        <w:rPr>
          <w:rFonts w:hint="cs"/>
          <w:rtl/>
        </w:rPr>
        <w:t xml:space="preserve"> דרבין לא פליג על רב יצחק.</w:t>
      </w:r>
    </w:p>
    <w:p w:rsidR="009F44AF" w:rsidRDefault="009F44AF" w:rsidP="009F44AF">
      <w:pPr>
        <w:pStyle w:val="a2"/>
        <w:rPr>
          <w:rtl/>
        </w:rPr>
      </w:pPr>
      <w:bookmarkStart w:id="16961" w:name="_Toc26784122"/>
      <w:bookmarkStart w:id="16962" w:name="_Toc26781396"/>
      <w:r>
        <w:rPr>
          <w:rFonts w:hint="cs"/>
          <w:rtl/>
        </w:rPr>
        <w:t>דברי הכס"מ דהראב"ד ס"ל כרש"י דרבין פליג על רב יצחק וקיי"ל כרבין</w:t>
      </w:r>
      <w:bookmarkEnd w:id="16961"/>
      <w:bookmarkEnd w:id="16962"/>
    </w:p>
    <w:p w:rsidR="009F44AF" w:rsidRDefault="009F44AF" w:rsidP="009F44AF">
      <w:pPr>
        <w:pStyle w:val="a"/>
        <w:numPr>
          <w:ilvl w:val="0"/>
          <w:numId w:val="17"/>
        </w:numPr>
        <w:rPr>
          <w:rtl/>
        </w:rPr>
      </w:pPr>
      <w:r>
        <w:rPr>
          <w:rFonts w:hint="cs"/>
          <w:rtl/>
        </w:rPr>
        <w:t xml:space="preserve">ובדעת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Ref26734251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קה</w:t>
      </w:r>
      <w:r w:rsidR="004D1C5B">
        <w:rPr>
          <w:rStyle w:val="af6"/>
          <w:rFonts w:eastAsia="Guttman Hodes"/>
          <w:rtl/>
        </w:rPr>
        <w:t>)</w:t>
      </w:r>
      <w:r>
        <w:rPr>
          <w:rFonts w:hint="cs"/>
          <w:rtl/>
        </w:rPr>
        <w:fldChar w:fldCharType="end"/>
      </w:r>
      <w:r>
        <w:rPr>
          <w:rFonts w:hint="cs"/>
          <w:rtl/>
        </w:rPr>
        <w:t xml:space="preserve"> כתב </w:t>
      </w:r>
      <w:r>
        <w:rPr>
          <w:rStyle w:val="af8"/>
          <w:rtl/>
        </w:rPr>
        <w:t>הכס"מ</w:t>
      </w:r>
      <w:r>
        <w:rPr>
          <w:rFonts w:hint="cs"/>
          <w:rtl/>
        </w:rPr>
        <w:t xml:space="preserve"> </w:t>
      </w:r>
      <w:r w:rsidRPr="009F44AF">
        <w:rPr>
          <w:rStyle w:val="af6"/>
          <w:rFonts w:eastAsia="Guttman Hodes" w:hint="cs"/>
          <w:rtl/>
        </w:rPr>
        <w:t>(מאכ"א פט"ז הכ"ח)</w:t>
      </w:r>
      <w:r>
        <w:rPr>
          <w:rFonts w:hint="cs"/>
          <w:rtl/>
        </w:rPr>
        <w:t xml:space="preserve"> דס"ל </w:t>
      </w:r>
      <w:r>
        <w:rPr>
          <w:rStyle w:val="af8"/>
          <w:rtl/>
        </w:rPr>
        <w:t>כרש"י</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Ref26781162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ד</w:t>
      </w:r>
      <w:r w:rsidR="004D1C5B">
        <w:rPr>
          <w:rStyle w:val="af6"/>
          <w:rFonts w:eastAsia="Guttman Hodes"/>
          <w:rtl/>
        </w:rPr>
        <w:t>)</w:t>
      </w:r>
      <w:r>
        <w:rPr>
          <w:rFonts w:hint="cs"/>
          <w:rtl/>
        </w:rPr>
        <w:fldChar w:fldCharType="end"/>
      </w:r>
      <w:r>
        <w:rPr>
          <w:rFonts w:hint="cs"/>
          <w:rtl/>
        </w:rPr>
        <w:t xml:space="preserve"> דרבין פליג על רב יצחק, וקיי"ל כרבין.</w:t>
      </w:r>
    </w:p>
    <w:p w:rsidR="009F44AF" w:rsidRDefault="009F44AF" w:rsidP="0098721B">
      <w:pPr>
        <w:pStyle w:val="1"/>
        <w:rPr>
          <w:rtl/>
        </w:rPr>
      </w:pPr>
      <w:bookmarkStart w:id="16963" w:name="_Toc26781397"/>
      <w:bookmarkStart w:id="16964" w:name="_Toc26784123"/>
      <w:r>
        <w:rPr>
          <w:rFonts w:hint="cs"/>
          <w:rtl/>
        </w:rPr>
        <w:t>ביאור הפרי תואר ברמב"ם</w:t>
      </w:r>
      <w:bookmarkEnd w:id="16954"/>
      <w:bookmarkEnd w:id="16955"/>
      <w:bookmarkEnd w:id="16963"/>
      <w:r>
        <w:rPr>
          <w:rFonts w:hint="cs"/>
          <w:rtl/>
        </w:rPr>
        <w:t xml:space="preserve"> דס"ל כראב"ד בדין חוזר וניעור</w:t>
      </w:r>
      <w:bookmarkEnd w:id="16964"/>
    </w:p>
    <w:p w:rsidR="009F44AF" w:rsidRDefault="009F44AF" w:rsidP="009F44AF">
      <w:pPr>
        <w:pStyle w:val="a2"/>
        <w:rPr>
          <w:rtl/>
        </w:rPr>
      </w:pPr>
      <w:bookmarkStart w:id="16965" w:name="_Toc26784124"/>
      <w:bookmarkStart w:id="16966" w:name="_Toc26781398"/>
      <w:bookmarkStart w:id="16967" w:name="_Toc26777181"/>
      <w:bookmarkStart w:id="16968" w:name="_Toc26742796"/>
      <w:r>
        <w:rPr>
          <w:rFonts w:hint="cs"/>
          <w:rtl/>
        </w:rPr>
        <w:t>ביאור הפרי תואר ברמב"ם דס"ל כראב"ד דבאינו מינו וכן בשאר איסורים קמא קמא בטיל</w:t>
      </w:r>
      <w:bookmarkEnd w:id="16965"/>
      <w:bookmarkEnd w:id="16966"/>
      <w:bookmarkEnd w:id="16967"/>
      <w:bookmarkEnd w:id="16968"/>
    </w:p>
    <w:p w:rsidR="009F44AF" w:rsidRDefault="009F44AF" w:rsidP="009F44AF">
      <w:pPr>
        <w:pStyle w:val="a"/>
        <w:numPr>
          <w:ilvl w:val="0"/>
          <w:numId w:val="17"/>
        </w:numPr>
        <w:rPr>
          <w:rtl/>
        </w:rPr>
      </w:pPr>
      <w:bookmarkStart w:id="16969" w:name="_Ref26183712"/>
      <w:r>
        <w:rPr>
          <w:rFonts w:hint="cs"/>
          <w:rtl/>
        </w:rPr>
        <w:t xml:space="preserve">וכתב </w:t>
      </w:r>
      <w:r>
        <w:rPr>
          <w:rStyle w:val="af8"/>
          <w:rtl/>
        </w:rPr>
        <w:t>הפרי תואר [לבעל האוה"ח]</w:t>
      </w:r>
      <w:r>
        <w:rPr>
          <w:rFonts w:hint="cs"/>
          <w:rtl/>
        </w:rPr>
        <w:t xml:space="preserve"> </w:t>
      </w:r>
      <w:r w:rsidRPr="009F44AF">
        <w:rPr>
          <w:rStyle w:val="af6"/>
          <w:rFonts w:eastAsia="Guttman Hodes" w:hint="cs"/>
          <w:rtl/>
        </w:rPr>
        <w:t>(סי' צ"ט סקי"ב ד"ה גם הרמב"ם)</w:t>
      </w:r>
      <w:r>
        <w:rPr>
          <w:rFonts w:hint="cs"/>
          <w:rtl/>
        </w:rPr>
        <w:t xml:space="preserve"> דכיון דלענין מין במינו כתב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Ref26183771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קב</w:t>
      </w:r>
      <w:r w:rsidR="004D1C5B">
        <w:rPr>
          <w:rStyle w:val="af6"/>
          <w:rFonts w:eastAsia="Guttman Hodes"/>
          <w:rtl/>
        </w:rPr>
        <w:t>)</w:t>
      </w:r>
      <w:r>
        <w:rPr>
          <w:rFonts w:hint="cs"/>
          <w:rtl/>
        </w:rPr>
        <w:fldChar w:fldCharType="end"/>
      </w:r>
      <w:r>
        <w:rPr>
          <w:rFonts w:hint="cs"/>
          <w:rtl/>
        </w:rPr>
        <w:t xml:space="preserve"> דבאיסור לתוך היתר, אמרינן דקמא קמא בטיל, ואילו לענין מין בשאינו מינו, כתב </w:t>
      </w:r>
      <w:r>
        <w:rPr>
          <w:rStyle w:val="af8"/>
          <w:rtl/>
        </w:rPr>
        <w:t>הרמב"ם</w:t>
      </w:r>
      <w:r>
        <w:rPr>
          <w:rFonts w:hint="cs"/>
          <w:rtl/>
        </w:rPr>
        <w:t xml:space="preserve"> </w:t>
      </w:r>
      <w:r w:rsidRPr="009F44AF">
        <w:rPr>
          <w:rStyle w:val="af6"/>
          <w:rFonts w:eastAsia="Guttman Hodes" w:hint="cs"/>
          <w:rtl/>
        </w:rPr>
        <w:t xml:space="preserve">(עי' אות </w:t>
      </w:r>
      <w:r>
        <w:rPr>
          <w:rFonts w:hint="cs"/>
          <w:rtl/>
        </w:rPr>
        <w:lastRenderedPageBreak/>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Ref26183780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קו</w:t>
      </w:r>
      <w:r w:rsidR="004D1C5B">
        <w:rPr>
          <w:rStyle w:val="af6"/>
          <w:rFonts w:eastAsia="Guttman Hodes"/>
          <w:rtl/>
        </w:rPr>
        <w:t>)</w:t>
      </w:r>
      <w:r>
        <w:rPr>
          <w:rFonts w:hint="cs"/>
          <w:rtl/>
        </w:rPr>
        <w:fldChar w:fldCharType="end"/>
      </w:r>
      <w:r>
        <w:rPr>
          <w:rFonts w:hint="cs"/>
          <w:rtl/>
        </w:rPr>
        <w:t xml:space="preserve"> דביין במים בנפל היתר לתוך איסור, שיעורו הוא בנותן טעם, ובאיסור לתוך היתר, אמרינן דקמא קמא בטיל, א"כ מבואר מדברי </w:t>
      </w:r>
      <w:r>
        <w:rPr>
          <w:rStyle w:val="af8"/>
          <w:rtl/>
        </w:rPr>
        <w:t>הרמב"ם</w:t>
      </w:r>
      <w:r>
        <w:rPr>
          <w:rFonts w:hint="cs"/>
          <w:rtl/>
        </w:rPr>
        <w:t xml:space="preserve"> </w:t>
      </w:r>
      <w:r w:rsidRPr="009F44AF">
        <w:rPr>
          <w:rFonts w:asciiTheme="minorHAnsi" w:hAnsiTheme="minorHAnsi" w:hint="cs"/>
          <w:rtl/>
        </w:rPr>
        <w:t xml:space="preserve">דס"ל כדברי </w:t>
      </w:r>
      <w:r>
        <w:rPr>
          <w:rStyle w:val="af8"/>
          <w:rtl/>
        </w:rPr>
        <w:t>הראב"ד</w:t>
      </w:r>
      <w:r w:rsidRPr="009F44AF">
        <w:rPr>
          <w:rStyle w:val="af6"/>
          <w:rFonts w:eastAsia="Guttman Hodes" w:hint="cs"/>
          <w:rtl/>
        </w:rPr>
        <w:t xml:space="preserve"> (עי'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Ref26183736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סג</w:t>
      </w:r>
      <w:r w:rsidR="004D1C5B">
        <w:rPr>
          <w:rStyle w:val="af6"/>
          <w:rFonts w:eastAsia="Guttman Hodes"/>
          <w:rtl/>
        </w:rPr>
        <w:t>)</w:t>
      </w:r>
      <w:r>
        <w:rPr>
          <w:rFonts w:hint="cs"/>
          <w:rtl/>
        </w:rPr>
        <w:fldChar w:fldCharType="end"/>
      </w:r>
      <w:r>
        <w:rPr>
          <w:rFonts w:hint="cs"/>
          <w:rtl/>
        </w:rPr>
        <w:t xml:space="preserve"> דלענין יין במים ומים ביין, וכן בכל איסור בלח בלח כחֵלֶב ודם שנימוחו בקדירה, קיי"ל כדעת האמוראים דאמרינן קמא קמא בטיל, והוסיף </w:t>
      </w:r>
      <w:r>
        <w:rPr>
          <w:rStyle w:val="af8"/>
          <w:rtl/>
        </w:rPr>
        <w:t>הפרי תואר</w:t>
      </w:r>
      <w:r>
        <w:rPr>
          <w:rFonts w:hint="cs"/>
          <w:rtl/>
        </w:rPr>
        <w:t xml:space="preserve"> דמבואר מדברי </w:t>
      </w:r>
      <w:r>
        <w:rPr>
          <w:rStyle w:val="af8"/>
          <w:rtl/>
        </w:rPr>
        <w:t>הרמב"ם</w:t>
      </w:r>
      <w:r>
        <w:rPr>
          <w:rFonts w:hint="cs"/>
          <w:rtl/>
        </w:rPr>
        <w:t xml:space="preserve"> דאף במין בשאינו מינו שצריך שישים מדאו', אפ"ה אמרינן דקמא קמא בטיל.</w:t>
      </w:r>
      <w:bookmarkEnd w:id="16969"/>
    </w:p>
    <w:p w:rsidR="009F44AF" w:rsidRDefault="009F44AF" w:rsidP="009F44AF">
      <w:pPr>
        <w:pStyle w:val="a2"/>
        <w:rPr>
          <w:rtl/>
        </w:rPr>
      </w:pPr>
      <w:bookmarkStart w:id="16970" w:name="_Toc26784125"/>
      <w:bookmarkStart w:id="16971" w:name="_Toc26781399"/>
      <w:bookmarkStart w:id="16972" w:name="_Toc26777182"/>
      <w:bookmarkStart w:id="16973" w:name="_Toc26742797"/>
      <w:r>
        <w:rPr>
          <w:rFonts w:hint="cs"/>
          <w:rtl/>
        </w:rPr>
        <w:t>דברי הפרי תואר דלהרמב"ם דבבטל בפחות משישים חוזר וניעור ובבטל בשישים אין חוזר וניעור</w:t>
      </w:r>
      <w:bookmarkEnd w:id="16970"/>
      <w:bookmarkEnd w:id="16971"/>
      <w:bookmarkEnd w:id="16972"/>
      <w:bookmarkEnd w:id="16973"/>
    </w:p>
    <w:p w:rsidR="009F44AF" w:rsidRDefault="009F44AF" w:rsidP="009F44AF">
      <w:pPr>
        <w:pStyle w:val="a"/>
        <w:numPr>
          <w:ilvl w:val="0"/>
          <w:numId w:val="17"/>
        </w:numPr>
      </w:pPr>
      <w:r>
        <w:rPr>
          <w:rFonts w:hint="cs"/>
          <w:rtl/>
        </w:rPr>
        <w:t xml:space="preserve">ועו"כ </w:t>
      </w:r>
      <w:r>
        <w:rPr>
          <w:rStyle w:val="af8"/>
          <w:rtl/>
        </w:rPr>
        <w:t>הפרי תואר</w:t>
      </w:r>
      <w:r w:rsidRPr="009F44AF">
        <w:rPr>
          <w:rStyle w:val="af6"/>
          <w:rFonts w:eastAsia="Guttman Hodes" w:hint="cs"/>
          <w:rtl/>
        </w:rPr>
        <w:t xml:space="preserve"> (סי' צ"ט סקי"ב ד"ה באופן עלו) </w:t>
      </w:r>
      <w:r>
        <w:rPr>
          <w:rFonts w:hint="cs"/>
          <w:rtl/>
        </w:rPr>
        <w:t xml:space="preserve">דס"ל </w:t>
      </w:r>
      <w:r>
        <w:rPr>
          <w:rStyle w:val="af8"/>
          <w:rtl/>
        </w:rPr>
        <w:t>להרמב"ם</w:t>
      </w:r>
      <w:r>
        <w:rPr>
          <w:rFonts w:hint="cs"/>
          <w:rtl/>
        </w:rPr>
        <w:t xml:space="preserve"> דבכל נפילה שיש בה פחות משישים, אמרינן דהאיסור חוזר וניעור, בין במין במינו ובין במין בשאינו מינו, וכל שהאיסור התבטל ביותר משישים, לא אמרינן דהאיסור חוזר וניעור בכל האופנים. </w:t>
      </w:r>
      <w:r>
        <w:rPr>
          <w:rStyle w:val="afa"/>
          <w:rtl/>
        </w:rPr>
        <w:t>[חוץ מתרומה שצריך להגביהה]</w:t>
      </w:r>
      <w:r>
        <w:rPr>
          <w:rFonts w:hint="cs"/>
          <w:rtl/>
        </w:rPr>
        <w:t>.</w:t>
      </w:r>
    </w:p>
    <w:p w:rsidR="009F44AF" w:rsidRDefault="009F44AF" w:rsidP="009F44AF">
      <w:pPr>
        <w:pStyle w:val="a2"/>
      </w:pPr>
      <w:bookmarkStart w:id="16974" w:name="_Toc26784126"/>
      <w:bookmarkStart w:id="16975" w:name="_Toc26781400"/>
      <w:bookmarkStart w:id="16976" w:name="_Toc26777183"/>
      <w:bookmarkStart w:id="16977" w:name="_Toc26742798"/>
      <w:r>
        <w:rPr>
          <w:rFonts w:hint="cs"/>
          <w:rtl/>
        </w:rPr>
        <w:t>דברי הפרי תואר דבדבר שאין בו איסור מדאו' ס"ל להרמב"ם דלא אמרינן חוזר וניעור</w:t>
      </w:r>
      <w:bookmarkEnd w:id="16974"/>
      <w:bookmarkEnd w:id="16975"/>
      <w:bookmarkEnd w:id="16976"/>
      <w:bookmarkEnd w:id="16977"/>
    </w:p>
    <w:p w:rsidR="009F44AF" w:rsidRDefault="009F44AF" w:rsidP="009F44AF">
      <w:pPr>
        <w:pStyle w:val="a"/>
        <w:numPr>
          <w:ilvl w:val="0"/>
          <w:numId w:val="17"/>
        </w:numPr>
      </w:pPr>
      <w:bookmarkStart w:id="16978" w:name="_Ref26199764"/>
      <w:r>
        <w:rPr>
          <w:rFonts w:hint="cs"/>
          <w:rtl/>
        </w:rPr>
        <w:t xml:space="preserve">ועו"כ </w:t>
      </w:r>
      <w:r>
        <w:rPr>
          <w:rStyle w:val="af8"/>
          <w:rtl/>
        </w:rPr>
        <w:t>הפרי תואר</w:t>
      </w:r>
      <w:r>
        <w:rPr>
          <w:rFonts w:hint="cs"/>
          <w:rtl/>
        </w:rPr>
        <w:t xml:space="preserve"> </w:t>
      </w:r>
      <w:r w:rsidRPr="009F44AF">
        <w:rPr>
          <w:rStyle w:val="af6"/>
          <w:rFonts w:eastAsia="Guttman Hodes" w:hint="cs"/>
          <w:rtl/>
        </w:rPr>
        <w:t xml:space="preserve">(סי' צ"ט סקי"ב ד"ה להרמב"ם והראב"ד) </w:t>
      </w:r>
      <w:r>
        <w:rPr>
          <w:rFonts w:hint="cs"/>
          <w:rtl/>
        </w:rPr>
        <w:t xml:space="preserve">דלדעת </w:t>
      </w:r>
      <w:r>
        <w:rPr>
          <w:rStyle w:val="af8"/>
          <w:rtl/>
        </w:rPr>
        <w:t>הרמב"ם והראב"ד</w:t>
      </w:r>
      <w:r>
        <w:rPr>
          <w:rFonts w:hint="cs"/>
          <w:rtl/>
        </w:rPr>
        <w:t xml:space="preserve"> דהא דאמרינן דחוזר וניעור היינו בדבר שאסור מדאו', כגון שאחר שהוסיף איסור, יש רוב איסור, או במין בשאינו מינו בדבר שיש בו טעם גמור, דאינו לח בלח שהטעם התבטל במציאות, </w:t>
      </w:r>
      <w:r>
        <w:rPr>
          <w:rStyle w:val="afa"/>
          <w:rtl/>
        </w:rPr>
        <w:t xml:space="preserve">[כדביאר </w:t>
      </w:r>
      <w:r>
        <w:rPr>
          <w:rStyle w:val="affa"/>
          <w:rtl/>
        </w:rPr>
        <w:t>הפרי תואר</w:t>
      </w:r>
      <w:r>
        <w:rPr>
          <w:rStyle w:val="afa"/>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Ref26734748 \r \h</w:instrText>
      </w:r>
      <w:r>
        <w:rPr>
          <w:rStyle w:val="aff6"/>
          <w:rtl/>
        </w:rPr>
        <w:instrText xml:space="preserve"> </w:instrText>
      </w:r>
      <w:r>
        <w:rPr>
          <w:rFonts w:hint="cs"/>
          <w:rtl/>
        </w:rPr>
      </w:r>
      <w:r>
        <w:rPr>
          <w:rFonts w:hint="cs"/>
          <w:rtl/>
        </w:rPr>
        <w:fldChar w:fldCharType="separate"/>
      </w:r>
      <w:r w:rsidR="004D1C5B">
        <w:rPr>
          <w:rStyle w:val="aff6"/>
          <w:cs/>
        </w:rPr>
        <w:t>‎</w:t>
      </w:r>
      <w:r w:rsidR="004D1C5B">
        <w:rPr>
          <w:rStyle w:val="aff6"/>
          <w:rtl/>
        </w:rPr>
        <w:t>עג)</w:t>
      </w:r>
      <w:r>
        <w:rPr>
          <w:rFonts w:hint="cs"/>
          <w:rtl/>
        </w:rPr>
        <w:fldChar w:fldCharType="end"/>
      </w:r>
      <w:r>
        <w:rPr>
          <w:rStyle w:val="afa"/>
          <w:rtl/>
        </w:rPr>
        <w:t>],</w:t>
      </w:r>
      <w:r>
        <w:rPr>
          <w:rFonts w:hint="cs"/>
          <w:rtl/>
        </w:rPr>
        <w:t xml:space="preserve"> אבל בשאר האופנים דאין איסור דאו', ס"ל </w:t>
      </w:r>
      <w:r>
        <w:rPr>
          <w:rStyle w:val="af8"/>
          <w:rtl/>
        </w:rPr>
        <w:t>להרמב"ם והראב"ד</w:t>
      </w:r>
      <w:r>
        <w:rPr>
          <w:rFonts w:hint="cs"/>
          <w:rtl/>
        </w:rPr>
        <w:t xml:space="preserve"> דקמא קמא בטיל, ואף במין בשאינו מינו בדבר לח שהטעם התבטל במציאות, או במחצה על מחצה בדבר יבש, שאין בו איסור דאו'.</w:t>
      </w:r>
      <w:bookmarkEnd w:id="16978"/>
    </w:p>
    <w:p w:rsidR="009F44AF" w:rsidRDefault="009F44AF" w:rsidP="0098721B">
      <w:pPr>
        <w:pStyle w:val="1"/>
        <w:rPr>
          <w:rtl/>
        </w:rPr>
      </w:pPr>
      <w:bookmarkStart w:id="16979" w:name="_Toc26781401"/>
      <w:bookmarkStart w:id="16980" w:name="_Toc26777184"/>
      <w:bookmarkStart w:id="16981" w:name="_Toc26742799"/>
      <w:bookmarkStart w:id="16982" w:name="_Toc26726118"/>
      <w:bookmarkStart w:id="16983" w:name="_Toc26702424"/>
      <w:bookmarkStart w:id="16984" w:name="_Toc26523456"/>
      <w:bookmarkStart w:id="16985" w:name="_Toc26477574"/>
      <w:bookmarkStart w:id="16986" w:name="_Toc26477449"/>
      <w:bookmarkStart w:id="16987" w:name="_Toc26442718"/>
      <w:bookmarkStart w:id="16988" w:name="_Toc26784127"/>
      <w:bookmarkEnd w:id="16803"/>
      <w:bookmarkEnd w:id="16804"/>
      <w:r>
        <w:rPr>
          <w:rFonts w:hint="cs"/>
          <w:rtl/>
        </w:rPr>
        <w:t>דעת הגר"א והפר"ח</w:t>
      </w:r>
      <w:bookmarkEnd w:id="16979"/>
      <w:bookmarkEnd w:id="16980"/>
      <w:bookmarkEnd w:id="16981"/>
      <w:bookmarkEnd w:id="16982"/>
      <w:bookmarkEnd w:id="16983"/>
      <w:bookmarkEnd w:id="16984"/>
      <w:bookmarkEnd w:id="16985"/>
      <w:bookmarkEnd w:id="16986"/>
      <w:bookmarkEnd w:id="16987"/>
      <w:r>
        <w:rPr>
          <w:rFonts w:hint="cs"/>
          <w:rtl/>
        </w:rPr>
        <w:t xml:space="preserve"> דבדאו' חוזר וניעור ובדרבנן אין חוזר וניעור</w:t>
      </w:r>
      <w:bookmarkEnd w:id="16988"/>
    </w:p>
    <w:p w:rsidR="009F44AF" w:rsidRDefault="009F44AF" w:rsidP="009F44AF">
      <w:pPr>
        <w:pStyle w:val="a2"/>
        <w:rPr>
          <w:rtl/>
        </w:rPr>
      </w:pPr>
      <w:bookmarkStart w:id="16989" w:name="_Toc26784128"/>
      <w:bookmarkStart w:id="16990" w:name="_Toc26781402"/>
      <w:bookmarkStart w:id="16991" w:name="_Toc26777185"/>
      <w:bookmarkStart w:id="16992" w:name="_Toc26742800"/>
      <w:r>
        <w:rPr>
          <w:rFonts w:hint="cs"/>
          <w:rtl/>
        </w:rPr>
        <w:t>דברי הגר"א והפר"ח דבאיסור דאו' אמרינן חוזר וניעור ובאיסור דרבנן אין חוזר וניעור</w:t>
      </w:r>
      <w:bookmarkEnd w:id="16989"/>
      <w:bookmarkEnd w:id="16990"/>
      <w:bookmarkEnd w:id="16991"/>
      <w:bookmarkEnd w:id="16992"/>
    </w:p>
    <w:p w:rsidR="009F44AF" w:rsidRDefault="009F44AF" w:rsidP="009F44AF">
      <w:pPr>
        <w:pStyle w:val="a"/>
        <w:numPr>
          <w:ilvl w:val="0"/>
          <w:numId w:val="17"/>
        </w:numPr>
        <w:rPr>
          <w:rtl/>
        </w:rPr>
      </w:pPr>
      <w:r>
        <w:rPr>
          <w:rFonts w:hint="cs"/>
          <w:rtl/>
        </w:rPr>
        <w:t xml:space="preserve">כתב </w:t>
      </w:r>
      <w:r>
        <w:rPr>
          <w:rStyle w:val="af8"/>
          <w:rtl/>
        </w:rPr>
        <w:t>הגר"א</w:t>
      </w:r>
      <w:r>
        <w:rPr>
          <w:rFonts w:hint="cs"/>
          <w:rtl/>
        </w:rPr>
        <w:t xml:space="preserve"> </w:t>
      </w:r>
      <w:r w:rsidRPr="009F44AF">
        <w:rPr>
          <w:rStyle w:val="af6"/>
          <w:rFonts w:eastAsia="Guttman Hodes" w:hint="cs"/>
          <w:rtl/>
        </w:rPr>
        <w:t>(סי' צ"ט סוס"ק ט"ו)</w:t>
      </w:r>
      <w:r>
        <w:rPr>
          <w:rFonts w:hint="cs"/>
          <w:rtl/>
        </w:rPr>
        <w:t xml:space="preserve"> דקיי"ל דבדבר שאסור מדאו' אמרינן דהאיסור חוזר וניעור, כיבש ביבש שאין רוב היתר, וכן בלח בלח במין בשאינו מינו בפחות משישים, כיון דטעם כעיקר דאו', אבל בשיעור שישים דרבנן לא אמרינן דחוזר וניעור, וכן באיסור ששיעורו במאה או מאתיים, או במשהו, לא אמרינן דחוזר וניעור, כיון שהוא שיעור דרבנן, וכ"כ </w:t>
      </w:r>
      <w:r>
        <w:rPr>
          <w:rStyle w:val="af8"/>
          <w:rtl/>
        </w:rPr>
        <w:t>הפר"ח</w:t>
      </w:r>
      <w:r w:rsidRPr="009F44AF">
        <w:rPr>
          <w:rStyle w:val="af6"/>
          <w:rFonts w:eastAsia="Guttman Hodes" w:hint="cs"/>
          <w:rtl/>
        </w:rPr>
        <w:t xml:space="preserve"> (סי' צ"ט סוס"ק כ"א) </w:t>
      </w:r>
      <w:r>
        <w:rPr>
          <w:rFonts w:hint="cs"/>
          <w:rtl/>
        </w:rPr>
        <w:t xml:space="preserve">במסקנת דבריו דבכל האיסורים שבתורה שהתבטלו, קיי"ל דלא אמרינן דהאיסור חוזר וניעור, והא דאמרינן חוזר וניעור הוא בדבר שאסור מדאו', כמין במינו באופן שאין רוב בהיתר כנגד האיסור, ובמין בשאינו מינו כשהאיסור נותן טעם בהיתר, ואין כל חילוק בין לח ליבש, ועי' </w:t>
      </w:r>
      <w:r>
        <w:rPr>
          <w:rStyle w:val="af8"/>
          <w:rtl/>
        </w:rPr>
        <w:t>בפרי תואר [לבעל האוה"ח]</w:t>
      </w:r>
      <w:r>
        <w:rPr>
          <w:rFonts w:hint="cs"/>
          <w:rtl/>
        </w:rPr>
        <w:t xml:space="preserve"> </w:t>
      </w:r>
      <w:r w:rsidRPr="009F44AF">
        <w:rPr>
          <w:rStyle w:val="af6"/>
          <w:rFonts w:eastAsia="Guttman Hodes" w:hint="cs"/>
          <w:rtl/>
        </w:rPr>
        <w:t>(סי' צ"ט סקי"ב ד"ה ומה שעלה במצודת)</w:t>
      </w:r>
      <w:r>
        <w:rPr>
          <w:rFonts w:hint="cs"/>
          <w:rtl/>
        </w:rPr>
        <w:t xml:space="preserve"> במה שהאריך לדחות את דברי </w:t>
      </w:r>
      <w:r>
        <w:rPr>
          <w:rStyle w:val="af8"/>
          <w:rtl/>
        </w:rPr>
        <w:t>הפר"ח</w:t>
      </w:r>
      <w:r>
        <w:rPr>
          <w:rFonts w:hint="cs"/>
          <w:rtl/>
        </w:rPr>
        <w:t xml:space="preserve">, וכן </w:t>
      </w:r>
      <w:r>
        <w:rPr>
          <w:rStyle w:val="af8"/>
          <w:rtl/>
        </w:rPr>
        <w:t>בשער"י</w:t>
      </w:r>
      <w:r>
        <w:rPr>
          <w:rFonts w:hint="cs"/>
          <w:rtl/>
        </w:rPr>
        <w:t xml:space="preserve"> </w:t>
      </w:r>
      <w:r w:rsidRPr="009F44AF">
        <w:rPr>
          <w:rStyle w:val="af6"/>
          <w:rFonts w:eastAsia="Guttman Hodes" w:hint="cs"/>
          <w:rtl/>
        </w:rPr>
        <w:t>(ש"ג פ"י ד"ה והנה היסוד, ש"ג פי"א)</w:t>
      </w:r>
      <w:r>
        <w:rPr>
          <w:rFonts w:hint="cs"/>
          <w:rtl/>
        </w:rPr>
        <w:t xml:space="preserve"> האריך לדחות את דברי </w:t>
      </w:r>
      <w:r>
        <w:rPr>
          <w:rStyle w:val="af8"/>
          <w:rtl/>
        </w:rPr>
        <w:t>הפר"ח</w:t>
      </w:r>
      <w:r>
        <w:rPr>
          <w:rFonts w:hint="cs"/>
          <w:rtl/>
        </w:rPr>
        <w:t>.</w:t>
      </w:r>
    </w:p>
    <w:p w:rsidR="009F44AF" w:rsidRDefault="009F44AF" w:rsidP="009F44AF">
      <w:pPr>
        <w:bidi w:val="0"/>
        <w:spacing w:line="240" w:lineRule="auto"/>
        <w:ind w:left="0"/>
        <w:jc w:val="left"/>
        <w:rPr>
          <w:rFonts w:ascii="Guttman Hodes" w:eastAsia="Guttman Hodes" w:hAnsi="Guttman Hodes" w:cs="Guttman Hodes"/>
          <w:noProof/>
          <w:sz w:val="18"/>
          <w:szCs w:val="18"/>
          <w:rtl/>
        </w:rPr>
        <w:sectPr w:rsidR="009F44AF">
          <w:type w:val="continuous"/>
          <w:pgSz w:w="11906" w:h="16838"/>
          <w:pgMar w:top="720" w:right="720" w:bottom="720" w:left="720" w:header="283" w:footer="283" w:gutter="0"/>
          <w:cols w:num="2" w:space="567"/>
          <w:bidi/>
          <w:rtlGutter/>
        </w:sectPr>
      </w:pPr>
    </w:p>
    <w:p w:rsidR="009F44AF" w:rsidRDefault="009F44AF" w:rsidP="009F44AF">
      <w:pPr>
        <w:bidi w:val="0"/>
        <w:spacing w:line="240" w:lineRule="auto"/>
        <w:ind w:left="0"/>
        <w:jc w:val="left"/>
        <w:rPr>
          <w:rFonts w:ascii="Guttman Hodes" w:eastAsia="Guttman Hodes" w:hAnsi="Guttman Hodes" w:cs="Guttman Hodes"/>
          <w:noProof/>
          <w:sz w:val="18"/>
          <w:szCs w:val="18"/>
        </w:rPr>
        <w:sectPr w:rsidR="009F44AF">
          <w:type w:val="continuous"/>
          <w:pgSz w:w="11906" w:h="16838"/>
          <w:pgMar w:top="720" w:right="720" w:bottom="720" w:left="720" w:header="283" w:footer="283" w:gutter="0"/>
          <w:cols w:space="720"/>
          <w:bidi/>
          <w:rtlGutter/>
        </w:sectPr>
      </w:pPr>
    </w:p>
    <w:p w:rsidR="009F44AF" w:rsidRDefault="00651E3B" w:rsidP="009F44AF">
      <w:pPr>
        <w:tabs>
          <w:tab w:val="left" w:pos="1163"/>
        </w:tabs>
        <w:spacing w:line="240" w:lineRule="auto"/>
        <w:ind w:left="0"/>
        <w:jc w:val="center"/>
        <w:rPr>
          <w:rtl/>
        </w:rPr>
      </w:pPr>
      <w:r>
        <w:rPr>
          <w:rFonts w:ascii="Guttman Hodes" w:eastAsia="Guttman Hodes" w:hAnsi="Guttman Hodes" w:cs="Guttman Hodes"/>
          <w:noProof/>
          <w:sz w:val="18"/>
          <w:szCs w:val="18"/>
        </w:rPr>
        <w:pict>
          <v:shape id="_x0000_i1038" type="#_x0000_t75" style="width:404.55pt;height:6.8pt" o:hrpct="0" o:hralign="center" o:hr="t">
            <v:imagedata r:id="rId48" o:title="BD14845_"/>
          </v:shape>
        </w:pict>
      </w:r>
    </w:p>
    <w:p w:rsidR="009F44AF" w:rsidRDefault="009F44AF" w:rsidP="009F44AF">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9F44AF" w:rsidRDefault="009F44AF" w:rsidP="009F44AF">
      <w:pPr>
        <w:pStyle w:val="afd"/>
        <w:rPr>
          <w:sz w:val="18"/>
          <w:rtl/>
        </w:rPr>
      </w:pPr>
      <w:bookmarkStart w:id="16993" w:name="_Toc26784129"/>
      <w:bookmarkStart w:id="16994" w:name="_Toc26781403"/>
      <w:bookmarkStart w:id="16995" w:name="_Toc26777186"/>
      <w:bookmarkStart w:id="16996" w:name="_Toc26742801"/>
      <w:bookmarkStart w:id="16997" w:name="_Toc26726120"/>
      <w:bookmarkStart w:id="16998" w:name="_Toc26702426"/>
      <w:bookmarkStart w:id="16999" w:name="_Toc26523458"/>
      <w:bookmarkStart w:id="17000" w:name="_Toc26477576"/>
      <w:bookmarkStart w:id="17001" w:name="_Toc26477451"/>
      <w:bookmarkStart w:id="17002" w:name="_Toc26442720"/>
      <w:bookmarkStart w:id="17003" w:name="_Toc26218289"/>
      <w:bookmarkStart w:id="17004" w:name="_Toc25699942"/>
      <w:r>
        <w:rPr>
          <w:rFonts w:hint="cs"/>
          <w:rtl/>
        </w:rPr>
        <w:t>ביאורי ראשי הישיבות</w:t>
      </w:r>
      <w:bookmarkEnd w:id="16993"/>
      <w:bookmarkEnd w:id="16994"/>
      <w:bookmarkEnd w:id="16995"/>
      <w:bookmarkEnd w:id="16996"/>
      <w:bookmarkEnd w:id="16997"/>
      <w:bookmarkEnd w:id="16998"/>
      <w:bookmarkEnd w:id="16999"/>
      <w:bookmarkEnd w:id="17000"/>
      <w:bookmarkEnd w:id="17001"/>
      <w:bookmarkEnd w:id="17002"/>
      <w:bookmarkEnd w:id="17003"/>
      <w:bookmarkEnd w:id="17004"/>
      <w:r>
        <w:rPr>
          <w:rFonts w:hint="cs"/>
          <w:rtl/>
        </w:rPr>
        <w:t xml:space="preserve"> </w:t>
      </w:r>
    </w:p>
    <w:p w:rsidR="009F44AF" w:rsidRDefault="009F44AF" w:rsidP="009F44AF">
      <w:pPr>
        <w:bidi w:val="0"/>
        <w:ind w:left="0"/>
        <w:jc w:val="left"/>
        <w:rPr>
          <w:rFonts w:ascii="Guttman Adii-Light" w:eastAsia="Guttman Adii-Light" w:hAnsi="Guttman Adii-Light" w:cs="Guttman Adii-Light"/>
          <w:b/>
          <w:noProof/>
          <w:sz w:val="18"/>
          <w:szCs w:val="28"/>
          <w:rtl/>
        </w:rPr>
        <w:sectPr w:rsidR="009F44AF">
          <w:type w:val="continuous"/>
          <w:pgSz w:w="11906" w:h="16838"/>
          <w:pgMar w:top="720" w:right="720" w:bottom="720" w:left="720" w:header="283" w:footer="283" w:gutter="0"/>
          <w:cols w:space="720"/>
          <w:bidi/>
          <w:rtlGutter/>
        </w:sectPr>
      </w:pPr>
    </w:p>
    <w:p w:rsidR="009F44AF" w:rsidRDefault="009F44AF" w:rsidP="009F44AF">
      <w:pPr>
        <w:pStyle w:val="afd"/>
        <w:rPr>
          <w:rtl/>
        </w:rPr>
      </w:pPr>
      <w:r>
        <w:rPr>
          <w:rFonts w:hint="cs"/>
          <w:rtl/>
        </w:rPr>
        <w:t xml:space="preserve"> </w:t>
      </w:r>
      <w:bookmarkStart w:id="17005" w:name="_Toc26742802"/>
      <w:bookmarkStart w:id="17006" w:name="_Toc26726121"/>
      <w:bookmarkStart w:id="17007" w:name="_Toc26702427"/>
      <w:bookmarkStart w:id="17008" w:name="_Toc26523459"/>
      <w:bookmarkStart w:id="17009" w:name="_Toc26784130"/>
      <w:bookmarkStart w:id="17010" w:name="_Toc26781404"/>
      <w:bookmarkStart w:id="17011" w:name="_Toc26777187"/>
      <w:r>
        <w:rPr>
          <w:rFonts w:hint="cs"/>
          <w:rtl/>
        </w:rPr>
        <w:t>בפלוגתת הראשונים</w:t>
      </w:r>
      <w:bookmarkEnd w:id="17005"/>
      <w:bookmarkEnd w:id="17006"/>
      <w:bookmarkEnd w:id="17007"/>
      <w:bookmarkEnd w:id="17008"/>
      <w:r>
        <w:rPr>
          <w:rFonts w:hint="cs"/>
          <w:rtl/>
        </w:rPr>
        <w:t xml:space="preserve"> בחוזר וניעור</w:t>
      </w:r>
      <w:bookmarkEnd w:id="17009"/>
      <w:bookmarkEnd w:id="17010"/>
      <w:bookmarkEnd w:id="17011"/>
    </w:p>
    <w:p w:rsidR="009F44AF" w:rsidRDefault="009F44AF" w:rsidP="0098721B">
      <w:pPr>
        <w:pStyle w:val="1"/>
        <w:rPr>
          <w:rtl/>
        </w:rPr>
      </w:pPr>
      <w:bookmarkStart w:id="17012" w:name="_Toc26781405"/>
      <w:bookmarkStart w:id="17013" w:name="_Toc26777188"/>
      <w:bookmarkStart w:id="17014" w:name="_Toc26742803"/>
      <w:bookmarkStart w:id="17015" w:name="_Toc26784131"/>
      <w:r>
        <w:rPr>
          <w:rFonts w:hint="cs"/>
          <w:rtl/>
        </w:rPr>
        <w:t>ביאור השער"י</w:t>
      </w:r>
      <w:bookmarkEnd w:id="17012"/>
      <w:bookmarkEnd w:id="17013"/>
      <w:bookmarkEnd w:id="17014"/>
      <w:r>
        <w:rPr>
          <w:rFonts w:hint="cs"/>
          <w:rtl/>
        </w:rPr>
        <w:t xml:space="preserve"> ברא"ש דהביטול הוא רק כשיש כח מתיר</w:t>
      </w:r>
      <w:bookmarkEnd w:id="17015"/>
    </w:p>
    <w:p w:rsidR="009F44AF" w:rsidRDefault="009F44AF" w:rsidP="009F44AF">
      <w:pPr>
        <w:pStyle w:val="a2"/>
        <w:rPr>
          <w:rtl/>
        </w:rPr>
      </w:pPr>
      <w:bookmarkStart w:id="17016" w:name="_Toc26784132"/>
      <w:bookmarkStart w:id="17017" w:name="_Toc26781406"/>
      <w:bookmarkStart w:id="17018" w:name="_Toc26777189"/>
      <w:bookmarkStart w:id="17019" w:name="_Toc26742804"/>
      <w:r>
        <w:rPr>
          <w:rFonts w:hint="cs"/>
          <w:rtl/>
        </w:rPr>
        <w:t>דברי השער"י דהרא"ש מיקל לענין ביטול יבש ביבש דנהפך להיתר ומחמיר דחוזר וניעור</w:t>
      </w:r>
      <w:bookmarkEnd w:id="17016"/>
      <w:bookmarkEnd w:id="17017"/>
      <w:bookmarkEnd w:id="17018"/>
      <w:bookmarkEnd w:id="17019"/>
    </w:p>
    <w:p w:rsidR="009F44AF" w:rsidRDefault="009F44AF" w:rsidP="009F44AF">
      <w:pPr>
        <w:pStyle w:val="a"/>
        <w:numPr>
          <w:ilvl w:val="0"/>
          <w:numId w:val="17"/>
        </w:numPr>
        <w:rPr>
          <w:rtl/>
        </w:rPr>
      </w:pPr>
      <w:r>
        <w:rPr>
          <w:rFonts w:hint="cs"/>
          <w:rtl/>
        </w:rPr>
        <w:t xml:space="preserve">כתב </w:t>
      </w:r>
      <w:r>
        <w:rPr>
          <w:rStyle w:val="af8"/>
          <w:rtl/>
        </w:rPr>
        <w:t>השער"י</w:t>
      </w:r>
      <w:r>
        <w:rPr>
          <w:rFonts w:hint="cs"/>
          <w:rtl/>
        </w:rPr>
        <w:t xml:space="preserve"> </w:t>
      </w:r>
      <w:r w:rsidRPr="009F44AF">
        <w:rPr>
          <w:rStyle w:val="af6"/>
          <w:rFonts w:eastAsia="Guttman Hodes" w:hint="cs"/>
          <w:rtl/>
        </w:rPr>
        <w:t>(ש"ג פ"י)</w:t>
      </w:r>
      <w:r>
        <w:rPr>
          <w:rFonts w:hint="cs"/>
          <w:rtl/>
        </w:rPr>
        <w:t xml:space="preserve"> דבדברי </w:t>
      </w:r>
      <w:r>
        <w:rPr>
          <w:rStyle w:val="af8"/>
          <w:rtl/>
        </w:rPr>
        <w:t>הרא"ש</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Ref24902820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קט</w:t>
      </w:r>
      <w:r w:rsidR="004D1C5B">
        <w:rPr>
          <w:rStyle w:val="af6"/>
          <w:rFonts w:eastAsia="Guttman Hodes"/>
          <w:rtl/>
        </w:rPr>
        <w:t>)</w:t>
      </w:r>
      <w:r w:rsidRPr="009F44AF">
        <w:rPr>
          <w:rStyle w:val="af6"/>
          <w:rFonts w:eastAsia="Guttman Hodes" w:hint="cs"/>
          <w:rtl/>
        </w:rPr>
        <w:fldChar w:fldCharType="end"/>
      </w:r>
      <w:r w:rsidRPr="009F44AF">
        <w:rPr>
          <w:rStyle w:val="af6"/>
          <w:rFonts w:eastAsia="Guttman Hodes" w:hint="cs"/>
          <w:rtl/>
        </w:rPr>
        <w:t xml:space="preserve"> </w:t>
      </w:r>
      <w:r>
        <w:rPr>
          <w:rFonts w:hint="cs"/>
          <w:rtl/>
        </w:rPr>
        <w:t xml:space="preserve">מבואר דכל שנוסף איסור, ואין ביטול ברוב, אמרינן דהאיסור חוזר וניעור, בין בשיעור דאו' ובין בשיעור דרבנן כתרומה במאה וערלה במאתיים, ואף </w:t>
      </w:r>
      <w:r>
        <w:rPr>
          <w:rStyle w:val="af8"/>
          <w:rtl/>
        </w:rPr>
        <w:t>דהרא"ש</w:t>
      </w:r>
      <w:r>
        <w:rPr>
          <w:rFonts w:hint="cs"/>
          <w:rtl/>
        </w:rPr>
        <w:t xml:space="preserve"> מתיר לאכול את כל התערובת בבת אחת, דאמרינן דהאיסור נהפך להיתר, ומיקל </w:t>
      </w:r>
      <w:r>
        <w:rPr>
          <w:rStyle w:val="af8"/>
          <w:rtl/>
        </w:rPr>
        <w:t>הרא"ש</w:t>
      </w:r>
      <w:r>
        <w:rPr>
          <w:rFonts w:hint="cs"/>
          <w:rtl/>
        </w:rPr>
        <w:t xml:space="preserve"> יותר </w:t>
      </w:r>
      <w:r>
        <w:rPr>
          <w:rStyle w:val="af8"/>
          <w:rtl/>
        </w:rPr>
        <w:t>מהרשב"א</w:t>
      </w:r>
      <w:r>
        <w:rPr>
          <w:rFonts w:hint="cs"/>
          <w:rtl/>
        </w:rPr>
        <w:t xml:space="preserve"> </w:t>
      </w:r>
      <w:r>
        <w:rPr>
          <w:rStyle w:val="afa"/>
          <w:rtl/>
        </w:rPr>
        <w:t>[דכתב</w:t>
      </w:r>
      <w:r>
        <w:rPr>
          <w:rStyle w:val="affa"/>
          <w:rtl/>
        </w:rPr>
        <w:t xml:space="preserve"> הרשב"א</w:t>
      </w:r>
      <w:r>
        <w:rPr>
          <w:rStyle w:val="afa"/>
          <w:rtl/>
        </w:rPr>
        <w:t xml:space="preserve"> </w:t>
      </w:r>
      <w:r>
        <w:rPr>
          <w:rStyle w:val="aff6"/>
          <w:rtl/>
        </w:rPr>
        <w:t>(ב"ד ש"א יז. מדה"ס, הובא בסימן י"ז אות מ"ז)</w:t>
      </w:r>
      <w:r>
        <w:rPr>
          <w:rFonts w:hint="cs"/>
          <w:rtl/>
        </w:rPr>
        <w:t xml:space="preserve"> </w:t>
      </w:r>
      <w:r>
        <w:rPr>
          <w:rStyle w:val="afa"/>
          <w:rtl/>
        </w:rPr>
        <w:t>דאסור לאכול בבת אחת, ואסור בחזר ובישל],</w:t>
      </w:r>
      <w:r>
        <w:rPr>
          <w:rFonts w:hint="cs"/>
          <w:rtl/>
        </w:rPr>
        <w:t xml:space="preserve"> מ"מ לענין חוזר וניעור </w:t>
      </w:r>
      <w:r>
        <w:rPr>
          <w:rStyle w:val="af8"/>
          <w:rtl/>
        </w:rPr>
        <w:t>הרא"ש</w:t>
      </w:r>
      <w:r>
        <w:rPr>
          <w:rFonts w:hint="cs"/>
          <w:rtl/>
        </w:rPr>
        <w:t xml:space="preserve"> מחמיר יותר </w:t>
      </w:r>
      <w:r>
        <w:rPr>
          <w:rStyle w:val="af8"/>
          <w:rtl/>
        </w:rPr>
        <w:t>מהרשב"א</w:t>
      </w:r>
      <w:r>
        <w:rPr>
          <w:rFonts w:hint="cs"/>
          <w:rtl/>
        </w:rPr>
        <w:t xml:space="preserve">, </w:t>
      </w:r>
      <w:r>
        <w:rPr>
          <w:rStyle w:val="af8"/>
          <w:rtl/>
        </w:rPr>
        <w:t>דלהרשב"א</w:t>
      </w:r>
      <w:r>
        <w:rPr>
          <w:rFonts w:hint="cs"/>
          <w:rtl/>
        </w:rPr>
        <w:t xml:space="preserve"> </w:t>
      </w:r>
      <w:r w:rsidRPr="009F44AF">
        <w:rPr>
          <w:rStyle w:val="af6"/>
          <w:rFonts w:eastAsia="Guttman Hodes" w:hint="cs"/>
          <w:rtl/>
        </w:rPr>
        <w:t xml:space="preserve">(עי' אות </w:t>
      </w:r>
      <w:r w:rsidRPr="009F44AF">
        <w:rPr>
          <w:rStyle w:val="af6"/>
          <w:rFonts w:eastAsia="Guttman Hode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Ref26776481 \r \h</w:instrText>
      </w:r>
      <w:r w:rsidRPr="009F44AF">
        <w:rPr>
          <w:rStyle w:val="af6"/>
          <w:rFonts w:eastAsia="Guttman Hodes" w:hint="cs"/>
          <w:rtl/>
        </w:rPr>
        <w:instrText xml:space="preserve"> </w:instrText>
      </w:r>
      <w:r w:rsidRPr="009F44AF">
        <w:rPr>
          <w:rStyle w:val="af6"/>
          <w:rFonts w:eastAsia="Guttman Hodes" w:hint="cs"/>
          <w:rtl/>
        </w:rPr>
      </w:r>
      <w:r w:rsidRPr="009F44AF">
        <w:rPr>
          <w:rStyle w:val="af6"/>
          <w:rFonts w:eastAsia="Guttman Hodes" w:hint="cs"/>
          <w:rtl/>
        </w:rPr>
        <w:fldChar w:fldCharType="separate"/>
      </w:r>
      <w:r w:rsidR="004D1C5B">
        <w:rPr>
          <w:rStyle w:val="af6"/>
          <w:rFonts w:eastAsia="Guttman Hodes" w:hint="eastAsia"/>
          <w:cs/>
        </w:rPr>
        <w:t>‎</w:t>
      </w:r>
      <w:r w:rsidR="004D1C5B">
        <w:rPr>
          <w:rStyle w:val="af6"/>
          <w:rFonts w:eastAsia="Guttman Hodes" w:hint="eastAsia"/>
          <w:rtl/>
        </w:rPr>
        <w:t>פו</w:t>
      </w:r>
      <w:r w:rsidR="004D1C5B">
        <w:rPr>
          <w:rStyle w:val="af6"/>
          <w:rFonts w:eastAsia="Guttman Hodes"/>
          <w:rtl/>
        </w:rPr>
        <w:t>)</w:t>
      </w:r>
      <w:r w:rsidRPr="009F44AF">
        <w:rPr>
          <w:rStyle w:val="af6"/>
          <w:rFonts w:eastAsia="Guttman Hodes" w:hint="cs"/>
          <w:rtl/>
        </w:rPr>
        <w:fldChar w:fldCharType="end"/>
      </w:r>
      <w:r>
        <w:rPr>
          <w:rFonts w:hint="cs"/>
          <w:rtl/>
        </w:rPr>
        <w:t xml:space="preserve"> רק במקום שיש שיעור של נתינת טעם אמרינן דהאיסור חוזר וניעור.</w:t>
      </w:r>
    </w:p>
    <w:p w:rsidR="009F44AF" w:rsidRDefault="009F44AF" w:rsidP="009F44AF">
      <w:pPr>
        <w:pStyle w:val="a2"/>
        <w:rPr>
          <w:rtl/>
        </w:rPr>
      </w:pPr>
      <w:bookmarkStart w:id="17020" w:name="_Toc26784133"/>
      <w:bookmarkStart w:id="17021" w:name="_Toc26781407"/>
      <w:bookmarkStart w:id="17022" w:name="_Toc26777190"/>
      <w:bookmarkStart w:id="17023" w:name="_Toc26742805"/>
      <w:r>
        <w:rPr>
          <w:rFonts w:hint="cs"/>
          <w:rtl/>
        </w:rPr>
        <w:t>ביאור השער"י ברא"ש דהיתר רוב מהני כל שיש כח היתר ואחר שנוסף איסור אין כח היתר</w:t>
      </w:r>
      <w:bookmarkEnd w:id="17020"/>
      <w:bookmarkEnd w:id="17021"/>
      <w:bookmarkEnd w:id="17022"/>
      <w:bookmarkEnd w:id="17023"/>
    </w:p>
    <w:p w:rsidR="009F44AF" w:rsidRDefault="009F44AF" w:rsidP="009F44AF">
      <w:pPr>
        <w:pStyle w:val="a"/>
        <w:numPr>
          <w:ilvl w:val="0"/>
          <w:numId w:val="17"/>
        </w:numPr>
        <w:rPr>
          <w:rtl/>
        </w:rPr>
      </w:pPr>
      <w:bookmarkStart w:id="17024" w:name="_Ref26776618"/>
      <w:r>
        <w:rPr>
          <w:rFonts w:hint="cs"/>
          <w:rtl/>
        </w:rPr>
        <w:t xml:space="preserve">וביאר </w:t>
      </w:r>
      <w:r>
        <w:rPr>
          <w:rStyle w:val="af8"/>
          <w:rtl/>
        </w:rPr>
        <w:t>השער"י דהרא"ש</w:t>
      </w:r>
      <w:r>
        <w:rPr>
          <w:rFonts w:hint="cs"/>
          <w:rtl/>
        </w:rPr>
        <w:t xml:space="preserve"> ס"ל דההיתר מדין "אחרי רבים להטות" מהני רק כ"ז שיש כח של היתר, ואחר שהתרבה האיסור ואין רוב היתר, א"א אין עכשיו את כח ההיתר וממילא האיסור חוזר ונאסר כמו בהוכר האיסור.</w:t>
      </w:r>
      <w:bookmarkEnd w:id="17024"/>
    </w:p>
    <w:p w:rsidR="009F44AF" w:rsidRDefault="009F44AF" w:rsidP="009F44AF">
      <w:pPr>
        <w:pStyle w:val="a2"/>
        <w:rPr>
          <w:rtl/>
        </w:rPr>
      </w:pPr>
      <w:bookmarkStart w:id="17025" w:name="_Toc26784134"/>
      <w:bookmarkStart w:id="17026" w:name="_Toc26781408"/>
      <w:bookmarkStart w:id="17027" w:name="_Toc26777191"/>
      <w:bookmarkStart w:id="17028" w:name="_Toc26742809"/>
      <w:bookmarkStart w:id="17029" w:name="_Toc26742806"/>
      <w:r>
        <w:rPr>
          <w:rFonts w:hint="cs"/>
          <w:rtl/>
        </w:rPr>
        <w:t>ביאור השער"י ברא"ש דאף שצריך כח מתיר מ"מ מותר בחזר ובישל דא"א לאסור דבר שהותר</w:t>
      </w:r>
      <w:bookmarkEnd w:id="17025"/>
      <w:bookmarkEnd w:id="17026"/>
      <w:bookmarkEnd w:id="17027"/>
      <w:bookmarkEnd w:id="17028"/>
    </w:p>
    <w:p w:rsidR="009F44AF" w:rsidRDefault="009F44AF" w:rsidP="009F44AF">
      <w:pPr>
        <w:pStyle w:val="a"/>
        <w:numPr>
          <w:ilvl w:val="0"/>
          <w:numId w:val="17"/>
        </w:numPr>
        <w:rPr>
          <w:rtl/>
        </w:rPr>
      </w:pPr>
      <w:r>
        <w:rPr>
          <w:rFonts w:hint="cs"/>
          <w:rtl/>
        </w:rPr>
        <w:t xml:space="preserve">וכתב </w:t>
      </w:r>
      <w:r>
        <w:rPr>
          <w:rStyle w:val="af8"/>
          <w:rtl/>
        </w:rPr>
        <w:t>השער"י</w:t>
      </w:r>
      <w:r>
        <w:rPr>
          <w:rFonts w:hint="cs"/>
          <w:rtl/>
        </w:rPr>
        <w:t xml:space="preserve"> דכיון דס"ל </w:t>
      </w:r>
      <w:r>
        <w:rPr>
          <w:rStyle w:val="af8"/>
          <w:rtl/>
        </w:rPr>
        <w:t>להרא"ש</w:t>
      </w:r>
      <w:r>
        <w:rPr>
          <w:rFonts w:hint="cs"/>
          <w:rtl/>
        </w:rPr>
        <w:t xml:space="preserve"> דלעולם צריך כח המתיר, ולכן ס"ל דאף בתרומה וערלה לא אמרינן קמא קמא בטיל, מ"מ ס"ל דביבש ביבש שחזר ובישלו ונעשה לח, עדיין ס"ל </w:t>
      </w:r>
      <w:r>
        <w:rPr>
          <w:rStyle w:val="af8"/>
          <w:rtl/>
        </w:rPr>
        <w:t>להרא"ש בחולין</w:t>
      </w:r>
      <w:r>
        <w:rPr>
          <w:rFonts w:hint="cs"/>
          <w:rtl/>
        </w:rPr>
        <w:t xml:space="preserve"> </w:t>
      </w:r>
      <w:r w:rsidRPr="009F44AF">
        <w:rPr>
          <w:rStyle w:val="af6"/>
          <w:rFonts w:eastAsia="Guttman Hodes" w:hint="cs"/>
          <w:rtl/>
        </w:rPr>
        <w:t>(סי' י"ז, הובא בסימן י"ח אות כ"ג)</w:t>
      </w:r>
      <w:r>
        <w:rPr>
          <w:rFonts w:hint="cs"/>
          <w:rtl/>
        </w:rPr>
        <w:t xml:space="preserve"> דמהני ביטול ברוב, כיון שלא נוסף איסור על התערובת ולא נעשה בה כל שינוי, ולא יתכן שדבר שהיה מותר יחזור ויאסר.</w:t>
      </w:r>
    </w:p>
    <w:p w:rsidR="009F44AF" w:rsidRDefault="009F44AF" w:rsidP="0098721B">
      <w:pPr>
        <w:pStyle w:val="1"/>
        <w:rPr>
          <w:rtl/>
        </w:rPr>
      </w:pPr>
      <w:bookmarkStart w:id="17030" w:name="_Toc26784135"/>
      <w:r>
        <w:rPr>
          <w:rFonts w:hint="cs"/>
          <w:rtl/>
        </w:rPr>
        <w:t>ביאור השער"י בראב"ד דכל שהאיסור בתערובת נשאר הביטול</w:t>
      </w:r>
      <w:bookmarkEnd w:id="17030"/>
    </w:p>
    <w:p w:rsidR="009F44AF" w:rsidRDefault="009F44AF" w:rsidP="009F44AF">
      <w:pPr>
        <w:pStyle w:val="a2"/>
        <w:rPr>
          <w:rtl/>
        </w:rPr>
      </w:pPr>
      <w:bookmarkStart w:id="17031" w:name="_Toc26784136"/>
      <w:bookmarkStart w:id="17032" w:name="_Toc26781409"/>
      <w:bookmarkStart w:id="17033" w:name="_Toc26777192"/>
      <w:r>
        <w:rPr>
          <w:rFonts w:hint="cs"/>
          <w:rtl/>
        </w:rPr>
        <w:t>ביאור השער"י בראב"ד דכל שהאיסור בתערובת נשאר כח הרוב ורק בהוכר האיסור הוא בטל</w:t>
      </w:r>
      <w:bookmarkEnd w:id="17029"/>
      <w:bookmarkEnd w:id="17031"/>
      <w:bookmarkEnd w:id="17032"/>
      <w:bookmarkEnd w:id="17033"/>
    </w:p>
    <w:p w:rsidR="009F44AF" w:rsidRDefault="009F44AF" w:rsidP="009F44AF">
      <w:pPr>
        <w:pStyle w:val="a"/>
        <w:numPr>
          <w:ilvl w:val="0"/>
          <w:numId w:val="17"/>
        </w:numPr>
        <w:rPr>
          <w:rtl/>
        </w:rPr>
      </w:pPr>
      <w:bookmarkStart w:id="17034" w:name="_Ref26776713"/>
      <w:r>
        <w:rPr>
          <w:rFonts w:hint="cs"/>
          <w:rtl/>
        </w:rPr>
        <w:t xml:space="preserve">וכתב </w:t>
      </w:r>
      <w:r>
        <w:rPr>
          <w:rStyle w:val="af8"/>
          <w:rtl/>
        </w:rPr>
        <w:t>השער"י</w:t>
      </w:r>
      <w:r>
        <w:rPr>
          <w:rFonts w:hint="cs"/>
          <w:rtl/>
        </w:rPr>
        <w:t xml:space="preserve"> דבדברי </w:t>
      </w:r>
      <w:r>
        <w:rPr>
          <w:rStyle w:val="af8"/>
          <w:rtl/>
        </w:rPr>
        <w:t>הראב"ד</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Ref26473733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סג</w:t>
      </w:r>
      <w:r w:rsidR="004D1C5B">
        <w:rPr>
          <w:rStyle w:val="af6"/>
          <w:rFonts w:eastAsia="Guttman Hodes"/>
          <w:rtl/>
        </w:rPr>
        <w:t>)</w:t>
      </w:r>
      <w:r>
        <w:rPr>
          <w:rFonts w:hint="cs"/>
          <w:rtl/>
        </w:rPr>
        <w:fldChar w:fldCharType="end"/>
      </w:r>
      <w:r>
        <w:rPr>
          <w:rFonts w:hint="cs"/>
          <w:rtl/>
        </w:rPr>
        <w:t xml:space="preserve"> מבואר דס"ל דלא אמרינן דהאיסור חוזר וניעור, ואף במין בשאינו מינו כשנוסף איסור בשיעור שנותן טעם בהיתר, והאיסור שהתבטל מדין קמא קמא בטיל, מצטרף לבטל את האיסור שנוסף אחריו, וביאר </w:t>
      </w:r>
      <w:r>
        <w:rPr>
          <w:rStyle w:val="af8"/>
          <w:rtl/>
        </w:rPr>
        <w:t>השער"י</w:t>
      </w:r>
      <w:r>
        <w:rPr>
          <w:rFonts w:hint="cs"/>
          <w:rtl/>
        </w:rPr>
        <w:t xml:space="preserve"> דס"ל </w:t>
      </w:r>
      <w:r>
        <w:rPr>
          <w:rStyle w:val="af8"/>
          <w:rtl/>
        </w:rPr>
        <w:t>להראב"ד</w:t>
      </w:r>
      <w:r>
        <w:rPr>
          <w:rFonts w:hint="cs"/>
          <w:rtl/>
        </w:rPr>
        <w:t xml:space="preserve"> דכח ההיתר של ביטול ברוב, הוא כ"ז שהאיסור נמצא בתערובת, ואף שעכשיו כבר אין רוב מ"מ עדיין נשאר כח ההיתר, ורק כשהוכר האיסור לגמרי, פוסק ממנו כח ההיתר.</w:t>
      </w:r>
      <w:r>
        <w:rPr>
          <w:rStyle w:val="afa"/>
          <w:rtl/>
        </w:rPr>
        <w:t xml:space="preserve"> [דלא חשיב שהוא מעורב בתערובת].</w:t>
      </w:r>
      <w:bookmarkEnd w:id="17034"/>
    </w:p>
    <w:p w:rsidR="009F44AF" w:rsidRDefault="009F44AF" w:rsidP="009F44AF">
      <w:pPr>
        <w:pStyle w:val="a2"/>
        <w:rPr>
          <w:rtl/>
        </w:rPr>
      </w:pPr>
    </w:p>
    <w:p w:rsidR="009F44AF" w:rsidRDefault="009F44AF" w:rsidP="009F44AF">
      <w:pPr>
        <w:pStyle w:val="a2"/>
        <w:rPr>
          <w:rtl/>
        </w:rPr>
      </w:pPr>
    </w:p>
    <w:p w:rsidR="009F44AF" w:rsidRDefault="009F44AF" w:rsidP="009F44AF">
      <w:pPr>
        <w:pStyle w:val="a2"/>
        <w:rPr>
          <w:rtl/>
        </w:rPr>
      </w:pPr>
    </w:p>
    <w:p w:rsidR="009F44AF" w:rsidRDefault="009F44AF" w:rsidP="0098721B">
      <w:pPr>
        <w:pStyle w:val="1"/>
        <w:rPr>
          <w:rtl/>
        </w:rPr>
      </w:pPr>
      <w:bookmarkStart w:id="17035" w:name="_Toc26784137"/>
      <w:r>
        <w:rPr>
          <w:rFonts w:hint="cs"/>
          <w:rtl/>
        </w:rPr>
        <w:t>ביאור השער"י ברמב"ן דכשיש טעם חשיב כהוכר האיסור</w:t>
      </w:r>
      <w:bookmarkEnd w:id="17035"/>
    </w:p>
    <w:p w:rsidR="009F44AF" w:rsidRDefault="009F44AF" w:rsidP="009F44AF">
      <w:pPr>
        <w:pStyle w:val="a2"/>
        <w:rPr>
          <w:rtl/>
        </w:rPr>
      </w:pPr>
      <w:bookmarkStart w:id="17036" w:name="_Toc26784138"/>
      <w:bookmarkStart w:id="17037" w:name="_Toc26781410"/>
      <w:bookmarkStart w:id="17038" w:name="_Toc26777193"/>
      <w:bookmarkStart w:id="17039" w:name="_Toc26742807"/>
      <w:r>
        <w:rPr>
          <w:rFonts w:hint="cs"/>
          <w:rtl/>
        </w:rPr>
        <w:t>ביאור השער"י ברמב"ן דכשיש טעם חשיב הוכר האיסור וחוזר וניעור</w:t>
      </w:r>
      <w:bookmarkEnd w:id="17036"/>
      <w:bookmarkEnd w:id="17037"/>
      <w:bookmarkEnd w:id="17038"/>
      <w:bookmarkEnd w:id="17039"/>
    </w:p>
    <w:p w:rsidR="009F44AF" w:rsidRDefault="009F44AF" w:rsidP="009F44AF">
      <w:pPr>
        <w:pStyle w:val="a"/>
        <w:numPr>
          <w:ilvl w:val="0"/>
          <w:numId w:val="17"/>
        </w:numPr>
        <w:rPr>
          <w:rtl/>
        </w:rPr>
      </w:pPr>
      <w:bookmarkStart w:id="17040" w:name="_Ref26776864"/>
      <w:r>
        <w:rPr>
          <w:rFonts w:hint="cs"/>
          <w:rtl/>
        </w:rPr>
        <w:t xml:space="preserve">ובדעת </w:t>
      </w:r>
      <w:r>
        <w:rPr>
          <w:rStyle w:val="af8"/>
          <w:rtl/>
        </w:rPr>
        <w:t>הרמב"ן</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Ref26762710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פה</w:t>
      </w:r>
      <w:r w:rsidR="004D1C5B">
        <w:rPr>
          <w:rStyle w:val="af6"/>
          <w:rFonts w:eastAsia="Guttman Hodes"/>
          <w:rtl/>
        </w:rPr>
        <w:t>)</w:t>
      </w:r>
      <w:r>
        <w:rPr>
          <w:rFonts w:hint="cs"/>
          <w:rtl/>
        </w:rPr>
        <w:fldChar w:fldCharType="end"/>
      </w:r>
      <w:r>
        <w:rPr>
          <w:rFonts w:hint="cs"/>
          <w:rtl/>
        </w:rPr>
        <w:t xml:space="preserve"> </w:t>
      </w:r>
      <w:r>
        <w:rPr>
          <w:rStyle w:val="af8"/>
          <w:rtl/>
        </w:rPr>
        <w:t>והרשב"א</w:t>
      </w:r>
      <w:r>
        <w:rPr>
          <w:rFonts w:hint="cs"/>
          <w:rtl/>
        </w:rPr>
        <w:t xml:space="preserve">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Ref26776481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פו</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כתב </w:t>
      </w:r>
      <w:r>
        <w:rPr>
          <w:rStyle w:val="af8"/>
          <w:rtl/>
        </w:rPr>
        <w:t>השער"י</w:t>
      </w:r>
      <w:r>
        <w:rPr>
          <w:rFonts w:hint="cs"/>
          <w:rtl/>
        </w:rPr>
        <w:t xml:space="preserve"> דס"ל דלא אמרינן חוזר וניעור, ורק באופן שהאיסור התרבה כ"כ עד שהוא נותן טעם בהיתר, אמרינן דחוזר וניעור, ובמין במינו גזרינן דחוזר וניעור אטו מין בשאינו מינו, וביאר </w:t>
      </w:r>
      <w:r>
        <w:rPr>
          <w:rStyle w:val="af8"/>
          <w:rtl/>
        </w:rPr>
        <w:t>השער"י</w:t>
      </w:r>
      <w:r>
        <w:rPr>
          <w:rFonts w:hint="cs"/>
          <w:rtl/>
        </w:rPr>
        <w:t xml:space="preserve"> דס"ל </w:t>
      </w:r>
      <w:r>
        <w:rPr>
          <w:rStyle w:val="af8"/>
          <w:rtl/>
        </w:rPr>
        <w:t>להרמב"ן</w:t>
      </w:r>
      <w:r>
        <w:rPr>
          <w:rFonts w:hint="cs"/>
          <w:rtl/>
        </w:rPr>
        <w:t xml:space="preserve"> </w:t>
      </w:r>
      <w:r>
        <w:rPr>
          <w:rStyle w:val="af8"/>
          <w:rtl/>
        </w:rPr>
        <w:t>והרשב"א</w:t>
      </w:r>
      <w:r>
        <w:rPr>
          <w:rFonts w:hint="cs"/>
          <w:rtl/>
        </w:rPr>
        <w:t xml:space="preserve"> דכל שהאיסור נותן טעם בהיתר, חשיב שהוכר האיסור.</w:t>
      </w:r>
      <w:bookmarkEnd w:id="17040"/>
    </w:p>
    <w:p w:rsidR="009F44AF" w:rsidRDefault="009F44AF" w:rsidP="009F44AF">
      <w:pPr>
        <w:pStyle w:val="a2"/>
        <w:rPr>
          <w:rtl/>
        </w:rPr>
      </w:pPr>
      <w:bookmarkStart w:id="17041" w:name="_Toc26784139"/>
      <w:bookmarkStart w:id="17042" w:name="_Toc26781411"/>
      <w:bookmarkStart w:id="17043" w:name="_Toc26777194"/>
      <w:bookmarkStart w:id="17044" w:name="_Toc26742808"/>
      <w:r>
        <w:rPr>
          <w:rFonts w:hint="cs"/>
          <w:rtl/>
        </w:rPr>
        <w:t>ביאור השער"י ברמב"ן דבמין במינו גזרו אטו אינו מינו ובתרומה שאינו גזירה אין חוזר וניעור</w:t>
      </w:r>
      <w:bookmarkEnd w:id="17041"/>
      <w:bookmarkEnd w:id="17042"/>
      <w:bookmarkEnd w:id="17043"/>
      <w:bookmarkEnd w:id="17044"/>
    </w:p>
    <w:p w:rsidR="009F44AF" w:rsidRDefault="009F44AF" w:rsidP="009F44AF">
      <w:pPr>
        <w:pStyle w:val="a"/>
        <w:numPr>
          <w:ilvl w:val="0"/>
          <w:numId w:val="17"/>
        </w:numPr>
      </w:pPr>
      <w:r>
        <w:rPr>
          <w:rFonts w:hint="cs"/>
          <w:rtl/>
        </w:rPr>
        <w:t xml:space="preserve"> </w:t>
      </w:r>
      <w:bookmarkStart w:id="17045" w:name="_Ref26776879"/>
      <w:r>
        <w:rPr>
          <w:rFonts w:hint="cs"/>
          <w:rtl/>
        </w:rPr>
        <w:t xml:space="preserve">ובמין במינו ביאר </w:t>
      </w:r>
      <w:r>
        <w:rPr>
          <w:rStyle w:val="af8"/>
          <w:rtl/>
        </w:rPr>
        <w:t>השער"י</w:t>
      </w:r>
      <w:r>
        <w:rPr>
          <w:rFonts w:hint="cs"/>
          <w:rtl/>
        </w:rPr>
        <w:t xml:space="preserve"> דס"ל </w:t>
      </w:r>
      <w:r>
        <w:rPr>
          <w:rStyle w:val="af8"/>
          <w:rtl/>
        </w:rPr>
        <w:t>להרמב"ן</w:t>
      </w:r>
      <w:r>
        <w:rPr>
          <w:rFonts w:hint="cs"/>
          <w:rtl/>
        </w:rPr>
        <w:t xml:space="preserve"> </w:t>
      </w:r>
      <w:r>
        <w:rPr>
          <w:rStyle w:val="af8"/>
          <w:rtl/>
        </w:rPr>
        <w:t>והרשב"א</w:t>
      </w:r>
      <w:r>
        <w:rPr>
          <w:rFonts w:hint="cs"/>
          <w:rtl/>
        </w:rPr>
        <w:t xml:space="preserve"> דאף שלא הוכר האיסור, מ"מ גזרינן אטו מין בשאינו מינו, </w:t>
      </w:r>
      <w:r>
        <w:rPr>
          <w:rStyle w:val="afa"/>
          <w:rtl/>
        </w:rPr>
        <w:t xml:space="preserve">[כיון שכל שיעור </w:t>
      </w:r>
      <w:r>
        <w:rPr>
          <w:rStyle w:val="afa"/>
          <w:rtl/>
        </w:rPr>
        <w:lastRenderedPageBreak/>
        <w:t xml:space="preserve">שישים במין במינו הוא אטו אינו מינו], </w:t>
      </w:r>
      <w:r>
        <w:rPr>
          <w:rFonts w:hint="cs"/>
          <w:rtl/>
        </w:rPr>
        <w:t>אבל בתרומה ובערלה שהשיעור של מאה ומאתיים, אינו מחמת שגזרו בהם אטו מין בשאינו מינו, לכן אמרינן דקמא קמא בטיל, והאיסור אינו חוזר וניעור.</w:t>
      </w:r>
      <w:bookmarkEnd w:id="17045"/>
    </w:p>
    <w:p w:rsidR="009F44AF" w:rsidRDefault="009F44AF" w:rsidP="009F44AF">
      <w:pPr>
        <w:pStyle w:val="afd"/>
        <w:rPr>
          <w:rtl/>
        </w:rPr>
      </w:pPr>
      <w:bookmarkStart w:id="17046" w:name="_Toc26784140"/>
      <w:bookmarkStart w:id="17047" w:name="_Toc26781412"/>
      <w:bookmarkStart w:id="17048" w:name="_Toc26777195"/>
      <w:bookmarkStart w:id="17049" w:name="_Toc26742810"/>
      <w:bookmarkStart w:id="17050" w:name="_Toc26726122"/>
      <w:bookmarkStart w:id="17051" w:name="_Toc26702428"/>
      <w:bookmarkStart w:id="17052" w:name="_Toc26523460"/>
      <w:bookmarkStart w:id="17053" w:name="_Toc26477577"/>
      <w:bookmarkStart w:id="17054" w:name="_Toc26477452"/>
      <w:bookmarkStart w:id="17055" w:name="_Toc26442721"/>
      <w:r>
        <w:rPr>
          <w:rFonts w:hint="cs"/>
          <w:rtl/>
        </w:rPr>
        <w:t>ביסוד דין ביטול וחוזר וניעור</w:t>
      </w:r>
      <w:bookmarkEnd w:id="17046"/>
      <w:bookmarkEnd w:id="17047"/>
      <w:bookmarkEnd w:id="17048"/>
    </w:p>
    <w:p w:rsidR="009F44AF" w:rsidRDefault="009F44AF" w:rsidP="0098721B">
      <w:pPr>
        <w:pStyle w:val="1"/>
        <w:rPr>
          <w:rtl/>
        </w:rPr>
      </w:pPr>
      <w:bookmarkStart w:id="17056" w:name="_Toc26784141"/>
      <w:bookmarkStart w:id="17057" w:name="_Toc26781413"/>
      <w:bookmarkStart w:id="17058" w:name="_Toc26777196"/>
      <w:r>
        <w:rPr>
          <w:rFonts w:hint="cs"/>
          <w:rtl/>
        </w:rPr>
        <w:t>חקירת הגרב"ב בגדר ביטול ובביאור דין חוזר וניעור</w:t>
      </w:r>
      <w:bookmarkEnd w:id="17049"/>
      <w:bookmarkEnd w:id="17050"/>
      <w:bookmarkEnd w:id="17051"/>
      <w:bookmarkEnd w:id="17052"/>
      <w:bookmarkEnd w:id="17053"/>
      <w:bookmarkEnd w:id="17054"/>
      <w:bookmarkEnd w:id="17055"/>
      <w:bookmarkEnd w:id="17056"/>
      <w:bookmarkEnd w:id="17057"/>
      <w:bookmarkEnd w:id="17058"/>
    </w:p>
    <w:p w:rsidR="009F44AF" w:rsidRDefault="009F44AF" w:rsidP="009F44AF">
      <w:pPr>
        <w:pStyle w:val="a2"/>
        <w:rPr>
          <w:rtl/>
        </w:rPr>
      </w:pPr>
      <w:bookmarkStart w:id="17059" w:name="_Toc26742811"/>
      <w:bookmarkStart w:id="17060" w:name="_Toc26784142"/>
      <w:bookmarkStart w:id="17061" w:name="_Toc26781414"/>
      <w:bookmarkStart w:id="17062" w:name="_Toc26777197"/>
      <w:r>
        <w:rPr>
          <w:rFonts w:hint="cs"/>
          <w:rtl/>
        </w:rPr>
        <w:t>הצד בגרב"ב</w:t>
      </w:r>
      <w:bookmarkEnd w:id="17059"/>
      <w:r>
        <w:rPr>
          <w:rFonts w:hint="cs"/>
          <w:rtl/>
        </w:rPr>
        <w:t xml:space="preserve"> דבכל ביטול בטל שם האיסור וא"כ אף כשהתרבה האיסור אין חוזר וניעור</w:t>
      </w:r>
      <w:bookmarkEnd w:id="17060"/>
      <w:bookmarkEnd w:id="17061"/>
      <w:bookmarkEnd w:id="17062"/>
      <w:r>
        <w:rPr>
          <w:rFonts w:hint="cs"/>
          <w:rtl/>
        </w:rPr>
        <w:t xml:space="preserve"> </w:t>
      </w:r>
    </w:p>
    <w:p w:rsidR="009F44AF" w:rsidRDefault="009F44AF" w:rsidP="009F44AF">
      <w:pPr>
        <w:pStyle w:val="a"/>
        <w:numPr>
          <w:ilvl w:val="0"/>
          <w:numId w:val="17"/>
        </w:numPr>
      </w:pPr>
      <w:r>
        <w:rPr>
          <w:rFonts w:hint="cs"/>
          <w:rtl/>
        </w:rPr>
        <w:t xml:space="preserve">כתב </w:t>
      </w:r>
      <w:r>
        <w:rPr>
          <w:rStyle w:val="af8"/>
          <w:rtl/>
        </w:rPr>
        <w:t>בחו"ש הגרב"ב</w:t>
      </w:r>
      <w:r>
        <w:rPr>
          <w:rFonts w:hint="cs"/>
          <w:rtl/>
        </w:rPr>
        <w:t xml:space="preserve"> </w:t>
      </w:r>
      <w:r w:rsidRPr="009F44AF">
        <w:rPr>
          <w:rStyle w:val="af6"/>
          <w:rFonts w:eastAsia="Guttman Hodes" w:hint="cs"/>
          <w:rtl/>
        </w:rPr>
        <w:t>(ח"ג מקוואות סי' א' ד"ה אבל עדיין)</w:t>
      </w:r>
      <w:r>
        <w:rPr>
          <w:rFonts w:hint="cs"/>
          <w:rtl/>
        </w:rPr>
        <w:t xml:space="preserve"> דבכל ביטול יש לחקור האם השם של האיסור התבטל, כמו ביין נסך דבטל ממנו שם יין נסך, וא"כ א"צ להגיע לדין קמא קמא בטיל, דאף אם התרבה היין אח"כ לא אמרינן דהאיסור חוזר וניעור, כיון שבטל ממנו שם יין נסך.</w:t>
      </w:r>
    </w:p>
    <w:p w:rsidR="009F44AF" w:rsidRDefault="009F44AF" w:rsidP="009F44AF">
      <w:pPr>
        <w:pStyle w:val="a2"/>
        <w:rPr>
          <w:rtl/>
        </w:rPr>
      </w:pPr>
      <w:bookmarkStart w:id="17063" w:name="_Toc26784143"/>
      <w:bookmarkStart w:id="17064" w:name="_Toc26781415"/>
      <w:bookmarkStart w:id="17065" w:name="_Toc26777198"/>
      <w:r>
        <w:rPr>
          <w:rFonts w:hint="cs"/>
          <w:rtl/>
        </w:rPr>
        <w:t>הצד בגרב"ב דבביטול לא בטל שם האיסור ורק כמות האיסור בטלה בהיתר ואמרינן חוזר וניעור</w:t>
      </w:r>
      <w:bookmarkEnd w:id="17063"/>
      <w:bookmarkEnd w:id="17064"/>
      <w:bookmarkEnd w:id="17065"/>
    </w:p>
    <w:p w:rsidR="009F44AF" w:rsidRDefault="009F44AF" w:rsidP="009F44AF">
      <w:pPr>
        <w:pStyle w:val="a"/>
        <w:numPr>
          <w:ilvl w:val="0"/>
          <w:numId w:val="17"/>
        </w:numPr>
        <w:rPr>
          <w:rtl/>
        </w:rPr>
      </w:pPr>
      <w:r>
        <w:rPr>
          <w:rFonts w:hint="cs"/>
          <w:rtl/>
        </w:rPr>
        <w:t xml:space="preserve">והצד השני כתב </w:t>
      </w:r>
      <w:r>
        <w:rPr>
          <w:rStyle w:val="af8"/>
          <w:rtl/>
        </w:rPr>
        <w:t>בחו"ש הגרב"ב</w:t>
      </w:r>
      <w:r>
        <w:rPr>
          <w:rFonts w:hint="cs"/>
          <w:rtl/>
        </w:rPr>
        <w:t xml:space="preserve"> דאף איסור שהתבטל, השם שלו לא מתבטל, אלא דכששותה את היין שהתבטל, אי"ז נחשב ששותה יין נסך, כיון שהרוב הוא יין כשר, והיין האסור מתבטל בתוך בכמות של היין המותר, אך שם האיסור שלו עדיין קיים, וא"כ כשהתרבה היין נסך אמרינן דהאיסור חוזר וניעור. [ועי' בדברי </w:t>
      </w:r>
      <w:r>
        <w:rPr>
          <w:rStyle w:val="af8"/>
          <w:rtl/>
        </w:rPr>
        <w:t>הקוב"ש</w:t>
      </w:r>
      <w:r w:rsidRPr="009F44AF">
        <w:rPr>
          <w:rStyle w:val="af6"/>
          <w:rFonts w:eastAsia="Guttman Hodes" w:hint="cs"/>
          <w:rtl/>
        </w:rPr>
        <w:t xml:space="preserve"> (הובא בסימן י"ט אות מ"ז)</w:t>
      </w:r>
      <w:r>
        <w:rPr>
          <w:rFonts w:hint="cs"/>
          <w:rtl/>
        </w:rPr>
        <w:t xml:space="preserve"> דכתב דבביטול ברוב סיבת האיסור לא בטלה].</w:t>
      </w:r>
    </w:p>
    <w:p w:rsidR="009F44AF" w:rsidRDefault="009F44AF" w:rsidP="009F44AF">
      <w:pPr>
        <w:pStyle w:val="afd"/>
        <w:rPr>
          <w:rtl/>
        </w:rPr>
      </w:pPr>
      <w:bookmarkStart w:id="17066" w:name="_Toc26784144"/>
      <w:bookmarkStart w:id="17067" w:name="_Toc26781416"/>
      <w:bookmarkStart w:id="17068" w:name="_Toc26777199"/>
      <w:bookmarkStart w:id="17069" w:name="_Toc26742812"/>
      <w:bookmarkStart w:id="17070" w:name="_Toc26726123"/>
      <w:bookmarkStart w:id="17071" w:name="_Toc26702429"/>
      <w:bookmarkStart w:id="17072" w:name="_Toc26523461"/>
      <w:bookmarkStart w:id="17073" w:name="_Toc26477578"/>
      <w:bookmarkStart w:id="17074" w:name="_Toc26477453"/>
      <w:bookmarkStart w:id="17075" w:name="_Toc26442722"/>
      <w:r>
        <w:rPr>
          <w:rFonts w:hint="cs"/>
          <w:rtl/>
        </w:rPr>
        <w:t>בסברת הרמב"ן דהיתר לא בטל</w:t>
      </w:r>
      <w:bookmarkEnd w:id="17066"/>
      <w:bookmarkEnd w:id="17067"/>
      <w:bookmarkEnd w:id="17068"/>
    </w:p>
    <w:p w:rsidR="009F44AF" w:rsidRDefault="009F44AF" w:rsidP="0098721B">
      <w:pPr>
        <w:pStyle w:val="1"/>
        <w:rPr>
          <w:rtl/>
        </w:rPr>
      </w:pPr>
      <w:bookmarkStart w:id="17076" w:name="_Toc26781417"/>
      <w:bookmarkStart w:id="17077" w:name="_Toc26777200"/>
      <w:bookmarkStart w:id="17078" w:name="_Toc26784145"/>
      <w:r>
        <w:rPr>
          <w:rFonts w:hint="cs"/>
          <w:rtl/>
        </w:rPr>
        <w:t>ביאור השער"י דמיעוט היתר חשיב רוב באיכות כלפי האיסור</w:t>
      </w:r>
    </w:p>
    <w:p w:rsidR="009F44AF" w:rsidRDefault="009F44AF" w:rsidP="009F44AF">
      <w:pPr>
        <w:pStyle w:val="a2"/>
        <w:rPr>
          <w:rtl/>
        </w:rPr>
      </w:pPr>
      <w:r>
        <w:rPr>
          <w:rFonts w:hint="cs"/>
          <w:rtl/>
        </w:rPr>
        <w:t>ביאור השער"י ברמב"ן דהשימוש במיעוט היתר הוא רוב באיכות יותר מכל הרוב של האיסור</w:t>
      </w:r>
    </w:p>
    <w:p w:rsidR="009F44AF" w:rsidRDefault="009F44AF" w:rsidP="009F44AF">
      <w:pPr>
        <w:pStyle w:val="a"/>
        <w:numPr>
          <w:ilvl w:val="0"/>
          <w:numId w:val="17"/>
        </w:numPr>
        <w:rPr>
          <w:rtl/>
        </w:rPr>
      </w:pPr>
      <w:bookmarkStart w:id="17079" w:name="_Ref26896457"/>
      <w:r>
        <w:rPr>
          <w:rFonts w:hint="cs"/>
          <w:rtl/>
        </w:rPr>
        <w:t xml:space="preserve">במ"ש </w:t>
      </w:r>
      <w:r>
        <w:rPr>
          <w:rStyle w:val="af8"/>
          <w:rtl/>
        </w:rPr>
        <w:t xml:space="preserve">הרמב"ן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Ref26763713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פא</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דההיתר אינו נאסר מדין קמא קמא בטיל, דהרי לא מצינו שיש ביטול בהיתר, כיון שהאדם אינו רוצה שההיתר </w:t>
      </w:r>
      <w:r>
        <w:rPr>
          <w:rFonts w:hint="cs"/>
          <w:rtl/>
        </w:rPr>
        <w:t xml:space="preserve">יתבטל בתוך האיסור, דהרי הוא מוסיף עוד היתר, לתוך האיסור, ביאר </w:t>
      </w:r>
      <w:r>
        <w:rPr>
          <w:rStyle w:val="af8"/>
          <w:rtl/>
        </w:rPr>
        <w:t>השער"י</w:t>
      </w:r>
      <w:r>
        <w:rPr>
          <w:rFonts w:hint="cs"/>
          <w:rtl/>
        </w:rPr>
        <w:t xml:space="preserve"> </w:t>
      </w:r>
      <w:r w:rsidRPr="009F44AF">
        <w:rPr>
          <w:rStyle w:val="af6"/>
          <w:rFonts w:eastAsia="Guttman Hodes" w:hint="cs"/>
          <w:rtl/>
        </w:rPr>
        <w:t xml:space="preserve">(ש"ג פט"ז ד"ה והנה אם נפרש) </w:t>
      </w:r>
      <w:r>
        <w:rPr>
          <w:rFonts w:hint="cs"/>
          <w:rtl/>
        </w:rPr>
        <w:t xml:space="preserve">דאף דמדאו' לא מצינו שהחשיבות של המיעוט מעכבתו מלהתבטל ברוב, דרק מדרבנן דבר חשוב אינו בטל ברוב, </w:t>
      </w:r>
      <w:r>
        <w:rPr>
          <w:rStyle w:val="afa"/>
          <w:rtl/>
        </w:rPr>
        <w:t>[כבריה וחתיכה הראויה להתכבד],</w:t>
      </w:r>
      <w:r>
        <w:rPr>
          <w:rFonts w:hint="cs"/>
          <w:rtl/>
        </w:rPr>
        <w:t xml:space="preserve"> מ"מ הביטול של ההיתר כלפי האיסור הוא תלוי בדעת האדם, כיון דדעת בנ"א שלא לבטל את ההיתר שהוא ראוי לכל תשמיש, ברוב האיסור שאינו ראוי לשימוש, וא"כ החשיבות של המיעוט ההיתר, היא יותר מהחשיבות של הרוב של האיסור, וביאר </w:t>
      </w:r>
      <w:r>
        <w:rPr>
          <w:rStyle w:val="af8"/>
          <w:rtl/>
        </w:rPr>
        <w:t>השער"י</w:t>
      </w:r>
      <w:r>
        <w:rPr>
          <w:rFonts w:hint="cs"/>
          <w:rtl/>
        </w:rPr>
        <w:t xml:space="preserve"> דאף דאמרה תורה "אחרי רבים להטות", מ"מ זהו דוקא כיון שברוב יש יותר כמות מהמיעוט, אבל במיעוט היתר ורוב איסור, שיש במיעוט יותר איכות מאשר ברוב, לא אמרה תורה שיתבטל ברוב כלל, אף שבכמות ההיתר הוא מיעוט כלפי האיסור, כיון שבמיעוט יש רוב שימוש, ואילו ברוב יש מיעוט שימוש. [אבל </w:t>
      </w:r>
      <w:r>
        <w:rPr>
          <w:rStyle w:val="af8"/>
          <w:rtl/>
        </w:rPr>
        <w:t>בקוה"ע</w:t>
      </w:r>
      <w:r>
        <w:rPr>
          <w:rFonts w:hint="cs"/>
          <w:rtl/>
        </w:rPr>
        <w:t xml:space="preserve"> </w:t>
      </w:r>
      <w:r w:rsidRPr="009F44AF">
        <w:rPr>
          <w:rStyle w:val="af6"/>
          <w:rFonts w:eastAsia="Guttman Hodes" w:hint="cs"/>
          <w:rtl/>
        </w:rPr>
        <w:t>(סי' נ"ט ד')</w:t>
      </w:r>
      <w:r>
        <w:rPr>
          <w:rFonts w:hint="cs"/>
          <w:rtl/>
        </w:rPr>
        <w:t xml:space="preserve"> ביאר בדברי </w:t>
      </w:r>
      <w:r>
        <w:rPr>
          <w:rStyle w:val="af8"/>
          <w:rtl/>
        </w:rPr>
        <w:t xml:space="preserve">הרמב"ן </w:t>
      </w:r>
      <w:r>
        <w:rPr>
          <w:rFonts w:hint="cs"/>
          <w:rtl/>
        </w:rPr>
        <w:t xml:space="preserve">דהיתר אינו בטל באיסור, כמו דדבר חשוב אינו בטל ברוב, וע"ע במה שביאר </w:t>
      </w:r>
      <w:r>
        <w:rPr>
          <w:rStyle w:val="af8"/>
          <w:rtl/>
        </w:rPr>
        <w:t>בשיעורי רבי אלחנן</w:t>
      </w:r>
      <w:r>
        <w:rPr>
          <w:rFonts w:hint="cs"/>
          <w:rtl/>
        </w:rPr>
        <w:t xml:space="preserve"> </w:t>
      </w:r>
      <w:r w:rsidRPr="009F44AF">
        <w:rPr>
          <w:rStyle w:val="af6"/>
          <w:rFonts w:eastAsia="Guttman Hodes" w:hint="cs"/>
          <w:rtl/>
        </w:rPr>
        <w:t>(חולין סי' י"ח ד"ה ולפי"ז יבואר)</w:t>
      </w:r>
      <w:r>
        <w:rPr>
          <w:rFonts w:hint="cs"/>
          <w:rtl/>
        </w:rPr>
        <w:t>].</w:t>
      </w:r>
      <w:bookmarkEnd w:id="17079"/>
    </w:p>
    <w:p w:rsidR="009F44AF" w:rsidRDefault="009F44AF" w:rsidP="009F44AF">
      <w:pPr>
        <w:pStyle w:val="a2"/>
        <w:rPr>
          <w:rtl/>
        </w:rPr>
      </w:pPr>
      <w:r>
        <w:rPr>
          <w:rFonts w:hint="cs"/>
          <w:rtl/>
        </w:rPr>
        <w:t>דברי השער"י דאם מבטל היתר באיסור ברצון ובכוונה מהני ביטול אף לדעת הרמב"ן</w:t>
      </w:r>
    </w:p>
    <w:p w:rsidR="009F44AF" w:rsidRDefault="009F44AF" w:rsidP="009F44AF">
      <w:pPr>
        <w:pStyle w:val="a"/>
        <w:numPr>
          <w:ilvl w:val="0"/>
          <w:numId w:val="17"/>
        </w:numPr>
        <w:rPr>
          <w:rtl/>
        </w:rPr>
      </w:pPr>
      <w:r>
        <w:rPr>
          <w:rFonts w:hint="cs"/>
          <w:rtl/>
        </w:rPr>
        <w:t xml:space="preserve">וכתב </w:t>
      </w:r>
      <w:r>
        <w:rPr>
          <w:rStyle w:val="af8"/>
          <w:rtl/>
        </w:rPr>
        <w:t>השער"י</w:t>
      </w:r>
      <w:r>
        <w:rPr>
          <w:rFonts w:hint="cs"/>
          <w:rtl/>
        </w:rPr>
        <w:t xml:space="preserve"> דלפי"ז אם אדם יבטל ברצון ובכוונה היתר בתוך איסור, אף לדעת </w:t>
      </w:r>
      <w:r>
        <w:rPr>
          <w:rStyle w:val="af8"/>
          <w:rtl/>
        </w:rPr>
        <w:t>הרמב"ן</w:t>
      </w:r>
      <w:r>
        <w:rPr>
          <w:rFonts w:hint="cs"/>
          <w:rtl/>
        </w:rPr>
        <w:t xml:space="preserve"> מהני הביטול, ועי' במ"ש השער"י דכן מבואר בדברי </w:t>
      </w:r>
      <w:r>
        <w:rPr>
          <w:rStyle w:val="af8"/>
          <w:rtl/>
        </w:rPr>
        <w:t>הר"ן בנדרים</w:t>
      </w:r>
      <w:r>
        <w:rPr>
          <w:rFonts w:hint="cs"/>
          <w:rtl/>
        </w:rPr>
        <w:t xml:space="preserve"> </w:t>
      </w:r>
      <w:r w:rsidRPr="009F44AF">
        <w:rPr>
          <w:rStyle w:val="af6"/>
          <w:rFonts w:eastAsia="Guttman Hodes" w:hint="cs"/>
          <w:rtl/>
        </w:rPr>
        <w:t>(נט: ד"ה ועד כאן)</w:t>
      </w:r>
      <w:r>
        <w:rPr>
          <w:rFonts w:hint="cs"/>
          <w:rtl/>
        </w:rPr>
        <w:t>.</w:t>
      </w:r>
    </w:p>
    <w:p w:rsidR="009F44AF" w:rsidRDefault="009F44AF" w:rsidP="0098721B">
      <w:pPr>
        <w:pStyle w:val="1"/>
        <w:rPr>
          <w:rtl/>
        </w:rPr>
      </w:pPr>
      <w:r>
        <w:rPr>
          <w:rFonts w:hint="cs"/>
          <w:rtl/>
        </w:rPr>
        <w:t>ביאור הגרא"י מטעלז</w:t>
      </w:r>
      <w:bookmarkEnd w:id="17069"/>
      <w:bookmarkEnd w:id="17070"/>
      <w:bookmarkEnd w:id="17071"/>
      <w:bookmarkEnd w:id="17072"/>
      <w:bookmarkEnd w:id="17073"/>
      <w:bookmarkEnd w:id="17074"/>
      <w:bookmarkEnd w:id="17075"/>
      <w:bookmarkEnd w:id="17076"/>
      <w:bookmarkEnd w:id="17077"/>
      <w:r>
        <w:rPr>
          <w:rFonts w:hint="cs"/>
          <w:rtl/>
        </w:rPr>
        <w:t xml:space="preserve"> דמיעוט שעומד להתרבות אינו בטל ברוב</w:t>
      </w:r>
      <w:bookmarkEnd w:id="17078"/>
    </w:p>
    <w:p w:rsidR="009F44AF" w:rsidRDefault="009F44AF" w:rsidP="009F44AF">
      <w:pPr>
        <w:pStyle w:val="a2"/>
        <w:rPr>
          <w:rtl/>
        </w:rPr>
      </w:pPr>
      <w:bookmarkStart w:id="17080" w:name="_Toc26784146"/>
      <w:bookmarkStart w:id="17081" w:name="_Toc26781418"/>
      <w:bookmarkStart w:id="17082" w:name="_Toc26777201"/>
      <w:r>
        <w:rPr>
          <w:rFonts w:hint="cs"/>
          <w:rtl/>
        </w:rPr>
        <w:t>ביאור הגרא"י מטעלז ברמב"ן דמיעוט היתר שמתרבה נשאר דין המיעוט לענין לבסוף כשיתרבה</w:t>
      </w:r>
      <w:bookmarkEnd w:id="17080"/>
      <w:bookmarkEnd w:id="17081"/>
      <w:bookmarkEnd w:id="17082"/>
    </w:p>
    <w:p w:rsidR="009F44AF" w:rsidRDefault="009F44AF" w:rsidP="009F44AF">
      <w:pPr>
        <w:pStyle w:val="a"/>
        <w:numPr>
          <w:ilvl w:val="0"/>
          <w:numId w:val="17"/>
        </w:numPr>
        <w:rPr>
          <w:rtl/>
        </w:rPr>
        <w:sectPr w:rsidR="009F44AF">
          <w:type w:val="continuous"/>
          <w:pgSz w:w="11906" w:h="16838"/>
          <w:pgMar w:top="720" w:right="720" w:bottom="720" w:left="720" w:header="283" w:footer="283" w:gutter="0"/>
          <w:cols w:num="2" w:space="567"/>
          <w:bidi/>
          <w:rtlGutter/>
        </w:sectPr>
      </w:pPr>
      <w:bookmarkStart w:id="17083" w:name="_Ref26762937"/>
      <w:r>
        <w:rPr>
          <w:rStyle w:val="af8"/>
          <w:rtl/>
        </w:rPr>
        <w:t xml:space="preserve">ובשיעורי הגרא"י מטעלז </w:t>
      </w:r>
      <w:r w:rsidRPr="009F44AF">
        <w:rPr>
          <w:rStyle w:val="af6"/>
          <w:rFonts w:eastAsia="Guttman Hodes" w:hint="cs"/>
          <w:rtl/>
        </w:rPr>
        <w:t>(חולין סי' ט"ו או' ד' ד"ה ובחי' הריטב"א)</w:t>
      </w:r>
      <w:r>
        <w:rPr>
          <w:rFonts w:hint="cs"/>
          <w:rtl/>
        </w:rPr>
        <w:t xml:space="preserve"> ביאר דס"ל </w:t>
      </w:r>
      <w:r>
        <w:rPr>
          <w:rStyle w:val="af8"/>
          <w:rtl/>
        </w:rPr>
        <w:t xml:space="preserve">להרמב"ן והריטב"א </w:t>
      </w:r>
      <w:r w:rsidRPr="009F44AF">
        <w:rPr>
          <w:rStyle w:val="af6"/>
          <w:rFonts w:eastAsia="Guttman Hodes" w:hint="cs"/>
          <w:rtl/>
        </w:rPr>
        <w:t xml:space="preserve">(עי' אות </w:t>
      </w:r>
      <w:r>
        <w:rPr>
          <w:rFonts w:hint="cs"/>
          <w:rtl/>
        </w:rPr>
        <w:fldChar w:fldCharType="begin"/>
      </w:r>
      <w:r w:rsidRPr="009F44AF">
        <w:rPr>
          <w:rStyle w:val="af6"/>
          <w:rFonts w:eastAsia="Guttman Hodes" w:hint="cs"/>
          <w:rtl/>
        </w:rPr>
        <w:instrText xml:space="preserve"> </w:instrText>
      </w:r>
      <w:r w:rsidRPr="009F44AF">
        <w:rPr>
          <w:rStyle w:val="af6"/>
          <w:rFonts w:eastAsia="Guttman Hodes"/>
        </w:rPr>
        <w:instrText>REF</w:instrText>
      </w:r>
      <w:r w:rsidRPr="009F44AF">
        <w:rPr>
          <w:rStyle w:val="af6"/>
          <w:rFonts w:eastAsia="Guttman Hodes" w:hint="cs"/>
          <w:rtl/>
        </w:rPr>
        <w:instrText xml:space="preserve"> _</w:instrText>
      </w:r>
      <w:r w:rsidRPr="009F44AF">
        <w:rPr>
          <w:rStyle w:val="af6"/>
          <w:rFonts w:eastAsia="Guttman Hodes"/>
        </w:rPr>
        <w:instrText>Ref26763713 \r \h</w:instrText>
      </w:r>
      <w:r w:rsidRPr="009F44AF">
        <w:rPr>
          <w:rStyle w:val="af6"/>
          <w:rFonts w:eastAsia="Guttman Hodes" w:hint="cs"/>
          <w:rtl/>
        </w:rPr>
        <w:instrText xml:space="preserve"> </w:instrText>
      </w:r>
      <w:r>
        <w:rPr>
          <w:rFonts w:hint="cs"/>
          <w:rtl/>
        </w:rPr>
      </w:r>
      <w:r>
        <w:rPr>
          <w:rFonts w:hint="cs"/>
          <w:rtl/>
        </w:rPr>
        <w:fldChar w:fldCharType="separate"/>
      </w:r>
      <w:r w:rsidR="004D1C5B">
        <w:rPr>
          <w:rStyle w:val="af6"/>
          <w:rFonts w:eastAsia="Guttman Hodes" w:hint="eastAsia"/>
          <w:cs/>
        </w:rPr>
        <w:t>‎</w:t>
      </w:r>
      <w:r w:rsidR="004D1C5B">
        <w:rPr>
          <w:rStyle w:val="af6"/>
          <w:rFonts w:eastAsia="Guttman Hodes" w:hint="eastAsia"/>
          <w:rtl/>
        </w:rPr>
        <w:t>פא</w:t>
      </w:r>
      <w:r w:rsidR="004D1C5B">
        <w:rPr>
          <w:rStyle w:val="af6"/>
          <w:rFonts w:eastAsia="Guttman Hodes"/>
          <w:rtl/>
        </w:rPr>
        <w:t>)</w:t>
      </w:r>
      <w:r>
        <w:rPr>
          <w:rFonts w:hint="cs"/>
          <w:rtl/>
        </w:rPr>
        <w:fldChar w:fldCharType="end"/>
      </w:r>
      <w:r w:rsidRPr="009F44AF">
        <w:rPr>
          <w:rStyle w:val="af6"/>
          <w:rFonts w:eastAsia="Guttman Hodes" w:hint="cs"/>
          <w:rtl/>
        </w:rPr>
        <w:t xml:space="preserve"> </w:t>
      </w:r>
      <w:r>
        <w:rPr>
          <w:rFonts w:hint="cs"/>
          <w:rtl/>
        </w:rPr>
        <w:t xml:space="preserve">דיסוד דין ביטול ברוב, הוא מדין הלך אחר הרוב, </w:t>
      </w:r>
      <w:r>
        <w:rPr>
          <w:rStyle w:val="afa"/>
          <w:rtl/>
        </w:rPr>
        <w:t xml:space="preserve">[כדביאר </w:t>
      </w:r>
      <w:r>
        <w:rPr>
          <w:rStyle w:val="affa"/>
          <w:rtl/>
        </w:rPr>
        <w:t>בשיעורי הגרא"י מטעלז</w:t>
      </w:r>
      <w:r>
        <w:rPr>
          <w:rStyle w:val="afa"/>
          <w:rtl/>
        </w:rPr>
        <w:t xml:space="preserve"> </w:t>
      </w:r>
      <w:r>
        <w:rPr>
          <w:rStyle w:val="aff6"/>
          <w:rtl/>
        </w:rPr>
        <w:t>(חולין סי' ט"ו או' ג')</w:t>
      </w:r>
      <w:r>
        <w:rPr>
          <w:rStyle w:val="afa"/>
          <w:rtl/>
        </w:rPr>
        <w:t xml:space="preserve">], </w:t>
      </w:r>
      <w:r>
        <w:rPr>
          <w:rFonts w:hint="cs"/>
          <w:rtl/>
        </w:rPr>
        <w:t xml:space="preserve">דכיון דהולכין אחר הרוב, ממילא פוקע הכח של המיעוט, ומאבד המיעוט את דינו ומתבטל לדין הרוב, אך כתבו </w:t>
      </w:r>
      <w:r>
        <w:rPr>
          <w:rStyle w:val="af8"/>
          <w:rtl/>
        </w:rPr>
        <w:t xml:space="preserve">הרמב"ן והריטב"א </w:t>
      </w:r>
      <w:r>
        <w:rPr>
          <w:rFonts w:hint="cs"/>
          <w:rtl/>
        </w:rPr>
        <w:t>דכ"ז הוא דוקא במקום שהמיעוט אינו עומד להתרבות, אבל כל שהמיעוט מוסיף והולך, א"כ לענין זה עדיין נשאר הדין של המיעוט, דכשיתרבה לא יתבטל דינו לדין הרוב, אבל באיסור שנפל לתוך היתר, דאין כוונת האדם שהאיסור יהיה מוסיף והולך, א"כ המיעוט הראשון שנפל להיתר התבטל, ואזלינן בתר השתא ולא בתר לבסוף לאחר שיתרבה, ולכן אמרינן דקמא קמא בטיל</w:t>
      </w:r>
      <w:bookmarkEnd w:id="17083"/>
    </w:p>
    <w:p w:rsidR="009F44AF" w:rsidRDefault="009F44AF" w:rsidP="009F44AF">
      <w:pPr>
        <w:pStyle w:val="a"/>
        <w:numPr>
          <w:ilvl w:val="0"/>
          <w:numId w:val="0"/>
        </w:numPr>
        <w:rPr>
          <w:rtl/>
        </w:rPr>
        <w:sectPr w:rsidR="009F44AF">
          <w:type w:val="continuous"/>
          <w:pgSz w:w="11906" w:h="16838"/>
          <w:pgMar w:top="720" w:right="720" w:bottom="720" w:left="720" w:header="283" w:footer="283" w:gutter="0"/>
          <w:cols w:num="2" w:space="567"/>
          <w:bidi/>
          <w:rtlGutter/>
        </w:sectPr>
      </w:pPr>
    </w:p>
    <w:p w:rsidR="006C2032" w:rsidRDefault="006C2032" w:rsidP="009F44AF">
      <w:pPr>
        <w:pStyle w:val="a"/>
        <w:numPr>
          <w:ilvl w:val="0"/>
          <w:numId w:val="0"/>
        </w:numPr>
        <w:rPr>
          <w:rtl/>
        </w:rPr>
      </w:pPr>
    </w:p>
    <w:sectPr w:rsidR="006C2032" w:rsidSect="009F44AF">
      <w:headerReference w:type="default" r:id="rId105"/>
      <w:pgSz w:w="11906" w:h="16838"/>
      <w:pgMar w:top="720" w:right="720" w:bottom="720" w:left="720" w:header="283" w:footer="283" w:gutter="0"/>
      <w:cols w:num="2" w:space="567"/>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2DD" w:rsidRDefault="00AA32DD" w:rsidP="00F35477">
      <w:pPr>
        <w:spacing w:line="240" w:lineRule="auto"/>
      </w:pPr>
      <w:r>
        <w:separator/>
      </w:r>
    </w:p>
    <w:p w:rsidR="00AA32DD" w:rsidRDefault="00AA32DD"/>
  </w:endnote>
  <w:endnote w:type="continuationSeparator" w:id="0">
    <w:p w:rsidR="00AA32DD" w:rsidRDefault="00AA32DD" w:rsidP="00F35477">
      <w:pPr>
        <w:spacing w:line="240" w:lineRule="auto"/>
      </w:pPr>
      <w:r>
        <w:continuationSeparator/>
      </w:r>
    </w:p>
    <w:p w:rsidR="00AA32DD" w:rsidRDefault="00AA32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2724BA" w:rsidRDefault="00651E3B" w:rsidP="002724BA">
    <w:pPr>
      <w:pStyle w:val="aa"/>
      <w:ind w:left="0"/>
      <w:jc w:val="center"/>
      <w:rPr>
        <w:rFonts w:cs="Guttman Hodes"/>
        <w:rtl/>
        <w:cs/>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93711426"/>
      <w:docPartObj>
        <w:docPartGallery w:val="Page Numbers (Bottom of Page)"/>
        <w:docPartUnique/>
      </w:docPartObj>
    </w:sdtPr>
    <w:sdtEndPr>
      <w:rPr>
        <w:cs/>
      </w:rPr>
    </w:sdtEndPr>
    <w:sdtContent>
      <w:p w:rsidR="00651E3B" w:rsidRDefault="00651E3B" w:rsidP="007E7609">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57</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pPr>
      <w:pStyle w:val="aa"/>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495EC8">
    <w:pPr>
      <w:pStyle w:val="aa"/>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37494B20" wp14:editId="11D3E4EB">
              <wp:simplePos x="0" y="0"/>
              <wp:positionH relativeFrom="margin">
                <wp:posOffset>46209</wp:posOffset>
              </wp:positionH>
              <wp:positionV relativeFrom="paragraph">
                <wp:posOffset>34583</wp:posOffset>
              </wp:positionV>
              <wp:extent cx="1002665" cy="264160"/>
              <wp:effectExtent l="0" t="0" r="26035" b="2159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495EC8">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494B20" id="_x0000_t202" coordsize="21600,21600" o:spt="202" path="m,l,21600r21600,l21600,xe">
              <v:stroke joinstyle="miter"/>
              <v:path gradientshapeok="t" o:connecttype="rect"/>
            </v:shapetype>
            <v:shape id="תיבת טקסט 12" o:spid="_x0000_s1038" type="#_x0000_t202" style="position:absolute;left:0;text-align:left;margin-left:3.65pt;margin-top:2.7pt;width:78.95pt;height:20.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GvRAIAAGM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xvka9EAgAAYwQA&#10;AA4AAAAAAAAAAAAAAAAALgIAAGRycy9lMm9Eb2MueG1sUEsBAi0AFAAGAAgAAAAhANVS8D3cAAAA&#10;BgEAAA8AAAAAAAAAAAAAAAAAngQAAGRycy9kb3ducmV2LnhtbFBLBQYAAAAABAAEAPMAAACnBQAA&#10;AAA=&#10;" strokeweight="1.25pt">
              <v:textbox>
                <w:txbxContent>
                  <w:p w:rsidR="00651E3B" w:rsidRDefault="00651E3B" w:rsidP="00495EC8">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901BA21" wp14:editId="224E44A7">
              <wp:simplePos x="0" y="0"/>
              <wp:positionH relativeFrom="margin">
                <wp:posOffset>4290778</wp:posOffset>
              </wp:positionH>
              <wp:positionV relativeFrom="paragraph">
                <wp:posOffset>-53403</wp:posOffset>
              </wp:positionV>
              <wp:extent cx="1511935" cy="460375"/>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495EC8">
                          <w:pPr>
                            <w:ind w:left="0"/>
                            <w:jc w:val="center"/>
                            <w:rPr>
                              <w:b/>
                              <w:bCs/>
                              <w:sz w:val="16"/>
                              <w:szCs w:val="16"/>
                            </w:rPr>
                          </w:pPr>
                          <w:r>
                            <w:rPr>
                              <w:b/>
                              <w:bCs/>
                              <w:sz w:val="16"/>
                              <w:szCs w:val="16"/>
                              <w:rtl/>
                            </w:rPr>
                            <w:t>שלמה הנדל - בית הלל</w:t>
                          </w:r>
                        </w:p>
                        <w:p w:rsidR="00651E3B" w:rsidRDefault="00651E3B" w:rsidP="00495EC8">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01BA21" id="תיבת טקסט 21" o:spid="_x0000_s1039" type="#_x0000_t202" style="position:absolute;left:0;text-align:left;margin-left:337.85pt;margin-top:-4.2pt;width:119.05pt;height:36.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AXaFz0nQIAACEFAAAOAAAAAAAAAAAAAAAAAC4CAABkcnMv&#10;ZTJvRG9jLnhtbFBLAQItABQABgAIAAAAIQCYiJ2/3gAAAAkBAAAPAAAAAAAAAAAAAAAAAPcEAABk&#10;cnMvZG93bnJldi54bWxQSwUGAAAAAAQABADzAAAAAgYAAAAA&#10;" stroked="f">
              <v:textbox>
                <w:txbxContent>
                  <w:p w:rsidR="00651E3B" w:rsidRDefault="00651E3B" w:rsidP="00495EC8">
                    <w:pPr>
                      <w:ind w:left="0"/>
                      <w:jc w:val="center"/>
                      <w:rPr>
                        <w:b/>
                        <w:bCs/>
                        <w:sz w:val="16"/>
                        <w:szCs w:val="16"/>
                      </w:rPr>
                    </w:pPr>
                    <w:r>
                      <w:rPr>
                        <w:b/>
                        <w:bCs/>
                        <w:sz w:val="16"/>
                        <w:szCs w:val="16"/>
                        <w:rtl/>
                      </w:rPr>
                      <w:t>שלמה הנדל - בית הלל</w:t>
                    </w:r>
                  </w:p>
                  <w:p w:rsidR="00651E3B" w:rsidRDefault="00651E3B" w:rsidP="00495EC8">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495EC8">
    <w:pPr>
      <w:pStyle w:val="aa"/>
      <w:rPr>
        <w:rtl/>
        <w:cs/>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1741673"/>
      <w:docPartObj>
        <w:docPartGallery w:val="Page Numbers (Bottom of Page)"/>
        <w:docPartUnique/>
      </w:docPartObj>
    </w:sdtPr>
    <w:sdtContent>
      <w:p w:rsidR="00651E3B" w:rsidRDefault="00651E3B" w:rsidP="00C2781B">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72</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88374B">
    <w:pPr>
      <w:pStyle w:val="aa"/>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C6BD1ED" wp14:editId="5F615FC4">
              <wp:simplePos x="0" y="0"/>
              <wp:positionH relativeFrom="margin">
                <wp:posOffset>46209</wp:posOffset>
              </wp:positionH>
              <wp:positionV relativeFrom="paragraph">
                <wp:posOffset>34583</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88374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BD1ED" id="_x0000_t202" coordsize="21600,21600" o:spt="202" path="m,l,21600r21600,l21600,xe">
              <v:stroke joinstyle="miter"/>
              <v:path gradientshapeok="t" o:connecttype="rect"/>
            </v:shapetype>
            <v:shape id="תיבת טקסט 22" o:spid="_x0000_s1040" type="#_x0000_t202" style="position:absolute;left:0;text-align:left;margin-left:3.65pt;margin-top:2.7pt;width:78.95pt;height:20.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BBlaMdEAgAAYwQA&#10;AA4AAAAAAAAAAAAAAAAALgIAAGRycy9lMm9Eb2MueG1sUEsBAi0AFAAGAAgAAAAhANVS8D3cAAAA&#10;BgEAAA8AAAAAAAAAAAAAAAAAngQAAGRycy9kb3ducmV2LnhtbFBLBQYAAAAABAAEAPMAAACnBQAA&#10;AAA=&#10;" strokeweight="1.25pt">
              <v:textbox>
                <w:txbxContent>
                  <w:p w:rsidR="00651E3B" w:rsidRDefault="00651E3B" w:rsidP="0088374B">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5A3C6E8" wp14:editId="671290EA">
              <wp:simplePos x="0" y="0"/>
              <wp:positionH relativeFrom="margin">
                <wp:posOffset>4290778</wp:posOffset>
              </wp:positionH>
              <wp:positionV relativeFrom="paragraph">
                <wp:posOffset>-53403</wp:posOffset>
              </wp:positionV>
              <wp:extent cx="1511935" cy="460375"/>
              <wp:effectExtent l="0" t="0" r="0" b="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88374B">
                          <w:pPr>
                            <w:ind w:left="0"/>
                            <w:jc w:val="center"/>
                            <w:rPr>
                              <w:b/>
                              <w:bCs/>
                              <w:sz w:val="16"/>
                              <w:szCs w:val="16"/>
                            </w:rPr>
                          </w:pPr>
                          <w:r>
                            <w:rPr>
                              <w:b/>
                              <w:bCs/>
                              <w:sz w:val="16"/>
                              <w:szCs w:val="16"/>
                              <w:rtl/>
                            </w:rPr>
                            <w:t>שלמה הנדל בית הלל</w:t>
                          </w:r>
                        </w:p>
                        <w:p w:rsidR="00651E3B" w:rsidRDefault="00651E3B" w:rsidP="0088374B">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A3C6E8" id="תיבת טקסט 26" o:spid="_x0000_s1041" type="#_x0000_t202" style="position:absolute;left:0;text-align:left;margin-left:337.85pt;margin-top:-4.2pt;width:119.05pt;height:36.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BIauVwnQIAACEFAAAOAAAAAAAAAAAAAAAAAC4CAABkcnMv&#10;ZTJvRG9jLnhtbFBLAQItABQABgAIAAAAIQCYiJ2/3gAAAAkBAAAPAAAAAAAAAAAAAAAAAPcEAABk&#10;cnMvZG93bnJldi54bWxQSwUGAAAAAAQABADzAAAAAgYAAAAA&#10;" stroked="f">
              <v:textbox>
                <w:txbxContent>
                  <w:p w:rsidR="00651E3B" w:rsidRDefault="00651E3B" w:rsidP="0088374B">
                    <w:pPr>
                      <w:ind w:left="0"/>
                      <w:jc w:val="center"/>
                      <w:rPr>
                        <w:b/>
                        <w:bCs/>
                        <w:sz w:val="16"/>
                        <w:szCs w:val="16"/>
                      </w:rPr>
                    </w:pPr>
                    <w:r>
                      <w:rPr>
                        <w:b/>
                        <w:bCs/>
                        <w:sz w:val="16"/>
                        <w:szCs w:val="16"/>
                        <w:rtl/>
                      </w:rPr>
                      <w:t>שלמה הנדל בית הלל</w:t>
                    </w:r>
                  </w:p>
                  <w:p w:rsidR="00651E3B" w:rsidRDefault="00651E3B" w:rsidP="0088374B">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88374B">
    <w:pPr>
      <w:pStyle w:val="aa"/>
      <w:rPr>
        <w:rtl/>
        <w:cs/>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95549672"/>
      <w:docPartObj>
        <w:docPartGallery w:val="Page Numbers (Bottom of Page)"/>
        <w:docPartUnique/>
      </w:docPartObj>
    </w:sdtPr>
    <w:sdtEndPr>
      <w:rPr>
        <w:cs/>
      </w:rPr>
    </w:sdtEndPr>
    <w:sdtContent>
      <w:p w:rsidR="00651E3B" w:rsidRDefault="00651E3B" w:rsidP="001224DC">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81</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1224DC">
    <w:pPr>
      <w:pStyle w:val="aa"/>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6F522A8" wp14:editId="753F4EA9">
              <wp:simplePos x="0" y="0"/>
              <wp:positionH relativeFrom="margin">
                <wp:posOffset>46209</wp:posOffset>
              </wp:positionH>
              <wp:positionV relativeFrom="paragraph">
                <wp:posOffset>34583</wp:posOffset>
              </wp:positionV>
              <wp:extent cx="1002665" cy="264160"/>
              <wp:effectExtent l="0" t="0" r="26035" b="2159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1224DC">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F522A8" id="_x0000_t202" coordsize="21600,21600" o:spt="202" path="m,l,21600r21600,l21600,xe">
              <v:stroke joinstyle="miter"/>
              <v:path gradientshapeok="t" o:connecttype="rect"/>
            </v:shapetype>
            <v:shape id="תיבת טקסט 27" o:spid="_x0000_s1042" type="#_x0000_t202" style="position:absolute;left:0;text-align:left;margin-left:3.65pt;margin-top:2.7pt;width:78.95pt;height:20.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KqvzMEMCAABjBAAA&#10;DgAAAAAAAAAAAAAAAAAuAgAAZHJzL2Uyb0RvYy54bWxQSwECLQAUAAYACAAAACEA1VLwPdwAAAAG&#10;AQAADwAAAAAAAAAAAAAAAACdBAAAZHJzL2Rvd25yZXYueG1sUEsFBgAAAAAEAAQA8wAAAKYFAAAA&#10;AA==&#10;" strokeweight="1.25pt">
              <v:textbox>
                <w:txbxContent>
                  <w:p w:rsidR="00651E3B" w:rsidRDefault="00651E3B" w:rsidP="001224DC">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8B99C1D" wp14:editId="23A6BB9C">
              <wp:simplePos x="0" y="0"/>
              <wp:positionH relativeFrom="margin">
                <wp:posOffset>4290778</wp:posOffset>
              </wp:positionH>
              <wp:positionV relativeFrom="paragraph">
                <wp:posOffset>-53403</wp:posOffset>
              </wp:positionV>
              <wp:extent cx="1511935" cy="460375"/>
              <wp:effectExtent l="0" t="0" r="0" b="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1224DC">
                          <w:pPr>
                            <w:ind w:left="0"/>
                            <w:jc w:val="center"/>
                            <w:rPr>
                              <w:b/>
                              <w:bCs/>
                              <w:sz w:val="16"/>
                              <w:szCs w:val="16"/>
                            </w:rPr>
                          </w:pPr>
                          <w:r>
                            <w:rPr>
                              <w:b/>
                              <w:bCs/>
                              <w:sz w:val="16"/>
                              <w:szCs w:val="16"/>
                              <w:rtl/>
                            </w:rPr>
                            <w:t>שלמה הנדל - בית הלל</w:t>
                          </w:r>
                        </w:p>
                        <w:p w:rsidR="00651E3B" w:rsidRDefault="00651E3B" w:rsidP="001224DC">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B99C1D" id="תיבת טקסט 31" o:spid="_x0000_s1043" type="#_x0000_t202" style="position:absolute;left:0;text-align:left;margin-left:337.85pt;margin-top:-4.2pt;width:119.05pt;height:36.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xCwJip4CAAAhBQAADgAAAAAAAAAAAAAAAAAuAgAAZHJz&#10;L2Uyb0RvYy54bWxQSwECLQAUAAYACAAAACEAmIidv94AAAAJAQAADwAAAAAAAAAAAAAAAAD4BAAA&#10;ZHJzL2Rvd25yZXYueG1sUEsFBgAAAAAEAAQA8wAAAAMGAAAAAA==&#10;" stroked="f">
              <v:textbox>
                <w:txbxContent>
                  <w:p w:rsidR="00651E3B" w:rsidRDefault="00651E3B" w:rsidP="001224DC">
                    <w:pPr>
                      <w:ind w:left="0"/>
                      <w:jc w:val="center"/>
                      <w:rPr>
                        <w:b/>
                        <w:bCs/>
                        <w:sz w:val="16"/>
                        <w:szCs w:val="16"/>
                      </w:rPr>
                    </w:pPr>
                    <w:r>
                      <w:rPr>
                        <w:b/>
                        <w:bCs/>
                        <w:sz w:val="16"/>
                        <w:szCs w:val="16"/>
                        <w:rtl/>
                      </w:rPr>
                      <w:t>שלמה הנדל - בית הלל</w:t>
                    </w:r>
                  </w:p>
                  <w:p w:rsidR="00651E3B" w:rsidRDefault="00651E3B" w:rsidP="001224DC">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1224DC">
    <w:pPr>
      <w:pStyle w:val="aa"/>
      <w:rPr>
        <w:rtl/>
        <w:cs/>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31419532"/>
      <w:docPartObj>
        <w:docPartGallery w:val="Page Numbers (Bottom of Page)"/>
        <w:docPartUnique/>
      </w:docPartObj>
    </w:sdtPr>
    <w:sdtEndPr>
      <w:rPr>
        <w:cs/>
      </w:rPr>
    </w:sdtEndPr>
    <w:sdtContent>
      <w:p w:rsidR="00651E3B" w:rsidRDefault="00651E3B" w:rsidP="00EE03CB">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84</w:t>
        </w:r>
        <w: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EE03CB">
    <w:pPr>
      <w:pStyle w:val="aa"/>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37FA2CAC" wp14:editId="13909CB3">
              <wp:simplePos x="0" y="0"/>
              <wp:positionH relativeFrom="margin">
                <wp:posOffset>46209</wp:posOffset>
              </wp:positionH>
              <wp:positionV relativeFrom="paragraph">
                <wp:posOffset>34583</wp:posOffset>
              </wp:positionV>
              <wp:extent cx="1002665" cy="264160"/>
              <wp:effectExtent l="0" t="0" r="26035" b="2159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EE03C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FA2CAC" id="_x0000_t202" coordsize="21600,21600" o:spt="202" path="m,l,21600r21600,l21600,xe">
              <v:stroke joinstyle="miter"/>
              <v:path gradientshapeok="t" o:connecttype="rect"/>
            </v:shapetype>
            <v:shape id="תיבת טקסט 32" o:spid="_x0000_s1044" type="#_x0000_t202" style="position:absolute;left:0;text-align:left;margin-left:3.65pt;margin-top:2.7pt;width:78.95pt;height:20.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LtRQIAAGM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zXQLtRQIAAGME&#10;AAAOAAAAAAAAAAAAAAAAAC4CAABkcnMvZTJvRG9jLnhtbFBLAQItABQABgAIAAAAIQDVUvA93AAA&#10;AAYBAAAPAAAAAAAAAAAAAAAAAJ8EAABkcnMvZG93bnJldi54bWxQSwUGAAAAAAQABADzAAAAqAUA&#10;AAAA&#10;" strokeweight="1.25pt">
              <v:textbox>
                <w:txbxContent>
                  <w:p w:rsidR="00651E3B" w:rsidRDefault="00651E3B" w:rsidP="00EE03CB">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DD84D2E" wp14:editId="5E15A27E">
              <wp:simplePos x="0" y="0"/>
              <wp:positionH relativeFrom="margin">
                <wp:posOffset>4290778</wp:posOffset>
              </wp:positionH>
              <wp:positionV relativeFrom="paragraph">
                <wp:posOffset>-53403</wp:posOffset>
              </wp:positionV>
              <wp:extent cx="1511935" cy="460375"/>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EE03CB">
                          <w:pPr>
                            <w:ind w:left="0"/>
                            <w:jc w:val="center"/>
                            <w:rPr>
                              <w:b/>
                              <w:bCs/>
                              <w:sz w:val="16"/>
                              <w:szCs w:val="16"/>
                            </w:rPr>
                          </w:pPr>
                          <w:r>
                            <w:rPr>
                              <w:b/>
                              <w:bCs/>
                              <w:sz w:val="16"/>
                              <w:szCs w:val="16"/>
                              <w:rtl/>
                            </w:rPr>
                            <w:t>שלמה הנדל - בית הלל</w:t>
                          </w:r>
                        </w:p>
                        <w:p w:rsidR="00651E3B" w:rsidRDefault="00651E3B" w:rsidP="00EE03CB">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D84D2E" id="תיבת טקסט 37" o:spid="_x0000_s1045" type="#_x0000_t202" style="position:absolute;left:0;text-align:left;margin-left:337.85pt;margin-top:-4.2pt;width:119.05pt;height:36.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mwQlTp4CAAAiBQAADgAAAAAAAAAAAAAAAAAuAgAAZHJz&#10;L2Uyb0RvYy54bWxQSwECLQAUAAYACAAAACEAmIidv94AAAAJAQAADwAAAAAAAAAAAAAAAAD4BAAA&#10;ZHJzL2Rvd25yZXYueG1sUEsFBgAAAAAEAAQA8wAAAAMGAAAAAA==&#10;" stroked="f">
              <v:textbox>
                <w:txbxContent>
                  <w:p w:rsidR="00651E3B" w:rsidRDefault="00651E3B" w:rsidP="00EE03CB">
                    <w:pPr>
                      <w:ind w:left="0"/>
                      <w:jc w:val="center"/>
                      <w:rPr>
                        <w:b/>
                        <w:bCs/>
                        <w:sz w:val="16"/>
                        <w:szCs w:val="16"/>
                      </w:rPr>
                    </w:pPr>
                    <w:r>
                      <w:rPr>
                        <w:b/>
                        <w:bCs/>
                        <w:sz w:val="16"/>
                        <w:szCs w:val="16"/>
                        <w:rtl/>
                      </w:rPr>
                      <w:t>שלמה הנדל - בית הלל</w:t>
                    </w:r>
                  </w:p>
                  <w:p w:rsidR="00651E3B" w:rsidRDefault="00651E3B" w:rsidP="00EE03CB">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EE03CB">
    <w:pPr>
      <w:pStyle w:val="aa"/>
      <w:rPr>
        <w:rtl/>
        <w:cs/>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15894631"/>
      <w:docPartObj>
        <w:docPartGallery w:val="Page Numbers (Bottom of Page)"/>
        <w:docPartUnique/>
      </w:docPartObj>
    </w:sdtPr>
    <w:sdtEndPr>
      <w:rPr>
        <w:cs/>
      </w:rPr>
    </w:sdtEndPr>
    <w:sdtContent>
      <w:p w:rsidR="00651E3B" w:rsidRDefault="00651E3B" w:rsidP="00B71D8D">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111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Guttman Hodes"/>
        <w:rtl/>
      </w:rPr>
      <w:id w:val="-1636719758"/>
      <w:docPartObj>
        <w:docPartGallery w:val="Page Numbers (Bottom of Page)"/>
        <w:docPartUnique/>
      </w:docPartObj>
    </w:sdtPr>
    <w:sdtEndPr>
      <w:rPr>
        <w:cs/>
      </w:rPr>
    </w:sdtEndPr>
    <w:sdtContent>
      <w:p w:rsidR="00651E3B" w:rsidRPr="00A409A4" w:rsidRDefault="00651E3B" w:rsidP="00852065">
        <w:pPr>
          <w:pStyle w:val="aa"/>
          <w:ind w:left="0"/>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551631">
          <w:rPr>
            <w:rFonts w:cs="Guttman Hodes" w:hint="eastAsia"/>
            <w:noProof/>
            <w:rtl/>
            <w:lang w:val="he-IL"/>
          </w:rPr>
          <w:t>טו</w:t>
        </w:r>
        <w:r w:rsidRPr="00A409A4">
          <w:rPr>
            <w:rFonts w:cs="Guttman Hodes"/>
          </w:rPr>
          <w:fldChar w:fldCharType="end"/>
        </w:r>
      </w:p>
    </w:sdtContent>
  </w:sdt>
  <w:p w:rsidR="00651E3B" w:rsidRDefault="00651E3B" w:rsidP="00852065">
    <w:pPr>
      <w:pStyle w:val="aa"/>
      <w:tabs>
        <w:tab w:val="clear" w:pos="4153"/>
        <w:tab w:val="clear" w:pos="8306"/>
        <w:tab w:val="right" w:pos="10466"/>
      </w:tabs>
      <w:ind w:left="0"/>
      <w:rPr>
        <w:rtl/>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28263816"/>
      <w:docPartObj>
        <w:docPartGallery w:val="Page Numbers (Bottom of Page)"/>
        <w:docPartUnique/>
      </w:docPartObj>
    </w:sdtPr>
    <w:sdtEndPr>
      <w:rPr>
        <w:cs/>
      </w:rPr>
    </w:sdtEndPr>
    <w:sdtContent>
      <w:p w:rsidR="00651E3B" w:rsidRDefault="00651E3B" w:rsidP="006104BD">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114</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62243921"/>
      <w:docPartObj>
        <w:docPartGallery w:val="Page Numbers (Bottom of Page)"/>
        <w:docPartUnique/>
      </w:docPartObj>
    </w:sdtPr>
    <w:sdtEndPr>
      <w:rPr>
        <w:cs/>
      </w:rPr>
    </w:sdtEndPr>
    <w:sdtContent>
      <w:p w:rsidR="00651E3B" w:rsidRDefault="00651E3B" w:rsidP="006104BD">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140</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28785188"/>
      <w:docPartObj>
        <w:docPartGallery w:val="Page Numbers (Bottom of Page)"/>
        <w:docPartUnique/>
      </w:docPartObj>
    </w:sdtPr>
    <w:sdtContent>
      <w:p w:rsidR="00651E3B" w:rsidRDefault="00651E3B" w:rsidP="00C2781B">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146</w:t>
        </w:r>
        <w: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88115871"/>
      <w:docPartObj>
        <w:docPartGallery w:val="Page Numbers (Bottom of Page)"/>
        <w:docPartUnique/>
      </w:docPartObj>
    </w:sdtPr>
    <w:sdtContent>
      <w:p w:rsidR="00651E3B" w:rsidRDefault="00651E3B" w:rsidP="007C10F3">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160</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09347798"/>
      <w:docPartObj>
        <w:docPartGallery w:val="Page Numbers (Bottom of Page)"/>
        <w:docPartUnique/>
      </w:docPartObj>
    </w:sdtPr>
    <w:sdtContent>
      <w:p w:rsidR="00651E3B" w:rsidRDefault="00651E3B">
        <w:pPr>
          <w:pStyle w:val="aa"/>
          <w:jc w:val="right"/>
          <w:rPr>
            <w:rtl/>
            <w:cs/>
          </w:rPr>
        </w:pPr>
        <w:r>
          <w:fldChar w:fldCharType="begin"/>
        </w:r>
        <w:r>
          <w:rPr>
            <w:rtl/>
            <w:cs/>
          </w:rPr>
          <w:instrText>PAGE   \* MERGEFORMAT</w:instrText>
        </w:r>
        <w:r>
          <w:fldChar w:fldCharType="separate"/>
        </w:r>
        <w:r w:rsidRPr="000619D8">
          <w:rPr>
            <w:noProof/>
            <w:rtl/>
            <w:lang w:val="he-IL"/>
          </w:rPr>
          <w:t>15</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5223042"/>
      <w:docPartObj>
        <w:docPartGallery w:val="Page Numbers (Bottom of Page)"/>
        <w:docPartUnique/>
      </w:docPartObj>
    </w:sdtPr>
    <w:sdtContent>
      <w:p w:rsidR="00651E3B" w:rsidRDefault="00651E3B" w:rsidP="0013006A">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163</w:t>
        </w:r>
        <w:r>
          <w:fldChar w:fldCharType="end"/>
        </w:r>
      </w:p>
    </w:sdtContent>
  </w:sdt>
  <w:p w:rsidR="00651E3B" w:rsidRDefault="00651E3B">
    <w:pPr>
      <w:pStyle w:val="aa"/>
      <w:jc w:val="right"/>
      <w:rPr>
        <w:rtl/>
        <w:cs/>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13006A">
    <w:pPr>
      <w:pStyle w:val="aa"/>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6422744C" wp14:editId="18D46C64">
              <wp:simplePos x="0" y="0"/>
              <wp:positionH relativeFrom="margin">
                <wp:posOffset>46209</wp:posOffset>
              </wp:positionH>
              <wp:positionV relativeFrom="paragraph">
                <wp:posOffset>34583</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13006A">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22744C" id="_x0000_t202" coordsize="21600,21600" o:spt="202" path="m,l,21600r21600,l21600,xe">
              <v:stroke joinstyle="miter"/>
              <v:path gradientshapeok="t" o:connecttype="rect"/>
            </v:shapetype>
            <v:shape id="תיבת טקסט 8" o:spid="_x0000_s1046" type="#_x0000_t202" style="position:absolute;left:0;text-align:left;margin-left:3.65pt;margin-top:2.7pt;width:78.95pt;height:2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BSMrYUMCAABiBAAA&#10;DgAAAAAAAAAAAAAAAAAuAgAAZHJzL2Uyb0RvYy54bWxQSwECLQAUAAYACAAAACEA1VLwPdwAAAAG&#10;AQAADwAAAAAAAAAAAAAAAACdBAAAZHJzL2Rvd25yZXYueG1sUEsFBgAAAAAEAAQA8wAAAKYFAAAA&#10;AA==&#10;" strokeweight="1.25pt">
              <v:textbox>
                <w:txbxContent>
                  <w:p w:rsidR="00651E3B" w:rsidRDefault="00651E3B" w:rsidP="0013006A">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84EF792" wp14:editId="787C5B33">
              <wp:simplePos x="0" y="0"/>
              <wp:positionH relativeFrom="margin">
                <wp:posOffset>4290778</wp:posOffset>
              </wp:positionH>
              <wp:positionV relativeFrom="paragraph">
                <wp:posOffset>-53403</wp:posOffset>
              </wp:positionV>
              <wp:extent cx="1511935" cy="460375"/>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13006A">
                          <w:pPr>
                            <w:ind w:left="0"/>
                            <w:jc w:val="center"/>
                            <w:rPr>
                              <w:b/>
                              <w:bCs/>
                              <w:sz w:val="16"/>
                              <w:szCs w:val="16"/>
                            </w:rPr>
                          </w:pPr>
                          <w:r>
                            <w:rPr>
                              <w:b/>
                              <w:bCs/>
                              <w:sz w:val="16"/>
                              <w:szCs w:val="16"/>
                              <w:rtl/>
                            </w:rPr>
                            <w:t>שלמה הנדל - בית הלל</w:t>
                          </w:r>
                        </w:p>
                        <w:p w:rsidR="00651E3B" w:rsidRDefault="00651E3B" w:rsidP="0013006A">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4EF792" id="תיבת טקסט 9" o:spid="_x0000_s1047" type="#_x0000_t202" style="position:absolute;left:0;text-align:left;margin-left:337.85pt;margin-top:-4.2pt;width:119.05pt;height:3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AIOsfrnQIAACAFAAAOAAAAAAAAAAAAAAAAAC4CAABkcnMv&#10;ZTJvRG9jLnhtbFBLAQItABQABgAIAAAAIQCYiJ2/3gAAAAkBAAAPAAAAAAAAAAAAAAAAAPcEAABk&#10;cnMvZG93bnJldi54bWxQSwUGAAAAAAQABADzAAAAAgYAAAAA&#10;" stroked="f">
              <v:textbox>
                <w:txbxContent>
                  <w:p w:rsidR="00651E3B" w:rsidRDefault="00651E3B" w:rsidP="0013006A">
                    <w:pPr>
                      <w:ind w:left="0"/>
                      <w:jc w:val="center"/>
                      <w:rPr>
                        <w:b/>
                        <w:bCs/>
                        <w:sz w:val="16"/>
                        <w:szCs w:val="16"/>
                      </w:rPr>
                    </w:pPr>
                    <w:r>
                      <w:rPr>
                        <w:b/>
                        <w:bCs/>
                        <w:sz w:val="16"/>
                        <w:szCs w:val="16"/>
                        <w:rtl/>
                      </w:rPr>
                      <w:t>שלמה הנדל - בית הלל</w:t>
                    </w:r>
                  </w:p>
                  <w:p w:rsidR="00651E3B" w:rsidRDefault="00651E3B" w:rsidP="0013006A">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13006A">
    <w:pPr>
      <w:pStyle w:val="aa"/>
      <w:rPr>
        <w:rtl/>
        <w:cs/>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70825980"/>
      <w:docPartObj>
        <w:docPartGallery w:val="Page Numbers (Bottom of Page)"/>
        <w:docPartUnique/>
      </w:docPartObj>
    </w:sdtPr>
    <w:sdtContent>
      <w:p w:rsidR="00651E3B" w:rsidRDefault="00651E3B" w:rsidP="004E1A18">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171</w:t>
        </w:r>
        <w:r>
          <w:fldChar w:fldCharType="end"/>
        </w:r>
      </w:p>
    </w:sdtContent>
  </w:sdt>
  <w:p w:rsidR="00651E3B" w:rsidRDefault="00651E3B">
    <w:pPr>
      <w:pStyle w:val="aa"/>
      <w:jc w:val="right"/>
      <w:rPr>
        <w:rtl/>
        <w:cs/>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17570677"/>
      <w:docPartObj>
        <w:docPartGallery w:val="Page Numbers (Bottom of Page)"/>
        <w:docPartUnique/>
      </w:docPartObj>
    </w:sdtPr>
    <w:sdtContent>
      <w:p w:rsidR="00651E3B" w:rsidRDefault="00651E3B" w:rsidP="004E1A18">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176</w:t>
        </w:r>
        <w:r>
          <w:fldChar w:fldCharType="end"/>
        </w:r>
      </w:p>
    </w:sdtContent>
  </w:sdt>
  <w:p w:rsidR="00651E3B" w:rsidRDefault="00651E3B">
    <w:pPr>
      <w:pStyle w:val="aa"/>
      <w:jc w:val="right"/>
      <w:rPr>
        <w:rtl/>
        <w:cs/>
      </w:rP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707FC2">
    <w:pPr>
      <w:pStyle w:val="aa"/>
    </w:pPr>
    <w:r>
      <w:rPr>
        <w:rtl/>
      </w:rPr>
      <w:tab/>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0155057D" wp14:editId="35C03C37">
              <wp:simplePos x="0" y="0"/>
              <wp:positionH relativeFrom="margin">
                <wp:posOffset>46209</wp:posOffset>
              </wp:positionH>
              <wp:positionV relativeFrom="paragraph">
                <wp:posOffset>34583</wp:posOffset>
              </wp:positionV>
              <wp:extent cx="1002665" cy="264160"/>
              <wp:effectExtent l="0" t="0" r="26035" b="2159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707FC2">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55057D" id="_x0000_t202" coordsize="21600,21600" o:spt="202" path="m,l,21600r21600,l21600,xe">
              <v:stroke joinstyle="miter"/>
              <v:path gradientshapeok="t" o:connecttype="rect"/>
            </v:shapetype>
            <v:shape id="תיבת טקסט 3" o:spid="_x0000_s1048" type="#_x0000_t202" style="position:absolute;left:0;text-align:left;margin-left:3.65pt;margin-top:2.7pt;width:78.95pt;height:20.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GVZPf5EAgAAYgQA&#10;AA4AAAAAAAAAAAAAAAAALgIAAGRycy9lMm9Eb2MueG1sUEsBAi0AFAAGAAgAAAAhANVS8D3cAAAA&#10;BgEAAA8AAAAAAAAAAAAAAAAAngQAAGRycy9kb3ducmV2LnhtbFBLBQYAAAAABAAEAPMAAACnBQAA&#10;AAA=&#10;" strokeweight="1.25pt">
              <v:textbox>
                <w:txbxContent>
                  <w:p w:rsidR="00651E3B" w:rsidRDefault="00651E3B" w:rsidP="00707FC2">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AD2DF7A" wp14:editId="76D413EC">
              <wp:simplePos x="0" y="0"/>
              <wp:positionH relativeFrom="margin">
                <wp:posOffset>4290778</wp:posOffset>
              </wp:positionH>
              <wp:positionV relativeFrom="paragraph">
                <wp:posOffset>-53403</wp:posOffset>
              </wp:positionV>
              <wp:extent cx="1511935" cy="460375"/>
              <wp:effectExtent l="0" t="0" r="0" b="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707FC2">
                          <w:pPr>
                            <w:ind w:left="0"/>
                            <w:jc w:val="center"/>
                            <w:rPr>
                              <w:b/>
                              <w:bCs/>
                              <w:sz w:val="16"/>
                              <w:szCs w:val="16"/>
                            </w:rPr>
                          </w:pPr>
                          <w:r>
                            <w:rPr>
                              <w:b/>
                              <w:bCs/>
                              <w:sz w:val="16"/>
                              <w:szCs w:val="16"/>
                              <w:rtl/>
                            </w:rPr>
                            <w:t>שלמה הנדל - בית הלל</w:t>
                          </w:r>
                        </w:p>
                        <w:p w:rsidR="00651E3B" w:rsidRDefault="00651E3B" w:rsidP="00707FC2">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D2DF7A" id="תיבת טקסט 5" o:spid="_x0000_s1049" type="#_x0000_t202" style="position:absolute;left:0;text-align:left;margin-left:337.85pt;margin-top:-4.2pt;width:119.05pt;height:36.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GZeBLp4CAAAgBQAADgAAAAAAAAAAAAAAAAAuAgAAZHJz&#10;L2Uyb0RvYy54bWxQSwECLQAUAAYACAAAACEAmIidv94AAAAJAQAADwAAAAAAAAAAAAAAAAD4BAAA&#10;ZHJzL2Rvd25yZXYueG1sUEsFBgAAAAAEAAQA8wAAAAMGAAAAAA==&#10;" stroked="f">
              <v:textbox>
                <w:txbxContent>
                  <w:p w:rsidR="00651E3B" w:rsidRDefault="00651E3B" w:rsidP="00707FC2">
                    <w:pPr>
                      <w:ind w:left="0"/>
                      <w:jc w:val="center"/>
                      <w:rPr>
                        <w:b/>
                        <w:bCs/>
                        <w:sz w:val="16"/>
                        <w:szCs w:val="16"/>
                      </w:rPr>
                    </w:pPr>
                    <w:r>
                      <w:rPr>
                        <w:b/>
                        <w:bCs/>
                        <w:sz w:val="16"/>
                        <w:szCs w:val="16"/>
                        <w:rtl/>
                      </w:rPr>
                      <w:t>שלמה הנדל - בית הלל</w:t>
                    </w:r>
                  </w:p>
                  <w:p w:rsidR="00651E3B" w:rsidRDefault="00651E3B" w:rsidP="00707FC2">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707FC2">
    <w:pPr>
      <w:pStyle w:val="aa"/>
      <w:rPr>
        <w:rtl/>
        <w:cs/>
      </w:rPr>
    </w:pPr>
  </w:p>
  <w:p w:rsidR="00651E3B" w:rsidRDefault="00651E3B" w:rsidP="00707FC2">
    <w:pPr>
      <w:pStyle w:val="aa"/>
      <w:tabs>
        <w:tab w:val="clear" w:pos="4153"/>
        <w:tab w:val="clear" w:pos="8306"/>
        <w:tab w:val="left" w:pos="4886"/>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452D97" w:rsidRDefault="00651E3B" w:rsidP="00452D97">
    <w:pPr>
      <w:pStyle w:val="aa"/>
      <w:rPr>
        <w:rtl/>
        <w:cs/>
      </w:rP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67229982"/>
      <w:docPartObj>
        <w:docPartGallery w:val="Page Numbers (Bottom of Page)"/>
        <w:docPartUnique/>
      </w:docPartObj>
    </w:sdtPr>
    <w:sdtEndPr>
      <w:rPr>
        <w:cs/>
      </w:rPr>
    </w:sdtEndPr>
    <w:sdtContent>
      <w:p w:rsidR="00651E3B" w:rsidRDefault="00651E3B" w:rsidP="00707FC2">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263</w:t>
        </w:r>
        <w:r>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pStyle w:val="aa"/>
    </w:pPr>
    <w:r>
      <w:rPr>
        <w:rtl/>
      </w:rPr>
      <w:tab/>
    </w:r>
    <w:r>
      <w:rPr>
        <w:noProof/>
      </w:rPr>
      <mc:AlternateContent>
        <mc:Choice Requires="wps">
          <w:drawing>
            <wp:anchor distT="0" distB="0" distL="114300" distR="114300" simplePos="0" relativeHeight="251731968" behindDoc="0" locked="0" layoutInCell="1" allowOverlap="1" wp14:anchorId="3FD0FA6B" wp14:editId="4F23A952">
              <wp:simplePos x="0" y="0"/>
              <wp:positionH relativeFrom="margin">
                <wp:posOffset>4290695</wp:posOffset>
              </wp:positionH>
              <wp:positionV relativeFrom="paragraph">
                <wp:posOffset>-53340</wp:posOffset>
              </wp:positionV>
              <wp:extent cx="1511935" cy="460375"/>
              <wp:effectExtent l="0" t="0" r="0" b="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6C2032">
                          <w:pPr>
                            <w:ind w:left="0"/>
                            <w:jc w:val="center"/>
                            <w:rPr>
                              <w:b/>
                              <w:bCs/>
                              <w:sz w:val="16"/>
                              <w:szCs w:val="16"/>
                            </w:rPr>
                          </w:pPr>
                          <w:r>
                            <w:rPr>
                              <w:b/>
                              <w:bCs/>
                              <w:sz w:val="16"/>
                              <w:szCs w:val="16"/>
                              <w:rtl/>
                            </w:rPr>
                            <w:t>שלמה הנדל - בית הלל</w:t>
                          </w:r>
                        </w:p>
                        <w:p w:rsidR="00651E3B" w:rsidRDefault="00651E3B" w:rsidP="006C2032">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D0FA6B" id="_x0000_t202" coordsize="21600,21600" o:spt="202" path="m,l,21600r21600,l21600,xe">
              <v:stroke joinstyle="miter"/>
              <v:path gradientshapeok="t" o:connecttype="rect"/>
            </v:shapetype>
            <v:shape id="תיבת טקסט 7" o:spid="_x0000_s1050" type="#_x0000_t202" style="position:absolute;left:0;text-align:left;margin-left:337.85pt;margin-top:-4.2pt;width:119.05pt;height:36.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C+2afinQIAACAFAAAOAAAAAAAAAAAAAAAAAC4CAABkcnMv&#10;ZTJvRG9jLnhtbFBLAQItABQABgAIAAAAIQCYiJ2/3gAAAAkBAAAPAAAAAAAAAAAAAAAAAPcEAABk&#10;cnMvZG93bnJldi54bWxQSwUGAAAAAAQABADzAAAAAgYAAAAA&#10;" stroked="f">
              <v:textbox>
                <w:txbxContent>
                  <w:p w:rsidR="00651E3B" w:rsidRDefault="00651E3B" w:rsidP="006C2032">
                    <w:pPr>
                      <w:ind w:left="0"/>
                      <w:jc w:val="center"/>
                      <w:rPr>
                        <w:b/>
                        <w:bCs/>
                        <w:sz w:val="16"/>
                        <w:szCs w:val="16"/>
                      </w:rPr>
                    </w:pPr>
                    <w:r>
                      <w:rPr>
                        <w:b/>
                        <w:bCs/>
                        <w:sz w:val="16"/>
                        <w:szCs w:val="16"/>
                        <w:rtl/>
                      </w:rPr>
                      <w:t>שלמה הנדל - בית הלל</w:t>
                    </w:r>
                  </w:p>
                  <w:p w:rsidR="00651E3B" w:rsidRDefault="00651E3B" w:rsidP="006C2032">
                    <w:pPr>
                      <w:ind w:left="0"/>
                      <w:jc w:val="center"/>
                      <w:rPr>
                        <w:sz w:val="16"/>
                        <w:szCs w:val="16"/>
                      </w:rPr>
                    </w:pPr>
                    <w:r>
                      <w:rPr>
                        <w:b/>
                        <w:bCs/>
                        <w:sz w:val="16"/>
                        <w:szCs w:val="16"/>
                        <w:rtl/>
                      </w:rPr>
                      <w:t>052-7676412</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26238F73" wp14:editId="3D42EE64">
              <wp:simplePos x="0" y="0"/>
              <wp:positionH relativeFrom="margin">
                <wp:posOffset>46355</wp:posOffset>
              </wp:positionH>
              <wp:positionV relativeFrom="paragraph">
                <wp:posOffset>34290</wp:posOffset>
              </wp:positionV>
              <wp:extent cx="1002665" cy="264160"/>
              <wp:effectExtent l="0" t="0" r="26035" b="2159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6C2032">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238F73" id="תיבת טקסט 10" o:spid="_x0000_s1051" type="#_x0000_t202" style="position:absolute;left:0;text-align:left;margin-left:3.65pt;margin-top:2.7pt;width:78.95pt;height:20.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Xpmt60MCAABkBAAA&#10;DgAAAAAAAAAAAAAAAAAuAgAAZHJzL2Uyb0RvYy54bWxQSwECLQAUAAYACAAAACEA1VLwPdwAAAAG&#10;AQAADwAAAAAAAAAAAAAAAACdBAAAZHJzL2Rvd25yZXYueG1sUEsFBgAAAAAEAAQA8wAAAKYFAAAA&#10;AA==&#10;" strokeweight="1.25pt">
              <v:textbox>
                <w:txbxContent>
                  <w:p w:rsidR="00651E3B" w:rsidRDefault="00651E3B" w:rsidP="006C2032">
                    <w:pPr>
                      <w:ind w:left="0"/>
                      <w:rPr>
                        <w:b/>
                        <w:bCs/>
                        <w:sz w:val="18"/>
                        <w:szCs w:val="18"/>
                      </w:rPr>
                    </w:pPr>
                    <w:r>
                      <w:rPr>
                        <w:b/>
                        <w:bCs/>
                        <w:sz w:val="18"/>
                        <w:szCs w:val="18"/>
                        <w:rtl/>
                      </w:rPr>
                      <w:t>המשך בעמ' הבא</w:t>
                    </w:r>
                  </w:p>
                </w:txbxContent>
              </v:textbox>
              <w10:wrap anchorx="margin"/>
            </v:shape>
          </w:pict>
        </mc:Fallback>
      </mc:AlternateContent>
    </w:r>
  </w:p>
  <w:p w:rsidR="00651E3B" w:rsidRDefault="00651E3B" w:rsidP="006C2032">
    <w:pPr>
      <w:pStyle w:val="aa"/>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pStyle w:val="aa"/>
    </w:pPr>
    <w:r>
      <w:rPr>
        <w:rtl/>
      </w:rPr>
      <w:tab/>
    </w:r>
    <w:r>
      <w:rPr>
        <w:noProof/>
      </w:rPr>
      <mc:AlternateContent>
        <mc:Choice Requires="wps">
          <w:drawing>
            <wp:anchor distT="0" distB="0" distL="114300" distR="114300" simplePos="0" relativeHeight="251744256" behindDoc="0" locked="0" layoutInCell="1" allowOverlap="1" wp14:anchorId="7BD1AA72" wp14:editId="3584C3D6">
              <wp:simplePos x="0" y="0"/>
              <wp:positionH relativeFrom="margin">
                <wp:posOffset>4290695</wp:posOffset>
              </wp:positionH>
              <wp:positionV relativeFrom="paragraph">
                <wp:posOffset>-53340</wp:posOffset>
              </wp:positionV>
              <wp:extent cx="1511935" cy="460375"/>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6C2032">
                          <w:pPr>
                            <w:ind w:left="0"/>
                            <w:jc w:val="center"/>
                            <w:rPr>
                              <w:b/>
                              <w:bCs/>
                              <w:sz w:val="16"/>
                              <w:szCs w:val="16"/>
                            </w:rPr>
                          </w:pPr>
                          <w:r>
                            <w:rPr>
                              <w:b/>
                              <w:bCs/>
                              <w:sz w:val="16"/>
                              <w:szCs w:val="16"/>
                              <w:rtl/>
                            </w:rPr>
                            <w:t>שלמה הנדל - בית הלל</w:t>
                          </w:r>
                        </w:p>
                        <w:p w:rsidR="00651E3B" w:rsidRDefault="00651E3B" w:rsidP="006C2032">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D1AA72" id="_x0000_t202" coordsize="21600,21600" o:spt="202" path="m,l,21600r21600,l21600,xe">
              <v:stroke joinstyle="miter"/>
              <v:path gradientshapeok="t" o:connecttype="rect"/>
            </v:shapetype>
            <v:shape id="תיבת טקסט 28" o:spid="_x0000_s1052" type="#_x0000_t202" style="position:absolute;left:0;text-align:left;margin-left:337.85pt;margin-top:-4.2pt;width:119.05pt;height:36.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" stroked="f">
              <v:textbox>
                <w:txbxContent>
                  <w:p w:rsidR="00651E3B" w:rsidRDefault="00651E3B" w:rsidP="006C2032">
                    <w:pPr>
                      <w:ind w:left="0"/>
                      <w:jc w:val="center"/>
                      <w:rPr>
                        <w:b/>
                        <w:bCs/>
                        <w:sz w:val="16"/>
                        <w:szCs w:val="16"/>
                      </w:rPr>
                    </w:pPr>
                    <w:r>
                      <w:rPr>
                        <w:b/>
                        <w:bCs/>
                        <w:sz w:val="16"/>
                        <w:szCs w:val="16"/>
                        <w:rtl/>
                      </w:rPr>
                      <w:t>שלמה הנדל - בית הלל</w:t>
                    </w:r>
                  </w:p>
                  <w:p w:rsidR="00651E3B" w:rsidRDefault="00651E3B" w:rsidP="006C2032">
                    <w:pPr>
                      <w:ind w:left="0"/>
                      <w:jc w:val="center"/>
                      <w:rPr>
                        <w:sz w:val="16"/>
                        <w:szCs w:val="16"/>
                      </w:rPr>
                    </w:pPr>
                    <w:r>
                      <w:rPr>
                        <w:b/>
                        <w:bCs/>
                        <w:sz w:val="16"/>
                        <w:szCs w:val="16"/>
                        <w:rtl/>
                      </w:rPr>
                      <w:t>052-7676412</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4159BC4A" wp14:editId="2A992AAA">
              <wp:simplePos x="0" y="0"/>
              <wp:positionH relativeFrom="margin">
                <wp:posOffset>46355</wp:posOffset>
              </wp:positionH>
              <wp:positionV relativeFrom="paragraph">
                <wp:posOffset>34290</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6C2032">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59BC4A" id="תיבת טקסט 29" o:spid="_x0000_s1053" type="#_x0000_t202" style="position:absolute;left:0;text-align:left;margin-left:3.65pt;margin-top:2.7pt;width:78.95pt;height:20.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iaRg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K0MImkYCAABk&#10;BAAADgAAAAAAAAAAAAAAAAAuAgAAZHJzL2Uyb0RvYy54bWxQSwECLQAUAAYACAAAACEA1VLwPdwA&#10;AAAGAQAADwAAAAAAAAAAAAAAAACgBAAAZHJzL2Rvd25yZXYueG1sUEsFBgAAAAAEAAQA8wAAAKkF&#10;AAAAAA==&#10;" strokeweight="1.25pt">
              <v:textbox>
                <w:txbxContent>
                  <w:p w:rsidR="00651E3B" w:rsidRDefault="00651E3B" w:rsidP="006C2032">
                    <w:pPr>
                      <w:ind w:left="0"/>
                      <w:rPr>
                        <w:b/>
                        <w:bCs/>
                        <w:sz w:val="18"/>
                        <w:szCs w:val="18"/>
                      </w:rPr>
                    </w:pPr>
                    <w:r>
                      <w:rPr>
                        <w:b/>
                        <w:bCs/>
                        <w:sz w:val="18"/>
                        <w:szCs w:val="18"/>
                        <w:rtl/>
                      </w:rPr>
                      <w:t>המשך בעמ' הבא</w:t>
                    </w:r>
                  </w:p>
                </w:txbxContent>
              </v:textbox>
              <w10:wrap anchorx="margin"/>
            </v:shape>
          </w:pict>
        </mc:Fallback>
      </mc:AlternateContent>
    </w:r>
  </w:p>
  <w:p w:rsidR="00651E3B" w:rsidRDefault="00651E3B" w:rsidP="006C2032">
    <w:pPr>
      <w:pStyle w:val="aa"/>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D45705">
    <w:pPr>
      <w:pStyle w:val="aa"/>
    </w:pPr>
    <w:r>
      <w:rPr>
        <w:rtl/>
      </w:rPr>
      <w:tab/>
    </w:r>
    <w:r>
      <w:rPr>
        <w:noProof/>
      </w:rPr>
      <mc:AlternateContent>
        <mc:Choice Requires="wps">
          <w:drawing>
            <wp:anchor distT="0" distB="0" distL="114300" distR="114300" simplePos="0" relativeHeight="251735040" behindDoc="0" locked="0" layoutInCell="1" allowOverlap="1" wp14:anchorId="16F56DAD" wp14:editId="607D4BC1">
              <wp:simplePos x="0" y="0"/>
              <wp:positionH relativeFrom="margin">
                <wp:posOffset>4290695</wp:posOffset>
              </wp:positionH>
              <wp:positionV relativeFrom="paragraph">
                <wp:posOffset>-53340</wp:posOffset>
              </wp:positionV>
              <wp:extent cx="1511935" cy="460375"/>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D45705">
                          <w:pPr>
                            <w:ind w:left="0"/>
                            <w:jc w:val="center"/>
                            <w:rPr>
                              <w:b/>
                              <w:bCs/>
                              <w:sz w:val="16"/>
                              <w:szCs w:val="16"/>
                            </w:rPr>
                          </w:pPr>
                          <w:r>
                            <w:rPr>
                              <w:b/>
                              <w:bCs/>
                              <w:sz w:val="16"/>
                              <w:szCs w:val="16"/>
                              <w:rtl/>
                            </w:rPr>
                            <w:t>שלמה הנדל בית הלל</w:t>
                          </w:r>
                        </w:p>
                        <w:p w:rsidR="00651E3B" w:rsidRDefault="00651E3B" w:rsidP="00D45705">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F56DAD" id="_x0000_t202" coordsize="21600,21600" o:spt="202" path="m,l,21600r21600,l21600,xe">
              <v:stroke joinstyle="miter"/>
              <v:path gradientshapeok="t" o:connecttype="rect"/>
            </v:shapetype>
            <v:shape id="תיבת טקסט 1" o:spid="_x0000_s1054" type="#_x0000_t202" style="position:absolute;left:0;text-align:left;margin-left:337.85pt;margin-top:-4.2pt;width:119.05pt;height:36.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sYOLjJ4CAAAgBQAADgAAAAAAAAAAAAAAAAAuAgAAZHJz&#10;L2Uyb0RvYy54bWxQSwECLQAUAAYACAAAACEAmIidv94AAAAJAQAADwAAAAAAAAAAAAAAAAD4BAAA&#10;ZHJzL2Rvd25yZXYueG1sUEsFBgAAAAAEAAQA8wAAAAMGAAAAAA==&#10;" stroked="f">
              <v:textbox>
                <w:txbxContent>
                  <w:p w:rsidR="00651E3B" w:rsidRDefault="00651E3B" w:rsidP="00D45705">
                    <w:pPr>
                      <w:ind w:left="0"/>
                      <w:jc w:val="center"/>
                      <w:rPr>
                        <w:b/>
                        <w:bCs/>
                        <w:sz w:val="16"/>
                        <w:szCs w:val="16"/>
                      </w:rPr>
                    </w:pPr>
                    <w:r>
                      <w:rPr>
                        <w:b/>
                        <w:bCs/>
                        <w:sz w:val="16"/>
                        <w:szCs w:val="16"/>
                        <w:rtl/>
                      </w:rPr>
                      <w:t>שלמה הנדל בית הלל</w:t>
                    </w:r>
                  </w:p>
                  <w:p w:rsidR="00651E3B" w:rsidRDefault="00651E3B" w:rsidP="00D45705">
                    <w:pPr>
                      <w:ind w:left="0"/>
                      <w:jc w:val="center"/>
                      <w:rPr>
                        <w:sz w:val="16"/>
                        <w:szCs w:val="16"/>
                      </w:rPr>
                    </w:pPr>
                    <w:r>
                      <w:rPr>
                        <w:b/>
                        <w:bCs/>
                        <w:sz w:val="16"/>
                        <w:szCs w:val="16"/>
                        <w:rtl/>
                      </w:rPr>
                      <w:t>052-7676412</w:t>
                    </w:r>
                  </w:p>
                </w:txbxContent>
              </v:textbox>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41D01703" wp14:editId="670F9725">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D45705">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01703" id="_x0000_s1055" type="#_x0000_t202" style="position:absolute;left:0;text-align:left;margin-left:3.65pt;margin-top:2.7pt;width:78.95pt;height:2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0zdqUEMCAABiBAAA&#10;DgAAAAAAAAAAAAAAAAAuAgAAZHJzL2Uyb0RvYy54bWxQSwECLQAUAAYACAAAACEA1VLwPdwAAAAG&#10;AQAADwAAAAAAAAAAAAAAAACdBAAAZHJzL2Rvd25yZXYueG1sUEsFBgAAAAAEAAQA8wAAAKYFAAAA&#10;AA==&#10;" strokeweight="1.25pt">
              <v:textbox>
                <w:txbxContent>
                  <w:p w:rsidR="00651E3B" w:rsidRDefault="00651E3B" w:rsidP="00D45705">
                    <w:pPr>
                      <w:ind w:left="0"/>
                      <w:rPr>
                        <w:b/>
                        <w:bCs/>
                        <w:sz w:val="18"/>
                        <w:szCs w:val="18"/>
                      </w:rPr>
                    </w:pPr>
                    <w:r>
                      <w:rPr>
                        <w:b/>
                        <w:bCs/>
                        <w:sz w:val="18"/>
                        <w:szCs w:val="18"/>
                        <w:rtl/>
                      </w:rPr>
                      <w:t>המשך בעמ' הבא</w:t>
                    </w:r>
                  </w:p>
                </w:txbxContent>
              </v:textbox>
              <w10:wrap anchorx="margin"/>
            </v:shape>
          </w:pict>
        </mc:Fallback>
      </mc:AlternateContent>
    </w:r>
  </w:p>
  <w:p w:rsidR="00651E3B" w:rsidRDefault="00651E3B" w:rsidP="00D45705">
    <w:pPr>
      <w:pStyle w:val="aa"/>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pStyle w:val="aa"/>
    </w:pPr>
    <w:r>
      <w:rPr>
        <w:rtl/>
      </w:rPr>
      <w:tab/>
    </w:r>
    <w:r>
      <w:rPr>
        <w:noProof/>
      </w:rPr>
      <mc:AlternateContent>
        <mc:Choice Requires="wps">
          <w:drawing>
            <wp:anchor distT="0" distB="0" distL="114300" distR="114300" simplePos="0" relativeHeight="251747328" behindDoc="0" locked="0" layoutInCell="1" allowOverlap="1" wp14:anchorId="22AF72ED" wp14:editId="3FD8A83E">
              <wp:simplePos x="0" y="0"/>
              <wp:positionH relativeFrom="margin">
                <wp:posOffset>4290695</wp:posOffset>
              </wp:positionH>
              <wp:positionV relativeFrom="paragraph">
                <wp:posOffset>-53340</wp:posOffset>
              </wp:positionV>
              <wp:extent cx="1511935" cy="460375"/>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6C2032">
                          <w:pPr>
                            <w:ind w:left="0"/>
                            <w:jc w:val="center"/>
                            <w:rPr>
                              <w:b/>
                              <w:bCs/>
                              <w:sz w:val="16"/>
                              <w:szCs w:val="16"/>
                            </w:rPr>
                          </w:pPr>
                          <w:r>
                            <w:rPr>
                              <w:b/>
                              <w:bCs/>
                              <w:sz w:val="16"/>
                              <w:szCs w:val="16"/>
                              <w:rtl/>
                            </w:rPr>
                            <w:t>שלמה הנדל - בית הלל</w:t>
                          </w:r>
                        </w:p>
                        <w:p w:rsidR="00651E3B" w:rsidRDefault="00651E3B" w:rsidP="006C2032">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AF72ED" id="_x0000_t202" coordsize="21600,21600" o:spt="202" path="m,l,21600r21600,l21600,xe">
              <v:stroke joinstyle="miter"/>
              <v:path gradientshapeok="t" o:connecttype="rect"/>
            </v:shapetype>
            <v:shape id="תיבת טקסט 35" o:spid="_x0000_s1056" type="#_x0000_t202" style="position:absolute;left:0;text-align:left;margin-left:337.85pt;margin-top:-4.2pt;width:119.05pt;height:36.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A6ivfhnQIAACIFAAAOAAAAAAAAAAAAAAAAAC4CAABkcnMv&#10;ZTJvRG9jLnhtbFBLAQItABQABgAIAAAAIQCYiJ2/3gAAAAkBAAAPAAAAAAAAAAAAAAAAAPcEAABk&#10;cnMvZG93bnJldi54bWxQSwUGAAAAAAQABADzAAAAAgYAAAAA&#10;" stroked="f">
              <v:textbox>
                <w:txbxContent>
                  <w:p w:rsidR="00651E3B" w:rsidRDefault="00651E3B" w:rsidP="006C2032">
                    <w:pPr>
                      <w:ind w:left="0"/>
                      <w:jc w:val="center"/>
                      <w:rPr>
                        <w:b/>
                        <w:bCs/>
                        <w:sz w:val="16"/>
                        <w:szCs w:val="16"/>
                      </w:rPr>
                    </w:pPr>
                    <w:r>
                      <w:rPr>
                        <w:b/>
                        <w:bCs/>
                        <w:sz w:val="16"/>
                        <w:szCs w:val="16"/>
                        <w:rtl/>
                      </w:rPr>
                      <w:t>שלמה הנדל - בית הלל</w:t>
                    </w:r>
                  </w:p>
                  <w:p w:rsidR="00651E3B" w:rsidRDefault="00651E3B" w:rsidP="006C2032">
                    <w:pPr>
                      <w:ind w:left="0"/>
                      <w:jc w:val="center"/>
                      <w:rPr>
                        <w:sz w:val="16"/>
                        <w:szCs w:val="16"/>
                      </w:rPr>
                    </w:pPr>
                    <w:r>
                      <w:rPr>
                        <w:b/>
                        <w:bCs/>
                        <w:sz w:val="16"/>
                        <w:szCs w:val="16"/>
                        <w:rtl/>
                      </w:rPr>
                      <w:t>052-7676412</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75BB2A90" wp14:editId="285CC090">
              <wp:simplePos x="0" y="0"/>
              <wp:positionH relativeFrom="margin">
                <wp:posOffset>46355</wp:posOffset>
              </wp:positionH>
              <wp:positionV relativeFrom="paragraph">
                <wp:posOffset>34290</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6C2032">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BB2A90" id="תיבת טקסט 36" o:spid="_x0000_s1057" type="#_x0000_t202" style="position:absolute;left:0;text-align:left;margin-left:3.65pt;margin-top:2.7pt;width:78.95pt;height:20.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XqRgIAAGQ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wlH16kYCAABk&#10;BAAADgAAAAAAAAAAAAAAAAAuAgAAZHJzL2Uyb0RvYy54bWxQSwECLQAUAAYACAAAACEA1VLwPdwA&#10;AAAGAQAADwAAAAAAAAAAAAAAAACgBAAAZHJzL2Rvd25yZXYueG1sUEsFBgAAAAAEAAQA8wAAAKkF&#10;AAAAAA==&#10;" strokeweight="1.25pt">
              <v:textbox>
                <w:txbxContent>
                  <w:p w:rsidR="00651E3B" w:rsidRDefault="00651E3B" w:rsidP="006C2032">
                    <w:pPr>
                      <w:ind w:left="0"/>
                      <w:rPr>
                        <w:b/>
                        <w:bCs/>
                        <w:sz w:val="18"/>
                        <w:szCs w:val="18"/>
                      </w:rPr>
                    </w:pPr>
                    <w:r>
                      <w:rPr>
                        <w:b/>
                        <w:bCs/>
                        <w:sz w:val="18"/>
                        <w:szCs w:val="18"/>
                        <w:rtl/>
                      </w:rPr>
                      <w:t>המשך בעמ' הבא</w:t>
                    </w:r>
                  </w:p>
                </w:txbxContent>
              </v:textbox>
              <w10:wrap anchorx="margin"/>
            </v:shape>
          </w:pict>
        </mc:Fallback>
      </mc:AlternateContent>
    </w:r>
  </w:p>
  <w:p w:rsidR="00651E3B" w:rsidRDefault="00651E3B" w:rsidP="006C2032">
    <w:pPr>
      <w:pStyle w:val="aa"/>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3A5D2C">
    <w:pPr>
      <w:pStyle w:val="aa"/>
    </w:pPr>
    <w:r>
      <w:rPr>
        <w:rtl/>
      </w:rPr>
      <w:tab/>
    </w:r>
    <w:r>
      <w:rPr>
        <w:noProof/>
      </w:rPr>
      <mc:AlternateContent>
        <mc:Choice Requires="wps">
          <w:drawing>
            <wp:anchor distT="0" distB="0" distL="114300" distR="114300" simplePos="0" relativeHeight="251741184" behindDoc="0" locked="0" layoutInCell="1" allowOverlap="1" wp14:anchorId="178B1918" wp14:editId="4E4E7606">
              <wp:simplePos x="0" y="0"/>
              <wp:positionH relativeFrom="margin">
                <wp:posOffset>4290695</wp:posOffset>
              </wp:positionH>
              <wp:positionV relativeFrom="paragraph">
                <wp:posOffset>-53340</wp:posOffset>
              </wp:positionV>
              <wp:extent cx="1511935" cy="460375"/>
              <wp:effectExtent l="0" t="0" r="0" b="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3A5D2C">
                          <w:pPr>
                            <w:ind w:left="0"/>
                            <w:jc w:val="center"/>
                            <w:rPr>
                              <w:b/>
                              <w:bCs/>
                              <w:sz w:val="16"/>
                              <w:szCs w:val="16"/>
                            </w:rPr>
                          </w:pPr>
                          <w:r>
                            <w:rPr>
                              <w:b/>
                              <w:bCs/>
                              <w:sz w:val="16"/>
                              <w:szCs w:val="16"/>
                              <w:rtl/>
                            </w:rPr>
                            <w:t>שלמה הנדל - בית הלל</w:t>
                          </w:r>
                        </w:p>
                        <w:p w:rsidR="00651E3B" w:rsidRDefault="00651E3B" w:rsidP="003A5D2C">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8B1918" id="_x0000_t202" coordsize="21600,21600" o:spt="202" path="m,l,21600r21600,l21600,xe">
              <v:stroke joinstyle="miter"/>
              <v:path gradientshapeok="t" o:connecttype="rect"/>
            </v:shapetype>
            <v:shape id="תיבת טקסט 19" o:spid="_x0000_s1058" type="#_x0000_t202" style="position:absolute;left:0;text-align:left;margin-left:337.85pt;margin-top:-4.2pt;width:119.05pt;height:36.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z8RO9J4CAAAiBQAADgAAAAAAAAAAAAAAAAAuAgAAZHJz&#10;L2Uyb0RvYy54bWxQSwECLQAUAAYACAAAACEAmIidv94AAAAJAQAADwAAAAAAAAAAAAAAAAD4BAAA&#10;ZHJzL2Rvd25yZXYueG1sUEsFBgAAAAAEAAQA8wAAAAMGAAAAAA==&#10;" stroked="f">
              <v:textbox>
                <w:txbxContent>
                  <w:p w:rsidR="00651E3B" w:rsidRDefault="00651E3B" w:rsidP="003A5D2C">
                    <w:pPr>
                      <w:ind w:left="0"/>
                      <w:jc w:val="center"/>
                      <w:rPr>
                        <w:b/>
                        <w:bCs/>
                        <w:sz w:val="16"/>
                        <w:szCs w:val="16"/>
                      </w:rPr>
                    </w:pPr>
                    <w:r>
                      <w:rPr>
                        <w:b/>
                        <w:bCs/>
                        <w:sz w:val="16"/>
                        <w:szCs w:val="16"/>
                        <w:rtl/>
                      </w:rPr>
                      <w:t>שלמה הנדל - בית הלל</w:t>
                    </w:r>
                  </w:p>
                  <w:p w:rsidR="00651E3B" w:rsidRDefault="00651E3B" w:rsidP="003A5D2C">
                    <w:pPr>
                      <w:ind w:left="0"/>
                      <w:jc w:val="center"/>
                      <w:rPr>
                        <w:sz w:val="16"/>
                        <w:szCs w:val="16"/>
                      </w:rPr>
                    </w:pPr>
                    <w:r>
                      <w:rPr>
                        <w:b/>
                        <w:bCs/>
                        <w:sz w:val="16"/>
                        <w:szCs w:val="16"/>
                        <w:rtl/>
                      </w:rPr>
                      <w:t>052-7676412</w:t>
                    </w:r>
                  </w:p>
                </w:txbxContent>
              </v:textbox>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312A8E2" wp14:editId="6DE5C4BC">
              <wp:simplePos x="0" y="0"/>
              <wp:positionH relativeFrom="margin">
                <wp:posOffset>46355</wp:posOffset>
              </wp:positionH>
              <wp:positionV relativeFrom="paragraph">
                <wp:posOffset>34290</wp:posOffset>
              </wp:positionV>
              <wp:extent cx="1002665" cy="264160"/>
              <wp:effectExtent l="0" t="0" r="26035" b="2159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3A5D2C">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12A8E2" id="תיבת טקסט 20" o:spid="_x0000_s1059" type="#_x0000_t202" style="position:absolute;left:0;text-align:left;margin-left:3.65pt;margin-top:2.7pt;width:78.95pt;height:20.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AqXt+NEAgAAZAQA&#10;AA4AAAAAAAAAAAAAAAAALgIAAGRycy9lMm9Eb2MueG1sUEsBAi0AFAAGAAgAAAAhANVS8D3cAAAA&#10;BgEAAA8AAAAAAAAAAAAAAAAAngQAAGRycy9kb3ducmV2LnhtbFBLBQYAAAAABAAEAPMAAACnBQAA&#10;AAA=&#10;" strokeweight="1.25pt">
              <v:textbox>
                <w:txbxContent>
                  <w:p w:rsidR="00651E3B" w:rsidRDefault="00651E3B" w:rsidP="003A5D2C">
                    <w:pPr>
                      <w:ind w:left="0"/>
                      <w:rPr>
                        <w:b/>
                        <w:bCs/>
                        <w:sz w:val="18"/>
                        <w:szCs w:val="18"/>
                      </w:rPr>
                    </w:pPr>
                    <w:r>
                      <w:rPr>
                        <w:b/>
                        <w:bCs/>
                        <w:sz w:val="18"/>
                        <w:szCs w:val="18"/>
                        <w:rtl/>
                      </w:rPr>
                      <w:t>המשך בעמ' הבא</w:t>
                    </w:r>
                  </w:p>
                </w:txbxContent>
              </v:textbox>
              <w10:wrap anchorx="margin"/>
            </v:shape>
          </w:pict>
        </mc:Fallback>
      </mc:AlternateContent>
    </w:r>
  </w:p>
  <w:p w:rsidR="00651E3B" w:rsidRDefault="00651E3B" w:rsidP="003A5D2C">
    <w:pPr>
      <w:pStyle w:val="aa"/>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14938392"/>
      <w:docPartObj>
        <w:docPartGallery w:val="Page Numbers (Bottom of Page)"/>
        <w:docPartUnique/>
      </w:docPartObj>
    </w:sdtPr>
    <w:sdtContent>
      <w:p w:rsidR="00651E3B" w:rsidRDefault="00651E3B" w:rsidP="00D246C7">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279</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452D97" w:rsidRDefault="00651E3B" w:rsidP="00452D97">
    <w:pPr>
      <w:pStyle w:val="aa"/>
      <w:rPr>
        <w:rtl/>
        <w:cs/>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47322236"/>
      <w:docPartObj>
        <w:docPartGallery w:val="Page Numbers (Bottom of Page)"/>
        <w:docPartUnique/>
      </w:docPartObj>
    </w:sdtPr>
    <w:sdtEndPr>
      <w:rPr>
        <w:cs/>
      </w:rPr>
    </w:sdtEndPr>
    <w:sdtContent>
      <w:p w:rsidR="00651E3B" w:rsidRDefault="00651E3B" w:rsidP="00C940DD">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14</w:t>
        </w:r>
        <w:r>
          <w:fldChar w:fldCharType="end"/>
        </w:r>
      </w:p>
    </w:sdtContent>
  </w:sdt>
  <w:p w:rsidR="00651E3B" w:rsidRPr="00F06369" w:rsidRDefault="00651E3B" w:rsidP="00F06369">
    <w:pPr>
      <w:pStyle w:val="aa"/>
      <w:rPr>
        <w:rtl/>
        <w:c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20518656"/>
      <w:docPartObj>
        <w:docPartGallery w:val="Page Numbers (Bottom of Page)"/>
        <w:docPartUnique/>
      </w:docPartObj>
    </w:sdtPr>
    <w:sdtEndPr>
      <w:rPr>
        <w:cs/>
      </w:rPr>
    </w:sdtEndPr>
    <w:sdtContent>
      <w:p w:rsidR="00651E3B" w:rsidRDefault="00651E3B" w:rsidP="004905DF">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15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03253881"/>
      <w:docPartObj>
        <w:docPartGallery w:val="Page Numbers (Bottom of Page)"/>
        <w:docPartUnique/>
      </w:docPartObj>
    </w:sdtPr>
    <w:sdtEndPr>
      <w:rPr>
        <w:cs/>
      </w:rPr>
    </w:sdtEndPr>
    <w:sdtContent>
      <w:p w:rsidR="00651E3B" w:rsidRDefault="00651E3B" w:rsidP="00B2572D">
        <w:pPr>
          <w:pStyle w:val="aa"/>
          <w:ind w:left="0"/>
          <w:jc w:val="center"/>
          <w:rPr>
            <w:rtl/>
            <w:cs/>
          </w:rPr>
        </w:pPr>
        <w:r>
          <w:fldChar w:fldCharType="begin"/>
        </w:r>
        <w:r>
          <w:rPr>
            <w:rtl/>
            <w:cs/>
          </w:rPr>
          <w:instrText>PAGE   \* MERGEFORMAT</w:instrText>
        </w:r>
        <w:r>
          <w:fldChar w:fldCharType="separate"/>
        </w:r>
        <w:r w:rsidR="0003451C" w:rsidRPr="0003451C">
          <w:rPr>
            <w:noProof/>
            <w:rtl/>
            <w:lang w:val="he-IL"/>
          </w:rPr>
          <w:t>41</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B2572D">
    <w:pPr>
      <w:pStyle w:val="aa"/>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FA692AF" wp14:editId="2456073D">
              <wp:simplePos x="0" y="0"/>
              <wp:positionH relativeFrom="margin">
                <wp:posOffset>46209</wp:posOffset>
              </wp:positionH>
              <wp:positionV relativeFrom="paragraph">
                <wp:posOffset>34583</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651E3B" w:rsidRDefault="00651E3B" w:rsidP="00B2572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A692AF" id="_x0000_t202" coordsize="21600,21600" o:spt="202" path="m,l,21600r21600,l21600,xe">
              <v:stroke joinstyle="miter"/>
              <v:path gradientshapeok="t" o:connecttype="rect"/>
            </v:shapetype>
            <v:shape id="תיבת טקסט 4" o:spid="_x0000_s1035" type="#_x0000_t202" style="position:absolute;left:0;text-align:left;margin-left:3.65pt;margin-top:2.7pt;width:78.95pt;height:2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" strokeweight="1.25pt">
              <v:textbox>
                <w:txbxContent>
                  <w:p w:rsidR="00651E3B" w:rsidRDefault="00651E3B" w:rsidP="00B2572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3606377" wp14:editId="73D47776">
              <wp:simplePos x="0" y="0"/>
              <wp:positionH relativeFrom="margin">
                <wp:posOffset>4290778</wp:posOffset>
              </wp:positionH>
              <wp:positionV relativeFrom="paragraph">
                <wp:posOffset>-53403</wp:posOffset>
              </wp:positionV>
              <wp:extent cx="1511935" cy="460375"/>
              <wp:effectExtent l="0" t="0" r="0" b="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B2572D">
                          <w:pPr>
                            <w:ind w:left="0"/>
                            <w:jc w:val="center"/>
                            <w:rPr>
                              <w:b/>
                              <w:bCs/>
                              <w:sz w:val="16"/>
                              <w:szCs w:val="16"/>
                            </w:rPr>
                          </w:pPr>
                          <w:r>
                            <w:rPr>
                              <w:b/>
                              <w:bCs/>
                              <w:sz w:val="16"/>
                              <w:szCs w:val="16"/>
                              <w:rtl/>
                            </w:rPr>
                            <w:t>שלמה הנדל - בית הלל</w:t>
                          </w:r>
                        </w:p>
                        <w:p w:rsidR="00651E3B" w:rsidRDefault="00651E3B" w:rsidP="00B2572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606377" id="תיבת טקסט 6" o:spid="_x0000_s1036" type="#_x0000_t202" style="position:absolute;left:0;text-align:left;margin-left:337.85pt;margin-top:-4.2pt;width:119.05pt;height:36.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" stroked="f">
              <v:textbox>
                <w:txbxContent>
                  <w:p w:rsidR="00651E3B" w:rsidRDefault="00651E3B" w:rsidP="00B2572D">
                    <w:pPr>
                      <w:ind w:left="0"/>
                      <w:jc w:val="center"/>
                      <w:rPr>
                        <w:b/>
                        <w:bCs/>
                        <w:sz w:val="16"/>
                        <w:szCs w:val="16"/>
                      </w:rPr>
                    </w:pPr>
                    <w:r>
                      <w:rPr>
                        <w:b/>
                        <w:bCs/>
                        <w:sz w:val="16"/>
                        <w:szCs w:val="16"/>
                        <w:rtl/>
                      </w:rPr>
                      <w:t>שלמה הנדל - בית הלל</w:t>
                    </w:r>
                  </w:p>
                  <w:p w:rsidR="00651E3B" w:rsidRDefault="00651E3B" w:rsidP="00B2572D">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B2572D">
    <w:pPr>
      <w:pStyle w:val="aa"/>
      <w:rPr>
        <w:rtl/>
        <w:cs/>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B0BD2" w:rsidRDefault="00651E3B" w:rsidP="008B580C">
    <w:pPr>
      <w:pStyle w:val="aa"/>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55F5ED7" wp14:editId="46C637DF">
              <wp:simplePos x="0" y="0"/>
              <wp:positionH relativeFrom="margin">
                <wp:posOffset>4290778</wp:posOffset>
              </wp:positionH>
              <wp:positionV relativeFrom="paragraph">
                <wp:posOffset>-53403</wp:posOffset>
              </wp:positionV>
              <wp:extent cx="1511935" cy="460375"/>
              <wp:effectExtent l="0" t="0" r="0" b="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E3B" w:rsidRDefault="00651E3B" w:rsidP="008B580C">
                          <w:pPr>
                            <w:ind w:left="0"/>
                            <w:jc w:val="center"/>
                            <w:rPr>
                              <w:b/>
                              <w:bCs/>
                              <w:sz w:val="16"/>
                              <w:szCs w:val="16"/>
                            </w:rPr>
                          </w:pPr>
                          <w:r>
                            <w:rPr>
                              <w:b/>
                              <w:bCs/>
                              <w:sz w:val="16"/>
                              <w:szCs w:val="16"/>
                              <w:rtl/>
                            </w:rPr>
                            <w:t>שלמה הנדל - בית הלל</w:t>
                          </w:r>
                        </w:p>
                        <w:p w:rsidR="00651E3B" w:rsidRDefault="00651E3B" w:rsidP="008B580C">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F5ED7" id="_x0000_t202" coordsize="21600,21600" o:spt="202" path="m,l,21600r21600,l21600,xe">
              <v:stroke joinstyle="miter"/>
              <v:path gradientshapeok="t" o:connecttype="rect"/>
            </v:shapetype>
            <v:shape id="תיבת טקסט 11" o:spid="_x0000_s1037" type="#_x0000_t202" style="position:absolute;left:0;text-align:left;margin-left:337.85pt;margin-top:-4.2pt;width:119.05pt;height:3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Br5uRgnQIAACEFAAAOAAAAAAAAAAAAAAAAAC4CAABkcnMv&#10;ZTJvRG9jLnhtbFBLAQItABQABgAIAAAAIQCYiJ2/3gAAAAkBAAAPAAAAAAAAAAAAAAAAAPcEAABk&#10;cnMvZG93bnJldi54bWxQSwUGAAAAAAQABADzAAAAAgYAAAAA&#10;" stroked="f">
              <v:textbox>
                <w:txbxContent>
                  <w:p w:rsidR="00651E3B" w:rsidRDefault="00651E3B" w:rsidP="008B580C">
                    <w:pPr>
                      <w:ind w:left="0"/>
                      <w:jc w:val="center"/>
                      <w:rPr>
                        <w:b/>
                        <w:bCs/>
                        <w:sz w:val="16"/>
                        <w:szCs w:val="16"/>
                      </w:rPr>
                    </w:pPr>
                    <w:r>
                      <w:rPr>
                        <w:b/>
                        <w:bCs/>
                        <w:sz w:val="16"/>
                        <w:szCs w:val="16"/>
                        <w:rtl/>
                      </w:rPr>
                      <w:t>שלמה הנדל - בית הלל</w:t>
                    </w:r>
                  </w:p>
                  <w:p w:rsidR="00651E3B" w:rsidRDefault="00651E3B" w:rsidP="008B580C">
                    <w:pPr>
                      <w:ind w:left="0"/>
                      <w:jc w:val="center"/>
                      <w:rPr>
                        <w:sz w:val="16"/>
                        <w:szCs w:val="16"/>
                      </w:rPr>
                    </w:pPr>
                    <w:r>
                      <w:rPr>
                        <w:b/>
                        <w:bCs/>
                        <w:sz w:val="16"/>
                        <w:szCs w:val="16"/>
                        <w:rtl/>
                      </w:rPr>
                      <w:t>052-7676412</w:t>
                    </w:r>
                  </w:p>
                </w:txbxContent>
              </v:textbox>
              <w10:wrap anchorx="margin"/>
            </v:shape>
          </w:pict>
        </mc:Fallback>
      </mc:AlternateContent>
    </w:r>
  </w:p>
  <w:p w:rsidR="00651E3B" w:rsidRPr="00FF38F2" w:rsidRDefault="00651E3B" w:rsidP="008B580C">
    <w:pPr>
      <w:pStyle w:val="aa"/>
      <w:rPr>
        <w:rtl/>
        <w: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2DD" w:rsidRDefault="00AA32DD" w:rsidP="00F35477">
      <w:pPr>
        <w:spacing w:line="240" w:lineRule="auto"/>
      </w:pPr>
      <w:r>
        <w:separator/>
      </w:r>
    </w:p>
    <w:p w:rsidR="00AA32DD" w:rsidRDefault="00AA32DD"/>
  </w:footnote>
  <w:footnote w:type="continuationSeparator" w:id="0">
    <w:p w:rsidR="00AA32DD" w:rsidRDefault="00AA32DD" w:rsidP="00F35477">
      <w:pPr>
        <w:spacing w:line="240" w:lineRule="auto"/>
      </w:pPr>
      <w:r>
        <w:continuationSeparator/>
      </w:r>
    </w:p>
    <w:p w:rsidR="00AA32DD" w:rsidRDefault="00AA32DD"/>
  </w:footnote>
  <w:footnote w:id="1">
    <w:p w:rsidR="00651E3B" w:rsidRDefault="00651E3B" w:rsidP="008442F8">
      <w:pPr>
        <w:pStyle w:val="ae"/>
        <w:rPr>
          <w:rtl/>
        </w:rPr>
      </w:pPr>
      <w:r>
        <w:rPr>
          <w:rStyle w:val="af0"/>
        </w:rPr>
        <w:footnoteRef/>
      </w:r>
      <w:r>
        <w:rPr>
          <w:rtl/>
        </w:rPr>
        <w:t xml:space="preserve"> עיי"ש בדברי </w:t>
      </w:r>
      <w:r w:rsidRPr="007B5154">
        <w:rPr>
          <w:rStyle w:val="affa"/>
          <w:rtl/>
        </w:rPr>
        <w:t xml:space="preserve">הראבי"ה </w:t>
      </w:r>
      <w:r>
        <w:rPr>
          <w:rtl/>
        </w:rPr>
        <w:t xml:space="preserve">דכתב בריש דבריו בשם </w:t>
      </w:r>
      <w:r w:rsidRPr="007B5154">
        <w:rPr>
          <w:rStyle w:val="affa"/>
          <w:rtl/>
        </w:rPr>
        <w:t xml:space="preserve">רבינו יצחק ב"ר שמואל </w:t>
      </w:r>
      <w:r>
        <w:rPr>
          <w:rtl/>
        </w:rPr>
        <w:t>דכל דין חנ"נ הוא רק במקום שחתיכת האיסור אינה פולטת רק לחתיכת ההיתר שיש לה דין חנ"נ, אלא האיסור פולט טעם לכל החתיכות שבקדירה, ובכל החתיכות שבקדירה יש משהו מגוף האיסור עצמו, אלא שאין באיסור שיעור בכדי לאסור את כל הקדירה, ורק החתיכה שבצד האיסור כיון שלא ניער וכיסה, היא בלעה הרבה טעם מחתיכת האיסור, עד שאין בחתיכה שבצד האיסור שישים כנגד האיסור שנבלע בה, ולכן יש לה דין חנ"נ, עד שיש בכחה לאסור את שאר החתיכות.</w:t>
      </w:r>
    </w:p>
    <w:p w:rsidR="00651E3B" w:rsidRDefault="00651E3B" w:rsidP="008442F8">
      <w:pPr>
        <w:pStyle w:val="ae"/>
        <w:rPr>
          <w:rtl/>
        </w:rPr>
      </w:pPr>
      <w:r>
        <w:rPr>
          <w:rtl/>
        </w:rPr>
        <w:t xml:space="preserve">וביאר </w:t>
      </w:r>
      <w:r w:rsidRPr="007B5154">
        <w:rPr>
          <w:rStyle w:val="affa"/>
          <w:rtl/>
        </w:rPr>
        <w:t xml:space="preserve">הראבי"ה </w:t>
      </w:r>
      <w:r>
        <w:rPr>
          <w:rtl/>
        </w:rPr>
        <w:t>דכיון שבכל החתיכות בלוע כבר משהו מגוף האיסור, החתיכה שיש לה דין חנ"נ מסייעת למשהו שבלעו שאר החתיכות לאסור את כל החתיכות שבקדירה</w:t>
      </w:r>
      <w:r>
        <w:rPr>
          <w:rFonts w:hint="cs"/>
          <w:rtl/>
        </w:rPr>
        <w:t>.</w:t>
      </w:r>
    </w:p>
    <w:p w:rsidR="00651E3B" w:rsidRDefault="00651E3B" w:rsidP="008442F8">
      <w:pPr>
        <w:pStyle w:val="ae"/>
        <w:rPr>
          <w:rtl/>
        </w:rPr>
      </w:pPr>
      <w:r>
        <w:rPr>
          <w:rFonts w:hint="cs"/>
          <w:rtl/>
        </w:rPr>
        <w:t>ו</w:t>
      </w:r>
      <w:r>
        <w:rPr>
          <w:rtl/>
        </w:rPr>
        <w:t xml:space="preserve">כתב </w:t>
      </w:r>
      <w:r w:rsidRPr="007B5154">
        <w:rPr>
          <w:rStyle w:val="affa"/>
          <w:rtl/>
        </w:rPr>
        <w:t xml:space="preserve">הראבי"ה </w:t>
      </w:r>
      <w:r>
        <w:rPr>
          <w:rFonts w:hint="cs"/>
          <w:rtl/>
        </w:rPr>
        <w:t>ד</w:t>
      </w:r>
      <w:r>
        <w:rPr>
          <w:rtl/>
        </w:rPr>
        <w:t>אף כשסילק את האיסור, עדיין יש כח בחתיכה שיש לה דין חנ"נ להצטרף למשהו האיסור, הבלוע בשאר החתיכות, ולאסור את כל הקדירה, דבכה"ג חשיב שהאיסור עדיין בעין</w:t>
      </w:r>
      <w:r>
        <w:rPr>
          <w:rFonts w:hint="cs"/>
          <w:rtl/>
        </w:rPr>
        <w:t xml:space="preserve">, </w:t>
      </w:r>
      <w:r>
        <w:rPr>
          <w:rtl/>
        </w:rPr>
        <w:t xml:space="preserve">אך כתב </w:t>
      </w:r>
      <w:r w:rsidRPr="007B5154">
        <w:rPr>
          <w:rStyle w:val="affa"/>
          <w:rtl/>
        </w:rPr>
        <w:t xml:space="preserve">הראבי"ה </w:t>
      </w:r>
      <w:r>
        <w:rPr>
          <w:rtl/>
        </w:rPr>
        <w:t>דהיינו דוקא אם החתיכה שיש לה דין חנ"נ בלעה כ"כ הרבה מהאיסור, עד שיש בכחה להבליע משהו מהאיסור בכל החתיכות, ועדיין ישאר בה איסור בלוע שאין בה שיעור שישים כנגד הבלוע בה, אבל אם האיסור נתן רק טעם בחתיכת ההיתר שבצדה, אך אין בכחה להפליט משהו איסור לשאר החתיכות, בכה"ג אינה יש לה דין חנ"נ</w:t>
      </w:r>
      <w:r>
        <w:rPr>
          <w:rFonts w:hint="cs"/>
          <w:rtl/>
        </w:rPr>
        <w:t>.</w:t>
      </w:r>
    </w:p>
    <w:p w:rsidR="00651E3B" w:rsidRDefault="00651E3B" w:rsidP="008442F8">
      <w:pPr>
        <w:pStyle w:val="ae"/>
        <w:rPr>
          <w:rtl/>
        </w:rPr>
      </w:pPr>
      <w:r>
        <w:rPr>
          <w:rtl/>
        </w:rPr>
        <w:t xml:space="preserve">וע"ז כתב </w:t>
      </w:r>
      <w:r w:rsidRPr="007B5154">
        <w:rPr>
          <w:rStyle w:val="affa"/>
          <w:rtl/>
        </w:rPr>
        <w:t xml:space="preserve">הראבי"ה </w:t>
      </w:r>
      <w:r>
        <w:rPr>
          <w:rtl/>
        </w:rPr>
        <w:t xml:space="preserve">דכן מבואר בדברי </w:t>
      </w:r>
      <w:r w:rsidRPr="007B5154">
        <w:rPr>
          <w:rStyle w:val="affa"/>
          <w:rtl/>
        </w:rPr>
        <w:t xml:space="preserve">רש"י </w:t>
      </w:r>
      <w:r>
        <w:rPr>
          <w:rtl/>
        </w:rPr>
        <w:t xml:space="preserve">וכדהביא </w:t>
      </w:r>
      <w:r w:rsidRPr="007B5154">
        <w:rPr>
          <w:rStyle w:val="affa"/>
          <w:rtl/>
        </w:rPr>
        <w:t xml:space="preserve">המרדכי </w:t>
      </w:r>
      <w:r>
        <w:rPr>
          <w:rtl/>
        </w:rPr>
        <w:t>בשמו דבחציה ברוטב אין פעפוע האיסור מגיע לחצי שבתוך הרוטב, דאי היה מגיע</w:t>
      </w:r>
      <w:r>
        <w:rPr>
          <w:rFonts w:hint="cs"/>
          <w:rtl/>
        </w:rPr>
        <w:t xml:space="preserve"> הפעפוע לרוטב,</w:t>
      </w:r>
      <w:r>
        <w:rPr>
          <w:rtl/>
        </w:rPr>
        <w:t xml:space="preserve"> היה הרוטב מבלבל את האיסור בכל הקדירה, וא"כ אפילו משהו מגוף האיסור אינו מגיע לשאר החתיכות שבקדירה, והוסיף </w:t>
      </w:r>
      <w:r w:rsidRPr="007B5154">
        <w:rPr>
          <w:rStyle w:val="affa"/>
          <w:rtl/>
        </w:rPr>
        <w:t xml:space="preserve">הראבי"ה </w:t>
      </w:r>
      <w:r>
        <w:rPr>
          <w:rtl/>
        </w:rPr>
        <w:t xml:space="preserve">דחצי החתיכה שמחוץ לרוטב אינה יש לה דין חנ"נ, וע"ז כתב </w:t>
      </w:r>
      <w:r w:rsidRPr="007B5154">
        <w:rPr>
          <w:rStyle w:val="affa"/>
          <w:rtl/>
        </w:rPr>
        <w:t xml:space="preserve">המרדכי </w:t>
      </w:r>
      <w:r w:rsidRPr="007D2B5B">
        <w:rPr>
          <w:rStyle w:val="aff6"/>
          <w:rFonts w:hint="cs"/>
          <w:rtl/>
        </w:rPr>
        <w:t xml:space="preserve">(עי' אות </w:t>
      </w:r>
      <w:r w:rsidRPr="007D2B5B">
        <w:rPr>
          <w:rStyle w:val="aff6"/>
          <w:rtl/>
        </w:rPr>
        <w:fldChar w:fldCharType="begin"/>
      </w:r>
      <w:r w:rsidRPr="007D2B5B">
        <w:rPr>
          <w:rStyle w:val="aff6"/>
          <w:rtl/>
        </w:rPr>
        <w:instrText xml:space="preserve"> </w:instrText>
      </w:r>
      <w:r w:rsidRPr="007D2B5B">
        <w:rPr>
          <w:rStyle w:val="aff6"/>
          <w:rFonts w:hint="cs"/>
        </w:rPr>
        <w:instrText>REF</w:instrText>
      </w:r>
      <w:r w:rsidRPr="007D2B5B">
        <w:rPr>
          <w:rStyle w:val="aff6"/>
          <w:rFonts w:hint="cs"/>
          <w:rtl/>
        </w:rPr>
        <w:instrText xml:space="preserve"> _</w:instrText>
      </w:r>
      <w:r w:rsidRPr="007D2B5B">
        <w:rPr>
          <w:rStyle w:val="aff6"/>
          <w:rFonts w:hint="cs"/>
        </w:rPr>
        <w:instrText>Ref8728216 \r \h</w:instrText>
      </w:r>
      <w:r w:rsidRPr="007D2B5B">
        <w:rPr>
          <w:rStyle w:val="aff6"/>
          <w:rtl/>
        </w:rPr>
        <w:instrText xml:space="preserve"> </w:instrText>
      </w:r>
      <w:r w:rsidRPr="007D2B5B">
        <w:rPr>
          <w:rStyle w:val="aff6"/>
          <w:rtl/>
        </w:rPr>
      </w:r>
      <w:r w:rsidRPr="007D2B5B">
        <w:rPr>
          <w:rStyle w:val="aff6"/>
          <w:rtl/>
        </w:rPr>
        <w:fldChar w:fldCharType="separate"/>
      </w:r>
      <w:r>
        <w:rPr>
          <w:rStyle w:val="aff6"/>
          <w:cs/>
        </w:rPr>
        <w:t>‎</w:t>
      </w:r>
      <w:r>
        <w:rPr>
          <w:rStyle w:val="aff6"/>
          <w:rtl/>
        </w:rPr>
        <w:t>עה)</w:t>
      </w:r>
      <w:r w:rsidRPr="007D2B5B">
        <w:rPr>
          <w:rStyle w:val="aff6"/>
          <w:rtl/>
        </w:rPr>
        <w:fldChar w:fldCharType="end"/>
      </w:r>
      <w:r>
        <w:rPr>
          <w:rFonts w:hint="cs"/>
          <w:rtl/>
        </w:rPr>
        <w:t xml:space="preserve"> </w:t>
      </w:r>
      <w:r>
        <w:rPr>
          <w:rtl/>
        </w:rPr>
        <w:t xml:space="preserve">דנראה דס"ל כדעת </w:t>
      </w:r>
      <w:r w:rsidRPr="007D2B5B">
        <w:rPr>
          <w:rStyle w:val="affa"/>
          <w:rtl/>
        </w:rPr>
        <w:t>הר"</w:t>
      </w:r>
      <w:r w:rsidRPr="007B5154">
        <w:rPr>
          <w:rStyle w:val="affa"/>
          <w:rtl/>
        </w:rPr>
        <w:t>א ממי"ץ</w:t>
      </w:r>
      <w:r>
        <w:rPr>
          <w:rtl/>
        </w:rPr>
        <w:t>.</w:t>
      </w:r>
    </w:p>
  </w:footnote>
  <w:footnote w:id="2">
    <w:p w:rsidR="00651E3B" w:rsidRDefault="00651E3B" w:rsidP="008442F8">
      <w:pPr>
        <w:pStyle w:val="ae"/>
        <w:rPr>
          <w:rtl/>
        </w:rPr>
      </w:pPr>
      <w:r>
        <w:rPr>
          <w:rStyle w:val="af0"/>
        </w:rPr>
        <w:footnoteRef/>
      </w:r>
      <w:r>
        <w:rPr>
          <w:rtl/>
        </w:rPr>
        <w:t xml:space="preserve"> </w:t>
      </w:r>
      <w:r w:rsidRPr="009F5B19">
        <w:rPr>
          <w:rtl/>
        </w:rPr>
        <w:t xml:space="preserve">עיי"ש בדברי </w:t>
      </w:r>
      <w:r w:rsidRPr="009F5B19">
        <w:rPr>
          <w:rStyle w:val="affa"/>
          <w:rtl/>
        </w:rPr>
        <w:t>האו"ז</w:t>
      </w:r>
      <w:r w:rsidRPr="009F5B19">
        <w:rPr>
          <w:rtl/>
        </w:rPr>
        <w:t xml:space="preserve"> דהביא </w:t>
      </w:r>
      <w:r>
        <w:rPr>
          <w:rFonts w:hint="cs"/>
          <w:rtl/>
        </w:rPr>
        <w:t xml:space="preserve">בתחילה את לשון </w:t>
      </w:r>
      <w:r w:rsidRPr="00C438CD">
        <w:rPr>
          <w:rStyle w:val="affa"/>
          <w:rFonts w:hint="cs"/>
          <w:rtl/>
        </w:rPr>
        <w:t>רש"י</w:t>
      </w:r>
      <w:r>
        <w:rPr>
          <w:rFonts w:hint="cs"/>
          <w:rtl/>
        </w:rPr>
        <w:t xml:space="preserve"> דקולף היינו שחותך את העליון עד שמגיע לגיד, והביא </w:t>
      </w:r>
      <w:r w:rsidRPr="00C438CD">
        <w:rPr>
          <w:rStyle w:val="affa"/>
          <w:rFonts w:hint="cs"/>
          <w:rtl/>
        </w:rPr>
        <w:t>האו"ז</w:t>
      </w:r>
      <w:r>
        <w:rPr>
          <w:rFonts w:hint="cs"/>
          <w:rtl/>
        </w:rPr>
        <w:t xml:space="preserve"> </w:t>
      </w:r>
      <w:r w:rsidRPr="009F5B19">
        <w:rPr>
          <w:rtl/>
        </w:rPr>
        <w:t xml:space="preserve">את דעת </w:t>
      </w:r>
      <w:r w:rsidRPr="009F5B19">
        <w:rPr>
          <w:rStyle w:val="affa"/>
          <w:rtl/>
        </w:rPr>
        <w:t>רבינו יצחק ב"ר שמואל</w:t>
      </w:r>
      <w:r w:rsidRPr="009F5B19">
        <w:rPr>
          <w:rtl/>
        </w:rPr>
        <w:t xml:space="preserve"> דס"ל </w:t>
      </w:r>
      <w:r w:rsidRPr="009F5B19">
        <w:rPr>
          <w:rStyle w:val="affa"/>
          <w:rtl/>
        </w:rPr>
        <w:t>כתוס'</w:t>
      </w:r>
      <w:r w:rsidRPr="009F5B19">
        <w:rPr>
          <w:rtl/>
        </w:rPr>
        <w:t xml:space="preserve"> </w:t>
      </w:r>
      <w:r w:rsidRPr="00CB2BC9">
        <w:rPr>
          <w:rStyle w:val="aff6"/>
          <w:rtl/>
        </w:rPr>
        <w:t xml:space="preserve">(עי' אות </w:t>
      </w:r>
      <w:r w:rsidRPr="00CB2BC9">
        <w:rPr>
          <w:rStyle w:val="aff6"/>
          <w:rtl/>
        </w:rPr>
        <w:fldChar w:fldCharType="begin"/>
      </w:r>
      <w:r w:rsidRPr="00CB2BC9">
        <w:rPr>
          <w:rStyle w:val="aff6"/>
          <w:rtl/>
        </w:rPr>
        <w:instrText xml:space="preserve"> </w:instrText>
      </w:r>
      <w:r w:rsidRPr="00CB2BC9">
        <w:rPr>
          <w:rStyle w:val="aff6"/>
        </w:rPr>
        <w:instrText>REF</w:instrText>
      </w:r>
      <w:r w:rsidRPr="00CB2BC9">
        <w:rPr>
          <w:rStyle w:val="aff6"/>
          <w:rtl/>
        </w:rPr>
        <w:instrText xml:space="preserve"> _</w:instrText>
      </w:r>
      <w:r w:rsidRPr="00CB2BC9">
        <w:rPr>
          <w:rStyle w:val="aff6"/>
        </w:rPr>
        <w:instrText>Ref7971141 \r \h</w:instrText>
      </w:r>
      <w:r w:rsidRPr="00CB2BC9">
        <w:rPr>
          <w:rStyle w:val="aff6"/>
          <w:rtl/>
        </w:rPr>
        <w:instrText xml:space="preserve"> </w:instrText>
      </w:r>
      <w:r w:rsidRPr="00CB2BC9">
        <w:rPr>
          <w:rStyle w:val="aff6"/>
          <w:rtl/>
        </w:rPr>
      </w:r>
      <w:r w:rsidRPr="00CB2BC9">
        <w:rPr>
          <w:rStyle w:val="aff6"/>
          <w:rtl/>
        </w:rPr>
        <w:fldChar w:fldCharType="separate"/>
      </w:r>
      <w:r>
        <w:rPr>
          <w:rStyle w:val="aff6"/>
          <w:cs/>
        </w:rPr>
        <w:t>‎</w:t>
      </w:r>
      <w:r>
        <w:rPr>
          <w:rStyle w:val="aff6"/>
          <w:rtl/>
        </w:rPr>
        <w:t>קו)</w:t>
      </w:r>
      <w:r w:rsidRPr="00CB2BC9">
        <w:rPr>
          <w:rStyle w:val="aff6"/>
          <w:rtl/>
        </w:rPr>
        <w:fldChar w:fldCharType="end"/>
      </w:r>
      <w:r w:rsidRPr="009F5B19">
        <w:rPr>
          <w:rtl/>
        </w:rPr>
        <w:t xml:space="preserve"> </w:t>
      </w:r>
      <w:r>
        <w:rPr>
          <w:rFonts w:hint="cs"/>
          <w:rtl/>
        </w:rPr>
        <w:t xml:space="preserve">דלאו דוקא עד הגיד אלא </w:t>
      </w:r>
      <w:r w:rsidRPr="009F5B19">
        <w:rPr>
          <w:rtl/>
        </w:rPr>
        <w:t xml:space="preserve">צריך להניח כדי קליפה, וכתב </w:t>
      </w:r>
      <w:r w:rsidRPr="009F5B19">
        <w:rPr>
          <w:rStyle w:val="affa"/>
          <w:rtl/>
        </w:rPr>
        <w:t>האו"ז</w:t>
      </w:r>
      <w:r w:rsidRPr="009F5B19">
        <w:rPr>
          <w:rtl/>
        </w:rPr>
        <w:t xml:space="preserve"> דבדם א"צ כדי קליפה כיון שהדם מתייבש ואינו נותן טעם בבשר, והוסיף </w:t>
      </w:r>
      <w:r w:rsidRPr="009F5B19">
        <w:rPr>
          <w:rStyle w:val="affa"/>
          <w:rtl/>
        </w:rPr>
        <w:t>האו"ז</w:t>
      </w:r>
      <w:r w:rsidRPr="009F5B19">
        <w:rPr>
          <w:rtl/>
        </w:rPr>
        <w:t xml:space="preserve"> </w:t>
      </w:r>
      <w:r>
        <w:rPr>
          <w:rFonts w:hint="cs"/>
          <w:rtl/>
        </w:rPr>
        <w:t xml:space="preserve">מיהו </w:t>
      </w:r>
      <w:r w:rsidRPr="009F5B19">
        <w:rPr>
          <w:rtl/>
        </w:rPr>
        <w:t xml:space="preserve">הכא נמי נראה דא"צ כדי קליפה כלל, כדמוכח מלשון </w:t>
      </w:r>
      <w:r w:rsidRPr="009F5B19">
        <w:rPr>
          <w:rStyle w:val="affa"/>
          <w:rtl/>
        </w:rPr>
        <w:t>רש"י</w:t>
      </w:r>
      <w:r w:rsidRPr="009F5B19">
        <w:rPr>
          <w:rtl/>
        </w:rPr>
        <w:t xml:space="preserve">, ומבואר דכוונתו לדברי </w:t>
      </w:r>
      <w:r w:rsidRPr="009F5B19">
        <w:rPr>
          <w:rStyle w:val="affa"/>
          <w:rtl/>
        </w:rPr>
        <w:t>רש"י</w:t>
      </w:r>
      <w:r w:rsidRPr="009F5B19">
        <w:rPr>
          <w:rtl/>
        </w:rPr>
        <w:t xml:space="preserve"> </w:t>
      </w:r>
      <w:r>
        <w:rPr>
          <w:rFonts w:hint="cs"/>
          <w:rtl/>
        </w:rPr>
        <w:t xml:space="preserve">שהביא בתחילת דבריו </w:t>
      </w:r>
      <w:r w:rsidRPr="009F5B19">
        <w:rPr>
          <w:rtl/>
        </w:rPr>
        <w:t xml:space="preserve">בדין גיד, אמנם </w:t>
      </w:r>
      <w:r w:rsidRPr="009F5B19">
        <w:rPr>
          <w:rStyle w:val="affa"/>
          <w:rtl/>
        </w:rPr>
        <w:t xml:space="preserve">בהג' </w:t>
      </w:r>
      <w:r w:rsidRPr="00CB2BC9">
        <w:rPr>
          <w:rStyle w:val="affa"/>
          <w:rtl/>
        </w:rPr>
        <w:t>אשר"י</w:t>
      </w:r>
      <w:r w:rsidRPr="009F5B19">
        <w:rPr>
          <w:rtl/>
        </w:rPr>
        <w:t xml:space="preserve"> </w:t>
      </w:r>
      <w:r w:rsidRPr="00CB2BC9">
        <w:rPr>
          <w:rStyle w:val="aff6"/>
          <w:rtl/>
        </w:rPr>
        <w:t xml:space="preserve">(על הרא"ש סי' כ"ד ד"ה ולהכי) </w:t>
      </w:r>
      <w:r w:rsidRPr="009F5B19">
        <w:rPr>
          <w:rtl/>
        </w:rPr>
        <w:t xml:space="preserve">העתיק את דברי </w:t>
      </w:r>
      <w:r w:rsidRPr="009F5B19">
        <w:rPr>
          <w:rStyle w:val="affa"/>
          <w:rtl/>
        </w:rPr>
        <w:t>האו"ז</w:t>
      </w:r>
      <w:r w:rsidRPr="009F5B19">
        <w:rPr>
          <w:rtl/>
        </w:rPr>
        <w:t xml:space="preserve"> בשם </w:t>
      </w:r>
      <w:r w:rsidRPr="009F5B19">
        <w:rPr>
          <w:rStyle w:val="affa"/>
          <w:rtl/>
        </w:rPr>
        <w:t>רש"י</w:t>
      </w:r>
      <w:r w:rsidRPr="009F5B19">
        <w:rPr>
          <w:rtl/>
        </w:rPr>
        <w:t xml:space="preserve"> לענין דם</w:t>
      </w:r>
      <w:r>
        <w:rPr>
          <w:rFonts w:hint="cs"/>
          <w:rtl/>
        </w:rPr>
        <w:t>,</w:t>
      </w:r>
      <w:r w:rsidRPr="009F5B19">
        <w:rPr>
          <w:rtl/>
        </w:rPr>
        <w:t xml:space="preserve"> ולא לענין הגיד.</w:t>
      </w:r>
    </w:p>
  </w:footnote>
  <w:footnote w:id="3">
    <w:p w:rsidR="00651E3B" w:rsidRDefault="00651E3B" w:rsidP="00BE3B3A">
      <w:pPr>
        <w:pStyle w:val="ae"/>
      </w:pPr>
      <w:r>
        <w:rPr>
          <w:rStyle w:val="af0"/>
        </w:rPr>
        <w:footnoteRef/>
      </w:r>
      <w:r>
        <w:rPr>
          <w:rtl/>
        </w:rPr>
        <w:t xml:space="preserve"> </w:t>
      </w:r>
      <w:r w:rsidRPr="00CC0A41">
        <w:rPr>
          <w:rtl/>
        </w:rPr>
        <w:t xml:space="preserve">ועיי"ש בדברי </w:t>
      </w:r>
      <w:r w:rsidRPr="00CC0A41">
        <w:rPr>
          <w:rStyle w:val="affa"/>
          <w:rtl/>
        </w:rPr>
        <w:t>האור גדול</w:t>
      </w:r>
      <w:r w:rsidRPr="00CC0A41">
        <w:rPr>
          <w:rtl/>
        </w:rPr>
        <w:t xml:space="preserve"> דכתב בביאורו השני בדעת </w:t>
      </w:r>
      <w:r w:rsidRPr="00CC0A41">
        <w:rPr>
          <w:rStyle w:val="affa"/>
          <w:rtl/>
        </w:rPr>
        <w:t>רש"י</w:t>
      </w:r>
      <w:r w:rsidRPr="00CC0A41">
        <w:rPr>
          <w:rtl/>
        </w:rPr>
        <w:t xml:space="preserve"> דשיעור שישים נלמד מזרוע בשילה, ולכן צריך שישים אף במקום שאין טעם כלל.</w:t>
      </w:r>
    </w:p>
  </w:footnote>
  <w:footnote w:id="4">
    <w:p w:rsidR="00651E3B" w:rsidRDefault="00651E3B" w:rsidP="00BE3B3A">
      <w:pPr>
        <w:pStyle w:val="ae"/>
      </w:pPr>
      <w:r>
        <w:rPr>
          <w:rStyle w:val="af0"/>
        </w:rPr>
        <w:footnoteRef/>
      </w:r>
      <w:r>
        <w:rPr>
          <w:rtl/>
        </w:rPr>
        <w:t xml:space="preserve"> ועי' במה שהקשה </w:t>
      </w:r>
      <w:r w:rsidRPr="00F0761E">
        <w:rPr>
          <w:rStyle w:val="affa"/>
          <w:rtl/>
        </w:rPr>
        <w:t>האור גדול</w:t>
      </w:r>
      <w:r>
        <w:rPr>
          <w:rtl/>
        </w:rPr>
        <w:t xml:space="preserve"> </w:t>
      </w:r>
      <w:r w:rsidRPr="00F0761E">
        <w:rPr>
          <w:rStyle w:val="aff6"/>
          <w:rtl/>
        </w:rPr>
        <w:t>(סי' נ"ט</w:t>
      </w:r>
      <w:r>
        <w:rPr>
          <w:rStyle w:val="aff6"/>
          <w:rFonts w:hint="cs"/>
          <w:rtl/>
        </w:rPr>
        <w:t xml:space="preserve"> א'</w:t>
      </w:r>
      <w:r w:rsidRPr="00F0761E">
        <w:rPr>
          <w:rStyle w:val="aff6"/>
          <w:rtl/>
        </w:rPr>
        <w:t xml:space="preserve"> ד"ה אמנם בטעם)</w:t>
      </w:r>
      <w:r>
        <w:rPr>
          <w:rtl/>
        </w:rPr>
        <w:t xml:space="preserve"> על דברי </w:t>
      </w:r>
      <w:r w:rsidRPr="00F0761E">
        <w:rPr>
          <w:rStyle w:val="affa"/>
          <w:rtl/>
        </w:rPr>
        <w:t>הרמב"ן</w:t>
      </w:r>
      <w:r>
        <w:rPr>
          <w:rtl/>
        </w:rPr>
        <w:t xml:space="preserve"> בדעת</w:t>
      </w:r>
      <w:r w:rsidRPr="00F0761E">
        <w:rPr>
          <w:rStyle w:val="affa"/>
          <w:rtl/>
        </w:rPr>
        <w:t xml:space="preserve"> רש"י</w:t>
      </w:r>
      <w:r>
        <w:rPr>
          <w:rtl/>
        </w:rPr>
        <w:t xml:space="preserve"> אמאי א"א לעמוד על שיעור שישים בקדירה, </w:t>
      </w:r>
      <w:r w:rsidRPr="009D4FF9">
        <w:rPr>
          <w:sz w:val="16"/>
          <w:szCs w:val="12"/>
          <w:rtl/>
        </w:rPr>
        <w:t>[עיי"ש במה שהאריך בזה בדין קדירה],</w:t>
      </w:r>
      <w:r>
        <w:rPr>
          <w:rtl/>
        </w:rPr>
        <w:t xml:space="preserve"> וביאר </w:t>
      </w:r>
      <w:r w:rsidRPr="00F0761E">
        <w:rPr>
          <w:rStyle w:val="affa"/>
          <w:rtl/>
        </w:rPr>
        <w:t>האור גדול</w:t>
      </w:r>
      <w:r>
        <w:rPr>
          <w:rtl/>
        </w:rPr>
        <w:t xml:space="preserve"> </w:t>
      </w:r>
      <w:r w:rsidRPr="00F0761E">
        <w:rPr>
          <w:rStyle w:val="aff6"/>
          <w:rtl/>
        </w:rPr>
        <w:t xml:space="preserve">(סי' נ"ט </w:t>
      </w:r>
      <w:r>
        <w:rPr>
          <w:rStyle w:val="aff6"/>
          <w:rFonts w:hint="cs"/>
          <w:rtl/>
        </w:rPr>
        <w:t xml:space="preserve">א' </w:t>
      </w:r>
      <w:r w:rsidRPr="00F0761E">
        <w:rPr>
          <w:rStyle w:val="aff6"/>
          <w:rtl/>
        </w:rPr>
        <w:t>ד"ה עוד נראה בתו"ד)</w:t>
      </w:r>
      <w:r>
        <w:rPr>
          <w:rtl/>
        </w:rPr>
        <w:t xml:space="preserve"> דבבישל בשר של היתר בקדירה של איסור, דכל האיסור הוא מחמת פליטת הקדירה, ולא ידעינן כמה פליטה יצאה מהקדירה, לכן מהני טעימת קפילא אף בפחות משישים, דכיון שאומר הקפילא שאין בה טעם איסור, א"כ מוכח שיש בהיתר יותר משישים ממה שיצא מהאיסור, [וכד</w:t>
      </w:r>
      <w:r>
        <w:rPr>
          <w:rFonts w:hint="cs"/>
          <w:rtl/>
        </w:rPr>
        <w:t>עת</w:t>
      </w:r>
      <w:r>
        <w:rPr>
          <w:rtl/>
        </w:rPr>
        <w:t xml:space="preserve"> </w:t>
      </w:r>
      <w:r w:rsidRPr="00F0761E">
        <w:rPr>
          <w:rStyle w:val="affa"/>
          <w:rtl/>
        </w:rPr>
        <w:t>הרמב"ן</w:t>
      </w:r>
      <w:r>
        <w:rPr>
          <w:rtl/>
        </w:rPr>
        <w:t xml:space="preserve"> </w:t>
      </w:r>
      <w:r w:rsidRPr="003D6D60">
        <w:rPr>
          <w:rStyle w:val="aff6"/>
          <w:rtl/>
        </w:rPr>
        <w:t xml:space="preserve">(עי' אות </w:t>
      </w:r>
      <w:r w:rsidRPr="003D6D60">
        <w:rPr>
          <w:rStyle w:val="aff6"/>
          <w:rtl/>
        </w:rPr>
        <w:fldChar w:fldCharType="begin"/>
      </w:r>
      <w:r w:rsidRPr="003D6D60">
        <w:rPr>
          <w:rStyle w:val="aff6"/>
          <w:rtl/>
        </w:rPr>
        <w:instrText xml:space="preserve"> </w:instrText>
      </w:r>
      <w:r w:rsidRPr="003D6D60">
        <w:rPr>
          <w:rStyle w:val="aff6"/>
        </w:rPr>
        <w:instrText>REF</w:instrText>
      </w:r>
      <w:r w:rsidRPr="003D6D60">
        <w:rPr>
          <w:rStyle w:val="aff6"/>
          <w:rtl/>
        </w:rPr>
        <w:instrText xml:space="preserve"> _</w:instrText>
      </w:r>
      <w:r w:rsidRPr="003D6D60">
        <w:rPr>
          <w:rStyle w:val="aff6"/>
        </w:rPr>
        <w:instrText>Ref8986501 \r \h</w:instrText>
      </w:r>
      <w:r w:rsidRPr="003D6D60">
        <w:rPr>
          <w:rStyle w:val="aff6"/>
          <w:rtl/>
        </w:rPr>
        <w:instrText xml:space="preserve"> </w:instrText>
      </w:r>
      <w:r w:rsidRPr="003D6D60">
        <w:rPr>
          <w:rStyle w:val="aff6"/>
          <w:rtl/>
        </w:rPr>
      </w:r>
      <w:r w:rsidRPr="003D6D60">
        <w:rPr>
          <w:rStyle w:val="aff6"/>
          <w:rtl/>
        </w:rPr>
        <w:fldChar w:fldCharType="separate"/>
      </w:r>
      <w:r>
        <w:rPr>
          <w:rStyle w:val="aff6"/>
          <w:cs/>
        </w:rPr>
        <w:t>‎</w:t>
      </w:r>
      <w:r>
        <w:rPr>
          <w:rStyle w:val="aff6"/>
          <w:rtl/>
        </w:rPr>
        <w:t>נה)</w:t>
      </w:r>
      <w:r w:rsidRPr="003D6D60">
        <w:rPr>
          <w:rStyle w:val="aff6"/>
          <w:rtl/>
        </w:rPr>
        <w:fldChar w:fldCharType="end"/>
      </w:r>
      <w:r>
        <w:rPr>
          <w:rtl/>
        </w:rPr>
        <w:t xml:space="preserve">], אבל בחתיכה של איסור, ס"ל </w:t>
      </w:r>
      <w:r w:rsidRPr="00F0761E">
        <w:rPr>
          <w:rStyle w:val="affa"/>
          <w:rtl/>
        </w:rPr>
        <w:t>להרמב"ן</w:t>
      </w:r>
      <w:r>
        <w:rPr>
          <w:rtl/>
        </w:rPr>
        <w:t xml:space="preserve"> בדעת </w:t>
      </w:r>
      <w:r w:rsidRPr="00F0761E">
        <w:rPr>
          <w:rStyle w:val="affa"/>
          <w:rtl/>
        </w:rPr>
        <w:t>רש"י</w:t>
      </w:r>
      <w:r>
        <w:rPr>
          <w:rtl/>
        </w:rPr>
        <w:t xml:space="preserve"> דאף שסילק את האיסור עצמו, וכל מה שיצא ממנו הוא צירו ורוטבו ולא ידוע כמה יצא ממנו, מ"מ לא מהני טעימת קפילא, דכיון שאין בה טעם איסור מוכח שיש בהיתר יותר משישים להתיר את מה שיצא, דכיון שהחתיכה נותנת טעם בכל התבשיל, לכן ס"ל </w:t>
      </w:r>
      <w:r w:rsidRPr="009D4FF9">
        <w:rPr>
          <w:rStyle w:val="affa"/>
          <w:rtl/>
        </w:rPr>
        <w:t>להרמב"ן</w:t>
      </w:r>
      <w:r>
        <w:rPr>
          <w:rtl/>
        </w:rPr>
        <w:t xml:space="preserve"> בדעת </w:t>
      </w:r>
      <w:r w:rsidRPr="009D4FF9">
        <w:rPr>
          <w:rStyle w:val="affa"/>
          <w:rtl/>
        </w:rPr>
        <w:t>רש"י</w:t>
      </w:r>
      <w:r>
        <w:rPr>
          <w:rtl/>
        </w:rPr>
        <w:t xml:space="preserve"> דחשיב כאילו נימו</w:t>
      </w:r>
      <w:r>
        <w:rPr>
          <w:rFonts w:hint="cs"/>
          <w:rtl/>
        </w:rPr>
        <w:t>ח</w:t>
      </w:r>
      <w:r>
        <w:rPr>
          <w:rtl/>
        </w:rPr>
        <w:t xml:space="preserve">ה החתיכה, וצריך שישים כנגד כולה ולא מהני טעימת קפילא, וכדביאר </w:t>
      </w:r>
      <w:r w:rsidRPr="009D4FF9">
        <w:rPr>
          <w:rStyle w:val="affa"/>
          <w:rtl/>
        </w:rPr>
        <w:t>הרמב"ן</w:t>
      </w:r>
      <w:r>
        <w:rPr>
          <w:rtl/>
        </w:rPr>
        <w:t xml:space="preserve"> </w:t>
      </w:r>
      <w:r w:rsidRPr="003D6D60">
        <w:rPr>
          <w:rStyle w:val="aff6"/>
          <w:rtl/>
        </w:rPr>
        <w:t xml:space="preserve">(עי' אות </w:t>
      </w:r>
      <w:r w:rsidRPr="003D6D60">
        <w:rPr>
          <w:rStyle w:val="aff6"/>
          <w:rtl/>
        </w:rPr>
        <w:fldChar w:fldCharType="begin"/>
      </w:r>
      <w:r w:rsidRPr="003D6D60">
        <w:rPr>
          <w:rStyle w:val="aff6"/>
          <w:rtl/>
        </w:rPr>
        <w:instrText xml:space="preserve"> </w:instrText>
      </w:r>
      <w:r w:rsidRPr="003D6D60">
        <w:rPr>
          <w:rStyle w:val="aff6"/>
        </w:rPr>
        <w:instrText>REF</w:instrText>
      </w:r>
      <w:r w:rsidRPr="003D6D60">
        <w:rPr>
          <w:rStyle w:val="aff6"/>
          <w:rtl/>
        </w:rPr>
        <w:instrText xml:space="preserve"> _</w:instrText>
      </w:r>
      <w:r w:rsidRPr="003D6D60">
        <w:rPr>
          <w:rStyle w:val="aff6"/>
        </w:rPr>
        <w:instrText>Ref8986546 \r \h</w:instrText>
      </w:r>
      <w:r w:rsidRPr="003D6D60">
        <w:rPr>
          <w:rStyle w:val="aff6"/>
          <w:rtl/>
        </w:rPr>
        <w:instrText xml:space="preserve"> </w:instrText>
      </w:r>
      <w:r w:rsidRPr="003D6D60">
        <w:rPr>
          <w:rStyle w:val="aff6"/>
          <w:rtl/>
        </w:rPr>
      </w:r>
      <w:r w:rsidRPr="003D6D60">
        <w:rPr>
          <w:rStyle w:val="aff6"/>
          <w:rtl/>
        </w:rPr>
        <w:fldChar w:fldCharType="separate"/>
      </w:r>
      <w:r>
        <w:rPr>
          <w:rStyle w:val="aff6"/>
          <w:cs/>
        </w:rPr>
        <w:t>‎</w:t>
      </w:r>
      <w:r>
        <w:rPr>
          <w:rStyle w:val="aff6"/>
          <w:rtl/>
        </w:rPr>
        <w:t>נא)</w:t>
      </w:r>
      <w:r w:rsidRPr="003D6D60">
        <w:rPr>
          <w:rStyle w:val="aff6"/>
          <w:rtl/>
        </w:rPr>
        <w:fldChar w:fldCharType="end"/>
      </w:r>
      <w:r>
        <w:rPr>
          <w:rStyle w:val="aff6"/>
          <w:rFonts w:hint="cs"/>
          <w:rtl/>
        </w:rPr>
        <w:t xml:space="preserve">, </w:t>
      </w:r>
      <w:r>
        <w:rPr>
          <w:rFonts w:hint="cs"/>
          <w:rtl/>
        </w:rPr>
        <w:t xml:space="preserve">אך </w:t>
      </w:r>
      <w:r>
        <w:rPr>
          <w:rtl/>
        </w:rPr>
        <w:t xml:space="preserve">כתב </w:t>
      </w:r>
      <w:r w:rsidRPr="00F0761E">
        <w:rPr>
          <w:rStyle w:val="affa"/>
          <w:rtl/>
        </w:rPr>
        <w:t>האור גדול דהרמב"ן</w:t>
      </w:r>
      <w:r>
        <w:rPr>
          <w:rtl/>
        </w:rPr>
        <w:t xml:space="preserve"> גופיה פליג בזה על </w:t>
      </w:r>
      <w:r w:rsidRPr="00F0761E">
        <w:rPr>
          <w:rStyle w:val="affa"/>
          <w:rtl/>
        </w:rPr>
        <w:t>רש"י</w:t>
      </w:r>
      <w:r>
        <w:rPr>
          <w:rtl/>
        </w:rPr>
        <w:t xml:space="preserve">, וכדביאר </w:t>
      </w:r>
      <w:r w:rsidRPr="00F0761E">
        <w:rPr>
          <w:rStyle w:val="affa"/>
          <w:rtl/>
        </w:rPr>
        <w:t>הרמב"ן</w:t>
      </w:r>
      <w:r>
        <w:rPr>
          <w:rtl/>
        </w:rPr>
        <w:t xml:space="preserve"> </w:t>
      </w:r>
      <w:r w:rsidRPr="003D6D60">
        <w:rPr>
          <w:rStyle w:val="aff6"/>
          <w:rtl/>
        </w:rPr>
        <w:t xml:space="preserve">(עי' אות </w:t>
      </w:r>
      <w:r w:rsidRPr="003D6D60">
        <w:rPr>
          <w:rStyle w:val="aff6"/>
          <w:rtl/>
        </w:rPr>
        <w:fldChar w:fldCharType="begin"/>
      </w:r>
      <w:r w:rsidRPr="003D6D60">
        <w:rPr>
          <w:rStyle w:val="aff6"/>
          <w:rtl/>
        </w:rPr>
        <w:instrText xml:space="preserve"> </w:instrText>
      </w:r>
      <w:r w:rsidRPr="003D6D60">
        <w:rPr>
          <w:rStyle w:val="aff6"/>
        </w:rPr>
        <w:instrText>REF</w:instrText>
      </w:r>
      <w:r w:rsidRPr="003D6D60">
        <w:rPr>
          <w:rStyle w:val="aff6"/>
          <w:rtl/>
        </w:rPr>
        <w:instrText xml:space="preserve"> _</w:instrText>
      </w:r>
      <w:r w:rsidRPr="003D6D60">
        <w:rPr>
          <w:rStyle w:val="aff6"/>
        </w:rPr>
        <w:instrText>Ref8986565 \r \h</w:instrText>
      </w:r>
      <w:r w:rsidRPr="003D6D60">
        <w:rPr>
          <w:rStyle w:val="aff6"/>
          <w:rtl/>
        </w:rPr>
        <w:instrText xml:space="preserve"> </w:instrText>
      </w:r>
      <w:r w:rsidRPr="003D6D60">
        <w:rPr>
          <w:rStyle w:val="aff6"/>
          <w:rtl/>
        </w:rPr>
      </w:r>
      <w:r w:rsidRPr="003D6D60">
        <w:rPr>
          <w:rStyle w:val="aff6"/>
          <w:rtl/>
        </w:rPr>
        <w:fldChar w:fldCharType="separate"/>
      </w:r>
      <w:r>
        <w:rPr>
          <w:rStyle w:val="aff6"/>
          <w:cs/>
        </w:rPr>
        <w:t>‎</w:t>
      </w:r>
      <w:r>
        <w:rPr>
          <w:rStyle w:val="aff6"/>
          <w:rtl/>
        </w:rPr>
        <w:t>נב)</w:t>
      </w:r>
      <w:r w:rsidRPr="003D6D60">
        <w:rPr>
          <w:rStyle w:val="aff6"/>
          <w:rtl/>
        </w:rPr>
        <w:fldChar w:fldCharType="end"/>
      </w:r>
      <w:r>
        <w:rPr>
          <w:rtl/>
        </w:rPr>
        <w:t xml:space="preserve"> דאף בחתיכה עצמה כל שהיא ניכרת וסילק את גוף האיסור, מהני קפילא להתיר אף בפחות משישים, דכיון שאין בה טעם איסור, מוכח שיש בהיתר יותר משישים ממה שיצא מהאיסור.</w:t>
      </w:r>
    </w:p>
  </w:footnote>
  <w:footnote w:id="5">
    <w:p w:rsidR="00651E3B" w:rsidRDefault="00651E3B" w:rsidP="00BE3B3A">
      <w:pPr>
        <w:pStyle w:val="ae"/>
        <w:rPr>
          <w:rtl/>
        </w:rPr>
      </w:pPr>
      <w:r>
        <w:rPr>
          <w:rStyle w:val="af0"/>
        </w:rPr>
        <w:footnoteRef/>
      </w:r>
      <w:r>
        <w:rPr>
          <w:rtl/>
        </w:rPr>
        <w:t xml:space="preserve"> </w:t>
      </w:r>
      <w:r>
        <w:rPr>
          <w:rFonts w:hint="cs"/>
          <w:rtl/>
        </w:rPr>
        <w:t>שמעתי לבאר דהכהן עוסק בכך תמיד, כיון שכהן רגיל לאכול בביתו תרומה, וכשבא ישראל או טמא לביתו, רגיל הכהן לטעום אם יש בתבשיל טעם תרומה.</w:t>
      </w:r>
    </w:p>
  </w:footnote>
  <w:footnote w:id="6">
    <w:p w:rsidR="00651E3B" w:rsidRDefault="00651E3B" w:rsidP="00BE3B3A">
      <w:pPr>
        <w:pStyle w:val="ae"/>
      </w:pPr>
      <w:r>
        <w:rPr>
          <w:rStyle w:val="af0"/>
        </w:rPr>
        <w:footnoteRef/>
      </w:r>
      <w:r>
        <w:rPr>
          <w:rtl/>
        </w:rPr>
        <w:t xml:space="preserve"> </w:t>
      </w:r>
      <w:r w:rsidRPr="00C412C9">
        <w:rPr>
          <w:rStyle w:val="affa"/>
          <w:rFonts w:hint="cs"/>
          <w:rtl/>
        </w:rPr>
        <w:t>הגר"א</w:t>
      </w:r>
      <w:r>
        <w:rPr>
          <w:rFonts w:hint="cs"/>
          <w:rtl/>
        </w:rPr>
        <w:t xml:space="preserve"> כתב דהנאמנות היא מצד דעבידא לאיגלויי, אך </w:t>
      </w:r>
      <w:r w:rsidRPr="00C412C9">
        <w:rPr>
          <w:rStyle w:val="affa"/>
          <w:rFonts w:hint="cs"/>
          <w:rtl/>
        </w:rPr>
        <w:t>הגר"א</w:t>
      </w:r>
      <w:r>
        <w:rPr>
          <w:rFonts w:hint="cs"/>
          <w:rtl/>
        </w:rPr>
        <w:t xml:space="preserve"> ציין בפירוש לדברי </w:t>
      </w:r>
      <w:r w:rsidRPr="00C412C9">
        <w:rPr>
          <w:rStyle w:val="affa"/>
          <w:rFonts w:hint="cs"/>
          <w:rtl/>
        </w:rPr>
        <w:t>הריב"ש</w:t>
      </w:r>
      <w:r>
        <w:rPr>
          <w:rFonts w:hint="cs"/>
          <w:rtl/>
        </w:rPr>
        <w:t xml:space="preserve"> בסי' רפ"ח </w:t>
      </w:r>
      <w:r w:rsidRPr="00C412C9">
        <w:rPr>
          <w:rStyle w:val="aff6"/>
          <w:rFonts w:hint="cs"/>
          <w:rtl/>
        </w:rPr>
        <w:t xml:space="preserve">(עי' אות </w:t>
      </w:r>
      <w:r w:rsidRPr="00C412C9">
        <w:rPr>
          <w:rStyle w:val="aff6"/>
          <w:rtl/>
        </w:rPr>
        <w:fldChar w:fldCharType="begin"/>
      </w:r>
      <w:r w:rsidRPr="00C412C9">
        <w:rPr>
          <w:rStyle w:val="aff6"/>
          <w:rtl/>
        </w:rPr>
        <w:instrText xml:space="preserve"> </w:instrText>
      </w:r>
      <w:r w:rsidRPr="00C412C9">
        <w:rPr>
          <w:rStyle w:val="aff6"/>
          <w:rFonts w:hint="cs"/>
        </w:rPr>
        <w:instrText>REF</w:instrText>
      </w:r>
      <w:r w:rsidRPr="00C412C9">
        <w:rPr>
          <w:rStyle w:val="aff6"/>
          <w:rFonts w:hint="cs"/>
          <w:rtl/>
        </w:rPr>
        <w:instrText xml:space="preserve"> _</w:instrText>
      </w:r>
      <w:r w:rsidRPr="00C412C9">
        <w:rPr>
          <w:rStyle w:val="aff6"/>
          <w:rFonts w:hint="cs"/>
        </w:rPr>
        <w:instrText>Ref9145295 \r \h</w:instrText>
      </w:r>
      <w:r w:rsidRPr="00C412C9">
        <w:rPr>
          <w:rStyle w:val="aff6"/>
          <w:rtl/>
        </w:rPr>
        <w:instrText xml:space="preserve"> </w:instrText>
      </w:r>
      <w:r w:rsidRPr="00C412C9">
        <w:rPr>
          <w:rStyle w:val="aff6"/>
          <w:rtl/>
        </w:rPr>
      </w:r>
      <w:r w:rsidRPr="00C412C9">
        <w:rPr>
          <w:rStyle w:val="aff6"/>
          <w:rtl/>
        </w:rPr>
        <w:fldChar w:fldCharType="separate"/>
      </w:r>
      <w:r>
        <w:rPr>
          <w:rStyle w:val="aff6"/>
          <w:cs/>
        </w:rPr>
        <w:t>‎</w:t>
      </w:r>
      <w:r>
        <w:rPr>
          <w:rStyle w:val="aff6"/>
          <w:rtl/>
        </w:rPr>
        <w:t>קיט)</w:t>
      </w:r>
      <w:r w:rsidRPr="00C412C9">
        <w:rPr>
          <w:rStyle w:val="aff6"/>
          <w:rtl/>
        </w:rPr>
        <w:fldChar w:fldCharType="end"/>
      </w:r>
      <w:r>
        <w:rPr>
          <w:rFonts w:hint="cs"/>
          <w:rtl/>
        </w:rPr>
        <w:t xml:space="preserve"> ושם לא הזכיר </w:t>
      </w:r>
      <w:r w:rsidRPr="00C412C9">
        <w:rPr>
          <w:rStyle w:val="affa"/>
          <w:rFonts w:hint="cs"/>
          <w:rtl/>
        </w:rPr>
        <w:t>הריב"ש</w:t>
      </w:r>
      <w:r>
        <w:rPr>
          <w:rFonts w:hint="cs"/>
          <w:rtl/>
        </w:rPr>
        <w:t xml:space="preserve"> דהוא נאמן כיון דעבידא לאיגלויי, אלא דכתב שם </w:t>
      </w:r>
      <w:r w:rsidRPr="00931E93">
        <w:rPr>
          <w:rStyle w:val="affa"/>
          <w:rFonts w:hint="cs"/>
          <w:rtl/>
        </w:rPr>
        <w:t>הריב"ש בתירוצו הב'</w:t>
      </w:r>
      <w:r>
        <w:rPr>
          <w:rFonts w:hint="cs"/>
          <w:rtl/>
        </w:rPr>
        <w:t xml:space="preserve"> דלשון קפילא הוא כיון דבקי בטעם, ואילו בסי' תל"ג </w:t>
      </w:r>
      <w:r w:rsidRPr="00C412C9">
        <w:rPr>
          <w:rStyle w:val="aff6"/>
          <w:rFonts w:hint="cs"/>
          <w:rtl/>
        </w:rPr>
        <w:t xml:space="preserve">(עי' אות </w:t>
      </w:r>
      <w:r w:rsidRPr="00C412C9">
        <w:rPr>
          <w:rStyle w:val="aff6"/>
          <w:rtl/>
        </w:rPr>
        <w:fldChar w:fldCharType="begin"/>
      </w:r>
      <w:r w:rsidRPr="00C412C9">
        <w:rPr>
          <w:rStyle w:val="aff6"/>
          <w:rtl/>
        </w:rPr>
        <w:instrText xml:space="preserve"> </w:instrText>
      </w:r>
      <w:r w:rsidRPr="00C412C9">
        <w:rPr>
          <w:rStyle w:val="aff6"/>
          <w:rFonts w:hint="cs"/>
        </w:rPr>
        <w:instrText>REF</w:instrText>
      </w:r>
      <w:r w:rsidRPr="00C412C9">
        <w:rPr>
          <w:rStyle w:val="aff6"/>
          <w:rFonts w:hint="cs"/>
          <w:rtl/>
        </w:rPr>
        <w:instrText xml:space="preserve"> _</w:instrText>
      </w:r>
      <w:r w:rsidRPr="00C412C9">
        <w:rPr>
          <w:rStyle w:val="aff6"/>
          <w:rFonts w:hint="cs"/>
        </w:rPr>
        <w:instrText>Ref8578246 \r \h</w:instrText>
      </w:r>
      <w:r w:rsidRPr="00C412C9">
        <w:rPr>
          <w:rStyle w:val="aff6"/>
          <w:rtl/>
        </w:rPr>
        <w:instrText xml:space="preserve"> </w:instrText>
      </w:r>
      <w:r w:rsidRPr="00C412C9">
        <w:rPr>
          <w:rStyle w:val="aff6"/>
          <w:rtl/>
        </w:rPr>
      </w:r>
      <w:r w:rsidRPr="00C412C9">
        <w:rPr>
          <w:rStyle w:val="aff6"/>
          <w:rtl/>
        </w:rPr>
        <w:fldChar w:fldCharType="separate"/>
      </w:r>
      <w:r>
        <w:rPr>
          <w:rStyle w:val="aff6"/>
          <w:cs/>
        </w:rPr>
        <w:t>‎</w:t>
      </w:r>
      <w:r>
        <w:rPr>
          <w:rStyle w:val="aff6"/>
          <w:rtl/>
        </w:rPr>
        <w:t>קיח)</w:t>
      </w:r>
      <w:r w:rsidRPr="00C412C9">
        <w:rPr>
          <w:rStyle w:val="aff6"/>
          <w:rtl/>
        </w:rPr>
        <w:fldChar w:fldCharType="end"/>
      </w:r>
      <w:r>
        <w:rPr>
          <w:rFonts w:hint="cs"/>
          <w:rtl/>
        </w:rPr>
        <w:t xml:space="preserve"> כתב </w:t>
      </w:r>
      <w:r w:rsidRPr="00C412C9">
        <w:rPr>
          <w:rStyle w:val="affa"/>
          <w:rFonts w:hint="cs"/>
          <w:rtl/>
        </w:rPr>
        <w:t>הריב"ש</w:t>
      </w:r>
      <w:r>
        <w:rPr>
          <w:rFonts w:hint="cs"/>
          <w:rtl/>
        </w:rPr>
        <w:t xml:space="preserve"> דהנאמנות היא מצד דעבידא לאיגלויי. </w:t>
      </w:r>
    </w:p>
  </w:footnote>
  <w:footnote w:id="7">
    <w:p w:rsidR="00651E3B" w:rsidRDefault="00651E3B" w:rsidP="00BE3B3A">
      <w:pPr>
        <w:pStyle w:val="ae"/>
      </w:pPr>
      <w:r>
        <w:rPr>
          <w:rStyle w:val="af0"/>
        </w:rPr>
        <w:footnoteRef/>
      </w:r>
      <w:r>
        <w:rPr>
          <w:rtl/>
        </w:rPr>
        <w:t xml:space="preserve"> </w:t>
      </w:r>
      <w:r>
        <w:rPr>
          <w:rFonts w:hint="cs"/>
          <w:rtl/>
        </w:rPr>
        <w:t xml:space="preserve">כ"כ השואל ומשיב בהסכמה לעבודת הגרשוני, דמ"ש הש"ך ביו"ד בשם </w:t>
      </w:r>
      <w:r w:rsidRPr="00960CAE">
        <w:rPr>
          <w:rtl/>
        </w:rPr>
        <w:t>מחותנו מ</w:t>
      </w:r>
      <w:r>
        <w:rPr>
          <w:rFonts w:hint="cs"/>
          <w:rtl/>
        </w:rPr>
        <w:t>ו</w:t>
      </w:r>
      <w:r w:rsidRPr="00960CAE">
        <w:rPr>
          <w:rtl/>
        </w:rPr>
        <w:t>הר"ר גרשון</w:t>
      </w:r>
      <w:r>
        <w:rPr>
          <w:rFonts w:hint="cs"/>
          <w:rtl/>
        </w:rPr>
        <w:t>,</w:t>
      </w:r>
      <w:r w:rsidRPr="00960CAE">
        <w:rPr>
          <w:rtl/>
        </w:rPr>
        <w:t xml:space="preserve"> </w:t>
      </w:r>
      <w:r>
        <w:rPr>
          <w:rFonts w:hint="cs"/>
          <w:rtl/>
        </w:rPr>
        <w:t>כוונתו ל</w:t>
      </w:r>
      <w:r w:rsidRPr="00960CAE">
        <w:rPr>
          <w:rtl/>
        </w:rPr>
        <w:t>בעל</w:t>
      </w:r>
      <w:r>
        <w:rPr>
          <w:rFonts w:hint="cs"/>
          <w:rtl/>
        </w:rPr>
        <w:t xml:space="preserve"> עבודת הגרשוני</w:t>
      </w:r>
      <w:r w:rsidRPr="00960CAE">
        <w:rPr>
          <w:rFonts w:hint="cs"/>
          <w:rtl/>
        </w:rPr>
        <w:t>.</w:t>
      </w:r>
    </w:p>
  </w:footnote>
  <w:footnote w:id="8">
    <w:p w:rsidR="00651E3B" w:rsidRDefault="00651E3B" w:rsidP="00B2572D">
      <w:pPr>
        <w:pStyle w:val="13"/>
        <w:rPr>
          <w:rtl/>
        </w:rPr>
      </w:pPr>
      <w:r>
        <w:rPr>
          <w:rStyle w:val="af0"/>
        </w:rPr>
        <w:footnoteRef/>
      </w:r>
      <w:r>
        <w:rPr>
          <w:rtl/>
        </w:rPr>
        <w:t xml:space="preserve"> </w:t>
      </w:r>
      <w:r w:rsidRPr="00BD6B52">
        <w:rPr>
          <w:rtl/>
        </w:rPr>
        <w:t xml:space="preserve">ועי' </w:t>
      </w:r>
      <w:r w:rsidRPr="00BD6B52">
        <w:rPr>
          <w:rStyle w:val="affa"/>
          <w:rtl/>
        </w:rPr>
        <w:t>בסידור רש"י</w:t>
      </w:r>
      <w:r w:rsidRPr="00BD6B52">
        <w:rPr>
          <w:rtl/>
        </w:rPr>
        <w:t xml:space="preserve"> </w:t>
      </w:r>
      <w:r w:rsidRPr="00BD6B52">
        <w:rPr>
          <w:rStyle w:val="aff6"/>
          <w:rtl/>
        </w:rPr>
        <w:t>(סי' תקפ"ח, הועתק בקובץ שיטות קמאי חולין ח"ג עמ' ב' אלף ר"ג)</w:t>
      </w:r>
      <w:r>
        <w:rPr>
          <w:rStyle w:val="aff6"/>
          <w:rFonts w:hint="cs"/>
          <w:rtl/>
        </w:rPr>
        <w:t xml:space="preserve"> </w:t>
      </w:r>
      <w:r w:rsidRPr="00BD6B52">
        <w:rPr>
          <w:rtl/>
        </w:rPr>
        <w:t>במה שביאר היאך משערים בחרסי הקדירה, עיי"ש.</w:t>
      </w:r>
    </w:p>
  </w:footnote>
  <w:footnote w:id="9">
    <w:p w:rsidR="00651E3B" w:rsidRPr="00AC1EA4" w:rsidRDefault="00651E3B" w:rsidP="00B2572D">
      <w:pPr>
        <w:pStyle w:val="ae"/>
        <w:rPr>
          <w:rStyle w:val="afa"/>
          <w:sz w:val="8"/>
          <w:szCs w:val="12"/>
        </w:rPr>
      </w:pPr>
      <w:r>
        <w:rPr>
          <w:rStyle w:val="af0"/>
        </w:rPr>
        <w:footnoteRef/>
      </w:r>
      <w:r>
        <w:rPr>
          <w:rtl/>
        </w:rPr>
        <w:t xml:space="preserve"> </w:t>
      </w:r>
      <w:r>
        <w:rPr>
          <w:rFonts w:hint="cs"/>
          <w:rtl/>
        </w:rPr>
        <w:t xml:space="preserve">אמנם יעוי' בדברי </w:t>
      </w:r>
      <w:r w:rsidRPr="00AC1EA4">
        <w:rPr>
          <w:rStyle w:val="affa"/>
          <w:rFonts w:hint="cs"/>
          <w:rtl/>
        </w:rPr>
        <w:t>רבינו ירוחם</w:t>
      </w:r>
      <w:r>
        <w:rPr>
          <w:rFonts w:hint="cs"/>
          <w:rtl/>
        </w:rPr>
        <w:t xml:space="preserve"> דלא כתב להדיא דכן הגירסא </w:t>
      </w:r>
      <w:r w:rsidRPr="00AC1EA4">
        <w:rPr>
          <w:rStyle w:val="affa"/>
          <w:rFonts w:hint="cs"/>
          <w:rtl/>
        </w:rPr>
        <w:t>ברש"י</w:t>
      </w:r>
      <w:r>
        <w:rPr>
          <w:rFonts w:hint="cs"/>
          <w:rtl/>
        </w:rPr>
        <w:t xml:space="preserve">, אלא כתב בשם </w:t>
      </w:r>
      <w:r w:rsidRPr="00AC1EA4">
        <w:rPr>
          <w:rStyle w:val="affa"/>
          <w:rFonts w:hint="cs"/>
          <w:rtl/>
        </w:rPr>
        <w:t>רש"י</w:t>
      </w:r>
      <w:r>
        <w:rPr>
          <w:rFonts w:hint="cs"/>
          <w:rtl/>
        </w:rPr>
        <w:t xml:space="preserve"> </w:t>
      </w:r>
      <w:r w:rsidRPr="00760523">
        <w:rPr>
          <w:rtl/>
        </w:rPr>
        <w:t xml:space="preserve">דבמקום שידוע כמה היה האיסור משערים בבלוע, ובמקום שלא ידוע כמה היה האיסור אין משערים בבלוע, כיון שגם האיסור נבלע. </w:t>
      </w:r>
      <w:r w:rsidRPr="00AC1EA4">
        <w:rPr>
          <w:rStyle w:val="afa"/>
          <w:sz w:val="8"/>
          <w:szCs w:val="12"/>
          <w:rtl/>
        </w:rPr>
        <w:t xml:space="preserve">[ולכאו' אין ראיה מדבריו לגי' </w:t>
      </w:r>
      <w:r w:rsidRPr="00C94C34">
        <w:rPr>
          <w:rStyle w:val="affa"/>
          <w:sz w:val="16"/>
          <w:szCs w:val="12"/>
          <w:rtl/>
        </w:rPr>
        <w:t>הר"ן</w:t>
      </w:r>
      <w:r w:rsidRPr="00C94C34">
        <w:rPr>
          <w:rStyle w:val="affa"/>
          <w:rFonts w:hint="cs"/>
          <w:sz w:val="16"/>
          <w:szCs w:val="12"/>
          <w:rtl/>
        </w:rPr>
        <w:t xml:space="preserve"> ברש"י</w:t>
      </w:r>
      <w:r w:rsidRPr="00AC1EA4">
        <w:rPr>
          <w:rStyle w:val="afa"/>
          <w:sz w:val="8"/>
          <w:szCs w:val="12"/>
          <w:rtl/>
        </w:rPr>
        <w:t xml:space="preserve">, ואפשר לבארו כדביאר </w:t>
      </w:r>
      <w:r w:rsidRPr="00AC1EA4">
        <w:rPr>
          <w:rStyle w:val="afa"/>
          <w:b/>
          <w:bCs/>
          <w:sz w:val="8"/>
          <w:szCs w:val="12"/>
          <w:rtl/>
        </w:rPr>
        <w:t>הב"ח</w:t>
      </w:r>
      <w:r w:rsidRPr="00AC1EA4">
        <w:rPr>
          <w:rStyle w:val="afa"/>
          <w:sz w:val="8"/>
          <w:szCs w:val="12"/>
          <w:rtl/>
        </w:rPr>
        <w:t xml:space="preserve"> </w:t>
      </w:r>
      <w:r w:rsidRPr="00AC1EA4">
        <w:rPr>
          <w:rStyle w:val="aff6"/>
          <w:sz w:val="8"/>
          <w:szCs w:val="8"/>
          <w:rtl/>
        </w:rPr>
        <w:t xml:space="preserve">(עי' אות </w:t>
      </w:r>
      <w:r w:rsidRPr="00AC1EA4">
        <w:rPr>
          <w:rStyle w:val="aff6"/>
          <w:sz w:val="8"/>
          <w:szCs w:val="8"/>
          <w:rtl/>
        </w:rPr>
        <w:fldChar w:fldCharType="begin"/>
      </w:r>
      <w:r w:rsidRPr="00AC1EA4">
        <w:rPr>
          <w:rStyle w:val="aff6"/>
          <w:sz w:val="8"/>
          <w:szCs w:val="8"/>
          <w:rtl/>
        </w:rPr>
        <w:instrText xml:space="preserve"> </w:instrText>
      </w:r>
      <w:r w:rsidRPr="00AC1EA4">
        <w:rPr>
          <w:rStyle w:val="aff6"/>
          <w:sz w:val="8"/>
          <w:szCs w:val="8"/>
        </w:rPr>
        <w:instrText>REF</w:instrText>
      </w:r>
      <w:r w:rsidRPr="00AC1EA4">
        <w:rPr>
          <w:rStyle w:val="aff6"/>
          <w:sz w:val="8"/>
          <w:szCs w:val="8"/>
          <w:rtl/>
        </w:rPr>
        <w:instrText xml:space="preserve"> _</w:instrText>
      </w:r>
      <w:r w:rsidRPr="00AC1EA4">
        <w:rPr>
          <w:rStyle w:val="aff6"/>
          <w:sz w:val="8"/>
          <w:szCs w:val="8"/>
        </w:rPr>
        <w:instrText>Ref9353092 \r \h</w:instrText>
      </w:r>
      <w:r w:rsidRPr="00AC1EA4">
        <w:rPr>
          <w:rStyle w:val="aff6"/>
          <w:sz w:val="8"/>
          <w:szCs w:val="8"/>
          <w:rtl/>
        </w:rPr>
        <w:instrText xml:space="preserve">  \* </w:instrText>
      </w:r>
      <w:r w:rsidRPr="00AC1EA4">
        <w:rPr>
          <w:rStyle w:val="aff6"/>
          <w:sz w:val="8"/>
          <w:szCs w:val="8"/>
        </w:rPr>
        <w:instrText>MERGEFORMAT</w:instrText>
      </w:r>
      <w:r w:rsidRPr="00AC1EA4">
        <w:rPr>
          <w:rStyle w:val="aff6"/>
          <w:sz w:val="8"/>
          <w:szCs w:val="8"/>
          <w:rtl/>
        </w:rPr>
        <w:instrText xml:space="preserve"> </w:instrText>
      </w:r>
      <w:r w:rsidRPr="00AC1EA4">
        <w:rPr>
          <w:rStyle w:val="aff6"/>
          <w:sz w:val="8"/>
          <w:szCs w:val="8"/>
          <w:rtl/>
        </w:rPr>
      </w:r>
      <w:r w:rsidRPr="00AC1EA4">
        <w:rPr>
          <w:rStyle w:val="aff6"/>
          <w:sz w:val="8"/>
          <w:szCs w:val="8"/>
          <w:rtl/>
        </w:rPr>
        <w:fldChar w:fldCharType="separate"/>
      </w:r>
      <w:r>
        <w:rPr>
          <w:rStyle w:val="aff6"/>
          <w:sz w:val="8"/>
          <w:szCs w:val="8"/>
          <w:cs/>
        </w:rPr>
        <w:t>‎</w:t>
      </w:r>
      <w:r>
        <w:rPr>
          <w:rStyle w:val="aff6"/>
          <w:sz w:val="8"/>
          <w:szCs w:val="8"/>
          <w:rtl/>
        </w:rPr>
        <w:t>מב)</w:t>
      </w:r>
      <w:r w:rsidRPr="00AC1EA4">
        <w:rPr>
          <w:rStyle w:val="aff6"/>
          <w:sz w:val="8"/>
          <w:szCs w:val="8"/>
          <w:rtl/>
        </w:rPr>
        <w:fldChar w:fldCharType="end"/>
      </w:r>
      <w:r w:rsidRPr="00AC1EA4">
        <w:rPr>
          <w:rStyle w:val="afa"/>
          <w:sz w:val="8"/>
          <w:szCs w:val="12"/>
          <w:rtl/>
        </w:rPr>
        <w:t>]</w:t>
      </w:r>
      <w:r w:rsidRPr="00AC1EA4">
        <w:rPr>
          <w:rStyle w:val="afa"/>
          <w:rFonts w:hint="cs"/>
          <w:sz w:val="8"/>
          <w:szCs w:val="12"/>
          <w:rtl/>
        </w:rPr>
        <w:t>.</w:t>
      </w:r>
    </w:p>
  </w:footnote>
  <w:footnote w:id="10">
    <w:p w:rsidR="00651E3B" w:rsidRPr="00FD66F4" w:rsidRDefault="00651E3B" w:rsidP="00B2572D">
      <w:pPr>
        <w:pStyle w:val="ae"/>
        <w:rPr>
          <w:sz w:val="16"/>
          <w:szCs w:val="12"/>
          <w:rtl/>
        </w:rPr>
      </w:pPr>
      <w:r>
        <w:rPr>
          <w:rStyle w:val="af0"/>
        </w:rPr>
        <w:footnoteRef/>
      </w:r>
      <w:r>
        <w:rPr>
          <w:rtl/>
        </w:rPr>
        <w:t xml:space="preserve"> </w:t>
      </w:r>
      <w:r w:rsidRPr="00FD66F4">
        <w:rPr>
          <w:rtl/>
        </w:rPr>
        <w:t xml:space="preserve">ועי' </w:t>
      </w:r>
      <w:r w:rsidRPr="00FD66F4">
        <w:rPr>
          <w:rStyle w:val="affa"/>
          <w:rtl/>
        </w:rPr>
        <w:t>בסידור רש"י</w:t>
      </w:r>
      <w:r w:rsidRPr="00FD66F4">
        <w:rPr>
          <w:rtl/>
        </w:rPr>
        <w:t xml:space="preserve"> </w:t>
      </w:r>
      <w:r w:rsidRPr="00FD66F4">
        <w:rPr>
          <w:rStyle w:val="aff6"/>
          <w:rtl/>
        </w:rPr>
        <w:t>(סי' תקפ"ח, הועתק בקובץ שיטות קמאי חולין ח"ג עמ' ב' אלף ר"ג)</w:t>
      </w:r>
      <w:r w:rsidRPr="00FD66F4">
        <w:rPr>
          <w:rtl/>
        </w:rPr>
        <w:t xml:space="preserve"> דכתב בתחילה כדברי </w:t>
      </w:r>
      <w:r w:rsidRPr="00FD66F4">
        <w:rPr>
          <w:rStyle w:val="affa"/>
          <w:rtl/>
        </w:rPr>
        <w:t>רש"י</w:t>
      </w:r>
      <w:r w:rsidRPr="00FD66F4">
        <w:rPr>
          <w:rtl/>
        </w:rPr>
        <w:t xml:space="preserve"> לפנינו דראינו את האיסור בשעה שנפל, ומשערים לפי שעת הנפילה, וכתב דכיון שנחלקו בזה רבנן והוא דאו' אזלינן לחומרא, והוסיף </w:t>
      </w:r>
      <w:r w:rsidRPr="00FD66F4">
        <w:rPr>
          <w:rStyle w:val="affa"/>
          <w:rtl/>
        </w:rPr>
        <w:t>בסידור רש"י</w:t>
      </w:r>
      <w:r w:rsidRPr="00FD66F4">
        <w:rPr>
          <w:rtl/>
        </w:rPr>
        <w:t xml:space="preserve"> דכ"ז דוקא במקום שאנו משערים את האיסור כפי שהיה בתחילה, דבכה"ג ודאי שאפשר לצרף את ההיתר שבלעה הקדירה, כנגד השיעור של האיסור, אבל במקום שאנו באים לשער את האיסור כפי שהוא לפנינו מצומק בבישול</w:t>
      </w:r>
      <w:r>
        <w:rPr>
          <w:rFonts w:hint="cs"/>
          <w:rtl/>
        </w:rPr>
        <w:t>,</w:t>
      </w:r>
      <w:r w:rsidRPr="00FD66F4">
        <w:rPr>
          <w:sz w:val="16"/>
          <w:szCs w:val="12"/>
          <w:rtl/>
        </w:rPr>
        <w:t xml:space="preserve"> </w:t>
      </w:r>
      <w:r w:rsidRPr="00FD66F4">
        <w:rPr>
          <w:rtl/>
        </w:rPr>
        <w:t xml:space="preserve">דבזה א"א לצרף את מה שבלעה הקדירה מההיתר, דאטו היתרא בלע, איסורא לא בלע, והרי גם האיסור נבלע בקדירה, והתמעט ממה שהיה לפני הבישול. </w:t>
      </w:r>
      <w:r w:rsidRPr="00FD66F4">
        <w:rPr>
          <w:sz w:val="16"/>
          <w:szCs w:val="12"/>
          <w:rtl/>
        </w:rPr>
        <w:t xml:space="preserve">[ומשמע </w:t>
      </w:r>
      <w:r>
        <w:rPr>
          <w:rFonts w:hint="cs"/>
          <w:sz w:val="16"/>
          <w:szCs w:val="12"/>
          <w:rtl/>
        </w:rPr>
        <w:t xml:space="preserve">כביאור </w:t>
      </w:r>
      <w:r w:rsidRPr="00BC4530">
        <w:rPr>
          <w:rFonts w:hint="cs"/>
          <w:b/>
          <w:bCs/>
          <w:sz w:val="16"/>
          <w:szCs w:val="12"/>
          <w:rtl/>
        </w:rPr>
        <w:t>הג' הב"ח על הר"ן</w:t>
      </w:r>
      <w:r>
        <w:rPr>
          <w:rFonts w:hint="cs"/>
          <w:sz w:val="16"/>
          <w:szCs w:val="12"/>
          <w:rtl/>
        </w:rPr>
        <w:t xml:space="preserve"> </w:t>
      </w:r>
      <w:r w:rsidRPr="00FD66F4">
        <w:rPr>
          <w:sz w:val="16"/>
          <w:szCs w:val="12"/>
          <w:rtl/>
        </w:rPr>
        <w:t xml:space="preserve">דמ"ש </w:t>
      </w:r>
      <w:r w:rsidRPr="00FD66F4">
        <w:rPr>
          <w:b/>
          <w:bCs/>
          <w:sz w:val="16"/>
          <w:szCs w:val="12"/>
          <w:rtl/>
        </w:rPr>
        <w:t>רש"י</w:t>
      </w:r>
      <w:r w:rsidRPr="00FD66F4">
        <w:rPr>
          <w:sz w:val="16"/>
          <w:szCs w:val="12"/>
          <w:rtl/>
        </w:rPr>
        <w:t xml:space="preserve"> בסו"ד דמשערים באיסור לפנינו, אינו ח</w:t>
      </w:r>
      <w:r>
        <w:rPr>
          <w:rFonts w:hint="cs"/>
          <w:sz w:val="16"/>
          <w:szCs w:val="12"/>
          <w:rtl/>
        </w:rPr>
        <w:t>ו</w:t>
      </w:r>
      <w:r>
        <w:rPr>
          <w:sz w:val="16"/>
          <w:szCs w:val="12"/>
          <w:rtl/>
        </w:rPr>
        <w:t>זר</w:t>
      </w:r>
      <w:r>
        <w:rPr>
          <w:rFonts w:hint="cs"/>
          <w:sz w:val="16"/>
          <w:szCs w:val="12"/>
          <w:rtl/>
        </w:rPr>
        <w:t xml:space="preserve"> בו</w:t>
      </w:r>
      <w:r w:rsidRPr="00FD66F4">
        <w:rPr>
          <w:sz w:val="16"/>
          <w:szCs w:val="12"/>
          <w:rtl/>
        </w:rPr>
        <w:t xml:space="preserve"> ממ"ש </w:t>
      </w:r>
      <w:r>
        <w:rPr>
          <w:rFonts w:hint="cs"/>
          <w:sz w:val="16"/>
          <w:szCs w:val="12"/>
          <w:rtl/>
        </w:rPr>
        <w:t xml:space="preserve">דקיי"ל לחומרא </w:t>
      </w:r>
      <w:r w:rsidRPr="00FD66F4">
        <w:rPr>
          <w:sz w:val="16"/>
          <w:szCs w:val="12"/>
          <w:rtl/>
        </w:rPr>
        <w:t xml:space="preserve">כל"ב, כדכתבו </w:t>
      </w:r>
      <w:r w:rsidRPr="00FD66F4">
        <w:rPr>
          <w:b/>
          <w:bCs/>
          <w:sz w:val="16"/>
          <w:szCs w:val="12"/>
          <w:rtl/>
        </w:rPr>
        <w:t>הרשב"א והר"ן</w:t>
      </w:r>
      <w:r w:rsidRPr="00FD66F4">
        <w:rPr>
          <w:sz w:val="16"/>
          <w:szCs w:val="12"/>
          <w:rtl/>
        </w:rPr>
        <w:t xml:space="preserve"> בדעת </w:t>
      </w:r>
      <w:r w:rsidRPr="00FD66F4">
        <w:rPr>
          <w:b/>
          <w:bCs/>
          <w:sz w:val="16"/>
          <w:szCs w:val="12"/>
          <w:rtl/>
        </w:rPr>
        <w:t>רש"י</w:t>
      </w:r>
      <w:r w:rsidRPr="00FD66F4">
        <w:rPr>
          <w:sz w:val="16"/>
          <w:szCs w:val="12"/>
          <w:rtl/>
        </w:rPr>
        <w:t xml:space="preserve">, אלא דהביאור בל"ב הוא כגי' </w:t>
      </w:r>
      <w:r w:rsidRPr="00FD66F4">
        <w:rPr>
          <w:b/>
          <w:bCs/>
          <w:sz w:val="16"/>
          <w:szCs w:val="12"/>
          <w:rtl/>
        </w:rPr>
        <w:t>רש"י</w:t>
      </w:r>
      <w:r w:rsidRPr="00FD66F4">
        <w:rPr>
          <w:sz w:val="16"/>
          <w:szCs w:val="12"/>
          <w:rtl/>
        </w:rPr>
        <w:t xml:space="preserve"> לפנינו דאיירי באופן שידוע כמה היה האיסור בשעה שנפל, ובזה כיון שהוא איסור דאו</w:t>
      </w:r>
      <w:r>
        <w:rPr>
          <w:rFonts w:hint="cs"/>
          <w:sz w:val="16"/>
          <w:szCs w:val="12"/>
          <w:rtl/>
        </w:rPr>
        <w:t xml:space="preserve">' </w:t>
      </w:r>
      <w:r w:rsidRPr="00FD66F4">
        <w:rPr>
          <w:sz w:val="16"/>
          <w:szCs w:val="12"/>
          <w:rtl/>
        </w:rPr>
        <w:t xml:space="preserve">פסק </w:t>
      </w:r>
      <w:r w:rsidRPr="00FD66F4">
        <w:rPr>
          <w:b/>
          <w:bCs/>
          <w:sz w:val="16"/>
          <w:szCs w:val="12"/>
          <w:rtl/>
        </w:rPr>
        <w:t>רש"י</w:t>
      </w:r>
      <w:r w:rsidRPr="00FD66F4">
        <w:rPr>
          <w:sz w:val="16"/>
          <w:szCs w:val="12"/>
          <w:rtl/>
        </w:rPr>
        <w:t xml:space="preserve"> כל"ב, ואח"כ כתב </w:t>
      </w:r>
      <w:r w:rsidRPr="00FD66F4">
        <w:rPr>
          <w:b/>
          <w:bCs/>
          <w:sz w:val="16"/>
          <w:szCs w:val="12"/>
          <w:rtl/>
        </w:rPr>
        <w:t>רש"י</w:t>
      </w:r>
      <w:r w:rsidRPr="00FD66F4">
        <w:rPr>
          <w:sz w:val="16"/>
          <w:szCs w:val="12"/>
          <w:rtl/>
        </w:rPr>
        <w:t xml:space="preserve"> דין נוסף, דבאופן שלא ידוע כמה היה האיסור בשעת הנפילה, ואנו רואים אותו עכשיו מצומק, דבזה אף לל"ב א"א לשער את ההיתר שבלעה הקדירה, כיון שגם האיסור נבלע בקדירה, וא"כ א"צ לגרוס </w:t>
      </w:r>
      <w:r w:rsidRPr="00FD66F4">
        <w:rPr>
          <w:b/>
          <w:bCs/>
          <w:sz w:val="16"/>
          <w:szCs w:val="12"/>
          <w:rtl/>
        </w:rPr>
        <w:t>ברש"י</w:t>
      </w:r>
      <w:r w:rsidRPr="00FD66F4">
        <w:rPr>
          <w:sz w:val="16"/>
          <w:szCs w:val="12"/>
          <w:rtl/>
        </w:rPr>
        <w:t xml:space="preserve"> כגירסת </w:t>
      </w:r>
      <w:r w:rsidRPr="00FD66F4">
        <w:rPr>
          <w:b/>
          <w:bCs/>
          <w:sz w:val="16"/>
          <w:szCs w:val="12"/>
          <w:rtl/>
        </w:rPr>
        <w:t>הרשב"א והר"ן</w:t>
      </w:r>
      <w:r w:rsidRPr="00FD66F4">
        <w:rPr>
          <w:sz w:val="16"/>
          <w:szCs w:val="12"/>
          <w:rtl/>
        </w:rPr>
        <w:t>].</w:t>
      </w:r>
    </w:p>
  </w:footnote>
  <w:footnote w:id="11">
    <w:p w:rsidR="00651E3B" w:rsidRDefault="00651E3B" w:rsidP="00B2572D">
      <w:pPr>
        <w:pStyle w:val="ae"/>
        <w:rPr>
          <w:rtl/>
        </w:rPr>
      </w:pPr>
      <w:r>
        <w:rPr>
          <w:rStyle w:val="af0"/>
        </w:rPr>
        <w:footnoteRef/>
      </w:r>
      <w:r>
        <w:rPr>
          <w:rtl/>
        </w:rPr>
        <w:t xml:space="preserve"> וכתב </w:t>
      </w:r>
      <w:r w:rsidRPr="00FB3FE2">
        <w:rPr>
          <w:rStyle w:val="affa"/>
          <w:rtl/>
        </w:rPr>
        <w:t>הרשב"א במשה"ב</w:t>
      </w:r>
      <w:r>
        <w:rPr>
          <w:rtl/>
        </w:rPr>
        <w:t xml:space="preserve"> </w:t>
      </w:r>
      <w:r w:rsidRPr="002F56DF">
        <w:rPr>
          <w:rStyle w:val="aff6"/>
          <w:rtl/>
        </w:rPr>
        <w:t>(ב"ד ש"א טז. מדה"ס)</w:t>
      </w:r>
      <w:r>
        <w:rPr>
          <w:rtl/>
        </w:rPr>
        <w:t xml:space="preserve"> דאף על תירוץ </w:t>
      </w:r>
      <w:r w:rsidRPr="00FB3FE2">
        <w:rPr>
          <w:rStyle w:val="affa"/>
          <w:rtl/>
        </w:rPr>
        <w:t>הרמב"ן</w:t>
      </w:r>
      <w:r>
        <w:rPr>
          <w:rtl/>
        </w:rPr>
        <w:t xml:space="preserve"> עדיין יש להקשות דהא כיון שהאיסור שלפנינו לא נתמעט באותו השיעור שנתמעט ההיתר, א"כ אמאי אין האיסור חוזר ואוסר, ומאי נ"מ אי נתמעט ההיתר ע"י האש, או שניטל בידי אדם, מ"מ יש איסור בשיעור שאוסר את ההיתר המועט שנשאר</w:t>
      </w:r>
      <w:r>
        <w:rPr>
          <w:rFonts w:hint="cs"/>
          <w:rtl/>
        </w:rPr>
        <w:t>.</w:t>
      </w:r>
      <w:r>
        <w:rPr>
          <w:rtl/>
        </w:rPr>
        <w:t xml:space="preserve"> </w:t>
      </w:r>
      <w:r w:rsidRPr="00AA36B4">
        <w:rPr>
          <w:sz w:val="16"/>
          <w:szCs w:val="12"/>
          <w:rtl/>
        </w:rPr>
        <w:t xml:space="preserve">[עיקר כוונת </w:t>
      </w:r>
      <w:r w:rsidRPr="002F56DF">
        <w:rPr>
          <w:rStyle w:val="affa"/>
          <w:sz w:val="16"/>
          <w:szCs w:val="12"/>
          <w:rtl/>
        </w:rPr>
        <w:t>הרשב"א במשה"ב</w:t>
      </w:r>
      <w:r w:rsidRPr="00AA36B4">
        <w:rPr>
          <w:sz w:val="16"/>
          <w:szCs w:val="12"/>
          <w:rtl/>
        </w:rPr>
        <w:t xml:space="preserve"> ליישב את קושית </w:t>
      </w:r>
      <w:r w:rsidRPr="002F56DF">
        <w:rPr>
          <w:rStyle w:val="affa"/>
          <w:sz w:val="16"/>
          <w:szCs w:val="12"/>
          <w:rtl/>
        </w:rPr>
        <w:t>הרא"ה בבד"ה</w:t>
      </w:r>
      <w:r w:rsidRPr="00AA36B4">
        <w:rPr>
          <w:sz w:val="16"/>
          <w:szCs w:val="12"/>
          <w:rtl/>
        </w:rPr>
        <w:t xml:space="preserve">, דהקשה על דברי </w:t>
      </w:r>
      <w:r w:rsidRPr="002F56DF">
        <w:rPr>
          <w:rStyle w:val="affa"/>
          <w:sz w:val="16"/>
          <w:szCs w:val="12"/>
          <w:rtl/>
        </w:rPr>
        <w:t>הרשב"א בתוה"ב</w:t>
      </w:r>
      <w:r w:rsidRPr="002F56DF">
        <w:rPr>
          <w:sz w:val="14"/>
          <w:szCs w:val="10"/>
          <w:rtl/>
        </w:rPr>
        <w:t xml:space="preserve"> </w:t>
      </w:r>
      <w:r w:rsidRPr="00AA36B4">
        <w:rPr>
          <w:sz w:val="16"/>
          <w:szCs w:val="12"/>
          <w:rtl/>
        </w:rPr>
        <w:t xml:space="preserve">דכתב דאיסור שהתבטל חוזר ואוסר, דהוא פשיטא, וע"ז תירץ </w:t>
      </w:r>
      <w:r w:rsidRPr="002F56DF">
        <w:rPr>
          <w:rStyle w:val="affa"/>
          <w:sz w:val="16"/>
          <w:szCs w:val="12"/>
          <w:rtl/>
        </w:rPr>
        <w:t>הרשב"א</w:t>
      </w:r>
      <w:r w:rsidRPr="00AA36B4">
        <w:rPr>
          <w:sz w:val="16"/>
          <w:szCs w:val="12"/>
          <w:rtl/>
        </w:rPr>
        <w:t xml:space="preserve"> שהיה צד להתיר בכה"ג].</w:t>
      </w:r>
      <w:r>
        <w:rPr>
          <w:rFonts w:hint="cs"/>
          <w:sz w:val="16"/>
          <w:szCs w:val="12"/>
          <w:rtl/>
        </w:rPr>
        <w:t xml:space="preserve"> </w:t>
      </w:r>
    </w:p>
    <w:p w:rsidR="00651E3B" w:rsidRDefault="00651E3B" w:rsidP="00B2572D">
      <w:pPr>
        <w:pStyle w:val="ae"/>
        <w:rPr>
          <w:rtl/>
        </w:rPr>
      </w:pPr>
      <w:r>
        <w:rPr>
          <w:rtl/>
        </w:rPr>
        <w:t xml:space="preserve">והוסיף </w:t>
      </w:r>
      <w:r w:rsidRPr="00FB3FE2">
        <w:rPr>
          <w:rStyle w:val="affa"/>
          <w:rtl/>
        </w:rPr>
        <w:t>הרשב"א במשה"ב</w:t>
      </w:r>
      <w:r>
        <w:rPr>
          <w:rtl/>
        </w:rPr>
        <w:t xml:space="preserve"> דאדרבה מסברא אפש"ל להיפך מדברי </w:t>
      </w:r>
      <w:r w:rsidRPr="00FB3FE2">
        <w:rPr>
          <w:rStyle w:val="affa"/>
          <w:rtl/>
        </w:rPr>
        <w:t>הרמב"ן</w:t>
      </w:r>
      <w:r>
        <w:rPr>
          <w:rtl/>
        </w:rPr>
        <w:t>, דאף אם בא אדם ונטל את ההיתר בידים, ג"כ נימא דהאיסור אינו חוזר ואוסר, דנימא שהאיסור פולט את הציר והרוטב שלו לתוך הקדירה, וכנגד זה בולע מהרוטב של ההיתר, וא"כ הרוטב של האיסור מתערב בכל הקדירה, לפי  החשבון השיעור של האיסור מול השיעור של ההיתר, וצריך האיסור לאסור עד שיהיה שישים בהיתר כנגד כל גוף האיסור, וא"כ אח"כ כשבא אדם ונטל מהרוטב שבקדירה, נאמר שהוא נטל גם חלק מהאיסור לפי החשבון של שיעור האיסור מול שיעור ההיתר, ולא אמרינן דהאדם נטל רק את ההיתר.</w:t>
      </w:r>
      <w:r>
        <w:rPr>
          <w:rFonts w:hint="cs"/>
          <w:rtl/>
        </w:rPr>
        <w:t xml:space="preserve"> </w:t>
      </w:r>
    </w:p>
    <w:p w:rsidR="00651E3B" w:rsidRDefault="00651E3B" w:rsidP="00B2572D">
      <w:pPr>
        <w:pStyle w:val="ae"/>
        <w:rPr>
          <w:rtl/>
        </w:rPr>
      </w:pPr>
      <w:r>
        <w:rPr>
          <w:rtl/>
        </w:rPr>
        <w:t xml:space="preserve">וכתב </w:t>
      </w:r>
      <w:r w:rsidRPr="00FB3FE2">
        <w:rPr>
          <w:rStyle w:val="affa"/>
          <w:rtl/>
        </w:rPr>
        <w:t>הרשב"א במשה"ב</w:t>
      </w:r>
      <w:r>
        <w:rPr>
          <w:rtl/>
        </w:rPr>
        <w:t xml:space="preserve"> דאף במקום שהשיעור של האיסור שנמצא לפנינו, הוא אותו השיעור כמו שהיה האיסור בשעה שנפל, מ"מ לא אמרינן דהאיסור לא פלט רוטב לתוך הקדירה, דא"כ אין כח באיסור לאסור אלא אם  נתמעט נפחו ושיעורו, ואי לא נתמעט ממילא אינו אוסר, וא"כ ממה נפשך בין אם לא פלט רוטב כלל, ובין אם פלט ובלע היתר, כשבא אדם ונטל מהרוטב של ההיתר, </w:t>
      </w:r>
      <w:r w:rsidRPr="00FB3FE2">
        <w:rPr>
          <w:sz w:val="16"/>
          <w:szCs w:val="12"/>
          <w:rtl/>
        </w:rPr>
        <w:t xml:space="preserve">[שמעורב בו רוטב של האיסור], </w:t>
      </w:r>
      <w:r>
        <w:rPr>
          <w:rtl/>
        </w:rPr>
        <w:t xml:space="preserve">אינו צריך לאסור, אך כתב </w:t>
      </w:r>
      <w:r w:rsidRPr="00FB3FE2">
        <w:rPr>
          <w:rStyle w:val="affa"/>
          <w:rtl/>
        </w:rPr>
        <w:t>הרשב"א במשה"ב</w:t>
      </w:r>
      <w:r>
        <w:rPr>
          <w:rtl/>
        </w:rPr>
        <w:t xml:space="preserve"> דאף שאפשר לדון שיש בו היתר, מ"מ מספק צריך להחמיר.</w:t>
      </w:r>
      <w:r>
        <w:rPr>
          <w:rFonts w:hint="cs"/>
          <w:rtl/>
        </w:rPr>
        <w:t xml:space="preserve"> </w:t>
      </w:r>
    </w:p>
    <w:p w:rsidR="00651E3B" w:rsidRDefault="00651E3B" w:rsidP="00B2572D">
      <w:pPr>
        <w:pStyle w:val="ae"/>
      </w:pPr>
      <w:r>
        <w:rPr>
          <w:rtl/>
        </w:rPr>
        <w:t xml:space="preserve">ומ"מ כתב </w:t>
      </w:r>
      <w:r w:rsidRPr="00FB3FE2">
        <w:rPr>
          <w:rStyle w:val="affa"/>
          <w:rtl/>
        </w:rPr>
        <w:t>הרשב"א במשה"ב</w:t>
      </w:r>
      <w:r>
        <w:rPr>
          <w:rtl/>
        </w:rPr>
        <w:t xml:space="preserve"> דאי נפל האיסור לקדירה אחרת, דפשיטא שהוא אוסר את הקדירה השניה, דא"א לומר שאינו פולט כלום ואינו אוסר את הקדירה, ולא אמרינן דהוא כבר פלט את רוטבו בקדירה הראשונה, ובלע מההיתר שבקדירה הראשונה, אלא משערים בקדירה השניה לפי כל גוף האיסור.</w:t>
      </w:r>
    </w:p>
  </w:footnote>
  <w:footnote w:id="12">
    <w:p w:rsidR="00651E3B" w:rsidRDefault="00651E3B" w:rsidP="00B2572D">
      <w:pPr>
        <w:pStyle w:val="ae"/>
        <w:rPr>
          <w:rtl/>
        </w:rPr>
      </w:pPr>
      <w:r>
        <w:rPr>
          <w:rStyle w:val="af0"/>
        </w:rPr>
        <w:footnoteRef/>
      </w:r>
      <w:r>
        <w:rPr>
          <w:rtl/>
        </w:rPr>
        <w:t xml:space="preserve"> וכתב </w:t>
      </w:r>
      <w:r w:rsidRPr="00F010B8">
        <w:rPr>
          <w:rStyle w:val="affa"/>
          <w:rtl/>
        </w:rPr>
        <w:t>הרשב"א בתוה"ב</w:t>
      </w:r>
      <w:r>
        <w:rPr>
          <w:rtl/>
        </w:rPr>
        <w:t xml:space="preserve"> דכן מוכח בגמ' לקמן </w:t>
      </w:r>
      <w:r w:rsidRPr="00F010B8">
        <w:rPr>
          <w:rStyle w:val="aff6"/>
          <w:rtl/>
        </w:rPr>
        <w:t>(צח.)</w:t>
      </w:r>
      <w:r>
        <w:rPr>
          <w:rtl/>
        </w:rPr>
        <w:t xml:space="preserve"> בכזית חֵלֶב שנפל לדיקולא דבשרא, דהא דאמרו רבנן לרב אשי שאין משערים בבלוע, הוא כיון דגם האיסור נבלע, ומשמע דאם האיסור לא היה נבלע, משערים את ההיתר הבלוע כאילו הוא בעין בתוך הקדירה. </w:t>
      </w:r>
    </w:p>
    <w:p w:rsidR="00651E3B" w:rsidRPr="00F010B8" w:rsidRDefault="00651E3B" w:rsidP="00B2572D">
      <w:pPr>
        <w:pStyle w:val="ae"/>
        <w:rPr>
          <w:sz w:val="16"/>
          <w:szCs w:val="12"/>
          <w:rtl/>
        </w:rPr>
      </w:pPr>
      <w:r>
        <w:rPr>
          <w:rtl/>
        </w:rPr>
        <w:t xml:space="preserve">ודחה </w:t>
      </w:r>
      <w:r w:rsidRPr="00F010B8">
        <w:rPr>
          <w:rStyle w:val="affa"/>
          <w:rtl/>
        </w:rPr>
        <w:t>הרא"ה בבד"ה</w:t>
      </w:r>
      <w:r>
        <w:rPr>
          <w:rtl/>
        </w:rPr>
        <w:t xml:space="preserve"> </w:t>
      </w:r>
      <w:r w:rsidRPr="00F010B8">
        <w:rPr>
          <w:rStyle w:val="aff6"/>
          <w:rtl/>
        </w:rPr>
        <w:t xml:space="preserve">(ב"ד ש"א ה. מדה"ס) </w:t>
      </w:r>
      <w:r>
        <w:rPr>
          <w:rtl/>
        </w:rPr>
        <w:t xml:space="preserve">דרב אשי בגמ' לקמן </w:t>
      </w:r>
      <w:r w:rsidRPr="00F010B8">
        <w:rPr>
          <w:rStyle w:val="aff6"/>
          <w:rtl/>
        </w:rPr>
        <w:t xml:space="preserve">(צח.) </w:t>
      </w:r>
      <w:r>
        <w:rPr>
          <w:rtl/>
        </w:rPr>
        <w:t xml:space="preserve">לא איירי בבישול כלל, אלא בצליה, כדאיתא בגמ' דנפל החֵלֶב לדיקולא של בשר, ודיקולא היינו סל, וכל שיעור שישים הוא רק בבישול בקדירה, ולא בצליה ומליחה. </w:t>
      </w:r>
      <w:r w:rsidRPr="00F010B8">
        <w:rPr>
          <w:sz w:val="16"/>
          <w:szCs w:val="12"/>
          <w:rtl/>
        </w:rPr>
        <w:t xml:space="preserve">[וכדביאר </w:t>
      </w:r>
      <w:r w:rsidRPr="00F010B8">
        <w:rPr>
          <w:rStyle w:val="affa"/>
          <w:sz w:val="16"/>
          <w:szCs w:val="12"/>
          <w:rtl/>
        </w:rPr>
        <w:t>הרא"ה בבד"ה</w:t>
      </w:r>
      <w:r w:rsidRPr="00F010B8">
        <w:rPr>
          <w:sz w:val="16"/>
          <w:szCs w:val="12"/>
          <w:rtl/>
        </w:rPr>
        <w:t xml:space="preserve"> </w:t>
      </w:r>
      <w:r w:rsidRPr="00F010B8">
        <w:rPr>
          <w:rStyle w:val="aff6"/>
          <w:sz w:val="8"/>
          <w:szCs w:val="8"/>
          <w:rtl/>
        </w:rPr>
        <w:t>(ב"ד ש"א כא. מדה"ס, הובא לעיל סימן א' אות קכ"ט)</w:t>
      </w:r>
      <w:r w:rsidRPr="00F010B8">
        <w:rPr>
          <w:sz w:val="16"/>
          <w:szCs w:val="12"/>
          <w:rtl/>
        </w:rPr>
        <w:t xml:space="preserve"> דשיעור שישים הוא רק בבישול שנבלע בשווה בכל הקדירה]. </w:t>
      </w:r>
    </w:p>
    <w:p w:rsidR="00651E3B" w:rsidRPr="00F010B8" w:rsidRDefault="00651E3B" w:rsidP="00B2572D">
      <w:pPr>
        <w:pStyle w:val="ae"/>
        <w:rPr>
          <w:sz w:val="16"/>
          <w:szCs w:val="12"/>
          <w:rtl/>
        </w:rPr>
      </w:pPr>
      <w:r>
        <w:rPr>
          <w:rtl/>
        </w:rPr>
        <w:t xml:space="preserve">אלא ביאר </w:t>
      </w:r>
      <w:r w:rsidRPr="00F010B8">
        <w:rPr>
          <w:rStyle w:val="affa"/>
          <w:rtl/>
        </w:rPr>
        <w:t>הרא"ה בבד"ה</w:t>
      </w:r>
      <w:r>
        <w:rPr>
          <w:rtl/>
        </w:rPr>
        <w:t xml:space="preserve"> דבגמ' לקמן איירי בבשר שנמלח בסל, ונפל לתוכו כזית חֵלֶב, ונשאר הבשר עם החֵלֶב זמן מרובה במליחתו, והצטמק הבשר במליחה, ואח"כ נתבשלו הבשר והחֵלֶב יחד בקדירה, ובשעת נפילת הכזית חֵלֶב היה שישים בבשר והרוטב שלו כנגד החֵלֶב, אבל עכשיו כשבאו לפני רב אשי הצטמק הבשר ואין בו שישים, ולכן סבר רב אשי לשער את החֵלֶב בכזית כשעה שנפל בסל, ואת הבשר לפי השיעור שהוא עכשיו שנצטמק ואין בו שישים ואסור, ואמרו לו רבנן דא"א לשער את ההיתר כפי השיעור של עכשיו שנצטמק, ואת האיסור כפי שעת הנפילה, דהא הסל בולע גם מהאיסור, ולכן צריך לשער את שניהם או כשעת הנפילה, או לפי השיעור של עכשיו, ועי' במה שדחה </w:t>
      </w:r>
      <w:r w:rsidRPr="00F010B8">
        <w:rPr>
          <w:rStyle w:val="affa"/>
          <w:rtl/>
        </w:rPr>
        <w:t>הרשב"א במשה"ב</w:t>
      </w:r>
      <w:r>
        <w:rPr>
          <w:rtl/>
        </w:rPr>
        <w:t xml:space="preserve"> </w:t>
      </w:r>
      <w:r w:rsidRPr="00F010B8">
        <w:rPr>
          <w:rStyle w:val="aff6"/>
          <w:rtl/>
        </w:rPr>
        <w:t>(ב"ד ש"א ה. מדה"ס)</w:t>
      </w:r>
      <w:r>
        <w:rPr>
          <w:rtl/>
        </w:rPr>
        <w:t xml:space="preserve"> אות ביאור </w:t>
      </w:r>
      <w:r w:rsidRPr="00F010B8">
        <w:rPr>
          <w:rStyle w:val="affa"/>
          <w:rtl/>
        </w:rPr>
        <w:t>הרא"ה בבד"ה</w:t>
      </w:r>
      <w:r>
        <w:rPr>
          <w:rtl/>
        </w:rPr>
        <w:t xml:space="preserve"> בדברי רב אשי. </w:t>
      </w:r>
      <w:r w:rsidRPr="00F010B8">
        <w:rPr>
          <w:sz w:val="16"/>
          <w:szCs w:val="12"/>
          <w:rtl/>
        </w:rPr>
        <w:t xml:space="preserve">[וכדביאר </w:t>
      </w:r>
      <w:r w:rsidRPr="00F010B8">
        <w:rPr>
          <w:rStyle w:val="affa"/>
          <w:sz w:val="16"/>
          <w:szCs w:val="12"/>
          <w:rtl/>
        </w:rPr>
        <w:t>הרשב"א במשה"ב</w:t>
      </w:r>
      <w:r w:rsidRPr="00F010B8">
        <w:rPr>
          <w:sz w:val="16"/>
          <w:szCs w:val="12"/>
          <w:rtl/>
        </w:rPr>
        <w:t xml:space="preserve"> </w:t>
      </w:r>
      <w:r w:rsidRPr="00F010B8">
        <w:rPr>
          <w:rStyle w:val="aff6"/>
          <w:sz w:val="8"/>
          <w:szCs w:val="8"/>
          <w:rtl/>
        </w:rPr>
        <w:t>(ב"ד ש"א כא. מדה"ס, הובא לעיל סימן א' אות קל"ו)</w:t>
      </w:r>
      <w:r w:rsidRPr="00F010B8">
        <w:rPr>
          <w:sz w:val="16"/>
          <w:szCs w:val="12"/>
          <w:rtl/>
        </w:rPr>
        <w:t xml:space="preserve"> דבדבר שמפעפע משערינן בשישים אף במליחה וצליה].</w:t>
      </w:r>
    </w:p>
  </w:footnote>
  <w:footnote w:id="13">
    <w:p w:rsidR="00651E3B" w:rsidRDefault="00651E3B" w:rsidP="00B2572D">
      <w:pPr>
        <w:pStyle w:val="ae"/>
        <w:rPr>
          <w:rtl/>
        </w:rPr>
      </w:pPr>
      <w:r>
        <w:rPr>
          <w:rStyle w:val="af0"/>
        </w:rPr>
        <w:footnoteRef/>
      </w:r>
      <w:r>
        <w:rPr>
          <w:rFonts w:hint="cs"/>
          <w:rtl/>
        </w:rPr>
        <w:t xml:space="preserve"> כן הביא </w:t>
      </w:r>
      <w:r w:rsidRPr="008932F8">
        <w:rPr>
          <w:rStyle w:val="affa"/>
          <w:rFonts w:hint="cs"/>
          <w:rtl/>
        </w:rPr>
        <w:t>הריטב"א</w:t>
      </w:r>
      <w:r>
        <w:rPr>
          <w:rFonts w:hint="cs"/>
          <w:rtl/>
        </w:rPr>
        <w:t xml:space="preserve"> בשם "רבינו הגדול ז"ל ומורי הרא"ה ז"ל תלמידו", ומוכח דכוונתו </w:t>
      </w:r>
      <w:r w:rsidRPr="008932F8">
        <w:rPr>
          <w:rStyle w:val="affa"/>
          <w:rFonts w:hint="cs"/>
          <w:rtl/>
        </w:rPr>
        <w:t>לרמב"ן</w:t>
      </w:r>
      <w:r>
        <w:rPr>
          <w:rFonts w:hint="cs"/>
          <w:rtl/>
        </w:rPr>
        <w:t xml:space="preserve">. </w:t>
      </w:r>
    </w:p>
  </w:footnote>
  <w:footnote w:id="14">
    <w:p w:rsidR="00651E3B" w:rsidRDefault="00651E3B" w:rsidP="00B2572D">
      <w:pPr>
        <w:pStyle w:val="ae"/>
      </w:pPr>
      <w:r>
        <w:rPr>
          <w:rStyle w:val="af0"/>
        </w:rPr>
        <w:footnoteRef/>
      </w:r>
      <w:r>
        <w:rPr>
          <w:rtl/>
        </w:rPr>
        <w:t xml:space="preserve"> </w:t>
      </w:r>
      <w:r w:rsidRPr="00F3591A">
        <w:rPr>
          <w:rStyle w:val="afa"/>
          <w:rFonts w:hint="cs"/>
          <w:rtl/>
        </w:rPr>
        <w:t>עיי"ש ד</w:t>
      </w:r>
      <w:r>
        <w:rPr>
          <w:rStyle w:val="afa"/>
          <w:rFonts w:hint="cs"/>
          <w:rtl/>
        </w:rPr>
        <w:t xml:space="preserve">הביא </w:t>
      </w:r>
      <w:r w:rsidRPr="00200FB6">
        <w:rPr>
          <w:rStyle w:val="affa"/>
          <w:rFonts w:hint="cs"/>
          <w:rtl/>
        </w:rPr>
        <w:t>הרשב"א בתשו'</w:t>
      </w:r>
      <w:r>
        <w:rPr>
          <w:rStyle w:val="afa"/>
          <w:rFonts w:hint="cs"/>
          <w:rtl/>
        </w:rPr>
        <w:t xml:space="preserve"> בשם </w:t>
      </w:r>
      <w:r w:rsidRPr="00F3591A">
        <w:rPr>
          <w:rStyle w:val="affa"/>
          <w:rFonts w:hint="cs"/>
          <w:rtl/>
        </w:rPr>
        <w:t>הי"א</w:t>
      </w:r>
      <w:r w:rsidRPr="00F3591A">
        <w:rPr>
          <w:rStyle w:val="afa"/>
          <w:rFonts w:hint="cs"/>
          <w:rtl/>
        </w:rPr>
        <w:t xml:space="preserve"> </w:t>
      </w:r>
      <w:r>
        <w:rPr>
          <w:rStyle w:val="afa"/>
          <w:rFonts w:hint="cs"/>
          <w:rtl/>
        </w:rPr>
        <w:t>ד</w:t>
      </w:r>
      <w:r w:rsidRPr="00F3591A">
        <w:rPr>
          <w:rStyle w:val="afa"/>
          <w:rFonts w:hint="cs"/>
          <w:rtl/>
        </w:rPr>
        <w:t xml:space="preserve">כתבו דה"ה בחתיכה שיש בה </w:t>
      </w:r>
      <w:r>
        <w:rPr>
          <w:rStyle w:val="afa"/>
          <w:rtl/>
        </w:rPr>
        <w:t>חֵלֶב</w:t>
      </w:r>
      <w:r w:rsidRPr="00F3591A">
        <w:rPr>
          <w:rStyle w:val="afa"/>
          <w:rFonts w:hint="cs"/>
          <w:rtl/>
        </w:rPr>
        <w:t>, ויש בשאר החתיכות שישים כנגד ה</w:t>
      </w:r>
      <w:r>
        <w:rPr>
          <w:rStyle w:val="afa"/>
          <w:rFonts w:hint="cs"/>
          <w:rtl/>
        </w:rPr>
        <w:t>חֵלֶב</w:t>
      </w:r>
      <w:r w:rsidRPr="00F3591A">
        <w:rPr>
          <w:rStyle w:val="afa"/>
          <w:rFonts w:hint="cs"/>
          <w:rtl/>
        </w:rPr>
        <w:t xml:space="preserve"> שבה, </w:t>
      </w:r>
      <w:r>
        <w:rPr>
          <w:rStyle w:val="afa"/>
          <w:rFonts w:hint="cs"/>
          <w:rtl/>
        </w:rPr>
        <w:t xml:space="preserve">דמותר </w:t>
      </w:r>
      <w:r w:rsidRPr="00F3591A">
        <w:rPr>
          <w:rStyle w:val="afa"/>
          <w:rFonts w:hint="cs"/>
          <w:rtl/>
        </w:rPr>
        <w:t>להוציא</w:t>
      </w:r>
      <w:r>
        <w:rPr>
          <w:rStyle w:val="afa"/>
          <w:rFonts w:hint="cs"/>
          <w:rtl/>
        </w:rPr>
        <w:t xml:space="preserve"> את החתיכה כשהיא</w:t>
      </w:r>
      <w:r w:rsidRPr="00F3591A">
        <w:rPr>
          <w:rStyle w:val="afa"/>
          <w:rFonts w:hint="cs"/>
          <w:rtl/>
        </w:rPr>
        <w:t xml:space="preserve"> חמה מהקדירה, </w:t>
      </w:r>
      <w:r>
        <w:rPr>
          <w:rStyle w:val="afa"/>
          <w:rFonts w:hint="cs"/>
          <w:rtl/>
        </w:rPr>
        <w:t>ואף ש</w:t>
      </w:r>
      <w:r w:rsidRPr="00F3591A">
        <w:rPr>
          <w:rStyle w:val="afa"/>
          <w:rFonts w:hint="cs"/>
          <w:rtl/>
        </w:rPr>
        <w:t xml:space="preserve">בחתיכה </w:t>
      </w:r>
      <w:r>
        <w:rPr>
          <w:rStyle w:val="afa"/>
          <w:rFonts w:hint="cs"/>
          <w:rtl/>
        </w:rPr>
        <w:t xml:space="preserve">אין </w:t>
      </w:r>
      <w:r w:rsidRPr="00F3591A">
        <w:rPr>
          <w:rStyle w:val="afa"/>
          <w:rFonts w:hint="cs"/>
          <w:rtl/>
        </w:rPr>
        <w:t>לבדה אין שישים כנגד ה</w:t>
      </w:r>
      <w:r>
        <w:rPr>
          <w:rStyle w:val="afa"/>
          <w:rFonts w:hint="cs"/>
          <w:rtl/>
        </w:rPr>
        <w:t>חֵלֶב</w:t>
      </w:r>
      <w:r w:rsidRPr="00F3591A">
        <w:rPr>
          <w:rStyle w:val="afa"/>
          <w:rFonts w:hint="cs"/>
          <w:rtl/>
        </w:rPr>
        <w:t xml:space="preserve">, </w:t>
      </w:r>
      <w:r>
        <w:rPr>
          <w:rStyle w:val="afa"/>
          <w:rFonts w:hint="cs"/>
          <w:rtl/>
        </w:rPr>
        <w:t>מ"מ אין החֵלֶב חוזר ואוסר</w:t>
      </w:r>
      <w:r w:rsidRPr="00F3591A">
        <w:rPr>
          <w:rStyle w:val="afa"/>
          <w:rFonts w:hint="cs"/>
          <w:rtl/>
        </w:rPr>
        <w:t xml:space="preserve"> א</w:t>
      </w:r>
      <w:r>
        <w:rPr>
          <w:rStyle w:val="afa"/>
          <w:rFonts w:hint="cs"/>
          <w:rtl/>
        </w:rPr>
        <w:t xml:space="preserve">ת החתיכה </w:t>
      </w:r>
      <w:r w:rsidRPr="00F3591A">
        <w:rPr>
          <w:rStyle w:val="afa"/>
          <w:rFonts w:hint="cs"/>
          <w:rtl/>
        </w:rPr>
        <w:t xml:space="preserve"> כשיוציאה מהקדירה,</w:t>
      </w:r>
      <w:r>
        <w:rPr>
          <w:rStyle w:val="afa"/>
          <w:rFonts w:hint="cs"/>
          <w:rtl/>
        </w:rPr>
        <w:t xml:space="preserve"> </w:t>
      </w:r>
      <w:r w:rsidRPr="00F3591A">
        <w:rPr>
          <w:rStyle w:val="afa"/>
          <w:rFonts w:hint="cs"/>
          <w:rtl/>
        </w:rPr>
        <w:t>ד</w:t>
      </w:r>
      <w:r>
        <w:rPr>
          <w:rStyle w:val="afa"/>
          <w:rFonts w:hint="cs"/>
          <w:rtl/>
        </w:rPr>
        <w:t xml:space="preserve">הא </w:t>
      </w:r>
      <w:r w:rsidRPr="00F3591A">
        <w:rPr>
          <w:rStyle w:val="afa"/>
          <w:rFonts w:hint="cs"/>
          <w:rtl/>
        </w:rPr>
        <w:t xml:space="preserve">מבואר מדברי </w:t>
      </w:r>
      <w:r w:rsidRPr="00F3591A">
        <w:rPr>
          <w:rStyle w:val="affa"/>
          <w:rFonts w:hint="cs"/>
          <w:rtl/>
        </w:rPr>
        <w:t>רש"י</w:t>
      </w:r>
      <w:r w:rsidRPr="00F3591A">
        <w:rPr>
          <w:rStyle w:val="afa"/>
          <w:rFonts w:hint="cs"/>
          <w:rtl/>
        </w:rPr>
        <w:t xml:space="preserve"> ד</w:t>
      </w:r>
      <w:r>
        <w:rPr>
          <w:rStyle w:val="afa"/>
          <w:rFonts w:hint="cs"/>
          <w:rtl/>
        </w:rPr>
        <w:t xml:space="preserve">איסור שנתבטל בשישים אינו חוזר ואוסר אח"כ, ולכן </w:t>
      </w:r>
      <w:r w:rsidRPr="00F3591A">
        <w:rPr>
          <w:rStyle w:val="afa"/>
          <w:rFonts w:hint="cs"/>
          <w:rtl/>
        </w:rPr>
        <w:t>כיון שלא אסר ה</w:t>
      </w:r>
      <w:r>
        <w:rPr>
          <w:rStyle w:val="afa"/>
          <w:rFonts w:hint="cs"/>
          <w:rtl/>
        </w:rPr>
        <w:t>חֵלֶב</w:t>
      </w:r>
      <w:r w:rsidRPr="00F3591A">
        <w:rPr>
          <w:rStyle w:val="afa"/>
          <w:rFonts w:hint="cs"/>
          <w:rtl/>
        </w:rPr>
        <w:t xml:space="preserve"> את החתיכה בשעה שנתבשל עמה בקדירה, שוב אינו חוזר ואוסר א</w:t>
      </w:r>
      <w:r>
        <w:rPr>
          <w:rStyle w:val="afa"/>
          <w:rFonts w:hint="cs"/>
          <w:rtl/>
        </w:rPr>
        <w:t>ותה</w:t>
      </w:r>
      <w:r w:rsidRPr="00F3591A">
        <w:rPr>
          <w:rStyle w:val="afa"/>
          <w:rFonts w:hint="cs"/>
          <w:rtl/>
        </w:rPr>
        <w:t xml:space="preserve"> אף כש</w:t>
      </w:r>
      <w:r>
        <w:rPr>
          <w:rStyle w:val="afa"/>
          <w:rFonts w:hint="cs"/>
          <w:rtl/>
        </w:rPr>
        <w:t>מוציאה מה</w:t>
      </w:r>
      <w:r w:rsidRPr="00F3591A">
        <w:rPr>
          <w:rStyle w:val="afa"/>
          <w:rFonts w:hint="cs"/>
          <w:rtl/>
        </w:rPr>
        <w:t>קדירה ואין שישים בחתיכה כנגדו, דאיסור שנתבטל אינו חוזר ואוסר</w:t>
      </w:r>
      <w:r>
        <w:rPr>
          <w:rStyle w:val="afa"/>
          <w:rFonts w:hint="cs"/>
          <w:rtl/>
        </w:rPr>
        <w:t xml:space="preserve">, אבל </w:t>
      </w:r>
      <w:r w:rsidRPr="00F3591A">
        <w:rPr>
          <w:rStyle w:val="affa"/>
          <w:rFonts w:hint="cs"/>
          <w:rtl/>
        </w:rPr>
        <w:t xml:space="preserve">הרשב"א </w:t>
      </w:r>
      <w:r w:rsidRPr="00BB0B70">
        <w:rPr>
          <w:rStyle w:val="affa"/>
          <w:rFonts w:hint="cs"/>
          <w:rtl/>
        </w:rPr>
        <w:t xml:space="preserve">בתשו' </w:t>
      </w:r>
      <w:r w:rsidRPr="00BB0B70">
        <w:rPr>
          <w:rStyle w:val="affa"/>
          <w:rtl/>
        </w:rPr>
        <w:t>ובתוה"ב</w:t>
      </w:r>
      <w:r w:rsidRPr="00BB0B70">
        <w:rPr>
          <w:rStyle w:val="afa"/>
          <w:rtl/>
        </w:rPr>
        <w:t xml:space="preserve"> </w:t>
      </w:r>
      <w:r w:rsidRPr="00BB0B70">
        <w:rPr>
          <w:rStyle w:val="aff6"/>
          <w:rtl/>
        </w:rPr>
        <w:t>(ב"ד ש"א יח. מדה"ס)</w:t>
      </w:r>
      <w:r>
        <w:rPr>
          <w:rStyle w:val="afa"/>
          <w:rFonts w:hint="cs"/>
          <w:rtl/>
        </w:rPr>
        <w:t xml:space="preserve"> </w:t>
      </w:r>
      <w:r w:rsidRPr="00F3591A">
        <w:rPr>
          <w:rStyle w:val="afa"/>
          <w:rFonts w:hint="cs"/>
          <w:rtl/>
        </w:rPr>
        <w:t>כתב דאסור להוציא</w:t>
      </w:r>
      <w:r>
        <w:rPr>
          <w:rStyle w:val="afa"/>
          <w:rFonts w:hint="cs"/>
          <w:rtl/>
        </w:rPr>
        <w:t xml:space="preserve"> את החתיכה כשהיא</w:t>
      </w:r>
      <w:r w:rsidRPr="00F3591A">
        <w:rPr>
          <w:rStyle w:val="afa"/>
          <w:rFonts w:hint="cs"/>
          <w:rtl/>
        </w:rPr>
        <w:t xml:space="preserve"> חמה מהקדירה, דכיון שבחתיכה לבדה אין שישים כנגד ה</w:t>
      </w:r>
      <w:r>
        <w:rPr>
          <w:rStyle w:val="afa"/>
          <w:rFonts w:hint="cs"/>
          <w:rtl/>
        </w:rPr>
        <w:t>חֵלֶב</w:t>
      </w:r>
      <w:r w:rsidRPr="00F3591A">
        <w:rPr>
          <w:rStyle w:val="afa"/>
          <w:rFonts w:hint="cs"/>
          <w:rtl/>
        </w:rPr>
        <w:t>, יחזור ה</w:t>
      </w:r>
      <w:r>
        <w:rPr>
          <w:rStyle w:val="afa"/>
          <w:rFonts w:hint="cs"/>
          <w:rtl/>
        </w:rPr>
        <w:t>חֵלֶב</w:t>
      </w:r>
      <w:r w:rsidRPr="00F3591A">
        <w:rPr>
          <w:rStyle w:val="afa"/>
          <w:rFonts w:hint="cs"/>
          <w:rtl/>
        </w:rPr>
        <w:t xml:space="preserve"> ויאסור אותה כשיוציאה מהקדירה</w:t>
      </w:r>
      <w:r>
        <w:rPr>
          <w:rStyle w:val="afa"/>
          <w:rFonts w:hint="cs"/>
          <w:rtl/>
        </w:rPr>
        <w:t xml:space="preserve">, אלא צריך להמתין ולהניחה בקדירה עד שתתצטנן, וע"ע במ"ש </w:t>
      </w:r>
      <w:r w:rsidRPr="00FE5EDE">
        <w:rPr>
          <w:rStyle w:val="affa"/>
          <w:rFonts w:hint="cs"/>
          <w:rtl/>
        </w:rPr>
        <w:t xml:space="preserve">הרשב"א בתשו' </w:t>
      </w:r>
      <w:r w:rsidRPr="00FE5EDE">
        <w:rPr>
          <w:rStyle w:val="aff6"/>
          <w:rFonts w:hint="cs"/>
          <w:rtl/>
        </w:rPr>
        <w:t>(ח"א סי' תכ"א)</w:t>
      </w:r>
      <w:r>
        <w:rPr>
          <w:rFonts w:hint="cs"/>
          <w:rtl/>
        </w:rPr>
        <w:t>.</w:t>
      </w:r>
    </w:p>
  </w:footnote>
  <w:footnote w:id="15">
    <w:p w:rsidR="00651E3B" w:rsidRDefault="00651E3B" w:rsidP="00B2572D">
      <w:pPr>
        <w:pStyle w:val="ae"/>
        <w:rPr>
          <w:rtl/>
        </w:rPr>
      </w:pPr>
      <w:r>
        <w:rPr>
          <w:rStyle w:val="af0"/>
        </w:rPr>
        <w:footnoteRef/>
      </w:r>
      <w:r>
        <w:rPr>
          <w:rtl/>
        </w:rPr>
        <w:t xml:space="preserve"> </w:t>
      </w:r>
      <w:r>
        <w:rPr>
          <w:rFonts w:hint="cs"/>
          <w:rtl/>
        </w:rPr>
        <w:t xml:space="preserve">וכ"כ </w:t>
      </w:r>
      <w:r w:rsidRPr="0078227C">
        <w:rPr>
          <w:rStyle w:val="affa"/>
          <w:rFonts w:hint="cs"/>
          <w:rtl/>
        </w:rPr>
        <w:t xml:space="preserve">הרשב"א לקמן </w:t>
      </w:r>
      <w:r w:rsidRPr="0078227C">
        <w:rPr>
          <w:rStyle w:val="aff6"/>
          <w:rFonts w:hint="cs"/>
          <w:rtl/>
        </w:rPr>
        <w:t>(צח. ד"ה ההוא)</w:t>
      </w:r>
      <w:r>
        <w:rPr>
          <w:rFonts w:hint="cs"/>
          <w:rtl/>
        </w:rPr>
        <w:t xml:space="preserve"> בשם </w:t>
      </w:r>
      <w:r w:rsidRPr="0078227C">
        <w:rPr>
          <w:rStyle w:val="affa"/>
          <w:rFonts w:hint="cs"/>
          <w:rtl/>
        </w:rPr>
        <w:t>הראב"ד</w:t>
      </w:r>
      <w:r>
        <w:rPr>
          <w:rFonts w:hint="cs"/>
          <w:rtl/>
        </w:rPr>
        <w:t xml:space="preserve">, אמנם </w:t>
      </w:r>
      <w:r w:rsidRPr="0078227C">
        <w:rPr>
          <w:rStyle w:val="affa"/>
          <w:rFonts w:hint="cs"/>
          <w:rtl/>
        </w:rPr>
        <w:t>הראב"ד והרשב"א</w:t>
      </w:r>
      <w:r>
        <w:rPr>
          <w:rFonts w:hint="cs"/>
          <w:rtl/>
        </w:rPr>
        <w:t xml:space="preserve"> כ"כ בביאור דברי רב אשי בגמ' לקמן </w:t>
      </w:r>
      <w:r w:rsidRPr="0078227C">
        <w:rPr>
          <w:rStyle w:val="aff6"/>
          <w:rFonts w:hint="cs"/>
          <w:rtl/>
        </w:rPr>
        <w:t>(צח.)</w:t>
      </w:r>
      <w:r>
        <w:rPr>
          <w:rFonts w:hint="cs"/>
          <w:rtl/>
        </w:rPr>
        <w:t xml:space="preserve">, אך </w:t>
      </w:r>
      <w:r w:rsidRPr="0078227C">
        <w:rPr>
          <w:rStyle w:val="affa"/>
          <w:rFonts w:hint="cs"/>
          <w:rtl/>
        </w:rPr>
        <w:t>המאירי</w:t>
      </w:r>
      <w:r>
        <w:rPr>
          <w:rFonts w:hint="cs"/>
          <w:rtl/>
        </w:rPr>
        <w:t xml:space="preserve"> הביא את דברי </w:t>
      </w:r>
      <w:r w:rsidRPr="0078227C">
        <w:rPr>
          <w:rStyle w:val="affa"/>
          <w:rFonts w:hint="cs"/>
          <w:rtl/>
        </w:rPr>
        <w:t xml:space="preserve">הראב"ד </w:t>
      </w:r>
      <w:r>
        <w:rPr>
          <w:rFonts w:hint="cs"/>
          <w:rtl/>
        </w:rPr>
        <w:t>בביאור הל"ב בסוגיין.</w:t>
      </w:r>
    </w:p>
  </w:footnote>
  <w:footnote w:id="16">
    <w:p w:rsidR="00651E3B" w:rsidRDefault="00651E3B" w:rsidP="003A445B">
      <w:pPr>
        <w:pStyle w:val="ae"/>
        <w:rPr>
          <w:rtl/>
        </w:rPr>
      </w:pPr>
      <w:r>
        <w:rPr>
          <w:rStyle w:val="af0"/>
        </w:rPr>
        <w:footnoteRef/>
      </w:r>
      <w:r>
        <w:rPr>
          <w:rtl/>
        </w:rPr>
        <w:t xml:space="preserve"> </w:t>
      </w:r>
      <w:r w:rsidRPr="00403600">
        <w:rPr>
          <w:rtl/>
        </w:rPr>
        <w:t xml:space="preserve">ועי' בדברי </w:t>
      </w:r>
      <w:r w:rsidRPr="00403600">
        <w:rPr>
          <w:rStyle w:val="affa"/>
          <w:rtl/>
        </w:rPr>
        <w:t>הגרא"ו</w:t>
      </w:r>
      <w:r w:rsidRPr="00403600">
        <w:rPr>
          <w:rtl/>
        </w:rPr>
        <w:t xml:space="preserve"> </w:t>
      </w:r>
      <w:r w:rsidRPr="00403600">
        <w:rPr>
          <w:rStyle w:val="aff6"/>
          <w:rtl/>
        </w:rPr>
        <w:t>(בספר קובץ ענינים לקמן קט. על תוד"ה אינו)</w:t>
      </w:r>
      <w:r w:rsidRPr="00403600">
        <w:rPr>
          <w:rtl/>
        </w:rPr>
        <w:t xml:space="preserve"> דהקשה דכיון דהחלב לא פירש והוא עדיין בלוע בבשר, א"כ היאך הוא נאסר ע"י טעם הבשר שבקדירה, דמ"ש מטעם הכחל עצמו שאינו אוסר אותו, וכתב </w:t>
      </w:r>
      <w:r w:rsidRPr="00403600">
        <w:rPr>
          <w:rStyle w:val="affa"/>
          <w:rtl/>
        </w:rPr>
        <w:t>הגרא"ו</w:t>
      </w:r>
      <w:r w:rsidRPr="00403600">
        <w:rPr>
          <w:rtl/>
        </w:rPr>
        <w:t xml:space="preserve"> דצ"ל דרק הטעם של הכחל עצמו אינו אוסר אותו, אבל טעם של בשר אחר, אוסר את הכחל אעפ"י שהוא עדיין בלוע בכחל</w:t>
      </w:r>
      <w:r>
        <w:rPr>
          <w:rFonts w:hint="cs"/>
          <w:rtl/>
        </w:rPr>
        <w:t>.</w:t>
      </w:r>
    </w:p>
  </w:footnote>
  <w:footnote w:id="17">
    <w:p w:rsidR="00651E3B" w:rsidRDefault="00651E3B" w:rsidP="003A445B">
      <w:pPr>
        <w:pStyle w:val="ae"/>
        <w:rPr>
          <w:rtl/>
        </w:rPr>
      </w:pPr>
      <w:r>
        <w:rPr>
          <w:rStyle w:val="af0"/>
        </w:rPr>
        <w:footnoteRef/>
      </w:r>
      <w:r>
        <w:rPr>
          <w:rtl/>
        </w:rPr>
        <w:t xml:space="preserve"> </w:t>
      </w:r>
      <w:r w:rsidRPr="00743213">
        <w:rPr>
          <w:rtl/>
        </w:rPr>
        <w:t xml:space="preserve">ועי' </w:t>
      </w:r>
      <w:r w:rsidRPr="00743213">
        <w:rPr>
          <w:rStyle w:val="affa"/>
          <w:rtl/>
        </w:rPr>
        <w:t xml:space="preserve">בבאר שבע </w:t>
      </w:r>
      <w:r w:rsidRPr="00B45BA4">
        <w:rPr>
          <w:rStyle w:val="aff6"/>
          <w:rtl/>
        </w:rPr>
        <w:t>(חולין צז: ד"ה אמר ר"נ)</w:t>
      </w:r>
      <w:r w:rsidRPr="00743213">
        <w:rPr>
          <w:rtl/>
        </w:rPr>
        <w:t xml:space="preserve"> דכתב דכן מבואר בדברי </w:t>
      </w:r>
      <w:r w:rsidRPr="00743213">
        <w:rPr>
          <w:rStyle w:val="affa"/>
          <w:rtl/>
        </w:rPr>
        <w:t xml:space="preserve">רש"י </w:t>
      </w:r>
      <w:r w:rsidRPr="00B45BA4">
        <w:rPr>
          <w:rStyle w:val="aff6"/>
          <w:rtl/>
        </w:rPr>
        <w:t xml:space="preserve">(עי' אות </w:t>
      </w:r>
      <w:r w:rsidRPr="00B45BA4">
        <w:rPr>
          <w:rStyle w:val="aff6"/>
          <w:rtl/>
        </w:rPr>
        <w:fldChar w:fldCharType="begin"/>
      </w:r>
      <w:r w:rsidRPr="00B45BA4">
        <w:rPr>
          <w:rStyle w:val="aff6"/>
          <w:rtl/>
        </w:rPr>
        <w:instrText xml:space="preserve"> </w:instrText>
      </w:r>
      <w:r w:rsidRPr="00B45BA4">
        <w:rPr>
          <w:rStyle w:val="aff6"/>
        </w:rPr>
        <w:instrText>REF</w:instrText>
      </w:r>
      <w:r w:rsidRPr="00B45BA4">
        <w:rPr>
          <w:rStyle w:val="aff6"/>
          <w:rtl/>
        </w:rPr>
        <w:instrText xml:space="preserve"> _</w:instrText>
      </w:r>
      <w:r w:rsidRPr="00B45BA4">
        <w:rPr>
          <w:rStyle w:val="aff6"/>
        </w:rPr>
        <w:instrText>Ref10021061 \r \h</w:instrText>
      </w:r>
      <w:r w:rsidRPr="00B45BA4">
        <w:rPr>
          <w:rStyle w:val="aff6"/>
          <w:rtl/>
        </w:rPr>
        <w:instrText xml:space="preserve"> </w:instrText>
      </w:r>
      <w:r w:rsidRPr="00B45BA4">
        <w:rPr>
          <w:rStyle w:val="aff6"/>
          <w:rtl/>
        </w:rPr>
      </w:r>
      <w:r w:rsidRPr="00B45BA4">
        <w:rPr>
          <w:rStyle w:val="aff6"/>
          <w:rtl/>
        </w:rPr>
        <w:fldChar w:fldCharType="separate"/>
      </w:r>
      <w:r>
        <w:rPr>
          <w:rStyle w:val="aff6"/>
          <w:cs/>
        </w:rPr>
        <w:t>‎</w:t>
      </w:r>
      <w:r>
        <w:rPr>
          <w:rStyle w:val="aff6"/>
          <w:rtl/>
        </w:rPr>
        <w:t>לב)</w:t>
      </w:r>
      <w:r w:rsidRPr="00B45BA4">
        <w:rPr>
          <w:rStyle w:val="aff6"/>
          <w:rtl/>
        </w:rPr>
        <w:fldChar w:fldCharType="end"/>
      </w:r>
      <w:r w:rsidRPr="00743213">
        <w:rPr>
          <w:rtl/>
        </w:rPr>
        <w:t xml:space="preserve"> דכתב דכיון שהכחל הוא מין של היתר, לכן הוא כלול בשיעור שישים.</w:t>
      </w:r>
    </w:p>
  </w:footnote>
  <w:footnote w:id="18">
    <w:p w:rsidR="00651E3B" w:rsidRDefault="00651E3B" w:rsidP="003A445B">
      <w:pPr>
        <w:pStyle w:val="ae"/>
        <w:rPr>
          <w:rtl/>
        </w:rPr>
      </w:pPr>
      <w:r>
        <w:rPr>
          <w:rStyle w:val="af0"/>
        </w:rPr>
        <w:footnoteRef/>
      </w:r>
      <w:r>
        <w:rPr>
          <w:rtl/>
        </w:rPr>
        <w:t xml:space="preserve"> </w:t>
      </w:r>
      <w:r w:rsidRPr="00733DD2">
        <w:rPr>
          <w:rStyle w:val="affa"/>
          <w:rtl/>
        </w:rPr>
        <w:t>ובהג' המנחת יעקב על התורת חטאת</w:t>
      </w:r>
      <w:r w:rsidRPr="00733DD2">
        <w:rPr>
          <w:rtl/>
        </w:rPr>
        <w:t xml:space="preserve"> </w:t>
      </w:r>
      <w:r w:rsidRPr="00733DD2">
        <w:rPr>
          <w:rStyle w:val="aff6"/>
          <w:rtl/>
        </w:rPr>
        <w:t>(כלל ל' אות ה')</w:t>
      </w:r>
      <w:r w:rsidRPr="00733DD2">
        <w:rPr>
          <w:rtl/>
        </w:rPr>
        <w:t xml:space="preserve"> תירץ </w:t>
      </w:r>
      <w:r>
        <w:rPr>
          <w:rFonts w:hint="cs"/>
          <w:rtl/>
        </w:rPr>
        <w:t xml:space="preserve">את קושית </w:t>
      </w:r>
      <w:r w:rsidRPr="00733DD2">
        <w:rPr>
          <w:rStyle w:val="affa"/>
          <w:rFonts w:hint="cs"/>
          <w:rtl/>
        </w:rPr>
        <w:t>הרמ"א</w:t>
      </w:r>
      <w:r>
        <w:rPr>
          <w:rFonts w:hint="cs"/>
          <w:rtl/>
        </w:rPr>
        <w:t xml:space="preserve"> מדם, </w:t>
      </w:r>
      <w:r w:rsidRPr="00733DD2">
        <w:rPr>
          <w:rtl/>
        </w:rPr>
        <w:t xml:space="preserve">דכיון דביאר </w:t>
      </w:r>
      <w:r w:rsidRPr="00733DD2">
        <w:rPr>
          <w:rStyle w:val="affa"/>
          <w:rtl/>
        </w:rPr>
        <w:t>הרא"ש</w:t>
      </w:r>
      <w:r w:rsidRPr="00733DD2">
        <w:rPr>
          <w:rtl/>
        </w:rPr>
        <w:t xml:space="preserve"> </w:t>
      </w:r>
      <w:r w:rsidRPr="00E40A6B">
        <w:rPr>
          <w:rStyle w:val="aff6"/>
          <w:rtl/>
        </w:rPr>
        <w:t xml:space="preserve">(עי' אות </w:t>
      </w:r>
      <w:r w:rsidRPr="00E40A6B">
        <w:rPr>
          <w:rStyle w:val="aff6"/>
          <w:rtl/>
        </w:rPr>
        <w:fldChar w:fldCharType="begin"/>
      </w:r>
      <w:r w:rsidRPr="00E40A6B">
        <w:rPr>
          <w:rStyle w:val="aff6"/>
          <w:rtl/>
        </w:rPr>
        <w:instrText xml:space="preserve"> </w:instrText>
      </w:r>
      <w:r w:rsidRPr="00E40A6B">
        <w:rPr>
          <w:rStyle w:val="aff6"/>
        </w:rPr>
        <w:instrText>REF</w:instrText>
      </w:r>
      <w:r w:rsidRPr="00E40A6B">
        <w:rPr>
          <w:rStyle w:val="aff6"/>
          <w:rtl/>
        </w:rPr>
        <w:instrText xml:space="preserve"> _</w:instrText>
      </w:r>
      <w:r w:rsidRPr="00E40A6B">
        <w:rPr>
          <w:rStyle w:val="aff6"/>
        </w:rPr>
        <w:instrText>Ref10628205 \r \h</w:instrText>
      </w:r>
      <w:r w:rsidRPr="00E40A6B">
        <w:rPr>
          <w:rStyle w:val="aff6"/>
          <w:rtl/>
        </w:rPr>
        <w:instrText xml:space="preserve"> </w:instrText>
      </w:r>
      <w:r w:rsidRPr="00E40A6B">
        <w:rPr>
          <w:rStyle w:val="aff6"/>
          <w:rtl/>
        </w:rPr>
      </w:r>
      <w:r w:rsidRPr="00E40A6B">
        <w:rPr>
          <w:rStyle w:val="aff6"/>
          <w:rtl/>
        </w:rPr>
        <w:fldChar w:fldCharType="separate"/>
      </w:r>
      <w:r>
        <w:rPr>
          <w:rStyle w:val="aff6"/>
          <w:cs/>
        </w:rPr>
        <w:t>‎</w:t>
      </w:r>
      <w:r>
        <w:rPr>
          <w:rStyle w:val="aff6"/>
          <w:rtl/>
        </w:rPr>
        <w:t>לה)</w:t>
      </w:r>
      <w:r w:rsidRPr="00E40A6B">
        <w:rPr>
          <w:rStyle w:val="aff6"/>
          <w:rtl/>
        </w:rPr>
        <w:fldChar w:fldCharType="end"/>
      </w:r>
      <w:r w:rsidRPr="00E40A6B">
        <w:rPr>
          <w:rStyle w:val="aff6"/>
          <w:rtl/>
        </w:rPr>
        <w:t xml:space="preserve"> </w:t>
      </w:r>
      <w:r w:rsidRPr="00733DD2">
        <w:rPr>
          <w:rtl/>
        </w:rPr>
        <w:t xml:space="preserve">דהא דהכחל עצמו אסור, אינו מחמת שיש בבשר הכחל טעם של חלב יותר מאשר בבשר שבקדירה, אלא כיון שיש בו גומות שיש בהם חלב, א"כ לא דמי לדם דהוא בלוע בכל החתיכה, ולכן כולה נאסרת, משא"כ בכחל דרק החלב שבגומות נאסר, ולא כל הכחל, והוסיף </w:t>
      </w:r>
      <w:r w:rsidRPr="00733DD2">
        <w:rPr>
          <w:rStyle w:val="affa"/>
          <w:rtl/>
        </w:rPr>
        <w:t>המנחת יעקב</w:t>
      </w:r>
      <w:r w:rsidRPr="00733DD2">
        <w:rPr>
          <w:rtl/>
        </w:rPr>
        <w:t xml:space="preserve"> דאפש"ל דזו כוונת </w:t>
      </w:r>
      <w:r w:rsidRPr="00733DD2">
        <w:rPr>
          <w:rStyle w:val="affa"/>
          <w:rtl/>
        </w:rPr>
        <w:t>הר"ן</w:t>
      </w:r>
      <w:r w:rsidRPr="00733DD2">
        <w:rPr>
          <w:rtl/>
        </w:rPr>
        <w:t xml:space="preserve"> </w:t>
      </w:r>
      <w:r w:rsidRPr="00E40A6B">
        <w:rPr>
          <w:rStyle w:val="aff6"/>
          <w:rtl/>
        </w:rPr>
        <w:t xml:space="preserve">(עי' </w:t>
      </w:r>
      <w:r>
        <w:rPr>
          <w:rStyle w:val="aff6"/>
          <w:rFonts w:hint="cs"/>
          <w:rtl/>
        </w:rPr>
        <w:t xml:space="preserve">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Ref10711920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נט)</w:t>
      </w:r>
      <w:r>
        <w:rPr>
          <w:rStyle w:val="aff6"/>
          <w:rtl/>
        </w:rPr>
        <w:fldChar w:fldCharType="end"/>
      </w:r>
      <w:r>
        <w:rPr>
          <w:rFonts w:hint="cs"/>
          <w:rtl/>
        </w:rPr>
        <w:t xml:space="preserve"> </w:t>
      </w:r>
      <w:r w:rsidRPr="00733DD2">
        <w:rPr>
          <w:rtl/>
        </w:rPr>
        <w:t>דכתב שהאיסור של הכחל הוא רק מחמת החלב שבו.</w:t>
      </w:r>
    </w:p>
  </w:footnote>
  <w:footnote w:id="19">
    <w:p w:rsidR="00651E3B" w:rsidRDefault="00651E3B" w:rsidP="00F7606D">
      <w:pPr>
        <w:pStyle w:val="ae"/>
      </w:pPr>
      <w:r>
        <w:rPr>
          <w:rStyle w:val="af0"/>
        </w:rPr>
        <w:footnoteRef/>
      </w:r>
      <w:r>
        <w:rPr>
          <w:rtl/>
        </w:rPr>
        <w:t xml:space="preserve"> </w:t>
      </w:r>
      <w:r>
        <w:rPr>
          <w:rFonts w:hint="cs"/>
          <w:rtl/>
        </w:rPr>
        <w:t xml:space="preserve">וע"ע במ"ש </w:t>
      </w:r>
      <w:r w:rsidRPr="0066460C">
        <w:rPr>
          <w:rStyle w:val="affa"/>
          <w:rFonts w:hint="cs"/>
          <w:rtl/>
        </w:rPr>
        <w:t>החוו"ד</w:t>
      </w:r>
      <w:r w:rsidRPr="00E752A2">
        <w:rPr>
          <w:rFonts w:hint="cs"/>
          <w:rtl/>
        </w:rPr>
        <w:t xml:space="preserve"> </w:t>
      </w:r>
      <w:r w:rsidRPr="0066460C">
        <w:rPr>
          <w:rStyle w:val="aff6"/>
          <w:rFonts w:hint="cs"/>
          <w:rtl/>
        </w:rPr>
        <w:t>(סי' צ"ח סק"ג בתו"ד)</w:t>
      </w:r>
      <w:r w:rsidRPr="00E752A2">
        <w:rPr>
          <w:rStyle w:val="af6"/>
          <w:rFonts w:eastAsia="Guttman Hodes" w:hint="cs"/>
          <w:rtl/>
        </w:rPr>
        <w:t xml:space="preserve"> </w:t>
      </w:r>
      <w:r>
        <w:rPr>
          <w:rFonts w:hint="cs"/>
          <w:rtl/>
        </w:rPr>
        <w:t>דלדעת</w:t>
      </w:r>
      <w:r w:rsidRPr="0066460C">
        <w:rPr>
          <w:rStyle w:val="affa"/>
          <w:rFonts w:hint="cs"/>
          <w:rtl/>
        </w:rPr>
        <w:t xml:space="preserve"> רמב"ן</w:t>
      </w:r>
      <w:r w:rsidRPr="0066460C">
        <w:rPr>
          <w:rStyle w:val="aff6"/>
          <w:rFonts w:hint="cs"/>
          <w:rtl/>
        </w:rPr>
        <w:t xml:space="preserve"> (צח. ד"ה כל) </w:t>
      </w:r>
      <w:r w:rsidRPr="00120DB1">
        <w:rPr>
          <w:rStyle w:val="afa"/>
          <w:rFonts w:hint="cs"/>
          <w:rtl/>
        </w:rPr>
        <w:t>דכתב דכשנימוח</w:t>
      </w:r>
      <w:r w:rsidRPr="00E752A2">
        <w:rPr>
          <w:rFonts w:hint="cs"/>
          <w:rtl/>
        </w:rPr>
        <w:t xml:space="preserve"> גוף האיסור לא מהני קפילא בפחות משישים</w:t>
      </w:r>
      <w:r>
        <w:rPr>
          <w:rFonts w:hint="cs"/>
          <w:rtl/>
        </w:rPr>
        <w:t>, א"כ מבואר</w:t>
      </w:r>
      <w:r w:rsidRPr="00E752A2">
        <w:rPr>
          <w:rFonts w:hint="cs"/>
          <w:rtl/>
        </w:rPr>
        <w:t xml:space="preserve"> דשיעור שישים הוא מדאו' מילפותא דזרוע בשילה, והא דלא מהני ביטול ברוב, והטעם אוסר עד שישים, כתב </w:t>
      </w:r>
      <w:r w:rsidRPr="00CB6EE5">
        <w:rPr>
          <w:rStyle w:val="affa"/>
          <w:rFonts w:hint="cs"/>
          <w:rtl/>
        </w:rPr>
        <w:t>החוו"ד</w:t>
      </w:r>
      <w:r w:rsidRPr="00E752A2">
        <w:rPr>
          <w:rFonts w:hint="cs"/>
          <w:rtl/>
        </w:rPr>
        <w:t xml:space="preserve"> ד</w:t>
      </w:r>
      <w:r>
        <w:rPr>
          <w:rFonts w:hint="cs"/>
          <w:rtl/>
        </w:rPr>
        <w:t xml:space="preserve">ס"ל </w:t>
      </w:r>
      <w:r w:rsidRPr="00CB6EE5">
        <w:rPr>
          <w:rStyle w:val="affa"/>
          <w:rFonts w:hint="cs"/>
          <w:rtl/>
        </w:rPr>
        <w:t>להרמב"ן</w:t>
      </w:r>
      <w:r>
        <w:rPr>
          <w:rFonts w:hint="cs"/>
          <w:rtl/>
        </w:rPr>
        <w:t xml:space="preserve"> דהא דלא מהני רוב בטעם, </w:t>
      </w:r>
      <w:r w:rsidRPr="00E752A2">
        <w:rPr>
          <w:rFonts w:hint="cs"/>
          <w:rtl/>
        </w:rPr>
        <w:t>הוא הלכה למשה מסיני דלא ילפינן מקרא דאחרי רבים להטות</w:t>
      </w:r>
      <w:r>
        <w:rPr>
          <w:rFonts w:hint="cs"/>
          <w:rtl/>
        </w:rPr>
        <w:t>,</w:t>
      </w:r>
      <w:r w:rsidRPr="00E752A2">
        <w:rPr>
          <w:rFonts w:hint="cs"/>
          <w:rtl/>
        </w:rPr>
        <w:t xml:space="preserve"> </w:t>
      </w:r>
      <w:r>
        <w:rPr>
          <w:rFonts w:hint="cs"/>
          <w:rtl/>
        </w:rPr>
        <w:t>וכדכתב</w:t>
      </w:r>
      <w:r w:rsidRPr="00E752A2">
        <w:rPr>
          <w:rFonts w:hint="cs"/>
          <w:rtl/>
        </w:rPr>
        <w:t xml:space="preserve"> </w:t>
      </w:r>
      <w:r w:rsidRPr="00CB6EE5">
        <w:rPr>
          <w:rStyle w:val="affa"/>
          <w:rFonts w:hint="cs"/>
          <w:rtl/>
        </w:rPr>
        <w:t>רש"י בפסחים</w:t>
      </w:r>
      <w:r w:rsidRPr="00E752A2">
        <w:rPr>
          <w:rFonts w:hint="cs"/>
          <w:rtl/>
        </w:rPr>
        <w:t xml:space="preserve"> </w:t>
      </w:r>
      <w:r w:rsidRPr="00CB6EE5">
        <w:rPr>
          <w:rStyle w:val="aff6"/>
          <w:rFonts w:hint="cs"/>
          <w:rtl/>
        </w:rPr>
        <w:t>(מד. ד"ה וכזית)</w:t>
      </w:r>
      <w:r>
        <w:rPr>
          <w:rFonts w:hint="cs"/>
          <w:rtl/>
        </w:rPr>
        <w:t>.</w:t>
      </w:r>
      <w:r w:rsidRPr="00E752A2">
        <w:rPr>
          <w:rFonts w:hint="cs"/>
          <w:rtl/>
        </w:rPr>
        <w:t xml:space="preserve"> </w:t>
      </w:r>
    </w:p>
  </w:footnote>
  <w:footnote w:id="20">
    <w:p w:rsidR="00651E3B" w:rsidRDefault="00651E3B" w:rsidP="009A0058">
      <w:pPr>
        <w:pStyle w:val="ae"/>
      </w:pPr>
      <w:r>
        <w:rPr>
          <w:rStyle w:val="af0"/>
        </w:rPr>
        <w:footnoteRef/>
      </w:r>
      <w:r>
        <w:rPr>
          <w:rtl/>
        </w:rPr>
        <w:t xml:space="preserve"> </w:t>
      </w:r>
      <w:r w:rsidRPr="00346232">
        <w:rPr>
          <w:rStyle w:val="afa"/>
          <w:rFonts w:hint="cs"/>
          <w:rtl/>
        </w:rPr>
        <w:t xml:space="preserve">וכתבו </w:t>
      </w:r>
      <w:r w:rsidRPr="00346232">
        <w:rPr>
          <w:rStyle w:val="affa"/>
          <w:rFonts w:hint="cs"/>
          <w:rtl/>
        </w:rPr>
        <w:t xml:space="preserve">התוס' בע"ז </w:t>
      </w:r>
      <w:r w:rsidRPr="00346232">
        <w:rPr>
          <w:rStyle w:val="afa"/>
          <w:rFonts w:hint="cs"/>
          <w:rtl/>
        </w:rPr>
        <w:t>דכן מבואר בגמ' לקמן</w:t>
      </w:r>
      <w:r>
        <w:rPr>
          <w:rStyle w:val="afa"/>
          <w:rFonts w:hint="cs"/>
          <w:rtl/>
        </w:rPr>
        <w:t xml:space="preserve"> </w:t>
      </w:r>
      <w:r w:rsidRPr="00346232">
        <w:rPr>
          <w:rStyle w:val="aff6"/>
          <w:rFonts w:hint="cs"/>
          <w:rtl/>
        </w:rPr>
        <w:t>(קח.)</w:t>
      </w:r>
      <w:r w:rsidRPr="00346232">
        <w:rPr>
          <w:rStyle w:val="afa"/>
          <w:rFonts w:hint="cs"/>
          <w:rtl/>
        </w:rPr>
        <w:t xml:space="preserve">, והקשה </w:t>
      </w:r>
      <w:r w:rsidRPr="00346232">
        <w:rPr>
          <w:rStyle w:val="affa"/>
          <w:rFonts w:hint="cs"/>
          <w:rtl/>
        </w:rPr>
        <w:t xml:space="preserve">הרש"ש </w:t>
      </w:r>
      <w:r w:rsidRPr="00346232">
        <w:rPr>
          <w:rStyle w:val="aff6"/>
          <w:rFonts w:hint="cs"/>
          <w:rtl/>
        </w:rPr>
        <w:t>(ע"ז סז. על תוד"ה אמר ריו"ח)</w:t>
      </w:r>
      <w:r w:rsidRPr="00346232">
        <w:rPr>
          <w:rStyle w:val="afa"/>
          <w:rFonts w:hint="cs"/>
          <w:rtl/>
        </w:rPr>
        <w:t xml:space="preserve"> דלא מבואר כן בגמ' לקמן, דהא בגמ' לקמן אמרינן דבשר בחלב הוא טעמו ולא ממשו</w:t>
      </w:r>
      <w:r>
        <w:rPr>
          <w:rStyle w:val="afa"/>
          <w:rFonts w:hint="cs"/>
          <w:rtl/>
        </w:rPr>
        <w:t xml:space="preserve">, </w:t>
      </w:r>
      <w:r w:rsidRPr="004420B1">
        <w:rPr>
          <w:rStyle w:val="affa"/>
          <w:rFonts w:hint="cs"/>
          <w:rtl/>
        </w:rPr>
        <w:t>ו</w:t>
      </w:r>
      <w:r w:rsidRPr="004420B1">
        <w:rPr>
          <w:rStyle w:val="affa"/>
          <w:rtl/>
        </w:rPr>
        <w:t>המעדני יו"ט</w:t>
      </w:r>
      <w:r w:rsidRPr="004420B1">
        <w:rPr>
          <w:rStyle w:val="afa"/>
          <w:rtl/>
        </w:rPr>
        <w:t xml:space="preserve"> </w:t>
      </w:r>
      <w:r w:rsidRPr="004420B1">
        <w:rPr>
          <w:rStyle w:val="aff6"/>
          <w:rtl/>
        </w:rPr>
        <w:t>(על הרא"ש סי' ל"א אות ד')</w:t>
      </w:r>
      <w:r w:rsidRPr="004420B1">
        <w:rPr>
          <w:rStyle w:val="afa"/>
          <w:rtl/>
        </w:rPr>
        <w:t xml:space="preserve"> כתב דאף </w:t>
      </w:r>
      <w:r w:rsidRPr="004420B1">
        <w:rPr>
          <w:rStyle w:val="affa"/>
          <w:rtl/>
        </w:rPr>
        <w:t>דהתוס'</w:t>
      </w:r>
      <w:r>
        <w:rPr>
          <w:rStyle w:val="affa"/>
          <w:rFonts w:hint="cs"/>
          <w:rtl/>
        </w:rPr>
        <w:t xml:space="preserve"> בע"ז</w:t>
      </w:r>
      <w:r w:rsidRPr="004420B1">
        <w:rPr>
          <w:rStyle w:val="afa"/>
          <w:rtl/>
        </w:rPr>
        <w:t xml:space="preserve"> לא ביארו היכן מבואר כן בגמ' לקמן, אפש"ל דכוונתם לדברי </w:t>
      </w:r>
      <w:r w:rsidRPr="004420B1">
        <w:rPr>
          <w:rStyle w:val="affa"/>
          <w:rtl/>
        </w:rPr>
        <w:t>הרשב"א</w:t>
      </w:r>
      <w:r w:rsidRPr="004420B1">
        <w:rPr>
          <w:rStyle w:val="afa"/>
          <w:rtl/>
        </w:rPr>
        <w:t xml:space="preserve"> </w:t>
      </w:r>
      <w:r w:rsidRPr="004420B1">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Ref13393299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פא)</w:t>
      </w:r>
      <w:r>
        <w:rPr>
          <w:rStyle w:val="aff6"/>
          <w:rtl/>
        </w:rPr>
        <w:fldChar w:fldCharType="end"/>
      </w:r>
      <w:r w:rsidRPr="004420B1">
        <w:rPr>
          <w:rStyle w:val="afa"/>
          <w:rtl/>
        </w:rPr>
        <w:t xml:space="preserve"> בשם </w:t>
      </w:r>
      <w:r w:rsidRPr="004420B1">
        <w:rPr>
          <w:rStyle w:val="affa"/>
          <w:rtl/>
        </w:rPr>
        <w:t>התוס'</w:t>
      </w:r>
      <w:r w:rsidRPr="004420B1">
        <w:rPr>
          <w:rStyle w:val="afa"/>
          <w:rtl/>
        </w:rPr>
        <w:t xml:space="preserve"> דביארו דאביי </w:t>
      </w:r>
      <w:r>
        <w:rPr>
          <w:rStyle w:val="afa"/>
          <w:rFonts w:hint="cs"/>
          <w:rtl/>
        </w:rPr>
        <w:t xml:space="preserve">בגמ' לקמן </w:t>
      </w:r>
      <w:r w:rsidRPr="004420B1">
        <w:rPr>
          <w:rStyle w:val="aff6"/>
          <w:rFonts w:hint="cs"/>
          <w:rtl/>
        </w:rPr>
        <w:t>(קח.)</w:t>
      </w:r>
      <w:r>
        <w:rPr>
          <w:rStyle w:val="afa"/>
          <w:rFonts w:hint="cs"/>
          <w:rtl/>
        </w:rPr>
        <w:t xml:space="preserve"> </w:t>
      </w:r>
      <w:r w:rsidRPr="004420B1">
        <w:rPr>
          <w:rStyle w:val="afa"/>
          <w:rtl/>
        </w:rPr>
        <w:t xml:space="preserve">למד טעמו ולא ממשו מבשר בחלב, כיון שבחלב לא יכול להיות מעורב ממשו של הבשר, </w:t>
      </w:r>
      <w:r w:rsidRPr="004420B1">
        <w:rPr>
          <w:rStyle w:val="afa"/>
          <w:sz w:val="8"/>
          <w:szCs w:val="12"/>
          <w:rtl/>
        </w:rPr>
        <w:t>[דהוא ניכר]</w:t>
      </w:r>
      <w:r w:rsidRPr="004420B1">
        <w:rPr>
          <w:rStyle w:val="afa"/>
          <w:rtl/>
        </w:rPr>
        <w:t>,</w:t>
      </w:r>
      <w:r>
        <w:rPr>
          <w:rStyle w:val="afa"/>
          <w:rFonts w:hint="cs"/>
          <w:rtl/>
        </w:rPr>
        <w:t xml:space="preserve"> ו</w:t>
      </w:r>
      <w:r w:rsidRPr="004420B1">
        <w:rPr>
          <w:rStyle w:val="afa"/>
          <w:rtl/>
        </w:rPr>
        <w:t xml:space="preserve">רק הטעם של הבשר יכול להיות מעורב בחלב, ואפ"ה אסרתו תורה, </w:t>
      </w:r>
      <w:r>
        <w:rPr>
          <w:rStyle w:val="afa"/>
          <w:rFonts w:hint="cs"/>
          <w:rtl/>
        </w:rPr>
        <w:t>ולכן</w:t>
      </w:r>
      <w:r w:rsidRPr="004420B1">
        <w:rPr>
          <w:rStyle w:val="afa"/>
          <w:rtl/>
        </w:rPr>
        <w:t xml:space="preserve"> קרינן לבשר בחלב טעמו ולא ממשו, אבל בבשר יכול להיות שיש בו גם את ממשות האיסור של החלב, שנבלע החלב בתוך הבשר ונמחה בו</w:t>
      </w:r>
      <w:r>
        <w:rPr>
          <w:rStyle w:val="afa"/>
          <w:rFonts w:hint="cs"/>
          <w:rtl/>
        </w:rPr>
        <w:t>.</w:t>
      </w:r>
    </w:p>
  </w:footnote>
  <w:footnote w:id="21">
    <w:p w:rsidR="00651E3B" w:rsidRDefault="00651E3B" w:rsidP="009A0058">
      <w:pPr>
        <w:pStyle w:val="ae"/>
        <w:rPr>
          <w:rtl/>
        </w:rPr>
      </w:pPr>
      <w:r>
        <w:rPr>
          <w:rStyle w:val="af0"/>
        </w:rPr>
        <w:footnoteRef/>
      </w:r>
      <w:r>
        <w:rPr>
          <w:rtl/>
        </w:rPr>
        <w:t xml:space="preserve"> </w:t>
      </w:r>
      <w:r w:rsidRPr="007E0C12">
        <w:rPr>
          <w:rFonts w:hint="cs"/>
          <w:rtl/>
        </w:rPr>
        <w:t xml:space="preserve">אבל </w:t>
      </w:r>
      <w:r w:rsidRPr="00016686">
        <w:rPr>
          <w:rStyle w:val="affa"/>
          <w:rFonts w:hint="cs"/>
          <w:rtl/>
        </w:rPr>
        <w:t>הפר"ח</w:t>
      </w:r>
      <w:r w:rsidRPr="007E0C12">
        <w:rPr>
          <w:rFonts w:hint="cs"/>
          <w:rtl/>
        </w:rPr>
        <w:t xml:space="preserve"> </w:t>
      </w:r>
      <w:r w:rsidRPr="00016686">
        <w:rPr>
          <w:rStyle w:val="aff6"/>
          <w:rFonts w:hint="cs"/>
          <w:rtl/>
        </w:rPr>
        <w:t>(או"ח סי' תמ"ב ריש סק"א)</w:t>
      </w:r>
      <w:r w:rsidRPr="007E0C12">
        <w:rPr>
          <w:rFonts w:hint="cs"/>
          <w:rtl/>
        </w:rPr>
        <w:t xml:space="preserve"> דחה את דברי </w:t>
      </w:r>
      <w:r w:rsidRPr="00016686">
        <w:rPr>
          <w:rStyle w:val="affa"/>
          <w:rFonts w:hint="cs"/>
          <w:rtl/>
        </w:rPr>
        <w:t>הב"י</w:t>
      </w:r>
      <w:r w:rsidRPr="007E0C12">
        <w:rPr>
          <w:rFonts w:hint="cs"/>
          <w:rtl/>
        </w:rPr>
        <w:t xml:space="preserve">, דאין ראיה מדברי </w:t>
      </w:r>
      <w:r w:rsidRPr="00016686">
        <w:rPr>
          <w:rStyle w:val="affa"/>
          <w:rFonts w:hint="cs"/>
          <w:rtl/>
        </w:rPr>
        <w:t>רש"י בפסחים</w:t>
      </w:r>
      <w:r w:rsidRPr="007E0C12">
        <w:rPr>
          <w:rFonts w:hint="cs"/>
          <w:rtl/>
        </w:rPr>
        <w:t xml:space="preserve"> </w:t>
      </w:r>
      <w:r w:rsidRPr="00016686">
        <w:rPr>
          <w:rStyle w:val="aff6"/>
          <w:rFonts w:hint="cs"/>
          <w:rtl/>
        </w:rPr>
        <w:t xml:space="preserve">(עי' אות </w:t>
      </w:r>
      <w:r w:rsidRPr="00016686">
        <w:rPr>
          <w:rStyle w:val="aff6"/>
          <w:rtl/>
        </w:rPr>
        <w:fldChar w:fldCharType="begin"/>
      </w:r>
      <w:r w:rsidRPr="00016686">
        <w:rPr>
          <w:rStyle w:val="aff6"/>
          <w:rtl/>
        </w:rPr>
        <w:instrText xml:space="preserve"> </w:instrText>
      </w:r>
      <w:r w:rsidRPr="00016686">
        <w:rPr>
          <w:rStyle w:val="aff6"/>
          <w:rFonts w:hint="cs"/>
        </w:rPr>
        <w:instrText>REF</w:instrText>
      </w:r>
      <w:r w:rsidRPr="00016686">
        <w:rPr>
          <w:rStyle w:val="aff6"/>
          <w:rFonts w:hint="cs"/>
          <w:rtl/>
        </w:rPr>
        <w:instrText xml:space="preserve"> _</w:instrText>
      </w:r>
      <w:r w:rsidRPr="00016686">
        <w:rPr>
          <w:rStyle w:val="aff6"/>
          <w:rFonts w:hint="cs"/>
        </w:rPr>
        <w:instrText>Ref13412357 \r \h</w:instrText>
      </w:r>
      <w:r w:rsidRPr="00016686">
        <w:rPr>
          <w:rStyle w:val="aff6"/>
          <w:rtl/>
        </w:rPr>
        <w:instrText xml:space="preserve">  \* </w:instrText>
      </w:r>
      <w:r w:rsidRPr="00016686">
        <w:rPr>
          <w:rStyle w:val="aff6"/>
        </w:rPr>
        <w:instrText>MERGEFORMAT</w:instrText>
      </w:r>
      <w:r w:rsidRPr="00016686">
        <w:rPr>
          <w:rStyle w:val="aff6"/>
          <w:rtl/>
        </w:rPr>
        <w:instrText xml:space="preserve"> </w:instrText>
      </w:r>
      <w:r w:rsidRPr="00016686">
        <w:rPr>
          <w:rStyle w:val="aff6"/>
          <w:rtl/>
        </w:rPr>
      </w:r>
      <w:r w:rsidRPr="00016686">
        <w:rPr>
          <w:rStyle w:val="aff6"/>
          <w:rtl/>
        </w:rPr>
        <w:fldChar w:fldCharType="separate"/>
      </w:r>
      <w:r>
        <w:rPr>
          <w:rStyle w:val="aff6"/>
          <w:cs/>
        </w:rPr>
        <w:t>‎</w:t>
      </w:r>
      <w:r>
        <w:rPr>
          <w:rStyle w:val="aff6"/>
          <w:rtl/>
        </w:rPr>
        <w:t>ז)</w:t>
      </w:r>
      <w:r w:rsidRPr="00016686">
        <w:rPr>
          <w:rStyle w:val="aff6"/>
          <w:rtl/>
        </w:rPr>
        <w:fldChar w:fldCharType="end"/>
      </w:r>
      <w:r w:rsidRPr="007E0C12">
        <w:rPr>
          <w:rFonts w:hint="cs"/>
          <w:rtl/>
        </w:rPr>
        <w:t xml:space="preserve"> דלא ס"ל כדברי </w:t>
      </w:r>
      <w:r w:rsidRPr="00016686">
        <w:rPr>
          <w:rStyle w:val="affa"/>
          <w:rFonts w:hint="cs"/>
          <w:rtl/>
        </w:rPr>
        <w:t>הרשב"א</w:t>
      </w:r>
      <w:r w:rsidRPr="007E0C12">
        <w:rPr>
          <w:rFonts w:hint="cs"/>
          <w:rtl/>
        </w:rPr>
        <w:t xml:space="preserve"> בשם </w:t>
      </w:r>
      <w:r w:rsidRPr="00016686">
        <w:rPr>
          <w:rStyle w:val="affa"/>
          <w:rFonts w:hint="cs"/>
          <w:rtl/>
        </w:rPr>
        <w:t>התוס'</w:t>
      </w:r>
      <w:r w:rsidRPr="007E0C12">
        <w:rPr>
          <w:rFonts w:hint="cs"/>
          <w:rtl/>
        </w:rPr>
        <w:t xml:space="preserve">, דאפש"ל </w:t>
      </w:r>
      <w:r w:rsidRPr="00016686">
        <w:rPr>
          <w:rStyle w:val="affa"/>
          <w:rFonts w:hint="cs"/>
          <w:rtl/>
        </w:rPr>
        <w:t>דרש"י</w:t>
      </w:r>
      <w:r w:rsidRPr="007E0C12">
        <w:rPr>
          <w:rFonts w:hint="cs"/>
          <w:rtl/>
        </w:rPr>
        <w:t xml:space="preserve"> איירי באופן שרק הטעם של החלב נבלע בבש</w:t>
      </w:r>
      <w:r w:rsidRPr="00016686">
        <w:rPr>
          <w:rFonts w:hint="cs"/>
          <w:rtl/>
        </w:rPr>
        <w:t xml:space="preserve">ר, אבל גוף החלב לא נבלע בבשר כלל, דהא בכה"ג איירי בגמ' בפסחים שם, בהו"א דר"ע יליף טעם כעיקר מבשר בחלב, וכתב </w:t>
      </w:r>
      <w:r w:rsidRPr="00016686">
        <w:rPr>
          <w:rStyle w:val="affa"/>
          <w:rFonts w:hint="cs"/>
          <w:rtl/>
        </w:rPr>
        <w:t>רש"י בפסחים</w:t>
      </w:r>
      <w:r w:rsidRPr="00016686">
        <w:rPr>
          <w:rFonts w:hint="cs"/>
          <w:rtl/>
        </w:rPr>
        <w:t xml:space="preserve"> </w:t>
      </w:r>
      <w:r w:rsidRPr="00016686">
        <w:rPr>
          <w:rStyle w:val="aff6"/>
          <w:rFonts w:hint="cs"/>
          <w:rtl/>
        </w:rPr>
        <w:t xml:space="preserve">(עי' אות </w:t>
      </w:r>
      <w:r w:rsidRPr="00016686">
        <w:rPr>
          <w:rStyle w:val="aff6"/>
          <w:rtl/>
        </w:rPr>
        <w:fldChar w:fldCharType="begin"/>
      </w:r>
      <w:r w:rsidRPr="00016686">
        <w:rPr>
          <w:rStyle w:val="aff6"/>
          <w:rtl/>
        </w:rPr>
        <w:instrText xml:space="preserve"> </w:instrText>
      </w:r>
      <w:r w:rsidRPr="00016686">
        <w:rPr>
          <w:rStyle w:val="aff6"/>
          <w:rFonts w:hint="cs"/>
        </w:rPr>
        <w:instrText>REF</w:instrText>
      </w:r>
      <w:r w:rsidRPr="00016686">
        <w:rPr>
          <w:rStyle w:val="aff6"/>
          <w:rFonts w:hint="cs"/>
          <w:rtl/>
        </w:rPr>
        <w:instrText xml:space="preserve"> _</w:instrText>
      </w:r>
      <w:r w:rsidRPr="00016686">
        <w:rPr>
          <w:rStyle w:val="aff6"/>
          <w:rFonts w:hint="cs"/>
        </w:rPr>
        <w:instrText>Ref13412531 \r \h</w:instrText>
      </w:r>
      <w:r w:rsidRPr="00016686">
        <w:rPr>
          <w:rStyle w:val="aff6"/>
          <w:rtl/>
        </w:rPr>
        <w:instrText xml:space="preserve">  \* </w:instrText>
      </w:r>
      <w:r w:rsidRPr="00016686">
        <w:rPr>
          <w:rStyle w:val="aff6"/>
        </w:rPr>
        <w:instrText>MERGEFORMAT</w:instrText>
      </w:r>
      <w:r w:rsidRPr="00016686">
        <w:rPr>
          <w:rStyle w:val="aff6"/>
          <w:rtl/>
        </w:rPr>
        <w:instrText xml:space="preserve"> </w:instrText>
      </w:r>
      <w:r w:rsidRPr="00016686">
        <w:rPr>
          <w:rStyle w:val="aff6"/>
          <w:rtl/>
        </w:rPr>
      </w:r>
      <w:r w:rsidRPr="00016686">
        <w:rPr>
          <w:rStyle w:val="aff6"/>
          <w:rtl/>
        </w:rPr>
        <w:fldChar w:fldCharType="separate"/>
      </w:r>
      <w:r>
        <w:rPr>
          <w:rStyle w:val="aff6"/>
          <w:cs/>
        </w:rPr>
        <w:t>‎</w:t>
      </w:r>
      <w:r>
        <w:rPr>
          <w:rStyle w:val="aff6"/>
          <w:rtl/>
        </w:rPr>
        <w:t>ו)</w:t>
      </w:r>
      <w:r w:rsidRPr="00016686">
        <w:rPr>
          <w:rStyle w:val="aff6"/>
          <w:rtl/>
        </w:rPr>
        <w:fldChar w:fldCharType="end"/>
      </w:r>
      <w:r w:rsidRPr="00016686">
        <w:rPr>
          <w:rFonts w:hint="cs"/>
          <w:rtl/>
        </w:rPr>
        <w:t xml:space="preserve"> דטעם כעיקר הוא כשאין מהעיקר כלל, ויש רק את טעמו, כגון שרה ענבים במים</w:t>
      </w:r>
      <w:r>
        <w:rPr>
          <w:rFonts w:hint="cs"/>
          <w:rtl/>
        </w:rPr>
        <w:t>.</w:t>
      </w:r>
    </w:p>
    <w:p w:rsidR="00651E3B" w:rsidRDefault="00651E3B" w:rsidP="009A0058">
      <w:pPr>
        <w:pStyle w:val="ae"/>
        <w:rPr>
          <w:rtl/>
        </w:rPr>
      </w:pPr>
      <w:r w:rsidRPr="00016686">
        <w:rPr>
          <w:rFonts w:hint="cs"/>
          <w:rtl/>
        </w:rPr>
        <w:t xml:space="preserve">והקשה </w:t>
      </w:r>
      <w:r w:rsidRPr="00016686">
        <w:rPr>
          <w:rStyle w:val="affa"/>
          <w:rFonts w:hint="cs"/>
          <w:rtl/>
        </w:rPr>
        <w:t>הפר"ח</w:t>
      </w:r>
      <w:r w:rsidRPr="00016686">
        <w:rPr>
          <w:rFonts w:hint="cs"/>
          <w:rtl/>
        </w:rPr>
        <w:t xml:space="preserve"> אמאי ביאר </w:t>
      </w:r>
      <w:r w:rsidRPr="00016686">
        <w:rPr>
          <w:rStyle w:val="affa"/>
          <w:rFonts w:hint="cs"/>
          <w:rtl/>
        </w:rPr>
        <w:t>רש"י בפסחים</w:t>
      </w:r>
      <w:r>
        <w:rPr>
          <w:rFonts w:hint="cs"/>
          <w:rtl/>
        </w:rPr>
        <w:t xml:space="preserve"> </w:t>
      </w:r>
      <w:r w:rsidRPr="007E0C12">
        <w:rPr>
          <w:rFonts w:hint="cs"/>
          <w:rtl/>
        </w:rPr>
        <w:t>כן, ולא פירש כשיטתו בכל טעם כעיקר, דא</w:t>
      </w:r>
      <w:r>
        <w:rPr>
          <w:rFonts w:hint="cs"/>
          <w:rtl/>
        </w:rPr>
        <w:t>יירי אף באופן שגוף האיסור נימוח.</w:t>
      </w:r>
    </w:p>
    <w:p w:rsidR="00651E3B" w:rsidRDefault="00651E3B" w:rsidP="009A0058">
      <w:pPr>
        <w:pStyle w:val="ae"/>
        <w:rPr>
          <w:rtl/>
        </w:rPr>
      </w:pPr>
      <w:r w:rsidRPr="007E0C12">
        <w:rPr>
          <w:rFonts w:hint="cs"/>
          <w:rtl/>
        </w:rPr>
        <w:t xml:space="preserve">ותירץ </w:t>
      </w:r>
      <w:r w:rsidRPr="00016686">
        <w:rPr>
          <w:rStyle w:val="affa"/>
          <w:rFonts w:hint="cs"/>
          <w:rtl/>
        </w:rPr>
        <w:t>הפר"ח</w:t>
      </w:r>
      <w:r w:rsidRPr="007E0C12">
        <w:rPr>
          <w:rFonts w:hint="cs"/>
          <w:rtl/>
        </w:rPr>
        <w:t xml:space="preserve"> דהוקשה </w:t>
      </w:r>
      <w:r w:rsidRPr="00016686">
        <w:rPr>
          <w:rStyle w:val="affa"/>
          <w:rFonts w:hint="cs"/>
          <w:rtl/>
        </w:rPr>
        <w:t>לרש"י</w:t>
      </w:r>
      <w:r w:rsidRPr="007E0C12">
        <w:rPr>
          <w:rFonts w:hint="cs"/>
          <w:rtl/>
        </w:rPr>
        <w:t xml:space="preserve"> דמה מקשה הגמ' על ר"ע מהיכן יליף דטעם כעיקר, והרי כיון דלר"ע ילפינן ממשרת דהיתר מצטרף לאיסור, א"כ ממילא מוכח דטעם כעיקר, ולכן ביאר </w:t>
      </w:r>
      <w:r w:rsidRPr="00016686">
        <w:rPr>
          <w:rStyle w:val="affa"/>
          <w:rFonts w:hint="cs"/>
          <w:rtl/>
        </w:rPr>
        <w:t>רש"י</w:t>
      </w:r>
      <w:r w:rsidRPr="007E0C12">
        <w:rPr>
          <w:rFonts w:hint="cs"/>
          <w:rtl/>
        </w:rPr>
        <w:t xml:space="preserve"> דקושית הגמ' היא על טעם גרוע שהוא שרה עבים במים, דאין בו ממשות כלל, וא"כ מוכח דבתירוץ הגמ' דילפינן מבשר בחלב, ג"כ איירי בטעם גרוע, שהוא טעם חלב שמובלע בבשר, ועיי"ש במה שהקשה </w:t>
      </w:r>
      <w:r w:rsidRPr="00016686">
        <w:rPr>
          <w:rStyle w:val="affa"/>
          <w:rFonts w:hint="cs"/>
          <w:rtl/>
        </w:rPr>
        <w:t>הפר"ח</w:t>
      </w:r>
      <w:r w:rsidRPr="007E0C12">
        <w:rPr>
          <w:rFonts w:hint="cs"/>
          <w:rtl/>
        </w:rPr>
        <w:t xml:space="preserve"> על דברי </w:t>
      </w:r>
      <w:r w:rsidRPr="00016686">
        <w:rPr>
          <w:rStyle w:val="affa"/>
          <w:rFonts w:hint="cs"/>
          <w:rtl/>
        </w:rPr>
        <w:t>רש"י</w:t>
      </w:r>
      <w:r w:rsidRPr="00016686">
        <w:rPr>
          <w:rStyle w:val="afa"/>
          <w:rFonts w:hint="cs"/>
          <w:rtl/>
        </w:rPr>
        <w:t>.</w:t>
      </w:r>
    </w:p>
    <w:p w:rsidR="00651E3B" w:rsidRDefault="00651E3B" w:rsidP="009A0058">
      <w:pPr>
        <w:pStyle w:val="ae"/>
        <w:rPr>
          <w:rtl/>
        </w:rPr>
      </w:pPr>
      <w:r w:rsidRPr="007E0C12">
        <w:rPr>
          <w:rFonts w:hint="cs"/>
          <w:rtl/>
        </w:rPr>
        <w:t xml:space="preserve">אך כתב </w:t>
      </w:r>
      <w:r w:rsidRPr="00030031">
        <w:rPr>
          <w:rStyle w:val="affa"/>
          <w:rFonts w:hint="cs"/>
          <w:rtl/>
        </w:rPr>
        <w:t>הנחל"ד</w:t>
      </w:r>
      <w:r w:rsidRPr="007E0C12">
        <w:rPr>
          <w:rFonts w:hint="cs"/>
          <w:rtl/>
        </w:rPr>
        <w:t xml:space="preserve"> </w:t>
      </w:r>
      <w:r w:rsidRPr="007E0C12">
        <w:rPr>
          <w:rStyle w:val="af6"/>
          <w:rFonts w:eastAsia="Guttman Hodes"/>
          <w:rtl/>
        </w:rPr>
        <w:t>(פסחים מג:, קונ' דברי דוד [מהדו' חד' עמ' ק</w:t>
      </w:r>
      <w:r w:rsidRPr="007E0C12">
        <w:rPr>
          <w:rStyle w:val="af6"/>
          <w:rFonts w:eastAsia="Guttman Hodes" w:hint="cs"/>
          <w:rtl/>
        </w:rPr>
        <w:t>כ</w:t>
      </w:r>
      <w:r w:rsidRPr="007E0C12">
        <w:rPr>
          <w:rStyle w:val="af6"/>
          <w:rFonts w:eastAsia="Guttman Hodes"/>
          <w:rtl/>
        </w:rPr>
        <w:t>"</w:t>
      </w:r>
      <w:r w:rsidRPr="007E0C12">
        <w:rPr>
          <w:rStyle w:val="af6"/>
          <w:rFonts w:eastAsia="Guttman Hodes" w:hint="cs"/>
          <w:rtl/>
        </w:rPr>
        <w:t>ו</w:t>
      </w:r>
      <w:r w:rsidRPr="007E0C12">
        <w:rPr>
          <w:rStyle w:val="af6"/>
          <w:rFonts w:eastAsia="Guttman Hodes"/>
          <w:rtl/>
        </w:rPr>
        <w:t xml:space="preserve">] ד"ה </w:t>
      </w:r>
      <w:r w:rsidRPr="007E0C12">
        <w:rPr>
          <w:rStyle w:val="af6"/>
          <w:rFonts w:eastAsia="Guttman Hodes" w:hint="cs"/>
          <w:rtl/>
        </w:rPr>
        <w:t xml:space="preserve">העולה ממה) </w:t>
      </w:r>
      <w:r w:rsidRPr="007E0C12">
        <w:rPr>
          <w:rFonts w:hint="cs"/>
          <w:rtl/>
        </w:rPr>
        <w:t>דהוא דוחק</w:t>
      </w:r>
      <w:r>
        <w:rPr>
          <w:rFonts w:hint="cs"/>
          <w:rtl/>
        </w:rPr>
        <w:t>,</w:t>
      </w:r>
      <w:r w:rsidRPr="007E0C12">
        <w:rPr>
          <w:rFonts w:hint="cs"/>
          <w:rtl/>
        </w:rPr>
        <w:t xml:space="preserve"> דלדברי </w:t>
      </w:r>
      <w:r w:rsidRPr="00030031">
        <w:rPr>
          <w:rStyle w:val="affa"/>
          <w:rFonts w:hint="cs"/>
          <w:rtl/>
        </w:rPr>
        <w:t>הפר"ח</w:t>
      </w:r>
      <w:r w:rsidRPr="007E0C12">
        <w:rPr>
          <w:rFonts w:hint="cs"/>
          <w:rtl/>
        </w:rPr>
        <w:t xml:space="preserve"> צ"ל דאיירי בחלב קשה כגבינה וכדו', אלא כתב </w:t>
      </w:r>
      <w:r w:rsidRPr="00030031">
        <w:rPr>
          <w:rStyle w:val="affa"/>
          <w:rFonts w:hint="cs"/>
          <w:rtl/>
        </w:rPr>
        <w:t>הנחל"ד</w:t>
      </w:r>
      <w:r w:rsidRPr="007E0C12">
        <w:rPr>
          <w:rFonts w:hint="cs"/>
          <w:rtl/>
        </w:rPr>
        <w:t xml:space="preserve"> דצ"ל שיש ט"ס בדברי רש"י דכתב דטעם החלב נבלע בבשר, וצריך לגרוס "והבשר בעיניה אלא שטעם הבשר נבלע בו", דהרי מ"</w:t>
      </w:r>
      <w:r>
        <w:rPr>
          <w:rFonts w:hint="cs"/>
          <w:rtl/>
        </w:rPr>
        <w:t>ש</w:t>
      </w:r>
      <w:r w:rsidRPr="007E0C12">
        <w:rPr>
          <w:rFonts w:hint="cs"/>
          <w:rtl/>
        </w:rPr>
        <w:t xml:space="preserve"> </w:t>
      </w:r>
      <w:r w:rsidRPr="00030031">
        <w:rPr>
          <w:rStyle w:val="affa"/>
          <w:rFonts w:hint="cs"/>
          <w:rtl/>
        </w:rPr>
        <w:t>רש"י</w:t>
      </w:r>
      <w:r w:rsidRPr="007E0C12">
        <w:rPr>
          <w:rFonts w:hint="cs"/>
          <w:rtl/>
        </w:rPr>
        <w:t xml:space="preserve"> דהבשר נשאר בעין, לכאו' הוא תמוה דפשיטא דהבשר בעין, אלא מבואר דכוונתו לומר דאף שהבשר נשאר בעין ויש בו רק טעם של חלב, מ"מ הוא אסור כיון שטעם החלב נבלע בו</w:t>
      </w:r>
      <w:r>
        <w:rPr>
          <w:rFonts w:hint="cs"/>
          <w:rtl/>
        </w:rPr>
        <w:t>.</w:t>
      </w:r>
    </w:p>
  </w:footnote>
  <w:footnote w:id="22">
    <w:p w:rsidR="00651E3B" w:rsidRDefault="00651E3B" w:rsidP="00FF684E">
      <w:pPr>
        <w:pStyle w:val="ae"/>
        <w:rPr>
          <w:rtl/>
        </w:rPr>
      </w:pPr>
      <w:r>
        <w:rPr>
          <w:rStyle w:val="af0"/>
        </w:rPr>
        <w:footnoteRef/>
      </w:r>
      <w:r>
        <w:rPr>
          <w:rFonts w:hint="cs"/>
          <w:rtl/>
        </w:rPr>
        <w:t xml:space="preserve"> במ"ש </w:t>
      </w:r>
      <w:r>
        <w:rPr>
          <w:rStyle w:val="affa"/>
          <w:rtl/>
        </w:rPr>
        <w:t>הרמב"ם</w:t>
      </w:r>
      <w:r>
        <w:rPr>
          <w:rFonts w:hint="cs"/>
          <w:rtl/>
        </w:rPr>
        <w:t xml:space="preserve"> דממשרת ילפינן לטעם כעיקר בכזית בכדי אכילת פרס, הקשה </w:t>
      </w:r>
      <w:r>
        <w:rPr>
          <w:rStyle w:val="affa"/>
          <w:rtl/>
        </w:rPr>
        <w:t>הפרמ"ג</w:t>
      </w:r>
      <w:r>
        <w:rPr>
          <w:rFonts w:hint="cs"/>
          <w:rtl/>
        </w:rPr>
        <w:t xml:space="preserve"> </w:t>
      </w:r>
      <w:r>
        <w:rPr>
          <w:rStyle w:val="aff6"/>
          <w:rtl/>
        </w:rPr>
        <w:t>(פתיחה להלכות פסח ח"ב פ"א אות ב' ד"ה השיטה השניה, בסוגריים)</w:t>
      </w:r>
      <w:r>
        <w:rPr>
          <w:rFonts w:hint="cs"/>
          <w:rtl/>
        </w:rPr>
        <w:t xml:space="preserve"> דהרי דין כזית בכדי אכילת פרס הוא נלמד מהלכה למשה מסיני, וביאר </w:t>
      </w:r>
      <w:r>
        <w:rPr>
          <w:rStyle w:val="affa"/>
          <w:rtl/>
        </w:rPr>
        <w:t>הפרמ"ג</w:t>
      </w:r>
      <w:r>
        <w:rPr>
          <w:rFonts w:hint="cs"/>
          <w:rtl/>
        </w:rPr>
        <w:t xml:space="preserve"> דס"ל </w:t>
      </w:r>
      <w:r>
        <w:rPr>
          <w:rStyle w:val="affa"/>
          <w:rtl/>
        </w:rPr>
        <w:t>להרמב"ם</w:t>
      </w:r>
      <w:r>
        <w:rPr>
          <w:rFonts w:hint="cs"/>
          <w:rtl/>
        </w:rPr>
        <w:t xml:space="preserve"> דבהלכה למשה מסיני נאמר בעל פה, שזהו הביאור בקרא דמשרת, וה"ה לשאר איסורים.</w:t>
      </w:r>
    </w:p>
  </w:footnote>
  <w:footnote w:id="23">
    <w:p w:rsidR="00651E3B" w:rsidRDefault="00651E3B" w:rsidP="007809D6">
      <w:pPr>
        <w:pStyle w:val="ae"/>
      </w:pPr>
      <w:r>
        <w:rPr>
          <w:rStyle w:val="af0"/>
        </w:rPr>
        <w:footnoteRef/>
      </w:r>
      <w:r>
        <w:rPr>
          <w:rtl/>
        </w:rPr>
        <w:t xml:space="preserve"> </w:t>
      </w:r>
      <w:r w:rsidRPr="00EB450E">
        <w:rPr>
          <w:rStyle w:val="affa"/>
          <w:rFonts w:hint="cs"/>
          <w:rtl/>
        </w:rPr>
        <w:t>החוו"ד</w:t>
      </w:r>
      <w:r>
        <w:rPr>
          <w:rFonts w:hint="cs"/>
          <w:rtl/>
        </w:rPr>
        <w:t xml:space="preserve"> כתב דבפגום במקצת ההיתר הוא כיון דלא ניחא ליה בטעם, וציין </w:t>
      </w:r>
      <w:r w:rsidRPr="00EB450E">
        <w:rPr>
          <w:rStyle w:val="affa"/>
          <w:rFonts w:hint="cs"/>
          <w:rtl/>
        </w:rPr>
        <w:t>החוו"ד</w:t>
      </w:r>
      <w:r>
        <w:rPr>
          <w:rFonts w:hint="cs"/>
          <w:rtl/>
        </w:rPr>
        <w:t xml:space="preserve"> לתחילת דבריו, דהביא את דברי </w:t>
      </w:r>
      <w:r w:rsidRPr="00EB450E">
        <w:rPr>
          <w:rStyle w:val="affa"/>
          <w:rFonts w:hint="cs"/>
          <w:rtl/>
        </w:rPr>
        <w:t>הרשב"א והר"ן</w:t>
      </w:r>
      <w:r>
        <w:rPr>
          <w:rFonts w:hint="cs"/>
          <w:rtl/>
        </w:rPr>
        <w:t xml:space="preserve">, ומשמע דכוונתו לבאר כן בין לדעת </w:t>
      </w:r>
      <w:r w:rsidRPr="00EB450E">
        <w:rPr>
          <w:rStyle w:val="affa"/>
          <w:rFonts w:hint="cs"/>
          <w:rtl/>
        </w:rPr>
        <w:t>הרשב"א</w:t>
      </w:r>
      <w:r>
        <w:rPr>
          <w:rFonts w:hint="cs"/>
          <w:rtl/>
        </w:rPr>
        <w:t xml:space="preserve"> ובין לדעת </w:t>
      </w:r>
      <w:r w:rsidRPr="00EB450E">
        <w:rPr>
          <w:rStyle w:val="affa"/>
          <w:rFonts w:hint="cs"/>
          <w:rtl/>
        </w:rPr>
        <w:t>הר"ן</w:t>
      </w:r>
      <w:r>
        <w:rPr>
          <w:rFonts w:hint="cs"/>
          <w:rtl/>
        </w:rPr>
        <w:t>, ויל"ע.</w:t>
      </w:r>
    </w:p>
  </w:footnote>
  <w:footnote w:id="24">
    <w:p w:rsidR="00651E3B" w:rsidRPr="002B7BA7" w:rsidRDefault="00651E3B" w:rsidP="007809D6">
      <w:pPr>
        <w:pStyle w:val="ae"/>
        <w:rPr>
          <w:rtl/>
        </w:rPr>
      </w:pPr>
      <w:r w:rsidRPr="002B7BA7">
        <w:rPr>
          <w:rStyle w:val="af0"/>
        </w:rPr>
        <w:footnoteRef/>
      </w:r>
      <w:r w:rsidRPr="002B7BA7">
        <w:rPr>
          <w:rtl/>
        </w:rPr>
        <w:t xml:space="preserve"> </w:t>
      </w:r>
      <w:r w:rsidRPr="002B7BA7">
        <w:rPr>
          <w:rStyle w:val="afa"/>
          <w:rFonts w:hint="cs"/>
          <w:rtl/>
        </w:rPr>
        <w:t>ותירץ</w:t>
      </w:r>
      <w:r w:rsidRPr="002B7BA7">
        <w:rPr>
          <w:rStyle w:val="afa"/>
          <w:rtl/>
        </w:rPr>
        <w:t xml:space="preserve"> </w:t>
      </w:r>
      <w:r w:rsidRPr="002B7BA7">
        <w:rPr>
          <w:rStyle w:val="affa"/>
          <w:rtl/>
        </w:rPr>
        <w:t>הרא"ה בבד"ה</w:t>
      </w:r>
      <w:r w:rsidRPr="002B7BA7">
        <w:rPr>
          <w:rStyle w:val="afa"/>
          <w:rtl/>
        </w:rPr>
        <w:t xml:space="preserve"> </w:t>
      </w:r>
      <w:r w:rsidRPr="002B7BA7">
        <w:rPr>
          <w:rStyle w:val="aff6"/>
          <w:rtl/>
        </w:rPr>
        <w:t>(ב"ד ש"א יט. מדה"ס)</w:t>
      </w:r>
      <w:r w:rsidRPr="002B7BA7">
        <w:rPr>
          <w:rStyle w:val="afa"/>
          <w:rtl/>
        </w:rPr>
        <w:t xml:space="preserve"> </w:t>
      </w:r>
      <w:r w:rsidRPr="002B7BA7">
        <w:rPr>
          <w:rtl/>
        </w:rPr>
        <w:t>דכיון דקדירה שאינה בת יומא בסתמא היא יבשה, עד שהפליטה שלה אינה נותנת טעם, לכן א"צ לשער בכולה</w:t>
      </w:r>
      <w:r w:rsidRPr="002B7BA7">
        <w:rPr>
          <w:rFonts w:hint="cs"/>
          <w:rtl/>
        </w:rPr>
        <w:t>.</w:t>
      </w:r>
    </w:p>
    <w:p w:rsidR="00651E3B" w:rsidRPr="009652CC" w:rsidRDefault="00651E3B" w:rsidP="007809D6">
      <w:pPr>
        <w:pStyle w:val="ae"/>
        <w:rPr>
          <w:rtl/>
        </w:rPr>
      </w:pPr>
      <w:r w:rsidRPr="002B7BA7">
        <w:rPr>
          <w:rStyle w:val="afa"/>
          <w:rFonts w:hint="cs"/>
          <w:rtl/>
        </w:rPr>
        <w:t>אך דחה</w:t>
      </w:r>
      <w:r w:rsidRPr="002B7BA7">
        <w:rPr>
          <w:rtl/>
        </w:rPr>
        <w:t xml:space="preserve"> </w:t>
      </w:r>
      <w:r w:rsidRPr="002B7BA7">
        <w:rPr>
          <w:rStyle w:val="affa"/>
          <w:rtl/>
        </w:rPr>
        <w:t>הרשב"א במשה"ב</w:t>
      </w:r>
      <w:r w:rsidRPr="002B7BA7">
        <w:rPr>
          <w:rtl/>
        </w:rPr>
        <w:t xml:space="preserve"> </w:t>
      </w:r>
      <w:r w:rsidRPr="002B7BA7">
        <w:rPr>
          <w:rStyle w:val="aff6"/>
          <w:rtl/>
        </w:rPr>
        <w:t xml:space="preserve">(ב"ד ש"א יט: מדה"ס) </w:t>
      </w:r>
      <w:r w:rsidRPr="002B7BA7">
        <w:rPr>
          <w:rtl/>
        </w:rPr>
        <w:t>דאי אין בה נותן טעם א"כ אמאי צריך להתירה מדין נותן טעם לפגם, והרי אינה נותנת טעם כלל, וכן לדעת ר"מ דיליף מגיעולי עכו"ם דאסרה</w:t>
      </w:r>
      <w:r w:rsidRPr="009652CC">
        <w:rPr>
          <w:rtl/>
        </w:rPr>
        <w:t xml:space="preserve"> תורה בקדירה שאינה בת יומא, דנותן טעם לפגם אסור, והרי לדברי הרא"ה בקדירה שאינה בת יומא, אין כל נתינת טעם, וכן הקשה </w:t>
      </w:r>
      <w:r w:rsidRPr="009652CC">
        <w:rPr>
          <w:rStyle w:val="affa"/>
          <w:rtl/>
        </w:rPr>
        <w:t>הרשב"א במשה"ב</w:t>
      </w:r>
      <w:r w:rsidRPr="009652CC">
        <w:rPr>
          <w:rtl/>
        </w:rPr>
        <w:t xml:space="preserve"> מדברי רב ושמואל בגמ' בפסחים </w:t>
      </w:r>
      <w:r w:rsidRPr="009652CC">
        <w:rPr>
          <w:rStyle w:val="aff6"/>
          <w:rtl/>
        </w:rPr>
        <w:t>(ל.)</w:t>
      </w:r>
      <w:r w:rsidRPr="009652CC">
        <w:rPr>
          <w:rtl/>
        </w:rPr>
        <w:t xml:space="preserve"> דאוסרים בפסח קדירות שבישלו בהם חמץ, ולרב צריך לשוברם ולשמואל צריך להשהותם, ולדברי </w:t>
      </w:r>
      <w:r w:rsidRPr="009652CC">
        <w:rPr>
          <w:rStyle w:val="affa"/>
          <w:rtl/>
        </w:rPr>
        <w:t>הרא"ה</w:t>
      </w:r>
      <w:r w:rsidRPr="009652CC">
        <w:rPr>
          <w:rtl/>
        </w:rPr>
        <w:t xml:space="preserve"> כיון שאינם ב</w:t>
      </w:r>
      <w:r w:rsidRPr="009652CC">
        <w:rPr>
          <w:rFonts w:hint="cs"/>
          <w:rtl/>
        </w:rPr>
        <w:t>ני</w:t>
      </w:r>
      <w:r w:rsidRPr="009652CC">
        <w:rPr>
          <w:rtl/>
        </w:rPr>
        <w:t xml:space="preserve"> יומם והתייבשו אין בהם כל דבר מהאיסור, וכן הקשה </w:t>
      </w:r>
      <w:r w:rsidRPr="009652CC">
        <w:rPr>
          <w:rStyle w:val="affa"/>
          <w:rtl/>
        </w:rPr>
        <w:t>הרשב"א במשה"ב</w:t>
      </w:r>
      <w:r w:rsidRPr="009652CC">
        <w:rPr>
          <w:rtl/>
        </w:rPr>
        <w:t xml:space="preserve"> מהגמ'</w:t>
      </w:r>
      <w:r>
        <w:rPr>
          <w:rtl/>
        </w:rPr>
        <w:t xml:space="preserve"> </w:t>
      </w:r>
      <w:r w:rsidRPr="009652CC">
        <w:rPr>
          <w:rtl/>
        </w:rPr>
        <w:t xml:space="preserve">לקמן </w:t>
      </w:r>
      <w:r w:rsidRPr="009652CC">
        <w:rPr>
          <w:rStyle w:val="aff6"/>
          <w:rtl/>
        </w:rPr>
        <w:t>(עה.)</w:t>
      </w:r>
      <w:r w:rsidRPr="009652CC">
        <w:rPr>
          <w:rtl/>
        </w:rPr>
        <w:t xml:space="preserve"> דכלי יין נסך צריך ליישנם י"ב חודש, ומוכח דאף שאינם בני יומם אינם יבשים לגמרי.</w:t>
      </w:r>
      <w:r w:rsidRPr="006E7553">
        <w:rPr>
          <w:rStyle w:val="afa"/>
          <w:rFonts w:hint="cs"/>
          <w:rtl/>
        </w:rPr>
        <w:t xml:space="preserve"> </w:t>
      </w:r>
      <w:r>
        <w:rPr>
          <w:rStyle w:val="afa"/>
          <w:rFonts w:hint="cs"/>
          <w:rtl/>
        </w:rPr>
        <w:t xml:space="preserve">ובעיקר </w:t>
      </w:r>
      <w:r w:rsidRPr="009652CC">
        <w:rPr>
          <w:rStyle w:val="afa"/>
          <w:rtl/>
        </w:rPr>
        <w:t xml:space="preserve">קושית </w:t>
      </w:r>
      <w:r w:rsidRPr="009652CC">
        <w:rPr>
          <w:rStyle w:val="affa"/>
          <w:rtl/>
        </w:rPr>
        <w:t>הרשב"א</w:t>
      </w:r>
      <w:r w:rsidRPr="009652CC">
        <w:rPr>
          <w:rStyle w:val="afa"/>
          <w:rtl/>
        </w:rPr>
        <w:t xml:space="preserve"> תירץ</w:t>
      </w:r>
      <w:r w:rsidRPr="009652CC">
        <w:rPr>
          <w:rStyle w:val="affa"/>
          <w:rtl/>
        </w:rPr>
        <w:t xml:space="preserve"> הפליתי</w:t>
      </w:r>
      <w:r w:rsidRPr="009652CC">
        <w:rPr>
          <w:rStyle w:val="afa"/>
          <w:rtl/>
        </w:rPr>
        <w:t xml:space="preserve"> </w:t>
      </w:r>
      <w:r w:rsidRPr="009652CC">
        <w:rPr>
          <w:rStyle w:val="aff6"/>
          <w:rtl/>
        </w:rPr>
        <w:t>(סי' ק"ג סק"ג)</w:t>
      </w:r>
      <w:r w:rsidRPr="009652CC">
        <w:rPr>
          <w:rStyle w:val="afa"/>
          <w:rtl/>
        </w:rPr>
        <w:t xml:space="preserve"> דהקדירה פולטת רק את מה שבלוע בה כנגד המקום שמבשל בה, ולכן אם מבשל בכל הכלי</w:t>
      </w:r>
      <w:r w:rsidRPr="009652CC">
        <w:rPr>
          <w:rtl/>
        </w:rPr>
        <w:t>, ודאי שיש בתבשיל שבתוך הקדירה, יותר ממה שבלוע בדפני הקדירה, ואם אינו מבשל בכולי, מ"מ הפליטה היא רק כנגד החלק שמבשל בו, ויש בתבשיל באותו החלק של הקדירה, יותר ממה שבלוע בדפני הקדירה.</w:t>
      </w:r>
      <w:r>
        <w:rPr>
          <w:rFonts w:hint="cs"/>
          <w:rtl/>
        </w:rPr>
        <w:t xml:space="preserve"> [ועי' במה שתירץ </w:t>
      </w:r>
      <w:r w:rsidRPr="00E11029">
        <w:rPr>
          <w:rStyle w:val="affa"/>
          <w:rFonts w:hint="cs"/>
          <w:rtl/>
        </w:rPr>
        <w:t>החת"ס</w:t>
      </w:r>
      <w:r>
        <w:rPr>
          <w:rStyle w:val="affa"/>
          <w:rFonts w:hint="cs"/>
          <w:rtl/>
        </w:rPr>
        <w:t xml:space="preserve"> </w:t>
      </w:r>
      <w:r w:rsidRPr="005B33F7">
        <w:rPr>
          <w:rStyle w:val="aff6"/>
          <w:rFonts w:hint="cs"/>
          <w:rtl/>
        </w:rPr>
        <w:t xml:space="preserve">(סז. ד"ה </w:t>
      </w:r>
      <w:r>
        <w:rPr>
          <w:rStyle w:val="aff6"/>
          <w:rFonts w:hint="cs"/>
          <w:rtl/>
        </w:rPr>
        <w:t>אך הרשב"א</w:t>
      </w:r>
      <w:r w:rsidRPr="005B33F7">
        <w:rPr>
          <w:rStyle w:val="aff6"/>
          <w:rFonts w:hint="cs"/>
          <w:rtl/>
        </w:rPr>
        <w:t xml:space="preserve">) </w:t>
      </w:r>
      <w:r>
        <w:rPr>
          <w:rStyle w:val="afa"/>
          <w:rFonts w:hint="cs"/>
          <w:rtl/>
        </w:rPr>
        <w:t xml:space="preserve">את קושית </w:t>
      </w:r>
      <w:r>
        <w:rPr>
          <w:rStyle w:val="affa"/>
          <w:rFonts w:hint="cs"/>
          <w:rtl/>
        </w:rPr>
        <w:t>הרשב"א</w:t>
      </w:r>
      <w:r>
        <w:rPr>
          <w:rStyle w:val="afa"/>
          <w:rFonts w:hint="cs"/>
          <w:rtl/>
        </w:rPr>
        <w:t>].</w:t>
      </w:r>
    </w:p>
  </w:footnote>
  <w:footnote w:id="25">
    <w:p w:rsidR="00651E3B" w:rsidRPr="009652CC" w:rsidRDefault="00651E3B" w:rsidP="007809D6">
      <w:pPr>
        <w:pStyle w:val="ae"/>
        <w:rPr>
          <w:rStyle w:val="afa"/>
          <w:rtl/>
        </w:rPr>
      </w:pPr>
      <w:r w:rsidRPr="009652CC">
        <w:rPr>
          <w:rStyle w:val="af0"/>
        </w:rPr>
        <w:footnoteRef/>
      </w:r>
      <w:r w:rsidRPr="009652CC">
        <w:rPr>
          <w:rtl/>
        </w:rPr>
        <w:t xml:space="preserve"> </w:t>
      </w:r>
      <w:r w:rsidRPr="009652CC">
        <w:rPr>
          <w:rStyle w:val="afa"/>
          <w:rFonts w:hint="cs"/>
          <w:rtl/>
        </w:rPr>
        <w:t>ו</w:t>
      </w:r>
      <w:r w:rsidRPr="009652CC">
        <w:rPr>
          <w:rStyle w:val="afa"/>
          <w:rtl/>
        </w:rPr>
        <w:t xml:space="preserve">הקשה </w:t>
      </w:r>
      <w:r w:rsidRPr="009652CC">
        <w:rPr>
          <w:rStyle w:val="affa"/>
          <w:rtl/>
        </w:rPr>
        <w:t>הרא"ה בבד"ה</w:t>
      </w:r>
      <w:r w:rsidRPr="009652CC">
        <w:rPr>
          <w:rStyle w:val="afa"/>
          <w:rtl/>
        </w:rPr>
        <w:t xml:space="preserve"> </w:t>
      </w:r>
      <w:r w:rsidRPr="009652CC">
        <w:rPr>
          <w:rStyle w:val="aff6"/>
          <w:rtl/>
        </w:rPr>
        <w:t>(ב"ד ש"א יט. מדה"ס)</w:t>
      </w:r>
      <w:r w:rsidRPr="009652CC">
        <w:rPr>
          <w:rStyle w:val="afa"/>
          <w:rtl/>
        </w:rPr>
        <w:t xml:space="preserve"> ד</w:t>
      </w:r>
      <w:r w:rsidRPr="009652CC">
        <w:rPr>
          <w:rStyle w:val="afa"/>
          <w:rFonts w:hint="cs"/>
          <w:rtl/>
        </w:rPr>
        <w:t xml:space="preserve">אי </w:t>
      </w:r>
      <w:r w:rsidRPr="009652CC">
        <w:rPr>
          <w:rStyle w:val="afa"/>
          <w:rtl/>
        </w:rPr>
        <w:t xml:space="preserve">ההיתר בקדירה שאינה בת יומא, הוא כיון דבתערובת אין איסור טעם כעיקר בטעם פגום, א"כ כל ההיתר הוא רק כשהאיסור נפלט מהקדירה, ונתן טעם פגום בתבשיל, אבל כ"ז שהאיסור בלוע בתוך הקדירה הוא אסור מדאו', דהא אינו בתערובת והבלוע עצמו אינו פגום לגמרי והוא ראוי לאכילת גר, וא"כ מדאו' אסור לבשל בקדירה שאינה בת יומא, את"ל דמדאו' אין מבטלין איסור לכתחילה, [והוסיף </w:t>
      </w:r>
      <w:r w:rsidRPr="009652CC">
        <w:rPr>
          <w:rStyle w:val="affa"/>
          <w:rtl/>
        </w:rPr>
        <w:t>הרא"ה בבד"ה</w:t>
      </w:r>
      <w:r w:rsidRPr="009652CC">
        <w:rPr>
          <w:rStyle w:val="afa"/>
          <w:rtl/>
        </w:rPr>
        <w:t xml:space="preserve"> דמסתבר דמדאו' אסור לבטל חתיכת נבילה בב' חתיכות של היתר במין במינו], והרי קיי"ל דקדירה שאינה בת יומא מותרת מדאו'</w:t>
      </w:r>
      <w:r w:rsidRPr="009652CC">
        <w:rPr>
          <w:rStyle w:val="afa"/>
          <w:rFonts w:hint="cs"/>
          <w:rtl/>
        </w:rPr>
        <w:t>.</w:t>
      </w:r>
      <w:r>
        <w:rPr>
          <w:rStyle w:val="afa"/>
          <w:rFonts w:hint="cs"/>
          <w:rtl/>
        </w:rPr>
        <w:t xml:space="preserve"> [ועי' במה שביאר </w:t>
      </w:r>
      <w:r w:rsidRPr="00E11029">
        <w:rPr>
          <w:rStyle w:val="affa"/>
          <w:rFonts w:hint="cs"/>
          <w:rtl/>
        </w:rPr>
        <w:t>החת"ס</w:t>
      </w:r>
      <w:r>
        <w:rPr>
          <w:rStyle w:val="affa"/>
          <w:rFonts w:hint="cs"/>
          <w:rtl/>
        </w:rPr>
        <w:t xml:space="preserve"> </w:t>
      </w:r>
      <w:r w:rsidRPr="005B33F7">
        <w:rPr>
          <w:rStyle w:val="aff6"/>
          <w:rFonts w:hint="cs"/>
          <w:rtl/>
        </w:rPr>
        <w:t xml:space="preserve">(סז. ד"ה והרא"ה) </w:t>
      </w:r>
      <w:r>
        <w:rPr>
          <w:rStyle w:val="afa"/>
          <w:rFonts w:hint="cs"/>
          <w:rtl/>
        </w:rPr>
        <w:t xml:space="preserve">את קושית </w:t>
      </w:r>
      <w:r w:rsidRPr="00E11029">
        <w:rPr>
          <w:rStyle w:val="affa"/>
          <w:rFonts w:hint="cs"/>
          <w:rtl/>
        </w:rPr>
        <w:t>הרא"ה</w:t>
      </w:r>
      <w:r>
        <w:rPr>
          <w:rStyle w:val="afa"/>
          <w:rFonts w:hint="cs"/>
          <w:rtl/>
        </w:rPr>
        <w:t>].</w:t>
      </w:r>
    </w:p>
    <w:p w:rsidR="00651E3B" w:rsidRPr="006E7553" w:rsidRDefault="00651E3B" w:rsidP="007809D6">
      <w:pPr>
        <w:pStyle w:val="ae"/>
        <w:rPr>
          <w:rFonts w:ascii="Guttman Hodes" w:eastAsia="Guttman Hodes" w:hAnsi="Guttman Hodes"/>
          <w:noProof/>
          <w:sz w:val="10"/>
          <w:rtl/>
        </w:rPr>
      </w:pPr>
      <w:r w:rsidRPr="009652CC">
        <w:rPr>
          <w:rStyle w:val="afa"/>
          <w:rtl/>
        </w:rPr>
        <w:t xml:space="preserve">ותירץ </w:t>
      </w:r>
      <w:r w:rsidRPr="009652CC">
        <w:rPr>
          <w:rStyle w:val="affa"/>
          <w:rtl/>
        </w:rPr>
        <w:t>הרשב"א במשה"ב</w:t>
      </w:r>
      <w:r w:rsidRPr="009652CC">
        <w:rPr>
          <w:rStyle w:val="afa"/>
          <w:rtl/>
        </w:rPr>
        <w:t xml:space="preserve"> </w:t>
      </w:r>
      <w:r w:rsidRPr="009652CC">
        <w:rPr>
          <w:rStyle w:val="aff6"/>
          <w:rtl/>
        </w:rPr>
        <w:t>(ב"ד ש"א יט. מדה"ס)</w:t>
      </w:r>
      <w:r w:rsidRPr="009652CC">
        <w:rPr>
          <w:rStyle w:val="afa"/>
          <w:rtl/>
        </w:rPr>
        <w:t xml:space="preserve"> דהאיסור בביטול איסור לכתחילה, הוא מדרבנן ולא מדאו', עיי"ש בדבריו</w:t>
      </w:r>
      <w:r w:rsidRPr="009652CC">
        <w:rPr>
          <w:rStyle w:val="afa"/>
          <w:rFonts w:hint="cs"/>
          <w:rtl/>
        </w:rPr>
        <w:t>.</w:t>
      </w:r>
    </w:p>
  </w:footnote>
  <w:footnote w:id="26">
    <w:p w:rsidR="00651E3B" w:rsidRDefault="00651E3B" w:rsidP="007809D6">
      <w:pPr>
        <w:pStyle w:val="ae"/>
        <w:rPr>
          <w:rtl/>
        </w:rPr>
      </w:pPr>
      <w:r>
        <w:rPr>
          <w:rStyle w:val="af0"/>
        </w:rPr>
        <w:footnoteRef/>
      </w:r>
      <w:r>
        <w:rPr>
          <w:rtl/>
        </w:rPr>
        <w:t xml:space="preserve"> וכתב </w:t>
      </w:r>
      <w:r w:rsidRPr="002020B6">
        <w:rPr>
          <w:rStyle w:val="affa"/>
          <w:rtl/>
        </w:rPr>
        <w:t>היד יהודה</w:t>
      </w:r>
      <w:r>
        <w:rPr>
          <w:rtl/>
        </w:rPr>
        <w:t xml:space="preserve"> דכן מוכח בדברי </w:t>
      </w:r>
      <w:r w:rsidRPr="002020B6">
        <w:rPr>
          <w:rStyle w:val="affa"/>
          <w:rtl/>
        </w:rPr>
        <w:t>הרשב"א בתוה"ב</w:t>
      </w:r>
      <w:r>
        <w:rPr>
          <w:rtl/>
        </w:rPr>
        <w:t xml:space="preserve"> </w:t>
      </w:r>
      <w:r w:rsidRPr="002020B6">
        <w:rPr>
          <w:rStyle w:val="aff6"/>
          <w:rtl/>
        </w:rPr>
        <w:t xml:space="preserve">(עי' </w:t>
      </w:r>
      <w:r w:rsidRPr="0032660E">
        <w:rPr>
          <w:rStyle w:val="aff6"/>
          <w:rtl/>
        </w:rPr>
        <w:t xml:space="preserve">אות </w:t>
      </w:r>
      <w:r w:rsidRPr="0032660E">
        <w:rPr>
          <w:rStyle w:val="aff6"/>
          <w:cs/>
        </w:rPr>
        <w:t>‎</w:t>
      </w:r>
      <w:r w:rsidRPr="0032660E">
        <w:rPr>
          <w:rStyle w:val="aff6"/>
          <w:rtl/>
        </w:rPr>
        <w:fldChar w:fldCharType="begin"/>
      </w:r>
      <w:r w:rsidRPr="0032660E">
        <w:rPr>
          <w:rStyle w:val="aff6"/>
          <w:rtl/>
        </w:rPr>
        <w:instrText xml:space="preserve"> </w:instrText>
      </w:r>
      <w:r w:rsidRPr="0032660E">
        <w:rPr>
          <w:rStyle w:val="aff6"/>
        </w:rPr>
        <w:instrText>REF</w:instrText>
      </w:r>
      <w:r w:rsidRPr="0032660E">
        <w:rPr>
          <w:rStyle w:val="aff6"/>
          <w:rtl/>
        </w:rPr>
        <w:instrText xml:space="preserve"> _</w:instrText>
      </w:r>
      <w:r w:rsidRPr="0032660E">
        <w:rPr>
          <w:rStyle w:val="aff6"/>
        </w:rPr>
        <w:instrText>Ref16848044 \r \h</w:instrText>
      </w:r>
      <w:r w:rsidRPr="0032660E">
        <w:rPr>
          <w:rStyle w:val="aff6"/>
          <w:rtl/>
        </w:rPr>
        <w:instrText xml:space="preserve"> </w:instrText>
      </w:r>
      <w:r w:rsidRPr="0032660E">
        <w:rPr>
          <w:rStyle w:val="aff6"/>
          <w:rtl/>
        </w:rPr>
      </w:r>
      <w:r w:rsidRPr="0032660E">
        <w:rPr>
          <w:rStyle w:val="aff6"/>
          <w:rtl/>
        </w:rPr>
        <w:fldChar w:fldCharType="separate"/>
      </w:r>
      <w:r>
        <w:rPr>
          <w:rStyle w:val="aff6"/>
          <w:cs/>
        </w:rPr>
        <w:t>‎</w:t>
      </w:r>
      <w:r>
        <w:rPr>
          <w:rStyle w:val="aff6"/>
          <w:rtl/>
        </w:rPr>
        <w:t>כב)</w:t>
      </w:r>
      <w:r w:rsidRPr="0032660E">
        <w:rPr>
          <w:rStyle w:val="aff6"/>
          <w:rtl/>
        </w:rPr>
        <w:fldChar w:fldCharType="end"/>
      </w:r>
      <w:r>
        <w:rPr>
          <w:rtl/>
        </w:rPr>
        <w:t xml:space="preserve"> דהקשה דאמאי מותר נותן טעם לפגם באיסור שפגום מעיקרו, הרי אם יש בתערובת כזית בכדי אכילת פרס מהאיסור, הוא טועם את האיסור בעצמו שאסרתו תורה אף שהוא פגום, והיאך מותר לאוכלו בתוך התערובת כיון שפגם אותה, וכתב </w:t>
      </w:r>
      <w:r w:rsidRPr="002020B6">
        <w:rPr>
          <w:rStyle w:val="affa"/>
          <w:rtl/>
        </w:rPr>
        <w:t>היד יהודה</w:t>
      </w:r>
      <w:r>
        <w:rPr>
          <w:rtl/>
        </w:rPr>
        <w:t xml:space="preserve"> דמבואר מדברי </w:t>
      </w:r>
      <w:r w:rsidRPr="002020B6">
        <w:rPr>
          <w:rStyle w:val="affa"/>
          <w:rtl/>
        </w:rPr>
        <w:t>הרשב"א</w:t>
      </w:r>
      <w:r>
        <w:rPr>
          <w:rtl/>
        </w:rPr>
        <w:t xml:space="preserve"> דכל ההיתר בנותן טעם לפגם הוא כיון דהטעם הפגום עצמו מותר, ולכן גוף האיסור מתבטל ברוב, ולכן הוקשה </w:t>
      </w:r>
      <w:r w:rsidRPr="002020B6">
        <w:rPr>
          <w:rStyle w:val="affa"/>
          <w:rtl/>
        </w:rPr>
        <w:t>לרשב"א</w:t>
      </w:r>
      <w:r>
        <w:rPr>
          <w:rtl/>
        </w:rPr>
        <w:t xml:space="preserve"> דבפגום מעיקרו הטעם הפגום עצמו אסור.</w:t>
      </w:r>
    </w:p>
    <w:p w:rsidR="00651E3B" w:rsidRDefault="00651E3B" w:rsidP="007809D6">
      <w:pPr>
        <w:pStyle w:val="ae"/>
        <w:rPr>
          <w:rtl/>
        </w:rPr>
      </w:pPr>
      <w:r>
        <w:rPr>
          <w:rtl/>
        </w:rPr>
        <w:t xml:space="preserve">וכתב </w:t>
      </w:r>
      <w:r w:rsidRPr="002020B6">
        <w:rPr>
          <w:rStyle w:val="affa"/>
          <w:rtl/>
        </w:rPr>
        <w:t>היד יהודה</w:t>
      </w:r>
      <w:r>
        <w:rPr>
          <w:rtl/>
        </w:rPr>
        <w:t xml:space="preserve"> דע"ז תירץ </w:t>
      </w:r>
      <w:r w:rsidRPr="002020B6">
        <w:rPr>
          <w:rStyle w:val="affa"/>
          <w:rtl/>
        </w:rPr>
        <w:t>הרשב"א</w:t>
      </w:r>
      <w:r>
        <w:rPr>
          <w:rtl/>
        </w:rPr>
        <w:t xml:space="preserve"> </w:t>
      </w:r>
      <w:r w:rsidRPr="002020B6">
        <w:rPr>
          <w:rStyle w:val="aff6"/>
          <w:rtl/>
        </w:rPr>
        <w:t xml:space="preserve">(עי' </w:t>
      </w:r>
      <w:r w:rsidRPr="0032660E">
        <w:rPr>
          <w:rStyle w:val="aff6"/>
          <w:rtl/>
        </w:rPr>
        <w:t xml:space="preserve">אות </w:t>
      </w:r>
      <w:r w:rsidRPr="0032660E">
        <w:rPr>
          <w:rStyle w:val="aff6"/>
          <w:cs/>
        </w:rPr>
        <w:t>‎</w:t>
      </w:r>
      <w:r w:rsidRPr="0032660E">
        <w:rPr>
          <w:rStyle w:val="aff6"/>
          <w:rtl/>
        </w:rPr>
        <w:fldChar w:fldCharType="begin"/>
      </w:r>
      <w:r w:rsidRPr="0032660E">
        <w:rPr>
          <w:rStyle w:val="aff6"/>
          <w:rtl/>
        </w:rPr>
        <w:instrText xml:space="preserve"> </w:instrText>
      </w:r>
      <w:r w:rsidRPr="0032660E">
        <w:rPr>
          <w:rStyle w:val="aff6"/>
        </w:rPr>
        <w:instrText>REF</w:instrText>
      </w:r>
      <w:r w:rsidRPr="0032660E">
        <w:rPr>
          <w:rStyle w:val="aff6"/>
          <w:rtl/>
        </w:rPr>
        <w:instrText xml:space="preserve"> _</w:instrText>
      </w:r>
      <w:r w:rsidRPr="0032660E">
        <w:rPr>
          <w:rStyle w:val="aff6"/>
        </w:rPr>
        <w:instrText>Ref18227824 \r \h</w:instrText>
      </w:r>
      <w:r w:rsidRPr="0032660E">
        <w:rPr>
          <w:rStyle w:val="aff6"/>
          <w:rtl/>
        </w:rPr>
        <w:instrText xml:space="preserve"> </w:instrText>
      </w:r>
      <w:r w:rsidRPr="0032660E">
        <w:rPr>
          <w:rStyle w:val="aff6"/>
          <w:rtl/>
        </w:rPr>
      </w:r>
      <w:r w:rsidRPr="0032660E">
        <w:rPr>
          <w:rStyle w:val="aff6"/>
          <w:rtl/>
        </w:rPr>
        <w:fldChar w:fldCharType="separate"/>
      </w:r>
      <w:r>
        <w:rPr>
          <w:rStyle w:val="aff6"/>
          <w:cs/>
        </w:rPr>
        <w:t>‎</w:t>
      </w:r>
      <w:r>
        <w:rPr>
          <w:rStyle w:val="aff6"/>
          <w:rtl/>
        </w:rPr>
        <w:t>כג)</w:t>
      </w:r>
      <w:r w:rsidRPr="0032660E">
        <w:rPr>
          <w:rStyle w:val="aff6"/>
          <w:rtl/>
        </w:rPr>
        <w:fldChar w:fldCharType="end"/>
      </w:r>
      <w:r>
        <w:rPr>
          <w:rtl/>
        </w:rPr>
        <w:t xml:space="preserve"> דבאיסור שפגום מעיקרו אסרתו תורה דוקא כשהוא בפנ"ע, אבל כשהתערב בתערובת אזלינן בתר נתינת טעם, וכל איסורו אינו מחמת עצמו, אלא ע"י הטעם שנותן בתערובת, ולכן כל שנתן בתערובת טעם פגום מותר, דחשיב שפגם אותה, וכיון שאיסורו הוא רק מדין טעם כעיקר, לא אסרתו תורה כשנתן טעם פגום, וביאר </w:t>
      </w:r>
      <w:r w:rsidRPr="002020B6">
        <w:rPr>
          <w:rStyle w:val="affa"/>
          <w:rtl/>
        </w:rPr>
        <w:t>היד יהודה</w:t>
      </w:r>
      <w:r>
        <w:rPr>
          <w:rtl/>
        </w:rPr>
        <w:t xml:space="preserve"> דכוונת </w:t>
      </w:r>
      <w:r w:rsidRPr="002020B6">
        <w:rPr>
          <w:rStyle w:val="affa"/>
          <w:rtl/>
        </w:rPr>
        <w:t>הרשב"א</w:t>
      </w:r>
      <w:r>
        <w:rPr>
          <w:rtl/>
        </w:rPr>
        <w:t xml:space="preserve"> לומר דאף דאסרה תורה דבר שפגום מעיקרו, מ"מ אלא לך בו אלא חידושו, דהוא אסור רק בפנ"ע, ואף דבתערובת הוא ניכר ע"י טעמו, מ"מ לא חשיב דהוא עומד בפנ"ע, דכל איסורו הוא רק באכילת גופו בפנ"ע ולא בתערובת.</w:t>
      </w:r>
    </w:p>
    <w:p w:rsidR="00651E3B" w:rsidRDefault="00651E3B" w:rsidP="007809D6">
      <w:pPr>
        <w:pStyle w:val="ae"/>
        <w:rPr>
          <w:rtl/>
        </w:rPr>
      </w:pPr>
      <w:r>
        <w:rPr>
          <w:rFonts w:hint="cs"/>
          <w:rtl/>
        </w:rPr>
        <w:t xml:space="preserve">וכתב </w:t>
      </w:r>
      <w:r w:rsidRPr="0081737A">
        <w:rPr>
          <w:rStyle w:val="affa"/>
          <w:rtl/>
        </w:rPr>
        <w:t>היד יהודה</w:t>
      </w:r>
      <w:r w:rsidRPr="009C3EE0">
        <w:rPr>
          <w:rtl/>
        </w:rPr>
        <w:t xml:space="preserve"> דהוקשה </w:t>
      </w:r>
      <w:r w:rsidRPr="0081737A">
        <w:rPr>
          <w:rStyle w:val="affa"/>
          <w:rtl/>
        </w:rPr>
        <w:t>להרשב"א</w:t>
      </w:r>
      <w:r w:rsidRPr="009C3EE0">
        <w:rPr>
          <w:rtl/>
        </w:rPr>
        <w:t xml:space="preserve"> </w:t>
      </w:r>
      <w:r w:rsidRPr="0081737A">
        <w:rPr>
          <w:rStyle w:val="aff6"/>
          <w:rFonts w:hint="cs"/>
          <w:rtl/>
        </w:rPr>
        <w:t xml:space="preserve">(עי' אות </w:t>
      </w:r>
      <w:r w:rsidRPr="0081737A">
        <w:rPr>
          <w:rStyle w:val="aff6"/>
          <w:rtl/>
        </w:rPr>
        <w:fldChar w:fldCharType="begin"/>
      </w:r>
      <w:r w:rsidRPr="0081737A">
        <w:rPr>
          <w:rStyle w:val="aff6"/>
          <w:rtl/>
        </w:rPr>
        <w:instrText xml:space="preserve"> </w:instrText>
      </w:r>
      <w:r w:rsidRPr="0081737A">
        <w:rPr>
          <w:rStyle w:val="aff6"/>
          <w:rFonts w:hint="cs"/>
        </w:rPr>
        <w:instrText>REF</w:instrText>
      </w:r>
      <w:r w:rsidRPr="0081737A">
        <w:rPr>
          <w:rStyle w:val="aff6"/>
          <w:rFonts w:hint="cs"/>
          <w:rtl/>
        </w:rPr>
        <w:instrText xml:space="preserve"> _</w:instrText>
      </w:r>
      <w:r w:rsidRPr="0081737A">
        <w:rPr>
          <w:rStyle w:val="aff6"/>
          <w:rFonts w:hint="cs"/>
        </w:rPr>
        <w:instrText>Ref20068173 \r \h</w:instrText>
      </w:r>
      <w:r w:rsidRPr="0081737A">
        <w:rPr>
          <w:rStyle w:val="aff6"/>
          <w:rtl/>
        </w:rPr>
        <w:instrText xml:space="preserve"> </w:instrText>
      </w:r>
      <w:r w:rsidRPr="0081737A">
        <w:rPr>
          <w:rStyle w:val="aff6"/>
          <w:rtl/>
        </w:rPr>
      </w:r>
      <w:r w:rsidRPr="0081737A">
        <w:rPr>
          <w:rStyle w:val="aff6"/>
          <w:rtl/>
        </w:rPr>
        <w:fldChar w:fldCharType="separate"/>
      </w:r>
      <w:r>
        <w:rPr>
          <w:rStyle w:val="aff6"/>
          <w:cs/>
        </w:rPr>
        <w:t>‎</w:t>
      </w:r>
      <w:r>
        <w:rPr>
          <w:rStyle w:val="aff6"/>
          <w:rtl/>
        </w:rPr>
        <w:t>כד)</w:t>
      </w:r>
      <w:r w:rsidRPr="0081737A">
        <w:rPr>
          <w:rStyle w:val="aff6"/>
          <w:rtl/>
        </w:rPr>
        <w:fldChar w:fldCharType="end"/>
      </w:r>
      <w:r>
        <w:rPr>
          <w:rFonts w:hint="cs"/>
          <w:rtl/>
        </w:rPr>
        <w:t xml:space="preserve"> </w:t>
      </w:r>
      <w:r w:rsidRPr="009C3EE0">
        <w:rPr>
          <w:rtl/>
        </w:rPr>
        <w:t>דאי כל שהתערב בהיתר הוא נעשה מותר, א"כ אף כשהתערב במיעוט היתר יהיה מותר</w:t>
      </w:r>
      <w:r>
        <w:rPr>
          <w:rFonts w:hint="cs"/>
          <w:rtl/>
        </w:rPr>
        <w:t xml:space="preserve">, </w:t>
      </w:r>
      <w:r w:rsidRPr="009C3EE0">
        <w:rPr>
          <w:rtl/>
        </w:rPr>
        <w:t xml:space="preserve">וכתב </w:t>
      </w:r>
      <w:r w:rsidRPr="0081737A">
        <w:rPr>
          <w:rStyle w:val="affa"/>
          <w:rtl/>
        </w:rPr>
        <w:t>היד יהודה</w:t>
      </w:r>
      <w:r w:rsidRPr="009C3EE0">
        <w:rPr>
          <w:rtl/>
        </w:rPr>
        <w:t xml:space="preserve"> דע"ז תירץ הרשב"א דגוף האיסור המאוס, לעולם נשאר אסור, אך האיסור הוא רק באכילת גוף האיסור המאוס, א</w:t>
      </w:r>
      <w:r>
        <w:rPr>
          <w:rFonts w:hint="cs"/>
          <w:rtl/>
        </w:rPr>
        <w:t>בל</w:t>
      </w:r>
      <w:r w:rsidRPr="009C3EE0">
        <w:rPr>
          <w:rtl/>
        </w:rPr>
        <w:t xml:space="preserve"> כל שאוכל את טעמו, בלא גופו אין בו איסור, ולכן כל שגוף האיסור המאוס התבטל ברוב, ויש בתערובת רק את טעמו, א"כ אין כל איסור בטעם פגום, דדינו ככל שאר האיסורים</w:t>
      </w:r>
      <w:r>
        <w:rPr>
          <w:rFonts w:hint="cs"/>
          <w:rtl/>
        </w:rPr>
        <w:t xml:space="preserve">, והוסיף </w:t>
      </w:r>
      <w:r w:rsidRPr="0081737A">
        <w:rPr>
          <w:rStyle w:val="affa"/>
          <w:rFonts w:hint="cs"/>
          <w:rtl/>
        </w:rPr>
        <w:t>היד יהודה</w:t>
      </w:r>
      <w:r w:rsidRPr="009C3EE0">
        <w:rPr>
          <w:rtl/>
        </w:rPr>
        <w:t xml:space="preserve"> </w:t>
      </w:r>
      <w:r>
        <w:rPr>
          <w:rFonts w:hint="cs"/>
          <w:rtl/>
        </w:rPr>
        <w:t xml:space="preserve">לבאר </w:t>
      </w:r>
      <w:r w:rsidRPr="009C3EE0">
        <w:rPr>
          <w:rtl/>
        </w:rPr>
        <w:t xml:space="preserve">דכוונת </w:t>
      </w:r>
      <w:r w:rsidRPr="0081737A">
        <w:rPr>
          <w:rStyle w:val="affa"/>
          <w:rtl/>
        </w:rPr>
        <w:t>הרשב"א</w:t>
      </w:r>
      <w:r w:rsidRPr="009C3EE0">
        <w:rPr>
          <w:rtl/>
        </w:rPr>
        <w:t xml:space="preserve"> לתרץ דהא דאסרה תורה איסור מאוס מעיקרו, אף שהוא פגום, מ"מ אין לך בו אלא חידושו, וכדברי </w:t>
      </w:r>
      <w:r w:rsidRPr="0081737A">
        <w:rPr>
          <w:rStyle w:val="affa"/>
          <w:rtl/>
        </w:rPr>
        <w:t>הר"ן</w:t>
      </w:r>
      <w:r w:rsidRPr="009C3EE0">
        <w:rPr>
          <w:rtl/>
        </w:rPr>
        <w:t xml:space="preserve"> </w:t>
      </w:r>
      <w:r w:rsidRPr="003246DF">
        <w:rPr>
          <w:rStyle w:val="aff6"/>
          <w:rtl/>
        </w:rPr>
        <w:t xml:space="preserve">(עי' </w:t>
      </w:r>
      <w:r w:rsidRPr="003246DF">
        <w:rPr>
          <w:rStyle w:val="aff6"/>
          <w:rFonts w:hint="cs"/>
          <w:rtl/>
        </w:rPr>
        <w:t>הערה</w:t>
      </w:r>
      <w:r>
        <w:rPr>
          <w:rFonts w:hint="cs"/>
          <w:rtl/>
        </w:rPr>
        <w:t xml:space="preserve"> </w:t>
      </w:r>
      <w:r w:rsidRPr="003246DF">
        <w:rPr>
          <w:rStyle w:val="a7"/>
          <w:vertAlign w:val="superscript"/>
          <w:rtl/>
        </w:rPr>
        <w:fldChar w:fldCharType="begin"/>
      </w:r>
      <w:r w:rsidRPr="003246DF">
        <w:rPr>
          <w:rStyle w:val="a7"/>
          <w:vertAlign w:val="superscript"/>
          <w:rtl/>
        </w:rPr>
        <w:instrText xml:space="preserve"> </w:instrText>
      </w:r>
      <w:r w:rsidRPr="003246DF">
        <w:rPr>
          <w:rStyle w:val="a7"/>
          <w:rFonts w:hint="cs"/>
          <w:vertAlign w:val="superscript"/>
        </w:rPr>
        <w:instrText>NOTEREF</w:instrText>
      </w:r>
      <w:r w:rsidRPr="003246DF">
        <w:rPr>
          <w:rStyle w:val="a7"/>
          <w:rFonts w:hint="cs"/>
          <w:vertAlign w:val="superscript"/>
          <w:rtl/>
        </w:rPr>
        <w:instrText xml:space="preserve"> _</w:instrText>
      </w:r>
      <w:r w:rsidRPr="003246DF">
        <w:rPr>
          <w:rStyle w:val="a7"/>
          <w:rFonts w:hint="cs"/>
          <w:vertAlign w:val="superscript"/>
        </w:rPr>
        <w:instrText>Ref20068446 \h</w:instrText>
      </w:r>
      <w:r w:rsidRPr="003246DF">
        <w:rPr>
          <w:rStyle w:val="a7"/>
          <w:vertAlign w:val="superscript"/>
          <w:rtl/>
        </w:rPr>
        <w:instrText xml:space="preserve"> </w:instrText>
      </w:r>
      <w:r>
        <w:rPr>
          <w:rStyle w:val="a7"/>
          <w:vertAlign w:val="superscript"/>
          <w:rtl/>
        </w:rPr>
        <w:instrText xml:space="preserve"> \* </w:instrText>
      </w:r>
      <w:r>
        <w:rPr>
          <w:rStyle w:val="a7"/>
          <w:vertAlign w:val="superscript"/>
        </w:rPr>
        <w:instrText>MERGEFORMAT</w:instrText>
      </w:r>
      <w:r>
        <w:rPr>
          <w:rStyle w:val="a7"/>
          <w:vertAlign w:val="superscript"/>
          <w:rtl/>
        </w:rPr>
        <w:instrText xml:space="preserve"> </w:instrText>
      </w:r>
      <w:r w:rsidRPr="003246DF">
        <w:rPr>
          <w:rStyle w:val="a7"/>
          <w:vertAlign w:val="superscript"/>
          <w:rtl/>
        </w:rPr>
      </w:r>
      <w:r w:rsidRPr="003246DF">
        <w:rPr>
          <w:rStyle w:val="a7"/>
          <w:vertAlign w:val="superscript"/>
          <w:rtl/>
        </w:rPr>
        <w:fldChar w:fldCharType="separate"/>
      </w:r>
      <w:r>
        <w:rPr>
          <w:rStyle w:val="a7"/>
          <w:vertAlign w:val="superscript"/>
          <w:rtl/>
        </w:rPr>
        <w:t>31</w:t>
      </w:r>
      <w:r w:rsidRPr="003246DF">
        <w:rPr>
          <w:rStyle w:val="a7"/>
          <w:vertAlign w:val="superscript"/>
          <w:rtl/>
        </w:rPr>
        <w:fldChar w:fldCharType="end"/>
      </w:r>
      <w:r w:rsidRPr="003246DF">
        <w:rPr>
          <w:rStyle w:val="aff6"/>
          <w:rFonts w:hint="cs"/>
          <w:rtl/>
        </w:rPr>
        <w:t>)</w:t>
      </w:r>
      <w:r w:rsidRPr="009C3EE0">
        <w:rPr>
          <w:rtl/>
        </w:rPr>
        <w:t xml:space="preserve"> דדוקא כשהוא בפנ"ע הוא אסור בפגימתו, אבל בתערובת הוא מותר</w:t>
      </w:r>
      <w:r>
        <w:rPr>
          <w:rFonts w:hint="cs"/>
          <w:rtl/>
        </w:rPr>
        <w:t>.</w:t>
      </w:r>
    </w:p>
  </w:footnote>
  <w:footnote w:id="27">
    <w:p w:rsidR="00651E3B" w:rsidRDefault="00651E3B" w:rsidP="009F4CE3">
      <w:pPr>
        <w:pStyle w:val="ae"/>
        <w:rPr>
          <w:rtl/>
        </w:rPr>
      </w:pPr>
      <w:r>
        <w:rPr>
          <w:rStyle w:val="af0"/>
        </w:rPr>
        <w:footnoteRef/>
      </w:r>
      <w:r>
        <w:rPr>
          <w:rtl/>
        </w:rPr>
        <w:t xml:space="preserve"> </w:t>
      </w:r>
      <w:r w:rsidRPr="00360557">
        <w:rPr>
          <w:rtl/>
        </w:rPr>
        <w:t xml:space="preserve">וכתב </w:t>
      </w:r>
      <w:r w:rsidRPr="00360557">
        <w:rPr>
          <w:rStyle w:val="affa"/>
          <w:rtl/>
        </w:rPr>
        <w:t>החת"ס</w:t>
      </w:r>
      <w:r>
        <w:rPr>
          <w:rStyle w:val="affa"/>
          <w:rtl/>
        </w:rPr>
        <w:t xml:space="preserve"> </w:t>
      </w:r>
      <w:r w:rsidRPr="00360557">
        <w:rPr>
          <w:rStyle w:val="aff6"/>
          <w:rtl/>
        </w:rPr>
        <w:t>(סז. ד"ה ואינה נאכלת)</w:t>
      </w:r>
      <w:r w:rsidRPr="00360557">
        <w:rPr>
          <w:rtl/>
        </w:rPr>
        <w:t xml:space="preserve"> דאפשר ליישב את דעת </w:t>
      </w:r>
      <w:r w:rsidRPr="00360557">
        <w:rPr>
          <w:rStyle w:val="affa"/>
          <w:rtl/>
        </w:rPr>
        <w:t>הרשב"א</w:t>
      </w:r>
      <w:r w:rsidRPr="00360557">
        <w:rPr>
          <w:rtl/>
        </w:rPr>
        <w:t xml:space="preserve"> דס"ל </w:t>
      </w:r>
      <w:r w:rsidRPr="003F2492">
        <w:rPr>
          <w:rtl/>
        </w:rPr>
        <w:t xml:space="preserve">כדעת </w:t>
      </w:r>
      <w:r w:rsidRPr="003F2492">
        <w:rPr>
          <w:rStyle w:val="affa"/>
          <w:rtl/>
        </w:rPr>
        <w:t>הרמב"ם</w:t>
      </w:r>
      <w:r w:rsidRPr="003F2492">
        <w:rPr>
          <w:rtl/>
        </w:rPr>
        <w:t xml:space="preserve"> </w:t>
      </w:r>
      <w:r w:rsidRPr="003F2492">
        <w:rPr>
          <w:rStyle w:val="aff6"/>
          <w:rFonts w:hint="cs"/>
          <w:rtl/>
        </w:rPr>
        <w:t>(מאכ"א פי"ד הי</w:t>
      </w:r>
      <w:r>
        <w:rPr>
          <w:rStyle w:val="aff6"/>
          <w:rFonts w:hint="cs"/>
          <w:rtl/>
        </w:rPr>
        <w:t xml:space="preserve">"א, הובא לקמן סימן י"ג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Ref19034347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נג)</w:t>
      </w:r>
      <w:r>
        <w:rPr>
          <w:rStyle w:val="aff6"/>
          <w:rtl/>
        </w:rPr>
        <w:fldChar w:fldCharType="end"/>
      </w:r>
      <w:r>
        <w:rPr>
          <w:rStyle w:val="aff6"/>
          <w:rFonts w:hint="cs"/>
          <w:rtl/>
        </w:rPr>
        <w:t xml:space="preserve"> </w:t>
      </w:r>
      <w:r w:rsidRPr="003F2492">
        <w:rPr>
          <w:rFonts w:hint="cs"/>
          <w:rtl/>
        </w:rPr>
        <w:t xml:space="preserve"> </w:t>
      </w:r>
      <w:r w:rsidRPr="003F2492">
        <w:rPr>
          <w:rtl/>
        </w:rPr>
        <w:t>דההיתר בנותן טעם לפגם הוא מדין אכילה שלא כדרך הנאתו,</w:t>
      </w:r>
      <w:r w:rsidRPr="00360557">
        <w:rPr>
          <w:rtl/>
        </w:rPr>
        <w:t xml:space="preserve"> וא"כ הילפותא אינה מלשון הפסוק "לגר אשר בשעריך תתננה" אלא ילפינן לה מלשון "לא תאכל" דכל שאינו בדרך אכילה מותר. [ועיי"ש במה שביאר </w:t>
      </w:r>
      <w:r w:rsidRPr="00360557">
        <w:rPr>
          <w:rStyle w:val="affa"/>
          <w:rtl/>
        </w:rPr>
        <w:t>החת"ס</w:t>
      </w:r>
      <w:r w:rsidRPr="00360557">
        <w:rPr>
          <w:rtl/>
        </w:rPr>
        <w:t xml:space="preserve"> אמאי הוצרכה הגמ' להביא את הילפותא מאינה ראויה לגר].</w:t>
      </w:r>
    </w:p>
  </w:footnote>
  <w:footnote w:id="28">
    <w:p w:rsidR="00651E3B" w:rsidRDefault="00651E3B" w:rsidP="007809D6">
      <w:pPr>
        <w:pStyle w:val="ae"/>
        <w:rPr>
          <w:rtl/>
        </w:rPr>
      </w:pPr>
      <w:r>
        <w:rPr>
          <w:rStyle w:val="af0"/>
        </w:rPr>
        <w:footnoteRef/>
      </w:r>
      <w:r>
        <w:rPr>
          <w:rtl/>
        </w:rPr>
        <w:t xml:space="preserve"> </w:t>
      </w:r>
      <w:r w:rsidRPr="0063594F">
        <w:rPr>
          <w:rtl/>
        </w:rPr>
        <w:t xml:space="preserve">הקשה </w:t>
      </w:r>
      <w:r w:rsidRPr="00A02620">
        <w:rPr>
          <w:rStyle w:val="affa"/>
          <w:rtl/>
        </w:rPr>
        <w:t>הגרעק"א בחולין</w:t>
      </w:r>
      <w:r w:rsidRPr="0063594F">
        <w:rPr>
          <w:rtl/>
        </w:rPr>
        <w:t xml:space="preserve"> </w:t>
      </w:r>
      <w:r w:rsidRPr="001A4A90">
        <w:rPr>
          <w:rStyle w:val="aff6"/>
          <w:rFonts w:hint="cs"/>
          <w:rtl/>
        </w:rPr>
        <w:t>(צז: אות ז' ד"ה והר"ן)</w:t>
      </w:r>
      <w:r>
        <w:rPr>
          <w:rFonts w:hint="cs"/>
          <w:rtl/>
        </w:rPr>
        <w:t xml:space="preserve"> </w:t>
      </w:r>
      <w:r w:rsidRPr="00852CEB">
        <w:rPr>
          <w:rStyle w:val="affa"/>
          <w:rFonts w:hint="cs"/>
          <w:rtl/>
        </w:rPr>
        <w:t>ובתשו'</w:t>
      </w:r>
      <w:r w:rsidRPr="00E8200D">
        <w:rPr>
          <w:rFonts w:hint="cs"/>
          <w:rtl/>
        </w:rPr>
        <w:t xml:space="preserve"> </w:t>
      </w:r>
      <w:r w:rsidRPr="001A4A90">
        <w:rPr>
          <w:rStyle w:val="aff6"/>
          <w:rFonts w:hint="cs"/>
          <w:rtl/>
        </w:rPr>
        <w:t>(מהדו"ק קס"ו ד"ה ויש להסביר, סי' קפ"ג ד"ה והנה לכאורה)</w:t>
      </w:r>
      <w:r w:rsidRPr="00E8200D">
        <w:rPr>
          <w:rFonts w:hint="cs"/>
          <w:rtl/>
        </w:rPr>
        <w:t xml:space="preserve"> </w:t>
      </w:r>
      <w:r w:rsidRPr="0063594F">
        <w:rPr>
          <w:rtl/>
        </w:rPr>
        <w:t xml:space="preserve">דיש סתירה בדברי </w:t>
      </w:r>
      <w:r w:rsidRPr="00A02620">
        <w:rPr>
          <w:rStyle w:val="affa"/>
          <w:rtl/>
        </w:rPr>
        <w:t>השו"ע</w:t>
      </w:r>
      <w:r w:rsidRPr="0063594F">
        <w:rPr>
          <w:rtl/>
        </w:rPr>
        <w:t xml:space="preserve">, דבדין נותן טעם לפגם, פסק </w:t>
      </w:r>
      <w:r w:rsidRPr="00A02620">
        <w:rPr>
          <w:rStyle w:val="affa"/>
          <w:rtl/>
        </w:rPr>
        <w:t>השו"ע</w:t>
      </w:r>
      <w:r w:rsidRPr="0063594F">
        <w:rPr>
          <w:rtl/>
        </w:rPr>
        <w:t xml:space="preserve"> </w:t>
      </w:r>
      <w:r w:rsidRPr="00A02620">
        <w:rPr>
          <w:rStyle w:val="aff6"/>
          <w:rtl/>
        </w:rPr>
        <w:t xml:space="preserve">(סי' ק"ג ס"ב) </w:t>
      </w:r>
      <w:r w:rsidRPr="00A02620">
        <w:rPr>
          <w:rStyle w:val="affa"/>
          <w:rtl/>
        </w:rPr>
        <w:t>כהרשב"א</w:t>
      </w:r>
      <w:r w:rsidRPr="0063594F">
        <w:rPr>
          <w:rtl/>
        </w:rPr>
        <w:t xml:space="preserve"> </w:t>
      </w:r>
      <w:r w:rsidRPr="009D090D">
        <w:rPr>
          <w:rStyle w:val="aff6"/>
          <w:rtl/>
        </w:rPr>
        <w:t xml:space="preserve">(עי' אות </w:t>
      </w:r>
      <w:r w:rsidRPr="009D090D">
        <w:rPr>
          <w:rStyle w:val="aff6"/>
          <w:cs/>
        </w:rPr>
        <w:t>‎</w:t>
      </w:r>
      <w:r w:rsidRPr="009D090D">
        <w:rPr>
          <w:rStyle w:val="aff6"/>
          <w:rtl/>
        </w:rPr>
        <w:fldChar w:fldCharType="begin"/>
      </w:r>
      <w:r w:rsidRPr="009D090D">
        <w:rPr>
          <w:rStyle w:val="aff6"/>
          <w:rtl/>
        </w:rPr>
        <w:instrText xml:space="preserve"> </w:instrText>
      </w:r>
      <w:r w:rsidRPr="009D090D">
        <w:rPr>
          <w:rStyle w:val="aff6"/>
          <w:rFonts w:hint="cs"/>
        </w:rPr>
        <w:instrText>REF</w:instrText>
      </w:r>
      <w:r w:rsidRPr="009D090D">
        <w:rPr>
          <w:rStyle w:val="aff6"/>
          <w:rFonts w:hint="cs"/>
          <w:rtl/>
        </w:rPr>
        <w:instrText xml:space="preserve"> _</w:instrText>
      </w:r>
      <w:r w:rsidRPr="009D090D">
        <w:rPr>
          <w:rStyle w:val="aff6"/>
          <w:rFonts w:hint="cs"/>
        </w:rPr>
        <w:instrText>Ref18228077 \r \h</w:instrText>
      </w:r>
      <w:r w:rsidRPr="009D090D">
        <w:rPr>
          <w:rStyle w:val="aff6"/>
          <w:rtl/>
        </w:rPr>
        <w:instrText xml:space="preserve"> </w:instrText>
      </w:r>
      <w:r w:rsidRPr="009D090D">
        <w:rPr>
          <w:rStyle w:val="aff6"/>
          <w:rtl/>
        </w:rPr>
      </w:r>
      <w:r w:rsidRPr="009D090D">
        <w:rPr>
          <w:rStyle w:val="aff6"/>
          <w:rtl/>
        </w:rPr>
        <w:fldChar w:fldCharType="separate"/>
      </w:r>
      <w:r>
        <w:rPr>
          <w:rStyle w:val="aff6"/>
          <w:cs/>
        </w:rPr>
        <w:t>‎</w:t>
      </w:r>
      <w:r>
        <w:rPr>
          <w:rStyle w:val="aff6"/>
          <w:rtl/>
        </w:rPr>
        <w:t>יז)</w:t>
      </w:r>
      <w:r w:rsidRPr="009D090D">
        <w:rPr>
          <w:rStyle w:val="aff6"/>
          <w:rtl/>
        </w:rPr>
        <w:fldChar w:fldCharType="end"/>
      </w:r>
      <w:r>
        <w:rPr>
          <w:rFonts w:hint="cs"/>
          <w:rtl/>
        </w:rPr>
        <w:t xml:space="preserve"> </w:t>
      </w:r>
      <w:r w:rsidRPr="0063594F">
        <w:rPr>
          <w:rtl/>
        </w:rPr>
        <w:t xml:space="preserve">דההיתר בנותן טעם לפגם, הוא דוקא במקום שיש ביטול ברוב, ואילו בהלכות פסח פסק </w:t>
      </w:r>
      <w:r w:rsidRPr="00A02620">
        <w:rPr>
          <w:rStyle w:val="affa"/>
          <w:rtl/>
        </w:rPr>
        <w:t>השו"ע</w:t>
      </w:r>
      <w:r w:rsidRPr="0063594F">
        <w:rPr>
          <w:rtl/>
        </w:rPr>
        <w:t xml:space="preserve"> </w:t>
      </w:r>
      <w:r w:rsidRPr="00A02620">
        <w:rPr>
          <w:rStyle w:val="aff6"/>
          <w:rtl/>
        </w:rPr>
        <w:t xml:space="preserve">(או"ח סי' תמ"ז ס"י) </w:t>
      </w:r>
      <w:r w:rsidRPr="0063594F">
        <w:rPr>
          <w:rtl/>
        </w:rPr>
        <w:t xml:space="preserve">דנותן טעם לפגם מותר אף בחמץ, והרי בחמץ שאוסר במשהו לא שייך ביטול ברוב, ולדעת </w:t>
      </w:r>
      <w:r w:rsidRPr="00852CEB">
        <w:rPr>
          <w:rStyle w:val="affa"/>
          <w:rFonts w:hint="cs"/>
          <w:rtl/>
        </w:rPr>
        <w:t>הרשב"א בתשו'</w:t>
      </w:r>
      <w:r>
        <w:rPr>
          <w:rFonts w:hint="cs"/>
          <w:rtl/>
        </w:rPr>
        <w:t xml:space="preserve"> </w:t>
      </w:r>
      <w:r w:rsidRPr="001A4A90">
        <w:rPr>
          <w:rStyle w:val="aff6"/>
          <w:rFonts w:hint="cs"/>
          <w:rtl/>
        </w:rPr>
        <w:t>(ח"א סי' תצ"ט, ח"ז מיוחסות ריש סי' קנ"א, הובא לקמן סימן י"ג אות ג')</w:t>
      </w:r>
      <w:r w:rsidRPr="008441DA">
        <w:rPr>
          <w:rStyle w:val="af6"/>
          <w:rFonts w:eastAsia="Guttman Hodes" w:hint="cs"/>
          <w:rtl/>
        </w:rPr>
        <w:t xml:space="preserve"> </w:t>
      </w:r>
      <w:r>
        <w:rPr>
          <w:rFonts w:hint="cs"/>
          <w:rtl/>
        </w:rPr>
        <w:t xml:space="preserve">אין היתר </w:t>
      </w:r>
      <w:r w:rsidRPr="0063594F">
        <w:rPr>
          <w:rtl/>
        </w:rPr>
        <w:t>נותן טעם לפגם</w:t>
      </w:r>
      <w:r>
        <w:rPr>
          <w:rFonts w:hint="cs"/>
          <w:rtl/>
        </w:rPr>
        <w:t xml:space="preserve"> בחמץ שאסור במשהו</w:t>
      </w:r>
      <w:r w:rsidRPr="0063594F">
        <w:rPr>
          <w:rtl/>
        </w:rPr>
        <w:t xml:space="preserve">, ותירץ </w:t>
      </w:r>
      <w:r w:rsidRPr="00A02620">
        <w:rPr>
          <w:rStyle w:val="affa"/>
          <w:rtl/>
        </w:rPr>
        <w:t>הגרעק"א דהשו"ע</w:t>
      </w:r>
      <w:r w:rsidRPr="0063594F">
        <w:rPr>
          <w:rtl/>
        </w:rPr>
        <w:t xml:space="preserve"> סמך על צירוף דעות להקל, כיון דלדעת </w:t>
      </w:r>
      <w:r w:rsidRPr="00852CEB">
        <w:rPr>
          <w:rStyle w:val="affa"/>
          <w:rFonts w:hint="cs"/>
          <w:rtl/>
        </w:rPr>
        <w:t>הר"ן בפסחים</w:t>
      </w:r>
      <w:r>
        <w:rPr>
          <w:rFonts w:hint="cs"/>
          <w:rtl/>
        </w:rPr>
        <w:t xml:space="preserve"> </w:t>
      </w:r>
      <w:r w:rsidRPr="001A4A90">
        <w:rPr>
          <w:rStyle w:val="aff6"/>
          <w:rFonts w:hint="cs"/>
          <w:rtl/>
        </w:rPr>
        <w:t>(ל. ד"ה אמר רב)</w:t>
      </w:r>
      <w:r>
        <w:rPr>
          <w:rStyle w:val="af8"/>
          <w:rFonts w:hint="cs"/>
          <w:rtl/>
        </w:rPr>
        <w:t xml:space="preserve"> </w:t>
      </w:r>
      <w:r w:rsidRPr="00852CEB">
        <w:rPr>
          <w:rStyle w:val="affa"/>
          <w:rFonts w:hint="cs"/>
          <w:rtl/>
        </w:rPr>
        <w:t>ועל הרי"ף</w:t>
      </w:r>
      <w:r w:rsidRPr="001A4A90">
        <w:rPr>
          <w:rStyle w:val="aff6"/>
          <w:rFonts w:hint="cs"/>
          <w:rtl/>
        </w:rPr>
        <w:t xml:space="preserve"> (ז: מדפי הרי"ף ד"ה אמר רב, הובא לקמן סימן י"ג אות י"ז)</w:t>
      </w:r>
      <w:r>
        <w:rPr>
          <w:rFonts w:hint="cs"/>
          <w:rtl/>
        </w:rPr>
        <w:t xml:space="preserve"> </w:t>
      </w:r>
      <w:r w:rsidRPr="0063594F">
        <w:rPr>
          <w:rtl/>
        </w:rPr>
        <w:t xml:space="preserve">ההיתר בנותן טעם לפגם הוא אף בחמץ, דס"ל דאינו מדין ביטול ברוב, ויש דעה נוספת של </w:t>
      </w:r>
      <w:r w:rsidRPr="00A02620">
        <w:rPr>
          <w:rStyle w:val="affa"/>
          <w:rtl/>
        </w:rPr>
        <w:t>השאילתות</w:t>
      </w:r>
      <w:r w:rsidRPr="0063594F">
        <w:rPr>
          <w:rtl/>
        </w:rPr>
        <w:t xml:space="preserve"> דחמץ בטל בשישים, לכן פסק </w:t>
      </w:r>
      <w:r w:rsidRPr="00A02620">
        <w:rPr>
          <w:rStyle w:val="affa"/>
          <w:rtl/>
        </w:rPr>
        <w:t>השו"ע</w:t>
      </w:r>
      <w:r w:rsidRPr="0063594F">
        <w:rPr>
          <w:rtl/>
        </w:rPr>
        <w:t xml:space="preserve"> לקולא</w:t>
      </w:r>
      <w:r>
        <w:rPr>
          <w:rFonts w:hint="cs"/>
          <w:rtl/>
        </w:rPr>
        <w:t>.</w:t>
      </w:r>
    </w:p>
    <w:p w:rsidR="00651E3B" w:rsidRDefault="00651E3B" w:rsidP="007809D6">
      <w:pPr>
        <w:pStyle w:val="ae"/>
        <w:rPr>
          <w:rtl/>
        </w:rPr>
      </w:pPr>
      <w:r>
        <w:rPr>
          <w:rFonts w:hint="cs"/>
          <w:rtl/>
        </w:rPr>
        <w:t xml:space="preserve">ועוד </w:t>
      </w:r>
      <w:r w:rsidRPr="0063594F">
        <w:rPr>
          <w:rtl/>
        </w:rPr>
        <w:t xml:space="preserve">תירץ </w:t>
      </w:r>
      <w:r w:rsidRPr="00A02620">
        <w:rPr>
          <w:rStyle w:val="affa"/>
          <w:rtl/>
        </w:rPr>
        <w:t>הגרעק"א</w:t>
      </w:r>
      <w:r w:rsidRPr="0063594F">
        <w:rPr>
          <w:rtl/>
        </w:rPr>
        <w:t xml:space="preserve"> </w:t>
      </w:r>
      <w:r w:rsidRPr="0063594F">
        <w:rPr>
          <w:rStyle w:val="affa"/>
          <w:rtl/>
        </w:rPr>
        <w:t xml:space="preserve">בתשו' </w:t>
      </w:r>
      <w:r w:rsidRPr="0063594F">
        <w:rPr>
          <w:rStyle w:val="aff6"/>
          <w:rtl/>
        </w:rPr>
        <w:t>(מהדו"ק סי' מ"ג ד"ה ולכאורה יפלא)</w:t>
      </w:r>
      <w:r>
        <w:rPr>
          <w:rFonts w:hint="cs"/>
          <w:rtl/>
        </w:rPr>
        <w:t xml:space="preserve"> דכיון דפסק </w:t>
      </w:r>
      <w:r w:rsidRPr="00633F0A">
        <w:rPr>
          <w:rStyle w:val="affa"/>
          <w:rFonts w:hint="cs"/>
          <w:rtl/>
        </w:rPr>
        <w:t>השו"ע</w:t>
      </w:r>
      <w:r>
        <w:rPr>
          <w:rFonts w:hint="cs"/>
          <w:rtl/>
        </w:rPr>
        <w:t xml:space="preserve"> שצריך רוב היתר בנותן טעם לפגם, וא"כ מבואר דבנותן טעם מהני ביטול ברוב, דטעם פגום אינו נחשב לטעם, וא"כ הוא כמו יבש ביבש, דמהני בו ביטול ברוב, ובדין יבש ביבש הביא </w:t>
      </w:r>
      <w:r w:rsidRPr="00633F0A">
        <w:rPr>
          <w:rStyle w:val="affa"/>
          <w:rFonts w:hint="cs"/>
          <w:rtl/>
        </w:rPr>
        <w:t>השו"ע</w:t>
      </w:r>
      <w:r>
        <w:rPr>
          <w:rFonts w:hint="cs"/>
          <w:rtl/>
        </w:rPr>
        <w:t xml:space="preserve"> מחלוקת אי מהני ביטול בחמץ, לכן בנותן טעם לפגם סמך </w:t>
      </w:r>
      <w:r w:rsidRPr="00633F0A">
        <w:rPr>
          <w:rStyle w:val="affa"/>
          <w:rFonts w:hint="cs"/>
          <w:rtl/>
        </w:rPr>
        <w:t>השו"ע</w:t>
      </w:r>
      <w:r>
        <w:rPr>
          <w:rFonts w:hint="cs"/>
          <w:rtl/>
        </w:rPr>
        <w:t xml:space="preserve"> להקל וצירף את דעת </w:t>
      </w:r>
      <w:r w:rsidRPr="00633F0A">
        <w:rPr>
          <w:rStyle w:val="affa"/>
          <w:rFonts w:hint="cs"/>
          <w:rtl/>
        </w:rPr>
        <w:t>הר"ן</w:t>
      </w:r>
      <w:r>
        <w:rPr>
          <w:rFonts w:hint="cs"/>
          <w:rtl/>
        </w:rPr>
        <w:t xml:space="preserve"> דנותן טעם לפגם מותר אף במקום שאין רוב היתר, ואת דעת </w:t>
      </w:r>
      <w:r w:rsidRPr="00633F0A">
        <w:rPr>
          <w:rStyle w:val="affa"/>
          <w:rFonts w:hint="cs"/>
          <w:rtl/>
        </w:rPr>
        <w:t>הפוסקים</w:t>
      </w:r>
      <w:r>
        <w:rPr>
          <w:rFonts w:hint="cs"/>
          <w:rtl/>
        </w:rPr>
        <w:t xml:space="preserve"> דבחמץ מהני ביטול ביבש ביבש.</w:t>
      </w:r>
    </w:p>
  </w:footnote>
  <w:footnote w:id="29">
    <w:p w:rsidR="00651E3B" w:rsidRDefault="00651E3B" w:rsidP="007809D6">
      <w:pPr>
        <w:pStyle w:val="ae"/>
        <w:rPr>
          <w:rtl/>
        </w:rPr>
      </w:pPr>
      <w:r>
        <w:rPr>
          <w:rStyle w:val="af0"/>
        </w:rPr>
        <w:footnoteRef/>
      </w:r>
      <w:r>
        <w:rPr>
          <w:rtl/>
        </w:rPr>
        <w:t xml:space="preserve"> הנה בהא דנחלקו ר"מ ור"ש בגמ' לקמן </w:t>
      </w:r>
      <w:r w:rsidRPr="00C939A8">
        <w:rPr>
          <w:rStyle w:val="aff6"/>
          <w:rtl/>
        </w:rPr>
        <w:t>(סז:)</w:t>
      </w:r>
      <w:r>
        <w:rPr>
          <w:rtl/>
        </w:rPr>
        <w:t xml:space="preserve"> דלר"מ ילפינן מגיעולי עכו"ם דנותן טעם לפגם אסור, ולר"ש ילפינן מנבילה דמותר, הקשה </w:t>
      </w:r>
      <w:r w:rsidRPr="00C939A8">
        <w:rPr>
          <w:rStyle w:val="affa"/>
          <w:rtl/>
        </w:rPr>
        <w:t>הגרעק"א בתשו'</w:t>
      </w:r>
      <w:r>
        <w:rPr>
          <w:rtl/>
        </w:rPr>
        <w:t xml:space="preserve"> </w:t>
      </w:r>
      <w:r w:rsidRPr="00C939A8">
        <w:rPr>
          <w:rStyle w:val="aff6"/>
          <w:rtl/>
        </w:rPr>
        <w:t>(מהדו"ק סי' קס"ו ד"ה ועפ"י)</w:t>
      </w:r>
      <w:r>
        <w:rPr>
          <w:rtl/>
        </w:rPr>
        <w:t xml:space="preserve"> ו</w:t>
      </w:r>
      <w:r w:rsidRPr="00C939A8">
        <w:rPr>
          <w:rStyle w:val="affa"/>
          <w:rtl/>
        </w:rPr>
        <w:t>בחי'</w:t>
      </w:r>
      <w:r>
        <w:rPr>
          <w:rtl/>
        </w:rPr>
        <w:t xml:space="preserve"> </w:t>
      </w:r>
      <w:r w:rsidRPr="00C939A8">
        <w:rPr>
          <w:rStyle w:val="aff6"/>
          <w:rtl/>
        </w:rPr>
        <w:t>(סז: ד"ה עוד אמרתי)</w:t>
      </w:r>
      <w:r>
        <w:rPr>
          <w:rtl/>
        </w:rPr>
        <w:t xml:space="preserve"> דאי מסברא נותן טעם לפגם מותר, א"כ אמאי מקשה הגמ' מ"ט דר"ש, ותירצה דיליף מנבילה, הא מסברא מותר, ואי מסברא אסור, א"כ אמאי הוצרך ר"מ למילף מגיעולי עכו"ם דאסור.</w:t>
      </w:r>
    </w:p>
    <w:p w:rsidR="00651E3B" w:rsidRDefault="00651E3B" w:rsidP="007809D6">
      <w:pPr>
        <w:pStyle w:val="ae"/>
        <w:rPr>
          <w:rtl/>
        </w:rPr>
      </w:pPr>
      <w:r>
        <w:rPr>
          <w:rtl/>
        </w:rPr>
        <w:t xml:space="preserve">וכתב </w:t>
      </w:r>
      <w:r w:rsidRPr="00C939A8">
        <w:rPr>
          <w:rStyle w:val="affa"/>
          <w:rtl/>
        </w:rPr>
        <w:t>הגרעק"א בתשו' ובחי'</w:t>
      </w:r>
      <w:r>
        <w:rPr>
          <w:rtl/>
        </w:rPr>
        <w:t xml:space="preserve"> דלפי דעת </w:t>
      </w:r>
      <w:r w:rsidRPr="00C939A8">
        <w:rPr>
          <w:rStyle w:val="affa"/>
          <w:rtl/>
        </w:rPr>
        <w:t xml:space="preserve">הר"ן </w:t>
      </w:r>
      <w:r w:rsidRPr="001A4A90">
        <w:rPr>
          <w:rStyle w:val="aff6"/>
          <w:rtl/>
        </w:rPr>
        <w:t xml:space="preserve">(עי' אות </w:t>
      </w:r>
      <w:r w:rsidRPr="001A4A90">
        <w:rPr>
          <w:rStyle w:val="aff6"/>
          <w:rtl/>
        </w:rPr>
        <w:fldChar w:fldCharType="begin"/>
      </w:r>
      <w:r w:rsidRPr="001A4A90">
        <w:rPr>
          <w:rStyle w:val="aff6"/>
          <w:rtl/>
        </w:rPr>
        <w:instrText xml:space="preserve"> </w:instrText>
      </w:r>
      <w:r w:rsidRPr="001A4A90">
        <w:rPr>
          <w:rStyle w:val="aff6"/>
        </w:rPr>
        <w:instrText>REF</w:instrText>
      </w:r>
      <w:r w:rsidRPr="001A4A90">
        <w:rPr>
          <w:rStyle w:val="aff6"/>
          <w:rtl/>
        </w:rPr>
        <w:instrText xml:space="preserve"> _</w:instrText>
      </w:r>
      <w:r w:rsidRPr="001A4A90">
        <w:rPr>
          <w:rStyle w:val="aff6"/>
        </w:rPr>
        <w:instrText>Ref16849713 \r \h</w:instrText>
      </w:r>
      <w:r w:rsidRPr="001A4A90">
        <w:rPr>
          <w:rStyle w:val="aff6"/>
          <w:rtl/>
        </w:rPr>
        <w:instrText xml:space="preserve"> </w:instrText>
      </w:r>
      <w:r w:rsidRPr="001A4A90">
        <w:rPr>
          <w:rStyle w:val="aff6"/>
          <w:rtl/>
        </w:rPr>
      </w:r>
      <w:r w:rsidRPr="001A4A90">
        <w:rPr>
          <w:rStyle w:val="aff6"/>
          <w:rtl/>
        </w:rPr>
        <w:fldChar w:fldCharType="separate"/>
      </w:r>
      <w:r>
        <w:rPr>
          <w:rStyle w:val="aff6"/>
          <w:cs/>
        </w:rPr>
        <w:t>‎</w:t>
      </w:r>
      <w:r>
        <w:rPr>
          <w:rStyle w:val="aff6"/>
          <w:rtl/>
        </w:rPr>
        <w:t>מז)</w:t>
      </w:r>
      <w:r w:rsidRPr="001A4A90">
        <w:rPr>
          <w:rStyle w:val="aff6"/>
          <w:rtl/>
        </w:rPr>
        <w:fldChar w:fldCharType="end"/>
      </w:r>
      <w:r>
        <w:rPr>
          <w:rtl/>
        </w:rPr>
        <w:t xml:space="preserve"> דס"ל דמסברא נותן טעם לפגם אסור, ילפינן מנבילה דמותר, וההיתר בנותן טעם לפגם הוא אף במקום שאין רוב היתר, [ודלא </w:t>
      </w:r>
      <w:r w:rsidRPr="00C939A8">
        <w:rPr>
          <w:rStyle w:val="affa"/>
          <w:rtl/>
        </w:rPr>
        <w:t>כהרשב"א</w:t>
      </w:r>
      <w:r>
        <w:rPr>
          <w:rtl/>
        </w:rPr>
        <w:t xml:space="preserve"> </w:t>
      </w:r>
      <w:r w:rsidRPr="001A4A90">
        <w:rPr>
          <w:rStyle w:val="aff6"/>
          <w:rtl/>
        </w:rPr>
        <w:t xml:space="preserve">(עי' אות </w:t>
      </w:r>
      <w:r w:rsidRPr="001A4A90">
        <w:rPr>
          <w:rStyle w:val="aff6"/>
          <w:rtl/>
        </w:rPr>
        <w:fldChar w:fldCharType="begin"/>
      </w:r>
      <w:r w:rsidRPr="001A4A90">
        <w:rPr>
          <w:rStyle w:val="aff6"/>
          <w:rtl/>
        </w:rPr>
        <w:instrText xml:space="preserve"> </w:instrText>
      </w:r>
      <w:r w:rsidRPr="001A4A90">
        <w:rPr>
          <w:rStyle w:val="aff6"/>
        </w:rPr>
        <w:instrText>REF</w:instrText>
      </w:r>
      <w:r w:rsidRPr="001A4A90">
        <w:rPr>
          <w:rStyle w:val="aff6"/>
          <w:rtl/>
        </w:rPr>
        <w:instrText xml:space="preserve"> _</w:instrText>
      </w:r>
      <w:r w:rsidRPr="001A4A90">
        <w:rPr>
          <w:rStyle w:val="aff6"/>
        </w:rPr>
        <w:instrText>Ref18228077 \r \h</w:instrText>
      </w:r>
      <w:r w:rsidRPr="001A4A90">
        <w:rPr>
          <w:rStyle w:val="aff6"/>
          <w:rtl/>
        </w:rPr>
        <w:instrText xml:space="preserve"> </w:instrText>
      </w:r>
      <w:r w:rsidRPr="001A4A90">
        <w:rPr>
          <w:rStyle w:val="aff6"/>
          <w:rtl/>
        </w:rPr>
      </w:r>
      <w:r w:rsidRPr="001A4A90">
        <w:rPr>
          <w:rStyle w:val="aff6"/>
          <w:rtl/>
        </w:rPr>
        <w:fldChar w:fldCharType="separate"/>
      </w:r>
      <w:r>
        <w:rPr>
          <w:rStyle w:val="aff6"/>
          <w:cs/>
        </w:rPr>
        <w:t>‎</w:t>
      </w:r>
      <w:r>
        <w:rPr>
          <w:rStyle w:val="aff6"/>
          <w:rtl/>
        </w:rPr>
        <w:t>יז)</w:t>
      </w:r>
      <w:r w:rsidRPr="001A4A90">
        <w:rPr>
          <w:rStyle w:val="aff6"/>
          <w:rtl/>
        </w:rPr>
        <w:fldChar w:fldCharType="end"/>
      </w:r>
      <w:r>
        <w:rPr>
          <w:rtl/>
        </w:rPr>
        <w:t>], א"כ אפש"ל דמסברא במקום שיש רוב היתר, נותן טעם לפגם מותר, דכיון דהוא בטל ברוב, ואיסור טעם כעיקר לא נאמר בטעם פגום, אבל במקום שאין רוב היתר, מסברא נותן טעם לפגם אסור.</w:t>
      </w:r>
    </w:p>
    <w:p w:rsidR="00651E3B" w:rsidRDefault="00651E3B" w:rsidP="007809D6">
      <w:pPr>
        <w:pStyle w:val="ae"/>
        <w:rPr>
          <w:rtl/>
        </w:rPr>
      </w:pPr>
      <w:r>
        <w:rPr>
          <w:rtl/>
        </w:rPr>
        <w:t xml:space="preserve">ולפי"ז ביאר </w:t>
      </w:r>
      <w:r w:rsidRPr="00C939A8">
        <w:rPr>
          <w:rStyle w:val="affa"/>
          <w:rtl/>
        </w:rPr>
        <w:t>הגרעק"א בתשו' ובחי'</w:t>
      </w:r>
      <w:r>
        <w:rPr>
          <w:rtl/>
        </w:rPr>
        <w:t xml:space="preserve"> דר"מ ור"ש נחלקו, בין במקום שיש רוב היתר ובין במקום שאין רוב היתר, ולכן מקשה הגמ' מ"ט דר"מ דאסר במקום שיש רוב, הרי מסברא הוא מותר, ותירצה דיליף מגיעולי עכו"ם, דבסתמא יש בגיעולי עכו"ם רוב בתבשיל כנגד כל האיסור הבלוע, כדכתב </w:t>
      </w:r>
      <w:r w:rsidRPr="00C939A8">
        <w:rPr>
          <w:rStyle w:val="affa"/>
          <w:rtl/>
        </w:rPr>
        <w:t>הרשב"א</w:t>
      </w:r>
      <w:r>
        <w:rPr>
          <w:rtl/>
        </w:rPr>
        <w:t xml:space="preserve"> </w:t>
      </w:r>
      <w:r w:rsidRPr="001A4A90">
        <w:rPr>
          <w:rStyle w:val="aff6"/>
          <w:rtl/>
        </w:rPr>
        <w:t xml:space="preserve">(עי' אות </w:t>
      </w:r>
      <w:r w:rsidRPr="001A4A90">
        <w:rPr>
          <w:rStyle w:val="aff6"/>
          <w:rtl/>
        </w:rPr>
        <w:fldChar w:fldCharType="begin"/>
      </w:r>
      <w:r w:rsidRPr="001A4A90">
        <w:rPr>
          <w:rStyle w:val="aff6"/>
          <w:rtl/>
        </w:rPr>
        <w:instrText xml:space="preserve"> </w:instrText>
      </w:r>
      <w:r w:rsidRPr="001A4A90">
        <w:rPr>
          <w:rStyle w:val="aff6"/>
        </w:rPr>
        <w:instrText>REF</w:instrText>
      </w:r>
      <w:r w:rsidRPr="001A4A90">
        <w:rPr>
          <w:rStyle w:val="aff6"/>
          <w:rtl/>
        </w:rPr>
        <w:instrText xml:space="preserve"> _</w:instrText>
      </w:r>
      <w:r w:rsidRPr="001A4A90">
        <w:rPr>
          <w:rStyle w:val="aff6"/>
        </w:rPr>
        <w:instrText>Ref19611146 \r \h</w:instrText>
      </w:r>
      <w:r w:rsidRPr="001A4A90">
        <w:rPr>
          <w:rStyle w:val="aff6"/>
          <w:rtl/>
        </w:rPr>
        <w:instrText xml:space="preserve"> </w:instrText>
      </w:r>
      <w:r w:rsidRPr="001A4A90">
        <w:rPr>
          <w:rStyle w:val="aff6"/>
          <w:rtl/>
        </w:rPr>
      </w:r>
      <w:r w:rsidRPr="001A4A90">
        <w:rPr>
          <w:rStyle w:val="aff6"/>
          <w:rtl/>
        </w:rPr>
        <w:fldChar w:fldCharType="separate"/>
      </w:r>
      <w:r>
        <w:rPr>
          <w:rStyle w:val="aff6"/>
          <w:cs/>
        </w:rPr>
        <w:t>‎</w:t>
      </w:r>
      <w:r>
        <w:rPr>
          <w:rStyle w:val="aff6"/>
          <w:rtl/>
        </w:rPr>
        <w:t>כא)</w:t>
      </w:r>
      <w:r w:rsidRPr="001A4A90">
        <w:rPr>
          <w:rStyle w:val="aff6"/>
          <w:rtl/>
        </w:rPr>
        <w:fldChar w:fldCharType="end"/>
      </w:r>
      <w:r>
        <w:rPr>
          <w:rtl/>
        </w:rPr>
        <w:t xml:space="preserve">, ואפ"ה אסרתו תורה, וביאר </w:t>
      </w:r>
      <w:r w:rsidRPr="00C939A8">
        <w:rPr>
          <w:rStyle w:val="affa"/>
          <w:rtl/>
        </w:rPr>
        <w:t>הגרעק"א</w:t>
      </w:r>
      <w:r>
        <w:rPr>
          <w:rtl/>
        </w:rPr>
        <w:t xml:space="preserve"> דס"ל לר"מ דמוכח מגיעולי עכו"ם דאיסור טעם כעיקר, נאמר אף בטעם פגום.</w:t>
      </w:r>
    </w:p>
    <w:p w:rsidR="00651E3B" w:rsidRDefault="00651E3B" w:rsidP="007809D6">
      <w:pPr>
        <w:pStyle w:val="ae"/>
      </w:pPr>
      <w:r>
        <w:rPr>
          <w:rtl/>
        </w:rPr>
        <w:t xml:space="preserve">ובדעת ר"ש ביאר </w:t>
      </w:r>
      <w:r w:rsidRPr="00C939A8">
        <w:rPr>
          <w:rStyle w:val="affa"/>
          <w:rtl/>
        </w:rPr>
        <w:t>הגרעק"א בתשו' ובחי'</w:t>
      </w:r>
      <w:r>
        <w:rPr>
          <w:rtl/>
        </w:rPr>
        <w:t xml:space="preserve"> בקושית הגמ' מ"ט דר"ש דהתיר, דאף דס"ל לר"ש דלא ילפינן מגיעולי עכו"ם, מ"מ מקשה הגמ' דאמאי התיר ר"ש במקום שאין רוב בהיתר, דמסברא נותן טעם לפגם אסור, דאינו בטל ברוב, ותירצה הגמ' דר"ש יליף מנבילה, וכדביאר </w:t>
      </w:r>
      <w:r w:rsidRPr="00C939A8">
        <w:rPr>
          <w:rStyle w:val="affa"/>
          <w:rtl/>
        </w:rPr>
        <w:t>הר"ן</w:t>
      </w:r>
      <w:r>
        <w:rPr>
          <w:rtl/>
        </w:rPr>
        <w:t xml:space="preserve"> </w:t>
      </w:r>
      <w:r w:rsidRPr="001A4A90">
        <w:rPr>
          <w:rStyle w:val="aff6"/>
          <w:rtl/>
        </w:rPr>
        <w:t>(עי' אות</w:t>
      </w:r>
      <w:r w:rsidRPr="001A4A90">
        <w:rPr>
          <w:rStyle w:val="aff6"/>
          <w:rFonts w:hint="cs"/>
          <w:rtl/>
        </w:rPr>
        <w:t xml:space="preserve"> </w:t>
      </w:r>
      <w:r w:rsidRPr="001A4A90">
        <w:rPr>
          <w:rStyle w:val="aff6"/>
          <w:rtl/>
        </w:rPr>
        <w:fldChar w:fldCharType="begin"/>
      </w:r>
      <w:r w:rsidRPr="001A4A90">
        <w:rPr>
          <w:rStyle w:val="aff6"/>
          <w:rtl/>
        </w:rPr>
        <w:instrText xml:space="preserve"> </w:instrText>
      </w:r>
      <w:r w:rsidRPr="001A4A90">
        <w:rPr>
          <w:rStyle w:val="aff6"/>
        </w:rPr>
        <w:instrText>REF</w:instrText>
      </w:r>
      <w:r w:rsidRPr="001A4A90">
        <w:rPr>
          <w:rStyle w:val="aff6"/>
          <w:rtl/>
        </w:rPr>
        <w:instrText xml:space="preserve"> _</w:instrText>
      </w:r>
      <w:r w:rsidRPr="001A4A90">
        <w:rPr>
          <w:rStyle w:val="aff6"/>
        </w:rPr>
        <w:instrText>Ref16849713 \r \h</w:instrText>
      </w:r>
      <w:r w:rsidRPr="001A4A90">
        <w:rPr>
          <w:rStyle w:val="aff6"/>
          <w:rtl/>
        </w:rPr>
        <w:instrText xml:space="preserve"> </w:instrText>
      </w:r>
      <w:r w:rsidRPr="001A4A90">
        <w:rPr>
          <w:rStyle w:val="aff6"/>
          <w:rtl/>
        </w:rPr>
      </w:r>
      <w:r w:rsidRPr="001A4A90">
        <w:rPr>
          <w:rStyle w:val="aff6"/>
          <w:rtl/>
        </w:rPr>
        <w:fldChar w:fldCharType="separate"/>
      </w:r>
      <w:r>
        <w:rPr>
          <w:rStyle w:val="aff6"/>
          <w:cs/>
        </w:rPr>
        <w:t>‎</w:t>
      </w:r>
      <w:r>
        <w:rPr>
          <w:rStyle w:val="aff6"/>
          <w:rtl/>
        </w:rPr>
        <w:t>מז)</w:t>
      </w:r>
      <w:r w:rsidRPr="001A4A90">
        <w:rPr>
          <w:rStyle w:val="aff6"/>
          <w:rtl/>
        </w:rPr>
        <w:fldChar w:fldCharType="end"/>
      </w:r>
      <w:r>
        <w:rPr>
          <w:rFonts w:hint="cs"/>
          <w:rtl/>
        </w:rPr>
        <w:t>,</w:t>
      </w:r>
      <w:r>
        <w:rPr>
          <w:rtl/>
        </w:rPr>
        <w:t xml:space="preserve"> דמוכח דכל שאינו נהנה מהטעם אין בו איסור.</w:t>
      </w:r>
    </w:p>
  </w:footnote>
  <w:footnote w:id="30">
    <w:p w:rsidR="00651E3B" w:rsidRDefault="00651E3B" w:rsidP="007809D6">
      <w:pPr>
        <w:pStyle w:val="ae"/>
        <w:rPr>
          <w:rtl/>
        </w:rPr>
      </w:pPr>
      <w:r>
        <w:rPr>
          <w:rStyle w:val="af0"/>
        </w:rPr>
        <w:footnoteRef/>
      </w:r>
      <w:r>
        <w:rPr>
          <w:rtl/>
        </w:rPr>
        <w:t xml:space="preserve"> </w:t>
      </w:r>
      <w:r>
        <w:rPr>
          <w:rFonts w:hint="cs"/>
          <w:rtl/>
        </w:rPr>
        <w:t xml:space="preserve">הנה על דברי </w:t>
      </w:r>
      <w:r w:rsidRPr="007243B1">
        <w:rPr>
          <w:rStyle w:val="affa"/>
          <w:rFonts w:hint="cs"/>
          <w:rtl/>
        </w:rPr>
        <w:t>השו"ע</w:t>
      </w:r>
      <w:r>
        <w:rPr>
          <w:rFonts w:hint="cs"/>
          <w:rtl/>
        </w:rPr>
        <w:t xml:space="preserve"> </w:t>
      </w:r>
      <w:r w:rsidRPr="00384F83">
        <w:rPr>
          <w:rStyle w:val="aff6"/>
          <w:rFonts w:hint="cs"/>
          <w:rtl/>
        </w:rPr>
        <w:t>(סי' ק"ג ב')</w:t>
      </w:r>
      <w:r>
        <w:rPr>
          <w:rFonts w:hint="cs"/>
          <w:rtl/>
        </w:rPr>
        <w:t xml:space="preserve"> שהביא בשם יש מי שאומר, את דעת </w:t>
      </w:r>
      <w:r w:rsidRPr="007243B1">
        <w:rPr>
          <w:rStyle w:val="affa"/>
          <w:rFonts w:hint="cs"/>
          <w:rtl/>
        </w:rPr>
        <w:t>הרשב"א</w:t>
      </w:r>
      <w:r>
        <w:rPr>
          <w:rFonts w:hint="cs"/>
          <w:rtl/>
        </w:rPr>
        <w:t xml:space="preserve"> </w:t>
      </w:r>
      <w:r w:rsidRPr="00384F83">
        <w:rPr>
          <w:rStyle w:val="aff6"/>
          <w:rFonts w:hint="cs"/>
          <w:rtl/>
        </w:rPr>
        <w:t xml:space="preserve">(עי' אות </w:t>
      </w:r>
      <w:r w:rsidRPr="00384F83">
        <w:rPr>
          <w:rStyle w:val="aff6"/>
          <w:rtl/>
        </w:rPr>
        <w:fldChar w:fldCharType="begin"/>
      </w:r>
      <w:r w:rsidRPr="00384F83">
        <w:rPr>
          <w:rStyle w:val="aff6"/>
          <w:rtl/>
        </w:rPr>
        <w:instrText xml:space="preserve"> </w:instrText>
      </w:r>
      <w:r w:rsidRPr="00384F83">
        <w:rPr>
          <w:rStyle w:val="aff6"/>
          <w:rFonts w:hint="cs"/>
        </w:rPr>
        <w:instrText>REF</w:instrText>
      </w:r>
      <w:r w:rsidRPr="00384F83">
        <w:rPr>
          <w:rStyle w:val="aff6"/>
          <w:rFonts w:hint="cs"/>
          <w:rtl/>
        </w:rPr>
        <w:instrText xml:space="preserve"> _</w:instrText>
      </w:r>
      <w:r w:rsidRPr="00384F83">
        <w:rPr>
          <w:rStyle w:val="aff6"/>
          <w:rFonts w:hint="cs"/>
        </w:rPr>
        <w:instrText>Ref18320646 \r \h</w:instrText>
      </w:r>
      <w:r w:rsidRPr="00384F83">
        <w:rPr>
          <w:rStyle w:val="aff6"/>
          <w:rtl/>
        </w:rPr>
        <w:instrText xml:space="preserve">  \* </w:instrText>
      </w:r>
      <w:r w:rsidRPr="00384F83">
        <w:rPr>
          <w:rStyle w:val="aff6"/>
        </w:rPr>
        <w:instrText>MERGEFORMAT</w:instrText>
      </w:r>
      <w:r w:rsidRPr="00384F83">
        <w:rPr>
          <w:rStyle w:val="aff6"/>
          <w:rtl/>
        </w:rPr>
        <w:instrText xml:space="preserve"> </w:instrText>
      </w:r>
      <w:r w:rsidRPr="00384F83">
        <w:rPr>
          <w:rStyle w:val="aff6"/>
          <w:rtl/>
        </w:rPr>
      </w:r>
      <w:r w:rsidRPr="00384F83">
        <w:rPr>
          <w:rStyle w:val="aff6"/>
          <w:rtl/>
        </w:rPr>
        <w:fldChar w:fldCharType="separate"/>
      </w:r>
      <w:r>
        <w:rPr>
          <w:rStyle w:val="aff6"/>
          <w:cs/>
        </w:rPr>
        <w:t>‎</w:t>
      </w:r>
      <w:r>
        <w:rPr>
          <w:rStyle w:val="aff6"/>
          <w:rtl/>
        </w:rPr>
        <w:t>יח)</w:t>
      </w:r>
      <w:r w:rsidRPr="00384F83">
        <w:rPr>
          <w:rStyle w:val="aff6"/>
          <w:rtl/>
        </w:rPr>
        <w:fldChar w:fldCharType="end"/>
      </w:r>
      <w:r>
        <w:rPr>
          <w:rFonts w:hint="cs"/>
          <w:rtl/>
        </w:rPr>
        <w:t xml:space="preserve"> דהיתר נותן טעם לפגם הוא רק כשיש רוב היתר, ציין </w:t>
      </w:r>
      <w:r w:rsidRPr="007243B1">
        <w:rPr>
          <w:rStyle w:val="affa"/>
          <w:rFonts w:hint="cs"/>
          <w:rtl/>
        </w:rPr>
        <w:t>הגר"א</w:t>
      </w:r>
      <w:r>
        <w:rPr>
          <w:rFonts w:hint="cs"/>
          <w:rtl/>
        </w:rPr>
        <w:t xml:space="preserve"> </w:t>
      </w:r>
      <w:r w:rsidRPr="00384F83">
        <w:rPr>
          <w:rStyle w:val="aff6"/>
          <w:rFonts w:hint="cs"/>
          <w:rtl/>
        </w:rPr>
        <w:t>(סי' ק"ג סק"ד)</w:t>
      </w:r>
      <w:r w:rsidRPr="00D47CE7">
        <w:rPr>
          <w:rStyle w:val="af6"/>
          <w:rFonts w:eastAsia="Guttman Hodes" w:hint="cs"/>
          <w:rtl/>
        </w:rPr>
        <w:t xml:space="preserve"> </w:t>
      </w:r>
      <w:r>
        <w:rPr>
          <w:rFonts w:hint="cs"/>
          <w:rtl/>
        </w:rPr>
        <w:t xml:space="preserve">לדברי </w:t>
      </w:r>
      <w:r w:rsidRPr="007243B1">
        <w:rPr>
          <w:rStyle w:val="affa"/>
          <w:rFonts w:hint="cs"/>
          <w:rtl/>
        </w:rPr>
        <w:t>הר"ן</w:t>
      </w:r>
      <w:r>
        <w:rPr>
          <w:rFonts w:hint="cs"/>
          <w:rtl/>
        </w:rPr>
        <w:t xml:space="preserve">, וכתב </w:t>
      </w:r>
      <w:r w:rsidRPr="007243B1">
        <w:rPr>
          <w:rStyle w:val="affa"/>
          <w:rFonts w:hint="cs"/>
          <w:rtl/>
        </w:rPr>
        <w:t>הגר"א</w:t>
      </w:r>
      <w:r>
        <w:rPr>
          <w:rFonts w:hint="cs"/>
          <w:rtl/>
        </w:rPr>
        <w:t xml:space="preserve"> דלשון </w:t>
      </w:r>
      <w:r w:rsidRPr="007243B1">
        <w:rPr>
          <w:rStyle w:val="affa"/>
          <w:rFonts w:hint="cs"/>
          <w:rtl/>
        </w:rPr>
        <w:t>הר"ן</w:t>
      </w:r>
      <w:r>
        <w:rPr>
          <w:rFonts w:hint="cs"/>
          <w:rtl/>
        </w:rPr>
        <w:t xml:space="preserve"> הוא "</w:t>
      </w:r>
      <w:r>
        <w:rPr>
          <w:rtl/>
        </w:rPr>
        <w:t>אבל בליכא רובו אסור משום גופו שאינו בטל וכאלו הוא בעין</w:t>
      </w:r>
      <w:r>
        <w:rPr>
          <w:rFonts w:hint="cs"/>
          <w:rtl/>
        </w:rPr>
        <w:t xml:space="preserve">", ולשון זו אינה בר"ן לפנינו, ובהמשך דברי </w:t>
      </w:r>
      <w:r w:rsidRPr="007243B1">
        <w:rPr>
          <w:rStyle w:val="affa"/>
          <w:rFonts w:hint="cs"/>
          <w:rtl/>
        </w:rPr>
        <w:t>השו"ע</w:t>
      </w:r>
      <w:r>
        <w:rPr>
          <w:rFonts w:hint="cs"/>
          <w:rtl/>
        </w:rPr>
        <w:t xml:space="preserve"> דהביא בשם יש מי שחוכך את דעת </w:t>
      </w:r>
      <w:r w:rsidRPr="007243B1">
        <w:rPr>
          <w:rStyle w:val="affa"/>
          <w:rFonts w:hint="cs"/>
          <w:rtl/>
        </w:rPr>
        <w:t>הר"ן</w:t>
      </w:r>
      <w:r>
        <w:rPr>
          <w:rFonts w:hint="cs"/>
          <w:rtl/>
        </w:rPr>
        <w:t xml:space="preserve"> </w:t>
      </w:r>
      <w:r w:rsidRPr="00384F83">
        <w:rPr>
          <w:rStyle w:val="aff6"/>
          <w:rFonts w:hint="cs"/>
          <w:rtl/>
        </w:rPr>
        <w:t xml:space="preserve">(עי' אות </w:t>
      </w:r>
      <w:r w:rsidRPr="00384F83">
        <w:rPr>
          <w:rStyle w:val="aff6"/>
          <w:rtl/>
        </w:rPr>
        <w:fldChar w:fldCharType="begin"/>
      </w:r>
      <w:r w:rsidRPr="00384F83">
        <w:rPr>
          <w:rStyle w:val="aff6"/>
          <w:rtl/>
        </w:rPr>
        <w:instrText xml:space="preserve"> </w:instrText>
      </w:r>
      <w:r w:rsidRPr="00384F83">
        <w:rPr>
          <w:rStyle w:val="aff6"/>
          <w:rFonts w:hint="cs"/>
        </w:rPr>
        <w:instrText>REF</w:instrText>
      </w:r>
      <w:r w:rsidRPr="00384F83">
        <w:rPr>
          <w:rStyle w:val="aff6"/>
          <w:rFonts w:hint="cs"/>
          <w:rtl/>
        </w:rPr>
        <w:instrText xml:space="preserve"> _</w:instrText>
      </w:r>
      <w:r w:rsidRPr="00384F83">
        <w:rPr>
          <w:rStyle w:val="aff6"/>
          <w:rFonts w:hint="cs"/>
        </w:rPr>
        <w:instrText>Ref16850208 \r \h</w:instrText>
      </w:r>
      <w:r w:rsidRPr="00384F83">
        <w:rPr>
          <w:rStyle w:val="aff6"/>
          <w:rtl/>
        </w:rPr>
        <w:instrText xml:space="preserve">  \* </w:instrText>
      </w:r>
      <w:r w:rsidRPr="00384F83">
        <w:rPr>
          <w:rStyle w:val="aff6"/>
        </w:rPr>
        <w:instrText>MERGEFORMAT</w:instrText>
      </w:r>
      <w:r w:rsidRPr="00384F83">
        <w:rPr>
          <w:rStyle w:val="aff6"/>
          <w:rtl/>
        </w:rPr>
        <w:instrText xml:space="preserve"> </w:instrText>
      </w:r>
      <w:r w:rsidRPr="00384F83">
        <w:rPr>
          <w:rStyle w:val="aff6"/>
          <w:rtl/>
        </w:rPr>
      </w:r>
      <w:r w:rsidRPr="00384F83">
        <w:rPr>
          <w:rStyle w:val="aff6"/>
          <w:rtl/>
        </w:rPr>
        <w:fldChar w:fldCharType="separate"/>
      </w:r>
      <w:r>
        <w:rPr>
          <w:rStyle w:val="aff6"/>
          <w:cs/>
        </w:rPr>
        <w:t>‎</w:t>
      </w:r>
      <w:r>
        <w:rPr>
          <w:rStyle w:val="aff6"/>
          <w:rtl/>
        </w:rPr>
        <w:t>מח)</w:t>
      </w:r>
      <w:r w:rsidRPr="00384F83">
        <w:rPr>
          <w:rStyle w:val="aff6"/>
          <w:rtl/>
        </w:rPr>
        <w:fldChar w:fldCharType="end"/>
      </w:r>
      <w:r w:rsidRPr="00D47CE7">
        <w:rPr>
          <w:rFonts w:hint="cs"/>
          <w:rtl/>
        </w:rPr>
        <w:t xml:space="preserve"> </w:t>
      </w:r>
      <w:r>
        <w:rPr>
          <w:rFonts w:hint="cs"/>
          <w:rtl/>
        </w:rPr>
        <w:t xml:space="preserve">דאוסר בהגדיל מידתו, ג"כ ציין </w:t>
      </w:r>
      <w:r w:rsidRPr="007243B1">
        <w:rPr>
          <w:rStyle w:val="affa"/>
          <w:rFonts w:hint="cs"/>
          <w:rtl/>
        </w:rPr>
        <w:t>הגר"א</w:t>
      </w:r>
      <w:r w:rsidRPr="00384F83">
        <w:rPr>
          <w:rStyle w:val="aff6"/>
          <w:rFonts w:hint="cs"/>
          <w:rtl/>
        </w:rPr>
        <w:t xml:space="preserve"> (סי' ק"ג סק"ה)</w:t>
      </w:r>
      <w:r w:rsidRPr="00D47CE7">
        <w:rPr>
          <w:rStyle w:val="af6"/>
          <w:rFonts w:eastAsia="Guttman Hodes" w:hint="cs"/>
          <w:rtl/>
        </w:rPr>
        <w:t xml:space="preserve"> </w:t>
      </w:r>
      <w:r>
        <w:rPr>
          <w:rFonts w:hint="cs"/>
          <w:rtl/>
        </w:rPr>
        <w:t xml:space="preserve">לדברי </w:t>
      </w:r>
      <w:r w:rsidRPr="007243B1">
        <w:rPr>
          <w:rStyle w:val="affa"/>
          <w:rFonts w:hint="cs"/>
          <w:rtl/>
        </w:rPr>
        <w:t>הר"ן</w:t>
      </w:r>
      <w:r>
        <w:rPr>
          <w:rFonts w:hint="cs"/>
          <w:rtl/>
        </w:rPr>
        <w:t xml:space="preserve">, ומשמע דכוונת </w:t>
      </w:r>
      <w:r w:rsidRPr="007243B1">
        <w:rPr>
          <w:rStyle w:val="affa"/>
          <w:rFonts w:hint="cs"/>
          <w:rtl/>
        </w:rPr>
        <w:t>הגר"א</w:t>
      </w:r>
      <w:r>
        <w:rPr>
          <w:rFonts w:hint="cs"/>
          <w:rtl/>
        </w:rPr>
        <w:t xml:space="preserve"> לומר דדברי </w:t>
      </w:r>
      <w:r w:rsidRPr="007243B1">
        <w:rPr>
          <w:rStyle w:val="affa"/>
          <w:rFonts w:hint="cs"/>
          <w:rtl/>
        </w:rPr>
        <w:t>השו"ע</w:t>
      </w:r>
      <w:r>
        <w:rPr>
          <w:rFonts w:hint="cs"/>
          <w:rtl/>
        </w:rPr>
        <w:t xml:space="preserve"> גם בהא דצריך רוב היתר וגם בהא דאסור בהגדיל מידתו, אינם תלויים בפלוגתת </w:t>
      </w:r>
      <w:r w:rsidRPr="007243B1">
        <w:rPr>
          <w:rStyle w:val="affa"/>
          <w:rFonts w:hint="cs"/>
          <w:rtl/>
        </w:rPr>
        <w:t>הרשב"א והר"ן</w:t>
      </w:r>
      <w:r>
        <w:rPr>
          <w:rFonts w:hint="cs"/>
          <w:rtl/>
        </w:rPr>
        <w:t xml:space="preserve">, דאף </w:t>
      </w:r>
      <w:r w:rsidRPr="007243B1">
        <w:rPr>
          <w:rStyle w:val="affa"/>
          <w:rFonts w:hint="cs"/>
          <w:rtl/>
        </w:rPr>
        <w:t>הר"ן</w:t>
      </w:r>
      <w:r>
        <w:rPr>
          <w:rFonts w:hint="cs"/>
          <w:rtl/>
        </w:rPr>
        <w:t xml:space="preserve"> מודה לדברי </w:t>
      </w:r>
      <w:r w:rsidRPr="007243B1">
        <w:rPr>
          <w:rStyle w:val="affa"/>
          <w:rFonts w:hint="cs"/>
          <w:rtl/>
        </w:rPr>
        <w:t>הרשב"א</w:t>
      </w:r>
      <w:r>
        <w:rPr>
          <w:rFonts w:hint="cs"/>
          <w:rtl/>
        </w:rPr>
        <w:t>, דההיתר בנותן טעם לפגם הוא רק כשיש רוב היתר, דבפחות מרוב, גוף האיסור אינו בטל, ויל"ע טובא בדבריו.</w:t>
      </w:r>
    </w:p>
  </w:footnote>
  <w:footnote w:id="31">
    <w:p w:rsidR="00651E3B" w:rsidRDefault="00651E3B" w:rsidP="007809D6">
      <w:pPr>
        <w:pStyle w:val="ae"/>
      </w:pPr>
      <w:r>
        <w:rPr>
          <w:rStyle w:val="af0"/>
        </w:rPr>
        <w:footnoteRef/>
      </w:r>
      <w:r w:rsidRPr="00F06192">
        <w:rPr>
          <w:rtl/>
        </w:rPr>
        <w:t xml:space="preserve"> וע"ע בדברי </w:t>
      </w:r>
      <w:r w:rsidRPr="009339DE">
        <w:rPr>
          <w:rStyle w:val="affa"/>
          <w:rtl/>
        </w:rPr>
        <w:t>היד יהודה</w:t>
      </w:r>
      <w:r w:rsidRPr="00F06192">
        <w:rPr>
          <w:rtl/>
        </w:rPr>
        <w:t xml:space="preserve"> </w:t>
      </w:r>
      <w:r w:rsidRPr="009339DE">
        <w:rPr>
          <w:rStyle w:val="aff6"/>
          <w:rtl/>
        </w:rPr>
        <w:t>(סי' ק"ג סק"א ד"ה אבל הר"ן בתו"ד)</w:t>
      </w:r>
      <w:r w:rsidRPr="00F06192">
        <w:rPr>
          <w:rtl/>
        </w:rPr>
        <w:t xml:space="preserve"> דכתב דמדברי </w:t>
      </w:r>
      <w:r w:rsidRPr="009339DE">
        <w:rPr>
          <w:rStyle w:val="affa"/>
          <w:rtl/>
        </w:rPr>
        <w:t>הר"ן על הרי"ף</w:t>
      </w:r>
      <w:r w:rsidRPr="00F06192">
        <w:rPr>
          <w:rtl/>
        </w:rPr>
        <w:t xml:space="preserve"> </w:t>
      </w:r>
      <w:r w:rsidRPr="009339DE">
        <w:rPr>
          <w:rStyle w:val="aff6"/>
          <w:rtl/>
        </w:rPr>
        <w:t>(לב: מד</w:t>
      </w:r>
      <w:r>
        <w:rPr>
          <w:rStyle w:val="aff6"/>
          <w:rFonts w:hint="cs"/>
          <w:rtl/>
        </w:rPr>
        <w:t>פי הרי"ף</w:t>
      </w:r>
      <w:r w:rsidRPr="009339DE">
        <w:rPr>
          <w:rStyle w:val="aff6"/>
          <w:rtl/>
        </w:rPr>
        <w:t xml:space="preserve"> ד"ה אי משום)</w:t>
      </w:r>
      <w:r w:rsidRPr="00F06192">
        <w:rPr>
          <w:rtl/>
        </w:rPr>
        <w:t xml:space="preserve"> בדין "עכברא בשיכרא", מבואר דהא דהטעם  הפגום שמותר גורם לאיסור שלא יתבטל, דע"י הטעם הפגום ניכר גוף האיסור ואינו מתבטל ברוב, והוא טעמו וממשו דאסור מדאו', [אף </w:t>
      </w:r>
      <w:r w:rsidRPr="009339DE">
        <w:rPr>
          <w:rStyle w:val="affa"/>
          <w:rtl/>
        </w:rPr>
        <w:t>להר"ן</w:t>
      </w:r>
      <w:r w:rsidRPr="00F06192">
        <w:rPr>
          <w:rtl/>
        </w:rPr>
        <w:t xml:space="preserve"> דטעם כעיקר דרבנן], מ"מ זהו דוקא בדבר שהוא אוכל, אבל באיסור שמאוס מעיקרו שאינו אוכל, לא נאמר בו דין טעמו וממשו כלל, והא דאסרתו תורה אף שאינו אוכל הוא חידוש, ואין לך בו אלא חידושו, דהוא גופו אסור, אך הוא נחשב כעץ שאינו נותן טעם כלל, ולכן לא שייך בו איסור בטעמו וממשו, ואף כשגופו נימוח בהיתר הוא מתבטל ברוב, ולכן אינו נהנה מהאיסור.</w:t>
      </w:r>
      <w:r>
        <w:rPr>
          <w:rtl/>
        </w:rPr>
        <w:t xml:space="preserve"> </w:t>
      </w:r>
    </w:p>
  </w:footnote>
  <w:footnote w:id="32">
    <w:p w:rsidR="00651E3B" w:rsidRDefault="00651E3B" w:rsidP="006061FF">
      <w:pPr>
        <w:pStyle w:val="ae"/>
        <w:rPr>
          <w:rtl/>
        </w:rPr>
      </w:pPr>
      <w:r>
        <w:rPr>
          <w:rStyle w:val="af0"/>
        </w:rPr>
        <w:footnoteRef/>
      </w:r>
      <w:r>
        <w:rPr>
          <w:rtl/>
        </w:rPr>
        <w:t xml:space="preserve"> </w:t>
      </w:r>
      <w:r w:rsidRPr="00AB56DA">
        <w:rPr>
          <w:rStyle w:val="afa"/>
          <w:rFonts w:hint="cs"/>
          <w:rtl/>
        </w:rPr>
        <w:t xml:space="preserve">וכתב </w:t>
      </w:r>
      <w:r w:rsidRPr="00AB56DA">
        <w:rPr>
          <w:rStyle w:val="affa"/>
          <w:rFonts w:hint="cs"/>
          <w:rtl/>
        </w:rPr>
        <w:t>היד יהודה</w:t>
      </w:r>
      <w:r w:rsidRPr="00AB56DA">
        <w:rPr>
          <w:rStyle w:val="afa"/>
          <w:rFonts w:hint="cs"/>
          <w:rtl/>
        </w:rPr>
        <w:t xml:space="preserve"> </w:t>
      </w:r>
      <w:r w:rsidRPr="0028703E">
        <w:rPr>
          <w:rStyle w:val="aff6"/>
          <w:rFonts w:hint="cs"/>
          <w:rtl/>
        </w:rPr>
        <w:t xml:space="preserve">(הובא לקמן סימן י"ג אות ז, ואות כ"ה) </w:t>
      </w:r>
      <w:r w:rsidRPr="00AB56DA">
        <w:rPr>
          <w:rStyle w:val="afa"/>
          <w:rFonts w:hint="cs"/>
          <w:rtl/>
        </w:rPr>
        <w:t xml:space="preserve">דלכן נחלקו </w:t>
      </w:r>
      <w:r w:rsidRPr="00852CEB">
        <w:rPr>
          <w:rStyle w:val="affa"/>
          <w:rFonts w:hint="cs"/>
          <w:rtl/>
        </w:rPr>
        <w:t>הרשב"א בתשו'</w:t>
      </w:r>
      <w:r>
        <w:rPr>
          <w:rFonts w:hint="cs"/>
          <w:rtl/>
        </w:rPr>
        <w:t xml:space="preserve"> </w:t>
      </w:r>
      <w:r w:rsidRPr="001A4A90">
        <w:rPr>
          <w:rStyle w:val="aff6"/>
          <w:rFonts w:hint="cs"/>
          <w:rtl/>
        </w:rPr>
        <w:t>(ח"א סי' תצ"ט, ח"ז מיוחסות ריש סי' קנ"א, הובא לקמן סימן י"ג אות ג')</w:t>
      </w:r>
      <w:r w:rsidRPr="008441DA">
        <w:rPr>
          <w:rStyle w:val="af6"/>
          <w:rFonts w:eastAsia="Guttman Hodes" w:hint="cs"/>
          <w:rtl/>
        </w:rPr>
        <w:t xml:space="preserve"> </w:t>
      </w:r>
      <w:r w:rsidRPr="0063594F">
        <w:rPr>
          <w:rtl/>
        </w:rPr>
        <w:t xml:space="preserve">דלדעת </w:t>
      </w:r>
      <w:r>
        <w:rPr>
          <w:rStyle w:val="affa"/>
          <w:rFonts w:hint="cs"/>
          <w:rtl/>
        </w:rPr>
        <w:t>ו</w:t>
      </w:r>
      <w:r w:rsidRPr="00852CEB">
        <w:rPr>
          <w:rStyle w:val="affa"/>
          <w:rFonts w:hint="cs"/>
          <w:rtl/>
        </w:rPr>
        <w:t>הר"ן בפסחים</w:t>
      </w:r>
      <w:r>
        <w:rPr>
          <w:rFonts w:hint="cs"/>
          <w:rtl/>
        </w:rPr>
        <w:t xml:space="preserve"> </w:t>
      </w:r>
      <w:r w:rsidRPr="001A4A90">
        <w:rPr>
          <w:rStyle w:val="aff6"/>
          <w:rFonts w:hint="cs"/>
          <w:rtl/>
        </w:rPr>
        <w:t>(ל. ד"ה אמר רב)</w:t>
      </w:r>
      <w:r>
        <w:rPr>
          <w:rStyle w:val="af8"/>
          <w:rFonts w:hint="cs"/>
          <w:rtl/>
        </w:rPr>
        <w:t xml:space="preserve"> </w:t>
      </w:r>
      <w:r w:rsidRPr="00852CEB">
        <w:rPr>
          <w:rStyle w:val="affa"/>
          <w:rFonts w:hint="cs"/>
          <w:rtl/>
        </w:rPr>
        <w:t>ועל הרי"ף</w:t>
      </w:r>
      <w:r w:rsidRPr="001A4A90">
        <w:rPr>
          <w:rStyle w:val="aff6"/>
          <w:rFonts w:hint="cs"/>
          <w:rtl/>
        </w:rPr>
        <w:t xml:space="preserve"> (ז: מדפי הרי"ף ד"ה אמר רב, הובא לקמן סימן י"ג אות י"ז)</w:t>
      </w:r>
      <w:r>
        <w:rPr>
          <w:rFonts w:hint="cs"/>
          <w:rtl/>
        </w:rPr>
        <w:t xml:space="preserve"> </w:t>
      </w:r>
      <w:r w:rsidRPr="00AB56DA">
        <w:rPr>
          <w:rStyle w:val="affa"/>
          <w:rFonts w:hint="cs"/>
          <w:rtl/>
        </w:rPr>
        <w:t>הרשב"א והר"ן</w:t>
      </w:r>
      <w:r w:rsidRPr="00AB56DA">
        <w:rPr>
          <w:rStyle w:val="afa"/>
          <w:rFonts w:hint="cs"/>
          <w:rtl/>
        </w:rPr>
        <w:t xml:space="preserve"> לענין נותן טעם לפגם בחמץ</w:t>
      </w:r>
      <w:r>
        <w:rPr>
          <w:rStyle w:val="afa"/>
          <w:rFonts w:hint="cs"/>
          <w:rtl/>
        </w:rPr>
        <w:t>,</w:t>
      </w:r>
      <w:r w:rsidRPr="00AB56DA">
        <w:rPr>
          <w:rStyle w:val="afa"/>
          <w:rFonts w:hint="cs"/>
          <w:rtl/>
        </w:rPr>
        <w:t xml:space="preserve"> </w:t>
      </w:r>
      <w:r w:rsidRPr="00AB56DA">
        <w:rPr>
          <w:rStyle w:val="affa"/>
          <w:rFonts w:hint="cs"/>
          <w:rtl/>
        </w:rPr>
        <w:t>דלהרשב"א</w:t>
      </w:r>
      <w:r w:rsidRPr="00AB56DA">
        <w:rPr>
          <w:rStyle w:val="afa"/>
          <w:rFonts w:hint="cs"/>
          <w:rtl/>
        </w:rPr>
        <w:t xml:space="preserve"> כיון שלא מהני בחמץ ביטול ברוב, גוף האיסור אוסר את ההיתר,</w:t>
      </w:r>
      <w:r>
        <w:rPr>
          <w:rStyle w:val="afa"/>
          <w:rFonts w:hint="cs"/>
          <w:rtl/>
        </w:rPr>
        <w:t xml:space="preserve"> [עי' בדברי </w:t>
      </w:r>
      <w:r w:rsidRPr="006061FF">
        <w:rPr>
          <w:rStyle w:val="affa"/>
          <w:rFonts w:hint="cs"/>
          <w:rtl/>
        </w:rPr>
        <w:t>היד יהודה</w:t>
      </w:r>
      <w:r>
        <w:rPr>
          <w:rStyle w:val="afa"/>
          <w:rFonts w:hint="cs"/>
          <w:rtl/>
        </w:rPr>
        <w:t xml:space="preserve"> </w:t>
      </w:r>
      <w:r w:rsidRPr="006061FF">
        <w:rPr>
          <w:rStyle w:val="aff6"/>
          <w:rFonts w:hint="cs"/>
          <w:rtl/>
        </w:rPr>
        <w:t xml:space="preserve">(הובא לקמן סימן י"ג אות </w:t>
      </w:r>
      <w:r w:rsidRPr="006061FF">
        <w:rPr>
          <w:rStyle w:val="aff6"/>
          <w:rtl/>
        </w:rPr>
        <w:fldChar w:fldCharType="begin"/>
      </w:r>
      <w:r w:rsidRPr="006061FF">
        <w:rPr>
          <w:rStyle w:val="aff6"/>
          <w:rtl/>
        </w:rPr>
        <w:instrText xml:space="preserve"> </w:instrText>
      </w:r>
      <w:r w:rsidRPr="006061FF">
        <w:rPr>
          <w:rStyle w:val="aff6"/>
          <w:rFonts w:hint="cs"/>
        </w:rPr>
        <w:instrText>REF</w:instrText>
      </w:r>
      <w:r w:rsidRPr="006061FF">
        <w:rPr>
          <w:rStyle w:val="aff6"/>
          <w:rFonts w:hint="cs"/>
          <w:rtl/>
        </w:rPr>
        <w:instrText xml:space="preserve"> _</w:instrText>
      </w:r>
      <w:r w:rsidRPr="006061FF">
        <w:rPr>
          <w:rStyle w:val="aff6"/>
          <w:rFonts w:hint="cs"/>
        </w:rPr>
        <w:instrText>Ref20428036 \r \h</w:instrText>
      </w:r>
      <w:r w:rsidRPr="006061FF">
        <w:rPr>
          <w:rStyle w:val="aff6"/>
          <w:rtl/>
        </w:rPr>
        <w:instrText xml:space="preserve"> </w:instrText>
      </w:r>
      <w:r w:rsidRPr="006061FF">
        <w:rPr>
          <w:rStyle w:val="aff6"/>
          <w:rtl/>
        </w:rPr>
      </w:r>
      <w:r w:rsidRPr="006061FF">
        <w:rPr>
          <w:rStyle w:val="aff6"/>
          <w:rtl/>
        </w:rPr>
        <w:fldChar w:fldCharType="separate"/>
      </w:r>
      <w:r>
        <w:rPr>
          <w:rStyle w:val="aff6"/>
          <w:cs/>
        </w:rPr>
        <w:t>‎</w:t>
      </w:r>
      <w:r>
        <w:rPr>
          <w:rStyle w:val="aff6"/>
          <w:rtl/>
        </w:rPr>
        <w:t>ז)</w:t>
      </w:r>
      <w:r w:rsidRPr="006061FF">
        <w:rPr>
          <w:rStyle w:val="aff6"/>
          <w:rtl/>
        </w:rPr>
        <w:fldChar w:fldCharType="end"/>
      </w:r>
      <w:r>
        <w:rPr>
          <w:rStyle w:val="afa"/>
          <w:rFonts w:hint="cs"/>
          <w:rtl/>
        </w:rPr>
        <w:t xml:space="preserve"> בדעת </w:t>
      </w:r>
      <w:r w:rsidRPr="006061FF">
        <w:rPr>
          <w:rStyle w:val="affa"/>
          <w:rFonts w:hint="cs"/>
          <w:rtl/>
        </w:rPr>
        <w:t>הרשב"א</w:t>
      </w:r>
      <w:r>
        <w:rPr>
          <w:rStyle w:val="afa"/>
          <w:rFonts w:hint="cs"/>
          <w:rtl/>
        </w:rPr>
        <w:t>],</w:t>
      </w:r>
      <w:r w:rsidRPr="00AB56DA">
        <w:rPr>
          <w:rStyle w:val="afa"/>
          <w:rFonts w:hint="cs"/>
          <w:rtl/>
        </w:rPr>
        <w:t xml:space="preserve"> </w:t>
      </w:r>
      <w:r w:rsidRPr="00AB56DA">
        <w:rPr>
          <w:rStyle w:val="affa"/>
          <w:rFonts w:hint="cs"/>
          <w:rtl/>
        </w:rPr>
        <w:t>ולהר"ן</w:t>
      </w:r>
      <w:r w:rsidRPr="00AB56DA">
        <w:rPr>
          <w:rStyle w:val="afa"/>
          <w:rFonts w:hint="cs"/>
          <w:rtl/>
        </w:rPr>
        <w:t xml:space="preserve"> כיון שגוף האיסור מותר כנבילה, ממילא אף שאינו </w:t>
      </w:r>
      <w:r w:rsidRPr="00ED5E97">
        <w:rPr>
          <w:rStyle w:val="afa"/>
          <w:rFonts w:hint="cs"/>
          <w:rtl/>
        </w:rPr>
        <w:t>מתבטל ברוב הוא מותר, עיי"ש בדבריו,</w:t>
      </w:r>
      <w:r w:rsidRPr="00CD5A81">
        <w:rPr>
          <w:rFonts w:hint="cs"/>
          <w:rtl/>
        </w:rPr>
        <w:t xml:space="preserve"> </w:t>
      </w:r>
      <w:r>
        <w:rPr>
          <w:rStyle w:val="afa"/>
          <w:rFonts w:hint="cs"/>
          <w:rtl/>
        </w:rPr>
        <w:t xml:space="preserve">[עי' בדברי </w:t>
      </w:r>
      <w:r w:rsidRPr="006061FF">
        <w:rPr>
          <w:rStyle w:val="affa"/>
          <w:rFonts w:hint="cs"/>
          <w:rtl/>
        </w:rPr>
        <w:t>היד יהודה</w:t>
      </w:r>
      <w:r>
        <w:rPr>
          <w:rStyle w:val="afa"/>
          <w:rFonts w:hint="cs"/>
          <w:rtl/>
        </w:rPr>
        <w:t xml:space="preserve"> </w:t>
      </w:r>
      <w:r w:rsidRPr="006061FF">
        <w:rPr>
          <w:rStyle w:val="aff6"/>
          <w:rFonts w:hint="cs"/>
          <w:rtl/>
        </w:rPr>
        <w:t xml:space="preserve">(הובא לקמן סימן י"ג אות </w:t>
      </w:r>
      <w:r w:rsidRPr="006061FF">
        <w:rPr>
          <w:rStyle w:val="aff6"/>
          <w:rtl/>
        </w:rPr>
        <w:fldChar w:fldCharType="begin"/>
      </w:r>
      <w:r w:rsidRPr="006061FF">
        <w:rPr>
          <w:rStyle w:val="aff6"/>
          <w:rtl/>
        </w:rPr>
        <w:instrText xml:space="preserve"> </w:instrText>
      </w:r>
      <w:r w:rsidRPr="006061FF">
        <w:rPr>
          <w:rStyle w:val="aff6"/>
          <w:rFonts w:hint="cs"/>
        </w:rPr>
        <w:instrText>REF</w:instrText>
      </w:r>
      <w:r w:rsidRPr="006061FF">
        <w:rPr>
          <w:rStyle w:val="aff6"/>
          <w:rFonts w:hint="cs"/>
          <w:rtl/>
        </w:rPr>
        <w:instrText xml:space="preserve"> _</w:instrText>
      </w:r>
      <w:r w:rsidRPr="006061FF">
        <w:rPr>
          <w:rStyle w:val="aff6"/>
          <w:rFonts w:hint="cs"/>
        </w:rPr>
        <w:instrText>Ref20428008 \r \h</w:instrText>
      </w:r>
      <w:r w:rsidRPr="006061FF">
        <w:rPr>
          <w:rStyle w:val="aff6"/>
          <w:rtl/>
        </w:rPr>
        <w:instrText xml:space="preserve"> </w:instrText>
      </w:r>
      <w:r w:rsidRPr="006061FF">
        <w:rPr>
          <w:rStyle w:val="aff6"/>
          <w:rtl/>
        </w:rPr>
      </w:r>
      <w:r w:rsidRPr="006061FF">
        <w:rPr>
          <w:rStyle w:val="aff6"/>
          <w:rtl/>
        </w:rPr>
        <w:fldChar w:fldCharType="separate"/>
      </w:r>
      <w:r>
        <w:rPr>
          <w:rStyle w:val="aff6"/>
          <w:cs/>
        </w:rPr>
        <w:t>‎</w:t>
      </w:r>
      <w:r>
        <w:rPr>
          <w:rStyle w:val="aff6"/>
          <w:rtl/>
        </w:rPr>
        <w:t>כה)</w:t>
      </w:r>
      <w:r w:rsidRPr="006061FF">
        <w:rPr>
          <w:rStyle w:val="aff6"/>
          <w:rtl/>
        </w:rPr>
        <w:fldChar w:fldCharType="end"/>
      </w:r>
      <w:r>
        <w:rPr>
          <w:rStyle w:val="afa"/>
          <w:rFonts w:hint="cs"/>
          <w:rtl/>
        </w:rPr>
        <w:t xml:space="preserve"> בדעת </w:t>
      </w:r>
      <w:r w:rsidRPr="006061FF">
        <w:rPr>
          <w:rStyle w:val="affa"/>
          <w:rFonts w:hint="cs"/>
          <w:rtl/>
        </w:rPr>
        <w:t>הר"ן</w:t>
      </w:r>
      <w:r>
        <w:rPr>
          <w:rStyle w:val="afa"/>
          <w:rFonts w:hint="cs"/>
          <w:rtl/>
        </w:rPr>
        <w:t>],</w:t>
      </w:r>
      <w:r w:rsidRPr="00AB56DA">
        <w:rPr>
          <w:rStyle w:val="afa"/>
          <w:rFonts w:hint="cs"/>
          <w:rtl/>
        </w:rPr>
        <w:t xml:space="preserve"> </w:t>
      </w:r>
      <w:r w:rsidRPr="00ED5E97">
        <w:rPr>
          <w:rStyle w:val="afa"/>
          <w:rFonts w:hint="cs"/>
          <w:rtl/>
        </w:rPr>
        <w:t xml:space="preserve"> </w:t>
      </w:r>
      <w:r w:rsidRPr="00ED5E97">
        <w:rPr>
          <w:rFonts w:hint="cs"/>
          <w:rtl/>
        </w:rPr>
        <w:t xml:space="preserve">והביא </w:t>
      </w:r>
      <w:r w:rsidRPr="00ED5E97">
        <w:rPr>
          <w:rStyle w:val="affa"/>
          <w:rFonts w:hint="cs"/>
          <w:rtl/>
        </w:rPr>
        <w:t>היד יהודה</w:t>
      </w:r>
      <w:r w:rsidRPr="00ED5E97">
        <w:rPr>
          <w:rFonts w:hint="cs"/>
          <w:rtl/>
        </w:rPr>
        <w:t xml:space="preserve"> </w:t>
      </w:r>
      <w:r>
        <w:rPr>
          <w:rFonts w:hint="cs"/>
          <w:rtl/>
        </w:rPr>
        <w:t>דכן מבואר להדיא ב</w:t>
      </w:r>
      <w:r w:rsidRPr="00ED5E97">
        <w:rPr>
          <w:rFonts w:hint="cs"/>
          <w:rtl/>
        </w:rPr>
        <w:t xml:space="preserve">דברי </w:t>
      </w:r>
      <w:r w:rsidRPr="00ED5E97">
        <w:rPr>
          <w:rStyle w:val="affa"/>
          <w:rFonts w:hint="cs"/>
          <w:rtl/>
        </w:rPr>
        <w:t>הריטב"א</w:t>
      </w:r>
      <w:r>
        <w:rPr>
          <w:rStyle w:val="affa"/>
          <w:rFonts w:hint="cs"/>
          <w:rtl/>
        </w:rPr>
        <w:t xml:space="preserve"> </w:t>
      </w:r>
      <w:r w:rsidRPr="00744190">
        <w:rPr>
          <w:rStyle w:val="aff6"/>
          <w:rFonts w:hint="cs"/>
          <w:rtl/>
        </w:rPr>
        <w:t>(סז. ד"ה והוי יודע)</w:t>
      </w:r>
      <w:r>
        <w:rPr>
          <w:rFonts w:hint="cs"/>
          <w:rtl/>
        </w:rPr>
        <w:t xml:space="preserve">, עיי"ש בדברי </w:t>
      </w:r>
      <w:r w:rsidRPr="006E2FC0">
        <w:rPr>
          <w:rStyle w:val="affa"/>
          <w:rFonts w:hint="cs"/>
          <w:rtl/>
        </w:rPr>
        <w:t>היד יהודה</w:t>
      </w:r>
      <w:r>
        <w:rPr>
          <w:rFonts w:hint="cs"/>
          <w:rtl/>
        </w:rPr>
        <w:t xml:space="preserve"> במ"ש לבאר את דברי </w:t>
      </w:r>
      <w:r w:rsidRPr="006E2FC0">
        <w:rPr>
          <w:rStyle w:val="affa"/>
          <w:rFonts w:hint="cs"/>
          <w:rtl/>
        </w:rPr>
        <w:t>הריטב"א</w:t>
      </w:r>
      <w:r>
        <w:rPr>
          <w:rStyle w:val="afa"/>
          <w:rFonts w:hint="cs"/>
          <w:rtl/>
        </w:rPr>
        <w:t xml:space="preserve">, [עי' בדברי </w:t>
      </w:r>
      <w:r w:rsidRPr="006061FF">
        <w:rPr>
          <w:rStyle w:val="affa"/>
          <w:rFonts w:hint="cs"/>
          <w:rtl/>
        </w:rPr>
        <w:t>היד יהודה</w:t>
      </w:r>
      <w:r>
        <w:rPr>
          <w:rStyle w:val="afa"/>
          <w:rFonts w:hint="cs"/>
          <w:rtl/>
        </w:rPr>
        <w:t xml:space="preserve"> </w:t>
      </w:r>
      <w:r w:rsidRPr="006061FF">
        <w:rPr>
          <w:rStyle w:val="aff6"/>
          <w:rFonts w:hint="cs"/>
          <w:rtl/>
        </w:rPr>
        <w:t xml:space="preserve">(הובא לקמן סימן י"ג אות </w:t>
      </w:r>
      <w:r w:rsidRPr="006061FF">
        <w:rPr>
          <w:rStyle w:val="aff6"/>
          <w:rtl/>
        </w:rPr>
        <w:fldChar w:fldCharType="begin"/>
      </w:r>
      <w:r w:rsidRPr="006061FF">
        <w:rPr>
          <w:rStyle w:val="aff6"/>
          <w:rtl/>
        </w:rPr>
        <w:instrText xml:space="preserve"> </w:instrText>
      </w:r>
      <w:r w:rsidRPr="006061FF">
        <w:rPr>
          <w:rStyle w:val="aff6"/>
          <w:rFonts w:hint="cs"/>
        </w:rPr>
        <w:instrText>REF</w:instrText>
      </w:r>
      <w:r w:rsidRPr="006061FF">
        <w:rPr>
          <w:rStyle w:val="aff6"/>
          <w:rFonts w:hint="cs"/>
          <w:rtl/>
        </w:rPr>
        <w:instrText xml:space="preserve"> _</w:instrText>
      </w:r>
      <w:r w:rsidRPr="006061FF">
        <w:rPr>
          <w:rStyle w:val="aff6"/>
          <w:rFonts w:hint="cs"/>
        </w:rPr>
        <w:instrText>Ref20427980 \r \h</w:instrText>
      </w:r>
      <w:r w:rsidRPr="006061FF">
        <w:rPr>
          <w:rStyle w:val="aff6"/>
          <w:rtl/>
        </w:rPr>
        <w:instrText xml:space="preserve"> </w:instrText>
      </w:r>
      <w:r w:rsidRPr="006061FF">
        <w:rPr>
          <w:rStyle w:val="aff6"/>
          <w:rtl/>
        </w:rPr>
      </w:r>
      <w:r w:rsidRPr="006061FF">
        <w:rPr>
          <w:rStyle w:val="aff6"/>
          <w:rtl/>
        </w:rPr>
        <w:fldChar w:fldCharType="separate"/>
      </w:r>
      <w:r>
        <w:rPr>
          <w:rStyle w:val="aff6"/>
          <w:cs/>
        </w:rPr>
        <w:t>‎</w:t>
      </w:r>
      <w:r>
        <w:rPr>
          <w:rStyle w:val="aff6"/>
          <w:rtl/>
        </w:rPr>
        <w:t>ל)</w:t>
      </w:r>
      <w:r w:rsidRPr="006061FF">
        <w:rPr>
          <w:rStyle w:val="aff6"/>
          <w:rtl/>
        </w:rPr>
        <w:fldChar w:fldCharType="end"/>
      </w:r>
      <w:r>
        <w:rPr>
          <w:rStyle w:val="afa"/>
          <w:rFonts w:hint="cs"/>
          <w:rtl/>
        </w:rPr>
        <w:t xml:space="preserve"> בדעת </w:t>
      </w:r>
      <w:r w:rsidRPr="006061FF">
        <w:rPr>
          <w:rStyle w:val="affa"/>
          <w:rFonts w:hint="cs"/>
          <w:rtl/>
        </w:rPr>
        <w:t>הריטב"א</w:t>
      </w:r>
      <w:r>
        <w:rPr>
          <w:rStyle w:val="afa"/>
          <w:rFonts w:hint="cs"/>
          <w:rtl/>
        </w:rPr>
        <w:t>]</w:t>
      </w:r>
      <w:r>
        <w:rPr>
          <w:rFonts w:hint="cs"/>
          <w:rtl/>
        </w:rPr>
        <w:t>.</w:t>
      </w:r>
    </w:p>
  </w:footnote>
  <w:footnote w:id="33">
    <w:p w:rsidR="00651E3B" w:rsidRDefault="00651E3B" w:rsidP="007809D6">
      <w:pPr>
        <w:pStyle w:val="ae"/>
        <w:rPr>
          <w:rtl/>
        </w:rPr>
      </w:pPr>
      <w:r>
        <w:rPr>
          <w:rStyle w:val="af0"/>
        </w:rPr>
        <w:footnoteRef/>
      </w:r>
      <w:r>
        <w:rPr>
          <w:rtl/>
        </w:rPr>
        <w:t xml:space="preserve"> </w:t>
      </w:r>
      <w:r w:rsidRPr="00DC34AF">
        <w:rPr>
          <w:rStyle w:val="afa"/>
          <w:rFonts w:hint="cs"/>
          <w:rtl/>
        </w:rPr>
        <w:t>ו</w:t>
      </w:r>
      <w:r>
        <w:rPr>
          <w:rStyle w:val="afa"/>
          <w:rFonts w:hint="cs"/>
          <w:rtl/>
        </w:rPr>
        <w:t>הוסיף</w:t>
      </w:r>
      <w:r w:rsidRPr="00DC34AF">
        <w:rPr>
          <w:rStyle w:val="afa"/>
          <w:rFonts w:hint="cs"/>
          <w:rtl/>
        </w:rPr>
        <w:t xml:space="preserve"> </w:t>
      </w:r>
      <w:r w:rsidRPr="00DC34AF">
        <w:rPr>
          <w:rStyle w:val="affa"/>
          <w:rFonts w:hint="cs"/>
          <w:rtl/>
        </w:rPr>
        <w:t xml:space="preserve"> הראב"ד </w:t>
      </w:r>
      <w:r w:rsidRPr="00DC34AF">
        <w:rPr>
          <w:rStyle w:val="afa"/>
          <w:rFonts w:hint="cs"/>
          <w:rtl/>
        </w:rPr>
        <w:t>דקיי"ל דאף במקום שהנבילה פגומה במקצת, אך עדיין היא ראויה לגר היא אסורה, כדאיתא בגמ' בחולין</w:t>
      </w:r>
      <w:r>
        <w:rPr>
          <w:rStyle w:val="afa"/>
          <w:rFonts w:hint="cs"/>
          <w:rtl/>
        </w:rPr>
        <w:t xml:space="preserve"> </w:t>
      </w:r>
      <w:r w:rsidRPr="003537B5">
        <w:rPr>
          <w:rStyle w:val="aff6"/>
          <w:rFonts w:hint="cs"/>
          <w:rtl/>
        </w:rPr>
        <w:t>(עא.)</w:t>
      </w:r>
      <w:r w:rsidRPr="00DC34AF">
        <w:rPr>
          <w:rStyle w:val="afa"/>
          <w:rFonts w:hint="cs"/>
          <w:rtl/>
        </w:rPr>
        <w:t xml:space="preserve"> דהאוכל מנבילת עוף טהור, דחשיבא ראויה לגר למי שלא יודע שאחר אכלה, [דהיינו שבלע חתיכה קטנה ולא לעס אותה, שאם היה פולטה הייתה ראויה לאכילה, ולכן אף שבלעה לתוך מעיו חשיבא עדיין ראויה לגר], וכתב </w:t>
      </w:r>
      <w:r w:rsidRPr="00DC34AF">
        <w:rPr>
          <w:rStyle w:val="affa"/>
          <w:rFonts w:hint="cs"/>
          <w:rtl/>
        </w:rPr>
        <w:t>הראב"ד</w:t>
      </w:r>
      <w:r w:rsidRPr="00DC34AF">
        <w:rPr>
          <w:rStyle w:val="afa"/>
          <w:rFonts w:hint="cs"/>
          <w:rtl/>
        </w:rPr>
        <w:t xml:space="preserve"> דודאי שנפגמה במקצת כשבלעה לתוך מעיו, ומ"מ חשיבא ראויה לגר.</w:t>
      </w:r>
    </w:p>
  </w:footnote>
  <w:footnote w:id="34">
    <w:p w:rsidR="00651E3B" w:rsidRPr="0038621C" w:rsidRDefault="00651E3B" w:rsidP="007809D6">
      <w:pPr>
        <w:pStyle w:val="ae"/>
        <w:rPr>
          <w:rtl/>
        </w:rPr>
      </w:pPr>
      <w:r>
        <w:rPr>
          <w:rStyle w:val="af0"/>
        </w:rPr>
        <w:footnoteRef/>
      </w:r>
      <w:r>
        <w:rPr>
          <w:rtl/>
        </w:rPr>
        <w:t xml:space="preserve"> </w:t>
      </w:r>
      <w:r w:rsidRPr="0038621C">
        <w:rPr>
          <w:rtl/>
        </w:rPr>
        <w:t xml:space="preserve">וע"ע </w:t>
      </w:r>
      <w:r w:rsidRPr="00CE2A95">
        <w:rPr>
          <w:rStyle w:val="affa"/>
          <w:rtl/>
        </w:rPr>
        <w:t>בפסקי הרא"ה לחולין</w:t>
      </w:r>
      <w:r w:rsidRPr="0038621C">
        <w:rPr>
          <w:rtl/>
        </w:rPr>
        <w:t xml:space="preserve"> </w:t>
      </w:r>
      <w:r w:rsidRPr="00CE2A95">
        <w:rPr>
          <w:rStyle w:val="aff6"/>
          <w:rtl/>
        </w:rPr>
        <w:t xml:space="preserve">(אות ס', </w:t>
      </w:r>
      <w:r>
        <w:rPr>
          <w:rStyle w:val="aff6"/>
          <w:rFonts w:hint="cs"/>
          <w:rtl/>
        </w:rPr>
        <w:t>נד' בסוף חי' הרא"ה</w:t>
      </w:r>
      <w:r w:rsidRPr="00CE2A95">
        <w:rPr>
          <w:rStyle w:val="aff6"/>
          <w:rtl/>
        </w:rPr>
        <w:t xml:space="preserve">) </w:t>
      </w:r>
      <w:r w:rsidRPr="0038621C">
        <w:rPr>
          <w:rtl/>
        </w:rPr>
        <w:t xml:space="preserve">דכתב דאיסור שמצד עצמו אינו פגום, ובתערובת הוא פגום, מותר אף שהוא ראוי לגר, דא"צ שכל התערובת תהיה לא ראויה לגר, אלא כיון שאם היה מעט היתר בתערובת לא היה האיסור ראוי לגר הוא מותר אעפ"י שבתערובת שלפנינו שיש הרבה היתר הוא ראוי לגר, והוסיף </w:t>
      </w:r>
      <w:r w:rsidRPr="00467831">
        <w:rPr>
          <w:rStyle w:val="affa"/>
          <w:rtl/>
        </w:rPr>
        <w:t>בפסקי הרא"ה לחולין</w:t>
      </w:r>
      <w:r w:rsidRPr="0038621C">
        <w:rPr>
          <w:rtl/>
        </w:rPr>
        <w:t xml:space="preserve"> דלמ"ד דטעם כעיקר דרבנן, כל שיש בתערובת טעמו ולא ממשו, מותר בפגם כל שהוא. </w:t>
      </w:r>
      <w:r w:rsidRPr="0038621C">
        <w:rPr>
          <w:sz w:val="16"/>
          <w:szCs w:val="12"/>
          <w:rtl/>
        </w:rPr>
        <w:t>[ומבואר מדברי</w:t>
      </w:r>
      <w:r>
        <w:rPr>
          <w:rFonts w:hint="cs"/>
          <w:sz w:val="16"/>
          <w:szCs w:val="12"/>
          <w:rtl/>
        </w:rPr>
        <w:t xml:space="preserve"> </w:t>
      </w:r>
      <w:r w:rsidRPr="00467831">
        <w:rPr>
          <w:rStyle w:val="affa"/>
          <w:rFonts w:hint="cs"/>
          <w:sz w:val="16"/>
          <w:szCs w:val="12"/>
          <w:rtl/>
        </w:rPr>
        <w:t>הרא"ה</w:t>
      </w:r>
      <w:r w:rsidRPr="00467831">
        <w:rPr>
          <w:sz w:val="14"/>
          <w:szCs w:val="10"/>
          <w:rtl/>
        </w:rPr>
        <w:t xml:space="preserve"> </w:t>
      </w:r>
      <w:r w:rsidRPr="0038621C">
        <w:rPr>
          <w:sz w:val="16"/>
          <w:szCs w:val="12"/>
          <w:rtl/>
        </w:rPr>
        <w:t>דכשהאיסור עצמו אינו ראוי לגר, אחר שהתערבת בתערובת,  ורק ע"י רוב ההיתר בתערובת נעשה ראוי לגר, אסור אף למ"ד טעם כעיקר דאו'].</w:t>
      </w:r>
    </w:p>
  </w:footnote>
  <w:footnote w:id="35">
    <w:p w:rsidR="00651E3B" w:rsidRDefault="00651E3B" w:rsidP="008A535A">
      <w:pPr>
        <w:pStyle w:val="ae"/>
        <w:rPr>
          <w:rtl/>
        </w:rPr>
      </w:pPr>
      <w:r>
        <w:rPr>
          <w:rStyle w:val="af0"/>
        </w:rPr>
        <w:footnoteRef/>
      </w:r>
      <w:r>
        <w:rPr>
          <w:rtl/>
        </w:rPr>
        <w:t xml:space="preserve"> </w:t>
      </w:r>
      <w:r>
        <w:rPr>
          <w:rFonts w:hint="cs"/>
          <w:rtl/>
        </w:rPr>
        <w:t xml:space="preserve">וכתב </w:t>
      </w:r>
      <w:r w:rsidRPr="0051668A">
        <w:rPr>
          <w:rStyle w:val="affa"/>
          <w:rFonts w:hint="cs"/>
          <w:rtl/>
        </w:rPr>
        <w:t>הקה"י</w:t>
      </w:r>
      <w:r>
        <w:rPr>
          <w:rFonts w:hint="cs"/>
          <w:rtl/>
        </w:rPr>
        <w:t xml:space="preserve"> </w:t>
      </w:r>
      <w:r w:rsidRPr="0051668A">
        <w:rPr>
          <w:rStyle w:val="aff6"/>
          <w:rFonts w:hint="cs"/>
          <w:rtl/>
        </w:rPr>
        <w:t>(סי' כ"ה ה'</w:t>
      </w:r>
      <w:r>
        <w:rPr>
          <w:rStyle w:val="aff6"/>
          <w:rFonts w:hint="cs"/>
          <w:rtl/>
        </w:rPr>
        <w:t xml:space="preserve">, הובא לקמן סימן י"ד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Ref19792132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קכב)</w:t>
      </w:r>
      <w:r>
        <w:rPr>
          <w:rStyle w:val="aff6"/>
          <w:rtl/>
        </w:rPr>
        <w:fldChar w:fldCharType="end"/>
      </w:r>
      <w:r>
        <w:rPr>
          <w:rStyle w:val="aff6"/>
          <w:rFonts w:hint="cs"/>
          <w:rtl/>
        </w:rPr>
        <w:t xml:space="preserve"> </w:t>
      </w:r>
      <w:r>
        <w:rPr>
          <w:rFonts w:hint="cs"/>
          <w:rtl/>
        </w:rPr>
        <w:t xml:space="preserve">דמשמע מדברי </w:t>
      </w:r>
      <w:r w:rsidRPr="0051668A">
        <w:rPr>
          <w:rStyle w:val="affa"/>
          <w:rFonts w:hint="cs"/>
          <w:rtl/>
        </w:rPr>
        <w:t>הרא"ה</w:t>
      </w:r>
      <w:r>
        <w:rPr>
          <w:rFonts w:hint="cs"/>
          <w:rtl/>
        </w:rPr>
        <w:t xml:space="preserve"> דדוקא באיסור בלוע שאינו ראוי לאכילה, דבמציאות לא שייך שיחזור וישביח, והא דאין פגמו ניכר, הוא רק מחמת שמתערב עם טעם אחר, אבל במקום שתיקן את האיסור עצמו, וחזר והשביחו, כתב </w:t>
      </w:r>
      <w:r w:rsidRPr="0051668A">
        <w:rPr>
          <w:rStyle w:val="affa"/>
          <w:rFonts w:hint="cs"/>
          <w:rtl/>
        </w:rPr>
        <w:t>הקה"י</w:t>
      </w:r>
      <w:r>
        <w:rPr>
          <w:rFonts w:hint="cs"/>
          <w:rtl/>
        </w:rPr>
        <w:t xml:space="preserve"> דאפש"ל דאף לדעת </w:t>
      </w:r>
      <w:r w:rsidRPr="0051668A">
        <w:rPr>
          <w:rStyle w:val="affa"/>
          <w:rFonts w:hint="cs"/>
          <w:rtl/>
        </w:rPr>
        <w:t>הרא"ה</w:t>
      </w:r>
      <w:r>
        <w:rPr>
          <w:rFonts w:hint="cs"/>
          <w:rtl/>
        </w:rPr>
        <w:t xml:space="preserve"> הוא חוזר ונאסר, [וכתב </w:t>
      </w:r>
      <w:r w:rsidRPr="0051668A">
        <w:rPr>
          <w:rStyle w:val="affa"/>
          <w:rFonts w:hint="cs"/>
          <w:rtl/>
        </w:rPr>
        <w:t>הקה"י</w:t>
      </w:r>
      <w:r>
        <w:rPr>
          <w:rFonts w:hint="cs"/>
          <w:rtl/>
        </w:rPr>
        <w:t xml:space="preserve"> דכן צ"ל לדעת </w:t>
      </w:r>
      <w:r w:rsidRPr="0051668A">
        <w:rPr>
          <w:rStyle w:val="affa"/>
          <w:rFonts w:hint="cs"/>
          <w:rtl/>
        </w:rPr>
        <w:t>הרשב"א</w:t>
      </w:r>
      <w:r>
        <w:rPr>
          <w:rFonts w:hint="cs"/>
          <w:rtl/>
        </w:rPr>
        <w:t xml:space="preserve"> </w:t>
      </w:r>
      <w:r w:rsidRPr="0051668A">
        <w:rPr>
          <w:rStyle w:val="aff6"/>
          <w:rFonts w:hint="cs"/>
          <w:rtl/>
        </w:rPr>
        <w:t xml:space="preserve">(עי' אות </w:t>
      </w:r>
      <w:r w:rsidRPr="0051668A">
        <w:rPr>
          <w:rStyle w:val="aff6"/>
          <w:rtl/>
        </w:rPr>
        <w:fldChar w:fldCharType="begin"/>
      </w:r>
      <w:r w:rsidRPr="0051668A">
        <w:rPr>
          <w:rStyle w:val="aff6"/>
          <w:rtl/>
        </w:rPr>
        <w:instrText xml:space="preserve"> </w:instrText>
      </w:r>
      <w:r w:rsidRPr="0051668A">
        <w:rPr>
          <w:rStyle w:val="aff6"/>
          <w:rFonts w:hint="cs"/>
        </w:rPr>
        <w:instrText>REF</w:instrText>
      </w:r>
      <w:r w:rsidRPr="0051668A">
        <w:rPr>
          <w:rStyle w:val="aff6"/>
          <w:rFonts w:hint="cs"/>
          <w:rtl/>
        </w:rPr>
        <w:instrText xml:space="preserve"> _</w:instrText>
      </w:r>
      <w:r w:rsidRPr="0051668A">
        <w:rPr>
          <w:rStyle w:val="aff6"/>
          <w:rFonts w:hint="cs"/>
        </w:rPr>
        <w:instrText>Ref18228077 \r \h</w:instrText>
      </w:r>
      <w:r w:rsidRPr="0051668A">
        <w:rPr>
          <w:rStyle w:val="aff6"/>
          <w:rtl/>
        </w:rPr>
        <w:instrText xml:space="preserve"> </w:instrText>
      </w:r>
      <w:r w:rsidRPr="0051668A">
        <w:rPr>
          <w:rStyle w:val="aff6"/>
          <w:rtl/>
        </w:rPr>
      </w:r>
      <w:r w:rsidRPr="0051668A">
        <w:rPr>
          <w:rStyle w:val="aff6"/>
          <w:rtl/>
        </w:rPr>
        <w:fldChar w:fldCharType="separate"/>
      </w:r>
      <w:r>
        <w:rPr>
          <w:rStyle w:val="aff6"/>
          <w:cs/>
        </w:rPr>
        <w:t>‎</w:t>
      </w:r>
      <w:r>
        <w:rPr>
          <w:rStyle w:val="aff6"/>
          <w:rtl/>
        </w:rPr>
        <w:t>יז)</w:t>
      </w:r>
      <w:r w:rsidRPr="0051668A">
        <w:rPr>
          <w:rStyle w:val="aff6"/>
          <w:rtl/>
        </w:rPr>
        <w:fldChar w:fldCharType="end"/>
      </w:r>
      <w:r w:rsidRPr="00D23335">
        <w:rPr>
          <w:rStyle w:val="aff6"/>
          <w:rFonts w:hint="cs"/>
          <w:rtl/>
        </w:rPr>
        <w:t xml:space="preserve"> </w:t>
      </w:r>
      <w:r>
        <w:rPr>
          <w:rFonts w:hint="cs"/>
          <w:rtl/>
        </w:rPr>
        <w:t xml:space="preserve">דס"ל דאין דין טעם כעיקר בטעם פגום, ואפ"ה אסור בפגם ולבסוף השביח, ועי' במה שביאר </w:t>
      </w:r>
      <w:r w:rsidRPr="00E84CD4">
        <w:rPr>
          <w:rStyle w:val="affa"/>
          <w:rFonts w:hint="cs"/>
          <w:rtl/>
        </w:rPr>
        <w:t>הקה"י</w:t>
      </w:r>
      <w:r>
        <w:rPr>
          <w:rFonts w:hint="cs"/>
          <w:rtl/>
        </w:rPr>
        <w:t xml:space="preserve"> בדברי </w:t>
      </w:r>
      <w:r w:rsidRPr="00E84CD4">
        <w:rPr>
          <w:rStyle w:val="affa"/>
          <w:rFonts w:hint="cs"/>
          <w:rtl/>
        </w:rPr>
        <w:t>הרשב"א</w:t>
      </w:r>
      <w:r w:rsidRPr="00E84CD4">
        <w:rPr>
          <w:rStyle w:val="aff6"/>
          <w:rFonts w:hint="cs"/>
          <w:rtl/>
        </w:rPr>
        <w:t xml:space="preserve"> </w:t>
      </w:r>
      <w:r>
        <w:rPr>
          <w:rStyle w:val="aff6"/>
          <w:rFonts w:hint="cs"/>
          <w:rtl/>
        </w:rPr>
        <w:t xml:space="preserve">(הובא לקמן סימן י"ד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Ref20428151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קכ)</w:t>
      </w:r>
      <w:r>
        <w:rPr>
          <w:rStyle w:val="aff6"/>
          <w:rtl/>
        </w:rPr>
        <w:fldChar w:fldCharType="end"/>
      </w:r>
      <w:r>
        <w:rPr>
          <w:rFonts w:hint="cs"/>
          <w:rtl/>
        </w:rPr>
        <w:t>].</w:t>
      </w:r>
    </w:p>
  </w:footnote>
  <w:footnote w:id="36">
    <w:p w:rsidR="00651E3B" w:rsidRDefault="00651E3B" w:rsidP="007809D6">
      <w:pPr>
        <w:pStyle w:val="ae"/>
        <w:rPr>
          <w:rStyle w:val="afa"/>
          <w:rtl/>
        </w:rPr>
      </w:pPr>
      <w:r>
        <w:rPr>
          <w:rStyle w:val="af0"/>
        </w:rPr>
        <w:footnoteRef/>
      </w:r>
      <w:r>
        <w:rPr>
          <w:rtl/>
        </w:rPr>
        <w:t xml:space="preserve"> </w:t>
      </w:r>
      <w:r w:rsidRPr="0031546D">
        <w:rPr>
          <w:rStyle w:val="afa"/>
          <w:rtl/>
        </w:rPr>
        <w:t xml:space="preserve">אך כתב </w:t>
      </w:r>
      <w:r w:rsidRPr="0031546D">
        <w:rPr>
          <w:rStyle w:val="affa"/>
          <w:rtl/>
        </w:rPr>
        <w:t>הרא"ה בבד"ה</w:t>
      </w:r>
      <w:r w:rsidRPr="0031546D">
        <w:rPr>
          <w:rStyle w:val="afa"/>
          <w:rtl/>
        </w:rPr>
        <w:t xml:space="preserve"> </w:t>
      </w:r>
      <w:r w:rsidRPr="0031546D">
        <w:rPr>
          <w:rStyle w:val="aff6"/>
          <w:rtl/>
        </w:rPr>
        <w:t xml:space="preserve">(ב"ד ש"א יט: מדה"ס) </w:t>
      </w:r>
      <w:r w:rsidRPr="0031546D">
        <w:rPr>
          <w:rStyle w:val="afa"/>
          <w:rtl/>
        </w:rPr>
        <w:t xml:space="preserve">דהא דאמרינן בגמ' דחומץ שנפל לתוך גריסין רותחין, מותר דהוא פגום מתחילתו, אבל בחומץ שנפל לתוך גריסין צוננים, דהוא </w:t>
      </w:r>
      <w:r>
        <w:rPr>
          <w:rStyle w:val="afa"/>
          <w:rFonts w:hint="cs"/>
          <w:rtl/>
        </w:rPr>
        <w:t>ה</w:t>
      </w:r>
      <w:r w:rsidRPr="0031546D">
        <w:rPr>
          <w:rStyle w:val="afa"/>
          <w:rtl/>
        </w:rPr>
        <w:t>שביח ולבסוף פוגם אסור, א"א לבאר דאיירי בפגם גמור שאינו ראוי לגר, דא"כ אעפ"י שהשביח בתחילה הוא מותר, דלא גרע מהאיסור עצמו דמותר כשנפגם ואינו ראוי לגר, אלא מוכח דאיירי בפגום קצת אך הוא ראוי לגר</w:t>
      </w:r>
      <w:r>
        <w:rPr>
          <w:rStyle w:val="afa"/>
          <w:rFonts w:hint="cs"/>
          <w:rtl/>
        </w:rPr>
        <w:t>.</w:t>
      </w:r>
    </w:p>
    <w:p w:rsidR="00651E3B" w:rsidRDefault="00651E3B" w:rsidP="007809D6">
      <w:pPr>
        <w:pStyle w:val="ae"/>
        <w:rPr>
          <w:rStyle w:val="afa"/>
          <w:rtl/>
        </w:rPr>
      </w:pPr>
      <w:r w:rsidRPr="0031546D">
        <w:rPr>
          <w:rStyle w:val="afa"/>
          <w:rtl/>
        </w:rPr>
        <w:t xml:space="preserve">אלא ביאר </w:t>
      </w:r>
      <w:r w:rsidRPr="0031546D">
        <w:rPr>
          <w:rStyle w:val="affa"/>
          <w:rtl/>
        </w:rPr>
        <w:t>הרא"ה בבד"ה</w:t>
      </w:r>
      <w:r w:rsidRPr="0031546D">
        <w:rPr>
          <w:rStyle w:val="afa"/>
          <w:rtl/>
        </w:rPr>
        <w:t xml:space="preserve"> דכיון שהוא טעמו ולא ממשו וטעם כעיקר דרבנן, לכן בפגום מתחילתו מותר אף בפגום במקצת, דהקילו להתירו אף בפגימה כל שהוא, ובהשביח בתחילה לא התירוהו כשפגם קצת, ורק באינו ראוי לגר אסור, דכיון שנאסר בשעה שהשביח אסור לעולם אעפ"י שנפגם לבסוף</w:t>
      </w:r>
      <w:r>
        <w:rPr>
          <w:rStyle w:val="afa"/>
          <w:rFonts w:hint="cs"/>
          <w:rtl/>
        </w:rPr>
        <w:t>.</w:t>
      </w:r>
    </w:p>
    <w:p w:rsidR="00651E3B" w:rsidRDefault="00651E3B" w:rsidP="007809D6">
      <w:pPr>
        <w:pStyle w:val="ae"/>
        <w:rPr>
          <w:rtl/>
        </w:rPr>
      </w:pPr>
      <w:r w:rsidRPr="003F02C9">
        <w:rPr>
          <w:rStyle w:val="afa"/>
          <w:rtl/>
        </w:rPr>
        <w:t>והוסיף</w:t>
      </w:r>
      <w:r>
        <w:rPr>
          <w:rStyle w:val="afa"/>
          <w:rtl/>
        </w:rPr>
        <w:t xml:space="preserve"> </w:t>
      </w:r>
      <w:r>
        <w:rPr>
          <w:rStyle w:val="affa"/>
          <w:rtl/>
        </w:rPr>
        <w:t>הרא"ה בבד"ה</w:t>
      </w:r>
      <w:r>
        <w:rPr>
          <w:rStyle w:val="afa"/>
          <w:rtl/>
        </w:rPr>
        <w:t xml:space="preserve"> דהיה אפשר לאוסרו מדין חנ"נ, אלא דשמואל ס"ל דלא אמרינן חנ"נ בשאר איסורים ולכן אמר שמואל דכיון שנאסר נאסר, ועוד ביאר </w:t>
      </w:r>
      <w:r>
        <w:rPr>
          <w:rStyle w:val="affa"/>
          <w:rtl/>
        </w:rPr>
        <w:t>הרא"ה</w:t>
      </w:r>
      <w:r>
        <w:rPr>
          <w:rStyle w:val="afa"/>
          <w:rtl/>
        </w:rPr>
        <w:t xml:space="preserve"> דהאיסור בהשביח ולבסוף פגם הוא רק בב' דברים שכ"א הוא משובח בפנ"ע ונפגמו רק כיון שהתערבו יחד, אך בהם עצמם אין כל פגם, וע"ע בדברי </w:t>
      </w:r>
      <w:r>
        <w:rPr>
          <w:rStyle w:val="affa"/>
          <w:rtl/>
        </w:rPr>
        <w:t xml:space="preserve">הרא"ה בחי' </w:t>
      </w:r>
      <w:r>
        <w:rPr>
          <w:rStyle w:val="aff6"/>
          <w:rtl/>
        </w:rPr>
        <w:t>(לט. ד"ה והחילק, הועתק בקובץ שיטות קמאי ע"ז ח"א עמ' תתק"ה)</w:t>
      </w:r>
      <w:r>
        <w:rPr>
          <w:rStyle w:val="afa"/>
          <w:rtl/>
        </w:rPr>
        <w:t>.</w:t>
      </w:r>
    </w:p>
    <w:p w:rsidR="00651E3B" w:rsidRDefault="00651E3B" w:rsidP="007809D6">
      <w:pPr>
        <w:pStyle w:val="ae"/>
        <w:rPr>
          <w:rtl/>
        </w:rPr>
      </w:pPr>
      <w:r>
        <w:rPr>
          <w:rtl/>
        </w:rPr>
        <w:t xml:space="preserve">ודחה </w:t>
      </w:r>
      <w:r w:rsidRPr="00262A37">
        <w:rPr>
          <w:rStyle w:val="affa"/>
          <w:rtl/>
        </w:rPr>
        <w:t>הרשב"א במשה"ב</w:t>
      </w:r>
      <w:r>
        <w:rPr>
          <w:rtl/>
        </w:rPr>
        <w:t xml:space="preserve"> </w:t>
      </w:r>
      <w:r w:rsidRPr="00262A37">
        <w:rPr>
          <w:rStyle w:val="aff6"/>
          <w:rtl/>
        </w:rPr>
        <w:t xml:space="preserve">(ב"ד ש"א יט: מדה"ס) </w:t>
      </w:r>
      <w:r>
        <w:rPr>
          <w:rtl/>
        </w:rPr>
        <w:t xml:space="preserve">דחומץ לתוך גריסין הוא טעמו וממשו ואינו רק טעם, והוסיף </w:t>
      </w:r>
      <w:r w:rsidRPr="00262A37">
        <w:rPr>
          <w:rStyle w:val="affa"/>
          <w:rtl/>
        </w:rPr>
        <w:t>הרשב"א במשה"ב</w:t>
      </w:r>
      <w:r>
        <w:rPr>
          <w:rtl/>
        </w:rPr>
        <w:t xml:space="preserve"> דא"א לומר דבחומץ שנפל לגריסין איירי שאין כזית בכדי אכילת פרס, דאמר ריו"ח דהוא טעמו ולא ממשו, דא"כ היה לגמ' לפרש כן להדיא, ועוד הקשה </w:t>
      </w:r>
      <w:r w:rsidRPr="00262A37">
        <w:rPr>
          <w:rStyle w:val="affa"/>
          <w:rtl/>
        </w:rPr>
        <w:t>הרשב"א במשה"ב</w:t>
      </w:r>
      <w:r>
        <w:rPr>
          <w:rtl/>
        </w:rPr>
        <w:t xml:space="preserve"> מהמשנה לעיל </w:t>
      </w:r>
      <w:r w:rsidRPr="00262A37">
        <w:rPr>
          <w:rStyle w:val="aff6"/>
          <w:rtl/>
        </w:rPr>
        <w:t xml:space="preserve">(סה:) </w:t>
      </w:r>
      <w:r>
        <w:rPr>
          <w:rtl/>
        </w:rPr>
        <w:t xml:space="preserve">ביין נסך שנפל לתוך גרוגרות דאסור, ולא אמרינן דהוא דוקא כשיש כזית בכדי אכילת פרס, אלא מוכח דאף בפחות מכזית בכדי אכילת פרס חשיב טעמו וממשו. [אמנם יעוי' במ"ש </w:t>
      </w:r>
      <w:r w:rsidRPr="00262A37">
        <w:rPr>
          <w:rStyle w:val="affa"/>
          <w:rtl/>
        </w:rPr>
        <w:t>הרא"ה בבד"ה</w:t>
      </w:r>
      <w:r>
        <w:rPr>
          <w:rtl/>
        </w:rPr>
        <w:t xml:space="preserve"> </w:t>
      </w:r>
      <w:r w:rsidRPr="00262A37">
        <w:rPr>
          <w:rStyle w:val="aff6"/>
          <w:rtl/>
        </w:rPr>
        <w:t xml:space="preserve">(ב"ד ש"א יא. מדה"ס, הובא לעיל סימן ט' אות פז) </w:t>
      </w:r>
      <w:r>
        <w:rPr>
          <w:rtl/>
        </w:rPr>
        <w:t>דיש ב' אופנים בטעמו ולא ממשו, האופן הא' במקום שאין כלום מממשו של האיסור, והאופן הב' הוא כשנמחה בתערובת ממשו של האיסור, אך אינו ניכר במראה.</w:t>
      </w:r>
    </w:p>
  </w:footnote>
  <w:footnote w:id="37">
    <w:p w:rsidR="00651E3B" w:rsidRDefault="00651E3B" w:rsidP="007809D6">
      <w:pPr>
        <w:pStyle w:val="ae"/>
        <w:rPr>
          <w:rtl/>
        </w:rPr>
      </w:pPr>
      <w:r>
        <w:rPr>
          <w:rStyle w:val="af0"/>
        </w:rPr>
        <w:footnoteRef/>
      </w:r>
      <w:r>
        <w:rPr>
          <w:rtl/>
        </w:rPr>
        <w:t xml:space="preserve"> </w:t>
      </w:r>
      <w:r w:rsidRPr="00443596">
        <w:rPr>
          <w:rtl/>
        </w:rPr>
        <w:t xml:space="preserve">ועוד הקשה </w:t>
      </w:r>
      <w:r w:rsidRPr="00443596">
        <w:rPr>
          <w:rStyle w:val="affa"/>
          <w:rtl/>
        </w:rPr>
        <w:t xml:space="preserve">הרשב"א במשה"ב </w:t>
      </w:r>
      <w:r w:rsidRPr="00443596">
        <w:rPr>
          <w:rtl/>
        </w:rPr>
        <w:t xml:space="preserve">דהרי בפגם ולבסוף השביח אמרינן דהוא אסור, וכתב </w:t>
      </w:r>
      <w:r w:rsidRPr="00443596">
        <w:rPr>
          <w:rStyle w:val="affa"/>
          <w:rtl/>
        </w:rPr>
        <w:t xml:space="preserve">הרא"ה </w:t>
      </w:r>
      <w:r w:rsidRPr="00443596">
        <w:rPr>
          <w:rStyle w:val="aff6"/>
          <w:rtl/>
        </w:rPr>
        <w:t>(עי' הערה 4)</w:t>
      </w:r>
      <w:r w:rsidRPr="00443596">
        <w:rPr>
          <w:rtl/>
        </w:rPr>
        <w:t xml:space="preserve"> דא"א לומר דאיירי באינו ראוי לגר, דהא א"כ אף דהשביח לבסוף אינו נאסר, כדכתב </w:t>
      </w:r>
      <w:r w:rsidRPr="00443596">
        <w:rPr>
          <w:rStyle w:val="affa"/>
          <w:rtl/>
        </w:rPr>
        <w:t xml:space="preserve">הרא"ה </w:t>
      </w:r>
      <w:r w:rsidRPr="00443596">
        <w:rPr>
          <w:rStyle w:val="aff6"/>
          <w:rtl/>
        </w:rPr>
        <w:t xml:space="preserve">(עי' אות </w:t>
      </w:r>
      <w:r w:rsidRPr="00443596">
        <w:rPr>
          <w:rStyle w:val="aff6"/>
          <w:cs/>
        </w:rPr>
        <w:t>‎</w:t>
      </w:r>
      <w:r w:rsidRPr="00443596">
        <w:rPr>
          <w:rStyle w:val="aff6"/>
          <w:rtl/>
        </w:rPr>
        <w:fldChar w:fldCharType="begin"/>
      </w:r>
      <w:r w:rsidRPr="00443596">
        <w:rPr>
          <w:rStyle w:val="aff6"/>
          <w:rtl/>
        </w:rPr>
        <w:instrText xml:space="preserve"> </w:instrText>
      </w:r>
      <w:r w:rsidRPr="00443596">
        <w:rPr>
          <w:rStyle w:val="aff6"/>
        </w:rPr>
        <w:instrText>REF</w:instrText>
      </w:r>
      <w:r w:rsidRPr="00443596">
        <w:rPr>
          <w:rStyle w:val="aff6"/>
          <w:rtl/>
        </w:rPr>
        <w:instrText xml:space="preserve"> _</w:instrText>
      </w:r>
      <w:r w:rsidRPr="00443596">
        <w:rPr>
          <w:rStyle w:val="aff6"/>
        </w:rPr>
        <w:instrText>Ref18249679 \r \h</w:instrText>
      </w:r>
      <w:r w:rsidRPr="00443596">
        <w:rPr>
          <w:rStyle w:val="aff6"/>
          <w:rtl/>
        </w:rPr>
        <w:instrText xml:space="preserve"> </w:instrText>
      </w:r>
      <w:r w:rsidRPr="00443596">
        <w:rPr>
          <w:rStyle w:val="aff6"/>
          <w:rtl/>
        </w:rPr>
      </w:r>
      <w:r w:rsidRPr="00443596">
        <w:rPr>
          <w:rStyle w:val="aff6"/>
          <w:rtl/>
        </w:rPr>
        <w:fldChar w:fldCharType="separate"/>
      </w:r>
      <w:r>
        <w:rPr>
          <w:rStyle w:val="aff6"/>
          <w:cs/>
        </w:rPr>
        <w:t>‎</w:t>
      </w:r>
      <w:r>
        <w:rPr>
          <w:rStyle w:val="aff6"/>
          <w:rtl/>
        </w:rPr>
        <w:t>פד)</w:t>
      </w:r>
      <w:r w:rsidRPr="00443596">
        <w:rPr>
          <w:rStyle w:val="aff6"/>
          <w:rtl/>
        </w:rPr>
        <w:fldChar w:fldCharType="end"/>
      </w:r>
      <w:r w:rsidRPr="00443596">
        <w:rPr>
          <w:rtl/>
        </w:rPr>
        <w:t xml:space="preserve"> דכל שנפגם לגמרי והותר אינו חוזר לאיסורו לעולם, </w:t>
      </w:r>
      <w:r>
        <w:rPr>
          <w:rFonts w:hint="cs"/>
          <w:rtl/>
        </w:rPr>
        <w:t xml:space="preserve">אלא </w:t>
      </w:r>
      <w:r w:rsidRPr="00443596">
        <w:rPr>
          <w:rtl/>
        </w:rPr>
        <w:t xml:space="preserve">כתב </w:t>
      </w:r>
      <w:r w:rsidRPr="00443596">
        <w:rPr>
          <w:rStyle w:val="affa"/>
          <w:rtl/>
        </w:rPr>
        <w:t xml:space="preserve">הרשב"א במשה"ב </w:t>
      </w:r>
      <w:r w:rsidRPr="00443596">
        <w:rPr>
          <w:rtl/>
        </w:rPr>
        <w:t>דמבואר דאף שנפגם קצת הוא אסור כיון שהשביח לבסוף, ומוכח דההיתר בנותן טעם לפגם הוא גם בפוגם קצת שעדיין הוא ראוי לגר.</w:t>
      </w:r>
    </w:p>
  </w:footnote>
  <w:footnote w:id="38">
    <w:p w:rsidR="00651E3B" w:rsidRDefault="00651E3B" w:rsidP="007809D6">
      <w:pPr>
        <w:pStyle w:val="ae"/>
        <w:rPr>
          <w:rtl/>
        </w:rPr>
      </w:pPr>
      <w:r>
        <w:rPr>
          <w:rStyle w:val="af0"/>
        </w:rPr>
        <w:footnoteRef/>
      </w:r>
      <w:r>
        <w:rPr>
          <w:rtl/>
        </w:rPr>
        <w:t xml:space="preserve"> </w:t>
      </w:r>
      <w:r>
        <w:rPr>
          <w:rFonts w:hint="cs"/>
          <w:rtl/>
        </w:rPr>
        <w:t xml:space="preserve">אמנם בסו"ד כתב </w:t>
      </w:r>
      <w:r w:rsidRPr="00497A02">
        <w:rPr>
          <w:rStyle w:val="affa"/>
          <w:rFonts w:hint="cs"/>
          <w:rtl/>
        </w:rPr>
        <w:t>הקה"י בפסחים</w:t>
      </w:r>
      <w:r>
        <w:rPr>
          <w:rFonts w:hint="cs"/>
          <w:rtl/>
        </w:rPr>
        <w:t>, דבדבריו בע"ז חזר בו מחלק ממ"ש בפסחים.</w:t>
      </w:r>
    </w:p>
  </w:footnote>
  <w:footnote w:id="39">
    <w:p w:rsidR="00651E3B" w:rsidRDefault="00651E3B" w:rsidP="007809D6">
      <w:pPr>
        <w:pStyle w:val="ae"/>
        <w:rPr>
          <w:rtl/>
        </w:rPr>
      </w:pPr>
      <w:r>
        <w:rPr>
          <w:rStyle w:val="af0"/>
        </w:rPr>
        <w:footnoteRef/>
      </w:r>
      <w:r>
        <w:rPr>
          <w:rtl/>
        </w:rPr>
        <w:t xml:space="preserve"> </w:t>
      </w:r>
      <w:r>
        <w:rPr>
          <w:rFonts w:hint="cs"/>
          <w:rtl/>
        </w:rPr>
        <w:t>רוב הדברים שהובאו נכפלו בשיעורי המקדש דוד ובקובץ ענינים, אך חלקם מבוארים יותר באחד מהם.</w:t>
      </w:r>
    </w:p>
  </w:footnote>
  <w:footnote w:id="40">
    <w:p w:rsidR="00651E3B" w:rsidRDefault="00651E3B" w:rsidP="0013006A">
      <w:pPr>
        <w:pStyle w:val="ae"/>
      </w:pPr>
      <w:r>
        <w:rPr>
          <w:rStyle w:val="af0"/>
        </w:rPr>
        <w:footnoteRef/>
      </w:r>
      <w:r>
        <w:rPr>
          <w:rtl/>
        </w:rPr>
        <w:t xml:space="preserve"> </w:t>
      </w:r>
      <w:r w:rsidRPr="003D12DD">
        <w:rPr>
          <w:rStyle w:val="afa"/>
          <w:rFonts w:hint="cs"/>
          <w:rtl/>
        </w:rPr>
        <w:t>וביארו</w:t>
      </w:r>
      <w:r>
        <w:rPr>
          <w:rStyle w:val="afa"/>
          <w:rFonts w:hint="cs"/>
          <w:rtl/>
        </w:rPr>
        <w:t xml:space="preserve"> </w:t>
      </w:r>
      <w:r w:rsidRPr="008D5A11">
        <w:rPr>
          <w:rStyle w:val="affa"/>
          <w:rFonts w:hint="cs"/>
          <w:rtl/>
        </w:rPr>
        <w:t>התוס'</w:t>
      </w:r>
      <w:r>
        <w:rPr>
          <w:rStyle w:val="affa"/>
          <w:rFonts w:hint="cs"/>
          <w:rtl/>
        </w:rPr>
        <w:t xml:space="preserve"> לעיל והרא"ש</w:t>
      </w:r>
      <w:r>
        <w:rPr>
          <w:rStyle w:val="afa"/>
          <w:rFonts w:hint="cs"/>
          <w:rtl/>
        </w:rPr>
        <w:t xml:space="preserve"> בשם</w:t>
      </w:r>
      <w:r w:rsidRPr="003D12DD">
        <w:rPr>
          <w:rStyle w:val="afa"/>
          <w:rFonts w:hint="cs"/>
          <w:rtl/>
        </w:rPr>
        <w:t xml:space="preserve"> </w:t>
      </w:r>
      <w:r w:rsidRPr="008D5A11">
        <w:rPr>
          <w:rStyle w:val="affa"/>
          <w:rFonts w:hint="cs"/>
          <w:rtl/>
        </w:rPr>
        <w:t>הי"מ</w:t>
      </w:r>
      <w:r w:rsidRPr="003D12DD">
        <w:rPr>
          <w:rStyle w:val="afa"/>
          <w:rFonts w:hint="cs"/>
          <w:rtl/>
        </w:rPr>
        <w:t xml:space="preserve"> את דברי הגמ' לעיל דהוכיחה מהסיפא של המשנה דנותן טעם לפגם מותר, דברישא איירי בדבר שאיסורו בנותן טעם, ולא בדבר שאיסורו במשהו, דבאיסור משהו אין חילוק בין נותן טעם לשבח לנותן טעם לפגם, ודחו </w:t>
      </w:r>
      <w:r w:rsidRPr="008D5A11">
        <w:rPr>
          <w:rStyle w:val="affa"/>
          <w:rFonts w:hint="cs"/>
          <w:rtl/>
        </w:rPr>
        <w:t>התוס' והרא"ש</w:t>
      </w:r>
      <w:r w:rsidRPr="003D12DD">
        <w:rPr>
          <w:rStyle w:val="afa"/>
          <w:rFonts w:hint="cs"/>
          <w:rtl/>
        </w:rPr>
        <w:t xml:space="preserve"> דאי"ז כוונת הגמ' לעיל, אלא דכיון דבסיפא חילקה המשנה בין נותן טעם לשבח לנותן טעם לפגם, א"כ מוכח דאיירי באיסור נותן טעם</w:t>
      </w:r>
      <w:r w:rsidRPr="008D5A11">
        <w:rPr>
          <w:rStyle w:val="afa"/>
          <w:rFonts w:hint="cs"/>
          <w:rtl/>
        </w:rPr>
        <w:t>.</w:t>
      </w:r>
    </w:p>
  </w:footnote>
  <w:footnote w:id="41">
    <w:p w:rsidR="00651E3B" w:rsidRDefault="00651E3B" w:rsidP="0013006A">
      <w:pPr>
        <w:pStyle w:val="ae"/>
        <w:rPr>
          <w:rtl/>
        </w:rPr>
      </w:pPr>
      <w:r>
        <w:rPr>
          <w:rStyle w:val="af0"/>
        </w:rPr>
        <w:footnoteRef/>
      </w:r>
      <w:r>
        <w:rPr>
          <w:rtl/>
        </w:rPr>
        <w:t xml:space="preserve"> </w:t>
      </w:r>
      <w:r w:rsidRPr="000E6F12">
        <w:rPr>
          <w:rStyle w:val="afa"/>
          <w:rFonts w:hint="cs"/>
          <w:rtl/>
        </w:rPr>
        <w:t xml:space="preserve">והוסיפו </w:t>
      </w:r>
      <w:r w:rsidRPr="000E6F12">
        <w:rPr>
          <w:rStyle w:val="affa"/>
          <w:rFonts w:hint="cs"/>
          <w:rtl/>
        </w:rPr>
        <w:t>התוס' לעיל</w:t>
      </w:r>
      <w:r w:rsidRPr="000E6F12">
        <w:rPr>
          <w:rStyle w:val="afa"/>
          <w:rFonts w:hint="cs"/>
          <w:rtl/>
        </w:rPr>
        <w:t xml:space="preserve"> דאף דבגמ' בפסחים </w:t>
      </w:r>
      <w:r w:rsidRPr="000E6F12">
        <w:rPr>
          <w:rStyle w:val="aff6"/>
          <w:rFonts w:hint="cs"/>
          <w:rtl/>
        </w:rPr>
        <w:t xml:space="preserve">(ל.) </w:t>
      </w:r>
      <w:r w:rsidRPr="000E6F12">
        <w:rPr>
          <w:rStyle w:val="afa"/>
          <w:rFonts w:hint="cs"/>
          <w:rtl/>
        </w:rPr>
        <w:t xml:space="preserve">יש גורסין דרב אוסר בחמץ במין בשאינו מינו בנותן טעם לפגם, כיון דאיסורו במשהו, ומשמע דאף שהטעם בטל, מ"מ נותן טעם לפגם אסור בדבר שאיסורו במשהו, מ"מ כתבו </w:t>
      </w:r>
      <w:r w:rsidRPr="000E6F12">
        <w:rPr>
          <w:rStyle w:val="affa"/>
          <w:rFonts w:hint="cs"/>
          <w:rtl/>
        </w:rPr>
        <w:t>התוס' לעיל</w:t>
      </w:r>
      <w:r w:rsidRPr="000E6F12">
        <w:rPr>
          <w:rStyle w:val="afa"/>
          <w:rFonts w:hint="cs"/>
          <w:rtl/>
        </w:rPr>
        <w:t xml:space="preserve"> דאף שהטעם בטל, מ</w:t>
      </w:r>
      <w:r>
        <w:rPr>
          <w:rStyle w:val="afa"/>
          <w:rFonts w:hint="cs"/>
          <w:rtl/>
        </w:rPr>
        <w:t>"מ</w:t>
      </w:r>
      <w:r w:rsidRPr="000E6F12">
        <w:rPr>
          <w:rStyle w:val="afa"/>
          <w:rFonts w:hint="cs"/>
          <w:rtl/>
        </w:rPr>
        <w:t xml:space="preserve"> א"א לאסור בנותן טעם לפגם, כיון דנותן טעם מותר ולא יהא הטפל חמור מהעיקר, דהרי כל מין בשאינו מינו הוא אסור במשהו אטו מינו, וכיון דבמינו אין איסור בנותן טעם לפגם, ה"ה בשאינו מינו</w:t>
      </w:r>
      <w:r w:rsidRPr="000269E9">
        <w:rPr>
          <w:rStyle w:val="afa"/>
          <w:rtl/>
        </w:rPr>
        <w:t xml:space="preserve">, ועי' במה שתמה </w:t>
      </w:r>
      <w:r w:rsidRPr="000269E9">
        <w:rPr>
          <w:rStyle w:val="affa"/>
          <w:rtl/>
        </w:rPr>
        <w:t xml:space="preserve">הגרעק"א </w:t>
      </w:r>
      <w:r w:rsidRPr="000269E9">
        <w:rPr>
          <w:rStyle w:val="aff6"/>
          <w:rtl/>
        </w:rPr>
        <w:t xml:space="preserve">(גלהש"ס סו., חולין צז: אות ז' בהגה"ה) </w:t>
      </w:r>
      <w:r w:rsidRPr="000269E9">
        <w:rPr>
          <w:rStyle w:val="afa"/>
          <w:rtl/>
        </w:rPr>
        <w:t xml:space="preserve">על דברי </w:t>
      </w:r>
      <w:r w:rsidRPr="000269E9">
        <w:rPr>
          <w:rStyle w:val="affa"/>
          <w:rtl/>
        </w:rPr>
        <w:t>התוס'</w:t>
      </w:r>
      <w:r w:rsidRPr="000E6F12">
        <w:rPr>
          <w:rStyle w:val="afa"/>
          <w:rFonts w:hint="cs"/>
          <w:rtl/>
        </w:rPr>
        <w:t>.</w:t>
      </w:r>
    </w:p>
  </w:footnote>
  <w:footnote w:id="42">
    <w:p w:rsidR="00651E3B" w:rsidRDefault="00651E3B" w:rsidP="0013006A">
      <w:pPr>
        <w:pStyle w:val="ae"/>
        <w:rPr>
          <w:rtl/>
        </w:rPr>
      </w:pPr>
      <w:r>
        <w:rPr>
          <w:rStyle w:val="af0"/>
        </w:rPr>
        <w:footnoteRef/>
      </w:r>
      <w:r>
        <w:rPr>
          <w:rtl/>
        </w:rPr>
        <w:t xml:space="preserve"> </w:t>
      </w:r>
      <w:r>
        <w:rPr>
          <w:rFonts w:hint="cs"/>
          <w:rtl/>
        </w:rPr>
        <w:t>כתב</w:t>
      </w:r>
      <w:r w:rsidRPr="001934FA">
        <w:rPr>
          <w:rtl/>
        </w:rPr>
        <w:t xml:space="preserve"> </w:t>
      </w:r>
      <w:r w:rsidRPr="000A0FB0">
        <w:rPr>
          <w:rStyle w:val="affa"/>
          <w:rtl/>
        </w:rPr>
        <w:t xml:space="preserve">הפליתי </w:t>
      </w:r>
      <w:r w:rsidRPr="001934FA">
        <w:rPr>
          <w:rtl/>
        </w:rPr>
        <w:t xml:space="preserve">דהוקשה </w:t>
      </w:r>
      <w:r w:rsidRPr="000A0FB0">
        <w:rPr>
          <w:rStyle w:val="affa"/>
          <w:rtl/>
        </w:rPr>
        <w:t xml:space="preserve">להרמב"ם </w:t>
      </w:r>
      <w:r w:rsidRPr="001934FA">
        <w:rPr>
          <w:rtl/>
        </w:rPr>
        <w:t xml:space="preserve">קושית </w:t>
      </w:r>
      <w:r w:rsidRPr="000A0FB0">
        <w:rPr>
          <w:rStyle w:val="affa"/>
          <w:rtl/>
        </w:rPr>
        <w:t xml:space="preserve">התוס' בבכורות </w:t>
      </w:r>
      <w:r w:rsidRPr="000A0FB0">
        <w:rPr>
          <w:rStyle w:val="aff6"/>
          <w:rtl/>
        </w:rPr>
        <w:t>(כג: ד"ה ואידך)</w:t>
      </w:r>
      <w:r w:rsidRPr="001934FA">
        <w:rPr>
          <w:rtl/>
        </w:rPr>
        <w:t xml:space="preserve"> דבדברי ריו"ח בסוגיין מבואר דס"ל דנותן טעם לפגם מותר, וילפינן לה מנבילה שאינה ראויה לגר, אבל בסרוחה מעיקרא ס"ל לריו"ח דא"צ קרא, ואילו בגמ' בבכורות </w:t>
      </w:r>
      <w:r w:rsidRPr="000A0FB0">
        <w:rPr>
          <w:rStyle w:val="aff6"/>
          <w:rtl/>
        </w:rPr>
        <w:t>(כג:)</w:t>
      </w:r>
      <w:r w:rsidRPr="001934FA">
        <w:rPr>
          <w:rtl/>
        </w:rPr>
        <w:t xml:space="preserve"> אמר ריו"ח דלענין טומאת נבילה, צריך קרא למעט סרוחה מעיקרא, [ועיי"ש דתירצו </w:t>
      </w:r>
      <w:r w:rsidRPr="000A0FB0">
        <w:rPr>
          <w:rStyle w:val="affa"/>
          <w:rtl/>
        </w:rPr>
        <w:t>התוס' בבכורות</w:t>
      </w:r>
      <w:r w:rsidRPr="001934FA">
        <w:rPr>
          <w:rtl/>
        </w:rPr>
        <w:t xml:space="preserve"> לחלק בין איסור לטומאה, וכתב </w:t>
      </w:r>
      <w:r w:rsidRPr="000A0FB0">
        <w:rPr>
          <w:rStyle w:val="affa"/>
          <w:rtl/>
        </w:rPr>
        <w:t xml:space="preserve">הפליתי </w:t>
      </w:r>
      <w:r w:rsidRPr="001934FA">
        <w:rPr>
          <w:rtl/>
        </w:rPr>
        <w:t xml:space="preserve">דלא ניחא </w:t>
      </w:r>
      <w:r w:rsidRPr="000A0FB0">
        <w:rPr>
          <w:rStyle w:val="affa"/>
          <w:rtl/>
        </w:rPr>
        <w:t xml:space="preserve">להרמב"ם </w:t>
      </w:r>
      <w:r w:rsidRPr="001934FA">
        <w:rPr>
          <w:rtl/>
        </w:rPr>
        <w:t xml:space="preserve">בתירוץ </w:t>
      </w:r>
      <w:r w:rsidRPr="000A0FB0">
        <w:rPr>
          <w:rStyle w:val="affa"/>
          <w:rtl/>
        </w:rPr>
        <w:t>התוס'</w:t>
      </w:r>
      <w:r w:rsidRPr="001934FA">
        <w:rPr>
          <w:rtl/>
        </w:rPr>
        <w:t>, כיון דאיסור וטומאת נבילה הם מאותה הילפותא]</w:t>
      </w:r>
      <w:r>
        <w:rPr>
          <w:rFonts w:hint="cs"/>
          <w:rtl/>
        </w:rPr>
        <w:t>.</w:t>
      </w:r>
    </w:p>
    <w:p w:rsidR="00651E3B" w:rsidRDefault="00651E3B" w:rsidP="0013006A">
      <w:pPr>
        <w:pStyle w:val="ae"/>
        <w:rPr>
          <w:rtl/>
        </w:rPr>
      </w:pPr>
      <w:r>
        <w:rPr>
          <w:rFonts w:hint="cs"/>
          <w:rtl/>
        </w:rPr>
        <w:t xml:space="preserve">אלא ביאר </w:t>
      </w:r>
      <w:r w:rsidRPr="000A0FB0">
        <w:rPr>
          <w:rStyle w:val="affa"/>
          <w:rtl/>
        </w:rPr>
        <w:t xml:space="preserve">הפליתי </w:t>
      </w:r>
      <w:r w:rsidRPr="001934FA">
        <w:rPr>
          <w:rtl/>
        </w:rPr>
        <w:t xml:space="preserve">דס"ל </w:t>
      </w:r>
      <w:r w:rsidRPr="000A0FB0">
        <w:rPr>
          <w:rStyle w:val="affa"/>
          <w:rtl/>
        </w:rPr>
        <w:t xml:space="preserve">להרמב"ם </w:t>
      </w:r>
      <w:r w:rsidRPr="001934FA">
        <w:rPr>
          <w:rtl/>
        </w:rPr>
        <w:t xml:space="preserve">דכל הגמ' בסוגיין היא לפי הגמ' בפסחים </w:t>
      </w:r>
      <w:r w:rsidRPr="000A0FB0">
        <w:rPr>
          <w:rStyle w:val="aff6"/>
          <w:rtl/>
        </w:rPr>
        <w:t xml:space="preserve">(כד:) </w:t>
      </w:r>
      <w:r w:rsidRPr="001934FA">
        <w:rPr>
          <w:rtl/>
        </w:rPr>
        <w:t>דאין לוקין על איסור שלא כדרך אכילתן, ולכן צריך את הילפותא מנבילה שאינה ראויה לגר.</w:t>
      </w:r>
    </w:p>
  </w:footnote>
  <w:footnote w:id="43">
    <w:p w:rsidR="00651E3B" w:rsidRDefault="00651E3B" w:rsidP="0013006A">
      <w:pPr>
        <w:pStyle w:val="ae"/>
        <w:rPr>
          <w:rtl/>
        </w:rPr>
      </w:pPr>
      <w:r>
        <w:rPr>
          <w:rStyle w:val="af0"/>
        </w:rPr>
        <w:footnoteRef/>
      </w:r>
      <w:r>
        <w:rPr>
          <w:rtl/>
        </w:rPr>
        <w:t xml:space="preserve"> </w:t>
      </w:r>
      <w:r>
        <w:rPr>
          <w:rStyle w:val="affa"/>
          <w:rFonts w:hint="cs"/>
          <w:rtl/>
        </w:rPr>
        <w:t>ו</w:t>
      </w:r>
      <w:r w:rsidRPr="0041388D">
        <w:rPr>
          <w:rStyle w:val="affa"/>
          <w:rtl/>
        </w:rPr>
        <w:t>הגרעק"א</w:t>
      </w:r>
      <w:r w:rsidRPr="0041388D">
        <w:rPr>
          <w:rtl/>
        </w:rPr>
        <w:t xml:space="preserve"> </w:t>
      </w:r>
      <w:r w:rsidRPr="00EA2E27">
        <w:rPr>
          <w:rStyle w:val="aff6"/>
          <w:rtl/>
        </w:rPr>
        <w:t>(בס</w:t>
      </w:r>
      <w:r>
        <w:rPr>
          <w:rStyle w:val="aff6"/>
          <w:rFonts w:hint="cs"/>
          <w:rtl/>
        </w:rPr>
        <w:t>'</w:t>
      </w:r>
      <w:r>
        <w:rPr>
          <w:rStyle w:val="aff6"/>
          <w:rtl/>
        </w:rPr>
        <w:t xml:space="preserve"> זכרון וזאת ליהוד</w:t>
      </w:r>
      <w:r>
        <w:rPr>
          <w:rStyle w:val="aff6"/>
          <w:rFonts w:hint="cs"/>
          <w:rtl/>
        </w:rPr>
        <w:t xml:space="preserve">ה </w:t>
      </w:r>
      <w:r w:rsidRPr="00EA2E27">
        <w:rPr>
          <w:rStyle w:val="aff6"/>
          <w:rtl/>
        </w:rPr>
        <w:t>ע"ז סז. ד"ה ולענין מה</w:t>
      </w:r>
      <w:r w:rsidRPr="009E64CD">
        <w:rPr>
          <w:rStyle w:val="aff6"/>
          <w:rtl/>
        </w:rPr>
        <w:t>, הועתק בס' תורת רבינו עקיבא איגר ע"ז סז.</w:t>
      </w:r>
      <w:r w:rsidRPr="00EA2E27">
        <w:rPr>
          <w:rStyle w:val="aff6"/>
          <w:rtl/>
        </w:rPr>
        <w:t>)</w:t>
      </w:r>
      <w:r w:rsidRPr="0041388D">
        <w:rPr>
          <w:rtl/>
        </w:rPr>
        <w:t xml:space="preserve"> </w:t>
      </w:r>
      <w:r>
        <w:rPr>
          <w:rFonts w:hint="cs"/>
          <w:rtl/>
        </w:rPr>
        <w:t>תירץ</w:t>
      </w:r>
      <w:r w:rsidRPr="0041388D">
        <w:rPr>
          <w:rtl/>
        </w:rPr>
        <w:t xml:space="preserve"> את דברי </w:t>
      </w:r>
      <w:r w:rsidRPr="00EA2E27">
        <w:rPr>
          <w:rStyle w:val="affa"/>
          <w:rtl/>
        </w:rPr>
        <w:t>הרמב"ם</w:t>
      </w:r>
      <w:r w:rsidRPr="0041388D">
        <w:rPr>
          <w:rtl/>
        </w:rPr>
        <w:t xml:space="preserve"> ד</w:t>
      </w:r>
      <w:r>
        <w:rPr>
          <w:rFonts w:hint="cs"/>
          <w:rtl/>
        </w:rPr>
        <w:t>ס"ל ד</w:t>
      </w:r>
      <w:r w:rsidRPr="0041388D">
        <w:rPr>
          <w:rtl/>
        </w:rPr>
        <w:t xml:space="preserve">כל הילפותא מנבילה לנותן טעם לפגם, היא רק לר"ש דס"ל דשלא כדרך הנאתן אסור, אבל לדידן דקיי"ל דשלא בדרך הנאתן מותר, א"צ ללמוד מנבילה כלל, עיי"ש בדבריו, ובמה שתירץ </w:t>
      </w:r>
      <w:r w:rsidRPr="0041388D">
        <w:rPr>
          <w:rStyle w:val="affa"/>
          <w:rtl/>
        </w:rPr>
        <w:t>הגרעק"א</w:t>
      </w:r>
      <w:r w:rsidRPr="0041388D">
        <w:rPr>
          <w:rtl/>
        </w:rPr>
        <w:t xml:space="preserve"> לפי"ז את דברי </w:t>
      </w:r>
      <w:r w:rsidRPr="000A0FB0">
        <w:rPr>
          <w:rStyle w:val="affa"/>
          <w:rtl/>
        </w:rPr>
        <w:t xml:space="preserve">התוס' בבכורות </w:t>
      </w:r>
      <w:r w:rsidRPr="000A0FB0">
        <w:rPr>
          <w:rStyle w:val="aff6"/>
          <w:rtl/>
        </w:rPr>
        <w:t>(כג: ד"ה ואידך)</w:t>
      </w:r>
      <w:r>
        <w:rPr>
          <w:rFonts w:hint="cs"/>
          <w:rtl/>
        </w:rPr>
        <w:t xml:space="preserve">, וכעי"ז תירץ </w:t>
      </w:r>
      <w:r w:rsidRPr="008535B7">
        <w:rPr>
          <w:rStyle w:val="affa"/>
          <w:rFonts w:hint="cs"/>
          <w:rtl/>
        </w:rPr>
        <w:t>הקה"י בפסחים</w:t>
      </w:r>
      <w:r w:rsidRPr="00D47CE7">
        <w:rPr>
          <w:rFonts w:hint="cs"/>
          <w:rtl/>
        </w:rPr>
        <w:t xml:space="preserve"> </w:t>
      </w:r>
      <w:r w:rsidRPr="008535B7">
        <w:rPr>
          <w:rStyle w:val="aff6"/>
          <w:rFonts w:hint="cs"/>
          <w:rtl/>
        </w:rPr>
        <w:t>(סו"ס ט"ז ד"ה ואפשר דהרמב"ם)</w:t>
      </w:r>
      <w:r w:rsidRPr="0041388D">
        <w:rPr>
          <w:rtl/>
        </w:rPr>
        <w:t>.</w:t>
      </w:r>
    </w:p>
  </w:footnote>
  <w:footnote w:id="44">
    <w:p w:rsidR="00651E3B" w:rsidRDefault="00651E3B" w:rsidP="0013006A">
      <w:pPr>
        <w:pStyle w:val="ae"/>
        <w:rPr>
          <w:rtl/>
        </w:rPr>
      </w:pPr>
      <w:r>
        <w:rPr>
          <w:rStyle w:val="af0"/>
        </w:rPr>
        <w:footnoteRef/>
      </w:r>
      <w:r>
        <w:rPr>
          <w:rtl/>
        </w:rPr>
        <w:t xml:space="preserve"> כתב </w:t>
      </w:r>
      <w:r w:rsidRPr="007638DF">
        <w:rPr>
          <w:rStyle w:val="affa"/>
          <w:rtl/>
        </w:rPr>
        <w:t>הנוב"י</w:t>
      </w:r>
      <w:r>
        <w:rPr>
          <w:rtl/>
        </w:rPr>
        <w:t xml:space="preserve"> </w:t>
      </w:r>
      <w:r w:rsidRPr="007638DF">
        <w:rPr>
          <w:rStyle w:val="aff6"/>
          <w:rtl/>
        </w:rPr>
        <w:t>(מהדו"ק יו"ד סי' כ"ו ד"ה והנה פלוגתא)</w:t>
      </w:r>
      <w:r>
        <w:rPr>
          <w:rtl/>
        </w:rPr>
        <w:t xml:space="preserve"> דכיון </w:t>
      </w:r>
      <w:r w:rsidRPr="007638DF">
        <w:rPr>
          <w:rStyle w:val="affa"/>
          <w:rtl/>
        </w:rPr>
        <w:t>דהרמב"ם</w:t>
      </w:r>
      <w:r>
        <w:rPr>
          <w:rtl/>
        </w:rPr>
        <w:t xml:space="preserve"> כתב דבהסריח והבאיש פטור רק מדין שלא כדרך הנאתן, ולא כתב דפטור כיון שאינה ראויה לגר, א"כ מוכח דס"ל כר"מ דדין אינה ראויה לגר נאמר רק בסרוח מעיקרא, אבל בדבר שאינה סרוח מעיקרא, אף כשהוא ראוי לגר פטור מדין שלא כדרך הנאתן, דאי היה פטור מדין שאינה ראויה לגר, א"כ אין עליו שם איסור כלל, וא"צ לומר דהוא שלא כדרך הנאתן.</w:t>
      </w:r>
    </w:p>
    <w:p w:rsidR="00651E3B" w:rsidRDefault="00651E3B" w:rsidP="0013006A">
      <w:pPr>
        <w:pStyle w:val="ae"/>
        <w:rPr>
          <w:rtl/>
        </w:rPr>
      </w:pPr>
      <w:r>
        <w:rPr>
          <w:rtl/>
        </w:rPr>
        <w:t xml:space="preserve">וכתב </w:t>
      </w:r>
      <w:r w:rsidRPr="007638DF">
        <w:rPr>
          <w:rStyle w:val="affa"/>
          <w:rtl/>
        </w:rPr>
        <w:t>הנוב"י</w:t>
      </w:r>
      <w:r>
        <w:rPr>
          <w:rtl/>
        </w:rPr>
        <w:t xml:space="preserve"> דמשו"ה ס"ל </w:t>
      </w:r>
      <w:r w:rsidRPr="007638DF">
        <w:rPr>
          <w:rStyle w:val="affa"/>
          <w:rtl/>
        </w:rPr>
        <w:t>להרמב"ם</w:t>
      </w:r>
      <w:r>
        <w:rPr>
          <w:rtl/>
        </w:rPr>
        <w:t xml:space="preserve"> דבבשר בחלב חייב, אף שהבאיש והסריח, כיון שחייב בבשר בחלב אף בשלא כדרך הנאתו, אבל אם היה פטור מדין נבילה שאינה ראויה לגר, חשיב שאין עליו שם איסור, ואף בבשר בחלב פטור.</w:t>
      </w:r>
    </w:p>
  </w:footnote>
  <w:footnote w:id="45">
    <w:p w:rsidR="00651E3B" w:rsidRDefault="00651E3B" w:rsidP="0013006A">
      <w:pPr>
        <w:pStyle w:val="ae"/>
        <w:rPr>
          <w:rtl/>
        </w:rPr>
      </w:pPr>
      <w:r>
        <w:rPr>
          <w:rStyle w:val="af0"/>
        </w:rPr>
        <w:footnoteRef/>
      </w:r>
      <w:r>
        <w:rPr>
          <w:rtl/>
        </w:rPr>
        <w:t xml:space="preserve"> </w:t>
      </w:r>
      <w:r w:rsidRPr="00EB450E">
        <w:rPr>
          <w:rStyle w:val="affa"/>
          <w:rFonts w:hint="cs"/>
          <w:rtl/>
        </w:rPr>
        <w:t>החוו"ד</w:t>
      </w:r>
      <w:r>
        <w:rPr>
          <w:rFonts w:hint="cs"/>
          <w:rtl/>
        </w:rPr>
        <w:t xml:space="preserve"> כתב דבפגום במקצת ההיתר הוא כיון דלא ניחא ליה בטעם, וציין </w:t>
      </w:r>
      <w:r w:rsidRPr="00EB450E">
        <w:rPr>
          <w:rStyle w:val="affa"/>
          <w:rFonts w:hint="cs"/>
          <w:rtl/>
        </w:rPr>
        <w:t>החוו"ד</w:t>
      </w:r>
      <w:r>
        <w:rPr>
          <w:rFonts w:hint="cs"/>
          <w:rtl/>
        </w:rPr>
        <w:t xml:space="preserve"> לתחילת דבריו, דהביא את דברי </w:t>
      </w:r>
      <w:r w:rsidRPr="00AF0783">
        <w:rPr>
          <w:rStyle w:val="affa"/>
          <w:rtl/>
        </w:rPr>
        <w:t>הרשב"א</w:t>
      </w:r>
      <w:r w:rsidRPr="00AF0783">
        <w:rPr>
          <w:rStyle w:val="aff6"/>
          <w:rtl/>
        </w:rPr>
        <w:t xml:space="preserve"> </w:t>
      </w:r>
      <w:r w:rsidRPr="00AF0783">
        <w:rPr>
          <w:rStyle w:val="aff6"/>
          <w:rFonts w:hint="cs"/>
          <w:rtl/>
        </w:rPr>
        <w:t xml:space="preserve">(עי' אות </w:t>
      </w:r>
      <w:r w:rsidRPr="00AF0783">
        <w:rPr>
          <w:rStyle w:val="aff6"/>
          <w:rFonts w:hint="cs"/>
          <w:rtl/>
        </w:rPr>
        <w:fldChar w:fldCharType="begin"/>
      </w:r>
      <w:r w:rsidRPr="00AF0783">
        <w:rPr>
          <w:rStyle w:val="aff6"/>
          <w:rFonts w:hint="cs"/>
          <w:rtl/>
        </w:rPr>
        <w:instrText xml:space="preserve"> </w:instrText>
      </w:r>
      <w:r w:rsidRPr="00AF0783">
        <w:rPr>
          <w:rStyle w:val="aff6"/>
        </w:rPr>
        <w:instrText>REF</w:instrText>
      </w:r>
      <w:r w:rsidRPr="00AF0783">
        <w:rPr>
          <w:rStyle w:val="aff6"/>
          <w:rFonts w:hint="cs"/>
          <w:rtl/>
        </w:rPr>
        <w:instrText xml:space="preserve"> _</w:instrText>
      </w:r>
      <w:r w:rsidRPr="00AF0783">
        <w:rPr>
          <w:rStyle w:val="aff6"/>
        </w:rPr>
        <w:instrText>Ref19046356 \r \h</w:instrText>
      </w:r>
      <w:r w:rsidRPr="00AF0783">
        <w:rPr>
          <w:rStyle w:val="aff6"/>
          <w:rFonts w:hint="cs"/>
          <w:rtl/>
        </w:rPr>
        <w:instrText xml:space="preserve"> </w:instrText>
      </w:r>
      <w:r w:rsidRPr="00AF0783">
        <w:rPr>
          <w:rStyle w:val="aff6"/>
          <w:rFonts w:hint="cs"/>
          <w:rtl/>
        </w:rPr>
      </w:r>
      <w:r w:rsidRPr="00AF0783">
        <w:rPr>
          <w:rStyle w:val="aff6"/>
          <w:rFonts w:hint="cs"/>
          <w:rtl/>
        </w:rPr>
        <w:fldChar w:fldCharType="separate"/>
      </w:r>
      <w:r>
        <w:rPr>
          <w:rStyle w:val="aff6"/>
          <w:rFonts w:hint="eastAsia"/>
          <w:cs/>
        </w:rPr>
        <w:t>‎</w:t>
      </w:r>
      <w:r>
        <w:rPr>
          <w:rStyle w:val="aff6"/>
          <w:rFonts w:hint="eastAsia"/>
          <w:rtl/>
        </w:rPr>
        <w:t>א</w:t>
      </w:r>
      <w:r>
        <w:rPr>
          <w:rStyle w:val="aff6"/>
          <w:rtl/>
        </w:rPr>
        <w:t>)</w:t>
      </w:r>
      <w:r w:rsidRPr="00AF0783">
        <w:rPr>
          <w:rStyle w:val="aff6"/>
          <w:rFonts w:hint="cs"/>
          <w:rtl/>
        </w:rPr>
        <w:fldChar w:fldCharType="end"/>
      </w:r>
      <w:r>
        <w:rPr>
          <w:rStyle w:val="af6"/>
          <w:rFonts w:eastAsia="Guttman Hodes" w:hint="cs"/>
          <w:rtl/>
        </w:rPr>
        <w:t xml:space="preserve"> </w:t>
      </w:r>
      <w:r w:rsidRPr="00AF0783">
        <w:rPr>
          <w:rStyle w:val="affa"/>
          <w:rtl/>
        </w:rPr>
        <w:t>והר"ן</w:t>
      </w:r>
      <w:r>
        <w:rPr>
          <w:rFonts w:hint="cs"/>
          <w:rtl/>
        </w:rPr>
        <w:t xml:space="preserve"> </w:t>
      </w:r>
      <w:r w:rsidRPr="00AF0783">
        <w:rPr>
          <w:rStyle w:val="aff6"/>
          <w:rFonts w:hint="cs"/>
          <w:rtl/>
        </w:rPr>
        <w:t xml:space="preserve">(עי' אות </w:t>
      </w:r>
      <w:r w:rsidRPr="00AF0783">
        <w:rPr>
          <w:rStyle w:val="aff6"/>
          <w:rFonts w:hint="cs"/>
          <w:rtl/>
        </w:rPr>
        <w:fldChar w:fldCharType="begin"/>
      </w:r>
      <w:r w:rsidRPr="00AF0783">
        <w:rPr>
          <w:rStyle w:val="aff6"/>
          <w:rFonts w:hint="cs"/>
          <w:rtl/>
        </w:rPr>
        <w:instrText xml:space="preserve"> </w:instrText>
      </w:r>
      <w:r w:rsidRPr="00AF0783">
        <w:rPr>
          <w:rStyle w:val="aff6"/>
        </w:rPr>
        <w:instrText>REF</w:instrText>
      </w:r>
      <w:r w:rsidRPr="00AF0783">
        <w:rPr>
          <w:rStyle w:val="aff6"/>
          <w:rFonts w:hint="cs"/>
          <w:rtl/>
        </w:rPr>
        <w:instrText xml:space="preserve"> _</w:instrText>
      </w:r>
      <w:r w:rsidRPr="00AF0783">
        <w:rPr>
          <w:rStyle w:val="aff6"/>
        </w:rPr>
        <w:instrText>Ref19046356 \r \h</w:instrText>
      </w:r>
      <w:r w:rsidRPr="00AF0783">
        <w:rPr>
          <w:rStyle w:val="aff6"/>
          <w:rFonts w:hint="cs"/>
          <w:rtl/>
        </w:rPr>
        <w:instrText xml:space="preserve"> </w:instrText>
      </w:r>
      <w:r w:rsidRPr="00AF0783">
        <w:rPr>
          <w:rStyle w:val="aff6"/>
          <w:rFonts w:hint="cs"/>
          <w:rtl/>
        </w:rPr>
      </w:r>
      <w:r w:rsidRPr="00AF0783">
        <w:rPr>
          <w:rStyle w:val="aff6"/>
          <w:rFonts w:hint="cs"/>
          <w:rtl/>
        </w:rPr>
        <w:fldChar w:fldCharType="separate"/>
      </w:r>
      <w:r>
        <w:rPr>
          <w:rStyle w:val="aff6"/>
          <w:rFonts w:hint="eastAsia"/>
          <w:cs/>
        </w:rPr>
        <w:t>‎</w:t>
      </w:r>
      <w:r>
        <w:rPr>
          <w:rStyle w:val="aff6"/>
          <w:rFonts w:hint="eastAsia"/>
          <w:rtl/>
        </w:rPr>
        <w:t>א</w:t>
      </w:r>
      <w:r>
        <w:rPr>
          <w:rStyle w:val="aff6"/>
          <w:rtl/>
        </w:rPr>
        <w:t>)</w:t>
      </w:r>
      <w:r w:rsidRPr="00AF0783">
        <w:rPr>
          <w:rStyle w:val="aff6"/>
          <w:rFonts w:hint="cs"/>
          <w:rtl/>
        </w:rPr>
        <w:fldChar w:fldCharType="end"/>
      </w:r>
      <w:r>
        <w:rPr>
          <w:rFonts w:hint="cs"/>
          <w:rtl/>
        </w:rPr>
        <w:t xml:space="preserve">, ומשמע דכוונתו לבאר כן בין לדעת </w:t>
      </w:r>
      <w:r w:rsidRPr="00EB450E">
        <w:rPr>
          <w:rStyle w:val="affa"/>
          <w:rFonts w:hint="cs"/>
          <w:rtl/>
        </w:rPr>
        <w:t>הרשב"א</w:t>
      </w:r>
      <w:r>
        <w:rPr>
          <w:rFonts w:hint="cs"/>
          <w:rtl/>
        </w:rPr>
        <w:t xml:space="preserve"> ובין לדעת </w:t>
      </w:r>
      <w:r w:rsidRPr="00EB450E">
        <w:rPr>
          <w:rStyle w:val="affa"/>
          <w:rFonts w:hint="cs"/>
          <w:rtl/>
        </w:rPr>
        <w:t>הר"ן</w:t>
      </w:r>
      <w:r>
        <w:rPr>
          <w:rFonts w:hint="cs"/>
          <w:rtl/>
        </w:rPr>
        <w:t>, ויל"ע.</w:t>
      </w:r>
    </w:p>
  </w:footnote>
  <w:footnote w:id="46">
    <w:p w:rsidR="00651E3B" w:rsidRDefault="00651E3B" w:rsidP="0013006A">
      <w:pPr>
        <w:pStyle w:val="ae"/>
        <w:rPr>
          <w:rtl/>
        </w:rPr>
      </w:pPr>
      <w:r>
        <w:rPr>
          <w:rStyle w:val="af0"/>
        </w:rPr>
        <w:footnoteRef/>
      </w:r>
      <w:r>
        <w:rPr>
          <w:rtl/>
        </w:rPr>
        <w:t xml:space="preserve"> </w:t>
      </w:r>
      <w:r>
        <w:rPr>
          <w:rFonts w:hint="cs"/>
          <w:rtl/>
        </w:rPr>
        <w:t xml:space="preserve">וכתב </w:t>
      </w:r>
      <w:r w:rsidRPr="00256528">
        <w:rPr>
          <w:rStyle w:val="affa"/>
          <w:rFonts w:hint="cs"/>
          <w:rtl/>
        </w:rPr>
        <w:t xml:space="preserve">במשנת ר"א </w:t>
      </w:r>
      <w:r w:rsidRPr="00256528">
        <w:rPr>
          <w:rStyle w:val="af6"/>
          <w:rFonts w:eastAsiaTheme="minorHAnsi" w:hint="cs"/>
          <w:rtl/>
        </w:rPr>
        <w:t>(שו"ת יו"ד סו"ס י"ז)</w:t>
      </w:r>
      <w:r>
        <w:rPr>
          <w:rFonts w:hint="cs"/>
          <w:rtl/>
        </w:rPr>
        <w:t xml:space="preserve"> דיש להסתפק אי מ"ש </w:t>
      </w:r>
      <w:r w:rsidRPr="00256528">
        <w:rPr>
          <w:rStyle w:val="affa"/>
          <w:rFonts w:hint="cs"/>
          <w:rtl/>
        </w:rPr>
        <w:t xml:space="preserve">החוו"ד </w:t>
      </w:r>
      <w:r w:rsidRPr="00256528">
        <w:rPr>
          <w:rStyle w:val="af6"/>
          <w:rFonts w:eastAsiaTheme="minorHAnsi" w:hint="cs"/>
          <w:rtl/>
        </w:rPr>
        <w:t>(עי'</w:t>
      </w:r>
      <w:r>
        <w:rPr>
          <w:rStyle w:val="af6"/>
          <w:rFonts w:eastAsiaTheme="minorHAnsi" w:hint="cs"/>
          <w:rtl/>
        </w:rPr>
        <w:t xml:space="preserve"> אות </w:t>
      </w:r>
      <w:r>
        <w:rPr>
          <w:rStyle w:val="af6"/>
          <w:rFonts w:eastAsiaTheme="minorHAnsi"/>
          <w:rtl/>
        </w:rPr>
        <w:fldChar w:fldCharType="begin"/>
      </w:r>
      <w:r>
        <w:rPr>
          <w:rStyle w:val="af6"/>
          <w:rFonts w:eastAsiaTheme="minorHAnsi"/>
          <w:rtl/>
        </w:rPr>
        <w:instrText xml:space="preserve"> </w:instrText>
      </w:r>
      <w:r>
        <w:rPr>
          <w:rStyle w:val="af6"/>
          <w:rFonts w:eastAsiaTheme="minorHAnsi" w:hint="cs"/>
        </w:rPr>
        <w:instrText>REF</w:instrText>
      </w:r>
      <w:r>
        <w:rPr>
          <w:rStyle w:val="af6"/>
          <w:rFonts w:eastAsiaTheme="minorHAnsi" w:hint="cs"/>
          <w:rtl/>
        </w:rPr>
        <w:instrText xml:space="preserve"> _</w:instrText>
      </w:r>
      <w:r>
        <w:rPr>
          <w:rStyle w:val="af6"/>
          <w:rFonts w:eastAsiaTheme="minorHAnsi" w:hint="cs"/>
        </w:rPr>
        <w:instrText>Ref19182863 \r \h</w:instrText>
      </w:r>
      <w:r>
        <w:rPr>
          <w:rStyle w:val="af6"/>
          <w:rFonts w:eastAsiaTheme="minorHAnsi"/>
          <w:rtl/>
        </w:rPr>
        <w:instrText xml:space="preserve"> </w:instrText>
      </w:r>
      <w:r>
        <w:rPr>
          <w:rStyle w:val="af6"/>
          <w:rFonts w:eastAsiaTheme="minorHAnsi"/>
          <w:rtl/>
        </w:rPr>
      </w:r>
      <w:r>
        <w:rPr>
          <w:rStyle w:val="af6"/>
          <w:rFonts w:eastAsiaTheme="minorHAnsi"/>
          <w:rtl/>
        </w:rPr>
        <w:fldChar w:fldCharType="separate"/>
      </w:r>
      <w:r>
        <w:rPr>
          <w:rStyle w:val="af6"/>
          <w:rFonts w:eastAsiaTheme="minorHAnsi"/>
          <w:cs/>
        </w:rPr>
        <w:t>‎</w:t>
      </w:r>
      <w:r>
        <w:rPr>
          <w:rStyle w:val="af6"/>
          <w:rFonts w:eastAsiaTheme="minorHAnsi"/>
          <w:rtl/>
        </w:rPr>
        <w:t>ע)</w:t>
      </w:r>
      <w:r>
        <w:rPr>
          <w:rStyle w:val="af6"/>
          <w:rFonts w:eastAsiaTheme="minorHAnsi"/>
          <w:rtl/>
        </w:rPr>
        <w:fldChar w:fldCharType="end"/>
      </w:r>
      <w:r w:rsidRPr="00256528">
        <w:rPr>
          <w:rStyle w:val="af6"/>
          <w:rFonts w:eastAsiaTheme="minorHAnsi" w:hint="cs"/>
          <w:rtl/>
        </w:rPr>
        <w:t xml:space="preserve"> </w:t>
      </w:r>
      <w:r>
        <w:rPr>
          <w:rFonts w:hint="cs"/>
          <w:rtl/>
        </w:rPr>
        <w:t xml:space="preserve">דנבילה שאינה ראויה לגר, אינה חוזרת לאיסורה אף אם יחזור ויתקנה, הוא דוקא במקום שהאיסור עצמו לא חזר ונעשה ראוי, וכל מה שאפשר לאוכלו הוא ע"י תבלין, דכיון שהאיסור עצמו הוא עדיין כעפר מותר, אבל באיסור שיבש כעץ, וחזר ונימוח בתבשיל, יתכן דמודה </w:t>
      </w:r>
      <w:r w:rsidRPr="00256528">
        <w:rPr>
          <w:rStyle w:val="affa"/>
          <w:rFonts w:hint="cs"/>
          <w:rtl/>
        </w:rPr>
        <w:t xml:space="preserve">החוו"ד </w:t>
      </w:r>
      <w:r>
        <w:rPr>
          <w:rFonts w:hint="cs"/>
          <w:rtl/>
        </w:rPr>
        <w:t xml:space="preserve">לדברי </w:t>
      </w:r>
      <w:r w:rsidRPr="00256528">
        <w:rPr>
          <w:rStyle w:val="affa"/>
          <w:rFonts w:hint="cs"/>
          <w:rtl/>
        </w:rPr>
        <w:t xml:space="preserve">הפרמ"ג </w:t>
      </w:r>
      <w:r w:rsidRPr="00EB3D44">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Ref19120577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עט)</w:t>
      </w:r>
      <w:r>
        <w:rPr>
          <w:rStyle w:val="aff6"/>
          <w:rtl/>
        </w:rPr>
        <w:fldChar w:fldCharType="end"/>
      </w:r>
      <w:r>
        <w:rPr>
          <w:rStyle w:val="aff6"/>
          <w:rFonts w:hint="cs"/>
          <w:rtl/>
        </w:rPr>
        <w:t xml:space="preserve"> </w:t>
      </w:r>
      <w:r>
        <w:rPr>
          <w:rFonts w:hint="cs"/>
          <w:rtl/>
        </w:rPr>
        <w:t>דהוא חוזר ונאסר, דעכשיו אינו כעפר.</w:t>
      </w:r>
    </w:p>
  </w:footnote>
  <w:footnote w:id="47">
    <w:p w:rsidR="00651E3B" w:rsidRPr="00907FC9" w:rsidRDefault="00651E3B" w:rsidP="0013006A">
      <w:pPr>
        <w:pStyle w:val="ae"/>
        <w:rPr>
          <w:rtl/>
        </w:rPr>
      </w:pPr>
      <w:r>
        <w:rPr>
          <w:rStyle w:val="af0"/>
        </w:rPr>
        <w:footnoteRef/>
      </w:r>
      <w:r>
        <w:rPr>
          <w:rtl/>
        </w:rPr>
        <w:t xml:space="preserve"> </w:t>
      </w:r>
      <w:r w:rsidRPr="00907FC9">
        <w:rPr>
          <w:rtl/>
        </w:rPr>
        <w:t xml:space="preserve">וכתב </w:t>
      </w:r>
      <w:r w:rsidRPr="00100B54">
        <w:rPr>
          <w:rStyle w:val="affa"/>
          <w:rtl/>
        </w:rPr>
        <w:t xml:space="preserve">הגר"ח </w:t>
      </w:r>
      <w:r w:rsidRPr="00907FC9">
        <w:rPr>
          <w:rtl/>
        </w:rPr>
        <w:t xml:space="preserve">דכן מבואר מדברי </w:t>
      </w:r>
      <w:r w:rsidRPr="00100B54">
        <w:rPr>
          <w:rStyle w:val="affa"/>
          <w:rtl/>
        </w:rPr>
        <w:t xml:space="preserve">הרמב"ם </w:t>
      </w:r>
      <w:r w:rsidRPr="00100B54">
        <w:rPr>
          <w:rStyle w:val="aff6"/>
          <w:rtl/>
        </w:rPr>
        <w:t>(חמץ ומצה פ"ד ה"ח)</w:t>
      </w:r>
      <w:r w:rsidRPr="00907FC9">
        <w:rPr>
          <w:rtl/>
        </w:rPr>
        <w:t xml:space="preserve"> דכתב דתערובת חמץ שאינה ראויה לאכילה מותר לקיימה בפסח, ואילו בפת עצמה שעיפשה, כתב הרמב"ם דרק באינה ראויה לאכילת כלב מותר לקיימה בפסח, וכתב </w:t>
      </w:r>
      <w:r w:rsidRPr="00100B54">
        <w:rPr>
          <w:rStyle w:val="affa"/>
          <w:rtl/>
        </w:rPr>
        <w:t xml:space="preserve">הגר"ח </w:t>
      </w:r>
      <w:r w:rsidRPr="00907FC9">
        <w:rPr>
          <w:rtl/>
        </w:rPr>
        <w:t xml:space="preserve">דמוכח דבתערובת חמץ שאיסורה הוא מדין טעם כעיקר, וכל שאינה ראויה לאכילת אדם פקע ממנה דין טעם כעיקר, ולכן אינו עובר עליה בבל יראה, אבל בחמץ בעין שאיסורו אינו מדין טעם כעיקר, שייך לאוסרו אף כשאינו ראוי לאכילה, [כיון שאפשר לחמץ בו עיסות אחרות, עיי"ש בדברי </w:t>
      </w:r>
      <w:r w:rsidRPr="00100B54">
        <w:rPr>
          <w:rStyle w:val="affa"/>
          <w:rtl/>
        </w:rPr>
        <w:t>הגר"ח</w:t>
      </w:r>
      <w:r w:rsidRPr="00907FC9">
        <w:rPr>
          <w:rtl/>
        </w:rPr>
        <w:t xml:space="preserve">], וכתב </w:t>
      </w:r>
      <w:r w:rsidRPr="00100B54">
        <w:rPr>
          <w:rStyle w:val="affa"/>
          <w:rtl/>
        </w:rPr>
        <w:t xml:space="preserve">הגר"ח </w:t>
      </w:r>
      <w:r w:rsidRPr="00907FC9">
        <w:rPr>
          <w:rtl/>
        </w:rPr>
        <w:t xml:space="preserve">דמוכח דאף דדין בל יראה אינו שייך כלל לאיסור האכילה של טעם כעיקר, מ"מ לעיקר חלות דין טעם כעיקר צריך שיהיה ראוי לאכילה. [ועיי"ש במה שהאריך </w:t>
      </w:r>
      <w:r w:rsidRPr="00100B54">
        <w:rPr>
          <w:rStyle w:val="affa"/>
          <w:rtl/>
        </w:rPr>
        <w:t xml:space="preserve">הגר"ח </w:t>
      </w:r>
      <w:r w:rsidRPr="00100B54">
        <w:rPr>
          <w:rStyle w:val="aff6"/>
          <w:rtl/>
        </w:rPr>
        <w:t>(מאכ"א פט"ו ה"א ד"ה ולפ"ז נראה, הובא לעיל סימן י"א אות פ')</w:t>
      </w:r>
      <w:r w:rsidRPr="00907FC9">
        <w:rPr>
          <w:rtl/>
        </w:rPr>
        <w:t xml:space="preserve"> לבאר לפי"ז ב</w:t>
      </w:r>
      <w:r>
        <w:rPr>
          <w:rFonts w:hint="cs"/>
          <w:rtl/>
        </w:rPr>
        <w:t xml:space="preserve">גדר </w:t>
      </w:r>
      <w:r w:rsidRPr="00907FC9">
        <w:rPr>
          <w:rtl/>
        </w:rPr>
        <w:t xml:space="preserve">דין טעם כעיקר, ובפלוגתת </w:t>
      </w:r>
      <w:r w:rsidRPr="00100B54">
        <w:rPr>
          <w:rStyle w:val="affa"/>
          <w:rtl/>
        </w:rPr>
        <w:t xml:space="preserve">הרמב"ם והראב"ד </w:t>
      </w:r>
      <w:r w:rsidRPr="00907FC9">
        <w:rPr>
          <w:rtl/>
        </w:rPr>
        <w:t>בכותח ובעיסת אורז].</w:t>
      </w:r>
    </w:p>
  </w:footnote>
  <w:footnote w:id="48">
    <w:p w:rsidR="00651E3B" w:rsidRDefault="00651E3B" w:rsidP="0013006A">
      <w:pPr>
        <w:pStyle w:val="ae"/>
        <w:rPr>
          <w:rtl/>
        </w:rPr>
      </w:pPr>
      <w:r>
        <w:rPr>
          <w:rStyle w:val="af0"/>
        </w:rPr>
        <w:footnoteRef/>
      </w:r>
      <w:r>
        <w:rPr>
          <w:rtl/>
        </w:rPr>
        <w:t xml:space="preserve"> </w:t>
      </w:r>
      <w:r>
        <w:rPr>
          <w:rFonts w:hint="cs"/>
          <w:rtl/>
        </w:rPr>
        <w:t xml:space="preserve">אמנם בסו"ד כתב </w:t>
      </w:r>
      <w:r w:rsidRPr="00497A02">
        <w:rPr>
          <w:rStyle w:val="affa"/>
          <w:rFonts w:hint="cs"/>
          <w:rtl/>
        </w:rPr>
        <w:t>הקה"י בפסחים</w:t>
      </w:r>
      <w:r>
        <w:rPr>
          <w:rFonts w:hint="cs"/>
          <w:rtl/>
        </w:rPr>
        <w:t>, דבדבריו בע"ז חזר בו מחלק ממ"ש בפסחים.</w:t>
      </w:r>
    </w:p>
  </w:footnote>
  <w:footnote w:id="49">
    <w:p w:rsidR="00651E3B" w:rsidRDefault="00651E3B" w:rsidP="00A82F1E">
      <w:pPr>
        <w:pStyle w:val="ae"/>
        <w:rPr>
          <w:rStyle w:val="afa"/>
          <w:rtl/>
        </w:rPr>
      </w:pPr>
      <w:r>
        <w:rPr>
          <w:rStyle w:val="af0"/>
        </w:rPr>
        <w:footnoteRef/>
      </w:r>
      <w:r>
        <w:rPr>
          <w:rtl/>
        </w:rPr>
        <w:t xml:space="preserve"> </w:t>
      </w:r>
      <w:r w:rsidRPr="00A37DF9">
        <w:rPr>
          <w:rStyle w:val="afa"/>
          <w:rFonts w:hint="cs"/>
          <w:rtl/>
        </w:rPr>
        <w:t xml:space="preserve">כתבו </w:t>
      </w:r>
      <w:r w:rsidRPr="00A938CC">
        <w:rPr>
          <w:rStyle w:val="affa"/>
          <w:rtl/>
        </w:rPr>
        <w:t>רש"י</w:t>
      </w:r>
      <w:r w:rsidRPr="00A37DF9">
        <w:rPr>
          <w:rStyle w:val="afa"/>
          <w:rtl/>
        </w:rPr>
        <w:t xml:space="preserve"> </w:t>
      </w:r>
      <w:r w:rsidRPr="00A938CC">
        <w:rPr>
          <w:rStyle w:val="aff6"/>
          <w:rFonts w:hint="cs"/>
          <w:rtl/>
        </w:rPr>
        <w:t xml:space="preserve">(סז. ד"ה כל) </w:t>
      </w:r>
      <w:r w:rsidRPr="00A938CC">
        <w:rPr>
          <w:rStyle w:val="affa"/>
          <w:rtl/>
        </w:rPr>
        <w:t>ותוס'</w:t>
      </w:r>
      <w:r w:rsidRPr="00A37DF9">
        <w:rPr>
          <w:rStyle w:val="afa"/>
          <w:rtl/>
        </w:rPr>
        <w:t xml:space="preserve"> </w:t>
      </w:r>
      <w:r w:rsidRPr="00A938CC">
        <w:rPr>
          <w:rStyle w:val="aff6"/>
          <w:rFonts w:hint="cs"/>
          <w:rtl/>
        </w:rPr>
        <w:t xml:space="preserve">(סז. ד"ה אמר ר"ל, הובא לעיל סימן י"ב אות ב) </w:t>
      </w:r>
      <w:r w:rsidRPr="00A938CC">
        <w:rPr>
          <w:rStyle w:val="affa"/>
          <w:rFonts w:hint="cs"/>
          <w:rtl/>
        </w:rPr>
        <w:t>והרמב"ן</w:t>
      </w:r>
      <w:r w:rsidRPr="00A37DF9">
        <w:rPr>
          <w:rStyle w:val="afa"/>
          <w:rFonts w:hint="cs"/>
          <w:rtl/>
        </w:rPr>
        <w:t xml:space="preserve"> </w:t>
      </w:r>
      <w:r w:rsidRPr="00E84479">
        <w:rPr>
          <w:rStyle w:val="aff6"/>
          <w:rFonts w:hint="cs"/>
          <w:rtl/>
        </w:rPr>
        <w:t>(סז.ד"ה כל)</w:t>
      </w:r>
      <w:r w:rsidRPr="00A37DF9">
        <w:rPr>
          <w:rStyle w:val="afa"/>
          <w:rFonts w:hint="cs"/>
          <w:rtl/>
        </w:rPr>
        <w:t xml:space="preserve"> </w:t>
      </w:r>
      <w:r w:rsidRPr="00A938CC">
        <w:rPr>
          <w:rStyle w:val="affa"/>
          <w:rFonts w:hint="cs"/>
          <w:rtl/>
        </w:rPr>
        <w:t>והרשב"א בחי'</w:t>
      </w:r>
      <w:r w:rsidRPr="00A37DF9">
        <w:rPr>
          <w:rStyle w:val="afa"/>
          <w:rFonts w:hint="cs"/>
          <w:rtl/>
        </w:rPr>
        <w:t xml:space="preserve"> </w:t>
      </w:r>
      <w:r w:rsidRPr="00A938CC">
        <w:rPr>
          <w:rStyle w:val="aff6"/>
          <w:rFonts w:hint="cs"/>
          <w:rtl/>
        </w:rPr>
        <w:t xml:space="preserve">(סז.ד"ה כל) </w:t>
      </w:r>
      <w:r w:rsidRPr="00A938CC">
        <w:rPr>
          <w:rStyle w:val="affa"/>
          <w:rFonts w:hint="cs"/>
          <w:rtl/>
        </w:rPr>
        <w:t xml:space="preserve">ובתוה"ב </w:t>
      </w:r>
      <w:r w:rsidRPr="00A938CC">
        <w:rPr>
          <w:rStyle w:val="aff6"/>
          <w:rFonts w:hint="cs"/>
          <w:rtl/>
        </w:rPr>
        <w:t xml:space="preserve">(ב"ד ש"א יט. מדה"ס ד"ה פגם) </w:t>
      </w:r>
      <w:r w:rsidRPr="00A938CC">
        <w:rPr>
          <w:rStyle w:val="affa"/>
          <w:rFonts w:hint="cs"/>
          <w:rtl/>
        </w:rPr>
        <w:t>והר"ן בחי'</w:t>
      </w:r>
      <w:r w:rsidRPr="00A37DF9">
        <w:rPr>
          <w:rStyle w:val="afa"/>
          <w:rFonts w:hint="cs"/>
          <w:rtl/>
        </w:rPr>
        <w:t xml:space="preserve"> </w:t>
      </w:r>
      <w:r w:rsidRPr="00A938CC">
        <w:rPr>
          <w:rStyle w:val="aff6"/>
          <w:rFonts w:hint="cs"/>
          <w:rtl/>
        </w:rPr>
        <w:t xml:space="preserve">(סו: ד"ה כל) </w:t>
      </w:r>
      <w:r w:rsidRPr="00A938CC">
        <w:rPr>
          <w:rStyle w:val="affa"/>
          <w:rFonts w:hint="cs"/>
          <w:rtl/>
        </w:rPr>
        <w:t>ועל הרי</w:t>
      </w:r>
      <w:r w:rsidRPr="00E84479">
        <w:rPr>
          <w:rStyle w:val="affa"/>
          <w:rFonts w:hint="cs"/>
          <w:rtl/>
        </w:rPr>
        <w:t>"ף</w:t>
      </w:r>
      <w:r w:rsidRPr="00A938CC">
        <w:rPr>
          <w:rStyle w:val="aff6"/>
          <w:rFonts w:hint="cs"/>
          <w:rtl/>
        </w:rPr>
        <w:t xml:space="preserve"> (סוף לב. מדפי הרי"ף ד"ה ודאמרינן, הובא לעיל סימן י"ב אות י"ג)</w:t>
      </w:r>
      <w:r>
        <w:rPr>
          <w:rStyle w:val="afa"/>
          <w:rFonts w:hint="cs"/>
          <w:rtl/>
        </w:rPr>
        <w:t xml:space="preserve"> דההיתר בנותן טעם לפגם, הוא בפגום במקצת, אף כשהאיסור והתערובת ראויים לגר.</w:t>
      </w:r>
    </w:p>
    <w:p w:rsidR="00651E3B" w:rsidRDefault="00651E3B" w:rsidP="00A82F1E">
      <w:pPr>
        <w:pStyle w:val="ae"/>
        <w:rPr>
          <w:rStyle w:val="afa"/>
          <w:rtl/>
        </w:rPr>
      </w:pPr>
      <w:r>
        <w:rPr>
          <w:rStyle w:val="afa"/>
          <w:rFonts w:hint="cs"/>
          <w:rtl/>
        </w:rPr>
        <w:t xml:space="preserve">אבל </w:t>
      </w:r>
      <w:r w:rsidRPr="00A938CC">
        <w:rPr>
          <w:rStyle w:val="affa"/>
          <w:rtl/>
        </w:rPr>
        <w:t>בפי' הראב"ד</w:t>
      </w:r>
      <w:r w:rsidRPr="00610B3F">
        <w:rPr>
          <w:rStyle w:val="afa"/>
          <w:rtl/>
        </w:rPr>
        <w:t xml:space="preserve">  </w:t>
      </w:r>
      <w:r w:rsidRPr="00A938CC">
        <w:rPr>
          <w:rStyle w:val="aff6"/>
          <w:rtl/>
        </w:rPr>
        <w:t>(סז: ד"ה אע"ג, הועתק בקובץ שיטות קמאי ע"ז ח"ב עמ' אלף תר"ל</w:t>
      </w:r>
      <w:r w:rsidRPr="00A938CC">
        <w:rPr>
          <w:rStyle w:val="aff6"/>
          <w:rFonts w:hint="cs"/>
          <w:rtl/>
        </w:rPr>
        <w:t xml:space="preserve">, הובא לעיל סימן י"ב אות ע"ג) </w:t>
      </w:r>
      <w:r>
        <w:rPr>
          <w:rStyle w:val="afa"/>
          <w:rFonts w:hint="cs"/>
          <w:rtl/>
        </w:rPr>
        <w:t>כתב דההיתר בנותן טעם לפגם, הוא רק כשתערובת אינה נאכלת, דאינה ראויה לגר.</w:t>
      </w:r>
    </w:p>
    <w:p w:rsidR="00651E3B" w:rsidRDefault="00651E3B" w:rsidP="00A82F1E">
      <w:pPr>
        <w:pStyle w:val="ae"/>
        <w:rPr>
          <w:rStyle w:val="afa"/>
          <w:rtl/>
        </w:rPr>
      </w:pPr>
      <w:r>
        <w:rPr>
          <w:rStyle w:val="afa"/>
          <w:rFonts w:hint="cs"/>
          <w:rtl/>
        </w:rPr>
        <w:t>וד</w:t>
      </w:r>
      <w:r w:rsidRPr="00A37DF9">
        <w:rPr>
          <w:rStyle w:val="afa"/>
          <w:rFonts w:hint="cs"/>
          <w:rtl/>
        </w:rPr>
        <w:t xml:space="preserve">עת </w:t>
      </w:r>
      <w:r w:rsidRPr="00A938CC">
        <w:rPr>
          <w:rStyle w:val="affa"/>
          <w:rFonts w:hint="cs"/>
          <w:rtl/>
        </w:rPr>
        <w:t>הרא"ה בבד"ה</w:t>
      </w:r>
      <w:r w:rsidRPr="00A37DF9">
        <w:rPr>
          <w:rStyle w:val="afa"/>
          <w:rFonts w:hint="cs"/>
          <w:rtl/>
        </w:rPr>
        <w:t xml:space="preserve"> </w:t>
      </w:r>
      <w:r w:rsidRPr="00A938CC">
        <w:rPr>
          <w:rStyle w:val="aff6"/>
          <w:rFonts w:hint="cs"/>
          <w:rtl/>
        </w:rPr>
        <w:t xml:space="preserve">(ב"ד ש"א יט: מדה"ס, הובא לעיל סימן י"ב אות פ"ב) </w:t>
      </w:r>
      <w:r w:rsidRPr="00A37DF9">
        <w:rPr>
          <w:rStyle w:val="afa"/>
          <w:rFonts w:hint="cs"/>
          <w:rtl/>
        </w:rPr>
        <w:t>ד</w:t>
      </w:r>
      <w:r>
        <w:rPr>
          <w:rStyle w:val="afa"/>
          <w:rFonts w:hint="cs"/>
          <w:rtl/>
        </w:rPr>
        <w:t xml:space="preserve">מדאו' </w:t>
      </w:r>
      <w:r w:rsidRPr="00A37DF9">
        <w:rPr>
          <w:rStyle w:val="afa"/>
          <w:rFonts w:hint="cs"/>
          <w:rtl/>
        </w:rPr>
        <w:t>ההיתר בנותן טעם לפגם, הוא רק במקום שהטעם עצמו נפגם לגמרי, אף שנאכל ע"י התערובת</w:t>
      </w:r>
      <w:r>
        <w:rPr>
          <w:rStyle w:val="afa"/>
          <w:rFonts w:hint="cs"/>
          <w:rtl/>
        </w:rPr>
        <w:t>, ובטעמו ולא ממשו, דאסור רק מדין טעם כעיקר דרבנן, הקילו להתיר בנותן טעם לפגם אף בפגום במקצת.</w:t>
      </w:r>
    </w:p>
    <w:p w:rsidR="00651E3B" w:rsidRPr="00E602A2" w:rsidRDefault="00651E3B" w:rsidP="00A82F1E">
      <w:pPr>
        <w:pStyle w:val="ae"/>
        <w:rPr>
          <w:rStyle w:val="afa"/>
          <w:rtl/>
        </w:rPr>
      </w:pPr>
    </w:p>
  </w:footnote>
  <w:footnote w:id="50">
    <w:p w:rsidR="00651E3B" w:rsidRPr="0038621C" w:rsidRDefault="00651E3B" w:rsidP="00A82F1E">
      <w:pPr>
        <w:pStyle w:val="ae"/>
        <w:rPr>
          <w:rtl/>
        </w:rPr>
      </w:pPr>
      <w:r w:rsidRPr="005D5B8A">
        <w:rPr>
          <w:rStyle w:val="af0"/>
        </w:rPr>
        <w:footnoteRef/>
      </w:r>
      <w:r w:rsidRPr="005D5B8A">
        <w:rPr>
          <w:rtl/>
        </w:rPr>
        <w:t xml:space="preserve"> וע"ע </w:t>
      </w:r>
      <w:r w:rsidRPr="005D5B8A">
        <w:rPr>
          <w:rStyle w:val="affa"/>
          <w:rtl/>
        </w:rPr>
        <w:t>בפסקי הרא"ה לחולין</w:t>
      </w:r>
      <w:r w:rsidRPr="005D5B8A">
        <w:rPr>
          <w:rtl/>
        </w:rPr>
        <w:t xml:space="preserve"> </w:t>
      </w:r>
      <w:r w:rsidRPr="005D5B8A">
        <w:rPr>
          <w:rStyle w:val="aff6"/>
          <w:rtl/>
        </w:rPr>
        <w:t xml:space="preserve">(אות ס', </w:t>
      </w:r>
      <w:r w:rsidRPr="005D5B8A">
        <w:rPr>
          <w:rStyle w:val="aff6"/>
          <w:rFonts w:hint="cs"/>
          <w:rtl/>
        </w:rPr>
        <w:t>נד' בסוף חי' הרא"ה</w:t>
      </w:r>
      <w:r w:rsidRPr="005D5B8A">
        <w:rPr>
          <w:rStyle w:val="aff6"/>
          <w:rtl/>
        </w:rPr>
        <w:t xml:space="preserve">) </w:t>
      </w:r>
      <w:r w:rsidRPr="005D5B8A">
        <w:rPr>
          <w:rtl/>
        </w:rPr>
        <w:t xml:space="preserve">דכתב דאיסור שמצד עצמו אינו פגום, ובתערובת הוא פגום, מותר אף שהוא ראוי לגר, דא"צ שכל התערובת תהיה לא ראויה לגר, אלא כיון שאם היה מעט היתר בתערובת לא היה האיסור ראוי לגר הוא מותר אעפ"י שבתערובת שלפנינו שיש הרבה היתר הוא ראוי לגר, והוסיף </w:t>
      </w:r>
      <w:r w:rsidRPr="005D5B8A">
        <w:rPr>
          <w:rStyle w:val="affa"/>
          <w:rtl/>
        </w:rPr>
        <w:t>בפסקי הרא"ה לחולין</w:t>
      </w:r>
      <w:r w:rsidRPr="005D5B8A">
        <w:rPr>
          <w:rtl/>
        </w:rPr>
        <w:t xml:space="preserve"> דלמ"ד דטעם כעיקר דרבנן, כל שיש בתערובת טע</w:t>
      </w:r>
      <w:r>
        <w:rPr>
          <w:rtl/>
        </w:rPr>
        <w:t>מו ולא ממשו, מותר בפגם כל שהוא.</w:t>
      </w:r>
    </w:p>
  </w:footnote>
  <w:footnote w:id="51">
    <w:p w:rsidR="00651E3B" w:rsidRDefault="00651E3B" w:rsidP="00A82F1E">
      <w:pPr>
        <w:pStyle w:val="ae"/>
        <w:rPr>
          <w:rtl/>
        </w:rPr>
      </w:pPr>
      <w:r>
        <w:rPr>
          <w:rStyle w:val="af0"/>
        </w:rPr>
        <w:footnoteRef/>
      </w:r>
      <w:r>
        <w:rPr>
          <w:rtl/>
        </w:rPr>
        <w:t xml:space="preserve"> </w:t>
      </w:r>
      <w:r w:rsidRPr="00E602A2">
        <w:rPr>
          <w:rStyle w:val="afa"/>
          <w:rtl/>
        </w:rPr>
        <w:t xml:space="preserve">ודחה </w:t>
      </w:r>
      <w:r w:rsidRPr="00342C65">
        <w:rPr>
          <w:rStyle w:val="affa"/>
          <w:rtl/>
        </w:rPr>
        <w:t xml:space="preserve">הרשב"א במשה"ב </w:t>
      </w:r>
      <w:r w:rsidRPr="00342C65">
        <w:rPr>
          <w:rStyle w:val="aff6"/>
          <w:rtl/>
        </w:rPr>
        <w:t>(ב"ד ש"א יט</w:t>
      </w:r>
      <w:r>
        <w:rPr>
          <w:rStyle w:val="aff6"/>
          <w:rFonts w:hint="cs"/>
          <w:rtl/>
        </w:rPr>
        <w:t xml:space="preserve">. </w:t>
      </w:r>
      <w:r w:rsidRPr="00342C65">
        <w:rPr>
          <w:rStyle w:val="aff6"/>
          <w:rtl/>
        </w:rPr>
        <w:t>מדה"ס)</w:t>
      </w:r>
      <w:r w:rsidRPr="00E602A2">
        <w:rPr>
          <w:rStyle w:val="afa"/>
          <w:rtl/>
        </w:rPr>
        <w:t xml:space="preserve"> דחומץ לתוך גריסין הוא טעמו וממשו</w:t>
      </w:r>
      <w:r>
        <w:rPr>
          <w:rStyle w:val="afa"/>
          <w:rFonts w:hint="cs"/>
          <w:rtl/>
        </w:rPr>
        <w:t>,</w:t>
      </w:r>
      <w:r w:rsidRPr="00E602A2">
        <w:rPr>
          <w:rStyle w:val="afa"/>
          <w:rtl/>
        </w:rPr>
        <w:t xml:space="preserve"> ואינו רק טעם</w:t>
      </w:r>
      <w:r>
        <w:rPr>
          <w:rStyle w:val="afa"/>
          <w:rFonts w:hint="cs"/>
          <w:rtl/>
        </w:rPr>
        <w:t>.</w:t>
      </w:r>
    </w:p>
  </w:footnote>
  <w:footnote w:id="52">
    <w:p w:rsidR="00651E3B" w:rsidRDefault="00651E3B" w:rsidP="00A82F1E">
      <w:pPr>
        <w:pStyle w:val="ae"/>
        <w:rPr>
          <w:rtl/>
        </w:rPr>
      </w:pPr>
      <w:r>
        <w:rPr>
          <w:rStyle w:val="af0"/>
        </w:rPr>
        <w:footnoteRef/>
      </w:r>
      <w:r>
        <w:rPr>
          <w:rtl/>
        </w:rPr>
        <w:t xml:space="preserve"> </w:t>
      </w:r>
      <w:r>
        <w:rPr>
          <w:rFonts w:hint="cs"/>
          <w:rtl/>
        </w:rPr>
        <w:t xml:space="preserve">וכתב </w:t>
      </w:r>
      <w:r w:rsidRPr="00457B07">
        <w:rPr>
          <w:rStyle w:val="affa"/>
          <w:rFonts w:hint="cs"/>
          <w:rtl/>
        </w:rPr>
        <w:t xml:space="preserve">הנוב"י </w:t>
      </w:r>
      <w:r w:rsidRPr="00457B07">
        <w:rPr>
          <w:rStyle w:val="aff6"/>
          <w:rFonts w:hint="cs"/>
          <w:rtl/>
        </w:rPr>
        <w:t>(מהדו"ק יו"ד סי' כ"ו ד"ה העולה מדברי)</w:t>
      </w:r>
      <w:r w:rsidRPr="00367B63">
        <w:rPr>
          <w:rStyle w:val="af6"/>
          <w:rFonts w:eastAsia="Guttman Hodes" w:hint="cs"/>
          <w:rtl/>
        </w:rPr>
        <w:t xml:space="preserve"> </w:t>
      </w:r>
      <w:r>
        <w:rPr>
          <w:rFonts w:hint="cs"/>
          <w:rtl/>
        </w:rPr>
        <w:t xml:space="preserve">דמבואר מדברי </w:t>
      </w:r>
      <w:r w:rsidRPr="00457B07">
        <w:rPr>
          <w:rStyle w:val="affa"/>
          <w:rFonts w:hint="cs"/>
          <w:rtl/>
        </w:rPr>
        <w:t>התוס' והמהרש"א</w:t>
      </w:r>
      <w:r>
        <w:rPr>
          <w:rFonts w:hint="cs"/>
          <w:rtl/>
        </w:rPr>
        <w:t>, דנבילה שסרוחה מעיקרא שלא חל עליה איסור מעולם, יותר מסתבר להתירה משאר טעם פגום, דאף בדבר שפגום מעיקרא, כבר חל עליו שם איסור לפני שהתערב בתבשיל.</w:t>
      </w:r>
    </w:p>
  </w:footnote>
  <w:footnote w:id="53">
    <w:p w:rsidR="00651E3B" w:rsidRDefault="00651E3B" w:rsidP="00A82F1E">
      <w:pPr>
        <w:pStyle w:val="ae"/>
        <w:rPr>
          <w:rtl/>
        </w:rPr>
      </w:pPr>
      <w:r>
        <w:rPr>
          <w:rStyle w:val="af0"/>
        </w:rPr>
        <w:footnoteRef/>
      </w:r>
      <w:r>
        <w:rPr>
          <w:rtl/>
        </w:rPr>
        <w:t xml:space="preserve"> </w:t>
      </w:r>
      <w:r>
        <w:rPr>
          <w:rFonts w:hint="cs"/>
          <w:rtl/>
        </w:rPr>
        <w:t xml:space="preserve">וכתב </w:t>
      </w:r>
      <w:r w:rsidRPr="00457B07">
        <w:rPr>
          <w:rStyle w:val="affa"/>
          <w:rFonts w:hint="cs"/>
          <w:rtl/>
        </w:rPr>
        <w:t xml:space="preserve">הנוב"י </w:t>
      </w:r>
      <w:r w:rsidRPr="00457B07">
        <w:rPr>
          <w:rStyle w:val="aff6"/>
          <w:rFonts w:hint="cs"/>
          <w:rtl/>
        </w:rPr>
        <w:t>(מהדו"ק יו"ד סי' כ"ו ד"ה העולה מדברי)</w:t>
      </w:r>
      <w:r w:rsidRPr="00367B63">
        <w:rPr>
          <w:rStyle w:val="af6"/>
          <w:rFonts w:eastAsia="Guttman Hodes" w:hint="cs"/>
          <w:rtl/>
        </w:rPr>
        <w:t xml:space="preserve"> </w:t>
      </w:r>
      <w:r>
        <w:rPr>
          <w:rFonts w:hint="cs"/>
          <w:rtl/>
        </w:rPr>
        <w:t xml:space="preserve">דמבואר מדברי </w:t>
      </w:r>
      <w:r w:rsidRPr="00457B07">
        <w:rPr>
          <w:rStyle w:val="affa"/>
          <w:rFonts w:hint="cs"/>
          <w:rtl/>
        </w:rPr>
        <w:t>התוס' והמהרש"א</w:t>
      </w:r>
      <w:r>
        <w:rPr>
          <w:rFonts w:hint="cs"/>
          <w:rtl/>
        </w:rPr>
        <w:t>, דבהשביח ולבסוף פגם, יותר מסתבר לאסור מאשר בשאר האופנים, ואף יותר מנבילה שהייתה משובחת ועכשיו אינה ראויה לגר, דאף שכבר חל עליה איסור נבילה, מ"מ היא נסרחה כשהיא נבילה, ולכן צריך להתירה אף כשהיא בעין, יותר מאשר להתיר תערובת בהשביח ולבסוף פגם.</w:t>
      </w:r>
    </w:p>
  </w:footnote>
  <w:footnote w:id="54">
    <w:p w:rsidR="00651E3B" w:rsidRDefault="00651E3B" w:rsidP="009F4CE3">
      <w:pPr>
        <w:pStyle w:val="ae"/>
        <w:rPr>
          <w:rtl/>
        </w:rPr>
      </w:pPr>
      <w:r>
        <w:rPr>
          <w:rStyle w:val="af0"/>
        </w:rPr>
        <w:footnoteRef/>
      </w:r>
      <w:r>
        <w:rPr>
          <w:rtl/>
        </w:rPr>
        <w:t xml:space="preserve"> </w:t>
      </w:r>
      <w:r w:rsidRPr="00360557">
        <w:rPr>
          <w:rtl/>
        </w:rPr>
        <w:t xml:space="preserve">וכתב </w:t>
      </w:r>
      <w:r w:rsidRPr="00360557">
        <w:rPr>
          <w:rStyle w:val="affa"/>
          <w:rtl/>
        </w:rPr>
        <w:t>החת"ס</w:t>
      </w:r>
      <w:r>
        <w:rPr>
          <w:rStyle w:val="affa"/>
          <w:rtl/>
        </w:rPr>
        <w:t xml:space="preserve"> </w:t>
      </w:r>
      <w:r w:rsidRPr="00360557">
        <w:rPr>
          <w:rStyle w:val="aff6"/>
          <w:rtl/>
        </w:rPr>
        <w:t>(סז. ד"ה ואינה נאכלת)</w:t>
      </w:r>
      <w:r w:rsidRPr="00360557">
        <w:rPr>
          <w:rtl/>
        </w:rPr>
        <w:t xml:space="preserve"> דאפשר ליישב את דעת </w:t>
      </w:r>
      <w:r w:rsidRPr="00360557">
        <w:rPr>
          <w:rStyle w:val="affa"/>
          <w:rtl/>
        </w:rPr>
        <w:t>הרשב"א</w:t>
      </w:r>
      <w:r w:rsidRPr="00360557">
        <w:rPr>
          <w:rtl/>
        </w:rPr>
        <w:t xml:space="preserve"> דס"ל </w:t>
      </w:r>
      <w:r w:rsidRPr="003F2492">
        <w:rPr>
          <w:rtl/>
        </w:rPr>
        <w:t xml:space="preserve">כדעת </w:t>
      </w:r>
      <w:r w:rsidRPr="003F2492">
        <w:rPr>
          <w:rStyle w:val="affa"/>
          <w:rtl/>
        </w:rPr>
        <w:t>הרמב"ם</w:t>
      </w:r>
      <w:r w:rsidRPr="003F2492">
        <w:rPr>
          <w:rtl/>
        </w:rPr>
        <w:t xml:space="preserve"> </w:t>
      </w:r>
      <w:r w:rsidRPr="003F2492">
        <w:rPr>
          <w:rStyle w:val="aff6"/>
          <w:rFonts w:hint="cs"/>
          <w:rtl/>
        </w:rPr>
        <w:t>(מאכ"א פי"ד הי</w:t>
      </w:r>
      <w:r>
        <w:rPr>
          <w:rStyle w:val="aff6"/>
          <w:rFonts w:hint="cs"/>
          <w:rtl/>
        </w:rPr>
        <w:t xml:space="preserve">"א, הובא לעיל סימן י"ג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Ref19034347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נג)</w:t>
      </w:r>
      <w:r>
        <w:rPr>
          <w:rStyle w:val="aff6"/>
          <w:rtl/>
        </w:rPr>
        <w:fldChar w:fldCharType="end"/>
      </w:r>
      <w:r>
        <w:rPr>
          <w:rStyle w:val="aff6"/>
          <w:rFonts w:hint="cs"/>
          <w:rtl/>
        </w:rPr>
        <w:t xml:space="preserve"> </w:t>
      </w:r>
      <w:r w:rsidRPr="003F2492">
        <w:rPr>
          <w:rFonts w:hint="cs"/>
          <w:rtl/>
        </w:rPr>
        <w:t xml:space="preserve"> </w:t>
      </w:r>
      <w:r w:rsidRPr="003F2492">
        <w:rPr>
          <w:rtl/>
        </w:rPr>
        <w:t>דההיתר בנותן טעם לפגם הוא מדין אכילה שלא כדרך הנאתו,</w:t>
      </w:r>
      <w:r w:rsidRPr="00360557">
        <w:rPr>
          <w:rtl/>
        </w:rPr>
        <w:t xml:space="preserve"> וא"כ הילפותא אינה מלשון הפסוק "לגר אשר בשעריך תתננה" אלא ילפינן לה מלשון "לא תאכל" דכל שאינו בדרך אכילה מותר. [ועיי"ש במה שביאר </w:t>
      </w:r>
      <w:r w:rsidRPr="00360557">
        <w:rPr>
          <w:rStyle w:val="affa"/>
          <w:rtl/>
        </w:rPr>
        <w:t>החת"ס</w:t>
      </w:r>
      <w:r w:rsidRPr="00360557">
        <w:rPr>
          <w:rtl/>
        </w:rPr>
        <w:t xml:space="preserve"> אמאי הוצרכה הגמ' להביא את הילפותא מאינה ראויה לגר].</w:t>
      </w:r>
    </w:p>
  </w:footnote>
  <w:footnote w:id="55">
    <w:p w:rsidR="00651E3B" w:rsidRDefault="00651E3B" w:rsidP="006C2032">
      <w:pPr>
        <w:pStyle w:val="ae"/>
      </w:pPr>
      <w:r>
        <w:rPr>
          <w:rStyle w:val="af0"/>
        </w:rPr>
        <w:footnoteRef/>
      </w:r>
      <w:r>
        <w:rPr>
          <w:rtl/>
        </w:rPr>
        <w:t xml:space="preserve"> </w:t>
      </w:r>
      <w:r w:rsidRPr="007277D5">
        <w:rPr>
          <w:rStyle w:val="afa"/>
          <w:rFonts w:hint="cs"/>
          <w:rtl/>
        </w:rPr>
        <w:t xml:space="preserve">וכתב </w:t>
      </w:r>
      <w:r w:rsidRPr="00013F54">
        <w:rPr>
          <w:rStyle w:val="affa"/>
          <w:rFonts w:hint="cs"/>
          <w:rtl/>
        </w:rPr>
        <w:t>החוו"ד</w:t>
      </w:r>
      <w:r w:rsidRPr="007277D5">
        <w:rPr>
          <w:rStyle w:val="afa"/>
          <w:rFonts w:hint="cs"/>
          <w:rtl/>
        </w:rPr>
        <w:t xml:space="preserve"> דכל מה שהאוכל בריה חייב עליה אף שהיא פוגמת את התערובת, זהו דוקא כיון שהאיסור מאוס מעיקרו ואפ"ה אסרתו תורה, אבל אם האיסור התקלקל ונפגם, אף אם נפגם במקצת, בטלה חשיבותו ואין לו דין בריה, ואף שלא נפגם לגמרי, והביא </w:t>
      </w:r>
      <w:r w:rsidRPr="00013F54">
        <w:rPr>
          <w:rStyle w:val="affa"/>
          <w:rFonts w:hint="cs"/>
          <w:rtl/>
        </w:rPr>
        <w:t>החוו"ד</w:t>
      </w:r>
      <w:r w:rsidRPr="007277D5">
        <w:rPr>
          <w:rStyle w:val="afa"/>
          <w:rFonts w:hint="cs"/>
          <w:rtl/>
        </w:rPr>
        <w:t xml:space="preserve"> דכן מבואר בדברי </w:t>
      </w:r>
      <w:r w:rsidRPr="00013F54">
        <w:rPr>
          <w:rStyle w:val="affa"/>
          <w:rFonts w:hint="cs"/>
          <w:rtl/>
        </w:rPr>
        <w:t>האיסור והיתר הארוך</w:t>
      </w:r>
      <w:r w:rsidRPr="007277D5">
        <w:rPr>
          <w:rStyle w:val="afa"/>
          <w:rFonts w:hint="cs"/>
          <w:rtl/>
        </w:rPr>
        <w:t xml:space="preserve"> </w:t>
      </w:r>
      <w:r w:rsidRPr="00013F54">
        <w:rPr>
          <w:rStyle w:val="aff6"/>
          <w:rFonts w:hint="cs"/>
          <w:rtl/>
        </w:rPr>
        <w:t>(כלל ל"ב ו')</w:t>
      </w:r>
      <w:r w:rsidRPr="007277D5">
        <w:rPr>
          <w:rStyle w:val="afa"/>
          <w:rFonts w:hint="cs"/>
          <w:rtl/>
        </w:rPr>
        <w:t xml:space="preserve"> דכתב דבריה כגון נמלה שהסריחה והתערבה בתערובת היא בטלה, ואף שכתב </w:t>
      </w:r>
      <w:r w:rsidRPr="00013F54">
        <w:rPr>
          <w:rStyle w:val="affa"/>
          <w:rFonts w:hint="cs"/>
          <w:rtl/>
        </w:rPr>
        <w:t>הרמב"ם</w:t>
      </w:r>
      <w:r w:rsidRPr="007277D5">
        <w:rPr>
          <w:rStyle w:val="afa"/>
          <w:rFonts w:hint="cs"/>
          <w:rtl/>
        </w:rPr>
        <w:t xml:space="preserve"> </w:t>
      </w:r>
      <w:r w:rsidRPr="00013F54">
        <w:rPr>
          <w:rStyle w:val="aff6"/>
          <w:rFonts w:hint="cs"/>
          <w:rtl/>
        </w:rPr>
        <w:t xml:space="preserve">(עי' אות </w:t>
      </w:r>
      <w:r w:rsidRPr="00013F54">
        <w:rPr>
          <w:rStyle w:val="aff6"/>
          <w:rtl/>
        </w:rPr>
        <w:fldChar w:fldCharType="begin"/>
      </w:r>
      <w:r w:rsidRPr="00013F54">
        <w:rPr>
          <w:rStyle w:val="aff6"/>
          <w:rtl/>
        </w:rPr>
        <w:instrText xml:space="preserve"> </w:instrText>
      </w:r>
      <w:r w:rsidRPr="00013F54">
        <w:rPr>
          <w:rStyle w:val="aff6"/>
          <w:rFonts w:hint="cs"/>
        </w:rPr>
        <w:instrText>REF</w:instrText>
      </w:r>
      <w:r w:rsidRPr="00013F54">
        <w:rPr>
          <w:rStyle w:val="aff6"/>
          <w:rFonts w:hint="cs"/>
          <w:rtl/>
        </w:rPr>
        <w:instrText xml:space="preserve"> _</w:instrText>
      </w:r>
      <w:r w:rsidRPr="00013F54">
        <w:rPr>
          <w:rStyle w:val="aff6"/>
          <w:rFonts w:hint="cs"/>
        </w:rPr>
        <w:instrText>Ref20128511 \r \h</w:instrText>
      </w:r>
      <w:r w:rsidRPr="00013F54">
        <w:rPr>
          <w:rStyle w:val="aff6"/>
          <w:rtl/>
        </w:rPr>
        <w:instrText xml:space="preserve"> </w:instrText>
      </w:r>
      <w:r w:rsidRPr="00013F54">
        <w:rPr>
          <w:rStyle w:val="aff6"/>
          <w:rtl/>
        </w:rPr>
      </w:r>
      <w:r w:rsidRPr="00013F54">
        <w:rPr>
          <w:rStyle w:val="aff6"/>
          <w:rtl/>
        </w:rPr>
        <w:fldChar w:fldCharType="separate"/>
      </w:r>
      <w:r>
        <w:rPr>
          <w:rStyle w:val="aff6"/>
          <w:cs/>
        </w:rPr>
        <w:t>‎</w:t>
      </w:r>
      <w:r>
        <w:rPr>
          <w:rStyle w:val="aff6"/>
          <w:rtl/>
        </w:rPr>
        <w:t>פח)</w:t>
      </w:r>
      <w:r w:rsidRPr="00013F54">
        <w:rPr>
          <w:rStyle w:val="aff6"/>
          <w:rtl/>
        </w:rPr>
        <w:fldChar w:fldCharType="end"/>
      </w:r>
      <w:r>
        <w:rPr>
          <w:rStyle w:val="afa"/>
          <w:rFonts w:hint="cs"/>
          <w:rtl/>
        </w:rPr>
        <w:t xml:space="preserve"> </w:t>
      </w:r>
      <w:r w:rsidRPr="007277D5">
        <w:rPr>
          <w:rStyle w:val="afa"/>
          <w:rFonts w:hint="cs"/>
          <w:rtl/>
        </w:rPr>
        <w:t xml:space="preserve">דלוקין עליה, זהו דוקא לענין לאוכלה, אבל לענין ביטול כתב האיסור והיתר הארוך דהיא בטלה, וכתב </w:t>
      </w:r>
      <w:r w:rsidRPr="00013F54">
        <w:rPr>
          <w:rStyle w:val="affa"/>
          <w:rFonts w:hint="cs"/>
          <w:rtl/>
        </w:rPr>
        <w:t>החוו"ד</w:t>
      </w:r>
      <w:r w:rsidRPr="007277D5">
        <w:rPr>
          <w:rStyle w:val="afa"/>
          <w:rFonts w:hint="cs"/>
          <w:rtl/>
        </w:rPr>
        <w:t xml:space="preserve"> דאם נפגמה לגמרי, אין לוקין אף על אכילתה וכדברי </w:t>
      </w:r>
      <w:r w:rsidRPr="00013F54">
        <w:rPr>
          <w:rStyle w:val="affa"/>
          <w:rFonts w:hint="cs"/>
          <w:rtl/>
        </w:rPr>
        <w:t>המ"מ</w:t>
      </w:r>
      <w:r>
        <w:rPr>
          <w:rFonts w:hint="cs"/>
          <w:rtl/>
        </w:rPr>
        <w:t xml:space="preserve"> </w:t>
      </w:r>
      <w:r w:rsidRPr="00013F54">
        <w:rPr>
          <w:rStyle w:val="aff6"/>
          <w:rFonts w:hint="cs"/>
          <w:rtl/>
        </w:rPr>
        <w:t xml:space="preserve">(עי' אות </w:t>
      </w:r>
      <w:r w:rsidRPr="00013F54">
        <w:rPr>
          <w:rStyle w:val="aff6"/>
          <w:rtl/>
        </w:rPr>
        <w:fldChar w:fldCharType="begin"/>
      </w:r>
      <w:r w:rsidRPr="00013F54">
        <w:rPr>
          <w:rStyle w:val="aff6"/>
          <w:rtl/>
        </w:rPr>
        <w:instrText xml:space="preserve"> </w:instrText>
      </w:r>
      <w:r w:rsidRPr="00013F54">
        <w:rPr>
          <w:rStyle w:val="aff6"/>
          <w:rFonts w:hint="cs"/>
        </w:rPr>
        <w:instrText>REF</w:instrText>
      </w:r>
      <w:r w:rsidRPr="00013F54">
        <w:rPr>
          <w:rStyle w:val="aff6"/>
          <w:rFonts w:hint="cs"/>
          <w:rtl/>
        </w:rPr>
        <w:instrText xml:space="preserve"> _</w:instrText>
      </w:r>
      <w:r w:rsidRPr="00013F54">
        <w:rPr>
          <w:rStyle w:val="aff6"/>
          <w:rFonts w:hint="cs"/>
        </w:rPr>
        <w:instrText>Ref20128517 \r \h</w:instrText>
      </w:r>
      <w:r w:rsidRPr="00013F54">
        <w:rPr>
          <w:rStyle w:val="aff6"/>
          <w:rtl/>
        </w:rPr>
        <w:instrText xml:space="preserve"> </w:instrText>
      </w:r>
      <w:r w:rsidRPr="00013F54">
        <w:rPr>
          <w:rStyle w:val="aff6"/>
          <w:rtl/>
        </w:rPr>
      </w:r>
      <w:r w:rsidRPr="00013F54">
        <w:rPr>
          <w:rStyle w:val="aff6"/>
          <w:rtl/>
        </w:rPr>
        <w:fldChar w:fldCharType="separate"/>
      </w:r>
      <w:r>
        <w:rPr>
          <w:rStyle w:val="aff6"/>
          <w:cs/>
        </w:rPr>
        <w:t>‎</w:t>
      </w:r>
      <w:r>
        <w:rPr>
          <w:rStyle w:val="aff6"/>
          <w:rtl/>
        </w:rPr>
        <w:t>פט)</w:t>
      </w:r>
      <w:r w:rsidRPr="00013F54">
        <w:rPr>
          <w:rStyle w:val="aff6"/>
          <w:rtl/>
        </w:rPr>
        <w:fldChar w:fldCharType="end"/>
      </w:r>
      <w:r>
        <w:rPr>
          <w:rFonts w:hint="cs"/>
          <w:rtl/>
        </w:rPr>
        <w:t>.</w:t>
      </w:r>
    </w:p>
  </w:footnote>
  <w:footnote w:id="56">
    <w:p w:rsidR="00651E3B" w:rsidRDefault="00651E3B" w:rsidP="00D45705">
      <w:pPr>
        <w:pStyle w:val="ae"/>
        <w:rPr>
          <w:rtl/>
        </w:rPr>
      </w:pPr>
      <w:r>
        <w:rPr>
          <w:rStyle w:val="af0"/>
        </w:rPr>
        <w:footnoteRef/>
      </w:r>
      <w:r>
        <w:rPr>
          <w:rtl/>
        </w:rPr>
        <w:t xml:space="preserve"> </w:t>
      </w:r>
      <w:r>
        <w:rPr>
          <w:rFonts w:hint="cs"/>
          <w:rtl/>
        </w:rPr>
        <w:t xml:space="preserve">יעוי' בדברי </w:t>
      </w:r>
      <w:r w:rsidRPr="00470BE1">
        <w:rPr>
          <w:rStyle w:val="affa"/>
          <w:rFonts w:hint="cs"/>
          <w:rtl/>
        </w:rPr>
        <w:t>הרמב"</w:t>
      </w:r>
      <w:r w:rsidRPr="00715A0F">
        <w:rPr>
          <w:rStyle w:val="affa"/>
          <w:rFonts w:hint="cs"/>
          <w:rtl/>
        </w:rPr>
        <w:t xml:space="preserve">ן </w:t>
      </w:r>
      <w:r w:rsidRPr="00470BE1">
        <w:rPr>
          <w:rStyle w:val="aff6"/>
          <w:rFonts w:hint="cs"/>
          <w:rtl/>
        </w:rPr>
        <w:t xml:space="preserve">(עי' אות </w:t>
      </w:r>
      <w:r w:rsidRPr="00470BE1">
        <w:rPr>
          <w:rStyle w:val="aff6"/>
          <w:rtl/>
        </w:rPr>
        <w:fldChar w:fldCharType="begin"/>
      </w:r>
      <w:r w:rsidRPr="00470BE1">
        <w:rPr>
          <w:rStyle w:val="aff6"/>
          <w:rtl/>
        </w:rPr>
        <w:instrText xml:space="preserve"> </w:instrText>
      </w:r>
      <w:r w:rsidRPr="00470BE1">
        <w:rPr>
          <w:rStyle w:val="aff6"/>
          <w:rFonts w:hint="cs"/>
        </w:rPr>
        <w:instrText>REF</w:instrText>
      </w:r>
      <w:r w:rsidRPr="00470BE1">
        <w:rPr>
          <w:rStyle w:val="aff6"/>
          <w:rFonts w:hint="cs"/>
          <w:rtl/>
        </w:rPr>
        <w:instrText xml:space="preserve"> _</w:instrText>
      </w:r>
      <w:r w:rsidRPr="00470BE1">
        <w:rPr>
          <w:rStyle w:val="aff6"/>
          <w:rFonts w:hint="cs"/>
        </w:rPr>
        <w:instrText>Ref20904531 \r \h</w:instrText>
      </w:r>
      <w:r w:rsidRPr="00470BE1">
        <w:rPr>
          <w:rStyle w:val="aff6"/>
          <w:rtl/>
        </w:rPr>
        <w:instrText xml:space="preserve"> </w:instrText>
      </w:r>
      <w:r w:rsidRPr="00470BE1">
        <w:rPr>
          <w:rStyle w:val="aff6"/>
          <w:rtl/>
        </w:rPr>
      </w:r>
      <w:r w:rsidRPr="00470BE1">
        <w:rPr>
          <w:rStyle w:val="aff6"/>
          <w:rtl/>
        </w:rPr>
        <w:fldChar w:fldCharType="separate"/>
      </w:r>
      <w:r>
        <w:rPr>
          <w:rStyle w:val="aff6"/>
          <w:cs/>
        </w:rPr>
        <w:t>‎</w:t>
      </w:r>
      <w:r>
        <w:rPr>
          <w:rStyle w:val="aff6"/>
          <w:rtl/>
        </w:rPr>
        <w:t>יד)</w:t>
      </w:r>
      <w:r w:rsidRPr="00470BE1">
        <w:rPr>
          <w:rStyle w:val="aff6"/>
          <w:rtl/>
        </w:rPr>
        <w:fldChar w:fldCharType="end"/>
      </w:r>
      <w:r>
        <w:rPr>
          <w:rStyle w:val="affa"/>
          <w:rFonts w:hint="cs"/>
          <w:rtl/>
        </w:rPr>
        <w:t xml:space="preserve"> ו</w:t>
      </w:r>
      <w:r w:rsidRPr="00470BE1">
        <w:rPr>
          <w:rStyle w:val="affa"/>
          <w:rFonts w:hint="cs"/>
          <w:rtl/>
        </w:rPr>
        <w:t>הרשב"א</w:t>
      </w:r>
      <w:r>
        <w:rPr>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Ref23409765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יד)</w:t>
      </w:r>
      <w:r>
        <w:rPr>
          <w:rStyle w:val="aff6"/>
          <w:rtl/>
        </w:rPr>
        <w:fldChar w:fldCharType="end"/>
      </w:r>
      <w:r>
        <w:rPr>
          <w:rStyle w:val="aff6"/>
          <w:rFonts w:hint="cs"/>
          <w:rtl/>
        </w:rPr>
        <w:t xml:space="preserve"> </w:t>
      </w:r>
      <w:r>
        <w:rPr>
          <w:rFonts w:hint="cs"/>
          <w:rtl/>
        </w:rPr>
        <w:t xml:space="preserve">דהביאו בשם </w:t>
      </w:r>
      <w:r w:rsidRPr="00470BE1">
        <w:rPr>
          <w:rStyle w:val="affa"/>
          <w:rFonts w:hint="cs"/>
          <w:rtl/>
        </w:rPr>
        <w:t>הר"א אב"ד</w:t>
      </w:r>
      <w:r>
        <w:rPr>
          <w:rFonts w:hint="cs"/>
          <w:rtl/>
        </w:rPr>
        <w:t xml:space="preserve"> דאף ביבש ביבש צריך שישים מדרבנן, אך הביאו </w:t>
      </w:r>
      <w:r w:rsidRPr="00470BE1">
        <w:rPr>
          <w:rStyle w:val="affa"/>
          <w:rFonts w:hint="cs"/>
          <w:rtl/>
        </w:rPr>
        <w:t>הרמב"</w:t>
      </w:r>
      <w:r w:rsidRPr="00715A0F">
        <w:rPr>
          <w:rStyle w:val="affa"/>
          <w:rFonts w:hint="cs"/>
          <w:rtl/>
        </w:rPr>
        <w:t xml:space="preserve">ן </w:t>
      </w:r>
      <w:r>
        <w:rPr>
          <w:rStyle w:val="affa"/>
          <w:rFonts w:hint="cs"/>
          <w:rtl/>
        </w:rPr>
        <w:t>ו</w:t>
      </w:r>
      <w:r w:rsidRPr="000F6FFD">
        <w:rPr>
          <w:rStyle w:val="affa"/>
          <w:rFonts w:hint="cs"/>
          <w:rtl/>
        </w:rPr>
        <w:t>הרשב"א</w:t>
      </w:r>
      <w:r>
        <w:rPr>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Ref22638180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יא)</w:t>
      </w:r>
      <w:r>
        <w:rPr>
          <w:rStyle w:val="aff6"/>
          <w:rtl/>
        </w:rPr>
        <w:fldChar w:fldCharType="end"/>
      </w:r>
      <w:r>
        <w:rPr>
          <w:rStyle w:val="aff6"/>
          <w:rFonts w:hint="cs"/>
          <w:rtl/>
        </w:rPr>
        <w:t xml:space="preserve"> </w:t>
      </w:r>
      <w:r>
        <w:rPr>
          <w:rFonts w:hint="cs"/>
          <w:rtl/>
        </w:rPr>
        <w:t xml:space="preserve">את דברי </w:t>
      </w:r>
      <w:r w:rsidRPr="000F6FFD">
        <w:rPr>
          <w:rStyle w:val="affa"/>
          <w:rFonts w:hint="cs"/>
          <w:rtl/>
        </w:rPr>
        <w:t>הראב"ד באיסור משהו</w:t>
      </w:r>
      <w:r>
        <w:rPr>
          <w:rFonts w:hint="cs"/>
          <w:rtl/>
        </w:rPr>
        <w:t xml:space="preserve"> </w:t>
      </w:r>
      <w:r w:rsidRPr="00470BE1">
        <w:rPr>
          <w:rStyle w:val="aff6"/>
          <w:rFonts w:hint="cs"/>
          <w:rtl/>
        </w:rPr>
        <w:t xml:space="preserve">(עי' אות </w:t>
      </w:r>
      <w:r w:rsidRPr="00470BE1">
        <w:rPr>
          <w:rStyle w:val="aff6"/>
          <w:rtl/>
        </w:rPr>
        <w:fldChar w:fldCharType="begin"/>
      </w:r>
      <w:r w:rsidRPr="00470BE1">
        <w:rPr>
          <w:rStyle w:val="aff6"/>
          <w:rtl/>
        </w:rPr>
        <w:instrText xml:space="preserve"> </w:instrText>
      </w:r>
      <w:r w:rsidRPr="00470BE1">
        <w:rPr>
          <w:rStyle w:val="aff6"/>
          <w:rFonts w:hint="cs"/>
        </w:rPr>
        <w:instrText>REF</w:instrText>
      </w:r>
      <w:r w:rsidRPr="00470BE1">
        <w:rPr>
          <w:rStyle w:val="aff6"/>
          <w:rFonts w:hint="cs"/>
          <w:rtl/>
        </w:rPr>
        <w:instrText xml:space="preserve"> _</w:instrText>
      </w:r>
      <w:r w:rsidRPr="00470BE1">
        <w:rPr>
          <w:rStyle w:val="aff6"/>
          <w:rFonts w:hint="cs"/>
        </w:rPr>
        <w:instrText>Ref20600133 \r \h</w:instrText>
      </w:r>
      <w:r w:rsidRPr="00470BE1">
        <w:rPr>
          <w:rStyle w:val="aff6"/>
          <w:rtl/>
        </w:rPr>
        <w:instrText xml:space="preserve"> </w:instrText>
      </w:r>
      <w:r w:rsidRPr="00470BE1">
        <w:rPr>
          <w:rStyle w:val="aff6"/>
          <w:rtl/>
        </w:rPr>
      </w:r>
      <w:r w:rsidRPr="00470BE1">
        <w:rPr>
          <w:rStyle w:val="aff6"/>
          <w:rtl/>
        </w:rPr>
        <w:fldChar w:fldCharType="separate"/>
      </w:r>
      <w:r>
        <w:rPr>
          <w:rStyle w:val="aff6"/>
          <w:cs/>
        </w:rPr>
        <w:t>‎</w:t>
      </w:r>
      <w:r>
        <w:rPr>
          <w:rStyle w:val="aff6"/>
          <w:rtl/>
        </w:rPr>
        <w:t>מב)</w:t>
      </w:r>
      <w:r w:rsidRPr="00470BE1">
        <w:rPr>
          <w:rStyle w:val="aff6"/>
          <w:rtl/>
        </w:rPr>
        <w:fldChar w:fldCharType="end"/>
      </w:r>
      <w:r>
        <w:rPr>
          <w:rFonts w:hint="cs"/>
          <w:rtl/>
        </w:rPr>
        <w:t xml:space="preserve"> דפליג על </w:t>
      </w:r>
      <w:r w:rsidRPr="004A3287">
        <w:rPr>
          <w:rStyle w:val="affa"/>
          <w:rFonts w:hint="cs"/>
          <w:rtl/>
        </w:rPr>
        <w:t>הר"א אב"ד</w:t>
      </w:r>
      <w:r>
        <w:rPr>
          <w:rFonts w:hint="cs"/>
          <w:rtl/>
        </w:rPr>
        <w:t xml:space="preserve"> וכתב דביבש ביבש אף מדרבנן א"צ שישים, וכ"כ </w:t>
      </w:r>
      <w:r w:rsidRPr="00470BE1">
        <w:rPr>
          <w:rStyle w:val="affa"/>
          <w:rFonts w:hint="cs"/>
          <w:rtl/>
        </w:rPr>
        <w:t>הראב"ד</w:t>
      </w:r>
      <w:r>
        <w:rPr>
          <w:rFonts w:hint="cs"/>
          <w:rtl/>
        </w:rPr>
        <w:t xml:space="preserve"> </w:t>
      </w:r>
      <w:r w:rsidRPr="00470BE1">
        <w:rPr>
          <w:rStyle w:val="affa"/>
          <w:rFonts w:hint="cs"/>
          <w:rtl/>
        </w:rPr>
        <w:t>בהשג' על הבעה"מ</w:t>
      </w:r>
      <w:r>
        <w:rPr>
          <w:rFonts w:hint="cs"/>
          <w:rtl/>
        </w:rPr>
        <w:t xml:space="preserve"> </w:t>
      </w:r>
      <w:r w:rsidRPr="00470BE1">
        <w:rPr>
          <w:rStyle w:val="affa"/>
          <w:rFonts w:hint="cs"/>
          <w:rtl/>
        </w:rPr>
        <w:t>בפסחים</w:t>
      </w:r>
      <w:r>
        <w:rPr>
          <w:rStyle w:val="affa"/>
          <w:rFonts w:hint="cs"/>
          <w:rtl/>
        </w:rPr>
        <w:t xml:space="preserve"> </w:t>
      </w:r>
      <w:r w:rsidRPr="00470BE1">
        <w:rPr>
          <w:rStyle w:val="aff6"/>
          <w:rFonts w:hint="cs"/>
          <w:rtl/>
        </w:rPr>
        <w:t xml:space="preserve">(עי' אות </w:t>
      </w:r>
      <w:r w:rsidRPr="00470BE1">
        <w:rPr>
          <w:rStyle w:val="aff6"/>
          <w:rtl/>
        </w:rPr>
        <w:fldChar w:fldCharType="begin"/>
      </w:r>
      <w:r w:rsidRPr="00470BE1">
        <w:rPr>
          <w:rStyle w:val="aff6"/>
          <w:rtl/>
        </w:rPr>
        <w:instrText xml:space="preserve"> </w:instrText>
      </w:r>
      <w:r w:rsidRPr="00470BE1">
        <w:rPr>
          <w:rStyle w:val="aff6"/>
          <w:rFonts w:hint="cs"/>
        </w:rPr>
        <w:instrText>REF</w:instrText>
      </w:r>
      <w:r w:rsidRPr="00470BE1">
        <w:rPr>
          <w:rStyle w:val="aff6"/>
          <w:rFonts w:hint="cs"/>
          <w:rtl/>
        </w:rPr>
        <w:instrText xml:space="preserve"> _</w:instrText>
      </w:r>
      <w:r w:rsidRPr="00470BE1">
        <w:rPr>
          <w:rStyle w:val="aff6"/>
          <w:rFonts w:hint="cs"/>
        </w:rPr>
        <w:instrText>Ref20600133 \r \h</w:instrText>
      </w:r>
      <w:r w:rsidRPr="00470BE1">
        <w:rPr>
          <w:rStyle w:val="aff6"/>
          <w:rtl/>
        </w:rPr>
        <w:instrText xml:space="preserve"> </w:instrText>
      </w:r>
      <w:r w:rsidRPr="00470BE1">
        <w:rPr>
          <w:rStyle w:val="aff6"/>
          <w:rtl/>
        </w:rPr>
      </w:r>
      <w:r w:rsidRPr="00470BE1">
        <w:rPr>
          <w:rStyle w:val="aff6"/>
          <w:rtl/>
        </w:rPr>
        <w:fldChar w:fldCharType="separate"/>
      </w:r>
      <w:r>
        <w:rPr>
          <w:rStyle w:val="aff6"/>
          <w:cs/>
        </w:rPr>
        <w:t>‎</w:t>
      </w:r>
      <w:r>
        <w:rPr>
          <w:rStyle w:val="aff6"/>
          <w:rtl/>
        </w:rPr>
        <w:t>מב)</w:t>
      </w:r>
      <w:r w:rsidRPr="00470BE1">
        <w:rPr>
          <w:rStyle w:val="aff6"/>
          <w:rtl/>
        </w:rPr>
        <w:fldChar w:fldCharType="end"/>
      </w:r>
      <w:r>
        <w:rPr>
          <w:rFonts w:hint="cs"/>
          <w:rtl/>
        </w:rPr>
        <w:t>.</w:t>
      </w:r>
    </w:p>
    <w:p w:rsidR="00651E3B" w:rsidRDefault="00651E3B" w:rsidP="009F44AF">
      <w:pPr>
        <w:pStyle w:val="af9"/>
      </w:pPr>
      <w:r>
        <w:rPr>
          <w:rFonts w:hint="cs"/>
          <w:rtl/>
        </w:rPr>
        <w:t>אמנם</w:t>
      </w:r>
      <w:r w:rsidRPr="00414A5E">
        <w:rPr>
          <w:rStyle w:val="affa"/>
          <w:rFonts w:hint="cs"/>
          <w:rtl/>
        </w:rPr>
        <w:t xml:space="preserve"> הר"ן</w:t>
      </w:r>
      <w:r>
        <w:rPr>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Ref23409765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יד)</w:t>
      </w:r>
      <w:r>
        <w:rPr>
          <w:rStyle w:val="aff6"/>
          <w:rtl/>
        </w:rPr>
        <w:fldChar w:fldCharType="end"/>
      </w:r>
      <w:r>
        <w:rPr>
          <w:rStyle w:val="aff6"/>
          <w:rFonts w:hint="cs"/>
          <w:rtl/>
        </w:rPr>
        <w:t xml:space="preserve"> </w:t>
      </w:r>
      <w:r>
        <w:rPr>
          <w:rFonts w:hint="cs"/>
          <w:rtl/>
        </w:rPr>
        <w:t xml:space="preserve">כתב בשם </w:t>
      </w:r>
      <w:r w:rsidRPr="00414A5E">
        <w:rPr>
          <w:rStyle w:val="affa"/>
          <w:rFonts w:hint="cs"/>
          <w:rtl/>
        </w:rPr>
        <w:t>הראב"ד</w:t>
      </w:r>
      <w:r w:rsidRPr="00390B7E">
        <w:rPr>
          <w:rFonts w:hint="cs"/>
          <w:rtl/>
        </w:rPr>
        <w:t xml:space="preserve"> </w:t>
      </w:r>
      <w:r>
        <w:rPr>
          <w:rFonts w:hint="cs"/>
          <w:rtl/>
        </w:rPr>
        <w:t>דאף ביבש ביבש צריך שישים מדרבנן,</w:t>
      </w:r>
      <w:r>
        <w:rPr>
          <w:rStyle w:val="affa"/>
          <w:rFonts w:hint="cs"/>
          <w:rtl/>
        </w:rPr>
        <w:t xml:space="preserve"> ו</w:t>
      </w:r>
      <w:r w:rsidRPr="00414A5E">
        <w:rPr>
          <w:rStyle w:val="affa"/>
          <w:rFonts w:hint="cs"/>
          <w:rtl/>
        </w:rPr>
        <w:t>הרשב"א בתשו'</w:t>
      </w:r>
      <w:r>
        <w:rPr>
          <w:rFonts w:hint="cs"/>
          <w:rtl/>
        </w:rPr>
        <w:t xml:space="preserve"> </w:t>
      </w:r>
      <w:r w:rsidRPr="000F3B6A">
        <w:rPr>
          <w:rStyle w:val="aff6"/>
          <w:rFonts w:hint="cs"/>
          <w:rtl/>
        </w:rPr>
        <w:t>(ח"א סי' נ"ג ד"ה עוד כתבתי)</w:t>
      </w:r>
      <w:r>
        <w:rPr>
          <w:rFonts w:hint="cs"/>
          <w:rtl/>
        </w:rPr>
        <w:t xml:space="preserve"> כתב להדיא דגם רבי </w:t>
      </w:r>
      <w:r w:rsidRPr="00414A5E">
        <w:rPr>
          <w:rStyle w:val="affa"/>
          <w:rFonts w:hint="cs"/>
          <w:rtl/>
        </w:rPr>
        <w:t>אברהם אב"ד</w:t>
      </w:r>
      <w:r>
        <w:rPr>
          <w:rFonts w:hint="cs"/>
          <w:rtl/>
        </w:rPr>
        <w:t xml:space="preserve"> וגם </w:t>
      </w:r>
      <w:r w:rsidRPr="00414A5E">
        <w:rPr>
          <w:rStyle w:val="affa"/>
          <w:rFonts w:hint="cs"/>
          <w:rtl/>
        </w:rPr>
        <w:t>הראב"ד</w:t>
      </w:r>
      <w:r>
        <w:rPr>
          <w:rFonts w:hint="cs"/>
          <w:rtl/>
        </w:rPr>
        <w:t xml:space="preserve"> ס"ל דאף ביבש ביבש צריך שישים, ולא מהני ביטול בחד בתרי, דאין חילוק בין איסור יבש לאיסור בלול. [ודברי </w:t>
      </w:r>
      <w:r w:rsidRPr="00414A5E">
        <w:rPr>
          <w:rStyle w:val="affa"/>
          <w:rFonts w:hint="cs"/>
          <w:rtl/>
        </w:rPr>
        <w:t>הרשב"</w:t>
      </w:r>
      <w:r>
        <w:rPr>
          <w:rFonts w:hint="cs"/>
          <w:rtl/>
        </w:rPr>
        <w:t>א</w:t>
      </w:r>
      <w:r w:rsidRPr="004A3287">
        <w:rPr>
          <w:rStyle w:val="affa"/>
          <w:rFonts w:hint="cs"/>
          <w:rtl/>
        </w:rPr>
        <w:t xml:space="preserve"> בתשו'</w:t>
      </w:r>
      <w:r>
        <w:rPr>
          <w:rFonts w:hint="cs"/>
          <w:rtl/>
        </w:rPr>
        <w:t xml:space="preserve"> סותרים לדברי </w:t>
      </w:r>
      <w:r w:rsidRPr="00414A5E">
        <w:rPr>
          <w:rStyle w:val="affa"/>
          <w:rFonts w:hint="cs"/>
          <w:rtl/>
        </w:rPr>
        <w:t>הרשב"א בחי'</w:t>
      </w:r>
      <w:r>
        <w:rPr>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Ref23409765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יד)</w:t>
      </w:r>
      <w:r>
        <w:rPr>
          <w:rStyle w:val="aff6"/>
          <w:rtl/>
        </w:rPr>
        <w:fldChar w:fldCharType="end"/>
      </w:r>
      <w:r>
        <w:rPr>
          <w:rStyle w:val="aff6"/>
          <w:rFonts w:hint="cs"/>
          <w:rtl/>
        </w:rPr>
        <w:t xml:space="preserve"> </w:t>
      </w:r>
      <w:r>
        <w:rPr>
          <w:rFonts w:hint="cs"/>
          <w:rtl/>
        </w:rPr>
        <w:t xml:space="preserve">דכתב בשם </w:t>
      </w:r>
      <w:r w:rsidRPr="00414A5E">
        <w:rPr>
          <w:rStyle w:val="affa"/>
          <w:rFonts w:hint="cs"/>
          <w:rtl/>
        </w:rPr>
        <w:t>הראב"ד באיסור משהו</w:t>
      </w:r>
      <w:r>
        <w:rPr>
          <w:rFonts w:hint="cs"/>
          <w:rtl/>
        </w:rPr>
        <w:t xml:space="preserve"> </w:t>
      </w:r>
      <w:r w:rsidRPr="00470BE1">
        <w:rPr>
          <w:rStyle w:val="aff6"/>
          <w:rFonts w:hint="cs"/>
          <w:rtl/>
        </w:rPr>
        <w:t xml:space="preserve">(עי' אות </w:t>
      </w:r>
      <w:r w:rsidRPr="00470BE1">
        <w:rPr>
          <w:rStyle w:val="aff6"/>
          <w:rtl/>
        </w:rPr>
        <w:fldChar w:fldCharType="begin"/>
      </w:r>
      <w:r w:rsidRPr="00470BE1">
        <w:rPr>
          <w:rStyle w:val="aff6"/>
          <w:rtl/>
        </w:rPr>
        <w:instrText xml:space="preserve"> </w:instrText>
      </w:r>
      <w:r w:rsidRPr="00470BE1">
        <w:rPr>
          <w:rStyle w:val="aff6"/>
          <w:rFonts w:hint="cs"/>
        </w:rPr>
        <w:instrText>REF</w:instrText>
      </w:r>
      <w:r w:rsidRPr="00470BE1">
        <w:rPr>
          <w:rStyle w:val="aff6"/>
          <w:rFonts w:hint="cs"/>
          <w:rtl/>
        </w:rPr>
        <w:instrText xml:space="preserve"> _</w:instrText>
      </w:r>
      <w:r w:rsidRPr="00470BE1">
        <w:rPr>
          <w:rStyle w:val="aff6"/>
          <w:rFonts w:hint="cs"/>
        </w:rPr>
        <w:instrText>Ref20600133 \r \h</w:instrText>
      </w:r>
      <w:r w:rsidRPr="00470BE1">
        <w:rPr>
          <w:rStyle w:val="aff6"/>
          <w:rtl/>
        </w:rPr>
        <w:instrText xml:space="preserve"> </w:instrText>
      </w:r>
      <w:r w:rsidRPr="00470BE1">
        <w:rPr>
          <w:rStyle w:val="aff6"/>
          <w:rtl/>
        </w:rPr>
      </w:r>
      <w:r w:rsidRPr="00470BE1">
        <w:rPr>
          <w:rStyle w:val="aff6"/>
          <w:rtl/>
        </w:rPr>
        <w:fldChar w:fldCharType="separate"/>
      </w:r>
      <w:r>
        <w:rPr>
          <w:rStyle w:val="aff6"/>
          <w:cs/>
        </w:rPr>
        <w:t>‎</w:t>
      </w:r>
      <w:r>
        <w:rPr>
          <w:rStyle w:val="aff6"/>
          <w:rtl/>
        </w:rPr>
        <w:t>מב)</w:t>
      </w:r>
      <w:r w:rsidRPr="00470BE1">
        <w:rPr>
          <w:rStyle w:val="aff6"/>
          <w:rtl/>
        </w:rPr>
        <w:fldChar w:fldCharType="end"/>
      </w:r>
      <w:r>
        <w:rPr>
          <w:rStyle w:val="aff6"/>
          <w:rFonts w:hint="cs"/>
          <w:rtl/>
        </w:rPr>
        <w:t xml:space="preserve"> </w:t>
      </w:r>
      <w:r>
        <w:rPr>
          <w:rFonts w:hint="cs"/>
          <w:rtl/>
        </w:rPr>
        <w:t xml:space="preserve">דפליג על </w:t>
      </w:r>
      <w:r w:rsidRPr="004A3287">
        <w:rPr>
          <w:rStyle w:val="affa"/>
          <w:rFonts w:hint="cs"/>
          <w:rtl/>
        </w:rPr>
        <w:t>הר"א אב"ד</w:t>
      </w:r>
      <w:r>
        <w:rPr>
          <w:rFonts w:hint="cs"/>
          <w:rtl/>
        </w:rPr>
        <w:t xml:space="preserve"> וס"ל דמהני ביטול בחד בתרי].</w:t>
      </w:r>
    </w:p>
  </w:footnote>
  <w:footnote w:id="57">
    <w:p w:rsidR="00651E3B" w:rsidRDefault="00651E3B" w:rsidP="00D45705">
      <w:pPr>
        <w:pStyle w:val="ae"/>
        <w:rPr>
          <w:rtl/>
        </w:rPr>
      </w:pPr>
      <w:r>
        <w:rPr>
          <w:rStyle w:val="af0"/>
        </w:rPr>
        <w:footnoteRef/>
      </w:r>
      <w:r>
        <w:rPr>
          <w:rtl/>
        </w:rPr>
        <w:t xml:space="preserve"> </w:t>
      </w:r>
      <w:r>
        <w:rPr>
          <w:rStyle w:val="afa"/>
          <w:rFonts w:hint="cs"/>
          <w:rtl/>
        </w:rPr>
        <w:t>ואעפ"י דפסקו</w:t>
      </w:r>
      <w:r>
        <w:rPr>
          <w:rStyle w:val="affa"/>
          <w:rFonts w:hint="cs"/>
          <w:rtl/>
        </w:rPr>
        <w:t xml:space="preserve"> </w:t>
      </w:r>
      <w:r w:rsidRPr="00FC5311">
        <w:rPr>
          <w:rStyle w:val="affa"/>
          <w:rFonts w:hint="cs"/>
          <w:rtl/>
        </w:rPr>
        <w:t>הרא"ה בבד"ה</w:t>
      </w:r>
      <w:r w:rsidRPr="00FC5311">
        <w:rPr>
          <w:rStyle w:val="aff6"/>
          <w:rFonts w:hint="cs"/>
          <w:rtl/>
        </w:rPr>
        <w:t xml:space="preserve"> (ב"ד ש"א יא. מדה"ס) </w:t>
      </w:r>
      <w:r>
        <w:rPr>
          <w:rStyle w:val="affa"/>
          <w:rFonts w:hint="cs"/>
          <w:rtl/>
        </w:rPr>
        <w:t>ו</w:t>
      </w:r>
      <w:r w:rsidRPr="00E42091">
        <w:rPr>
          <w:rStyle w:val="affa"/>
          <w:rFonts w:hint="cs"/>
          <w:rtl/>
        </w:rPr>
        <w:t>הר"ן על הרי"ף</w:t>
      </w:r>
      <w:r>
        <w:rPr>
          <w:rStyle w:val="afa"/>
          <w:rFonts w:hint="cs"/>
          <w:rtl/>
        </w:rPr>
        <w:t xml:space="preserve"> </w:t>
      </w:r>
      <w:r w:rsidRPr="00E42091">
        <w:rPr>
          <w:rStyle w:val="aff6"/>
          <w:rtl/>
        </w:rPr>
        <w:t>(לה: מדפי הרי"ף ד"ה ולענין מין)</w:t>
      </w:r>
      <w:r w:rsidRPr="0063135C">
        <w:rPr>
          <w:rStyle w:val="afa"/>
          <w:rtl/>
        </w:rPr>
        <w:t xml:space="preserve"> </w:t>
      </w:r>
      <w:r>
        <w:rPr>
          <w:rStyle w:val="afa"/>
          <w:rFonts w:hint="cs"/>
          <w:rtl/>
        </w:rPr>
        <w:t>כדעת</w:t>
      </w:r>
      <w:r w:rsidRPr="00E42091">
        <w:rPr>
          <w:rStyle w:val="affa"/>
          <w:rFonts w:hint="cs"/>
          <w:rtl/>
        </w:rPr>
        <w:t xml:space="preserve"> רש"י</w:t>
      </w:r>
      <w:r>
        <w:rPr>
          <w:rStyle w:val="afa"/>
          <w:rFonts w:hint="cs"/>
          <w:rtl/>
        </w:rPr>
        <w:t xml:space="preserve"> דטעם כעיקר דרבנן, ודלא </w:t>
      </w:r>
      <w:r w:rsidRPr="00E42091">
        <w:rPr>
          <w:rStyle w:val="affa"/>
          <w:rFonts w:hint="cs"/>
          <w:rtl/>
        </w:rPr>
        <w:t>כר"ת</w:t>
      </w:r>
      <w:r>
        <w:rPr>
          <w:rStyle w:val="afa"/>
          <w:rFonts w:hint="cs"/>
          <w:rtl/>
        </w:rPr>
        <w:t xml:space="preserve"> דטעם כעיקר דאו', מ"מ צ"ל דכוונת </w:t>
      </w:r>
      <w:r w:rsidRPr="008A11BF">
        <w:rPr>
          <w:rStyle w:val="affa"/>
          <w:rFonts w:hint="cs"/>
          <w:rtl/>
        </w:rPr>
        <w:t>הרא"ה והר"ן</w:t>
      </w:r>
      <w:r>
        <w:rPr>
          <w:rStyle w:val="afa"/>
          <w:rFonts w:hint="cs"/>
          <w:rtl/>
        </w:rPr>
        <w:t xml:space="preserve"> היא כדביאר </w:t>
      </w:r>
      <w:r w:rsidRPr="00423B63">
        <w:rPr>
          <w:rStyle w:val="affa"/>
          <w:rFonts w:hint="cs"/>
          <w:rtl/>
        </w:rPr>
        <w:t xml:space="preserve">המנחת כהן </w:t>
      </w:r>
      <w:r w:rsidRPr="00423B63">
        <w:rPr>
          <w:rStyle w:val="aff6"/>
          <w:rFonts w:hint="cs"/>
          <w:rtl/>
        </w:rPr>
        <w:t xml:space="preserve">(עי' אות </w:t>
      </w:r>
      <w:r w:rsidRPr="00423B63">
        <w:rPr>
          <w:rStyle w:val="aff6"/>
          <w:rtl/>
        </w:rPr>
        <w:fldChar w:fldCharType="begin"/>
      </w:r>
      <w:r w:rsidRPr="00423B63">
        <w:rPr>
          <w:rStyle w:val="aff6"/>
          <w:rtl/>
        </w:rPr>
        <w:instrText xml:space="preserve"> </w:instrText>
      </w:r>
      <w:r w:rsidRPr="00423B63">
        <w:rPr>
          <w:rStyle w:val="aff6"/>
          <w:rFonts w:hint="cs"/>
        </w:rPr>
        <w:instrText>REF</w:instrText>
      </w:r>
      <w:r w:rsidRPr="00423B63">
        <w:rPr>
          <w:rStyle w:val="aff6"/>
          <w:rFonts w:hint="cs"/>
          <w:rtl/>
        </w:rPr>
        <w:instrText xml:space="preserve"> _</w:instrText>
      </w:r>
      <w:r w:rsidRPr="00423B63">
        <w:rPr>
          <w:rStyle w:val="aff6"/>
          <w:rFonts w:hint="cs"/>
        </w:rPr>
        <w:instrText>Ref23762215 \n \h</w:instrText>
      </w:r>
      <w:r w:rsidRPr="00423B63">
        <w:rPr>
          <w:rStyle w:val="aff6"/>
          <w:rtl/>
        </w:rPr>
        <w:instrText xml:space="preserve"> </w:instrText>
      </w:r>
      <w:r w:rsidRPr="00423B63">
        <w:rPr>
          <w:rStyle w:val="aff6"/>
          <w:rtl/>
        </w:rPr>
      </w:r>
      <w:r w:rsidRPr="00423B63">
        <w:rPr>
          <w:rStyle w:val="aff6"/>
          <w:rtl/>
        </w:rPr>
        <w:fldChar w:fldCharType="separate"/>
      </w:r>
      <w:r>
        <w:rPr>
          <w:rStyle w:val="aff6"/>
          <w:cs/>
        </w:rPr>
        <w:t>‎</w:t>
      </w:r>
      <w:r>
        <w:rPr>
          <w:rStyle w:val="aff6"/>
          <w:rtl/>
        </w:rPr>
        <w:t>פו)</w:t>
      </w:r>
      <w:r w:rsidRPr="00423B63">
        <w:rPr>
          <w:rStyle w:val="aff6"/>
          <w:rtl/>
        </w:rPr>
        <w:fldChar w:fldCharType="end"/>
      </w:r>
      <w:r>
        <w:rPr>
          <w:rStyle w:val="afa"/>
          <w:rFonts w:hint="cs"/>
          <w:rtl/>
        </w:rPr>
        <w:t xml:space="preserve"> דבמין בשאינו מינו יכול לבא לידי איסור דאו', כשיש בתערובת</w:t>
      </w:r>
      <w:r w:rsidRPr="00CF5F27">
        <w:rPr>
          <w:rStyle w:val="afa"/>
          <w:rFonts w:hint="cs"/>
          <w:rtl/>
        </w:rPr>
        <w:t xml:space="preserve"> </w:t>
      </w:r>
      <w:r>
        <w:rPr>
          <w:rStyle w:val="afa"/>
          <w:rFonts w:hint="cs"/>
          <w:rtl/>
        </w:rPr>
        <w:t xml:space="preserve">כזית בכדי אכילת פרס מממשו של האיסור, וכדכתבו </w:t>
      </w:r>
      <w:r w:rsidRPr="00FC5311">
        <w:rPr>
          <w:rStyle w:val="affa"/>
          <w:rFonts w:hint="cs"/>
          <w:rtl/>
        </w:rPr>
        <w:t>הרא"ה בבד"ה</w:t>
      </w:r>
      <w:r w:rsidRPr="00FC5311">
        <w:rPr>
          <w:rStyle w:val="aff6"/>
          <w:rFonts w:hint="cs"/>
          <w:rtl/>
        </w:rPr>
        <w:t xml:space="preserve"> (ב"ד ש"א יא. מדה"ס</w:t>
      </w:r>
      <w:r>
        <w:rPr>
          <w:rStyle w:val="aff6"/>
          <w:rFonts w:hint="cs"/>
          <w:rtl/>
        </w:rPr>
        <w:t>, הובא בסימן ט' אות פז)</w:t>
      </w:r>
      <w:r w:rsidRPr="00FC5311">
        <w:rPr>
          <w:rStyle w:val="aff6"/>
          <w:rFonts w:hint="cs"/>
          <w:rtl/>
        </w:rPr>
        <w:t xml:space="preserve"> </w:t>
      </w:r>
      <w:r>
        <w:rPr>
          <w:rStyle w:val="affa"/>
          <w:rFonts w:hint="cs"/>
          <w:rtl/>
        </w:rPr>
        <w:t>ו</w:t>
      </w:r>
      <w:r w:rsidRPr="00E42091">
        <w:rPr>
          <w:rStyle w:val="affa"/>
          <w:rFonts w:hint="cs"/>
          <w:rtl/>
        </w:rPr>
        <w:t>הר"</w:t>
      </w:r>
      <w:r>
        <w:rPr>
          <w:rStyle w:val="affa"/>
          <w:rFonts w:hint="cs"/>
          <w:rtl/>
        </w:rPr>
        <w:t xml:space="preserve">ן </w:t>
      </w:r>
      <w:r w:rsidRPr="00E42091">
        <w:rPr>
          <w:rStyle w:val="affa"/>
          <w:rtl/>
        </w:rPr>
        <w:t>על הרי"ף</w:t>
      </w:r>
      <w:r w:rsidRPr="0063135C">
        <w:rPr>
          <w:rStyle w:val="afa"/>
          <w:rtl/>
        </w:rPr>
        <w:t xml:space="preserve"> </w:t>
      </w:r>
      <w:r w:rsidRPr="00E42091">
        <w:rPr>
          <w:rStyle w:val="aff6"/>
          <w:rtl/>
        </w:rPr>
        <w:t>(לה: מדפי הרי"ף ד"ה ולענין מין</w:t>
      </w:r>
      <w:r>
        <w:rPr>
          <w:rStyle w:val="aff6"/>
          <w:rFonts w:hint="cs"/>
          <w:rtl/>
        </w:rPr>
        <w:t xml:space="preserve">, הובא בסימן ט' אות מב) </w:t>
      </w:r>
      <w:r>
        <w:rPr>
          <w:rStyle w:val="afa"/>
          <w:rFonts w:hint="cs"/>
          <w:rtl/>
        </w:rPr>
        <w:t>דכשיש טעם בכזית בכדי אכילת פרס מדאו' לוקין עליו, והוסיף</w:t>
      </w:r>
      <w:r w:rsidRPr="008A11BF">
        <w:rPr>
          <w:rStyle w:val="affa"/>
          <w:rFonts w:hint="cs"/>
          <w:rtl/>
        </w:rPr>
        <w:t xml:space="preserve"> הר"ן </w:t>
      </w:r>
      <w:r>
        <w:rPr>
          <w:rStyle w:val="afa"/>
          <w:rFonts w:hint="cs"/>
          <w:rtl/>
        </w:rPr>
        <w:t xml:space="preserve">דאף כשאין כזית בכדי אכילת פרס, מ"מ כל שיש טעם מדאו' אף באלף לא בטיל. </w:t>
      </w:r>
    </w:p>
  </w:footnote>
  <w:footnote w:id="58">
    <w:p w:rsidR="00651E3B" w:rsidRDefault="00651E3B" w:rsidP="00D45705">
      <w:pPr>
        <w:pStyle w:val="ae"/>
        <w:rPr>
          <w:rtl/>
        </w:rPr>
      </w:pPr>
      <w:r>
        <w:rPr>
          <w:rStyle w:val="af0"/>
        </w:rPr>
        <w:footnoteRef/>
      </w:r>
      <w:r>
        <w:rPr>
          <w:rFonts w:hint="cs"/>
          <w:rtl/>
        </w:rPr>
        <w:t xml:space="preserve"> וע"ע </w:t>
      </w:r>
      <w:r>
        <w:rPr>
          <w:rStyle w:val="affa"/>
          <w:rtl/>
        </w:rPr>
        <w:t>בתוס' רי"</w:t>
      </w:r>
      <w:r w:rsidRPr="00A16AB2">
        <w:rPr>
          <w:rStyle w:val="affa"/>
          <w:rtl/>
        </w:rPr>
        <w:t>ד</w:t>
      </w:r>
      <w:r w:rsidRPr="00A16AB2">
        <w:rPr>
          <w:rStyle w:val="affa"/>
          <w:rFonts w:hint="cs"/>
          <w:rtl/>
        </w:rPr>
        <w:t xml:space="preserve"> בנדרים</w:t>
      </w:r>
      <w:r>
        <w:rPr>
          <w:rFonts w:hint="cs"/>
          <w:rtl/>
        </w:rPr>
        <w:t xml:space="preserve"> </w:t>
      </w:r>
      <w:r>
        <w:rPr>
          <w:rStyle w:val="aff6"/>
          <w:rtl/>
        </w:rPr>
        <w:t xml:space="preserve">(נז: ד"ה אתו) </w:t>
      </w:r>
      <w:r>
        <w:rPr>
          <w:rFonts w:hint="cs"/>
          <w:rtl/>
        </w:rPr>
        <w:t xml:space="preserve">דבספק הגמ' בנדרים </w:t>
      </w:r>
      <w:r w:rsidRPr="005A11DC">
        <w:rPr>
          <w:rStyle w:val="aff6"/>
          <w:rFonts w:hint="cs"/>
          <w:rtl/>
        </w:rPr>
        <w:t>(נז:)</w:t>
      </w:r>
      <w:r>
        <w:rPr>
          <w:rFonts w:hint="cs"/>
          <w:rtl/>
        </w:rPr>
        <w:t xml:space="preserve"> דבצל של שביעית שנטעו בשמינית ורבו גידולי ההיתר על האיסור, אי ההיתר מבטל את האיסור, כתב </w:t>
      </w:r>
      <w:r>
        <w:rPr>
          <w:rStyle w:val="affa"/>
          <w:rtl/>
        </w:rPr>
        <w:t>התוס' רי"ד</w:t>
      </w:r>
      <w:r w:rsidRPr="00FB2828">
        <w:rPr>
          <w:rFonts w:hint="cs"/>
          <w:rtl/>
        </w:rPr>
        <w:t xml:space="preserve"> </w:t>
      </w:r>
      <w:r w:rsidRPr="00A16AB2">
        <w:rPr>
          <w:rStyle w:val="affa"/>
          <w:rFonts w:hint="cs"/>
          <w:rtl/>
        </w:rPr>
        <w:t>בנדרים</w:t>
      </w:r>
      <w:r>
        <w:rPr>
          <w:rFonts w:hint="cs"/>
          <w:rtl/>
        </w:rPr>
        <w:t xml:space="preserve"> דא"א לפשוט את הספק בבצל, מאיסור שהתבשל עם היתר דבטל בשישים, כיון שבשישים האיסור נימוח, ואינו עומד בעינו, אבל בבצל שהאיסור לא נימוח אפש"ל דאינו מתבטל אף בשישים, והוסיף </w:t>
      </w:r>
      <w:r>
        <w:rPr>
          <w:rStyle w:val="affa"/>
          <w:rtl/>
        </w:rPr>
        <w:t>התוס' רי"ד</w:t>
      </w:r>
      <w:r>
        <w:rPr>
          <w:rFonts w:hint="cs"/>
          <w:rtl/>
        </w:rPr>
        <w:t xml:space="preserve"> </w:t>
      </w:r>
      <w:r w:rsidRPr="00A16AB2">
        <w:rPr>
          <w:rStyle w:val="affa"/>
          <w:rFonts w:hint="cs"/>
          <w:rtl/>
        </w:rPr>
        <w:t>בנדרים</w:t>
      </w:r>
      <w:r>
        <w:rPr>
          <w:rFonts w:hint="cs"/>
          <w:rtl/>
        </w:rPr>
        <w:t xml:space="preserve"> דאף בפחות משישים אפש"ל דהבצל אינו מתבטל, וא"א לפשוט מיבש ביבש דחד בתרי בטל, כיון דביבש ביבש האיסור אינו מעורב בהיתר, אלא כל אחד עומד בפנ"ע בתוך התערובת, אך אין האיסור ניכר ולכן הוא מתבטל, אבל בבצל שהאיסור מעורב עם ההיתר מסתפקת הגמ' אי אינו מתבטל, או דמ"מ הקרקע מבטלת את האיסור. [ומבואר מדברי </w:t>
      </w:r>
      <w:r>
        <w:rPr>
          <w:rStyle w:val="affa"/>
          <w:rtl/>
        </w:rPr>
        <w:t>התוס' רי"</w:t>
      </w:r>
      <w:r w:rsidRPr="00A16AB2">
        <w:rPr>
          <w:rStyle w:val="affa"/>
          <w:rtl/>
        </w:rPr>
        <w:t>ד</w:t>
      </w:r>
      <w:r w:rsidRPr="00A16AB2">
        <w:rPr>
          <w:rStyle w:val="affa"/>
          <w:rFonts w:hint="cs"/>
          <w:rtl/>
        </w:rPr>
        <w:t xml:space="preserve"> בנדרים</w:t>
      </w:r>
      <w:r>
        <w:rPr>
          <w:rFonts w:hint="cs"/>
          <w:rtl/>
        </w:rPr>
        <w:t xml:space="preserve"> דהביטול ביבש ביבש, הוא רק כיון שכ"א עומד בפנ"ע].</w:t>
      </w:r>
    </w:p>
  </w:footnote>
  <w:footnote w:id="59">
    <w:p w:rsidR="00651E3B" w:rsidRDefault="00651E3B" w:rsidP="00D45705">
      <w:pPr>
        <w:pStyle w:val="ae"/>
      </w:pPr>
      <w:r>
        <w:rPr>
          <w:rStyle w:val="af0"/>
        </w:rPr>
        <w:footnoteRef/>
      </w:r>
      <w:r>
        <w:rPr>
          <w:rtl/>
        </w:rPr>
        <w:t xml:space="preserve"> </w:t>
      </w:r>
      <w:r>
        <w:rPr>
          <w:rFonts w:hint="cs"/>
          <w:rtl/>
        </w:rPr>
        <w:t xml:space="preserve">אמנם יעוי' עוד בדברי </w:t>
      </w:r>
      <w:r>
        <w:rPr>
          <w:rStyle w:val="affa"/>
          <w:rtl/>
        </w:rPr>
        <w:t>התוס' רי"ד בע"ז</w:t>
      </w:r>
      <w:r>
        <w:rPr>
          <w:rFonts w:hint="cs"/>
          <w:rtl/>
        </w:rPr>
        <w:t xml:space="preserve"> </w:t>
      </w:r>
      <w:r>
        <w:rPr>
          <w:rStyle w:val="aff6"/>
          <w:rtl/>
        </w:rPr>
        <w:t xml:space="preserve">(סז. ד"ה אמר ר' אבהו בתו"ד) </w:t>
      </w:r>
      <w:r>
        <w:rPr>
          <w:rFonts w:hint="cs"/>
          <w:rtl/>
        </w:rPr>
        <w:t xml:space="preserve">דכתב דטעם של איסור שהתערב בהיתר במין בשאינו מינו וא"א להבחין בטעם האיסור מותר, [וכדביאר שם </w:t>
      </w:r>
      <w:r>
        <w:rPr>
          <w:rStyle w:val="affa"/>
          <w:rtl/>
        </w:rPr>
        <w:t>התוס' רי"ד</w:t>
      </w:r>
      <w:r>
        <w:rPr>
          <w:rFonts w:hint="cs"/>
          <w:rtl/>
        </w:rPr>
        <w:t xml:space="preserve"> </w:t>
      </w:r>
      <w:r>
        <w:rPr>
          <w:rStyle w:val="affa"/>
          <w:rtl/>
        </w:rPr>
        <w:t>בע"ז</w:t>
      </w:r>
      <w:r>
        <w:rPr>
          <w:rFonts w:hint="cs"/>
          <w:rtl/>
        </w:rPr>
        <w:t xml:space="preserve"> דכשניכר הטעם אסור דטעם כעיקר דאו', ומדרבנן צריך שישים], דהטעם האיסור בטל ברוב, דכיון שטעם האיסור אינו ניכר הוא מתבטל ברוב ההיתר, וכתב </w:t>
      </w:r>
      <w:r>
        <w:rPr>
          <w:rStyle w:val="affa"/>
          <w:rtl/>
        </w:rPr>
        <w:t>התוס' רי"ד</w:t>
      </w:r>
      <w:r>
        <w:rPr>
          <w:rFonts w:hint="cs"/>
          <w:rtl/>
        </w:rPr>
        <w:t xml:space="preserve"> </w:t>
      </w:r>
      <w:r>
        <w:rPr>
          <w:rStyle w:val="affa"/>
          <w:rtl/>
        </w:rPr>
        <w:t>בע"ז</w:t>
      </w:r>
      <w:r>
        <w:rPr>
          <w:rFonts w:hint="cs"/>
          <w:rtl/>
        </w:rPr>
        <w:t xml:space="preserve"> דהוא כיבש ביבש, שהתערב ואין האיסור ניכר דהוא מתבטל ברוב, כחתיכת נבילה שהתערבה בב' חתיכות שחוטה, ואינה ניכרת דהיא בטלה ברוב, כמבואר בסוגיין דמקשה הגמ' דחתיכת נבלה תתבטל ברוב, ומבואר דביבש ביבש חד בתרי בטל, וכתב </w:t>
      </w:r>
      <w:r>
        <w:rPr>
          <w:rStyle w:val="affa"/>
          <w:rtl/>
        </w:rPr>
        <w:t>התוס' רי"ד</w:t>
      </w:r>
      <w:r w:rsidRPr="00FB2828">
        <w:rPr>
          <w:rtl/>
        </w:rPr>
        <w:t xml:space="preserve"> </w:t>
      </w:r>
      <w:r>
        <w:rPr>
          <w:rStyle w:val="affa"/>
          <w:rtl/>
        </w:rPr>
        <w:t>בע"ז</w:t>
      </w:r>
      <w:r>
        <w:rPr>
          <w:rFonts w:hint="cs"/>
          <w:rtl/>
        </w:rPr>
        <w:t xml:space="preserve"> דה"ה בטעם של איסור שהתערב בהיתר במין במינו, דכיון שהטעם אינו ניכר, הוא מתבטל. [ומבואר מדברי </w:t>
      </w:r>
      <w:r>
        <w:rPr>
          <w:rStyle w:val="affa"/>
          <w:rtl/>
        </w:rPr>
        <w:t>התוס' רי"ד בע"ז</w:t>
      </w:r>
      <w:r>
        <w:rPr>
          <w:rFonts w:hint="cs"/>
          <w:rtl/>
        </w:rPr>
        <w:t xml:space="preserve"> דאף בלח בלח ההיתר הוא מדין ביטול ברוב כיבש ביבש, ולא מדין הלך אחר הרוב].</w:t>
      </w:r>
    </w:p>
  </w:footnote>
  <w:footnote w:id="60">
    <w:p w:rsidR="00651E3B" w:rsidRDefault="00651E3B" w:rsidP="001326B3">
      <w:pPr>
        <w:pStyle w:val="ae"/>
        <w:rPr>
          <w:rtl/>
        </w:rPr>
      </w:pPr>
      <w:r>
        <w:rPr>
          <w:rStyle w:val="af0"/>
        </w:rPr>
        <w:footnoteRef/>
      </w:r>
      <w:r>
        <w:rPr>
          <w:rtl/>
        </w:rPr>
        <w:t xml:space="preserve"> </w:t>
      </w:r>
      <w:r w:rsidRPr="00101FEE">
        <w:rPr>
          <w:rStyle w:val="afa"/>
          <w:rFonts w:hint="cs"/>
          <w:rtl/>
        </w:rPr>
        <w:t xml:space="preserve">אך כתב </w:t>
      </w:r>
      <w:r w:rsidRPr="00101FEE">
        <w:rPr>
          <w:rStyle w:val="affa"/>
          <w:rFonts w:hint="cs"/>
          <w:rtl/>
        </w:rPr>
        <w:t>החזו"א</w:t>
      </w:r>
      <w:r w:rsidRPr="00101FEE">
        <w:rPr>
          <w:rStyle w:val="afa"/>
          <w:rFonts w:hint="cs"/>
          <w:rtl/>
        </w:rPr>
        <w:t xml:space="preserve"> דכל התערובת מותרת רק כשאוכלם בזה אחר זה, אבל באוכל את כל התערובת בבת אחת, תאסר התערובת בתוך פיו כשלועס יחד את האיסור וההיתר, מדין טעם כעיקר או מדין כזית בכדי אכילת פרס, והוסיף </w:t>
      </w:r>
      <w:r w:rsidRPr="00101FEE">
        <w:rPr>
          <w:rStyle w:val="affa"/>
          <w:rFonts w:hint="cs"/>
          <w:rtl/>
        </w:rPr>
        <w:t>החזו"א</w:t>
      </w:r>
      <w:r w:rsidRPr="00101FEE">
        <w:rPr>
          <w:rStyle w:val="afa"/>
          <w:rFonts w:hint="cs"/>
          <w:rtl/>
        </w:rPr>
        <w:t xml:space="preserve"> דאם בולע את</w:t>
      </w:r>
      <w:r>
        <w:rPr>
          <w:rStyle w:val="afa"/>
          <w:rFonts w:hint="cs"/>
          <w:rtl/>
        </w:rPr>
        <w:t xml:space="preserve"> כל התערובת יחד בלא לעיסה, מותר, ועיי"ש במ"ש </w:t>
      </w:r>
      <w:r w:rsidRPr="00170014">
        <w:rPr>
          <w:rStyle w:val="affa"/>
          <w:rFonts w:hint="cs"/>
          <w:rtl/>
        </w:rPr>
        <w:t>החזו"א</w:t>
      </w:r>
      <w:r>
        <w:rPr>
          <w:rStyle w:val="afa"/>
          <w:rFonts w:hint="cs"/>
          <w:rtl/>
        </w:rPr>
        <w:t xml:space="preserve"> בדעת </w:t>
      </w:r>
      <w:r w:rsidRPr="00170014">
        <w:rPr>
          <w:rStyle w:val="affa"/>
          <w:rFonts w:hint="cs"/>
          <w:rtl/>
        </w:rPr>
        <w:t>הרא"ש</w:t>
      </w:r>
      <w:r w:rsidRPr="00101FEE">
        <w:rPr>
          <w:rStyle w:val="afa"/>
          <w:rFonts w:hint="cs"/>
          <w:rtl/>
        </w:rPr>
        <w:t>.</w:t>
      </w:r>
    </w:p>
  </w:footnote>
  <w:footnote w:id="61">
    <w:p w:rsidR="00651E3B" w:rsidRPr="009F7EB3" w:rsidRDefault="00651E3B" w:rsidP="00D45705">
      <w:pPr>
        <w:pStyle w:val="ae"/>
      </w:pPr>
      <w:r>
        <w:rPr>
          <w:rStyle w:val="af0"/>
        </w:rPr>
        <w:footnoteRef/>
      </w:r>
      <w:r>
        <w:rPr>
          <w:rtl/>
        </w:rPr>
        <w:t xml:space="preserve"> </w:t>
      </w:r>
      <w:r>
        <w:rPr>
          <w:rFonts w:hint="cs"/>
          <w:rtl/>
        </w:rPr>
        <w:t xml:space="preserve">והוסיף </w:t>
      </w:r>
      <w:r w:rsidRPr="00C50AA7">
        <w:rPr>
          <w:rStyle w:val="affa"/>
          <w:rFonts w:hint="cs"/>
          <w:rtl/>
        </w:rPr>
        <w:t>בספר התרומה</w:t>
      </w:r>
      <w:r>
        <w:rPr>
          <w:rFonts w:hint="cs"/>
          <w:rtl/>
        </w:rPr>
        <w:t xml:space="preserve"> דבמין בשאינו מינו והוא מכיר את חתיכת האיסור צריך להסירה, דאינה בטלה ברוב, וצריך שישים בכדי לבטל את מה שנמחה מחתיכת האיסור, ואם אינו מכיר את חתיכת האיסור, </w:t>
      </w:r>
      <w:r w:rsidRPr="00C50AA7">
        <w:rPr>
          <w:rFonts w:hint="cs"/>
          <w:rtl/>
        </w:rPr>
        <w:t>[אף שהוא מין בשאינו מינו],</w:t>
      </w:r>
      <w:r>
        <w:rPr>
          <w:rFonts w:hint="cs"/>
          <w:rtl/>
        </w:rPr>
        <w:t xml:space="preserve"> כגון שנחתך </w:t>
      </w:r>
      <w:r w:rsidRPr="009F7EB3">
        <w:rPr>
          <w:rFonts w:hint="cs"/>
          <w:rtl/>
        </w:rPr>
        <w:t xml:space="preserve">לחתיכות קטנות, צריך ביטול בשישים </w:t>
      </w:r>
      <w:r>
        <w:rPr>
          <w:rFonts w:hint="cs"/>
          <w:rtl/>
        </w:rPr>
        <w:t>ו</w:t>
      </w:r>
      <w:r w:rsidRPr="009F7EB3">
        <w:rPr>
          <w:rFonts w:hint="cs"/>
          <w:rtl/>
        </w:rPr>
        <w:t xml:space="preserve">א"צ להסיר את חתיכת האיסור, בין במין בשאינו מינו שבטל בשישים, [בין ביבש ביבש ובין בלח בלח], ובין במין במינו שבטל ברוב ביבש. </w:t>
      </w:r>
    </w:p>
  </w:footnote>
  <w:footnote w:id="62">
    <w:p w:rsidR="00651E3B" w:rsidRDefault="00651E3B" w:rsidP="00D45705">
      <w:pPr>
        <w:pStyle w:val="ae"/>
        <w:rPr>
          <w:rtl/>
        </w:rPr>
      </w:pPr>
      <w:r>
        <w:rPr>
          <w:rStyle w:val="af0"/>
        </w:rPr>
        <w:footnoteRef/>
      </w:r>
      <w:r>
        <w:rPr>
          <w:rtl/>
        </w:rPr>
        <w:t xml:space="preserve"> </w:t>
      </w:r>
      <w:r>
        <w:rPr>
          <w:rFonts w:hint="cs"/>
          <w:rtl/>
        </w:rPr>
        <w:t xml:space="preserve">יל"ע אמאי הקשה </w:t>
      </w:r>
      <w:r w:rsidRPr="003569BA">
        <w:rPr>
          <w:rStyle w:val="affa"/>
          <w:rFonts w:hint="cs"/>
          <w:rtl/>
        </w:rPr>
        <w:t>הגר"ח</w:t>
      </w:r>
      <w:r>
        <w:rPr>
          <w:rFonts w:hint="cs"/>
          <w:rtl/>
        </w:rPr>
        <w:t xml:space="preserve"> רק מתערובת לח בלח, ולא מיבש ביבש דאף מדרבנן מהני ביטול ברוב, ואולי ס"ל </w:t>
      </w:r>
      <w:r w:rsidRPr="003569BA">
        <w:rPr>
          <w:rStyle w:val="affa"/>
          <w:rFonts w:hint="cs"/>
          <w:rtl/>
        </w:rPr>
        <w:t>להגר"ח</w:t>
      </w:r>
      <w:r>
        <w:rPr>
          <w:rFonts w:hint="cs"/>
          <w:rtl/>
        </w:rPr>
        <w:t xml:space="preserve"> דלדעת </w:t>
      </w:r>
      <w:r w:rsidRPr="003569BA">
        <w:rPr>
          <w:rStyle w:val="affa"/>
          <w:rFonts w:hint="cs"/>
          <w:rtl/>
        </w:rPr>
        <w:t>הרשב"א</w:t>
      </w:r>
      <w:r>
        <w:rPr>
          <w:rFonts w:hint="cs"/>
          <w:rtl/>
        </w:rPr>
        <w:t xml:space="preserve"> דאסור לאכול את כל התערובת בבת אחת, אפש"ל דביבש ביבש הביטול ברוב הוא מדין כל דפריש, [כד</w:t>
      </w:r>
      <w:r w:rsidRPr="00DD2AFE">
        <w:rPr>
          <w:rtl/>
        </w:rPr>
        <w:t xml:space="preserve">הביא </w:t>
      </w:r>
      <w:r w:rsidRPr="003569BA">
        <w:rPr>
          <w:rStyle w:val="affa"/>
          <w:rtl/>
        </w:rPr>
        <w:t>בתורת זרעים</w:t>
      </w:r>
      <w:r w:rsidRPr="00DD2AFE">
        <w:rPr>
          <w:rtl/>
        </w:rPr>
        <w:t xml:space="preserve"> </w:t>
      </w:r>
      <w:r w:rsidRPr="00901C75">
        <w:rPr>
          <w:rStyle w:val="aff6"/>
          <w:rtl/>
        </w:rPr>
        <w:t>(תרומות פ"ה מ"ו</w:t>
      </w:r>
      <w:r w:rsidRPr="00901C75">
        <w:rPr>
          <w:rStyle w:val="aff6"/>
          <w:rFonts w:hint="cs"/>
          <w:rtl/>
        </w:rPr>
        <w:t xml:space="preserve">, </w:t>
      </w:r>
      <w:r>
        <w:rPr>
          <w:rStyle w:val="aff6"/>
          <w:rFonts w:hint="cs"/>
          <w:rtl/>
        </w:rPr>
        <w:t>הובא בסימן י</w:t>
      </w:r>
      <w:r>
        <w:rPr>
          <w:rStyle w:val="aff6"/>
          <w:rtl/>
        </w:rPr>
        <w:t>"</w:t>
      </w:r>
      <w:r>
        <w:rPr>
          <w:rStyle w:val="aff6"/>
          <w:rFonts w:hint="cs"/>
          <w:rtl/>
        </w:rPr>
        <w:t>ז אות ק"ו</w:t>
      </w:r>
      <w:r w:rsidRPr="00901C75">
        <w:rPr>
          <w:rStyle w:val="aff6"/>
          <w:rFonts w:hint="cs"/>
          <w:rtl/>
        </w:rPr>
        <w:t>)</w:t>
      </w:r>
      <w:r w:rsidRPr="00DD2AFE">
        <w:rPr>
          <w:rtl/>
        </w:rPr>
        <w:t xml:space="preserve"> בשם </w:t>
      </w:r>
      <w:r w:rsidRPr="003569BA">
        <w:rPr>
          <w:rStyle w:val="affa"/>
          <w:rtl/>
        </w:rPr>
        <w:t>הגרי"ז</w:t>
      </w:r>
      <w:r w:rsidRPr="00DD2AFE">
        <w:rPr>
          <w:rFonts w:hint="cs"/>
          <w:rtl/>
        </w:rPr>
        <w:t>]</w:t>
      </w:r>
      <w:r>
        <w:rPr>
          <w:rFonts w:hint="cs"/>
          <w:rtl/>
        </w:rPr>
        <w:t xml:space="preserve">, ויעוי' בדברי </w:t>
      </w:r>
      <w:r w:rsidRPr="003569BA">
        <w:rPr>
          <w:rStyle w:val="affa"/>
          <w:rFonts w:hint="cs"/>
          <w:rtl/>
        </w:rPr>
        <w:t>הפרמ</w:t>
      </w:r>
      <w:r w:rsidRPr="00901C75">
        <w:rPr>
          <w:rStyle w:val="affa"/>
          <w:rFonts w:hint="cs"/>
          <w:rtl/>
        </w:rPr>
        <w:t>"ג</w:t>
      </w:r>
      <w:r>
        <w:rPr>
          <w:rFonts w:hint="cs"/>
          <w:rtl/>
        </w:rPr>
        <w:t xml:space="preserve"> </w:t>
      </w:r>
      <w:r w:rsidRPr="001A3C12">
        <w:rPr>
          <w:rStyle w:val="aff6"/>
          <w:rFonts w:hint="cs"/>
          <w:rtl/>
        </w:rPr>
        <w:t xml:space="preserve">(עי' אות </w:t>
      </w:r>
      <w:r w:rsidRPr="001A3C12">
        <w:rPr>
          <w:rStyle w:val="aff6"/>
          <w:rtl/>
        </w:rPr>
        <w:fldChar w:fldCharType="begin"/>
      </w:r>
      <w:r w:rsidRPr="001A3C12">
        <w:rPr>
          <w:rStyle w:val="aff6"/>
          <w:rtl/>
        </w:rPr>
        <w:instrText xml:space="preserve"> </w:instrText>
      </w:r>
      <w:r w:rsidRPr="001A3C12">
        <w:rPr>
          <w:rStyle w:val="aff6"/>
          <w:rFonts w:hint="cs"/>
        </w:rPr>
        <w:instrText>REF</w:instrText>
      </w:r>
      <w:r w:rsidRPr="001A3C12">
        <w:rPr>
          <w:rStyle w:val="aff6"/>
          <w:rFonts w:hint="cs"/>
          <w:rtl/>
        </w:rPr>
        <w:instrText xml:space="preserve"> _</w:instrText>
      </w:r>
      <w:r w:rsidRPr="001A3C12">
        <w:rPr>
          <w:rStyle w:val="aff6"/>
          <w:rFonts w:hint="cs"/>
        </w:rPr>
        <w:instrText>Ref23500879 \r \h</w:instrText>
      </w:r>
      <w:r w:rsidRPr="001A3C12">
        <w:rPr>
          <w:rStyle w:val="aff6"/>
          <w:rtl/>
        </w:rPr>
        <w:instrText xml:space="preserve"> </w:instrText>
      </w:r>
      <w:r w:rsidRPr="001A3C12">
        <w:rPr>
          <w:rStyle w:val="aff6"/>
          <w:rtl/>
        </w:rPr>
      </w:r>
      <w:r w:rsidRPr="001A3C12">
        <w:rPr>
          <w:rStyle w:val="aff6"/>
          <w:rtl/>
        </w:rPr>
        <w:fldChar w:fldCharType="separate"/>
      </w:r>
      <w:r>
        <w:rPr>
          <w:rStyle w:val="aff6"/>
          <w:cs/>
        </w:rPr>
        <w:t>‎</w:t>
      </w:r>
      <w:r>
        <w:rPr>
          <w:rStyle w:val="aff6"/>
          <w:rtl/>
        </w:rPr>
        <w:t>צז)</w:t>
      </w:r>
      <w:r w:rsidRPr="001A3C12">
        <w:rPr>
          <w:rStyle w:val="aff6"/>
          <w:rtl/>
        </w:rPr>
        <w:fldChar w:fldCharType="end"/>
      </w:r>
      <w:r>
        <w:rPr>
          <w:rFonts w:hint="cs"/>
          <w:rtl/>
        </w:rPr>
        <w:t xml:space="preserve"> דהקשה כעין קושית </w:t>
      </w:r>
      <w:r w:rsidRPr="003569BA">
        <w:rPr>
          <w:rStyle w:val="affa"/>
          <w:rFonts w:hint="cs"/>
          <w:rtl/>
        </w:rPr>
        <w:t>הגר"ח</w:t>
      </w:r>
      <w:r>
        <w:rPr>
          <w:rFonts w:hint="cs"/>
          <w:rtl/>
        </w:rPr>
        <w:t xml:space="preserve"> היאך ילפינן מסנהדרין את דין ביטול ברוב.</w:t>
      </w:r>
    </w:p>
    <w:p w:rsidR="00651E3B" w:rsidRDefault="00651E3B" w:rsidP="00D45705">
      <w:pPr>
        <w:pStyle w:val="ae"/>
        <w:rPr>
          <w:rtl/>
        </w:rPr>
      </w:pPr>
      <w:r>
        <w:rPr>
          <w:rFonts w:hint="cs"/>
          <w:rtl/>
        </w:rPr>
        <w:t xml:space="preserve">אך </w:t>
      </w:r>
      <w:r w:rsidRPr="003569BA">
        <w:rPr>
          <w:rStyle w:val="affa"/>
          <w:rFonts w:hint="cs"/>
          <w:rtl/>
        </w:rPr>
        <w:t>הפרמ"ג</w:t>
      </w:r>
      <w:r>
        <w:rPr>
          <w:rFonts w:hint="cs"/>
          <w:rtl/>
        </w:rPr>
        <w:t xml:space="preserve"> הקשה כן רק לדעת </w:t>
      </w:r>
      <w:r w:rsidRPr="003569BA">
        <w:rPr>
          <w:rStyle w:val="affa"/>
          <w:rFonts w:hint="cs"/>
          <w:rtl/>
        </w:rPr>
        <w:t>הרא"ש</w:t>
      </w:r>
      <w:r>
        <w:rPr>
          <w:rFonts w:hint="cs"/>
          <w:rtl/>
        </w:rPr>
        <w:t xml:space="preserve"> </w:t>
      </w:r>
      <w:r w:rsidRPr="001A3C12">
        <w:rPr>
          <w:rStyle w:val="aff6"/>
          <w:rFonts w:hint="cs"/>
          <w:rtl/>
        </w:rPr>
        <w:t xml:space="preserve">(עי' אות </w:t>
      </w:r>
      <w:r w:rsidRPr="001A3C12">
        <w:rPr>
          <w:rStyle w:val="aff6"/>
          <w:rtl/>
        </w:rPr>
        <w:fldChar w:fldCharType="begin"/>
      </w:r>
      <w:r w:rsidRPr="001A3C12">
        <w:rPr>
          <w:rStyle w:val="aff6"/>
          <w:rtl/>
        </w:rPr>
        <w:instrText xml:space="preserve"> </w:instrText>
      </w:r>
      <w:r w:rsidRPr="001A3C12">
        <w:rPr>
          <w:rStyle w:val="aff6"/>
          <w:rFonts w:hint="cs"/>
        </w:rPr>
        <w:instrText>REF</w:instrText>
      </w:r>
      <w:r w:rsidRPr="001A3C12">
        <w:rPr>
          <w:rStyle w:val="aff6"/>
          <w:rFonts w:hint="cs"/>
          <w:rtl/>
        </w:rPr>
        <w:instrText xml:space="preserve"> _</w:instrText>
      </w:r>
      <w:r w:rsidRPr="001A3C12">
        <w:rPr>
          <w:rStyle w:val="aff6"/>
          <w:rFonts w:hint="cs"/>
        </w:rPr>
        <w:instrText>Ref23624626 \r \h</w:instrText>
      </w:r>
      <w:r w:rsidRPr="001A3C12">
        <w:rPr>
          <w:rStyle w:val="aff6"/>
          <w:rtl/>
        </w:rPr>
        <w:instrText xml:space="preserve"> </w:instrText>
      </w:r>
      <w:r w:rsidRPr="001A3C12">
        <w:rPr>
          <w:rStyle w:val="aff6"/>
          <w:rtl/>
        </w:rPr>
      </w:r>
      <w:r w:rsidRPr="001A3C12">
        <w:rPr>
          <w:rStyle w:val="aff6"/>
          <w:rtl/>
        </w:rPr>
        <w:fldChar w:fldCharType="separate"/>
      </w:r>
      <w:r>
        <w:rPr>
          <w:rStyle w:val="aff6"/>
          <w:cs/>
        </w:rPr>
        <w:t>‎</w:t>
      </w:r>
      <w:r>
        <w:rPr>
          <w:rStyle w:val="aff6"/>
          <w:rtl/>
        </w:rPr>
        <w:t>צו)</w:t>
      </w:r>
      <w:r w:rsidRPr="001A3C12">
        <w:rPr>
          <w:rStyle w:val="aff6"/>
          <w:rtl/>
        </w:rPr>
        <w:fldChar w:fldCharType="end"/>
      </w:r>
      <w:r>
        <w:rPr>
          <w:rFonts w:hint="cs"/>
          <w:rtl/>
        </w:rPr>
        <w:t xml:space="preserve"> דמותר לאכול את כל התערובת בבת אחת, דהאיסור נהפך להיתר, ועי' במ"ש </w:t>
      </w:r>
      <w:r w:rsidRPr="00901C75">
        <w:rPr>
          <w:rStyle w:val="affa"/>
          <w:rFonts w:hint="cs"/>
          <w:rtl/>
        </w:rPr>
        <w:t>היד יהודה</w:t>
      </w:r>
      <w:r>
        <w:rPr>
          <w:rFonts w:hint="cs"/>
          <w:rtl/>
        </w:rPr>
        <w:t xml:space="preserve"> </w:t>
      </w:r>
      <w:r w:rsidRPr="001A3C12">
        <w:rPr>
          <w:rStyle w:val="aff6"/>
          <w:rFonts w:hint="cs"/>
          <w:rtl/>
        </w:rPr>
        <w:t xml:space="preserve">(עי' אות </w:t>
      </w:r>
      <w:r w:rsidRPr="001A3C12">
        <w:rPr>
          <w:rStyle w:val="aff6"/>
          <w:rtl/>
        </w:rPr>
        <w:fldChar w:fldCharType="begin"/>
      </w:r>
      <w:r w:rsidRPr="001A3C12">
        <w:rPr>
          <w:rStyle w:val="aff6"/>
          <w:rtl/>
        </w:rPr>
        <w:instrText xml:space="preserve"> </w:instrText>
      </w:r>
      <w:r w:rsidRPr="001A3C12">
        <w:rPr>
          <w:rStyle w:val="aff6"/>
          <w:rFonts w:hint="cs"/>
        </w:rPr>
        <w:instrText>REF</w:instrText>
      </w:r>
      <w:r w:rsidRPr="001A3C12">
        <w:rPr>
          <w:rStyle w:val="aff6"/>
          <w:rFonts w:hint="cs"/>
          <w:rtl/>
        </w:rPr>
        <w:instrText xml:space="preserve"> _</w:instrText>
      </w:r>
      <w:r w:rsidRPr="001A3C12">
        <w:rPr>
          <w:rStyle w:val="aff6"/>
          <w:rFonts w:hint="cs"/>
        </w:rPr>
        <w:instrText>Ref23671739 \r \h</w:instrText>
      </w:r>
      <w:r w:rsidRPr="001A3C12">
        <w:rPr>
          <w:rStyle w:val="aff6"/>
          <w:rtl/>
        </w:rPr>
        <w:instrText xml:space="preserve"> </w:instrText>
      </w:r>
      <w:r w:rsidRPr="001A3C12">
        <w:rPr>
          <w:rStyle w:val="aff6"/>
          <w:rtl/>
        </w:rPr>
      </w:r>
      <w:r w:rsidRPr="001A3C12">
        <w:rPr>
          <w:rStyle w:val="aff6"/>
          <w:rtl/>
        </w:rPr>
        <w:fldChar w:fldCharType="separate"/>
      </w:r>
      <w:r>
        <w:rPr>
          <w:rStyle w:val="aff6"/>
          <w:cs/>
        </w:rPr>
        <w:t>‎</w:t>
      </w:r>
      <w:r>
        <w:rPr>
          <w:rStyle w:val="aff6"/>
          <w:rtl/>
        </w:rPr>
        <w:t>צח)</w:t>
      </w:r>
      <w:r w:rsidRPr="001A3C12">
        <w:rPr>
          <w:rStyle w:val="aff6"/>
          <w:rtl/>
        </w:rPr>
        <w:fldChar w:fldCharType="end"/>
      </w:r>
      <w:r>
        <w:rPr>
          <w:rFonts w:hint="cs"/>
          <w:rtl/>
        </w:rPr>
        <w:t xml:space="preserve"> דלדברי </w:t>
      </w:r>
      <w:r w:rsidRPr="00901C75">
        <w:rPr>
          <w:rStyle w:val="affa"/>
          <w:rFonts w:hint="cs"/>
          <w:rtl/>
        </w:rPr>
        <w:t>הפרמ"ג</w:t>
      </w:r>
      <w:r>
        <w:rPr>
          <w:rFonts w:hint="cs"/>
          <w:rtl/>
        </w:rPr>
        <w:t xml:space="preserve"> דמדין לח בלח מוכח דאף לדעת </w:t>
      </w:r>
      <w:r w:rsidRPr="00901C75">
        <w:rPr>
          <w:rStyle w:val="affa"/>
          <w:rFonts w:hint="cs"/>
          <w:rtl/>
        </w:rPr>
        <w:t>הרשב"א</w:t>
      </w:r>
      <w:r>
        <w:rPr>
          <w:rFonts w:hint="cs"/>
          <w:rtl/>
        </w:rPr>
        <w:t xml:space="preserve"> מהני מדאו' ביטול ברוב אף כשאוכל את כל התערובת בבת אחת, א"כ הקושיה היא אף לדעת </w:t>
      </w:r>
      <w:r w:rsidRPr="00901C75">
        <w:rPr>
          <w:rStyle w:val="affa"/>
          <w:rFonts w:hint="cs"/>
          <w:rtl/>
        </w:rPr>
        <w:t>הרשב"א</w:t>
      </w:r>
      <w:r>
        <w:rPr>
          <w:rFonts w:hint="cs"/>
          <w:rtl/>
        </w:rPr>
        <w:t xml:space="preserve"> ולא רק </w:t>
      </w:r>
      <w:r w:rsidRPr="00901C75">
        <w:rPr>
          <w:rStyle w:val="affa"/>
          <w:rFonts w:hint="cs"/>
          <w:rtl/>
        </w:rPr>
        <w:t>להרא"ש</w:t>
      </w:r>
      <w:r>
        <w:rPr>
          <w:rFonts w:hint="cs"/>
          <w:rtl/>
        </w:rPr>
        <w:t>.</w:t>
      </w:r>
    </w:p>
  </w:footnote>
  <w:footnote w:id="63">
    <w:p w:rsidR="00651E3B" w:rsidRPr="009C292E" w:rsidRDefault="00651E3B" w:rsidP="00D45705">
      <w:pPr>
        <w:pStyle w:val="ae"/>
        <w:rPr>
          <w:rStyle w:val="afa"/>
          <w:rtl/>
        </w:rPr>
      </w:pPr>
      <w:r>
        <w:rPr>
          <w:rStyle w:val="af0"/>
        </w:rPr>
        <w:footnoteRef/>
      </w:r>
      <w:r>
        <w:rPr>
          <w:rtl/>
        </w:rPr>
        <w:t xml:space="preserve"> </w:t>
      </w:r>
      <w:r w:rsidRPr="009C292E">
        <w:rPr>
          <w:rStyle w:val="afa"/>
          <w:rtl/>
        </w:rPr>
        <w:t xml:space="preserve">וכתב </w:t>
      </w:r>
      <w:r w:rsidRPr="007C6226">
        <w:rPr>
          <w:rStyle w:val="affa"/>
          <w:rtl/>
        </w:rPr>
        <w:t>הקוב"ש</w:t>
      </w:r>
      <w:r w:rsidRPr="009C292E">
        <w:rPr>
          <w:rStyle w:val="afa"/>
          <w:rtl/>
        </w:rPr>
        <w:t xml:space="preserve"> דא"כ אחר שאדם אחד אכל את החתיכה הראשונה, צריך לאסור לב' האחרים את החתיכות האחרות, כיון שכבר אין רוב, וכדעת </w:t>
      </w:r>
      <w:r w:rsidRPr="007C6226">
        <w:rPr>
          <w:rStyle w:val="affa"/>
          <w:rtl/>
        </w:rPr>
        <w:t>הרא"ש בחולין</w:t>
      </w:r>
      <w:r w:rsidRPr="009C292E">
        <w:rPr>
          <w:rStyle w:val="afa"/>
          <w:rtl/>
        </w:rPr>
        <w:t xml:space="preserve"> </w:t>
      </w:r>
      <w:r w:rsidRPr="009B19E7">
        <w:rPr>
          <w:rStyle w:val="aff6"/>
          <w:rtl/>
        </w:rPr>
        <w:t>(פ"ה סי' ה') דכתב</w:t>
      </w:r>
      <w:r w:rsidRPr="009C292E">
        <w:rPr>
          <w:rStyle w:val="afa"/>
          <w:rtl/>
        </w:rPr>
        <w:t xml:space="preserve"> בשם </w:t>
      </w:r>
      <w:r w:rsidRPr="007C6226">
        <w:rPr>
          <w:rStyle w:val="affa"/>
          <w:rtl/>
        </w:rPr>
        <w:t>הבה"ג</w:t>
      </w:r>
      <w:r w:rsidRPr="009C292E">
        <w:rPr>
          <w:rStyle w:val="afa"/>
          <w:rtl/>
        </w:rPr>
        <w:t xml:space="preserve"> </w:t>
      </w:r>
      <w:r w:rsidRPr="009B19E7">
        <w:rPr>
          <w:rStyle w:val="aff6"/>
          <w:rtl/>
        </w:rPr>
        <w:t>(סי' ס"ו עמ' תרמ"ט ד"ה והיכא)</w:t>
      </w:r>
      <w:r w:rsidRPr="009C292E">
        <w:rPr>
          <w:rStyle w:val="afa"/>
          <w:rtl/>
        </w:rPr>
        <w:t xml:space="preserve"> דברובא דאיתא קמן, ופרשו חלק מהרוב ונשארו שניים, דהנשארים אסורים כיון שעכשיו אין רוב, אך כתב </w:t>
      </w:r>
      <w:r w:rsidRPr="007C6226">
        <w:rPr>
          <w:rStyle w:val="affa"/>
          <w:rtl/>
        </w:rPr>
        <w:t>הקוב"ש</w:t>
      </w:r>
      <w:r w:rsidRPr="009C292E">
        <w:rPr>
          <w:rStyle w:val="afa"/>
          <w:rtl/>
        </w:rPr>
        <w:t xml:space="preserve"> דאפש"ל </w:t>
      </w:r>
      <w:r w:rsidRPr="007C6226">
        <w:rPr>
          <w:rStyle w:val="affa"/>
          <w:rtl/>
        </w:rPr>
        <w:t>דהתוס' רי"ד</w:t>
      </w:r>
      <w:r w:rsidRPr="009C292E">
        <w:rPr>
          <w:rStyle w:val="afa"/>
          <w:rtl/>
        </w:rPr>
        <w:t xml:space="preserve"> פליג על </w:t>
      </w:r>
      <w:r w:rsidRPr="007C6226">
        <w:rPr>
          <w:rStyle w:val="affa"/>
          <w:rtl/>
        </w:rPr>
        <w:t>הרא"ש</w:t>
      </w:r>
      <w:r w:rsidRPr="009C292E">
        <w:rPr>
          <w:rStyle w:val="afa"/>
          <w:rtl/>
        </w:rPr>
        <w:t>, וס'ל דכיון שבתחילה היה רוב, אף השתיים האחרונות מותרות מדין רוב.</w:t>
      </w:r>
    </w:p>
  </w:footnote>
  <w:footnote w:id="64">
    <w:p w:rsidR="00651E3B" w:rsidRDefault="00651E3B" w:rsidP="00D45705">
      <w:pPr>
        <w:pStyle w:val="ae"/>
      </w:pPr>
      <w:r>
        <w:rPr>
          <w:rStyle w:val="af0"/>
        </w:rPr>
        <w:footnoteRef/>
      </w:r>
      <w:r>
        <w:rPr>
          <w:rtl/>
        </w:rPr>
        <w:t xml:space="preserve"> </w:t>
      </w:r>
      <w:r>
        <w:rPr>
          <w:rFonts w:hint="cs"/>
          <w:rtl/>
        </w:rPr>
        <w:t xml:space="preserve">וע"ע </w:t>
      </w:r>
      <w:r w:rsidRPr="00E53C87">
        <w:rPr>
          <w:rStyle w:val="affa"/>
          <w:rFonts w:hint="cs"/>
          <w:rtl/>
        </w:rPr>
        <w:t xml:space="preserve">בריטב"א בב"מ </w:t>
      </w:r>
      <w:r w:rsidRPr="00E53C87">
        <w:rPr>
          <w:rStyle w:val="aff6"/>
          <w:rFonts w:hint="cs"/>
          <w:rtl/>
        </w:rPr>
        <w:t>(ז. ד"ה ה"נ)</w:t>
      </w:r>
      <w:r>
        <w:rPr>
          <w:rFonts w:hint="cs"/>
          <w:rtl/>
        </w:rPr>
        <w:t xml:space="preserve"> דהקשה דהמנוי יתבטל ברוב, כמו תרומה שנפלה לטבל דמתבטלת, ותירץ</w:t>
      </w:r>
      <w:r w:rsidRPr="00E53C87">
        <w:rPr>
          <w:rStyle w:val="affa"/>
          <w:rFonts w:hint="cs"/>
          <w:rtl/>
        </w:rPr>
        <w:t xml:space="preserve"> הריטב"א </w:t>
      </w:r>
      <w:r>
        <w:rPr>
          <w:rFonts w:hint="cs"/>
          <w:rtl/>
        </w:rPr>
        <w:t>דאף אי מדאו' בע"ח בטלים ברוב, מ"מ לענין מעשר בהמה אינם מתבטלים, כיון שיש דין עשירי ודאי ולא עשירי ספק.</w:t>
      </w:r>
    </w:p>
  </w:footnote>
  <w:footnote w:id="65">
    <w:p w:rsidR="00651E3B" w:rsidRDefault="00651E3B" w:rsidP="00D45705">
      <w:pPr>
        <w:pStyle w:val="ae"/>
        <w:rPr>
          <w:rtl/>
        </w:rPr>
      </w:pPr>
      <w:r>
        <w:rPr>
          <w:rStyle w:val="af0"/>
        </w:rPr>
        <w:footnoteRef/>
      </w:r>
      <w:r>
        <w:rPr>
          <w:rtl/>
        </w:rPr>
        <w:t xml:space="preserve"> </w:t>
      </w:r>
      <w:r w:rsidRPr="007A0CA0">
        <w:rPr>
          <w:rStyle w:val="afa"/>
          <w:rtl/>
        </w:rPr>
        <w:t xml:space="preserve">כתב </w:t>
      </w:r>
      <w:r w:rsidRPr="00E53C87">
        <w:rPr>
          <w:rStyle w:val="affa"/>
          <w:rtl/>
        </w:rPr>
        <w:t xml:space="preserve">הקוב"ש </w:t>
      </w:r>
      <w:r w:rsidRPr="00E53C87">
        <w:rPr>
          <w:rStyle w:val="aff6"/>
          <w:rtl/>
        </w:rPr>
        <w:t>(ח"ב קונ' דברי סופרים סי' ה' י"ט)</w:t>
      </w:r>
      <w:r w:rsidRPr="007A0CA0">
        <w:rPr>
          <w:rStyle w:val="afa"/>
          <w:rtl/>
        </w:rPr>
        <w:t xml:space="preserve"> דיש חילוק בין דין רוב בדיינים, לדין הלך אחר הרוב בכל התורה, דבכל התורה הרוב אינו הופך את האיסור להיתר, אלא הרוב מברר שהדבר המסופק יצא מהרוב של ההיתר ולא מהמיעוט של האיסור, אך במקום שכלפי שמיא גליא שהדבר המסופק הוא מהאיסור, א"כ הוא עובר איסור באכילתו, אך חשיב אונס ואין חייב קרבן, אבל בספיקא דדינא, כל שנפסק הדין עפ"י הרוב, אף אי כלפי שמיא גליא דהאמת היא כמו המיעוט, מ"מ נפסק הדין כמו הרוב, ואין בזה כל איסור אף לא באונס.</w:t>
      </w:r>
    </w:p>
    <w:p w:rsidR="00651E3B" w:rsidRDefault="00651E3B" w:rsidP="00D45705">
      <w:pPr>
        <w:pStyle w:val="ae"/>
        <w:rPr>
          <w:rtl/>
        </w:rPr>
      </w:pPr>
      <w:r>
        <w:rPr>
          <w:rtl/>
        </w:rPr>
        <w:t xml:space="preserve">אך הקשה </w:t>
      </w:r>
      <w:r w:rsidRPr="009B19E7">
        <w:rPr>
          <w:rStyle w:val="affa"/>
          <w:rtl/>
        </w:rPr>
        <w:t>הקוב"ש</w:t>
      </w:r>
      <w:r>
        <w:rPr>
          <w:rtl/>
        </w:rPr>
        <w:t xml:space="preserve"> </w:t>
      </w:r>
      <w:r w:rsidRPr="009B19E7">
        <w:rPr>
          <w:rStyle w:val="aff6"/>
          <w:rtl/>
        </w:rPr>
        <w:t>(ח"ב קונ' דברי סופרים סי' ה' כ"א)</w:t>
      </w:r>
      <w:r>
        <w:rPr>
          <w:rtl/>
        </w:rPr>
        <w:t xml:space="preserve"> דאי דין הלך אחר הרוב, אינו אותו הדין כמו רוב בספיקא דדינא, א"כ היאך ב' הדינים נלמדים מאחרי רבים להטות, דאי נאמר באחרי רבים להטות דהדין הוא כמו הרוב, אף במקום שהאמת היא כמו המיעוט, א"כ א"א ללמוד מזה את דין הלך אחר הרוב, אף שאין הרוב הופך את האיסור להיתר.</w:t>
      </w:r>
    </w:p>
    <w:p w:rsidR="00651E3B" w:rsidRDefault="00651E3B" w:rsidP="00D45705">
      <w:pPr>
        <w:pStyle w:val="ae"/>
        <w:rPr>
          <w:rtl/>
        </w:rPr>
      </w:pPr>
      <w:r>
        <w:rPr>
          <w:rtl/>
        </w:rPr>
        <w:t xml:space="preserve">אלא כתב </w:t>
      </w:r>
      <w:r w:rsidRPr="009B19E7">
        <w:rPr>
          <w:rStyle w:val="affa"/>
          <w:rtl/>
        </w:rPr>
        <w:t>הקוב"ש</w:t>
      </w:r>
      <w:r>
        <w:rPr>
          <w:rtl/>
        </w:rPr>
        <w:t xml:space="preserve"> </w:t>
      </w:r>
      <w:r w:rsidRPr="009B19E7">
        <w:rPr>
          <w:rStyle w:val="aff6"/>
          <w:rtl/>
        </w:rPr>
        <w:t>(ח"ב קונ' דברי סופרים סי' ה' כ"ב)</w:t>
      </w:r>
      <w:r>
        <w:rPr>
          <w:rtl/>
        </w:rPr>
        <w:t xml:space="preserve"> דדין רוב הוא דין אחד, בין בספיקא דדינא ובין בהלך אחר הרוב, אלא דדין הלך אחר הרוב, אם יתגלה אח"כ שהוא טעות והדבר המסופק הוא מהמיעוט, א"כ אף שבשעת הדין לא היה צריך לחוש לזה, מ"מ התברר למפרע שנעשה איסור, [כמו בעדות עדים שצריך להאמין להם אך אם יתברר שהם משקרים נעשה איסור], משא"כ בספיקא דדינא דניתנה תורה על דעת הוראת רוב החכמים, ולכן אף אם הם טועים הדין הוא כדבריהם</w:t>
      </w:r>
      <w:r>
        <w:rPr>
          <w:rFonts w:hint="cs"/>
          <w:rtl/>
        </w:rPr>
        <w:t>.</w:t>
      </w:r>
    </w:p>
    <w:p w:rsidR="00651E3B" w:rsidRPr="00532A37" w:rsidRDefault="00651E3B" w:rsidP="00D45705">
      <w:pPr>
        <w:pStyle w:val="ae"/>
        <w:rPr>
          <w:rtl/>
        </w:rPr>
      </w:pPr>
      <w:r>
        <w:rPr>
          <w:rFonts w:hint="cs"/>
          <w:rtl/>
        </w:rPr>
        <w:t xml:space="preserve">וכתב </w:t>
      </w:r>
      <w:r w:rsidRPr="00405C9F">
        <w:rPr>
          <w:rStyle w:val="affa"/>
          <w:rtl/>
        </w:rPr>
        <w:t>הקוב"ש</w:t>
      </w:r>
      <w:r>
        <w:rPr>
          <w:rtl/>
        </w:rPr>
        <w:t xml:space="preserve"> </w:t>
      </w:r>
      <w:r w:rsidRPr="00405C9F">
        <w:rPr>
          <w:rStyle w:val="aff6"/>
          <w:rtl/>
        </w:rPr>
        <w:t>(ח"ב קונ' דברי סופרים סי' ה'</w:t>
      </w:r>
      <w:r w:rsidRPr="00405C9F">
        <w:rPr>
          <w:rStyle w:val="aff6"/>
          <w:rFonts w:hint="cs"/>
          <w:rtl/>
        </w:rPr>
        <w:t xml:space="preserve"> כ"ד)</w:t>
      </w:r>
      <w:r>
        <w:rPr>
          <w:rFonts w:hint="cs"/>
          <w:rtl/>
        </w:rPr>
        <w:t xml:space="preserve"> דלכן אפשר ללמוד את דין הלך אחר הרוב בכל התורה, מדין הרוב בדיינים, דאי לא אזלינן אחר הרוב, א"כ לא היה נאמר הדין רוב בדיינים, דאין כל טעם לומר שניתנה תורה עפ"י הכרעת הרוב יותר מהכרעת המיעוט.</w:t>
      </w:r>
    </w:p>
  </w:footnote>
  <w:footnote w:id="66">
    <w:p w:rsidR="00651E3B" w:rsidRDefault="00651E3B" w:rsidP="0028438A">
      <w:pPr>
        <w:pStyle w:val="ae"/>
        <w:rPr>
          <w:rtl/>
        </w:rPr>
      </w:pPr>
      <w:r>
        <w:rPr>
          <w:rStyle w:val="af0"/>
        </w:rPr>
        <w:footnoteRef/>
      </w:r>
      <w:r>
        <w:rPr>
          <w:rFonts w:hint="cs"/>
          <w:rtl/>
        </w:rPr>
        <w:t xml:space="preserve"> </w:t>
      </w:r>
      <w:r>
        <w:rPr>
          <w:rStyle w:val="afa"/>
          <w:rtl/>
        </w:rPr>
        <w:t>וכתבו</w:t>
      </w:r>
      <w:r>
        <w:rPr>
          <w:rStyle w:val="affa"/>
          <w:rtl/>
        </w:rPr>
        <w:t xml:space="preserve"> הרמב"ן בע"ז</w:t>
      </w:r>
      <w:r>
        <w:rPr>
          <w:rStyle w:val="afa"/>
          <w:rtl/>
        </w:rPr>
        <w:t xml:space="preserve"> </w:t>
      </w:r>
      <w:r>
        <w:rPr>
          <w:rStyle w:val="aff6"/>
          <w:rtl/>
        </w:rPr>
        <w:t>(עד. ד"ה ואקשינן)</w:t>
      </w:r>
      <w:r>
        <w:rPr>
          <w:rStyle w:val="afa"/>
          <w:rtl/>
        </w:rPr>
        <w:t xml:space="preserve"> </w:t>
      </w:r>
      <w:r>
        <w:rPr>
          <w:rStyle w:val="affa"/>
          <w:rtl/>
        </w:rPr>
        <w:t>והרשבא בע"ז</w:t>
      </w:r>
      <w:r>
        <w:rPr>
          <w:rStyle w:val="afa"/>
          <w:rtl/>
        </w:rPr>
        <w:t xml:space="preserve"> </w:t>
      </w:r>
      <w:r>
        <w:rPr>
          <w:rStyle w:val="aff6"/>
          <w:rtl/>
        </w:rPr>
        <w:t>(עד. ד"ה תנא)</w:t>
      </w:r>
      <w:r>
        <w:rPr>
          <w:rStyle w:val="afa"/>
          <w:rtl/>
        </w:rPr>
        <w:t xml:space="preserve"> </w:t>
      </w:r>
      <w:r>
        <w:rPr>
          <w:rStyle w:val="affa"/>
          <w:rtl/>
        </w:rPr>
        <w:t>והרא"ש בע"ז</w:t>
      </w:r>
      <w:r>
        <w:rPr>
          <w:rStyle w:val="afa"/>
          <w:rtl/>
        </w:rPr>
        <w:t xml:space="preserve"> </w:t>
      </w:r>
      <w:r>
        <w:rPr>
          <w:rStyle w:val="aff6"/>
          <w:rtl/>
        </w:rPr>
        <w:t>(פ"ה סי' ל')</w:t>
      </w:r>
      <w:r>
        <w:rPr>
          <w:rStyle w:val="afa"/>
          <w:rtl/>
        </w:rPr>
        <w:t xml:space="preserve"> דלביאור </w:t>
      </w:r>
      <w:r>
        <w:rPr>
          <w:rStyle w:val="affa"/>
          <w:rtl/>
        </w:rPr>
        <w:t>רש"י</w:t>
      </w:r>
      <w:r>
        <w:rPr>
          <w:rStyle w:val="afa"/>
          <w:rtl/>
        </w:rPr>
        <w:t xml:space="preserve"> דלתנא דמתני' בע"ז חתיכת נבילה בטלה ברוב אף שהיא דבר שבמנין א"כ המשנה לעיל </w:t>
      </w:r>
      <w:r>
        <w:rPr>
          <w:rStyle w:val="aff6"/>
          <w:rtl/>
        </w:rPr>
        <w:t>(צו:)</w:t>
      </w:r>
      <w:r>
        <w:rPr>
          <w:rStyle w:val="afa"/>
          <w:rtl/>
        </w:rPr>
        <w:t xml:space="preserve"> פליגא על המשנה בע"ז, דחתיכת נבילה אינה בטלה ברוב דהיא ראויה להתכבד, וכן קיי"ל</w:t>
      </w:r>
      <w:r>
        <w:rPr>
          <w:rFonts w:hint="cs"/>
          <w:rtl/>
        </w:rPr>
        <w:t>.</w:t>
      </w:r>
    </w:p>
  </w:footnote>
  <w:footnote w:id="67">
    <w:p w:rsidR="00651E3B" w:rsidRDefault="00651E3B" w:rsidP="0028438A">
      <w:pPr>
        <w:pStyle w:val="ae"/>
        <w:rPr>
          <w:noProof/>
          <w:rtl/>
        </w:rPr>
      </w:pPr>
      <w:r>
        <w:rPr>
          <w:rStyle w:val="af0"/>
        </w:rPr>
        <w:footnoteRef/>
      </w:r>
      <w:r>
        <w:rPr>
          <w:rFonts w:hint="cs"/>
          <w:rtl/>
        </w:rPr>
        <w:t xml:space="preserve"> </w:t>
      </w:r>
      <w:r>
        <w:rPr>
          <w:rStyle w:val="afa"/>
          <w:rtl/>
        </w:rPr>
        <w:t xml:space="preserve">וכתב </w:t>
      </w:r>
      <w:r>
        <w:rPr>
          <w:rStyle w:val="affa"/>
          <w:rtl/>
        </w:rPr>
        <w:t>הרי"ף בע"ז</w:t>
      </w:r>
      <w:r>
        <w:rPr>
          <w:rStyle w:val="afa"/>
          <w:rtl/>
        </w:rPr>
        <w:t xml:space="preserve"> </w:t>
      </w:r>
      <w:r>
        <w:rPr>
          <w:rStyle w:val="aff6"/>
          <w:rtl/>
        </w:rPr>
        <w:t>(לז. מדפי הרי"ף)</w:t>
      </w:r>
      <w:r>
        <w:rPr>
          <w:rStyle w:val="afa"/>
          <w:rtl/>
        </w:rPr>
        <w:t xml:space="preserve"> דלא קיי"ל כמתני' בע"ז, דהא חמץ אוסר במשהו אף שאינו דבר שבמנין, אך </w:t>
      </w:r>
      <w:r>
        <w:rPr>
          <w:rStyle w:val="affa"/>
          <w:rtl/>
        </w:rPr>
        <w:t>הרמב"ן בע"ז</w:t>
      </w:r>
      <w:r>
        <w:rPr>
          <w:rStyle w:val="afa"/>
          <w:rtl/>
        </w:rPr>
        <w:t xml:space="preserve"> </w:t>
      </w:r>
      <w:r>
        <w:rPr>
          <w:rStyle w:val="aff6"/>
          <w:rtl/>
        </w:rPr>
        <w:t>(עד. ד"ה וי"מ)</w:t>
      </w:r>
      <w:r>
        <w:rPr>
          <w:rStyle w:val="afa"/>
          <w:rtl/>
        </w:rPr>
        <w:t xml:space="preserve"> הביא דעת </w:t>
      </w:r>
      <w:r>
        <w:rPr>
          <w:rStyle w:val="affa"/>
          <w:rtl/>
        </w:rPr>
        <w:t>י"מ</w:t>
      </w:r>
      <w:r>
        <w:rPr>
          <w:rStyle w:val="afa"/>
          <w:rtl/>
        </w:rPr>
        <w:t xml:space="preserve"> דכתבו דרק בלח בלח חמץ אוסר במשהו ולא ביבש ביבש, וכן פסק </w:t>
      </w:r>
      <w:r>
        <w:rPr>
          <w:rStyle w:val="affa"/>
          <w:rtl/>
        </w:rPr>
        <w:t>הרא"ש בע"ז</w:t>
      </w:r>
      <w:r>
        <w:rPr>
          <w:rStyle w:val="afa"/>
          <w:rtl/>
        </w:rPr>
        <w:t xml:space="preserve"> </w:t>
      </w:r>
      <w:r>
        <w:rPr>
          <w:rStyle w:val="aff6"/>
          <w:rtl/>
        </w:rPr>
        <w:t>(פ"ה סי' ל')</w:t>
      </w:r>
      <w:r>
        <w:rPr>
          <w:rStyle w:val="afa"/>
          <w:rtl/>
        </w:rPr>
        <w:t xml:space="preserve">, והקשה </w:t>
      </w:r>
      <w:r>
        <w:rPr>
          <w:rStyle w:val="affa"/>
          <w:rtl/>
        </w:rPr>
        <w:t>הרא"ש</w:t>
      </w:r>
      <w:r>
        <w:rPr>
          <w:rStyle w:val="afa"/>
          <w:rtl/>
        </w:rPr>
        <w:t xml:space="preserve"> על </w:t>
      </w:r>
      <w:r>
        <w:rPr>
          <w:rStyle w:val="affa"/>
          <w:rtl/>
        </w:rPr>
        <w:t>רש"י בע"ז</w:t>
      </w:r>
      <w:r>
        <w:rPr>
          <w:rStyle w:val="afa"/>
          <w:rtl/>
        </w:rPr>
        <w:t xml:space="preserve"> דכיון דמהני ביטול ברוב ביבש ביבש אף בחמץ בפסח, א"כ הוא מותר אף בהנאה ולא רק באכילה.</w:t>
      </w:r>
    </w:p>
  </w:footnote>
  <w:footnote w:id="68">
    <w:p w:rsidR="00651E3B" w:rsidRDefault="00651E3B" w:rsidP="0028438A">
      <w:pPr>
        <w:pStyle w:val="ae"/>
        <w:rPr>
          <w:rtl/>
        </w:rPr>
      </w:pPr>
      <w:r>
        <w:rPr>
          <w:rStyle w:val="af0"/>
        </w:rPr>
        <w:footnoteRef/>
      </w:r>
      <w:r>
        <w:rPr>
          <w:rFonts w:hint="cs"/>
          <w:rtl/>
        </w:rPr>
        <w:t xml:space="preserve"> וכתב </w:t>
      </w:r>
      <w:r>
        <w:rPr>
          <w:rStyle w:val="affa"/>
          <w:rtl/>
        </w:rPr>
        <w:t>בהג' שערי דורא</w:t>
      </w:r>
      <w:r>
        <w:rPr>
          <w:rFonts w:hint="cs"/>
          <w:rtl/>
        </w:rPr>
        <w:t xml:space="preserve"> </w:t>
      </w:r>
      <w:r>
        <w:rPr>
          <w:rStyle w:val="aff6"/>
          <w:rtl/>
        </w:rPr>
        <w:t>(הל' איסור והיתר סי' ל"ט אות ו', הועתק בקובץ שיטות קמאי חולין ח"ג עמ' ב' אלף שמג)</w:t>
      </w:r>
      <w:r>
        <w:rPr>
          <w:rFonts w:hint="cs"/>
          <w:rtl/>
        </w:rPr>
        <w:t xml:space="preserve"> דאעפ"י </w:t>
      </w:r>
      <w:r>
        <w:rPr>
          <w:rStyle w:val="affa"/>
          <w:rtl/>
        </w:rPr>
        <w:t>שהמהר"ם מרוטנבורג</w:t>
      </w:r>
      <w:r>
        <w:rPr>
          <w:rFonts w:hint="cs"/>
          <w:rtl/>
        </w:rPr>
        <w:t xml:space="preserve"> נתן חתיכה אחת לעכו"ם, אפש"ל שאי"ז מדינא אלא דהחמיר על עצמו, כיון שהוא גנאי שיראה שת"ח וצדיק יזדמן דבר אכילה של איסור לפיו, ואחר שהחמיר על עצמו לתלות שהחתיכה הזו היא של איסור, לא נתנה לישראל אחר דיראה שהוא מאכילו איסור, וכ"כ </w:t>
      </w:r>
      <w:r>
        <w:rPr>
          <w:rStyle w:val="affa"/>
          <w:rtl/>
        </w:rPr>
        <w:t>הרמ"א</w:t>
      </w:r>
      <w:r>
        <w:rPr>
          <w:rFonts w:hint="cs"/>
          <w:rtl/>
        </w:rPr>
        <w:t xml:space="preserve"> </w:t>
      </w:r>
      <w:r>
        <w:rPr>
          <w:rStyle w:val="aff6"/>
          <w:rtl/>
        </w:rPr>
        <w:t>(סי' ק"ט א')</w:t>
      </w:r>
      <w:r>
        <w:rPr>
          <w:rFonts w:hint="cs"/>
          <w:rtl/>
        </w:rPr>
        <w:t xml:space="preserve"> דלהשליך אחד לכלבים הוא חומרא בעלמא.</w:t>
      </w:r>
    </w:p>
    <w:p w:rsidR="00651E3B" w:rsidRDefault="00651E3B" w:rsidP="0028438A">
      <w:pPr>
        <w:pStyle w:val="ae"/>
        <w:rPr>
          <w:rtl/>
        </w:rPr>
      </w:pPr>
      <w:r>
        <w:rPr>
          <w:rFonts w:hint="cs"/>
          <w:rtl/>
        </w:rPr>
        <w:t xml:space="preserve">אך כתב </w:t>
      </w:r>
      <w:r>
        <w:rPr>
          <w:rStyle w:val="affa"/>
          <w:rtl/>
        </w:rPr>
        <w:t>בהג' שערי דורא</w:t>
      </w:r>
      <w:r>
        <w:rPr>
          <w:rFonts w:hint="cs"/>
          <w:rtl/>
        </w:rPr>
        <w:t xml:space="preserve"> דאף שא"צ להשליך אחת לכלבים דהוא פסידא, מ"מ יש להחמיר כדעת </w:t>
      </w:r>
      <w:r>
        <w:rPr>
          <w:rStyle w:val="affa"/>
          <w:rtl/>
        </w:rPr>
        <w:t>התוס'  והסמ"ג</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Ref23708991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ט)</w:t>
      </w:r>
      <w:r>
        <w:rPr>
          <w:rStyle w:val="aff6"/>
          <w:rtl/>
        </w:rPr>
        <w:fldChar w:fldCharType="end"/>
      </w:r>
      <w:r>
        <w:rPr>
          <w:rFonts w:hint="cs"/>
          <w:rtl/>
        </w:rPr>
        <w:t xml:space="preserve"> שיאכלו ב' בנ"א כיון שאי"ז הפסד גדול, וכתב </w:t>
      </w:r>
      <w:r>
        <w:rPr>
          <w:rStyle w:val="affa"/>
          <w:rtl/>
        </w:rPr>
        <w:t>הרמ"א</w:t>
      </w:r>
      <w:r>
        <w:rPr>
          <w:rFonts w:hint="cs"/>
          <w:rtl/>
        </w:rPr>
        <w:t xml:space="preserve"> </w:t>
      </w:r>
      <w:r>
        <w:rPr>
          <w:rStyle w:val="aff6"/>
          <w:rtl/>
        </w:rPr>
        <w:t>(סי' ק"ט א')</w:t>
      </w:r>
      <w:r>
        <w:rPr>
          <w:rFonts w:hint="cs"/>
          <w:rtl/>
        </w:rPr>
        <w:t xml:space="preserve"> דכן יש לנהוג  לכתחילה.</w:t>
      </w:r>
    </w:p>
  </w:footnote>
  <w:footnote w:id="69">
    <w:p w:rsidR="00651E3B" w:rsidRDefault="00651E3B" w:rsidP="0028438A">
      <w:pPr>
        <w:pStyle w:val="ae"/>
        <w:rPr>
          <w:rtl/>
        </w:rPr>
      </w:pPr>
      <w:r>
        <w:rPr>
          <w:rStyle w:val="af0"/>
        </w:rPr>
        <w:footnoteRef/>
      </w:r>
      <w:r>
        <w:rPr>
          <w:rFonts w:hint="cs"/>
          <w:rtl/>
        </w:rPr>
        <w:t xml:space="preserve"> </w:t>
      </w:r>
      <w:r>
        <w:rPr>
          <w:rStyle w:val="afa"/>
          <w:rtl/>
        </w:rPr>
        <w:t>וע"ע</w:t>
      </w:r>
      <w:r>
        <w:rPr>
          <w:rFonts w:hint="cs"/>
          <w:rtl/>
        </w:rPr>
        <w:t xml:space="preserve"> </w:t>
      </w:r>
      <w:r>
        <w:rPr>
          <w:rStyle w:val="affa"/>
          <w:rtl/>
        </w:rPr>
        <w:t>בתוס' רי"ד בנדרים</w:t>
      </w:r>
      <w:r>
        <w:rPr>
          <w:rFonts w:hint="cs"/>
          <w:rtl/>
        </w:rPr>
        <w:t xml:space="preserve"> </w:t>
      </w:r>
      <w:r>
        <w:rPr>
          <w:rStyle w:val="af6"/>
          <w:rFonts w:eastAsia="Guttman Hodes" w:hint="cs"/>
          <w:rtl/>
        </w:rPr>
        <w:t>(הובא בסימן ט"ז הערה</w:t>
      </w:r>
      <w:r>
        <w:rPr>
          <w:rFonts w:hint="cs"/>
          <w:vertAlign w:val="superscript"/>
          <w:rtl/>
        </w:rPr>
        <w:t>4</w:t>
      </w:r>
      <w:r>
        <w:rPr>
          <w:rStyle w:val="af6"/>
          <w:rFonts w:eastAsia="Guttman Hodes" w:hint="cs"/>
          <w:rtl/>
        </w:rPr>
        <w:t xml:space="preserve">) </w:t>
      </w:r>
      <w:r>
        <w:rPr>
          <w:rStyle w:val="afa"/>
          <w:rtl/>
        </w:rPr>
        <w:t>דמבואר מדבריו דהביטול ביבש ביבש, הוא רק כיון שכ"א עומד בפנ"ע, אמנם יעוי' עוד בדברי</w:t>
      </w:r>
      <w:r>
        <w:rPr>
          <w:rFonts w:hint="cs"/>
          <w:rtl/>
        </w:rPr>
        <w:t xml:space="preserve"> </w:t>
      </w:r>
      <w:r>
        <w:rPr>
          <w:rStyle w:val="affa"/>
          <w:rtl/>
        </w:rPr>
        <w:t>התוס' רי"ד בע"ז</w:t>
      </w:r>
      <w:r>
        <w:rPr>
          <w:rFonts w:hint="cs"/>
          <w:rtl/>
        </w:rPr>
        <w:t xml:space="preserve"> </w:t>
      </w:r>
      <w:r>
        <w:rPr>
          <w:rStyle w:val="af6"/>
          <w:rFonts w:eastAsia="Guttman Hodes" w:hint="cs"/>
          <w:rtl/>
        </w:rPr>
        <w:t>(הובא בסימן ט"ז הערה</w:t>
      </w:r>
      <w:r>
        <w:rPr>
          <w:rFonts w:hint="cs"/>
          <w:vertAlign w:val="superscript"/>
          <w:rtl/>
        </w:rPr>
        <w:t>5</w:t>
      </w:r>
      <w:r>
        <w:rPr>
          <w:rStyle w:val="af6"/>
          <w:rFonts w:eastAsia="Guttman Hodes" w:hint="cs"/>
          <w:rtl/>
        </w:rPr>
        <w:t xml:space="preserve">) </w:t>
      </w:r>
      <w:r>
        <w:rPr>
          <w:rStyle w:val="afa"/>
          <w:rtl/>
        </w:rPr>
        <w:t>דמבואר מדבריו דאף בלח בלח, ההיתר הוא מדין ביטול ברוב כיבש ביבש, ולא מדין הלך אחר הרוב.</w:t>
      </w:r>
    </w:p>
  </w:footnote>
  <w:footnote w:id="70">
    <w:p w:rsidR="00651E3B" w:rsidRDefault="00651E3B" w:rsidP="0028438A">
      <w:pPr>
        <w:pStyle w:val="ae"/>
      </w:pPr>
      <w:r>
        <w:rPr>
          <w:rStyle w:val="af0"/>
        </w:rPr>
        <w:footnoteRef/>
      </w:r>
      <w:r>
        <w:rPr>
          <w:rFonts w:hint="cs"/>
          <w:rtl/>
        </w:rPr>
        <w:t xml:space="preserve"> אך כתב </w:t>
      </w:r>
      <w:r>
        <w:rPr>
          <w:rStyle w:val="affa"/>
          <w:rtl/>
        </w:rPr>
        <w:t>היד יהודה</w:t>
      </w:r>
      <w:r>
        <w:rPr>
          <w:rFonts w:hint="cs"/>
          <w:rtl/>
        </w:rPr>
        <w:t xml:space="preserve"> </w:t>
      </w:r>
      <w:r>
        <w:rPr>
          <w:rStyle w:val="aff6"/>
          <w:rtl/>
        </w:rPr>
        <w:t>(סי' ק"ט סק"ז)</w:t>
      </w:r>
      <w:r>
        <w:rPr>
          <w:rFonts w:hint="cs"/>
          <w:rtl/>
        </w:rPr>
        <w:t xml:space="preserve"> דמדברי </w:t>
      </w:r>
      <w:r>
        <w:rPr>
          <w:rStyle w:val="affa"/>
          <w:rtl/>
        </w:rPr>
        <w:t>הרשב"א בתשו'</w:t>
      </w:r>
      <w:r>
        <w:rPr>
          <w:rFonts w:hint="cs"/>
          <w:rtl/>
        </w:rPr>
        <w:t xml:space="preserve"> </w:t>
      </w:r>
      <w:r>
        <w:rPr>
          <w:rStyle w:val="aff6"/>
          <w:rtl/>
        </w:rPr>
        <w:t>(ח"א סי תכ"ה)</w:t>
      </w:r>
      <w:r>
        <w:rPr>
          <w:rFonts w:hint="cs"/>
          <w:rtl/>
        </w:rPr>
        <w:t xml:space="preserve"> מבואר דהוא מודה דעיקר האיסור לחזור ולבשל את התערובת, הוא כיון דעי"ז חוזר ונעשה לח, [כדביאר </w:t>
      </w:r>
      <w:r>
        <w:rPr>
          <w:rStyle w:val="affa"/>
          <w:rtl/>
        </w:rPr>
        <w:t>היד יהודה</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Ref23984422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פ)</w:t>
      </w:r>
      <w:r>
        <w:rPr>
          <w:rStyle w:val="aff6"/>
          <w:rtl/>
        </w:rPr>
        <w:fldChar w:fldCharType="end"/>
      </w:r>
      <w:r>
        <w:rPr>
          <w:rFonts w:hint="cs"/>
          <w:rtl/>
        </w:rPr>
        <w:t xml:space="preserve"> בדעת </w:t>
      </w:r>
      <w:r>
        <w:rPr>
          <w:rStyle w:val="affa"/>
          <w:rtl/>
        </w:rPr>
        <w:t>הרא"ה והר"ן</w:t>
      </w:r>
      <w:r>
        <w:rPr>
          <w:rFonts w:hint="cs"/>
          <w:rtl/>
        </w:rPr>
        <w:t xml:space="preserve">], אלא דס"ל שדין שישים שייך אף ביבש ולא רק במקום שיש נתינת טעם, אך מ"מ לא גזרו רבנן שישים ביבש, כיון דממילא אסור לאכול את כל החתיכות יחד, דבכה"ג נעשה כלח, [כדביאר </w:t>
      </w:r>
      <w:r>
        <w:rPr>
          <w:rStyle w:val="affa"/>
          <w:rtl/>
        </w:rPr>
        <w:t>היד יהודה</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Ref23984422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פ)</w:t>
      </w:r>
      <w:r>
        <w:rPr>
          <w:rStyle w:val="aff6"/>
          <w:rtl/>
        </w:rPr>
        <w:fldChar w:fldCharType="end"/>
      </w:r>
      <w:r>
        <w:rPr>
          <w:rFonts w:hint="cs"/>
          <w:rtl/>
        </w:rPr>
        <w:t xml:space="preserve"> בדעת </w:t>
      </w:r>
      <w:r>
        <w:rPr>
          <w:rStyle w:val="affa"/>
          <w:rtl/>
        </w:rPr>
        <w:t>הרא"ה והר"ן</w:t>
      </w:r>
      <w:r>
        <w:rPr>
          <w:rFonts w:hint="cs"/>
          <w:rtl/>
        </w:rPr>
        <w:t xml:space="preserve">], ולכן ס"ל </w:t>
      </w:r>
      <w:r>
        <w:rPr>
          <w:rStyle w:val="affa"/>
          <w:rtl/>
        </w:rPr>
        <w:t>להרשב"א</w:t>
      </w:r>
      <w:r>
        <w:rPr>
          <w:rFonts w:hint="cs"/>
          <w:rtl/>
        </w:rPr>
        <w:t xml:space="preserve"> דלא גזרו דין שישים ביבש, דחד בתרי ביבש הוא כמו שיעור שישים במקום שצריך לבטל את הטעם. [וציין </w:t>
      </w:r>
      <w:r>
        <w:rPr>
          <w:rStyle w:val="affa"/>
          <w:rtl/>
        </w:rPr>
        <w:t>היד יהודה</w:t>
      </w:r>
      <w:r>
        <w:rPr>
          <w:rFonts w:hint="cs"/>
          <w:rtl/>
        </w:rPr>
        <w:t xml:space="preserve"> דהוא דלא כדביאר בדעת </w:t>
      </w:r>
      <w:r>
        <w:rPr>
          <w:rStyle w:val="affa"/>
          <w:rtl/>
        </w:rPr>
        <w:t>הרשב"א בתשו'</w:t>
      </w:r>
      <w:r>
        <w:rPr>
          <w:rFonts w:hint="cs"/>
          <w:rtl/>
        </w:rPr>
        <w:t xml:space="preserve"> </w:t>
      </w:r>
      <w:r>
        <w:rPr>
          <w:rStyle w:val="aff6"/>
          <w:rtl/>
        </w:rPr>
        <w:t>(סי' ס"ט ס"ק ס"א ד"ה ועי' בשו"ת הרשב"א)</w:t>
      </w:r>
      <w:r>
        <w:rPr>
          <w:rFonts w:hint="cs"/>
          <w:rtl/>
        </w:rPr>
        <w:t>].</w:t>
      </w:r>
    </w:p>
  </w:footnote>
  <w:footnote w:id="71">
    <w:p w:rsidR="00651E3B" w:rsidRDefault="00651E3B" w:rsidP="0028438A">
      <w:pPr>
        <w:pStyle w:val="ae"/>
      </w:pPr>
      <w:r>
        <w:rPr>
          <w:rStyle w:val="af0"/>
        </w:rPr>
        <w:footnoteRef/>
      </w:r>
      <w:r>
        <w:rPr>
          <w:rFonts w:hint="cs"/>
          <w:rtl/>
        </w:rPr>
        <w:t xml:space="preserve"> </w:t>
      </w:r>
      <w:r>
        <w:rPr>
          <w:rStyle w:val="afa"/>
          <w:rtl/>
        </w:rPr>
        <w:t xml:space="preserve">ועיי"ש ובמה שהקשה </w:t>
      </w:r>
      <w:r>
        <w:rPr>
          <w:rStyle w:val="affa"/>
          <w:rtl/>
        </w:rPr>
        <w:t>המשנת ר"א</w:t>
      </w:r>
      <w:r>
        <w:rPr>
          <w:rStyle w:val="afa"/>
          <w:rtl/>
        </w:rPr>
        <w:t xml:space="preserve"> </w:t>
      </w:r>
      <w:r>
        <w:rPr>
          <w:rStyle w:val="aff6"/>
          <w:rtl/>
        </w:rPr>
        <w:t xml:space="preserve">(סי ז' אות א' ד"ה האמנם) </w:t>
      </w:r>
      <w:r>
        <w:rPr>
          <w:rStyle w:val="afa"/>
          <w:rtl/>
        </w:rPr>
        <w:t xml:space="preserve">דמדברי </w:t>
      </w:r>
      <w:r>
        <w:rPr>
          <w:rStyle w:val="affa"/>
          <w:rtl/>
        </w:rPr>
        <w:t>הרשב"א והרא"ש</w:t>
      </w:r>
      <w:r>
        <w:rPr>
          <w:rStyle w:val="afa"/>
          <w:rtl/>
        </w:rPr>
        <w:t xml:space="preserve"> בחמץ משמע להיפך, וע"ע בדברי </w:t>
      </w:r>
      <w:r>
        <w:rPr>
          <w:rStyle w:val="affa"/>
          <w:rtl/>
        </w:rPr>
        <w:t>המשנת ר"א</w:t>
      </w:r>
      <w:r>
        <w:rPr>
          <w:rStyle w:val="afa"/>
          <w:rtl/>
        </w:rPr>
        <w:t xml:space="preserve"> במה שביאר בזה את פלוגתת </w:t>
      </w:r>
      <w:r>
        <w:rPr>
          <w:rStyle w:val="affa"/>
          <w:rtl/>
        </w:rPr>
        <w:t>התוס' לעיל</w:t>
      </w:r>
      <w:r>
        <w:rPr>
          <w:rStyle w:val="afa"/>
          <w:rtl/>
        </w:rPr>
        <w:t xml:space="preserve"> </w:t>
      </w:r>
      <w:r>
        <w:rPr>
          <w:rStyle w:val="aff6"/>
          <w:rtl/>
        </w:rPr>
        <w:t xml:space="preserve">(צה. ד"ה ספיקו, הובא בסימן ט"ז אות ק') </w:t>
      </w:r>
      <w:r>
        <w:rPr>
          <w:rStyle w:val="affa"/>
          <w:rtl/>
        </w:rPr>
        <w:t>והר"ן על הרי"ף</w:t>
      </w:r>
      <w:r>
        <w:rPr>
          <w:rStyle w:val="afa"/>
          <w:rtl/>
        </w:rPr>
        <w:t xml:space="preserve"> </w:t>
      </w:r>
      <w:r>
        <w:rPr>
          <w:rStyle w:val="aff6"/>
          <w:rtl/>
        </w:rPr>
        <w:t xml:space="preserve">(לג. מדפי הרי"ף סוד"ה ובנמצא, הובא בסימן ט"ז אות ק"א) </w:t>
      </w:r>
      <w:r>
        <w:rPr>
          <w:rStyle w:val="afa"/>
          <w:rtl/>
        </w:rPr>
        <w:t xml:space="preserve">בהא דלא אמרינן בביטול ברוב קבוע, כיון שאינו ניכר, וע"ע במ"ש </w:t>
      </w:r>
      <w:r>
        <w:rPr>
          <w:rStyle w:val="affa"/>
          <w:rtl/>
        </w:rPr>
        <w:t>המשנת ר"א</w:t>
      </w:r>
      <w:r>
        <w:rPr>
          <w:rStyle w:val="aff6"/>
          <w:rtl/>
        </w:rPr>
        <w:t xml:space="preserve"> (סי ז' אות ח')</w:t>
      </w:r>
      <w:r>
        <w:rPr>
          <w:rStyle w:val="afa"/>
          <w:rtl/>
        </w:rPr>
        <w:t>.</w:t>
      </w:r>
    </w:p>
  </w:footnote>
  <w:footnote w:id="72">
    <w:p w:rsidR="00651E3B" w:rsidRDefault="00651E3B" w:rsidP="0028438A">
      <w:pPr>
        <w:pStyle w:val="ae"/>
      </w:pPr>
      <w:r>
        <w:rPr>
          <w:rStyle w:val="af0"/>
        </w:rPr>
        <w:footnoteRef/>
      </w:r>
      <w:r>
        <w:rPr>
          <w:rFonts w:hint="cs"/>
          <w:rtl/>
        </w:rPr>
        <w:t xml:space="preserve"> ועי' בדברי </w:t>
      </w:r>
      <w:r>
        <w:rPr>
          <w:rStyle w:val="affa"/>
          <w:rtl/>
        </w:rPr>
        <w:t>השער"י</w:t>
      </w:r>
      <w:r>
        <w:rPr>
          <w:rFonts w:hint="cs"/>
          <w:rtl/>
        </w:rPr>
        <w:t xml:space="preserve"> דכתב דלפי"ז האיסור בפחות משישים בלח בלח, הוא רק בדבר ששייך בו נתינת טעם, דגזרו אטו מין בשאינו מינו, אבל באיסור כלאים או אפר שהוא מוקצה ביו"ט, מהני ביטול ברוב, אך הביא </w:t>
      </w:r>
      <w:r>
        <w:rPr>
          <w:rStyle w:val="affa"/>
          <w:rtl/>
        </w:rPr>
        <w:t>השער"י</w:t>
      </w:r>
      <w:r>
        <w:rPr>
          <w:rFonts w:hint="cs"/>
          <w:rtl/>
        </w:rPr>
        <w:t xml:space="preserve"> את דברי </w:t>
      </w:r>
      <w:r>
        <w:rPr>
          <w:rStyle w:val="affa"/>
          <w:rtl/>
        </w:rPr>
        <w:t>המג"א</w:t>
      </w:r>
      <w:r>
        <w:rPr>
          <w:rFonts w:hint="cs"/>
          <w:rtl/>
        </w:rPr>
        <w:t xml:space="preserve"> </w:t>
      </w:r>
      <w:r>
        <w:rPr>
          <w:rStyle w:val="aff6"/>
          <w:rtl/>
        </w:rPr>
        <w:t>(סי' תצ"ח סקכ"ח)</w:t>
      </w:r>
      <w:r>
        <w:rPr>
          <w:rFonts w:hint="cs"/>
          <w:rtl/>
        </w:rPr>
        <w:t xml:space="preserve"> דאפר מוקצה חשיב כלח בלח, והביא </w:t>
      </w:r>
      <w:r>
        <w:rPr>
          <w:rStyle w:val="affa"/>
          <w:rtl/>
        </w:rPr>
        <w:t>השער"י</w:t>
      </w:r>
      <w:r>
        <w:rPr>
          <w:rFonts w:hint="cs"/>
          <w:rtl/>
        </w:rPr>
        <w:t xml:space="preserve"> דהקשה </w:t>
      </w:r>
      <w:r>
        <w:rPr>
          <w:rStyle w:val="affa"/>
          <w:rtl/>
        </w:rPr>
        <w:t>הפרמ"ג</w:t>
      </w:r>
      <w:r>
        <w:rPr>
          <w:rFonts w:hint="cs"/>
          <w:rtl/>
        </w:rPr>
        <w:t xml:space="preserve"> </w:t>
      </w:r>
      <w:r>
        <w:rPr>
          <w:rStyle w:val="aff6"/>
          <w:rtl/>
        </w:rPr>
        <w:t>(פתיחה שער התערובות ח"ג פ"ג ד"ה והנה קמח)</w:t>
      </w:r>
      <w:r>
        <w:rPr>
          <w:rFonts w:hint="cs"/>
          <w:rtl/>
        </w:rPr>
        <w:t xml:space="preserve"> דדין לח בלח הוא רק במקום שיש טעם, ועיי"ש במה שתירץ </w:t>
      </w:r>
      <w:r>
        <w:rPr>
          <w:rStyle w:val="affa"/>
          <w:rtl/>
        </w:rPr>
        <w:t>הפרמ"ג</w:t>
      </w:r>
      <w:r>
        <w:rPr>
          <w:rFonts w:hint="cs"/>
          <w:rtl/>
        </w:rPr>
        <w:t xml:space="preserve">, ובמה שתמה עליו </w:t>
      </w:r>
      <w:r>
        <w:rPr>
          <w:rStyle w:val="affa"/>
          <w:rtl/>
        </w:rPr>
        <w:t>השער"י</w:t>
      </w:r>
      <w:r>
        <w:rPr>
          <w:rFonts w:hint="cs"/>
          <w:rtl/>
        </w:rPr>
        <w:t xml:space="preserve">, ובמה שביאר </w:t>
      </w:r>
      <w:r>
        <w:rPr>
          <w:rStyle w:val="affa"/>
          <w:rtl/>
        </w:rPr>
        <w:t>השער"י</w:t>
      </w:r>
      <w:r>
        <w:rPr>
          <w:rFonts w:hint="cs"/>
          <w:rtl/>
        </w:rPr>
        <w:t xml:space="preserve"> בדעת </w:t>
      </w:r>
      <w:r>
        <w:rPr>
          <w:rStyle w:val="affa"/>
          <w:rtl/>
        </w:rPr>
        <w:t>הרשב"א</w:t>
      </w:r>
      <w:r>
        <w:rPr>
          <w:rFonts w:hint="cs"/>
          <w:rtl/>
        </w:rPr>
        <w:t xml:space="preserve"> בזה.</w:t>
      </w:r>
    </w:p>
  </w:footnote>
  <w:footnote w:id="73">
    <w:p w:rsidR="00651E3B" w:rsidRDefault="00651E3B" w:rsidP="0028438A">
      <w:pPr>
        <w:pStyle w:val="ae"/>
        <w:rPr>
          <w:rStyle w:val="afa"/>
        </w:rPr>
      </w:pPr>
      <w:r>
        <w:rPr>
          <w:rStyle w:val="af0"/>
        </w:rPr>
        <w:footnoteRef/>
      </w:r>
      <w:r>
        <w:rPr>
          <w:rFonts w:hint="cs"/>
          <w:rtl/>
        </w:rPr>
        <w:t xml:space="preserve"> </w:t>
      </w:r>
      <w:r>
        <w:rPr>
          <w:rStyle w:val="afa"/>
          <w:rtl/>
        </w:rPr>
        <w:t xml:space="preserve">וכתב </w:t>
      </w:r>
      <w:r>
        <w:rPr>
          <w:rStyle w:val="affa"/>
          <w:rtl/>
        </w:rPr>
        <w:t>הקוב"ש</w:t>
      </w:r>
      <w:r>
        <w:rPr>
          <w:rStyle w:val="afa"/>
          <w:rtl/>
        </w:rPr>
        <w:t xml:space="preserve"> דא"כ אחר שאדם אחד אכל את החתיכה הראשונה, צריך לאסור לב' האחרים את החתיכות האחרות, כיון שכבר אין רוב, וכדעת </w:t>
      </w:r>
      <w:r>
        <w:rPr>
          <w:rStyle w:val="affa"/>
          <w:rtl/>
        </w:rPr>
        <w:t>הרא"ש בחולין</w:t>
      </w:r>
      <w:r>
        <w:rPr>
          <w:rStyle w:val="afa"/>
          <w:rtl/>
        </w:rPr>
        <w:t xml:space="preserve"> </w:t>
      </w:r>
      <w:r>
        <w:rPr>
          <w:rStyle w:val="aff6"/>
          <w:rtl/>
        </w:rPr>
        <w:t>(פ"ה סי' ה') דכתב</w:t>
      </w:r>
      <w:r>
        <w:rPr>
          <w:rStyle w:val="afa"/>
          <w:rtl/>
        </w:rPr>
        <w:t xml:space="preserve"> בשם </w:t>
      </w:r>
      <w:r>
        <w:rPr>
          <w:rStyle w:val="affa"/>
          <w:rtl/>
        </w:rPr>
        <w:t>הבה"ג</w:t>
      </w:r>
      <w:r>
        <w:rPr>
          <w:rStyle w:val="afa"/>
          <w:rtl/>
        </w:rPr>
        <w:t xml:space="preserve"> </w:t>
      </w:r>
      <w:r>
        <w:rPr>
          <w:rStyle w:val="aff6"/>
          <w:rtl/>
        </w:rPr>
        <w:t>(סי' ס"ו עמ' תרמ"ט ד"ה והיכא)</w:t>
      </w:r>
      <w:r>
        <w:rPr>
          <w:rStyle w:val="afa"/>
          <w:rtl/>
        </w:rPr>
        <w:t xml:space="preserve"> דברובא דאיתא קמן, ופרשו חלק מהרוב ונשארו שניים, דהנשארים אסורים כיון שעכשיו אין רוב, אך כתב </w:t>
      </w:r>
      <w:r>
        <w:rPr>
          <w:rStyle w:val="affa"/>
          <w:rtl/>
        </w:rPr>
        <w:t>הקוב"ש</w:t>
      </w:r>
      <w:r>
        <w:rPr>
          <w:rStyle w:val="afa"/>
          <w:rtl/>
        </w:rPr>
        <w:t xml:space="preserve"> דאפש"ל </w:t>
      </w:r>
      <w:r>
        <w:rPr>
          <w:rStyle w:val="affa"/>
          <w:rtl/>
        </w:rPr>
        <w:t>דהתוס' רי"ד</w:t>
      </w:r>
      <w:r>
        <w:rPr>
          <w:rStyle w:val="afa"/>
          <w:rtl/>
        </w:rPr>
        <w:t xml:space="preserve"> פליג על </w:t>
      </w:r>
      <w:r>
        <w:rPr>
          <w:rStyle w:val="affa"/>
          <w:rtl/>
        </w:rPr>
        <w:t>הרא"ש</w:t>
      </w:r>
      <w:r>
        <w:rPr>
          <w:rStyle w:val="afa"/>
          <w:rtl/>
        </w:rPr>
        <w:t>, וס'ל דכיון שבתחילה היה רוב, אף השתיים האחרונות מותרות מדין רוב.</w:t>
      </w:r>
    </w:p>
  </w:footnote>
  <w:footnote w:id="74">
    <w:p w:rsidR="00651E3B" w:rsidRDefault="00651E3B" w:rsidP="00F13472">
      <w:pPr>
        <w:pStyle w:val="ae"/>
      </w:pPr>
      <w:r>
        <w:rPr>
          <w:rStyle w:val="af0"/>
        </w:rPr>
        <w:footnoteRef/>
      </w:r>
      <w:r>
        <w:rPr>
          <w:rtl/>
        </w:rPr>
        <w:t xml:space="preserve"> </w:t>
      </w:r>
      <w:r>
        <w:rPr>
          <w:rFonts w:hint="cs"/>
          <w:rtl/>
        </w:rPr>
        <w:t xml:space="preserve">אמנם </w:t>
      </w:r>
      <w:r w:rsidRPr="00EE5450">
        <w:rPr>
          <w:rStyle w:val="affa"/>
          <w:rFonts w:hint="cs"/>
          <w:rtl/>
        </w:rPr>
        <w:t>ברש"י בזבחים</w:t>
      </w:r>
      <w:r>
        <w:rPr>
          <w:rFonts w:hint="cs"/>
          <w:rtl/>
        </w:rPr>
        <w:t xml:space="preserve"> </w:t>
      </w:r>
      <w:r w:rsidRPr="00EE5450">
        <w:rPr>
          <w:rStyle w:val="aff6"/>
          <w:rFonts w:hint="cs"/>
          <w:rtl/>
        </w:rPr>
        <w:t>(עג: ד"ה אלא מגיסא)</w:t>
      </w:r>
      <w:r>
        <w:rPr>
          <w:rFonts w:hint="cs"/>
          <w:rtl/>
        </w:rPr>
        <w:t xml:space="preserve"> ביאר את הגמ' בזבחים באופ"א, עיי"ש.</w:t>
      </w:r>
    </w:p>
  </w:footnote>
  <w:footnote w:id="75">
    <w:p w:rsidR="00651E3B" w:rsidRDefault="00651E3B" w:rsidP="00F13472">
      <w:pPr>
        <w:pStyle w:val="ae"/>
      </w:pPr>
      <w:r>
        <w:rPr>
          <w:rStyle w:val="af0"/>
        </w:rPr>
        <w:footnoteRef/>
      </w:r>
      <w:r>
        <w:rPr>
          <w:rtl/>
        </w:rPr>
        <w:t xml:space="preserve"> </w:t>
      </w:r>
      <w:r w:rsidRPr="0043600D">
        <w:rPr>
          <w:rtl/>
        </w:rPr>
        <w:t xml:space="preserve">ועי' בדברי </w:t>
      </w:r>
      <w:r w:rsidRPr="0043600D">
        <w:rPr>
          <w:rStyle w:val="affa"/>
          <w:rtl/>
        </w:rPr>
        <w:t>השער"י</w:t>
      </w:r>
      <w:r w:rsidRPr="0043600D">
        <w:rPr>
          <w:rtl/>
        </w:rPr>
        <w:t xml:space="preserve"> דכתב דלפי"ז האיסור בפחות משישים בלח בלח, הוא רק בדבר ששייך בו נתינת טעם, דגזרו אטו מין בשאינו מינו, אבל באיסור כלאים או אפר שהוא מוקצה ביו"ט, מהני ביטול ברוב, אך הביא </w:t>
      </w:r>
      <w:r w:rsidRPr="0043600D">
        <w:rPr>
          <w:rStyle w:val="affa"/>
          <w:rtl/>
        </w:rPr>
        <w:t>השער"י</w:t>
      </w:r>
      <w:r w:rsidRPr="0043600D">
        <w:rPr>
          <w:rtl/>
        </w:rPr>
        <w:t xml:space="preserve"> את דברי </w:t>
      </w:r>
      <w:r w:rsidRPr="0043600D">
        <w:rPr>
          <w:rStyle w:val="affa"/>
          <w:rtl/>
        </w:rPr>
        <w:t>המג"א</w:t>
      </w:r>
      <w:r w:rsidRPr="0043600D">
        <w:rPr>
          <w:rtl/>
        </w:rPr>
        <w:t xml:space="preserve"> </w:t>
      </w:r>
      <w:r w:rsidRPr="0043600D">
        <w:rPr>
          <w:rStyle w:val="aff6"/>
          <w:rtl/>
        </w:rPr>
        <w:t>(סי' תצ"ח סקכ"ח)</w:t>
      </w:r>
      <w:r w:rsidRPr="0043600D">
        <w:rPr>
          <w:rtl/>
        </w:rPr>
        <w:t xml:space="preserve"> דאפר מוקצה חשיב כלח בלח, והביא </w:t>
      </w:r>
      <w:r w:rsidRPr="0043600D">
        <w:rPr>
          <w:rStyle w:val="affa"/>
          <w:rtl/>
        </w:rPr>
        <w:t>השער"י</w:t>
      </w:r>
      <w:r w:rsidRPr="0043600D">
        <w:rPr>
          <w:rtl/>
        </w:rPr>
        <w:t xml:space="preserve"> </w:t>
      </w:r>
      <w:r>
        <w:rPr>
          <w:rFonts w:hint="cs"/>
          <w:rtl/>
        </w:rPr>
        <w:t>ד</w:t>
      </w:r>
      <w:r w:rsidRPr="0043600D">
        <w:rPr>
          <w:rtl/>
        </w:rPr>
        <w:t xml:space="preserve">הקשה </w:t>
      </w:r>
      <w:r w:rsidRPr="0043600D">
        <w:rPr>
          <w:rStyle w:val="affa"/>
          <w:rtl/>
        </w:rPr>
        <w:t>הפרמ"ג</w:t>
      </w:r>
      <w:r w:rsidRPr="0043600D">
        <w:rPr>
          <w:rtl/>
        </w:rPr>
        <w:t xml:space="preserve"> </w:t>
      </w:r>
      <w:r w:rsidRPr="0043600D">
        <w:rPr>
          <w:rStyle w:val="aff6"/>
          <w:rtl/>
        </w:rPr>
        <w:t>(פתיחה שער התערובות ח"ג פ"ג ד"ה והנה קמח)</w:t>
      </w:r>
      <w:r w:rsidRPr="0043600D">
        <w:rPr>
          <w:rtl/>
        </w:rPr>
        <w:t xml:space="preserve"> דדין לח בלח הוא רק במקום שיש טעם, ועיי"ש במה שתירץ </w:t>
      </w:r>
      <w:r w:rsidRPr="0043600D">
        <w:rPr>
          <w:rStyle w:val="affa"/>
          <w:rtl/>
        </w:rPr>
        <w:t>הפרמ"ג</w:t>
      </w:r>
      <w:r w:rsidRPr="0043600D">
        <w:rPr>
          <w:rtl/>
        </w:rPr>
        <w:t xml:space="preserve">, ובמה שתמה עליו </w:t>
      </w:r>
      <w:r w:rsidRPr="0043600D">
        <w:rPr>
          <w:rStyle w:val="affa"/>
          <w:rtl/>
        </w:rPr>
        <w:t>השער"י</w:t>
      </w:r>
      <w:r w:rsidRPr="0043600D">
        <w:rPr>
          <w:rtl/>
        </w:rPr>
        <w:t xml:space="preserve">, ובמה שביאר </w:t>
      </w:r>
      <w:r w:rsidRPr="0043600D">
        <w:rPr>
          <w:rStyle w:val="affa"/>
          <w:rtl/>
        </w:rPr>
        <w:t>השער"י</w:t>
      </w:r>
      <w:r w:rsidRPr="0043600D">
        <w:rPr>
          <w:rtl/>
        </w:rPr>
        <w:t xml:space="preserve"> בדעת </w:t>
      </w:r>
      <w:r w:rsidRPr="0043600D">
        <w:rPr>
          <w:rStyle w:val="affa"/>
          <w:rtl/>
        </w:rPr>
        <w:t>הרשב"א</w:t>
      </w:r>
      <w:r w:rsidRPr="0043600D">
        <w:rPr>
          <w:rtl/>
        </w:rPr>
        <w:t xml:space="preserve"> בזה.</w:t>
      </w:r>
    </w:p>
  </w:footnote>
  <w:footnote w:id="76">
    <w:p w:rsidR="00651E3B" w:rsidRDefault="00651E3B" w:rsidP="00F13472">
      <w:pPr>
        <w:pStyle w:val="ae"/>
        <w:rPr>
          <w:rtl/>
        </w:rPr>
      </w:pPr>
      <w:r>
        <w:rPr>
          <w:rStyle w:val="af0"/>
        </w:rPr>
        <w:footnoteRef/>
      </w:r>
      <w:r>
        <w:rPr>
          <w:rtl/>
        </w:rPr>
        <w:t xml:space="preserve"> </w:t>
      </w:r>
      <w:r w:rsidRPr="0093675F">
        <w:rPr>
          <w:rtl/>
        </w:rPr>
        <w:t xml:space="preserve">וע"ע במה שהקשה </w:t>
      </w:r>
      <w:r w:rsidRPr="009533C9">
        <w:rPr>
          <w:rStyle w:val="affa"/>
          <w:rtl/>
        </w:rPr>
        <w:t>השער"י</w:t>
      </w:r>
      <w:r w:rsidRPr="0093675F">
        <w:rPr>
          <w:rtl/>
        </w:rPr>
        <w:t xml:space="preserve"> </w:t>
      </w:r>
      <w:r w:rsidRPr="00AD5BF6">
        <w:rPr>
          <w:rStyle w:val="aff6"/>
          <w:rtl/>
        </w:rPr>
        <w:t>(ש"ג פ"ז ד"ה והנה דבריו)</w:t>
      </w:r>
      <w:r w:rsidRPr="0093675F">
        <w:rPr>
          <w:rtl/>
        </w:rPr>
        <w:t xml:space="preserve"> דלדעת </w:t>
      </w:r>
      <w:r w:rsidRPr="009533C9">
        <w:rPr>
          <w:rStyle w:val="affa"/>
          <w:rtl/>
        </w:rPr>
        <w:t>הרא"ש</w:t>
      </w:r>
      <w:r w:rsidRPr="0093675F">
        <w:rPr>
          <w:rtl/>
        </w:rPr>
        <w:t xml:space="preserve"> </w:t>
      </w:r>
      <w:r w:rsidRPr="00AD5BF6">
        <w:rPr>
          <w:rStyle w:val="aff6"/>
          <w:rtl/>
        </w:rPr>
        <w:t xml:space="preserve">(עי' אות </w:t>
      </w:r>
      <w:r w:rsidRPr="00AD5BF6">
        <w:rPr>
          <w:rStyle w:val="aff6"/>
          <w:rtl/>
        </w:rPr>
        <w:fldChar w:fldCharType="begin"/>
      </w:r>
      <w:r w:rsidRPr="00AD5BF6">
        <w:rPr>
          <w:rStyle w:val="aff6"/>
          <w:rtl/>
        </w:rPr>
        <w:instrText xml:space="preserve"> </w:instrText>
      </w:r>
      <w:r w:rsidRPr="00AD5BF6">
        <w:rPr>
          <w:rStyle w:val="aff6"/>
        </w:rPr>
        <w:instrText>REF</w:instrText>
      </w:r>
      <w:r w:rsidRPr="00AD5BF6">
        <w:rPr>
          <w:rStyle w:val="aff6"/>
          <w:rtl/>
        </w:rPr>
        <w:instrText xml:space="preserve"> _</w:instrText>
      </w:r>
      <w:r w:rsidRPr="00AD5BF6">
        <w:rPr>
          <w:rStyle w:val="aff6"/>
        </w:rPr>
        <w:instrText>Ref24564844 \r \h</w:instrText>
      </w:r>
      <w:r w:rsidRPr="00AD5BF6">
        <w:rPr>
          <w:rStyle w:val="aff6"/>
          <w:rtl/>
        </w:rPr>
        <w:instrText xml:space="preserve"> </w:instrText>
      </w:r>
      <w:r w:rsidRPr="00AD5BF6">
        <w:rPr>
          <w:rStyle w:val="aff6"/>
          <w:rtl/>
        </w:rPr>
      </w:r>
      <w:r w:rsidRPr="00AD5BF6">
        <w:rPr>
          <w:rStyle w:val="aff6"/>
          <w:rtl/>
        </w:rPr>
        <w:fldChar w:fldCharType="separate"/>
      </w:r>
      <w:r>
        <w:rPr>
          <w:rStyle w:val="aff6"/>
          <w:cs/>
        </w:rPr>
        <w:t>‎</w:t>
      </w:r>
      <w:r>
        <w:rPr>
          <w:rStyle w:val="aff6"/>
          <w:rtl/>
        </w:rPr>
        <w:t>כב)</w:t>
      </w:r>
      <w:r w:rsidRPr="00AD5BF6">
        <w:rPr>
          <w:rStyle w:val="aff6"/>
          <w:rtl/>
        </w:rPr>
        <w:fldChar w:fldCharType="end"/>
      </w:r>
      <w:r w:rsidRPr="0093675F">
        <w:rPr>
          <w:rtl/>
        </w:rPr>
        <w:t xml:space="preserve"> דהאיסור נהפך להיתר, ואפ"ה בשחזר ובישל במין בשאינו מינו, אסור מדאו' כיון שהאיסור נתן טעם בהיתר, [כדעת </w:t>
      </w:r>
      <w:r w:rsidRPr="009533C9">
        <w:rPr>
          <w:rStyle w:val="affa"/>
          <w:rtl/>
        </w:rPr>
        <w:t>הפרמ"ג</w:t>
      </w:r>
      <w:r w:rsidRPr="0093675F">
        <w:rPr>
          <w:rtl/>
        </w:rPr>
        <w:t xml:space="preserve"> </w:t>
      </w:r>
      <w:r>
        <w:rPr>
          <w:rStyle w:val="aff6"/>
          <w:rFonts w:hint="cs"/>
          <w:rtl/>
        </w:rPr>
        <w:t>(</w:t>
      </w:r>
      <w:r w:rsidRPr="00AD5BF6">
        <w:rPr>
          <w:rStyle w:val="aff6"/>
          <w:rtl/>
        </w:rPr>
        <w:t xml:space="preserve">עי' אות </w:t>
      </w:r>
      <w:r w:rsidRPr="00AD5BF6">
        <w:rPr>
          <w:rStyle w:val="aff6"/>
          <w:rtl/>
        </w:rPr>
        <w:fldChar w:fldCharType="begin"/>
      </w:r>
      <w:r w:rsidRPr="00AD5BF6">
        <w:rPr>
          <w:rStyle w:val="aff6"/>
          <w:rtl/>
        </w:rPr>
        <w:instrText xml:space="preserve"> </w:instrText>
      </w:r>
      <w:r w:rsidRPr="00AD5BF6">
        <w:rPr>
          <w:rStyle w:val="aff6"/>
        </w:rPr>
        <w:instrText>REF</w:instrText>
      </w:r>
      <w:r w:rsidRPr="00AD5BF6">
        <w:rPr>
          <w:rStyle w:val="aff6"/>
          <w:rtl/>
        </w:rPr>
        <w:instrText xml:space="preserve"> _</w:instrText>
      </w:r>
      <w:r w:rsidRPr="00AD5BF6">
        <w:rPr>
          <w:rStyle w:val="aff6"/>
        </w:rPr>
        <w:instrText>Ref24902487 \r \h</w:instrText>
      </w:r>
      <w:r w:rsidRPr="00AD5BF6">
        <w:rPr>
          <w:rStyle w:val="aff6"/>
          <w:rtl/>
        </w:rPr>
        <w:instrText xml:space="preserve"> </w:instrText>
      </w:r>
      <w:r w:rsidRPr="00AD5BF6">
        <w:rPr>
          <w:rStyle w:val="aff6"/>
          <w:rtl/>
        </w:rPr>
      </w:r>
      <w:r w:rsidRPr="00AD5BF6">
        <w:rPr>
          <w:rStyle w:val="aff6"/>
          <w:rtl/>
        </w:rPr>
        <w:fldChar w:fldCharType="separate"/>
      </w:r>
      <w:r>
        <w:rPr>
          <w:rStyle w:val="aff6"/>
          <w:cs/>
        </w:rPr>
        <w:t>‎</w:t>
      </w:r>
      <w:r>
        <w:rPr>
          <w:rStyle w:val="aff6"/>
          <w:rtl/>
        </w:rPr>
        <w:t>עז)</w:t>
      </w:r>
      <w:r w:rsidRPr="00AD5BF6">
        <w:rPr>
          <w:rStyle w:val="aff6"/>
          <w:rtl/>
        </w:rPr>
        <w:fldChar w:fldCharType="end"/>
      </w:r>
      <w:r w:rsidRPr="0093675F">
        <w:rPr>
          <w:rtl/>
        </w:rPr>
        <w:t xml:space="preserve">], והרי </w:t>
      </w:r>
      <w:r w:rsidRPr="009533C9">
        <w:rPr>
          <w:rStyle w:val="affa"/>
          <w:rtl/>
        </w:rPr>
        <w:t>הרא"ש</w:t>
      </w:r>
      <w:r w:rsidRPr="0093675F">
        <w:rPr>
          <w:rtl/>
        </w:rPr>
        <w:t xml:space="preserve"> </w:t>
      </w:r>
      <w:r w:rsidRPr="00AD5BF6">
        <w:rPr>
          <w:rStyle w:val="aff6"/>
          <w:rtl/>
        </w:rPr>
        <w:t xml:space="preserve">(עי' אות </w:t>
      </w:r>
      <w:r w:rsidRPr="00AD5BF6">
        <w:rPr>
          <w:rStyle w:val="aff6"/>
          <w:rtl/>
        </w:rPr>
        <w:fldChar w:fldCharType="begin"/>
      </w:r>
      <w:r w:rsidRPr="00AD5BF6">
        <w:rPr>
          <w:rStyle w:val="aff6"/>
          <w:rtl/>
        </w:rPr>
        <w:instrText xml:space="preserve"> </w:instrText>
      </w:r>
      <w:r w:rsidRPr="00AD5BF6">
        <w:rPr>
          <w:rStyle w:val="aff6"/>
        </w:rPr>
        <w:instrText>REF</w:instrText>
      </w:r>
      <w:r w:rsidRPr="00AD5BF6">
        <w:rPr>
          <w:rStyle w:val="aff6"/>
          <w:rtl/>
        </w:rPr>
        <w:instrText xml:space="preserve"> _</w:instrText>
      </w:r>
      <w:r w:rsidRPr="00AD5BF6">
        <w:rPr>
          <w:rStyle w:val="aff6"/>
        </w:rPr>
        <w:instrText>Ref25784664 \r \h</w:instrText>
      </w:r>
      <w:r w:rsidRPr="00AD5BF6">
        <w:rPr>
          <w:rStyle w:val="aff6"/>
          <w:rtl/>
        </w:rPr>
        <w:instrText xml:space="preserve"> </w:instrText>
      </w:r>
      <w:r w:rsidRPr="00AD5BF6">
        <w:rPr>
          <w:rStyle w:val="aff6"/>
          <w:rtl/>
        </w:rPr>
      </w:r>
      <w:r w:rsidRPr="00AD5BF6">
        <w:rPr>
          <w:rStyle w:val="aff6"/>
          <w:rtl/>
        </w:rPr>
        <w:fldChar w:fldCharType="separate"/>
      </w:r>
      <w:r>
        <w:rPr>
          <w:rStyle w:val="aff6"/>
          <w:cs/>
        </w:rPr>
        <w:t>‎</w:t>
      </w:r>
      <w:r>
        <w:rPr>
          <w:rStyle w:val="aff6"/>
          <w:rtl/>
        </w:rPr>
        <w:t>כד)</w:t>
      </w:r>
      <w:r w:rsidRPr="00AD5BF6">
        <w:rPr>
          <w:rStyle w:val="aff6"/>
          <w:rtl/>
        </w:rPr>
        <w:fldChar w:fldCharType="end"/>
      </w:r>
      <w:r w:rsidRPr="0093675F">
        <w:rPr>
          <w:rtl/>
        </w:rPr>
        <w:t xml:space="preserve"> כתב לענין מין במינו, דלא יתכן דבר שיהיה גופו מותר וצירו יהיה אסור, ואי נימא דס"ל </w:t>
      </w:r>
      <w:r w:rsidRPr="009533C9">
        <w:rPr>
          <w:rStyle w:val="affa"/>
          <w:rtl/>
        </w:rPr>
        <w:t>להרא"ש</w:t>
      </w:r>
      <w:r w:rsidRPr="0093675F">
        <w:rPr>
          <w:rtl/>
        </w:rPr>
        <w:t xml:space="preserve"> דע"י הבישול חשיב שהוכר האיסור כיון שטעמו מורגש בהיתר, [כדכתב </w:t>
      </w:r>
      <w:r w:rsidRPr="009533C9">
        <w:rPr>
          <w:rStyle w:val="affa"/>
          <w:rtl/>
        </w:rPr>
        <w:t>הרא"ש</w:t>
      </w:r>
      <w:r w:rsidRPr="0093675F">
        <w:rPr>
          <w:rtl/>
        </w:rPr>
        <w:t xml:space="preserve"> </w:t>
      </w:r>
      <w:r w:rsidRPr="00AD5BF6">
        <w:rPr>
          <w:rStyle w:val="aff6"/>
          <w:rFonts w:hint="cs"/>
          <w:rtl/>
        </w:rPr>
        <w:t xml:space="preserve">(עי' אות </w:t>
      </w:r>
      <w:r w:rsidRPr="00AD5BF6">
        <w:rPr>
          <w:rStyle w:val="aff6"/>
          <w:rtl/>
        </w:rPr>
        <w:fldChar w:fldCharType="begin"/>
      </w:r>
      <w:r w:rsidRPr="00AD5BF6">
        <w:rPr>
          <w:rStyle w:val="aff6"/>
          <w:rtl/>
        </w:rPr>
        <w:instrText xml:space="preserve"> </w:instrText>
      </w:r>
      <w:r w:rsidRPr="00AD5BF6">
        <w:rPr>
          <w:rStyle w:val="aff6"/>
          <w:rFonts w:hint="cs"/>
        </w:rPr>
        <w:instrText>REF</w:instrText>
      </w:r>
      <w:r w:rsidRPr="00AD5BF6">
        <w:rPr>
          <w:rStyle w:val="aff6"/>
          <w:rFonts w:hint="cs"/>
          <w:rtl/>
        </w:rPr>
        <w:instrText xml:space="preserve"> _</w:instrText>
      </w:r>
      <w:r w:rsidRPr="00AD5BF6">
        <w:rPr>
          <w:rStyle w:val="aff6"/>
          <w:rFonts w:hint="cs"/>
        </w:rPr>
        <w:instrText>Ref25784680 \r \h</w:instrText>
      </w:r>
      <w:r w:rsidRPr="00AD5BF6">
        <w:rPr>
          <w:rStyle w:val="aff6"/>
          <w:rtl/>
        </w:rPr>
        <w:instrText xml:space="preserve"> </w:instrText>
      </w:r>
      <w:r w:rsidRPr="00AD5BF6">
        <w:rPr>
          <w:rStyle w:val="aff6"/>
          <w:rtl/>
        </w:rPr>
      </w:r>
      <w:r w:rsidRPr="00AD5BF6">
        <w:rPr>
          <w:rStyle w:val="aff6"/>
          <w:rtl/>
        </w:rPr>
        <w:fldChar w:fldCharType="separate"/>
      </w:r>
      <w:r>
        <w:rPr>
          <w:rStyle w:val="aff6"/>
          <w:cs/>
        </w:rPr>
        <w:t>‎</w:t>
      </w:r>
      <w:r>
        <w:rPr>
          <w:rStyle w:val="aff6"/>
          <w:rtl/>
        </w:rPr>
        <w:t>קי)</w:t>
      </w:r>
      <w:r w:rsidRPr="00AD5BF6">
        <w:rPr>
          <w:rStyle w:val="aff6"/>
          <w:rtl/>
        </w:rPr>
        <w:fldChar w:fldCharType="end"/>
      </w:r>
      <w:r>
        <w:rPr>
          <w:rFonts w:hint="cs"/>
          <w:rtl/>
        </w:rPr>
        <w:t xml:space="preserve"> </w:t>
      </w:r>
      <w:r w:rsidRPr="0093675F">
        <w:rPr>
          <w:rtl/>
        </w:rPr>
        <w:t xml:space="preserve">דבהוסיף איסור חשיב כהוכר האיסור], ולכן אף שהותר בביטול, נאסר מכאן ולהבא, והקשה </w:t>
      </w:r>
      <w:r w:rsidRPr="009533C9">
        <w:rPr>
          <w:rStyle w:val="affa"/>
          <w:rtl/>
        </w:rPr>
        <w:t>השער"י</w:t>
      </w:r>
      <w:r w:rsidRPr="0093675F">
        <w:rPr>
          <w:rtl/>
        </w:rPr>
        <w:t xml:space="preserve"> דא"כ אף בלא בישול יהיה אסור, דאף ביבש ביבש במין בשאינו מינו הוא מרגיש את טעם האיסור, כשאוכל את חתיכת האיסור, וא"כ חשיב שניכר האיסור</w:t>
      </w:r>
      <w:r>
        <w:rPr>
          <w:rFonts w:hint="cs"/>
          <w:rtl/>
        </w:rPr>
        <w:t>.</w:t>
      </w:r>
    </w:p>
    <w:p w:rsidR="00651E3B" w:rsidRDefault="00651E3B" w:rsidP="00F13472">
      <w:pPr>
        <w:pStyle w:val="ae"/>
      </w:pPr>
      <w:r w:rsidRPr="0093675F">
        <w:rPr>
          <w:rtl/>
        </w:rPr>
        <w:t xml:space="preserve">אלא כתב </w:t>
      </w:r>
      <w:r w:rsidRPr="009533C9">
        <w:rPr>
          <w:rStyle w:val="affa"/>
          <w:rtl/>
        </w:rPr>
        <w:t>השער"י</w:t>
      </w:r>
      <w:r w:rsidRPr="0093675F">
        <w:rPr>
          <w:rtl/>
        </w:rPr>
        <w:t xml:space="preserve"> דמוכח דהא דהתירה תורה ביטול ברוב ביבש, במין בשאינו מינו היינו דוקא באופן שאינו מרגיש ע"י הטעם שאוכל ודאי איסור, ורק קפילא יודע להכיר ע"י הטעם, וא"כ אף בבישול יהיה מותר דאינו מרגיש את הטעם, וכתב </w:t>
      </w:r>
      <w:r w:rsidRPr="009533C9">
        <w:rPr>
          <w:rStyle w:val="affa"/>
          <w:rtl/>
        </w:rPr>
        <w:t>השער"י</w:t>
      </w:r>
      <w:r w:rsidRPr="0093675F">
        <w:rPr>
          <w:rtl/>
        </w:rPr>
        <w:t xml:space="preserve"> דאי נימא דהוכר האיסור אינו מחמת שהוא מרגיש את טעמו, אלא כיון שמחמת ידיעתו הוא מכיר ויודע שטועם את האיסור בחזר ובישל, א"כ אף במין במינו יהיה אסור לאכול את כל התערובת יחד וכן יהיה אסור בחזר ובישל, דהרי הוא יודע שטועם איסור, וחשיב כהוכר האיסור, וציין </w:t>
      </w:r>
      <w:r w:rsidRPr="009533C9">
        <w:rPr>
          <w:rStyle w:val="affa"/>
          <w:rtl/>
        </w:rPr>
        <w:t>השער"י</w:t>
      </w:r>
      <w:r w:rsidRPr="0093675F">
        <w:rPr>
          <w:rtl/>
        </w:rPr>
        <w:t xml:space="preserve"> לדברי </w:t>
      </w:r>
      <w:r w:rsidRPr="009533C9">
        <w:rPr>
          <w:rStyle w:val="affa"/>
          <w:rtl/>
        </w:rPr>
        <w:t>הפרמ"ג</w:t>
      </w:r>
      <w:r w:rsidRPr="0093675F">
        <w:rPr>
          <w:rtl/>
        </w:rPr>
        <w:t xml:space="preserve"> </w:t>
      </w:r>
      <w:r w:rsidRPr="00AD5BF6">
        <w:rPr>
          <w:rStyle w:val="aff6"/>
          <w:rFonts w:hint="cs"/>
          <w:rtl/>
        </w:rPr>
        <w:t xml:space="preserve">(עי' אות </w:t>
      </w:r>
      <w:r w:rsidRPr="00AD5BF6">
        <w:rPr>
          <w:rStyle w:val="aff6"/>
          <w:rtl/>
        </w:rPr>
        <w:fldChar w:fldCharType="begin"/>
      </w:r>
      <w:r w:rsidRPr="00AD5BF6">
        <w:rPr>
          <w:rStyle w:val="aff6"/>
          <w:rtl/>
        </w:rPr>
        <w:instrText xml:space="preserve"> </w:instrText>
      </w:r>
      <w:r w:rsidRPr="00AD5BF6">
        <w:rPr>
          <w:rStyle w:val="aff6"/>
        </w:rPr>
        <w:instrText>REF</w:instrText>
      </w:r>
      <w:r w:rsidRPr="00AD5BF6">
        <w:rPr>
          <w:rStyle w:val="aff6"/>
          <w:rtl/>
        </w:rPr>
        <w:instrText xml:space="preserve"> _</w:instrText>
      </w:r>
      <w:r w:rsidRPr="00AD5BF6">
        <w:rPr>
          <w:rStyle w:val="aff6"/>
        </w:rPr>
        <w:instrText>Ref24902487 \r \h</w:instrText>
      </w:r>
      <w:r w:rsidRPr="00AD5BF6">
        <w:rPr>
          <w:rStyle w:val="aff6"/>
          <w:rtl/>
        </w:rPr>
        <w:instrText xml:space="preserve"> </w:instrText>
      </w:r>
      <w:r w:rsidRPr="00AD5BF6">
        <w:rPr>
          <w:rStyle w:val="aff6"/>
          <w:rtl/>
        </w:rPr>
      </w:r>
      <w:r w:rsidRPr="00AD5BF6">
        <w:rPr>
          <w:rStyle w:val="aff6"/>
          <w:rtl/>
        </w:rPr>
        <w:fldChar w:fldCharType="separate"/>
      </w:r>
      <w:r>
        <w:rPr>
          <w:rStyle w:val="aff6"/>
          <w:cs/>
        </w:rPr>
        <w:t>‎</w:t>
      </w:r>
      <w:r>
        <w:rPr>
          <w:rStyle w:val="aff6"/>
          <w:rtl/>
        </w:rPr>
        <w:t>עז)</w:t>
      </w:r>
      <w:r w:rsidRPr="00AD5BF6">
        <w:rPr>
          <w:rStyle w:val="aff6"/>
          <w:rtl/>
        </w:rPr>
        <w:fldChar w:fldCharType="end"/>
      </w:r>
      <w:r>
        <w:rPr>
          <w:rFonts w:hint="cs"/>
          <w:rtl/>
        </w:rPr>
        <w:t xml:space="preserve"> </w:t>
      </w:r>
      <w:r w:rsidRPr="0093675F">
        <w:rPr>
          <w:rtl/>
        </w:rPr>
        <w:t>שהקשה כן</w:t>
      </w:r>
      <w:r>
        <w:rPr>
          <w:rFonts w:hint="cs"/>
          <w:rtl/>
        </w:rPr>
        <w:t>.</w:t>
      </w:r>
    </w:p>
  </w:footnote>
  <w:footnote w:id="77">
    <w:p w:rsidR="00651E3B" w:rsidRDefault="00651E3B" w:rsidP="003A5D2C">
      <w:pPr>
        <w:pStyle w:val="ae"/>
      </w:pPr>
      <w:r>
        <w:rPr>
          <w:rStyle w:val="af0"/>
        </w:rPr>
        <w:footnoteRef/>
      </w:r>
      <w:r>
        <w:rPr>
          <w:rtl/>
        </w:rPr>
        <w:t xml:space="preserve"> </w:t>
      </w:r>
      <w:r>
        <w:rPr>
          <w:rFonts w:hint="cs"/>
          <w:rtl/>
        </w:rPr>
        <w:t>ועי' בספר</w:t>
      </w:r>
      <w:r w:rsidRPr="00CE2C4B">
        <w:rPr>
          <w:rStyle w:val="affa"/>
          <w:rFonts w:hint="cs"/>
          <w:rtl/>
        </w:rPr>
        <w:t xml:space="preserve"> האשכול</w:t>
      </w:r>
      <w:r>
        <w:rPr>
          <w:rFonts w:hint="cs"/>
          <w:rtl/>
        </w:rPr>
        <w:t xml:space="preserve"> </w:t>
      </w:r>
      <w:r w:rsidRPr="00CE2C4B">
        <w:rPr>
          <w:rStyle w:val="aff6"/>
          <w:rFonts w:hint="cs"/>
          <w:rtl/>
        </w:rPr>
        <w:t xml:space="preserve">(בפירקין סוף אות ל"ד, הועתק בקובץ שיטות קמאי חולין ח"ג עמ' ב' אלף שי"ז) </w:t>
      </w:r>
      <w:r>
        <w:rPr>
          <w:rFonts w:hint="cs"/>
          <w:rtl/>
        </w:rPr>
        <w:t>דכתב דכ"ז שיש רוב היתר, אין האיסור חוזר וניעור, ומשמע דבמחצה על מחצה אמרינן חוזר וניעור.</w:t>
      </w:r>
    </w:p>
  </w:footnote>
  <w:footnote w:id="78">
    <w:p w:rsidR="00651E3B" w:rsidRDefault="00651E3B" w:rsidP="009F44AF">
      <w:pPr>
        <w:pStyle w:val="af9"/>
        <w:rPr>
          <w:rtl/>
        </w:rPr>
      </w:pPr>
      <w:r>
        <w:rPr>
          <w:rStyle w:val="af0"/>
          <w:rFonts w:asciiTheme="minorHAnsi" w:eastAsiaTheme="minorHAnsi" w:hAnsiTheme="minorHAnsi"/>
          <w:noProof w:val="0"/>
        </w:rPr>
        <w:footnoteRef/>
      </w:r>
      <w:r>
        <w:rPr>
          <w:rStyle w:val="af0"/>
          <w:rFonts w:asciiTheme="minorHAnsi" w:eastAsiaTheme="minorHAnsi" w:hAnsiTheme="minorHAnsi" w:hint="cs"/>
          <w:noProof w:val="0"/>
          <w:rtl/>
        </w:rPr>
        <w:t xml:space="preserve"> </w:t>
      </w:r>
      <w:r>
        <w:rPr>
          <w:rFonts w:hint="cs"/>
          <w:rtl/>
        </w:rPr>
        <w:t xml:space="preserve">כתב </w:t>
      </w:r>
      <w:r>
        <w:rPr>
          <w:rStyle w:val="affa"/>
          <w:rtl/>
        </w:rPr>
        <w:t>הראב"ד בתמים דעים</w:t>
      </w:r>
      <w:r>
        <w:rPr>
          <w:rFonts w:hint="cs"/>
          <w:rtl/>
        </w:rPr>
        <w:t xml:space="preserve"> </w:t>
      </w:r>
      <w:r>
        <w:rPr>
          <w:rStyle w:val="aff6"/>
          <w:rtl/>
        </w:rPr>
        <w:t xml:space="preserve">(סי' פ"ח ד"ה ההיא דמערה, הועתק בקובץ שיטות קמאי ע"ז ח"ב עמ' אלף רפ"ב) </w:t>
      </w:r>
      <w:r>
        <w:rPr>
          <w:rFonts w:hint="cs"/>
          <w:rtl/>
        </w:rPr>
        <w:t>דאעפ"י דאמרינן בסוגיין דקמא קמא בטיל, מ"מ בכל מקום אמרינן דאיסור מעורר איסור, והוא חוזר וניעור.</w:t>
      </w:r>
    </w:p>
    <w:p w:rsidR="00651E3B" w:rsidRDefault="00651E3B" w:rsidP="009F44AF">
      <w:pPr>
        <w:pStyle w:val="af9"/>
        <w:rPr>
          <w:rtl/>
        </w:rPr>
      </w:pPr>
      <w:r>
        <w:rPr>
          <w:rFonts w:hint="cs"/>
          <w:rtl/>
        </w:rPr>
        <w:t xml:space="preserve">והביא </w:t>
      </w:r>
      <w:r>
        <w:rPr>
          <w:rStyle w:val="affa"/>
          <w:rtl/>
        </w:rPr>
        <w:t>הראב"ד בתמים דעים</w:t>
      </w:r>
      <w:r>
        <w:rPr>
          <w:rFonts w:hint="cs"/>
          <w:rtl/>
        </w:rPr>
        <w:t xml:space="preserve"> דכן מוכח בגמ' בבכורות </w:t>
      </w:r>
      <w:r>
        <w:rPr>
          <w:rStyle w:val="aff6"/>
          <w:rtl/>
        </w:rPr>
        <w:t xml:space="preserve">(כב.) </w:t>
      </w:r>
      <w:r>
        <w:rPr>
          <w:rFonts w:hint="cs"/>
          <w:rtl/>
        </w:rPr>
        <w:t xml:space="preserve">דציר שהשיקו במים, [דהציר בטל ברוב המים], ואח"כ בישלו בקדירה, דאמר רב דימי עצמו דהאיסור חוזר וניעור, [וכן הקשו </w:t>
      </w:r>
      <w:r>
        <w:rPr>
          <w:rStyle w:val="affa"/>
          <w:rtl/>
        </w:rPr>
        <w:t>התוס'</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Ref26732286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טו)</w:t>
      </w:r>
      <w:r>
        <w:rPr>
          <w:rStyle w:val="aff6"/>
          <w:rtl/>
        </w:rPr>
        <w:fldChar w:fldCharType="end"/>
      </w:r>
      <w:r>
        <w:rPr>
          <w:rFonts w:hint="cs"/>
          <w:rtl/>
        </w:rPr>
        <w:t xml:space="preserve">], והוסיף </w:t>
      </w:r>
      <w:r>
        <w:rPr>
          <w:rStyle w:val="affa"/>
          <w:rtl/>
        </w:rPr>
        <w:t>הראב"ד בתמים דעים</w:t>
      </w:r>
      <w:r>
        <w:rPr>
          <w:rFonts w:hint="cs"/>
          <w:rtl/>
        </w:rPr>
        <w:t xml:space="preserve"> דכן מוכח בגמ' בב"ק </w:t>
      </w:r>
      <w:r>
        <w:rPr>
          <w:rStyle w:val="aff6"/>
          <w:rtl/>
        </w:rPr>
        <w:t>(ק:)</w:t>
      </w:r>
      <w:r>
        <w:rPr>
          <w:rFonts w:hint="cs"/>
          <w:rtl/>
        </w:rPr>
        <w:t xml:space="preserve">, בדין מחיצת הכרם שנפרצה, דאמרינן חוזר וניעור, וכן מוכח בגמ' בנדרים </w:t>
      </w:r>
      <w:r>
        <w:rPr>
          <w:rStyle w:val="aff6"/>
          <w:rtl/>
        </w:rPr>
        <w:t>(נז:)</w:t>
      </w:r>
      <w:r>
        <w:rPr>
          <w:rFonts w:hint="cs"/>
          <w:rtl/>
        </w:rPr>
        <w:t xml:space="preserve">, [וכן הקשו </w:t>
      </w:r>
      <w:r>
        <w:rPr>
          <w:rStyle w:val="affa"/>
          <w:rtl/>
        </w:rPr>
        <w:t>התוס'</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Ref26732214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טז)</w:t>
      </w:r>
      <w:r>
        <w:rPr>
          <w:rStyle w:val="aff6"/>
          <w:rtl/>
        </w:rPr>
        <w:fldChar w:fldCharType="end"/>
      </w:r>
      <w:r>
        <w:rPr>
          <w:rFonts w:hint="cs"/>
          <w:rtl/>
        </w:rPr>
        <w:t xml:space="preserve">], וכן מוכח בגמ' בשבת </w:t>
      </w:r>
      <w:r>
        <w:rPr>
          <w:rStyle w:val="aff6"/>
          <w:rtl/>
        </w:rPr>
        <w:t xml:space="preserve">(סה:) </w:t>
      </w:r>
      <w:r>
        <w:rPr>
          <w:rFonts w:hint="cs"/>
          <w:rtl/>
        </w:rPr>
        <w:t xml:space="preserve">[וכן הקשה </w:t>
      </w:r>
      <w:r>
        <w:rPr>
          <w:rStyle w:val="affa"/>
          <w:rtl/>
        </w:rPr>
        <w:t>הרא"ש</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Ref26732296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יז)</w:t>
      </w:r>
      <w:r>
        <w:rPr>
          <w:rStyle w:val="aff6"/>
          <w:rtl/>
        </w:rPr>
        <w:fldChar w:fldCharType="end"/>
      </w:r>
      <w:r>
        <w:rPr>
          <w:rFonts w:hint="cs"/>
          <w:rtl/>
        </w:rPr>
        <w:t>].</w:t>
      </w:r>
    </w:p>
    <w:p w:rsidR="00651E3B" w:rsidRDefault="00651E3B" w:rsidP="009F44AF">
      <w:pPr>
        <w:pStyle w:val="af9"/>
        <w:rPr>
          <w:rtl/>
        </w:rPr>
      </w:pPr>
      <w:r>
        <w:rPr>
          <w:rFonts w:hint="cs"/>
          <w:rtl/>
        </w:rPr>
        <w:t xml:space="preserve">וכתב </w:t>
      </w:r>
      <w:r>
        <w:rPr>
          <w:rStyle w:val="affa"/>
          <w:rtl/>
        </w:rPr>
        <w:t>הראב"ד בתמים דעים</w:t>
      </w:r>
      <w:r>
        <w:rPr>
          <w:rFonts w:hint="cs"/>
          <w:rtl/>
        </w:rPr>
        <w:t xml:space="preserve"> </w:t>
      </w:r>
      <w:r>
        <w:rPr>
          <w:rStyle w:val="aff6"/>
          <w:rtl/>
        </w:rPr>
        <w:t>(סי' פ"ח ד"ה וגבי יין נסך, הועתק בקובץ שיטות קמאי ע"ז ח"ב עמ' אלף רפ"ג)</w:t>
      </w:r>
      <w:r>
        <w:rPr>
          <w:rFonts w:hint="cs"/>
          <w:rtl/>
        </w:rPr>
        <w:t xml:space="preserve"> דלא מסתבר לומר שהקילו בדין קמא קמא בטיל, ביין נסך יותר משאר איסורים, דהרי ביין נסך החמירו יותר מחמת חומרא דע"ז, דאוסר אף במשהו, אלא כתב </w:t>
      </w:r>
      <w:r>
        <w:rPr>
          <w:rStyle w:val="affa"/>
          <w:rtl/>
        </w:rPr>
        <w:t>הראב"ד בתמים דעים</w:t>
      </w:r>
      <w:r>
        <w:rPr>
          <w:rFonts w:hint="cs"/>
          <w:rtl/>
        </w:rPr>
        <w:t xml:space="preserve"> דמה שאמר רב דימי דאמרינן קמא קמא בטיל ביין נסך, אפילו בנפל יין כל היום כולו, היינו דכל משהו בטל בשישים, עד שיהיה כ"כ הרבה איסור, שלא יהיה כנגדו שישים בהיתר.</w:t>
      </w:r>
    </w:p>
    <w:p w:rsidR="00651E3B" w:rsidRDefault="00651E3B" w:rsidP="009F44AF">
      <w:pPr>
        <w:pStyle w:val="af9"/>
        <w:rPr>
          <w:rtl/>
        </w:rPr>
      </w:pPr>
      <w:r>
        <w:rPr>
          <w:rFonts w:hint="cs"/>
          <w:rtl/>
        </w:rPr>
        <w:t xml:space="preserve">וביאר </w:t>
      </w:r>
      <w:r>
        <w:rPr>
          <w:rStyle w:val="affa"/>
          <w:rtl/>
        </w:rPr>
        <w:t>הראב"ד בתמים דעים</w:t>
      </w:r>
      <w:r>
        <w:rPr>
          <w:rFonts w:hint="cs"/>
          <w:rtl/>
        </w:rPr>
        <w:t xml:space="preserve"> דאף בשאר איסורים, אף דאמרינן קמא קמא בטיל, מ"מ כל שיש בהיתר פחות משישים כנגד האיסור, אמרינן דהאיסור חוזר וניעור, וכ"ש יין נסך דהוא חמור יותר.</w:t>
      </w:r>
    </w:p>
    <w:p w:rsidR="00651E3B" w:rsidRDefault="00651E3B" w:rsidP="009F44AF">
      <w:pPr>
        <w:pStyle w:val="af9"/>
        <w:rPr>
          <w:rtl/>
        </w:rPr>
      </w:pPr>
      <w:r>
        <w:rPr>
          <w:rFonts w:hint="cs"/>
          <w:rtl/>
        </w:rPr>
        <w:t xml:space="preserve">וכתב </w:t>
      </w:r>
      <w:r>
        <w:rPr>
          <w:rStyle w:val="affa"/>
          <w:rtl/>
        </w:rPr>
        <w:t>הראב"ד בתמים דעים</w:t>
      </w:r>
      <w:r>
        <w:rPr>
          <w:rFonts w:hint="cs"/>
          <w:rtl/>
        </w:rPr>
        <w:t xml:space="preserve"> דהא דאמרינן קמא קמא בטיל היינו דוקא באופן שאין כל היין נופל בבת אחת לבור, אלא ששופכו לבור כמו שהדרך להריק יין לבור, דשופך מעט מעט מפי החבית.</w:t>
      </w:r>
    </w:p>
    <w:p w:rsidR="00651E3B" w:rsidRDefault="00651E3B" w:rsidP="009F44AF">
      <w:pPr>
        <w:pStyle w:val="af9"/>
        <w:rPr>
          <w:rtl/>
        </w:rPr>
      </w:pPr>
      <w:r>
        <w:rPr>
          <w:rFonts w:hint="cs"/>
          <w:rtl/>
        </w:rPr>
        <w:t xml:space="preserve">והוסיף </w:t>
      </w:r>
      <w:r>
        <w:rPr>
          <w:rStyle w:val="affa"/>
          <w:rtl/>
        </w:rPr>
        <w:t>הראב"ד בתמים דעים</w:t>
      </w:r>
      <w:r>
        <w:rPr>
          <w:rFonts w:hint="cs"/>
          <w:rtl/>
        </w:rPr>
        <w:t xml:space="preserve"> דאם בעירוי הראשון שעירה לתוך הבור, היה הרבה יין והוא אוסר את הבור, אף שאין בו שיעור נתינת טעם ביין שבבור, [דהיינו שיש רוב באיסור כנגד ההיתר, אך אין בו שיעור נתינת טעם בהיתר], מ"מ כל שמערה מעט מעט, כמו שהדרך לשפוך יין לבור, אמרינן דקמא קמא בטיל, והוסיף </w:t>
      </w:r>
      <w:r>
        <w:rPr>
          <w:rStyle w:val="affa"/>
          <w:rtl/>
        </w:rPr>
        <w:t>הראב"ד</w:t>
      </w:r>
      <w:r>
        <w:rPr>
          <w:rFonts w:hint="cs"/>
          <w:rtl/>
        </w:rPr>
        <w:t xml:space="preserve"> </w:t>
      </w:r>
      <w:r>
        <w:rPr>
          <w:rStyle w:val="affa"/>
          <w:rtl/>
        </w:rPr>
        <w:t>בתמים דעים</w:t>
      </w:r>
      <w:r>
        <w:rPr>
          <w:rFonts w:hint="cs"/>
          <w:rtl/>
        </w:rPr>
        <w:t xml:space="preserve"> דאף בחבית שנפיש עמודיה יותר מצרצור קטן, ג"כ אמרינן קמא קמא בטיל.</w:t>
      </w:r>
    </w:p>
    <w:p w:rsidR="00651E3B" w:rsidRDefault="00651E3B" w:rsidP="009F44AF">
      <w:pPr>
        <w:pStyle w:val="af9"/>
        <w:rPr>
          <w:rtl/>
        </w:rPr>
      </w:pPr>
      <w:r>
        <w:rPr>
          <w:rFonts w:hint="cs"/>
          <w:rtl/>
        </w:rPr>
        <w:t xml:space="preserve">וכתב </w:t>
      </w:r>
      <w:r>
        <w:rPr>
          <w:rStyle w:val="affa"/>
          <w:rtl/>
        </w:rPr>
        <w:t>הראב"ד בתמים דעים</w:t>
      </w:r>
      <w:r>
        <w:rPr>
          <w:rFonts w:hint="cs"/>
          <w:rtl/>
        </w:rPr>
        <w:t xml:space="preserve"> דכל זמן שעדיין אין באיסור נתינת טעם בהיתר, מהני הביטול להתיר, וכשיש באיסור שיעור של נתינת טעם בהיתר, אמרינן דהאיסור חוזר וניעור, והכל אסור, והוסיף </w:t>
      </w:r>
      <w:r>
        <w:rPr>
          <w:rStyle w:val="affa"/>
          <w:rtl/>
        </w:rPr>
        <w:t>הראב"ד בתמים דעים</w:t>
      </w:r>
      <w:r>
        <w:rPr>
          <w:rFonts w:hint="cs"/>
          <w:rtl/>
        </w:rPr>
        <w:t xml:space="preserve"> דהא דאמר רב דימי דאף אם נפל יין כל היום כולו היינו כ"ז שאין בו נתינת טעם בהיתר.</w:t>
      </w:r>
    </w:p>
    <w:p w:rsidR="00651E3B" w:rsidRDefault="00651E3B" w:rsidP="009F44AF">
      <w:pPr>
        <w:pStyle w:val="af9"/>
        <w:rPr>
          <w:rtl/>
        </w:rPr>
      </w:pPr>
      <w:r>
        <w:rPr>
          <w:rFonts w:hint="cs"/>
          <w:rtl/>
        </w:rPr>
        <w:t xml:space="preserve">וכתב </w:t>
      </w:r>
      <w:r>
        <w:rPr>
          <w:rStyle w:val="affa"/>
          <w:rtl/>
        </w:rPr>
        <w:t>הראב"ד בתמים דעים</w:t>
      </w:r>
      <w:r>
        <w:rPr>
          <w:rFonts w:hint="cs"/>
          <w:rtl/>
        </w:rPr>
        <w:t xml:space="preserve"> דהא דתנן במתני' שהחמירו ביין נסך, יותר משאר איסורים, דביארה הגמ' דהוא בהיתר שנפל לתוך איסור, ואיירי באופן שאין באיסור שיעור של נתינת טעם בהיתר, דבשאר איסורים בכה"ג מותר, דאין בהם איסור במשהו אלא בנותן טעם.</w:t>
      </w:r>
    </w:p>
    <w:p w:rsidR="00651E3B" w:rsidRDefault="00651E3B" w:rsidP="009F44AF">
      <w:pPr>
        <w:pStyle w:val="af9"/>
      </w:pPr>
      <w:r>
        <w:rPr>
          <w:rFonts w:hint="cs"/>
          <w:rtl/>
        </w:rPr>
        <w:t xml:space="preserve">ובקושית הגמ' על רב דימי מהמשנה דתנן דיין נסך אוסר במשהו, ביאר </w:t>
      </w:r>
      <w:r>
        <w:rPr>
          <w:rStyle w:val="affa"/>
          <w:rtl/>
        </w:rPr>
        <w:t>הראב"ד בתמים דעים</w:t>
      </w:r>
      <w:r>
        <w:rPr>
          <w:rFonts w:hint="cs"/>
          <w:rtl/>
        </w:rPr>
        <w:t xml:space="preserve"> דסברה הגמ' דאיירי באיסור לתוך היתר ומבואר דאף בכה"ג טיפה אחת אוסרת, דכיון דיין במים בנותן טעם איירי באיסור לתוך היתר, א"כ ה"ה ביין ביין ומים במים, דאיירי באיסור לתוך היתר, וא"כ חוזרת הקושיה דאף שהוא מין במינו מ"מ לא אמרינן דקמא קמא בטיל, אלא אפילו משהו אוסר, מיד בשעת הנפילה, אעפ"י שיש הרבה היתר שהוא אלף אלפים כלפי האיסור.</w:t>
      </w:r>
    </w:p>
    <w:p w:rsidR="00651E3B" w:rsidRDefault="00651E3B" w:rsidP="009F44AF">
      <w:pPr>
        <w:pStyle w:val="af9"/>
        <w:rPr>
          <w:rtl/>
        </w:rPr>
      </w:pPr>
      <w:r>
        <w:rPr>
          <w:rFonts w:hint="cs"/>
          <w:rtl/>
        </w:rPr>
        <w:t xml:space="preserve">אבל ביין במים שהוא מין בשאינו מינו, כתב </w:t>
      </w:r>
      <w:r>
        <w:rPr>
          <w:rStyle w:val="affa"/>
          <w:rtl/>
        </w:rPr>
        <w:t xml:space="preserve">הראב"ד בתמים דעים </w:t>
      </w:r>
      <w:r>
        <w:rPr>
          <w:rFonts w:hint="cs"/>
          <w:rtl/>
        </w:rPr>
        <w:t>דלא הוקשה לגמ' היאך הוא חוזר וניעור בנתינת טעם, דבזה לא שונה דין יין נסך משאר איסורין דכל שהאיסור נותן טעם אמרינן דהאיסור חוזר וניעור, ואף במין במינו שטעם האיסור לא ניכר אמרינן חוזר וניעור, [כשיש בו שיעור נתינת טעם], וכ"ש במין בשאינו מינו שניכר טעם האיסור כשהתרבה עד שנתן טעם בהיתר, דהוא חוזר וניעור.</w:t>
      </w:r>
    </w:p>
    <w:p w:rsidR="00651E3B" w:rsidRDefault="00651E3B" w:rsidP="009F44AF">
      <w:pPr>
        <w:pStyle w:val="af9"/>
        <w:rPr>
          <w:rtl/>
        </w:rPr>
      </w:pPr>
      <w:r>
        <w:rPr>
          <w:rFonts w:hint="cs"/>
          <w:rtl/>
        </w:rPr>
        <w:t xml:space="preserve">ובתירוץ הגמ' דאיירי בהיתר לתוך איסור, ביאר </w:t>
      </w:r>
      <w:r>
        <w:rPr>
          <w:rStyle w:val="affa"/>
          <w:rtl/>
        </w:rPr>
        <w:t xml:space="preserve">הראב"ד בתמים דעים </w:t>
      </w:r>
      <w:r>
        <w:rPr>
          <w:rFonts w:hint="cs"/>
          <w:rtl/>
        </w:rPr>
        <w:t>דאף במין במינו איירי בהיתר לתוך איסור, וע"ז מקשה הגמ' דברישא ביין במים איירי באיסור שנפל לתוך היתר, וא"כ ה"ה בסיפא דמים ביין בנותן טעם, איירי אף באיסור שנפל לתוך היתר, וא"כ אף ברישא איירי בין בהיתר שנפל לתוך איסור, ובין באיסור שנפל לתוך היתר, ואפ"ה תנן ברישא דטיפה אחת אוסרת במשהו, אפילו שיש אלף אלפים כנגדה, ומוכח דלא אמרינן דקמא קמא בטיל.</w:t>
      </w:r>
    </w:p>
    <w:p w:rsidR="00651E3B" w:rsidRDefault="00651E3B" w:rsidP="009F44AF">
      <w:pPr>
        <w:pStyle w:val="ae"/>
        <w:rPr>
          <w:rtl/>
        </w:rPr>
      </w:pPr>
      <w:r>
        <w:rPr>
          <w:rFonts w:hint="cs"/>
          <w:rtl/>
        </w:rPr>
        <w:t xml:space="preserve">ובתירוץ הגמ' דכולה מתני' איירי בהיתר שנפל לתוך איסור, ביאר </w:t>
      </w:r>
      <w:r>
        <w:rPr>
          <w:rStyle w:val="affa"/>
          <w:rtl/>
        </w:rPr>
        <w:t>הראב"ד בתמים דעים</w:t>
      </w:r>
      <w:r>
        <w:rPr>
          <w:rFonts w:hint="cs"/>
          <w:rtl/>
        </w:rPr>
        <w:t xml:space="preserve"> דאף שהמים שנפלו ליין הם מים של היתר, והמים שנפל לתוכם יין הם מים של איסור, מ"מ כיון שכל המשנה איירי בהיתר שנפל לתוך איסור, חשיב שכל המשנה איירי באותו האופן.</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A96632" w:rsidRDefault="00651E3B" w:rsidP="00852065">
    <w:pPr>
      <w:pStyle w:val="a8"/>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rsidR="00651E3B" w:rsidRDefault="00651E3B" w:rsidP="00852065">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852065">
    <w:pPr>
      <w:pStyle w:val="a8"/>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C940DD" w:rsidRDefault="00651E3B" w:rsidP="00C940DD">
    <w:pPr>
      <w:pStyle w:val="a8"/>
      <w:rPr>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B2572D">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צז ע"ב</w:t>
    </w:r>
  </w:p>
  <w:p w:rsidR="00651E3B" w:rsidRDefault="00651E3B" w:rsidP="00B2572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B2572D">
    <w:pPr>
      <w:pStyle w:val="a8"/>
      <w:ind w:left="0"/>
      <w:jc w:val="center"/>
      <w:rPr>
        <w:rFonts w:cs="Guttman Hodes"/>
        <w:sz w:val="14"/>
        <w:szCs w:val="14"/>
        <w:rtl/>
      </w:rPr>
    </w:pPr>
    <w:r w:rsidRPr="00AE71B1">
      <w:rPr>
        <w:rFonts w:cs="Guttman Hodes"/>
        <w:sz w:val="14"/>
        <w:szCs w:val="14"/>
        <w:rtl/>
      </w:rPr>
      <w:t xml:space="preserve">סימן ג' בשיעור שישים </w:t>
    </w:r>
    <w:r w:rsidRPr="006959FB">
      <w:rPr>
        <w:rFonts w:cs="Guttman Hodes"/>
        <w:sz w:val="14"/>
        <w:szCs w:val="14"/>
        <w:rtl/>
      </w:rPr>
      <w:t>בקדירה ובמה שבלוע בקדירה</w:t>
    </w:r>
  </w:p>
  <w:p w:rsidR="00651E3B" w:rsidRDefault="00651E3B" w:rsidP="00B2572D">
    <w:pPr>
      <w:pStyle w:val="a8"/>
      <w:ind w:left="0"/>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C67D09" w:rsidRDefault="00651E3B" w:rsidP="00C67D09">
    <w:pPr>
      <w:pStyle w:val="a8"/>
      <w:rPr>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C67D09" w:rsidRDefault="00651E3B" w:rsidP="00C67D09">
    <w:pPr>
      <w:pStyle w:val="a8"/>
      <w:rPr>
        <w:rtl/>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C67D09" w:rsidRDefault="00651E3B" w:rsidP="00C67D09">
    <w:pPr>
      <w:pStyle w:val="a8"/>
      <w:rPr>
        <w:rtl/>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B2572D">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צז ע"ב</w:t>
    </w:r>
  </w:p>
  <w:p w:rsidR="00651E3B" w:rsidRDefault="00651E3B" w:rsidP="00B2572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B2572D">
    <w:pPr>
      <w:pStyle w:val="a8"/>
      <w:ind w:left="0"/>
      <w:jc w:val="center"/>
      <w:rPr>
        <w:rFonts w:cs="Guttman Hodes"/>
        <w:sz w:val="14"/>
        <w:szCs w:val="14"/>
        <w:rtl/>
      </w:rPr>
    </w:pPr>
    <w:r w:rsidRPr="00B37814">
      <w:rPr>
        <w:rFonts w:cs="Guttman Hodes"/>
        <w:sz w:val="14"/>
        <w:szCs w:val="14"/>
        <w:rtl/>
      </w:rPr>
      <w:t>סימן ד' סוגיא דכחל (א') בדין שישים בכחל שהתבשל עם בשר בקדירה</w:t>
    </w:r>
  </w:p>
  <w:p w:rsidR="00651E3B" w:rsidRDefault="00651E3B" w:rsidP="00B2572D">
    <w:pPr>
      <w:pStyle w:val="a8"/>
      <w:ind w:left="0"/>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pPr>
      <w:pStyle w:val="a8"/>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495EC8">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צז ע"ב</w:t>
    </w:r>
  </w:p>
  <w:p w:rsidR="00651E3B" w:rsidRDefault="00651E3B" w:rsidP="00495EC8">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495EC8">
    <w:pPr>
      <w:pStyle w:val="a8"/>
      <w:ind w:left="0"/>
      <w:jc w:val="center"/>
      <w:rPr>
        <w:rFonts w:cs="Guttman Hodes"/>
        <w:sz w:val="14"/>
        <w:szCs w:val="14"/>
        <w:rtl/>
      </w:rPr>
    </w:pPr>
    <w:r w:rsidRPr="00CF1C3F">
      <w:rPr>
        <w:rFonts w:cs="Guttman Hodes"/>
        <w:sz w:val="14"/>
        <w:szCs w:val="14"/>
        <w:rtl/>
      </w:rPr>
      <w:t>סימן ה'</w:t>
    </w:r>
    <w:r>
      <w:rPr>
        <w:rFonts w:cs="Guttman Hodes" w:hint="cs"/>
        <w:sz w:val="14"/>
        <w:szCs w:val="14"/>
        <w:rtl/>
      </w:rPr>
      <w:t xml:space="preserve"> </w:t>
    </w:r>
    <w:r w:rsidRPr="00CF1C3F">
      <w:rPr>
        <w:rFonts w:cs="Guttman Hodes"/>
        <w:sz w:val="14"/>
        <w:szCs w:val="14"/>
        <w:rtl/>
      </w:rPr>
      <w:t>סוגיא דכחל (ב')</w:t>
    </w:r>
    <w:r>
      <w:rPr>
        <w:rFonts w:cs="Guttman Hodes" w:hint="cs"/>
        <w:sz w:val="14"/>
        <w:szCs w:val="14"/>
        <w:rtl/>
      </w:rPr>
      <w:t xml:space="preserve"> </w:t>
    </w:r>
    <w:r w:rsidRPr="00CF1C3F">
      <w:rPr>
        <w:rFonts w:cs="Guttman Hodes"/>
        <w:sz w:val="14"/>
        <w:szCs w:val="14"/>
        <w:rtl/>
      </w:rPr>
      <w:t>בדין כחל ושאר איסורים אי משערים בו או ביוצא ממנו ובאיסור כחל בקדירה שניה</w:t>
    </w:r>
  </w:p>
  <w:p w:rsidR="00651E3B" w:rsidRDefault="00651E3B" w:rsidP="00495EC8">
    <w:pPr>
      <w:pStyle w:val="a8"/>
      <w:ind w:left="0"/>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pPr>
      <w:pStyle w:val="a8"/>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FF765F">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FF765F">
    <w:pPr>
      <w:pStyle w:val="a8"/>
      <w:ind w:left="0"/>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88374B">
    <w:pPr>
      <w:pStyle w:val="a8"/>
      <w:ind w:left="0"/>
      <w:jc w:val="right"/>
      <w:rPr>
        <w:rFonts w:cs="Guttman Hodes"/>
        <w:sz w:val="14"/>
        <w:szCs w:val="14"/>
        <w:rtl/>
      </w:rPr>
    </w:pPr>
    <w:r w:rsidRPr="00181149">
      <w:rPr>
        <w:rFonts w:cs="Guttman Hodes" w:hint="cs"/>
        <w:sz w:val="14"/>
        <w:szCs w:val="14"/>
        <w:rtl/>
      </w:rPr>
      <w:t>חולין דף</w:t>
    </w:r>
    <w:r>
      <w:rPr>
        <w:rFonts w:cs="Guttman Hodes" w:hint="cs"/>
        <w:sz w:val="14"/>
        <w:szCs w:val="14"/>
        <w:rtl/>
      </w:rPr>
      <w:t xml:space="preserve"> צח ע"ב</w:t>
    </w:r>
    <w:r w:rsidRPr="00181149">
      <w:rPr>
        <w:rFonts w:cs="Guttman Hodes" w:hint="cs"/>
        <w:sz w:val="14"/>
        <w:szCs w:val="14"/>
        <w:rtl/>
      </w:rPr>
      <w:t xml:space="preserve"> </w:t>
    </w:r>
  </w:p>
  <w:p w:rsidR="00651E3B" w:rsidRDefault="00651E3B" w:rsidP="0088374B">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88374B">
    <w:pPr>
      <w:pStyle w:val="a8"/>
      <w:ind w:left="0"/>
      <w:jc w:val="center"/>
      <w:rPr>
        <w:rFonts w:cs="Guttman Hodes"/>
        <w:sz w:val="14"/>
        <w:szCs w:val="14"/>
        <w:rtl/>
      </w:rPr>
    </w:pPr>
    <w:r>
      <w:rPr>
        <w:rFonts w:cs="Guttman Hodes"/>
        <w:sz w:val="14"/>
        <w:szCs w:val="14"/>
        <w:rtl/>
      </w:rPr>
      <w:t xml:space="preserve">סימן </w:t>
    </w:r>
    <w:r>
      <w:rPr>
        <w:rFonts w:cs="Guttman Hodes" w:hint="cs"/>
        <w:sz w:val="14"/>
        <w:szCs w:val="14"/>
        <w:rtl/>
      </w:rPr>
      <w:t>ו' ב</w:t>
    </w:r>
    <w:r w:rsidRPr="007426F0">
      <w:rPr>
        <w:rFonts w:cs="Guttman Hodes"/>
        <w:sz w:val="14"/>
        <w:szCs w:val="14"/>
        <w:rtl/>
      </w:rPr>
      <w:t>סוגי</w:t>
    </w:r>
    <w:r>
      <w:rPr>
        <w:rFonts w:cs="Guttman Hodes" w:hint="cs"/>
        <w:sz w:val="14"/>
        <w:szCs w:val="14"/>
        <w:rtl/>
      </w:rPr>
      <w:t>א ד</w:t>
    </w:r>
    <w:r w:rsidRPr="007426F0">
      <w:rPr>
        <w:rFonts w:cs="Guttman Hodes"/>
        <w:sz w:val="14"/>
        <w:szCs w:val="14"/>
        <w:rtl/>
      </w:rPr>
      <w:t xml:space="preserve">טעם כעיקר (א') </w:t>
    </w:r>
    <w:r w:rsidRPr="00061743">
      <w:rPr>
        <w:rFonts w:cs="Guttman Hodes"/>
        <w:sz w:val="14"/>
        <w:szCs w:val="14"/>
        <w:rtl/>
      </w:rPr>
      <w:t>בילפותא לביטול בשישים מזרוע בשלה</w:t>
    </w:r>
    <w:r>
      <w:rPr>
        <w:rFonts w:cs="Guttman Hodes" w:hint="cs"/>
        <w:sz w:val="14"/>
        <w:szCs w:val="14"/>
        <w:rtl/>
      </w:rPr>
      <w:t xml:space="preserve"> ובדין טעם הנרגש ביותר משישים</w:t>
    </w:r>
  </w:p>
  <w:p w:rsidR="00651E3B" w:rsidRDefault="00651E3B" w:rsidP="0088374B">
    <w:pPr>
      <w:pStyle w:val="a8"/>
      <w:ind w:left="0"/>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88374B">
    <w:pPr>
      <w:pStyle w:val="a8"/>
      <w:ind w:left="0"/>
      <w:jc w:val="right"/>
      <w:rPr>
        <w:rFonts w:cs="Guttman Hodes"/>
        <w:sz w:val="14"/>
        <w:szCs w:val="14"/>
        <w:rtl/>
      </w:rPr>
    </w:pPr>
  </w:p>
  <w:p w:rsidR="00651E3B" w:rsidRPr="00181149" w:rsidRDefault="00651E3B" w:rsidP="0088374B">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צח ע"ב</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1224DC">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צח ע"ב </w:t>
    </w:r>
    <w:r>
      <w:rPr>
        <w:rFonts w:cs="Guttman Hodes"/>
        <w:sz w:val="14"/>
        <w:szCs w:val="14"/>
        <w:rtl/>
      </w:rPr>
      <w:t>–</w:t>
    </w:r>
    <w:r>
      <w:rPr>
        <w:rFonts w:cs="Guttman Hodes" w:hint="cs"/>
        <w:sz w:val="14"/>
        <w:szCs w:val="14"/>
        <w:rtl/>
      </w:rPr>
      <w:t xml:space="preserve"> צט ע"א</w:t>
    </w:r>
  </w:p>
  <w:p w:rsidR="00651E3B" w:rsidRDefault="00651E3B" w:rsidP="001224DC">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1224DC">
    <w:pPr>
      <w:pStyle w:val="a8"/>
      <w:ind w:left="0"/>
      <w:jc w:val="center"/>
      <w:rPr>
        <w:rFonts w:cs="Guttman Hodes"/>
        <w:sz w:val="14"/>
        <w:szCs w:val="14"/>
        <w:rtl/>
      </w:rPr>
    </w:pPr>
    <w:r w:rsidRPr="004937A3">
      <w:rPr>
        <w:rFonts w:cs="Guttman Hodes"/>
        <w:sz w:val="14"/>
        <w:szCs w:val="14"/>
        <w:rtl/>
      </w:rPr>
      <w:t xml:space="preserve">סימן ז' סוגית טעם כעיקר (ב') </w:t>
    </w:r>
    <w:r w:rsidRPr="00064CD8">
      <w:rPr>
        <w:rFonts w:cs="Guttman Hodes"/>
        <w:sz w:val="14"/>
        <w:szCs w:val="14"/>
        <w:rtl/>
      </w:rPr>
      <w:t>בביאור דברי רבא בילפותא דזרוע בשלה ובדין טעם כעיקר בקדשים</w:t>
    </w:r>
  </w:p>
  <w:p w:rsidR="00651E3B" w:rsidRDefault="00651E3B" w:rsidP="001224DC">
    <w:pPr>
      <w:pStyle w:val="a8"/>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1224DC">
    <w:pPr>
      <w:pStyle w:val="a8"/>
      <w:ind w:left="0"/>
      <w:jc w:val="right"/>
      <w:rPr>
        <w:rFonts w:cs="Guttman Hodes"/>
        <w:sz w:val="14"/>
        <w:szCs w:val="14"/>
        <w:rtl/>
      </w:rPr>
    </w:pPr>
  </w:p>
  <w:p w:rsidR="00651E3B" w:rsidRPr="004E4267" w:rsidRDefault="00651E3B" w:rsidP="001224DC">
    <w:pPr>
      <w:pStyle w:val="a8"/>
      <w:ind w:left="0"/>
      <w:jc w:val="right"/>
      <w:rPr>
        <w:rFonts w:cs="Guttman Hodes"/>
        <w:sz w:val="2"/>
        <w:szCs w:val="2"/>
        <w:rtl/>
      </w:rPr>
    </w:pPr>
  </w:p>
  <w:p w:rsidR="00651E3B" w:rsidRPr="00181149" w:rsidRDefault="00651E3B" w:rsidP="001224DC">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צח ע"ב </w:t>
    </w:r>
    <w:r>
      <w:rPr>
        <w:rFonts w:cs="Guttman Hodes"/>
        <w:sz w:val="14"/>
        <w:szCs w:val="14"/>
        <w:rtl/>
      </w:rPr>
      <w:t>–</w:t>
    </w:r>
    <w:r>
      <w:rPr>
        <w:rFonts w:cs="Guttman Hodes" w:hint="cs"/>
        <w:sz w:val="14"/>
        <w:szCs w:val="14"/>
        <w:rtl/>
      </w:rPr>
      <w:t xml:space="preserve"> צט ע"א</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2C19A2" w:rsidRDefault="00651E3B" w:rsidP="002C19A2">
    <w:pPr>
      <w:pStyle w:val="a8"/>
      <w:rPr>
        <w:rtl/>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EE03CB">
    <w:pPr>
      <w:pStyle w:val="a8"/>
      <w:ind w:left="0"/>
      <w:jc w:val="right"/>
      <w:rPr>
        <w:rFonts w:cs="Guttman Hodes"/>
        <w:sz w:val="14"/>
        <w:szCs w:val="14"/>
        <w:rtl/>
      </w:rPr>
    </w:pPr>
    <w:r w:rsidRPr="00181149">
      <w:rPr>
        <w:rFonts w:cs="Guttman Hodes" w:hint="cs"/>
        <w:sz w:val="14"/>
        <w:szCs w:val="14"/>
        <w:rtl/>
      </w:rPr>
      <w:t>חולין דף</w:t>
    </w:r>
    <w:r>
      <w:rPr>
        <w:rFonts w:cs="Guttman Hodes" w:hint="cs"/>
        <w:sz w:val="14"/>
        <w:szCs w:val="14"/>
        <w:rtl/>
      </w:rPr>
      <w:t xml:space="preserve"> צח ע"ב</w:t>
    </w:r>
    <w:r w:rsidRPr="00181149">
      <w:rPr>
        <w:rFonts w:cs="Guttman Hodes" w:hint="cs"/>
        <w:sz w:val="14"/>
        <w:szCs w:val="14"/>
        <w:rtl/>
      </w:rPr>
      <w:t xml:space="preserve"> </w:t>
    </w:r>
  </w:p>
  <w:p w:rsidR="00651E3B" w:rsidRDefault="00651E3B" w:rsidP="00F7606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EE03CB">
    <w:pPr>
      <w:pStyle w:val="a8"/>
      <w:ind w:left="0"/>
      <w:jc w:val="center"/>
      <w:rPr>
        <w:rFonts w:cs="Guttman Hodes"/>
        <w:sz w:val="14"/>
        <w:szCs w:val="14"/>
        <w:rtl/>
      </w:rPr>
    </w:pPr>
    <w:r w:rsidRPr="00604469">
      <w:rPr>
        <w:rFonts w:cs="Guttman Hodes"/>
        <w:sz w:val="14"/>
        <w:szCs w:val="14"/>
        <w:rtl/>
      </w:rPr>
      <w:t>סימן ח' סוגית טעם כעיקר (ג') בדין טעם כעיקר מדאו' ומדרבנן ובגדר איסור הטעם עצמו ובביטול הטעם ברוב</w:t>
    </w:r>
  </w:p>
  <w:p w:rsidR="00651E3B" w:rsidRDefault="00651E3B" w:rsidP="00EE03CB">
    <w:pPr>
      <w:pStyle w:val="a8"/>
      <w:ind w:left="0"/>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E49A5" w:rsidRDefault="00651E3B" w:rsidP="00EE03CB">
    <w:pPr>
      <w:pStyle w:val="a8"/>
      <w:ind w:left="0"/>
      <w:jc w:val="right"/>
      <w:rPr>
        <w:rFonts w:cs="Guttman Hodes"/>
        <w:sz w:val="18"/>
        <w:szCs w:val="18"/>
        <w:rtl/>
      </w:rPr>
    </w:pPr>
  </w:p>
  <w:p w:rsidR="00651E3B" w:rsidRPr="00181149" w:rsidRDefault="00651E3B" w:rsidP="00EE03CB">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צח ע"ב</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6E49A5" w:rsidRDefault="00651E3B" w:rsidP="00EE03CB">
    <w:pPr>
      <w:pStyle w:val="a8"/>
      <w:ind w:left="0"/>
      <w:jc w:val="right"/>
      <w:rPr>
        <w:rFonts w:cs="Guttman Hodes"/>
        <w:sz w:val="18"/>
        <w:szCs w:val="18"/>
        <w:rtl/>
      </w:rPr>
    </w:pPr>
  </w:p>
  <w:p w:rsidR="00651E3B" w:rsidRPr="00181149" w:rsidRDefault="00651E3B" w:rsidP="00EE03CB">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צח ע"ב</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CC60B1">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pPr>
      <w:pStyle w:val="a8"/>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C13D3D" w:rsidRDefault="00651E3B" w:rsidP="00C13D3D">
    <w:pPr>
      <w:pStyle w:val="a8"/>
      <w:rPr>
        <w:rtl/>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707961">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צח ע"ב </w:t>
    </w:r>
    <w:r>
      <w:rPr>
        <w:rFonts w:cs="Guttman Hodes"/>
        <w:sz w:val="14"/>
        <w:szCs w:val="14"/>
        <w:rtl/>
      </w:rPr>
      <w:t>–</w:t>
    </w:r>
    <w:r>
      <w:rPr>
        <w:rFonts w:cs="Guttman Hodes" w:hint="cs"/>
        <w:sz w:val="14"/>
        <w:szCs w:val="14"/>
        <w:rtl/>
      </w:rPr>
      <w:t xml:space="preserve"> ע"ז דף סז</w:t>
    </w:r>
  </w:p>
  <w:p w:rsidR="00651E3B" w:rsidRDefault="00651E3B" w:rsidP="00F7606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707961">
    <w:pPr>
      <w:pStyle w:val="a8"/>
      <w:ind w:left="0"/>
      <w:jc w:val="center"/>
      <w:rPr>
        <w:rFonts w:cs="Guttman Hodes"/>
        <w:sz w:val="14"/>
        <w:szCs w:val="14"/>
        <w:rtl/>
      </w:rPr>
    </w:pPr>
    <w:r w:rsidRPr="00825800">
      <w:rPr>
        <w:rFonts w:cs="Guttman Hodes"/>
        <w:sz w:val="14"/>
        <w:szCs w:val="14"/>
        <w:rtl/>
      </w:rPr>
      <w:t>סימן</w:t>
    </w:r>
    <w:r>
      <w:rPr>
        <w:rFonts w:cs="Guttman Hodes"/>
        <w:sz w:val="14"/>
        <w:szCs w:val="14"/>
        <w:rtl/>
      </w:rPr>
      <w:t xml:space="preserve"> ט' סוגית טעם כעיקר (ד') בביאור</w:t>
    </w:r>
    <w:r>
      <w:rPr>
        <w:rFonts w:cs="Guttman Hodes" w:hint="cs"/>
        <w:sz w:val="14"/>
        <w:szCs w:val="14"/>
        <w:rtl/>
      </w:rPr>
      <w:t xml:space="preserve"> </w:t>
    </w:r>
    <w:r w:rsidRPr="00825800">
      <w:rPr>
        <w:rFonts w:cs="Guttman Hodes"/>
        <w:sz w:val="14"/>
        <w:szCs w:val="14"/>
        <w:rtl/>
      </w:rPr>
      <w:t>טעמו וממשו</w:t>
    </w:r>
    <w:r w:rsidRPr="00D64BEA">
      <w:rPr>
        <w:rFonts w:cs="Guttman Hodes"/>
        <w:sz w:val="14"/>
        <w:szCs w:val="14"/>
        <w:rtl/>
      </w:rPr>
      <w:t xml:space="preserve"> </w:t>
    </w:r>
    <w:r w:rsidRPr="00825800">
      <w:rPr>
        <w:rFonts w:cs="Guttman Hodes"/>
        <w:sz w:val="14"/>
        <w:szCs w:val="14"/>
        <w:rtl/>
      </w:rPr>
      <w:t>וטעמו ולא ממשו</w:t>
    </w:r>
  </w:p>
  <w:p w:rsidR="00651E3B" w:rsidRDefault="00651E3B" w:rsidP="00EE03CB">
    <w:pPr>
      <w:pStyle w:val="a8"/>
      <w:ind w:left="0"/>
      <w:jc w:val="center"/>
      <w:rPr>
        <w:rFonts w:cs="Guttman Hodes"/>
        <w:sz w:val="14"/>
        <w:szCs w:val="14"/>
        <w:rtl/>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6104BD">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צח ע"ב</w:t>
    </w:r>
  </w:p>
  <w:p w:rsidR="00651E3B" w:rsidRDefault="00651E3B" w:rsidP="00F34A5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6104BD">
    <w:pPr>
      <w:pStyle w:val="a8"/>
      <w:ind w:left="0"/>
      <w:jc w:val="center"/>
      <w:rPr>
        <w:rFonts w:cs="Guttman Hodes"/>
        <w:sz w:val="14"/>
        <w:szCs w:val="14"/>
        <w:rtl/>
      </w:rPr>
    </w:pPr>
    <w:r w:rsidRPr="00825800">
      <w:rPr>
        <w:rFonts w:cs="Guttman Hodes"/>
        <w:sz w:val="14"/>
        <w:szCs w:val="14"/>
        <w:rtl/>
      </w:rPr>
      <w:t>סימן</w:t>
    </w:r>
    <w:r>
      <w:rPr>
        <w:rFonts w:cs="Guttman Hodes"/>
        <w:sz w:val="14"/>
        <w:szCs w:val="14"/>
        <w:rtl/>
      </w:rPr>
      <w:t xml:space="preserve"> </w:t>
    </w:r>
    <w:r>
      <w:rPr>
        <w:rFonts w:cs="Guttman Hodes" w:hint="cs"/>
        <w:sz w:val="14"/>
        <w:szCs w:val="14"/>
        <w:rtl/>
      </w:rPr>
      <w:t>י</w:t>
    </w:r>
    <w:r>
      <w:rPr>
        <w:rFonts w:cs="Guttman Hodes"/>
        <w:sz w:val="14"/>
        <w:szCs w:val="14"/>
        <w:rtl/>
      </w:rPr>
      <w:t>' סוגית טעם כעיקר (</w:t>
    </w:r>
    <w:r>
      <w:rPr>
        <w:rFonts w:cs="Guttman Hodes" w:hint="cs"/>
        <w:sz w:val="14"/>
        <w:szCs w:val="14"/>
        <w:rtl/>
      </w:rPr>
      <w:t>ה</w:t>
    </w:r>
    <w:r>
      <w:rPr>
        <w:rFonts w:cs="Guttman Hodes"/>
        <w:sz w:val="14"/>
        <w:szCs w:val="14"/>
        <w:rtl/>
      </w:rPr>
      <w:t xml:space="preserve">') </w:t>
    </w:r>
    <w:r>
      <w:rPr>
        <w:rFonts w:cs="Guttman Hodes" w:hint="cs"/>
        <w:sz w:val="14"/>
        <w:szCs w:val="14"/>
        <w:rtl/>
      </w:rPr>
      <w:t>ב</w:t>
    </w:r>
    <w:r w:rsidRPr="00D12490">
      <w:rPr>
        <w:rFonts w:cs="Guttman Hodes"/>
        <w:sz w:val="14"/>
        <w:szCs w:val="14"/>
        <w:rtl/>
      </w:rPr>
      <w:t>פלוגתת הראשונים בדין נהפך בטעם כעיקר</w:t>
    </w:r>
  </w:p>
  <w:p w:rsidR="00651E3B" w:rsidRDefault="00651E3B" w:rsidP="009A0058">
    <w:pPr>
      <w:pStyle w:val="a8"/>
      <w:ind w:left="0"/>
      <w:jc w:val="center"/>
      <w:rPr>
        <w:rFonts w:cs="Guttman Hodes"/>
        <w:sz w:val="14"/>
        <w:szCs w:val="14"/>
        <w:rtl/>
      </w:rPr>
    </w:pPr>
    <w:r>
      <w:rPr>
        <w:rFonts w:cs="Guttman Hodes"/>
        <w:sz w:val="14"/>
        <w:szCs w:val="14"/>
        <w:rtl/>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6F4A61">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צח ע"ב</w:t>
    </w:r>
  </w:p>
  <w:p w:rsidR="00651E3B" w:rsidRDefault="00651E3B" w:rsidP="00F34A5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6F4A61">
    <w:pPr>
      <w:pStyle w:val="a8"/>
      <w:ind w:left="0"/>
      <w:jc w:val="center"/>
      <w:rPr>
        <w:rFonts w:cs="Guttman Hodes"/>
        <w:sz w:val="14"/>
        <w:szCs w:val="14"/>
        <w:rtl/>
      </w:rPr>
    </w:pPr>
    <w:r w:rsidRPr="0085173B">
      <w:rPr>
        <w:rFonts w:cs="Guttman Hodes"/>
        <w:sz w:val="14"/>
        <w:szCs w:val="14"/>
        <w:rtl/>
      </w:rPr>
      <w:t>סימן י"א סוגית טעם כעיקר (ו') בביאור דעת הרמב"ם בטעם כעיקר</w:t>
    </w:r>
  </w:p>
  <w:p w:rsidR="00651E3B" w:rsidRDefault="00651E3B" w:rsidP="009A0058">
    <w:pPr>
      <w:pStyle w:val="a8"/>
      <w:ind w:left="0"/>
      <w:jc w:val="center"/>
      <w:rPr>
        <w:rFonts w:cs="Guttman Hodes"/>
        <w:sz w:val="14"/>
        <w:szCs w:val="14"/>
        <w:rtl/>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DE57DF">
    <w:pPr>
      <w:pStyle w:val="a8"/>
      <w:ind w:left="0"/>
      <w:jc w:val="right"/>
      <w:rPr>
        <w:rFonts w:cs="Guttman Hodes"/>
        <w:sz w:val="14"/>
        <w:szCs w:val="14"/>
        <w:rtl/>
      </w:rPr>
    </w:pPr>
    <w:r>
      <w:rPr>
        <w:rFonts w:cs="Guttman Hodes" w:hint="cs"/>
        <w:sz w:val="14"/>
        <w:szCs w:val="14"/>
        <w:rtl/>
      </w:rPr>
      <w:t>ע"ז</w:t>
    </w:r>
    <w:r w:rsidRPr="00181149">
      <w:rPr>
        <w:rFonts w:cs="Guttman Hodes" w:hint="cs"/>
        <w:sz w:val="14"/>
        <w:szCs w:val="14"/>
        <w:rtl/>
      </w:rPr>
      <w:t xml:space="preserve"> דף </w:t>
    </w:r>
    <w:r>
      <w:rPr>
        <w:rFonts w:cs="Guttman Hodes" w:hint="cs"/>
        <w:sz w:val="14"/>
        <w:szCs w:val="14"/>
        <w:rtl/>
      </w:rPr>
      <w:t>סז ע"א</w:t>
    </w:r>
  </w:p>
  <w:p w:rsidR="00651E3B" w:rsidRDefault="00651E3B" w:rsidP="00DE57DF">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DE57DF">
    <w:pPr>
      <w:pStyle w:val="a8"/>
      <w:ind w:left="0"/>
      <w:jc w:val="center"/>
      <w:rPr>
        <w:rFonts w:cs="Guttman Hodes"/>
        <w:sz w:val="14"/>
        <w:szCs w:val="14"/>
        <w:rtl/>
      </w:rPr>
    </w:pPr>
    <w:r>
      <w:rPr>
        <w:rFonts w:cs="Guttman Hodes"/>
        <w:sz w:val="14"/>
        <w:szCs w:val="14"/>
        <w:rtl/>
      </w:rPr>
      <w:t xml:space="preserve">סימן </w:t>
    </w:r>
    <w:r>
      <w:rPr>
        <w:rFonts w:cs="Guttman Hodes" w:hint="cs"/>
        <w:sz w:val="14"/>
        <w:szCs w:val="14"/>
        <w:rtl/>
      </w:rPr>
      <w:t>יב'</w:t>
    </w:r>
    <w:r w:rsidRPr="0058021D">
      <w:rPr>
        <w:rtl/>
      </w:rPr>
      <w:t xml:space="preserve"> </w:t>
    </w:r>
    <w:r w:rsidRPr="0058021D">
      <w:rPr>
        <w:rFonts w:cs="Guttman Hodes"/>
        <w:sz w:val="14"/>
        <w:szCs w:val="14"/>
        <w:rtl/>
      </w:rPr>
      <w:t>בסוגיא דנותן טעם לפגם (א')</w:t>
    </w:r>
    <w:r>
      <w:rPr>
        <w:rFonts w:cs="Guttman Hodes" w:hint="cs"/>
        <w:sz w:val="14"/>
        <w:szCs w:val="14"/>
        <w:rtl/>
      </w:rPr>
      <w:t xml:space="preserve"> </w:t>
    </w:r>
    <w:r w:rsidRPr="0058021D">
      <w:rPr>
        <w:rFonts w:cs="Guttman Hodes"/>
        <w:sz w:val="14"/>
        <w:szCs w:val="14"/>
        <w:rtl/>
      </w:rPr>
      <w:t xml:space="preserve">בפלוגתת הראשונים </w:t>
    </w:r>
    <w:r>
      <w:rPr>
        <w:rFonts w:cs="Guttman Hodes" w:hint="cs"/>
        <w:sz w:val="14"/>
        <w:szCs w:val="14"/>
        <w:rtl/>
      </w:rPr>
      <w:t>בדין פגום</w:t>
    </w:r>
    <w:r w:rsidRPr="0058021D">
      <w:rPr>
        <w:rFonts w:cs="Guttman Hodes"/>
        <w:sz w:val="14"/>
        <w:szCs w:val="14"/>
        <w:rtl/>
      </w:rPr>
      <w:t xml:space="preserve"> במקצת ובנבילה שאינה ראויה לגר</w:t>
    </w:r>
  </w:p>
  <w:p w:rsidR="00651E3B" w:rsidRDefault="00651E3B" w:rsidP="00DE57DF">
    <w:pPr>
      <w:pStyle w:val="a8"/>
      <w:ind w:left="0"/>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13006A">
    <w:pPr>
      <w:pStyle w:val="a8"/>
      <w:ind w:left="0"/>
      <w:jc w:val="right"/>
      <w:rPr>
        <w:rFonts w:cs="Guttman Hodes"/>
        <w:sz w:val="14"/>
        <w:szCs w:val="14"/>
        <w:rtl/>
      </w:rPr>
    </w:pPr>
    <w:r>
      <w:rPr>
        <w:rFonts w:cs="Guttman Hodes" w:hint="cs"/>
        <w:sz w:val="14"/>
        <w:szCs w:val="14"/>
        <w:rtl/>
      </w:rPr>
      <w:t>ע"ז</w:t>
    </w:r>
    <w:r w:rsidRPr="00181149">
      <w:rPr>
        <w:rFonts w:cs="Guttman Hodes" w:hint="cs"/>
        <w:sz w:val="14"/>
        <w:szCs w:val="14"/>
        <w:rtl/>
      </w:rPr>
      <w:t xml:space="preserve"> דף </w:t>
    </w:r>
    <w:r>
      <w:rPr>
        <w:rFonts w:cs="Guttman Hodes" w:hint="cs"/>
        <w:sz w:val="14"/>
        <w:szCs w:val="14"/>
        <w:rtl/>
      </w:rPr>
      <w:t xml:space="preserve">סז ע"א </w:t>
    </w:r>
    <w:r>
      <w:rPr>
        <w:rFonts w:cs="Guttman Hodes"/>
        <w:sz w:val="14"/>
        <w:szCs w:val="14"/>
        <w:rtl/>
      </w:rPr>
      <w:t>–</w:t>
    </w:r>
    <w:r>
      <w:rPr>
        <w:rFonts w:cs="Guttman Hodes" w:hint="cs"/>
        <w:sz w:val="14"/>
        <w:szCs w:val="14"/>
        <w:rtl/>
      </w:rPr>
      <w:t xml:space="preserve"> ע"ב</w:t>
    </w:r>
  </w:p>
  <w:p w:rsidR="00651E3B" w:rsidRDefault="00651E3B" w:rsidP="0013006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13006A">
    <w:pPr>
      <w:pStyle w:val="a8"/>
      <w:ind w:left="0"/>
      <w:jc w:val="center"/>
      <w:rPr>
        <w:rFonts w:cs="Guttman Hodes"/>
        <w:sz w:val="14"/>
        <w:szCs w:val="14"/>
        <w:rtl/>
      </w:rPr>
    </w:pPr>
    <w:r w:rsidRPr="00DA6573">
      <w:rPr>
        <w:rFonts w:cs="Guttman Hodes"/>
        <w:sz w:val="14"/>
        <w:szCs w:val="14"/>
        <w:rtl/>
      </w:rPr>
      <w:t>סימן יג' בסוגיא דנותן טעם לפגם (ב') בגדרי ודיני נבילה שאינה ראויה לגר ונותן טעם</w:t>
    </w:r>
  </w:p>
  <w:p w:rsidR="00651E3B" w:rsidRDefault="00651E3B" w:rsidP="0013006A">
    <w:pPr>
      <w:pStyle w:val="a8"/>
      <w:ind w:left="0"/>
      <w:jc w:val="center"/>
      <w:rPr>
        <w:rFonts w:cs="Guttman Hodes"/>
        <w:sz w:val="14"/>
        <w:szCs w:val="14"/>
        <w:rtl/>
      </w:rPr>
    </w:pPr>
    <w:r>
      <w:rPr>
        <w:rFonts w:cs="Guttman Hodes"/>
        <w:sz w:val="14"/>
        <w:szCs w:val="14"/>
        <w:rtl/>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13006A">
    <w:pPr>
      <w:pStyle w:val="a8"/>
      <w:ind w:left="0"/>
      <w:jc w:val="right"/>
      <w:rPr>
        <w:rFonts w:cs="Guttman Hodes"/>
        <w:sz w:val="14"/>
        <w:szCs w:val="14"/>
      </w:rPr>
    </w:pPr>
    <w:r>
      <w:rPr>
        <w:rFonts w:cs="Guttman Hodes" w:hint="cs"/>
        <w:sz w:val="14"/>
        <w:szCs w:val="14"/>
        <w:rtl/>
      </w:rPr>
      <w:t>ע"ז דף סז ע"א – ע"ב</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F65810">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F65810">
    <w:pPr>
      <w:pStyle w:val="a8"/>
      <w:ind w:left="0"/>
      <w:jc w:val="center"/>
      <w:rPr>
        <w:rFonts w:cs="Guttman Hodes"/>
        <w:b/>
        <w:bCs/>
        <w:sz w:val="28"/>
        <w:szCs w:val="28"/>
        <w:rtl/>
      </w:rP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707FC2">
    <w:pPr>
      <w:pStyle w:val="a8"/>
      <w:ind w:left="0"/>
      <w:jc w:val="right"/>
      <w:rPr>
        <w:rFonts w:cs="Guttman Hodes"/>
        <w:sz w:val="14"/>
        <w:szCs w:val="14"/>
        <w:rtl/>
      </w:rPr>
    </w:pPr>
    <w:r>
      <w:rPr>
        <w:rFonts w:cs="Guttman Hodes" w:hint="cs"/>
        <w:sz w:val="14"/>
        <w:szCs w:val="14"/>
        <w:rtl/>
      </w:rPr>
      <w:t>ע"ז</w:t>
    </w:r>
    <w:r w:rsidRPr="00181149">
      <w:rPr>
        <w:rFonts w:cs="Guttman Hodes" w:hint="cs"/>
        <w:sz w:val="14"/>
        <w:szCs w:val="14"/>
        <w:rtl/>
      </w:rPr>
      <w:t xml:space="preserve"> דף </w:t>
    </w:r>
    <w:r>
      <w:rPr>
        <w:rFonts w:cs="Guttman Hodes" w:hint="cs"/>
        <w:sz w:val="14"/>
        <w:szCs w:val="14"/>
        <w:rtl/>
      </w:rPr>
      <w:t xml:space="preserve">סז </w:t>
    </w:r>
    <w:r>
      <w:rPr>
        <w:rFonts w:cs="Guttman Hodes"/>
        <w:sz w:val="14"/>
        <w:szCs w:val="14"/>
        <w:rtl/>
      </w:rPr>
      <w:t>–</w:t>
    </w:r>
    <w:r>
      <w:rPr>
        <w:rFonts w:cs="Guttman Hodes" w:hint="cs"/>
        <w:sz w:val="14"/>
        <w:szCs w:val="14"/>
        <w:rtl/>
      </w:rPr>
      <w:t xml:space="preserve"> סח ע"א</w:t>
    </w:r>
  </w:p>
  <w:p w:rsidR="00651E3B" w:rsidRDefault="00651E3B" w:rsidP="00707FC2">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707FC2">
    <w:pPr>
      <w:pStyle w:val="a8"/>
      <w:ind w:left="0"/>
      <w:jc w:val="center"/>
      <w:rPr>
        <w:rFonts w:cs="Guttman Hodes"/>
        <w:sz w:val="14"/>
        <w:szCs w:val="14"/>
        <w:rtl/>
      </w:rPr>
    </w:pPr>
    <w:r>
      <w:rPr>
        <w:rFonts w:cs="Guttman Hodes"/>
        <w:sz w:val="14"/>
        <w:szCs w:val="14"/>
        <w:rtl/>
      </w:rPr>
      <w:t xml:space="preserve">סימן </w:t>
    </w:r>
    <w:r>
      <w:rPr>
        <w:rFonts w:cs="Guttman Hodes" w:hint="cs"/>
        <w:sz w:val="14"/>
        <w:szCs w:val="14"/>
        <w:rtl/>
      </w:rPr>
      <w:t>יד'</w:t>
    </w:r>
    <w:r w:rsidRPr="0058021D">
      <w:rPr>
        <w:rtl/>
      </w:rPr>
      <w:t xml:space="preserve"> </w:t>
    </w:r>
    <w:r w:rsidRPr="0058021D">
      <w:rPr>
        <w:rFonts w:cs="Guttman Hodes"/>
        <w:sz w:val="14"/>
        <w:szCs w:val="14"/>
        <w:rtl/>
      </w:rPr>
      <w:t>בסוגיא דנותן טעם לפגם (</w:t>
    </w:r>
    <w:r>
      <w:rPr>
        <w:rFonts w:cs="Guttman Hodes" w:hint="cs"/>
        <w:sz w:val="14"/>
        <w:szCs w:val="14"/>
        <w:rtl/>
      </w:rPr>
      <w:t>ג</w:t>
    </w:r>
    <w:r w:rsidRPr="0058021D">
      <w:rPr>
        <w:rFonts w:cs="Guttman Hodes"/>
        <w:sz w:val="14"/>
        <w:szCs w:val="14"/>
        <w:rtl/>
      </w:rPr>
      <w:t>')</w:t>
    </w:r>
    <w:r>
      <w:rPr>
        <w:rFonts w:cs="Guttman Hodes" w:hint="cs"/>
        <w:sz w:val="14"/>
        <w:szCs w:val="14"/>
        <w:rtl/>
      </w:rPr>
      <w:t xml:space="preserve"> </w:t>
    </w:r>
    <w:r w:rsidRPr="00A56823">
      <w:rPr>
        <w:rFonts w:cs="Guttman Hodes"/>
        <w:sz w:val="14"/>
        <w:szCs w:val="14"/>
        <w:rtl/>
      </w:rPr>
      <w:t>בדין השביח ולבסוף פגם ופגם ולבסוף השביח</w:t>
    </w:r>
    <w:r w:rsidRPr="006378A8">
      <w:rPr>
        <w:rtl/>
      </w:rPr>
      <w:t xml:space="preserve"> </w:t>
    </w:r>
    <w:r w:rsidRPr="00702283">
      <w:rPr>
        <w:rFonts w:cs="Guttman Hodes"/>
        <w:sz w:val="14"/>
        <w:szCs w:val="14"/>
        <w:rtl/>
      </w:rPr>
      <w:t xml:space="preserve">ובדברי עולא וריו"ח </w:t>
    </w:r>
    <w:r w:rsidRPr="006378A8">
      <w:rPr>
        <w:rFonts w:cs="Guttman Hodes"/>
        <w:sz w:val="14"/>
        <w:szCs w:val="14"/>
        <w:rtl/>
      </w:rPr>
      <w:t>בזה</w:t>
    </w:r>
  </w:p>
  <w:p w:rsidR="00651E3B" w:rsidRDefault="00651E3B" w:rsidP="00707FC2">
    <w:pPr>
      <w:pStyle w:val="a8"/>
      <w:ind w:left="0"/>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707FC2">
    <w:pPr>
      <w:pStyle w:val="a8"/>
      <w:ind w:left="0"/>
      <w:jc w:val="right"/>
      <w:rPr>
        <w:rFonts w:cs="Guttman Hodes"/>
        <w:sz w:val="14"/>
        <w:szCs w:val="14"/>
        <w:rtl/>
      </w:rPr>
    </w:pPr>
    <w:r>
      <w:rPr>
        <w:rFonts w:cs="Guttman Hodes" w:hint="cs"/>
        <w:sz w:val="14"/>
        <w:szCs w:val="14"/>
        <w:rtl/>
      </w:rPr>
      <w:t>ע"ז</w:t>
    </w:r>
    <w:r w:rsidRPr="00181149">
      <w:rPr>
        <w:rFonts w:cs="Guttman Hodes" w:hint="cs"/>
        <w:sz w:val="14"/>
        <w:szCs w:val="14"/>
        <w:rtl/>
      </w:rPr>
      <w:t xml:space="preserve"> דף </w:t>
    </w:r>
    <w:r>
      <w:rPr>
        <w:rFonts w:cs="Guttman Hodes" w:hint="cs"/>
        <w:sz w:val="14"/>
        <w:szCs w:val="14"/>
        <w:rtl/>
      </w:rPr>
      <w:t xml:space="preserve">סז </w:t>
    </w:r>
    <w:r>
      <w:rPr>
        <w:rFonts w:cs="Guttman Hodes"/>
        <w:sz w:val="14"/>
        <w:szCs w:val="14"/>
        <w:rtl/>
      </w:rPr>
      <w:t>–</w:t>
    </w:r>
    <w:r>
      <w:rPr>
        <w:rFonts w:cs="Guttman Hodes" w:hint="cs"/>
        <w:sz w:val="14"/>
        <w:szCs w:val="14"/>
        <w:rtl/>
      </w:rPr>
      <w:t xml:space="preserve"> סח ע"א</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סח ע"ב</w:t>
    </w:r>
  </w:p>
  <w:p w:rsidR="00651E3B" w:rsidRDefault="00651E3B" w:rsidP="00F16CB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6C2032">
    <w:pPr>
      <w:pStyle w:val="a8"/>
      <w:ind w:left="0"/>
      <w:jc w:val="center"/>
      <w:rPr>
        <w:rFonts w:cs="Guttman Hodes"/>
        <w:sz w:val="14"/>
        <w:szCs w:val="14"/>
        <w:rtl/>
      </w:rPr>
    </w:pPr>
    <w:r w:rsidRPr="00401845">
      <w:rPr>
        <w:rFonts w:cs="Guttman Hodes"/>
        <w:sz w:val="14"/>
        <w:szCs w:val="14"/>
        <w:rtl/>
      </w:rPr>
      <w:t>סימן  ט"</w:t>
    </w:r>
    <w:r>
      <w:rPr>
        <w:rFonts w:cs="Guttman Hodes" w:hint="cs"/>
        <w:sz w:val="14"/>
        <w:szCs w:val="14"/>
        <w:rtl/>
      </w:rPr>
      <w:t xml:space="preserve">ו </w:t>
    </w:r>
    <w:r w:rsidRPr="00401845">
      <w:rPr>
        <w:rFonts w:cs="Guttman Hodes"/>
        <w:sz w:val="14"/>
        <w:szCs w:val="14"/>
        <w:rtl/>
      </w:rPr>
      <w:t>בסוגיא דנותן טעם לפגם (</w:t>
    </w:r>
    <w:r>
      <w:rPr>
        <w:rFonts w:cs="Guttman Hodes" w:hint="cs"/>
        <w:sz w:val="14"/>
        <w:szCs w:val="14"/>
        <w:rtl/>
      </w:rPr>
      <w:t>ד</w:t>
    </w:r>
    <w:r w:rsidRPr="00401845">
      <w:rPr>
        <w:rFonts w:cs="Guttman Hodes"/>
        <w:sz w:val="14"/>
        <w:szCs w:val="14"/>
        <w:rtl/>
      </w:rPr>
      <w:t>')</w:t>
    </w:r>
    <w:r>
      <w:rPr>
        <w:rFonts w:cs="Guttman Hodes" w:hint="cs"/>
        <w:sz w:val="14"/>
        <w:szCs w:val="14"/>
        <w:rtl/>
      </w:rPr>
      <w:t xml:space="preserve"> </w:t>
    </w:r>
    <w:r w:rsidRPr="00954FDA">
      <w:rPr>
        <w:rFonts w:cs="Guttman Hodes"/>
        <w:sz w:val="14"/>
        <w:szCs w:val="14"/>
        <w:rtl/>
      </w:rPr>
      <w:t>בדין נותן טעם לפגם באיסור שמאוס מעיקרו</w:t>
    </w:r>
  </w:p>
  <w:p w:rsidR="00651E3B" w:rsidRDefault="00651E3B" w:rsidP="006C2032">
    <w:pPr>
      <w:pStyle w:val="a8"/>
      <w:ind w:left="0"/>
      <w:jc w:val="center"/>
      <w:rPr>
        <w:rFonts w:cs="Guttman Hodes"/>
        <w:sz w:val="14"/>
        <w:szCs w:val="14"/>
        <w:rtl/>
      </w:rPr>
    </w:pPr>
    <w:r>
      <w:rPr>
        <w:rFonts w:cs="Guttman Hodes"/>
        <w:sz w:val="14"/>
        <w:szCs w:val="14"/>
        <w:rtl/>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סח ע"ב</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6104BD">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צח ע"ב</w:t>
    </w:r>
  </w:p>
  <w:p w:rsidR="00651E3B" w:rsidRDefault="00651E3B" w:rsidP="00F34A5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491B52">
    <w:pPr>
      <w:pStyle w:val="a8"/>
      <w:ind w:left="0"/>
      <w:jc w:val="center"/>
      <w:rPr>
        <w:rFonts w:cs="Guttman Hodes"/>
        <w:sz w:val="14"/>
        <w:szCs w:val="14"/>
      </w:rPr>
    </w:pPr>
    <w:r>
      <w:rPr>
        <w:rFonts w:cs="Guttman Hodes" w:hint="cs"/>
        <w:sz w:val="14"/>
        <w:szCs w:val="14"/>
        <w:rtl/>
      </w:rPr>
      <w:t>סימן י"א סוגית טעם כעיקר (ו') בביאור דעת הרמב"ם בטעם כעיקר</w:t>
    </w:r>
  </w:p>
  <w:p w:rsidR="00651E3B" w:rsidRDefault="00651E3B" w:rsidP="009A0058">
    <w:pPr>
      <w:pStyle w:val="a8"/>
      <w:ind w:left="0"/>
      <w:jc w:val="center"/>
      <w:rPr>
        <w:rFonts w:cs="Guttman Hodes"/>
        <w:sz w:val="14"/>
        <w:szCs w:val="14"/>
        <w:rtl/>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F34A5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9A0058">
    <w:pPr>
      <w:pStyle w:val="a8"/>
      <w:ind w:left="0"/>
      <w:jc w:val="center"/>
      <w:rPr>
        <w:rFonts w:cs="Guttman Hodes"/>
        <w:sz w:val="14"/>
        <w:szCs w:val="14"/>
        <w:rtl/>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סח ע"ב</w:t>
    </w:r>
  </w:p>
  <w:p w:rsidR="00651E3B" w:rsidRDefault="00651E3B" w:rsidP="00F16CB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6C2032">
    <w:pPr>
      <w:pStyle w:val="a8"/>
      <w:ind w:left="0"/>
      <w:jc w:val="center"/>
      <w:rPr>
        <w:rFonts w:cs="Guttman Hodes"/>
        <w:sz w:val="14"/>
        <w:szCs w:val="14"/>
        <w:rtl/>
      </w:rPr>
    </w:pPr>
    <w:r w:rsidRPr="00401845">
      <w:rPr>
        <w:rFonts w:cs="Guttman Hodes"/>
        <w:sz w:val="14"/>
        <w:szCs w:val="14"/>
        <w:rtl/>
      </w:rPr>
      <w:t>סימן  ט"</w:t>
    </w:r>
    <w:r>
      <w:rPr>
        <w:rFonts w:cs="Guttman Hodes" w:hint="cs"/>
        <w:sz w:val="14"/>
        <w:szCs w:val="14"/>
        <w:rtl/>
      </w:rPr>
      <w:t xml:space="preserve">ו </w:t>
    </w:r>
    <w:r w:rsidRPr="00401845">
      <w:rPr>
        <w:rFonts w:cs="Guttman Hodes"/>
        <w:sz w:val="14"/>
        <w:szCs w:val="14"/>
        <w:rtl/>
      </w:rPr>
      <w:t>בסוגיא דנותן טעם לפגם (</w:t>
    </w:r>
    <w:r>
      <w:rPr>
        <w:rFonts w:cs="Guttman Hodes" w:hint="cs"/>
        <w:sz w:val="14"/>
        <w:szCs w:val="14"/>
        <w:rtl/>
      </w:rPr>
      <w:t>ד</w:t>
    </w:r>
    <w:r w:rsidRPr="00401845">
      <w:rPr>
        <w:rFonts w:cs="Guttman Hodes"/>
        <w:sz w:val="14"/>
        <w:szCs w:val="14"/>
        <w:rtl/>
      </w:rPr>
      <w:t>')</w:t>
    </w:r>
    <w:r>
      <w:rPr>
        <w:rFonts w:cs="Guttman Hodes" w:hint="cs"/>
        <w:sz w:val="14"/>
        <w:szCs w:val="14"/>
        <w:rtl/>
      </w:rPr>
      <w:t xml:space="preserve"> </w:t>
    </w:r>
    <w:r w:rsidRPr="00954FDA">
      <w:rPr>
        <w:rFonts w:cs="Guttman Hodes"/>
        <w:sz w:val="14"/>
        <w:szCs w:val="14"/>
        <w:rtl/>
      </w:rPr>
      <w:t>בדין נותן טעם לפגם באיסור שמאוס מעיקרו</w:t>
    </w:r>
  </w:p>
  <w:p w:rsidR="00651E3B" w:rsidRDefault="00651E3B" w:rsidP="006C2032">
    <w:pPr>
      <w:pStyle w:val="a8"/>
      <w:ind w:left="0"/>
      <w:jc w:val="center"/>
      <w:rPr>
        <w:rFonts w:cs="Guttman Hodes"/>
        <w:sz w:val="14"/>
        <w:szCs w:val="14"/>
        <w:rtl/>
      </w:rPr>
    </w:pPr>
    <w:r>
      <w:rPr>
        <w:rFonts w:cs="Guttman Hodes"/>
        <w:sz w:val="14"/>
        <w:szCs w:val="14"/>
        <w:rtl/>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סח ע"ב</w: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D45705">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ק ע"א</w:t>
    </w:r>
  </w:p>
  <w:p w:rsidR="00651E3B" w:rsidRDefault="00651E3B" w:rsidP="00D45705">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F65CF8">
    <w:pPr>
      <w:pStyle w:val="a8"/>
      <w:ind w:left="0"/>
      <w:jc w:val="center"/>
      <w:rPr>
        <w:rFonts w:cs="Guttman Hodes"/>
        <w:sz w:val="14"/>
        <w:szCs w:val="14"/>
        <w:rtl/>
      </w:rPr>
    </w:pPr>
    <w:r w:rsidRPr="005B25ED">
      <w:rPr>
        <w:rFonts w:cs="Guttman Hodes"/>
        <w:sz w:val="14"/>
        <w:szCs w:val="14"/>
        <w:rtl/>
      </w:rPr>
      <w:t xml:space="preserve">סימן ט"ז סוגית ביטול יבש ביבש (א') </w:t>
    </w:r>
    <w:r>
      <w:rPr>
        <w:rFonts w:cs="Guttman Hodes" w:hint="cs"/>
        <w:sz w:val="14"/>
        <w:szCs w:val="14"/>
        <w:rtl/>
      </w:rPr>
      <w:t xml:space="preserve">בביטול ברוב ביבש ובלח </w:t>
    </w:r>
    <w:r w:rsidRPr="0090130A">
      <w:rPr>
        <w:rFonts w:cs="Guttman Hodes"/>
        <w:sz w:val="14"/>
        <w:szCs w:val="14"/>
        <w:rtl/>
      </w:rPr>
      <w:t xml:space="preserve">במב"מ ובמבשא"מ </w:t>
    </w:r>
    <w:r>
      <w:rPr>
        <w:rFonts w:cs="Guttman Hodes" w:hint="cs"/>
        <w:sz w:val="14"/>
        <w:szCs w:val="14"/>
        <w:rtl/>
      </w:rPr>
      <w:t>ובמקור וגדר דין ביטול ברוב</w:t>
    </w:r>
  </w:p>
  <w:p w:rsidR="00651E3B" w:rsidRDefault="00651E3B" w:rsidP="00D45705">
    <w:pPr>
      <w:pStyle w:val="a8"/>
      <w:ind w:left="0"/>
      <w:jc w:val="center"/>
      <w:rPr>
        <w:rFonts w:cs="Guttman Hodes"/>
        <w:sz w:val="14"/>
        <w:szCs w:val="14"/>
        <w:rtl/>
      </w:rPr>
    </w:pPr>
    <w:r>
      <w:rPr>
        <w:rFonts w:cs="Guttman Hodes"/>
        <w:sz w:val="14"/>
        <w:szCs w:val="14"/>
        <w:rtl/>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D45705">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ק ע"א</w:t>
    </w:r>
  </w:p>
  <w:p w:rsidR="00651E3B" w:rsidRDefault="00651E3B" w:rsidP="00D45705">
    <w:pPr>
      <w:spacing w:before="240"/>
      <w:ind w:left="0"/>
      <w:jc w:val="center"/>
      <w:outlineLvl w:val="1"/>
      <w:rPr>
        <w:rFonts w:ascii="Guttman Adii-Light" w:eastAsia="Guttman Adii-Light" w:hAnsi="Guttman Adii-Light" w:cs="Guttman Hodes"/>
        <w:bCs/>
        <w:szCs w:val="28"/>
        <w:rtl/>
      </w:rPr>
    </w:pPr>
    <w:bookmarkStart w:id="11755" w:name="_Toc533441189"/>
    <w:bookmarkStart w:id="11756" w:name="_Toc533413298"/>
    <w:bookmarkStart w:id="11757" w:name="_Toc532810053"/>
    <w:bookmarkStart w:id="11758" w:name="_Toc532550690"/>
    <w:bookmarkStart w:id="11759" w:name="_Toc532550624"/>
    <w:bookmarkStart w:id="11760" w:name="_Toc532453983"/>
    <w:bookmarkStart w:id="11761" w:name="_Toc532453949"/>
    <w:bookmarkStart w:id="11762" w:name="_Toc532302154"/>
    <w:bookmarkStart w:id="11763" w:name="_Toc532202993"/>
    <w:bookmarkStart w:id="11764" w:name="_Toc531894185"/>
    <w:bookmarkStart w:id="11765" w:name="_Toc531894160"/>
    <w:bookmarkStart w:id="11766" w:name="_Toc531638965"/>
    <w:bookmarkStart w:id="11767" w:name="_Toc531629694"/>
    <w:bookmarkStart w:id="11768" w:name="_Toc531622038"/>
    <w:bookmarkStart w:id="11769" w:name="_Toc531258162"/>
    <w:bookmarkStart w:id="11770" w:name="_Toc531251620"/>
    <w:bookmarkStart w:id="11771" w:name="_Toc531251477"/>
    <w:bookmarkStart w:id="11772" w:name="_Toc531193275"/>
    <w:bookmarkStart w:id="11773" w:name="_Toc533490155"/>
    <w:bookmarkStart w:id="11774" w:name="_Toc533506085"/>
    <w:bookmarkStart w:id="11775" w:name="_Toc533544293"/>
    <w:bookmarkStart w:id="11776" w:name="_Toc533585362"/>
    <w:bookmarkStart w:id="11777" w:name="_Toc533585373"/>
    <w:r>
      <w:rPr>
        <w:rFonts w:ascii="Guttman Adii-Light" w:eastAsia="Guttman Adii-Light" w:hAnsi="Guttman Adii-Light" w:cs="Guttman Hodes" w:hint="cs"/>
        <w:bCs/>
        <w:szCs w:val="28"/>
        <w:rtl/>
      </w:rPr>
      <w:t>סימן ט"ז</w:t>
    </w:r>
  </w:p>
  <w:p w:rsidR="00651E3B" w:rsidRDefault="00651E3B" w:rsidP="00D45705">
    <w:pPr>
      <w:spacing w:before="240"/>
      <w:ind w:left="0"/>
      <w:jc w:val="center"/>
      <w:outlineLvl w:val="1"/>
      <w:rPr>
        <w:rFonts w:ascii="Guttman Adii-Light" w:eastAsia="Guttman Adii-Light" w:hAnsi="Guttman Adii-Light" w:cs="Guttman Hodes"/>
        <w:bCs/>
        <w:szCs w:val="28"/>
      </w:rPr>
    </w:pPr>
    <w:r>
      <w:rPr>
        <w:rFonts w:ascii="Guttman Adii-Light" w:eastAsia="Guttman Adii-Light" w:hAnsi="Guttman Adii-Light" w:cs="Guttman Hodes" w:hint="cs"/>
        <w:bCs/>
        <w:szCs w:val="28"/>
        <w:rtl/>
      </w:rPr>
      <w:t xml:space="preserve">סוגית ביטול יבש ביבש (א') </w:t>
    </w:r>
  </w:p>
  <w:p w:rsidR="00651E3B" w:rsidRDefault="00651E3B" w:rsidP="00D45705">
    <w:pPr>
      <w:spacing w:before="240"/>
      <w:ind w:left="0"/>
      <w:jc w:val="center"/>
      <w:outlineLvl w:val="1"/>
      <w:rPr>
        <w:rFonts w:ascii="Guttman Adii-Light" w:eastAsia="Guttman Adii-Light" w:hAnsi="Guttman Adii-Light" w:cs="Guttman Hodes"/>
        <w:bCs/>
        <w:szCs w:val="28"/>
        <w:rtl/>
      </w:rPr>
    </w:pPr>
    <w:r>
      <w:rPr>
        <w:rFonts w:ascii="Guttman Adii-Light" w:eastAsia="Guttman Adii-Light" w:hAnsi="Guttman Adii-Light" w:cs="Guttman Hodes" w:hint="cs"/>
        <w:bCs/>
        <w:szCs w:val="28"/>
        <w:rtl/>
      </w:rPr>
      <w:t xml:space="preserve"> </w:t>
    </w:r>
    <w:r w:rsidRPr="0090130A">
      <w:rPr>
        <w:rFonts w:ascii="Guttman Adii-Light" w:eastAsia="Guttman Adii-Light" w:hAnsi="Guttman Adii-Light" w:cs="Guttman Hodes"/>
        <w:bCs/>
        <w:szCs w:val="28"/>
        <w:rtl/>
      </w:rPr>
      <w:t xml:space="preserve">בביטול ברוב ביבש ובלח </w:t>
    </w:r>
    <w:r>
      <w:rPr>
        <w:rFonts w:ascii="Guttman Adii-Light" w:eastAsia="Guttman Adii-Light" w:hAnsi="Guttman Adii-Light" w:cs="Guttman Hodes"/>
        <w:bCs/>
        <w:szCs w:val="28"/>
        <w:rtl/>
      </w:rPr>
      <w:t>ב</w:t>
    </w:r>
    <w:r>
      <w:rPr>
        <w:rFonts w:ascii="Guttman Adii-Light" w:eastAsia="Guttman Adii-Light" w:hAnsi="Guttman Adii-Light" w:cs="Guttman Hodes" w:hint="cs"/>
        <w:bCs/>
        <w:szCs w:val="28"/>
        <w:rtl/>
      </w:rPr>
      <w:t>מב"מ ובמבשא"מ</w:t>
    </w:r>
    <w:r w:rsidRPr="00E23739">
      <w:rPr>
        <w:rFonts w:ascii="Guttman Adii-Light" w:eastAsia="Guttman Adii-Light" w:hAnsi="Guttman Adii-Light" w:cs="Guttman Hodes"/>
        <w:bCs/>
        <w:szCs w:val="28"/>
        <w:rtl/>
      </w:rPr>
      <w:t xml:space="preserve"> ובמקור וגדר דין ביטול ברוב</w:t>
    </w:r>
  </w:p>
  <w:p w:rsidR="00651E3B" w:rsidRDefault="00651E3B" w:rsidP="00D45705">
    <w:pPr>
      <w:keepNext/>
      <w:keepLines/>
      <w:ind w:left="0"/>
      <w:jc w:val="center"/>
      <w:outlineLvl w:val="1"/>
      <w:rPr>
        <w:rFonts w:ascii="FrankRuehl" w:eastAsia="Guttman Adii-Light" w:hAnsi="FrankRuehl" w:cs="Guttman Hodes"/>
        <w:b/>
        <w:bCs/>
        <w:noProof/>
        <w:sz w:val="24"/>
        <w:szCs w:val="24"/>
        <w:rtl/>
      </w:rPr>
    </w:pPr>
    <w:r>
      <w:rPr>
        <w:rFonts w:ascii="FrankRuehl" w:eastAsia="Guttman Adii-Light" w:hAnsi="FrankRuehl" w:cs="Guttman Hodes" w:hint="cs"/>
        <w:b/>
        <w:bCs/>
        <w:noProof/>
        <w:sz w:val="24"/>
        <w:szCs w:val="24"/>
        <w:rtl/>
      </w:rPr>
      <w:t>תוכן הסוגיא</w:t>
    </w:r>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5C335A" w:rsidRDefault="00651E3B" w:rsidP="005C335A">
    <w:pPr>
      <w:pStyle w:val="a8"/>
      <w:rPr>
        <w:rtl/>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סח ע"ב</w:t>
    </w:r>
  </w:p>
  <w:p w:rsidR="00651E3B" w:rsidRDefault="00651E3B" w:rsidP="00F16CB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6C2032">
    <w:pPr>
      <w:pStyle w:val="a8"/>
      <w:ind w:left="0"/>
      <w:jc w:val="center"/>
      <w:rPr>
        <w:rFonts w:cs="Guttman Hodes"/>
        <w:sz w:val="14"/>
        <w:szCs w:val="14"/>
        <w:rtl/>
      </w:rPr>
    </w:pPr>
    <w:r w:rsidRPr="00401845">
      <w:rPr>
        <w:rFonts w:cs="Guttman Hodes"/>
        <w:sz w:val="14"/>
        <w:szCs w:val="14"/>
        <w:rtl/>
      </w:rPr>
      <w:t>סימן  ט"</w:t>
    </w:r>
    <w:r>
      <w:rPr>
        <w:rFonts w:cs="Guttman Hodes" w:hint="cs"/>
        <w:sz w:val="14"/>
        <w:szCs w:val="14"/>
        <w:rtl/>
      </w:rPr>
      <w:t xml:space="preserve">ו </w:t>
    </w:r>
    <w:r w:rsidRPr="00401845">
      <w:rPr>
        <w:rFonts w:cs="Guttman Hodes"/>
        <w:sz w:val="14"/>
        <w:szCs w:val="14"/>
        <w:rtl/>
      </w:rPr>
      <w:t>בסוגיא דנותן טעם לפגם (</w:t>
    </w:r>
    <w:r>
      <w:rPr>
        <w:rFonts w:cs="Guttman Hodes" w:hint="cs"/>
        <w:sz w:val="14"/>
        <w:szCs w:val="14"/>
        <w:rtl/>
      </w:rPr>
      <w:t>ד</w:t>
    </w:r>
    <w:r w:rsidRPr="00401845">
      <w:rPr>
        <w:rFonts w:cs="Guttman Hodes"/>
        <w:sz w:val="14"/>
        <w:szCs w:val="14"/>
        <w:rtl/>
      </w:rPr>
      <w:t>')</w:t>
    </w:r>
    <w:r>
      <w:rPr>
        <w:rFonts w:cs="Guttman Hodes" w:hint="cs"/>
        <w:sz w:val="14"/>
        <w:szCs w:val="14"/>
        <w:rtl/>
      </w:rPr>
      <w:t xml:space="preserve"> </w:t>
    </w:r>
    <w:r w:rsidRPr="00954FDA">
      <w:rPr>
        <w:rFonts w:cs="Guttman Hodes"/>
        <w:sz w:val="14"/>
        <w:szCs w:val="14"/>
        <w:rtl/>
      </w:rPr>
      <w:t>בדין נותן טעם לפגם באיסור שמאוס מעיקרו</w:t>
    </w:r>
  </w:p>
  <w:p w:rsidR="00651E3B" w:rsidRDefault="00651E3B" w:rsidP="006C2032">
    <w:pPr>
      <w:pStyle w:val="a8"/>
      <w:ind w:left="0"/>
      <w:jc w:val="center"/>
      <w:rPr>
        <w:rFonts w:cs="Guttman Hodes"/>
        <w:sz w:val="14"/>
        <w:szCs w:val="14"/>
        <w:rtl/>
      </w:rPr>
    </w:pPr>
    <w:r>
      <w:rPr>
        <w:rFonts w:cs="Guttman Hodes"/>
        <w:sz w:val="14"/>
        <w:szCs w:val="14"/>
        <w:rtl/>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6C2032">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סח ע"ב</w:t>
    </w: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D45705">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ק ע"א</w:t>
    </w:r>
  </w:p>
  <w:p w:rsidR="00651E3B" w:rsidRDefault="00651E3B" w:rsidP="00D45705">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F84504">
    <w:pPr>
      <w:pStyle w:val="a8"/>
      <w:ind w:left="0"/>
      <w:jc w:val="center"/>
      <w:rPr>
        <w:rFonts w:cs="Guttman Hodes"/>
        <w:sz w:val="14"/>
        <w:szCs w:val="14"/>
        <w:rtl/>
      </w:rPr>
    </w:pPr>
    <w:r w:rsidRPr="00DA6573">
      <w:rPr>
        <w:rFonts w:cs="Guttman Hodes"/>
        <w:sz w:val="14"/>
        <w:szCs w:val="14"/>
        <w:rtl/>
      </w:rPr>
      <w:t xml:space="preserve">סימן </w:t>
    </w:r>
    <w:r>
      <w:rPr>
        <w:rFonts w:cs="Guttman Hodes" w:hint="cs"/>
        <w:sz w:val="14"/>
        <w:szCs w:val="14"/>
        <w:rtl/>
      </w:rPr>
      <w:t xml:space="preserve"> י"ז </w:t>
    </w:r>
    <w:r w:rsidRPr="005B25ED">
      <w:rPr>
        <w:rFonts w:cs="Guttman Hodes"/>
        <w:sz w:val="14"/>
        <w:szCs w:val="14"/>
        <w:rtl/>
      </w:rPr>
      <w:t>סוגית ביטול יבש ביבש (</w:t>
    </w:r>
    <w:r>
      <w:rPr>
        <w:rFonts w:cs="Guttman Hodes" w:hint="cs"/>
        <w:sz w:val="14"/>
        <w:szCs w:val="14"/>
        <w:rtl/>
      </w:rPr>
      <w:t>ב</w:t>
    </w:r>
    <w:r w:rsidRPr="005B25ED">
      <w:rPr>
        <w:rFonts w:cs="Guttman Hodes"/>
        <w:sz w:val="14"/>
        <w:szCs w:val="14"/>
        <w:rtl/>
      </w:rPr>
      <w:t xml:space="preserve">') </w:t>
    </w:r>
    <w:r w:rsidRPr="00A42F29">
      <w:rPr>
        <w:rFonts w:cs="Guttman Hodes"/>
        <w:sz w:val="14"/>
        <w:szCs w:val="14"/>
        <w:rtl/>
      </w:rPr>
      <w:t>בפלוגתת הראשונים באופני היתר אכילת התערובת בביטול ברוב</w:t>
    </w:r>
  </w:p>
  <w:p w:rsidR="00651E3B" w:rsidRDefault="00651E3B" w:rsidP="00D45705">
    <w:pPr>
      <w:pStyle w:val="a8"/>
      <w:ind w:left="0"/>
      <w:jc w:val="center"/>
      <w:rPr>
        <w:rFonts w:cs="Guttman Hodes"/>
        <w:sz w:val="14"/>
        <w:szCs w:val="14"/>
        <w:rtl/>
      </w:rPr>
    </w:pPr>
    <w:r>
      <w:rPr>
        <w:rFonts w:cs="Guttman Hodes"/>
        <w:sz w:val="14"/>
        <w:szCs w:val="14"/>
        <w:rtl/>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D45705">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ק ע"א</w:t>
    </w:r>
  </w:p>
  <w:p w:rsidR="00651E3B" w:rsidRDefault="00651E3B" w:rsidP="00D45705">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Pr="00663964" w:rsidRDefault="00651E3B" w:rsidP="008F2D29">
    <w:pPr>
      <w:pStyle w:val="a8"/>
      <w:ind w:left="0"/>
      <w:jc w:val="center"/>
      <w:rPr>
        <w:rFonts w:cs="Guttman Hodes"/>
        <w:sz w:val="14"/>
        <w:szCs w:val="14"/>
        <w:rtl/>
      </w:rPr>
    </w:pPr>
    <w:r>
      <w:rPr>
        <w:rFonts w:cs="Guttman Hodes" w:hint="cs"/>
        <w:sz w:val="14"/>
        <w:szCs w:val="14"/>
        <w:rtl/>
      </w:rPr>
      <w:t xml:space="preserve">סימן י"ח סוגית ביטול יבש ביבש (ג') </w:t>
    </w:r>
    <w:r w:rsidRPr="00663964">
      <w:rPr>
        <w:rFonts w:cs="Guttman Hodes"/>
        <w:sz w:val="14"/>
        <w:szCs w:val="14"/>
        <w:rtl/>
      </w:rPr>
      <w:t>בתערובת יבש ביבש שבישלה יחד במינו ובאינו מינו ובדין נודעה התערובת</w:t>
    </w:r>
  </w:p>
  <w:p w:rsidR="00651E3B" w:rsidRDefault="00651E3B" w:rsidP="00D45705">
    <w:pPr>
      <w:pStyle w:val="a8"/>
      <w:ind w:left="0"/>
      <w:jc w:val="center"/>
      <w:rPr>
        <w:rFonts w:cs="Guttman Hodes"/>
        <w:sz w:val="14"/>
        <w:szCs w:val="14"/>
        <w:rtl/>
      </w:rPr>
    </w:pPr>
    <w:r>
      <w:rPr>
        <w:rFonts w:cs="Guttman Hodes"/>
        <w:sz w:val="14"/>
        <w:szCs w:val="14"/>
        <w:rtl/>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996763">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 ק ע"א</w:t>
    </w:r>
  </w:p>
  <w:p w:rsidR="00651E3B" w:rsidRDefault="00651E3B" w:rsidP="00996763">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Pr="00FF5CD5" w:rsidRDefault="00651E3B" w:rsidP="00996763">
    <w:pPr>
      <w:pStyle w:val="a8"/>
      <w:ind w:left="0"/>
      <w:jc w:val="center"/>
      <w:rPr>
        <w:rFonts w:cs="Guttman Hodes"/>
        <w:sz w:val="14"/>
        <w:szCs w:val="14"/>
        <w:rtl/>
      </w:rPr>
    </w:pPr>
    <w:r w:rsidRPr="00551A8B">
      <w:rPr>
        <w:rFonts w:cs="Guttman Hodes"/>
        <w:sz w:val="14"/>
        <w:szCs w:val="14"/>
        <w:rtl/>
      </w:rPr>
      <w:t>סימן  י"ט סוגית ביטול יבש ביבש (ד') בדברי הרא"ש בדין חוזר וניעור באיסור ובטומאה</w:t>
    </w:r>
    <w:r w:rsidRPr="00FF5CD5">
      <w:rPr>
        <w:rtl/>
      </w:rPr>
      <w:t xml:space="preserve"> </w:t>
    </w:r>
    <w:r w:rsidRPr="00FF5CD5">
      <w:rPr>
        <w:rFonts w:cs="Guttman Hodes"/>
        <w:sz w:val="14"/>
        <w:szCs w:val="14"/>
        <w:rtl/>
      </w:rPr>
      <w:t>ובדין ביטול ברוב במגע ומשא</w:t>
    </w:r>
  </w:p>
  <w:p w:rsidR="00651E3B" w:rsidRDefault="00651E3B" w:rsidP="00996763">
    <w:pPr>
      <w:pStyle w:val="a8"/>
      <w:ind w:left="0"/>
      <w:jc w:val="center"/>
      <w:rPr>
        <w:rFonts w:cs="Guttman Hodes"/>
        <w:sz w:val="14"/>
        <w:szCs w:val="14"/>
        <w:rtl/>
      </w:rPr>
    </w:pPr>
    <w:r>
      <w:rPr>
        <w:rFonts w:cs="Guttman Hodes"/>
        <w:sz w:val="14"/>
        <w:szCs w:val="14"/>
        <w:rtl/>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D45705">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ק ע"א</w:t>
    </w:r>
  </w:p>
  <w:p w:rsidR="00651E3B" w:rsidRDefault="00651E3B" w:rsidP="00D45705">
    <w:pPr>
      <w:spacing w:before="240"/>
      <w:ind w:left="0"/>
      <w:jc w:val="center"/>
      <w:outlineLvl w:val="1"/>
      <w:rPr>
        <w:rFonts w:ascii="Guttman Adii-Light" w:eastAsia="Guttman Adii-Light" w:hAnsi="Guttman Adii-Light" w:cs="Guttman Hodes"/>
        <w:bCs/>
        <w:szCs w:val="28"/>
        <w:rtl/>
      </w:rPr>
    </w:pPr>
    <w:r>
      <w:rPr>
        <w:rFonts w:ascii="Guttman Adii-Light" w:eastAsia="Guttman Adii-Light" w:hAnsi="Guttman Adii-Light" w:cs="Guttman Hodes" w:hint="cs"/>
        <w:bCs/>
        <w:szCs w:val="28"/>
        <w:rtl/>
      </w:rPr>
      <w:t>סימן ט"ז</w:t>
    </w:r>
  </w:p>
  <w:p w:rsidR="00651E3B" w:rsidRDefault="00651E3B" w:rsidP="00D45705">
    <w:pPr>
      <w:spacing w:before="240"/>
      <w:ind w:left="0"/>
      <w:jc w:val="center"/>
      <w:outlineLvl w:val="1"/>
      <w:rPr>
        <w:rFonts w:ascii="Guttman Adii-Light" w:eastAsia="Guttman Adii-Light" w:hAnsi="Guttman Adii-Light" w:cs="Guttman Hodes"/>
        <w:bCs/>
        <w:szCs w:val="28"/>
      </w:rPr>
    </w:pPr>
    <w:r>
      <w:rPr>
        <w:rFonts w:ascii="Guttman Adii-Light" w:eastAsia="Guttman Adii-Light" w:hAnsi="Guttman Adii-Light" w:cs="Guttman Hodes" w:hint="cs"/>
        <w:bCs/>
        <w:szCs w:val="28"/>
        <w:rtl/>
      </w:rPr>
      <w:t xml:space="preserve">סוגית ביטול יבש ביבש (א') </w:t>
    </w:r>
  </w:p>
  <w:p w:rsidR="00651E3B" w:rsidRDefault="00651E3B" w:rsidP="00D45705">
    <w:pPr>
      <w:spacing w:before="240"/>
      <w:ind w:left="0"/>
      <w:jc w:val="center"/>
      <w:outlineLvl w:val="1"/>
      <w:rPr>
        <w:rFonts w:ascii="Guttman Adii-Light" w:eastAsia="Guttman Adii-Light" w:hAnsi="Guttman Adii-Light" w:cs="Guttman Hodes"/>
        <w:bCs/>
        <w:szCs w:val="28"/>
        <w:rtl/>
      </w:rPr>
    </w:pPr>
    <w:r>
      <w:rPr>
        <w:rFonts w:ascii="Guttman Adii-Light" w:eastAsia="Guttman Adii-Light" w:hAnsi="Guttman Adii-Light" w:cs="Guttman Hodes" w:hint="cs"/>
        <w:bCs/>
        <w:szCs w:val="28"/>
        <w:rtl/>
      </w:rPr>
      <w:t xml:space="preserve"> </w:t>
    </w:r>
    <w:r w:rsidRPr="0090130A">
      <w:rPr>
        <w:rFonts w:ascii="Guttman Adii-Light" w:eastAsia="Guttman Adii-Light" w:hAnsi="Guttman Adii-Light" w:cs="Guttman Hodes"/>
        <w:bCs/>
        <w:szCs w:val="28"/>
        <w:rtl/>
      </w:rPr>
      <w:t xml:space="preserve">בביטול ברוב ביבש ובלח </w:t>
    </w:r>
    <w:r>
      <w:rPr>
        <w:rFonts w:ascii="Guttman Adii-Light" w:eastAsia="Guttman Adii-Light" w:hAnsi="Guttman Adii-Light" w:cs="Guttman Hodes"/>
        <w:bCs/>
        <w:szCs w:val="28"/>
        <w:rtl/>
      </w:rPr>
      <w:t>ב</w:t>
    </w:r>
    <w:r>
      <w:rPr>
        <w:rFonts w:ascii="Guttman Adii-Light" w:eastAsia="Guttman Adii-Light" w:hAnsi="Guttman Adii-Light" w:cs="Guttman Hodes" w:hint="cs"/>
        <w:bCs/>
        <w:szCs w:val="28"/>
        <w:rtl/>
      </w:rPr>
      <w:t>מב"מ ובמבשא"מ</w:t>
    </w:r>
    <w:r w:rsidRPr="00E23739">
      <w:rPr>
        <w:rFonts w:ascii="Guttman Adii-Light" w:eastAsia="Guttman Adii-Light" w:hAnsi="Guttman Adii-Light" w:cs="Guttman Hodes"/>
        <w:bCs/>
        <w:szCs w:val="28"/>
        <w:rtl/>
      </w:rPr>
      <w:t xml:space="preserve"> ובמקור וגדר דין ביטול ברוב</w:t>
    </w:r>
  </w:p>
  <w:p w:rsidR="00651E3B" w:rsidRDefault="00651E3B" w:rsidP="00D45705">
    <w:pPr>
      <w:keepNext/>
      <w:keepLines/>
      <w:ind w:left="0"/>
      <w:jc w:val="center"/>
      <w:outlineLvl w:val="1"/>
      <w:rPr>
        <w:rFonts w:ascii="FrankRuehl" w:eastAsia="Guttman Adii-Light" w:hAnsi="FrankRuehl" w:cs="Guttman Hodes"/>
        <w:b/>
        <w:bCs/>
        <w:noProof/>
        <w:sz w:val="24"/>
        <w:szCs w:val="24"/>
        <w:rtl/>
      </w:rPr>
    </w:pPr>
    <w:r>
      <w:rPr>
        <w:rFonts w:ascii="FrankRuehl" w:eastAsia="Guttman Adii-Light" w:hAnsi="FrankRuehl" w:cs="Guttman Hodes" w:hint="cs"/>
        <w:b/>
        <w:bCs/>
        <w:noProof/>
        <w:sz w:val="24"/>
        <w:szCs w:val="24"/>
        <w:rtl/>
      </w:rPr>
      <w:t>מפתח הסוגיא</w:t>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3A5D2C">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 ק ע"א</w:t>
    </w:r>
  </w:p>
  <w:p w:rsidR="00651E3B" w:rsidRDefault="00651E3B" w:rsidP="00996763">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Pr="00FF5CD5" w:rsidRDefault="00651E3B" w:rsidP="003A5D2C">
    <w:pPr>
      <w:pStyle w:val="a8"/>
      <w:ind w:left="0"/>
      <w:jc w:val="center"/>
      <w:rPr>
        <w:rFonts w:cs="Guttman Hodes"/>
        <w:sz w:val="14"/>
        <w:szCs w:val="14"/>
        <w:rtl/>
      </w:rPr>
    </w:pPr>
    <w:r w:rsidRPr="00551A8B">
      <w:rPr>
        <w:rFonts w:cs="Guttman Hodes"/>
        <w:sz w:val="14"/>
        <w:szCs w:val="14"/>
        <w:rtl/>
      </w:rPr>
      <w:t>סימן  י"ט סוגית ביטול יבש ביבש (ד') בדברי הרא"ש בדין חוזר וניעור באיסור ובטומאה</w:t>
    </w:r>
    <w:r w:rsidRPr="00FF5CD5">
      <w:rPr>
        <w:rtl/>
      </w:rPr>
      <w:t xml:space="preserve"> </w:t>
    </w:r>
    <w:r w:rsidRPr="00FF5CD5">
      <w:rPr>
        <w:rFonts w:cs="Guttman Hodes"/>
        <w:sz w:val="14"/>
        <w:szCs w:val="14"/>
        <w:rtl/>
      </w:rPr>
      <w:t>ובדין ביטול ברוב במגע ומשא</w:t>
    </w:r>
  </w:p>
  <w:p w:rsidR="00651E3B" w:rsidRDefault="00651E3B" w:rsidP="003A5D2C">
    <w:pPr>
      <w:pStyle w:val="a8"/>
      <w:ind w:left="0"/>
      <w:jc w:val="center"/>
      <w:rPr>
        <w:rFonts w:cs="Guttman Hodes"/>
        <w:sz w:val="14"/>
        <w:szCs w:val="14"/>
        <w:rtl/>
      </w:rPr>
    </w:pPr>
    <w:r>
      <w:rPr>
        <w:rFonts w:cs="Guttman Hodes"/>
        <w:sz w:val="14"/>
        <w:szCs w:val="14"/>
        <w:rtl/>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5B1A17">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ע"ז דף עג ע"א</w:t>
    </w:r>
  </w:p>
  <w:p w:rsidR="00651E3B" w:rsidRDefault="00651E3B" w:rsidP="00996763">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5B1A17">
    <w:pPr>
      <w:pStyle w:val="a8"/>
      <w:ind w:left="0"/>
      <w:jc w:val="center"/>
      <w:rPr>
        <w:rFonts w:cs="Guttman Hodes"/>
        <w:sz w:val="14"/>
        <w:szCs w:val="14"/>
      </w:rPr>
    </w:pPr>
    <w:r>
      <w:rPr>
        <w:rFonts w:cs="Guttman Hodes" w:hint="cs"/>
        <w:sz w:val="14"/>
        <w:szCs w:val="14"/>
        <w:rtl/>
      </w:rPr>
      <w:t>סימן כ' בפלוגתת הראשונים בדין קמא קמא בטיל ובחוזר וניעור</w:t>
    </w:r>
  </w:p>
  <w:p w:rsidR="00651E3B" w:rsidRDefault="00651E3B" w:rsidP="003A5D2C">
    <w:pPr>
      <w:pStyle w:val="a8"/>
      <w:ind w:left="0"/>
      <w:jc w:val="center"/>
      <w:rPr>
        <w:rFonts w:cs="Guttman Hodes"/>
        <w:sz w:val="14"/>
        <w:szCs w:val="14"/>
        <w:rtl/>
      </w:rPr>
    </w:pPr>
    <w:r>
      <w:rPr>
        <w:rFonts w:cs="Guttman Hodes"/>
        <w:sz w:val="14"/>
        <w:szCs w:val="14"/>
        <w:rtl/>
      </w:rPr>
      <w:t xml:space="preserve"> </w:t>
    </w: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Default="00651E3B" w:rsidP="003A5D2C">
    <w:pPr>
      <w:tabs>
        <w:tab w:val="center" w:pos="4153"/>
        <w:tab w:val="right" w:pos="8306"/>
      </w:tabs>
      <w:spacing w:line="240" w:lineRule="auto"/>
      <w:ind w:left="0"/>
      <w:jc w:val="right"/>
      <w:rPr>
        <w:rFonts w:ascii="Calibri" w:eastAsia="Calibri" w:hAnsi="Calibri" w:cs="Guttman Hodes"/>
        <w:sz w:val="14"/>
        <w:szCs w:val="14"/>
      </w:rPr>
    </w:pPr>
    <w:r>
      <w:rPr>
        <w:rFonts w:ascii="Calibri" w:eastAsia="Calibri" w:hAnsi="Calibri" w:cs="Guttman Hodes" w:hint="cs"/>
        <w:sz w:val="14"/>
        <w:szCs w:val="14"/>
        <w:rtl/>
      </w:rPr>
      <w:t>חולין דף צט ע"ב - ק ע"א</w:t>
    </w:r>
  </w:p>
  <w:p w:rsidR="00651E3B" w:rsidRDefault="00651E3B" w:rsidP="00996763">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Pr="00FF5CD5" w:rsidRDefault="00651E3B" w:rsidP="003A5D2C">
    <w:pPr>
      <w:pStyle w:val="a8"/>
      <w:ind w:left="0"/>
      <w:jc w:val="center"/>
      <w:rPr>
        <w:rFonts w:cs="Guttman Hodes"/>
        <w:sz w:val="14"/>
        <w:szCs w:val="14"/>
        <w:rtl/>
      </w:rPr>
    </w:pPr>
    <w:r w:rsidRPr="00551A8B">
      <w:rPr>
        <w:rFonts w:cs="Guttman Hodes"/>
        <w:sz w:val="14"/>
        <w:szCs w:val="14"/>
        <w:rtl/>
      </w:rPr>
      <w:t>סימן  י"ט סוגית ביטול יבש ביבש (ד') בדברי הרא"ש בדין חוזר וניעור באיסור ובטומאה</w:t>
    </w:r>
    <w:r w:rsidRPr="00FF5CD5">
      <w:rPr>
        <w:rtl/>
      </w:rPr>
      <w:t xml:space="preserve"> </w:t>
    </w:r>
    <w:r w:rsidRPr="00FF5CD5">
      <w:rPr>
        <w:rFonts w:cs="Guttman Hodes"/>
        <w:sz w:val="14"/>
        <w:szCs w:val="14"/>
        <w:rtl/>
      </w:rPr>
      <w:t>ובדין ביטול ברוב במגע ומשא</w:t>
    </w:r>
  </w:p>
  <w:p w:rsidR="00651E3B" w:rsidRDefault="00651E3B" w:rsidP="003A5D2C">
    <w:pPr>
      <w:pStyle w:val="a8"/>
      <w:ind w:left="0"/>
      <w:jc w:val="center"/>
      <w:rPr>
        <w:rFonts w:cs="Guttman Hodes"/>
        <w:sz w:val="14"/>
        <w:szCs w:val="14"/>
        <w:rtl/>
      </w:rPr>
    </w:pPr>
    <w:r>
      <w:rPr>
        <w:rFonts w:cs="Guttman Hodes"/>
        <w:sz w:val="14"/>
        <w:szCs w:val="14"/>
        <w:rt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452D97" w:rsidRDefault="00651E3B" w:rsidP="00452D97">
    <w:pPr>
      <w:pStyle w:val="a8"/>
      <w:rPr>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F06369" w:rsidRDefault="00651E3B" w:rsidP="00F06369">
    <w:pPr>
      <w:pStyle w:val="a8"/>
      <w:rPr>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8442F8">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צו ע"ב </w:t>
    </w:r>
    <w:r>
      <w:rPr>
        <w:rFonts w:cs="Guttman Hodes"/>
        <w:sz w:val="14"/>
        <w:szCs w:val="14"/>
        <w:rtl/>
      </w:rPr>
      <w:t>–</w:t>
    </w:r>
    <w:r>
      <w:rPr>
        <w:rFonts w:cs="Guttman Hodes" w:hint="cs"/>
        <w:sz w:val="14"/>
        <w:szCs w:val="14"/>
        <w:rtl/>
      </w:rPr>
      <w:t xml:space="preserve"> צז ע"א</w:t>
    </w:r>
  </w:p>
  <w:p w:rsidR="00651E3B" w:rsidRDefault="00651E3B" w:rsidP="000E6D0F">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8442F8">
    <w:pPr>
      <w:pStyle w:val="a8"/>
      <w:ind w:left="0"/>
      <w:jc w:val="center"/>
      <w:rPr>
        <w:rFonts w:cs="Guttman Hodes"/>
        <w:sz w:val="14"/>
        <w:szCs w:val="14"/>
        <w:rtl/>
      </w:rPr>
    </w:pPr>
    <w:r>
      <w:rPr>
        <w:rFonts w:cs="Guttman Hodes"/>
        <w:sz w:val="14"/>
        <w:szCs w:val="14"/>
        <w:rtl/>
      </w:rPr>
      <w:t xml:space="preserve">סימן </w:t>
    </w:r>
    <w:r>
      <w:rPr>
        <w:rFonts w:cs="Guttman Hodes" w:hint="cs"/>
        <w:sz w:val="14"/>
        <w:szCs w:val="14"/>
        <w:rtl/>
      </w:rPr>
      <w:t xml:space="preserve">א' </w:t>
    </w:r>
    <w:r w:rsidRPr="000A03BC">
      <w:rPr>
        <w:rFonts w:cs="Guttman Hodes"/>
        <w:sz w:val="14"/>
        <w:szCs w:val="14"/>
        <w:rtl/>
      </w:rPr>
      <w:t>בסוגיא דירך שנתבשל בה גיד</w:t>
    </w:r>
    <w:r>
      <w:rPr>
        <w:rFonts w:cs="Guttman Hodes" w:hint="cs"/>
        <w:sz w:val="14"/>
        <w:szCs w:val="14"/>
        <w:rtl/>
      </w:rPr>
      <w:t xml:space="preserve"> - </w:t>
    </w:r>
    <w:r w:rsidRPr="00423B84">
      <w:rPr>
        <w:rFonts w:cs="Guttman Hodes"/>
        <w:sz w:val="14"/>
        <w:szCs w:val="14"/>
        <w:rtl/>
      </w:rPr>
      <w:t>בשיעור בשר בלפת ובחתיכה שמקצתה ברוטב ובאיסור דבוק ובגיד שנצלה בירך</w:t>
    </w:r>
  </w:p>
  <w:p w:rsidR="00651E3B" w:rsidRPr="00423B84" w:rsidRDefault="00651E3B" w:rsidP="008442F8">
    <w:pPr>
      <w:pStyle w:val="a8"/>
      <w:ind w:left="0"/>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E3B" w:rsidRPr="00181149" w:rsidRDefault="00651E3B" w:rsidP="00BE3B3A">
    <w:pPr>
      <w:pStyle w:val="a8"/>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 צז ע"א -  ע"ב</w:t>
    </w:r>
  </w:p>
  <w:p w:rsidR="00651E3B" w:rsidRDefault="00651E3B" w:rsidP="00BE3B3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651E3B" w:rsidRDefault="00651E3B" w:rsidP="00BE3B3A">
    <w:pPr>
      <w:pStyle w:val="a8"/>
      <w:ind w:left="0"/>
      <w:jc w:val="center"/>
      <w:rPr>
        <w:rFonts w:cs="Guttman Hodes"/>
        <w:sz w:val="14"/>
        <w:szCs w:val="14"/>
        <w:rtl/>
      </w:rPr>
    </w:pPr>
    <w:r w:rsidRPr="00CC2D14">
      <w:rPr>
        <w:rFonts w:cs="Guttman Hodes"/>
        <w:sz w:val="14"/>
        <w:szCs w:val="14"/>
        <w:rtl/>
      </w:rPr>
      <w:t xml:space="preserve">סימן </w:t>
    </w:r>
    <w:r w:rsidRPr="008D24B8">
      <w:rPr>
        <w:rFonts w:cs="Guttman Hodes"/>
        <w:sz w:val="14"/>
        <w:szCs w:val="14"/>
        <w:rtl/>
      </w:rPr>
      <w:t>ב</w:t>
    </w:r>
    <w:r>
      <w:rPr>
        <w:rFonts w:cs="Guttman Hodes" w:hint="cs"/>
        <w:sz w:val="14"/>
        <w:szCs w:val="14"/>
        <w:rtl/>
      </w:rPr>
      <w:t>' ב</w:t>
    </w:r>
    <w:r w:rsidRPr="008D24B8">
      <w:rPr>
        <w:rFonts w:cs="Guttman Hodes"/>
        <w:sz w:val="14"/>
        <w:szCs w:val="14"/>
        <w:rtl/>
      </w:rPr>
      <w:t>שיעור שישים ובדין טעימת קפילא ונאמנותו</w:t>
    </w:r>
  </w:p>
  <w:p w:rsidR="00651E3B" w:rsidRDefault="00651E3B" w:rsidP="00BE3B3A">
    <w:pPr>
      <w:pStyle w:val="a8"/>
      <w:ind w:left="0"/>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81A4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8E6754"/>
    <w:multiLevelType w:val="hybridMultilevel"/>
    <w:tmpl w:val="1A78CA44"/>
    <w:lvl w:ilvl="0" w:tplc="18E6918C">
      <w:start w:val="1"/>
      <w:numFmt w:val="hebrew1"/>
      <w:pStyle w:val="TOC9"/>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5763DF"/>
    <w:multiLevelType w:val="hybridMultilevel"/>
    <w:tmpl w:val="94A646B8"/>
    <w:lvl w:ilvl="0" w:tplc="838C234C">
      <w:start w:val="1"/>
      <w:numFmt w:val="hebrew1"/>
      <w:pStyle w:val="a"/>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5F4F2948"/>
    <w:multiLevelType w:val="hybridMultilevel"/>
    <w:tmpl w:val="BDC48624"/>
    <w:lvl w:ilvl="0" w:tplc="79C4BC42">
      <w:start w:val="1"/>
      <w:numFmt w:val="hebrew1"/>
      <w:pStyle w:val="a0"/>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lvlOverride w:ilvl="0">
      <w:startOverride w:val="1"/>
    </w:lvlOverride>
  </w:num>
  <w:num w:numId="5">
    <w:abstractNumId w:val="0"/>
  </w:num>
  <w:num w:numId="6">
    <w:abstractNumId w:val="2"/>
    <w:lvlOverride w:ilvl="0">
      <w:startOverride w:val="1"/>
    </w:lvlOverride>
  </w:num>
  <w:num w:numId="7">
    <w:abstractNumId w:val="1"/>
    <w:lvlOverride w:ilvl="0">
      <w:startOverride w:val="1"/>
    </w:lvlOverride>
  </w:num>
  <w:num w:numId="8">
    <w:abstractNumId w:val="2"/>
    <w:lvlOverride w:ilvl="0">
      <w:startOverride w:val="1"/>
    </w:lvlOverride>
  </w:num>
  <w:num w:numId="9">
    <w:abstractNumId w:val="1"/>
    <w:lvlOverride w:ilvl="0">
      <w:startOverride w:val="1"/>
    </w:lvlOverride>
  </w:num>
  <w:num w:numId="10">
    <w:abstractNumId w:val="2"/>
    <w:lvlOverride w:ilvl="0">
      <w:startOverride w:val="1"/>
    </w:lvlOverride>
  </w:num>
  <w:num w:numId="11">
    <w:abstractNumId w:val="1"/>
    <w:lvlOverride w:ilvl="0">
      <w:startOverride w:val="1"/>
    </w:lvlOverride>
  </w:num>
  <w:num w:numId="12">
    <w:abstractNumId w:val="2"/>
    <w:lvlOverride w:ilvl="0">
      <w:startOverride w:val="1"/>
    </w:lvlOverride>
  </w:num>
  <w:num w:numId="13">
    <w:abstractNumId w:val="1"/>
    <w:lvlOverride w:ilvl="0">
      <w:startOverride w:val="1"/>
    </w:lvlOverride>
  </w:num>
  <w:num w:numId="14">
    <w:abstractNumId w:val="2"/>
    <w:lvlOverride w:ilvl="0">
      <w:startOverride w:val="1"/>
    </w:lvlOverride>
  </w:num>
  <w:num w:numId="15">
    <w:abstractNumId w:val="1"/>
    <w:lvlOverride w:ilvl="0">
      <w:startOverride w:val="1"/>
    </w:lvlOverride>
  </w:num>
  <w:num w:numId="16">
    <w:abstractNumId w:val="2"/>
    <w:lvlOverride w:ilvl="0">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2"/>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1"/>
    <w:lvlOverride w:ilvl="0">
      <w:startOverride w:val="1"/>
    </w:lvlOverride>
  </w:num>
  <w:num w:numId="30">
    <w:abstractNumId w:val="2"/>
    <w:lvlOverride w:ilvl="0">
      <w:startOverride w:val="1"/>
    </w:lvlOverride>
  </w:num>
  <w:num w:numId="31">
    <w:abstractNumId w:val="1"/>
    <w:lvlOverride w:ilvl="0">
      <w:startOverride w:val="1"/>
    </w:lvlOverride>
  </w:num>
  <w:num w:numId="32">
    <w:abstractNumId w:val="2"/>
    <w:lvlOverride w:ilvl="0">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1"/>
    <w:lvlOverride w:ilvl="0">
      <w:startOverride w:val="1"/>
    </w:lvlOverride>
  </w:num>
  <w:num w:numId="40">
    <w:abstractNumId w:val="2"/>
    <w:lvlOverride w:ilvl="0">
      <w:startOverride w:val="1"/>
    </w:lvlOverride>
  </w:num>
  <w:num w:numId="41">
    <w:abstractNumId w:val="1"/>
    <w:lvlOverride w:ilvl="0">
      <w:startOverride w:val="1"/>
    </w:lvlOverride>
  </w:num>
  <w:num w:numId="42">
    <w:abstractNumId w:val="1"/>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1"/>
  <w:embedSystemFont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477"/>
    <w:rsid w:val="00000100"/>
    <w:rsid w:val="0000063D"/>
    <w:rsid w:val="0000127D"/>
    <w:rsid w:val="0000195E"/>
    <w:rsid w:val="000019F6"/>
    <w:rsid w:val="00001B54"/>
    <w:rsid w:val="00001BE6"/>
    <w:rsid w:val="00001F3B"/>
    <w:rsid w:val="0000238C"/>
    <w:rsid w:val="00002727"/>
    <w:rsid w:val="00002D86"/>
    <w:rsid w:val="00003212"/>
    <w:rsid w:val="00003284"/>
    <w:rsid w:val="000036C0"/>
    <w:rsid w:val="000039FE"/>
    <w:rsid w:val="00003A32"/>
    <w:rsid w:val="00004055"/>
    <w:rsid w:val="000040D7"/>
    <w:rsid w:val="00004C83"/>
    <w:rsid w:val="00004D84"/>
    <w:rsid w:val="00004E05"/>
    <w:rsid w:val="00005677"/>
    <w:rsid w:val="00005CBB"/>
    <w:rsid w:val="00005DC3"/>
    <w:rsid w:val="00005F41"/>
    <w:rsid w:val="00006213"/>
    <w:rsid w:val="000063EE"/>
    <w:rsid w:val="000066BF"/>
    <w:rsid w:val="000066CF"/>
    <w:rsid w:val="0000676E"/>
    <w:rsid w:val="0000684C"/>
    <w:rsid w:val="00006980"/>
    <w:rsid w:val="00006C9D"/>
    <w:rsid w:val="00006FC7"/>
    <w:rsid w:val="0000700F"/>
    <w:rsid w:val="000072A5"/>
    <w:rsid w:val="00007BF4"/>
    <w:rsid w:val="0001009A"/>
    <w:rsid w:val="000102E4"/>
    <w:rsid w:val="00010313"/>
    <w:rsid w:val="00010471"/>
    <w:rsid w:val="0001067D"/>
    <w:rsid w:val="000107DC"/>
    <w:rsid w:val="00010C96"/>
    <w:rsid w:val="0001100A"/>
    <w:rsid w:val="0001199C"/>
    <w:rsid w:val="000122BB"/>
    <w:rsid w:val="00012312"/>
    <w:rsid w:val="00012623"/>
    <w:rsid w:val="00012717"/>
    <w:rsid w:val="0001284D"/>
    <w:rsid w:val="00012980"/>
    <w:rsid w:val="00012C0D"/>
    <w:rsid w:val="000130D1"/>
    <w:rsid w:val="0001389A"/>
    <w:rsid w:val="00013A06"/>
    <w:rsid w:val="00013A1F"/>
    <w:rsid w:val="00013BF5"/>
    <w:rsid w:val="000142F7"/>
    <w:rsid w:val="00014461"/>
    <w:rsid w:val="000145F9"/>
    <w:rsid w:val="000148E0"/>
    <w:rsid w:val="00014A86"/>
    <w:rsid w:val="00015064"/>
    <w:rsid w:val="0001514D"/>
    <w:rsid w:val="000155E8"/>
    <w:rsid w:val="00015728"/>
    <w:rsid w:val="0001580B"/>
    <w:rsid w:val="0001596B"/>
    <w:rsid w:val="00015EFA"/>
    <w:rsid w:val="00015FCA"/>
    <w:rsid w:val="0001608C"/>
    <w:rsid w:val="00016194"/>
    <w:rsid w:val="00016816"/>
    <w:rsid w:val="00016819"/>
    <w:rsid w:val="000168F7"/>
    <w:rsid w:val="00016E66"/>
    <w:rsid w:val="00017270"/>
    <w:rsid w:val="00017723"/>
    <w:rsid w:val="0001775A"/>
    <w:rsid w:val="00017CAA"/>
    <w:rsid w:val="00017D85"/>
    <w:rsid w:val="00020427"/>
    <w:rsid w:val="000204E6"/>
    <w:rsid w:val="00020653"/>
    <w:rsid w:val="00020755"/>
    <w:rsid w:val="00020C71"/>
    <w:rsid w:val="00021006"/>
    <w:rsid w:val="00021067"/>
    <w:rsid w:val="00021885"/>
    <w:rsid w:val="00022299"/>
    <w:rsid w:val="00022784"/>
    <w:rsid w:val="000238C5"/>
    <w:rsid w:val="000239C5"/>
    <w:rsid w:val="00023A81"/>
    <w:rsid w:val="00023B18"/>
    <w:rsid w:val="00023BA5"/>
    <w:rsid w:val="00023C7A"/>
    <w:rsid w:val="00024338"/>
    <w:rsid w:val="000245BF"/>
    <w:rsid w:val="0002472D"/>
    <w:rsid w:val="00024841"/>
    <w:rsid w:val="00024D06"/>
    <w:rsid w:val="0002513B"/>
    <w:rsid w:val="00025569"/>
    <w:rsid w:val="00025608"/>
    <w:rsid w:val="00025619"/>
    <w:rsid w:val="000257C7"/>
    <w:rsid w:val="0002595F"/>
    <w:rsid w:val="00026578"/>
    <w:rsid w:val="00026995"/>
    <w:rsid w:val="00027451"/>
    <w:rsid w:val="000274B9"/>
    <w:rsid w:val="0002794C"/>
    <w:rsid w:val="00027E93"/>
    <w:rsid w:val="00027F26"/>
    <w:rsid w:val="0003012F"/>
    <w:rsid w:val="00030871"/>
    <w:rsid w:val="00031035"/>
    <w:rsid w:val="0003138F"/>
    <w:rsid w:val="0003160D"/>
    <w:rsid w:val="000318E1"/>
    <w:rsid w:val="00031C60"/>
    <w:rsid w:val="00031D04"/>
    <w:rsid w:val="00031D51"/>
    <w:rsid w:val="00032DBC"/>
    <w:rsid w:val="00032E9C"/>
    <w:rsid w:val="00033FA9"/>
    <w:rsid w:val="000343AC"/>
    <w:rsid w:val="0003451C"/>
    <w:rsid w:val="000349F3"/>
    <w:rsid w:val="00034F66"/>
    <w:rsid w:val="00035507"/>
    <w:rsid w:val="0003574B"/>
    <w:rsid w:val="00035EC2"/>
    <w:rsid w:val="00036147"/>
    <w:rsid w:val="00036198"/>
    <w:rsid w:val="000363DA"/>
    <w:rsid w:val="000364B5"/>
    <w:rsid w:val="0003656A"/>
    <w:rsid w:val="00036BB9"/>
    <w:rsid w:val="00036C79"/>
    <w:rsid w:val="00036E7E"/>
    <w:rsid w:val="000371DC"/>
    <w:rsid w:val="0003725D"/>
    <w:rsid w:val="00037416"/>
    <w:rsid w:val="000379BE"/>
    <w:rsid w:val="000379DE"/>
    <w:rsid w:val="00037C0F"/>
    <w:rsid w:val="000403E0"/>
    <w:rsid w:val="00040497"/>
    <w:rsid w:val="00040515"/>
    <w:rsid w:val="00040698"/>
    <w:rsid w:val="00040E78"/>
    <w:rsid w:val="000410CD"/>
    <w:rsid w:val="00041227"/>
    <w:rsid w:val="00041242"/>
    <w:rsid w:val="00041586"/>
    <w:rsid w:val="000415B8"/>
    <w:rsid w:val="00041D4D"/>
    <w:rsid w:val="0004214E"/>
    <w:rsid w:val="000424D0"/>
    <w:rsid w:val="00042651"/>
    <w:rsid w:val="00042A46"/>
    <w:rsid w:val="00042C98"/>
    <w:rsid w:val="00042F32"/>
    <w:rsid w:val="00042F96"/>
    <w:rsid w:val="00043108"/>
    <w:rsid w:val="00043480"/>
    <w:rsid w:val="00043E3E"/>
    <w:rsid w:val="0004448C"/>
    <w:rsid w:val="000444B9"/>
    <w:rsid w:val="0004466A"/>
    <w:rsid w:val="00044A09"/>
    <w:rsid w:val="00045367"/>
    <w:rsid w:val="000457B4"/>
    <w:rsid w:val="00046F3A"/>
    <w:rsid w:val="000472D9"/>
    <w:rsid w:val="00047916"/>
    <w:rsid w:val="00047D1E"/>
    <w:rsid w:val="00050AC9"/>
    <w:rsid w:val="00050BA8"/>
    <w:rsid w:val="00050BC0"/>
    <w:rsid w:val="00050CA1"/>
    <w:rsid w:val="00051974"/>
    <w:rsid w:val="00052647"/>
    <w:rsid w:val="000527AE"/>
    <w:rsid w:val="000528DD"/>
    <w:rsid w:val="00052C5B"/>
    <w:rsid w:val="000535EB"/>
    <w:rsid w:val="0005421A"/>
    <w:rsid w:val="00054F90"/>
    <w:rsid w:val="0005527F"/>
    <w:rsid w:val="000554A3"/>
    <w:rsid w:val="000554B3"/>
    <w:rsid w:val="00055B50"/>
    <w:rsid w:val="000560AA"/>
    <w:rsid w:val="000565E7"/>
    <w:rsid w:val="00056694"/>
    <w:rsid w:val="00056748"/>
    <w:rsid w:val="000573B7"/>
    <w:rsid w:val="00057409"/>
    <w:rsid w:val="000578D6"/>
    <w:rsid w:val="00060219"/>
    <w:rsid w:val="0006069A"/>
    <w:rsid w:val="00061038"/>
    <w:rsid w:val="00061203"/>
    <w:rsid w:val="00061351"/>
    <w:rsid w:val="00061429"/>
    <w:rsid w:val="00062219"/>
    <w:rsid w:val="000624B7"/>
    <w:rsid w:val="000624CF"/>
    <w:rsid w:val="00062A33"/>
    <w:rsid w:val="00062AD9"/>
    <w:rsid w:val="00062BB2"/>
    <w:rsid w:val="00062DCD"/>
    <w:rsid w:val="00062E39"/>
    <w:rsid w:val="000631FA"/>
    <w:rsid w:val="0006335F"/>
    <w:rsid w:val="00063492"/>
    <w:rsid w:val="000635A1"/>
    <w:rsid w:val="0006388F"/>
    <w:rsid w:val="00063CC2"/>
    <w:rsid w:val="00063DE1"/>
    <w:rsid w:val="00063FD5"/>
    <w:rsid w:val="00064030"/>
    <w:rsid w:val="00064117"/>
    <w:rsid w:val="000641D5"/>
    <w:rsid w:val="00064A3B"/>
    <w:rsid w:val="00064C1D"/>
    <w:rsid w:val="00064C89"/>
    <w:rsid w:val="00064C97"/>
    <w:rsid w:val="00064E15"/>
    <w:rsid w:val="00064FC9"/>
    <w:rsid w:val="0006518D"/>
    <w:rsid w:val="0006537B"/>
    <w:rsid w:val="00065828"/>
    <w:rsid w:val="0006583C"/>
    <w:rsid w:val="00065D58"/>
    <w:rsid w:val="00066808"/>
    <w:rsid w:val="00066C85"/>
    <w:rsid w:val="00067D36"/>
    <w:rsid w:val="00067D9B"/>
    <w:rsid w:val="00067EC3"/>
    <w:rsid w:val="00070491"/>
    <w:rsid w:val="0007085E"/>
    <w:rsid w:val="000709E4"/>
    <w:rsid w:val="00071E87"/>
    <w:rsid w:val="0007268C"/>
    <w:rsid w:val="00072B83"/>
    <w:rsid w:val="00072C37"/>
    <w:rsid w:val="00072DA9"/>
    <w:rsid w:val="00072F68"/>
    <w:rsid w:val="00073485"/>
    <w:rsid w:val="0007366C"/>
    <w:rsid w:val="00073C90"/>
    <w:rsid w:val="00074210"/>
    <w:rsid w:val="0007439F"/>
    <w:rsid w:val="00074413"/>
    <w:rsid w:val="00074918"/>
    <w:rsid w:val="00074B41"/>
    <w:rsid w:val="00074C60"/>
    <w:rsid w:val="0007532A"/>
    <w:rsid w:val="000754B9"/>
    <w:rsid w:val="000757E3"/>
    <w:rsid w:val="00075ECC"/>
    <w:rsid w:val="00076010"/>
    <w:rsid w:val="00076370"/>
    <w:rsid w:val="00076833"/>
    <w:rsid w:val="000768B7"/>
    <w:rsid w:val="00076B04"/>
    <w:rsid w:val="00076CF9"/>
    <w:rsid w:val="0007716F"/>
    <w:rsid w:val="00077721"/>
    <w:rsid w:val="00077A1A"/>
    <w:rsid w:val="00077F94"/>
    <w:rsid w:val="00080153"/>
    <w:rsid w:val="000802A0"/>
    <w:rsid w:val="00080545"/>
    <w:rsid w:val="00080AB7"/>
    <w:rsid w:val="00080B69"/>
    <w:rsid w:val="00080C61"/>
    <w:rsid w:val="00080D82"/>
    <w:rsid w:val="0008102D"/>
    <w:rsid w:val="000815A7"/>
    <w:rsid w:val="00081606"/>
    <w:rsid w:val="000816CA"/>
    <w:rsid w:val="000817ED"/>
    <w:rsid w:val="00081BF6"/>
    <w:rsid w:val="00081E45"/>
    <w:rsid w:val="000820B2"/>
    <w:rsid w:val="000822A3"/>
    <w:rsid w:val="00083A73"/>
    <w:rsid w:val="00084F4F"/>
    <w:rsid w:val="0008550B"/>
    <w:rsid w:val="00085603"/>
    <w:rsid w:val="00085E02"/>
    <w:rsid w:val="00085E60"/>
    <w:rsid w:val="0008604D"/>
    <w:rsid w:val="00086331"/>
    <w:rsid w:val="00086889"/>
    <w:rsid w:val="00086C39"/>
    <w:rsid w:val="00086D50"/>
    <w:rsid w:val="0008707C"/>
    <w:rsid w:val="000874A3"/>
    <w:rsid w:val="00087787"/>
    <w:rsid w:val="0008796E"/>
    <w:rsid w:val="00087D85"/>
    <w:rsid w:val="00087ECC"/>
    <w:rsid w:val="000900FD"/>
    <w:rsid w:val="00090344"/>
    <w:rsid w:val="000903B3"/>
    <w:rsid w:val="000903C9"/>
    <w:rsid w:val="00090533"/>
    <w:rsid w:val="00090677"/>
    <w:rsid w:val="00090806"/>
    <w:rsid w:val="00090A04"/>
    <w:rsid w:val="00090AFD"/>
    <w:rsid w:val="00090E1C"/>
    <w:rsid w:val="00090F19"/>
    <w:rsid w:val="0009110D"/>
    <w:rsid w:val="0009136E"/>
    <w:rsid w:val="00091549"/>
    <w:rsid w:val="00091550"/>
    <w:rsid w:val="0009193D"/>
    <w:rsid w:val="00091B6E"/>
    <w:rsid w:val="00091D51"/>
    <w:rsid w:val="00091EBE"/>
    <w:rsid w:val="00092F26"/>
    <w:rsid w:val="0009302F"/>
    <w:rsid w:val="0009314A"/>
    <w:rsid w:val="000936DE"/>
    <w:rsid w:val="000937E4"/>
    <w:rsid w:val="00093F13"/>
    <w:rsid w:val="00093FEC"/>
    <w:rsid w:val="00094339"/>
    <w:rsid w:val="00094946"/>
    <w:rsid w:val="000951E2"/>
    <w:rsid w:val="00096220"/>
    <w:rsid w:val="00096561"/>
    <w:rsid w:val="00096CC0"/>
    <w:rsid w:val="00096D5A"/>
    <w:rsid w:val="0009729B"/>
    <w:rsid w:val="00097360"/>
    <w:rsid w:val="000976AE"/>
    <w:rsid w:val="00097850"/>
    <w:rsid w:val="00097D47"/>
    <w:rsid w:val="00097D7A"/>
    <w:rsid w:val="000A0101"/>
    <w:rsid w:val="000A0657"/>
    <w:rsid w:val="000A0BFB"/>
    <w:rsid w:val="000A0CC5"/>
    <w:rsid w:val="000A0EA5"/>
    <w:rsid w:val="000A1144"/>
    <w:rsid w:val="000A1477"/>
    <w:rsid w:val="000A1645"/>
    <w:rsid w:val="000A196F"/>
    <w:rsid w:val="000A200A"/>
    <w:rsid w:val="000A200F"/>
    <w:rsid w:val="000A21E2"/>
    <w:rsid w:val="000A2A27"/>
    <w:rsid w:val="000A2D6D"/>
    <w:rsid w:val="000A3287"/>
    <w:rsid w:val="000A39E3"/>
    <w:rsid w:val="000A3AAF"/>
    <w:rsid w:val="000A3F69"/>
    <w:rsid w:val="000A46AF"/>
    <w:rsid w:val="000A516A"/>
    <w:rsid w:val="000A5C64"/>
    <w:rsid w:val="000A61A2"/>
    <w:rsid w:val="000A66FC"/>
    <w:rsid w:val="000A6DFB"/>
    <w:rsid w:val="000A7357"/>
    <w:rsid w:val="000A791D"/>
    <w:rsid w:val="000A7BD7"/>
    <w:rsid w:val="000B007B"/>
    <w:rsid w:val="000B00EB"/>
    <w:rsid w:val="000B0204"/>
    <w:rsid w:val="000B023C"/>
    <w:rsid w:val="000B0686"/>
    <w:rsid w:val="000B0C8E"/>
    <w:rsid w:val="000B0D3C"/>
    <w:rsid w:val="000B0DF4"/>
    <w:rsid w:val="000B14FC"/>
    <w:rsid w:val="000B1750"/>
    <w:rsid w:val="000B1DA9"/>
    <w:rsid w:val="000B1EEC"/>
    <w:rsid w:val="000B2068"/>
    <w:rsid w:val="000B213F"/>
    <w:rsid w:val="000B2674"/>
    <w:rsid w:val="000B2769"/>
    <w:rsid w:val="000B27DE"/>
    <w:rsid w:val="000B2804"/>
    <w:rsid w:val="000B2BBA"/>
    <w:rsid w:val="000B2C44"/>
    <w:rsid w:val="000B2F4C"/>
    <w:rsid w:val="000B31AA"/>
    <w:rsid w:val="000B3440"/>
    <w:rsid w:val="000B3518"/>
    <w:rsid w:val="000B3C5D"/>
    <w:rsid w:val="000B3E35"/>
    <w:rsid w:val="000B4794"/>
    <w:rsid w:val="000B4A24"/>
    <w:rsid w:val="000B4C22"/>
    <w:rsid w:val="000B4DCC"/>
    <w:rsid w:val="000B5624"/>
    <w:rsid w:val="000B5774"/>
    <w:rsid w:val="000B57B2"/>
    <w:rsid w:val="000B5C14"/>
    <w:rsid w:val="000B5FB4"/>
    <w:rsid w:val="000B6603"/>
    <w:rsid w:val="000B6ACF"/>
    <w:rsid w:val="000B6F08"/>
    <w:rsid w:val="000B7917"/>
    <w:rsid w:val="000B7EEE"/>
    <w:rsid w:val="000C06DA"/>
    <w:rsid w:val="000C09A5"/>
    <w:rsid w:val="000C0A9F"/>
    <w:rsid w:val="000C0DA4"/>
    <w:rsid w:val="000C0FB7"/>
    <w:rsid w:val="000C13B7"/>
    <w:rsid w:val="000C14BD"/>
    <w:rsid w:val="000C163D"/>
    <w:rsid w:val="000C190D"/>
    <w:rsid w:val="000C1D74"/>
    <w:rsid w:val="000C1DE0"/>
    <w:rsid w:val="000C216E"/>
    <w:rsid w:val="000C26BA"/>
    <w:rsid w:val="000C2F88"/>
    <w:rsid w:val="000C3869"/>
    <w:rsid w:val="000C3B3B"/>
    <w:rsid w:val="000C3EB0"/>
    <w:rsid w:val="000C3F88"/>
    <w:rsid w:val="000C475C"/>
    <w:rsid w:val="000C4EFA"/>
    <w:rsid w:val="000C5019"/>
    <w:rsid w:val="000C5537"/>
    <w:rsid w:val="000C5F81"/>
    <w:rsid w:val="000C6078"/>
    <w:rsid w:val="000C63F8"/>
    <w:rsid w:val="000C64C9"/>
    <w:rsid w:val="000C652B"/>
    <w:rsid w:val="000C65E0"/>
    <w:rsid w:val="000C683F"/>
    <w:rsid w:val="000C6A4A"/>
    <w:rsid w:val="000C71A5"/>
    <w:rsid w:val="000C78C5"/>
    <w:rsid w:val="000C79C3"/>
    <w:rsid w:val="000C7BD5"/>
    <w:rsid w:val="000C7CF5"/>
    <w:rsid w:val="000D020B"/>
    <w:rsid w:val="000D0284"/>
    <w:rsid w:val="000D09DF"/>
    <w:rsid w:val="000D0BF6"/>
    <w:rsid w:val="000D0F7E"/>
    <w:rsid w:val="000D10F8"/>
    <w:rsid w:val="000D11F7"/>
    <w:rsid w:val="000D13EF"/>
    <w:rsid w:val="000D17D4"/>
    <w:rsid w:val="000D1B7A"/>
    <w:rsid w:val="000D1D1A"/>
    <w:rsid w:val="000D228C"/>
    <w:rsid w:val="000D254A"/>
    <w:rsid w:val="000D2749"/>
    <w:rsid w:val="000D2781"/>
    <w:rsid w:val="000D2A6E"/>
    <w:rsid w:val="000D2A8D"/>
    <w:rsid w:val="000D3249"/>
    <w:rsid w:val="000D354C"/>
    <w:rsid w:val="000D36B4"/>
    <w:rsid w:val="000D39E0"/>
    <w:rsid w:val="000D3B17"/>
    <w:rsid w:val="000D3F98"/>
    <w:rsid w:val="000D3FC1"/>
    <w:rsid w:val="000D402F"/>
    <w:rsid w:val="000D4154"/>
    <w:rsid w:val="000D473D"/>
    <w:rsid w:val="000D48E7"/>
    <w:rsid w:val="000D4A33"/>
    <w:rsid w:val="000D4C35"/>
    <w:rsid w:val="000D4D26"/>
    <w:rsid w:val="000D4FBB"/>
    <w:rsid w:val="000D51BE"/>
    <w:rsid w:val="000D5AD5"/>
    <w:rsid w:val="000D5EBE"/>
    <w:rsid w:val="000D5F94"/>
    <w:rsid w:val="000D695D"/>
    <w:rsid w:val="000D6BE1"/>
    <w:rsid w:val="000D6D83"/>
    <w:rsid w:val="000D6DC4"/>
    <w:rsid w:val="000D6DFF"/>
    <w:rsid w:val="000D7F87"/>
    <w:rsid w:val="000D7FBA"/>
    <w:rsid w:val="000E0A4E"/>
    <w:rsid w:val="000E0E2A"/>
    <w:rsid w:val="000E17F6"/>
    <w:rsid w:val="000E1B62"/>
    <w:rsid w:val="000E1B97"/>
    <w:rsid w:val="000E1D8F"/>
    <w:rsid w:val="000E209B"/>
    <w:rsid w:val="000E25CD"/>
    <w:rsid w:val="000E2613"/>
    <w:rsid w:val="000E2F75"/>
    <w:rsid w:val="000E351F"/>
    <w:rsid w:val="000E3C5C"/>
    <w:rsid w:val="000E3C6A"/>
    <w:rsid w:val="000E43F7"/>
    <w:rsid w:val="000E4689"/>
    <w:rsid w:val="000E4862"/>
    <w:rsid w:val="000E4ACF"/>
    <w:rsid w:val="000E4B60"/>
    <w:rsid w:val="000E5250"/>
    <w:rsid w:val="000E5380"/>
    <w:rsid w:val="000E55AF"/>
    <w:rsid w:val="000E5B99"/>
    <w:rsid w:val="000E5DDB"/>
    <w:rsid w:val="000E5E3F"/>
    <w:rsid w:val="000E6309"/>
    <w:rsid w:val="000E6368"/>
    <w:rsid w:val="000E68A9"/>
    <w:rsid w:val="000E6909"/>
    <w:rsid w:val="000E6C87"/>
    <w:rsid w:val="000E6D0F"/>
    <w:rsid w:val="000E6F91"/>
    <w:rsid w:val="000E7362"/>
    <w:rsid w:val="000E7AAA"/>
    <w:rsid w:val="000E7BEF"/>
    <w:rsid w:val="000E7C5A"/>
    <w:rsid w:val="000F04C6"/>
    <w:rsid w:val="000F0650"/>
    <w:rsid w:val="000F0F46"/>
    <w:rsid w:val="000F126A"/>
    <w:rsid w:val="000F148D"/>
    <w:rsid w:val="000F1531"/>
    <w:rsid w:val="000F1BE6"/>
    <w:rsid w:val="000F1EA3"/>
    <w:rsid w:val="000F1FF0"/>
    <w:rsid w:val="000F211D"/>
    <w:rsid w:val="000F2179"/>
    <w:rsid w:val="000F26A2"/>
    <w:rsid w:val="000F309E"/>
    <w:rsid w:val="000F3807"/>
    <w:rsid w:val="000F3C0B"/>
    <w:rsid w:val="000F456E"/>
    <w:rsid w:val="000F4A6B"/>
    <w:rsid w:val="000F4B79"/>
    <w:rsid w:val="000F4BC6"/>
    <w:rsid w:val="000F4C40"/>
    <w:rsid w:val="000F4F90"/>
    <w:rsid w:val="000F4FF6"/>
    <w:rsid w:val="000F5111"/>
    <w:rsid w:val="000F513E"/>
    <w:rsid w:val="000F5240"/>
    <w:rsid w:val="000F52DA"/>
    <w:rsid w:val="000F546E"/>
    <w:rsid w:val="000F5527"/>
    <w:rsid w:val="000F5561"/>
    <w:rsid w:val="000F5623"/>
    <w:rsid w:val="000F57E0"/>
    <w:rsid w:val="000F5B69"/>
    <w:rsid w:val="000F5D31"/>
    <w:rsid w:val="000F5F64"/>
    <w:rsid w:val="000F62B9"/>
    <w:rsid w:val="000F6721"/>
    <w:rsid w:val="000F692B"/>
    <w:rsid w:val="000F6B51"/>
    <w:rsid w:val="000F6C12"/>
    <w:rsid w:val="000F6C4D"/>
    <w:rsid w:val="000F6E00"/>
    <w:rsid w:val="000F6FCB"/>
    <w:rsid w:val="000F76C8"/>
    <w:rsid w:val="000F771A"/>
    <w:rsid w:val="000F779D"/>
    <w:rsid w:val="000F77C3"/>
    <w:rsid w:val="000F79F1"/>
    <w:rsid w:val="000F7A5A"/>
    <w:rsid w:val="0010005C"/>
    <w:rsid w:val="00100206"/>
    <w:rsid w:val="001002D1"/>
    <w:rsid w:val="001004EB"/>
    <w:rsid w:val="001007BE"/>
    <w:rsid w:val="00100AC5"/>
    <w:rsid w:val="00100C0F"/>
    <w:rsid w:val="00100F21"/>
    <w:rsid w:val="0010185D"/>
    <w:rsid w:val="00101C30"/>
    <w:rsid w:val="00102282"/>
    <w:rsid w:val="00102440"/>
    <w:rsid w:val="00102762"/>
    <w:rsid w:val="00102EE5"/>
    <w:rsid w:val="00102F91"/>
    <w:rsid w:val="00102FD8"/>
    <w:rsid w:val="00103432"/>
    <w:rsid w:val="0010375C"/>
    <w:rsid w:val="001037F7"/>
    <w:rsid w:val="00103EA6"/>
    <w:rsid w:val="00104562"/>
    <w:rsid w:val="001047DD"/>
    <w:rsid w:val="00105314"/>
    <w:rsid w:val="0010544D"/>
    <w:rsid w:val="0010587A"/>
    <w:rsid w:val="0010646E"/>
    <w:rsid w:val="001065E3"/>
    <w:rsid w:val="001066AA"/>
    <w:rsid w:val="001066D3"/>
    <w:rsid w:val="0010694B"/>
    <w:rsid w:val="00106A46"/>
    <w:rsid w:val="00106D02"/>
    <w:rsid w:val="00106E6A"/>
    <w:rsid w:val="00107025"/>
    <w:rsid w:val="001071DE"/>
    <w:rsid w:val="00107348"/>
    <w:rsid w:val="001076E7"/>
    <w:rsid w:val="00107A1D"/>
    <w:rsid w:val="00107AE7"/>
    <w:rsid w:val="00107B84"/>
    <w:rsid w:val="0011009C"/>
    <w:rsid w:val="00110196"/>
    <w:rsid w:val="0011031E"/>
    <w:rsid w:val="0011034C"/>
    <w:rsid w:val="00110883"/>
    <w:rsid w:val="00110BB7"/>
    <w:rsid w:val="00110C0D"/>
    <w:rsid w:val="0011100F"/>
    <w:rsid w:val="00111073"/>
    <w:rsid w:val="001112D4"/>
    <w:rsid w:val="00111720"/>
    <w:rsid w:val="00111986"/>
    <w:rsid w:val="00111B82"/>
    <w:rsid w:val="00111C24"/>
    <w:rsid w:val="00111C83"/>
    <w:rsid w:val="001123B6"/>
    <w:rsid w:val="00112500"/>
    <w:rsid w:val="001125DD"/>
    <w:rsid w:val="001126B0"/>
    <w:rsid w:val="00112708"/>
    <w:rsid w:val="00112735"/>
    <w:rsid w:val="00112D71"/>
    <w:rsid w:val="00113476"/>
    <w:rsid w:val="001135EA"/>
    <w:rsid w:val="001137E7"/>
    <w:rsid w:val="001141DB"/>
    <w:rsid w:val="001142CA"/>
    <w:rsid w:val="001146E5"/>
    <w:rsid w:val="001147C0"/>
    <w:rsid w:val="00114AE9"/>
    <w:rsid w:val="00115457"/>
    <w:rsid w:val="00115D00"/>
    <w:rsid w:val="0011614A"/>
    <w:rsid w:val="0011626A"/>
    <w:rsid w:val="0011660F"/>
    <w:rsid w:val="0011670A"/>
    <w:rsid w:val="00116787"/>
    <w:rsid w:val="00116E46"/>
    <w:rsid w:val="0011716D"/>
    <w:rsid w:val="00117BF9"/>
    <w:rsid w:val="00117C0A"/>
    <w:rsid w:val="001202A6"/>
    <w:rsid w:val="0012102B"/>
    <w:rsid w:val="001214A0"/>
    <w:rsid w:val="001214F8"/>
    <w:rsid w:val="001219E1"/>
    <w:rsid w:val="00121D2D"/>
    <w:rsid w:val="00122144"/>
    <w:rsid w:val="001224DC"/>
    <w:rsid w:val="001227AF"/>
    <w:rsid w:val="00122846"/>
    <w:rsid w:val="00123995"/>
    <w:rsid w:val="00123EA5"/>
    <w:rsid w:val="0012408D"/>
    <w:rsid w:val="0012432E"/>
    <w:rsid w:val="00124643"/>
    <w:rsid w:val="00124C8A"/>
    <w:rsid w:val="00124E96"/>
    <w:rsid w:val="00125212"/>
    <w:rsid w:val="00125232"/>
    <w:rsid w:val="001253FC"/>
    <w:rsid w:val="00125CA4"/>
    <w:rsid w:val="00125E54"/>
    <w:rsid w:val="001260FC"/>
    <w:rsid w:val="001261C5"/>
    <w:rsid w:val="0012625F"/>
    <w:rsid w:val="001269E9"/>
    <w:rsid w:val="00126FAF"/>
    <w:rsid w:val="0012751E"/>
    <w:rsid w:val="00127B1D"/>
    <w:rsid w:val="00127B38"/>
    <w:rsid w:val="00127D37"/>
    <w:rsid w:val="0013006A"/>
    <w:rsid w:val="00130614"/>
    <w:rsid w:val="001306E4"/>
    <w:rsid w:val="00130709"/>
    <w:rsid w:val="00130C72"/>
    <w:rsid w:val="0013101E"/>
    <w:rsid w:val="0013110A"/>
    <w:rsid w:val="001314CB"/>
    <w:rsid w:val="00131D8B"/>
    <w:rsid w:val="00132381"/>
    <w:rsid w:val="001326B3"/>
    <w:rsid w:val="0013273F"/>
    <w:rsid w:val="00132E84"/>
    <w:rsid w:val="00132F86"/>
    <w:rsid w:val="00133089"/>
    <w:rsid w:val="0013320D"/>
    <w:rsid w:val="00133777"/>
    <w:rsid w:val="00133A9F"/>
    <w:rsid w:val="00134404"/>
    <w:rsid w:val="0013463C"/>
    <w:rsid w:val="001346EC"/>
    <w:rsid w:val="001348A2"/>
    <w:rsid w:val="00136AE2"/>
    <w:rsid w:val="00136CC7"/>
    <w:rsid w:val="00136EDF"/>
    <w:rsid w:val="001371E3"/>
    <w:rsid w:val="001374DD"/>
    <w:rsid w:val="00137690"/>
    <w:rsid w:val="001378F0"/>
    <w:rsid w:val="001400F4"/>
    <w:rsid w:val="001404D8"/>
    <w:rsid w:val="001405C5"/>
    <w:rsid w:val="0014091D"/>
    <w:rsid w:val="00140D98"/>
    <w:rsid w:val="00141BE5"/>
    <w:rsid w:val="00141D03"/>
    <w:rsid w:val="001423C8"/>
    <w:rsid w:val="00142531"/>
    <w:rsid w:val="00142729"/>
    <w:rsid w:val="0014286A"/>
    <w:rsid w:val="001428A4"/>
    <w:rsid w:val="00142AC6"/>
    <w:rsid w:val="00142BD7"/>
    <w:rsid w:val="00142E8E"/>
    <w:rsid w:val="001432FD"/>
    <w:rsid w:val="00143C1B"/>
    <w:rsid w:val="0014454F"/>
    <w:rsid w:val="001445DE"/>
    <w:rsid w:val="001448BA"/>
    <w:rsid w:val="0014559F"/>
    <w:rsid w:val="00145CAC"/>
    <w:rsid w:val="00145DCD"/>
    <w:rsid w:val="00146201"/>
    <w:rsid w:val="00146C84"/>
    <w:rsid w:val="00146FA7"/>
    <w:rsid w:val="0014726E"/>
    <w:rsid w:val="00147592"/>
    <w:rsid w:val="001476BA"/>
    <w:rsid w:val="00147B59"/>
    <w:rsid w:val="00150669"/>
    <w:rsid w:val="001508B3"/>
    <w:rsid w:val="00150DBF"/>
    <w:rsid w:val="0015145D"/>
    <w:rsid w:val="001526B6"/>
    <w:rsid w:val="0015283A"/>
    <w:rsid w:val="001528AA"/>
    <w:rsid w:val="00153269"/>
    <w:rsid w:val="001532C5"/>
    <w:rsid w:val="0015399C"/>
    <w:rsid w:val="00153F85"/>
    <w:rsid w:val="00154741"/>
    <w:rsid w:val="001547E2"/>
    <w:rsid w:val="00154E9E"/>
    <w:rsid w:val="0015545C"/>
    <w:rsid w:val="001554F5"/>
    <w:rsid w:val="001555B6"/>
    <w:rsid w:val="00155CAA"/>
    <w:rsid w:val="00156166"/>
    <w:rsid w:val="001568A4"/>
    <w:rsid w:val="00156F6E"/>
    <w:rsid w:val="00157194"/>
    <w:rsid w:val="00157232"/>
    <w:rsid w:val="001575E6"/>
    <w:rsid w:val="001577CA"/>
    <w:rsid w:val="001578DA"/>
    <w:rsid w:val="001578E3"/>
    <w:rsid w:val="001579E5"/>
    <w:rsid w:val="00160212"/>
    <w:rsid w:val="00160223"/>
    <w:rsid w:val="001604FF"/>
    <w:rsid w:val="0016089F"/>
    <w:rsid w:val="00160E91"/>
    <w:rsid w:val="001610D1"/>
    <w:rsid w:val="00161186"/>
    <w:rsid w:val="001614DA"/>
    <w:rsid w:val="00161A41"/>
    <w:rsid w:val="00161CB9"/>
    <w:rsid w:val="00162170"/>
    <w:rsid w:val="001624BC"/>
    <w:rsid w:val="001624E8"/>
    <w:rsid w:val="00162A29"/>
    <w:rsid w:val="00163B21"/>
    <w:rsid w:val="00163B78"/>
    <w:rsid w:val="001641BC"/>
    <w:rsid w:val="00164A4C"/>
    <w:rsid w:val="00164B4C"/>
    <w:rsid w:val="00164B96"/>
    <w:rsid w:val="00164CB1"/>
    <w:rsid w:val="00164DFC"/>
    <w:rsid w:val="00165476"/>
    <w:rsid w:val="001655FB"/>
    <w:rsid w:val="001656D5"/>
    <w:rsid w:val="00165961"/>
    <w:rsid w:val="001659F0"/>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421"/>
    <w:rsid w:val="00170F3F"/>
    <w:rsid w:val="00171179"/>
    <w:rsid w:val="00171458"/>
    <w:rsid w:val="00171465"/>
    <w:rsid w:val="001714B8"/>
    <w:rsid w:val="0017159D"/>
    <w:rsid w:val="00171604"/>
    <w:rsid w:val="00171979"/>
    <w:rsid w:val="001719D4"/>
    <w:rsid w:val="00171F85"/>
    <w:rsid w:val="001720F9"/>
    <w:rsid w:val="001722EF"/>
    <w:rsid w:val="001726C6"/>
    <w:rsid w:val="001728B1"/>
    <w:rsid w:val="00172DE2"/>
    <w:rsid w:val="00172E33"/>
    <w:rsid w:val="00172F33"/>
    <w:rsid w:val="001734F1"/>
    <w:rsid w:val="001736E0"/>
    <w:rsid w:val="0017387D"/>
    <w:rsid w:val="0017395A"/>
    <w:rsid w:val="0017400A"/>
    <w:rsid w:val="001741F8"/>
    <w:rsid w:val="00174259"/>
    <w:rsid w:val="001744A3"/>
    <w:rsid w:val="00174C62"/>
    <w:rsid w:val="00174E85"/>
    <w:rsid w:val="0017515C"/>
    <w:rsid w:val="00175746"/>
    <w:rsid w:val="00175758"/>
    <w:rsid w:val="00175A83"/>
    <w:rsid w:val="00175DF5"/>
    <w:rsid w:val="00175E3B"/>
    <w:rsid w:val="00176231"/>
    <w:rsid w:val="00176669"/>
    <w:rsid w:val="00176853"/>
    <w:rsid w:val="00177028"/>
    <w:rsid w:val="00177043"/>
    <w:rsid w:val="001770EF"/>
    <w:rsid w:val="00177225"/>
    <w:rsid w:val="00177381"/>
    <w:rsid w:val="0017775A"/>
    <w:rsid w:val="001777CF"/>
    <w:rsid w:val="0017799F"/>
    <w:rsid w:val="00177C1A"/>
    <w:rsid w:val="00177FA7"/>
    <w:rsid w:val="001802EE"/>
    <w:rsid w:val="001806C8"/>
    <w:rsid w:val="001807D6"/>
    <w:rsid w:val="001809B8"/>
    <w:rsid w:val="00181149"/>
    <w:rsid w:val="0018163E"/>
    <w:rsid w:val="00181681"/>
    <w:rsid w:val="001816FD"/>
    <w:rsid w:val="00181994"/>
    <w:rsid w:val="00181D3E"/>
    <w:rsid w:val="00181E0D"/>
    <w:rsid w:val="00182191"/>
    <w:rsid w:val="001823E1"/>
    <w:rsid w:val="0018249C"/>
    <w:rsid w:val="00182590"/>
    <w:rsid w:val="001825FA"/>
    <w:rsid w:val="00182632"/>
    <w:rsid w:val="0018294F"/>
    <w:rsid w:val="001829B1"/>
    <w:rsid w:val="00182C4D"/>
    <w:rsid w:val="001830B3"/>
    <w:rsid w:val="001833BC"/>
    <w:rsid w:val="001835C0"/>
    <w:rsid w:val="00183DC3"/>
    <w:rsid w:val="0018414B"/>
    <w:rsid w:val="001843F3"/>
    <w:rsid w:val="00184781"/>
    <w:rsid w:val="001847AC"/>
    <w:rsid w:val="00184898"/>
    <w:rsid w:val="00185041"/>
    <w:rsid w:val="001858D2"/>
    <w:rsid w:val="001858EE"/>
    <w:rsid w:val="0018598C"/>
    <w:rsid w:val="00185DFB"/>
    <w:rsid w:val="00185F74"/>
    <w:rsid w:val="00186468"/>
    <w:rsid w:val="00186AEB"/>
    <w:rsid w:val="00187234"/>
    <w:rsid w:val="00187240"/>
    <w:rsid w:val="001873E3"/>
    <w:rsid w:val="00187995"/>
    <w:rsid w:val="00187DE6"/>
    <w:rsid w:val="001903BC"/>
    <w:rsid w:val="0019053C"/>
    <w:rsid w:val="00190F59"/>
    <w:rsid w:val="001916FF"/>
    <w:rsid w:val="00192357"/>
    <w:rsid w:val="001930AD"/>
    <w:rsid w:val="0019319F"/>
    <w:rsid w:val="00193320"/>
    <w:rsid w:val="0019366A"/>
    <w:rsid w:val="001936FC"/>
    <w:rsid w:val="001939BB"/>
    <w:rsid w:val="00193A69"/>
    <w:rsid w:val="00193E3D"/>
    <w:rsid w:val="0019409D"/>
    <w:rsid w:val="00194530"/>
    <w:rsid w:val="001955A5"/>
    <w:rsid w:val="00195CB0"/>
    <w:rsid w:val="00195CD3"/>
    <w:rsid w:val="00195F2E"/>
    <w:rsid w:val="00195F3E"/>
    <w:rsid w:val="00196366"/>
    <w:rsid w:val="00196C92"/>
    <w:rsid w:val="00197E3D"/>
    <w:rsid w:val="001A02E0"/>
    <w:rsid w:val="001A063F"/>
    <w:rsid w:val="001A07A0"/>
    <w:rsid w:val="001A0CB7"/>
    <w:rsid w:val="001A0EA7"/>
    <w:rsid w:val="001A0F96"/>
    <w:rsid w:val="001A114B"/>
    <w:rsid w:val="001A1250"/>
    <w:rsid w:val="001A1B32"/>
    <w:rsid w:val="001A25B1"/>
    <w:rsid w:val="001A2613"/>
    <w:rsid w:val="001A2622"/>
    <w:rsid w:val="001A27E5"/>
    <w:rsid w:val="001A28CF"/>
    <w:rsid w:val="001A28D3"/>
    <w:rsid w:val="001A3140"/>
    <w:rsid w:val="001A323B"/>
    <w:rsid w:val="001A3329"/>
    <w:rsid w:val="001A355F"/>
    <w:rsid w:val="001A35C6"/>
    <w:rsid w:val="001A3DE0"/>
    <w:rsid w:val="001A4474"/>
    <w:rsid w:val="001A4B7E"/>
    <w:rsid w:val="001A5253"/>
    <w:rsid w:val="001A5285"/>
    <w:rsid w:val="001A5C64"/>
    <w:rsid w:val="001A60C5"/>
    <w:rsid w:val="001A60D3"/>
    <w:rsid w:val="001A6CA4"/>
    <w:rsid w:val="001A6CF4"/>
    <w:rsid w:val="001A6F9A"/>
    <w:rsid w:val="001A6FF5"/>
    <w:rsid w:val="001A7244"/>
    <w:rsid w:val="001A78F3"/>
    <w:rsid w:val="001B0012"/>
    <w:rsid w:val="001B0702"/>
    <w:rsid w:val="001B073E"/>
    <w:rsid w:val="001B0B1F"/>
    <w:rsid w:val="001B0D1F"/>
    <w:rsid w:val="001B1189"/>
    <w:rsid w:val="001B1568"/>
    <w:rsid w:val="001B15B6"/>
    <w:rsid w:val="001B1802"/>
    <w:rsid w:val="001B1F40"/>
    <w:rsid w:val="001B2012"/>
    <w:rsid w:val="001B2021"/>
    <w:rsid w:val="001B20DC"/>
    <w:rsid w:val="001B21C2"/>
    <w:rsid w:val="001B21D4"/>
    <w:rsid w:val="001B25A0"/>
    <w:rsid w:val="001B26C0"/>
    <w:rsid w:val="001B2AB8"/>
    <w:rsid w:val="001B2DFE"/>
    <w:rsid w:val="001B2FF9"/>
    <w:rsid w:val="001B32F0"/>
    <w:rsid w:val="001B33C4"/>
    <w:rsid w:val="001B35C4"/>
    <w:rsid w:val="001B365A"/>
    <w:rsid w:val="001B3693"/>
    <w:rsid w:val="001B3746"/>
    <w:rsid w:val="001B39E6"/>
    <w:rsid w:val="001B3A46"/>
    <w:rsid w:val="001B3BBD"/>
    <w:rsid w:val="001B3DDF"/>
    <w:rsid w:val="001B41C6"/>
    <w:rsid w:val="001B433D"/>
    <w:rsid w:val="001B4602"/>
    <w:rsid w:val="001B4883"/>
    <w:rsid w:val="001B4A29"/>
    <w:rsid w:val="001B4AA1"/>
    <w:rsid w:val="001B4DA2"/>
    <w:rsid w:val="001B4E79"/>
    <w:rsid w:val="001B56A8"/>
    <w:rsid w:val="001B639E"/>
    <w:rsid w:val="001B6E1E"/>
    <w:rsid w:val="001B72A8"/>
    <w:rsid w:val="001B77F7"/>
    <w:rsid w:val="001B78B5"/>
    <w:rsid w:val="001B7D1F"/>
    <w:rsid w:val="001C0FA9"/>
    <w:rsid w:val="001C152D"/>
    <w:rsid w:val="001C16F9"/>
    <w:rsid w:val="001C1BFD"/>
    <w:rsid w:val="001C1F57"/>
    <w:rsid w:val="001C219D"/>
    <w:rsid w:val="001C24B8"/>
    <w:rsid w:val="001C27AA"/>
    <w:rsid w:val="001C2A93"/>
    <w:rsid w:val="001C2DEF"/>
    <w:rsid w:val="001C2F29"/>
    <w:rsid w:val="001C397C"/>
    <w:rsid w:val="001C3D86"/>
    <w:rsid w:val="001C43A0"/>
    <w:rsid w:val="001C44BB"/>
    <w:rsid w:val="001C4A5E"/>
    <w:rsid w:val="001C4F62"/>
    <w:rsid w:val="001C5212"/>
    <w:rsid w:val="001C52FF"/>
    <w:rsid w:val="001C5649"/>
    <w:rsid w:val="001C581D"/>
    <w:rsid w:val="001C606D"/>
    <w:rsid w:val="001C60DE"/>
    <w:rsid w:val="001C64D7"/>
    <w:rsid w:val="001C6692"/>
    <w:rsid w:val="001C6803"/>
    <w:rsid w:val="001C68BD"/>
    <w:rsid w:val="001C693C"/>
    <w:rsid w:val="001C6987"/>
    <w:rsid w:val="001C74C5"/>
    <w:rsid w:val="001C76F1"/>
    <w:rsid w:val="001C78B1"/>
    <w:rsid w:val="001C78B6"/>
    <w:rsid w:val="001C7CD0"/>
    <w:rsid w:val="001D066A"/>
    <w:rsid w:val="001D066E"/>
    <w:rsid w:val="001D0758"/>
    <w:rsid w:val="001D0B55"/>
    <w:rsid w:val="001D0C2B"/>
    <w:rsid w:val="001D0CC1"/>
    <w:rsid w:val="001D0ECD"/>
    <w:rsid w:val="001D11AA"/>
    <w:rsid w:val="001D1201"/>
    <w:rsid w:val="001D27A8"/>
    <w:rsid w:val="001D2D1F"/>
    <w:rsid w:val="001D3840"/>
    <w:rsid w:val="001D38B3"/>
    <w:rsid w:val="001D394C"/>
    <w:rsid w:val="001D3B8A"/>
    <w:rsid w:val="001D3ECA"/>
    <w:rsid w:val="001D404C"/>
    <w:rsid w:val="001D40DD"/>
    <w:rsid w:val="001D4316"/>
    <w:rsid w:val="001D431A"/>
    <w:rsid w:val="001D4AA9"/>
    <w:rsid w:val="001D4DAD"/>
    <w:rsid w:val="001D50BC"/>
    <w:rsid w:val="001D5300"/>
    <w:rsid w:val="001D5440"/>
    <w:rsid w:val="001D54F6"/>
    <w:rsid w:val="001D5D29"/>
    <w:rsid w:val="001D5D64"/>
    <w:rsid w:val="001D76AC"/>
    <w:rsid w:val="001D7715"/>
    <w:rsid w:val="001D7734"/>
    <w:rsid w:val="001D798E"/>
    <w:rsid w:val="001D7A7F"/>
    <w:rsid w:val="001D7D95"/>
    <w:rsid w:val="001D7F91"/>
    <w:rsid w:val="001E0263"/>
    <w:rsid w:val="001E02C6"/>
    <w:rsid w:val="001E0397"/>
    <w:rsid w:val="001E071E"/>
    <w:rsid w:val="001E0B33"/>
    <w:rsid w:val="001E0FD4"/>
    <w:rsid w:val="001E103D"/>
    <w:rsid w:val="001E116D"/>
    <w:rsid w:val="001E1654"/>
    <w:rsid w:val="001E170D"/>
    <w:rsid w:val="001E183F"/>
    <w:rsid w:val="001E1CBA"/>
    <w:rsid w:val="001E207A"/>
    <w:rsid w:val="001E2233"/>
    <w:rsid w:val="001E2951"/>
    <w:rsid w:val="001E29E2"/>
    <w:rsid w:val="001E37FA"/>
    <w:rsid w:val="001E3B76"/>
    <w:rsid w:val="001E3E31"/>
    <w:rsid w:val="001E490A"/>
    <w:rsid w:val="001E4A91"/>
    <w:rsid w:val="001E5583"/>
    <w:rsid w:val="001E59E0"/>
    <w:rsid w:val="001E5AAE"/>
    <w:rsid w:val="001E5D5C"/>
    <w:rsid w:val="001E648F"/>
    <w:rsid w:val="001E737B"/>
    <w:rsid w:val="001E7AC4"/>
    <w:rsid w:val="001E7B6D"/>
    <w:rsid w:val="001F0084"/>
    <w:rsid w:val="001F0341"/>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1BE"/>
    <w:rsid w:val="001F2F7A"/>
    <w:rsid w:val="001F35EB"/>
    <w:rsid w:val="001F3977"/>
    <w:rsid w:val="001F3EE5"/>
    <w:rsid w:val="001F3FC3"/>
    <w:rsid w:val="001F450F"/>
    <w:rsid w:val="001F4795"/>
    <w:rsid w:val="001F499C"/>
    <w:rsid w:val="001F4AF0"/>
    <w:rsid w:val="001F4B93"/>
    <w:rsid w:val="001F536D"/>
    <w:rsid w:val="001F5988"/>
    <w:rsid w:val="001F5D15"/>
    <w:rsid w:val="001F5ED6"/>
    <w:rsid w:val="001F6001"/>
    <w:rsid w:val="001F62F4"/>
    <w:rsid w:val="001F6D0C"/>
    <w:rsid w:val="001F6D67"/>
    <w:rsid w:val="001F6DD8"/>
    <w:rsid w:val="001F6F76"/>
    <w:rsid w:val="001F759F"/>
    <w:rsid w:val="001F7AF3"/>
    <w:rsid w:val="001F7EC7"/>
    <w:rsid w:val="001F7F8B"/>
    <w:rsid w:val="00200375"/>
    <w:rsid w:val="00200634"/>
    <w:rsid w:val="002008FE"/>
    <w:rsid w:val="00200A86"/>
    <w:rsid w:val="00200EDA"/>
    <w:rsid w:val="0020102B"/>
    <w:rsid w:val="00201793"/>
    <w:rsid w:val="00201B64"/>
    <w:rsid w:val="00202063"/>
    <w:rsid w:val="0020213C"/>
    <w:rsid w:val="0020239E"/>
    <w:rsid w:val="002029BF"/>
    <w:rsid w:val="00204194"/>
    <w:rsid w:val="002045CC"/>
    <w:rsid w:val="00204A71"/>
    <w:rsid w:val="0020523C"/>
    <w:rsid w:val="0020536F"/>
    <w:rsid w:val="002057DE"/>
    <w:rsid w:val="00205B05"/>
    <w:rsid w:val="00205C9C"/>
    <w:rsid w:val="00205CB5"/>
    <w:rsid w:val="00205CD3"/>
    <w:rsid w:val="00206FF9"/>
    <w:rsid w:val="002070F7"/>
    <w:rsid w:val="0020743A"/>
    <w:rsid w:val="00207BCB"/>
    <w:rsid w:val="00207E09"/>
    <w:rsid w:val="00210031"/>
    <w:rsid w:val="0021006B"/>
    <w:rsid w:val="002104BC"/>
    <w:rsid w:val="0021075F"/>
    <w:rsid w:val="00210CDC"/>
    <w:rsid w:val="00210F26"/>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52F0"/>
    <w:rsid w:val="00215645"/>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B78"/>
    <w:rsid w:val="00220E56"/>
    <w:rsid w:val="002213B8"/>
    <w:rsid w:val="00221688"/>
    <w:rsid w:val="00221B1E"/>
    <w:rsid w:val="00221C96"/>
    <w:rsid w:val="00221D11"/>
    <w:rsid w:val="0022237B"/>
    <w:rsid w:val="00222385"/>
    <w:rsid w:val="00222619"/>
    <w:rsid w:val="00222CD7"/>
    <w:rsid w:val="00222D24"/>
    <w:rsid w:val="00223234"/>
    <w:rsid w:val="00223C08"/>
    <w:rsid w:val="00223DE6"/>
    <w:rsid w:val="00223E5C"/>
    <w:rsid w:val="002240A7"/>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DEB"/>
    <w:rsid w:val="002312C2"/>
    <w:rsid w:val="00231605"/>
    <w:rsid w:val="00231ABE"/>
    <w:rsid w:val="00231CC1"/>
    <w:rsid w:val="00232285"/>
    <w:rsid w:val="002326C3"/>
    <w:rsid w:val="00232BD1"/>
    <w:rsid w:val="00232FB6"/>
    <w:rsid w:val="00233507"/>
    <w:rsid w:val="002336C2"/>
    <w:rsid w:val="00233F6A"/>
    <w:rsid w:val="002343A3"/>
    <w:rsid w:val="00234C06"/>
    <w:rsid w:val="00234E88"/>
    <w:rsid w:val="00235041"/>
    <w:rsid w:val="0023511E"/>
    <w:rsid w:val="00235151"/>
    <w:rsid w:val="002357BC"/>
    <w:rsid w:val="002358D6"/>
    <w:rsid w:val="00235953"/>
    <w:rsid w:val="00235C20"/>
    <w:rsid w:val="00235C71"/>
    <w:rsid w:val="00235DE4"/>
    <w:rsid w:val="00235F2D"/>
    <w:rsid w:val="00235FD2"/>
    <w:rsid w:val="002362D6"/>
    <w:rsid w:val="002363A0"/>
    <w:rsid w:val="002364E8"/>
    <w:rsid w:val="00236734"/>
    <w:rsid w:val="00236F2C"/>
    <w:rsid w:val="00237002"/>
    <w:rsid w:val="002373F4"/>
    <w:rsid w:val="002375E9"/>
    <w:rsid w:val="002377C2"/>
    <w:rsid w:val="00237AF3"/>
    <w:rsid w:val="00240500"/>
    <w:rsid w:val="00240B00"/>
    <w:rsid w:val="00240E7A"/>
    <w:rsid w:val="00241071"/>
    <w:rsid w:val="002412F4"/>
    <w:rsid w:val="002413DC"/>
    <w:rsid w:val="00241D05"/>
    <w:rsid w:val="002425C0"/>
    <w:rsid w:val="00242D32"/>
    <w:rsid w:val="00242E7E"/>
    <w:rsid w:val="002433E5"/>
    <w:rsid w:val="00243705"/>
    <w:rsid w:val="0024379C"/>
    <w:rsid w:val="00243B86"/>
    <w:rsid w:val="00244091"/>
    <w:rsid w:val="00244401"/>
    <w:rsid w:val="00244629"/>
    <w:rsid w:val="002448FA"/>
    <w:rsid w:val="00245308"/>
    <w:rsid w:val="002455AD"/>
    <w:rsid w:val="0024570C"/>
    <w:rsid w:val="0024599A"/>
    <w:rsid w:val="00245F38"/>
    <w:rsid w:val="00246256"/>
    <w:rsid w:val="002466FB"/>
    <w:rsid w:val="00246976"/>
    <w:rsid w:val="00246D4D"/>
    <w:rsid w:val="00247692"/>
    <w:rsid w:val="0024781D"/>
    <w:rsid w:val="002479BF"/>
    <w:rsid w:val="00250230"/>
    <w:rsid w:val="00250993"/>
    <w:rsid w:val="00250D00"/>
    <w:rsid w:val="00250F9B"/>
    <w:rsid w:val="00251839"/>
    <w:rsid w:val="00251BA6"/>
    <w:rsid w:val="002521F5"/>
    <w:rsid w:val="002528CF"/>
    <w:rsid w:val="00252928"/>
    <w:rsid w:val="002530E8"/>
    <w:rsid w:val="00253A56"/>
    <w:rsid w:val="00253A7C"/>
    <w:rsid w:val="002541AD"/>
    <w:rsid w:val="00255165"/>
    <w:rsid w:val="002552E5"/>
    <w:rsid w:val="002569E3"/>
    <w:rsid w:val="00256F8B"/>
    <w:rsid w:val="002575E9"/>
    <w:rsid w:val="002576EC"/>
    <w:rsid w:val="002600CB"/>
    <w:rsid w:val="00260416"/>
    <w:rsid w:val="00260492"/>
    <w:rsid w:val="0026058A"/>
    <w:rsid w:val="00261314"/>
    <w:rsid w:val="00261319"/>
    <w:rsid w:val="002613A5"/>
    <w:rsid w:val="0026179E"/>
    <w:rsid w:val="00261868"/>
    <w:rsid w:val="00261B64"/>
    <w:rsid w:val="00261C9D"/>
    <w:rsid w:val="0026210A"/>
    <w:rsid w:val="002626E2"/>
    <w:rsid w:val="00262AF1"/>
    <w:rsid w:val="00263181"/>
    <w:rsid w:val="00263332"/>
    <w:rsid w:val="0026373D"/>
    <w:rsid w:val="0026389F"/>
    <w:rsid w:val="00263934"/>
    <w:rsid w:val="00263E2C"/>
    <w:rsid w:val="00264131"/>
    <w:rsid w:val="0026469F"/>
    <w:rsid w:val="00264827"/>
    <w:rsid w:val="00264DD9"/>
    <w:rsid w:val="00264F34"/>
    <w:rsid w:val="0026502E"/>
    <w:rsid w:val="00265093"/>
    <w:rsid w:val="002653F5"/>
    <w:rsid w:val="00265E11"/>
    <w:rsid w:val="0026613E"/>
    <w:rsid w:val="0026618C"/>
    <w:rsid w:val="002666BE"/>
    <w:rsid w:val="00267FDB"/>
    <w:rsid w:val="002704FD"/>
    <w:rsid w:val="002705B9"/>
    <w:rsid w:val="00270ACA"/>
    <w:rsid w:val="00270C8F"/>
    <w:rsid w:val="00270DBA"/>
    <w:rsid w:val="0027103C"/>
    <w:rsid w:val="00271723"/>
    <w:rsid w:val="00271813"/>
    <w:rsid w:val="00271AA6"/>
    <w:rsid w:val="002722A0"/>
    <w:rsid w:val="002723FA"/>
    <w:rsid w:val="002724BA"/>
    <w:rsid w:val="00272555"/>
    <w:rsid w:val="0027269C"/>
    <w:rsid w:val="00272703"/>
    <w:rsid w:val="00272C24"/>
    <w:rsid w:val="00272D33"/>
    <w:rsid w:val="00273179"/>
    <w:rsid w:val="0027344B"/>
    <w:rsid w:val="00273573"/>
    <w:rsid w:val="00273619"/>
    <w:rsid w:val="0027388F"/>
    <w:rsid w:val="002739E8"/>
    <w:rsid w:val="00273D68"/>
    <w:rsid w:val="00273FB9"/>
    <w:rsid w:val="00274036"/>
    <w:rsid w:val="0027419B"/>
    <w:rsid w:val="002743CC"/>
    <w:rsid w:val="002749E3"/>
    <w:rsid w:val="002749EC"/>
    <w:rsid w:val="00274A61"/>
    <w:rsid w:val="00274A94"/>
    <w:rsid w:val="00274B96"/>
    <w:rsid w:val="00274FA6"/>
    <w:rsid w:val="00275182"/>
    <w:rsid w:val="00275544"/>
    <w:rsid w:val="002759E6"/>
    <w:rsid w:val="00275E5B"/>
    <w:rsid w:val="00275E99"/>
    <w:rsid w:val="00275FED"/>
    <w:rsid w:val="00276421"/>
    <w:rsid w:val="0027698B"/>
    <w:rsid w:val="002771CD"/>
    <w:rsid w:val="002772FD"/>
    <w:rsid w:val="00277CC2"/>
    <w:rsid w:val="00277D45"/>
    <w:rsid w:val="00280075"/>
    <w:rsid w:val="0028032F"/>
    <w:rsid w:val="00281CD6"/>
    <w:rsid w:val="00281DED"/>
    <w:rsid w:val="00282113"/>
    <w:rsid w:val="002824E0"/>
    <w:rsid w:val="00282745"/>
    <w:rsid w:val="0028277A"/>
    <w:rsid w:val="00283934"/>
    <w:rsid w:val="00283A85"/>
    <w:rsid w:val="00283BD3"/>
    <w:rsid w:val="00283C76"/>
    <w:rsid w:val="00283CB0"/>
    <w:rsid w:val="0028438A"/>
    <w:rsid w:val="00284673"/>
    <w:rsid w:val="0028491A"/>
    <w:rsid w:val="00284A00"/>
    <w:rsid w:val="00284ABB"/>
    <w:rsid w:val="00284DC4"/>
    <w:rsid w:val="0028514D"/>
    <w:rsid w:val="002852C1"/>
    <w:rsid w:val="0028556A"/>
    <w:rsid w:val="002857DD"/>
    <w:rsid w:val="002857F8"/>
    <w:rsid w:val="0028580B"/>
    <w:rsid w:val="00285833"/>
    <w:rsid w:val="002859B6"/>
    <w:rsid w:val="00285CBC"/>
    <w:rsid w:val="0028652D"/>
    <w:rsid w:val="0028692A"/>
    <w:rsid w:val="0028693C"/>
    <w:rsid w:val="00286EE7"/>
    <w:rsid w:val="00286F7D"/>
    <w:rsid w:val="00286F8A"/>
    <w:rsid w:val="002873AB"/>
    <w:rsid w:val="00287A67"/>
    <w:rsid w:val="00287D16"/>
    <w:rsid w:val="00287D3D"/>
    <w:rsid w:val="0029001B"/>
    <w:rsid w:val="002906A3"/>
    <w:rsid w:val="00290E59"/>
    <w:rsid w:val="002911A8"/>
    <w:rsid w:val="002911AF"/>
    <w:rsid w:val="0029154B"/>
    <w:rsid w:val="002916D7"/>
    <w:rsid w:val="00292159"/>
    <w:rsid w:val="00292165"/>
    <w:rsid w:val="002923D7"/>
    <w:rsid w:val="00292690"/>
    <w:rsid w:val="00292AF4"/>
    <w:rsid w:val="00293420"/>
    <w:rsid w:val="00293517"/>
    <w:rsid w:val="002939B0"/>
    <w:rsid w:val="002939D5"/>
    <w:rsid w:val="00293C20"/>
    <w:rsid w:val="00293C25"/>
    <w:rsid w:val="00293DBF"/>
    <w:rsid w:val="00293FD7"/>
    <w:rsid w:val="00294098"/>
    <w:rsid w:val="002940C9"/>
    <w:rsid w:val="00294E2E"/>
    <w:rsid w:val="002954DB"/>
    <w:rsid w:val="00295A57"/>
    <w:rsid w:val="00295AAB"/>
    <w:rsid w:val="00295D0A"/>
    <w:rsid w:val="00295E0D"/>
    <w:rsid w:val="00295E51"/>
    <w:rsid w:val="002963AA"/>
    <w:rsid w:val="002967AA"/>
    <w:rsid w:val="00296A8D"/>
    <w:rsid w:val="00296C15"/>
    <w:rsid w:val="00296E75"/>
    <w:rsid w:val="00296FBD"/>
    <w:rsid w:val="0029717C"/>
    <w:rsid w:val="002972C3"/>
    <w:rsid w:val="00297E11"/>
    <w:rsid w:val="00297E8A"/>
    <w:rsid w:val="002A05F5"/>
    <w:rsid w:val="002A06FA"/>
    <w:rsid w:val="002A0B44"/>
    <w:rsid w:val="002A101F"/>
    <w:rsid w:val="002A145D"/>
    <w:rsid w:val="002A1EF1"/>
    <w:rsid w:val="002A2026"/>
    <w:rsid w:val="002A241D"/>
    <w:rsid w:val="002A24E0"/>
    <w:rsid w:val="002A26A0"/>
    <w:rsid w:val="002A2C2B"/>
    <w:rsid w:val="002A2E7A"/>
    <w:rsid w:val="002A3029"/>
    <w:rsid w:val="002A3092"/>
    <w:rsid w:val="002A35C8"/>
    <w:rsid w:val="002A35E3"/>
    <w:rsid w:val="002A3FA2"/>
    <w:rsid w:val="002A4BB7"/>
    <w:rsid w:val="002A587F"/>
    <w:rsid w:val="002A6977"/>
    <w:rsid w:val="002A6C82"/>
    <w:rsid w:val="002A6D68"/>
    <w:rsid w:val="002A6D75"/>
    <w:rsid w:val="002A7224"/>
    <w:rsid w:val="002A7544"/>
    <w:rsid w:val="002A7868"/>
    <w:rsid w:val="002A7CD8"/>
    <w:rsid w:val="002B0082"/>
    <w:rsid w:val="002B0137"/>
    <w:rsid w:val="002B0BF6"/>
    <w:rsid w:val="002B11E1"/>
    <w:rsid w:val="002B1420"/>
    <w:rsid w:val="002B1597"/>
    <w:rsid w:val="002B191E"/>
    <w:rsid w:val="002B22F6"/>
    <w:rsid w:val="002B2963"/>
    <w:rsid w:val="002B30EF"/>
    <w:rsid w:val="002B3431"/>
    <w:rsid w:val="002B34C8"/>
    <w:rsid w:val="002B37BC"/>
    <w:rsid w:val="002B45A9"/>
    <w:rsid w:val="002B4702"/>
    <w:rsid w:val="002B4BEA"/>
    <w:rsid w:val="002B58D1"/>
    <w:rsid w:val="002B629E"/>
    <w:rsid w:val="002B681F"/>
    <w:rsid w:val="002B68F5"/>
    <w:rsid w:val="002B69C4"/>
    <w:rsid w:val="002B6E1F"/>
    <w:rsid w:val="002B712D"/>
    <w:rsid w:val="002B7371"/>
    <w:rsid w:val="002B739B"/>
    <w:rsid w:val="002B78F1"/>
    <w:rsid w:val="002B7E50"/>
    <w:rsid w:val="002B7FB6"/>
    <w:rsid w:val="002C05F6"/>
    <w:rsid w:val="002C05FD"/>
    <w:rsid w:val="002C064B"/>
    <w:rsid w:val="002C07D7"/>
    <w:rsid w:val="002C0E85"/>
    <w:rsid w:val="002C1285"/>
    <w:rsid w:val="002C12BB"/>
    <w:rsid w:val="002C1871"/>
    <w:rsid w:val="002C19A2"/>
    <w:rsid w:val="002C1A57"/>
    <w:rsid w:val="002C1AB2"/>
    <w:rsid w:val="002C1C0F"/>
    <w:rsid w:val="002C1FBF"/>
    <w:rsid w:val="002C22BA"/>
    <w:rsid w:val="002C235A"/>
    <w:rsid w:val="002C25D4"/>
    <w:rsid w:val="002C2A0F"/>
    <w:rsid w:val="002C2AF7"/>
    <w:rsid w:val="002C3017"/>
    <w:rsid w:val="002C316B"/>
    <w:rsid w:val="002C31A4"/>
    <w:rsid w:val="002C3599"/>
    <w:rsid w:val="002C3802"/>
    <w:rsid w:val="002C3AC7"/>
    <w:rsid w:val="002C3E5B"/>
    <w:rsid w:val="002C3F43"/>
    <w:rsid w:val="002C3F5B"/>
    <w:rsid w:val="002C4AAD"/>
    <w:rsid w:val="002C5783"/>
    <w:rsid w:val="002C58A7"/>
    <w:rsid w:val="002C5C9B"/>
    <w:rsid w:val="002C5F25"/>
    <w:rsid w:val="002C66E1"/>
    <w:rsid w:val="002C6983"/>
    <w:rsid w:val="002C6EB6"/>
    <w:rsid w:val="002C70D7"/>
    <w:rsid w:val="002C7119"/>
    <w:rsid w:val="002C72D7"/>
    <w:rsid w:val="002C72F0"/>
    <w:rsid w:val="002C7D1C"/>
    <w:rsid w:val="002D01ED"/>
    <w:rsid w:val="002D0219"/>
    <w:rsid w:val="002D06CD"/>
    <w:rsid w:val="002D0F74"/>
    <w:rsid w:val="002D100F"/>
    <w:rsid w:val="002D11D7"/>
    <w:rsid w:val="002D126D"/>
    <w:rsid w:val="002D18A2"/>
    <w:rsid w:val="002D1C98"/>
    <w:rsid w:val="002D1CE5"/>
    <w:rsid w:val="002D1D73"/>
    <w:rsid w:val="002D1E59"/>
    <w:rsid w:val="002D1F28"/>
    <w:rsid w:val="002D1F2C"/>
    <w:rsid w:val="002D2147"/>
    <w:rsid w:val="002D21F3"/>
    <w:rsid w:val="002D2B81"/>
    <w:rsid w:val="002D2E1F"/>
    <w:rsid w:val="002D2E5A"/>
    <w:rsid w:val="002D30BF"/>
    <w:rsid w:val="002D35FC"/>
    <w:rsid w:val="002D3906"/>
    <w:rsid w:val="002D3F85"/>
    <w:rsid w:val="002D4136"/>
    <w:rsid w:val="002D49D5"/>
    <w:rsid w:val="002D5015"/>
    <w:rsid w:val="002D5506"/>
    <w:rsid w:val="002D558E"/>
    <w:rsid w:val="002D55F6"/>
    <w:rsid w:val="002D588A"/>
    <w:rsid w:val="002D58AE"/>
    <w:rsid w:val="002D5F56"/>
    <w:rsid w:val="002D65FE"/>
    <w:rsid w:val="002D6E9B"/>
    <w:rsid w:val="002D7168"/>
    <w:rsid w:val="002D74C6"/>
    <w:rsid w:val="002E0025"/>
    <w:rsid w:val="002E03B8"/>
    <w:rsid w:val="002E085F"/>
    <w:rsid w:val="002E0AB3"/>
    <w:rsid w:val="002E1134"/>
    <w:rsid w:val="002E14F3"/>
    <w:rsid w:val="002E1639"/>
    <w:rsid w:val="002E2321"/>
    <w:rsid w:val="002E299A"/>
    <w:rsid w:val="002E2A3E"/>
    <w:rsid w:val="002E324E"/>
    <w:rsid w:val="002E33D7"/>
    <w:rsid w:val="002E43EE"/>
    <w:rsid w:val="002E45B6"/>
    <w:rsid w:val="002E4634"/>
    <w:rsid w:val="002E477D"/>
    <w:rsid w:val="002E4965"/>
    <w:rsid w:val="002E4BD9"/>
    <w:rsid w:val="002E5526"/>
    <w:rsid w:val="002E56EE"/>
    <w:rsid w:val="002E56FE"/>
    <w:rsid w:val="002E5ABA"/>
    <w:rsid w:val="002E5DF1"/>
    <w:rsid w:val="002E5EBA"/>
    <w:rsid w:val="002E6045"/>
    <w:rsid w:val="002E64B7"/>
    <w:rsid w:val="002E650A"/>
    <w:rsid w:val="002E669F"/>
    <w:rsid w:val="002E6737"/>
    <w:rsid w:val="002E67BA"/>
    <w:rsid w:val="002E6940"/>
    <w:rsid w:val="002E698F"/>
    <w:rsid w:val="002E76A0"/>
    <w:rsid w:val="002E7868"/>
    <w:rsid w:val="002E7E42"/>
    <w:rsid w:val="002F0196"/>
    <w:rsid w:val="002F05CF"/>
    <w:rsid w:val="002F0727"/>
    <w:rsid w:val="002F0E32"/>
    <w:rsid w:val="002F0F20"/>
    <w:rsid w:val="002F1170"/>
    <w:rsid w:val="002F170B"/>
    <w:rsid w:val="002F18C4"/>
    <w:rsid w:val="002F1ECE"/>
    <w:rsid w:val="002F23E9"/>
    <w:rsid w:val="002F24E5"/>
    <w:rsid w:val="002F271B"/>
    <w:rsid w:val="002F2E07"/>
    <w:rsid w:val="002F31AF"/>
    <w:rsid w:val="002F31D0"/>
    <w:rsid w:val="002F32A8"/>
    <w:rsid w:val="002F35BE"/>
    <w:rsid w:val="002F38F0"/>
    <w:rsid w:val="002F4597"/>
    <w:rsid w:val="002F4D1D"/>
    <w:rsid w:val="002F5253"/>
    <w:rsid w:val="002F5387"/>
    <w:rsid w:val="002F5927"/>
    <w:rsid w:val="002F5988"/>
    <w:rsid w:val="002F5BEA"/>
    <w:rsid w:val="002F5D47"/>
    <w:rsid w:val="002F6AC6"/>
    <w:rsid w:val="002F6AE5"/>
    <w:rsid w:val="002F6BB7"/>
    <w:rsid w:val="002F756C"/>
    <w:rsid w:val="002F75A2"/>
    <w:rsid w:val="002F783B"/>
    <w:rsid w:val="002F7B41"/>
    <w:rsid w:val="003000F9"/>
    <w:rsid w:val="003008E8"/>
    <w:rsid w:val="00300982"/>
    <w:rsid w:val="00300FF8"/>
    <w:rsid w:val="003013FB"/>
    <w:rsid w:val="00301607"/>
    <w:rsid w:val="003018BA"/>
    <w:rsid w:val="00301948"/>
    <w:rsid w:val="00301CD9"/>
    <w:rsid w:val="0030221F"/>
    <w:rsid w:val="00302475"/>
    <w:rsid w:val="00302A4E"/>
    <w:rsid w:val="00302DCB"/>
    <w:rsid w:val="00303F3F"/>
    <w:rsid w:val="00303FAF"/>
    <w:rsid w:val="0030405D"/>
    <w:rsid w:val="00304480"/>
    <w:rsid w:val="003047F8"/>
    <w:rsid w:val="00304E25"/>
    <w:rsid w:val="00304E4C"/>
    <w:rsid w:val="003051B4"/>
    <w:rsid w:val="0030568E"/>
    <w:rsid w:val="003056B8"/>
    <w:rsid w:val="00305BDC"/>
    <w:rsid w:val="00305C4E"/>
    <w:rsid w:val="00305E07"/>
    <w:rsid w:val="00305FAF"/>
    <w:rsid w:val="003064FD"/>
    <w:rsid w:val="00306775"/>
    <w:rsid w:val="00306AE0"/>
    <w:rsid w:val="00306D68"/>
    <w:rsid w:val="00307630"/>
    <w:rsid w:val="0030772A"/>
    <w:rsid w:val="00307869"/>
    <w:rsid w:val="00307BA0"/>
    <w:rsid w:val="00310155"/>
    <w:rsid w:val="00310260"/>
    <w:rsid w:val="003102A3"/>
    <w:rsid w:val="003102E1"/>
    <w:rsid w:val="003104A6"/>
    <w:rsid w:val="00310AF0"/>
    <w:rsid w:val="00311AC5"/>
    <w:rsid w:val="00312063"/>
    <w:rsid w:val="0031291B"/>
    <w:rsid w:val="00312A30"/>
    <w:rsid w:val="00312D73"/>
    <w:rsid w:val="0031334F"/>
    <w:rsid w:val="0031354E"/>
    <w:rsid w:val="00313605"/>
    <w:rsid w:val="00313B1B"/>
    <w:rsid w:val="00313B5C"/>
    <w:rsid w:val="00313C3C"/>
    <w:rsid w:val="00314326"/>
    <w:rsid w:val="00314C1E"/>
    <w:rsid w:val="003150D4"/>
    <w:rsid w:val="003159E3"/>
    <w:rsid w:val="00315A16"/>
    <w:rsid w:val="00315BFC"/>
    <w:rsid w:val="00315CC1"/>
    <w:rsid w:val="00315CF9"/>
    <w:rsid w:val="00315D6C"/>
    <w:rsid w:val="00315E29"/>
    <w:rsid w:val="00315F15"/>
    <w:rsid w:val="00315F59"/>
    <w:rsid w:val="00316083"/>
    <w:rsid w:val="003162BD"/>
    <w:rsid w:val="0031644D"/>
    <w:rsid w:val="00316B36"/>
    <w:rsid w:val="00316C05"/>
    <w:rsid w:val="00316D55"/>
    <w:rsid w:val="00316DA0"/>
    <w:rsid w:val="00316E87"/>
    <w:rsid w:val="003174C8"/>
    <w:rsid w:val="003177B5"/>
    <w:rsid w:val="0031783D"/>
    <w:rsid w:val="0031789C"/>
    <w:rsid w:val="00317A4B"/>
    <w:rsid w:val="00317ABB"/>
    <w:rsid w:val="00317C5F"/>
    <w:rsid w:val="00317CBF"/>
    <w:rsid w:val="00320C5C"/>
    <w:rsid w:val="00320D33"/>
    <w:rsid w:val="00320E1B"/>
    <w:rsid w:val="003210B0"/>
    <w:rsid w:val="00321346"/>
    <w:rsid w:val="00321A70"/>
    <w:rsid w:val="00321CB4"/>
    <w:rsid w:val="00322110"/>
    <w:rsid w:val="00322579"/>
    <w:rsid w:val="0032261B"/>
    <w:rsid w:val="00323366"/>
    <w:rsid w:val="00323CF2"/>
    <w:rsid w:val="00323FDD"/>
    <w:rsid w:val="003244C4"/>
    <w:rsid w:val="0032455B"/>
    <w:rsid w:val="003246F9"/>
    <w:rsid w:val="00324898"/>
    <w:rsid w:val="003248D6"/>
    <w:rsid w:val="00325033"/>
    <w:rsid w:val="00325140"/>
    <w:rsid w:val="00325146"/>
    <w:rsid w:val="00325494"/>
    <w:rsid w:val="00325692"/>
    <w:rsid w:val="00325774"/>
    <w:rsid w:val="003259C7"/>
    <w:rsid w:val="00325C19"/>
    <w:rsid w:val="00325FBC"/>
    <w:rsid w:val="00326538"/>
    <w:rsid w:val="00326DCF"/>
    <w:rsid w:val="003272F4"/>
    <w:rsid w:val="00327755"/>
    <w:rsid w:val="003277E7"/>
    <w:rsid w:val="003278CC"/>
    <w:rsid w:val="003278EF"/>
    <w:rsid w:val="00327952"/>
    <w:rsid w:val="00327A26"/>
    <w:rsid w:val="00327F3B"/>
    <w:rsid w:val="0033073D"/>
    <w:rsid w:val="0033093D"/>
    <w:rsid w:val="00331251"/>
    <w:rsid w:val="003313C9"/>
    <w:rsid w:val="00331447"/>
    <w:rsid w:val="0033153E"/>
    <w:rsid w:val="00331805"/>
    <w:rsid w:val="003323F7"/>
    <w:rsid w:val="003324B3"/>
    <w:rsid w:val="0033339D"/>
    <w:rsid w:val="003336C9"/>
    <w:rsid w:val="00333E32"/>
    <w:rsid w:val="00334344"/>
    <w:rsid w:val="003345CF"/>
    <w:rsid w:val="00334BE0"/>
    <w:rsid w:val="00334E47"/>
    <w:rsid w:val="003353EE"/>
    <w:rsid w:val="00336148"/>
    <w:rsid w:val="00336549"/>
    <w:rsid w:val="00336930"/>
    <w:rsid w:val="00336A83"/>
    <w:rsid w:val="00336DCD"/>
    <w:rsid w:val="003373F9"/>
    <w:rsid w:val="003374EB"/>
    <w:rsid w:val="00337723"/>
    <w:rsid w:val="00337BF0"/>
    <w:rsid w:val="00340183"/>
    <w:rsid w:val="0034052C"/>
    <w:rsid w:val="0034076A"/>
    <w:rsid w:val="003409B3"/>
    <w:rsid w:val="00340BB1"/>
    <w:rsid w:val="00341147"/>
    <w:rsid w:val="003411FA"/>
    <w:rsid w:val="003418A8"/>
    <w:rsid w:val="00341D6F"/>
    <w:rsid w:val="003421FB"/>
    <w:rsid w:val="0034227B"/>
    <w:rsid w:val="00342404"/>
    <w:rsid w:val="003425DB"/>
    <w:rsid w:val="00342A2A"/>
    <w:rsid w:val="00342A9C"/>
    <w:rsid w:val="00343992"/>
    <w:rsid w:val="00343E6F"/>
    <w:rsid w:val="00344184"/>
    <w:rsid w:val="00344AA3"/>
    <w:rsid w:val="00344C7A"/>
    <w:rsid w:val="00344D02"/>
    <w:rsid w:val="00344E87"/>
    <w:rsid w:val="00344F1D"/>
    <w:rsid w:val="003452DD"/>
    <w:rsid w:val="003459E0"/>
    <w:rsid w:val="00345A36"/>
    <w:rsid w:val="00345AB6"/>
    <w:rsid w:val="00345C73"/>
    <w:rsid w:val="003468D9"/>
    <w:rsid w:val="00346AB5"/>
    <w:rsid w:val="00346F46"/>
    <w:rsid w:val="00346F88"/>
    <w:rsid w:val="003479F7"/>
    <w:rsid w:val="00347D2E"/>
    <w:rsid w:val="00347F59"/>
    <w:rsid w:val="00350EDE"/>
    <w:rsid w:val="00351476"/>
    <w:rsid w:val="00351AF4"/>
    <w:rsid w:val="00351B9E"/>
    <w:rsid w:val="00351D94"/>
    <w:rsid w:val="00352532"/>
    <w:rsid w:val="003526C3"/>
    <w:rsid w:val="003528FD"/>
    <w:rsid w:val="00352D24"/>
    <w:rsid w:val="00352DAC"/>
    <w:rsid w:val="00352DE9"/>
    <w:rsid w:val="003532DF"/>
    <w:rsid w:val="003532F2"/>
    <w:rsid w:val="0035357B"/>
    <w:rsid w:val="00353853"/>
    <w:rsid w:val="00353B11"/>
    <w:rsid w:val="00353B39"/>
    <w:rsid w:val="00354408"/>
    <w:rsid w:val="00354438"/>
    <w:rsid w:val="003548D4"/>
    <w:rsid w:val="003548F4"/>
    <w:rsid w:val="00354B25"/>
    <w:rsid w:val="00354D26"/>
    <w:rsid w:val="00355B02"/>
    <w:rsid w:val="00356BB5"/>
    <w:rsid w:val="003571A8"/>
    <w:rsid w:val="003573EB"/>
    <w:rsid w:val="0035792E"/>
    <w:rsid w:val="00357DEB"/>
    <w:rsid w:val="00357E3D"/>
    <w:rsid w:val="00357E56"/>
    <w:rsid w:val="00357E75"/>
    <w:rsid w:val="00357FA1"/>
    <w:rsid w:val="00360206"/>
    <w:rsid w:val="003602B9"/>
    <w:rsid w:val="00360663"/>
    <w:rsid w:val="00360D69"/>
    <w:rsid w:val="00360DE3"/>
    <w:rsid w:val="00361133"/>
    <w:rsid w:val="00361165"/>
    <w:rsid w:val="003613FC"/>
    <w:rsid w:val="00361769"/>
    <w:rsid w:val="003617FF"/>
    <w:rsid w:val="003619F7"/>
    <w:rsid w:val="00361E28"/>
    <w:rsid w:val="0036247D"/>
    <w:rsid w:val="00362B10"/>
    <w:rsid w:val="00363027"/>
    <w:rsid w:val="0036392A"/>
    <w:rsid w:val="00363B95"/>
    <w:rsid w:val="00364137"/>
    <w:rsid w:val="00364351"/>
    <w:rsid w:val="00364BA9"/>
    <w:rsid w:val="00364E41"/>
    <w:rsid w:val="00365EDD"/>
    <w:rsid w:val="00365F06"/>
    <w:rsid w:val="0036604F"/>
    <w:rsid w:val="003664F3"/>
    <w:rsid w:val="00366A29"/>
    <w:rsid w:val="00366A9F"/>
    <w:rsid w:val="00366B87"/>
    <w:rsid w:val="00366EF4"/>
    <w:rsid w:val="00367060"/>
    <w:rsid w:val="003670C6"/>
    <w:rsid w:val="00367AA3"/>
    <w:rsid w:val="00367F9F"/>
    <w:rsid w:val="00370122"/>
    <w:rsid w:val="003702FC"/>
    <w:rsid w:val="003704A9"/>
    <w:rsid w:val="00370D79"/>
    <w:rsid w:val="00371877"/>
    <w:rsid w:val="003718E5"/>
    <w:rsid w:val="00372200"/>
    <w:rsid w:val="003723CE"/>
    <w:rsid w:val="00372680"/>
    <w:rsid w:val="003726BF"/>
    <w:rsid w:val="003726E9"/>
    <w:rsid w:val="00372C99"/>
    <w:rsid w:val="00372F7F"/>
    <w:rsid w:val="003733C1"/>
    <w:rsid w:val="00373849"/>
    <w:rsid w:val="00373E42"/>
    <w:rsid w:val="00373E55"/>
    <w:rsid w:val="00373E77"/>
    <w:rsid w:val="00374002"/>
    <w:rsid w:val="0037418F"/>
    <w:rsid w:val="003741CF"/>
    <w:rsid w:val="003744FC"/>
    <w:rsid w:val="003748AA"/>
    <w:rsid w:val="00374DC1"/>
    <w:rsid w:val="0037515B"/>
    <w:rsid w:val="003753DC"/>
    <w:rsid w:val="0037548C"/>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9A0"/>
    <w:rsid w:val="00380C79"/>
    <w:rsid w:val="003813C8"/>
    <w:rsid w:val="0038191B"/>
    <w:rsid w:val="00381947"/>
    <w:rsid w:val="00381A70"/>
    <w:rsid w:val="00381D74"/>
    <w:rsid w:val="0038211E"/>
    <w:rsid w:val="00382501"/>
    <w:rsid w:val="003825ED"/>
    <w:rsid w:val="0038269F"/>
    <w:rsid w:val="00382E74"/>
    <w:rsid w:val="00383B45"/>
    <w:rsid w:val="0038449D"/>
    <w:rsid w:val="00384583"/>
    <w:rsid w:val="00384970"/>
    <w:rsid w:val="00385B1F"/>
    <w:rsid w:val="00385CEE"/>
    <w:rsid w:val="00385EFB"/>
    <w:rsid w:val="003860EA"/>
    <w:rsid w:val="00386469"/>
    <w:rsid w:val="00386512"/>
    <w:rsid w:val="00386538"/>
    <w:rsid w:val="003868E0"/>
    <w:rsid w:val="0038712E"/>
    <w:rsid w:val="00387562"/>
    <w:rsid w:val="003876FC"/>
    <w:rsid w:val="00387839"/>
    <w:rsid w:val="00387D31"/>
    <w:rsid w:val="00387F89"/>
    <w:rsid w:val="0039068F"/>
    <w:rsid w:val="00390A69"/>
    <w:rsid w:val="0039108D"/>
    <w:rsid w:val="003916FA"/>
    <w:rsid w:val="00391FD5"/>
    <w:rsid w:val="00392134"/>
    <w:rsid w:val="0039296F"/>
    <w:rsid w:val="00392F25"/>
    <w:rsid w:val="003937A7"/>
    <w:rsid w:val="00393BE2"/>
    <w:rsid w:val="00393EA3"/>
    <w:rsid w:val="003945BB"/>
    <w:rsid w:val="00394690"/>
    <w:rsid w:val="00394870"/>
    <w:rsid w:val="003949FB"/>
    <w:rsid w:val="00394A02"/>
    <w:rsid w:val="00394A44"/>
    <w:rsid w:val="00394FEC"/>
    <w:rsid w:val="0039632D"/>
    <w:rsid w:val="00396379"/>
    <w:rsid w:val="00396B1E"/>
    <w:rsid w:val="00397393"/>
    <w:rsid w:val="00397520"/>
    <w:rsid w:val="003977C3"/>
    <w:rsid w:val="00397A7C"/>
    <w:rsid w:val="00397FCB"/>
    <w:rsid w:val="003A00A5"/>
    <w:rsid w:val="003A03D1"/>
    <w:rsid w:val="003A04C3"/>
    <w:rsid w:val="003A0504"/>
    <w:rsid w:val="003A06D6"/>
    <w:rsid w:val="003A0ABE"/>
    <w:rsid w:val="003A0F03"/>
    <w:rsid w:val="003A10CA"/>
    <w:rsid w:val="003A115E"/>
    <w:rsid w:val="003A163C"/>
    <w:rsid w:val="003A16AC"/>
    <w:rsid w:val="003A1877"/>
    <w:rsid w:val="003A1A39"/>
    <w:rsid w:val="003A2297"/>
    <w:rsid w:val="003A239A"/>
    <w:rsid w:val="003A251A"/>
    <w:rsid w:val="003A254A"/>
    <w:rsid w:val="003A2969"/>
    <w:rsid w:val="003A2EA2"/>
    <w:rsid w:val="003A384B"/>
    <w:rsid w:val="003A3E2B"/>
    <w:rsid w:val="003A3E58"/>
    <w:rsid w:val="003A3E95"/>
    <w:rsid w:val="003A445B"/>
    <w:rsid w:val="003A4A8F"/>
    <w:rsid w:val="003A4C9D"/>
    <w:rsid w:val="003A4E89"/>
    <w:rsid w:val="003A4F47"/>
    <w:rsid w:val="003A54C3"/>
    <w:rsid w:val="003A56C3"/>
    <w:rsid w:val="003A56DD"/>
    <w:rsid w:val="003A571C"/>
    <w:rsid w:val="003A580C"/>
    <w:rsid w:val="003A5B4F"/>
    <w:rsid w:val="003A5D2C"/>
    <w:rsid w:val="003A5D5F"/>
    <w:rsid w:val="003A5E88"/>
    <w:rsid w:val="003A60AB"/>
    <w:rsid w:val="003A6737"/>
    <w:rsid w:val="003A6754"/>
    <w:rsid w:val="003A6A14"/>
    <w:rsid w:val="003A702B"/>
    <w:rsid w:val="003A741E"/>
    <w:rsid w:val="003A74AD"/>
    <w:rsid w:val="003A75CC"/>
    <w:rsid w:val="003A7968"/>
    <w:rsid w:val="003A7DAC"/>
    <w:rsid w:val="003B0120"/>
    <w:rsid w:val="003B03EF"/>
    <w:rsid w:val="003B05FC"/>
    <w:rsid w:val="003B0D0D"/>
    <w:rsid w:val="003B0F80"/>
    <w:rsid w:val="003B13AA"/>
    <w:rsid w:val="003B1456"/>
    <w:rsid w:val="003B1B13"/>
    <w:rsid w:val="003B217F"/>
    <w:rsid w:val="003B26BF"/>
    <w:rsid w:val="003B2AE9"/>
    <w:rsid w:val="003B2CA1"/>
    <w:rsid w:val="003B2E69"/>
    <w:rsid w:val="003B2E9D"/>
    <w:rsid w:val="003B3085"/>
    <w:rsid w:val="003B379C"/>
    <w:rsid w:val="003B3BB2"/>
    <w:rsid w:val="003B3C9F"/>
    <w:rsid w:val="003B3CD6"/>
    <w:rsid w:val="003B43E2"/>
    <w:rsid w:val="003B4601"/>
    <w:rsid w:val="003B46A1"/>
    <w:rsid w:val="003B4988"/>
    <w:rsid w:val="003B49E4"/>
    <w:rsid w:val="003B4E9D"/>
    <w:rsid w:val="003B5192"/>
    <w:rsid w:val="003B526E"/>
    <w:rsid w:val="003B5496"/>
    <w:rsid w:val="003B5708"/>
    <w:rsid w:val="003B5794"/>
    <w:rsid w:val="003B58D0"/>
    <w:rsid w:val="003B59ED"/>
    <w:rsid w:val="003B5B35"/>
    <w:rsid w:val="003B6223"/>
    <w:rsid w:val="003B66E0"/>
    <w:rsid w:val="003B6931"/>
    <w:rsid w:val="003B6979"/>
    <w:rsid w:val="003B6A0B"/>
    <w:rsid w:val="003B6ABA"/>
    <w:rsid w:val="003B6F72"/>
    <w:rsid w:val="003B70B5"/>
    <w:rsid w:val="003B7304"/>
    <w:rsid w:val="003B7367"/>
    <w:rsid w:val="003B73CF"/>
    <w:rsid w:val="003B75D6"/>
    <w:rsid w:val="003B78A9"/>
    <w:rsid w:val="003C06A9"/>
    <w:rsid w:val="003C13CA"/>
    <w:rsid w:val="003C145A"/>
    <w:rsid w:val="003C173F"/>
    <w:rsid w:val="003C2031"/>
    <w:rsid w:val="003C2098"/>
    <w:rsid w:val="003C2902"/>
    <w:rsid w:val="003C2CD3"/>
    <w:rsid w:val="003C2E14"/>
    <w:rsid w:val="003C32B8"/>
    <w:rsid w:val="003C34F9"/>
    <w:rsid w:val="003C35FA"/>
    <w:rsid w:val="003C387A"/>
    <w:rsid w:val="003C3B09"/>
    <w:rsid w:val="003C3C3C"/>
    <w:rsid w:val="003C3C98"/>
    <w:rsid w:val="003C3EEE"/>
    <w:rsid w:val="003C4FB5"/>
    <w:rsid w:val="003C5151"/>
    <w:rsid w:val="003C536A"/>
    <w:rsid w:val="003C5BF8"/>
    <w:rsid w:val="003C5C3B"/>
    <w:rsid w:val="003C5CF9"/>
    <w:rsid w:val="003C62E1"/>
    <w:rsid w:val="003C66B2"/>
    <w:rsid w:val="003C676B"/>
    <w:rsid w:val="003C6ADF"/>
    <w:rsid w:val="003C70BB"/>
    <w:rsid w:val="003C7231"/>
    <w:rsid w:val="003C73D1"/>
    <w:rsid w:val="003C7D03"/>
    <w:rsid w:val="003C7EF1"/>
    <w:rsid w:val="003D02E8"/>
    <w:rsid w:val="003D04E6"/>
    <w:rsid w:val="003D0726"/>
    <w:rsid w:val="003D0910"/>
    <w:rsid w:val="003D09D1"/>
    <w:rsid w:val="003D0A4E"/>
    <w:rsid w:val="003D0DD4"/>
    <w:rsid w:val="003D184C"/>
    <w:rsid w:val="003D19A9"/>
    <w:rsid w:val="003D1A58"/>
    <w:rsid w:val="003D1B51"/>
    <w:rsid w:val="003D1C28"/>
    <w:rsid w:val="003D1E73"/>
    <w:rsid w:val="003D20BE"/>
    <w:rsid w:val="003D226A"/>
    <w:rsid w:val="003D305E"/>
    <w:rsid w:val="003D32E7"/>
    <w:rsid w:val="003D34A7"/>
    <w:rsid w:val="003D37D5"/>
    <w:rsid w:val="003D37F9"/>
    <w:rsid w:val="003D3A0A"/>
    <w:rsid w:val="003D3BB6"/>
    <w:rsid w:val="003D3D8E"/>
    <w:rsid w:val="003D4320"/>
    <w:rsid w:val="003D561F"/>
    <w:rsid w:val="003D58ED"/>
    <w:rsid w:val="003D5A09"/>
    <w:rsid w:val="003D5BBB"/>
    <w:rsid w:val="003D5EFA"/>
    <w:rsid w:val="003D647F"/>
    <w:rsid w:val="003D65E4"/>
    <w:rsid w:val="003D667A"/>
    <w:rsid w:val="003D69E5"/>
    <w:rsid w:val="003D6E1D"/>
    <w:rsid w:val="003D703C"/>
    <w:rsid w:val="003D74D3"/>
    <w:rsid w:val="003D77B1"/>
    <w:rsid w:val="003D7A3E"/>
    <w:rsid w:val="003D7ADE"/>
    <w:rsid w:val="003D7FE3"/>
    <w:rsid w:val="003E03DF"/>
    <w:rsid w:val="003E0693"/>
    <w:rsid w:val="003E0C06"/>
    <w:rsid w:val="003E0EC7"/>
    <w:rsid w:val="003E154D"/>
    <w:rsid w:val="003E16D2"/>
    <w:rsid w:val="003E1BBF"/>
    <w:rsid w:val="003E1D14"/>
    <w:rsid w:val="003E1D8D"/>
    <w:rsid w:val="003E1DCE"/>
    <w:rsid w:val="003E2113"/>
    <w:rsid w:val="003E25CF"/>
    <w:rsid w:val="003E27A4"/>
    <w:rsid w:val="003E29D6"/>
    <w:rsid w:val="003E2C4B"/>
    <w:rsid w:val="003E33D8"/>
    <w:rsid w:val="003E3525"/>
    <w:rsid w:val="003E37B3"/>
    <w:rsid w:val="003E46C6"/>
    <w:rsid w:val="003E46EC"/>
    <w:rsid w:val="003E4839"/>
    <w:rsid w:val="003E487E"/>
    <w:rsid w:val="003E4C98"/>
    <w:rsid w:val="003E54F6"/>
    <w:rsid w:val="003E5845"/>
    <w:rsid w:val="003E5940"/>
    <w:rsid w:val="003E5A59"/>
    <w:rsid w:val="003E5BFC"/>
    <w:rsid w:val="003E5FB0"/>
    <w:rsid w:val="003E651A"/>
    <w:rsid w:val="003E667B"/>
    <w:rsid w:val="003E6F3A"/>
    <w:rsid w:val="003E70C4"/>
    <w:rsid w:val="003E7153"/>
    <w:rsid w:val="003E7444"/>
    <w:rsid w:val="003E75F7"/>
    <w:rsid w:val="003E785A"/>
    <w:rsid w:val="003E7FF3"/>
    <w:rsid w:val="003F019E"/>
    <w:rsid w:val="003F02ED"/>
    <w:rsid w:val="003F0346"/>
    <w:rsid w:val="003F076C"/>
    <w:rsid w:val="003F0F25"/>
    <w:rsid w:val="003F1182"/>
    <w:rsid w:val="003F12AF"/>
    <w:rsid w:val="003F138F"/>
    <w:rsid w:val="003F13E4"/>
    <w:rsid w:val="003F1BB0"/>
    <w:rsid w:val="003F1F72"/>
    <w:rsid w:val="003F21BD"/>
    <w:rsid w:val="003F245D"/>
    <w:rsid w:val="003F2463"/>
    <w:rsid w:val="003F2BF4"/>
    <w:rsid w:val="003F3136"/>
    <w:rsid w:val="003F33FC"/>
    <w:rsid w:val="003F3A7A"/>
    <w:rsid w:val="003F3BD3"/>
    <w:rsid w:val="003F4266"/>
    <w:rsid w:val="003F4278"/>
    <w:rsid w:val="003F462D"/>
    <w:rsid w:val="003F46B2"/>
    <w:rsid w:val="003F46C3"/>
    <w:rsid w:val="003F46CE"/>
    <w:rsid w:val="003F49F7"/>
    <w:rsid w:val="003F4E94"/>
    <w:rsid w:val="003F5341"/>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400678"/>
    <w:rsid w:val="004007B6"/>
    <w:rsid w:val="00400903"/>
    <w:rsid w:val="00400AC3"/>
    <w:rsid w:val="00400B33"/>
    <w:rsid w:val="00400D16"/>
    <w:rsid w:val="004011C8"/>
    <w:rsid w:val="00401465"/>
    <w:rsid w:val="00401753"/>
    <w:rsid w:val="004019BD"/>
    <w:rsid w:val="00401ED7"/>
    <w:rsid w:val="00401FDE"/>
    <w:rsid w:val="004020A1"/>
    <w:rsid w:val="00402BED"/>
    <w:rsid w:val="00402C09"/>
    <w:rsid w:val="00402C17"/>
    <w:rsid w:val="00402D53"/>
    <w:rsid w:val="00402E00"/>
    <w:rsid w:val="00403719"/>
    <w:rsid w:val="0040434E"/>
    <w:rsid w:val="004046B9"/>
    <w:rsid w:val="004046E3"/>
    <w:rsid w:val="00404F4E"/>
    <w:rsid w:val="0040520D"/>
    <w:rsid w:val="00405388"/>
    <w:rsid w:val="00405531"/>
    <w:rsid w:val="004059D9"/>
    <w:rsid w:val="00405CD8"/>
    <w:rsid w:val="00405E1E"/>
    <w:rsid w:val="00405EFC"/>
    <w:rsid w:val="00406197"/>
    <w:rsid w:val="00406A12"/>
    <w:rsid w:val="00406FA8"/>
    <w:rsid w:val="00407297"/>
    <w:rsid w:val="004077C7"/>
    <w:rsid w:val="00410CE7"/>
    <w:rsid w:val="00411275"/>
    <w:rsid w:val="004112EC"/>
    <w:rsid w:val="00411A39"/>
    <w:rsid w:val="00411B2B"/>
    <w:rsid w:val="00411E2A"/>
    <w:rsid w:val="0041211B"/>
    <w:rsid w:val="004124AC"/>
    <w:rsid w:val="004125E1"/>
    <w:rsid w:val="00412C80"/>
    <w:rsid w:val="00412D5C"/>
    <w:rsid w:val="00413150"/>
    <w:rsid w:val="00413305"/>
    <w:rsid w:val="00413442"/>
    <w:rsid w:val="00413514"/>
    <w:rsid w:val="004135A9"/>
    <w:rsid w:val="00413AAA"/>
    <w:rsid w:val="00413B20"/>
    <w:rsid w:val="00413BD2"/>
    <w:rsid w:val="00413DD0"/>
    <w:rsid w:val="00414896"/>
    <w:rsid w:val="00414F83"/>
    <w:rsid w:val="004151F8"/>
    <w:rsid w:val="004151F9"/>
    <w:rsid w:val="00415386"/>
    <w:rsid w:val="00415596"/>
    <w:rsid w:val="004159FC"/>
    <w:rsid w:val="00415A45"/>
    <w:rsid w:val="00415A6F"/>
    <w:rsid w:val="00415E7E"/>
    <w:rsid w:val="00415FF9"/>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E4D"/>
    <w:rsid w:val="00420EB2"/>
    <w:rsid w:val="00421059"/>
    <w:rsid w:val="004213EC"/>
    <w:rsid w:val="0042164B"/>
    <w:rsid w:val="004217D6"/>
    <w:rsid w:val="00421D91"/>
    <w:rsid w:val="00421FE3"/>
    <w:rsid w:val="00422391"/>
    <w:rsid w:val="004225EE"/>
    <w:rsid w:val="004228F9"/>
    <w:rsid w:val="00422ED5"/>
    <w:rsid w:val="00423220"/>
    <w:rsid w:val="004232BE"/>
    <w:rsid w:val="00423676"/>
    <w:rsid w:val="0042369C"/>
    <w:rsid w:val="00423D28"/>
    <w:rsid w:val="0042419F"/>
    <w:rsid w:val="00424248"/>
    <w:rsid w:val="004244B0"/>
    <w:rsid w:val="004244D1"/>
    <w:rsid w:val="004246F5"/>
    <w:rsid w:val="00424A8F"/>
    <w:rsid w:val="00424BDC"/>
    <w:rsid w:val="00424DEA"/>
    <w:rsid w:val="00425051"/>
    <w:rsid w:val="00425377"/>
    <w:rsid w:val="00425CFB"/>
    <w:rsid w:val="004261CF"/>
    <w:rsid w:val="00426725"/>
    <w:rsid w:val="00427749"/>
    <w:rsid w:val="0042775F"/>
    <w:rsid w:val="00427E61"/>
    <w:rsid w:val="00427FFB"/>
    <w:rsid w:val="00430107"/>
    <w:rsid w:val="004307C4"/>
    <w:rsid w:val="00430F44"/>
    <w:rsid w:val="00431CB0"/>
    <w:rsid w:val="00431D23"/>
    <w:rsid w:val="00431D9C"/>
    <w:rsid w:val="0043254B"/>
    <w:rsid w:val="0043289C"/>
    <w:rsid w:val="00433094"/>
    <w:rsid w:val="004339BB"/>
    <w:rsid w:val="00433A97"/>
    <w:rsid w:val="0043447A"/>
    <w:rsid w:val="00434586"/>
    <w:rsid w:val="004345AF"/>
    <w:rsid w:val="004345DF"/>
    <w:rsid w:val="004347BD"/>
    <w:rsid w:val="00434836"/>
    <w:rsid w:val="00434CFA"/>
    <w:rsid w:val="00435029"/>
    <w:rsid w:val="00435162"/>
    <w:rsid w:val="0043596B"/>
    <w:rsid w:val="0043598F"/>
    <w:rsid w:val="00435B5A"/>
    <w:rsid w:val="00436F39"/>
    <w:rsid w:val="00436FA5"/>
    <w:rsid w:val="004376A0"/>
    <w:rsid w:val="00437940"/>
    <w:rsid w:val="00437B27"/>
    <w:rsid w:val="00437B41"/>
    <w:rsid w:val="0044050A"/>
    <w:rsid w:val="004406C9"/>
    <w:rsid w:val="00440786"/>
    <w:rsid w:val="00440977"/>
    <w:rsid w:val="0044100F"/>
    <w:rsid w:val="0044150E"/>
    <w:rsid w:val="004415CE"/>
    <w:rsid w:val="00441868"/>
    <w:rsid w:val="00441982"/>
    <w:rsid w:val="00441CC5"/>
    <w:rsid w:val="00441D20"/>
    <w:rsid w:val="00441F10"/>
    <w:rsid w:val="00441FA6"/>
    <w:rsid w:val="0044297E"/>
    <w:rsid w:val="004429FC"/>
    <w:rsid w:val="00442D3E"/>
    <w:rsid w:val="00442DD3"/>
    <w:rsid w:val="00442E7C"/>
    <w:rsid w:val="00442F7C"/>
    <w:rsid w:val="00443116"/>
    <w:rsid w:val="0044324C"/>
    <w:rsid w:val="0044332E"/>
    <w:rsid w:val="00443C41"/>
    <w:rsid w:val="00443D1C"/>
    <w:rsid w:val="00443D80"/>
    <w:rsid w:val="004447D2"/>
    <w:rsid w:val="004448F0"/>
    <w:rsid w:val="00444A44"/>
    <w:rsid w:val="00444ADF"/>
    <w:rsid w:val="00444DD5"/>
    <w:rsid w:val="00445047"/>
    <w:rsid w:val="004455A5"/>
    <w:rsid w:val="004457C3"/>
    <w:rsid w:val="00445A6C"/>
    <w:rsid w:val="00445D67"/>
    <w:rsid w:val="00446399"/>
    <w:rsid w:val="00446513"/>
    <w:rsid w:val="0044693A"/>
    <w:rsid w:val="004469A0"/>
    <w:rsid w:val="00446C11"/>
    <w:rsid w:val="004475C4"/>
    <w:rsid w:val="00447C83"/>
    <w:rsid w:val="00450139"/>
    <w:rsid w:val="0045026C"/>
    <w:rsid w:val="00450441"/>
    <w:rsid w:val="00450644"/>
    <w:rsid w:val="00451523"/>
    <w:rsid w:val="004522A7"/>
    <w:rsid w:val="0045283A"/>
    <w:rsid w:val="00452ABE"/>
    <w:rsid w:val="00452D97"/>
    <w:rsid w:val="00452E40"/>
    <w:rsid w:val="00453C24"/>
    <w:rsid w:val="00454122"/>
    <w:rsid w:val="004546AC"/>
    <w:rsid w:val="00454914"/>
    <w:rsid w:val="0045515C"/>
    <w:rsid w:val="004553CE"/>
    <w:rsid w:val="004554F9"/>
    <w:rsid w:val="0045566B"/>
    <w:rsid w:val="00455A52"/>
    <w:rsid w:val="00455BE2"/>
    <w:rsid w:val="00455EF6"/>
    <w:rsid w:val="0045606F"/>
    <w:rsid w:val="0045638D"/>
    <w:rsid w:val="00456398"/>
    <w:rsid w:val="004569A4"/>
    <w:rsid w:val="00456C67"/>
    <w:rsid w:val="00457248"/>
    <w:rsid w:val="0045726B"/>
    <w:rsid w:val="0045732A"/>
    <w:rsid w:val="00457428"/>
    <w:rsid w:val="00457595"/>
    <w:rsid w:val="00457CAB"/>
    <w:rsid w:val="004600FB"/>
    <w:rsid w:val="004602CE"/>
    <w:rsid w:val="0046030E"/>
    <w:rsid w:val="00460709"/>
    <w:rsid w:val="0046109A"/>
    <w:rsid w:val="004615A6"/>
    <w:rsid w:val="00461D27"/>
    <w:rsid w:val="00461E79"/>
    <w:rsid w:val="00462200"/>
    <w:rsid w:val="00462219"/>
    <w:rsid w:val="00462431"/>
    <w:rsid w:val="00462465"/>
    <w:rsid w:val="004625D1"/>
    <w:rsid w:val="0046293E"/>
    <w:rsid w:val="00462B32"/>
    <w:rsid w:val="00462BAA"/>
    <w:rsid w:val="004633F4"/>
    <w:rsid w:val="00463BAD"/>
    <w:rsid w:val="00464892"/>
    <w:rsid w:val="0046490F"/>
    <w:rsid w:val="00464B22"/>
    <w:rsid w:val="00465313"/>
    <w:rsid w:val="0046557D"/>
    <w:rsid w:val="004656EC"/>
    <w:rsid w:val="004700A0"/>
    <w:rsid w:val="004711A9"/>
    <w:rsid w:val="00471221"/>
    <w:rsid w:val="0047159C"/>
    <w:rsid w:val="0047174D"/>
    <w:rsid w:val="00471AB1"/>
    <w:rsid w:val="00471CA3"/>
    <w:rsid w:val="00471DC9"/>
    <w:rsid w:val="00471EDE"/>
    <w:rsid w:val="0047222A"/>
    <w:rsid w:val="00472379"/>
    <w:rsid w:val="004727DA"/>
    <w:rsid w:val="004729A0"/>
    <w:rsid w:val="00473794"/>
    <w:rsid w:val="00473E8A"/>
    <w:rsid w:val="004747B0"/>
    <w:rsid w:val="004749E8"/>
    <w:rsid w:val="00474B7B"/>
    <w:rsid w:val="00474E98"/>
    <w:rsid w:val="00475052"/>
    <w:rsid w:val="00475847"/>
    <w:rsid w:val="00475BAF"/>
    <w:rsid w:val="00475C55"/>
    <w:rsid w:val="00475C77"/>
    <w:rsid w:val="004762EF"/>
    <w:rsid w:val="0047676A"/>
    <w:rsid w:val="00476D30"/>
    <w:rsid w:val="0047746A"/>
    <w:rsid w:val="00477565"/>
    <w:rsid w:val="00477A60"/>
    <w:rsid w:val="00481AE4"/>
    <w:rsid w:val="00481EEE"/>
    <w:rsid w:val="00481F63"/>
    <w:rsid w:val="00482050"/>
    <w:rsid w:val="004821D7"/>
    <w:rsid w:val="0048248A"/>
    <w:rsid w:val="0048248F"/>
    <w:rsid w:val="00482792"/>
    <w:rsid w:val="0048338E"/>
    <w:rsid w:val="00483787"/>
    <w:rsid w:val="00483D69"/>
    <w:rsid w:val="00483DCD"/>
    <w:rsid w:val="00483F2B"/>
    <w:rsid w:val="004840BA"/>
    <w:rsid w:val="00484A0C"/>
    <w:rsid w:val="00484C8F"/>
    <w:rsid w:val="00484E3F"/>
    <w:rsid w:val="004853AA"/>
    <w:rsid w:val="0048573B"/>
    <w:rsid w:val="0048587F"/>
    <w:rsid w:val="00485B2F"/>
    <w:rsid w:val="00486442"/>
    <w:rsid w:val="004877FB"/>
    <w:rsid w:val="00487FE2"/>
    <w:rsid w:val="004900B9"/>
    <w:rsid w:val="00490201"/>
    <w:rsid w:val="004903BA"/>
    <w:rsid w:val="004905DF"/>
    <w:rsid w:val="004907A8"/>
    <w:rsid w:val="00490B51"/>
    <w:rsid w:val="00490E66"/>
    <w:rsid w:val="00491576"/>
    <w:rsid w:val="00491647"/>
    <w:rsid w:val="00491B52"/>
    <w:rsid w:val="004925DB"/>
    <w:rsid w:val="00492910"/>
    <w:rsid w:val="004929AA"/>
    <w:rsid w:val="00492B04"/>
    <w:rsid w:val="00492E4D"/>
    <w:rsid w:val="0049310F"/>
    <w:rsid w:val="0049336B"/>
    <w:rsid w:val="00493E3A"/>
    <w:rsid w:val="004944CA"/>
    <w:rsid w:val="0049455A"/>
    <w:rsid w:val="00494B06"/>
    <w:rsid w:val="004953C6"/>
    <w:rsid w:val="0049544F"/>
    <w:rsid w:val="00495515"/>
    <w:rsid w:val="00495974"/>
    <w:rsid w:val="00495B64"/>
    <w:rsid w:val="00495EC8"/>
    <w:rsid w:val="0049617C"/>
    <w:rsid w:val="00496A63"/>
    <w:rsid w:val="00496A98"/>
    <w:rsid w:val="00496B02"/>
    <w:rsid w:val="00496DD4"/>
    <w:rsid w:val="00496E05"/>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20F2"/>
    <w:rsid w:val="004A20F9"/>
    <w:rsid w:val="004A23DE"/>
    <w:rsid w:val="004A2975"/>
    <w:rsid w:val="004A2AA0"/>
    <w:rsid w:val="004A2B72"/>
    <w:rsid w:val="004A2D36"/>
    <w:rsid w:val="004A2E86"/>
    <w:rsid w:val="004A3004"/>
    <w:rsid w:val="004A3450"/>
    <w:rsid w:val="004A3CBD"/>
    <w:rsid w:val="004A3EB2"/>
    <w:rsid w:val="004A46D3"/>
    <w:rsid w:val="004A50BB"/>
    <w:rsid w:val="004A5458"/>
    <w:rsid w:val="004A5AB8"/>
    <w:rsid w:val="004A5DFB"/>
    <w:rsid w:val="004A6048"/>
    <w:rsid w:val="004A610A"/>
    <w:rsid w:val="004A61AF"/>
    <w:rsid w:val="004A6359"/>
    <w:rsid w:val="004A6506"/>
    <w:rsid w:val="004A6939"/>
    <w:rsid w:val="004A6B1B"/>
    <w:rsid w:val="004A6C91"/>
    <w:rsid w:val="004A71AF"/>
    <w:rsid w:val="004A7910"/>
    <w:rsid w:val="004A7DB8"/>
    <w:rsid w:val="004A7F72"/>
    <w:rsid w:val="004B0176"/>
    <w:rsid w:val="004B0434"/>
    <w:rsid w:val="004B078E"/>
    <w:rsid w:val="004B16A3"/>
    <w:rsid w:val="004B16E7"/>
    <w:rsid w:val="004B178F"/>
    <w:rsid w:val="004B1F22"/>
    <w:rsid w:val="004B20FF"/>
    <w:rsid w:val="004B2511"/>
    <w:rsid w:val="004B27D8"/>
    <w:rsid w:val="004B2808"/>
    <w:rsid w:val="004B2B52"/>
    <w:rsid w:val="004B2EBB"/>
    <w:rsid w:val="004B3405"/>
    <w:rsid w:val="004B347E"/>
    <w:rsid w:val="004B374A"/>
    <w:rsid w:val="004B3B26"/>
    <w:rsid w:val="004B3C2B"/>
    <w:rsid w:val="004B4200"/>
    <w:rsid w:val="004B42FF"/>
    <w:rsid w:val="004B4332"/>
    <w:rsid w:val="004B4418"/>
    <w:rsid w:val="004B4954"/>
    <w:rsid w:val="004B4B99"/>
    <w:rsid w:val="004B51DA"/>
    <w:rsid w:val="004B53E4"/>
    <w:rsid w:val="004B5579"/>
    <w:rsid w:val="004B5662"/>
    <w:rsid w:val="004B56FF"/>
    <w:rsid w:val="004B5D3D"/>
    <w:rsid w:val="004B5F62"/>
    <w:rsid w:val="004B5FB6"/>
    <w:rsid w:val="004B63E4"/>
    <w:rsid w:val="004B6652"/>
    <w:rsid w:val="004B668B"/>
    <w:rsid w:val="004B6819"/>
    <w:rsid w:val="004B6909"/>
    <w:rsid w:val="004B6A84"/>
    <w:rsid w:val="004B6CD6"/>
    <w:rsid w:val="004B70F4"/>
    <w:rsid w:val="004B7121"/>
    <w:rsid w:val="004B785D"/>
    <w:rsid w:val="004B798E"/>
    <w:rsid w:val="004B79A0"/>
    <w:rsid w:val="004B79BE"/>
    <w:rsid w:val="004B7A5F"/>
    <w:rsid w:val="004B7AE8"/>
    <w:rsid w:val="004B7B74"/>
    <w:rsid w:val="004B7C8A"/>
    <w:rsid w:val="004B7E61"/>
    <w:rsid w:val="004C051C"/>
    <w:rsid w:val="004C1821"/>
    <w:rsid w:val="004C1B2F"/>
    <w:rsid w:val="004C1B3D"/>
    <w:rsid w:val="004C246F"/>
    <w:rsid w:val="004C24B5"/>
    <w:rsid w:val="004C2EC3"/>
    <w:rsid w:val="004C2FB4"/>
    <w:rsid w:val="004C2FCB"/>
    <w:rsid w:val="004C3142"/>
    <w:rsid w:val="004C361A"/>
    <w:rsid w:val="004C3919"/>
    <w:rsid w:val="004C3CB2"/>
    <w:rsid w:val="004C3DCC"/>
    <w:rsid w:val="004C3ED7"/>
    <w:rsid w:val="004C487B"/>
    <w:rsid w:val="004C4E92"/>
    <w:rsid w:val="004C53F3"/>
    <w:rsid w:val="004C55A6"/>
    <w:rsid w:val="004C5A58"/>
    <w:rsid w:val="004C5A7B"/>
    <w:rsid w:val="004C5D00"/>
    <w:rsid w:val="004C6550"/>
    <w:rsid w:val="004C669B"/>
    <w:rsid w:val="004C6968"/>
    <w:rsid w:val="004C6E8D"/>
    <w:rsid w:val="004C75D8"/>
    <w:rsid w:val="004C7808"/>
    <w:rsid w:val="004C7A05"/>
    <w:rsid w:val="004C7D40"/>
    <w:rsid w:val="004C7EF9"/>
    <w:rsid w:val="004C7F7E"/>
    <w:rsid w:val="004D00BB"/>
    <w:rsid w:val="004D0201"/>
    <w:rsid w:val="004D027E"/>
    <w:rsid w:val="004D02A4"/>
    <w:rsid w:val="004D09A0"/>
    <w:rsid w:val="004D0E0E"/>
    <w:rsid w:val="004D0E7A"/>
    <w:rsid w:val="004D1415"/>
    <w:rsid w:val="004D14C8"/>
    <w:rsid w:val="004D172E"/>
    <w:rsid w:val="004D1767"/>
    <w:rsid w:val="004D1839"/>
    <w:rsid w:val="004D1C5B"/>
    <w:rsid w:val="004D278E"/>
    <w:rsid w:val="004D2988"/>
    <w:rsid w:val="004D2AD9"/>
    <w:rsid w:val="004D2D32"/>
    <w:rsid w:val="004D30BA"/>
    <w:rsid w:val="004D3167"/>
    <w:rsid w:val="004D31DB"/>
    <w:rsid w:val="004D324C"/>
    <w:rsid w:val="004D3965"/>
    <w:rsid w:val="004D43E5"/>
    <w:rsid w:val="004D4B52"/>
    <w:rsid w:val="004D4D81"/>
    <w:rsid w:val="004D5025"/>
    <w:rsid w:val="004D5121"/>
    <w:rsid w:val="004D5267"/>
    <w:rsid w:val="004D56E5"/>
    <w:rsid w:val="004D5714"/>
    <w:rsid w:val="004D5855"/>
    <w:rsid w:val="004D58C9"/>
    <w:rsid w:val="004D5B50"/>
    <w:rsid w:val="004D5F32"/>
    <w:rsid w:val="004D6491"/>
    <w:rsid w:val="004D7365"/>
    <w:rsid w:val="004D7815"/>
    <w:rsid w:val="004D7BC7"/>
    <w:rsid w:val="004E00DC"/>
    <w:rsid w:val="004E017E"/>
    <w:rsid w:val="004E08D4"/>
    <w:rsid w:val="004E0AD3"/>
    <w:rsid w:val="004E0C80"/>
    <w:rsid w:val="004E11C8"/>
    <w:rsid w:val="004E1310"/>
    <w:rsid w:val="004E1436"/>
    <w:rsid w:val="004E15EA"/>
    <w:rsid w:val="004E1A18"/>
    <w:rsid w:val="004E1C13"/>
    <w:rsid w:val="004E1DA8"/>
    <w:rsid w:val="004E1EBC"/>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969"/>
    <w:rsid w:val="004E5B0E"/>
    <w:rsid w:val="004E64D5"/>
    <w:rsid w:val="004E682F"/>
    <w:rsid w:val="004E6BA8"/>
    <w:rsid w:val="004E6C30"/>
    <w:rsid w:val="004E7045"/>
    <w:rsid w:val="004E723E"/>
    <w:rsid w:val="004E7508"/>
    <w:rsid w:val="004F0018"/>
    <w:rsid w:val="004F00F3"/>
    <w:rsid w:val="004F0240"/>
    <w:rsid w:val="004F037A"/>
    <w:rsid w:val="004F054C"/>
    <w:rsid w:val="004F07F4"/>
    <w:rsid w:val="004F0A9F"/>
    <w:rsid w:val="004F0B34"/>
    <w:rsid w:val="004F0D40"/>
    <w:rsid w:val="004F0F97"/>
    <w:rsid w:val="004F140D"/>
    <w:rsid w:val="004F18F9"/>
    <w:rsid w:val="004F1BF7"/>
    <w:rsid w:val="004F1C7E"/>
    <w:rsid w:val="004F247F"/>
    <w:rsid w:val="004F280F"/>
    <w:rsid w:val="004F2A6B"/>
    <w:rsid w:val="004F2CB1"/>
    <w:rsid w:val="004F2F01"/>
    <w:rsid w:val="004F2FED"/>
    <w:rsid w:val="004F309A"/>
    <w:rsid w:val="004F3477"/>
    <w:rsid w:val="004F353D"/>
    <w:rsid w:val="004F370F"/>
    <w:rsid w:val="004F4018"/>
    <w:rsid w:val="004F4534"/>
    <w:rsid w:val="004F46E0"/>
    <w:rsid w:val="004F4B22"/>
    <w:rsid w:val="004F50E3"/>
    <w:rsid w:val="004F5351"/>
    <w:rsid w:val="004F56DF"/>
    <w:rsid w:val="004F58CC"/>
    <w:rsid w:val="004F5984"/>
    <w:rsid w:val="004F5A89"/>
    <w:rsid w:val="004F5A97"/>
    <w:rsid w:val="004F61DE"/>
    <w:rsid w:val="004F673B"/>
    <w:rsid w:val="004F6D11"/>
    <w:rsid w:val="004F7444"/>
    <w:rsid w:val="004F785F"/>
    <w:rsid w:val="004F7A15"/>
    <w:rsid w:val="004F7E2D"/>
    <w:rsid w:val="004F7FB1"/>
    <w:rsid w:val="005000A6"/>
    <w:rsid w:val="005002FB"/>
    <w:rsid w:val="005004F8"/>
    <w:rsid w:val="00500AFA"/>
    <w:rsid w:val="00500DAB"/>
    <w:rsid w:val="00501089"/>
    <w:rsid w:val="0050146A"/>
    <w:rsid w:val="005021B5"/>
    <w:rsid w:val="00502886"/>
    <w:rsid w:val="00502D9F"/>
    <w:rsid w:val="005036DF"/>
    <w:rsid w:val="00503AEF"/>
    <w:rsid w:val="00503CE1"/>
    <w:rsid w:val="0050467E"/>
    <w:rsid w:val="005046BB"/>
    <w:rsid w:val="0050489B"/>
    <w:rsid w:val="005049E2"/>
    <w:rsid w:val="00504AE7"/>
    <w:rsid w:val="005051F2"/>
    <w:rsid w:val="00505203"/>
    <w:rsid w:val="0050525A"/>
    <w:rsid w:val="005057F9"/>
    <w:rsid w:val="00505984"/>
    <w:rsid w:val="00505A71"/>
    <w:rsid w:val="00505EC5"/>
    <w:rsid w:val="00505F84"/>
    <w:rsid w:val="00505FE1"/>
    <w:rsid w:val="00505FE5"/>
    <w:rsid w:val="00506179"/>
    <w:rsid w:val="005064DC"/>
    <w:rsid w:val="00506784"/>
    <w:rsid w:val="00506A05"/>
    <w:rsid w:val="00506A6D"/>
    <w:rsid w:val="00507041"/>
    <w:rsid w:val="005072E0"/>
    <w:rsid w:val="0050744C"/>
    <w:rsid w:val="00507AD7"/>
    <w:rsid w:val="00507B4E"/>
    <w:rsid w:val="00507B67"/>
    <w:rsid w:val="00507F90"/>
    <w:rsid w:val="005100DE"/>
    <w:rsid w:val="0051095A"/>
    <w:rsid w:val="00510D65"/>
    <w:rsid w:val="00510E8C"/>
    <w:rsid w:val="00511019"/>
    <w:rsid w:val="005114BE"/>
    <w:rsid w:val="0051158B"/>
    <w:rsid w:val="005118D3"/>
    <w:rsid w:val="00511A85"/>
    <w:rsid w:val="005126FF"/>
    <w:rsid w:val="00512934"/>
    <w:rsid w:val="005130A6"/>
    <w:rsid w:val="00513834"/>
    <w:rsid w:val="0051387B"/>
    <w:rsid w:val="00513CDF"/>
    <w:rsid w:val="0051426E"/>
    <w:rsid w:val="005147B2"/>
    <w:rsid w:val="0051508C"/>
    <w:rsid w:val="005159A1"/>
    <w:rsid w:val="0051604B"/>
    <w:rsid w:val="0051668B"/>
    <w:rsid w:val="00516DD5"/>
    <w:rsid w:val="005172C7"/>
    <w:rsid w:val="00517E91"/>
    <w:rsid w:val="0052109E"/>
    <w:rsid w:val="005213B2"/>
    <w:rsid w:val="00521BCF"/>
    <w:rsid w:val="00521D97"/>
    <w:rsid w:val="00521E7D"/>
    <w:rsid w:val="00522F76"/>
    <w:rsid w:val="00523388"/>
    <w:rsid w:val="0052345B"/>
    <w:rsid w:val="00523A75"/>
    <w:rsid w:val="00523E35"/>
    <w:rsid w:val="00523F92"/>
    <w:rsid w:val="00523FFE"/>
    <w:rsid w:val="00524252"/>
    <w:rsid w:val="005242C3"/>
    <w:rsid w:val="00524538"/>
    <w:rsid w:val="005247E0"/>
    <w:rsid w:val="00524962"/>
    <w:rsid w:val="00524D67"/>
    <w:rsid w:val="00524DB6"/>
    <w:rsid w:val="00524F5A"/>
    <w:rsid w:val="00524FB8"/>
    <w:rsid w:val="00525158"/>
    <w:rsid w:val="00526646"/>
    <w:rsid w:val="00526CA5"/>
    <w:rsid w:val="00526DD5"/>
    <w:rsid w:val="00526E81"/>
    <w:rsid w:val="00527107"/>
    <w:rsid w:val="005274EE"/>
    <w:rsid w:val="0052765B"/>
    <w:rsid w:val="00527D04"/>
    <w:rsid w:val="00527D97"/>
    <w:rsid w:val="00527FAA"/>
    <w:rsid w:val="0053075F"/>
    <w:rsid w:val="00530AA8"/>
    <w:rsid w:val="00530E97"/>
    <w:rsid w:val="005314CF"/>
    <w:rsid w:val="0053150F"/>
    <w:rsid w:val="00531D9B"/>
    <w:rsid w:val="00532736"/>
    <w:rsid w:val="005335FF"/>
    <w:rsid w:val="00533768"/>
    <w:rsid w:val="00533CF0"/>
    <w:rsid w:val="00534093"/>
    <w:rsid w:val="005340C8"/>
    <w:rsid w:val="0053461B"/>
    <w:rsid w:val="00534D54"/>
    <w:rsid w:val="00534F73"/>
    <w:rsid w:val="00535470"/>
    <w:rsid w:val="005355C0"/>
    <w:rsid w:val="005356E2"/>
    <w:rsid w:val="00535C44"/>
    <w:rsid w:val="0053624E"/>
    <w:rsid w:val="0053635E"/>
    <w:rsid w:val="00536551"/>
    <w:rsid w:val="00536604"/>
    <w:rsid w:val="00536DE9"/>
    <w:rsid w:val="00537280"/>
    <w:rsid w:val="0053770C"/>
    <w:rsid w:val="00537A48"/>
    <w:rsid w:val="0054069C"/>
    <w:rsid w:val="00541759"/>
    <w:rsid w:val="0054195C"/>
    <w:rsid w:val="00541CCE"/>
    <w:rsid w:val="00541E00"/>
    <w:rsid w:val="0054205C"/>
    <w:rsid w:val="0054234E"/>
    <w:rsid w:val="00542D7C"/>
    <w:rsid w:val="005432DA"/>
    <w:rsid w:val="005437E2"/>
    <w:rsid w:val="0054382D"/>
    <w:rsid w:val="00543831"/>
    <w:rsid w:val="00543F55"/>
    <w:rsid w:val="005441FE"/>
    <w:rsid w:val="005445A7"/>
    <w:rsid w:val="00544A69"/>
    <w:rsid w:val="00544F2D"/>
    <w:rsid w:val="00545434"/>
    <w:rsid w:val="00545691"/>
    <w:rsid w:val="00545B76"/>
    <w:rsid w:val="00545EEC"/>
    <w:rsid w:val="00546079"/>
    <w:rsid w:val="00546244"/>
    <w:rsid w:val="005463E6"/>
    <w:rsid w:val="005464AC"/>
    <w:rsid w:val="00546AE9"/>
    <w:rsid w:val="00546C8D"/>
    <w:rsid w:val="00546E5F"/>
    <w:rsid w:val="00546ED7"/>
    <w:rsid w:val="0054743F"/>
    <w:rsid w:val="0054782C"/>
    <w:rsid w:val="00547FE6"/>
    <w:rsid w:val="005503B5"/>
    <w:rsid w:val="005508A1"/>
    <w:rsid w:val="005508D9"/>
    <w:rsid w:val="00550C6B"/>
    <w:rsid w:val="00550CDE"/>
    <w:rsid w:val="00550DB4"/>
    <w:rsid w:val="00550DD3"/>
    <w:rsid w:val="005511EE"/>
    <w:rsid w:val="00551631"/>
    <w:rsid w:val="00551BB6"/>
    <w:rsid w:val="00551EF9"/>
    <w:rsid w:val="005522AC"/>
    <w:rsid w:val="0055248F"/>
    <w:rsid w:val="005525F7"/>
    <w:rsid w:val="00552649"/>
    <w:rsid w:val="00552CD6"/>
    <w:rsid w:val="00552DD9"/>
    <w:rsid w:val="00553801"/>
    <w:rsid w:val="00553A5C"/>
    <w:rsid w:val="00553B07"/>
    <w:rsid w:val="005543BB"/>
    <w:rsid w:val="005543EC"/>
    <w:rsid w:val="00554510"/>
    <w:rsid w:val="005546E5"/>
    <w:rsid w:val="0055474E"/>
    <w:rsid w:val="005547B4"/>
    <w:rsid w:val="005547F8"/>
    <w:rsid w:val="005548CF"/>
    <w:rsid w:val="0055495C"/>
    <w:rsid w:val="00555259"/>
    <w:rsid w:val="0055558C"/>
    <w:rsid w:val="0055563A"/>
    <w:rsid w:val="005556A6"/>
    <w:rsid w:val="00555996"/>
    <w:rsid w:val="00555A8F"/>
    <w:rsid w:val="00555B8C"/>
    <w:rsid w:val="00556238"/>
    <w:rsid w:val="005568ED"/>
    <w:rsid w:val="005570AD"/>
    <w:rsid w:val="005573CE"/>
    <w:rsid w:val="005576C4"/>
    <w:rsid w:val="00557CA9"/>
    <w:rsid w:val="0056087B"/>
    <w:rsid w:val="00560891"/>
    <w:rsid w:val="00560E06"/>
    <w:rsid w:val="00560E65"/>
    <w:rsid w:val="005610E6"/>
    <w:rsid w:val="00561FF2"/>
    <w:rsid w:val="00562557"/>
    <w:rsid w:val="00562640"/>
    <w:rsid w:val="00562883"/>
    <w:rsid w:val="005629E6"/>
    <w:rsid w:val="0056364A"/>
    <w:rsid w:val="00563D89"/>
    <w:rsid w:val="00564ED3"/>
    <w:rsid w:val="00564F4B"/>
    <w:rsid w:val="0056555E"/>
    <w:rsid w:val="0056575D"/>
    <w:rsid w:val="005659A6"/>
    <w:rsid w:val="005659C0"/>
    <w:rsid w:val="0056602C"/>
    <w:rsid w:val="00566B58"/>
    <w:rsid w:val="00566D5E"/>
    <w:rsid w:val="0056726F"/>
    <w:rsid w:val="00567848"/>
    <w:rsid w:val="005705D1"/>
    <w:rsid w:val="005709AE"/>
    <w:rsid w:val="00570A8F"/>
    <w:rsid w:val="00570B71"/>
    <w:rsid w:val="00571E5D"/>
    <w:rsid w:val="00572262"/>
    <w:rsid w:val="00572751"/>
    <w:rsid w:val="00572AF5"/>
    <w:rsid w:val="00572DCA"/>
    <w:rsid w:val="0057321E"/>
    <w:rsid w:val="00573254"/>
    <w:rsid w:val="005735EA"/>
    <w:rsid w:val="0057365D"/>
    <w:rsid w:val="005737A5"/>
    <w:rsid w:val="005739FD"/>
    <w:rsid w:val="00573FEE"/>
    <w:rsid w:val="005741EF"/>
    <w:rsid w:val="005741F5"/>
    <w:rsid w:val="0057465E"/>
    <w:rsid w:val="005754C3"/>
    <w:rsid w:val="005754FC"/>
    <w:rsid w:val="005759CB"/>
    <w:rsid w:val="00575D35"/>
    <w:rsid w:val="00575E95"/>
    <w:rsid w:val="00576292"/>
    <w:rsid w:val="005764BE"/>
    <w:rsid w:val="005765B0"/>
    <w:rsid w:val="005767BE"/>
    <w:rsid w:val="00576AFB"/>
    <w:rsid w:val="00576E7E"/>
    <w:rsid w:val="00577082"/>
    <w:rsid w:val="00577172"/>
    <w:rsid w:val="0057794F"/>
    <w:rsid w:val="005801CA"/>
    <w:rsid w:val="005803B5"/>
    <w:rsid w:val="0058051E"/>
    <w:rsid w:val="005806AC"/>
    <w:rsid w:val="0058082C"/>
    <w:rsid w:val="005813CC"/>
    <w:rsid w:val="005817CF"/>
    <w:rsid w:val="0058278F"/>
    <w:rsid w:val="005829AB"/>
    <w:rsid w:val="005831FC"/>
    <w:rsid w:val="005833C3"/>
    <w:rsid w:val="0058386A"/>
    <w:rsid w:val="00583F28"/>
    <w:rsid w:val="005847D4"/>
    <w:rsid w:val="00584856"/>
    <w:rsid w:val="00584A0C"/>
    <w:rsid w:val="00584BE6"/>
    <w:rsid w:val="00584E5C"/>
    <w:rsid w:val="00584F05"/>
    <w:rsid w:val="00584F27"/>
    <w:rsid w:val="00585186"/>
    <w:rsid w:val="005854EE"/>
    <w:rsid w:val="00585A89"/>
    <w:rsid w:val="00585ECD"/>
    <w:rsid w:val="0058656E"/>
    <w:rsid w:val="005870DC"/>
    <w:rsid w:val="00587110"/>
    <w:rsid w:val="00590352"/>
    <w:rsid w:val="00590564"/>
    <w:rsid w:val="00590DB8"/>
    <w:rsid w:val="00590E50"/>
    <w:rsid w:val="00590EE6"/>
    <w:rsid w:val="00591668"/>
    <w:rsid w:val="0059170D"/>
    <w:rsid w:val="00592656"/>
    <w:rsid w:val="00592BAA"/>
    <w:rsid w:val="00592BD5"/>
    <w:rsid w:val="00593276"/>
    <w:rsid w:val="005940F6"/>
    <w:rsid w:val="00594136"/>
    <w:rsid w:val="00594174"/>
    <w:rsid w:val="005944F2"/>
    <w:rsid w:val="00594DA9"/>
    <w:rsid w:val="0059512D"/>
    <w:rsid w:val="005953AA"/>
    <w:rsid w:val="00595460"/>
    <w:rsid w:val="005957FA"/>
    <w:rsid w:val="0059585C"/>
    <w:rsid w:val="00595AE8"/>
    <w:rsid w:val="00595BC1"/>
    <w:rsid w:val="00595D10"/>
    <w:rsid w:val="005960DB"/>
    <w:rsid w:val="005965AD"/>
    <w:rsid w:val="00596865"/>
    <w:rsid w:val="00596AAB"/>
    <w:rsid w:val="00596F97"/>
    <w:rsid w:val="0059772B"/>
    <w:rsid w:val="00597E54"/>
    <w:rsid w:val="005A05C5"/>
    <w:rsid w:val="005A07E7"/>
    <w:rsid w:val="005A0AAF"/>
    <w:rsid w:val="005A133E"/>
    <w:rsid w:val="005A191A"/>
    <w:rsid w:val="005A1C55"/>
    <w:rsid w:val="005A1D43"/>
    <w:rsid w:val="005A2686"/>
    <w:rsid w:val="005A2893"/>
    <w:rsid w:val="005A2ACD"/>
    <w:rsid w:val="005A3694"/>
    <w:rsid w:val="005A3729"/>
    <w:rsid w:val="005A3D9D"/>
    <w:rsid w:val="005A3FAA"/>
    <w:rsid w:val="005A3FC0"/>
    <w:rsid w:val="005A3FF7"/>
    <w:rsid w:val="005A443C"/>
    <w:rsid w:val="005A4CE5"/>
    <w:rsid w:val="005A4DB4"/>
    <w:rsid w:val="005A5037"/>
    <w:rsid w:val="005A518E"/>
    <w:rsid w:val="005A52C1"/>
    <w:rsid w:val="005A5540"/>
    <w:rsid w:val="005A5C26"/>
    <w:rsid w:val="005A5EB6"/>
    <w:rsid w:val="005A6119"/>
    <w:rsid w:val="005A6613"/>
    <w:rsid w:val="005A6A7F"/>
    <w:rsid w:val="005A6C12"/>
    <w:rsid w:val="005A713E"/>
    <w:rsid w:val="005A7324"/>
    <w:rsid w:val="005A766C"/>
    <w:rsid w:val="005A7EEF"/>
    <w:rsid w:val="005B0920"/>
    <w:rsid w:val="005B0DD5"/>
    <w:rsid w:val="005B0E7A"/>
    <w:rsid w:val="005B0F4D"/>
    <w:rsid w:val="005B11B4"/>
    <w:rsid w:val="005B17E5"/>
    <w:rsid w:val="005B1A17"/>
    <w:rsid w:val="005B1FDA"/>
    <w:rsid w:val="005B228C"/>
    <w:rsid w:val="005B2298"/>
    <w:rsid w:val="005B2423"/>
    <w:rsid w:val="005B2649"/>
    <w:rsid w:val="005B289E"/>
    <w:rsid w:val="005B2AF3"/>
    <w:rsid w:val="005B35C8"/>
    <w:rsid w:val="005B41BC"/>
    <w:rsid w:val="005B48CE"/>
    <w:rsid w:val="005B4CA4"/>
    <w:rsid w:val="005B4CED"/>
    <w:rsid w:val="005B550B"/>
    <w:rsid w:val="005B5639"/>
    <w:rsid w:val="005B564C"/>
    <w:rsid w:val="005B572A"/>
    <w:rsid w:val="005B5B5F"/>
    <w:rsid w:val="005B6A5D"/>
    <w:rsid w:val="005B6F2F"/>
    <w:rsid w:val="005B7049"/>
    <w:rsid w:val="005B74FF"/>
    <w:rsid w:val="005B7650"/>
    <w:rsid w:val="005B7955"/>
    <w:rsid w:val="005B7BEA"/>
    <w:rsid w:val="005C01EA"/>
    <w:rsid w:val="005C0247"/>
    <w:rsid w:val="005C02CA"/>
    <w:rsid w:val="005C0366"/>
    <w:rsid w:val="005C0CA2"/>
    <w:rsid w:val="005C0DE0"/>
    <w:rsid w:val="005C114F"/>
    <w:rsid w:val="005C1183"/>
    <w:rsid w:val="005C1374"/>
    <w:rsid w:val="005C1521"/>
    <w:rsid w:val="005C1963"/>
    <w:rsid w:val="005C1994"/>
    <w:rsid w:val="005C30EE"/>
    <w:rsid w:val="005C31CE"/>
    <w:rsid w:val="005C3290"/>
    <w:rsid w:val="005C335A"/>
    <w:rsid w:val="005C369F"/>
    <w:rsid w:val="005C396C"/>
    <w:rsid w:val="005C3976"/>
    <w:rsid w:val="005C3A9E"/>
    <w:rsid w:val="005C3BA2"/>
    <w:rsid w:val="005C3FD2"/>
    <w:rsid w:val="005C3FEE"/>
    <w:rsid w:val="005C4684"/>
    <w:rsid w:val="005C49ED"/>
    <w:rsid w:val="005C4A15"/>
    <w:rsid w:val="005C506E"/>
    <w:rsid w:val="005C50CC"/>
    <w:rsid w:val="005C522E"/>
    <w:rsid w:val="005C5311"/>
    <w:rsid w:val="005C5FEF"/>
    <w:rsid w:val="005C6106"/>
    <w:rsid w:val="005C612E"/>
    <w:rsid w:val="005C626E"/>
    <w:rsid w:val="005C66EE"/>
    <w:rsid w:val="005C6AB2"/>
    <w:rsid w:val="005C71AD"/>
    <w:rsid w:val="005C7698"/>
    <w:rsid w:val="005C77AF"/>
    <w:rsid w:val="005D00EC"/>
    <w:rsid w:val="005D0172"/>
    <w:rsid w:val="005D03E8"/>
    <w:rsid w:val="005D0EF6"/>
    <w:rsid w:val="005D108C"/>
    <w:rsid w:val="005D11D5"/>
    <w:rsid w:val="005D1274"/>
    <w:rsid w:val="005D129D"/>
    <w:rsid w:val="005D1700"/>
    <w:rsid w:val="005D1719"/>
    <w:rsid w:val="005D199E"/>
    <w:rsid w:val="005D1D49"/>
    <w:rsid w:val="005D2259"/>
    <w:rsid w:val="005D23AE"/>
    <w:rsid w:val="005D29C2"/>
    <w:rsid w:val="005D2FB9"/>
    <w:rsid w:val="005D41FA"/>
    <w:rsid w:val="005D4D04"/>
    <w:rsid w:val="005D59D3"/>
    <w:rsid w:val="005D5DA7"/>
    <w:rsid w:val="005D5DD8"/>
    <w:rsid w:val="005D5DF1"/>
    <w:rsid w:val="005D6024"/>
    <w:rsid w:val="005D669F"/>
    <w:rsid w:val="005D6743"/>
    <w:rsid w:val="005D6AE3"/>
    <w:rsid w:val="005D6C77"/>
    <w:rsid w:val="005D6C99"/>
    <w:rsid w:val="005D6CDC"/>
    <w:rsid w:val="005D72AE"/>
    <w:rsid w:val="005D74EC"/>
    <w:rsid w:val="005D753A"/>
    <w:rsid w:val="005D763C"/>
    <w:rsid w:val="005D7F1B"/>
    <w:rsid w:val="005E03E3"/>
    <w:rsid w:val="005E0420"/>
    <w:rsid w:val="005E0962"/>
    <w:rsid w:val="005E1295"/>
    <w:rsid w:val="005E1466"/>
    <w:rsid w:val="005E15A3"/>
    <w:rsid w:val="005E1689"/>
    <w:rsid w:val="005E1874"/>
    <w:rsid w:val="005E196C"/>
    <w:rsid w:val="005E1B23"/>
    <w:rsid w:val="005E1F6B"/>
    <w:rsid w:val="005E2288"/>
    <w:rsid w:val="005E2292"/>
    <w:rsid w:val="005E238E"/>
    <w:rsid w:val="005E29E0"/>
    <w:rsid w:val="005E2B22"/>
    <w:rsid w:val="005E2E8E"/>
    <w:rsid w:val="005E3194"/>
    <w:rsid w:val="005E39E5"/>
    <w:rsid w:val="005E3B36"/>
    <w:rsid w:val="005E3C1D"/>
    <w:rsid w:val="005E3C80"/>
    <w:rsid w:val="005E3D58"/>
    <w:rsid w:val="005E3EEC"/>
    <w:rsid w:val="005E40E7"/>
    <w:rsid w:val="005E4C24"/>
    <w:rsid w:val="005E4C2A"/>
    <w:rsid w:val="005E5E27"/>
    <w:rsid w:val="005E63FD"/>
    <w:rsid w:val="005E6939"/>
    <w:rsid w:val="005E6ABC"/>
    <w:rsid w:val="005E6BBF"/>
    <w:rsid w:val="005E6CD6"/>
    <w:rsid w:val="005E6ED1"/>
    <w:rsid w:val="005E7769"/>
    <w:rsid w:val="005E7781"/>
    <w:rsid w:val="005E7AEF"/>
    <w:rsid w:val="005E7D42"/>
    <w:rsid w:val="005F0020"/>
    <w:rsid w:val="005F02BF"/>
    <w:rsid w:val="005F043A"/>
    <w:rsid w:val="005F0605"/>
    <w:rsid w:val="005F1037"/>
    <w:rsid w:val="005F1344"/>
    <w:rsid w:val="005F1566"/>
    <w:rsid w:val="005F16D5"/>
    <w:rsid w:val="005F2146"/>
    <w:rsid w:val="005F21D6"/>
    <w:rsid w:val="005F2895"/>
    <w:rsid w:val="005F28F6"/>
    <w:rsid w:val="005F2E53"/>
    <w:rsid w:val="005F2F63"/>
    <w:rsid w:val="005F34AE"/>
    <w:rsid w:val="005F3F18"/>
    <w:rsid w:val="005F472F"/>
    <w:rsid w:val="005F4FC7"/>
    <w:rsid w:val="005F566C"/>
    <w:rsid w:val="005F581C"/>
    <w:rsid w:val="005F5D1A"/>
    <w:rsid w:val="005F5EAA"/>
    <w:rsid w:val="005F5F66"/>
    <w:rsid w:val="005F6394"/>
    <w:rsid w:val="005F6544"/>
    <w:rsid w:val="005F682E"/>
    <w:rsid w:val="005F6838"/>
    <w:rsid w:val="005F68B8"/>
    <w:rsid w:val="005F691F"/>
    <w:rsid w:val="005F6BFE"/>
    <w:rsid w:val="005F6E2C"/>
    <w:rsid w:val="005F6FA1"/>
    <w:rsid w:val="005F6FFD"/>
    <w:rsid w:val="005F7811"/>
    <w:rsid w:val="005F7E49"/>
    <w:rsid w:val="006002BE"/>
    <w:rsid w:val="00600560"/>
    <w:rsid w:val="006005E6"/>
    <w:rsid w:val="006009E7"/>
    <w:rsid w:val="00600FE1"/>
    <w:rsid w:val="00601DDE"/>
    <w:rsid w:val="00602057"/>
    <w:rsid w:val="006023E4"/>
    <w:rsid w:val="0060246A"/>
    <w:rsid w:val="00602562"/>
    <w:rsid w:val="006027E4"/>
    <w:rsid w:val="0060292F"/>
    <w:rsid w:val="00602B87"/>
    <w:rsid w:val="0060325C"/>
    <w:rsid w:val="006032B5"/>
    <w:rsid w:val="00603C34"/>
    <w:rsid w:val="00604A17"/>
    <w:rsid w:val="00604D47"/>
    <w:rsid w:val="00604E65"/>
    <w:rsid w:val="006055E4"/>
    <w:rsid w:val="00605636"/>
    <w:rsid w:val="006056FA"/>
    <w:rsid w:val="00605F08"/>
    <w:rsid w:val="006061FF"/>
    <w:rsid w:val="006063AA"/>
    <w:rsid w:val="00606A14"/>
    <w:rsid w:val="00606D13"/>
    <w:rsid w:val="00607220"/>
    <w:rsid w:val="0060797B"/>
    <w:rsid w:val="00607A3E"/>
    <w:rsid w:val="00607D44"/>
    <w:rsid w:val="006104BD"/>
    <w:rsid w:val="00610543"/>
    <w:rsid w:val="00610703"/>
    <w:rsid w:val="006109D1"/>
    <w:rsid w:val="00610C08"/>
    <w:rsid w:val="00611022"/>
    <w:rsid w:val="006112CA"/>
    <w:rsid w:val="0061156C"/>
    <w:rsid w:val="006115E0"/>
    <w:rsid w:val="00611711"/>
    <w:rsid w:val="0061207D"/>
    <w:rsid w:val="0061266B"/>
    <w:rsid w:val="00612710"/>
    <w:rsid w:val="00612D37"/>
    <w:rsid w:val="006131C2"/>
    <w:rsid w:val="006132D9"/>
    <w:rsid w:val="0061344C"/>
    <w:rsid w:val="006134AC"/>
    <w:rsid w:val="00613681"/>
    <w:rsid w:val="006139D0"/>
    <w:rsid w:val="00613C32"/>
    <w:rsid w:val="00613D5F"/>
    <w:rsid w:val="0061401B"/>
    <w:rsid w:val="0061454E"/>
    <w:rsid w:val="00614BFB"/>
    <w:rsid w:val="0061505F"/>
    <w:rsid w:val="006152F7"/>
    <w:rsid w:val="006159AF"/>
    <w:rsid w:val="00615D29"/>
    <w:rsid w:val="00615EB1"/>
    <w:rsid w:val="00616085"/>
    <w:rsid w:val="00616235"/>
    <w:rsid w:val="00616342"/>
    <w:rsid w:val="006176D1"/>
    <w:rsid w:val="00617E0C"/>
    <w:rsid w:val="0062076E"/>
    <w:rsid w:val="0062084A"/>
    <w:rsid w:val="00620F92"/>
    <w:rsid w:val="006211C0"/>
    <w:rsid w:val="00621A84"/>
    <w:rsid w:val="00621C4F"/>
    <w:rsid w:val="00621C9C"/>
    <w:rsid w:val="00621EC7"/>
    <w:rsid w:val="00622C56"/>
    <w:rsid w:val="00622F5F"/>
    <w:rsid w:val="006236DE"/>
    <w:rsid w:val="00623BD3"/>
    <w:rsid w:val="00624108"/>
    <w:rsid w:val="006243C0"/>
    <w:rsid w:val="00624592"/>
    <w:rsid w:val="006245CB"/>
    <w:rsid w:val="006245D2"/>
    <w:rsid w:val="006247FB"/>
    <w:rsid w:val="00624CDF"/>
    <w:rsid w:val="00624E41"/>
    <w:rsid w:val="00624EB5"/>
    <w:rsid w:val="00625138"/>
    <w:rsid w:val="0062539B"/>
    <w:rsid w:val="00625564"/>
    <w:rsid w:val="00626221"/>
    <w:rsid w:val="006263C0"/>
    <w:rsid w:val="00626A51"/>
    <w:rsid w:val="00627AB4"/>
    <w:rsid w:val="0063057B"/>
    <w:rsid w:val="00630C47"/>
    <w:rsid w:val="0063106C"/>
    <w:rsid w:val="006311CE"/>
    <w:rsid w:val="00631B4D"/>
    <w:rsid w:val="00631BDE"/>
    <w:rsid w:val="006325B5"/>
    <w:rsid w:val="00632C76"/>
    <w:rsid w:val="00632D2C"/>
    <w:rsid w:val="00632FA8"/>
    <w:rsid w:val="00632FB6"/>
    <w:rsid w:val="006336D3"/>
    <w:rsid w:val="00633A5B"/>
    <w:rsid w:val="00633D96"/>
    <w:rsid w:val="00633E4E"/>
    <w:rsid w:val="00633E9E"/>
    <w:rsid w:val="00633EA6"/>
    <w:rsid w:val="006340AE"/>
    <w:rsid w:val="006344D9"/>
    <w:rsid w:val="006345E2"/>
    <w:rsid w:val="00634712"/>
    <w:rsid w:val="006349BB"/>
    <w:rsid w:val="00635113"/>
    <w:rsid w:val="0063536D"/>
    <w:rsid w:val="00635E8C"/>
    <w:rsid w:val="00635ECB"/>
    <w:rsid w:val="00636063"/>
    <w:rsid w:val="006364BC"/>
    <w:rsid w:val="00636BB5"/>
    <w:rsid w:val="00636C81"/>
    <w:rsid w:val="0063715E"/>
    <w:rsid w:val="006371D9"/>
    <w:rsid w:val="006373BB"/>
    <w:rsid w:val="0063755D"/>
    <w:rsid w:val="006376E7"/>
    <w:rsid w:val="00637A90"/>
    <w:rsid w:val="00637CF0"/>
    <w:rsid w:val="00640440"/>
    <w:rsid w:val="00640BC2"/>
    <w:rsid w:val="00640D85"/>
    <w:rsid w:val="00640ECC"/>
    <w:rsid w:val="006410D0"/>
    <w:rsid w:val="006411F3"/>
    <w:rsid w:val="00641565"/>
    <w:rsid w:val="00641577"/>
    <w:rsid w:val="006419AC"/>
    <w:rsid w:val="00641A46"/>
    <w:rsid w:val="00641A61"/>
    <w:rsid w:val="00641B6C"/>
    <w:rsid w:val="00641F40"/>
    <w:rsid w:val="00642347"/>
    <w:rsid w:val="0064263B"/>
    <w:rsid w:val="006428A1"/>
    <w:rsid w:val="00642A2B"/>
    <w:rsid w:val="00642E91"/>
    <w:rsid w:val="0064314C"/>
    <w:rsid w:val="0064314D"/>
    <w:rsid w:val="0064325A"/>
    <w:rsid w:val="006434EE"/>
    <w:rsid w:val="0064383B"/>
    <w:rsid w:val="00643B6B"/>
    <w:rsid w:val="00644086"/>
    <w:rsid w:val="006441D6"/>
    <w:rsid w:val="006441E5"/>
    <w:rsid w:val="006442A1"/>
    <w:rsid w:val="00644418"/>
    <w:rsid w:val="0064441A"/>
    <w:rsid w:val="00644929"/>
    <w:rsid w:val="00645076"/>
    <w:rsid w:val="00645521"/>
    <w:rsid w:val="00645778"/>
    <w:rsid w:val="00645A7C"/>
    <w:rsid w:val="00645CFD"/>
    <w:rsid w:val="00645D34"/>
    <w:rsid w:val="00645F27"/>
    <w:rsid w:val="00645FDC"/>
    <w:rsid w:val="006460CA"/>
    <w:rsid w:val="00646329"/>
    <w:rsid w:val="006463B8"/>
    <w:rsid w:val="006464CC"/>
    <w:rsid w:val="00646873"/>
    <w:rsid w:val="00646A61"/>
    <w:rsid w:val="00646FC4"/>
    <w:rsid w:val="0064722C"/>
    <w:rsid w:val="0064797E"/>
    <w:rsid w:val="00650A1E"/>
    <w:rsid w:val="00650D7F"/>
    <w:rsid w:val="0065105E"/>
    <w:rsid w:val="006514FF"/>
    <w:rsid w:val="00651527"/>
    <w:rsid w:val="006519C4"/>
    <w:rsid w:val="00651AA8"/>
    <w:rsid w:val="00651B45"/>
    <w:rsid w:val="00651C0E"/>
    <w:rsid w:val="00651E3B"/>
    <w:rsid w:val="0065206C"/>
    <w:rsid w:val="00652280"/>
    <w:rsid w:val="00652443"/>
    <w:rsid w:val="0065280C"/>
    <w:rsid w:val="0065280D"/>
    <w:rsid w:val="00652AD2"/>
    <w:rsid w:val="00652D4A"/>
    <w:rsid w:val="00652DF1"/>
    <w:rsid w:val="00652F14"/>
    <w:rsid w:val="00652F4F"/>
    <w:rsid w:val="0065318E"/>
    <w:rsid w:val="0065321B"/>
    <w:rsid w:val="006534E0"/>
    <w:rsid w:val="00653ADF"/>
    <w:rsid w:val="00653D34"/>
    <w:rsid w:val="00654430"/>
    <w:rsid w:val="0065473B"/>
    <w:rsid w:val="00654784"/>
    <w:rsid w:val="00654B2B"/>
    <w:rsid w:val="00654DBC"/>
    <w:rsid w:val="0065529E"/>
    <w:rsid w:val="006552D4"/>
    <w:rsid w:val="006553ED"/>
    <w:rsid w:val="0065564A"/>
    <w:rsid w:val="006558AC"/>
    <w:rsid w:val="0065620B"/>
    <w:rsid w:val="00656420"/>
    <w:rsid w:val="006569D2"/>
    <w:rsid w:val="00656D04"/>
    <w:rsid w:val="0065737D"/>
    <w:rsid w:val="00657B56"/>
    <w:rsid w:val="00657BBE"/>
    <w:rsid w:val="00660440"/>
    <w:rsid w:val="006604C4"/>
    <w:rsid w:val="00660537"/>
    <w:rsid w:val="00660C9C"/>
    <w:rsid w:val="0066210B"/>
    <w:rsid w:val="006623B6"/>
    <w:rsid w:val="006629E5"/>
    <w:rsid w:val="006630BE"/>
    <w:rsid w:val="00663E7A"/>
    <w:rsid w:val="00664013"/>
    <w:rsid w:val="006643F4"/>
    <w:rsid w:val="00664416"/>
    <w:rsid w:val="00664561"/>
    <w:rsid w:val="006646D4"/>
    <w:rsid w:val="0066488A"/>
    <w:rsid w:val="00664D27"/>
    <w:rsid w:val="00664DF1"/>
    <w:rsid w:val="00664FAE"/>
    <w:rsid w:val="00665074"/>
    <w:rsid w:val="006656B7"/>
    <w:rsid w:val="0066646E"/>
    <w:rsid w:val="006665D5"/>
    <w:rsid w:val="0066661A"/>
    <w:rsid w:val="0066662E"/>
    <w:rsid w:val="00667909"/>
    <w:rsid w:val="00667E50"/>
    <w:rsid w:val="006703B1"/>
    <w:rsid w:val="00670411"/>
    <w:rsid w:val="00670BB6"/>
    <w:rsid w:val="0067141E"/>
    <w:rsid w:val="00671C34"/>
    <w:rsid w:val="00671F98"/>
    <w:rsid w:val="00672568"/>
    <w:rsid w:val="00672806"/>
    <w:rsid w:val="006728ED"/>
    <w:rsid w:val="00672AA8"/>
    <w:rsid w:val="00672EF3"/>
    <w:rsid w:val="00673064"/>
    <w:rsid w:val="006730A9"/>
    <w:rsid w:val="00673576"/>
    <w:rsid w:val="006736A2"/>
    <w:rsid w:val="006738FB"/>
    <w:rsid w:val="0067421E"/>
    <w:rsid w:val="00674C64"/>
    <w:rsid w:val="00674D26"/>
    <w:rsid w:val="00675252"/>
    <w:rsid w:val="0067538B"/>
    <w:rsid w:val="00675463"/>
    <w:rsid w:val="00675464"/>
    <w:rsid w:val="00675695"/>
    <w:rsid w:val="006759D6"/>
    <w:rsid w:val="00675C57"/>
    <w:rsid w:val="00676348"/>
    <w:rsid w:val="00676E97"/>
    <w:rsid w:val="006776B3"/>
    <w:rsid w:val="00677717"/>
    <w:rsid w:val="00677990"/>
    <w:rsid w:val="006804D8"/>
    <w:rsid w:val="006804DB"/>
    <w:rsid w:val="0068066C"/>
    <w:rsid w:val="00680684"/>
    <w:rsid w:val="0068093C"/>
    <w:rsid w:val="0068122A"/>
    <w:rsid w:val="00681271"/>
    <w:rsid w:val="00681B81"/>
    <w:rsid w:val="00681D72"/>
    <w:rsid w:val="00682252"/>
    <w:rsid w:val="006822BE"/>
    <w:rsid w:val="00682389"/>
    <w:rsid w:val="00682719"/>
    <w:rsid w:val="00682A61"/>
    <w:rsid w:val="006831E7"/>
    <w:rsid w:val="006836D7"/>
    <w:rsid w:val="0068392C"/>
    <w:rsid w:val="00683AC5"/>
    <w:rsid w:val="00683C85"/>
    <w:rsid w:val="006841CB"/>
    <w:rsid w:val="0068439C"/>
    <w:rsid w:val="006845B5"/>
    <w:rsid w:val="00684D27"/>
    <w:rsid w:val="00684D75"/>
    <w:rsid w:val="006854B5"/>
    <w:rsid w:val="00685658"/>
    <w:rsid w:val="00685AF7"/>
    <w:rsid w:val="00685C66"/>
    <w:rsid w:val="006862A4"/>
    <w:rsid w:val="006864B8"/>
    <w:rsid w:val="00686781"/>
    <w:rsid w:val="00687235"/>
    <w:rsid w:val="006878A2"/>
    <w:rsid w:val="006879A3"/>
    <w:rsid w:val="00687CD8"/>
    <w:rsid w:val="006903AF"/>
    <w:rsid w:val="00690477"/>
    <w:rsid w:val="006907F7"/>
    <w:rsid w:val="00690DC8"/>
    <w:rsid w:val="0069101C"/>
    <w:rsid w:val="00691540"/>
    <w:rsid w:val="00691737"/>
    <w:rsid w:val="00691BD4"/>
    <w:rsid w:val="00691CBB"/>
    <w:rsid w:val="00691F38"/>
    <w:rsid w:val="0069205D"/>
    <w:rsid w:val="006921A3"/>
    <w:rsid w:val="00692260"/>
    <w:rsid w:val="0069238E"/>
    <w:rsid w:val="00692AD0"/>
    <w:rsid w:val="00692B0F"/>
    <w:rsid w:val="0069320B"/>
    <w:rsid w:val="00693579"/>
    <w:rsid w:val="006936CE"/>
    <w:rsid w:val="00693831"/>
    <w:rsid w:val="0069398D"/>
    <w:rsid w:val="006940D6"/>
    <w:rsid w:val="006943B4"/>
    <w:rsid w:val="00694528"/>
    <w:rsid w:val="00694681"/>
    <w:rsid w:val="00694A6E"/>
    <w:rsid w:val="00694EA6"/>
    <w:rsid w:val="00694F2D"/>
    <w:rsid w:val="00695135"/>
    <w:rsid w:val="00695EE2"/>
    <w:rsid w:val="00696446"/>
    <w:rsid w:val="00696756"/>
    <w:rsid w:val="00696AA0"/>
    <w:rsid w:val="00696B1F"/>
    <w:rsid w:val="00696C8E"/>
    <w:rsid w:val="00696CFE"/>
    <w:rsid w:val="00696EE6"/>
    <w:rsid w:val="00697C61"/>
    <w:rsid w:val="006A0572"/>
    <w:rsid w:val="006A0665"/>
    <w:rsid w:val="006A09D7"/>
    <w:rsid w:val="006A0CCF"/>
    <w:rsid w:val="006A0F11"/>
    <w:rsid w:val="006A10C6"/>
    <w:rsid w:val="006A153D"/>
    <w:rsid w:val="006A160C"/>
    <w:rsid w:val="006A186C"/>
    <w:rsid w:val="006A19C2"/>
    <w:rsid w:val="006A1B81"/>
    <w:rsid w:val="006A1C29"/>
    <w:rsid w:val="006A1F32"/>
    <w:rsid w:val="006A2354"/>
    <w:rsid w:val="006A24F8"/>
    <w:rsid w:val="006A2633"/>
    <w:rsid w:val="006A28D6"/>
    <w:rsid w:val="006A2937"/>
    <w:rsid w:val="006A2C57"/>
    <w:rsid w:val="006A2EC2"/>
    <w:rsid w:val="006A3190"/>
    <w:rsid w:val="006A3908"/>
    <w:rsid w:val="006A406B"/>
    <w:rsid w:val="006A439D"/>
    <w:rsid w:val="006A44D0"/>
    <w:rsid w:val="006A4986"/>
    <w:rsid w:val="006A4B4E"/>
    <w:rsid w:val="006A4CD8"/>
    <w:rsid w:val="006A4FCB"/>
    <w:rsid w:val="006A50C8"/>
    <w:rsid w:val="006A50CD"/>
    <w:rsid w:val="006A589F"/>
    <w:rsid w:val="006A5913"/>
    <w:rsid w:val="006A61F7"/>
    <w:rsid w:val="006A68D2"/>
    <w:rsid w:val="006A6D8E"/>
    <w:rsid w:val="006A70BF"/>
    <w:rsid w:val="006A7174"/>
    <w:rsid w:val="006A7249"/>
    <w:rsid w:val="006A78D4"/>
    <w:rsid w:val="006A7A65"/>
    <w:rsid w:val="006A7EF9"/>
    <w:rsid w:val="006B03AF"/>
    <w:rsid w:val="006B0486"/>
    <w:rsid w:val="006B0C88"/>
    <w:rsid w:val="006B0E3D"/>
    <w:rsid w:val="006B17B1"/>
    <w:rsid w:val="006B1892"/>
    <w:rsid w:val="006B1960"/>
    <w:rsid w:val="006B1DE7"/>
    <w:rsid w:val="006B1E47"/>
    <w:rsid w:val="006B2095"/>
    <w:rsid w:val="006B2428"/>
    <w:rsid w:val="006B243B"/>
    <w:rsid w:val="006B29BD"/>
    <w:rsid w:val="006B2D21"/>
    <w:rsid w:val="006B2E76"/>
    <w:rsid w:val="006B3486"/>
    <w:rsid w:val="006B3661"/>
    <w:rsid w:val="006B3706"/>
    <w:rsid w:val="006B3C37"/>
    <w:rsid w:val="006B4027"/>
    <w:rsid w:val="006B4096"/>
    <w:rsid w:val="006B4CBF"/>
    <w:rsid w:val="006B54E4"/>
    <w:rsid w:val="006B5A74"/>
    <w:rsid w:val="006B6B99"/>
    <w:rsid w:val="006B6BAB"/>
    <w:rsid w:val="006B6F39"/>
    <w:rsid w:val="006B7026"/>
    <w:rsid w:val="006B74AB"/>
    <w:rsid w:val="006B776C"/>
    <w:rsid w:val="006B7B0D"/>
    <w:rsid w:val="006B7CAB"/>
    <w:rsid w:val="006C05B0"/>
    <w:rsid w:val="006C077E"/>
    <w:rsid w:val="006C07F1"/>
    <w:rsid w:val="006C1D1C"/>
    <w:rsid w:val="006C2032"/>
    <w:rsid w:val="006C242E"/>
    <w:rsid w:val="006C2605"/>
    <w:rsid w:val="006C2857"/>
    <w:rsid w:val="006C2B78"/>
    <w:rsid w:val="006C2DCE"/>
    <w:rsid w:val="006C3B33"/>
    <w:rsid w:val="006C4019"/>
    <w:rsid w:val="006C4687"/>
    <w:rsid w:val="006C46C2"/>
    <w:rsid w:val="006C4B13"/>
    <w:rsid w:val="006C4D15"/>
    <w:rsid w:val="006C4D67"/>
    <w:rsid w:val="006C4EFB"/>
    <w:rsid w:val="006C52BA"/>
    <w:rsid w:val="006C54BA"/>
    <w:rsid w:val="006C567A"/>
    <w:rsid w:val="006C6503"/>
    <w:rsid w:val="006C6C40"/>
    <w:rsid w:val="006C6D57"/>
    <w:rsid w:val="006C7036"/>
    <w:rsid w:val="006C7140"/>
    <w:rsid w:val="006C7780"/>
    <w:rsid w:val="006D0F21"/>
    <w:rsid w:val="006D17FF"/>
    <w:rsid w:val="006D1954"/>
    <w:rsid w:val="006D19A0"/>
    <w:rsid w:val="006D1B6B"/>
    <w:rsid w:val="006D1C29"/>
    <w:rsid w:val="006D1CD3"/>
    <w:rsid w:val="006D2494"/>
    <w:rsid w:val="006D29BC"/>
    <w:rsid w:val="006D2F58"/>
    <w:rsid w:val="006D30C9"/>
    <w:rsid w:val="006D3341"/>
    <w:rsid w:val="006D36AA"/>
    <w:rsid w:val="006D36FB"/>
    <w:rsid w:val="006D3D14"/>
    <w:rsid w:val="006D4FBE"/>
    <w:rsid w:val="006D500E"/>
    <w:rsid w:val="006D5056"/>
    <w:rsid w:val="006D51E8"/>
    <w:rsid w:val="006D52A8"/>
    <w:rsid w:val="006D5E41"/>
    <w:rsid w:val="006D601C"/>
    <w:rsid w:val="006D632C"/>
    <w:rsid w:val="006D64E4"/>
    <w:rsid w:val="006D651E"/>
    <w:rsid w:val="006D6554"/>
    <w:rsid w:val="006D6686"/>
    <w:rsid w:val="006D6BF1"/>
    <w:rsid w:val="006D6D32"/>
    <w:rsid w:val="006D75FD"/>
    <w:rsid w:val="006D78F3"/>
    <w:rsid w:val="006D78F8"/>
    <w:rsid w:val="006D7EAB"/>
    <w:rsid w:val="006D7F9C"/>
    <w:rsid w:val="006E019E"/>
    <w:rsid w:val="006E045E"/>
    <w:rsid w:val="006E051F"/>
    <w:rsid w:val="006E0C7F"/>
    <w:rsid w:val="006E1223"/>
    <w:rsid w:val="006E1BC3"/>
    <w:rsid w:val="006E20F9"/>
    <w:rsid w:val="006E23AB"/>
    <w:rsid w:val="006E2432"/>
    <w:rsid w:val="006E24A0"/>
    <w:rsid w:val="006E26C2"/>
    <w:rsid w:val="006E2A17"/>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5B9F"/>
    <w:rsid w:val="006E5F50"/>
    <w:rsid w:val="006E6A0C"/>
    <w:rsid w:val="006E6ACC"/>
    <w:rsid w:val="006E6FC3"/>
    <w:rsid w:val="006E72AB"/>
    <w:rsid w:val="006E799E"/>
    <w:rsid w:val="006E79AD"/>
    <w:rsid w:val="006E7C97"/>
    <w:rsid w:val="006E7F3B"/>
    <w:rsid w:val="006F0239"/>
    <w:rsid w:val="006F0353"/>
    <w:rsid w:val="006F066C"/>
    <w:rsid w:val="006F087F"/>
    <w:rsid w:val="006F0C21"/>
    <w:rsid w:val="006F1691"/>
    <w:rsid w:val="006F1F25"/>
    <w:rsid w:val="006F2583"/>
    <w:rsid w:val="006F308C"/>
    <w:rsid w:val="006F3376"/>
    <w:rsid w:val="006F33DB"/>
    <w:rsid w:val="006F3D61"/>
    <w:rsid w:val="006F4A61"/>
    <w:rsid w:val="006F4D93"/>
    <w:rsid w:val="006F4F2C"/>
    <w:rsid w:val="006F5135"/>
    <w:rsid w:val="006F576E"/>
    <w:rsid w:val="006F5829"/>
    <w:rsid w:val="006F5833"/>
    <w:rsid w:val="006F668D"/>
    <w:rsid w:val="006F675A"/>
    <w:rsid w:val="006F6B64"/>
    <w:rsid w:val="006F6BD5"/>
    <w:rsid w:val="006F6F23"/>
    <w:rsid w:val="006F706B"/>
    <w:rsid w:val="006F7269"/>
    <w:rsid w:val="006F72CA"/>
    <w:rsid w:val="006F746D"/>
    <w:rsid w:val="006F778F"/>
    <w:rsid w:val="006F7886"/>
    <w:rsid w:val="007000D0"/>
    <w:rsid w:val="00700238"/>
    <w:rsid w:val="007003D7"/>
    <w:rsid w:val="00700755"/>
    <w:rsid w:val="00700B0B"/>
    <w:rsid w:val="00701091"/>
    <w:rsid w:val="00701369"/>
    <w:rsid w:val="007015A7"/>
    <w:rsid w:val="007020AA"/>
    <w:rsid w:val="007020FE"/>
    <w:rsid w:val="00702711"/>
    <w:rsid w:val="00702906"/>
    <w:rsid w:val="00702FB1"/>
    <w:rsid w:val="007030D8"/>
    <w:rsid w:val="00703209"/>
    <w:rsid w:val="00703AFA"/>
    <w:rsid w:val="00703D10"/>
    <w:rsid w:val="0070457F"/>
    <w:rsid w:val="00704825"/>
    <w:rsid w:val="00704898"/>
    <w:rsid w:val="007049C1"/>
    <w:rsid w:val="00704A98"/>
    <w:rsid w:val="00705040"/>
    <w:rsid w:val="00705149"/>
    <w:rsid w:val="0070531E"/>
    <w:rsid w:val="00705B2B"/>
    <w:rsid w:val="00706098"/>
    <w:rsid w:val="00706276"/>
    <w:rsid w:val="007063D4"/>
    <w:rsid w:val="00706E8B"/>
    <w:rsid w:val="00706F76"/>
    <w:rsid w:val="007072F7"/>
    <w:rsid w:val="00707783"/>
    <w:rsid w:val="00707961"/>
    <w:rsid w:val="007079F1"/>
    <w:rsid w:val="00707D65"/>
    <w:rsid w:val="00707FC2"/>
    <w:rsid w:val="007100F4"/>
    <w:rsid w:val="007108DE"/>
    <w:rsid w:val="007109FD"/>
    <w:rsid w:val="00710E30"/>
    <w:rsid w:val="00710F87"/>
    <w:rsid w:val="007111BB"/>
    <w:rsid w:val="007115C9"/>
    <w:rsid w:val="007117DE"/>
    <w:rsid w:val="00711D37"/>
    <w:rsid w:val="007127A9"/>
    <w:rsid w:val="007128A2"/>
    <w:rsid w:val="00712F7F"/>
    <w:rsid w:val="0071313A"/>
    <w:rsid w:val="007137CC"/>
    <w:rsid w:val="00713991"/>
    <w:rsid w:val="00713C56"/>
    <w:rsid w:val="0071448C"/>
    <w:rsid w:val="00715158"/>
    <w:rsid w:val="00715633"/>
    <w:rsid w:val="0071576A"/>
    <w:rsid w:val="00715924"/>
    <w:rsid w:val="00715B97"/>
    <w:rsid w:val="00715D4E"/>
    <w:rsid w:val="00715F25"/>
    <w:rsid w:val="00715FF5"/>
    <w:rsid w:val="007169B5"/>
    <w:rsid w:val="00716DD5"/>
    <w:rsid w:val="00717514"/>
    <w:rsid w:val="007175C3"/>
    <w:rsid w:val="00717630"/>
    <w:rsid w:val="00717828"/>
    <w:rsid w:val="007179C8"/>
    <w:rsid w:val="00717C6F"/>
    <w:rsid w:val="00717CAF"/>
    <w:rsid w:val="0072047F"/>
    <w:rsid w:val="00720706"/>
    <w:rsid w:val="00720721"/>
    <w:rsid w:val="007210FF"/>
    <w:rsid w:val="0072133C"/>
    <w:rsid w:val="0072148E"/>
    <w:rsid w:val="007214AE"/>
    <w:rsid w:val="007215BC"/>
    <w:rsid w:val="00721971"/>
    <w:rsid w:val="00722200"/>
    <w:rsid w:val="00722699"/>
    <w:rsid w:val="00722D4E"/>
    <w:rsid w:val="00722E5F"/>
    <w:rsid w:val="00723064"/>
    <w:rsid w:val="0072343A"/>
    <w:rsid w:val="007237AF"/>
    <w:rsid w:val="00723C9F"/>
    <w:rsid w:val="00724B93"/>
    <w:rsid w:val="00724C89"/>
    <w:rsid w:val="0072517E"/>
    <w:rsid w:val="00725B1E"/>
    <w:rsid w:val="007260A7"/>
    <w:rsid w:val="0072652D"/>
    <w:rsid w:val="00726621"/>
    <w:rsid w:val="007277C8"/>
    <w:rsid w:val="00727BE8"/>
    <w:rsid w:val="00727D56"/>
    <w:rsid w:val="007301CE"/>
    <w:rsid w:val="0073030A"/>
    <w:rsid w:val="007304AA"/>
    <w:rsid w:val="007305D5"/>
    <w:rsid w:val="007306F4"/>
    <w:rsid w:val="00730DC4"/>
    <w:rsid w:val="00730DE8"/>
    <w:rsid w:val="00730FDD"/>
    <w:rsid w:val="00731317"/>
    <w:rsid w:val="0073223D"/>
    <w:rsid w:val="00732385"/>
    <w:rsid w:val="0073240A"/>
    <w:rsid w:val="007328AA"/>
    <w:rsid w:val="00732A23"/>
    <w:rsid w:val="00733131"/>
    <w:rsid w:val="0073324E"/>
    <w:rsid w:val="00733505"/>
    <w:rsid w:val="00733760"/>
    <w:rsid w:val="00733924"/>
    <w:rsid w:val="00733ACA"/>
    <w:rsid w:val="00733C06"/>
    <w:rsid w:val="00733D44"/>
    <w:rsid w:val="00733F61"/>
    <w:rsid w:val="007344D6"/>
    <w:rsid w:val="00734B64"/>
    <w:rsid w:val="00735132"/>
    <w:rsid w:val="007353D7"/>
    <w:rsid w:val="00735614"/>
    <w:rsid w:val="0073572D"/>
    <w:rsid w:val="00735782"/>
    <w:rsid w:val="00735B5B"/>
    <w:rsid w:val="00736AC1"/>
    <w:rsid w:val="00736BBE"/>
    <w:rsid w:val="00736EE1"/>
    <w:rsid w:val="00737344"/>
    <w:rsid w:val="0073795B"/>
    <w:rsid w:val="00737A44"/>
    <w:rsid w:val="00737E97"/>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0E"/>
    <w:rsid w:val="00743EE5"/>
    <w:rsid w:val="00744111"/>
    <w:rsid w:val="007442FD"/>
    <w:rsid w:val="00744353"/>
    <w:rsid w:val="00744647"/>
    <w:rsid w:val="00744A1E"/>
    <w:rsid w:val="00744B7C"/>
    <w:rsid w:val="00744C92"/>
    <w:rsid w:val="00744F25"/>
    <w:rsid w:val="007452E4"/>
    <w:rsid w:val="0074545A"/>
    <w:rsid w:val="0074574A"/>
    <w:rsid w:val="00745886"/>
    <w:rsid w:val="007459EA"/>
    <w:rsid w:val="00745E59"/>
    <w:rsid w:val="0074615F"/>
    <w:rsid w:val="00746328"/>
    <w:rsid w:val="0074672B"/>
    <w:rsid w:val="0074692B"/>
    <w:rsid w:val="00746B3E"/>
    <w:rsid w:val="00747343"/>
    <w:rsid w:val="00747679"/>
    <w:rsid w:val="00747716"/>
    <w:rsid w:val="0074779F"/>
    <w:rsid w:val="00747F94"/>
    <w:rsid w:val="0075013A"/>
    <w:rsid w:val="007504F3"/>
    <w:rsid w:val="00750771"/>
    <w:rsid w:val="00750ADA"/>
    <w:rsid w:val="00750BAA"/>
    <w:rsid w:val="00750E72"/>
    <w:rsid w:val="00750FCA"/>
    <w:rsid w:val="00751948"/>
    <w:rsid w:val="0075204C"/>
    <w:rsid w:val="00752395"/>
    <w:rsid w:val="00752430"/>
    <w:rsid w:val="00752644"/>
    <w:rsid w:val="00752695"/>
    <w:rsid w:val="00752BDC"/>
    <w:rsid w:val="00753A47"/>
    <w:rsid w:val="00753BC9"/>
    <w:rsid w:val="0075419C"/>
    <w:rsid w:val="0075427E"/>
    <w:rsid w:val="007544F8"/>
    <w:rsid w:val="00755031"/>
    <w:rsid w:val="007550AB"/>
    <w:rsid w:val="007553DF"/>
    <w:rsid w:val="007553F8"/>
    <w:rsid w:val="0075542D"/>
    <w:rsid w:val="00756081"/>
    <w:rsid w:val="007560D5"/>
    <w:rsid w:val="007562DF"/>
    <w:rsid w:val="00756E0B"/>
    <w:rsid w:val="007570DE"/>
    <w:rsid w:val="00757B4E"/>
    <w:rsid w:val="00757C06"/>
    <w:rsid w:val="00757C7D"/>
    <w:rsid w:val="00757DC7"/>
    <w:rsid w:val="0076030A"/>
    <w:rsid w:val="0076092C"/>
    <w:rsid w:val="0076095E"/>
    <w:rsid w:val="00760D47"/>
    <w:rsid w:val="00760F83"/>
    <w:rsid w:val="007612F1"/>
    <w:rsid w:val="00761499"/>
    <w:rsid w:val="00761CED"/>
    <w:rsid w:val="00761D15"/>
    <w:rsid w:val="00761D7A"/>
    <w:rsid w:val="00761D8D"/>
    <w:rsid w:val="00761E71"/>
    <w:rsid w:val="00762023"/>
    <w:rsid w:val="00762AC9"/>
    <w:rsid w:val="00762E11"/>
    <w:rsid w:val="00762EE1"/>
    <w:rsid w:val="00763029"/>
    <w:rsid w:val="00763647"/>
    <w:rsid w:val="007636D1"/>
    <w:rsid w:val="00764381"/>
    <w:rsid w:val="007644F5"/>
    <w:rsid w:val="0076477D"/>
    <w:rsid w:val="0076479F"/>
    <w:rsid w:val="00764CEE"/>
    <w:rsid w:val="00764D81"/>
    <w:rsid w:val="00765093"/>
    <w:rsid w:val="00765491"/>
    <w:rsid w:val="0076586F"/>
    <w:rsid w:val="00765DCD"/>
    <w:rsid w:val="00765DDB"/>
    <w:rsid w:val="00766333"/>
    <w:rsid w:val="0076650F"/>
    <w:rsid w:val="00766F2D"/>
    <w:rsid w:val="007672D1"/>
    <w:rsid w:val="00767782"/>
    <w:rsid w:val="00767B97"/>
    <w:rsid w:val="00767FE4"/>
    <w:rsid w:val="007702A7"/>
    <w:rsid w:val="00770502"/>
    <w:rsid w:val="007705C0"/>
    <w:rsid w:val="00770717"/>
    <w:rsid w:val="00771085"/>
    <w:rsid w:val="007711DB"/>
    <w:rsid w:val="0077140C"/>
    <w:rsid w:val="0077155B"/>
    <w:rsid w:val="007715D4"/>
    <w:rsid w:val="00771657"/>
    <w:rsid w:val="00771D95"/>
    <w:rsid w:val="00772142"/>
    <w:rsid w:val="0077230D"/>
    <w:rsid w:val="0077257D"/>
    <w:rsid w:val="00772761"/>
    <w:rsid w:val="007727CD"/>
    <w:rsid w:val="00772B49"/>
    <w:rsid w:val="00772C66"/>
    <w:rsid w:val="00773D44"/>
    <w:rsid w:val="007747E6"/>
    <w:rsid w:val="00775410"/>
    <w:rsid w:val="0077545B"/>
    <w:rsid w:val="00775823"/>
    <w:rsid w:val="007758FF"/>
    <w:rsid w:val="00775987"/>
    <w:rsid w:val="00775BB0"/>
    <w:rsid w:val="00775BCF"/>
    <w:rsid w:val="00775E77"/>
    <w:rsid w:val="007763FA"/>
    <w:rsid w:val="00776439"/>
    <w:rsid w:val="0077645A"/>
    <w:rsid w:val="0077656B"/>
    <w:rsid w:val="007766A4"/>
    <w:rsid w:val="00776A26"/>
    <w:rsid w:val="00776B87"/>
    <w:rsid w:val="00776FBE"/>
    <w:rsid w:val="00776FE8"/>
    <w:rsid w:val="00777025"/>
    <w:rsid w:val="0077728E"/>
    <w:rsid w:val="007775FF"/>
    <w:rsid w:val="00780124"/>
    <w:rsid w:val="0078043A"/>
    <w:rsid w:val="007806B4"/>
    <w:rsid w:val="007806E5"/>
    <w:rsid w:val="007809D6"/>
    <w:rsid w:val="00780C47"/>
    <w:rsid w:val="00780F68"/>
    <w:rsid w:val="0078116A"/>
    <w:rsid w:val="007812A0"/>
    <w:rsid w:val="007812FD"/>
    <w:rsid w:val="0078188A"/>
    <w:rsid w:val="00781F2C"/>
    <w:rsid w:val="00782107"/>
    <w:rsid w:val="007823C4"/>
    <w:rsid w:val="007824D0"/>
    <w:rsid w:val="0078268A"/>
    <w:rsid w:val="00782FBE"/>
    <w:rsid w:val="0078321B"/>
    <w:rsid w:val="00783303"/>
    <w:rsid w:val="007840DF"/>
    <w:rsid w:val="0078414B"/>
    <w:rsid w:val="00784988"/>
    <w:rsid w:val="00784B34"/>
    <w:rsid w:val="00784FDD"/>
    <w:rsid w:val="007853E3"/>
    <w:rsid w:val="0078579C"/>
    <w:rsid w:val="00785962"/>
    <w:rsid w:val="00785F14"/>
    <w:rsid w:val="0078660D"/>
    <w:rsid w:val="0078682C"/>
    <w:rsid w:val="00786A49"/>
    <w:rsid w:val="00786FF3"/>
    <w:rsid w:val="00786FFA"/>
    <w:rsid w:val="00787AA6"/>
    <w:rsid w:val="00787D8E"/>
    <w:rsid w:val="007905C9"/>
    <w:rsid w:val="00790983"/>
    <w:rsid w:val="00790FAF"/>
    <w:rsid w:val="007911F2"/>
    <w:rsid w:val="007919BD"/>
    <w:rsid w:val="00791A32"/>
    <w:rsid w:val="00791A99"/>
    <w:rsid w:val="007928EB"/>
    <w:rsid w:val="00792AF6"/>
    <w:rsid w:val="00792C90"/>
    <w:rsid w:val="007930AA"/>
    <w:rsid w:val="00793455"/>
    <w:rsid w:val="0079361E"/>
    <w:rsid w:val="0079388D"/>
    <w:rsid w:val="00793A06"/>
    <w:rsid w:val="00793BCE"/>
    <w:rsid w:val="00794092"/>
    <w:rsid w:val="00794296"/>
    <w:rsid w:val="00794682"/>
    <w:rsid w:val="00794FD4"/>
    <w:rsid w:val="007956B9"/>
    <w:rsid w:val="00795C85"/>
    <w:rsid w:val="00795EFD"/>
    <w:rsid w:val="00795F8B"/>
    <w:rsid w:val="00796094"/>
    <w:rsid w:val="0079713E"/>
    <w:rsid w:val="00797161"/>
    <w:rsid w:val="00797278"/>
    <w:rsid w:val="0079756B"/>
    <w:rsid w:val="00797AA6"/>
    <w:rsid w:val="00797E64"/>
    <w:rsid w:val="007A017F"/>
    <w:rsid w:val="007A0FAA"/>
    <w:rsid w:val="007A110F"/>
    <w:rsid w:val="007A175F"/>
    <w:rsid w:val="007A1B78"/>
    <w:rsid w:val="007A21C0"/>
    <w:rsid w:val="007A2551"/>
    <w:rsid w:val="007A2A6A"/>
    <w:rsid w:val="007A2B5B"/>
    <w:rsid w:val="007A3762"/>
    <w:rsid w:val="007A3BF1"/>
    <w:rsid w:val="007A410C"/>
    <w:rsid w:val="007A4964"/>
    <w:rsid w:val="007A5418"/>
    <w:rsid w:val="007A5AFC"/>
    <w:rsid w:val="007A5E80"/>
    <w:rsid w:val="007A64F5"/>
    <w:rsid w:val="007A663C"/>
    <w:rsid w:val="007A6AFC"/>
    <w:rsid w:val="007A706F"/>
    <w:rsid w:val="007A70C9"/>
    <w:rsid w:val="007A730F"/>
    <w:rsid w:val="007A7A95"/>
    <w:rsid w:val="007A7BCC"/>
    <w:rsid w:val="007A7F10"/>
    <w:rsid w:val="007B00B3"/>
    <w:rsid w:val="007B0874"/>
    <w:rsid w:val="007B0D6D"/>
    <w:rsid w:val="007B1291"/>
    <w:rsid w:val="007B1804"/>
    <w:rsid w:val="007B289A"/>
    <w:rsid w:val="007B2A6E"/>
    <w:rsid w:val="007B2ABF"/>
    <w:rsid w:val="007B33D3"/>
    <w:rsid w:val="007B3583"/>
    <w:rsid w:val="007B4182"/>
    <w:rsid w:val="007B43A3"/>
    <w:rsid w:val="007B485D"/>
    <w:rsid w:val="007B49C5"/>
    <w:rsid w:val="007B4CD6"/>
    <w:rsid w:val="007B5C9A"/>
    <w:rsid w:val="007B5E31"/>
    <w:rsid w:val="007B60E4"/>
    <w:rsid w:val="007B621C"/>
    <w:rsid w:val="007B72B8"/>
    <w:rsid w:val="007B731E"/>
    <w:rsid w:val="007B7C71"/>
    <w:rsid w:val="007B7F3A"/>
    <w:rsid w:val="007C0645"/>
    <w:rsid w:val="007C10F3"/>
    <w:rsid w:val="007C14CE"/>
    <w:rsid w:val="007C1520"/>
    <w:rsid w:val="007C1814"/>
    <w:rsid w:val="007C1883"/>
    <w:rsid w:val="007C1ECB"/>
    <w:rsid w:val="007C2560"/>
    <w:rsid w:val="007C2CC4"/>
    <w:rsid w:val="007C2F34"/>
    <w:rsid w:val="007C30DF"/>
    <w:rsid w:val="007C30EE"/>
    <w:rsid w:val="007C33E6"/>
    <w:rsid w:val="007C3497"/>
    <w:rsid w:val="007C3884"/>
    <w:rsid w:val="007C38B9"/>
    <w:rsid w:val="007C390C"/>
    <w:rsid w:val="007C3F7A"/>
    <w:rsid w:val="007C3FE8"/>
    <w:rsid w:val="007C44A4"/>
    <w:rsid w:val="007C4C99"/>
    <w:rsid w:val="007C518C"/>
    <w:rsid w:val="007C5338"/>
    <w:rsid w:val="007C5536"/>
    <w:rsid w:val="007C567A"/>
    <w:rsid w:val="007C5780"/>
    <w:rsid w:val="007C6A7B"/>
    <w:rsid w:val="007C6CC7"/>
    <w:rsid w:val="007C7458"/>
    <w:rsid w:val="007C7779"/>
    <w:rsid w:val="007C7927"/>
    <w:rsid w:val="007C7C51"/>
    <w:rsid w:val="007C7E53"/>
    <w:rsid w:val="007C7E5A"/>
    <w:rsid w:val="007D0994"/>
    <w:rsid w:val="007D0ABC"/>
    <w:rsid w:val="007D0FDE"/>
    <w:rsid w:val="007D110F"/>
    <w:rsid w:val="007D176C"/>
    <w:rsid w:val="007D1E57"/>
    <w:rsid w:val="007D1F6C"/>
    <w:rsid w:val="007D205A"/>
    <w:rsid w:val="007D2084"/>
    <w:rsid w:val="007D21F8"/>
    <w:rsid w:val="007D2359"/>
    <w:rsid w:val="007D2563"/>
    <w:rsid w:val="007D29B4"/>
    <w:rsid w:val="007D2C5B"/>
    <w:rsid w:val="007D39FB"/>
    <w:rsid w:val="007D39FE"/>
    <w:rsid w:val="007D3C9A"/>
    <w:rsid w:val="007D4154"/>
    <w:rsid w:val="007D47DB"/>
    <w:rsid w:val="007D485E"/>
    <w:rsid w:val="007D4CB9"/>
    <w:rsid w:val="007D5A15"/>
    <w:rsid w:val="007D5A61"/>
    <w:rsid w:val="007D5A9E"/>
    <w:rsid w:val="007D5ACB"/>
    <w:rsid w:val="007D6723"/>
    <w:rsid w:val="007D67E7"/>
    <w:rsid w:val="007D69AB"/>
    <w:rsid w:val="007D6F51"/>
    <w:rsid w:val="007D7266"/>
    <w:rsid w:val="007D75E8"/>
    <w:rsid w:val="007D7EA9"/>
    <w:rsid w:val="007E08E0"/>
    <w:rsid w:val="007E0E98"/>
    <w:rsid w:val="007E0EC0"/>
    <w:rsid w:val="007E1207"/>
    <w:rsid w:val="007E13E7"/>
    <w:rsid w:val="007E1BB5"/>
    <w:rsid w:val="007E1CC6"/>
    <w:rsid w:val="007E2865"/>
    <w:rsid w:val="007E2E7A"/>
    <w:rsid w:val="007E3020"/>
    <w:rsid w:val="007E32AB"/>
    <w:rsid w:val="007E33B0"/>
    <w:rsid w:val="007E3543"/>
    <w:rsid w:val="007E35AA"/>
    <w:rsid w:val="007E3AEC"/>
    <w:rsid w:val="007E3C2E"/>
    <w:rsid w:val="007E3FB1"/>
    <w:rsid w:val="007E4684"/>
    <w:rsid w:val="007E47F0"/>
    <w:rsid w:val="007E4CEB"/>
    <w:rsid w:val="007E4F6E"/>
    <w:rsid w:val="007E53DA"/>
    <w:rsid w:val="007E53E5"/>
    <w:rsid w:val="007E5574"/>
    <w:rsid w:val="007E5647"/>
    <w:rsid w:val="007E578E"/>
    <w:rsid w:val="007E5871"/>
    <w:rsid w:val="007E5A2D"/>
    <w:rsid w:val="007E5F4A"/>
    <w:rsid w:val="007E5FDB"/>
    <w:rsid w:val="007E6383"/>
    <w:rsid w:val="007E6484"/>
    <w:rsid w:val="007E6D56"/>
    <w:rsid w:val="007E6FFF"/>
    <w:rsid w:val="007E7036"/>
    <w:rsid w:val="007E7164"/>
    <w:rsid w:val="007E7609"/>
    <w:rsid w:val="007E76B5"/>
    <w:rsid w:val="007E7782"/>
    <w:rsid w:val="007E784B"/>
    <w:rsid w:val="007F0B4D"/>
    <w:rsid w:val="007F0CA3"/>
    <w:rsid w:val="007F0CE0"/>
    <w:rsid w:val="007F0DE0"/>
    <w:rsid w:val="007F0F1E"/>
    <w:rsid w:val="007F0F22"/>
    <w:rsid w:val="007F10C0"/>
    <w:rsid w:val="007F1A3A"/>
    <w:rsid w:val="007F21B8"/>
    <w:rsid w:val="007F29A5"/>
    <w:rsid w:val="007F3147"/>
    <w:rsid w:val="007F3297"/>
    <w:rsid w:val="007F34C4"/>
    <w:rsid w:val="007F3574"/>
    <w:rsid w:val="007F358E"/>
    <w:rsid w:val="007F36A4"/>
    <w:rsid w:val="007F3932"/>
    <w:rsid w:val="007F422A"/>
    <w:rsid w:val="007F4444"/>
    <w:rsid w:val="007F46E0"/>
    <w:rsid w:val="007F47CC"/>
    <w:rsid w:val="007F48D5"/>
    <w:rsid w:val="007F4D31"/>
    <w:rsid w:val="007F4D4F"/>
    <w:rsid w:val="007F55DB"/>
    <w:rsid w:val="007F562C"/>
    <w:rsid w:val="007F59CA"/>
    <w:rsid w:val="007F5C1A"/>
    <w:rsid w:val="007F62B0"/>
    <w:rsid w:val="007F638F"/>
    <w:rsid w:val="007F67E2"/>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28A"/>
    <w:rsid w:val="00803799"/>
    <w:rsid w:val="008043C4"/>
    <w:rsid w:val="00805456"/>
    <w:rsid w:val="008057AD"/>
    <w:rsid w:val="00805A8D"/>
    <w:rsid w:val="008062D0"/>
    <w:rsid w:val="008065F2"/>
    <w:rsid w:val="00806B9A"/>
    <w:rsid w:val="00806BD2"/>
    <w:rsid w:val="0080770F"/>
    <w:rsid w:val="00807C00"/>
    <w:rsid w:val="00807CBE"/>
    <w:rsid w:val="00807F52"/>
    <w:rsid w:val="00807F58"/>
    <w:rsid w:val="0081003D"/>
    <w:rsid w:val="008100C9"/>
    <w:rsid w:val="00810411"/>
    <w:rsid w:val="00810508"/>
    <w:rsid w:val="00810797"/>
    <w:rsid w:val="00810C19"/>
    <w:rsid w:val="008114B8"/>
    <w:rsid w:val="00811863"/>
    <w:rsid w:val="0081186A"/>
    <w:rsid w:val="008121A8"/>
    <w:rsid w:val="00812BD6"/>
    <w:rsid w:val="00813207"/>
    <w:rsid w:val="008134A6"/>
    <w:rsid w:val="00814124"/>
    <w:rsid w:val="008141B2"/>
    <w:rsid w:val="008147E2"/>
    <w:rsid w:val="008152CE"/>
    <w:rsid w:val="008155D7"/>
    <w:rsid w:val="00815B06"/>
    <w:rsid w:val="00815FBF"/>
    <w:rsid w:val="00816124"/>
    <w:rsid w:val="008167A4"/>
    <w:rsid w:val="008167D3"/>
    <w:rsid w:val="0081685A"/>
    <w:rsid w:val="008169B6"/>
    <w:rsid w:val="00816BBB"/>
    <w:rsid w:val="00816EE7"/>
    <w:rsid w:val="00817075"/>
    <w:rsid w:val="008172AE"/>
    <w:rsid w:val="0081764C"/>
    <w:rsid w:val="008201B5"/>
    <w:rsid w:val="00820416"/>
    <w:rsid w:val="00820AE3"/>
    <w:rsid w:val="00821078"/>
    <w:rsid w:val="0082163C"/>
    <w:rsid w:val="0082165C"/>
    <w:rsid w:val="00821A13"/>
    <w:rsid w:val="00821AC1"/>
    <w:rsid w:val="00821B80"/>
    <w:rsid w:val="00821EBD"/>
    <w:rsid w:val="00822261"/>
    <w:rsid w:val="0082232B"/>
    <w:rsid w:val="00822375"/>
    <w:rsid w:val="00822620"/>
    <w:rsid w:val="008229B8"/>
    <w:rsid w:val="00822DB6"/>
    <w:rsid w:val="00823954"/>
    <w:rsid w:val="00823C6A"/>
    <w:rsid w:val="00823DE1"/>
    <w:rsid w:val="00824514"/>
    <w:rsid w:val="008245A4"/>
    <w:rsid w:val="00824A91"/>
    <w:rsid w:val="00824CAB"/>
    <w:rsid w:val="0082507C"/>
    <w:rsid w:val="00825DC2"/>
    <w:rsid w:val="0082616B"/>
    <w:rsid w:val="0082644E"/>
    <w:rsid w:val="008266B0"/>
    <w:rsid w:val="00827140"/>
    <w:rsid w:val="008279BE"/>
    <w:rsid w:val="00827F5C"/>
    <w:rsid w:val="008309CB"/>
    <w:rsid w:val="00830EE8"/>
    <w:rsid w:val="008316BF"/>
    <w:rsid w:val="008316E1"/>
    <w:rsid w:val="0083178A"/>
    <w:rsid w:val="00832874"/>
    <w:rsid w:val="00832908"/>
    <w:rsid w:val="00832F30"/>
    <w:rsid w:val="008331BF"/>
    <w:rsid w:val="008334C3"/>
    <w:rsid w:val="00833A03"/>
    <w:rsid w:val="008347AB"/>
    <w:rsid w:val="008347CB"/>
    <w:rsid w:val="00834C78"/>
    <w:rsid w:val="00835211"/>
    <w:rsid w:val="00835221"/>
    <w:rsid w:val="00835326"/>
    <w:rsid w:val="008356CE"/>
    <w:rsid w:val="00835F1E"/>
    <w:rsid w:val="008365CF"/>
    <w:rsid w:val="00837058"/>
    <w:rsid w:val="008372D4"/>
    <w:rsid w:val="00837A74"/>
    <w:rsid w:val="008404CB"/>
    <w:rsid w:val="00840B11"/>
    <w:rsid w:val="00840C73"/>
    <w:rsid w:val="00840EBD"/>
    <w:rsid w:val="00841593"/>
    <w:rsid w:val="008417E7"/>
    <w:rsid w:val="00841A47"/>
    <w:rsid w:val="00841E40"/>
    <w:rsid w:val="008421D5"/>
    <w:rsid w:val="00842306"/>
    <w:rsid w:val="0084296D"/>
    <w:rsid w:val="00842987"/>
    <w:rsid w:val="00843B53"/>
    <w:rsid w:val="00843D99"/>
    <w:rsid w:val="008442F8"/>
    <w:rsid w:val="00844316"/>
    <w:rsid w:val="00844833"/>
    <w:rsid w:val="00844AAB"/>
    <w:rsid w:val="00844C54"/>
    <w:rsid w:val="00845742"/>
    <w:rsid w:val="00845DD9"/>
    <w:rsid w:val="00845FB9"/>
    <w:rsid w:val="008461E8"/>
    <w:rsid w:val="0084641E"/>
    <w:rsid w:val="0084679E"/>
    <w:rsid w:val="00846D73"/>
    <w:rsid w:val="00850076"/>
    <w:rsid w:val="0085069F"/>
    <w:rsid w:val="00850874"/>
    <w:rsid w:val="00850F5F"/>
    <w:rsid w:val="00850FF0"/>
    <w:rsid w:val="00850FF8"/>
    <w:rsid w:val="00851553"/>
    <w:rsid w:val="00851C71"/>
    <w:rsid w:val="00851D60"/>
    <w:rsid w:val="00852065"/>
    <w:rsid w:val="0085236E"/>
    <w:rsid w:val="00852852"/>
    <w:rsid w:val="008528B6"/>
    <w:rsid w:val="00853774"/>
    <w:rsid w:val="0085390E"/>
    <w:rsid w:val="00853B95"/>
    <w:rsid w:val="00853E17"/>
    <w:rsid w:val="00853F75"/>
    <w:rsid w:val="008545CE"/>
    <w:rsid w:val="00854A3F"/>
    <w:rsid w:val="00854B01"/>
    <w:rsid w:val="00854B32"/>
    <w:rsid w:val="00854B97"/>
    <w:rsid w:val="0085500F"/>
    <w:rsid w:val="008556CB"/>
    <w:rsid w:val="0085613F"/>
    <w:rsid w:val="0085694F"/>
    <w:rsid w:val="008569E4"/>
    <w:rsid w:val="00856AF4"/>
    <w:rsid w:val="00857053"/>
    <w:rsid w:val="00857485"/>
    <w:rsid w:val="00857B65"/>
    <w:rsid w:val="008603FE"/>
    <w:rsid w:val="0086060E"/>
    <w:rsid w:val="00860740"/>
    <w:rsid w:val="00860B0C"/>
    <w:rsid w:val="00860B3B"/>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8D4"/>
    <w:rsid w:val="00864B60"/>
    <w:rsid w:val="00865088"/>
    <w:rsid w:val="00865AD4"/>
    <w:rsid w:val="00865D1E"/>
    <w:rsid w:val="008661E6"/>
    <w:rsid w:val="00866271"/>
    <w:rsid w:val="008663AA"/>
    <w:rsid w:val="00866474"/>
    <w:rsid w:val="00866514"/>
    <w:rsid w:val="0086669A"/>
    <w:rsid w:val="00866ADF"/>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A0B"/>
    <w:rsid w:val="00871C63"/>
    <w:rsid w:val="00872099"/>
    <w:rsid w:val="008723DC"/>
    <w:rsid w:val="00872795"/>
    <w:rsid w:val="00873282"/>
    <w:rsid w:val="0087343B"/>
    <w:rsid w:val="0087384B"/>
    <w:rsid w:val="00873D56"/>
    <w:rsid w:val="00875153"/>
    <w:rsid w:val="00875278"/>
    <w:rsid w:val="008753A7"/>
    <w:rsid w:val="008753EF"/>
    <w:rsid w:val="00875A63"/>
    <w:rsid w:val="008762EA"/>
    <w:rsid w:val="00876969"/>
    <w:rsid w:val="00876AE1"/>
    <w:rsid w:val="00876B3C"/>
    <w:rsid w:val="00876F65"/>
    <w:rsid w:val="00877185"/>
    <w:rsid w:val="00877EA3"/>
    <w:rsid w:val="00880174"/>
    <w:rsid w:val="00880286"/>
    <w:rsid w:val="008802B8"/>
    <w:rsid w:val="008806BC"/>
    <w:rsid w:val="00880853"/>
    <w:rsid w:val="008808AF"/>
    <w:rsid w:val="00880B99"/>
    <w:rsid w:val="00880F3A"/>
    <w:rsid w:val="008812F5"/>
    <w:rsid w:val="0088180F"/>
    <w:rsid w:val="00881B10"/>
    <w:rsid w:val="00881CF4"/>
    <w:rsid w:val="00881D3B"/>
    <w:rsid w:val="00881F33"/>
    <w:rsid w:val="00882FB2"/>
    <w:rsid w:val="00883069"/>
    <w:rsid w:val="008833F9"/>
    <w:rsid w:val="0088374B"/>
    <w:rsid w:val="008839B3"/>
    <w:rsid w:val="00883F36"/>
    <w:rsid w:val="008841C1"/>
    <w:rsid w:val="0088458F"/>
    <w:rsid w:val="00884599"/>
    <w:rsid w:val="008854BA"/>
    <w:rsid w:val="00885FD8"/>
    <w:rsid w:val="00886416"/>
    <w:rsid w:val="008871F3"/>
    <w:rsid w:val="00887C4B"/>
    <w:rsid w:val="00887E67"/>
    <w:rsid w:val="00890359"/>
    <w:rsid w:val="00890383"/>
    <w:rsid w:val="008919BB"/>
    <w:rsid w:val="00891F39"/>
    <w:rsid w:val="00892489"/>
    <w:rsid w:val="008924DA"/>
    <w:rsid w:val="008928B6"/>
    <w:rsid w:val="00892BEE"/>
    <w:rsid w:val="00892C4A"/>
    <w:rsid w:val="00892D03"/>
    <w:rsid w:val="00892EC0"/>
    <w:rsid w:val="00892EF0"/>
    <w:rsid w:val="008932A2"/>
    <w:rsid w:val="00893668"/>
    <w:rsid w:val="00893AED"/>
    <w:rsid w:val="00893BA4"/>
    <w:rsid w:val="00893D9E"/>
    <w:rsid w:val="00894001"/>
    <w:rsid w:val="00894654"/>
    <w:rsid w:val="0089476B"/>
    <w:rsid w:val="008948D7"/>
    <w:rsid w:val="00894E29"/>
    <w:rsid w:val="0089542D"/>
    <w:rsid w:val="00895492"/>
    <w:rsid w:val="008954A8"/>
    <w:rsid w:val="00895562"/>
    <w:rsid w:val="0089587B"/>
    <w:rsid w:val="008958AA"/>
    <w:rsid w:val="00896523"/>
    <w:rsid w:val="0089660E"/>
    <w:rsid w:val="00896634"/>
    <w:rsid w:val="00896663"/>
    <w:rsid w:val="008A000A"/>
    <w:rsid w:val="008A065B"/>
    <w:rsid w:val="008A06AA"/>
    <w:rsid w:val="008A085C"/>
    <w:rsid w:val="008A10D9"/>
    <w:rsid w:val="008A11B6"/>
    <w:rsid w:val="008A1778"/>
    <w:rsid w:val="008A1F6E"/>
    <w:rsid w:val="008A2034"/>
    <w:rsid w:val="008A215A"/>
    <w:rsid w:val="008A21FD"/>
    <w:rsid w:val="008A220E"/>
    <w:rsid w:val="008A230B"/>
    <w:rsid w:val="008A234C"/>
    <w:rsid w:val="008A2763"/>
    <w:rsid w:val="008A2FB3"/>
    <w:rsid w:val="008A3436"/>
    <w:rsid w:val="008A3678"/>
    <w:rsid w:val="008A3DC5"/>
    <w:rsid w:val="008A3F95"/>
    <w:rsid w:val="008A49F9"/>
    <w:rsid w:val="008A535A"/>
    <w:rsid w:val="008A54C1"/>
    <w:rsid w:val="008A5AE3"/>
    <w:rsid w:val="008A6119"/>
    <w:rsid w:val="008A6331"/>
    <w:rsid w:val="008A6612"/>
    <w:rsid w:val="008A66FF"/>
    <w:rsid w:val="008A6F76"/>
    <w:rsid w:val="008A72A4"/>
    <w:rsid w:val="008A7E25"/>
    <w:rsid w:val="008A7ED5"/>
    <w:rsid w:val="008B094F"/>
    <w:rsid w:val="008B0F91"/>
    <w:rsid w:val="008B110F"/>
    <w:rsid w:val="008B11D7"/>
    <w:rsid w:val="008B219C"/>
    <w:rsid w:val="008B31A7"/>
    <w:rsid w:val="008B385E"/>
    <w:rsid w:val="008B3A0D"/>
    <w:rsid w:val="008B3ABF"/>
    <w:rsid w:val="008B4172"/>
    <w:rsid w:val="008B42BD"/>
    <w:rsid w:val="008B4700"/>
    <w:rsid w:val="008B470A"/>
    <w:rsid w:val="008B4798"/>
    <w:rsid w:val="008B4863"/>
    <w:rsid w:val="008B4935"/>
    <w:rsid w:val="008B4A7A"/>
    <w:rsid w:val="008B505F"/>
    <w:rsid w:val="008B5094"/>
    <w:rsid w:val="008B52B7"/>
    <w:rsid w:val="008B539E"/>
    <w:rsid w:val="008B557E"/>
    <w:rsid w:val="008B580C"/>
    <w:rsid w:val="008B5EFF"/>
    <w:rsid w:val="008B6546"/>
    <w:rsid w:val="008B677C"/>
    <w:rsid w:val="008B78DC"/>
    <w:rsid w:val="008B791E"/>
    <w:rsid w:val="008B7998"/>
    <w:rsid w:val="008B7C20"/>
    <w:rsid w:val="008B7F8C"/>
    <w:rsid w:val="008C0212"/>
    <w:rsid w:val="008C10BD"/>
    <w:rsid w:val="008C172B"/>
    <w:rsid w:val="008C198F"/>
    <w:rsid w:val="008C1BE4"/>
    <w:rsid w:val="008C219A"/>
    <w:rsid w:val="008C3096"/>
    <w:rsid w:val="008C3111"/>
    <w:rsid w:val="008C3128"/>
    <w:rsid w:val="008C3238"/>
    <w:rsid w:val="008C344B"/>
    <w:rsid w:val="008C3807"/>
    <w:rsid w:val="008C39F7"/>
    <w:rsid w:val="008C3D5F"/>
    <w:rsid w:val="008C3EDE"/>
    <w:rsid w:val="008C3F3B"/>
    <w:rsid w:val="008C3FA5"/>
    <w:rsid w:val="008C49E0"/>
    <w:rsid w:val="008C4B07"/>
    <w:rsid w:val="008C5185"/>
    <w:rsid w:val="008C537C"/>
    <w:rsid w:val="008C598C"/>
    <w:rsid w:val="008C6035"/>
    <w:rsid w:val="008C624A"/>
    <w:rsid w:val="008C63BB"/>
    <w:rsid w:val="008C6B13"/>
    <w:rsid w:val="008C6BD3"/>
    <w:rsid w:val="008C6FBA"/>
    <w:rsid w:val="008C7020"/>
    <w:rsid w:val="008C7135"/>
    <w:rsid w:val="008C7352"/>
    <w:rsid w:val="008C765C"/>
    <w:rsid w:val="008C7AA2"/>
    <w:rsid w:val="008D0165"/>
    <w:rsid w:val="008D01F9"/>
    <w:rsid w:val="008D035E"/>
    <w:rsid w:val="008D0597"/>
    <w:rsid w:val="008D0DC2"/>
    <w:rsid w:val="008D11E8"/>
    <w:rsid w:val="008D19C8"/>
    <w:rsid w:val="008D1B3A"/>
    <w:rsid w:val="008D2A58"/>
    <w:rsid w:val="008D2D3F"/>
    <w:rsid w:val="008D2EBB"/>
    <w:rsid w:val="008D31CE"/>
    <w:rsid w:val="008D33D6"/>
    <w:rsid w:val="008D34A5"/>
    <w:rsid w:val="008D3775"/>
    <w:rsid w:val="008D3928"/>
    <w:rsid w:val="008D3BE0"/>
    <w:rsid w:val="008D40BE"/>
    <w:rsid w:val="008D467C"/>
    <w:rsid w:val="008D4AC1"/>
    <w:rsid w:val="008D4B34"/>
    <w:rsid w:val="008D4D57"/>
    <w:rsid w:val="008D4D73"/>
    <w:rsid w:val="008D5011"/>
    <w:rsid w:val="008D50E3"/>
    <w:rsid w:val="008D5253"/>
    <w:rsid w:val="008D5C5A"/>
    <w:rsid w:val="008D5FE0"/>
    <w:rsid w:val="008D667A"/>
    <w:rsid w:val="008D6984"/>
    <w:rsid w:val="008D6AA4"/>
    <w:rsid w:val="008D7014"/>
    <w:rsid w:val="008D71A4"/>
    <w:rsid w:val="008D7578"/>
    <w:rsid w:val="008D788A"/>
    <w:rsid w:val="008D7B06"/>
    <w:rsid w:val="008E08B3"/>
    <w:rsid w:val="008E1408"/>
    <w:rsid w:val="008E179C"/>
    <w:rsid w:val="008E1F04"/>
    <w:rsid w:val="008E20C9"/>
    <w:rsid w:val="008E2330"/>
    <w:rsid w:val="008E2428"/>
    <w:rsid w:val="008E26BF"/>
    <w:rsid w:val="008E27B4"/>
    <w:rsid w:val="008E29D3"/>
    <w:rsid w:val="008E3040"/>
    <w:rsid w:val="008E3076"/>
    <w:rsid w:val="008E31CA"/>
    <w:rsid w:val="008E33DF"/>
    <w:rsid w:val="008E342E"/>
    <w:rsid w:val="008E3441"/>
    <w:rsid w:val="008E42E2"/>
    <w:rsid w:val="008E4493"/>
    <w:rsid w:val="008E44EC"/>
    <w:rsid w:val="008E4538"/>
    <w:rsid w:val="008E45CE"/>
    <w:rsid w:val="008E465B"/>
    <w:rsid w:val="008E4CCD"/>
    <w:rsid w:val="008E5B19"/>
    <w:rsid w:val="008E5C43"/>
    <w:rsid w:val="008E65E4"/>
    <w:rsid w:val="008E6E07"/>
    <w:rsid w:val="008E72FE"/>
    <w:rsid w:val="008E7409"/>
    <w:rsid w:val="008E7C11"/>
    <w:rsid w:val="008F027B"/>
    <w:rsid w:val="008F0F05"/>
    <w:rsid w:val="008F1294"/>
    <w:rsid w:val="008F15D6"/>
    <w:rsid w:val="008F185C"/>
    <w:rsid w:val="008F19F8"/>
    <w:rsid w:val="008F1C90"/>
    <w:rsid w:val="008F2216"/>
    <w:rsid w:val="008F22CD"/>
    <w:rsid w:val="008F2601"/>
    <w:rsid w:val="008F2D29"/>
    <w:rsid w:val="008F2DB6"/>
    <w:rsid w:val="008F2E84"/>
    <w:rsid w:val="008F3177"/>
    <w:rsid w:val="008F36C0"/>
    <w:rsid w:val="008F38BB"/>
    <w:rsid w:val="008F3E1E"/>
    <w:rsid w:val="008F41BC"/>
    <w:rsid w:val="008F460B"/>
    <w:rsid w:val="008F47C6"/>
    <w:rsid w:val="008F4935"/>
    <w:rsid w:val="008F4952"/>
    <w:rsid w:val="008F49CB"/>
    <w:rsid w:val="008F50D3"/>
    <w:rsid w:val="008F511D"/>
    <w:rsid w:val="008F5251"/>
    <w:rsid w:val="008F54A3"/>
    <w:rsid w:val="008F5562"/>
    <w:rsid w:val="008F5641"/>
    <w:rsid w:val="008F586F"/>
    <w:rsid w:val="008F5F20"/>
    <w:rsid w:val="008F5F50"/>
    <w:rsid w:val="008F5F74"/>
    <w:rsid w:val="008F70CC"/>
    <w:rsid w:val="008F73C4"/>
    <w:rsid w:val="008F7887"/>
    <w:rsid w:val="008F796C"/>
    <w:rsid w:val="008F7A34"/>
    <w:rsid w:val="00900216"/>
    <w:rsid w:val="00900325"/>
    <w:rsid w:val="00900742"/>
    <w:rsid w:val="0090097A"/>
    <w:rsid w:val="00900D87"/>
    <w:rsid w:val="00901049"/>
    <w:rsid w:val="0090150B"/>
    <w:rsid w:val="00901813"/>
    <w:rsid w:val="009037C8"/>
    <w:rsid w:val="0090384B"/>
    <w:rsid w:val="00903A9A"/>
    <w:rsid w:val="00903CB6"/>
    <w:rsid w:val="00904524"/>
    <w:rsid w:val="0090473F"/>
    <w:rsid w:val="009049A2"/>
    <w:rsid w:val="00904DC8"/>
    <w:rsid w:val="00904F42"/>
    <w:rsid w:val="00904FA7"/>
    <w:rsid w:val="00904FEF"/>
    <w:rsid w:val="009050BA"/>
    <w:rsid w:val="00905702"/>
    <w:rsid w:val="00905874"/>
    <w:rsid w:val="0090599F"/>
    <w:rsid w:val="00905AD8"/>
    <w:rsid w:val="00905D5D"/>
    <w:rsid w:val="0090616D"/>
    <w:rsid w:val="00906892"/>
    <w:rsid w:val="00906B96"/>
    <w:rsid w:val="00906C62"/>
    <w:rsid w:val="00906D8F"/>
    <w:rsid w:val="00906E3C"/>
    <w:rsid w:val="00906F15"/>
    <w:rsid w:val="00906FD7"/>
    <w:rsid w:val="00907284"/>
    <w:rsid w:val="00907565"/>
    <w:rsid w:val="009076C7"/>
    <w:rsid w:val="0090778E"/>
    <w:rsid w:val="00907811"/>
    <w:rsid w:val="00907D02"/>
    <w:rsid w:val="00907D37"/>
    <w:rsid w:val="00907F78"/>
    <w:rsid w:val="0091019F"/>
    <w:rsid w:val="0091071B"/>
    <w:rsid w:val="00910763"/>
    <w:rsid w:val="00910C3F"/>
    <w:rsid w:val="0091155D"/>
    <w:rsid w:val="00911A51"/>
    <w:rsid w:val="00911FB9"/>
    <w:rsid w:val="00911FD0"/>
    <w:rsid w:val="00912370"/>
    <w:rsid w:val="00912488"/>
    <w:rsid w:val="0091257A"/>
    <w:rsid w:val="00912899"/>
    <w:rsid w:val="0091298E"/>
    <w:rsid w:val="00912DC5"/>
    <w:rsid w:val="00913118"/>
    <w:rsid w:val="00913579"/>
    <w:rsid w:val="009137DA"/>
    <w:rsid w:val="00913F28"/>
    <w:rsid w:val="009145D0"/>
    <w:rsid w:val="00914728"/>
    <w:rsid w:val="009155AC"/>
    <w:rsid w:val="00915A0D"/>
    <w:rsid w:val="00915BC9"/>
    <w:rsid w:val="00915D9A"/>
    <w:rsid w:val="00916CBE"/>
    <w:rsid w:val="00916F1D"/>
    <w:rsid w:val="009170EF"/>
    <w:rsid w:val="00917D88"/>
    <w:rsid w:val="0092004B"/>
    <w:rsid w:val="0092018E"/>
    <w:rsid w:val="00920305"/>
    <w:rsid w:val="00920811"/>
    <w:rsid w:val="00920A80"/>
    <w:rsid w:val="00920EDF"/>
    <w:rsid w:val="009210B2"/>
    <w:rsid w:val="0092130A"/>
    <w:rsid w:val="0092146B"/>
    <w:rsid w:val="0092151A"/>
    <w:rsid w:val="0092208F"/>
    <w:rsid w:val="009221C8"/>
    <w:rsid w:val="00922506"/>
    <w:rsid w:val="009225C2"/>
    <w:rsid w:val="009226D1"/>
    <w:rsid w:val="0092278D"/>
    <w:rsid w:val="009227A5"/>
    <w:rsid w:val="0092296F"/>
    <w:rsid w:val="00922C63"/>
    <w:rsid w:val="0092318E"/>
    <w:rsid w:val="009233FA"/>
    <w:rsid w:val="0092398D"/>
    <w:rsid w:val="00923DCB"/>
    <w:rsid w:val="009242FD"/>
    <w:rsid w:val="00924727"/>
    <w:rsid w:val="009248F6"/>
    <w:rsid w:val="00924C3B"/>
    <w:rsid w:val="009252FC"/>
    <w:rsid w:val="009253C7"/>
    <w:rsid w:val="009256E1"/>
    <w:rsid w:val="00925B0E"/>
    <w:rsid w:val="00925DF6"/>
    <w:rsid w:val="00925F37"/>
    <w:rsid w:val="0092620B"/>
    <w:rsid w:val="00926249"/>
    <w:rsid w:val="00926A26"/>
    <w:rsid w:val="00926F64"/>
    <w:rsid w:val="00927296"/>
    <w:rsid w:val="00927808"/>
    <w:rsid w:val="009304F8"/>
    <w:rsid w:val="009306B4"/>
    <w:rsid w:val="00930739"/>
    <w:rsid w:val="009308C3"/>
    <w:rsid w:val="009310E5"/>
    <w:rsid w:val="0093124A"/>
    <w:rsid w:val="00931D82"/>
    <w:rsid w:val="00931DDC"/>
    <w:rsid w:val="00932600"/>
    <w:rsid w:val="00932620"/>
    <w:rsid w:val="00932EE2"/>
    <w:rsid w:val="009335BD"/>
    <w:rsid w:val="0093368B"/>
    <w:rsid w:val="009339A2"/>
    <w:rsid w:val="00933CE8"/>
    <w:rsid w:val="00933D20"/>
    <w:rsid w:val="00933FCA"/>
    <w:rsid w:val="009342E7"/>
    <w:rsid w:val="009344E6"/>
    <w:rsid w:val="00934DD4"/>
    <w:rsid w:val="00934F15"/>
    <w:rsid w:val="00935688"/>
    <w:rsid w:val="00936112"/>
    <w:rsid w:val="009369EC"/>
    <w:rsid w:val="00936A1F"/>
    <w:rsid w:val="00936CC8"/>
    <w:rsid w:val="00936DD3"/>
    <w:rsid w:val="00937514"/>
    <w:rsid w:val="009376DC"/>
    <w:rsid w:val="00937771"/>
    <w:rsid w:val="0093777E"/>
    <w:rsid w:val="00937A68"/>
    <w:rsid w:val="00937EE5"/>
    <w:rsid w:val="00940089"/>
    <w:rsid w:val="00940372"/>
    <w:rsid w:val="00940975"/>
    <w:rsid w:val="0094097A"/>
    <w:rsid w:val="00940A89"/>
    <w:rsid w:val="00940D0E"/>
    <w:rsid w:val="00940EE4"/>
    <w:rsid w:val="009413B9"/>
    <w:rsid w:val="00941438"/>
    <w:rsid w:val="009414B2"/>
    <w:rsid w:val="00941D06"/>
    <w:rsid w:val="00942188"/>
    <w:rsid w:val="00942AB9"/>
    <w:rsid w:val="00943918"/>
    <w:rsid w:val="0094392E"/>
    <w:rsid w:val="009440F9"/>
    <w:rsid w:val="0094480B"/>
    <w:rsid w:val="00944B88"/>
    <w:rsid w:val="00944C84"/>
    <w:rsid w:val="00945765"/>
    <w:rsid w:val="0094580F"/>
    <w:rsid w:val="009458FE"/>
    <w:rsid w:val="00945B0F"/>
    <w:rsid w:val="009460C6"/>
    <w:rsid w:val="00946415"/>
    <w:rsid w:val="00946C23"/>
    <w:rsid w:val="00946E10"/>
    <w:rsid w:val="009475C5"/>
    <w:rsid w:val="009475D8"/>
    <w:rsid w:val="009508C7"/>
    <w:rsid w:val="00950D16"/>
    <w:rsid w:val="00950E2D"/>
    <w:rsid w:val="00950F09"/>
    <w:rsid w:val="00951499"/>
    <w:rsid w:val="009517B8"/>
    <w:rsid w:val="00951809"/>
    <w:rsid w:val="00951A4A"/>
    <w:rsid w:val="00951D3F"/>
    <w:rsid w:val="00952124"/>
    <w:rsid w:val="0095268C"/>
    <w:rsid w:val="00952A58"/>
    <w:rsid w:val="00952ABB"/>
    <w:rsid w:val="00952B3D"/>
    <w:rsid w:val="00952E6F"/>
    <w:rsid w:val="00953932"/>
    <w:rsid w:val="00953CFF"/>
    <w:rsid w:val="00953E51"/>
    <w:rsid w:val="009548A2"/>
    <w:rsid w:val="00954A46"/>
    <w:rsid w:val="009550ED"/>
    <w:rsid w:val="00955181"/>
    <w:rsid w:val="00955461"/>
    <w:rsid w:val="009554D9"/>
    <w:rsid w:val="0095587E"/>
    <w:rsid w:val="00955C70"/>
    <w:rsid w:val="00955CF1"/>
    <w:rsid w:val="00955E1F"/>
    <w:rsid w:val="0095673D"/>
    <w:rsid w:val="009568A2"/>
    <w:rsid w:val="00956FEF"/>
    <w:rsid w:val="009570A8"/>
    <w:rsid w:val="009571C7"/>
    <w:rsid w:val="009573FA"/>
    <w:rsid w:val="009577BD"/>
    <w:rsid w:val="009578A4"/>
    <w:rsid w:val="009579E7"/>
    <w:rsid w:val="00957D52"/>
    <w:rsid w:val="0096021E"/>
    <w:rsid w:val="00960433"/>
    <w:rsid w:val="00960DD0"/>
    <w:rsid w:val="00960DEE"/>
    <w:rsid w:val="00961142"/>
    <w:rsid w:val="00961775"/>
    <w:rsid w:val="00961817"/>
    <w:rsid w:val="009619C2"/>
    <w:rsid w:val="00961A93"/>
    <w:rsid w:val="00961EA8"/>
    <w:rsid w:val="00962163"/>
    <w:rsid w:val="00962B71"/>
    <w:rsid w:val="009632E6"/>
    <w:rsid w:val="00963596"/>
    <w:rsid w:val="00963968"/>
    <w:rsid w:val="00963BE8"/>
    <w:rsid w:val="0096413E"/>
    <w:rsid w:val="00964229"/>
    <w:rsid w:val="009655DD"/>
    <w:rsid w:val="00965C76"/>
    <w:rsid w:val="00965D4B"/>
    <w:rsid w:val="00965E31"/>
    <w:rsid w:val="009664D9"/>
    <w:rsid w:val="00966A14"/>
    <w:rsid w:val="00966CA6"/>
    <w:rsid w:val="00967088"/>
    <w:rsid w:val="009679EC"/>
    <w:rsid w:val="00967BC7"/>
    <w:rsid w:val="00967C72"/>
    <w:rsid w:val="00967CD8"/>
    <w:rsid w:val="00970215"/>
    <w:rsid w:val="00970565"/>
    <w:rsid w:val="00970ABA"/>
    <w:rsid w:val="0097188E"/>
    <w:rsid w:val="00971984"/>
    <w:rsid w:val="00971A4E"/>
    <w:rsid w:val="00971AB1"/>
    <w:rsid w:val="00971D47"/>
    <w:rsid w:val="00972001"/>
    <w:rsid w:val="0097202A"/>
    <w:rsid w:val="00972253"/>
    <w:rsid w:val="00972283"/>
    <w:rsid w:val="009728C9"/>
    <w:rsid w:val="00972B10"/>
    <w:rsid w:val="00972C05"/>
    <w:rsid w:val="00972FD5"/>
    <w:rsid w:val="00973486"/>
    <w:rsid w:val="00973666"/>
    <w:rsid w:val="00974473"/>
    <w:rsid w:val="009745E6"/>
    <w:rsid w:val="00974857"/>
    <w:rsid w:val="0097493C"/>
    <w:rsid w:val="00974BA7"/>
    <w:rsid w:val="00975033"/>
    <w:rsid w:val="0097526C"/>
    <w:rsid w:val="009755E5"/>
    <w:rsid w:val="0097572B"/>
    <w:rsid w:val="00975949"/>
    <w:rsid w:val="00975997"/>
    <w:rsid w:val="00975ADA"/>
    <w:rsid w:val="00975CEC"/>
    <w:rsid w:val="00975DBE"/>
    <w:rsid w:val="00975F18"/>
    <w:rsid w:val="00976628"/>
    <w:rsid w:val="00976915"/>
    <w:rsid w:val="00976C13"/>
    <w:rsid w:val="00976F82"/>
    <w:rsid w:val="009771C8"/>
    <w:rsid w:val="00977363"/>
    <w:rsid w:val="009773FB"/>
    <w:rsid w:val="009774E2"/>
    <w:rsid w:val="0097760C"/>
    <w:rsid w:val="00977A3F"/>
    <w:rsid w:val="00977F00"/>
    <w:rsid w:val="009801BF"/>
    <w:rsid w:val="00980390"/>
    <w:rsid w:val="009806E8"/>
    <w:rsid w:val="00980891"/>
    <w:rsid w:val="00980AB2"/>
    <w:rsid w:val="00980E2A"/>
    <w:rsid w:val="00980EAF"/>
    <w:rsid w:val="00980F1D"/>
    <w:rsid w:val="00980FBB"/>
    <w:rsid w:val="009812D6"/>
    <w:rsid w:val="0098239D"/>
    <w:rsid w:val="0098277E"/>
    <w:rsid w:val="00982A73"/>
    <w:rsid w:val="00982BD1"/>
    <w:rsid w:val="00982C05"/>
    <w:rsid w:val="00983041"/>
    <w:rsid w:val="00983121"/>
    <w:rsid w:val="00983237"/>
    <w:rsid w:val="009836A0"/>
    <w:rsid w:val="009837F5"/>
    <w:rsid w:val="00983A4D"/>
    <w:rsid w:val="00983ADA"/>
    <w:rsid w:val="00983E08"/>
    <w:rsid w:val="00984175"/>
    <w:rsid w:val="009847BB"/>
    <w:rsid w:val="00984A15"/>
    <w:rsid w:val="00985998"/>
    <w:rsid w:val="00985A83"/>
    <w:rsid w:val="00985CA8"/>
    <w:rsid w:val="00985ED5"/>
    <w:rsid w:val="00986089"/>
    <w:rsid w:val="00986540"/>
    <w:rsid w:val="00986878"/>
    <w:rsid w:val="00986A49"/>
    <w:rsid w:val="00986AD1"/>
    <w:rsid w:val="0098721B"/>
    <w:rsid w:val="00987320"/>
    <w:rsid w:val="00987858"/>
    <w:rsid w:val="00987D8B"/>
    <w:rsid w:val="009905AB"/>
    <w:rsid w:val="00990606"/>
    <w:rsid w:val="0099065D"/>
    <w:rsid w:val="00990882"/>
    <w:rsid w:val="0099092E"/>
    <w:rsid w:val="00990C7A"/>
    <w:rsid w:val="00991030"/>
    <w:rsid w:val="009915B3"/>
    <w:rsid w:val="009915FF"/>
    <w:rsid w:val="009916A8"/>
    <w:rsid w:val="0099178E"/>
    <w:rsid w:val="009917E9"/>
    <w:rsid w:val="00991C26"/>
    <w:rsid w:val="00992002"/>
    <w:rsid w:val="00992774"/>
    <w:rsid w:val="00992C4E"/>
    <w:rsid w:val="0099315D"/>
    <w:rsid w:val="0099397E"/>
    <w:rsid w:val="00993C30"/>
    <w:rsid w:val="00995291"/>
    <w:rsid w:val="009952D2"/>
    <w:rsid w:val="00995301"/>
    <w:rsid w:val="0099584A"/>
    <w:rsid w:val="00995AE6"/>
    <w:rsid w:val="00995BC5"/>
    <w:rsid w:val="00995D38"/>
    <w:rsid w:val="00996197"/>
    <w:rsid w:val="00996763"/>
    <w:rsid w:val="00996D4B"/>
    <w:rsid w:val="009970CB"/>
    <w:rsid w:val="0099765E"/>
    <w:rsid w:val="009A0058"/>
    <w:rsid w:val="009A087E"/>
    <w:rsid w:val="009A0B6B"/>
    <w:rsid w:val="009A0B74"/>
    <w:rsid w:val="009A0E40"/>
    <w:rsid w:val="009A1036"/>
    <w:rsid w:val="009A120F"/>
    <w:rsid w:val="009A1307"/>
    <w:rsid w:val="009A16E7"/>
    <w:rsid w:val="009A1AC1"/>
    <w:rsid w:val="009A2084"/>
    <w:rsid w:val="009A2997"/>
    <w:rsid w:val="009A2C25"/>
    <w:rsid w:val="009A2DA1"/>
    <w:rsid w:val="009A2EAB"/>
    <w:rsid w:val="009A2F31"/>
    <w:rsid w:val="009A3500"/>
    <w:rsid w:val="009A3C2F"/>
    <w:rsid w:val="009A448B"/>
    <w:rsid w:val="009A460D"/>
    <w:rsid w:val="009A4691"/>
    <w:rsid w:val="009A4DBB"/>
    <w:rsid w:val="009A4EFD"/>
    <w:rsid w:val="009A50F6"/>
    <w:rsid w:val="009A597F"/>
    <w:rsid w:val="009A66AC"/>
    <w:rsid w:val="009A6A9E"/>
    <w:rsid w:val="009A73DC"/>
    <w:rsid w:val="009A782A"/>
    <w:rsid w:val="009A7E8F"/>
    <w:rsid w:val="009A7FD7"/>
    <w:rsid w:val="009B05C1"/>
    <w:rsid w:val="009B05C9"/>
    <w:rsid w:val="009B0993"/>
    <w:rsid w:val="009B0C95"/>
    <w:rsid w:val="009B115C"/>
    <w:rsid w:val="009B11D6"/>
    <w:rsid w:val="009B120E"/>
    <w:rsid w:val="009B14F9"/>
    <w:rsid w:val="009B1DE9"/>
    <w:rsid w:val="009B1F1B"/>
    <w:rsid w:val="009B1F26"/>
    <w:rsid w:val="009B1FC5"/>
    <w:rsid w:val="009B2D19"/>
    <w:rsid w:val="009B2F6D"/>
    <w:rsid w:val="009B3967"/>
    <w:rsid w:val="009B39A3"/>
    <w:rsid w:val="009B3F37"/>
    <w:rsid w:val="009B401C"/>
    <w:rsid w:val="009B43D4"/>
    <w:rsid w:val="009B43F4"/>
    <w:rsid w:val="009B4F1B"/>
    <w:rsid w:val="009B625B"/>
    <w:rsid w:val="009B6B17"/>
    <w:rsid w:val="009B6E2B"/>
    <w:rsid w:val="009B716C"/>
    <w:rsid w:val="009B7B80"/>
    <w:rsid w:val="009C00D3"/>
    <w:rsid w:val="009C0364"/>
    <w:rsid w:val="009C03D5"/>
    <w:rsid w:val="009C06FD"/>
    <w:rsid w:val="009C0C2A"/>
    <w:rsid w:val="009C0CCE"/>
    <w:rsid w:val="009C0EE1"/>
    <w:rsid w:val="009C0EEB"/>
    <w:rsid w:val="009C1497"/>
    <w:rsid w:val="009C14C3"/>
    <w:rsid w:val="009C184B"/>
    <w:rsid w:val="009C1F71"/>
    <w:rsid w:val="009C24BC"/>
    <w:rsid w:val="009C25D1"/>
    <w:rsid w:val="009C25FE"/>
    <w:rsid w:val="009C2C64"/>
    <w:rsid w:val="009C2C65"/>
    <w:rsid w:val="009C3637"/>
    <w:rsid w:val="009C3991"/>
    <w:rsid w:val="009C3A65"/>
    <w:rsid w:val="009C3B51"/>
    <w:rsid w:val="009C3CA4"/>
    <w:rsid w:val="009C456B"/>
    <w:rsid w:val="009C46FA"/>
    <w:rsid w:val="009C47C0"/>
    <w:rsid w:val="009C47DA"/>
    <w:rsid w:val="009C4AA8"/>
    <w:rsid w:val="009C4B2D"/>
    <w:rsid w:val="009C4ECC"/>
    <w:rsid w:val="009C532D"/>
    <w:rsid w:val="009C546A"/>
    <w:rsid w:val="009C571B"/>
    <w:rsid w:val="009C589D"/>
    <w:rsid w:val="009C5FF5"/>
    <w:rsid w:val="009C6118"/>
    <w:rsid w:val="009C6471"/>
    <w:rsid w:val="009C664C"/>
    <w:rsid w:val="009C67AC"/>
    <w:rsid w:val="009C6AE6"/>
    <w:rsid w:val="009C6C36"/>
    <w:rsid w:val="009C70A3"/>
    <w:rsid w:val="009C7642"/>
    <w:rsid w:val="009C778D"/>
    <w:rsid w:val="009D016B"/>
    <w:rsid w:val="009D0C7B"/>
    <w:rsid w:val="009D0DB5"/>
    <w:rsid w:val="009D0F0A"/>
    <w:rsid w:val="009D1332"/>
    <w:rsid w:val="009D1385"/>
    <w:rsid w:val="009D1853"/>
    <w:rsid w:val="009D18A2"/>
    <w:rsid w:val="009D1947"/>
    <w:rsid w:val="009D1D3C"/>
    <w:rsid w:val="009D1F8D"/>
    <w:rsid w:val="009D23BE"/>
    <w:rsid w:val="009D26D9"/>
    <w:rsid w:val="009D2C04"/>
    <w:rsid w:val="009D2FC8"/>
    <w:rsid w:val="009D31BD"/>
    <w:rsid w:val="009D31CB"/>
    <w:rsid w:val="009D356E"/>
    <w:rsid w:val="009D3629"/>
    <w:rsid w:val="009D4271"/>
    <w:rsid w:val="009D44F6"/>
    <w:rsid w:val="009D4646"/>
    <w:rsid w:val="009D472A"/>
    <w:rsid w:val="009D4D60"/>
    <w:rsid w:val="009D551A"/>
    <w:rsid w:val="009D5839"/>
    <w:rsid w:val="009D59E9"/>
    <w:rsid w:val="009D5B92"/>
    <w:rsid w:val="009D6026"/>
    <w:rsid w:val="009D614B"/>
    <w:rsid w:val="009D6212"/>
    <w:rsid w:val="009D6615"/>
    <w:rsid w:val="009D697A"/>
    <w:rsid w:val="009D6B16"/>
    <w:rsid w:val="009D6C60"/>
    <w:rsid w:val="009D7602"/>
    <w:rsid w:val="009D77E7"/>
    <w:rsid w:val="009D7946"/>
    <w:rsid w:val="009D7CB9"/>
    <w:rsid w:val="009E0121"/>
    <w:rsid w:val="009E02E3"/>
    <w:rsid w:val="009E053E"/>
    <w:rsid w:val="009E05E7"/>
    <w:rsid w:val="009E0757"/>
    <w:rsid w:val="009E0835"/>
    <w:rsid w:val="009E0918"/>
    <w:rsid w:val="009E0A71"/>
    <w:rsid w:val="009E0C74"/>
    <w:rsid w:val="009E1AEF"/>
    <w:rsid w:val="009E1B4B"/>
    <w:rsid w:val="009E1D4A"/>
    <w:rsid w:val="009E1F03"/>
    <w:rsid w:val="009E21B3"/>
    <w:rsid w:val="009E3685"/>
    <w:rsid w:val="009E3863"/>
    <w:rsid w:val="009E45AA"/>
    <w:rsid w:val="009E47BA"/>
    <w:rsid w:val="009E47DD"/>
    <w:rsid w:val="009E4C96"/>
    <w:rsid w:val="009E501F"/>
    <w:rsid w:val="009E521F"/>
    <w:rsid w:val="009E5A33"/>
    <w:rsid w:val="009E5A91"/>
    <w:rsid w:val="009E5B78"/>
    <w:rsid w:val="009E5E2A"/>
    <w:rsid w:val="009E6427"/>
    <w:rsid w:val="009E6C1C"/>
    <w:rsid w:val="009E6E59"/>
    <w:rsid w:val="009E7035"/>
    <w:rsid w:val="009E72F1"/>
    <w:rsid w:val="009E75AA"/>
    <w:rsid w:val="009E7B31"/>
    <w:rsid w:val="009E7B54"/>
    <w:rsid w:val="009F018C"/>
    <w:rsid w:val="009F0ADD"/>
    <w:rsid w:val="009F0C98"/>
    <w:rsid w:val="009F0CB2"/>
    <w:rsid w:val="009F0FDE"/>
    <w:rsid w:val="009F1245"/>
    <w:rsid w:val="009F13E7"/>
    <w:rsid w:val="009F140B"/>
    <w:rsid w:val="009F145D"/>
    <w:rsid w:val="009F1784"/>
    <w:rsid w:val="009F17BD"/>
    <w:rsid w:val="009F1E89"/>
    <w:rsid w:val="009F2239"/>
    <w:rsid w:val="009F24CC"/>
    <w:rsid w:val="009F2552"/>
    <w:rsid w:val="009F27E2"/>
    <w:rsid w:val="009F27E4"/>
    <w:rsid w:val="009F2A3F"/>
    <w:rsid w:val="009F2C3B"/>
    <w:rsid w:val="009F2F2D"/>
    <w:rsid w:val="009F358B"/>
    <w:rsid w:val="009F4014"/>
    <w:rsid w:val="009F43D3"/>
    <w:rsid w:val="009F44AF"/>
    <w:rsid w:val="009F47E5"/>
    <w:rsid w:val="009F49BA"/>
    <w:rsid w:val="009F4B67"/>
    <w:rsid w:val="009F4CE3"/>
    <w:rsid w:val="009F5B8C"/>
    <w:rsid w:val="009F625B"/>
    <w:rsid w:val="009F63AE"/>
    <w:rsid w:val="009F6842"/>
    <w:rsid w:val="009F6DFE"/>
    <w:rsid w:val="009F6E1A"/>
    <w:rsid w:val="009F6F25"/>
    <w:rsid w:val="009F6F9F"/>
    <w:rsid w:val="009F73A5"/>
    <w:rsid w:val="009F79EA"/>
    <w:rsid w:val="00A005A4"/>
    <w:rsid w:val="00A0067C"/>
    <w:rsid w:val="00A0072A"/>
    <w:rsid w:val="00A00AB0"/>
    <w:rsid w:val="00A00DDA"/>
    <w:rsid w:val="00A00FC5"/>
    <w:rsid w:val="00A013F2"/>
    <w:rsid w:val="00A02DE5"/>
    <w:rsid w:val="00A02DFC"/>
    <w:rsid w:val="00A0308E"/>
    <w:rsid w:val="00A032B9"/>
    <w:rsid w:val="00A03425"/>
    <w:rsid w:val="00A03B1F"/>
    <w:rsid w:val="00A04096"/>
    <w:rsid w:val="00A043A5"/>
    <w:rsid w:val="00A044C3"/>
    <w:rsid w:val="00A04620"/>
    <w:rsid w:val="00A04810"/>
    <w:rsid w:val="00A048E1"/>
    <w:rsid w:val="00A04A79"/>
    <w:rsid w:val="00A051C2"/>
    <w:rsid w:val="00A051E7"/>
    <w:rsid w:val="00A052B7"/>
    <w:rsid w:val="00A0576D"/>
    <w:rsid w:val="00A05C9A"/>
    <w:rsid w:val="00A05FA2"/>
    <w:rsid w:val="00A06773"/>
    <w:rsid w:val="00A06AAE"/>
    <w:rsid w:val="00A07715"/>
    <w:rsid w:val="00A0798F"/>
    <w:rsid w:val="00A10ACD"/>
    <w:rsid w:val="00A10B03"/>
    <w:rsid w:val="00A10CF3"/>
    <w:rsid w:val="00A10D2A"/>
    <w:rsid w:val="00A111F7"/>
    <w:rsid w:val="00A1165C"/>
    <w:rsid w:val="00A11924"/>
    <w:rsid w:val="00A11EFE"/>
    <w:rsid w:val="00A13146"/>
    <w:rsid w:val="00A1336A"/>
    <w:rsid w:val="00A147B2"/>
    <w:rsid w:val="00A14881"/>
    <w:rsid w:val="00A14A13"/>
    <w:rsid w:val="00A14A96"/>
    <w:rsid w:val="00A14D4B"/>
    <w:rsid w:val="00A15753"/>
    <w:rsid w:val="00A15D11"/>
    <w:rsid w:val="00A15DA2"/>
    <w:rsid w:val="00A15DEB"/>
    <w:rsid w:val="00A15E48"/>
    <w:rsid w:val="00A15FDA"/>
    <w:rsid w:val="00A1698B"/>
    <w:rsid w:val="00A16BB2"/>
    <w:rsid w:val="00A17372"/>
    <w:rsid w:val="00A17673"/>
    <w:rsid w:val="00A17BB9"/>
    <w:rsid w:val="00A17E8A"/>
    <w:rsid w:val="00A20159"/>
    <w:rsid w:val="00A20166"/>
    <w:rsid w:val="00A201C9"/>
    <w:rsid w:val="00A20B3E"/>
    <w:rsid w:val="00A20B7D"/>
    <w:rsid w:val="00A20CFA"/>
    <w:rsid w:val="00A2111E"/>
    <w:rsid w:val="00A214A1"/>
    <w:rsid w:val="00A21B0C"/>
    <w:rsid w:val="00A2219A"/>
    <w:rsid w:val="00A221B2"/>
    <w:rsid w:val="00A221B9"/>
    <w:rsid w:val="00A22260"/>
    <w:rsid w:val="00A2229B"/>
    <w:rsid w:val="00A223EF"/>
    <w:rsid w:val="00A226DE"/>
    <w:rsid w:val="00A22826"/>
    <w:rsid w:val="00A23155"/>
    <w:rsid w:val="00A23242"/>
    <w:rsid w:val="00A235C5"/>
    <w:rsid w:val="00A235F0"/>
    <w:rsid w:val="00A24340"/>
    <w:rsid w:val="00A24B6B"/>
    <w:rsid w:val="00A24EE7"/>
    <w:rsid w:val="00A24F11"/>
    <w:rsid w:val="00A2527E"/>
    <w:rsid w:val="00A25327"/>
    <w:rsid w:val="00A25462"/>
    <w:rsid w:val="00A254D7"/>
    <w:rsid w:val="00A257CE"/>
    <w:rsid w:val="00A259E6"/>
    <w:rsid w:val="00A25DDA"/>
    <w:rsid w:val="00A25FA5"/>
    <w:rsid w:val="00A26363"/>
    <w:rsid w:val="00A263FE"/>
    <w:rsid w:val="00A2647E"/>
    <w:rsid w:val="00A265E1"/>
    <w:rsid w:val="00A26A20"/>
    <w:rsid w:val="00A26B58"/>
    <w:rsid w:val="00A26CE3"/>
    <w:rsid w:val="00A27514"/>
    <w:rsid w:val="00A27685"/>
    <w:rsid w:val="00A30232"/>
    <w:rsid w:val="00A30582"/>
    <w:rsid w:val="00A30727"/>
    <w:rsid w:val="00A30D0B"/>
    <w:rsid w:val="00A315BF"/>
    <w:rsid w:val="00A3215E"/>
    <w:rsid w:val="00A32237"/>
    <w:rsid w:val="00A32915"/>
    <w:rsid w:val="00A3292D"/>
    <w:rsid w:val="00A329FB"/>
    <w:rsid w:val="00A32B5C"/>
    <w:rsid w:val="00A32DEC"/>
    <w:rsid w:val="00A32E8F"/>
    <w:rsid w:val="00A332CD"/>
    <w:rsid w:val="00A33576"/>
    <w:rsid w:val="00A33754"/>
    <w:rsid w:val="00A33B18"/>
    <w:rsid w:val="00A33F7D"/>
    <w:rsid w:val="00A3442E"/>
    <w:rsid w:val="00A34A08"/>
    <w:rsid w:val="00A34C24"/>
    <w:rsid w:val="00A34CD4"/>
    <w:rsid w:val="00A34EFC"/>
    <w:rsid w:val="00A350CB"/>
    <w:rsid w:val="00A355DD"/>
    <w:rsid w:val="00A356A4"/>
    <w:rsid w:val="00A35745"/>
    <w:rsid w:val="00A358BF"/>
    <w:rsid w:val="00A35C9A"/>
    <w:rsid w:val="00A35EA5"/>
    <w:rsid w:val="00A35F32"/>
    <w:rsid w:val="00A35F5F"/>
    <w:rsid w:val="00A35FFC"/>
    <w:rsid w:val="00A36DF6"/>
    <w:rsid w:val="00A371CC"/>
    <w:rsid w:val="00A37524"/>
    <w:rsid w:val="00A40333"/>
    <w:rsid w:val="00A409A4"/>
    <w:rsid w:val="00A409F6"/>
    <w:rsid w:val="00A40C40"/>
    <w:rsid w:val="00A40E97"/>
    <w:rsid w:val="00A40F7B"/>
    <w:rsid w:val="00A4184A"/>
    <w:rsid w:val="00A41A1D"/>
    <w:rsid w:val="00A41D95"/>
    <w:rsid w:val="00A4236B"/>
    <w:rsid w:val="00A424D7"/>
    <w:rsid w:val="00A424D9"/>
    <w:rsid w:val="00A427AD"/>
    <w:rsid w:val="00A4290F"/>
    <w:rsid w:val="00A42AEB"/>
    <w:rsid w:val="00A42C6A"/>
    <w:rsid w:val="00A42E68"/>
    <w:rsid w:val="00A4332D"/>
    <w:rsid w:val="00A43AF3"/>
    <w:rsid w:val="00A440C0"/>
    <w:rsid w:val="00A44145"/>
    <w:rsid w:val="00A44282"/>
    <w:rsid w:val="00A442D7"/>
    <w:rsid w:val="00A445C6"/>
    <w:rsid w:val="00A44719"/>
    <w:rsid w:val="00A44D4D"/>
    <w:rsid w:val="00A4664E"/>
    <w:rsid w:val="00A46678"/>
    <w:rsid w:val="00A46BB6"/>
    <w:rsid w:val="00A46BBD"/>
    <w:rsid w:val="00A46CDB"/>
    <w:rsid w:val="00A46E41"/>
    <w:rsid w:val="00A46F4D"/>
    <w:rsid w:val="00A4779E"/>
    <w:rsid w:val="00A47858"/>
    <w:rsid w:val="00A478D1"/>
    <w:rsid w:val="00A47934"/>
    <w:rsid w:val="00A47984"/>
    <w:rsid w:val="00A47A87"/>
    <w:rsid w:val="00A47E9A"/>
    <w:rsid w:val="00A503B8"/>
    <w:rsid w:val="00A5045C"/>
    <w:rsid w:val="00A50720"/>
    <w:rsid w:val="00A513AF"/>
    <w:rsid w:val="00A513EC"/>
    <w:rsid w:val="00A513FC"/>
    <w:rsid w:val="00A5249C"/>
    <w:rsid w:val="00A52538"/>
    <w:rsid w:val="00A5253D"/>
    <w:rsid w:val="00A52D69"/>
    <w:rsid w:val="00A52F52"/>
    <w:rsid w:val="00A53041"/>
    <w:rsid w:val="00A530CE"/>
    <w:rsid w:val="00A532E5"/>
    <w:rsid w:val="00A53657"/>
    <w:rsid w:val="00A53C84"/>
    <w:rsid w:val="00A53F3C"/>
    <w:rsid w:val="00A5438D"/>
    <w:rsid w:val="00A54466"/>
    <w:rsid w:val="00A5446A"/>
    <w:rsid w:val="00A545A4"/>
    <w:rsid w:val="00A547B8"/>
    <w:rsid w:val="00A5500D"/>
    <w:rsid w:val="00A5604D"/>
    <w:rsid w:val="00A56AD1"/>
    <w:rsid w:val="00A56C07"/>
    <w:rsid w:val="00A56D48"/>
    <w:rsid w:val="00A571BE"/>
    <w:rsid w:val="00A57F72"/>
    <w:rsid w:val="00A60025"/>
    <w:rsid w:val="00A602B9"/>
    <w:rsid w:val="00A60D4F"/>
    <w:rsid w:val="00A612D2"/>
    <w:rsid w:val="00A61364"/>
    <w:rsid w:val="00A616FB"/>
    <w:rsid w:val="00A61745"/>
    <w:rsid w:val="00A61798"/>
    <w:rsid w:val="00A61923"/>
    <w:rsid w:val="00A61AF9"/>
    <w:rsid w:val="00A61BAB"/>
    <w:rsid w:val="00A61E90"/>
    <w:rsid w:val="00A6201C"/>
    <w:rsid w:val="00A622D0"/>
    <w:rsid w:val="00A6253D"/>
    <w:rsid w:val="00A627D9"/>
    <w:rsid w:val="00A627EA"/>
    <w:rsid w:val="00A62A0B"/>
    <w:rsid w:val="00A62E08"/>
    <w:rsid w:val="00A6311A"/>
    <w:rsid w:val="00A633F2"/>
    <w:rsid w:val="00A639F8"/>
    <w:rsid w:val="00A63DE9"/>
    <w:rsid w:val="00A63E70"/>
    <w:rsid w:val="00A63EAD"/>
    <w:rsid w:val="00A642E2"/>
    <w:rsid w:val="00A644B9"/>
    <w:rsid w:val="00A64B36"/>
    <w:rsid w:val="00A64B59"/>
    <w:rsid w:val="00A64E04"/>
    <w:rsid w:val="00A64E54"/>
    <w:rsid w:val="00A6520C"/>
    <w:rsid w:val="00A654C0"/>
    <w:rsid w:val="00A659E2"/>
    <w:rsid w:val="00A65ACF"/>
    <w:rsid w:val="00A65E09"/>
    <w:rsid w:val="00A660FE"/>
    <w:rsid w:val="00A66533"/>
    <w:rsid w:val="00A66A3F"/>
    <w:rsid w:val="00A66F6B"/>
    <w:rsid w:val="00A672C5"/>
    <w:rsid w:val="00A673A2"/>
    <w:rsid w:val="00A677E0"/>
    <w:rsid w:val="00A700D3"/>
    <w:rsid w:val="00A7064F"/>
    <w:rsid w:val="00A708CF"/>
    <w:rsid w:val="00A70A5F"/>
    <w:rsid w:val="00A70B28"/>
    <w:rsid w:val="00A70CDD"/>
    <w:rsid w:val="00A71163"/>
    <w:rsid w:val="00A7137C"/>
    <w:rsid w:val="00A71573"/>
    <w:rsid w:val="00A71894"/>
    <w:rsid w:val="00A71CA0"/>
    <w:rsid w:val="00A71EC0"/>
    <w:rsid w:val="00A72327"/>
    <w:rsid w:val="00A7245B"/>
    <w:rsid w:val="00A72527"/>
    <w:rsid w:val="00A72753"/>
    <w:rsid w:val="00A727F2"/>
    <w:rsid w:val="00A728C7"/>
    <w:rsid w:val="00A72EAE"/>
    <w:rsid w:val="00A72FC3"/>
    <w:rsid w:val="00A73047"/>
    <w:rsid w:val="00A7324A"/>
    <w:rsid w:val="00A73363"/>
    <w:rsid w:val="00A733E5"/>
    <w:rsid w:val="00A73CB3"/>
    <w:rsid w:val="00A74042"/>
    <w:rsid w:val="00A747E0"/>
    <w:rsid w:val="00A74877"/>
    <w:rsid w:val="00A74879"/>
    <w:rsid w:val="00A74C72"/>
    <w:rsid w:val="00A7509D"/>
    <w:rsid w:val="00A751D6"/>
    <w:rsid w:val="00A7578B"/>
    <w:rsid w:val="00A75A93"/>
    <w:rsid w:val="00A75BC5"/>
    <w:rsid w:val="00A75C7D"/>
    <w:rsid w:val="00A76107"/>
    <w:rsid w:val="00A765BC"/>
    <w:rsid w:val="00A76775"/>
    <w:rsid w:val="00A768FE"/>
    <w:rsid w:val="00A76B5C"/>
    <w:rsid w:val="00A76D0B"/>
    <w:rsid w:val="00A7723D"/>
    <w:rsid w:val="00A772E8"/>
    <w:rsid w:val="00A77A39"/>
    <w:rsid w:val="00A77D21"/>
    <w:rsid w:val="00A80316"/>
    <w:rsid w:val="00A8061A"/>
    <w:rsid w:val="00A80F78"/>
    <w:rsid w:val="00A813D3"/>
    <w:rsid w:val="00A81ADC"/>
    <w:rsid w:val="00A81C1F"/>
    <w:rsid w:val="00A82176"/>
    <w:rsid w:val="00A82ACB"/>
    <w:rsid w:val="00A82D94"/>
    <w:rsid w:val="00A82F1E"/>
    <w:rsid w:val="00A834C9"/>
    <w:rsid w:val="00A83855"/>
    <w:rsid w:val="00A83DCF"/>
    <w:rsid w:val="00A83F48"/>
    <w:rsid w:val="00A8402D"/>
    <w:rsid w:val="00A840B3"/>
    <w:rsid w:val="00A8445E"/>
    <w:rsid w:val="00A84571"/>
    <w:rsid w:val="00A84BC0"/>
    <w:rsid w:val="00A84BD1"/>
    <w:rsid w:val="00A84FE2"/>
    <w:rsid w:val="00A853D8"/>
    <w:rsid w:val="00A854E8"/>
    <w:rsid w:val="00A8629B"/>
    <w:rsid w:val="00A8673E"/>
    <w:rsid w:val="00A86A61"/>
    <w:rsid w:val="00A86D15"/>
    <w:rsid w:val="00A8726E"/>
    <w:rsid w:val="00A87850"/>
    <w:rsid w:val="00A87BA0"/>
    <w:rsid w:val="00A905FD"/>
    <w:rsid w:val="00A90653"/>
    <w:rsid w:val="00A90B69"/>
    <w:rsid w:val="00A90C1B"/>
    <w:rsid w:val="00A911AB"/>
    <w:rsid w:val="00A92151"/>
    <w:rsid w:val="00A92286"/>
    <w:rsid w:val="00A92680"/>
    <w:rsid w:val="00A92A7B"/>
    <w:rsid w:val="00A92C38"/>
    <w:rsid w:val="00A92CEF"/>
    <w:rsid w:val="00A930BD"/>
    <w:rsid w:val="00A93207"/>
    <w:rsid w:val="00A9346E"/>
    <w:rsid w:val="00A93C83"/>
    <w:rsid w:val="00A945D1"/>
    <w:rsid w:val="00A946FB"/>
    <w:rsid w:val="00A947B1"/>
    <w:rsid w:val="00A94E10"/>
    <w:rsid w:val="00A9643E"/>
    <w:rsid w:val="00A96632"/>
    <w:rsid w:val="00A9671B"/>
    <w:rsid w:val="00A96A89"/>
    <w:rsid w:val="00A9775D"/>
    <w:rsid w:val="00A97EF5"/>
    <w:rsid w:val="00AA0239"/>
    <w:rsid w:val="00AA0659"/>
    <w:rsid w:val="00AA08EC"/>
    <w:rsid w:val="00AA15E2"/>
    <w:rsid w:val="00AA1614"/>
    <w:rsid w:val="00AA1621"/>
    <w:rsid w:val="00AA1CCC"/>
    <w:rsid w:val="00AA256F"/>
    <w:rsid w:val="00AA25AE"/>
    <w:rsid w:val="00AA2901"/>
    <w:rsid w:val="00AA2AE6"/>
    <w:rsid w:val="00AA2C3A"/>
    <w:rsid w:val="00AA3004"/>
    <w:rsid w:val="00AA32DD"/>
    <w:rsid w:val="00AA3519"/>
    <w:rsid w:val="00AA3612"/>
    <w:rsid w:val="00AA3ACA"/>
    <w:rsid w:val="00AA3D37"/>
    <w:rsid w:val="00AA41BA"/>
    <w:rsid w:val="00AA4DA5"/>
    <w:rsid w:val="00AA5310"/>
    <w:rsid w:val="00AA53D2"/>
    <w:rsid w:val="00AA55EF"/>
    <w:rsid w:val="00AA560C"/>
    <w:rsid w:val="00AA5D3E"/>
    <w:rsid w:val="00AA60E7"/>
    <w:rsid w:val="00AA6454"/>
    <w:rsid w:val="00AA6942"/>
    <w:rsid w:val="00AA6C34"/>
    <w:rsid w:val="00AA6D49"/>
    <w:rsid w:val="00AA6DCE"/>
    <w:rsid w:val="00AA6E7F"/>
    <w:rsid w:val="00AA7336"/>
    <w:rsid w:val="00AA7626"/>
    <w:rsid w:val="00AA7979"/>
    <w:rsid w:val="00AA798C"/>
    <w:rsid w:val="00AA7DE2"/>
    <w:rsid w:val="00AB086A"/>
    <w:rsid w:val="00AB0C16"/>
    <w:rsid w:val="00AB0E43"/>
    <w:rsid w:val="00AB10E5"/>
    <w:rsid w:val="00AB1223"/>
    <w:rsid w:val="00AB1452"/>
    <w:rsid w:val="00AB15E9"/>
    <w:rsid w:val="00AB18B3"/>
    <w:rsid w:val="00AB1D98"/>
    <w:rsid w:val="00AB1DED"/>
    <w:rsid w:val="00AB21AF"/>
    <w:rsid w:val="00AB220B"/>
    <w:rsid w:val="00AB2853"/>
    <w:rsid w:val="00AB2AB2"/>
    <w:rsid w:val="00AB2B7A"/>
    <w:rsid w:val="00AB332A"/>
    <w:rsid w:val="00AB3742"/>
    <w:rsid w:val="00AB3C3F"/>
    <w:rsid w:val="00AB3D2B"/>
    <w:rsid w:val="00AB3E69"/>
    <w:rsid w:val="00AB3E76"/>
    <w:rsid w:val="00AB3F3B"/>
    <w:rsid w:val="00AB3FB6"/>
    <w:rsid w:val="00AB410C"/>
    <w:rsid w:val="00AB4393"/>
    <w:rsid w:val="00AB4520"/>
    <w:rsid w:val="00AB4BEB"/>
    <w:rsid w:val="00AB58A4"/>
    <w:rsid w:val="00AB594D"/>
    <w:rsid w:val="00AB5ACD"/>
    <w:rsid w:val="00AB5D48"/>
    <w:rsid w:val="00AB6054"/>
    <w:rsid w:val="00AB6086"/>
    <w:rsid w:val="00AB6210"/>
    <w:rsid w:val="00AB6A04"/>
    <w:rsid w:val="00AB6BD2"/>
    <w:rsid w:val="00AB6BFA"/>
    <w:rsid w:val="00AB7DE9"/>
    <w:rsid w:val="00AC035E"/>
    <w:rsid w:val="00AC0495"/>
    <w:rsid w:val="00AC05DA"/>
    <w:rsid w:val="00AC0B08"/>
    <w:rsid w:val="00AC0D78"/>
    <w:rsid w:val="00AC0EED"/>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40F9"/>
    <w:rsid w:val="00AC410E"/>
    <w:rsid w:val="00AC427F"/>
    <w:rsid w:val="00AC442D"/>
    <w:rsid w:val="00AC46BB"/>
    <w:rsid w:val="00AC4773"/>
    <w:rsid w:val="00AC5116"/>
    <w:rsid w:val="00AC594F"/>
    <w:rsid w:val="00AC59B9"/>
    <w:rsid w:val="00AC5C3F"/>
    <w:rsid w:val="00AC6008"/>
    <w:rsid w:val="00AC645B"/>
    <w:rsid w:val="00AC6B8D"/>
    <w:rsid w:val="00AC6F38"/>
    <w:rsid w:val="00AC6F4A"/>
    <w:rsid w:val="00AC6F89"/>
    <w:rsid w:val="00AC7090"/>
    <w:rsid w:val="00AC716B"/>
    <w:rsid w:val="00AC7444"/>
    <w:rsid w:val="00AC7E14"/>
    <w:rsid w:val="00AC7F6D"/>
    <w:rsid w:val="00AD0223"/>
    <w:rsid w:val="00AD02A1"/>
    <w:rsid w:val="00AD0B26"/>
    <w:rsid w:val="00AD0BAA"/>
    <w:rsid w:val="00AD0E92"/>
    <w:rsid w:val="00AD1375"/>
    <w:rsid w:val="00AD1873"/>
    <w:rsid w:val="00AD188F"/>
    <w:rsid w:val="00AD1A99"/>
    <w:rsid w:val="00AD1EAA"/>
    <w:rsid w:val="00AD2731"/>
    <w:rsid w:val="00AD2A0D"/>
    <w:rsid w:val="00AD2DD4"/>
    <w:rsid w:val="00AD31AE"/>
    <w:rsid w:val="00AD31DC"/>
    <w:rsid w:val="00AD31F4"/>
    <w:rsid w:val="00AD34B6"/>
    <w:rsid w:val="00AD3679"/>
    <w:rsid w:val="00AD3D3C"/>
    <w:rsid w:val="00AD3E57"/>
    <w:rsid w:val="00AD42EF"/>
    <w:rsid w:val="00AD4C47"/>
    <w:rsid w:val="00AD548E"/>
    <w:rsid w:val="00AD56CB"/>
    <w:rsid w:val="00AD5801"/>
    <w:rsid w:val="00AD6DD4"/>
    <w:rsid w:val="00AD7063"/>
    <w:rsid w:val="00AD7859"/>
    <w:rsid w:val="00AD7BC1"/>
    <w:rsid w:val="00AE01DF"/>
    <w:rsid w:val="00AE0347"/>
    <w:rsid w:val="00AE076F"/>
    <w:rsid w:val="00AE0848"/>
    <w:rsid w:val="00AE0A42"/>
    <w:rsid w:val="00AE1626"/>
    <w:rsid w:val="00AE16BA"/>
    <w:rsid w:val="00AE18CB"/>
    <w:rsid w:val="00AE1CD1"/>
    <w:rsid w:val="00AE1CF1"/>
    <w:rsid w:val="00AE2BA3"/>
    <w:rsid w:val="00AE366D"/>
    <w:rsid w:val="00AE389A"/>
    <w:rsid w:val="00AE3B97"/>
    <w:rsid w:val="00AE408C"/>
    <w:rsid w:val="00AE4919"/>
    <w:rsid w:val="00AE4A07"/>
    <w:rsid w:val="00AE4FB7"/>
    <w:rsid w:val="00AE5083"/>
    <w:rsid w:val="00AE5416"/>
    <w:rsid w:val="00AE5941"/>
    <w:rsid w:val="00AE6013"/>
    <w:rsid w:val="00AE6115"/>
    <w:rsid w:val="00AE681A"/>
    <w:rsid w:val="00AE692E"/>
    <w:rsid w:val="00AE6C20"/>
    <w:rsid w:val="00AE6E24"/>
    <w:rsid w:val="00AE706B"/>
    <w:rsid w:val="00AE7643"/>
    <w:rsid w:val="00AE7ACC"/>
    <w:rsid w:val="00AE7BA2"/>
    <w:rsid w:val="00AE7D94"/>
    <w:rsid w:val="00AF038A"/>
    <w:rsid w:val="00AF0464"/>
    <w:rsid w:val="00AF075B"/>
    <w:rsid w:val="00AF0C22"/>
    <w:rsid w:val="00AF0EBD"/>
    <w:rsid w:val="00AF1D51"/>
    <w:rsid w:val="00AF1F8A"/>
    <w:rsid w:val="00AF2339"/>
    <w:rsid w:val="00AF2678"/>
    <w:rsid w:val="00AF26E8"/>
    <w:rsid w:val="00AF2863"/>
    <w:rsid w:val="00AF2C50"/>
    <w:rsid w:val="00AF3035"/>
    <w:rsid w:val="00AF3494"/>
    <w:rsid w:val="00AF3B61"/>
    <w:rsid w:val="00AF3D21"/>
    <w:rsid w:val="00AF3DFE"/>
    <w:rsid w:val="00AF425D"/>
    <w:rsid w:val="00AF441D"/>
    <w:rsid w:val="00AF444A"/>
    <w:rsid w:val="00AF496E"/>
    <w:rsid w:val="00AF4F2A"/>
    <w:rsid w:val="00AF516B"/>
    <w:rsid w:val="00AF5175"/>
    <w:rsid w:val="00AF52C2"/>
    <w:rsid w:val="00AF5671"/>
    <w:rsid w:val="00AF56E6"/>
    <w:rsid w:val="00AF57B7"/>
    <w:rsid w:val="00AF5CFA"/>
    <w:rsid w:val="00AF5E68"/>
    <w:rsid w:val="00AF5E79"/>
    <w:rsid w:val="00AF651E"/>
    <w:rsid w:val="00AF6560"/>
    <w:rsid w:val="00AF7349"/>
    <w:rsid w:val="00AF7CEF"/>
    <w:rsid w:val="00B000B6"/>
    <w:rsid w:val="00B00963"/>
    <w:rsid w:val="00B00D6A"/>
    <w:rsid w:val="00B013C8"/>
    <w:rsid w:val="00B01590"/>
    <w:rsid w:val="00B015A1"/>
    <w:rsid w:val="00B01713"/>
    <w:rsid w:val="00B017CD"/>
    <w:rsid w:val="00B01B1B"/>
    <w:rsid w:val="00B01BCA"/>
    <w:rsid w:val="00B02438"/>
    <w:rsid w:val="00B0283A"/>
    <w:rsid w:val="00B02C48"/>
    <w:rsid w:val="00B02E62"/>
    <w:rsid w:val="00B03043"/>
    <w:rsid w:val="00B03195"/>
    <w:rsid w:val="00B0333E"/>
    <w:rsid w:val="00B039FC"/>
    <w:rsid w:val="00B03C44"/>
    <w:rsid w:val="00B05229"/>
    <w:rsid w:val="00B05494"/>
    <w:rsid w:val="00B0569B"/>
    <w:rsid w:val="00B05993"/>
    <w:rsid w:val="00B05C36"/>
    <w:rsid w:val="00B05DF4"/>
    <w:rsid w:val="00B05EBE"/>
    <w:rsid w:val="00B060F4"/>
    <w:rsid w:val="00B0762E"/>
    <w:rsid w:val="00B079FA"/>
    <w:rsid w:val="00B07AC9"/>
    <w:rsid w:val="00B07B00"/>
    <w:rsid w:val="00B07C13"/>
    <w:rsid w:val="00B07E93"/>
    <w:rsid w:val="00B07EC9"/>
    <w:rsid w:val="00B104F8"/>
    <w:rsid w:val="00B10B24"/>
    <w:rsid w:val="00B10BD1"/>
    <w:rsid w:val="00B10CD3"/>
    <w:rsid w:val="00B113C8"/>
    <w:rsid w:val="00B1154F"/>
    <w:rsid w:val="00B118F9"/>
    <w:rsid w:val="00B11CF2"/>
    <w:rsid w:val="00B1202D"/>
    <w:rsid w:val="00B124CD"/>
    <w:rsid w:val="00B12505"/>
    <w:rsid w:val="00B12AED"/>
    <w:rsid w:val="00B13E65"/>
    <w:rsid w:val="00B13EB4"/>
    <w:rsid w:val="00B143CA"/>
    <w:rsid w:val="00B14BFA"/>
    <w:rsid w:val="00B14C28"/>
    <w:rsid w:val="00B154DF"/>
    <w:rsid w:val="00B1557E"/>
    <w:rsid w:val="00B15906"/>
    <w:rsid w:val="00B16007"/>
    <w:rsid w:val="00B1651B"/>
    <w:rsid w:val="00B16554"/>
    <w:rsid w:val="00B16707"/>
    <w:rsid w:val="00B16B26"/>
    <w:rsid w:val="00B16BD7"/>
    <w:rsid w:val="00B20532"/>
    <w:rsid w:val="00B21530"/>
    <w:rsid w:val="00B21A19"/>
    <w:rsid w:val="00B21A46"/>
    <w:rsid w:val="00B21AD6"/>
    <w:rsid w:val="00B22094"/>
    <w:rsid w:val="00B22682"/>
    <w:rsid w:val="00B22CE4"/>
    <w:rsid w:val="00B22E49"/>
    <w:rsid w:val="00B235EC"/>
    <w:rsid w:val="00B23BA3"/>
    <w:rsid w:val="00B23F95"/>
    <w:rsid w:val="00B247B0"/>
    <w:rsid w:val="00B24964"/>
    <w:rsid w:val="00B24E0B"/>
    <w:rsid w:val="00B24E63"/>
    <w:rsid w:val="00B25207"/>
    <w:rsid w:val="00B2520D"/>
    <w:rsid w:val="00B254BC"/>
    <w:rsid w:val="00B2563E"/>
    <w:rsid w:val="00B256D0"/>
    <w:rsid w:val="00B2572D"/>
    <w:rsid w:val="00B2586F"/>
    <w:rsid w:val="00B25A5E"/>
    <w:rsid w:val="00B25DCB"/>
    <w:rsid w:val="00B25E6B"/>
    <w:rsid w:val="00B25FDA"/>
    <w:rsid w:val="00B262DC"/>
    <w:rsid w:val="00B26313"/>
    <w:rsid w:val="00B2685A"/>
    <w:rsid w:val="00B26A8E"/>
    <w:rsid w:val="00B27349"/>
    <w:rsid w:val="00B274ED"/>
    <w:rsid w:val="00B27EC0"/>
    <w:rsid w:val="00B306D9"/>
    <w:rsid w:val="00B30859"/>
    <w:rsid w:val="00B30A55"/>
    <w:rsid w:val="00B312B1"/>
    <w:rsid w:val="00B319CC"/>
    <w:rsid w:val="00B31D30"/>
    <w:rsid w:val="00B31D61"/>
    <w:rsid w:val="00B31F20"/>
    <w:rsid w:val="00B32AED"/>
    <w:rsid w:val="00B3357B"/>
    <w:rsid w:val="00B33641"/>
    <w:rsid w:val="00B33A36"/>
    <w:rsid w:val="00B33F2A"/>
    <w:rsid w:val="00B34687"/>
    <w:rsid w:val="00B349D9"/>
    <w:rsid w:val="00B34EAD"/>
    <w:rsid w:val="00B35214"/>
    <w:rsid w:val="00B354B1"/>
    <w:rsid w:val="00B35647"/>
    <w:rsid w:val="00B357F4"/>
    <w:rsid w:val="00B35AE0"/>
    <w:rsid w:val="00B35D31"/>
    <w:rsid w:val="00B35DC4"/>
    <w:rsid w:val="00B35E6B"/>
    <w:rsid w:val="00B36235"/>
    <w:rsid w:val="00B36298"/>
    <w:rsid w:val="00B365B5"/>
    <w:rsid w:val="00B366EB"/>
    <w:rsid w:val="00B370C4"/>
    <w:rsid w:val="00B3731B"/>
    <w:rsid w:val="00B37A00"/>
    <w:rsid w:val="00B37EBB"/>
    <w:rsid w:val="00B37FE3"/>
    <w:rsid w:val="00B40133"/>
    <w:rsid w:val="00B40242"/>
    <w:rsid w:val="00B402BE"/>
    <w:rsid w:val="00B403FF"/>
    <w:rsid w:val="00B40412"/>
    <w:rsid w:val="00B404E1"/>
    <w:rsid w:val="00B409BC"/>
    <w:rsid w:val="00B40FAD"/>
    <w:rsid w:val="00B4105D"/>
    <w:rsid w:val="00B41B61"/>
    <w:rsid w:val="00B41C35"/>
    <w:rsid w:val="00B41D8B"/>
    <w:rsid w:val="00B41DDB"/>
    <w:rsid w:val="00B423CB"/>
    <w:rsid w:val="00B42B16"/>
    <w:rsid w:val="00B42BF7"/>
    <w:rsid w:val="00B42CA3"/>
    <w:rsid w:val="00B4318A"/>
    <w:rsid w:val="00B431AC"/>
    <w:rsid w:val="00B433C2"/>
    <w:rsid w:val="00B433D0"/>
    <w:rsid w:val="00B438ED"/>
    <w:rsid w:val="00B43EC5"/>
    <w:rsid w:val="00B44B82"/>
    <w:rsid w:val="00B44D6B"/>
    <w:rsid w:val="00B45060"/>
    <w:rsid w:val="00B4512C"/>
    <w:rsid w:val="00B45229"/>
    <w:rsid w:val="00B4525F"/>
    <w:rsid w:val="00B45B20"/>
    <w:rsid w:val="00B45B64"/>
    <w:rsid w:val="00B45EE4"/>
    <w:rsid w:val="00B46839"/>
    <w:rsid w:val="00B473FA"/>
    <w:rsid w:val="00B47532"/>
    <w:rsid w:val="00B47626"/>
    <w:rsid w:val="00B47789"/>
    <w:rsid w:val="00B47C0F"/>
    <w:rsid w:val="00B47E5B"/>
    <w:rsid w:val="00B47E69"/>
    <w:rsid w:val="00B5005B"/>
    <w:rsid w:val="00B5025D"/>
    <w:rsid w:val="00B50510"/>
    <w:rsid w:val="00B50514"/>
    <w:rsid w:val="00B50582"/>
    <w:rsid w:val="00B507CF"/>
    <w:rsid w:val="00B514DC"/>
    <w:rsid w:val="00B518D0"/>
    <w:rsid w:val="00B51AA7"/>
    <w:rsid w:val="00B5276A"/>
    <w:rsid w:val="00B53329"/>
    <w:rsid w:val="00B537A9"/>
    <w:rsid w:val="00B54185"/>
    <w:rsid w:val="00B547BC"/>
    <w:rsid w:val="00B548C6"/>
    <w:rsid w:val="00B54EE1"/>
    <w:rsid w:val="00B55274"/>
    <w:rsid w:val="00B5560A"/>
    <w:rsid w:val="00B55DF7"/>
    <w:rsid w:val="00B56196"/>
    <w:rsid w:val="00B5631C"/>
    <w:rsid w:val="00B56963"/>
    <w:rsid w:val="00B56F39"/>
    <w:rsid w:val="00B57639"/>
    <w:rsid w:val="00B57873"/>
    <w:rsid w:val="00B57CFD"/>
    <w:rsid w:val="00B57D94"/>
    <w:rsid w:val="00B57E0E"/>
    <w:rsid w:val="00B57E6F"/>
    <w:rsid w:val="00B60858"/>
    <w:rsid w:val="00B609D5"/>
    <w:rsid w:val="00B60B33"/>
    <w:rsid w:val="00B60F67"/>
    <w:rsid w:val="00B61292"/>
    <w:rsid w:val="00B61454"/>
    <w:rsid w:val="00B61549"/>
    <w:rsid w:val="00B6181E"/>
    <w:rsid w:val="00B61937"/>
    <w:rsid w:val="00B61E8E"/>
    <w:rsid w:val="00B6260B"/>
    <w:rsid w:val="00B62618"/>
    <w:rsid w:val="00B62651"/>
    <w:rsid w:val="00B628F9"/>
    <w:rsid w:val="00B62C08"/>
    <w:rsid w:val="00B62EFE"/>
    <w:rsid w:val="00B633B6"/>
    <w:rsid w:val="00B63417"/>
    <w:rsid w:val="00B63544"/>
    <w:rsid w:val="00B63A87"/>
    <w:rsid w:val="00B63DC8"/>
    <w:rsid w:val="00B63E73"/>
    <w:rsid w:val="00B64430"/>
    <w:rsid w:val="00B6484E"/>
    <w:rsid w:val="00B649EB"/>
    <w:rsid w:val="00B65369"/>
    <w:rsid w:val="00B6543A"/>
    <w:rsid w:val="00B654AC"/>
    <w:rsid w:val="00B656B0"/>
    <w:rsid w:val="00B65716"/>
    <w:rsid w:val="00B65FD7"/>
    <w:rsid w:val="00B6650F"/>
    <w:rsid w:val="00B66D33"/>
    <w:rsid w:val="00B675A2"/>
    <w:rsid w:val="00B67600"/>
    <w:rsid w:val="00B67981"/>
    <w:rsid w:val="00B67CAC"/>
    <w:rsid w:val="00B67F0F"/>
    <w:rsid w:val="00B70297"/>
    <w:rsid w:val="00B70318"/>
    <w:rsid w:val="00B7047E"/>
    <w:rsid w:val="00B704CD"/>
    <w:rsid w:val="00B70FDF"/>
    <w:rsid w:val="00B713AE"/>
    <w:rsid w:val="00B7154C"/>
    <w:rsid w:val="00B7167D"/>
    <w:rsid w:val="00B71689"/>
    <w:rsid w:val="00B71867"/>
    <w:rsid w:val="00B71D8D"/>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D72"/>
    <w:rsid w:val="00B75EF7"/>
    <w:rsid w:val="00B76623"/>
    <w:rsid w:val="00B76822"/>
    <w:rsid w:val="00B7682B"/>
    <w:rsid w:val="00B768A2"/>
    <w:rsid w:val="00B76926"/>
    <w:rsid w:val="00B76C96"/>
    <w:rsid w:val="00B76E9E"/>
    <w:rsid w:val="00B77714"/>
    <w:rsid w:val="00B7772A"/>
    <w:rsid w:val="00B77859"/>
    <w:rsid w:val="00B77D30"/>
    <w:rsid w:val="00B8008B"/>
    <w:rsid w:val="00B8044F"/>
    <w:rsid w:val="00B80784"/>
    <w:rsid w:val="00B809FD"/>
    <w:rsid w:val="00B80B1C"/>
    <w:rsid w:val="00B81649"/>
    <w:rsid w:val="00B8189A"/>
    <w:rsid w:val="00B82652"/>
    <w:rsid w:val="00B82A2F"/>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5F47"/>
    <w:rsid w:val="00B865B4"/>
    <w:rsid w:val="00B866BF"/>
    <w:rsid w:val="00B8672D"/>
    <w:rsid w:val="00B86A55"/>
    <w:rsid w:val="00B86F7E"/>
    <w:rsid w:val="00B871FD"/>
    <w:rsid w:val="00B872F9"/>
    <w:rsid w:val="00B8732D"/>
    <w:rsid w:val="00B8750B"/>
    <w:rsid w:val="00B87B37"/>
    <w:rsid w:val="00B87DA1"/>
    <w:rsid w:val="00B87EB3"/>
    <w:rsid w:val="00B90145"/>
    <w:rsid w:val="00B90209"/>
    <w:rsid w:val="00B90538"/>
    <w:rsid w:val="00B90637"/>
    <w:rsid w:val="00B90658"/>
    <w:rsid w:val="00B91063"/>
    <w:rsid w:val="00B91195"/>
    <w:rsid w:val="00B91756"/>
    <w:rsid w:val="00B91CA8"/>
    <w:rsid w:val="00B91F48"/>
    <w:rsid w:val="00B91FDC"/>
    <w:rsid w:val="00B9206F"/>
    <w:rsid w:val="00B92465"/>
    <w:rsid w:val="00B924C7"/>
    <w:rsid w:val="00B928B7"/>
    <w:rsid w:val="00B92D10"/>
    <w:rsid w:val="00B92E24"/>
    <w:rsid w:val="00B92E2D"/>
    <w:rsid w:val="00B92F70"/>
    <w:rsid w:val="00B93073"/>
    <w:rsid w:val="00B9322A"/>
    <w:rsid w:val="00B93756"/>
    <w:rsid w:val="00B9382A"/>
    <w:rsid w:val="00B93AA0"/>
    <w:rsid w:val="00B9427D"/>
    <w:rsid w:val="00B94322"/>
    <w:rsid w:val="00B94461"/>
    <w:rsid w:val="00B94AA3"/>
    <w:rsid w:val="00B94EC9"/>
    <w:rsid w:val="00B95B0A"/>
    <w:rsid w:val="00B95EB0"/>
    <w:rsid w:val="00B96160"/>
    <w:rsid w:val="00B961DD"/>
    <w:rsid w:val="00B96351"/>
    <w:rsid w:val="00B966F4"/>
    <w:rsid w:val="00B96B74"/>
    <w:rsid w:val="00B97481"/>
    <w:rsid w:val="00B974ED"/>
    <w:rsid w:val="00B9752F"/>
    <w:rsid w:val="00B97C91"/>
    <w:rsid w:val="00BA015E"/>
    <w:rsid w:val="00BA02B0"/>
    <w:rsid w:val="00BA08F4"/>
    <w:rsid w:val="00BA10A1"/>
    <w:rsid w:val="00BA10DE"/>
    <w:rsid w:val="00BA11A4"/>
    <w:rsid w:val="00BA1360"/>
    <w:rsid w:val="00BA19C9"/>
    <w:rsid w:val="00BA1A86"/>
    <w:rsid w:val="00BA211B"/>
    <w:rsid w:val="00BA21D8"/>
    <w:rsid w:val="00BA238D"/>
    <w:rsid w:val="00BA2416"/>
    <w:rsid w:val="00BA2A75"/>
    <w:rsid w:val="00BA4401"/>
    <w:rsid w:val="00BA446C"/>
    <w:rsid w:val="00BA4478"/>
    <w:rsid w:val="00BA451F"/>
    <w:rsid w:val="00BA4577"/>
    <w:rsid w:val="00BA4BE6"/>
    <w:rsid w:val="00BA4BFF"/>
    <w:rsid w:val="00BA4EFB"/>
    <w:rsid w:val="00BA52B8"/>
    <w:rsid w:val="00BA558E"/>
    <w:rsid w:val="00BA594D"/>
    <w:rsid w:val="00BA5AEB"/>
    <w:rsid w:val="00BA5C7B"/>
    <w:rsid w:val="00BA6139"/>
    <w:rsid w:val="00BA6EB6"/>
    <w:rsid w:val="00BA7042"/>
    <w:rsid w:val="00BB091B"/>
    <w:rsid w:val="00BB0B95"/>
    <w:rsid w:val="00BB0DC6"/>
    <w:rsid w:val="00BB1403"/>
    <w:rsid w:val="00BB15FF"/>
    <w:rsid w:val="00BB171E"/>
    <w:rsid w:val="00BB1EDE"/>
    <w:rsid w:val="00BB1F58"/>
    <w:rsid w:val="00BB2245"/>
    <w:rsid w:val="00BB240B"/>
    <w:rsid w:val="00BB24B7"/>
    <w:rsid w:val="00BB2767"/>
    <w:rsid w:val="00BB3214"/>
    <w:rsid w:val="00BB322A"/>
    <w:rsid w:val="00BB33D0"/>
    <w:rsid w:val="00BB34F4"/>
    <w:rsid w:val="00BB36BB"/>
    <w:rsid w:val="00BB38C2"/>
    <w:rsid w:val="00BB3939"/>
    <w:rsid w:val="00BB3A32"/>
    <w:rsid w:val="00BB45C8"/>
    <w:rsid w:val="00BB46D0"/>
    <w:rsid w:val="00BB4A27"/>
    <w:rsid w:val="00BB4D25"/>
    <w:rsid w:val="00BB50B3"/>
    <w:rsid w:val="00BB53B1"/>
    <w:rsid w:val="00BB5543"/>
    <w:rsid w:val="00BB6014"/>
    <w:rsid w:val="00BB632A"/>
    <w:rsid w:val="00BB6450"/>
    <w:rsid w:val="00BB65A5"/>
    <w:rsid w:val="00BB6647"/>
    <w:rsid w:val="00BB68D1"/>
    <w:rsid w:val="00BB6C70"/>
    <w:rsid w:val="00BB6EAB"/>
    <w:rsid w:val="00BB719B"/>
    <w:rsid w:val="00BB73A6"/>
    <w:rsid w:val="00BB759D"/>
    <w:rsid w:val="00BB7A7C"/>
    <w:rsid w:val="00BB7FBA"/>
    <w:rsid w:val="00BC27B7"/>
    <w:rsid w:val="00BC289C"/>
    <w:rsid w:val="00BC2A12"/>
    <w:rsid w:val="00BC2CF8"/>
    <w:rsid w:val="00BC2DEE"/>
    <w:rsid w:val="00BC36CB"/>
    <w:rsid w:val="00BC3BD9"/>
    <w:rsid w:val="00BC4239"/>
    <w:rsid w:val="00BC4CAE"/>
    <w:rsid w:val="00BC4EE9"/>
    <w:rsid w:val="00BC5144"/>
    <w:rsid w:val="00BC5FC0"/>
    <w:rsid w:val="00BC62F2"/>
    <w:rsid w:val="00BC62F4"/>
    <w:rsid w:val="00BC6712"/>
    <w:rsid w:val="00BC677A"/>
    <w:rsid w:val="00BC6854"/>
    <w:rsid w:val="00BC6BFB"/>
    <w:rsid w:val="00BC6C3B"/>
    <w:rsid w:val="00BC6D58"/>
    <w:rsid w:val="00BC724F"/>
    <w:rsid w:val="00BC73FA"/>
    <w:rsid w:val="00BC7849"/>
    <w:rsid w:val="00BC787B"/>
    <w:rsid w:val="00BC7A39"/>
    <w:rsid w:val="00BC7A77"/>
    <w:rsid w:val="00BC7F90"/>
    <w:rsid w:val="00BD0120"/>
    <w:rsid w:val="00BD012A"/>
    <w:rsid w:val="00BD0319"/>
    <w:rsid w:val="00BD0784"/>
    <w:rsid w:val="00BD081C"/>
    <w:rsid w:val="00BD0DC1"/>
    <w:rsid w:val="00BD0F1E"/>
    <w:rsid w:val="00BD0F33"/>
    <w:rsid w:val="00BD1310"/>
    <w:rsid w:val="00BD14EF"/>
    <w:rsid w:val="00BD1856"/>
    <w:rsid w:val="00BD1875"/>
    <w:rsid w:val="00BD1A2D"/>
    <w:rsid w:val="00BD24DD"/>
    <w:rsid w:val="00BD2768"/>
    <w:rsid w:val="00BD29FC"/>
    <w:rsid w:val="00BD2DDC"/>
    <w:rsid w:val="00BD2FFB"/>
    <w:rsid w:val="00BD3066"/>
    <w:rsid w:val="00BD3519"/>
    <w:rsid w:val="00BD3872"/>
    <w:rsid w:val="00BD3A1D"/>
    <w:rsid w:val="00BD3D9A"/>
    <w:rsid w:val="00BD4116"/>
    <w:rsid w:val="00BD4350"/>
    <w:rsid w:val="00BD45AD"/>
    <w:rsid w:val="00BD4890"/>
    <w:rsid w:val="00BD4C38"/>
    <w:rsid w:val="00BD5E19"/>
    <w:rsid w:val="00BD6078"/>
    <w:rsid w:val="00BD610A"/>
    <w:rsid w:val="00BD6909"/>
    <w:rsid w:val="00BD6A8C"/>
    <w:rsid w:val="00BD741D"/>
    <w:rsid w:val="00BD7770"/>
    <w:rsid w:val="00BD787D"/>
    <w:rsid w:val="00BD7898"/>
    <w:rsid w:val="00BD78EC"/>
    <w:rsid w:val="00BD7A50"/>
    <w:rsid w:val="00BD7AF9"/>
    <w:rsid w:val="00BE01C5"/>
    <w:rsid w:val="00BE01CE"/>
    <w:rsid w:val="00BE040A"/>
    <w:rsid w:val="00BE0918"/>
    <w:rsid w:val="00BE09EF"/>
    <w:rsid w:val="00BE12A1"/>
    <w:rsid w:val="00BE12AD"/>
    <w:rsid w:val="00BE1642"/>
    <w:rsid w:val="00BE18DC"/>
    <w:rsid w:val="00BE19CA"/>
    <w:rsid w:val="00BE1A83"/>
    <w:rsid w:val="00BE1D63"/>
    <w:rsid w:val="00BE1DC1"/>
    <w:rsid w:val="00BE20E3"/>
    <w:rsid w:val="00BE2964"/>
    <w:rsid w:val="00BE3056"/>
    <w:rsid w:val="00BE33FE"/>
    <w:rsid w:val="00BE3755"/>
    <w:rsid w:val="00BE3B3A"/>
    <w:rsid w:val="00BE3E38"/>
    <w:rsid w:val="00BE422F"/>
    <w:rsid w:val="00BE462C"/>
    <w:rsid w:val="00BE4656"/>
    <w:rsid w:val="00BE4747"/>
    <w:rsid w:val="00BE4B5A"/>
    <w:rsid w:val="00BE4C37"/>
    <w:rsid w:val="00BE5E7D"/>
    <w:rsid w:val="00BE6057"/>
    <w:rsid w:val="00BE6358"/>
    <w:rsid w:val="00BE63F0"/>
    <w:rsid w:val="00BE6655"/>
    <w:rsid w:val="00BE6716"/>
    <w:rsid w:val="00BE6737"/>
    <w:rsid w:val="00BE7166"/>
    <w:rsid w:val="00BE724B"/>
    <w:rsid w:val="00BE7EDC"/>
    <w:rsid w:val="00BE7EED"/>
    <w:rsid w:val="00BF070E"/>
    <w:rsid w:val="00BF0860"/>
    <w:rsid w:val="00BF14DE"/>
    <w:rsid w:val="00BF161E"/>
    <w:rsid w:val="00BF1814"/>
    <w:rsid w:val="00BF1A94"/>
    <w:rsid w:val="00BF235A"/>
    <w:rsid w:val="00BF247A"/>
    <w:rsid w:val="00BF25B8"/>
    <w:rsid w:val="00BF2CE3"/>
    <w:rsid w:val="00BF3034"/>
    <w:rsid w:val="00BF3773"/>
    <w:rsid w:val="00BF4671"/>
    <w:rsid w:val="00BF4864"/>
    <w:rsid w:val="00BF48EE"/>
    <w:rsid w:val="00BF48EF"/>
    <w:rsid w:val="00BF4983"/>
    <w:rsid w:val="00BF4E40"/>
    <w:rsid w:val="00BF4E65"/>
    <w:rsid w:val="00BF4EBC"/>
    <w:rsid w:val="00BF5194"/>
    <w:rsid w:val="00BF569B"/>
    <w:rsid w:val="00BF5A3F"/>
    <w:rsid w:val="00BF5B3E"/>
    <w:rsid w:val="00BF5E4C"/>
    <w:rsid w:val="00BF5F22"/>
    <w:rsid w:val="00BF5FDD"/>
    <w:rsid w:val="00BF612D"/>
    <w:rsid w:val="00BF6243"/>
    <w:rsid w:val="00BF6591"/>
    <w:rsid w:val="00BF6664"/>
    <w:rsid w:val="00BF6948"/>
    <w:rsid w:val="00BF69E2"/>
    <w:rsid w:val="00BF6BED"/>
    <w:rsid w:val="00BF742A"/>
    <w:rsid w:val="00BF7679"/>
    <w:rsid w:val="00BF7884"/>
    <w:rsid w:val="00BF78CF"/>
    <w:rsid w:val="00BF7EEB"/>
    <w:rsid w:val="00C0038C"/>
    <w:rsid w:val="00C00811"/>
    <w:rsid w:val="00C0099E"/>
    <w:rsid w:val="00C009BB"/>
    <w:rsid w:val="00C00DC4"/>
    <w:rsid w:val="00C00ED6"/>
    <w:rsid w:val="00C0180C"/>
    <w:rsid w:val="00C01883"/>
    <w:rsid w:val="00C01A7C"/>
    <w:rsid w:val="00C020AB"/>
    <w:rsid w:val="00C0262B"/>
    <w:rsid w:val="00C026B2"/>
    <w:rsid w:val="00C02810"/>
    <w:rsid w:val="00C02D7A"/>
    <w:rsid w:val="00C02EC4"/>
    <w:rsid w:val="00C03510"/>
    <w:rsid w:val="00C03F15"/>
    <w:rsid w:val="00C0401C"/>
    <w:rsid w:val="00C04447"/>
    <w:rsid w:val="00C0448D"/>
    <w:rsid w:val="00C045C0"/>
    <w:rsid w:val="00C04604"/>
    <w:rsid w:val="00C04643"/>
    <w:rsid w:val="00C04AFD"/>
    <w:rsid w:val="00C04C4A"/>
    <w:rsid w:val="00C04DED"/>
    <w:rsid w:val="00C04E3B"/>
    <w:rsid w:val="00C0581E"/>
    <w:rsid w:val="00C05B85"/>
    <w:rsid w:val="00C05FC5"/>
    <w:rsid w:val="00C06567"/>
    <w:rsid w:val="00C065F0"/>
    <w:rsid w:val="00C067D6"/>
    <w:rsid w:val="00C06D63"/>
    <w:rsid w:val="00C07054"/>
    <w:rsid w:val="00C10118"/>
    <w:rsid w:val="00C10368"/>
    <w:rsid w:val="00C10454"/>
    <w:rsid w:val="00C10508"/>
    <w:rsid w:val="00C107FE"/>
    <w:rsid w:val="00C108F5"/>
    <w:rsid w:val="00C10B5C"/>
    <w:rsid w:val="00C10CFB"/>
    <w:rsid w:val="00C11112"/>
    <w:rsid w:val="00C11390"/>
    <w:rsid w:val="00C1167B"/>
    <w:rsid w:val="00C117AD"/>
    <w:rsid w:val="00C11D55"/>
    <w:rsid w:val="00C123CA"/>
    <w:rsid w:val="00C12868"/>
    <w:rsid w:val="00C12C8B"/>
    <w:rsid w:val="00C133B1"/>
    <w:rsid w:val="00C13D3D"/>
    <w:rsid w:val="00C14000"/>
    <w:rsid w:val="00C14278"/>
    <w:rsid w:val="00C14375"/>
    <w:rsid w:val="00C144D4"/>
    <w:rsid w:val="00C1450A"/>
    <w:rsid w:val="00C14630"/>
    <w:rsid w:val="00C15FFE"/>
    <w:rsid w:val="00C163C8"/>
    <w:rsid w:val="00C16480"/>
    <w:rsid w:val="00C16506"/>
    <w:rsid w:val="00C1652F"/>
    <w:rsid w:val="00C16FBB"/>
    <w:rsid w:val="00C17363"/>
    <w:rsid w:val="00C1741D"/>
    <w:rsid w:val="00C177CC"/>
    <w:rsid w:val="00C2040D"/>
    <w:rsid w:val="00C20A6E"/>
    <w:rsid w:val="00C210F2"/>
    <w:rsid w:val="00C21D35"/>
    <w:rsid w:val="00C220F2"/>
    <w:rsid w:val="00C224B2"/>
    <w:rsid w:val="00C224CB"/>
    <w:rsid w:val="00C22DBC"/>
    <w:rsid w:val="00C22FA1"/>
    <w:rsid w:val="00C23CD0"/>
    <w:rsid w:val="00C24061"/>
    <w:rsid w:val="00C24296"/>
    <w:rsid w:val="00C24BFA"/>
    <w:rsid w:val="00C24CA1"/>
    <w:rsid w:val="00C24D6D"/>
    <w:rsid w:val="00C24EC0"/>
    <w:rsid w:val="00C2516A"/>
    <w:rsid w:val="00C2562B"/>
    <w:rsid w:val="00C258EE"/>
    <w:rsid w:val="00C260C4"/>
    <w:rsid w:val="00C26C32"/>
    <w:rsid w:val="00C26D1D"/>
    <w:rsid w:val="00C273D6"/>
    <w:rsid w:val="00C2781B"/>
    <w:rsid w:val="00C27922"/>
    <w:rsid w:val="00C27AAB"/>
    <w:rsid w:val="00C27C5A"/>
    <w:rsid w:val="00C27E60"/>
    <w:rsid w:val="00C30066"/>
    <w:rsid w:val="00C301A2"/>
    <w:rsid w:val="00C302EF"/>
    <w:rsid w:val="00C303B0"/>
    <w:rsid w:val="00C3060B"/>
    <w:rsid w:val="00C308BE"/>
    <w:rsid w:val="00C3097C"/>
    <w:rsid w:val="00C30B46"/>
    <w:rsid w:val="00C3149A"/>
    <w:rsid w:val="00C316A9"/>
    <w:rsid w:val="00C31BE3"/>
    <w:rsid w:val="00C31CBD"/>
    <w:rsid w:val="00C31D10"/>
    <w:rsid w:val="00C31F81"/>
    <w:rsid w:val="00C32354"/>
    <w:rsid w:val="00C32455"/>
    <w:rsid w:val="00C325CB"/>
    <w:rsid w:val="00C329FA"/>
    <w:rsid w:val="00C33659"/>
    <w:rsid w:val="00C336C5"/>
    <w:rsid w:val="00C3388D"/>
    <w:rsid w:val="00C33A36"/>
    <w:rsid w:val="00C33D84"/>
    <w:rsid w:val="00C34106"/>
    <w:rsid w:val="00C34502"/>
    <w:rsid w:val="00C347DF"/>
    <w:rsid w:val="00C34B67"/>
    <w:rsid w:val="00C34EEF"/>
    <w:rsid w:val="00C34F17"/>
    <w:rsid w:val="00C3525B"/>
    <w:rsid w:val="00C354ED"/>
    <w:rsid w:val="00C35764"/>
    <w:rsid w:val="00C35932"/>
    <w:rsid w:val="00C35BF3"/>
    <w:rsid w:val="00C35D10"/>
    <w:rsid w:val="00C35DE4"/>
    <w:rsid w:val="00C36138"/>
    <w:rsid w:val="00C36188"/>
    <w:rsid w:val="00C3799B"/>
    <w:rsid w:val="00C37C09"/>
    <w:rsid w:val="00C37C4A"/>
    <w:rsid w:val="00C37CB5"/>
    <w:rsid w:val="00C37E1B"/>
    <w:rsid w:val="00C4031B"/>
    <w:rsid w:val="00C403E6"/>
    <w:rsid w:val="00C40450"/>
    <w:rsid w:val="00C408B7"/>
    <w:rsid w:val="00C40A34"/>
    <w:rsid w:val="00C40D66"/>
    <w:rsid w:val="00C40EE3"/>
    <w:rsid w:val="00C41439"/>
    <w:rsid w:val="00C41572"/>
    <w:rsid w:val="00C41CDE"/>
    <w:rsid w:val="00C420D5"/>
    <w:rsid w:val="00C42869"/>
    <w:rsid w:val="00C42E2A"/>
    <w:rsid w:val="00C4441C"/>
    <w:rsid w:val="00C44850"/>
    <w:rsid w:val="00C44EFE"/>
    <w:rsid w:val="00C45431"/>
    <w:rsid w:val="00C45885"/>
    <w:rsid w:val="00C459EE"/>
    <w:rsid w:val="00C45A33"/>
    <w:rsid w:val="00C46371"/>
    <w:rsid w:val="00C46A45"/>
    <w:rsid w:val="00C46DBA"/>
    <w:rsid w:val="00C47377"/>
    <w:rsid w:val="00C47566"/>
    <w:rsid w:val="00C47875"/>
    <w:rsid w:val="00C47C06"/>
    <w:rsid w:val="00C47ED3"/>
    <w:rsid w:val="00C502F7"/>
    <w:rsid w:val="00C503B3"/>
    <w:rsid w:val="00C50690"/>
    <w:rsid w:val="00C50890"/>
    <w:rsid w:val="00C5096E"/>
    <w:rsid w:val="00C50CAB"/>
    <w:rsid w:val="00C50DAE"/>
    <w:rsid w:val="00C51299"/>
    <w:rsid w:val="00C51761"/>
    <w:rsid w:val="00C5226B"/>
    <w:rsid w:val="00C5307D"/>
    <w:rsid w:val="00C53246"/>
    <w:rsid w:val="00C53437"/>
    <w:rsid w:val="00C53480"/>
    <w:rsid w:val="00C538EA"/>
    <w:rsid w:val="00C53A41"/>
    <w:rsid w:val="00C543CE"/>
    <w:rsid w:val="00C545FD"/>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60029"/>
    <w:rsid w:val="00C60FF0"/>
    <w:rsid w:val="00C61135"/>
    <w:rsid w:val="00C6181D"/>
    <w:rsid w:val="00C6190F"/>
    <w:rsid w:val="00C622AB"/>
    <w:rsid w:val="00C62830"/>
    <w:rsid w:val="00C62E1A"/>
    <w:rsid w:val="00C63A41"/>
    <w:rsid w:val="00C63A5B"/>
    <w:rsid w:val="00C64130"/>
    <w:rsid w:val="00C6443E"/>
    <w:rsid w:val="00C6453E"/>
    <w:rsid w:val="00C64D96"/>
    <w:rsid w:val="00C64ED3"/>
    <w:rsid w:val="00C6560E"/>
    <w:rsid w:val="00C658E7"/>
    <w:rsid w:val="00C65CE3"/>
    <w:rsid w:val="00C65DFF"/>
    <w:rsid w:val="00C6637C"/>
    <w:rsid w:val="00C66550"/>
    <w:rsid w:val="00C6667E"/>
    <w:rsid w:val="00C66738"/>
    <w:rsid w:val="00C668F1"/>
    <w:rsid w:val="00C6753C"/>
    <w:rsid w:val="00C67692"/>
    <w:rsid w:val="00C67873"/>
    <w:rsid w:val="00C67911"/>
    <w:rsid w:val="00C67979"/>
    <w:rsid w:val="00C67D09"/>
    <w:rsid w:val="00C67ECD"/>
    <w:rsid w:val="00C67FB8"/>
    <w:rsid w:val="00C705B0"/>
    <w:rsid w:val="00C70714"/>
    <w:rsid w:val="00C70C1B"/>
    <w:rsid w:val="00C71507"/>
    <w:rsid w:val="00C71525"/>
    <w:rsid w:val="00C717E4"/>
    <w:rsid w:val="00C71828"/>
    <w:rsid w:val="00C71F9F"/>
    <w:rsid w:val="00C71FBB"/>
    <w:rsid w:val="00C723CC"/>
    <w:rsid w:val="00C72D1F"/>
    <w:rsid w:val="00C72DF4"/>
    <w:rsid w:val="00C72F67"/>
    <w:rsid w:val="00C72F7C"/>
    <w:rsid w:val="00C73437"/>
    <w:rsid w:val="00C7380E"/>
    <w:rsid w:val="00C73868"/>
    <w:rsid w:val="00C73AC0"/>
    <w:rsid w:val="00C73B92"/>
    <w:rsid w:val="00C73E92"/>
    <w:rsid w:val="00C74096"/>
    <w:rsid w:val="00C74B63"/>
    <w:rsid w:val="00C74DBF"/>
    <w:rsid w:val="00C74F66"/>
    <w:rsid w:val="00C75263"/>
    <w:rsid w:val="00C75335"/>
    <w:rsid w:val="00C75560"/>
    <w:rsid w:val="00C759A3"/>
    <w:rsid w:val="00C75DBA"/>
    <w:rsid w:val="00C75F81"/>
    <w:rsid w:val="00C76179"/>
    <w:rsid w:val="00C76365"/>
    <w:rsid w:val="00C766A9"/>
    <w:rsid w:val="00C76A43"/>
    <w:rsid w:val="00C76B2E"/>
    <w:rsid w:val="00C77253"/>
    <w:rsid w:val="00C77AE5"/>
    <w:rsid w:val="00C77C11"/>
    <w:rsid w:val="00C77CF9"/>
    <w:rsid w:val="00C77D71"/>
    <w:rsid w:val="00C77DC7"/>
    <w:rsid w:val="00C80445"/>
    <w:rsid w:val="00C8046D"/>
    <w:rsid w:val="00C806B8"/>
    <w:rsid w:val="00C80A22"/>
    <w:rsid w:val="00C80B0A"/>
    <w:rsid w:val="00C80CD5"/>
    <w:rsid w:val="00C8112F"/>
    <w:rsid w:val="00C811D0"/>
    <w:rsid w:val="00C812DE"/>
    <w:rsid w:val="00C814E1"/>
    <w:rsid w:val="00C81C9C"/>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35"/>
    <w:rsid w:val="00C8456B"/>
    <w:rsid w:val="00C846D3"/>
    <w:rsid w:val="00C851D0"/>
    <w:rsid w:val="00C854BE"/>
    <w:rsid w:val="00C85601"/>
    <w:rsid w:val="00C85E57"/>
    <w:rsid w:val="00C861C1"/>
    <w:rsid w:val="00C86305"/>
    <w:rsid w:val="00C86A6C"/>
    <w:rsid w:val="00C86A98"/>
    <w:rsid w:val="00C86C95"/>
    <w:rsid w:val="00C87018"/>
    <w:rsid w:val="00C87B1F"/>
    <w:rsid w:val="00C87D96"/>
    <w:rsid w:val="00C87D9F"/>
    <w:rsid w:val="00C87F14"/>
    <w:rsid w:val="00C908A9"/>
    <w:rsid w:val="00C908FC"/>
    <w:rsid w:val="00C91242"/>
    <w:rsid w:val="00C91625"/>
    <w:rsid w:val="00C916F6"/>
    <w:rsid w:val="00C91DC3"/>
    <w:rsid w:val="00C91EB4"/>
    <w:rsid w:val="00C922A9"/>
    <w:rsid w:val="00C926F5"/>
    <w:rsid w:val="00C9297B"/>
    <w:rsid w:val="00C92A8F"/>
    <w:rsid w:val="00C92BE5"/>
    <w:rsid w:val="00C92BE7"/>
    <w:rsid w:val="00C93863"/>
    <w:rsid w:val="00C93880"/>
    <w:rsid w:val="00C938FB"/>
    <w:rsid w:val="00C93A0F"/>
    <w:rsid w:val="00C93B2B"/>
    <w:rsid w:val="00C93B3B"/>
    <w:rsid w:val="00C93D20"/>
    <w:rsid w:val="00C940DD"/>
    <w:rsid w:val="00C942C2"/>
    <w:rsid w:val="00C946B2"/>
    <w:rsid w:val="00C947E8"/>
    <w:rsid w:val="00C94D92"/>
    <w:rsid w:val="00C94E80"/>
    <w:rsid w:val="00C95099"/>
    <w:rsid w:val="00C95203"/>
    <w:rsid w:val="00C952BE"/>
    <w:rsid w:val="00C95A86"/>
    <w:rsid w:val="00C95AC4"/>
    <w:rsid w:val="00C95B18"/>
    <w:rsid w:val="00C95C35"/>
    <w:rsid w:val="00C960D1"/>
    <w:rsid w:val="00C9618C"/>
    <w:rsid w:val="00C9627A"/>
    <w:rsid w:val="00C962F6"/>
    <w:rsid w:val="00C96620"/>
    <w:rsid w:val="00C969B3"/>
    <w:rsid w:val="00C96B8A"/>
    <w:rsid w:val="00C9737E"/>
    <w:rsid w:val="00C97937"/>
    <w:rsid w:val="00C979C7"/>
    <w:rsid w:val="00C97B52"/>
    <w:rsid w:val="00C97F8B"/>
    <w:rsid w:val="00CA03BD"/>
    <w:rsid w:val="00CA0535"/>
    <w:rsid w:val="00CA05A8"/>
    <w:rsid w:val="00CA0A09"/>
    <w:rsid w:val="00CA170C"/>
    <w:rsid w:val="00CA17F6"/>
    <w:rsid w:val="00CA1812"/>
    <w:rsid w:val="00CA18F6"/>
    <w:rsid w:val="00CA1E58"/>
    <w:rsid w:val="00CA1EF6"/>
    <w:rsid w:val="00CA2098"/>
    <w:rsid w:val="00CA21D3"/>
    <w:rsid w:val="00CA2538"/>
    <w:rsid w:val="00CA25B6"/>
    <w:rsid w:val="00CA285B"/>
    <w:rsid w:val="00CA294A"/>
    <w:rsid w:val="00CA2B7A"/>
    <w:rsid w:val="00CA35E4"/>
    <w:rsid w:val="00CA3EEE"/>
    <w:rsid w:val="00CA3F48"/>
    <w:rsid w:val="00CA46FE"/>
    <w:rsid w:val="00CA507C"/>
    <w:rsid w:val="00CA53EE"/>
    <w:rsid w:val="00CA58B4"/>
    <w:rsid w:val="00CA59DB"/>
    <w:rsid w:val="00CA5AB7"/>
    <w:rsid w:val="00CA5C83"/>
    <w:rsid w:val="00CA5C86"/>
    <w:rsid w:val="00CA5EB1"/>
    <w:rsid w:val="00CA5F36"/>
    <w:rsid w:val="00CA6A99"/>
    <w:rsid w:val="00CA6C25"/>
    <w:rsid w:val="00CA6CE9"/>
    <w:rsid w:val="00CA7594"/>
    <w:rsid w:val="00CA7807"/>
    <w:rsid w:val="00CA7976"/>
    <w:rsid w:val="00CA79EE"/>
    <w:rsid w:val="00CA7B15"/>
    <w:rsid w:val="00CA7DD9"/>
    <w:rsid w:val="00CA7EE2"/>
    <w:rsid w:val="00CB0174"/>
    <w:rsid w:val="00CB02EF"/>
    <w:rsid w:val="00CB04C9"/>
    <w:rsid w:val="00CB0D1B"/>
    <w:rsid w:val="00CB1F0A"/>
    <w:rsid w:val="00CB2032"/>
    <w:rsid w:val="00CB21C3"/>
    <w:rsid w:val="00CB22A9"/>
    <w:rsid w:val="00CB23A8"/>
    <w:rsid w:val="00CB23BE"/>
    <w:rsid w:val="00CB2660"/>
    <w:rsid w:val="00CB274E"/>
    <w:rsid w:val="00CB27C6"/>
    <w:rsid w:val="00CB2983"/>
    <w:rsid w:val="00CB29C8"/>
    <w:rsid w:val="00CB2CBD"/>
    <w:rsid w:val="00CB331F"/>
    <w:rsid w:val="00CB33AA"/>
    <w:rsid w:val="00CB35CB"/>
    <w:rsid w:val="00CB38E9"/>
    <w:rsid w:val="00CB3B98"/>
    <w:rsid w:val="00CB3EB0"/>
    <w:rsid w:val="00CB4294"/>
    <w:rsid w:val="00CB448B"/>
    <w:rsid w:val="00CB4635"/>
    <w:rsid w:val="00CB4B72"/>
    <w:rsid w:val="00CB4DD1"/>
    <w:rsid w:val="00CB51FD"/>
    <w:rsid w:val="00CB52D1"/>
    <w:rsid w:val="00CB5362"/>
    <w:rsid w:val="00CB57BB"/>
    <w:rsid w:val="00CB60BA"/>
    <w:rsid w:val="00CB61C3"/>
    <w:rsid w:val="00CB63B9"/>
    <w:rsid w:val="00CB67AE"/>
    <w:rsid w:val="00CB70CB"/>
    <w:rsid w:val="00CB72EF"/>
    <w:rsid w:val="00CB7379"/>
    <w:rsid w:val="00CC0626"/>
    <w:rsid w:val="00CC09D1"/>
    <w:rsid w:val="00CC0CD1"/>
    <w:rsid w:val="00CC0CD4"/>
    <w:rsid w:val="00CC0D9C"/>
    <w:rsid w:val="00CC0ED5"/>
    <w:rsid w:val="00CC10BC"/>
    <w:rsid w:val="00CC117B"/>
    <w:rsid w:val="00CC1316"/>
    <w:rsid w:val="00CC1A07"/>
    <w:rsid w:val="00CC1AD6"/>
    <w:rsid w:val="00CC227B"/>
    <w:rsid w:val="00CC23DA"/>
    <w:rsid w:val="00CC2A8F"/>
    <w:rsid w:val="00CC2B03"/>
    <w:rsid w:val="00CC2D84"/>
    <w:rsid w:val="00CC2ED4"/>
    <w:rsid w:val="00CC3E45"/>
    <w:rsid w:val="00CC4088"/>
    <w:rsid w:val="00CC4309"/>
    <w:rsid w:val="00CC4370"/>
    <w:rsid w:val="00CC479A"/>
    <w:rsid w:val="00CC493F"/>
    <w:rsid w:val="00CC4973"/>
    <w:rsid w:val="00CC4C61"/>
    <w:rsid w:val="00CC5940"/>
    <w:rsid w:val="00CC5D0B"/>
    <w:rsid w:val="00CC5D3E"/>
    <w:rsid w:val="00CC5DC4"/>
    <w:rsid w:val="00CC5E30"/>
    <w:rsid w:val="00CC60B1"/>
    <w:rsid w:val="00CC6102"/>
    <w:rsid w:val="00CC627C"/>
    <w:rsid w:val="00CC65C1"/>
    <w:rsid w:val="00CC7132"/>
    <w:rsid w:val="00CC71CD"/>
    <w:rsid w:val="00CC77A7"/>
    <w:rsid w:val="00CC788F"/>
    <w:rsid w:val="00CC78C9"/>
    <w:rsid w:val="00CC7E41"/>
    <w:rsid w:val="00CD00B0"/>
    <w:rsid w:val="00CD0410"/>
    <w:rsid w:val="00CD072E"/>
    <w:rsid w:val="00CD1074"/>
    <w:rsid w:val="00CD111F"/>
    <w:rsid w:val="00CD12DB"/>
    <w:rsid w:val="00CD1344"/>
    <w:rsid w:val="00CD2AFA"/>
    <w:rsid w:val="00CD3000"/>
    <w:rsid w:val="00CD31A3"/>
    <w:rsid w:val="00CD3438"/>
    <w:rsid w:val="00CD3E9A"/>
    <w:rsid w:val="00CD40AD"/>
    <w:rsid w:val="00CD4425"/>
    <w:rsid w:val="00CD46DF"/>
    <w:rsid w:val="00CD4B99"/>
    <w:rsid w:val="00CD4C7F"/>
    <w:rsid w:val="00CD4E62"/>
    <w:rsid w:val="00CD4E96"/>
    <w:rsid w:val="00CD4FCC"/>
    <w:rsid w:val="00CD52DF"/>
    <w:rsid w:val="00CD545B"/>
    <w:rsid w:val="00CD5A81"/>
    <w:rsid w:val="00CD5DFE"/>
    <w:rsid w:val="00CD6510"/>
    <w:rsid w:val="00CD6B07"/>
    <w:rsid w:val="00CD7489"/>
    <w:rsid w:val="00CD7516"/>
    <w:rsid w:val="00CD77A8"/>
    <w:rsid w:val="00CD7B63"/>
    <w:rsid w:val="00CD7E53"/>
    <w:rsid w:val="00CE0059"/>
    <w:rsid w:val="00CE0581"/>
    <w:rsid w:val="00CE0AEE"/>
    <w:rsid w:val="00CE0D2B"/>
    <w:rsid w:val="00CE11A1"/>
    <w:rsid w:val="00CE16EF"/>
    <w:rsid w:val="00CE1830"/>
    <w:rsid w:val="00CE1A26"/>
    <w:rsid w:val="00CE2505"/>
    <w:rsid w:val="00CE2966"/>
    <w:rsid w:val="00CE2B8D"/>
    <w:rsid w:val="00CE2D97"/>
    <w:rsid w:val="00CE3079"/>
    <w:rsid w:val="00CE35C9"/>
    <w:rsid w:val="00CE366C"/>
    <w:rsid w:val="00CE3E2E"/>
    <w:rsid w:val="00CE3F23"/>
    <w:rsid w:val="00CE3F73"/>
    <w:rsid w:val="00CE4353"/>
    <w:rsid w:val="00CE4FD7"/>
    <w:rsid w:val="00CE5180"/>
    <w:rsid w:val="00CE529C"/>
    <w:rsid w:val="00CE5493"/>
    <w:rsid w:val="00CE58E9"/>
    <w:rsid w:val="00CE5CFD"/>
    <w:rsid w:val="00CE6F61"/>
    <w:rsid w:val="00CE7099"/>
    <w:rsid w:val="00CE70CB"/>
    <w:rsid w:val="00CE7360"/>
    <w:rsid w:val="00CE7FCE"/>
    <w:rsid w:val="00CF0688"/>
    <w:rsid w:val="00CF0713"/>
    <w:rsid w:val="00CF07CC"/>
    <w:rsid w:val="00CF0ADC"/>
    <w:rsid w:val="00CF0D32"/>
    <w:rsid w:val="00CF18A0"/>
    <w:rsid w:val="00CF1D03"/>
    <w:rsid w:val="00CF2498"/>
    <w:rsid w:val="00CF29C2"/>
    <w:rsid w:val="00CF2AF4"/>
    <w:rsid w:val="00CF3080"/>
    <w:rsid w:val="00CF30C8"/>
    <w:rsid w:val="00CF34FB"/>
    <w:rsid w:val="00CF3526"/>
    <w:rsid w:val="00CF359A"/>
    <w:rsid w:val="00CF3989"/>
    <w:rsid w:val="00CF3DA6"/>
    <w:rsid w:val="00CF4190"/>
    <w:rsid w:val="00CF426D"/>
    <w:rsid w:val="00CF4753"/>
    <w:rsid w:val="00CF4AF5"/>
    <w:rsid w:val="00CF4EF6"/>
    <w:rsid w:val="00CF51FC"/>
    <w:rsid w:val="00CF54BA"/>
    <w:rsid w:val="00CF54BD"/>
    <w:rsid w:val="00CF5545"/>
    <w:rsid w:val="00CF55D0"/>
    <w:rsid w:val="00CF5896"/>
    <w:rsid w:val="00CF5B2D"/>
    <w:rsid w:val="00CF5BA2"/>
    <w:rsid w:val="00CF673A"/>
    <w:rsid w:val="00CF68AD"/>
    <w:rsid w:val="00CF7038"/>
    <w:rsid w:val="00CF776F"/>
    <w:rsid w:val="00CF77D1"/>
    <w:rsid w:val="00CF7B81"/>
    <w:rsid w:val="00CF7FC7"/>
    <w:rsid w:val="00D0009D"/>
    <w:rsid w:val="00D0075F"/>
    <w:rsid w:val="00D00BCB"/>
    <w:rsid w:val="00D00E83"/>
    <w:rsid w:val="00D00EB3"/>
    <w:rsid w:val="00D01317"/>
    <w:rsid w:val="00D01732"/>
    <w:rsid w:val="00D01788"/>
    <w:rsid w:val="00D01B80"/>
    <w:rsid w:val="00D01F32"/>
    <w:rsid w:val="00D0220F"/>
    <w:rsid w:val="00D02458"/>
    <w:rsid w:val="00D025C6"/>
    <w:rsid w:val="00D025E4"/>
    <w:rsid w:val="00D025F2"/>
    <w:rsid w:val="00D02B17"/>
    <w:rsid w:val="00D02FF3"/>
    <w:rsid w:val="00D03079"/>
    <w:rsid w:val="00D034BA"/>
    <w:rsid w:val="00D034C9"/>
    <w:rsid w:val="00D03676"/>
    <w:rsid w:val="00D0379C"/>
    <w:rsid w:val="00D03960"/>
    <w:rsid w:val="00D03AD5"/>
    <w:rsid w:val="00D04661"/>
    <w:rsid w:val="00D048FB"/>
    <w:rsid w:val="00D04931"/>
    <w:rsid w:val="00D04A92"/>
    <w:rsid w:val="00D04A9B"/>
    <w:rsid w:val="00D04BDE"/>
    <w:rsid w:val="00D04E55"/>
    <w:rsid w:val="00D05012"/>
    <w:rsid w:val="00D05601"/>
    <w:rsid w:val="00D05FF9"/>
    <w:rsid w:val="00D060D7"/>
    <w:rsid w:val="00D063C0"/>
    <w:rsid w:val="00D069F3"/>
    <w:rsid w:val="00D06A4C"/>
    <w:rsid w:val="00D06ECA"/>
    <w:rsid w:val="00D070BA"/>
    <w:rsid w:val="00D078F5"/>
    <w:rsid w:val="00D1001C"/>
    <w:rsid w:val="00D103BD"/>
    <w:rsid w:val="00D10F18"/>
    <w:rsid w:val="00D113F6"/>
    <w:rsid w:val="00D11D01"/>
    <w:rsid w:val="00D1212C"/>
    <w:rsid w:val="00D124FC"/>
    <w:rsid w:val="00D127C0"/>
    <w:rsid w:val="00D12DDE"/>
    <w:rsid w:val="00D12E8E"/>
    <w:rsid w:val="00D139BA"/>
    <w:rsid w:val="00D13BC9"/>
    <w:rsid w:val="00D13D68"/>
    <w:rsid w:val="00D13DA3"/>
    <w:rsid w:val="00D14009"/>
    <w:rsid w:val="00D142B8"/>
    <w:rsid w:val="00D1482D"/>
    <w:rsid w:val="00D149F3"/>
    <w:rsid w:val="00D15A0F"/>
    <w:rsid w:val="00D15D05"/>
    <w:rsid w:val="00D15FAD"/>
    <w:rsid w:val="00D162CF"/>
    <w:rsid w:val="00D16332"/>
    <w:rsid w:val="00D16601"/>
    <w:rsid w:val="00D170A6"/>
    <w:rsid w:val="00D17800"/>
    <w:rsid w:val="00D178FD"/>
    <w:rsid w:val="00D17D40"/>
    <w:rsid w:val="00D200E0"/>
    <w:rsid w:val="00D20435"/>
    <w:rsid w:val="00D204BF"/>
    <w:rsid w:val="00D207DA"/>
    <w:rsid w:val="00D20994"/>
    <w:rsid w:val="00D20D32"/>
    <w:rsid w:val="00D20D8C"/>
    <w:rsid w:val="00D20F7D"/>
    <w:rsid w:val="00D20FB4"/>
    <w:rsid w:val="00D210C6"/>
    <w:rsid w:val="00D2148B"/>
    <w:rsid w:val="00D214F4"/>
    <w:rsid w:val="00D21555"/>
    <w:rsid w:val="00D215AD"/>
    <w:rsid w:val="00D21601"/>
    <w:rsid w:val="00D21986"/>
    <w:rsid w:val="00D21B29"/>
    <w:rsid w:val="00D21F07"/>
    <w:rsid w:val="00D22075"/>
    <w:rsid w:val="00D2258E"/>
    <w:rsid w:val="00D22631"/>
    <w:rsid w:val="00D2276E"/>
    <w:rsid w:val="00D22D03"/>
    <w:rsid w:val="00D23305"/>
    <w:rsid w:val="00D23335"/>
    <w:rsid w:val="00D23420"/>
    <w:rsid w:val="00D234EA"/>
    <w:rsid w:val="00D236D0"/>
    <w:rsid w:val="00D23938"/>
    <w:rsid w:val="00D23A8D"/>
    <w:rsid w:val="00D23C68"/>
    <w:rsid w:val="00D241A2"/>
    <w:rsid w:val="00D242CB"/>
    <w:rsid w:val="00D246C7"/>
    <w:rsid w:val="00D24834"/>
    <w:rsid w:val="00D24D74"/>
    <w:rsid w:val="00D24DBF"/>
    <w:rsid w:val="00D24E0F"/>
    <w:rsid w:val="00D25222"/>
    <w:rsid w:val="00D256CD"/>
    <w:rsid w:val="00D25F32"/>
    <w:rsid w:val="00D263B0"/>
    <w:rsid w:val="00D26559"/>
    <w:rsid w:val="00D265DC"/>
    <w:rsid w:val="00D26636"/>
    <w:rsid w:val="00D266D1"/>
    <w:rsid w:val="00D26961"/>
    <w:rsid w:val="00D26A29"/>
    <w:rsid w:val="00D26F71"/>
    <w:rsid w:val="00D27535"/>
    <w:rsid w:val="00D305EE"/>
    <w:rsid w:val="00D306DE"/>
    <w:rsid w:val="00D30EF5"/>
    <w:rsid w:val="00D31164"/>
    <w:rsid w:val="00D3196A"/>
    <w:rsid w:val="00D319DF"/>
    <w:rsid w:val="00D31E02"/>
    <w:rsid w:val="00D31EB9"/>
    <w:rsid w:val="00D3201B"/>
    <w:rsid w:val="00D325C0"/>
    <w:rsid w:val="00D32776"/>
    <w:rsid w:val="00D327DB"/>
    <w:rsid w:val="00D32B6E"/>
    <w:rsid w:val="00D33C0C"/>
    <w:rsid w:val="00D34099"/>
    <w:rsid w:val="00D342AC"/>
    <w:rsid w:val="00D3483E"/>
    <w:rsid w:val="00D34B11"/>
    <w:rsid w:val="00D34D8F"/>
    <w:rsid w:val="00D34EBC"/>
    <w:rsid w:val="00D34FDC"/>
    <w:rsid w:val="00D35D77"/>
    <w:rsid w:val="00D35F5C"/>
    <w:rsid w:val="00D3653E"/>
    <w:rsid w:val="00D3692E"/>
    <w:rsid w:val="00D36EAB"/>
    <w:rsid w:val="00D37112"/>
    <w:rsid w:val="00D37445"/>
    <w:rsid w:val="00D374CA"/>
    <w:rsid w:val="00D37E2C"/>
    <w:rsid w:val="00D37E2E"/>
    <w:rsid w:val="00D37F3A"/>
    <w:rsid w:val="00D4013A"/>
    <w:rsid w:val="00D40A38"/>
    <w:rsid w:val="00D40B3C"/>
    <w:rsid w:val="00D40B90"/>
    <w:rsid w:val="00D40C24"/>
    <w:rsid w:val="00D413B8"/>
    <w:rsid w:val="00D41E86"/>
    <w:rsid w:val="00D4217A"/>
    <w:rsid w:val="00D42528"/>
    <w:rsid w:val="00D426A2"/>
    <w:rsid w:val="00D42ABF"/>
    <w:rsid w:val="00D42B3B"/>
    <w:rsid w:val="00D42CA9"/>
    <w:rsid w:val="00D42EBE"/>
    <w:rsid w:val="00D42F76"/>
    <w:rsid w:val="00D43240"/>
    <w:rsid w:val="00D43456"/>
    <w:rsid w:val="00D437A2"/>
    <w:rsid w:val="00D43A18"/>
    <w:rsid w:val="00D43AB2"/>
    <w:rsid w:val="00D444BD"/>
    <w:rsid w:val="00D44617"/>
    <w:rsid w:val="00D44AD9"/>
    <w:rsid w:val="00D44BE5"/>
    <w:rsid w:val="00D454FF"/>
    <w:rsid w:val="00D45705"/>
    <w:rsid w:val="00D45868"/>
    <w:rsid w:val="00D458EB"/>
    <w:rsid w:val="00D45977"/>
    <w:rsid w:val="00D45A21"/>
    <w:rsid w:val="00D460BD"/>
    <w:rsid w:val="00D4622C"/>
    <w:rsid w:val="00D468AC"/>
    <w:rsid w:val="00D46ACC"/>
    <w:rsid w:val="00D46F3A"/>
    <w:rsid w:val="00D4711B"/>
    <w:rsid w:val="00D474CB"/>
    <w:rsid w:val="00D47B56"/>
    <w:rsid w:val="00D47CCB"/>
    <w:rsid w:val="00D47F9C"/>
    <w:rsid w:val="00D50AB8"/>
    <w:rsid w:val="00D50B33"/>
    <w:rsid w:val="00D50B5C"/>
    <w:rsid w:val="00D50BB8"/>
    <w:rsid w:val="00D50FC6"/>
    <w:rsid w:val="00D51075"/>
    <w:rsid w:val="00D51289"/>
    <w:rsid w:val="00D5132A"/>
    <w:rsid w:val="00D51C01"/>
    <w:rsid w:val="00D522BC"/>
    <w:rsid w:val="00D522BD"/>
    <w:rsid w:val="00D524DA"/>
    <w:rsid w:val="00D5271C"/>
    <w:rsid w:val="00D52C1E"/>
    <w:rsid w:val="00D52CC2"/>
    <w:rsid w:val="00D53358"/>
    <w:rsid w:val="00D533DA"/>
    <w:rsid w:val="00D534AB"/>
    <w:rsid w:val="00D53B7D"/>
    <w:rsid w:val="00D53BAA"/>
    <w:rsid w:val="00D5430D"/>
    <w:rsid w:val="00D54615"/>
    <w:rsid w:val="00D54C27"/>
    <w:rsid w:val="00D550C3"/>
    <w:rsid w:val="00D55334"/>
    <w:rsid w:val="00D558E0"/>
    <w:rsid w:val="00D559BB"/>
    <w:rsid w:val="00D55A5F"/>
    <w:rsid w:val="00D56174"/>
    <w:rsid w:val="00D569FF"/>
    <w:rsid w:val="00D56E62"/>
    <w:rsid w:val="00D5706B"/>
    <w:rsid w:val="00D57188"/>
    <w:rsid w:val="00D574FC"/>
    <w:rsid w:val="00D57D02"/>
    <w:rsid w:val="00D60488"/>
    <w:rsid w:val="00D6079E"/>
    <w:rsid w:val="00D60F16"/>
    <w:rsid w:val="00D61083"/>
    <w:rsid w:val="00D610C7"/>
    <w:rsid w:val="00D6160F"/>
    <w:rsid w:val="00D616D4"/>
    <w:rsid w:val="00D61B41"/>
    <w:rsid w:val="00D61D22"/>
    <w:rsid w:val="00D61FE1"/>
    <w:rsid w:val="00D62A99"/>
    <w:rsid w:val="00D63286"/>
    <w:rsid w:val="00D63B09"/>
    <w:rsid w:val="00D63E2D"/>
    <w:rsid w:val="00D64097"/>
    <w:rsid w:val="00D6471B"/>
    <w:rsid w:val="00D6472B"/>
    <w:rsid w:val="00D64AC4"/>
    <w:rsid w:val="00D64BE2"/>
    <w:rsid w:val="00D65203"/>
    <w:rsid w:val="00D66044"/>
    <w:rsid w:val="00D661B5"/>
    <w:rsid w:val="00D66E70"/>
    <w:rsid w:val="00D671D4"/>
    <w:rsid w:val="00D67444"/>
    <w:rsid w:val="00D676AC"/>
    <w:rsid w:val="00D676E5"/>
    <w:rsid w:val="00D67D56"/>
    <w:rsid w:val="00D70136"/>
    <w:rsid w:val="00D701A5"/>
    <w:rsid w:val="00D708FC"/>
    <w:rsid w:val="00D71A22"/>
    <w:rsid w:val="00D71B98"/>
    <w:rsid w:val="00D71D67"/>
    <w:rsid w:val="00D723A0"/>
    <w:rsid w:val="00D72AAB"/>
    <w:rsid w:val="00D72D4C"/>
    <w:rsid w:val="00D72F4B"/>
    <w:rsid w:val="00D73811"/>
    <w:rsid w:val="00D742AE"/>
    <w:rsid w:val="00D742B9"/>
    <w:rsid w:val="00D74C2A"/>
    <w:rsid w:val="00D74E52"/>
    <w:rsid w:val="00D74F46"/>
    <w:rsid w:val="00D751AB"/>
    <w:rsid w:val="00D75A35"/>
    <w:rsid w:val="00D75E4B"/>
    <w:rsid w:val="00D76241"/>
    <w:rsid w:val="00D76264"/>
    <w:rsid w:val="00D7636A"/>
    <w:rsid w:val="00D76B0A"/>
    <w:rsid w:val="00D76C99"/>
    <w:rsid w:val="00D7751D"/>
    <w:rsid w:val="00D77856"/>
    <w:rsid w:val="00D77A3C"/>
    <w:rsid w:val="00D801E7"/>
    <w:rsid w:val="00D805C8"/>
    <w:rsid w:val="00D81171"/>
    <w:rsid w:val="00D81929"/>
    <w:rsid w:val="00D81F5C"/>
    <w:rsid w:val="00D8217E"/>
    <w:rsid w:val="00D8231B"/>
    <w:rsid w:val="00D82566"/>
    <w:rsid w:val="00D8265A"/>
    <w:rsid w:val="00D82E81"/>
    <w:rsid w:val="00D83070"/>
    <w:rsid w:val="00D83207"/>
    <w:rsid w:val="00D836CF"/>
    <w:rsid w:val="00D83851"/>
    <w:rsid w:val="00D839D8"/>
    <w:rsid w:val="00D83DFE"/>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B5D"/>
    <w:rsid w:val="00D86C43"/>
    <w:rsid w:val="00D87175"/>
    <w:rsid w:val="00D90045"/>
    <w:rsid w:val="00D90112"/>
    <w:rsid w:val="00D90145"/>
    <w:rsid w:val="00D902B6"/>
    <w:rsid w:val="00D904D5"/>
    <w:rsid w:val="00D9088E"/>
    <w:rsid w:val="00D90CFD"/>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5C52"/>
    <w:rsid w:val="00D96088"/>
    <w:rsid w:val="00D965AC"/>
    <w:rsid w:val="00D968F4"/>
    <w:rsid w:val="00D96A7D"/>
    <w:rsid w:val="00D96C76"/>
    <w:rsid w:val="00D96CAC"/>
    <w:rsid w:val="00D96D90"/>
    <w:rsid w:val="00D9788D"/>
    <w:rsid w:val="00D97899"/>
    <w:rsid w:val="00DA001D"/>
    <w:rsid w:val="00DA031C"/>
    <w:rsid w:val="00DA044E"/>
    <w:rsid w:val="00DA05BE"/>
    <w:rsid w:val="00DA0BBE"/>
    <w:rsid w:val="00DA0D3B"/>
    <w:rsid w:val="00DA1E0E"/>
    <w:rsid w:val="00DA2141"/>
    <w:rsid w:val="00DA21F8"/>
    <w:rsid w:val="00DA268C"/>
    <w:rsid w:val="00DA291D"/>
    <w:rsid w:val="00DA3458"/>
    <w:rsid w:val="00DA34D3"/>
    <w:rsid w:val="00DA37DB"/>
    <w:rsid w:val="00DA39FD"/>
    <w:rsid w:val="00DA3E99"/>
    <w:rsid w:val="00DA3F4F"/>
    <w:rsid w:val="00DA480C"/>
    <w:rsid w:val="00DA49CE"/>
    <w:rsid w:val="00DA4E87"/>
    <w:rsid w:val="00DA4F6D"/>
    <w:rsid w:val="00DA5195"/>
    <w:rsid w:val="00DA54AA"/>
    <w:rsid w:val="00DA5994"/>
    <w:rsid w:val="00DA59BF"/>
    <w:rsid w:val="00DA5B17"/>
    <w:rsid w:val="00DA5B32"/>
    <w:rsid w:val="00DA5DB1"/>
    <w:rsid w:val="00DA5EC6"/>
    <w:rsid w:val="00DA6020"/>
    <w:rsid w:val="00DA637F"/>
    <w:rsid w:val="00DA678B"/>
    <w:rsid w:val="00DA6853"/>
    <w:rsid w:val="00DA6938"/>
    <w:rsid w:val="00DA6B70"/>
    <w:rsid w:val="00DA6DA7"/>
    <w:rsid w:val="00DA7309"/>
    <w:rsid w:val="00DA76F4"/>
    <w:rsid w:val="00DA7868"/>
    <w:rsid w:val="00DA7981"/>
    <w:rsid w:val="00DB00C8"/>
    <w:rsid w:val="00DB1038"/>
    <w:rsid w:val="00DB130F"/>
    <w:rsid w:val="00DB1721"/>
    <w:rsid w:val="00DB1A0B"/>
    <w:rsid w:val="00DB1D00"/>
    <w:rsid w:val="00DB2233"/>
    <w:rsid w:val="00DB23E7"/>
    <w:rsid w:val="00DB28EE"/>
    <w:rsid w:val="00DB2D40"/>
    <w:rsid w:val="00DB2DF4"/>
    <w:rsid w:val="00DB2E64"/>
    <w:rsid w:val="00DB3292"/>
    <w:rsid w:val="00DB34B2"/>
    <w:rsid w:val="00DB3D10"/>
    <w:rsid w:val="00DB40BF"/>
    <w:rsid w:val="00DB4CFE"/>
    <w:rsid w:val="00DB4EDD"/>
    <w:rsid w:val="00DB527A"/>
    <w:rsid w:val="00DB5AF1"/>
    <w:rsid w:val="00DB5C24"/>
    <w:rsid w:val="00DB5DB7"/>
    <w:rsid w:val="00DB605D"/>
    <w:rsid w:val="00DB616F"/>
    <w:rsid w:val="00DB66F5"/>
    <w:rsid w:val="00DB6968"/>
    <w:rsid w:val="00DB6DCB"/>
    <w:rsid w:val="00DB704B"/>
    <w:rsid w:val="00DB7125"/>
    <w:rsid w:val="00DB7B99"/>
    <w:rsid w:val="00DC069D"/>
    <w:rsid w:val="00DC0AD0"/>
    <w:rsid w:val="00DC0EC4"/>
    <w:rsid w:val="00DC0EE8"/>
    <w:rsid w:val="00DC1054"/>
    <w:rsid w:val="00DC130F"/>
    <w:rsid w:val="00DC1839"/>
    <w:rsid w:val="00DC21A0"/>
    <w:rsid w:val="00DC22E3"/>
    <w:rsid w:val="00DC2771"/>
    <w:rsid w:val="00DC2C80"/>
    <w:rsid w:val="00DC2CAA"/>
    <w:rsid w:val="00DC2D16"/>
    <w:rsid w:val="00DC2D8D"/>
    <w:rsid w:val="00DC2E30"/>
    <w:rsid w:val="00DC3232"/>
    <w:rsid w:val="00DC350A"/>
    <w:rsid w:val="00DC3BC8"/>
    <w:rsid w:val="00DC3C12"/>
    <w:rsid w:val="00DC430B"/>
    <w:rsid w:val="00DC45D9"/>
    <w:rsid w:val="00DC4663"/>
    <w:rsid w:val="00DC4719"/>
    <w:rsid w:val="00DC4956"/>
    <w:rsid w:val="00DC4999"/>
    <w:rsid w:val="00DC4A72"/>
    <w:rsid w:val="00DC4DE5"/>
    <w:rsid w:val="00DC522A"/>
    <w:rsid w:val="00DC534B"/>
    <w:rsid w:val="00DC538C"/>
    <w:rsid w:val="00DC5C03"/>
    <w:rsid w:val="00DC5E34"/>
    <w:rsid w:val="00DC5EEA"/>
    <w:rsid w:val="00DC6163"/>
    <w:rsid w:val="00DC6198"/>
    <w:rsid w:val="00DC637D"/>
    <w:rsid w:val="00DC64A9"/>
    <w:rsid w:val="00DC6AC5"/>
    <w:rsid w:val="00DC6F74"/>
    <w:rsid w:val="00DC72FA"/>
    <w:rsid w:val="00DC7416"/>
    <w:rsid w:val="00DD0014"/>
    <w:rsid w:val="00DD03D2"/>
    <w:rsid w:val="00DD03DA"/>
    <w:rsid w:val="00DD0558"/>
    <w:rsid w:val="00DD055A"/>
    <w:rsid w:val="00DD0831"/>
    <w:rsid w:val="00DD088C"/>
    <w:rsid w:val="00DD1021"/>
    <w:rsid w:val="00DD121E"/>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84"/>
    <w:rsid w:val="00DD5286"/>
    <w:rsid w:val="00DD568F"/>
    <w:rsid w:val="00DD5EE1"/>
    <w:rsid w:val="00DD635C"/>
    <w:rsid w:val="00DD65CF"/>
    <w:rsid w:val="00DD6687"/>
    <w:rsid w:val="00DD693A"/>
    <w:rsid w:val="00DD69B2"/>
    <w:rsid w:val="00DD7219"/>
    <w:rsid w:val="00DD7480"/>
    <w:rsid w:val="00DD76DB"/>
    <w:rsid w:val="00DD78DA"/>
    <w:rsid w:val="00DD799A"/>
    <w:rsid w:val="00DD7E34"/>
    <w:rsid w:val="00DD7EB6"/>
    <w:rsid w:val="00DD7F86"/>
    <w:rsid w:val="00DE0133"/>
    <w:rsid w:val="00DE052D"/>
    <w:rsid w:val="00DE06D5"/>
    <w:rsid w:val="00DE0DC8"/>
    <w:rsid w:val="00DE0F54"/>
    <w:rsid w:val="00DE1517"/>
    <w:rsid w:val="00DE1D70"/>
    <w:rsid w:val="00DE1EBC"/>
    <w:rsid w:val="00DE222A"/>
    <w:rsid w:val="00DE2447"/>
    <w:rsid w:val="00DE2561"/>
    <w:rsid w:val="00DE2932"/>
    <w:rsid w:val="00DE29B2"/>
    <w:rsid w:val="00DE2B01"/>
    <w:rsid w:val="00DE305C"/>
    <w:rsid w:val="00DE3148"/>
    <w:rsid w:val="00DE329B"/>
    <w:rsid w:val="00DE339A"/>
    <w:rsid w:val="00DE367E"/>
    <w:rsid w:val="00DE386B"/>
    <w:rsid w:val="00DE3A33"/>
    <w:rsid w:val="00DE40A9"/>
    <w:rsid w:val="00DE43A0"/>
    <w:rsid w:val="00DE46B8"/>
    <w:rsid w:val="00DE48DE"/>
    <w:rsid w:val="00DE4D0B"/>
    <w:rsid w:val="00DE4D60"/>
    <w:rsid w:val="00DE4DF6"/>
    <w:rsid w:val="00DE50A9"/>
    <w:rsid w:val="00DE543E"/>
    <w:rsid w:val="00DE5445"/>
    <w:rsid w:val="00DE57DF"/>
    <w:rsid w:val="00DE5A7B"/>
    <w:rsid w:val="00DE6469"/>
    <w:rsid w:val="00DE65C0"/>
    <w:rsid w:val="00DE671B"/>
    <w:rsid w:val="00DE6C21"/>
    <w:rsid w:val="00DE70A3"/>
    <w:rsid w:val="00DE71BB"/>
    <w:rsid w:val="00DE7378"/>
    <w:rsid w:val="00DE7455"/>
    <w:rsid w:val="00DE7646"/>
    <w:rsid w:val="00DE778F"/>
    <w:rsid w:val="00DE77BB"/>
    <w:rsid w:val="00DE7DDB"/>
    <w:rsid w:val="00DF09EA"/>
    <w:rsid w:val="00DF0A47"/>
    <w:rsid w:val="00DF0D78"/>
    <w:rsid w:val="00DF1098"/>
    <w:rsid w:val="00DF1872"/>
    <w:rsid w:val="00DF26EB"/>
    <w:rsid w:val="00DF29FB"/>
    <w:rsid w:val="00DF2D6D"/>
    <w:rsid w:val="00DF30B2"/>
    <w:rsid w:val="00DF3384"/>
    <w:rsid w:val="00DF36FA"/>
    <w:rsid w:val="00DF3AFD"/>
    <w:rsid w:val="00DF3EC3"/>
    <w:rsid w:val="00DF3EF1"/>
    <w:rsid w:val="00DF40AD"/>
    <w:rsid w:val="00DF40E0"/>
    <w:rsid w:val="00DF412A"/>
    <w:rsid w:val="00DF44AB"/>
    <w:rsid w:val="00DF5208"/>
    <w:rsid w:val="00DF5873"/>
    <w:rsid w:val="00DF5893"/>
    <w:rsid w:val="00DF58BC"/>
    <w:rsid w:val="00DF61B5"/>
    <w:rsid w:val="00DF622C"/>
    <w:rsid w:val="00DF64FF"/>
    <w:rsid w:val="00DF6728"/>
    <w:rsid w:val="00DF6839"/>
    <w:rsid w:val="00DF6F4B"/>
    <w:rsid w:val="00DF71BD"/>
    <w:rsid w:val="00DF7ECE"/>
    <w:rsid w:val="00E00761"/>
    <w:rsid w:val="00E009BB"/>
    <w:rsid w:val="00E009EA"/>
    <w:rsid w:val="00E00D0C"/>
    <w:rsid w:val="00E00EA5"/>
    <w:rsid w:val="00E01157"/>
    <w:rsid w:val="00E013B8"/>
    <w:rsid w:val="00E01C71"/>
    <w:rsid w:val="00E02122"/>
    <w:rsid w:val="00E02153"/>
    <w:rsid w:val="00E02295"/>
    <w:rsid w:val="00E0274C"/>
    <w:rsid w:val="00E027BE"/>
    <w:rsid w:val="00E02976"/>
    <w:rsid w:val="00E03085"/>
    <w:rsid w:val="00E0308F"/>
    <w:rsid w:val="00E03ACA"/>
    <w:rsid w:val="00E03D6F"/>
    <w:rsid w:val="00E04020"/>
    <w:rsid w:val="00E048EA"/>
    <w:rsid w:val="00E04B6B"/>
    <w:rsid w:val="00E050C5"/>
    <w:rsid w:val="00E05559"/>
    <w:rsid w:val="00E062BF"/>
    <w:rsid w:val="00E0640D"/>
    <w:rsid w:val="00E068DE"/>
    <w:rsid w:val="00E06A6B"/>
    <w:rsid w:val="00E06EED"/>
    <w:rsid w:val="00E07167"/>
    <w:rsid w:val="00E07400"/>
    <w:rsid w:val="00E075F7"/>
    <w:rsid w:val="00E07A6E"/>
    <w:rsid w:val="00E07F73"/>
    <w:rsid w:val="00E100B1"/>
    <w:rsid w:val="00E1020A"/>
    <w:rsid w:val="00E105FD"/>
    <w:rsid w:val="00E108FA"/>
    <w:rsid w:val="00E109A2"/>
    <w:rsid w:val="00E10C2C"/>
    <w:rsid w:val="00E11617"/>
    <w:rsid w:val="00E1176E"/>
    <w:rsid w:val="00E117D6"/>
    <w:rsid w:val="00E119CA"/>
    <w:rsid w:val="00E11AF7"/>
    <w:rsid w:val="00E121A6"/>
    <w:rsid w:val="00E12476"/>
    <w:rsid w:val="00E12649"/>
    <w:rsid w:val="00E128B8"/>
    <w:rsid w:val="00E12B13"/>
    <w:rsid w:val="00E12E2A"/>
    <w:rsid w:val="00E1331A"/>
    <w:rsid w:val="00E13901"/>
    <w:rsid w:val="00E14335"/>
    <w:rsid w:val="00E1455F"/>
    <w:rsid w:val="00E145B9"/>
    <w:rsid w:val="00E14822"/>
    <w:rsid w:val="00E14904"/>
    <w:rsid w:val="00E14C46"/>
    <w:rsid w:val="00E151C8"/>
    <w:rsid w:val="00E154A5"/>
    <w:rsid w:val="00E156CA"/>
    <w:rsid w:val="00E15A2E"/>
    <w:rsid w:val="00E15D0F"/>
    <w:rsid w:val="00E15E2B"/>
    <w:rsid w:val="00E15E5D"/>
    <w:rsid w:val="00E16996"/>
    <w:rsid w:val="00E16AF1"/>
    <w:rsid w:val="00E16F99"/>
    <w:rsid w:val="00E171EA"/>
    <w:rsid w:val="00E17AB0"/>
    <w:rsid w:val="00E17D96"/>
    <w:rsid w:val="00E20250"/>
    <w:rsid w:val="00E2037C"/>
    <w:rsid w:val="00E205BA"/>
    <w:rsid w:val="00E206F7"/>
    <w:rsid w:val="00E20E50"/>
    <w:rsid w:val="00E20F9D"/>
    <w:rsid w:val="00E214A8"/>
    <w:rsid w:val="00E218FF"/>
    <w:rsid w:val="00E219D6"/>
    <w:rsid w:val="00E21A6C"/>
    <w:rsid w:val="00E21BBB"/>
    <w:rsid w:val="00E21C22"/>
    <w:rsid w:val="00E21C7B"/>
    <w:rsid w:val="00E229BC"/>
    <w:rsid w:val="00E22BDA"/>
    <w:rsid w:val="00E22C60"/>
    <w:rsid w:val="00E232F0"/>
    <w:rsid w:val="00E23346"/>
    <w:rsid w:val="00E23610"/>
    <w:rsid w:val="00E239E4"/>
    <w:rsid w:val="00E23B6D"/>
    <w:rsid w:val="00E23CD9"/>
    <w:rsid w:val="00E23F53"/>
    <w:rsid w:val="00E240D0"/>
    <w:rsid w:val="00E24180"/>
    <w:rsid w:val="00E241FF"/>
    <w:rsid w:val="00E24280"/>
    <w:rsid w:val="00E24B5F"/>
    <w:rsid w:val="00E25010"/>
    <w:rsid w:val="00E252F7"/>
    <w:rsid w:val="00E25581"/>
    <w:rsid w:val="00E25DC7"/>
    <w:rsid w:val="00E264AE"/>
    <w:rsid w:val="00E266E1"/>
    <w:rsid w:val="00E26844"/>
    <w:rsid w:val="00E26D55"/>
    <w:rsid w:val="00E27448"/>
    <w:rsid w:val="00E278AB"/>
    <w:rsid w:val="00E27B81"/>
    <w:rsid w:val="00E3044D"/>
    <w:rsid w:val="00E3080D"/>
    <w:rsid w:val="00E309EC"/>
    <w:rsid w:val="00E30B60"/>
    <w:rsid w:val="00E30B72"/>
    <w:rsid w:val="00E30C46"/>
    <w:rsid w:val="00E30F57"/>
    <w:rsid w:val="00E312FC"/>
    <w:rsid w:val="00E31B05"/>
    <w:rsid w:val="00E31BE1"/>
    <w:rsid w:val="00E31DC1"/>
    <w:rsid w:val="00E31DFF"/>
    <w:rsid w:val="00E31F61"/>
    <w:rsid w:val="00E32199"/>
    <w:rsid w:val="00E323D4"/>
    <w:rsid w:val="00E32F55"/>
    <w:rsid w:val="00E3312F"/>
    <w:rsid w:val="00E33BC2"/>
    <w:rsid w:val="00E33D3A"/>
    <w:rsid w:val="00E33FDB"/>
    <w:rsid w:val="00E342DF"/>
    <w:rsid w:val="00E344FC"/>
    <w:rsid w:val="00E3596B"/>
    <w:rsid w:val="00E35A93"/>
    <w:rsid w:val="00E35D0F"/>
    <w:rsid w:val="00E361D6"/>
    <w:rsid w:val="00E36354"/>
    <w:rsid w:val="00E365C5"/>
    <w:rsid w:val="00E366AF"/>
    <w:rsid w:val="00E36710"/>
    <w:rsid w:val="00E3694A"/>
    <w:rsid w:val="00E3724E"/>
    <w:rsid w:val="00E373D6"/>
    <w:rsid w:val="00E3775C"/>
    <w:rsid w:val="00E379F4"/>
    <w:rsid w:val="00E37A20"/>
    <w:rsid w:val="00E40E7B"/>
    <w:rsid w:val="00E4104C"/>
    <w:rsid w:val="00E4127E"/>
    <w:rsid w:val="00E41567"/>
    <w:rsid w:val="00E419FE"/>
    <w:rsid w:val="00E41DD4"/>
    <w:rsid w:val="00E41EDA"/>
    <w:rsid w:val="00E42131"/>
    <w:rsid w:val="00E42193"/>
    <w:rsid w:val="00E42429"/>
    <w:rsid w:val="00E4247A"/>
    <w:rsid w:val="00E427EA"/>
    <w:rsid w:val="00E429BF"/>
    <w:rsid w:val="00E42BCB"/>
    <w:rsid w:val="00E432E8"/>
    <w:rsid w:val="00E4356C"/>
    <w:rsid w:val="00E43AE9"/>
    <w:rsid w:val="00E43EE2"/>
    <w:rsid w:val="00E44183"/>
    <w:rsid w:val="00E4463F"/>
    <w:rsid w:val="00E446F2"/>
    <w:rsid w:val="00E44B19"/>
    <w:rsid w:val="00E44F37"/>
    <w:rsid w:val="00E452EF"/>
    <w:rsid w:val="00E45572"/>
    <w:rsid w:val="00E45CA7"/>
    <w:rsid w:val="00E45E27"/>
    <w:rsid w:val="00E46194"/>
    <w:rsid w:val="00E461A7"/>
    <w:rsid w:val="00E46212"/>
    <w:rsid w:val="00E46311"/>
    <w:rsid w:val="00E46388"/>
    <w:rsid w:val="00E46682"/>
    <w:rsid w:val="00E46B8A"/>
    <w:rsid w:val="00E46F0A"/>
    <w:rsid w:val="00E47649"/>
    <w:rsid w:val="00E50136"/>
    <w:rsid w:val="00E5114B"/>
    <w:rsid w:val="00E5121D"/>
    <w:rsid w:val="00E51497"/>
    <w:rsid w:val="00E51BB6"/>
    <w:rsid w:val="00E5264D"/>
    <w:rsid w:val="00E528AC"/>
    <w:rsid w:val="00E53405"/>
    <w:rsid w:val="00E5395C"/>
    <w:rsid w:val="00E539AB"/>
    <w:rsid w:val="00E53B66"/>
    <w:rsid w:val="00E544F0"/>
    <w:rsid w:val="00E547B9"/>
    <w:rsid w:val="00E548A9"/>
    <w:rsid w:val="00E54B72"/>
    <w:rsid w:val="00E54C1A"/>
    <w:rsid w:val="00E54F31"/>
    <w:rsid w:val="00E55647"/>
    <w:rsid w:val="00E558EF"/>
    <w:rsid w:val="00E560D2"/>
    <w:rsid w:val="00E560E3"/>
    <w:rsid w:val="00E562F9"/>
    <w:rsid w:val="00E5662A"/>
    <w:rsid w:val="00E568BB"/>
    <w:rsid w:val="00E5694B"/>
    <w:rsid w:val="00E56AFB"/>
    <w:rsid w:val="00E56CA6"/>
    <w:rsid w:val="00E56CBF"/>
    <w:rsid w:val="00E56ECA"/>
    <w:rsid w:val="00E570C8"/>
    <w:rsid w:val="00E57682"/>
    <w:rsid w:val="00E57683"/>
    <w:rsid w:val="00E579B1"/>
    <w:rsid w:val="00E57D36"/>
    <w:rsid w:val="00E57F8C"/>
    <w:rsid w:val="00E606D2"/>
    <w:rsid w:val="00E60991"/>
    <w:rsid w:val="00E60F98"/>
    <w:rsid w:val="00E619C8"/>
    <w:rsid w:val="00E6201F"/>
    <w:rsid w:val="00E620C3"/>
    <w:rsid w:val="00E622BC"/>
    <w:rsid w:val="00E62549"/>
    <w:rsid w:val="00E628DD"/>
    <w:rsid w:val="00E62AAA"/>
    <w:rsid w:val="00E62FA6"/>
    <w:rsid w:val="00E639C0"/>
    <w:rsid w:val="00E63D42"/>
    <w:rsid w:val="00E644CD"/>
    <w:rsid w:val="00E64571"/>
    <w:rsid w:val="00E645CD"/>
    <w:rsid w:val="00E64B40"/>
    <w:rsid w:val="00E64E82"/>
    <w:rsid w:val="00E65278"/>
    <w:rsid w:val="00E655AA"/>
    <w:rsid w:val="00E6579A"/>
    <w:rsid w:val="00E66008"/>
    <w:rsid w:val="00E66095"/>
    <w:rsid w:val="00E660A7"/>
    <w:rsid w:val="00E66628"/>
    <w:rsid w:val="00E668F2"/>
    <w:rsid w:val="00E669F8"/>
    <w:rsid w:val="00E66D1B"/>
    <w:rsid w:val="00E67044"/>
    <w:rsid w:val="00E67104"/>
    <w:rsid w:val="00E67598"/>
    <w:rsid w:val="00E67686"/>
    <w:rsid w:val="00E6791C"/>
    <w:rsid w:val="00E71045"/>
    <w:rsid w:val="00E71212"/>
    <w:rsid w:val="00E7123F"/>
    <w:rsid w:val="00E713E9"/>
    <w:rsid w:val="00E7144C"/>
    <w:rsid w:val="00E7167E"/>
    <w:rsid w:val="00E71EB4"/>
    <w:rsid w:val="00E7213A"/>
    <w:rsid w:val="00E7229B"/>
    <w:rsid w:val="00E729AB"/>
    <w:rsid w:val="00E72DA2"/>
    <w:rsid w:val="00E72EA8"/>
    <w:rsid w:val="00E730E0"/>
    <w:rsid w:val="00E73116"/>
    <w:rsid w:val="00E73462"/>
    <w:rsid w:val="00E739B3"/>
    <w:rsid w:val="00E73ACE"/>
    <w:rsid w:val="00E740B4"/>
    <w:rsid w:val="00E74146"/>
    <w:rsid w:val="00E7417B"/>
    <w:rsid w:val="00E74517"/>
    <w:rsid w:val="00E74526"/>
    <w:rsid w:val="00E74699"/>
    <w:rsid w:val="00E74C20"/>
    <w:rsid w:val="00E75B72"/>
    <w:rsid w:val="00E75D9A"/>
    <w:rsid w:val="00E761D8"/>
    <w:rsid w:val="00E7650A"/>
    <w:rsid w:val="00E765B7"/>
    <w:rsid w:val="00E76E9A"/>
    <w:rsid w:val="00E7720A"/>
    <w:rsid w:val="00E77379"/>
    <w:rsid w:val="00E814BC"/>
    <w:rsid w:val="00E8197E"/>
    <w:rsid w:val="00E819D7"/>
    <w:rsid w:val="00E820D7"/>
    <w:rsid w:val="00E821C6"/>
    <w:rsid w:val="00E82273"/>
    <w:rsid w:val="00E831F8"/>
    <w:rsid w:val="00E83467"/>
    <w:rsid w:val="00E83495"/>
    <w:rsid w:val="00E83A2D"/>
    <w:rsid w:val="00E83E16"/>
    <w:rsid w:val="00E83FFB"/>
    <w:rsid w:val="00E845FD"/>
    <w:rsid w:val="00E84761"/>
    <w:rsid w:val="00E8488B"/>
    <w:rsid w:val="00E84A0C"/>
    <w:rsid w:val="00E84CD4"/>
    <w:rsid w:val="00E84CF7"/>
    <w:rsid w:val="00E84F77"/>
    <w:rsid w:val="00E85254"/>
    <w:rsid w:val="00E852F0"/>
    <w:rsid w:val="00E85494"/>
    <w:rsid w:val="00E863C1"/>
    <w:rsid w:val="00E86824"/>
    <w:rsid w:val="00E86A9F"/>
    <w:rsid w:val="00E86CBF"/>
    <w:rsid w:val="00E877B4"/>
    <w:rsid w:val="00E90148"/>
    <w:rsid w:val="00E90566"/>
    <w:rsid w:val="00E90E24"/>
    <w:rsid w:val="00E90E2B"/>
    <w:rsid w:val="00E90E60"/>
    <w:rsid w:val="00E91DE9"/>
    <w:rsid w:val="00E92171"/>
    <w:rsid w:val="00E924DD"/>
    <w:rsid w:val="00E92761"/>
    <w:rsid w:val="00E92937"/>
    <w:rsid w:val="00E929FC"/>
    <w:rsid w:val="00E92A6A"/>
    <w:rsid w:val="00E9351E"/>
    <w:rsid w:val="00E936D7"/>
    <w:rsid w:val="00E939EB"/>
    <w:rsid w:val="00E93E73"/>
    <w:rsid w:val="00E943BD"/>
    <w:rsid w:val="00E944D4"/>
    <w:rsid w:val="00E947E9"/>
    <w:rsid w:val="00E94829"/>
    <w:rsid w:val="00E94839"/>
    <w:rsid w:val="00E94F91"/>
    <w:rsid w:val="00E95160"/>
    <w:rsid w:val="00E95195"/>
    <w:rsid w:val="00E9643C"/>
    <w:rsid w:val="00E96AE9"/>
    <w:rsid w:val="00E97224"/>
    <w:rsid w:val="00E9759E"/>
    <w:rsid w:val="00E97612"/>
    <w:rsid w:val="00E97797"/>
    <w:rsid w:val="00E97856"/>
    <w:rsid w:val="00E97C6F"/>
    <w:rsid w:val="00EA00C1"/>
    <w:rsid w:val="00EA028F"/>
    <w:rsid w:val="00EA04AF"/>
    <w:rsid w:val="00EA0BC6"/>
    <w:rsid w:val="00EA0D90"/>
    <w:rsid w:val="00EA11A8"/>
    <w:rsid w:val="00EA1253"/>
    <w:rsid w:val="00EA14E0"/>
    <w:rsid w:val="00EA154D"/>
    <w:rsid w:val="00EA1742"/>
    <w:rsid w:val="00EA219E"/>
    <w:rsid w:val="00EA2249"/>
    <w:rsid w:val="00EA24D3"/>
    <w:rsid w:val="00EA2682"/>
    <w:rsid w:val="00EA2875"/>
    <w:rsid w:val="00EA2973"/>
    <w:rsid w:val="00EA3184"/>
    <w:rsid w:val="00EA3439"/>
    <w:rsid w:val="00EA3613"/>
    <w:rsid w:val="00EA4764"/>
    <w:rsid w:val="00EA4833"/>
    <w:rsid w:val="00EA487D"/>
    <w:rsid w:val="00EA4A32"/>
    <w:rsid w:val="00EA52CB"/>
    <w:rsid w:val="00EA584F"/>
    <w:rsid w:val="00EA6087"/>
    <w:rsid w:val="00EA60C2"/>
    <w:rsid w:val="00EA65D0"/>
    <w:rsid w:val="00EA67C8"/>
    <w:rsid w:val="00EA6B89"/>
    <w:rsid w:val="00EA72C6"/>
    <w:rsid w:val="00EA7597"/>
    <w:rsid w:val="00EA7AB6"/>
    <w:rsid w:val="00EB01A6"/>
    <w:rsid w:val="00EB0208"/>
    <w:rsid w:val="00EB0209"/>
    <w:rsid w:val="00EB0502"/>
    <w:rsid w:val="00EB0888"/>
    <w:rsid w:val="00EB0F68"/>
    <w:rsid w:val="00EB11BD"/>
    <w:rsid w:val="00EB12B1"/>
    <w:rsid w:val="00EB1B91"/>
    <w:rsid w:val="00EB2784"/>
    <w:rsid w:val="00EB2933"/>
    <w:rsid w:val="00EB2D87"/>
    <w:rsid w:val="00EB2F6B"/>
    <w:rsid w:val="00EB314A"/>
    <w:rsid w:val="00EB3420"/>
    <w:rsid w:val="00EB3856"/>
    <w:rsid w:val="00EB3F32"/>
    <w:rsid w:val="00EB41B9"/>
    <w:rsid w:val="00EB4375"/>
    <w:rsid w:val="00EB4488"/>
    <w:rsid w:val="00EB49B5"/>
    <w:rsid w:val="00EB4F86"/>
    <w:rsid w:val="00EB5330"/>
    <w:rsid w:val="00EB5842"/>
    <w:rsid w:val="00EB6C3E"/>
    <w:rsid w:val="00EB76B2"/>
    <w:rsid w:val="00EB7DB2"/>
    <w:rsid w:val="00EB7DCF"/>
    <w:rsid w:val="00EB7EE8"/>
    <w:rsid w:val="00EC00BE"/>
    <w:rsid w:val="00EC03AE"/>
    <w:rsid w:val="00EC092B"/>
    <w:rsid w:val="00EC138E"/>
    <w:rsid w:val="00EC1794"/>
    <w:rsid w:val="00EC22BB"/>
    <w:rsid w:val="00EC268E"/>
    <w:rsid w:val="00EC27C8"/>
    <w:rsid w:val="00EC30EE"/>
    <w:rsid w:val="00EC31A6"/>
    <w:rsid w:val="00EC3278"/>
    <w:rsid w:val="00EC36E6"/>
    <w:rsid w:val="00EC3DA2"/>
    <w:rsid w:val="00EC3E57"/>
    <w:rsid w:val="00EC40F7"/>
    <w:rsid w:val="00EC49FA"/>
    <w:rsid w:val="00EC4CCC"/>
    <w:rsid w:val="00EC4D55"/>
    <w:rsid w:val="00EC556D"/>
    <w:rsid w:val="00EC55DC"/>
    <w:rsid w:val="00EC5A51"/>
    <w:rsid w:val="00EC6533"/>
    <w:rsid w:val="00EC659D"/>
    <w:rsid w:val="00EC6895"/>
    <w:rsid w:val="00EC6BFF"/>
    <w:rsid w:val="00EC6D90"/>
    <w:rsid w:val="00EC6E8F"/>
    <w:rsid w:val="00EC6EFE"/>
    <w:rsid w:val="00EC70FD"/>
    <w:rsid w:val="00EC7355"/>
    <w:rsid w:val="00EC754C"/>
    <w:rsid w:val="00EC7882"/>
    <w:rsid w:val="00EC7A1C"/>
    <w:rsid w:val="00ED069F"/>
    <w:rsid w:val="00ED0A5D"/>
    <w:rsid w:val="00ED1077"/>
    <w:rsid w:val="00ED1C3C"/>
    <w:rsid w:val="00ED24DB"/>
    <w:rsid w:val="00ED284C"/>
    <w:rsid w:val="00ED29F2"/>
    <w:rsid w:val="00ED2B52"/>
    <w:rsid w:val="00ED2D31"/>
    <w:rsid w:val="00ED2D76"/>
    <w:rsid w:val="00ED3563"/>
    <w:rsid w:val="00ED39C7"/>
    <w:rsid w:val="00ED3A3D"/>
    <w:rsid w:val="00ED3AEB"/>
    <w:rsid w:val="00ED3AFF"/>
    <w:rsid w:val="00ED3B89"/>
    <w:rsid w:val="00ED3F13"/>
    <w:rsid w:val="00ED40F6"/>
    <w:rsid w:val="00ED4718"/>
    <w:rsid w:val="00ED4995"/>
    <w:rsid w:val="00ED49EA"/>
    <w:rsid w:val="00ED4E38"/>
    <w:rsid w:val="00ED4EBA"/>
    <w:rsid w:val="00ED4F22"/>
    <w:rsid w:val="00ED5199"/>
    <w:rsid w:val="00ED5678"/>
    <w:rsid w:val="00ED5BBF"/>
    <w:rsid w:val="00ED62A2"/>
    <w:rsid w:val="00ED6905"/>
    <w:rsid w:val="00ED6BF4"/>
    <w:rsid w:val="00ED6E04"/>
    <w:rsid w:val="00ED73AD"/>
    <w:rsid w:val="00ED7656"/>
    <w:rsid w:val="00ED7E85"/>
    <w:rsid w:val="00EE03CB"/>
    <w:rsid w:val="00EE078B"/>
    <w:rsid w:val="00EE090B"/>
    <w:rsid w:val="00EE099B"/>
    <w:rsid w:val="00EE0A96"/>
    <w:rsid w:val="00EE0EE4"/>
    <w:rsid w:val="00EE1123"/>
    <w:rsid w:val="00EE1291"/>
    <w:rsid w:val="00EE16C9"/>
    <w:rsid w:val="00EE1B05"/>
    <w:rsid w:val="00EE2091"/>
    <w:rsid w:val="00EE20F7"/>
    <w:rsid w:val="00EE21B1"/>
    <w:rsid w:val="00EE22BA"/>
    <w:rsid w:val="00EE269D"/>
    <w:rsid w:val="00EE2D14"/>
    <w:rsid w:val="00EE3460"/>
    <w:rsid w:val="00EE36C7"/>
    <w:rsid w:val="00EE37F8"/>
    <w:rsid w:val="00EE397A"/>
    <w:rsid w:val="00EE3DF5"/>
    <w:rsid w:val="00EE4396"/>
    <w:rsid w:val="00EE4718"/>
    <w:rsid w:val="00EE4E5F"/>
    <w:rsid w:val="00EE4EA8"/>
    <w:rsid w:val="00EE50C6"/>
    <w:rsid w:val="00EE564B"/>
    <w:rsid w:val="00EE569E"/>
    <w:rsid w:val="00EE5B33"/>
    <w:rsid w:val="00EE6089"/>
    <w:rsid w:val="00EE61A6"/>
    <w:rsid w:val="00EE6C16"/>
    <w:rsid w:val="00EE6D1A"/>
    <w:rsid w:val="00EE6FCB"/>
    <w:rsid w:val="00EE7832"/>
    <w:rsid w:val="00EF00C4"/>
    <w:rsid w:val="00EF046F"/>
    <w:rsid w:val="00EF0520"/>
    <w:rsid w:val="00EF0986"/>
    <w:rsid w:val="00EF0BBC"/>
    <w:rsid w:val="00EF10CB"/>
    <w:rsid w:val="00EF14DB"/>
    <w:rsid w:val="00EF1751"/>
    <w:rsid w:val="00EF199B"/>
    <w:rsid w:val="00EF1AB5"/>
    <w:rsid w:val="00EF1BE1"/>
    <w:rsid w:val="00EF1ED4"/>
    <w:rsid w:val="00EF255D"/>
    <w:rsid w:val="00EF2B88"/>
    <w:rsid w:val="00EF2E0E"/>
    <w:rsid w:val="00EF2F6B"/>
    <w:rsid w:val="00EF3127"/>
    <w:rsid w:val="00EF3CBD"/>
    <w:rsid w:val="00EF3FA3"/>
    <w:rsid w:val="00EF4245"/>
    <w:rsid w:val="00EF43EA"/>
    <w:rsid w:val="00EF44D6"/>
    <w:rsid w:val="00EF4630"/>
    <w:rsid w:val="00EF4ADC"/>
    <w:rsid w:val="00EF4DD4"/>
    <w:rsid w:val="00EF5153"/>
    <w:rsid w:val="00EF597C"/>
    <w:rsid w:val="00EF5D01"/>
    <w:rsid w:val="00EF5F11"/>
    <w:rsid w:val="00EF6329"/>
    <w:rsid w:val="00EF6D94"/>
    <w:rsid w:val="00EF6EF8"/>
    <w:rsid w:val="00EF6F12"/>
    <w:rsid w:val="00EF6F1D"/>
    <w:rsid w:val="00EF7287"/>
    <w:rsid w:val="00EF7A58"/>
    <w:rsid w:val="00EF7B77"/>
    <w:rsid w:val="00EF7E9E"/>
    <w:rsid w:val="00EF7F90"/>
    <w:rsid w:val="00EF7FE4"/>
    <w:rsid w:val="00F002C5"/>
    <w:rsid w:val="00F01885"/>
    <w:rsid w:val="00F01AA3"/>
    <w:rsid w:val="00F01B1B"/>
    <w:rsid w:val="00F02324"/>
    <w:rsid w:val="00F0275F"/>
    <w:rsid w:val="00F02966"/>
    <w:rsid w:val="00F02C74"/>
    <w:rsid w:val="00F02FAC"/>
    <w:rsid w:val="00F034E0"/>
    <w:rsid w:val="00F03AA6"/>
    <w:rsid w:val="00F03B2F"/>
    <w:rsid w:val="00F03F19"/>
    <w:rsid w:val="00F04956"/>
    <w:rsid w:val="00F04D89"/>
    <w:rsid w:val="00F054C6"/>
    <w:rsid w:val="00F05DEB"/>
    <w:rsid w:val="00F06369"/>
    <w:rsid w:val="00F06371"/>
    <w:rsid w:val="00F067C0"/>
    <w:rsid w:val="00F06A8D"/>
    <w:rsid w:val="00F06E68"/>
    <w:rsid w:val="00F07037"/>
    <w:rsid w:val="00F07A96"/>
    <w:rsid w:val="00F07AC5"/>
    <w:rsid w:val="00F07B03"/>
    <w:rsid w:val="00F07DC3"/>
    <w:rsid w:val="00F1007C"/>
    <w:rsid w:val="00F10315"/>
    <w:rsid w:val="00F1032B"/>
    <w:rsid w:val="00F1083F"/>
    <w:rsid w:val="00F10844"/>
    <w:rsid w:val="00F10BEE"/>
    <w:rsid w:val="00F10D65"/>
    <w:rsid w:val="00F10E95"/>
    <w:rsid w:val="00F10FDA"/>
    <w:rsid w:val="00F11657"/>
    <w:rsid w:val="00F11B3A"/>
    <w:rsid w:val="00F1210D"/>
    <w:rsid w:val="00F1219E"/>
    <w:rsid w:val="00F121BC"/>
    <w:rsid w:val="00F12312"/>
    <w:rsid w:val="00F12A64"/>
    <w:rsid w:val="00F132FA"/>
    <w:rsid w:val="00F13472"/>
    <w:rsid w:val="00F13663"/>
    <w:rsid w:val="00F13ABC"/>
    <w:rsid w:val="00F13E04"/>
    <w:rsid w:val="00F13E10"/>
    <w:rsid w:val="00F143CD"/>
    <w:rsid w:val="00F14675"/>
    <w:rsid w:val="00F14A0B"/>
    <w:rsid w:val="00F14A63"/>
    <w:rsid w:val="00F14D27"/>
    <w:rsid w:val="00F150A6"/>
    <w:rsid w:val="00F150B9"/>
    <w:rsid w:val="00F15611"/>
    <w:rsid w:val="00F15B3C"/>
    <w:rsid w:val="00F15BEE"/>
    <w:rsid w:val="00F15DCE"/>
    <w:rsid w:val="00F16692"/>
    <w:rsid w:val="00F16AB5"/>
    <w:rsid w:val="00F16CBD"/>
    <w:rsid w:val="00F16D29"/>
    <w:rsid w:val="00F171FB"/>
    <w:rsid w:val="00F17329"/>
    <w:rsid w:val="00F17407"/>
    <w:rsid w:val="00F17619"/>
    <w:rsid w:val="00F1780C"/>
    <w:rsid w:val="00F178A2"/>
    <w:rsid w:val="00F17974"/>
    <w:rsid w:val="00F2025F"/>
    <w:rsid w:val="00F208C4"/>
    <w:rsid w:val="00F20DF9"/>
    <w:rsid w:val="00F21123"/>
    <w:rsid w:val="00F211C1"/>
    <w:rsid w:val="00F213A0"/>
    <w:rsid w:val="00F21B32"/>
    <w:rsid w:val="00F21C02"/>
    <w:rsid w:val="00F21E84"/>
    <w:rsid w:val="00F222DB"/>
    <w:rsid w:val="00F2246E"/>
    <w:rsid w:val="00F2253B"/>
    <w:rsid w:val="00F225F9"/>
    <w:rsid w:val="00F22992"/>
    <w:rsid w:val="00F22A4E"/>
    <w:rsid w:val="00F22C29"/>
    <w:rsid w:val="00F23D50"/>
    <w:rsid w:val="00F23DE1"/>
    <w:rsid w:val="00F23DF7"/>
    <w:rsid w:val="00F23E05"/>
    <w:rsid w:val="00F24076"/>
    <w:rsid w:val="00F2419B"/>
    <w:rsid w:val="00F244EE"/>
    <w:rsid w:val="00F24F3D"/>
    <w:rsid w:val="00F24FCF"/>
    <w:rsid w:val="00F251DB"/>
    <w:rsid w:val="00F253A1"/>
    <w:rsid w:val="00F255D3"/>
    <w:rsid w:val="00F256BE"/>
    <w:rsid w:val="00F256C2"/>
    <w:rsid w:val="00F25B8A"/>
    <w:rsid w:val="00F25DD9"/>
    <w:rsid w:val="00F25E71"/>
    <w:rsid w:val="00F263A2"/>
    <w:rsid w:val="00F265FA"/>
    <w:rsid w:val="00F26676"/>
    <w:rsid w:val="00F2667C"/>
    <w:rsid w:val="00F266BD"/>
    <w:rsid w:val="00F26D64"/>
    <w:rsid w:val="00F26E83"/>
    <w:rsid w:val="00F272F9"/>
    <w:rsid w:val="00F277B0"/>
    <w:rsid w:val="00F277FA"/>
    <w:rsid w:val="00F27832"/>
    <w:rsid w:val="00F2796E"/>
    <w:rsid w:val="00F27AB0"/>
    <w:rsid w:val="00F27B5F"/>
    <w:rsid w:val="00F27B92"/>
    <w:rsid w:val="00F30104"/>
    <w:rsid w:val="00F3032B"/>
    <w:rsid w:val="00F305A9"/>
    <w:rsid w:val="00F308FC"/>
    <w:rsid w:val="00F30CC9"/>
    <w:rsid w:val="00F30E8C"/>
    <w:rsid w:val="00F31155"/>
    <w:rsid w:val="00F3141D"/>
    <w:rsid w:val="00F3153D"/>
    <w:rsid w:val="00F31B39"/>
    <w:rsid w:val="00F31B7C"/>
    <w:rsid w:val="00F32464"/>
    <w:rsid w:val="00F3289E"/>
    <w:rsid w:val="00F32CD7"/>
    <w:rsid w:val="00F32DCE"/>
    <w:rsid w:val="00F32FDA"/>
    <w:rsid w:val="00F334BA"/>
    <w:rsid w:val="00F33A4E"/>
    <w:rsid w:val="00F33D4B"/>
    <w:rsid w:val="00F3403C"/>
    <w:rsid w:val="00F344CE"/>
    <w:rsid w:val="00F345F2"/>
    <w:rsid w:val="00F34A57"/>
    <w:rsid w:val="00F34B18"/>
    <w:rsid w:val="00F34FC0"/>
    <w:rsid w:val="00F3511D"/>
    <w:rsid w:val="00F35477"/>
    <w:rsid w:val="00F35661"/>
    <w:rsid w:val="00F35E93"/>
    <w:rsid w:val="00F36042"/>
    <w:rsid w:val="00F36155"/>
    <w:rsid w:val="00F36291"/>
    <w:rsid w:val="00F3699A"/>
    <w:rsid w:val="00F36E21"/>
    <w:rsid w:val="00F37253"/>
    <w:rsid w:val="00F37266"/>
    <w:rsid w:val="00F37D2A"/>
    <w:rsid w:val="00F37E51"/>
    <w:rsid w:val="00F407AD"/>
    <w:rsid w:val="00F407F1"/>
    <w:rsid w:val="00F4080F"/>
    <w:rsid w:val="00F40956"/>
    <w:rsid w:val="00F41610"/>
    <w:rsid w:val="00F41E73"/>
    <w:rsid w:val="00F41EC7"/>
    <w:rsid w:val="00F4244D"/>
    <w:rsid w:val="00F42838"/>
    <w:rsid w:val="00F42C81"/>
    <w:rsid w:val="00F42D97"/>
    <w:rsid w:val="00F43003"/>
    <w:rsid w:val="00F430AA"/>
    <w:rsid w:val="00F441ED"/>
    <w:rsid w:val="00F447DD"/>
    <w:rsid w:val="00F447E6"/>
    <w:rsid w:val="00F454C2"/>
    <w:rsid w:val="00F4555D"/>
    <w:rsid w:val="00F459A9"/>
    <w:rsid w:val="00F463FD"/>
    <w:rsid w:val="00F46468"/>
    <w:rsid w:val="00F4651F"/>
    <w:rsid w:val="00F46A62"/>
    <w:rsid w:val="00F46D84"/>
    <w:rsid w:val="00F471B0"/>
    <w:rsid w:val="00F50DED"/>
    <w:rsid w:val="00F50EE2"/>
    <w:rsid w:val="00F5111C"/>
    <w:rsid w:val="00F51B17"/>
    <w:rsid w:val="00F51DDD"/>
    <w:rsid w:val="00F51E46"/>
    <w:rsid w:val="00F51F41"/>
    <w:rsid w:val="00F51FFE"/>
    <w:rsid w:val="00F528A0"/>
    <w:rsid w:val="00F52D57"/>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5059"/>
    <w:rsid w:val="00F55382"/>
    <w:rsid w:val="00F553AE"/>
    <w:rsid w:val="00F554FB"/>
    <w:rsid w:val="00F55535"/>
    <w:rsid w:val="00F556B0"/>
    <w:rsid w:val="00F55B7D"/>
    <w:rsid w:val="00F56124"/>
    <w:rsid w:val="00F5623B"/>
    <w:rsid w:val="00F5644A"/>
    <w:rsid w:val="00F566E7"/>
    <w:rsid w:val="00F569E1"/>
    <w:rsid w:val="00F5714C"/>
    <w:rsid w:val="00F572CF"/>
    <w:rsid w:val="00F573A8"/>
    <w:rsid w:val="00F5747A"/>
    <w:rsid w:val="00F5752E"/>
    <w:rsid w:val="00F5766E"/>
    <w:rsid w:val="00F57F9F"/>
    <w:rsid w:val="00F6039C"/>
    <w:rsid w:val="00F60476"/>
    <w:rsid w:val="00F604ED"/>
    <w:rsid w:val="00F6081C"/>
    <w:rsid w:val="00F60C2A"/>
    <w:rsid w:val="00F60D04"/>
    <w:rsid w:val="00F61612"/>
    <w:rsid w:val="00F617C9"/>
    <w:rsid w:val="00F620BC"/>
    <w:rsid w:val="00F62A0F"/>
    <w:rsid w:val="00F62E28"/>
    <w:rsid w:val="00F63866"/>
    <w:rsid w:val="00F63BBA"/>
    <w:rsid w:val="00F63BC2"/>
    <w:rsid w:val="00F63DA4"/>
    <w:rsid w:val="00F645A5"/>
    <w:rsid w:val="00F645EA"/>
    <w:rsid w:val="00F64790"/>
    <w:rsid w:val="00F6485E"/>
    <w:rsid w:val="00F648BE"/>
    <w:rsid w:val="00F64B98"/>
    <w:rsid w:val="00F6501D"/>
    <w:rsid w:val="00F65315"/>
    <w:rsid w:val="00F65810"/>
    <w:rsid w:val="00F65B31"/>
    <w:rsid w:val="00F65B63"/>
    <w:rsid w:val="00F65CF8"/>
    <w:rsid w:val="00F6638D"/>
    <w:rsid w:val="00F663BD"/>
    <w:rsid w:val="00F664EC"/>
    <w:rsid w:val="00F666F6"/>
    <w:rsid w:val="00F66703"/>
    <w:rsid w:val="00F66A8C"/>
    <w:rsid w:val="00F675CA"/>
    <w:rsid w:val="00F67A5A"/>
    <w:rsid w:val="00F67E74"/>
    <w:rsid w:val="00F7001F"/>
    <w:rsid w:val="00F70750"/>
    <w:rsid w:val="00F708D9"/>
    <w:rsid w:val="00F70946"/>
    <w:rsid w:val="00F70DAE"/>
    <w:rsid w:val="00F714CA"/>
    <w:rsid w:val="00F717A4"/>
    <w:rsid w:val="00F71AC7"/>
    <w:rsid w:val="00F71EAC"/>
    <w:rsid w:val="00F727D1"/>
    <w:rsid w:val="00F7292E"/>
    <w:rsid w:val="00F729DF"/>
    <w:rsid w:val="00F72A75"/>
    <w:rsid w:val="00F72ABB"/>
    <w:rsid w:val="00F72AC6"/>
    <w:rsid w:val="00F72C13"/>
    <w:rsid w:val="00F72EF1"/>
    <w:rsid w:val="00F73001"/>
    <w:rsid w:val="00F73C40"/>
    <w:rsid w:val="00F73DA3"/>
    <w:rsid w:val="00F7403C"/>
    <w:rsid w:val="00F740D1"/>
    <w:rsid w:val="00F74433"/>
    <w:rsid w:val="00F748C2"/>
    <w:rsid w:val="00F74BBB"/>
    <w:rsid w:val="00F74BD5"/>
    <w:rsid w:val="00F7530A"/>
    <w:rsid w:val="00F757F0"/>
    <w:rsid w:val="00F75A70"/>
    <w:rsid w:val="00F75FFE"/>
    <w:rsid w:val="00F7606D"/>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229C"/>
    <w:rsid w:val="00F822EB"/>
    <w:rsid w:val="00F82828"/>
    <w:rsid w:val="00F82AE2"/>
    <w:rsid w:val="00F82E0A"/>
    <w:rsid w:val="00F83906"/>
    <w:rsid w:val="00F83C6F"/>
    <w:rsid w:val="00F83D61"/>
    <w:rsid w:val="00F84116"/>
    <w:rsid w:val="00F842A7"/>
    <w:rsid w:val="00F84407"/>
    <w:rsid w:val="00F8443B"/>
    <w:rsid w:val="00F84504"/>
    <w:rsid w:val="00F84B0B"/>
    <w:rsid w:val="00F84FBA"/>
    <w:rsid w:val="00F8528B"/>
    <w:rsid w:val="00F85346"/>
    <w:rsid w:val="00F8552A"/>
    <w:rsid w:val="00F856D4"/>
    <w:rsid w:val="00F85ADB"/>
    <w:rsid w:val="00F86004"/>
    <w:rsid w:val="00F8610C"/>
    <w:rsid w:val="00F864B5"/>
    <w:rsid w:val="00F8685D"/>
    <w:rsid w:val="00F86CA0"/>
    <w:rsid w:val="00F877E8"/>
    <w:rsid w:val="00F87903"/>
    <w:rsid w:val="00F87ED3"/>
    <w:rsid w:val="00F902F8"/>
    <w:rsid w:val="00F904E8"/>
    <w:rsid w:val="00F91929"/>
    <w:rsid w:val="00F91EE9"/>
    <w:rsid w:val="00F925EA"/>
    <w:rsid w:val="00F92B5C"/>
    <w:rsid w:val="00F92D0F"/>
    <w:rsid w:val="00F92EB7"/>
    <w:rsid w:val="00F9384F"/>
    <w:rsid w:val="00F93E01"/>
    <w:rsid w:val="00F9439A"/>
    <w:rsid w:val="00F9463D"/>
    <w:rsid w:val="00F9468F"/>
    <w:rsid w:val="00F94AB7"/>
    <w:rsid w:val="00F9536C"/>
    <w:rsid w:val="00F95751"/>
    <w:rsid w:val="00F95CB1"/>
    <w:rsid w:val="00F95F27"/>
    <w:rsid w:val="00F9631F"/>
    <w:rsid w:val="00F96CC4"/>
    <w:rsid w:val="00F9751F"/>
    <w:rsid w:val="00F97562"/>
    <w:rsid w:val="00F97A5C"/>
    <w:rsid w:val="00F97C8C"/>
    <w:rsid w:val="00FA00FE"/>
    <w:rsid w:val="00FA034B"/>
    <w:rsid w:val="00FA086F"/>
    <w:rsid w:val="00FA0F63"/>
    <w:rsid w:val="00FA10B1"/>
    <w:rsid w:val="00FA11DA"/>
    <w:rsid w:val="00FA1211"/>
    <w:rsid w:val="00FA1216"/>
    <w:rsid w:val="00FA143D"/>
    <w:rsid w:val="00FA161A"/>
    <w:rsid w:val="00FA174C"/>
    <w:rsid w:val="00FA1FDD"/>
    <w:rsid w:val="00FA267D"/>
    <w:rsid w:val="00FA290C"/>
    <w:rsid w:val="00FA2A4F"/>
    <w:rsid w:val="00FA33D6"/>
    <w:rsid w:val="00FA34CD"/>
    <w:rsid w:val="00FA364A"/>
    <w:rsid w:val="00FA39A9"/>
    <w:rsid w:val="00FA3C92"/>
    <w:rsid w:val="00FA40D4"/>
    <w:rsid w:val="00FA4259"/>
    <w:rsid w:val="00FA4991"/>
    <w:rsid w:val="00FA4A5A"/>
    <w:rsid w:val="00FA4C36"/>
    <w:rsid w:val="00FA4DBF"/>
    <w:rsid w:val="00FA547C"/>
    <w:rsid w:val="00FA55DC"/>
    <w:rsid w:val="00FA574E"/>
    <w:rsid w:val="00FA599F"/>
    <w:rsid w:val="00FA5B57"/>
    <w:rsid w:val="00FA5D75"/>
    <w:rsid w:val="00FA620A"/>
    <w:rsid w:val="00FA709D"/>
    <w:rsid w:val="00FA7852"/>
    <w:rsid w:val="00FA78DD"/>
    <w:rsid w:val="00FA7EDB"/>
    <w:rsid w:val="00FA7F23"/>
    <w:rsid w:val="00FB0353"/>
    <w:rsid w:val="00FB13B4"/>
    <w:rsid w:val="00FB1B27"/>
    <w:rsid w:val="00FB1E3F"/>
    <w:rsid w:val="00FB1EE6"/>
    <w:rsid w:val="00FB219D"/>
    <w:rsid w:val="00FB221F"/>
    <w:rsid w:val="00FB237F"/>
    <w:rsid w:val="00FB2724"/>
    <w:rsid w:val="00FB27DF"/>
    <w:rsid w:val="00FB288A"/>
    <w:rsid w:val="00FB2FCF"/>
    <w:rsid w:val="00FB31A2"/>
    <w:rsid w:val="00FB36F9"/>
    <w:rsid w:val="00FB3889"/>
    <w:rsid w:val="00FB39C0"/>
    <w:rsid w:val="00FB3ECF"/>
    <w:rsid w:val="00FB43B7"/>
    <w:rsid w:val="00FB442D"/>
    <w:rsid w:val="00FB461C"/>
    <w:rsid w:val="00FB48AD"/>
    <w:rsid w:val="00FB4A11"/>
    <w:rsid w:val="00FB5052"/>
    <w:rsid w:val="00FB509F"/>
    <w:rsid w:val="00FB5475"/>
    <w:rsid w:val="00FB5641"/>
    <w:rsid w:val="00FB5831"/>
    <w:rsid w:val="00FB5C92"/>
    <w:rsid w:val="00FB5CA2"/>
    <w:rsid w:val="00FB6D5F"/>
    <w:rsid w:val="00FB6E76"/>
    <w:rsid w:val="00FB7700"/>
    <w:rsid w:val="00FB7C6F"/>
    <w:rsid w:val="00FC00CD"/>
    <w:rsid w:val="00FC03EB"/>
    <w:rsid w:val="00FC0B39"/>
    <w:rsid w:val="00FC0C1D"/>
    <w:rsid w:val="00FC0C6E"/>
    <w:rsid w:val="00FC0FD6"/>
    <w:rsid w:val="00FC187A"/>
    <w:rsid w:val="00FC1A45"/>
    <w:rsid w:val="00FC2181"/>
    <w:rsid w:val="00FC237B"/>
    <w:rsid w:val="00FC253E"/>
    <w:rsid w:val="00FC2F89"/>
    <w:rsid w:val="00FC397D"/>
    <w:rsid w:val="00FC3B92"/>
    <w:rsid w:val="00FC3FCC"/>
    <w:rsid w:val="00FC47D4"/>
    <w:rsid w:val="00FC47ED"/>
    <w:rsid w:val="00FC53DE"/>
    <w:rsid w:val="00FC544F"/>
    <w:rsid w:val="00FC547C"/>
    <w:rsid w:val="00FC5A52"/>
    <w:rsid w:val="00FC6285"/>
    <w:rsid w:val="00FC6CEA"/>
    <w:rsid w:val="00FC76A3"/>
    <w:rsid w:val="00FC78DE"/>
    <w:rsid w:val="00FC794E"/>
    <w:rsid w:val="00FC7AB8"/>
    <w:rsid w:val="00FC7C3D"/>
    <w:rsid w:val="00FD05EA"/>
    <w:rsid w:val="00FD0739"/>
    <w:rsid w:val="00FD08DE"/>
    <w:rsid w:val="00FD099F"/>
    <w:rsid w:val="00FD0B45"/>
    <w:rsid w:val="00FD0C7E"/>
    <w:rsid w:val="00FD10F1"/>
    <w:rsid w:val="00FD1222"/>
    <w:rsid w:val="00FD15A3"/>
    <w:rsid w:val="00FD1A75"/>
    <w:rsid w:val="00FD1C87"/>
    <w:rsid w:val="00FD20B9"/>
    <w:rsid w:val="00FD2689"/>
    <w:rsid w:val="00FD296E"/>
    <w:rsid w:val="00FD3180"/>
    <w:rsid w:val="00FD3181"/>
    <w:rsid w:val="00FD35C5"/>
    <w:rsid w:val="00FD3A17"/>
    <w:rsid w:val="00FD4848"/>
    <w:rsid w:val="00FD4951"/>
    <w:rsid w:val="00FD49BA"/>
    <w:rsid w:val="00FD4ABF"/>
    <w:rsid w:val="00FD5246"/>
    <w:rsid w:val="00FD5375"/>
    <w:rsid w:val="00FD54DA"/>
    <w:rsid w:val="00FD5C0D"/>
    <w:rsid w:val="00FD5D79"/>
    <w:rsid w:val="00FD5D7B"/>
    <w:rsid w:val="00FD601D"/>
    <w:rsid w:val="00FD602F"/>
    <w:rsid w:val="00FD647C"/>
    <w:rsid w:val="00FD6585"/>
    <w:rsid w:val="00FD66A8"/>
    <w:rsid w:val="00FD73CD"/>
    <w:rsid w:val="00FD74C5"/>
    <w:rsid w:val="00FD75F0"/>
    <w:rsid w:val="00FD7DB2"/>
    <w:rsid w:val="00FE02D7"/>
    <w:rsid w:val="00FE073D"/>
    <w:rsid w:val="00FE096C"/>
    <w:rsid w:val="00FE09F6"/>
    <w:rsid w:val="00FE0B5A"/>
    <w:rsid w:val="00FE0CB4"/>
    <w:rsid w:val="00FE1165"/>
    <w:rsid w:val="00FE1C02"/>
    <w:rsid w:val="00FE1D34"/>
    <w:rsid w:val="00FE1E11"/>
    <w:rsid w:val="00FE2036"/>
    <w:rsid w:val="00FE2223"/>
    <w:rsid w:val="00FE2B96"/>
    <w:rsid w:val="00FE2BF7"/>
    <w:rsid w:val="00FE2F2C"/>
    <w:rsid w:val="00FE2F59"/>
    <w:rsid w:val="00FE3143"/>
    <w:rsid w:val="00FE31E2"/>
    <w:rsid w:val="00FE3D48"/>
    <w:rsid w:val="00FE3D77"/>
    <w:rsid w:val="00FE3FAA"/>
    <w:rsid w:val="00FE41C1"/>
    <w:rsid w:val="00FE42D3"/>
    <w:rsid w:val="00FE4430"/>
    <w:rsid w:val="00FE478D"/>
    <w:rsid w:val="00FE47E8"/>
    <w:rsid w:val="00FE4AC6"/>
    <w:rsid w:val="00FE4AFE"/>
    <w:rsid w:val="00FE4B1B"/>
    <w:rsid w:val="00FE4F0C"/>
    <w:rsid w:val="00FE6164"/>
    <w:rsid w:val="00FE6A64"/>
    <w:rsid w:val="00FE6C52"/>
    <w:rsid w:val="00FE6ED2"/>
    <w:rsid w:val="00FE7D73"/>
    <w:rsid w:val="00FE7E28"/>
    <w:rsid w:val="00FE7F3E"/>
    <w:rsid w:val="00FF02D8"/>
    <w:rsid w:val="00FF0594"/>
    <w:rsid w:val="00FF072C"/>
    <w:rsid w:val="00FF087F"/>
    <w:rsid w:val="00FF0FB2"/>
    <w:rsid w:val="00FF1085"/>
    <w:rsid w:val="00FF123A"/>
    <w:rsid w:val="00FF131D"/>
    <w:rsid w:val="00FF13EB"/>
    <w:rsid w:val="00FF155F"/>
    <w:rsid w:val="00FF2789"/>
    <w:rsid w:val="00FF2A53"/>
    <w:rsid w:val="00FF2A6F"/>
    <w:rsid w:val="00FF2E27"/>
    <w:rsid w:val="00FF33F9"/>
    <w:rsid w:val="00FF34CA"/>
    <w:rsid w:val="00FF36CC"/>
    <w:rsid w:val="00FF37A0"/>
    <w:rsid w:val="00FF38AA"/>
    <w:rsid w:val="00FF4739"/>
    <w:rsid w:val="00FF4A3B"/>
    <w:rsid w:val="00FF4C36"/>
    <w:rsid w:val="00FF4F77"/>
    <w:rsid w:val="00FF500E"/>
    <w:rsid w:val="00FF50E3"/>
    <w:rsid w:val="00FF55DD"/>
    <w:rsid w:val="00FF5773"/>
    <w:rsid w:val="00FF57F2"/>
    <w:rsid w:val="00FF611B"/>
    <w:rsid w:val="00FF6463"/>
    <w:rsid w:val="00FF665E"/>
    <w:rsid w:val="00FF684E"/>
    <w:rsid w:val="00FF6BCD"/>
    <w:rsid w:val="00FF6EFD"/>
    <w:rsid w:val="00FF72BC"/>
    <w:rsid w:val="00FF73EE"/>
    <w:rsid w:val="00FF762B"/>
    <w:rsid w:val="00FF765F"/>
    <w:rsid w:val="00FF7ACD"/>
    <w:rsid w:val="00FF7B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FB422F-CBAD-47B3-995D-BBEDCF0A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DD03DA"/>
    <w:pPr>
      <w:bidi/>
    </w:pPr>
  </w:style>
  <w:style w:type="paragraph" w:styleId="1">
    <w:name w:val="heading 1"/>
    <w:aliases w:val="כות גד"/>
    <w:basedOn w:val="a1"/>
    <w:next w:val="a2"/>
    <w:link w:val="10"/>
    <w:autoRedefine/>
    <w:uiPriority w:val="9"/>
    <w:qFormat/>
    <w:rsid w:val="00B07C13"/>
    <w:pPr>
      <w:keepNext/>
      <w:keepLines/>
      <w:spacing w:before="480"/>
      <w:ind w:left="0"/>
      <w:jc w:val="center"/>
      <w:outlineLvl w:val="0"/>
    </w:pPr>
    <w:rPr>
      <w:rFonts w:ascii="Guttman Hodes" w:eastAsia="Guttman Hodes" w:hAnsi="Guttman Hodes" w:cs="Guttman Hodes"/>
      <w:b/>
      <w:bCs/>
      <w:sz w:val="18"/>
      <w:szCs w:val="18"/>
    </w:rPr>
  </w:style>
  <w:style w:type="paragraph" w:styleId="2">
    <w:name w:val="heading 2"/>
    <w:basedOn w:val="a1"/>
    <w:next w:val="a1"/>
    <w:link w:val="20"/>
    <w:autoRedefine/>
    <w:uiPriority w:val="9"/>
    <w:unhideWhenUsed/>
    <w:qFormat/>
    <w:rsid w:val="0065318E"/>
    <w:pPr>
      <w:keepNext/>
      <w:keepLines/>
      <w:ind w:left="0"/>
      <w:jc w:val="center"/>
      <w:outlineLvl w:val="1"/>
    </w:pPr>
    <w:rPr>
      <w:rFonts w:ascii="Guttman Adii-Light" w:eastAsia="Guttman Adii-Light" w:hAnsi="Guttman Adii-Light" w:cs="Guttman Adii-Light"/>
      <w:sz w:val="24"/>
      <w:szCs w:val="24"/>
    </w:rPr>
  </w:style>
  <w:style w:type="paragraph" w:styleId="3">
    <w:name w:val="heading 3"/>
    <w:basedOn w:val="a1"/>
    <w:next w:val="a1"/>
    <w:link w:val="30"/>
    <w:uiPriority w:val="9"/>
    <w:semiHidden/>
    <w:unhideWhenUsed/>
    <w:qFormat/>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כות קט"/>
    <w:basedOn w:val="a1"/>
    <w:next w:val="a"/>
    <w:link w:val="a6"/>
    <w:autoRedefine/>
    <w:qFormat/>
    <w:rsid w:val="006D6D32"/>
    <w:pPr>
      <w:spacing w:before="200"/>
      <w:ind w:left="0"/>
      <w:jc w:val="center"/>
      <w:outlineLvl w:val="1"/>
    </w:pPr>
    <w:rPr>
      <w:rFonts w:ascii="Guttman Hodes" w:eastAsia="Guttman Hodes" w:hAnsi="Guttman Hodes" w:cs="Guttman Hodes"/>
      <w:sz w:val="12"/>
      <w:szCs w:val="12"/>
    </w:rPr>
  </w:style>
  <w:style w:type="paragraph" w:customStyle="1" w:styleId="a">
    <w:name w:val="קטע רגיל"/>
    <w:basedOn w:val="a1"/>
    <w:next w:val="a2"/>
    <w:link w:val="a7"/>
    <w:autoRedefine/>
    <w:qFormat/>
    <w:rsid w:val="009F44AF"/>
    <w:pPr>
      <w:numPr>
        <w:numId w:val="1"/>
      </w:numPr>
      <w:tabs>
        <w:tab w:val="left" w:pos="1163"/>
      </w:tabs>
      <w:spacing w:after="120" w:line="240" w:lineRule="auto"/>
    </w:pPr>
    <w:rPr>
      <w:rFonts w:ascii="Guttman Hodes" w:eastAsia="Guttman Hodes" w:hAnsi="Guttman Hodes" w:cs="Guttman Hodes"/>
      <w:noProof/>
      <w:sz w:val="18"/>
      <w:szCs w:val="18"/>
    </w:rPr>
  </w:style>
  <w:style w:type="character" w:customStyle="1" w:styleId="a7">
    <w:name w:val="קטע רגיל תו"/>
    <w:basedOn w:val="a3"/>
    <w:link w:val="a"/>
    <w:rsid w:val="009F44AF"/>
    <w:rPr>
      <w:rFonts w:ascii="Guttman Hodes" w:eastAsia="Guttman Hodes" w:hAnsi="Guttman Hodes" w:cs="Guttman Hodes"/>
      <w:noProof/>
      <w:sz w:val="18"/>
      <w:szCs w:val="18"/>
    </w:rPr>
  </w:style>
  <w:style w:type="character" w:customStyle="1" w:styleId="a6">
    <w:name w:val="כות קט תו"/>
    <w:basedOn w:val="a3"/>
    <w:link w:val="a2"/>
    <w:rsid w:val="006D6D32"/>
    <w:rPr>
      <w:rFonts w:ascii="Guttman Hodes" w:eastAsia="Guttman Hodes" w:hAnsi="Guttman Hodes" w:cs="Guttman Hodes"/>
      <w:sz w:val="12"/>
      <w:szCs w:val="12"/>
    </w:rPr>
  </w:style>
  <w:style w:type="character" w:customStyle="1" w:styleId="10">
    <w:name w:val="כותרת 1 תו"/>
    <w:aliases w:val="כות גד תו"/>
    <w:basedOn w:val="a3"/>
    <w:link w:val="1"/>
    <w:uiPriority w:val="9"/>
    <w:rsid w:val="00B07C13"/>
    <w:rPr>
      <w:rFonts w:ascii="Guttman Hodes" w:eastAsia="Guttman Hodes" w:hAnsi="Guttman Hodes" w:cs="Guttman Hodes"/>
      <w:b/>
      <w:bCs/>
      <w:sz w:val="18"/>
      <w:szCs w:val="18"/>
    </w:rPr>
  </w:style>
  <w:style w:type="character" w:customStyle="1" w:styleId="20">
    <w:name w:val="כותרת 2 תו"/>
    <w:basedOn w:val="a3"/>
    <w:link w:val="2"/>
    <w:uiPriority w:val="9"/>
    <w:rsid w:val="0065318E"/>
    <w:rPr>
      <w:rFonts w:ascii="Guttman Adii-Light" w:eastAsia="Guttman Adii-Light" w:hAnsi="Guttman Adii-Light" w:cs="Guttman Adii-Light"/>
      <w:sz w:val="24"/>
      <w:szCs w:val="24"/>
    </w:rPr>
  </w:style>
  <w:style w:type="character" w:customStyle="1" w:styleId="30">
    <w:name w:val="כותרת 3 תו"/>
    <w:basedOn w:val="a3"/>
    <w:link w:val="3"/>
    <w:uiPriority w:val="9"/>
    <w:semiHidden/>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3"/>
    <w:link w:val="4"/>
    <w:uiPriority w:val="9"/>
    <w:semiHidden/>
    <w:rsid w:val="00503CE1"/>
    <w:rPr>
      <w:rFonts w:asciiTheme="majorHAnsi" w:eastAsiaTheme="majorEastAsia" w:hAnsiTheme="majorHAnsi" w:cstheme="majorBidi"/>
      <w:i/>
      <w:iCs/>
      <w:color w:val="365F91" w:themeColor="accent1" w:themeShade="BF"/>
    </w:rPr>
  </w:style>
  <w:style w:type="character" w:customStyle="1" w:styleId="50">
    <w:name w:val="כותרת 5 תו"/>
    <w:basedOn w:val="a3"/>
    <w:link w:val="5"/>
    <w:uiPriority w:val="9"/>
    <w:semiHidden/>
    <w:rsid w:val="00303F3F"/>
    <w:rPr>
      <w:rFonts w:asciiTheme="majorHAnsi" w:eastAsiaTheme="majorEastAsia" w:hAnsiTheme="majorHAnsi" w:cstheme="majorBidi"/>
      <w:color w:val="365F91" w:themeColor="accent1" w:themeShade="BF"/>
    </w:rPr>
  </w:style>
  <w:style w:type="paragraph" w:styleId="a8">
    <w:name w:val="header"/>
    <w:basedOn w:val="a1"/>
    <w:link w:val="a9"/>
    <w:uiPriority w:val="99"/>
    <w:unhideWhenUsed/>
    <w:rsid w:val="00F35477"/>
    <w:pPr>
      <w:tabs>
        <w:tab w:val="center" w:pos="4153"/>
        <w:tab w:val="right" w:pos="8306"/>
      </w:tabs>
      <w:spacing w:line="240" w:lineRule="auto"/>
    </w:pPr>
  </w:style>
  <w:style w:type="character" w:customStyle="1" w:styleId="a9">
    <w:name w:val="כותרת עליונה תו"/>
    <w:basedOn w:val="a3"/>
    <w:link w:val="a8"/>
    <w:uiPriority w:val="99"/>
    <w:rsid w:val="00F35477"/>
  </w:style>
  <w:style w:type="paragraph" w:styleId="aa">
    <w:name w:val="footer"/>
    <w:basedOn w:val="a1"/>
    <w:link w:val="ab"/>
    <w:uiPriority w:val="99"/>
    <w:unhideWhenUsed/>
    <w:rsid w:val="00F35477"/>
    <w:pPr>
      <w:tabs>
        <w:tab w:val="center" w:pos="4153"/>
        <w:tab w:val="right" w:pos="8306"/>
      </w:tabs>
      <w:spacing w:line="240" w:lineRule="auto"/>
    </w:pPr>
  </w:style>
  <w:style w:type="character" w:customStyle="1" w:styleId="ab">
    <w:name w:val="כותרת תחתונה תו"/>
    <w:basedOn w:val="a3"/>
    <w:link w:val="aa"/>
    <w:uiPriority w:val="99"/>
    <w:rsid w:val="00F35477"/>
  </w:style>
  <w:style w:type="paragraph" w:styleId="ac">
    <w:name w:val="List Paragraph"/>
    <w:basedOn w:val="a1"/>
    <w:link w:val="ad"/>
    <w:uiPriority w:val="34"/>
    <w:qFormat/>
    <w:rsid w:val="00F35477"/>
    <w:pPr>
      <w:ind w:left="720"/>
      <w:contextualSpacing/>
    </w:pPr>
  </w:style>
  <w:style w:type="character" w:customStyle="1" w:styleId="ad">
    <w:name w:val="פיסקת רשימה תו"/>
    <w:basedOn w:val="a3"/>
    <w:link w:val="ac"/>
    <w:uiPriority w:val="34"/>
    <w:rsid w:val="00743EE5"/>
  </w:style>
  <w:style w:type="paragraph" w:styleId="ae">
    <w:name w:val="footnote text"/>
    <w:basedOn w:val="a1"/>
    <w:link w:val="af"/>
    <w:autoRedefine/>
    <w:uiPriority w:val="99"/>
    <w:unhideWhenUsed/>
    <w:rsid w:val="00E47649"/>
    <w:pPr>
      <w:widowControl w:val="0"/>
      <w:spacing w:line="240" w:lineRule="auto"/>
      <w:ind w:left="0"/>
    </w:pPr>
    <w:rPr>
      <w:rFonts w:cs="Guttman Hodes"/>
      <w:sz w:val="18"/>
      <w:szCs w:val="14"/>
    </w:rPr>
  </w:style>
  <w:style w:type="character" w:customStyle="1" w:styleId="af">
    <w:name w:val="טקסט הערת שוליים תו"/>
    <w:basedOn w:val="a3"/>
    <w:link w:val="ae"/>
    <w:uiPriority w:val="99"/>
    <w:rsid w:val="00E47649"/>
    <w:rPr>
      <w:rFonts w:cs="Guttman Hodes"/>
      <w:sz w:val="18"/>
      <w:szCs w:val="14"/>
    </w:rPr>
  </w:style>
  <w:style w:type="character" w:styleId="af0">
    <w:name w:val="footnote reference"/>
    <w:basedOn w:val="a3"/>
    <w:uiPriority w:val="99"/>
    <w:unhideWhenUsed/>
    <w:rsid w:val="00572DCA"/>
    <w:rPr>
      <w:vertAlign w:val="superscript"/>
    </w:rPr>
  </w:style>
  <w:style w:type="paragraph" w:styleId="af1">
    <w:name w:val="Balloon Text"/>
    <w:basedOn w:val="a1"/>
    <w:link w:val="af2"/>
    <w:uiPriority w:val="99"/>
    <w:semiHidden/>
    <w:unhideWhenUsed/>
    <w:rsid w:val="00C6753C"/>
    <w:pPr>
      <w:spacing w:line="240" w:lineRule="auto"/>
    </w:pPr>
    <w:rPr>
      <w:rFonts w:ascii="Tahoma" w:hAnsi="Tahoma" w:cs="Tahoma"/>
      <w:sz w:val="16"/>
      <w:szCs w:val="16"/>
    </w:rPr>
  </w:style>
  <w:style w:type="character" w:customStyle="1" w:styleId="af2">
    <w:name w:val="טקסט בלונים תו"/>
    <w:basedOn w:val="a3"/>
    <w:link w:val="af1"/>
    <w:uiPriority w:val="99"/>
    <w:semiHidden/>
    <w:rsid w:val="00C6753C"/>
    <w:rPr>
      <w:rFonts w:ascii="Tahoma" w:hAnsi="Tahoma" w:cs="Tahoma"/>
      <w:sz w:val="16"/>
      <w:szCs w:val="16"/>
    </w:rPr>
  </w:style>
  <w:style w:type="paragraph" w:customStyle="1" w:styleId="af3">
    <w:name w:val="כות מש רהי"/>
    <w:basedOn w:val="ac"/>
    <w:link w:val="af4"/>
    <w:rsid w:val="009773FB"/>
    <w:pPr>
      <w:widowControl w:val="0"/>
      <w:spacing w:line="240" w:lineRule="auto"/>
      <w:ind w:left="0"/>
      <w:jc w:val="center"/>
    </w:pPr>
    <w:rPr>
      <w:rFonts w:ascii="Arial" w:eastAsia="Times New Roman" w:hAnsi="Arial" w:cs="Guttman Hodes"/>
      <w:sz w:val="12"/>
      <w:szCs w:val="12"/>
    </w:rPr>
  </w:style>
  <w:style w:type="character" w:customStyle="1" w:styleId="af4">
    <w:name w:val="כות מש רהי תו"/>
    <w:basedOn w:val="a3"/>
    <w:link w:val="af3"/>
    <w:rsid w:val="009773FB"/>
    <w:rPr>
      <w:rFonts w:ascii="Arial" w:eastAsia="Times New Roman" w:hAnsi="Arial" w:cs="Guttman Hodes"/>
      <w:sz w:val="12"/>
      <w:szCs w:val="12"/>
    </w:rPr>
  </w:style>
  <w:style w:type="paragraph" w:customStyle="1" w:styleId="af5">
    <w:name w:val="מ&quot;מ"/>
    <w:basedOn w:val="a1"/>
    <w:link w:val="af6"/>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6">
    <w:name w:val="מ&quot;מ תו"/>
    <w:basedOn w:val="a3"/>
    <w:link w:val="af5"/>
    <w:rsid w:val="00E5694B"/>
    <w:rPr>
      <w:rFonts w:ascii="Calibri" w:eastAsia="Times New Roman" w:hAnsi="Calibri" w:cs="Guttman Rashi"/>
      <w:sz w:val="10"/>
      <w:szCs w:val="12"/>
    </w:rPr>
  </w:style>
  <w:style w:type="paragraph" w:customStyle="1" w:styleId="af7">
    <w:name w:val="מודגש"/>
    <w:basedOn w:val="a"/>
    <w:link w:val="af8"/>
    <w:qFormat/>
    <w:rsid w:val="00D3653E"/>
    <w:pPr>
      <w:numPr>
        <w:numId w:val="0"/>
      </w:numPr>
    </w:pPr>
    <w:rPr>
      <w:b/>
      <w:bCs/>
    </w:rPr>
  </w:style>
  <w:style w:type="character" w:customStyle="1" w:styleId="af8">
    <w:name w:val="מודגש תו"/>
    <w:basedOn w:val="a7"/>
    <w:link w:val="af7"/>
    <w:rsid w:val="00D3653E"/>
    <w:rPr>
      <w:rFonts w:ascii="Guttman Hodes" w:eastAsia="Guttman Hodes" w:hAnsi="Guttman Hodes" w:cs="Guttman Hodes"/>
      <w:b/>
      <w:bCs/>
      <w:noProof/>
      <w:sz w:val="18"/>
      <w:szCs w:val="18"/>
    </w:rPr>
  </w:style>
  <w:style w:type="paragraph" w:customStyle="1" w:styleId="af9">
    <w:name w:val="מוקטן"/>
    <w:basedOn w:val="a"/>
    <w:link w:val="afa"/>
    <w:autoRedefine/>
    <w:qFormat/>
    <w:rsid w:val="000B7917"/>
    <w:pPr>
      <w:numPr>
        <w:numId w:val="0"/>
      </w:numPr>
    </w:pPr>
    <w:rPr>
      <w:sz w:val="10"/>
      <w:szCs w:val="14"/>
    </w:rPr>
  </w:style>
  <w:style w:type="character" w:customStyle="1" w:styleId="afa">
    <w:name w:val="מוקטן תו"/>
    <w:basedOn w:val="a7"/>
    <w:link w:val="af9"/>
    <w:rsid w:val="000B7917"/>
    <w:rPr>
      <w:rFonts w:ascii="Guttman Hodes" w:eastAsia="Guttman Hodes" w:hAnsi="Guttman Hodes" w:cs="Guttman Hodes"/>
      <w:noProof/>
      <w:sz w:val="10"/>
      <w:szCs w:val="14"/>
    </w:rPr>
  </w:style>
  <w:style w:type="paragraph" w:styleId="afb">
    <w:name w:val="TOC Heading"/>
    <w:basedOn w:val="1"/>
    <w:next w:val="a1"/>
    <w:uiPriority w:val="39"/>
    <w:unhideWhenUsed/>
    <w:qFormat/>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basedOn w:val="a1"/>
    <w:next w:val="a1"/>
    <w:autoRedefine/>
    <w:uiPriority w:val="39"/>
    <w:unhideWhenUsed/>
    <w:rsid w:val="00490201"/>
    <w:pPr>
      <w:spacing w:before="240" w:after="120"/>
      <w:ind w:left="0"/>
      <w:jc w:val="left"/>
    </w:pPr>
    <w:rPr>
      <w:rFonts w:cstheme="minorHAnsi"/>
      <w:b/>
      <w:bCs/>
      <w:sz w:val="20"/>
      <w:szCs w:val="20"/>
    </w:rPr>
  </w:style>
  <w:style w:type="paragraph" w:styleId="TOC2">
    <w:name w:val="toc 2"/>
    <w:basedOn w:val="a1"/>
    <w:next w:val="a1"/>
    <w:autoRedefine/>
    <w:uiPriority w:val="39"/>
    <w:unhideWhenUsed/>
    <w:rsid w:val="00490201"/>
    <w:pPr>
      <w:spacing w:before="120"/>
      <w:ind w:left="220"/>
      <w:jc w:val="left"/>
    </w:pPr>
    <w:rPr>
      <w:rFonts w:cstheme="minorHAnsi"/>
      <w:i/>
      <w:iCs/>
      <w:sz w:val="20"/>
      <w:szCs w:val="20"/>
    </w:rPr>
  </w:style>
  <w:style w:type="character" w:styleId="Hyperlink">
    <w:name w:val="Hyperlink"/>
    <w:basedOn w:val="a3"/>
    <w:uiPriority w:val="99"/>
    <w:unhideWhenUsed/>
    <w:rsid w:val="00490201"/>
    <w:rPr>
      <w:color w:val="0000FF" w:themeColor="hyperlink"/>
      <w:u w:val="single"/>
    </w:rPr>
  </w:style>
  <w:style w:type="paragraph" w:customStyle="1" w:styleId="afc">
    <w:name w:val="כות מקטע"/>
    <w:basedOn w:val="afd"/>
    <w:next w:val="afd"/>
    <w:link w:val="afe"/>
    <w:autoRedefine/>
    <w:qFormat/>
    <w:rsid w:val="005B1A17"/>
    <w:pPr>
      <w:spacing w:after="240" w:line="240" w:lineRule="auto"/>
    </w:pPr>
    <w:rPr>
      <w:bCs/>
    </w:rPr>
  </w:style>
  <w:style w:type="paragraph" w:customStyle="1" w:styleId="afd">
    <w:name w:val="כות מק פנ"/>
    <w:basedOn w:val="a2"/>
    <w:next w:val="1"/>
    <w:link w:val="aff"/>
    <w:autoRedefine/>
    <w:qFormat/>
    <w:rsid w:val="009342E7"/>
    <w:pPr>
      <w:spacing w:before="480"/>
    </w:pPr>
    <w:rPr>
      <w:rFonts w:ascii="Guttman Adii-Light" w:eastAsia="Guttman Adii-Light" w:hAnsi="Guttman Adii-Light" w:cs="Guttman Adii-Light"/>
      <w:b/>
      <w:noProof/>
      <w:sz w:val="22"/>
      <w:szCs w:val="28"/>
    </w:rPr>
  </w:style>
  <w:style w:type="character" w:customStyle="1" w:styleId="aff">
    <w:name w:val="כות מק פנ תו"/>
    <w:basedOn w:val="10"/>
    <w:link w:val="afd"/>
    <w:rsid w:val="009342E7"/>
    <w:rPr>
      <w:rFonts w:ascii="Guttman Adii-Light" w:eastAsia="Guttman Adii-Light" w:hAnsi="Guttman Adii-Light" w:cs="Guttman Adii-Light"/>
      <w:b/>
      <w:bCs w:val="0"/>
      <w:noProof/>
      <w:sz w:val="18"/>
      <w:szCs w:val="28"/>
    </w:rPr>
  </w:style>
  <w:style w:type="character" w:customStyle="1" w:styleId="afe">
    <w:name w:val="כות מקטע תו"/>
    <w:basedOn w:val="ad"/>
    <w:link w:val="afc"/>
    <w:rsid w:val="005B1A17"/>
    <w:rPr>
      <w:rFonts w:ascii="Guttman Adii-Light" w:eastAsia="Guttman Adii-Light" w:hAnsi="Guttman Adii-Light" w:cs="Guttman Adii-Light"/>
      <w:b/>
      <w:bCs/>
      <w:noProof/>
      <w:szCs w:val="28"/>
    </w:rPr>
  </w:style>
  <w:style w:type="paragraph" w:customStyle="1" w:styleId="aff0">
    <w:name w:val="מ&quot;מ מוקטן"/>
    <w:basedOn w:val="a"/>
    <w:next w:val="a"/>
    <w:link w:val="aff1"/>
    <w:autoRedefine/>
    <w:qFormat/>
    <w:rsid w:val="00312A30"/>
    <w:pPr>
      <w:numPr>
        <w:numId w:val="0"/>
      </w:numPr>
    </w:pPr>
    <w:rPr>
      <w:rFonts w:ascii="Guttman Rashi" w:eastAsia="Guttman Rashi" w:hAnsi="Guttman Rashi" w:cs="Guttman Rashi"/>
      <w:sz w:val="10"/>
      <w:szCs w:val="10"/>
    </w:rPr>
  </w:style>
  <w:style w:type="character" w:customStyle="1" w:styleId="aff1">
    <w:name w:val="מ&quot;מ מוקטן תו"/>
    <w:basedOn w:val="a7"/>
    <w:link w:val="aff0"/>
    <w:rsid w:val="00312A30"/>
    <w:rPr>
      <w:rFonts w:ascii="Guttman Rashi" w:eastAsia="Guttman Rashi" w:hAnsi="Guttman Rashi" w:cs="Guttman Rashi"/>
      <w:noProof/>
      <w:sz w:val="10"/>
      <w:szCs w:val="10"/>
    </w:rPr>
  </w:style>
  <w:style w:type="paragraph" w:styleId="TOC3">
    <w:name w:val="toc 3"/>
    <w:basedOn w:val="a1"/>
    <w:next w:val="a1"/>
    <w:autoRedefine/>
    <w:uiPriority w:val="39"/>
    <w:unhideWhenUsed/>
    <w:rsid w:val="0080020B"/>
    <w:pPr>
      <w:ind w:left="440"/>
      <w:jc w:val="left"/>
    </w:pPr>
    <w:rPr>
      <w:rFonts w:cstheme="minorHAnsi"/>
      <w:sz w:val="20"/>
      <w:szCs w:val="20"/>
    </w:rPr>
  </w:style>
  <w:style w:type="paragraph" w:styleId="TOC4">
    <w:name w:val="toc 4"/>
    <w:basedOn w:val="a1"/>
    <w:next w:val="a1"/>
    <w:autoRedefine/>
    <w:uiPriority w:val="39"/>
    <w:unhideWhenUsed/>
    <w:rsid w:val="0080020B"/>
    <w:pPr>
      <w:ind w:left="660"/>
      <w:jc w:val="left"/>
    </w:pPr>
    <w:rPr>
      <w:rFonts w:cstheme="minorHAnsi"/>
      <w:sz w:val="20"/>
      <w:szCs w:val="20"/>
    </w:rPr>
  </w:style>
  <w:style w:type="paragraph" w:styleId="TOC5">
    <w:name w:val="toc 5"/>
    <w:basedOn w:val="a1"/>
    <w:next w:val="a1"/>
    <w:autoRedefine/>
    <w:uiPriority w:val="39"/>
    <w:unhideWhenUsed/>
    <w:rsid w:val="0080020B"/>
    <w:pPr>
      <w:ind w:left="880"/>
      <w:jc w:val="left"/>
    </w:pPr>
    <w:rPr>
      <w:rFonts w:cstheme="minorHAnsi"/>
      <w:sz w:val="20"/>
      <w:szCs w:val="20"/>
    </w:rPr>
  </w:style>
  <w:style w:type="paragraph" w:styleId="TOC6">
    <w:name w:val="toc 6"/>
    <w:basedOn w:val="a1"/>
    <w:next w:val="a1"/>
    <w:autoRedefine/>
    <w:uiPriority w:val="39"/>
    <w:unhideWhenUsed/>
    <w:rsid w:val="0080020B"/>
    <w:pPr>
      <w:ind w:left="1100"/>
      <w:jc w:val="left"/>
    </w:pPr>
    <w:rPr>
      <w:rFonts w:cstheme="minorHAnsi"/>
      <w:sz w:val="20"/>
      <w:szCs w:val="20"/>
    </w:rPr>
  </w:style>
  <w:style w:type="paragraph" w:styleId="TOC7">
    <w:name w:val="toc 7"/>
    <w:basedOn w:val="a1"/>
    <w:next w:val="a1"/>
    <w:autoRedefine/>
    <w:uiPriority w:val="39"/>
    <w:unhideWhenUsed/>
    <w:rsid w:val="0080020B"/>
    <w:pPr>
      <w:ind w:left="1320"/>
      <w:jc w:val="left"/>
    </w:pPr>
    <w:rPr>
      <w:rFonts w:cstheme="minorHAnsi"/>
      <w:sz w:val="20"/>
      <w:szCs w:val="20"/>
    </w:rPr>
  </w:style>
  <w:style w:type="paragraph" w:styleId="TOC8">
    <w:name w:val="toc 8"/>
    <w:basedOn w:val="a1"/>
    <w:next w:val="a1"/>
    <w:autoRedefine/>
    <w:uiPriority w:val="39"/>
    <w:unhideWhenUsed/>
    <w:rsid w:val="0080020B"/>
    <w:pPr>
      <w:ind w:left="1540"/>
      <w:jc w:val="left"/>
    </w:pPr>
    <w:rPr>
      <w:rFonts w:cstheme="minorHAnsi"/>
      <w:sz w:val="20"/>
      <w:szCs w:val="20"/>
    </w:rPr>
  </w:style>
  <w:style w:type="paragraph" w:styleId="TOC9">
    <w:name w:val="toc 9"/>
    <w:basedOn w:val="a1"/>
    <w:next w:val="a1"/>
    <w:autoRedefine/>
    <w:uiPriority w:val="39"/>
    <w:unhideWhenUsed/>
    <w:rsid w:val="004D1C5B"/>
    <w:pPr>
      <w:widowControl w:val="0"/>
      <w:numPr>
        <w:numId w:val="3"/>
      </w:numPr>
      <w:jc w:val="left"/>
    </w:pPr>
    <w:rPr>
      <w:rFonts w:cstheme="minorHAnsi"/>
      <w:sz w:val="20"/>
      <w:szCs w:val="20"/>
    </w:rPr>
  </w:style>
  <w:style w:type="paragraph" w:customStyle="1" w:styleId="aff2">
    <w:name w:val="תוכן"/>
    <w:basedOn w:val="ac"/>
    <w:link w:val="aff3"/>
    <w:autoRedefine/>
    <w:qFormat/>
    <w:rsid w:val="00F07AC5"/>
    <w:pPr>
      <w:ind w:left="0"/>
      <w:contextualSpacing w:val="0"/>
      <w:jc w:val="left"/>
    </w:pPr>
    <w:rPr>
      <w:rFonts w:ascii="Guttman Hodes" w:eastAsia="Guttman Hodes" w:hAnsi="Guttman Hodes" w:cs="Guttman Hodes"/>
      <w:sz w:val="12"/>
      <w:szCs w:val="12"/>
    </w:rPr>
  </w:style>
  <w:style w:type="character" w:customStyle="1" w:styleId="aff3">
    <w:name w:val="תוכן תו"/>
    <w:basedOn w:val="a3"/>
    <w:link w:val="aff2"/>
    <w:rsid w:val="00F07AC5"/>
    <w:rPr>
      <w:rFonts w:ascii="Guttman Hodes" w:eastAsia="Guttman Hodes" w:hAnsi="Guttman Hodes" w:cs="Guttman Hodes"/>
      <w:sz w:val="12"/>
      <w:szCs w:val="12"/>
    </w:rPr>
  </w:style>
  <w:style w:type="paragraph" w:customStyle="1" w:styleId="aff4">
    <w:name w:val="כות תוכן"/>
    <w:basedOn w:val="a1"/>
    <w:link w:val="aff5"/>
    <w:autoRedefine/>
    <w:qFormat/>
    <w:rsid w:val="001D5300"/>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3"/>
    <w:link w:val="aff4"/>
    <w:rsid w:val="001D5300"/>
    <w:rPr>
      <w:rFonts w:ascii="Guttman Hodes" w:eastAsia="Guttman Hodes" w:hAnsi="Guttman Hodes" w:cs="Guttman Hodes"/>
      <w:b/>
      <w:bCs/>
      <w:sz w:val="18"/>
      <w:szCs w:val="18"/>
    </w:rPr>
  </w:style>
  <w:style w:type="paragraph" w:customStyle="1" w:styleId="a0">
    <w:name w:val="מ''מ מוקטן"/>
    <w:basedOn w:val="a"/>
    <w:next w:val="a2"/>
    <w:link w:val="aff6"/>
    <w:autoRedefine/>
    <w:qFormat/>
    <w:rsid w:val="00161186"/>
    <w:pPr>
      <w:numPr>
        <w:numId w:val="2"/>
      </w:numPr>
    </w:pPr>
    <w:rPr>
      <w:rFonts w:ascii="Guttman Rashi" w:eastAsia="Guttman Rashi" w:hAnsi="Guttman Rashi" w:cs="Guttman Rashi"/>
      <w:sz w:val="10"/>
      <w:szCs w:val="10"/>
    </w:rPr>
  </w:style>
  <w:style w:type="character" w:customStyle="1" w:styleId="aff6">
    <w:name w:val="מ''מ מוקטן תו"/>
    <w:basedOn w:val="a7"/>
    <w:link w:val="a0"/>
    <w:rsid w:val="00161186"/>
    <w:rPr>
      <w:rFonts w:ascii="Guttman Rashi" w:eastAsia="Guttman Rashi" w:hAnsi="Guttman Rashi" w:cs="Guttman Rashi"/>
      <w:noProof/>
      <w:sz w:val="10"/>
      <w:szCs w:val="10"/>
    </w:rPr>
  </w:style>
  <w:style w:type="paragraph" w:customStyle="1" w:styleId="aff7">
    <w:name w:val="מפרשים מועתק"/>
    <w:basedOn w:val="a1"/>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3"/>
    <w:link w:val="aff7"/>
    <w:rsid w:val="00D210C6"/>
    <w:rPr>
      <w:rFonts w:ascii="Guttman Hodes" w:eastAsia="Guttman Hodes" w:hAnsi="Guttman Hodes" w:cs="Guttman Hodes"/>
      <w:color w:val="7030A0"/>
      <w:sz w:val="16"/>
      <w:szCs w:val="16"/>
    </w:rPr>
  </w:style>
  <w:style w:type="paragraph" w:customStyle="1" w:styleId="aff9">
    <w:name w:val="מוקט מודגש"/>
    <w:basedOn w:val="a"/>
    <w:link w:val="affa"/>
    <w:autoRedefine/>
    <w:qFormat/>
    <w:rsid w:val="006B1960"/>
    <w:pPr>
      <w:numPr>
        <w:numId w:val="0"/>
      </w:numPr>
    </w:pPr>
    <w:rPr>
      <w:b/>
      <w:bCs/>
      <w:szCs w:val="14"/>
    </w:rPr>
  </w:style>
  <w:style w:type="character" w:customStyle="1" w:styleId="affa">
    <w:name w:val="מוקט מודגש תו"/>
    <w:basedOn w:val="a7"/>
    <w:link w:val="aff9"/>
    <w:rsid w:val="006B1960"/>
    <w:rPr>
      <w:rFonts w:ascii="Guttman Hodes" w:eastAsia="Guttman Hodes" w:hAnsi="Guttman Hodes" w:cs="Guttman Hodes"/>
      <w:b/>
      <w:bCs/>
      <w:noProof/>
      <w:sz w:val="18"/>
      <w:szCs w:val="14"/>
    </w:rPr>
  </w:style>
  <w:style w:type="paragraph" w:customStyle="1" w:styleId="affb">
    <w:name w:val="מועתק"/>
    <w:basedOn w:val="a"/>
    <w:link w:val="affc"/>
    <w:autoRedefine/>
    <w:qFormat/>
    <w:rsid w:val="00434836"/>
    <w:pPr>
      <w:numPr>
        <w:numId w:val="0"/>
      </w:numPr>
    </w:pPr>
    <w:rPr>
      <w:color w:val="7030A0"/>
      <w:sz w:val="12"/>
      <w:szCs w:val="12"/>
    </w:rPr>
  </w:style>
  <w:style w:type="character" w:customStyle="1" w:styleId="affc">
    <w:name w:val="מועתק תו"/>
    <w:basedOn w:val="a7"/>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8"/>
    <w:next w:val="1"/>
    <w:autoRedefine/>
    <w:qFormat/>
    <w:rsid w:val="00434836"/>
    <w:pPr>
      <w:spacing w:before="360"/>
      <w:ind w:left="0"/>
      <w:jc w:val="center"/>
    </w:pPr>
    <w:rPr>
      <w:rFonts w:ascii="Guttman Hodes" w:eastAsia="Guttman Hodes" w:hAnsi="Guttman Hodes" w:cs="Guttman Hodes"/>
      <w:b/>
      <w:bCs/>
      <w:sz w:val="23"/>
      <w:szCs w:val="23"/>
    </w:rPr>
  </w:style>
  <w:style w:type="paragraph" w:customStyle="1" w:styleId="11">
    <w:name w:val="מפרשים 1"/>
    <w:basedOn w:val="a1"/>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3"/>
    <w:link w:val="11"/>
    <w:rsid w:val="00797161"/>
    <w:rPr>
      <w:rFonts w:ascii="Guttman Hodes" w:eastAsia="Guttman Hodes" w:hAnsi="Guttman Hodes" w:cs="Guttman Hodes"/>
      <w:sz w:val="16"/>
      <w:szCs w:val="16"/>
    </w:rPr>
  </w:style>
  <w:style w:type="character" w:styleId="FollowedHyperlink">
    <w:name w:val="FollowedHyperlink"/>
    <w:basedOn w:val="a3"/>
    <w:uiPriority w:val="99"/>
    <w:semiHidden/>
    <w:unhideWhenUsed/>
    <w:rsid w:val="00FF73EE"/>
    <w:rPr>
      <w:color w:val="800080" w:themeColor="followedHyperlink"/>
      <w:u w:val="single"/>
    </w:rPr>
  </w:style>
  <w:style w:type="character" w:customStyle="1" w:styleId="affe">
    <w:name w:val="טקסט הערה תו"/>
    <w:basedOn w:val="a3"/>
    <w:link w:val="afff"/>
    <w:uiPriority w:val="99"/>
    <w:semiHidden/>
    <w:rsid w:val="002724BA"/>
    <w:rPr>
      <w:sz w:val="20"/>
      <w:szCs w:val="20"/>
    </w:rPr>
  </w:style>
  <w:style w:type="paragraph" w:styleId="afff">
    <w:name w:val="annotation text"/>
    <w:basedOn w:val="a1"/>
    <w:link w:val="affe"/>
    <w:uiPriority w:val="99"/>
    <w:semiHidden/>
    <w:unhideWhenUsed/>
    <w:rsid w:val="002724BA"/>
    <w:pPr>
      <w:spacing w:line="240" w:lineRule="auto"/>
    </w:pPr>
    <w:rPr>
      <w:sz w:val="20"/>
      <w:szCs w:val="20"/>
    </w:rPr>
  </w:style>
  <w:style w:type="character" w:customStyle="1" w:styleId="afff0">
    <w:name w:val="נושא הערה תו"/>
    <w:basedOn w:val="affe"/>
    <w:link w:val="afff1"/>
    <w:uiPriority w:val="99"/>
    <w:semiHidden/>
    <w:rsid w:val="002724BA"/>
    <w:rPr>
      <w:b/>
      <w:bCs/>
      <w:sz w:val="20"/>
      <w:szCs w:val="20"/>
    </w:rPr>
  </w:style>
  <w:style w:type="paragraph" w:styleId="afff1">
    <w:name w:val="annotation subject"/>
    <w:basedOn w:val="afff"/>
    <w:next w:val="afff"/>
    <w:link w:val="afff0"/>
    <w:uiPriority w:val="99"/>
    <w:semiHidden/>
    <w:unhideWhenUsed/>
    <w:rsid w:val="002724BA"/>
    <w:rPr>
      <w:b/>
      <w:bCs/>
    </w:rPr>
  </w:style>
  <w:style w:type="character" w:styleId="afff2">
    <w:name w:val="annotation reference"/>
    <w:basedOn w:val="a3"/>
    <w:uiPriority w:val="99"/>
    <w:semiHidden/>
    <w:unhideWhenUsed/>
    <w:rsid w:val="00FD601D"/>
    <w:rPr>
      <w:sz w:val="16"/>
      <w:szCs w:val="16"/>
    </w:rPr>
  </w:style>
  <w:style w:type="numbering" w:styleId="111111">
    <w:name w:val="Outline List 2"/>
    <w:basedOn w:val="a5"/>
    <w:uiPriority w:val="99"/>
    <w:semiHidden/>
    <w:unhideWhenUsed/>
    <w:rsid w:val="00B2572D"/>
    <w:pPr>
      <w:numPr>
        <w:numId w:val="5"/>
      </w:numPr>
    </w:pPr>
  </w:style>
  <w:style w:type="paragraph" w:customStyle="1" w:styleId="13">
    <w:name w:val="סגנון1"/>
    <w:basedOn w:val="ae"/>
    <w:rsid w:val="00B2572D"/>
    <w:pPr>
      <w:keepNext/>
      <w:widowControl/>
    </w:pPr>
  </w:style>
  <w:style w:type="paragraph" w:customStyle="1" w:styleId="afff3">
    <w:name w:val="עברתי"/>
    <w:basedOn w:val="a1"/>
    <w:link w:val="afff4"/>
    <w:autoRedefine/>
    <w:qFormat/>
    <w:rsid w:val="00F34A57"/>
    <w:pPr>
      <w:spacing w:line="240" w:lineRule="auto"/>
      <w:ind w:left="0"/>
    </w:pPr>
    <w:rPr>
      <w:rFonts w:ascii="Guttman Hodes" w:eastAsia="Guttman Hodes" w:hAnsi="Guttman Hodes" w:cs="Guttman Hodes"/>
      <w:color w:val="000000" w:themeColor="text1"/>
      <w:sz w:val="12"/>
      <w:szCs w:val="12"/>
    </w:rPr>
  </w:style>
  <w:style w:type="character" w:customStyle="1" w:styleId="afff4">
    <w:name w:val="עברתי תו"/>
    <w:basedOn w:val="a3"/>
    <w:link w:val="afff3"/>
    <w:rsid w:val="00F34A57"/>
    <w:rPr>
      <w:rFonts w:ascii="Guttman Hodes" w:eastAsia="Guttman Hodes" w:hAnsi="Guttman Hodes" w:cs="Guttman Hodes"/>
      <w:color w:val="000000" w:themeColor="text1"/>
      <w:sz w:val="12"/>
      <w:szCs w:val="12"/>
    </w:rPr>
  </w:style>
  <w:style w:type="character" w:customStyle="1" w:styleId="110">
    <w:name w:val="כותרת 1 תו1"/>
    <w:aliases w:val="כות גד תו1"/>
    <w:basedOn w:val="a3"/>
    <w:uiPriority w:val="9"/>
    <w:rsid w:val="00FF684E"/>
    <w:rPr>
      <w:rFonts w:asciiTheme="majorHAnsi" w:eastAsiaTheme="majorEastAsia" w:hAnsiTheme="majorHAnsi" w:cstheme="majorBidi"/>
      <w:color w:val="365F91" w:themeColor="accent1" w:themeShade="BF"/>
      <w:sz w:val="32"/>
      <w:szCs w:val="32"/>
    </w:rPr>
  </w:style>
  <w:style w:type="paragraph" w:customStyle="1" w:styleId="msonormal0">
    <w:name w:val="msonormal"/>
    <w:basedOn w:val="a1"/>
    <w:rsid w:val="00FF684E"/>
    <w:pPr>
      <w:bidi w:val="0"/>
      <w:spacing w:before="100" w:beforeAutospacing="1" w:after="100" w:afterAutospacing="1" w:line="240" w:lineRule="auto"/>
      <w:ind w:left="0"/>
      <w:jc w:val="left"/>
    </w:pPr>
    <w:rPr>
      <w:rFonts w:ascii="Times New Roman" w:eastAsia="Times New Roman" w:hAnsi="Times New Roman" w:cs="Times New Roman"/>
      <w:sz w:val="24"/>
      <w:szCs w:val="24"/>
    </w:rPr>
  </w:style>
  <w:style w:type="character" w:customStyle="1" w:styleId="14">
    <w:name w:val="טקסט הערה תו1"/>
    <w:basedOn w:val="a3"/>
    <w:uiPriority w:val="99"/>
    <w:semiHidden/>
    <w:rsid w:val="00785F14"/>
    <w:rPr>
      <w:sz w:val="20"/>
      <w:szCs w:val="20"/>
    </w:rPr>
  </w:style>
  <w:style w:type="character" w:customStyle="1" w:styleId="15">
    <w:name w:val="נושא הערה תו1"/>
    <w:basedOn w:val="14"/>
    <w:uiPriority w:val="99"/>
    <w:semiHidden/>
    <w:rsid w:val="00785F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3304150">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5296209">
      <w:bodyDiv w:val="1"/>
      <w:marLeft w:val="0"/>
      <w:marRight w:val="0"/>
      <w:marTop w:val="0"/>
      <w:marBottom w:val="0"/>
      <w:divBdr>
        <w:top w:val="none" w:sz="0" w:space="0" w:color="auto"/>
        <w:left w:val="none" w:sz="0" w:space="0" w:color="auto"/>
        <w:bottom w:val="none" w:sz="0" w:space="0" w:color="auto"/>
        <w:right w:val="none" w:sz="0" w:space="0" w:color="auto"/>
      </w:divBdr>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29000738">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5016440">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59740596">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67238023">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05897749">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28839495">
      <w:bodyDiv w:val="1"/>
      <w:marLeft w:val="0"/>
      <w:marRight w:val="0"/>
      <w:marTop w:val="0"/>
      <w:marBottom w:val="0"/>
      <w:divBdr>
        <w:top w:val="none" w:sz="0" w:space="0" w:color="auto"/>
        <w:left w:val="none" w:sz="0" w:space="0" w:color="auto"/>
        <w:bottom w:val="none" w:sz="0" w:space="0" w:color="auto"/>
        <w:right w:val="none" w:sz="0" w:space="0" w:color="auto"/>
      </w:divBdr>
      <w:divsChild>
        <w:div w:id="1920556513">
          <w:marLeft w:val="0"/>
          <w:marRight w:val="0"/>
          <w:marTop w:val="0"/>
          <w:marBottom w:val="120"/>
          <w:divBdr>
            <w:top w:val="none" w:sz="0" w:space="0" w:color="auto"/>
            <w:left w:val="none" w:sz="0" w:space="0" w:color="auto"/>
            <w:bottom w:val="none" w:sz="0" w:space="0" w:color="auto"/>
            <w:right w:val="none" w:sz="0" w:space="0" w:color="auto"/>
          </w:divBdr>
        </w:div>
      </w:divsChild>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31785633">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036079">
      <w:bodyDiv w:val="1"/>
      <w:marLeft w:val="0"/>
      <w:marRight w:val="0"/>
      <w:marTop w:val="0"/>
      <w:marBottom w:val="0"/>
      <w:divBdr>
        <w:top w:val="none" w:sz="0" w:space="0" w:color="auto"/>
        <w:left w:val="none" w:sz="0" w:space="0" w:color="auto"/>
        <w:bottom w:val="none" w:sz="0" w:space="0" w:color="auto"/>
        <w:right w:val="none" w:sz="0" w:space="0" w:color="auto"/>
      </w:divBdr>
      <w:divsChild>
        <w:div w:id="359358071">
          <w:marLeft w:val="0"/>
          <w:marRight w:val="0"/>
          <w:marTop w:val="0"/>
          <w:marBottom w:val="120"/>
          <w:divBdr>
            <w:top w:val="none" w:sz="0" w:space="0" w:color="auto"/>
            <w:left w:val="none" w:sz="0" w:space="0" w:color="auto"/>
            <w:bottom w:val="none" w:sz="0" w:space="0" w:color="auto"/>
            <w:right w:val="none" w:sz="0" w:space="0" w:color="auto"/>
          </w:divBdr>
        </w:div>
      </w:divsChild>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49884411">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72673173">
      <w:bodyDiv w:val="1"/>
      <w:marLeft w:val="0"/>
      <w:marRight w:val="0"/>
      <w:marTop w:val="0"/>
      <w:marBottom w:val="0"/>
      <w:divBdr>
        <w:top w:val="none" w:sz="0" w:space="0" w:color="auto"/>
        <w:left w:val="none" w:sz="0" w:space="0" w:color="auto"/>
        <w:bottom w:val="none" w:sz="0" w:space="0" w:color="auto"/>
        <w:right w:val="none" w:sz="0" w:space="0" w:color="auto"/>
      </w:divBdr>
      <w:divsChild>
        <w:div w:id="719089022">
          <w:marLeft w:val="0"/>
          <w:marRight w:val="0"/>
          <w:marTop w:val="0"/>
          <w:marBottom w:val="120"/>
          <w:divBdr>
            <w:top w:val="none" w:sz="0" w:space="0" w:color="auto"/>
            <w:left w:val="none" w:sz="0" w:space="0" w:color="auto"/>
            <w:bottom w:val="none" w:sz="0" w:space="0" w:color="auto"/>
            <w:right w:val="none" w:sz="0" w:space="0" w:color="auto"/>
          </w:divBdr>
        </w:div>
      </w:divsChild>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78860987">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3858054">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1152709">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148207">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14852809">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6886226">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6395807">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0903634">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33811241">
      <w:bodyDiv w:val="1"/>
      <w:marLeft w:val="0"/>
      <w:marRight w:val="0"/>
      <w:marTop w:val="0"/>
      <w:marBottom w:val="0"/>
      <w:divBdr>
        <w:top w:val="none" w:sz="0" w:space="0" w:color="auto"/>
        <w:left w:val="none" w:sz="0" w:space="0" w:color="auto"/>
        <w:bottom w:val="none" w:sz="0" w:space="0" w:color="auto"/>
        <w:right w:val="none" w:sz="0" w:space="0" w:color="auto"/>
      </w:divBdr>
    </w:div>
    <w:div w:id="1534927748">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03765517">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0797638">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1859248">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9478998">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4817057">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 w:id="214121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footer" Target="footer14.xml"/><Relationship Id="rId63" Type="http://schemas.openxmlformats.org/officeDocument/2006/relationships/header" Target="header32.xml"/><Relationship Id="rId68" Type="http://schemas.openxmlformats.org/officeDocument/2006/relationships/header" Target="header35.xml"/><Relationship Id="rId84" Type="http://schemas.openxmlformats.org/officeDocument/2006/relationships/header" Target="header43.xml"/><Relationship Id="rId89" Type="http://schemas.openxmlformats.org/officeDocument/2006/relationships/header" Target="header47.xml"/><Relationship Id="rId16" Type="http://schemas.openxmlformats.org/officeDocument/2006/relationships/header" Target="header4.xml"/><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7.xml"/><Relationship Id="rId58" Type="http://schemas.openxmlformats.org/officeDocument/2006/relationships/header" Target="header29.xml"/><Relationship Id="rId74" Type="http://schemas.openxmlformats.org/officeDocument/2006/relationships/header" Target="header38.xml"/><Relationship Id="rId79" Type="http://schemas.openxmlformats.org/officeDocument/2006/relationships/header" Target="header40.xml"/><Relationship Id="rId102" Type="http://schemas.openxmlformats.org/officeDocument/2006/relationships/footer" Target="footer35.xml"/><Relationship Id="rId5" Type="http://schemas.openxmlformats.org/officeDocument/2006/relationships/webSettings" Target="webSettings.xml"/><Relationship Id="rId90" Type="http://schemas.openxmlformats.org/officeDocument/2006/relationships/footer" Target="footer32.xml"/><Relationship Id="rId95" Type="http://schemas.openxmlformats.org/officeDocument/2006/relationships/header" Target="header51.xml"/><Relationship Id="rId22" Type="http://schemas.openxmlformats.org/officeDocument/2006/relationships/footer" Target="footer5.xml"/><Relationship Id="rId27" Type="http://schemas.openxmlformats.org/officeDocument/2006/relationships/header" Target="header10.xml"/><Relationship Id="rId43" Type="http://schemas.openxmlformats.org/officeDocument/2006/relationships/header" Target="header20.xml"/><Relationship Id="rId48" Type="http://schemas.openxmlformats.org/officeDocument/2006/relationships/image" Target="media/image4.png"/><Relationship Id="rId64" Type="http://schemas.openxmlformats.org/officeDocument/2006/relationships/footer" Target="footer21.xml"/><Relationship Id="rId69" Type="http://schemas.openxmlformats.org/officeDocument/2006/relationships/header" Target="header36.xml"/><Relationship Id="rId80" Type="http://schemas.openxmlformats.org/officeDocument/2006/relationships/header" Target="header41.xml"/><Relationship Id="rId85" Type="http://schemas.openxmlformats.org/officeDocument/2006/relationships/footer" Target="footer31.xml"/><Relationship Id="rId12" Type="http://schemas.openxmlformats.org/officeDocument/2006/relationships/image" Target="media/image1.jpeg"/><Relationship Id="rId17" Type="http://schemas.openxmlformats.org/officeDocument/2006/relationships/footer" Target="footer3.xml"/><Relationship Id="rId33" Type="http://schemas.openxmlformats.org/officeDocument/2006/relationships/header" Target="header15.xml"/><Relationship Id="rId38" Type="http://schemas.openxmlformats.org/officeDocument/2006/relationships/footer" Target="footer11.xml"/><Relationship Id="rId59" Type="http://schemas.openxmlformats.org/officeDocument/2006/relationships/footer" Target="footer19.xml"/><Relationship Id="rId103" Type="http://schemas.openxmlformats.org/officeDocument/2006/relationships/footer" Target="footer36.xml"/><Relationship Id="rId20" Type="http://schemas.openxmlformats.org/officeDocument/2006/relationships/footer" Target="footer4.xml"/><Relationship Id="rId41" Type="http://schemas.openxmlformats.org/officeDocument/2006/relationships/footer" Target="footer13.xml"/><Relationship Id="rId54" Type="http://schemas.openxmlformats.org/officeDocument/2006/relationships/header" Target="header26.xml"/><Relationship Id="rId62" Type="http://schemas.openxmlformats.org/officeDocument/2006/relationships/footer" Target="footer20.xml"/><Relationship Id="rId70" Type="http://schemas.openxmlformats.org/officeDocument/2006/relationships/header" Target="header37.xml"/><Relationship Id="rId75" Type="http://schemas.openxmlformats.org/officeDocument/2006/relationships/header" Target="header39.xml"/><Relationship Id="rId83" Type="http://schemas.openxmlformats.org/officeDocument/2006/relationships/header" Target="header42.xml"/><Relationship Id="rId88" Type="http://schemas.openxmlformats.org/officeDocument/2006/relationships/header" Target="header46.xml"/><Relationship Id="rId91" Type="http://schemas.openxmlformats.org/officeDocument/2006/relationships/header" Target="header48.xml"/><Relationship Id="rId96" Type="http://schemas.openxmlformats.org/officeDocument/2006/relationships/footer" Target="foot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footer" Target="footer15.xml"/><Relationship Id="rId57" Type="http://schemas.openxmlformats.org/officeDocument/2006/relationships/footer" Target="footer18.xml"/><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eader" Target="header13.xml"/><Relationship Id="rId44" Type="http://schemas.openxmlformats.org/officeDocument/2006/relationships/header" Target="header21.xml"/><Relationship Id="rId52" Type="http://schemas.openxmlformats.org/officeDocument/2006/relationships/footer" Target="footer16.xml"/><Relationship Id="rId60" Type="http://schemas.openxmlformats.org/officeDocument/2006/relationships/header" Target="header30.xml"/><Relationship Id="rId65" Type="http://schemas.openxmlformats.org/officeDocument/2006/relationships/header" Target="header33.xml"/><Relationship Id="rId73" Type="http://schemas.openxmlformats.org/officeDocument/2006/relationships/footer" Target="footer25.xml"/><Relationship Id="rId78" Type="http://schemas.openxmlformats.org/officeDocument/2006/relationships/footer" Target="footer28.xml"/><Relationship Id="rId81" Type="http://schemas.openxmlformats.org/officeDocument/2006/relationships/footer" Target="footer29.xml"/><Relationship Id="rId86" Type="http://schemas.openxmlformats.org/officeDocument/2006/relationships/header" Target="header44.xml"/><Relationship Id="rId94" Type="http://schemas.openxmlformats.org/officeDocument/2006/relationships/header" Target="header50.xml"/><Relationship Id="rId99" Type="http://schemas.openxmlformats.org/officeDocument/2006/relationships/header" Target="header54.xml"/><Relationship Id="rId101" Type="http://schemas.openxmlformats.org/officeDocument/2006/relationships/header" Target="header5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header" Target="header18.xml"/><Relationship Id="rId34" Type="http://schemas.openxmlformats.org/officeDocument/2006/relationships/footer" Target="footer9.xml"/><Relationship Id="rId50" Type="http://schemas.openxmlformats.org/officeDocument/2006/relationships/header" Target="header24.xml"/><Relationship Id="rId55" Type="http://schemas.openxmlformats.org/officeDocument/2006/relationships/header" Target="header27.xml"/><Relationship Id="rId76" Type="http://schemas.openxmlformats.org/officeDocument/2006/relationships/footer" Target="footer26.xml"/><Relationship Id="rId97" Type="http://schemas.openxmlformats.org/officeDocument/2006/relationships/header" Target="header52.xml"/><Relationship Id="rId104" Type="http://schemas.openxmlformats.org/officeDocument/2006/relationships/header" Target="header57.xml"/><Relationship Id="rId7" Type="http://schemas.openxmlformats.org/officeDocument/2006/relationships/endnotes" Target="endnotes.xml"/><Relationship Id="rId71" Type="http://schemas.openxmlformats.org/officeDocument/2006/relationships/footer" Target="footer23.xml"/><Relationship Id="rId92" Type="http://schemas.openxmlformats.org/officeDocument/2006/relationships/header" Target="header49.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2.xml"/><Relationship Id="rId45" Type="http://schemas.openxmlformats.org/officeDocument/2006/relationships/header" Target="header22.xml"/><Relationship Id="rId66" Type="http://schemas.openxmlformats.org/officeDocument/2006/relationships/footer" Target="footer22.xml"/><Relationship Id="rId87" Type="http://schemas.openxmlformats.org/officeDocument/2006/relationships/header" Target="header45.xml"/><Relationship Id="rId61" Type="http://schemas.openxmlformats.org/officeDocument/2006/relationships/header" Target="header31.xml"/><Relationship Id="rId82" Type="http://schemas.openxmlformats.org/officeDocument/2006/relationships/footer" Target="footer30.xml"/><Relationship Id="rId19" Type="http://schemas.openxmlformats.org/officeDocument/2006/relationships/header" Target="header6.xml"/><Relationship Id="rId14" Type="http://schemas.openxmlformats.org/officeDocument/2006/relationships/image" Target="media/image3.png"/><Relationship Id="rId30" Type="http://schemas.openxmlformats.org/officeDocument/2006/relationships/footer" Target="footer8.xml"/><Relationship Id="rId35" Type="http://schemas.openxmlformats.org/officeDocument/2006/relationships/footer" Target="footer10.xml"/><Relationship Id="rId56" Type="http://schemas.openxmlformats.org/officeDocument/2006/relationships/header" Target="header28.xml"/><Relationship Id="rId77" Type="http://schemas.openxmlformats.org/officeDocument/2006/relationships/footer" Target="footer27.xml"/><Relationship Id="rId100" Type="http://schemas.openxmlformats.org/officeDocument/2006/relationships/header" Target="header55.xml"/><Relationship Id="rId105" Type="http://schemas.openxmlformats.org/officeDocument/2006/relationships/header" Target="header58.xml"/><Relationship Id="rId8" Type="http://schemas.openxmlformats.org/officeDocument/2006/relationships/footer" Target="footer1.xml"/><Relationship Id="rId51" Type="http://schemas.openxmlformats.org/officeDocument/2006/relationships/header" Target="header25.xml"/><Relationship Id="rId72" Type="http://schemas.openxmlformats.org/officeDocument/2006/relationships/footer" Target="footer24.xml"/><Relationship Id="rId93" Type="http://schemas.openxmlformats.org/officeDocument/2006/relationships/footer" Target="footer33.xml"/><Relationship Id="rId98" Type="http://schemas.openxmlformats.org/officeDocument/2006/relationships/header" Target="header53.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3.xml"/><Relationship Id="rId67" Type="http://schemas.openxmlformats.org/officeDocument/2006/relationships/header" Target="header34.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B1AD0-1D80-4619-B7D2-993BE1DEB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293</Pages>
  <Words>233922</Words>
  <Characters>1169610</Characters>
  <Application>Microsoft Office Word</Application>
  <DocSecurity>0</DocSecurity>
  <Lines>9746</Lines>
  <Paragraphs>2801</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1400731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‏‏משתמש Windows</cp:lastModifiedBy>
  <cp:revision>6</cp:revision>
  <cp:lastPrinted>2019-12-25T09:31:00Z</cp:lastPrinted>
  <dcterms:created xsi:type="dcterms:W3CDTF">2019-12-16T23:16:00Z</dcterms:created>
  <dcterms:modified xsi:type="dcterms:W3CDTF">2020-03-18T20:35:00Z</dcterms:modified>
</cp:coreProperties>
</file>